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b/>
          <w:caps/>
        </w:rPr>
        <w:id w:val="5388617"/>
        <w:docPartObj>
          <w:docPartGallery w:val="Cover Pages"/>
          <w:docPartUnique/>
        </w:docPartObj>
      </w:sdtPr>
      <w:sdtEndPr>
        <w:rPr>
          <w:b w:val="0"/>
          <w:caps w:val="0"/>
        </w:rPr>
      </w:sdtEndPr>
      <w:sdtContent>
        <w:bookmarkStart w:id="0" w:name="_Toc315694432" w:displacedByCustomXml="prev"/>
        <w:p w14:paraId="5FE0C141" w14:textId="77777777" w:rsidR="00AC4E5D" w:rsidRDefault="00AC4E5D" w:rsidP="002A1D1F">
          <w:pPr>
            <w:pStyle w:val="BodyText"/>
            <w:framePr w:w="7781" w:h="1701" w:hRule="exact" w:wrap="notBeside" w:vAnchor="page" w:hAnchor="margin" w:y="14516" w:anchorLock="1"/>
          </w:pPr>
        </w:p>
        <w:sdt>
          <w:sdtPr>
            <w:rPr>
              <w:rFonts w:eastAsia="Calibri"/>
              <w:b w:val="0"/>
              <w:caps w:val="0"/>
              <w:noProof w:val="0"/>
              <w:color w:val="000000"/>
              <w:spacing w:val="0"/>
              <w:sz w:val="24"/>
              <w:szCs w:val="22"/>
              <w:lang w:eastAsia="en-AU"/>
            </w:rPr>
            <w:id w:val="-224152741"/>
            <w:docPartObj>
              <w:docPartGallery w:val="Cover Pages"/>
              <w:docPartUnique/>
            </w:docPartObj>
          </w:sdtPr>
          <w:sdtEndPr/>
          <w:sdtContent>
            <w:p w14:paraId="4C62BE58" w14:textId="77777777" w:rsidR="000F0E2F" w:rsidRPr="001C3137" w:rsidRDefault="000F0E2F" w:rsidP="000F0E2F">
              <w:pPr>
                <w:pStyle w:val="BusinessUnitName"/>
                <w:framePr w:w="6124" w:h="284" w:hRule="exact" w:vSpace="1276" w:wrap="notBeside" w:vAnchor="page" w:hAnchor="margin" w:y="1135" w:anchorLock="1"/>
              </w:pPr>
              <w:r>
                <w:t>Health &amp; biosecurity</w:t>
              </w:r>
            </w:p>
            <w:sdt>
              <w:sdtPr>
                <w:rPr>
                  <w:rFonts w:eastAsia="Calibri"/>
                  <w:b w:val="0"/>
                  <w:caps w:val="0"/>
                  <w:noProof w:val="0"/>
                  <w:color w:val="000000"/>
                  <w:spacing w:val="0"/>
                  <w:sz w:val="24"/>
                  <w:szCs w:val="22"/>
                  <w:lang w:eastAsia="en-AU"/>
                </w:rPr>
                <w:id w:val="-1095712485"/>
                <w:docPartObj>
                  <w:docPartGallery w:val="Cover Pages"/>
                  <w:docPartUnique/>
                </w:docPartObj>
              </w:sdtPr>
              <w:sdtEndPr/>
              <w:sdtContent>
                <w:p w14:paraId="032D06BF" w14:textId="77777777" w:rsidR="000F0E2F" w:rsidRPr="001C3137" w:rsidRDefault="000F0E2F" w:rsidP="000F0E2F">
                  <w:pPr>
                    <w:pStyle w:val="BusinessUnitName"/>
                    <w:framePr w:w="6124" w:h="284" w:hRule="exact" w:vSpace="1276" w:wrap="notBeside" w:vAnchor="page" w:hAnchor="margin" w:y="1135" w:anchorLock="1"/>
                  </w:pPr>
                  <w:r>
                    <w:t>Health &amp; biosecurity</w:t>
                  </w:r>
                </w:p>
                <w:p w14:paraId="71687984" w14:textId="77777777" w:rsidR="000F0E2F" w:rsidRDefault="00817859" w:rsidP="000F0E2F">
                  <w:pPr>
                    <w:spacing w:after="0"/>
                  </w:pPr>
                  <w:r>
                    <w:rPr>
                      <w:noProof/>
                    </w:rPr>
                    <mc:AlternateContent>
                      <mc:Choice Requires="wpg">
                        <w:drawing>
                          <wp:anchor distT="0" distB="0" distL="114300" distR="114300" simplePos="0" relativeHeight="251658241" behindDoc="1" locked="0" layoutInCell="1" allowOverlap="1" wp14:anchorId="374C7434" wp14:editId="0B12BD7E">
                            <wp:simplePos x="0" y="0"/>
                            <wp:positionH relativeFrom="column">
                              <wp:posOffset>-1221920</wp:posOffset>
                            </wp:positionH>
                            <wp:positionV relativeFrom="paragraph">
                              <wp:posOffset>-594360</wp:posOffset>
                            </wp:positionV>
                            <wp:extent cx="8454390" cy="7533005"/>
                            <wp:effectExtent l="0" t="1905" r="3810" b="8890"/>
                            <wp:wrapNone/>
                            <wp:docPr id="341" name="Group 755" descr="backgrou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54390" cy="7533005"/>
                                      <a:chOff x="-870" y="-1152"/>
                                      <a:chExt cx="13314" cy="11863"/>
                                    </a:xfrm>
                                  </wpg:grpSpPr>
                                  <wps:wsp>
                                    <wps:cNvPr id="342" name="Freeform 756" descr="background"/>
                                    <wps:cNvSpPr>
                                      <a:spLocks noChangeAspect="1"/>
                                    </wps:cNvSpPr>
                                    <wps:spPr bwMode="auto">
                                      <a:xfrm>
                                        <a:off x="-845" y="-1152"/>
                                        <a:ext cx="13289" cy="11850"/>
                                      </a:xfrm>
                                      <a:custGeom>
                                        <a:avLst/>
                                        <a:gdLst>
                                          <a:gd name="T0" fmla="*/ 0 w 2447"/>
                                          <a:gd name="T1" fmla="*/ 0 h 2181"/>
                                          <a:gd name="T2" fmla="*/ 2447 w 2447"/>
                                          <a:gd name="T3" fmla="*/ 0 h 2181"/>
                                          <a:gd name="T4" fmla="*/ 2447 w 2447"/>
                                          <a:gd name="T5" fmla="*/ 2181 h 2181"/>
                                          <a:gd name="T6" fmla="*/ 2281 w 2447"/>
                                          <a:gd name="T7" fmla="*/ 2181 h 2181"/>
                                          <a:gd name="T8" fmla="*/ 1810 w 2447"/>
                                          <a:gd name="T9" fmla="*/ 2026 h 2181"/>
                                          <a:gd name="T10" fmla="*/ 1357 w 2447"/>
                                          <a:gd name="T11" fmla="*/ 1909 h 2181"/>
                                          <a:gd name="T12" fmla="*/ 0 w 2447"/>
                                          <a:gd name="T13" fmla="*/ 1909 h 2181"/>
                                          <a:gd name="T14" fmla="*/ 0 w 2447"/>
                                          <a:gd name="T15" fmla="*/ 0 h 218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447" h="2181">
                                            <a:moveTo>
                                              <a:pt x="0" y="0"/>
                                            </a:moveTo>
                                            <a:cubicBezTo>
                                              <a:pt x="2447" y="0"/>
                                              <a:pt x="2447" y="0"/>
                                              <a:pt x="2447" y="0"/>
                                            </a:cubicBezTo>
                                            <a:cubicBezTo>
                                              <a:pt x="2447" y="2181"/>
                                              <a:pt x="2447" y="2181"/>
                                              <a:pt x="2447" y="2181"/>
                                            </a:cubicBezTo>
                                            <a:cubicBezTo>
                                              <a:pt x="2447" y="2181"/>
                                              <a:pt x="2339" y="2181"/>
                                              <a:pt x="2281" y="2181"/>
                                            </a:cubicBezTo>
                                            <a:cubicBezTo>
                                              <a:pt x="2040" y="2181"/>
                                              <a:pt x="1939" y="2098"/>
                                              <a:pt x="1810" y="2026"/>
                                            </a:cubicBezTo>
                                            <a:cubicBezTo>
                                              <a:pt x="1701" y="1963"/>
                                              <a:pt x="1551" y="1909"/>
                                              <a:pt x="1357" y="1909"/>
                                            </a:cubicBezTo>
                                            <a:cubicBezTo>
                                              <a:pt x="1148" y="1909"/>
                                              <a:pt x="0" y="1909"/>
                                              <a:pt x="0" y="1909"/>
                                            </a:cubicBezTo>
                                            <a:lnTo>
                                              <a:pt x="0"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757" descr="background"/>
                                    <wps:cNvSpPr>
                                      <a:spLocks noEditPoints="1"/>
                                    </wps:cNvSpPr>
                                    <wps:spPr bwMode="auto">
                                      <a:xfrm>
                                        <a:off x="-870" y="8216"/>
                                        <a:ext cx="13297" cy="2495"/>
                                      </a:xfrm>
                                      <a:custGeom>
                                        <a:avLst/>
                                        <a:gdLst>
                                          <a:gd name="T0" fmla="*/ 1655 w 2447"/>
                                          <a:gd name="T1" fmla="*/ 228 h 456"/>
                                          <a:gd name="T2" fmla="*/ 1811 w 2447"/>
                                          <a:gd name="T3" fmla="*/ 298 h 456"/>
                                          <a:gd name="T4" fmla="*/ 1897 w 2447"/>
                                          <a:gd name="T5" fmla="*/ 171 h 456"/>
                                          <a:gd name="T6" fmla="*/ 1897 w 2447"/>
                                          <a:gd name="T7" fmla="*/ 258 h 456"/>
                                          <a:gd name="T8" fmla="*/ 1810 w 2447"/>
                                          <a:gd name="T9" fmla="*/ 120 h 456"/>
                                          <a:gd name="T10" fmla="*/ 1655 w 2447"/>
                                          <a:gd name="T11" fmla="*/ 138 h 456"/>
                                          <a:gd name="T12" fmla="*/ 1811 w 2447"/>
                                          <a:gd name="T13" fmla="*/ 116 h 456"/>
                                          <a:gd name="T14" fmla="*/ 600 w 2447"/>
                                          <a:gd name="T15" fmla="*/ 0 h 456"/>
                                          <a:gd name="T16" fmla="*/ 13 w 2447"/>
                                          <a:gd name="T17" fmla="*/ 0 h 456"/>
                                          <a:gd name="T18" fmla="*/ 4 w 2447"/>
                                          <a:gd name="T19" fmla="*/ 3 h 456"/>
                                          <a:gd name="T20" fmla="*/ 1357 w 2447"/>
                                          <a:gd name="T21" fmla="*/ 3 h 456"/>
                                          <a:gd name="T22" fmla="*/ 1357 w 2447"/>
                                          <a:gd name="T23" fmla="*/ 91 h 456"/>
                                          <a:gd name="T24" fmla="*/ 183 w 2447"/>
                                          <a:gd name="T25" fmla="*/ 91 h 456"/>
                                          <a:gd name="T26" fmla="*/ 0 w 2447"/>
                                          <a:gd name="T27" fmla="*/ 91 h 456"/>
                                          <a:gd name="T28" fmla="*/ 1357 w 2447"/>
                                          <a:gd name="T29" fmla="*/ 94 h 456"/>
                                          <a:gd name="T30" fmla="*/ 1527 w 2447"/>
                                          <a:gd name="T31" fmla="*/ 136 h 456"/>
                                          <a:gd name="T32" fmla="*/ 57 w 2447"/>
                                          <a:gd name="T33" fmla="*/ 136 h 456"/>
                                          <a:gd name="T34" fmla="*/ 0 w 2447"/>
                                          <a:gd name="T35" fmla="*/ 139 h 456"/>
                                          <a:gd name="T36" fmla="*/ 1646 w 2447"/>
                                          <a:gd name="T37" fmla="*/ 138 h 456"/>
                                          <a:gd name="T38" fmla="*/ 1357 w 2447"/>
                                          <a:gd name="T39" fmla="*/ 181 h 456"/>
                                          <a:gd name="T40" fmla="*/ 183 w 2447"/>
                                          <a:gd name="T41" fmla="*/ 181 h 456"/>
                                          <a:gd name="T42" fmla="*/ 0 w 2447"/>
                                          <a:gd name="T43" fmla="*/ 181 h 456"/>
                                          <a:gd name="T44" fmla="*/ 1357 w 2447"/>
                                          <a:gd name="T45" fmla="*/ 184 h 456"/>
                                          <a:gd name="T46" fmla="*/ 1527 w 2447"/>
                                          <a:gd name="T47" fmla="*/ 227 h 456"/>
                                          <a:gd name="T48" fmla="*/ 57 w 2447"/>
                                          <a:gd name="T49" fmla="*/ 227 h 456"/>
                                          <a:gd name="T50" fmla="*/ 0 w 2447"/>
                                          <a:gd name="T51" fmla="*/ 230 h 456"/>
                                          <a:gd name="T52" fmla="*/ 1646 w 2447"/>
                                          <a:gd name="T53" fmla="*/ 229 h 456"/>
                                          <a:gd name="T54" fmla="*/ 1527 w 2447"/>
                                          <a:gd name="T55" fmla="*/ 317 h 456"/>
                                          <a:gd name="T56" fmla="*/ 57 w 2447"/>
                                          <a:gd name="T57" fmla="*/ 317 h 456"/>
                                          <a:gd name="T58" fmla="*/ 0 w 2447"/>
                                          <a:gd name="T59" fmla="*/ 320 h 456"/>
                                          <a:gd name="T60" fmla="*/ 1810 w 2447"/>
                                          <a:gd name="T61" fmla="*/ 301 h 456"/>
                                          <a:gd name="T62" fmla="*/ 2447 w 2447"/>
                                          <a:gd name="T63" fmla="*/ 456 h 456"/>
                                          <a:gd name="T64" fmla="*/ 2281 w 2447"/>
                                          <a:gd name="T65" fmla="*/ 453 h 456"/>
                                          <a:gd name="T66" fmla="*/ 2281 w 2447"/>
                                          <a:gd name="T67" fmla="*/ 366 h 456"/>
                                          <a:gd name="T68" fmla="*/ 2447 w 2447"/>
                                          <a:gd name="T69" fmla="*/ 363 h 456"/>
                                          <a:gd name="T70" fmla="*/ 1900 w 2447"/>
                                          <a:gd name="T71" fmla="*/ 260 h 456"/>
                                          <a:gd name="T72" fmla="*/ 2281 w 2447"/>
                                          <a:gd name="T73" fmla="*/ 275 h 456"/>
                                          <a:gd name="T74" fmla="*/ 2447 w 2447"/>
                                          <a:gd name="T75" fmla="*/ 272 h 456"/>
                                          <a:gd name="T76" fmla="*/ 2002 w 2447"/>
                                          <a:gd name="T77" fmla="*/ 221 h 456"/>
                                          <a:gd name="T78" fmla="*/ 2447 w 2447"/>
                                          <a:gd name="T79" fmla="*/ 181 h 456"/>
                                          <a:gd name="T80" fmla="*/ 1900 w 2447"/>
                                          <a:gd name="T81" fmla="*/ 169 h 456"/>
                                          <a:gd name="T82" fmla="*/ 2447 w 2447"/>
                                          <a:gd name="T83" fmla="*/ 94 h 456"/>
                                          <a:gd name="T84" fmla="*/ 1969 w 2447"/>
                                          <a:gd name="T85" fmla="*/ 138 h 456"/>
                                          <a:gd name="T86" fmla="*/ 1970 w 2447"/>
                                          <a:gd name="T87" fmla="*/ 50 h 456"/>
                                          <a:gd name="T88" fmla="*/ 2447 w 2447"/>
                                          <a:gd name="T89" fmla="*/ 0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447" h="456">
                                            <a:moveTo>
                                              <a:pt x="2447" y="453"/>
                                            </a:moveTo>
                                            <a:cubicBezTo>
                                              <a:pt x="2447" y="453"/>
                                              <a:pt x="2447" y="453"/>
                                              <a:pt x="2447" y="453"/>
                                            </a:cubicBezTo>
                                            <a:moveTo>
                                              <a:pt x="1655" y="228"/>
                                            </a:moveTo>
                                            <a:cubicBezTo>
                                              <a:pt x="1743" y="226"/>
                                              <a:pt x="1782" y="221"/>
                                              <a:pt x="1810" y="211"/>
                                            </a:cubicBezTo>
                                            <a:cubicBezTo>
                                              <a:pt x="1839" y="227"/>
                                              <a:pt x="1866" y="243"/>
                                              <a:pt x="1893" y="259"/>
                                            </a:cubicBezTo>
                                            <a:cubicBezTo>
                                              <a:pt x="1860" y="275"/>
                                              <a:pt x="1834" y="289"/>
                                              <a:pt x="1811" y="298"/>
                                            </a:cubicBezTo>
                                            <a:cubicBezTo>
                                              <a:pt x="1766" y="272"/>
                                              <a:pt x="1714" y="248"/>
                                              <a:pt x="1655" y="228"/>
                                            </a:cubicBezTo>
                                            <a:moveTo>
                                              <a:pt x="1814" y="209"/>
                                            </a:moveTo>
                                            <a:cubicBezTo>
                                              <a:pt x="1838" y="200"/>
                                              <a:pt x="1864" y="186"/>
                                              <a:pt x="1897" y="171"/>
                                            </a:cubicBezTo>
                                            <a:cubicBezTo>
                                              <a:pt x="1927" y="188"/>
                                              <a:pt x="1959" y="205"/>
                                              <a:pt x="1993" y="220"/>
                                            </a:cubicBezTo>
                                            <a:cubicBezTo>
                                              <a:pt x="1985" y="223"/>
                                              <a:pt x="1977" y="226"/>
                                              <a:pt x="1969" y="228"/>
                                            </a:cubicBezTo>
                                            <a:cubicBezTo>
                                              <a:pt x="1942" y="238"/>
                                              <a:pt x="1918" y="248"/>
                                              <a:pt x="1897" y="258"/>
                                            </a:cubicBezTo>
                                            <a:cubicBezTo>
                                              <a:pt x="1869" y="242"/>
                                              <a:pt x="1842" y="225"/>
                                              <a:pt x="1814" y="209"/>
                                            </a:cubicBezTo>
                                            <a:moveTo>
                                              <a:pt x="1655" y="138"/>
                                            </a:moveTo>
                                            <a:cubicBezTo>
                                              <a:pt x="1743" y="136"/>
                                              <a:pt x="1782" y="130"/>
                                              <a:pt x="1810" y="120"/>
                                            </a:cubicBezTo>
                                            <a:cubicBezTo>
                                              <a:pt x="1839" y="136"/>
                                              <a:pt x="1866" y="153"/>
                                              <a:pt x="1893" y="169"/>
                                            </a:cubicBezTo>
                                            <a:cubicBezTo>
                                              <a:pt x="1860" y="184"/>
                                              <a:pt x="1834" y="198"/>
                                              <a:pt x="1811" y="207"/>
                                            </a:cubicBezTo>
                                            <a:cubicBezTo>
                                              <a:pt x="1766" y="182"/>
                                              <a:pt x="1714" y="157"/>
                                              <a:pt x="1655" y="138"/>
                                            </a:cubicBezTo>
                                            <a:moveTo>
                                              <a:pt x="2287" y="0"/>
                                            </a:moveTo>
                                            <a:cubicBezTo>
                                              <a:pt x="2142" y="0"/>
                                              <a:pt x="2042" y="21"/>
                                              <a:pt x="1969" y="47"/>
                                            </a:cubicBezTo>
                                            <a:cubicBezTo>
                                              <a:pt x="1897" y="72"/>
                                              <a:pt x="1850" y="101"/>
                                              <a:pt x="1811" y="116"/>
                                            </a:cubicBezTo>
                                            <a:cubicBezTo>
                                              <a:pt x="1701" y="54"/>
                                              <a:pt x="1551" y="0"/>
                                              <a:pt x="1357" y="0"/>
                                            </a:cubicBezTo>
                                            <a:cubicBezTo>
                                              <a:pt x="1357" y="0"/>
                                              <a:pt x="1357" y="0"/>
                                              <a:pt x="1357" y="0"/>
                                            </a:cubicBezTo>
                                            <a:cubicBezTo>
                                              <a:pt x="1252" y="0"/>
                                              <a:pt x="913" y="0"/>
                                              <a:pt x="600" y="0"/>
                                            </a:cubicBezTo>
                                            <a:cubicBezTo>
                                              <a:pt x="444" y="0"/>
                                              <a:pt x="294" y="0"/>
                                              <a:pt x="183" y="0"/>
                                            </a:cubicBezTo>
                                            <a:cubicBezTo>
                                              <a:pt x="128" y="0"/>
                                              <a:pt x="82" y="0"/>
                                              <a:pt x="50" y="0"/>
                                            </a:cubicBezTo>
                                            <a:cubicBezTo>
                                              <a:pt x="34" y="0"/>
                                              <a:pt x="22" y="0"/>
                                              <a:pt x="13" y="0"/>
                                            </a:cubicBezTo>
                                            <a:cubicBezTo>
                                              <a:pt x="5" y="0"/>
                                              <a:pt x="0" y="0"/>
                                              <a:pt x="0" y="0"/>
                                            </a:cubicBezTo>
                                            <a:cubicBezTo>
                                              <a:pt x="0" y="3"/>
                                              <a:pt x="0" y="3"/>
                                              <a:pt x="0" y="3"/>
                                            </a:cubicBezTo>
                                            <a:cubicBezTo>
                                              <a:pt x="0" y="3"/>
                                              <a:pt x="2" y="3"/>
                                              <a:pt x="4" y="3"/>
                                            </a:cubicBezTo>
                                            <a:cubicBezTo>
                                              <a:pt x="6" y="3"/>
                                              <a:pt x="9" y="3"/>
                                              <a:pt x="13" y="3"/>
                                            </a:cubicBezTo>
                                            <a:cubicBezTo>
                                              <a:pt x="77" y="3"/>
                                              <a:pt x="364" y="3"/>
                                              <a:pt x="659" y="3"/>
                                            </a:cubicBezTo>
                                            <a:cubicBezTo>
                                              <a:pt x="955" y="3"/>
                                              <a:pt x="1259" y="3"/>
                                              <a:pt x="1357" y="3"/>
                                            </a:cubicBezTo>
                                            <a:cubicBezTo>
                                              <a:pt x="1549" y="3"/>
                                              <a:pt x="1698" y="56"/>
                                              <a:pt x="1807" y="118"/>
                                            </a:cubicBezTo>
                                            <a:cubicBezTo>
                                              <a:pt x="1778" y="128"/>
                                              <a:pt x="1738" y="133"/>
                                              <a:pt x="1646" y="135"/>
                                            </a:cubicBezTo>
                                            <a:cubicBezTo>
                                              <a:pt x="1564" y="108"/>
                                              <a:pt x="1467" y="91"/>
                                              <a:pt x="1357" y="91"/>
                                            </a:cubicBezTo>
                                            <a:cubicBezTo>
                                              <a:pt x="1357" y="91"/>
                                              <a:pt x="1357" y="91"/>
                                              <a:pt x="1357" y="91"/>
                                            </a:cubicBezTo>
                                            <a:cubicBezTo>
                                              <a:pt x="1252" y="91"/>
                                              <a:pt x="913" y="91"/>
                                              <a:pt x="600" y="91"/>
                                            </a:cubicBezTo>
                                            <a:cubicBezTo>
                                              <a:pt x="444" y="91"/>
                                              <a:pt x="294" y="91"/>
                                              <a:pt x="183" y="91"/>
                                            </a:cubicBezTo>
                                            <a:cubicBezTo>
                                              <a:pt x="128" y="91"/>
                                              <a:pt x="82" y="91"/>
                                              <a:pt x="50" y="91"/>
                                            </a:cubicBezTo>
                                            <a:cubicBezTo>
                                              <a:pt x="34" y="91"/>
                                              <a:pt x="22" y="91"/>
                                              <a:pt x="13" y="91"/>
                                            </a:cubicBezTo>
                                            <a:cubicBezTo>
                                              <a:pt x="5" y="91"/>
                                              <a:pt x="0" y="91"/>
                                              <a:pt x="0" y="91"/>
                                            </a:cubicBezTo>
                                            <a:cubicBezTo>
                                              <a:pt x="0" y="94"/>
                                              <a:pt x="0" y="94"/>
                                              <a:pt x="0" y="94"/>
                                            </a:cubicBezTo>
                                            <a:cubicBezTo>
                                              <a:pt x="0" y="94"/>
                                              <a:pt x="5" y="94"/>
                                              <a:pt x="13" y="94"/>
                                            </a:cubicBezTo>
                                            <a:cubicBezTo>
                                              <a:pt x="140" y="94"/>
                                              <a:pt x="1161" y="94"/>
                                              <a:pt x="1357" y="94"/>
                                            </a:cubicBezTo>
                                            <a:cubicBezTo>
                                              <a:pt x="1463" y="94"/>
                                              <a:pt x="1556" y="110"/>
                                              <a:pt x="1637" y="135"/>
                                            </a:cubicBezTo>
                                            <a:cubicBezTo>
                                              <a:pt x="1606" y="136"/>
                                              <a:pt x="1571" y="136"/>
                                              <a:pt x="1528" y="136"/>
                                            </a:cubicBezTo>
                                            <a:cubicBezTo>
                                              <a:pt x="1528" y="136"/>
                                              <a:pt x="1527" y="136"/>
                                              <a:pt x="1527" y="136"/>
                                            </a:cubicBezTo>
                                            <a:cubicBezTo>
                                              <a:pt x="1423" y="136"/>
                                              <a:pt x="1041" y="136"/>
                                              <a:pt x="685" y="136"/>
                                            </a:cubicBezTo>
                                            <a:cubicBezTo>
                                              <a:pt x="508" y="136"/>
                                              <a:pt x="336" y="136"/>
                                              <a:pt x="210" y="136"/>
                                            </a:cubicBezTo>
                                            <a:cubicBezTo>
                                              <a:pt x="146" y="136"/>
                                              <a:pt x="94" y="136"/>
                                              <a:pt x="57" y="136"/>
                                            </a:cubicBezTo>
                                            <a:cubicBezTo>
                                              <a:pt x="39" y="136"/>
                                              <a:pt x="25" y="136"/>
                                              <a:pt x="15" y="136"/>
                                            </a:cubicBezTo>
                                            <a:cubicBezTo>
                                              <a:pt x="6" y="136"/>
                                              <a:pt x="0" y="136"/>
                                              <a:pt x="0" y="136"/>
                                            </a:cubicBezTo>
                                            <a:cubicBezTo>
                                              <a:pt x="0" y="139"/>
                                              <a:pt x="0" y="139"/>
                                              <a:pt x="0" y="139"/>
                                            </a:cubicBezTo>
                                            <a:cubicBezTo>
                                              <a:pt x="0" y="139"/>
                                              <a:pt x="330" y="139"/>
                                              <a:pt x="685" y="139"/>
                                            </a:cubicBezTo>
                                            <a:cubicBezTo>
                                              <a:pt x="1041" y="139"/>
                                              <a:pt x="1423" y="139"/>
                                              <a:pt x="1527" y="139"/>
                                            </a:cubicBezTo>
                                            <a:cubicBezTo>
                                              <a:pt x="1574" y="139"/>
                                              <a:pt x="1613" y="139"/>
                                              <a:pt x="1646" y="138"/>
                                            </a:cubicBezTo>
                                            <a:cubicBezTo>
                                              <a:pt x="1707" y="158"/>
                                              <a:pt x="1761" y="182"/>
                                              <a:pt x="1807" y="209"/>
                                            </a:cubicBezTo>
                                            <a:cubicBezTo>
                                              <a:pt x="1778" y="219"/>
                                              <a:pt x="1738" y="224"/>
                                              <a:pt x="1646" y="226"/>
                                            </a:cubicBezTo>
                                            <a:cubicBezTo>
                                              <a:pt x="1564" y="199"/>
                                              <a:pt x="1467" y="181"/>
                                              <a:pt x="1357" y="181"/>
                                            </a:cubicBezTo>
                                            <a:cubicBezTo>
                                              <a:pt x="1357" y="181"/>
                                              <a:pt x="1357" y="181"/>
                                              <a:pt x="1357" y="181"/>
                                            </a:cubicBezTo>
                                            <a:cubicBezTo>
                                              <a:pt x="1252" y="181"/>
                                              <a:pt x="913" y="181"/>
                                              <a:pt x="600" y="181"/>
                                            </a:cubicBezTo>
                                            <a:cubicBezTo>
                                              <a:pt x="444" y="181"/>
                                              <a:pt x="294" y="181"/>
                                              <a:pt x="183" y="181"/>
                                            </a:cubicBezTo>
                                            <a:cubicBezTo>
                                              <a:pt x="128" y="181"/>
                                              <a:pt x="82" y="181"/>
                                              <a:pt x="50" y="181"/>
                                            </a:cubicBezTo>
                                            <a:cubicBezTo>
                                              <a:pt x="34" y="181"/>
                                              <a:pt x="22" y="181"/>
                                              <a:pt x="13" y="181"/>
                                            </a:cubicBezTo>
                                            <a:cubicBezTo>
                                              <a:pt x="5" y="181"/>
                                              <a:pt x="0" y="181"/>
                                              <a:pt x="0" y="181"/>
                                            </a:cubicBezTo>
                                            <a:cubicBezTo>
                                              <a:pt x="0" y="184"/>
                                              <a:pt x="0" y="184"/>
                                              <a:pt x="0" y="184"/>
                                            </a:cubicBezTo>
                                            <a:cubicBezTo>
                                              <a:pt x="0" y="184"/>
                                              <a:pt x="5" y="184"/>
                                              <a:pt x="13" y="184"/>
                                            </a:cubicBezTo>
                                            <a:cubicBezTo>
                                              <a:pt x="140" y="184"/>
                                              <a:pt x="1161" y="184"/>
                                              <a:pt x="1357" y="184"/>
                                            </a:cubicBezTo>
                                            <a:cubicBezTo>
                                              <a:pt x="1463" y="184"/>
                                              <a:pt x="1556" y="201"/>
                                              <a:pt x="1637" y="226"/>
                                            </a:cubicBezTo>
                                            <a:cubicBezTo>
                                              <a:pt x="1606" y="226"/>
                                              <a:pt x="1570" y="227"/>
                                              <a:pt x="1528" y="227"/>
                                            </a:cubicBezTo>
                                            <a:cubicBezTo>
                                              <a:pt x="1528" y="227"/>
                                              <a:pt x="1527" y="227"/>
                                              <a:pt x="1527" y="227"/>
                                            </a:cubicBezTo>
                                            <a:cubicBezTo>
                                              <a:pt x="1423" y="227"/>
                                              <a:pt x="1041" y="227"/>
                                              <a:pt x="685" y="227"/>
                                            </a:cubicBezTo>
                                            <a:cubicBezTo>
                                              <a:pt x="508" y="227"/>
                                              <a:pt x="336" y="227"/>
                                              <a:pt x="210" y="227"/>
                                            </a:cubicBezTo>
                                            <a:cubicBezTo>
                                              <a:pt x="146" y="227"/>
                                              <a:pt x="94" y="227"/>
                                              <a:pt x="57" y="227"/>
                                            </a:cubicBezTo>
                                            <a:cubicBezTo>
                                              <a:pt x="39" y="227"/>
                                              <a:pt x="25" y="227"/>
                                              <a:pt x="15" y="227"/>
                                            </a:cubicBezTo>
                                            <a:cubicBezTo>
                                              <a:pt x="6" y="227"/>
                                              <a:pt x="0" y="227"/>
                                              <a:pt x="0" y="227"/>
                                            </a:cubicBezTo>
                                            <a:cubicBezTo>
                                              <a:pt x="0" y="230"/>
                                              <a:pt x="0" y="230"/>
                                              <a:pt x="0" y="230"/>
                                            </a:cubicBezTo>
                                            <a:cubicBezTo>
                                              <a:pt x="0" y="230"/>
                                              <a:pt x="0" y="230"/>
                                              <a:pt x="0" y="230"/>
                                            </a:cubicBezTo>
                                            <a:cubicBezTo>
                                              <a:pt x="0" y="230"/>
                                              <a:pt x="1318" y="230"/>
                                              <a:pt x="1527" y="230"/>
                                            </a:cubicBezTo>
                                            <a:cubicBezTo>
                                              <a:pt x="1574" y="230"/>
                                              <a:pt x="1613" y="229"/>
                                              <a:pt x="1646" y="229"/>
                                            </a:cubicBezTo>
                                            <a:cubicBezTo>
                                              <a:pt x="1707" y="248"/>
                                              <a:pt x="1761" y="273"/>
                                              <a:pt x="1807" y="299"/>
                                            </a:cubicBezTo>
                                            <a:cubicBezTo>
                                              <a:pt x="1768" y="313"/>
                                              <a:pt x="1707" y="317"/>
                                              <a:pt x="1528" y="317"/>
                                            </a:cubicBezTo>
                                            <a:cubicBezTo>
                                              <a:pt x="1528" y="317"/>
                                              <a:pt x="1527" y="317"/>
                                              <a:pt x="1527" y="317"/>
                                            </a:cubicBezTo>
                                            <a:cubicBezTo>
                                              <a:pt x="1423" y="317"/>
                                              <a:pt x="1041" y="317"/>
                                              <a:pt x="685" y="317"/>
                                            </a:cubicBezTo>
                                            <a:cubicBezTo>
                                              <a:pt x="508" y="317"/>
                                              <a:pt x="336" y="317"/>
                                              <a:pt x="210" y="317"/>
                                            </a:cubicBezTo>
                                            <a:cubicBezTo>
                                              <a:pt x="146" y="317"/>
                                              <a:pt x="94" y="317"/>
                                              <a:pt x="57" y="317"/>
                                            </a:cubicBezTo>
                                            <a:cubicBezTo>
                                              <a:pt x="39" y="317"/>
                                              <a:pt x="25" y="317"/>
                                              <a:pt x="15" y="317"/>
                                            </a:cubicBezTo>
                                            <a:cubicBezTo>
                                              <a:pt x="6" y="317"/>
                                              <a:pt x="0" y="317"/>
                                              <a:pt x="0" y="317"/>
                                            </a:cubicBezTo>
                                            <a:cubicBezTo>
                                              <a:pt x="0" y="320"/>
                                              <a:pt x="0" y="320"/>
                                              <a:pt x="0" y="320"/>
                                            </a:cubicBezTo>
                                            <a:cubicBezTo>
                                              <a:pt x="0" y="320"/>
                                              <a:pt x="0" y="320"/>
                                              <a:pt x="0" y="320"/>
                                            </a:cubicBezTo>
                                            <a:cubicBezTo>
                                              <a:pt x="0" y="320"/>
                                              <a:pt x="1318" y="320"/>
                                              <a:pt x="1527" y="320"/>
                                            </a:cubicBezTo>
                                            <a:cubicBezTo>
                                              <a:pt x="1710" y="320"/>
                                              <a:pt x="1771" y="316"/>
                                              <a:pt x="1810" y="301"/>
                                            </a:cubicBezTo>
                                            <a:cubicBezTo>
                                              <a:pt x="1938" y="374"/>
                                              <a:pt x="2040" y="456"/>
                                              <a:pt x="2281" y="456"/>
                                            </a:cubicBezTo>
                                            <a:cubicBezTo>
                                              <a:pt x="2281" y="456"/>
                                              <a:pt x="2281" y="456"/>
                                              <a:pt x="2281" y="456"/>
                                            </a:cubicBezTo>
                                            <a:cubicBezTo>
                                              <a:pt x="2339" y="456"/>
                                              <a:pt x="2447" y="456"/>
                                              <a:pt x="2447" y="456"/>
                                            </a:cubicBezTo>
                                            <a:cubicBezTo>
                                              <a:pt x="2447" y="453"/>
                                              <a:pt x="2447" y="453"/>
                                              <a:pt x="2447" y="453"/>
                                            </a:cubicBezTo>
                                            <a:cubicBezTo>
                                              <a:pt x="2447" y="453"/>
                                              <a:pt x="2447" y="453"/>
                                              <a:pt x="2447" y="453"/>
                                            </a:cubicBezTo>
                                            <a:cubicBezTo>
                                              <a:pt x="2447" y="453"/>
                                              <a:pt x="2339" y="453"/>
                                              <a:pt x="2281" y="453"/>
                                            </a:cubicBezTo>
                                            <a:cubicBezTo>
                                              <a:pt x="2042" y="453"/>
                                              <a:pt x="1941" y="372"/>
                                              <a:pt x="1814" y="300"/>
                                            </a:cubicBezTo>
                                            <a:cubicBezTo>
                                              <a:pt x="1838" y="290"/>
                                              <a:pt x="1864" y="276"/>
                                              <a:pt x="1897" y="261"/>
                                            </a:cubicBezTo>
                                            <a:cubicBezTo>
                                              <a:pt x="1992" y="317"/>
                                              <a:pt x="2095" y="366"/>
                                              <a:pt x="2281" y="366"/>
                                            </a:cubicBezTo>
                                            <a:cubicBezTo>
                                              <a:pt x="2281" y="366"/>
                                              <a:pt x="2281" y="366"/>
                                              <a:pt x="2281" y="366"/>
                                            </a:cubicBezTo>
                                            <a:cubicBezTo>
                                              <a:pt x="2339" y="366"/>
                                              <a:pt x="2447" y="366"/>
                                              <a:pt x="2447" y="366"/>
                                            </a:cubicBezTo>
                                            <a:cubicBezTo>
                                              <a:pt x="2447" y="363"/>
                                              <a:pt x="2447" y="363"/>
                                              <a:pt x="2447" y="363"/>
                                            </a:cubicBezTo>
                                            <a:cubicBezTo>
                                              <a:pt x="2447" y="363"/>
                                              <a:pt x="2447" y="363"/>
                                              <a:pt x="2447" y="363"/>
                                            </a:cubicBezTo>
                                            <a:cubicBezTo>
                                              <a:pt x="2447" y="363"/>
                                              <a:pt x="2339" y="363"/>
                                              <a:pt x="2281" y="363"/>
                                            </a:cubicBezTo>
                                            <a:cubicBezTo>
                                              <a:pt x="2097" y="363"/>
                                              <a:pt x="1995" y="315"/>
                                              <a:pt x="1900" y="260"/>
                                            </a:cubicBezTo>
                                            <a:cubicBezTo>
                                              <a:pt x="1920" y="250"/>
                                              <a:pt x="1944" y="240"/>
                                              <a:pt x="1970" y="231"/>
                                            </a:cubicBezTo>
                                            <a:cubicBezTo>
                                              <a:pt x="1979" y="228"/>
                                              <a:pt x="1988" y="225"/>
                                              <a:pt x="1997" y="222"/>
                                            </a:cubicBezTo>
                                            <a:cubicBezTo>
                                              <a:pt x="2070" y="253"/>
                                              <a:pt x="2157" y="275"/>
                                              <a:pt x="2281" y="275"/>
                                            </a:cubicBezTo>
                                            <a:cubicBezTo>
                                              <a:pt x="2281" y="275"/>
                                              <a:pt x="2281" y="275"/>
                                              <a:pt x="2281" y="275"/>
                                            </a:cubicBezTo>
                                            <a:cubicBezTo>
                                              <a:pt x="2339" y="275"/>
                                              <a:pt x="2447" y="275"/>
                                              <a:pt x="2447" y="275"/>
                                            </a:cubicBezTo>
                                            <a:cubicBezTo>
                                              <a:pt x="2447" y="272"/>
                                              <a:pt x="2447" y="272"/>
                                              <a:pt x="2447" y="272"/>
                                            </a:cubicBezTo>
                                            <a:cubicBezTo>
                                              <a:pt x="2447" y="272"/>
                                              <a:pt x="2447" y="272"/>
                                              <a:pt x="2447" y="272"/>
                                            </a:cubicBezTo>
                                            <a:cubicBezTo>
                                              <a:pt x="2447" y="272"/>
                                              <a:pt x="2339" y="272"/>
                                              <a:pt x="2281" y="272"/>
                                            </a:cubicBezTo>
                                            <a:cubicBezTo>
                                              <a:pt x="2159" y="272"/>
                                              <a:pt x="2074" y="251"/>
                                              <a:pt x="2002" y="221"/>
                                            </a:cubicBezTo>
                                            <a:cubicBezTo>
                                              <a:pt x="2071" y="200"/>
                                              <a:pt x="2162" y="184"/>
                                              <a:pt x="2287" y="184"/>
                                            </a:cubicBezTo>
                                            <a:cubicBezTo>
                                              <a:pt x="2334" y="184"/>
                                              <a:pt x="2447" y="184"/>
                                              <a:pt x="2447" y="184"/>
                                            </a:cubicBezTo>
                                            <a:cubicBezTo>
                                              <a:pt x="2447" y="181"/>
                                              <a:pt x="2447" y="181"/>
                                              <a:pt x="2447" y="181"/>
                                            </a:cubicBezTo>
                                            <a:cubicBezTo>
                                              <a:pt x="2447" y="181"/>
                                              <a:pt x="2334" y="181"/>
                                              <a:pt x="2287" y="181"/>
                                            </a:cubicBezTo>
                                            <a:cubicBezTo>
                                              <a:pt x="2160" y="181"/>
                                              <a:pt x="2068" y="198"/>
                                              <a:pt x="1998" y="219"/>
                                            </a:cubicBezTo>
                                            <a:cubicBezTo>
                                              <a:pt x="1963" y="204"/>
                                              <a:pt x="1931" y="187"/>
                                              <a:pt x="1900" y="169"/>
                                            </a:cubicBezTo>
                                            <a:cubicBezTo>
                                              <a:pt x="1920" y="160"/>
                                              <a:pt x="1944" y="150"/>
                                              <a:pt x="1970" y="140"/>
                                            </a:cubicBezTo>
                                            <a:cubicBezTo>
                                              <a:pt x="2043" y="115"/>
                                              <a:pt x="2142" y="94"/>
                                              <a:pt x="2287" y="94"/>
                                            </a:cubicBezTo>
                                            <a:cubicBezTo>
                                              <a:pt x="2334" y="94"/>
                                              <a:pt x="2447" y="94"/>
                                              <a:pt x="2447" y="94"/>
                                            </a:cubicBezTo>
                                            <a:cubicBezTo>
                                              <a:pt x="2447" y="91"/>
                                              <a:pt x="2447" y="91"/>
                                              <a:pt x="2447" y="91"/>
                                            </a:cubicBezTo>
                                            <a:cubicBezTo>
                                              <a:pt x="2447" y="91"/>
                                              <a:pt x="2334" y="91"/>
                                              <a:pt x="2287" y="91"/>
                                            </a:cubicBezTo>
                                            <a:cubicBezTo>
                                              <a:pt x="2142" y="91"/>
                                              <a:pt x="2042" y="112"/>
                                              <a:pt x="1969" y="138"/>
                                            </a:cubicBezTo>
                                            <a:cubicBezTo>
                                              <a:pt x="1942" y="147"/>
                                              <a:pt x="1918" y="157"/>
                                              <a:pt x="1897" y="167"/>
                                            </a:cubicBezTo>
                                            <a:cubicBezTo>
                                              <a:pt x="1869" y="151"/>
                                              <a:pt x="1842" y="135"/>
                                              <a:pt x="1814" y="118"/>
                                            </a:cubicBezTo>
                                            <a:cubicBezTo>
                                              <a:pt x="1853" y="103"/>
                                              <a:pt x="1899" y="74"/>
                                              <a:pt x="1970" y="50"/>
                                            </a:cubicBezTo>
                                            <a:cubicBezTo>
                                              <a:pt x="2043" y="24"/>
                                              <a:pt x="2142" y="3"/>
                                              <a:pt x="2287" y="3"/>
                                            </a:cubicBezTo>
                                            <a:cubicBezTo>
                                              <a:pt x="2334" y="3"/>
                                              <a:pt x="2447" y="3"/>
                                              <a:pt x="2447" y="3"/>
                                            </a:cubicBezTo>
                                            <a:cubicBezTo>
                                              <a:pt x="2447" y="0"/>
                                              <a:pt x="2447" y="0"/>
                                              <a:pt x="2447" y="0"/>
                                            </a:cubicBezTo>
                                            <a:cubicBezTo>
                                              <a:pt x="2447" y="0"/>
                                              <a:pt x="2334" y="0"/>
                                              <a:pt x="2287" y="0"/>
                                            </a:cubicBezTo>
                                          </a:path>
                                        </a:pathLst>
                                      </a:cu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78D0D5" id="Group 755" o:spid="_x0000_s1026" alt="background" style="position:absolute;margin-left:-96.2pt;margin-top:-46.8pt;width:665.7pt;height:593.15pt;z-index:-251658239" coordorigin="-870,-1152" coordsize="13314,11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P9+rBAAAI1aAAAOAAAAZHJzL2Uyb0RvYy54bWzsXFtvK7cRfi/Q/yDosYDjJfduxCfI7QQF&#10;0jZATn/AWpIlIbJWleTjkxT9750hZ7gcSpS4dtAmQPJwYo24M5wrPw6p/fyLT0+bycfF/rDut/dT&#10;9Vk2nSy2s36+3i7vp//88P6mmU4Ox2477zb9dnE//XlxmH7x7s9/+vxld7fQ/arfzBf7CTDZHu5e&#10;dvfT1fG4u7u9PcxWi6fu8Fm/W2zhy8d+/9Qd4eN+eTvfdy/A/Wlzq7Osun3p9/Pdvp8tDgegfmO/&#10;nL4z/B8fF7PjPx4fD4vjZHM/hbkdzb978+8D/nv77vPubrnvdqv1jKbRvWIWT916C0Idq2+6Yzd5&#10;3q9PWD2tZ/v+0D8eP5v1T7f94+N6tjA6gDYqC7T5bt8/74wuy7uX5c6ZCUwb2OnVbGd///jDfrKe&#10;30/zQk0n2+4JnGTkTuqynE7mi8MMzPXQzX5awmy2c7TYy255Bw9+t9/9uPthb9WGP7/vZz8d4Ovb&#10;8Hv8vLSDJw8vf+vnIKN7PvbGYp8e90/IAmwx+WQc87NzzOLTcTIDYlOURd6C/2bwXV3meZaV1nWz&#10;FfgXn7tpavgevr5RqtT85bfEQOW5KuzjSjVVjt/fdndWtpkvzQ+Vg0g8DMY+vM3YP6663cL48IA2&#10;c8bWbOz3+8UC4xvsXUXtbZ5lYx+spSfb/utVt10uvjzsIM4h+4xWOH8QZAfjhwP46KrZb8DEofnY&#10;+irXTeuMV5qkccbr7mbPh+N3i944sfv4/eFoc2oOf5nQmFNUfQD/PD5tIL3+cjvJJi8TXRS1ddTS&#10;jYEY9MasJlo1Ri3ILDcGTOfGII8Iq9wblk3Os4KYSGEFphmGwYwi3MB/wzANw87rWPvD4tygcjpu&#10;MCpmMfCMG6YzXUXmpnzrq7yMWU35HlBt1sb4+V6IzU35PrjEzPdDlJnvBd+hEItLjrZuxQE4+7Sl&#10;CIS/JpAnWFUwIHf9AQsGhiOUiw82ayCMP23x28hg0BYHc+G4PBi0wcGmRMHkLg+GoMHBJhOuDoaY&#10;wMEt1a/LnNHlOBpcasvdleGkIzgtaThpqYSaVgMy/B7KUrjw7qcTWHgfbN7vuiP6y3gF/py83E9N&#10;UZis4A/MfPzmqf+4+NCbMcdghQBpw7ez54f17KvFL/5Yyw2MQCv9znBIoaIigqH8FDAaytTYL94o&#10;J88h/0G/kwlA+RFfpMnJChszITvVspysbch3xpRYmKwcKD0cN1ftpurMzk61di2GrLTsypK/yEyQ&#10;uy+gYhk5WEXS5ajCZgw/xezsnC9TTyy22fqhZVnwYsjfzTb9YWHTB4PboAwX5YbjsFge+s16/n69&#10;2WBsG8S7+Hqzn3zsAKs+LG3wb56fAC9ZmsrwP2t9oCPwMWN5Do6FkSq4b0xt2/Yozc7OUmCJp/zD&#10;xd4A1n+3ShfZV7q9eV819U3xvihv2jprbjLVftVWWdEW37z/D2amKu5W6/l8sf1+vV0weFZFGl4i&#10;GG9hr4HPmP1tqUuT9GL2h/3ywVnGGMGp7JvQ4FPQrrtbLbr5t9u5+fvYrTf271s5Y2MlUJv/bwwB&#10;WNAiJgsEH/r5z4Ce9j3AK3A4bHTgj1W//2U6eYFNw/308K/nbr+YTjZ/3QJQbFWBCXQ0H4qy1vBh&#10;73/z4H/TbWfA6n56nMLyhH9+fYRP8Mjzbr9erkCSjYFt/yWA5cc1AiszPzsr+gBY9X8GWmE5tzsE&#10;D7RCWkY2CR4Ohfh2oPXb+fr4Q7/eHsFgb4OshPgbrUzp6e48xNrCvHC3oIuWFyjeabwKsKqqLCN4&#10;zkdMWjcAmAqA8ib4zoNWKJoxbOgDJt1GePloSTVtDMr5eEnVCFrPzMvHrBd4CcxaRub1CsSqNCK5&#10;M/OSePWC8X3rqzwyM+Wj1Qvml4BVIZg+NzffAVWWDFjPsRL2z2MR5ps/ZjDf+kWMkb9byM9rh0XL&#10;7Sgu7BS0b/kYL2H3+K5D+3HfRkJV+2ZXTcxYsIIM84/y8u0ec6D2zR7l5Nv9krl807fFedvnwval&#10;jqV27tte5ZE4zX3rR3d8uW/7OC/f+DGD5b7pVY57xzMxn/u2V1VRRYI1980fTe080f4IYIewNnv4&#10;M3PD5dsbFYsx7JV5wyIBW/j2j9msEOaPzss3/4Uowy6ON7FImBXCA/Ewg/7MwE1DNJ71J2JsJzMa&#10;ZoVv/ygv6C4NvGImwz2CE6jzSEGELuAw6kKYlb4DtI4EbSkcEDcZNk3d3HIVMRm2+tyoqMlwy+NG&#10;xXn55o+azLd+Hlt0K9/6uLWLZGblOyDPIuFf+Q640KiDLeCgJuTk+SirfAcAzIohqMp3QFFGFqbK&#10;d8AlbsIFVWxuvgsuaSq8UEXmhrDWuR32qDEv1L4XdBVJg1p4IW632veCrsvzXqiFF+LN19r3gq51&#10;hJvwQpbpSLzVvhe0jsRbneiF2vcCRPn5uTWJXsA+y+CtKlI+GuGFuN0a3wsxlND4ToAWShsxW+M7&#10;IbqANr4TFGz1Y9x8J5SRaGsSfYAHCs5qHi9okfzRyz3TrP5/9HKjzXDYbtvGclrTWkFMmD60a9xd&#10;brVD4uFw2F9gw+Na/1xDZpnhaW1r3ESY4dwVuNwUh6amHZ6mqiZVdZqqCPdxMgDnU1RFPG+Gp6ma&#10;k6qAypO4k6oAu5OGk6qAq1OGU2P5AyDnpOGkKqDjpOGkKsDfpOGkqj1/vBpi1ET+ABA2hTtiWHQT&#10;wNSk4aQq4NCk4aQqAM2k4aQqYMmk4eTVMk1VBIyoKgDCFO6ICM3wNFUR8pnhaaoipjPD01StSNUq&#10;TVVqNn4A1JWiKsIunAzAqqThpCrgpqThpCoAo6ThpCogn5ThCH1w7vbo/Wp6ILYxw9NURfRihqep&#10;ivDEDE9TFQGIGS5UtTr8GseS2DPAI4bh3DE48YMtBxl5GHLx7JAe4KMpdzh5hY4qiYO2QRydpUHT&#10;1NgCtjdJM1I19iLAeNoe5fGMVE0eBuSNjBzdnf0NJ8xiRnJ+NKuGTxKhuyaYUfpqW/IHIS1NaihJ&#10;CUKoMME+RgqhNREvtAjheO0BNbenmye2PatJzTOGXPeZ1XjVCJnBuuHTT/0h2Z44sGFG7shzGCIf&#10;dba10Q8344TkhiopXH2SdDwlgZnC6QDS09RusS2KD0Gq+eq14CCjNt/Nokm17EBoLKcLwb0L2hA6&#10;w0IIbgUNXWoCmyCic6xLA8lPPDNs0CEz6CEKIYRYQwfCUYsdX44Q0vDMQJgvpGHh0K8W9BOny7kP&#10;IUBacFjBBg8ZgROHIfJReoDTHHq9QjKnuQJYKmdk1wM4qyEBkq38REI4zUMhDSWNsmXyJM3VsByn&#10;p7mCNUXMmNJcnVxWoDTP3GJyXQinuYIq6AvhNFcWWjlNTv0hDTR4x5oKyrMNK7buMEA+SMMVBY5w&#10;ks44nGSJ5rwYkO51hTnMg7LWEK5VcHfDtwMcZpqsUPYUNq2I8AUQaKv6vPj6h9AN291GAhtImkV+&#10;ovATjzjXJFDTpq+xuQyVQ8yzxdPDkAjHgwMxiXlR2OVD8NbtGSKcgY3krWiDKnjT6i5o5GtDS5o1&#10;ZZxgQltzQfNtlMTYrgOCh2dRdq1HSuJqx4u15TLptVxtnAhB1pOMEmX4yk82mC0AFizsYidIZNh0&#10;trSSCiY5AQVBrGhhT2fdEvIUbJT2+bDjXHKnc1clniVBokn2FRR7pPLdC6oEDdR6JMO9byw1SX5U&#10;NfaS8SELnd1kazxtRDocmvp1Cw4xie42NdfrbMmoLJPwo6jsjFtZZ7l4WXKaHvIZp0YSOU0CV0I5&#10;WS6Fksq1cIQGXAwlI66GksrlcAR7roeSERVESaSKOII5lUTJhmqiJFLujuBtq6LkYgtYnJbkUGIi&#10;luVrtFczJi2EMLaFISZxVtRbhCXSz0mFp5SQqwHZxf4YAXhEecqqxGNcrAbQnfclV3hzwVSJEdWg&#10;yriESFRe4jGfYRbQaSkngJ1mqVI+5AoCnGdHhAh6mpACb/OcmXGGtyZO6RVt9cYoUkLJPMMqx6sl&#10;pxI0nZ6MkaBcRRdmJxgW7GoIn47hT12QgBHeXTqdP1yx96hJTjhrB5vHgUhBTOLNT4gWynXi63nD&#10;773IAELkEDiu13d90R2CUPCCTRUHraQPmTFCSInH5MaPkllFxQ2uRsmC4YJtDEZhYGO7ES6Xa6p7&#10;4X6VgZB23SQJNuUnQk8MhLSSM2YgpOE8TZQ+0oRaiEk+Vw4ItVIIAyE4oxdCuIQTPU1I8JAzVyI9&#10;TQijoWDGDIcCMuOhMXowIApYMSIKyAyJxkhgTBSwIlAUULknMBwVXE1B7s1IpxIuCthzvoxgT7VS&#10;cqf6cYGY5F9mI2L+OvH1vFkZIdAZZQyCOTtLaNnQkhw00IakGCODUFLYjWOYBL9wFmnMMGlUrWCY&#10;FJ5RlHQ+BzcLhRBGPERPcgX8gNjCi1NmFg5doacJ4RUnZMYrVEDn1Y7ISTIYJgWsGCYFZIZJYyQw&#10;TApYEUwKqASTxvA/f1hEMClgTzBpDHsLkwI+NlUuEZOMT2xkM/068bfJW+V8JiL1gVShlLD0pNlD&#10;x9ziI7i7K5KV8RHcwpV0hyoMPU1ITfgoPMVhfKTt0bwDAg4fWRSSKIRuEeRQlH0cxMLh1q6gc2Uh&#10;epqQ4CE3Y7b9qRDrk1FCuByFzLgcBXQuR2NkcDkKWHE5CshcjsZI4HIUsKJyFFCpHI3hT+UoYETl&#10;KKBSORrD3pajgI8tGZeISVFEbOwZHofQdeJvk7crR3CVPcgvCv0xZ5U19QdCZjW1XnL+fSG3lHm8&#10;BTRJJoJfUFtMkUPt8yoFHNxZJ7gfo1gheCfd7CGJniQkfIjdnEpPE8K/OQ9njK/zwF3vFXqakIGZ&#10;KKyvvh1zbnebysyZMZjU2zQZzCg1HBxv6GlC+Pg3uDSkWuq55eFhLt0ygDfpYDQmCYHNJMFieBWP&#10;F8Jwq4SW81r0yvDnpCYg9HA98OruULUtHZnJlRO6FnYzlMMFAk+4C22iJ2kSPuQczLb/VYSwg0Nm&#10;HEVX6GmaDMxkFCXSfwdCBjNKDQdfjckTCsk8eO9Ey9FlX2fCAYG/vqEQHpEnLSw+WAg1dEe8UIVk&#10;pDyBki/ovHcd7oEn5An+jAWFBEeULd2A1MG9opaTETotIDzN8RnPTN7W0XjnxQiX9+tcXtG9uzQh&#10;7Mjgsl7IjH0S0tOEcBSFQjhPrtDThAzMxFUht87AD6F8x4f034GQwYxSk8GHI6JL8Y3BwCwZbw/t&#10;DXrnePiBGIW8aSSlmSsjEBfciYR3RlhmQbcKosuGNtHThOSuqSnBHQdEKCSgpwkZHhJ9NBdFQe80&#10;pL9NyKChFD6Ya4RPFF3PDWec0W46vLfX0tUOOoVI0sS8WsjUqEz4BIA49zzl1pxL/agbiFzqUSNR&#10;0qnUq3AJoIKKZ9bpVZjuZcObDX0hmm8CyhNuF8GWnGQsze4NWHHIXSSnSXCsZPwkkd8kwakmBXPg&#10;jrh0MRhcsmLwreA1IyII6OrvcDNX7kLkJ9pctnSRU9krm1z8VEsNuPC6KYNsBbeGUiMKELsFD0pW&#10;WChTVBTtb8accL6JPuoSVQOgARNQZQK4wbbACpcbYfzlqRluMybN5Rn/YkGkuPOTkOvyYgRc5NiR&#10;jDhmL1DTps+MRO1wdfsC9S3sWSfJntPhXFkCaW96mVk3my22xz9eaDa87O2PF5pdeaGZeScvvPPY&#10;bFTo/cz4UmX/M/ztv0X63X8FAAAA//8DAFBLAwQUAAYACAAAACEAMdbYn+QAAAAOAQAADwAAAGRy&#10;cy9kb3ducmV2LnhtbEyPwU7DMBBE70j8g7VI3FrHCZQmxKmqCjhVSLRIqDc33iZRYzuK3ST9e7Yn&#10;uM1on2Zn8tVkWjZg7xtnJYh5BAxt6XRjKwnf+/fZEpgPymrVOosSruhhVdzf5SrTbrRfOOxCxSjE&#10;+kxJqEPoMs59WaNRfu46tHQ7ud6oQLavuO7VSOGm5XEULbhRjaUPtepwU2N53l2MhI9RjetEvA3b&#10;82lzPeyfP3+2AqV8fJjWr8ACTuEPhlt9qg4FdTq6i9WetRJmIo2fiCWVJgtgN0QkKe07korS+AV4&#10;kfP/M4pfAAAA//8DAFBLAQItABQABgAIAAAAIQC2gziS/gAAAOEBAAATAAAAAAAAAAAAAAAAAAAA&#10;AABbQ29udGVudF9UeXBlc10ueG1sUEsBAi0AFAAGAAgAAAAhADj9If/WAAAAlAEAAAsAAAAAAAAA&#10;AAAAAAAALwEAAF9yZWxzLy5yZWxzUEsBAi0AFAAGAAgAAAAhADnM/36sEAAAjVoAAA4AAAAAAAAA&#10;AAAAAAAALgIAAGRycy9lMm9Eb2MueG1sUEsBAi0AFAAGAAgAAAAhADHW2J/kAAAADgEAAA8AAAAA&#10;AAAAAAAAAAAABhMAAGRycy9kb3ducmV2LnhtbFBLBQYAAAAABAAEAPMAAAAXFAAAAAA=&#10;">
                            <v:shape id="Freeform 756" o:spid="_x0000_s1027" alt="background" style="position:absolute;left:-845;top:-1152;width:13289;height:11850;visibility:visible;mso-wrap-style:square;v-text-anchor:top" coordsize="2447,2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car8YA&#10;AADcAAAADwAAAGRycy9kb3ducmV2LnhtbESP3WrCQBSE7wu+w3IEb0Q3tWokukpRC9KC4s8DHLLH&#10;JJg9G7JrjG/fLQi9HGbmG2axak0pGqpdYVnB+zACQZxaXXCm4HL+GsxAOI+ssbRMCp7kYLXsvC0w&#10;0fbBR2pOPhMBwi5BBbn3VSKlS3My6Ia2Ig7e1dYGfZB1JnWNjwA3pRxF0VQaLDgs5FjROqf0drob&#10;BfsDxuml6X9Xk/hnO437z43drZXqddvPOQhPrf8Pv9o7reBjPIK/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car8YAAADcAAAADwAAAAAAAAAAAAAAAACYAgAAZHJz&#10;L2Rvd25yZXYueG1sUEsFBgAAAAAEAAQA9QAAAIsDAAAAAA==&#10;" path="m,c2447,,2447,,2447,v,2181,,2181,,2181c2447,2181,2339,2181,2281,2181v-241,,-342,-83,-471,-155c1701,1963,1551,1909,1357,1909v-209,,-1357,,-1357,l,xe" fillcolor="white [3212]" stroked="f">
                              <v:path arrowok="t" o:connecttype="custom" o:connectlocs="0,0;13289,0;13289,11850;12387,11850;9830,11008;7370,10372;0,10372;0,0" o:connectangles="0,0,0,0,0,0,0,0"/>
                              <o:lock v:ext="edit" aspectratio="t"/>
                            </v:shape>
                            <v:shape id="Freeform 757" o:spid="_x0000_s1028" alt="background" style="position:absolute;left:-870;top:8216;width:13297;height:2495;visibility:visible;mso-wrap-style:square;v-text-anchor:top" coordsize="2447,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A9IsUA&#10;AADcAAAADwAAAGRycy9kb3ducmV2LnhtbESPQWvCQBSE7wX/w/IKvUjdVEVKzEZsQdBjbRFye+4+&#10;k9Ds2zS7Jum/7wpCj8PMfMNkm9E2oqfO144VvMwSEMTamZpLBV+fu+dXED4gG2wck4Jf8rDJJw8Z&#10;psYN/EH9MZQiQtinqKAKoU2l9Loii37mWuLoXVxnMUTZldJ0OES4beQ8SVbSYs1xocKW3ivS38er&#10;VTDW1J+Hn7epO5ypuPb6sNenQqmnx3G7BhFoDP/he3tvFCyWC7idiUd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YD0ixQAAANwAAAAPAAAAAAAAAAAAAAAAAJgCAABkcnMv&#10;ZG93bnJldi54bWxQSwUGAAAAAAQABAD1AAAAigMAAAAA&#10;" path="m2447,453v,,,,,m1655,228v88,-2,127,-7,155,-17c1839,227,1866,243,1893,259v-33,16,-59,30,-82,39c1766,272,1714,248,1655,228t159,-19c1838,200,1864,186,1897,171v30,17,62,34,96,49c1985,223,1977,226,1969,228v-27,10,-51,20,-72,30c1869,242,1842,225,1814,209m1655,138v88,-2,127,-8,155,-18c1839,136,1866,153,1893,169v-33,15,-59,29,-82,38c1766,182,1714,157,1655,138m2287,c2142,,2042,21,1969,47v-72,25,-119,54,-158,69c1701,54,1551,,1357,v,,,,,c1252,,913,,600,,444,,294,,183,,128,,82,,50,,34,,22,,13,,5,,,,,,,3,,3,,3v,,2,,4,c6,3,9,3,13,3v64,,351,,646,c955,3,1259,3,1357,3v192,,341,53,450,115c1778,128,1738,133,1646,135,1564,108,1467,91,1357,91v,,,,,c1252,91,913,91,600,91v-156,,-306,,-417,c128,91,82,91,50,91v-16,,-28,,-37,c5,91,,91,,91v,3,,3,,3c,94,5,94,13,94v127,,1148,,1344,c1463,94,1556,110,1637,135v-31,1,-66,1,-109,1c1528,136,1527,136,1527,136v-104,,-486,,-842,c508,136,336,136,210,136v-64,,-116,,-153,c39,136,25,136,15,136v-9,,-15,,-15,c,139,,139,,139v,,330,,685,c1041,139,1423,139,1527,139v47,,86,,119,-1c1707,158,1761,182,1807,209v-29,10,-69,15,-161,17c1564,199,1467,181,1357,181v,,,,,c1252,181,913,181,600,181v-156,,-306,,-417,c128,181,82,181,50,181v-16,,-28,,-37,c5,181,,181,,181v,3,,3,,3c,184,5,184,13,184v127,,1148,,1344,c1463,184,1556,201,1637,226v-31,,-67,1,-109,1c1528,227,1527,227,1527,227v-104,,-486,,-842,c508,227,336,227,210,227v-64,,-116,,-153,c39,227,25,227,15,227v-9,,-15,,-15,c,230,,230,,230v,,,,,c,230,1318,230,1527,230v47,,86,-1,119,-1c1707,248,1761,273,1807,299v-39,14,-100,18,-279,18c1528,317,1527,317,1527,317v-104,,-486,,-842,c508,317,336,317,210,317v-64,,-116,,-153,c39,317,25,317,15,317v-9,,-15,,-15,c,320,,320,,320v,,,,,c,320,1318,320,1527,320v183,,244,-4,283,-19c1938,374,2040,456,2281,456v,,,,,c2339,456,2447,456,2447,456v,-3,,-3,,-3c2447,453,2447,453,2447,453v,,-108,,-166,c2042,453,1941,372,1814,300v24,-10,50,-24,83,-39c1992,317,2095,366,2281,366v,,,,,c2339,366,2447,366,2447,366v,-3,,-3,,-3c2447,363,2447,363,2447,363v,,-108,,-166,c2097,363,1995,315,1900,260v20,-10,44,-20,70,-29c1979,228,1988,225,1997,222v73,31,160,53,284,53c2281,275,2281,275,2281,275v58,,166,,166,c2447,272,2447,272,2447,272v,,,,,c2447,272,2339,272,2281,272v-122,,-207,-21,-279,-51c2071,200,2162,184,2287,184v47,,160,,160,c2447,181,2447,181,2447,181v,,-113,,-160,c2160,181,2068,198,1998,219v-35,-15,-67,-32,-98,-50c1920,160,1944,150,1970,140v73,-25,172,-46,317,-46c2334,94,2447,94,2447,94v,-3,,-3,,-3c2447,91,2334,91,2287,91v-145,,-245,21,-318,47c1942,147,1918,157,1897,167v-28,-16,-55,-32,-83,-49c1853,103,1899,74,1970,50,2043,24,2142,3,2287,3v47,,160,,160,c2447,,2447,,2447,v,,-113,,-160,e" fillcolor="#00a9ce [3204]" stroked="f">
                              <v:path arrowok="t" o:connecttype="custom" o:connectlocs="8993,1248;9841,1631;10308,936;10308,1412;9836,657;8993,755;9841,635;3260,0;71,0;22,16;7374,16;7374,498;994,498;0,498;7374,514;8298,744;310,744;0,761;8944,755;7374,990;994,990;0,990;7374,1007;8298,1242;310,1242;0,1258;8944,1253;8298,1734;310,1734;0,1751;9836,1647;13297,2495;12395,2479;12395,2003;13297,1986;10325,1423;12395,1505;13297,1488;10879,1209;13297,990;10325,925;13297,514;10700,755;10705,274;13297,0" o:connectangles="0,0,0,0,0,0,0,0,0,0,0,0,0,0,0,0,0,0,0,0,0,0,0,0,0,0,0,0,0,0,0,0,0,0,0,0,0,0,0,0,0,0,0,0,0"/>
                              <o:lock v:ext="edit" verticies="t"/>
                            </v:shape>
                          </v:group>
                        </w:pict>
                      </mc:Fallback>
                    </mc:AlternateContent>
                  </w:r>
                  <w:r w:rsidR="000F0E2F">
                    <w:rPr>
                      <w:noProof/>
                    </w:rPr>
                    <mc:AlternateContent>
                      <mc:Choice Requires="wpg">
                        <w:drawing>
                          <wp:anchor distT="0" distB="0" distL="114300" distR="114300" simplePos="0" relativeHeight="251658242" behindDoc="1" locked="0" layoutInCell="1" allowOverlap="1" wp14:anchorId="68FC5301" wp14:editId="33092B1A">
                            <wp:simplePos x="0" y="0"/>
                            <wp:positionH relativeFrom="column">
                              <wp:posOffset>-868367</wp:posOffset>
                            </wp:positionH>
                            <wp:positionV relativeFrom="paragraph">
                              <wp:posOffset>-81251</wp:posOffset>
                            </wp:positionV>
                            <wp:extent cx="8095615" cy="1022350"/>
                            <wp:effectExtent l="5080" t="1905" r="5080" b="4445"/>
                            <wp:wrapNone/>
                            <wp:docPr id="10" name="Group 7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95615" cy="1022350"/>
                                      <a:chOff x="0" y="0"/>
                                      <a:chExt cx="80962" cy="10223"/>
                                    </a:xfrm>
                                  </wpg:grpSpPr>
                                  <wpg:grpSp>
                                    <wpg:cNvPr id="11" name="Group 81"/>
                                    <wpg:cNvGrpSpPr>
                                      <a:grpSpLocks/>
                                    </wpg:cNvGrpSpPr>
                                    <wpg:grpSpPr bwMode="auto">
                                      <a:xfrm>
                                        <a:off x="0" y="0"/>
                                        <a:ext cx="80962" cy="10223"/>
                                        <a:chOff x="254" y="226"/>
                                        <a:chExt cx="80962" cy="10223"/>
                                      </a:xfrm>
                                    </wpg:grpSpPr>
                                    <wps:wsp>
                                      <wps:cNvPr id="12" name="Freeform 70" descr="background"/>
                                      <wps:cNvSpPr>
                                        <a:spLocks noEditPoints="1"/>
                                      </wps:cNvSpPr>
                                      <wps:spPr bwMode="auto">
                                        <a:xfrm>
                                          <a:off x="254" y="226"/>
                                          <a:ext cx="80962" cy="10224"/>
                                        </a:xfrm>
                                        <a:custGeom>
                                          <a:avLst/>
                                          <a:gdLst>
                                            <a:gd name="T0" fmla="*/ 2147483647 w 2488"/>
                                            <a:gd name="T1" fmla="*/ 2147483647 h 313"/>
                                            <a:gd name="T2" fmla="*/ 2147483647 w 2488"/>
                                            <a:gd name="T3" fmla="*/ 2147483647 h 313"/>
                                            <a:gd name="T4" fmla="*/ 2147483647 w 2488"/>
                                            <a:gd name="T5" fmla="*/ 2147483647 h 313"/>
                                            <a:gd name="T6" fmla="*/ 2147483647 w 2488"/>
                                            <a:gd name="T7" fmla="*/ 2147483647 h 313"/>
                                            <a:gd name="T8" fmla="*/ 2147483647 w 2488"/>
                                            <a:gd name="T9" fmla="*/ 2147483647 h 313"/>
                                            <a:gd name="T10" fmla="*/ 2147483647 w 2488"/>
                                            <a:gd name="T11" fmla="*/ 2147483647 h 313"/>
                                            <a:gd name="T12" fmla="*/ 2147483647 w 2488"/>
                                            <a:gd name="T13" fmla="*/ 0 h 313"/>
                                            <a:gd name="T14" fmla="*/ 0 w 2488"/>
                                            <a:gd name="T15" fmla="*/ 0 h 313"/>
                                            <a:gd name="T16" fmla="*/ 0 w 2488"/>
                                            <a:gd name="T17" fmla="*/ 2147483647 h 313"/>
                                            <a:gd name="T18" fmla="*/ 2147483647 w 2488"/>
                                            <a:gd name="T19" fmla="*/ 2147483647 h 313"/>
                                            <a:gd name="T20" fmla="*/ 2147483647 w 2488"/>
                                            <a:gd name="T21" fmla="*/ 2147483647 h 313"/>
                                            <a:gd name="T22" fmla="*/ 2147483647 w 2488"/>
                                            <a:gd name="T23" fmla="*/ 2147483647 h 313"/>
                                            <a:gd name="T24" fmla="*/ 2147483647 w 2488"/>
                                            <a:gd name="T25" fmla="*/ 2147483647 h 313"/>
                                            <a:gd name="T26" fmla="*/ 2147483647 w 2488"/>
                                            <a:gd name="T27" fmla="*/ 0 h 31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488" h="313">
                                              <a:moveTo>
                                                <a:pt x="2488" y="21"/>
                                              </a:moveTo>
                                              <a:cubicBezTo>
                                                <a:pt x="2284" y="21"/>
                                                <a:pt x="2284" y="21"/>
                                                <a:pt x="2284" y="21"/>
                                              </a:cubicBezTo>
                                              <a:cubicBezTo>
                                                <a:pt x="1994" y="21"/>
                                                <a:pt x="1887" y="107"/>
                                                <a:pt x="1808" y="137"/>
                                              </a:cubicBezTo>
                                              <a:cubicBezTo>
                                                <a:pt x="1905" y="218"/>
                                                <a:pt x="2037" y="313"/>
                                                <a:pt x="2278" y="313"/>
                                              </a:cubicBezTo>
                                              <a:cubicBezTo>
                                                <a:pt x="2336" y="313"/>
                                                <a:pt x="2488" y="313"/>
                                                <a:pt x="2488" y="313"/>
                                              </a:cubicBezTo>
                                              <a:cubicBezTo>
                                                <a:pt x="2488" y="21"/>
                                                <a:pt x="2488" y="21"/>
                                                <a:pt x="2488" y="21"/>
                                              </a:cubicBezTo>
                                              <a:moveTo>
                                                <a:pt x="1354" y="0"/>
                                              </a:moveTo>
                                              <a:cubicBezTo>
                                                <a:pt x="0" y="0"/>
                                                <a:pt x="0" y="0"/>
                                                <a:pt x="0" y="0"/>
                                              </a:cubicBezTo>
                                              <a:cubicBezTo>
                                                <a:pt x="0" y="157"/>
                                                <a:pt x="0" y="157"/>
                                                <a:pt x="0" y="157"/>
                                              </a:cubicBezTo>
                                              <a:cubicBezTo>
                                                <a:pt x="1524" y="157"/>
                                                <a:pt x="1524" y="157"/>
                                                <a:pt x="1524" y="157"/>
                                              </a:cubicBezTo>
                                              <a:cubicBezTo>
                                                <a:pt x="1709" y="157"/>
                                                <a:pt x="1769" y="152"/>
                                                <a:pt x="1808" y="137"/>
                                              </a:cubicBezTo>
                                              <a:cubicBezTo>
                                                <a:pt x="1808" y="137"/>
                                                <a:pt x="1808" y="137"/>
                                                <a:pt x="1808" y="137"/>
                                              </a:cubicBezTo>
                                              <a:cubicBezTo>
                                                <a:pt x="1808" y="137"/>
                                                <a:pt x="1808" y="137"/>
                                                <a:pt x="1808" y="137"/>
                                              </a:cubicBezTo>
                                              <a:cubicBezTo>
                                                <a:pt x="1710" y="57"/>
                                                <a:pt x="1548" y="0"/>
                                                <a:pt x="1354" y="0"/>
                                              </a:cubicBezTo>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71" descr="background"/>
                                      <wps:cNvSpPr>
                                        <a:spLocks/>
                                      </wps:cNvSpPr>
                                      <wps:spPr bwMode="auto">
                                        <a:xfrm>
                                          <a:off x="254" y="912"/>
                                          <a:ext cx="58837" cy="4442"/>
                                        </a:xfrm>
                                        <a:custGeom>
                                          <a:avLst/>
                                          <a:gdLst>
                                            <a:gd name="T0" fmla="*/ 2147483647 w 1808"/>
                                            <a:gd name="T1" fmla="*/ 2147483647 h 136"/>
                                            <a:gd name="T2" fmla="*/ 2147483647 w 1808"/>
                                            <a:gd name="T3" fmla="*/ 0 h 136"/>
                                            <a:gd name="T4" fmla="*/ 0 w 1808"/>
                                            <a:gd name="T5" fmla="*/ 0 h 136"/>
                                            <a:gd name="T6" fmla="*/ 0 w 1808"/>
                                            <a:gd name="T7" fmla="*/ 2147483647 h 136"/>
                                            <a:gd name="T8" fmla="*/ 2147483647 w 1808"/>
                                            <a:gd name="T9" fmla="*/ 2147483647 h 136"/>
                                            <a:gd name="T10" fmla="*/ 2147483647 w 1808"/>
                                            <a:gd name="T11" fmla="*/ 2147483647 h 13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808" h="136">
                                              <a:moveTo>
                                                <a:pt x="1808" y="116"/>
                                              </a:moveTo>
                                              <a:cubicBezTo>
                                                <a:pt x="1698" y="54"/>
                                                <a:pt x="1548" y="0"/>
                                                <a:pt x="1354" y="0"/>
                                              </a:cubicBezTo>
                                              <a:cubicBezTo>
                                                <a:pt x="0" y="0"/>
                                                <a:pt x="0" y="0"/>
                                                <a:pt x="0" y="0"/>
                                              </a:cubicBezTo>
                                              <a:cubicBezTo>
                                                <a:pt x="0" y="136"/>
                                                <a:pt x="0" y="136"/>
                                                <a:pt x="0" y="136"/>
                                              </a:cubicBezTo>
                                              <a:cubicBezTo>
                                                <a:pt x="1524" y="136"/>
                                                <a:pt x="1524" y="136"/>
                                                <a:pt x="1524" y="136"/>
                                              </a:cubicBezTo>
                                              <a:cubicBezTo>
                                                <a:pt x="1709" y="136"/>
                                                <a:pt x="1769" y="131"/>
                                                <a:pt x="1808" y="116"/>
                                              </a:cubicBezTo>
                                            </a:path>
                                          </a:pathLst>
                                        </a:cu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4" name="Group 14"/>
                                      <wpg:cNvGrpSpPr>
                                        <a:grpSpLocks/>
                                      </wpg:cNvGrpSpPr>
                                      <wpg:grpSpPr bwMode="auto">
                                        <a:xfrm>
                                          <a:off x="9186" y="3326"/>
                                          <a:ext cx="8853" cy="1049"/>
                                          <a:chOff x="6800" y="3263"/>
                                          <a:chExt cx="8851" cy="1047"/>
                                        </a:xfrm>
                                      </wpg:grpSpPr>
                                      <wps:wsp>
                                        <wps:cNvPr id="15" name="Freeform 72" descr="background"/>
                                        <wps:cNvSpPr>
                                          <a:spLocks/>
                                        </wps:cNvSpPr>
                                        <wps:spPr bwMode="auto">
                                          <a:xfrm>
                                            <a:off x="6800" y="3556"/>
                                            <a:ext cx="1042" cy="717"/>
                                          </a:xfrm>
                                          <a:custGeom>
                                            <a:avLst/>
                                            <a:gdLst>
                                              <a:gd name="T0" fmla="*/ 110421359 w 32"/>
                                              <a:gd name="T1" fmla="*/ 0 h 22"/>
                                              <a:gd name="T2" fmla="*/ 89717600 w 32"/>
                                              <a:gd name="T3" fmla="*/ 76215829 h 22"/>
                                              <a:gd name="T4" fmla="*/ 69013874 w 32"/>
                                              <a:gd name="T5" fmla="*/ 76215829 h 22"/>
                                              <a:gd name="T6" fmla="*/ 58660953 w 32"/>
                                              <a:gd name="T7" fmla="*/ 31178875 h 22"/>
                                              <a:gd name="T8" fmla="*/ 55210663 w 32"/>
                                              <a:gd name="T9" fmla="*/ 24250341 h 22"/>
                                              <a:gd name="T10" fmla="*/ 55210663 w 32"/>
                                              <a:gd name="T11" fmla="*/ 24250341 h 22"/>
                                              <a:gd name="T12" fmla="*/ 51760406 w 32"/>
                                              <a:gd name="T13" fmla="*/ 31178875 h 22"/>
                                              <a:gd name="T14" fmla="*/ 41408526 w 32"/>
                                              <a:gd name="T15" fmla="*/ 76215829 h 22"/>
                                              <a:gd name="T16" fmla="*/ 20703726 w 32"/>
                                              <a:gd name="T17" fmla="*/ 76215829 h 22"/>
                                              <a:gd name="T18" fmla="*/ 0 w 32"/>
                                              <a:gd name="T19" fmla="*/ 0 h 22"/>
                                              <a:gd name="T20" fmla="*/ 17253469 w 32"/>
                                              <a:gd name="T21" fmla="*/ 0 h 22"/>
                                              <a:gd name="T22" fmla="*/ 27605348 w 32"/>
                                              <a:gd name="T23" fmla="*/ 45036954 h 22"/>
                                              <a:gd name="T24" fmla="*/ 31055605 w 32"/>
                                              <a:gd name="T25" fmla="*/ 58893989 h 22"/>
                                              <a:gd name="T26" fmla="*/ 31055605 w 32"/>
                                              <a:gd name="T27" fmla="*/ 58893989 h 22"/>
                                              <a:gd name="T28" fmla="*/ 34506937 w 32"/>
                                              <a:gd name="T29" fmla="*/ 45036954 h 22"/>
                                              <a:gd name="T30" fmla="*/ 44858816 w 32"/>
                                              <a:gd name="T31" fmla="*/ 0 h 22"/>
                                              <a:gd name="T32" fmla="*/ 65562542 w 32"/>
                                              <a:gd name="T33" fmla="*/ 0 h 22"/>
                                              <a:gd name="T34" fmla="*/ 79365754 w 32"/>
                                              <a:gd name="T35" fmla="*/ 48500683 h 22"/>
                                              <a:gd name="T36" fmla="*/ 79365754 w 32"/>
                                              <a:gd name="T37" fmla="*/ 58893989 h 22"/>
                                              <a:gd name="T38" fmla="*/ 79365754 w 32"/>
                                              <a:gd name="T39" fmla="*/ 58893989 h 22"/>
                                              <a:gd name="T40" fmla="*/ 82816011 w 32"/>
                                              <a:gd name="T41" fmla="*/ 45036954 h 22"/>
                                              <a:gd name="T42" fmla="*/ 93167890 w 32"/>
                                              <a:gd name="T43" fmla="*/ 0 h 22"/>
                                              <a:gd name="T44" fmla="*/ 110421359 w 32"/>
                                              <a:gd name="T45" fmla="*/ 0 h 2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2" h="22">
                                                <a:moveTo>
                                                  <a:pt x="32" y="0"/>
                                                </a:moveTo>
                                                <a:cubicBezTo>
                                                  <a:pt x="31" y="8"/>
                                                  <a:pt x="29" y="15"/>
                                                  <a:pt x="26" y="22"/>
                                                </a:cubicBezTo>
                                                <a:cubicBezTo>
                                                  <a:pt x="20" y="22"/>
                                                  <a:pt x="20" y="22"/>
                                                  <a:pt x="20" y="22"/>
                                                </a:cubicBezTo>
                                                <a:cubicBezTo>
                                                  <a:pt x="17" y="9"/>
                                                  <a:pt x="17" y="9"/>
                                                  <a:pt x="17" y="9"/>
                                                </a:cubicBezTo>
                                                <a:cubicBezTo>
                                                  <a:pt x="16" y="7"/>
                                                  <a:pt x="16" y="7"/>
                                                  <a:pt x="16" y="7"/>
                                                </a:cubicBezTo>
                                                <a:cubicBezTo>
                                                  <a:pt x="16" y="7"/>
                                                  <a:pt x="16" y="7"/>
                                                  <a:pt x="16" y="7"/>
                                                </a:cubicBezTo>
                                                <a:cubicBezTo>
                                                  <a:pt x="15" y="9"/>
                                                  <a:pt x="15" y="9"/>
                                                  <a:pt x="15" y="9"/>
                                                </a:cubicBezTo>
                                                <a:cubicBezTo>
                                                  <a:pt x="12" y="22"/>
                                                  <a:pt x="12" y="22"/>
                                                  <a:pt x="12" y="22"/>
                                                </a:cubicBezTo>
                                                <a:cubicBezTo>
                                                  <a:pt x="6" y="22"/>
                                                  <a:pt x="6" y="22"/>
                                                  <a:pt x="6" y="22"/>
                                                </a:cubicBezTo>
                                                <a:cubicBezTo>
                                                  <a:pt x="3" y="15"/>
                                                  <a:pt x="1" y="8"/>
                                                  <a:pt x="0" y="0"/>
                                                </a:cubicBezTo>
                                                <a:cubicBezTo>
                                                  <a:pt x="5" y="0"/>
                                                  <a:pt x="5" y="0"/>
                                                  <a:pt x="5" y="0"/>
                                                </a:cubicBezTo>
                                                <a:cubicBezTo>
                                                  <a:pt x="6" y="5"/>
                                                  <a:pt x="7" y="9"/>
                                                  <a:pt x="8" y="13"/>
                                                </a:cubicBezTo>
                                                <a:cubicBezTo>
                                                  <a:pt x="9" y="14"/>
                                                  <a:pt x="9" y="16"/>
                                                  <a:pt x="9" y="17"/>
                                                </a:cubicBezTo>
                                                <a:cubicBezTo>
                                                  <a:pt x="9" y="17"/>
                                                  <a:pt x="9" y="17"/>
                                                  <a:pt x="9" y="17"/>
                                                </a:cubicBezTo>
                                                <a:cubicBezTo>
                                                  <a:pt x="10" y="13"/>
                                                  <a:pt x="10" y="13"/>
                                                  <a:pt x="10" y="13"/>
                                                </a:cubicBezTo>
                                                <a:cubicBezTo>
                                                  <a:pt x="13" y="0"/>
                                                  <a:pt x="13" y="0"/>
                                                  <a:pt x="13" y="0"/>
                                                </a:cubicBezTo>
                                                <a:cubicBezTo>
                                                  <a:pt x="19" y="0"/>
                                                  <a:pt x="19" y="0"/>
                                                  <a:pt x="19" y="0"/>
                                                </a:cubicBezTo>
                                                <a:cubicBezTo>
                                                  <a:pt x="23" y="14"/>
                                                  <a:pt x="23" y="14"/>
                                                  <a:pt x="23" y="14"/>
                                                </a:cubicBezTo>
                                                <a:cubicBezTo>
                                                  <a:pt x="23" y="17"/>
                                                  <a:pt x="23" y="17"/>
                                                  <a:pt x="23" y="17"/>
                                                </a:cubicBezTo>
                                                <a:cubicBezTo>
                                                  <a:pt x="23" y="17"/>
                                                  <a:pt x="23" y="17"/>
                                                  <a:pt x="23" y="17"/>
                                                </a:cubicBezTo>
                                                <a:cubicBezTo>
                                                  <a:pt x="24" y="16"/>
                                                  <a:pt x="24" y="14"/>
                                                  <a:pt x="24" y="13"/>
                                                </a:cubicBezTo>
                                                <a:cubicBezTo>
                                                  <a:pt x="25" y="9"/>
                                                  <a:pt x="26" y="5"/>
                                                  <a:pt x="27" y="0"/>
                                                </a:cubicBezTo>
                                                <a:lnTo>
                                                  <a:pt x="32" y="0"/>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73" descr="background"/>
                                        <wps:cNvSpPr>
                                          <a:spLocks/>
                                        </wps:cNvSpPr>
                                        <wps:spPr bwMode="auto">
                                          <a:xfrm>
                                            <a:off x="7969" y="3556"/>
                                            <a:ext cx="1073" cy="717"/>
                                          </a:xfrm>
                                          <a:custGeom>
                                            <a:avLst/>
                                            <a:gdLst>
                                              <a:gd name="T0" fmla="*/ 113457167 w 33"/>
                                              <a:gd name="T1" fmla="*/ 0 h 22"/>
                                              <a:gd name="T2" fmla="*/ 89390297 w 33"/>
                                              <a:gd name="T3" fmla="*/ 76215829 h 22"/>
                                              <a:gd name="T4" fmla="*/ 68761514 w 33"/>
                                              <a:gd name="T5" fmla="*/ 76215829 h 22"/>
                                              <a:gd name="T6" fmla="*/ 58447123 w 33"/>
                                              <a:gd name="T7" fmla="*/ 31178875 h 22"/>
                                              <a:gd name="T8" fmla="*/ 55010044 w 33"/>
                                              <a:gd name="T9" fmla="*/ 24250341 h 22"/>
                                              <a:gd name="T10" fmla="*/ 55010044 w 33"/>
                                              <a:gd name="T11" fmla="*/ 24250341 h 22"/>
                                              <a:gd name="T12" fmla="*/ 55010044 w 33"/>
                                              <a:gd name="T13" fmla="*/ 31178875 h 22"/>
                                              <a:gd name="T14" fmla="*/ 41257533 w 33"/>
                                              <a:gd name="T15" fmla="*/ 76215829 h 22"/>
                                              <a:gd name="T16" fmla="*/ 20628783 w 33"/>
                                              <a:gd name="T17" fmla="*/ 76215829 h 22"/>
                                              <a:gd name="T18" fmla="*/ 0 w 33"/>
                                              <a:gd name="T19" fmla="*/ 0 h 22"/>
                                              <a:gd name="T20" fmla="*/ 17190631 w 33"/>
                                              <a:gd name="T21" fmla="*/ 0 h 22"/>
                                              <a:gd name="T22" fmla="*/ 30943141 w 33"/>
                                              <a:gd name="T23" fmla="*/ 45036954 h 22"/>
                                              <a:gd name="T24" fmla="*/ 30943141 w 33"/>
                                              <a:gd name="T25" fmla="*/ 58893989 h 22"/>
                                              <a:gd name="T26" fmla="*/ 30943141 w 33"/>
                                              <a:gd name="T27" fmla="*/ 58893989 h 22"/>
                                              <a:gd name="T28" fmla="*/ 34381294 w 33"/>
                                              <a:gd name="T29" fmla="*/ 45036954 h 22"/>
                                              <a:gd name="T30" fmla="*/ 48133805 w 33"/>
                                              <a:gd name="T31" fmla="*/ 0 h 22"/>
                                              <a:gd name="T32" fmla="*/ 65323395 w 33"/>
                                              <a:gd name="T33" fmla="*/ 0 h 22"/>
                                              <a:gd name="T34" fmla="*/ 79075906 w 33"/>
                                              <a:gd name="T35" fmla="*/ 48500683 h 22"/>
                                              <a:gd name="T36" fmla="*/ 82514025 w 33"/>
                                              <a:gd name="T37" fmla="*/ 58893989 h 22"/>
                                              <a:gd name="T38" fmla="*/ 82514025 w 33"/>
                                              <a:gd name="T39" fmla="*/ 58893989 h 22"/>
                                              <a:gd name="T40" fmla="*/ 85952145 w 33"/>
                                              <a:gd name="T41" fmla="*/ 45036954 h 22"/>
                                              <a:gd name="T42" fmla="*/ 96266536 w 33"/>
                                              <a:gd name="T43" fmla="*/ 0 h 22"/>
                                              <a:gd name="T44" fmla="*/ 113457167 w 33"/>
                                              <a:gd name="T45" fmla="*/ 0 h 2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3" h="22">
                                                <a:moveTo>
                                                  <a:pt x="33" y="0"/>
                                                </a:moveTo>
                                                <a:cubicBezTo>
                                                  <a:pt x="31" y="8"/>
                                                  <a:pt x="29" y="15"/>
                                                  <a:pt x="26" y="22"/>
                                                </a:cubicBezTo>
                                                <a:cubicBezTo>
                                                  <a:pt x="20" y="22"/>
                                                  <a:pt x="20" y="22"/>
                                                  <a:pt x="20" y="22"/>
                                                </a:cubicBezTo>
                                                <a:cubicBezTo>
                                                  <a:pt x="17" y="9"/>
                                                  <a:pt x="17" y="9"/>
                                                  <a:pt x="17" y="9"/>
                                                </a:cubicBezTo>
                                                <a:cubicBezTo>
                                                  <a:pt x="16" y="7"/>
                                                  <a:pt x="16" y="7"/>
                                                  <a:pt x="16" y="7"/>
                                                </a:cubicBezTo>
                                                <a:cubicBezTo>
                                                  <a:pt x="16" y="7"/>
                                                  <a:pt x="16" y="7"/>
                                                  <a:pt x="16" y="7"/>
                                                </a:cubicBezTo>
                                                <a:cubicBezTo>
                                                  <a:pt x="16" y="9"/>
                                                  <a:pt x="16" y="9"/>
                                                  <a:pt x="16" y="9"/>
                                                </a:cubicBezTo>
                                                <a:cubicBezTo>
                                                  <a:pt x="12" y="22"/>
                                                  <a:pt x="12" y="22"/>
                                                  <a:pt x="12" y="22"/>
                                                </a:cubicBezTo>
                                                <a:cubicBezTo>
                                                  <a:pt x="6" y="22"/>
                                                  <a:pt x="6" y="22"/>
                                                  <a:pt x="6" y="22"/>
                                                </a:cubicBezTo>
                                                <a:cubicBezTo>
                                                  <a:pt x="4" y="15"/>
                                                  <a:pt x="1" y="8"/>
                                                  <a:pt x="0" y="0"/>
                                                </a:cubicBezTo>
                                                <a:cubicBezTo>
                                                  <a:pt x="5" y="0"/>
                                                  <a:pt x="5" y="0"/>
                                                  <a:pt x="5" y="0"/>
                                                </a:cubicBezTo>
                                                <a:cubicBezTo>
                                                  <a:pt x="6" y="5"/>
                                                  <a:pt x="7" y="9"/>
                                                  <a:pt x="9" y="13"/>
                                                </a:cubicBezTo>
                                                <a:cubicBezTo>
                                                  <a:pt x="9" y="14"/>
                                                  <a:pt x="9" y="16"/>
                                                  <a:pt x="9" y="17"/>
                                                </a:cubicBezTo>
                                                <a:cubicBezTo>
                                                  <a:pt x="9" y="17"/>
                                                  <a:pt x="9" y="17"/>
                                                  <a:pt x="9" y="17"/>
                                                </a:cubicBezTo>
                                                <a:cubicBezTo>
                                                  <a:pt x="10" y="13"/>
                                                  <a:pt x="10" y="13"/>
                                                  <a:pt x="10" y="13"/>
                                                </a:cubicBezTo>
                                                <a:cubicBezTo>
                                                  <a:pt x="14" y="0"/>
                                                  <a:pt x="14" y="0"/>
                                                  <a:pt x="14" y="0"/>
                                                </a:cubicBezTo>
                                                <a:cubicBezTo>
                                                  <a:pt x="19" y="0"/>
                                                  <a:pt x="19" y="0"/>
                                                  <a:pt x="19" y="0"/>
                                                </a:cubicBezTo>
                                                <a:cubicBezTo>
                                                  <a:pt x="23" y="14"/>
                                                  <a:pt x="23" y="14"/>
                                                  <a:pt x="23" y="14"/>
                                                </a:cubicBezTo>
                                                <a:cubicBezTo>
                                                  <a:pt x="24" y="17"/>
                                                  <a:pt x="24" y="17"/>
                                                  <a:pt x="24" y="17"/>
                                                </a:cubicBezTo>
                                                <a:cubicBezTo>
                                                  <a:pt x="24" y="17"/>
                                                  <a:pt x="24" y="17"/>
                                                  <a:pt x="24" y="17"/>
                                                </a:cubicBezTo>
                                                <a:cubicBezTo>
                                                  <a:pt x="24" y="16"/>
                                                  <a:pt x="24" y="14"/>
                                                  <a:pt x="25" y="13"/>
                                                </a:cubicBezTo>
                                                <a:cubicBezTo>
                                                  <a:pt x="26" y="9"/>
                                                  <a:pt x="27" y="5"/>
                                                  <a:pt x="28" y="0"/>
                                                </a:cubicBezTo>
                                                <a:lnTo>
                                                  <a:pt x="33" y="0"/>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74" descr="background"/>
                                        <wps:cNvSpPr>
                                          <a:spLocks/>
                                        </wps:cNvSpPr>
                                        <wps:spPr bwMode="auto">
                                          <a:xfrm>
                                            <a:off x="9144" y="3556"/>
                                            <a:ext cx="1073" cy="717"/>
                                          </a:xfrm>
                                          <a:custGeom>
                                            <a:avLst/>
                                            <a:gdLst>
                                              <a:gd name="T0" fmla="*/ 113457167 w 33"/>
                                              <a:gd name="T1" fmla="*/ 0 h 22"/>
                                              <a:gd name="T2" fmla="*/ 92828416 w 33"/>
                                              <a:gd name="T3" fmla="*/ 76215829 h 22"/>
                                              <a:gd name="T4" fmla="*/ 72199634 w 33"/>
                                              <a:gd name="T5" fmla="*/ 76215829 h 22"/>
                                              <a:gd name="T6" fmla="*/ 58447123 w 33"/>
                                              <a:gd name="T7" fmla="*/ 31178875 h 22"/>
                                              <a:gd name="T8" fmla="*/ 55010044 w 33"/>
                                              <a:gd name="T9" fmla="*/ 24250341 h 22"/>
                                              <a:gd name="T10" fmla="*/ 55010044 w 33"/>
                                              <a:gd name="T11" fmla="*/ 24250341 h 22"/>
                                              <a:gd name="T12" fmla="*/ 55010044 w 33"/>
                                              <a:gd name="T13" fmla="*/ 31178875 h 22"/>
                                              <a:gd name="T14" fmla="*/ 44695685 w 33"/>
                                              <a:gd name="T15" fmla="*/ 76215829 h 22"/>
                                              <a:gd name="T16" fmla="*/ 20628783 w 33"/>
                                              <a:gd name="T17" fmla="*/ 76215829 h 22"/>
                                              <a:gd name="T18" fmla="*/ 0 w 33"/>
                                              <a:gd name="T19" fmla="*/ 0 h 22"/>
                                              <a:gd name="T20" fmla="*/ 20628783 w 33"/>
                                              <a:gd name="T21" fmla="*/ 0 h 22"/>
                                              <a:gd name="T22" fmla="*/ 30943141 w 33"/>
                                              <a:gd name="T23" fmla="*/ 45036954 h 22"/>
                                              <a:gd name="T24" fmla="*/ 34381294 w 33"/>
                                              <a:gd name="T25" fmla="*/ 58893989 h 22"/>
                                              <a:gd name="T26" fmla="*/ 34381294 w 33"/>
                                              <a:gd name="T27" fmla="*/ 58893989 h 22"/>
                                              <a:gd name="T28" fmla="*/ 37819413 w 33"/>
                                              <a:gd name="T29" fmla="*/ 45036954 h 22"/>
                                              <a:gd name="T30" fmla="*/ 48133805 w 33"/>
                                              <a:gd name="T31" fmla="*/ 0 h 22"/>
                                              <a:gd name="T32" fmla="*/ 65323395 w 33"/>
                                              <a:gd name="T33" fmla="*/ 0 h 22"/>
                                              <a:gd name="T34" fmla="*/ 79075906 w 33"/>
                                              <a:gd name="T35" fmla="*/ 48500683 h 22"/>
                                              <a:gd name="T36" fmla="*/ 82514025 w 33"/>
                                              <a:gd name="T37" fmla="*/ 58893989 h 22"/>
                                              <a:gd name="T38" fmla="*/ 82514025 w 33"/>
                                              <a:gd name="T39" fmla="*/ 58893989 h 22"/>
                                              <a:gd name="T40" fmla="*/ 85952145 w 33"/>
                                              <a:gd name="T41" fmla="*/ 45036954 h 22"/>
                                              <a:gd name="T42" fmla="*/ 96266536 w 33"/>
                                              <a:gd name="T43" fmla="*/ 0 h 22"/>
                                              <a:gd name="T44" fmla="*/ 113457167 w 33"/>
                                              <a:gd name="T45" fmla="*/ 0 h 2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3" h="22">
                                                <a:moveTo>
                                                  <a:pt x="33" y="0"/>
                                                </a:moveTo>
                                                <a:cubicBezTo>
                                                  <a:pt x="31" y="8"/>
                                                  <a:pt x="29" y="15"/>
                                                  <a:pt x="27" y="22"/>
                                                </a:cubicBezTo>
                                                <a:cubicBezTo>
                                                  <a:pt x="21" y="22"/>
                                                  <a:pt x="21" y="22"/>
                                                  <a:pt x="21" y="22"/>
                                                </a:cubicBezTo>
                                                <a:cubicBezTo>
                                                  <a:pt x="17" y="9"/>
                                                  <a:pt x="17" y="9"/>
                                                  <a:pt x="17" y="9"/>
                                                </a:cubicBezTo>
                                                <a:cubicBezTo>
                                                  <a:pt x="16" y="7"/>
                                                  <a:pt x="16" y="7"/>
                                                  <a:pt x="16" y="7"/>
                                                </a:cubicBezTo>
                                                <a:cubicBezTo>
                                                  <a:pt x="16" y="7"/>
                                                  <a:pt x="16" y="7"/>
                                                  <a:pt x="16" y="7"/>
                                                </a:cubicBezTo>
                                                <a:cubicBezTo>
                                                  <a:pt x="16" y="9"/>
                                                  <a:pt x="16" y="9"/>
                                                  <a:pt x="16" y="9"/>
                                                </a:cubicBezTo>
                                                <a:cubicBezTo>
                                                  <a:pt x="13" y="22"/>
                                                  <a:pt x="13" y="22"/>
                                                  <a:pt x="13" y="22"/>
                                                </a:cubicBezTo>
                                                <a:cubicBezTo>
                                                  <a:pt x="6" y="22"/>
                                                  <a:pt x="6" y="22"/>
                                                  <a:pt x="6" y="22"/>
                                                </a:cubicBezTo>
                                                <a:cubicBezTo>
                                                  <a:pt x="4" y="15"/>
                                                  <a:pt x="2" y="8"/>
                                                  <a:pt x="0" y="0"/>
                                                </a:cubicBezTo>
                                                <a:cubicBezTo>
                                                  <a:pt x="6" y="0"/>
                                                  <a:pt x="6" y="0"/>
                                                  <a:pt x="6" y="0"/>
                                                </a:cubicBezTo>
                                                <a:cubicBezTo>
                                                  <a:pt x="7" y="5"/>
                                                  <a:pt x="8" y="9"/>
                                                  <a:pt x="9" y="13"/>
                                                </a:cubicBezTo>
                                                <a:cubicBezTo>
                                                  <a:pt x="9" y="14"/>
                                                  <a:pt x="9" y="16"/>
                                                  <a:pt x="10" y="17"/>
                                                </a:cubicBezTo>
                                                <a:cubicBezTo>
                                                  <a:pt x="10" y="17"/>
                                                  <a:pt x="10" y="17"/>
                                                  <a:pt x="10" y="17"/>
                                                </a:cubicBezTo>
                                                <a:cubicBezTo>
                                                  <a:pt x="11" y="13"/>
                                                  <a:pt x="11" y="13"/>
                                                  <a:pt x="11" y="13"/>
                                                </a:cubicBezTo>
                                                <a:cubicBezTo>
                                                  <a:pt x="14" y="0"/>
                                                  <a:pt x="14" y="0"/>
                                                  <a:pt x="14" y="0"/>
                                                </a:cubicBezTo>
                                                <a:cubicBezTo>
                                                  <a:pt x="19" y="0"/>
                                                  <a:pt x="19" y="0"/>
                                                  <a:pt x="19" y="0"/>
                                                </a:cubicBezTo>
                                                <a:cubicBezTo>
                                                  <a:pt x="23" y="14"/>
                                                  <a:pt x="23" y="14"/>
                                                  <a:pt x="23" y="14"/>
                                                </a:cubicBezTo>
                                                <a:cubicBezTo>
                                                  <a:pt x="24" y="17"/>
                                                  <a:pt x="24" y="17"/>
                                                  <a:pt x="24" y="17"/>
                                                </a:cubicBezTo>
                                                <a:cubicBezTo>
                                                  <a:pt x="24" y="17"/>
                                                  <a:pt x="24" y="17"/>
                                                  <a:pt x="24" y="17"/>
                                                </a:cubicBezTo>
                                                <a:cubicBezTo>
                                                  <a:pt x="24" y="16"/>
                                                  <a:pt x="25" y="14"/>
                                                  <a:pt x="25" y="13"/>
                                                </a:cubicBezTo>
                                                <a:cubicBezTo>
                                                  <a:pt x="26" y="9"/>
                                                  <a:pt x="27" y="5"/>
                                                  <a:pt x="28" y="0"/>
                                                </a:cubicBezTo>
                                                <a:lnTo>
                                                  <a:pt x="33" y="0"/>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Oval 75" descr="background"/>
                                        <wps:cNvSpPr>
                                          <a:spLocks noChangeArrowheads="1"/>
                                        </wps:cNvSpPr>
                                        <wps:spPr bwMode="auto">
                                          <a:xfrm>
                                            <a:off x="10312" y="4044"/>
                                            <a:ext cx="229" cy="229"/>
                                          </a:xfrm>
                                          <a:prstGeom prst="ellipse">
                                            <a:avLst/>
                                          </a:pr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76" descr="background"/>
                                        <wps:cNvSpPr>
                                          <a:spLocks/>
                                        </wps:cNvSpPr>
                                        <wps:spPr bwMode="auto">
                                          <a:xfrm>
                                            <a:off x="10674" y="3556"/>
                                            <a:ext cx="552" cy="717"/>
                                          </a:xfrm>
                                          <a:custGeom>
                                            <a:avLst/>
                                            <a:gdLst>
                                              <a:gd name="T0" fmla="*/ 58246975 w 17"/>
                                              <a:gd name="T1" fmla="*/ 72751024 h 22"/>
                                              <a:gd name="T2" fmla="*/ 34262867 w 17"/>
                                              <a:gd name="T3" fmla="*/ 76215829 h 22"/>
                                              <a:gd name="T4" fmla="*/ 0 w 17"/>
                                              <a:gd name="T5" fmla="*/ 41572181 h 22"/>
                                              <a:gd name="T6" fmla="*/ 37689456 w 17"/>
                                              <a:gd name="T7" fmla="*/ 0 h 22"/>
                                              <a:gd name="T8" fmla="*/ 54820354 w 17"/>
                                              <a:gd name="T9" fmla="*/ 3464805 h 22"/>
                                              <a:gd name="T10" fmla="*/ 51394804 w 17"/>
                                              <a:gd name="T11" fmla="*/ 17321840 h 22"/>
                                              <a:gd name="T12" fmla="*/ 37689456 w 17"/>
                                              <a:gd name="T13" fmla="*/ 13857035 h 22"/>
                                              <a:gd name="T14" fmla="*/ 20557519 w 17"/>
                                              <a:gd name="T15" fmla="*/ 38108452 h 22"/>
                                              <a:gd name="T16" fmla="*/ 37689456 w 17"/>
                                              <a:gd name="T17" fmla="*/ 62358794 h 22"/>
                                              <a:gd name="T18" fmla="*/ 54820354 w 17"/>
                                              <a:gd name="T19" fmla="*/ 58893989 h 22"/>
                                              <a:gd name="T20" fmla="*/ 58246975 w 17"/>
                                              <a:gd name="T21" fmla="*/ 72751024 h 2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7" h="22">
                                                <a:moveTo>
                                                  <a:pt x="17" y="21"/>
                                                </a:moveTo>
                                                <a:cubicBezTo>
                                                  <a:pt x="14" y="22"/>
                                                  <a:pt x="12" y="22"/>
                                                  <a:pt x="10" y="22"/>
                                                </a:cubicBezTo>
                                                <a:cubicBezTo>
                                                  <a:pt x="3" y="22"/>
                                                  <a:pt x="0" y="18"/>
                                                  <a:pt x="0" y="12"/>
                                                </a:cubicBezTo>
                                                <a:cubicBezTo>
                                                  <a:pt x="0" y="4"/>
                                                  <a:pt x="5" y="0"/>
                                                  <a:pt x="11" y="0"/>
                                                </a:cubicBezTo>
                                                <a:cubicBezTo>
                                                  <a:pt x="13" y="0"/>
                                                  <a:pt x="15" y="0"/>
                                                  <a:pt x="16" y="1"/>
                                                </a:cubicBezTo>
                                                <a:cubicBezTo>
                                                  <a:pt x="15" y="5"/>
                                                  <a:pt x="15" y="5"/>
                                                  <a:pt x="15" y="5"/>
                                                </a:cubicBezTo>
                                                <a:cubicBezTo>
                                                  <a:pt x="14" y="5"/>
                                                  <a:pt x="13" y="4"/>
                                                  <a:pt x="11" y="4"/>
                                                </a:cubicBezTo>
                                                <a:cubicBezTo>
                                                  <a:pt x="8" y="4"/>
                                                  <a:pt x="6" y="7"/>
                                                  <a:pt x="6" y="11"/>
                                                </a:cubicBezTo>
                                                <a:cubicBezTo>
                                                  <a:pt x="6" y="16"/>
                                                  <a:pt x="8" y="18"/>
                                                  <a:pt x="11" y="18"/>
                                                </a:cubicBezTo>
                                                <a:cubicBezTo>
                                                  <a:pt x="13" y="18"/>
                                                  <a:pt x="14" y="18"/>
                                                  <a:pt x="16" y="17"/>
                                                </a:cubicBezTo>
                                                <a:lnTo>
                                                  <a:pt x="17" y="21"/>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77" descr="background"/>
                                        <wps:cNvSpPr>
                                          <a:spLocks/>
                                        </wps:cNvSpPr>
                                        <wps:spPr bwMode="auto">
                                          <a:xfrm>
                                            <a:off x="11322" y="3556"/>
                                            <a:ext cx="520" cy="755"/>
                                          </a:xfrm>
                                          <a:custGeom>
                                            <a:avLst/>
                                            <a:gdLst>
                                              <a:gd name="T0" fmla="*/ 24062448 w 16"/>
                                              <a:gd name="T1" fmla="*/ 81425207 h 23"/>
                                              <a:gd name="T2" fmla="*/ 0 w 16"/>
                                              <a:gd name="T3" fmla="*/ 77885472 h 23"/>
                                              <a:gd name="T4" fmla="*/ 3437038 w 16"/>
                                              <a:gd name="T5" fmla="*/ 60183446 h 23"/>
                                              <a:gd name="T6" fmla="*/ 24062448 w 16"/>
                                              <a:gd name="T7" fmla="*/ 63724265 h 23"/>
                                              <a:gd name="T8" fmla="*/ 34374600 w 16"/>
                                              <a:gd name="T9" fmla="*/ 56643678 h 23"/>
                                              <a:gd name="T10" fmla="*/ 20624338 w 16"/>
                                              <a:gd name="T11" fmla="*/ 46023323 h 23"/>
                                              <a:gd name="T12" fmla="*/ 3437038 w 16"/>
                                              <a:gd name="T13" fmla="*/ 24781529 h 23"/>
                                              <a:gd name="T14" fmla="*/ 30936523 w 16"/>
                                              <a:gd name="T15" fmla="*/ 0 h 23"/>
                                              <a:gd name="T16" fmla="*/ 48123823 w 16"/>
                                              <a:gd name="T17" fmla="*/ 3539768 h 23"/>
                                              <a:gd name="T18" fmla="*/ 48123823 w 16"/>
                                              <a:gd name="T19" fmla="*/ 17700942 h 23"/>
                                              <a:gd name="T20" fmla="*/ 30936523 w 16"/>
                                              <a:gd name="T21" fmla="*/ 14161174 h 23"/>
                                              <a:gd name="T22" fmla="*/ 20624338 w 16"/>
                                              <a:gd name="T23" fmla="*/ 21241794 h 23"/>
                                              <a:gd name="T24" fmla="*/ 34374600 w 16"/>
                                              <a:gd name="T25" fmla="*/ 31862149 h 23"/>
                                              <a:gd name="T26" fmla="*/ 54998938 w 16"/>
                                              <a:gd name="T27" fmla="*/ 53103910 h 23"/>
                                              <a:gd name="T28" fmla="*/ 24062448 w 16"/>
                                              <a:gd name="T29" fmla="*/ 81425207 h 2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6" h="23">
                                                <a:moveTo>
                                                  <a:pt x="7" y="23"/>
                                                </a:moveTo>
                                                <a:cubicBezTo>
                                                  <a:pt x="5" y="23"/>
                                                  <a:pt x="3" y="22"/>
                                                  <a:pt x="0" y="22"/>
                                                </a:cubicBezTo>
                                                <a:cubicBezTo>
                                                  <a:pt x="1" y="17"/>
                                                  <a:pt x="1" y="17"/>
                                                  <a:pt x="1" y="17"/>
                                                </a:cubicBezTo>
                                                <a:cubicBezTo>
                                                  <a:pt x="3" y="18"/>
                                                  <a:pt x="5" y="18"/>
                                                  <a:pt x="7" y="18"/>
                                                </a:cubicBezTo>
                                                <a:cubicBezTo>
                                                  <a:pt x="9" y="18"/>
                                                  <a:pt x="10" y="18"/>
                                                  <a:pt x="10" y="16"/>
                                                </a:cubicBezTo>
                                                <a:cubicBezTo>
                                                  <a:pt x="10" y="15"/>
                                                  <a:pt x="9" y="14"/>
                                                  <a:pt x="6" y="13"/>
                                                </a:cubicBezTo>
                                                <a:cubicBezTo>
                                                  <a:pt x="3" y="12"/>
                                                  <a:pt x="1" y="10"/>
                                                  <a:pt x="1" y="7"/>
                                                </a:cubicBezTo>
                                                <a:cubicBezTo>
                                                  <a:pt x="1" y="3"/>
                                                  <a:pt x="4" y="0"/>
                                                  <a:pt x="9" y="0"/>
                                                </a:cubicBezTo>
                                                <a:cubicBezTo>
                                                  <a:pt x="11" y="0"/>
                                                  <a:pt x="13" y="0"/>
                                                  <a:pt x="14" y="1"/>
                                                </a:cubicBezTo>
                                                <a:cubicBezTo>
                                                  <a:pt x="14" y="5"/>
                                                  <a:pt x="14" y="5"/>
                                                  <a:pt x="14" y="5"/>
                                                </a:cubicBezTo>
                                                <a:cubicBezTo>
                                                  <a:pt x="12" y="4"/>
                                                  <a:pt x="11" y="4"/>
                                                  <a:pt x="9" y="4"/>
                                                </a:cubicBezTo>
                                                <a:cubicBezTo>
                                                  <a:pt x="7" y="4"/>
                                                  <a:pt x="6" y="5"/>
                                                  <a:pt x="6" y="6"/>
                                                </a:cubicBezTo>
                                                <a:cubicBezTo>
                                                  <a:pt x="6" y="8"/>
                                                  <a:pt x="7" y="8"/>
                                                  <a:pt x="10" y="9"/>
                                                </a:cubicBezTo>
                                                <a:cubicBezTo>
                                                  <a:pt x="14" y="10"/>
                                                  <a:pt x="16" y="12"/>
                                                  <a:pt x="16" y="15"/>
                                                </a:cubicBezTo>
                                                <a:cubicBezTo>
                                                  <a:pt x="16" y="20"/>
                                                  <a:pt x="12" y="23"/>
                                                  <a:pt x="7" y="23"/>
                                                </a:cubicBez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78" descr="background"/>
                                        <wps:cNvSpPr>
                                          <a:spLocks noEditPoints="1"/>
                                        </wps:cNvSpPr>
                                        <wps:spPr bwMode="auto">
                                          <a:xfrm>
                                            <a:off x="11938" y="3263"/>
                                            <a:ext cx="298" cy="1010"/>
                                          </a:xfrm>
                                          <a:custGeom>
                                            <a:avLst/>
                                            <a:gdLst>
                                              <a:gd name="T0" fmla="*/ 10906436 w 9"/>
                                              <a:gd name="T1" fmla="*/ 107174195 h 31"/>
                                              <a:gd name="T2" fmla="*/ 10906436 w 9"/>
                                              <a:gd name="T3" fmla="*/ 44943860 h 31"/>
                                              <a:gd name="T4" fmla="*/ 0 w 9"/>
                                              <a:gd name="T5" fmla="*/ 44943860 h 31"/>
                                              <a:gd name="T6" fmla="*/ 0 w 9"/>
                                              <a:gd name="T7" fmla="*/ 31114646 h 31"/>
                                              <a:gd name="T8" fmla="*/ 29084966 w 9"/>
                                              <a:gd name="T9" fmla="*/ 31114646 h 31"/>
                                              <a:gd name="T10" fmla="*/ 29084966 w 9"/>
                                              <a:gd name="T11" fmla="*/ 107174195 h 31"/>
                                              <a:gd name="T12" fmla="*/ 10906436 w 9"/>
                                              <a:gd name="T13" fmla="*/ 107174195 h 31"/>
                                              <a:gd name="T14" fmla="*/ 21813997 w 9"/>
                                              <a:gd name="T15" fmla="*/ 20743804 h 31"/>
                                              <a:gd name="T16" fmla="*/ 7270968 w 9"/>
                                              <a:gd name="T17" fmla="*/ 10371885 h 31"/>
                                              <a:gd name="T18" fmla="*/ 21813997 w 9"/>
                                              <a:gd name="T19" fmla="*/ 0 h 31"/>
                                              <a:gd name="T20" fmla="*/ 32720433 w 9"/>
                                              <a:gd name="T21" fmla="*/ 10371885 h 31"/>
                                              <a:gd name="T22" fmla="*/ 21813997 w 9"/>
                                              <a:gd name="T23" fmla="*/ 20743804 h 3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 h="31">
                                                <a:moveTo>
                                                  <a:pt x="3" y="31"/>
                                                </a:moveTo>
                                                <a:cubicBezTo>
                                                  <a:pt x="3" y="13"/>
                                                  <a:pt x="3" y="13"/>
                                                  <a:pt x="3" y="13"/>
                                                </a:cubicBezTo>
                                                <a:cubicBezTo>
                                                  <a:pt x="0" y="13"/>
                                                  <a:pt x="0" y="13"/>
                                                  <a:pt x="0" y="13"/>
                                                </a:cubicBezTo>
                                                <a:cubicBezTo>
                                                  <a:pt x="0" y="9"/>
                                                  <a:pt x="0" y="9"/>
                                                  <a:pt x="0" y="9"/>
                                                </a:cubicBezTo>
                                                <a:cubicBezTo>
                                                  <a:pt x="8" y="9"/>
                                                  <a:pt x="8" y="9"/>
                                                  <a:pt x="8" y="9"/>
                                                </a:cubicBezTo>
                                                <a:cubicBezTo>
                                                  <a:pt x="8" y="31"/>
                                                  <a:pt x="8" y="31"/>
                                                  <a:pt x="8" y="31"/>
                                                </a:cubicBezTo>
                                                <a:lnTo>
                                                  <a:pt x="3" y="31"/>
                                                </a:lnTo>
                                                <a:close/>
                                                <a:moveTo>
                                                  <a:pt x="6" y="6"/>
                                                </a:moveTo>
                                                <a:cubicBezTo>
                                                  <a:pt x="4" y="6"/>
                                                  <a:pt x="2" y="5"/>
                                                  <a:pt x="2" y="3"/>
                                                </a:cubicBezTo>
                                                <a:cubicBezTo>
                                                  <a:pt x="2" y="1"/>
                                                  <a:pt x="4" y="0"/>
                                                  <a:pt x="6" y="0"/>
                                                </a:cubicBezTo>
                                                <a:cubicBezTo>
                                                  <a:pt x="8" y="0"/>
                                                  <a:pt x="9" y="1"/>
                                                  <a:pt x="9" y="3"/>
                                                </a:cubicBezTo>
                                                <a:cubicBezTo>
                                                  <a:pt x="9" y="5"/>
                                                  <a:pt x="8" y="6"/>
                                                  <a:pt x="6" y="6"/>
                                                </a:cubicBez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79" descr="background"/>
                                        <wps:cNvSpPr>
                                          <a:spLocks/>
                                        </wps:cNvSpPr>
                                        <wps:spPr bwMode="auto">
                                          <a:xfrm>
                                            <a:off x="12426" y="3556"/>
                                            <a:ext cx="426" cy="717"/>
                                          </a:xfrm>
                                          <a:custGeom>
                                            <a:avLst/>
                                            <a:gdLst>
                                              <a:gd name="T0" fmla="*/ 42171149 w 13"/>
                                              <a:gd name="T1" fmla="*/ 17321840 h 22"/>
                                              <a:gd name="T2" fmla="*/ 35143001 w 13"/>
                                              <a:gd name="T3" fmla="*/ 17321840 h 22"/>
                                              <a:gd name="T4" fmla="*/ 17570960 w 13"/>
                                              <a:gd name="T5" fmla="*/ 31178875 h 22"/>
                                              <a:gd name="T6" fmla="*/ 17570960 w 13"/>
                                              <a:gd name="T7" fmla="*/ 76215829 h 22"/>
                                              <a:gd name="T8" fmla="*/ 0 w 13"/>
                                              <a:gd name="T9" fmla="*/ 76215829 h 22"/>
                                              <a:gd name="T10" fmla="*/ 0 w 13"/>
                                              <a:gd name="T11" fmla="*/ 0 h 22"/>
                                              <a:gd name="T12" fmla="*/ 14057410 w 13"/>
                                              <a:gd name="T13" fmla="*/ 0 h 22"/>
                                              <a:gd name="T14" fmla="*/ 17570960 w 13"/>
                                              <a:gd name="T15" fmla="*/ 13857035 h 22"/>
                                              <a:gd name="T16" fmla="*/ 35143001 w 13"/>
                                              <a:gd name="T17" fmla="*/ 0 h 22"/>
                                              <a:gd name="T18" fmla="*/ 45685780 w 13"/>
                                              <a:gd name="T19" fmla="*/ 0 h 22"/>
                                              <a:gd name="T20" fmla="*/ 42171149 w 13"/>
                                              <a:gd name="T21" fmla="*/ 17321840 h 2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3" h="22">
                                                <a:moveTo>
                                                  <a:pt x="12" y="5"/>
                                                </a:moveTo>
                                                <a:cubicBezTo>
                                                  <a:pt x="12" y="5"/>
                                                  <a:pt x="11" y="5"/>
                                                  <a:pt x="10" y="5"/>
                                                </a:cubicBezTo>
                                                <a:cubicBezTo>
                                                  <a:pt x="9" y="5"/>
                                                  <a:pt x="7" y="6"/>
                                                  <a:pt x="5" y="9"/>
                                                </a:cubicBezTo>
                                                <a:cubicBezTo>
                                                  <a:pt x="5" y="22"/>
                                                  <a:pt x="5" y="22"/>
                                                  <a:pt x="5" y="22"/>
                                                </a:cubicBezTo>
                                                <a:cubicBezTo>
                                                  <a:pt x="0" y="22"/>
                                                  <a:pt x="0" y="22"/>
                                                  <a:pt x="0" y="22"/>
                                                </a:cubicBezTo>
                                                <a:cubicBezTo>
                                                  <a:pt x="0" y="0"/>
                                                  <a:pt x="0" y="0"/>
                                                  <a:pt x="0" y="0"/>
                                                </a:cubicBezTo>
                                                <a:cubicBezTo>
                                                  <a:pt x="4" y="0"/>
                                                  <a:pt x="4" y="0"/>
                                                  <a:pt x="4" y="0"/>
                                                </a:cubicBezTo>
                                                <a:cubicBezTo>
                                                  <a:pt x="5" y="4"/>
                                                  <a:pt x="5" y="4"/>
                                                  <a:pt x="5" y="4"/>
                                                </a:cubicBezTo>
                                                <a:cubicBezTo>
                                                  <a:pt x="7" y="1"/>
                                                  <a:pt x="8" y="0"/>
                                                  <a:pt x="10" y="0"/>
                                                </a:cubicBezTo>
                                                <a:cubicBezTo>
                                                  <a:pt x="11" y="0"/>
                                                  <a:pt x="12" y="0"/>
                                                  <a:pt x="13" y="0"/>
                                                </a:cubicBezTo>
                                                <a:lnTo>
                                                  <a:pt x="12" y="5"/>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80" descr="background"/>
                                        <wps:cNvSpPr>
                                          <a:spLocks noEditPoints="1"/>
                                        </wps:cNvSpPr>
                                        <wps:spPr bwMode="auto">
                                          <a:xfrm>
                                            <a:off x="12947" y="3556"/>
                                            <a:ext cx="718" cy="755"/>
                                          </a:xfrm>
                                          <a:custGeom>
                                            <a:avLst/>
                                            <a:gdLst>
                                              <a:gd name="T0" fmla="*/ 38214799 w 22"/>
                                              <a:gd name="T1" fmla="*/ 81425207 h 23"/>
                                              <a:gd name="T2" fmla="*/ 0 w 22"/>
                                              <a:gd name="T3" fmla="*/ 42482471 h 23"/>
                                              <a:gd name="T4" fmla="*/ 38214799 w 22"/>
                                              <a:gd name="T5" fmla="*/ 0 h 23"/>
                                              <a:gd name="T6" fmla="*/ 76428554 w 22"/>
                                              <a:gd name="T7" fmla="*/ 38942736 h 23"/>
                                              <a:gd name="T8" fmla="*/ 38214799 w 22"/>
                                              <a:gd name="T9" fmla="*/ 81425207 h 23"/>
                                              <a:gd name="T10" fmla="*/ 38214799 w 22"/>
                                              <a:gd name="T11" fmla="*/ 14161174 h 23"/>
                                              <a:gd name="T12" fmla="*/ 17370182 w 22"/>
                                              <a:gd name="T13" fmla="*/ 38942736 h 23"/>
                                              <a:gd name="T14" fmla="*/ 38214799 w 22"/>
                                              <a:gd name="T15" fmla="*/ 63724265 h 23"/>
                                              <a:gd name="T16" fmla="*/ 55583937 w 22"/>
                                              <a:gd name="T17" fmla="*/ 38942736 h 23"/>
                                              <a:gd name="T18" fmla="*/ 38214799 w 22"/>
                                              <a:gd name="T19" fmla="*/ 14161174 h 2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2" h="23">
                                                <a:moveTo>
                                                  <a:pt x="11" y="23"/>
                                                </a:moveTo>
                                                <a:cubicBezTo>
                                                  <a:pt x="3" y="23"/>
                                                  <a:pt x="0" y="18"/>
                                                  <a:pt x="0" y="12"/>
                                                </a:cubicBezTo>
                                                <a:cubicBezTo>
                                                  <a:pt x="0" y="4"/>
                                                  <a:pt x="4" y="0"/>
                                                  <a:pt x="11" y="0"/>
                                                </a:cubicBezTo>
                                                <a:cubicBezTo>
                                                  <a:pt x="18" y="0"/>
                                                  <a:pt x="22" y="4"/>
                                                  <a:pt x="22" y="11"/>
                                                </a:cubicBezTo>
                                                <a:cubicBezTo>
                                                  <a:pt x="22" y="18"/>
                                                  <a:pt x="18" y="23"/>
                                                  <a:pt x="11" y="23"/>
                                                </a:cubicBezTo>
                                                <a:close/>
                                                <a:moveTo>
                                                  <a:pt x="11" y="4"/>
                                                </a:moveTo>
                                                <a:cubicBezTo>
                                                  <a:pt x="7" y="4"/>
                                                  <a:pt x="5" y="7"/>
                                                  <a:pt x="5" y="11"/>
                                                </a:cubicBezTo>
                                                <a:cubicBezTo>
                                                  <a:pt x="5" y="15"/>
                                                  <a:pt x="7" y="18"/>
                                                  <a:pt x="11" y="18"/>
                                                </a:cubicBezTo>
                                                <a:cubicBezTo>
                                                  <a:pt x="15" y="18"/>
                                                  <a:pt x="16" y="15"/>
                                                  <a:pt x="16" y="11"/>
                                                </a:cubicBezTo>
                                                <a:cubicBezTo>
                                                  <a:pt x="16" y="7"/>
                                                  <a:pt x="15" y="4"/>
                                                  <a:pt x="11" y="4"/>
                                                </a:cubicBez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Oval 81" descr="background"/>
                                        <wps:cNvSpPr>
                                          <a:spLocks noChangeArrowheads="1"/>
                                        </wps:cNvSpPr>
                                        <wps:spPr bwMode="auto">
                                          <a:xfrm>
                                            <a:off x="13830" y="4044"/>
                                            <a:ext cx="190" cy="229"/>
                                          </a:xfrm>
                                          <a:prstGeom prst="ellipse">
                                            <a:avLst/>
                                          </a:pr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82" descr="background"/>
                                        <wps:cNvSpPr>
                                          <a:spLocks noEditPoints="1"/>
                                        </wps:cNvSpPr>
                                        <wps:spPr bwMode="auto">
                                          <a:xfrm>
                                            <a:off x="14217" y="3556"/>
                                            <a:ext cx="584" cy="755"/>
                                          </a:xfrm>
                                          <a:custGeom>
                                            <a:avLst/>
                                            <a:gdLst>
                                              <a:gd name="T0" fmla="*/ 47829957 w 18"/>
                                              <a:gd name="T1" fmla="*/ 77885472 h 23"/>
                                              <a:gd name="T2" fmla="*/ 47829957 w 18"/>
                                              <a:gd name="T3" fmla="*/ 70804852 h 23"/>
                                              <a:gd name="T4" fmla="*/ 23914962 w 18"/>
                                              <a:gd name="T5" fmla="*/ 81425207 h 23"/>
                                              <a:gd name="T6" fmla="*/ 0 w 18"/>
                                              <a:gd name="T7" fmla="*/ 56643678 h 23"/>
                                              <a:gd name="T8" fmla="*/ 34164552 w 18"/>
                                              <a:gd name="T9" fmla="*/ 31862149 h 23"/>
                                              <a:gd name="T10" fmla="*/ 44413070 w 18"/>
                                              <a:gd name="T11" fmla="*/ 31862149 h 23"/>
                                              <a:gd name="T12" fmla="*/ 44413070 w 18"/>
                                              <a:gd name="T13" fmla="*/ 28321297 h 23"/>
                                              <a:gd name="T14" fmla="*/ 27330811 w 18"/>
                                              <a:gd name="T15" fmla="*/ 14161174 h 23"/>
                                              <a:gd name="T16" fmla="*/ 6832703 w 18"/>
                                              <a:gd name="T17" fmla="*/ 17700942 h 23"/>
                                              <a:gd name="T18" fmla="*/ 3416887 w 18"/>
                                              <a:gd name="T19" fmla="*/ 3539768 h 23"/>
                                              <a:gd name="T20" fmla="*/ 30747665 w 18"/>
                                              <a:gd name="T21" fmla="*/ 0 h 23"/>
                                              <a:gd name="T22" fmla="*/ 61495330 w 18"/>
                                              <a:gd name="T23" fmla="*/ 24781529 h 23"/>
                                              <a:gd name="T24" fmla="*/ 61495330 w 18"/>
                                              <a:gd name="T25" fmla="*/ 77885472 h 23"/>
                                              <a:gd name="T26" fmla="*/ 47829957 w 18"/>
                                              <a:gd name="T27" fmla="*/ 77885472 h 23"/>
                                              <a:gd name="T28" fmla="*/ 44413070 w 18"/>
                                              <a:gd name="T29" fmla="*/ 42482471 h 23"/>
                                              <a:gd name="T30" fmla="*/ 34164552 w 18"/>
                                              <a:gd name="T31" fmla="*/ 42482471 h 23"/>
                                              <a:gd name="T32" fmla="*/ 17082260 w 18"/>
                                              <a:gd name="T33" fmla="*/ 56643678 h 23"/>
                                              <a:gd name="T34" fmla="*/ 27330811 w 18"/>
                                              <a:gd name="T35" fmla="*/ 67264033 h 23"/>
                                              <a:gd name="T36" fmla="*/ 44413070 w 18"/>
                                              <a:gd name="T37" fmla="*/ 60183446 h 23"/>
                                              <a:gd name="T38" fmla="*/ 44413070 w 18"/>
                                              <a:gd name="T39" fmla="*/ 42482471 h 23"/>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8" h="23">
                                                <a:moveTo>
                                                  <a:pt x="14" y="22"/>
                                                </a:moveTo>
                                                <a:cubicBezTo>
                                                  <a:pt x="14" y="20"/>
                                                  <a:pt x="14" y="20"/>
                                                  <a:pt x="14" y="20"/>
                                                </a:cubicBezTo>
                                                <a:cubicBezTo>
                                                  <a:pt x="12" y="22"/>
                                                  <a:pt x="10" y="23"/>
                                                  <a:pt x="7" y="23"/>
                                                </a:cubicBezTo>
                                                <a:cubicBezTo>
                                                  <a:pt x="2" y="23"/>
                                                  <a:pt x="0" y="20"/>
                                                  <a:pt x="0" y="16"/>
                                                </a:cubicBezTo>
                                                <a:cubicBezTo>
                                                  <a:pt x="0" y="11"/>
                                                  <a:pt x="4" y="9"/>
                                                  <a:pt x="10" y="9"/>
                                                </a:cubicBezTo>
                                                <a:cubicBezTo>
                                                  <a:pt x="13" y="9"/>
                                                  <a:pt x="13" y="9"/>
                                                  <a:pt x="13" y="9"/>
                                                </a:cubicBezTo>
                                                <a:cubicBezTo>
                                                  <a:pt x="13" y="8"/>
                                                  <a:pt x="13" y="8"/>
                                                  <a:pt x="13" y="8"/>
                                                </a:cubicBezTo>
                                                <a:cubicBezTo>
                                                  <a:pt x="13" y="5"/>
                                                  <a:pt x="12" y="4"/>
                                                  <a:pt x="8" y="4"/>
                                                </a:cubicBezTo>
                                                <a:cubicBezTo>
                                                  <a:pt x="6" y="4"/>
                                                  <a:pt x="4" y="4"/>
                                                  <a:pt x="2" y="5"/>
                                                </a:cubicBezTo>
                                                <a:cubicBezTo>
                                                  <a:pt x="1" y="1"/>
                                                  <a:pt x="1" y="1"/>
                                                  <a:pt x="1" y="1"/>
                                                </a:cubicBezTo>
                                                <a:cubicBezTo>
                                                  <a:pt x="3" y="0"/>
                                                  <a:pt x="6" y="0"/>
                                                  <a:pt x="9" y="0"/>
                                                </a:cubicBezTo>
                                                <a:cubicBezTo>
                                                  <a:pt x="16" y="0"/>
                                                  <a:pt x="18" y="3"/>
                                                  <a:pt x="18" y="7"/>
                                                </a:cubicBezTo>
                                                <a:cubicBezTo>
                                                  <a:pt x="18" y="22"/>
                                                  <a:pt x="18" y="22"/>
                                                  <a:pt x="18" y="22"/>
                                                </a:cubicBezTo>
                                                <a:lnTo>
                                                  <a:pt x="14" y="22"/>
                                                </a:lnTo>
                                                <a:close/>
                                                <a:moveTo>
                                                  <a:pt x="13" y="12"/>
                                                </a:moveTo>
                                                <a:cubicBezTo>
                                                  <a:pt x="10" y="12"/>
                                                  <a:pt x="10" y="12"/>
                                                  <a:pt x="10" y="12"/>
                                                </a:cubicBezTo>
                                                <a:cubicBezTo>
                                                  <a:pt x="7" y="12"/>
                                                  <a:pt x="5" y="14"/>
                                                  <a:pt x="5" y="16"/>
                                                </a:cubicBezTo>
                                                <a:cubicBezTo>
                                                  <a:pt x="5" y="17"/>
                                                  <a:pt x="6" y="19"/>
                                                  <a:pt x="8" y="19"/>
                                                </a:cubicBezTo>
                                                <a:cubicBezTo>
                                                  <a:pt x="10" y="19"/>
                                                  <a:pt x="12" y="18"/>
                                                  <a:pt x="13" y="17"/>
                                                </a:cubicBezTo>
                                                <a:lnTo>
                                                  <a:pt x="13" y="12"/>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83" descr="background"/>
                                        <wps:cNvSpPr>
                                          <a:spLocks/>
                                        </wps:cNvSpPr>
                                        <wps:spPr bwMode="auto">
                                          <a:xfrm>
                                            <a:off x="15030" y="3556"/>
                                            <a:ext cx="622" cy="755"/>
                                          </a:xfrm>
                                          <a:custGeom>
                                            <a:avLst/>
                                            <a:gdLst>
                                              <a:gd name="T0" fmla="*/ 52651580 w 19"/>
                                              <a:gd name="T1" fmla="*/ 77885472 h 23"/>
                                              <a:gd name="T2" fmla="*/ 52651580 w 19"/>
                                              <a:gd name="T3" fmla="*/ 67264033 h 23"/>
                                              <a:gd name="T4" fmla="*/ 24570899 w 19"/>
                                              <a:gd name="T5" fmla="*/ 81425207 h 23"/>
                                              <a:gd name="T6" fmla="*/ 0 w 19"/>
                                              <a:gd name="T7" fmla="*/ 49563091 h 23"/>
                                              <a:gd name="T8" fmla="*/ 0 w 19"/>
                                              <a:gd name="T9" fmla="*/ 0 h 23"/>
                                              <a:gd name="T10" fmla="*/ 17550188 w 19"/>
                                              <a:gd name="T11" fmla="*/ 0 h 23"/>
                                              <a:gd name="T12" fmla="*/ 17550188 w 19"/>
                                              <a:gd name="T13" fmla="*/ 46023323 h 23"/>
                                              <a:gd name="T14" fmla="*/ 31590529 w 19"/>
                                              <a:gd name="T15" fmla="*/ 63724265 h 23"/>
                                              <a:gd name="T16" fmla="*/ 49141765 w 19"/>
                                              <a:gd name="T17" fmla="*/ 53103910 h 23"/>
                                              <a:gd name="T18" fmla="*/ 49141765 w 19"/>
                                              <a:gd name="T19" fmla="*/ 0 h 23"/>
                                              <a:gd name="T20" fmla="*/ 66691953 w 19"/>
                                              <a:gd name="T21" fmla="*/ 0 h 23"/>
                                              <a:gd name="T22" fmla="*/ 66691953 w 19"/>
                                              <a:gd name="T23" fmla="*/ 77885472 h 23"/>
                                              <a:gd name="T24" fmla="*/ 52651580 w 19"/>
                                              <a:gd name="T25" fmla="*/ 77885472 h 2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9" h="23">
                                                <a:moveTo>
                                                  <a:pt x="15" y="22"/>
                                                </a:moveTo>
                                                <a:cubicBezTo>
                                                  <a:pt x="15" y="19"/>
                                                  <a:pt x="15" y="19"/>
                                                  <a:pt x="15" y="19"/>
                                                </a:cubicBezTo>
                                                <a:cubicBezTo>
                                                  <a:pt x="12" y="22"/>
                                                  <a:pt x="10" y="23"/>
                                                  <a:pt x="7" y="23"/>
                                                </a:cubicBezTo>
                                                <a:cubicBezTo>
                                                  <a:pt x="2" y="23"/>
                                                  <a:pt x="0" y="19"/>
                                                  <a:pt x="0" y="14"/>
                                                </a:cubicBezTo>
                                                <a:cubicBezTo>
                                                  <a:pt x="0" y="0"/>
                                                  <a:pt x="0" y="0"/>
                                                  <a:pt x="0" y="0"/>
                                                </a:cubicBezTo>
                                                <a:cubicBezTo>
                                                  <a:pt x="5" y="0"/>
                                                  <a:pt x="5" y="0"/>
                                                  <a:pt x="5" y="0"/>
                                                </a:cubicBezTo>
                                                <a:cubicBezTo>
                                                  <a:pt x="5" y="13"/>
                                                  <a:pt x="5" y="13"/>
                                                  <a:pt x="5" y="13"/>
                                                </a:cubicBezTo>
                                                <a:cubicBezTo>
                                                  <a:pt x="5" y="16"/>
                                                  <a:pt x="6" y="18"/>
                                                  <a:pt x="9" y="18"/>
                                                </a:cubicBezTo>
                                                <a:cubicBezTo>
                                                  <a:pt x="11" y="18"/>
                                                  <a:pt x="12" y="17"/>
                                                  <a:pt x="14" y="15"/>
                                                </a:cubicBezTo>
                                                <a:cubicBezTo>
                                                  <a:pt x="14" y="0"/>
                                                  <a:pt x="14" y="0"/>
                                                  <a:pt x="14" y="0"/>
                                                </a:cubicBezTo>
                                                <a:cubicBezTo>
                                                  <a:pt x="19" y="0"/>
                                                  <a:pt x="19" y="0"/>
                                                  <a:pt x="19" y="0"/>
                                                </a:cubicBezTo>
                                                <a:cubicBezTo>
                                                  <a:pt x="19" y="22"/>
                                                  <a:pt x="19" y="22"/>
                                                  <a:pt x="19" y="22"/>
                                                </a:cubicBezTo>
                                                <a:lnTo>
                                                  <a:pt x="15" y="22"/>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27" name="Freeform 84"/>
                                      <wps:cNvSpPr>
                                        <a:spLocks/>
                                      </wps:cNvSpPr>
                                      <wps:spPr bwMode="auto">
                                        <a:xfrm>
                                          <a:off x="59091" y="912"/>
                                          <a:ext cx="22125" cy="8883"/>
                                        </a:xfrm>
                                        <a:custGeom>
                                          <a:avLst/>
                                          <a:gdLst>
                                            <a:gd name="T0" fmla="*/ 2147483647 w 680"/>
                                            <a:gd name="T1" fmla="*/ 0 h 272"/>
                                            <a:gd name="T2" fmla="*/ 0 w 680"/>
                                            <a:gd name="T3" fmla="*/ 2147483647 h 272"/>
                                            <a:gd name="T4" fmla="*/ 2147483647 w 680"/>
                                            <a:gd name="T5" fmla="*/ 2147483647 h 272"/>
                                            <a:gd name="T6" fmla="*/ 2147483647 w 680"/>
                                            <a:gd name="T7" fmla="*/ 2147483647 h 272"/>
                                            <a:gd name="T8" fmla="*/ 2147483647 w 680"/>
                                            <a:gd name="T9" fmla="*/ 0 h 272"/>
                                            <a:gd name="T10" fmla="*/ 2147483647 w 680"/>
                                            <a:gd name="T11" fmla="*/ 0 h 27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80" h="272">
                                              <a:moveTo>
                                                <a:pt x="476" y="0"/>
                                              </a:moveTo>
                                              <a:cubicBezTo>
                                                <a:pt x="186" y="0"/>
                                                <a:pt x="79" y="86"/>
                                                <a:pt x="0" y="116"/>
                                              </a:cubicBezTo>
                                              <a:cubicBezTo>
                                                <a:pt x="128" y="189"/>
                                                <a:pt x="229" y="272"/>
                                                <a:pt x="470" y="272"/>
                                              </a:cubicBezTo>
                                              <a:cubicBezTo>
                                                <a:pt x="528" y="272"/>
                                                <a:pt x="680" y="272"/>
                                                <a:pt x="680" y="272"/>
                                              </a:cubicBezTo>
                                              <a:cubicBezTo>
                                                <a:pt x="680" y="0"/>
                                                <a:pt x="680" y="0"/>
                                                <a:pt x="680" y="0"/>
                                              </a:cubicBezTo>
                                              <a:lnTo>
                                                <a:pt x="476"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104" descr="background"/>
                                      <wps:cNvSpPr>
                                        <a:spLocks/>
                                      </wps:cNvSpPr>
                                      <wps:spPr bwMode="auto">
                                        <a:xfrm>
                                          <a:off x="59103" y="929"/>
                                          <a:ext cx="22106" cy="8861"/>
                                        </a:xfrm>
                                        <a:custGeom>
                                          <a:avLst/>
                                          <a:gdLst>
                                            <a:gd name="T0" fmla="*/ 2147483647 w 680"/>
                                            <a:gd name="T1" fmla="*/ 0 h 272"/>
                                            <a:gd name="T2" fmla="*/ 0 w 680"/>
                                            <a:gd name="T3" fmla="*/ 2147483647 h 272"/>
                                            <a:gd name="T4" fmla="*/ 2147483647 w 680"/>
                                            <a:gd name="T5" fmla="*/ 2147483647 h 272"/>
                                            <a:gd name="T6" fmla="*/ 2147483647 w 680"/>
                                            <a:gd name="T7" fmla="*/ 2147483647 h 272"/>
                                            <a:gd name="T8" fmla="*/ 2147483647 w 680"/>
                                            <a:gd name="T9" fmla="*/ 0 h 272"/>
                                            <a:gd name="T10" fmla="*/ 2147483647 w 680"/>
                                            <a:gd name="T11" fmla="*/ 0 h 272"/>
                                            <a:gd name="T12" fmla="*/ 0 60000 65536"/>
                                            <a:gd name="T13" fmla="*/ 0 60000 65536"/>
                                            <a:gd name="T14" fmla="*/ 0 60000 65536"/>
                                            <a:gd name="T15" fmla="*/ 0 60000 65536"/>
                                            <a:gd name="T16" fmla="*/ 0 60000 65536"/>
                                            <a:gd name="T17" fmla="*/ 0 60000 65536"/>
                                            <a:gd name="T18" fmla="*/ 0 w 680"/>
                                            <a:gd name="T19" fmla="*/ 0 h 272"/>
                                            <a:gd name="T20" fmla="*/ 680 w 680"/>
                                            <a:gd name="T21" fmla="*/ 272 h 272"/>
                                          </a:gdLst>
                                          <a:ahLst/>
                                          <a:cxnLst>
                                            <a:cxn ang="T12">
                                              <a:pos x="T0" y="T1"/>
                                            </a:cxn>
                                            <a:cxn ang="T13">
                                              <a:pos x="T2" y="T3"/>
                                            </a:cxn>
                                            <a:cxn ang="T14">
                                              <a:pos x="T4" y="T5"/>
                                            </a:cxn>
                                            <a:cxn ang="T15">
                                              <a:pos x="T6" y="T7"/>
                                            </a:cxn>
                                            <a:cxn ang="T16">
                                              <a:pos x="T8" y="T9"/>
                                            </a:cxn>
                                            <a:cxn ang="T17">
                                              <a:pos x="T10" y="T11"/>
                                            </a:cxn>
                                          </a:cxnLst>
                                          <a:rect l="T18" t="T19" r="T20" b="T21"/>
                                          <a:pathLst>
                                            <a:path w="680" h="272">
                                              <a:moveTo>
                                                <a:pt x="476" y="0"/>
                                              </a:moveTo>
                                              <a:cubicBezTo>
                                                <a:pt x="186" y="0"/>
                                                <a:pt x="79" y="86"/>
                                                <a:pt x="0" y="116"/>
                                              </a:cubicBezTo>
                                              <a:cubicBezTo>
                                                <a:pt x="128" y="189"/>
                                                <a:pt x="229" y="272"/>
                                                <a:pt x="470" y="272"/>
                                              </a:cubicBezTo>
                                              <a:cubicBezTo>
                                                <a:pt x="528" y="272"/>
                                                <a:pt x="680" y="272"/>
                                                <a:pt x="680" y="272"/>
                                              </a:cubicBezTo>
                                              <a:cubicBezTo>
                                                <a:pt x="680" y="0"/>
                                                <a:pt x="680" y="0"/>
                                                <a:pt x="680" y="0"/>
                                              </a:cubicBezTo>
                                              <a:lnTo>
                                                <a:pt x="476" y="0"/>
                                              </a:lnTo>
                                              <a:close/>
                                            </a:path>
                                          </a:pathLst>
                                        </a:cu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1ECB55" w14:textId="77777777" w:rsidR="0048064B" w:rsidRPr="007367A7" w:rsidRDefault="0048064B" w:rsidP="000F0E2F">
                                            <w:pPr>
                                              <w:rPr>
                                                <w:rFonts w:eastAsia="Times New Roman"/>
                                                <w:color w:val="00A9CE" w:themeColor="accent1"/>
                                              </w:rPr>
                                            </w:pPr>
                                          </w:p>
                                        </w:txbxContent>
                                      </wps:txbx>
                                      <wps:bodyPr rot="0" vert="horz" wrap="square" lIns="91440" tIns="45720" rIns="91440" bIns="45720" anchor="t" anchorCtr="0" upright="1">
                                        <a:noAutofit/>
                                      </wps:bodyPr>
                                    </wps:wsp>
                                  </wpg:grpSp>
                                  <pic:pic xmlns:pic="http://schemas.openxmlformats.org/drawingml/2006/picture">
                                    <pic:nvPicPr>
                                      <pic:cNvPr id="340" name="Picture 40" descr="CSIRO logo"/>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5836" y="863"/>
                                        <a:ext cx="8941" cy="878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8FC5301" id="Group 759" o:spid="_x0000_s1026" style="position:absolute;margin-left:-68.4pt;margin-top:-6.4pt;width:637.45pt;height:80.5pt;z-index:-251658238" coordsize="80962,1022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0qjojJgAA4goBAA4AAABkcnMvZTJvRG9jLnhtbOxdbY8jt5H+fsD9&#10;B2E+BhhPv6s18Dqw98Uw4MRGPPcDNJJmRrBGUiTNzjpB/vs9xSJbVd1sNrW73rU3yuGSWaq6mqwi&#10;i1VPkdVf//Xd42r0drHbLzfrFxfpV8nFaLGebebL9f2Li/+7eXNZX4z2h+l6Pl1t1osXF78t9hd/&#10;/eZ//+fr5+31Its8bFbzxW4EJuv99fP2xcXD4bC9vrrazx4Wj9P9V5vtYo0f7za7x+kB/9zdX813&#10;02dwf1xdZUlSXT1vdvPtbjNb7PdofcU/Xnxj+N/dLWaHn+7u9ovDaPXiAn07mP/emf++pf+++ubr&#10;6fX9brp9WM5sN6bv0YvH6XKNlzasXk0P09HTbtlh9bic7Tb7zd3hq9nm8Wpzd7ecLcwYMJo0aY3m&#10;+93maWvGcn/9fL9txATRtuT03mxnf3/78260nEN3EM96+ggdmdeOxuWEpPO8vb8G0fe77S/bn3c8&#10;RPz542b26x4/X7V/p3/fM/Ho9vlvmzkYTp8OGyOdd3e7R2KBcY/eGSX81ihh8e4wmqGxTiZllZYX&#10;oxl+S5Msy0urptkDdNl5bvbw+vhklYnnqPtX02t+qemo7RiPyvyjGaCTQqqlUKefSwidoUyvGwFk&#10;ZXExgniyrOIZ/J5CwJrbH6fV/sOm1S8P0+3CzNY9zRgnUGiEp9Wb3WJBC3k0xkybL/YzLMPb6ezX&#10;e8zy9ZzFbJ50E23Ps2y03ryeLw8/b5brA7poFAJtClL6xx6zc3DCdeQmJp2Ud6GmDgT/tD98v9iY&#10;uTt9++P+wGZjjr/MipjbId5gZHePK1iQv1yNsrQYF3VeFePR8ygr6ppVdd8QY6r5iB9GeZq3aSFF&#10;H62fce4n9jLGRIpnjFXpI/Yyrvy0/h6P/cRexthRfJ3wM574ib2MyQLGc05PUV96kv6g/mNHkpG/&#10;s1JxSd8MkwrrYyQV1cvoFAWlJ2koPUVF2Ukqyk5RUXaSijKpIrHSvbrKpK4EsX/KZlJpgtrPWmpP&#10;EPewlmrsmQ+Z1F4yqhL8Z1SVZW63mqP9yqTmgpS5VFuYUqosTCn1FaaUugpTSkWFKaWSwpRSQ2FK&#10;rZ2A5PNoHeXROiqidVQEdQSP695tjNMHt1fO3q3tZom/RlOKDm4w02j33G725NTR3gmX5ob3d+y5&#10;79b0qyCfKHKon8jNTol3dsgx5yR3aJbIS7uzd8lTRQ6lEfm4lzxT5NAHkRuP2duZXJHTTkP02EPY&#10;R+12p9AP2NGyY+B9Q6kfsOOFI933hko/YEec9g95rB+wY4b97nuD1i/Zbho0rHLfAy0N20HD1vY8&#10;gDkrdUx21ryhd9CYuuoBO+hMDZrFa6frDiFkO3jcXYwQPN5SrzB9pwea5e7P0TPccnL2Rg8vLsiR&#10;ox8eN28XNxtDcqC5zgToaiOLI8Xs6XY5+27xL0Wf1Tw0psdLmU1UMw1H8dT/YlbpZOJ7Q1rXMEro&#10;aJoYEbk3p3XC6k/zRnQR70hgNc2orS9sh5GACbU3fq8b3phfYtujBpLl2Kh8zIxOPC9ptce9xD3U&#10;0kdUc+cNR91bXeQ2vDNxL8iPBD7V8bKyMTJzCDd1OtDPNS2V2plvqDGKd1raldriFNse95Jxgr2P&#10;pq4eQzquXHtmV7BZTO83pVvroG999LXHjeSTvGRsN6WWtMqC16CaX2l7hsoZhDGRTTTYS2MczUCP&#10;QfR+s1rO3yxXK7KJ+9397cvVbvR2CpDuuzf0f9bgK7KV8QfWG3qM9wNuQQxv7S9F8wZ0+/ckzYrk&#10;u2xy+aaqx5fFm6K8nIyT+jJJJ99NqqSYFK/e/IdMc1pcPyzn88X6x+V64QDAtIhDQiwUydCdgQDJ&#10;+k9KePBmXL2DJJ86catbDdJgIWZfeVhM56/Xc/P3Ybpc8d9XusdGyBi2+18jCAOOEB5C4Nb++nYz&#10;/w3YyG7D4CfAWvzxsNn962L0DODzxcX+n0/T3eJitPphDXxlkhbkCh7MP4pyTNv2Tv5yK3+Zrmdg&#10;9eLicAGnjv58ecC/8MjTdre8f8CbeMddb74FCHi3JOTE9I97Zf8BFIr7+vvDUYgF2nAU3NkT4Cg3&#10;AEBcDFSdjD5hcrLhcehTWde0AxLgWRSF+RHrxYGlHw4+GdNmJtIxeJM+vIgbH0apJ9ATcISgfR75&#10;GOtgy8sPnkaDsxDi4GOj4ysvG+zzg2xkSCW67uUHQ9fwE7T+/sm4ShB7GfcDS76R9wNLHtUoYCkY&#10;XbZApUB0mWr9hCi1lkKUWlkhSqmyzoiwLiKjS0jGONyR0aX11F0wOhRdQkaSO/vO/dElwjBJbsOO&#10;xnVuh7qpjs14B+6PLtNWZMZuWiu6pB24CcLfJ6oxc5WiGpqGNJqjW2r91sZPQf/JTEoS6SFMbfyS&#10;VhMeGvxdY54sn9N9jnaIE+MGu16wtNxurPup/yW5NmsxtpHkPxwiNZ6xs8JOJM5jDrfHvaTxjFvM&#10;Gs84NyG6ExArnjzpRq9yJHjnif4eJXcXjcc3nc0W6wO7CaunR6QM2RNMGydpeo12yv0ZD9FpyuSI&#10;iY2ZacqLOruKZvkp59ZI6YtxFW2SuZO+hSGWSWyYaUiinaOmNP3HymFP0triDblLxjq3rq5LOEOc&#10;xi4MSgYT4HLYVY0AwOAUWWWzfSKJW5fwz+yTbpfw57E/RQoXu3zbZ8b++El85qOYytImIJx40wSu&#10;shHSONUyIkt7jDWjE7YpcURoO4FLmlsX3e8wU+oE+SKzZx0p0JvGf6wn6BS8HC8r6SKPqywt62zi&#10;5SgdsWqSpHk9LrwcpR8W5CjdsLKuKhy2yL0cpReWp+kYQGDp7aP0mssyS5Oq8nNUHnORlUlepF6O&#10;yl0OstSucpCnVE5JqimSyjtw5ScHR6785CItkrrMenhG6wc77HESZckY0GgfT6mhoM5VPtY/I1US&#10;tmd2w1w10zsdZ2VeVP6VAlD0SNnDTKojgzbArfaqQyVaC0yaalIW3mmjsqx5msBgJKWfp1QHgu9J&#10;Pqn9CxAm/TiUME+pjjBPuWJyDKma5HREpGtyVII1OHaVYC2KGh1I/VMRrt1xRH7loCNHEmR+Kxyb&#10;ybwdzKUl62Embdh4klflGPrzjTaXWsEQcLqvzr2ahtt67GCYZ7RWVEo1zFMasqCmVUq1zqCSJE29&#10;Y1cp1aCmac9rluEkT6txPfGv6WJYOYVUTnj7K6R2/KoupFo6kTsF7u6YVCHVEqaUiyVMKdUSpMR5&#10;wqMIw5R6sQRQi1KqJcxTqyXEU2onzFMrJ8QzWkfIA8RKKVpHOFIaybOK1lEVrSM64dcsnaA84ZHH&#10;UkbrqIrWURWtoypaR1VQRwjhI1E1rHEJZHEI039mAwtdkkMBgBH6z2wg1yTJIVsi78/m6/MCEBuR&#10;u1igc6YC615yh0SIvPf4AkIwST58ZgM2QD1gRwuH0kTj3SMqCA/VA3a8/Wc2gJOpB+yIm/CnO2SN&#10;O5InSGPuP7OBIEu+YfjMBsyEesAOuv/MRql1PHxmA0ZDvcEOWp/ZQMjXnCuC7VAP2EHDm+rRA0yI&#10;fICcKZISo2AEqbXxWVgS9YCb172ahkFRD1hNw+Xp65LWNHk8pku9kxvmRb3BDhrnv/reoDVNvgq9&#10;AZ5I3wNa0+SImAf6B601Tc6GeUANmsX7AYdtyFsFKI1wnMbfxqTpV7zUYYbHnyWC6YBO8o1BrA+n&#10;YMtCG69JR0hhARoZAqARDAK7diE50IBR3eHGKN5Y/tQbizBZwHigLY4xD9PMOTd0ClDxst62z8wY&#10;m2xHFANtcT3meaT1R8m3Zho0ApKNUbzlZHJchtqiGMOLQff01PVMcV75bokMz2WWp6F33Q03RXWW&#10;R2xsg+PqmcNs1o5b6uDCs8tXJZhsm8UTecHYtsa+xjJWC0EycYOQbVGCsI4Gj9FxGW6M481TQumO&#10;AC9Mk962OMY8TM1koC2KMeE/NImVAocbT+KtdOh49zd+ft68k3I2zs0QlyDUgrKUzR49OK3p9gHk&#10;rTYTu92ptQn3q5k1HYGs1vL0amsPdj/OVpv9gn2Nj5A/5O3/nD9sn6czSVSzLKEllSQ9HzVrLtT+&#10;PjcfsaO102YwZp8kbTae2EOuuSdtNkYvKLf40dJmALHHACIJ2TSGRkJ9Gp0ZTpvlkySb+Fmh2w18&#10;E0x4wOg1hDj/idvEqYGcO52DrWsIgxyhyoawrItinGYmydXhCKvYEAaTR3BkGsKyxN3vpPD3EZto&#10;Q5gFU1zw4xrKIMv3TZuFukleRPP24MhbabMMCYHcL0x4rkeeQf200mZVVo+RO/DOR6mhME+pIgOx&#10;d7R9etosnSRVbnIAHWanps3yZFLkKXKovmGSF9OoI5hQ0GmzIE+pjmDiQ6fNgjylOsI8pTryIq/T&#10;bOJfMe+bNqvTPK85ZdhRzulpsxw3USYm/9hlJpXjz6Xk0oaNJwmqMXC+ustMaiU+bVZnMIpJ1tPB&#10;aK2otFmYpzRkQU3rtFmJ8/Rp4e/n+6bNqqyqcKHVu3JOT5uFtr9z2iyYaDmnzWyxiLCU5NIJUp7T&#10;ZjHyPKfNZKqAgbdz2kxkkEqdTDmnzegsfzcLdk6b3fx502bwQQNpM/zqMGGo/pw2s4hoB+nU2RKb&#10;e2OLqgDkP3jajHusQF/b4962OFHIZJhDqv/oaTOLmSu4+0+eNuNMzDltxjf9OeF5gjQIsnLmsJnF&#10;A21x64MV8ydLm9kFogycSz/1N0YJZJiNk7+iPIm3yvs6NjptBkwF+j5hhtgUmbKWNkWm7AhV13Iz&#10;qdNplxnjbYQOVwtS9+M5bba/RhGEc4WGL7RCQ0Yrsp03Q9MnyZtR8Quz6v5kebNJhusFBV/56CLE&#10;IhUQzHhg6E3OYJyhJFSV+xF2CTkHOZ7zZigEG87FyVzACXkzXL4qq9oPi39xebMsCWT0/hB5s2A+&#10;Si6XYOZD582CPKMzNKqeZz6u00mR+lOj57xZxHWzcI4rWivnvFmanvNmOP0mz8rQpf9mAw7mec55&#10;s5g8z/m6WYyUztfNbIko9vzP182ai1Tn62aoVmzTo+frZtiqxB07nSEldwZY1c1/wXWzz5E3g1sJ&#10;6Z5y3YzzFfq6EgVKDZsGRpWNHUTSm97i3iioc+gKWhzjc97MaYVO03ZUNdwYJWaWsp4aQ21RjHn/&#10;1NfNOP+nblSeet2M+6ZSJOGmqM7yJFbYPNswNa9/t7yZu89l0iVRHVZPNPPEprJU1kVRxvFmI8D5&#10;job3YGMcb54WSn9D+bQ4xufcWesrAXYBqsng8lv9jVHCdmx07symyc65s3PJSlHC/XzlzNZc/+TV&#10;zTO6vcm5s59QKxXfcDwpb4Yv7b18wLd5Ft/udptnKkD/gd/bS5PcHvYpcL2JCktMr135xozgZrqG&#10;Rn/wNVBX8Xy74+qNI/rjxcVitVpu9wtT38EVc4TRclTEVF1sbArDcr1Yri97vh/q/97CebF+vsUK&#10;N7ad6EbTJ0l0o0znmN2FbqYbJTc/6gVRlDdFthLlQ1FJ37ohx1JwcDIbyHucjUt88bWnvKMgzIsM&#10;CUFz47TLUSZUg8lpjL95Nd3v67KSibsC35HJ0tpfshRqa1jl46qeFCXdLupylAki/80vec0NhdCz&#10;BN9a8bKC+Ty+s6gKurrmu19L4UBDWKb5BJR+jupeaDrOMdzC30my6g3P4IApaG0oUcC2REnTnn5K&#10;fWQo34nJQAVGu0JU+W1cBEzqosz8Y49WDN5y7GeFjw7XY1wv9MozWkPqemg48at0FFovKtsdXjBS&#10;R8FskrosGqaUOgpTyrUTppQ6ClNKHYUppY7ClHIZBSlVjdUwpTRqYcqgjuDkRJblA5ojr/QwKtBf&#10;lg8Kl+ToBPyw/rJ8CP4kOe8b/XkS+/kj9ykNqJe4G8tPsWa7mBoQdsmdUZj+snwA4iW5BTtaH7uQ&#10;UHXrM5PWIb1hsMPbIV1wzoIVNwxs+R5ofWrSnpy/YcPlfUDfnBm+X4QSKnLQtnBY61OK/KYPKKVG&#10;NrD/Tgj9Su66KxAXvhRipaZhRv/Jf56tTEljGKxR4wNHmQkkaYIMPkFr29wHlYYZ8wMKzoAZw6A1&#10;esXAmGmL6q8FbjUTH2NeKk7Aw/2ljRC9UyjmUFtcj3mNa8YsdiUd8hjQAdMWxZhXt+LBg1b4lJVD&#10;vCDsAwqd4lfpGWH7y41RHba6a7Fh8bQabScaQ6fmsTu+ba8ItdaS+/V8uPt8uPtL/vxeRnci2jEv&#10;mj5NzJvm2GTIXnliXtpSTVEk3P3VaNR7fUsEn5+sMhTip/jFWiV/zFunqOmDDz1QqNE5ua29Qx8r&#10;GV2N8ZGOshibSKjDSjruqJ6CKMzfN+m2o1x9nRdF5e0brF0T1wVHC/U2hBU+Z4HY3QSAnS5Kn526&#10;WPD3U7ryky57WVVFjiL43j6q0JcOEReo8OJXiXTZ8WIUb0GFJ59OdOgbkKSKfLMCJ29L/sxLZ+Dk&#10;KzUiQlkffCTBlJfqjlxFviY07zKTiilQJSev+5hJzeRlPgFw4R+y1EyYpVRNOh4nqP3jn4+03uLG&#10;rCJe1Duq8DUaE5l3hk6ru+EZVLeKeDN8LDa10X6Xp9JNaFYS9t68PcdnoVC2xnxVpMtTqqgsJvj6&#10;SM+0JHPZ8CzxAZJ8kvrVro55B9ejOuYdND+fPuKVp2FbHxcJfNRAFUsKx9tSR2FKqaMwpdRRmFKu&#10;ozClXEdBSlUsKUwpTVyYUq6jMKXcf8KUch11KOGKRyIdrVibI7Z+pAN1u1TgbLb/fqSjFWejz/AW&#10;+pEOTFHJHVOGyJsAoI10YJ5Kcg5Q+pEOVIeX5MNIB6rEqwfY2QkgHfjqsHrAjjeAdOiS7hFIRwtL&#10;sWPu/wAB5rPskh/pkPAOaoCpB+yg2ZmiEK+tBRSuVw/YQcN8s9/XfUBrefhEKFKd6g120E2e07yB&#10;u/YhaA2mG6E13LsjGsMRJowS5mIjhePPGlVgYoYRmNgd/+kHWU5AahgeSFVwP9QWFZZz73QAzqPQ&#10;bSwGbotiDMMLuWkmduX5G413H8XasVGoin2fBxE5ApQKSPDpz0rDfpHQQgw8EA06mbbGPg3yZVVZ&#10;/4XZ8mpRXHkIJ8BhzFbx8EJk/K54FMhijkq+Q21xmmOjopQkoS+3ZlgS8WgYz07FlvcQNQRuip9n&#10;TK+QUH6RarKz0Z290NNK/8tOKKsOrTd+GYIigbvabeG4jQxPNGYDay/ZsNS1WWrZNd3RM3x2hs++&#10;aPishoVpw2fwLk6Az3DG6/V8efh5s1wfPvR0V4qw1ewo+PSx3SSa0130ZXf+gDEMzUcA1NIEBXCB&#10;9AC9sSe0/XhamqCseZGi8u7DiD/gJGNKWJQmnA5xlGFNUaDOcl1R2N1lCJvYMKQzJJ2+yYAzyAkW&#10;MMwJlq8hQKGAFEc+CJnr9gmSbwizCQ5HTCqv2DCXGrogQ9oqGsoQR32AJKgJBaOFVKFgtLB2FY5G&#10;Z3XyiSkl31GKgtEAvkK/OBLjkyVtZc3QcdwimQAj86g5ldoBTDNOgcX6OSr1hDop9eOffRpEy8ZZ&#10;AoDT1z2NoYW6pzG0QPewLR8lE5QhnR1vZNgJ/dXylKslTCn1EqaUmglTSs2EKbVqQtCUXDpBnljH&#10;kVKi76nEyfPTQ2hwpyOBnNahkiEgp3WohF3DfiCndaiEXdd+IKd1qIS90X4gp3WkBPOGcJ/GlW4j&#10;Dgj8JR5gPe/AkZUWyGWPTYSAHA2C2KAndGRFgyARQI4GQRALmzH3AzktsGsYyGnBXTZVd9NAGB8H&#10;NcHKBWiCxUYaOaIiHOJwHM07Kmby8WcdZkhijtJdAGgDcRUxy7aoaJOXgmY81HYCY7sb8iCYb19T&#10;FFeeCYpFuOkErs654c4y2/62DmN3rEIqrNGu+9EFjVLf/ACbARd4h2cDWxib6uXH2UapUJ6bzPTo&#10;dNY3x5jeICBuivGLVKDM/XRutuaj/yXlqFhgWRDsJcNvborvK9Or4bLClFC0THXvnCYgmvMXwa6v&#10;rsxFlun+q8flbLfZb+4OX802j1ebu7vlbHE1302fl+v7qwzfDrp6nC7XF6NnVCku7Uapb8Tsztez&#10;NnfLA8Whz9v9Z7vxMYG5bYfvWDYnhO9uBLO/v/1l+/Pum69pOHv8Nbp9/ttmvnhxMX06bMzm5m5T&#10;Yb6M3mFt08ELjtY73wQzv3zET4IVWTpGgGpO79u9sCdaD10ygPFr3NwcX6vJk4Q+duQ2xiNHGYkE&#10;ry3IQCQd4yrCBGG9j6OMQ4JF+SDRpo9BjjIKCd5Kgc1sOPo7hxnTUARZqbjdz0tF7OZkgUVyj9LV&#10;kXqRlIBXephJRfQwi1aBitHDF0ekEoITJZVa6OmglD9u8eDCSt0zWqkHPzMVnwcXhQ7Qg6tCLotg&#10;RKki9DCl1EqYUq6MMKXUSphSayUQTatDLmGeWjkBnp/+kAvcm9gYWUdp7Kz3H3aAwmWcyc5jIEbW&#10;aWp2LAMxsj6OwHtJIEbWhxHYFQzEyK2jCG6sTfavE1S3jiLY0fLuQM5154FWFG7He8xStR9oR+F2&#10;xDAijGd33oDQQso/IkbW+vXHyDyWDzkoALMcuNbBgjN+O14VjnIsEqGcfJsI1W2sPse05eardCCH&#10;JFiuiD8UD1gFNKngAcYHTQ3OovjodzBXpufzCi5+GmojcQ8y5uFpxkNtJzBWoRnz7WuK4spTXbEI&#10;N0VxZUmq7HW4KYorq11Fomw7VPcthmbaotjaWaqZ8NTXbQzX+Bk7yIBnl1wM6IP78RzFnpPQX3IS&#10;GifKO1FsDSN1QhT7MZPQ+Aosm4zupQ4k4T7qpQ6cpE+L8YTCWmf6RZgkorLgqWoYnSZ8o8iiy0qG&#10;UUWGGgD43jRyiYyEy3wZjHjDKtg52OWG0IQqnahceuvjqsjq0pQd6HZOOus5Ch1kYyTlfZ2TgVSw&#10;c9JVD0pOxbNBliqsDd4Z0NHtGBdj0jrzagWe5VGIwZGrPHS4n1IxwcsxKhFdlmWdT3L6THpXQfBP&#10;Y/sZrSJVySAoTxXyhkO06IQnxngcUZin1FGYUq6dMKXUUZhSLqIwpdRRmFLqKEwp11GHEg5KbNCp&#10;T2Cz+xkIOnXQwy5VIOjUIQ+7oYGgU4e0g0GnDmkhO8QLgaBTh7TDidlWWtl6gIHEbCuxPJyYbaWW&#10;hxOz7eSyHbNOzJKL/G79ATEkLcH+w+bWueYNCu8KB5FYo9CK283Yl+ZZpk9Y27YPur7vCXNkJEBy&#10;GQz2bByvwgSSBwahgh/bBv4WHxjk7J7QB3NZg1o+bQm3er3a7Bd4qZS8jVH4rLU7khxWDPtRakwc&#10;0Knz+9x0wijtA57gXuvbjpEb4zRjWWv5sZFgXMdF/XYdndBr+4QaOmHSba3bXjsJ+xWD0ZwzmueM&#10;ZoESYrBqux/WOHpL3xrDP27NP+wv0/XsYbN7cXG4GPGfLw/4F6ietrvl/QOKIfJuu958izTf589o&#10;IqnoYkFTcLKGuTktDvzIBSfzmvB8WqOdgpMpZV/PBSdxmvnVm/8QUJ0W1w/L+Xyx/nG5XozePa7W&#10;Z+DmywZusH21jh/U8GNOW7Af7fYA5UPNUu0CN2UNs/IRq3Gg+EI2mZQULzuXww/cBEtoQFQNiBLk&#10;KIPQcYKj5TWXJ+yALhhlwzHD1X6c1CfsodtHKK4hDEIkOgL1sZKRZ7B4hgw8c5RdKFAX1Ns5GXcG&#10;6x4o/KYoijRPxia3bv03oROJDYR5Kq0EeUq1ZDWqW2a4HeBDrhR+A3wrT+rUnDzp9lMqJoiLKPym&#10;wttRgcUrTVoUja6DJTQwTY6UpKG67pnhSkOBQh8KvIFyinGFWi2+WaTOK/gRRQpumoFUmNslBOln&#10;pjQTqpSirhKEeUrNhJe1XDPBda2qcYR5StUEZzrC96OUgmCvOqgQXJDIQ8fylDpKYauyjE9EdWa6&#10;ukoQtBuqGkdw9eDE97Gf1TirigTXV3wrEpUNjpRBeaKkwZEyWMBIfYIxzDNaR19GNQ6VYpA66qCK&#10;ilLqKEwpdRSmlOsoTCl1FKQsEQY0dilMKddRmFKuozCltHVhSukdhCmjdVRG66iM1lEZraPw9xiB&#10;kUQi1K0aIRzw9SPU7QohxunsR6hb9UGgBYST/Qh1cRpC3aoNAtkR9+ZIS/sMUnEqQl3oY1fDCDWy&#10;p+rQkh1v/7GoonXwClOKhgC/pedYVNE6eGXHrBFqA1AD9LgnWesMBHkl9Ab4HD1vwIdT5RgsrNq6&#10;OqTeoLMQ5FaYNzQHltp6KLWW7UnqG3gEfV3SmQg6uWje0Ktp1B2UY7Awxk1zXaVz2gxrWT0AE0Rv&#10;wEbd1yWtadqnzQP9g9aapk3YPNA/aK1p/1cBCdn9oFwE+b2BXAQPC3OAxRCGvG1CBlMM1A1YbFn0&#10;N8ah06wR7knDmyezRvdhayHYJn3SwpBVGoFhfcvZBpQyhaJHwi9D7GGnhGKlXyOZMEzuuszSUBe8&#10;bKasmcyDfCl5jiFqJgNtcUJmJjoDMNB2CmOVtbDWVGVIeGH3wP9KLixhXkSKBQtYNbGCm5Wp+Pj0&#10;Bk8F4lWn5sJNUTJgOaplwN1XTfC88G7TFMXVZlYUD1rTYKImtG1rrM2wEJhJa8ENNnY67U7yscKc&#10;iXAGxf3qzvl5km4sN8yWKBNkF6mhdmvOLjBm4W3s9No3LdiwaC5wFmmqqOlm2+LthH3A6MZ1j6cG&#10;b+uujYV/3OqHdWiloS0FLwdMCGmlrZT988NpyeqwpRH3q9MhhHnOz53zc19gfg6Lsg35Yy2cAPmT&#10;CaNLhu9x47BMrBfbRfgr8tE/IsJfoqh0WvJNLWs6BJosAv4wbCcIgxwhwgZCCAJX2NobwgzTK6nN&#10;8VFnJI99lCH8aQh/Z7gycgfqWqGitP/4KIxz0zmDzHZYaVDFh8wpTB83IEucnzQltju86KCEeJ2X&#10;GSZFQxJmJjUQrtctVZCn5SShMtzAtLsdlDqIP4xZIG+Tjhkn7/KUyggWcCZvpxl7mOewVihkbphV&#10;VTVBQSyTbuh08GQgP8hMaiW80qRWgksN99mPQwnzhK1rBh0EzBSQH6aUWglTaq38oW4cSphWAfnB&#10;ESkgP0wpdRSmjNaRAvLDPIM6gmsXCSu2DneyI9oPK7aOdrKL2g8rtg52cszXDyu2jnWyb91/2xIb&#10;rQSDIBH4+P2wYvumohtrL8LWKoxtA+HAwVdMM9khG0SFKhJpwMwGiQFYsVUvyEaLN8dYo43htcpj&#10;k40kIfXDiq3y2OSymAd6ETYAXnLQfliRArcPw79gaQL4F9YieslBMN41gH8xtdsMbbQ02EhjGA7l&#10;WF6tcJyl/rvhX3ok/DKOdaP6zA8oaCLcFMWV5am4hptO4OrKYbDqrOYUjiLbTmGsrt6yAdIROOYh&#10;Zhq3RTG2Z2U1F2tLUoUlWHtxzEIMzza2qErIlktvW1yneZiayUDbKYxb64M5Bxo7vB2YoRZvs/7d&#10;r2eo43y68TOdbgR+cH99v9v+suV6Rc/7rT1uCmDhxcXD4bAdwp6eN7s5l7qiv7a7zWyx36P81S8P&#10;0+0Cm65FKFAHaTmHSSIHvw17GMBTIRn4bvz2x83s1/37YxwIJycMtE8cytqUQMYBM5heAjnqunY+&#10;g6vK9H5fFcP106LOq4LOeVW4dGvg0COI0ImwxxZUPpLICJtifg8XGcTRhVf7RgTsXXYyjBO0Xr4Q&#10;RhOeCVovXxkmCFovXxliC1ovXxkqCFovX1jipr/miFt3+Ar9GOLXBUA8DLV+AlGkuo4ajI9oFxQD&#10;CfGUKgrzlAoKU0r1dCixmUVGZ1he0rdmr6w/OoN4JLl13d0q7CTTISNJPhSdwS+R5EPRGYIZST4U&#10;ncEVkuQ2F9SqF0tuwAeFEbTyTRyBWUivOwYK7Ejg8Kfx74yVwduOv2vX37odtaB22Z8xOzP4SeRt&#10;WHPpCUnp1J6eSFH+XjDK6OwkhTpuGbl+8xtsc8dd8vW+tG9osTIi6r6h1Rz1BveMciOHGzu8nTvn&#10;xiqkDlr368dy9m7v+WTN6ukR1QVHb6crbK4J/YcVgfafUF7QtLt5YqpWLl6udkgcYIfdrJbzN8vV&#10;iqbYak3/vd7Qv2nPdS3YMu3dVNo8n3bLFxf/xn5aJN9lk8s3VT2+LN4U5eUE8Pllkk6+Q9m+8zUW&#10;XBT7F2p+7qbbFxf7fz5Nd4uL0UreLDvIm2Vfzp2zPMeybzl3aQKL/UmSWiU+wAgHCUZhAvNjrJFw&#10;+BIsR3b4KgelnR2+Fxd/uRoJ58jrmEFwjY8iaL2OmfQoBK2X79nhG/2hHD6ZiiDItlF6TzACPE/S&#10;eHWss10mCUw7q1mcIvKR0RE2erpowJ4D9qGzE9pGy9/fCb0hveKqMkHxI1xfviH93DZIOx+1sfs9&#10;nbqhutXGEyJQ++yMXpydUesu7mXZ8jc1/R8t6v9Kr/JxeVjsRqvlI9Ak4YA/LKbz1+u5MXWH6XLF&#10;f1/pu91GZPBS3P+atWcO9VDlcAbPDu9u34EL4WO3m/lvANJ2G6xhrNy3ix3++AN6mxJW3C5n1/h/&#10;Cyvirw6suNku1rjjfrfZPU4P+682u3tXQv9xBWQxqa7w1OGJvGi+Cv8YxeNxuvv1aXuJwvwwZcvb&#10;5Wp5+M2wQ0xNnVq//Xk5IyHTP3CGyiKUOd0UYycWv9NrR9RiXdiXv/zwj59Gq839hua7e5L5wHwu&#10;Zwa1RBU9Wz1hv13MoCN2OTU5jUp34na13LqAjP62w4WhbgGxHonxtwdebWZPj4v1gcW2W6ww8s16&#10;/7Dc7mHwrxePt4v5i4vdD3MOHn3RXVZ/i2/DZ99dviyTl5dFMn59+S0K+V2Ok9djlG6o05fpS1ek&#10;4Gm/wHinq1fbpe0rpnent7EfSVCxamdRTK9JJBSl7nezf0CqZmXtD7vFYfZAzXewTbad7JD7wYj5&#10;KFkSelRV/gqF3DiEr9uf0ENtPXgsJpoYM/CBF7poYrvbH75fbB5H9AdkjZ5iwk2vp2+xuNFnkDoS&#10;FXJPr33aAIj9un5dF5f4EMBraOPVq8tv37wsLqs3OIT1Kn/18uWr1GmDS0bQBPpwZRg5S4BAW/w3&#10;9J+uxRfWjecxBttRpNMAREF/4v/xF+Uhnu+hXjxxj8D5YTl7NT1M5b8N1fUi2zxsVvPF7pv/FwAA&#10;AP//AwBQSwMEFAAGAAgAAAAhAI4iCUK6AAAAIQEAABkAAABkcnMvX3JlbHMvZTJvRG9jLnhtbC5y&#10;ZWxzhI/LCsIwEEX3gv8QZm/TuhCRpt2I0K3UDxiSaRtsHiRR7N8bcGNBcDn3cs9h6vZlZvakELWz&#10;AqqiBEZWOqXtKODWX3ZHYDGhVTg7SwIWitA22019pRlTHsVJ+8gyxUYBU0r+xHmUExmMhfNkczO4&#10;YDDlM4zco7zjSHxflgcevhnQrJisUwJCpypg/eKz+T/bDYOWdHbyYcimHwquTXZnIIaRkgBDSuMn&#10;rAoyA/Cm5qvHmjcAAAD//wMAUEsDBBQABgAIAAAAIQBJ+pBy4QAAAA0BAAAPAAAAZHJzL2Rvd25y&#10;ZXYueG1sTI/BasMwDIbvg72DUWG31nGylZDGKaVsO5XB2sHYTY3VJDS2Q+wm6dvPOW23T+jn16d8&#10;O+mWDdS7xhoJYhUBI1Na1ZhKwtfpbZkCcx6NwtYaknAnB9vi8SHHTNnRfNJw9BULJcZlKKH2vss4&#10;d2VNGt3KdmTC7mJ7jT6MfcVVj2Mo1y2Po2jNNTYmXKixo31N5fV40xLeRxx3iXgdDtfL/v5zevn4&#10;PgiS8mkx7TbAPE3+LwyzflCHIjid7c0ox1oJS5Gsg7ufKQ4wR0SSCmDnQM9pDLzI+f8vil8AAAD/&#10;/wMAUEsDBBQABgAIAAAAIQAb9Ljz8iwAAGCXAAAUAAAAZHJzL21lZGlhL2ltYWdlMS5lbWbsnHuQ&#10;ldWZ7tf37d3NzpmcicdkKrEmlYCXiEa84I0oKgpeEPECKBBQboKKGhRURFBuCogooqAIyFVE1CRO&#10;JmoSEy8xUXOf+eNcas6pmpNU5o+ZOZNKVe+qOclY0+f3vO9a6/u6gRlPcBKDdK3Ve/fuvbu/fvq9&#10;PO/zvmsXIYTb2JvLEH7xL93dv+F28Lvd3T+8IoSrFnZ3/93EEEav7O7ue/7IC0IowuTHQ3iA5zfZ&#10;/5k9jm0feqARwpAihF9z99xwbZgVpobpoW8YHeaFOfyW6eFmbkP4L+yPslvsQ+N9Xhb+E/sQdvrQ&#10;cw5JX3D7kfj1ifwe7T+JXx/Ci7X78bV+5sfZei1/SjiTrcf+nH0I+2/6hPBiu7u7k/unsHv/3fzY&#10;8A+8QM/R7c6u7m69Rrdn8T39rMHxdii3+j269vrvPJqvPxUf5yaE3T+1m6P4nJ4/ifv6/brG49j6&#10;SLcd/uUen9Pr9/Z3vcOFDeCax/GqS9i7edL/4f/5K24H8v/U732nNb29sfVoeyr7WPa7faazB7Db&#10;Xce23u6ayt7IfqfVZg9oD+Y1+nvPZuvv2bKssD1l3r92ax/OY/q53Xy8F+zfBcfe1/hPXOM/cY0n&#10;xWvUNenadI26Vl2zrkXXpGvTNepadc269nSN9f/Fe72WtTU7EF66FuGla5Ed/JA/Xs/R7Vv8/3X9&#10;uv237OBIXqf9o2Pb53CziB2+MKn92v+e3T2stXPo9/nx4Qp2//v9f1T/nXruWrDUrT5uivtybvuz&#10;72S/sIJPfPQNP87f1/fScwv7T/nzPo6DaKePnz4bDq7fBYHdBa/662cL1u/y8oOwJwSE4XMHjfB3&#10;ROAnu/VCADyI4X664UEM9xPAg3a4/wAKw4PxMKWG3wVP8vLu4q92B9bv8vL9+dUHzGsNw589E1gH&#10;MXQEfvZc4WtfgOi7z5bY3k+eCawf7arWvl5y8PG9IGC2B4A/3hV+uLP44dPB116eecC42/v7h2QA&#10;nw4/2hl+8FRaOw/68ntCwP3XXRjb+8HO8Nb28q0dgfX97e/pJ3yobdUCIM77Y/NczO+dHeHtbeH7&#10;W0utbcX3th7EcJ8IUM1pEf1qzivDM9y+u6W0VbyxeZ8/4cNme72ScgRwdwTwh5jfdi0BuKV4c3N4&#10;48kG6/UnA+vDhtW+/t46hhWAcBjyL+nDAHx7qwBkvbG5EICbStZrmz50GO6rsgC3CK/n310FDJD0&#10;4VmDoPddlqEHbt/ZWLy2ofWdJzpeeSK8uiG98P2lAR/gn7bXsiIbnudfR8/TB2kX/wVA4h7mB4Cv&#10;bmp8Z2P57Q19vr2+CYasfdn2gfp4ZW+1f7QwtOpD5BnqkpLvW2Z7mB/pAwBflQWW336iwfrW+o5v&#10;PF5+87HwrfUfOgz3ahu9zC/7Ly4MdN/d3HztyYbMb0MT9L65vvGtJ5rffLz58rrypXUBGPf6Mw/4&#10;B8kg8W90+mf1L+UbFujs5c2tTl3K154EwKYDKOjWN77xmNZLa5svrS201n3oMKzyr6Hn0oH77w92&#10;FA6gO+/rm5usVzd2sF7Z0MwAvrSufHFt8fVHStaLjwbWAW9ye/8D3fxqpQfcT9WH0T/8150X8/v2&#10;xo5vmf8S/V7G/AzAv1xTfO3hwGfW19ckk64F2L3/0gPpCXsA+LYBSPRz7mfspXxlY4n5vbKhA/99&#10;+bGCBYCsrz8aAPCrD+uzrwMVMacr1V8nzbmA2Ch97CpU/OboB3vZLu7n9A/u9+0NhQP4zfWlAqAs&#10;sHD/NQssvro6vLC68cKDxV9w56EPjS+b7QEg6FXqgaEn87P8S+mR2QvmB3tR8pX5BWyPlQH86kPl&#10;Vx4sn39AAB7AGP6s3jrPADr92yntxclzdF7K3o1iL6QPmDPoCcDHOl9e26yhh+fKAr/yYPHlVeH5&#10;lcVzKwN3vrrqgLXDnH8jeUZ7SfyZ5Pu9bbI9+e/mJub32oYS7uf0z7mfs5cXH22QfM38QoXeAwH0&#10;dt9fPrMiYIqsKmIcSFnj2eAMEAAje7Hoh/mhnap2S7qBuN/GDqFHDFT0K4l+LM8df/kI/guGJQC6&#10;/355VfHsymL3/WH3isau5SAZnl1xwGLozaMc+jL3e3Nrg1UvPRL3AzqSb1D6sAD4tTXhhUcEnaGH&#10;/xbPPVCynl3ZwAifXtZ86r7wzIoCJA9UO6wnX9f9nPt998kO1uubO17b1In5Gfcr8V+cl9oNwqwA&#10;+Egp9oLtrVbEU/R7IGB+ZoG4cPHM8vKpe8vtS8LOZcXTyw5YDLFApD+pB3C/rQW6PelD2unGPq9v&#10;arFwYQDE9uS/T5TfWNfxEtHvYXmunFeZt+Az5geAuxUAo9VhfqxtS4pti3WHdcDYoXiLdT1ourGg&#10;f164gZ47r1RTareoXAk6j344Lxbo0JF5lXzlv42vrGo8v6rxLAAS/XDe5fLfnfc1dywtty3GCDu2&#10;L2lsX1ry5QGGYQbw7acKd97vbS49+cL9yCAm/VXpQ/SP4lelh9BzAI29xOjn5rdzuZncvbhwQ9At&#10;6di8qLFVq9i6+ECwQ1f/svQXtdNU+WJ+b2yK5ufsxcyvUPXhxe8jKtn+4qGSldOHOy/pA/Mj6BH9&#10;sDfQwwK3LW6ynryn8eTCcsvCwPpjt8Powon7KX3Ykv8inOK/kGdnL5BnF6+sdnPzc+5HyeboYYHP&#10;wV7Mf59eUQAg6Cl9GICY37ZFHaC36e6mrXLTPcXme/7INIfMnP1fjwVG9mKlR1au0O3lv5uaJF8B&#10;SOOD2s0AdO2U4tfRk/Na/iUAkj7c/Ih+u1Y0dt7XkPlF58UCm1sEYAfobVzQeGK+Pm9cULD+KO3Q&#10;hRcyCOaXki/Rj/Thor3abWinCUCv3b7xeFPCy9om1YdXvj3MT8SvoPRw8yN9OHo7ljY9+pn5lY7e&#10;+rsa6+9q8nnD/JL1x4IhJhdtzxsf1jdX13JHgf++tUWylZrm0u2j7Ez0wwIxPJMOJP059yMFY34Z&#10;wMhe7i+VfFcUMfrJ/Mi8HVuXdGyx6Lfp7vKJBY3180uge3xe+didvor18/5o4qEnjqr4ZWpoh5bT&#10;P3G/J1X8Qp49+lG4ee/DyTMAyn+VPoSeA5jp37P3B6iy2AsZ5D4xFs8dO5b0IXG4BWYMDcDi0Tsa&#10;6+YW6+YG1gfNDn/ybPDFhXn0izEwC6c4bxLtpRuYdIDsjOe+trHPqxs6LfRZ28ikP6Fn0kEMfTH5&#10;lsodqnzLXWZ+nj52LC1y+ti60JKvBcANcl733yYWCICP3F6uua1Ye3sJkh80DPd+PQDowqk3LnFe&#10;kw7Mf4vXXLqn8WEAumrqn+v++8LDBcKp5V9VHwZgin7k32WNHfcp/7oFbjYAPX0QA91/H5/XqACc&#10;Uz48JziMe7/mD46Gk9KHlKudRZy5svThARAAXTi14rfOXiwAWuWLBQIg6LnzftnSR45+tQDY2Lq0&#10;AXl29kL0I/ma+QlD0MPk3Pweua3x0Jxi9a1h9ewAkh9oDDOAmJ/lDhdO6/mXukOlB03zRF2SeiDp&#10;L0oHyX8Rn71wc/ZSRb8lBYlDa1HHpkXNDXc3Qc8AbGJ7vc1vdvHw7GLVLbaA8dYPKoa1oVMal+88&#10;pY6bs5cIoDfNrW2U+24STi36GXtR8nXdT8Xvgy5bFeh+OXeIvUTnLXFe1sZ7OhxAGd5dTRYArvPo&#10;N6dcg//Objx4awmAK2cVD8wKLO5/4OzQbK+unUb/NeHF2QvVh6QDmm7ry1ee6JRy1aNtZOilwk2N&#10;j1WNrPvtWt4h6S+hR8HrFkjoE3rJf9cB3bzG2rlNFv6L4bEemt1grZpVrrw53H9zsYLPXwoPfOkD&#10;h6Fqt9T2jVMH26XbV7WbDb2o8l2vqQO6Hu68cD+jLtb1SAB67qjrfggvLDc/hT6jLh4AN87H6kpb&#10;ljss+hH6zPwKNz8QE4A3hWU3heU3huU3BZD8oNlh7npgfh79NHO1xTCE/m1i4EqqyyuPa+6FRdtI&#10;up8DuEbqgSdfr9288pVqasUv6WP7koq91MkzAEJgHruzsKX0seZ25YtsgWAIgKC3wtZ9N4Z7Z4Zl&#10;MwXjBwJD919jL9je22noxXq+Kj3Q/XL1kaOfFyD1tq8CoGmnMr/eul+D6MfatrST0sOpC85bSx8x&#10;d/SMfsVDtzYfvKUh9HBe0LuxXD6zuO/GYun1gXXf9WHZDX94DGMBwsyktNMC3c+lA5Ue9D62SLdX&#10;9CP/prErtY1Muhf9S323XrUb/svC/LA9So+YPpYUqt2i9lLm9GH0rwd7cfN7cHYg+lUA4r8GIBYI&#10;gEuu0wLGP5Qd9jpzlKf+IM/WMdfQGgC+saVTwqmhly3QdT9HL6sHyFakDxW/3nfrXfxKL928uMjk&#10;OacPD4CPzlX55vQPAIWesReyBgsLVPSbWTh6ALhwRlg8XQsY/yAYSkDYXfzYJ9ZSBnHp782kvZB8&#10;XXsBQA99Mr8knCbzi+wFAB29nD6cOXv+RTsl9JFBWFG5stLDzW8ttZunD8q3OSXkOacPLJCU4QDi&#10;v9n8gG7h9OKeawNr8bV/gLws592d2r5+XsYPy5jyLN1P6EX2klVToh/+67qf255KD00daGwjF7+Q&#10;Z5puBqD5r5RnkedI/xZ62eu1mwIg1MXNb/VtJQvqIgBhL7MKNz8HEPTuvUExcMmMwtFbMK1x99TA&#10;umfa7xfDVHdUul9Kvtn8pB4k8cr6buXL1jFnbq2X7ufpI/V8pR5k8iztdCnNI4n2hl5nJM+x8o3p&#10;wwF06uLoAWAv9Crzm1EsmlECoEM3f0rjrsnlXVOKBZN/jxg6gDXdj/IN9hJnNragmsr2HECTrTRz&#10;5QDm3JFlK3dep3+yvURdDD3vfUj3s+jX4QBK+psP/Yu5Q+aXuN9qKz0esOrDzc+pS2/zm1bcPaVk&#10;LZhczpvcnDepuPOawOffRzxMhRvai7qWEk458dF4Z5vGNsi/pA8vPRxDUjBtX+v8Nr6h2T+5sNpG&#10;Nqj2lYc0NcSi7ZvmXtT48ACoxiWd3yXKHQ6gCpAFHRS/jy9oPjZfALLQrJQ+VLshHcTaLVugA7j0&#10;hsBS8p0RQ58scEop85tc3jmpMfeacu5Ewfi+YQhQPdWe6iSIWaCTZ+d+sJfvbaNnVHDICNVF7OXJ&#10;PjZxqsEDz7+a2bCRXdCT8MKwn7XeHD2XDui7PbOik/LtKdq+Up5j9KvYiwxPtvf4nR2stXd0eOZF&#10;swI9918Sh0oP8q8xwCr5Xlcq+l1bEvFY86eW7r9Ad8fVxdyrG7dPKG6fGO6Y8P5h2BPAjKcrz7n6&#10;EPdLM5OYn2OI+QFg1TayuVOm/mxkKLZ9X1hVspR8GbUy9qLqw/rmdQCVfGvSn0v39D4AEOcFusxe&#10;0FtgLxHAVH30BnCGUgZL5jelyOZ3x8TytolNMLzti4GV/9j3944nX8+/4n61vpvTP9Az/5Vy5YZH&#10;9KNt5ORZ+dfbvuj2D5WUb5IOovPGwYPovKYeuAWq/lXjsuocRSOc1/DkK9XU/NfpnwPYg7rgv558&#10;Qc+oi6PnoU8WOLEEujkTitlfLG8dX8wZV8wZ/x+GoU9u7IoHpaP5paG1bH4ZQBNeLPQ9mvNv7HqA&#10;norf1Hfz9OHaS71vngBUy5LK94n5HZjfY4m6ZBeO/jsr4L+gJwBnFjI/py7XhUXXRfbi+RfbE4BX&#10;y38BcM6EBuixZo0rbxlbaI37D8Aw5V/MjwV6AtC5nzXNCYDJeSHPSr6x78bQqQq3uFx5BkDQY5F8&#10;6+zFox99N5Jvyr/iz1l5xnkzgLgwS/RvjoRTzC9yPy9+Z5YAuPj6UujNMPKs6BfkvFOKedcodyTz&#10;a8we37h1nAD80lXlzVcWs1hXvc8Y5r5bbPsaegC458ykR79sfrR9Y+nBrLgto39CL877WdNN5rdM&#10;wqmXHuSOnH+966HQZ8ozhhfXbY2KPN8i9HLuEPe7obj3+sbS60rnfvgv6JE+hJ5RF3KHAPyimd/4&#10;xqyxDdBj3Xhl46Yx5Y2ji5vGvG8YauSeqQPebcPe60Aty20aWvO+m9KHmZ9PHVj1wXk3JsZ14Mj7&#10;bt72fWF102XnzP1QnlnoBpIOrG0Ua7eFnT514OVbpRvcoejntsfnWLuZdOD+S+XrzFn+C3rmvJDn&#10;Bdn8RF0Kz7+g5/4r8zMAbzb0Zo5u3DCqnHlFAYzvWyqxqYMf4b/5wCB9c2tcMrkRA6CNbfjUAegJ&#10;Q6b+1jazbiAOYxh6/vWZK5Kv518AdO6H9rJ1cefmhZ0Qvw02aQCAjmFUrnDe29V0U+64VYq92MvN&#10;0q/2CiDmlwGcNzlUAE4MHv0A8NYE4MwxJejdMKp5/RXFdZcHYNwXhj7PzHdzhvVn+pe6b8z5p8+U&#10;Ni2ZzK9Wu72xtfH6FtIufbdY/LryTOZV8jXm7P6bQx+FG8kX6c+lA4ZecN5ofppYa4Aezkvm9dBn&#10;nSPlDlUfKX0AHfkX9Fw6EHM29JD+KvO73nKHRb8F5r+ZOYs8478Tmtn8QO8W+W9TFji6MfPyxnWX&#10;l6wZlxUsYNwXhvXHwa3+ZbxvucPbvnX/Jfp58WvCqaGXz6ta6w3l6iUjz2Z+4YU1NrX7UPm8NT4q&#10;5dlGDiKA9xZblpSePmAvGnpJjY+9AKjSowagB8CeAFJ9ePqIAE4J83LpYQGwF4CkDwfwxlERvekj&#10;i2svCdeODNMv3Rs4+2DLDp3bZ84dQs8D4LYyH9WncxSFl42Wgik9VLspBWOBku7tpJuXb167AaCp&#10;B804MxlH/ky3J4MsLUWejT9jgT2GXuaKwETqkrnfrQHzy7Ub1MXTh3M/VR9G/yx9KP+a/8b8GwnM&#10;+Aa8hbRr6JE4StAz55X5CcCR5bRLgq+9GNi/iyHSn837ZeFUvY/Ud4M5G3mOp31dPbD8q5HdPLbh&#10;jcuv2HmZunJVTQ2lmUnXTjE/Fsqz6QYq31z3c/Is/zXhFP/1lmVkLzfF9AF6pA+h57pfSh8p+gWg&#10;uy3TPwjM2AboAZ0vAmAE8NLy2pGFoBvRmDoisKZdss942Btbj37O/XxgMpce1G6wF9P9HD0CIMJp&#10;lv4EYOW/alwKwNj4qKJfVK7MAp29SLmy1hujkrn3Qekh0SANvcgC3fxMOoiNS1eee5pfZC+GnrMX&#10;zx2efyN5NvZi+TdGP0sfyX8FIOZXAN2k4eU1FxXXXBRYvbHaqxFm4aXWuHTZOZFnDqtWbaM6gKAn&#10;84vqQZxYgwGSecVe9ugcbb839t1c+su2Z+mDyY1mL/MTdSF9mHRfkWc3Pys9MntR7SYAE/cz4cU8&#10;l9pN5Bnm7OiRPm4c0zT2QvJVBpl+Gc6L+WlNvricNLy45sIG6+oLwfC92WEyP3V+7X2u8sSaK1dQ&#10;l7pw6tWH+6+jl9mLm59XH5Z8dWBh53Id9JD0V7XO5bnQP3deC4AJQOt6YH4w54heZi/J/Oi1xdrN&#10;Qp/8F91galgwJXjt5raXnbfO/cgdoDdzdIejN6MG4GSZn9teMfGC5oQLSl/vxQ57ZBA/8WHn3SKA&#10;DJ1yXnVTww4c0fNV18MBRHtx8dmlPwCM1YedObK+W+CcEUc8GFpz7mfqQUnr3KWDRPxKard1pr14&#10;+oiFG9oLAN4SVoJeanwAICtLBx4AAbBH7VYrfgWg1W7OXpw8C8DLGjMuzRao0JcBxPy+OKwcP7QY&#10;Pyyw6rzFc67rfv4Z9LA9mR8zV1Z6vLk9vJnYC9Ev51/TXizzamxD1Qfcz6Q/SQf15GvQFXFinIm1&#10;mu4n+ucB0IZOrfiVbAV6OfPWCzcJL6nxEftuqeuhtpFrL/gvuv2k5l2TOu68pjn3atE/lCv338yc&#10;vXAjcXjuAMDplj6mjGiY8yr6TbywgeE5euPOK8aeG1jcqWNYt8l67abil7Erk529dtPYc5oaQnth&#10;9iALpzn6ee3mE+OWfxX9Inm2xuVTy4tUu3U4ecZ/jT+X0D/Pv6QP71qSeT351vtuKn7NAgEQ28v+&#10;W/XdXPpDe0E6iOhJ+tsTwBtGF1Xyhb3E/OvRTwBOuDDUAAxXnhvGDNHiTh03v++VCOylXvzmmUnp&#10;9km697avH7c09S/O6xL9MoCglwHME+MUIDuWBdKH/HdxCYCuPDNjn3IHbSPlX3Ut7wgq3Lxr6bmD&#10;2i2Zn6t/7rzuvzQrlT6mNpD+lEFMvHLtJXI/pD+UK5MOvPiF+9UB9PSB804ZXnj+FXrnFzjvuPPC&#10;lSwAPKcYfXZgcacXhjH02Rt1Qv/qM5OaudoCZxZtdvYSa7d0WFXCqb1ZhJW9mjhlkXwz/fPcIfVg&#10;uU0NMXVA39yYM8WvSweu+2X65wA+fFuIXcu6cmV9c7WNfOpgRhHNz9JH7LtNamKBSH/S7SWcBhev&#10;XLkS9zPpoJ58I4CefLP/GoBXDY3mN/oc0CtGnRVY3Kkw9NqtfuDX+m6uXLnzuv+ivfibRaAeePGb&#10;+25Cz7ifay/kX+oO/Bf9yk984LwEQJbXbrlt5OanADivkwCY277470O5+PW2b+p6ePEr8uzFbyLP&#10;Ubc39DwAGnoSTlGe69qLlR6x+K07bw6AsJcJ5zc8AF51XpHN7/Kzw+WDy8vOLFjcEYaJ/il3WPqI&#10;Q2tROJXzeu7A/CJ6VL6uXBn3wwJJHGlgUrIz6NnIXxy4cvVAjQ8d9xCAbn4SrxYgGqC6iLpghBV6&#10;PZ33gVus85sAzF1LlKuoPGfy7M5r0Q/nlfTnwmmU/iryXCVf435TIveD/pWkD2WQ8xtjhxVjh5YZ&#10;wCvOCZefFS4bHC4dXIw8M7C442+1kZMv6Ln/ZtkqA0j0A0DJzll5thMf6hxxVro6rpUmTpPyLOe1&#10;qSEAZOBZsnNsfDSZWIvJ14RT+LPnX4SXeu5w5cpDn7eNSB/oBrl2g7q48uy6vaT7iSY+O4BCrynq&#10;MqaJ8+bK19mLlx69828v8xui0HfF2UUE8Iww8oziki8EFnd+audVwbA67Qv32+Zvs6bBIQ+AVnpo&#10;5tm5n0Z2k/aiw+ZoLzXuF3U/n/oz8Uozk5Y+XLc3/UqNj2yBuDAWCIAKgL3890vl/ab7xeRbG9sg&#10;AJI+egB4TVDjgwA4UR03+W9MHwLw5tGdGUApV7XaLfuv02bz3xLe4vkXAOW/boEACHqDihGnBxZ3&#10;4uDQU6Uf+tCbRfA2iZvV81Xp4acFU89XAPp58zixVnxtdYPlzNlzh4c+Nc0575Z0ex04Wty5ZVGf&#10;fN6tIs/pwIKoy5yQ6V+9cFPzSL0PNT7qtZuhF5vm5A6Pfkh/LPlv1P1ofJhuH5NvQ6VHjbo4enXu&#10;N77mvKOGFNl/iX5ufiMGhYtOKy48NfiK2osfNjf1QG/0Vxt6SWMbsfp4aW3BgX2v3cggNC6duqTk&#10;q9rNAYzcL8ov1dSBq39g6OzFDyzIhZN04NopGObSQ+KVA3h9D/+9K9VuOG9kLxOa3vtwAKPul5Qr&#10;+HMdwKkXl3Xzy+wlRz/5bw6AmN+Zcl5s7+LThN4Fp8Tl0Y9D+iwsUM0jAOS9StKZBavdpP5RuLEy&#10;e1ESEYCx7WvkWUdmIDCq3fy8jPlvFf0q4TRODWlkN5HnPPWXLdBLD5Fn2IspV72dd3IAOi9+xV6s&#10;c4Tzsoy9xLaRcT/lX/wX6uLsxdCj+C0o3CaeX6TqQ+wl51+oC+lDGeQMQ29QDcCTw/kD43Lh5U0T&#10;/USeFQDjyL1JB7F8IwCqaa6B5+q0oKQDzqvqjQ7swJENnQKgay+QZ2Ym03k3pY+a/0bxyv03o0fj&#10;UqWHJ1+fmbTaDfYSmbNzv6S9zL0mUH0o+VrT3PMv5Nm0UwHozDnSP6/dSL4jQgawRp6LHuaX0ods&#10;74yA8/Ywv5PD0IHFeSeFc08MfMb2GDd9c3Mn77Yh9GxklwMLBqC91VVKH3FqKEU/KVfprTbo/CK8&#10;sLL5OXsBQDvhqwNHOf+6eOX516WD7Lwq3NLMc2QvZn7k3z1nNnxqiMJNtdsXYwB03YAACHrZ/Ih+&#10;FgAl/Tl6Yi+Ub1XxW9kenFm548wC24vmd3q46PQY+i7A/E4SeuedWJx7QhhyfOAzngt6b2xu6b1K&#10;GNtQ5cvbnNqhjzQzGaeGDL3I/eJ5t6pvrvNuSbny5LtxYZSdc/J18iz0bhd1cfYi5dm4H9HPndd1&#10;e08foBeFl1y4kTusbYQFOnoCcFwzCqcVezHdryd6AHh1Rs/8t879lHzdeQ1Ahb5BYXhKH6A3zM3P&#10;0Dv3+GLIgHDOcYHPkOd84rLSXnirqwpAJQ6jLuTfRs4d2J7r9sq/NjNpspWN7NYOHOWJl159t1y7&#10;5cpX1MV4i6NHAIzoTRN78b5bnjrIukFCT8kX9pKF0xlJeMH2EnlW9Iv59/wC8pydl5q3zv1y9PPc&#10;ofSRnDea34Bw1nHF4M8HFnc8+nFW2qR7op/NnVrP16UD1ANkZ5nfKg29EP08AJJ/cV6X/ni3nDqA&#10;0k5t5I+6w6cOctsI9uLL/XflLNP9zALj1J81PjyDgOHd0ySczp8cRF3S0Es9d9Rrt+y80v0Se0E6&#10;yNGP9JEDYCx+zykEYD35GnPGAgFwuKFnACru4bass48PZw0Qemceq8Ud115cdYnFb3Va36Q/m7fH&#10;/Lx2e26Fhk53JdlZ87pLdeLDxzaSbhCjH+Ub0p+TZ+Vfyjc7ruUnPlamtq86vzXqUqvdovBSNT68&#10;bTTeyjfo35XNL13Z4dWHA5hlZ9leQs9rNyfPaC9ZOhD3S9HPCzf8V85LAIT+nVK4+Q09qRxyYnHO&#10;CYXQO67Q+nx5xrFB65hy0DF6myYH0NtGaWxDbaOsnUp7SedVceFogfZuG0q+1rV06V4YxvxrffPU&#10;OXICE8u3OLah1rnKt3rniLErm3lO1YdPnGpswwlMHFqrTR3UAVTjI5pfyADKf2vpIwNY1W4wZ6t8&#10;PQD2BFDm5/7rAMp/jy3OPCZ8oX/BOv3okuUAvpSYs5PnGnrxra4cOshzmrqPx6UT99PIX6rdEvdL&#10;xy2hLrlxCXtR8ZtnJu3EVqW9ZOXZpHsVvz06Rzb111P6q/y3Lpyabm/SvbTTTJ6l/pl26unD829k&#10;zp4+LP9W6cP8l+RL4oj+e0w4o3844+jitM+xStYpn6t3LaPtGXNW003spdZ3I/pJOlhaxJlns0BX&#10;np9I5NlLD2mnFYA6rRDZy6zaeRnoXwJwkU0dSDj1sQ0fWvOpIZMOYuPSil+X/lS+1aU/Mz/Ug3r6&#10;wAJz9KtXvjn/kjti7ebsxauPXunjeCXfwcdZ9DPzG3R0OP2ocNpRzVO0Oli9nNcBhDxn7ofnxtrN&#10;z7vpjYZK3qYpWaDOq8JeSB9Ev4yej9wrAHLezafue079if6ZdhqjX31qSOZnY1cW/Xo2LpV/09QQ&#10;fXN1PZL/ivtNvriR2QsAqm1EAEQ6GFK68oztZfqH86IYeAD05FtnLzEApvTxBQMQ8zv1qOKUI8Mp&#10;R/ZhDbT19Ud4s5f6gV+Vb1ggzsty9GR+1jmS9FebmfTzbsZeeMcSpQ8NraWz0jl90Df3rkeMfil9&#10;uPmRfJm54siMK8955irq9rW2by/06m3fFP3Kqy9quu6XajcJLwnASJ6NP0u5ovQYfnrp6kFEz6Pf&#10;8VX6IACSOwh9g8x5sb2Tj2wOPKJx4uGdrONZ/fpkAF06kP/axLjQs+QL96tPHZjyLPLs5mfSgQ4s&#10;RO30tgahL3I/zx2mXAk9bxsl3V5NN1OufGYSADnxkaNfrt0SdSnc9nLfzZvmVL5CL3YtE/cbVo47&#10;H9mqXvla/jXl+dIzCpQrr90cPaKf519nL4S+sweUon+WOxzAaH5HNU86snni4R0n9Otw9ABwwOF9&#10;yL85ADK3lrhfbJr3ApDaLaKX3irH6R+fJf2lIzOR+6XcoerD+bMBuHhGWOTj4k6ebd5eAF6jVRW/&#10;VfRj9EW1m3UtQ838NDI06WItBjbIHYp+ADisQfWRcwfRD+nApXsFwARg1F5MOhg6MNI/0kfMvwbg&#10;mf1LLNAADCcf2QDAk46Q7Q0Aw359HMAB/T7CzKRHP0NPoU+Ld2oy0d4Pu5n054N/0g0IfR79qN3y&#10;yFCs3azvBnOO1YeRZ6qP2HezoVNnLzYzadLfJDM/kw40eOCVb61pnnMH0S8pV1XlG53X0APAXLsB&#10;naMn4cVqNwmnTv9M+rPkW0o68Mp3QDlkQHlOMj8579GBhedqHdF50hF9WBG6fh0D+nay/EucV2OT&#10;/m459n4R2J6tDoNRQ+OefJPup8YHhpfThwdAcb89GpeywJmFA1iX7m3uxYbWLHe49mLcr0ffrZZ8&#10;pfslAGtDL7XajdyRAfT0UVeusvll/0W5qgC05CsAqT6c+x0Nb5EFJgCF4YlmezI/AzBjmGq36riW&#10;6/Y7vPowANFeNPFi/usA+shuFk79vIy4n7OXNLYRtZfrdWKr3rj0kT/on5hznhjv0XfT3FryX41d&#10;5eS7l9rNxjZy8VuZn+l+jh6e67Vbqj4q8lxxP2o3Zy+WPk49ssHCeQmASh816I7rJyPMGNpxLat8&#10;pRto5grqouojnnezAwux8WEzz0xu+MR4zL/xtK87r4tXmF+kLpx3m1GwonrgI/exaS75NCdfpL9Z&#10;+O/YIg69RACj9mLCqflvSh917ldXD+qVb106GH5KVJ6xvSj9oVyRPqx8U/IFvQzgUc1Tj5D/spQ7&#10;CIBueJ9tDfhs67i+rV4YqmvJOzV58jUApVylvpuTZ5f+eK8SH9vIucPZSyw9rHAj/9bbvphfRi9P&#10;HZB8c/517lfTXgrOLOSpoaS9CL3UdzPlOU0dRO5nUweV9pKUK2cvOXcQAPHfFP0Sep47HL2jg/zX&#10;2Avoib3gvD0BBEPB2NMOPfqpb+6d3xT96uxF3M+Oa1H2JgBT9WFv9uKND0dPyhXO60NrEBhTnjVz&#10;xXHLlD5M+rMzR3FmsgPzE3pp5P460kcUr0pHD/I8ycYmPfmCnk8NOfdz8+tRu1nTrYp+JyXzS9wv&#10;Vr6WeckdsXAzAM1/DcC+H4kWiB0aevqcgmH2ZXG/5L+ePkCP0Ge2F9tGPnQKgFb56n1yepQeFv2y&#10;+WF7Kj2s8kW5yjOTLv0pfdRG7incvO3rtkcAFHop+k2ldquNXWlizWY2HEDvelTaS73rkYTTuvQX&#10;lSvnfpY7UF2cPFO7edVm+dfIM9HPQcuI9frSHve87AAy9+Ijf4xdiTzX6J+mhlCeTbly8apO/3h3&#10;F6IfLhzNz/vmCUAwdAvsnT5oXI4viH4+85ydl9yRAaz5r8aurnb/HcasmsbVHEDSR1079cbHxfTd&#10;9pDuATBKByn5Ih1kAE87QrWbAuDhfdyFZWyfbX3+s32ggm54DtcJfTu1ej4I97OOuRofKfp55as3&#10;SKRj7sk3t32Jfn5kJvuvS39Zukc3yNzPDiyY9pJG/qB/tzByP16DB6IuY8oeAEo6sOhnjQ/333rn&#10;N1YfsfhNUwfWNlL0M+kP25P5DSy98SHzM91epYcpz0q+x4j7UfnCnG01Tzi8xaonX3dVB3Bfnx1Y&#10;1049+nnniDcKo/Kla5ktUPzZ/ZfyzU9cRuU5Hrfco3Gp49K5diP/xqndGP105K3O/XzuxdkLwkvW&#10;XgiAAJj9NyvPlfl5+vC+WwJwz9pN7CWZX2YvAAh1gf4R/VR9eN2RPfe93fFX1d8sghrE3yjs0dub&#10;PrNRzb2kmavMXtT2tfSRo189fSjzpplJkm9qGyl3gF49+e6L+2XhFNtj3LReu2XhxUsP1+1lfkl5&#10;zsKpc7+q+D1a0gHLLdCkg97cb18mt9fHHcOcO5BfHEDPvB4Ds/Is+pfYi4pf75vb0Jo052mWf+39&#10;Isi/DqAGNuyobxq7MgCtbYT/Ynsyv5Q+iH6amaT41dB4NXTqzquJU5uZjKVHqt1cOqizl1x6RP81&#10;5Sorz+6/Tp6xwHro2ytE/+6DjuERIYS+7BAWnWM3ve4fztcfZXfzUb/fj8da7I/H75fcnhkf+3Nu&#10;D2H/TZ8QXmx3d3dy/xT2Zp70i3/p7v4Nt4Pf7e5u8Ng/8EP0HN3u7Oru1mt0exbf088fHG+Hcqvr&#10;KNj133k0X3+KrZ+lDy7Tbo/is56vx/vH+3rtJLauRfePY+sj3Xb4l3t8Tj9Lr0k/a29/7zFc8DT+&#10;lnE873n213jSn/F3fofbw7k9ksf6tqa1D2tNYI/qtYe3+7bOax/DPoF9cmtY+7TWhe2TWpfkfULr&#10;4vZxrYt4zkXtI9l9WyPZo3rtcXxvIs+Z2B7APoHfNbA1jp91dd4ntybz+DSeM609mGvissPZ7E+x&#10;tywrbE+Z96/d2nWse/9/L+KFU+Pf2+a1r8a/921u+/H3nsZjQ1tT22e3prTP5Pefw3WkfS7XNYzr&#10;u4g9gj2Sr0e2xvfaY9uXtMa2L2hd2R7SGtMezN86GDwGt0bU9gV877z2hewR7MtaQ9ujWxdwOyLv&#10;S1rD28PB60L2MPZQvh7K93vukXzv0vbFrcval7euaI9pjWaP77Un8TOncs1T/79wmwAOQ9jvRHx+&#10;HPGRPWHutifwMyfw903gb5hqexS3emxq+9/6H9xT+x+s5Wf9NP6O/xF/x2d4bC64pz2b+9Weyn3f&#10;N3Jb7fO473set2kv5v59YHsfdtdzj2ov5X+0kP/VMn5O2smHUzzQtY6M9jKO6/orrvFT2Ml/5fbT&#10;3H6Mx+7Bxhfw/5nHnt1jj+Jr3/O4TXsB9+9pXc4e2U6/b39seiPXmHz4Wq5HOMqH/45b+fChPLYG&#10;v1mJva7kd/fcw9trwGgjeyf7ea7/eZ7Tc0/ge9N4zrR2wmUnv3NUDZf/ye/6JL/rF9x+NuKyk79v&#10;G7a7kb2O/QhfP8LP7rnH8b2JPGciz53I7xnHHvW+4LKYaxwYr/ESMPhrru1Pubb/xu3Huf0ojy1u&#10;ncr/YVB7PvtO9h18fUdrIPsEvh7A4wP4/oD2Yr5ezOP783+ayfX8ijwxjt+r/5N86jfkFtnUR7me&#10;Q3ns+tavuqa3fs3uYn+mXe1+7etbR7Rnsm9mz2r1Y3+G3dVV7V933czrZ7L35zqHc51/X7vO17m+&#10;/8t1fp/bj8TrvKD1911DW//I/hX7E8SltD9J7DuM2HUYse2w9qWtT7I/wf5VV7X/sWsErx/O3p/r&#10;XMV1/nPtOv871/cu1/m/uP2TeJ0rW//ctbz1W/a77MPa1f40fvCZ9ir2avaa1qfZh7Hf7ar2b7tW&#10;8/pV7P25zkG9rvOVeJ3CNV3nqfyOgVznQH7/QK6j2p9un8r1DWKfwT6L6zyL75/F86r9264zeP2g&#10;/bzO+Vzn39bwlL+0wVP+Ir85FPuc1/rbrjtaP2f/kn0EfpL254hv/fGX/vhL//ai1ufYR7B/2VXt&#10;n3fdw+vns/cHz/G9rvOteJ0/4rYVr3Msv2MM1zmG3z+m9TFyYtqHtse2/qw9nj2RPal1KPtj7F92&#10;VfvnXRN5/fj3cJ2Hg8lH2eKa/eP9OucSl/tT9ifY+jiErfv/TwAAAAD//wMAUEsBAi0AFAAGAAgA&#10;AAAhAKbmUfsMAQAAFQIAABMAAAAAAAAAAAAAAAAAAAAAAFtDb250ZW50X1R5cGVzXS54bWxQSwEC&#10;LQAUAAYACAAAACEAOP0h/9YAAACUAQAACwAAAAAAAAAAAAAAAAA9AQAAX3JlbHMvLnJlbHNQSwEC&#10;LQAUAAYACAAAACEAYjSqOiMmAADiCgEADgAAAAAAAAAAAAAAAAA8AgAAZHJzL2Uyb0RvYy54bWxQ&#10;SwECLQAUAAYACAAAACEAjiIJQroAAAAhAQAAGQAAAAAAAAAAAAAAAACLKAAAZHJzL19yZWxzL2Uy&#10;b0RvYy54bWwucmVsc1BLAQItABQABgAIAAAAIQBJ+pBy4QAAAA0BAAAPAAAAAAAAAAAAAAAAAHwp&#10;AABkcnMvZG93bnJldi54bWxQSwECLQAUAAYACAAAACEAG/S48/IsAABglwAAFAAAAAAAAAAAAAAA&#10;AACKKgAAZHJzL21lZGlhL2ltYWdlMS5lbWZQSwUGAAAAAAYABgB8AQAArlcAAAAA&#10;">
                            <v:group id="Group 81" o:spid="_x0000_s1027" style="position:absolute;width:80962;height:10223" coordorigin="254,226" coordsize="80962,10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Freeform 70" o:spid="_x0000_s1028" alt="background" style="position:absolute;left:254;top:226;width:80962;height:10224;visibility:visible;mso-wrap-style:square;v-text-anchor:top" coordsize="2488,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rHDsEA&#10;AADbAAAADwAAAGRycy9kb3ducmV2LnhtbERPS4vCMBC+C/sfwix403QLilajLLssCqLg4+JtbGbb&#10;YjMJTdT6740geJuP7znTeWtqcaXGV5YVfPUTEMS51RUXCg77v94IhA/IGmvLpOBOHuazj84UM21v&#10;vKXrLhQihrDPUEEZgsuk9HlJBn3fOuLI/dvGYIiwKaRu8BbDTS3TJBlKgxXHhhId/ZSUn3cXo2Cz&#10;2gaXnn75uBgM3EHvx+dVtVaq+9l+T0AEasNb/HIvdZyfwvOXeIC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axw7BAAAA2wAAAA8AAAAAAAAAAAAAAAAAmAIAAGRycy9kb3du&#10;cmV2LnhtbFBLBQYAAAAABAAEAPUAAACGAwAAAAA=&#10;" path="m2488,21v-204,,-204,,-204,c1994,21,1887,107,1808,137v97,81,229,176,470,176c2336,313,2488,313,2488,313v,-292,,-292,,-292m1354,c,,,,,,,157,,157,,157v1524,,1524,,1524,c1709,157,1769,152,1808,137v,,,,,c1808,137,1808,137,1808,137,1710,57,1548,,1354,e" fillcolor="#bfbfbf" stroked="f">
                                <v:path arrowok="t" o:connecttype="custom" o:connectlocs="2147483646,2147483646;2147483646,2147483646;2147483646,2147483646;2147483646,2147483646;2147483646,2147483646;2147483646,2147483646;2147483646,0;0,0;0,2147483646;2147483646,2147483646;2147483646,2147483646;2147483646,2147483646;2147483646,2147483646;2147483646,0" o:connectangles="0,0,0,0,0,0,0,0,0,0,0,0,0,0"/>
                                <o:lock v:ext="edit" verticies="t"/>
                              </v:shape>
                              <v:shape id="Freeform 71" o:spid="_x0000_s1029" alt="background" style="position:absolute;left:254;top:912;width:58837;height:4442;visibility:visible;mso-wrap-style:square;v-text-anchor:top" coordsize="1808,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y32MEA&#10;AADbAAAADwAAAGRycy9kb3ducmV2LnhtbERPTWvCQBC9F/wPywje6kYtRaKrSETprTTtweOYnWSj&#10;2dmQXZP033cLhd7m8T5nux9tI3rqfO1YwWKegCAunK65UvD1eXpeg/ABWWPjmBR8k4f9bvK0xVS7&#10;gT+oz0MlYgj7FBWYENpUSl8YsujnriWOXOk6iyHCrpK6wyGG20Yuk+RVWqw5NhhsKTNU3POHVXBe&#10;JYc+u5S39/JluGYVHY3Jj0rNpuNhAyLQGP7Ff+43Heev4PeXeID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Mt9jBAAAA2wAAAA8AAAAAAAAAAAAAAAAAmAIAAGRycy9kb3du&#10;cmV2LnhtbFBLBQYAAAAABAAEAPUAAACGAwAAAAA=&#10;" path="m1808,116c1698,54,1548,,1354,,,,,,,,,136,,136,,136v1524,,1524,,1524,c1709,136,1769,131,1808,116e" fillcolor="#00a9ce [3204]" stroked="f">
                                <v:path arrowok="t" o:connecttype="custom" o:connectlocs="2147483646,2147483646;2147483646,0;0,0;0,2147483646;2147483646,2147483646;2147483646,2147483646" o:connectangles="0,0,0,0,0,0"/>
                              </v:shape>
                              <v:group id="Group 14" o:spid="_x0000_s1030" style="position:absolute;left:9186;top:3326;width:8853;height:1049" coordorigin="6800,3263" coordsize="8851,10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72" o:spid="_x0000_s1031" alt="background" style="position:absolute;left:6800;top:3556;width:1042;height:717;visibility:visible;mso-wrap-style:square;v-text-anchor:top" coordsize="3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gfPsEA&#10;AADbAAAADwAAAGRycy9kb3ducmV2LnhtbERPS2vCQBC+F/wPywheim4qtIToKloQSw9CowePY3ZM&#10;gtnZkN28/n1XKPQ2H99z1tvBVKKjxpWWFbwtIhDEmdUl5wou58M8BuE8ssbKMikYycF2M3lZY6Jt&#10;zz/UpT4XIYRdggoK7+tESpcVZNAtbE0cuLttDPoAm1zqBvsQbiq5jKIPabDk0FBgTZ8FZY+0NQpO&#10;494M3+m1bo/k4xteXh/SklKz6bBbgfA0+H/xn/tLh/nv8PwlHC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Hz7BAAAA2wAAAA8AAAAAAAAAAAAAAAAAmAIAAGRycy9kb3du&#10;cmV2LnhtbFBLBQYAAAAABAAEAPUAAACGAwAAAAA=&#10;" path="m32,c31,8,29,15,26,22v-6,,-6,,-6,c17,9,17,9,17,9,16,7,16,7,16,7v,,,,,c15,9,15,9,15,9,12,22,12,22,12,22v-6,,-6,,-6,c3,15,1,8,,,5,,5,,5,,6,5,7,9,8,13v1,1,1,3,1,4c9,17,9,17,9,17v1,-4,1,-4,1,-4c13,,13,,13,v6,,6,,6,c23,14,23,14,23,14v,3,,3,,3c23,17,23,17,23,17v1,-1,1,-3,1,-4c25,9,26,5,27,r5,xe" fillcolor="#00313c [3205]" stroked="f">
                                  <v:path arrowok="t" o:connecttype="custom" o:connectlocs="2147483646,0;2147483646,2147483646;2147483646,2147483646;1910147282,1016147881;1797797214,790340659;1797797214,790340659;1685448220,1016147881;1348365128,2147483646;674165078,2147483646;0,0;561816084,0;898899144,1467795274;1011248138,1919408642;1011248138,1919408642;1123632136,1467795274;1460715196,0;2134880274,0;2147483646,1580681351;2147483646,1919408642;2147483646,1919408642;2147483646,1467795274;2147483646,0;2147483646,0" o:connectangles="0,0,0,0,0,0,0,0,0,0,0,0,0,0,0,0,0,0,0,0,0,0,0"/>
                                </v:shape>
                                <v:shape id="Freeform 73" o:spid="_x0000_s1032" alt="background" style="position:absolute;left:7969;top:3556;width:1073;height:717;visibility:visible;mso-wrap-style:square;v-text-anchor:top" coordsize="3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dWvcEA&#10;AADbAAAADwAAAGRycy9kb3ducmV2LnhtbERPzYrCMBC+C75DGGEvsqbuoUo1iisUXDxouz7A0Ixt&#10;sZl0m6jdtzeC4G0+vt9ZrnvTiBt1rrasYDqJQBAXVtdcKjj9pp9zEM4ja2wsk4J/crBeDQdLTLS9&#10;c0a33JcihLBLUEHlfZtI6YqKDLqJbYkDd7adQR9gV0rd4T2Em0Z+RVEsDdYcGipsaVtRccmvRsEs&#10;09+0Pxz9+O9HbrNTnOZXlyr1Meo3CxCeev8Wv9w7HebH8PwlHC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5XVr3BAAAA2wAAAA8AAAAAAAAAAAAAAAAAmAIAAGRycy9kb3du&#10;cmV2LnhtbFBLBQYAAAAABAAEAPUAAACGAwAAAAA=&#10;" path="m33,c31,8,29,15,26,22v-6,,-6,,-6,c17,9,17,9,17,9,16,7,16,7,16,7v,,,,,c16,9,16,9,16,9,12,22,12,22,12,22v-6,,-6,,-6,c4,15,1,8,,,5,,5,,5,,6,5,7,9,9,13v,1,,3,,4c9,17,9,17,9,17v1,-4,1,-4,1,-4c14,,14,,14,v5,,5,,5,c23,14,23,14,23,14v1,3,1,3,1,3c24,17,24,17,24,17v,-1,,-3,1,-4c26,9,27,5,28,r5,xe" fillcolor="#00313c [3205]" stroked="f">
                                  <v:path arrowok="t" o:connecttype="custom" o:connectlocs="2147483646,0;2147483646,2147483646;2147483646,2147483646;1900417060,1016147881;1788659916,790340659;1788659916,790340659;1788659916,1016147881;1341494937,2147483646;670748005,2147483646;0,0;558955972,0;1006120918,1467795274;1006120918,1919408642;1006120918,1919408642;1117912984,1467795274;1565077963,0;2124000086,0;2147483646,1580681351;2147483646,1919408642;2147483646,1919408642;2147483646,1467795274;2147483646,0;2147483646,0" o:connectangles="0,0,0,0,0,0,0,0,0,0,0,0,0,0,0,0,0,0,0,0,0,0,0"/>
                                </v:shape>
                                <v:shape id="Freeform 74" o:spid="_x0000_s1033" alt="background" style="position:absolute;left:9144;top:3556;width:1073;height:717;visibility:visible;mso-wrap-style:square;v-text-anchor:top" coordsize="3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aLscQA&#10;AADcAAAADwAAAGRycy9kb3ducmV2LnhtbESP0WrCQBRE3wX/YblCX4puGopKdBUVAi0+1EQ/4JK9&#10;JsHs3ZhdNf17t1DwcZiZM8xy3ZtG3KlztWUFH5MIBHFhdc2lgtMxHc9BOI+ssbFMCn7JwXo1HCwx&#10;0fbBGd1zX4oAYZeggsr7NpHSFRUZdBPbEgfvbDuDPsiulLrDR4CbRsZRNJUGaw4LFba0q6i45Dej&#10;YJbpLe1/Dv79+i132Wma5jeXKvU26jcLEJ56/wr/t7+0gjj+hL8z4Qj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Gi7HEAAAA3AAAAA8AAAAAAAAAAAAAAAAAmAIAAGRycy9k&#10;b3ducmV2LnhtbFBLBQYAAAAABAAEAPUAAACJAwAAAAA=&#10;" path="m33,c31,8,29,15,27,22v-6,,-6,,-6,c17,9,17,9,17,9,16,7,16,7,16,7v,,,,,c16,9,16,9,16,9,13,22,13,22,13,22v-7,,-7,,-7,c4,15,2,8,,,6,,6,,6,,7,5,8,9,9,13v,1,,3,1,4c10,17,10,17,10,17v1,-4,1,-4,1,-4c14,,14,,14,v5,,5,,5,c23,14,23,14,23,14v1,3,1,3,1,3c24,17,24,17,24,17v,-1,1,-3,1,-4c26,9,27,5,28,r5,xe" fillcolor="#00313c [3205]" stroked="f">
                                  <v:path arrowok="t" o:connecttype="custom" o:connectlocs="2147483646,0;2147483646,2147483646;2147483646,2147483646;1900417060,1016147881;1788659916,790340659;1788659916,790340659;1788659916,1016147881;1453286970,2147483646;670748005,2147483646;0,0;670748005,0;1006120918,1467795274;1117912984,1919408642;1117912984,1919408642;1229703944,1467795274;1565077963,0;2124000086,0;2147483646,1580681351;2147483646,1919408642;2147483646,1919408642;2147483646,1467795274;2147483646,0;2147483646,0" o:connectangles="0,0,0,0,0,0,0,0,0,0,0,0,0,0,0,0,0,0,0,0,0,0,0"/>
                                </v:shape>
                                <v:oval id="Oval 75" o:spid="_x0000_s1034" alt="background" style="position:absolute;left:10312;top:4044;width:229;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7PVccA&#10;AADcAAAADwAAAGRycy9kb3ducmV2LnhtbESPQWvCQBSE7wX/w/KEXopuDCgSXUXbtAg9lGoOHh/Z&#10;ZxKSfRuzW43++q5Q6HGYmW+Y5bo3jbhQ5yrLCibjCARxbnXFhYLs8D6ag3AeWWNjmRTcyMF6NXha&#10;YqLtlb/psveFCBB2CSoovW8TKV1ekkE3ti1x8E62M+iD7AqpO7wGuGlkHEUzabDisFBiS68l5fX+&#10;xyio7+nbOU4P5+NLdvrMvrb1x4RTpZ6H/WYBwlPv/8N/7Z1WEMdTeJwJR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5+z1XHAAAA3AAAAA8AAAAAAAAAAAAAAAAAmAIAAGRy&#10;cy9kb3ducmV2LnhtbFBLBQYAAAAABAAEAPUAAACMAwAAAAA=&#10;" fillcolor="#00313c [3205]" stroked="f"/>
                                <v:shape id="Freeform 76" o:spid="_x0000_s1035" alt="background" style="position:absolute;left:10674;top:3556;width:552;height:717;visibility:visible;mso-wrap-style:square;v-text-anchor:top" coordsize="1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CTm8MA&#10;AADcAAAADwAAAGRycy9kb3ducmV2LnhtbESPQWsCMRSE70L/Q3iF3jTrQkW2RhFBKKKCttLrY/Pc&#10;DW5eliTV1V9vBMHjMDPfMJNZZxtxJh+MYwXDQQaCuHTacKXg92fZH4MIEVlj45gUXCnAbPrWm2Ch&#10;3YV3dN7HSiQIhwIV1DG2hZShrMliGLiWOHlH5y3GJH0ltcdLgttG5lk2khYNp4UaW1rUVJ72/1bB&#10;Bj+dyfC0Xv0dbtqXZrk9uEapj/du/gUiUhdf4Wf7WyvI8xE8zqQjIK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CTm8MAAADcAAAADwAAAAAAAAAAAAAAAACYAgAAZHJzL2Rv&#10;d25yZXYueG1sUEsFBgAAAAAEAAQA9QAAAIgDAAAAAA==&#10;" path="m17,21v-3,1,-5,1,-7,1c3,22,,18,,12,,4,5,,11,v2,,4,,5,1c15,5,15,5,15,5,14,5,13,4,11,4,8,4,6,7,6,11v,5,2,7,5,7c13,18,14,18,16,17r1,4xe" fillcolor="#00313c [3205]" stroked="f">
                                  <v:path arrowok="t" o:connecttype="custom" o:connectlocs="1891313541,2147483646;1112535446,2147483646;0,1354875172;1223798807,0;1780049142,112921145;1668819518,564534513;1223798807,451613368;667514735,1241989095;1223798807,2032329786;1780049142,1919408642;1891313541,2147483646" o:connectangles="0,0,0,0,0,0,0,0,0,0,0"/>
                                </v:shape>
                                <v:shape id="Freeform 77" o:spid="_x0000_s1036" alt="background" style="position:absolute;left:11322;top:3556;width:520;height:755;visibility:visible;mso-wrap-style:square;v-text-anchor:top" coordsize="1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jE3MQA&#10;AADcAAAADwAAAGRycy9kb3ducmV2LnhtbESPUWvCQBCE3wv+h2OFvtWLgWpJPUUKhVTwodEfsOTW&#10;JCa3l+a2mv57TxD6OMzMN8xqM7pOXWgIjWcD81kCirj0tuHKwPHw+fIGKgiyxc4zGfijAJv15GmF&#10;mfVX/qZLIZWKEA4ZGqhF+kzrUNbkMMx8Txy9kx8cSpRDpe2A1wh3nU6TZKEdNhwXauzpo6ayLX6d&#10;gVfe75Z5e9xLW+6+qryQn7O2xjxPx+07KKFR/sOPdm4NpOkS7mfiEd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IxNzEAAAA3AAAAA8AAAAAAAAAAAAAAAAAmAIAAGRycy9k&#10;b3ducmV2LnhtbFBLBQYAAAAABAAEAPUAAACJAwAAAAA=&#10;" path="m7,23c5,23,3,22,,22,1,17,1,17,1,17v2,1,4,1,6,1c9,18,10,18,10,16,10,15,9,14,6,13,3,12,1,10,1,7,1,3,4,,9,v2,,4,,5,1c14,5,14,5,14,5,12,4,11,4,9,4,7,4,6,5,6,6v,2,1,2,4,3c14,10,16,12,16,15v,5,-4,8,-9,8xe" fillcolor="#00313c [3205]" stroked="f">
                                  <v:path arrowok="t" o:connecttype="custom" o:connectlocs="782029560,2147483646;0,2147483646;111703735,1975587032;782029560,2091818264;1117174500,1859390300;670290985,1510765603;111703735,813480626;1005436998,0;1564024248,116196732;1564024248,581052661;1005436998,464855929;670290985,697284977;1117174500,1045909674;1787465485,1743193567;782029560,2147483646" o:connectangles="0,0,0,0,0,0,0,0,0,0,0,0,0,0,0"/>
                                </v:shape>
                                <v:shape id="Freeform 78" o:spid="_x0000_s1037" alt="background" style="position:absolute;left:11938;top:3263;width:298;height:1010;visibility:visible;mso-wrap-style:square;v-text-anchor:top" coordsize="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1icUA&#10;AADcAAAADwAAAGRycy9kb3ducmV2LnhtbESP0WoCMRRE3wv9h3AFX6Rmq23RrVGKoAiCUOsHXDa3&#10;2dXNzTaJ6/r3RhD6OMzMGWa26GwtWvKhcqzgdZiBIC6crtgoOPysXiYgQkTWWDsmBVcKsJg/P80w&#10;1+7C39TuoxEJwiFHBWWMTS5lKEqyGIauIU7er/MWY5LeSO3xkuC2lqMs+5AWK04LJTa0LKk47c9W&#10;Qdytx6t30/q3Qd38HbPj4Gy2O6X6ve7rE0SkLv6HH+2NVjCaTOF+Jh0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OTWJxQAAANwAAAAPAAAAAAAAAAAAAAAAAJgCAABkcnMv&#10;ZG93bnJldi54bWxQSwUGAAAAAAQABAD1AAAAigMAAAAA&#10;" path="m3,31c3,13,3,13,3,13,,13,,13,,13,,9,,9,,9v8,,8,,8,c8,31,8,31,8,31r-5,xm6,6c4,6,2,5,2,3,2,1,4,,6,,8,,9,1,9,3,9,5,8,6,6,6xe" fillcolor="#00313c [3205]" stroked="f">
                                  <v:path arrowok="t" o:connecttype="custom" o:connectlocs="361124214,2147483646;361124214,1464299955;0,1464299955;0,1013735241;963035541,1013735241;963035541,2147483646;361124214,2147483646;722285678,675846517;240749829,337922705;722285678,0;1083409893,337922705;722285678,675846517" o:connectangles="0,0,0,0,0,0,0,0,0,0,0,0"/>
                                  <o:lock v:ext="edit" verticies="t"/>
                                </v:shape>
                                <v:shape id="Freeform 79" o:spid="_x0000_s1038" alt="background" style="position:absolute;left:12426;top:3556;width:426;height:717;visibility:visible;mso-wrap-style:square;v-text-anchor:top" coordsize="1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hIMAA&#10;AADcAAAADwAAAGRycy9kb3ducmV2LnhtbERPy4rCMBTdD8w/hDvgbkxVFO0YRcSCuBstuL0017ZM&#10;c1Ob9KFfbxYDLg/nvd4OphIdNa60rGAyjkAQZ1aXnCtIL8n3EoTzyBory6TgQQ62m8+PNcba9vxL&#10;3dnnIoSwi1FB4X0dS+myggy6sa2JA3ezjUEfYJNL3WAfwk0lp1G0kAZLDg0F1rQvKPs7t0bBrHVJ&#10;N7ma+zyNku7Wnnr9PORKjb6G3Q8IT4N/i//dR61gugrzw5lwBOTm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EPhIMAAAADcAAAADwAAAAAAAAAAAAAAAACYAgAAZHJzL2Rvd25y&#10;ZXYueG1sUEsFBgAAAAAEAAQA9QAAAIUDAAAAAA==&#10;" path="m12,5v,,-1,,-2,c9,5,7,6,5,9v,13,,13,,13c,22,,22,,22,,,,,,,4,,4,,4,,5,4,5,4,5,4,7,1,8,,10,v1,,2,,3,l12,5xe" fillcolor="#00313c [3205]" stroked="f">
                                  <v:path arrowok="t" o:connecttype="custom" o:connectlocs="1381916113,564534513;1151609110,564534513;575786843,1016147881;575786843,2147483646;0,2147483646;0,0;460650512,0;575786843,451613368;1151609110,0;1497087868,0;1381916113,564534513" o:connectangles="0,0,0,0,0,0,0,0,0,0,0"/>
                                </v:shape>
                                <v:shape id="Freeform 80" o:spid="_x0000_s1039" alt="background" style="position:absolute;left:12947;top:3556;width:718;height:755;visibility:visible;mso-wrap-style:square;v-text-anchor:top" coordsize="2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Ht3cEA&#10;AADcAAAADwAAAGRycy9kb3ducmV2LnhtbERPTWsCMRC9F/wPYYTearYqUrZGKaJYPKntob0Nm+lm&#10;6WayJOO6/feNUOhtHu9zluvBt6qnmJrABh4nBSjiKtiGawPvb7uHJ1BJkC22gcnADyVYr0Z3Syxt&#10;uPKJ+rPUKodwKtGAE+lKrVPlyGOahI44c18hepQMY61txGsO962eFsVCe2w4NzjsaOOo+j5fvIHu&#10;o98ehbd1iq7Yz3COn70cjLkfDy/PoIQG+Rf/uV9tnj+dwe2ZfIF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x7d3BAAAA3AAAAA8AAAAAAAAAAAAAAAAAmAIAAGRycy9kb3du&#10;cmV2LnhtbFBLBQYAAAAABAAEAPUAAACGAwAAAAA=&#10;" path="m11,23c3,23,,18,,12,,4,4,,11,v7,,11,4,11,11c22,18,18,23,11,23xm11,4c7,4,5,7,5,11v,4,2,7,6,7c15,18,16,15,16,11,16,7,15,4,11,4xe" fillcolor="#00313c [3205]" stroked="f">
                                  <v:path arrowok="t" o:connecttype="custom" o:connectlocs="1247192076,2147483646;0,1394533287;1247192076,0;2147483646,1278337638;1247192076,2147483646;1247192076,464855929;566899576,1278337638;1247192076,2091818264;1814057580,1278337638;1247192076,464855929" o:connectangles="0,0,0,0,0,0,0,0,0,0"/>
                                  <o:lock v:ext="edit" verticies="t"/>
                                </v:shape>
                                <v:oval id="Oval 81" o:spid="_x0000_s1040" alt="background" style="position:absolute;left:13830;top:4044;width:190;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cLssUA&#10;AADcAAAADwAAAGRycy9kb3ducmV2LnhtbERPS2vCQBC+F/wPywi9SN0YSimpq/hIi9CDGHPocciO&#10;SUh2Nma3mvrruwWht/n4njNfDqYVF+pdbVnBbBqBIC6srrlUkB/fn15BOI+ssbVMCn7IwXIxephj&#10;ou2VD3TJfClCCLsEFVTed4mUrqjIoJvajjhwJ9sb9AH2pdQ9XkO4aWUcRS/SYM2hocKONhUVTfZt&#10;FDS3dHuO0+P5a5KfPvP9uvmYcarU43hYvYHwNPh/8d2902F+/Ax/z4QL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FwuyxQAAANwAAAAPAAAAAAAAAAAAAAAAAJgCAABkcnMv&#10;ZG93bnJldi54bWxQSwUGAAAAAAQABAD1AAAAigMAAAAA&#10;" fillcolor="#00313c [3205]" stroked="f"/>
                                <v:shape id="Freeform 82" o:spid="_x0000_s1041" alt="background" style="position:absolute;left:14217;top:3556;width:584;height:755;visibility:visible;mso-wrap-style:square;v-text-anchor:top" coordsize="1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XBGcMA&#10;AADcAAAADwAAAGRycy9kb3ducmV2LnhtbERPTWvCQBC9F/wPyxR6Cbox0CLRVYoiFHppE0WPQ3ZM&#10;gtnZkJ1q+u+7hUJv83ifs9qMrlM3GkLr2cB8loIirrxtuTZwKPfTBaggyBY7z2TgmwJs1pOHFebW&#10;3/mTboXUKoZwyNFAI9LnWoeqIYdh5nviyF384FAiHGptB7zHcNfpLE1ftMOWY0ODPW0bqq7FlzNA&#10;5+TUFvPk/bBLsrMr6+5D5GjM0+P4ugQlNMq/+M/9ZuP87Bl+n4kX6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XBGcMAAADcAAAADwAAAAAAAAAAAAAAAACYAgAAZHJzL2Rv&#10;d25yZXYueG1sUEsFBgAAAAAEAAQA9QAAAIgDAAAAAA==&#10;" path="m14,22v,-2,,-2,,-2c12,22,10,23,7,23,2,23,,20,,16,,11,4,9,10,9v3,,3,,3,c13,8,13,8,13,8,13,5,12,4,8,4,6,4,4,4,2,5,1,1,1,1,1,1,3,,6,,9,v7,,9,3,9,7c18,22,18,22,18,22r-4,xm13,12v-3,,-3,,-3,c7,12,5,14,5,16v,1,1,3,3,3c10,19,12,18,13,17r,-5xe" fillcolor="#00313c [3205]" stroked="f">
                                  <v:path arrowok="t" o:connecttype="custom" o:connectlocs="1551816383,2147483646;1551816383,2147483646;775907656,2147483646;0,1859390300;1108449909,1045909674;1440957382,1045909674;1440957382,929677358;886732979,464855929;221683253,581052661;110859000,116196732;997590909,0;1995181818,813480626;1995181818,2147483646;1551816383,2147483646;1440957382,1394533287;1108449909,1394533287;554224436,1859390300;886732979,2147483646;1440957382,1975587032;1440957382,1394533287" o:connectangles="0,0,0,0,0,0,0,0,0,0,0,0,0,0,0,0,0,0,0,0"/>
                                  <o:lock v:ext="edit" verticies="t"/>
                                </v:shape>
                                <v:shape id="Freeform 83" o:spid="_x0000_s1042" alt="background" style="position:absolute;left:15030;top:3556;width:622;height:755;visibility:visible;mso-wrap-style:square;v-text-anchor:top" coordsize="1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LuMQA&#10;AADcAAAADwAAAGRycy9kb3ducmV2LnhtbERPTWvCQBC9F/wPywheSrOph8TGrCKCEKGXqpfeptkx&#10;CWZnQ3abRH99t1DobR7vc/LtZFoxUO8aywpeoxgEcWl1w5WCy/nwsgLhPLLG1jIpuJOD7Wb2lGOm&#10;7cgfNJx8JUIIuwwV1N53mZSurMmgi2xHHLir7Q36APtK6h7HEG5auYzjRBpsODTU2NG+pvJ2+jYK&#10;Dm/p+/MtrfD4+GqnYkw/mzTplFrMp90ahKfJ/4v/3IUO85cJ/D4TLp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5y7jEAAAA3AAAAA8AAAAAAAAAAAAAAAAAmAIAAGRycy9k&#10;b3ducmV2LnhtbFBLBQYAAAAABAAEAPUAAACJAwAAAAA=&#10;" path="m15,22v,-3,,-3,,-3c12,22,10,23,7,23,2,23,,19,,14,,,,,,,5,,5,,5,v,13,,13,,13c5,16,6,18,9,18v2,,3,-1,5,-3c14,,14,,14,v5,,5,,5,c19,22,19,22,19,22r-4,xe" fillcolor="#00313c [3205]" stroked="f">
                                  <v:path arrowok="t" o:connecttype="custom" o:connectlocs="1723646461,2147483646;1723646461,2147483646;804373641,2147483646;0,1626962335;0,0;574537733,0;574537733,1510765603;1034174160,2091818264;1608746202,1743193567;1608746202,0;2147483646,0;2147483646,2147483646;1723646461,2147483646" o:connectangles="0,0,0,0,0,0,0,0,0,0,0,0,0"/>
                                </v:shape>
                              </v:group>
                              <v:shape id="Freeform 84" o:spid="_x0000_s1043" style="position:absolute;left:59091;top:912;width:22125;height:8883;visibility:visible;mso-wrap-style:square;v-text-anchor:top" coordsize="680,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5D074A&#10;AADcAAAADwAAAGRycy9kb3ducmV2LnhtbERPS4vCMBC+L/gfwgje1lTBB9UoIizUgwdf96EZm9Jm&#10;UpKs1n9vFha8zcf3nPW2t614kA+1YwWTcQaCuHS65krB9fLzvQQRIrLG1jEpeFGA7WbwtcZcuyef&#10;6HGOlUghHHJUYGLscilDachiGLuOOHF35y3GBH0ltcdnCretnGbZXFqsOTUY7GhvqGzOv1ZBnLWu&#10;0Dfrm+J46AvTzHdMqNRo2O9WICL18SP+dxc6zZ8u4O+ZdIHcv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JeQ9O+AAAA3AAAAA8AAAAAAAAAAAAAAAAAmAIAAGRycy9kb3ducmV2&#10;LnhtbFBLBQYAAAAABAAEAPUAAACDAwAAAAA=&#10;" path="m476,c186,,79,86,,116v128,73,229,156,470,156c528,272,680,272,680,272,680,,680,,680,l476,xe" fillcolor="white [3212]" stroked="f">
                                <v:path arrowok="t" o:connecttype="custom" o:connectlocs="2147483646,0;0,2147483646;2147483646,2147483646;2147483646,2147483646;2147483646,0;2147483646,0" o:connectangles="0,0,0,0,0,0"/>
                              </v:shape>
                              <v:shape id="Freeform 104" o:spid="_x0000_s1044" alt="background" style="position:absolute;left:59103;top:929;width:22106;height:8861;visibility:visible;mso-wrap-style:square;v-text-anchor:top" coordsize="680,2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cprMIA&#10;AADcAAAADwAAAGRycy9kb3ducmV2LnhtbESPQYvCMBSE78L+h/AEb5qqIGttKouw4k1tBa+P5tl2&#10;bV5KE7X+eyMIexxm5hsmWfemEXfqXG1ZwXQSgSAurK65VHDKf8ffIJxH1thYJgVPcrBOvwYJxto+&#10;+Ej3zJciQNjFqKDyvo2ldEVFBt3EtsTBu9jOoA+yK6Xu8BHgppGzKFpIgzWHhQpb2lRUXLObUbBf&#10;3PaXzfJqi6zdHujvnHtpc6VGw/5nBcJT7//Dn/ZOK5jPl/A+E46AT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1ymswgAAANwAAAAPAAAAAAAAAAAAAAAAAJgCAABkcnMvZG93&#10;bnJldi54bWxQSwUGAAAAAAQABAD1AAAAhwMAAAAA&#10;" adj="-11796480,,5400" path="m476,c186,,79,86,,116v128,73,229,156,470,156c528,272,680,272,680,272,680,,680,,680,l476,xe" fillcolor="#f8f8f8" stroked="f">
                                <v:stroke joinstyle="miter"/>
                                <v:formulas/>
                                <v:path arrowok="t" o:connecttype="custom" o:connectlocs="2147483646,0;0,2147483646;2147483646,2147483646;2147483646,2147483646;2147483646,0;2147483646,0" o:connectangles="0,0,0,0,0,0" textboxrect="0,0,680,272"/>
                                <v:textbox>
                                  <w:txbxContent>
                                    <w:p w14:paraId="131ECB55" w14:textId="77777777" w:rsidR="0048064B" w:rsidRPr="007367A7" w:rsidRDefault="0048064B" w:rsidP="000F0E2F">
                                      <w:pPr>
                                        <w:rPr>
                                          <w:rFonts w:eastAsia="Times New Roman"/>
                                          <w:color w:val="00A9CE" w:themeColor="accent1"/>
                                        </w:rPr>
                                      </w:pP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45" type="#_x0000_t75" alt="CSIRO logo" style="position:absolute;left:65836;top:863;width:8941;height:87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tkSXDAAAA3AAAAA8AAABkcnMvZG93bnJldi54bWxET01rAjEQvRf6H8IUvGm2Kla3RpGCIGWL&#10;aD3obboZN0s3k+0m1fjvm4PQ4+N9z5fRNuJCna8dK3geZCCIS6drrhQcPtf9KQgfkDU2jknBjTws&#10;F48Pc8y1u/KOLvtQiRTCPkcFJoQ2l9KXhiz6gWuJE3d2ncWQYFdJ3eE1hdtGDrNsIi3WnBoMtvRm&#10;qPze/1oFX8VPczy62WRr4kfE03txfuFCqd5TXL2CCBTDv/ju3mgFo3Gan86kIyA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62RJcMAAADcAAAADwAAAAAAAAAAAAAAAACf&#10;AgAAZHJzL2Rvd25yZXYueG1sUEsFBgAAAAAEAAQA9wAAAI8DAAAAAA==&#10;">
                              <v:imagedata r:id="rId13" o:title="CSIRO logo"/>
                              <v:path arrowok="t"/>
                            </v:shape>
                          </v:group>
                        </w:pict>
                      </mc:Fallback>
                    </mc:AlternateContent>
                  </w:r>
                </w:p>
                <w:p w14:paraId="500ABCA2" w14:textId="77777777" w:rsidR="000F0E2F" w:rsidRPr="008F64BD" w:rsidRDefault="0014181A" w:rsidP="000F0E2F">
                  <w:pPr>
                    <w:pStyle w:val="CoverTitle"/>
                  </w:pPr>
                  <w:r>
                    <w:t>E</w:t>
                  </w:r>
                  <w:r w:rsidR="00707534">
                    <w:t>-cigarettes</w:t>
                  </w:r>
                  <w:r>
                    <w:t>, smoking and</w:t>
                  </w:r>
                  <w:r w:rsidR="00707534">
                    <w:t xml:space="preserve"> health</w:t>
                  </w:r>
                  <w:r w:rsidR="000F0E2F" w:rsidRPr="008F64BD">
                    <w:t xml:space="preserve"> </w:t>
                  </w:r>
                </w:p>
                <w:p w14:paraId="46F37130" w14:textId="77777777" w:rsidR="000F0E2F" w:rsidRDefault="000F0E2F" w:rsidP="000F0E2F">
                  <w:pPr>
                    <w:pStyle w:val="CoverSubtitle"/>
                  </w:pPr>
                  <w:r>
                    <w:t>A Literature Review Update</w:t>
                  </w:r>
                </w:p>
                <w:p w14:paraId="044A0C38" w14:textId="77777777" w:rsidR="000F0E2F" w:rsidRPr="00716588" w:rsidRDefault="000F0E2F" w:rsidP="000F0E2F">
                  <w:pPr>
                    <w:pStyle w:val="BodyText"/>
                  </w:pPr>
                </w:p>
                <w:p w14:paraId="27C3624A" w14:textId="77777777" w:rsidR="00817859" w:rsidRDefault="000F0E2F" w:rsidP="000F0E2F">
                  <w:pPr>
                    <w:pStyle w:val="BodyText"/>
                  </w:pPr>
                  <w:r>
                    <w:t xml:space="preserve">Stephanie Byrne, </w:t>
                  </w:r>
                  <w:r w:rsidR="00535C67">
                    <w:t xml:space="preserve">Emily Brindal, Gemma Williams, </w:t>
                  </w:r>
                  <w:r>
                    <w:t>Kim Anastasiou,</w:t>
                  </w:r>
                  <w:r w:rsidR="006E64A0">
                    <w:t xml:space="preserve"> Anne Tonkin,</w:t>
                  </w:r>
                  <w:r>
                    <w:t xml:space="preserve"> </w:t>
                  </w:r>
                  <w:r w:rsidRPr="00885A85">
                    <w:t>Samantha Battams</w:t>
                  </w:r>
                  <w:r>
                    <w:t xml:space="preserve"> and </w:t>
                  </w:r>
                  <w:r w:rsidR="00535C67">
                    <w:t>Malcolm Riley</w:t>
                  </w:r>
                </w:p>
                <w:p w14:paraId="0D9E6F3A" w14:textId="470F04A0" w:rsidR="000F0E2F" w:rsidRPr="007D1633" w:rsidRDefault="000F0E2F" w:rsidP="000F0E2F">
                  <w:pPr>
                    <w:pStyle w:val="BodyText"/>
                  </w:pPr>
                  <w:r w:rsidRPr="007D1633">
                    <w:br/>
                  </w:r>
                  <w:r w:rsidR="00272382">
                    <w:t>2</w:t>
                  </w:r>
                  <w:r w:rsidR="0043170A">
                    <w:t>2</w:t>
                  </w:r>
                  <w:r w:rsidR="006C55CC">
                    <w:t xml:space="preserve"> June </w:t>
                  </w:r>
                  <w:r>
                    <w:t>2018</w:t>
                  </w:r>
                </w:p>
                <w:p w14:paraId="121DBC58" w14:textId="77777777" w:rsidR="00817859" w:rsidRDefault="00817859" w:rsidP="000F0E2F">
                  <w:pPr>
                    <w:pStyle w:val="BodyText"/>
                  </w:pPr>
                </w:p>
                <w:p w14:paraId="19CF3F42" w14:textId="77777777" w:rsidR="000F0E2F" w:rsidRPr="007D1633" w:rsidRDefault="000F0E2F" w:rsidP="000F0E2F">
                  <w:pPr>
                    <w:pStyle w:val="BodyText"/>
                  </w:pPr>
                  <w:r>
                    <w:t>Prepared for: Department of Industry, Innovation and Science</w:t>
                  </w:r>
                  <w:r w:rsidRPr="007D1633">
                    <w:br/>
                  </w:r>
                </w:p>
                <w:p w14:paraId="3EBA7ECC" w14:textId="77777777" w:rsidR="000F0E2F" w:rsidRDefault="000F0E2F" w:rsidP="000F0E2F">
                  <w:pPr>
                    <w:pStyle w:val="BodyText"/>
                  </w:pPr>
                </w:p>
                <w:p w14:paraId="139F3E51" w14:textId="77777777" w:rsidR="000F0E2F" w:rsidRDefault="000F0E2F" w:rsidP="000F0E2F">
                  <w:pPr>
                    <w:pStyle w:val="BodyText"/>
                  </w:pPr>
                  <w:r>
                    <w:rPr>
                      <w:noProof/>
                    </w:rPr>
                    <w:drawing>
                      <wp:anchor distT="0" distB="0" distL="114300" distR="114300" simplePos="0" relativeHeight="251658240" behindDoc="1" locked="0" layoutInCell="1" allowOverlap="1" wp14:anchorId="01C740D7" wp14:editId="01D48B96">
                        <wp:simplePos x="0" y="0"/>
                        <wp:positionH relativeFrom="page">
                          <wp:posOffset>7620</wp:posOffset>
                        </wp:positionH>
                        <wp:positionV relativeFrom="paragraph">
                          <wp:posOffset>987078</wp:posOffset>
                        </wp:positionV>
                        <wp:extent cx="7552706" cy="4048421"/>
                        <wp:effectExtent l="0" t="0" r="0" b="9525"/>
                        <wp:wrapNone/>
                        <wp:docPr id="345" name="Picture 345" title="Image of smoke on a black background"/>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a:extLst>
                                    <a:ext uri="{28A0092B-C50C-407E-A947-70E740481C1C}">
                                      <a14:useLocalDpi xmlns:a14="http://schemas.microsoft.com/office/drawing/2010/main" val="0"/>
                                    </a:ext>
                                  </a:extLst>
                                </a:blip>
                                <a:stretch>
                                  <a:fillRect/>
                                </a:stretch>
                              </pic:blipFill>
                              <pic:spPr>
                                <a:xfrm>
                                  <a:off x="0" y="0"/>
                                  <a:ext cx="7552706" cy="4048421"/>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3" behindDoc="1" locked="1" layoutInCell="1" allowOverlap="1" wp14:anchorId="6757EA29" wp14:editId="32BF1258">
                            <wp:simplePos x="0" y="0"/>
                            <wp:positionH relativeFrom="column">
                              <wp:posOffset>-1277620</wp:posOffset>
                            </wp:positionH>
                            <wp:positionV relativeFrom="page">
                              <wp:posOffset>8825230</wp:posOffset>
                            </wp:positionV>
                            <wp:extent cx="8438515" cy="2882900"/>
                            <wp:effectExtent l="0" t="0" r="635" b="0"/>
                            <wp:wrapNone/>
                            <wp:docPr id="344" name="Freeform 779" descr="backgrou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8438515" cy="2882900"/>
                                    </a:xfrm>
                                    <a:custGeom>
                                      <a:avLst/>
                                      <a:gdLst>
                                        <a:gd name="T0" fmla="*/ 0 w 2447"/>
                                        <a:gd name="T1" fmla="*/ 1431 h 1431"/>
                                        <a:gd name="T2" fmla="*/ 2447 w 2447"/>
                                        <a:gd name="T3" fmla="*/ 1431 h 1431"/>
                                        <a:gd name="T4" fmla="*/ 2447 w 2447"/>
                                        <a:gd name="T5" fmla="*/ 272 h 1431"/>
                                        <a:gd name="T6" fmla="*/ 2281 w 2447"/>
                                        <a:gd name="T7" fmla="*/ 272 h 1431"/>
                                        <a:gd name="T8" fmla="*/ 1810 w 2447"/>
                                        <a:gd name="T9" fmla="*/ 117 h 1431"/>
                                        <a:gd name="T10" fmla="*/ 1357 w 2447"/>
                                        <a:gd name="T11" fmla="*/ 0 h 1431"/>
                                        <a:gd name="T12" fmla="*/ 0 w 2447"/>
                                        <a:gd name="T13" fmla="*/ 0 h 1431"/>
                                        <a:gd name="T14" fmla="*/ 0 w 2447"/>
                                        <a:gd name="T15" fmla="*/ 1431 h 143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447" h="1431">
                                          <a:moveTo>
                                            <a:pt x="0" y="1431"/>
                                          </a:moveTo>
                                          <a:cubicBezTo>
                                            <a:pt x="2447" y="1431"/>
                                            <a:pt x="2447" y="1431"/>
                                            <a:pt x="2447" y="1431"/>
                                          </a:cubicBezTo>
                                          <a:cubicBezTo>
                                            <a:pt x="2447" y="272"/>
                                            <a:pt x="2447" y="272"/>
                                            <a:pt x="2447" y="272"/>
                                          </a:cubicBezTo>
                                          <a:cubicBezTo>
                                            <a:pt x="2447" y="272"/>
                                            <a:pt x="2339" y="272"/>
                                            <a:pt x="2281" y="272"/>
                                          </a:cubicBezTo>
                                          <a:cubicBezTo>
                                            <a:pt x="2040" y="272"/>
                                            <a:pt x="1939" y="189"/>
                                            <a:pt x="1810" y="117"/>
                                          </a:cubicBezTo>
                                          <a:cubicBezTo>
                                            <a:pt x="1701" y="54"/>
                                            <a:pt x="1551" y="0"/>
                                            <a:pt x="1357" y="0"/>
                                          </a:cubicBezTo>
                                          <a:cubicBezTo>
                                            <a:pt x="1148" y="0"/>
                                            <a:pt x="0" y="0"/>
                                            <a:pt x="0" y="0"/>
                                          </a:cubicBezTo>
                                          <a:cubicBezTo>
                                            <a:pt x="0" y="1431"/>
                                            <a:pt x="0" y="1431"/>
                                            <a:pt x="0" y="1431"/>
                                          </a:cubicBezTo>
                                        </a:path>
                                      </a:pathLst>
                                    </a:custGeom>
                                    <a:solidFill>
                                      <a:schemeClr val="bg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794E6" id="Freeform 779" o:spid="_x0000_s1026" alt="background" style="position:absolute;margin-left:-100.6pt;margin-top:694.9pt;width:664.45pt;height:227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2447,1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MeXPQQAAGUMAAAOAAAAZHJzL2Uyb0RvYy54bWysV21vpDYQ/l6p/8HiY6UNmIUAq2xOl6Rb&#10;VUrvTrr0B3jBLOjApjb7kqv63ztjAwtbkaza5gPrl/EzM8+Mx5O7D6e6IgeudCnF2qE3nkO4SGVW&#10;it3a+f1ls4gdolsmMlZJwdfOK9fOh/sff7g7Nivuy0JWGVcEQIReHZu1U7Rts3JdnRa8ZvpGNlzA&#10;Zi5VzVqYqp2bKXYE9Lpyfc+7dY9SZY2SKdcaVp/spnNv8POcp+3nPNe8JdXaAdta81Xmu8Wve3/H&#10;VjvFmqJMOzPYv7CiZqUApQPUE2sZ2avyH1B1mSqpZd7epLJ2ZZ6XKTc+gDfUu/Dma8EabnwBcnQz&#10;0KT/P9j00+GLImW2dpZB4BDBagjSRnGOlJMoShyScZ0CY1uWftspuRcZknZs9ArOfm2+KHRbN88y&#10;/aaJkI8FEzv+UTdAPSQEyroTYZxoOEa2x99kBtrYvpWGu1OuagQDVsjJhOh1CBE/tSSFxThYxiEN&#10;HZLCnh/HfuKZILps1R9P97r9hUsDxQ7PurUxzmBkIpR1Xr5APuR1BeH+ySUeORI/CKIuIQYZOpKh&#10;wZKSguDPpZg/EkOYGbTlSOwNNAjEYNgbaMDCWSzyZ0y7HUv5MZ0xLRqLzYLBbR5U0pjOsQZZcxaj&#10;0YxldBwAugznWKPjIHhzYOMQzNlFxwGYRRrTP4s0Jv8ilJCLuz7bWNEnYHoSXQbCiMAlwdzGhGyk&#10;xnTHdIScfrFXhq1ACndnhMFbFF6a+/WeMDiEwuFVwpAvKGxuAnjythmQDyicXIWM8UZpiCdWhfew&#10;aecjBO0q8c5LKA4jcaulI15BTbp8CJRD4CHY4hkIBWsxXv2QHKHGYFEgBZQyvPa4U8sDf5FGpj3X&#10;KbNtFZ8F0v22TB/497G4BQQe+hOg1uBcv4FOTZCnsws4P/I776Zq3ln/b0qWS6gB4OSlEihA4/Xr&#10;lHiBzZwLMJp0SmhsErAnEguTUULpkMXv0kUjz1oWBmO2aBja5a5VsNxisTIa+rdnGoDprDtCA3tZ&#10;JkDWzrmlq9jpXB0eJavumtULeJhi/pubOVwEI3N+T7WsymxTVhWmv2nS+GOlyIFBe7Xd+eZ+VPsa&#10;Hna7Rj38s4TCOvRidr3nbYAwWifolSl/QqI2e6/sCnQC3RXFnsD0WH8m1A+8Bz9ZbG7jaBFsgnCR&#10;RF688GjykNx6QRI8bf5C42iwKsos4+K5FLzv92hwXT/VdZ62UzMdHxaIJPRD4/fEeq1224EZQ8Lg&#10;8phC00+Z0lNwlv0sMjNuWVnZsTu12LAEbve/hgjTXmFHZbuyrcxeobtSEtovyALozWFQSPXdIUfo&#10;c9eO/mPPFHdI9auARjKhAd6u1kyCMPJhosY72/EOEylArZ3WgRcMh48tzODIvlHlrgBNtkYK+RG6&#10;urzE3svYZ63qJtDLGg+6vhub5fHcSJ3/O7j/GwAA//8DAFBLAwQUAAYACAAAACEAhACyweAAAAAP&#10;AQAADwAAAGRycy9kb3ducmV2LnhtbEyPzU7DMBCE70i8g7WVuLXODyIhjVMhVB6AtAeObrxNosZ2&#10;ZLup4enZnuC2o/k0O1Pvop7Ygs6P1ghINwkwNJ1Vo+kFHA8f6xKYD9IoOVmDAr7Rw655fKhlpezN&#10;fOLShp5RiPGVFDCEMFec+25ALf3GzmjIO1unZSDpeq6cvFG4nniWJC9cy9HQh0HO+D5gd2mvWsDX&#10;uZXcYR4Pl7xQJS77+GP3Qjyt4tsWWMAY/mC416fq0FCnk70a5dkkYJ0laUYsOXn5SivuTJoVBbAT&#10;XeVzXgJvav5/R/MLAAD//wMAUEsBAi0AFAAGAAgAAAAhALaDOJL+AAAA4QEAABMAAAAAAAAAAAAA&#10;AAAAAAAAAFtDb250ZW50X1R5cGVzXS54bWxQSwECLQAUAAYACAAAACEAOP0h/9YAAACUAQAACwAA&#10;AAAAAAAAAAAAAAAvAQAAX3JlbHMvLnJlbHNQSwECLQAUAAYACAAAACEAe4zHlz0EAABlDAAADgAA&#10;AAAAAAAAAAAAAAAuAgAAZHJzL2Uyb0RvYy54bWxQSwECLQAUAAYACAAAACEAhACyweAAAAAPAQAA&#10;DwAAAAAAAAAAAAAAAACXBgAAZHJzL2Rvd25yZXYueG1sUEsFBgAAAAAEAAQA8wAAAKQHAAAAAA==&#10;" path="m,1431v2447,,2447,,2447,c2447,272,2447,272,2447,272v,,-108,,-166,c2040,272,1939,189,1810,117,1701,54,1551,,1357,,1148,,,,,,,1431,,1431,,1431e" fillcolor="white [3214]" stroked="f">
                            <v:path arrowok="t" o:connecttype="custom" o:connectlocs="0,2882900;8438515,2882900;8438515,547973;7866062,547973;6241811,235709;4679634,0;0,0;0,2882900" o:connectangles="0,0,0,0,0,0,0,0"/>
                            <o:lock v:ext="edit" aspectratio="t"/>
                            <w10:wrap anchory="page"/>
                            <w10:anchorlock/>
                          </v:shape>
                        </w:pict>
                      </mc:Fallback>
                    </mc:AlternateContent>
                  </w:r>
                  <w:r>
                    <w:br w:type="page"/>
                  </w:r>
                </w:p>
              </w:sdtContent>
            </w:sdt>
            <w:p w14:paraId="5F26539C" w14:textId="77777777" w:rsidR="000F0E2F" w:rsidRPr="0045288A" w:rsidRDefault="000F0E2F" w:rsidP="000F0E2F">
              <w:pPr>
                <w:pStyle w:val="VersoPageHeading"/>
                <w:rPr>
                  <w:color w:val="auto"/>
                </w:rPr>
              </w:pPr>
              <w:r w:rsidRPr="0045288A">
                <w:rPr>
                  <w:color w:val="auto"/>
                </w:rPr>
                <w:lastRenderedPageBreak/>
                <w:t>Citation</w:t>
              </w:r>
            </w:p>
            <w:p w14:paraId="5C626BA0" w14:textId="77777777" w:rsidR="000F0E2F" w:rsidRPr="0045288A" w:rsidRDefault="0014181A" w:rsidP="0045288A">
              <w:pPr>
                <w:pStyle w:val="CoverTitle"/>
                <w:rPr>
                  <w:b w:val="0"/>
                  <w:color w:val="auto"/>
                  <w:sz w:val="24"/>
                  <w:szCs w:val="24"/>
                </w:rPr>
              </w:pPr>
              <w:r w:rsidRPr="0045288A">
                <w:rPr>
                  <w:b w:val="0"/>
                  <w:color w:val="auto"/>
                  <w:sz w:val="24"/>
                  <w:szCs w:val="24"/>
                </w:rPr>
                <w:t>Byrne S</w:t>
              </w:r>
              <w:r w:rsidR="000F0E2F" w:rsidRPr="0045288A">
                <w:rPr>
                  <w:b w:val="0"/>
                  <w:color w:val="auto"/>
                  <w:sz w:val="24"/>
                  <w:szCs w:val="24"/>
                </w:rPr>
                <w:t xml:space="preserve">, </w:t>
              </w:r>
              <w:r w:rsidRPr="0045288A">
                <w:rPr>
                  <w:b w:val="0"/>
                  <w:color w:val="auto"/>
                  <w:sz w:val="24"/>
                  <w:szCs w:val="24"/>
                </w:rPr>
                <w:t xml:space="preserve">Brindal </w:t>
              </w:r>
              <w:r>
                <w:rPr>
                  <w:b w:val="0"/>
                  <w:color w:val="auto"/>
                  <w:sz w:val="24"/>
                  <w:szCs w:val="24"/>
                </w:rPr>
                <w:t xml:space="preserve">E, </w:t>
              </w:r>
              <w:r w:rsidR="000F0E2F" w:rsidRPr="0045288A">
                <w:rPr>
                  <w:b w:val="0"/>
                  <w:color w:val="auto"/>
                  <w:sz w:val="24"/>
                  <w:szCs w:val="24"/>
                </w:rPr>
                <w:t>Williams G, Anastasiou KM</w:t>
              </w:r>
              <w:r w:rsidR="0045288A" w:rsidRPr="0045288A">
                <w:rPr>
                  <w:b w:val="0"/>
                  <w:color w:val="auto"/>
                  <w:sz w:val="24"/>
                  <w:szCs w:val="24"/>
                </w:rPr>
                <w:t xml:space="preserve">, </w:t>
              </w:r>
              <w:r>
                <w:rPr>
                  <w:b w:val="0"/>
                  <w:color w:val="auto"/>
                  <w:sz w:val="24"/>
                  <w:szCs w:val="24"/>
                </w:rPr>
                <w:t xml:space="preserve">Tonkin A, </w:t>
              </w:r>
              <w:r w:rsidR="0045288A" w:rsidRPr="0045288A">
                <w:rPr>
                  <w:b w:val="0"/>
                  <w:color w:val="auto"/>
                  <w:sz w:val="24"/>
                  <w:szCs w:val="24"/>
                </w:rPr>
                <w:t>Battams S</w:t>
              </w:r>
              <w:r w:rsidR="000F0E2F" w:rsidRPr="0045288A">
                <w:rPr>
                  <w:b w:val="0"/>
                  <w:color w:val="auto"/>
                  <w:sz w:val="24"/>
                  <w:szCs w:val="24"/>
                </w:rPr>
                <w:t xml:space="preserve"> and </w:t>
              </w:r>
              <w:r w:rsidRPr="0045288A">
                <w:rPr>
                  <w:b w:val="0"/>
                  <w:color w:val="auto"/>
                  <w:sz w:val="24"/>
                  <w:szCs w:val="24"/>
                </w:rPr>
                <w:t>Riley M</w:t>
              </w:r>
              <w:r>
                <w:rPr>
                  <w:b w:val="0"/>
                  <w:color w:val="auto"/>
                  <w:sz w:val="24"/>
                  <w:szCs w:val="24"/>
                </w:rPr>
                <w:t>D</w:t>
              </w:r>
              <w:r w:rsidRPr="0045288A">
                <w:rPr>
                  <w:b w:val="0"/>
                  <w:color w:val="auto"/>
                  <w:sz w:val="24"/>
                  <w:szCs w:val="24"/>
                </w:rPr>
                <w:t xml:space="preserve"> </w:t>
              </w:r>
              <w:r w:rsidR="000F0E2F" w:rsidRPr="0045288A">
                <w:rPr>
                  <w:b w:val="0"/>
                  <w:color w:val="auto"/>
                  <w:sz w:val="24"/>
                  <w:szCs w:val="24"/>
                </w:rPr>
                <w:t xml:space="preserve">(2018), </w:t>
              </w:r>
              <w:r>
                <w:rPr>
                  <w:b w:val="0"/>
                  <w:color w:val="auto"/>
                  <w:sz w:val="24"/>
                  <w:szCs w:val="24"/>
                </w:rPr>
                <w:t>E</w:t>
              </w:r>
              <w:r>
                <w:rPr>
                  <w:b w:val="0"/>
                  <w:color w:val="auto"/>
                  <w:sz w:val="24"/>
                  <w:szCs w:val="24"/>
                </w:rPr>
                <w:noBreakHyphen/>
              </w:r>
              <w:r w:rsidR="00707534" w:rsidRPr="0045288A">
                <w:rPr>
                  <w:b w:val="0"/>
                  <w:color w:val="auto"/>
                  <w:sz w:val="24"/>
                  <w:szCs w:val="24"/>
                </w:rPr>
                <w:t>cigarettes</w:t>
              </w:r>
              <w:r>
                <w:rPr>
                  <w:b w:val="0"/>
                  <w:color w:val="auto"/>
                  <w:sz w:val="24"/>
                  <w:szCs w:val="24"/>
                </w:rPr>
                <w:t>, smoking and</w:t>
              </w:r>
              <w:r w:rsidR="00707534" w:rsidRPr="0045288A">
                <w:rPr>
                  <w:b w:val="0"/>
                  <w:color w:val="auto"/>
                  <w:sz w:val="24"/>
                  <w:szCs w:val="24"/>
                </w:rPr>
                <w:t xml:space="preserve"> health</w:t>
              </w:r>
              <w:r w:rsidR="0045288A" w:rsidRPr="0045288A">
                <w:rPr>
                  <w:b w:val="0"/>
                  <w:color w:val="auto"/>
                  <w:sz w:val="24"/>
                  <w:szCs w:val="24"/>
                </w:rPr>
                <w:t xml:space="preserve">. </w:t>
              </w:r>
              <w:r w:rsidR="00707534" w:rsidRPr="0045288A">
                <w:rPr>
                  <w:b w:val="0"/>
                  <w:color w:val="auto"/>
                  <w:sz w:val="24"/>
                  <w:szCs w:val="24"/>
                </w:rPr>
                <w:t>A Literature Review Update</w:t>
              </w:r>
              <w:r w:rsidR="0045288A" w:rsidRPr="00272382">
                <w:rPr>
                  <w:b w:val="0"/>
                  <w:color w:val="auto"/>
                  <w:sz w:val="24"/>
                  <w:szCs w:val="24"/>
                </w:rPr>
                <w:t xml:space="preserve">. </w:t>
              </w:r>
              <w:r w:rsidR="000F0E2F" w:rsidRPr="0043170A">
                <w:rPr>
                  <w:b w:val="0"/>
                  <w:color w:val="auto"/>
                  <w:sz w:val="24"/>
                  <w:szCs w:val="24"/>
                </w:rPr>
                <w:t>CSIRO, Australia</w:t>
              </w:r>
              <w:r w:rsidR="000F0E2F" w:rsidRPr="0043170A">
                <w:rPr>
                  <w:color w:val="auto"/>
                  <w:sz w:val="24"/>
                  <w:szCs w:val="24"/>
                </w:rPr>
                <w:t xml:space="preserve">. </w:t>
              </w:r>
            </w:p>
            <w:p w14:paraId="46C7BECD" w14:textId="77777777" w:rsidR="000F0E2F" w:rsidRDefault="000F0E2F" w:rsidP="000F0E2F">
              <w:pPr>
                <w:pStyle w:val="VersoPageHeading"/>
              </w:pPr>
              <w:r>
                <w:t xml:space="preserve">Copyright </w:t>
              </w:r>
            </w:p>
            <w:p w14:paraId="77EFAAF7" w14:textId="77777777" w:rsidR="000F0E2F" w:rsidRDefault="000F0E2F" w:rsidP="000F0E2F">
              <w:pPr>
                <w:pStyle w:val="BodyText"/>
              </w:pPr>
              <w:r w:rsidRPr="004D7860">
                <w:t>© Commonwealth Scientific and Industrial Research Organisation 20</w:t>
              </w:r>
              <w:r>
                <w:t>18. To the extent permitted by law, all rights are reserved and no part of this publication covered by copyright may be reproduced or copied in any form or by any means except with the written permission of CSIRO.</w:t>
              </w:r>
            </w:p>
            <w:p w14:paraId="407EC688" w14:textId="77777777" w:rsidR="000F0E2F" w:rsidRDefault="000F0E2F" w:rsidP="000F0E2F">
              <w:pPr>
                <w:pStyle w:val="VersoPageHeading"/>
              </w:pPr>
              <w:r>
                <w:t>Important disclaimer</w:t>
              </w:r>
            </w:p>
            <w:p w14:paraId="5A933289" w14:textId="308CBA4B" w:rsidR="000F0E2F" w:rsidRDefault="000F0E2F" w:rsidP="000F0E2F">
              <w:pPr>
                <w:pStyle w:val="BodyText"/>
              </w:pPr>
              <w:r>
                <w:t>CSIRO advises that the information contained in this publication comprises general statements based on scientific research. The reader is advised and needs to be aware that such information may be incomplete or unable to be used in any specific situation. No reliance or actions must therefore be made on that information without seeking prior expert professional, scientific and technical advice. To the extent permitted by law, CSIRO (including its employees and consultants) excludes all liability to any person for any consequences, including but not limited to all losses, damages, costs, expenses and any other compensation, arising directly or indirectly from using this publication (in part or in whole) and any information or material contained in it.</w:t>
              </w:r>
            </w:p>
            <w:p w14:paraId="5C069785" w14:textId="77777777" w:rsidR="000F0E2F" w:rsidRDefault="000F0E2F" w:rsidP="000F0E2F">
              <w:pPr>
                <w:pStyle w:val="BodyText"/>
              </w:pPr>
              <w:r>
                <w:t>CSIRO i</w:t>
              </w:r>
              <w:r w:rsidRPr="002F6753">
                <w:t>s committed to providing web accessible content wherever possibl</w:t>
              </w:r>
              <w:r w:rsidR="00E5716A">
                <w:t>e. If you are having difficulty</w:t>
              </w:r>
              <w:r w:rsidRPr="002F6753">
                <w:t xml:space="preserve"> with accessing this document please contact</w:t>
              </w:r>
              <w:r>
                <w:t xml:space="preserve"> </w:t>
              </w:r>
              <w:hyperlink r:id="rId15" w:history="1">
                <w:r>
                  <w:rPr>
                    <w:rStyle w:val="Hyperlink"/>
                  </w:rPr>
                  <w:t>csiroenquiries@csiro.au</w:t>
                </w:r>
              </w:hyperlink>
              <w:r>
                <w:t xml:space="preserve">. </w:t>
              </w:r>
            </w:p>
            <w:p w14:paraId="03EFBCC9" w14:textId="77777777" w:rsidR="001424BA" w:rsidRDefault="001424BA" w:rsidP="000F0E2F">
              <w:pPr>
                <w:pStyle w:val="BodyText"/>
              </w:pPr>
            </w:p>
            <w:p w14:paraId="1F2A1AFA" w14:textId="77777777" w:rsidR="001424BA" w:rsidRDefault="001424BA">
              <w:pPr>
                <w:spacing w:after="0"/>
                <w:rPr>
                  <w:sz w:val="24"/>
                </w:rPr>
              </w:pPr>
              <w:r>
                <w:br w:type="page"/>
              </w:r>
            </w:p>
            <w:p w14:paraId="2D59A5E3" w14:textId="77777777" w:rsidR="001424BA" w:rsidRDefault="001424BA" w:rsidP="001424BA">
              <w:pPr>
                <w:pStyle w:val="Heading1notnumbered"/>
              </w:pPr>
              <w:bookmarkStart w:id="1" w:name="_Toc517706617"/>
              <w:r>
                <w:lastRenderedPageBreak/>
                <w:t>Foreword</w:t>
              </w:r>
              <w:bookmarkEnd w:id="1"/>
            </w:p>
            <w:p w14:paraId="633DD0BA" w14:textId="77777777" w:rsidR="00B65602" w:rsidRDefault="00B65602" w:rsidP="00B65602">
              <w:pPr>
                <w:pStyle w:val="BodyText"/>
              </w:pPr>
              <w:r>
                <w:t xml:space="preserve">This report was funded by the Australian Commonwealth Department of Industry, Innovation and Science. It was produced </w:t>
              </w:r>
              <w:r w:rsidR="00A324DF">
                <w:t>b</w:t>
              </w:r>
              <w:r>
                <w:t xml:space="preserve">y </w:t>
              </w:r>
              <w:r w:rsidR="00A324DF">
                <w:t xml:space="preserve">a team led </w:t>
              </w:r>
              <w:r>
                <w:t>by the Commonwealth Scientific and Industrial Research Organisation</w:t>
              </w:r>
              <w:r w:rsidR="00A324DF">
                <w:t xml:space="preserve"> (CSIRO), and included external scientist consultants. </w:t>
              </w:r>
            </w:p>
            <w:p w14:paraId="557D528D" w14:textId="77777777" w:rsidR="00B65602" w:rsidRDefault="00A324DF" w:rsidP="00B65602">
              <w:pPr>
                <w:pStyle w:val="BodyText"/>
              </w:pPr>
              <w:r>
                <w:t>The terms of reference for the task were specifically to:</w:t>
              </w:r>
            </w:p>
            <w:p w14:paraId="43D4C30A" w14:textId="77777777" w:rsidR="00B65602" w:rsidRDefault="00B65602" w:rsidP="00B65602">
              <w:pPr>
                <w:pStyle w:val="BodyText"/>
                <w:numPr>
                  <w:ilvl w:val="0"/>
                  <w:numId w:val="20"/>
                </w:numPr>
              </w:pPr>
              <w:r>
                <w:t xml:space="preserve">Review all available evidence applicable to the impacts of the use of e-cigarettes, personal vaporisers and nicotine on individual and population health. </w:t>
              </w:r>
              <w:r w:rsidR="00A324DF">
                <w:t xml:space="preserve">This is addressed in </w:t>
              </w:r>
              <w:r>
                <w:t>Part 1</w:t>
              </w:r>
              <w:r w:rsidR="00A324DF">
                <w:t xml:space="preserve"> of the report.</w:t>
              </w:r>
            </w:p>
            <w:p w14:paraId="544B2BFA" w14:textId="77777777" w:rsidR="00B65602" w:rsidRDefault="00A324DF" w:rsidP="00B65602">
              <w:pPr>
                <w:pStyle w:val="BodyText"/>
                <w:numPr>
                  <w:ilvl w:val="0"/>
                  <w:numId w:val="20"/>
                </w:numPr>
              </w:pPr>
              <w:r>
                <w:t>Review</w:t>
              </w:r>
              <w:r w:rsidR="00B65602">
                <w:t xml:space="preserve"> all available evidence applicable to the use of e-cigarettes, personal vaporisers and</w:t>
              </w:r>
              <w:r>
                <w:t xml:space="preserve"> nicotine on rates of smoking. This is addressed in </w:t>
              </w:r>
              <w:r w:rsidR="00B65602">
                <w:t>Part 2</w:t>
              </w:r>
              <w:r>
                <w:t xml:space="preserve"> of the report.</w:t>
              </w:r>
            </w:p>
            <w:p w14:paraId="62E2EB63" w14:textId="77777777" w:rsidR="00B65602" w:rsidRDefault="00A324DF" w:rsidP="00B65602">
              <w:pPr>
                <w:pStyle w:val="BodyText"/>
                <w:numPr>
                  <w:ilvl w:val="0"/>
                  <w:numId w:val="20"/>
                </w:numPr>
              </w:pPr>
              <w:r>
                <w:t>Assess</w:t>
              </w:r>
              <w:r w:rsidR="00B65602">
                <w:t xml:space="preserve"> the impacts on health of allowing the use of e-cigarettes and personal vaporisers in countries where they have been permitted. </w:t>
              </w:r>
              <w:r>
                <w:t xml:space="preserve">This is addressed in </w:t>
              </w:r>
              <w:r w:rsidR="00B65602">
                <w:t>Pa</w:t>
              </w:r>
              <w:r>
                <w:t>rt 3 of the report.</w:t>
              </w:r>
            </w:p>
            <w:p w14:paraId="366D1F70" w14:textId="77777777" w:rsidR="00B65602" w:rsidRDefault="00A324DF" w:rsidP="00B65602">
              <w:pPr>
                <w:pStyle w:val="BodyText"/>
                <w:numPr>
                  <w:ilvl w:val="0"/>
                  <w:numId w:val="20"/>
                </w:numPr>
              </w:pPr>
              <w:r>
                <w:t>Review</w:t>
              </w:r>
              <w:r w:rsidR="00B65602">
                <w:t xml:space="preserve"> the impact of e-cigarettes and personal vaporisers on individual health</w:t>
              </w:r>
              <w:r>
                <w:t xml:space="preserve"> as an alternative to smoking. This is addressed in </w:t>
              </w:r>
              <w:r w:rsidR="00B65602">
                <w:t>Part 4</w:t>
              </w:r>
              <w:r>
                <w:t xml:space="preserve"> of the report. </w:t>
              </w:r>
            </w:p>
            <w:p w14:paraId="135BE9CD" w14:textId="77777777" w:rsidR="00B65602" w:rsidRDefault="00A324DF" w:rsidP="00B65602">
              <w:pPr>
                <w:pStyle w:val="BodyText"/>
                <w:numPr>
                  <w:ilvl w:val="0"/>
                  <w:numId w:val="20"/>
                </w:numPr>
              </w:pPr>
              <w:r>
                <w:t>Identify</w:t>
              </w:r>
              <w:r w:rsidR="00B65602">
                <w:t xml:space="preserve"> any potential for e-cigarettes to reduce rates of smoking in Australia. </w:t>
              </w:r>
              <w:r>
                <w:t xml:space="preserve">This is addressed in </w:t>
              </w:r>
              <w:r w:rsidR="00B65602">
                <w:t>Part 5</w:t>
              </w:r>
              <w:r>
                <w:t xml:space="preserve"> of the report.</w:t>
              </w:r>
            </w:p>
            <w:p w14:paraId="48251658" w14:textId="77777777" w:rsidR="00B65602" w:rsidRDefault="00A324DF" w:rsidP="00B65602">
              <w:pPr>
                <w:pStyle w:val="BodyText"/>
                <w:numPr>
                  <w:ilvl w:val="0"/>
                  <w:numId w:val="20"/>
                </w:numPr>
              </w:pPr>
              <w:r>
                <w:t>Compare</w:t>
              </w:r>
              <w:r w:rsidR="00B65602">
                <w:t xml:space="preserve"> rates of tobacco smoking in countries where e-cigarettes and similar smoking alternatives are available with rates in countries where su</w:t>
              </w:r>
              <w:r>
                <w:t xml:space="preserve">ch products are not available. This is addressed in </w:t>
              </w:r>
              <w:r w:rsidR="00B65602">
                <w:t>Part 6</w:t>
              </w:r>
              <w:r>
                <w:t xml:space="preserve"> of the report. </w:t>
              </w:r>
            </w:p>
            <w:p w14:paraId="51D702A3" w14:textId="77777777" w:rsidR="00A324DF" w:rsidRDefault="00A324DF" w:rsidP="00A324DF">
              <w:pPr>
                <w:pStyle w:val="BodyText"/>
              </w:pPr>
            </w:p>
            <w:p w14:paraId="408D0ACB" w14:textId="77777777" w:rsidR="00A324DF" w:rsidRDefault="00A324DF" w:rsidP="00A324DF">
              <w:pPr>
                <w:pStyle w:val="BodyText"/>
              </w:pPr>
              <w:r>
                <w:t xml:space="preserve">In the course of the review, scientific literature relating to the use of e-cigarettes (for example use within population groups, </w:t>
              </w:r>
              <w:r w:rsidR="00867282">
                <w:t xml:space="preserve">and </w:t>
              </w:r>
              <w:r>
                <w:t xml:space="preserve">motivation for use) </w:t>
              </w:r>
              <w:r w:rsidR="00867282">
                <w:t xml:space="preserve">was reviewed </w:t>
              </w:r>
              <w:r>
                <w:t xml:space="preserve">and this contextual information is included in Part 7 of the report. </w:t>
              </w:r>
            </w:p>
            <w:p w14:paraId="7DE3F6F1" w14:textId="21D39C20" w:rsidR="00A324DF" w:rsidRDefault="00EA5CF4" w:rsidP="00A324DF">
              <w:pPr>
                <w:pStyle w:val="BodyText"/>
              </w:pPr>
              <w:r>
                <w:t>Extensive t</w:t>
              </w:r>
              <w:r w:rsidR="00A324DF">
                <w:t>ables describing the studies reviewed</w:t>
              </w:r>
              <w:r>
                <w:t xml:space="preserve"> are positioned at the end of each part of this report.</w:t>
              </w:r>
              <w:r w:rsidR="00A324DF">
                <w:t xml:space="preserve">  </w:t>
              </w:r>
            </w:p>
            <w:p w14:paraId="2D857CA7" w14:textId="05F885F5" w:rsidR="0012376D" w:rsidRDefault="0012376D" w:rsidP="001424BA">
              <w:pPr>
                <w:pStyle w:val="BodyText"/>
              </w:pPr>
            </w:p>
            <w:p w14:paraId="264890AD" w14:textId="77777777" w:rsidR="0012376D" w:rsidRPr="0012376D" w:rsidRDefault="0012376D" w:rsidP="0012376D"/>
            <w:p w14:paraId="46B1603C" w14:textId="77777777" w:rsidR="0012376D" w:rsidRPr="0012376D" w:rsidRDefault="0012376D" w:rsidP="0012376D"/>
            <w:p w14:paraId="475060CC" w14:textId="77777777" w:rsidR="0012376D" w:rsidRPr="0012376D" w:rsidRDefault="0012376D" w:rsidP="0012376D"/>
            <w:p w14:paraId="2A37A8D3" w14:textId="719E51A4" w:rsidR="0012376D" w:rsidRDefault="0012376D" w:rsidP="0012376D"/>
            <w:p w14:paraId="61AEF11E" w14:textId="274BD8E9" w:rsidR="001424BA" w:rsidRPr="0012376D" w:rsidRDefault="0012376D" w:rsidP="0012376D">
              <w:pPr>
                <w:tabs>
                  <w:tab w:val="left" w:pos="6350"/>
                </w:tabs>
              </w:pPr>
              <w:r>
                <w:tab/>
              </w:r>
            </w:p>
            <w:p w14:paraId="750BEB4E" w14:textId="77777777" w:rsidR="001424BA" w:rsidRDefault="001424BA" w:rsidP="001424BA">
              <w:pPr>
                <w:pStyle w:val="Heading1notnumbered"/>
              </w:pPr>
              <w:bookmarkStart w:id="2" w:name="_Toc517706618"/>
              <w:r>
                <w:lastRenderedPageBreak/>
                <w:t>Executive Summary</w:t>
              </w:r>
              <w:bookmarkEnd w:id="2"/>
            </w:p>
            <w:p w14:paraId="654F0AF7" w14:textId="38ADFE10" w:rsidR="0014181A" w:rsidRPr="00582C1E" w:rsidRDefault="0014181A" w:rsidP="0012376D">
              <w:pPr>
                <w:pStyle w:val="Boxedheading"/>
              </w:pPr>
              <w:r w:rsidRPr="00582C1E">
                <w:t>Part 1: Review all available evidence applicable to the impacts of the use of e</w:t>
              </w:r>
              <w:r w:rsidR="00DF3492">
                <w:noBreakHyphen/>
              </w:r>
              <w:r w:rsidRPr="00582C1E">
                <w:t xml:space="preserve">cigarettes, personal vaporisers and nicotine on individual and population health. </w:t>
              </w:r>
            </w:p>
            <w:p w14:paraId="24649AD8" w14:textId="77777777" w:rsidR="0014181A" w:rsidRPr="0014181A" w:rsidRDefault="0014181A" w:rsidP="0014181A">
              <w:pPr>
                <w:pStyle w:val="Heading4"/>
                <w:rPr>
                  <w:rStyle w:val="Strong"/>
                  <w:b/>
                  <w:color w:val="auto"/>
                  <w:szCs w:val="24"/>
                </w:rPr>
              </w:pPr>
              <w:r w:rsidRPr="0014181A">
                <w:rPr>
                  <w:rStyle w:val="Strong"/>
                  <w:b/>
                  <w:color w:val="auto"/>
                  <w:szCs w:val="24"/>
                </w:rPr>
                <w:t>Health risks of e-cigarettes – human studies</w:t>
              </w:r>
            </w:p>
            <w:p w14:paraId="429526A3" w14:textId="77777777" w:rsidR="0014181A" w:rsidRDefault="0014181A" w:rsidP="0014181A">
              <w:pPr>
                <w:pStyle w:val="ListParagraph"/>
                <w:numPr>
                  <w:ilvl w:val="0"/>
                  <w:numId w:val="21"/>
                </w:numPr>
                <w:spacing w:before="0" w:after="160" w:line="259" w:lineRule="auto"/>
                <w:rPr>
                  <w:rStyle w:val="Strong"/>
                  <w:b w:val="0"/>
                </w:rPr>
              </w:pPr>
              <w:r w:rsidRPr="00EA34C0">
                <w:rPr>
                  <w:rStyle w:val="Strong"/>
                  <w:b w:val="0"/>
                </w:rPr>
                <w:t xml:space="preserve">Because of </w:t>
              </w:r>
              <w:r>
                <w:rPr>
                  <w:rStyle w:val="Strong"/>
                  <w:b w:val="0"/>
                </w:rPr>
                <w:t xml:space="preserve">the </w:t>
              </w:r>
              <w:r w:rsidRPr="00EA34C0">
                <w:rPr>
                  <w:rStyle w:val="Strong"/>
                  <w:b w:val="0"/>
                </w:rPr>
                <w:t xml:space="preserve">lack of long-term studies, there continues to be no evidence </w:t>
              </w:r>
              <w:r>
                <w:rPr>
                  <w:rStyle w:val="Strong"/>
                  <w:b w:val="0"/>
                </w:rPr>
                <w:t>that</w:t>
              </w:r>
              <w:r w:rsidRPr="00EA34C0">
                <w:rPr>
                  <w:rStyle w:val="Strong"/>
                  <w:b w:val="0"/>
                </w:rPr>
                <w:t xml:space="preserve"> e</w:t>
              </w:r>
              <w:r>
                <w:rPr>
                  <w:rStyle w:val="Strong"/>
                  <w:b w:val="0"/>
                </w:rPr>
                <w:noBreakHyphen/>
              </w:r>
              <w:r w:rsidRPr="00EA34C0">
                <w:rPr>
                  <w:rStyle w:val="Strong"/>
                  <w:b w:val="0"/>
                </w:rPr>
                <w:t xml:space="preserve">cigarette use </w:t>
              </w:r>
              <w:r>
                <w:rPr>
                  <w:rStyle w:val="Strong"/>
                  <w:b w:val="0"/>
                </w:rPr>
                <w:t>is</w:t>
              </w:r>
              <w:r w:rsidRPr="00EA34C0">
                <w:rPr>
                  <w:rStyle w:val="Strong"/>
                  <w:b w:val="0"/>
                </w:rPr>
                <w:t xml:space="preserve"> associated with clinical cardiovascular disease.</w:t>
              </w:r>
            </w:p>
            <w:p w14:paraId="6EF810B5" w14:textId="7505D4F3" w:rsidR="0014181A" w:rsidRDefault="0014181A" w:rsidP="0014181A">
              <w:pPr>
                <w:pStyle w:val="ListParagraph"/>
                <w:numPr>
                  <w:ilvl w:val="0"/>
                  <w:numId w:val="21"/>
                </w:numPr>
                <w:spacing w:before="0" w:after="160" w:line="259" w:lineRule="auto"/>
                <w:rPr>
                  <w:rStyle w:val="Strong"/>
                  <w:b w:val="0"/>
                </w:rPr>
              </w:pPr>
              <w:r>
                <w:rPr>
                  <w:rStyle w:val="Strong"/>
                  <w:b w:val="0"/>
                </w:rPr>
                <w:t>Carcinogenic compounds and carcinogenic metabolites arising from e-cigarette use are demonstrated to be present in e-cigarette users, and arise through e-cigarette use in animal studies. However the risk of the development of cancer or other health effects from the levels arising from e-cigarettes use is unclear.</w:t>
              </w:r>
            </w:p>
            <w:p w14:paraId="3DA5D342" w14:textId="77777777" w:rsidR="0014181A" w:rsidRDefault="0014181A" w:rsidP="0014181A">
              <w:pPr>
                <w:pStyle w:val="ListParagraph"/>
                <w:numPr>
                  <w:ilvl w:val="0"/>
                  <w:numId w:val="21"/>
                </w:numPr>
                <w:spacing w:before="0" w:after="160" w:line="259" w:lineRule="auto"/>
                <w:rPr>
                  <w:rStyle w:val="Strong"/>
                  <w:b w:val="0"/>
                </w:rPr>
              </w:pPr>
              <w:r>
                <w:rPr>
                  <w:rStyle w:val="Strong"/>
                  <w:b w:val="0"/>
                </w:rPr>
                <w:t>The use of e-cigarettes may impair lung function however the independent effect of e</w:t>
              </w:r>
              <w:r>
                <w:rPr>
                  <w:rStyle w:val="Strong"/>
                  <w:b w:val="0"/>
                </w:rPr>
                <w:noBreakHyphen/>
                <w:t xml:space="preserve">cigarettes is unclear because of potential confounding by conventional cigarette smoking. </w:t>
              </w:r>
            </w:p>
            <w:p w14:paraId="1DA66D36" w14:textId="77777777" w:rsidR="0014181A" w:rsidRDefault="0014181A" w:rsidP="0014181A">
              <w:pPr>
                <w:pStyle w:val="ListParagraph"/>
                <w:numPr>
                  <w:ilvl w:val="0"/>
                  <w:numId w:val="21"/>
                </w:numPr>
                <w:spacing w:before="0" w:after="160" w:line="259" w:lineRule="auto"/>
                <w:rPr>
                  <w:rStyle w:val="Strong"/>
                  <w:b w:val="0"/>
                </w:rPr>
              </w:pPr>
              <w:r>
                <w:rPr>
                  <w:rStyle w:val="Strong"/>
                  <w:b w:val="0"/>
                </w:rPr>
                <w:t xml:space="preserve">Case studies have suggested that e-cigarette use interferes with, or delays, wound healing. </w:t>
              </w:r>
              <w:r w:rsidRPr="00E9572F">
                <w:rPr>
                  <w:rStyle w:val="Strong"/>
                  <w:b w:val="0"/>
                  <w:color w:val="auto"/>
                </w:rPr>
                <w:t xml:space="preserve">While these reports are suggestive, </w:t>
              </w:r>
              <w:r>
                <w:rPr>
                  <w:rStyle w:val="Strong"/>
                  <w:b w:val="0"/>
                </w:rPr>
                <w:t>evidence from case studies should be verified using appropriately designed studies.</w:t>
              </w:r>
            </w:p>
            <w:p w14:paraId="14B8691E" w14:textId="77777777" w:rsidR="0014181A" w:rsidRPr="0014181A" w:rsidRDefault="0014181A" w:rsidP="0014181A">
              <w:pPr>
                <w:pStyle w:val="Heading4"/>
                <w:rPr>
                  <w:rStyle w:val="Strong"/>
                  <w:b/>
                  <w:color w:val="auto"/>
                  <w:szCs w:val="24"/>
                </w:rPr>
              </w:pPr>
              <w:r w:rsidRPr="0014181A">
                <w:rPr>
                  <w:rStyle w:val="Strong"/>
                  <w:b/>
                  <w:color w:val="auto"/>
                  <w:szCs w:val="24"/>
                </w:rPr>
                <w:t>Health risks of e-cigarettes – injuries</w:t>
              </w:r>
            </w:p>
            <w:p w14:paraId="01A555BB" w14:textId="77777777" w:rsidR="0014181A" w:rsidRPr="00130468" w:rsidRDefault="0014181A" w:rsidP="0014181A">
              <w:pPr>
                <w:pStyle w:val="BodyText"/>
                <w:numPr>
                  <w:ilvl w:val="0"/>
                  <w:numId w:val="21"/>
                </w:numPr>
                <w:rPr>
                  <w:bCs/>
                  <w:sz w:val="22"/>
                </w:rPr>
              </w:pPr>
              <w:r>
                <w:t xml:space="preserve">It is clear that e-cigarettes </w:t>
              </w:r>
              <w:r w:rsidRPr="00130468">
                <w:t xml:space="preserve">can explode and cause </w:t>
              </w:r>
              <w:r>
                <w:t xml:space="preserve">serious </w:t>
              </w:r>
              <w:r w:rsidRPr="00130468">
                <w:t xml:space="preserve">projectile </w:t>
              </w:r>
              <w:r>
                <w:t xml:space="preserve">and thermal </w:t>
              </w:r>
              <w:r w:rsidRPr="00130468">
                <w:t xml:space="preserve">injuries. </w:t>
              </w:r>
            </w:p>
            <w:p w14:paraId="3ED69264" w14:textId="77777777" w:rsidR="0014181A" w:rsidRPr="00130468" w:rsidRDefault="0014181A" w:rsidP="0014181A">
              <w:pPr>
                <w:pStyle w:val="BodyText"/>
                <w:numPr>
                  <w:ilvl w:val="0"/>
                  <w:numId w:val="21"/>
                </w:numPr>
                <w:rPr>
                  <w:bCs/>
                  <w:sz w:val="22"/>
                </w:rPr>
              </w:pPr>
              <w:r>
                <w:t>Intentional or accidental ingestion of e-fluids can cause serious injury or death.</w:t>
              </w:r>
            </w:p>
            <w:p w14:paraId="48BAEDA8" w14:textId="77777777" w:rsidR="0014181A" w:rsidRPr="0014181A" w:rsidRDefault="0014181A" w:rsidP="0014181A">
              <w:pPr>
                <w:pStyle w:val="Heading4"/>
                <w:rPr>
                  <w:rStyle w:val="Strong"/>
                  <w:b/>
                  <w:color w:val="auto"/>
                  <w:szCs w:val="24"/>
                </w:rPr>
              </w:pPr>
              <w:r w:rsidRPr="0014181A">
                <w:rPr>
                  <w:rStyle w:val="Strong"/>
                  <w:b/>
                  <w:color w:val="auto"/>
                  <w:szCs w:val="24"/>
                </w:rPr>
                <w:t>Health risks of e-cigarettes – animal studies</w:t>
              </w:r>
            </w:p>
            <w:p w14:paraId="463C177A" w14:textId="77777777" w:rsidR="0014181A" w:rsidRPr="00F1582F" w:rsidRDefault="0014181A" w:rsidP="0014181A">
              <w:pPr>
                <w:pStyle w:val="BodyText"/>
                <w:numPr>
                  <w:ilvl w:val="0"/>
                  <w:numId w:val="21"/>
                </w:numPr>
                <w:rPr>
                  <w:bCs/>
                </w:rPr>
              </w:pPr>
              <w:r>
                <w:t>E-cigarette vapour can cause significant damage to frog embryos, rats and mice. Adverse outcomes include increased release of pro-inflammatory cytokines, emphysematous lung destruction, renal, hepatic and heart fibrosis among rodents exposed to e</w:t>
              </w:r>
              <w:r>
                <w:noBreakHyphen/>
                <w:t xml:space="preserve">cigarettes vapours or IV e-cigarette liquids compared with those exposed to room air. </w:t>
              </w:r>
            </w:p>
            <w:p w14:paraId="0A5D8E2C" w14:textId="77777777" w:rsidR="0014181A" w:rsidRPr="00F1582F" w:rsidRDefault="0014181A" w:rsidP="0014181A">
              <w:pPr>
                <w:pStyle w:val="BodyText"/>
                <w:numPr>
                  <w:ilvl w:val="0"/>
                  <w:numId w:val="21"/>
                </w:numPr>
                <w:rPr>
                  <w:bCs/>
                </w:rPr>
              </w:pPr>
              <w:r>
                <w:t>E-cigarette vapour exposure also had significant effects on the offspring of exposed pregnant mice and frog embryos including increased release of pro-inflammatory cytokines, sleep disturbances and craniofacial defects.</w:t>
              </w:r>
            </w:p>
            <w:p w14:paraId="4223E236" w14:textId="77777777" w:rsidR="0014181A" w:rsidRPr="00E9572F" w:rsidRDefault="0014181A" w:rsidP="0014181A">
              <w:pPr>
                <w:pStyle w:val="BodyText"/>
                <w:numPr>
                  <w:ilvl w:val="0"/>
                  <w:numId w:val="21"/>
                </w:numPr>
                <w:rPr>
                  <w:bCs/>
                  <w:color w:val="auto"/>
                </w:rPr>
              </w:pPr>
              <w:r w:rsidRPr="00E9572F">
                <w:rPr>
                  <w:color w:val="auto"/>
                </w:rPr>
                <w:t>The implications of animal studies for human health is speculative.</w:t>
              </w:r>
            </w:p>
            <w:p w14:paraId="75A9FC3E" w14:textId="77777777" w:rsidR="0014181A" w:rsidRPr="0014181A" w:rsidRDefault="0014181A" w:rsidP="0014181A">
              <w:pPr>
                <w:pStyle w:val="Heading4"/>
                <w:rPr>
                  <w:rStyle w:val="Strong"/>
                  <w:b/>
                  <w:color w:val="auto"/>
                  <w:szCs w:val="24"/>
                </w:rPr>
              </w:pPr>
              <w:r w:rsidRPr="0014181A">
                <w:rPr>
                  <w:rStyle w:val="Strong"/>
                  <w:b/>
                  <w:color w:val="auto"/>
                  <w:szCs w:val="24"/>
                </w:rPr>
                <w:t>Health risks of e-cigarettes – in vitro studies</w:t>
              </w:r>
            </w:p>
            <w:p w14:paraId="153ED36F" w14:textId="77777777" w:rsidR="0014181A" w:rsidRDefault="0014181A" w:rsidP="0014181A">
              <w:pPr>
                <w:pStyle w:val="BodyText"/>
                <w:numPr>
                  <w:ilvl w:val="0"/>
                  <w:numId w:val="21"/>
                </w:numPr>
              </w:pPr>
              <w:r w:rsidRPr="005E2508">
                <w:t>In vitro</w:t>
              </w:r>
              <w:r>
                <w:t xml:space="preserve"> studies on e-cigarette vapour, liquid and extracts indicate the potential for human health risks including cell death, increased oxidative stress, reduced lung function, changes in inflammatory response, altered gene expression and increase of cellular risk factors for cardiovascular disease. </w:t>
              </w:r>
            </w:p>
            <w:p w14:paraId="2641F502" w14:textId="77777777" w:rsidR="0014181A" w:rsidRPr="00DD3302" w:rsidRDefault="0014181A" w:rsidP="0014181A">
              <w:pPr>
                <w:pStyle w:val="BodyText"/>
                <w:numPr>
                  <w:ilvl w:val="0"/>
                  <w:numId w:val="21"/>
                </w:numPr>
              </w:pPr>
              <w:r>
                <w:lastRenderedPageBreak/>
                <w:t>There is a lack of clarity about the direct implications of the in vitro findings for human health.</w:t>
              </w:r>
            </w:p>
            <w:p w14:paraId="4B612398" w14:textId="77777777" w:rsidR="0014181A" w:rsidRDefault="0014181A" w:rsidP="0012376D">
              <w:pPr>
                <w:pStyle w:val="Boxedtext"/>
              </w:pPr>
              <w:r w:rsidRPr="0014181A">
                <w:t xml:space="preserve">Conclusion: the evidence available suggests that regular use of e-cigarettes is likely to have adverse health consequences. There is a lack of clarity about the magnitude of adverse health effects, and the quantity of e-cigarette use required to trigger adverse health effects. </w:t>
              </w:r>
            </w:p>
            <w:p w14:paraId="689F5E33" w14:textId="77777777" w:rsidR="0014181A" w:rsidRPr="0014181A" w:rsidRDefault="0014181A" w:rsidP="0014181A">
              <w:pPr>
                <w:pStyle w:val="BodyText"/>
                <w:rPr>
                  <w:b/>
                  <w:color w:val="auto"/>
                </w:rPr>
              </w:pPr>
            </w:p>
            <w:p w14:paraId="44EDBE84" w14:textId="77777777" w:rsidR="0014181A" w:rsidRPr="00582C1E" w:rsidRDefault="0014181A" w:rsidP="0012376D">
              <w:pPr>
                <w:pStyle w:val="Boxedheading"/>
              </w:pPr>
              <w:r w:rsidRPr="00582C1E">
                <w:t xml:space="preserve">Part 2: Review all available evidence applicable to the use of e-cigarettes, personal vaporisers and nicotine on rates of smoking. </w:t>
              </w:r>
            </w:p>
            <w:p w14:paraId="6FB2AEAF" w14:textId="77777777" w:rsidR="0014181A" w:rsidRPr="00404CF1" w:rsidRDefault="0014181A" w:rsidP="0014181A">
              <w:pPr>
                <w:keepNext/>
                <w:keepLines/>
                <w:tabs>
                  <w:tab w:val="left" w:pos="1134"/>
                </w:tabs>
                <w:spacing w:before="240"/>
                <w:outlineLvl w:val="3"/>
                <w:rPr>
                  <w:rFonts w:eastAsia="Times New Roman"/>
                  <w:b/>
                  <w:bCs/>
                  <w:iCs/>
                  <w:color w:val="auto"/>
                  <w:spacing w:val="1"/>
                  <w:sz w:val="24"/>
                  <w:szCs w:val="26"/>
                </w:rPr>
              </w:pPr>
              <w:r w:rsidRPr="00404CF1">
                <w:rPr>
                  <w:rFonts w:eastAsia="Times New Roman"/>
                  <w:b/>
                  <w:bCs/>
                  <w:iCs/>
                  <w:color w:val="auto"/>
                  <w:spacing w:val="1"/>
                  <w:sz w:val="24"/>
                  <w:szCs w:val="26"/>
                </w:rPr>
                <w:t>Gateway Effect</w:t>
              </w:r>
              <w:r w:rsidRPr="0014181A">
                <w:rPr>
                  <w:rFonts w:eastAsia="Times New Roman"/>
                  <w:b/>
                  <w:bCs/>
                  <w:iCs/>
                  <w:color w:val="auto"/>
                  <w:spacing w:val="1"/>
                  <w:sz w:val="24"/>
                  <w:szCs w:val="26"/>
                </w:rPr>
                <w:t xml:space="preserve"> – use of e-cigarettes leading to initiation of conventional cigarette smoking</w:t>
              </w:r>
              <w:r w:rsidRPr="00404CF1">
                <w:rPr>
                  <w:rFonts w:eastAsia="Times New Roman"/>
                  <w:b/>
                  <w:bCs/>
                  <w:iCs/>
                  <w:color w:val="auto"/>
                  <w:spacing w:val="1"/>
                  <w:sz w:val="24"/>
                  <w:szCs w:val="26"/>
                </w:rPr>
                <w:t xml:space="preserve"> </w:t>
              </w:r>
            </w:p>
            <w:p w14:paraId="34E45C85" w14:textId="77777777" w:rsidR="0014181A" w:rsidRPr="00404CF1" w:rsidRDefault="0014181A" w:rsidP="0014181A">
              <w:pPr>
                <w:numPr>
                  <w:ilvl w:val="0"/>
                  <w:numId w:val="60"/>
                </w:numPr>
                <w:spacing w:after="0" w:line="264" w:lineRule="auto"/>
                <w:ind w:left="714" w:hanging="357"/>
                <w:rPr>
                  <w:color w:val="auto"/>
                  <w:sz w:val="24"/>
                </w:rPr>
              </w:pPr>
              <w:r>
                <w:rPr>
                  <w:color w:val="auto"/>
                  <w:sz w:val="24"/>
                </w:rPr>
                <w:t>The e</w:t>
              </w:r>
              <w:r w:rsidRPr="00404CF1">
                <w:rPr>
                  <w:color w:val="auto"/>
                  <w:sz w:val="24"/>
                </w:rPr>
                <w:t>vidence for a strong positive relationship between use of e</w:t>
              </w:r>
              <w:r w:rsidRPr="00404CF1">
                <w:rPr>
                  <w:color w:val="auto"/>
                  <w:sz w:val="24"/>
                </w:rPr>
                <w:noBreakHyphen/>
                <w:t xml:space="preserve">cigarettes and later cigarette smoking amongst youth continues to accumulate. The evidence is consistent in observational studies and across different countries. </w:t>
              </w:r>
            </w:p>
            <w:p w14:paraId="37BE385A" w14:textId="61F1B898" w:rsidR="0014181A" w:rsidRPr="00404CF1" w:rsidRDefault="0014181A" w:rsidP="0014181A">
              <w:pPr>
                <w:numPr>
                  <w:ilvl w:val="0"/>
                  <w:numId w:val="60"/>
                </w:numPr>
                <w:spacing w:after="0" w:line="264" w:lineRule="auto"/>
                <w:ind w:left="714" w:hanging="357"/>
                <w:rPr>
                  <w:color w:val="auto"/>
                  <w:sz w:val="24"/>
                </w:rPr>
              </w:pPr>
              <w:r w:rsidRPr="00404CF1">
                <w:rPr>
                  <w:color w:val="auto"/>
                  <w:sz w:val="24"/>
                </w:rPr>
                <w:t>A plausible biological pathway from use of e</w:t>
              </w:r>
              <w:r w:rsidRPr="00404CF1">
                <w:rPr>
                  <w:color w:val="auto"/>
                  <w:sz w:val="24"/>
                </w:rPr>
                <w:noBreakHyphen/>
                <w:t xml:space="preserve">cigarettes to conventional cigarette smoking operates through developing addiction to nicotine. </w:t>
              </w:r>
              <w:r>
                <w:rPr>
                  <w:color w:val="auto"/>
                  <w:sz w:val="24"/>
                </w:rPr>
                <w:t>The u</w:t>
              </w:r>
              <w:r w:rsidRPr="00404CF1">
                <w:rPr>
                  <w:color w:val="auto"/>
                  <w:sz w:val="24"/>
                </w:rPr>
                <w:t>se of e</w:t>
              </w:r>
              <w:r w:rsidRPr="00404CF1">
                <w:rPr>
                  <w:color w:val="auto"/>
                  <w:sz w:val="24"/>
                </w:rPr>
                <w:noBreakHyphen/>
                <w:t>cigarettes with higher concentrations of nicotine is observed to have a stronger association to later conventional cigarette use.</w:t>
              </w:r>
              <w:r w:rsidR="008146F9">
                <w:rPr>
                  <w:color w:val="auto"/>
                  <w:sz w:val="24"/>
                </w:rPr>
                <w:t xml:space="preserve"> </w:t>
              </w:r>
            </w:p>
            <w:p w14:paraId="1784ACF7" w14:textId="11438340" w:rsidR="0014181A" w:rsidRPr="00404CF1" w:rsidRDefault="0014181A" w:rsidP="0014181A">
              <w:pPr>
                <w:numPr>
                  <w:ilvl w:val="0"/>
                  <w:numId w:val="60"/>
                </w:numPr>
                <w:spacing w:after="0" w:line="264" w:lineRule="auto"/>
                <w:ind w:left="714" w:hanging="357"/>
                <w:rPr>
                  <w:color w:val="auto"/>
                  <w:sz w:val="24"/>
                </w:rPr>
              </w:pPr>
              <w:r w:rsidRPr="00404CF1">
                <w:rPr>
                  <w:color w:val="auto"/>
                  <w:sz w:val="24"/>
                </w:rPr>
                <w:t xml:space="preserve">A positive association is observed between </w:t>
              </w:r>
              <w:r>
                <w:rPr>
                  <w:color w:val="auto"/>
                  <w:sz w:val="24"/>
                </w:rPr>
                <w:t xml:space="preserve">the </w:t>
              </w:r>
              <w:r w:rsidRPr="00404CF1">
                <w:rPr>
                  <w:color w:val="auto"/>
                  <w:sz w:val="24"/>
                </w:rPr>
                <w:t>initiation of conventional smoking following use of non</w:t>
              </w:r>
              <w:r w:rsidRPr="00404CF1">
                <w:rPr>
                  <w:color w:val="auto"/>
                  <w:sz w:val="24"/>
                </w:rPr>
                <w:noBreakHyphen/>
                <w:t>nicotine e</w:t>
              </w:r>
              <w:r w:rsidRPr="00404CF1">
                <w:rPr>
                  <w:color w:val="auto"/>
                  <w:sz w:val="24"/>
                </w:rPr>
                <w:noBreakHyphen/>
                <w:t xml:space="preserve">cigarettes (however </w:t>
              </w:r>
              <w:r>
                <w:rPr>
                  <w:color w:val="auto"/>
                  <w:sz w:val="24"/>
                </w:rPr>
                <w:t xml:space="preserve">it is </w:t>
              </w:r>
              <w:r w:rsidRPr="00404CF1">
                <w:rPr>
                  <w:color w:val="auto"/>
                  <w:sz w:val="24"/>
                </w:rPr>
                <w:t>much weaker than the association with nicotine containing e</w:t>
              </w:r>
              <w:r w:rsidRPr="00404CF1">
                <w:rPr>
                  <w:color w:val="auto"/>
                  <w:sz w:val="24"/>
                </w:rPr>
                <w:noBreakHyphen/>
                <w:t xml:space="preserve">cigarettes). This highlights the possibility </w:t>
              </w:r>
              <w:r>
                <w:rPr>
                  <w:color w:val="auto"/>
                  <w:sz w:val="24"/>
                </w:rPr>
                <w:t>f</w:t>
              </w:r>
              <w:r w:rsidRPr="00404CF1">
                <w:rPr>
                  <w:color w:val="auto"/>
                  <w:sz w:val="24"/>
                </w:rPr>
                <w:t>o</w:t>
              </w:r>
              <w:r>
                <w:rPr>
                  <w:color w:val="auto"/>
                  <w:sz w:val="24"/>
                </w:rPr>
                <w:t>r</w:t>
              </w:r>
              <w:r w:rsidRPr="00404CF1">
                <w:rPr>
                  <w:color w:val="auto"/>
                  <w:sz w:val="24"/>
                </w:rPr>
                <w:t xml:space="preserve"> other causal mechanisms besides the development of nicotine addiction</w:t>
              </w:r>
              <w:r>
                <w:rPr>
                  <w:color w:val="auto"/>
                  <w:sz w:val="24"/>
                </w:rPr>
                <w:t xml:space="preserve"> linking e-cigarette use to the initiation of cigarette smoking</w:t>
              </w:r>
              <w:r w:rsidRPr="00404CF1">
                <w:rPr>
                  <w:color w:val="auto"/>
                  <w:sz w:val="24"/>
                </w:rPr>
                <w:t xml:space="preserve">.  </w:t>
              </w:r>
            </w:p>
            <w:p w14:paraId="57EC3228" w14:textId="77777777" w:rsidR="0014181A" w:rsidRPr="00404CF1" w:rsidRDefault="0014181A" w:rsidP="0014181A">
              <w:pPr>
                <w:numPr>
                  <w:ilvl w:val="0"/>
                  <w:numId w:val="60"/>
                </w:numPr>
                <w:spacing w:after="0" w:line="264" w:lineRule="auto"/>
                <w:ind w:left="714" w:hanging="357"/>
                <w:rPr>
                  <w:color w:val="auto"/>
                  <w:sz w:val="24"/>
                </w:rPr>
              </w:pPr>
              <w:r w:rsidRPr="00404CF1">
                <w:rPr>
                  <w:color w:val="auto"/>
                  <w:sz w:val="24"/>
                </w:rPr>
                <w:t>There is insufficient evidence to draw any conclusion about whether the use of e</w:t>
              </w:r>
              <w:r w:rsidRPr="00404CF1">
                <w:rPr>
                  <w:color w:val="auto"/>
                  <w:sz w:val="24"/>
                </w:rPr>
                <w:noBreakHyphen/>
                <w:t xml:space="preserve">cigarettes results in the use of other substances such as marijuana. </w:t>
              </w:r>
            </w:p>
            <w:p w14:paraId="1B4D0BBD" w14:textId="77777777" w:rsidR="0014181A" w:rsidRPr="00404CF1" w:rsidRDefault="0014181A" w:rsidP="0014181A">
              <w:pPr>
                <w:numPr>
                  <w:ilvl w:val="0"/>
                  <w:numId w:val="60"/>
                </w:numPr>
                <w:spacing w:after="0" w:line="264" w:lineRule="auto"/>
                <w:ind w:left="714" w:hanging="357"/>
                <w:rPr>
                  <w:sz w:val="24"/>
                </w:rPr>
              </w:pPr>
              <w:r w:rsidRPr="00404CF1">
                <w:rPr>
                  <w:sz w:val="24"/>
                </w:rPr>
                <w:t>Almost all investigations of ‘gateway effect’ focus on you</w:t>
              </w:r>
              <w:r>
                <w:rPr>
                  <w:sz w:val="24"/>
                </w:rPr>
                <w:t>ng people.</w:t>
              </w:r>
              <w:r w:rsidRPr="00404CF1">
                <w:rPr>
                  <w:sz w:val="24"/>
                </w:rPr>
                <w:t xml:space="preserve"> </w:t>
              </w:r>
            </w:p>
            <w:p w14:paraId="184E40CD" w14:textId="77777777" w:rsidR="0014181A" w:rsidRPr="00404CF1" w:rsidRDefault="0014181A" w:rsidP="0014181A">
              <w:pPr>
                <w:keepNext/>
                <w:keepLines/>
                <w:tabs>
                  <w:tab w:val="left" w:pos="1134"/>
                </w:tabs>
                <w:spacing w:before="240"/>
                <w:outlineLvl w:val="3"/>
                <w:rPr>
                  <w:rFonts w:eastAsia="Times New Roman"/>
                  <w:b/>
                  <w:bCs/>
                  <w:iCs/>
                  <w:color w:val="auto"/>
                  <w:spacing w:val="1"/>
                  <w:sz w:val="24"/>
                  <w:szCs w:val="26"/>
                </w:rPr>
              </w:pPr>
              <w:r w:rsidRPr="00404CF1">
                <w:rPr>
                  <w:rFonts w:eastAsia="Times New Roman"/>
                  <w:b/>
                  <w:bCs/>
                  <w:iCs/>
                  <w:color w:val="auto"/>
                  <w:spacing w:val="1"/>
                  <w:sz w:val="24"/>
                  <w:szCs w:val="26"/>
                </w:rPr>
                <w:t>Smoking cessation</w:t>
              </w:r>
            </w:p>
            <w:p w14:paraId="0D18A8F4" w14:textId="77777777" w:rsidR="0014181A" w:rsidRPr="00404CF1" w:rsidRDefault="0014181A" w:rsidP="0014181A">
              <w:pPr>
                <w:numPr>
                  <w:ilvl w:val="0"/>
                  <w:numId w:val="60"/>
                </w:numPr>
                <w:spacing w:after="0" w:line="259" w:lineRule="auto"/>
                <w:ind w:left="714" w:hanging="357"/>
                <w:contextualSpacing/>
                <w:rPr>
                  <w:sz w:val="24"/>
                  <w:szCs w:val="24"/>
                </w:rPr>
              </w:pPr>
              <w:r w:rsidRPr="00404CF1">
                <w:rPr>
                  <w:sz w:val="24"/>
                  <w:szCs w:val="24"/>
                </w:rPr>
                <w:t>Observational studies indicate that e</w:t>
              </w:r>
              <w:r w:rsidRPr="00404CF1">
                <w:rPr>
                  <w:sz w:val="24"/>
                  <w:szCs w:val="24"/>
                </w:rPr>
                <w:noBreakHyphen/>
                <w:t xml:space="preserve">cigarettes are preferred </w:t>
              </w:r>
              <w:r>
                <w:rPr>
                  <w:sz w:val="24"/>
                  <w:szCs w:val="24"/>
                </w:rPr>
                <w:t xml:space="preserve">as a </w:t>
              </w:r>
              <w:r w:rsidRPr="00404CF1">
                <w:rPr>
                  <w:sz w:val="24"/>
                  <w:szCs w:val="24"/>
                </w:rPr>
                <w:t xml:space="preserve">smoking cessation method in some, but not all, populations. </w:t>
              </w:r>
            </w:p>
            <w:p w14:paraId="06166020" w14:textId="77777777" w:rsidR="0014181A" w:rsidRPr="00404CF1" w:rsidRDefault="0014181A" w:rsidP="0014181A">
              <w:pPr>
                <w:numPr>
                  <w:ilvl w:val="0"/>
                  <w:numId w:val="60"/>
                </w:numPr>
                <w:spacing w:after="0" w:line="259" w:lineRule="auto"/>
                <w:ind w:left="714" w:hanging="357"/>
                <w:contextualSpacing/>
                <w:rPr>
                  <w:sz w:val="24"/>
                  <w:szCs w:val="24"/>
                </w:rPr>
              </w:pPr>
              <w:r w:rsidRPr="00404CF1">
                <w:rPr>
                  <w:sz w:val="24"/>
                  <w:szCs w:val="24"/>
                </w:rPr>
                <w:t>There is good evidence from clinical trials that e</w:t>
              </w:r>
              <w:r w:rsidRPr="00404CF1">
                <w:rPr>
                  <w:sz w:val="24"/>
                  <w:szCs w:val="24"/>
                </w:rPr>
                <w:noBreakHyphen/>
                <w:t xml:space="preserve">cigarettes may reduce withdrawal symptoms in smokers after a short period of cigarette abstinence. </w:t>
              </w:r>
              <w:r>
                <w:rPr>
                  <w:sz w:val="24"/>
                  <w:szCs w:val="24"/>
                </w:rPr>
                <w:t>T</w:t>
              </w:r>
              <w:r w:rsidRPr="00404CF1">
                <w:rPr>
                  <w:sz w:val="24"/>
                  <w:szCs w:val="24"/>
                </w:rPr>
                <w:t xml:space="preserve">he </w:t>
              </w:r>
              <w:r>
                <w:rPr>
                  <w:sz w:val="24"/>
                  <w:szCs w:val="24"/>
                </w:rPr>
                <w:t xml:space="preserve">results of the </w:t>
              </w:r>
              <w:r w:rsidRPr="00404CF1">
                <w:rPr>
                  <w:sz w:val="24"/>
                  <w:szCs w:val="24"/>
                </w:rPr>
                <w:t xml:space="preserve">trials have limited application </w:t>
              </w:r>
              <w:r>
                <w:rPr>
                  <w:sz w:val="24"/>
                  <w:szCs w:val="24"/>
                </w:rPr>
                <w:t>because</w:t>
              </w:r>
              <w:r w:rsidRPr="00404CF1">
                <w:rPr>
                  <w:sz w:val="24"/>
                  <w:szCs w:val="24"/>
                </w:rPr>
                <w:t xml:space="preserve"> most trials </w:t>
              </w:r>
              <w:r>
                <w:rPr>
                  <w:sz w:val="24"/>
                  <w:szCs w:val="24"/>
                </w:rPr>
                <w:t xml:space="preserve">are short </w:t>
              </w:r>
              <w:r w:rsidRPr="00404CF1">
                <w:rPr>
                  <w:sz w:val="24"/>
                  <w:szCs w:val="24"/>
                </w:rPr>
                <w:t>term.</w:t>
              </w:r>
            </w:p>
            <w:p w14:paraId="23726A0B" w14:textId="77777777" w:rsidR="0014181A" w:rsidRPr="00404CF1" w:rsidRDefault="0014181A" w:rsidP="0014181A">
              <w:pPr>
                <w:numPr>
                  <w:ilvl w:val="0"/>
                  <w:numId w:val="60"/>
                </w:numPr>
                <w:spacing w:after="0" w:line="259" w:lineRule="auto"/>
                <w:ind w:left="714" w:hanging="357"/>
                <w:contextualSpacing/>
                <w:rPr>
                  <w:sz w:val="24"/>
                  <w:szCs w:val="24"/>
                </w:rPr>
              </w:pPr>
              <w:r w:rsidRPr="00404CF1">
                <w:rPr>
                  <w:sz w:val="24"/>
                  <w:szCs w:val="24"/>
                </w:rPr>
                <w:t>There is currently no evidence that quit rates for smoking have decreased as a result of e</w:t>
              </w:r>
              <w:r w:rsidRPr="00404CF1">
                <w:rPr>
                  <w:sz w:val="24"/>
                  <w:szCs w:val="24"/>
                </w:rPr>
                <w:noBreakHyphen/>
                <w:t>cigarette use. Long</w:t>
              </w:r>
              <w:r w:rsidRPr="00404CF1">
                <w:rPr>
                  <w:sz w:val="24"/>
                  <w:szCs w:val="24"/>
                </w:rPr>
                <w:noBreakHyphen/>
                <w:t xml:space="preserve">term </w:t>
              </w:r>
              <w:r>
                <w:rPr>
                  <w:sz w:val="24"/>
                  <w:szCs w:val="24"/>
                </w:rPr>
                <w:t xml:space="preserve">success with </w:t>
              </w:r>
              <w:r w:rsidRPr="00404CF1">
                <w:rPr>
                  <w:sz w:val="24"/>
                  <w:szCs w:val="24"/>
                </w:rPr>
                <w:t xml:space="preserve">cessation was not measured in trials. </w:t>
              </w:r>
            </w:p>
            <w:p w14:paraId="775AE73C" w14:textId="77777777" w:rsidR="0014181A" w:rsidRPr="00404CF1" w:rsidRDefault="0014181A" w:rsidP="0014181A">
              <w:pPr>
                <w:numPr>
                  <w:ilvl w:val="0"/>
                  <w:numId w:val="60"/>
                </w:numPr>
                <w:spacing w:after="0" w:line="259" w:lineRule="auto"/>
                <w:ind w:left="714" w:hanging="357"/>
                <w:contextualSpacing/>
                <w:rPr>
                  <w:sz w:val="24"/>
                  <w:szCs w:val="24"/>
                </w:rPr>
              </w:pPr>
              <w:r w:rsidRPr="00404CF1">
                <w:rPr>
                  <w:sz w:val="24"/>
                  <w:szCs w:val="24"/>
                </w:rPr>
                <w:t>Results from randomised controlled trials indicate that nicotine</w:t>
              </w:r>
              <w:r w:rsidRPr="00404CF1">
                <w:rPr>
                  <w:sz w:val="24"/>
                  <w:szCs w:val="24"/>
                </w:rPr>
                <w:noBreakHyphen/>
                <w:t>containing e</w:t>
              </w:r>
              <w:r w:rsidRPr="00404CF1">
                <w:rPr>
                  <w:sz w:val="24"/>
                  <w:szCs w:val="24"/>
                </w:rPr>
                <w:noBreakHyphen/>
                <w:t>cigarettes are more effective at reducing the amount of conventional smoking than nicotine</w:t>
              </w:r>
              <w:r w:rsidRPr="00404CF1">
                <w:rPr>
                  <w:sz w:val="24"/>
                  <w:szCs w:val="24"/>
                </w:rPr>
                <w:noBreakHyphen/>
                <w:t>free e</w:t>
              </w:r>
              <w:r w:rsidRPr="00404CF1">
                <w:rPr>
                  <w:sz w:val="24"/>
                  <w:szCs w:val="24"/>
                </w:rPr>
                <w:noBreakHyphen/>
                <w:t>cigarettes or no e</w:t>
              </w:r>
              <w:r w:rsidRPr="00404CF1">
                <w:rPr>
                  <w:sz w:val="24"/>
                  <w:szCs w:val="24"/>
                </w:rPr>
                <w:noBreakHyphen/>
                <w:t xml:space="preserve">cigarettes. </w:t>
              </w:r>
            </w:p>
            <w:p w14:paraId="7565CE52" w14:textId="77777777" w:rsidR="0014181A" w:rsidRPr="00404CF1" w:rsidRDefault="0014181A" w:rsidP="0014181A">
              <w:pPr>
                <w:numPr>
                  <w:ilvl w:val="0"/>
                  <w:numId w:val="60"/>
                </w:numPr>
                <w:spacing w:after="0" w:line="259" w:lineRule="auto"/>
                <w:ind w:left="714" w:hanging="357"/>
                <w:contextualSpacing/>
                <w:rPr>
                  <w:sz w:val="24"/>
                  <w:szCs w:val="24"/>
                </w:rPr>
              </w:pPr>
              <w:r w:rsidRPr="00404CF1">
                <w:rPr>
                  <w:sz w:val="24"/>
                  <w:szCs w:val="24"/>
                </w:rPr>
                <w:t>There is limited evidence comparing the effectiveness of e</w:t>
              </w:r>
              <w:r w:rsidRPr="00404CF1">
                <w:rPr>
                  <w:sz w:val="24"/>
                  <w:szCs w:val="24"/>
                </w:rPr>
                <w:noBreakHyphen/>
                <w:t xml:space="preserve">cigarettes for smoking cessation with other smoking cessation methods. </w:t>
              </w:r>
            </w:p>
            <w:p w14:paraId="5DA924C9" w14:textId="660EF488" w:rsidR="0014181A" w:rsidRDefault="0014181A" w:rsidP="0012376D">
              <w:pPr>
                <w:pStyle w:val="Boxedtext"/>
              </w:pPr>
              <w:r w:rsidRPr="0014181A">
                <w:lastRenderedPageBreak/>
                <w:t>Conclusion: In many countries where appropriate evidence is available, it appears that e</w:t>
              </w:r>
              <w:r w:rsidRPr="0014181A">
                <w:noBreakHyphen/>
                <w:t>cigarette use occurs with cigarette use. However the evidence is consistent in suggesting that use of e</w:t>
              </w:r>
              <w:r w:rsidRPr="0014181A">
                <w:noBreakHyphen/>
                <w:t>cigarettes by non-smoking youth predicts future smoking. While many smokers and former smokers state a preference for e-cigarettes as a smoking cessation method, the effectiveness of this method compared with other smoking cessation methods is not known.</w:t>
              </w:r>
              <w:r w:rsidR="008146F9">
                <w:t xml:space="preserve"> </w:t>
              </w:r>
            </w:p>
            <w:p w14:paraId="3CF51CBE" w14:textId="77777777" w:rsidR="0014181A" w:rsidRPr="00404CF1" w:rsidRDefault="0014181A" w:rsidP="0014181A">
              <w:pPr>
                <w:spacing w:before="120" w:line="264" w:lineRule="auto"/>
                <w:rPr>
                  <w:b/>
                  <w:color w:val="auto"/>
                  <w:sz w:val="24"/>
                </w:rPr>
              </w:pPr>
            </w:p>
            <w:p w14:paraId="225C8A2E" w14:textId="77777777" w:rsidR="0014181A" w:rsidRDefault="0014181A" w:rsidP="0012376D">
              <w:pPr>
                <w:pStyle w:val="Boxedheading"/>
              </w:pPr>
              <w:r w:rsidRPr="000918F5">
                <w:t>Part 3: Assess the impacts on health of allowing the use of e-cigarettes and personal vaporisers in countries where they have been permitted.</w:t>
              </w:r>
            </w:p>
            <w:p w14:paraId="532DC26E" w14:textId="77777777" w:rsidR="0014181A" w:rsidRDefault="0014181A" w:rsidP="0012376D">
              <w:pPr>
                <w:pStyle w:val="BodyText"/>
                <w:numPr>
                  <w:ilvl w:val="0"/>
                  <w:numId w:val="88"/>
                </w:numPr>
              </w:pPr>
              <w:r>
                <w:t>Country-level difference in impact on health of e</w:t>
              </w:r>
              <w:r>
                <w:noBreakHyphen/>
                <w:t xml:space="preserve">cigarettes is difficult to demonstrate because: </w:t>
              </w:r>
            </w:p>
            <w:p w14:paraId="1D88C6E3" w14:textId="5AE79AF0" w:rsidR="0014181A" w:rsidRDefault="0014181A" w:rsidP="0012376D">
              <w:pPr>
                <w:pStyle w:val="BodyText"/>
                <w:numPr>
                  <w:ilvl w:val="1"/>
                  <w:numId w:val="60"/>
                </w:numPr>
              </w:pPr>
              <w:r>
                <w:t>the use of e</w:t>
              </w:r>
              <w:r>
                <w:noBreakHyphen/>
                <w:t>cigarettes is low in all countries,</w:t>
              </w:r>
            </w:p>
            <w:p w14:paraId="2342AC89" w14:textId="5603B678" w:rsidR="0014181A" w:rsidRDefault="0014181A" w:rsidP="0012376D">
              <w:pPr>
                <w:pStyle w:val="BodyText"/>
                <w:numPr>
                  <w:ilvl w:val="1"/>
                  <w:numId w:val="60"/>
                </w:numPr>
              </w:pPr>
              <w:r>
                <w:t>diseases and health conditions often have a long latent period, while the history of use of e-cigarettes is relatively short</w:t>
              </w:r>
            </w:p>
            <w:p w14:paraId="4FE1D4D7" w14:textId="77777777" w:rsidR="0014181A" w:rsidRDefault="0014181A" w:rsidP="0012376D">
              <w:pPr>
                <w:pStyle w:val="BodyText"/>
                <w:numPr>
                  <w:ilvl w:val="1"/>
                  <w:numId w:val="60"/>
                </w:numPr>
              </w:pPr>
              <w:r>
                <w:t>diseases and health conditions are often due to multiple factors combined, and it is hard to disentangle the independent effects of these determinants which may be changing at different rates in different parts of the population.</w:t>
              </w:r>
            </w:p>
            <w:p w14:paraId="25AF2A7A" w14:textId="022FC5A7" w:rsidR="0014181A" w:rsidRDefault="00D07E7A" w:rsidP="0014181A">
              <w:pPr>
                <w:pStyle w:val="BodyText"/>
                <w:numPr>
                  <w:ilvl w:val="0"/>
                  <w:numId w:val="60"/>
                </w:numPr>
              </w:pPr>
              <w:r>
                <w:t>The United States (US) accounted for 56% of the global e-cigarette market in 2015. US studies show that t</w:t>
              </w:r>
              <w:r w:rsidR="0014181A">
                <w:t>here is no apparent change in the trend of age</w:t>
              </w:r>
              <w:r w:rsidR="0014181A">
                <w:noBreakHyphen/>
                <w:t>adjusted Chronic Obstructive Pulmonary Disease deaths in the US over the period of 2000</w:t>
              </w:r>
              <w:r w:rsidR="0014181A">
                <w:noBreakHyphen/>
                <w:t>2014, and no change in the trend for the prevalence of age</w:t>
              </w:r>
              <w:r w:rsidR="0014181A">
                <w:noBreakHyphen/>
                <w:t>adjusted hypertension from 1999</w:t>
              </w:r>
              <w:r w:rsidR="0014181A">
                <w:noBreakHyphen/>
                <w:t xml:space="preserve">2016. </w:t>
              </w:r>
            </w:p>
            <w:p w14:paraId="4BFD5326" w14:textId="77777777" w:rsidR="0014181A" w:rsidRDefault="0014181A" w:rsidP="0014181A">
              <w:pPr>
                <w:pStyle w:val="BodyText"/>
                <w:numPr>
                  <w:ilvl w:val="0"/>
                  <w:numId w:val="60"/>
                </w:numPr>
              </w:pPr>
              <w:r>
                <w:t xml:space="preserve">There is no break in the trend towards more former smokers, </w:t>
              </w:r>
              <w:r w:rsidR="00394C1E">
                <w:t>measured by</w:t>
              </w:r>
              <w:r>
                <w:t xml:space="preserve"> the Quit ratio (the ratio of former smokers to ever smokers) in the US which is slowly increasing over 2005</w:t>
              </w:r>
              <w:r>
                <w:noBreakHyphen/>
                <w:t>2016.</w:t>
              </w:r>
            </w:p>
            <w:p w14:paraId="506BC7EC" w14:textId="77777777" w:rsidR="0014181A" w:rsidRDefault="0014181A" w:rsidP="0014181A">
              <w:pPr>
                <w:pStyle w:val="BodyText"/>
                <w:numPr>
                  <w:ilvl w:val="0"/>
                  <w:numId w:val="60"/>
                </w:numPr>
              </w:pPr>
              <w:r>
                <w:t>Population modelling of the health impacts of e-cigarettes is greatly hampered by lack of knowledge of the health effects of e-cigarettes. Models which have been developed give a positive or a negative overall health impact of e</w:t>
              </w:r>
              <w:r>
                <w:noBreakHyphen/>
                <w:t xml:space="preserve">cigarettes on a population depending on the parameters used. The health impact for a population will vary according to the prevalence of conventional smokers in the population. </w:t>
              </w:r>
            </w:p>
            <w:p w14:paraId="51E190E2" w14:textId="77777777" w:rsidR="0014181A" w:rsidRDefault="0014181A" w:rsidP="00274AF6">
              <w:pPr>
                <w:pStyle w:val="Boxedtext"/>
              </w:pPr>
              <w:r w:rsidRPr="0014181A">
                <w:t>Conclusion: based on the current evidence it is not possible to determine whether e-cigarettes have a positive or a negative effect on health in countries where they are permitted.</w:t>
              </w:r>
            </w:p>
            <w:p w14:paraId="55801A5F" w14:textId="77777777" w:rsidR="0014181A" w:rsidRPr="0014181A" w:rsidRDefault="0014181A" w:rsidP="0014181A">
              <w:pPr>
                <w:pStyle w:val="BodyText"/>
                <w:rPr>
                  <w:b/>
                  <w:color w:val="auto"/>
                </w:rPr>
              </w:pPr>
            </w:p>
            <w:p w14:paraId="2E809A69" w14:textId="77777777" w:rsidR="0014181A" w:rsidRDefault="0014181A" w:rsidP="00274AF6">
              <w:pPr>
                <w:pStyle w:val="Boxedheading"/>
              </w:pPr>
              <w:r w:rsidRPr="00F13CBA">
                <w:lastRenderedPageBreak/>
                <w:t xml:space="preserve">Part 4: Review the impact of e-cigarettes and personal vaporisers on individual health as an alternative to smoking. </w:t>
              </w:r>
            </w:p>
            <w:p w14:paraId="16B07734" w14:textId="77777777" w:rsidR="0014181A" w:rsidRDefault="0014181A" w:rsidP="0014181A">
              <w:pPr>
                <w:pStyle w:val="ListParagraph"/>
                <w:numPr>
                  <w:ilvl w:val="0"/>
                  <w:numId w:val="74"/>
                </w:numPr>
                <w:spacing w:after="160" w:line="256" w:lineRule="auto"/>
              </w:pPr>
              <w:r w:rsidRPr="00AB55B3">
                <w:t>T</w:t>
              </w:r>
              <w:r>
                <w:t>here is some evidence that blood pressure of smokers is lowered over a month</w:t>
              </w:r>
              <w:r w:rsidRPr="00AB55B3">
                <w:t xml:space="preserve"> when e</w:t>
              </w:r>
              <w:r>
                <w:noBreakHyphen/>
              </w:r>
              <w:r w:rsidRPr="00AB55B3">
                <w:t>cigarettes are used instead of conventional cigarettes.</w:t>
              </w:r>
              <w:r>
                <w:t xml:space="preserve"> </w:t>
              </w:r>
            </w:p>
            <w:p w14:paraId="0AD9BD31" w14:textId="77777777" w:rsidR="0014181A" w:rsidRDefault="0014181A" w:rsidP="0014181A">
              <w:pPr>
                <w:pStyle w:val="ListParagraph"/>
                <w:numPr>
                  <w:ilvl w:val="0"/>
                  <w:numId w:val="74"/>
                </w:numPr>
                <w:spacing w:before="0" w:after="160" w:line="256" w:lineRule="auto"/>
              </w:pPr>
              <w:r>
                <w:t>In the short</w:t>
              </w:r>
              <w:r>
                <w:noBreakHyphen/>
                <w:t>term, there is evidence of small improvements in l</w:t>
              </w:r>
              <w:r w:rsidRPr="00AB55B3">
                <w:t xml:space="preserve">ung function </w:t>
              </w:r>
              <w:r>
                <w:t>in smokers who use e</w:t>
              </w:r>
              <w:r>
                <w:noBreakHyphen/>
                <w:t>cigarettes</w:t>
              </w:r>
              <w:r w:rsidRPr="00AB55B3">
                <w:t>.</w:t>
              </w:r>
              <w:r>
                <w:t xml:space="preserve"> </w:t>
              </w:r>
            </w:p>
            <w:p w14:paraId="5E3BB639" w14:textId="77777777" w:rsidR="0014181A" w:rsidRDefault="0014181A" w:rsidP="0014181A">
              <w:pPr>
                <w:pStyle w:val="ListParagraph"/>
                <w:numPr>
                  <w:ilvl w:val="0"/>
                  <w:numId w:val="74"/>
                </w:numPr>
                <w:spacing w:before="0" w:after="160" w:line="256" w:lineRule="auto"/>
              </w:pPr>
              <w:r w:rsidRPr="00AB55B3">
                <w:t xml:space="preserve">The level of specific carcinogenic compounds and resulting metabolites is lower </w:t>
              </w:r>
              <w:r>
                <w:t>in humans after e</w:t>
              </w:r>
              <w:r>
                <w:noBreakHyphen/>
                <w:t xml:space="preserve">cigarette use compared to </w:t>
              </w:r>
              <w:r w:rsidRPr="00AB55B3">
                <w:t>conventional cigarette</w:t>
              </w:r>
              <w:r>
                <w:t xml:space="preserve"> use</w:t>
              </w:r>
              <w:r w:rsidRPr="00AB55B3">
                <w:t xml:space="preserve">. </w:t>
              </w:r>
            </w:p>
            <w:p w14:paraId="33CA961A" w14:textId="476CA63C" w:rsidR="0014181A" w:rsidRDefault="0014181A" w:rsidP="0014181A">
              <w:pPr>
                <w:pStyle w:val="ListParagraph"/>
                <w:numPr>
                  <w:ilvl w:val="0"/>
                  <w:numId w:val="74"/>
                </w:numPr>
                <w:spacing w:before="0" w:after="160" w:line="256" w:lineRule="auto"/>
              </w:pPr>
              <w:r w:rsidRPr="00AB55B3">
                <w:t xml:space="preserve">The range of toxic compounds </w:t>
              </w:r>
              <w:r>
                <w:t xml:space="preserve">arising from normal use </w:t>
              </w:r>
              <w:r w:rsidRPr="00AB55B3">
                <w:t>is not the same for e</w:t>
              </w:r>
              <w:r>
                <w:noBreakHyphen/>
              </w:r>
              <w:r w:rsidRPr="00AB55B3">
                <w:t xml:space="preserve">cigarettes and </w:t>
              </w:r>
              <w:r>
                <w:t>conventional cigarettes</w:t>
              </w:r>
              <w:r w:rsidRPr="00AB55B3">
                <w:t>. For e</w:t>
              </w:r>
              <w:r>
                <w:noBreakHyphen/>
              </w:r>
              <w:r w:rsidRPr="00AB55B3">
                <w:t xml:space="preserve">cigarettes, potentially toxic compounds </w:t>
              </w:r>
              <w:r>
                <w:t xml:space="preserve">also </w:t>
              </w:r>
              <w:r w:rsidRPr="00AB55B3">
                <w:t>arise from the e</w:t>
              </w:r>
              <w:r>
                <w:noBreakHyphen/>
              </w:r>
              <w:r w:rsidRPr="00AB55B3">
                <w:t>fluid which varies in composition, and from the heating elements (which typically contribute metal vapour for example).</w:t>
              </w:r>
            </w:p>
            <w:p w14:paraId="7DED44C6" w14:textId="77777777" w:rsidR="0014181A" w:rsidRPr="00AB55B3" w:rsidRDefault="0014181A" w:rsidP="0014181A">
              <w:pPr>
                <w:pStyle w:val="ListParagraph"/>
                <w:numPr>
                  <w:ilvl w:val="0"/>
                  <w:numId w:val="74"/>
                </w:numPr>
                <w:spacing w:before="0" w:after="160" w:line="256" w:lineRule="auto"/>
              </w:pPr>
              <w:r>
                <w:t>Nicotine absorption and nicotine dependency for e</w:t>
              </w:r>
              <w:r>
                <w:noBreakHyphen/>
                <w:t>cigarettes users appears to depend on how the e-cigarettes are used. This is probably because the way in which the devices are used in terms of puffs and intensity can determine the amounts of nicotine inhaled, in addition to the nicotine concentration of the e-fluid.</w:t>
              </w:r>
            </w:p>
            <w:p w14:paraId="12745E43" w14:textId="77777777" w:rsidR="0014181A" w:rsidRPr="0014181A" w:rsidRDefault="0014181A" w:rsidP="00274AF6">
              <w:pPr>
                <w:pStyle w:val="Boxedtext"/>
              </w:pPr>
              <w:r w:rsidRPr="0014181A">
                <w:t xml:space="preserve">Conclusion: when e-cigarettes are used by smokers instead of conventional cigarettes there is evidence for improvement in individual health. However, use of e-cigarettes may also introduce independent health risks, and ‘dual use’ (using both e-cigarettes and conventional cigarettes) is popular. </w:t>
              </w:r>
            </w:p>
            <w:p w14:paraId="1550ED69" w14:textId="77777777" w:rsidR="0014181A" w:rsidRDefault="0014181A" w:rsidP="0014181A">
              <w:pPr>
                <w:rPr>
                  <w:color w:val="0070C0"/>
                  <w:sz w:val="24"/>
                  <w:szCs w:val="24"/>
                </w:rPr>
              </w:pPr>
            </w:p>
            <w:p w14:paraId="5CB08A0B" w14:textId="77777777" w:rsidR="0014181A" w:rsidRPr="00BA5929" w:rsidRDefault="0014181A" w:rsidP="00274AF6">
              <w:pPr>
                <w:pStyle w:val="Boxedheading"/>
                <w:rPr>
                  <w:color w:val="0070C0"/>
                </w:rPr>
              </w:pPr>
              <w:r w:rsidRPr="00BA5929">
                <w:rPr>
                  <w:color w:val="auto"/>
                </w:rPr>
                <w:t>Part 5</w:t>
              </w:r>
              <w:r>
                <w:rPr>
                  <w:color w:val="auto"/>
                </w:rPr>
                <w:t>:</w:t>
              </w:r>
              <w:r w:rsidRPr="00BA5929">
                <w:rPr>
                  <w:color w:val="auto"/>
                </w:rPr>
                <w:t xml:space="preserve"> </w:t>
              </w:r>
              <w:r w:rsidRPr="00BA5929">
                <w:t>Identify any potential for e-cigarettes to reduce rates of smoking in Australia.</w:t>
              </w:r>
            </w:p>
            <w:p w14:paraId="7BACAAF9" w14:textId="77777777" w:rsidR="0014181A" w:rsidRDefault="0014181A" w:rsidP="0014181A">
              <w:pPr>
                <w:pStyle w:val="BodyText"/>
                <w:numPr>
                  <w:ilvl w:val="0"/>
                  <w:numId w:val="74"/>
                </w:numPr>
              </w:pPr>
              <w:r>
                <w:t xml:space="preserve">The prevalence of regular smoking in Australia has been declining since at least 1945, from very high levels, particularly in men. </w:t>
              </w:r>
            </w:p>
            <w:p w14:paraId="2A2810A3" w14:textId="77777777" w:rsidR="0014181A" w:rsidRDefault="0014181A" w:rsidP="0014181A">
              <w:pPr>
                <w:pStyle w:val="BodyText"/>
                <w:numPr>
                  <w:ilvl w:val="0"/>
                  <w:numId w:val="74"/>
                </w:numPr>
              </w:pPr>
              <w:r>
                <w:t xml:space="preserve">The most recent national data indicates that 14% of Australian adults are current regular smokers. </w:t>
              </w:r>
            </w:p>
            <w:p w14:paraId="5E13128F" w14:textId="77777777" w:rsidR="0014181A" w:rsidRDefault="0014181A" w:rsidP="0014181A">
              <w:pPr>
                <w:pStyle w:val="BodyText"/>
                <w:numPr>
                  <w:ilvl w:val="0"/>
                  <w:numId w:val="74"/>
                </w:numPr>
              </w:pPr>
              <w:r>
                <w:t>E</w:t>
              </w:r>
              <w:r>
                <w:noBreakHyphen/>
                <w:t>cigarette use in Australia has generally increased from 2013 and 2016, however the prevalence of current regular use is below 8% amongst all adolescent and adult age groups.</w:t>
              </w:r>
            </w:p>
            <w:p w14:paraId="1CBBCD85" w14:textId="4CCDDB4E" w:rsidR="0014181A" w:rsidRDefault="00274AF6" w:rsidP="0014181A">
              <w:pPr>
                <w:pStyle w:val="BodyText"/>
                <w:numPr>
                  <w:ilvl w:val="0"/>
                  <w:numId w:val="74"/>
                </w:numPr>
              </w:pPr>
              <w:r>
                <w:t xml:space="preserve">People who have used e-cigarettes on one or more occasions over their lifetime are termed ‘ever users’. </w:t>
              </w:r>
              <w:r w:rsidR="0014181A">
                <w:t>Among ‘ever users’ of e</w:t>
              </w:r>
              <w:r w:rsidR="0014181A">
                <w:noBreakHyphen/>
                <w:t>cigarettes, the largest percentage is people who have used e</w:t>
              </w:r>
              <w:r w:rsidR="0014181A">
                <w:noBreakHyphen/>
                <w:t>cigarettes only once or twice. This group is larger than current users and ex</w:t>
              </w:r>
              <w:r w:rsidR="0014181A">
                <w:noBreakHyphen/>
                <w:t xml:space="preserve">users for all age groups, but is particularly large in adolescents and younger adults. </w:t>
              </w:r>
            </w:p>
            <w:p w14:paraId="6BC82B6D" w14:textId="77777777" w:rsidR="0014181A" w:rsidRDefault="0014181A" w:rsidP="0014181A">
              <w:pPr>
                <w:pStyle w:val="BodyText"/>
                <w:numPr>
                  <w:ilvl w:val="0"/>
                  <w:numId w:val="74"/>
                </w:numPr>
              </w:pPr>
              <w:r>
                <w:t>E</w:t>
              </w:r>
              <w:r>
                <w:noBreakHyphen/>
                <w:t xml:space="preserve">cigarette use beyond once or twice is very uncommon amongst people who are not current or ex cigarette smokers. </w:t>
              </w:r>
            </w:p>
            <w:p w14:paraId="7936D2B4" w14:textId="77777777" w:rsidR="0014181A" w:rsidRDefault="0014181A" w:rsidP="0014181A">
              <w:pPr>
                <w:pStyle w:val="BodyText"/>
                <w:numPr>
                  <w:ilvl w:val="0"/>
                  <w:numId w:val="74"/>
                </w:numPr>
              </w:pPr>
              <w:r>
                <w:lastRenderedPageBreak/>
                <w:t>The most common reason for using e</w:t>
              </w:r>
              <w:r>
                <w:noBreakHyphen/>
                <w:t xml:space="preserve">cigarettes among adolescents and younger adults is ‘out of curiosity’, while among older adults the reasons for use are more likely to be related to tobacco smoking (to cease smoking, to reduce the number of cigarettes smoked, or to avoid recommencing smoking). </w:t>
              </w:r>
            </w:p>
            <w:p w14:paraId="473E48FD" w14:textId="77F4EB8C" w:rsidR="0014181A" w:rsidRPr="0014181A" w:rsidRDefault="0014181A" w:rsidP="00274AF6">
              <w:pPr>
                <w:pStyle w:val="Boxedtext"/>
              </w:pPr>
              <w:r w:rsidRPr="0014181A">
                <w:t xml:space="preserve">Conclusion: It is </w:t>
              </w:r>
              <w:r w:rsidR="00274AF6">
                <w:t xml:space="preserve">a </w:t>
              </w:r>
              <w:r w:rsidRPr="0014181A">
                <w:t xml:space="preserve">critical </w:t>
              </w:r>
              <w:r w:rsidR="00274AF6">
                <w:t xml:space="preserve">research question </w:t>
              </w:r>
              <w:r w:rsidRPr="0014181A">
                <w:t xml:space="preserve">to determine the effectiveness of e-cigarettes compared to other smoking cessation methods among Australian smokers generally, </w:t>
              </w:r>
              <w:r w:rsidR="00274AF6">
                <w:t>and</w:t>
              </w:r>
              <w:r w:rsidR="00274AF6" w:rsidRPr="0014181A">
                <w:t xml:space="preserve"> </w:t>
              </w:r>
              <w:r w:rsidRPr="0014181A">
                <w:t xml:space="preserve">also among </w:t>
              </w:r>
              <w:r w:rsidR="00274AF6">
                <w:t xml:space="preserve">specific </w:t>
              </w:r>
              <w:r w:rsidRPr="0014181A">
                <w:t xml:space="preserve">groups with a high smoking rate. The rate at which young people and adults </w:t>
              </w:r>
              <w:r w:rsidR="00274AF6">
                <w:t xml:space="preserve">in Australia </w:t>
              </w:r>
              <w:r w:rsidRPr="0014181A">
                <w:t>start smoking as a result of using e</w:t>
              </w:r>
              <w:r>
                <w:noBreakHyphen/>
              </w:r>
              <w:r w:rsidRPr="0014181A">
                <w:t>cigarettes should be assessed and monitored</w:t>
              </w:r>
              <w:r w:rsidR="00274AF6">
                <w:t xml:space="preserve"> to fill a research gap</w:t>
              </w:r>
              <w:r w:rsidRPr="0014181A">
                <w:t>. On present evidence, it is not possible to determine whether less restrictive access to e-cigarettes would reduce rates of smoking in Australia.</w:t>
              </w:r>
            </w:p>
            <w:p w14:paraId="3B82E6A8" w14:textId="77777777" w:rsidR="0014181A" w:rsidRDefault="0014181A" w:rsidP="0014181A">
              <w:pPr>
                <w:pStyle w:val="BodyText"/>
                <w:rPr>
                  <w:color w:val="0070C0"/>
                </w:rPr>
              </w:pPr>
            </w:p>
            <w:p w14:paraId="27D77F38" w14:textId="77777777" w:rsidR="0014181A" w:rsidRPr="00172DCD" w:rsidRDefault="0014181A" w:rsidP="005C1ACC">
              <w:pPr>
                <w:pStyle w:val="Boxedheading"/>
                <w:rPr>
                  <w:color w:val="0070C0"/>
                </w:rPr>
              </w:pPr>
              <w:r w:rsidRPr="00172DCD">
                <w:t>Part 6: Compare rates of tobacco smoking in countries where e-cigarettes and similar smoking alternatives are available with rates in countries where such products are not available.</w:t>
              </w:r>
            </w:p>
            <w:p w14:paraId="11384610" w14:textId="515892B3" w:rsidR="0014181A" w:rsidRDefault="0014181A" w:rsidP="0014181A">
              <w:pPr>
                <w:pStyle w:val="ListParagraph"/>
                <w:numPr>
                  <w:ilvl w:val="0"/>
                  <w:numId w:val="74"/>
                </w:numPr>
                <w:spacing w:after="0"/>
              </w:pPr>
              <w:r>
                <w:t xml:space="preserve">There does not appear to be a </w:t>
              </w:r>
              <w:r w:rsidR="005C1ACC">
                <w:t>consistent</w:t>
              </w:r>
              <w:r>
                <w:t xml:space="preserve"> relationship </w:t>
              </w:r>
              <w:r w:rsidR="005C1ACC">
                <w:t xml:space="preserve">across countries </w:t>
              </w:r>
              <w:r>
                <w:t>between current e-cigarette use rate and either male current smoking rate or female current smoking rate.</w:t>
              </w:r>
            </w:p>
            <w:p w14:paraId="7857D15A" w14:textId="4E00B0DF" w:rsidR="0014181A" w:rsidRDefault="0014181A" w:rsidP="0014181A">
              <w:pPr>
                <w:pStyle w:val="ListParagraph"/>
                <w:numPr>
                  <w:ilvl w:val="0"/>
                  <w:numId w:val="74"/>
                </w:numPr>
                <w:spacing w:after="0"/>
              </w:pPr>
              <w:r>
                <w:t xml:space="preserve">There is a positive and moderately strong relationship </w:t>
              </w:r>
              <w:r w:rsidR="005C1ACC">
                <w:t xml:space="preserve">across countries </w:t>
              </w:r>
              <w:r>
                <w:t>between rate of ‘ever use’ of e-cigarettes rate and female current smoking rate. The weaker positive relationship for male current smoking rate is not statistically significant.</w:t>
              </w:r>
            </w:p>
            <w:p w14:paraId="246503A5" w14:textId="0B8E3EAB" w:rsidR="0014181A" w:rsidRDefault="0014181A" w:rsidP="0014181A">
              <w:pPr>
                <w:pStyle w:val="ListParagraph"/>
                <w:numPr>
                  <w:ilvl w:val="0"/>
                  <w:numId w:val="74"/>
                </w:numPr>
                <w:spacing w:after="0"/>
              </w:pPr>
              <w:r>
                <w:t>The use of e-cigarettes does not seem to be related to the type of regulation that governs its use. However, development of particular regulation has many determinants and the widespread use of e-cigarettes is relatively recent, and at different stages of initiation in different countries.</w:t>
              </w:r>
            </w:p>
            <w:p w14:paraId="52499520" w14:textId="77777777" w:rsidR="0014181A" w:rsidRDefault="0014181A" w:rsidP="0014181A">
              <w:pPr>
                <w:spacing w:after="0"/>
                <w:rPr>
                  <w:color w:val="0070C0"/>
                  <w:sz w:val="24"/>
                  <w:szCs w:val="24"/>
                </w:rPr>
              </w:pPr>
            </w:p>
            <w:p w14:paraId="6BEAD1B3" w14:textId="042F2DB8" w:rsidR="0014181A" w:rsidRPr="0014181A" w:rsidRDefault="0014181A" w:rsidP="005C1ACC">
              <w:pPr>
                <w:pStyle w:val="Boxedtext"/>
              </w:pPr>
              <w:r w:rsidRPr="0014181A">
                <w:t>Conclusion: There does not appear to be a consistent pattern of rate of e-cigarette use compared to tobacco smoking across countries. However, while tobacco smoking is a well</w:t>
              </w:r>
              <w:r w:rsidRPr="0014181A">
                <w:noBreakHyphen/>
                <w:t>established practice that varies widely between countries, e-cigarette use has spread across countries in the recent past with different rate of device availability, marketing, familiarity and regulations. It is plausible that a between-country relationship for tobacco smoking and e</w:t>
              </w:r>
              <w:r w:rsidR="00F70203">
                <w:noBreakHyphen/>
              </w:r>
              <w:r w:rsidRPr="0014181A">
                <w:t>cigarette use could develop in the future.</w:t>
              </w:r>
            </w:p>
            <w:p w14:paraId="2A7BC181" w14:textId="77777777" w:rsidR="0014181A" w:rsidRPr="0014181A" w:rsidRDefault="0014181A" w:rsidP="0014181A">
              <w:pPr>
                <w:pStyle w:val="BodyText"/>
                <w:rPr>
                  <w:b/>
                  <w:color w:val="auto"/>
                </w:rPr>
                <w:sectPr w:rsidR="0014181A" w:rsidRPr="0014181A" w:rsidSect="008027C3">
                  <w:footerReference w:type="even" r:id="rId16"/>
                  <w:footerReference w:type="default" r:id="rId17"/>
                  <w:pgSz w:w="11906" w:h="16838" w:code="9"/>
                  <w:pgMar w:top="1106" w:right="1134" w:bottom="1134" w:left="1134" w:header="510" w:footer="624" w:gutter="0"/>
                  <w:pgNumType w:fmt="lowerRoman" w:start="1"/>
                  <w:cols w:space="284"/>
                  <w:titlePg/>
                  <w:docGrid w:linePitch="360"/>
                </w:sectPr>
              </w:pPr>
            </w:p>
            <w:p w14:paraId="68BB46E8" w14:textId="77777777" w:rsidR="000F0E2F" w:rsidRDefault="000F0E2F" w:rsidP="000F0E2F">
              <w:pPr>
                <w:pStyle w:val="Heading1noTOC"/>
              </w:pPr>
              <w:r w:rsidRPr="00890BD7">
                <w:lastRenderedPageBreak/>
                <w:t>Contents</w:t>
              </w:r>
            </w:p>
            <w:p w14:paraId="406CE1B3" w14:textId="4E55AF14" w:rsidR="00272382" w:rsidRDefault="000F0E2F">
              <w:pPr>
                <w:pStyle w:val="TOC2"/>
                <w:rPr>
                  <w:rFonts w:asciiTheme="minorHAnsi" w:eastAsiaTheme="minorEastAsia" w:hAnsiTheme="minorHAnsi" w:cstheme="minorBidi"/>
                  <w:color w:val="auto"/>
                  <w:sz w:val="22"/>
                </w:rPr>
              </w:pPr>
              <w:r>
                <w:fldChar w:fldCharType="begin"/>
              </w:r>
              <w:r w:rsidRPr="00D1044D">
                <w:instrText xml:space="preserve"> TOC \h \z \t "Heading 1,2,Heading 2,3,PartTitle,1,Heading 1 Numbered,2,Heading 1 not numbered,2,Heading 2 not numbered,3,Appendix Heading 1,2" </w:instrText>
              </w:r>
              <w:r>
                <w:fldChar w:fldCharType="separate"/>
              </w:r>
              <w:hyperlink w:anchor="_Toc517706617" w:history="1">
                <w:r w:rsidR="00272382" w:rsidRPr="003E204A">
                  <w:rPr>
                    <w:rStyle w:val="Hyperlink"/>
                  </w:rPr>
                  <w:t>Foreword</w:t>
                </w:r>
                <w:r w:rsidR="00272382">
                  <w:rPr>
                    <w:webHidden/>
                  </w:rPr>
                  <w:tab/>
                </w:r>
                <w:r w:rsidR="00272382">
                  <w:rPr>
                    <w:webHidden/>
                  </w:rPr>
                  <w:tab/>
                </w:r>
                <w:r w:rsidR="00272382">
                  <w:rPr>
                    <w:webHidden/>
                  </w:rPr>
                  <w:fldChar w:fldCharType="begin"/>
                </w:r>
                <w:r w:rsidR="00272382">
                  <w:rPr>
                    <w:webHidden/>
                  </w:rPr>
                  <w:instrText xml:space="preserve"> PAGEREF _Toc517706617 \h </w:instrText>
                </w:r>
                <w:r w:rsidR="00272382">
                  <w:rPr>
                    <w:webHidden/>
                  </w:rPr>
                </w:r>
                <w:r w:rsidR="00272382">
                  <w:rPr>
                    <w:webHidden/>
                  </w:rPr>
                  <w:fldChar w:fldCharType="separate"/>
                </w:r>
                <w:r w:rsidR="00272382">
                  <w:rPr>
                    <w:webHidden/>
                  </w:rPr>
                  <w:t>iii</w:t>
                </w:r>
                <w:r w:rsidR="00272382">
                  <w:rPr>
                    <w:webHidden/>
                  </w:rPr>
                  <w:fldChar w:fldCharType="end"/>
                </w:r>
              </w:hyperlink>
            </w:p>
            <w:p w14:paraId="2C1B63B9" w14:textId="77777777" w:rsidR="00272382" w:rsidRDefault="00013E76">
              <w:pPr>
                <w:pStyle w:val="TOC2"/>
                <w:rPr>
                  <w:rFonts w:asciiTheme="minorHAnsi" w:eastAsiaTheme="minorEastAsia" w:hAnsiTheme="minorHAnsi" w:cstheme="minorBidi"/>
                  <w:color w:val="auto"/>
                  <w:sz w:val="22"/>
                </w:rPr>
              </w:pPr>
              <w:hyperlink w:anchor="_Toc517706618" w:history="1">
                <w:r w:rsidR="00272382" w:rsidRPr="003E204A">
                  <w:rPr>
                    <w:rStyle w:val="Hyperlink"/>
                  </w:rPr>
                  <w:t>Executive Summary</w:t>
                </w:r>
                <w:r w:rsidR="00272382">
                  <w:rPr>
                    <w:webHidden/>
                  </w:rPr>
                  <w:tab/>
                </w:r>
                <w:r w:rsidR="00272382">
                  <w:rPr>
                    <w:webHidden/>
                  </w:rPr>
                  <w:fldChar w:fldCharType="begin"/>
                </w:r>
                <w:r w:rsidR="00272382">
                  <w:rPr>
                    <w:webHidden/>
                  </w:rPr>
                  <w:instrText xml:space="preserve"> PAGEREF _Toc517706618 \h </w:instrText>
                </w:r>
                <w:r w:rsidR="00272382">
                  <w:rPr>
                    <w:webHidden/>
                  </w:rPr>
                </w:r>
                <w:r w:rsidR="00272382">
                  <w:rPr>
                    <w:webHidden/>
                  </w:rPr>
                  <w:fldChar w:fldCharType="separate"/>
                </w:r>
                <w:r w:rsidR="00272382">
                  <w:rPr>
                    <w:webHidden/>
                  </w:rPr>
                  <w:t>iv</w:t>
                </w:r>
                <w:r w:rsidR="00272382">
                  <w:rPr>
                    <w:webHidden/>
                  </w:rPr>
                  <w:fldChar w:fldCharType="end"/>
                </w:r>
              </w:hyperlink>
            </w:p>
            <w:p w14:paraId="31CD85ED" w14:textId="77777777" w:rsidR="00272382" w:rsidRDefault="00013E76">
              <w:pPr>
                <w:pStyle w:val="TOC2"/>
                <w:rPr>
                  <w:rFonts w:asciiTheme="minorHAnsi" w:eastAsiaTheme="minorEastAsia" w:hAnsiTheme="minorHAnsi" w:cstheme="minorBidi"/>
                  <w:color w:val="auto"/>
                  <w:sz w:val="22"/>
                </w:rPr>
              </w:pPr>
              <w:hyperlink w:anchor="_Toc517706619" w:history="1">
                <w:r w:rsidR="00272382" w:rsidRPr="003E204A">
                  <w:rPr>
                    <w:rStyle w:val="Hyperlink"/>
                  </w:rPr>
                  <w:t>Acknowledgments</w:t>
                </w:r>
                <w:r w:rsidR="00272382">
                  <w:rPr>
                    <w:webHidden/>
                  </w:rPr>
                  <w:tab/>
                </w:r>
                <w:r w:rsidR="00272382">
                  <w:rPr>
                    <w:webHidden/>
                  </w:rPr>
                  <w:fldChar w:fldCharType="begin"/>
                </w:r>
                <w:r w:rsidR="00272382">
                  <w:rPr>
                    <w:webHidden/>
                  </w:rPr>
                  <w:instrText xml:space="preserve"> PAGEREF _Toc517706619 \h </w:instrText>
                </w:r>
                <w:r w:rsidR="00272382">
                  <w:rPr>
                    <w:webHidden/>
                  </w:rPr>
                </w:r>
                <w:r w:rsidR="00272382">
                  <w:rPr>
                    <w:webHidden/>
                  </w:rPr>
                  <w:fldChar w:fldCharType="separate"/>
                </w:r>
                <w:r w:rsidR="00272382">
                  <w:rPr>
                    <w:webHidden/>
                  </w:rPr>
                  <w:t>17</w:t>
                </w:r>
                <w:r w:rsidR="00272382">
                  <w:rPr>
                    <w:webHidden/>
                  </w:rPr>
                  <w:fldChar w:fldCharType="end"/>
                </w:r>
              </w:hyperlink>
            </w:p>
            <w:p w14:paraId="3497A725" w14:textId="77777777" w:rsidR="00272382" w:rsidRDefault="00013E76">
              <w:pPr>
                <w:pStyle w:val="TOC2"/>
                <w:rPr>
                  <w:rFonts w:asciiTheme="minorHAnsi" w:eastAsiaTheme="minorEastAsia" w:hAnsiTheme="minorHAnsi" w:cstheme="minorBidi"/>
                  <w:color w:val="auto"/>
                  <w:sz w:val="22"/>
                </w:rPr>
              </w:pPr>
              <w:hyperlink w:anchor="_Toc517706620" w:history="1">
                <w:r w:rsidR="00272382" w:rsidRPr="003E204A">
                  <w:rPr>
                    <w:rStyle w:val="Hyperlink"/>
                  </w:rPr>
                  <w:t>Qualifications of Authors</w:t>
                </w:r>
                <w:r w:rsidR="00272382">
                  <w:rPr>
                    <w:webHidden/>
                  </w:rPr>
                  <w:tab/>
                </w:r>
                <w:r w:rsidR="00272382">
                  <w:rPr>
                    <w:webHidden/>
                  </w:rPr>
                  <w:fldChar w:fldCharType="begin"/>
                </w:r>
                <w:r w:rsidR="00272382">
                  <w:rPr>
                    <w:webHidden/>
                  </w:rPr>
                  <w:instrText xml:space="preserve"> PAGEREF _Toc517706620 \h </w:instrText>
                </w:r>
                <w:r w:rsidR="00272382">
                  <w:rPr>
                    <w:webHidden/>
                  </w:rPr>
                </w:r>
                <w:r w:rsidR="00272382">
                  <w:rPr>
                    <w:webHidden/>
                  </w:rPr>
                  <w:fldChar w:fldCharType="separate"/>
                </w:r>
                <w:r w:rsidR="00272382">
                  <w:rPr>
                    <w:webHidden/>
                  </w:rPr>
                  <w:t>18</w:t>
                </w:r>
                <w:r w:rsidR="00272382">
                  <w:rPr>
                    <w:webHidden/>
                  </w:rPr>
                  <w:fldChar w:fldCharType="end"/>
                </w:r>
              </w:hyperlink>
            </w:p>
            <w:p w14:paraId="38F40C4F" w14:textId="0530308E" w:rsidR="00272382" w:rsidRDefault="00013E76">
              <w:pPr>
                <w:pStyle w:val="TOC2"/>
                <w:rPr>
                  <w:rFonts w:asciiTheme="minorHAnsi" w:eastAsiaTheme="minorEastAsia" w:hAnsiTheme="minorHAnsi" w:cstheme="minorBidi"/>
                  <w:color w:val="auto"/>
                  <w:sz w:val="22"/>
                </w:rPr>
              </w:pPr>
              <w:hyperlink w:anchor="_Toc517706621" w:history="1">
                <w:r w:rsidR="00272382" w:rsidRPr="003E204A">
                  <w:rPr>
                    <w:rStyle w:val="Hyperlink"/>
                  </w:rPr>
                  <w:t>Acronyms</w:t>
                </w:r>
                <w:r w:rsidR="00272382">
                  <w:rPr>
                    <w:webHidden/>
                  </w:rPr>
                  <w:tab/>
                </w:r>
                <w:r w:rsidR="00272382">
                  <w:rPr>
                    <w:webHidden/>
                  </w:rPr>
                  <w:tab/>
                </w:r>
                <w:r w:rsidR="00272382">
                  <w:rPr>
                    <w:webHidden/>
                  </w:rPr>
                  <w:fldChar w:fldCharType="begin"/>
                </w:r>
                <w:r w:rsidR="00272382">
                  <w:rPr>
                    <w:webHidden/>
                  </w:rPr>
                  <w:instrText xml:space="preserve"> PAGEREF _Toc517706621 \h </w:instrText>
                </w:r>
                <w:r w:rsidR="00272382">
                  <w:rPr>
                    <w:webHidden/>
                  </w:rPr>
                </w:r>
                <w:r w:rsidR="00272382">
                  <w:rPr>
                    <w:webHidden/>
                  </w:rPr>
                  <w:fldChar w:fldCharType="separate"/>
                </w:r>
                <w:r w:rsidR="00272382">
                  <w:rPr>
                    <w:webHidden/>
                  </w:rPr>
                  <w:t>19</w:t>
                </w:r>
                <w:r w:rsidR="00272382">
                  <w:rPr>
                    <w:webHidden/>
                  </w:rPr>
                  <w:fldChar w:fldCharType="end"/>
                </w:r>
              </w:hyperlink>
            </w:p>
            <w:p w14:paraId="058912B0" w14:textId="77777777" w:rsidR="00272382" w:rsidRDefault="00013E76">
              <w:pPr>
                <w:pStyle w:val="TOC2"/>
                <w:rPr>
                  <w:rFonts w:asciiTheme="minorHAnsi" w:eastAsiaTheme="minorEastAsia" w:hAnsiTheme="minorHAnsi" w:cstheme="minorBidi"/>
                  <w:color w:val="auto"/>
                  <w:sz w:val="22"/>
                </w:rPr>
              </w:pPr>
              <w:hyperlink w:anchor="_Toc517706622" w:history="1">
                <w:r w:rsidR="00272382" w:rsidRPr="003E204A">
                  <w:rPr>
                    <w:rStyle w:val="Hyperlink"/>
                  </w:rPr>
                  <w:t>Methods of this review</w:t>
                </w:r>
                <w:r w:rsidR="00272382">
                  <w:rPr>
                    <w:webHidden/>
                  </w:rPr>
                  <w:tab/>
                </w:r>
                <w:r w:rsidR="00272382">
                  <w:rPr>
                    <w:webHidden/>
                  </w:rPr>
                  <w:fldChar w:fldCharType="begin"/>
                </w:r>
                <w:r w:rsidR="00272382">
                  <w:rPr>
                    <w:webHidden/>
                  </w:rPr>
                  <w:instrText xml:space="preserve"> PAGEREF _Toc517706622 \h </w:instrText>
                </w:r>
                <w:r w:rsidR="00272382">
                  <w:rPr>
                    <w:webHidden/>
                  </w:rPr>
                </w:r>
                <w:r w:rsidR="00272382">
                  <w:rPr>
                    <w:webHidden/>
                  </w:rPr>
                  <w:fldChar w:fldCharType="separate"/>
                </w:r>
                <w:r w:rsidR="00272382">
                  <w:rPr>
                    <w:webHidden/>
                  </w:rPr>
                  <w:t>24</w:t>
                </w:r>
                <w:r w:rsidR="00272382">
                  <w:rPr>
                    <w:webHidden/>
                  </w:rPr>
                  <w:fldChar w:fldCharType="end"/>
                </w:r>
              </w:hyperlink>
            </w:p>
            <w:p w14:paraId="769E9132" w14:textId="77777777" w:rsidR="00272382" w:rsidRDefault="00013E76">
              <w:pPr>
                <w:pStyle w:val="TOC3"/>
                <w:rPr>
                  <w:rFonts w:asciiTheme="minorHAnsi" w:eastAsiaTheme="minorEastAsia" w:hAnsiTheme="minorHAnsi" w:cstheme="minorBidi"/>
                  <w:noProof/>
                  <w:color w:val="auto"/>
                  <w:sz w:val="22"/>
                </w:rPr>
              </w:pPr>
              <w:hyperlink w:anchor="_Toc517706623" w:history="1">
                <w:r w:rsidR="00272382" w:rsidRPr="003E204A">
                  <w:rPr>
                    <w:rStyle w:val="Hyperlink"/>
                    <w:noProof/>
                  </w:rPr>
                  <w:t>Purpose of the review</w:t>
                </w:r>
                <w:r w:rsidR="00272382">
                  <w:rPr>
                    <w:noProof/>
                    <w:webHidden/>
                  </w:rPr>
                  <w:tab/>
                </w:r>
                <w:r w:rsidR="00272382">
                  <w:rPr>
                    <w:noProof/>
                    <w:webHidden/>
                  </w:rPr>
                  <w:fldChar w:fldCharType="begin"/>
                </w:r>
                <w:r w:rsidR="00272382">
                  <w:rPr>
                    <w:noProof/>
                    <w:webHidden/>
                  </w:rPr>
                  <w:instrText xml:space="preserve"> PAGEREF _Toc517706623 \h </w:instrText>
                </w:r>
                <w:r w:rsidR="00272382">
                  <w:rPr>
                    <w:noProof/>
                    <w:webHidden/>
                  </w:rPr>
                </w:r>
                <w:r w:rsidR="00272382">
                  <w:rPr>
                    <w:noProof/>
                    <w:webHidden/>
                  </w:rPr>
                  <w:fldChar w:fldCharType="separate"/>
                </w:r>
                <w:r w:rsidR="00272382">
                  <w:rPr>
                    <w:noProof/>
                    <w:webHidden/>
                  </w:rPr>
                  <w:t>24</w:t>
                </w:r>
                <w:r w:rsidR="00272382">
                  <w:rPr>
                    <w:noProof/>
                    <w:webHidden/>
                  </w:rPr>
                  <w:fldChar w:fldCharType="end"/>
                </w:r>
              </w:hyperlink>
            </w:p>
            <w:p w14:paraId="3C353243" w14:textId="77777777" w:rsidR="00272382" w:rsidRDefault="00013E76">
              <w:pPr>
                <w:pStyle w:val="TOC3"/>
                <w:rPr>
                  <w:rFonts w:asciiTheme="minorHAnsi" w:eastAsiaTheme="minorEastAsia" w:hAnsiTheme="minorHAnsi" w:cstheme="minorBidi"/>
                  <w:noProof/>
                  <w:color w:val="auto"/>
                  <w:sz w:val="22"/>
                </w:rPr>
              </w:pPr>
              <w:hyperlink w:anchor="_Toc517706624" w:history="1">
                <w:r w:rsidR="00272382" w:rsidRPr="003E204A">
                  <w:rPr>
                    <w:rStyle w:val="Hyperlink"/>
                    <w:noProof/>
                  </w:rPr>
                  <w:t>Overview</w:t>
                </w:r>
                <w:r w:rsidR="00272382">
                  <w:rPr>
                    <w:noProof/>
                    <w:webHidden/>
                  </w:rPr>
                  <w:tab/>
                </w:r>
                <w:r w:rsidR="00272382">
                  <w:rPr>
                    <w:noProof/>
                    <w:webHidden/>
                  </w:rPr>
                  <w:fldChar w:fldCharType="begin"/>
                </w:r>
                <w:r w:rsidR="00272382">
                  <w:rPr>
                    <w:noProof/>
                    <w:webHidden/>
                  </w:rPr>
                  <w:instrText xml:space="preserve"> PAGEREF _Toc517706624 \h </w:instrText>
                </w:r>
                <w:r w:rsidR="00272382">
                  <w:rPr>
                    <w:noProof/>
                    <w:webHidden/>
                  </w:rPr>
                </w:r>
                <w:r w:rsidR="00272382">
                  <w:rPr>
                    <w:noProof/>
                    <w:webHidden/>
                  </w:rPr>
                  <w:fldChar w:fldCharType="separate"/>
                </w:r>
                <w:r w:rsidR="00272382">
                  <w:rPr>
                    <w:noProof/>
                    <w:webHidden/>
                  </w:rPr>
                  <w:t>24</w:t>
                </w:r>
                <w:r w:rsidR="00272382">
                  <w:rPr>
                    <w:noProof/>
                    <w:webHidden/>
                  </w:rPr>
                  <w:fldChar w:fldCharType="end"/>
                </w:r>
              </w:hyperlink>
            </w:p>
            <w:p w14:paraId="5FD5FAFF" w14:textId="1A6C039B" w:rsidR="00272382" w:rsidRDefault="00013E76">
              <w:pPr>
                <w:pStyle w:val="TOC3"/>
                <w:rPr>
                  <w:rFonts w:asciiTheme="minorHAnsi" w:eastAsiaTheme="minorEastAsia" w:hAnsiTheme="minorHAnsi" w:cstheme="minorBidi"/>
                  <w:noProof/>
                  <w:color w:val="auto"/>
                  <w:sz w:val="22"/>
                </w:rPr>
              </w:pPr>
              <w:hyperlink w:anchor="_Toc517706625" w:history="1">
                <w:r w:rsidR="00272382" w:rsidRPr="003E204A">
                  <w:rPr>
                    <w:rStyle w:val="Hyperlink"/>
                    <w:noProof/>
                  </w:rPr>
                  <w:t>Method</w:t>
                </w:r>
                <w:r w:rsidR="00272382">
                  <w:rPr>
                    <w:noProof/>
                    <w:webHidden/>
                  </w:rPr>
                  <w:tab/>
                </w:r>
                <w:r w:rsidR="00272382">
                  <w:rPr>
                    <w:noProof/>
                    <w:webHidden/>
                  </w:rPr>
                  <w:tab/>
                </w:r>
                <w:r w:rsidR="00272382">
                  <w:rPr>
                    <w:noProof/>
                    <w:webHidden/>
                  </w:rPr>
                  <w:fldChar w:fldCharType="begin"/>
                </w:r>
                <w:r w:rsidR="00272382">
                  <w:rPr>
                    <w:noProof/>
                    <w:webHidden/>
                  </w:rPr>
                  <w:instrText xml:space="preserve"> PAGEREF _Toc517706625 \h </w:instrText>
                </w:r>
                <w:r w:rsidR="00272382">
                  <w:rPr>
                    <w:noProof/>
                    <w:webHidden/>
                  </w:rPr>
                </w:r>
                <w:r w:rsidR="00272382">
                  <w:rPr>
                    <w:noProof/>
                    <w:webHidden/>
                  </w:rPr>
                  <w:fldChar w:fldCharType="separate"/>
                </w:r>
                <w:r w:rsidR="00272382">
                  <w:rPr>
                    <w:noProof/>
                    <w:webHidden/>
                  </w:rPr>
                  <w:t>25</w:t>
                </w:r>
                <w:r w:rsidR="00272382">
                  <w:rPr>
                    <w:noProof/>
                    <w:webHidden/>
                  </w:rPr>
                  <w:fldChar w:fldCharType="end"/>
                </w:r>
              </w:hyperlink>
            </w:p>
            <w:p w14:paraId="2F0AED7E" w14:textId="77777777" w:rsidR="00272382" w:rsidRDefault="00013E76">
              <w:pPr>
                <w:pStyle w:val="TOC1"/>
                <w:rPr>
                  <w:rFonts w:asciiTheme="minorHAnsi" w:eastAsiaTheme="minorEastAsia" w:hAnsiTheme="minorHAnsi" w:cstheme="minorBidi"/>
                  <w:b w:val="0"/>
                  <w:color w:val="auto"/>
                  <w:sz w:val="22"/>
                </w:rPr>
              </w:pPr>
              <w:hyperlink w:anchor="_Toc517706626" w:history="1">
                <w:r w:rsidR="00272382" w:rsidRPr="003E204A">
                  <w:rPr>
                    <w:rStyle w:val="Hyperlink"/>
                  </w:rPr>
                  <w:t>PART 1: Health impact of e</w:t>
                </w:r>
                <w:r w:rsidR="00272382" w:rsidRPr="003E204A">
                  <w:rPr>
                    <w:rStyle w:val="Hyperlink"/>
                  </w:rPr>
                  <w:noBreakHyphen/>
                  <w:t>cigarettes and personal vaporisers</w:t>
                </w:r>
                <w:r w:rsidR="00272382">
                  <w:rPr>
                    <w:webHidden/>
                  </w:rPr>
                  <w:tab/>
                </w:r>
                <w:r w:rsidR="00272382">
                  <w:rPr>
                    <w:webHidden/>
                  </w:rPr>
                  <w:fldChar w:fldCharType="begin"/>
                </w:r>
                <w:r w:rsidR="00272382">
                  <w:rPr>
                    <w:webHidden/>
                  </w:rPr>
                  <w:instrText xml:space="preserve"> PAGEREF _Toc517706626 \h </w:instrText>
                </w:r>
                <w:r w:rsidR="00272382">
                  <w:rPr>
                    <w:webHidden/>
                  </w:rPr>
                </w:r>
                <w:r w:rsidR="00272382">
                  <w:rPr>
                    <w:webHidden/>
                  </w:rPr>
                  <w:fldChar w:fldCharType="separate"/>
                </w:r>
                <w:r w:rsidR="00272382">
                  <w:rPr>
                    <w:webHidden/>
                  </w:rPr>
                  <w:t>27</w:t>
                </w:r>
                <w:r w:rsidR="00272382">
                  <w:rPr>
                    <w:webHidden/>
                  </w:rPr>
                  <w:fldChar w:fldCharType="end"/>
                </w:r>
              </w:hyperlink>
            </w:p>
            <w:p w14:paraId="5145C0FB" w14:textId="77777777" w:rsidR="00272382" w:rsidRDefault="00013E76">
              <w:pPr>
                <w:pStyle w:val="TOC2"/>
                <w:rPr>
                  <w:rFonts w:asciiTheme="minorHAnsi" w:eastAsiaTheme="minorEastAsia" w:hAnsiTheme="minorHAnsi" w:cstheme="minorBidi"/>
                  <w:color w:val="auto"/>
                  <w:sz w:val="22"/>
                </w:rPr>
              </w:pPr>
              <w:hyperlink w:anchor="_Toc517706627" w:history="1">
                <w:r w:rsidR="00272382" w:rsidRPr="003E204A">
                  <w:rPr>
                    <w:rStyle w:val="Hyperlink"/>
                  </w:rPr>
                  <w:t>Executive summary</w:t>
                </w:r>
                <w:r w:rsidR="00272382">
                  <w:rPr>
                    <w:webHidden/>
                  </w:rPr>
                  <w:tab/>
                </w:r>
                <w:r w:rsidR="00272382">
                  <w:rPr>
                    <w:webHidden/>
                  </w:rPr>
                  <w:fldChar w:fldCharType="begin"/>
                </w:r>
                <w:r w:rsidR="00272382">
                  <w:rPr>
                    <w:webHidden/>
                  </w:rPr>
                  <w:instrText xml:space="preserve"> PAGEREF _Toc517706627 \h </w:instrText>
                </w:r>
                <w:r w:rsidR="00272382">
                  <w:rPr>
                    <w:webHidden/>
                  </w:rPr>
                </w:r>
                <w:r w:rsidR="00272382">
                  <w:rPr>
                    <w:webHidden/>
                  </w:rPr>
                  <w:fldChar w:fldCharType="separate"/>
                </w:r>
                <w:r w:rsidR="00272382">
                  <w:rPr>
                    <w:webHidden/>
                  </w:rPr>
                  <w:t>28</w:t>
                </w:r>
                <w:r w:rsidR="00272382">
                  <w:rPr>
                    <w:webHidden/>
                  </w:rPr>
                  <w:fldChar w:fldCharType="end"/>
                </w:r>
              </w:hyperlink>
            </w:p>
            <w:p w14:paraId="7C093E96" w14:textId="77777777" w:rsidR="00272382" w:rsidRDefault="00013E76">
              <w:pPr>
                <w:pStyle w:val="TOC2"/>
                <w:rPr>
                  <w:rFonts w:asciiTheme="minorHAnsi" w:eastAsiaTheme="minorEastAsia" w:hAnsiTheme="minorHAnsi" w:cstheme="minorBidi"/>
                  <w:color w:val="auto"/>
                  <w:sz w:val="22"/>
                </w:rPr>
              </w:pPr>
              <w:hyperlink w:anchor="_Toc517706628" w:history="1">
                <w:r w:rsidR="00272382" w:rsidRPr="003E204A">
                  <w:rPr>
                    <w:rStyle w:val="Hyperlink"/>
                    <w14:scene3d>
                      <w14:camera w14:prst="orthographicFront"/>
                      <w14:lightRig w14:rig="threePt" w14:dir="t">
                        <w14:rot w14:lat="0" w14:lon="0" w14:rev="0"/>
                      </w14:lightRig>
                    </w14:scene3d>
                  </w:rPr>
                  <w:t>1</w:t>
                </w:r>
                <w:r w:rsidR="00272382">
                  <w:rPr>
                    <w:rFonts w:asciiTheme="minorHAnsi" w:eastAsiaTheme="minorEastAsia" w:hAnsiTheme="minorHAnsi" w:cstheme="minorBidi"/>
                    <w:color w:val="auto"/>
                    <w:sz w:val="22"/>
                  </w:rPr>
                  <w:tab/>
                </w:r>
                <w:r w:rsidR="00272382" w:rsidRPr="003E204A">
                  <w:rPr>
                    <w:rStyle w:val="Hyperlink"/>
                  </w:rPr>
                  <w:t>Introduction</w:t>
                </w:r>
                <w:r w:rsidR="00272382">
                  <w:rPr>
                    <w:webHidden/>
                  </w:rPr>
                  <w:tab/>
                </w:r>
                <w:r w:rsidR="00272382">
                  <w:rPr>
                    <w:webHidden/>
                  </w:rPr>
                  <w:fldChar w:fldCharType="begin"/>
                </w:r>
                <w:r w:rsidR="00272382">
                  <w:rPr>
                    <w:webHidden/>
                  </w:rPr>
                  <w:instrText xml:space="preserve"> PAGEREF _Toc517706628 \h </w:instrText>
                </w:r>
                <w:r w:rsidR="00272382">
                  <w:rPr>
                    <w:webHidden/>
                  </w:rPr>
                </w:r>
                <w:r w:rsidR="00272382">
                  <w:rPr>
                    <w:webHidden/>
                  </w:rPr>
                  <w:fldChar w:fldCharType="separate"/>
                </w:r>
                <w:r w:rsidR="00272382">
                  <w:rPr>
                    <w:webHidden/>
                  </w:rPr>
                  <w:t>30</w:t>
                </w:r>
                <w:r w:rsidR="00272382">
                  <w:rPr>
                    <w:webHidden/>
                  </w:rPr>
                  <w:fldChar w:fldCharType="end"/>
                </w:r>
              </w:hyperlink>
            </w:p>
            <w:p w14:paraId="09B305CB" w14:textId="77777777" w:rsidR="00272382" w:rsidRDefault="00013E76">
              <w:pPr>
                <w:pStyle w:val="TOC2"/>
                <w:rPr>
                  <w:rFonts w:asciiTheme="minorHAnsi" w:eastAsiaTheme="minorEastAsia" w:hAnsiTheme="minorHAnsi" w:cstheme="minorBidi"/>
                  <w:color w:val="auto"/>
                  <w:sz w:val="22"/>
                </w:rPr>
              </w:pPr>
              <w:hyperlink w:anchor="_Toc517706629" w:history="1">
                <w:r w:rsidR="00272382" w:rsidRPr="003E204A">
                  <w:rPr>
                    <w:rStyle w:val="Hyperlink"/>
                    <w14:scene3d>
                      <w14:camera w14:prst="orthographicFront"/>
                      <w14:lightRig w14:rig="threePt" w14:dir="t">
                        <w14:rot w14:lat="0" w14:lon="0" w14:rev="0"/>
                      </w14:lightRig>
                    </w14:scene3d>
                  </w:rPr>
                  <w:t>2</w:t>
                </w:r>
                <w:r w:rsidR="00272382">
                  <w:rPr>
                    <w:rFonts w:asciiTheme="minorHAnsi" w:eastAsiaTheme="minorEastAsia" w:hAnsiTheme="minorHAnsi" w:cstheme="minorBidi"/>
                    <w:color w:val="auto"/>
                    <w:sz w:val="22"/>
                  </w:rPr>
                  <w:tab/>
                </w:r>
                <w:r w:rsidR="00272382" w:rsidRPr="003E204A">
                  <w:rPr>
                    <w:rStyle w:val="Hyperlink"/>
                  </w:rPr>
                  <w:t>Human health outcome studies</w:t>
                </w:r>
                <w:r w:rsidR="00272382">
                  <w:rPr>
                    <w:webHidden/>
                  </w:rPr>
                  <w:tab/>
                </w:r>
                <w:r w:rsidR="00272382">
                  <w:rPr>
                    <w:webHidden/>
                  </w:rPr>
                  <w:fldChar w:fldCharType="begin"/>
                </w:r>
                <w:r w:rsidR="00272382">
                  <w:rPr>
                    <w:webHidden/>
                  </w:rPr>
                  <w:instrText xml:space="preserve"> PAGEREF _Toc517706629 \h </w:instrText>
                </w:r>
                <w:r w:rsidR="00272382">
                  <w:rPr>
                    <w:webHidden/>
                  </w:rPr>
                </w:r>
                <w:r w:rsidR="00272382">
                  <w:rPr>
                    <w:webHidden/>
                  </w:rPr>
                  <w:fldChar w:fldCharType="separate"/>
                </w:r>
                <w:r w:rsidR="00272382">
                  <w:rPr>
                    <w:webHidden/>
                  </w:rPr>
                  <w:t>31</w:t>
                </w:r>
                <w:r w:rsidR="00272382">
                  <w:rPr>
                    <w:webHidden/>
                  </w:rPr>
                  <w:fldChar w:fldCharType="end"/>
                </w:r>
              </w:hyperlink>
            </w:p>
            <w:p w14:paraId="33F1F59E" w14:textId="77777777" w:rsidR="00272382" w:rsidRDefault="00013E76">
              <w:pPr>
                <w:pStyle w:val="TOC3"/>
                <w:rPr>
                  <w:rFonts w:asciiTheme="minorHAnsi" w:eastAsiaTheme="minorEastAsia" w:hAnsiTheme="minorHAnsi" w:cstheme="minorBidi"/>
                  <w:noProof/>
                  <w:color w:val="auto"/>
                  <w:sz w:val="22"/>
                </w:rPr>
              </w:pPr>
              <w:hyperlink w:anchor="_Toc517706630" w:history="1">
                <w:r w:rsidR="00272382" w:rsidRPr="003E204A">
                  <w:rPr>
                    <w:rStyle w:val="Hyperlink"/>
                    <w:noProof/>
                  </w:rPr>
                  <w:t>2.1</w:t>
                </w:r>
                <w:r w:rsidR="00272382">
                  <w:rPr>
                    <w:rFonts w:asciiTheme="minorHAnsi" w:eastAsiaTheme="minorEastAsia" w:hAnsiTheme="minorHAnsi" w:cstheme="minorBidi"/>
                    <w:noProof/>
                    <w:color w:val="auto"/>
                    <w:sz w:val="22"/>
                  </w:rPr>
                  <w:tab/>
                </w:r>
                <w:r w:rsidR="00272382" w:rsidRPr="003E204A">
                  <w:rPr>
                    <w:rStyle w:val="Hyperlink"/>
                    <w:noProof/>
                  </w:rPr>
                  <w:t>Introduction</w:t>
                </w:r>
                <w:r w:rsidR="00272382">
                  <w:rPr>
                    <w:noProof/>
                    <w:webHidden/>
                  </w:rPr>
                  <w:tab/>
                </w:r>
                <w:r w:rsidR="00272382">
                  <w:rPr>
                    <w:noProof/>
                    <w:webHidden/>
                  </w:rPr>
                  <w:fldChar w:fldCharType="begin"/>
                </w:r>
                <w:r w:rsidR="00272382">
                  <w:rPr>
                    <w:noProof/>
                    <w:webHidden/>
                  </w:rPr>
                  <w:instrText xml:space="preserve"> PAGEREF _Toc517706630 \h </w:instrText>
                </w:r>
                <w:r w:rsidR="00272382">
                  <w:rPr>
                    <w:noProof/>
                    <w:webHidden/>
                  </w:rPr>
                </w:r>
                <w:r w:rsidR="00272382">
                  <w:rPr>
                    <w:noProof/>
                    <w:webHidden/>
                  </w:rPr>
                  <w:fldChar w:fldCharType="separate"/>
                </w:r>
                <w:r w:rsidR="00272382">
                  <w:rPr>
                    <w:noProof/>
                    <w:webHidden/>
                  </w:rPr>
                  <w:t>31</w:t>
                </w:r>
                <w:r w:rsidR="00272382">
                  <w:rPr>
                    <w:noProof/>
                    <w:webHidden/>
                  </w:rPr>
                  <w:fldChar w:fldCharType="end"/>
                </w:r>
              </w:hyperlink>
            </w:p>
            <w:p w14:paraId="64688311" w14:textId="77777777" w:rsidR="00272382" w:rsidRDefault="00013E76">
              <w:pPr>
                <w:pStyle w:val="TOC3"/>
                <w:rPr>
                  <w:rFonts w:asciiTheme="minorHAnsi" w:eastAsiaTheme="minorEastAsia" w:hAnsiTheme="minorHAnsi" w:cstheme="minorBidi"/>
                  <w:noProof/>
                  <w:color w:val="auto"/>
                  <w:sz w:val="22"/>
                </w:rPr>
              </w:pPr>
              <w:hyperlink w:anchor="_Toc517706631" w:history="1">
                <w:r w:rsidR="00272382" w:rsidRPr="003E204A">
                  <w:rPr>
                    <w:rStyle w:val="Hyperlink"/>
                    <w:noProof/>
                  </w:rPr>
                  <w:t>2.2</w:t>
                </w:r>
                <w:r w:rsidR="00272382">
                  <w:rPr>
                    <w:rFonts w:asciiTheme="minorHAnsi" w:eastAsiaTheme="minorEastAsia" w:hAnsiTheme="minorHAnsi" w:cstheme="minorBidi"/>
                    <w:noProof/>
                    <w:color w:val="auto"/>
                    <w:sz w:val="22"/>
                  </w:rPr>
                  <w:tab/>
                </w:r>
                <w:r w:rsidR="00272382" w:rsidRPr="003E204A">
                  <w:rPr>
                    <w:rStyle w:val="Hyperlink"/>
                    <w:noProof/>
                  </w:rPr>
                  <w:t>Cardiovascular system</w:t>
                </w:r>
                <w:r w:rsidR="00272382">
                  <w:rPr>
                    <w:noProof/>
                    <w:webHidden/>
                  </w:rPr>
                  <w:tab/>
                </w:r>
                <w:r w:rsidR="00272382">
                  <w:rPr>
                    <w:noProof/>
                    <w:webHidden/>
                  </w:rPr>
                  <w:fldChar w:fldCharType="begin"/>
                </w:r>
                <w:r w:rsidR="00272382">
                  <w:rPr>
                    <w:noProof/>
                    <w:webHidden/>
                  </w:rPr>
                  <w:instrText xml:space="preserve"> PAGEREF _Toc517706631 \h </w:instrText>
                </w:r>
                <w:r w:rsidR="00272382">
                  <w:rPr>
                    <w:noProof/>
                    <w:webHidden/>
                  </w:rPr>
                </w:r>
                <w:r w:rsidR="00272382">
                  <w:rPr>
                    <w:noProof/>
                    <w:webHidden/>
                  </w:rPr>
                  <w:fldChar w:fldCharType="separate"/>
                </w:r>
                <w:r w:rsidR="00272382">
                  <w:rPr>
                    <w:noProof/>
                    <w:webHidden/>
                  </w:rPr>
                  <w:t>32</w:t>
                </w:r>
                <w:r w:rsidR="00272382">
                  <w:rPr>
                    <w:noProof/>
                    <w:webHidden/>
                  </w:rPr>
                  <w:fldChar w:fldCharType="end"/>
                </w:r>
              </w:hyperlink>
            </w:p>
            <w:p w14:paraId="187906C2" w14:textId="77777777" w:rsidR="00272382" w:rsidRDefault="00013E76">
              <w:pPr>
                <w:pStyle w:val="TOC3"/>
                <w:rPr>
                  <w:rFonts w:asciiTheme="minorHAnsi" w:eastAsiaTheme="minorEastAsia" w:hAnsiTheme="minorHAnsi" w:cstheme="minorBidi"/>
                  <w:noProof/>
                  <w:color w:val="auto"/>
                  <w:sz w:val="22"/>
                </w:rPr>
              </w:pPr>
              <w:hyperlink w:anchor="_Toc517706632" w:history="1">
                <w:r w:rsidR="00272382" w:rsidRPr="003E204A">
                  <w:rPr>
                    <w:rStyle w:val="Hyperlink"/>
                    <w:noProof/>
                  </w:rPr>
                  <w:t>2.3</w:t>
                </w:r>
                <w:r w:rsidR="00272382">
                  <w:rPr>
                    <w:rFonts w:asciiTheme="minorHAnsi" w:eastAsiaTheme="minorEastAsia" w:hAnsiTheme="minorHAnsi" w:cstheme="minorBidi"/>
                    <w:noProof/>
                    <w:color w:val="auto"/>
                    <w:sz w:val="22"/>
                  </w:rPr>
                  <w:tab/>
                </w:r>
                <w:r w:rsidR="00272382" w:rsidRPr="003E204A">
                  <w:rPr>
                    <w:rStyle w:val="Hyperlink"/>
                    <w:noProof/>
                  </w:rPr>
                  <w:t>Exposure to carcinogens</w:t>
                </w:r>
                <w:r w:rsidR="00272382">
                  <w:rPr>
                    <w:noProof/>
                    <w:webHidden/>
                  </w:rPr>
                  <w:tab/>
                </w:r>
                <w:r w:rsidR="00272382">
                  <w:rPr>
                    <w:noProof/>
                    <w:webHidden/>
                  </w:rPr>
                  <w:fldChar w:fldCharType="begin"/>
                </w:r>
                <w:r w:rsidR="00272382">
                  <w:rPr>
                    <w:noProof/>
                    <w:webHidden/>
                  </w:rPr>
                  <w:instrText xml:space="preserve"> PAGEREF _Toc517706632 \h </w:instrText>
                </w:r>
                <w:r w:rsidR="00272382">
                  <w:rPr>
                    <w:noProof/>
                    <w:webHidden/>
                  </w:rPr>
                </w:r>
                <w:r w:rsidR="00272382">
                  <w:rPr>
                    <w:noProof/>
                    <w:webHidden/>
                  </w:rPr>
                  <w:fldChar w:fldCharType="separate"/>
                </w:r>
                <w:r w:rsidR="00272382">
                  <w:rPr>
                    <w:noProof/>
                    <w:webHidden/>
                  </w:rPr>
                  <w:t>37</w:t>
                </w:r>
                <w:r w:rsidR="00272382">
                  <w:rPr>
                    <w:noProof/>
                    <w:webHidden/>
                  </w:rPr>
                  <w:fldChar w:fldCharType="end"/>
                </w:r>
              </w:hyperlink>
            </w:p>
            <w:p w14:paraId="7605034F" w14:textId="77777777" w:rsidR="00272382" w:rsidRDefault="00013E76">
              <w:pPr>
                <w:pStyle w:val="TOC3"/>
                <w:rPr>
                  <w:rFonts w:asciiTheme="minorHAnsi" w:eastAsiaTheme="minorEastAsia" w:hAnsiTheme="minorHAnsi" w:cstheme="minorBidi"/>
                  <w:noProof/>
                  <w:color w:val="auto"/>
                  <w:sz w:val="22"/>
                </w:rPr>
              </w:pPr>
              <w:hyperlink w:anchor="_Toc517706633" w:history="1">
                <w:r w:rsidR="00272382" w:rsidRPr="003E204A">
                  <w:rPr>
                    <w:rStyle w:val="Hyperlink"/>
                    <w:noProof/>
                  </w:rPr>
                  <w:t>2.4</w:t>
                </w:r>
                <w:r w:rsidR="00272382">
                  <w:rPr>
                    <w:rFonts w:asciiTheme="minorHAnsi" w:eastAsiaTheme="minorEastAsia" w:hAnsiTheme="minorHAnsi" w:cstheme="minorBidi"/>
                    <w:noProof/>
                    <w:color w:val="auto"/>
                    <w:sz w:val="22"/>
                  </w:rPr>
                  <w:tab/>
                </w:r>
                <w:r w:rsidR="00272382" w:rsidRPr="003E204A">
                  <w:rPr>
                    <w:rStyle w:val="Hyperlink"/>
                    <w:noProof/>
                  </w:rPr>
                  <w:t>Respiratory system</w:t>
                </w:r>
                <w:r w:rsidR="00272382">
                  <w:rPr>
                    <w:noProof/>
                    <w:webHidden/>
                  </w:rPr>
                  <w:tab/>
                </w:r>
                <w:r w:rsidR="00272382">
                  <w:rPr>
                    <w:noProof/>
                    <w:webHidden/>
                  </w:rPr>
                  <w:fldChar w:fldCharType="begin"/>
                </w:r>
                <w:r w:rsidR="00272382">
                  <w:rPr>
                    <w:noProof/>
                    <w:webHidden/>
                  </w:rPr>
                  <w:instrText xml:space="preserve"> PAGEREF _Toc517706633 \h </w:instrText>
                </w:r>
                <w:r w:rsidR="00272382">
                  <w:rPr>
                    <w:noProof/>
                    <w:webHidden/>
                  </w:rPr>
                </w:r>
                <w:r w:rsidR="00272382">
                  <w:rPr>
                    <w:noProof/>
                    <w:webHidden/>
                  </w:rPr>
                  <w:fldChar w:fldCharType="separate"/>
                </w:r>
                <w:r w:rsidR="00272382">
                  <w:rPr>
                    <w:noProof/>
                    <w:webHidden/>
                  </w:rPr>
                  <w:t>40</w:t>
                </w:r>
                <w:r w:rsidR="00272382">
                  <w:rPr>
                    <w:noProof/>
                    <w:webHidden/>
                  </w:rPr>
                  <w:fldChar w:fldCharType="end"/>
                </w:r>
              </w:hyperlink>
            </w:p>
            <w:p w14:paraId="395CEECD" w14:textId="77777777" w:rsidR="00272382" w:rsidRDefault="00013E76">
              <w:pPr>
                <w:pStyle w:val="TOC3"/>
                <w:rPr>
                  <w:rFonts w:asciiTheme="minorHAnsi" w:eastAsiaTheme="minorEastAsia" w:hAnsiTheme="minorHAnsi" w:cstheme="minorBidi"/>
                  <w:noProof/>
                  <w:color w:val="auto"/>
                  <w:sz w:val="22"/>
                </w:rPr>
              </w:pPr>
              <w:hyperlink w:anchor="_Toc517706634" w:history="1">
                <w:r w:rsidR="00272382" w:rsidRPr="003E204A">
                  <w:rPr>
                    <w:rStyle w:val="Hyperlink"/>
                    <w:noProof/>
                  </w:rPr>
                  <w:t>2.5</w:t>
                </w:r>
                <w:r w:rsidR="00272382">
                  <w:rPr>
                    <w:rFonts w:asciiTheme="minorHAnsi" w:eastAsiaTheme="minorEastAsia" w:hAnsiTheme="minorHAnsi" w:cstheme="minorBidi"/>
                    <w:noProof/>
                    <w:color w:val="auto"/>
                    <w:sz w:val="22"/>
                  </w:rPr>
                  <w:tab/>
                </w:r>
                <w:r w:rsidR="00272382" w:rsidRPr="003E204A">
                  <w:rPr>
                    <w:rStyle w:val="Hyperlink"/>
                    <w:noProof/>
                  </w:rPr>
                  <w:t>Lymphatic system</w:t>
                </w:r>
                <w:r w:rsidR="00272382">
                  <w:rPr>
                    <w:noProof/>
                    <w:webHidden/>
                  </w:rPr>
                  <w:tab/>
                </w:r>
                <w:r w:rsidR="00272382">
                  <w:rPr>
                    <w:noProof/>
                    <w:webHidden/>
                  </w:rPr>
                  <w:fldChar w:fldCharType="begin"/>
                </w:r>
                <w:r w:rsidR="00272382">
                  <w:rPr>
                    <w:noProof/>
                    <w:webHidden/>
                  </w:rPr>
                  <w:instrText xml:space="preserve"> PAGEREF _Toc517706634 \h </w:instrText>
                </w:r>
                <w:r w:rsidR="00272382">
                  <w:rPr>
                    <w:noProof/>
                    <w:webHidden/>
                  </w:rPr>
                </w:r>
                <w:r w:rsidR="00272382">
                  <w:rPr>
                    <w:noProof/>
                    <w:webHidden/>
                  </w:rPr>
                  <w:fldChar w:fldCharType="separate"/>
                </w:r>
                <w:r w:rsidR="00272382">
                  <w:rPr>
                    <w:noProof/>
                    <w:webHidden/>
                  </w:rPr>
                  <w:t>46</w:t>
                </w:r>
                <w:r w:rsidR="00272382">
                  <w:rPr>
                    <w:noProof/>
                    <w:webHidden/>
                  </w:rPr>
                  <w:fldChar w:fldCharType="end"/>
                </w:r>
              </w:hyperlink>
            </w:p>
            <w:p w14:paraId="3D42071D" w14:textId="77777777" w:rsidR="00272382" w:rsidRDefault="00013E76">
              <w:pPr>
                <w:pStyle w:val="TOC3"/>
                <w:rPr>
                  <w:rFonts w:asciiTheme="minorHAnsi" w:eastAsiaTheme="minorEastAsia" w:hAnsiTheme="minorHAnsi" w:cstheme="minorBidi"/>
                  <w:noProof/>
                  <w:color w:val="auto"/>
                  <w:sz w:val="22"/>
                </w:rPr>
              </w:pPr>
              <w:hyperlink w:anchor="_Toc517706635" w:history="1">
                <w:r w:rsidR="00272382" w:rsidRPr="003E204A">
                  <w:rPr>
                    <w:rStyle w:val="Hyperlink"/>
                    <w:noProof/>
                  </w:rPr>
                  <w:t>2.6</w:t>
                </w:r>
                <w:r w:rsidR="00272382">
                  <w:rPr>
                    <w:rFonts w:asciiTheme="minorHAnsi" w:eastAsiaTheme="minorEastAsia" w:hAnsiTheme="minorHAnsi" w:cstheme="minorBidi"/>
                    <w:noProof/>
                    <w:color w:val="auto"/>
                    <w:sz w:val="22"/>
                  </w:rPr>
                  <w:tab/>
                </w:r>
                <w:r w:rsidR="00272382" w:rsidRPr="003E204A">
                  <w:rPr>
                    <w:rStyle w:val="Hyperlink"/>
                    <w:noProof/>
                  </w:rPr>
                  <w:t>Oral health</w:t>
                </w:r>
                <w:r w:rsidR="00272382">
                  <w:rPr>
                    <w:noProof/>
                    <w:webHidden/>
                  </w:rPr>
                  <w:tab/>
                </w:r>
                <w:r w:rsidR="00272382">
                  <w:rPr>
                    <w:noProof/>
                    <w:webHidden/>
                  </w:rPr>
                  <w:fldChar w:fldCharType="begin"/>
                </w:r>
                <w:r w:rsidR="00272382">
                  <w:rPr>
                    <w:noProof/>
                    <w:webHidden/>
                  </w:rPr>
                  <w:instrText xml:space="preserve"> PAGEREF _Toc517706635 \h </w:instrText>
                </w:r>
                <w:r w:rsidR="00272382">
                  <w:rPr>
                    <w:noProof/>
                    <w:webHidden/>
                  </w:rPr>
                </w:r>
                <w:r w:rsidR="00272382">
                  <w:rPr>
                    <w:noProof/>
                    <w:webHidden/>
                  </w:rPr>
                  <w:fldChar w:fldCharType="separate"/>
                </w:r>
                <w:r w:rsidR="00272382">
                  <w:rPr>
                    <w:noProof/>
                    <w:webHidden/>
                  </w:rPr>
                  <w:t>47</w:t>
                </w:r>
                <w:r w:rsidR="00272382">
                  <w:rPr>
                    <w:noProof/>
                    <w:webHidden/>
                  </w:rPr>
                  <w:fldChar w:fldCharType="end"/>
                </w:r>
              </w:hyperlink>
            </w:p>
            <w:p w14:paraId="2917B8CE" w14:textId="77777777" w:rsidR="00272382" w:rsidRDefault="00013E76">
              <w:pPr>
                <w:pStyle w:val="TOC3"/>
                <w:rPr>
                  <w:rFonts w:asciiTheme="minorHAnsi" w:eastAsiaTheme="minorEastAsia" w:hAnsiTheme="minorHAnsi" w:cstheme="minorBidi"/>
                  <w:noProof/>
                  <w:color w:val="auto"/>
                  <w:sz w:val="22"/>
                </w:rPr>
              </w:pPr>
              <w:hyperlink w:anchor="_Toc517706636" w:history="1">
                <w:r w:rsidR="00272382" w:rsidRPr="003E204A">
                  <w:rPr>
                    <w:rStyle w:val="Hyperlink"/>
                    <w:noProof/>
                  </w:rPr>
                  <w:t>2.7</w:t>
                </w:r>
                <w:r w:rsidR="00272382">
                  <w:rPr>
                    <w:rFonts w:asciiTheme="minorHAnsi" w:eastAsiaTheme="minorEastAsia" w:hAnsiTheme="minorHAnsi" w:cstheme="minorBidi"/>
                    <w:noProof/>
                    <w:color w:val="auto"/>
                    <w:sz w:val="22"/>
                  </w:rPr>
                  <w:tab/>
                </w:r>
                <w:r w:rsidR="00272382" w:rsidRPr="003E204A">
                  <w:rPr>
                    <w:rStyle w:val="Hyperlink"/>
                    <w:noProof/>
                  </w:rPr>
                  <w:t>Dermatitis</w:t>
                </w:r>
                <w:r w:rsidR="00272382">
                  <w:rPr>
                    <w:noProof/>
                    <w:webHidden/>
                  </w:rPr>
                  <w:tab/>
                </w:r>
                <w:r w:rsidR="00272382">
                  <w:rPr>
                    <w:noProof/>
                    <w:webHidden/>
                  </w:rPr>
                  <w:fldChar w:fldCharType="begin"/>
                </w:r>
                <w:r w:rsidR="00272382">
                  <w:rPr>
                    <w:noProof/>
                    <w:webHidden/>
                  </w:rPr>
                  <w:instrText xml:space="preserve"> PAGEREF _Toc517706636 \h </w:instrText>
                </w:r>
                <w:r w:rsidR="00272382">
                  <w:rPr>
                    <w:noProof/>
                    <w:webHidden/>
                  </w:rPr>
                </w:r>
                <w:r w:rsidR="00272382">
                  <w:rPr>
                    <w:noProof/>
                    <w:webHidden/>
                  </w:rPr>
                  <w:fldChar w:fldCharType="separate"/>
                </w:r>
                <w:r w:rsidR="00272382">
                  <w:rPr>
                    <w:noProof/>
                    <w:webHidden/>
                  </w:rPr>
                  <w:t>48</w:t>
                </w:r>
                <w:r w:rsidR="00272382">
                  <w:rPr>
                    <w:noProof/>
                    <w:webHidden/>
                  </w:rPr>
                  <w:fldChar w:fldCharType="end"/>
                </w:r>
              </w:hyperlink>
            </w:p>
            <w:p w14:paraId="0E198570" w14:textId="77777777" w:rsidR="00272382" w:rsidRDefault="00013E76">
              <w:pPr>
                <w:pStyle w:val="TOC3"/>
                <w:rPr>
                  <w:rFonts w:asciiTheme="minorHAnsi" w:eastAsiaTheme="minorEastAsia" w:hAnsiTheme="minorHAnsi" w:cstheme="minorBidi"/>
                  <w:noProof/>
                  <w:color w:val="auto"/>
                  <w:sz w:val="22"/>
                </w:rPr>
              </w:pPr>
              <w:hyperlink w:anchor="_Toc517706637" w:history="1">
                <w:r w:rsidR="00272382" w:rsidRPr="003E204A">
                  <w:rPr>
                    <w:rStyle w:val="Hyperlink"/>
                    <w:noProof/>
                  </w:rPr>
                  <w:t>2.8</w:t>
                </w:r>
                <w:r w:rsidR="00272382">
                  <w:rPr>
                    <w:rFonts w:asciiTheme="minorHAnsi" w:eastAsiaTheme="minorEastAsia" w:hAnsiTheme="minorHAnsi" w:cstheme="minorBidi"/>
                    <w:noProof/>
                    <w:color w:val="auto"/>
                    <w:sz w:val="22"/>
                  </w:rPr>
                  <w:tab/>
                </w:r>
                <w:r w:rsidR="00272382" w:rsidRPr="003E204A">
                  <w:rPr>
                    <w:rStyle w:val="Hyperlink"/>
                    <w:noProof/>
                  </w:rPr>
                  <w:t>Wound healing</w:t>
                </w:r>
                <w:r w:rsidR="00272382">
                  <w:rPr>
                    <w:noProof/>
                    <w:webHidden/>
                  </w:rPr>
                  <w:tab/>
                </w:r>
                <w:r w:rsidR="00272382">
                  <w:rPr>
                    <w:noProof/>
                    <w:webHidden/>
                  </w:rPr>
                  <w:fldChar w:fldCharType="begin"/>
                </w:r>
                <w:r w:rsidR="00272382">
                  <w:rPr>
                    <w:noProof/>
                    <w:webHidden/>
                  </w:rPr>
                  <w:instrText xml:space="preserve"> PAGEREF _Toc517706637 \h </w:instrText>
                </w:r>
                <w:r w:rsidR="00272382">
                  <w:rPr>
                    <w:noProof/>
                    <w:webHidden/>
                  </w:rPr>
                </w:r>
                <w:r w:rsidR="00272382">
                  <w:rPr>
                    <w:noProof/>
                    <w:webHidden/>
                  </w:rPr>
                  <w:fldChar w:fldCharType="separate"/>
                </w:r>
                <w:r w:rsidR="00272382">
                  <w:rPr>
                    <w:noProof/>
                    <w:webHidden/>
                  </w:rPr>
                  <w:t>48</w:t>
                </w:r>
                <w:r w:rsidR="00272382">
                  <w:rPr>
                    <w:noProof/>
                    <w:webHidden/>
                  </w:rPr>
                  <w:fldChar w:fldCharType="end"/>
                </w:r>
              </w:hyperlink>
            </w:p>
            <w:p w14:paraId="0420E1EC" w14:textId="77777777" w:rsidR="00272382" w:rsidRDefault="00013E76">
              <w:pPr>
                <w:pStyle w:val="TOC3"/>
                <w:rPr>
                  <w:rFonts w:asciiTheme="minorHAnsi" w:eastAsiaTheme="minorEastAsia" w:hAnsiTheme="minorHAnsi" w:cstheme="minorBidi"/>
                  <w:noProof/>
                  <w:color w:val="auto"/>
                  <w:sz w:val="22"/>
                </w:rPr>
              </w:pPr>
              <w:hyperlink w:anchor="_Toc517706638" w:history="1">
                <w:r w:rsidR="00272382" w:rsidRPr="003E204A">
                  <w:rPr>
                    <w:rStyle w:val="Hyperlink"/>
                    <w:noProof/>
                  </w:rPr>
                  <w:t>2.9</w:t>
                </w:r>
                <w:r w:rsidR="00272382">
                  <w:rPr>
                    <w:rFonts w:asciiTheme="minorHAnsi" w:eastAsiaTheme="minorEastAsia" w:hAnsiTheme="minorHAnsi" w:cstheme="minorBidi"/>
                    <w:noProof/>
                    <w:color w:val="auto"/>
                    <w:sz w:val="22"/>
                  </w:rPr>
                  <w:tab/>
                </w:r>
                <w:r w:rsidR="00272382" w:rsidRPr="003E204A">
                  <w:rPr>
                    <w:rStyle w:val="Hyperlink"/>
                    <w:noProof/>
                  </w:rPr>
                  <w:t>Oxidative stress</w:t>
                </w:r>
                <w:r w:rsidR="00272382">
                  <w:rPr>
                    <w:noProof/>
                    <w:webHidden/>
                  </w:rPr>
                  <w:tab/>
                </w:r>
                <w:r w:rsidR="00272382">
                  <w:rPr>
                    <w:noProof/>
                    <w:webHidden/>
                  </w:rPr>
                  <w:fldChar w:fldCharType="begin"/>
                </w:r>
                <w:r w:rsidR="00272382">
                  <w:rPr>
                    <w:noProof/>
                    <w:webHidden/>
                  </w:rPr>
                  <w:instrText xml:space="preserve"> PAGEREF _Toc517706638 \h </w:instrText>
                </w:r>
                <w:r w:rsidR="00272382">
                  <w:rPr>
                    <w:noProof/>
                    <w:webHidden/>
                  </w:rPr>
                </w:r>
                <w:r w:rsidR="00272382">
                  <w:rPr>
                    <w:noProof/>
                    <w:webHidden/>
                  </w:rPr>
                  <w:fldChar w:fldCharType="separate"/>
                </w:r>
                <w:r w:rsidR="00272382">
                  <w:rPr>
                    <w:noProof/>
                    <w:webHidden/>
                  </w:rPr>
                  <w:t>49</w:t>
                </w:r>
                <w:r w:rsidR="00272382">
                  <w:rPr>
                    <w:noProof/>
                    <w:webHidden/>
                  </w:rPr>
                  <w:fldChar w:fldCharType="end"/>
                </w:r>
              </w:hyperlink>
            </w:p>
            <w:p w14:paraId="7C87D21A" w14:textId="77777777" w:rsidR="00272382" w:rsidRDefault="00013E76">
              <w:pPr>
                <w:pStyle w:val="TOC3"/>
                <w:rPr>
                  <w:rFonts w:asciiTheme="minorHAnsi" w:eastAsiaTheme="minorEastAsia" w:hAnsiTheme="minorHAnsi" w:cstheme="minorBidi"/>
                  <w:noProof/>
                  <w:color w:val="auto"/>
                  <w:sz w:val="22"/>
                </w:rPr>
              </w:pPr>
              <w:hyperlink w:anchor="_Toc517706639" w:history="1">
                <w:r w:rsidR="00272382" w:rsidRPr="003E204A">
                  <w:rPr>
                    <w:rStyle w:val="Hyperlink"/>
                    <w:noProof/>
                  </w:rPr>
                  <w:t>2.10</w:t>
                </w:r>
                <w:r w:rsidR="00272382">
                  <w:rPr>
                    <w:rFonts w:asciiTheme="minorHAnsi" w:eastAsiaTheme="minorEastAsia" w:hAnsiTheme="minorHAnsi" w:cstheme="minorBidi"/>
                    <w:noProof/>
                    <w:color w:val="auto"/>
                    <w:sz w:val="22"/>
                  </w:rPr>
                  <w:tab/>
                </w:r>
                <w:r w:rsidR="00272382" w:rsidRPr="003E204A">
                  <w:rPr>
                    <w:rStyle w:val="Hyperlink"/>
                    <w:noProof/>
                  </w:rPr>
                  <w:t>Oral and gut microbiota</w:t>
                </w:r>
                <w:r w:rsidR="00272382">
                  <w:rPr>
                    <w:noProof/>
                    <w:webHidden/>
                  </w:rPr>
                  <w:tab/>
                </w:r>
                <w:r w:rsidR="00272382">
                  <w:rPr>
                    <w:noProof/>
                    <w:webHidden/>
                  </w:rPr>
                  <w:fldChar w:fldCharType="begin"/>
                </w:r>
                <w:r w:rsidR="00272382">
                  <w:rPr>
                    <w:noProof/>
                    <w:webHidden/>
                  </w:rPr>
                  <w:instrText xml:space="preserve"> PAGEREF _Toc517706639 \h </w:instrText>
                </w:r>
                <w:r w:rsidR="00272382">
                  <w:rPr>
                    <w:noProof/>
                    <w:webHidden/>
                  </w:rPr>
                </w:r>
                <w:r w:rsidR="00272382">
                  <w:rPr>
                    <w:noProof/>
                    <w:webHidden/>
                  </w:rPr>
                  <w:fldChar w:fldCharType="separate"/>
                </w:r>
                <w:r w:rsidR="00272382">
                  <w:rPr>
                    <w:noProof/>
                    <w:webHidden/>
                  </w:rPr>
                  <w:t>49</w:t>
                </w:r>
                <w:r w:rsidR="00272382">
                  <w:rPr>
                    <w:noProof/>
                    <w:webHidden/>
                  </w:rPr>
                  <w:fldChar w:fldCharType="end"/>
                </w:r>
              </w:hyperlink>
            </w:p>
            <w:p w14:paraId="01943891" w14:textId="77777777" w:rsidR="00272382" w:rsidRDefault="00013E76">
              <w:pPr>
                <w:pStyle w:val="TOC3"/>
                <w:rPr>
                  <w:rFonts w:asciiTheme="minorHAnsi" w:eastAsiaTheme="minorEastAsia" w:hAnsiTheme="minorHAnsi" w:cstheme="minorBidi"/>
                  <w:noProof/>
                  <w:color w:val="auto"/>
                  <w:sz w:val="22"/>
                </w:rPr>
              </w:pPr>
              <w:hyperlink w:anchor="_Toc517706640" w:history="1">
                <w:r w:rsidR="00272382" w:rsidRPr="003E204A">
                  <w:rPr>
                    <w:rStyle w:val="Hyperlink"/>
                    <w:noProof/>
                  </w:rPr>
                  <w:t>2.11</w:t>
                </w:r>
                <w:r w:rsidR="00272382">
                  <w:rPr>
                    <w:rFonts w:asciiTheme="minorHAnsi" w:eastAsiaTheme="minorEastAsia" w:hAnsiTheme="minorHAnsi" w:cstheme="minorBidi"/>
                    <w:noProof/>
                    <w:color w:val="auto"/>
                    <w:sz w:val="22"/>
                  </w:rPr>
                  <w:tab/>
                </w:r>
                <w:r w:rsidR="00272382" w:rsidRPr="003E204A">
                  <w:rPr>
                    <w:rStyle w:val="Hyperlink"/>
                    <w:noProof/>
                  </w:rPr>
                  <w:t>Conclusions</w:t>
                </w:r>
                <w:r w:rsidR="00272382">
                  <w:rPr>
                    <w:noProof/>
                    <w:webHidden/>
                  </w:rPr>
                  <w:tab/>
                </w:r>
                <w:r w:rsidR="00272382">
                  <w:rPr>
                    <w:noProof/>
                    <w:webHidden/>
                  </w:rPr>
                  <w:fldChar w:fldCharType="begin"/>
                </w:r>
                <w:r w:rsidR="00272382">
                  <w:rPr>
                    <w:noProof/>
                    <w:webHidden/>
                  </w:rPr>
                  <w:instrText xml:space="preserve"> PAGEREF _Toc517706640 \h </w:instrText>
                </w:r>
                <w:r w:rsidR="00272382">
                  <w:rPr>
                    <w:noProof/>
                    <w:webHidden/>
                  </w:rPr>
                </w:r>
                <w:r w:rsidR="00272382">
                  <w:rPr>
                    <w:noProof/>
                    <w:webHidden/>
                  </w:rPr>
                  <w:fldChar w:fldCharType="separate"/>
                </w:r>
                <w:r w:rsidR="00272382">
                  <w:rPr>
                    <w:noProof/>
                    <w:webHidden/>
                  </w:rPr>
                  <w:t>50</w:t>
                </w:r>
                <w:r w:rsidR="00272382">
                  <w:rPr>
                    <w:noProof/>
                    <w:webHidden/>
                  </w:rPr>
                  <w:fldChar w:fldCharType="end"/>
                </w:r>
              </w:hyperlink>
            </w:p>
            <w:p w14:paraId="2E4AD5BD" w14:textId="77777777" w:rsidR="00272382" w:rsidRDefault="00013E76">
              <w:pPr>
                <w:pStyle w:val="TOC2"/>
                <w:rPr>
                  <w:rFonts w:asciiTheme="minorHAnsi" w:eastAsiaTheme="minorEastAsia" w:hAnsiTheme="minorHAnsi" w:cstheme="minorBidi"/>
                  <w:color w:val="auto"/>
                  <w:sz w:val="22"/>
                </w:rPr>
              </w:pPr>
              <w:hyperlink w:anchor="_Toc517706641" w:history="1">
                <w:r w:rsidR="00272382" w:rsidRPr="003E204A">
                  <w:rPr>
                    <w:rStyle w:val="Hyperlink"/>
                    <w14:scene3d>
                      <w14:camera w14:prst="orthographicFront"/>
                      <w14:lightRig w14:rig="threePt" w14:dir="t">
                        <w14:rot w14:lat="0" w14:lon="0" w14:rev="0"/>
                      </w14:lightRig>
                    </w14:scene3d>
                  </w:rPr>
                  <w:t>3</w:t>
                </w:r>
                <w:r w:rsidR="00272382">
                  <w:rPr>
                    <w:rFonts w:asciiTheme="minorHAnsi" w:eastAsiaTheme="minorEastAsia" w:hAnsiTheme="minorHAnsi" w:cstheme="minorBidi"/>
                    <w:color w:val="auto"/>
                    <w:sz w:val="22"/>
                  </w:rPr>
                  <w:tab/>
                </w:r>
                <w:r w:rsidR="00272382" w:rsidRPr="003E204A">
                  <w:rPr>
                    <w:rStyle w:val="Hyperlink"/>
                  </w:rPr>
                  <w:t>Injuries and poisoning</w:t>
                </w:r>
                <w:r w:rsidR="00272382">
                  <w:rPr>
                    <w:webHidden/>
                  </w:rPr>
                  <w:tab/>
                </w:r>
                <w:r w:rsidR="00272382">
                  <w:rPr>
                    <w:webHidden/>
                  </w:rPr>
                  <w:fldChar w:fldCharType="begin"/>
                </w:r>
                <w:r w:rsidR="00272382">
                  <w:rPr>
                    <w:webHidden/>
                  </w:rPr>
                  <w:instrText xml:space="preserve"> PAGEREF _Toc517706641 \h </w:instrText>
                </w:r>
                <w:r w:rsidR="00272382">
                  <w:rPr>
                    <w:webHidden/>
                  </w:rPr>
                </w:r>
                <w:r w:rsidR="00272382">
                  <w:rPr>
                    <w:webHidden/>
                  </w:rPr>
                  <w:fldChar w:fldCharType="separate"/>
                </w:r>
                <w:r w:rsidR="00272382">
                  <w:rPr>
                    <w:webHidden/>
                  </w:rPr>
                  <w:t>52</w:t>
                </w:r>
                <w:r w:rsidR="00272382">
                  <w:rPr>
                    <w:webHidden/>
                  </w:rPr>
                  <w:fldChar w:fldCharType="end"/>
                </w:r>
              </w:hyperlink>
            </w:p>
            <w:p w14:paraId="07F67CF2" w14:textId="77777777" w:rsidR="00272382" w:rsidRDefault="00013E76">
              <w:pPr>
                <w:pStyle w:val="TOC3"/>
                <w:rPr>
                  <w:rFonts w:asciiTheme="minorHAnsi" w:eastAsiaTheme="minorEastAsia" w:hAnsiTheme="minorHAnsi" w:cstheme="minorBidi"/>
                  <w:noProof/>
                  <w:color w:val="auto"/>
                  <w:sz w:val="22"/>
                </w:rPr>
              </w:pPr>
              <w:hyperlink w:anchor="_Toc517706642" w:history="1">
                <w:r w:rsidR="00272382" w:rsidRPr="003E204A">
                  <w:rPr>
                    <w:rStyle w:val="Hyperlink"/>
                    <w:noProof/>
                  </w:rPr>
                  <w:t>3.1</w:t>
                </w:r>
                <w:r w:rsidR="00272382">
                  <w:rPr>
                    <w:rFonts w:asciiTheme="minorHAnsi" w:eastAsiaTheme="minorEastAsia" w:hAnsiTheme="minorHAnsi" w:cstheme="minorBidi"/>
                    <w:noProof/>
                    <w:color w:val="auto"/>
                    <w:sz w:val="22"/>
                  </w:rPr>
                  <w:tab/>
                </w:r>
                <w:r w:rsidR="00272382" w:rsidRPr="003E204A">
                  <w:rPr>
                    <w:rStyle w:val="Hyperlink"/>
                    <w:noProof/>
                  </w:rPr>
                  <w:t>Introduction</w:t>
                </w:r>
                <w:r w:rsidR="00272382">
                  <w:rPr>
                    <w:noProof/>
                    <w:webHidden/>
                  </w:rPr>
                  <w:tab/>
                </w:r>
                <w:r w:rsidR="00272382">
                  <w:rPr>
                    <w:noProof/>
                    <w:webHidden/>
                  </w:rPr>
                  <w:fldChar w:fldCharType="begin"/>
                </w:r>
                <w:r w:rsidR="00272382">
                  <w:rPr>
                    <w:noProof/>
                    <w:webHidden/>
                  </w:rPr>
                  <w:instrText xml:space="preserve"> PAGEREF _Toc517706642 \h </w:instrText>
                </w:r>
                <w:r w:rsidR="00272382">
                  <w:rPr>
                    <w:noProof/>
                    <w:webHidden/>
                  </w:rPr>
                </w:r>
                <w:r w:rsidR="00272382">
                  <w:rPr>
                    <w:noProof/>
                    <w:webHidden/>
                  </w:rPr>
                  <w:fldChar w:fldCharType="separate"/>
                </w:r>
                <w:r w:rsidR="00272382">
                  <w:rPr>
                    <w:noProof/>
                    <w:webHidden/>
                  </w:rPr>
                  <w:t>52</w:t>
                </w:r>
                <w:r w:rsidR="00272382">
                  <w:rPr>
                    <w:noProof/>
                    <w:webHidden/>
                  </w:rPr>
                  <w:fldChar w:fldCharType="end"/>
                </w:r>
              </w:hyperlink>
            </w:p>
            <w:p w14:paraId="16240142" w14:textId="77777777" w:rsidR="00272382" w:rsidRDefault="00013E76">
              <w:pPr>
                <w:pStyle w:val="TOC3"/>
                <w:rPr>
                  <w:rFonts w:asciiTheme="minorHAnsi" w:eastAsiaTheme="minorEastAsia" w:hAnsiTheme="minorHAnsi" w:cstheme="minorBidi"/>
                  <w:noProof/>
                  <w:color w:val="auto"/>
                  <w:sz w:val="22"/>
                </w:rPr>
              </w:pPr>
              <w:hyperlink w:anchor="_Toc517706643" w:history="1">
                <w:r w:rsidR="00272382" w:rsidRPr="003E204A">
                  <w:rPr>
                    <w:rStyle w:val="Hyperlink"/>
                    <w:noProof/>
                  </w:rPr>
                  <w:t>3.2</w:t>
                </w:r>
                <w:r w:rsidR="00272382">
                  <w:rPr>
                    <w:rFonts w:asciiTheme="minorHAnsi" w:eastAsiaTheme="minorEastAsia" w:hAnsiTheme="minorHAnsi" w:cstheme="minorBidi"/>
                    <w:noProof/>
                    <w:color w:val="auto"/>
                    <w:sz w:val="22"/>
                  </w:rPr>
                  <w:tab/>
                </w:r>
                <w:r w:rsidR="00272382" w:rsidRPr="003E204A">
                  <w:rPr>
                    <w:rStyle w:val="Hyperlink"/>
                    <w:noProof/>
                  </w:rPr>
                  <w:t>Exploding e-cigarettes</w:t>
                </w:r>
                <w:r w:rsidR="00272382">
                  <w:rPr>
                    <w:noProof/>
                    <w:webHidden/>
                  </w:rPr>
                  <w:tab/>
                </w:r>
                <w:r w:rsidR="00272382">
                  <w:rPr>
                    <w:noProof/>
                    <w:webHidden/>
                  </w:rPr>
                  <w:fldChar w:fldCharType="begin"/>
                </w:r>
                <w:r w:rsidR="00272382">
                  <w:rPr>
                    <w:noProof/>
                    <w:webHidden/>
                  </w:rPr>
                  <w:instrText xml:space="preserve"> PAGEREF _Toc517706643 \h </w:instrText>
                </w:r>
                <w:r w:rsidR="00272382">
                  <w:rPr>
                    <w:noProof/>
                    <w:webHidden/>
                  </w:rPr>
                </w:r>
                <w:r w:rsidR="00272382">
                  <w:rPr>
                    <w:noProof/>
                    <w:webHidden/>
                  </w:rPr>
                  <w:fldChar w:fldCharType="separate"/>
                </w:r>
                <w:r w:rsidR="00272382">
                  <w:rPr>
                    <w:noProof/>
                    <w:webHidden/>
                  </w:rPr>
                  <w:t>52</w:t>
                </w:r>
                <w:r w:rsidR="00272382">
                  <w:rPr>
                    <w:noProof/>
                    <w:webHidden/>
                  </w:rPr>
                  <w:fldChar w:fldCharType="end"/>
                </w:r>
              </w:hyperlink>
            </w:p>
            <w:p w14:paraId="7E50F8AF" w14:textId="77777777" w:rsidR="00272382" w:rsidRDefault="00013E76">
              <w:pPr>
                <w:pStyle w:val="TOC3"/>
                <w:rPr>
                  <w:rFonts w:asciiTheme="minorHAnsi" w:eastAsiaTheme="minorEastAsia" w:hAnsiTheme="minorHAnsi" w:cstheme="minorBidi"/>
                  <w:noProof/>
                  <w:color w:val="auto"/>
                  <w:sz w:val="22"/>
                </w:rPr>
              </w:pPr>
              <w:hyperlink w:anchor="_Toc517706644" w:history="1">
                <w:r w:rsidR="00272382" w:rsidRPr="003E204A">
                  <w:rPr>
                    <w:rStyle w:val="Hyperlink"/>
                    <w:noProof/>
                  </w:rPr>
                  <w:t>3.3</w:t>
                </w:r>
                <w:r w:rsidR="00272382">
                  <w:rPr>
                    <w:rFonts w:asciiTheme="minorHAnsi" w:eastAsiaTheme="minorEastAsia" w:hAnsiTheme="minorHAnsi" w:cstheme="minorBidi"/>
                    <w:noProof/>
                    <w:color w:val="auto"/>
                    <w:sz w:val="22"/>
                  </w:rPr>
                  <w:tab/>
                </w:r>
                <w:r w:rsidR="00272382" w:rsidRPr="003E204A">
                  <w:rPr>
                    <w:rStyle w:val="Hyperlink"/>
                    <w:noProof/>
                  </w:rPr>
                  <w:t>E-cigarette liquid ingestion</w:t>
                </w:r>
                <w:r w:rsidR="00272382">
                  <w:rPr>
                    <w:noProof/>
                    <w:webHidden/>
                  </w:rPr>
                  <w:tab/>
                </w:r>
                <w:r w:rsidR="00272382">
                  <w:rPr>
                    <w:noProof/>
                    <w:webHidden/>
                  </w:rPr>
                  <w:fldChar w:fldCharType="begin"/>
                </w:r>
                <w:r w:rsidR="00272382">
                  <w:rPr>
                    <w:noProof/>
                    <w:webHidden/>
                  </w:rPr>
                  <w:instrText xml:space="preserve"> PAGEREF _Toc517706644 \h </w:instrText>
                </w:r>
                <w:r w:rsidR="00272382">
                  <w:rPr>
                    <w:noProof/>
                    <w:webHidden/>
                  </w:rPr>
                </w:r>
                <w:r w:rsidR="00272382">
                  <w:rPr>
                    <w:noProof/>
                    <w:webHidden/>
                  </w:rPr>
                  <w:fldChar w:fldCharType="separate"/>
                </w:r>
                <w:r w:rsidR="00272382">
                  <w:rPr>
                    <w:noProof/>
                    <w:webHidden/>
                  </w:rPr>
                  <w:t>53</w:t>
                </w:r>
                <w:r w:rsidR="00272382">
                  <w:rPr>
                    <w:noProof/>
                    <w:webHidden/>
                  </w:rPr>
                  <w:fldChar w:fldCharType="end"/>
                </w:r>
              </w:hyperlink>
            </w:p>
            <w:p w14:paraId="03614082" w14:textId="77777777" w:rsidR="00272382" w:rsidRDefault="00013E76">
              <w:pPr>
                <w:pStyle w:val="TOC3"/>
                <w:rPr>
                  <w:rFonts w:asciiTheme="minorHAnsi" w:eastAsiaTheme="minorEastAsia" w:hAnsiTheme="minorHAnsi" w:cstheme="minorBidi"/>
                  <w:noProof/>
                  <w:color w:val="auto"/>
                  <w:sz w:val="22"/>
                </w:rPr>
              </w:pPr>
              <w:hyperlink w:anchor="_Toc517706645" w:history="1">
                <w:r w:rsidR="00272382" w:rsidRPr="003E204A">
                  <w:rPr>
                    <w:rStyle w:val="Hyperlink"/>
                    <w:noProof/>
                  </w:rPr>
                  <w:t>3.4</w:t>
                </w:r>
                <w:r w:rsidR="00272382">
                  <w:rPr>
                    <w:rFonts w:asciiTheme="minorHAnsi" w:eastAsiaTheme="minorEastAsia" w:hAnsiTheme="minorHAnsi" w:cstheme="minorBidi"/>
                    <w:noProof/>
                    <w:color w:val="auto"/>
                    <w:sz w:val="22"/>
                  </w:rPr>
                  <w:tab/>
                </w:r>
                <w:r w:rsidR="00272382" w:rsidRPr="003E204A">
                  <w:rPr>
                    <w:rStyle w:val="Hyperlink"/>
                    <w:noProof/>
                  </w:rPr>
                  <w:t>Miscellaneous injuries</w:t>
                </w:r>
                <w:r w:rsidR="00272382">
                  <w:rPr>
                    <w:noProof/>
                    <w:webHidden/>
                  </w:rPr>
                  <w:tab/>
                </w:r>
                <w:r w:rsidR="00272382">
                  <w:rPr>
                    <w:noProof/>
                    <w:webHidden/>
                  </w:rPr>
                  <w:fldChar w:fldCharType="begin"/>
                </w:r>
                <w:r w:rsidR="00272382">
                  <w:rPr>
                    <w:noProof/>
                    <w:webHidden/>
                  </w:rPr>
                  <w:instrText xml:space="preserve"> PAGEREF _Toc517706645 \h </w:instrText>
                </w:r>
                <w:r w:rsidR="00272382">
                  <w:rPr>
                    <w:noProof/>
                    <w:webHidden/>
                  </w:rPr>
                </w:r>
                <w:r w:rsidR="00272382">
                  <w:rPr>
                    <w:noProof/>
                    <w:webHidden/>
                  </w:rPr>
                  <w:fldChar w:fldCharType="separate"/>
                </w:r>
                <w:r w:rsidR="00272382">
                  <w:rPr>
                    <w:noProof/>
                    <w:webHidden/>
                  </w:rPr>
                  <w:t>54</w:t>
                </w:r>
                <w:r w:rsidR="00272382">
                  <w:rPr>
                    <w:noProof/>
                    <w:webHidden/>
                  </w:rPr>
                  <w:fldChar w:fldCharType="end"/>
                </w:r>
              </w:hyperlink>
            </w:p>
            <w:p w14:paraId="44F47EE3" w14:textId="77777777" w:rsidR="00272382" w:rsidRDefault="00013E76">
              <w:pPr>
                <w:pStyle w:val="TOC3"/>
                <w:rPr>
                  <w:rFonts w:asciiTheme="minorHAnsi" w:eastAsiaTheme="minorEastAsia" w:hAnsiTheme="minorHAnsi" w:cstheme="minorBidi"/>
                  <w:noProof/>
                  <w:color w:val="auto"/>
                  <w:sz w:val="22"/>
                </w:rPr>
              </w:pPr>
              <w:hyperlink w:anchor="_Toc517706646" w:history="1">
                <w:r w:rsidR="00272382" w:rsidRPr="003E204A">
                  <w:rPr>
                    <w:rStyle w:val="Hyperlink"/>
                    <w:noProof/>
                  </w:rPr>
                  <w:t>3.5</w:t>
                </w:r>
                <w:r w:rsidR="00272382">
                  <w:rPr>
                    <w:rFonts w:asciiTheme="minorHAnsi" w:eastAsiaTheme="minorEastAsia" w:hAnsiTheme="minorHAnsi" w:cstheme="minorBidi"/>
                    <w:noProof/>
                    <w:color w:val="auto"/>
                    <w:sz w:val="22"/>
                  </w:rPr>
                  <w:tab/>
                </w:r>
                <w:r w:rsidR="00272382" w:rsidRPr="003E204A">
                  <w:rPr>
                    <w:rStyle w:val="Hyperlink"/>
                    <w:noProof/>
                  </w:rPr>
                  <w:t>Conclusions</w:t>
                </w:r>
                <w:r w:rsidR="00272382">
                  <w:rPr>
                    <w:noProof/>
                    <w:webHidden/>
                  </w:rPr>
                  <w:tab/>
                </w:r>
                <w:r w:rsidR="00272382">
                  <w:rPr>
                    <w:noProof/>
                    <w:webHidden/>
                  </w:rPr>
                  <w:fldChar w:fldCharType="begin"/>
                </w:r>
                <w:r w:rsidR="00272382">
                  <w:rPr>
                    <w:noProof/>
                    <w:webHidden/>
                  </w:rPr>
                  <w:instrText xml:space="preserve"> PAGEREF _Toc517706646 \h </w:instrText>
                </w:r>
                <w:r w:rsidR="00272382">
                  <w:rPr>
                    <w:noProof/>
                    <w:webHidden/>
                  </w:rPr>
                </w:r>
                <w:r w:rsidR="00272382">
                  <w:rPr>
                    <w:noProof/>
                    <w:webHidden/>
                  </w:rPr>
                  <w:fldChar w:fldCharType="separate"/>
                </w:r>
                <w:r w:rsidR="00272382">
                  <w:rPr>
                    <w:noProof/>
                    <w:webHidden/>
                  </w:rPr>
                  <w:t>54</w:t>
                </w:r>
                <w:r w:rsidR="00272382">
                  <w:rPr>
                    <w:noProof/>
                    <w:webHidden/>
                  </w:rPr>
                  <w:fldChar w:fldCharType="end"/>
                </w:r>
              </w:hyperlink>
            </w:p>
            <w:p w14:paraId="72B4A520" w14:textId="77777777" w:rsidR="00272382" w:rsidRDefault="00013E76">
              <w:pPr>
                <w:pStyle w:val="TOC3"/>
                <w:rPr>
                  <w:rFonts w:asciiTheme="minorHAnsi" w:eastAsiaTheme="minorEastAsia" w:hAnsiTheme="minorHAnsi" w:cstheme="minorBidi"/>
                  <w:noProof/>
                  <w:color w:val="auto"/>
                  <w:sz w:val="22"/>
                </w:rPr>
              </w:pPr>
              <w:hyperlink w:anchor="_Toc517706647" w:history="1">
                <w:r w:rsidR="00272382" w:rsidRPr="003E204A">
                  <w:rPr>
                    <w:rStyle w:val="Hyperlink"/>
                    <w:noProof/>
                  </w:rPr>
                  <w:t>3.6</w:t>
                </w:r>
                <w:r w:rsidR="00272382">
                  <w:rPr>
                    <w:rFonts w:asciiTheme="minorHAnsi" w:eastAsiaTheme="minorEastAsia" w:hAnsiTheme="minorHAnsi" w:cstheme="minorBidi"/>
                    <w:noProof/>
                    <w:color w:val="auto"/>
                    <w:sz w:val="22"/>
                  </w:rPr>
                  <w:tab/>
                </w:r>
                <w:r w:rsidR="00272382" w:rsidRPr="003E204A">
                  <w:rPr>
                    <w:rStyle w:val="Hyperlink"/>
                    <w:noProof/>
                  </w:rPr>
                  <w:t>Key findings</w:t>
                </w:r>
                <w:r w:rsidR="00272382">
                  <w:rPr>
                    <w:noProof/>
                    <w:webHidden/>
                  </w:rPr>
                  <w:tab/>
                </w:r>
                <w:r w:rsidR="00272382">
                  <w:rPr>
                    <w:noProof/>
                    <w:webHidden/>
                  </w:rPr>
                  <w:fldChar w:fldCharType="begin"/>
                </w:r>
                <w:r w:rsidR="00272382">
                  <w:rPr>
                    <w:noProof/>
                    <w:webHidden/>
                  </w:rPr>
                  <w:instrText xml:space="preserve"> PAGEREF _Toc517706647 \h </w:instrText>
                </w:r>
                <w:r w:rsidR="00272382">
                  <w:rPr>
                    <w:noProof/>
                    <w:webHidden/>
                  </w:rPr>
                </w:r>
                <w:r w:rsidR="00272382">
                  <w:rPr>
                    <w:noProof/>
                    <w:webHidden/>
                  </w:rPr>
                  <w:fldChar w:fldCharType="separate"/>
                </w:r>
                <w:r w:rsidR="00272382">
                  <w:rPr>
                    <w:noProof/>
                    <w:webHidden/>
                  </w:rPr>
                  <w:t>55</w:t>
                </w:r>
                <w:r w:rsidR="00272382">
                  <w:rPr>
                    <w:noProof/>
                    <w:webHidden/>
                  </w:rPr>
                  <w:fldChar w:fldCharType="end"/>
                </w:r>
              </w:hyperlink>
            </w:p>
            <w:p w14:paraId="172FB497" w14:textId="77777777" w:rsidR="00272382" w:rsidRDefault="00013E76">
              <w:pPr>
                <w:pStyle w:val="TOC2"/>
                <w:rPr>
                  <w:rFonts w:asciiTheme="minorHAnsi" w:eastAsiaTheme="minorEastAsia" w:hAnsiTheme="minorHAnsi" w:cstheme="minorBidi"/>
                  <w:color w:val="auto"/>
                  <w:sz w:val="22"/>
                </w:rPr>
              </w:pPr>
              <w:hyperlink w:anchor="_Toc517706648" w:history="1">
                <w:r w:rsidR="00272382" w:rsidRPr="003E204A">
                  <w:rPr>
                    <w:rStyle w:val="Hyperlink"/>
                    <w14:scene3d>
                      <w14:camera w14:prst="orthographicFront"/>
                      <w14:lightRig w14:rig="threePt" w14:dir="t">
                        <w14:rot w14:lat="0" w14:lon="0" w14:rev="0"/>
                      </w14:lightRig>
                    </w14:scene3d>
                  </w:rPr>
                  <w:t>4</w:t>
                </w:r>
                <w:r w:rsidR="00272382">
                  <w:rPr>
                    <w:rFonts w:asciiTheme="minorHAnsi" w:eastAsiaTheme="minorEastAsia" w:hAnsiTheme="minorHAnsi" w:cstheme="minorBidi"/>
                    <w:color w:val="auto"/>
                    <w:sz w:val="22"/>
                  </w:rPr>
                  <w:tab/>
                </w:r>
                <w:r w:rsidR="00272382" w:rsidRPr="003E204A">
                  <w:rPr>
                    <w:rStyle w:val="Hyperlink"/>
                  </w:rPr>
                  <w:t>Animal Studies</w:t>
                </w:r>
                <w:r w:rsidR="00272382">
                  <w:rPr>
                    <w:webHidden/>
                  </w:rPr>
                  <w:tab/>
                </w:r>
                <w:r w:rsidR="00272382">
                  <w:rPr>
                    <w:webHidden/>
                  </w:rPr>
                  <w:fldChar w:fldCharType="begin"/>
                </w:r>
                <w:r w:rsidR="00272382">
                  <w:rPr>
                    <w:webHidden/>
                  </w:rPr>
                  <w:instrText xml:space="preserve"> PAGEREF _Toc517706648 \h </w:instrText>
                </w:r>
                <w:r w:rsidR="00272382">
                  <w:rPr>
                    <w:webHidden/>
                  </w:rPr>
                </w:r>
                <w:r w:rsidR="00272382">
                  <w:rPr>
                    <w:webHidden/>
                  </w:rPr>
                  <w:fldChar w:fldCharType="separate"/>
                </w:r>
                <w:r w:rsidR="00272382">
                  <w:rPr>
                    <w:webHidden/>
                  </w:rPr>
                  <w:t>56</w:t>
                </w:r>
                <w:r w:rsidR="00272382">
                  <w:rPr>
                    <w:webHidden/>
                  </w:rPr>
                  <w:fldChar w:fldCharType="end"/>
                </w:r>
              </w:hyperlink>
            </w:p>
            <w:p w14:paraId="1C2FB0FE" w14:textId="77777777" w:rsidR="00272382" w:rsidRDefault="00013E76">
              <w:pPr>
                <w:pStyle w:val="TOC3"/>
                <w:rPr>
                  <w:rFonts w:asciiTheme="minorHAnsi" w:eastAsiaTheme="minorEastAsia" w:hAnsiTheme="minorHAnsi" w:cstheme="minorBidi"/>
                  <w:noProof/>
                  <w:color w:val="auto"/>
                  <w:sz w:val="22"/>
                </w:rPr>
              </w:pPr>
              <w:hyperlink w:anchor="_Toc517706649" w:history="1">
                <w:r w:rsidR="00272382" w:rsidRPr="003E204A">
                  <w:rPr>
                    <w:rStyle w:val="Hyperlink"/>
                    <w:noProof/>
                  </w:rPr>
                  <w:t>4.1</w:t>
                </w:r>
                <w:r w:rsidR="00272382">
                  <w:rPr>
                    <w:rFonts w:asciiTheme="minorHAnsi" w:eastAsiaTheme="minorEastAsia" w:hAnsiTheme="minorHAnsi" w:cstheme="minorBidi"/>
                    <w:noProof/>
                    <w:color w:val="auto"/>
                    <w:sz w:val="22"/>
                  </w:rPr>
                  <w:tab/>
                </w:r>
                <w:r w:rsidR="00272382" w:rsidRPr="003E204A">
                  <w:rPr>
                    <w:rStyle w:val="Hyperlink"/>
                    <w:noProof/>
                  </w:rPr>
                  <w:t>Introduction</w:t>
                </w:r>
                <w:r w:rsidR="00272382">
                  <w:rPr>
                    <w:noProof/>
                    <w:webHidden/>
                  </w:rPr>
                  <w:tab/>
                </w:r>
                <w:r w:rsidR="00272382">
                  <w:rPr>
                    <w:noProof/>
                    <w:webHidden/>
                  </w:rPr>
                  <w:fldChar w:fldCharType="begin"/>
                </w:r>
                <w:r w:rsidR="00272382">
                  <w:rPr>
                    <w:noProof/>
                    <w:webHidden/>
                  </w:rPr>
                  <w:instrText xml:space="preserve"> PAGEREF _Toc517706649 \h </w:instrText>
                </w:r>
                <w:r w:rsidR="00272382">
                  <w:rPr>
                    <w:noProof/>
                    <w:webHidden/>
                  </w:rPr>
                </w:r>
                <w:r w:rsidR="00272382">
                  <w:rPr>
                    <w:noProof/>
                    <w:webHidden/>
                  </w:rPr>
                  <w:fldChar w:fldCharType="separate"/>
                </w:r>
                <w:r w:rsidR="00272382">
                  <w:rPr>
                    <w:noProof/>
                    <w:webHidden/>
                  </w:rPr>
                  <w:t>56</w:t>
                </w:r>
                <w:r w:rsidR="00272382">
                  <w:rPr>
                    <w:noProof/>
                    <w:webHidden/>
                  </w:rPr>
                  <w:fldChar w:fldCharType="end"/>
                </w:r>
              </w:hyperlink>
            </w:p>
            <w:p w14:paraId="6CA5B339" w14:textId="77777777" w:rsidR="00272382" w:rsidRDefault="00013E76">
              <w:pPr>
                <w:pStyle w:val="TOC3"/>
                <w:rPr>
                  <w:rFonts w:asciiTheme="minorHAnsi" w:eastAsiaTheme="minorEastAsia" w:hAnsiTheme="minorHAnsi" w:cstheme="minorBidi"/>
                  <w:noProof/>
                  <w:color w:val="auto"/>
                  <w:sz w:val="22"/>
                </w:rPr>
              </w:pPr>
              <w:hyperlink w:anchor="_Toc517706650" w:history="1">
                <w:r w:rsidR="00272382" w:rsidRPr="003E204A">
                  <w:rPr>
                    <w:rStyle w:val="Hyperlink"/>
                    <w:noProof/>
                  </w:rPr>
                  <w:t>4.2</w:t>
                </w:r>
                <w:r w:rsidR="00272382">
                  <w:rPr>
                    <w:rFonts w:asciiTheme="minorHAnsi" w:eastAsiaTheme="minorEastAsia" w:hAnsiTheme="minorHAnsi" w:cstheme="minorBidi"/>
                    <w:noProof/>
                    <w:color w:val="auto"/>
                    <w:sz w:val="22"/>
                  </w:rPr>
                  <w:tab/>
                </w:r>
                <w:r w:rsidR="00272382" w:rsidRPr="003E204A">
                  <w:rPr>
                    <w:rStyle w:val="Hyperlink"/>
                    <w:noProof/>
                  </w:rPr>
                  <w:t>Effects on the brain’s reward system</w:t>
                </w:r>
                <w:r w:rsidR="00272382">
                  <w:rPr>
                    <w:noProof/>
                    <w:webHidden/>
                  </w:rPr>
                  <w:tab/>
                </w:r>
                <w:r w:rsidR="00272382">
                  <w:rPr>
                    <w:noProof/>
                    <w:webHidden/>
                  </w:rPr>
                  <w:fldChar w:fldCharType="begin"/>
                </w:r>
                <w:r w:rsidR="00272382">
                  <w:rPr>
                    <w:noProof/>
                    <w:webHidden/>
                  </w:rPr>
                  <w:instrText xml:space="preserve"> PAGEREF _Toc517706650 \h </w:instrText>
                </w:r>
                <w:r w:rsidR="00272382">
                  <w:rPr>
                    <w:noProof/>
                    <w:webHidden/>
                  </w:rPr>
                </w:r>
                <w:r w:rsidR="00272382">
                  <w:rPr>
                    <w:noProof/>
                    <w:webHidden/>
                  </w:rPr>
                  <w:fldChar w:fldCharType="separate"/>
                </w:r>
                <w:r w:rsidR="00272382">
                  <w:rPr>
                    <w:noProof/>
                    <w:webHidden/>
                  </w:rPr>
                  <w:t>56</w:t>
                </w:r>
                <w:r w:rsidR="00272382">
                  <w:rPr>
                    <w:noProof/>
                    <w:webHidden/>
                  </w:rPr>
                  <w:fldChar w:fldCharType="end"/>
                </w:r>
              </w:hyperlink>
            </w:p>
            <w:p w14:paraId="2BD97F54" w14:textId="77777777" w:rsidR="00272382" w:rsidRDefault="00013E76">
              <w:pPr>
                <w:pStyle w:val="TOC3"/>
                <w:rPr>
                  <w:rFonts w:asciiTheme="minorHAnsi" w:eastAsiaTheme="minorEastAsia" w:hAnsiTheme="minorHAnsi" w:cstheme="minorBidi"/>
                  <w:noProof/>
                  <w:color w:val="auto"/>
                  <w:sz w:val="22"/>
                </w:rPr>
              </w:pPr>
              <w:hyperlink w:anchor="_Toc517706651" w:history="1">
                <w:r w:rsidR="00272382" w:rsidRPr="003E204A">
                  <w:rPr>
                    <w:rStyle w:val="Hyperlink"/>
                    <w:noProof/>
                  </w:rPr>
                  <w:t>4.3</w:t>
                </w:r>
                <w:r w:rsidR="00272382">
                  <w:rPr>
                    <w:rFonts w:asciiTheme="minorHAnsi" w:eastAsiaTheme="minorEastAsia" w:hAnsiTheme="minorHAnsi" w:cstheme="minorBidi"/>
                    <w:noProof/>
                    <w:color w:val="auto"/>
                    <w:sz w:val="22"/>
                  </w:rPr>
                  <w:tab/>
                </w:r>
                <w:r w:rsidR="00272382" w:rsidRPr="003E204A">
                  <w:rPr>
                    <w:rStyle w:val="Hyperlink"/>
                    <w:noProof/>
                  </w:rPr>
                  <w:t>Effects during pregnancy</w:t>
                </w:r>
                <w:r w:rsidR="00272382">
                  <w:rPr>
                    <w:noProof/>
                    <w:webHidden/>
                  </w:rPr>
                  <w:tab/>
                </w:r>
                <w:r w:rsidR="00272382">
                  <w:rPr>
                    <w:noProof/>
                    <w:webHidden/>
                  </w:rPr>
                  <w:fldChar w:fldCharType="begin"/>
                </w:r>
                <w:r w:rsidR="00272382">
                  <w:rPr>
                    <w:noProof/>
                    <w:webHidden/>
                  </w:rPr>
                  <w:instrText xml:space="preserve"> PAGEREF _Toc517706651 \h </w:instrText>
                </w:r>
                <w:r w:rsidR="00272382">
                  <w:rPr>
                    <w:noProof/>
                    <w:webHidden/>
                  </w:rPr>
                </w:r>
                <w:r w:rsidR="00272382">
                  <w:rPr>
                    <w:noProof/>
                    <w:webHidden/>
                  </w:rPr>
                  <w:fldChar w:fldCharType="separate"/>
                </w:r>
                <w:r w:rsidR="00272382">
                  <w:rPr>
                    <w:noProof/>
                    <w:webHidden/>
                  </w:rPr>
                  <w:t>56</w:t>
                </w:r>
                <w:r w:rsidR="00272382">
                  <w:rPr>
                    <w:noProof/>
                    <w:webHidden/>
                  </w:rPr>
                  <w:fldChar w:fldCharType="end"/>
                </w:r>
              </w:hyperlink>
            </w:p>
            <w:p w14:paraId="51F68977" w14:textId="77777777" w:rsidR="00272382" w:rsidRDefault="00013E76">
              <w:pPr>
                <w:pStyle w:val="TOC3"/>
                <w:rPr>
                  <w:rFonts w:asciiTheme="minorHAnsi" w:eastAsiaTheme="minorEastAsia" w:hAnsiTheme="minorHAnsi" w:cstheme="minorBidi"/>
                  <w:noProof/>
                  <w:color w:val="auto"/>
                  <w:sz w:val="22"/>
                </w:rPr>
              </w:pPr>
              <w:hyperlink w:anchor="_Toc517706652" w:history="1">
                <w:r w:rsidR="00272382" w:rsidRPr="003E204A">
                  <w:rPr>
                    <w:rStyle w:val="Hyperlink"/>
                    <w:noProof/>
                  </w:rPr>
                  <w:t>4.4</w:t>
                </w:r>
                <w:r w:rsidR="00272382">
                  <w:rPr>
                    <w:rFonts w:asciiTheme="minorHAnsi" w:eastAsiaTheme="minorEastAsia" w:hAnsiTheme="minorHAnsi" w:cstheme="minorBidi"/>
                    <w:noProof/>
                    <w:color w:val="auto"/>
                    <w:sz w:val="22"/>
                  </w:rPr>
                  <w:tab/>
                </w:r>
                <w:r w:rsidR="00272382" w:rsidRPr="003E204A">
                  <w:rPr>
                    <w:rStyle w:val="Hyperlink"/>
                    <w:noProof/>
                  </w:rPr>
                  <w:t>Environmental impacts</w:t>
                </w:r>
                <w:r w:rsidR="00272382">
                  <w:rPr>
                    <w:noProof/>
                    <w:webHidden/>
                  </w:rPr>
                  <w:tab/>
                </w:r>
                <w:r w:rsidR="00272382">
                  <w:rPr>
                    <w:noProof/>
                    <w:webHidden/>
                  </w:rPr>
                  <w:fldChar w:fldCharType="begin"/>
                </w:r>
                <w:r w:rsidR="00272382">
                  <w:rPr>
                    <w:noProof/>
                    <w:webHidden/>
                  </w:rPr>
                  <w:instrText xml:space="preserve"> PAGEREF _Toc517706652 \h </w:instrText>
                </w:r>
                <w:r w:rsidR="00272382">
                  <w:rPr>
                    <w:noProof/>
                    <w:webHidden/>
                  </w:rPr>
                </w:r>
                <w:r w:rsidR="00272382">
                  <w:rPr>
                    <w:noProof/>
                    <w:webHidden/>
                  </w:rPr>
                  <w:fldChar w:fldCharType="separate"/>
                </w:r>
                <w:r w:rsidR="00272382">
                  <w:rPr>
                    <w:noProof/>
                    <w:webHidden/>
                  </w:rPr>
                  <w:t>57</w:t>
                </w:r>
                <w:r w:rsidR="00272382">
                  <w:rPr>
                    <w:noProof/>
                    <w:webHidden/>
                  </w:rPr>
                  <w:fldChar w:fldCharType="end"/>
                </w:r>
              </w:hyperlink>
            </w:p>
            <w:p w14:paraId="7A046CCC" w14:textId="77777777" w:rsidR="00272382" w:rsidRDefault="00013E76">
              <w:pPr>
                <w:pStyle w:val="TOC3"/>
                <w:rPr>
                  <w:rFonts w:asciiTheme="minorHAnsi" w:eastAsiaTheme="minorEastAsia" w:hAnsiTheme="minorHAnsi" w:cstheme="minorBidi"/>
                  <w:noProof/>
                  <w:color w:val="auto"/>
                  <w:sz w:val="22"/>
                </w:rPr>
              </w:pPr>
              <w:hyperlink w:anchor="_Toc517706653" w:history="1">
                <w:r w:rsidR="00272382" w:rsidRPr="003E204A">
                  <w:rPr>
                    <w:rStyle w:val="Hyperlink"/>
                    <w:noProof/>
                  </w:rPr>
                  <w:t>4.5</w:t>
                </w:r>
                <w:r w:rsidR="00272382">
                  <w:rPr>
                    <w:rFonts w:asciiTheme="minorHAnsi" w:eastAsiaTheme="minorEastAsia" w:hAnsiTheme="minorHAnsi" w:cstheme="minorBidi"/>
                    <w:noProof/>
                    <w:color w:val="auto"/>
                    <w:sz w:val="22"/>
                  </w:rPr>
                  <w:tab/>
                </w:r>
                <w:r w:rsidR="00272382" w:rsidRPr="003E204A">
                  <w:rPr>
                    <w:rStyle w:val="Hyperlink"/>
                    <w:noProof/>
                  </w:rPr>
                  <w:t>Lungs and airway function</w:t>
                </w:r>
                <w:r w:rsidR="00272382">
                  <w:rPr>
                    <w:noProof/>
                    <w:webHidden/>
                  </w:rPr>
                  <w:tab/>
                </w:r>
                <w:r w:rsidR="00272382">
                  <w:rPr>
                    <w:noProof/>
                    <w:webHidden/>
                  </w:rPr>
                  <w:fldChar w:fldCharType="begin"/>
                </w:r>
                <w:r w:rsidR="00272382">
                  <w:rPr>
                    <w:noProof/>
                    <w:webHidden/>
                  </w:rPr>
                  <w:instrText xml:space="preserve"> PAGEREF _Toc517706653 \h </w:instrText>
                </w:r>
                <w:r w:rsidR="00272382">
                  <w:rPr>
                    <w:noProof/>
                    <w:webHidden/>
                  </w:rPr>
                </w:r>
                <w:r w:rsidR="00272382">
                  <w:rPr>
                    <w:noProof/>
                    <w:webHidden/>
                  </w:rPr>
                  <w:fldChar w:fldCharType="separate"/>
                </w:r>
                <w:r w:rsidR="00272382">
                  <w:rPr>
                    <w:noProof/>
                    <w:webHidden/>
                  </w:rPr>
                  <w:t>57</w:t>
                </w:r>
                <w:r w:rsidR="00272382">
                  <w:rPr>
                    <w:noProof/>
                    <w:webHidden/>
                  </w:rPr>
                  <w:fldChar w:fldCharType="end"/>
                </w:r>
              </w:hyperlink>
            </w:p>
            <w:p w14:paraId="16CED4C2" w14:textId="77777777" w:rsidR="00272382" w:rsidRDefault="00013E76">
              <w:pPr>
                <w:pStyle w:val="TOC3"/>
                <w:rPr>
                  <w:rFonts w:asciiTheme="minorHAnsi" w:eastAsiaTheme="minorEastAsia" w:hAnsiTheme="minorHAnsi" w:cstheme="minorBidi"/>
                  <w:noProof/>
                  <w:color w:val="auto"/>
                  <w:sz w:val="22"/>
                </w:rPr>
              </w:pPr>
              <w:hyperlink w:anchor="_Toc517706654" w:history="1">
                <w:r w:rsidR="00272382" w:rsidRPr="003E204A">
                  <w:rPr>
                    <w:rStyle w:val="Hyperlink"/>
                    <w:noProof/>
                  </w:rPr>
                  <w:t>4.6</w:t>
                </w:r>
                <w:r w:rsidR="00272382">
                  <w:rPr>
                    <w:rFonts w:asciiTheme="minorHAnsi" w:eastAsiaTheme="minorEastAsia" w:hAnsiTheme="minorHAnsi" w:cstheme="minorBidi"/>
                    <w:noProof/>
                    <w:color w:val="auto"/>
                    <w:sz w:val="22"/>
                  </w:rPr>
                  <w:tab/>
                </w:r>
                <w:r w:rsidR="00272382" w:rsidRPr="003E204A">
                  <w:rPr>
                    <w:rStyle w:val="Hyperlink"/>
                    <w:noProof/>
                  </w:rPr>
                  <w:t>Other organs</w:t>
                </w:r>
                <w:r w:rsidR="00272382">
                  <w:rPr>
                    <w:noProof/>
                    <w:webHidden/>
                  </w:rPr>
                  <w:tab/>
                </w:r>
                <w:r w:rsidR="00272382">
                  <w:rPr>
                    <w:noProof/>
                    <w:webHidden/>
                  </w:rPr>
                  <w:fldChar w:fldCharType="begin"/>
                </w:r>
                <w:r w:rsidR="00272382">
                  <w:rPr>
                    <w:noProof/>
                    <w:webHidden/>
                  </w:rPr>
                  <w:instrText xml:space="preserve"> PAGEREF _Toc517706654 \h </w:instrText>
                </w:r>
                <w:r w:rsidR="00272382">
                  <w:rPr>
                    <w:noProof/>
                    <w:webHidden/>
                  </w:rPr>
                </w:r>
                <w:r w:rsidR="00272382">
                  <w:rPr>
                    <w:noProof/>
                    <w:webHidden/>
                  </w:rPr>
                  <w:fldChar w:fldCharType="separate"/>
                </w:r>
                <w:r w:rsidR="00272382">
                  <w:rPr>
                    <w:noProof/>
                    <w:webHidden/>
                  </w:rPr>
                  <w:t>58</w:t>
                </w:r>
                <w:r w:rsidR="00272382">
                  <w:rPr>
                    <w:noProof/>
                    <w:webHidden/>
                  </w:rPr>
                  <w:fldChar w:fldCharType="end"/>
                </w:r>
              </w:hyperlink>
            </w:p>
            <w:p w14:paraId="17C4D9B1" w14:textId="77777777" w:rsidR="00272382" w:rsidRDefault="00013E76">
              <w:pPr>
                <w:pStyle w:val="TOC3"/>
                <w:rPr>
                  <w:rFonts w:asciiTheme="minorHAnsi" w:eastAsiaTheme="minorEastAsia" w:hAnsiTheme="minorHAnsi" w:cstheme="minorBidi"/>
                  <w:noProof/>
                  <w:color w:val="auto"/>
                  <w:sz w:val="22"/>
                </w:rPr>
              </w:pPr>
              <w:hyperlink w:anchor="_Toc517706655" w:history="1">
                <w:r w:rsidR="00272382" w:rsidRPr="003E204A">
                  <w:rPr>
                    <w:rStyle w:val="Hyperlink"/>
                    <w:noProof/>
                  </w:rPr>
                  <w:t>4.7</w:t>
                </w:r>
                <w:r w:rsidR="00272382">
                  <w:rPr>
                    <w:rFonts w:asciiTheme="minorHAnsi" w:eastAsiaTheme="minorEastAsia" w:hAnsiTheme="minorHAnsi" w:cstheme="minorBidi"/>
                    <w:noProof/>
                    <w:color w:val="auto"/>
                    <w:sz w:val="22"/>
                  </w:rPr>
                  <w:tab/>
                </w:r>
                <w:r w:rsidR="00272382" w:rsidRPr="003E204A">
                  <w:rPr>
                    <w:rStyle w:val="Hyperlink"/>
                    <w:noProof/>
                  </w:rPr>
                  <w:t>Serum lipids and glucose concentrations</w:t>
                </w:r>
                <w:r w:rsidR="00272382">
                  <w:rPr>
                    <w:noProof/>
                    <w:webHidden/>
                  </w:rPr>
                  <w:tab/>
                </w:r>
                <w:r w:rsidR="00272382">
                  <w:rPr>
                    <w:noProof/>
                    <w:webHidden/>
                  </w:rPr>
                  <w:fldChar w:fldCharType="begin"/>
                </w:r>
                <w:r w:rsidR="00272382">
                  <w:rPr>
                    <w:noProof/>
                    <w:webHidden/>
                  </w:rPr>
                  <w:instrText xml:space="preserve"> PAGEREF _Toc517706655 \h </w:instrText>
                </w:r>
                <w:r w:rsidR="00272382">
                  <w:rPr>
                    <w:noProof/>
                    <w:webHidden/>
                  </w:rPr>
                </w:r>
                <w:r w:rsidR="00272382">
                  <w:rPr>
                    <w:noProof/>
                    <w:webHidden/>
                  </w:rPr>
                  <w:fldChar w:fldCharType="separate"/>
                </w:r>
                <w:r w:rsidR="00272382">
                  <w:rPr>
                    <w:noProof/>
                    <w:webHidden/>
                  </w:rPr>
                  <w:t>60</w:t>
                </w:r>
                <w:r w:rsidR="00272382">
                  <w:rPr>
                    <w:noProof/>
                    <w:webHidden/>
                  </w:rPr>
                  <w:fldChar w:fldCharType="end"/>
                </w:r>
              </w:hyperlink>
            </w:p>
            <w:p w14:paraId="75E00C27" w14:textId="77777777" w:rsidR="00272382" w:rsidRDefault="00013E76">
              <w:pPr>
                <w:pStyle w:val="TOC3"/>
                <w:rPr>
                  <w:rFonts w:asciiTheme="minorHAnsi" w:eastAsiaTheme="minorEastAsia" w:hAnsiTheme="minorHAnsi" w:cstheme="minorBidi"/>
                  <w:noProof/>
                  <w:color w:val="auto"/>
                  <w:sz w:val="22"/>
                </w:rPr>
              </w:pPr>
              <w:hyperlink w:anchor="_Toc517706656" w:history="1">
                <w:r w:rsidR="00272382" w:rsidRPr="003E204A">
                  <w:rPr>
                    <w:rStyle w:val="Hyperlink"/>
                    <w:noProof/>
                  </w:rPr>
                  <w:t>4.8</w:t>
                </w:r>
                <w:r w:rsidR="00272382">
                  <w:rPr>
                    <w:rFonts w:asciiTheme="minorHAnsi" w:eastAsiaTheme="minorEastAsia" w:hAnsiTheme="minorHAnsi" w:cstheme="minorBidi"/>
                    <w:noProof/>
                    <w:color w:val="auto"/>
                    <w:sz w:val="22"/>
                  </w:rPr>
                  <w:tab/>
                </w:r>
                <w:r w:rsidR="00272382" w:rsidRPr="003E204A">
                  <w:rPr>
                    <w:rStyle w:val="Hyperlink"/>
                    <w:noProof/>
                  </w:rPr>
                  <w:t>Skin flap</w:t>
                </w:r>
                <w:r w:rsidR="00272382">
                  <w:rPr>
                    <w:noProof/>
                    <w:webHidden/>
                  </w:rPr>
                  <w:tab/>
                </w:r>
                <w:r w:rsidR="00272382">
                  <w:rPr>
                    <w:noProof/>
                    <w:webHidden/>
                  </w:rPr>
                  <w:fldChar w:fldCharType="begin"/>
                </w:r>
                <w:r w:rsidR="00272382">
                  <w:rPr>
                    <w:noProof/>
                    <w:webHidden/>
                  </w:rPr>
                  <w:instrText xml:space="preserve"> PAGEREF _Toc517706656 \h </w:instrText>
                </w:r>
                <w:r w:rsidR="00272382">
                  <w:rPr>
                    <w:noProof/>
                    <w:webHidden/>
                  </w:rPr>
                </w:r>
                <w:r w:rsidR="00272382">
                  <w:rPr>
                    <w:noProof/>
                    <w:webHidden/>
                  </w:rPr>
                  <w:fldChar w:fldCharType="separate"/>
                </w:r>
                <w:r w:rsidR="00272382">
                  <w:rPr>
                    <w:noProof/>
                    <w:webHidden/>
                  </w:rPr>
                  <w:t>60</w:t>
                </w:r>
                <w:r w:rsidR="00272382">
                  <w:rPr>
                    <w:noProof/>
                    <w:webHidden/>
                  </w:rPr>
                  <w:fldChar w:fldCharType="end"/>
                </w:r>
              </w:hyperlink>
            </w:p>
            <w:p w14:paraId="2F3F1E7E" w14:textId="77777777" w:rsidR="00272382" w:rsidRDefault="00013E76">
              <w:pPr>
                <w:pStyle w:val="TOC3"/>
                <w:rPr>
                  <w:rFonts w:asciiTheme="minorHAnsi" w:eastAsiaTheme="minorEastAsia" w:hAnsiTheme="minorHAnsi" w:cstheme="minorBidi"/>
                  <w:noProof/>
                  <w:color w:val="auto"/>
                  <w:sz w:val="22"/>
                </w:rPr>
              </w:pPr>
              <w:hyperlink w:anchor="_Toc517706657" w:history="1">
                <w:r w:rsidR="00272382" w:rsidRPr="003E204A">
                  <w:rPr>
                    <w:rStyle w:val="Hyperlink"/>
                    <w:noProof/>
                  </w:rPr>
                  <w:t>4.9</w:t>
                </w:r>
                <w:r w:rsidR="00272382">
                  <w:rPr>
                    <w:rFonts w:asciiTheme="minorHAnsi" w:eastAsiaTheme="minorEastAsia" w:hAnsiTheme="minorHAnsi" w:cstheme="minorBidi"/>
                    <w:noProof/>
                    <w:color w:val="auto"/>
                    <w:sz w:val="22"/>
                  </w:rPr>
                  <w:tab/>
                </w:r>
                <w:r w:rsidR="00272382" w:rsidRPr="003E204A">
                  <w:rPr>
                    <w:rStyle w:val="Hyperlink"/>
                    <w:noProof/>
                  </w:rPr>
                  <w:t>Toxicology and oxidative stress</w:t>
                </w:r>
                <w:r w:rsidR="00272382">
                  <w:rPr>
                    <w:noProof/>
                    <w:webHidden/>
                  </w:rPr>
                  <w:tab/>
                </w:r>
                <w:r w:rsidR="00272382">
                  <w:rPr>
                    <w:noProof/>
                    <w:webHidden/>
                  </w:rPr>
                  <w:fldChar w:fldCharType="begin"/>
                </w:r>
                <w:r w:rsidR="00272382">
                  <w:rPr>
                    <w:noProof/>
                    <w:webHidden/>
                  </w:rPr>
                  <w:instrText xml:space="preserve"> PAGEREF _Toc517706657 \h </w:instrText>
                </w:r>
                <w:r w:rsidR="00272382">
                  <w:rPr>
                    <w:noProof/>
                    <w:webHidden/>
                  </w:rPr>
                </w:r>
                <w:r w:rsidR="00272382">
                  <w:rPr>
                    <w:noProof/>
                    <w:webHidden/>
                  </w:rPr>
                  <w:fldChar w:fldCharType="separate"/>
                </w:r>
                <w:r w:rsidR="00272382">
                  <w:rPr>
                    <w:noProof/>
                    <w:webHidden/>
                  </w:rPr>
                  <w:t>61</w:t>
                </w:r>
                <w:r w:rsidR="00272382">
                  <w:rPr>
                    <w:noProof/>
                    <w:webHidden/>
                  </w:rPr>
                  <w:fldChar w:fldCharType="end"/>
                </w:r>
              </w:hyperlink>
            </w:p>
            <w:p w14:paraId="23819806" w14:textId="77777777" w:rsidR="00272382" w:rsidRDefault="00013E76">
              <w:pPr>
                <w:pStyle w:val="TOC3"/>
                <w:rPr>
                  <w:rFonts w:asciiTheme="minorHAnsi" w:eastAsiaTheme="minorEastAsia" w:hAnsiTheme="minorHAnsi" w:cstheme="minorBidi"/>
                  <w:noProof/>
                  <w:color w:val="auto"/>
                  <w:sz w:val="22"/>
                </w:rPr>
              </w:pPr>
              <w:hyperlink w:anchor="_Toc517706658" w:history="1">
                <w:r w:rsidR="00272382" w:rsidRPr="003E204A">
                  <w:rPr>
                    <w:rStyle w:val="Hyperlink"/>
                    <w:noProof/>
                  </w:rPr>
                  <w:t>4.10</w:t>
                </w:r>
                <w:r w:rsidR="00272382">
                  <w:rPr>
                    <w:rFonts w:asciiTheme="minorHAnsi" w:eastAsiaTheme="minorEastAsia" w:hAnsiTheme="minorHAnsi" w:cstheme="minorBidi"/>
                    <w:noProof/>
                    <w:color w:val="auto"/>
                    <w:sz w:val="22"/>
                  </w:rPr>
                  <w:tab/>
                </w:r>
                <w:r w:rsidR="00272382" w:rsidRPr="003E204A">
                  <w:rPr>
                    <w:rStyle w:val="Hyperlink"/>
                    <w:noProof/>
                  </w:rPr>
                  <w:t>Infection</w:t>
                </w:r>
                <w:r w:rsidR="00272382">
                  <w:rPr>
                    <w:noProof/>
                    <w:webHidden/>
                  </w:rPr>
                  <w:tab/>
                </w:r>
                <w:r w:rsidR="00272382">
                  <w:rPr>
                    <w:noProof/>
                    <w:webHidden/>
                  </w:rPr>
                  <w:fldChar w:fldCharType="begin"/>
                </w:r>
                <w:r w:rsidR="00272382">
                  <w:rPr>
                    <w:noProof/>
                    <w:webHidden/>
                  </w:rPr>
                  <w:instrText xml:space="preserve"> PAGEREF _Toc517706658 \h </w:instrText>
                </w:r>
                <w:r w:rsidR="00272382">
                  <w:rPr>
                    <w:noProof/>
                    <w:webHidden/>
                  </w:rPr>
                </w:r>
                <w:r w:rsidR="00272382">
                  <w:rPr>
                    <w:noProof/>
                    <w:webHidden/>
                  </w:rPr>
                  <w:fldChar w:fldCharType="separate"/>
                </w:r>
                <w:r w:rsidR="00272382">
                  <w:rPr>
                    <w:noProof/>
                    <w:webHidden/>
                  </w:rPr>
                  <w:t>61</w:t>
                </w:r>
                <w:r w:rsidR="00272382">
                  <w:rPr>
                    <w:noProof/>
                    <w:webHidden/>
                  </w:rPr>
                  <w:fldChar w:fldCharType="end"/>
                </w:r>
              </w:hyperlink>
            </w:p>
            <w:p w14:paraId="3DB1E643" w14:textId="77777777" w:rsidR="00272382" w:rsidRDefault="00013E76">
              <w:pPr>
                <w:pStyle w:val="TOC3"/>
                <w:rPr>
                  <w:rFonts w:asciiTheme="minorHAnsi" w:eastAsiaTheme="minorEastAsia" w:hAnsiTheme="minorHAnsi" w:cstheme="minorBidi"/>
                  <w:noProof/>
                  <w:color w:val="auto"/>
                  <w:sz w:val="22"/>
                </w:rPr>
              </w:pPr>
              <w:hyperlink w:anchor="_Toc517706659" w:history="1">
                <w:r w:rsidR="00272382" w:rsidRPr="003E204A">
                  <w:rPr>
                    <w:rStyle w:val="Hyperlink"/>
                    <w:noProof/>
                  </w:rPr>
                  <w:t>4.11</w:t>
                </w:r>
                <w:r w:rsidR="00272382">
                  <w:rPr>
                    <w:rFonts w:asciiTheme="minorHAnsi" w:eastAsiaTheme="minorEastAsia" w:hAnsiTheme="minorHAnsi" w:cstheme="minorBidi"/>
                    <w:noProof/>
                    <w:color w:val="auto"/>
                    <w:sz w:val="22"/>
                  </w:rPr>
                  <w:tab/>
                </w:r>
                <w:r w:rsidR="00272382" w:rsidRPr="003E204A">
                  <w:rPr>
                    <w:rStyle w:val="Hyperlink"/>
                    <w:noProof/>
                  </w:rPr>
                  <w:t>Conclusions</w:t>
                </w:r>
                <w:r w:rsidR="00272382">
                  <w:rPr>
                    <w:noProof/>
                    <w:webHidden/>
                  </w:rPr>
                  <w:tab/>
                </w:r>
                <w:r w:rsidR="00272382">
                  <w:rPr>
                    <w:noProof/>
                    <w:webHidden/>
                  </w:rPr>
                  <w:fldChar w:fldCharType="begin"/>
                </w:r>
                <w:r w:rsidR="00272382">
                  <w:rPr>
                    <w:noProof/>
                    <w:webHidden/>
                  </w:rPr>
                  <w:instrText xml:space="preserve"> PAGEREF _Toc517706659 \h </w:instrText>
                </w:r>
                <w:r w:rsidR="00272382">
                  <w:rPr>
                    <w:noProof/>
                    <w:webHidden/>
                  </w:rPr>
                </w:r>
                <w:r w:rsidR="00272382">
                  <w:rPr>
                    <w:noProof/>
                    <w:webHidden/>
                  </w:rPr>
                  <w:fldChar w:fldCharType="separate"/>
                </w:r>
                <w:r w:rsidR="00272382">
                  <w:rPr>
                    <w:noProof/>
                    <w:webHidden/>
                  </w:rPr>
                  <w:t>62</w:t>
                </w:r>
                <w:r w:rsidR="00272382">
                  <w:rPr>
                    <w:noProof/>
                    <w:webHidden/>
                  </w:rPr>
                  <w:fldChar w:fldCharType="end"/>
                </w:r>
              </w:hyperlink>
            </w:p>
            <w:p w14:paraId="6CDB6823" w14:textId="77777777" w:rsidR="00272382" w:rsidRDefault="00013E76">
              <w:pPr>
                <w:pStyle w:val="TOC3"/>
                <w:rPr>
                  <w:rFonts w:asciiTheme="minorHAnsi" w:eastAsiaTheme="minorEastAsia" w:hAnsiTheme="minorHAnsi" w:cstheme="minorBidi"/>
                  <w:noProof/>
                  <w:color w:val="auto"/>
                  <w:sz w:val="22"/>
                </w:rPr>
              </w:pPr>
              <w:hyperlink w:anchor="_Toc517706660" w:history="1">
                <w:r w:rsidR="00272382" w:rsidRPr="003E204A">
                  <w:rPr>
                    <w:rStyle w:val="Hyperlink"/>
                    <w:noProof/>
                  </w:rPr>
                  <w:t>4.12</w:t>
                </w:r>
                <w:r w:rsidR="00272382">
                  <w:rPr>
                    <w:rFonts w:asciiTheme="minorHAnsi" w:eastAsiaTheme="minorEastAsia" w:hAnsiTheme="minorHAnsi" w:cstheme="minorBidi"/>
                    <w:noProof/>
                    <w:color w:val="auto"/>
                    <w:sz w:val="22"/>
                  </w:rPr>
                  <w:tab/>
                </w:r>
                <w:r w:rsidR="00272382" w:rsidRPr="003E204A">
                  <w:rPr>
                    <w:rStyle w:val="Hyperlink"/>
                    <w:noProof/>
                  </w:rPr>
                  <w:t>Key findings</w:t>
                </w:r>
                <w:r w:rsidR="00272382">
                  <w:rPr>
                    <w:noProof/>
                    <w:webHidden/>
                  </w:rPr>
                  <w:tab/>
                </w:r>
                <w:r w:rsidR="00272382">
                  <w:rPr>
                    <w:noProof/>
                    <w:webHidden/>
                  </w:rPr>
                  <w:fldChar w:fldCharType="begin"/>
                </w:r>
                <w:r w:rsidR="00272382">
                  <w:rPr>
                    <w:noProof/>
                    <w:webHidden/>
                  </w:rPr>
                  <w:instrText xml:space="preserve"> PAGEREF _Toc517706660 \h </w:instrText>
                </w:r>
                <w:r w:rsidR="00272382">
                  <w:rPr>
                    <w:noProof/>
                    <w:webHidden/>
                  </w:rPr>
                </w:r>
                <w:r w:rsidR="00272382">
                  <w:rPr>
                    <w:noProof/>
                    <w:webHidden/>
                  </w:rPr>
                  <w:fldChar w:fldCharType="separate"/>
                </w:r>
                <w:r w:rsidR="00272382">
                  <w:rPr>
                    <w:noProof/>
                    <w:webHidden/>
                  </w:rPr>
                  <w:t>62</w:t>
                </w:r>
                <w:r w:rsidR="00272382">
                  <w:rPr>
                    <w:noProof/>
                    <w:webHidden/>
                  </w:rPr>
                  <w:fldChar w:fldCharType="end"/>
                </w:r>
              </w:hyperlink>
            </w:p>
            <w:p w14:paraId="3836F1B7" w14:textId="77777777" w:rsidR="00272382" w:rsidRDefault="00013E76">
              <w:pPr>
                <w:pStyle w:val="TOC2"/>
                <w:rPr>
                  <w:rFonts w:asciiTheme="minorHAnsi" w:eastAsiaTheme="minorEastAsia" w:hAnsiTheme="minorHAnsi" w:cstheme="minorBidi"/>
                  <w:color w:val="auto"/>
                  <w:sz w:val="22"/>
                </w:rPr>
              </w:pPr>
              <w:hyperlink w:anchor="_Toc517706661" w:history="1">
                <w:r w:rsidR="00272382" w:rsidRPr="003E204A">
                  <w:rPr>
                    <w:rStyle w:val="Hyperlink"/>
                    <w14:scene3d>
                      <w14:camera w14:prst="orthographicFront"/>
                      <w14:lightRig w14:rig="threePt" w14:dir="t">
                        <w14:rot w14:lat="0" w14:lon="0" w14:rev="0"/>
                      </w14:lightRig>
                    </w14:scene3d>
                  </w:rPr>
                  <w:t>5</w:t>
                </w:r>
                <w:r w:rsidR="00272382">
                  <w:rPr>
                    <w:rFonts w:asciiTheme="minorHAnsi" w:eastAsiaTheme="minorEastAsia" w:hAnsiTheme="minorHAnsi" w:cstheme="minorBidi"/>
                    <w:color w:val="auto"/>
                    <w:sz w:val="22"/>
                  </w:rPr>
                  <w:tab/>
                </w:r>
                <w:r w:rsidR="00272382" w:rsidRPr="003E204A">
                  <w:rPr>
                    <w:rStyle w:val="Hyperlink"/>
                  </w:rPr>
                  <w:t>In Vitro Studies</w:t>
                </w:r>
                <w:r w:rsidR="00272382">
                  <w:rPr>
                    <w:webHidden/>
                  </w:rPr>
                  <w:tab/>
                </w:r>
                <w:r w:rsidR="00272382">
                  <w:rPr>
                    <w:webHidden/>
                  </w:rPr>
                  <w:fldChar w:fldCharType="begin"/>
                </w:r>
                <w:r w:rsidR="00272382">
                  <w:rPr>
                    <w:webHidden/>
                  </w:rPr>
                  <w:instrText xml:space="preserve"> PAGEREF _Toc517706661 \h </w:instrText>
                </w:r>
                <w:r w:rsidR="00272382">
                  <w:rPr>
                    <w:webHidden/>
                  </w:rPr>
                </w:r>
                <w:r w:rsidR="00272382">
                  <w:rPr>
                    <w:webHidden/>
                  </w:rPr>
                  <w:fldChar w:fldCharType="separate"/>
                </w:r>
                <w:r w:rsidR="00272382">
                  <w:rPr>
                    <w:webHidden/>
                  </w:rPr>
                  <w:t>63</w:t>
                </w:r>
                <w:r w:rsidR="00272382">
                  <w:rPr>
                    <w:webHidden/>
                  </w:rPr>
                  <w:fldChar w:fldCharType="end"/>
                </w:r>
              </w:hyperlink>
            </w:p>
            <w:p w14:paraId="2EE3BBA5" w14:textId="77777777" w:rsidR="00272382" w:rsidRDefault="00013E76">
              <w:pPr>
                <w:pStyle w:val="TOC3"/>
                <w:rPr>
                  <w:rFonts w:asciiTheme="minorHAnsi" w:eastAsiaTheme="minorEastAsia" w:hAnsiTheme="minorHAnsi" w:cstheme="minorBidi"/>
                  <w:noProof/>
                  <w:color w:val="auto"/>
                  <w:sz w:val="22"/>
                </w:rPr>
              </w:pPr>
              <w:hyperlink w:anchor="_Toc517706662" w:history="1">
                <w:r w:rsidR="00272382" w:rsidRPr="003E204A">
                  <w:rPr>
                    <w:rStyle w:val="Hyperlink"/>
                    <w:noProof/>
                  </w:rPr>
                  <w:t>5.1</w:t>
                </w:r>
                <w:r w:rsidR="00272382">
                  <w:rPr>
                    <w:rFonts w:asciiTheme="minorHAnsi" w:eastAsiaTheme="minorEastAsia" w:hAnsiTheme="minorHAnsi" w:cstheme="minorBidi"/>
                    <w:noProof/>
                    <w:color w:val="auto"/>
                    <w:sz w:val="22"/>
                  </w:rPr>
                  <w:tab/>
                </w:r>
                <w:r w:rsidR="00272382" w:rsidRPr="003E204A">
                  <w:rPr>
                    <w:rStyle w:val="Hyperlink"/>
                    <w:noProof/>
                  </w:rPr>
                  <w:t>Introduction</w:t>
                </w:r>
                <w:r w:rsidR="00272382">
                  <w:rPr>
                    <w:noProof/>
                    <w:webHidden/>
                  </w:rPr>
                  <w:tab/>
                </w:r>
                <w:r w:rsidR="00272382">
                  <w:rPr>
                    <w:noProof/>
                    <w:webHidden/>
                  </w:rPr>
                  <w:fldChar w:fldCharType="begin"/>
                </w:r>
                <w:r w:rsidR="00272382">
                  <w:rPr>
                    <w:noProof/>
                    <w:webHidden/>
                  </w:rPr>
                  <w:instrText xml:space="preserve"> PAGEREF _Toc517706662 \h </w:instrText>
                </w:r>
                <w:r w:rsidR="00272382">
                  <w:rPr>
                    <w:noProof/>
                    <w:webHidden/>
                  </w:rPr>
                </w:r>
                <w:r w:rsidR="00272382">
                  <w:rPr>
                    <w:noProof/>
                    <w:webHidden/>
                  </w:rPr>
                  <w:fldChar w:fldCharType="separate"/>
                </w:r>
                <w:r w:rsidR="00272382">
                  <w:rPr>
                    <w:noProof/>
                    <w:webHidden/>
                  </w:rPr>
                  <w:t>63</w:t>
                </w:r>
                <w:r w:rsidR="00272382">
                  <w:rPr>
                    <w:noProof/>
                    <w:webHidden/>
                  </w:rPr>
                  <w:fldChar w:fldCharType="end"/>
                </w:r>
              </w:hyperlink>
            </w:p>
            <w:p w14:paraId="71A26B53" w14:textId="77777777" w:rsidR="00272382" w:rsidRDefault="00013E76">
              <w:pPr>
                <w:pStyle w:val="TOC3"/>
                <w:rPr>
                  <w:rFonts w:asciiTheme="minorHAnsi" w:eastAsiaTheme="minorEastAsia" w:hAnsiTheme="minorHAnsi" w:cstheme="minorBidi"/>
                  <w:noProof/>
                  <w:color w:val="auto"/>
                  <w:sz w:val="22"/>
                </w:rPr>
              </w:pPr>
              <w:hyperlink w:anchor="_Toc517706663" w:history="1">
                <w:r w:rsidR="00272382" w:rsidRPr="003E204A">
                  <w:rPr>
                    <w:rStyle w:val="Hyperlink"/>
                    <w:noProof/>
                  </w:rPr>
                  <w:t>5.2</w:t>
                </w:r>
                <w:r w:rsidR="00272382">
                  <w:rPr>
                    <w:rFonts w:asciiTheme="minorHAnsi" w:eastAsiaTheme="minorEastAsia" w:hAnsiTheme="minorHAnsi" w:cstheme="minorBidi"/>
                    <w:noProof/>
                    <w:color w:val="auto"/>
                    <w:sz w:val="22"/>
                  </w:rPr>
                  <w:tab/>
                </w:r>
                <w:r w:rsidR="00272382" w:rsidRPr="003E204A">
                  <w:rPr>
                    <w:rStyle w:val="Hyperlink"/>
                    <w:noProof/>
                  </w:rPr>
                  <w:t>Toxicology</w:t>
                </w:r>
                <w:r w:rsidR="00272382">
                  <w:rPr>
                    <w:noProof/>
                    <w:webHidden/>
                  </w:rPr>
                  <w:tab/>
                </w:r>
                <w:r w:rsidR="00272382">
                  <w:rPr>
                    <w:noProof/>
                    <w:webHidden/>
                  </w:rPr>
                  <w:fldChar w:fldCharType="begin"/>
                </w:r>
                <w:r w:rsidR="00272382">
                  <w:rPr>
                    <w:noProof/>
                    <w:webHidden/>
                  </w:rPr>
                  <w:instrText xml:space="preserve"> PAGEREF _Toc517706663 \h </w:instrText>
                </w:r>
                <w:r w:rsidR="00272382">
                  <w:rPr>
                    <w:noProof/>
                    <w:webHidden/>
                  </w:rPr>
                </w:r>
                <w:r w:rsidR="00272382">
                  <w:rPr>
                    <w:noProof/>
                    <w:webHidden/>
                  </w:rPr>
                  <w:fldChar w:fldCharType="separate"/>
                </w:r>
                <w:r w:rsidR="00272382">
                  <w:rPr>
                    <w:noProof/>
                    <w:webHidden/>
                  </w:rPr>
                  <w:t>63</w:t>
                </w:r>
                <w:r w:rsidR="00272382">
                  <w:rPr>
                    <w:noProof/>
                    <w:webHidden/>
                  </w:rPr>
                  <w:fldChar w:fldCharType="end"/>
                </w:r>
              </w:hyperlink>
            </w:p>
            <w:p w14:paraId="7EFC4CCE" w14:textId="77777777" w:rsidR="00272382" w:rsidRDefault="00013E76">
              <w:pPr>
                <w:pStyle w:val="TOC3"/>
                <w:rPr>
                  <w:rFonts w:asciiTheme="minorHAnsi" w:eastAsiaTheme="minorEastAsia" w:hAnsiTheme="minorHAnsi" w:cstheme="minorBidi"/>
                  <w:noProof/>
                  <w:color w:val="auto"/>
                  <w:sz w:val="22"/>
                </w:rPr>
              </w:pPr>
              <w:hyperlink w:anchor="_Toc517706664" w:history="1">
                <w:r w:rsidR="00272382" w:rsidRPr="003E204A">
                  <w:rPr>
                    <w:rStyle w:val="Hyperlink"/>
                    <w:noProof/>
                  </w:rPr>
                  <w:t>5.3</w:t>
                </w:r>
                <w:r w:rsidR="00272382">
                  <w:rPr>
                    <w:rFonts w:asciiTheme="minorHAnsi" w:eastAsiaTheme="minorEastAsia" w:hAnsiTheme="minorHAnsi" w:cstheme="minorBidi"/>
                    <w:noProof/>
                    <w:color w:val="auto"/>
                    <w:sz w:val="22"/>
                  </w:rPr>
                  <w:tab/>
                </w:r>
                <w:r w:rsidR="00272382" w:rsidRPr="003E204A">
                  <w:rPr>
                    <w:rStyle w:val="Hyperlink"/>
                    <w:noProof/>
                  </w:rPr>
                  <w:t>Oxidative stress</w:t>
                </w:r>
                <w:r w:rsidR="00272382">
                  <w:rPr>
                    <w:noProof/>
                    <w:webHidden/>
                  </w:rPr>
                  <w:tab/>
                </w:r>
                <w:r w:rsidR="00272382">
                  <w:rPr>
                    <w:noProof/>
                    <w:webHidden/>
                  </w:rPr>
                  <w:fldChar w:fldCharType="begin"/>
                </w:r>
                <w:r w:rsidR="00272382">
                  <w:rPr>
                    <w:noProof/>
                    <w:webHidden/>
                  </w:rPr>
                  <w:instrText xml:space="preserve"> PAGEREF _Toc517706664 \h </w:instrText>
                </w:r>
                <w:r w:rsidR="00272382">
                  <w:rPr>
                    <w:noProof/>
                    <w:webHidden/>
                  </w:rPr>
                </w:r>
                <w:r w:rsidR="00272382">
                  <w:rPr>
                    <w:noProof/>
                    <w:webHidden/>
                  </w:rPr>
                  <w:fldChar w:fldCharType="separate"/>
                </w:r>
                <w:r w:rsidR="00272382">
                  <w:rPr>
                    <w:noProof/>
                    <w:webHidden/>
                  </w:rPr>
                  <w:t>65</w:t>
                </w:r>
                <w:r w:rsidR="00272382">
                  <w:rPr>
                    <w:noProof/>
                    <w:webHidden/>
                  </w:rPr>
                  <w:fldChar w:fldCharType="end"/>
                </w:r>
              </w:hyperlink>
            </w:p>
            <w:p w14:paraId="301B6C34" w14:textId="77777777" w:rsidR="00272382" w:rsidRDefault="00013E76">
              <w:pPr>
                <w:pStyle w:val="TOC3"/>
                <w:rPr>
                  <w:rFonts w:asciiTheme="minorHAnsi" w:eastAsiaTheme="minorEastAsia" w:hAnsiTheme="minorHAnsi" w:cstheme="minorBidi"/>
                  <w:noProof/>
                  <w:color w:val="auto"/>
                  <w:sz w:val="22"/>
                </w:rPr>
              </w:pPr>
              <w:hyperlink w:anchor="_Toc517706665" w:history="1">
                <w:r w:rsidR="00272382" w:rsidRPr="003E204A">
                  <w:rPr>
                    <w:rStyle w:val="Hyperlink"/>
                    <w:noProof/>
                  </w:rPr>
                  <w:t>5.4</w:t>
                </w:r>
                <w:r w:rsidR="00272382">
                  <w:rPr>
                    <w:rFonts w:asciiTheme="minorHAnsi" w:eastAsiaTheme="minorEastAsia" w:hAnsiTheme="minorHAnsi" w:cstheme="minorBidi"/>
                    <w:noProof/>
                    <w:color w:val="auto"/>
                    <w:sz w:val="22"/>
                  </w:rPr>
                  <w:tab/>
                </w:r>
                <w:r w:rsidR="00272382" w:rsidRPr="003E204A">
                  <w:rPr>
                    <w:rStyle w:val="Hyperlink"/>
                    <w:noProof/>
                  </w:rPr>
                  <w:t>Inflammatory and infectious response</w:t>
                </w:r>
                <w:r w:rsidR="00272382">
                  <w:rPr>
                    <w:noProof/>
                    <w:webHidden/>
                  </w:rPr>
                  <w:tab/>
                </w:r>
                <w:r w:rsidR="00272382">
                  <w:rPr>
                    <w:noProof/>
                    <w:webHidden/>
                  </w:rPr>
                  <w:fldChar w:fldCharType="begin"/>
                </w:r>
                <w:r w:rsidR="00272382">
                  <w:rPr>
                    <w:noProof/>
                    <w:webHidden/>
                  </w:rPr>
                  <w:instrText xml:space="preserve"> PAGEREF _Toc517706665 \h </w:instrText>
                </w:r>
                <w:r w:rsidR="00272382">
                  <w:rPr>
                    <w:noProof/>
                    <w:webHidden/>
                  </w:rPr>
                </w:r>
                <w:r w:rsidR="00272382">
                  <w:rPr>
                    <w:noProof/>
                    <w:webHidden/>
                  </w:rPr>
                  <w:fldChar w:fldCharType="separate"/>
                </w:r>
                <w:r w:rsidR="00272382">
                  <w:rPr>
                    <w:noProof/>
                    <w:webHidden/>
                  </w:rPr>
                  <w:t>66</w:t>
                </w:r>
                <w:r w:rsidR="00272382">
                  <w:rPr>
                    <w:noProof/>
                    <w:webHidden/>
                  </w:rPr>
                  <w:fldChar w:fldCharType="end"/>
                </w:r>
              </w:hyperlink>
            </w:p>
            <w:p w14:paraId="2712D9FD" w14:textId="77777777" w:rsidR="00272382" w:rsidRDefault="00013E76">
              <w:pPr>
                <w:pStyle w:val="TOC3"/>
                <w:rPr>
                  <w:rFonts w:asciiTheme="minorHAnsi" w:eastAsiaTheme="minorEastAsia" w:hAnsiTheme="minorHAnsi" w:cstheme="minorBidi"/>
                  <w:noProof/>
                  <w:color w:val="auto"/>
                  <w:sz w:val="22"/>
                </w:rPr>
              </w:pPr>
              <w:hyperlink w:anchor="_Toc517706666" w:history="1">
                <w:r w:rsidR="00272382" w:rsidRPr="003E204A">
                  <w:rPr>
                    <w:rStyle w:val="Hyperlink"/>
                    <w:noProof/>
                  </w:rPr>
                  <w:t>5.5</w:t>
                </w:r>
                <w:r w:rsidR="00272382">
                  <w:rPr>
                    <w:rFonts w:asciiTheme="minorHAnsi" w:eastAsiaTheme="minorEastAsia" w:hAnsiTheme="minorHAnsi" w:cstheme="minorBidi"/>
                    <w:noProof/>
                    <w:color w:val="auto"/>
                    <w:sz w:val="22"/>
                  </w:rPr>
                  <w:tab/>
                </w:r>
                <w:r w:rsidR="00272382" w:rsidRPr="003E204A">
                  <w:rPr>
                    <w:rStyle w:val="Hyperlink"/>
                    <w:noProof/>
                  </w:rPr>
                  <w:t>Gene alterations</w:t>
                </w:r>
                <w:r w:rsidR="00272382">
                  <w:rPr>
                    <w:noProof/>
                    <w:webHidden/>
                  </w:rPr>
                  <w:tab/>
                </w:r>
                <w:r w:rsidR="00272382">
                  <w:rPr>
                    <w:noProof/>
                    <w:webHidden/>
                  </w:rPr>
                  <w:fldChar w:fldCharType="begin"/>
                </w:r>
                <w:r w:rsidR="00272382">
                  <w:rPr>
                    <w:noProof/>
                    <w:webHidden/>
                  </w:rPr>
                  <w:instrText xml:space="preserve"> PAGEREF _Toc517706666 \h </w:instrText>
                </w:r>
                <w:r w:rsidR="00272382">
                  <w:rPr>
                    <w:noProof/>
                    <w:webHidden/>
                  </w:rPr>
                </w:r>
                <w:r w:rsidR="00272382">
                  <w:rPr>
                    <w:noProof/>
                    <w:webHidden/>
                  </w:rPr>
                  <w:fldChar w:fldCharType="separate"/>
                </w:r>
                <w:r w:rsidR="00272382">
                  <w:rPr>
                    <w:noProof/>
                    <w:webHidden/>
                  </w:rPr>
                  <w:t>69</w:t>
                </w:r>
                <w:r w:rsidR="00272382">
                  <w:rPr>
                    <w:noProof/>
                    <w:webHidden/>
                  </w:rPr>
                  <w:fldChar w:fldCharType="end"/>
                </w:r>
              </w:hyperlink>
            </w:p>
            <w:p w14:paraId="1941833F" w14:textId="77777777" w:rsidR="00272382" w:rsidRDefault="00013E76">
              <w:pPr>
                <w:pStyle w:val="TOC3"/>
                <w:rPr>
                  <w:rFonts w:asciiTheme="minorHAnsi" w:eastAsiaTheme="minorEastAsia" w:hAnsiTheme="minorHAnsi" w:cstheme="minorBidi"/>
                  <w:noProof/>
                  <w:color w:val="auto"/>
                  <w:sz w:val="22"/>
                </w:rPr>
              </w:pPr>
              <w:hyperlink w:anchor="_Toc517706667" w:history="1">
                <w:r w:rsidR="00272382" w:rsidRPr="003E204A">
                  <w:rPr>
                    <w:rStyle w:val="Hyperlink"/>
                    <w:noProof/>
                  </w:rPr>
                  <w:t>5.6</w:t>
                </w:r>
                <w:r w:rsidR="00272382">
                  <w:rPr>
                    <w:rFonts w:asciiTheme="minorHAnsi" w:eastAsiaTheme="minorEastAsia" w:hAnsiTheme="minorHAnsi" w:cstheme="minorBidi"/>
                    <w:noProof/>
                    <w:color w:val="auto"/>
                    <w:sz w:val="22"/>
                  </w:rPr>
                  <w:tab/>
                </w:r>
                <w:r w:rsidR="00272382" w:rsidRPr="003E204A">
                  <w:rPr>
                    <w:rStyle w:val="Hyperlink"/>
                    <w:noProof/>
                  </w:rPr>
                  <w:t>Lung function</w:t>
                </w:r>
                <w:r w:rsidR="00272382">
                  <w:rPr>
                    <w:noProof/>
                    <w:webHidden/>
                  </w:rPr>
                  <w:tab/>
                </w:r>
                <w:r w:rsidR="00272382">
                  <w:rPr>
                    <w:noProof/>
                    <w:webHidden/>
                  </w:rPr>
                  <w:fldChar w:fldCharType="begin"/>
                </w:r>
                <w:r w:rsidR="00272382">
                  <w:rPr>
                    <w:noProof/>
                    <w:webHidden/>
                  </w:rPr>
                  <w:instrText xml:space="preserve"> PAGEREF _Toc517706667 \h </w:instrText>
                </w:r>
                <w:r w:rsidR="00272382">
                  <w:rPr>
                    <w:noProof/>
                    <w:webHidden/>
                  </w:rPr>
                </w:r>
                <w:r w:rsidR="00272382">
                  <w:rPr>
                    <w:noProof/>
                    <w:webHidden/>
                  </w:rPr>
                  <w:fldChar w:fldCharType="separate"/>
                </w:r>
                <w:r w:rsidR="00272382">
                  <w:rPr>
                    <w:noProof/>
                    <w:webHidden/>
                  </w:rPr>
                  <w:t>70</w:t>
                </w:r>
                <w:r w:rsidR="00272382">
                  <w:rPr>
                    <w:noProof/>
                    <w:webHidden/>
                  </w:rPr>
                  <w:fldChar w:fldCharType="end"/>
                </w:r>
              </w:hyperlink>
            </w:p>
            <w:p w14:paraId="0154D48B" w14:textId="77777777" w:rsidR="00272382" w:rsidRDefault="00013E76">
              <w:pPr>
                <w:pStyle w:val="TOC3"/>
                <w:rPr>
                  <w:rFonts w:asciiTheme="minorHAnsi" w:eastAsiaTheme="minorEastAsia" w:hAnsiTheme="minorHAnsi" w:cstheme="minorBidi"/>
                  <w:noProof/>
                  <w:color w:val="auto"/>
                  <w:sz w:val="22"/>
                </w:rPr>
              </w:pPr>
              <w:hyperlink w:anchor="_Toc517706668" w:history="1">
                <w:r w:rsidR="00272382" w:rsidRPr="003E204A">
                  <w:rPr>
                    <w:rStyle w:val="Hyperlink"/>
                    <w:noProof/>
                  </w:rPr>
                  <w:t>5.7</w:t>
                </w:r>
                <w:r w:rsidR="00272382">
                  <w:rPr>
                    <w:rFonts w:asciiTheme="minorHAnsi" w:eastAsiaTheme="minorEastAsia" w:hAnsiTheme="minorHAnsi" w:cstheme="minorBidi"/>
                    <w:noProof/>
                    <w:color w:val="auto"/>
                    <w:sz w:val="22"/>
                  </w:rPr>
                  <w:tab/>
                </w:r>
                <w:r w:rsidR="00272382" w:rsidRPr="003E204A">
                  <w:rPr>
                    <w:rStyle w:val="Hyperlink"/>
                    <w:noProof/>
                  </w:rPr>
                  <w:t>Risk of disease</w:t>
                </w:r>
                <w:r w:rsidR="00272382">
                  <w:rPr>
                    <w:noProof/>
                    <w:webHidden/>
                  </w:rPr>
                  <w:tab/>
                </w:r>
                <w:r w:rsidR="00272382">
                  <w:rPr>
                    <w:noProof/>
                    <w:webHidden/>
                  </w:rPr>
                  <w:fldChar w:fldCharType="begin"/>
                </w:r>
                <w:r w:rsidR="00272382">
                  <w:rPr>
                    <w:noProof/>
                    <w:webHidden/>
                  </w:rPr>
                  <w:instrText xml:space="preserve"> PAGEREF _Toc517706668 \h </w:instrText>
                </w:r>
                <w:r w:rsidR="00272382">
                  <w:rPr>
                    <w:noProof/>
                    <w:webHidden/>
                  </w:rPr>
                </w:r>
                <w:r w:rsidR="00272382">
                  <w:rPr>
                    <w:noProof/>
                    <w:webHidden/>
                  </w:rPr>
                  <w:fldChar w:fldCharType="separate"/>
                </w:r>
                <w:r w:rsidR="00272382">
                  <w:rPr>
                    <w:noProof/>
                    <w:webHidden/>
                  </w:rPr>
                  <w:t>72</w:t>
                </w:r>
                <w:r w:rsidR="00272382">
                  <w:rPr>
                    <w:noProof/>
                    <w:webHidden/>
                  </w:rPr>
                  <w:fldChar w:fldCharType="end"/>
                </w:r>
              </w:hyperlink>
            </w:p>
            <w:p w14:paraId="2E6A8501" w14:textId="77777777" w:rsidR="00272382" w:rsidRDefault="00013E76">
              <w:pPr>
                <w:pStyle w:val="TOC3"/>
                <w:rPr>
                  <w:rFonts w:asciiTheme="minorHAnsi" w:eastAsiaTheme="minorEastAsia" w:hAnsiTheme="minorHAnsi" w:cstheme="minorBidi"/>
                  <w:noProof/>
                  <w:color w:val="auto"/>
                  <w:sz w:val="22"/>
                </w:rPr>
              </w:pPr>
              <w:hyperlink w:anchor="_Toc517706669" w:history="1">
                <w:r w:rsidR="00272382" w:rsidRPr="003E204A">
                  <w:rPr>
                    <w:rStyle w:val="Hyperlink"/>
                    <w:noProof/>
                  </w:rPr>
                  <w:t>5.8</w:t>
                </w:r>
                <w:r w:rsidR="00272382">
                  <w:rPr>
                    <w:rFonts w:asciiTheme="minorHAnsi" w:eastAsiaTheme="minorEastAsia" w:hAnsiTheme="minorHAnsi" w:cstheme="minorBidi"/>
                    <w:noProof/>
                    <w:color w:val="auto"/>
                    <w:sz w:val="22"/>
                  </w:rPr>
                  <w:tab/>
                </w:r>
                <w:r w:rsidR="00272382" w:rsidRPr="003E204A">
                  <w:rPr>
                    <w:rStyle w:val="Hyperlink"/>
                    <w:noProof/>
                  </w:rPr>
                  <w:t>Conclusions</w:t>
                </w:r>
                <w:r w:rsidR="00272382">
                  <w:rPr>
                    <w:noProof/>
                    <w:webHidden/>
                  </w:rPr>
                  <w:tab/>
                </w:r>
                <w:r w:rsidR="00272382">
                  <w:rPr>
                    <w:noProof/>
                    <w:webHidden/>
                  </w:rPr>
                  <w:fldChar w:fldCharType="begin"/>
                </w:r>
                <w:r w:rsidR="00272382">
                  <w:rPr>
                    <w:noProof/>
                    <w:webHidden/>
                  </w:rPr>
                  <w:instrText xml:space="preserve"> PAGEREF _Toc517706669 \h </w:instrText>
                </w:r>
                <w:r w:rsidR="00272382">
                  <w:rPr>
                    <w:noProof/>
                    <w:webHidden/>
                  </w:rPr>
                </w:r>
                <w:r w:rsidR="00272382">
                  <w:rPr>
                    <w:noProof/>
                    <w:webHidden/>
                  </w:rPr>
                  <w:fldChar w:fldCharType="separate"/>
                </w:r>
                <w:r w:rsidR="00272382">
                  <w:rPr>
                    <w:noProof/>
                    <w:webHidden/>
                  </w:rPr>
                  <w:t>73</w:t>
                </w:r>
                <w:r w:rsidR="00272382">
                  <w:rPr>
                    <w:noProof/>
                    <w:webHidden/>
                  </w:rPr>
                  <w:fldChar w:fldCharType="end"/>
                </w:r>
              </w:hyperlink>
            </w:p>
            <w:p w14:paraId="477D4D28" w14:textId="77777777" w:rsidR="00272382" w:rsidRDefault="00013E76">
              <w:pPr>
                <w:pStyle w:val="TOC3"/>
                <w:rPr>
                  <w:rFonts w:asciiTheme="minorHAnsi" w:eastAsiaTheme="minorEastAsia" w:hAnsiTheme="minorHAnsi" w:cstheme="minorBidi"/>
                  <w:noProof/>
                  <w:color w:val="auto"/>
                  <w:sz w:val="22"/>
                </w:rPr>
              </w:pPr>
              <w:hyperlink w:anchor="_Toc517706670" w:history="1">
                <w:r w:rsidR="00272382" w:rsidRPr="003E204A">
                  <w:rPr>
                    <w:rStyle w:val="Hyperlink"/>
                    <w:noProof/>
                  </w:rPr>
                  <w:t>5.9</w:t>
                </w:r>
                <w:r w:rsidR="00272382">
                  <w:rPr>
                    <w:rFonts w:asciiTheme="minorHAnsi" w:eastAsiaTheme="minorEastAsia" w:hAnsiTheme="minorHAnsi" w:cstheme="minorBidi"/>
                    <w:noProof/>
                    <w:color w:val="auto"/>
                    <w:sz w:val="22"/>
                  </w:rPr>
                  <w:tab/>
                </w:r>
                <w:r w:rsidR="00272382" w:rsidRPr="003E204A">
                  <w:rPr>
                    <w:rStyle w:val="Hyperlink"/>
                    <w:noProof/>
                  </w:rPr>
                  <w:t>Key findings</w:t>
                </w:r>
                <w:r w:rsidR="00272382">
                  <w:rPr>
                    <w:noProof/>
                    <w:webHidden/>
                  </w:rPr>
                  <w:tab/>
                </w:r>
                <w:r w:rsidR="00272382">
                  <w:rPr>
                    <w:noProof/>
                    <w:webHidden/>
                  </w:rPr>
                  <w:fldChar w:fldCharType="begin"/>
                </w:r>
                <w:r w:rsidR="00272382">
                  <w:rPr>
                    <w:noProof/>
                    <w:webHidden/>
                  </w:rPr>
                  <w:instrText xml:space="preserve"> PAGEREF _Toc517706670 \h </w:instrText>
                </w:r>
                <w:r w:rsidR="00272382">
                  <w:rPr>
                    <w:noProof/>
                    <w:webHidden/>
                  </w:rPr>
                </w:r>
                <w:r w:rsidR="00272382">
                  <w:rPr>
                    <w:noProof/>
                    <w:webHidden/>
                  </w:rPr>
                  <w:fldChar w:fldCharType="separate"/>
                </w:r>
                <w:r w:rsidR="00272382">
                  <w:rPr>
                    <w:noProof/>
                    <w:webHidden/>
                  </w:rPr>
                  <w:t>73</w:t>
                </w:r>
                <w:r w:rsidR="00272382">
                  <w:rPr>
                    <w:noProof/>
                    <w:webHidden/>
                  </w:rPr>
                  <w:fldChar w:fldCharType="end"/>
                </w:r>
              </w:hyperlink>
            </w:p>
            <w:p w14:paraId="2D05DC0D" w14:textId="77777777" w:rsidR="00272382" w:rsidRDefault="00013E76">
              <w:pPr>
                <w:pStyle w:val="TOC2"/>
                <w:rPr>
                  <w:rFonts w:asciiTheme="minorHAnsi" w:eastAsiaTheme="minorEastAsia" w:hAnsiTheme="minorHAnsi" w:cstheme="minorBidi"/>
                  <w:color w:val="auto"/>
                  <w:sz w:val="22"/>
                </w:rPr>
              </w:pPr>
              <w:hyperlink w:anchor="_Toc517706671" w:history="1">
                <w:r w:rsidR="00272382" w:rsidRPr="003E204A">
                  <w:rPr>
                    <w:rStyle w:val="Hyperlink"/>
                    <w14:scene3d>
                      <w14:camera w14:prst="orthographicFront"/>
                      <w14:lightRig w14:rig="threePt" w14:dir="t">
                        <w14:rot w14:lat="0" w14:lon="0" w14:rev="0"/>
                      </w14:lightRig>
                    </w14:scene3d>
                  </w:rPr>
                  <w:t>6</w:t>
                </w:r>
                <w:r w:rsidR="00272382">
                  <w:rPr>
                    <w:rFonts w:asciiTheme="minorHAnsi" w:eastAsiaTheme="minorEastAsia" w:hAnsiTheme="minorHAnsi" w:cstheme="minorBidi"/>
                    <w:color w:val="auto"/>
                    <w:sz w:val="22"/>
                  </w:rPr>
                  <w:tab/>
                </w:r>
                <w:r w:rsidR="00272382" w:rsidRPr="003E204A">
                  <w:rPr>
                    <w:rStyle w:val="Hyperlink"/>
                  </w:rPr>
                  <w:t>Modelling studies</w:t>
                </w:r>
                <w:r w:rsidR="00272382">
                  <w:rPr>
                    <w:webHidden/>
                  </w:rPr>
                  <w:tab/>
                </w:r>
                <w:r w:rsidR="00272382">
                  <w:rPr>
                    <w:webHidden/>
                  </w:rPr>
                  <w:fldChar w:fldCharType="begin"/>
                </w:r>
                <w:r w:rsidR="00272382">
                  <w:rPr>
                    <w:webHidden/>
                  </w:rPr>
                  <w:instrText xml:space="preserve"> PAGEREF _Toc517706671 \h </w:instrText>
                </w:r>
                <w:r w:rsidR="00272382">
                  <w:rPr>
                    <w:webHidden/>
                  </w:rPr>
                </w:r>
                <w:r w:rsidR="00272382">
                  <w:rPr>
                    <w:webHidden/>
                  </w:rPr>
                  <w:fldChar w:fldCharType="separate"/>
                </w:r>
                <w:r w:rsidR="00272382">
                  <w:rPr>
                    <w:webHidden/>
                  </w:rPr>
                  <w:t>74</w:t>
                </w:r>
                <w:r w:rsidR="00272382">
                  <w:rPr>
                    <w:webHidden/>
                  </w:rPr>
                  <w:fldChar w:fldCharType="end"/>
                </w:r>
              </w:hyperlink>
            </w:p>
            <w:p w14:paraId="54D798B7" w14:textId="77777777" w:rsidR="00272382" w:rsidRDefault="00013E76">
              <w:pPr>
                <w:pStyle w:val="TOC3"/>
                <w:rPr>
                  <w:rFonts w:asciiTheme="minorHAnsi" w:eastAsiaTheme="minorEastAsia" w:hAnsiTheme="minorHAnsi" w:cstheme="minorBidi"/>
                  <w:noProof/>
                  <w:color w:val="auto"/>
                  <w:sz w:val="22"/>
                </w:rPr>
              </w:pPr>
              <w:hyperlink w:anchor="_Toc517706672" w:history="1">
                <w:r w:rsidR="00272382" w:rsidRPr="003E204A">
                  <w:rPr>
                    <w:rStyle w:val="Hyperlink"/>
                    <w:noProof/>
                  </w:rPr>
                  <w:t>6.1</w:t>
                </w:r>
                <w:r w:rsidR="00272382">
                  <w:rPr>
                    <w:rFonts w:asciiTheme="minorHAnsi" w:eastAsiaTheme="minorEastAsia" w:hAnsiTheme="minorHAnsi" w:cstheme="minorBidi"/>
                    <w:noProof/>
                    <w:color w:val="auto"/>
                    <w:sz w:val="22"/>
                  </w:rPr>
                  <w:tab/>
                </w:r>
                <w:r w:rsidR="00272382" w:rsidRPr="003E204A">
                  <w:rPr>
                    <w:rStyle w:val="Hyperlink"/>
                    <w:noProof/>
                  </w:rPr>
                  <w:t>Results of modelling studies</w:t>
                </w:r>
                <w:r w:rsidR="00272382">
                  <w:rPr>
                    <w:noProof/>
                    <w:webHidden/>
                  </w:rPr>
                  <w:tab/>
                </w:r>
                <w:r w:rsidR="00272382">
                  <w:rPr>
                    <w:noProof/>
                    <w:webHidden/>
                  </w:rPr>
                  <w:fldChar w:fldCharType="begin"/>
                </w:r>
                <w:r w:rsidR="00272382">
                  <w:rPr>
                    <w:noProof/>
                    <w:webHidden/>
                  </w:rPr>
                  <w:instrText xml:space="preserve"> PAGEREF _Toc517706672 \h </w:instrText>
                </w:r>
                <w:r w:rsidR="00272382">
                  <w:rPr>
                    <w:noProof/>
                    <w:webHidden/>
                  </w:rPr>
                </w:r>
                <w:r w:rsidR="00272382">
                  <w:rPr>
                    <w:noProof/>
                    <w:webHidden/>
                  </w:rPr>
                  <w:fldChar w:fldCharType="separate"/>
                </w:r>
                <w:r w:rsidR="00272382">
                  <w:rPr>
                    <w:noProof/>
                    <w:webHidden/>
                  </w:rPr>
                  <w:t>74</w:t>
                </w:r>
                <w:r w:rsidR="00272382">
                  <w:rPr>
                    <w:noProof/>
                    <w:webHidden/>
                  </w:rPr>
                  <w:fldChar w:fldCharType="end"/>
                </w:r>
              </w:hyperlink>
            </w:p>
            <w:p w14:paraId="6E0A94F2" w14:textId="77777777" w:rsidR="00272382" w:rsidRDefault="00013E76">
              <w:pPr>
                <w:pStyle w:val="TOC3"/>
                <w:rPr>
                  <w:rFonts w:asciiTheme="minorHAnsi" w:eastAsiaTheme="minorEastAsia" w:hAnsiTheme="minorHAnsi" w:cstheme="minorBidi"/>
                  <w:noProof/>
                  <w:color w:val="auto"/>
                  <w:sz w:val="22"/>
                </w:rPr>
              </w:pPr>
              <w:hyperlink w:anchor="_Toc517706673" w:history="1">
                <w:r w:rsidR="00272382" w:rsidRPr="003E204A">
                  <w:rPr>
                    <w:rStyle w:val="Hyperlink"/>
                    <w:noProof/>
                  </w:rPr>
                  <w:t>6.2</w:t>
                </w:r>
                <w:r w:rsidR="00272382">
                  <w:rPr>
                    <w:rFonts w:asciiTheme="minorHAnsi" w:eastAsiaTheme="minorEastAsia" w:hAnsiTheme="minorHAnsi" w:cstheme="minorBidi"/>
                    <w:noProof/>
                    <w:color w:val="auto"/>
                    <w:sz w:val="22"/>
                  </w:rPr>
                  <w:tab/>
                </w:r>
                <w:r w:rsidR="00272382" w:rsidRPr="003E204A">
                  <w:rPr>
                    <w:rStyle w:val="Hyperlink"/>
                    <w:noProof/>
                  </w:rPr>
                  <w:t>Key findings</w:t>
                </w:r>
                <w:r w:rsidR="00272382">
                  <w:rPr>
                    <w:noProof/>
                    <w:webHidden/>
                  </w:rPr>
                  <w:tab/>
                </w:r>
                <w:r w:rsidR="00272382">
                  <w:rPr>
                    <w:noProof/>
                    <w:webHidden/>
                  </w:rPr>
                  <w:fldChar w:fldCharType="begin"/>
                </w:r>
                <w:r w:rsidR="00272382">
                  <w:rPr>
                    <w:noProof/>
                    <w:webHidden/>
                  </w:rPr>
                  <w:instrText xml:space="preserve"> PAGEREF _Toc517706673 \h </w:instrText>
                </w:r>
                <w:r w:rsidR="00272382">
                  <w:rPr>
                    <w:noProof/>
                    <w:webHidden/>
                  </w:rPr>
                </w:r>
                <w:r w:rsidR="00272382">
                  <w:rPr>
                    <w:noProof/>
                    <w:webHidden/>
                  </w:rPr>
                  <w:fldChar w:fldCharType="separate"/>
                </w:r>
                <w:r w:rsidR="00272382">
                  <w:rPr>
                    <w:noProof/>
                    <w:webHidden/>
                  </w:rPr>
                  <w:t>75</w:t>
                </w:r>
                <w:r w:rsidR="00272382">
                  <w:rPr>
                    <w:noProof/>
                    <w:webHidden/>
                  </w:rPr>
                  <w:fldChar w:fldCharType="end"/>
                </w:r>
              </w:hyperlink>
            </w:p>
            <w:p w14:paraId="2700FA68" w14:textId="25861404" w:rsidR="00272382" w:rsidRDefault="00013E76">
              <w:pPr>
                <w:pStyle w:val="TOC2"/>
                <w:rPr>
                  <w:rFonts w:asciiTheme="minorHAnsi" w:eastAsiaTheme="minorEastAsia" w:hAnsiTheme="minorHAnsi" w:cstheme="minorBidi"/>
                  <w:color w:val="auto"/>
                  <w:sz w:val="22"/>
                </w:rPr>
              </w:pPr>
              <w:hyperlink w:anchor="_Toc517706674" w:history="1">
                <w:r w:rsidR="00272382" w:rsidRPr="003E204A">
                  <w:rPr>
                    <w:rStyle w:val="Hyperlink"/>
                    <w14:scene3d>
                      <w14:camera w14:prst="orthographicFront"/>
                      <w14:lightRig w14:rig="threePt" w14:dir="t">
                        <w14:rot w14:lat="0" w14:lon="0" w14:rev="0"/>
                      </w14:lightRig>
                    </w14:scene3d>
                  </w:rPr>
                  <w:t>7</w:t>
                </w:r>
                <w:r w:rsidR="00272382">
                  <w:rPr>
                    <w:rFonts w:asciiTheme="minorHAnsi" w:eastAsiaTheme="minorEastAsia" w:hAnsiTheme="minorHAnsi" w:cstheme="minorBidi"/>
                    <w:color w:val="auto"/>
                    <w:sz w:val="22"/>
                  </w:rPr>
                  <w:tab/>
                </w:r>
                <w:r w:rsidR="00272382" w:rsidRPr="003E204A">
                  <w:rPr>
                    <w:rStyle w:val="Hyperlink"/>
                  </w:rPr>
                  <w:t>Tables</w:t>
                </w:r>
                <w:r w:rsidR="00272382">
                  <w:rPr>
                    <w:webHidden/>
                  </w:rPr>
                  <w:tab/>
                </w:r>
                <w:r w:rsidR="00272382">
                  <w:rPr>
                    <w:webHidden/>
                  </w:rPr>
                  <w:tab/>
                </w:r>
                <w:r w:rsidR="00272382">
                  <w:rPr>
                    <w:webHidden/>
                  </w:rPr>
                  <w:fldChar w:fldCharType="begin"/>
                </w:r>
                <w:r w:rsidR="00272382">
                  <w:rPr>
                    <w:webHidden/>
                  </w:rPr>
                  <w:instrText xml:space="preserve"> PAGEREF _Toc517706674 \h </w:instrText>
                </w:r>
                <w:r w:rsidR="00272382">
                  <w:rPr>
                    <w:webHidden/>
                  </w:rPr>
                </w:r>
                <w:r w:rsidR="00272382">
                  <w:rPr>
                    <w:webHidden/>
                  </w:rPr>
                  <w:fldChar w:fldCharType="separate"/>
                </w:r>
                <w:r w:rsidR="00272382">
                  <w:rPr>
                    <w:webHidden/>
                  </w:rPr>
                  <w:t>76</w:t>
                </w:r>
                <w:r w:rsidR="00272382">
                  <w:rPr>
                    <w:webHidden/>
                  </w:rPr>
                  <w:fldChar w:fldCharType="end"/>
                </w:r>
              </w:hyperlink>
            </w:p>
            <w:p w14:paraId="6B93303C" w14:textId="77777777" w:rsidR="00272382" w:rsidRDefault="00013E76">
              <w:pPr>
                <w:pStyle w:val="TOC1"/>
                <w:rPr>
                  <w:rFonts w:asciiTheme="minorHAnsi" w:eastAsiaTheme="minorEastAsia" w:hAnsiTheme="minorHAnsi" w:cstheme="minorBidi"/>
                  <w:b w:val="0"/>
                  <w:color w:val="auto"/>
                  <w:sz w:val="22"/>
                </w:rPr>
              </w:pPr>
              <w:hyperlink w:anchor="_Toc517706675" w:history="1">
                <w:r w:rsidR="00272382" w:rsidRPr="003E204A">
                  <w:rPr>
                    <w:rStyle w:val="Hyperlink"/>
                  </w:rPr>
                  <w:t>PART 2: Impact of e</w:t>
                </w:r>
                <w:r w:rsidR="00272382" w:rsidRPr="003E204A">
                  <w:rPr>
                    <w:rStyle w:val="Hyperlink"/>
                  </w:rPr>
                  <w:noBreakHyphen/>
                  <w:t>cigarettes and personal vaporisers on smoking tobacco</w:t>
                </w:r>
                <w:r w:rsidR="00272382">
                  <w:rPr>
                    <w:webHidden/>
                  </w:rPr>
                  <w:tab/>
                </w:r>
                <w:r w:rsidR="00272382">
                  <w:rPr>
                    <w:webHidden/>
                  </w:rPr>
                  <w:fldChar w:fldCharType="begin"/>
                </w:r>
                <w:r w:rsidR="00272382">
                  <w:rPr>
                    <w:webHidden/>
                  </w:rPr>
                  <w:instrText xml:space="preserve"> PAGEREF _Toc517706675 \h </w:instrText>
                </w:r>
                <w:r w:rsidR="00272382">
                  <w:rPr>
                    <w:webHidden/>
                  </w:rPr>
                </w:r>
                <w:r w:rsidR="00272382">
                  <w:rPr>
                    <w:webHidden/>
                  </w:rPr>
                  <w:fldChar w:fldCharType="separate"/>
                </w:r>
                <w:r w:rsidR="00272382">
                  <w:rPr>
                    <w:webHidden/>
                  </w:rPr>
                  <w:t>106</w:t>
                </w:r>
                <w:r w:rsidR="00272382">
                  <w:rPr>
                    <w:webHidden/>
                  </w:rPr>
                  <w:fldChar w:fldCharType="end"/>
                </w:r>
              </w:hyperlink>
            </w:p>
            <w:p w14:paraId="08AE6071" w14:textId="77777777" w:rsidR="00272382" w:rsidRDefault="00013E76">
              <w:pPr>
                <w:pStyle w:val="TOC2"/>
                <w:rPr>
                  <w:rFonts w:asciiTheme="minorHAnsi" w:eastAsiaTheme="minorEastAsia" w:hAnsiTheme="minorHAnsi" w:cstheme="minorBidi"/>
                  <w:color w:val="auto"/>
                  <w:sz w:val="22"/>
                </w:rPr>
              </w:pPr>
              <w:hyperlink w:anchor="_Toc517706676" w:history="1">
                <w:r w:rsidR="00272382" w:rsidRPr="003E204A">
                  <w:rPr>
                    <w:rStyle w:val="Hyperlink"/>
                  </w:rPr>
                  <w:t>Executive summary</w:t>
                </w:r>
                <w:r w:rsidR="00272382">
                  <w:rPr>
                    <w:webHidden/>
                  </w:rPr>
                  <w:tab/>
                </w:r>
                <w:r w:rsidR="00272382">
                  <w:rPr>
                    <w:webHidden/>
                  </w:rPr>
                  <w:fldChar w:fldCharType="begin"/>
                </w:r>
                <w:r w:rsidR="00272382">
                  <w:rPr>
                    <w:webHidden/>
                  </w:rPr>
                  <w:instrText xml:space="preserve"> PAGEREF _Toc517706676 \h </w:instrText>
                </w:r>
                <w:r w:rsidR="00272382">
                  <w:rPr>
                    <w:webHidden/>
                  </w:rPr>
                </w:r>
                <w:r w:rsidR="00272382">
                  <w:rPr>
                    <w:webHidden/>
                  </w:rPr>
                  <w:fldChar w:fldCharType="separate"/>
                </w:r>
                <w:r w:rsidR="00272382">
                  <w:rPr>
                    <w:webHidden/>
                  </w:rPr>
                  <w:t>107</w:t>
                </w:r>
                <w:r w:rsidR="00272382">
                  <w:rPr>
                    <w:webHidden/>
                  </w:rPr>
                  <w:fldChar w:fldCharType="end"/>
                </w:r>
              </w:hyperlink>
            </w:p>
            <w:p w14:paraId="24B67F3B" w14:textId="0A070AAD" w:rsidR="00272382" w:rsidRDefault="00013E76">
              <w:pPr>
                <w:pStyle w:val="TOC2"/>
                <w:rPr>
                  <w:rFonts w:asciiTheme="minorHAnsi" w:eastAsiaTheme="minorEastAsia" w:hAnsiTheme="minorHAnsi" w:cstheme="minorBidi"/>
                  <w:color w:val="auto"/>
                  <w:sz w:val="22"/>
                </w:rPr>
              </w:pPr>
              <w:hyperlink w:anchor="_Toc517706677" w:history="1">
                <w:r w:rsidR="00272382" w:rsidRPr="003E204A">
                  <w:rPr>
                    <w:rStyle w:val="Hyperlink"/>
                    <w14:scene3d>
                      <w14:camera w14:prst="orthographicFront"/>
                      <w14:lightRig w14:rig="threePt" w14:dir="t">
                        <w14:rot w14:lat="0" w14:lon="0" w14:rev="0"/>
                      </w14:lightRig>
                    </w14:scene3d>
                  </w:rPr>
                  <w:t>8</w:t>
                </w:r>
                <w:r w:rsidR="00272382">
                  <w:rPr>
                    <w:rFonts w:asciiTheme="minorHAnsi" w:eastAsiaTheme="minorEastAsia" w:hAnsiTheme="minorHAnsi" w:cstheme="minorBidi"/>
                    <w:color w:val="auto"/>
                    <w:sz w:val="22"/>
                  </w:rPr>
                  <w:tab/>
                </w:r>
                <w:r w:rsidR="00272382" w:rsidRPr="003E204A">
                  <w:rPr>
                    <w:rStyle w:val="Hyperlink"/>
                  </w:rPr>
                  <w:t>E-cigarette use as a gateway to cigarette use and use of other substances among youth</w:t>
                </w:r>
                <w:r w:rsidR="00272382">
                  <w:rPr>
                    <w:webHidden/>
                  </w:rPr>
                  <w:tab/>
                </w:r>
                <w:r w:rsidR="00272382">
                  <w:rPr>
                    <w:webHidden/>
                  </w:rPr>
                  <w:tab/>
                </w:r>
                <w:r w:rsidR="00272382">
                  <w:rPr>
                    <w:webHidden/>
                  </w:rPr>
                  <w:tab/>
                </w:r>
                <w:r w:rsidR="00272382">
                  <w:rPr>
                    <w:webHidden/>
                  </w:rPr>
                  <w:fldChar w:fldCharType="begin"/>
                </w:r>
                <w:r w:rsidR="00272382">
                  <w:rPr>
                    <w:webHidden/>
                  </w:rPr>
                  <w:instrText xml:space="preserve"> PAGEREF _Toc517706677 \h </w:instrText>
                </w:r>
                <w:r w:rsidR="00272382">
                  <w:rPr>
                    <w:webHidden/>
                  </w:rPr>
                </w:r>
                <w:r w:rsidR="00272382">
                  <w:rPr>
                    <w:webHidden/>
                  </w:rPr>
                  <w:fldChar w:fldCharType="separate"/>
                </w:r>
                <w:r w:rsidR="00272382">
                  <w:rPr>
                    <w:webHidden/>
                  </w:rPr>
                  <w:t>108</w:t>
                </w:r>
                <w:r w:rsidR="00272382">
                  <w:rPr>
                    <w:webHidden/>
                  </w:rPr>
                  <w:fldChar w:fldCharType="end"/>
                </w:r>
              </w:hyperlink>
            </w:p>
            <w:p w14:paraId="083BCC69" w14:textId="77777777" w:rsidR="00272382" w:rsidRDefault="00013E76">
              <w:pPr>
                <w:pStyle w:val="TOC3"/>
                <w:rPr>
                  <w:rFonts w:asciiTheme="minorHAnsi" w:eastAsiaTheme="minorEastAsia" w:hAnsiTheme="minorHAnsi" w:cstheme="minorBidi"/>
                  <w:noProof/>
                  <w:color w:val="auto"/>
                  <w:sz w:val="22"/>
                </w:rPr>
              </w:pPr>
              <w:hyperlink w:anchor="_Toc517706678" w:history="1">
                <w:r w:rsidR="00272382" w:rsidRPr="003E204A">
                  <w:rPr>
                    <w:rStyle w:val="Hyperlink"/>
                    <w:noProof/>
                  </w:rPr>
                  <w:t>8.1</w:t>
                </w:r>
                <w:r w:rsidR="00272382">
                  <w:rPr>
                    <w:rFonts w:asciiTheme="minorHAnsi" w:eastAsiaTheme="minorEastAsia" w:hAnsiTheme="minorHAnsi" w:cstheme="minorBidi"/>
                    <w:noProof/>
                    <w:color w:val="auto"/>
                    <w:sz w:val="22"/>
                  </w:rPr>
                  <w:tab/>
                </w:r>
                <w:r w:rsidR="00272382" w:rsidRPr="003E204A">
                  <w:rPr>
                    <w:rStyle w:val="Hyperlink"/>
                    <w:noProof/>
                  </w:rPr>
                  <w:t>Introduction</w:t>
                </w:r>
                <w:r w:rsidR="00272382">
                  <w:rPr>
                    <w:noProof/>
                    <w:webHidden/>
                  </w:rPr>
                  <w:tab/>
                </w:r>
                <w:r w:rsidR="00272382">
                  <w:rPr>
                    <w:noProof/>
                    <w:webHidden/>
                  </w:rPr>
                  <w:fldChar w:fldCharType="begin"/>
                </w:r>
                <w:r w:rsidR="00272382">
                  <w:rPr>
                    <w:noProof/>
                    <w:webHidden/>
                  </w:rPr>
                  <w:instrText xml:space="preserve"> PAGEREF _Toc517706678 \h </w:instrText>
                </w:r>
                <w:r w:rsidR="00272382">
                  <w:rPr>
                    <w:noProof/>
                    <w:webHidden/>
                  </w:rPr>
                </w:r>
                <w:r w:rsidR="00272382">
                  <w:rPr>
                    <w:noProof/>
                    <w:webHidden/>
                  </w:rPr>
                  <w:fldChar w:fldCharType="separate"/>
                </w:r>
                <w:r w:rsidR="00272382">
                  <w:rPr>
                    <w:noProof/>
                    <w:webHidden/>
                  </w:rPr>
                  <w:t>108</w:t>
                </w:r>
                <w:r w:rsidR="00272382">
                  <w:rPr>
                    <w:noProof/>
                    <w:webHidden/>
                  </w:rPr>
                  <w:fldChar w:fldCharType="end"/>
                </w:r>
              </w:hyperlink>
            </w:p>
            <w:p w14:paraId="791D80AD" w14:textId="77777777" w:rsidR="00272382" w:rsidRDefault="00013E76">
              <w:pPr>
                <w:pStyle w:val="TOC3"/>
                <w:rPr>
                  <w:rFonts w:asciiTheme="minorHAnsi" w:eastAsiaTheme="minorEastAsia" w:hAnsiTheme="minorHAnsi" w:cstheme="minorBidi"/>
                  <w:noProof/>
                  <w:color w:val="auto"/>
                  <w:sz w:val="22"/>
                </w:rPr>
              </w:pPr>
              <w:hyperlink w:anchor="_Toc517706679" w:history="1">
                <w:r w:rsidR="00272382" w:rsidRPr="003E204A">
                  <w:rPr>
                    <w:rStyle w:val="Hyperlink"/>
                    <w:noProof/>
                  </w:rPr>
                  <w:t>8.2</w:t>
                </w:r>
                <w:r w:rsidR="00272382">
                  <w:rPr>
                    <w:rFonts w:asciiTheme="minorHAnsi" w:eastAsiaTheme="minorEastAsia" w:hAnsiTheme="minorHAnsi" w:cstheme="minorBidi"/>
                    <w:noProof/>
                    <w:color w:val="auto"/>
                    <w:sz w:val="22"/>
                  </w:rPr>
                  <w:tab/>
                </w:r>
                <w:r w:rsidR="00272382" w:rsidRPr="003E204A">
                  <w:rPr>
                    <w:rStyle w:val="Hyperlink"/>
                    <w:noProof/>
                  </w:rPr>
                  <w:t>E-cigarette use and use of conventional cigarettes</w:t>
                </w:r>
                <w:r w:rsidR="00272382">
                  <w:rPr>
                    <w:noProof/>
                    <w:webHidden/>
                  </w:rPr>
                  <w:tab/>
                </w:r>
                <w:r w:rsidR="00272382">
                  <w:rPr>
                    <w:noProof/>
                    <w:webHidden/>
                  </w:rPr>
                  <w:fldChar w:fldCharType="begin"/>
                </w:r>
                <w:r w:rsidR="00272382">
                  <w:rPr>
                    <w:noProof/>
                    <w:webHidden/>
                  </w:rPr>
                  <w:instrText xml:space="preserve"> PAGEREF _Toc517706679 \h </w:instrText>
                </w:r>
                <w:r w:rsidR="00272382">
                  <w:rPr>
                    <w:noProof/>
                    <w:webHidden/>
                  </w:rPr>
                </w:r>
                <w:r w:rsidR="00272382">
                  <w:rPr>
                    <w:noProof/>
                    <w:webHidden/>
                  </w:rPr>
                  <w:fldChar w:fldCharType="separate"/>
                </w:r>
                <w:r w:rsidR="00272382">
                  <w:rPr>
                    <w:noProof/>
                    <w:webHidden/>
                  </w:rPr>
                  <w:t>108</w:t>
                </w:r>
                <w:r w:rsidR="00272382">
                  <w:rPr>
                    <w:noProof/>
                    <w:webHidden/>
                  </w:rPr>
                  <w:fldChar w:fldCharType="end"/>
                </w:r>
              </w:hyperlink>
            </w:p>
            <w:p w14:paraId="7BDE7750" w14:textId="77777777" w:rsidR="00272382" w:rsidRDefault="00013E76">
              <w:pPr>
                <w:pStyle w:val="TOC3"/>
                <w:rPr>
                  <w:rFonts w:asciiTheme="minorHAnsi" w:eastAsiaTheme="minorEastAsia" w:hAnsiTheme="minorHAnsi" w:cstheme="minorBidi"/>
                  <w:noProof/>
                  <w:color w:val="auto"/>
                  <w:sz w:val="22"/>
                </w:rPr>
              </w:pPr>
              <w:hyperlink w:anchor="_Toc517706680" w:history="1">
                <w:r w:rsidR="00272382" w:rsidRPr="003E204A">
                  <w:rPr>
                    <w:rStyle w:val="Hyperlink"/>
                    <w:noProof/>
                  </w:rPr>
                  <w:t>8.3</w:t>
                </w:r>
                <w:r w:rsidR="00272382">
                  <w:rPr>
                    <w:rFonts w:asciiTheme="minorHAnsi" w:eastAsiaTheme="minorEastAsia" w:hAnsiTheme="minorHAnsi" w:cstheme="minorBidi"/>
                    <w:noProof/>
                    <w:color w:val="auto"/>
                    <w:sz w:val="22"/>
                  </w:rPr>
                  <w:tab/>
                </w:r>
                <w:r w:rsidR="00272382" w:rsidRPr="003E204A">
                  <w:rPr>
                    <w:rStyle w:val="Hyperlink"/>
                    <w:noProof/>
                  </w:rPr>
                  <w:t>E-cigarette use and use of other substances</w:t>
                </w:r>
                <w:r w:rsidR="00272382">
                  <w:rPr>
                    <w:noProof/>
                    <w:webHidden/>
                  </w:rPr>
                  <w:tab/>
                </w:r>
                <w:r w:rsidR="00272382">
                  <w:rPr>
                    <w:noProof/>
                    <w:webHidden/>
                  </w:rPr>
                  <w:fldChar w:fldCharType="begin"/>
                </w:r>
                <w:r w:rsidR="00272382">
                  <w:rPr>
                    <w:noProof/>
                    <w:webHidden/>
                  </w:rPr>
                  <w:instrText xml:space="preserve"> PAGEREF _Toc517706680 \h </w:instrText>
                </w:r>
                <w:r w:rsidR="00272382">
                  <w:rPr>
                    <w:noProof/>
                    <w:webHidden/>
                  </w:rPr>
                </w:r>
                <w:r w:rsidR="00272382">
                  <w:rPr>
                    <w:noProof/>
                    <w:webHidden/>
                  </w:rPr>
                  <w:fldChar w:fldCharType="separate"/>
                </w:r>
                <w:r w:rsidR="00272382">
                  <w:rPr>
                    <w:noProof/>
                    <w:webHidden/>
                  </w:rPr>
                  <w:t>115</w:t>
                </w:r>
                <w:r w:rsidR="00272382">
                  <w:rPr>
                    <w:noProof/>
                    <w:webHidden/>
                  </w:rPr>
                  <w:fldChar w:fldCharType="end"/>
                </w:r>
              </w:hyperlink>
            </w:p>
            <w:p w14:paraId="20942BAE" w14:textId="77777777" w:rsidR="00272382" w:rsidRDefault="00013E76">
              <w:pPr>
                <w:pStyle w:val="TOC2"/>
                <w:rPr>
                  <w:rFonts w:asciiTheme="minorHAnsi" w:eastAsiaTheme="minorEastAsia" w:hAnsiTheme="minorHAnsi" w:cstheme="minorBidi"/>
                  <w:color w:val="auto"/>
                  <w:sz w:val="22"/>
                </w:rPr>
              </w:pPr>
              <w:hyperlink w:anchor="_Toc517706681" w:history="1">
                <w:r w:rsidR="00272382" w:rsidRPr="003E204A">
                  <w:rPr>
                    <w:rStyle w:val="Hyperlink"/>
                    <w14:scene3d>
                      <w14:camera w14:prst="orthographicFront"/>
                      <w14:lightRig w14:rig="threePt" w14:dir="t">
                        <w14:rot w14:lat="0" w14:lon="0" w14:rev="0"/>
                      </w14:lightRig>
                    </w14:scene3d>
                  </w:rPr>
                  <w:t>9</w:t>
                </w:r>
                <w:r w:rsidR="00272382">
                  <w:rPr>
                    <w:rFonts w:asciiTheme="minorHAnsi" w:eastAsiaTheme="minorEastAsia" w:hAnsiTheme="minorHAnsi" w:cstheme="minorBidi"/>
                    <w:color w:val="auto"/>
                    <w:sz w:val="22"/>
                  </w:rPr>
                  <w:tab/>
                </w:r>
                <w:r w:rsidR="00272382" w:rsidRPr="003E204A">
                  <w:rPr>
                    <w:rStyle w:val="Hyperlink"/>
                  </w:rPr>
                  <w:t>Use of e-cigarettes for smoking cessation</w:t>
                </w:r>
                <w:r w:rsidR="00272382">
                  <w:rPr>
                    <w:webHidden/>
                  </w:rPr>
                  <w:tab/>
                </w:r>
                <w:r w:rsidR="00272382">
                  <w:rPr>
                    <w:webHidden/>
                  </w:rPr>
                  <w:fldChar w:fldCharType="begin"/>
                </w:r>
                <w:r w:rsidR="00272382">
                  <w:rPr>
                    <w:webHidden/>
                  </w:rPr>
                  <w:instrText xml:space="preserve"> PAGEREF _Toc517706681 \h </w:instrText>
                </w:r>
                <w:r w:rsidR="00272382">
                  <w:rPr>
                    <w:webHidden/>
                  </w:rPr>
                </w:r>
                <w:r w:rsidR="00272382">
                  <w:rPr>
                    <w:webHidden/>
                  </w:rPr>
                  <w:fldChar w:fldCharType="separate"/>
                </w:r>
                <w:r w:rsidR="00272382">
                  <w:rPr>
                    <w:webHidden/>
                  </w:rPr>
                  <w:t>118</w:t>
                </w:r>
                <w:r w:rsidR="00272382">
                  <w:rPr>
                    <w:webHidden/>
                  </w:rPr>
                  <w:fldChar w:fldCharType="end"/>
                </w:r>
              </w:hyperlink>
            </w:p>
            <w:p w14:paraId="6F5C702D" w14:textId="77777777" w:rsidR="00272382" w:rsidRDefault="00013E76">
              <w:pPr>
                <w:pStyle w:val="TOC3"/>
                <w:rPr>
                  <w:rFonts w:asciiTheme="minorHAnsi" w:eastAsiaTheme="minorEastAsia" w:hAnsiTheme="minorHAnsi" w:cstheme="minorBidi"/>
                  <w:noProof/>
                  <w:color w:val="auto"/>
                  <w:sz w:val="22"/>
                </w:rPr>
              </w:pPr>
              <w:hyperlink w:anchor="_Toc517706682" w:history="1">
                <w:r w:rsidR="00272382" w:rsidRPr="003E204A">
                  <w:rPr>
                    <w:rStyle w:val="Hyperlink"/>
                    <w:noProof/>
                  </w:rPr>
                  <w:t>9.1</w:t>
                </w:r>
                <w:r w:rsidR="00272382">
                  <w:rPr>
                    <w:rFonts w:asciiTheme="minorHAnsi" w:eastAsiaTheme="minorEastAsia" w:hAnsiTheme="minorHAnsi" w:cstheme="minorBidi"/>
                    <w:noProof/>
                    <w:color w:val="auto"/>
                    <w:sz w:val="22"/>
                  </w:rPr>
                  <w:tab/>
                </w:r>
                <w:r w:rsidR="00272382" w:rsidRPr="003E204A">
                  <w:rPr>
                    <w:rStyle w:val="Hyperlink"/>
                    <w:noProof/>
                  </w:rPr>
                  <w:t>Introduction</w:t>
                </w:r>
                <w:r w:rsidR="00272382">
                  <w:rPr>
                    <w:noProof/>
                    <w:webHidden/>
                  </w:rPr>
                  <w:tab/>
                </w:r>
                <w:r w:rsidR="00272382">
                  <w:rPr>
                    <w:noProof/>
                    <w:webHidden/>
                  </w:rPr>
                  <w:fldChar w:fldCharType="begin"/>
                </w:r>
                <w:r w:rsidR="00272382">
                  <w:rPr>
                    <w:noProof/>
                    <w:webHidden/>
                  </w:rPr>
                  <w:instrText xml:space="preserve"> PAGEREF _Toc517706682 \h </w:instrText>
                </w:r>
                <w:r w:rsidR="00272382">
                  <w:rPr>
                    <w:noProof/>
                    <w:webHidden/>
                  </w:rPr>
                </w:r>
                <w:r w:rsidR="00272382">
                  <w:rPr>
                    <w:noProof/>
                    <w:webHidden/>
                  </w:rPr>
                  <w:fldChar w:fldCharType="separate"/>
                </w:r>
                <w:r w:rsidR="00272382">
                  <w:rPr>
                    <w:noProof/>
                    <w:webHidden/>
                  </w:rPr>
                  <w:t>118</w:t>
                </w:r>
                <w:r w:rsidR="00272382">
                  <w:rPr>
                    <w:noProof/>
                    <w:webHidden/>
                  </w:rPr>
                  <w:fldChar w:fldCharType="end"/>
                </w:r>
              </w:hyperlink>
            </w:p>
            <w:p w14:paraId="48485081" w14:textId="77777777" w:rsidR="00272382" w:rsidRDefault="00013E76">
              <w:pPr>
                <w:pStyle w:val="TOC3"/>
                <w:rPr>
                  <w:rFonts w:asciiTheme="minorHAnsi" w:eastAsiaTheme="minorEastAsia" w:hAnsiTheme="minorHAnsi" w:cstheme="minorBidi"/>
                  <w:noProof/>
                  <w:color w:val="auto"/>
                  <w:sz w:val="22"/>
                </w:rPr>
              </w:pPr>
              <w:hyperlink w:anchor="_Toc517706683" w:history="1">
                <w:r w:rsidR="00272382" w:rsidRPr="003E204A">
                  <w:rPr>
                    <w:rStyle w:val="Hyperlink"/>
                    <w:noProof/>
                  </w:rPr>
                  <w:t>9.2</w:t>
                </w:r>
                <w:r w:rsidR="00272382">
                  <w:rPr>
                    <w:rFonts w:asciiTheme="minorHAnsi" w:eastAsiaTheme="minorEastAsia" w:hAnsiTheme="minorHAnsi" w:cstheme="minorBidi"/>
                    <w:noProof/>
                    <w:color w:val="auto"/>
                    <w:sz w:val="22"/>
                  </w:rPr>
                  <w:tab/>
                </w:r>
                <w:r w:rsidR="00272382" w:rsidRPr="003E204A">
                  <w:rPr>
                    <w:rStyle w:val="Hyperlink"/>
                    <w:noProof/>
                  </w:rPr>
                  <w:t>Preference for e-cigarettes as a smoking cessation tool</w:t>
                </w:r>
                <w:r w:rsidR="00272382">
                  <w:rPr>
                    <w:noProof/>
                    <w:webHidden/>
                  </w:rPr>
                  <w:tab/>
                </w:r>
                <w:r w:rsidR="00272382">
                  <w:rPr>
                    <w:noProof/>
                    <w:webHidden/>
                  </w:rPr>
                  <w:fldChar w:fldCharType="begin"/>
                </w:r>
                <w:r w:rsidR="00272382">
                  <w:rPr>
                    <w:noProof/>
                    <w:webHidden/>
                  </w:rPr>
                  <w:instrText xml:space="preserve"> PAGEREF _Toc517706683 \h </w:instrText>
                </w:r>
                <w:r w:rsidR="00272382">
                  <w:rPr>
                    <w:noProof/>
                    <w:webHidden/>
                  </w:rPr>
                </w:r>
                <w:r w:rsidR="00272382">
                  <w:rPr>
                    <w:noProof/>
                    <w:webHidden/>
                  </w:rPr>
                  <w:fldChar w:fldCharType="separate"/>
                </w:r>
                <w:r w:rsidR="00272382">
                  <w:rPr>
                    <w:noProof/>
                    <w:webHidden/>
                  </w:rPr>
                  <w:t>118</w:t>
                </w:r>
                <w:r w:rsidR="00272382">
                  <w:rPr>
                    <w:noProof/>
                    <w:webHidden/>
                  </w:rPr>
                  <w:fldChar w:fldCharType="end"/>
                </w:r>
              </w:hyperlink>
            </w:p>
            <w:p w14:paraId="19453CE8" w14:textId="77777777" w:rsidR="00272382" w:rsidRDefault="00013E76">
              <w:pPr>
                <w:pStyle w:val="TOC3"/>
                <w:rPr>
                  <w:rFonts w:asciiTheme="minorHAnsi" w:eastAsiaTheme="minorEastAsia" w:hAnsiTheme="minorHAnsi" w:cstheme="minorBidi"/>
                  <w:noProof/>
                  <w:color w:val="auto"/>
                  <w:sz w:val="22"/>
                </w:rPr>
              </w:pPr>
              <w:hyperlink w:anchor="_Toc517706684" w:history="1">
                <w:r w:rsidR="00272382" w:rsidRPr="003E204A">
                  <w:rPr>
                    <w:rStyle w:val="Hyperlink"/>
                    <w:noProof/>
                  </w:rPr>
                  <w:t>9.3</w:t>
                </w:r>
                <w:r w:rsidR="00272382">
                  <w:rPr>
                    <w:rFonts w:asciiTheme="minorHAnsi" w:eastAsiaTheme="minorEastAsia" w:hAnsiTheme="minorHAnsi" w:cstheme="minorBidi"/>
                    <w:noProof/>
                    <w:color w:val="auto"/>
                    <w:sz w:val="22"/>
                  </w:rPr>
                  <w:tab/>
                </w:r>
                <w:r w:rsidR="00272382" w:rsidRPr="003E204A">
                  <w:rPr>
                    <w:rStyle w:val="Hyperlink"/>
                    <w:noProof/>
                  </w:rPr>
                  <w:t>Association between e-cigarette use and motivation to quit or quit attempts</w:t>
                </w:r>
                <w:r w:rsidR="00272382">
                  <w:rPr>
                    <w:noProof/>
                    <w:webHidden/>
                  </w:rPr>
                  <w:tab/>
                </w:r>
                <w:r w:rsidR="00272382">
                  <w:rPr>
                    <w:noProof/>
                    <w:webHidden/>
                  </w:rPr>
                  <w:fldChar w:fldCharType="begin"/>
                </w:r>
                <w:r w:rsidR="00272382">
                  <w:rPr>
                    <w:noProof/>
                    <w:webHidden/>
                  </w:rPr>
                  <w:instrText xml:space="preserve"> PAGEREF _Toc517706684 \h </w:instrText>
                </w:r>
                <w:r w:rsidR="00272382">
                  <w:rPr>
                    <w:noProof/>
                    <w:webHidden/>
                  </w:rPr>
                </w:r>
                <w:r w:rsidR="00272382">
                  <w:rPr>
                    <w:noProof/>
                    <w:webHidden/>
                  </w:rPr>
                  <w:fldChar w:fldCharType="separate"/>
                </w:r>
                <w:r w:rsidR="00272382">
                  <w:rPr>
                    <w:noProof/>
                    <w:webHidden/>
                  </w:rPr>
                  <w:t>123</w:t>
                </w:r>
                <w:r w:rsidR="00272382">
                  <w:rPr>
                    <w:noProof/>
                    <w:webHidden/>
                  </w:rPr>
                  <w:fldChar w:fldCharType="end"/>
                </w:r>
              </w:hyperlink>
            </w:p>
            <w:p w14:paraId="103E542B" w14:textId="77777777" w:rsidR="00272382" w:rsidRDefault="00013E76">
              <w:pPr>
                <w:pStyle w:val="TOC3"/>
                <w:rPr>
                  <w:rFonts w:asciiTheme="minorHAnsi" w:eastAsiaTheme="minorEastAsia" w:hAnsiTheme="minorHAnsi" w:cstheme="minorBidi"/>
                  <w:noProof/>
                  <w:color w:val="auto"/>
                  <w:sz w:val="22"/>
                </w:rPr>
              </w:pPr>
              <w:hyperlink w:anchor="_Toc517706685" w:history="1">
                <w:r w:rsidR="00272382" w:rsidRPr="003E204A">
                  <w:rPr>
                    <w:rStyle w:val="Hyperlink"/>
                    <w:noProof/>
                  </w:rPr>
                  <w:t>9.4</w:t>
                </w:r>
                <w:r w:rsidR="00272382">
                  <w:rPr>
                    <w:rFonts w:asciiTheme="minorHAnsi" w:eastAsiaTheme="minorEastAsia" w:hAnsiTheme="minorHAnsi" w:cstheme="minorBidi"/>
                    <w:noProof/>
                    <w:color w:val="auto"/>
                    <w:sz w:val="22"/>
                  </w:rPr>
                  <w:tab/>
                </w:r>
                <w:r w:rsidR="00272382" w:rsidRPr="003E204A">
                  <w:rPr>
                    <w:rStyle w:val="Hyperlink"/>
                    <w:noProof/>
                  </w:rPr>
                  <w:t>Use of e-cigarettes for reducing withdrawal symptoms</w:t>
                </w:r>
                <w:r w:rsidR="00272382">
                  <w:rPr>
                    <w:noProof/>
                    <w:webHidden/>
                  </w:rPr>
                  <w:tab/>
                </w:r>
                <w:r w:rsidR="00272382">
                  <w:rPr>
                    <w:noProof/>
                    <w:webHidden/>
                  </w:rPr>
                  <w:fldChar w:fldCharType="begin"/>
                </w:r>
                <w:r w:rsidR="00272382">
                  <w:rPr>
                    <w:noProof/>
                    <w:webHidden/>
                  </w:rPr>
                  <w:instrText xml:space="preserve"> PAGEREF _Toc517706685 \h </w:instrText>
                </w:r>
                <w:r w:rsidR="00272382">
                  <w:rPr>
                    <w:noProof/>
                    <w:webHidden/>
                  </w:rPr>
                </w:r>
                <w:r w:rsidR="00272382">
                  <w:rPr>
                    <w:noProof/>
                    <w:webHidden/>
                  </w:rPr>
                  <w:fldChar w:fldCharType="separate"/>
                </w:r>
                <w:r w:rsidR="00272382">
                  <w:rPr>
                    <w:noProof/>
                    <w:webHidden/>
                  </w:rPr>
                  <w:t>125</w:t>
                </w:r>
                <w:r w:rsidR="00272382">
                  <w:rPr>
                    <w:noProof/>
                    <w:webHidden/>
                  </w:rPr>
                  <w:fldChar w:fldCharType="end"/>
                </w:r>
              </w:hyperlink>
            </w:p>
            <w:p w14:paraId="422FBED4" w14:textId="77777777" w:rsidR="00272382" w:rsidRDefault="00013E76">
              <w:pPr>
                <w:pStyle w:val="TOC3"/>
                <w:rPr>
                  <w:rFonts w:asciiTheme="minorHAnsi" w:eastAsiaTheme="minorEastAsia" w:hAnsiTheme="minorHAnsi" w:cstheme="minorBidi"/>
                  <w:noProof/>
                  <w:color w:val="auto"/>
                  <w:sz w:val="22"/>
                </w:rPr>
              </w:pPr>
              <w:hyperlink w:anchor="_Toc517706686" w:history="1">
                <w:r w:rsidR="00272382" w:rsidRPr="003E204A">
                  <w:rPr>
                    <w:rStyle w:val="Hyperlink"/>
                    <w:noProof/>
                  </w:rPr>
                  <w:t>9.5</w:t>
                </w:r>
                <w:r w:rsidR="00272382">
                  <w:rPr>
                    <w:rFonts w:asciiTheme="minorHAnsi" w:eastAsiaTheme="minorEastAsia" w:hAnsiTheme="minorHAnsi" w:cstheme="minorBidi"/>
                    <w:noProof/>
                    <w:color w:val="auto"/>
                    <w:sz w:val="22"/>
                  </w:rPr>
                  <w:tab/>
                </w:r>
                <w:r w:rsidR="00272382" w:rsidRPr="003E204A">
                  <w:rPr>
                    <w:rStyle w:val="Hyperlink"/>
                    <w:noProof/>
                  </w:rPr>
                  <w:t>Association between e</w:t>
                </w:r>
                <w:r w:rsidR="00272382" w:rsidRPr="003E204A">
                  <w:rPr>
                    <w:rStyle w:val="Hyperlink"/>
                    <w:noProof/>
                  </w:rPr>
                  <w:noBreakHyphen/>
                  <w:t>cigarette use and smoking quit attempts</w:t>
                </w:r>
                <w:r w:rsidR="00272382">
                  <w:rPr>
                    <w:noProof/>
                    <w:webHidden/>
                  </w:rPr>
                  <w:tab/>
                </w:r>
                <w:r w:rsidR="00272382">
                  <w:rPr>
                    <w:noProof/>
                    <w:webHidden/>
                  </w:rPr>
                  <w:fldChar w:fldCharType="begin"/>
                </w:r>
                <w:r w:rsidR="00272382">
                  <w:rPr>
                    <w:noProof/>
                    <w:webHidden/>
                  </w:rPr>
                  <w:instrText xml:space="preserve"> PAGEREF _Toc517706686 \h </w:instrText>
                </w:r>
                <w:r w:rsidR="00272382">
                  <w:rPr>
                    <w:noProof/>
                    <w:webHidden/>
                  </w:rPr>
                </w:r>
                <w:r w:rsidR="00272382">
                  <w:rPr>
                    <w:noProof/>
                    <w:webHidden/>
                  </w:rPr>
                  <w:fldChar w:fldCharType="separate"/>
                </w:r>
                <w:r w:rsidR="00272382">
                  <w:rPr>
                    <w:noProof/>
                    <w:webHidden/>
                  </w:rPr>
                  <w:t>129</w:t>
                </w:r>
                <w:r w:rsidR="00272382">
                  <w:rPr>
                    <w:noProof/>
                    <w:webHidden/>
                  </w:rPr>
                  <w:fldChar w:fldCharType="end"/>
                </w:r>
              </w:hyperlink>
            </w:p>
            <w:p w14:paraId="3CB89040" w14:textId="77777777" w:rsidR="00272382" w:rsidRDefault="00013E76">
              <w:pPr>
                <w:pStyle w:val="TOC3"/>
                <w:rPr>
                  <w:rFonts w:asciiTheme="minorHAnsi" w:eastAsiaTheme="minorEastAsia" w:hAnsiTheme="minorHAnsi" w:cstheme="minorBidi"/>
                  <w:noProof/>
                  <w:color w:val="auto"/>
                  <w:sz w:val="22"/>
                </w:rPr>
              </w:pPr>
              <w:hyperlink w:anchor="_Toc517706687" w:history="1">
                <w:r w:rsidR="00272382" w:rsidRPr="003E204A">
                  <w:rPr>
                    <w:rStyle w:val="Hyperlink"/>
                    <w:noProof/>
                  </w:rPr>
                  <w:t>9.6</w:t>
                </w:r>
                <w:r w:rsidR="00272382">
                  <w:rPr>
                    <w:rFonts w:asciiTheme="minorHAnsi" w:eastAsiaTheme="minorEastAsia" w:hAnsiTheme="minorHAnsi" w:cstheme="minorBidi"/>
                    <w:noProof/>
                    <w:color w:val="auto"/>
                    <w:sz w:val="22"/>
                  </w:rPr>
                  <w:tab/>
                </w:r>
                <w:r w:rsidR="00272382" w:rsidRPr="003E204A">
                  <w:rPr>
                    <w:rStyle w:val="Hyperlink"/>
                    <w:noProof/>
                  </w:rPr>
                  <w:t>Smoking cessation rates</w:t>
                </w:r>
                <w:r w:rsidR="00272382">
                  <w:rPr>
                    <w:noProof/>
                    <w:webHidden/>
                  </w:rPr>
                  <w:tab/>
                </w:r>
                <w:r w:rsidR="00272382">
                  <w:rPr>
                    <w:noProof/>
                    <w:webHidden/>
                  </w:rPr>
                  <w:fldChar w:fldCharType="begin"/>
                </w:r>
                <w:r w:rsidR="00272382">
                  <w:rPr>
                    <w:noProof/>
                    <w:webHidden/>
                  </w:rPr>
                  <w:instrText xml:space="preserve"> PAGEREF _Toc517706687 \h </w:instrText>
                </w:r>
                <w:r w:rsidR="00272382">
                  <w:rPr>
                    <w:noProof/>
                    <w:webHidden/>
                  </w:rPr>
                </w:r>
                <w:r w:rsidR="00272382">
                  <w:rPr>
                    <w:noProof/>
                    <w:webHidden/>
                  </w:rPr>
                  <w:fldChar w:fldCharType="separate"/>
                </w:r>
                <w:r w:rsidR="00272382">
                  <w:rPr>
                    <w:noProof/>
                    <w:webHidden/>
                  </w:rPr>
                  <w:t>131</w:t>
                </w:r>
                <w:r w:rsidR="00272382">
                  <w:rPr>
                    <w:noProof/>
                    <w:webHidden/>
                  </w:rPr>
                  <w:fldChar w:fldCharType="end"/>
                </w:r>
              </w:hyperlink>
            </w:p>
            <w:p w14:paraId="0F82BACC" w14:textId="77777777" w:rsidR="00272382" w:rsidRDefault="00013E76">
              <w:pPr>
                <w:pStyle w:val="TOC3"/>
                <w:rPr>
                  <w:rFonts w:asciiTheme="minorHAnsi" w:eastAsiaTheme="minorEastAsia" w:hAnsiTheme="minorHAnsi" w:cstheme="minorBidi"/>
                  <w:noProof/>
                  <w:color w:val="auto"/>
                  <w:sz w:val="22"/>
                </w:rPr>
              </w:pPr>
              <w:hyperlink w:anchor="_Toc517706688" w:history="1">
                <w:r w:rsidR="00272382" w:rsidRPr="003E204A">
                  <w:rPr>
                    <w:rStyle w:val="Hyperlink"/>
                    <w:noProof/>
                  </w:rPr>
                  <w:t>9.7</w:t>
                </w:r>
                <w:r w:rsidR="00272382">
                  <w:rPr>
                    <w:rFonts w:asciiTheme="minorHAnsi" w:eastAsiaTheme="minorEastAsia" w:hAnsiTheme="minorHAnsi" w:cstheme="minorBidi"/>
                    <w:noProof/>
                    <w:color w:val="auto"/>
                    <w:sz w:val="22"/>
                  </w:rPr>
                  <w:tab/>
                </w:r>
                <w:r w:rsidR="00272382" w:rsidRPr="003E204A">
                  <w:rPr>
                    <w:rStyle w:val="Hyperlink"/>
                    <w:noProof/>
                  </w:rPr>
                  <w:t>What the new studies add to what is already known about e</w:t>
                </w:r>
                <w:r w:rsidR="00272382" w:rsidRPr="003E204A">
                  <w:rPr>
                    <w:rStyle w:val="Hyperlink"/>
                    <w:noProof/>
                  </w:rPr>
                  <w:noBreakHyphen/>
                  <w:t>cigarettes</w:t>
                </w:r>
                <w:r w:rsidR="00272382">
                  <w:rPr>
                    <w:noProof/>
                    <w:webHidden/>
                  </w:rPr>
                  <w:tab/>
                </w:r>
                <w:r w:rsidR="00272382">
                  <w:rPr>
                    <w:noProof/>
                    <w:webHidden/>
                  </w:rPr>
                  <w:fldChar w:fldCharType="begin"/>
                </w:r>
                <w:r w:rsidR="00272382">
                  <w:rPr>
                    <w:noProof/>
                    <w:webHidden/>
                  </w:rPr>
                  <w:instrText xml:space="preserve"> PAGEREF _Toc517706688 \h </w:instrText>
                </w:r>
                <w:r w:rsidR="00272382">
                  <w:rPr>
                    <w:noProof/>
                    <w:webHidden/>
                  </w:rPr>
                </w:r>
                <w:r w:rsidR="00272382">
                  <w:rPr>
                    <w:noProof/>
                    <w:webHidden/>
                  </w:rPr>
                  <w:fldChar w:fldCharType="separate"/>
                </w:r>
                <w:r w:rsidR="00272382">
                  <w:rPr>
                    <w:noProof/>
                    <w:webHidden/>
                  </w:rPr>
                  <w:t>140</w:t>
                </w:r>
                <w:r w:rsidR="00272382">
                  <w:rPr>
                    <w:noProof/>
                    <w:webHidden/>
                  </w:rPr>
                  <w:fldChar w:fldCharType="end"/>
                </w:r>
              </w:hyperlink>
            </w:p>
            <w:p w14:paraId="2544EBE5" w14:textId="0BD8CE63" w:rsidR="00272382" w:rsidRDefault="00013E76">
              <w:pPr>
                <w:pStyle w:val="TOC2"/>
                <w:rPr>
                  <w:rFonts w:asciiTheme="minorHAnsi" w:eastAsiaTheme="minorEastAsia" w:hAnsiTheme="minorHAnsi" w:cstheme="minorBidi"/>
                  <w:color w:val="auto"/>
                  <w:sz w:val="22"/>
                </w:rPr>
              </w:pPr>
              <w:hyperlink w:anchor="_Toc517706689" w:history="1">
                <w:r w:rsidR="00272382" w:rsidRPr="003E204A">
                  <w:rPr>
                    <w:rStyle w:val="Hyperlink"/>
                    <w14:scene3d>
                      <w14:camera w14:prst="orthographicFront"/>
                      <w14:lightRig w14:rig="threePt" w14:dir="t">
                        <w14:rot w14:lat="0" w14:lon="0" w14:rev="0"/>
                      </w14:lightRig>
                    </w14:scene3d>
                  </w:rPr>
                  <w:t>10</w:t>
                </w:r>
                <w:r w:rsidR="00272382">
                  <w:rPr>
                    <w:rFonts w:asciiTheme="minorHAnsi" w:eastAsiaTheme="minorEastAsia" w:hAnsiTheme="minorHAnsi" w:cstheme="minorBidi"/>
                    <w:color w:val="auto"/>
                    <w:sz w:val="22"/>
                  </w:rPr>
                  <w:tab/>
                </w:r>
                <w:r w:rsidR="00272382" w:rsidRPr="003E204A">
                  <w:rPr>
                    <w:rStyle w:val="Hyperlink"/>
                  </w:rPr>
                  <w:t>Tables</w:t>
                </w:r>
                <w:r w:rsidR="00272382">
                  <w:rPr>
                    <w:webHidden/>
                  </w:rPr>
                  <w:tab/>
                </w:r>
                <w:r w:rsidR="00272382">
                  <w:rPr>
                    <w:webHidden/>
                  </w:rPr>
                  <w:tab/>
                </w:r>
                <w:r w:rsidR="00272382">
                  <w:rPr>
                    <w:webHidden/>
                  </w:rPr>
                  <w:fldChar w:fldCharType="begin"/>
                </w:r>
                <w:r w:rsidR="00272382">
                  <w:rPr>
                    <w:webHidden/>
                  </w:rPr>
                  <w:instrText xml:space="preserve"> PAGEREF _Toc517706689 \h </w:instrText>
                </w:r>
                <w:r w:rsidR="00272382">
                  <w:rPr>
                    <w:webHidden/>
                  </w:rPr>
                </w:r>
                <w:r w:rsidR="00272382">
                  <w:rPr>
                    <w:webHidden/>
                  </w:rPr>
                  <w:fldChar w:fldCharType="separate"/>
                </w:r>
                <w:r w:rsidR="00272382">
                  <w:rPr>
                    <w:webHidden/>
                  </w:rPr>
                  <w:t>142</w:t>
                </w:r>
                <w:r w:rsidR="00272382">
                  <w:rPr>
                    <w:webHidden/>
                  </w:rPr>
                  <w:fldChar w:fldCharType="end"/>
                </w:r>
              </w:hyperlink>
            </w:p>
            <w:p w14:paraId="601A641D" w14:textId="77777777" w:rsidR="00272382" w:rsidRDefault="00013E76">
              <w:pPr>
                <w:pStyle w:val="TOC1"/>
                <w:rPr>
                  <w:rFonts w:asciiTheme="minorHAnsi" w:eastAsiaTheme="minorEastAsia" w:hAnsiTheme="minorHAnsi" w:cstheme="minorBidi"/>
                  <w:b w:val="0"/>
                  <w:color w:val="auto"/>
                  <w:sz w:val="22"/>
                </w:rPr>
              </w:pPr>
              <w:hyperlink w:anchor="_Toc517706690" w:history="1">
                <w:r w:rsidR="00272382" w:rsidRPr="003E204A">
                  <w:rPr>
                    <w:rStyle w:val="Hyperlink"/>
                  </w:rPr>
                  <w:t>PART 3: Impact on health of e-cigarettes and personal vaporisers in countries where they have been allowed</w:t>
                </w:r>
                <w:r w:rsidR="00272382">
                  <w:rPr>
                    <w:webHidden/>
                  </w:rPr>
                  <w:tab/>
                </w:r>
                <w:r w:rsidR="00272382">
                  <w:rPr>
                    <w:webHidden/>
                  </w:rPr>
                  <w:fldChar w:fldCharType="begin"/>
                </w:r>
                <w:r w:rsidR="00272382">
                  <w:rPr>
                    <w:webHidden/>
                  </w:rPr>
                  <w:instrText xml:space="preserve"> PAGEREF _Toc517706690 \h </w:instrText>
                </w:r>
                <w:r w:rsidR="00272382">
                  <w:rPr>
                    <w:webHidden/>
                  </w:rPr>
                </w:r>
                <w:r w:rsidR="00272382">
                  <w:rPr>
                    <w:webHidden/>
                  </w:rPr>
                  <w:fldChar w:fldCharType="separate"/>
                </w:r>
                <w:r w:rsidR="00272382">
                  <w:rPr>
                    <w:webHidden/>
                  </w:rPr>
                  <w:t>170</w:t>
                </w:r>
                <w:r w:rsidR="00272382">
                  <w:rPr>
                    <w:webHidden/>
                  </w:rPr>
                  <w:fldChar w:fldCharType="end"/>
                </w:r>
              </w:hyperlink>
            </w:p>
            <w:p w14:paraId="6F7FA804" w14:textId="77777777" w:rsidR="00272382" w:rsidRDefault="00013E76">
              <w:pPr>
                <w:pStyle w:val="TOC2"/>
                <w:rPr>
                  <w:rFonts w:asciiTheme="minorHAnsi" w:eastAsiaTheme="minorEastAsia" w:hAnsiTheme="minorHAnsi" w:cstheme="minorBidi"/>
                  <w:color w:val="auto"/>
                  <w:sz w:val="22"/>
                </w:rPr>
              </w:pPr>
              <w:hyperlink w:anchor="_Toc517706691" w:history="1">
                <w:r w:rsidR="00272382" w:rsidRPr="003E204A">
                  <w:rPr>
                    <w:rStyle w:val="Hyperlink"/>
                  </w:rPr>
                  <w:t>Executive summary</w:t>
                </w:r>
                <w:r w:rsidR="00272382">
                  <w:rPr>
                    <w:webHidden/>
                  </w:rPr>
                  <w:tab/>
                </w:r>
                <w:r w:rsidR="00272382">
                  <w:rPr>
                    <w:webHidden/>
                  </w:rPr>
                  <w:fldChar w:fldCharType="begin"/>
                </w:r>
                <w:r w:rsidR="00272382">
                  <w:rPr>
                    <w:webHidden/>
                  </w:rPr>
                  <w:instrText xml:space="preserve"> PAGEREF _Toc517706691 \h </w:instrText>
                </w:r>
                <w:r w:rsidR="00272382">
                  <w:rPr>
                    <w:webHidden/>
                  </w:rPr>
                </w:r>
                <w:r w:rsidR="00272382">
                  <w:rPr>
                    <w:webHidden/>
                  </w:rPr>
                  <w:fldChar w:fldCharType="separate"/>
                </w:r>
                <w:r w:rsidR="00272382">
                  <w:rPr>
                    <w:webHidden/>
                  </w:rPr>
                  <w:t>171</w:t>
                </w:r>
                <w:r w:rsidR="00272382">
                  <w:rPr>
                    <w:webHidden/>
                  </w:rPr>
                  <w:fldChar w:fldCharType="end"/>
                </w:r>
              </w:hyperlink>
            </w:p>
            <w:p w14:paraId="0F5D887C" w14:textId="77777777" w:rsidR="00272382" w:rsidRDefault="00013E76">
              <w:pPr>
                <w:pStyle w:val="TOC2"/>
                <w:rPr>
                  <w:rFonts w:asciiTheme="minorHAnsi" w:eastAsiaTheme="minorEastAsia" w:hAnsiTheme="minorHAnsi" w:cstheme="minorBidi"/>
                  <w:color w:val="auto"/>
                  <w:sz w:val="22"/>
                </w:rPr>
              </w:pPr>
              <w:hyperlink w:anchor="_Toc517706692" w:history="1">
                <w:r w:rsidR="00272382" w:rsidRPr="003E204A">
                  <w:rPr>
                    <w:rStyle w:val="Hyperlink"/>
                    <w14:scene3d>
                      <w14:camera w14:prst="orthographicFront"/>
                      <w14:lightRig w14:rig="threePt" w14:dir="t">
                        <w14:rot w14:lat="0" w14:lon="0" w14:rev="0"/>
                      </w14:lightRig>
                    </w14:scene3d>
                  </w:rPr>
                  <w:t>11</w:t>
                </w:r>
                <w:r w:rsidR="00272382">
                  <w:rPr>
                    <w:rFonts w:asciiTheme="minorHAnsi" w:eastAsiaTheme="minorEastAsia" w:hAnsiTheme="minorHAnsi" w:cstheme="minorBidi"/>
                    <w:color w:val="auto"/>
                    <w:sz w:val="22"/>
                  </w:rPr>
                  <w:tab/>
                </w:r>
                <w:r w:rsidR="00272382" w:rsidRPr="003E204A">
                  <w:rPr>
                    <w:rStyle w:val="Hyperlink"/>
                  </w:rPr>
                  <w:t>National health impacts</w:t>
                </w:r>
                <w:r w:rsidR="00272382">
                  <w:rPr>
                    <w:webHidden/>
                  </w:rPr>
                  <w:tab/>
                </w:r>
                <w:r w:rsidR="00272382">
                  <w:rPr>
                    <w:webHidden/>
                  </w:rPr>
                  <w:fldChar w:fldCharType="begin"/>
                </w:r>
                <w:r w:rsidR="00272382">
                  <w:rPr>
                    <w:webHidden/>
                  </w:rPr>
                  <w:instrText xml:space="preserve"> PAGEREF _Toc517706692 \h </w:instrText>
                </w:r>
                <w:r w:rsidR="00272382">
                  <w:rPr>
                    <w:webHidden/>
                  </w:rPr>
                </w:r>
                <w:r w:rsidR="00272382">
                  <w:rPr>
                    <w:webHidden/>
                  </w:rPr>
                  <w:fldChar w:fldCharType="separate"/>
                </w:r>
                <w:r w:rsidR="00272382">
                  <w:rPr>
                    <w:webHidden/>
                  </w:rPr>
                  <w:t>172</w:t>
                </w:r>
                <w:r w:rsidR="00272382">
                  <w:rPr>
                    <w:webHidden/>
                  </w:rPr>
                  <w:fldChar w:fldCharType="end"/>
                </w:r>
              </w:hyperlink>
            </w:p>
            <w:p w14:paraId="1249A73C" w14:textId="77777777" w:rsidR="00272382" w:rsidRDefault="00013E76">
              <w:pPr>
                <w:pStyle w:val="TOC3"/>
                <w:rPr>
                  <w:rFonts w:asciiTheme="minorHAnsi" w:eastAsiaTheme="minorEastAsia" w:hAnsiTheme="minorHAnsi" w:cstheme="minorBidi"/>
                  <w:noProof/>
                  <w:color w:val="auto"/>
                  <w:sz w:val="22"/>
                </w:rPr>
              </w:pPr>
              <w:hyperlink w:anchor="_Toc517706693" w:history="1">
                <w:r w:rsidR="00272382" w:rsidRPr="003E204A">
                  <w:rPr>
                    <w:rStyle w:val="Hyperlink"/>
                    <w:noProof/>
                  </w:rPr>
                  <w:t>11.1</w:t>
                </w:r>
                <w:r w:rsidR="00272382">
                  <w:rPr>
                    <w:rFonts w:asciiTheme="minorHAnsi" w:eastAsiaTheme="minorEastAsia" w:hAnsiTheme="minorHAnsi" w:cstheme="minorBidi"/>
                    <w:noProof/>
                    <w:color w:val="auto"/>
                    <w:sz w:val="22"/>
                  </w:rPr>
                  <w:tab/>
                </w:r>
                <w:r w:rsidR="00272382" w:rsidRPr="003E204A">
                  <w:rPr>
                    <w:rStyle w:val="Hyperlink"/>
                    <w:noProof/>
                  </w:rPr>
                  <w:t>Introduction</w:t>
                </w:r>
                <w:r w:rsidR="00272382">
                  <w:rPr>
                    <w:noProof/>
                    <w:webHidden/>
                  </w:rPr>
                  <w:tab/>
                </w:r>
                <w:r w:rsidR="00272382">
                  <w:rPr>
                    <w:noProof/>
                    <w:webHidden/>
                  </w:rPr>
                  <w:fldChar w:fldCharType="begin"/>
                </w:r>
                <w:r w:rsidR="00272382">
                  <w:rPr>
                    <w:noProof/>
                    <w:webHidden/>
                  </w:rPr>
                  <w:instrText xml:space="preserve"> PAGEREF _Toc517706693 \h </w:instrText>
                </w:r>
                <w:r w:rsidR="00272382">
                  <w:rPr>
                    <w:noProof/>
                    <w:webHidden/>
                  </w:rPr>
                </w:r>
                <w:r w:rsidR="00272382">
                  <w:rPr>
                    <w:noProof/>
                    <w:webHidden/>
                  </w:rPr>
                  <w:fldChar w:fldCharType="separate"/>
                </w:r>
                <w:r w:rsidR="00272382">
                  <w:rPr>
                    <w:noProof/>
                    <w:webHidden/>
                  </w:rPr>
                  <w:t>172</w:t>
                </w:r>
                <w:r w:rsidR="00272382">
                  <w:rPr>
                    <w:noProof/>
                    <w:webHidden/>
                  </w:rPr>
                  <w:fldChar w:fldCharType="end"/>
                </w:r>
              </w:hyperlink>
            </w:p>
            <w:p w14:paraId="2EA16664" w14:textId="77777777" w:rsidR="00272382" w:rsidRDefault="00013E76">
              <w:pPr>
                <w:pStyle w:val="TOC3"/>
                <w:rPr>
                  <w:rFonts w:asciiTheme="minorHAnsi" w:eastAsiaTheme="minorEastAsia" w:hAnsiTheme="minorHAnsi" w:cstheme="minorBidi"/>
                  <w:noProof/>
                  <w:color w:val="auto"/>
                  <w:sz w:val="22"/>
                </w:rPr>
              </w:pPr>
              <w:hyperlink w:anchor="_Toc517706694" w:history="1">
                <w:r w:rsidR="00272382" w:rsidRPr="003E204A">
                  <w:rPr>
                    <w:rStyle w:val="Hyperlink"/>
                    <w:noProof/>
                  </w:rPr>
                  <w:t>11.2</w:t>
                </w:r>
                <w:r w:rsidR="00272382">
                  <w:rPr>
                    <w:rFonts w:asciiTheme="minorHAnsi" w:eastAsiaTheme="minorEastAsia" w:hAnsiTheme="minorHAnsi" w:cstheme="minorBidi"/>
                    <w:noProof/>
                    <w:color w:val="auto"/>
                    <w:sz w:val="22"/>
                  </w:rPr>
                  <w:tab/>
                </w:r>
                <w:r w:rsidR="00272382" w:rsidRPr="003E204A">
                  <w:rPr>
                    <w:rStyle w:val="Hyperlink"/>
                    <w:noProof/>
                  </w:rPr>
                  <w:t>Trends for rates of disease potentially relevant to e-cigarette use</w:t>
                </w:r>
                <w:r w:rsidR="00272382">
                  <w:rPr>
                    <w:noProof/>
                    <w:webHidden/>
                  </w:rPr>
                  <w:tab/>
                </w:r>
                <w:r w:rsidR="00272382">
                  <w:rPr>
                    <w:noProof/>
                    <w:webHidden/>
                  </w:rPr>
                  <w:fldChar w:fldCharType="begin"/>
                </w:r>
                <w:r w:rsidR="00272382">
                  <w:rPr>
                    <w:noProof/>
                    <w:webHidden/>
                  </w:rPr>
                  <w:instrText xml:space="preserve"> PAGEREF _Toc517706694 \h </w:instrText>
                </w:r>
                <w:r w:rsidR="00272382">
                  <w:rPr>
                    <w:noProof/>
                    <w:webHidden/>
                  </w:rPr>
                </w:r>
                <w:r w:rsidR="00272382">
                  <w:rPr>
                    <w:noProof/>
                    <w:webHidden/>
                  </w:rPr>
                  <w:fldChar w:fldCharType="separate"/>
                </w:r>
                <w:r w:rsidR="00272382">
                  <w:rPr>
                    <w:noProof/>
                    <w:webHidden/>
                  </w:rPr>
                  <w:t>173</w:t>
                </w:r>
                <w:r w:rsidR="00272382">
                  <w:rPr>
                    <w:noProof/>
                    <w:webHidden/>
                  </w:rPr>
                  <w:fldChar w:fldCharType="end"/>
                </w:r>
              </w:hyperlink>
            </w:p>
            <w:p w14:paraId="00E1C9A6" w14:textId="77777777" w:rsidR="00272382" w:rsidRDefault="00013E76">
              <w:pPr>
                <w:pStyle w:val="TOC3"/>
                <w:rPr>
                  <w:rFonts w:asciiTheme="minorHAnsi" w:eastAsiaTheme="minorEastAsia" w:hAnsiTheme="minorHAnsi" w:cstheme="minorBidi"/>
                  <w:noProof/>
                  <w:color w:val="auto"/>
                  <w:sz w:val="22"/>
                </w:rPr>
              </w:pPr>
              <w:hyperlink w:anchor="_Toc517706695" w:history="1">
                <w:r w:rsidR="00272382" w:rsidRPr="003E204A">
                  <w:rPr>
                    <w:rStyle w:val="Hyperlink"/>
                    <w:noProof/>
                  </w:rPr>
                  <w:t>11.3</w:t>
                </w:r>
                <w:r w:rsidR="00272382">
                  <w:rPr>
                    <w:rFonts w:asciiTheme="minorHAnsi" w:eastAsiaTheme="minorEastAsia" w:hAnsiTheme="minorHAnsi" w:cstheme="minorBidi"/>
                    <w:noProof/>
                    <w:color w:val="auto"/>
                    <w:sz w:val="22"/>
                  </w:rPr>
                  <w:tab/>
                </w:r>
                <w:r w:rsidR="00272382" w:rsidRPr="003E204A">
                  <w:rPr>
                    <w:rStyle w:val="Hyperlink"/>
                    <w:noProof/>
                  </w:rPr>
                  <w:t>Potential impact of e</w:t>
                </w:r>
                <w:r w:rsidR="00272382" w:rsidRPr="003E204A">
                  <w:rPr>
                    <w:rStyle w:val="Hyperlink"/>
                    <w:noProof/>
                  </w:rPr>
                  <w:noBreakHyphen/>
                  <w:t>cigarettes on conventional cigarette smoking</w:t>
                </w:r>
                <w:r w:rsidR="00272382">
                  <w:rPr>
                    <w:noProof/>
                    <w:webHidden/>
                  </w:rPr>
                  <w:tab/>
                </w:r>
                <w:r w:rsidR="00272382">
                  <w:rPr>
                    <w:noProof/>
                    <w:webHidden/>
                  </w:rPr>
                  <w:fldChar w:fldCharType="begin"/>
                </w:r>
                <w:r w:rsidR="00272382">
                  <w:rPr>
                    <w:noProof/>
                    <w:webHidden/>
                  </w:rPr>
                  <w:instrText xml:space="preserve"> PAGEREF _Toc517706695 \h </w:instrText>
                </w:r>
                <w:r w:rsidR="00272382">
                  <w:rPr>
                    <w:noProof/>
                    <w:webHidden/>
                  </w:rPr>
                </w:r>
                <w:r w:rsidR="00272382">
                  <w:rPr>
                    <w:noProof/>
                    <w:webHidden/>
                  </w:rPr>
                  <w:fldChar w:fldCharType="separate"/>
                </w:r>
                <w:r w:rsidR="00272382">
                  <w:rPr>
                    <w:noProof/>
                    <w:webHidden/>
                  </w:rPr>
                  <w:t>174</w:t>
                </w:r>
                <w:r w:rsidR="00272382">
                  <w:rPr>
                    <w:noProof/>
                    <w:webHidden/>
                  </w:rPr>
                  <w:fldChar w:fldCharType="end"/>
                </w:r>
              </w:hyperlink>
            </w:p>
            <w:p w14:paraId="71018512" w14:textId="77777777" w:rsidR="00272382" w:rsidRDefault="00013E76">
              <w:pPr>
                <w:pStyle w:val="TOC3"/>
                <w:rPr>
                  <w:rFonts w:asciiTheme="minorHAnsi" w:eastAsiaTheme="minorEastAsia" w:hAnsiTheme="minorHAnsi" w:cstheme="minorBidi"/>
                  <w:noProof/>
                  <w:color w:val="auto"/>
                  <w:sz w:val="22"/>
                </w:rPr>
              </w:pPr>
              <w:hyperlink w:anchor="_Toc517706696" w:history="1">
                <w:r w:rsidR="00272382" w:rsidRPr="003E204A">
                  <w:rPr>
                    <w:rStyle w:val="Hyperlink"/>
                    <w:noProof/>
                  </w:rPr>
                  <w:t>11.4</w:t>
                </w:r>
                <w:r w:rsidR="00272382">
                  <w:rPr>
                    <w:rFonts w:asciiTheme="minorHAnsi" w:eastAsiaTheme="minorEastAsia" w:hAnsiTheme="minorHAnsi" w:cstheme="minorBidi"/>
                    <w:noProof/>
                    <w:color w:val="auto"/>
                    <w:sz w:val="22"/>
                  </w:rPr>
                  <w:tab/>
                </w:r>
                <w:r w:rsidR="00272382" w:rsidRPr="003E204A">
                  <w:rPr>
                    <w:rStyle w:val="Hyperlink"/>
                    <w:noProof/>
                  </w:rPr>
                  <w:t>Key findings</w:t>
                </w:r>
                <w:r w:rsidR="00272382">
                  <w:rPr>
                    <w:noProof/>
                    <w:webHidden/>
                  </w:rPr>
                  <w:tab/>
                </w:r>
                <w:r w:rsidR="00272382">
                  <w:rPr>
                    <w:noProof/>
                    <w:webHidden/>
                  </w:rPr>
                  <w:fldChar w:fldCharType="begin"/>
                </w:r>
                <w:r w:rsidR="00272382">
                  <w:rPr>
                    <w:noProof/>
                    <w:webHidden/>
                  </w:rPr>
                  <w:instrText xml:space="preserve"> PAGEREF _Toc517706696 \h </w:instrText>
                </w:r>
                <w:r w:rsidR="00272382">
                  <w:rPr>
                    <w:noProof/>
                    <w:webHidden/>
                  </w:rPr>
                </w:r>
                <w:r w:rsidR="00272382">
                  <w:rPr>
                    <w:noProof/>
                    <w:webHidden/>
                  </w:rPr>
                  <w:fldChar w:fldCharType="separate"/>
                </w:r>
                <w:r w:rsidR="00272382">
                  <w:rPr>
                    <w:noProof/>
                    <w:webHidden/>
                  </w:rPr>
                  <w:t>175</w:t>
                </w:r>
                <w:r w:rsidR="00272382">
                  <w:rPr>
                    <w:noProof/>
                    <w:webHidden/>
                  </w:rPr>
                  <w:fldChar w:fldCharType="end"/>
                </w:r>
              </w:hyperlink>
            </w:p>
            <w:p w14:paraId="625B0457" w14:textId="77777777" w:rsidR="00272382" w:rsidRDefault="00013E76">
              <w:pPr>
                <w:pStyle w:val="TOC2"/>
                <w:rPr>
                  <w:rFonts w:asciiTheme="minorHAnsi" w:eastAsiaTheme="minorEastAsia" w:hAnsiTheme="minorHAnsi" w:cstheme="minorBidi"/>
                  <w:color w:val="auto"/>
                  <w:sz w:val="22"/>
                </w:rPr>
              </w:pPr>
              <w:hyperlink w:anchor="_Toc517706697" w:history="1">
                <w:r w:rsidR="00272382" w:rsidRPr="003E204A">
                  <w:rPr>
                    <w:rStyle w:val="Hyperlink"/>
                    <w14:scene3d>
                      <w14:camera w14:prst="orthographicFront"/>
                      <w14:lightRig w14:rig="threePt" w14:dir="t">
                        <w14:rot w14:lat="0" w14:lon="0" w14:rev="0"/>
                      </w14:lightRig>
                    </w14:scene3d>
                  </w:rPr>
                  <w:t>12</w:t>
                </w:r>
                <w:r w:rsidR="00272382">
                  <w:rPr>
                    <w:rFonts w:asciiTheme="minorHAnsi" w:eastAsiaTheme="minorEastAsia" w:hAnsiTheme="minorHAnsi" w:cstheme="minorBidi"/>
                    <w:color w:val="auto"/>
                    <w:sz w:val="22"/>
                  </w:rPr>
                  <w:tab/>
                </w:r>
                <w:r w:rsidR="00272382" w:rsidRPr="003E204A">
                  <w:rPr>
                    <w:rStyle w:val="Hyperlink"/>
                  </w:rPr>
                  <w:t>Modelling studies</w:t>
                </w:r>
                <w:r w:rsidR="00272382">
                  <w:rPr>
                    <w:webHidden/>
                  </w:rPr>
                  <w:tab/>
                </w:r>
                <w:r w:rsidR="00272382">
                  <w:rPr>
                    <w:webHidden/>
                  </w:rPr>
                  <w:fldChar w:fldCharType="begin"/>
                </w:r>
                <w:r w:rsidR="00272382">
                  <w:rPr>
                    <w:webHidden/>
                  </w:rPr>
                  <w:instrText xml:space="preserve"> PAGEREF _Toc517706697 \h </w:instrText>
                </w:r>
                <w:r w:rsidR="00272382">
                  <w:rPr>
                    <w:webHidden/>
                  </w:rPr>
                </w:r>
                <w:r w:rsidR="00272382">
                  <w:rPr>
                    <w:webHidden/>
                  </w:rPr>
                  <w:fldChar w:fldCharType="separate"/>
                </w:r>
                <w:r w:rsidR="00272382">
                  <w:rPr>
                    <w:webHidden/>
                  </w:rPr>
                  <w:t>177</w:t>
                </w:r>
                <w:r w:rsidR="00272382">
                  <w:rPr>
                    <w:webHidden/>
                  </w:rPr>
                  <w:fldChar w:fldCharType="end"/>
                </w:r>
              </w:hyperlink>
            </w:p>
            <w:p w14:paraId="58C26C46" w14:textId="77777777" w:rsidR="00272382" w:rsidRDefault="00013E76">
              <w:pPr>
                <w:pStyle w:val="TOC3"/>
                <w:rPr>
                  <w:rFonts w:asciiTheme="minorHAnsi" w:eastAsiaTheme="minorEastAsia" w:hAnsiTheme="minorHAnsi" w:cstheme="minorBidi"/>
                  <w:noProof/>
                  <w:color w:val="auto"/>
                  <w:sz w:val="22"/>
                </w:rPr>
              </w:pPr>
              <w:hyperlink w:anchor="_Toc517706698" w:history="1">
                <w:r w:rsidR="00272382" w:rsidRPr="003E204A">
                  <w:rPr>
                    <w:rStyle w:val="Hyperlink"/>
                    <w:noProof/>
                  </w:rPr>
                  <w:t>12.1</w:t>
                </w:r>
                <w:r w:rsidR="00272382">
                  <w:rPr>
                    <w:rFonts w:asciiTheme="minorHAnsi" w:eastAsiaTheme="minorEastAsia" w:hAnsiTheme="minorHAnsi" w:cstheme="minorBidi"/>
                    <w:noProof/>
                    <w:color w:val="auto"/>
                    <w:sz w:val="22"/>
                  </w:rPr>
                  <w:tab/>
                </w:r>
                <w:r w:rsidR="00272382" w:rsidRPr="003E204A">
                  <w:rPr>
                    <w:rStyle w:val="Hyperlink"/>
                    <w:noProof/>
                  </w:rPr>
                  <w:t>Introduction</w:t>
                </w:r>
                <w:r w:rsidR="00272382">
                  <w:rPr>
                    <w:noProof/>
                    <w:webHidden/>
                  </w:rPr>
                  <w:tab/>
                </w:r>
                <w:r w:rsidR="00272382">
                  <w:rPr>
                    <w:noProof/>
                    <w:webHidden/>
                  </w:rPr>
                  <w:fldChar w:fldCharType="begin"/>
                </w:r>
                <w:r w:rsidR="00272382">
                  <w:rPr>
                    <w:noProof/>
                    <w:webHidden/>
                  </w:rPr>
                  <w:instrText xml:space="preserve"> PAGEREF _Toc517706698 \h </w:instrText>
                </w:r>
                <w:r w:rsidR="00272382">
                  <w:rPr>
                    <w:noProof/>
                    <w:webHidden/>
                  </w:rPr>
                </w:r>
                <w:r w:rsidR="00272382">
                  <w:rPr>
                    <w:noProof/>
                    <w:webHidden/>
                  </w:rPr>
                  <w:fldChar w:fldCharType="separate"/>
                </w:r>
                <w:r w:rsidR="00272382">
                  <w:rPr>
                    <w:noProof/>
                    <w:webHidden/>
                  </w:rPr>
                  <w:t>177</w:t>
                </w:r>
                <w:r w:rsidR="00272382">
                  <w:rPr>
                    <w:noProof/>
                    <w:webHidden/>
                  </w:rPr>
                  <w:fldChar w:fldCharType="end"/>
                </w:r>
              </w:hyperlink>
            </w:p>
            <w:p w14:paraId="35C09E22" w14:textId="77777777" w:rsidR="00272382" w:rsidRDefault="00013E76">
              <w:pPr>
                <w:pStyle w:val="TOC3"/>
                <w:rPr>
                  <w:rFonts w:asciiTheme="minorHAnsi" w:eastAsiaTheme="minorEastAsia" w:hAnsiTheme="minorHAnsi" w:cstheme="minorBidi"/>
                  <w:noProof/>
                  <w:color w:val="auto"/>
                  <w:sz w:val="22"/>
                </w:rPr>
              </w:pPr>
              <w:hyperlink w:anchor="_Toc517706699" w:history="1">
                <w:r w:rsidR="00272382" w:rsidRPr="003E204A">
                  <w:rPr>
                    <w:rStyle w:val="Hyperlink"/>
                    <w:noProof/>
                  </w:rPr>
                  <w:t>12.2</w:t>
                </w:r>
                <w:r w:rsidR="00272382">
                  <w:rPr>
                    <w:rFonts w:asciiTheme="minorHAnsi" w:eastAsiaTheme="minorEastAsia" w:hAnsiTheme="minorHAnsi" w:cstheme="minorBidi"/>
                    <w:noProof/>
                    <w:color w:val="auto"/>
                    <w:sz w:val="22"/>
                  </w:rPr>
                  <w:tab/>
                </w:r>
                <w:r w:rsidR="00272382" w:rsidRPr="003E204A">
                  <w:rPr>
                    <w:rStyle w:val="Hyperlink"/>
                    <w:noProof/>
                  </w:rPr>
                  <w:t>Population health benefits and harms from e</w:t>
                </w:r>
                <w:r w:rsidR="00272382" w:rsidRPr="003E204A">
                  <w:rPr>
                    <w:rStyle w:val="Hyperlink"/>
                    <w:noProof/>
                  </w:rPr>
                  <w:noBreakHyphen/>
                  <w:t>cigarettes in the United States.</w:t>
                </w:r>
                <w:r w:rsidR="00272382">
                  <w:rPr>
                    <w:noProof/>
                    <w:webHidden/>
                  </w:rPr>
                  <w:tab/>
                </w:r>
                <w:r w:rsidR="00272382">
                  <w:rPr>
                    <w:noProof/>
                    <w:webHidden/>
                  </w:rPr>
                  <w:fldChar w:fldCharType="begin"/>
                </w:r>
                <w:r w:rsidR="00272382">
                  <w:rPr>
                    <w:noProof/>
                    <w:webHidden/>
                  </w:rPr>
                  <w:instrText xml:space="preserve"> PAGEREF _Toc517706699 \h </w:instrText>
                </w:r>
                <w:r w:rsidR="00272382">
                  <w:rPr>
                    <w:noProof/>
                    <w:webHidden/>
                  </w:rPr>
                </w:r>
                <w:r w:rsidR="00272382">
                  <w:rPr>
                    <w:noProof/>
                    <w:webHidden/>
                  </w:rPr>
                  <w:fldChar w:fldCharType="separate"/>
                </w:r>
                <w:r w:rsidR="00272382">
                  <w:rPr>
                    <w:noProof/>
                    <w:webHidden/>
                  </w:rPr>
                  <w:t>177</w:t>
                </w:r>
                <w:r w:rsidR="00272382">
                  <w:rPr>
                    <w:noProof/>
                    <w:webHidden/>
                  </w:rPr>
                  <w:fldChar w:fldCharType="end"/>
                </w:r>
              </w:hyperlink>
            </w:p>
            <w:p w14:paraId="397F5CFD" w14:textId="77777777" w:rsidR="00272382" w:rsidRDefault="00013E76">
              <w:pPr>
                <w:pStyle w:val="TOC3"/>
                <w:rPr>
                  <w:rFonts w:asciiTheme="minorHAnsi" w:eastAsiaTheme="minorEastAsia" w:hAnsiTheme="minorHAnsi" w:cstheme="minorBidi"/>
                  <w:noProof/>
                  <w:color w:val="auto"/>
                  <w:sz w:val="22"/>
                </w:rPr>
              </w:pPr>
              <w:hyperlink w:anchor="_Toc517706700" w:history="1">
                <w:r w:rsidR="00272382" w:rsidRPr="003E204A">
                  <w:rPr>
                    <w:rStyle w:val="Hyperlink"/>
                    <w:noProof/>
                  </w:rPr>
                  <w:t>12.3</w:t>
                </w:r>
                <w:r w:rsidR="00272382">
                  <w:rPr>
                    <w:rFonts w:asciiTheme="minorHAnsi" w:eastAsiaTheme="minorEastAsia" w:hAnsiTheme="minorHAnsi" w:cstheme="minorBidi"/>
                    <w:noProof/>
                    <w:color w:val="auto"/>
                    <w:sz w:val="22"/>
                  </w:rPr>
                  <w:tab/>
                </w:r>
                <w:r w:rsidR="00272382" w:rsidRPr="003E204A">
                  <w:rPr>
                    <w:rStyle w:val="Hyperlink"/>
                    <w:noProof/>
                  </w:rPr>
                  <w:t>Potential deaths averted in the US by replacing cigarettes with e</w:t>
                </w:r>
                <w:r w:rsidR="00272382" w:rsidRPr="003E204A">
                  <w:rPr>
                    <w:rStyle w:val="Hyperlink"/>
                    <w:noProof/>
                  </w:rPr>
                  <w:noBreakHyphen/>
                  <w:t>cigarettes</w:t>
                </w:r>
                <w:r w:rsidR="00272382">
                  <w:rPr>
                    <w:noProof/>
                    <w:webHidden/>
                  </w:rPr>
                  <w:tab/>
                </w:r>
                <w:r w:rsidR="00272382">
                  <w:rPr>
                    <w:noProof/>
                    <w:webHidden/>
                  </w:rPr>
                  <w:fldChar w:fldCharType="begin"/>
                </w:r>
                <w:r w:rsidR="00272382">
                  <w:rPr>
                    <w:noProof/>
                    <w:webHidden/>
                  </w:rPr>
                  <w:instrText xml:space="preserve"> PAGEREF _Toc517706700 \h </w:instrText>
                </w:r>
                <w:r w:rsidR="00272382">
                  <w:rPr>
                    <w:noProof/>
                    <w:webHidden/>
                  </w:rPr>
                </w:r>
                <w:r w:rsidR="00272382">
                  <w:rPr>
                    <w:noProof/>
                    <w:webHidden/>
                  </w:rPr>
                  <w:fldChar w:fldCharType="separate"/>
                </w:r>
                <w:r w:rsidR="00272382">
                  <w:rPr>
                    <w:noProof/>
                    <w:webHidden/>
                  </w:rPr>
                  <w:t>179</w:t>
                </w:r>
                <w:r w:rsidR="00272382">
                  <w:rPr>
                    <w:noProof/>
                    <w:webHidden/>
                  </w:rPr>
                  <w:fldChar w:fldCharType="end"/>
                </w:r>
              </w:hyperlink>
            </w:p>
            <w:p w14:paraId="661F1932" w14:textId="77777777" w:rsidR="00272382" w:rsidRDefault="00013E76">
              <w:pPr>
                <w:pStyle w:val="TOC3"/>
                <w:rPr>
                  <w:rFonts w:asciiTheme="minorHAnsi" w:eastAsiaTheme="minorEastAsia" w:hAnsiTheme="minorHAnsi" w:cstheme="minorBidi"/>
                  <w:noProof/>
                  <w:color w:val="auto"/>
                  <w:sz w:val="22"/>
                </w:rPr>
              </w:pPr>
              <w:hyperlink w:anchor="_Toc517706701" w:history="1">
                <w:r w:rsidR="00272382" w:rsidRPr="003E204A">
                  <w:rPr>
                    <w:rStyle w:val="Hyperlink"/>
                    <w:noProof/>
                  </w:rPr>
                  <w:t>12.4</w:t>
                </w:r>
                <w:r w:rsidR="00272382">
                  <w:rPr>
                    <w:rFonts w:asciiTheme="minorHAnsi" w:eastAsiaTheme="minorEastAsia" w:hAnsiTheme="minorHAnsi" w:cstheme="minorBidi"/>
                    <w:noProof/>
                    <w:color w:val="auto"/>
                    <w:sz w:val="22"/>
                  </w:rPr>
                  <w:tab/>
                </w:r>
                <w:r w:rsidR="00272382" w:rsidRPr="003E204A">
                  <w:rPr>
                    <w:rStyle w:val="Hyperlink"/>
                    <w:noProof/>
                  </w:rPr>
                  <w:t>Key findings</w:t>
                </w:r>
                <w:r w:rsidR="00272382">
                  <w:rPr>
                    <w:noProof/>
                    <w:webHidden/>
                  </w:rPr>
                  <w:tab/>
                </w:r>
                <w:r w:rsidR="00272382">
                  <w:rPr>
                    <w:noProof/>
                    <w:webHidden/>
                  </w:rPr>
                  <w:fldChar w:fldCharType="begin"/>
                </w:r>
                <w:r w:rsidR="00272382">
                  <w:rPr>
                    <w:noProof/>
                    <w:webHidden/>
                  </w:rPr>
                  <w:instrText xml:space="preserve"> PAGEREF _Toc517706701 \h </w:instrText>
                </w:r>
                <w:r w:rsidR="00272382">
                  <w:rPr>
                    <w:noProof/>
                    <w:webHidden/>
                  </w:rPr>
                </w:r>
                <w:r w:rsidR="00272382">
                  <w:rPr>
                    <w:noProof/>
                    <w:webHidden/>
                  </w:rPr>
                  <w:fldChar w:fldCharType="separate"/>
                </w:r>
                <w:r w:rsidR="00272382">
                  <w:rPr>
                    <w:noProof/>
                    <w:webHidden/>
                  </w:rPr>
                  <w:t>179</w:t>
                </w:r>
                <w:r w:rsidR="00272382">
                  <w:rPr>
                    <w:noProof/>
                    <w:webHidden/>
                  </w:rPr>
                  <w:fldChar w:fldCharType="end"/>
                </w:r>
              </w:hyperlink>
            </w:p>
            <w:p w14:paraId="52167159" w14:textId="77777777" w:rsidR="00272382" w:rsidRDefault="00013E76">
              <w:pPr>
                <w:pStyle w:val="TOC1"/>
                <w:rPr>
                  <w:rFonts w:asciiTheme="minorHAnsi" w:eastAsiaTheme="minorEastAsia" w:hAnsiTheme="minorHAnsi" w:cstheme="minorBidi"/>
                  <w:b w:val="0"/>
                  <w:color w:val="auto"/>
                  <w:sz w:val="22"/>
                </w:rPr>
              </w:pPr>
              <w:hyperlink w:anchor="_Toc517706702" w:history="1">
                <w:r w:rsidR="00272382" w:rsidRPr="003E204A">
                  <w:rPr>
                    <w:rStyle w:val="Hyperlink"/>
                  </w:rPr>
                  <w:t>PART 4: Impact on health of e-cigarettes and personal vaporisers in smokers</w:t>
                </w:r>
                <w:r w:rsidR="00272382">
                  <w:rPr>
                    <w:webHidden/>
                  </w:rPr>
                  <w:tab/>
                </w:r>
                <w:r w:rsidR="00272382">
                  <w:rPr>
                    <w:webHidden/>
                  </w:rPr>
                  <w:fldChar w:fldCharType="begin"/>
                </w:r>
                <w:r w:rsidR="00272382">
                  <w:rPr>
                    <w:webHidden/>
                  </w:rPr>
                  <w:instrText xml:space="preserve"> PAGEREF _Toc517706702 \h </w:instrText>
                </w:r>
                <w:r w:rsidR="00272382">
                  <w:rPr>
                    <w:webHidden/>
                  </w:rPr>
                </w:r>
                <w:r w:rsidR="00272382">
                  <w:rPr>
                    <w:webHidden/>
                  </w:rPr>
                  <w:fldChar w:fldCharType="separate"/>
                </w:r>
                <w:r w:rsidR="00272382">
                  <w:rPr>
                    <w:webHidden/>
                  </w:rPr>
                  <w:t>180</w:t>
                </w:r>
                <w:r w:rsidR="00272382">
                  <w:rPr>
                    <w:webHidden/>
                  </w:rPr>
                  <w:fldChar w:fldCharType="end"/>
                </w:r>
              </w:hyperlink>
            </w:p>
            <w:p w14:paraId="42074989" w14:textId="77777777" w:rsidR="00272382" w:rsidRDefault="00013E76">
              <w:pPr>
                <w:pStyle w:val="TOC2"/>
                <w:rPr>
                  <w:rFonts w:asciiTheme="minorHAnsi" w:eastAsiaTheme="minorEastAsia" w:hAnsiTheme="minorHAnsi" w:cstheme="minorBidi"/>
                  <w:color w:val="auto"/>
                  <w:sz w:val="22"/>
                </w:rPr>
              </w:pPr>
              <w:hyperlink w:anchor="_Toc517706703" w:history="1">
                <w:r w:rsidR="00272382" w:rsidRPr="003E204A">
                  <w:rPr>
                    <w:rStyle w:val="Hyperlink"/>
                    <w14:scene3d>
                      <w14:camera w14:prst="orthographicFront"/>
                      <w14:lightRig w14:rig="threePt" w14:dir="t">
                        <w14:rot w14:lat="0" w14:lon="0" w14:rev="0"/>
                      </w14:lightRig>
                    </w14:scene3d>
                  </w:rPr>
                  <w:t>13</w:t>
                </w:r>
                <w:r w:rsidR="00272382">
                  <w:rPr>
                    <w:rFonts w:asciiTheme="minorHAnsi" w:eastAsiaTheme="minorEastAsia" w:hAnsiTheme="minorHAnsi" w:cstheme="minorBidi"/>
                    <w:color w:val="auto"/>
                    <w:sz w:val="22"/>
                  </w:rPr>
                  <w:tab/>
                </w:r>
                <w:r w:rsidR="00272382" w:rsidRPr="003E204A">
                  <w:rPr>
                    <w:rStyle w:val="Hyperlink"/>
                  </w:rPr>
                  <w:t>Introduction</w:t>
                </w:r>
                <w:r w:rsidR="00272382">
                  <w:rPr>
                    <w:webHidden/>
                  </w:rPr>
                  <w:tab/>
                </w:r>
                <w:r w:rsidR="00272382">
                  <w:rPr>
                    <w:webHidden/>
                  </w:rPr>
                  <w:fldChar w:fldCharType="begin"/>
                </w:r>
                <w:r w:rsidR="00272382">
                  <w:rPr>
                    <w:webHidden/>
                  </w:rPr>
                  <w:instrText xml:space="preserve"> PAGEREF _Toc517706703 \h </w:instrText>
                </w:r>
                <w:r w:rsidR="00272382">
                  <w:rPr>
                    <w:webHidden/>
                  </w:rPr>
                </w:r>
                <w:r w:rsidR="00272382">
                  <w:rPr>
                    <w:webHidden/>
                  </w:rPr>
                  <w:fldChar w:fldCharType="separate"/>
                </w:r>
                <w:r w:rsidR="00272382">
                  <w:rPr>
                    <w:webHidden/>
                  </w:rPr>
                  <w:t>182</w:t>
                </w:r>
                <w:r w:rsidR="00272382">
                  <w:rPr>
                    <w:webHidden/>
                  </w:rPr>
                  <w:fldChar w:fldCharType="end"/>
                </w:r>
              </w:hyperlink>
            </w:p>
            <w:p w14:paraId="2C9CDD52" w14:textId="77777777" w:rsidR="00272382" w:rsidRDefault="00013E76">
              <w:pPr>
                <w:pStyle w:val="TOC2"/>
                <w:rPr>
                  <w:rFonts w:asciiTheme="minorHAnsi" w:eastAsiaTheme="minorEastAsia" w:hAnsiTheme="minorHAnsi" w:cstheme="minorBidi"/>
                  <w:color w:val="auto"/>
                  <w:sz w:val="22"/>
                </w:rPr>
              </w:pPr>
              <w:hyperlink w:anchor="_Toc517706704" w:history="1">
                <w:r w:rsidR="00272382" w:rsidRPr="003E204A">
                  <w:rPr>
                    <w:rStyle w:val="Hyperlink"/>
                    <w14:scene3d>
                      <w14:camera w14:prst="orthographicFront"/>
                      <w14:lightRig w14:rig="threePt" w14:dir="t">
                        <w14:rot w14:lat="0" w14:lon="0" w14:rev="0"/>
                      </w14:lightRig>
                    </w14:scene3d>
                  </w:rPr>
                  <w:t>14</w:t>
                </w:r>
                <w:r w:rsidR="00272382">
                  <w:rPr>
                    <w:rFonts w:asciiTheme="minorHAnsi" w:eastAsiaTheme="minorEastAsia" w:hAnsiTheme="minorHAnsi" w:cstheme="minorBidi"/>
                    <w:color w:val="auto"/>
                    <w:sz w:val="22"/>
                  </w:rPr>
                  <w:tab/>
                </w:r>
                <w:r w:rsidR="00272382" w:rsidRPr="003E204A">
                  <w:rPr>
                    <w:rStyle w:val="Hyperlink"/>
                  </w:rPr>
                  <w:t>Health effects of e-cigarettes on smokers or former smokers</w:t>
                </w:r>
                <w:r w:rsidR="00272382">
                  <w:rPr>
                    <w:webHidden/>
                  </w:rPr>
                  <w:tab/>
                </w:r>
                <w:r w:rsidR="00272382">
                  <w:rPr>
                    <w:webHidden/>
                  </w:rPr>
                  <w:fldChar w:fldCharType="begin"/>
                </w:r>
                <w:r w:rsidR="00272382">
                  <w:rPr>
                    <w:webHidden/>
                  </w:rPr>
                  <w:instrText xml:space="preserve"> PAGEREF _Toc517706704 \h </w:instrText>
                </w:r>
                <w:r w:rsidR="00272382">
                  <w:rPr>
                    <w:webHidden/>
                  </w:rPr>
                </w:r>
                <w:r w:rsidR="00272382">
                  <w:rPr>
                    <w:webHidden/>
                  </w:rPr>
                  <w:fldChar w:fldCharType="separate"/>
                </w:r>
                <w:r w:rsidR="00272382">
                  <w:rPr>
                    <w:webHidden/>
                  </w:rPr>
                  <w:t>183</w:t>
                </w:r>
                <w:r w:rsidR="00272382">
                  <w:rPr>
                    <w:webHidden/>
                  </w:rPr>
                  <w:fldChar w:fldCharType="end"/>
                </w:r>
              </w:hyperlink>
            </w:p>
            <w:p w14:paraId="18E35062" w14:textId="77777777" w:rsidR="00272382" w:rsidRDefault="00013E76">
              <w:pPr>
                <w:pStyle w:val="TOC3"/>
                <w:rPr>
                  <w:rFonts w:asciiTheme="minorHAnsi" w:eastAsiaTheme="minorEastAsia" w:hAnsiTheme="minorHAnsi" w:cstheme="minorBidi"/>
                  <w:noProof/>
                  <w:color w:val="auto"/>
                  <w:sz w:val="22"/>
                </w:rPr>
              </w:pPr>
              <w:hyperlink w:anchor="_Toc517706705" w:history="1">
                <w:r w:rsidR="00272382" w:rsidRPr="003E204A">
                  <w:rPr>
                    <w:rStyle w:val="Hyperlink"/>
                    <w:noProof/>
                  </w:rPr>
                  <w:t>14.1</w:t>
                </w:r>
                <w:r w:rsidR="00272382">
                  <w:rPr>
                    <w:rFonts w:asciiTheme="minorHAnsi" w:eastAsiaTheme="minorEastAsia" w:hAnsiTheme="minorHAnsi" w:cstheme="minorBidi"/>
                    <w:noProof/>
                    <w:color w:val="auto"/>
                    <w:sz w:val="22"/>
                  </w:rPr>
                  <w:tab/>
                </w:r>
                <w:r w:rsidR="00272382" w:rsidRPr="003E204A">
                  <w:rPr>
                    <w:rStyle w:val="Hyperlink"/>
                    <w:noProof/>
                  </w:rPr>
                  <w:t>Cardiovascular system</w:t>
                </w:r>
                <w:r w:rsidR="00272382">
                  <w:rPr>
                    <w:noProof/>
                    <w:webHidden/>
                  </w:rPr>
                  <w:tab/>
                </w:r>
                <w:r w:rsidR="00272382">
                  <w:rPr>
                    <w:noProof/>
                    <w:webHidden/>
                  </w:rPr>
                  <w:fldChar w:fldCharType="begin"/>
                </w:r>
                <w:r w:rsidR="00272382">
                  <w:rPr>
                    <w:noProof/>
                    <w:webHidden/>
                  </w:rPr>
                  <w:instrText xml:space="preserve"> PAGEREF _Toc517706705 \h </w:instrText>
                </w:r>
                <w:r w:rsidR="00272382">
                  <w:rPr>
                    <w:noProof/>
                    <w:webHidden/>
                  </w:rPr>
                </w:r>
                <w:r w:rsidR="00272382">
                  <w:rPr>
                    <w:noProof/>
                    <w:webHidden/>
                  </w:rPr>
                  <w:fldChar w:fldCharType="separate"/>
                </w:r>
                <w:r w:rsidR="00272382">
                  <w:rPr>
                    <w:noProof/>
                    <w:webHidden/>
                  </w:rPr>
                  <w:t>183</w:t>
                </w:r>
                <w:r w:rsidR="00272382">
                  <w:rPr>
                    <w:noProof/>
                    <w:webHidden/>
                  </w:rPr>
                  <w:fldChar w:fldCharType="end"/>
                </w:r>
              </w:hyperlink>
            </w:p>
            <w:p w14:paraId="638F7EEA" w14:textId="77777777" w:rsidR="00272382" w:rsidRDefault="00013E76">
              <w:pPr>
                <w:pStyle w:val="TOC3"/>
                <w:rPr>
                  <w:rFonts w:asciiTheme="minorHAnsi" w:eastAsiaTheme="minorEastAsia" w:hAnsiTheme="minorHAnsi" w:cstheme="minorBidi"/>
                  <w:noProof/>
                  <w:color w:val="auto"/>
                  <w:sz w:val="22"/>
                </w:rPr>
              </w:pPr>
              <w:hyperlink w:anchor="_Toc517706706" w:history="1">
                <w:r w:rsidR="00272382" w:rsidRPr="003E204A">
                  <w:rPr>
                    <w:rStyle w:val="Hyperlink"/>
                    <w:noProof/>
                  </w:rPr>
                  <w:t>14.2</w:t>
                </w:r>
                <w:r w:rsidR="00272382">
                  <w:rPr>
                    <w:rFonts w:asciiTheme="minorHAnsi" w:eastAsiaTheme="minorEastAsia" w:hAnsiTheme="minorHAnsi" w:cstheme="minorBidi"/>
                    <w:noProof/>
                    <w:color w:val="auto"/>
                    <w:sz w:val="22"/>
                  </w:rPr>
                  <w:tab/>
                </w:r>
                <w:r w:rsidR="00272382" w:rsidRPr="003E204A">
                  <w:rPr>
                    <w:rStyle w:val="Hyperlink"/>
                    <w:noProof/>
                  </w:rPr>
                  <w:t>Respiratory system</w:t>
                </w:r>
                <w:r w:rsidR="00272382">
                  <w:rPr>
                    <w:noProof/>
                    <w:webHidden/>
                  </w:rPr>
                  <w:tab/>
                </w:r>
                <w:r w:rsidR="00272382">
                  <w:rPr>
                    <w:noProof/>
                    <w:webHidden/>
                  </w:rPr>
                  <w:fldChar w:fldCharType="begin"/>
                </w:r>
                <w:r w:rsidR="00272382">
                  <w:rPr>
                    <w:noProof/>
                    <w:webHidden/>
                  </w:rPr>
                  <w:instrText xml:space="preserve"> PAGEREF _Toc517706706 \h </w:instrText>
                </w:r>
                <w:r w:rsidR="00272382">
                  <w:rPr>
                    <w:noProof/>
                    <w:webHidden/>
                  </w:rPr>
                </w:r>
                <w:r w:rsidR="00272382">
                  <w:rPr>
                    <w:noProof/>
                    <w:webHidden/>
                  </w:rPr>
                  <w:fldChar w:fldCharType="separate"/>
                </w:r>
                <w:r w:rsidR="00272382">
                  <w:rPr>
                    <w:noProof/>
                    <w:webHidden/>
                  </w:rPr>
                  <w:t>189</w:t>
                </w:r>
                <w:r w:rsidR="00272382">
                  <w:rPr>
                    <w:noProof/>
                    <w:webHidden/>
                  </w:rPr>
                  <w:fldChar w:fldCharType="end"/>
                </w:r>
              </w:hyperlink>
            </w:p>
            <w:p w14:paraId="1304C382" w14:textId="77777777" w:rsidR="00272382" w:rsidRDefault="00013E76">
              <w:pPr>
                <w:pStyle w:val="TOC3"/>
                <w:rPr>
                  <w:rFonts w:asciiTheme="minorHAnsi" w:eastAsiaTheme="minorEastAsia" w:hAnsiTheme="minorHAnsi" w:cstheme="minorBidi"/>
                  <w:noProof/>
                  <w:color w:val="auto"/>
                  <w:sz w:val="22"/>
                </w:rPr>
              </w:pPr>
              <w:hyperlink w:anchor="_Toc517706707" w:history="1">
                <w:r w:rsidR="00272382" w:rsidRPr="003E204A">
                  <w:rPr>
                    <w:rStyle w:val="Hyperlink"/>
                    <w:noProof/>
                  </w:rPr>
                  <w:t>14.3</w:t>
                </w:r>
                <w:r w:rsidR="00272382">
                  <w:rPr>
                    <w:rFonts w:asciiTheme="minorHAnsi" w:eastAsiaTheme="minorEastAsia" w:hAnsiTheme="minorHAnsi" w:cstheme="minorBidi"/>
                    <w:noProof/>
                    <w:color w:val="auto"/>
                    <w:sz w:val="22"/>
                  </w:rPr>
                  <w:tab/>
                </w:r>
                <w:r w:rsidR="00272382" w:rsidRPr="003E204A">
                  <w:rPr>
                    <w:rStyle w:val="Hyperlink"/>
                    <w:noProof/>
                  </w:rPr>
                  <w:t>Exposure to toxins and carcinogens</w:t>
                </w:r>
                <w:r w:rsidR="00272382">
                  <w:rPr>
                    <w:noProof/>
                    <w:webHidden/>
                  </w:rPr>
                  <w:tab/>
                </w:r>
                <w:r w:rsidR="00272382">
                  <w:rPr>
                    <w:noProof/>
                    <w:webHidden/>
                  </w:rPr>
                  <w:fldChar w:fldCharType="begin"/>
                </w:r>
                <w:r w:rsidR="00272382">
                  <w:rPr>
                    <w:noProof/>
                    <w:webHidden/>
                  </w:rPr>
                  <w:instrText xml:space="preserve"> PAGEREF _Toc517706707 \h </w:instrText>
                </w:r>
                <w:r w:rsidR="00272382">
                  <w:rPr>
                    <w:noProof/>
                    <w:webHidden/>
                  </w:rPr>
                </w:r>
                <w:r w:rsidR="00272382">
                  <w:rPr>
                    <w:noProof/>
                    <w:webHidden/>
                  </w:rPr>
                  <w:fldChar w:fldCharType="separate"/>
                </w:r>
                <w:r w:rsidR="00272382">
                  <w:rPr>
                    <w:noProof/>
                    <w:webHidden/>
                  </w:rPr>
                  <w:t>193</w:t>
                </w:r>
                <w:r w:rsidR="00272382">
                  <w:rPr>
                    <w:noProof/>
                    <w:webHidden/>
                  </w:rPr>
                  <w:fldChar w:fldCharType="end"/>
                </w:r>
              </w:hyperlink>
            </w:p>
            <w:p w14:paraId="38CD064D" w14:textId="77777777" w:rsidR="00272382" w:rsidRDefault="00013E76">
              <w:pPr>
                <w:pStyle w:val="TOC3"/>
                <w:rPr>
                  <w:rFonts w:asciiTheme="minorHAnsi" w:eastAsiaTheme="minorEastAsia" w:hAnsiTheme="minorHAnsi" w:cstheme="minorBidi"/>
                  <w:noProof/>
                  <w:color w:val="auto"/>
                  <w:sz w:val="22"/>
                </w:rPr>
              </w:pPr>
              <w:hyperlink w:anchor="_Toc517706708" w:history="1">
                <w:r w:rsidR="00272382" w:rsidRPr="003E204A">
                  <w:rPr>
                    <w:rStyle w:val="Hyperlink"/>
                    <w:noProof/>
                  </w:rPr>
                  <w:t>14.4</w:t>
                </w:r>
                <w:r w:rsidR="00272382">
                  <w:rPr>
                    <w:rFonts w:asciiTheme="minorHAnsi" w:eastAsiaTheme="minorEastAsia" w:hAnsiTheme="minorHAnsi" w:cstheme="minorBidi"/>
                    <w:noProof/>
                    <w:color w:val="auto"/>
                    <w:sz w:val="22"/>
                  </w:rPr>
                  <w:tab/>
                </w:r>
                <w:r w:rsidR="00272382" w:rsidRPr="003E204A">
                  <w:rPr>
                    <w:rStyle w:val="Hyperlink"/>
                    <w:noProof/>
                  </w:rPr>
                  <w:t>Nicotine exposure and dependency</w:t>
                </w:r>
                <w:r w:rsidR="00272382">
                  <w:rPr>
                    <w:noProof/>
                    <w:webHidden/>
                  </w:rPr>
                  <w:tab/>
                </w:r>
                <w:r w:rsidR="00272382">
                  <w:rPr>
                    <w:noProof/>
                    <w:webHidden/>
                  </w:rPr>
                  <w:fldChar w:fldCharType="begin"/>
                </w:r>
                <w:r w:rsidR="00272382">
                  <w:rPr>
                    <w:noProof/>
                    <w:webHidden/>
                  </w:rPr>
                  <w:instrText xml:space="preserve"> PAGEREF _Toc517706708 \h </w:instrText>
                </w:r>
                <w:r w:rsidR="00272382">
                  <w:rPr>
                    <w:noProof/>
                    <w:webHidden/>
                  </w:rPr>
                </w:r>
                <w:r w:rsidR="00272382">
                  <w:rPr>
                    <w:noProof/>
                    <w:webHidden/>
                  </w:rPr>
                  <w:fldChar w:fldCharType="separate"/>
                </w:r>
                <w:r w:rsidR="00272382">
                  <w:rPr>
                    <w:noProof/>
                    <w:webHidden/>
                  </w:rPr>
                  <w:t>199</w:t>
                </w:r>
                <w:r w:rsidR="00272382">
                  <w:rPr>
                    <w:noProof/>
                    <w:webHidden/>
                  </w:rPr>
                  <w:fldChar w:fldCharType="end"/>
                </w:r>
              </w:hyperlink>
            </w:p>
            <w:p w14:paraId="2C779B08" w14:textId="77777777" w:rsidR="00272382" w:rsidRDefault="00013E76">
              <w:pPr>
                <w:pStyle w:val="TOC3"/>
                <w:rPr>
                  <w:rFonts w:asciiTheme="minorHAnsi" w:eastAsiaTheme="minorEastAsia" w:hAnsiTheme="minorHAnsi" w:cstheme="minorBidi"/>
                  <w:noProof/>
                  <w:color w:val="auto"/>
                  <w:sz w:val="22"/>
                </w:rPr>
              </w:pPr>
              <w:hyperlink w:anchor="_Toc517706709" w:history="1">
                <w:r w:rsidR="00272382" w:rsidRPr="003E204A">
                  <w:rPr>
                    <w:rStyle w:val="Hyperlink"/>
                    <w:noProof/>
                  </w:rPr>
                  <w:t>14.5</w:t>
                </w:r>
                <w:r w:rsidR="00272382">
                  <w:rPr>
                    <w:rFonts w:asciiTheme="minorHAnsi" w:eastAsiaTheme="minorEastAsia" w:hAnsiTheme="minorHAnsi" w:cstheme="minorBidi"/>
                    <w:noProof/>
                    <w:color w:val="auto"/>
                    <w:sz w:val="22"/>
                  </w:rPr>
                  <w:tab/>
                </w:r>
                <w:r w:rsidR="00272382" w:rsidRPr="003E204A">
                  <w:rPr>
                    <w:rStyle w:val="Hyperlink"/>
                    <w:noProof/>
                  </w:rPr>
                  <w:t>Other health outcomes</w:t>
                </w:r>
                <w:r w:rsidR="00272382">
                  <w:rPr>
                    <w:noProof/>
                    <w:webHidden/>
                  </w:rPr>
                  <w:tab/>
                </w:r>
                <w:r w:rsidR="00272382">
                  <w:rPr>
                    <w:noProof/>
                    <w:webHidden/>
                  </w:rPr>
                  <w:fldChar w:fldCharType="begin"/>
                </w:r>
                <w:r w:rsidR="00272382">
                  <w:rPr>
                    <w:noProof/>
                    <w:webHidden/>
                  </w:rPr>
                  <w:instrText xml:space="preserve"> PAGEREF _Toc517706709 \h </w:instrText>
                </w:r>
                <w:r w:rsidR="00272382">
                  <w:rPr>
                    <w:noProof/>
                    <w:webHidden/>
                  </w:rPr>
                </w:r>
                <w:r w:rsidR="00272382">
                  <w:rPr>
                    <w:noProof/>
                    <w:webHidden/>
                  </w:rPr>
                  <w:fldChar w:fldCharType="separate"/>
                </w:r>
                <w:r w:rsidR="00272382">
                  <w:rPr>
                    <w:noProof/>
                    <w:webHidden/>
                  </w:rPr>
                  <w:t>202</w:t>
                </w:r>
                <w:r w:rsidR="00272382">
                  <w:rPr>
                    <w:noProof/>
                    <w:webHidden/>
                  </w:rPr>
                  <w:fldChar w:fldCharType="end"/>
                </w:r>
              </w:hyperlink>
            </w:p>
            <w:p w14:paraId="03833A55" w14:textId="77777777" w:rsidR="00272382" w:rsidRDefault="00013E76">
              <w:pPr>
                <w:pStyle w:val="TOC2"/>
                <w:rPr>
                  <w:rFonts w:asciiTheme="minorHAnsi" w:eastAsiaTheme="minorEastAsia" w:hAnsiTheme="minorHAnsi" w:cstheme="minorBidi"/>
                  <w:color w:val="auto"/>
                  <w:sz w:val="22"/>
                </w:rPr>
              </w:pPr>
              <w:hyperlink w:anchor="_Toc517706710" w:history="1">
                <w:r w:rsidR="00272382" w:rsidRPr="003E204A">
                  <w:rPr>
                    <w:rStyle w:val="Hyperlink"/>
                    <w14:scene3d>
                      <w14:camera w14:prst="orthographicFront"/>
                      <w14:lightRig w14:rig="threePt" w14:dir="t">
                        <w14:rot w14:lat="0" w14:lon="0" w14:rev="0"/>
                      </w14:lightRig>
                    </w14:scene3d>
                  </w:rPr>
                  <w:t>15</w:t>
                </w:r>
                <w:r w:rsidR="00272382">
                  <w:rPr>
                    <w:rFonts w:asciiTheme="minorHAnsi" w:eastAsiaTheme="minorEastAsia" w:hAnsiTheme="minorHAnsi" w:cstheme="minorBidi"/>
                    <w:color w:val="auto"/>
                    <w:sz w:val="22"/>
                  </w:rPr>
                  <w:tab/>
                </w:r>
                <w:r w:rsidR="00272382" w:rsidRPr="003E204A">
                  <w:rPr>
                    <w:rStyle w:val="Hyperlink"/>
                  </w:rPr>
                  <w:t>Modelling studies</w:t>
                </w:r>
                <w:r w:rsidR="00272382">
                  <w:rPr>
                    <w:webHidden/>
                  </w:rPr>
                  <w:tab/>
                </w:r>
                <w:r w:rsidR="00272382">
                  <w:rPr>
                    <w:webHidden/>
                  </w:rPr>
                  <w:fldChar w:fldCharType="begin"/>
                </w:r>
                <w:r w:rsidR="00272382">
                  <w:rPr>
                    <w:webHidden/>
                  </w:rPr>
                  <w:instrText xml:space="preserve"> PAGEREF _Toc517706710 \h </w:instrText>
                </w:r>
                <w:r w:rsidR="00272382">
                  <w:rPr>
                    <w:webHidden/>
                  </w:rPr>
                </w:r>
                <w:r w:rsidR="00272382">
                  <w:rPr>
                    <w:webHidden/>
                  </w:rPr>
                  <w:fldChar w:fldCharType="separate"/>
                </w:r>
                <w:r w:rsidR="00272382">
                  <w:rPr>
                    <w:webHidden/>
                  </w:rPr>
                  <w:t>206</w:t>
                </w:r>
                <w:r w:rsidR="00272382">
                  <w:rPr>
                    <w:webHidden/>
                  </w:rPr>
                  <w:fldChar w:fldCharType="end"/>
                </w:r>
              </w:hyperlink>
            </w:p>
            <w:p w14:paraId="5C6179BD" w14:textId="77777777" w:rsidR="00272382" w:rsidRDefault="00013E76">
              <w:pPr>
                <w:pStyle w:val="TOC2"/>
                <w:rPr>
                  <w:rFonts w:asciiTheme="minorHAnsi" w:eastAsiaTheme="minorEastAsia" w:hAnsiTheme="minorHAnsi" w:cstheme="minorBidi"/>
                  <w:color w:val="auto"/>
                  <w:sz w:val="22"/>
                </w:rPr>
              </w:pPr>
              <w:hyperlink w:anchor="_Toc517706711" w:history="1">
                <w:r w:rsidR="00272382" w:rsidRPr="003E204A">
                  <w:rPr>
                    <w:rStyle w:val="Hyperlink"/>
                    <w14:scene3d>
                      <w14:camera w14:prst="orthographicFront"/>
                      <w14:lightRig w14:rig="threePt" w14:dir="t">
                        <w14:rot w14:lat="0" w14:lon="0" w14:rev="0"/>
                      </w14:lightRig>
                    </w14:scene3d>
                  </w:rPr>
                  <w:t>16</w:t>
                </w:r>
                <w:r w:rsidR="00272382">
                  <w:rPr>
                    <w:rFonts w:asciiTheme="minorHAnsi" w:eastAsiaTheme="minorEastAsia" w:hAnsiTheme="minorHAnsi" w:cstheme="minorBidi"/>
                    <w:color w:val="auto"/>
                    <w:sz w:val="22"/>
                  </w:rPr>
                  <w:tab/>
                </w:r>
                <w:r w:rsidR="00272382" w:rsidRPr="003E204A">
                  <w:rPr>
                    <w:rStyle w:val="Hyperlink"/>
                  </w:rPr>
                  <w:t>Summary of health effects of e-cigarettes for smokers</w:t>
                </w:r>
                <w:r w:rsidR="00272382">
                  <w:rPr>
                    <w:webHidden/>
                  </w:rPr>
                  <w:tab/>
                </w:r>
                <w:r w:rsidR="00272382">
                  <w:rPr>
                    <w:webHidden/>
                  </w:rPr>
                  <w:fldChar w:fldCharType="begin"/>
                </w:r>
                <w:r w:rsidR="00272382">
                  <w:rPr>
                    <w:webHidden/>
                  </w:rPr>
                  <w:instrText xml:space="preserve"> PAGEREF _Toc517706711 \h </w:instrText>
                </w:r>
                <w:r w:rsidR="00272382">
                  <w:rPr>
                    <w:webHidden/>
                  </w:rPr>
                </w:r>
                <w:r w:rsidR="00272382">
                  <w:rPr>
                    <w:webHidden/>
                  </w:rPr>
                  <w:fldChar w:fldCharType="separate"/>
                </w:r>
                <w:r w:rsidR="00272382">
                  <w:rPr>
                    <w:webHidden/>
                  </w:rPr>
                  <w:t>207</w:t>
                </w:r>
                <w:r w:rsidR="00272382">
                  <w:rPr>
                    <w:webHidden/>
                  </w:rPr>
                  <w:fldChar w:fldCharType="end"/>
                </w:r>
              </w:hyperlink>
            </w:p>
            <w:p w14:paraId="22881D9B" w14:textId="1530B250" w:rsidR="00272382" w:rsidRDefault="00013E76">
              <w:pPr>
                <w:pStyle w:val="TOC2"/>
                <w:rPr>
                  <w:rFonts w:asciiTheme="minorHAnsi" w:eastAsiaTheme="minorEastAsia" w:hAnsiTheme="minorHAnsi" w:cstheme="minorBidi"/>
                  <w:color w:val="auto"/>
                  <w:sz w:val="22"/>
                </w:rPr>
              </w:pPr>
              <w:hyperlink w:anchor="_Toc517706712" w:history="1">
                <w:r w:rsidR="00272382" w:rsidRPr="003E204A">
                  <w:rPr>
                    <w:rStyle w:val="Hyperlink"/>
                    <w14:scene3d>
                      <w14:camera w14:prst="orthographicFront"/>
                      <w14:lightRig w14:rig="threePt" w14:dir="t">
                        <w14:rot w14:lat="0" w14:lon="0" w14:rev="0"/>
                      </w14:lightRig>
                    </w14:scene3d>
                  </w:rPr>
                  <w:t>17</w:t>
                </w:r>
                <w:r w:rsidR="00272382">
                  <w:rPr>
                    <w:rFonts w:asciiTheme="minorHAnsi" w:eastAsiaTheme="minorEastAsia" w:hAnsiTheme="minorHAnsi" w:cstheme="minorBidi"/>
                    <w:color w:val="auto"/>
                    <w:sz w:val="22"/>
                  </w:rPr>
                  <w:tab/>
                </w:r>
                <w:r w:rsidR="00272382" w:rsidRPr="003E204A">
                  <w:rPr>
                    <w:rStyle w:val="Hyperlink"/>
                  </w:rPr>
                  <w:t>Tables</w:t>
                </w:r>
                <w:r w:rsidR="00272382">
                  <w:rPr>
                    <w:webHidden/>
                  </w:rPr>
                  <w:tab/>
                </w:r>
                <w:r w:rsidR="0043170A">
                  <w:rPr>
                    <w:webHidden/>
                  </w:rPr>
                  <w:tab/>
                </w:r>
                <w:r w:rsidR="00272382">
                  <w:rPr>
                    <w:webHidden/>
                  </w:rPr>
                  <w:fldChar w:fldCharType="begin"/>
                </w:r>
                <w:r w:rsidR="00272382">
                  <w:rPr>
                    <w:webHidden/>
                  </w:rPr>
                  <w:instrText xml:space="preserve"> PAGEREF _Toc517706712 \h </w:instrText>
                </w:r>
                <w:r w:rsidR="00272382">
                  <w:rPr>
                    <w:webHidden/>
                  </w:rPr>
                </w:r>
                <w:r w:rsidR="00272382">
                  <w:rPr>
                    <w:webHidden/>
                  </w:rPr>
                  <w:fldChar w:fldCharType="separate"/>
                </w:r>
                <w:r w:rsidR="00272382">
                  <w:rPr>
                    <w:webHidden/>
                  </w:rPr>
                  <w:t>210</w:t>
                </w:r>
                <w:r w:rsidR="00272382">
                  <w:rPr>
                    <w:webHidden/>
                  </w:rPr>
                  <w:fldChar w:fldCharType="end"/>
                </w:r>
              </w:hyperlink>
            </w:p>
            <w:p w14:paraId="5AE483E5" w14:textId="77777777" w:rsidR="00272382" w:rsidRDefault="00013E76">
              <w:pPr>
                <w:pStyle w:val="TOC1"/>
                <w:rPr>
                  <w:rFonts w:asciiTheme="minorHAnsi" w:eastAsiaTheme="minorEastAsia" w:hAnsiTheme="minorHAnsi" w:cstheme="minorBidi"/>
                  <w:b w:val="0"/>
                  <w:color w:val="auto"/>
                  <w:sz w:val="22"/>
                </w:rPr>
              </w:pPr>
              <w:hyperlink w:anchor="_Toc517706713" w:history="1">
                <w:r w:rsidR="00272382" w:rsidRPr="003E204A">
                  <w:rPr>
                    <w:rStyle w:val="Hyperlink"/>
                  </w:rPr>
                  <w:t>PART 5: Potential for e</w:t>
                </w:r>
                <w:r w:rsidR="00272382" w:rsidRPr="003E204A">
                  <w:rPr>
                    <w:rStyle w:val="Hyperlink"/>
                  </w:rPr>
                  <w:noBreakHyphen/>
                  <w:t>cigarettes and personal vaporisers to reduce rates of smoking in Australia</w:t>
                </w:r>
                <w:r w:rsidR="00272382">
                  <w:rPr>
                    <w:webHidden/>
                  </w:rPr>
                  <w:tab/>
                </w:r>
                <w:r w:rsidR="00272382">
                  <w:rPr>
                    <w:webHidden/>
                  </w:rPr>
                  <w:fldChar w:fldCharType="begin"/>
                </w:r>
                <w:r w:rsidR="00272382">
                  <w:rPr>
                    <w:webHidden/>
                  </w:rPr>
                  <w:instrText xml:space="preserve"> PAGEREF _Toc517706713 \h </w:instrText>
                </w:r>
                <w:r w:rsidR="00272382">
                  <w:rPr>
                    <w:webHidden/>
                  </w:rPr>
                </w:r>
                <w:r w:rsidR="00272382">
                  <w:rPr>
                    <w:webHidden/>
                  </w:rPr>
                  <w:fldChar w:fldCharType="separate"/>
                </w:r>
                <w:r w:rsidR="00272382">
                  <w:rPr>
                    <w:webHidden/>
                  </w:rPr>
                  <w:t>215</w:t>
                </w:r>
                <w:r w:rsidR="00272382">
                  <w:rPr>
                    <w:webHidden/>
                  </w:rPr>
                  <w:fldChar w:fldCharType="end"/>
                </w:r>
              </w:hyperlink>
            </w:p>
            <w:p w14:paraId="0BA4D810" w14:textId="77777777" w:rsidR="00272382" w:rsidRDefault="00013E76">
              <w:pPr>
                <w:pStyle w:val="TOC2"/>
                <w:rPr>
                  <w:rFonts w:asciiTheme="minorHAnsi" w:eastAsiaTheme="minorEastAsia" w:hAnsiTheme="minorHAnsi" w:cstheme="minorBidi"/>
                  <w:color w:val="auto"/>
                  <w:sz w:val="22"/>
                </w:rPr>
              </w:pPr>
              <w:hyperlink w:anchor="_Toc517706714" w:history="1">
                <w:r w:rsidR="00272382" w:rsidRPr="003E204A">
                  <w:rPr>
                    <w:rStyle w:val="Hyperlink"/>
                  </w:rPr>
                  <w:t>Executive summary</w:t>
                </w:r>
                <w:r w:rsidR="00272382">
                  <w:rPr>
                    <w:webHidden/>
                  </w:rPr>
                  <w:tab/>
                </w:r>
                <w:r w:rsidR="00272382">
                  <w:rPr>
                    <w:webHidden/>
                  </w:rPr>
                  <w:fldChar w:fldCharType="begin"/>
                </w:r>
                <w:r w:rsidR="00272382">
                  <w:rPr>
                    <w:webHidden/>
                  </w:rPr>
                  <w:instrText xml:space="preserve"> PAGEREF _Toc517706714 \h </w:instrText>
                </w:r>
                <w:r w:rsidR="00272382">
                  <w:rPr>
                    <w:webHidden/>
                  </w:rPr>
                </w:r>
                <w:r w:rsidR="00272382">
                  <w:rPr>
                    <w:webHidden/>
                  </w:rPr>
                  <w:fldChar w:fldCharType="separate"/>
                </w:r>
                <w:r w:rsidR="00272382">
                  <w:rPr>
                    <w:webHidden/>
                  </w:rPr>
                  <w:t>216</w:t>
                </w:r>
                <w:r w:rsidR="00272382">
                  <w:rPr>
                    <w:webHidden/>
                  </w:rPr>
                  <w:fldChar w:fldCharType="end"/>
                </w:r>
              </w:hyperlink>
            </w:p>
            <w:p w14:paraId="4E01988E" w14:textId="77777777" w:rsidR="00272382" w:rsidRDefault="00013E76">
              <w:pPr>
                <w:pStyle w:val="TOC2"/>
                <w:rPr>
                  <w:rFonts w:asciiTheme="minorHAnsi" w:eastAsiaTheme="minorEastAsia" w:hAnsiTheme="minorHAnsi" w:cstheme="minorBidi"/>
                  <w:color w:val="auto"/>
                  <w:sz w:val="22"/>
                </w:rPr>
              </w:pPr>
              <w:hyperlink w:anchor="_Toc517706715" w:history="1">
                <w:r w:rsidR="00272382" w:rsidRPr="003E204A">
                  <w:rPr>
                    <w:rStyle w:val="Hyperlink"/>
                    <w14:scene3d>
                      <w14:camera w14:prst="orthographicFront"/>
                      <w14:lightRig w14:rig="threePt" w14:dir="t">
                        <w14:rot w14:lat="0" w14:lon="0" w14:rev="0"/>
                      </w14:lightRig>
                    </w14:scene3d>
                  </w:rPr>
                  <w:t>18</w:t>
                </w:r>
                <w:r w:rsidR="00272382">
                  <w:rPr>
                    <w:rFonts w:asciiTheme="minorHAnsi" w:eastAsiaTheme="minorEastAsia" w:hAnsiTheme="minorHAnsi" w:cstheme="minorBidi"/>
                    <w:color w:val="auto"/>
                    <w:sz w:val="22"/>
                  </w:rPr>
                  <w:tab/>
                </w:r>
                <w:r w:rsidR="00272382" w:rsidRPr="003E204A">
                  <w:rPr>
                    <w:rStyle w:val="Hyperlink"/>
                  </w:rPr>
                  <w:t>Introduction</w:t>
                </w:r>
                <w:r w:rsidR="00272382">
                  <w:rPr>
                    <w:webHidden/>
                  </w:rPr>
                  <w:tab/>
                </w:r>
                <w:r w:rsidR="00272382">
                  <w:rPr>
                    <w:webHidden/>
                  </w:rPr>
                  <w:fldChar w:fldCharType="begin"/>
                </w:r>
                <w:r w:rsidR="00272382">
                  <w:rPr>
                    <w:webHidden/>
                  </w:rPr>
                  <w:instrText xml:space="preserve"> PAGEREF _Toc517706715 \h </w:instrText>
                </w:r>
                <w:r w:rsidR="00272382">
                  <w:rPr>
                    <w:webHidden/>
                  </w:rPr>
                </w:r>
                <w:r w:rsidR="00272382">
                  <w:rPr>
                    <w:webHidden/>
                  </w:rPr>
                  <w:fldChar w:fldCharType="separate"/>
                </w:r>
                <w:r w:rsidR="00272382">
                  <w:rPr>
                    <w:webHidden/>
                  </w:rPr>
                  <w:t>217</w:t>
                </w:r>
                <w:r w:rsidR="00272382">
                  <w:rPr>
                    <w:webHidden/>
                  </w:rPr>
                  <w:fldChar w:fldCharType="end"/>
                </w:r>
              </w:hyperlink>
            </w:p>
            <w:p w14:paraId="2E466903" w14:textId="77777777" w:rsidR="00272382" w:rsidRDefault="00013E76">
              <w:pPr>
                <w:pStyle w:val="TOC2"/>
                <w:rPr>
                  <w:rFonts w:asciiTheme="minorHAnsi" w:eastAsiaTheme="minorEastAsia" w:hAnsiTheme="minorHAnsi" w:cstheme="minorBidi"/>
                  <w:color w:val="auto"/>
                  <w:sz w:val="22"/>
                </w:rPr>
              </w:pPr>
              <w:hyperlink w:anchor="_Toc517706716" w:history="1">
                <w:r w:rsidR="00272382" w:rsidRPr="003E204A">
                  <w:rPr>
                    <w:rStyle w:val="Hyperlink"/>
                    <w14:scene3d>
                      <w14:camera w14:prst="orthographicFront"/>
                      <w14:lightRig w14:rig="threePt" w14:dir="t">
                        <w14:rot w14:lat="0" w14:lon="0" w14:rev="0"/>
                      </w14:lightRig>
                    </w14:scene3d>
                  </w:rPr>
                  <w:t>19</w:t>
                </w:r>
                <w:r w:rsidR="00272382">
                  <w:rPr>
                    <w:rFonts w:asciiTheme="minorHAnsi" w:eastAsiaTheme="minorEastAsia" w:hAnsiTheme="minorHAnsi" w:cstheme="minorBidi"/>
                    <w:color w:val="auto"/>
                    <w:sz w:val="22"/>
                  </w:rPr>
                  <w:tab/>
                </w:r>
                <w:r w:rsidR="00272382" w:rsidRPr="003E204A">
                  <w:rPr>
                    <w:rStyle w:val="Hyperlink"/>
                  </w:rPr>
                  <w:t>Use of e-cigarettes in Australia</w:t>
                </w:r>
                <w:r w:rsidR="00272382">
                  <w:rPr>
                    <w:webHidden/>
                  </w:rPr>
                  <w:tab/>
                </w:r>
                <w:r w:rsidR="00272382">
                  <w:rPr>
                    <w:webHidden/>
                  </w:rPr>
                  <w:fldChar w:fldCharType="begin"/>
                </w:r>
                <w:r w:rsidR="00272382">
                  <w:rPr>
                    <w:webHidden/>
                  </w:rPr>
                  <w:instrText xml:space="preserve"> PAGEREF _Toc517706716 \h </w:instrText>
                </w:r>
                <w:r w:rsidR="00272382">
                  <w:rPr>
                    <w:webHidden/>
                  </w:rPr>
                </w:r>
                <w:r w:rsidR="00272382">
                  <w:rPr>
                    <w:webHidden/>
                  </w:rPr>
                  <w:fldChar w:fldCharType="separate"/>
                </w:r>
                <w:r w:rsidR="00272382">
                  <w:rPr>
                    <w:webHidden/>
                  </w:rPr>
                  <w:t>218</w:t>
                </w:r>
                <w:r w:rsidR="00272382">
                  <w:rPr>
                    <w:webHidden/>
                  </w:rPr>
                  <w:fldChar w:fldCharType="end"/>
                </w:r>
              </w:hyperlink>
            </w:p>
            <w:p w14:paraId="5E37615E" w14:textId="77777777" w:rsidR="00272382" w:rsidRDefault="00013E76">
              <w:pPr>
                <w:pStyle w:val="TOC3"/>
                <w:rPr>
                  <w:rFonts w:asciiTheme="minorHAnsi" w:eastAsiaTheme="minorEastAsia" w:hAnsiTheme="minorHAnsi" w:cstheme="minorBidi"/>
                  <w:noProof/>
                  <w:color w:val="auto"/>
                  <w:sz w:val="22"/>
                </w:rPr>
              </w:pPr>
              <w:hyperlink w:anchor="_Toc517706717" w:history="1">
                <w:r w:rsidR="00272382" w:rsidRPr="003E204A">
                  <w:rPr>
                    <w:rStyle w:val="Hyperlink"/>
                    <w:noProof/>
                  </w:rPr>
                  <w:t>19.1</w:t>
                </w:r>
                <w:r w:rsidR="00272382">
                  <w:rPr>
                    <w:rFonts w:asciiTheme="minorHAnsi" w:eastAsiaTheme="minorEastAsia" w:hAnsiTheme="minorHAnsi" w:cstheme="minorBidi"/>
                    <w:noProof/>
                    <w:color w:val="auto"/>
                    <w:sz w:val="22"/>
                  </w:rPr>
                  <w:tab/>
                </w:r>
                <w:r w:rsidR="00272382" w:rsidRPr="003E204A">
                  <w:rPr>
                    <w:rStyle w:val="Hyperlink"/>
                    <w:noProof/>
                  </w:rPr>
                  <w:t>Prevalence of e</w:t>
                </w:r>
                <w:r w:rsidR="00272382" w:rsidRPr="003E204A">
                  <w:rPr>
                    <w:rStyle w:val="Hyperlink"/>
                    <w:noProof/>
                  </w:rPr>
                  <w:noBreakHyphen/>
                  <w:t>cigarette use in Australia</w:t>
                </w:r>
                <w:r w:rsidR="00272382">
                  <w:rPr>
                    <w:noProof/>
                    <w:webHidden/>
                  </w:rPr>
                  <w:tab/>
                </w:r>
                <w:r w:rsidR="00272382">
                  <w:rPr>
                    <w:noProof/>
                    <w:webHidden/>
                  </w:rPr>
                  <w:fldChar w:fldCharType="begin"/>
                </w:r>
                <w:r w:rsidR="00272382">
                  <w:rPr>
                    <w:noProof/>
                    <w:webHidden/>
                  </w:rPr>
                  <w:instrText xml:space="preserve"> PAGEREF _Toc517706717 \h </w:instrText>
                </w:r>
                <w:r w:rsidR="00272382">
                  <w:rPr>
                    <w:noProof/>
                    <w:webHidden/>
                  </w:rPr>
                </w:r>
                <w:r w:rsidR="00272382">
                  <w:rPr>
                    <w:noProof/>
                    <w:webHidden/>
                  </w:rPr>
                  <w:fldChar w:fldCharType="separate"/>
                </w:r>
                <w:r w:rsidR="00272382">
                  <w:rPr>
                    <w:noProof/>
                    <w:webHidden/>
                  </w:rPr>
                  <w:t>218</w:t>
                </w:r>
                <w:r w:rsidR="00272382">
                  <w:rPr>
                    <w:noProof/>
                    <w:webHidden/>
                  </w:rPr>
                  <w:fldChar w:fldCharType="end"/>
                </w:r>
              </w:hyperlink>
            </w:p>
            <w:p w14:paraId="0D9F45B8" w14:textId="77777777" w:rsidR="00272382" w:rsidRDefault="00013E76">
              <w:pPr>
                <w:pStyle w:val="TOC3"/>
                <w:rPr>
                  <w:rFonts w:asciiTheme="minorHAnsi" w:eastAsiaTheme="minorEastAsia" w:hAnsiTheme="minorHAnsi" w:cstheme="minorBidi"/>
                  <w:noProof/>
                  <w:color w:val="auto"/>
                  <w:sz w:val="22"/>
                </w:rPr>
              </w:pPr>
              <w:hyperlink w:anchor="_Toc517706718" w:history="1">
                <w:r w:rsidR="00272382" w:rsidRPr="003E204A">
                  <w:rPr>
                    <w:rStyle w:val="Hyperlink"/>
                    <w:noProof/>
                  </w:rPr>
                  <w:t>19.2</w:t>
                </w:r>
                <w:r w:rsidR="00272382">
                  <w:rPr>
                    <w:rFonts w:asciiTheme="minorHAnsi" w:eastAsiaTheme="minorEastAsia" w:hAnsiTheme="minorHAnsi" w:cstheme="minorBidi"/>
                    <w:noProof/>
                    <w:color w:val="auto"/>
                    <w:sz w:val="22"/>
                  </w:rPr>
                  <w:tab/>
                </w:r>
                <w:r w:rsidR="00272382" w:rsidRPr="003E204A">
                  <w:rPr>
                    <w:rStyle w:val="Hyperlink"/>
                    <w:noProof/>
                  </w:rPr>
                  <w:t>Qualitative information from Australian e-cigarette studies</w:t>
                </w:r>
                <w:r w:rsidR="00272382">
                  <w:rPr>
                    <w:noProof/>
                    <w:webHidden/>
                  </w:rPr>
                  <w:tab/>
                </w:r>
                <w:r w:rsidR="00272382">
                  <w:rPr>
                    <w:noProof/>
                    <w:webHidden/>
                  </w:rPr>
                  <w:fldChar w:fldCharType="begin"/>
                </w:r>
                <w:r w:rsidR="00272382">
                  <w:rPr>
                    <w:noProof/>
                    <w:webHidden/>
                  </w:rPr>
                  <w:instrText xml:space="preserve"> PAGEREF _Toc517706718 \h </w:instrText>
                </w:r>
                <w:r w:rsidR="00272382">
                  <w:rPr>
                    <w:noProof/>
                    <w:webHidden/>
                  </w:rPr>
                </w:r>
                <w:r w:rsidR="00272382">
                  <w:rPr>
                    <w:noProof/>
                    <w:webHidden/>
                  </w:rPr>
                  <w:fldChar w:fldCharType="separate"/>
                </w:r>
                <w:r w:rsidR="00272382">
                  <w:rPr>
                    <w:noProof/>
                    <w:webHidden/>
                  </w:rPr>
                  <w:t>221</w:t>
                </w:r>
                <w:r w:rsidR="00272382">
                  <w:rPr>
                    <w:noProof/>
                    <w:webHidden/>
                  </w:rPr>
                  <w:fldChar w:fldCharType="end"/>
                </w:r>
              </w:hyperlink>
            </w:p>
            <w:p w14:paraId="32424CE8" w14:textId="77777777" w:rsidR="00272382" w:rsidRDefault="00013E76">
              <w:pPr>
                <w:pStyle w:val="TOC3"/>
                <w:rPr>
                  <w:rFonts w:asciiTheme="minorHAnsi" w:eastAsiaTheme="minorEastAsia" w:hAnsiTheme="minorHAnsi" w:cstheme="minorBidi"/>
                  <w:noProof/>
                  <w:color w:val="auto"/>
                  <w:sz w:val="22"/>
                </w:rPr>
              </w:pPr>
              <w:hyperlink w:anchor="_Toc517706719" w:history="1">
                <w:r w:rsidR="00272382" w:rsidRPr="003E204A">
                  <w:rPr>
                    <w:rStyle w:val="Hyperlink"/>
                    <w:noProof/>
                  </w:rPr>
                  <w:t>19.3</w:t>
                </w:r>
                <w:r w:rsidR="00272382">
                  <w:rPr>
                    <w:rFonts w:asciiTheme="minorHAnsi" w:eastAsiaTheme="minorEastAsia" w:hAnsiTheme="minorHAnsi" w:cstheme="minorBidi"/>
                    <w:noProof/>
                    <w:color w:val="auto"/>
                    <w:sz w:val="22"/>
                  </w:rPr>
                  <w:tab/>
                </w:r>
                <w:r w:rsidR="00272382" w:rsidRPr="003E204A">
                  <w:rPr>
                    <w:rStyle w:val="Hyperlink"/>
                    <w:noProof/>
                  </w:rPr>
                  <w:t>Prevalence of smoking in Australia</w:t>
                </w:r>
                <w:r w:rsidR="00272382">
                  <w:rPr>
                    <w:noProof/>
                    <w:webHidden/>
                  </w:rPr>
                  <w:tab/>
                </w:r>
                <w:r w:rsidR="00272382">
                  <w:rPr>
                    <w:noProof/>
                    <w:webHidden/>
                  </w:rPr>
                  <w:fldChar w:fldCharType="begin"/>
                </w:r>
                <w:r w:rsidR="00272382">
                  <w:rPr>
                    <w:noProof/>
                    <w:webHidden/>
                  </w:rPr>
                  <w:instrText xml:space="preserve"> PAGEREF _Toc517706719 \h </w:instrText>
                </w:r>
                <w:r w:rsidR="00272382">
                  <w:rPr>
                    <w:noProof/>
                    <w:webHidden/>
                  </w:rPr>
                </w:r>
                <w:r w:rsidR="00272382">
                  <w:rPr>
                    <w:noProof/>
                    <w:webHidden/>
                  </w:rPr>
                  <w:fldChar w:fldCharType="separate"/>
                </w:r>
                <w:r w:rsidR="00272382">
                  <w:rPr>
                    <w:noProof/>
                    <w:webHidden/>
                  </w:rPr>
                  <w:t>225</w:t>
                </w:r>
                <w:r w:rsidR="00272382">
                  <w:rPr>
                    <w:noProof/>
                    <w:webHidden/>
                  </w:rPr>
                  <w:fldChar w:fldCharType="end"/>
                </w:r>
              </w:hyperlink>
            </w:p>
            <w:p w14:paraId="348D2870" w14:textId="77777777" w:rsidR="00272382" w:rsidRDefault="00013E76">
              <w:pPr>
                <w:pStyle w:val="TOC3"/>
                <w:rPr>
                  <w:rFonts w:asciiTheme="minorHAnsi" w:eastAsiaTheme="minorEastAsia" w:hAnsiTheme="minorHAnsi" w:cstheme="minorBidi"/>
                  <w:noProof/>
                  <w:color w:val="auto"/>
                  <w:sz w:val="22"/>
                </w:rPr>
              </w:pPr>
              <w:hyperlink w:anchor="_Toc517706720" w:history="1">
                <w:r w:rsidR="00272382" w:rsidRPr="003E204A">
                  <w:rPr>
                    <w:rStyle w:val="Hyperlink"/>
                    <w:noProof/>
                  </w:rPr>
                  <w:t>19.4</w:t>
                </w:r>
                <w:r w:rsidR="00272382">
                  <w:rPr>
                    <w:rFonts w:asciiTheme="minorHAnsi" w:eastAsiaTheme="minorEastAsia" w:hAnsiTheme="minorHAnsi" w:cstheme="minorBidi"/>
                    <w:noProof/>
                    <w:color w:val="auto"/>
                    <w:sz w:val="22"/>
                  </w:rPr>
                  <w:tab/>
                </w:r>
                <w:r w:rsidR="00272382" w:rsidRPr="003E204A">
                  <w:rPr>
                    <w:rStyle w:val="Hyperlink"/>
                    <w:noProof/>
                  </w:rPr>
                  <w:t>Key findings</w:t>
                </w:r>
                <w:r w:rsidR="00272382">
                  <w:rPr>
                    <w:noProof/>
                    <w:webHidden/>
                  </w:rPr>
                  <w:tab/>
                </w:r>
                <w:r w:rsidR="00272382">
                  <w:rPr>
                    <w:noProof/>
                    <w:webHidden/>
                  </w:rPr>
                  <w:fldChar w:fldCharType="begin"/>
                </w:r>
                <w:r w:rsidR="00272382">
                  <w:rPr>
                    <w:noProof/>
                    <w:webHidden/>
                  </w:rPr>
                  <w:instrText xml:space="preserve"> PAGEREF _Toc517706720 \h </w:instrText>
                </w:r>
                <w:r w:rsidR="00272382">
                  <w:rPr>
                    <w:noProof/>
                    <w:webHidden/>
                  </w:rPr>
                </w:r>
                <w:r w:rsidR="00272382">
                  <w:rPr>
                    <w:noProof/>
                    <w:webHidden/>
                  </w:rPr>
                  <w:fldChar w:fldCharType="separate"/>
                </w:r>
                <w:r w:rsidR="00272382">
                  <w:rPr>
                    <w:noProof/>
                    <w:webHidden/>
                  </w:rPr>
                  <w:t>226</w:t>
                </w:r>
                <w:r w:rsidR="00272382">
                  <w:rPr>
                    <w:noProof/>
                    <w:webHidden/>
                  </w:rPr>
                  <w:fldChar w:fldCharType="end"/>
                </w:r>
              </w:hyperlink>
            </w:p>
            <w:p w14:paraId="26552775" w14:textId="77777777" w:rsidR="00272382" w:rsidRDefault="00013E76">
              <w:pPr>
                <w:pStyle w:val="TOC2"/>
                <w:rPr>
                  <w:rFonts w:asciiTheme="minorHAnsi" w:eastAsiaTheme="minorEastAsia" w:hAnsiTheme="minorHAnsi" w:cstheme="minorBidi"/>
                  <w:color w:val="auto"/>
                  <w:sz w:val="22"/>
                </w:rPr>
              </w:pPr>
              <w:hyperlink w:anchor="_Toc517706721" w:history="1">
                <w:r w:rsidR="00272382" w:rsidRPr="003E204A">
                  <w:rPr>
                    <w:rStyle w:val="Hyperlink"/>
                    <w14:scene3d>
                      <w14:camera w14:prst="orthographicFront"/>
                      <w14:lightRig w14:rig="threePt" w14:dir="t">
                        <w14:rot w14:lat="0" w14:lon="0" w14:rev="0"/>
                      </w14:lightRig>
                    </w14:scene3d>
                  </w:rPr>
                  <w:t>20</w:t>
                </w:r>
                <w:r w:rsidR="00272382">
                  <w:rPr>
                    <w:rFonts w:asciiTheme="minorHAnsi" w:eastAsiaTheme="minorEastAsia" w:hAnsiTheme="minorHAnsi" w:cstheme="minorBidi"/>
                    <w:color w:val="auto"/>
                    <w:sz w:val="22"/>
                  </w:rPr>
                  <w:tab/>
                </w:r>
                <w:r w:rsidR="00272382" w:rsidRPr="003E204A">
                  <w:rPr>
                    <w:rStyle w:val="Hyperlink"/>
                  </w:rPr>
                  <w:t>The potential for e-cigarettes to reduce smoking rates in Australia</w:t>
                </w:r>
                <w:r w:rsidR="00272382">
                  <w:rPr>
                    <w:webHidden/>
                  </w:rPr>
                  <w:tab/>
                </w:r>
                <w:r w:rsidR="00272382">
                  <w:rPr>
                    <w:webHidden/>
                  </w:rPr>
                  <w:fldChar w:fldCharType="begin"/>
                </w:r>
                <w:r w:rsidR="00272382">
                  <w:rPr>
                    <w:webHidden/>
                  </w:rPr>
                  <w:instrText xml:space="preserve"> PAGEREF _Toc517706721 \h </w:instrText>
                </w:r>
                <w:r w:rsidR="00272382">
                  <w:rPr>
                    <w:webHidden/>
                  </w:rPr>
                </w:r>
                <w:r w:rsidR="00272382">
                  <w:rPr>
                    <w:webHidden/>
                  </w:rPr>
                  <w:fldChar w:fldCharType="separate"/>
                </w:r>
                <w:r w:rsidR="00272382">
                  <w:rPr>
                    <w:webHidden/>
                  </w:rPr>
                  <w:t>228</w:t>
                </w:r>
                <w:r w:rsidR="00272382">
                  <w:rPr>
                    <w:webHidden/>
                  </w:rPr>
                  <w:fldChar w:fldCharType="end"/>
                </w:r>
              </w:hyperlink>
            </w:p>
            <w:p w14:paraId="2BD77405" w14:textId="77777777" w:rsidR="00272382" w:rsidRDefault="00013E76">
              <w:pPr>
                <w:pStyle w:val="TOC3"/>
                <w:rPr>
                  <w:rFonts w:asciiTheme="minorHAnsi" w:eastAsiaTheme="minorEastAsia" w:hAnsiTheme="minorHAnsi" w:cstheme="minorBidi"/>
                  <w:noProof/>
                  <w:color w:val="auto"/>
                  <w:sz w:val="22"/>
                </w:rPr>
              </w:pPr>
              <w:hyperlink w:anchor="_Toc517706722" w:history="1">
                <w:r w:rsidR="00272382" w:rsidRPr="003E204A">
                  <w:rPr>
                    <w:rStyle w:val="Hyperlink"/>
                    <w:noProof/>
                  </w:rPr>
                  <w:t>20.1</w:t>
                </w:r>
                <w:r w:rsidR="00272382">
                  <w:rPr>
                    <w:rFonts w:asciiTheme="minorHAnsi" w:eastAsiaTheme="minorEastAsia" w:hAnsiTheme="minorHAnsi" w:cstheme="minorBidi"/>
                    <w:noProof/>
                    <w:color w:val="auto"/>
                    <w:sz w:val="22"/>
                  </w:rPr>
                  <w:tab/>
                </w:r>
                <w:r w:rsidR="00272382" w:rsidRPr="003E204A">
                  <w:rPr>
                    <w:rStyle w:val="Hyperlink"/>
                    <w:noProof/>
                  </w:rPr>
                  <w:t>The potential for the use of e</w:t>
                </w:r>
                <w:r w:rsidR="00272382" w:rsidRPr="003E204A">
                  <w:rPr>
                    <w:rStyle w:val="Hyperlink"/>
                    <w:noProof/>
                  </w:rPr>
                  <w:noBreakHyphen/>
                  <w:t>cigarettes to reduce smoking among people currently smoking regular cigarettes</w:t>
                </w:r>
                <w:r w:rsidR="00272382">
                  <w:rPr>
                    <w:noProof/>
                    <w:webHidden/>
                  </w:rPr>
                  <w:tab/>
                </w:r>
                <w:r w:rsidR="00272382">
                  <w:rPr>
                    <w:noProof/>
                    <w:webHidden/>
                  </w:rPr>
                  <w:fldChar w:fldCharType="begin"/>
                </w:r>
                <w:r w:rsidR="00272382">
                  <w:rPr>
                    <w:noProof/>
                    <w:webHidden/>
                  </w:rPr>
                  <w:instrText xml:space="preserve"> PAGEREF _Toc517706722 \h </w:instrText>
                </w:r>
                <w:r w:rsidR="00272382">
                  <w:rPr>
                    <w:noProof/>
                    <w:webHidden/>
                  </w:rPr>
                </w:r>
                <w:r w:rsidR="00272382">
                  <w:rPr>
                    <w:noProof/>
                    <w:webHidden/>
                  </w:rPr>
                  <w:fldChar w:fldCharType="separate"/>
                </w:r>
                <w:r w:rsidR="00272382">
                  <w:rPr>
                    <w:noProof/>
                    <w:webHidden/>
                  </w:rPr>
                  <w:t>228</w:t>
                </w:r>
                <w:r w:rsidR="00272382">
                  <w:rPr>
                    <w:noProof/>
                    <w:webHidden/>
                  </w:rPr>
                  <w:fldChar w:fldCharType="end"/>
                </w:r>
              </w:hyperlink>
            </w:p>
            <w:p w14:paraId="038AA65B" w14:textId="77777777" w:rsidR="00272382" w:rsidRDefault="00013E76">
              <w:pPr>
                <w:pStyle w:val="TOC3"/>
                <w:rPr>
                  <w:rFonts w:asciiTheme="minorHAnsi" w:eastAsiaTheme="minorEastAsia" w:hAnsiTheme="minorHAnsi" w:cstheme="minorBidi"/>
                  <w:noProof/>
                  <w:color w:val="auto"/>
                  <w:sz w:val="22"/>
                </w:rPr>
              </w:pPr>
              <w:hyperlink w:anchor="_Toc517706723" w:history="1">
                <w:r w:rsidR="00272382" w:rsidRPr="003E204A">
                  <w:rPr>
                    <w:rStyle w:val="Hyperlink"/>
                    <w:noProof/>
                  </w:rPr>
                  <w:t>20.2</w:t>
                </w:r>
                <w:r w:rsidR="00272382">
                  <w:rPr>
                    <w:rFonts w:asciiTheme="minorHAnsi" w:eastAsiaTheme="minorEastAsia" w:hAnsiTheme="minorHAnsi" w:cstheme="minorBidi"/>
                    <w:noProof/>
                    <w:color w:val="auto"/>
                    <w:sz w:val="22"/>
                  </w:rPr>
                  <w:tab/>
                </w:r>
                <w:r w:rsidR="00272382" w:rsidRPr="003E204A">
                  <w:rPr>
                    <w:rStyle w:val="Hyperlink"/>
                    <w:noProof/>
                  </w:rPr>
                  <w:t>The potential for e</w:t>
                </w:r>
                <w:r w:rsidR="00272382" w:rsidRPr="003E204A">
                  <w:rPr>
                    <w:rStyle w:val="Hyperlink"/>
                    <w:noProof/>
                  </w:rPr>
                  <w:noBreakHyphen/>
                  <w:t>cigarettes to change smoking behaviour among people who are not currently smoking regular cigarettes</w:t>
                </w:r>
                <w:r w:rsidR="00272382">
                  <w:rPr>
                    <w:noProof/>
                    <w:webHidden/>
                  </w:rPr>
                  <w:tab/>
                </w:r>
                <w:r w:rsidR="00272382">
                  <w:rPr>
                    <w:noProof/>
                    <w:webHidden/>
                  </w:rPr>
                  <w:fldChar w:fldCharType="begin"/>
                </w:r>
                <w:r w:rsidR="00272382">
                  <w:rPr>
                    <w:noProof/>
                    <w:webHidden/>
                  </w:rPr>
                  <w:instrText xml:space="preserve"> PAGEREF _Toc517706723 \h </w:instrText>
                </w:r>
                <w:r w:rsidR="00272382">
                  <w:rPr>
                    <w:noProof/>
                    <w:webHidden/>
                  </w:rPr>
                </w:r>
                <w:r w:rsidR="00272382">
                  <w:rPr>
                    <w:noProof/>
                    <w:webHidden/>
                  </w:rPr>
                  <w:fldChar w:fldCharType="separate"/>
                </w:r>
                <w:r w:rsidR="00272382">
                  <w:rPr>
                    <w:noProof/>
                    <w:webHidden/>
                  </w:rPr>
                  <w:t>229</w:t>
                </w:r>
                <w:r w:rsidR="00272382">
                  <w:rPr>
                    <w:noProof/>
                    <w:webHidden/>
                  </w:rPr>
                  <w:fldChar w:fldCharType="end"/>
                </w:r>
              </w:hyperlink>
            </w:p>
            <w:p w14:paraId="791CAFEC" w14:textId="77777777" w:rsidR="00272382" w:rsidRDefault="00013E76">
              <w:pPr>
                <w:pStyle w:val="TOC3"/>
                <w:rPr>
                  <w:rFonts w:asciiTheme="minorHAnsi" w:eastAsiaTheme="minorEastAsia" w:hAnsiTheme="minorHAnsi" w:cstheme="minorBidi"/>
                  <w:noProof/>
                  <w:color w:val="auto"/>
                  <w:sz w:val="22"/>
                </w:rPr>
              </w:pPr>
              <w:hyperlink w:anchor="_Toc517706724" w:history="1">
                <w:r w:rsidR="00272382" w:rsidRPr="003E204A">
                  <w:rPr>
                    <w:rStyle w:val="Hyperlink"/>
                    <w:noProof/>
                  </w:rPr>
                  <w:t>20.3</w:t>
                </w:r>
                <w:r w:rsidR="00272382">
                  <w:rPr>
                    <w:rFonts w:asciiTheme="minorHAnsi" w:eastAsiaTheme="minorEastAsia" w:hAnsiTheme="minorHAnsi" w:cstheme="minorBidi"/>
                    <w:noProof/>
                    <w:color w:val="auto"/>
                    <w:sz w:val="22"/>
                  </w:rPr>
                  <w:tab/>
                </w:r>
                <w:r w:rsidR="00272382" w:rsidRPr="003E204A">
                  <w:rPr>
                    <w:rStyle w:val="Hyperlink"/>
                    <w:noProof/>
                  </w:rPr>
                  <w:t>Key findings</w:t>
                </w:r>
                <w:r w:rsidR="00272382">
                  <w:rPr>
                    <w:noProof/>
                    <w:webHidden/>
                  </w:rPr>
                  <w:tab/>
                </w:r>
                <w:r w:rsidR="00272382">
                  <w:rPr>
                    <w:noProof/>
                    <w:webHidden/>
                  </w:rPr>
                  <w:fldChar w:fldCharType="begin"/>
                </w:r>
                <w:r w:rsidR="00272382">
                  <w:rPr>
                    <w:noProof/>
                    <w:webHidden/>
                  </w:rPr>
                  <w:instrText xml:space="preserve"> PAGEREF _Toc517706724 \h </w:instrText>
                </w:r>
                <w:r w:rsidR="00272382">
                  <w:rPr>
                    <w:noProof/>
                    <w:webHidden/>
                  </w:rPr>
                </w:r>
                <w:r w:rsidR="00272382">
                  <w:rPr>
                    <w:noProof/>
                    <w:webHidden/>
                  </w:rPr>
                  <w:fldChar w:fldCharType="separate"/>
                </w:r>
                <w:r w:rsidR="00272382">
                  <w:rPr>
                    <w:noProof/>
                    <w:webHidden/>
                  </w:rPr>
                  <w:t>229</w:t>
                </w:r>
                <w:r w:rsidR="00272382">
                  <w:rPr>
                    <w:noProof/>
                    <w:webHidden/>
                  </w:rPr>
                  <w:fldChar w:fldCharType="end"/>
                </w:r>
              </w:hyperlink>
            </w:p>
            <w:p w14:paraId="5C95D9C8" w14:textId="77777777" w:rsidR="00272382" w:rsidRDefault="00013E76">
              <w:pPr>
                <w:pStyle w:val="TOC3"/>
                <w:rPr>
                  <w:rFonts w:asciiTheme="minorHAnsi" w:eastAsiaTheme="minorEastAsia" w:hAnsiTheme="minorHAnsi" w:cstheme="minorBidi"/>
                  <w:noProof/>
                  <w:color w:val="auto"/>
                  <w:sz w:val="22"/>
                </w:rPr>
              </w:pPr>
              <w:hyperlink w:anchor="_Toc517706725" w:history="1">
                <w:r w:rsidR="00272382" w:rsidRPr="003E204A">
                  <w:rPr>
                    <w:rStyle w:val="Hyperlink"/>
                    <w:noProof/>
                  </w:rPr>
                  <w:t>20.4</w:t>
                </w:r>
                <w:r w:rsidR="00272382">
                  <w:rPr>
                    <w:rFonts w:asciiTheme="minorHAnsi" w:eastAsiaTheme="minorEastAsia" w:hAnsiTheme="minorHAnsi" w:cstheme="minorBidi"/>
                    <w:noProof/>
                    <w:color w:val="auto"/>
                    <w:sz w:val="22"/>
                  </w:rPr>
                  <w:tab/>
                </w:r>
                <w:r w:rsidR="00272382" w:rsidRPr="003E204A">
                  <w:rPr>
                    <w:rStyle w:val="Hyperlink"/>
                    <w:noProof/>
                  </w:rPr>
                  <w:t>NHMRC Funding related to e-cigarettes</w:t>
                </w:r>
                <w:r w:rsidR="00272382">
                  <w:rPr>
                    <w:noProof/>
                    <w:webHidden/>
                  </w:rPr>
                  <w:tab/>
                </w:r>
                <w:r w:rsidR="00272382">
                  <w:rPr>
                    <w:noProof/>
                    <w:webHidden/>
                  </w:rPr>
                  <w:fldChar w:fldCharType="begin"/>
                </w:r>
                <w:r w:rsidR="00272382">
                  <w:rPr>
                    <w:noProof/>
                    <w:webHidden/>
                  </w:rPr>
                  <w:instrText xml:space="preserve"> PAGEREF _Toc517706725 \h </w:instrText>
                </w:r>
                <w:r w:rsidR="00272382">
                  <w:rPr>
                    <w:noProof/>
                    <w:webHidden/>
                  </w:rPr>
                </w:r>
                <w:r w:rsidR="00272382">
                  <w:rPr>
                    <w:noProof/>
                    <w:webHidden/>
                  </w:rPr>
                  <w:fldChar w:fldCharType="separate"/>
                </w:r>
                <w:r w:rsidR="00272382">
                  <w:rPr>
                    <w:noProof/>
                    <w:webHidden/>
                  </w:rPr>
                  <w:t>230</w:t>
                </w:r>
                <w:r w:rsidR="00272382">
                  <w:rPr>
                    <w:noProof/>
                    <w:webHidden/>
                  </w:rPr>
                  <w:fldChar w:fldCharType="end"/>
                </w:r>
              </w:hyperlink>
            </w:p>
            <w:p w14:paraId="7BD0C0F8" w14:textId="77777777" w:rsidR="00272382" w:rsidRDefault="00013E76">
              <w:pPr>
                <w:pStyle w:val="TOC1"/>
                <w:rPr>
                  <w:rFonts w:asciiTheme="minorHAnsi" w:eastAsiaTheme="minorEastAsia" w:hAnsiTheme="minorHAnsi" w:cstheme="minorBidi"/>
                  <w:b w:val="0"/>
                  <w:color w:val="auto"/>
                  <w:sz w:val="22"/>
                </w:rPr>
              </w:pPr>
              <w:hyperlink w:anchor="_Toc517706726" w:history="1">
                <w:r w:rsidR="00272382" w:rsidRPr="003E204A">
                  <w:rPr>
                    <w:rStyle w:val="Hyperlink"/>
                  </w:rPr>
                  <w:t>PART 6: Smoking rates in countries where e</w:t>
                </w:r>
                <w:r w:rsidR="00272382" w:rsidRPr="003E204A">
                  <w:rPr>
                    <w:rStyle w:val="Hyperlink"/>
                  </w:rPr>
                  <w:noBreakHyphen/>
                  <w:t>cigarettes and personal vaporisers are available</w:t>
                </w:r>
                <w:r w:rsidR="00272382">
                  <w:rPr>
                    <w:webHidden/>
                  </w:rPr>
                  <w:tab/>
                </w:r>
                <w:r w:rsidR="00272382">
                  <w:rPr>
                    <w:webHidden/>
                  </w:rPr>
                  <w:fldChar w:fldCharType="begin"/>
                </w:r>
                <w:r w:rsidR="00272382">
                  <w:rPr>
                    <w:webHidden/>
                  </w:rPr>
                  <w:instrText xml:space="preserve"> PAGEREF _Toc517706726 \h </w:instrText>
                </w:r>
                <w:r w:rsidR="00272382">
                  <w:rPr>
                    <w:webHidden/>
                  </w:rPr>
                </w:r>
                <w:r w:rsidR="00272382">
                  <w:rPr>
                    <w:webHidden/>
                  </w:rPr>
                  <w:fldChar w:fldCharType="separate"/>
                </w:r>
                <w:r w:rsidR="00272382">
                  <w:rPr>
                    <w:webHidden/>
                  </w:rPr>
                  <w:t>232</w:t>
                </w:r>
                <w:r w:rsidR="00272382">
                  <w:rPr>
                    <w:webHidden/>
                  </w:rPr>
                  <w:fldChar w:fldCharType="end"/>
                </w:r>
              </w:hyperlink>
            </w:p>
            <w:p w14:paraId="1287D8D7" w14:textId="77777777" w:rsidR="00272382" w:rsidRDefault="00013E76">
              <w:pPr>
                <w:pStyle w:val="TOC2"/>
                <w:rPr>
                  <w:rFonts w:asciiTheme="minorHAnsi" w:eastAsiaTheme="minorEastAsia" w:hAnsiTheme="minorHAnsi" w:cstheme="minorBidi"/>
                  <w:color w:val="auto"/>
                  <w:sz w:val="22"/>
                </w:rPr>
              </w:pPr>
              <w:hyperlink w:anchor="_Toc517706727" w:history="1">
                <w:r w:rsidR="00272382" w:rsidRPr="003E204A">
                  <w:rPr>
                    <w:rStyle w:val="Hyperlink"/>
                  </w:rPr>
                  <w:t>Executive summary</w:t>
                </w:r>
                <w:r w:rsidR="00272382">
                  <w:rPr>
                    <w:webHidden/>
                  </w:rPr>
                  <w:tab/>
                </w:r>
                <w:r w:rsidR="00272382">
                  <w:rPr>
                    <w:webHidden/>
                  </w:rPr>
                  <w:fldChar w:fldCharType="begin"/>
                </w:r>
                <w:r w:rsidR="00272382">
                  <w:rPr>
                    <w:webHidden/>
                  </w:rPr>
                  <w:instrText xml:space="preserve"> PAGEREF _Toc517706727 \h </w:instrText>
                </w:r>
                <w:r w:rsidR="00272382">
                  <w:rPr>
                    <w:webHidden/>
                  </w:rPr>
                </w:r>
                <w:r w:rsidR="00272382">
                  <w:rPr>
                    <w:webHidden/>
                  </w:rPr>
                  <w:fldChar w:fldCharType="separate"/>
                </w:r>
                <w:r w:rsidR="00272382">
                  <w:rPr>
                    <w:webHidden/>
                  </w:rPr>
                  <w:t>233</w:t>
                </w:r>
                <w:r w:rsidR="00272382">
                  <w:rPr>
                    <w:webHidden/>
                  </w:rPr>
                  <w:fldChar w:fldCharType="end"/>
                </w:r>
              </w:hyperlink>
            </w:p>
            <w:p w14:paraId="00967591" w14:textId="77777777" w:rsidR="00272382" w:rsidRDefault="00013E76">
              <w:pPr>
                <w:pStyle w:val="TOC2"/>
                <w:rPr>
                  <w:rFonts w:asciiTheme="minorHAnsi" w:eastAsiaTheme="minorEastAsia" w:hAnsiTheme="minorHAnsi" w:cstheme="minorBidi"/>
                  <w:color w:val="auto"/>
                  <w:sz w:val="22"/>
                </w:rPr>
              </w:pPr>
              <w:hyperlink w:anchor="_Toc517706728" w:history="1">
                <w:r w:rsidR="00272382" w:rsidRPr="003E204A">
                  <w:rPr>
                    <w:rStyle w:val="Hyperlink"/>
                    <w14:scene3d>
                      <w14:camera w14:prst="orthographicFront"/>
                      <w14:lightRig w14:rig="threePt" w14:dir="t">
                        <w14:rot w14:lat="0" w14:lon="0" w14:rev="0"/>
                      </w14:lightRig>
                    </w14:scene3d>
                  </w:rPr>
                  <w:t>21</w:t>
                </w:r>
                <w:r w:rsidR="00272382">
                  <w:rPr>
                    <w:rFonts w:asciiTheme="minorHAnsi" w:eastAsiaTheme="minorEastAsia" w:hAnsiTheme="minorHAnsi" w:cstheme="minorBidi"/>
                    <w:color w:val="auto"/>
                    <w:sz w:val="22"/>
                  </w:rPr>
                  <w:tab/>
                </w:r>
                <w:r w:rsidR="00272382" w:rsidRPr="003E204A">
                  <w:rPr>
                    <w:rStyle w:val="Hyperlink"/>
                  </w:rPr>
                  <w:t>Introduction</w:t>
                </w:r>
                <w:r w:rsidR="00272382">
                  <w:rPr>
                    <w:webHidden/>
                  </w:rPr>
                  <w:tab/>
                </w:r>
                <w:r w:rsidR="00272382">
                  <w:rPr>
                    <w:webHidden/>
                  </w:rPr>
                  <w:fldChar w:fldCharType="begin"/>
                </w:r>
                <w:r w:rsidR="00272382">
                  <w:rPr>
                    <w:webHidden/>
                  </w:rPr>
                  <w:instrText xml:space="preserve"> PAGEREF _Toc517706728 \h </w:instrText>
                </w:r>
                <w:r w:rsidR="00272382">
                  <w:rPr>
                    <w:webHidden/>
                  </w:rPr>
                </w:r>
                <w:r w:rsidR="00272382">
                  <w:rPr>
                    <w:webHidden/>
                  </w:rPr>
                  <w:fldChar w:fldCharType="separate"/>
                </w:r>
                <w:r w:rsidR="00272382">
                  <w:rPr>
                    <w:webHidden/>
                  </w:rPr>
                  <w:t>234</w:t>
                </w:r>
                <w:r w:rsidR="00272382">
                  <w:rPr>
                    <w:webHidden/>
                  </w:rPr>
                  <w:fldChar w:fldCharType="end"/>
                </w:r>
              </w:hyperlink>
            </w:p>
            <w:p w14:paraId="2728FDC4" w14:textId="77777777" w:rsidR="00272382" w:rsidRDefault="00013E76">
              <w:pPr>
                <w:pStyle w:val="TOC3"/>
                <w:rPr>
                  <w:rFonts w:asciiTheme="minorHAnsi" w:eastAsiaTheme="minorEastAsia" w:hAnsiTheme="minorHAnsi" w:cstheme="minorBidi"/>
                  <w:noProof/>
                  <w:color w:val="auto"/>
                  <w:sz w:val="22"/>
                </w:rPr>
              </w:pPr>
              <w:hyperlink w:anchor="_Toc517706729" w:history="1">
                <w:r w:rsidR="00272382" w:rsidRPr="003E204A">
                  <w:rPr>
                    <w:rStyle w:val="Hyperlink"/>
                    <w:noProof/>
                  </w:rPr>
                  <w:t>21.1</w:t>
                </w:r>
                <w:r w:rsidR="00272382">
                  <w:rPr>
                    <w:rFonts w:asciiTheme="minorHAnsi" w:eastAsiaTheme="minorEastAsia" w:hAnsiTheme="minorHAnsi" w:cstheme="minorBidi"/>
                    <w:noProof/>
                    <w:color w:val="auto"/>
                    <w:sz w:val="22"/>
                  </w:rPr>
                  <w:tab/>
                </w:r>
                <w:r w:rsidR="00272382" w:rsidRPr="003E204A">
                  <w:rPr>
                    <w:rStyle w:val="Hyperlink"/>
                    <w:noProof/>
                  </w:rPr>
                  <w:t>Regulation and Policy relating to e-cigarettes</w:t>
                </w:r>
                <w:r w:rsidR="00272382">
                  <w:rPr>
                    <w:noProof/>
                    <w:webHidden/>
                  </w:rPr>
                  <w:tab/>
                </w:r>
                <w:r w:rsidR="00272382">
                  <w:rPr>
                    <w:noProof/>
                    <w:webHidden/>
                  </w:rPr>
                  <w:fldChar w:fldCharType="begin"/>
                </w:r>
                <w:r w:rsidR="00272382">
                  <w:rPr>
                    <w:noProof/>
                    <w:webHidden/>
                  </w:rPr>
                  <w:instrText xml:space="preserve"> PAGEREF _Toc517706729 \h </w:instrText>
                </w:r>
                <w:r w:rsidR="00272382">
                  <w:rPr>
                    <w:noProof/>
                    <w:webHidden/>
                  </w:rPr>
                </w:r>
                <w:r w:rsidR="00272382">
                  <w:rPr>
                    <w:noProof/>
                    <w:webHidden/>
                  </w:rPr>
                  <w:fldChar w:fldCharType="separate"/>
                </w:r>
                <w:r w:rsidR="00272382">
                  <w:rPr>
                    <w:noProof/>
                    <w:webHidden/>
                  </w:rPr>
                  <w:t>234</w:t>
                </w:r>
                <w:r w:rsidR="00272382">
                  <w:rPr>
                    <w:noProof/>
                    <w:webHidden/>
                  </w:rPr>
                  <w:fldChar w:fldCharType="end"/>
                </w:r>
              </w:hyperlink>
            </w:p>
            <w:p w14:paraId="6A9C039F" w14:textId="77777777" w:rsidR="00272382" w:rsidRDefault="00013E76">
              <w:pPr>
                <w:pStyle w:val="TOC2"/>
                <w:rPr>
                  <w:rFonts w:asciiTheme="minorHAnsi" w:eastAsiaTheme="minorEastAsia" w:hAnsiTheme="minorHAnsi" w:cstheme="minorBidi"/>
                  <w:color w:val="auto"/>
                  <w:sz w:val="22"/>
                </w:rPr>
              </w:pPr>
              <w:hyperlink w:anchor="_Toc517706730" w:history="1">
                <w:r w:rsidR="00272382" w:rsidRPr="003E204A">
                  <w:rPr>
                    <w:rStyle w:val="Hyperlink"/>
                    <w14:scene3d>
                      <w14:camera w14:prst="orthographicFront"/>
                      <w14:lightRig w14:rig="threePt" w14:dir="t">
                        <w14:rot w14:lat="0" w14:lon="0" w14:rev="0"/>
                      </w14:lightRig>
                    </w14:scene3d>
                  </w:rPr>
                  <w:t>22</w:t>
                </w:r>
                <w:r w:rsidR="00272382">
                  <w:rPr>
                    <w:rFonts w:asciiTheme="minorHAnsi" w:eastAsiaTheme="minorEastAsia" w:hAnsiTheme="minorHAnsi" w:cstheme="minorBidi"/>
                    <w:color w:val="auto"/>
                    <w:sz w:val="22"/>
                  </w:rPr>
                  <w:tab/>
                </w:r>
                <w:r w:rsidR="00272382" w:rsidRPr="003E204A">
                  <w:rPr>
                    <w:rStyle w:val="Hyperlink"/>
                  </w:rPr>
                  <w:t>Prevalence of e-cigarette use</w:t>
                </w:r>
                <w:r w:rsidR="00272382">
                  <w:rPr>
                    <w:webHidden/>
                  </w:rPr>
                  <w:tab/>
                </w:r>
                <w:r w:rsidR="00272382">
                  <w:rPr>
                    <w:webHidden/>
                  </w:rPr>
                  <w:fldChar w:fldCharType="begin"/>
                </w:r>
                <w:r w:rsidR="00272382">
                  <w:rPr>
                    <w:webHidden/>
                  </w:rPr>
                  <w:instrText xml:space="preserve"> PAGEREF _Toc517706730 \h </w:instrText>
                </w:r>
                <w:r w:rsidR="00272382">
                  <w:rPr>
                    <w:webHidden/>
                  </w:rPr>
                </w:r>
                <w:r w:rsidR="00272382">
                  <w:rPr>
                    <w:webHidden/>
                  </w:rPr>
                  <w:fldChar w:fldCharType="separate"/>
                </w:r>
                <w:r w:rsidR="00272382">
                  <w:rPr>
                    <w:webHidden/>
                  </w:rPr>
                  <w:t>236</w:t>
                </w:r>
                <w:r w:rsidR="00272382">
                  <w:rPr>
                    <w:webHidden/>
                  </w:rPr>
                  <w:fldChar w:fldCharType="end"/>
                </w:r>
              </w:hyperlink>
            </w:p>
            <w:p w14:paraId="7E43D1AC" w14:textId="77777777" w:rsidR="00272382" w:rsidRDefault="00013E76">
              <w:pPr>
                <w:pStyle w:val="TOC3"/>
                <w:rPr>
                  <w:rFonts w:asciiTheme="minorHAnsi" w:eastAsiaTheme="minorEastAsia" w:hAnsiTheme="minorHAnsi" w:cstheme="minorBidi"/>
                  <w:noProof/>
                  <w:color w:val="auto"/>
                  <w:sz w:val="22"/>
                </w:rPr>
              </w:pPr>
              <w:hyperlink w:anchor="_Toc517706731" w:history="1">
                <w:r w:rsidR="00272382" w:rsidRPr="003E204A">
                  <w:rPr>
                    <w:rStyle w:val="Hyperlink"/>
                    <w:noProof/>
                  </w:rPr>
                  <w:t>22.1</w:t>
                </w:r>
                <w:r w:rsidR="00272382">
                  <w:rPr>
                    <w:rFonts w:asciiTheme="minorHAnsi" w:eastAsiaTheme="minorEastAsia" w:hAnsiTheme="minorHAnsi" w:cstheme="minorBidi"/>
                    <w:noProof/>
                    <w:color w:val="auto"/>
                    <w:sz w:val="22"/>
                  </w:rPr>
                  <w:tab/>
                </w:r>
                <w:r w:rsidR="00272382" w:rsidRPr="003E204A">
                  <w:rPr>
                    <w:rStyle w:val="Hyperlink"/>
                    <w:noProof/>
                  </w:rPr>
                  <w:t>Comparison of e-cigarette use with conventional cigarette use</w:t>
                </w:r>
                <w:r w:rsidR="00272382">
                  <w:rPr>
                    <w:noProof/>
                    <w:webHidden/>
                  </w:rPr>
                  <w:tab/>
                </w:r>
                <w:r w:rsidR="00272382">
                  <w:rPr>
                    <w:noProof/>
                    <w:webHidden/>
                  </w:rPr>
                  <w:fldChar w:fldCharType="begin"/>
                </w:r>
                <w:r w:rsidR="00272382">
                  <w:rPr>
                    <w:noProof/>
                    <w:webHidden/>
                  </w:rPr>
                  <w:instrText xml:space="preserve"> PAGEREF _Toc517706731 \h </w:instrText>
                </w:r>
                <w:r w:rsidR="00272382">
                  <w:rPr>
                    <w:noProof/>
                    <w:webHidden/>
                  </w:rPr>
                </w:r>
                <w:r w:rsidR="00272382">
                  <w:rPr>
                    <w:noProof/>
                    <w:webHidden/>
                  </w:rPr>
                  <w:fldChar w:fldCharType="separate"/>
                </w:r>
                <w:r w:rsidR="00272382">
                  <w:rPr>
                    <w:noProof/>
                    <w:webHidden/>
                  </w:rPr>
                  <w:t>236</w:t>
                </w:r>
                <w:r w:rsidR="00272382">
                  <w:rPr>
                    <w:noProof/>
                    <w:webHidden/>
                  </w:rPr>
                  <w:fldChar w:fldCharType="end"/>
                </w:r>
              </w:hyperlink>
            </w:p>
            <w:p w14:paraId="0ACFB304" w14:textId="602D76BD" w:rsidR="00272382" w:rsidRDefault="00013E76">
              <w:pPr>
                <w:pStyle w:val="TOC2"/>
                <w:rPr>
                  <w:rFonts w:asciiTheme="minorHAnsi" w:eastAsiaTheme="minorEastAsia" w:hAnsiTheme="minorHAnsi" w:cstheme="minorBidi"/>
                  <w:color w:val="auto"/>
                  <w:sz w:val="22"/>
                </w:rPr>
              </w:pPr>
              <w:hyperlink w:anchor="_Toc517706732" w:history="1">
                <w:r w:rsidR="00272382" w:rsidRPr="003E204A">
                  <w:rPr>
                    <w:rStyle w:val="Hyperlink"/>
                    <w14:scene3d>
                      <w14:camera w14:prst="orthographicFront"/>
                      <w14:lightRig w14:rig="threePt" w14:dir="t">
                        <w14:rot w14:lat="0" w14:lon="0" w14:rev="0"/>
                      </w14:lightRig>
                    </w14:scene3d>
                  </w:rPr>
                  <w:t>23</w:t>
                </w:r>
                <w:r w:rsidR="00272382">
                  <w:rPr>
                    <w:rFonts w:asciiTheme="minorHAnsi" w:eastAsiaTheme="minorEastAsia" w:hAnsiTheme="minorHAnsi" w:cstheme="minorBidi"/>
                    <w:color w:val="auto"/>
                    <w:sz w:val="22"/>
                  </w:rPr>
                  <w:tab/>
                </w:r>
                <w:r w:rsidR="00272382" w:rsidRPr="003E204A">
                  <w:rPr>
                    <w:rStyle w:val="Hyperlink"/>
                  </w:rPr>
                  <w:t>Tables</w:t>
                </w:r>
                <w:r w:rsidR="00272382">
                  <w:rPr>
                    <w:webHidden/>
                  </w:rPr>
                  <w:tab/>
                </w:r>
                <w:r w:rsidR="00272382">
                  <w:rPr>
                    <w:webHidden/>
                  </w:rPr>
                  <w:tab/>
                </w:r>
                <w:r w:rsidR="00272382">
                  <w:rPr>
                    <w:webHidden/>
                  </w:rPr>
                  <w:fldChar w:fldCharType="begin"/>
                </w:r>
                <w:r w:rsidR="00272382">
                  <w:rPr>
                    <w:webHidden/>
                  </w:rPr>
                  <w:instrText xml:space="preserve"> PAGEREF _Toc517706732 \h </w:instrText>
                </w:r>
                <w:r w:rsidR="00272382">
                  <w:rPr>
                    <w:webHidden/>
                  </w:rPr>
                </w:r>
                <w:r w:rsidR="00272382">
                  <w:rPr>
                    <w:webHidden/>
                  </w:rPr>
                  <w:fldChar w:fldCharType="separate"/>
                </w:r>
                <w:r w:rsidR="00272382">
                  <w:rPr>
                    <w:webHidden/>
                  </w:rPr>
                  <w:t>240</w:t>
                </w:r>
                <w:r w:rsidR="00272382">
                  <w:rPr>
                    <w:webHidden/>
                  </w:rPr>
                  <w:fldChar w:fldCharType="end"/>
                </w:r>
              </w:hyperlink>
            </w:p>
            <w:p w14:paraId="5D1359EC" w14:textId="77777777" w:rsidR="00272382" w:rsidRDefault="00013E76">
              <w:pPr>
                <w:pStyle w:val="TOC1"/>
                <w:rPr>
                  <w:rFonts w:asciiTheme="minorHAnsi" w:eastAsiaTheme="minorEastAsia" w:hAnsiTheme="minorHAnsi" w:cstheme="minorBidi"/>
                  <w:b w:val="0"/>
                  <w:color w:val="auto"/>
                  <w:sz w:val="22"/>
                </w:rPr>
              </w:pPr>
              <w:hyperlink w:anchor="_Toc517706733" w:history="1">
                <w:r w:rsidR="00272382" w:rsidRPr="003E204A">
                  <w:rPr>
                    <w:rStyle w:val="Hyperlink"/>
                  </w:rPr>
                  <w:t>PART 7: Supplementary Report: exploring the use of e-cigarettes</w:t>
                </w:r>
                <w:r w:rsidR="00272382">
                  <w:rPr>
                    <w:webHidden/>
                  </w:rPr>
                  <w:tab/>
                </w:r>
                <w:r w:rsidR="00272382">
                  <w:rPr>
                    <w:webHidden/>
                  </w:rPr>
                  <w:fldChar w:fldCharType="begin"/>
                </w:r>
                <w:r w:rsidR="00272382">
                  <w:rPr>
                    <w:webHidden/>
                  </w:rPr>
                  <w:instrText xml:space="preserve"> PAGEREF _Toc517706733 \h </w:instrText>
                </w:r>
                <w:r w:rsidR="00272382">
                  <w:rPr>
                    <w:webHidden/>
                  </w:rPr>
                </w:r>
                <w:r w:rsidR="00272382">
                  <w:rPr>
                    <w:webHidden/>
                  </w:rPr>
                  <w:fldChar w:fldCharType="separate"/>
                </w:r>
                <w:r w:rsidR="00272382">
                  <w:rPr>
                    <w:webHidden/>
                  </w:rPr>
                  <w:t>256</w:t>
                </w:r>
                <w:r w:rsidR="00272382">
                  <w:rPr>
                    <w:webHidden/>
                  </w:rPr>
                  <w:fldChar w:fldCharType="end"/>
                </w:r>
              </w:hyperlink>
            </w:p>
            <w:p w14:paraId="4A6D98C9" w14:textId="77777777" w:rsidR="00272382" w:rsidRDefault="00013E76">
              <w:pPr>
                <w:pStyle w:val="TOC2"/>
                <w:rPr>
                  <w:rFonts w:asciiTheme="minorHAnsi" w:eastAsiaTheme="minorEastAsia" w:hAnsiTheme="minorHAnsi" w:cstheme="minorBidi"/>
                  <w:color w:val="auto"/>
                  <w:sz w:val="22"/>
                </w:rPr>
              </w:pPr>
              <w:hyperlink w:anchor="_Toc517706734" w:history="1">
                <w:r w:rsidR="00272382" w:rsidRPr="003E204A">
                  <w:rPr>
                    <w:rStyle w:val="Hyperlink"/>
                    <w14:scene3d>
                      <w14:camera w14:prst="orthographicFront"/>
                      <w14:lightRig w14:rig="threePt" w14:dir="t">
                        <w14:rot w14:lat="0" w14:lon="0" w14:rev="0"/>
                      </w14:lightRig>
                    </w14:scene3d>
                  </w:rPr>
                  <w:t>24</w:t>
                </w:r>
                <w:r w:rsidR="00272382">
                  <w:rPr>
                    <w:rFonts w:asciiTheme="minorHAnsi" w:eastAsiaTheme="minorEastAsia" w:hAnsiTheme="minorHAnsi" w:cstheme="minorBidi"/>
                    <w:color w:val="auto"/>
                    <w:sz w:val="22"/>
                  </w:rPr>
                  <w:tab/>
                </w:r>
                <w:r w:rsidR="00272382" w:rsidRPr="003E204A">
                  <w:rPr>
                    <w:rStyle w:val="Hyperlink"/>
                  </w:rPr>
                  <w:t>Introduction</w:t>
                </w:r>
                <w:r w:rsidR="00272382">
                  <w:rPr>
                    <w:webHidden/>
                  </w:rPr>
                  <w:tab/>
                </w:r>
                <w:r w:rsidR="00272382">
                  <w:rPr>
                    <w:webHidden/>
                  </w:rPr>
                  <w:fldChar w:fldCharType="begin"/>
                </w:r>
                <w:r w:rsidR="00272382">
                  <w:rPr>
                    <w:webHidden/>
                  </w:rPr>
                  <w:instrText xml:space="preserve"> PAGEREF _Toc517706734 \h </w:instrText>
                </w:r>
                <w:r w:rsidR="00272382">
                  <w:rPr>
                    <w:webHidden/>
                  </w:rPr>
                </w:r>
                <w:r w:rsidR="00272382">
                  <w:rPr>
                    <w:webHidden/>
                  </w:rPr>
                  <w:fldChar w:fldCharType="separate"/>
                </w:r>
                <w:r w:rsidR="00272382">
                  <w:rPr>
                    <w:webHidden/>
                  </w:rPr>
                  <w:t>258</w:t>
                </w:r>
                <w:r w:rsidR="00272382">
                  <w:rPr>
                    <w:webHidden/>
                  </w:rPr>
                  <w:fldChar w:fldCharType="end"/>
                </w:r>
              </w:hyperlink>
            </w:p>
            <w:p w14:paraId="698B3FFE" w14:textId="77777777" w:rsidR="00272382" w:rsidRDefault="00013E76">
              <w:pPr>
                <w:pStyle w:val="TOC3"/>
                <w:rPr>
                  <w:rFonts w:asciiTheme="minorHAnsi" w:eastAsiaTheme="minorEastAsia" w:hAnsiTheme="minorHAnsi" w:cstheme="minorBidi"/>
                  <w:noProof/>
                  <w:color w:val="auto"/>
                  <w:sz w:val="22"/>
                </w:rPr>
              </w:pPr>
              <w:hyperlink w:anchor="_Toc517706735" w:history="1">
                <w:r w:rsidR="00272382" w:rsidRPr="003E204A">
                  <w:rPr>
                    <w:rStyle w:val="Hyperlink"/>
                    <w:noProof/>
                  </w:rPr>
                  <w:t>24.1</w:t>
                </w:r>
                <w:r w:rsidR="00272382">
                  <w:rPr>
                    <w:rFonts w:asciiTheme="minorHAnsi" w:eastAsiaTheme="minorEastAsia" w:hAnsiTheme="minorHAnsi" w:cstheme="minorBidi"/>
                    <w:noProof/>
                    <w:color w:val="auto"/>
                    <w:sz w:val="22"/>
                  </w:rPr>
                  <w:tab/>
                </w:r>
                <w:r w:rsidR="00272382" w:rsidRPr="003E204A">
                  <w:rPr>
                    <w:rStyle w:val="Hyperlink"/>
                    <w:noProof/>
                  </w:rPr>
                  <w:t>Data extraction</w:t>
                </w:r>
                <w:r w:rsidR="00272382">
                  <w:rPr>
                    <w:noProof/>
                    <w:webHidden/>
                  </w:rPr>
                  <w:tab/>
                </w:r>
                <w:r w:rsidR="00272382">
                  <w:rPr>
                    <w:noProof/>
                    <w:webHidden/>
                  </w:rPr>
                  <w:fldChar w:fldCharType="begin"/>
                </w:r>
                <w:r w:rsidR="00272382">
                  <w:rPr>
                    <w:noProof/>
                    <w:webHidden/>
                  </w:rPr>
                  <w:instrText xml:space="preserve"> PAGEREF _Toc517706735 \h </w:instrText>
                </w:r>
                <w:r w:rsidR="00272382">
                  <w:rPr>
                    <w:noProof/>
                    <w:webHidden/>
                  </w:rPr>
                </w:r>
                <w:r w:rsidR="00272382">
                  <w:rPr>
                    <w:noProof/>
                    <w:webHidden/>
                  </w:rPr>
                  <w:fldChar w:fldCharType="separate"/>
                </w:r>
                <w:r w:rsidR="00272382">
                  <w:rPr>
                    <w:noProof/>
                    <w:webHidden/>
                  </w:rPr>
                  <w:t>258</w:t>
                </w:r>
                <w:r w:rsidR="00272382">
                  <w:rPr>
                    <w:noProof/>
                    <w:webHidden/>
                  </w:rPr>
                  <w:fldChar w:fldCharType="end"/>
                </w:r>
              </w:hyperlink>
            </w:p>
            <w:p w14:paraId="1E22DF79" w14:textId="77777777" w:rsidR="00272382" w:rsidRDefault="00013E76">
              <w:pPr>
                <w:pStyle w:val="TOC2"/>
                <w:rPr>
                  <w:rFonts w:asciiTheme="minorHAnsi" w:eastAsiaTheme="minorEastAsia" w:hAnsiTheme="minorHAnsi" w:cstheme="minorBidi"/>
                  <w:color w:val="auto"/>
                  <w:sz w:val="22"/>
                </w:rPr>
              </w:pPr>
              <w:hyperlink w:anchor="_Toc517706736" w:history="1">
                <w:r w:rsidR="00272382" w:rsidRPr="003E204A">
                  <w:rPr>
                    <w:rStyle w:val="Hyperlink"/>
                    <w:rFonts w:eastAsia="Times New Roman"/>
                    <w14:scene3d>
                      <w14:camera w14:prst="orthographicFront"/>
                      <w14:lightRig w14:rig="threePt" w14:dir="t">
                        <w14:rot w14:lat="0" w14:lon="0" w14:rev="0"/>
                      </w14:lightRig>
                    </w14:scene3d>
                  </w:rPr>
                  <w:t>25</w:t>
                </w:r>
                <w:r w:rsidR="00272382">
                  <w:rPr>
                    <w:rFonts w:asciiTheme="minorHAnsi" w:eastAsiaTheme="minorEastAsia" w:hAnsiTheme="minorHAnsi" w:cstheme="minorBidi"/>
                    <w:color w:val="auto"/>
                    <w:sz w:val="22"/>
                  </w:rPr>
                  <w:tab/>
                </w:r>
                <w:r w:rsidR="00272382" w:rsidRPr="003E204A">
                  <w:rPr>
                    <w:rStyle w:val="Hyperlink"/>
                  </w:rPr>
                  <w:t>US data on e-cigarette use</w:t>
                </w:r>
                <w:r w:rsidR="00272382">
                  <w:rPr>
                    <w:webHidden/>
                  </w:rPr>
                  <w:tab/>
                </w:r>
                <w:r w:rsidR="00272382">
                  <w:rPr>
                    <w:webHidden/>
                  </w:rPr>
                  <w:fldChar w:fldCharType="begin"/>
                </w:r>
                <w:r w:rsidR="00272382">
                  <w:rPr>
                    <w:webHidden/>
                  </w:rPr>
                  <w:instrText xml:space="preserve"> PAGEREF _Toc517706736 \h </w:instrText>
                </w:r>
                <w:r w:rsidR="00272382">
                  <w:rPr>
                    <w:webHidden/>
                  </w:rPr>
                </w:r>
                <w:r w:rsidR="00272382">
                  <w:rPr>
                    <w:webHidden/>
                  </w:rPr>
                  <w:fldChar w:fldCharType="separate"/>
                </w:r>
                <w:r w:rsidR="00272382">
                  <w:rPr>
                    <w:webHidden/>
                  </w:rPr>
                  <w:t>259</w:t>
                </w:r>
                <w:r w:rsidR="00272382">
                  <w:rPr>
                    <w:webHidden/>
                  </w:rPr>
                  <w:fldChar w:fldCharType="end"/>
                </w:r>
              </w:hyperlink>
            </w:p>
            <w:p w14:paraId="3AE3E386" w14:textId="77777777" w:rsidR="00272382" w:rsidRDefault="00013E76">
              <w:pPr>
                <w:pStyle w:val="TOC3"/>
                <w:rPr>
                  <w:rFonts w:asciiTheme="minorHAnsi" w:eastAsiaTheme="minorEastAsia" w:hAnsiTheme="minorHAnsi" w:cstheme="minorBidi"/>
                  <w:noProof/>
                  <w:color w:val="auto"/>
                  <w:sz w:val="22"/>
                </w:rPr>
              </w:pPr>
              <w:hyperlink w:anchor="_Toc517706737" w:history="1">
                <w:r w:rsidR="00272382" w:rsidRPr="003E204A">
                  <w:rPr>
                    <w:rStyle w:val="Hyperlink"/>
                    <w:noProof/>
                  </w:rPr>
                  <w:t>25.1</w:t>
                </w:r>
                <w:r w:rsidR="00272382">
                  <w:rPr>
                    <w:rFonts w:asciiTheme="minorHAnsi" w:eastAsiaTheme="minorEastAsia" w:hAnsiTheme="minorHAnsi" w:cstheme="minorBidi"/>
                    <w:noProof/>
                    <w:color w:val="auto"/>
                    <w:sz w:val="22"/>
                  </w:rPr>
                  <w:tab/>
                </w:r>
                <w:r w:rsidR="00272382" w:rsidRPr="003E204A">
                  <w:rPr>
                    <w:rStyle w:val="Hyperlink"/>
                    <w:noProof/>
                  </w:rPr>
                  <w:t>Analysis of large national datasets</w:t>
                </w:r>
                <w:r w:rsidR="00272382">
                  <w:rPr>
                    <w:noProof/>
                    <w:webHidden/>
                  </w:rPr>
                  <w:tab/>
                </w:r>
                <w:r w:rsidR="00272382">
                  <w:rPr>
                    <w:noProof/>
                    <w:webHidden/>
                  </w:rPr>
                  <w:fldChar w:fldCharType="begin"/>
                </w:r>
                <w:r w:rsidR="00272382">
                  <w:rPr>
                    <w:noProof/>
                    <w:webHidden/>
                  </w:rPr>
                  <w:instrText xml:space="preserve"> PAGEREF _Toc517706737 \h </w:instrText>
                </w:r>
                <w:r w:rsidR="00272382">
                  <w:rPr>
                    <w:noProof/>
                    <w:webHidden/>
                  </w:rPr>
                </w:r>
                <w:r w:rsidR="00272382">
                  <w:rPr>
                    <w:noProof/>
                    <w:webHidden/>
                  </w:rPr>
                  <w:fldChar w:fldCharType="separate"/>
                </w:r>
                <w:r w:rsidR="00272382">
                  <w:rPr>
                    <w:noProof/>
                    <w:webHidden/>
                  </w:rPr>
                  <w:t>259</w:t>
                </w:r>
                <w:r w:rsidR="00272382">
                  <w:rPr>
                    <w:noProof/>
                    <w:webHidden/>
                  </w:rPr>
                  <w:fldChar w:fldCharType="end"/>
                </w:r>
              </w:hyperlink>
            </w:p>
            <w:p w14:paraId="539C58DB" w14:textId="77777777" w:rsidR="00272382" w:rsidRDefault="00013E76">
              <w:pPr>
                <w:pStyle w:val="TOC3"/>
                <w:rPr>
                  <w:rFonts w:asciiTheme="minorHAnsi" w:eastAsiaTheme="minorEastAsia" w:hAnsiTheme="minorHAnsi" w:cstheme="minorBidi"/>
                  <w:noProof/>
                  <w:color w:val="auto"/>
                  <w:sz w:val="22"/>
                </w:rPr>
              </w:pPr>
              <w:hyperlink w:anchor="_Toc517706738" w:history="1">
                <w:r w:rsidR="00272382" w:rsidRPr="003E204A">
                  <w:rPr>
                    <w:rStyle w:val="Hyperlink"/>
                    <w:rFonts w:eastAsia="Times New Roman"/>
                    <w:noProof/>
                  </w:rPr>
                  <w:t>25.2</w:t>
                </w:r>
                <w:r w:rsidR="00272382">
                  <w:rPr>
                    <w:rFonts w:asciiTheme="minorHAnsi" w:eastAsiaTheme="minorEastAsia" w:hAnsiTheme="minorHAnsi" w:cstheme="minorBidi"/>
                    <w:noProof/>
                    <w:color w:val="auto"/>
                    <w:sz w:val="22"/>
                  </w:rPr>
                  <w:tab/>
                </w:r>
                <w:r w:rsidR="00272382" w:rsidRPr="003E204A">
                  <w:rPr>
                    <w:rStyle w:val="Hyperlink"/>
                    <w:rFonts w:eastAsia="Times New Roman"/>
                    <w:noProof/>
                  </w:rPr>
                  <w:t>Literature from other US datasets</w:t>
                </w:r>
                <w:r w:rsidR="00272382">
                  <w:rPr>
                    <w:noProof/>
                    <w:webHidden/>
                  </w:rPr>
                  <w:tab/>
                </w:r>
                <w:r w:rsidR="00272382">
                  <w:rPr>
                    <w:noProof/>
                    <w:webHidden/>
                  </w:rPr>
                  <w:fldChar w:fldCharType="begin"/>
                </w:r>
                <w:r w:rsidR="00272382">
                  <w:rPr>
                    <w:noProof/>
                    <w:webHidden/>
                  </w:rPr>
                  <w:instrText xml:space="preserve"> PAGEREF _Toc517706738 \h </w:instrText>
                </w:r>
                <w:r w:rsidR="00272382">
                  <w:rPr>
                    <w:noProof/>
                    <w:webHidden/>
                  </w:rPr>
                </w:r>
                <w:r w:rsidR="00272382">
                  <w:rPr>
                    <w:noProof/>
                    <w:webHidden/>
                  </w:rPr>
                  <w:fldChar w:fldCharType="separate"/>
                </w:r>
                <w:r w:rsidR="00272382">
                  <w:rPr>
                    <w:noProof/>
                    <w:webHidden/>
                  </w:rPr>
                  <w:t>262</w:t>
                </w:r>
                <w:r w:rsidR="00272382">
                  <w:rPr>
                    <w:noProof/>
                    <w:webHidden/>
                  </w:rPr>
                  <w:fldChar w:fldCharType="end"/>
                </w:r>
              </w:hyperlink>
            </w:p>
            <w:p w14:paraId="3009A6D8" w14:textId="77777777" w:rsidR="00272382" w:rsidRDefault="00013E76">
              <w:pPr>
                <w:pStyle w:val="TOC3"/>
                <w:rPr>
                  <w:rFonts w:asciiTheme="minorHAnsi" w:eastAsiaTheme="minorEastAsia" w:hAnsiTheme="minorHAnsi" w:cstheme="minorBidi"/>
                  <w:noProof/>
                  <w:color w:val="auto"/>
                  <w:sz w:val="22"/>
                </w:rPr>
              </w:pPr>
              <w:hyperlink w:anchor="_Toc517706739" w:history="1">
                <w:r w:rsidR="00272382" w:rsidRPr="003E204A">
                  <w:rPr>
                    <w:rStyle w:val="Hyperlink"/>
                    <w:rFonts w:eastAsia="Times New Roman"/>
                    <w:noProof/>
                  </w:rPr>
                  <w:t>25.3</w:t>
                </w:r>
                <w:r w:rsidR="00272382">
                  <w:rPr>
                    <w:rFonts w:asciiTheme="minorHAnsi" w:eastAsiaTheme="minorEastAsia" w:hAnsiTheme="minorHAnsi" w:cstheme="minorBidi"/>
                    <w:noProof/>
                    <w:color w:val="auto"/>
                    <w:sz w:val="22"/>
                  </w:rPr>
                  <w:tab/>
                </w:r>
                <w:r w:rsidR="00272382" w:rsidRPr="003E204A">
                  <w:rPr>
                    <w:rStyle w:val="Hyperlink"/>
                    <w:rFonts w:eastAsia="Times New Roman"/>
                    <w:noProof/>
                  </w:rPr>
                  <w:t>US literature based on investigator-developed surveys and other research methods</w:t>
                </w:r>
                <w:r w:rsidR="00272382">
                  <w:rPr>
                    <w:noProof/>
                    <w:webHidden/>
                  </w:rPr>
                  <w:tab/>
                </w:r>
                <w:r w:rsidR="00272382">
                  <w:rPr>
                    <w:noProof/>
                    <w:webHidden/>
                  </w:rPr>
                  <w:fldChar w:fldCharType="begin"/>
                </w:r>
                <w:r w:rsidR="00272382">
                  <w:rPr>
                    <w:noProof/>
                    <w:webHidden/>
                  </w:rPr>
                  <w:instrText xml:space="preserve"> PAGEREF _Toc517706739 \h </w:instrText>
                </w:r>
                <w:r w:rsidR="00272382">
                  <w:rPr>
                    <w:noProof/>
                    <w:webHidden/>
                  </w:rPr>
                </w:r>
                <w:r w:rsidR="00272382">
                  <w:rPr>
                    <w:noProof/>
                    <w:webHidden/>
                  </w:rPr>
                  <w:fldChar w:fldCharType="separate"/>
                </w:r>
                <w:r w:rsidR="00272382">
                  <w:rPr>
                    <w:noProof/>
                    <w:webHidden/>
                  </w:rPr>
                  <w:t>264</w:t>
                </w:r>
                <w:r w:rsidR="00272382">
                  <w:rPr>
                    <w:noProof/>
                    <w:webHidden/>
                  </w:rPr>
                  <w:fldChar w:fldCharType="end"/>
                </w:r>
              </w:hyperlink>
            </w:p>
            <w:p w14:paraId="7D528BC6" w14:textId="77777777" w:rsidR="00272382" w:rsidRDefault="00013E76">
              <w:pPr>
                <w:pStyle w:val="TOC3"/>
                <w:rPr>
                  <w:rFonts w:asciiTheme="minorHAnsi" w:eastAsiaTheme="minorEastAsia" w:hAnsiTheme="minorHAnsi" w:cstheme="minorBidi"/>
                  <w:noProof/>
                  <w:color w:val="auto"/>
                  <w:sz w:val="22"/>
                </w:rPr>
              </w:pPr>
              <w:hyperlink w:anchor="_Toc517706740" w:history="1">
                <w:r w:rsidR="00272382" w:rsidRPr="003E204A">
                  <w:rPr>
                    <w:rStyle w:val="Hyperlink"/>
                    <w:rFonts w:eastAsia="Times New Roman"/>
                    <w:noProof/>
                  </w:rPr>
                  <w:t>25.4</w:t>
                </w:r>
                <w:r w:rsidR="00272382">
                  <w:rPr>
                    <w:rFonts w:asciiTheme="minorHAnsi" w:eastAsiaTheme="minorEastAsia" w:hAnsiTheme="minorHAnsi" w:cstheme="minorBidi"/>
                    <w:noProof/>
                    <w:color w:val="auto"/>
                    <w:sz w:val="22"/>
                  </w:rPr>
                  <w:tab/>
                </w:r>
                <w:r w:rsidR="00272382" w:rsidRPr="003E204A">
                  <w:rPr>
                    <w:rStyle w:val="Hyperlink"/>
                    <w:rFonts w:eastAsia="Times New Roman"/>
                    <w:noProof/>
                  </w:rPr>
                  <w:t>Gender/sexuality minorities</w:t>
                </w:r>
                <w:r w:rsidR="00272382">
                  <w:rPr>
                    <w:noProof/>
                    <w:webHidden/>
                  </w:rPr>
                  <w:tab/>
                </w:r>
                <w:r w:rsidR="00272382">
                  <w:rPr>
                    <w:noProof/>
                    <w:webHidden/>
                  </w:rPr>
                  <w:fldChar w:fldCharType="begin"/>
                </w:r>
                <w:r w:rsidR="00272382">
                  <w:rPr>
                    <w:noProof/>
                    <w:webHidden/>
                  </w:rPr>
                  <w:instrText xml:space="preserve"> PAGEREF _Toc517706740 \h </w:instrText>
                </w:r>
                <w:r w:rsidR="00272382">
                  <w:rPr>
                    <w:noProof/>
                    <w:webHidden/>
                  </w:rPr>
                </w:r>
                <w:r w:rsidR="00272382">
                  <w:rPr>
                    <w:noProof/>
                    <w:webHidden/>
                  </w:rPr>
                  <w:fldChar w:fldCharType="separate"/>
                </w:r>
                <w:r w:rsidR="00272382">
                  <w:rPr>
                    <w:noProof/>
                    <w:webHidden/>
                  </w:rPr>
                  <w:t>266</w:t>
                </w:r>
                <w:r w:rsidR="00272382">
                  <w:rPr>
                    <w:noProof/>
                    <w:webHidden/>
                  </w:rPr>
                  <w:fldChar w:fldCharType="end"/>
                </w:r>
              </w:hyperlink>
            </w:p>
            <w:p w14:paraId="62C92CEE" w14:textId="77777777" w:rsidR="00272382" w:rsidRDefault="00013E76">
              <w:pPr>
                <w:pStyle w:val="TOC3"/>
                <w:rPr>
                  <w:rFonts w:asciiTheme="minorHAnsi" w:eastAsiaTheme="minorEastAsia" w:hAnsiTheme="minorHAnsi" w:cstheme="minorBidi"/>
                  <w:noProof/>
                  <w:color w:val="auto"/>
                  <w:sz w:val="22"/>
                </w:rPr>
              </w:pPr>
              <w:hyperlink w:anchor="_Toc517706741" w:history="1">
                <w:r w:rsidR="00272382" w:rsidRPr="003E204A">
                  <w:rPr>
                    <w:rStyle w:val="Hyperlink"/>
                    <w:noProof/>
                  </w:rPr>
                  <w:t>25.5</w:t>
                </w:r>
                <w:r w:rsidR="00272382">
                  <w:rPr>
                    <w:rFonts w:asciiTheme="minorHAnsi" w:eastAsiaTheme="minorEastAsia" w:hAnsiTheme="minorHAnsi" w:cstheme="minorBidi"/>
                    <w:noProof/>
                    <w:color w:val="auto"/>
                    <w:sz w:val="22"/>
                  </w:rPr>
                  <w:tab/>
                </w:r>
                <w:r w:rsidR="00272382" w:rsidRPr="003E204A">
                  <w:rPr>
                    <w:rStyle w:val="Hyperlink"/>
                    <w:noProof/>
                  </w:rPr>
                  <w:t>Conclusion</w:t>
                </w:r>
                <w:r w:rsidR="00272382">
                  <w:rPr>
                    <w:noProof/>
                    <w:webHidden/>
                  </w:rPr>
                  <w:tab/>
                </w:r>
                <w:r w:rsidR="00272382">
                  <w:rPr>
                    <w:noProof/>
                    <w:webHidden/>
                  </w:rPr>
                  <w:fldChar w:fldCharType="begin"/>
                </w:r>
                <w:r w:rsidR="00272382">
                  <w:rPr>
                    <w:noProof/>
                    <w:webHidden/>
                  </w:rPr>
                  <w:instrText xml:space="preserve"> PAGEREF _Toc517706741 \h </w:instrText>
                </w:r>
                <w:r w:rsidR="00272382">
                  <w:rPr>
                    <w:noProof/>
                    <w:webHidden/>
                  </w:rPr>
                </w:r>
                <w:r w:rsidR="00272382">
                  <w:rPr>
                    <w:noProof/>
                    <w:webHidden/>
                  </w:rPr>
                  <w:fldChar w:fldCharType="separate"/>
                </w:r>
                <w:r w:rsidR="00272382">
                  <w:rPr>
                    <w:noProof/>
                    <w:webHidden/>
                  </w:rPr>
                  <w:t>266</w:t>
                </w:r>
                <w:r w:rsidR="00272382">
                  <w:rPr>
                    <w:noProof/>
                    <w:webHidden/>
                  </w:rPr>
                  <w:fldChar w:fldCharType="end"/>
                </w:r>
              </w:hyperlink>
            </w:p>
            <w:p w14:paraId="5ACD85FE" w14:textId="77777777" w:rsidR="00272382" w:rsidRDefault="00013E76">
              <w:pPr>
                <w:pStyle w:val="TOC2"/>
                <w:rPr>
                  <w:rFonts w:asciiTheme="minorHAnsi" w:eastAsiaTheme="minorEastAsia" w:hAnsiTheme="minorHAnsi" w:cstheme="minorBidi"/>
                  <w:color w:val="auto"/>
                  <w:sz w:val="22"/>
                </w:rPr>
              </w:pPr>
              <w:hyperlink w:anchor="_Toc517706742" w:history="1">
                <w:r w:rsidR="00272382" w:rsidRPr="003E204A">
                  <w:rPr>
                    <w:rStyle w:val="Hyperlink"/>
                    <w:rFonts w:eastAsia="Times New Roman"/>
                    <w14:scene3d>
                      <w14:camera w14:prst="orthographicFront"/>
                      <w14:lightRig w14:rig="threePt" w14:dir="t">
                        <w14:rot w14:lat="0" w14:lon="0" w14:rev="0"/>
                      </w14:lightRig>
                    </w14:scene3d>
                  </w:rPr>
                  <w:t>26</w:t>
                </w:r>
                <w:r w:rsidR="00272382">
                  <w:rPr>
                    <w:rFonts w:asciiTheme="minorHAnsi" w:eastAsiaTheme="minorEastAsia" w:hAnsiTheme="minorHAnsi" w:cstheme="minorBidi"/>
                    <w:color w:val="auto"/>
                    <w:sz w:val="22"/>
                  </w:rPr>
                  <w:tab/>
                </w:r>
                <w:r w:rsidR="00272382" w:rsidRPr="003E204A">
                  <w:rPr>
                    <w:rStyle w:val="Hyperlink"/>
                  </w:rPr>
                  <w:t>Non-US data on e</w:t>
                </w:r>
                <w:r w:rsidR="00272382" w:rsidRPr="003E204A">
                  <w:rPr>
                    <w:rStyle w:val="Hyperlink"/>
                  </w:rPr>
                  <w:noBreakHyphen/>
                  <w:t>cigarette use</w:t>
                </w:r>
                <w:r w:rsidR="00272382">
                  <w:rPr>
                    <w:webHidden/>
                  </w:rPr>
                  <w:tab/>
                </w:r>
                <w:r w:rsidR="00272382">
                  <w:rPr>
                    <w:webHidden/>
                  </w:rPr>
                  <w:fldChar w:fldCharType="begin"/>
                </w:r>
                <w:r w:rsidR="00272382">
                  <w:rPr>
                    <w:webHidden/>
                  </w:rPr>
                  <w:instrText xml:space="preserve"> PAGEREF _Toc517706742 \h </w:instrText>
                </w:r>
                <w:r w:rsidR="00272382">
                  <w:rPr>
                    <w:webHidden/>
                  </w:rPr>
                </w:r>
                <w:r w:rsidR="00272382">
                  <w:rPr>
                    <w:webHidden/>
                  </w:rPr>
                  <w:fldChar w:fldCharType="separate"/>
                </w:r>
                <w:r w:rsidR="00272382">
                  <w:rPr>
                    <w:webHidden/>
                  </w:rPr>
                  <w:t>268</w:t>
                </w:r>
                <w:r w:rsidR="00272382">
                  <w:rPr>
                    <w:webHidden/>
                  </w:rPr>
                  <w:fldChar w:fldCharType="end"/>
                </w:r>
              </w:hyperlink>
            </w:p>
            <w:p w14:paraId="199A51D2" w14:textId="77777777" w:rsidR="00272382" w:rsidRDefault="00013E76">
              <w:pPr>
                <w:pStyle w:val="TOC3"/>
                <w:rPr>
                  <w:rFonts w:asciiTheme="minorHAnsi" w:eastAsiaTheme="minorEastAsia" w:hAnsiTheme="minorHAnsi" w:cstheme="minorBidi"/>
                  <w:noProof/>
                  <w:color w:val="auto"/>
                  <w:sz w:val="22"/>
                </w:rPr>
              </w:pPr>
              <w:hyperlink w:anchor="_Toc517706743" w:history="1">
                <w:r w:rsidR="00272382" w:rsidRPr="003E204A">
                  <w:rPr>
                    <w:rStyle w:val="Hyperlink"/>
                    <w:noProof/>
                  </w:rPr>
                  <w:t>26.1</w:t>
                </w:r>
                <w:r w:rsidR="00272382">
                  <w:rPr>
                    <w:rFonts w:asciiTheme="minorHAnsi" w:eastAsiaTheme="minorEastAsia" w:hAnsiTheme="minorHAnsi" w:cstheme="minorBidi"/>
                    <w:noProof/>
                    <w:color w:val="auto"/>
                    <w:sz w:val="22"/>
                  </w:rPr>
                  <w:tab/>
                </w:r>
                <w:r w:rsidR="00272382" w:rsidRPr="003E204A">
                  <w:rPr>
                    <w:rStyle w:val="Hyperlink"/>
                    <w:noProof/>
                  </w:rPr>
                  <w:t>Australian Studies</w:t>
                </w:r>
                <w:r w:rsidR="00272382">
                  <w:rPr>
                    <w:noProof/>
                    <w:webHidden/>
                  </w:rPr>
                  <w:tab/>
                </w:r>
                <w:r w:rsidR="00272382">
                  <w:rPr>
                    <w:noProof/>
                    <w:webHidden/>
                  </w:rPr>
                  <w:fldChar w:fldCharType="begin"/>
                </w:r>
                <w:r w:rsidR="00272382">
                  <w:rPr>
                    <w:noProof/>
                    <w:webHidden/>
                  </w:rPr>
                  <w:instrText xml:space="preserve"> PAGEREF _Toc517706743 \h </w:instrText>
                </w:r>
                <w:r w:rsidR="00272382">
                  <w:rPr>
                    <w:noProof/>
                    <w:webHidden/>
                  </w:rPr>
                </w:r>
                <w:r w:rsidR="00272382">
                  <w:rPr>
                    <w:noProof/>
                    <w:webHidden/>
                  </w:rPr>
                  <w:fldChar w:fldCharType="separate"/>
                </w:r>
                <w:r w:rsidR="00272382">
                  <w:rPr>
                    <w:noProof/>
                    <w:webHidden/>
                  </w:rPr>
                  <w:t>268</w:t>
                </w:r>
                <w:r w:rsidR="00272382">
                  <w:rPr>
                    <w:noProof/>
                    <w:webHidden/>
                  </w:rPr>
                  <w:fldChar w:fldCharType="end"/>
                </w:r>
              </w:hyperlink>
            </w:p>
            <w:p w14:paraId="50419205" w14:textId="77777777" w:rsidR="00272382" w:rsidRDefault="00013E76">
              <w:pPr>
                <w:pStyle w:val="TOC3"/>
                <w:rPr>
                  <w:rFonts w:asciiTheme="minorHAnsi" w:eastAsiaTheme="minorEastAsia" w:hAnsiTheme="minorHAnsi" w:cstheme="minorBidi"/>
                  <w:noProof/>
                  <w:color w:val="auto"/>
                  <w:sz w:val="22"/>
                </w:rPr>
              </w:pPr>
              <w:hyperlink w:anchor="_Toc517706744" w:history="1">
                <w:r w:rsidR="00272382" w:rsidRPr="003E204A">
                  <w:rPr>
                    <w:rStyle w:val="Hyperlink"/>
                    <w:noProof/>
                  </w:rPr>
                  <w:t>26.2</w:t>
                </w:r>
                <w:r w:rsidR="00272382">
                  <w:rPr>
                    <w:rFonts w:asciiTheme="minorHAnsi" w:eastAsiaTheme="minorEastAsia" w:hAnsiTheme="minorHAnsi" w:cstheme="minorBidi"/>
                    <w:noProof/>
                    <w:color w:val="auto"/>
                    <w:sz w:val="22"/>
                  </w:rPr>
                  <w:tab/>
                </w:r>
                <w:r w:rsidR="00272382" w:rsidRPr="003E204A">
                  <w:rPr>
                    <w:rStyle w:val="Hyperlink"/>
                    <w:noProof/>
                  </w:rPr>
                  <w:t>Data from the UK</w:t>
                </w:r>
                <w:r w:rsidR="00272382">
                  <w:rPr>
                    <w:noProof/>
                    <w:webHidden/>
                  </w:rPr>
                  <w:tab/>
                </w:r>
                <w:r w:rsidR="00272382">
                  <w:rPr>
                    <w:noProof/>
                    <w:webHidden/>
                  </w:rPr>
                  <w:fldChar w:fldCharType="begin"/>
                </w:r>
                <w:r w:rsidR="00272382">
                  <w:rPr>
                    <w:noProof/>
                    <w:webHidden/>
                  </w:rPr>
                  <w:instrText xml:space="preserve"> PAGEREF _Toc517706744 \h </w:instrText>
                </w:r>
                <w:r w:rsidR="00272382">
                  <w:rPr>
                    <w:noProof/>
                    <w:webHidden/>
                  </w:rPr>
                </w:r>
                <w:r w:rsidR="00272382">
                  <w:rPr>
                    <w:noProof/>
                    <w:webHidden/>
                  </w:rPr>
                  <w:fldChar w:fldCharType="separate"/>
                </w:r>
                <w:r w:rsidR="00272382">
                  <w:rPr>
                    <w:noProof/>
                    <w:webHidden/>
                  </w:rPr>
                  <w:t>270</w:t>
                </w:r>
                <w:r w:rsidR="00272382">
                  <w:rPr>
                    <w:noProof/>
                    <w:webHidden/>
                  </w:rPr>
                  <w:fldChar w:fldCharType="end"/>
                </w:r>
              </w:hyperlink>
            </w:p>
            <w:p w14:paraId="7E8BB483" w14:textId="77777777" w:rsidR="00272382" w:rsidRDefault="00013E76">
              <w:pPr>
                <w:pStyle w:val="TOC3"/>
                <w:rPr>
                  <w:rFonts w:asciiTheme="minorHAnsi" w:eastAsiaTheme="minorEastAsia" w:hAnsiTheme="minorHAnsi" w:cstheme="minorBidi"/>
                  <w:noProof/>
                  <w:color w:val="auto"/>
                  <w:sz w:val="22"/>
                </w:rPr>
              </w:pPr>
              <w:hyperlink w:anchor="_Toc517706745" w:history="1">
                <w:r w:rsidR="00272382" w:rsidRPr="003E204A">
                  <w:rPr>
                    <w:rStyle w:val="Hyperlink"/>
                    <w:noProof/>
                  </w:rPr>
                  <w:t>26.3</w:t>
                </w:r>
                <w:r w:rsidR="00272382">
                  <w:rPr>
                    <w:rFonts w:asciiTheme="minorHAnsi" w:eastAsiaTheme="minorEastAsia" w:hAnsiTheme="minorHAnsi" w:cstheme="minorBidi"/>
                    <w:noProof/>
                    <w:color w:val="auto"/>
                    <w:sz w:val="22"/>
                  </w:rPr>
                  <w:tab/>
                </w:r>
                <w:r w:rsidR="00272382" w:rsidRPr="003E204A">
                  <w:rPr>
                    <w:rStyle w:val="Hyperlink"/>
                    <w:noProof/>
                  </w:rPr>
                  <w:t>International data</w:t>
                </w:r>
                <w:r w:rsidR="00272382">
                  <w:rPr>
                    <w:noProof/>
                    <w:webHidden/>
                  </w:rPr>
                  <w:tab/>
                </w:r>
                <w:r w:rsidR="00272382">
                  <w:rPr>
                    <w:noProof/>
                    <w:webHidden/>
                  </w:rPr>
                  <w:fldChar w:fldCharType="begin"/>
                </w:r>
                <w:r w:rsidR="00272382">
                  <w:rPr>
                    <w:noProof/>
                    <w:webHidden/>
                  </w:rPr>
                  <w:instrText xml:space="preserve"> PAGEREF _Toc517706745 \h </w:instrText>
                </w:r>
                <w:r w:rsidR="00272382">
                  <w:rPr>
                    <w:noProof/>
                    <w:webHidden/>
                  </w:rPr>
                </w:r>
                <w:r w:rsidR="00272382">
                  <w:rPr>
                    <w:noProof/>
                    <w:webHidden/>
                  </w:rPr>
                  <w:fldChar w:fldCharType="separate"/>
                </w:r>
                <w:r w:rsidR="00272382">
                  <w:rPr>
                    <w:noProof/>
                    <w:webHidden/>
                  </w:rPr>
                  <w:t>271</w:t>
                </w:r>
                <w:r w:rsidR="00272382">
                  <w:rPr>
                    <w:noProof/>
                    <w:webHidden/>
                  </w:rPr>
                  <w:fldChar w:fldCharType="end"/>
                </w:r>
              </w:hyperlink>
            </w:p>
            <w:p w14:paraId="5098F89B" w14:textId="77777777" w:rsidR="00272382" w:rsidRDefault="00013E76">
              <w:pPr>
                <w:pStyle w:val="TOC3"/>
                <w:rPr>
                  <w:rFonts w:asciiTheme="minorHAnsi" w:eastAsiaTheme="minorEastAsia" w:hAnsiTheme="minorHAnsi" w:cstheme="minorBidi"/>
                  <w:noProof/>
                  <w:color w:val="auto"/>
                  <w:sz w:val="22"/>
                </w:rPr>
              </w:pPr>
              <w:hyperlink w:anchor="_Toc517706746" w:history="1">
                <w:r w:rsidR="00272382" w:rsidRPr="003E204A">
                  <w:rPr>
                    <w:rStyle w:val="Hyperlink"/>
                    <w:noProof/>
                  </w:rPr>
                  <w:t>26.4</w:t>
                </w:r>
                <w:r w:rsidR="00272382">
                  <w:rPr>
                    <w:rFonts w:asciiTheme="minorHAnsi" w:eastAsiaTheme="minorEastAsia" w:hAnsiTheme="minorHAnsi" w:cstheme="minorBidi"/>
                    <w:noProof/>
                    <w:color w:val="auto"/>
                    <w:sz w:val="22"/>
                  </w:rPr>
                  <w:tab/>
                </w:r>
                <w:r w:rsidR="00272382" w:rsidRPr="003E204A">
                  <w:rPr>
                    <w:rStyle w:val="Hyperlink"/>
                    <w:noProof/>
                  </w:rPr>
                  <w:t>Conclusion</w:t>
                </w:r>
                <w:r w:rsidR="00272382">
                  <w:rPr>
                    <w:noProof/>
                    <w:webHidden/>
                  </w:rPr>
                  <w:tab/>
                </w:r>
                <w:r w:rsidR="00272382">
                  <w:rPr>
                    <w:noProof/>
                    <w:webHidden/>
                  </w:rPr>
                  <w:fldChar w:fldCharType="begin"/>
                </w:r>
                <w:r w:rsidR="00272382">
                  <w:rPr>
                    <w:noProof/>
                    <w:webHidden/>
                  </w:rPr>
                  <w:instrText xml:space="preserve"> PAGEREF _Toc517706746 \h </w:instrText>
                </w:r>
                <w:r w:rsidR="00272382">
                  <w:rPr>
                    <w:noProof/>
                    <w:webHidden/>
                  </w:rPr>
                </w:r>
                <w:r w:rsidR="00272382">
                  <w:rPr>
                    <w:noProof/>
                    <w:webHidden/>
                  </w:rPr>
                  <w:fldChar w:fldCharType="separate"/>
                </w:r>
                <w:r w:rsidR="00272382">
                  <w:rPr>
                    <w:noProof/>
                    <w:webHidden/>
                  </w:rPr>
                  <w:t>272</w:t>
                </w:r>
                <w:r w:rsidR="00272382">
                  <w:rPr>
                    <w:noProof/>
                    <w:webHidden/>
                  </w:rPr>
                  <w:fldChar w:fldCharType="end"/>
                </w:r>
              </w:hyperlink>
            </w:p>
            <w:p w14:paraId="17862542" w14:textId="77777777" w:rsidR="00272382" w:rsidRDefault="00013E76">
              <w:pPr>
                <w:pStyle w:val="TOC2"/>
                <w:rPr>
                  <w:rFonts w:asciiTheme="minorHAnsi" w:eastAsiaTheme="minorEastAsia" w:hAnsiTheme="minorHAnsi" w:cstheme="minorBidi"/>
                  <w:color w:val="auto"/>
                  <w:sz w:val="22"/>
                </w:rPr>
              </w:pPr>
              <w:hyperlink w:anchor="_Toc517706747" w:history="1">
                <w:r w:rsidR="00272382" w:rsidRPr="003E204A">
                  <w:rPr>
                    <w:rStyle w:val="Hyperlink"/>
                    <w14:scene3d>
                      <w14:camera w14:prst="orthographicFront"/>
                      <w14:lightRig w14:rig="threePt" w14:dir="t">
                        <w14:rot w14:lat="0" w14:lon="0" w14:rev="0"/>
                      </w14:lightRig>
                    </w14:scene3d>
                  </w:rPr>
                  <w:t>27</w:t>
                </w:r>
                <w:r w:rsidR="00272382">
                  <w:rPr>
                    <w:rFonts w:asciiTheme="minorHAnsi" w:eastAsiaTheme="minorEastAsia" w:hAnsiTheme="minorHAnsi" w:cstheme="minorBidi"/>
                    <w:color w:val="auto"/>
                    <w:sz w:val="22"/>
                  </w:rPr>
                  <w:tab/>
                </w:r>
                <w:r w:rsidR="00272382" w:rsidRPr="003E204A">
                  <w:rPr>
                    <w:rStyle w:val="Hyperlink"/>
                  </w:rPr>
                  <w:t>Summary of e</w:t>
                </w:r>
                <w:r w:rsidR="00272382" w:rsidRPr="003E204A">
                  <w:rPr>
                    <w:rStyle w:val="Hyperlink"/>
                  </w:rPr>
                  <w:noBreakHyphen/>
                  <w:t>cigarette use</w:t>
                </w:r>
                <w:r w:rsidR="00272382">
                  <w:rPr>
                    <w:webHidden/>
                  </w:rPr>
                  <w:tab/>
                </w:r>
                <w:r w:rsidR="00272382">
                  <w:rPr>
                    <w:webHidden/>
                  </w:rPr>
                  <w:fldChar w:fldCharType="begin"/>
                </w:r>
                <w:r w:rsidR="00272382">
                  <w:rPr>
                    <w:webHidden/>
                  </w:rPr>
                  <w:instrText xml:space="preserve"> PAGEREF _Toc517706747 \h </w:instrText>
                </w:r>
                <w:r w:rsidR="00272382">
                  <w:rPr>
                    <w:webHidden/>
                  </w:rPr>
                </w:r>
                <w:r w:rsidR="00272382">
                  <w:rPr>
                    <w:webHidden/>
                  </w:rPr>
                  <w:fldChar w:fldCharType="separate"/>
                </w:r>
                <w:r w:rsidR="00272382">
                  <w:rPr>
                    <w:webHidden/>
                  </w:rPr>
                  <w:t>273</w:t>
                </w:r>
                <w:r w:rsidR="00272382">
                  <w:rPr>
                    <w:webHidden/>
                  </w:rPr>
                  <w:fldChar w:fldCharType="end"/>
                </w:r>
              </w:hyperlink>
            </w:p>
            <w:p w14:paraId="10500B61" w14:textId="2C577F77" w:rsidR="00272382" w:rsidRDefault="00013E76">
              <w:pPr>
                <w:pStyle w:val="TOC2"/>
                <w:rPr>
                  <w:rFonts w:asciiTheme="minorHAnsi" w:eastAsiaTheme="minorEastAsia" w:hAnsiTheme="minorHAnsi" w:cstheme="minorBidi"/>
                  <w:color w:val="auto"/>
                  <w:sz w:val="22"/>
                </w:rPr>
              </w:pPr>
              <w:hyperlink w:anchor="_Toc517706748" w:history="1">
                <w:r w:rsidR="00272382" w:rsidRPr="003E204A">
                  <w:rPr>
                    <w:rStyle w:val="Hyperlink"/>
                    <w14:scene3d>
                      <w14:camera w14:prst="orthographicFront"/>
                      <w14:lightRig w14:rig="threePt" w14:dir="t">
                        <w14:rot w14:lat="0" w14:lon="0" w14:rev="0"/>
                      </w14:lightRig>
                    </w14:scene3d>
                  </w:rPr>
                  <w:t>28</w:t>
                </w:r>
                <w:r w:rsidR="00272382">
                  <w:rPr>
                    <w:rFonts w:asciiTheme="minorHAnsi" w:eastAsiaTheme="minorEastAsia" w:hAnsiTheme="minorHAnsi" w:cstheme="minorBidi"/>
                    <w:color w:val="auto"/>
                    <w:sz w:val="22"/>
                  </w:rPr>
                  <w:tab/>
                </w:r>
                <w:r w:rsidR="00272382" w:rsidRPr="003E204A">
                  <w:rPr>
                    <w:rStyle w:val="Hyperlink"/>
                  </w:rPr>
                  <w:t>Tables</w:t>
                </w:r>
                <w:r w:rsidR="00272382">
                  <w:rPr>
                    <w:webHidden/>
                  </w:rPr>
                  <w:tab/>
                </w:r>
                <w:r w:rsidR="00272382">
                  <w:rPr>
                    <w:webHidden/>
                  </w:rPr>
                  <w:tab/>
                </w:r>
                <w:r w:rsidR="00272382">
                  <w:rPr>
                    <w:webHidden/>
                  </w:rPr>
                  <w:fldChar w:fldCharType="begin"/>
                </w:r>
                <w:r w:rsidR="00272382">
                  <w:rPr>
                    <w:webHidden/>
                  </w:rPr>
                  <w:instrText xml:space="preserve"> PAGEREF _Toc517706748 \h </w:instrText>
                </w:r>
                <w:r w:rsidR="00272382">
                  <w:rPr>
                    <w:webHidden/>
                  </w:rPr>
                </w:r>
                <w:r w:rsidR="00272382">
                  <w:rPr>
                    <w:webHidden/>
                  </w:rPr>
                  <w:fldChar w:fldCharType="separate"/>
                </w:r>
                <w:r w:rsidR="00272382">
                  <w:rPr>
                    <w:webHidden/>
                  </w:rPr>
                  <w:t>275</w:t>
                </w:r>
                <w:r w:rsidR="00272382">
                  <w:rPr>
                    <w:webHidden/>
                  </w:rPr>
                  <w:fldChar w:fldCharType="end"/>
                </w:r>
              </w:hyperlink>
            </w:p>
            <w:p w14:paraId="69D136C4" w14:textId="77777777" w:rsidR="00272382" w:rsidRDefault="00013E76">
              <w:pPr>
                <w:pStyle w:val="TOC2"/>
                <w:rPr>
                  <w:rFonts w:asciiTheme="minorHAnsi" w:eastAsiaTheme="minorEastAsia" w:hAnsiTheme="minorHAnsi" w:cstheme="minorBidi"/>
                  <w:color w:val="auto"/>
                  <w:sz w:val="22"/>
                </w:rPr>
              </w:pPr>
              <w:hyperlink w:anchor="_Toc517706749" w:history="1">
                <w:r w:rsidR="00272382" w:rsidRPr="003E204A">
                  <w:rPr>
                    <w:rStyle w:val="Hyperlink"/>
                  </w:rPr>
                  <w:t>Appendix A</w:t>
                </w:r>
                <w:r w:rsidR="00272382">
                  <w:rPr>
                    <w:rFonts w:asciiTheme="minorHAnsi" w:eastAsiaTheme="minorEastAsia" w:hAnsiTheme="minorHAnsi" w:cstheme="minorBidi"/>
                    <w:color w:val="auto"/>
                    <w:sz w:val="22"/>
                  </w:rPr>
                  <w:tab/>
                </w:r>
                <w:r w:rsidR="00272382" w:rsidRPr="003E204A">
                  <w:rPr>
                    <w:rStyle w:val="Hyperlink"/>
                  </w:rPr>
                  <w:t>US Academies of Sciences Conclusions</w:t>
                </w:r>
                <w:r w:rsidR="00272382">
                  <w:rPr>
                    <w:webHidden/>
                  </w:rPr>
                  <w:tab/>
                </w:r>
                <w:r w:rsidR="00272382">
                  <w:rPr>
                    <w:webHidden/>
                  </w:rPr>
                  <w:fldChar w:fldCharType="begin"/>
                </w:r>
                <w:r w:rsidR="00272382">
                  <w:rPr>
                    <w:webHidden/>
                  </w:rPr>
                  <w:instrText xml:space="preserve"> PAGEREF _Toc517706749 \h </w:instrText>
                </w:r>
                <w:r w:rsidR="00272382">
                  <w:rPr>
                    <w:webHidden/>
                  </w:rPr>
                </w:r>
                <w:r w:rsidR="00272382">
                  <w:rPr>
                    <w:webHidden/>
                  </w:rPr>
                  <w:fldChar w:fldCharType="separate"/>
                </w:r>
                <w:r w:rsidR="00272382">
                  <w:rPr>
                    <w:webHidden/>
                  </w:rPr>
                  <w:t>348</w:t>
                </w:r>
                <w:r w:rsidR="00272382">
                  <w:rPr>
                    <w:webHidden/>
                  </w:rPr>
                  <w:fldChar w:fldCharType="end"/>
                </w:r>
              </w:hyperlink>
            </w:p>
            <w:p w14:paraId="1A2EF5B1" w14:textId="77777777" w:rsidR="00272382" w:rsidRDefault="00013E76">
              <w:pPr>
                <w:pStyle w:val="TOC2"/>
                <w:rPr>
                  <w:rFonts w:asciiTheme="minorHAnsi" w:eastAsiaTheme="minorEastAsia" w:hAnsiTheme="minorHAnsi" w:cstheme="minorBidi"/>
                  <w:color w:val="auto"/>
                  <w:sz w:val="22"/>
                </w:rPr>
              </w:pPr>
              <w:hyperlink w:anchor="_Toc517706750" w:history="1">
                <w:r w:rsidR="00272382" w:rsidRPr="003E204A">
                  <w:rPr>
                    <w:rStyle w:val="Hyperlink"/>
                  </w:rPr>
                  <w:t>Appendix B</w:t>
                </w:r>
                <w:r w:rsidR="00272382">
                  <w:rPr>
                    <w:rFonts w:asciiTheme="minorHAnsi" w:eastAsiaTheme="minorEastAsia" w:hAnsiTheme="minorHAnsi" w:cstheme="minorBidi"/>
                    <w:color w:val="auto"/>
                    <w:sz w:val="22"/>
                  </w:rPr>
                  <w:tab/>
                </w:r>
                <w:r w:rsidR="00272382" w:rsidRPr="003E204A">
                  <w:rPr>
                    <w:rStyle w:val="Hyperlink"/>
                  </w:rPr>
                  <w:t>Evidence review of e-cigarettes and heated tobacco products 2018: A report commissioned by Public Health England</w:t>
                </w:r>
                <w:r w:rsidR="00272382">
                  <w:rPr>
                    <w:webHidden/>
                  </w:rPr>
                  <w:tab/>
                </w:r>
                <w:r w:rsidR="00272382">
                  <w:rPr>
                    <w:webHidden/>
                  </w:rPr>
                  <w:fldChar w:fldCharType="begin"/>
                </w:r>
                <w:r w:rsidR="00272382">
                  <w:rPr>
                    <w:webHidden/>
                  </w:rPr>
                  <w:instrText xml:space="preserve"> PAGEREF _Toc517706750 \h </w:instrText>
                </w:r>
                <w:r w:rsidR="00272382">
                  <w:rPr>
                    <w:webHidden/>
                  </w:rPr>
                </w:r>
                <w:r w:rsidR="00272382">
                  <w:rPr>
                    <w:webHidden/>
                  </w:rPr>
                  <w:fldChar w:fldCharType="separate"/>
                </w:r>
                <w:r w:rsidR="00272382">
                  <w:rPr>
                    <w:webHidden/>
                  </w:rPr>
                  <w:t>354</w:t>
                </w:r>
                <w:r w:rsidR="00272382">
                  <w:rPr>
                    <w:webHidden/>
                  </w:rPr>
                  <w:fldChar w:fldCharType="end"/>
                </w:r>
              </w:hyperlink>
            </w:p>
            <w:p w14:paraId="16943DC7" w14:textId="7BB6FDBF" w:rsidR="00272382" w:rsidRDefault="00013E76">
              <w:pPr>
                <w:pStyle w:val="TOC2"/>
                <w:rPr>
                  <w:rFonts w:asciiTheme="minorHAnsi" w:eastAsiaTheme="minorEastAsia" w:hAnsiTheme="minorHAnsi" w:cstheme="minorBidi"/>
                  <w:color w:val="auto"/>
                  <w:sz w:val="22"/>
                </w:rPr>
              </w:pPr>
              <w:hyperlink w:anchor="_Toc517706751" w:history="1">
                <w:r w:rsidR="00272382" w:rsidRPr="003E204A">
                  <w:rPr>
                    <w:rStyle w:val="Hyperlink"/>
                  </w:rPr>
                  <w:t>Glossary</w:t>
                </w:r>
                <w:r w:rsidR="00272382">
                  <w:rPr>
                    <w:webHidden/>
                  </w:rPr>
                  <w:tab/>
                </w:r>
                <w:r w:rsidR="00272382">
                  <w:rPr>
                    <w:webHidden/>
                  </w:rPr>
                  <w:tab/>
                </w:r>
                <w:r w:rsidR="00272382">
                  <w:rPr>
                    <w:webHidden/>
                  </w:rPr>
                  <w:fldChar w:fldCharType="begin"/>
                </w:r>
                <w:r w:rsidR="00272382">
                  <w:rPr>
                    <w:webHidden/>
                  </w:rPr>
                  <w:instrText xml:space="preserve"> PAGEREF _Toc517706751 \h </w:instrText>
                </w:r>
                <w:r w:rsidR="00272382">
                  <w:rPr>
                    <w:webHidden/>
                  </w:rPr>
                </w:r>
                <w:r w:rsidR="00272382">
                  <w:rPr>
                    <w:webHidden/>
                  </w:rPr>
                  <w:fldChar w:fldCharType="separate"/>
                </w:r>
                <w:r w:rsidR="00272382">
                  <w:rPr>
                    <w:webHidden/>
                  </w:rPr>
                  <w:t>363</w:t>
                </w:r>
                <w:r w:rsidR="00272382">
                  <w:rPr>
                    <w:webHidden/>
                  </w:rPr>
                  <w:fldChar w:fldCharType="end"/>
                </w:r>
              </w:hyperlink>
            </w:p>
            <w:p w14:paraId="5012B0CB" w14:textId="45631615" w:rsidR="00272382" w:rsidRDefault="00013E76">
              <w:pPr>
                <w:pStyle w:val="TOC2"/>
                <w:rPr>
                  <w:rFonts w:asciiTheme="minorHAnsi" w:eastAsiaTheme="minorEastAsia" w:hAnsiTheme="minorHAnsi" w:cstheme="minorBidi"/>
                  <w:color w:val="auto"/>
                  <w:sz w:val="22"/>
                </w:rPr>
              </w:pPr>
              <w:hyperlink w:anchor="_Toc517706752" w:history="1">
                <w:r w:rsidR="00272382" w:rsidRPr="003E204A">
                  <w:rPr>
                    <w:rStyle w:val="Hyperlink"/>
                  </w:rPr>
                  <w:t>References</w:t>
                </w:r>
                <w:r w:rsidR="00272382">
                  <w:rPr>
                    <w:webHidden/>
                  </w:rPr>
                  <w:tab/>
                </w:r>
                <w:r w:rsidR="00272382">
                  <w:rPr>
                    <w:webHidden/>
                  </w:rPr>
                  <w:tab/>
                </w:r>
                <w:r w:rsidR="00272382">
                  <w:rPr>
                    <w:webHidden/>
                  </w:rPr>
                  <w:fldChar w:fldCharType="begin"/>
                </w:r>
                <w:r w:rsidR="00272382">
                  <w:rPr>
                    <w:webHidden/>
                  </w:rPr>
                  <w:instrText xml:space="preserve"> PAGEREF _Toc517706752 \h </w:instrText>
                </w:r>
                <w:r w:rsidR="00272382">
                  <w:rPr>
                    <w:webHidden/>
                  </w:rPr>
                </w:r>
                <w:r w:rsidR="00272382">
                  <w:rPr>
                    <w:webHidden/>
                  </w:rPr>
                  <w:fldChar w:fldCharType="separate"/>
                </w:r>
                <w:r w:rsidR="00272382">
                  <w:rPr>
                    <w:webHidden/>
                  </w:rPr>
                  <w:t>367</w:t>
                </w:r>
                <w:r w:rsidR="00272382">
                  <w:rPr>
                    <w:webHidden/>
                  </w:rPr>
                  <w:fldChar w:fldCharType="end"/>
                </w:r>
              </w:hyperlink>
            </w:p>
            <w:p w14:paraId="22FDA454" w14:textId="77777777" w:rsidR="001F524F" w:rsidRPr="009A7559" w:rsidRDefault="000F0E2F" w:rsidP="009A7559">
              <w:pPr>
                <w:pStyle w:val="TOC2"/>
                <w:rPr>
                  <w:rFonts w:eastAsiaTheme="majorEastAsia" w:cstheme="majorBidi"/>
                  <w:color w:val="00A9CE" w:themeColor="accent1"/>
                  <w:sz w:val="44"/>
                  <w:szCs w:val="28"/>
                </w:rPr>
              </w:pPr>
              <w:r>
                <w:fldChar w:fldCharType="end"/>
              </w:r>
              <w:r>
                <w:br w:type="page"/>
              </w:r>
            </w:p>
            <w:p w14:paraId="7795EC00" w14:textId="77777777" w:rsidR="00D77B4A" w:rsidRDefault="00D77B4A" w:rsidP="00D77B4A">
              <w:pPr>
                <w:pStyle w:val="ListofFiguresandTablesTOCHeading"/>
              </w:pPr>
              <w:r w:rsidRPr="00D1044D">
                <w:lastRenderedPageBreak/>
                <w:t>Figures</w:t>
              </w:r>
            </w:p>
            <w:p w14:paraId="24DE4671" w14:textId="77777777" w:rsidR="0043170A" w:rsidRDefault="009D68BA">
              <w:pPr>
                <w:pStyle w:val="TableofFigures"/>
                <w:rPr>
                  <w:rFonts w:asciiTheme="minorHAnsi" w:eastAsiaTheme="minorEastAsia" w:hAnsiTheme="minorHAnsi" w:cstheme="minorBidi"/>
                  <w:noProof/>
                  <w:color w:val="auto"/>
                  <w:sz w:val="22"/>
                </w:rPr>
              </w:pPr>
              <w:r w:rsidRPr="00FE0B80">
                <w:fldChar w:fldCharType="begin"/>
              </w:r>
              <w:r w:rsidRPr="00FE0B80">
                <w:instrText xml:space="preserve"> TOC \h \z \c "Figure" </w:instrText>
              </w:r>
              <w:r w:rsidRPr="00FE0B80">
                <w:fldChar w:fldCharType="separate"/>
              </w:r>
              <w:hyperlink r:id="rId18" w:anchor="_Toc517707387" w:history="1">
                <w:r w:rsidR="0043170A" w:rsidRPr="00484947">
                  <w:rPr>
                    <w:rStyle w:val="Hyperlink"/>
                    <w:noProof/>
                  </w:rPr>
                  <w:t>Figure 1: Burn to thigh sustained from exploding e-cigarette in pocket; Bauman et al 2017</w:t>
                </w:r>
                <w:r w:rsidR="0043170A">
                  <w:rPr>
                    <w:noProof/>
                    <w:webHidden/>
                  </w:rPr>
                  <w:tab/>
                </w:r>
                <w:r w:rsidR="0043170A">
                  <w:rPr>
                    <w:noProof/>
                    <w:webHidden/>
                  </w:rPr>
                  <w:fldChar w:fldCharType="begin"/>
                </w:r>
                <w:r w:rsidR="0043170A">
                  <w:rPr>
                    <w:noProof/>
                    <w:webHidden/>
                  </w:rPr>
                  <w:instrText xml:space="preserve"> PAGEREF _Toc517707387 \h </w:instrText>
                </w:r>
                <w:r w:rsidR="0043170A">
                  <w:rPr>
                    <w:noProof/>
                    <w:webHidden/>
                  </w:rPr>
                </w:r>
                <w:r w:rsidR="0043170A">
                  <w:rPr>
                    <w:noProof/>
                    <w:webHidden/>
                  </w:rPr>
                  <w:fldChar w:fldCharType="separate"/>
                </w:r>
                <w:r w:rsidR="0043170A">
                  <w:rPr>
                    <w:noProof/>
                    <w:webHidden/>
                  </w:rPr>
                  <w:t>52</w:t>
                </w:r>
                <w:r w:rsidR="0043170A">
                  <w:rPr>
                    <w:noProof/>
                    <w:webHidden/>
                  </w:rPr>
                  <w:fldChar w:fldCharType="end"/>
                </w:r>
              </w:hyperlink>
            </w:p>
            <w:p w14:paraId="7E412D85" w14:textId="77777777" w:rsidR="0043170A" w:rsidRDefault="00013E76">
              <w:pPr>
                <w:pStyle w:val="TableofFigures"/>
                <w:rPr>
                  <w:rFonts w:asciiTheme="minorHAnsi" w:eastAsiaTheme="minorEastAsia" w:hAnsiTheme="minorHAnsi" w:cstheme="minorBidi"/>
                  <w:noProof/>
                  <w:color w:val="auto"/>
                  <w:sz w:val="22"/>
                </w:rPr>
              </w:pPr>
              <w:hyperlink r:id="rId19" w:anchor="_Toc517707388" w:history="1">
                <w:r w:rsidR="0043170A" w:rsidRPr="00484947">
                  <w:rPr>
                    <w:rStyle w:val="Hyperlink"/>
                    <w:noProof/>
                  </w:rPr>
                  <w:t>Figure 2: Burn to hand sustained from exploding e</w:t>
                </w:r>
                <w:r w:rsidR="0043170A" w:rsidRPr="00484947">
                  <w:rPr>
                    <w:rStyle w:val="Hyperlink"/>
                    <w:noProof/>
                  </w:rPr>
                  <w:noBreakHyphen/>
                  <w:t>cigarette; Hickey et al 2018</w:t>
                </w:r>
                <w:r w:rsidR="0043170A">
                  <w:rPr>
                    <w:noProof/>
                    <w:webHidden/>
                  </w:rPr>
                  <w:tab/>
                </w:r>
                <w:r w:rsidR="0043170A">
                  <w:rPr>
                    <w:noProof/>
                    <w:webHidden/>
                  </w:rPr>
                  <w:fldChar w:fldCharType="begin"/>
                </w:r>
                <w:r w:rsidR="0043170A">
                  <w:rPr>
                    <w:noProof/>
                    <w:webHidden/>
                  </w:rPr>
                  <w:instrText xml:space="preserve"> PAGEREF _Toc517707388 \h </w:instrText>
                </w:r>
                <w:r w:rsidR="0043170A">
                  <w:rPr>
                    <w:noProof/>
                    <w:webHidden/>
                  </w:rPr>
                </w:r>
                <w:r w:rsidR="0043170A">
                  <w:rPr>
                    <w:noProof/>
                    <w:webHidden/>
                  </w:rPr>
                  <w:fldChar w:fldCharType="separate"/>
                </w:r>
                <w:r w:rsidR="0043170A">
                  <w:rPr>
                    <w:noProof/>
                    <w:webHidden/>
                  </w:rPr>
                  <w:t>53</w:t>
                </w:r>
                <w:r w:rsidR="0043170A">
                  <w:rPr>
                    <w:noProof/>
                    <w:webHidden/>
                  </w:rPr>
                  <w:fldChar w:fldCharType="end"/>
                </w:r>
              </w:hyperlink>
            </w:p>
            <w:p w14:paraId="257C4AAB" w14:textId="77777777" w:rsidR="0043170A" w:rsidRDefault="00013E76">
              <w:pPr>
                <w:pStyle w:val="TableofFigures"/>
                <w:rPr>
                  <w:rFonts w:asciiTheme="minorHAnsi" w:eastAsiaTheme="minorEastAsia" w:hAnsiTheme="minorHAnsi" w:cstheme="minorBidi"/>
                  <w:noProof/>
                  <w:color w:val="auto"/>
                  <w:sz w:val="22"/>
                </w:rPr>
              </w:pPr>
              <w:hyperlink w:anchor="_Toc517707389" w:history="1">
                <w:r w:rsidR="0043170A" w:rsidRPr="00484947">
                  <w:rPr>
                    <w:rStyle w:val="Hyperlink"/>
                    <w:noProof/>
                  </w:rPr>
                  <w:t>Figure 3: Four stages of the tobacco epidemic</w:t>
                </w:r>
                <w:r w:rsidR="0043170A">
                  <w:rPr>
                    <w:noProof/>
                    <w:webHidden/>
                  </w:rPr>
                  <w:tab/>
                </w:r>
                <w:r w:rsidR="0043170A">
                  <w:rPr>
                    <w:noProof/>
                    <w:webHidden/>
                  </w:rPr>
                  <w:fldChar w:fldCharType="begin"/>
                </w:r>
                <w:r w:rsidR="0043170A">
                  <w:rPr>
                    <w:noProof/>
                    <w:webHidden/>
                  </w:rPr>
                  <w:instrText xml:space="preserve"> PAGEREF _Toc517707389 \h </w:instrText>
                </w:r>
                <w:r w:rsidR="0043170A">
                  <w:rPr>
                    <w:noProof/>
                    <w:webHidden/>
                  </w:rPr>
                </w:r>
                <w:r w:rsidR="0043170A">
                  <w:rPr>
                    <w:noProof/>
                    <w:webHidden/>
                  </w:rPr>
                  <w:fldChar w:fldCharType="separate"/>
                </w:r>
                <w:r w:rsidR="0043170A">
                  <w:rPr>
                    <w:noProof/>
                    <w:webHidden/>
                  </w:rPr>
                  <w:t>172</w:t>
                </w:r>
                <w:r w:rsidR="0043170A">
                  <w:rPr>
                    <w:noProof/>
                    <w:webHidden/>
                  </w:rPr>
                  <w:fldChar w:fldCharType="end"/>
                </w:r>
              </w:hyperlink>
            </w:p>
            <w:p w14:paraId="2C4945A2" w14:textId="77777777" w:rsidR="0043170A" w:rsidRDefault="00013E76">
              <w:pPr>
                <w:pStyle w:val="TableofFigures"/>
                <w:rPr>
                  <w:rFonts w:asciiTheme="minorHAnsi" w:eastAsiaTheme="minorEastAsia" w:hAnsiTheme="minorHAnsi" w:cstheme="minorBidi"/>
                  <w:noProof/>
                  <w:color w:val="auto"/>
                  <w:sz w:val="22"/>
                </w:rPr>
              </w:pPr>
              <w:hyperlink w:anchor="_Toc517707390" w:history="1">
                <w:r w:rsidR="0043170A" w:rsidRPr="00484947">
                  <w:rPr>
                    <w:rStyle w:val="Hyperlink"/>
                    <w:noProof/>
                  </w:rPr>
                  <w:t>Figure 4: Crude and age</w:t>
                </w:r>
                <w:r w:rsidR="0043170A" w:rsidRPr="00484947">
                  <w:rPr>
                    <w:rStyle w:val="Hyperlink"/>
                    <w:noProof/>
                  </w:rPr>
                  <w:noBreakHyphen/>
                  <w:t>adjusted rates for COPD</w:t>
                </w:r>
                <w:r w:rsidR="0043170A" w:rsidRPr="00484947">
                  <w:rPr>
                    <w:rStyle w:val="Hyperlink"/>
                    <w:noProof/>
                  </w:rPr>
                  <w:noBreakHyphen/>
                  <w:t>related deaths for adults aged 25 and over, by sex: United States, 2000–2014</w:t>
                </w:r>
                <w:r w:rsidR="0043170A">
                  <w:rPr>
                    <w:noProof/>
                    <w:webHidden/>
                  </w:rPr>
                  <w:tab/>
                </w:r>
                <w:r w:rsidR="0043170A">
                  <w:rPr>
                    <w:noProof/>
                    <w:webHidden/>
                  </w:rPr>
                  <w:fldChar w:fldCharType="begin"/>
                </w:r>
                <w:r w:rsidR="0043170A">
                  <w:rPr>
                    <w:noProof/>
                    <w:webHidden/>
                  </w:rPr>
                  <w:instrText xml:space="preserve"> PAGEREF _Toc517707390 \h </w:instrText>
                </w:r>
                <w:r w:rsidR="0043170A">
                  <w:rPr>
                    <w:noProof/>
                    <w:webHidden/>
                  </w:rPr>
                </w:r>
                <w:r w:rsidR="0043170A">
                  <w:rPr>
                    <w:noProof/>
                    <w:webHidden/>
                  </w:rPr>
                  <w:fldChar w:fldCharType="separate"/>
                </w:r>
                <w:r w:rsidR="0043170A">
                  <w:rPr>
                    <w:noProof/>
                    <w:webHidden/>
                  </w:rPr>
                  <w:t>173</w:t>
                </w:r>
                <w:r w:rsidR="0043170A">
                  <w:rPr>
                    <w:noProof/>
                    <w:webHidden/>
                  </w:rPr>
                  <w:fldChar w:fldCharType="end"/>
                </w:r>
              </w:hyperlink>
            </w:p>
            <w:p w14:paraId="12012495" w14:textId="77777777" w:rsidR="0043170A" w:rsidRDefault="00013E76">
              <w:pPr>
                <w:pStyle w:val="TableofFigures"/>
                <w:rPr>
                  <w:rFonts w:asciiTheme="minorHAnsi" w:eastAsiaTheme="minorEastAsia" w:hAnsiTheme="minorHAnsi" w:cstheme="minorBidi"/>
                  <w:noProof/>
                  <w:color w:val="auto"/>
                  <w:sz w:val="22"/>
                </w:rPr>
              </w:pPr>
              <w:hyperlink w:anchor="_Toc517707391" w:history="1">
                <w:r w:rsidR="0043170A" w:rsidRPr="00484947">
                  <w:rPr>
                    <w:rStyle w:val="Hyperlink"/>
                    <w:noProof/>
                  </w:rPr>
                  <w:t xml:space="preserve">Figure 5: </w:t>
                </w:r>
                <w:r w:rsidR="0043170A" w:rsidRPr="00484947">
                  <w:rPr>
                    <w:rStyle w:val="Hyperlink"/>
                    <w:noProof/>
                    <w:lang w:val="en-US"/>
                  </w:rPr>
                  <w:t>Age</w:t>
                </w:r>
                <w:r w:rsidR="0043170A" w:rsidRPr="00484947">
                  <w:rPr>
                    <w:rStyle w:val="Hyperlink"/>
                    <w:noProof/>
                    <w:lang w:val="en-US"/>
                  </w:rPr>
                  <w:noBreakHyphen/>
                  <w:t>adjusted trends in hypertension and controlled hypertension among adults aged 18 and over: United States, 1999–2016</w:t>
                </w:r>
                <w:r w:rsidR="0043170A">
                  <w:rPr>
                    <w:noProof/>
                    <w:webHidden/>
                  </w:rPr>
                  <w:tab/>
                </w:r>
                <w:r w:rsidR="0043170A">
                  <w:rPr>
                    <w:noProof/>
                    <w:webHidden/>
                  </w:rPr>
                  <w:fldChar w:fldCharType="begin"/>
                </w:r>
                <w:r w:rsidR="0043170A">
                  <w:rPr>
                    <w:noProof/>
                    <w:webHidden/>
                  </w:rPr>
                  <w:instrText xml:space="preserve"> PAGEREF _Toc517707391 \h </w:instrText>
                </w:r>
                <w:r w:rsidR="0043170A">
                  <w:rPr>
                    <w:noProof/>
                    <w:webHidden/>
                  </w:rPr>
                </w:r>
                <w:r w:rsidR="0043170A">
                  <w:rPr>
                    <w:noProof/>
                    <w:webHidden/>
                  </w:rPr>
                  <w:fldChar w:fldCharType="separate"/>
                </w:r>
                <w:r w:rsidR="0043170A">
                  <w:rPr>
                    <w:noProof/>
                    <w:webHidden/>
                  </w:rPr>
                  <w:t>174</w:t>
                </w:r>
                <w:r w:rsidR="0043170A">
                  <w:rPr>
                    <w:noProof/>
                    <w:webHidden/>
                  </w:rPr>
                  <w:fldChar w:fldCharType="end"/>
                </w:r>
              </w:hyperlink>
            </w:p>
            <w:p w14:paraId="50E51B9B" w14:textId="77777777" w:rsidR="0043170A" w:rsidRDefault="00013E76">
              <w:pPr>
                <w:pStyle w:val="TableofFigures"/>
                <w:rPr>
                  <w:rFonts w:asciiTheme="minorHAnsi" w:eastAsiaTheme="minorEastAsia" w:hAnsiTheme="minorHAnsi" w:cstheme="minorBidi"/>
                  <w:noProof/>
                  <w:color w:val="auto"/>
                  <w:sz w:val="22"/>
                </w:rPr>
              </w:pPr>
              <w:hyperlink w:anchor="_Toc517707392" w:history="1">
                <w:r w:rsidR="0043170A" w:rsidRPr="00484947">
                  <w:rPr>
                    <w:rStyle w:val="Hyperlink"/>
                    <w:noProof/>
                  </w:rPr>
                  <w:t>Figure 6: The Quit Ratio* among US ever smokers aged &gt; 18 years</w:t>
                </w:r>
                <w:r w:rsidR="0043170A">
                  <w:rPr>
                    <w:noProof/>
                    <w:webHidden/>
                  </w:rPr>
                  <w:tab/>
                </w:r>
                <w:r w:rsidR="0043170A">
                  <w:rPr>
                    <w:noProof/>
                    <w:webHidden/>
                  </w:rPr>
                  <w:fldChar w:fldCharType="begin"/>
                </w:r>
                <w:r w:rsidR="0043170A">
                  <w:rPr>
                    <w:noProof/>
                    <w:webHidden/>
                  </w:rPr>
                  <w:instrText xml:space="preserve"> PAGEREF _Toc517707392 \h </w:instrText>
                </w:r>
                <w:r w:rsidR="0043170A">
                  <w:rPr>
                    <w:noProof/>
                    <w:webHidden/>
                  </w:rPr>
                </w:r>
                <w:r w:rsidR="0043170A">
                  <w:rPr>
                    <w:noProof/>
                    <w:webHidden/>
                  </w:rPr>
                  <w:fldChar w:fldCharType="separate"/>
                </w:r>
                <w:r w:rsidR="0043170A">
                  <w:rPr>
                    <w:noProof/>
                    <w:webHidden/>
                  </w:rPr>
                  <w:t>175</w:t>
                </w:r>
                <w:r w:rsidR="0043170A">
                  <w:rPr>
                    <w:noProof/>
                    <w:webHidden/>
                  </w:rPr>
                  <w:fldChar w:fldCharType="end"/>
                </w:r>
              </w:hyperlink>
            </w:p>
            <w:p w14:paraId="0060DAFC" w14:textId="77777777" w:rsidR="0043170A" w:rsidRDefault="00013E76">
              <w:pPr>
                <w:pStyle w:val="TableofFigures"/>
                <w:rPr>
                  <w:rFonts w:asciiTheme="minorHAnsi" w:eastAsiaTheme="minorEastAsia" w:hAnsiTheme="minorHAnsi" w:cstheme="minorBidi"/>
                  <w:noProof/>
                  <w:color w:val="auto"/>
                  <w:sz w:val="22"/>
                </w:rPr>
              </w:pPr>
              <w:hyperlink r:id="rId20" w:anchor="_Toc517707393" w:history="1">
                <w:r w:rsidR="0043170A" w:rsidRPr="00484947">
                  <w:rPr>
                    <w:rStyle w:val="Hyperlink"/>
                    <w:noProof/>
                  </w:rPr>
                  <w:t>Figure 7: Body weight change of smokers and ex-smokers at 12 months follow-up. Figure from (Russo, Cibella et al. 2018).</w:t>
                </w:r>
                <w:r w:rsidR="0043170A">
                  <w:rPr>
                    <w:noProof/>
                    <w:webHidden/>
                  </w:rPr>
                  <w:tab/>
                </w:r>
                <w:r w:rsidR="0043170A">
                  <w:rPr>
                    <w:noProof/>
                    <w:webHidden/>
                  </w:rPr>
                  <w:fldChar w:fldCharType="begin"/>
                </w:r>
                <w:r w:rsidR="0043170A">
                  <w:rPr>
                    <w:noProof/>
                    <w:webHidden/>
                  </w:rPr>
                  <w:instrText xml:space="preserve"> PAGEREF _Toc517707393 \h </w:instrText>
                </w:r>
                <w:r w:rsidR="0043170A">
                  <w:rPr>
                    <w:noProof/>
                    <w:webHidden/>
                  </w:rPr>
                </w:r>
                <w:r w:rsidR="0043170A">
                  <w:rPr>
                    <w:noProof/>
                    <w:webHidden/>
                  </w:rPr>
                  <w:fldChar w:fldCharType="separate"/>
                </w:r>
                <w:r w:rsidR="0043170A">
                  <w:rPr>
                    <w:noProof/>
                    <w:webHidden/>
                  </w:rPr>
                  <w:t>205</w:t>
                </w:r>
                <w:r w:rsidR="0043170A">
                  <w:rPr>
                    <w:noProof/>
                    <w:webHidden/>
                  </w:rPr>
                  <w:fldChar w:fldCharType="end"/>
                </w:r>
              </w:hyperlink>
            </w:p>
            <w:p w14:paraId="1EBDA893" w14:textId="77777777" w:rsidR="0043170A" w:rsidRDefault="00013E76">
              <w:pPr>
                <w:pStyle w:val="TableofFigures"/>
                <w:rPr>
                  <w:rFonts w:asciiTheme="minorHAnsi" w:eastAsiaTheme="minorEastAsia" w:hAnsiTheme="minorHAnsi" w:cstheme="minorBidi"/>
                  <w:noProof/>
                  <w:color w:val="auto"/>
                  <w:sz w:val="22"/>
                </w:rPr>
              </w:pPr>
              <w:hyperlink w:anchor="_Toc517707394" w:history="1">
                <w:r w:rsidR="0043170A" w:rsidRPr="00484947">
                  <w:rPr>
                    <w:rStyle w:val="Hyperlink"/>
                    <w:noProof/>
                  </w:rPr>
                  <w:t>Figure 8: Percentage of e</w:t>
                </w:r>
                <w:r w:rsidR="0043170A" w:rsidRPr="00484947">
                  <w:rPr>
                    <w:rStyle w:val="Hyperlink"/>
                    <w:noProof/>
                  </w:rPr>
                  <w:noBreakHyphen/>
                  <w:t>cigarette use in Australia 2016</w:t>
                </w:r>
                <w:r w:rsidR="0043170A">
                  <w:rPr>
                    <w:noProof/>
                    <w:webHidden/>
                  </w:rPr>
                  <w:tab/>
                </w:r>
                <w:r w:rsidR="0043170A">
                  <w:rPr>
                    <w:noProof/>
                    <w:webHidden/>
                  </w:rPr>
                  <w:fldChar w:fldCharType="begin"/>
                </w:r>
                <w:r w:rsidR="0043170A">
                  <w:rPr>
                    <w:noProof/>
                    <w:webHidden/>
                  </w:rPr>
                  <w:instrText xml:space="preserve"> PAGEREF _Toc517707394 \h </w:instrText>
                </w:r>
                <w:r w:rsidR="0043170A">
                  <w:rPr>
                    <w:noProof/>
                    <w:webHidden/>
                  </w:rPr>
                </w:r>
                <w:r w:rsidR="0043170A">
                  <w:rPr>
                    <w:noProof/>
                    <w:webHidden/>
                  </w:rPr>
                  <w:fldChar w:fldCharType="separate"/>
                </w:r>
                <w:r w:rsidR="0043170A">
                  <w:rPr>
                    <w:noProof/>
                    <w:webHidden/>
                  </w:rPr>
                  <w:t>219</w:t>
                </w:r>
                <w:r w:rsidR="0043170A">
                  <w:rPr>
                    <w:noProof/>
                    <w:webHidden/>
                  </w:rPr>
                  <w:fldChar w:fldCharType="end"/>
                </w:r>
              </w:hyperlink>
            </w:p>
            <w:p w14:paraId="6CF8DDA0" w14:textId="77777777" w:rsidR="0043170A" w:rsidRDefault="00013E76">
              <w:pPr>
                <w:pStyle w:val="TableofFigures"/>
                <w:rPr>
                  <w:rFonts w:asciiTheme="minorHAnsi" w:eastAsiaTheme="minorEastAsia" w:hAnsiTheme="minorHAnsi" w:cstheme="minorBidi"/>
                  <w:noProof/>
                  <w:color w:val="auto"/>
                  <w:sz w:val="22"/>
                </w:rPr>
              </w:pPr>
              <w:hyperlink w:anchor="_Toc517707395" w:history="1">
                <w:r w:rsidR="0043170A" w:rsidRPr="00484947">
                  <w:rPr>
                    <w:rStyle w:val="Hyperlink"/>
                    <w:noProof/>
                  </w:rPr>
                  <w:t>Figure 9: Daily smoking in the general population people aged 18 years and older and key tobacco control measures implemented in Australia since 1990</w:t>
                </w:r>
                <w:r w:rsidR="0043170A">
                  <w:rPr>
                    <w:noProof/>
                    <w:webHidden/>
                  </w:rPr>
                  <w:tab/>
                </w:r>
                <w:r w:rsidR="0043170A">
                  <w:rPr>
                    <w:noProof/>
                    <w:webHidden/>
                  </w:rPr>
                  <w:fldChar w:fldCharType="begin"/>
                </w:r>
                <w:r w:rsidR="0043170A">
                  <w:rPr>
                    <w:noProof/>
                    <w:webHidden/>
                  </w:rPr>
                  <w:instrText xml:space="preserve"> PAGEREF _Toc517707395 \h </w:instrText>
                </w:r>
                <w:r w:rsidR="0043170A">
                  <w:rPr>
                    <w:noProof/>
                    <w:webHidden/>
                  </w:rPr>
                </w:r>
                <w:r w:rsidR="0043170A">
                  <w:rPr>
                    <w:noProof/>
                    <w:webHidden/>
                  </w:rPr>
                  <w:fldChar w:fldCharType="separate"/>
                </w:r>
                <w:r w:rsidR="0043170A">
                  <w:rPr>
                    <w:noProof/>
                    <w:webHidden/>
                  </w:rPr>
                  <w:t>226</w:t>
                </w:r>
                <w:r w:rsidR="0043170A">
                  <w:rPr>
                    <w:noProof/>
                    <w:webHidden/>
                  </w:rPr>
                  <w:fldChar w:fldCharType="end"/>
                </w:r>
              </w:hyperlink>
            </w:p>
            <w:p w14:paraId="225B43A1" w14:textId="77777777" w:rsidR="0043170A" w:rsidRDefault="00013E76">
              <w:pPr>
                <w:pStyle w:val="TableofFigures"/>
                <w:rPr>
                  <w:rFonts w:asciiTheme="minorHAnsi" w:eastAsiaTheme="minorEastAsia" w:hAnsiTheme="minorHAnsi" w:cstheme="minorBidi"/>
                  <w:noProof/>
                  <w:color w:val="auto"/>
                  <w:sz w:val="22"/>
                </w:rPr>
              </w:pPr>
              <w:hyperlink w:anchor="_Toc517707396" w:history="1">
                <w:r w:rsidR="0043170A" w:rsidRPr="00484947">
                  <w:rPr>
                    <w:rStyle w:val="Hyperlink"/>
                    <w:noProof/>
                  </w:rPr>
                  <w:t>Figure 10: Prevalence of current e</w:t>
                </w:r>
                <w:r w:rsidR="0043170A" w:rsidRPr="00484947">
                  <w:rPr>
                    <w:rStyle w:val="Hyperlink"/>
                    <w:noProof/>
                  </w:rPr>
                  <w:noBreakHyphen/>
                  <w:t>cigarette use vs current male tobacco cigarette use</w:t>
                </w:r>
                <w:r w:rsidR="0043170A">
                  <w:rPr>
                    <w:noProof/>
                    <w:webHidden/>
                  </w:rPr>
                  <w:tab/>
                </w:r>
                <w:r w:rsidR="0043170A">
                  <w:rPr>
                    <w:noProof/>
                    <w:webHidden/>
                  </w:rPr>
                  <w:fldChar w:fldCharType="begin"/>
                </w:r>
                <w:r w:rsidR="0043170A">
                  <w:rPr>
                    <w:noProof/>
                    <w:webHidden/>
                  </w:rPr>
                  <w:instrText xml:space="preserve"> PAGEREF _Toc517707396 \h </w:instrText>
                </w:r>
                <w:r w:rsidR="0043170A">
                  <w:rPr>
                    <w:noProof/>
                    <w:webHidden/>
                  </w:rPr>
                </w:r>
                <w:r w:rsidR="0043170A">
                  <w:rPr>
                    <w:noProof/>
                    <w:webHidden/>
                  </w:rPr>
                  <w:fldChar w:fldCharType="separate"/>
                </w:r>
                <w:r w:rsidR="0043170A">
                  <w:rPr>
                    <w:noProof/>
                    <w:webHidden/>
                  </w:rPr>
                  <w:t>237</w:t>
                </w:r>
                <w:r w:rsidR="0043170A">
                  <w:rPr>
                    <w:noProof/>
                    <w:webHidden/>
                  </w:rPr>
                  <w:fldChar w:fldCharType="end"/>
                </w:r>
              </w:hyperlink>
            </w:p>
            <w:p w14:paraId="223E3EBF" w14:textId="77777777" w:rsidR="0043170A" w:rsidRDefault="00013E76">
              <w:pPr>
                <w:pStyle w:val="TableofFigures"/>
                <w:rPr>
                  <w:rFonts w:asciiTheme="minorHAnsi" w:eastAsiaTheme="minorEastAsia" w:hAnsiTheme="minorHAnsi" w:cstheme="minorBidi"/>
                  <w:noProof/>
                  <w:color w:val="auto"/>
                  <w:sz w:val="22"/>
                </w:rPr>
              </w:pPr>
              <w:hyperlink w:anchor="_Toc517707397" w:history="1">
                <w:r w:rsidR="0043170A" w:rsidRPr="00484947">
                  <w:rPr>
                    <w:rStyle w:val="Hyperlink"/>
                    <w:noProof/>
                  </w:rPr>
                  <w:t>Figure 11: Prevalence of current e</w:t>
                </w:r>
                <w:r w:rsidR="0043170A" w:rsidRPr="00484947">
                  <w:rPr>
                    <w:rStyle w:val="Hyperlink"/>
                    <w:noProof/>
                  </w:rPr>
                  <w:noBreakHyphen/>
                  <w:t>cigarette use vs current female tobacco cigarette use</w:t>
                </w:r>
                <w:r w:rsidR="0043170A">
                  <w:rPr>
                    <w:noProof/>
                    <w:webHidden/>
                  </w:rPr>
                  <w:tab/>
                </w:r>
                <w:r w:rsidR="0043170A">
                  <w:rPr>
                    <w:noProof/>
                    <w:webHidden/>
                  </w:rPr>
                  <w:fldChar w:fldCharType="begin"/>
                </w:r>
                <w:r w:rsidR="0043170A">
                  <w:rPr>
                    <w:noProof/>
                    <w:webHidden/>
                  </w:rPr>
                  <w:instrText xml:space="preserve"> PAGEREF _Toc517707397 \h </w:instrText>
                </w:r>
                <w:r w:rsidR="0043170A">
                  <w:rPr>
                    <w:noProof/>
                    <w:webHidden/>
                  </w:rPr>
                </w:r>
                <w:r w:rsidR="0043170A">
                  <w:rPr>
                    <w:noProof/>
                    <w:webHidden/>
                  </w:rPr>
                  <w:fldChar w:fldCharType="separate"/>
                </w:r>
                <w:r w:rsidR="0043170A">
                  <w:rPr>
                    <w:noProof/>
                    <w:webHidden/>
                  </w:rPr>
                  <w:t>237</w:t>
                </w:r>
                <w:r w:rsidR="0043170A">
                  <w:rPr>
                    <w:noProof/>
                    <w:webHidden/>
                  </w:rPr>
                  <w:fldChar w:fldCharType="end"/>
                </w:r>
              </w:hyperlink>
            </w:p>
            <w:p w14:paraId="48F9F543" w14:textId="77777777" w:rsidR="0043170A" w:rsidRDefault="00013E76">
              <w:pPr>
                <w:pStyle w:val="TableofFigures"/>
                <w:rPr>
                  <w:rFonts w:asciiTheme="minorHAnsi" w:eastAsiaTheme="minorEastAsia" w:hAnsiTheme="minorHAnsi" w:cstheme="minorBidi"/>
                  <w:noProof/>
                  <w:color w:val="auto"/>
                  <w:sz w:val="22"/>
                </w:rPr>
              </w:pPr>
              <w:hyperlink w:anchor="_Toc517707398" w:history="1">
                <w:r w:rsidR="0043170A" w:rsidRPr="00484947">
                  <w:rPr>
                    <w:rStyle w:val="Hyperlink"/>
                    <w:noProof/>
                  </w:rPr>
                  <w:t>Figure 12: Prevalence of ever used e</w:t>
                </w:r>
                <w:r w:rsidR="0043170A" w:rsidRPr="00484947">
                  <w:rPr>
                    <w:rStyle w:val="Hyperlink"/>
                    <w:noProof/>
                  </w:rPr>
                  <w:noBreakHyphen/>
                  <w:t>cigarettes vs current male tobacco cigarette use</w:t>
                </w:r>
                <w:r w:rsidR="0043170A">
                  <w:rPr>
                    <w:noProof/>
                    <w:webHidden/>
                  </w:rPr>
                  <w:tab/>
                </w:r>
                <w:r w:rsidR="0043170A">
                  <w:rPr>
                    <w:noProof/>
                    <w:webHidden/>
                  </w:rPr>
                  <w:fldChar w:fldCharType="begin"/>
                </w:r>
                <w:r w:rsidR="0043170A">
                  <w:rPr>
                    <w:noProof/>
                    <w:webHidden/>
                  </w:rPr>
                  <w:instrText xml:space="preserve"> PAGEREF _Toc517707398 \h </w:instrText>
                </w:r>
                <w:r w:rsidR="0043170A">
                  <w:rPr>
                    <w:noProof/>
                    <w:webHidden/>
                  </w:rPr>
                </w:r>
                <w:r w:rsidR="0043170A">
                  <w:rPr>
                    <w:noProof/>
                    <w:webHidden/>
                  </w:rPr>
                  <w:fldChar w:fldCharType="separate"/>
                </w:r>
                <w:r w:rsidR="0043170A">
                  <w:rPr>
                    <w:noProof/>
                    <w:webHidden/>
                  </w:rPr>
                  <w:t>239</w:t>
                </w:r>
                <w:r w:rsidR="0043170A">
                  <w:rPr>
                    <w:noProof/>
                    <w:webHidden/>
                  </w:rPr>
                  <w:fldChar w:fldCharType="end"/>
                </w:r>
              </w:hyperlink>
            </w:p>
            <w:p w14:paraId="3842D6F1" w14:textId="77777777" w:rsidR="0043170A" w:rsidRDefault="00013E76">
              <w:pPr>
                <w:pStyle w:val="TableofFigures"/>
                <w:rPr>
                  <w:rFonts w:asciiTheme="minorHAnsi" w:eastAsiaTheme="minorEastAsia" w:hAnsiTheme="minorHAnsi" w:cstheme="minorBidi"/>
                  <w:noProof/>
                  <w:color w:val="auto"/>
                  <w:sz w:val="22"/>
                </w:rPr>
              </w:pPr>
              <w:hyperlink w:anchor="_Toc517707399" w:history="1">
                <w:r w:rsidR="0043170A" w:rsidRPr="00484947">
                  <w:rPr>
                    <w:rStyle w:val="Hyperlink"/>
                    <w:noProof/>
                  </w:rPr>
                  <w:t>Figure 13: Prevalence of ever used e</w:t>
                </w:r>
                <w:r w:rsidR="0043170A" w:rsidRPr="00484947">
                  <w:rPr>
                    <w:rStyle w:val="Hyperlink"/>
                    <w:noProof/>
                  </w:rPr>
                  <w:noBreakHyphen/>
                  <w:t>cigarettes vs current female tobacco cigarette use</w:t>
                </w:r>
                <w:r w:rsidR="0043170A">
                  <w:rPr>
                    <w:noProof/>
                    <w:webHidden/>
                  </w:rPr>
                  <w:tab/>
                </w:r>
                <w:r w:rsidR="0043170A">
                  <w:rPr>
                    <w:noProof/>
                    <w:webHidden/>
                  </w:rPr>
                  <w:fldChar w:fldCharType="begin"/>
                </w:r>
                <w:r w:rsidR="0043170A">
                  <w:rPr>
                    <w:noProof/>
                    <w:webHidden/>
                  </w:rPr>
                  <w:instrText xml:space="preserve"> PAGEREF _Toc517707399 \h </w:instrText>
                </w:r>
                <w:r w:rsidR="0043170A">
                  <w:rPr>
                    <w:noProof/>
                    <w:webHidden/>
                  </w:rPr>
                </w:r>
                <w:r w:rsidR="0043170A">
                  <w:rPr>
                    <w:noProof/>
                    <w:webHidden/>
                  </w:rPr>
                  <w:fldChar w:fldCharType="separate"/>
                </w:r>
                <w:r w:rsidR="0043170A">
                  <w:rPr>
                    <w:noProof/>
                    <w:webHidden/>
                  </w:rPr>
                  <w:t>239</w:t>
                </w:r>
                <w:r w:rsidR="0043170A">
                  <w:rPr>
                    <w:noProof/>
                    <w:webHidden/>
                  </w:rPr>
                  <w:fldChar w:fldCharType="end"/>
                </w:r>
              </w:hyperlink>
            </w:p>
            <w:p w14:paraId="773CBFF4" w14:textId="77777777" w:rsidR="0043170A" w:rsidRDefault="00013E76">
              <w:pPr>
                <w:pStyle w:val="TableofFigures"/>
                <w:rPr>
                  <w:rFonts w:asciiTheme="minorHAnsi" w:eastAsiaTheme="minorEastAsia" w:hAnsiTheme="minorHAnsi" w:cstheme="minorBidi"/>
                  <w:noProof/>
                  <w:color w:val="auto"/>
                  <w:sz w:val="22"/>
                </w:rPr>
              </w:pPr>
              <w:hyperlink w:anchor="_Toc517707400" w:history="1">
                <w:r w:rsidR="0043170A" w:rsidRPr="00484947">
                  <w:rPr>
                    <w:rStyle w:val="Hyperlink"/>
                    <w:noProof/>
                  </w:rPr>
                  <w:t>Figure 14: Summary of the relationship of urgency, deficits in conscientiousness and sensation seeking to e</w:t>
                </w:r>
                <w:r w:rsidR="0043170A" w:rsidRPr="00484947">
                  <w:rPr>
                    <w:rStyle w:val="Hyperlink"/>
                    <w:noProof/>
                  </w:rPr>
                  <w:noBreakHyphen/>
                  <w:t>cigarette use</w:t>
                </w:r>
                <w:r w:rsidR="0043170A">
                  <w:rPr>
                    <w:noProof/>
                    <w:webHidden/>
                  </w:rPr>
                  <w:tab/>
                </w:r>
                <w:r w:rsidR="0043170A">
                  <w:rPr>
                    <w:noProof/>
                    <w:webHidden/>
                  </w:rPr>
                  <w:fldChar w:fldCharType="begin"/>
                </w:r>
                <w:r w:rsidR="0043170A">
                  <w:rPr>
                    <w:noProof/>
                    <w:webHidden/>
                  </w:rPr>
                  <w:instrText xml:space="preserve"> PAGEREF _Toc517707400 \h </w:instrText>
                </w:r>
                <w:r w:rsidR="0043170A">
                  <w:rPr>
                    <w:noProof/>
                    <w:webHidden/>
                  </w:rPr>
                </w:r>
                <w:r w:rsidR="0043170A">
                  <w:rPr>
                    <w:noProof/>
                    <w:webHidden/>
                  </w:rPr>
                  <w:fldChar w:fldCharType="separate"/>
                </w:r>
                <w:r w:rsidR="0043170A">
                  <w:rPr>
                    <w:noProof/>
                    <w:webHidden/>
                  </w:rPr>
                  <w:t>265</w:t>
                </w:r>
                <w:r w:rsidR="0043170A">
                  <w:rPr>
                    <w:noProof/>
                    <w:webHidden/>
                  </w:rPr>
                  <w:fldChar w:fldCharType="end"/>
                </w:r>
              </w:hyperlink>
            </w:p>
            <w:p w14:paraId="12934717" w14:textId="77777777" w:rsidR="004E728C" w:rsidRDefault="009D68BA" w:rsidP="004E728C">
              <w:pPr>
                <w:pStyle w:val="TableofFigures"/>
                <w:rPr>
                  <w:b/>
                </w:rPr>
              </w:pPr>
              <w:r w:rsidRPr="00FE0B80">
                <w:rPr>
                  <w:bCs/>
                  <w:noProof/>
                  <w:lang w:val="en-US"/>
                </w:rPr>
                <w:fldChar w:fldCharType="end"/>
              </w:r>
            </w:p>
            <w:p w14:paraId="371AFF85" w14:textId="77777777" w:rsidR="00D77B4A" w:rsidRDefault="00D77B4A" w:rsidP="00D77B4A">
              <w:pPr>
                <w:pStyle w:val="ListofFiguresandTablesTOCHeading"/>
              </w:pPr>
              <w:r>
                <w:t>Tables</w:t>
              </w:r>
            </w:p>
            <w:p w14:paraId="2ACA5D13" w14:textId="77777777" w:rsidR="0043170A" w:rsidRDefault="009D68BA">
              <w:pPr>
                <w:pStyle w:val="TableofFigures"/>
                <w:rPr>
                  <w:rFonts w:asciiTheme="minorHAnsi" w:eastAsiaTheme="minorEastAsia" w:hAnsiTheme="minorHAnsi" w:cstheme="minorBidi"/>
                  <w:noProof/>
                  <w:color w:val="auto"/>
                  <w:sz w:val="22"/>
                </w:rPr>
              </w:pPr>
              <w:r>
                <w:fldChar w:fldCharType="begin"/>
              </w:r>
              <w:r>
                <w:instrText xml:space="preserve"> TOC \h \z \c "Table" </w:instrText>
              </w:r>
              <w:r>
                <w:fldChar w:fldCharType="separate"/>
              </w:r>
              <w:hyperlink w:anchor="_Toc517707410" w:history="1">
                <w:r w:rsidR="0043170A" w:rsidRPr="001656E3">
                  <w:rPr>
                    <w:rStyle w:val="Hyperlink"/>
                    <w:noProof/>
                  </w:rPr>
                  <w:t>Table 1: Human health outcomes studies – randomised trials</w:t>
                </w:r>
                <w:r w:rsidR="0043170A">
                  <w:rPr>
                    <w:noProof/>
                    <w:webHidden/>
                  </w:rPr>
                  <w:tab/>
                </w:r>
                <w:r w:rsidR="0043170A">
                  <w:rPr>
                    <w:noProof/>
                    <w:webHidden/>
                  </w:rPr>
                  <w:fldChar w:fldCharType="begin"/>
                </w:r>
                <w:r w:rsidR="0043170A">
                  <w:rPr>
                    <w:noProof/>
                    <w:webHidden/>
                  </w:rPr>
                  <w:instrText xml:space="preserve"> PAGEREF _Toc517707410 \h </w:instrText>
                </w:r>
                <w:r w:rsidR="0043170A">
                  <w:rPr>
                    <w:noProof/>
                    <w:webHidden/>
                  </w:rPr>
                </w:r>
                <w:r w:rsidR="0043170A">
                  <w:rPr>
                    <w:noProof/>
                    <w:webHidden/>
                  </w:rPr>
                  <w:fldChar w:fldCharType="separate"/>
                </w:r>
                <w:r w:rsidR="0043170A">
                  <w:rPr>
                    <w:noProof/>
                    <w:webHidden/>
                  </w:rPr>
                  <w:t>76</w:t>
                </w:r>
                <w:r w:rsidR="0043170A">
                  <w:rPr>
                    <w:noProof/>
                    <w:webHidden/>
                  </w:rPr>
                  <w:fldChar w:fldCharType="end"/>
                </w:r>
              </w:hyperlink>
            </w:p>
            <w:p w14:paraId="306179DF" w14:textId="77777777" w:rsidR="0043170A" w:rsidRDefault="00013E76">
              <w:pPr>
                <w:pStyle w:val="TableofFigures"/>
                <w:rPr>
                  <w:rFonts w:asciiTheme="minorHAnsi" w:eastAsiaTheme="minorEastAsia" w:hAnsiTheme="minorHAnsi" w:cstheme="minorBidi"/>
                  <w:noProof/>
                  <w:color w:val="auto"/>
                  <w:sz w:val="22"/>
                </w:rPr>
              </w:pPr>
              <w:hyperlink w:anchor="_Toc517707411" w:history="1">
                <w:r w:rsidR="0043170A" w:rsidRPr="001656E3">
                  <w:rPr>
                    <w:rStyle w:val="Hyperlink"/>
                    <w:noProof/>
                  </w:rPr>
                  <w:t>Table 2: Human health outcomes studies – prospective cohort studies</w:t>
                </w:r>
                <w:r w:rsidR="0043170A">
                  <w:rPr>
                    <w:noProof/>
                    <w:webHidden/>
                  </w:rPr>
                  <w:tab/>
                </w:r>
                <w:r w:rsidR="0043170A">
                  <w:rPr>
                    <w:noProof/>
                    <w:webHidden/>
                  </w:rPr>
                  <w:fldChar w:fldCharType="begin"/>
                </w:r>
                <w:r w:rsidR="0043170A">
                  <w:rPr>
                    <w:noProof/>
                    <w:webHidden/>
                  </w:rPr>
                  <w:instrText xml:space="preserve"> PAGEREF _Toc517707411 \h </w:instrText>
                </w:r>
                <w:r w:rsidR="0043170A">
                  <w:rPr>
                    <w:noProof/>
                    <w:webHidden/>
                  </w:rPr>
                </w:r>
                <w:r w:rsidR="0043170A">
                  <w:rPr>
                    <w:noProof/>
                    <w:webHidden/>
                  </w:rPr>
                  <w:fldChar w:fldCharType="separate"/>
                </w:r>
                <w:r w:rsidR="0043170A">
                  <w:rPr>
                    <w:noProof/>
                    <w:webHidden/>
                  </w:rPr>
                  <w:t>77</w:t>
                </w:r>
                <w:r w:rsidR="0043170A">
                  <w:rPr>
                    <w:noProof/>
                    <w:webHidden/>
                  </w:rPr>
                  <w:fldChar w:fldCharType="end"/>
                </w:r>
              </w:hyperlink>
            </w:p>
            <w:p w14:paraId="268D2B51" w14:textId="77777777" w:rsidR="0043170A" w:rsidRDefault="00013E76">
              <w:pPr>
                <w:pStyle w:val="TableofFigures"/>
                <w:rPr>
                  <w:rFonts w:asciiTheme="minorHAnsi" w:eastAsiaTheme="minorEastAsia" w:hAnsiTheme="minorHAnsi" w:cstheme="minorBidi"/>
                  <w:noProof/>
                  <w:color w:val="auto"/>
                  <w:sz w:val="22"/>
                </w:rPr>
              </w:pPr>
              <w:hyperlink w:anchor="_Toc517707412" w:history="1">
                <w:r w:rsidR="0043170A" w:rsidRPr="001656E3">
                  <w:rPr>
                    <w:rStyle w:val="Hyperlink"/>
                    <w:noProof/>
                  </w:rPr>
                  <w:t>Table 3: Human health outcomes studies – case control studies</w:t>
                </w:r>
                <w:r w:rsidR="0043170A">
                  <w:rPr>
                    <w:noProof/>
                    <w:webHidden/>
                  </w:rPr>
                  <w:tab/>
                </w:r>
                <w:r w:rsidR="0043170A">
                  <w:rPr>
                    <w:noProof/>
                    <w:webHidden/>
                  </w:rPr>
                  <w:fldChar w:fldCharType="begin"/>
                </w:r>
                <w:r w:rsidR="0043170A">
                  <w:rPr>
                    <w:noProof/>
                    <w:webHidden/>
                  </w:rPr>
                  <w:instrText xml:space="preserve"> PAGEREF _Toc517707412 \h </w:instrText>
                </w:r>
                <w:r w:rsidR="0043170A">
                  <w:rPr>
                    <w:noProof/>
                    <w:webHidden/>
                  </w:rPr>
                </w:r>
                <w:r w:rsidR="0043170A">
                  <w:rPr>
                    <w:noProof/>
                    <w:webHidden/>
                  </w:rPr>
                  <w:fldChar w:fldCharType="separate"/>
                </w:r>
                <w:r w:rsidR="0043170A">
                  <w:rPr>
                    <w:noProof/>
                    <w:webHidden/>
                  </w:rPr>
                  <w:t>78</w:t>
                </w:r>
                <w:r w:rsidR="0043170A">
                  <w:rPr>
                    <w:noProof/>
                    <w:webHidden/>
                  </w:rPr>
                  <w:fldChar w:fldCharType="end"/>
                </w:r>
              </w:hyperlink>
            </w:p>
            <w:p w14:paraId="10C38AF6" w14:textId="77777777" w:rsidR="0043170A" w:rsidRDefault="00013E76">
              <w:pPr>
                <w:pStyle w:val="TableofFigures"/>
                <w:rPr>
                  <w:rFonts w:asciiTheme="minorHAnsi" w:eastAsiaTheme="minorEastAsia" w:hAnsiTheme="minorHAnsi" w:cstheme="minorBidi"/>
                  <w:noProof/>
                  <w:color w:val="auto"/>
                  <w:sz w:val="22"/>
                </w:rPr>
              </w:pPr>
              <w:hyperlink w:anchor="_Toc517707413" w:history="1">
                <w:r w:rsidR="0043170A" w:rsidRPr="001656E3">
                  <w:rPr>
                    <w:rStyle w:val="Hyperlink"/>
                    <w:noProof/>
                  </w:rPr>
                  <w:t>Table 4: Human health outcomes studies – cross-sectional studies</w:t>
                </w:r>
                <w:r w:rsidR="0043170A">
                  <w:rPr>
                    <w:noProof/>
                    <w:webHidden/>
                  </w:rPr>
                  <w:tab/>
                </w:r>
                <w:r w:rsidR="0043170A">
                  <w:rPr>
                    <w:noProof/>
                    <w:webHidden/>
                  </w:rPr>
                  <w:fldChar w:fldCharType="begin"/>
                </w:r>
                <w:r w:rsidR="0043170A">
                  <w:rPr>
                    <w:noProof/>
                    <w:webHidden/>
                  </w:rPr>
                  <w:instrText xml:space="preserve"> PAGEREF _Toc517707413 \h </w:instrText>
                </w:r>
                <w:r w:rsidR="0043170A">
                  <w:rPr>
                    <w:noProof/>
                    <w:webHidden/>
                  </w:rPr>
                </w:r>
                <w:r w:rsidR="0043170A">
                  <w:rPr>
                    <w:noProof/>
                    <w:webHidden/>
                  </w:rPr>
                  <w:fldChar w:fldCharType="separate"/>
                </w:r>
                <w:r w:rsidR="0043170A">
                  <w:rPr>
                    <w:noProof/>
                    <w:webHidden/>
                  </w:rPr>
                  <w:t>79</w:t>
                </w:r>
                <w:r w:rsidR="0043170A">
                  <w:rPr>
                    <w:noProof/>
                    <w:webHidden/>
                  </w:rPr>
                  <w:fldChar w:fldCharType="end"/>
                </w:r>
              </w:hyperlink>
            </w:p>
            <w:p w14:paraId="38B6AC40" w14:textId="77777777" w:rsidR="0043170A" w:rsidRDefault="00013E76">
              <w:pPr>
                <w:pStyle w:val="TableofFigures"/>
                <w:rPr>
                  <w:rFonts w:asciiTheme="minorHAnsi" w:eastAsiaTheme="minorEastAsia" w:hAnsiTheme="minorHAnsi" w:cstheme="minorBidi"/>
                  <w:noProof/>
                  <w:color w:val="auto"/>
                  <w:sz w:val="22"/>
                </w:rPr>
              </w:pPr>
              <w:hyperlink w:anchor="_Toc517707414" w:history="1">
                <w:r w:rsidR="0043170A" w:rsidRPr="001656E3">
                  <w:rPr>
                    <w:rStyle w:val="Hyperlink"/>
                    <w:noProof/>
                  </w:rPr>
                  <w:t>Table 5: Human health outcomes studies – case studies</w:t>
                </w:r>
                <w:r w:rsidR="0043170A">
                  <w:rPr>
                    <w:noProof/>
                    <w:webHidden/>
                  </w:rPr>
                  <w:tab/>
                </w:r>
                <w:r w:rsidR="0043170A">
                  <w:rPr>
                    <w:noProof/>
                    <w:webHidden/>
                  </w:rPr>
                  <w:fldChar w:fldCharType="begin"/>
                </w:r>
                <w:r w:rsidR="0043170A">
                  <w:rPr>
                    <w:noProof/>
                    <w:webHidden/>
                  </w:rPr>
                  <w:instrText xml:space="preserve"> PAGEREF _Toc517707414 \h </w:instrText>
                </w:r>
                <w:r w:rsidR="0043170A">
                  <w:rPr>
                    <w:noProof/>
                    <w:webHidden/>
                  </w:rPr>
                </w:r>
                <w:r w:rsidR="0043170A">
                  <w:rPr>
                    <w:noProof/>
                    <w:webHidden/>
                  </w:rPr>
                  <w:fldChar w:fldCharType="separate"/>
                </w:r>
                <w:r w:rsidR="0043170A">
                  <w:rPr>
                    <w:noProof/>
                    <w:webHidden/>
                  </w:rPr>
                  <w:t>82</w:t>
                </w:r>
                <w:r w:rsidR="0043170A">
                  <w:rPr>
                    <w:noProof/>
                    <w:webHidden/>
                  </w:rPr>
                  <w:fldChar w:fldCharType="end"/>
                </w:r>
              </w:hyperlink>
            </w:p>
            <w:p w14:paraId="52FAE585" w14:textId="77777777" w:rsidR="0043170A" w:rsidRDefault="00013E76">
              <w:pPr>
                <w:pStyle w:val="TableofFigures"/>
                <w:rPr>
                  <w:rFonts w:asciiTheme="minorHAnsi" w:eastAsiaTheme="minorEastAsia" w:hAnsiTheme="minorHAnsi" w:cstheme="minorBidi"/>
                  <w:noProof/>
                  <w:color w:val="auto"/>
                  <w:sz w:val="22"/>
                </w:rPr>
              </w:pPr>
              <w:hyperlink w:anchor="_Toc517707415" w:history="1">
                <w:r w:rsidR="0043170A" w:rsidRPr="001656E3">
                  <w:rPr>
                    <w:rStyle w:val="Hyperlink"/>
                    <w:noProof/>
                  </w:rPr>
                  <w:t>Table 6: Human health outcomes studies – modelling studies</w:t>
                </w:r>
                <w:r w:rsidR="0043170A">
                  <w:rPr>
                    <w:noProof/>
                    <w:webHidden/>
                  </w:rPr>
                  <w:tab/>
                </w:r>
                <w:r w:rsidR="0043170A">
                  <w:rPr>
                    <w:noProof/>
                    <w:webHidden/>
                  </w:rPr>
                  <w:fldChar w:fldCharType="begin"/>
                </w:r>
                <w:r w:rsidR="0043170A">
                  <w:rPr>
                    <w:noProof/>
                    <w:webHidden/>
                  </w:rPr>
                  <w:instrText xml:space="preserve"> PAGEREF _Toc517707415 \h </w:instrText>
                </w:r>
                <w:r w:rsidR="0043170A">
                  <w:rPr>
                    <w:noProof/>
                    <w:webHidden/>
                  </w:rPr>
                </w:r>
                <w:r w:rsidR="0043170A">
                  <w:rPr>
                    <w:noProof/>
                    <w:webHidden/>
                  </w:rPr>
                  <w:fldChar w:fldCharType="separate"/>
                </w:r>
                <w:r w:rsidR="0043170A">
                  <w:rPr>
                    <w:noProof/>
                    <w:webHidden/>
                  </w:rPr>
                  <w:t>83</w:t>
                </w:r>
                <w:r w:rsidR="0043170A">
                  <w:rPr>
                    <w:noProof/>
                    <w:webHidden/>
                  </w:rPr>
                  <w:fldChar w:fldCharType="end"/>
                </w:r>
              </w:hyperlink>
            </w:p>
            <w:p w14:paraId="7E440A16" w14:textId="77777777" w:rsidR="0043170A" w:rsidRDefault="00013E76">
              <w:pPr>
                <w:pStyle w:val="TableofFigures"/>
                <w:rPr>
                  <w:rFonts w:asciiTheme="minorHAnsi" w:eastAsiaTheme="minorEastAsia" w:hAnsiTheme="minorHAnsi" w:cstheme="minorBidi"/>
                  <w:noProof/>
                  <w:color w:val="auto"/>
                  <w:sz w:val="22"/>
                </w:rPr>
              </w:pPr>
              <w:hyperlink w:anchor="_Toc517707416" w:history="1">
                <w:r w:rsidR="0043170A" w:rsidRPr="001656E3">
                  <w:rPr>
                    <w:rStyle w:val="Hyperlink"/>
                    <w:noProof/>
                  </w:rPr>
                  <w:t>Table 7: Human health outcome studies - injury study data</w:t>
                </w:r>
                <w:r w:rsidR="0043170A">
                  <w:rPr>
                    <w:noProof/>
                    <w:webHidden/>
                  </w:rPr>
                  <w:tab/>
                </w:r>
                <w:r w:rsidR="0043170A">
                  <w:rPr>
                    <w:noProof/>
                    <w:webHidden/>
                  </w:rPr>
                  <w:fldChar w:fldCharType="begin"/>
                </w:r>
                <w:r w:rsidR="0043170A">
                  <w:rPr>
                    <w:noProof/>
                    <w:webHidden/>
                  </w:rPr>
                  <w:instrText xml:space="preserve"> PAGEREF _Toc517707416 \h </w:instrText>
                </w:r>
                <w:r w:rsidR="0043170A">
                  <w:rPr>
                    <w:noProof/>
                    <w:webHidden/>
                  </w:rPr>
                </w:r>
                <w:r w:rsidR="0043170A">
                  <w:rPr>
                    <w:noProof/>
                    <w:webHidden/>
                  </w:rPr>
                  <w:fldChar w:fldCharType="separate"/>
                </w:r>
                <w:r w:rsidR="0043170A">
                  <w:rPr>
                    <w:noProof/>
                    <w:webHidden/>
                  </w:rPr>
                  <w:t>84</w:t>
                </w:r>
                <w:r w:rsidR="0043170A">
                  <w:rPr>
                    <w:noProof/>
                    <w:webHidden/>
                  </w:rPr>
                  <w:fldChar w:fldCharType="end"/>
                </w:r>
              </w:hyperlink>
            </w:p>
            <w:p w14:paraId="1343E7FA" w14:textId="77777777" w:rsidR="0043170A" w:rsidRDefault="00013E76">
              <w:pPr>
                <w:pStyle w:val="TableofFigures"/>
                <w:rPr>
                  <w:rFonts w:asciiTheme="minorHAnsi" w:eastAsiaTheme="minorEastAsia" w:hAnsiTheme="minorHAnsi" w:cstheme="minorBidi"/>
                  <w:noProof/>
                  <w:color w:val="auto"/>
                  <w:sz w:val="22"/>
                </w:rPr>
              </w:pPr>
              <w:hyperlink w:anchor="_Toc517707417" w:history="1">
                <w:r w:rsidR="0043170A" w:rsidRPr="001656E3">
                  <w:rPr>
                    <w:rStyle w:val="Hyperlink"/>
                    <w:noProof/>
                  </w:rPr>
                  <w:t>Table 8: Data from animal studies</w:t>
                </w:r>
                <w:r w:rsidR="0043170A">
                  <w:rPr>
                    <w:noProof/>
                    <w:webHidden/>
                  </w:rPr>
                  <w:tab/>
                </w:r>
                <w:r w:rsidR="0043170A">
                  <w:rPr>
                    <w:noProof/>
                    <w:webHidden/>
                  </w:rPr>
                  <w:fldChar w:fldCharType="begin"/>
                </w:r>
                <w:r w:rsidR="0043170A">
                  <w:rPr>
                    <w:noProof/>
                    <w:webHidden/>
                  </w:rPr>
                  <w:instrText xml:space="preserve"> PAGEREF _Toc517707417 \h </w:instrText>
                </w:r>
                <w:r w:rsidR="0043170A">
                  <w:rPr>
                    <w:noProof/>
                    <w:webHidden/>
                  </w:rPr>
                </w:r>
                <w:r w:rsidR="0043170A">
                  <w:rPr>
                    <w:noProof/>
                    <w:webHidden/>
                  </w:rPr>
                  <w:fldChar w:fldCharType="separate"/>
                </w:r>
                <w:r w:rsidR="0043170A">
                  <w:rPr>
                    <w:noProof/>
                    <w:webHidden/>
                  </w:rPr>
                  <w:t>92</w:t>
                </w:r>
                <w:r w:rsidR="0043170A">
                  <w:rPr>
                    <w:noProof/>
                    <w:webHidden/>
                  </w:rPr>
                  <w:fldChar w:fldCharType="end"/>
                </w:r>
              </w:hyperlink>
            </w:p>
            <w:p w14:paraId="2F273092" w14:textId="77777777" w:rsidR="0043170A" w:rsidRDefault="00013E76">
              <w:pPr>
                <w:pStyle w:val="TableofFigures"/>
                <w:rPr>
                  <w:rFonts w:asciiTheme="minorHAnsi" w:eastAsiaTheme="minorEastAsia" w:hAnsiTheme="minorHAnsi" w:cstheme="minorBidi"/>
                  <w:noProof/>
                  <w:color w:val="auto"/>
                  <w:sz w:val="22"/>
                </w:rPr>
              </w:pPr>
              <w:hyperlink w:anchor="_Toc517707418" w:history="1">
                <w:r w:rsidR="0043170A" w:rsidRPr="001656E3">
                  <w:rPr>
                    <w:rStyle w:val="Hyperlink"/>
                    <w:noProof/>
                  </w:rPr>
                  <w:t>Table 9: Data from in vitro studies</w:t>
                </w:r>
                <w:r w:rsidR="0043170A">
                  <w:rPr>
                    <w:noProof/>
                    <w:webHidden/>
                  </w:rPr>
                  <w:tab/>
                </w:r>
                <w:r w:rsidR="0043170A">
                  <w:rPr>
                    <w:noProof/>
                    <w:webHidden/>
                  </w:rPr>
                  <w:fldChar w:fldCharType="begin"/>
                </w:r>
                <w:r w:rsidR="0043170A">
                  <w:rPr>
                    <w:noProof/>
                    <w:webHidden/>
                  </w:rPr>
                  <w:instrText xml:space="preserve"> PAGEREF _Toc517707418 \h </w:instrText>
                </w:r>
                <w:r w:rsidR="0043170A">
                  <w:rPr>
                    <w:noProof/>
                    <w:webHidden/>
                  </w:rPr>
                </w:r>
                <w:r w:rsidR="0043170A">
                  <w:rPr>
                    <w:noProof/>
                    <w:webHidden/>
                  </w:rPr>
                  <w:fldChar w:fldCharType="separate"/>
                </w:r>
                <w:r w:rsidR="0043170A">
                  <w:rPr>
                    <w:noProof/>
                    <w:webHidden/>
                  </w:rPr>
                  <w:t>98</w:t>
                </w:r>
                <w:r w:rsidR="0043170A">
                  <w:rPr>
                    <w:noProof/>
                    <w:webHidden/>
                  </w:rPr>
                  <w:fldChar w:fldCharType="end"/>
                </w:r>
              </w:hyperlink>
            </w:p>
            <w:p w14:paraId="0D7F2736" w14:textId="77777777" w:rsidR="0043170A" w:rsidRDefault="00013E76">
              <w:pPr>
                <w:pStyle w:val="TableofFigures"/>
                <w:rPr>
                  <w:rFonts w:asciiTheme="minorHAnsi" w:eastAsiaTheme="minorEastAsia" w:hAnsiTheme="minorHAnsi" w:cstheme="minorBidi"/>
                  <w:noProof/>
                  <w:color w:val="auto"/>
                  <w:sz w:val="22"/>
                </w:rPr>
              </w:pPr>
              <w:hyperlink w:anchor="_Toc517707419" w:history="1">
                <w:r w:rsidR="0043170A" w:rsidRPr="001656E3">
                  <w:rPr>
                    <w:rStyle w:val="Hyperlink"/>
                    <w:noProof/>
                  </w:rPr>
                  <w:t>Table 10: E</w:t>
                </w:r>
                <w:r w:rsidR="0043170A" w:rsidRPr="001656E3">
                  <w:rPr>
                    <w:rStyle w:val="Hyperlink"/>
                    <w:noProof/>
                  </w:rPr>
                  <w:noBreakHyphen/>
                  <w:t>cigarette use and conventional smoking studies</w:t>
                </w:r>
                <w:r w:rsidR="0043170A">
                  <w:rPr>
                    <w:noProof/>
                    <w:webHidden/>
                  </w:rPr>
                  <w:tab/>
                </w:r>
                <w:r w:rsidR="0043170A">
                  <w:rPr>
                    <w:noProof/>
                    <w:webHidden/>
                  </w:rPr>
                  <w:fldChar w:fldCharType="begin"/>
                </w:r>
                <w:r w:rsidR="0043170A">
                  <w:rPr>
                    <w:noProof/>
                    <w:webHidden/>
                  </w:rPr>
                  <w:instrText xml:space="preserve"> PAGEREF _Toc517707419 \h </w:instrText>
                </w:r>
                <w:r w:rsidR="0043170A">
                  <w:rPr>
                    <w:noProof/>
                    <w:webHidden/>
                  </w:rPr>
                </w:r>
                <w:r w:rsidR="0043170A">
                  <w:rPr>
                    <w:noProof/>
                    <w:webHidden/>
                  </w:rPr>
                  <w:fldChar w:fldCharType="separate"/>
                </w:r>
                <w:r w:rsidR="0043170A">
                  <w:rPr>
                    <w:noProof/>
                    <w:webHidden/>
                  </w:rPr>
                  <w:t>142</w:t>
                </w:r>
                <w:r w:rsidR="0043170A">
                  <w:rPr>
                    <w:noProof/>
                    <w:webHidden/>
                  </w:rPr>
                  <w:fldChar w:fldCharType="end"/>
                </w:r>
              </w:hyperlink>
            </w:p>
            <w:p w14:paraId="620FF1BF" w14:textId="77777777" w:rsidR="0043170A" w:rsidRDefault="00013E76">
              <w:pPr>
                <w:pStyle w:val="TableofFigures"/>
                <w:rPr>
                  <w:rFonts w:asciiTheme="minorHAnsi" w:eastAsiaTheme="minorEastAsia" w:hAnsiTheme="minorHAnsi" w:cstheme="minorBidi"/>
                  <w:noProof/>
                  <w:color w:val="auto"/>
                  <w:sz w:val="22"/>
                </w:rPr>
              </w:pPr>
              <w:hyperlink w:anchor="_Toc517707420" w:history="1">
                <w:r w:rsidR="0043170A" w:rsidRPr="001656E3">
                  <w:rPr>
                    <w:rStyle w:val="Hyperlink"/>
                    <w:noProof/>
                  </w:rPr>
                  <w:t>Table 11: E</w:t>
                </w:r>
                <w:r w:rsidR="0043170A" w:rsidRPr="001656E3">
                  <w:rPr>
                    <w:rStyle w:val="Hyperlink"/>
                    <w:noProof/>
                  </w:rPr>
                  <w:noBreakHyphen/>
                  <w:t>cigarette use and the use of other substances studies</w:t>
                </w:r>
                <w:r w:rsidR="0043170A">
                  <w:rPr>
                    <w:noProof/>
                    <w:webHidden/>
                  </w:rPr>
                  <w:tab/>
                </w:r>
                <w:r w:rsidR="0043170A">
                  <w:rPr>
                    <w:noProof/>
                    <w:webHidden/>
                  </w:rPr>
                  <w:fldChar w:fldCharType="begin"/>
                </w:r>
                <w:r w:rsidR="0043170A">
                  <w:rPr>
                    <w:noProof/>
                    <w:webHidden/>
                  </w:rPr>
                  <w:instrText xml:space="preserve"> PAGEREF _Toc517707420 \h </w:instrText>
                </w:r>
                <w:r w:rsidR="0043170A">
                  <w:rPr>
                    <w:noProof/>
                    <w:webHidden/>
                  </w:rPr>
                </w:r>
                <w:r w:rsidR="0043170A">
                  <w:rPr>
                    <w:noProof/>
                    <w:webHidden/>
                  </w:rPr>
                  <w:fldChar w:fldCharType="separate"/>
                </w:r>
                <w:r w:rsidR="0043170A">
                  <w:rPr>
                    <w:noProof/>
                    <w:webHidden/>
                  </w:rPr>
                  <w:t>145</w:t>
                </w:r>
                <w:r w:rsidR="0043170A">
                  <w:rPr>
                    <w:noProof/>
                    <w:webHidden/>
                  </w:rPr>
                  <w:fldChar w:fldCharType="end"/>
                </w:r>
              </w:hyperlink>
            </w:p>
            <w:p w14:paraId="18BA0FE5" w14:textId="77777777" w:rsidR="0043170A" w:rsidRDefault="00013E76">
              <w:pPr>
                <w:pStyle w:val="TableofFigures"/>
                <w:rPr>
                  <w:rFonts w:asciiTheme="minorHAnsi" w:eastAsiaTheme="minorEastAsia" w:hAnsiTheme="minorHAnsi" w:cstheme="minorBidi"/>
                  <w:noProof/>
                  <w:color w:val="auto"/>
                  <w:sz w:val="22"/>
                </w:rPr>
              </w:pPr>
              <w:hyperlink w:anchor="_Toc517707421" w:history="1">
                <w:r w:rsidR="0043170A" w:rsidRPr="001656E3">
                  <w:rPr>
                    <w:rStyle w:val="Hyperlink"/>
                    <w:noProof/>
                  </w:rPr>
                  <w:t>Table 12: Cross</w:t>
                </w:r>
                <w:r w:rsidR="0043170A" w:rsidRPr="001656E3">
                  <w:rPr>
                    <w:rStyle w:val="Hyperlink"/>
                    <w:noProof/>
                  </w:rPr>
                  <w:noBreakHyphen/>
                  <w:t>sectional smoking cessation studies</w:t>
                </w:r>
                <w:r w:rsidR="0043170A">
                  <w:rPr>
                    <w:noProof/>
                    <w:webHidden/>
                  </w:rPr>
                  <w:tab/>
                </w:r>
                <w:r w:rsidR="0043170A">
                  <w:rPr>
                    <w:noProof/>
                    <w:webHidden/>
                  </w:rPr>
                  <w:fldChar w:fldCharType="begin"/>
                </w:r>
                <w:r w:rsidR="0043170A">
                  <w:rPr>
                    <w:noProof/>
                    <w:webHidden/>
                  </w:rPr>
                  <w:instrText xml:space="preserve"> PAGEREF _Toc517707421 \h </w:instrText>
                </w:r>
                <w:r w:rsidR="0043170A">
                  <w:rPr>
                    <w:noProof/>
                    <w:webHidden/>
                  </w:rPr>
                </w:r>
                <w:r w:rsidR="0043170A">
                  <w:rPr>
                    <w:noProof/>
                    <w:webHidden/>
                  </w:rPr>
                  <w:fldChar w:fldCharType="separate"/>
                </w:r>
                <w:r w:rsidR="0043170A">
                  <w:rPr>
                    <w:noProof/>
                    <w:webHidden/>
                  </w:rPr>
                  <w:t>147</w:t>
                </w:r>
                <w:r w:rsidR="0043170A">
                  <w:rPr>
                    <w:noProof/>
                    <w:webHidden/>
                  </w:rPr>
                  <w:fldChar w:fldCharType="end"/>
                </w:r>
              </w:hyperlink>
            </w:p>
            <w:p w14:paraId="3500800F" w14:textId="77777777" w:rsidR="0043170A" w:rsidRDefault="00013E76">
              <w:pPr>
                <w:pStyle w:val="TableofFigures"/>
                <w:rPr>
                  <w:rFonts w:asciiTheme="minorHAnsi" w:eastAsiaTheme="minorEastAsia" w:hAnsiTheme="minorHAnsi" w:cstheme="minorBidi"/>
                  <w:noProof/>
                  <w:color w:val="auto"/>
                  <w:sz w:val="22"/>
                </w:rPr>
              </w:pPr>
              <w:hyperlink w:anchor="_Toc517707422" w:history="1">
                <w:r w:rsidR="0043170A" w:rsidRPr="001656E3">
                  <w:rPr>
                    <w:rStyle w:val="Hyperlink"/>
                    <w:noProof/>
                  </w:rPr>
                  <w:t>Table 13: Longitudinal smoking cessation studies: characteristics</w:t>
                </w:r>
                <w:r w:rsidR="0043170A">
                  <w:rPr>
                    <w:noProof/>
                    <w:webHidden/>
                  </w:rPr>
                  <w:tab/>
                </w:r>
                <w:r w:rsidR="0043170A">
                  <w:rPr>
                    <w:noProof/>
                    <w:webHidden/>
                  </w:rPr>
                  <w:fldChar w:fldCharType="begin"/>
                </w:r>
                <w:r w:rsidR="0043170A">
                  <w:rPr>
                    <w:noProof/>
                    <w:webHidden/>
                  </w:rPr>
                  <w:instrText xml:space="preserve"> PAGEREF _Toc517707422 \h </w:instrText>
                </w:r>
                <w:r w:rsidR="0043170A">
                  <w:rPr>
                    <w:noProof/>
                    <w:webHidden/>
                  </w:rPr>
                </w:r>
                <w:r w:rsidR="0043170A">
                  <w:rPr>
                    <w:noProof/>
                    <w:webHidden/>
                  </w:rPr>
                  <w:fldChar w:fldCharType="separate"/>
                </w:r>
                <w:r w:rsidR="0043170A">
                  <w:rPr>
                    <w:noProof/>
                    <w:webHidden/>
                  </w:rPr>
                  <w:t>156</w:t>
                </w:r>
                <w:r w:rsidR="0043170A">
                  <w:rPr>
                    <w:noProof/>
                    <w:webHidden/>
                  </w:rPr>
                  <w:fldChar w:fldCharType="end"/>
                </w:r>
              </w:hyperlink>
            </w:p>
            <w:p w14:paraId="6F3D9E4E" w14:textId="77777777" w:rsidR="0043170A" w:rsidRDefault="00013E76">
              <w:pPr>
                <w:pStyle w:val="TableofFigures"/>
                <w:rPr>
                  <w:rFonts w:asciiTheme="minorHAnsi" w:eastAsiaTheme="minorEastAsia" w:hAnsiTheme="minorHAnsi" w:cstheme="minorBidi"/>
                  <w:noProof/>
                  <w:color w:val="auto"/>
                  <w:sz w:val="22"/>
                </w:rPr>
              </w:pPr>
              <w:hyperlink w:anchor="_Toc517707423" w:history="1">
                <w:r w:rsidR="0043170A" w:rsidRPr="001656E3">
                  <w:rPr>
                    <w:rStyle w:val="Hyperlink"/>
                    <w:noProof/>
                  </w:rPr>
                  <w:t>Table 14: Longitudinal smoking cessation studies: outcomes</w:t>
                </w:r>
                <w:r w:rsidR="0043170A">
                  <w:rPr>
                    <w:noProof/>
                    <w:webHidden/>
                  </w:rPr>
                  <w:tab/>
                </w:r>
                <w:r w:rsidR="0043170A">
                  <w:rPr>
                    <w:noProof/>
                    <w:webHidden/>
                  </w:rPr>
                  <w:fldChar w:fldCharType="begin"/>
                </w:r>
                <w:r w:rsidR="0043170A">
                  <w:rPr>
                    <w:noProof/>
                    <w:webHidden/>
                  </w:rPr>
                  <w:instrText xml:space="preserve"> PAGEREF _Toc517707423 \h </w:instrText>
                </w:r>
                <w:r w:rsidR="0043170A">
                  <w:rPr>
                    <w:noProof/>
                    <w:webHidden/>
                  </w:rPr>
                </w:r>
                <w:r w:rsidR="0043170A">
                  <w:rPr>
                    <w:noProof/>
                    <w:webHidden/>
                  </w:rPr>
                  <w:fldChar w:fldCharType="separate"/>
                </w:r>
                <w:r w:rsidR="0043170A">
                  <w:rPr>
                    <w:noProof/>
                    <w:webHidden/>
                  </w:rPr>
                  <w:t>158</w:t>
                </w:r>
                <w:r w:rsidR="0043170A">
                  <w:rPr>
                    <w:noProof/>
                    <w:webHidden/>
                  </w:rPr>
                  <w:fldChar w:fldCharType="end"/>
                </w:r>
              </w:hyperlink>
            </w:p>
            <w:p w14:paraId="29EF14E4" w14:textId="77777777" w:rsidR="0043170A" w:rsidRDefault="00013E76">
              <w:pPr>
                <w:pStyle w:val="TableofFigures"/>
                <w:rPr>
                  <w:rFonts w:asciiTheme="minorHAnsi" w:eastAsiaTheme="minorEastAsia" w:hAnsiTheme="minorHAnsi" w:cstheme="minorBidi"/>
                  <w:noProof/>
                  <w:color w:val="auto"/>
                  <w:sz w:val="22"/>
                </w:rPr>
              </w:pPr>
              <w:hyperlink w:anchor="_Toc517707424" w:history="1">
                <w:r w:rsidR="0043170A" w:rsidRPr="001656E3">
                  <w:rPr>
                    <w:rStyle w:val="Hyperlink"/>
                    <w:noProof/>
                  </w:rPr>
                  <w:t>Table 15: Smoking cessation trials: characteristics</w:t>
                </w:r>
                <w:r w:rsidR="0043170A">
                  <w:rPr>
                    <w:noProof/>
                    <w:webHidden/>
                  </w:rPr>
                  <w:tab/>
                </w:r>
                <w:r w:rsidR="0043170A">
                  <w:rPr>
                    <w:noProof/>
                    <w:webHidden/>
                  </w:rPr>
                  <w:fldChar w:fldCharType="begin"/>
                </w:r>
                <w:r w:rsidR="0043170A">
                  <w:rPr>
                    <w:noProof/>
                    <w:webHidden/>
                  </w:rPr>
                  <w:instrText xml:space="preserve"> PAGEREF _Toc517707424 \h </w:instrText>
                </w:r>
                <w:r w:rsidR="0043170A">
                  <w:rPr>
                    <w:noProof/>
                    <w:webHidden/>
                  </w:rPr>
                </w:r>
                <w:r w:rsidR="0043170A">
                  <w:rPr>
                    <w:noProof/>
                    <w:webHidden/>
                  </w:rPr>
                  <w:fldChar w:fldCharType="separate"/>
                </w:r>
                <w:r w:rsidR="0043170A">
                  <w:rPr>
                    <w:noProof/>
                    <w:webHidden/>
                  </w:rPr>
                  <w:t>162</w:t>
                </w:r>
                <w:r w:rsidR="0043170A">
                  <w:rPr>
                    <w:noProof/>
                    <w:webHidden/>
                  </w:rPr>
                  <w:fldChar w:fldCharType="end"/>
                </w:r>
              </w:hyperlink>
            </w:p>
            <w:p w14:paraId="540140B9" w14:textId="77777777" w:rsidR="0043170A" w:rsidRDefault="00013E76">
              <w:pPr>
                <w:pStyle w:val="TableofFigures"/>
                <w:rPr>
                  <w:rFonts w:asciiTheme="minorHAnsi" w:eastAsiaTheme="minorEastAsia" w:hAnsiTheme="minorHAnsi" w:cstheme="minorBidi"/>
                  <w:noProof/>
                  <w:color w:val="auto"/>
                  <w:sz w:val="22"/>
                </w:rPr>
              </w:pPr>
              <w:hyperlink w:anchor="_Toc517707425" w:history="1">
                <w:r w:rsidR="0043170A" w:rsidRPr="001656E3">
                  <w:rPr>
                    <w:rStyle w:val="Hyperlink"/>
                    <w:noProof/>
                  </w:rPr>
                  <w:t>Table 16: Smoking cessation trials: outcomes</w:t>
                </w:r>
                <w:r w:rsidR="0043170A">
                  <w:rPr>
                    <w:noProof/>
                    <w:webHidden/>
                  </w:rPr>
                  <w:tab/>
                </w:r>
                <w:r w:rsidR="0043170A">
                  <w:rPr>
                    <w:noProof/>
                    <w:webHidden/>
                  </w:rPr>
                  <w:fldChar w:fldCharType="begin"/>
                </w:r>
                <w:r w:rsidR="0043170A">
                  <w:rPr>
                    <w:noProof/>
                    <w:webHidden/>
                  </w:rPr>
                  <w:instrText xml:space="preserve"> PAGEREF _Toc517707425 \h </w:instrText>
                </w:r>
                <w:r w:rsidR="0043170A">
                  <w:rPr>
                    <w:noProof/>
                    <w:webHidden/>
                  </w:rPr>
                </w:r>
                <w:r w:rsidR="0043170A">
                  <w:rPr>
                    <w:noProof/>
                    <w:webHidden/>
                  </w:rPr>
                  <w:fldChar w:fldCharType="separate"/>
                </w:r>
                <w:r w:rsidR="0043170A">
                  <w:rPr>
                    <w:noProof/>
                    <w:webHidden/>
                  </w:rPr>
                  <w:t>166</w:t>
                </w:r>
                <w:r w:rsidR="0043170A">
                  <w:rPr>
                    <w:noProof/>
                    <w:webHidden/>
                  </w:rPr>
                  <w:fldChar w:fldCharType="end"/>
                </w:r>
              </w:hyperlink>
            </w:p>
            <w:p w14:paraId="4F1CE780" w14:textId="77777777" w:rsidR="0043170A" w:rsidRDefault="00013E76">
              <w:pPr>
                <w:pStyle w:val="TableofFigures"/>
                <w:rPr>
                  <w:rFonts w:asciiTheme="minorHAnsi" w:eastAsiaTheme="minorEastAsia" w:hAnsiTheme="minorHAnsi" w:cstheme="minorBidi"/>
                  <w:noProof/>
                  <w:color w:val="auto"/>
                  <w:sz w:val="22"/>
                </w:rPr>
              </w:pPr>
              <w:hyperlink w:anchor="_Toc517707426" w:history="1">
                <w:r w:rsidR="0043170A" w:rsidRPr="001656E3">
                  <w:rPr>
                    <w:rStyle w:val="Hyperlink"/>
                    <w:noProof/>
                  </w:rPr>
                  <w:t>Table 17: Health outcomes in studies of cigarette smokers</w:t>
                </w:r>
                <w:r w:rsidR="0043170A">
                  <w:rPr>
                    <w:noProof/>
                    <w:webHidden/>
                  </w:rPr>
                  <w:tab/>
                </w:r>
                <w:r w:rsidR="0043170A">
                  <w:rPr>
                    <w:noProof/>
                    <w:webHidden/>
                  </w:rPr>
                  <w:fldChar w:fldCharType="begin"/>
                </w:r>
                <w:r w:rsidR="0043170A">
                  <w:rPr>
                    <w:noProof/>
                    <w:webHidden/>
                  </w:rPr>
                  <w:instrText xml:space="preserve"> PAGEREF _Toc517707426 \h </w:instrText>
                </w:r>
                <w:r w:rsidR="0043170A">
                  <w:rPr>
                    <w:noProof/>
                    <w:webHidden/>
                  </w:rPr>
                </w:r>
                <w:r w:rsidR="0043170A">
                  <w:rPr>
                    <w:noProof/>
                    <w:webHidden/>
                  </w:rPr>
                  <w:fldChar w:fldCharType="separate"/>
                </w:r>
                <w:r w:rsidR="0043170A">
                  <w:rPr>
                    <w:noProof/>
                    <w:webHidden/>
                  </w:rPr>
                  <w:t>210</w:t>
                </w:r>
                <w:r w:rsidR="0043170A">
                  <w:rPr>
                    <w:noProof/>
                    <w:webHidden/>
                  </w:rPr>
                  <w:fldChar w:fldCharType="end"/>
                </w:r>
              </w:hyperlink>
            </w:p>
            <w:p w14:paraId="22EA01BA" w14:textId="77777777" w:rsidR="0043170A" w:rsidRDefault="00013E76">
              <w:pPr>
                <w:pStyle w:val="TableofFigures"/>
                <w:rPr>
                  <w:rFonts w:asciiTheme="minorHAnsi" w:eastAsiaTheme="minorEastAsia" w:hAnsiTheme="minorHAnsi" w:cstheme="minorBidi"/>
                  <w:noProof/>
                  <w:color w:val="auto"/>
                  <w:sz w:val="22"/>
                </w:rPr>
              </w:pPr>
              <w:hyperlink w:anchor="_Toc517707427" w:history="1">
                <w:r w:rsidR="0043170A" w:rsidRPr="001656E3">
                  <w:rPr>
                    <w:rStyle w:val="Hyperlink"/>
                    <w:noProof/>
                  </w:rPr>
                  <w:t>Table 18: Prevalence of e</w:t>
                </w:r>
                <w:r w:rsidR="0043170A" w:rsidRPr="001656E3">
                  <w:rPr>
                    <w:rStyle w:val="Hyperlink"/>
                    <w:noProof/>
                  </w:rPr>
                  <w:noBreakHyphen/>
                  <w:t>cigarette use (%) in Australia by age group (2016).</w:t>
                </w:r>
                <w:r w:rsidR="0043170A">
                  <w:rPr>
                    <w:noProof/>
                    <w:webHidden/>
                  </w:rPr>
                  <w:tab/>
                </w:r>
                <w:r w:rsidR="0043170A">
                  <w:rPr>
                    <w:noProof/>
                    <w:webHidden/>
                  </w:rPr>
                  <w:fldChar w:fldCharType="begin"/>
                </w:r>
                <w:r w:rsidR="0043170A">
                  <w:rPr>
                    <w:noProof/>
                    <w:webHidden/>
                  </w:rPr>
                  <w:instrText xml:space="preserve"> PAGEREF _Toc517707427 \h </w:instrText>
                </w:r>
                <w:r w:rsidR="0043170A">
                  <w:rPr>
                    <w:noProof/>
                    <w:webHidden/>
                  </w:rPr>
                </w:r>
                <w:r w:rsidR="0043170A">
                  <w:rPr>
                    <w:noProof/>
                    <w:webHidden/>
                  </w:rPr>
                  <w:fldChar w:fldCharType="separate"/>
                </w:r>
                <w:r w:rsidR="0043170A">
                  <w:rPr>
                    <w:noProof/>
                    <w:webHidden/>
                  </w:rPr>
                  <w:t>219</w:t>
                </w:r>
                <w:r w:rsidR="0043170A">
                  <w:rPr>
                    <w:noProof/>
                    <w:webHidden/>
                  </w:rPr>
                  <w:fldChar w:fldCharType="end"/>
                </w:r>
              </w:hyperlink>
            </w:p>
            <w:p w14:paraId="06510973" w14:textId="77777777" w:rsidR="0043170A" w:rsidRDefault="00013E76">
              <w:pPr>
                <w:pStyle w:val="TableofFigures"/>
                <w:rPr>
                  <w:rFonts w:asciiTheme="minorHAnsi" w:eastAsiaTheme="minorEastAsia" w:hAnsiTheme="minorHAnsi" w:cstheme="minorBidi"/>
                  <w:noProof/>
                  <w:color w:val="auto"/>
                  <w:sz w:val="22"/>
                </w:rPr>
              </w:pPr>
              <w:hyperlink w:anchor="_Toc517707428" w:history="1">
                <w:r w:rsidR="0043170A" w:rsidRPr="001656E3">
                  <w:rPr>
                    <w:rStyle w:val="Hyperlink"/>
                    <w:noProof/>
                  </w:rPr>
                  <w:t>Table 19: Prevalence of e</w:t>
                </w:r>
                <w:r w:rsidR="0043170A" w:rsidRPr="001656E3">
                  <w:rPr>
                    <w:rStyle w:val="Hyperlink"/>
                    <w:noProof/>
                  </w:rPr>
                  <w:noBreakHyphen/>
                  <w:t>cigarette ever use (%) in Australia for males and females by age group (2013 and 2016).</w:t>
                </w:r>
                <w:r w:rsidR="0043170A">
                  <w:rPr>
                    <w:noProof/>
                    <w:webHidden/>
                  </w:rPr>
                  <w:tab/>
                </w:r>
                <w:r w:rsidR="0043170A">
                  <w:rPr>
                    <w:noProof/>
                    <w:webHidden/>
                  </w:rPr>
                  <w:fldChar w:fldCharType="begin"/>
                </w:r>
                <w:r w:rsidR="0043170A">
                  <w:rPr>
                    <w:noProof/>
                    <w:webHidden/>
                  </w:rPr>
                  <w:instrText xml:space="preserve"> PAGEREF _Toc517707428 \h </w:instrText>
                </w:r>
                <w:r w:rsidR="0043170A">
                  <w:rPr>
                    <w:noProof/>
                    <w:webHidden/>
                  </w:rPr>
                </w:r>
                <w:r w:rsidR="0043170A">
                  <w:rPr>
                    <w:noProof/>
                    <w:webHidden/>
                  </w:rPr>
                  <w:fldChar w:fldCharType="separate"/>
                </w:r>
                <w:r w:rsidR="0043170A">
                  <w:rPr>
                    <w:noProof/>
                    <w:webHidden/>
                  </w:rPr>
                  <w:t>220</w:t>
                </w:r>
                <w:r w:rsidR="0043170A">
                  <w:rPr>
                    <w:noProof/>
                    <w:webHidden/>
                  </w:rPr>
                  <w:fldChar w:fldCharType="end"/>
                </w:r>
              </w:hyperlink>
            </w:p>
            <w:p w14:paraId="6DE44230" w14:textId="77777777" w:rsidR="0043170A" w:rsidRDefault="00013E76">
              <w:pPr>
                <w:pStyle w:val="TableofFigures"/>
                <w:rPr>
                  <w:rFonts w:asciiTheme="minorHAnsi" w:eastAsiaTheme="minorEastAsia" w:hAnsiTheme="minorHAnsi" w:cstheme="minorBidi"/>
                  <w:noProof/>
                  <w:color w:val="auto"/>
                  <w:sz w:val="22"/>
                </w:rPr>
              </w:pPr>
              <w:hyperlink w:anchor="_Toc517707429" w:history="1">
                <w:r w:rsidR="0043170A" w:rsidRPr="001656E3">
                  <w:rPr>
                    <w:rStyle w:val="Hyperlink"/>
                    <w:noProof/>
                  </w:rPr>
                  <w:t>Table 20: Prevalence of e</w:t>
                </w:r>
                <w:r w:rsidR="0043170A" w:rsidRPr="001656E3">
                  <w:rPr>
                    <w:rStyle w:val="Hyperlink"/>
                    <w:noProof/>
                  </w:rPr>
                  <w:noBreakHyphen/>
                  <w:t>cigarette use (%) in Australia by smoking status (aged 14 years +, 2016).</w:t>
                </w:r>
                <w:r w:rsidR="0043170A">
                  <w:rPr>
                    <w:noProof/>
                    <w:webHidden/>
                  </w:rPr>
                  <w:tab/>
                </w:r>
                <w:r w:rsidR="0043170A">
                  <w:rPr>
                    <w:noProof/>
                    <w:webHidden/>
                  </w:rPr>
                  <w:fldChar w:fldCharType="begin"/>
                </w:r>
                <w:r w:rsidR="0043170A">
                  <w:rPr>
                    <w:noProof/>
                    <w:webHidden/>
                  </w:rPr>
                  <w:instrText xml:space="preserve"> PAGEREF _Toc517707429 \h </w:instrText>
                </w:r>
                <w:r w:rsidR="0043170A">
                  <w:rPr>
                    <w:noProof/>
                    <w:webHidden/>
                  </w:rPr>
                </w:r>
                <w:r w:rsidR="0043170A">
                  <w:rPr>
                    <w:noProof/>
                    <w:webHidden/>
                  </w:rPr>
                  <w:fldChar w:fldCharType="separate"/>
                </w:r>
                <w:r w:rsidR="0043170A">
                  <w:rPr>
                    <w:noProof/>
                    <w:webHidden/>
                  </w:rPr>
                  <w:t>221</w:t>
                </w:r>
                <w:r w:rsidR="0043170A">
                  <w:rPr>
                    <w:noProof/>
                    <w:webHidden/>
                  </w:rPr>
                  <w:fldChar w:fldCharType="end"/>
                </w:r>
              </w:hyperlink>
            </w:p>
            <w:p w14:paraId="68CC1B3A" w14:textId="77777777" w:rsidR="0043170A" w:rsidRDefault="00013E76">
              <w:pPr>
                <w:pStyle w:val="TableofFigures"/>
                <w:rPr>
                  <w:rFonts w:asciiTheme="minorHAnsi" w:eastAsiaTheme="minorEastAsia" w:hAnsiTheme="minorHAnsi" w:cstheme="minorBidi"/>
                  <w:noProof/>
                  <w:color w:val="auto"/>
                  <w:sz w:val="22"/>
                </w:rPr>
              </w:pPr>
              <w:hyperlink w:anchor="_Toc517707430" w:history="1">
                <w:r w:rsidR="0043170A" w:rsidRPr="001656E3">
                  <w:rPr>
                    <w:rStyle w:val="Hyperlink"/>
                    <w:noProof/>
                  </w:rPr>
                  <w:t>Table 21: Reasons for using e</w:t>
                </w:r>
                <w:r w:rsidR="0043170A" w:rsidRPr="001656E3">
                  <w:rPr>
                    <w:rStyle w:val="Hyperlink"/>
                    <w:noProof/>
                  </w:rPr>
                  <w:noBreakHyphen/>
                  <w:t>cigarettes (%) in Australia by age group (2016).</w:t>
                </w:r>
                <w:r w:rsidR="0043170A">
                  <w:rPr>
                    <w:noProof/>
                    <w:webHidden/>
                  </w:rPr>
                  <w:tab/>
                </w:r>
                <w:r w:rsidR="0043170A">
                  <w:rPr>
                    <w:noProof/>
                    <w:webHidden/>
                  </w:rPr>
                  <w:fldChar w:fldCharType="begin"/>
                </w:r>
                <w:r w:rsidR="0043170A">
                  <w:rPr>
                    <w:noProof/>
                    <w:webHidden/>
                  </w:rPr>
                  <w:instrText xml:space="preserve"> PAGEREF _Toc517707430 \h </w:instrText>
                </w:r>
                <w:r w:rsidR="0043170A">
                  <w:rPr>
                    <w:noProof/>
                    <w:webHidden/>
                  </w:rPr>
                </w:r>
                <w:r w:rsidR="0043170A">
                  <w:rPr>
                    <w:noProof/>
                    <w:webHidden/>
                  </w:rPr>
                  <w:fldChar w:fldCharType="separate"/>
                </w:r>
                <w:r w:rsidR="0043170A">
                  <w:rPr>
                    <w:noProof/>
                    <w:webHidden/>
                  </w:rPr>
                  <w:t>222</w:t>
                </w:r>
                <w:r w:rsidR="0043170A">
                  <w:rPr>
                    <w:noProof/>
                    <w:webHidden/>
                  </w:rPr>
                  <w:fldChar w:fldCharType="end"/>
                </w:r>
              </w:hyperlink>
            </w:p>
            <w:p w14:paraId="793D8092" w14:textId="77777777" w:rsidR="0043170A" w:rsidRDefault="00013E76">
              <w:pPr>
                <w:pStyle w:val="TableofFigures"/>
                <w:rPr>
                  <w:rFonts w:asciiTheme="minorHAnsi" w:eastAsiaTheme="minorEastAsia" w:hAnsiTheme="minorHAnsi" w:cstheme="minorBidi"/>
                  <w:noProof/>
                  <w:color w:val="auto"/>
                  <w:sz w:val="22"/>
                </w:rPr>
              </w:pPr>
              <w:hyperlink w:anchor="_Toc517707431" w:history="1">
                <w:r w:rsidR="0043170A" w:rsidRPr="001656E3">
                  <w:rPr>
                    <w:rStyle w:val="Hyperlink"/>
                    <w:noProof/>
                  </w:rPr>
                  <w:t>Table 22: Reasons for using e</w:t>
                </w:r>
                <w:r w:rsidR="0043170A" w:rsidRPr="001656E3">
                  <w:rPr>
                    <w:rStyle w:val="Hyperlink"/>
                    <w:noProof/>
                  </w:rPr>
                  <w:noBreakHyphen/>
                  <w:t>cigarettes (%) in Australia by smoking or e</w:t>
                </w:r>
                <w:r w:rsidR="0043170A" w:rsidRPr="001656E3">
                  <w:rPr>
                    <w:rStyle w:val="Hyperlink"/>
                    <w:noProof/>
                  </w:rPr>
                  <w:noBreakHyphen/>
                  <w:t>cigarette use status (2016).</w:t>
                </w:r>
                <w:r w:rsidR="0043170A">
                  <w:rPr>
                    <w:noProof/>
                    <w:webHidden/>
                  </w:rPr>
                  <w:tab/>
                </w:r>
                <w:r w:rsidR="0043170A">
                  <w:rPr>
                    <w:noProof/>
                    <w:webHidden/>
                  </w:rPr>
                  <w:fldChar w:fldCharType="begin"/>
                </w:r>
                <w:r w:rsidR="0043170A">
                  <w:rPr>
                    <w:noProof/>
                    <w:webHidden/>
                  </w:rPr>
                  <w:instrText xml:space="preserve"> PAGEREF _Toc517707431 \h </w:instrText>
                </w:r>
                <w:r w:rsidR="0043170A">
                  <w:rPr>
                    <w:noProof/>
                    <w:webHidden/>
                  </w:rPr>
                </w:r>
                <w:r w:rsidR="0043170A">
                  <w:rPr>
                    <w:noProof/>
                    <w:webHidden/>
                  </w:rPr>
                  <w:fldChar w:fldCharType="separate"/>
                </w:r>
                <w:r w:rsidR="0043170A">
                  <w:rPr>
                    <w:noProof/>
                    <w:webHidden/>
                  </w:rPr>
                  <w:t>223</w:t>
                </w:r>
                <w:r w:rsidR="0043170A">
                  <w:rPr>
                    <w:noProof/>
                    <w:webHidden/>
                  </w:rPr>
                  <w:fldChar w:fldCharType="end"/>
                </w:r>
              </w:hyperlink>
            </w:p>
            <w:p w14:paraId="477A4E96" w14:textId="77777777" w:rsidR="0043170A" w:rsidRDefault="00013E76">
              <w:pPr>
                <w:pStyle w:val="TableofFigures"/>
                <w:rPr>
                  <w:rFonts w:asciiTheme="minorHAnsi" w:eastAsiaTheme="minorEastAsia" w:hAnsiTheme="minorHAnsi" w:cstheme="minorBidi"/>
                  <w:noProof/>
                  <w:color w:val="auto"/>
                  <w:sz w:val="22"/>
                </w:rPr>
              </w:pPr>
              <w:hyperlink w:anchor="_Toc517707432" w:history="1">
                <w:r w:rsidR="0043170A" w:rsidRPr="001656E3">
                  <w:rPr>
                    <w:rStyle w:val="Hyperlink"/>
                    <w:noProof/>
                  </w:rPr>
                  <w:t>Table 23: E-cigarette projects funded by NHMRC grants.</w:t>
                </w:r>
                <w:r w:rsidR="0043170A">
                  <w:rPr>
                    <w:noProof/>
                    <w:webHidden/>
                  </w:rPr>
                  <w:tab/>
                </w:r>
                <w:r w:rsidR="0043170A">
                  <w:rPr>
                    <w:noProof/>
                    <w:webHidden/>
                  </w:rPr>
                  <w:fldChar w:fldCharType="begin"/>
                </w:r>
                <w:r w:rsidR="0043170A">
                  <w:rPr>
                    <w:noProof/>
                    <w:webHidden/>
                  </w:rPr>
                  <w:instrText xml:space="preserve"> PAGEREF _Toc517707432 \h </w:instrText>
                </w:r>
                <w:r w:rsidR="0043170A">
                  <w:rPr>
                    <w:noProof/>
                    <w:webHidden/>
                  </w:rPr>
                </w:r>
                <w:r w:rsidR="0043170A">
                  <w:rPr>
                    <w:noProof/>
                    <w:webHidden/>
                  </w:rPr>
                  <w:fldChar w:fldCharType="separate"/>
                </w:r>
                <w:r w:rsidR="0043170A">
                  <w:rPr>
                    <w:noProof/>
                    <w:webHidden/>
                  </w:rPr>
                  <w:t>230</w:t>
                </w:r>
                <w:r w:rsidR="0043170A">
                  <w:rPr>
                    <w:noProof/>
                    <w:webHidden/>
                  </w:rPr>
                  <w:fldChar w:fldCharType="end"/>
                </w:r>
              </w:hyperlink>
            </w:p>
            <w:p w14:paraId="3A25998C" w14:textId="77777777" w:rsidR="0043170A" w:rsidRDefault="00013E76">
              <w:pPr>
                <w:pStyle w:val="TableofFigures"/>
                <w:rPr>
                  <w:rFonts w:asciiTheme="minorHAnsi" w:eastAsiaTheme="minorEastAsia" w:hAnsiTheme="minorHAnsi" w:cstheme="minorBidi"/>
                  <w:noProof/>
                  <w:color w:val="auto"/>
                  <w:sz w:val="22"/>
                </w:rPr>
              </w:pPr>
              <w:hyperlink w:anchor="_Toc517707433" w:history="1">
                <w:r w:rsidR="0043170A" w:rsidRPr="001656E3">
                  <w:rPr>
                    <w:rStyle w:val="Hyperlink"/>
                    <w:noProof/>
                  </w:rPr>
                  <w:t>Table 24: Regulations relating to e</w:t>
                </w:r>
                <w:r w:rsidR="0043170A" w:rsidRPr="001656E3">
                  <w:rPr>
                    <w:rStyle w:val="Hyperlink"/>
                    <w:noProof/>
                  </w:rPr>
                  <w:noBreakHyphen/>
                  <w:t>cigarettes by country</w:t>
                </w:r>
                <w:r w:rsidR="0043170A">
                  <w:rPr>
                    <w:noProof/>
                    <w:webHidden/>
                  </w:rPr>
                  <w:tab/>
                </w:r>
                <w:r w:rsidR="0043170A">
                  <w:rPr>
                    <w:noProof/>
                    <w:webHidden/>
                  </w:rPr>
                  <w:fldChar w:fldCharType="begin"/>
                </w:r>
                <w:r w:rsidR="0043170A">
                  <w:rPr>
                    <w:noProof/>
                    <w:webHidden/>
                  </w:rPr>
                  <w:instrText xml:space="preserve"> PAGEREF _Toc517707433 \h </w:instrText>
                </w:r>
                <w:r w:rsidR="0043170A">
                  <w:rPr>
                    <w:noProof/>
                    <w:webHidden/>
                  </w:rPr>
                </w:r>
                <w:r w:rsidR="0043170A">
                  <w:rPr>
                    <w:noProof/>
                    <w:webHidden/>
                  </w:rPr>
                  <w:fldChar w:fldCharType="separate"/>
                </w:r>
                <w:r w:rsidR="0043170A">
                  <w:rPr>
                    <w:noProof/>
                    <w:webHidden/>
                  </w:rPr>
                  <w:t>240</w:t>
                </w:r>
                <w:r w:rsidR="0043170A">
                  <w:rPr>
                    <w:noProof/>
                    <w:webHidden/>
                  </w:rPr>
                  <w:fldChar w:fldCharType="end"/>
                </w:r>
              </w:hyperlink>
            </w:p>
            <w:p w14:paraId="4F806D85" w14:textId="77777777" w:rsidR="0043170A" w:rsidRDefault="00013E76">
              <w:pPr>
                <w:pStyle w:val="TableofFigures"/>
                <w:rPr>
                  <w:rFonts w:asciiTheme="minorHAnsi" w:eastAsiaTheme="minorEastAsia" w:hAnsiTheme="minorHAnsi" w:cstheme="minorBidi"/>
                  <w:noProof/>
                  <w:color w:val="auto"/>
                  <w:sz w:val="22"/>
                </w:rPr>
              </w:pPr>
              <w:hyperlink w:anchor="_Toc517707434" w:history="1">
                <w:r w:rsidR="0043170A" w:rsidRPr="001656E3">
                  <w:rPr>
                    <w:rStyle w:val="Hyperlink"/>
                    <w:noProof/>
                  </w:rPr>
                  <w:t>Table 25: Categories of national e</w:t>
                </w:r>
                <w:r w:rsidR="0043170A" w:rsidRPr="001656E3">
                  <w:rPr>
                    <w:rStyle w:val="Hyperlink"/>
                    <w:noProof/>
                  </w:rPr>
                  <w:noBreakHyphen/>
                  <w:t>cigarette regulation</w:t>
                </w:r>
                <w:r w:rsidR="0043170A">
                  <w:rPr>
                    <w:noProof/>
                    <w:webHidden/>
                  </w:rPr>
                  <w:tab/>
                </w:r>
                <w:r w:rsidR="0043170A">
                  <w:rPr>
                    <w:noProof/>
                    <w:webHidden/>
                  </w:rPr>
                  <w:fldChar w:fldCharType="begin"/>
                </w:r>
                <w:r w:rsidR="0043170A">
                  <w:rPr>
                    <w:noProof/>
                    <w:webHidden/>
                  </w:rPr>
                  <w:instrText xml:space="preserve"> PAGEREF _Toc517707434 \h </w:instrText>
                </w:r>
                <w:r w:rsidR="0043170A">
                  <w:rPr>
                    <w:noProof/>
                    <w:webHidden/>
                  </w:rPr>
                </w:r>
                <w:r w:rsidR="0043170A">
                  <w:rPr>
                    <w:noProof/>
                    <w:webHidden/>
                  </w:rPr>
                  <w:fldChar w:fldCharType="separate"/>
                </w:r>
                <w:r w:rsidR="0043170A">
                  <w:rPr>
                    <w:noProof/>
                    <w:webHidden/>
                  </w:rPr>
                  <w:t>245</w:t>
                </w:r>
                <w:r w:rsidR="0043170A">
                  <w:rPr>
                    <w:noProof/>
                    <w:webHidden/>
                  </w:rPr>
                  <w:fldChar w:fldCharType="end"/>
                </w:r>
              </w:hyperlink>
            </w:p>
            <w:p w14:paraId="0CF6631B" w14:textId="77777777" w:rsidR="0043170A" w:rsidRDefault="00013E76">
              <w:pPr>
                <w:pStyle w:val="TableofFigures"/>
                <w:rPr>
                  <w:rFonts w:asciiTheme="minorHAnsi" w:eastAsiaTheme="minorEastAsia" w:hAnsiTheme="minorHAnsi" w:cstheme="minorBidi"/>
                  <w:noProof/>
                  <w:color w:val="auto"/>
                  <w:sz w:val="22"/>
                </w:rPr>
              </w:pPr>
              <w:hyperlink w:anchor="_Toc517707435" w:history="1">
                <w:r w:rsidR="0043170A" w:rsidRPr="001656E3">
                  <w:rPr>
                    <w:rStyle w:val="Hyperlink"/>
                    <w:noProof/>
                  </w:rPr>
                  <w:t>Table 26: Average of the country prevalence rate (%) for tobacco and cigarette use by sex within e</w:t>
                </w:r>
                <w:r w:rsidR="0043170A" w:rsidRPr="001656E3">
                  <w:rPr>
                    <w:rStyle w:val="Hyperlink"/>
                    <w:noProof/>
                  </w:rPr>
                  <w:noBreakHyphen/>
                  <w:t>cigarette regulation categories</w:t>
                </w:r>
                <w:r w:rsidR="0043170A">
                  <w:rPr>
                    <w:noProof/>
                    <w:webHidden/>
                  </w:rPr>
                  <w:tab/>
                </w:r>
                <w:r w:rsidR="0043170A">
                  <w:rPr>
                    <w:noProof/>
                    <w:webHidden/>
                  </w:rPr>
                  <w:fldChar w:fldCharType="begin"/>
                </w:r>
                <w:r w:rsidR="0043170A">
                  <w:rPr>
                    <w:noProof/>
                    <w:webHidden/>
                  </w:rPr>
                  <w:instrText xml:space="preserve"> PAGEREF _Toc517707435 \h </w:instrText>
                </w:r>
                <w:r w:rsidR="0043170A">
                  <w:rPr>
                    <w:noProof/>
                    <w:webHidden/>
                  </w:rPr>
                </w:r>
                <w:r w:rsidR="0043170A">
                  <w:rPr>
                    <w:noProof/>
                    <w:webHidden/>
                  </w:rPr>
                  <w:fldChar w:fldCharType="separate"/>
                </w:r>
                <w:r w:rsidR="0043170A">
                  <w:rPr>
                    <w:noProof/>
                    <w:webHidden/>
                  </w:rPr>
                  <w:t>246</w:t>
                </w:r>
                <w:r w:rsidR="0043170A">
                  <w:rPr>
                    <w:noProof/>
                    <w:webHidden/>
                  </w:rPr>
                  <w:fldChar w:fldCharType="end"/>
                </w:r>
              </w:hyperlink>
            </w:p>
            <w:p w14:paraId="6344C9D7" w14:textId="77777777" w:rsidR="0043170A" w:rsidRDefault="00013E76">
              <w:pPr>
                <w:pStyle w:val="TableofFigures"/>
                <w:rPr>
                  <w:rFonts w:asciiTheme="minorHAnsi" w:eastAsiaTheme="minorEastAsia" w:hAnsiTheme="minorHAnsi" w:cstheme="minorBidi"/>
                  <w:noProof/>
                  <w:color w:val="auto"/>
                  <w:sz w:val="22"/>
                </w:rPr>
              </w:pPr>
              <w:hyperlink w:anchor="_Toc517707436" w:history="1">
                <w:r w:rsidR="0043170A" w:rsidRPr="001656E3">
                  <w:rPr>
                    <w:rStyle w:val="Hyperlink"/>
                    <w:noProof/>
                  </w:rPr>
                  <w:t>Table 27: Country</w:t>
                </w:r>
                <w:r w:rsidR="0043170A" w:rsidRPr="001656E3">
                  <w:rPr>
                    <w:rStyle w:val="Hyperlink"/>
                    <w:noProof/>
                  </w:rPr>
                  <w:noBreakHyphen/>
                  <w:t>specific Age</w:t>
                </w:r>
                <w:r w:rsidR="0043170A" w:rsidRPr="001656E3">
                  <w:rPr>
                    <w:rStyle w:val="Hyperlink"/>
                    <w:noProof/>
                  </w:rPr>
                  <w:noBreakHyphen/>
                  <w:t>Standardised Smoking Prevalence Rates for 2013</w:t>
                </w:r>
                <w:r w:rsidR="0043170A">
                  <w:rPr>
                    <w:noProof/>
                    <w:webHidden/>
                  </w:rPr>
                  <w:tab/>
                </w:r>
                <w:r w:rsidR="0043170A">
                  <w:rPr>
                    <w:noProof/>
                    <w:webHidden/>
                  </w:rPr>
                  <w:fldChar w:fldCharType="begin"/>
                </w:r>
                <w:r w:rsidR="0043170A">
                  <w:rPr>
                    <w:noProof/>
                    <w:webHidden/>
                  </w:rPr>
                  <w:instrText xml:space="preserve"> PAGEREF _Toc517707436 \h </w:instrText>
                </w:r>
                <w:r w:rsidR="0043170A">
                  <w:rPr>
                    <w:noProof/>
                    <w:webHidden/>
                  </w:rPr>
                </w:r>
                <w:r w:rsidR="0043170A">
                  <w:rPr>
                    <w:noProof/>
                    <w:webHidden/>
                  </w:rPr>
                  <w:fldChar w:fldCharType="separate"/>
                </w:r>
                <w:r w:rsidR="0043170A">
                  <w:rPr>
                    <w:noProof/>
                    <w:webHidden/>
                  </w:rPr>
                  <w:t>246</w:t>
                </w:r>
                <w:r w:rsidR="0043170A">
                  <w:rPr>
                    <w:noProof/>
                    <w:webHidden/>
                  </w:rPr>
                  <w:fldChar w:fldCharType="end"/>
                </w:r>
              </w:hyperlink>
            </w:p>
            <w:p w14:paraId="61001E70" w14:textId="77777777" w:rsidR="0043170A" w:rsidRDefault="00013E76">
              <w:pPr>
                <w:pStyle w:val="TableofFigures"/>
                <w:rPr>
                  <w:rFonts w:asciiTheme="minorHAnsi" w:eastAsiaTheme="minorEastAsia" w:hAnsiTheme="minorHAnsi" w:cstheme="minorBidi"/>
                  <w:noProof/>
                  <w:color w:val="auto"/>
                  <w:sz w:val="22"/>
                </w:rPr>
              </w:pPr>
              <w:hyperlink w:anchor="_Toc517707437" w:history="1">
                <w:r w:rsidR="0043170A" w:rsidRPr="001656E3">
                  <w:rPr>
                    <w:rStyle w:val="Hyperlink"/>
                    <w:noProof/>
                  </w:rPr>
                  <w:t>Table 28: Prevalence of e</w:t>
                </w:r>
                <w:r w:rsidR="0043170A" w:rsidRPr="001656E3">
                  <w:rPr>
                    <w:rStyle w:val="Hyperlink"/>
                    <w:noProof/>
                  </w:rPr>
                  <w:noBreakHyphen/>
                  <w:t>cigarette use. Data from 2017 Eurobarometer Report (survey conducted in 2014).</w:t>
                </w:r>
                <w:r w:rsidR="0043170A">
                  <w:rPr>
                    <w:noProof/>
                    <w:webHidden/>
                  </w:rPr>
                  <w:tab/>
                </w:r>
                <w:r w:rsidR="0043170A">
                  <w:rPr>
                    <w:noProof/>
                    <w:webHidden/>
                  </w:rPr>
                  <w:fldChar w:fldCharType="begin"/>
                </w:r>
                <w:r w:rsidR="0043170A">
                  <w:rPr>
                    <w:noProof/>
                    <w:webHidden/>
                  </w:rPr>
                  <w:instrText xml:space="preserve"> PAGEREF _Toc517707437 \h </w:instrText>
                </w:r>
                <w:r w:rsidR="0043170A">
                  <w:rPr>
                    <w:noProof/>
                    <w:webHidden/>
                  </w:rPr>
                </w:r>
                <w:r w:rsidR="0043170A">
                  <w:rPr>
                    <w:noProof/>
                    <w:webHidden/>
                  </w:rPr>
                  <w:fldChar w:fldCharType="separate"/>
                </w:r>
                <w:r w:rsidR="0043170A">
                  <w:rPr>
                    <w:noProof/>
                    <w:webHidden/>
                  </w:rPr>
                  <w:t>252</w:t>
                </w:r>
                <w:r w:rsidR="0043170A">
                  <w:rPr>
                    <w:noProof/>
                    <w:webHidden/>
                  </w:rPr>
                  <w:fldChar w:fldCharType="end"/>
                </w:r>
              </w:hyperlink>
            </w:p>
            <w:p w14:paraId="5C9C86A7" w14:textId="77777777" w:rsidR="0043170A" w:rsidRDefault="00013E76">
              <w:pPr>
                <w:pStyle w:val="TableofFigures"/>
                <w:rPr>
                  <w:rFonts w:asciiTheme="minorHAnsi" w:eastAsiaTheme="minorEastAsia" w:hAnsiTheme="minorHAnsi" w:cstheme="minorBidi"/>
                  <w:noProof/>
                  <w:color w:val="auto"/>
                  <w:sz w:val="22"/>
                </w:rPr>
              </w:pPr>
              <w:hyperlink w:anchor="_Toc517707438" w:history="1">
                <w:r w:rsidR="0043170A" w:rsidRPr="001656E3">
                  <w:rPr>
                    <w:rStyle w:val="Hyperlink"/>
                    <w:noProof/>
                  </w:rPr>
                  <w:t>Table 29: Tobacco smoking rates in countries where e</w:t>
                </w:r>
                <w:r w:rsidR="0043170A" w:rsidRPr="001656E3">
                  <w:rPr>
                    <w:rStyle w:val="Hyperlink"/>
                    <w:noProof/>
                  </w:rPr>
                  <w:noBreakHyphen/>
                  <w:t>cigarette use has been recently measured.</w:t>
                </w:r>
                <w:r w:rsidR="0043170A">
                  <w:rPr>
                    <w:noProof/>
                    <w:webHidden/>
                  </w:rPr>
                  <w:tab/>
                </w:r>
                <w:r w:rsidR="0043170A">
                  <w:rPr>
                    <w:noProof/>
                    <w:webHidden/>
                  </w:rPr>
                  <w:fldChar w:fldCharType="begin"/>
                </w:r>
                <w:r w:rsidR="0043170A">
                  <w:rPr>
                    <w:noProof/>
                    <w:webHidden/>
                  </w:rPr>
                  <w:instrText xml:space="preserve"> PAGEREF _Toc517707438 \h </w:instrText>
                </w:r>
                <w:r w:rsidR="0043170A">
                  <w:rPr>
                    <w:noProof/>
                    <w:webHidden/>
                  </w:rPr>
                </w:r>
                <w:r w:rsidR="0043170A">
                  <w:rPr>
                    <w:noProof/>
                    <w:webHidden/>
                  </w:rPr>
                  <w:fldChar w:fldCharType="separate"/>
                </w:r>
                <w:r w:rsidR="0043170A">
                  <w:rPr>
                    <w:noProof/>
                    <w:webHidden/>
                  </w:rPr>
                  <w:t>254</w:t>
                </w:r>
                <w:r w:rsidR="0043170A">
                  <w:rPr>
                    <w:noProof/>
                    <w:webHidden/>
                  </w:rPr>
                  <w:fldChar w:fldCharType="end"/>
                </w:r>
              </w:hyperlink>
            </w:p>
            <w:p w14:paraId="7BE697F2" w14:textId="77777777" w:rsidR="0043170A" w:rsidRDefault="00013E76">
              <w:pPr>
                <w:pStyle w:val="TableofFigures"/>
                <w:rPr>
                  <w:rFonts w:asciiTheme="minorHAnsi" w:eastAsiaTheme="minorEastAsia" w:hAnsiTheme="minorHAnsi" w:cstheme="minorBidi"/>
                  <w:noProof/>
                  <w:color w:val="auto"/>
                  <w:sz w:val="22"/>
                </w:rPr>
              </w:pPr>
              <w:hyperlink w:anchor="_Toc517707439" w:history="1">
                <w:r w:rsidR="0043170A" w:rsidRPr="001656E3">
                  <w:rPr>
                    <w:rStyle w:val="Hyperlink"/>
                    <w:noProof/>
                  </w:rPr>
                  <w:t>Table 30: Characteristics of studies from US national level youth</w:t>
                </w:r>
                <w:r w:rsidR="0043170A">
                  <w:rPr>
                    <w:noProof/>
                    <w:webHidden/>
                  </w:rPr>
                  <w:tab/>
                </w:r>
                <w:r w:rsidR="0043170A">
                  <w:rPr>
                    <w:noProof/>
                    <w:webHidden/>
                  </w:rPr>
                  <w:fldChar w:fldCharType="begin"/>
                </w:r>
                <w:r w:rsidR="0043170A">
                  <w:rPr>
                    <w:noProof/>
                    <w:webHidden/>
                  </w:rPr>
                  <w:instrText xml:space="preserve"> PAGEREF _Toc517707439 \h </w:instrText>
                </w:r>
                <w:r w:rsidR="0043170A">
                  <w:rPr>
                    <w:noProof/>
                    <w:webHidden/>
                  </w:rPr>
                </w:r>
                <w:r w:rsidR="0043170A">
                  <w:rPr>
                    <w:noProof/>
                    <w:webHidden/>
                  </w:rPr>
                  <w:fldChar w:fldCharType="separate"/>
                </w:r>
                <w:r w:rsidR="0043170A">
                  <w:rPr>
                    <w:noProof/>
                    <w:webHidden/>
                  </w:rPr>
                  <w:t>275</w:t>
                </w:r>
                <w:r w:rsidR="0043170A">
                  <w:rPr>
                    <w:noProof/>
                    <w:webHidden/>
                  </w:rPr>
                  <w:fldChar w:fldCharType="end"/>
                </w:r>
              </w:hyperlink>
            </w:p>
            <w:p w14:paraId="5860129A" w14:textId="77777777" w:rsidR="0043170A" w:rsidRDefault="00013E76">
              <w:pPr>
                <w:pStyle w:val="TableofFigures"/>
                <w:rPr>
                  <w:rFonts w:asciiTheme="minorHAnsi" w:eastAsiaTheme="minorEastAsia" w:hAnsiTheme="minorHAnsi" w:cstheme="minorBidi"/>
                  <w:noProof/>
                  <w:color w:val="auto"/>
                  <w:sz w:val="22"/>
                </w:rPr>
              </w:pPr>
              <w:hyperlink w:anchor="_Toc517707440" w:history="1">
                <w:r w:rsidR="0043170A" w:rsidRPr="001656E3">
                  <w:rPr>
                    <w:rStyle w:val="Hyperlink"/>
                    <w:noProof/>
                  </w:rPr>
                  <w:t>Table 31: Results from studies of US national level youth</w:t>
                </w:r>
                <w:r w:rsidR="0043170A">
                  <w:rPr>
                    <w:noProof/>
                    <w:webHidden/>
                  </w:rPr>
                  <w:tab/>
                </w:r>
                <w:r w:rsidR="0043170A">
                  <w:rPr>
                    <w:noProof/>
                    <w:webHidden/>
                  </w:rPr>
                  <w:fldChar w:fldCharType="begin"/>
                </w:r>
                <w:r w:rsidR="0043170A">
                  <w:rPr>
                    <w:noProof/>
                    <w:webHidden/>
                  </w:rPr>
                  <w:instrText xml:space="preserve"> PAGEREF _Toc517707440 \h </w:instrText>
                </w:r>
                <w:r w:rsidR="0043170A">
                  <w:rPr>
                    <w:noProof/>
                    <w:webHidden/>
                  </w:rPr>
                </w:r>
                <w:r w:rsidR="0043170A">
                  <w:rPr>
                    <w:noProof/>
                    <w:webHidden/>
                  </w:rPr>
                  <w:fldChar w:fldCharType="separate"/>
                </w:r>
                <w:r w:rsidR="0043170A">
                  <w:rPr>
                    <w:noProof/>
                    <w:webHidden/>
                  </w:rPr>
                  <w:t>279</w:t>
                </w:r>
                <w:r w:rsidR="0043170A">
                  <w:rPr>
                    <w:noProof/>
                    <w:webHidden/>
                  </w:rPr>
                  <w:fldChar w:fldCharType="end"/>
                </w:r>
              </w:hyperlink>
            </w:p>
            <w:p w14:paraId="78B6892A" w14:textId="77777777" w:rsidR="0043170A" w:rsidRDefault="00013E76">
              <w:pPr>
                <w:pStyle w:val="TableofFigures"/>
                <w:rPr>
                  <w:rFonts w:asciiTheme="minorHAnsi" w:eastAsiaTheme="minorEastAsia" w:hAnsiTheme="minorHAnsi" w:cstheme="minorBidi"/>
                  <w:noProof/>
                  <w:color w:val="auto"/>
                  <w:sz w:val="22"/>
                </w:rPr>
              </w:pPr>
              <w:hyperlink w:anchor="_Toc517707441" w:history="1">
                <w:r w:rsidR="0043170A" w:rsidRPr="001656E3">
                  <w:rPr>
                    <w:rStyle w:val="Hyperlink"/>
                    <w:noProof/>
                  </w:rPr>
                  <w:t>Table 32: Characteristics of studies from US national level adults</w:t>
                </w:r>
                <w:r w:rsidR="0043170A">
                  <w:rPr>
                    <w:noProof/>
                    <w:webHidden/>
                  </w:rPr>
                  <w:tab/>
                </w:r>
                <w:r w:rsidR="0043170A">
                  <w:rPr>
                    <w:noProof/>
                    <w:webHidden/>
                  </w:rPr>
                  <w:fldChar w:fldCharType="begin"/>
                </w:r>
                <w:r w:rsidR="0043170A">
                  <w:rPr>
                    <w:noProof/>
                    <w:webHidden/>
                  </w:rPr>
                  <w:instrText xml:space="preserve"> PAGEREF _Toc517707441 \h </w:instrText>
                </w:r>
                <w:r w:rsidR="0043170A">
                  <w:rPr>
                    <w:noProof/>
                    <w:webHidden/>
                  </w:rPr>
                </w:r>
                <w:r w:rsidR="0043170A">
                  <w:rPr>
                    <w:noProof/>
                    <w:webHidden/>
                  </w:rPr>
                  <w:fldChar w:fldCharType="separate"/>
                </w:r>
                <w:r w:rsidR="0043170A">
                  <w:rPr>
                    <w:noProof/>
                    <w:webHidden/>
                  </w:rPr>
                  <w:t>283</w:t>
                </w:r>
                <w:r w:rsidR="0043170A">
                  <w:rPr>
                    <w:noProof/>
                    <w:webHidden/>
                  </w:rPr>
                  <w:fldChar w:fldCharType="end"/>
                </w:r>
              </w:hyperlink>
            </w:p>
            <w:p w14:paraId="0DB90DB1" w14:textId="77777777" w:rsidR="0043170A" w:rsidRDefault="00013E76">
              <w:pPr>
                <w:pStyle w:val="TableofFigures"/>
                <w:rPr>
                  <w:rFonts w:asciiTheme="minorHAnsi" w:eastAsiaTheme="minorEastAsia" w:hAnsiTheme="minorHAnsi" w:cstheme="minorBidi"/>
                  <w:noProof/>
                  <w:color w:val="auto"/>
                  <w:sz w:val="22"/>
                </w:rPr>
              </w:pPr>
              <w:hyperlink w:anchor="_Toc517707442" w:history="1">
                <w:r w:rsidR="0043170A" w:rsidRPr="001656E3">
                  <w:rPr>
                    <w:rStyle w:val="Hyperlink"/>
                    <w:noProof/>
                  </w:rPr>
                  <w:t>Table 33: Results of studies from US national level adults</w:t>
                </w:r>
                <w:r w:rsidR="0043170A">
                  <w:rPr>
                    <w:noProof/>
                    <w:webHidden/>
                  </w:rPr>
                  <w:tab/>
                </w:r>
                <w:r w:rsidR="0043170A">
                  <w:rPr>
                    <w:noProof/>
                    <w:webHidden/>
                  </w:rPr>
                  <w:fldChar w:fldCharType="begin"/>
                </w:r>
                <w:r w:rsidR="0043170A">
                  <w:rPr>
                    <w:noProof/>
                    <w:webHidden/>
                  </w:rPr>
                  <w:instrText xml:space="preserve"> PAGEREF _Toc517707442 \h </w:instrText>
                </w:r>
                <w:r w:rsidR="0043170A">
                  <w:rPr>
                    <w:noProof/>
                    <w:webHidden/>
                  </w:rPr>
                </w:r>
                <w:r w:rsidR="0043170A">
                  <w:rPr>
                    <w:noProof/>
                    <w:webHidden/>
                  </w:rPr>
                  <w:fldChar w:fldCharType="separate"/>
                </w:r>
                <w:r w:rsidR="0043170A">
                  <w:rPr>
                    <w:noProof/>
                    <w:webHidden/>
                  </w:rPr>
                  <w:t>287</w:t>
                </w:r>
                <w:r w:rsidR="0043170A">
                  <w:rPr>
                    <w:noProof/>
                    <w:webHidden/>
                  </w:rPr>
                  <w:fldChar w:fldCharType="end"/>
                </w:r>
              </w:hyperlink>
            </w:p>
            <w:p w14:paraId="0F4EF57A" w14:textId="77777777" w:rsidR="0043170A" w:rsidRDefault="00013E76">
              <w:pPr>
                <w:pStyle w:val="TableofFigures"/>
                <w:rPr>
                  <w:rFonts w:asciiTheme="minorHAnsi" w:eastAsiaTheme="minorEastAsia" w:hAnsiTheme="minorHAnsi" w:cstheme="minorBidi"/>
                  <w:noProof/>
                  <w:color w:val="auto"/>
                  <w:sz w:val="22"/>
                </w:rPr>
              </w:pPr>
              <w:hyperlink w:anchor="_Toc517707443" w:history="1">
                <w:r w:rsidR="0043170A" w:rsidRPr="001656E3">
                  <w:rPr>
                    <w:rStyle w:val="Hyperlink"/>
                    <w:noProof/>
                  </w:rPr>
                  <w:t>Table 34: Characteristics of studies that were US non-national level youth</w:t>
                </w:r>
                <w:r w:rsidR="0043170A">
                  <w:rPr>
                    <w:noProof/>
                    <w:webHidden/>
                  </w:rPr>
                  <w:tab/>
                </w:r>
                <w:r w:rsidR="0043170A">
                  <w:rPr>
                    <w:noProof/>
                    <w:webHidden/>
                  </w:rPr>
                  <w:fldChar w:fldCharType="begin"/>
                </w:r>
                <w:r w:rsidR="0043170A">
                  <w:rPr>
                    <w:noProof/>
                    <w:webHidden/>
                  </w:rPr>
                  <w:instrText xml:space="preserve"> PAGEREF _Toc517707443 \h </w:instrText>
                </w:r>
                <w:r w:rsidR="0043170A">
                  <w:rPr>
                    <w:noProof/>
                    <w:webHidden/>
                  </w:rPr>
                </w:r>
                <w:r w:rsidR="0043170A">
                  <w:rPr>
                    <w:noProof/>
                    <w:webHidden/>
                  </w:rPr>
                  <w:fldChar w:fldCharType="separate"/>
                </w:r>
                <w:r w:rsidR="0043170A">
                  <w:rPr>
                    <w:noProof/>
                    <w:webHidden/>
                  </w:rPr>
                  <w:t>290</w:t>
                </w:r>
                <w:r w:rsidR="0043170A">
                  <w:rPr>
                    <w:noProof/>
                    <w:webHidden/>
                  </w:rPr>
                  <w:fldChar w:fldCharType="end"/>
                </w:r>
              </w:hyperlink>
            </w:p>
            <w:p w14:paraId="632C094F" w14:textId="77777777" w:rsidR="0043170A" w:rsidRDefault="00013E76">
              <w:pPr>
                <w:pStyle w:val="TableofFigures"/>
                <w:rPr>
                  <w:rFonts w:asciiTheme="minorHAnsi" w:eastAsiaTheme="minorEastAsia" w:hAnsiTheme="minorHAnsi" w:cstheme="minorBidi"/>
                  <w:noProof/>
                  <w:color w:val="auto"/>
                  <w:sz w:val="22"/>
                </w:rPr>
              </w:pPr>
              <w:hyperlink w:anchor="_Toc517707444" w:history="1">
                <w:r w:rsidR="0043170A" w:rsidRPr="001656E3">
                  <w:rPr>
                    <w:rStyle w:val="Hyperlink"/>
                    <w:noProof/>
                  </w:rPr>
                  <w:t>Table 35: Results of studies that were US non</w:t>
                </w:r>
                <w:r w:rsidR="0043170A" w:rsidRPr="001656E3">
                  <w:rPr>
                    <w:rStyle w:val="Hyperlink"/>
                    <w:noProof/>
                  </w:rPr>
                  <w:noBreakHyphen/>
                  <w:t>national level youth</w:t>
                </w:r>
                <w:r w:rsidR="0043170A">
                  <w:rPr>
                    <w:noProof/>
                    <w:webHidden/>
                  </w:rPr>
                  <w:tab/>
                </w:r>
                <w:r w:rsidR="0043170A">
                  <w:rPr>
                    <w:noProof/>
                    <w:webHidden/>
                  </w:rPr>
                  <w:fldChar w:fldCharType="begin"/>
                </w:r>
                <w:r w:rsidR="0043170A">
                  <w:rPr>
                    <w:noProof/>
                    <w:webHidden/>
                  </w:rPr>
                  <w:instrText xml:space="preserve"> PAGEREF _Toc517707444 \h </w:instrText>
                </w:r>
                <w:r w:rsidR="0043170A">
                  <w:rPr>
                    <w:noProof/>
                    <w:webHidden/>
                  </w:rPr>
                </w:r>
                <w:r w:rsidR="0043170A">
                  <w:rPr>
                    <w:noProof/>
                    <w:webHidden/>
                  </w:rPr>
                  <w:fldChar w:fldCharType="separate"/>
                </w:r>
                <w:r w:rsidR="0043170A">
                  <w:rPr>
                    <w:noProof/>
                    <w:webHidden/>
                  </w:rPr>
                  <w:t>294</w:t>
                </w:r>
                <w:r w:rsidR="0043170A">
                  <w:rPr>
                    <w:noProof/>
                    <w:webHidden/>
                  </w:rPr>
                  <w:fldChar w:fldCharType="end"/>
                </w:r>
              </w:hyperlink>
            </w:p>
            <w:p w14:paraId="2B6DFA2F" w14:textId="77777777" w:rsidR="0043170A" w:rsidRDefault="00013E76">
              <w:pPr>
                <w:pStyle w:val="TableofFigures"/>
                <w:rPr>
                  <w:rFonts w:asciiTheme="minorHAnsi" w:eastAsiaTheme="minorEastAsia" w:hAnsiTheme="minorHAnsi" w:cstheme="minorBidi"/>
                  <w:noProof/>
                  <w:color w:val="auto"/>
                  <w:sz w:val="22"/>
                </w:rPr>
              </w:pPr>
              <w:hyperlink w:anchor="_Toc517707445" w:history="1">
                <w:r w:rsidR="0043170A" w:rsidRPr="001656E3">
                  <w:rPr>
                    <w:rStyle w:val="Hyperlink"/>
                    <w:noProof/>
                  </w:rPr>
                  <w:t>Table 36: Characteristics of studies that were US non</w:t>
                </w:r>
                <w:r w:rsidR="0043170A" w:rsidRPr="001656E3">
                  <w:rPr>
                    <w:rStyle w:val="Hyperlink"/>
                    <w:noProof/>
                  </w:rPr>
                  <w:noBreakHyphen/>
                  <w:t>national adults</w:t>
                </w:r>
                <w:r w:rsidR="0043170A">
                  <w:rPr>
                    <w:noProof/>
                    <w:webHidden/>
                  </w:rPr>
                  <w:tab/>
                </w:r>
                <w:r w:rsidR="0043170A">
                  <w:rPr>
                    <w:noProof/>
                    <w:webHidden/>
                  </w:rPr>
                  <w:fldChar w:fldCharType="begin"/>
                </w:r>
                <w:r w:rsidR="0043170A">
                  <w:rPr>
                    <w:noProof/>
                    <w:webHidden/>
                  </w:rPr>
                  <w:instrText xml:space="preserve"> PAGEREF _Toc517707445 \h </w:instrText>
                </w:r>
                <w:r w:rsidR="0043170A">
                  <w:rPr>
                    <w:noProof/>
                    <w:webHidden/>
                  </w:rPr>
                </w:r>
                <w:r w:rsidR="0043170A">
                  <w:rPr>
                    <w:noProof/>
                    <w:webHidden/>
                  </w:rPr>
                  <w:fldChar w:fldCharType="separate"/>
                </w:r>
                <w:r w:rsidR="0043170A">
                  <w:rPr>
                    <w:noProof/>
                    <w:webHidden/>
                  </w:rPr>
                  <w:t>298</w:t>
                </w:r>
                <w:r w:rsidR="0043170A">
                  <w:rPr>
                    <w:noProof/>
                    <w:webHidden/>
                  </w:rPr>
                  <w:fldChar w:fldCharType="end"/>
                </w:r>
              </w:hyperlink>
            </w:p>
            <w:p w14:paraId="3523B8CA" w14:textId="77777777" w:rsidR="0043170A" w:rsidRDefault="00013E76">
              <w:pPr>
                <w:pStyle w:val="TableofFigures"/>
                <w:rPr>
                  <w:rFonts w:asciiTheme="minorHAnsi" w:eastAsiaTheme="minorEastAsia" w:hAnsiTheme="minorHAnsi" w:cstheme="minorBidi"/>
                  <w:noProof/>
                  <w:color w:val="auto"/>
                  <w:sz w:val="22"/>
                </w:rPr>
              </w:pPr>
              <w:hyperlink w:anchor="_Toc517707446" w:history="1">
                <w:r w:rsidR="0043170A" w:rsidRPr="001656E3">
                  <w:rPr>
                    <w:rStyle w:val="Hyperlink"/>
                    <w:noProof/>
                  </w:rPr>
                  <w:t>Table 37: Results of studies that were US non</w:t>
                </w:r>
                <w:r w:rsidR="0043170A" w:rsidRPr="001656E3">
                  <w:rPr>
                    <w:rStyle w:val="Hyperlink"/>
                    <w:noProof/>
                  </w:rPr>
                  <w:noBreakHyphen/>
                  <w:t>national adults</w:t>
                </w:r>
                <w:r w:rsidR="0043170A">
                  <w:rPr>
                    <w:noProof/>
                    <w:webHidden/>
                  </w:rPr>
                  <w:tab/>
                </w:r>
                <w:r w:rsidR="0043170A">
                  <w:rPr>
                    <w:noProof/>
                    <w:webHidden/>
                  </w:rPr>
                  <w:fldChar w:fldCharType="begin"/>
                </w:r>
                <w:r w:rsidR="0043170A">
                  <w:rPr>
                    <w:noProof/>
                    <w:webHidden/>
                  </w:rPr>
                  <w:instrText xml:space="preserve"> PAGEREF _Toc517707446 \h </w:instrText>
                </w:r>
                <w:r w:rsidR="0043170A">
                  <w:rPr>
                    <w:noProof/>
                    <w:webHidden/>
                  </w:rPr>
                </w:r>
                <w:r w:rsidR="0043170A">
                  <w:rPr>
                    <w:noProof/>
                    <w:webHidden/>
                  </w:rPr>
                  <w:fldChar w:fldCharType="separate"/>
                </w:r>
                <w:r w:rsidR="0043170A">
                  <w:rPr>
                    <w:noProof/>
                    <w:webHidden/>
                  </w:rPr>
                  <w:t>301</w:t>
                </w:r>
                <w:r w:rsidR="0043170A">
                  <w:rPr>
                    <w:noProof/>
                    <w:webHidden/>
                  </w:rPr>
                  <w:fldChar w:fldCharType="end"/>
                </w:r>
              </w:hyperlink>
            </w:p>
            <w:p w14:paraId="3674DD73" w14:textId="77777777" w:rsidR="0043170A" w:rsidRDefault="00013E76">
              <w:pPr>
                <w:pStyle w:val="TableofFigures"/>
                <w:rPr>
                  <w:rFonts w:asciiTheme="minorHAnsi" w:eastAsiaTheme="minorEastAsia" w:hAnsiTheme="minorHAnsi" w:cstheme="minorBidi"/>
                  <w:noProof/>
                  <w:color w:val="auto"/>
                  <w:sz w:val="22"/>
                </w:rPr>
              </w:pPr>
              <w:hyperlink w:anchor="_Toc517707447" w:history="1">
                <w:r w:rsidR="0043170A" w:rsidRPr="001656E3">
                  <w:rPr>
                    <w:rStyle w:val="Hyperlink"/>
                    <w:noProof/>
                  </w:rPr>
                  <w:t>Table 38: Characteristics of studies that were US investigator developed</w:t>
                </w:r>
                <w:r w:rsidR="0043170A">
                  <w:rPr>
                    <w:noProof/>
                    <w:webHidden/>
                  </w:rPr>
                  <w:tab/>
                </w:r>
                <w:r w:rsidR="0043170A">
                  <w:rPr>
                    <w:noProof/>
                    <w:webHidden/>
                  </w:rPr>
                  <w:fldChar w:fldCharType="begin"/>
                </w:r>
                <w:r w:rsidR="0043170A">
                  <w:rPr>
                    <w:noProof/>
                    <w:webHidden/>
                  </w:rPr>
                  <w:instrText xml:space="preserve"> PAGEREF _Toc517707447 \h </w:instrText>
                </w:r>
                <w:r w:rsidR="0043170A">
                  <w:rPr>
                    <w:noProof/>
                    <w:webHidden/>
                  </w:rPr>
                </w:r>
                <w:r w:rsidR="0043170A">
                  <w:rPr>
                    <w:noProof/>
                    <w:webHidden/>
                  </w:rPr>
                  <w:fldChar w:fldCharType="separate"/>
                </w:r>
                <w:r w:rsidR="0043170A">
                  <w:rPr>
                    <w:noProof/>
                    <w:webHidden/>
                  </w:rPr>
                  <w:t>303</w:t>
                </w:r>
                <w:r w:rsidR="0043170A">
                  <w:rPr>
                    <w:noProof/>
                    <w:webHidden/>
                  </w:rPr>
                  <w:fldChar w:fldCharType="end"/>
                </w:r>
              </w:hyperlink>
            </w:p>
            <w:p w14:paraId="3C6043DE" w14:textId="77777777" w:rsidR="0043170A" w:rsidRDefault="00013E76">
              <w:pPr>
                <w:pStyle w:val="TableofFigures"/>
                <w:rPr>
                  <w:rFonts w:asciiTheme="minorHAnsi" w:eastAsiaTheme="minorEastAsia" w:hAnsiTheme="minorHAnsi" w:cstheme="minorBidi"/>
                  <w:noProof/>
                  <w:color w:val="auto"/>
                  <w:sz w:val="22"/>
                </w:rPr>
              </w:pPr>
              <w:hyperlink w:anchor="_Toc517707448" w:history="1">
                <w:r w:rsidR="0043170A" w:rsidRPr="001656E3">
                  <w:rPr>
                    <w:rStyle w:val="Hyperlink"/>
                    <w:noProof/>
                  </w:rPr>
                  <w:t>Table 39: Results of studies that were US investigator developed</w:t>
                </w:r>
                <w:r w:rsidR="0043170A">
                  <w:rPr>
                    <w:noProof/>
                    <w:webHidden/>
                  </w:rPr>
                  <w:tab/>
                </w:r>
                <w:r w:rsidR="0043170A">
                  <w:rPr>
                    <w:noProof/>
                    <w:webHidden/>
                  </w:rPr>
                  <w:fldChar w:fldCharType="begin"/>
                </w:r>
                <w:r w:rsidR="0043170A">
                  <w:rPr>
                    <w:noProof/>
                    <w:webHidden/>
                  </w:rPr>
                  <w:instrText xml:space="preserve"> PAGEREF _Toc517707448 \h </w:instrText>
                </w:r>
                <w:r w:rsidR="0043170A">
                  <w:rPr>
                    <w:noProof/>
                    <w:webHidden/>
                  </w:rPr>
                </w:r>
                <w:r w:rsidR="0043170A">
                  <w:rPr>
                    <w:noProof/>
                    <w:webHidden/>
                  </w:rPr>
                  <w:fldChar w:fldCharType="separate"/>
                </w:r>
                <w:r w:rsidR="0043170A">
                  <w:rPr>
                    <w:noProof/>
                    <w:webHidden/>
                  </w:rPr>
                  <w:t>310</w:t>
                </w:r>
                <w:r w:rsidR="0043170A">
                  <w:rPr>
                    <w:noProof/>
                    <w:webHidden/>
                  </w:rPr>
                  <w:fldChar w:fldCharType="end"/>
                </w:r>
              </w:hyperlink>
            </w:p>
            <w:p w14:paraId="5418733D" w14:textId="77777777" w:rsidR="0043170A" w:rsidRDefault="00013E76">
              <w:pPr>
                <w:pStyle w:val="TableofFigures"/>
                <w:rPr>
                  <w:rFonts w:asciiTheme="minorHAnsi" w:eastAsiaTheme="minorEastAsia" w:hAnsiTheme="minorHAnsi" w:cstheme="minorBidi"/>
                  <w:noProof/>
                  <w:color w:val="auto"/>
                  <w:sz w:val="22"/>
                </w:rPr>
              </w:pPr>
              <w:hyperlink w:anchor="_Toc517707449" w:history="1">
                <w:r w:rsidR="0043170A" w:rsidRPr="001656E3">
                  <w:rPr>
                    <w:rStyle w:val="Hyperlink"/>
                    <w:noProof/>
                  </w:rPr>
                  <w:t>Table 40: Characteristics of studies of US LGBTI</w:t>
                </w:r>
                <w:r w:rsidR="0043170A">
                  <w:rPr>
                    <w:noProof/>
                    <w:webHidden/>
                  </w:rPr>
                  <w:tab/>
                </w:r>
                <w:r w:rsidR="0043170A">
                  <w:rPr>
                    <w:noProof/>
                    <w:webHidden/>
                  </w:rPr>
                  <w:fldChar w:fldCharType="begin"/>
                </w:r>
                <w:r w:rsidR="0043170A">
                  <w:rPr>
                    <w:noProof/>
                    <w:webHidden/>
                  </w:rPr>
                  <w:instrText xml:space="preserve"> PAGEREF _Toc517707449 \h </w:instrText>
                </w:r>
                <w:r w:rsidR="0043170A">
                  <w:rPr>
                    <w:noProof/>
                    <w:webHidden/>
                  </w:rPr>
                </w:r>
                <w:r w:rsidR="0043170A">
                  <w:rPr>
                    <w:noProof/>
                    <w:webHidden/>
                  </w:rPr>
                  <w:fldChar w:fldCharType="separate"/>
                </w:r>
                <w:r w:rsidR="0043170A">
                  <w:rPr>
                    <w:noProof/>
                    <w:webHidden/>
                  </w:rPr>
                  <w:t>316</w:t>
                </w:r>
                <w:r w:rsidR="0043170A">
                  <w:rPr>
                    <w:noProof/>
                    <w:webHidden/>
                  </w:rPr>
                  <w:fldChar w:fldCharType="end"/>
                </w:r>
              </w:hyperlink>
            </w:p>
            <w:p w14:paraId="4909D1F6" w14:textId="77777777" w:rsidR="0043170A" w:rsidRDefault="00013E76">
              <w:pPr>
                <w:pStyle w:val="TableofFigures"/>
                <w:rPr>
                  <w:rFonts w:asciiTheme="minorHAnsi" w:eastAsiaTheme="minorEastAsia" w:hAnsiTheme="minorHAnsi" w:cstheme="minorBidi"/>
                  <w:noProof/>
                  <w:color w:val="auto"/>
                  <w:sz w:val="22"/>
                </w:rPr>
              </w:pPr>
              <w:hyperlink w:anchor="_Toc517707450" w:history="1">
                <w:r w:rsidR="0043170A" w:rsidRPr="001656E3">
                  <w:rPr>
                    <w:rStyle w:val="Hyperlink"/>
                    <w:noProof/>
                  </w:rPr>
                  <w:t>Table 41: Results of studies of US LGBTI</w:t>
                </w:r>
                <w:r w:rsidR="0043170A">
                  <w:rPr>
                    <w:noProof/>
                    <w:webHidden/>
                  </w:rPr>
                  <w:tab/>
                </w:r>
                <w:r w:rsidR="0043170A">
                  <w:rPr>
                    <w:noProof/>
                    <w:webHidden/>
                  </w:rPr>
                  <w:fldChar w:fldCharType="begin"/>
                </w:r>
                <w:r w:rsidR="0043170A">
                  <w:rPr>
                    <w:noProof/>
                    <w:webHidden/>
                  </w:rPr>
                  <w:instrText xml:space="preserve"> PAGEREF _Toc517707450 \h </w:instrText>
                </w:r>
                <w:r w:rsidR="0043170A">
                  <w:rPr>
                    <w:noProof/>
                    <w:webHidden/>
                  </w:rPr>
                </w:r>
                <w:r w:rsidR="0043170A">
                  <w:rPr>
                    <w:noProof/>
                    <w:webHidden/>
                  </w:rPr>
                  <w:fldChar w:fldCharType="separate"/>
                </w:r>
                <w:r w:rsidR="0043170A">
                  <w:rPr>
                    <w:noProof/>
                    <w:webHidden/>
                  </w:rPr>
                  <w:t>319</w:t>
                </w:r>
                <w:r w:rsidR="0043170A">
                  <w:rPr>
                    <w:noProof/>
                    <w:webHidden/>
                  </w:rPr>
                  <w:fldChar w:fldCharType="end"/>
                </w:r>
              </w:hyperlink>
            </w:p>
            <w:p w14:paraId="18C8AC4D" w14:textId="77777777" w:rsidR="0043170A" w:rsidRDefault="00013E76">
              <w:pPr>
                <w:pStyle w:val="TableofFigures"/>
                <w:rPr>
                  <w:rFonts w:asciiTheme="minorHAnsi" w:eastAsiaTheme="minorEastAsia" w:hAnsiTheme="minorHAnsi" w:cstheme="minorBidi"/>
                  <w:noProof/>
                  <w:color w:val="auto"/>
                  <w:sz w:val="22"/>
                </w:rPr>
              </w:pPr>
              <w:hyperlink w:anchor="_Toc517707451" w:history="1">
                <w:r w:rsidR="0043170A" w:rsidRPr="001656E3">
                  <w:rPr>
                    <w:rStyle w:val="Hyperlink"/>
                    <w:noProof/>
                  </w:rPr>
                  <w:t>Table 42: Characteristics of studies from the UK</w:t>
                </w:r>
                <w:r w:rsidR="0043170A">
                  <w:rPr>
                    <w:noProof/>
                    <w:webHidden/>
                  </w:rPr>
                  <w:tab/>
                </w:r>
                <w:r w:rsidR="0043170A">
                  <w:rPr>
                    <w:noProof/>
                    <w:webHidden/>
                  </w:rPr>
                  <w:fldChar w:fldCharType="begin"/>
                </w:r>
                <w:r w:rsidR="0043170A">
                  <w:rPr>
                    <w:noProof/>
                    <w:webHidden/>
                  </w:rPr>
                  <w:instrText xml:space="preserve"> PAGEREF _Toc517707451 \h </w:instrText>
                </w:r>
                <w:r w:rsidR="0043170A">
                  <w:rPr>
                    <w:noProof/>
                    <w:webHidden/>
                  </w:rPr>
                </w:r>
                <w:r w:rsidR="0043170A">
                  <w:rPr>
                    <w:noProof/>
                    <w:webHidden/>
                  </w:rPr>
                  <w:fldChar w:fldCharType="separate"/>
                </w:r>
                <w:r w:rsidR="0043170A">
                  <w:rPr>
                    <w:noProof/>
                    <w:webHidden/>
                  </w:rPr>
                  <w:t>322</w:t>
                </w:r>
                <w:r w:rsidR="0043170A">
                  <w:rPr>
                    <w:noProof/>
                    <w:webHidden/>
                  </w:rPr>
                  <w:fldChar w:fldCharType="end"/>
                </w:r>
              </w:hyperlink>
            </w:p>
            <w:p w14:paraId="6586C8F5" w14:textId="77777777" w:rsidR="0043170A" w:rsidRDefault="00013E76">
              <w:pPr>
                <w:pStyle w:val="TableofFigures"/>
                <w:rPr>
                  <w:rFonts w:asciiTheme="minorHAnsi" w:eastAsiaTheme="minorEastAsia" w:hAnsiTheme="minorHAnsi" w:cstheme="minorBidi"/>
                  <w:noProof/>
                  <w:color w:val="auto"/>
                  <w:sz w:val="22"/>
                </w:rPr>
              </w:pPr>
              <w:hyperlink w:anchor="_Toc517707452" w:history="1">
                <w:r w:rsidR="0043170A" w:rsidRPr="001656E3">
                  <w:rPr>
                    <w:rStyle w:val="Hyperlink"/>
                    <w:noProof/>
                  </w:rPr>
                  <w:t>Table 43: Results of studies from the UK</w:t>
                </w:r>
                <w:r w:rsidR="0043170A">
                  <w:rPr>
                    <w:noProof/>
                    <w:webHidden/>
                  </w:rPr>
                  <w:tab/>
                </w:r>
                <w:r w:rsidR="0043170A">
                  <w:rPr>
                    <w:noProof/>
                    <w:webHidden/>
                  </w:rPr>
                  <w:fldChar w:fldCharType="begin"/>
                </w:r>
                <w:r w:rsidR="0043170A">
                  <w:rPr>
                    <w:noProof/>
                    <w:webHidden/>
                  </w:rPr>
                  <w:instrText xml:space="preserve"> PAGEREF _Toc517707452 \h </w:instrText>
                </w:r>
                <w:r w:rsidR="0043170A">
                  <w:rPr>
                    <w:noProof/>
                    <w:webHidden/>
                  </w:rPr>
                </w:r>
                <w:r w:rsidR="0043170A">
                  <w:rPr>
                    <w:noProof/>
                    <w:webHidden/>
                  </w:rPr>
                  <w:fldChar w:fldCharType="separate"/>
                </w:r>
                <w:r w:rsidR="0043170A">
                  <w:rPr>
                    <w:noProof/>
                    <w:webHidden/>
                  </w:rPr>
                  <w:t>325</w:t>
                </w:r>
                <w:r w:rsidR="0043170A">
                  <w:rPr>
                    <w:noProof/>
                    <w:webHidden/>
                  </w:rPr>
                  <w:fldChar w:fldCharType="end"/>
                </w:r>
              </w:hyperlink>
            </w:p>
            <w:p w14:paraId="7ED847AD" w14:textId="77777777" w:rsidR="0043170A" w:rsidRDefault="00013E76">
              <w:pPr>
                <w:pStyle w:val="TableofFigures"/>
                <w:rPr>
                  <w:rFonts w:asciiTheme="minorHAnsi" w:eastAsiaTheme="minorEastAsia" w:hAnsiTheme="minorHAnsi" w:cstheme="minorBidi"/>
                  <w:noProof/>
                  <w:color w:val="auto"/>
                  <w:sz w:val="22"/>
                </w:rPr>
              </w:pPr>
              <w:hyperlink w:anchor="_Toc517707453" w:history="1">
                <w:r w:rsidR="0043170A" w:rsidRPr="001656E3">
                  <w:rPr>
                    <w:rStyle w:val="Hyperlink"/>
                    <w:noProof/>
                  </w:rPr>
                  <w:t>Table 44: Characteristics of studies from Australia</w:t>
                </w:r>
                <w:r w:rsidR="0043170A">
                  <w:rPr>
                    <w:noProof/>
                    <w:webHidden/>
                  </w:rPr>
                  <w:tab/>
                </w:r>
                <w:r w:rsidR="0043170A">
                  <w:rPr>
                    <w:noProof/>
                    <w:webHidden/>
                  </w:rPr>
                  <w:fldChar w:fldCharType="begin"/>
                </w:r>
                <w:r w:rsidR="0043170A">
                  <w:rPr>
                    <w:noProof/>
                    <w:webHidden/>
                  </w:rPr>
                  <w:instrText xml:space="preserve"> PAGEREF _Toc517707453 \h </w:instrText>
                </w:r>
                <w:r w:rsidR="0043170A">
                  <w:rPr>
                    <w:noProof/>
                    <w:webHidden/>
                  </w:rPr>
                </w:r>
                <w:r w:rsidR="0043170A">
                  <w:rPr>
                    <w:noProof/>
                    <w:webHidden/>
                  </w:rPr>
                  <w:fldChar w:fldCharType="separate"/>
                </w:r>
                <w:r w:rsidR="0043170A">
                  <w:rPr>
                    <w:noProof/>
                    <w:webHidden/>
                  </w:rPr>
                  <w:t>327</w:t>
                </w:r>
                <w:r w:rsidR="0043170A">
                  <w:rPr>
                    <w:noProof/>
                    <w:webHidden/>
                  </w:rPr>
                  <w:fldChar w:fldCharType="end"/>
                </w:r>
              </w:hyperlink>
            </w:p>
            <w:p w14:paraId="4A42AE89" w14:textId="77777777" w:rsidR="0043170A" w:rsidRDefault="00013E76">
              <w:pPr>
                <w:pStyle w:val="TableofFigures"/>
                <w:rPr>
                  <w:rFonts w:asciiTheme="minorHAnsi" w:eastAsiaTheme="minorEastAsia" w:hAnsiTheme="minorHAnsi" w:cstheme="minorBidi"/>
                  <w:noProof/>
                  <w:color w:val="auto"/>
                  <w:sz w:val="22"/>
                </w:rPr>
              </w:pPr>
              <w:hyperlink w:anchor="_Toc517707454" w:history="1">
                <w:r w:rsidR="0043170A" w:rsidRPr="001656E3">
                  <w:rPr>
                    <w:rStyle w:val="Hyperlink"/>
                    <w:noProof/>
                  </w:rPr>
                  <w:t>Table 45: Results of studies from Australia</w:t>
                </w:r>
                <w:r w:rsidR="0043170A">
                  <w:rPr>
                    <w:noProof/>
                    <w:webHidden/>
                  </w:rPr>
                  <w:tab/>
                </w:r>
                <w:r w:rsidR="0043170A">
                  <w:rPr>
                    <w:noProof/>
                    <w:webHidden/>
                  </w:rPr>
                  <w:fldChar w:fldCharType="begin"/>
                </w:r>
                <w:r w:rsidR="0043170A">
                  <w:rPr>
                    <w:noProof/>
                    <w:webHidden/>
                  </w:rPr>
                  <w:instrText xml:space="preserve"> PAGEREF _Toc517707454 \h </w:instrText>
                </w:r>
                <w:r w:rsidR="0043170A">
                  <w:rPr>
                    <w:noProof/>
                    <w:webHidden/>
                  </w:rPr>
                </w:r>
                <w:r w:rsidR="0043170A">
                  <w:rPr>
                    <w:noProof/>
                    <w:webHidden/>
                  </w:rPr>
                  <w:fldChar w:fldCharType="separate"/>
                </w:r>
                <w:r w:rsidR="0043170A">
                  <w:rPr>
                    <w:noProof/>
                    <w:webHidden/>
                  </w:rPr>
                  <w:t>329</w:t>
                </w:r>
                <w:r w:rsidR="0043170A">
                  <w:rPr>
                    <w:noProof/>
                    <w:webHidden/>
                  </w:rPr>
                  <w:fldChar w:fldCharType="end"/>
                </w:r>
              </w:hyperlink>
            </w:p>
            <w:p w14:paraId="7B2E8CD1" w14:textId="77777777" w:rsidR="0043170A" w:rsidRDefault="00013E76">
              <w:pPr>
                <w:pStyle w:val="TableofFigures"/>
                <w:rPr>
                  <w:rFonts w:asciiTheme="minorHAnsi" w:eastAsiaTheme="minorEastAsia" w:hAnsiTheme="minorHAnsi" w:cstheme="minorBidi"/>
                  <w:noProof/>
                  <w:color w:val="auto"/>
                  <w:sz w:val="22"/>
                </w:rPr>
              </w:pPr>
              <w:hyperlink w:anchor="_Toc517707455" w:history="1">
                <w:r w:rsidR="0043170A" w:rsidRPr="001656E3">
                  <w:rPr>
                    <w:rStyle w:val="Hyperlink"/>
                    <w:noProof/>
                  </w:rPr>
                  <w:t>Table 46: Characteristics of studies from other countries</w:t>
                </w:r>
                <w:r w:rsidR="0043170A">
                  <w:rPr>
                    <w:noProof/>
                    <w:webHidden/>
                  </w:rPr>
                  <w:tab/>
                </w:r>
                <w:r w:rsidR="0043170A">
                  <w:rPr>
                    <w:noProof/>
                    <w:webHidden/>
                  </w:rPr>
                  <w:fldChar w:fldCharType="begin"/>
                </w:r>
                <w:r w:rsidR="0043170A">
                  <w:rPr>
                    <w:noProof/>
                    <w:webHidden/>
                  </w:rPr>
                  <w:instrText xml:space="preserve"> PAGEREF _Toc517707455 \h </w:instrText>
                </w:r>
                <w:r w:rsidR="0043170A">
                  <w:rPr>
                    <w:noProof/>
                    <w:webHidden/>
                  </w:rPr>
                </w:r>
                <w:r w:rsidR="0043170A">
                  <w:rPr>
                    <w:noProof/>
                    <w:webHidden/>
                  </w:rPr>
                  <w:fldChar w:fldCharType="separate"/>
                </w:r>
                <w:r w:rsidR="0043170A">
                  <w:rPr>
                    <w:noProof/>
                    <w:webHidden/>
                  </w:rPr>
                  <w:t>331</w:t>
                </w:r>
                <w:r w:rsidR="0043170A">
                  <w:rPr>
                    <w:noProof/>
                    <w:webHidden/>
                  </w:rPr>
                  <w:fldChar w:fldCharType="end"/>
                </w:r>
              </w:hyperlink>
            </w:p>
            <w:p w14:paraId="43DD1FF7" w14:textId="77777777" w:rsidR="0043170A" w:rsidRDefault="00013E76">
              <w:pPr>
                <w:pStyle w:val="TableofFigures"/>
                <w:rPr>
                  <w:rFonts w:asciiTheme="minorHAnsi" w:eastAsiaTheme="minorEastAsia" w:hAnsiTheme="minorHAnsi" w:cstheme="minorBidi"/>
                  <w:noProof/>
                  <w:color w:val="auto"/>
                  <w:sz w:val="22"/>
                </w:rPr>
              </w:pPr>
              <w:hyperlink w:anchor="_Toc517707456" w:history="1">
                <w:r w:rsidR="0043170A" w:rsidRPr="001656E3">
                  <w:rPr>
                    <w:rStyle w:val="Hyperlink"/>
                    <w:noProof/>
                  </w:rPr>
                  <w:t>Table 47: Results from studies of other countries</w:t>
                </w:r>
                <w:r w:rsidR="0043170A">
                  <w:rPr>
                    <w:noProof/>
                    <w:webHidden/>
                  </w:rPr>
                  <w:tab/>
                </w:r>
                <w:r w:rsidR="0043170A">
                  <w:rPr>
                    <w:noProof/>
                    <w:webHidden/>
                  </w:rPr>
                  <w:fldChar w:fldCharType="begin"/>
                </w:r>
                <w:r w:rsidR="0043170A">
                  <w:rPr>
                    <w:noProof/>
                    <w:webHidden/>
                  </w:rPr>
                  <w:instrText xml:space="preserve"> PAGEREF _Toc517707456 \h </w:instrText>
                </w:r>
                <w:r w:rsidR="0043170A">
                  <w:rPr>
                    <w:noProof/>
                    <w:webHidden/>
                  </w:rPr>
                </w:r>
                <w:r w:rsidR="0043170A">
                  <w:rPr>
                    <w:noProof/>
                    <w:webHidden/>
                  </w:rPr>
                  <w:fldChar w:fldCharType="separate"/>
                </w:r>
                <w:r w:rsidR="0043170A">
                  <w:rPr>
                    <w:noProof/>
                    <w:webHidden/>
                  </w:rPr>
                  <w:t>340</w:t>
                </w:r>
                <w:r w:rsidR="0043170A">
                  <w:rPr>
                    <w:noProof/>
                    <w:webHidden/>
                  </w:rPr>
                  <w:fldChar w:fldCharType="end"/>
                </w:r>
              </w:hyperlink>
            </w:p>
            <w:p w14:paraId="1898530E" w14:textId="77777777" w:rsidR="00D77B4A" w:rsidRDefault="009D68BA" w:rsidP="006112ED">
              <w:pPr>
                <w:pStyle w:val="BodyText"/>
              </w:pPr>
              <w:r>
                <w:rPr>
                  <w:noProof/>
                  <w:lang w:val="en-US"/>
                </w:rPr>
                <w:fldChar w:fldCharType="end"/>
              </w:r>
            </w:p>
            <w:p w14:paraId="26B6F417" w14:textId="77777777" w:rsidR="00D77B4A" w:rsidRDefault="00D77B4A" w:rsidP="00D77B4A">
              <w:pPr>
                <w:pStyle w:val="TableofFigures"/>
              </w:pPr>
            </w:p>
            <w:p w14:paraId="53BECC14" w14:textId="77777777" w:rsidR="000F0E2F" w:rsidRDefault="000F0E2F" w:rsidP="00D77B4A">
              <w:pPr>
                <w:pStyle w:val="Heading1notnumbered"/>
              </w:pPr>
              <w:bookmarkStart w:id="3" w:name="_Toc517706619"/>
              <w:r w:rsidRPr="008D5E56">
                <w:lastRenderedPageBreak/>
                <w:t>A</w:t>
              </w:r>
              <w:r>
                <w:t>cknowledgment</w:t>
              </w:r>
              <w:r w:rsidRPr="008D5E56">
                <w:t>s</w:t>
              </w:r>
              <w:bookmarkEnd w:id="3"/>
            </w:p>
            <w:p w14:paraId="59A7FE2B" w14:textId="77777777" w:rsidR="000F0E2F" w:rsidRPr="008673C6" w:rsidRDefault="00A47EF7" w:rsidP="000F0E2F">
              <w:pPr>
                <w:pStyle w:val="BodyText"/>
              </w:pPr>
              <w:r>
                <w:t xml:space="preserve">The authors thank </w:t>
              </w:r>
              <w:r w:rsidR="000F0E2F">
                <w:t xml:space="preserve">Darren Jones, Information </w:t>
              </w:r>
              <w:r>
                <w:t>Officer from</w:t>
              </w:r>
              <w:r w:rsidR="000F0E2F">
                <w:t xml:space="preserve"> CSIRO </w:t>
              </w:r>
              <w:r>
                <w:t>Information Management and Technology for undertaking the initial search of scientific literature databases.</w:t>
              </w:r>
            </w:p>
            <w:p w14:paraId="1CCEAED6" w14:textId="77777777" w:rsidR="000F0E2F" w:rsidRPr="00076EA0" w:rsidRDefault="000F0E2F" w:rsidP="000F0E2F">
              <w:pPr>
                <w:pStyle w:val="Heading1notnumbered"/>
              </w:pPr>
              <w:bookmarkStart w:id="4" w:name="_Toc517706620"/>
              <w:r>
                <w:lastRenderedPageBreak/>
                <w:t>Qualifications of Authors</w:t>
              </w:r>
              <w:bookmarkEnd w:id="4"/>
            </w:p>
            <w:p w14:paraId="4015FAD8" w14:textId="77777777" w:rsidR="000F0E2F" w:rsidRDefault="000F0E2F" w:rsidP="000F0E2F">
              <w:pPr>
                <w:pStyle w:val="BodyText"/>
              </w:pPr>
              <w:r w:rsidRPr="009C3A05">
                <w:rPr>
                  <w:b/>
                  <w:bCs/>
                </w:rPr>
                <w:t xml:space="preserve">Kim Anastasiou, </w:t>
              </w:r>
              <w:r>
                <w:t>B</w:t>
              </w:r>
              <w:r w:rsidRPr="002C057E">
                <w:t>ND (Hons) (Flinders University, 2017) is a</w:t>
              </w:r>
              <w:r>
                <w:t>n</w:t>
              </w:r>
              <w:r w:rsidRPr="002C057E">
                <w:t xml:space="preserve"> </w:t>
              </w:r>
              <w:r>
                <w:t xml:space="preserve">honours graduate in nutrition and </w:t>
              </w:r>
              <w:r w:rsidRPr="002C057E">
                <w:t>diet</w:t>
              </w:r>
              <w:r>
                <w:t>etics</w:t>
              </w:r>
              <w:r w:rsidRPr="002C057E">
                <w:t xml:space="preserve"> with experience </w:t>
              </w:r>
              <w:r>
                <w:t>in</w:t>
              </w:r>
              <w:r w:rsidRPr="002C057E">
                <w:t xml:space="preserve"> </w:t>
              </w:r>
              <w:r>
                <w:t xml:space="preserve">scientific </w:t>
              </w:r>
              <w:r w:rsidRPr="002C057E">
                <w:t>literature review</w:t>
              </w:r>
              <w:r>
                <w:t>.</w:t>
              </w:r>
            </w:p>
            <w:p w14:paraId="264505AA" w14:textId="77777777" w:rsidR="000F0E2F" w:rsidRDefault="000F0E2F" w:rsidP="000F0E2F">
              <w:pPr>
                <w:pStyle w:val="BodyText"/>
              </w:pPr>
              <w:r>
                <w:rPr>
                  <w:b/>
                </w:rPr>
                <w:t>Dr Samantha Battams</w:t>
              </w:r>
              <w:r>
                <w:t>, BA (Hons), PhD (Public Health) is a public health researcher and evaluation consultant with social science training. She is currently Director, Research and Evaluation, at Health Outcomes International, and Associate Professor, Southgate Institute for Health, Society and Equity at Flinders University. Samantha has held a number of research, teaching and administration roles at Torrens University, Flinders University, The Graduate Institute of International and Development Studies, Geneva and the University of Geneva. Research topics include public health policy and analysis, mental health, alcohol and other drugs, non-communicable disease, global health and governance for health. Her experience includes primary health care administration, health service integration and community development.</w:t>
              </w:r>
            </w:p>
            <w:p w14:paraId="40F71264" w14:textId="77777777" w:rsidR="000F0E2F" w:rsidRDefault="000F0E2F" w:rsidP="000F0E2F">
              <w:pPr>
                <w:pStyle w:val="BodyText"/>
              </w:pPr>
              <w:r w:rsidRPr="0099050A">
                <w:rPr>
                  <w:b/>
                </w:rPr>
                <w:t>Dr Emily Brindal</w:t>
              </w:r>
              <w:r>
                <w:t>, BPsych</w:t>
              </w:r>
              <w:r w:rsidR="002E46BE">
                <w:t xml:space="preserve"> </w:t>
              </w:r>
              <w:r>
                <w:t>(</w:t>
              </w:r>
              <w:r w:rsidR="002E46BE">
                <w:t>H</w:t>
              </w:r>
              <w:r>
                <w:t>on</w:t>
              </w:r>
              <w:r w:rsidR="002E46BE">
                <w:t>s</w:t>
              </w:r>
              <w:r>
                <w:t xml:space="preserve">), PhD. Emily studied psychology and has worked in the area of dietary behaviour since beginning her PhD in 2005. Emily has used her knowledge of behavioural science to work on a variety of interdisciplinary projects investigating healthy lifestyles at CSIRO. </w:t>
              </w:r>
            </w:p>
            <w:p w14:paraId="618952AE" w14:textId="77777777" w:rsidR="000F0E2F" w:rsidRDefault="000F0E2F" w:rsidP="000F0E2F">
              <w:pPr>
                <w:pStyle w:val="BodyText"/>
              </w:pPr>
              <w:r>
                <w:rPr>
                  <w:b/>
                </w:rPr>
                <w:t>Stephanie Byrne</w:t>
              </w:r>
              <w:r>
                <w:t>, BMedSci</w:t>
              </w:r>
              <w:r w:rsidR="002E46BE">
                <w:t>,</w:t>
              </w:r>
              <w:r>
                <w:t xml:space="preserve"> MHumNutr is a Nutritionist and public health researcher. She is currently completing her PhD in Epidemiology. Her PhD project aims to examine the relationship between various dietary factors and lung function and bronchial hyperresponsiveness in middle aged and older adults. Stephanie has held various research, teaching and project management roles at Deakin University, the University of Melbourne and the Women’s and Children’s Hospital in Adelaide. Her research areas include nutrition knowledge, diet and disease, preventive healthcare and public health. </w:t>
              </w:r>
            </w:p>
            <w:p w14:paraId="6C35BA92" w14:textId="6EEF4636" w:rsidR="000F0E2F" w:rsidRDefault="000F0E2F" w:rsidP="000F0E2F">
              <w:pPr>
                <w:pStyle w:val="BodyText"/>
              </w:pPr>
              <w:r w:rsidRPr="006E7391">
                <w:rPr>
                  <w:b/>
                </w:rPr>
                <w:t>Dr Malcolm Riley</w:t>
              </w:r>
              <w:r w:rsidRPr="006E7391">
                <w:t>, BSc</w:t>
              </w:r>
              <w:r w:rsidR="001F62C8">
                <w:t xml:space="preserve"> </w:t>
              </w:r>
              <w:r w:rsidRPr="006E7391">
                <w:t xml:space="preserve">(Hons), DipNutrDiet, PhD is an epidemiologist with training as a dietitian. He is a group leader in CSIRO Health and Biosecurity after previous roles with Dairy Australia and many Australian universities and research institutes. He has extensive experience in public health, policy development and analysis, monitoring and surveillance (predominantly population dietary intake but also injury), and across many demographic groups including Indigenous and international groups. For the past decade, Malcolm has had a strong focus in areas relevant to food regulation, dietary intake analysis and literature review.  </w:t>
              </w:r>
            </w:p>
            <w:p w14:paraId="64435950" w14:textId="6C65890A" w:rsidR="00AB5961" w:rsidRPr="006E7391" w:rsidRDefault="00867282" w:rsidP="000F0E2F">
              <w:pPr>
                <w:pStyle w:val="BodyText"/>
              </w:pPr>
              <w:r w:rsidRPr="00867282">
                <w:rPr>
                  <w:rFonts w:eastAsia="Times New Roman"/>
                  <w:b/>
                </w:rPr>
                <w:t>Professor Anne Tonkin,</w:t>
              </w:r>
              <w:r>
                <w:rPr>
                  <w:rFonts w:eastAsia="Times New Roman"/>
                </w:rPr>
                <w:t xml:space="preserve"> BSc</w:t>
              </w:r>
              <w:r w:rsidR="001F62C8">
                <w:rPr>
                  <w:rFonts w:eastAsia="Times New Roman"/>
                </w:rPr>
                <w:t xml:space="preserve"> </w:t>
              </w:r>
              <w:r>
                <w:rPr>
                  <w:rFonts w:eastAsia="Times New Roman"/>
                </w:rPr>
                <w:t>(Hons), BMBS, M.Ed, PhD, FRACP; and is a specialist general physician and clinical pharmacologist with substantial experience in medical education, drug regulation and professional regulation.</w:t>
              </w:r>
              <w:r w:rsidR="008146F9">
                <w:rPr>
                  <w:rFonts w:eastAsia="Times New Roman"/>
                </w:rPr>
                <w:t xml:space="preserve"> </w:t>
              </w:r>
              <w:r>
                <w:rPr>
                  <w:rFonts w:eastAsia="Times New Roman"/>
                </w:rPr>
                <w:t>With over 80 peer-reviewed publications, Anne’s major areas of research most recently were cardiovascular autonomic disorders and medical education.</w:t>
              </w:r>
            </w:p>
            <w:p w14:paraId="06C65005" w14:textId="77777777" w:rsidR="000F0E2F" w:rsidRPr="00105146" w:rsidRDefault="000F0E2F" w:rsidP="00105146">
              <w:pPr>
                <w:pStyle w:val="BodyText"/>
                <w:suppressAutoHyphens/>
                <w:rPr>
                  <w:rFonts w:cs="Calibri"/>
                </w:rPr>
              </w:pPr>
              <w:r w:rsidRPr="006E7391">
                <w:rPr>
                  <w:rFonts w:eastAsia="Times New Roman" w:cs="Calibri"/>
                  <w:b/>
                </w:rPr>
                <w:t>Gemma Williams</w:t>
              </w:r>
              <w:r w:rsidRPr="006E7391">
                <w:rPr>
                  <w:rFonts w:eastAsia="Times New Roman" w:cs="Calibri"/>
                </w:rPr>
                <w:t>, BHSc, MND is a Research Dietitian at CSIRO with over 10 years</w:t>
              </w:r>
              <w:r w:rsidR="0032034E">
                <w:rPr>
                  <w:rFonts w:eastAsia="Times New Roman" w:cs="Calibri"/>
                </w:rPr>
                <w:t xml:space="preserve"> of</w:t>
              </w:r>
              <w:r w:rsidRPr="006E7391">
                <w:rPr>
                  <w:rFonts w:eastAsia="Times New Roman" w:cs="Calibri"/>
                </w:rPr>
                <w:t xml:space="preserve"> experience in scientific literature review, dietary intake methodology and dietary protocol development for clinical trials. </w:t>
              </w:r>
              <w:r w:rsidRPr="0099050A">
                <w:rPr>
                  <w:rFonts w:eastAsia="Times New Roman" w:cs="Calibri"/>
                  <w:sz w:val="22"/>
                </w:rPr>
                <w:br/>
              </w:r>
              <w:r>
                <w:rPr>
                  <w:rFonts w:cs="Calibri"/>
                </w:rPr>
                <w:br w:type="page"/>
              </w:r>
            </w:p>
          </w:sdtContent>
        </w:sdt>
        <w:p w14:paraId="00F89042" w14:textId="77777777" w:rsidR="003D5827" w:rsidRDefault="003D5827" w:rsidP="003D5827">
          <w:pPr>
            <w:pStyle w:val="Heading1notnumbered"/>
          </w:pPr>
          <w:bookmarkStart w:id="5" w:name="_Toc517706621"/>
          <w:r>
            <w:lastRenderedPageBreak/>
            <w:t>Acronyms</w:t>
          </w:r>
          <w:bookmarkEnd w:id="5"/>
          <w:r>
            <w:t xml:space="preserve"> </w:t>
          </w:r>
        </w:p>
        <w:p w14:paraId="5AC2EF8B" w14:textId="77777777" w:rsidR="006C68FB" w:rsidRDefault="006C68FB" w:rsidP="006C68FB">
          <w:pPr>
            <w:pStyle w:val="BodyTextWhite"/>
            <w:rPr>
              <w:color w:val="auto"/>
            </w:rPr>
          </w:pPr>
          <w:r>
            <w:rPr>
              <w:color w:val="auto"/>
            </w:rPr>
            <w:t>2-HPMA</w:t>
          </w:r>
          <w:r>
            <w:rPr>
              <w:color w:val="auto"/>
            </w:rPr>
            <w:tab/>
          </w:r>
          <w:r>
            <w:rPr>
              <w:color w:val="auto"/>
            </w:rPr>
            <w:tab/>
          </w:r>
          <w:r w:rsidRPr="005F58A0">
            <w:rPr>
              <w:color w:val="auto"/>
            </w:rPr>
            <w:t>2-Hydroxypropyl</w:t>
          </w:r>
          <w:r>
            <w:rPr>
              <w:color w:val="auto"/>
            </w:rPr>
            <w:t xml:space="preserve"> </w:t>
          </w:r>
          <w:r w:rsidRPr="005F58A0">
            <w:rPr>
              <w:color w:val="auto"/>
            </w:rPr>
            <w:t>mercapturic acid</w:t>
          </w:r>
        </w:p>
        <w:p w14:paraId="036C90DA" w14:textId="77777777" w:rsidR="006C68FB" w:rsidRDefault="006C68FB" w:rsidP="006C68FB">
          <w:pPr>
            <w:pStyle w:val="BodyTextWhite"/>
            <w:rPr>
              <w:color w:val="auto"/>
            </w:rPr>
          </w:pPr>
          <w:r>
            <w:rPr>
              <w:color w:val="auto"/>
            </w:rPr>
            <w:t>3-HPMA</w:t>
          </w:r>
          <w:r>
            <w:rPr>
              <w:color w:val="auto"/>
            </w:rPr>
            <w:tab/>
          </w:r>
          <w:r>
            <w:rPr>
              <w:color w:val="auto"/>
            </w:rPr>
            <w:tab/>
            <w:t>3-H</w:t>
          </w:r>
          <w:r w:rsidRPr="009F1720">
            <w:rPr>
              <w:color w:val="auto"/>
            </w:rPr>
            <w:t>ydroxpypropyl mercapturic acid</w:t>
          </w:r>
        </w:p>
        <w:p w14:paraId="76FDA29B" w14:textId="77777777" w:rsidR="006C68FB" w:rsidRPr="005C1ACC" w:rsidRDefault="006C68FB" w:rsidP="00BA0F52">
          <w:pPr>
            <w:pStyle w:val="BodyTextWhite"/>
            <w:rPr>
              <w:color w:val="auto"/>
            </w:rPr>
          </w:pPr>
          <w:r w:rsidRPr="005C1ACC">
            <w:rPr>
              <w:color w:val="auto"/>
            </w:rPr>
            <w:t>AAMA</w:t>
          </w:r>
          <w:r w:rsidRPr="005C1ACC">
            <w:rPr>
              <w:color w:val="auto"/>
            </w:rPr>
            <w:tab/>
          </w:r>
          <w:r w:rsidRPr="005C1ACC">
            <w:rPr>
              <w:color w:val="auto"/>
            </w:rPr>
            <w:tab/>
          </w:r>
          <w:r w:rsidRPr="005C1ACC">
            <w:rPr>
              <w:color w:val="auto"/>
            </w:rPr>
            <w:tab/>
            <w:t>Acrylamide</w:t>
          </w:r>
        </w:p>
        <w:p w14:paraId="7B5402F9" w14:textId="77777777" w:rsidR="004B5020" w:rsidRPr="005C1ACC" w:rsidRDefault="004B5020" w:rsidP="00BA0F52">
          <w:pPr>
            <w:pStyle w:val="BodyTextWhite"/>
            <w:rPr>
              <w:color w:val="auto"/>
            </w:rPr>
          </w:pPr>
          <w:r w:rsidRPr="005C1ACC">
            <w:rPr>
              <w:color w:val="auto"/>
            </w:rPr>
            <w:t>AE</w:t>
          </w:r>
          <w:r w:rsidRPr="005C1ACC">
            <w:rPr>
              <w:color w:val="auto"/>
            </w:rPr>
            <w:tab/>
          </w:r>
          <w:r w:rsidRPr="005C1ACC">
            <w:rPr>
              <w:color w:val="auto"/>
            </w:rPr>
            <w:tab/>
          </w:r>
          <w:r w:rsidRPr="005C1ACC">
            <w:rPr>
              <w:color w:val="auto"/>
            </w:rPr>
            <w:tab/>
            <w:t>Adverse events</w:t>
          </w:r>
        </w:p>
        <w:p w14:paraId="61031599" w14:textId="77777777" w:rsidR="006C68FB" w:rsidRDefault="006C68FB" w:rsidP="006C68FB">
          <w:pPr>
            <w:pStyle w:val="BodyTextWhite"/>
            <w:rPr>
              <w:color w:val="auto"/>
            </w:rPr>
          </w:pPr>
          <w:r>
            <w:rPr>
              <w:color w:val="auto"/>
            </w:rPr>
            <w:t>AI</w:t>
          </w:r>
          <w:r>
            <w:rPr>
              <w:color w:val="auto"/>
            </w:rPr>
            <w:tab/>
          </w:r>
          <w:r>
            <w:rPr>
              <w:color w:val="auto"/>
            </w:rPr>
            <w:tab/>
          </w:r>
          <w:r>
            <w:rPr>
              <w:color w:val="auto"/>
            </w:rPr>
            <w:tab/>
            <w:t>Augmentation Index</w:t>
          </w:r>
        </w:p>
        <w:p w14:paraId="4E607442" w14:textId="77777777" w:rsidR="004B5020" w:rsidRPr="005C1ACC" w:rsidRDefault="004B5020" w:rsidP="005C1ACC">
          <w:pPr>
            <w:pStyle w:val="BodyTextWhite"/>
            <w:rPr>
              <w:color w:val="auto"/>
            </w:rPr>
          </w:pPr>
          <w:r w:rsidRPr="005C1ACC">
            <w:rPr>
              <w:color w:val="auto"/>
            </w:rPr>
            <w:t>AL</w:t>
          </w:r>
          <w:r w:rsidRPr="005C1ACC">
            <w:rPr>
              <w:color w:val="auto"/>
            </w:rPr>
            <w:tab/>
          </w:r>
          <w:r w:rsidRPr="005C1ACC">
            <w:rPr>
              <w:color w:val="auto"/>
            </w:rPr>
            <w:tab/>
          </w:r>
          <w:r w:rsidRPr="005C1ACC">
            <w:rPr>
              <w:color w:val="auto"/>
            </w:rPr>
            <w:tab/>
            <w:t>Attachment loss</w:t>
          </w:r>
        </w:p>
        <w:p w14:paraId="6558F479" w14:textId="77777777" w:rsidR="006C68FB" w:rsidRPr="005C1ACC" w:rsidRDefault="006C68FB" w:rsidP="005C1ACC">
          <w:pPr>
            <w:pStyle w:val="BodyTextWhite"/>
            <w:rPr>
              <w:color w:val="auto"/>
            </w:rPr>
          </w:pPr>
          <w:r w:rsidRPr="005C1ACC">
            <w:rPr>
              <w:color w:val="auto"/>
            </w:rPr>
            <w:t>ALDH3A1</w:t>
          </w:r>
          <w:r w:rsidRPr="005C1ACC">
            <w:rPr>
              <w:color w:val="auto"/>
            </w:rPr>
            <w:tab/>
          </w:r>
          <w:r w:rsidRPr="005C1ACC">
            <w:rPr>
              <w:color w:val="auto"/>
            </w:rPr>
            <w:tab/>
            <w:t>Aldehyde dehydrogenase 3A1</w:t>
          </w:r>
        </w:p>
        <w:p w14:paraId="20A7A066" w14:textId="77777777" w:rsidR="006C68FB" w:rsidRPr="005C1ACC" w:rsidRDefault="006C68FB" w:rsidP="005C1ACC">
          <w:pPr>
            <w:pStyle w:val="BodyTextWhite"/>
            <w:rPr>
              <w:color w:val="auto"/>
            </w:rPr>
          </w:pPr>
          <w:r w:rsidRPr="005C1ACC">
            <w:rPr>
              <w:color w:val="auto"/>
            </w:rPr>
            <w:t>AOR</w:t>
          </w:r>
          <w:r w:rsidRPr="005C1ACC">
            <w:rPr>
              <w:color w:val="auto"/>
            </w:rPr>
            <w:tab/>
          </w:r>
          <w:r w:rsidRPr="005C1ACC">
            <w:rPr>
              <w:color w:val="auto"/>
            </w:rPr>
            <w:tab/>
          </w:r>
          <w:r w:rsidRPr="005C1ACC">
            <w:rPr>
              <w:color w:val="auto"/>
            </w:rPr>
            <w:tab/>
            <w:t>Adjusted odds ratio</w:t>
          </w:r>
        </w:p>
        <w:p w14:paraId="59C125BF" w14:textId="0E4740F1" w:rsidR="00915DA7" w:rsidRPr="005C1ACC" w:rsidRDefault="00915DA7" w:rsidP="005C1ACC">
          <w:pPr>
            <w:pStyle w:val="BodyTextWhite"/>
            <w:rPr>
              <w:color w:val="auto"/>
            </w:rPr>
          </w:pPr>
          <w:r w:rsidRPr="005C1ACC">
            <w:rPr>
              <w:color w:val="auto"/>
            </w:rPr>
            <w:t>ASH</w:t>
          </w:r>
          <w:r w:rsidRPr="005C1ACC">
            <w:rPr>
              <w:color w:val="auto"/>
            </w:rPr>
            <w:tab/>
          </w:r>
          <w:r w:rsidR="008146F9">
            <w:rPr>
              <w:color w:val="auto"/>
            </w:rPr>
            <w:t xml:space="preserve"> </w:t>
          </w:r>
          <w:r w:rsidRPr="005C1ACC">
            <w:rPr>
              <w:color w:val="auto"/>
            </w:rPr>
            <w:tab/>
          </w:r>
          <w:r w:rsidRPr="005C1ACC">
            <w:rPr>
              <w:color w:val="auto"/>
            </w:rPr>
            <w:tab/>
            <w:t>Action on Smoking Health</w:t>
          </w:r>
        </w:p>
        <w:p w14:paraId="61D1EF2B" w14:textId="77777777" w:rsidR="006C68FB" w:rsidRPr="005C1ACC" w:rsidRDefault="006C68FB" w:rsidP="005C1ACC">
          <w:pPr>
            <w:pStyle w:val="BodyTextWhite"/>
            <w:rPr>
              <w:color w:val="auto"/>
            </w:rPr>
          </w:pPr>
          <w:r w:rsidRPr="005C1ACC">
            <w:rPr>
              <w:color w:val="auto"/>
            </w:rPr>
            <w:t>BAL</w:t>
          </w:r>
          <w:r w:rsidRPr="005C1ACC">
            <w:rPr>
              <w:color w:val="auto"/>
            </w:rPr>
            <w:tab/>
          </w:r>
          <w:r w:rsidRPr="005C1ACC">
            <w:rPr>
              <w:color w:val="auto"/>
            </w:rPr>
            <w:tab/>
          </w:r>
          <w:r w:rsidRPr="005C1ACC">
            <w:rPr>
              <w:color w:val="auto"/>
            </w:rPr>
            <w:tab/>
            <w:t>Brochoalveolar lavage</w:t>
          </w:r>
        </w:p>
        <w:p w14:paraId="4DD13C35" w14:textId="77777777" w:rsidR="006C68FB" w:rsidRPr="005C1ACC" w:rsidRDefault="006C68FB" w:rsidP="005C1ACC">
          <w:pPr>
            <w:pStyle w:val="BodyTextWhite"/>
            <w:rPr>
              <w:color w:val="auto"/>
            </w:rPr>
          </w:pPr>
          <w:r w:rsidRPr="005C1ACC">
            <w:rPr>
              <w:color w:val="auto"/>
            </w:rPr>
            <w:t>BCEP</w:t>
          </w:r>
          <w:r w:rsidRPr="005C1ACC">
            <w:rPr>
              <w:color w:val="auto"/>
            </w:rPr>
            <w:tab/>
          </w:r>
          <w:r w:rsidRPr="005C1ACC">
            <w:rPr>
              <w:color w:val="auto"/>
            </w:rPr>
            <w:tab/>
          </w:r>
          <w:r w:rsidRPr="005C1ACC">
            <w:rPr>
              <w:color w:val="auto"/>
            </w:rPr>
            <w:tab/>
            <w:t>Bis(2-chloroethyl) phosphate</w:t>
          </w:r>
        </w:p>
        <w:p w14:paraId="6EFF9332" w14:textId="77777777" w:rsidR="006C68FB" w:rsidRPr="005C1ACC" w:rsidRDefault="006C68FB" w:rsidP="005C1ACC">
          <w:pPr>
            <w:pStyle w:val="BodyTextWhite"/>
            <w:rPr>
              <w:color w:val="auto"/>
            </w:rPr>
          </w:pPr>
          <w:r w:rsidRPr="005C1ACC">
            <w:rPr>
              <w:color w:val="auto"/>
            </w:rPr>
            <w:t>BDCPP</w:t>
          </w:r>
          <w:r w:rsidRPr="005C1ACC">
            <w:rPr>
              <w:color w:val="auto"/>
            </w:rPr>
            <w:tab/>
          </w:r>
          <w:r w:rsidRPr="005C1ACC">
            <w:rPr>
              <w:color w:val="auto"/>
            </w:rPr>
            <w:tab/>
          </w:r>
          <w:r w:rsidRPr="005C1ACC">
            <w:rPr>
              <w:color w:val="auto"/>
            </w:rPr>
            <w:tab/>
            <w:t>Bis(1,3-dichloro-2-propyl) phosphate</w:t>
          </w:r>
        </w:p>
        <w:p w14:paraId="5DBECC1D" w14:textId="77777777" w:rsidR="006C68FB" w:rsidRPr="005C1ACC" w:rsidRDefault="006C68FB" w:rsidP="005C1ACC">
          <w:pPr>
            <w:pStyle w:val="BodyTextWhite"/>
            <w:rPr>
              <w:color w:val="auto"/>
            </w:rPr>
          </w:pPr>
          <w:r w:rsidRPr="005C1ACC">
            <w:rPr>
              <w:color w:val="auto"/>
            </w:rPr>
            <w:t>Beas2B</w:t>
          </w:r>
          <w:r w:rsidRPr="005C1ACC">
            <w:rPr>
              <w:color w:val="auto"/>
            </w:rPr>
            <w:tab/>
          </w:r>
          <w:r w:rsidRPr="005C1ACC">
            <w:rPr>
              <w:color w:val="auto"/>
            </w:rPr>
            <w:tab/>
          </w:r>
          <w:r w:rsidRPr="005C1ACC">
            <w:rPr>
              <w:color w:val="auto"/>
            </w:rPr>
            <w:tab/>
            <w:t>Bronchial epithelial cells</w:t>
          </w:r>
        </w:p>
        <w:p w14:paraId="7BA9648D" w14:textId="77777777" w:rsidR="004B5020" w:rsidRPr="005C1ACC" w:rsidRDefault="004B5020" w:rsidP="005C1ACC">
          <w:pPr>
            <w:pStyle w:val="BodyTextWhite"/>
            <w:rPr>
              <w:color w:val="auto"/>
            </w:rPr>
          </w:pPr>
          <w:r w:rsidRPr="005C1ACC">
            <w:rPr>
              <w:color w:val="auto"/>
            </w:rPr>
            <w:t>BOP</w:t>
          </w:r>
          <w:r w:rsidRPr="005C1ACC">
            <w:rPr>
              <w:color w:val="auto"/>
            </w:rPr>
            <w:tab/>
          </w:r>
          <w:r w:rsidRPr="005C1ACC">
            <w:rPr>
              <w:color w:val="auto"/>
            </w:rPr>
            <w:tab/>
          </w:r>
          <w:r w:rsidRPr="005C1ACC">
            <w:rPr>
              <w:color w:val="auto"/>
            </w:rPr>
            <w:tab/>
            <w:t>Bleeding on probing</w:t>
          </w:r>
        </w:p>
        <w:p w14:paraId="2C836445" w14:textId="77777777" w:rsidR="006C68FB" w:rsidRPr="005C1ACC" w:rsidRDefault="006C68FB" w:rsidP="005C1ACC">
          <w:pPr>
            <w:pStyle w:val="BodyTextWhite"/>
            <w:rPr>
              <w:color w:val="auto"/>
            </w:rPr>
          </w:pPr>
          <w:r w:rsidRPr="005C1ACC">
            <w:rPr>
              <w:color w:val="auto"/>
            </w:rPr>
            <w:t>BP</w:t>
          </w:r>
          <w:r w:rsidRPr="005C1ACC">
            <w:rPr>
              <w:color w:val="auto"/>
            </w:rPr>
            <w:tab/>
          </w:r>
          <w:r w:rsidRPr="005C1ACC">
            <w:rPr>
              <w:color w:val="auto"/>
            </w:rPr>
            <w:tab/>
          </w:r>
          <w:r w:rsidRPr="005C1ACC">
            <w:rPr>
              <w:color w:val="auto"/>
            </w:rPr>
            <w:tab/>
            <w:t>Blood pressure</w:t>
          </w:r>
        </w:p>
        <w:p w14:paraId="47AA6609" w14:textId="77777777" w:rsidR="004B5020" w:rsidRPr="005C1ACC" w:rsidRDefault="004B5020" w:rsidP="005C1ACC">
          <w:pPr>
            <w:pStyle w:val="BodyTextWhite"/>
            <w:rPr>
              <w:color w:val="auto"/>
            </w:rPr>
          </w:pPr>
          <w:r w:rsidRPr="005C1ACC">
            <w:rPr>
              <w:color w:val="auto"/>
            </w:rPr>
            <w:t>bpm</w:t>
          </w:r>
          <w:r w:rsidRPr="005C1ACC">
            <w:rPr>
              <w:color w:val="auto"/>
            </w:rPr>
            <w:tab/>
          </w:r>
          <w:r w:rsidRPr="005C1ACC">
            <w:rPr>
              <w:color w:val="auto"/>
            </w:rPr>
            <w:tab/>
          </w:r>
          <w:r w:rsidRPr="005C1ACC">
            <w:rPr>
              <w:color w:val="auto"/>
            </w:rPr>
            <w:tab/>
            <w:t>Beats per minute</w:t>
          </w:r>
        </w:p>
        <w:p w14:paraId="6F193F3C" w14:textId="77777777" w:rsidR="006C68FB" w:rsidRPr="005C1ACC" w:rsidRDefault="006C68FB" w:rsidP="005C1ACC">
          <w:pPr>
            <w:pStyle w:val="BodyTextWhite"/>
            <w:rPr>
              <w:color w:val="auto"/>
            </w:rPr>
          </w:pPr>
          <w:r w:rsidRPr="005C1ACC">
            <w:rPr>
              <w:color w:val="auto"/>
            </w:rPr>
            <w:t>CC</w:t>
          </w:r>
          <w:r w:rsidRPr="005C1ACC">
            <w:rPr>
              <w:color w:val="auto"/>
            </w:rPr>
            <w:tab/>
          </w:r>
          <w:r w:rsidRPr="005C1ACC">
            <w:rPr>
              <w:color w:val="auto"/>
            </w:rPr>
            <w:tab/>
          </w:r>
          <w:r w:rsidRPr="005C1ACC">
            <w:rPr>
              <w:color w:val="auto"/>
            </w:rPr>
            <w:tab/>
            <w:t>Conventional cigarette</w:t>
          </w:r>
        </w:p>
        <w:p w14:paraId="369BC414" w14:textId="77777777" w:rsidR="004B5020" w:rsidRPr="005C1ACC" w:rsidRDefault="004B5020" w:rsidP="005C1ACC">
          <w:pPr>
            <w:pStyle w:val="BodyTextWhite"/>
            <w:rPr>
              <w:color w:val="auto"/>
            </w:rPr>
          </w:pPr>
          <w:r w:rsidRPr="005C1ACC">
            <w:rPr>
              <w:color w:val="auto"/>
            </w:rPr>
            <w:t>CES</w:t>
          </w:r>
          <w:r w:rsidRPr="005C1ACC">
            <w:rPr>
              <w:color w:val="auto"/>
            </w:rPr>
            <w:noBreakHyphen/>
            <w:t>D</w:t>
          </w:r>
          <w:r w:rsidRPr="005C1ACC">
            <w:rPr>
              <w:color w:val="auto"/>
            </w:rPr>
            <w:tab/>
          </w:r>
          <w:r w:rsidRPr="005C1ACC">
            <w:rPr>
              <w:color w:val="auto"/>
            </w:rPr>
            <w:tab/>
          </w:r>
          <w:r w:rsidRPr="005C1ACC">
            <w:rPr>
              <w:color w:val="auto"/>
            </w:rPr>
            <w:tab/>
            <w:t>Center for Epidemiological Studies</w:t>
          </w:r>
          <w:r w:rsidRPr="005C1ACC">
            <w:rPr>
              <w:color w:val="auto"/>
            </w:rPr>
            <w:noBreakHyphen/>
            <w:t>Depression Scale</w:t>
          </w:r>
        </w:p>
        <w:p w14:paraId="10BE00AB" w14:textId="77777777" w:rsidR="006C68FB" w:rsidRPr="005C1ACC" w:rsidRDefault="006C68FB" w:rsidP="005C1ACC">
          <w:pPr>
            <w:pStyle w:val="BodyTextWhite"/>
            <w:rPr>
              <w:color w:val="auto"/>
            </w:rPr>
          </w:pPr>
          <w:r w:rsidRPr="005C1ACC">
            <w:rPr>
              <w:color w:val="auto"/>
            </w:rPr>
            <w:t>CFU</w:t>
          </w:r>
          <w:r w:rsidRPr="005C1ACC">
            <w:rPr>
              <w:color w:val="auto"/>
            </w:rPr>
            <w:tab/>
          </w:r>
          <w:r w:rsidRPr="005C1ACC">
            <w:rPr>
              <w:color w:val="auto"/>
            </w:rPr>
            <w:tab/>
          </w:r>
          <w:r w:rsidRPr="005C1ACC">
            <w:rPr>
              <w:color w:val="auto"/>
            </w:rPr>
            <w:tab/>
            <w:t>Colony forming units</w:t>
          </w:r>
        </w:p>
        <w:p w14:paraId="642C6BF2" w14:textId="77777777" w:rsidR="00915DA7" w:rsidRPr="005C1ACC" w:rsidRDefault="00915DA7" w:rsidP="005C1ACC">
          <w:pPr>
            <w:pStyle w:val="BodyTextWhite"/>
            <w:rPr>
              <w:color w:val="auto"/>
            </w:rPr>
          </w:pPr>
          <w:r w:rsidRPr="005C1ACC">
            <w:rPr>
              <w:color w:val="auto"/>
            </w:rPr>
            <w:t xml:space="preserve">CHS </w:t>
          </w:r>
          <w:r w:rsidRPr="005C1ACC">
            <w:rPr>
              <w:color w:val="auto"/>
            </w:rPr>
            <w:tab/>
          </w:r>
          <w:r w:rsidRPr="005C1ACC">
            <w:rPr>
              <w:color w:val="auto"/>
            </w:rPr>
            <w:tab/>
          </w:r>
          <w:r w:rsidRPr="005C1ACC">
            <w:rPr>
              <w:color w:val="auto"/>
            </w:rPr>
            <w:tab/>
            <w:t>Southern California Children's Health Survey</w:t>
          </w:r>
        </w:p>
        <w:p w14:paraId="17361C3A" w14:textId="77777777" w:rsidR="004B5020" w:rsidRPr="005C1ACC" w:rsidRDefault="004B5020" w:rsidP="005C1ACC">
          <w:pPr>
            <w:pStyle w:val="BodyTextWhite"/>
            <w:rPr>
              <w:color w:val="auto"/>
            </w:rPr>
          </w:pPr>
          <w:r w:rsidRPr="005C1ACC">
            <w:rPr>
              <w:color w:val="auto"/>
            </w:rPr>
            <w:t xml:space="preserve">CI </w:t>
          </w:r>
          <w:r w:rsidRPr="005C1ACC">
            <w:rPr>
              <w:color w:val="auto"/>
            </w:rPr>
            <w:tab/>
          </w:r>
          <w:r w:rsidRPr="005C1ACC">
            <w:rPr>
              <w:color w:val="auto"/>
            </w:rPr>
            <w:tab/>
          </w:r>
          <w:r w:rsidRPr="005C1ACC">
            <w:rPr>
              <w:color w:val="auto"/>
            </w:rPr>
            <w:tab/>
            <w:t>Confidence interval</w:t>
          </w:r>
        </w:p>
        <w:p w14:paraId="11E59379" w14:textId="77777777" w:rsidR="006C68FB" w:rsidRPr="005C1ACC" w:rsidRDefault="006C68FB" w:rsidP="005C1ACC">
          <w:pPr>
            <w:pStyle w:val="BodyTextWhite"/>
            <w:rPr>
              <w:color w:val="auto"/>
            </w:rPr>
          </w:pPr>
          <w:r w:rsidRPr="005C1ACC">
            <w:rPr>
              <w:color w:val="auto"/>
            </w:rPr>
            <w:t>CNEMA</w:t>
          </w:r>
          <w:r w:rsidRPr="005C1ACC">
            <w:rPr>
              <w:color w:val="auto"/>
            </w:rPr>
            <w:tab/>
          </w:r>
          <w:r w:rsidRPr="005C1ACC">
            <w:rPr>
              <w:color w:val="auto"/>
            </w:rPr>
            <w:tab/>
            <w:t>2-Cyanoethylmercapturic acid</w:t>
          </w:r>
        </w:p>
        <w:p w14:paraId="2F57377D" w14:textId="77777777" w:rsidR="006C68FB" w:rsidRDefault="006C68FB" w:rsidP="006C68FB">
          <w:pPr>
            <w:pStyle w:val="BodyTextWhite"/>
            <w:rPr>
              <w:color w:val="auto"/>
            </w:rPr>
          </w:pPr>
          <w:r w:rsidRPr="00294F02">
            <w:rPr>
              <w:color w:val="auto"/>
            </w:rPr>
            <w:t>CO</w:t>
          </w:r>
          <w:r>
            <w:rPr>
              <w:color w:val="auto"/>
            </w:rPr>
            <w:tab/>
          </w:r>
          <w:r>
            <w:rPr>
              <w:color w:val="auto"/>
            </w:rPr>
            <w:tab/>
          </w:r>
          <w:r>
            <w:rPr>
              <w:color w:val="auto"/>
            </w:rPr>
            <w:tab/>
            <w:t>Carbon monoxide</w:t>
          </w:r>
        </w:p>
        <w:p w14:paraId="3FF88888" w14:textId="77777777" w:rsidR="006C68FB" w:rsidRPr="005C1ACC" w:rsidRDefault="006C68FB" w:rsidP="005C1ACC">
          <w:pPr>
            <w:pStyle w:val="BodyTextWhite"/>
            <w:rPr>
              <w:color w:val="auto"/>
            </w:rPr>
          </w:pPr>
          <w:r w:rsidRPr="005C1ACC">
            <w:rPr>
              <w:color w:val="auto"/>
            </w:rPr>
            <w:t>COHb</w:t>
          </w:r>
          <w:r w:rsidRPr="005C1ACC">
            <w:rPr>
              <w:color w:val="auto"/>
            </w:rPr>
            <w:tab/>
          </w:r>
          <w:r w:rsidRPr="005C1ACC">
            <w:rPr>
              <w:color w:val="auto"/>
            </w:rPr>
            <w:tab/>
          </w:r>
          <w:r w:rsidRPr="005C1ACC">
            <w:rPr>
              <w:color w:val="auto"/>
            </w:rPr>
            <w:tab/>
            <w:t>Carboxyhemoglobin</w:t>
          </w:r>
        </w:p>
        <w:p w14:paraId="3C9AA63E" w14:textId="77777777" w:rsidR="006C68FB" w:rsidRPr="005C1ACC" w:rsidRDefault="006C68FB" w:rsidP="005C1ACC">
          <w:pPr>
            <w:pStyle w:val="BodyTextWhite"/>
            <w:rPr>
              <w:color w:val="auto"/>
            </w:rPr>
          </w:pPr>
          <w:r w:rsidRPr="005C1ACC">
            <w:rPr>
              <w:color w:val="auto"/>
            </w:rPr>
            <w:t>COPD</w:t>
          </w:r>
          <w:r w:rsidRPr="005C1ACC">
            <w:rPr>
              <w:color w:val="auto"/>
            </w:rPr>
            <w:tab/>
          </w:r>
          <w:r w:rsidRPr="005C1ACC">
            <w:rPr>
              <w:color w:val="auto"/>
            </w:rPr>
            <w:tab/>
          </w:r>
          <w:r w:rsidRPr="005C1ACC">
            <w:rPr>
              <w:color w:val="auto"/>
            </w:rPr>
            <w:tab/>
            <w:t>Chronic obstructive pulmonary disease</w:t>
          </w:r>
        </w:p>
        <w:p w14:paraId="13E87463" w14:textId="77777777" w:rsidR="006C68FB" w:rsidRPr="005C1ACC" w:rsidRDefault="006C68FB" w:rsidP="005C1ACC">
          <w:pPr>
            <w:pStyle w:val="BodyTextWhite"/>
            <w:rPr>
              <w:color w:val="auto"/>
            </w:rPr>
          </w:pPr>
          <w:r w:rsidRPr="005C1ACC">
            <w:rPr>
              <w:color w:val="auto"/>
            </w:rPr>
            <w:t>Cr</w:t>
          </w:r>
          <w:r w:rsidRPr="005C1ACC">
            <w:rPr>
              <w:color w:val="auto"/>
            </w:rPr>
            <w:tab/>
          </w:r>
          <w:r w:rsidRPr="005C1ACC">
            <w:rPr>
              <w:color w:val="auto"/>
            </w:rPr>
            <w:tab/>
          </w:r>
          <w:r w:rsidRPr="005C1ACC">
            <w:rPr>
              <w:color w:val="auto"/>
            </w:rPr>
            <w:tab/>
            <w:t>Chromium</w:t>
          </w:r>
        </w:p>
        <w:p w14:paraId="57C5C7F7" w14:textId="77777777" w:rsidR="004B5020" w:rsidRPr="005C1ACC" w:rsidRDefault="004B5020" w:rsidP="005C1ACC">
          <w:pPr>
            <w:pStyle w:val="BodyTextWhite"/>
            <w:rPr>
              <w:color w:val="auto"/>
            </w:rPr>
          </w:pPr>
          <w:r w:rsidRPr="005C1ACC">
            <w:rPr>
              <w:color w:val="auto"/>
            </w:rPr>
            <w:t>CS</w:t>
          </w:r>
          <w:r w:rsidRPr="005C1ACC">
            <w:rPr>
              <w:color w:val="auto"/>
            </w:rPr>
            <w:tab/>
          </w:r>
          <w:r w:rsidRPr="005C1ACC">
            <w:rPr>
              <w:color w:val="auto"/>
            </w:rPr>
            <w:tab/>
          </w:r>
          <w:r w:rsidRPr="005C1ACC">
            <w:rPr>
              <w:color w:val="auto"/>
            </w:rPr>
            <w:tab/>
            <w:t>Conventional cigarette smokers</w:t>
          </w:r>
        </w:p>
        <w:p w14:paraId="59952BF1" w14:textId="77777777" w:rsidR="004B5020" w:rsidRPr="005C1ACC" w:rsidRDefault="004B5020" w:rsidP="005C1ACC">
          <w:pPr>
            <w:pStyle w:val="BodyTextWhite"/>
            <w:rPr>
              <w:color w:val="auto"/>
            </w:rPr>
          </w:pPr>
          <w:r w:rsidRPr="005C1ACC">
            <w:rPr>
              <w:color w:val="auto"/>
            </w:rPr>
            <w:t>CT scan</w:t>
          </w:r>
          <w:r w:rsidRPr="005C1ACC">
            <w:rPr>
              <w:color w:val="auto"/>
            </w:rPr>
            <w:tab/>
          </w:r>
          <w:r w:rsidRPr="005C1ACC">
            <w:rPr>
              <w:color w:val="auto"/>
            </w:rPr>
            <w:tab/>
            <w:t>Computed tomography scan</w:t>
          </w:r>
        </w:p>
        <w:p w14:paraId="4AC394E4" w14:textId="77777777" w:rsidR="006C68FB" w:rsidRPr="005C1ACC" w:rsidRDefault="006C68FB" w:rsidP="005C1ACC">
          <w:pPr>
            <w:pStyle w:val="BodyTextWhite"/>
            <w:rPr>
              <w:color w:val="auto"/>
            </w:rPr>
          </w:pPr>
          <w:r w:rsidRPr="005C1ACC">
            <w:rPr>
              <w:color w:val="auto"/>
            </w:rPr>
            <w:t>CVD</w:t>
          </w:r>
          <w:r w:rsidRPr="005C1ACC">
            <w:rPr>
              <w:color w:val="auto"/>
            </w:rPr>
            <w:tab/>
          </w:r>
          <w:r w:rsidRPr="005C1ACC">
            <w:rPr>
              <w:color w:val="auto"/>
            </w:rPr>
            <w:tab/>
          </w:r>
          <w:r w:rsidRPr="005C1ACC">
            <w:rPr>
              <w:color w:val="auto"/>
            </w:rPr>
            <w:tab/>
            <w:t>Cardiovascular disease</w:t>
          </w:r>
        </w:p>
        <w:p w14:paraId="4C33CE96" w14:textId="77777777" w:rsidR="006C68FB" w:rsidRPr="005C1ACC" w:rsidRDefault="006C68FB" w:rsidP="005C1ACC">
          <w:pPr>
            <w:pStyle w:val="BodyTextWhite"/>
            <w:rPr>
              <w:color w:val="auto"/>
            </w:rPr>
          </w:pPr>
          <w:r w:rsidRPr="005C1ACC">
            <w:rPr>
              <w:color w:val="auto"/>
            </w:rPr>
            <w:lastRenderedPageBreak/>
            <w:t>DALY</w:t>
          </w:r>
          <w:r w:rsidRPr="005C1ACC">
            <w:rPr>
              <w:color w:val="auto"/>
            </w:rPr>
            <w:tab/>
          </w:r>
          <w:r w:rsidRPr="005C1ACC">
            <w:rPr>
              <w:color w:val="auto"/>
            </w:rPr>
            <w:tab/>
          </w:r>
          <w:r w:rsidRPr="005C1ACC">
            <w:rPr>
              <w:color w:val="auto"/>
            </w:rPr>
            <w:tab/>
            <w:t>Disability-adjusted life year</w:t>
          </w:r>
          <w:r w:rsidRPr="005C1ACC">
            <w:rPr>
              <w:color w:val="auto"/>
            </w:rPr>
            <w:tab/>
          </w:r>
        </w:p>
        <w:p w14:paraId="7A892F93" w14:textId="77777777" w:rsidR="006C68FB" w:rsidRPr="005C1ACC" w:rsidRDefault="006C68FB" w:rsidP="005C1ACC">
          <w:pPr>
            <w:pStyle w:val="BodyTextWhite"/>
            <w:rPr>
              <w:color w:val="auto"/>
            </w:rPr>
          </w:pPr>
          <w:r w:rsidRPr="005C1ACC">
            <w:rPr>
              <w:color w:val="auto"/>
            </w:rPr>
            <w:t>DBP</w:t>
          </w:r>
          <w:r w:rsidRPr="005C1ACC">
            <w:rPr>
              <w:color w:val="auto"/>
            </w:rPr>
            <w:tab/>
          </w:r>
          <w:r w:rsidRPr="005C1ACC">
            <w:rPr>
              <w:color w:val="auto"/>
            </w:rPr>
            <w:tab/>
          </w:r>
          <w:r w:rsidRPr="005C1ACC">
            <w:rPr>
              <w:color w:val="auto"/>
            </w:rPr>
            <w:tab/>
            <w:t>Diastolic blood pressure</w:t>
          </w:r>
        </w:p>
        <w:p w14:paraId="7BF3077F" w14:textId="77777777" w:rsidR="006C68FB" w:rsidRPr="005C1ACC" w:rsidRDefault="006C68FB" w:rsidP="005C1ACC">
          <w:pPr>
            <w:pStyle w:val="BodyTextWhite"/>
            <w:rPr>
              <w:color w:val="auto"/>
            </w:rPr>
          </w:pPr>
          <w:r w:rsidRPr="005C1ACC">
            <w:rPr>
              <w:color w:val="auto"/>
            </w:rPr>
            <w:t>DBUP</w:t>
          </w:r>
          <w:r w:rsidRPr="005C1ACC">
            <w:rPr>
              <w:color w:val="auto"/>
            </w:rPr>
            <w:tab/>
          </w:r>
          <w:r w:rsidRPr="005C1ACC">
            <w:rPr>
              <w:color w:val="auto"/>
            </w:rPr>
            <w:tab/>
          </w:r>
          <w:r w:rsidRPr="005C1ACC">
            <w:rPr>
              <w:color w:val="auto"/>
            </w:rPr>
            <w:tab/>
            <w:t>Dibutyl phosphate</w:t>
          </w:r>
        </w:p>
        <w:p w14:paraId="35737EF6" w14:textId="77777777" w:rsidR="006C68FB" w:rsidRPr="005C1ACC" w:rsidRDefault="006C68FB" w:rsidP="005C1ACC">
          <w:pPr>
            <w:pStyle w:val="BodyTextWhite"/>
            <w:rPr>
              <w:color w:val="auto"/>
            </w:rPr>
          </w:pPr>
          <w:r w:rsidRPr="005C1ACC">
            <w:rPr>
              <w:color w:val="auto"/>
            </w:rPr>
            <w:t>DMBT1</w:t>
          </w:r>
          <w:r w:rsidRPr="005C1ACC">
            <w:rPr>
              <w:color w:val="auto"/>
            </w:rPr>
            <w:tab/>
          </w:r>
          <w:r w:rsidRPr="005C1ACC">
            <w:rPr>
              <w:color w:val="auto"/>
            </w:rPr>
            <w:tab/>
            <w:t>Deleted in malignant brain tumors 1</w:t>
          </w:r>
        </w:p>
        <w:p w14:paraId="2ADA6588" w14:textId="77777777" w:rsidR="006C68FB" w:rsidRPr="005C1ACC" w:rsidRDefault="006C68FB" w:rsidP="005C1ACC">
          <w:pPr>
            <w:pStyle w:val="BodyTextWhite"/>
            <w:rPr>
              <w:color w:val="auto"/>
            </w:rPr>
          </w:pPr>
          <w:r w:rsidRPr="005C1ACC">
            <w:rPr>
              <w:color w:val="auto"/>
            </w:rPr>
            <w:t>DPhP</w:t>
          </w:r>
          <w:r w:rsidRPr="005C1ACC">
            <w:rPr>
              <w:color w:val="auto"/>
            </w:rPr>
            <w:tab/>
          </w:r>
          <w:r w:rsidRPr="005C1ACC">
            <w:rPr>
              <w:color w:val="auto"/>
            </w:rPr>
            <w:tab/>
          </w:r>
          <w:r w:rsidRPr="005C1ACC">
            <w:rPr>
              <w:color w:val="auto"/>
            </w:rPr>
            <w:tab/>
            <w:t>Diphenyl phosphate</w:t>
          </w:r>
        </w:p>
        <w:p w14:paraId="1775D4CC" w14:textId="77777777" w:rsidR="006C68FB" w:rsidRPr="005C1ACC" w:rsidRDefault="006C68FB" w:rsidP="005C1ACC">
          <w:pPr>
            <w:pStyle w:val="BodyTextWhite"/>
            <w:rPr>
              <w:color w:val="auto"/>
            </w:rPr>
          </w:pPr>
          <w:r w:rsidRPr="005C1ACC">
            <w:rPr>
              <w:color w:val="auto"/>
            </w:rPr>
            <w:t>DPPIV</w:t>
          </w:r>
          <w:r w:rsidRPr="005C1ACC">
            <w:rPr>
              <w:color w:val="auto"/>
            </w:rPr>
            <w:tab/>
          </w:r>
          <w:r w:rsidRPr="005C1ACC">
            <w:rPr>
              <w:color w:val="auto"/>
            </w:rPr>
            <w:tab/>
          </w:r>
          <w:r w:rsidRPr="005C1ACC">
            <w:rPr>
              <w:color w:val="auto"/>
            </w:rPr>
            <w:tab/>
            <w:t>Dipeptidyl peptidase-4</w:t>
          </w:r>
        </w:p>
        <w:p w14:paraId="1E71470A" w14:textId="77777777" w:rsidR="002F5CD7" w:rsidRPr="005C1ACC" w:rsidRDefault="002F5CD7" w:rsidP="005C1ACC">
          <w:pPr>
            <w:pStyle w:val="BodyTextWhite"/>
            <w:rPr>
              <w:color w:val="auto"/>
            </w:rPr>
          </w:pPr>
          <w:r w:rsidRPr="005C1ACC">
            <w:rPr>
              <w:color w:val="auto"/>
            </w:rPr>
            <w:t>EBC</w:t>
          </w:r>
          <w:r w:rsidRPr="005C1ACC">
            <w:rPr>
              <w:color w:val="auto"/>
            </w:rPr>
            <w:tab/>
          </w:r>
          <w:r w:rsidRPr="005C1ACC">
            <w:rPr>
              <w:color w:val="auto"/>
            </w:rPr>
            <w:tab/>
          </w:r>
          <w:r w:rsidRPr="005C1ACC">
            <w:rPr>
              <w:color w:val="auto"/>
            </w:rPr>
            <w:tab/>
            <w:t>Exhaled breath condensate</w:t>
          </w:r>
        </w:p>
        <w:p w14:paraId="7ABF158F" w14:textId="77777777" w:rsidR="006C68FB" w:rsidRPr="005C1ACC" w:rsidRDefault="006C68FB" w:rsidP="005C1ACC">
          <w:pPr>
            <w:pStyle w:val="BodyTextWhite"/>
            <w:rPr>
              <w:color w:val="auto"/>
            </w:rPr>
          </w:pPr>
          <w:r w:rsidRPr="005C1ACC">
            <w:rPr>
              <w:color w:val="auto"/>
            </w:rPr>
            <w:t>EC</w:t>
          </w:r>
          <w:r w:rsidRPr="005C1ACC">
            <w:rPr>
              <w:color w:val="auto"/>
            </w:rPr>
            <w:tab/>
          </w:r>
          <w:r w:rsidRPr="005C1ACC">
            <w:rPr>
              <w:color w:val="auto"/>
            </w:rPr>
            <w:tab/>
          </w:r>
          <w:r w:rsidRPr="005C1ACC">
            <w:rPr>
              <w:color w:val="auto"/>
            </w:rPr>
            <w:tab/>
            <w:t>Electronic-cigarette</w:t>
          </w:r>
        </w:p>
        <w:p w14:paraId="0FAB015E" w14:textId="77777777" w:rsidR="006C68FB" w:rsidRPr="005C1ACC" w:rsidRDefault="006C68FB" w:rsidP="005C1ACC">
          <w:pPr>
            <w:pStyle w:val="BodyTextWhite"/>
            <w:rPr>
              <w:color w:val="auto"/>
            </w:rPr>
          </w:pPr>
          <w:r w:rsidRPr="005C1ACC">
            <w:rPr>
              <w:color w:val="auto"/>
            </w:rPr>
            <w:t>ECG</w:t>
          </w:r>
          <w:r w:rsidRPr="005C1ACC">
            <w:rPr>
              <w:color w:val="auto"/>
            </w:rPr>
            <w:tab/>
          </w:r>
          <w:r w:rsidRPr="005C1ACC">
            <w:rPr>
              <w:color w:val="auto"/>
            </w:rPr>
            <w:tab/>
          </w:r>
          <w:r w:rsidRPr="005C1ACC">
            <w:rPr>
              <w:color w:val="auto"/>
            </w:rPr>
            <w:tab/>
            <w:t>Electrocardiogram</w:t>
          </w:r>
        </w:p>
        <w:p w14:paraId="2E6034B6" w14:textId="77777777" w:rsidR="006C68FB" w:rsidRPr="005C1ACC" w:rsidRDefault="006C68FB" w:rsidP="005C1ACC">
          <w:pPr>
            <w:pStyle w:val="BodyTextWhite"/>
            <w:rPr>
              <w:color w:val="auto"/>
            </w:rPr>
          </w:pPr>
          <w:r w:rsidRPr="005C1ACC">
            <w:rPr>
              <w:color w:val="auto"/>
            </w:rPr>
            <w:t>ENDS</w:t>
          </w:r>
          <w:r w:rsidRPr="005C1ACC">
            <w:rPr>
              <w:color w:val="auto"/>
            </w:rPr>
            <w:tab/>
          </w:r>
          <w:r w:rsidRPr="005C1ACC">
            <w:rPr>
              <w:color w:val="auto"/>
            </w:rPr>
            <w:tab/>
          </w:r>
          <w:r w:rsidRPr="005C1ACC">
            <w:rPr>
              <w:color w:val="auto"/>
            </w:rPr>
            <w:tab/>
            <w:t>Electronic nicotine delivery systems</w:t>
          </w:r>
        </w:p>
        <w:p w14:paraId="3BD3017C" w14:textId="77777777" w:rsidR="006C68FB" w:rsidRPr="005C1ACC" w:rsidRDefault="006C68FB" w:rsidP="005C1ACC">
          <w:pPr>
            <w:pStyle w:val="BodyTextWhite"/>
            <w:rPr>
              <w:color w:val="auto"/>
            </w:rPr>
          </w:pPr>
          <w:r w:rsidRPr="005C1ACC">
            <w:rPr>
              <w:color w:val="auto"/>
            </w:rPr>
            <w:t>EVP</w:t>
          </w:r>
          <w:r w:rsidRPr="005C1ACC">
            <w:rPr>
              <w:color w:val="auto"/>
            </w:rPr>
            <w:tab/>
          </w:r>
          <w:r w:rsidRPr="005C1ACC">
            <w:rPr>
              <w:color w:val="auto"/>
            </w:rPr>
            <w:tab/>
          </w:r>
          <w:r w:rsidRPr="005C1ACC">
            <w:rPr>
              <w:color w:val="auto"/>
            </w:rPr>
            <w:tab/>
            <w:t>Electronic vapour product</w:t>
          </w:r>
        </w:p>
        <w:p w14:paraId="28ECC3F2" w14:textId="77777777" w:rsidR="006C68FB" w:rsidRPr="005C1ACC" w:rsidRDefault="006C68FB" w:rsidP="005C1ACC">
          <w:pPr>
            <w:pStyle w:val="BodyTextWhite"/>
            <w:rPr>
              <w:color w:val="auto"/>
            </w:rPr>
          </w:pPr>
          <w:r w:rsidRPr="005C1ACC">
            <w:rPr>
              <w:color w:val="auto"/>
            </w:rPr>
            <w:t>FCTC</w:t>
          </w:r>
          <w:r w:rsidRPr="005C1ACC">
            <w:rPr>
              <w:color w:val="auto"/>
            </w:rPr>
            <w:tab/>
          </w:r>
          <w:r w:rsidRPr="005C1ACC">
            <w:rPr>
              <w:color w:val="auto"/>
            </w:rPr>
            <w:tab/>
          </w:r>
          <w:r w:rsidRPr="005C1ACC">
            <w:rPr>
              <w:color w:val="auto"/>
            </w:rPr>
            <w:tab/>
            <w:t>Framework convention on tobacco control</w:t>
          </w:r>
        </w:p>
        <w:p w14:paraId="1E25E2D9" w14:textId="77777777" w:rsidR="006C68FB" w:rsidRPr="005C1ACC" w:rsidRDefault="006C68FB" w:rsidP="005C1ACC">
          <w:pPr>
            <w:pStyle w:val="BodyTextWhite"/>
            <w:rPr>
              <w:color w:val="auto"/>
            </w:rPr>
          </w:pPr>
          <w:r w:rsidRPr="005C1ACC">
            <w:rPr>
              <w:color w:val="auto"/>
            </w:rPr>
            <w:t>FDG</w:t>
          </w:r>
          <w:r w:rsidRPr="005C1ACC">
            <w:rPr>
              <w:color w:val="auto"/>
            </w:rPr>
            <w:tab/>
          </w:r>
          <w:r w:rsidRPr="005C1ACC">
            <w:rPr>
              <w:color w:val="auto"/>
            </w:rPr>
            <w:tab/>
          </w:r>
          <w:r w:rsidRPr="005C1ACC">
            <w:rPr>
              <w:color w:val="auto"/>
            </w:rPr>
            <w:tab/>
            <w:t xml:space="preserve">F-fluorodeoxyglucose </w:t>
          </w:r>
        </w:p>
        <w:p w14:paraId="2E7C60B2" w14:textId="77777777" w:rsidR="006C68FB" w:rsidRPr="005C1ACC" w:rsidRDefault="006C68FB" w:rsidP="005C1ACC">
          <w:pPr>
            <w:pStyle w:val="BodyTextWhite"/>
            <w:rPr>
              <w:color w:val="auto"/>
            </w:rPr>
          </w:pPr>
          <w:r w:rsidRPr="005C1ACC">
            <w:rPr>
              <w:color w:val="auto"/>
            </w:rPr>
            <w:t>FDG-PET/CT</w:t>
          </w:r>
          <w:r w:rsidRPr="005C1ACC">
            <w:rPr>
              <w:color w:val="auto"/>
            </w:rPr>
            <w:tab/>
          </w:r>
          <w:r w:rsidRPr="005C1ACC">
            <w:rPr>
              <w:color w:val="auto"/>
            </w:rPr>
            <w:tab/>
            <w:t>F-fluorodeoxyglucose positron emission tomography/computed tomography</w:t>
          </w:r>
        </w:p>
        <w:p w14:paraId="7496598A" w14:textId="77777777" w:rsidR="006C68FB" w:rsidRPr="005C1ACC" w:rsidRDefault="006C68FB" w:rsidP="005C1ACC">
          <w:pPr>
            <w:pStyle w:val="BodyTextWhite"/>
            <w:rPr>
              <w:color w:val="auto"/>
            </w:rPr>
          </w:pPr>
          <w:r w:rsidRPr="005C1ACC">
            <w:rPr>
              <w:color w:val="auto"/>
            </w:rPr>
            <w:t>FEF</w:t>
          </w:r>
          <w:r w:rsidRPr="005C1ACC">
            <w:rPr>
              <w:color w:val="auto"/>
            </w:rPr>
            <w:tab/>
          </w:r>
          <w:r w:rsidRPr="005C1ACC">
            <w:rPr>
              <w:color w:val="auto"/>
            </w:rPr>
            <w:tab/>
          </w:r>
          <w:r w:rsidRPr="005C1ACC">
            <w:rPr>
              <w:color w:val="auto"/>
            </w:rPr>
            <w:tab/>
            <w:t>Forced expiratory flow</w:t>
          </w:r>
        </w:p>
        <w:p w14:paraId="46F5EAE9" w14:textId="77777777" w:rsidR="002F5CD7" w:rsidRPr="005C1ACC" w:rsidRDefault="002F5CD7" w:rsidP="005C1ACC">
          <w:pPr>
            <w:pStyle w:val="BodyTextWhite"/>
            <w:rPr>
              <w:color w:val="auto"/>
            </w:rPr>
          </w:pPr>
          <w:r w:rsidRPr="005C1ACC">
            <w:rPr>
              <w:color w:val="auto"/>
            </w:rPr>
            <w:t>FeNO</w:t>
          </w:r>
          <w:r w:rsidRPr="005C1ACC">
            <w:rPr>
              <w:color w:val="auto"/>
            </w:rPr>
            <w:tab/>
          </w:r>
          <w:r w:rsidRPr="005C1ACC">
            <w:rPr>
              <w:color w:val="auto"/>
            </w:rPr>
            <w:tab/>
          </w:r>
          <w:r w:rsidRPr="005C1ACC">
            <w:rPr>
              <w:color w:val="auto"/>
            </w:rPr>
            <w:tab/>
            <w:t>Fractional exhaled nitric oxide</w:t>
          </w:r>
        </w:p>
        <w:p w14:paraId="6341B626" w14:textId="4CFAF474" w:rsidR="006C68FB" w:rsidRPr="005C1ACC" w:rsidRDefault="00FD25EC" w:rsidP="005C1ACC">
          <w:pPr>
            <w:pStyle w:val="BodyTextWhite"/>
            <w:rPr>
              <w:color w:val="auto"/>
            </w:rPr>
          </w:pPr>
          <w:r w:rsidRPr="005C1ACC">
            <w:rPr>
              <w:color w:val="auto"/>
            </w:rPr>
            <w:t>FEV</w:t>
          </w:r>
          <w:r w:rsidRPr="005C1ACC">
            <w:rPr>
              <w:color w:val="auto"/>
              <w:vertAlign w:val="subscript"/>
            </w:rPr>
            <w:t>1</w:t>
          </w:r>
          <w:r w:rsidR="006C68FB" w:rsidRPr="005C1ACC">
            <w:rPr>
              <w:color w:val="auto"/>
            </w:rPr>
            <w:tab/>
          </w:r>
          <w:r w:rsidR="006C68FB" w:rsidRPr="005C1ACC">
            <w:rPr>
              <w:color w:val="auto"/>
            </w:rPr>
            <w:tab/>
          </w:r>
          <w:r w:rsidR="006C68FB" w:rsidRPr="005C1ACC">
            <w:rPr>
              <w:color w:val="auto"/>
            </w:rPr>
            <w:tab/>
            <w:t>Forced expiratory volume in 1 second</w:t>
          </w:r>
        </w:p>
        <w:p w14:paraId="6AF5B0E9" w14:textId="77777777" w:rsidR="006C68FB" w:rsidRPr="005C1ACC" w:rsidRDefault="006C68FB" w:rsidP="005C1ACC">
          <w:pPr>
            <w:pStyle w:val="BodyTextWhite"/>
            <w:rPr>
              <w:color w:val="auto"/>
            </w:rPr>
          </w:pPr>
          <w:r w:rsidRPr="005C1ACC">
            <w:rPr>
              <w:color w:val="auto"/>
            </w:rPr>
            <w:t>FOT</w:t>
          </w:r>
          <w:r w:rsidRPr="005C1ACC">
            <w:rPr>
              <w:color w:val="auto"/>
            </w:rPr>
            <w:tab/>
          </w:r>
          <w:r w:rsidRPr="005C1ACC">
            <w:rPr>
              <w:color w:val="auto"/>
            </w:rPr>
            <w:tab/>
          </w:r>
          <w:r w:rsidRPr="005C1ACC">
            <w:rPr>
              <w:color w:val="auto"/>
            </w:rPr>
            <w:tab/>
            <w:t>Forced oscillation technique</w:t>
          </w:r>
        </w:p>
        <w:p w14:paraId="6E90C411" w14:textId="77777777" w:rsidR="006C68FB" w:rsidRPr="005C1ACC" w:rsidRDefault="006C68FB" w:rsidP="005C1ACC">
          <w:pPr>
            <w:pStyle w:val="BodyTextWhite"/>
            <w:rPr>
              <w:color w:val="auto"/>
            </w:rPr>
          </w:pPr>
          <w:r w:rsidRPr="005C1ACC">
            <w:rPr>
              <w:color w:val="auto"/>
            </w:rPr>
            <w:t>FRAP</w:t>
          </w:r>
          <w:r w:rsidRPr="005C1ACC">
            <w:rPr>
              <w:color w:val="auto"/>
            </w:rPr>
            <w:tab/>
          </w:r>
          <w:r w:rsidRPr="005C1ACC">
            <w:rPr>
              <w:color w:val="auto"/>
            </w:rPr>
            <w:tab/>
          </w:r>
          <w:r w:rsidRPr="005C1ACC">
            <w:rPr>
              <w:color w:val="auto"/>
            </w:rPr>
            <w:tab/>
            <w:t>Ferric reducing antioxidant power</w:t>
          </w:r>
        </w:p>
        <w:p w14:paraId="42BEAFE5" w14:textId="77777777" w:rsidR="006C68FB" w:rsidRPr="005C1ACC" w:rsidRDefault="006C68FB" w:rsidP="005C1ACC">
          <w:pPr>
            <w:pStyle w:val="BodyTextWhite"/>
            <w:rPr>
              <w:color w:val="auto"/>
            </w:rPr>
          </w:pPr>
          <w:r w:rsidRPr="005C1ACC">
            <w:rPr>
              <w:color w:val="auto"/>
            </w:rPr>
            <w:t>f res</w:t>
          </w:r>
          <w:r w:rsidRPr="005C1ACC">
            <w:rPr>
              <w:color w:val="auto"/>
            </w:rPr>
            <w:tab/>
          </w:r>
          <w:r w:rsidRPr="005C1ACC">
            <w:rPr>
              <w:color w:val="auto"/>
            </w:rPr>
            <w:tab/>
          </w:r>
          <w:r w:rsidRPr="005C1ACC">
            <w:rPr>
              <w:color w:val="auto"/>
            </w:rPr>
            <w:tab/>
            <w:t>Resonance Frequency</w:t>
          </w:r>
        </w:p>
        <w:p w14:paraId="286EB770" w14:textId="77777777" w:rsidR="002F5CD7" w:rsidRPr="005C1ACC" w:rsidRDefault="002F5CD7" w:rsidP="005C1ACC">
          <w:pPr>
            <w:pStyle w:val="BodyTextWhite"/>
            <w:rPr>
              <w:color w:val="auto"/>
            </w:rPr>
          </w:pPr>
          <w:r w:rsidRPr="005C1ACC">
            <w:rPr>
              <w:color w:val="auto"/>
            </w:rPr>
            <w:t xml:space="preserve">FTND </w:t>
          </w:r>
          <w:r w:rsidRPr="005C1ACC">
            <w:rPr>
              <w:color w:val="auto"/>
            </w:rPr>
            <w:tab/>
          </w:r>
          <w:r w:rsidRPr="005C1ACC">
            <w:rPr>
              <w:color w:val="auto"/>
            </w:rPr>
            <w:tab/>
          </w:r>
          <w:r w:rsidRPr="005C1ACC">
            <w:rPr>
              <w:color w:val="auto"/>
            </w:rPr>
            <w:tab/>
            <w:t>Fagerstrom Test for Nicotine Dependence</w:t>
          </w:r>
        </w:p>
        <w:p w14:paraId="3A8015F6" w14:textId="77777777" w:rsidR="006C68FB" w:rsidRPr="005C1ACC" w:rsidRDefault="006C68FB" w:rsidP="005C1ACC">
          <w:pPr>
            <w:pStyle w:val="BodyTextWhite"/>
            <w:rPr>
              <w:color w:val="auto"/>
            </w:rPr>
          </w:pPr>
          <w:r w:rsidRPr="005C1ACC">
            <w:rPr>
              <w:color w:val="auto"/>
            </w:rPr>
            <w:t>FVC</w:t>
          </w:r>
          <w:r w:rsidRPr="005C1ACC">
            <w:rPr>
              <w:color w:val="auto"/>
            </w:rPr>
            <w:tab/>
          </w:r>
          <w:r w:rsidRPr="005C1ACC">
            <w:rPr>
              <w:color w:val="auto"/>
            </w:rPr>
            <w:tab/>
          </w:r>
          <w:r w:rsidRPr="005C1ACC">
            <w:rPr>
              <w:color w:val="auto"/>
            </w:rPr>
            <w:tab/>
            <w:t>Forced vital capacity</w:t>
          </w:r>
        </w:p>
        <w:p w14:paraId="5ED742C6" w14:textId="77777777" w:rsidR="006C68FB" w:rsidRPr="005C1ACC" w:rsidRDefault="006C68FB" w:rsidP="005C1ACC">
          <w:pPr>
            <w:pStyle w:val="BodyTextWhite"/>
            <w:rPr>
              <w:color w:val="auto"/>
            </w:rPr>
          </w:pPr>
          <w:r w:rsidRPr="005C1ACC">
            <w:rPr>
              <w:color w:val="auto"/>
            </w:rPr>
            <w:t>GCLC</w:t>
          </w:r>
          <w:r w:rsidRPr="005C1ACC">
            <w:rPr>
              <w:color w:val="auto"/>
            </w:rPr>
            <w:tab/>
          </w:r>
          <w:r w:rsidRPr="005C1ACC">
            <w:rPr>
              <w:color w:val="auto"/>
            </w:rPr>
            <w:tab/>
          </w:r>
          <w:r w:rsidRPr="005C1ACC">
            <w:rPr>
              <w:color w:val="auto"/>
            </w:rPr>
            <w:tab/>
            <w:t>Glutamate-cysteine ligase</w:t>
          </w:r>
        </w:p>
        <w:p w14:paraId="03299FEB" w14:textId="77777777" w:rsidR="006C68FB" w:rsidRPr="005C1ACC" w:rsidRDefault="006C68FB" w:rsidP="005C1ACC">
          <w:pPr>
            <w:pStyle w:val="BodyTextWhite"/>
            <w:rPr>
              <w:color w:val="auto"/>
            </w:rPr>
          </w:pPr>
          <w:r w:rsidRPr="005C1ACC">
            <w:rPr>
              <w:color w:val="auto"/>
            </w:rPr>
            <w:t>GM</w:t>
          </w:r>
          <w:r w:rsidRPr="005C1ACC">
            <w:rPr>
              <w:color w:val="auto"/>
            </w:rPr>
            <w:tab/>
          </w:r>
          <w:r w:rsidRPr="005C1ACC">
            <w:rPr>
              <w:color w:val="auto"/>
            </w:rPr>
            <w:tab/>
          </w:r>
          <w:r w:rsidRPr="005C1ACC">
            <w:rPr>
              <w:color w:val="auto"/>
            </w:rPr>
            <w:tab/>
            <w:t>Geometric mean</w:t>
          </w:r>
        </w:p>
        <w:p w14:paraId="6EE8A2C1" w14:textId="77777777" w:rsidR="002F5CD7" w:rsidRPr="005C1ACC" w:rsidRDefault="002F5CD7" w:rsidP="005C1ACC">
          <w:pPr>
            <w:pStyle w:val="BodyTextWhite"/>
            <w:rPr>
              <w:color w:val="auto"/>
            </w:rPr>
          </w:pPr>
          <w:r w:rsidRPr="005C1ACC">
            <w:rPr>
              <w:color w:val="auto"/>
            </w:rPr>
            <w:t xml:space="preserve">GMR </w:t>
          </w:r>
          <w:r w:rsidRPr="005C1ACC">
            <w:rPr>
              <w:color w:val="auto"/>
            </w:rPr>
            <w:tab/>
          </w:r>
          <w:r w:rsidRPr="005C1ACC">
            <w:rPr>
              <w:color w:val="auto"/>
            </w:rPr>
            <w:tab/>
          </w:r>
          <w:r w:rsidRPr="005C1ACC">
            <w:rPr>
              <w:color w:val="auto"/>
            </w:rPr>
            <w:tab/>
            <w:t>Geometric mean ratio</w:t>
          </w:r>
        </w:p>
        <w:p w14:paraId="6DB8C2A5" w14:textId="77777777" w:rsidR="006C68FB" w:rsidRPr="005C1ACC" w:rsidRDefault="006C68FB" w:rsidP="005C1ACC">
          <w:pPr>
            <w:pStyle w:val="BodyTextWhite"/>
            <w:rPr>
              <w:color w:val="auto"/>
            </w:rPr>
          </w:pPr>
          <w:r w:rsidRPr="005C1ACC">
            <w:rPr>
              <w:color w:val="auto"/>
            </w:rPr>
            <w:t>GPX2</w:t>
          </w:r>
          <w:r w:rsidRPr="005C1ACC">
            <w:rPr>
              <w:color w:val="auto"/>
            </w:rPr>
            <w:tab/>
          </w:r>
          <w:r w:rsidRPr="005C1ACC">
            <w:rPr>
              <w:color w:val="auto"/>
            </w:rPr>
            <w:tab/>
          </w:r>
          <w:r w:rsidRPr="005C1ACC">
            <w:rPr>
              <w:color w:val="auto"/>
            </w:rPr>
            <w:tab/>
            <w:t>Glutathione peroxidase</w:t>
          </w:r>
        </w:p>
        <w:p w14:paraId="64102083" w14:textId="77777777" w:rsidR="002F5CD7" w:rsidRPr="005C1ACC" w:rsidRDefault="002F5CD7" w:rsidP="005C1ACC">
          <w:pPr>
            <w:pStyle w:val="BodyTextWhite"/>
            <w:rPr>
              <w:color w:val="auto"/>
            </w:rPr>
          </w:pPr>
          <w:r w:rsidRPr="005C1ACC">
            <w:rPr>
              <w:color w:val="auto"/>
            </w:rPr>
            <w:t>HEMA</w:t>
          </w:r>
          <w:r w:rsidRPr="005C1ACC">
            <w:rPr>
              <w:color w:val="auto"/>
            </w:rPr>
            <w:tab/>
          </w:r>
          <w:r w:rsidRPr="005C1ACC">
            <w:rPr>
              <w:color w:val="auto"/>
            </w:rPr>
            <w:tab/>
          </w:r>
          <w:r w:rsidRPr="005C1ACC">
            <w:rPr>
              <w:color w:val="auto"/>
            </w:rPr>
            <w:tab/>
            <w:t>Ethylene oxide</w:t>
          </w:r>
        </w:p>
        <w:p w14:paraId="59BC2312" w14:textId="77777777" w:rsidR="006C68FB" w:rsidRPr="005C1ACC" w:rsidRDefault="006C68FB" w:rsidP="005C1ACC">
          <w:pPr>
            <w:pStyle w:val="BodyTextWhite"/>
            <w:rPr>
              <w:color w:val="auto"/>
            </w:rPr>
          </w:pPr>
          <w:r w:rsidRPr="005C1ACC">
            <w:rPr>
              <w:color w:val="auto"/>
            </w:rPr>
            <w:t>HF</w:t>
          </w:r>
          <w:r w:rsidRPr="005C1ACC">
            <w:rPr>
              <w:color w:val="auto"/>
            </w:rPr>
            <w:tab/>
          </w:r>
          <w:r w:rsidRPr="005C1ACC">
            <w:rPr>
              <w:color w:val="auto"/>
            </w:rPr>
            <w:tab/>
          </w:r>
          <w:r w:rsidRPr="005C1ACC">
            <w:rPr>
              <w:color w:val="auto"/>
            </w:rPr>
            <w:tab/>
            <w:t>High frequency</w:t>
          </w:r>
        </w:p>
        <w:p w14:paraId="219A4F72" w14:textId="77777777" w:rsidR="006C68FB" w:rsidRPr="005C1ACC" w:rsidRDefault="006C68FB" w:rsidP="005C1ACC">
          <w:pPr>
            <w:pStyle w:val="BodyTextWhite"/>
            <w:rPr>
              <w:color w:val="auto"/>
            </w:rPr>
          </w:pPr>
          <w:r w:rsidRPr="005C1ACC">
            <w:rPr>
              <w:color w:val="auto"/>
            </w:rPr>
            <w:t>HFL-1</w:t>
          </w:r>
          <w:r w:rsidRPr="005C1ACC">
            <w:rPr>
              <w:color w:val="auto"/>
            </w:rPr>
            <w:tab/>
          </w:r>
          <w:r w:rsidRPr="005C1ACC">
            <w:rPr>
              <w:color w:val="auto"/>
            </w:rPr>
            <w:tab/>
          </w:r>
          <w:r w:rsidRPr="005C1ACC">
            <w:rPr>
              <w:color w:val="auto"/>
            </w:rPr>
            <w:tab/>
            <w:t>Human foetal lung fibroblast</w:t>
          </w:r>
        </w:p>
        <w:p w14:paraId="37E67D17" w14:textId="77777777" w:rsidR="006C68FB" w:rsidRPr="005C1ACC" w:rsidRDefault="006C68FB" w:rsidP="005C1ACC">
          <w:pPr>
            <w:pStyle w:val="BodyTextWhite"/>
            <w:rPr>
              <w:color w:val="auto"/>
            </w:rPr>
          </w:pPr>
          <w:r w:rsidRPr="005C1ACC">
            <w:rPr>
              <w:color w:val="auto"/>
            </w:rPr>
            <w:t>HMPMA</w:t>
          </w:r>
          <w:r w:rsidRPr="005C1ACC">
            <w:rPr>
              <w:color w:val="auto"/>
            </w:rPr>
            <w:tab/>
          </w:r>
          <w:r w:rsidRPr="005C1ACC">
            <w:rPr>
              <w:color w:val="auto"/>
            </w:rPr>
            <w:tab/>
            <w:t>Hydroxy methyl propylmercapturic acid</w:t>
          </w:r>
        </w:p>
        <w:p w14:paraId="2059A96F" w14:textId="77777777" w:rsidR="006C68FB" w:rsidRPr="005C1ACC" w:rsidRDefault="006C68FB" w:rsidP="005C1ACC">
          <w:pPr>
            <w:pStyle w:val="BodyTextWhite"/>
            <w:rPr>
              <w:color w:val="auto"/>
            </w:rPr>
          </w:pPr>
          <w:r w:rsidRPr="005C1ACC">
            <w:rPr>
              <w:color w:val="auto"/>
            </w:rPr>
            <w:t>HO1</w:t>
          </w:r>
          <w:r w:rsidRPr="005C1ACC">
            <w:rPr>
              <w:color w:val="auto"/>
            </w:rPr>
            <w:tab/>
          </w:r>
          <w:r w:rsidRPr="005C1ACC">
            <w:rPr>
              <w:color w:val="auto"/>
            </w:rPr>
            <w:tab/>
          </w:r>
          <w:r w:rsidRPr="005C1ACC">
            <w:rPr>
              <w:color w:val="auto"/>
            </w:rPr>
            <w:tab/>
            <w:t>Heme oxygenase 1</w:t>
          </w:r>
        </w:p>
        <w:p w14:paraId="2AC5C524" w14:textId="77777777" w:rsidR="006C68FB" w:rsidRPr="005C1ACC" w:rsidRDefault="006C68FB" w:rsidP="005C1ACC">
          <w:pPr>
            <w:pStyle w:val="BodyTextWhite"/>
            <w:rPr>
              <w:color w:val="auto"/>
            </w:rPr>
          </w:pPr>
          <w:r w:rsidRPr="005C1ACC">
            <w:rPr>
              <w:color w:val="auto"/>
            </w:rPr>
            <w:t>HR</w:t>
          </w:r>
          <w:r w:rsidRPr="005C1ACC">
            <w:rPr>
              <w:color w:val="auto"/>
            </w:rPr>
            <w:tab/>
          </w:r>
          <w:r w:rsidRPr="005C1ACC">
            <w:rPr>
              <w:color w:val="auto"/>
            </w:rPr>
            <w:tab/>
          </w:r>
          <w:r w:rsidRPr="005C1ACC">
            <w:rPr>
              <w:color w:val="auto"/>
            </w:rPr>
            <w:tab/>
            <w:t>Heart rate</w:t>
          </w:r>
        </w:p>
        <w:p w14:paraId="0028CA4D" w14:textId="77777777" w:rsidR="006C68FB" w:rsidRPr="005C1ACC" w:rsidRDefault="006C68FB" w:rsidP="005C1ACC">
          <w:pPr>
            <w:pStyle w:val="BodyTextWhite"/>
            <w:rPr>
              <w:color w:val="auto"/>
            </w:rPr>
          </w:pPr>
          <w:r w:rsidRPr="005C1ACC">
            <w:rPr>
              <w:color w:val="auto"/>
            </w:rPr>
            <w:t>HRCT</w:t>
          </w:r>
          <w:r w:rsidRPr="005C1ACC">
            <w:rPr>
              <w:color w:val="auto"/>
            </w:rPr>
            <w:tab/>
          </w:r>
          <w:r w:rsidRPr="005C1ACC">
            <w:rPr>
              <w:color w:val="auto"/>
            </w:rPr>
            <w:tab/>
          </w:r>
          <w:r w:rsidRPr="005C1ACC">
            <w:rPr>
              <w:color w:val="auto"/>
            </w:rPr>
            <w:tab/>
            <w:t>High resolution computed tomography</w:t>
          </w:r>
        </w:p>
        <w:p w14:paraId="37E5A5BE" w14:textId="77777777" w:rsidR="006C68FB" w:rsidRPr="005C1ACC" w:rsidRDefault="006C68FB" w:rsidP="005C1ACC">
          <w:pPr>
            <w:pStyle w:val="BodyTextWhite"/>
            <w:rPr>
              <w:color w:val="auto"/>
            </w:rPr>
          </w:pPr>
          <w:r w:rsidRPr="005C1ACC">
            <w:rPr>
              <w:color w:val="auto"/>
            </w:rPr>
            <w:lastRenderedPageBreak/>
            <w:t>HRV</w:t>
          </w:r>
          <w:r w:rsidRPr="005C1ACC">
            <w:rPr>
              <w:color w:val="auto"/>
            </w:rPr>
            <w:tab/>
          </w:r>
          <w:r w:rsidRPr="005C1ACC">
            <w:rPr>
              <w:color w:val="auto"/>
            </w:rPr>
            <w:tab/>
          </w:r>
          <w:r w:rsidRPr="005C1ACC">
            <w:rPr>
              <w:color w:val="auto"/>
            </w:rPr>
            <w:tab/>
            <w:t>Heart rate variability</w:t>
          </w:r>
        </w:p>
        <w:p w14:paraId="00144597" w14:textId="77777777" w:rsidR="006C68FB" w:rsidRPr="005C1ACC" w:rsidRDefault="006C68FB" w:rsidP="005C1ACC">
          <w:pPr>
            <w:pStyle w:val="BodyTextWhite"/>
            <w:rPr>
              <w:color w:val="auto"/>
            </w:rPr>
          </w:pPr>
          <w:r w:rsidRPr="005C1ACC">
            <w:rPr>
              <w:color w:val="auto"/>
            </w:rPr>
            <w:t>HS</w:t>
          </w:r>
          <w:r w:rsidRPr="005C1ACC">
            <w:rPr>
              <w:color w:val="auto"/>
            </w:rPr>
            <w:tab/>
          </w:r>
          <w:r w:rsidRPr="005C1ACC">
            <w:rPr>
              <w:color w:val="auto"/>
            </w:rPr>
            <w:tab/>
          </w:r>
          <w:r w:rsidRPr="005C1ACC">
            <w:rPr>
              <w:color w:val="auto"/>
            </w:rPr>
            <w:tab/>
            <w:t>Healthy smokers</w:t>
          </w:r>
        </w:p>
        <w:p w14:paraId="24BE725F" w14:textId="77777777" w:rsidR="006C68FB" w:rsidRPr="005C1ACC" w:rsidRDefault="006C68FB" w:rsidP="005C1ACC">
          <w:pPr>
            <w:pStyle w:val="BodyTextWhite"/>
            <w:rPr>
              <w:color w:val="auto"/>
            </w:rPr>
          </w:pPr>
          <w:r w:rsidRPr="005C1ACC">
            <w:rPr>
              <w:color w:val="auto"/>
            </w:rPr>
            <w:t>HTP</w:t>
          </w:r>
          <w:r w:rsidRPr="005C1ACC">
            <w:rPr>
              <w:color w:val="auto"/>
            </w:rPr>
            <w:tab/>
          </w:r>
          <w:r w:rsidRPr="005C1ACC">
            <w:rPr>
              <w:color w:val="auto"/>
            </w:rPr>
            <w:tab/>
          </w:r>
          <w:r w:rsidRPr="005C1ACC">
            <w:rPr>
              <w:color w:val="auto"/>
            </w:rPr>
            <w:tab/>
            <w:t>Heated tobacco products</w:t>
          </w:r>
        </w:p>
        <w:p w14:paraId="3936690D" w14:textId="77777777" w:rsidR="006C68FB" w:rsidRPr="005C1ACC" w:rsidRDefault="006C68FB" w:rsidP="005C1ACC">
          <w:pPr>
            <w:pStyle w:val="BodyTextWhite"/>
            <w:rPr>
              <w:color w:val="auto"/>
            </w:rPr>
          </w:pPr>
          <w:r w:rsidRPr="005C1ACC">
            <w:rPr>
              <w:color w:val="auto"/>
            </w:rPr>
            <w:t>HYRBS</w:t>
          </w:r>
          <w:r w:rsidRPr="005C1ACC">
            <w:rPr>
              <w:color w:val="auto"/>
            </w:rPr>
            <w:tab/>
          </w:r>
          <w:r w:rsidRPr="005C1ACC">
            <w:rPr>
              <w:color w:val="auto"/>
            </w:rPr>
            <w:tab/>
          </w:r>
          <w:r w:rsidRPr="005C1ACC">
            <w:rPr>
              <w:color w:val="auto"/>
            </w:rPr>
            <w:tab/>
            <w:t>Healthy Youth Risk Behaviour Survey</w:t>
          </w:r>
        </w:p>
        <w:p w14:paraId="7768E439" w14:textId="77777777" w:rsidR="006C68FB" w:rsidRPr="005C1ACC" w:rsidRDefault="006C68FB" w:rsidP="005C1ACC">
          <w:pPr>
            <w:pStyle w:val="BodyTextWhite"/>
            <w:rPr>
              <w:color w:val="auto"/>
            </w:rPr>
          </w:pPr>
          <w:r w:rsidRPr="005C1ACC">
            <w:rPr>
              <w:color w:val="auto"/>
            </w:rPr>
            <w:t xml:space="preserve">ICAM-1 </w:t>
          </w:r>
          <w:r w:rsidRPr="005C1ACC">
            <w:rPr>
              <w:color w:val="auto"/>
            </w:rPr>
            <w:tab/>
          </w:r>
          <w:r w:rsidRPr="005C1ACC">
            <w:rPr>
              <w:color w:val="auto"/>
            </w:rPr>
            <w:tab/>
            <w:t>Intercellular adhesion molecule 1</w:t>
          </w:r>
        </w:p>
        <w:p w14:paraId="0E084A02" w14:textId="77777777" w:rsidR="006C68FB" w:rsidRPr="005C1ACC" w:rsidRDefault="006C68FB" w:rsidP="005C1ACC">
          <w:pPr>
            <w:pStyle w:val="BodyTextWhite"/>
            <w:rPr>
              <w:color w:val="auto"/>
            </w:rPr>
          </w:pPr>
          <w:r w:rsidRPr="005C1ACC">
            <w:rPr>
              <w:color w:val="auto"/>
            </w:rPr>
            <w:t>IL-1β</w:t>
          </w:r>
          <w:r w:rsidRPr="005C1ACC">
            <w:rPr>
              <w:color w:val="auto"/>
            </w:rPr>
            <w:tab/>
          </w:r>
          <w:r w:rsidRPr="005C1ACC">
            <w:rPr>
              <w:color w:val="auto"/>
            </w:rPr>
            <w:tab/>
          </w:r>
          <w:r w:rsidRPr="005C1ACC">
            <w:rPr>
              <w:color w:val="auto"/>
            </w:rPr>
            <w:tab/>
            <w:t>Interleukin-1β</w:t>
          </w:r>
        </w:p>
        <w:p w14:paraId="6F0BE665" w14:textId="77777777" w:rsidR="006C68FB" w:rsidRPr="005C1ACC" w:rsidRDefault="006C68FB" w:rsidP="005C1ACC">
          <w:pPr>
            <w:pStyle w:val="BodyTextWhite"/>
            <w:rPr>
              <w:color w:val="auto"/>
            </w:rPr>
          </w:pPr>
          <w:r w:rsidRPr="005C1ACC">
            <w:rPr>
              <w:color w:val="auto"/>
            </w:rPr>
            <w:t>IL-6</w:t>
          </w:r>
          <w:r w:rsidRPr="005C1ACC">
            <w:rPr>
              <w:color w:val="auto"/>
            </w:rPr>
            <w:tab/>
          </w:r>
          <w:r w:rsidRPr="005C1ACC">
            <w:rPr>
              <w:color w:val="auto"/>
            </w:rPr>
            <w:tab/>
          </w:r>
          <w:r w:rsidRPr="005C1ACC">
            <w:rPr>
              <w:color w:val="auto"/>
            </w:rPr>
            <w:tab/>
            <w:t>Interleukin-6</w:t>
          </w:r>
        </w:p>
        <w:p w14:paraId="3692AF52" w14:textId="77777777" w:rsidR="006C68FB" w:rsidRPr="005C1ACC" w:rsidRDefault="006C68FB" w:rsidP="005C1ACC">
          <w:pPr>
            <w:pStyle w:val="BodyTextWhite"/>
            <w:rPr>
              <w:color w:val="auto"/>
            </w:rPr>
          </w:pPr>
          <w:r w:rsidRPr="005C1ACC">
            <w:rPr>
              <w:color w:val="auto"/>
            </w:rPr>
            <w:t>IL-8</w:t>
          </w:r>
          <w:r w:rsidRPr="005C1ACC">
            <w:rPr>
              <w:color w:val="auto"/>
            </w:rPr>
            <w:tab/>
          </w:r>
          <w:r w:rsidRPr="005C1ACC">
            <w:rPr>
              <w:color w:val="auto"/>
            </w:rPr>
            <w:tab/>
          </w:r>
          <w:r w:rsidRPr="005C1ACC">
            <w:rPr>
              <w:color w:val="auto"/>
            </w:rPr>
            <w:tab/>
            <w:t>Interleukin-8</w:t>
          </w:r>
        </w:p>
        <w:p w14:paraId="345CB5BB" w14:textId="77777777" w:rsidR="002F5CD7" w:rsidRPr="005C1ACC" w:rsidRDefault="002F5CD7" w:rsidP="005C1ACC">
          <w:pPr>
            <w:pStyle w:val="BodyTextWhite"/>
            <w:rPr>
              <w:color w:val="auto"/>
            </w:rPr>
          </w:pPr>
          <w:r w:rsidRPr="005C1ACC">
            <w:rPr>
              <w:color w:val="auto"/>
            </w:rPr>
            <w:t>IOS</w:t>
          </w:r>
          <w:r w:rsidRPr="005C1ACC">
            <w:rPr>
              <w:color w:val="auto"/>
            </w:rPr>
            <w:tab/>
          </w:r>
          <w:r w:rsidRPr="005C1ACC">
            <w:rPr>
              <w:color w:val="auto"/>
            </w:rPr>
            <w:tab/>
          </w:r>
          <w:r w:rsidRPr="005C1ACC">
            <w:rPr>
              <w:color w:val="auto"/>
            </w:rPr>
            <w:tab/>
            <w:t>Impulse oscillometry system</w:t>
          </w:r>
        </w:p>
        <w:p w14:paraId="63B491B6" w14:textId="0C13DC06" w:rsidR="002F5CD7" w:rsidRPr="005C1ACC" w:rsidRDefault="002F5CD7" w:rsidP="005C1ACC">
          <w:pPr>
            <w:pStyle w:val="BodyTextWhite"/>
            <w:rPr>
              <w:color w:val="auto"/>
            </w:rPr>
          </w:pPr>
          <w:r w:rsidRPr="005C1ACC">
            <w:rPr>
              <w:color w:val="auto"/>
            </w:rPr>
            <w:t>LAA</w:t>
          </w:r>
          <w:r w:rsidRPr="005C1ACC">
            <w:rPr>
              <w:color w:val="auto"/>
            </w:rPr>
            <w:noBreakHyphen/>
            <w:t>x</w:t>
          </w:r>
          <w:r w:rsidRPr="005C1ACC">
            <w:rPr>
              <w:color w:val="auto"/>
            </w:rPr>
            <w:tab/>
          </w:r>
          <w:r w:rsidRPr="005C1ACC">
            <w:rPr>
              <w:color w:val="auto"/>
            </w:rPr>
            <w:tab/>
          </w:r>
          <w:r w:rsidRPr="006726B9">
            <w:rPr>
              <w:color w:val="auto"/>
            </w:rPr>
            <w:tab/>
          </w:r>
          <w:r w:rsidRPr="005C1ACC">
            <w:rPr>
              <w:color w:val="auto"/>
            </w:rPr>
            <w:t>Low attenuation areas in the lungs (defined as a percentage of total lung</w:t>
          </w:r>
          <w:r w:rsidRPr="006726B9">
            <w:rPr>
              <w:color w:val="auto"/>
            </w:rPr>
            <w:t xml:space="preserve">  </w:t>
          </w:r>
          <w:r w:rsidR="008146F9">
            <w:rPr>
              <w:color w:val="auto"/>
            </w:rPr>
            <w:t xml:space="preserve"> </w:t>
          </w:r>
          <w:r w:rsidRPr="005C1ACC">
            <w:rPr>
              <w:color w:val="auto"/>
            </w:rPr>
            <w:t xml:space="preserve"> </w:t>
          </w:r>
        </w:p>
        <w:p w14:paraId="2146D799" w14:textId="207E4BF2" w:rsidR="002F5CD7" w:rsidRPr="005C1ACC" w:rsidRDefault="002F5CD7" w:rsidP="005C1ACC">
          <w:pPr>
            <w:pStyle w:val="BodyTextWhite"/>
            <w:rPr>
              <w:color w:val="auto"/>
            </w:rPr>
          </w:pPr>
          <w:r w:rsidRPr="005C1ACC">
            <w:rPr>
              <w:color w:val="auto"/>
            </w:rPr>
            <w:t xml:space="preserve"> </w:t>
          </w:r>
          <w:r w:rsidRPr="005C1ACC">
            <w:rPr>
              <w:color w:val="auto"/>
            </w:rPr>
            <w:tab/>
          </w:r>
          <w:r w:rsidRPr="005C1ACC">
            <w:rPr>
              <w:color w:val="auto"/>
            </w:rPr>
            <w:tab/>
          </w:r>
          <w:r w:rsidRPr="006726B9">
            <w:rPr>
              <w:color w:val="auto"/>
            </w:rPr>
            <w:tab/>
          </w:r>
          <w:r w:rsidRPr="005C1ACC">
            <w:rPr>
              <w:color w:val="auto"/>
            </w:rPr>
            <w:t xml:space="preserve">voxels less than </w:t>
          </w:r>
          <w:r w:rsidRPr="005C1ACC">
            <w:rPr>
              <w:color w:val="auto"/>
            </w:rPr>
            <w:noBreakHyphen/>
            <w:t>x Hounsfield Units on inspiratory CT)</w:t>
          </w:r>
        </w:p>
        <w:p w14:paraId="35C9D250" w14:textId="77777777" w:rsidR="006C68FB" w:rsidRPr="005C1ACC" w:rsidRDefault="006C68FB" w:rsidP="005C1ACC">
          <w:pPr>
            <w:pStyle w:val="BodyTextWhite"/>
            <w:rPr>
              <w:color w:val="auto"/>
            </w:rPr>
          </w:pPr>
          <w:r w:rsidRPr="005C1ACC">
            <w:rPr>
              <w:color w:val="auto"/>
            </w:rPr>
            <w:t>LC-MS</w:t>
          </w:r>
          <w:r w:rsidRPr="005C1ACC">
            <w:rPr>
              <w:color w:val="auto"/>
            </w:rPr>
            <w:tab/>
          </w:r>
          <w:r w:rsidRPr="005C1ACC">
            <w:rPr>
              <w:color w:val="auto"/>
            </w:rPr>
            <w:tab/>
          </w:r>
          <w:r w:rsidRPr="005C1ACC">
            <w:rPr>
              <w:color w:val="auto"/>
            </w:rPr>
            <w:tab/>
            <w:t>Liquid chromatography-mass spectrometry</w:t>
          </w:r>
        </w:p>
        <w:p w14:paraId="1A9616B7" w14:textId="77777777" w:rsidR="006C68FB" w:rsidRPr="005C1ACC" w:rsidRDefault="006C68FB" w:rsidP="005C1ACC">
          <w:pPr>
            <w:pStyle w:val="BodyTextWhite"/>
            <w:rPr>
              <w:color w:val="auto"/>
            </w:rPr>
          </w:pPr>
          <w:r w:rsidRPr="005C1ACC">
            <w:rPr>
              <w:color w:val="auto"/>
            </w:rPr>
            <w:t>LF</w:t>
          </w:r>
          <w:r w:rsidRPr="005C1ACC">
            <w:rPr>
              <w:color w:val="auto"/>
            </w:rPr>
            <w:tab/>
          </w:r>
          <w:r w:rsidRPr="005C1ACC">
            <w:rPr>
              <w:color w:val="auto"/>
            </w:rPr>
            <w:tab/>
          </w:r>
          <w:r w:rsidRPr="005C1ACC">
            <w:rPr>
              <w:color w:val="auto"/>
            </w:rPr>
            <w:tab/>
            <w:t>Low frequency</w:t>
          </w:r>
        </w:p>
        <w:p w14:paraId="0AF2212F" w14:textId="77777777" w:rsidR="00915DA7" w:rsidRPr="005C1ACC" w:rsidRDefault="00915DA7" w:rsidP="005C1ACC">
          <w:pPr>
            <w:pStyle w:val="BodyTextWhite"/>
            <w:rPr>
              <w:color w:val="auto"/>
            </w:rPr>
          </w:pPr>
          <w:r w:rsidRPr="005C1ACC">
            <w:rPr>
              <w:color w:val="auto"/>
            </w:rPr>
            <w:t xml:space="preserve">LGBTQ </w:t>
          </w:r>
          <w:r w:rsidRPr="005C1ACC">
            <w:rPr>
              <w:color w:val="auto"/>
            </w:rPr>
            <w:tab/>
          </w:r>
          <w:r w:rsidRPr="005C1ACC">
            <w:rPr>
              <w:color w:val="auto"/>
            </w:rPr>
            <w:tab/>
          </w:r>
          <w:r w:rsidRPr="005C1ACC">
            <w:rPr>
              <w:color w:val="auto"/>
            </w:rPr>
            <w:tab/>
            <w:t>Lesbian Gay Bisexual Transgender Queer</w:t>
          </w:r>
        </w:p>
        <w:p w14:paraId="05EFAC1E" w14:textId="77777777" w:rsidR="002F5CD7" w:rsidRPr="005C1ACC" w:rsidRDefault="002F5CD7" w:rsidP="005C1ACC">
          <w:pPr>
            <w:pStyle w:val="BodyTextWhite"/>
            <w:rPr>
              <w:color w:val="auto"/>
            </w:rPr>
          </w:pPr>
          <w:r w:rsidRPr="005C1ACC">
            <w:rPr>
              <w:color w:val="auto"/>
            </w:rPr>
            <w:t>LYSC</w:t>
          </w:r>
          <w:r w:rsidRPr="005C1ACC">
            <w:rPr>
              <w:color w:val="auto"/>
            </w:rPr>
            <w:tab/>
          </w:r>
          <w:r w:rsidRPr="005C1ACC">
            <w:rPr>
              <w:color w:val="auto"/>
            </w:rPr>
            <w:tab/>
          </w:r>
          <w:r w:rsidRPr="005C1ACC">
            <w:rPr>
              <w:color w:val="auto"/>
            </w:rPr>
            <w:tab/>
            <w:t>Endoproteinase Lysosome</w:t>
          </w:r>
          <w:r w:rsidRPr="005C1ACC">
            <w:rPr>
              <w:color w:val="auto"/>
            </w:rPr>
            <w:noBreakHyphen/>
            <w:t>C</w:t>
          </w:r>
        </w:p>
        <w:p w14:paraId="56AABC89" w14:textId="77777777" w:rsidR="006C68FB" w:rsidRPr="005C1ACC" w:rsidRDefault="006C68FB" w:rsidP="005C1ACC">
          <w:pPr>
            <w:pStyle w:val="BodyTextWhite"/>
            <w:rPr>
              <w:color w:val="auto"/>
            </w:rPr>
          </w:pPr>
          <w:r w:rsidRPr="005C1ACC">
            <w:rPr>
              <w:color w:val="auto"/>
            </w:rPr>
            <w:t>MCP-1</w:t>
          </w:r>
          <w:r w:rsidRPr="005C1ACC">
            <w:rPr>
              <w:color w:val="auto"/>
            </w:rPr>
            <w:tab/>
          </w:r>
          <w:r w:rsidRPr="005C1ACC">
            <w:rPr>
              <w:color w:val="auto"/>
            </w:rPr>
            <w:tab/>
          </w:r>
          <w:r w:rsidRPr="005C1ACC">
            <w:rPr>
              <w:color w:val="auto"/>
            </w:rPr>
            <w:tab/>
            <w:t>Monocyte chemoattractant protein-1</w:t>
          </w:r>
        </w:p>
        <w:p w14:paraId="6F0FB21A" w14:textId="77777777" w:rsidR="002F5CD7" w:rsidRPr="005C1ACC" w:rsidRDefault="002F5CD7" w:rsidP="005C1ACC">
          <w:pPr>
            <w:pStyle w:val="BodyTextWhite"/>
            <w:rPr>
              <w:color w:val="auto"/>
            </w:rPr>
          </w:pPr>
          <w:r w:rsidRPr="005C1ACC">
            <w:rPr>
              <w:color w:val="auto"/>
            </w:rPr>
            <w:t xml:space="preserve">MDA </w:t>
          </w:r>
          <w:r w:rsidRPr="005C1ACC">
            <w:rPr>
              <w:color w:val="auto"/>
            </w:rPr>
            <w:tab/>
          </w:r>
          <w:r w:rsidRPr="005C1ACC">
            <w:rPr>
              <w:color w:val="auto"/>
            </w:rPr>
            <w:tab/>
          </w:r>
          <w:r w:rsidRPr="005C1ACC">
            <w:rPr>
              <w:color w:val="auto"/>
            </w:rPr>
            <w:tab/>
            <w:t>Malondialdehyde</w:t>
          </w:r>
        </w:p>
        <w:p w14:paraId="48308396" w14:textId="77777777" w:rsidR="006C68FB" w:rsidRPr="005C1ACC" w:rsidRDefault="006C68FB" w:rsidP="005C1ACC">
          <w:pPr>
            <w:pStyle w:val="BodyTextWhite"/>
            <w:rPr>
              <w:color w:val="auto"/>
            </w:rPr>
          </w:pPr>
          <w:r w:rsidRPr="005C1ACC">
            <w:rPr>
              <w:color w:val="auto"/>
            </w:rPr>
            <w:t>MDS-TBR</w:t>
          </w:r>
          <w:r w:rsidRPr="005C1ACC">
            <w:rPr>
              <w:color w:val="auto"/>
            </w:rPr>
            <w:tab/>
          </w:r>
          <w:r w:rsidRPr="005C1ACC">
            <w:rPr>
              <w:color w:val="auto"/>
            </w:rPr>
            <w:tab/>
            <w:t xml:space="preserve">Most diseased segment-tissue to background ratio </w:t>
          </w:r>
        </w:p>
        <w:p w14:paraId="0834D9F4" w14:textId="77777777" w:rsidR="006C68FB" w:rsidRPr="005C1ACC" w:rsidRDefault="006C68FB" w:rsidP="005C1ACC">
          <w:pPr>
            <w:pStyle w:val="BodyTextWhite"/>
            <w:rPr>
              <w:color w:val="auto"/>
            </w:rPr>
          </w:pPr>
          <w:r w:rsidRPr="005C1ACC">
            <w:rPr>
              <w:color w:val="auto"/>
            </w:rPr>
            <w:t>MIP-1α</w:t>
          </w:r>
          <w:r w:rsidRPr="005C1ACC">
            <w:rPr>
              <w:color w:val="auto"/>
            </w:rPr>
            <w:tab/>
          </w:r>
          <w:r w:rsidRPr="005C1ACC">
            <w:rPr>
              <w:color w:val="auto"/>
            </w:rPr>
            <w:tab/>
            <w:t>Macrophage inflammatory protein - 1α</w:t>
          </w:r>
        </w:p>
        <w:p w14:paraId="6E9A0B8D" w14:textId="77777777" w:rsidR="006C68FB" w:rsidRPr="005C1ACC" w:rsidRDefault="006C68FB" w:rsidP="005C1ACC">
          <w:pPr>
            <w:pStyle w:val="BodyTextWhite"/>
            <w:rPr>
              <w:color w:val="auto"/>
            </w:rPr>
          </w:pPr>
          <w:r w:rsidRPr="005C1ACC">
            <w:rPr>
              <w:color w:val="auto"/>
            </w:rPr>
            <w:t>MIP-1β</w:t>
          </w:r>
          <w:r w:rsidRPr="005C1ACC">
            <w:rPr>
              <w:color w:val="auto"/>
            </w:rPr>
            <w:tab/>
          </w:r>
          <w:r w:rsidRPr="005C1ACC">
            <w:rPr>
              <w:color w:val="auto"/>
            </w:rPr>
            <w:tab/>
          </w:r>
          <w:r w:rsidRPr="005C1ACC">
            <w:rPr>
              <w:color w:val="auto"/>
            </w:rPr>
            <w:tab/>
            <w:t>Macrophage inflammatory protein - 1β</w:t>
          </w:r>
        </w:p>
        <w:p w14:paraId="26BA1CFB" w14:textId="77777777" w:rsidR="002F5CD7" w:rsidRPr="005C1ACC" w:rsidRDefault="002F5CD7" w:rsidP="005C1ACC">
          <w:pPr>
            <w:pStyle w:val="BodyTextWhite"/>
            <w:rPr>
              <w:color w:val="auto"/>
            </w:rPr>
          </w:pPr>
          <w:r w:rsidRPr="005C1ACC">
            <w:rPr>
              <w:color w:val="auto"/>
            </w:rPr>
            <w:t xml:space="preserve">MNWS </w:t>
          </w:r>
          <w:r w:rsidRPr="005C1ACC">
            <w:rPr>
              <w:color w:val="auto"/>
            </w:rPr>
            <w:tab/>
          </w:r>
          <w:r w:rsidRPr="005C1ACC">
            <w:rPr>
              <w:color w:val="auto"/>
            </w:rPr>
            <w:tab/>
            <w:t>Minnesota Nicotine Withdrawal Scale</w:t>
          </w:r>
        </w:p>
        <w:p w14:paraId="4CF68D4B" w14:textId="77777777" w:rsidR="006C68FB" w:rsidRPr="005C1ACC" w:rsidRDefault="006C68FB" w:rsidP="005C1ACC">
          <w:pPr>
            <w:pStyle w:val="BodyTextWhite"/>
            <w:rPr>
              <w:color w:val="auto"/>
            </w:rPr>
          </w:pPr>
          <w:r w:rsidRPr="005C1ACC">
            <w:rPr>
              <w:color w:val="auto"/>
            </w:rPr>
            <w:t>MPO</w:t>
          </w:r>
          <w:r w:rsidRPr="005C1ACC">
            <w:rPr>
              <w:color w:val="auto"/>
            </w:rPr>
            <w:tab/>
          </w:r>
          <w:r w:rsidRPr="005C1ACC">
            <w:rPr>
              <w:color w:val="auto"/>
            </w:rPr>
            <w:tab/>
          </w:r>
          <w:r w:rsidRPr="005C1ACC">
            <w:rPr>
              <w:color w:val="auto"/>
            </w:rPr>
            <w:tab/>
            <w:t>Myeloperoxidase</w:t>
          </w:r>
        </w:p>
        <w:p w14:paraId="2997545C" w14:textId="77777777" w:rsidR="002F5CD7" w:rsidRPr="005C1ACC" w:rsidRDefault="002F5CD7" w:rsidP="005C1ACC">
          <w:pPr>
            <w:pStyle w:val="BodyTextWhite"/>
            <w:rPr>
              <w:color w:val="auto"/>
            </w:rPr>
          </w:pPr>
          <w:r w:rsidRPr="005C1ACC">
            <w:rPr>
              <w:color w:val="auto"/>
            </w:rPr>
            <w:t>MT</w:t>
          </w:r>
          <w:r w:rsidRPr="005C1ACC">
            <w:rPr>
              <w:color w:val="auto"/>
            </w:rPr>
            <w:tab/>
          </w:r>
          <w:r w:rsidRPr="005C1ACC">
            <w:rPr>
              <w:color w:val="auto"/>
            </w:rPr>
            <w:tab/>
          </w:r>
          <w:r w:rsidRPr="005C1ACC">
            <w:rPr>
              <w:color w:val="auto"/>
            </w:rPr>
            <w:tab/>
            <w:t>Missing teeth</w:t>
          </w:r>
        </w:p>
        <w:p w14:paraId="2D8C064B" w14:textId="77777777" w:rsidR="00915DA7" w:rsidRPr="005C1ACC" w:rsidRDefault="00915DA7" w:rsidP="005C1ACC">
          <w:pPr>
            <w:pStyle w:val="BodyTextWhite"/>
            <w:rPr>
              <w:color w:val="auto"/>
            </w:rPr>
          </w:pPr>
          <w:r w:rsidRPr="005C1ACC">
            <w:rPr>
              <w:color w:val="auto"/>
            </w:rPr>
            <w:t xml:space="preserve">MTF </w:t>
          </w:r>
          <w:r w:rsidRPr="005C1ACC">
            <w:rPr>
              <w:color w:val="auto"/>
            </w:rPr>
            <w:tab/>
          </w:r>
          <w:r w:rsidRPr="005C1ACC">
            <w:rPr>
              <w:color w:val="auto"/>
            </w:rPr>
            <w:tab/>
          </w:r>
          <w:r w:rsidRPr="005C1ACC">
            <w:rPr>
              <w:color w:val="auto"/>
            </w:rPr>
            <w:tab/>
            <w:t>Monitoring the Future</w:t>
          </w:r>
        </w:p>
        <w:p w14:paraId="6FDA3FEA" w14:textId="77777777" w:rsidR="006C68FB" w:rsidRPr="005C1ACC" w:rsidRDefault="006C68FB" w:rsidP="005C1ACC">
          <w:pPr>
            <w:pStyle w:val="BodyTextWhite"/>
            <w:rPr>
              <w:color w:val="auto"/>
            </w:rPr>
          </w:pPr>
          <w:r w:rsidRPr="005C1ACC">
            <w:rPr>
              <w:color w:val="auto"/>
            </w:rPr>
            <w:t xml:space="preserve">MWS-R </w:t>
          </w:r>
          <w:r w:rsidRPr="005C1ACC">
            <w:rPr>
              <w:color w:val="auto"/>
            </w:rPr>
            <w:tab/>
          </w:r>
          <w:r w:rsidRPr="005C1ACC">
            <w:rPr>
              <w:color w:val="auto"/>
            </w:rPr>
            <w:tab/>
            <w:t>Minnesota Nicotine Withdrawal Scale</w:t>
          </w:r>
        </w:p>
        <w:p w14:paraId="22D2D797" w14:textId="77777777" w:rsidR="00915DA7" w:rsidRPr="005C1ACC" w:rsidRDefault="00915DA7" w:rsidP="005C1ACC">
          <w:pPr>
            <w:pStyle w:val="BodyTextWhite"/>
            <w:rPr>
              <w:color w:val="auto"/>
            </w:rPr>
          </w:pPr>
          <w:r w:rsidRPr="005C1ACC">
            <w:rPr>
              <w:color w:val="auto"/>
            </w:rPr>
            <w:t xml:space="preserve">NATS </w:t>
          </w:r>
          <w:r w:rsidRPr="005C1ACC">
            <w:rPr>
              <w:color w:val="auto"/>
            </w:rPr>
            <w:tab/>
          </w:r>
          <w:r w:rsidRPr="005C1ACC">
            <w:rPr>
              <w:color w:val="auto"/>
            </w:rPr>
            <w:tab/>
          </w:r>
          <w:r w:rsidRPr="005C1ACC">
            <w:rPr>
              <w:color w:val="auto"/>
            </w:rPr>
            <w:tab/>
            <w:t>National Adult Tobacco Survey</w:t>
          </w:r>
        </w:p>
        <w:p w14:paraId="0DA57EC5" w14:textId="77777777" w:rsidR="002F5CD7" w:rsidRPr="005C1ACC" w:rsidRDefault="002F5CD7" w:rsidP="005C1ACC">
          <w:pPr>
            <w:pStyle w:val="BodyTextWhite"/>
            <w:rPr>
              <w:color w:val="auto"/>
            </w:rPr>
          </w:pPr>
          <w:r w:rsidRPr="005C1ACC">
            <w:rPr>
              <w:color w:val="auto"/>
            </w:rPr>
            <w:t>NDSS</w:t>
          </w:r>
          <w:r w:rsidRPr="005C1ACC">
            <w:rPr>
              <w:color w:val="auto"/>
            </w:rPr>
            <w:tab/>
          </w:r>
          <w:r w:rsidRPr="005C1ACC">
            <w:rPr>
              <w:color w:val="auto"/>
            </w:rPr>
            <w:tab/>
          </w:r>
          <w:r w:rsidRPr="005C1ACC">
            <w:rPr>
              <w:color w:val="auto"/>
            </w:rPr>
            <w:tab/>
            <w:t>Nicotine Dependency Syndrome Scale</w:t>
          </w:r>
        </w:p>
        <w:p w14:paraId="20FD06E9" w14:textId="77777777" w:rsidR="006C68FB" w:rsidRPr="005C1ACC" w:rsidRDefault="006C68FB" w:rsidP="005C1ACC">
          <w:pPr>
            <w:pStyle w:val="BodyTextWhite"/>
            <w:rPr>
              <w:color w:val="auto"/>
            </w:rPr>
          </w:pPr>
          <w:r w:rsidRPr="005C1ACC">
            <w:rPr>
              <w:color w:val="auto"/>
            </w:rPr>
            <w:t>NE</w:t>
          </w:r>
          <w:r w:rsidRPr="005C1ACC">
            <w:rPr>
              <w:color w:val="auto"/>
            </w:rPr>
            <w:tab/>
          </w:r>
          <w:r w:rsidRPr="005C1ACC">
            <w:rPr>
              <w:color w:val="auto"/>
            </w:rPr>
            <w:tab/>
          </w:r>
          <w:r w:rsidRPr="005C1ACC">
            <w:rPr>
              <w:color w:val="auto"/>
            </w:rPr>
            <w:tab/>
            <w:t>Neutrophil elastase</w:t>
          </w:r>
        </w:p>
        <w:p w14:paraId="25FEED17" w14:textId="77777777" w:rsidR="002F5CD7" w:rsidRPr="005C1ACC" w:rsidRDefault="002F5CD7" w:rsidP="005C1ACC">
          <w:pPr>
            <w:pStyle w:val="BodyTextWhite"/>
            <w:rPr>
              <w:color w:val="auto"/>
            </w:rPr>
          </w:pPr>
          <w:r w:rsidRPr="005C1ACC">
            <w:rPr>
              <w:color w:val="auto"/>
            </w:rPr>
            <w:t>NEQ</w:t>
          </w:r>
          <w:r w:rsidRPr="005C1ACC">
            <w:rPr>
              <w:color w:val="auto"/>
            </w:rPr>
            <w:tab/>
          </w:r>
          <w:r w:rsidRPr="005C1ACC">
            <w:rPr>
              <w:color w:val="auto"/>
            </w:rPr>
            <w:tab/>
          </w:r>
          <w:r w:rsidRPr="005C1ACC">
            <w:rPr>
              <w:color w:val="auto"/>
            </w:rPr>
            <w:tab/>
            <w:t>Nicotine equivalents</w:t>
          </w:r>
        </w:p>
        <w:p w14:paraId="3FDA5A08" w14:textId="77777777" w:rsidR="006C68FB" w:rsidRPr="005C1ACC" w:rsidRDefault="006C68FB" w:rsidP="005C1ACC">
          <w:pPr>
            <w:pStyle w:val="BodyTextWhite"/>
            <w:rPr>
              <w:color w:val="auto"/>
            </w:rPr>
          </w:pPr>
          <w:r w:rsidRPr="005C1ACC">
            <w:rPr>
              <w:color w:val="auto"/>
            </w:rPr>
            <w:t>NET</w:t>
          </w:r>
          <w:r w:rsidRPr="005C1ACC">
            <w:rPr>
              <w:color w:val="auto"/>
            </w:rPr>
            <w:tab/>
          </w:r>
          <w:r w:rsidRPr="005C1ACC">
            <w:rPr>
              <w:color w:val="auto"/>
            </w:rPr>
            <w:tab/>
          </w:r>
          <w:r w:rsidRPr="005C1ACC">
            <w:rPr>
              <w:color w:val="auto"/>
            </w:rPr>
            <w:tab/>
            <w:t>Neutrophil extracellular traps</w:t>
          </w:r>
        </w:p>
        <w:p w14:paraId="36BCB41B" w14:textId="77777777" w:rsidR="006C68FB" w:rsidRPr="005C1ACC" w:rsidRDefault="006C68FB" w:rsidP="005C1ACC">
          <w:pPr>
            <w:pStyle w:val="BodyTextWhite"/>
            <w:rPr>
              <w:color w:val="auto"/>
            </w:rPr>
          </w:pPr>
          <w:r w:rsidRPr="005C1ACC">
            <w:rPr>
              <w:color w:val="auto"/>
            </w:rPr>
            <w:t>NETosis</w:t>
          </w:r>
          <w:r w:rsidRPr="005C1ACC">
            <w:rPr>
              <w:color w:val="auto"/>
            </w:rPr>
            <w:tab/>
          </w:r>
          <w:r w:rsidRPr="005C1ACC">
            <w:rPr>
              <w:color w:val="auto"/>
            </w:rPr>
            <w:tab/>
            <w:t>Neutrophil extracellular trap activation and release</w:t>
          </w:r>
        </w:p>
        <w:p w14:paraId="0056496D" w14:textId="77777777" w:rsidR="00915DA7" w:rsidRPr="005C1ACC" w:rsidRDefault="00915DA7" w:rsidP="005C1ACC">
          <w:pPr>
            <w:pStyle w:val="BodyTextWhite"/>
            <w:rPr>
              <w:color w:val="auto"/>
            </w:rPr>
          </w:pPr>
          <w:r w:rsidRPr="005C1ACC">
            <w:rPr>
              <w:color w:val="auto"/>
            </w:rPr>
            <w:t xml:space="preserve">NHIS </w:t>
          </w:r>
          <w:r w:rsidRPr="005C1ACC">
            <w:rPr>
              <w:color w:val="auto"/>
            </w:rPr>
            <w:tab/>
          </w:r>
          <w:r w:rsidRPr="005C1ACC">
            <w:rPr>
              <w:color w:val="auto"/>
            </w:rPr>
            <w:tab/>
          </w:r>
          <w:r w:rsidRPr="005C1ACC">
            <w:rPr>
              <w:color w:val="auto"/>
            </w:rPr>
            <w:tab/>
            <w:t>National Health Interview Survey</w:t>
          </w:r>
        </w:p>
        <w:p w14:paraId="094B975E" w14:textId="77777777" w:rsidR="006C68FB" w:rsidRPr="005C1ACC" w:rsidRDefault="006C68FB" w:rsidP="005C1ACC">
          <w:pPr>
            <w:pStyle w:val="BodyTextWhite"/>
            <w:rPr>
              <w:color w:val="auto"/>
            </w:rPr>
          </w:pPr>
          <w:r w:rsidRPr="005C1ACC">
            <w:rPr>
              <w:color w:val="auto"/>
            </w:rPr>
            <w:t>Ni</w:t>
          </w:r>
          <w:r w:rsidRPr="005C1ACC">
            <w:rPr>
              <w:color w:val="auto"/>
            </w:rPr>
            <w:tab/>
          </w:r>
          <w:r w:rsidRPr="005C1ACC">
            <w:rPr>
              <w:color w:val="auto"/>
            </w:rPr>
            <w:tab/>
          </w:r>
          <w:r w:rsidRPr="005C1ACC">
            <w:rPr>
              <w:color w:val="auto"/>
            </w:rPr>
            <w:tab/>
            <w:t>Nickel</w:t>
          </w:r>
        </w:p>
        <w:p w14:paraId="33FAB08A" w14:textId="77777777" w:rsidR="006C68FB" w:rsidRPr="005C1ACC" w:rsidRDefault="006C68FB" w:rsidP="005C1ACC">
          <w:pPr>
            <w:pStyle w:val="BodyTextWhite"/>
            <w:rPr>
              <w:color w:val="auto"/>
            </w:rPr>
          </w:pPr>
          <w:r w:rsidRPr="005C1ACC">
            <w:rPr>
              <w:color w:val="auto"/>
            </w:rPr>
            <w:lastRenderedPageBreak/>
            <w:t>NK</w:t>
          </w:r>
          <w:r w:rsidRPr="005C1ACC">
            <w:rPr>
              <w:color w:val="auto"/>
            </w:rPr>
            <w:tab/>
          </w:r>
          <w:r w:rsidRPr="005C1ACC">
            <w:rPr>
              <w:color w:val="auto"/>
            </w:rPr>
            <w:tab/>
          </w:r>
          <w:r w:rsidRPr="005C1ACC">
            <w:rPr>
              <w:color w:val="auto"/>
            </w:rPr>
            <w:tab/>
            <w:t>Natural killer cells</w:t>
          </w:r>
          <w:r w:rsidRPr="005C1ACC">
            <w:rPr>
              <w:color w:val="auto"/>
            </w:rPr>
            <w:tab/>
          </w:r>
        </w:p>
        <w:p w14:paraId="3353799D" w14:textId="77777777" w:rsidR="006C68FB" w:rsidRPr="005C1ACC" w:rsidRDefault="006C68FB" w:rsidP="005C1ACC">
          <w:pPr>
            <w:pStyle w:val="BodyTextWhite"/>
            <w:ind w:left="2160" w:hanging="2160"/>
            <w:rPr>
              <w:color w:val="auto"/>
            </w:rPr>
          </w:pPr>
          <w:r w:rsidRPr="005C1ACC">
            <w:rPr>
              <w:color w:val="auto"/>
            </w:rPr>
            <w:t>NNAL</w:t>
          </w:r>
          <w:r w:rsidRPr="005C1ACC">
            <w:rPr>
              <w:color w:val="auto"/>
            </w:rPr>
            <w:tab/>
            <w:t>Product formed after NNK (4-(methylnitrosamino)-1-(3-pyridyl)-1-butanol) enters the body</w:t>
          </w:r>
        </w:p>
        <w:p w14:paraId="246D3E50" w14:textId="77777777" w:rsidR="00E5716A" w:rsidRPr="005C1ACC" w:rsidRDefault="00E5716A" w:rsidP="005C1ACC">
          <w:pPr>
            <w:pStyle w:val="BodyTextWhite"/>
            <w:rPr>
              <w:color w:val="auto"/>
            </w:rPr>
          </w:pPr>
          <w:r w:rsidRPr="005C1ACC">
            <w:rPr>
              <w:color w:val="auto"/>
            </w:rPr>
            <w:t>NNK</w:t>
          </w:r>
          <w:r w:rsidRPr="005C1ACC">
            <w:rPr>
              <w:color w:val="auto"/>
            </w:rPr>
            <w:tab/>
          </w:r>
          <w:r w:rsidRPr="005C1ACC">
            <w:rPr>
              <w:color w:val="auto"/>
            </w:rPr>
            <w:tab/>
          </w:r>
          <w:r w:rsidRPr="005C1ACC">
            <w:rPr>
              <w:color w:val="auto"/>
            </w:rPr>
            <w:tab/>
            <w:t>Nicotine</w:t>
          </w:r>
          <w:r w:rsidRPr="005C1ACC">
            <w:rPr>
              <w:color w:val="auto"/>
            </w:rPr>
            <w:noBreakHyphen/>
            <w:t xml:space="preserve">derived nitrosamine ketone – also known as </w:t>
          </w:r>
        </w:p>
        <w:p w14:paraId="0DFC3CB9" w14:textId="77777777" w:rsidR="00E5716A" w:rsidRPr="005C1ACC" w:rsidRDefault="00E5716A" w:rsidP="005C1ACC">
          <w:pPr>
            <w:pStyle w:val="BodyTextWhite"/>
            <w:ind w:left="1440" w:firstLine="720"/>
            <w:rPr>
              <w:color w:val="auto"/>
            </w:rPr>
          </w:pPr>
          <w:r w:rsidRPr="005C1ACC">
            <w:rPr>
              <w:color w:val="auto"/>
            </w:rPr>
            <w:t>4</w:t>
          </w:r>
          <w:r w:rsidRPr="005C1ACC">
            <w:rPr>
              <w:color w:val="auto"/>
            </w:rPr>
            <w:noBreakHyphen/>
            <w:t>(methylnitrosamino)</w:t>
          </w:r>
          <w:r w:rsidRPr="005C1ACC">
            <w:rPr>
              <w:color w:val="auto"/>
            </w:rPr>
            <w:noBreakHyphen/>
            <w:t>1</w:t>
          </w:r>
          <w:r w:rsidRPr="005C1ACC">
            <w:rPr>
              <w:color w:val="auto"/>
            </w:rPr>
            <w:noBreakHyphen/>
            <w:t>(3</w:t>
          </w:r>
          <w:r w:rsidRPr="005C1ACC">
            <w:rPr>
              <w:color w:val="auto"/>
            </w:rPr>
            <w:noBreakHyphen/>
            <w:t>pyridyl)</w:t>
          </w:r>
          <w:r w:rsidRPr="005C1ACC">
            <w:rPr>
              <w:color w:val="auto"/>
            </w:rPr>
            <w:noBreakHyphen/>
            <w:t>1</w:t>
          </w:r>
          <w:r w:rsidRPr="005C1ACC">
            <w:rPr>
              <w:color w:val="auto"/>
            </w:rPr>
            <w:noBreakHyphen/>
            <w:t>butanone</w:t>
          </w:r>
        </w:p>
        <w:p w14:paraId="20B24323" w14:textId="77777777" w:rsidR="006C68FB" w:rsidRPr="005C1ACC" w:rsidRDefault="006C68FB" w:rsidP="005C1ACC">
          <w:pPr>
            <w:pStyle w:val="BodyTextWhite"/>
            <w:rPr>
              <w:color w:val="auto"/>
            </w:rPr>
          </w:pPr>
          <w:r w:rsidRPr="005C1ACC">
            <w:rPr>
              <w:color w:val="auto"/>
            </w:rPr>
            <w:t>NQO1</w:t>
          </w:r>
          <w:r w:rsidRPr="005C1ACC">
            <w:rPr>
              <w:color w:val="auto"/>
            </w:rPr>
            <w:tab/>
          </w:r>
          <w:r w:rsidRPr="005C1ACC">
            <w:rPr>
              <w:color w:val="auto"/>
            </w:rPr>
            <w:tab/>
          </w:r>
          <w:r w:rsidRPr="005C1ACC">
            <w:rPr>
              <w:color w:val="auto"/>
            </w:rPr>
            <w:tab/>
            <w:t xml:space="preserve">NAD(P)H Quinone dehydrogenase 1 </w:t>
          </w:r>
        </w:p>
        <w:p w14:paraId="71C66134" w14:textId="77777777" w:rsidR="006C68FB" w:rsidRPr="005C1ACC" w:rsidRDefault="006C68FB" w:rsidP="005C1ACC">
          <w:pPr>
            <w:pStyle w:val="BodyTextWhite"/>
            <w:rPr>
              <w:color w:val="auto"/>
            </w:rPr>
          </w:pPr>
          <w:r w:rsidRPr="005C1ACC">
            <w:rPr>
              <w:color w:val="auto"/>
            </w:rPr>
            <w:t>Nrf2</w:t>
          </w:r>
          <w:r w:rsidRPr="005C1ACC">
            <w:rPr>
              <w:color w:val="auto"/>
            </w:rPr>
            <w:tab/>
          </w:r>
          <w:r w:rsidRPr="005C1ACC">
            <w:rPr>
              <w:color w:val="auto"/>
            </w:rPr>
            <w:tab/>
          </w:r>
          <w:r w:rsidRPr="005C1ACC">
            <w:rPr>
              <w:color w:val="auto"/>
            </w:rPr>
            <w:tab/>
            <w:t>Nuclear factor erythroid 2-related factor</w:t>
          </w:r>
        </w:p>
        <w:p w14:paraId="628BF506" w14:textId="77777777" w:rsidR="006C68FB" w:rsidRPr="005C1ACC" w:rsidRDefault="006C68FB" w:rsidP="005C1ACC">
          <w:pPr>
            <w:pStyle w:val="BodyTextWhite"/>
            <w:rPr>
              <w:color w:val="auto"/>
            </w:rPr>
          </w:pPr>
          <w:r w:rsidRPr="005C1ACC">
            <w:rPr>
              <w:color w:val="auto"/>
            </w:rPr>
            <w:t>NRT</w:t>
          </w:r>
          <w:r w:rsidRPr="005C1ACC">
            <w:rPr>
              <w:color w:val="auto"/>
            </w:rPr>
            <w:tab/>
          </w:r>
          <w:r w:rsidRPr="005C1ACC">
            <w:rPr>
              <w:color w:val="auto"/>
            </w:rPr>
            <w:tab/>
          </w:r>
          <w:r w:rsidRPr="005C1ACC">
            <w:rPr>
              <w:color w:val="auto"/>
            </w:rPr>
            <w:tab/>
            <w:t>Nicotine replacement therapy</w:t>
          </w:r>
        </w:p>
        <w:p w14:paraId="2E43C36B" w14:textId="77777777" w:rsidR="00E5716A" w:rsidRPr="005C1ACC" w:rsidRDefault="00E5716A" w:rsidP="005C1ACC">
          <w:pPr>
            <w:pStyle w:val="BodyTextWhite"/>
            <w:rPr>
              <w:color w:val="auto"/>
            </w:rPr>
          </w:pPr>
          <w:r w:rsidRPr="005C1ACC">
            <w:rPr>
              <w:color w:val="auto"/>
            </w:rPr>
            <w:t>NS</w:t>
          </w:r>
          <w:r w:rsidRPr="005C1ACC">
            <w:rPr>
              <w:color w:val="auto"/>
            </w:rPr>
            <w:tab/>
          </w:r>
          <w:r w:rsidRPr="005C1ACC">
            <w:rPr>
              <w:color w:val="auto"/>
            </w:rPr>
            <w:tab/>
          </w:r>
          <w:r w:rsidRPr="005C1ACC">
            <w:rPr>
              <w:color w:val="auto"/>
            </w:rPr>
            <w:tab/>
            <w:t>Never smokers</w:t>
          </w:r>
        </w:p>
        <w:p w14:paraId="78ACAA59" w14:textId="70EC7D1C" w:rsidR="006C68FB" w:rsidRPr="005C1ACC" w:rsidRDefault="006C68FB" w:rsidP="005C1ACC">
          <w:pPr>
            <w:pStyle w:val="BodyTextWhite"/>
            <w:rPr>
              <w:color w:val="auto"/>
            </w:rPr>
          </w:pPr>
          <w:r w:rsidRPr="005C1ACC">
            <w:rPr>
              <w:color w:val="auto"/>
            </w:rPr>
            <w:t>nu</w:t>
          </w:r>
          <w:r w:rsidRPr="005C1ACC">
            <w:rPr>
              <w:color w:val="auto"/>
            </w:rPr>
            <w:tab/>
          </w:r>
          <w:r w:rsidRPr="005C1ACC">
            <w:rPr>
              <w:color w:val="auto"/>
            </w:rPr>
            <w:tab/>
          </w:r>
          <w:r w:rsidRPr="005C1ACC">
            <w:rPr>
              <w:color w:val="auto"/>
            </w:rPr>
            <w:tab/>
          </w:r>
          <w:r w:rsidR="00DF3492">
            <w:rPr>
              <w:color w:val="auto"/>
            </w:rPr>
            <w:t>N</w:t>
          </w:r>
          <w:r w:rsidR="00DF3492" w:rsidRPr="005C1ACC">
            <w:rPr>
              <w:color w:val="auto"/>
            </w:rPr>
            <w:t xml:space="preserve">ormalised </w:t>
          </w:r>
          <w:r w:rsidRPr="005C1ACC">
            <w:rPr>
              <w:color w:val="auto"/>
            </w:rPr>
            <w:t>units</w:t>
          </w:r>
        </w:p>
        <w:p w14:paraId="1310074E" w14:textId="77777777" w:rsidR="00915DA7" w:rsidRPr="005C1ACC" w:rsidRDefault="00915DA7" w:rsidP="005C1ACC">
          <w:pPr>
            <w:pStyle w:val="BodyTextWhite"/>
            <w:rPr>
              <w:color w:val="auto"/>
            </w:rPr>
          </w:pPr>
          <w:r w:rsidRPr="005C1ACC">
            <w:rPr>
              <w:color w:val="auto"/>
            </w:rPr>
            <w:t xml:space="preserve">NYTS </w:t>
          </w:r>
          <w:r w:rsidRPr="005C1ACC">
            <w:rPr>
              <w:color w:val="auto"/>
            </w:rPr>
            <w:tab/>
          </w:r>
          <w:r w:rsidRPr="005C1ACC">
            <w:rPr>
              <w:color w:val="auto"/>
            </w:rPr>
            <w:tab/>
          </w:r>
          <w:r w:rsidRPr="005C1ACC">
            <w:rPr>
              <w:color w:val="auto"/>
            </w:rPr>
            <w:tab/>
            <w:t>National Youth Tobacco Survey</w:t>
          </w:r>
        </w:p>
        <w:p w14:paraId="68F4EF42" w14:textId="3B54D9D2" w:rsidR="006C68FB" w:rsidRPr="005C1ACC" w:rsidRDefault="006C68FB" w:rsidP="005C1ACC">
          <w:pPr>
            <w:pStyle w:val="BodyTextWhite"/>
            <w:rPr>
              <w:color w:val="auto"/>
            </w:rPr>
          </w:pPr>
          <w:r w:rsidRPr="005C1ACC">
            <w:rPr>
              <w:color w:val="auto"/>
            </w:rPr>
            <w:t>OEHHA REL</w:t>
          </w:r>
          <w:r w:rsidRPr="005C1ACC">
            <w:rPr>
              <w:color w:val="auto"/>
            </w:rPr>
            <w:tab/>
          </w:r>
          <w:r w:rsidR="00DF3492">
            <w:rPr>
              <w:color w:val="auto"/>
            </w:rPr>
            <w:tab/>
          </w:r>
          <w:r w:rsidRPr="005C1ACC">
            <w:rPr>
              <w:color w:val="auto"/>
            </w:rPr>
            <w:t>Office of Environmental Health Hazard Assessment Reference Levels</w:t>
          </w:r>
        </w:p>
        <w:p w14:paraId="178BB276" w14:textId="3B889E72" w:rsidR="006C68FB" w:rsidRPr="005C1ACC" w:rsidRDefault="006C68FB" w:rsidP="005C1ACC">
          <w:pPr>
            <w:pStyle w:val="BodyTextWhite"/>
            <w:rPr>
              <w:color w:val="auto"/>
            </w:rPr>
          </w:pPr>
          <w:r w:rsidRPr="005C1ACC">
            <w:rPr>
              <w:color w:val="auto"/>
            </w:rPr>
            <w:t>OML</w:t>
          </w:r>
          <w:r w:rsidRPr="005C1ACC">
            <w:rPr>
              <w:color w:val="auto"/>
            </w:rPr>
            <w:tab/>
          </w:r>
          <w:r w:rsidRPr="005C1ACC">
            <w:rPr>
              <w:color w:val="auto"/>
            </w:rPr>
            <w:tab/>
          </w:r>
          <w:r w:rsidRPr="005C1ACC">
            <w:rPr>
              <w:color w:val="auto"/>
            </w:rPr>
            <w:tab/>
          </w:r>
          <w:r w:rsidR="00DF3492">
            <w:rPr>
              <w:color w:val="auto"/>
            </w:rPr>
            <w:t>O</w:t>
          </w:r>
          <w:r w:rsidR="00DF3492" w:rsidRPr="005C1ACC">
            <w:rPr>
              <w:color w:val="auto"/>
            </w:rPr>
            <w:t xml:space="preserve">ral </w:t>
          </w:r>
          <w:r w:rsidRPr="005C1ACC">
            <w:rPr>
              <w:color w:val="auto"/>
            </w:rPr>
            <w:t>mucosal lesion</w:t>
          </w:r>
        </w:p>
        <w:p w14:paraId="654A1987" w14:textId="77777777" w:rsidR="006C68FB" w:rsidRPr="005C1ACC" w:rsidRDefault="006C68FB" w:rsidP="005C1ACC">
          <w:pPr>
            <w:pStyle w:val="BodyTextWhite"/>
            <w:rPr>
              <w:color w:val="auto"/>
            </w:rPr>
          </w:pPr>
          <w:r w:rsidRPr="005C1ACC">
            <w:rPr>
              <w:color w:val="auto"/>
            </w:rPr>
            <w:t>OPFR</w:t>
          </w:r>
          <w:r w:rsidRPr="005C1ACC">
            <w:rPr>
              <w:color w:val="auto"/>
            </w:rPr>
            <w:tab/>
          </w:r>
          <w:r w:rsidRPr="005C1ACC">
            <w:rPr>
              <w:color w:val="auto"/>
            </w:rPr>
            <w:tab/>
          </w:r>
          <w:r w:rsidRPr="005C1ACC">
            <w:rPr>
              <w:color w:val="auto"/>
            </w:rPr>
            <w:tab/>
            <w:t>Organophosphate flame retardants</w:t>
          </w:r>
        </w:p>
        <w:p w14:paraId="66C246E1" w14:textId="77777777" w:rsidR="006C68FB" w:rsidRPr="005C1ACC" w:rsidRDefault="006C68FB" w:rsidP="005C1ACC">
          <w:pPr>
            <w:pStyle w:val="BodyTextWhite"/>
            <w:rPr>
              <w:color w:val="auto"/>
            </w:rPr>
          </w:pPr>
          <w:r w:rsidRPr="005C1ACC">
            <w:rPr>
              <w:color w:val="auto"/>
            </w:rPr>
            <w:t>PAFR</w:t>
          </w:r>
          <w:r w:rsidRPr="005C1ACC">
            <w:rPr>
              <w:color w:val="auto"/>
            </w:rPr>
            <w:tab/>
          </w:r>
          <w:r w:rsidRPr="005C1ACC">
            <w:rPr>
              <w:color w:val="auto"/>
            </w:rPr>
            <w:tab/>
          </w:r>
          <w:r w:rsidRPr="005C1ACC">
            <w:rPr>
              <w:color w:val="auto"/>
            </w:rPr>
            <w:tab/>
            <w:t>Platelet activating factor receptor</w:t>
          </w:r>
        </w:p>
        <w:p w14:paraId="462602B9" w14:textId="77777777" w:rsidR="006C68FB" w:rsidRPr="005C1ACC" w:rsidRDefault="006C68FB" w:rsidP="005C1ACC">
          <w:pPr>
            <w:pStyle w:val="BodyTextWhite"/>
            <w:rPr>
              <w:color w:val="auto"/>
            </w:rPr>
          </w:pPr>
          <w:r w:rsidRPr="005C1ACC">
            <w:rPr>
              <w:color w:val="auto"/>
            </w:rPr>
            <w:t>PAH</w:t>
          </w:r>
          <w:r w:rsidRPr="005C1ACC">
            <w:rPr>
              <w:color w:val="auto"/>
            </w:rPr>
            <w:tab/>
          </w:r>
          <w:r w:rsidRPr="005C1ACC">
            <w:rPr>
              <w:color w:val="auto"/>
            </w:rPr>
            <w:tab/>
          </w:r>
          <w:r w:rsidRPr="005C1ACC">
            <w:rPr>
              <w:color w:val="auto"/>
            </w:rPr>
            <w:tab/>
            <w:t>Polyaromatic hydrocarbon</w:t>
          </w:r>
        </w:p>
        <w:p w14:paraId="3B435D02" w14:textId="77777777" w:rsidR="00915DA7" w:rsidRPr="005C1ACC" w:rsidRDefault="00915DA7" w:rsidP="005C1ACC">
          <w:pPr>
            <w:pStyle w:val="BodyTextWhite"/>
            <w:rPr>
              <w:color w:val="auto"/>
            </w:rPr>
          </w:pPr>
          <w:r w:rsidRPr="005C1ACC">
            <w:rPr>
              <w:color w:val="auto"/>
            </w:rPr>
            <w:t xml:space="preserve">PATH </w:t>
          </w:r>
          <w:r w:rsidRPr="005C1ACC">
            <w:rPr>
              <w:color w:val="auto"/>
            </w:rPr>
            <w:tab/>
          </w:r>
          <w:r w:rsidRPr="005C1ACC">
            <w:rPr>
              <w:color w:val="auto"/>
            </w:rPr>
            <w:tab/>
          </w:r>
          <w:r w:rsidRPr="005C1ACC">
            <w:rPr>
              <w:color w:val="auto"/>
            </w:rPr>
            <w:tab/>
            <w:t>Population Assessment of Tobacco and Health</w:t>
          </w:r>
        </w:p>
        <w:p w14:paraId="2253DB7D" w14:textId="77777777" w:rsidR="00E5716A" w:rsidRPr="005C1ACC" w:rsidRDefault="00E5716A" w:rsidP="005C1ACC">
          <w:pPr>
            <w:pStyle w:val="BodyTextWhite"/>
            <w:rPr>
              <w:color w:val="auto"/>
            </w:rPr>
          </w:pPr>
          <w:r w:rsidRPr="005C1ACC">
            <w:rPr>
              <w:color w:val="auto"/>
            </w:rPr>
            <w:t>PD</w:t>
          </w:r>
          <w:r w:rsidRPr="005C1ACC">
            <w:rPr>
              <w:color w:val="auto"/>
            </w:rPr>
            <w:tab/>
          </w:r>
          <w:r w:rsidRPr="005C1ACC">
            <w:rPr>
              <w:color w:val="auto"/>
            </w:rPr>
            <w:tab/>
          </w:r>
          <w:r w:rsidRPr="005C1ACC">
            <w:rPr>
              <w:color w:val="auto"/>
            </w:rPr>
            <w:tab/>
            <w:t>Probing depth</w:t>
          </w:r>
        </w:p>
        <w:p w14:paraId="06180203" w14:textId="77777777" w:rsidR="006C68FB" w:rsidRPr="005C1ACC" w:rsidRDefault="006C68FB" w:rsidP="005C1ACC">
          <w:pPr>
            <w:pStyle w:val="BodyTextWhite"/>
            <w:rPr>
              <w:color w:val="auto"/>
            </w:rPr>
          </w:pPr>
          <w:r w:rsidRPr="005C1ACC">
            <w:rPr>
              <w:color w:val="auto"/>
            </w:rPr>
            <w:t xml:space="preserve">PECAM-1 </w:t>
          </w:r>
          <w:r w:rsidRPr="005C1ACC">
            <w:rPr>
              <w:color w:val="auto"/>
            </w:rPr>
            <w:tab/>
          </w:r>
          <w:r w:rsidRPr="005C1ACC">
            <w:rPr>
              <w:color w:val="auto"/>
            </w:rPr>
            <w:tab/>
            <w:t>Platelet endothelial cell adhesion molecule-1</w:t>
          </w:r>
        </w:p>
        <w:p w14:paraId="6211D806" w14:textId="77777777" w:rsidR="00E5716A" w:rsidRPr="005C1ACC" w:rsidRDefault="00E5716A" w:rsidP="005C1ACC">
          <w:pPr>
            <w:pStyle w:val="BodyTextWhite"/>
            <w:rPr>
              <w:color w:val="auto"/>
            </w:rPr>
          </w:pPr>
          <w:r w:rsidRPr="005C1ACC">
            <w:rPr>
              <w:color w:val="auto"/>
            </w:rPr>
            <w:t>PEF</w:t>
          </w:r>
          <w:r w:rsidRPr="005C1ACC">
            <w:rPr>
              <w:color w:val="auto"/>
            </w:rPr>
            <w:tab/>
          </w:r>
          <w:r w:rsidRPr="005C1ACC">
            <w:rPr>
              <w:color w:val="auto"/>
            </w:rPr>
            <w:tab/>
          </w:r>
          <w:r w:rsidRPr="005C1ACC">
            <w:rPr>
              <w:color w:val="auto"/>
            </w:rPr>
            <w:tab/>
            <w:t>Peak expiratory flow</w:t>
          </w:r>
        </w:p>
        <w:p w14:paraId="61993B17" w14:textId="77777777" w:rsidR="006C68FB" w:rsidRPr="005C1ACC" w:rsidRDefault="006C68FB" w:rsidP="005C1ACC">
          <w:pPr>
            <w:pStyle w:val="BodyTextWhite"/>
            <w:rPr>
              <w:color w:val="auto"/>
            </w:rPr>
          </w:pPr>
          <w:r w:rsidRPr="005C1ACC">
            <w:rPr>
              <w:color w:val="auto"/>
            </w:rPr>
            <w:t>PG</w:t>
          </w:r>
          <w:r w:rsidRPr="005C1ACC">
            <w:rPr>
              <w:color w:val="auto"/>
            </w:rPr>
            <w:tab/>
          </w:r>
          <w:r w:rsidRPr="005C1ACC">
            <w:rPr>
              <w:color w:val="auto"/>
            </w:rPr>
            <w:tab/>
          </w:r>
          <w:r w:rsidRPr="005C1ACC">
            <w:rPr>
              <w:color w:val="auto"/>
            </w:rPr>
            <w:tab/>
            <w:t>Propylene glycol</w:t>
          </w:r>
        </w:p>
        <w:p w14:paraId="4E7CC42F" w14:textId="77777777" w:rsidR="00E5716A" w:rsidRPr="005C1ACC" w:rsidRDefault="00E5716A" w:rsidP="005C1ACC">
          <w:pPr>
            <w:pStyle w:val="BodyTextWhite"/>
            <w:rPr>
              <w:color w:val="auto"/>
            </w:rPr>
          </w:pPr>
          <w:r w:rsidRPr="005C1ACC">
            <w:rPr>
              <w:color w:val="auto"/>
            </w:rPr>
            <w:t>PI</w:t>
          </w:r>
          <w:r w:rsidRPr="005C1ACC">
            <w:rPr>
              <w:color w:val="auto"/>
            </w:rPr>
            <w:tab/>
          </w:r>
          <w:r w:rsidRPr="005C1ACC">
            <w:rPr>
              <w:color w:val="auto"/>
            </w:rPr>
            <w:tab/>
          </w:r>
          <w:r w:rsidRPr="005C1ACC">
            <w:rPr>
              <w:color w:val="auto"/>
            </w:rPr>
            <w:tab/>
            <w:t>Plaque index</w:t>
          </w:r>
        </w:p>
        <w:p w14:paraId="237F2F52" w14:textId="77777777" w:rsidR="00E5716A" w:rsidRPr="005C1ACC" w:rsidRDefault="00E5716A" w:rsidP="005C1ACC">
          <w:pPr>
            <w:pStyle w:val="BodyTextWhite"/>
            <w:rPr>
              <w:color w:val="auto"/>
            </w:rPr>
          </w:pPr>
          <w:r w:rsidRPr="005C1ACC">
            <w:rPr>
              <w:color w:val="auto"/>
            </w:rPr>
            <w:t>PMA</w:t>
          </w:r>
          <w:r w:rsidRPr="005C1ACC">
            <w:rPr>
              <w:color w:val="auto"/>
            </w:rPr>
            <w:tab/>
          </w:r>
          <w:r w:rsidRPr="005C1ACC">
            <w:rPr>
              <w:color w:val="auto"/>
            </w:rPr>
            <w:tab/>
          </w:r>
          <w:r w:rsidRPr="005C1ACC">
            <w:rPr>
              <w:color w:val="auto"/>
            </w:rPr>
            <w:tab/>
            <w:t>Benzene metabolites</w:t>
          </w:r>
        </w:p>
        <w:p w14:paraId="61471402" w14:textId="77777777" w:rsidR="00915DA7" w:rsidRPr="005C1ACC" w:rsidRDefault="00915DA7" w:rsidP="005C1ACC">
          <w:pPr>
            <w:pStyle w:val="BodyTextWhite"/>
            <w:rPr>
              <w:color w:val="auto"/>
            </w:rPr>
          </w:pPr>
          <w:r w:rsidRPr="005C1ACC">
            <w:rPr>
              <w:color w:val="auto"/>
            </w:rPr>
            <w:t xml:space="preserve">Project M-PACT </w:t>
          </w:r>
          <w:r w:rsidRPr="005C1ACC">
            <w:rPr>
              <w:color w:val="auto"/>
            </w:rPr>
            <w:tab/>
            <w:t xml:space="preserve">Marketing and Promotions across Colleges in Texas Project </w:t>
          </w:r>
        </w:p>
        <w:p w14:paraId="7ED78BE8" w14:textId="77777777" w:rsidR="00E5716A" w:rsidRPr="005C1ACC" w:rsidRDefault="00E5716A" w:rsidP="005C1ACC">
          <w:pPr>
            <w:pStyle w:val="BodyTextWhite"/>
            <w:rPr>
              <w:color w:val="auto"/>
            </w:rPr>
          </w:pPr>
          <w:r w:rsidRPr="005C1ACC">
            <w:rPr>
              <w:color w:val="auto"/>
            </w:rPr>
            <w:t>PWV</w:t>
          </w:r>
          <w:r w:rsidRPr="005C1ACC">
            <w:rPr>
              <w:color w:val="auto"/>
            </w:rPr>
            <w:tab/>
          </w:r>
          <w:r w:rsidRPr="005C1ACC">
            <w:rPr>
              <w:color w:val="auto"/>
            </w:rPr>
            <w:tab/>
          </w:r>
          <w:r w:rsidRPr="005C1ACC">
            <w:rPr>
              <w:color w:val="auto"/>
            </w:rPr>
            <w:tab/>
            <w:t>Pulse wave velocity</w:t>
          </w:r>
        </w:p>
        <w:p w14:paraId="2E1F34CD" w14:textId="77777777" w:rsidR="00E5716A" w:rsidRPr="005C1ACC" w:rsidRDefault="00E5716A" w:rsidP="005C1ACC">
          <w:pPr>
            <w:pStyle w:val="BodyTextWhite"/>
            <w:rPr>
              <w:color w:val="auto"/>
            </w:rPr>
          </w:pPr>
          <w:r w:rsidRPr="005C1ACC">
            <w:rPr>
              <w:color w:val="auto"/>
            </w:rPr>
            <w:t>QSU</w:t>
          </w:r>
          <w:r w:rsidRPr="005C1ACC">
            <w:rPr>
              <w:color w:val="auto"/>
            </w:rPr>
            <w:tab/>
          </w:r>
          <w:r w:rsidRPr="005C1ACC">
            <w:rPr>
              <w:color w:val="auto"/>
            </w:rPr>
            <w:tab/>
          </w:r>
          <w:r w:rsidRPr="005C1ACC">
            <w:rPr>
              <w:color w:val="auto"/>
            </w:rPr>
            <w:tab/>
            <w:t>Questionnaire of Smoking Urges</w:t>
          </w:r>
        </w:p>
        <w:p w14:paraId="7E395723" w14:textId="03335E40" w:rsidR="006C68FB" w:rsidRPr="005C1ACC" w:rsidRDefault="006C68FB" w:rsidP="005C1ACC">
          <w:pPr>
            <w:pStyle w:val="BodyTextWhite"/>
            <w:rPr>
              <w:color w:val="auto"/>
            </w:rPr>
          </w:pPr>
          <w:r w:rsidRPr="005C1ACC">
            <w:rPr>
              <w:color w:val="auto"/>
            </w:rPr>
            <w:t>QTcB</w:t>
          </w:r>
          <w:r w:rsidRPr="005C1ACC">
            <w:rPr>
              <w:color w:val="auto"/>
            </w:rPr>
            <w:tab/>
          </w:r>
          <w:r w:rsidRPr="005C1ACC">
            <w:rPr>
              <w:color w:val="auto"/>
            </w:rPr>
            <w:tab/>
          </w:r>
          <w:r w:rsidRPr="005C1ACC">
            <w:rPr>
              <w:color w:val="auto"/>
            </w:rPr>
            <w:tab/>
          </w:r>
          <w:r w:rsidR="00DF3492">
            <w:rPr>
              <w:color w:val="auto"/>
            </w:rPr>
            <w:t>H</w:t>
          </w:r>
          <w:r w:rsidR="00DF3492" w:rsidRPr="005C1ACC">
            <w:rPr>
              <w:color w:val="auto"/>
            </w:rPr>
            <w:t xml:space="preserve">eart </w:t>
          </w:r>
          <w:r w:rsidRPr="005C1ACC">
            <w:rPr>
              <w:color w:val="auto"/>
            </w:rPr>
            <w:t>rate-corrected QT interval</w:t>
          </w:r>
        </w:p>
        <w:p w14:paraId="78D0E288" w14:textId="77777777" w:rsidR="006C68FB" w:rsidRPr="005C1ACC" w:rsidRDefault="006C68FB" w:rsidP="005C1ACC">
          <w:pPr>
            <w:pStyle w:val="BodyTextWhite"/>
            <w:rPr>
              <w:color w:val="auto"/>
            </w:rPr>
          </w:pPr>
          <w:r w:rsidRPr="005C1ACC">
            <w:rPr>
              <w:color w:val="auto"/>
            </w:rPr>
            <w:t>RB-ILD</w:t>
          </w:r>
          <w:r w:rsidRPr="005C1ACC">
            <w:rPr>
              <w:color w:val="auto"/>
            </w:rPr>
            <w:tab/>
          </w:r>
          <w:r w:rsidRPr="005C1ACC">
            <w:rPr>
              <w:color w:val="auto"/>
            </w:rPr>
            <w:tab/>
          </w:r>
          <w:r w:rsidRPr="005C1ACC">
            <w:rPr>
              <w:color w:val="auto"/>
            </w:rPr>
            <w:tab/>
            <w:t>Respiratory bronchiolitis-associated interstitial lung disease</w:t>
          </w:r>
        </w:p>
        <w:p w14:paraId="008F6F53" w14:textId="77777777" w:rsidR="00E5716A" w:rsidRPr="005C1ACC" w:rsidRDefault="00E5716A" w:rsidP="005C1ACC">
          <w:pPr>
            <w:pStyle w:val="BodyTextWhite"/>
            <w:rPr>
              <w:color w:val="auto"/>
            </w:rPr>
          </w:pPr>
          <w:r w:rsidRPr="005C1ACC">
            <w:rPr>
              <w:color w:val="auto"/>
            </w:rPr>
            <w:t>RHI</w:t>
          </w:r>
          <w:r w:rsidRPr="005C1ACC">
            <w:rPr>
              <w:color w:val="auto"/>
            </w:rPr>
            <w:tab/>
          </w:r>
          <w:r w:rsidRPr="005C1ACC">
            <w:rPr>
              <w:color w:val="auto"/>
            </w:rPr>
            <w:tab/>
          </w:r>
          <w:r w:rsidRPr="005C1ACC">
            <w:rPr>
              <w:color w:val="auto"/>
            </w:rPr>
            <w:tab/>
            <w:t>Reactive hyperaemia index</w:t>
          </w:r>
        </w:p>
        <w:p w14:paraId="19AE76A1" w14:textId="77777777" w:rsidR="006C68FB" w:rsidRPr="005C1ACC" w:rsidRDefault="006C68FB" w:rsidP="005C1ACC">
          <w:pPr>
            <w:pStyle w:val="BodyTextWhite"/>
            <w:rPr>
              <w:color w:val="auto"/>
            </w:rPr>
          </w:pPr>
          <w:r w:rsidRPr="005C1ACC">
            <w:rPr>
              <w:color w:val="auto"/>
            </w:rPr>
            <w:t>ROS</w:t>
          </w:r>
          <w:r w:rsidRPr="005C1ACC">
            <w:rPr>
              <w:color w:val="auto"/>
            </w:rPr>
            <w:tab/>
          </w:r>
          <w:r w:rsidRPr="005C1ACC">
            <w:rPr>
              <w:color w:val="auto"/>
            </w:rPr>
            <w:tab/>
          </w:r>
          <w:r w:rsidRPr="005C1ACC">
            <w:rPr>
              <w:color w:val="auto"/>
            </w:rPr>
            <w:tab/>
            <w:t>Reactive oxygen species</w:t>
          </w:r>
        </w:p>
        <w:p w14:paraId="5509D029" w14:textId="77777777" w:rsidR="006C68FB" w:rsidRPr="005C1ACC" w:rsidRDefault="006C68FB" w:rsidP="005C1ACC">
          <w:pPr>
            <w:pStyle w:val="BodyTextWhite"/>
            <w:rPr>
              <w:color w:val="auto"/>
            </w:rPr>
          </w:pPr>
          <w:r w:rsidRPr="005C1ACC">
            <w:rPr>
              <w:color w:val="auto"/>
            </w:rPr>
            <w:t>rs</w:t>
          </w:r>
          <w:r w:rsidRPr="005C1ACC">
            <w:rPr>
              <w:color w:val="auto"/>
            </w:rPr>
            <w:tab/>
          </w:r>
          <w:r w:rsidRPr="005C1ACC">
            <w:rPr>
              <w:color w:val="auto"/>
            </w:rPr>
            <w:tab/>
          </w:r>
          <w:r w:rsidRPr="005C1ACC">
            <w:rPr>
              <w:color w:val="auto"/>
            </w:rPr>
            <w:tab/>
            <w:t>Spearman’s rank correlation coefficient</w:t>
          </w:r>
        </w:p>
        <w:p w14:paraId="748399C8" w14:textId="64B360C4" w:rsidR="00915DA7" w:rsidRPr="005C1ACC" w:rsidRDefault="00915DA7" w:rsidP="005C1ACC">
          <w:pPr>
            <w:pStyle w:val="BodyTextWhite"/>
            <w:rPr>
              <w:color w:val="auto"/>
            </w:rPr>
          </w:pPr>
          <w:r w:rsidRPr="005C1ACC">
            <w:rPr>
              <w:color w:val="auto"/>
            </w:rPr>
            <w:t xml:space="preserve">SALSUS </w:t>
          </w:r>
          <w:r w:rsidRPr="005C1ACC">
            <w:rPr>
              <w:color w:val="auto"/>
            </w:rPr>
            <w:tab/>
          </w:r>
          <w:r w:rsidRPr="005C1ACC">
            <w:rPr>
              <w:color w:val="auto"/>
            </w:rPr>
            <w:tab/>
            <w:t>Scottish Schools Adolescent Lifestyle and Substance Use Survey</w:t>
          </w:r>
        </w:p>
        <w:p w14:paraId="77AF90ED" w14:textId="77777777" w:rsidR="006C68FB" w:rsidRPr="005C1ACC" w:rsidRDefault="006C68FB" w:rsidP="005C1ACC">
          <w:pPr>
            <w:pStyle w:val="BodyTextWhite"/>
            <w:rPr>
              <w:color w:val="auto"/>
            </w:rPr>
          </w:pPr>
          <w:r w:rsidRPr="005C1ACC">
            <w:rPr>
              <w:color w:val="auto"/>
            </w:rPr>
            <w:t>SBP</w:t>
          </w:r>
          <w:r w:rsidRPr="005C1ACC">
            <w:rPr>
              <w:color w:val="auto"/>
            </w:rPr>
            <w:tab/>
          </w:r>
          <w:r w:rsidRPr="005C1ACC">
            <w:rPr>
              <w:color w:val="auto"/>
            </w:rPr>
            <w:tab/>
          </w:r>
          <w:r w:rsidRPr="005C1ACC">
            <w:rPr>
              <w:color w:val="auto"/>
            </w:rPr>
            <w:tab/>
            <w:t>Systolic blood pressure</w:t>
          </w:r>
        </w:p>
        <w:p w14:paraId="2557DD4B" w14:textId="77777777" w:rsidR="006C68FB" w:rsidRPr="005C1ACC" w:rsidRDefault="006C68FB" w:rsidP="005C1ACC">
          <w:pPr>
            <w:pStyle w:val="BodyTextWhite"/>
            <w:rPr>
              <w:color w:val="auto"/>
            </w:rPr>
          </w:pPr>
          <w:r w:rsidRPr="005C1ACC">
            <w:rPr>
              <w:color w:val="auto"/>
            </w:rPr>
            <w:lastRenderedPageBreak/>
            <w:t>SD</w:t>
          </w:r>
          <w:r w:rsidRPr="005C1ACC">
            <w:rPr>
              <w:color w:val="auto"/>
            </w:rPr>
            <w:tab/>
          </w:r>
          <w:r w:rsidRPr="005C1ACC">
            <w:rPr>
              <w:color w:val="auto"/>
            </w:rPr>
            <w:tab/>
          </w:r>
          <w:r w:rsidRPr="005C1ACC">
            <w:rPr>
              <w:color w:val="auto"/>
            </w:rPr>
            <w:tab/>
            <w:t>Standard deviation</w:t>
          </w:r>
        </w:p>
        <w:p w14:paraId="36D15034" w14:textId="77777777" w:rsidR="006C68FB" w:rsidRPr="005C1ACC" w:rsidRDefault="006C68FB" w:rsidP="005C1ACC">
          <w:pPr>
            <w:pStyle w:val="BodyTextWhite"/>
            <w:rPr>
              <w:color w:val="auto"/>
            </w:rPr>
          </w:pPr>
          <w:r w:rsidRPr="005C1ACC">
            <w:rPr>
              <w:color w:val="auto"/>
            </w:rPr>
            <w:t>SEM</w:t>
          </w:r>
          <w:r w:rsidRPr="005C1ACC">
            <w:rPr>
              <w:color w:val="auto"/>
            </w:rPr>
            <w:tab/>
          </w:r>
          <w:r w:rsidRPr="005C1ACC">
            <w:rPr>
              <w:color w:val="auto"/>
            </w:rPr>
            <w:tab/>
          </w:r>
          <w:r w:rsidRPr="005C1ACC">
            <w:rPr>
              <w:color w:val="auto"/>
            </w:rPr>
            <w:tab/>
            <w:t>Standard error of the mean</w:t>
          </w:r>
        </w:p>
        <w:p w14:paraId="16FE9915" w14:textId="77777777" w:rsidR="006C68FB" w:rsidRPr="005C1ACC" w:rsidRDefault="006C68FB" w:rsidP="005C1ACC">
          <w:pPr>
            <w:pStyle w:val="BodyTextWhite"/>
            <w:rPr>
              <w:color w:val="auto"/>
            </w:rPr>
          </w:pPr>
          <w:r w:rsidRPr="005C1ACC">
            <w:rPr>
              <w:color w:val="auto"/>
            </w:rPr>
            <w:t>SHS</w:t>
          </w:r>
          <w:r w:rsidRPr="005C1ACC">
            <w:rPr>
              <w:color w:val="auto"/>
            </w:rPr>
            <w:tab/>
          </w:r>
          <w:r w:rsidRPr="005C1ACC">
            <w:rPr>
              <w:color w:val="auto"/>
            </w:rPr>
            <w:tab/>
          </w:r>
          <w:r w:rsidRPr="005C1ACC">
            <w:rPr>
              <w:color w:val="auto"/>
            </w:rPr>
            <w:tab/>
            <w:t>Second-hand smoke</w:t>
          </w:r>
        </w:p>
        <w:p w14:paraId="40438B54" w14:textId="77777777" w:rsidR="006C68FB" w:rsidRPr="005C1ACC" w:rsidRDefault="006C68FB" w:rsidP="005C1ACC">
          <w:pPr>
            <w:pStyle w:val="BodyTextWhite"/>
            <w:rPr>
              <w:color w:val="auto"/>
            </w:rPr>
          </w:pPr>
          <w:r w:rsidRPr="005C1ACC">
            <w:rPr>
              <w:color w:val="auto"/>
            </w:rPr>
            <w:t>STP</w:t>
          </w:r>
          <w:r w:rsidRPr="005C1ACC">
            <w:rPr>
              <w:color w:val="auto"/>
            </w:rPr>
            <w:tab/>
          </w:r>
          <w:r w:rsidRPr="005C1ACC">
            <w:rPr>
              <w:color w:val="auto"/>
            </w:rPr>
            <w:tab/>
          </w:r>
          <w:r w:rsidRPr="005C1ACC">
            <w:rPr>
              <w:color w:val="auto"/>
            </w:rPr>
            <w:tab/>
            <w:t>Smokeless tobacco product</w:t>
          </w:r>
        </w:p>
        <w:p w14:paraId="7A44E10A" w14:textId="77777777" w:rsidR="006C68FB" w:rsidRPr="005C1ACC" w:rsidRDefault="006C68FB" w:rsidP="005C1ACC">
          <w:pPr>
            <w:pStyle w:val="BodyTextWhite"/>
            <w:rPr>
              <w:color w:val="auto"/>
            </w:rPr>
          </w:pPr>
          <w:r w:rsidRPr="005C1ACC">
            <w:rPr>
              <w:color w:val="auto"/>
            </w:rPr>
            <w:t>supF</w:t>
          </w:r>
          <w:r w:rsidRPr="005C1ACC">
            <w:rPr>
              <w:color w:val="auto"/>
            </w:rPr>
            <w:tab/>
          </w:r>
          <w:r w:rsidRPr="005C1ACC">
            <w:rPr>
              <w:color w:val="auto"/>
            </w:rPr>
            <w:tab/>
          </w:r>
          <w:r w:rsidRPr="005C1ACC">
            <w:rPr>
              <w:color w:val="auto"/>
            </w:rPr>
            <w:tab/>
            <w:t>Gene found in Escherichia coli</w:t>
          </w:r>
        </w:p>
        <w:p w14:paraId="3F7A406F" w14:textId="77777777" w:rsidR="006C68FB" w:rsidRPr="005C1ACC" w:rsidRDefault="006C68FB" w:rsidP="005C1ACC">
          <w:pPr>
            <w:pStyle w:val="BodyTextWhite"/>
            <w:rPr>
              <w:color w:val="auto"/>
            </w:rPr>
          </w:pPr>
          <w:r w:rsidRPr="005C1ACC">
            <w:rPr>
              <w:color w:val="auto"/>
            </w:rPr>
            <w:t>SUV max</w:t>
          </w:r>
          <w:r w:rsidRPr="005C1ACC">
            <w:rPr>
              <w:color w:val="auto"/>
            </w:rPr>
            <w:tab/>
          </w:r>
          <w:r w:rsidRPr="005C1ACC">
            <w:rPr>
              <w:color w:val="auto"/>
            </w:rPr>
            <w:tab/>
            <w:t>Maximum standardized uptake value</w:t>
          </w:r>
        </w:p>
        <w:p w14:paraId="5006A948" w14:textId="77777777" w:rsidR="00915DA7" w:rsidRPr="005C1ACC" w:rsidRDefault="00915DA7" w:rsidP="005C1ACC">
          <w:pPr>
            <w:pStyle w:val="BodyTextWhite"/>
            <w:rPr>
              <w:color w:val="auto"/>
            </w:rPr>
          </w:pPr>
          <w:r w:rsidRPr="005C1ACC">
            <w:rPr>
              <w:color w:val="auto"/>
            </w:rPr>
            <w:t xml:space="preserve">TATAMS </w:t>
          </w:r>
          <w:r w:rsidRPr="005C1ACC">
            <w:rPr>
              <w:color w:val="auto"/>
            </w:rPr>
            <w:tab/>
          </w:r>
          <w:r w:rsidRPr="005C1ACC">
            <w:rPr>
              <w:color w:val="auto"/>
            </w:rPr>
            <w:tab/>
            <w:t>Texas Adolescent Tobacco and Marketing Surveillance System</w:t>
          </w:r>
        </w:p>
        <w:p w14:paraId="2A990985" w14:textId="77777777" w:rsidR="006C68FB" w:rsidRPr="005C1ACC" w:rsidRDefault="006C68FB" w:rsidP="005C1ACC">
          <w:pPr>
            <w:pStyle w:val="BodyTextWhite"/>
            <w:rPr>
              <w:color w:val="auto"/>
            </w:rPr>
          </w:pPr>
          <w:r w:rsidRPr="005C1ACC">
            <w:rPr>
              <w:color w:val="auto"/>
            </w:rPr>
            <w:t>TCEP</w:t>
          </w:r>
          <w:r w:rsidRPr="005C1ACC">
            <w:rPr>
              <w:color w:val="auto"/>
            </w:rPr>
            <w:tab/>
          </w:r>
          <w:r w:rsidRPr="005C1ACC">
            <w:rPr>
              <w:color w:val="auto"/>
            </w:rPr>
            <w:tab/>
          </w:r>
          <w:r w:rsidRPr="005C1ACC">
            <w:rPr>
              <w:color w:val="auto"/>
            </w:rPr>
            <w:tab/>
            <w:t>Tris(2-chloroethyl) phosphate</w:t>
          </w:r>
        </w:p>
        <w:p w14:paraId="4C0F0F67" w14:textId="77777777" w:rsidR="006C68FB" w:rsidRPr="005C1ACC" w:rsidRDefault="006C68FB" w:rsidP="005C1ACC">
          <w:pPr>
            <w:pStyle w:val="BodyTextWhite"/>
            <w:rPr>
              <w:color w:val="auto"/>
            </w:rPr>
          </w:pPr>
          <w:r w:rsidRPr="005C1ACC">
            <w:rPr>
              <w:color w:val="auto"/>
            </w:rPr>
            <w:t>THP-1</w:t>
          </w:r>
          <w:r w:rsidRPr="005C1ACC">
            <w:rPr>
              <w:color w:val="auto"/>
            </w:rPr>
            <w:tab/>
          </w:r>
          <w:r w:rsidRPr="005C1ACC">
            <w:rPr>
              <w:color w:val="auto"/>
            </w:rPr>
            <w:tab/>
          </w:r>
          <w:r w:rsidRPr="005C1ACC">
            <w:rPr>
              <w:color w:val="auto"/>
            </w:rPr>
            <w:tab/>
            <w:t>Tamm-Horsfall Protein 1</w:t>
          </w:r>
        </w:p>
        <w:p w14:paraId="78CEC552" w14:textId="77777777" w:rsidR="006C68FB" w:rsidRPr="005C1ACC" w:rsidRDefault="006C68FB" w:rsidP="005C1ACC">
          <w:pPr>
            <w:pStyle w:val="BodyTextWhite"/>
            <w:rPr>
              <w:color w:val="auto"/>
            </w:rPr>
          </w:pPr>
          <w:r w:rsidRPr="005C1ACC">
            <w:rPr>
              <w:color w:val="auto"/>
            </w:rPr>
            <w:t>TNF-α</w:t>
          </w:r>
          <w:r w:rsidRPr="005C1ACC">
            <w:rPr>
              <w:color w:val="auto"/>
            </w:rPr>
            <w:tab/>
          </w:r>
          <w:r w:rsidRPr="005C1ACC">
            <w:rPr>
              <w:color w:val="auto"/>
            </w:rPr>
            <w:tab/>
          </w:r>
          <w:r w:rsidRPr="005C1ACC">
            <w:rPr>
              <w:color w:val="auto"/>
            </w:rPr>
            <w:tab/>
            <w:t xml:space="preserve">Tumor necrosis factor-α </w:t>
          </w:r>
        </w:p>
        <w:p w14:paraId="2F74D200" w14:textId="77777777" w:rsidR="006C68FB" w:rsidRPr="005C1ACC" w:rsidRDefault="006C68FB" w:rsidP="005C1ACC">
          <w:pPr>
            <w:pStyle w:val="BodyTextWhite"/>
            <w:rPr>
              <w:color w:val="auto"/>
            </w:rPr>
          </w:pPr>
          <w:r w:rsidRPr="005C1ACC">
            <w:rPr>
              <w:color w:val="auto"/>
            </w:rPr>
            <w:t>TSNA</w:t>
          </w:r>
          <w:r w:rsidRPr="005C1ACC">
            <w:rPr>
              <w:color w:val="auto"/>
            </w:rPr>
            <w:tab/>
          </w:r>
          <w:r w:rsidRPr="005C1ACC">
            <w:rPr>
              <w:color w:val="auto"/>
            </w:rPr>
            <w:tab/>
          </w:r>
          <w:r w:rsidRPr="005C1ACC">
            <w:rPr>
              <w:color w:val="auto"/>
            </w:rPr>
            <w:tab/>
            <w:t>Tobacco-specific nitrosamines</w:t>
          </w:r>
        </w:p>
        <w:p w14:paraId="2FA9238A" w14:textId="77777777" w:rsidR="00915DA7" w:rsidRPr="005C1ACC" w:rsidRDefault="00915DA7" w:rsidP="005C1ACC">
          <w:pPr>
            <w:pStyle w:val="BodyTextWhite"/>
            <w:rPr>
              <w:color w:val="auto"/>
            </w:rPr>
          </w:pPr>
          <w:r w:rsidRPr="005C1ACC">
            <w:rPr>
              <w:color w:val="auto"/>
            </w:rPr>
            <w:t xml:space="preserve">TUS-CPS </w:t>
          </w:r>
          <w:r w:rsidRPr="005C1ACC">
            <w:rPr>
              <w:color w:val="auto"/>
            </w:rPr>
            <w:tab/>
          </w:r>
          <w:r w:rsidRPr="005C1ACC">
            <w:rPr>
              <w:color w:val="auto"/>
            </w:rPr>
            <w:tab/>
            <w:t>Tobacco Use Supplement-Current Population Survey</w:t>
          </w:r>
        </w:p>
        <w:p w14:paraId="06C5414C" w14:textId="77777777" w:rsidR="00915DA7" w:rsidRPr="005C1ACC" w:rsidRDefault="00915DA7" w:rsidP="005C1ACC">
          <w:pPr>
            <w:pStyle w:val="BodyTextWhite"/>
            <w:rPr>
              <w:color w:val="auto"/>
            </w:rPr>
          </w:pPr>
          <w:r w:rsidRPr="005C1ACC">
            <w:rPr>
              <w:color w:val="auto"/>
            </w:rPr>
            <w:t xml:space="preserve">UK </w:t>
          </w:r>
          <w:r w:rsidRPr="005C1ACC">
            <w:rPr>
              <w:color w:val="auto"/>
            </w:rPr>
            <w:tab/>
          </w:r>
          <w:r w:rsidRPr="005C1ACC">
            <w:rPr>
              <w:color w:val="auto"/>
            </w:rPr>
            <w:tab/>
          </w:r>
          <w:r w:rsidRPr="005C1ACC">
            <w:rPr>
              <w:color w:val="auto"/>
            </w:rPr>
            <w:tab/>
            <w:t xml:space="preserve">United Kingdom </w:t>
          </w:r>
        </w:p>
        <w:p w14:paraId="5866C41E" w14:textId="77777777" w:rsidR="00915DA7" w:rsidRPr="005C1ACC" w:rsidRDefault="00915DA7" w:rsidP="005C1ACC">
          <w:pPr>
            <w:pStyle w:val="BodyTextWhite"/>
            <w:rPr>
              <w:color w:val="auto"/>
            </w:rPr>
          </w:pPr>
          <w:r w:rsidRPr="005C1ACC">
            <w:rPr>
              <w:color w:val="auto"/>
            </w:rPr>
            <w:t xml:space="preserve">US </w:t>
          </w:r>
          <w:r w:rsidRPr="005C1ACC">
            <w:rPr>
              <w:color w:val="auto"/>
            </w:rPr>
            <w:tab/>
          </w:r>
          <w:r w:rsidRPr="005C1ACC">
            <w:rPr>
              <w:color w:val="auto"/>
            </w:rPr>
            <w:tab/>
          </w:r>
          <w:r w:rsidRPr="005C1ACC">
            <w:rPr>
              <w:color w:val="auto"/>
            </w:rPr>
            <w:tab/>
            <w:t>United States</w:t>
          </w:r>
        </w:p>
        <w:p w14:paraId="797EA5FC" w14:textId="77777777" w:rsidR="006C68FB" w:rsidRPr="005C1ACC" w:rsidRDefault="006C68FB" w:rsidP="005C1ACC">
          <w:pPr>
            <w:pStyle w:val="BodyTextWhite"/>
            <w:rPr>
              <w:color w:val="auto"/>
            </w:rPr>
          </w:pPr>
          <w:r w:rsidRPr="005C1ACC">
            <w:rPr>
              <w:color w:val="auto"/>
            </w:rPr>
            <w:t>VCAM-1</w:t>
          </w:r>
          <w:r w:rsidRPr="005C1ACC">
            <w:rPr>
              <w:color w:val="auto"/>
            </w:rPr>
            <w:tab/>
          </w:r>
          <w:r w:rsidRPr="005C1ACC">
            <w:rPr>
              <w:color w:val="auto"/>
            </w:rPr>
            <w:tab/>
            <w:t>Vascular cell adhesion protein 1</w:t>
          </w:r>
        </w:p>
        <w:p w14:paraId="0AB2B4C1" w14:textId="77777777" w:rsidR="006C68FB" w:rsidRPr="005C1ACC" w:rsidRDefault="006C68FB" w:rsidP="005C1ACC">
          <w:pPr>
            <w:pStyle w:val="BodyTextWhite"/>
            <w:rPr>
              <w:color w:val="auto"/>
            </w:rPr>
          </w:pPr>
          <w:r w:rsidRPr="005C1ACC">
            <w:rPr>
              <w:color w:val="auto"/>
            </w:rPr>
            <w:t>VG</w:t>
          </w:r>
          <w:r w:rsidRPr="005C1ACC">
            <w:rPr>
              <w:color w:val="auto"/>
            </w:rPr>
            <w:tab/>
          </w:r>
          <w:r w:rsidRPr="005C1ACC">
            <w:rPr>
              <w:color w:val="auto"/>
            </w:rPr>
            <w:tab/>
          </w:r>
          <w:r w:rsidRPr="005C1ACC">
            <w:rPr>
              <w:color w:val="auto"/>
            </w:rPr>
            <w:tab/>
            <w:t>Vegetable glycerol</w:t>
          </w:r>
        </w:p>
        <w:p w14:paraId="04CCFB80" w14:textId="77777777" w:rsidR="006C68FB" w:rsidRPr="005C1ACC" w:rsidRDefault="006C68FB" w:rsidP="005C1ACC">
          <w:pPr>
            <w:pStyle w:val="BodyTextWhite"/>
            <w:rPr>
              <w:color w:val="auto"/>
            </w:rPr>
          </w:pPr>
          <w:r w:rsidRPr="005C1ACC">
            <w:rPr>
              <w:color w:val="auto"/>
            </w:rPr>
            <w:t>VOC</w:t>
          </w:r>
          <w:r w:rsidRPr="005C1ACC">
            <w:rPr>
              <w:color w:val="auto"/>
            </w:rPr>
            <w:tab/>
          </w:r>
          <w:r w:rsidRPr="005C1ACC">
            <w:rPr>
              <w:color w:val="auto"/>
            </w:rPr>
            <w:tab/>
          </w:r>
          <w:r w:rsidRPr="005C1ACC">
            <w:rPr>
              <w:color w:val="auto"/>
            </w:rPr>
            <w:tab/>
            <w:t>Volatile organic compounds (toxicants)</w:t>
          </w:r>
        </w:p>
        <w:p w14:paraId="46D9177F" w14:textId="50941CCA" w:rsidR="006C68FB" w:rsidRPr="005C1ACC" w:rsidRDefault="006C68FB" w:rsidP="005C1ACC">
          <w:pPr>
            <w:pStyle w:val="BodyTextWhite"/>
            <w:rPr>
              <w:color w:val="auto"/>
            </w:rPr>
          </w:pPr>
          <w:r w:rsidRPr="005C1ACC">
            <w:rPr>
              <w:color w:val="auto"/>
            </w:rPr>
            <w:t>WHO</w:t>
          </w:r>
          <w:r w:rsidRPr="005C1ACC">
            <w:rPr>
              <w:color w:val="auto"/>
            </w:rPr>
            <w:tab/>
          </w:r>
          <w:r w:rsidRPr="005C1ACC">
            <w:rPr>
              <w:color w:val="auto"/>
            </w:rPr>
            <w:tab/>
          </w:r>
          <w:r w:rsidRPr="005C1ACC">
            <w:rPr>
              <w:color w:val="auto"/>
            </w:rPr>
            <w:tab/>
            <w:t>World Health Organi</w:t>
          </w:r>
          <w:r w:rsidR="0045075B">
            <w:rPr>
              <w:color w:val="auto"/>
            </w:rPr>
            <w:t>z</w:t>
          </w:r>
          <w:r w:rsidRPr="005C1ACC">
            <w:rPr>
              <w:color w:val="auto"/>
            </w:rPr>
            <w:t>ation</w:t>
          </w:r>
        </w:p>
        <w:p w14:paraId="79ECE0DC" w14:textId="77777777" w:rsidR="00D45E95" w:rsidRDefault="00D45E95" w:rsidP="005C1ACC">
          <w:pPr>
            <w:pStyle w:val="BodyTextWhite"/>
            <w:rPr>
              <w:color w:val="auto"/>
            </w:rPr>
          </w:pPr>
        </w:p>
        <w:p w14:paraId="0B94427E" w14:textId="77777777" w:rsidR="00D45E95" w:rsidRDefault="00D45E95">
          <w:pPr>
            <w:spacing w:after="0"/>
            <w:rPr>
              <w:color w:val="auto"/>
              <w:sz w:val="24"/>
            </w:rPr>
          </w:pPr>
          <w:r>
            <w:rPr>
              <w:color w:val="auto"/>
            </w:rPr>
            <w:br w:type="page"/>
          </w:r>
        </w:p>
        <w:p w14:paraId="438344E6" w14:textId="77777777" w:rsidR="00D45E95" w:rsidRPr="001D36DC" w:rsidRDefault="00D45E95" w:rsidP="00BF0D67">
          <w:pPr>
            <w:pStyle w:val="Heading1notnumbered"/>
          </w:pPr>
          <w:bookmarkStart w:id="6" w:name="_Toc517706622"/>
          <w:r>
            <w:lastRenderedPageBreak/>
            <w:t>Methods of this review</w:t>
          </w:r>
          <w:bookmarkEnd w:id="6"/>
        </w:p>
        <w:p w14:paraId="1DF70A7E" w14:textId="77777777" w:rsidR="00D45E95" w:rsidRDefault="00D45E95" w:rsidP="00BF0D67">
          <w:pPr>
            <w:pStyle w:val="Heading2notnumbered"/>
          </w:pPr>
          <w:bookmarkStart w:id="7" w:name="_Toc517706623"/>
          <w:r>
            <w:t>Purpose of the review</w:t>
          </w:r>
          <w:bookmarkEnd w:id="7"/>
        </w:p>
        <w:p w14:paraId="295A3C92" w14:textId="41E45B1E" w:rsidR="00D45E95" w:rsidRDefault="00D45E95" w:rsidP="00D45E95">
          <w:pPr>
            <w:pStyle w:val="BodyText"/>
          </w:pPr>
          <w:r>
            <w:t>This report follows an evidenced-based approach into the use of e-cigarettes and personal vaporisers and an assessment of their potential to influence individual and population health, particularly relative to tobacco use and other tobacco cessation methods.</w:t>
          </w:r>
        </w:p>
        <w:p w14:paraId="05D27ABE" w14:textId="77777777" w:rsidR="00D45E95" w:rsidRDefault="00D45E95" w:rsidP="00D45E95">
          <w:pPr>
            <w:pStyle w:val="BodyText"/>
          </w:pPr>
          <w:r>
            <w:t>Specifically, the inquiry:</w:t>
          </w:r>
        </w:p>
        <w:p w14:paraId="76BB8C5C" w14:textId="77777777" w:rsidR="00D45E95" w:rsidRDefault="00D45E95" w:rsidP="00D45E95">
          <w:pPr>
            <w:pStyle w:val="BodyText"/>
            <w:numPr>
              <w:ilvl w:val="0"/>
              <w:numId w:val="20"/>
            </w:numPr>
          </w:pPr>
          <w:r>
            <w:t>Reviews all available evidence applicable to the impacts of the use of e-cigarettes, personal vaporisers and nicotine on individual and population health. (Part 1)</w:t>
          </w:r>
        </w:p>
        <w:p w14:paraId="14048E40" w14:textId="77777777" w:rsidR="00D45E95" w:rsidRDefault="00D45E95" w:rsidP="00D45E95">
          <w:pPr>
            <w:pStyle w:val="BodyText"/>
            <w:numPr>
              <w:ilvl w:val="0"/>
              <w:numId w:val="20"/>
            </w:numPr>
          </w:pPr>
          <w:r>
            <w:t>Reviews all available evidence applicable to the use of e-cigarettes, personal vaporisers and nicotine on rates of smoking. (Part 2)</w:t>
          </w:r>
        </w:p>
        <w:p w14:paraId="0DD1E53A" w14:textId="77777777" w:rsidR="00D45E95" w:rsidRDefault="00D45E95" w:rsidP="00D45E95">
          <w:pPr>
            <w:pStyle w:val="BodyText"/>
            <w:numPr>
              <w:ilvl w:val="0"/>
              <w:numId w:val="20"/>
            </w:numPr>
          </w:pPr>
          <w:r>
            <w:t>Assesses the impacts on health of allowing the use of e-cigarettes and personal vaporisers in countries where they have been permitted. (Part 3)</w:t>
          </w:r>
        </w:p>
        <w:p w14:paraId="4853897B" w14:textId="77777777" w:rsidR="00D45E95" w:rsidRDefault="00D45E95" w:rsidP="00D45E95">
          <w:pPr>
            <w:pStyle w:val="BodyText"/>
            <w:numPr>
              <w:ilvl w:val="0"/>
              <w:numId w:val="20"/>
            </w:numPr>
          </w:pPr>
          <w:r>
            <w:t>Reviews the impact of e-cigarettes and personal vaporisers on individual health as an alternative to smoking. (Part 4)</w:t>
          </w:r>
        </w:p>
        <w:p w14:paraId="47CE225A" w14:textId="77777777" w:rsidR="00D45E95" w:rsidRDefault="00D45E95" w:rsidP="00D45E95">
          <w:pPr>
            <w:pStyle w:val="BodyText"/>
            <w:numPr>
              <w:ilvl w:val="0"/>
              <w:numId w:val="20"/>
            </w:numPr>
          </w:pPr>
          <w:r>
            <w:t>Identifies any potential for e-cigarettes to reduce rates of smoking in Australia. (Part 5)</w:t>
          </w:r>
        </w:p>
        <w:p w14:paraId="4A08BB66" w14:textId="77777777" w:rsidR="00D45E95" w:rsidRDefault="00D45E95" w:rsidP="00D45E95">
          <w:pPr>
            <w:pStyle w:val="BodyText"/>
            <w:numPr>
              <w:ilvl w:val="0"/>
              <w:numId w:val="20"/>
            </w:numPr>
          </w:pPr>
          <w:r>
            <w:t>Compares rates of tobacco smoking in countries where e-cigarettes and similar smoking alternatives are available with rates in countries where such products are not available. (Part 6)</w:t>
          </w:r>
        </w:p>
        <w:p w14:paraId="4C0A16B0" w14:textId="77777777" w:rsidR="00D45E95" w:rsidRDefault="00D45E95" w:rsidP="00D45E95">
          <w:pPr>
            <w:pStyle w:val="BodyText"/>
          </w:pPr>
        </w:p>
        <w:p w14:paraId="3A154796" w14:textId="77777777" w:rsidR="00D45E95" w:rsidRPr="001D36DC" w:rsidRDefault="00D45E95" w:rsidP="00BF0D67">
          <w:pPr>
            <w:pStyle w:val="Heading2notnumbered"/>
          </w:pPr>
          <w:bookmarkStart w:id="8" w:name="_Toc517706624"/>
          <w:r>
            <w:t>Overview</w:t>
          </w:r>
          <w:bookmarkEnd w:id="8"/>
        </w:p>
        <w:p w14:paraId="5D6823AD" w14:textId="77777777" w:rsidR="00D45E95" w:rsidRDefault="00D45E95" w:rsidP="00D45E95">
          <w:pPr>
            <w:pStyle w:val="BodyText"/>
          </w:pPr>
          <w:r w:rsidRPr="0099050A">
            <w:t xml:space="preserve">Two recent comprehensive reviews </w:t>
          </w:r>
          <w:r>
            <w:t xml:space="preserve">were produced in 2018 </w:t>
          </w:r>
          <w:r w:rsidRPr="0099050A">
            <w:t xml:space="preserve">by the US Academies of Sciences </w:t>
          </w:r>
          <w:r>
            <w:fldChar w:fldCharType="begin"/>
          </w:r>
          <w:r>
            <w:instrText xml:space="preserve"> ADDIN EN.CITE &lt;EndNote&gt;&lt;Cite&gt;&lt;Author&gt;Stratton&lt;/Author&gt;&lt;Year&gt;2018&lt;/Year&gt;&lt;RecNum&gt;7073&lt;/RecNum&gt;&lt;DisplayText&gt;(Stratton, Kwan et al. 2018)&lt;/DisplayText&gt;&lt;record&gt;&lt;rec-number&gt;7073&lt;/rec-number&gt;&lt;foreign-keys&gt;&lt;key app="EN" db-id="5xv5w5t2bdxtxfezx02xtxdft5rz5ptvvt29" timestamp="1521076678"&gt;7073&lt;/key&gt;&lt;/foreign-keys&gt;&lt;ref-type name="Report"&gt;27&lt;/ref-type&gt;&lt;contributors&gt;&lt;authors&gt;&lt;author&gt;Kathleen Stratton&lt;/author&gt;&lt;author&gt;Leslie Y Kwan&lt;/author&gt;&lt;author&gt;David L Eaton&lt;/author&gt;&lt;/authors&gt;&lt;tertiary-authors&gt;&lt;author&gt;The National Academies Press&lt;/author&gt;&lt;/tertiary-authors&gt;&lt;/contributors&gt;&lt;titles&gt;&lt;title&gt;Public Health Consequences of e-Cigarettes&lt;/title&gt;&lt;/titles&gt;&lt;dates&gt;&lt;year&gt;2018&lt;/year&gt;&lt;/dates&gt;&lt;pub-location&gt;Washington DC&lt;/pub-location&gt;&lt;publisher&gt;Board on Population Health and Public Health Practice, Health and Medicine Division, The National Academies of Sciences, Engineering and Medicine&lt;/publisher&gt;&lt;urls&gt;&lt;/urls&gt;&lt;/record&gt;&lt;/Cite&gt;&lt;/EndNote&gt;</w:instrText>
          </w:r>
          <w:r>
            <w:fldChar w:fldCharType="separate"/>
          </w:r>
          <w:r>
            <w:rPr>
              <w:noProof/>
            </w:rPr>
            <w:t>(Stratton, Kwan et al. 2018)</w:t>
          </w:r>
          <w:r>
            <w:fldChar w:fldCharType="end"/>
          </w:r>
          <w:r>
            <w:t xml:space="preserve"> </w:t>
          </w:r>
          <w:r w:rsidRPr="0099050A">
            <w:t xml:space="preserve">and Public Health England </w:t>
          </w:r>
          <w:r>
            <w:fldChar w:fldCharType="begin"/>
          </w:r>
          <w:r>
            <w:instrText xml:space="preserve"> ADDIN EN.CITE &lt;EndNote&gt;&lt;Cite&gt;&lt;Author&gt;McNeill A&lt;/Author&gt;&lt;Year&gt;2018&lt;/Year&gt;&lt;RecNum&gt;13025&lt;/RecNum&gt;&lt;DisplayText&gt;(McNeill A 2018)&lt;/DisplayText&gt;&lt;record&gt;&lt;rec-number&gt;13025&lt;/rec-number&gt;&lt;foreign-keys&gt;&lt;key app="EN" db-id="5xv5w5t2bdxtxfezx02xtxdft5rz5ptvvt29" timestamp="1524018409"&gt;13025&lt;/key&gt;&lt;/foreign-keys&gt;&lt;ref-type name="Journal Article"&gt;17&lt;/ref-type&gt;&lt;contributors&gt;&lt;authors&gt;&lt;author&gt;McNeill A,  Brose LS, Calder R,  Bauld L, Robson D.&lt;/author&gt;&lt;/authors&gt;&lt;/contributors&gt;&lt;titles&gt;&lt;title&gt;Evidence Review of e-cigarettes and heated tobacco products 2018. A Report comissioned by Public Health England.&lt;/title&gt;&lt;/titles&gt;&lt;dates&gt;&lt;year&gt;2018&lt;/year&gt;&lt;/dates&gt;&lt;urls&gt;&lt;/urls&gt;&lt;/record&gt;&lt;/Cite&gt;&lt;/EndNote&gt;</w:instrText>
          </w:r>
          <w:r>
            <w:fldChar w:fldCharType="separate"/>
          </w:r>
          <w:r>
            <w:rPr>
              <w:noProof/>
            </w:rPr>
            <w:t>(McNeill A 2018)</w:t>
          </w:r>
          <w:r>
            <w:fldChar w:fldCharType="end"/>
          </w:r>
          <w:r>
            <w:t xml:space="preserve">. </w:t>
          </w:r>
        </w:p>
        <w:p w14:paraId="7F2D8A0C" w14:textId="77777777" w:rsidR="00D45E95" w:rsidRDefault="00D45E95" w:rsidP="00D45E95">
          <w:pPr>
            <w:pStyle w:val="BodyText"/>
          </w:pPr>
          <w:r>
            <w:t xml:space="preserve">The conclusions from the US Academies of Sciences review, titled ‘Public Health Consequences of e-Cigarettes’ are summarised in Appendix A. </w:t>
          </w:r>
        </w:p>
        <w:p w14:paraId="1115E546" w14:textId="77777777" w:rsidR="00D45E95" w:rsidRDefault="00D45E95" w:rsidP="00D45E95">
          <w:pPr>
            <w:pStyle w:val="BodyText"/>
          </w:pPr>
          <w:r>
            <w:t xml:space="preserve">The purpose of the report was to: </w:t>
          </w:r>
        </w:p>
        <w:p w14:paraId="10096C19" w14:textId="77777777" w:rsidR="00D45E95" w:rsidRDefault="00D45E95" w:rsidP="00D45E95">
          <w:pPr>
            <w:pStyle w:val="BodyText"/>
            <w:numPr>
              <w:ilvl w:val="0"/>
              <w:numId w:val="28"/>
            </w:numPr>
          </w:pPr>
          <w:r>
            <w:t xml:space="preserve">conduct a critical, objective, and evidence-based review of the scientific evidence that addresses the various competing views on the public health consequences of e-cigarettes, </w:t>
          </w:r>
        </w:p>
        <w:p w14:paraId="5484C15D" w14:textId="77777777" w:rsidR="00D45E95" w:rsidRDefault="00D45E95" w:rsidP="00D45E95">
          <w:pPr>
            <w:pStyle w:val="BodyText"/>
            <w:numPr>
              <w:ilvl w:val="0"/>
              <w:numId w:val="28"/>
            </w:numPr>
          </w:pPr>
          <w:r>
            <w:t xml:space="preserve">make recommendations for the improvement of this research, and </w:t>
          </w:r>
        </w:p>
        <w:p w14:paraId="03FAF52A" w14:textId="77777777" w:rsidR="00D45E95" w:rsidRDefault="00D45E95" w:rsidP="00D45E95">
          <w:pPr>
            <w:pStyle w:val="BodyText"/>
            <w:numPr>
              <w:ilvl w:val="0"/>
              <w:numId w:val="28"/>
            </w:numPr>
          </w:pPr>
          <w:r>
            <w:t xml:space="preserve">highlight gaps that are a priority for future research. </w:t>
          </w:r>
        </w:p>
        <w:p w14:paraId="4D9C00B5" w14:textId="77777777" w:rsidR="00D45E95" w:rsidRDefault="00D45E95" w:rsidP="00D45E95">
          <w:pPr>
            <w:pStyle w:val="BodyText"/>
          </w:pPr>
          <w:r>
            <w:lastRenderedPageBreak/>
            <w:t>The scientific literature search for the report was conducted between 1 February 2017 and 31 August, 2017 in 6 databases – PubMed, Scopus, Web of Science, PsycINFO (ProQuest), Ovid (Medline), and Embase (Ovid). The following key terms were used: ecigarette, e-cigarettes, electronic cigarette, electronic cigarettes, electronic nicotine delivery, electronic nicotine device, vape, vaping, and e-liquid. Searches in PubMed and Medline also used the Medical Subject Headings (MeSH) term ‘electronic cigarettes.’ After identifying literature, titles and abstracts of the search results were reviewed to identify studies for inclusion in the review. Studies that met the inclusion criteria were sorted by population (human, in vivo, animal, and in vitro) and outcomes for committee review and quality assessment.</w:t>
          </w:r>
        </w:p>
        <w:p w14:paraId="74D3FF49" w14:textId="77777777" w:rsidR="00D45E95" w:rsidRDefault="00D45E95" w:rsidP="00D45E95">
          <w:pPr>
            <w:pStyle w:val="BodyText"/>
          </w:pPr>
          <w:r>
            <w:t xml:space="preserve">The purpose of the UK report was </w:t>
          </w:r>
          <w:r w:rsidRPr="0081732B">
            <w:t xml:space="preserve">to summarise evidence to underpin policy and regulation of </w:t>
          </w:r>
          <w:r>
            <w:t>e</w:t>
          </w:r>
          <w:r>
            <w:noBreakHyphen/>
            <w:t>cigarettes</w:t>
          </w:r>
          <w:r w:rsidRPr="0081732B">
            <w:t xml:space="preserve"> and novel nicotine delivery systems</w:t>
          </w:r>
          <w:r>
            <w:t xml:space="preserve">. The conclusions from relevant parts of the Public Health England report, titled ‘Evidence review of e-cigarettes and heated tobacco products’ are summarised in Appendix B. </w:t>
          </w:r>
        </w:p>
        <w:p w14:paraId="03F58411" w14:textId="77777777" w:rsidR="00D45E95" w:rsidRDefault="00D45E95" w:rsidP="00D45E95">
          <w:pPr>
            <w:pStyle w:val="BodyText"/>
          </w:pPr>
          <w:r>
            <w:t xml:space="preserve">The report was an update of a previous review, and searched the </w:t>
          </w:r>
          <w:r w:rsidRPr="00B83134">
            <w:t xml:space="preserve">peer reviewed literature on </w:t>
          </w:r>
          <w:r>
            <w:t>e</w:t>
          </w:r>
          <w:r>
            <w:noBreakHyphen/>
            <w:t>cigarettes</w:t>
          </w:r>
          <w:r w:rsidRPr="00B83134">
            <w:t xml:space="preserve"> produced between 1 January 2015 and 18 August 2017. </w:t>
          </w:r>
          <w:r>
            <w:t xml:space="preserve">The search </w:t>
          </w:r>
          <w:r w:rsidRPr="00B83134">
            <w:t xml:space="preserve">covered the following databases: Pubmed, Embase, PsychInfo, MEDLINE, Web of Science and CINAHL. </w:t>
          </w:r>
          <w:r>
            <w:t xml:space="preserve">The key search terms used were </w:t>
          </w:r>
          <w:r w:rsidRPr="00B83134">
            <w:t>e-cigarette</w:t>
          </w:r>
          <w:r>
            <w:t xml:space="preserve">, </w:t>
          </w:r>
          <w:r w:rsidRPr="00B83134">
            <w:t>Electronic cigarettes</w:t>
          </w:r>
          <w:r>
            <w:t xml:space="preserve">, </w:t>
          </w:r>
          <w:r w:rsidRPr="00B83134">
            <w:t>ENDS</w:t>
          </w:r>
          <w:r>
            <w:t>,</w:t>
          </w:r>
          <w:r w:rsidRPr="00B83134">
            <w:t xml:space="preserve"> electronic nicotine delivery systems</w:t>
          </w:r>
          <w:r>
            <w:t xml:space="preserve">, </w:t>
          </w:r>
          <w:r w:rsidRPr="00B83134">
            <w:t>Vaping</w:t>
          </w:r>
          <w:r>
            <w:t xml:space="preserve">, </w:t>
          </w:r>
          <w:r w:rsidRPr="00B83134">
            <w:t xml:space="preserve">Vape. Literature was included where it reported on </w:t>
          </w:r>
          <w:r>
            <w:t>e-cigarettes</w:t>
          </w:r>
          <w:r w:rsidRPr="00B83134">
            <w:t xml:space="preserve">, published new evidence or data from research studies, presented a new synthesis of existing evidence, detailed case studies relevant to </w:t>
          </w:r>
          <w:r>
            <w:t>e-cigarettes</w:t>
          </w:r>
          <w:r w:rsidRPr="00B83134">
            <w:t xml:space="preserve">, analysed policy and was published in English. </w:t>
          </w:r>
          <w:r>
            <w:t>Reports</w:t>
          </w:r>
          <w:r w:rsidRPr="00B83134">
            <w:t xml:space="preserve"> w</w:t>
          </w:r>
          <w:r>
            <w:t>ere</w:t>
          </w:r>
          <w:r w:rsidRPr="00B83134">
            <w:t xml:space="preserve"> excluded where they did not present new data, were editorial or opinion based in nature (i</w:t>
          </w:r>
          <w:r>
            <w:t>.</w:t>
          </w:r>
          <w:r w:rsidRPr="00B83134">
            <w:t>e</w:t>
          </w:r>
          <w:r>
            <w:t>.</w:t>
          </w:r>
          <w:r w:rsidRPr="00B83134">
            <w:t xml:space="preserve"> did not contain new data), syntheses or research findings, were not peer-reviewed or were published before 1 January 2015. Additional literature known to the authors was included where it was able to provide context. </w:t>
          </w:r>
        </w:p>
        <w:p w14:paraId="7CD82D0E" w14:textId="6BCBA1E2" w:rsidR="00D45E95" w:rsidRDefault="00D45E95" w:rsidP="00D45E95">
          <w:pPr>
            <w:pStyle w:val="BodyText"/>
          </w:pPr>
          <w:r>
            <w:t xml:space="preserve">These recent authoritative reviews are used as benchmarks to compare the findings of the most recent relevant studies that are identified in the present review. The WHO Framework Convention on Tobacco Control (FCTC) report 2016 also provides a useful overview, as does the US Surgeon General’s 2016 Report on e-Cigarette Use among Youth and Young Adults </w:t>
          </w:r>
          <w:r>
            <w:fldChar w:fldCharType="begin"/>
          </w:r>
          <w:r w:rsidR="00F632ED">
            <w:instrText xml:space="preserve"> ADDIN EN.CITE &lt;EndNote&gt;&lt;Cite&gt;&lt;Author&gt;US Dept of Health and Human Services&lt;/Author&gt;&lt;Year&gt;2016&lt;/Year&gt;&lt;RecNum&gt;13024&lt;/RecNum&gt;&lt;DisplayText&gt;(US Dept of Health and Human Services 2016, World Health Organization 2016)&lt;/DisplayText&gt;&lt;record&gt;&lt;rec-number&gt;13024&lt;/rec-number&gt;&lt;foreign-keys&gt;&lt;key app="EN" db-id="5xv5w5t2bdxtxfezx02xtxdft5rz5ptvvt29" timestamp="1524017182"&gt;13024&lt;/key&gt;&lt;/foreign-keys&gt;&lt;ref-type name="Journal Article"&gt;17&lt;/ref-type&gt;&lt;contributors&gt;&lt;authors&gt;&lt;author&gt;US Dept of Health and Human Services,&lt;/author&gt;&lt;/authors&gt;&lt;/contributors&gt;&lt;titles&gt;&lt;title&gt;E-cigarette Use among Youth and Young Adults:A report of the Surgeon General&lt;/title&gt;&lt;/titles&gt;&lt;dates&gt;&lt;year&gt;2016&lt;/year&gt;&lt;/dates&gt;&lt;urls&gt;&lt;/urls&gt;&lt;/record&gt;&lt;/Cite&gt;&lt;Cite&gt;&lt;Author&gt;World Health Organization&lt;/Author&gt;&lt;Year&gt;2016&lt;/Year&gt;&lt;RecNum&gt;13026&lt;/RecNum&gt;&lt;record&gt;&lt;rec-number&gt;13026&lt;/rec-number&gt;&lt;foreign-keys&gt;&lt;key app="EN" db-id="5xv5w5t2bdxtxfezx02xtxdft5rz5ptvvt29" timestamp="1524018676"&gt;13026&lt;/key&gt;&lt;/foreign-keys&gt;&lt;ref-type name="Journal Article"&gt;17&lt;/ref-type&gt;&lt;contributors&gt;&lt;authors&gt;&lt;author&gt;World Health Organization,&lt;/author&gt;&lt;/authors&gt;&lt;/contributors&gt;&lt;titles&gt;&lt;title&gt;Electronic Nicotine Delivery Systems and Electronic Non-Nicotine Delivery Systems (ENDS/ENNDS)&lt;/title&gt;&lt;/titles&gt;&lt;dates&gt;&lt;year&gt;2016&lt;/year&gt;&lt;/dates&gt;&lt;urls&gt;&lt;/urls&gt;&lt;/record&gt;&lt;/Cite&gt;&lt;/EndNote&gt;</w:instrText>
          </w:r>
          <w:r>
            <w:fldChar w:fldCharType="separate"/>
          </w:r>
          <w:r w:rsidR="00F632ED">
            <w:rPr>
              <w:noProof/>
            </w:rPr>
            <w:t>(US Dept of Health and Human Services 2016, World Health Organization 2016)</w:t>
          </w:r>
          <w:r>
            <w:fldChar w:fldCharType="end"/>
          </w:r>
          <w:r>
            <w:t>.</w:t>
          </w:r>
        </w:p>
        <w:p w14:paraId="0C456AB9" w14:textId="77777777" w:rsidR="00D45E95" w:rsidRPr="00B83134" w:rsidRDefault="00D45E95" w:rsidP="00D45E95">
          <w:pPr>
            <w:pStyle w:val="BodyText"/>
          </w:pPr>
        </w:p>
        <w:p w14:paraId="5E1BFFC4" w14:textId="77777777" w:rsidR="00D45E95" w:rsidRPr="00B65602" w:rsidRDefault="00D45E95" w:rsidP="00BF0D67">
          <w:pPr>
            <w:pStyle w:val="Heading2notnumbered"/>
          </w:pPr>
          <w:bookmarkStart w:id="9" w:name="_Toc517706625"/>
          <w:r w:rsidRPr="00B65602">
            <w:t>Method</w:t>
          </w:r>
          <w:bookmarkEnd w:id="9"/>
        </w:p>
        <w:p w14:paraId="732FE3C2" w14:textId="77777777" w:rsidR="00D45E95" w:rsidRDefault="00D45E95" w:rsidP="00D45E95">
          <w:pPr>
            <w:pStyle w:val="BodyText"/>
          </w:pPr>
          <w:r>
            <w:t xml:space="preserve">A library services professional conducted a literature search over the period 6-14 March 2018. The search was for literature published from 1 January 2017 until the date of the search. A further search was conducted on 11 May 2018 to identify scientific literature published after the date of the earlier search. The databases searched were Scopus, and Web of Science. The search terms used were: e-cigarettes, electronic cigarettes, ENDS, electronic nicotine delivery system, vape and vaping. </w:t>
          </w:r>
        </w:p>
        <w:p w14:paraId="0F41765A" w14:textId="77777777" w:rsidR="00D45E95" w:rsidRDefault="00D45E95" w:rsidP="00D45E95">
          <w:pPr>
            <w:pStyle w:val="BodyText"/>
          </w:pPr>
          <w:r>
            <w:lastRenderedPageBreak/>
            <w:t>A total of 1,514 articles were identified in the initial search, and 48 articles in the May search. The title was used to categorise articles into ‘health outcomes of e-cigarettes’ (sub-categorised as injuries, human studies, animal studies and in vitro studies), ‘use of e-cigarettes’, ‘prevalence of e</w:t>
          </w:r>
          <w:r>
            <w:noBreakHyphen/>
            <w:t>cigarettes’, ‘smoking cessation’, and ‘gateway effect of e-cigarettes’. Web-based searches were undertaken to ascertain other sources of information regarding the country specific prevalence rate of e-cigarette use and of conventional smoking. Topic areas were assigned to specific individuals who retrieved the full articles and assessed them for review based on the abstract and body of the report. Articles that were assessed as appropriate for review were read in full and specific information was abstracted into pre-specified tables. This information was described, synthesised and interpreted in the body of each report. Where relevant, each writer was asked to consider what the new studies added to the existing recent reviews, and the extent to which they were consistent with the previous conclusions.</w:t>
          </w:r>
        </w:p>
        <w:p w14:paraId="5D660B53" w14:textId="77777777" w:rsidR="00D45E95" w:rsidRPr="006B6098" w:rsidRDefault="00D45E95" w:rsidP="00D45E95">
          <w:pPr>
            <w:pStyle w:val="BodyText"/>
          </w:pPr>
        </w:p>
        <w:p w14:paraId="2ECD4492" w14:textId="77777777" w:rsidR="00D45E95" w:rsidRDefault="00D45E95" w:rsidP="00D45E95">
          <w:pPr>
            <w:pStyle w:val="BodyText"/>
          </w:pPr>
          <w:r>
            <w:t xml:space="preserve">    </w:t>
          </w:r>
        </w:p>
        <w:p w14:paraId="11672D3E" w14:textId="0F7B6311" w:rsidR="0013396C" w:rsidRDefault="0013396C" w:rsidP="005C1ACC">
          <w:pPr>
            <w:pStyle w:val="BodyTextWhite"/>
          </w:pPr>
          <w:r w:rsidRPr="005C1ACC">
            <w:rPr>
              <w:color w:val="auto"/>
            </w:rPr>
            <w:br w:type="page"/>
          </w:r>
        </w:p>
        <w:p w14:paraId="3E3F6FA7" w14:textId="77777777" w:rsidR="003D5827" w:rsidRDefault="003D5827" w:rsidP="003D5827">
          <w:pPr>
            <w:pStyle w:val="BodyText"/>
          </w:pPr>
        </w:p>
        <w:p w14:paraId="22AB2220" w14:textId="77777777" w:rsidR="00105146" w:rsidRPr="00105146" w:rsidRDefault="0013396C" w:rsidP="0013396C">
          <w:pPr>
            <w:pStyle w:val="PartTitle"/>
          </w:pPr>
          <w:bookmarkStart w:id="10" w:name="_Toc517706626"/>
          <w:r>
            <w:t>PART 1: Health i</w:t>
          </w:r>
          <w:r w:rsidR="00105146" w:rsidRPr="00105146">
            <w:t>mpact of e</w:t>
          </w:r>
          <w:r>
            <w:noBreakHyphen/>
          </w:r>
          <w:r w:rsidR="00105146" w:rsidRPr="00105146">
            <w:t>cigarettes and personal vaporisers</w:t>
          </w:r>
          <w:bookmarkEnd w:id="10"/>
          <w:r w:rsidR="00105146" w:rsidRPr="00105146">
            <w:t xml:space="preserve"> </w:t>
          </w:r>
        </w:p>
        <w:p w14:paraId="1A48F1E8" w14:textId="77777777" w:rsidR="000F0E2F" w:rsidRDefault="000F0E2F" w:rsidP="000F0E2F">
          <w:pPr>
            <w:pStyle w:val="Heading1notnumbered"/>
          </w:pPr>
          <w:bookmarkStart w:id="11" w:name="_Toc517706627"/>
          <w:r>
            <w:lastRenderedPageBreak/>
            <w:t>Executive summary</w:t>
          </w:r>
          <w:bookmarkEnd w:id="11"/>
        </w:p>
        <w:p w14:paraId="7B75014F" w14:textId="77777777" w:rsidR="00A10AA0" w:rsidRDefault="00A10AA0" w:rsidP="00A10AA0">
          <w:pPr>
            <w:pStyle w:val="BodyText"/>
          </w:pPr>
          <w:r>
            <w:t xml:space="preserve">There is a level of complexity to the consideration of the health effects of e-cigarettes. There have not been long-term studies of the health effects because the widespread use of e-cigarettes in some countries has been over years rather than decades. Furthermore, e-cigarette devices have been changing and there is wide variation in the fluids vaporised in these devices. </w:t>
          </w:r>
        </w:p>
        <w:p w14:paraId="52C01E19" w14:textId="5E9F145D" w:rsidR="00A10AA0" w:rsidRDefault="00A10AA0" w:rsidP="00A10AA0">
          <w:pPr>
            <w:pStyle w:val="BodyText"/>
          </w:pPr>
          <w:r>
            <w:t xml:space="preserve">The direct health effects of e-cigarettes are likely to differ according to how they are used, and what groups use them. An important consideration is the health impact for people where they are substituted for another behaviour such as conventional cigarette smoking. </w:t>
          </w:r>
          <w:r w:rsidR="005C1ACC">
            <w:t>An initial</w:t>
          </w:r>
          <w:r>
            <w:t xml:space="preserve"> view is that the risks of conventional smoking may be replaced by the risks of e-cigarette use – i.e. that people who are currently smoking cigarettes may completely replace this behaviour with use of e</w:t>
          </w:r>
          <w:r>
            <w:noBreakHyphen/>
            <w:t xml:space="preserve">cigarettes. </w:t>
          </w:r>
          <w:r w:rsidR="005C1ACC">
            <w:t>On further examination,</w:t>
          </w:r>
          <w:r>
            <w:t xml:space="preserve"> many people who smoke conventional cigarettes and choose to use e-cigarettes will use both. The health effects are then likely to depend on what happens with each behaviour, although there is the possibility that there is also a synergistic effect. Whilst ideally the adoption of e-cigarette use by a cigarette smoker might be expected to reduce the frequency of cigarette smoking, there are also other possibilities.</w:t>
          </w:r>
          <w:r w:rsidR="008146F9">
            <w:t xml:space="preserve"> </w:t>
          </w:r>
        </w:p>
        <w:p w14:paraId="2F4F7C3A" w14:textId="77777777" w:rsidR="00A10AA0" w:rsidRDefault="00A10AA0" w:rsidP="00A10AA0">
          <w:pPr>
            <w:pStyle w:val="BodyText"/>
          </w:pPr>
          <w:r>
            <w:t xml:space="preserve">The health outcomes included in this report cover studies on the health effects of e-cigarettes considered in isolation to other behaviours. Studies assessing the health effects of e-cigarettes in conventional cigarette smokers are discussed in </w:t>
          </w:r>
          <w:r w:rsidR="009C4CF6">
            <w:t>Part</w:t>
          </w:r>
          <w:r>
            <w:t xml:space="preserve"> 4: Impact of e-cigarettes for smokers where the competing health risks of e-cigarettes and conventional smoking will be considered.</w:t>
          </w:r>
        </w:p>
        <w:p w14:paraId="175D7A11" w14:textId="77777777" w:rsidR="00A10AA0" w:rsidRPr="00602AD8" w:rsidRDefault="00A10AA0" w:rsidP="00A10AA0">
          <w:pPr>
            <w:pStyle w:val="Heading4"/>
            <w:rPr>
              <w:rStyle w:val="Strong"/>
              <w:b/>
              <w:szCs w:val="24"/>
            </w:rPr>
          </w:pPr>
          <w:r w:rsidRPr="00602AD8">
            <w:rPr>
              <w:rStyle w:val="Strong"/>
              <w:b/>
              <w:szCs w:val="24"/>
            </w:rPr>
            <w:t>Health risks of e-cigarettes – human studies</w:t>
          </w:r>
        </w:p>
        <w:p w14:paraId="78208C1B" w14:textId="77777777" w:rsidR="00A10AA0" w:rsidRDefault="00A10AA0" w:rsidP="000A3834">
          <w:pPr>
            <w:pStyle w:val="ListParagraph"/>
            <w:numPr>
              <w:ilvl w:val="0"/>
              <w:numId w:val="21"/>
            </w:numPr>
            <w:spacing w:before="0" w:after="160" w:line="259" w:lineRule="auto"/>
            <w:rPr>
              <w:rStyle w:val="Strong"/>
              <w:b w:val="0"/>
            </w:rPr>
          </w:pPr>
          <w:r w:rsidRPr="00EA34C0">
            <w:rPr>
              <w:rStyle w:val="Strong"/>
              <w:b w:val="0"/>
            </w:rPr>
            <w:t xml:space="preserve">Because of </w:t>
          </w:r>
          <w:r>
            <w:rPr>
              <w:rStyle w:val="Strong"/>
              <w:b w:val="0"/>
            </w:rPr>
            <w:t xml:space="preserve">a </w:t>
          </w:r>
          <w:r w:rsidRPr="00EA34C0">
            <w:rPr>
              <w:rStyle w:val="Strong"/>
              <w:b w:val="0"/>
            </w:rPr>
            <w:t>lack of long-term studies, there continues to be no evidence of e-cigarette use to be associated with clinical cardiovascular disease.</w:t>
          </w:r>
        </w:p>
        <w:p w14:paraId="13ABCEEA" w14:textId="17DD133F" w:rsidR="00A10AA0" w:rsidRDefault="00A10AA0" w:rsidP="000A3834">
          <w:pPr>
            <w:pStyle w:val="ListParagraph"/>
            <w:numPr>
              <w:ilvl w:val="0"/>
              <w:numId w:val="21"/>
            </w:numPr>
            <w:spacing w:before="0" w:after="160" w:line="259" w:lineRule="auto"/>
            <w:rPr>
              <w:rStyle w:val="Strong"/>
              <w:b w:val="0"/>
            </w:rPr>
          </w:pPr>
          <w:r>
            <w:rPr>
              <w:rStyle w:val="Strong"/>
              <w:b w:val="0"/>
            </w:rPr>
            <w:t xml:space="preserve">Carcinogenic compounds and carcinogenic metabolites arising from e-cigarette use are demonstrated to be present in e-cigarette users, and in animal studies. However the risk of the development of cancer or other health effects from the levels found is unclear.  </w:t>
          </w:r>
        </w:p>
        <w:p w14:paraId="412D9816" w14:textId="77777777" w:rsidR="00A10AA0" w:rsidRDefault="00A10AA0" w:rsidP="000A3834">
          <w:pPr>
            <w:pStyle w:val="ListParagraph"/>
            <w:numPr>
              <w:ilvl w:val="0"/>
              <w:numId w:val="21"/>
            </w:numPr>
            <w:spacing w:before="0" w:after="160" w:line="259" w:lineRule="auto"/>
            <w:rPr>
              <w:rStyle w:val="Strong"/>
              <w:b w:val="0"/>
            </w:rPr>
          </w:pPr>
          <w:r>
            <w:rPr>
              <w:rStyle w:val="Strong"/>
              <w:b w:val="0"/>
            </w:rPr>
            <w:t>Use of e-cigarettes may impair lung function although the independent effect of e</w:t>
          </w:r>
          <w:r>
            <w:rPr>
              <w:rStyle w:val="Strong"/>
              <w:b w:val="0"/>
            </w:rPr>
            <w:noBreakHyphen/>
            <w:t xml:space="preserve">cigarettes is unclear because of potential confounding by conventional cigarette smoking. </w:t>
          </w:r>
        </w:p>
        <w:p w14:paraId="0D305CDC" w14:textId="77777777" w:rsidR="00A10AA0" w:rsidRDefault="00A10AA0" w:rsidP="000A3834">
          <w:pPr>
            <w:pStyle w:val="ListParagraph"/>
            <w:numPr>
              <w:ilvl w:val="0"/>
              <w:numId w:val="21"/>
            </w:numPr>
            <w:spacing w:before="0" w:after="160" w:line="259" w:lineRule="auto"/>
            <w:rPr>
              <w:rStyle w:val="Strong"/>
              <w:b w:val="0"/>
            </w:rPr>
          </w:pPr>
          <w:r>
            <w:rPr>
              <w:rStyle w:val="Strong"/>
              <w:b w:val="0"/>
            </w:rPr>
            <w:t>Case studies, which do not provide strong evidence, have suggested that e-cigarette use interferes with, or delays, wound healing. While these reports are suggestive, this has not yet been examined using appropriately designed studies.</w:t>
          </w:r>
        </w:p>
        <w:p w14:paraId="136727BC" w14:textId="63B8AC1C" w:rsidR="00A10AA0" w:rsidRDefault="00A10AA0" w:rsidP="000A3834">
          <w:pPr>
            <w:pStyle w:val="ListParagraph"/>
            <w:numPr>
              <w:ilvl w:val="0"/>
              <w:numId w:val="21"/>
            </w:numPr>
            <w:spacing w:before="0" w:after="160" w:line="259" w:lineRule="auto"/>
            <w:rPr>
              <w:rStyle w:val="Strong"/>
              <w:b w:val="0"/>
            </w:rPr>
          </w:pPr>
          <w:r>
            <w:rPr>
              <w:rStyle w:val="Strong"/>
              <w:b w:val="0"/>
            </w:rPr>
            <w:t>Studies have highlighted an association between e-cigarette use and depression which is not thought to be causal. Rather it identifies a population sub-group (i.e. people suffering depression) who may be vulnerable to the uptake and continued use of e-cigarettes.</w:t>
          </w:r>
          <w:r w:rsidR="008146F9">
            <w:rPr>
              <w:rStyle w:val="Strong"/>
              <w:b w:val="0"/>
            </w:rPr>
            <w:t xml:space="preserve"> </w:t>
          </w:r>
        </w:p>
        <w:p w14:paraId="776C1988" w14:textId="77777777" w:rsidR="00A10AA0" w:rsidRPr="00602AD8" w:rsidRDefault="00A10AA0" w:rsidP="00A10AA0">
          <w:pPr>
            <w:pStyle w:val="Heading4"/>
            <w:rPr>
              <w:rStyle w:val="Strong"/>
              <w:b/>
              <w:szCs w:val="24"/>
            </w:rPr>
          </w:pPr>
          <w:r w:rsidRPr="00602AD8">
            <w:rPr>
              <w:rStyle w:val="Strong"/>
              <w:b/>
              <w:szCs w:val="24"/>
            </w:rPr>
            <w:lastRenderedPageBreak/>
            <w:t>Health risks of e-cigarettes – injuries</w:t>
          </w:r>
        </w:p>
        <w:p w14:paraId="091C6621" w14:textId="3EAFA875" w:rsidR="00A10AA0" w:rsidRPr="00130468" w:rsidRDefault="00A10AA0" w:rsidP="00A10AA0">
          <w:pPr>
            <w:pStyle w:val="BodyText"/>
            <w:rPr>
              <w:bCs/>
              <w:sz w:val="22"/>
            </w:rPr>
          </w:pPr>
          <w:r w:rsidRPr="00130468">
            <w:t>The studies reviewed in this section are mainly case studies and case series.</w:t>
          </w:r>
          <w:r>
            <w:t xml:space="preserve"> However, the injuries incurred can be attributed directly to e-cigarettes.</w:t>
          </w:r>
          <w:r w:rsidRPr="00130468">
            <w:t xml:space="preserve"> E-cigarettes can explode and cause </w:t>
          </w:r>
          <w:r>
            <w:t xml:space="preserve">serious </w:t>
          </w:r>
          <w:r w:rsidRPr="00130468">
            <w:t xml:space="preserve">projectile </w:t>
          </w:r>
          <w:r>
            <w:t xml:space="preserve">and thermal </w:t>
          </w:r>
          <w:r w:rsidRPr="00130468">
            <w:t>injuries. While uncommon events, if e-cigarettes were to increase in popularity</w:t>
          </w:r>
          <w:r>
            <w:t xml:space="preserve"> without modification</w:t>
          </w:r>
          <w:r w:rsidRPr="00130468">
            <w:t>, injuries from e-cigarettes could be expected to increase in occurrence.</w:t>
          </w:r>
        </w:p>
        <w:p w14:paraId="2186ACDF" w14:textId="77777777" w:rsidR="00A10AA0" w:rsidRPr="00130468" w:rsidRDefault="00A10AA0" w:rsidP="00A10AA0">
          <w:pPr>
            <w:pStyle w:val="BodyText"/>
            <w:rPr>
              <w:bCs/>
              <w:sz w:val="22"/>
            </w:rPr>
          </w:pPr>
          <w:r>
            <w:t>Intentional or accidental ingestion of e-fluids can cause serious injury or death.</w:t>
          </w:r>
        </w:p>
        <w:p w14:paraId="46A2B948" w14:textId="77777777" w:rsidR="00A10AA0" w:rsidRPr="00602AD8" w:rsidRDefault="00A10AA0" w:rsidP="00A10AA0">
          <w:pPr>
            <w:pStyle w:val="Heading4"/>
            <w:rPr>
              <w:rStyle w:val="Strong"/>
              <w:b/>
              <w:szCs w:val="24"/>
            </w:rPr>
          </w:pPr>
          <w:r w:rsidRPr="00602AD8">
            <w:rPr>
              <w:rStyle w:val="Strong"/>
              <w:b/>
              <w:szCs w:val="24"/>
            </w:rPr>
            <w:t>Health risks of e-cigarettes – animal studies</w:t>
          </w:r>
        </w:p>
        <w:p w14:paraId="6BAAE9ED" w14:textId="476D6FD2" w:rsidR="00A10AA0" w:rsidRPr="00130468" w:rsidRDefault="00A10AA0" w:rsidP="00A10AA0">
          <w:pPr>
            <w:pStyle w:val="BodyText"/>
            <w:rPr>
              <w:bCs/>
            </w:rPr>
          </w:pPr>
          <w:r>
            <w:t>Recent studies indicate that e-cigarette vapour can cause significant damage to frog embryos, rats and mice. Adverse outcomes include increased release of pro-inflammatory cytokines, emphysematous lung destruction, renal, hepatic and heart fibrosis among rodents exposed to e</w:t>
          </w:r>
          <w:r>
            <w:noBreakHyphen/>
            <w:t>cigarette vapour compared with those exposed to room air. E</w:t>
          </w:r>
          <w:r w:rsidR="00BA0F52">
            <w:noBreakHyphen/>
          </w:r>
          <w:r>
            <w:t xml:space="preserve">cigarette vapour exposure also had significant effects on </w:t>
          </w:r>
          <w:r w:rsidR="00792EF1">
            <w:t xml:space="preserve">the </w:t>
          </w:r>
          <w:r>
            <w:t xml:space="preserve">offspring of exposed pregnant mice and </w:t>
          </w:r>
          <w:r w:rsidR="00D05FD2">
            <w:t xml:space="preserve">on </w:t>
          </w:r>
          <w:r>
            <w:t>frog embryos including increased release of pro-inflammatory cytokines, sleep disturbances and craniofacial defects.</w:t>
          </w:r>
        </w:p>
        <w:p w14:paraId="16DD2315" w14:textId="77777777" w:rsidR="00A10AA0" w:rsidRPr="00602AD8" w:rsidRDefault="00A10AA0" w:rsidP="00A10AA0">
          <w:pPr>
            <w:pStyle w:val="Heading4"/>
            <w:rPr>
              <w:rStyle w:val="Strong"/>
              <w:b/>
              <w:szCs w:val="24"/>
            </w:rPr>
          </w:pPr>
          <w:r w:rsidRPr="00602AD8">
            <w:rPr>
              <w:rStyle w:val="Strong"/>
              <w:b/>
              <w:szCs w:val="24"/>
            </w:rPr>
            <w:t>Health risks of e-cigarettes – in vitro studies</w:t>
          </w:r>
        </w:p>
        <w:p w14:paraId="3C97AB61" w14:textId="77777777" w:rsidR="00A10AA0" w:rsidRPr="00DD3302" w:rsidRDefault="00A10AA0" w:rsidP="00A10AA0">
          <w:pPr>
            <w:pStyle w:val="BodyText"/>
          </w:pPr>
          <w:r w:rsidRPr="005E2508">
            <w:t>In vitro</w:t>
          </w:r>
          <w:r>
            <w:t xml:space="preserve"> studies on e-cigarette vapour, liquid and extracts strongly indicated potential health risks including cell death, increased oxidative stress, reduced lung function, changes in inflammatory response, altered gene expression and increase of cellular risk factors for cardiovascular disease. There is a lack of clarity about the direct implications of the in vitro findings for human health.</w:t>
          </w:r>
        </w:p>
        <w:p w14:paraId="21967E68" w14:textId="77777777" w:rsidR="00A10AA0" w:rsidRPr="004A09DA" w:rsidRDefault="00A10AA0" w:rsidP="00A10AA0">
          <w:pPr>
            <w:pStyle w:val="BodyText"/>
          </w:pPr>
        </w:p>
        <w:p w14:paraId="257C3147" w14:textId="77777777" w:rsidR="000F0E2F" w:rsidRPr="004A09DA" w:rsidRDefault="000F0E2F" w:rsidP="000F0E2F">
          <w:pPr>
            <w:pStyle w:val="BodyText"/>
          </w:pPr>
        </w:p>
        <w:p w14:paraId="287B2DF0" w14:textId="77777777" w:rsidR="000F0E2F" w:rsidRDefault="000F0E2F" w:rsidP="000F0E2F">
          <w:pPr>
            <w:spacing w:after="0"/>
          </w:pPr>
          <w:r>
            <w:br w:type="page"/>
          </w:r>
        </w:p>
        <w:p w14:paraId="189E0C0F" w14:textId="77777777" w:rsidR="000F0E2F" w:rsidRDefault="000F0E2F" w:rsidP="000F0E2F">
          <w:pPr>
            <w:pStyle w:val="Heading1"/>
            <w:sectPr w:rsidR="000F0E2F" w:rsidSect="00C52797">
              <w:headerReference w:type="default" r:id="rId21"/>
              <w:footerReference w:type="default" r:id="rId22"/>
              <w:pgSz w:w="11906" w:h="16838" w:code="9"/>
              <w:pgMar w:top="1134" w:right="1134" w:bottom="1134" w:left="1134" w:header="510" w:footer="624" w:gutter="0"/>
              <w:cols w:space="284"/>
              <w:docGrid w:linePitch="360"/>
            </w:sectPr>
          </w:pPr>
        </w:p>
        <w:p w14:paraId="024153F3" w14:textId="77777777" w:rsidR="000F0E2F" w:rsidRDefault="000F0E2F" w:rsidP="000F0E2F">
          <w:pPr>
            <w:pStyle w:val="Heading1"/>
          </w:pPr>
          <w:bookmarkStart w:id="12" w:name="_Toc517706628"/>
          <w:r w:rsidRPr="009A20E5">
            <w:lastRenderedPageBreak/>
            <w:t>Introduction</w:t>
          </w:r>
          <w:bookmarkEnd w:id="12"/>
        </w:p>
        <w:p w14:paraId="1F3E431B" w14:textId="3F4371E9" w:rsidR="00465B49" w:rsidRDefault="00465B49" w:rsidP="00465B49">
          <w:pPr>
            <w:pStyle w:val="BodyText"/>
          </w:pPr>
          <w:r>
            <w:t xml:space="preserve">Electronic cigarettes or e-cigarettes refers to </w:t>
          </w:r>
          <w:r w:rsidRPr="00406A97">
            <w:t>any a device with a heating element that produces an aerosol from a liquid that users can inhale</w:t>
          </w:r>
          <w:r>
            <w:t xml:space="preserve">. This definition excludes electronic devices that do not contain liquids and instead heat tobacco, such as those referred to as </w:t>
          </w:r>
          <w:r w:rsidR="00714AD5">
            <w:t>’</w:t>
          </w:r>
          <w:r>
            <w:t>heat-not-burn</w:t>
          </w:r>
          <w:r w:rsidR="00714AD5">
            <w:t>’</w:t>
          </w:r>
          <w:r>
            <w:t xml:space="preserve"> products.</w:t>
          </w:r>
        </w:p>
        <w:p w14:paraId="32A134A2" w14:textId="2C0ED1A2" w:rsidR="00465B49" w:rsidRDefault="00465B49" w:rsidP="00465B49">
          <w:pPr>
            <w:pStyle w:val="BodyText"/>
          </w:pPr>
          <w:r>
            <w:t xml:space="preserve">E-cigarettes are a class of Electronic Nicotine Delivery Systems (ENDs) or Electronic Non-Nicotine Delivery Systems (ENNDs). Both are characterised by </w:t>
          </w:r>
          <w:r w:rsidRPr="00BF7F3B">
            <w:t>heat</w:t>
          </w:r>
          <w:r>
            <w:t>ing</w:t>
          </w:r>
          <w:r w:rsidRPr="00BF7F3B">
            <w:t xml:space="preserve"> a solution (</w:t>
          </w:r>
          <w:r>
            <w:t xml:space="preserve">called an </w:t>
          </w:r>
          <w:r w:rsidRPr="00BF7F3B">
            <w:t>e-liquid) to create an aerosol which frequently contains flavour</w:t>
          </w:r>
          <w:r>
            <w:t>ing compounds, usually dissolved into propylene glycol or/and g</w:t>
          </w:r>
          <w:r w:rsidRPr="00BF7F3B">
            <w:t>lycerin</w:t>
          </w:r>
          <w:r>
            <w:t xml:space="preserve"> </w:t>
          </w:r>
          <w:r>
            <w:fldChar w:fldCharType="begin"/>
          </w:r>
          <w:r w:rsidR="00F632ED">
            <w:instrText xml:space="preserve"> ADDIN EN.CITE &lt;EndNote&gt;&lt;Cite&gt;&lt;Author&gt;World Health Organization&lt;/Author&gt;&lt;Year&gt;2016&lt;/Year&gt;&lt;RecNum&gt;13026&lt;/RecNum&gt;&lt;DisplayText&gt;(World Health Organization 2016)&lt;/DisplayText&gt;&lt;record&gt;&lt;rec-number&gt;13026&lt;/rec-number&gt;&lt;foreign-keys&gt;&lt;key app="EN" db-id="5xv5w5t2bdxtxfezx02xtxdft5rz5ptvvt29" timestamp="1524018676"&gt;13026&lt;/key&gt;&lt;/foreign-keys&gt;&lt;ref-type name="Journal Article"&gt;17&lt;/ref-type&gt;&lt;contributors&gt;&lt;authors&gt;&lt;author&gt;World Health Organization,&lt;/author&gt;&lt;/authors&gt;&lt;/contributors&gt;&lt;titles&gt;&lt;title&gt;Electronic Nicotine Delivery Systems and Electronic Non-Nicotine Delivery Systems (ENDS/ENNDS)&lt;/title&gt;&lt;/titles&gt;&lt;dates&gt;&lt;year&gt;2016&lt;/year&gt;&lt;/dates&gt;&lt;urls&gt;&lt;/urls&gt;&lt;/record&gt;&lt;/Cite&gt;&lt;/EndNote&gt;</w:instrText>
          </w:r>
          <w:r>
            <w:fldChar w:fldCharType="separate"/>
          </w:r>
          <w:r w:rsidR="00F632ED">
            <w:rPr>
              <w:noProof/>
            </w:rPr>
            <w:t>(World Health Organization 2016)</w:t>
          </w:r>
          <w:r>
            <w:fldChar w:fldCharType="end"/>
          </w:r>
          <w:r w:rsidRPr="00BF7F3B">
            <w:t>.</w:t>
          </w:r>
        </w:p>
        <w:p w14:paraId="6D6D02D1" w14:textId="189D05A8" w:rsidR="00465B49" w:rsidRDefault="00465B49" w:rsidP="00465B49">
          <w:pPr>
            <w:pStyle w:val="BodyText"/>
          </w:pPr>
          <w:r>
            <w:t xml:space="preserve">A number of different devices have been developed, designated first to third generation devices, and evolution of devices is likely to continue. Variations in device performance and usage behaviours lead to a difference in exposure to active components such as nicotine. For example, the user’s puffing style, the choice of e-liquid, the wattage and resistance of the device are all relevant variables determining the user’s experience. </w:t>
          </w:r>
        </w:p>
        <w:p w14:paraId="6D1291A7" w14:textId="5AEEC7E9" w:rsidR="00465B49" w:rsidRDefault="00465B49" w:rsidP="00465B49">
          <w:pPr>
            <w:pStyle w:val="BodyText"/>
          </w:pPr>
          <w:r>
            <w:t>There are close to 8,000 reported e</w:t>
          </w:r>
          <w:r>
            <w:noBreakHyphen/>
            <w:t>liquid flavours.</w:t>
          </w:r>
          <w:r w:rsidRPr="00406A97">
            <w:t xml:space="preserve"> </w:t>
          </w:r>
          <w:r>
            <w:t>In the United States</w:t>
          </w:r>
          <w:r w:rsidRPr="00406A97">
            <w:t xml:space="preserve">, most adults reported </w:t>
          </w:r>
          <w:r>
            <w:t>us</w:t>
          </w:r>
          <w:r w:rsidRPr="00406A97">
            <w:t>ing e-cigarettes that contain nicotine—91.2</w:t>
          </w:r>
          <w:r>
            <w:t>%</w:t>
          </w:r>
          <w:r w:rsidRPr="00406A97">
            <w:t xml:space="preserve"> of daily users, 88.2</w:t>
          </w:r>
          <w:r>
            <w:t>%</w:t>
          </w:r>
          <w:r w:rsidRPr="00406A97">
            <w:t xml:space="preserve"> of non-daily users, and 89.5</w:t>
          </w:r>
          <w:r>
            <w:t>%</w:t>
          </w:r>
          <w:r w:rsidRPr="00406A97">
            <w:t xml:space="preserve"> of both daily and non-daily users overall</w:t>
          </w:r>
          <w:r>
            <w:t xml:space="preserve"> </w:t>
          </w:r>
          <w:r>
            <w:fldChar w:fldCharType="begin">
              <w:fldData xml:space="preserve">PEVuZE5vdGU+PENpdGU+PEF1dGhvcj5Db2xlbWFuPC9BdXRob3I+PFllYXI+MjAxNzwvWWVhcj48
UmVjTnVtPjU2NzwvUmVjTnVtPjxEaXNwbGF5VGV4dD4oQ29sZW1hbiwgUm9zdHJvbiBldCBhbC4g
MjAxNyk8L0Rpc3BsYXlUZXh0PjxyZWNvcmQ+PHJlYy1udW1iZXI+NTY3PC9yZWMtbnVtYmVyPjxm
b3JlaWduLWtleXM+PGtleSBhcHA9IkVOIiBkYi1pZD0iNXh2NXc1dDJiZHh0eGZlengwMnh0eGRm
dDVyejVwdHZ2dDI5IiB0aW1lc3RhbXA9IjE1MjA1Njg0NjgiPjU2Nzwva2V5PjxrZXkgYXBwPSJF
TldlYiIgZGItaWQ9IiI+MDwva2V5PjwvZm9yZWlnbi1rZXlzPjxyZWYtdHlwZSBuYW1lPSJKb3Vy
bmFsIEFydGljbGUiPjE3PC9yZWYtdHlwZT48Y29udHJpYnV0b3JzPjxhdXRob3JzPjxhdXRob3I+
Q29sZW1hbiwgQi4gTi48L2F1dGhvcj48YXV0aG9yPlJvc3Ryb24sIEIuPC9hdXRob3I+PGF1dGhv
cj5Kb2huc29uLCBTLiBFLjwvYXV0aG9yPjxhdXRob3I+QW1icm9zZSwgQi4gSy48L2F1dGhvcj48
YXV0aG9yPlBlYXJzb24sIEouPC9hdXRob3I+PGF1dGhvcj5TdGFudG9uLCBDLiBBLjwvYXV0aG9y
PjxhdXRob3I+V2FuZywgQi48L2F1dGhvcj48YXV0aG9yPkRlbG5ldm8sIEMuPC9hdXRob3I+PGF1
dGhvcj5CYW5zYWwtVHJhdmVycywgTS48L2F1dGhvcj48YXV0aG9yPktpbW1lbCwgSC4gTC48L2F1
dGhvcj48YXV0aG9yPkdvbmlld2ljeiwgTS4gTC48L2F1dGhvcj48YXV0aG9yPk5pYXVyYSwgUi48
L2F1dGhvcj48YXV0aG9yPkFicmFtcywgRC48L2F1dGhvcj48YXV0aG9yPkNvbndheSwgSy4gUC48
L2F1dGhvcj48YXV0aG9yPkJvcmVrLCBOLjwvYXV0aG9yPjxhdXRob3I+Q29tcHRvbiwgVy4gTS48
L2F1dGhvcj48YXV0aG9yPkh5bGFuZCwgQS48L2F1dGhvcj48L2F1dGhvcnM+PC9jb250cmlidXRv
cnM+PGF1dGgtYWRkcmVzcz5DZW50ZXIgZm9yIFRvYmFjY28gUHJvZHVjdHMsIFVTIEZvb2QgYW5k
IERydWcgQWRtaW5pc3RyYXRpb24sIFNpbHZlciBTcHJpbmcsIE1hcnlsYW5kLCBVU0EuJiN4RDtT
Y2hyb2VkZXIgSW5zdGl0dXRlIGZvciBUb2JhY2NvIFJlc2VhcmNoIGFuZCBQb2xpY3kgU3R1ZGll
cywgVHJ1dGggSW5pdGlhdGl2ZSwgV2FzaGluZ3RvbiwgRGlzdHJpY3Qgb2YgQ29sdW1iaWEsIFVT
QS4mI3hEO0pvaG5zIEhvcGtpbnMgQmxvb21iZXJnIFNjaG9vbCBvZiBQdWJsaWMgSGVhbHRoLCBC
YWx0aW1vcmUsIE1hcnlsYW5kLCBVU0EuJiN4RDtXZXN0YXQgSW5jLCBSb2NrdmlsbGUsIE1hcnls
YW5kLCBVU0EuJiN4RDtEZXBhcnRtZW50IG9mIE9uY29sb2d5LCBMb21iYXJkaSBDb21wcmVoZW5z
aXZlIENhbmNlciBDZW50ZXIsIEdlb3JnZXRvd24gVW5pdmVyc2l0eSBNZWRpY2FsIENlbnRlciwg
V2FzaGluZ3RvbiwgREMsIFVTQS4mI3hEO0NlbnRlciBmb3IgVG9iYWNjbyBTdHVkaWVzLCBTY2hv
b2wgb2YgUHVibGljIEhlYWx0aCwgUnV0Z2VycyBVbml2ZXJzaXR5LCBOZXcgQnJ1bnN3aWNrLCBO
ZXcgSmVyc2V5LCBVU0EuJiN4RDtSb3N3ZWxsIFBhcmsgQ2FuY2VyIEluc3RpdHV0ZSwgQnVmZmFs
bywgTmV3IFlvcmssIFVTQS4mI3hEO05hdGlvbmFsIEluc3RpdHV0ZSBvbiBEcnVnIEFidXNlLCBO
YXRpb25hbCBJbnN0aXR1dGVzIG9mIEhlYWx0aCwgVS5TLiBEZXBhcnRtZW50IG9mIEhlYWx0aCBh
bmQgSHVtYW4gU2VydmljZXMsIEJldGhlc2RhLCBNYXJ5bGFuZCwgVVNBLjwvYXV0aC1hZGRyZXNz
Pjx0aXRsZXM+PHRpdGxlPkVsZWN0cm9uaWMgY2lnYXJldHRlIHVzZSBhbW9uZyBVUyBhZHVsdHMg
aW4gdGhlIFBvcHVsYXRpb24gQXNzZXNzbWVudCBvZiBUb2JhY2NvIGFuZCBIZWFsdGggKFBBVEgp
IFN0dWR5LCAyMDEzLTIwMTQ8L3RpdGxlPjxzZWNvbmRhcnktdGl0bGU+VG9iIENvbnRyb2w8L3Nl
Y29uZGFyeS10aXRsZT48YWx0LXRpdGxlPlRvYmFjY28gY29udHJvbDwvYWx0LXRpdGxlPjwvdGl0
bGVzPjxwZXJpb2RpY2FsPjxmdWxsLXRpdGxlPlRvYiBDb250cm9sPC9mdWxsLXRpdGxlPjxhYmJy
LTE+VG9iYWNjbyBjb250cm9sPC9hYmJyLTE+PC9wZXJpb2RpY2FsPjxhbHQtcGVyaW9kaWNhbD48
ZnVsbC10aXRsZT5Ub2IgQ29udHJvbDwvZnVsbC10aXRsZT48YWJici0xPlRvYmFjY28gY29udHJv
bDwvYWJici0xPjwvYWx0LXBlcmlvZGljYWw+PHBhZ2VzPmUxMTctZTEyNjwvcGFnZXM+PHZvbHVt
ZT4yNjwvdm9sdW1lPjxudW1iZXI+ZTI8L251bWJlcj48ZWRpdGlvbj4yMDE3LzA2LzE5PC9lZGl0
aW9uPjxrZXl3b3Jkcz48a2V5d29yZD5FbGVjdHJvbmljIG5pY290aW5lIGRlbGl2ZXJ5IGRldmlj
ZXM8L2tleXdvcmQ+PGtleXdvcmQ+Tm9uLWNpZ2FyZXR0ZSB0b2JhY2NvIHByb2R1Y3RzPC9rZXl3
b3JkPjxrZXl3b3JkPlN1cnZlaWxsYW5jZSBhbmQgbW9uaXRvcmluZzwva2V5d29yZD48a2V5d29y
ZD5tZW1iZXIgb2YgYWR2aXNvcnkgYm9hcmQgdG8gSiZhbXA7SiwgbWFudWZhY3R1cmVycyBvZiBz
bW9raW5nIGNlc3NhdGlvbiBtZWRpY2F0aW9ucy48L2tleXdvcmQ+PGtleXdvcmQ+Uk4gc2VydmVk
IGFzIGFuIGV4cGVydCB3aXRuZXNzIGZvciBwbGFpbnRpZmYgdmVyc3VzIHRvYmFjY28gY29tcGFu
aWVzLiBXTUM8L2tleXdvcmQ+PGtleXdvcmQ+cmVwb3J0cyBsb25nLXRlcm0gc3RvY2sgb3duZXJz
aGlwIGluIEdlbmVyYWwgRWxlY3RyaWMsIDNNIENvbXBhbmllcywgYW5kIFBmaXplcjwva2V5d29y
ZD48a2V5d29yZD51bnJlbGF0ZWQgdG8gdGhlIGNvbnRlbnQgb2YgdGhpcyBwYXBlci4gTm8gYWRk
aXRpb25hbCBmaW5hbmNpYWwgZGlzY2xvc3VyZXMgd2VyZTwva2V5d29yZD48a2V5d29yZD5yZXBv
cnRlZCBieSB0aGUgYXV0aG9ycyBvZiB0aGlzIHBhcGVyLjwva2V5d29yZD48L2tleXdvcmRzPjxk
YXRlcz48eWVhcj4yMDE3PC95ZWFyPjxwdWItZGF0ZXM+PGRhdGU+RGVjPC9kYXRlPjwvcHViLWRh
dGVzPjwvZGF0ZXM+PGlzYm4+MDk2NC00NTYzPC9pc2JuPjxhY2Nlc3Npb24tbnVtPjI4NjI0NzYz
PC9hY2Nlc3Npb24tbnVtPjx1cmxzPjxyZWxhdGVkLXVybHM+PHVybD5odHRwOi8vdG9iYWNjb2Nv
bnRyb2wuYm1qLmNvbS9jb250ZW50LzI2L2UyL2UxMTcubG9uZzwvdXJsPjwvcmVsYXRlZC11cmxz
PjwvdXJscz48ZWxlY3Ryb25pYy1yZXNvdXJjZS1udW0+MTAuMTEzNi90b2JhY2NvY29udHJvbC0y
MDE2LTA1MzQ2MjwvZWxlY3Ryb25pYy1yZXNvdXJjZS1udW0+PHJlbW90ZS1kYXRhYmFzZS1wcm92
aWRlcj5OTE08L3JlbW90ZS1kYXRhYmFzZS1wcm92aWRlcj48bGFuZ3VhZ2U+ZW5nPC9sYW5ndWFn
ZT48L3JlY29yZD48L0NpdGU+PC9FbmROb3RlPgB=
</w:fldData>
            </w:fldChar>
          </w:r>
          <w:r>
            <w:instrText xml:space="preserve"> ADDIN EN.CITE </w:instrText>
          </w:r>
          <w:r>
            <w:fldChar w:fldCharType="begin">
              <w:fldData xml:space="preserve">PEVuZE5vdGU+PENpdGU+PEF1dGhvcj5Db2xlbWFuPC9BdXRob3I+PFllYXI+MjAxNzwvWWVhcj48
UmVjTnVtPjU2NzwvUmVjTnVtPjxEaXNwbGF5VGV4dD4oQ29sZW1hbiwgUm9zdHJvbiBldCBhbC4g
MjAxNyk8L0Rpc3BsYXlUZXh0PjxyZWNvcmQ+PHJlYy1udW1iZXI+NTY3PC9yZWMtbnVtYmVyPjxm
b3JlaWduLWtleXM+PGtleSBhcHA9IkVOIiBkYi1pZD0iNXh2NXc1dDJiZHh0eGZlengwMnh0eGRm
dDVyejVwdHZ2dDI5IiB0aW1lc3RhbXA9IjE1MjA1Njg0NjgiPjU2Nzwva2V5PjxrZXkgYXBwPSJF
TldlYiIgZGItaWQ9IiI+MDwva2V5PjwvZm9yZWlnbi1rZXlzPjxyZWYtdHlwZSBuYW1lPSJKb3Vy
bmFsIEFydGljbGUiPjE3PC9yZWYtdHlwZT48Y29udHJpYnV0b3JzPjxhdXRob3JzPjxhdXRob3I+
Q29sZW1hbiwgQi4gTi48L2F1dGhvcj48YXV0aG9yPlJvc3Ryb24sIEIuPC9hdXRob3I+PGF1dGhv
cj5Kb2huc29uLCBTLiBFLjwvYXV0aG9yPjxhdXRob3I+QW1icm9zZSwgQi4gSy48L2F1dGhvcj48
YXV0aG9yPlBlYXJzb24sIEouPC9hdXRob3I+PGF1dGhvcj5TdGFudG9uLCBDLiBBLjwvYXV0aG9y
PjxhdXRob3I+V2FuZywgQi48L2F1dGhvcj48YXV0aG9yPkRlbG5ldm8sIEMuPC9hdXRob3I+PGF1
dGhvcj5CYW5zYWwtVHJhdmVycywgTS48L2F1dGhvcj48YXV0aG9yPktpbW1lbCwgSC4gTC48L2F1
dGhvcj48YXV0aG9yPkdvbmlld2ljeiwgTS4gTC48L2F1dGhvcj48YXV0aG9yPk5pYXVyYSwgUi48
L2F1dGhvcj48YXV0aG9yPkFicmFtcywgRC48L2F1dGhvcj48YXV0aG9yPkNvbndheSwgSy4gUC48
L2F1dGhvcj48YXV0aG9yPkJvcmVrLCBOLjwvYXV0aG9yPjxhdXRob3I+Q29tcHRvbiwgVy4gTS48
L2F1dGhvcj48YXV0aG9yPkh5bGFuZCwgQS48L2F1dGhvcj48L2F1dGhvcnM+PC9jb250cmlidXRv
cnM+PGF1dGgtYWRkcmVzcz5DZW50ZXIgZm9yIFRvYmFjY28gUHJvZHVjdHMsIFVTIEZvb2QgYW5k
IERydWcgQWRtaW5pc3RyYXRpb24sIFNpbHZlciBTcHJpbmcsIE1hcnlsYW5kLCBVU0EuJiN4RDtT
Y2hyb2VkZXIgSW5zdGl0dXRlIGZvciBUb2JhY2NvIFJlc2VhcmNoIGFuZCBQb2xpY3kgU3R1ZGll
cywgVHJ1dGggSW5pdGlhdGl2ZSwgV2FzaGluZ3RvbiwgRGlzdHJpY3Qgb2YgQ29sdW1iaWEsIFVT
QS4mI3hEO0pvaG5zIEhvcGtpbnMgQmxvb21iZXJnIFNjaG9vbCBvZiBQdWJsaWMgSGVhbHRoLCBC
YWx0aW1vcmUsIE1hcnlsYW5kLCBVU0EuJiN4RDtXZXN0YXQgSW5jLCBSb2NrdmlsbGUsIE1hcnls
YW5kLCBVU0EuJiN4RDtEZXBhcnRtZW50IG9mIE9uY29sb2d5LCBMb21iYXJkaSBDb21wcmVoZW5z
aXZlIENhbmNlciBDZW50ZXIsIEdlb3JnZXRvd24gVW5pdmVyc2l0eSBNZWRpY2FsIENlbnRlciwg
V2FzaGluZ3RvbiwgREMsIFVTQS4mI3hEO0NlbnRlciBmb3IgVG9iYWNjbyBTdHVkaWVzLCBTY2hv
b2wgb2YgUHVibGljIEhlYWx0aCwgUnV0Z2VycyBVbml2ZXJzaXR5LCBOZXcgQnJ1bnN3aWNrLCBO
ZXcgSmVyc2V5LCBVU0EuJiN4RDtSb3N3ZWxsIFBhcmsgQ2FuY2VyIEluc3RpdHV0ZSwgQnVmZmFs
bywgTmV3IFlvcmssIFVTQS4mI3hEO05hdGlvbmFsIEluc3RpdHV0ZSBvbiBEcnVnIEFidXNlLCBO
YXRpb25hbCBJbnN0aXR1dGVzIG9mIEhlYWx0aCwgVS5TLiBEZXBhcnRtZW50IG9mIEhlYWx0aCBh
bmQgSHVtYW4gU2VydmljZXMsIEJldGhlc2RhLCBNYXJ5bGFuZCwgVVNBLjwvYXV0aC1hZGRyZXNz
Pjx0aXRsZXM+PHRpdGxlPkVsZWN0cm9uaWMgY2lnYXJldHRlIHVzZSBhbW9uZyBVUyBhZHVsdHMg
aW4gdGhlIFBvcHVsYXRpb24gQXNzZXNzbWVudCBvZiBUb2JhY2NvIGFuZCBIZWFsdGggKFBBVEgp
IFN0dWR5LCAyMDEzLTIwMTQ8L3RpdGxlPjxzZWNvbmRhcnktdGl0bGU+VG9iIENvbnRyb2w8L3Nl
Y29uZGFyeS10aXRsZT48YWx0LXRpdGxlPlRvYmFjY28gY29udHJvbDwvYWx0LXRpdGxlPjwvdGl0
bGVzPjxwZXJpb2RpY2FsPjxmdWxsLXRpdGxlPlRvYiBDb250cm9sPC9mdWxsLXRpdGxlPjxhYmJy
LTE+VG9iYWNjbyBjb250cm9sPC9hYmJyLTE+PC9wZXJpb2RpY2FsPjxhbHQtcGVyaW9kaWNhbD48
ZnVsbC10aXRsZT5Ub2IgQ29udHJvbDwvZnVsbC10aXRsZT48YWJici0xPlRvYmFjY28gY29udHJv
bDwvYWJici0xPjwvYWx0LXBlcmlvZGljYWw+PHBhZ2VzPmUxMTctZTEyNjwvcGFnZXM+PHZvbHVt
ZT4yNjwvdm9sdW1lPjxudW1iZXI+ZTI8L251bWJlcj48ZWRpdGlvbj4yMDE3LzA2LzE5PC9lZGl0
aW9uPjxrZXl3b3Jkcz48a2V5d29yZD5FbGVjdHJvbmljIG5pY290aW5lIGRlbGl2ZXJ5IGRldmlj
ZXM8L2tleXdvcmQ+PGtleXdvcmQ+Tm9uLWNpZ2FyZXR0ZSB0b2JhY2NvIHByb2R1Y3RzPC9rZXl3
b3JkPjxrZXl3b3JkPlN1cnZlaWxsYW5jZSBhbmQgbW9uaXRvcmluZzwva2V5d29yZD48a2V5d29y
ZD5tZW1iZXIgb2YgYWR2aXNvcnkgYm9hcmQgdG8gSiZhbXA7SiwgbWFudWZhY3R1cmVycyBvZiBz
bW9raW5nIGNlc3NhdGlvbiBtZWRpY2F0aW9ucy48L2tleXdvcmQ+PGtleXdvcmQ+Uk4gc2VydmVk
IGFzIGFuIGV4cGVydCB3aXRuZXNzIGZvciBwbGFpbnRpZmYgdmVyc3VzIHRvYmFjY28gY29tcGFu
aWVzLiBXTUM8L2tleXdvcmQ+PGtleXdvcmQ+cmVwb3J0cyBsb25nLXRlcm0gc3RvY2sgb3duZXJz
aGlwIGluIEdlbmVyYWwgRWxlY3RyaWMsIDNNIENvbXBhbmllcywgYW5kIFBmaXplcjwva2V5d29y
ZD48a2V5d29yZD51bnJlbGF0ZWQgdG8gdGhlIGNvbnRlbnQgb2YgdGhpcyBwYXBlci4gTm8gYWRk
aXRpb25hbCBmaW5hbmNpYWwgZGlzY2xvc3VyZXMgd2VyZTwva2V5d29yZD48a2V5d29yZD5yZXBv
cnRlZCBieSB0aGUgYXV0aG9ycyBvZiB0aGlzIHBhcGVyLjwva2V5d29yZD48L2tleXdvcmRzPjxk
YXRlcz48eWVhcj4yMDE3PC95ZWFyPjxwdWItZGF0ZXM+PGRhdGU+RGVjPC9kYXRlPjwvcHViLWRh
dGVzPjwvZGF0ZXM+PGlzYm4+MDk2NC00NTYzPC9pc2JuPjxhY2Nlc3Npb24tbnVtPjI4NjI0NzYz
PC9hY2Nlc3Npb24tbnVtPjx1cmxzPjxyZWxhdGVkLXVybHM+PHVybD5odHRwOi8vdG9iYWNjb2Nv
bnRyb2wuYm1qLmNvbS9jb250ZW50LzI2L2UyL2UxMTcubG9uZzwvdXJsPjwvcmVsYXRlZC11cmxz
PjwvdXJscz48ZWxlY3Ryb25pYy1yZXNvdXJjZS1udW0+MTAuMTEzNi90b2JhY2NvY29udHJvbC0y
MDE2LTA1MzQ2MjwvZWxlY3Ryb25pYy1yZXNvdXJjZS1udW0+PHJlbW90ZS1kYXRhYmFzZS1wcm92
aWRlcj5OTE08L3JlbW90ZS1kYXRhYmFzZS1wcm92aWRlcj48bGFuZ3VhZ2U+ZW5nPC9sYW5ndWFn
ZT48L3JlY29yZD48L0NpdGU+PC9FbmROb3RlPgB=
</w:fldData>
            </w:fldChar>
          </w:r>
          <w:r>
            <w:instrText xml:space="preserve"> ADDIN EN.CITE.DATA </w:instrText>
          </w:r>
          <w:r>
            <w:fldChar w:fldCharType="end"/>
          </w:r>
          <w:r>
            <w:fldChar w:fldCharType="separate"/>
          </w:r>
          <w:r>
            <w:rPr>
              <w:noProof/>
            </w:rPr>
            <w:t>(Coleman, Rostron et al. 2017)</w:t>
          </w:r>
          <w:r>
            <w:fldChar w:fldCharType="end"/>
          </w:r>
          <w:r w:rsidRPr="00406A97">
            <w:t xml:space="preserve">. Approximately two-thirds of current </w:t>
          </w:r>
          <w:r>
            <w:t xml:space="preserve">US </w:t>
          </w:r>
          <w:r w:rsidRPr="00406A97">
            <w:t>users also reported using a non-tobacco flavo</w:t>
          </w:r>
          <w:r>
            <w:t>u</w:t>
          </w:r>
          <w:r w:rsidRPr="00406A97">
            <w:t>red brand; these flavo</w:t>
          </w:r>
          <w:r>
            <w:t>u</w:t>
          </w:r>
          <w:r w:rsidRPr="00406A97">
            <w:t>rs include menthol, mint, clove, spice, candy, fruit, chocolate, alcohol (e.g., wine or cognac), or other sweet flavo</w:t>
          </w:r>
          <w:r>
            <w:t>u</w:t>
          </w:r>
          <w:r w:rsidRPr="00406A97">
            <w:t xml:space="preserve">rs </w:t>
          </w:r>
          <w:r>
            <w:fldChar w:fldCharType="begin">
              <w:fldData xml:space="preserve">PEVuZE5vdGU+PENpdGU+PEF1dGhvcj5Db2xlbWFuPC9BdXRob3I+PFllYXI+MjAxNzwvWWVhcj48
UmVjTnVtPjU2NzwvUmVjTnVtPjxEaXNwbGF5VGV4dD4oQ29sZW1hbiwgUm9zdHJvbiBldCBhbC4g
MjAxNyk8L0Rpc3BsYXlUZXh0PjxyZWNvcmQ+PHJlYy1udW1iZXI+NTY3PC9yZWMtbnVtYmVyPjxm
b3JlaWduLWtleXM+PGtleSBhcHA9IkVOIiBkYi1pZD0iNXh2NXc1dDJiZHh0eGZlengwMnh0eGRm
dDVyejVwdHZ2dDI5IiB0aW1lc3RhbXA9IjE1MjA1Njg0NjgiPjU2Nzwva2V5PjxrZXkgYXBwPSJF
TldlYiIgZGItaWQ9IiI+MDwva2V5PjwvZm9yZWlnbi1rZXlzPjxyZWYtdHlwZSBuYW1lPSJKb3Vy
bmFsIEFydGljbGUiPjE3PC9yZWYtdHlwZT48Y29udHJpYnV0b3JzPjxhdXRob3JzPjxhdXRob3I+
Q29sZW1hbiwgQi4gTi48L2F1dGhvcj48YXV0aG9yPlJvc3Ryb24sIEIuPC9hdXRob3I+PGF1dGhv
cj5Kb2huc29uLCBTLiBFLjwvYXV0aG9yPjxhdXRob3I+QW1icm9zZSwgQi4gSy48L2F1dGhvcj48
YXV0aG9yPlBlYXJzb24sIEouPC9hdXRob3I+PGF1dGhvcj5TdGFudG9uLCBDLiBBLjwvYXV0aG9y
PjxhdXRob3I+V2FuZywgQi48L2F1dGhvcj48YXV0aG9yPkRlbG5ldm8sIEMuPC9hdXRob3I+PGF1
dGhvcj5CYW5zYWwtVHJhdmVycywgTS48L2F1dGhvcj48YXV0aG9yPktpbW1lbCwgSC4gTC48L2F1
dGhvcj48YXV0aG9yPkdvbmlld2ljeiwgTS4gTC48L2F1dGhvcj48YXV0aG9yPk5pYXVyYSwgUi48
L2F1dGhvcj48YXV0aG9yPkFicmFtcywgRC48L2F1dGhvcj48YXV0aG9yPkNvbndheSwgSy4gUC48
L2F1dGhvcj48YXV0aG9yPkJvcmVrLCBOLjwvYXV0aG9yPjxhdXRob3I+Q29tcHRvbiwgVy4gTS48
L2F1dGhvcj48YXV0aG9yPkh5bGFuZCwgQS48L2F1dGhvcj48L2F1dGhvcnM+PC9jb250cmlidXRv
cnM+PGF1dGgtYWRkcmVzcz5DZW50ZXIgZm9yIFRvYmFjY28gUHJvZHVjdHMsIFVTIEZvb2QgYW5k
IERydWcgQWRtaW5pc3RyYXRpb24sIFNpbHZlciBTcHJpbmcsIE1hcnlsYW5kLCBVU0EuJiN4RDtT
Y2hyb2VkZXIgSW5zdGl0dXRlIGZvciBUb2JhY2NvIFJlc2VhcmNoIGFuZCBQb2xpY3kgU3R1ZGll
cywgVHJ1dGggSW5pdGlhdGl2ZSwgV2FzaGluZ3RvbiwgRGlzdHJpY3Qgb2YgQ29sdW1iaWEsIFVT
QS4mI3hEO0pvaG5zIEhvcGtpbnMgQmxvb21iZXJnIFNjaG9vbCBvZiBQdWJsaWMgSGVhbHRoLCBC
YWx0aW1vcmUsIE1hcnlsYW5kLCBVU0EuJiN4RDtXZXN0YXQgSW5jLCBSb2NrdmlsbGUsIE1hcnls
YW5kLCBVU0EuJiN4RDtEZXBhcnRtZW50IG9mIE9uY29sb2d5LCBMb21iYXJkaSBDb21wcmVoZW5z
aXZlIENhbmNlciBDZW50ZXIsIEdlb3JnZXRvd24gVW5pdmVyc2l0eSBNZWRpY2FsIENlbnRlciwg
V2FzaGluZ3RvbiwgREMsIFVTQS4mI3hEO0NlbnRlciBmb3IgVG9iYWNjbyBTdHVkaWVzLCBTY2hv
b2wgb2YgUHVibGljIEhlYWx0aCwgUnV0Z2VycyBVbml2ZXJzaXR5LCBOZXcgQnJ1bnN3aWNrLCBO
ZXcgSmVyc2V5LCBVU0EuJiN4RDtSb3N3ZWxsIFBhcmsgQ2FuY2VyIEluc3RpdHV0ZSwgQnVmZmFs
bywgTmV3IFlvcmssIFVTQS4mI3hEO05hdGlvbmFsIEluc3RpdHV0ZSBvbiBEcnVnIEFidXNlLCBO
YXRpb25hbCBJbnN0aXR1dGVzIG9mIEhlYWx0aCwgVS5TLiBEZXBhcnRtZW50IG9mIEhlYWx0aCBh
bmQgSHVtYW4gU2VydmljZXMsIEJldGhlc2RhLCBNYXJ5bGFuZCwgVVNBLjwvYXV0aC1hZGRyZXNz
Pjx0aXRsZXM+PHRpdGxlPkVsZWN0cm9uaWMgY2lnYXJldHRlIHVzZSBhbW9uZyBVUyBhZHVsdHMg
aW4gdGhlIFBvcHVsYXRpb24gQXNzZXNzbWVudCBvZiBUb2JhY2NvIGFuZCBIZWFsdGggKFBBVEgp
IFN0dWR5LCAyMDEzLTIwMTQ8L3RpdGxlPjxzZWNvbmRhcnktdGl0bGU+VG9iIENvbnRyb2w8L3Nl
Y29uZGFyeS10aXRsZT48YWx0LXRpdGxlPlRvYmFjY28gY29udHJvbDwvYWx0LXRpdGxlPjwvdGl0
bGVzPjxwZXJpb2RpY2FsPjxmdWxsLXRpdGxlPlRvYiBDb250cm9sPC9mdWxsLXRpdGxlPjxhYmJy
LTE+VG9iYWNjbyBjb250cm9sPC9hYmJyLTE+PC9wZXJpb2RpY2FsPjxhbHQtcGVyaW9kaWNhbD48
ZnVsbC10aXRsZT5Ub2IgQ29udHJvbDwvZnVsbC10aXRsZT48YWJici0xPlRvYmFjY28gY29udHJv
bDwvYWJici0xPjwvYWx0LXBlcmlvZGljYWw+PHBhZ2VzPmUxMTctZTEyNjwvcGFnZXM+PHZvbHVt
ZT4yNjwvdm9sdW1lPjxudW1iZXI+ZTI8L251bWJlcj48ZWRpdGlvbj4yMDE3LzA2LzE5PC9lZGl0
aW9uPjxrZXl3b3Jkcz48a2V5d29yZD5FbGVjdHJvbmljIG5pY290aW5lIGRlbGl2ZXJ5IGRldmlj
ZXM8L2tleXdvcmQ+PGtleXdvcmQ+Tm9uLWNpZ2FyZXR0ZSB0b2JhY2NvIHByb2R1Y3RzPC9rZXl3
b3JkPjxrZXl3b3JkPlN1cnZlaWxsYW5jZSBhbmQgbW9uaXRvcmluZzwva2V5d29yZD48a2V5d29y
ZD5tZW1iZXIgb2YgYWR2aXNvcnkgYm9hcmQgdG8gSiZhbXA7SiwgbWFudWZhY3R1cmVycyBvZiBz
bW9raW5nIGNlc3NhdGlvbiBtZWRpY2F0aW9ucy48L2tleXdvcmQ+PGtleXdvcmQ+Uk4gc2VydmVk
IGFzIGFuIGV4cGVydCB3aXRuZXNzIGZvciBwbGFpbnRpZmYgdmVyc3VzIHRvYmFjY28gY29tcGFu
aWVzLiBXTUM8L2tleXdvcmQ+PGtleXdvcmQ+cmVwb3J0cyBsb25nLXRlcm0gc3RvY2sgb3duZXJz
aGlwIGluIEdlbmVyYWwgRWxlY3RyaWMsIDNNIENvbXBhbmllcywgYW5kIFBmaXplcjwva2V5d29y
ZD48a2V5d29yZD51bnJlbGF0ZWQgdG8gdGhlIGNvbnRlbnQgb2YgdGhpcyBwYXBlci4gTm8gYWRk
aXRpb25hbCBmaW5hbmNpYWwgZGlzY2xvc3VyZXMgd2VyZTwva2V5d29yZD48a2V5d29yZD5yZXBv
cnRlZCBieSB0aGUgYXV0aG9ycyBvZiB0aGlzIHBhcGVyLjwva2V5d29yZD48L2tleXdvcmRzPjxk
YXRlcz48eWVhcj4yMDE3PC95ZWFyPjxwdWItZGF0ZXM+PGRhdGU+RGVjPC9kYXRlPjwvcHViLWRh
dGVzPjwvZGF0ZXM+PGlzYm4+MDk2NC00NTYzPC9pc2JuPjxhY2Nlc3Npb24tbnVtPjI4NjI0NzYz
PC9hY2Nlc3Npb24tbnVtPjx1cmxzPjxyZWxhdGVkLXVybHM+PHVybD5odHRwOi8vdG9iYWNjb2Nv
bnRyb2wuYm1qLmNvbS9jb250ZW50LzI2L2UyL2UxMTcubG9uZzwvdXJsPjwvcmVsYXRlZC11cmxz
PjwvdXJscz48ZWxlY3Ryb25pYy1yZXNvdXJjZS1udW0+MTAuMTEzNi90b2JhY2NvY29udHJvbC0y
MDE2LTA1MzQ2MjwvZWxlY3Ryb25pYy1yZXNvdXJjZS1udW0+PHJlbW90ZS1kYXRhYmFzZS1wcm92
aWRlcj5OTE08L3JlbW90ZS1kYXRhYmFzZS1wcm92aWRlcj48bGFuZ3VhZ2U+ZW5nPC9sYW5ndWFn
ZT48L3JlY29yZD48L0NpdGU+PC9FbmROb3RlPgB=
</w:fldData>
            </w:fldChar>
          </w:r>
          <w:r>
            <w:instrText xml:space="preserve"> ADDIN EN.CITE </w:instrText>
          </w:r>
          <w:r>
            <w:fldChar w:fldCharType="begin">
              <w:fldData xml:space="preserve">PEVuZE5vdGU+PENpdGU+PEF1dGhvcj5Db2xlbWFuPC9BdXRob3I+PFllYXI+MjAxNzwvWWVhcj48
UmVjTnVtPjU2NzwvUmVjTnVtPjxEaXNwbGF5VGV4dD4oQ29sZW1hbiwgUm9zdHJvbiBldCBhbC4g
MjAxNyk8L0Rpc3BsYXlUZXh0PjxyZWNvcmQ+PHJlYy1udW1iZXI+NTY3PC9yZWMtbnVtYmVyPjxm
b3JlaWduLWtleXM+PGtleSBhcHA9IkVOIiBkYi1pZD0iNXh2NXc1dDJiZHh0eGZlengwMnh0eGRm
dDVyejVwdHZ2dDI5IiB0aW1lc3RhbXA9IjE1MjA1Njg0NjgiPjU2Nzwva2V5PjxrZXkgYXBwPSJF
TldlYiIgZGItaWQ9IiI+MDwva2V5PjwvZm9yZWlnbi1rZXlzPjxyZWYtdHlwZSBuYW1lPSJKb3Vy
bmFsIEFydGljbGUiPjE3PC9yZWYtdHlwZT48Y29udHJpYnV0b3JzPjxhdXRob3JzPjxhdXRob3I+
Q29sZW1hbiwgQi4gTi48L2F1dGhvcj48YXV0aG9yPlJvc3Ryb24sIEIuPC9hdXRob3I+PGF1dGhv
cj5Kb2huc29uLCBTLiBFLjwvYXV0aG9yPjxhdXRob3I+QW1icm9zZSwgQi4gSy48L2F1dGhvcj48
YXV0aG9yPlBlYXJzb24sIEouPC9hdXRob3I+PGF1dGhvcj5TdGFudG9uLCBDLiBBLjwvYXV0aG9y
PjxhdXRob3I+V2FuZywgQi48L2F1dGhvcj48YXV0aG9yPkRlbG5ldm8sIEMuPC9hdXRob3I+PGF1
dGhvcj5CYW5zYWwtVHJhdmVycywgTS48L2F1dGhvcj48YXV0aG9yPktpbW1lbCwgSC4gTC48L2F1
dGhvcj48YXV0aG9yPkdvbmlld2ljeiwgTS4gTC48L2F1dGhvcj48YXV0aG9yPk5pYXVyYSwgUi48
L2F1dGhvcj48YXV0aG9yPkFicmFtcywgRC48L2F1dGhvcj48YXV0aG9yPkNvbndheSwgSy4gUC48
L2F1dGhvcj48YXV0aG9yPkJvcmVrLCBOLjwvYXV0aG9yPjxhdXRob3I+Q29tcHRvbiwgVy4gTS48
L2F1dGhvcj48YXV0aG9yPkh5bGFuZCwgQS48L2F1dGhvcj48L2F1dGhvcnM+PC9jb250cmlidXRv
cnM+PGF1dGgtYWRkcmVzcz5DZW50ZXIgZm9yIFRvYmFjY28gUHJvZHVjdHMsIFVTIEZvb2QgYW5k
IERydWcgQWRtaW5pc3RyYXRpb24sIFNpbHZlciBTcHJpbmcsIE1hcnlsYW5kLCBVU0EuJiN4RDtT
Y2hyb2VkZXIgSW5zdGl0dXRlIGZvciBUb2JhY2NvIFJlc2VhcmNoIGFuZCBQb2xpY3kgU3R1ZGll
cywgVHJ1dGggSW5pdGlhdGl2ZSwgV2FzaGluZ3RvbiwgRGlzdHJpY3Qgb2YgQ29sdW1iaWEsIFVT
QS4mI3hEO0pvaG5zIEhvcGtpbnMgQmxvb21iZXJnIFNjaG9vbCBvZiBQdWJsaWMgSGVhbHRoLCBC
YWx0aW1vcmUsIE1hcnlsYW5kLCBVU0EuJiN4RDtXZXN0YXQgSW5jLCBSb2NrdmlsbGUsIE1hcnls
YW5kLCBVU0EuJiN4RDtEZXBhcnRtZW50IG9mIE9uY29sb2d5LCBMb21iYXJkaSBDb21wcmVoZW5z
aXZlIENhbmNlciBDZW50ZXIsIEdlb3JnZXRvd24gVW5pdmVyc2l0eSBNZWRpY2FsIENlbnRlciwg
V2FzaGluZ3RvbiwgREMsIFVTQS4mI3hEO0NlbnRlciBmb3IgVG9iYWNjbyBTdHVkaWVzLCBTY2hv
b2wgb2YgUHVibGljIEhlYWx0aCwgUnV0Z2VycyBVbml2ZXJzaXR5LCBOZXcgQnJ1bnN3aWNrLCBO
ZXcgSmVyc2V5LCBVU0EuJiN4RDtSb3N3ZWxsIFBhcmsgQ2FuY2VyIEluc3RpdHV0ZSwgQnVmZmFs
bywgTmV3IFlvcmssIFVTQS4mI3hEO05hdGlvbmFsIEluc3RpdHV0ZSBvbiBEcnVnIEFidXNlLCBO
YXRpb25hbCBJbnN0aXR1dGVzIG9mIEhlYWx0aCwgVS5TLiBEZXBhcnRtZW50IG9mIEhlYWx0aCBh
bmQgSHVtYW4gU2VydmljZXMsIEJldGhlc2RhLCBNYXJ5bGFuZCwgVVNBLjwvYXV0aC1hZGRyZXNz
Pjx0aXRsZXM+PHRpdGxlPkVsZWN0cm9uaWMgY2lnYXJldHRlIHVzZSBhbW9uZyBVUyBhZHVsdHMg
aW4gdGhlIFBvcHVsYXRpb24gQXNzZXNzbWVudCBvZiBUb2JhY2NvIGFuZCBIZWFsdGggKFBBVEgp
IFN0dWR5LCAyMDEzLTIwMTQ8L3RpdGxlPjxzZWNvbmRhcnktdGl0bGU+VG9iIENvbnRyb2w8L3Nl
Y29uZGFyeS10aXRsZT48YWx0LXRpdGxlPlRvYmFjY28gY29udHJvbDwvYWx0LXRpdGxlPjwvdGl0
bGVzPjxwZXJpb2RpY2FsPjxmdWxsLXRpdGxlPlRvYiBDb250cm9sPC9mdWxsLXRpdGxlPjxhYmJy
LTE+VG9iYWNjbyBjb250cm9sPC9hYmJyLTE+PC9wZXJpb2RpY2FsPjxhbHQtcGVyaW9kaWNhbD48
ZnVsbC10aXRsZT5Ub2IgQ29udHJvbDwvZnVsbC10aXRsZT48YWJici0xPlRvYmFjY28gY29udHJv
bDwvYWJici0xPjwvYWx0LXBlcmlvZGljYWw+PHBhZ2VzPmUxMTctZTEyNjwvcGFnZXM+PHZvbHVt
ZT4yNjwvdm9sdW1lPjxudW1iZXI+ZTI8L251bWJlcj48ZWRpdGlvbj4yMDE3LzA2LzE5PC9lZGl0
aW9uPjxrZXl3b3Jkcz48a2V5d29yZD5FbGVjdHJvbmljIG5pY290aW5lIGRlbGl2ZXJ5IGRldmlj
ZXM8L2tleXdvcmQ+PGtleXdvcmQ+Tm9uLWNpZ2FyZXR0ZSB0b2JhY2NvIHByb2R1Y3RzPC9rZXl3
b3JkPjxrZXl3b3JkPlN1cnZlaWxsYW5jZSBhbmQgbW9uaXRvcmluZzwva2V5d29yZD48a2V5d29y
ZD5tZW1iZXIgb2YgYWR2aXNvcnkgYm9hcmQgdG8gSiZhbXA7SiwgbWFudWZhY3R1cmVycyBvZiBz
bW9raW5nIGNlc3NhdGlvbiBtZWRpY2F0aW9ucy48L2tleXdvcmQ+PGtleXdvcmQ+Uk4gc2VydmVk
IGFzIGFuIGV4cGVydCB3aXRuZXNzIGZvciBwbGFpbnRpZmYgdmVyc3VzIHRvYmFjY28gY29tcGFu
aWVzLiBXTUM8L2tleXdvcmQ+PGtleXdvcmQ+cmVwb3J0cyBsb25nLXRlcm0gc3RvY2sgb3duZXJz
aGlwIGluIEdlbmVyYWwgRWxlY3RyaWMsIDNNIENvbXBhbmllcywgYW5kIFBmaXplcjwva2V5d29y
ZD48a2V5d29yZD51bnJlbGF0ZWQgdG8gdGhlIGNvbnRlbnQgb2YgdGhpcyBwYXBlci4gTm8gYWRk
aXRpb25hbCBmaW5hbmNpYWwgZGlzY2xvc3VyZXMgd2VyZTwva2V5d29yZD48a2V5d29yZD5yZXBv
cnRlZCBieSB0aGUgYXV0aG9ycyBvZiB0aGlzIHBhcGVyLjwva2V5d29yZD48L2tleXdvcmRzPjxk
YXRlcz48eWVhcj4yMDE3PC95ZWFyPjxwdWItZGF0ZXM+PGRhdGU+RGVjPC9kYXRlPjwvcHViLWRh
dGVzPjwvZGF0ZXM+PGlzYm4+MDk2NC00NTYzPC9pc2JuPjxhY2Nlc3Npb24tbnVtPjI4NjI0NzYz
PC9hY2Nlc3Npb24tbnVtPjx1cmxzPjxyZWxhdGVkLXVybHM+PHVybD5odHRwOi8vdG9iYWNjb2Nv
bnRyb2wuYm1qLmNvbS9jb250ZW50LzI2L2UyL2UxMTcubG9uZzwvdXJsPjwvcmVsYXRlZC11cmxz
PjwvdXJscz48ZWxlY3Ryb25pYy1yZXNvdXJjZS1udW0+MTAuMTEzNi90b2JhY2NvY29udHJvbC0y
MDE2LTA1MzQ2MjwvZWxlY3Ryb25pYy1yZXNvdXJjZS1udW0+PHJlbW90ZS1kYXRhYmFzZS1wcm92
aWRlcj5OTE08L3JlbW90ZS1kYXRhYmFzZS1wcm92aWRlcj48bGFuZ3VhZ2U+ZW5nPC9sYW5ndWFn
ZT48L3JlY29yZD48L0NpdGU+PC9FbmROb3RlPgB=
</w:fldData>
            </w:fldChar>
          </w:r>
          <w:r>
            <w:instrText xml:space="preserve"> ADDIN EN.CITE.DATA </w:instrText>
          </w:r>
          <w:r>
            <w:fldChar w:fldCharType="end"/>
          </w:r>
          <w:r>
            <w:fldChar w:fldCharType="separate"/>
          </w:r>
          <w:r>
            <w:rPr>
              <w:noProof/>
            </w:rPr>
            <w:t>(Coleman, Rostron et al. 2017)</w:t>
          </w:r>
          <w:r>
            <w:fldChar w:fldCharType="end"/>
          </w:r>
          <w:r w:rsidRPr="00406A97">
            <w:t>.</w:t>
          </w:r>
        </w:p>
        <w:p w14:paraId="7C6AA5DB" w14:textId="32EAD1FB" w:rsidR="00465B49" w:rsidRPr="00C37738" w:rsidRDefault="00465B49" w:rsidP="00465B49">
          <w:pPr>
            <w:pStyle w:val="BodyText"/>
          </w:pPr>
          <w:r>
            <w:t>In 2015, about 56% of the global market was accounted for by the United States, 12% by the United Kingdom and a further 21% by China, Germany, France, Italy and Poland (3-5% each).</w:t>
          </w:r>
        </w:p>
        <w:p w14:paraId="2269BBDF" w14:textId="77777777" w:rsidR="00465B49" w:rsidRPr="00465B49" w:rsidRDefault="00465B49" w:rsidP="00465B49">
          <w:pPr>
            <w:pStyle w:val="BodyText"/>
          </w:pPr>
        </w:p>
        <w:p w14:paraId="3B2F0BE8" w14:textId="77777777" w:rsidR="000F0E2F" w:rsidRDefault="000F0E2F" w:rsidP="000F0E2F">
          <w:pPr>
            <w:pStyle w:val="Heading1"/>
          </w:pPr>
          <w:bookmarkStart w:id="13" w:name="_Toc517706629"/>
          <w:r>
            <w:lastRenderedPageBreak/>
            <w:t xml:space="preserve">Human </w:t>
          </w:r>
          <w:r w:rsidR="00283F5A">
            <w:t>h</w:t>
          </w:r>
          <w:r>
            <w:t xml:space="preserve">ealth </w:t>
          </w:r>
          <w:r w:rsidR="00283F5A">
            <w:t>o</w:t>
          </w:r>
          <w:r>
            <w:t>utcome studies</w:t>
          </w:r>
          <w:bookmarkEnd w:id="13"/>
        </w:p>
        <w:p w14:paraId="16E89BB3" w14:textId="77777777" w:rsidR="000F0E2F" w:rsidRDefault="000F0E2F" w:rsidP="000F0E2F">
          <w:pPr>
            <w:pStyle w:val="Heading2"/>
          </w:pPr>
          <w:bookmarkStart w:id="14" w:name="_Toc517706630"/>
          <w:r>
            <w:t>Introduction</w:t>
          </w:r>
          <w:bookmarkEnd w:id="14"/>
        </w:p>
        <w:p w14:paraId="74A9E263" w14:textId="77777777" w:rsidR="000A3834" w:rsidRPr="002B532D" w:rsidRDefault="000A3834" w:rsidP="000A3834">
          <w:pPr>
            <w:pStyle w:val="BodyText"/>
          </w:pPr>
          <w:r w:rsidRPr="002B532D">
            <w:t xml:space="preserve">This </w:t>
          </w:r>
          <w:r>
            <w:t>section</w:t>
          </w:r>
          <w:r w:rsidRPr="002B532D">
            <w:t xml:space="preserve"> considers studies examining the relationship between e-cigarettes, health risk factors and health outcomes. </w:t>
          </w:r>
          <w:r w:rsidR="005E42EE">
            <w:t>It addresses part of the assigned task to ‘</w:t>
          </w:r>
          <w:r w:rsidR="005E42EE">
            <w:rPr>
              <w:rFonts w:cs="Calibri"/>
              <w:szCs w:val="24"/>
            </w:rPr>
            <w:t>r</w:t>
          </w:r>
          <w:r w:rsidR="005E42EE" w:rsidRPr="001022DF">
            <w:rPr>
              <w:rFonts w:cs="Calibri"/>
              <w:szCs w:val="24"/>
            </w:rPr>
            <w:t>eview all available evidence applicable to the impacts of the use of e-cigarettes, personal vaporisers and nicotine on individual and population health</w:t>
          </w:r>
          <w:r w:rsidR="005E42EE">
            <w:rPr>
              <w:rFonts w:cs="Calibri"/>
              <w:szCs w:val="24"/>
            </w:rPr>
            <w:t>.’</w:t>
          </w:r>
          <w:r w:rsidR="005E42EE" w:rsidRPr="002B532D">
            <w:t xml:space="preserve"> </w:t>
          </w:r>
          <w:r w:rsidRPr="002B532D">
            <w:t xml:space="preserve">The majority of the </w:t>
          </w:r>
          <w:r>
            <w:t>27</w:t>
          </w:r>
          <w:r w:rsidRPr="002B532D">
            <w:t xml:space="preserve"> studies identified focused on multiple risk factors for health outcomes. Review findings have been categorised according to the following ‘health outcomes’: cardiovascular system, exposure to carcinogens, respiratory system, lymphatic system, oral health, dermatology, wound healing, oxidative stress, nicotine exposure and dependency, </w:t>
          </w:r>
          <w:r>
            <w:t xml:space="preserve">effects of e-cigarettes on microbiota </w:t>
          </w:r>
          <w:r w:rsidRPr="002B532D">
            <w:t xml:space="preserve">and modelling studies. One study may be referred to under several health outcome sections. At the end of each section, the findings of this review </w:t>
          </w:r>
          <w:r>
            <w:t xml:space="preserve">are compared </w:t>
          </w:r>
          <w:r w:rsidRPr="002B532D">
            <w:t xml:space="preserve">with what is already known from other recent UK and US comprehensive reviews </w:t>
          </w:r>
          <w:r>
            <w:fldChar w:fldCharType="begin"/>
          </w:r>
          <w:r w:rsidR="00903735">
            <w:instrText xml:space="preserve"> ADDIN EN.CITE &lt;EndNote&gt;&lt;Cite&gt;&lt;Author&gt;McNeill A&lt;/Author&gt;&lt;Year&gt;2018&lt;/Year&gt;&lt;RecNum&gt;9330&lt;/RecNum&gt;&lt;DisplayText&gt;(McNeill A 2018, Stratton, Kwan et al. 2018)&lt;/DisplayText&gt;&lt;record&gt;&lt;rec-number&gt;9330&lt;/rec-number&gt;&lt;foreign-keys&gt;&lt;key app="EN" db-id="9z05dz0praadfuee0zoxzedk9zfe5fxx50z5" timestamp="1524019080"&gt;9330&lt;/key&gt;&lt;key app="ENWeb" db-id=""&gt;0&lt;/key&gt;&lt;/foreign-keys&gt;&lt;ref-type name="Report"&gt;27&lt;/ref-type&gt;&lt;contributors&gt;&lt;authors&gt;&lt;author&gt;McNeill A,  Brose. L., Calder R,  Bauld L, Robson D.&lt;/author&gt;&lt;/authors&gt;&lt;/contributors&gt;&lt;titles&gt;&lt;title&gt;Evidence Review of e-cigarettes and heated tobacco products 2018. A Report commissioned by Public Health England.&lt;/title&gt;&lt;/titles&gt;&lt;dates&gt;&lt;year&gt;2018&lt;/year&gt;&lt;/dates&gt;&lt;pub-location&gt;London&lt;/pub-location&gt;&lt;publisher&gt;Public Health England&lt;/publisher&gt;&lt;urls&gt;&lt;related-urls&gt;&lt;url&gt;https://www.gov.uk/government/publications/e-cigarettes-and-heated-tobacco-products-evidence-review&lt;/url&gt;&lt;/related-urls&gt;&lt;/urls&gt;&lt;/record&gt;&lt;/Cite&gt;&lt;Cite&gt;&lt;Author&gt;Stratton&lt;/Author&gt;&lt;Year&gt;2018&lt;/Year&gt;&lt;RecNum&gt;7073&lt;/RecNum&gt;&lt;record&gt;&lt;rec-number&gt;7073&lt;/rec-number&gt;&lt;foreign-keys&gt;&lt;key app="EN" db-id="5xv5w5t2bdxtxfezx02xtxdft5rz5ptvvt29" timestamp="1521076678"&gt;7073&lt;/key&gt;&lt;/foreign-keys&gt;&lt;ref-type name="Report"&gt;27&lt;/ref-type&gt;&lt;contributors&gt;&lt;authors&gt;&lt;author&gt;Kathleen Stratton&lt;/author&gt;&lt;author&gt;Leslie Y Kwan&lt;/author&gt;&lt;author&gt;David L Eaton&lt;/author&gt;&lt;/authors&gt;&lt;tertiary-authors&gt;&lt;author&gt;The National Academies Press&lt;/author&gt;&lt;/tertiary-authors&gt;&lt;/contributors&gt;&lt;titles&gt;&lt;title&gt;Public Health Consequences of e-Cigarettes&lt;/title&gt;&lt;/titles&gt;&lt;dates&gt;&lt;year&gt;2018&lt;/year&gt;&lt;/dates&gt;&lt;pub-location&gt;Washington DC&lt;/pub-location&gt;&lt;publisher&gt;Board on Population Health and Public Health Practice, Health and Medicine Division, The National Academies of Sciences, Engineering and Medicine&lt;/publisher&gt;&lt;urls&gt;&lt;/urls&gt;&lt;/record&gt;&lt;/Cite&gt;&lt;/EndNote&gt;</w:instrText>
          </w:r>
          <w:r>
            <w:fldChar w:fldCharType="separate"/>
          </w:r>
          <w:r>
            <w:rPr>
              <w:noProof/>
            </w:rPr>
            <w:t>(McNeill A 2018, Stratton, Kwan et al. 2018)</w:t>
          </w:r>
          <w:r>
            <w:fldChar w:fldCharType="end"/>
          </w:r>
          <w:r w:rsidRPr="002B532D">
            <w:t xml:space="preserve">. </w:t>
          </w:r>
          <w:r>
            <w:t>T</w:t>
          </w:r>
          <w:r w:rsidRPr="002B532D">
            <w:t xml:space="preserve">his </w:t>
          </w:r>
          <w:r>
            <w:t>section</w:t>
          </w:r>
          <w:r w:rsidRPr="002B532D">
            <w:t xml:space="preserve"> </w:t>
          </w:r>
          <w:r>
            <w:t xml:space="preserve">is concluded </w:t>
          </w:r>
          <w:r w:rsidRPr="002B532D">
            <w:t xml:space="preserve">by highlighting new findings from this review and results that </w:t>
          </w:r>
          <w:r>
            <w:t>were not consistent</w:t>
          </w:r>
          <w:r w:rsidRPr="002B532D">
            <w:t xml:space="preserve"> with </w:t>
          </w:r>
          <w:r>
            <w:t xml:space="preserve">the findings of </w:t>
          </w:r>
          <w:r w:rsidRPr="002B532D">
            <w:t>recent reviews.</w:t>
          </w:r>
        </w:p>
        <w:p w14:paraId="345EF14B" w14:textId="77777777" w:rsidR="000A3834" w:rsidRPr="000A3834" w:rsidRDefault="000A3834" w:rsidP="000A3834">
          <w:pPr>
            <w:pStyle w:val="BodyText"/>
          </w:pPr>
        </w:p>
        <w:p w14:paraId="395B9181" w14:textId="77777777" w:rsidR="000F0E2F" w:rsidRDefault="000F0E2F" w:rsidP="000A3834">
          <w:pPr>
            <w:pStyle w:val="Heading3"/>
            <w:numPr>
              <w:ilvl w:val="2"/>
              <w:numId w:val="18"/>
            </w:numPr>
          </w:pPr>
          <w:r>
            <w:t xml:space="preserve">Studies </w:t>
          </w:r>
          <w:r w:rsidR="00283F5A">
            <w:t>in</w:t>
          </w:r>
          <w:r>
            <w:t xml:space="preserve">cluded and </w:t>
          </w:r>
          <w:r w:rsidR="00283F5A">
            <w:t>e</w:t>
          </w:r>
          <w:r>
            <w:t>xcluded</w:t>
          </w:r>
        </w:p>
        <w:p w14:paraId="08E9D1BE" w14:textId="499E7405" w:rsidR="000A3834" w:rsidRDefault="000A3834" w:rsidP="000A3834">
          <w:pPr>
            <w:pStyle w:val="BodyText"/>
          </w:pPr>
          <w:r>
            <w:t xml:space="preserve">The published papers identified by title to be related to health effects of e-cigarettes, were examined in full. Papers were excluded from consideration in </w:t>
          </w:r>
          <w:r w:rsidR="00F055CA">
            <w:t>Pa</w:t>
          </w:r>
          <w:r>
            <w:t>rt 1 for the following reasons:</w:t>
          </w:r>
          <w:r w:rsidR="008146F9">
            <w:t xml:space="preserve"> </w:t>
          </w:r>
        </w:p>
        <w:p w14:paraId="0D200B44" w14:textId="77777777" w:rsidR="000A3834" w:rsidRDefault="000A3834" w:rsidP="00E16F8F">
          <w:pPr>
            <w:pStyle w:val="BodyText"/>
            <w:numPr>
              <w:ilvl w:val="0"/>
              <w:numId w:val="19"/>
            </w:numPr>
            <w:spacing w:before="0" w:after="0"/>
          </w:pPr>
          <w:r>
            <w:t xml:space="preserve">letter to the editor/erratum, editorial or commentary only, not an original study </w:t>
          </w:r>
        </w:p>
        <w:p w14:paraId="215CEDBF" w14:textId="77777777" w:rsidR="000A3834" w:rsidRDefault="000A3834" w:rsidP="0023695A">
          <w:pPr>
            <w:pStyle w:val="BodyText"/>
            <w:numPr>
              <w:ilvl w:val="0"/>
              <w:numId w:val="19"/>
            </w:numPr>
            <w:spacing w:before="0" w:after="0"/>
          </w:pPr>
          <w:r>
            <w:t xml:space="preserve">air quality study </w:t>
          </w:r>
        </w:p>
        <w:p w14:paraId="05197B27" w14:textId="77777777" w:rsidR="000A3834" w:rsidRDefault="000A3834" w:rsidP="00E652DB">
          <w:pPr>
            <w:pStyle w:val="BodyText"/>
            <w:numPr>
              <w:ilvl w:val="0"/>
              <w:numId w:val="19"/>
            </w:numPr>
            <w:spacing w:before="0" w:after="0"/>
          </w:pPr>
          <w:r>
            <w:t xml:space="preserve">review article or book chapter, not an original study </w:t>
          </w:r>
        </w:p>
        <w:p w14:paraId="3D963493" w14:textId="77777777" w:rsidR="000A3834" w:rsidRDefault="000A3834" w:rsidP="00C14512">
          <w:pPr>
            <w:pStyle w:val="BodyText"/>
            <w:numPr>
              <w:ilvl w:val="0"/>
              <w:numId w:val="19"/>
            </w:numPr>
            <w:spacing w:before="0" w:after="0"/>
          </w:pPr>
          <w:r>
            <w:t xml:space="preserve">on e-cigarette ingredients/toxicology (with no health outcome) </w:t>
          </w:r>
        </w:p>
        <w:p w14:paraId="466BC817" w14:textId="77777777" w:rsidR="000A3834" w:rsidRDefault="000A3834" w:rsidP="0012376D">
          <w:pPr>
            <w:pStyle w:val="BodyText"/>
            <w:numPr>
              <w:ilvl w:val="0"/>
              <w:numId w:val="19"/>
            </w:numPr>
            <w:spacing w:before="0" w:after="0"/>
          </w:pPr>
          <w:r>
            <w:t xml:space="preserve">conference abstract only (with some full papers in the review) or other abstract without sufficient detail, or abstract/article not able to be accessed </w:t>
          </w:r>
        </w:p>
        <w:p w14:paraId="2FE7E848" w14:textId="77777777" w:rsidR="000A3834" w:rsidRDefault="000A3834" w:rsidP="0012376D">
          <w:pPr>
            <w:pStyle w:val="BodyText"/>
            <w:numPr>
              <w:ilvl w:val="0"/>
              <w:numId w:val="19"/>
            </w:numPr>
            <w:spacing w:before="0" w:after="0"/>
          </w:pPr>
          <w:r>
            <w:t xml:space="preserve">focus on factors associated with e-cigarette uptake, not health outcomes </w:t>
          </w:r>
        </w:p>
        <w:p w14:paraId="6EC6E865" w14:textId="77777777" w:rsidR="000A3834" w:rsidRDefault="000A3834" w:rsidP="002E43B9">
          <w:pPr>
            <w:pStyle w:val="BodyText"/>
            <w:numPr>
              <w:ilvl w:val="0"/>
              <w:numId w:val="19"/>
            </w:numPr>
            <w:spacing w:before="0" w:after="0"/>
          </w:pPr>
          <w:r>
            <w:t xml:space="preserve">prevalence study on e-cigarette use </w:t>
          </w:r>
        </w:p>
        <w:p w14:paraId="5FCE6D84" w14:textId="77777777" w:rsidR="000A3834" w:rsidRDefault="000A3834" w:rsidP="002E43B9">
          <w:pPr>
            <w:pStyle w:val="BodyText"/>
            <w:numPr>
              <w:ilvl w:val="0"/>
              <w:numId w:val="19"/>
            </w:numPr>
            <w:spacing w:before="0" w:after="0"/>
          </w:pPr>
          <w:r>
            <w:t xml:space="preserve">on perceptions of e-cigarette safety </w:t>
          </w:r>
        </w:p>
        <w:p w14:paraId="0D4C407D" w14:textId="77777777" w:rsidR="000A3834" w:rsidRDefault="000A3834" w:rsidP="002E43B9">
          <w:pPr>
            <w:pStyle w:val="BodyText"/>
            <w:numPr>
              <w:ilvl w:val="0"/>
              <w:numId w:val="19"/>
            </w:numPr>
            <w:spacing w:before="0" w:after="0"/>
          </w:pPr>
          <w:r>
            <w:t>on e-cigarette particle distribution (modelling)</w:t>
          </w:r>
        </w:p>
        <w:p w14:paraId="4152C597" w14:textId="77777777" w:rsidR="000A3834" w:rsidRDefault="000A3834" w:rsidP="002E43B9">
          <w:pPr>
            <w:pStyle w:val="BodyText"/>
            <w:numPr>
              <w:ilvl w:val="0"/>
              <w:numId w:val="19"/>
            </w:numPr>
            <w:spacing w:before="0" w:after="0"/>
          </w:pPr>
          <w:r>
            <w:t>studies otherwise inappropriate for this section.</w:t>
          </w:r>
        </w:p>
        <w:p w14:paraId="1F7304F4" w14:textId="77777777" w:rsidR="000A3834" w:rsidRDefault="000A3834" w:rsidP="000A3834">
          <w:pPr>
            <w:pStyle w:val="BodyText"/>
          </w:pPr>
          <w:r>
            <w:t xml:space="preserve">Of the </w:t>
          </w:r>
          <w:r w:rsidRPr="00343F38">
            <w:t>49 studies</w:t>
          </w:r>
          <w:r>
            <w:t xml:space="preserve"> identified as evaluating the effects of e-cigarettes on human health outcomes, 22 studies either sampled from a population of cigarette smokers or dual users or compared the results to cigarette smokers rather than non-smokers. These studies have been excluded from this section, however, they are included in </w:t>
          </w:r>
          <w:r w:rsidR="00F055CA">
            <w:t>Pa</w:t>
          </w:r>
          <w:r>
            <w:t xml:space="preserve">rt 4 which focuses on health outcomes in cigarette smokers. The remaining </w:t>
          </w:r>
          <w:r>
            <w:rPr>
              <w:b/>
            </w:rPr>
            <w:t>27</w:t>
          </w:r>
          <w:r w:rsidRPr="00343F38">
            <w:rPr>
              <w:b/>
            </w:rPr>
            <w:t xml:space="preserve"> studies</w:t>
          </w:r>
          <w:r>
            <w:t xml:space="preserve"> are reviewed in this chapter.</w:t>
          </w:r>
        </w:p>
        <w:p w14:paraId="1A91C8FA" w14:textId="77777777" w:rsidR="000A3834" w:rsidRPr="000A3834" w:rsidRDefault="000A3834" w:rsidP="000A3834">
          <w:pPr>
            <w:pStyle w:val="BodyText"/>
          </w:pPr>
        </w:p>
        <w:p w14:paraId="65D7EB78" w14:textId="77777777" w:rsidR="000F0E2F" w:rsidRDefault="000F0E2F" w:rsidP="000A3834">
          <w:pPr>
            <w:pStyle w:val="Heading3"/>
            <w:numPr>
              <w:ilvl w:val="2"/>
              <w:numId w:val="18"/>
            </w:numPr>
          </w:pPr>
          <w:r>
            <w:lastRenderedPageBreak/>
            <w:t xml:space="preserve">Levels of </w:t>
          </w:r>
          <w:r w:rsidR="00283F5A">
            <w:t>e</w:t>
          </w:r>
          <w:r>
            <w:t xml:space="preserve">vidence and </w:t>
          </w:r>
          <w:r w:rsidR="00283F5A">
            <w:t>s</w:t>
          </w:r>
          <w:r>
            <w:t>tudy designs</w:t>
          </w:r>
        </w:p>
        <w:p w14:paraId="277153D4" w14:textId="77777777" w:rsidR="000A3834" w:rsidRDefault="000A3834" w:rsidP="000A3834">
          <w:pPr>
            <w:pStyle w:val="BodyText"/>
          </w:pPr>
          <w:r>
            <w:t xml:space="preserve">Of the </w:t>
          </w:r>
          <w:r>
            <w:rPr>
              <w:b/>
            </w:rPr>
            <w:t>27</w:t>
          </w:r>
          <w:r w:rsidRPr="003458E8">
            <w:rPr>
              <w:b/>
            </w:rPr>
            <w:t xml:space="preserve"> studies</w:t>
          </w:r>
          <w:r>
            <w:t xml:space="preserve"> included in this review of health risks/outcomes associated with e-cigarettes, there </w:t>
          </w:r>
          <w:r w:rsidRPr="003458E8">
            <w:t xml:space="preserve">was generally a low level of evidence </w:t>
          </w:r>
          <w:r>
            <w:t>arising from</w:t>
          </w:r>
          <w:r w:rsidRPr="003458E8">
            <w:t xml:space="preserve"> the study designs, with most of the studies being cross-sectional studies</w:t>
          </w:r>
          <w:r>
            <w:t xml:space="preserve"> (n=12). Modelling studies (n=5) and case reports (n=4) were the next most frequent type of study design. The study designs included:</w:t>
          </w:r>
        </w:p>
        <w:p w14:paraId="41A9C1CF" w14:textId="77777777" w:rsidR="000A3834" w:rsidRDefault="000A3834" w:rsidP="00E16F8F">
          <w:pPr>
            <w:pStyle w:val="BodyText"/>
            <w:numPr>
              <w:ilvl w:val="0"/>
              <w:numId w:val="29"/>
            </w:numPr>
            <w:spacing w:before="0" w:after="0"/>
          </w:pPr>
          <w:r>
            <w:t>Randomised cross-over trials (3)</w:t>
          </w:r>
        </w:p>
        <w:p w14:paraId="287CFB37" w14:textId="77777777" w:rsidR="000A3834" w:rsidRDefault="000A3834" w:rsidP="0023695A">
          <w:pPr>
            <w:pStyle w:val="BodyText"/>
            <w:numPr>
              <w:ilvl w:val="0"/>
              <w:numId w:val="29"/>
            </w:numPr>
            <w:spacing w:before="0" w:after="0"/>
          </w:pPr>
          <w:r>
            <w:t>Randomised controlled trials (1)</w:t>
          </w:r>
        </w:p>
        <w:p w14:paraId="5DBE3EBA" w14:textId="77777777" w:rsidR="000A3834" w:rsidRDefault="000A3834" w:rsidP="00E652DB">
          <w:pPr>
            <w:pStyle w:val="BodyText"/>
            <w:numPr>
              <w:ilvl w:val="0"/>
              <w:numId w:val="29"/>
            </w:numPr>
            <w:spacing w:before="0" w:after="0"/>
          </w:pPr>
          <w:r>
            <w:t>Prospective cohort studies (1)</w:t>
          </w:r>
        </w:p>
        <w:p w14:paraId="667945ED" w14:textId="77777777" w:rsidR="000A3834" w:rsidRDefault="000A3834" w:rsidP="00C14512">
          <w:pPr>
            <w:pStyle w:val="BodyText"/>
            <w:numPr>
              <w:ilvl w:val="0"/>
              <w:numId w:val="29"/>
            </w:numPr>
            <w:spacing w:before="0" w:after="0"/>
          </w:pPr>
          <w:r>
            <w:t>Case control studies (1)</w:t>
          </w:r>
        </w:p>
        <w:p w14:paraId="557C8590" w14:textId="77777777" w:rsidR="000A3834" w:rsidRDefault="000A3834" w:rsidP="0012376D">
          <w:pPr>
            <w:pStyle w:val="BodyText"/>
            <w:numPr>
              <w:ilvl w:val="0"/>
              <w:numId w:val="29"/>
            </w:numPr>
            <w:spacing w:before="0" w:after="0"/>
          </w:pPr>
          <w:r>
            <w:t>Cross sectional studies (12)</w:t>
          </w:r>
        </w:p>
        <w:p w14:paraId="251CD7CE" w14:textId="77777777" w:rsidR="000A3834" w:rsidRDefault="000A3834" w:rsidP="0012376D">
          <w:pPr>
            <w:pStyle w:val="BodyText"/>
            <w:numPr>
              <w:ilvl w:val="0"/>
              <w:numId w:val="29"/>
            </w:numPr>
            <w:spacing w:before="0" w:after="0"/>
          </w:pPr>
          <w:r>
            <w:t>Case Reports (4), and</w:t>
          </w:r>
        </w:p>
        <w:p w14:paraId="5E8FC24A" w14:textId="77777777" w:rsidR="000A3834" w:rsidRDefault="000A3834" w:rsidP="002E43B9">
          <w:pPr>
            <w:pStyle w:val="BodyText"/>
            <w:numPr>
              <w:ilvl w:val="0"/>
              <w:numId w:val="29"/>
            </w:numPr>
            <w:spacing w:before="0" w:after="0"/>
          </w:pPr>
          <w:r>
            <w:t>Modelling studies (5).</w:t>
          </w:r>
        </w:p>
        <w:p w14:paraId="4C1D8386" w14:textId="77777777" w:rsidR="000A3834" w:rsidRDefault="000A3834" w:rsidP="000A3834">
          <w:pPr>
            <w:pStyle w:val="BodyText"/>
          </w:pPr>
        </w:p>
        <w:p w14:paraId="234B8213" w14:textId="77777777" w:rsidR="000F0E2F" w:rsidRDefault="000F0E2F" w:rsidP="000A3834">
          <w:pPr>
            <w:pStyle w:val="Heading3"/>
          </w:pPr>
          <w:bookmarkStart w:id="15" w:name="_Toc512264913"/>
          <w:bookmarkStart w:id="16" w:name="_Toc513214344"/>
          <w:r>
            <w:t xml:space="preserve">Review findings on </w:t>
          </w:r>
          <w:r w:rsidR="00283F5A">
            <w:t>h</w:t>
          </w:r>
          <w:r>
            <w:t>ealth outcomes</w:t>
          </w:r>
          <w:bookmarkEnd w:id="15"/>
          <w:bookmarkEnd w:id="16"/>
        </w:p>
        <w:p w14:paraId="22C9D6F0" w14:textId="77777777" w:rsidR="000A3834" w:rsidRDefault="000A3834" w:rsidP="000A3834">
          <w:pPr>
            <w:pStyle w:val="BodyText"/>
          </w:pPr>
          <w:r>
            <w:t>In this section the health outcome studies are considered after categorising by various health risks and outcomes.</w:t>
          </w:r>
        </w:p>
        <w:p w14:paraId="34478C55" w14:textId="77777777" w:rsidR="000A3834" w:rsidRPr="000A3834" w:rsidRDefault="000A3834" w:rsidP="000A3834">
          <w:pPr>
            <w:pStyle w:val="BodyText"/>
          </w:pPr>
        </w:p>
        <w:p w14:paraId="37DF55DF" w14:textId="77777777" w:rsidR="000F0E2F" w:rsidRDefault="000F0E2F" w:rsidP="000F0E2F">
          <w:pPr>
            <w:pStyle w:val="Heading2"/>
          </w:pPr>
          <w:bookmarkStart w:id="17" w:name="_Toc513214345"/>
          <w:bookmarkStart w:id="18" w:name="_Toc517706631"/>
          <w:r>
            <w:t>Cardiovascular system</w:t>
          </w:r>
          <w:bookmarkEnd w:id="17"/>
          <w:bookmarkEnd w:id="18"/>
        </w:p>
        <w:p w14:paraId="0DEE204F" w14:textId="77777777" w:rsidR="000A3834" w:rsidRDefault="000A3834" w:rsidP="000A3834">
          <w:pPr>
            <w:pStyle w:val="BodyText"/>
          </w:pPr>
          <w:r>
            <w:t>There were five studies that considered cardio-vascular health risk factors associated with e</w:t>
          </w:r>
          <w:r>
            <w:noBreakHyphen/>
            <w:t xml:space="preserve">cigarette use </w:t>
          </w:r>
          <w:r>
            <w:fldChar w:fldCharType="begin">
              <w:fldData xml:space="preserve">PEVuZE5vdGU+PENpdGU+PEF1dGhvcj5Qb2xvc2E8L0F1dGhvcj48WWVhcj4yMDE3PC9ZZWFyPjxS
ZWNOdW0+MTE0NDI8L1JlY051bT48RGlzcGxheVRleHQ+KEJvYXMsIEd1cHRhIGV0IGFsLiAyMDE3
LCBNb2hlaW1hbmksIEJoZXRyYXJhdGFuYSBldCBhbC4gMjAxNywgTW9oZWltYW5pLCBCaGV0cmFy
YXRhbmEgZXQgYWwuIDIwMTcsIFBvbG9zYSwgQ2liZWxsYSBldCBhbC4gMjAxNywgU3RhdWR0LCBT
YWxpdCBldCBhbC4gMjAxOCk8L0Rpc3BsYXlUZXh0PjxyZWNvcmQ+PHJlYy1udW1iZXI+MTE0NDI8
L3JlYy1udW1iZXI+PGZvcmVpZ24ta2V5cz48a2V5IGFwcD0iRU4iIGRiLWlkPSI1eHY1dzV0MmJk
eHR4ZmV6eDAyeHR4ZGZ0NXJ6NXB0dnZ0MjkiIHRpbWVzdGFtcD0iMTUyMzg2MTk1MSI+MTE0NDI8
L2tleT48a2V5IGFwcD0iRU5XZWIiIGRiLWlkPSIiPjA8L2tleT48L2ZvcmVpZ24ta2V5cz48cmVm
LXR5cGUgbmFtZT0iSm91cm5hbCBBcnRpY2xlIj4xNzwvcmVmLXR5cGU+PGNvbnRyaWJ1dG9ycz48
YXV0aG9ycz48YXV0aG9yPlBvbG9zYSwgUi48L2F1dGhvcj48YXV0aG9yPkNpYmVsbGEsIEYuPC9h
dXRob3I+PGF1dGhvcj5DYXBvbm5ldHRvLCBQLjwvYXV0aG9yPjxhdXRob3I+TWFnbGlhLCBNLjwv
YXV0aG9yPjxhdXRob3I+UHJvc3BlcmluaSwgVS48L2F1dGhvcj48YXV0aG9yPlJ1c3NvLCBDLjwv
YXV0aG9yPjxhdXRob3I+VGFzaGtpbiwgRC48L2F1dGhvcj48L2F1dGhvcnM+PC9jb250cmlidXRv
cnM+PGF1dGgtYWRkcmVzcz5DZW50cm8gcGVyIGxhIFByZXZlbnppb25lIGUgQ3VyYSBkZWwgVGFi
YWdpc21vIChDUENUKSwgQXppZW5kYSBPc3BlZGFsaWVyby1Vbml2ZXJzaXRhcmlhICZxdW90O1Bv
bGljbGluaWNvLVYuIEVtYW51ZWxlJnF1b3Q7LCBVbml2ZXJzaXRhIGRpIENhdGFuaWEsIENhdGFu
aWEsIEl0YWx5LiBwb2xvc2FAdW5pY3QuaXQuJiN4RDtJbnN0aXR1dGUgb2YgSW50ZXJuYWwgYW5k
IEVtZXJnZW5jeSBNZWRpY2luZSwgQXppZW5kYSBPc3BlZGFsaWVyby1Vbml2ZXJzaXRhcmlhICZx
dW90O1BvbGljbGluaWNvLVYuIEVtYW51ZWxlJnF1b3Q7LCBVbml2ZXJzaXRhIGRpIENhdGFuaWEs
IENhdGFuaWEsIEl0YWx5LiBwb2xvc2FAdW5pY3QuaXQuJiN4RDtEaXBhcnRpbWVudG8gZGkgTWVk
aWNpbmEgQ2xpbmljYSBlIFNwZXJpbWVudGFsZSwgVW5pdmVyc2l0eSBvZiBDYXRhbmlhLCBDYXRh
bmlhLCBJdGFseS4gcG9sb3NhQHVuaWN0Lml0LiYjeEQ7TmF0aW9uYWwgUmVzZWFyY2ggQ291bmNp
bCBvZiBJdGFseSwgSW5zdGl0dXRlIG9mIEJpb21lZGljaW5lIGFuZCBNb2xlY3VsYXIgSW1tdW5v
bG9neSwgUGFsZXJtbywgSXRhbHkuJiN4RDtDZW50cm8gcGVyIGxhIFByZXZlbnppb25lIGUgQ3Vy
YSBkZWwgVGFiYWdpc21vIChDUENUKSwgQXppZW5kYSBPc3BlZGFsaWVyby1Vbml2ZXJzaXRhcmlh
ICZxdW90O1BvbGljbGluaWNvLVYuIEVtYW51ZWxlJnF1b3Q7LCBVbml2ZXJzaXRhIGRpIENhdGFu
aWEsIENhdGFuaWEsIEl0YWx5LiYjeEQ7RGlwYXJ0aW1lbnRvIGRpIE1lZGljaW5hIENsaW5pY2Eg
ZSBTcGVyaW1lbnRhbGUsIFVuaXZlcnNpdHkgb2YgQ2F0YW5pYSwgQ2F0YW5pYSwgSXRhbHkuJiN4
RDtPc3BlZGFsZSAmcXVvdDtTYW4gVmluY2Vuem8mcXVvdDsgLSBBU1AgTWVzc2luYSwgVGFvcm1p
bmEsIE1FLCBJdGFseS4mI3hEO01DQVUgQVJOQVMgR2FyaWJhbGRpLCBDYXRhbmlhLCBJdGFseS4m
I3hEO0RhdmlkIEdlZmZlbiBTY2hvb2wgb2YgTWVkaWNpbmUgYXQgdGhlIFVuaXZlcnNpdHkgb2Yg
Q2FsaWZvcm5pYSwgTG9zIEFuZ2VsZXMgKFVDTEEpLCBMb3MgQW5nZWxlcywgQ2FsaWZvcm5pYSwg
VVNBLjwvYXV0aC1hZGRyZXNzPjx0aXRsZXM+PHRpdGxlPkhlYWx0aCBpbXBhY3Qgb2YgRS1jaWdh
cmV0dGVzOiBhIHByb3NwZWN0aXZlIDMuNS15ZWFyIHN0dWR5IG9mIHJlZ3VsYXIgZGFpbHkgdXNl
cnMgd2hvIGhhdmUgbmV2ZXIgc21va2VkPC90aXRsZT48c2Vjb25kYXJ5LXRpdGxlPlNjaSBSZXA8
L3NlY29uZGFyeS10aXRsZT48YWx0LXRpdGxlPlNjaWVudGlmaWMgcmVwb3J0czwvYWx0LXRpdGxl
PjwvdGl0bGVzPjxwZXJpb2RpY2FsPjxmdWxsLXRpdGxlPlNjaSBSZXA8L2Z1bGwtdGl0bGU+PGFi
YnItMT5TY2llbnRpZmljIHJlcG9ydHM8L2FiYnItMT48L3BlcmlvZGljYWw+PGFsdC1wZXJpb2Rp
Y2FsPjxmdWxsLXRpdGxlPlNjaSBSZXA8L2Z1bGwtdGl0bGU+PGFiYnItMT5TY2llbnRpZmljIHJl
cG9ydHM8L2FiYnItMT48L2FsdC1wZXJpb2RpY2FsPjxwYWdlcz4xMzgyNTwvcGFnZXM+PHZvbHVt
ZT43PC92b2x1bWU+PG51bWJlcj4xPC9udW1iZXI+PGVkaXRpb24+MjAxNy8xMS8xOTwvZWRpdGlv
bj48ZGF0ZXM+PHllYXI+MjAxNzwveWVhcj48cHViLWRhdGVzPjxkYXRlPk5vdiAxNzwvZGF0ZT48
L3B1Yi1kYXRlcz48L2RhdGVzPjxpc2JuPjIwNDUtMjMyMjwvaXNibj48YWNjZXNzaW9uLW51bT4y
OTE1MDYxMjwvYWNjZXNzaW9uLW51bT48dXJscz48L3VybHM+PGN1c3RvbTI+UE1DNTY5Mzk2MDwv
Y3VzdG9tMj48ZWxlY3Ryb25pYy1yZXNvdXJjZS1udW0+MTAuMTAzOC9zNDE1OTgtMDE3LTE0MDQz
LTI8L2VsZWN0cm9uaWMtcmVzb3VyY2UtbnVtPjxyZW1vdGUtZGF0YWJhc2UtcHJvdmlkZXI+TkxN
PC9yZW1vdGUtZGF0YWJhc2UtcHJvdmlkZXI+PGxhbmd1YWdlPmVuZzwvbGFuZ3VhZ2U+PC9yZWNv
cmQ+PC9DaXRlPjxDaXRlPjxBdXRob3I+TW9oZWltYW5pPC9BdXRob3I+PFllYXI+MjAxNzwvWWVh
cj48UmVjTnVtPjExNDM2PC9SZWNOdW0+PHJlY29yZD48cmVjLW51bWJlcj4xMTQzNjwvcmVjLW51
bWJlcj48Zm9yZWlnbi1rZXlzPjxrZXkgYXBwPSJFTiIgZGItaWQ9IjV4djV3NXQyYmR4dHhmZXp4
MDJ4dHhkZnQ1cno1cHR2dnQyOSIgdGltZXN0YW1wPSIxNTIzODYxODczIj4xMTQzNjwva2V5Pjxr
ZXkgYXBwPSJFTldlYiIgZGItaWQ9IiI+MDwva2V5PjwvZm9yZWlnbi1rZXlzPjxyZWYtdHlwZSBu
YW1lPSJKb3VybmFsIEFydGljbGUiPjE3PC9yZWYtdHlwZT48Y29udHJpYnV0b3JzPjxhdXRob3Jz
PjxhdXRob3I+TW9oZWltYW5pLCBSLiBTLjwvYXV0aG9yPjxhdXRob3I+QmhldHJhcmF0YW5hLCBN
LjwvYXV0aG9yPjxhdXRob3I+WWluLCBGLjwvYXV0aG9yPjxhdXRob3I+UGV0ZXJzLCBLLiBNLjwv
YXV0aG9yPjxhdXRob3I+R29ybmJlaW4sIEouPC9hdXRob3I+PGF1dGhvcj5BcmF1am8sIEouIEEu
PC9hdXRob3I+PGF1dGhvcj5NaWRkbGVrYXVmZiwgSC4gUi48L2F1dGhvcj48L2F1dGhvcnM+PC9j
b250cmlidXRvcnM+PGF1dGgtYWRkcmVzcz5EYXZpZCBHZWZmZW4gU2Nob29sIG9mIE1lZGljaW5l
LCBVbml2ZXJzaXR5IG9mIENhbGlmb3JuaWEsIExvcyBBbmdlbGVzLiYjeEQ7RGl2aXNpb24gb2Yg
Q2FyZGlvbG9neSwgRGVwYXJ0bWVudCBvZiBNZWRpY2luZSwgRGF2aWQgR2VmZmVuIFNjaG9vbCBv
ZiBNZWRpY2luZSwgVW5pdmVyc2l0eSBvZiBDYWxpZm9ybmlhLCBMb3MgQW5nZWxlcy4mI3hEO0Rl
cGFydG1lbnQgb2YgQmlvbWF0aGVtYXRpY3MsIERhdmlkIEdlZmZlbiBTY2hvb2wgb2YgTWVkaWNp
bmUsIFVuaXZlcnNpdHkgb2YgQ2FsaWZvcm5pYSwgTG9zIEFuZ2VsZXMuJiN4RDtEaXZpc2lvbiBv
ZiBDYXJkaW9sb2d5LCBEZXBhcnRtZW50IG9mIE1lZGljaW5lLCBEYXZpZCBHZWZmZW4gU2Nob29s
IG9mIE1lZGljaW5lLCBVbml2ZXJzaXR5IG9mIENhbGlmb3JuaWEsIExvcyBBbmdlbGVzNERlcGFy
dG1lbnQgb2YgRW52aXJvbm1lbnRhbCBIZWFsdGggU2NpZW5jZXMsIFNjaG9vbCBvZiBQdWJsaWMg
SGVhbHRoLCBVbml2ZXJzaXR5IG9mIENhbGlmb3JuaWEsIExvcyBBbmdlbGVzLjwvYXV0aC1hZGRy
ZXNzPjx0aXRsZXM+PHRpdGxlPkluY3JlYXNlZCBDYXJkaWFjIFN5bXBhdGhldGljIEFjdGl2aXR5
IGFuZCBPeGlkYXRpdmUgU3RyZXNzIGluIEhhYml0dWFsIEVsZWN0cm9uaWMgQ2lnYXJldHRlIFVz
ZXJzOiBJbXBsaWNhdGlvbnMgZm9yIENhcmRpb3Zhc2N1bGFyIFJpc2s8L3RpdGxlPjxzZWNvbmRh
cnktdGl0bGU+SkFNQSBDYXJkaW9sPC9zZWNvbmRhcnktdGl0bGU+PGFsdC10aXRsZT5KQU1BIGNh
cmRpb2xvZ3k8L2FsdC10aXRsZT48L3RpdGxlcz48cGVyaW9kaWNhbD48ZnVsbC10aXRsZT5KQU1B
IENhcmRpb2w8L2Z1bGwtdGl0bGU+PGFiYnItMT5KQU1BIGNhcmRpb2xvZ3k8L2FiYnItMT48L3Bl
cmlvZGljYWw+PGFsdC1wZXJpb2RpY2FsPjxmdWxsLXRpdGxlPkpBTUEgQ2FyZGlvbDwvZnVsbC10
aXRsZT48YWJici0xPkpBTUEgY2FyZGlvbG9neTwvYWJici0xPjwvYWx0LXBlcmlvZGljYWw+PHBh
Z2VzPjI3OC0yODQ8L3BhZ2VzPjx2b2x1bWU+Mjwvdm9sdW1lPjxudW1iZXI+MzwvbnVtYmVyPjxl
ZGl0aW9uPjIwMTcvMDIvMDI8L2VkaXRpb24+PGRhdGVzPjx5ZWFyPjIwMTc8L3llYXI+PHB1Yi1k
YXRlcz48ZGF0ZT5NYXIgMTwvZGF0ZT48L3B1Yi1kYXRlcz48L2RhdGVzPjxhY2Nlc3Npb24tbnVt
PjI4MTQ2MjU5PC9hY2Nlc3Npb24tbnVtPjx1cmxzPjwvdXJscz48Y3VzdG9tMj5QTUM1NjI2MDA4
PC9jdXN0b20yPjxjdXN0b202Pk5JSE1TODY4MjI2PC9jdXN0b202PjxlbGVjdHJvbmljLXJlc291
cmNlLW51bT4xMC4xMDAxL2phbWFjYXJkaW8uMjAxNi41MzAzPC9lbGVjdHJvbmljLXJlc291cmNl
LW51bT48cmVtb3RlLWRhdGFiYXNlLXByb3ZpZGVyPk5MTTwvcmVtb3RlLWRhdGFiYXNlLXByb3Zp
ZGVyPjxsYW5ndWFnZT5lbmc8L2xhbmd1YWdlPjwvcmVjb3JkPjwvQ2l0ZT48Q2l0ZT48QXV0aG9y
Pk1vaGVpbWFuaTwvQXV0aG9yPjxZZWFyPjIwMTc8L1llYXI+PFJlY051bT4xMTQzMTwvUmVjTnVt
PjxyZWNvcmQ+PHJlYy1udW1iZXI+MTE0MzE8L3JlYy1udW1iZXI+PGZvcmVpZ24ta2V5cz48a2V5
IGFwcD0iRU4iIGRiLWlkPSI1eHY1dzV0MmJkeHR4ZmV6eDAyeHR4ZGZ0NXJ6NXB0dnZ0MjkiIHRp
bWVzdGFtcD0iMTUyMzg2MTc1NCI+MTE0MzE8L2tleT48a2V5IGFwcD0iRU5XZWIiIGRiLWlkPSIi
PjA8L2tleT48L2ZvcmVpZ24ta2V5cz48cmVmLXR5cGUgbmFtZT0iSm91cm5hbCBBcnRpY2xlIj4x
NzwvcmVmLXR5cGU+PGNvbnRyaWJ1dG9ycz48YXV0aG9ycz48YXV0aG9yPk1vaGVpbWFuaSwgUi4g
Uy48L2F1dGhvcj48YXV0aG9yPkJoZXRyYXJhdGFuYSwgTS48L2F1dGhvcj48YXV0aG9yPlBldGVy
cywgSy4gTS48L2F1dGhvcj48YXV0aG9yPllhbmcsIEIuIEsuPC9hdXRob3I+PGF1dGhvcj5ZaW4s
IEYuPC9hdXRob3I+PGF1dGhvcj5Hb3JuYmVpbiwgSi48L2F1dGhvcj48YXV0aG9yPkFyYXVqbywg
Si4gQS48L2F1dGhvcj48YXV0aG9yPk1pZGRsZWthdWZmLCBILiBSLjwvYXV0aG9yPjwvYXV0aG9y
cz48L2NvbnRyaWJ1dG9ycz48YXV0aC1hZGRyZXNzPkRhdmlkIEdlZmZlbiBTY2hvb2wgb2YgTWVk
aWNpbmUgYXQgVUNMQSwgTG9zIEFuZ2VsZXMsIENBLiYjeEQ7RGl2aXNpb24gb2YgQ2FyZGlvbG9n
eSBEZXBhcnRtZW50IG9mIE1lZGljaW5lLCBEYXZpZCBHZWZmZW4gU2Nob29sIG9mIE1lZGljaW5l
IGF0IFVDTEEsIExvcyBBbmdlbGVzLCBDQS4mI3hEO0RlcGFydG1lbnQgb2YgQmlvbWF0aGVtYXRp
Y3MsIERhdmlkIEdlZmZlbiBTY2hvb2wgb2YgTWVkaWNpbmUgYXQgVUNMQSwgTG9zIEFuZ2VsZXMs
IENBLiYjeEQ7RGVwYXJ0bWVudCBvZiBFbnZpcm9ubWVudGFsIEhlYWx0aCBTY2llbmNlcywgU2No
b29sIG9mIFB1YmxpYyBIZWFsdGgsIExvcyBBbmdlbGVzLCBDQS4mI3hEO0RpdmlzaW9uIG9mIENh
cmRpb2xvZ3kgRGVwYXJ0bWVudCBvZiBNZWRpY2luZSwgRGF2aWQgR2VmZmVuIFNjaG9vbCBvZiBN
ZWRpY2luZSBhdCBVQ0xBLCBMb3MgQW5nZWxlcywgQ0EgaG1pZGRsZWthdWZmQG1lZG5ldC51Y2xh
LmVkdS48L2F1dGgtYWRkcmVzcz48dGl0bGVzPjx0aXRsZT5TeW1wYXRob21pbWV0aWMgRWZmZWN0
cyBvZiBBY3V0ZSBFLUNpZ2FyZXR0ZSBVc2U6IFJvbGUgb2YgTmljb3RpbmUgYW5kIE5vbi1OaWNv
dGluZSBDb25zdGl0dWVudHM8L3RpdGxlPjxzZWNvbmRhcnktdGl0bGU+SiBBbSBIZWFydCBBc3Nv
Yzwvc2Vjb25kYXJ5LXRpdGxlPjxhbHQtdGl0bGU+Sm91cm5hbCBvZiB0aGUgQW1lcmljYW4gSGVh
cnQgQXNzb2NpYXRpb248L2FsdC10aXRsZT48L3RpdGxlcz48cGVyaW9kaWNhbD48ZnVsbC10aXRs
ZT5KIEFtIEhlYXJ0IEFzc29jPC9mdWxsLXRpdGxlPjxhYmJyLTE+Sm91cm5hbCBvZiB0aGUgQW1l
cmljYW4gSGVhcnQgQXNzb2NpYXRpb248L2FiYnItMT48L3BlcmlvZGljYWw+PGFsdC1wZXJpb2Rp
Y2FsPjxmdWxsLXRpdGxlPkogQW0gSGVhcnQgQXNzb2M8L2Z1bGwtdGl0bGU+PGFiYnItMT5Kb3Vy
bmFsIG9mIHRoZSBBbWVyaWNhbiBIZWFydCBBc3NvY2lhdGlvbjwvYWJici0xPjwvYWx0LXBlcmlv
ZGljYWw+PHZvbHVtZT42PC92b2x1bWU+PG51bWJlcj45PC9udW1iZXI+PGVkaXRpb24+MjAxNy8w
OS8yMjwvZWRpdGlvbj48a2V5d29yZHM+PGtleXdvcmQ+ZWxlY3Ryb25pYyBjaWdhcmV0dGVzPC9r
ZXl3b3JkPjxrZXl3b3JkPmhlYXJ0IHJhdGUgdmFyaWFiaWxpdHk8L2tleXdvcmQ+PGtleXdvcmQ+
bmljb3RpbmU8L2tleXdvcmQ+PGtleXdvcmQ+b3hpZGFudCBzdHJlc3M8L2tleXdvcmQ+PGtleXdv
cmQ+c3ltcGF0aGV0aWMgbmVydm91cyBzeXN0ZW08L2tleXdvcmQ+PGtleXdvcmQ+dG9iYWNjbzwv
a2V5d29yZD48L2tleXdvcmRzPjxkYXRlcz48eWVhcj4yMDE3PC95ZWFyPjxwdWItZGF0ZXM+PGRh
dGU+U2VwIDIwPC9kYXRlPjwvcHViLWRhdGVzPjwvZGF0ZXM+PGlzYm4+MjA0Ny05OTgwPC9pc2Ju
PjxhY2Nlc3Npb24tbnVtPjI4OTMxNTI3PC9hY2Nlc3Npb24tbnVtPjx1cmxzPjwvdXJscz48Y3Vz
dG9tMj5QTUM1NjM0Mjk5PC9jdXN0b20yPjxlbGVjdHJvbmljLXJlc291cmNlLW51bT4xMC4xMTYx
L2phaGEuMTE3LjAwNjU3OTwvZWxlY3Ryb25pYy1yZXNvdXJjZS1udW0+PHJlbW90ZS1kYXRhYmFz
ZS1wcm92aWRlcj5OTE08L3JlbW90ZS1kYXRhYmFzZS1wcm92aWRlcj48bGFuZ3VhZ2U+ZW5nPC9s
YW5ndWFnZT48L3JlY29yZD48L0NpdGU+PENpdGU+PEF1dGhvcj5Cb2FzPC9BdXRob3I+PFllYXI+
MjAxNzwvWWVhcj48UmVjTnVtPjExNDE4PC9SZWNOdW0+PHJlY29yZD48cmVjLW51bWJlcj4xMTQx
ODwvcmVjLW51bWJlcj48Zm9yZWlnbi1rZXlzPjxrZXkgYXBwPSJFTiIgZGItaWQ9IjV4djV3NXQy
YmR4dHhmZXp4MDJ4dHhkZnQ1cno1cHR2dnQyOSIgdGltZXN0YW1wPSIxNTIzODYxNjA3Ij4xMTQx
ODwva2V5PjxrZXkgYXBwPSJFTldlYiIgZGItaWQ9IiI+MDwva2V5PjwvZm9yZWlnbi1rZXlzPjxy
ZWYtdHlwZSBuYW1lPSJKb3VybmFsIEFydGljbGUiPjE3PC9yZWYtdHlwZT48Y29udHJpYnV0b3Jz
PjxhdXRob3JzPjxhdXRob3I+Qm9hcywgWi48L2F1dGhvcj48YXV0aG9yPkd1cHRhLCBQLjwvYXV0
aG9yPjxhdXRob3I+TW9oZWltYW5pLCBSLiBTLjwvYXV0aG9yPjxhdXRob3I+QmhldHJhcmF0YW5h
LCBNLjwvYXV0aG9yPjxhdXRob3I+WWluLCBGLjwvYXV0aG9yPjxhdXRob3I+UGV0ZXJzLCBLLiBN
LjwvYXV0aG9yPjxhdXRob3I+R29ybmJlaW4sIEouPC9hdXRob3I+PGF1dGhvcj5BcmF1am8sIEou
IEEuPC9hdXRob3I+PGF1dGhvcj5DemVybmluLCBKLjwvYXV0aG9yPjxhdXRob3I+TWlkZGxla2F1
ZmYsIEguIFIuPC9hdXRob3I+PC9hdXRob3JzPjwvY29udHJpYnV0b3JzPjxhdXRoLWFkZHJlc3M+
RGl2aXNpb24gb2YgQ2FyZGlvbG9neSwgRGVwYXJ0bWVudCBvZiBNZWRpY2luZSwgRGF2aWQgR2Vm
ZmVuIFNjaG9vbCBvZiBNZWRpY2luZSBhdCBVQ0xBLCBMb3MgQW5nZWxlcywgQ2FsaWZvcm5pYS4m
I3hEO0RlcGFydG1lbnQgb2YgTW9sZWN1bGFyIGFuZCBNZWRpY2FsIFBoYXJtYWNvbG9neSwgQWht
YW5zb24gVHJhbnNsYXRpb25hbCBJbWFnaW5nIERpdmlzaW9uLCBEYXZpZCBHZWZmZW4gU2Nob29s
IG9mIE1lZGljaW5lIGF0IFVDTEEsIExvcyBBbmdlbGVzLCBDYWxpZm9ybmlhLiYjeEQ7RGF2aWQg
R2VmZmVuIFNjaG9vbCBvZiBNZWRpY2luZSBhdCBVQ0xBLCBMb3MgQW5nZWxlcywgQ2FsaWZvcm5p
YS4mI3hEO0RlcGFydG1lbnQgb2YgRW52aXJvbm1lbnRhbCBIZWFsdGggU2NpZW5jZXMsIFNjaG9v
bCBvZiBQdWJsaWMgSGVhbHRoLCBMb3MgQW5nZWxlcywgQ2FsaWZvcm5pYS4mI3hEO0RlcGFydG1l
bnQgb2YgQmlvbWF0aGVtYXRpY3MsIERhdmlkIEdlZmZlbiBTY2hvb2wgb2YgTWVkaWNpbmUgYXQg
VUNMQSwgTG9zIEFuZ2VsZXMsIENhbGlmb3JuaWEuJiN4RDtEaXZpc2lvbiBvZiBDYXJkaW9sb2d5
LCBEZXBhcnRtZW50IG9mIE1lZGljaW5lLCBEYXZpZCBHZWZmZW4gU2Nob29sIG9mIE1lZGljaW5l
IGF0IFVDTEEsIExvcyBBbmdlbGVzLCBDYWxpZm9ybmlhIGhtaWRkbGVrYXVmZkBtZWRuZXQudWNs
YS5lZHUuPC9hdXRoLWFkZHJlc3M+PHRpdGxlcz48dGl0bGU+QWN0aXZhdGlvbiBvZiB0aGUgJnF1
b3Q7U3BsZW5vY2FyZGlhYyBBeGlzJnF1b3Q7IGJ5IGVsZWN0cm9uaWMgYW5kIHRvYmFjY28gY2ln
YXJldHRlcyBpbiBvdGhlcndpc2UgaGVhbHRoeSB5b3VuZyBhZHVsdHM8L3RpdGxlPjxzZWNvbmRh
cnktdGl0bGU+UGh5c2lvbCBSZXA8L3NlY29uZGFyeS10aXRsZT48YWx0LXRpdGxlPlBoeXNpb2xv
Z2ljYWwgcmVwb3J0czwvYWx0LXRpdGxlPjwvdGl0bGVzPjxwZXJpb2RpY2FsPjxmdWxsLXRpdGxl
PlBoeXNpb2wgUmVwPC9mdWxsLXRpdGxlPjxhYmJyLTE+UGh5c2lvbG9naWNhbCByZXBvcnRzPC9h
YmJyLTE+PC9wZXJpb2RpY2FsPjxhbHQtcGVyaW9kaWNhbD48ZnVsbC10aXRsZT5QaHlzaW9sIFJl
cDwvZnVsbC10aXRsZT48YWJici0xPlBoeXNpb2xvZ2ljYWwgcmVwb3J0czwvYWJici0xPjwvYWx0
LXBlcmlvZGljYWw+PHZvbHVtZT41PC92b2x1bWU+PG51bWJlcj4xNzwvbnVtYmVyPjxlZGl0aW9u
PjIwMTcvMDkvMTQ8L2VkaXRpb24+PGtleXdvcmRzPjxrZXl3b3JkPkFydGVyaWFsIGluZmxhbW1h
dGlvbjwva2V5d29yZD48a2V5d29yZD5GZGctcGV0L2N0PC9rZXl3b3JkPjxrZXl3b3JkPmVsZWN0
cm9uaWMgY2lnYXJldHRlczwva2V5d29yZD48a2V5d29yZD5oZW1hdG9wb2lldGljIGFjdGl2YXRp
b248L2tleXdvcmQ+PGtleXdvcmQ+dG9iYWNjbyBjaWdhcmV0dGVzPC9rZXl3b3JkPjwva2V5d29y
ZHM+PGRhdGVzPjx5ZWFyPjIwMTc8L3llYXI+PHB1Yi1kYXRlcz48ZGF0ZT5TZXA8L2RhdGU+PC9w
dWItZGF0ZXM+PC9kYXRlcz48aXNibj4yMDUxLTgxN3g8L2lzYm4+PGFjY2Vzc2lvbi1udW0+Mjg4
OTk5MDg8L2FjY2Vzc2lvbi1udW0+PHVybHM+PC91cmxzPjxjdXN0b20yPlBNQzU1OTk4NTg8L2N1
c3RvbTI+PGVsZWN0cm9uaWMtcmVzb3VyY2UtbnVtPjEwLjE0ODE0L3BoeTIuMTMzOTM8L2VsZWN0
cm9uaWMtcmVzb3VyY2UtbnVtPjxyZW1vdGUtZGF0YWJhc2UtcHJvdmlkZXI+TkxNPC9yZW1vdGUt
ZGF0YWJhc2UtcHJvdmlkZXI+PGxhbmd1YWdlPmVuZzwvbGFuZ3VhZ2U+PC9yZWNvcmQ+PC9DaXRl
PjxDaXRlPjxBdXRob3I+Qm9hczwvQXV0aG9yPjxZZWFyPjIwMTc8L1llYXI+PFJlY051bT45MTg8
L1JlY051bT48cmVjb3JkPjxyZWMtbnVtYmVyPjkxODwvcmVjLW51bWJlcj48Zm9yZWlnbi1rZXlz
PjxrZXkgYXBwPSJFTiIgZGItaWQ9Ijl2czlwemZ6bmFweHBoZWZhMjh4enc5NXNmNWF2MHN2OXJk
eiIgdGltZXN0YW1wPSIxNTIxMTU5Mzg4Ij45MTg8L2tleT48a2V5IGFwcD0iRU5XZWIiIGRiLWlk
PSIiPjA8L2tleT48L2ZvcmVpZ24ta2V5cz48cmVmLXR5cGUgbmFtZT0iSm91cm5hbCBBcnRpY2xl
Ij4xNzwvcmVmLXR5cGU+PGNvbnRyaWJ1dG9ycz48YXV0aG9ycz48YXV0aG9yPkJvYXMsIFouPC9h
dXRob3I+PGF1dGhvcj5HdXB0YSwgUC48L2F1dGhvcj48YXV0aG9yPk1vaGVpbWFuaSwgUi4gUy48
L2F1dGhvcj48YXV0aG9yPkJoZXRyYXJhdGFuYSwgTS48L2F1dGhvcj48YXV0aG9yPllpbiwgRi48
L2F1dGhvcj48YXV0aG9yPlBldGVycywgSy4gTS48L2F1dGhvcj48YXV0aG9yPkdvcm5iZWluLCBK
LjwvYXV0aG9yPjxhdXRob3I+QXJhdWpvLCBKLiBBLjwvYXV0aG9yPjxhdXRob3I+Q3plcm5pbiwg
Si48L2F1dGhvcj48YXV0aG9yPk1pZGRsZWthdWZmLCBILiBSLjwvYXV0aG9yPjwvYXV0aG9ycz48
L2NvbnRyaWJ1dG9ycz48YXV0aC1hZGRyZXNzPkRpdmlzaW9uIG9mIENhcmRpb2xvZ3ksIERlcGFy
dG1lbnQgb2YgTWVkaWNpbmUsIERhdmlkIEdlZmZlbiBTY2hvb2wgb2YgTWVkaWNpbmUgYXQgVUNM
QSwgTG9zIEFuZ2VsZXMsIENhbGlmb3JuaWEuJiN4RDtEZXBhcnRtZW50IG9mIE1vbGVjdWxhciBh
bmQgTWVkaWNhbCBQaGFybWFjb2xvZ3ksIEFobWFuc29uIFRyYW5zbGF0aW9uYWwgSW1hZ2luZyBE
aXZpc2lvbiwgRGF2aWQgR2VmZmVuIFNjaG9vbCBvZiBNZWRpY2luZSBhdCBVQ0xBLCBMb3MgQW5n
ZWxlcywgQ2FsaWZvcm5pYS4mI3hEO0RhdmlkIEdlZmZlbiBTY2hvb2wgb2YgTWVkaWNpbmUgYXQg
VUNMQSwgTG9zIEFuZ2VsZXMsIENhbGlmb3JuaWEuJiN4RDtEZXBhcnRtZW50IG9mIEVudmlyb25t
ZW50YWwgSGVhbHRoIFNjaWVuY2VzLCBTY2hvb2wgb2YgUHVibGljIEhlYWx0aCwgTG9zIEFuZ2Vs
ZXMsIENhbGlmb3JuaWEuJiN4RDtEZXBhcnRtZW50IG9mIEJpb21hdGhlbWF0aWNzLCBEYXZpZCBH
ZWZmZW4gU2Nob29sIG9mIE1lZGljaW5lIGF0IFVDTEEsIExvcyBBbmdlbGVzLCBDYWxpZm9ybmlh
LiYjeEQ7RGl2aXNpb24gb2YgQ2FyZGlvbG9neSwgRGVwYXJ0bWVudCBvZiBNZWRpY2luZSwgRGF2
aWQgR2VmZmVuIFNjaG9vbCBvZiBNZWRpY2luZSBhdCBVQ0xBLCBMb3MgQW5nZWxlcywgQ2FsaWZv
cm5pYSBobWlkZGxla2F1ZmZAbWVkbmV0LnVjbGEuZWR1LjwvYXV0aC1hZGRyZXNzPjx0aXRsZXM+
PHRpdGxlPkFjdGl2YXRpb24gb2YgdGhlICZxdW90O1NwbGVub2NhcmRpYWMgQXhpcyZxdW90OyBi
eSBlbGVjdHJvbmljIGFuZCB0b2JhY2NvIGNpZ2FyZXR0ZXMgaW4gb3RoZXJ3aXNlIGhlYWx0aHkg
eW91bmcgYWR1bHRzPC90aXRsZT48c2Vjb25kYXJ5LXRpdGxlPlBoeXNpb2wgUmVwPC9zZWNvbmRh
cnktdGl0bGU+PGFsdC10aXRsZT5QaHlzaW9sb2dpY2FsIHJlcG9ydHM8L2FsdC10aXRsZT48L3Rp
dGxlcz48YWx0LXBlcmlvZGljYWw+PGZ1bGwtdGl0bGU+UGh5c2lvbG9naWNhbCBSZXBvcnRzPC9m
dWxsLXRpdGxlPjwvYWx0LXBlcmlvZGljYWw+PHZvbHVtZT41PC92b2x1bWU+PG51bWJlcj4xNzwv
bnVtYmVyPjxlZGl0aW9uPjIwMTcvMDkvMTQ8L2VkaXRpb24+PGtleXdvcmRzPjxrZXl3b3JkPkFy
dGVyaWFsIGluZmxhbW1hdGlvbjwva2V5d29yZD48a2V5d29yZD5GZGctcGV0L2N0PC9rZXl3b3Jk
PjxrZXl3b3JkPmVsZWN0cm9uaWMgY2lnYXJldHRlczwva2V5d29yZD48a2V5d29yZD5oZW1hdG9w
b2lldGljIGFjdGl2YXRpb248L2tleXdvcmQ+PGtleXdvcmQ+dG9iYWNjbyBjaWdhcmV0dGVzPC9r
ZXl3b3JkPjwva2V5d29yZHM+PGRhdGVzPjx5ZWFyPjIwMTc8L3llYXI+PHB1Yi1kYXRlcz48ZGF0
ZT5TZXA8L2RhdGU+PC9wdWItZGF0ZXM+PC9kYXRlcz48aXNibj4yMDUxLTgxN3g8L2lzYm4+PGFj
Y2Vzc2lvbi1udW0+Mjg4OTk5MDg8L2FjY2Vzc2lvbi1udW0+PHVybHM+PC91cmxzPjxjdXN0b20y
PlBNQzU1OTk4NTg8L2N1c3RvbTI+PGVsZWN0cm9uaWMtcmVzb3VyY2UtbnVtPjEwLjE0ODE0L3Bo
eTIuMTMzOTM8L2VsZWN0cm9uaWMtcmVzb3VyY2UtbnVtPjxyZW1vdGUtZGF0YWJhc2UtcHJvdmlk
ZXI+TkxNPC9yZW1vdGUtZGF0YWJhc2UtcHJvdmlkZXI+PGxhbmd1YWdlPmVuZzwvbGFuZ3VhZ2U+
PC9yZWNvcmQ+PC9DaXRlPjxDaXRlPjxBdXRob3I+TW9oZWltYW5pPC9BdXRob3I+PFllYXI+MjAx
NzwvWWVhcj48UmVjTnVtPjkwNzwvUmVjTnVtPjxyZWNvcmQ+PHJlYy1udW1iZXI+OTA3PC9yZWMt
bnVtYmVyPjxmb3JlaWduLWtleXM+PGtleSBhcHA9IkVOIiBkYi1pZD0iOXZzOXB6ZnpuYXB4cGhl
ZmEyOHh6dzk1c2Y1YXYwc3Y5cmR6IiB0aW1lc3RhbXA9IjE1MjExNTkzODciPjkwNzwva2V5Pjwv
Zm9yZWlnbi1rZXlzPjxyZWYtdHlwZSBuYW1lPSJKb3VybmFsIEFydGljbGUiPjE3PC9yZWYtdHlw
ZT48Y29udHJpYnV0b3JzPjxhdXRob3JzPjxhdXRob3I+TW9oZWltYW5pLCBSLiBTLjwvYXV0aG9y
PjxhdXRob3I+QmhldHJhcmF0YW5hLCBNLjwvYXV0aG9yPjxhdXRob3I+UGV0ZXJzLCBLLiBNLjwv
YXV0aG9yPjxhdXRob3I+WWFuZywgQi4gSy48L2F1dGhvcj48YXV0aG9yPllpbiwgRi48L2F1dGhv
cj48YXV0aG9yPkdvcm5iZWluLCBKLjwvYXV0aG9yPjxhdXRob3I+QXJhdWpvLCBKLiBBLjwvYXV0
aG9yPjxhdXRob3I+TWlkZGxla2F1ZmYsIEguIFIuPC9hdXRob3I+PC9hdXRob3JzPjwvY29udHJp
YnV0b3JzPjxhdXRoLWFkZHJlc3M+RGF2aWQgR2VmZmVuIFNjaG9vbCBvZiBNZWRpY2luZSBhdCBV
Q0xBLCBMb3MgQW5nZWxlcywgQ0EuJiN4RDtEaXZpc2lvbiBvZiBDYXJkaW9sb2d5IERlcGFydG1l
bnQgb2YgTWVkaWNpbmUsIERhdmlkIEdlZmZlbiBTY2hvb2wgb2YgTWVkaWNpbmUgYXQgVUNMQSwg
TG9zIEFuZ2VsZXMsIENBLiYjeEQ7RGVwYXJ0bWVudCBvZiBCaW9tYXRoZW1hdGljcywgRGF2aWQg
R2VmZmVuIFNjaG9vbCBvZiBNZWRpY2luZSBhdCBVQ0xBLCBMb3MgQW5nZWxlcywgQ0EuJiN4RDtE
ZXBhcnRtZW50IG9mIEVudmlyb25tZW50YWwgSGVhbHRoIFNjaWVuY2VzLCBTY2hvb2wgb2YgUHVi
bGljIEhlYWx0aCwgTG9zIEFuZ2VsZXMsIENBLiYjeEQ7RGl2aXNpb24gb2YgQ2FyZGlvbG9neSBE
ZXBhcnRtZW50IG9mIE1lZGljaW5lLCBEYXZpZCBHZWZmZW4gU2Nob29sIG9mIE1lZGljaW5lIGF0
IFVDTEEsIExvcyBBbmdlbGVzLCBDQSBobWlkZGxla2F1ZmZAbWVkbmV0LnVjbGEuZWR1LjwvYXV0
aC1hZGRyZXNzPjx0aXRsZXM+PHRpdGxlPlN5bXBhdGhvbWltZXRpYyBFZmZlY3RzIG9mIEFjdXRl
IEUtQ2lnYXJldHRlIFVzZTogUm9sZSBvZiBOaWNvdGluZSBhbmQgTm9uLU5pY290aW5lIENvbnN0
aXR1ZW50czwvdGl0bGU+PHNlY29uZGFyeS10aXRsZT5KIEFtIEhlYXJ0IEFzc29jPC9zZWNvbmRh
cnktdGl0bGU+PGFsdC10aXRsZT5Kb3VybmFsIG9mIHRoZSBBbWVyaWNhbiBIZWFydCBBc3NvY2lh
dGlvbjwvYWx0LXRpdGxlPjwvdGl0bGVzPjxhbHQtcGVyaW9kaWNhbD48ZnVsbC10aXRsZT5Kb3Vy
bmFsIG9mIHRoZSBBbWVyaWNhbiBIZWFydCBBc3NvY2lhdGlvbjwvZnVsbC10aXRsZT48L2FsdC1w
ZXJpb2RpY2FsPjx2b2x1bWU+Njwvdm9sdW1lPjxudW1iZXI+OTwvbnVtYmVyPjxlZGl0aW9uPjIw
MTcvMDkvMjI8L2VkaXRpb24+PGtleXdvcmRzPjxrZXl3b3JkPmVsZWN0cm9uaWMgY2lnYXJldHRl
czwva2V5d29yZD48a2V5d29yZD5oZWFydCByYXRlIHZhcmlhYmlsaXR5PC9rZXl3b3JkPjxrZXl3
b3JkPm5pY290aW5lPC9rZXl3b3JkPjxrZXl3b3JkPm94aWRhbnQgc3RyZXNzPC9rZXl3b3JkPjxr
ZXl3b3JkPnN5bXBhdGhldGljIG5lcnZvdXMgc3lzdGVtPC9rZXl3b3JkPjxrZXl3b3JkPnRvYmFj
Y288L2tleXdvcmQ+PC9rZXl3b3Jkcz48ZGF0ZXM+PHllYXI+MjAxNzwveWVhcj48cHViLWRhdGVz
PjxkYXRlPlNlcCAyMDwvZGF0ZT48L3B1Yi1kYXRlcz48L2RhdGVzPjxpc2JuPjIwNDctOTk4MDwv
aXNibj48YWNjZXNzaW9uLW51bT4yODkzMTUyNzwvYWNjZXNzaW9uLW51bT48dXJscz48L3VybHM+
PGN1c3RvbTI+UE1DNTYzNDI5OTwvY3VzdG9tMj48ZWxlY3Ryb25pYy1yZXNvdXJjZS1udW0+MTAu
MTE2MS9qYWhhLjExNy4wMDY1Nzk8L2VsZWN0cm9uaWMtcmVzb3VyY2UtbnVtPjxyZW1vdGUtZGF0
YWJhc2UtcHJvdmlkZXI+TkxNPC9yZW1vdGUtZGF0YWJhc2UtcHJvdmlkZXI+PGxhbmd1YWdlPmVu
ZzwvbGFuZ3VhZ2U+PC9yZWNvcmQ+PC9DaXRlPjxDaXRlPjxBdXRob3I+TW9oZWltYW5pPC9BdXRo
b3I+PFllYXI+MjAxNzwvWWVhcj48UmVjTnVtPjEzNTA8L1JlY051bT48cmVjb3JkPjxyZWMtbnVt
YmVyPjEzNTA8L3JlYy1udW1iZXI+PGZvcmVpZ24ta2V5cz48a2V5IGFwcD0iRU4iIGRiLWlkPSI5
dnM5cHpmem5hcHhwaGVmYTI4eHp3OTVzZjVhdjBzdjlyZHoiIHRpbWVzdGFtcD0iMTUyMTE1OTQy
NiI+MTM1MDwva2V5PjwvZm9yZWlnbi1rZXlzPjxyZWYtdHlwZSBuYW1lPSJKb3VybmFsIEFydGlj
bGUiPjE3PC9yZWYtdHlwZT48Y29udHJpYnV0b3JzPjxhdXRob3JzPjxhdXRob3I+TW9oZWltYW5p
LCBSLiBTLjwvYXV0aG9yPjxhdXRob3I+QmhldHJhcmF0YW5hLCBNLjwvYXV0aG9yPjxhdXRob3I+
WWluLCBGLjwvYXV0aG9yPjxhdXRob3I+UGV0ZXJzLCBLLiBNLjwvYXV0aG9yPjxhdXRob3I+R29y
bmJlaW4sIEouPC9hdXRob3I+PGF1dGhvcj5BcmF1am8sIEouIEEuPC9hdXRob3I+PGF1dGhvcj5N
aWRkbGVrYXVmZiwgSC4gUi48L2F1dGhvcj48L2F1dGhvcnM+PC9jb250cmlidXRvcnM+PGF1dGgt
YWRkcmVzcz5EYXZpZCBHZWZmZW4gU2Nob29sIG9mIE1lZGljaW5lLCBVbml2ZXJzaXR5IG9mIENh
bGlmb3JuaWEsIExvcyBBbmdlbGVzLiYjeEQ7RGl2aXNpb24gb2YgQ2FyZGlvbG9neSwgRGVwYXJ0
bWVudCBvZiBNZWRpY2luZSwgRGF2aWQgR2VmZmVuIFNjaG9vbCBvZiBNZWRpY2luZSwgVW5pdmVy
c2l0eSBvZiBDYWxpZm9ybmlhLCBMb3MgQW5nZWxlcy4mI3hEO0RlcGFydG1lbnQgb2YgQmlvbWF0
aGVtYXRpY3MsIERhdmlkIEdlZmZlbiBTY2hvb2wgb2YgTWVkaWNpbmUsIFVuaXZlcnNpdHkgb2Yg
Q2FsaWZvcm5pYSwgTG9zIEFuZ2VsZXMuJiN4RDtEaXZpc2lvbiBvZiBDYXJkaW9sb2d5LCBEZXBh
cnRtZW50IG9mIE1lZGljaW5lLCBEYXZpZCBHZWZmZW4gU2Nob29sIG9mIE1lZGljaW5lLCBVbml2
ZXJzaXR5IG9mIENhbGlmb3JuaWEsIExvcyBBbmdlbGVzNERlcGFydG1lbnQgb2YgRW52aXJvbm1l
bnRhbCBIZWFsdGggU2NpZW5jZXMsIFNjaG9vbCBvZiBQdWJsaWMgSGVhbHRoLCBVbml2ZXJzaXR5
IG9mIENhbGlmb3JuaWEsIExvcyBBbmdlbGVzLjwvYXV0aC1hZGRyZXNzPjx0aXRsZXM+PHRpdGxl
PkluY3JlYXNlZCBDYXJkaWFjIFN5bXBhdGhldGljIEFjdGl2aXR5IGFuZCBPeGlkYXRpdmUgU3Ry
ZXNzIGluIEhhYml0dWFsIEVsZWN0cm9uaWMgQ2lnYXJldHRlIFVzZXJzOiBJbXBsaWNhdGlvbnMg
Zm9yIENhcmRpb3Zhc2N1bGFyIFJpc2s8L3RpdGxlPjxzZWNvbmRhcnktdGl0bGU+SkFNQSBDYXJk
aW9sPC9zZWNvbmRhcnktdGl0bGU+PGFsdC10aXRsZT5KQU1BIGNhcmRpb2xvZ3k8L2FsdC10aXRs
ZT48L3RpdGxlcz48cGVyaW9kaWNhbD48ZnVsbC10aXRsZT5KQU1BIENhcmRpb2w8L2Z1bGwtdGl0
bGU+PGFiYnItMT5KQU1BIGNhcmRpb2xvZ3k8L2FiYnItMT48L3BlcmlvZGljYWw+PGFsdC1wZXJp
b2RpY2FsPjxmdWxsLXRpdGxlPkpBTUEgQ2FyZGlvbDwvZnVsbC10aXRsZT48YWJici0xPkpBTUEg
Y2FyZGlvbG9neTwvYWJici0xPjwvYWx0LXBlcmlvZGljYWw+PHBhZ2VzPjI3OC0yODQ8L3BhZ2Vz
Pjx2b2x1bWU+Mjwvdm9sdW1lPjxudW1iZXI+MzwvbnVtYmVyPjxlZGl0aW9uPjIwMTcvMDIvMDI8
L2VkaXRpb24+PGRhdGVzPjx5ZWFyPjIwMTc8L3llYXI+PHB1Yi1kYXRlcz48ZGF0ZT5NYXIgMTwv
ZGF0ZT48L3B1Yi1kYXRlcz48L2RhdGVzPjxhY2Nlc3Npb24tbnVtPjI4MTQ2MjU5PC9hY2Nlc3Np
b24tbnVtPjx1cmxzPjwvdXJscz48Y3VzdG9tMj5QTUM1NjI2MDA4PC9jdXN0b20yPjxjdXN0b202
Pk5JSE1TODY4MjI2PC9jdXN0b202PjxlbGVjdHJvbmljLXJlc291cmNlLW51bT4xMC4xMDAxL2ph
bWFjYXJkaW8uMjAxNi41MzAzPC9lbGVjdHJvbmljLXJlc291cmNlLW51bT48cmVtb3RlLWRhdGFi
YXNlLXByb3ZpZGVyPk5MTTwvcmVtb3RlLWRhdGFiYXNlLXByb3ZpZGVyPjxsYW5ndWFnZT5lbmc8
L2xhbmd1YWdlPjwvcmVjb3JkPjwvQ2l0ZT48Q2l0ZT48QXV0aG9yPlBvbG9zYTwvQXV0aG9yPjxZ
ZWFyPjIwMTc8L1llYXI+PFJlY051bT43Njc8L1JlY051bT48cmVjb3JkPjxyZWMtbnVtYmVyPjc2
NzwvcmVjLW51bWJlcj48Zm9yZWlnbi1rZXlzPjxrZXkgYXBwPSJFTiIgZGItaWQ9Ijl2czlwemZ6
bmFweHBoZWZhMjh4enc5NXNmNWF2MHN2OXJkeiIgdGltZXN0YW1wPSIxNTIxMTU5Mzc0Ij43Njc8
L2tleT48L2ZvcmVpZ24ta2V5cz48cmVmLXR5cGUgbmFtZT0iSm91cm5hbCBBcnRpY2xlIj4xNzwv
cmVmLXR5cGU+PGNvbnRyaWJ1dG9ycz48YXV0aG9ycz48YXV0aG9yPlBvbG9zYSwgUi48L2F1dGhv
cj48YXV0aG9yPkNpYmVsbGEsIEYuPC9hdXRob3I+PGF1dGhvcj5DYXBvbm5ldHRvLCBQLjwvYXV0
aG9yPjxhdXRob3I+TWFnbGlhLCBNLjwvYXV0aG9yPjxhdXRob3I+UHJvc3BlcmluaSwgVS48L2F1
dGhvcj48YXV0aG9yPlJ1c3NvLCBDLjwvYXV0aG9yPjxhdXRob3I+VGFzaGtpbiwgRC48L2F1dGhv
cj48L2F1dGhvcnM+PC9jb250cmlidXRvcnM+PGF1dGgtYWRkcmVzcz5DZW50cm8gcGVyIGxhIFBy
ZXZlbnppb25lIGUgQ3VyYSBkZWwgVGFiYWdpc21vIChDUENUKSwgQXppZW5kYSBPc3BlZGFsaWVy
by1Vbml2ZXJzaXRhcmlhICZxdW90O1BvbGljbGluaWNvLVYuIEVtYW51ZWxlJnF1b3Q7LCBVbml2
ZXJzaXRhIGRpIENhdGFuaWEsIENhdGFuaWEsIEl0YWx5LiBwb2xvc2FAdW5pY3QuaXQuJiN4RDtJ
bnN0aXR1dGUgb2YgSW50ZXJuYWwgYW5kIEVtZXJnZW5jeSBNZWRpY2luZSwgQXppZW5kYSBPc3Bl
ZGFsaWVyby1Vbml2ZXJzaXRhcmlhICZxdW90O1BvbGljbGluaWNvLVYuIEVtYW51ZWxlJnF1b3Q7
LCBVbml2ZXJzaXRhIGRpIENhdGFuaWEsIENhdGFuaWEsIEl0YWx5LiBwb2xvc2FAdW5pY3QuaXQu
JiN4RDtEaXBhcnRpbWVudG8gZGkgTWVkaWNpbmEgQ2xpbmljYSBlIFNwZXJpbWVudGFsZSwgVW5p
dmVyc2l0eSBvZiBDYXRhbmlhLCBDYXRhbmlhLCBJdGFseS4gcG9sb3NhQHVuaWN0Lml0LiYjeEQ7
TmF0aW9uYWwgUmVzZWFyY2ggQ291bmNpbCBvZiBJdGFseSwgSW5zdGl0dXRlIG9mIEJpb21lZGlj
aW5lIGFuZCBNb2xlY3VsYXIgSW1tdW5vbG9neSwgUGFsZXJtbywgSXRhbHkuJiN4RDtDZW50cm8g
cGVyIGxhIFByZXZlbnppb25lIGUgQ3VyYSBkZWwgVGFiYWdpc21vIChDUENUKSwgQXppZW5kYSBP
c3BlZGFsaWVyby1Vbml2ZXJzaXRhcmlhICZxdW90O1BvbGljbGluaWNvLVYuIEVtYW51ZWxlJnF1
b3Q7LCBVbml2ZXJzaXRhIGRpIENhdGFuaWEsIENhdGFuaWEsIEl0YWx5LiYjeEQ7RGlwYXJ0aW1l
bnRvIGRpIE1lZGljaW5hIENsaW5pY2EgZSBTcGVyaW1lbnRhbGUsIFVuaXZlcnNpdHkgb2YgQ2F0
YW5pYSwgQ2F0YW5pYSwgSXRhbHkuJiN4RDtPc3BlZGFsZSAmcXVvdDtTYW4gVmluY2Vuem8mcXVv
dDsgLSBBU1AgTWVzc2luYSwgVGFvcm1pbmEsIE1FLCBJdGFseS4mI3hEO01DQVUgQVJOQVMgR2Fy
aWJhbGRpLCBDYXRhbmlhLCBJdGFseS4mI3hEO0RhdmlkIEdlZmZlbiBTY2hvb2wgb2YgTWVkaWNp
bmUgYXQgdGhlIFVuaXZlcnNpdHkgb2YgQ2FsaWZvcm5pYSwgTG9zIEFuZ2VsZXMgKFVDTEEpLCBM
b3MgQW5nZWxlcywgQ2FsaWZvcm5pYSwgVVNBLjwvYXV0aC1hZGRyZXNzPjx0aXRsZXM+PHRpdGxl
PkhlYWx0aCBpbXBhY3Qgb2YgRS1jaWdhcmV0dGVzOiBhIHByb3NwZWN0aXZlIDMuNS15ZWFyIHN0
dWR5IG9mIHJlZ3VsYXIgZGFpbHkgdXNlcnMgd2hvIGhhdmUgbmV2ZXIgc21va2VkPC90aXRsZT48
c2Vjb25kYXJ5LXRpdGxlPlNjaSBSZXA8L3NlY29uZGFyeS10aXRsZT48YWx0LXRpdGxlPlNjaWVu
dGlmaWMgcmVwb3J0czwvYWx0LXRpdGxlPjwvdGl0bGVzPjxhbHQtcGVyaW9kaWNhbD48ZnVsbC10
aXRsZT5TY2llbnRpZmljIFJlcG9ydHM8L2Z1bGwtdGl0bGU+PC9hbHQtcGVyaW9kaWNhbD48cGFn
ZXM+MTM4MjU8L3BhZ2VzPjx2b2x1bWU+Nzwvdm9sdW1lPjxudW1iZXI+MTwvbnVtYmVyPjxlZGl0
aW9uPjIwMTcvMTEvMTk8L2VkaXRpb24+PGRhdGVzPjx5ZWFyPjIwMTc8L3llYXI+PHB1Yi1kYXRl
cz48ZGF0ZT5Ob3YgMTc8L2RhdGU+PC9wdWItZGF0ZXM+PC9kYXRlcz48aXNibj4yMDQ1LTIzMjI8
L2lzYm4+PGFjY2Vzc2lvbi1udW0+MjkxNTA2MTI8L2FjY2Vzc2lvbi1udW0+PHVybHM+PC91cmxz
PjxjdXN0b20yPlBNQzU2OTM5NjA8L2N1c3RvbTI+PGVsZWN0cm9uaWMtcmVzb3VyY2UtbnVtPjEw
LjEwMzgvczQxNTk4LTAxNy0xNDA0My0yPC9lbGVjdHJvbmljLXJlc291cmNlLW51bT48cmVtb3Rl
LWRhdGFiYXNlLXByb3ZpZGVyPk5MTTwvcmVtb3RlLWRhdGFiYXNlLXByb3ZpZGVyPjxsYW5ndWFn
ZT5lbmc8L2xhbmd1YWdlPjwvcmVjb3JkPjwvQ2l0ZT48Q2l0ZT48QXV0aG9yPlN0YXVkdDwvQXV0
aG9yPjxZZWFyPjIwMTg8L1llYXI+PFJlY051bT4xMDM1NzwvUmVjTnVtPjxyZWNvcmQ+PHJlYy1u
dW1iZXI+MTAzNTc8L3JlYy1udW1iZXI+PGZvcmVpZ24ta2V5cz48a2V5IGFwcD0iRU4iIGRiLWlk
PSI5ejA1ZHowcHJhYWRmdWVlMHpveHplZGs5emZlNWZ4eDUwejUiIHRpbWVzdGFtcD0iMTUyNjg2
OTg3OCI+MTAzNTc8L2tleT48a2V5IGFwcD0iRU5XZWIiIGRiLWlkPSIiPjA8L2tleT48L2ZvcmVp
Z24ta2V5cz48cmVmLXR5cGUgbmFtZT0iSm91cm5hbCBBcnRpY2xlIj4xNzwvcmVmLXR5cGU+PGNv
bnRyaWJ1dG9ycz48YXV0aG9ycz48YXV0aG9yPlN0YXVkdCwgTWljaGVsbGUgUi48L2F1dGhvcj48
YXV0aG9yPlNhbGl0LCBKYWNxdWVsaW5lPC9hdXRob3I+PGF1dGhvcj5LYW5lciwgUm9iZXJ0IEou
PC9hdXRob3I+PGF1dGhvcj5Ib2xsbWFubiwgQ2hhcmxlZW48L2F1dGhvcj48YXV0aG9yPkNyeXN0
YWwsIFJvbmFsZCBHLjwvYXV0aG9yPjwvYXV0aG9ycz48L2NvbnRyaWJ1dG9ycz48dGl0bGVzPjx0
aXRsZT5BbHRlcmVkIGx1bmcgYmlvbG9neSBvZiBoZWFsdGh5IG5ldmVyIHNtb2tlcnMgZm9sbG93
aW5nIGFjdXRlIGluaGFsYXRpb24gb2YgRS1jaWdhcmV0dGVzPC90aXRsZT48c2Vjb25kYXJ5LXRp
dGxlPlJlc3BpcmF0b3J5IHJlc2VhcmNoPC9zZWNvbmRhcnktdGl0bGU+PC90aXRsZXM+PHBlcmlv
ZGljYWw+PGZ1bGwtdGl0bGU+UmVzcGlyYXRvcnkgUmVzZWFyY2g8L2Z1bGwtdGl0bGU+PC9wZXJp
b2RpY2FsPjxwYWdlcz43OC03ODwvcGFnZXM+PHZvbHVtZT4xOTwvdm9sdW1lPjxudW1iZXI+MTwv
bnVtYmVyPjxkYXRlcz48eWVhcj4yMDE4PC95ZWFyPjxwdWItZGF0ZXM+PGRhdGU+MjAxOCBNYXk8
L2RhdGU+PC9wdWItZGF0ZXM+PC9kYXRlcz48YWNjZXNzaW9uLW51bT5NRURMSU5FOjI5NzU0NTgy
PC9hY2Nlc3Npb24tbnVtPjx1cmxzPjxyZWxhdGVkLXVybHM+PHVybD4mbHQ7R28gdG8gSVNJJmd0
OzovL01FRExJTkU6Mjk3NTQ1ODI8L3VybD48dXJsPmh0dHBzOi8vcmVzcGlyYXRvcnktcmVzZWFy
Y2guYmlvbWVkY2VudHJhbC5jb20vdHJhY2svcGRmLzEwLjExODYvczEyOTMxLTAxOC0wNzc4LXo8
L3VybD48L3JlbGF0ZWQtdXJscz48L3VybHM+PGVsZWN0cm9uaWMtcmVzb3VyY2UtbnVtPjEwLjEx
ODYvczEyOTMxLTAxOC0wNzc4LXo8L2VsZWN0cm9uaWMtcmVzb3VyY2UtbnVtPjwvcmVjb3JkPjwv
Q2l0ZT48L0VuZE5vdGU+
</w:fldData>
            </w:fldChar>
          </w:r>
          <w:r>
            <w:instrText xml:space="preserve"> ADDIN EN.CITE </w:instrText>
          </w:r>
          <w:r>
            <w:fldChar w:fldCharType="begin">
              <w:fldData xml:space="preserve">PEVuZE5vdGU+PENpdGU+PEF1dGhvcj5Qb2xvc2E8L0F1dGhvcj48WWVhcj4yMDE3PC9ZZWFyPjxS
ZWNOdW0+MTE0NDI8L1JlY051bT48RGlzcGxheVRleHQ+KEJvYXMsIEd1cHRhIGV0IGFsLiAyMDE3
LCBNb2hlaW1hbmksIEJoZXRyYXJhdGFuYSBldCBhbC4gMjAxNywgTW9oZWltYW5pLCBCaGV0cmFy
YXRhbmEgZXQgYWwuIDIwMTcsIFBvbG9zYSwgQ2liZWxsYSBldCBhbC4gMjAxNywgU3RhdWR0LCBT
YWxpdCBldCBhbC4gMjAxOCk8L0Rpc3BsYXlUZXh0PjxyZWNvcmQ+PHJlYy1udW1iZXI+MTE0NDI8
L3JlYy1udW1iZXI+PGZvcmVpZ24ta2V5cz48a2V5IGFwcD0iRU4iIGRiLWlkPSI1eHY1dzV0MmJk
eHR4ZmV6eDAyeHR4ZGZ0NXJ6NXB0dnZ0MjkiIHRpbWVzdGFtcD0iMTUyMzg2MTk1MSI+MTE0NDI8
L2tleT48a2V5IGFwcD0iRU5XZWIiIGRiLWlkPSIiPjA8L2tleT48L2ZvcmVpZ24ta2V5cz48cmVm
LXR5cGUgbmFtZT0iSm91cm5hbCBBcnRpY2xlIj4xNzwvcmVmLXR5cGU+PGNvbnRyaWJ1dG9ycz48
YXV0aG9ycz48YXV0aG9yPlBvbG9zYSwgUi48L2F1dGhvcj48YXV0aG9yPkNpYmVsbGEsIEYuPC9h
dXRob3I+PGF1dGhvcj5DYXBvbm5ldHRvLCBQLjwvYXV0aG9yPjxhdXRob3I+TWFnbGlhLCBNLjwv
YXV0aG9yPjxhdXRob3I+UHJvc3BlcmluaSwgVS48L2F1dGhvcj48YXV0aG9yPlJ1c3NvLCBDLjwv
YXV0aG9yPjxhdXRob3I+VGFzaGtpbiwgRC48L2F1dGhvcj48L2F1dGhvcnM+PC9jb250cmlidXRv
cnM+PGF1dGgtYWRkcmVzcz5DZW50cm8gcGVyIGxhIFByZXZlbnppb25lIGUgQ3VyYSBkZWwgVGFi
YWdpc21vIChDUENUKSwgQXppZW5kYSBPc3BlZGFsaWVyby1Vbml2ZXJzaXRhcmlhICZxdW90O1Bv
bGljbGluaWNvLVYuIEVtYW51ZWxlJnF1b3Q7LCBVbml2ZXJzaXRhIGRpIENhdGFuaWEsIENhdGFu
aWEsIEl0YWx5LiBwb2xvc2FAdW5pY3QuaXQuJiN4RDtJbnN0aXR1dGUgb2YgSW50ZXJuYWwgYW5k
IEVtZXJnZW5jeSBNZWRpY2luZSwgQXppZW5kYSBPc3BlZGFsaWVyby1Vbml2ZXJzaXRhcmlhICZx
dW90O1BvbGljbGluaWNvLVYuIEVtYW51ZWxlJnF1b3Q7LCBVbml2ZXJzaXRhIGRpIENhdGFuaWEs
IENhdGFuaWEsIEl0YWx5LiBwb2xvc2FAdW5pY3QuaXQuJiN4RDtEaXBhcnRpbWVudG8gZGkgTWVk
aWNpbmEgQ2xpbmljYSBlIFNwZXJpbWVudGFsZSwgVW5pdmVyc2l0eSBvZiBDYXRhbmlhLCBDYXRh
bmlhLCBJdGFseS4gcG9sb3NhQHVuaWN0Lml0LiYjeEQ7TmF0aW9uYWwgUmVzZWFyY2ggQ291bmNp
bCBvZiBJdGFseSwgSW5zdGl0dXRlIG9mIEJpb21lZGljaW5lIGFuZCBNb2xlY3VsYXIgSW1tdW5v
bG9neSwgUGFsZXJtbywgSXRhbHkuJiN4RDtDZW50cm8gcGVyIGxhIFByZXZlbnppb25lIGUgQ3Vy
YSBkZWwgVGFiYWdpc21vIChDUENUKSwgQXppZW5kYSBPc3BlZGFsaWVyby1Vbml2ZXJzaXRhcmlh
ICZxdW90O1BvbGljbGluaWNvLVYuIEVtYW51ZWxlJnF1b3Q7LCBVbml2ZXJzaXRhIGRpIENhdGFu
aWEsIENhdGFuaWEsIEl0YWx5LiYjeEQ7RGlwYXJ0aW1lbnRvIGRpIE1lZGljaW5hIENsaW5pY2Eg
ZSBTcGVyaW1lbnRhbGUsIFVuaXZlcnNpdHkgb2YgQ2F0YW5pYSwgQ2F0YW5pYSwgSXRhbHkuJiN4
RDtPc3BlZGFsZSAmcXVvdDtTYW4gVmluY2Vuem8mcXVvdDsgLSBBU1AgTWVzc2luYSwgVGFvcm1p
bmEsIE1FLCBJdGFseS4mI3hEO01DQVUgQVJOQVMgR2FyaWJhbGRpLCBDYXRhbmlhLCBJdGFseS4m
I3hEO0RhdmlkIEdlZmZlbiBTY2hvb2wgb2YgTWVkaWNpbmUgYXQgdGhlIFVuaXZlcnNpdHkgb2Yg
Q2FsaWZvcm5pYSwgTG9zIEFuZ2VsZXMgKFVDTEEpLCBMb3MgQW5nZWxlcywgQ2FsaWZvcm5pYSwg
VVNBLjwvYXV0aC1hZGRyZXNzPjx0aXRsZXM+PHRpdGxlPkhlYWx0aCBpbXBhY3Qgb2YgRS1jaWdh
cmV0dGVzOiBhIHByb3NwZWN0aXZlIDMuNS15ZWFyIHN0dWR5IG9mIHJlZ3VsYXIgZGFpbHkgdXNl
cnMgd2hvIGhhdmUgbmV2ZXIgc21va2VkPC90aXRsZT48c2Vjb25kYXJ5LXRpdGxlPlNjaSBSZXA8
L3NlY29uZGFyeS10aXRsZT48YWx0LXRpdGxlPlNjaWVudGlmaWMgcmVwb3J0czwvYWx0LXRpdGxl
PjwvdGl0bGVzPjxwZXJpb2RpY2FsPjxmdWxsLXRpdGxlPlNjaSBSZXA8L2Z1bGwtdGl0bGU+PGFi
YnItMT5TY2llbnRpZmljIHJlcG9ydHM8L2FiYnItMT48L3BlcmlvZGljYWw+PGFsdC1wZXJpb2Rp
Y2FsPjxmdWxsLXRpdGxlPlNjaSBSZXA8L2Z1bGwtdGl0bGU+PGFiYnItMT5TY2llbnRpZmljIHJl
cG9ydHM8L2FiYnItMT48L2FsdC1wZXJpb2RpY2FsPjxwYWdlcz4xMzgyNTwvcGFnZXM+PHZvbHVt
ZT43PC92b2x1bWU+PG51bWJlcj4xPC9udW1iZXI+PGVkaXRpb24+MjAxNy8xMS8xOTwvZWRpdGlv
bj48ZGF0ZXM+PHllYXI+MjAxNzwveWVhcj48cHViLWRhdGVzPjxkYXRlPk5vdiAxNzwvZGF0ZT48
L3B1Yi1kYXRlcz48L2RhdGVzPjxpc2JuPjIwNDUtMjMyMjwvaXNibj48YWNjZXNzaW9uLW51bT4y
OTE1MDYxMjwvYWNjZXNzaW9uLW51bT48dXJscz48L3VybHM+PGN1c3RvbTI+UE1DNTY5Mzk2MDwv
Y3VzdG9tMj48ZWxlY3Ryb25pYy1yZXNvdXJjZS1udW0+MTAuMTAzOC9zNDE1OTgtMDE3LTE0MDQz
LTI8L2VsZWN0cm9uaWMtcmVzb3VyY2UtbnVtPjxyZW1vdGUtZGF0YWJhc2UtcHJvdmlkZXI+TkxN
PC9yZW1vdGUtZGF0YWJhc2UtcHJvdmlkZXI+PGxhbmd1YWdlPmVuZzwvbGFuZ3VhZ2U+PC9yZWNv
cmQ+PC9DaXRlPjxDaXRlPjxBdXRob3I+TW9oZWltYW5pPC9BdXRob3I+PFllYXI+MjAxNzwvWWVh
cj48UmVjTnVtPjExNDM2PC9SZWNOdW0+PHJlY29yZD48cmVjLW51bWJlcj4xMTQzNjwvcmVjLW51
bWJlcj48Zm9yZWlnbi1rZXlzPjxrZXkgYXBwPSJFTiIgZGItaWQ9IjV4djV3NXQyYmR4dHhmZXp4
MDJ4dHhkZnQ1cno1cHR2dnQyOSIgdGltZXN0YW1wPSIxNTIzODYxODczIj4xMTQzNjwva2V5Pjxr
ZXkgYXBwPSJFTldlYiIgZGItaWQ9IiI+MDwva2V5PjwvZm9yZWlnbi1rZXlzPjxyZWYtdHlwZSBu
YW1lPSJKb3VybmFsIEFydGljbGUiPjE3PC9yZWYtdHlwZT48Y29udHJpYnV0b3JzPjxhdXRob3Jz
PjxhdXRob3I+TW9oZWltYW5pLCBSLiBTLjwvYXV0aG9yPjxhdXRob3I+QmhldHJhcmF0YW5hLCBN
LjwvYXV0aG9yPjxhdXRob3I+WWluLCBGLjwvYXV0aG9yPjxhdXRob3I+UGV0ZXJzLCBLLiBNLjwv
YXV0aG9yPjxhdXRob3I+R29ybmJlaW4sIEouPC9hdXRob3I+PGF1dGhvcj5BcmF1am8sIEouIEEu
PC9hdXRob3I+PGF1dGhvcj5NaWRkbGVrYXVmZiwgSC4gUi48L2F1dGhvcj48L2F1dGhvcnM+PC9j
b250cmlidXRvcnM+PGF1dGgtYWRkcmVzcz5EYXZpZCBHZWZmZW4gU2Nob29sIG9mIE1lZGljaW5l
LCBVbml2ZXJzaXR5IG9mIENhbGlmb3JuaWEsIExvcyBBbmdlbGVzLiYjeEQ7RGl2aXNpb24gb2Yg
Q2FyZGlvbG9neSwgRGVwYXJ0bWVudCBvZiBNZWRpY2luZSwgRGF2aWQgR2VmZmVuIFNjaG9vbCBv
ZiBNZWRpY2luZSwgVW5pdmVyc2l0eSBvZiBDYWxpZm9ybmlhLCBMb3MgQW5nZWxlcy4mI3hEO0Rl
cGFydG1lbnQgb2YgQmlvbWF0aGVtYXRpY3MsIERhdmlkIEdlZmZlbiBTY2hvb2wgb2YgTWVkaWNp
bmUsIFVuaXZlcnNpdHkgb2YgQ2FsaWZvcm5pYSwgTG9zIEFuZ2VsZXMuJiN4RDtEaXZpc2lvbiBv
ZiBDYXJkaW9sb2d5LCBEZXBhcnRtZW50IG9mIE1lZGljaW5lLCBEYXZpZCBHZWZmZW4gU2Nob29s
IG9mIE1lZGljaW5lLCBVbml2ZXJzaXR5IG9mIENhbGlmb3JuaWEsIExvcyBBbmdlbGVzNERlcGFy
dG1lbnQgb2YgRW52aXJvbm1lbnRhbCBIZWFsdGggU2NpZW5jZXMsIFNjaG9vbCBvZiBQdWJsaWMg
SGVhbHRoLCBVbml2ZXJzaXR5IG9mIENhbGlmb3JuaWEsIExvcyBBbmdlbGVzLjwvYXV0aC1hZGRy
ZXNzPjx0aXRsZXM+PHRpdGxlPkluY3JlYXNlZCBDYXJkaWFjIFN5bXBhdGhldGljIEFjdGl2aXR5
IGFuZCBPeGlkYXRpdmUgU3RyZXNzIGluIEhhYml0dWFsIEVsZWN0cm9uaWMgQ2lnYXJldHRlIFVz
ZXJzOiBJbXBsaWNhdGlvbnMgZm9yIENhcmRpb3Zhc2N1bGFyIFJpc2s8L3RpdGxlPjxzZWNvbmRh
cnktdGl0bGU+SkFNQSBDYXJkaW9sPC9zZWNvbmRhcnktdGl0bGU+PGFsdC10aXRsZT5KQU1BIGNh
cmRpb2xvZ3k8L2FsdC10aXRsZT48L3RpdGxlcz48cGVyaW9kaWNhbD48ZnVsbC10aXRsZT5KQU1B
IENhcmRpb2w8L2Z1bGwtdGl0bGU+PGFiYnItMT5KQU1BIGNhcmRpb2xvZ3k8L2FiYnItMT48L3Bl
cmlvZGljYWw+PGFsdC1wZXJpb2RpY2FsPjxmdWxsLXRpdGxlPkpBTUEgQ2FyZGlvbDwvZnVsbC10
aXRsZT48YWJici0xPkpBTUEgY2FyZGlvbG9neTwvYWJici0xPjwvYWx0LXBlcmlvZGljYWw+PHBh
Z2VzPjI3OC0yODQ8L3BhZ2VzPjx2b2x1bWU+Mjwvdm9sdW1lPjxudW1iZXI+MzwvbnVtYmVyPjxl
ZGl0aW9uPjIwMTcvMDIvMDI8L2VkaXRpb24+PGRhdGVzPjx5ZWFyPjIwMTc8L3llYXI+PHB1Yi1k
YXRlcz48ZGF0ZT5NYXIgMTwvZGF0ZT48L3B1Yi1kYXRlcz48L2RhdGVzPjxhY2Nlc3Npb24tbnVt
PjI4MTQ2MjU5PC9hY2Nlc3Npb24tbnVtPjx1cmxzPjwvdXJscz48Y3VzdG9tMj5QTUM1NjI2MDA4
PC9jdXN0b20yPjxjdXN0b202Pk5JSE1TODY4MjI2PC9jdXN0b202PjxlbGVjdHJvbmljLXJlc291
cmNlLW51bT4xMC4xMDAxL2phbWFjYXJkaW8uMjAxNi41MzAzPC9lbGVjdHJvbmljLXJlc291cmNl
LW51bT48cmVtb3RlLWRhdGFiYXNlLXByb3ZpZGVyPk5MTTwvcmVtb3RlLWRhdGFiYXNlLXByb3Zp
ZGVyPjxsYW5ndWFnZT5lbmc8L2xhbmd1YWdlPjwvcmVjb3JkPjwvQ2l0ZT48Q2l0ZT48QXV0aG9y
Pk1vaGVpbWFuaTwvQXV0aG9yPjxZZWFyPjIwMTc8L1llYXI+PFJlY051bT4xMTQzMTwvUmVjTnVt
PjxyZWNvcmQ+PHJlYy1udW1iZXI+MTE0MzE8L3JlYy1udW1iZXI+PGZvcmVpZ24ta2V5cz48a2V5
IGFwcD0iRU4iIGRiLWlkPSI1eHY1dzV0MmJkeHR4ZmV6eDAyeHR4ZGZ0NXJ6NXB0dnZ0MjkiIHRp
bWVzdGFtcD0iMTUyMzg2MTc1NCI+MTE0MzE8L2tleT48a2V5IGFwcD0iRU5XZWIiIGRiLWlkPSIi
PjA8L2tleT48L2ZvcmVpZ24ta2V5cz48cmVmLXR5cGUgbmFtZT0iSm91cm5hbCBBcnRpY2xlIj4x
NzwvcmVmLXR5cGU+PGNvbnRyaWJ1dG9ycz48YXV0aG9ycz48YXV0aG9yPk1vaGVpbWFuaSwgUi4g
Uy48L2F1dGhvcj48YXV0aG9yPkJoZXRyYXJhdGFuYSwgTS48L2F1dGhvcj48YXV0aG9yPlBldGVy
cywgSy4gTS48L2F1dGhvcj48YXV0aG9yPllhbmcsIEIuIEsuPC9hdXRob3I+PGF1dGhvcj5ZaW4s
IEYuPC9hdXRob3I+PGF1dGhvcj5Hb3JuYmVpbiwgSi48L2F1dGhvcj48YXV0aG9yPkFyYXVqbywg
Si4gQS48L2F1dGhvcj48YXV0aG9yPk1pZGRsZWthdWZmLCBILiBSLjwvYXV0aG9yPjwvYXV0aG9y
cz48L2NvbnRyaWJ1dG9ycz48YXV0aC1hZGRyZXNzPkRhdmlkIEdlZmZlbiBTY2hvb2wgb2YgTWVk
aWNpbmUgYXQgVUNMQSwgTG9zIEFuZ2VsZXMsIENBLiYjeEQ7RGl2aXNpb24gb2YgQ2FyZGlvbG9n
eSBEZXBhcnRtZW50IG9mIE1lZGljaW5lLCBEYXZpZCBHZWZmZW4gU2Nob29sIG9mIE1lZGljaW5l
IGF0IFVDTEEsIExvcyBBbmdlbGVzLCBDQS4mI3hEO0RlcGFydG1lbnQgb2YgQmlvbWF0aGVtYXRp
Y3MsIERhdmlkIEdlZmZlbiBTY2hvb2wgb2YgTWVkaWNpbmUgYXQgVUNMQSwgTG9zIEFuZ2VsZXMs
IENBLiYjeEQ7RGVwYXJ0bWVudCBvZiBFbnZpcm9ubWVudGFsIEhlYWx0aCBTY2llbmNlcywgU2No
b29sIG9mIFB1YmxpYyBIZWFsdGgsIExvcyBBbmdlbGVzLCBDQS4mI3hEO0RpdmlzaW9uIG9mIENh
cmRpb2xvZ3kgRGVwYXJ0bWVudCBvZiBNZWRpY2luZSwgRGF2aWQgR2VmZmVuIFNjaG9vbCBvZiBN
ZWRpY2luZSBhdCBVQ0xBLCBMb3MgQW5nZWxlcywgQ0EgaG1pZGRsZWthdWZmQG1lZG5ldC51Y2xh
LmVkdS48L2F1dGgtYWRkcmVzcz48dGl0bGVzPjx0aXRsZT5TeW1wYXRob21pbWV0aWMgRWZmZWN0
cyBvZiBBY3V0ZSBFLUNpZ2FyZXR0ZSBVc2U6IFJvbGUgb2YgTmljb3RpbmUgYW5kIE5vbi1OaWNv
dGluZSBDb25zdGl0dWVudHM8L3RpdGxlPjxzZWNvbmRhcnktdGl0bGU+SiBBbSBIZWFydCBBc3Nv
Yzwvc2Vjb25kYXJ5LXRpdGxlPjxhbHQtdGl0bGU+Sm91cm5hbCBvZiB0aGUgQW1lcmljYW4gSGVh
cnQgQXNzb2NpYXRpb248L2FsdC10aXRsZT48L3RpdGxlcz48cGVyaW9kaWNhbD48ZnVsbC10aXRs
ZT5KIEFtIEhlYXJ0IEFzc29jPC9mdWxsLXRpdGxlPjxhYmJyLTE+Sm91cm5hbCBvZiB0aGUgQW1l
cmljYW4gSGVhcnQgQXNzb2NpYXRpb248L2FiYnItMT48L3BlcmlvZGljYWw+PGFsdC1wZXJpb2Rp
Y2FsPjxmdWxsLXRpdGxlPkogQW0gSGVhcnQgQXNzb2M8L2Z1bGwtdGl0bGU+PGFiYnItMT5Kb3Vy
bmFsIG9mIHRoZSBBbWVyaWNhbiBIZWFydCBBc3NvY2lhdGlvbjwvYWJici0xPjwvYWx0LXBlcmlv
ZGljYWw+PHZvbHVtZT42PC92b2x1bWU+PG51bWJlcj45PC9udW1iZXI+PGVkaXRpb24+MjAxNy8w
OS8yMjwvZWRpdGlvbj48a2V5d29yZHM+PGtleXdvcmQ+ZWxlY3Ryb25pYyBjaWdhcmV0dGVzPC9r
ZXl3b3JkPjxrZXl3b3JkPmhlYXJ0IHJhdGUgdmFyaWFiaWxpdHk8L2tleXdvcmQ+PGtleXdvcmQ+
bmljb3RpbmU8L2tleXdvcmQ+PGtleXdvcmQ+b3hpZGFudCBzdHJlc3M8L2tleXdvcmQ+PGtleXdv
cmQ+c3ltcGF0aGV0aWMgbmVydm91cyBzeXN0ZW08L2tleXdvcmQ+PGtleXdvcmQ+dG9iYWNjbzwv
a2V5d29yZD48L2tleXdvcmRzPjxkYXRlcz48eWVhcj4yMDE3PC95ZWFyPjxwdWItZGF0ZXM+PGRh
dGU+U2VwIDIwPC9kYXRlPjwvcHViLWRhdGVzPjwvZGF0ZXM+PGlzYm4+MjA0Ny05OTgwPC9pc2Ju
PjxhY2Nlc3Npb24tbnVtPjI4OTMxNTI3PC9hY2Nlc3Npb24tbnVtPjx1cmxzPjwvdXJscz48Y3Vz
dG9tMj5QTUM1NjM0Mjk5PC9jdXN0b20yPjxlbGVjdHJvbmljLXJlc291cmNlLW51bT4xMC4xMTYx
L2phaGEuMTE3LjAwNjU3OTwvZWxlY3Ryb25pYy1yZXNvdXJjZS1udW0+PHJlbW90ZS1kYXRhYmFz
ZS1wcm92aWRlcj5OTE08L3JlbW90ZS1kYXRhYmFzZS1wcm92aWRlcj48bGFuZ3VhZ2U+ZW5nPC9s
YW5ndWFnZT48L3JlY29yZD48L0NpdGU+PENpdGU+PEF1dGhvcj5Cb2FzPC9BdXRob3I+PFllYXI+
MjAxNzwvWWVhcj48UmVjTnVtPjExNDE4PC9SZWNOdW0+PHJlY29yZD48cmVjLW51bWJlcj4xMTQx
ODwvcmVjLW51bWJlcj48Zm9yZWlnbi1rZXlzPjxrZXkgYXBwPSJFTiIgZGItaWQ9IjV4djV3NXQy
YmR4dHhmZXp4MDJ4dHhkZnQ1cno1cHR2dnQyOSIgdGltZXN0YW1wPSIxNTIzODYxNjA3Ij4xMTQx
ODwva2V5PjxrZXkgYXBwPSJFTldlYiIgZGItaWQ9IiI+MDwva2V5PjwvZm9yZWlnbi1rZXlzPjxy
ZWYtdHlwZSBuYW1lPSJKb3VybmFsIEFydGljbGUiPjE3PC9yZWYtdHlwZT48Y29udHJpYnV0b3Jz
PjxhdXRob3JzPjxhdXRob3I+Qm9hcywgWi48L2F1dGhvcj48YXV0aG9yPkd1cHRhLCBQLjwvYXV0
aG9yPjxhdXRob3I+TW9oZWltYW5pLCBSLiBTLjwvYXV0aG9yPjxhdXRob3I+QmhldHJhcmF0YW5h
LCBNLjwvYXV0aG9yPjxhdXRob3I+WWluLCBGLjwvYXV0aG9yPjxhdXRob3I+UGV0ZXJzLCBLLiBN
LjwvYXV0aG9yPjxhdXRob3I+R29ybmJlaW4sIEouPC9hdXRob3I+PGF1dGhvcj5BcmF1am8sIEou
IEEuPC9hdXRob3I+PGF1dGhvcj5DemVybmluLCBKLjwvYXV0aG9yPjxhdXRob3I+TWlkZGxla2F1
ZmYsIEguIFIuPC9hdXRob3I+PC9hdXRob3JzPjwvY29udHJpYnV0b3JzPjxhdXRoLWFkZHJlc3M+
RGl2aXNpb24gb2YgQ2FyZGlvbG9neSwgRGVwYXJ0bWVudCBvZiBNZWRpY2luZSwgRGF2aWQgR2Vm
ZmVuIFNjaG9vbCBvZiBNZWRpY2luZSBhdCBVQ0xBLCBMb3MgQW5nZWxlcywgQ2FsaWZvcm5pYS4m
I3hEO0RlcGFydG1lbnQgb2YgTW9sZWN1bGFyIGFuZCBNZWRpY2FsIFBoYXJtYWNvbG9neSwgQWht
YW5zb24gVHJhbnNsYXRpb25hbCBJbWFnaW5nIERpdmlzaW9uLCBEYXZpZCBHZWZmZW4gU2Nob29s
IG9mIE1lZGljaW5lIGF0IFVDTEEsIExvcyBBbmdlbGVzLCBDYWxpZm9ybmlhLiYjeEQ7RGF2aWQg
R2VmZmVuIFNjaG9vbCBvZiBNZWRpY2luZSBhdCBVQ0xBLCBMb3MgQW5nZWxlcywgQ2FsaWZvcm5p
YS4mI3hEO0RlcGFydG1lbnQgb2YgRW52aXJvbm1lbnRhbCBIZWFsdGggU2NpZW5jZXMsIFNjaG9v
bCBvZiBQdWJsaWMgSGVhbHRoLCBMb3MgQW5nZWxlcywgQ2FsaWZvcm5pYS4mI3hEO0RlcGFydG1l
bnQgb2YgQmlvbWF0aGVtYXRpY3MsIERhdmlkIEdlZmZlbiBTY2hvb2wgb2YgTWVkaWNpbmUgYXQg
VUNMQSwgTG9zIEFuZ2VsZXMsIENhbGlmb3JuaWEuJiN4RDtEaXZpc2lvbiBvZiBDYXJkaW9sb2d5
LCBEZXBhcnRtZW50IG9mIE1lZGljaW5lLCBEYXZpZCBHZWZmZW4gU2Nob29sIG9mIE1lZGljaW5l
IGF0IFVDTEEsIExvcyBBbmdlbGVzLCBDYWxpZm9ybmlhIGhtaWRkbGVrYXVmZkBtZWRuZXQudWNs
YS5lZHUuPC9hdXRoLWFkZHJlc3M+PHRpdGxlcz48dGl0bGU+QWN0aXZhdGlvbiBvZiB0aGUgJnF1
b3Q7U3BsZW5vY2FyZGlhYyBBeGlzJnF1b3Q7IGJ5IGVsZWN0cm9uaWMgYW5kIHRvYmFjY28gY2ln
YXJldHRlcyBpbiBvdGhlcndpc2UgaGVhbHRoeSB5b3VuZyBhZHVsdHM8L3RpdGxlPjxzZWNvbmRh
cnktdGl0bGU+UGh5c2lvbCBSZXA8L3NlY29uZGFyeS10aXRsZT48YWx0LXRpdGxlPlBoeXNpb2xv
Z2ljYWwgcmVwb3J0czwvYWx0LXRpdGxlPjwvdGl0bGVzPjxwZXJpb2RpY2FsPjxmdWxsLXRpdGxl
PlBoeXNpb2wgUmVwPC9mdWxsLXRpdGxlPjxhYmJyLTE+UGh5c2lvbG9naWNhbCByZXBvcnRzPC9h
YmJyLTE+PC9wZXJpb2RpY2FsPjxhbHQtcGVyaW9kaWNhbD48ZnVsbC10aXRsZT5QaHlzaW9sIFJl
cDwvZnVsbC10aXRsZT48YWJici0xPlBoeXNpb2xvZ2ljYWwgcmVwb3J0czwvYWJici0xPjwvYWx0
LXBlcmlvZGljYWw+PHZvbHVtZT41PC92b2x1bWU+PG51bWJlcj4xNzwvbnVtYmVyPjxlZGl0aW9u
PjIwMTcvMDkvMTQ8L2VkaXRpb24+PGtleXdvcmRzPjxrZXl3b3JkPkFydGVyaWFsIGluZmxhbW1h
dGlvbjwva2V5d29yZD48a2V5d29yZD5GZGctcGV0L2N0PC9rZXl3b3JkPjxrZXl3b3JkPmVsZWN0
cm9uaWMgY2lnYXJldHRlczwva2V5d29yZD48a2V5d29yZD5oZW1hdG9wb2lldGljIGFjdGl2YXRp
b248L2tleXdvcmQ+PGtleXdvcmQ+dG9iYWNjbyBjaWdhcmV0dGVzPC9rZXl3b3JkPjwva2V5d29y
ZHM+PGRhdGVzPjx5ZWFyPjIwMTc8L3llYXI+PHB1Yi1kYXRlcz48ZGF0ZT5TZXA8L2RhdGU+PC9w
dWItZGF0ZXM+PC9kYXRlcz48aXNibj4yMDUxLTgxN3g8L2lzYm4+PGFjY2Vzc2lvbi1udW0+Mjg4
OTk5MDg8L2FjY2Vzc2lvbi1udW0+PHVybHM+PC91cmxzPjxjdXN0b20yPlBNQzU1OTk4NTg8L2N1
c3RvbTI+PGVsZWN0cm9uaWMtcmVzb3VyY2UtbnVtPjEwLjE0ODE0L3BoeTIuMTMzOTM8L2VsZWN0
cm9uaWMtcmVzb3VyY2UtbnVtPjxyZW1vdGUtZGF0YWJhc2UtcHJvdmlkZXI+TkxNPC9yZW1vdGUt
ZGF0YWJhc2UtcHJvdmlkZXI+PGxhbmd1YWdlPmVuZzwvbGFuZ3VhZ2U+PC9yZWNvcmQ+PC9DaXRl
PjxDaXRlPjxBdXRob3I+Qm9hczwvQXV0aG9yPjxZZWFyPjIwMTc8L1llYXI+PFJlY051bT45MTg8
L1JlY051bT48cmVjb3JkPjxyZWMtbnVtYmVyPjkxODwvcmVjLW51bWJlcj48Zm9yZWlnbi1rZXlz
PjxrZXkgYXBwPSJFTiIgZGItaWQ9Ijl2czlwemZ6bmFweHBoZWZhMjh4enc5NXNmNWF2MHN2OXJk
eiIgdGltZXN0YW1wPSIxNTIxMTU5Mzg4Ij45MTg8L2tleT48a2V5IGFwcD0iRU5XZWIiIGRiLWlk
PSIiPjA8L2tleT48L2ZvcmVpZ24ta2V5cz48cmVmLXR5cGUgbmFtZT0iSm91cm5hbCBBcnRpY2xl
Ij4xNzwvcmVmLXR5cGU+PGNvbnRyaWJ1dG9ycz48YXV0aG9ycz48YXV0aG9yPkJvYXMsIFouPC9h
dXRob3I+PGF1dGhvcj5HdXB0YSwgUC48L2F1dGhvcj48YXV0aG9yPk1vaGVpbWFuaSwgUi4gUy48
L2F1dGhvcj48YXV0aG9yPkJoZXRyYXJhdGFuYSwgTS48L2F1dGhvcj48YXV0aG9yPllpbiwgRi48
L2F1dGhvcj48YXV0aG9yPlBldGVycywgSy4gTS48L2F1dGhvcj48YXV0aG9yPkdvcm5iZWluLCBK
LjwvYXV0aG9yPjxhdXRob3I+QXJhdWpvLCBKLiBBLjwvYXV0aG9yPjxhdXRob3I+Q3plcm5pbiwg
Si48L2F1dGhvcj48YXV0aG9yPk1pZGRsZWthdWZmLCBILiBSLjwvYXV0aG9yPjwvYXV0aG9ycz48
L2NvbnRyaWJ1dG9ycz48YXV0aC1hZGRyZXNzPkRpdmlzaW9uIG9mIENhcmRpb2xvZ3ksIERlcGFy
dG1lbnQgb2YgTWVkaWNpbmUsIERhdmlkIEdlZmZlbiBTY2hvb2wgb2YgTWVkaWNpbmUgYXQgVUNM
QSwgTG9zIEFuZ2VsZXMsIENhbGlmb3JuaWEuJiN4RDtEZXBhcnRtZW50IG9mIE1vbGVjdWxhciBh
bmQgTWVkaWNhbCBQaGFybWFjb2xvZ3ksIEFobWFuc29uIFRyYW5zbGF0aW9uYWwgSW1hZ2luZyBE
aXZpc2lvbiwgRGF2aWQgR2VmZmVuIFNjaG9vbCBvZiBNZWRpY2luZSBhdCBVQ0xBLCBMb3MgQW5n
ZWxlcywgQ2FsaWZvcm5pYS4mI3hEO0RhdmlkIEdlZmZlbiBTY2hvb2wgb2YgTWVkaWNpbmUgYXQg
VUNMQSwgTG9zIEFuZ2VsZXMsIENhbGlmb3JuaWEuJiN4RDtEZXBhcnRtZW50IG9mIEVudmlyb25t
ZW50YWwgSGVhbHRoIFNjaWVuY2VzLCBTY2hvb2wgb2YgUHVibGljIEhlYWx0aCwgTG9zIEFuZ2Vs
ZXMsIENhbGlmb3JuaWEuJiN4RDtEZXBhcnRtZW50IG9mIEJpb21hdGhlbWF0aWNzLCBEYXZpZCBH
ZWZmZW4gU2Nob29sIG9mIE1lZGljaW5lIGF0IFVDTEEsIExvcyBBbmdlbGVzLCBDYWxpZm9ybmlh
LiYjeEQ7RGl2aXNpb24gb2YgQ2FyZGlvbG9neSwgRGVwYXJ0bWVudCBvZiBNZWRpY2luZSwgRGF2
aWQgR2VmZmVuIFNjaG9vbCBvZiBNZWRpY2luZSBhdCBVQ0xBLCBMb3MgQW5nZWxlcywgQ2FsaWZv
cm5pYSBobWlkZGxla2F1ZmZAbWVkbmV0LnVjbGEuZWR1LjwvYXV0aC1hZGRyZXNzPjx0aXRsZXM+
PHRpdGxlPkFjdGl2YXRpb24gb2YgdGhlICZxdW90O1NwbGVub2NhcmRpYWMgQXhpcyZxdW90OyBi
eSBlbGVjdHJvbmljIGFuZCB0b2JhY2NvIGNpZ2FyZXR0ZXMgaW4gb3RoZXJ3aXNlIGhlYWx0aHkg
eW91bmcgYWR1bHRzPC90aXRsZT48c2Vjb25kYXJ5LXRpdGxlPlBoeXNpb2wgUmVwPC9zZWNvbmRh
cnktdGl0bGU+PGFsdC10aXRsZT5QaHlzaW9sb2dpY2FsIHJlcG9ydHM8L2FsdC10aXRsZT48L3Rp
dGxlcz48YWx0LXBlcmlvZGljYWw+PGZ1bGwtdGl0bGU+UGh5c2lvbG9naWNhbCBSZXBvcnRzPC9m
dWxsLXRpdGxlPjwvYWx0LXBlcmlvZGljYWw+PHZvbHVtZT41PC92b2x1bWU+PG51bWJlcj4xNzwv
bnVtYmVyPjxlZGl0aW9uPjIwMTcvMDkvMTQ8L2VkaXRpb24+PGtleXdvcmRzPjxrZXl3b3JkPkFy
dGVyaWFsIGluZmxhbW1hdGlvbjwva2V5d29yZD48a2V5d29yZD5GZGctcGV0L2N0PC9rZXl3b3Jk
PjxrZXl3b3JkPmVsZWN0cm9uaWMgY2lnYXJldHRlczwva2V5d29yZD48a2V5d29yZD5oZW1hdG9w
b2lldGljIGFjdGl2YXRpb248L2tleXdvcmQ+PGtleXdvcmQ+dG9iYWNjbyBjaWdhcmV0dGVzPC9r
ZXl3b3JkPjwva2V5d29yZHM+PGRhdGVzPjx5ZWFyPjIwMTc8L3llYXI+PHB1Yi1kYXRlcz48ZGF0
ZT5TZXA8L2RhdGU+PC9wdWItZGF0ZXM+PC9kYXRlcz48aXNibj4yMDUxLTgxN3g8L2lzYm4+PGFj
Y2Vzc2lvbi1udW0+Mjg4OTk5MDg8L2FjY2Vzc2lvbi1udW0+PHVybHM+PC91cmxzPjxjdXN0b20y
PlBNQzU1OTk4NTg8L2N1c3RvbTI+PGVsZWN0cm9uaWMtcmVzb3VyY2UtbnVtPjEwLjE0ODE0L3Bo
eTIuMTMzOTM8L2VsZWN0cm9uaWMtcmVzb3VyY2UtbnVtPjxyZW1vdGUtZGF0YWJhc2UtcHJvdmlk
ZXI+TkxNPC9yZW1vdGUtZGF0YWJhc2UtcHJvdmlkZXI+PGxhbmd1YWdlPmVuZzwvbGFuZ3VhZ2U+
PC9yZWNvcmQ+PC9DaXRlPjxDaXRlPjxBdXRob3I+TW9oZWltYW5pPC9BdXRob3I+PFllYXI+MjAx
NzwvWWVhcj48UmVjTnVtPjkwNzwvUmVjTnVtPjxyZWNvcmQ+PHJlYy1udW1iZXI+OTA3PC9yZWMt
bnVtYmVyPjxmb3JlaWduLWtleXM+PGtleSBhcHA9IkVOIiBkYi1pZD0iOXZzOXB6ZnpuYXB4cGhl
ZmEyOHh6dzk1c2Y1YXYwc3Y5cmR6IiB0aW1lc3RhbXA9IjE1MjExNTkzODciPjkwNzwva2V5Pjwv
Zm9yZWlnbi1rZXlzPjxyZWYtdHlwZSBuYW1lPSJKb3VybmFsIEFydGljbGUiPjE3PC9yZWYtdHlw
ZT48Y29udHJpYnV0b3JzPjxhdXRob3JzPjxhdXRob3I+TW9oZWltYW5pLCBSLiBTLjwvYXV0aG9y
PjxhdXRob3I+QmhldHJhcmF0YW5hLCBNLjwvYXV0aG9yPjxhdXRob3I+UGV0ZXJzLCBLLiBNLjwv
YXV0aG9yPjxhdXRob3I+WWFuZywgQi4gSy48L2F1dGhvcj48YXV0aG9yPllpbiwgRi48L2F1dGhv
cj48YXV0aG9yPkdvcm5iZWluLCBKLjwvYXV0aG9yPjxhdXRob3I+QXJhdWpvLCBKLiBBLjwvYXV0
aG9yPjxhdXRob3I+TWlkZGxla2F1ZmYsIEguIFIuPC9hdXRob3I+PC9hdXRob3JzPjwvY29udHJp
YnV0b3JzPjxhdXRoLWFkZHJlc3M+RGF2aWQgR2VmZmVuIFNjaG9vbCBvZiBNZWRpY2luZSBhdCBV
Q0xBLCBMb3MgQW5nZWxlcywgQ0EuJiN4RDtEaXZpc2lvbiBvZiBDYXJkaW9sb2d5IERlcGFydG1l
bnQgb2YgTWVkaWNpbmUsIERhdmlkIEdlZmZlbiBTY2hvb2wgb2YgTWVkaWNpbmUgYXQgVUNMQSwg
TG9zIEFuZ2VsZXMsIENBLiYjeEQ7RGVwYXJ0bWVudCBvZiBCaW9tYXRoZW1hdGljcywgRGF2aWQg
R2VmZmVuIFNjaG9vbCBvZiBNZWRpY2luZSBhdCBVQ0xBLCBMb3MgQW5nZWxlcywgQ0EuJiN4RDtE
ZXBhcnRtZW50IG9mIEVudmlyb25tZW50YWwgSGVhbHRoIFNjaWVuY2VzLCBTY2hvb2wgb2YgUHVi
bGljIEhlYWx0aCwgTG9zIEFuZ2VsZXMsIENBLiYjeEQ7RGl2aXNpb24gb2YgQ2FyZGlvbG9neSBE
ZXBhcnRtZW50IG9mIE1lZGljaW5lLCBEYXZpZCBHZWZmZW4gU2Nob29sIG9mIE1lZGljaW5lIGF0
IFVDTEEsIExvcyBBbmdlbGVzLCBDQSBobWlkZGxla2F1ZmZAbWVkbmV0LnVjbGEuZWR1LjwvYXV0
aC1hZGRyZXNzPjx0aXRsZXM+PHRpdGxlPlN5bXBhdGhvbWltZXRpYyBFZmZlY3RzIG9mIEFjdXRl
IEUtQ2lnYXJldHRlIFVzZTogUm9sZSBvZiBOaWNvdGluZSBhbmQgTm9uLU5pY290aW5lIENvbnN0
aXR1ZW50czwvdGl0bGU+PHNlY29uZGFyeS10aXRsZT5KIEFtIEhlYXJ0IEFzc29jPC9zZWNvbmRh
cnktdGl0bGU+PGFsdC10aXRsZT5Kb3VybmFsIG9mIHRoZSBBbWVyaWNhbiBIZWFydCBBc3NvY2lh
dGlvbjwvYWx0LXRpdGxlPjwvdGl0bGVzPjxhbHQtcGVyaW9kaWNhbD48ZnVsbC10aXRsZT5Kb3Vy
bmFsIG9mIHRoZSBBbWVyaWNhbiBIZWFydCBBc3NvY2lhdGlvbjwvZnVsbC10aXRsZT48L2FsdC1w
ZXJpb2RpY2FsPjx2b2x1bWU+Njwvdm9sdW1lPjxudW1iZXI+OTwvbnVtYmVyPjxlZGl0aW9uPjIw
MTcvMDkvMjI8L2VkaXRpb24+PGtleXdvcmRzPjxrZXl3b3JkPmVsZWN0cm9uaWMgY2lnYXJldHRl
czwva2V5d29yZD48a2V5d29yZD5oZWFydCByYXRlIHZhcmlhYmlsaXR5PC9rZXl3b3JkPjxrZXl3
b3JkPm5pY290aW5lPC9rZXl3b3JkPjxrZXl3b3JkPm94aWRhbnQgc3RyZXNzPC9rZXl3b3JkPjxr
ZXl3b3JkPnN5bXBhdGhldGljIG5lcnZvdXMgc3lzdGVtPC9rZXl3b3JkPjxrZXl3b3JkPnRvYmFj
Y288L2tleXdvcmQ+PC9rZXl3b3Jkcz48ZGF0ZXM+PHllYXI+MjAxNzwveWVhcj48cHViLWRhdGVz
PjxkYXRlPlNlcCAyMDwvZGF0ZT48L3B1Yi1kYXRlcz48L2RhdGVzPjxpc2JuPjIwNDctOTk4MDwv
aXNibj48YWNjZXNzaW9uLW51bT4yODkzMTUyNzwvYWNjZXNzaW9uLW51bT48dXJscz48L3VybHM+
PGN1c3RvbTI+UE1DNTYzNDI5OTwvY3VzdG9tMj48ZWxlY3Ryb25pYy1yZXNvdXJjZS1udW0+MTAu
MTE2MS9qYWhhLjExNy4wMDY1Nzk8L2VsZWN0cm9uaWMtcmVzb3VyY2UtbnVtPjxyZW1vdGUtZGF0
YWJhc2UtcHJvdmlkZXI+TkxNPC9yZW1vdGUtZGF0YWJhc2UtcHJvdmlkZXI+PGxhbmd1YWdlPmVu
ZzwvbGFuZ3VhZ2U+PC9yZWNvcmQ+PC9DaXRlPjxDaXRlPjxBdXRob3I+TW9oZWltYW5pPC9BdXRo
b3I+PFllYXI+MjAxNzwvWWVhcj48UmVjTnVtPjEzNTA8L1JlY051bT48cmVjb3JkPjxyZWMtbnVt
YmVyPjEzNTA8L3JlYy1udW1iZXI+PGZvcmVpZ24ta2V5cz48a2V5IGFwcD0iRU4iIGRiLWlkPSI5
dnM5cHpmem5hcHhwaGVmYTI4eHp3OTVzZjVhdjBzdjlyZHoiIHRpbWVzdGFtcD0iMTUyMTE1OTQy
NiI+MTM1MDwva2V5PjwvZm9yZWlnbi1rZXlzPjxyZWYtdHlwZSBuYW1lPSJKb3VybmFsIEFydGlj
bGUiPjE3PC9yZWYtdHlwZT48Y29udHJpYnV0b3JzPjxhdXRob3JzPjxhdXRob3I+TW9oZWltYW5p
LCBSLiBTLjwvYXV0aG9yPjxhdXRob3I+QmhldHJhcmF0YW5hLCBNLjwvYXV0aG9yPjxhdXRob3I+
WWluLCBGLjwvYXV0aG9yPjxhdXRob3I+UGV0ZXJzLCBLLiBNLjwvYXV0aG9yPjxhdXRob3I+R29y
bmJlaW4sIEouPC9hdXRob3I+PGF1dGhvcj5BcmF1am8sIEouIEEuPC9hdXRob3I+PGF1dGhvcj5N
aWRkbGVrYXVmZiwgSC4gUi48L2F1dGhvcj48L2F1dGhvcnM+PC9jb250cmlidXRvcnM+PGF1dGgt
YWRkcmVzcz5EYXZpZCBHZWZmZW4gU2Nob29sIG9mIE1lZGljaW5lLCBVbml2ZXJzaXR5IG9mIENh
bGlmb3JuaWEsIExvcyBBbmdlbGVzLiYjeEQ7RGl2aXNpb24gb2YgQ2FyZGlvbG9neSwgRGVwYXJ0
bWVudCBvZiBNZWRpY2luZSwgRGF2aWQgR2VmZmVuIFNjaG9vbCBvZiBNZWRpY2luZSwgVW5pdmVy
c2l0eSBvZiBDYWxpZm9ybmlhLCBMb3MgQW5nZWxlcy4mI3hEO0RlcGFydG1lbnQgb2YgQmlvbWF0
aGVtYXRpY3MsIERhdmlkIEdlZmZlbiBTY2hvb2wgb2YgTWVkaWNpbmUsIFVuaXZlcnNpdHkgb2Yg
Q2FsaWZvcm5pYSwgTG9zIEFuZ2VsZXMuJiN4RDtEaXZpc2lvbiBvZiBDYXJkaW9sb2d5LCBEZXBh
cnRtZW50IG9mIE1lZGljaW5lLCBEYXZpZCBHZWZmZW4gU2Nob29sIG9mIE1lZGljaW5lLCBVbml2
ZXJzaXR5IG9mIENhbGlmb3JuaWEsIExvcyBBbmdlbGVzNERlcGFydG1lbnQgb2YgRW52aXJvbm1l
bnRhbCBIZWFsdGggU2NpZW5jZXMsIFNjaG9vbCBvZiBQdWJsaWMgSGVhbHRoLCBVbml2ZXJzaXR5
IG9mIENhbGlmb3JuaWEsIExvcyBBbmdlbGVzLjwvYXV0aC1hZGRyZXNzPjx0aXRsZXM+PHRpdGxl
PkluY3JlYXNlZCBDYXJkaWFjIFN5bXBhdGhldGljIEFjdGl2aXR5IGFuZCBPeGlkYXRpdmUgU3Ry
ZXNzIGluIEhhYml0dWFsIEVsZWN0cm9uaWMgQ2lnYXJldHRlIFVzZXJzOiBJbXBsaWNhdGlvbnMg
Zm9yIENhcmRpb3Zhc2N1bGFyIFJpc2s8L3RpdGxlPjxzZWNvbmRhcnktdGl0bGU+SkFNQSBDYXJk
aW9sPC9zZWNvbmRhcnktdGl0bGU+PGFsdC10aXRsZT5KQU1BIGNhcmRpb2xvZ3k8L2FsdC10aXRs
ZT48L3RpdGxlcz48cGVyaW9kaWNhbD48ZnVsbC10aXRsZT5KQU1BIENhcmRpb2w8L2Z1bGwtdGl0
bGU+PGFiYnItMT5KQU1BIGNhcmRpb2xvZ3k8L2FiYnItMT48L3BlcmlvZGljYWw+PGFsdC1wZXJp
b2RpY2FsPjxmdWxsLXRpdGxlPkpBTUEgQ2FyZGlvbDwvZnVsbC10aXRsZT48YWJici0xPkpBTUEg
Y2FyZGlvbG9neTwvYWJici0xPjwvYWx0LXBlcmlvZGljYWw+PHBhZ2VzPjI3OC0yODQ8L3BhZ2Vz
Pjx2b2x1bWU+Mjwvdm9sdW1lPjxudW1iZXI+MzwvbnVtYmVyPjxlZGl0aW9uPjIwMTcvMDIvMDI8
L2VkaXRpb24+PGRhdGVzPjx5ZWFyPjIwMTc8L3llYXI+PHB1Yi1kYXRlcz48ZGF0ZT5NYXIgMTwv
ZGF0ZT48L3B1Yi1kYXRlcz48L2RhdGVzPjxhY2Nlc3Npb24tbnVtPjI4MTQ2MjU5PC9hY2Nlc3Np
b24tbnVtPjx1cmxzPjwvdXJscz48Y3VzdG9tMj5QTUM1NjI2MDA4PC9jdXN0b20yPjxjdXN0b202
Pk5JSE1TODY4MjI2PC9jdXN0b202PjxlbGVjdHJvbmljLXJlc291cmNlLW51bT4xMC4xMDAxL2ph
bWFjYXJkaW8uMjAxNi41MzAzPC9lbGVjdHJvbmljLXJlc291cmNlLW51bT48cmVtb3RlLWRhdGFi
YXNlLXByb3ZpZGVyPk5MTTwvcmVtb3RlLWRhdGFiYXNlLXByb3ZpZGVyPjxsYW5ndWFnZT5lbmc8
L2xhbmd1YWdlPjwvcmVjb3JkPjwvQ2l0ZT48Q2l0ZT48QXV0aG9yPlBvbG9zYTwvQXV0aG9yPjxZ
ZWFyPjIwMTc8L1llYXI+PFJlY051bT43Njc8L1JlY051bT48cmVjb3JkPjxyZWMtbnVtYmVyPjc2
NzwvcmVjLW51bWJlcj48Zm9yZWlnbi1rZXlzPjxrZXkgYXBwPSJFTiIgZGItaWQ9Ijl2czlwemZ6
bmFweHBoZWZhMjh4enc5NXNmNWF2MHN2OXJkeiIgdGltZXN0YW1wPSIxNTIxMTU5Mzc0Ij43Njc8
L2tleT48L2ZvcmVpZ24ta2V5cz48cmVmLXR5cGUgbmFtZT0iSm91cm5hbCBBcnRpY2xlIj4xNzwv
cmVmLXR5cGU+PGNvbnRyaWJ1dG9ycz48YXV0aG9ycz48YXV0aG9yPlBvbG9zYSwgUi48L2F1dGhv
cj48YXV0aG9yPkNpYmVsbGEsIEYuPC9hdXRob3I+PGF1dGhvcj5DYXBvbm5ldHRvLCBQLjwvYXV0
aG9yPjxhdXRob3I+TWFnbGlhLCBNLjwvYXV0aG9yPjxhdXRob3I+UHJvc3BlcmluaSwgVS48L2F1
dGhvcj48YXV0aG9yPlJ1c3NvLCBDLjwvYXV0aG9yPjxhdXRob3I+VGFzaGtpbiwgRC48L2F1dGhv
cj48L2F1dGhvcnM+PC9jb250cmlidXRvcnM+PGF1dGgtYWRkcmVzcz5DZW50cm8gcGVyIGxhIFBy
ZXZlbnppb25lIGUgQ3VyYSBkZWwgVGFiYWdpc21vIChDUENUKSwgQXppZW5kYSBPc3BlZGFsaWVy
by1Vbml2ZXJzaXRhcmlhICZxdW90O1BvbGljbGluaWNvLVYuIEVtYW51ZWxlJnF1b3Q7LCBVbml2
ZXJzaXRhIGRpIENhdGFuaWEsIENhdGFuaWEsIEl0YWx5LiBwb2xvc2FAdW5pY3QuaXQuJiN4RDtJ
bnN0aXR1dGUgb2YgSW50ZXJuYWwgYW5kIEVtZXJnZW5jeSBNZWRpY2luZSwgQXppZW5kYSBPc3Bl
ZGFsaWVyby1Vbml2ZXJzaXRhcmlhICZxdW90O1BvbGljbGluaWNvLVYuIEVtYW51ZWxlJnF1b3Q7
LCBVbml2ZXJzaXRhIGRpIENhdGFuaWEsIENhdGFuaWEsIEl0YWx5LiBwb2xvc2FAdW5pY3QuaXQu
JiN4RDtEaXBhcnRpbWVudG8gZGkgTWVkaWNpbmEgQ2xpbmljYSBlIFNwZXJpbWVudGFsZSwgVW5p
dmVyc2l0eSBvZiBDYXRhbmlhLCBDYXRhbmlhLCBJdGFseS4gcG9sb3NhQHVuaWN0Lml0LiYjeEQ7
TmF0aW9uYWwgUmVzZWFyY2ggQ291bmNpbCBvZiBJdGFseSwgSW5zdGl0dXRlIG9mIEJpb21lZGlj
aW5lIGFuZCBNb2xlY3VsYXIgSW1tdW5vbG9neSwgUGFsZXJtbywgSXRhbHkuJiN4RDtDZW50cm8g
cGVyIGxhIFByZXZlbnppb25lIGUgQ3VyYSBkZWwgVGFiYWdpc21vIChDUENUKSwgQXppZW5kYSBP
c3BlZGFsaWVyby1Vbml2ZXJzaXRhcmlhICZxdW90O1BvbGljbGluaWNvLVYuIEVtYW51ZWxlJnF1
b3Q7LCBVbml2ZXJzaXRhIGRpIENhdGFuaWEsIENhdGFuaWEsIEl0YWx5LiYjeEQ7RGlwYXJ0aW1l
bnRvIGRpIE1lZGljaW5hIENsaW5pY2EgZSBTcGVyaW1lbnRhbGUsIFVuaXZlcnNpdHkgb2YgQ2F0
YW5pYSwgQ2F0YW5pYSwgSXRhbHkuJiN4RDtPc3BlZGFsZSAmcXVvdDtTYW4gVmluY2Vuem8mcXVv
dDsgLSBBU1AgTWVzc2luYSwgVGFvcm1pbmEsIE1FLCBJdGFseS4mI3hEO01DQVUgQVJOQVMgR2Fy
aWJhbGRpLCBDYXRhbmlhLCBJdGFseS4mI3hEO0RhdmlkIEdlZmZlbiBTY2hvb2wgb2YgTWVkaWNp
bmUgYXQgdGhlIFVuaXZlcnNpdHkgb2YgQ2FsaWZvcm5pYSwgTG9zIEFuZ2VsZXMgKFVDTEEpLCBM
b3MgQW5nZWxlcywgQ2FsaWZvcm5pYSwgVVNBLjwvYXV0aC1hZGRyZXNzPjx0aXRsZXM+PHRpdGxl
PkhlYWx0aCBpbXBhY3Qgb2YgRS1jaWdhcmV0dGVzOiBhIHByb3NwZWN0aXZlIDMuNS15ZWFyIHN0
dWR5IG9mIHJlZ3VsYXIgZGFpbHkgdXNlcnMgd2hvIGhhdmUgbmV2ZXIgc21va2VkPC90aXRsZT48
c2Vjb25kYXJ5LXRpdGxlPlNjaSBSZXA8L3NlY29uZGFyeS10aXRsZT48YWx0LXRpdGxlPlNjaWVu
dGlmaWMgcmVwb3J0czwvYWx0LXRpdGxlPjwvdGl0bGVzPjxhbHQtcGVyaW9kaWNhbD48ZnVsbC10
aXRsZT5TY2llbnRpZmljIFJlcG9ydHM8L2Z1bGwtdGl0bGU+PC9hbHQtcGVyaW9kaWNhbD48cGFn
ZXM+MTM4MjU8L3BhZ2VzPjx2b2x1bWU+Nzwvdm9sdW1lPjxudW1iZXI+MTwvbnVtYmVyPjxlZGl0
aW9uPjIwMTcvMTEvMTk8L2VkaXRpb24+PGRhdGVzPjx5ZWFyPjIwMTc8L3llYXI+PHB1Yi1kYXRl
cz48ZGF0ZT5Ob3YgMTc8L2RhdGU+PC9wdWItZGF0ZXM+PC9kYXRlcz48aXNibj4yMDQ1LTIzMjI8
L2lzYm4+PGFjY2Vzc2lvbi1udW0+MjkxNTA2MTI8L2FjY2Vzc2lvbi1udW0+PHVybHM+PC91cmxz
PjxjdXN0b20yPlBNQzU2OTM5NjA8L2N1c3RvbTI+PGVsZWN0cm9uaWMtcmVzb3VyY2UtbnVtPjEw
LjEwMzgvczQxNTk4LTAxNy0xNDA0My0yPC9lbGVjdHJvbmljLXJlc291cmNlLW51bT48cmVtb3Rl
LWRhdGFiYXNlLXByb3ZpZGVyPk5MTTwvcmVtb3RlLWRhdGFiYXNlLXByb3ZpZGVyPjxsYW5ndWFn
ZT5lbmc8L2xhbmd1YWdlPjwvcmVjb3JkPjwvQ2l0ZT48Q2l0ZT48QXV0aG9yPlN0YXVkdDwvQXV0
aG9yPjxZZWFyPjIwMTg8L1llYXI+PFJlY051bT4xMDM1NzwvUmVjTnVtPjxyZWNvcmQ+PHJlYy1u
dW1iZXI+MTAzNTc8L3JlYy1udW1iZXI+PGZvcmVpZ24ta2V5cz48a2V5IGFwcD0iRU4iIGRiLWlk
PSI5ejA1ZHowcHJhYWRmdWVlMHpveHplZGs5emZlNWZ4eDUwejUiIHRpbWVzdGFtcD0iMTUyNjg2
OTg3OCI+MTAzNTc8L2tleT48a2V5IGFwcD0iRU5XZWIiIGRiLWlkPSIiPjA8L2tleT48L2ZvcmVp
Z24ta2V5cz48cmVmLXR5cGUgbmFtZT0iSm91cm5hbCBBcnRpY2xlIj4xNzwvcmVmLXR5cGU+PGNv
bnRyaWJ1dG9ycz48YXV0aG9ycz48YXV0aG9yPlN0YXVkdCwgTWljaGVsbGUgUi48L2F1dGhvcj48
YXV0aG9yPlNhbGl0LCBKYWNxdWVsaW5lPC9hdXRob3I+PGF1dGhvcj5LYW5lciwgUm9iZXJ0IEou
PC9hdXRob3I+PGF1dGhvcj5Ib2xsbWFubiwgQ2hhcmxlZW48L2F1dGhvcj48YXV0aG9yPkNyeXN0
YWwsIFJvbmFsZCBHLjwvYXV0aG9yPjwvYXV0aG9ycz48L2NvbnRyaWJ1dG9ycz48dGl0bGVzPjx0
aXRsZT5BbHRlcmVkIGx1bmcgYmlvbG9neSBvZiBoZWFsdGh5IG5ldmVyIHNtb2tlcnMgZm9sbG93
aW5nIGFjdXRlIGluaGFsYXRpb24gb2YgRS1jaWdhcmV0dGVzPC90aXRsZT48c2Vjb25kYXJ5LXRp
dGxlPlJlc3BpcmF0b3J5IHJlc2VhcmNoPC9zZWNvbmRhcnktdGl0bGU+PC90aXRsZXM+PHBlcmlv
ZGljYWw+PGZ1bGwtdGl0bGU+UmVzcGlyYXRvcnkgUmVzZWFyY2g8L2Z1bGwtdGl0bGU+PC9wZXJp
b2RpY2FsPjxwYWdlcz43OC03ODwvcGFnZXM+PHZvbHVtZT4xOTwvdm9sdW1lPjxudW1iZXI+MTwv
bnVtYmVyPjxkYXRlcz48eWVhcj4yMDE4PC95ZWFyPjxwdWItZGF0ZXM+PGRhdGU+MjAxOCBNYXk8
L2RhdGU+PC9wdWItZGF0ZXM+PC9kYXRlcz48YWNjZXNzaW9uLW51bT5NRURMSU5FOjI5NzU0NTgy
PC9hY2Nlc3Npb24tbnVtPjx1cmxzPjxyZWxhdGVkLXVybHM+PHVybD4mbHQ7R28gdG8gSVNJJmd0
OzovL01FRExJTkU6Mjk3NTQ1ODI8L3VybD48dXJsPmh0dHBzOi8vcmVzcGlyYXRvcnktcmVzZWFy
Y2guYmlvbWVkY2VudHJhbC5jb20vdHJhY2svcGRmLzEwLjExODYvczEyOTMxLTAxOC0wNzc4LXo8
L3VybD48L3JlbGF0ZWQtdXJscz48L3VybHM+PGVsZWN0cm9uaWMtcmVzb3VyY2UtbnVtPjEwLjEx
ODYvczEyOTMxLTAxOC0wNzc4LXo8L2VsZWN0cm9uaWMtcmVzb3VyY2UtbnVtPjwvcmVjb3JkPjwv
Q2l0ZT48L0VuZE5vdGU+
</w:fldData>
            </w:fldChar>
          </w:r>
          <w:r>
            <w:instrText xml:space="preserve"> ADDIN EN.CITE.DATA </w:instrText>
          </w:r>
          <w:r>
            <w:fldChar w:fldCharType="end"/>
          </w:r>
          <w:r>
            <w:fldChar w:fldCharType="separate"/>
          </w:r>
          <w:r>
            <w:rPr>
              <w:noProof/>
            </w:rPr>
            <w:t>(Boas, Gupta et al. 2017, Moheimani, Bhetraratana et al. 2017, Moheimani, Bhetraratana et al. 2017, Polosa, Cibella et al. 2017, Staudt, Salit et al. 2018)</w:t>
          </w:r>
          <w:r>
            <w:fldChar w:fldCharType="end"/>
          </w:r>
          <w:r>
            <w:t xml:space="preserve">. Two were randomised trials </w:t>
          </w:r>
          <w:r>
            <w:fldChar w:fldCharType="begin">
              <w:fldData xml:space="preserve">PEVuZE5vdGU+PENpdGU+PEF1dGhvcj5Nb2hlaW1hbmk8L0F1dGhvcj48WWVhcj4yMDE3PC9ZZWFy
PjxSZWNOdW0+MTE0MzE8L1JlY051bT48RGlzcGxheVRleHQ+KE1vaGVpbWFuaSwgQmhldHJhcmF0
YW5hIGV0IGFsLiAyMDE3LCBTdGF1ZHQsIFNhbGl0IGV0IGFsLiAyMDE4KTwvRGlzcGxheVRleHQ+
PHJlY29yZD48cmVjLW51bWJlcj4xMTQzMTwvcmVjLW51bWJlcj48Zm9yZWlnbi1rZXlzPjxrZXkg
YXBwPSJFTiIgZGItaWQ9IjV4djV3NXQyYmR4dHhmZXp4MDJ4dHhkZnQ1cno1cHR2dnQyOSIgdGlt
ZXN0YW1wPSIxNTIzODYxNzU0Ij4xMTQzMTwva2V5PjxrZXkgYXBwPSJFTldlYiIgZGItaWQ9IiI+
MDwva2V5PjwvZm9yZWlnbi1rZXlzPjxyZWYtdHlwZSBuYW1lPSJKb3VybmFsIEFydGljbGUiPjE3
PC9yZWYtdHlwZT48Y29udHJpYnV0b3JzPjxhdXRob3JzPjxhdXRob3I+TW9oZWltYW5pLCBSLiBT
LjwvYXV0aG9yPjxhdXRob3I+QmhldHJhcmF0YW5hLCBNLjwvYXV0aG9yPjxhdXRob3I+UGV0ZXJz
LCBLLiBNLjwvYXV0aG9yPjxhdXRob3I+WWFuZywgQi4gSy48L2F1dGhvcj48YXV0aG9yPllpbiwg
Ri48L2F1dGhvcj48YXV0aG9yPkdvcm5iZWluLCBKLjwvYXV0aG9yPjxhdXRob3I+QXJhdWpvLCBK
LiBBLjwvYXV0aG9yPjxhdXRob3I+TWlkZGxla2F1ZmYsIEguIFIuPC9hdXRob3I+PC9hdXRob3Jz
PjwvY29udHJpYnV0b3JzPjxhdXRoLWFkZHJlc3M+RGF2aWQgR2VmZmVuIFNjaG9vbCBvZiBNZWRp
Y2luZSBhdCBVQ0xBLCBMb3MgQW5nZWxlcywgQ0EuJiN4RDtEaXZpc2lvbiBvZiBDYXJkaW9sb2d5
IERlcGFydG1lbnQgb2YgTWVkaWNpbmUsIERhdmlkIEdlZmZlbiBTY2hvb2wgb2YgTWVkaWNpbmUg
YXQgVUNMQSwgTG9zIEFuZ2VsZXMsIENBLiYjeEQ7RGVwYXJ0bWVudCBvZiBCaW9tYXRoZW1hdGlj
cywgRGF2aWQgR2VmZmVuIFNjaG9vbCBvZiBNZWRpY2luZSBhdCBVQ0xBLCBMb3MgQW5nZWxlcywg
Q0EuJiN4RDtEZXBhcnRtZW50IG9mIEVudmlyb25tZW50YWwgSGVhbHRoIFNjaWVuY2VzLCBTY2hv
b2wgb2YgUHVibGljIEhlYWx0aCwgTG9zIEFuZ2VsZXMsIENBLiYjeEQ7RGl2aXNpb24gb2YgQ2Fy
ZGlvbG9neSBEZXBhcnRtZW50IG9mIE1lZGljaW5lLCBEYXZpZCBHZWZmZW4gU2Nob29sIG9mIE1l
ZGljaW5lIGF0IFVDTEEsIExvcyBBbmdlbGVzLCBDQSBobWlkZGxla2F1ZmZAbWVkbmV0LnVjbGEu
ZWR1LjwvYXV0aC1hZGRyZXNzPjx0aXRsZXM+PHRpdGxlPlN5bXBhdGhvbWltZXRpYyBFZmZlY3Rz
IG9mIEFjdXRlIEUtQ2lnYXJldHRlIFVzZTogUm9sZSBvZiBOaWNvdGluZSBhbmQgTm9uLU5pY290
aW5lIENvbnN0aXR1ZW50czwvdGl0bGU+PHNlY29uZGFyeS10aXRsZT5KIEFtIEhlYXJ0IEFzc29j
PC9zZWNvbmRhcnktdGl0bGU+PGFsdC10aXRsZT5Kb3VybmFsIG9mIHRoZSBBbWVyaWNhbiBIZWFy
dCBBc3NvY2lhdGlvbjwvYWx0LXRpdGxlPjwvdGl0bGVzPjxwZXJpb2RpY2FsPjxmdWxsLXRpdGxl
PkogQW0gSGVhcnQgQXNzb2M8L2Z1bGwtdGl0bGU+PGFiYnItMT5Kb3VybmFsIG9mIHRoZSBBbWVy
aWNhbiBIZWFydCBBc3NvY2lhdGlvbjwvYWJici0xPjwvcGVyaW9kaWNhbD48YWx0LXBlcmlvZGlj
YWw+PGZ1bGwtdGl0bGU+SiBBbSBIZWFydCBBc3NvYzwvZnVsbC10aXRsZT48YWJici0xPkpvdXJu
YWwgb2YgdGhlIEFtZXJpY2FuIEhlYXJ0IEFzc29jaWF0aW9uPC9hYmJyLTE+PC9hbHQtcGVyaW9k
aWNhbD48dm9sdW1lPjY8L3ZvbHVtZT48bnVtYmVyPjk8L251bWJlcj48ZWRpdGlvbj4yMDE3LzA5
LzIyPC9lZGl0aW9uPjxrZXl3b3Jkcz48a2V5d29yZD5lbGVjdHJvbmljIGNpZ2FyZXR0ZXM8L2tl
eXdvcmQ+PGtleXdvcmQ+aGVhcnQgcmF0ZSB2YXJpYWJpbGl0eTwva2V5d29yZD48a2V5d29yZD5u
aWNvdGluZTwva2V5d29yZD48a2V5d29yZD5veGlkYW50IHN0cmVzczwva2V5d29yZD48a2V5d29y
ZD5zeW1wYXRoZXRpYyBuZXJ2b3VzIHN5c3RlbTwva2V5d29yZD48a2V5d29yZD50b2JhY2NvPC9r
ZXl3b3JkPjwva2V5d29yZHM+PGRhdGVzPjx5ZWFyPjIwMTc8L3llYXI+PHB1Yi1kYXRlcz48ZGF0
ZT5TZXAgMjA8L2RhdGU+PC9wdWItZGF0ZXM+PC9kYXRlcz48aXNibj4yMDQ3LTk5ODA8L2lzYm4+
PGFjY2Vzc2lvbi1udW0+Mjg5MzE1Mjc8L2FjY2Vzc2lvbi1udW0+PHVybHM+PC91cmxzPjxjdXN0
b20yPlBNQzU2MzQyOTk8L2N1c3RvbTI+PGVsZWN0cm9uaWMtcmVzb3VyY2UtbnVtPjEwLjExNjEv
amFoYS4xMTcuMDA2NTc5PC9lbGVjdHJvbmljLXJlc291cmNlLW51bT48cmVtb3RlLWRhdGFiYXNl
LXByb3ZpZGVyPk5MTTwvcmVtb3RlLWRhdGFiYXNlLXByb3ZpZGVyPjxsYW5ndWFnZT5lbmc8L2xh
bmd1YWdlPjwvcmVjb3JkPjwvQ2l0ZT48Q2l0ZT48QXV0aG9yPlN0YXVkdDwvQXV0aG9yPjxZZWFy
PjIwMTg8L1llYXI+PFJlY051bT4xMDM1NzwvUmVjTnVtPjxyZWNvcmQ+PHJlYy1udW1iZXI+MTAz
NTc8L3JlYy1udW1iZXI+PGZvcmVpZ24ta2V5cz48a2V5IGFwcD0iRU4iIGRiLWlkPSI5ejA1ZHow
cHJhYWRmdWVlMHpveHplZGs5emZlNWZ4eDUwejUiIHRpbWVzdGFtcD0iMTUyNjg2OTg3OCI+MTAz
NTc8L2tleT48a2V5IGFwcD0iRU5XZWIiIGRiLWlkPSIiPjA8L2tleT48L2ZvcmVpZ24ta2V5cz48
cmVmLXR5cGUgbmFtZT0iSm91cm5hbCBBcnRpY2xlIj4xNzwvcmVmLXR5cGU+PGNvbnRyaWJ1dG9y
cz48YXV0aG9ycz48YXV0aG9yPlN0YXVkdCwgTWljaGVsbGUgUi48L2F1dGhvcj48YXV0aG9yPlNh
bGl0LCBKYWNxdWVsaW5lPC9hdXRob3I+PGF1dGhvcj5LYW5lciwgUm9iZXJ0IEouPC9hdXRob3I+
PGF1dGhvcj5Ib2xsbWFubiwgQ2hhcmxlZW48L2F1dGhvcj48YXV0aG9yPkNyeXN0YWwsIFJvbmFs
ZCBHLjwvYXV0aG9yPjwvYXV0aG9ycz48L2NvbnRyaWJ1dG9ycz48dGl0bGVzPjx0aXRsZT5BbHRl
cmVkIGx1bmcgYmlvbG9neSBvZiBoZWFsdGh5IG5ldmVyIHNtb2tlcnMgZm9sbG93aW5nIGFjdXRl
IGluaGFsYXRpb24gb2YgRS1jaWdhcmV0dGVzPC90aXRsZT48c2Vjb25kYXJ5LXRpdGxlPlJlc3Bp
cmF0b3J5IHJlc2VhcmNoPC9zZWNvbmRhcnktdGl0bGU+PC90aXRsZXM+PHBlcmlvZGljYWw+PGZ1
bGwtdGl0bGU+UmVzcGlyYXRvcnkgUmVzZWFyY2g8L2Z1bGwtdGl0bGU+PC9wZXJpb2RpY2FsPjxw
YWdlcz43OC03ODwvcGFnZXM+PHZvbHVtZT4xOTwvdm9sdW1lPjxudW1iZXI+MTwvbnVtYmVyPjxk
YXRlcz48eWVhcj4yMDE4PC95ZWFyPjxwdWItZGF0ZXM+PGRhdGU+MjAxOCBNYXk8L2RhdGU+PC9w
dWItZGF0ZXM+PC9kYXRlcz48YWNjZXNzaW9uLW51bT5NRURMSU5FOjI5NzU0NTgyPC9hY2Nlc3Np
b24tbnVtPjx1cmxzPjxyZWxhdGVkLXVybHM+PHVybD4mbHQ7R28gdG8gSVNJJmd0OzovL01FRExJ
TkU6Mjk3NTQ1ODI8L3VybD48dXJsPmh0dHBzOi8vcmVzcGlyYXRvcnktcmVzZWFyY2guYmlvbWVk
Y2VudHJhbC5jb20vdHJhY2svcGRmLzEwLjExODYvczEyOTMxLTAxOC0wNzc4LXo8L3VybD48L3Jl
bGF0ZWQtdXJscz48L3VybHM+PGVsZWN0cm9uaWMtcmVzb3VyY2UtbnVtPjEwLjExODYvczEyOTMx
LTAxOC0wNzc4LXo8L2VsZWN0cm9uaWMtcmVzb3VyY2UtbnVtPjwvcmVjb3JkPjwvQ2l0ZT48L0Vu
ZE5vdGU+AG==
</w:fldData>
            </w:fldChar>
          </w:r>
          <w:r>
            <w:instrText xml:space="preserve"> ADDIN EN.CITE </w:instrText>
          </w:r>
          <w:r>
            <w:fldChar w:fldCharType="begin">
              <w:fldData xml:space="preserve">PEVuZE5vdGU+PENpdGU+PEF1dGhvcj5Nb2hlaW1hbmk8L0F1dGhvcj48WWVhcj4yMDE3PC9ZZWFy
PjxSZWNOdW0+MTE0MzE8L1JlY051bT48RGlzcGxheVRleHQ+KE1vaGVpbWFuaSwgQmhldHJhcmF0
YW5hIGV0IGFsLiAyMDE3LCBTdGF1ZHQsIFNhbGl0IGV0IGFsLiAyMDE4KTwvRGlzcGxheVRleHQ+
PHJlY29yZD48cmVjLW51bWJlcj4xMTQzMTwvcmVjLW51bWJlcj48Zm9yZWlnbi1rZXlzPjxrZXkg
YXBwPSJFTiIgZGItaWQ9IjV4djV3NXQyYmR4dHhmZXp4MDJ4dHhkZnQ1cno1cHR2dnQyOSIgdGlt
ZXN0YW1wPSIxNTIzODYxNzU0Ij4xMTQzMTwva2V5PjxrZXkgYXBwPSJFTldlYiIgZGItaWQ9IiI+
MDwva2V5PjwvZm9yZWlnbi1rZXlzPjxyZWYtdHlwZSBuYW1lPSJKb3VybmFsIEFydGljbGUiPjE3
PC9yZWYtdHlwZT48Y29udHJpYnV0b3JzPjxhdXRob3JzPjxhdXRob3I+TW9oZWltYW5pLCBSLiBT
LjwvYXV0aG9yPjxhdXRob3I+QmhldHJhcmF0YW5hLCBNLjwvYXV0aG9yPjxhdXRob3I+UGV0ZXJz
LCBLLiBNLjwvYXV0aG9yPjxhdXRob3I+WWFuZywgQi4gSy48L2F1dGhvcj48YXV0aG9yPllpbiwg
Ri48L2F1dGhvcj48YXV0aG9yPkdvcm5iZWluLCBKLjwvYXV0aG9yPjxhdXRob3I+QXJhdWpvLCBK
LiBBLjwvYXV0aG9yPjxhdXRob3I+TWlkZGxla2F1ZmYsIEguIFIuPC9hdXRob3I+PC9hdXRob3Jz
PjwvY29udHJpYnV0b3JzPjxhdXRoLWFkZHJlc3M+RGF2aWQgR2VmZmVuIFNjaG9vbCBvZiBNZWRp
Y2luZSBhdCBVQ0xBLCBMb3MgQW5nZWxlcywgQ0EuJiN4RDtEaXZpc2lvbiBvZiBDYXJkaW9sb2d5
IERlcGFydG1lbnQgb2YgTWVkaWNpbmUsIERhdmlkIEdlZmZlbiBTY2hvb2wgb2YgTWVkaWNpbmUg
YXQgVUNMQSwgTG9zIEFuZ2VsZXMsIENBLiYjeEQ7RGVwYXJ0bWVudCBvZiBCaW9tYXRoZW1hdGlj
cywgRGF2aWQgR2VmZmVuIFNjaG9vbCBvZiBNZWRpY2luZSBhdCBVQ0xBLCBMb3MgQW5nZWxlcywg
Q0EuJiN4RDtEZXBhcnRtZW50IG9mIEVudmlyb25tZW50YWwgSGVhbHRoIFNjaWVuY2VzLCBTY2hv
b2wgb2YgUHVibGljIEhlYWx0aCwgTG9zIEFuZ2VsZXMsIENBLiYjeEQ7RGl2aXNpb24gb2YgQ2Fy
ZGlvbG9neSBEZXBhcnRtZW50IG9mIE1lZGljaW5lLCBEYXZpZCBHZWZmZW4gU2Nob29sIG9mIE1l
ZGljaW5lIGF0IFVDTEEsIExvcyBBbmdlbGVzLCBDQSBobWlkZGxla2F1ZmZAbWVkbmV0LnVjbGEu
ZWR1LjwvYXV0aC1hZGRyZXNzPjx0aXRsZXM+PHRpdGxlPlN5bXBhdGhvbWltZXRpYyBFZmZlY3Rz
IG9mIEFjdXRlIEUtQ2lnYXJldHRlIFVzZTogUm9sZSBvZiBOaWNvdGluZSBhbmQgTm9uLU5pY290
aW5lIENvbnN0aXR1ZW50czwvdGl0bGU+PHNlY29uZGFyeS10aXRsZT5KIEFtIEhlYXJ0IEFzc29j
PC9zZWNvbmRhcnktdGl0bGU+PGFsdC10aXRsZT5Kb3VybmFsIG9mIHRoZSBBbWVyaWNhbiBIZWFy
dCBBc3NvY2lhdGlvbjwvYWx0LXRpdGxlPjwvdGl0bGVzPjxwZXJpb2RpY2FsPjxmdWxsLXRpdGxl
PkogQW0gSGVhcnQgQXNzb2M8L2Z1bGwtdGl0bGU+PGFiYnItMT5Kb3VybmFsIG9mIHRoZSBBbWVy
aWNhbiBIZWFydCBBc3NvY2lhdGlvbjwvYWJici0xPjwvcGVyaW9kaWNhbD48YWx0LXBlcmlvZGlj
YWw+PGZ1bGwtdGl0bGU+SiBBbSBIZWFydCBBc3NvYzwvZnVsbC10aXRsZT48YWJici0xPkpvdXJu
YWwgb2YgdGhlIEFtZXJpY2FuIEhlYXJ0IEFzc29jaWF0aW9uPC9hYmJyLTE+PC9hbHQtcGVyaW9k
aWNhbD48dm9sdW1lPjY8L3ZvbHVtZT48bnVtYmVyPjk8L251bWJlcj48ZWRpdGlvbj4yMDE3LzA5
LzIyPC9lZGl0aW9uPjxrZXl3b3Jkcz48a2V5d29yZD5lbGVjdHJvbmljIGNpZ2FyZXR0ZXM8L2tl
eXdvcmQ+PGtleXdvcmQ+aGVhcnQgcmF0ZSB2YXJpYWJpbGl0eTwva2V5d29yZD48a2V5d29yZD5u
aWNvdGluZTwva2V5d29yZD48a2V5d29yZD5veGlkYW50IHN0cmVzczwva2V5d29yZD48a2V5d29y
ZD5zeW1wYXRoZXRpYyBuZXJ2b3VzIHN5c3RlbTwva2V5d29yZD48a2V5d29yZD50b2JhY2NvPC9r
ZXl3b3JkPjwva2V5d29yZHM+PGRhdGVzPjx5ZWFyPjIwMTc8L3llYXI+PHB1Yi1kYXRlcz48ZGF0
ZT5TZXAgMjA8L2RhdGU+PC9wdWItZGF0ZXM+PC9kYXRlcz48aXNibj4yMDQ3LTk5ODA8L2lzYm4+
PGFjY2Vzc2lvbi1udW0+Mjg5MzE1Mjc8L2FjY2Vzc2lvbi1udW0+PHVybHM+PC91cmxzPjxjdXN0
b20yPlBNQzU2MzQyOTk8L2N1c3RvbTI+PGVsZWN0cm9uaWMtcmVzb3VyY2UtbnVtPjEwLjExNjEv
amFoYS4xMTcuMDA2NTc5PC9lbGVjdHJvbmljLXJlc291cmNlLW51bT48cmVtb3RlLWRhdGFiYXNl
LXByb3ZpZGVyPk5MTTwvcmVtb3RlLWRhdGFiYXNlLXByb3ZpZGVyPjxsYW5ndWFnZT5lbmc8L2xh
bmd1YWdlPjwvcmVjb3JkPjwvQ2l0ZT48Q2l0ZT48QXV0aG9yPlN0YXVkdDwvQXV0aG9yPjxZZWFy
PjIwMTg8L1llYXI+PFJlY051bT4xMDM1NzwvUmVjTnVtPjxyZWNvcmQ+PHJlYy1udW1iZXI+MTAz
NTc8L3JlYy1udW1iZXI+PGZvcmVpZ24ta2V5cz48a2V5IGFwcD0iRU4iIGRiLWlkPSI5ejA1ZHow
cHJhYWRmdWVlMHpveHplZGs5emZlNWZ4eDUwejUiIHRpbWVzdGFtcD0iMTUyNjg2OTg3OCI+MTAz
NTc8L2tleT48a2V5IGFwcD0iRU5XZWIiIGRiLWlkPSIiPjA8L2tleT48L2ZvcmVpZ24ta2V5cz48
cmVmLXR5cGUgbmFtZT0iSm91cm5hbCBBcnRpY2xlIj4xNzwvcmVmLXR5cGU+PGNvbnRyaWJ1dG9y
cz48YXV0aG9ycz48YXV0aG9yPlN0YXVkdCwgTWljaGVsbGUgUi48L2F1dGhvcj48YXV0aG9yPlNh
bGl0LCBKYWNxdWVsaW5lPC9hdXRob3I+PGF1dGhvcj5LYW5lciwgUm9iZXJ0IEouPC9hdXRob3I+
PGF1dGhvcj5Ib2xsbWFubiwgQ2hhcmxlZW48L2F1dGhvcj48YXV0aG9yPkNyeXN0YWwsIFJvbmFs
ZCBHLjwvYXV0aG9yPjwvYXV0aG9ycz48L2NvbnRyaWJ1dG9ycz48dGl0bGVzPjx0aXRsZT5BbHRl
cmVkIGx1bmcgYmlvbG9neSBvZiBoZWFsdGh5IG5ldmVyIHNtb2tlcnMgZm9sbG93aW5nIGFjdXRl
IGluaGFsYXRpb24gb2YgRS1jaWdhcmV0dGVzPC90aXRsZT48c2Vjb25kYXJ5LXRpdGxlPlJlc3Bp
cmF0b3J5IHJlc2VhcmNoPC9zZWNvbmRhcnktdGl0bGU+PC90aXRsZXM+PHBlcmlvZGljYWw+PGZ1
bGwtdGl0bGU+UmVzcGlyYXRvcnkgUmVzZWFyY2g8L2Z1bGwtdGl0bGU+PC9wZXJpb2RpY2FsPjxw
YWdlcz43OC03ODwvcGFnZXM+PHZvbHVtZT4xOTwvdm9sdW1lPjxudW1iZXI+MTwvbnVtYmVyPjxk
YXRlcz48eWVhcj4yMDE4PC95ZWFyPjxwdWItZGF0ZXM+PGRhdGU+MjAxOCBNYXk8L2RhdGU+PC9w
dWItZGF0ZXM+PC9kYXRlcz48YWNjZXNzaW9uLW51bT5NRURMSU5FOjI5NzU0NTgyPC9hY2Nlc3Np
b24tbnVtPjx1cmxzPjxyZWxhdGVkLXVybHM+PHVybD4mbHQ7R28gdG8gSVNJJmd0OzovL01FRExJ
TkU6Mjk3NTQ1ODI8L3VybD48dXJsPmh0dHBzOi8vcmVzcGlyYXRvcnktcmVzZWFyY2guYmlvbWVk
Y2VudHJhbC5jb20vdHJhY2svcGRmLzEwLjExODYvczEyOTMxLTAxOC0wNzc4LXo8L3VybD48L3Jl
bGF0ZWQtdXJscz48L3VybHM+PGVsZWN0cm9uaWMtcmVzb3VyY2UtbnVtPjEwLjExODYvczEyOTMx
LTAxOC0wNzc4LXo8L2VsZWN0cm9uaWMtcmVzb3VyY2UtbnVtPjwvcmVjb3JkPjwvQ2l0ZT48L0Vu
ZE5vdGU+AG==
</w:fldData>
            </w:fldChar>
          </w:r>
          <w:r>
            <w:instrText xml:space="preserve"> ADDIN EN.CITE.DATA </w:instrText>
          </w:r>
          <w:r>
            <w:fldChar w:fldCharType="end"/>
          </w:r>
          <w:r>
            <w:fldChar w:fldCharType="separate"/>
          </w:r>
          <w:r>
            <w:rPr>
              <w:noProof/>
            </w:rPr>
            <w:t>(Moheimani, Bhetraratana et al. 2017, Staudt, Salit et al. 2018)</w:t>
          </w:r>
          <w:r>
            <w:fldChar w:fldCharType="end"/>
          </w:r>
          <w:r>
            <w:t xml:space="preserve">, one was a prospective cohort study </w:t>
          </w:r>
          <w:r>
            <w:fldChar w:fldCharType="begin"/>
          </w:r>
          <w:r>
            <w:instrText xml:space="preserve"> ADDIN EN.CITE &lt;EndNote&gt;&lt;Cite&gt;&lt;Author&gt;Polosa&lt;/Author&gt;&lt;Year&gt;2017&lt;/Year&gt;&lt;RecNum&gt;1868&lt;/RecNum&gt;&lt;DisplayText&gt;(Polosa, Cibella et al. 2017)&lt;/DisplayText&gt;&lt;record&gt;&lt;rec-number&gt;1868&lt;/rec-number&gt;&lt;foreign-keys&gt;&lt;key app="EN" db-id="9vs9pzfznapxphefa28xzw95sf5av0sv9rdz" timestamp="1521159484"&gt;1868&lt;/key&gt;&lt;/foreign-keys&gt;&lt;ref-type name="Journal Article"&gt;17&lt;/ref-type&gt;&lt;contributors&gt;&lt;authors&gt;&lt;author&gt;Polosa, Riccardo&lt;/author&gt;&lt;author&gt;Cibella, Fabio&lt;/author&gt;&lt;author&gt;Caponnetto, Pasquale&lt;/author&gt;&lt;author&gt;Maglia, Marilena&lt;/author&gt;&lt;author&gt;Tashkin, Donald&lt;/author&gt;&lt;/authors&gt;&lt;/contributors&gt;&lt;titles&gt;&lt;title&gt;Health impact of e-cigarettes: a prospective 3.5-year study of regular users who have never smoked&lt;/title&gt;&lt;secondary-title&gt;Respirology&lt;/secondary-title&gt;&lt;/titles&gt;&lt;periodical&gt;&lt;full-title&gt;Respirology&lt;/full-title&gt;&lt;abbr-1&gt;Respirology (Carlton, Vic.)&lt;/abbr-1&gt;&lt;/periodical&gt;&lt;pages&gt;22-23&lt;/pages&gt;&lt;volume&gt;22&lt;/volume&gt;&lt;dates&gt;&lt;year&gt;2017&lt;/year&gt;&lt;pub-dates&gt;&lt;date&gt;Nov&lt;/date&gt;&lt;/pub-dates&gt;&lt;/dates&gt;&lt;isbn&gt;1323-7799&lt;/isbn&gt;&lt;accession-num&gt;WOS:000415925700046&lt;/accession-num&gt;&lt;urls&gt;&lt;related-urls&gt;&lt;url&gt;&amp;lt;Go to ISI&amp;gt;://WOS:000415925700046&lt;/url&gt;&lt;/related-urls&gt;&lt;/urls&gt;&lt;/record&gt;&lt;/Cite&gt;&lt;/EndNote&gt;</w:instrText>
          </w:r>
          <w:r>
            <w:fldChar w:fldCharType="separate"/>
          </w:r>
          <w:r>
            <w:rPr>
              <w:noProof/>
            </w:rPr>
            <w:t>(Polosa, Cibella et al. 2017)</w:t>
          </w:r>
          <w:r>
            <w:fldChar w:fldCharType="end"/>
          </w:r>
          <w:r>
            <w:t xml:space="preserve">, and two were cross-sectional studies </w:t>
          </w:r>
          <w:r>
            <w:fldChar w:fldCharType="begin">
              <w:fldData xml:space="preserve">PEVuZE5vdGU+PENpdGU+PEF1dGhvcj5Cb2FzPC9BdXRob3I+PFllYXI+MjAxNzwvWWVhcj48UmVj
TnVtPjExNDE4PC9SZWNOdW0+PERpc3BsYXlUZXh0PihCb2FzLCBHdXB0YSBldCBhbC4gMjAxNywg
TW9oZWltYW5pLCBCaGV0cmFyYXRhbmEgZXQgYWwuIDIwMTcpPC9EaXNwbGF5VGV4dD48cmVjb3Jk
PjxyZWMtbnVtYmVyPjExNDE4PC9yZWMtbnVtYmVyPjxmb3JlaWduLWtleXM+PGtleSBhcHA9IkVO
IiBkYi1pZD0iNXh2NXc1dDJiZHh0eGZlengwMnh0eGRmdDVyejVwdHZ2dDI5IiB0aW1lc3RhbXA9
IjE1MjM4NjE2MDciPjExNDE4PC9rZXk+PGtleSBhcHA9IkVOV2ViIiBkYi1pZD0iIj4wPC9rZXk+
PC9mb3JlaWduLWtleXM+PHJlZi10eXBlIG5hbWU9IkpvdXJuYWwgQXJ0aWNsZSI+MTc8L3JlZi10
eXBlPjxjb250cmlidXRvcnM+PGF1dGhvcnM+PGF1dGhvcj5Cb2FzLCBaLjwvYXV0aG9yPjxhdXRo
b3I+R3VwdGEsIFAuPC9hdXRob3I+PGF1dGhvcj5Nb2hlaW1hbmksIFIuIFMuPC9hdXRob3I+PGF1
dGhvcj5CaGV0cmFyYXRhbmEsIE0uPC9hdXRob3I+PGF1dGhvcj5ZaW4sIEYuPC9hdXRob3I+PGF1
dGhvcj5QZXRlcnMsIEsuIE0uPC9hdXRob3I+PGF1dGhvcj5Hb3JuYmVpbiwgSi48L2F1dGhvcj48
YXV0aG9yPkFyYXVqbywgSi4gQS48L2F1dGhvcj48YXV0aG9yPkN6ZXJuaW4sIEouPC9hdXRob3I+
PGF1dGhvcj5NaWRkbGVrYXVmZiwgSC4gUi48L2F1dGhvcj48L2F1dGhvcnM+PC9jb250cmlidXRv
cnM+PGF1dGgtYWRkcmVzcz5EaXZpc2lvbiBvZiBDYXJkaW9sb2d5LCBEZXBhcnRtZW50IG9mIE1l
ZGljaW5lLCBEYXZpZCBHZWZmZW4gU2Nob29sIG9mIE1lZGljaW5lIGF0IFVDTEEsIExvcyBBbmdl
bGVzLCBDYWxpZm9ybmlhLiYjeEQ7RGVwYXJ0bWVudCBvZiBNb2xlY3VsYXIgYW5kIE1lZGljYWwg
UGhhcm1hY29sb2d5LCBBaG1hbnNvbiBUcmFuc2xhdGlvbmFsIEltYWdpbmcgRGl2aXNpb24sIERh
dmlkIEdlZmZlbiBTY2hvb2wgb2YgTWVkaWNpbmUgYXQgVUNMQSwgTG9zIEFuZ2VsZXMsIENhbGlm
b3JuaWEuJiN4RDtEYXZpZCBHZWZmZW4gU2Nob29sIG9mIE1lZGljaW5lIGF0IFVDTEEsIExvcyBB
bmdlbGVzLCBDYWxpZm9ybmlhLiYjeEQ7RGVwYXJ0bWVudCBvZiBFbnZpcm9ubWVudGFsIEhlYWx0
aCBTY2llbmNlcywgU2Nob29sIG9mIFB1YmxpYyBIZWFsdGgsIExvcyBBbmdlbGVzLCBDYWxpZm9y
bmlhLiYjeEQ7RGVwYXJ0bWVudCBvZiBCaW9tYXRoZW1hdGljcywgRGF2aWQgR2VmZmVuIFNjaG9v
bCBvZiBNZWRpY2luZSBhdCBVQ0xBLCBMb3MgQW5nZWxlcywgQ2FsaWZvcm5pYS4mI3hEO0Rpdmlz
aW9uIG9mIENhcmRpb2xvZ3ksIERlcGFydG1lbnQgb2YgTWVkaWNpbmUsIERhdmlkIEdlZmZlbiBT
Y2hvb2wgb2YgTWVkaWNpbmUgYXQgVUNMQSwgTG9zIEFuZ2VsZXMsIENhbGlmb3JuaWEgaG1pZGRs
ZWthdWZmQG1lZG5ldC51Y2xhLmVkdS48L2F1dGgtYWRkcmVzcz48dGl0bGVzPjx0aXRsZT5BY3Rp
dmF0aW9uIG9mIHRoZSAmcXVvdDtTcGxlbm9jYXJkaWFjIEF4aXMmcXVvdDsgYnkgZWxlY3Ryb25p
YyBhbmQgdG9iYWNjbyBjaWdhcmV0dGVzIGluIG90aGVyd2lzZSBoZWFsdGh5IHlvdW5nIGFkdWx0
czwvdGl0bGU+PHNlY29uZGFyeS10aXRsZT5QaHlzaW9sIFJlcDwvc2Vjb25kYXJ5LXRpdGxlPjxh
bHQtdGl0bGU+UGh5c2lvbG9naWNhbCByZXBvcnRzPC9hbHQtdGl0bGU+PC90aXRsZXM+PHBlcmlv
ZGljYWw+PGZ1bGwtdGl0bGU+UGh5c2lvbCBSZXA8L2Z1bGwtdGl0bGU+PGFiYnItMT5QaHlzaW9s
b2dpY2FsIHJlcG9ydHM8L2FiYnItMT48L3BlcmlvZGljYWw+PGFsdC1wZXJpb2RpY2FsPjxmdWxs
LXRpdGxlPlBoeXNpb2wgUmVwPC9mdWxsLXRpdGxlPjxhYmJyLTE+UGh5c2lvbG9naWNhbCByZXBv
cnRzPC9hYmJyLTE+PC9hbHQtcGVyaW9kaWNhbD48dm9sdW1lPjU8L3ZvbHVtZT48bnVtYmVyPjE3
PC9udW1iZXI+PGVkaXRpb24+MjAxNy8wOS8xNDwvZWRpdGlvbj48a2V5d29yZHM+PGtleXdvcmQ+
QXJ0ZXJpYWwgaW5mbGFtbWF0aW9uPC9rZXl3b3JkPjxrZXl3b3JkPkZkZy1wZXQvY3Q8L2tleXdv
cmQ+PGtleXdvcmQ+ZWxlY3Ryb25pYyBjaWdhcmV0dGVzPC9rZXl3b3JkPjxrZXl3b3JkPmhlbWF0
b3BvaWV0aWMgYWN0aXZhdGlvbjwva2V5d29yZD48a2V5d29yZD50b2JhY2NvIGNpZ2FyZXR0ZXM8
L2tleXdvcmQ+PC9rZXl3b3Jkcz48ZGF0ZXM+PHllYXI+MjAxNzwveWVhcj48cHViLWRhdGVzPjxk
YXRlPlNlcDwvZGF0ZT48L3B1Yi1kYXRlcz48L2RhdGVzPjxpc2JuPjIwNTEtODE3eDwvaXNibj48
YWNjZXNzaW9uLW51bT4yODg5OTkwODwvYWNjZXNzaW9uLW51bT48dXJscz48L3VybHM+PGN1c3Rv
bTI+UE1DNTU5OTg1ODwvY3VzdG9tMj48ZWxlY3Ryb25pYy1yZXNvdXJjZS1udW0+MTAuMTQ4MTQv
cGh5Mi4xMzM5MzwvZWxlY3Ryb25pYy1yZXNvdXJjZS1udW0+PHJlbW90ZS1kYXRhYmFzZS1wcm92
aWRlcj5OTE08L3JlbW90ZS1kYXRhYmFzZS1wcm92aWRlcj48bGFuZ3VhZ2U+ZW5nPC9sYW5ndWFn
ZT48L3JlY29yZD48L0NpdGU+PENpdGU+PEF1dGhvcj5Nb2hlaW1hbmk8L0F1dGhvcj48WWVhcj4y
MDE3PC9ZZWFyPjxSZWNOdW0+MTM1MTwvUmVjTnVtPjxyZWNvcmQ+PHJlYy1udW1iZXI+MTM1MTwv
cmVjLW51bWJlcj48Zm9yZWlnbi1rZXlzPjxrZXkgYXBwPSJFTiIgZGItaWQ9IjkwdHAydnAyNXd0
ZTI2ZXo1MnN4dHRyd3Z6d2ZmdzVydnphZiIgdGltZXN0YW1wPSIxNTIxMDc4NDA2Ij4xMzUxPC9r
ZXk+PGtleSBhcHA9IkVOV2ViIiBkYi1pZD0iIj4wPC9rZXk+PC9mb3JlaWduLWtleXM+PHJlZi10
eXBlIG5hbWU9IkpvdXJuYWwgQXJ0aWNsZSI+MTc8L3JlZi10eXBlPjxjb250cmlidXRvcnM+PGF1
dGhvcnM+PGF1dGhvcj5Nb2hlaW1hbmksIFIuIFMuPC9hdXRob3I+PGF1dGhvcj5CaGV0cmFyYXRh
bmEsIE0uPC9hdXRob3I+PGF1dGhvcj5ZaW4sIEYuPC9hdXRob3I+PGF1dGhvcj5QZXRlcnMsIEsu
IE0uPC9hdXRob3I+PGF1dGhvcj5Hb3JuYmVpbiwgSi48L2F1dGhvcj48YXV0aG9yPkFyYXVqbywg
Si4gQS48L2F1dGhvcj48YXV0aG9yPk1pZGRsZWthdWZmLCBILiBSLjwvYXV0aG9yPjwvYXV0aG9y
cz48L2NvbnRyaWJ1dG9ycz48YXV0aC1hZGRyZXNzPkRhdmlkIEdlZmZlbiBTY2hvb2wgb2YgTWVk
aWNpbmUsIFVuaXZlcnNpdHkgb2YgQ2FsaWZvcm5pYSwgTG9zIEFuZ2VsZXMuJiN4RDtEaXZpc2lv
biBvZiBDYXJkaW9sb2d5LCBEZXBhcnRtZW50IG9mIE1lZGljaW5lLCBEYXZpZCBHZWZmZW4gU2No
b29sIG9mIE1lZGljaW5lLCBVbml2ZXJzaXR5IG9mIENhbGlmb3JuaWEsIExvcyBBbmdlbGVzLiYj
eEQ7RGVwYXJ0bWVudCBvZiBCaW9tYXRoZW1hdGljcywgRGF2aWQgR2VmZmVuIFNjaG9vbCBvZiBN
ZWRpY2luZSwgVW5pdmVyc2l0eSBvZiBDYWxpZm9ybmlhLCBMb3MgQW5nZWxlcy4mI3hEO0Rpdmlz
aW9uIG9mIENhcmRpb2xvZ3ksIERlcGFydG1lbnQgb2YgTWVkaWNpbmUsIERhdmlkIEdlZmZlbiBT
Y2hvb2wgb2YgTWVkaWNpbmUsIFVuaXZlcnNpdHkgb2YgQ2FsaWZvcm5pYSwgTG9zIEFuZ2VsZXM0
RGVwYXJ0bWVudCBvZiBFbnZpcm9ubWVudGFsIEhlYWx0aCBTY2llbmNlcywgU2Nob29sIG9mIFB1
YmxpYyBIZWFsdGgsIFVuaXZlcnNpdHkgb2YgQ2FsaWZvcm5pYSwgTG9zIEFuZ2VsZXMuPC9hdXRo
LWFkZHJlc3M+PHRpdGxlcz48dGl0bGU+SW5jcmVhc2VkIENhcmRpYWMgU3ltcGF0aGV0aWMgQWN0
aXZpdHkgYW5kIE94aWRhdGl2ZSBTdHJlc3MgaW4gSGFiaXR1YWwgRWxlY3Ryb25pYyBDaWdhcmV0
dGUgVXNlcnM6IEltcGxpY2F0aW9ucyBmb3IgQ2FyZGlvdmFzY3VsYXIgUmlzazwvdGl0bGU+PHNl
Y29uZGFyeS10aXRsZT5KQU1BIENhcmRpb2w8L3NlY29uZGFyeS10aXRsZT48YWx0LXRpdGxlPkpB
TUEgY2FyZGlvbG9neTwvYWx0LXRpdGxlPjwvdGl0bGVzPjxwZXJpb2RpY2FsPjxmdWxsLXRpdGxl
PkpBTUEgQ2FyZGlvbDwvZnVsbC10aXRsZT48YWJici0xPkpBTUEgY2FyZGlvbG9neTwvYWJici0x
PjwvcGVyaW9kaWNhbD48YWx0LXBlcmlvZGljYWw+PGZ1bGwtdGl0bGU+SkFNQSBDYXJkaW9sPC9m
dWxsLXRpdGxlPjxhYmJyLTE+SkFNQSBjYXJkaW9sb2d5PC9hYmJyLTE+PC9hbHQtcGVyaW9kaWNh
bD48cGFnZXM+Mjc4LTI4NDwvcGFnZXM+PHZvbHVtZT4yPC92b2x1bWU+PG51bWJlcj4zPC9udW1i
ZXI+PGVkaXRpb24+MjAxNy8wMi8wMjwvZWRpdGlvbj48ZGF0ZXM+PHllYXI+MjAxNzwveWVhcj48
cHViLWRhdGVzPjxkYXRlPk1hciAxPC9kYXRlPjwvcHViLWRhdGVzPjwvZGF0ZXM+PGFjY2Vzc2lv
bi1udW0+MjgxNDYyNTk8L2FjY2Vzc2lvbi1udW0+PHVybHM+PC91cmxzPjxjdXN0b20yPlBNQzU2
MjYwMDg8L2N1c3RvbTI+PGN1c3RvbTY+TklITVM4NjgyMjY8L2N1c3RvbTY+PGVsZWN0cm9uaWMt
cmVzb3VyY2UtbnVtPjEwLjEwMDEvamFtYWNhcmRpby4yMDE2LjUzMDM8L2VsZWN0cm9uaWMtcmVz
b3VyY2UtbnVtPjxyZW1vdGUtZGF0YWJhc2UtcHJvdmlkZXI+TkxNPC9yZW1vdGUtZGF0YWJhc2Ut
cHJvdmlkZXI+PGxhbmd1YWdlPmVuZzwvbGFuZ3VhZ2U+PC9yZWNvcmQ+PC9DaXRlPjwvRW5kTm90
ZT5=
</w:fldData>
            </w:fldChar>
          </w:r>
          <w:r>
            <w:instrText xml:space="preserve"> ADDIN EN.CITE </w:instrText>
          </w:r>
          <w:r>
            <w:fldChar w:fldCharType="begin">
              <w:fldData xml:space="preserve">PEVuZE5vdGU+PENpdGU+PEF1dGhvcj5Cb2FzPC9BdXRob3I+PFllYXI+MjAxNzwvWWVhcj48UmVj
TnVtPjExNDE4PC9SZWNOdW0+PERpc3BsYXlUZXh0PihCb2FzLCBHdXB0YSBldCBhbC4gMjAxNywg
TW9oZWltYW5pLCBCaGV0cmFyYXRhbmEgZXQgYWwuIDIwMTcpPC9EaXNwbGF5VGV4dD48cmVjb3Jk
PjxyZWMtbnVtYmVyPjExNDE4PC9yZWMtbnVtYmVyPjxmb3JlaWduLWtleXM+PGtleSBhcHA9IkVO
IiBkYi1pZD0iNXh2NXc1dDJiZHh0eGZlengwMnh0eGRmdDVyejVwdHZ2dDI5IiB0aW1lc3RhbXA9
IjE1MjM4NjE2MDciPjExNDE4PC9rZXk+PGtleSBhcHA9IkVOV2ViIiBkYi1pZD0iIj4wPC9rZXk+
PC9mb3JlaWduLWtleXM+PHJlZi10eXBlIG5hbWU9IkpvdXJuYWwgQXJ0aWNsZSI+MTc8L3JlZi10
eXBlPjxjb250cmlidXRvcnM+PGF1dGhvcnM+PGF1dGhvcj5Cb2FzLCBaLjwvYXV0aG9yPjxhdXRo
b3I+R3VwdGEsIFAuPC9hdXRob3I+PGF1dGhvcj5Nb2hlaW1hbmksIFIuIFMuPC9hdXRob3I+PGF1
dGhvcj5CaGV0cmFyYXRhbmEsIE0uPC9hdXRob3I+PGF1dGhvcj5ZaW4sIEYuPC9hdXRob3I+PGF1
dGhvcj5QZXRlcnMsIEsuIE0uPC9hdXRob3I+PGF1dGhvcj5Hb3JuYmVpbiwgSi48L2F1dGhvcj48
YXV0aG9yPkFyYXVqbywgSi4gQS48L2F1dGhvcj48YXV0aG9yPkN6ZXJuaW4sIEouPC9hdXRob3I+
PGF1dGhvcj5NaWRkbGVrYXVmZiwgSC4gUi48L2F1dGhvcj48L2F1dGhvcnM+PC9jb250cmlidXRv
cnM+PGF1dGgtYWRkcmVzcz5EaXZpc2lvbiBvZiBDYXJkaW9sb2d5LCBEZXBhcnRtZW50IG9mIE1l
ZGljaW5lLCBEYXZpZCBHZWZmZW4gU2Nob29sIG9mIE1lZGljaW5lIGF0IFVDTEEsIExvcyBBbmdl
bGVzLCBDYWxpZm9ybmlhLiYjeEQ7RGVwYXJ0bWVudCBvZiBNb2xlY3VsYXIgYW5kIE1lZGljYWwg
UGhhcm1hY29sb2d5LCBBaG1hbnNvbiBUcmFuc2xhdGlvbmFsIEltYWdpbmcgRGl2aXNpb24sIERh
dmlkIEdlZmZlbiBTY2hvb2wgb2YgTWVkaWNpbmUgYXQgVUNMQSwgTG9zIEFuZ2VsZXMsIENhbGlm
b3JuaWEuJiN4RDtEYXZpZCBHZWZmZW4gU2Nob29sIG9mIE1lZGljaW5lIGF0IFVDTEEsIExvcyBB
bmdlbGVzLCBDYWxpZm9ybmlhLiYjeEQ7RGVwYXJ0bWVudCBvZiBFbnZpcm9ubWVudGFsIEhlYWx0
aCBTY2llbmNlcywgU2Nob29sIG9mIFB1YmxpYyBIZWFsdGgsIExvcyBBbmdlbGVzLCBDYWxpZm9y
bmlhLiYjeEQ7RGVwYXJ0bWVudCBvZiBCaW9tYXRoZW1hdGljcywgRGF2aWQgR2VmZmVuIFNjaG9v
bCBvZiBNZWRpY2luZSBhdCBVQ0xBLCBMb3MgQW5nZWxlcywgQ2FsaWZvcm5pYS4mI3hEO0Rpdmlz
aW9uIG9mIENhcmRpb2xvZ3ksIERlcGFydG1lbnQgb2YgTWVkaWNpbmUsIERhdmlkIEdlZmZlbiBT
Y2hvb2wgb2YgTWVkaWNpbmUgYXQgVUNMQSwgTG9zIEFuZ2VsZXMsIENhbGlmb3JuaWEgaG1pZGRs
ZWthdWZmQG1lZG5ldC51Y2xhLmVkdS48L2F1dGgtYWRkcmVzcz48dGl0bGVzPjx0aXRsZT5BY3Rp
dmF0aW9uIG9mIHRoZSAmcXVvdDtTcGxlbm9jYXJkaWFjIEF4aXMmcXVvdDsgYnkgZWxlY3Ryb25p
YyBhbmQgdG9iYWNjbyBjaWdhcmV0dGVzIGluIG90aGVyd2lzZSBoZWFsdGh5IHlvdW5nIGFkdWx0
czwvdGl0bGU+PHNlY29uZGFyeS10aXRsZT5QaHlzaW9sIFJlcDwvc2Vjb25kYXJ5LXRpdGxlPjxh
bHQtdGl0bGU+UGh5c2lvbG9naWNhbCByZXBvcnRzPC9hbHQtdGl0bGU+PC90aXRsZXM+PHBlcmlv
ZGljYWw+PGZ1bGwtdGl0bGU+UGh5c2lvbCBSZXA8L2Z1bGwtdGl0bGU+PGFiYnItMT5QaHlzaW9s
b2dpY2FsIHJlcG9ydHM8L2FiYnItMT48L3BlcmlvZGljYWw+PGFsdC1wZXJpb2RpY2FsPjxmdWxs
LXRpdGxlPlBoeXNpb2wgUmVwPC9mdWxsLXRpdGxlPjxhYmJyLTE+UGh5c2lvbG9naWNhbCByZXBv
cnRzPC9hYmJyLTE+PC9hbHQtcGVyaW9kaWNhbD48dm9sdW1lPjU8L3ZvbHVtZT48bnVtYmVyPjE3
PC9udW1iZXI+PGVkaXRpb24+MjAxNy8wOS8xNDwvZWRpdGlvbj48a2V5d29yZHM+PGtleXdvcmQ+
QXJ0ZXJpYWwgaW5mbGFtbWF0aW9uPC9rZXl3b3JkPjxrZXl3b3JkPkZkZy1wZXQvY3Q8L2tleXdv
cmQ+PGtleXdvcmQ+ZWxlY3Ryb25pYyBjaWdhcmV0dGVzPC9rZXl3b3JkPjxrZXl3b3JkPmhlbWF0
b3BvaWV0aWMgYWN0aXZhdGlvbjwva2V5d29yZD48a2V5d29yZD50b2JhY2NvIGNpZ2FyZXR0ZXM8
L2tleXdvcmQ+PC9rZXl3b3Jkcz48ZGF0ZXM+PHllYXI+MjAxNzwveWVhcj48cHViLWRhdGVzPjxk
YXRlPlNlcDwvZGF0ZT48L3B1Yi1kYXRlcz48L2RhdGVzPjxpc2JuPjIwNTEtODE3eDwvaXNibj48
YWNjZXNzaW9uLW51bT4yODg5OTkwODwvYWNjZXNzaW9uLW51bT48dXJscz48L3VybHM+PGN1c3Rv
bTI+UE1DNTU5OTg1ODwvY3VzdG9tMj48ZWxlY3Ryb25pYy1yZXNvdXJjZS1udW0+MTAuMTQ4MTQv
cGh5Mi4xMzM5MzwvZWxlY3Ryb25pYy1yZXNvdXJjZS1udW0+PHJlbW90ZS1kYXRhYmFzZS1wcm92
aWRlcj5OTE08L3JlbW90ZS1kYXRhYmFzZS1wcm92aWRlcj48bGFuZ3VhZ2U+ZW5nPC9sYW5ndWFn
ZT48L3JlY29yZD48L0NpdGU+PENpdGU+PEF1dGhvcj5Nb2hlaW1hbmk8L0F1dGhvcj48WWVhcj4y
MDE3PC9ZZWFyPjxSZWNOdW0+MTM1MTwvUmVjTnVtPjxyZWNvcmQ+PHJlYy1udW1iZXI+MTM1MTwv
cmVjLW51bWJlcj48Zm9yZWlnbi1rZXlzPjxrZXkgYXBwPSJFTiIgZGItaWQ9IjkwdHAydnAyNXd0
ZTI2ZXo1MnN4dHRyd3Z6d2ZmdzVydnphZiIgdGltZXN0YW1wPSIxNTIxMDc4NDA2Ij4xMzUxPC9r
ZXk+PGtleSBhcHA9IkVOV2ViIiBkYi1pZD0iIj4wPC9rZXk+PC9mb3JlaWduLWtleXM+PHJlZi10
eXBlIG5hbWU9IkpvdXJuYWwgQXJ0aWNsZSI+MTc8L3JlZi10eXBlPjxjb250cmlidXRvcnM+PGF1
dGhvcnM+PGF1dGhvcj5Nb2hlaW1hbmksIFIuIFMuPC9hdXRob3I+PGF1dGhvcj5CaGV0cmFyYXRh
bmEsIE0uPC9hdXRob3I+PGF1dGhvcj5ZaW4sIEYuPC9hdXRob3I+PGF1dGhvcj5QZXRlcnMsIEsu
IE0uPC9hdXRob3I+PGF1dGhvcj5Hb3JuYmVpbiwgSi48L2F1dGhvcj48YXV0aG9yPkFyYXVqbywg
Si4gQS48L2F1dGhvcj48YXV0aG9yPk1pZGRsZWthdWZmLCBILiBSLjwvYXV0aG9yPjwvYXV0aG9y
cz48L2NvbnRyaWJ1dG9ycz48YXV0aC1hZGRyZXNzPkRhdmlkIEdlZmZlbiBTY2hvb2wgb2YgTWVk
aWNpbmUsIFVuaXZlcnNpdHkgb2YgQ2FsaWZvcm5pYSwgTG9zIEFuZ2VsZXMuJiN4RDtEaXZpc2lv
biBvZiBDYXJkaW9sb2d5LCBEZXBhcnRtZW50IG9mIE1lZGljaW5lLCBEYXZpZCBHZWZmZW4gU2No
b29sIG9mIE1lZGljaW5lLCBVbml2ZXJzaXR5IG9mIENhbGlmb3JuaWEsIExvcyBBbmdlbGVzLiYj
eEQ7RGVwYXJ0bWVudCBvZiBCaW9tYXRoZW1hdGljcywgRGF2aWQgR2VmZmVuIFNjaG9vbCBvZiBN
ZWRpY2luZSwgVW5pdmVyc2l0eSBvZiBDYWxpZm9ybmlhLCBMb3MgQW5nZWxlcy4mI3hEO0Rpdmlz
aW9uIG9mIENhcmRpb2xvZ3ksIERlcGFydG1lbnQgb2YgTWVkaWNpbmUsIERhdmlkIEdlZmZlbiBT
Y2hvb2wgb2YgTWVkaWNpbmUsIFVuaXZlcnNpdHkgb2YgQ2FsaWZvcm5pYSwgTG9zIEFuZ2VsZXM0
RGVwYXJ0bWVudCBvZiBFbnZpcm9ubWVudGFsIEhlYWx0aCBTY2llbmNlcywgU2Nob29sIG9mIFB1
YmxpYyBIZWFsdGgsIFVuaXZlcnNpdHkgb2YgQ2FsaWZvcm5pYSwgTG9zIEFuZ2VsZXMuPC9hdXRo
LWFkZHJlc3M+PHRpdGxlcz48dGl0bGU+SW5jcmVhc2VkIENhcmRpYWMgU3ltcGF0aGV0aWMgQWN0
aXZpdHkgYW5kIE94aWRhdGl2ZSBTdHJlc3MgaW4gSGFiaXR1YWwgRWxlY3Ryb25pYyBDaWdhcmV0
dGUgVXNlcnM6IEltcGxpY2F0aW9ucyBmb3IgQ2FyZGlvdmFzY3VsYXIgUmlzazwvdGl0bGU+PHNl
Y29uZGFyeS10aXRsZT5KQU1BIENhcmRpb2w8L3NlY29uZGFyeS10aXRsZT48YWx0LXRpdGxlPkpB
TUEgY2FyZGlvbG9neTwvYWx0LXRpdGxlPjwvdGl0bGVzPjxwZXJpb2RpY2FsPjxmdWxsLXRpdGxl
PkpBTUEgQ2FyZGlvbDwvZnVsbC10aXRsZT48YWJici0xPkpBTUEgY2FyZGlvbG9neTwvYWJici0x
PjwvcGVyaW9kaWNhbD48YWx0LXBlcmlvZGljYWw+PGZ1bGwtdGl0bGU+SkFNQSBDYXJkaW9sPC9m
dWxsLXRpdGxlPjxhYmJyLTE+SkFNQSBjYXJkaW9sb2d5PC9hYmJyLTE+PC9hbHQtcGVyaW9kaWNh
bD48cGFnZXM+Mjc4LTI4NDwvcGFnZXM+PHZvbHVtZT4yPC92b2x1bWU+PG51bWJlcj4zPC9udW1i
ZXI+PGVkaXRpb24+MjAxNy8wMi8wMjwvZWRpdGlvbj48ZGF0ZXM+PHllYXI+MjAxNzwveWVhcj48
cHViLWRhdGVzPjxkYXRlPk1hciAxPC9kYXRlPjwvcHViLWRhdGVzPjwvZGF0ZXM+PGFjY2Vzc2lv
bi1udW0+MjgxNDYyNTk8L2FjY2Vzc2lvbi1udW0+PHVybHM+PC91cmxzPjxjdXN0b20yPlBNQzU2
MjYwMDg8L2N1c3RvbTI+PGN1c3RvbTY+TklITVM4NjgyMjY8L2N1c3RvbTY+PGVsZWN0cm9uaWMt
cmVzb3VyY2UtbnVtPjEwLjEwMDEvamFtYWNhcmRpby4yMDE2LjUzMDM8L2VsZWN0cm9uaWMtcmVz
b3VyY2UtbnVtPjxyZW1vdGUtZGF0YWJhc2UtcHJvdmlkZXI+TkxNPC9yZW1vdGUtZGF0YWJhc2Ut
cHJvdmlkZXI+PGxhbmd1YWdlPmVuZzwvbGFuZ3VhZ2U+PC9yZWNvcmQ+PC9DaXRlPjwvRW5kTm90
ZT5=
</w:fldData>
            </w:fldChar>
          </w:r>
          <w:r>
            <w:instrText xml:space="preserve"> ADDIN EN.CITE.DATA </w:instrText>
          </w:r>
          <w:r>
            <w:fldChar w:fldCharType="end"/>
          </w:r>
          <w:r>
            <w:fldChar w:fldCharType="separate"/>
          </w:r>
          <w:r>
            <w:rPr>
              <w:noProof/>
            </w:rPr>
            <w:t>(Boas, Gupta et al. 2017, Moheimani, Bhetraratana et al. 2017)</w:t>
          </w:r>
          <w:r>
            <w:fldChar w:fldCharType="end"/>
          </w:r>
          <w:r>
            <w:t xml:space="preserve">. These studies considered various cardiac indicators such as </w:t>
          </w:r>
          <w:r>
            <w:rPr>
              <w:b/>
            </w:rPr>
            <w:t>heart rate</w:t>
          </w:r>
          <w:r>
            <w:t xml:space="preserve"> (HR), </w:t>
          </w:r>
          <w:r>
            <w:rPr>
              <w:b/>
            </w:rPr>
            <w:t xml:space="preserve">blood pressure (BP) </w:t>
          </w:r>
          <w:r w:rsidRPr="00284A51">
            <w:t>and</w:t>
          </w:r>
          <w:r>
            <w:rPr>
              <w:b/>
            </w:rPr>
            <w:t xml:space="preserve"> cardiac sympathetic nerve activity</w:t>
          </w:r>
          <w:r>
            <w:t xml:space="preserve">. </w:t>
          </w:r>
        </w:p>
        <w:p w14:paraId="035A3771" w14:textId="7F6764D7" w:rsidR="000A3834" w:rsidRDefault="000A3834" w:rsidP="000A3834">
          <w:pPr>
            <w:pStyle w:val="BodyText"/>
          </w:pPr>
          <w:r>
            <w:t>In a small US randomised trial, Staudt et al</w:t>
          </w:r>
          <w:r w:rsidR="00187814">
            <w:t>.</w:t>
          </w:r>
          <w:r>
            <w:t xml:space="preserve"> examined the effects of e-cigarettes on a range of outcomes including blood pressure and heart rate </w:t>
          </w:r>
          <w:r>
            <w:fldChar w:fldCharType="begin"/>
          </w:r>
          <w:r>
            <w:instrText xml:space="preserve"> ADDIN EN.CITE &lt;EndNote&gt;&lt;Cite&gt;&lt;Author&gt;Staudt&lt;/Author&gt;&lt;Year&gt;2018&lt;/Year&gt;&lt;RecNum&gt;10357&lt;/RecNum&gt;&lt;DisplayText&gt;(Staudt, Salit et al. 2018)&lt;/DisplayText&gt;&lt;record&gt;&lt;rec-number&gt;10357&lt;/rec-number&gt;&lt;foreign-keys&gt;&lt;key app="EN" db-id="9z05dz0praadfuee0zoxzedk9zfe5fxx50z5" timestamp="1526869878"&gt;10357&lt;/key&gt;&lt;key app="ENWeb" db-id=""&gt;0&lt;/key&gt;&lt;/foreign-keys&gt;&lt;ref-type name="Journal Article"&gt;17&lt;/ref-type&gt;&lt;contributors&gt;&lt;authors&gt;&lt;author&gt;Staudt, Michelle R.&lt;/author&gt;&lt;author&gt;Salit, Jacqueline&lt;/author&gt;&lt;author&gt;Kaner, Robert J.&lt;/author&gt;&lt;author&gt;Hollmann, Charleen&lt;/author&gt;&lt;author&gt;Crystal, Ronald G.&lt;/author&gt;&lt;/authors&gt;&lt;/contributors&gt;&lt;titles&gt;&lt;title&gt;Altered lung biology of healthy never smokers following acute inhalation of E-cigarettes&lt;/title&gt;&lt;secondary-title&gt;Respiratory research&lt;/secondary-title&gt;&lt;/titles&gt;&lt;periodical&gt;&lt;full-title&gt;Respiratory Research&lt;/full-title&gt;&lt;/periodical&gt;&lt;pages&gt;78-78&lt;/pages&gt;&lt;volume&gt;19&lt;/volume&gt;&lt;number&gt;1&lt;/number&gt;&lt;dates&gt;&lt;year&gt;2018&lt;/year&gt;&lt;pub-dates&gt;&lt;date&gt;2018 May&lt;/date&gt;&lt;/pub-dates&gt;&lt;/dates&gt;&lt;accession-num&gt;MEDLINE:29754582&lt;/accession-num&gt;&lt;urls&gt;&lt;related-urls&gt;&lt;url&gt;&amp;lt;Go to ISI&amp;gt;://MEDLINE:29754582&lt;/url&gt;&lt;url&gt;https://respiratory-research.biomedcentral.com/track/pdf/10.1186/s12931-018-0778-z&lt;/url&gt;&lt;/related-urls&gt;&lt;/urls&gt;&lt;electronic-resource-num&gt;10.1186/s12931-018-0778-z&lt;/electronic-resource-num&gt;&lt;/record&gt;&lt;/Cite&gt;&lt;/EndNote&gt;</w:instrText>
          </w:r>
          <w:r>
            <w:fldChar w:fldCharType="separate"/>
          </w:r>
          <w:r>
            <w:rPr>
              <w:noProof/>
            </w:rPr>
            <w:t>(Staudt, Salit et al. 2018)</w:t>
          </w:r>
          <w:r>
            <w:fldChar w:fldCharType="end"/>
          </w:r>
          <w:r>
            <w:t xml:space="preserve">. Ten healthy participants with no history of smoking, e-cigarette use or use of any other tobacco product completed a range of tests including blood pressure and heart rate measures. One week later, participants attended an experimental session where they inhaled 10 puffs of an e-cigarette on two occasions with a 30 minute break in between. Participants were randomised to use either an e-cigarette with nicotine (n=7) or an e-cigarette without nicotine (n=3) during the experimental session. Baseline tests were repeated within 2 hours of the experimental session. </w:t>
          </w:r>
        </w:p>
        <w:p w14:paraId="370D9B21" w14:textId="3621863B" w:rsidR="000A3834" w:rsidRDefault="000A3834" w:rsidP="000A3834">
          <w:pPr>
            <w:pStyle w:val="BodyText"/>
          </w:pPr>
          <w:r>
            <w:t>No significant changes in blood pressure or heart rate were observed following use of an e</w:t>
          </w:r>
          <w:r w:rsidR="00F70203">
            <w:noBreakHyphen/>
          </w:r>
          <w:r>
            <w:t>cigarette with nicotine or an e-cigarette without nicotine. This study has a number of limitations including the small sample size reducing the power to detect associations, lack of adjustment for potential confounders and lack of a control group.</w:t>
          </w:r>
        </w:p>
        <w:p w14:paraId="7EBDAA5D" w14:textId="77777777" w:rsidR="000A3834" w:rsidRDefault="000A3834" w:rsidP="000A3834">
          <w:pPr>
            <w:pStyle w:val="BodyText"/>
          </w:pPr>
          <w:r>
            <w:lastRenderedPageBreak/>
            <w:t xml:space="preserve">The prospective cohort study, conducted in Italy by Polosa et al., considered </w:t>
          </w:r>
          <w:r>
            <w:rPr>
              <w:b/>
            </w:rPr>
            <w:t>blood pressure</w:t>
          </w:r>
          <w:r>
            <w:t xml:space="preserve"> and </w:t>
          </w:r>
          <w:r>
            <w:rPr>
              <w:b/>
            </w:rPr>
            <w:t>heart rate</w:t>
          </w:r>
          <w:r>
            <w:t xml:space="preserve"> at baseline and at three follow-up visits across </w:t>
          </w:r>
          <w:r>
            <w:rPr>
              <w:b/>
            </w:rPr>
            <w:t>three and a half years</w:t>
          </w:r>
          <w:r>
            <w:t xml:space="preserve"> </w:t>
          </w:r>
          <w:r>
            <w:fldChar w:fldCharType="begin"/>
          </w:r>
          <w:r>
            <w:instrText xml:space="preserve"> ADDIN EN.CITE &lt;EndNote&gt;&lt;Cite&gt;&lt;Author&gt;Polosa&lt;/Author&gt;&lt;Year&gt;2017&lt;/Year&gt;&lt;RecNum&gt;1868&lt;/RecNum&gt;&lt;DisplayText&gt;(Polosa, Cibella et al. 2017)&lt;/DisplayText&gt;&lt;record&gt;&lt;rec-number&gt;1868&lt;/rec-number&gt;&lt;foreign-keys&gt;&lt;key app="EN" db-id="9vs9pzfznapxphefa28xzw95sf5av0sv9rdz" timestamp="1521159484"&gt;1868&lt;/key&gt;&lt;/foreign-keys&gt;&lt;ref-type name="Journal Article"&gt;17&lt;/ref-type&gt;&lt;contributors&gt;&lt;authors&gt;&lt;author&gt;Polosa, Riccardo&lt;/author&gt;&lt;author&gt;Cibella, Fabio&lt;/author&gt;&lt;author&gt;Caponnetto, Pasquale&lt;/author&gt;&lt;author&gt;Maglia, Marilena&lt;/author&gt;&lt;author&gt;Tashkin, Donald&lt;/author&gt;&lt;/authors&gt;&lt;/contributors&gt;&lt;titles&gt;&lt;title&gt;Health impact of e-cigarettes: a prospective 3.5-year study of regular users who have never smoked&lt;/title&gt;&lt;secondary-title&gt;Respirology&lt;/secondary-title&gt;&lt;/titles&gt;&lt;periodical&gt;&lt;full-title&gt;Respirology&lt;/full-title&gt;&lt;abbr-1&gt;Respirology (Carlton, Vic.)&lt;/abbr-1&gt;&lt;/periodical&gt;&lt;pages&gt;22-23&lt;/pages&gt;&lt;volume&gt;22&lt;/volume&gt;&lt;dates&gt;&lt;year&gt;2017&lt;/year&gt;&lt;pub-dates&gt;&lt;date&gt;Nov&lt;/date&gt;&lt;/pub-dates&gt;&lt;/dates&gt;&lt;isbn&gt;1323-7799&lt;/isbn&gt;&lt;accession-num&gt;WOS:000415925700046&lt;/accession-num&gt;&lt;urls&gt;&lt;related-urls&gt;&lt;url&gt;&amp;lt;Go to ISI&amp;gt;://WOS:000415925700046&lt;/url&gt;&lt;/related-urls&gt;&lt;/urls&gt;&lt;/record&gt;&lt;/Cite&gt;&lt;/EndNote&gt;</w:instrText>
          </w:r>
          <w:r>
            <w:fldChar w:fldCharType="separate"/>
          </w:r>
          <w:r>
            <w:rPr>
              <w:noProof/>
            </w:rPr>
            <w:t>(Polosa, Cibella et al. 2017)</w:t>
          </w:r>
          <w:r>
            <w:fldChar w:fldCharType="end"/>
          </w:r>
          <w:r>
            <w:t xml:space="preserve">. The study aimed to compare health indicators in a cohort of daily e-cigarette users who have never smoked and a sample of never smokers/non-users of e-cigarettes over a 3.5-year period. Subjects (mean age 29.7 </w:t>
          </w:r>
          <w:r>
            <w:rPr>
              <w:rFonts w:cs="Calibri"/>
            </w:rPr>
            <w:t>±</w:t>
          </w:r>
          <w:r>
            <w:t xml:space="preserve"> 6.1 years) were recruited via vape shop owners referring customers to the study. The study was small (n=21) and followed daily e-cigarette users (smoking for </w:t>
          </w:r>
          <w:r>
            <w:rPr>
              <w:rFonts w:cs="Calibri"/>
            </w:rPr>
            <w:t>≥</w:t>
          </w:r>
          <w:r>
            <w:t xml:space="preserve"> 3 months) who had never smoked conventional cigarettes (n=9). The control group was 12 never smokers/never e-cigarette users. </w:t>
          </w:r>
        </w:p>
        <w:p w14:paraId="4D3DC0BF" w14:textId="77777777" w:rsidR="000A3834" w:rsidRDefault="000A3834" w:rsidP="000A3834">
          <w:pPr>
            <w:pStyle w:val="BodyText"/>
          </w:pPr>
          <w:r>
            <w:t>The authors claim that there were no significant changes as a result of smoking e-cigarettes on the health outcomes measured, and no significant differences between the control group and the e</w:t>
          </w:r>
          <w:r>
            <w:noBreakHyphen/>
            <w:t xml:space="preserve">cigarette group. Limitations included a possible strong bias in recruitment methods, the very small sample size, the young age of the sample, and the types of e-cigarette used in the study. A small sample size limits the power of the study to detect a relationship. Potential confounders of the relationship between e-cigarette use and heart rate and BP were also not considered. It is possible that the follow up period was also not long enough to observe the effects of e-cigarettes on heart rate and BP or that these effects had occurred prior to baseline. </w:t>
          </w:r>
        </w:p>
        <w:p w14:paraId="209F91FB" w14:textId="52C846C7" w:rsidR="000A3834" w:rsidRDefault="000A3834" w:rsidP="000A3834">
          <w:pPr>
            <w:pStyle w:val="BodyText"/>
          </w:pPr>
          <w:r>
            <w:t>Notably, only six of the nine e</w:t>
          </w:r>
          <w:r>
            <w:noBreakHyphen/>
            <w:t xml:space="preserve">cigarette group subjects were vaping nicotine containing e-liquid (and even these were using lower strength of nicotine in liquid), whilst three of the nine were using zero nicotine in e-liquid by the end of the study. Some also switched from 'standard refillables’ (e.g. EGO style products) to more advanced refillable devices (Provari, Innokin, Joyetech eVIC, Avatar Puff). One of the researchers had received lecture fees from European electronic cigarette industry and trade associations that were linked to vaping advocacy non-profit organisations. </w:t>
          </w:r>
        </w:p>
        <w:p w14:paraId="54870F7C" w14:textId="77777777" w:rsidR="00146AB9" w:rsidRDefault="000A3834" w:rsidP="000A3834">
          <w:pPr>
            <w:pStyle w:val="BodyText"/>
          </w:pPr>
          <w:r w:rsidRPr="00330280">
            <w:t xml:space="preserve">Another small study conducted by Boas et al. (n=27), investigated the effect of e-cigarettes on activation of the </w:t>
          </w:r>
          <w:r w:rsidRPr="00330280">
            <w:rPr>
              <w:b/>
            </w:rPr>
            <w:t>Splenocardiac Axis</w:t>
          </w:r>
          <w:r w:rsidRPr="00330280">
            <w:rPr>
              <w:rStyle w:val="FootnoteReference"/>
            </w:rPr>
            <w:footnoteReference w:id="2"/>
          </w:r>
          <w:r w:rsidRPr="00330280">
            <w:t xml:space="preserve">, measured by increased metabolic activity in the hematopoietic and vascular tissues, among healthy young adults (21-45 years old) </w:t>
          </w:r>
          <w:r w:rsidRPr="00330280">
            <w:fldChar w:fldCharType="begin">
              <w:fldData xml:space="preserve">PEVuZE5vdGU+PENpdGU+PEF1dGhvcj5Cb2FzPC9BdXRob3I+PFllYXI+MjAxNzwvWWVhcj48UmVj
TnVtPjkxODwvUmVjTnVtPjxEaXNwbGF5VGV4dD4oQm9hcywgR3VwdGEgZXQgYWwuIDIwMTcpPC9E
aXNwbGF5VGV4dD48cmVjb3JkPjxyZWMtbnVtYmVyPjkxODwvcmVjLW51bWJlcj48Zm9yZWlnbi1r
ZXlzPjxrZXkgYXBwPSJFTiIgZGItaWQ9Ijl2czlwemZ6bmFweHBoZWZhMjh4enc5NXNmNWF2MHN2
OXJkeiIgdGltZXN0YW1wPSIxNTIxMTU5Mzg4Ij45MTg8L2tleT48a2V5IGFwcD0iRU5XZWIiIGRi
LWlkPSIiPjA8L2tleT48L2ZvcmVpZ24ta2V5cz48cmVmLXR5cGUgbmFtZT0iSm91cm5hbCBBcnRp
Y2xlIj4xNzwvcmVmLXR5cGU+PGNvbnRyaWJ1dG9ycz48YXV0aG9ycz48YXV0aG9yPkJvYXMsIFou
PC9hdXRob3I+PGF1dGhvcj5HdXB0YSwgUC48L2F1dGhvcj48YXV0aG9yPk1vaGVpbWFuaSwgUi4g
Uy48L2F1dGhvcj48YXV0aG9yPkJoZXRyYXJhdGFuYSwgTS48L2F1dGhvcj48YXV0aG9yPllpbiwg
Ri48L2F1dGhvcj48YXV0aG9yPlBldGVycywgSy4gTS48L2F1dGhvcj48YXV0aG9yPkdvcm5iZWlu
LCBKLjwvYXV0aG9yPjxhdXRob3I+QXJhdWpvLCBKLiBBLjwvYXV0aG9yPjxhdXRob3I+Q3plcm5p
biwgSi48L2F1dGhvcj48YXV0aG9yPk1pZGRsZWthdWZmLCBILiBSLjwvYXV0aG9yPjwvYXV0aG9y
cz48L2NvbnRyaWJ1dG9ycz48YXV0aC1hZGRyZXNzPkRpdmlzaW9uIG9mIENhcmRpb2xvZ3ksIERl
cGFydG1lbnQgb2YgTWVkaWNpbmUsIERhdmlkIEdlZmZlbiBTY2hvb2wgb2YgTWVkaWNpbmUgYXQg
VUNMQSwgTG9zIEFuZ2VsZXMsIENhbGlmb3JuaWEuJiN4RDtEZXBhcnRtZW50IG9mIE1vbGVjdWxh
ciBhbmQgTWVkaWNhbCBQaGFybWFjb2xvZ3ksIEFobWFuc29uIFRyYW5zbGF0aW9uYWwgSW1hZ2lu
ZyBEaXZpc2lvbiwgRGF2aWQgR2VmZmVuIFNjaG9vbCBvZiBNZWRpY2luZSBhdCBVQ0xBLCBMb3Mg
QW5nZWxlcywgQ2FsaWZvcm5pYS4mI3hEO0RhdmlkIEdlZmZlbiBTY2hvb2wgb2YgTWVkaWNpbmUg
YXQgVUNMQSwgTG9zIEFuZ2VsZXMsIENhbGlmb3JuaWEuJiN4RDtEZXBhcnRtZW50IG9mIEVudmly
b25tZW50YWwgSGVhbHRoIFNjaWVuY2VzLCBTY2hvb2wgb2YgUHVibGljIEhlYWx0aCwgTG9zIEFu
Z2VsZXMsIENhbGlmb3JuaWEuJiN4RDtEZXBhcnRtZW50IG9mIEJpb21hdGhlbWF0aWNzLCBEYXZp
ZCBHZWZmZW4gU2Nob29sIG9mIE1lZGljaW5lIGF0IFVDTEEsIExvcyBBbmdlbGVzLCBDYWxpZm9y
bmlhLiYjeEQ7RGl2aXNpb24gb2YgQ2FyZGlvbG9neSwgRGVwYXJ0bWVudCBvZiBNZWRpY2luZSwg
RGF2aWQgR2VmZmVuIFNjaG9vbCBvZiBNZWRpY2luZSBhdCBVQ0xBLCBMb3MgQW5nZWxlcywgQ2Fs
aWZvcm5pYSBobWlkZGxla2F1ZmZAbWVkbmV0LnVjbGEuZWR1LjwvYXV0aC1hZGRyZXNzPjx0aXRs
ZXM+PHRpdGxlPkFjdGl2YXRpb24gb2YgdGhlICZxdW90O1NwbGVub2NhcmRpYWMgQXhpcyZxdW90
OyBieSBlbGVjdHJvbmljIGFuZCB0b2JhY2NvIGNpZ2FyZXR0ZXMgaW4gb3RoZXJ3aXNlIGhlYWx0
aHkgeW91bmcgYWR1bHRzPC90aXRsZT48c2Vjb25kYXJ5LXRpdGxlPlBoeXNpb2wgUmVwPC9zZWNv
bmRhcnktdGl0bGU+PGFsdC10aXRsZT5QaHlzaW9sb2dpY2FsIHJlcG9ydHM8L2FsdC10aXRsZT48
L3RpdGxlcz48YWx0LXBlcmlvZGljYWw+PGZ1bGwtdGl0bGU+UGh5c2lvbG9naWNhbCBSZXBvcnRz
PC9mdWxsLXRpdGxlPjwvYWx0LXBlcmlvZGljYWw+PHZvbHVtZT41PC92b2x1bWU+PG51bWJlcj4x
NzwvbnVtYmVyPjxlZGl0aW9uPjIwMTcvMDkvMTQ8L2VkaXRpb24+PGtleXdvcmRzPjxrZXl3b3Jk
PkFydGVyaWFsIGluZmxhbW1hdGlvbjwva2V5d29yZD48a2V5d29yZD5GZGctcGV0L2N0PC9rZXl3
b3JkPjxrZXl3b3JkPmVsZWN0cm9uaWMgY2lnYXJldHRlczwva2V5d29yZD48a2V5d29yZD5oZW1h
dG9wb2lldGljIGFjdGl2YXRpb248L2tleXdvcmQ+PGtleXdvcmQ+dG9iYWNjbyBjaWdhcmV0dGVz
PC9rZXl3b3JkPjwva2V5d29yZHM+PGRhdGVzPjx5ZWFyPjIwMTc8L3llYXI+PHB1Yi1kYXRlcz48
ZGF0ZT5TZXA8L2RhdGU+PC9wdWItZGF0ZXM+PC9kYXRlcz48aXNibj4yMDUxLTgxN3g8L2lzYm4+
PGFjY2Vzc2lvbi1udW0+Mjg4OTk5MDg8L2FjY2Vzc2lvbi1udW0+PHVybHM+PC91cmxzPjxjdXN0
b20yPlBNQzU1OTk4NTg8L2N1c3RvbTI+PGVsZWN0cm9uaWMtcmVzb3VyY2UtbnVtPjEwLjE0ODE0
L3BoeTIuMTMzOTM8L2VsZWN0cm9uaWMtcmVzb3VyY2UtbnVtPjxyZW1vdGUtZGF0YWJhc2UtcHJv
dmlkZXI+TkxNPC9yZW1vdGUtZGF0YWJhc2UtcHJvdmlkZXI+PGxhbmd1YWdlPmVuZzwvbGFuZ3Vh
Z2U+PC9yZWNvcmQ+PC9DaXRlPjwvRW5kTm90ZT5=
</w:fldData>
            </w:fldChar>
          </w:r>
          <w:r w:rsidRPr="00330280">
            <w:instrText xml:space="preserve"> ADDIN EN.CITE </w:instrText>
          </w:r>
          <w:r w:rsidRPr="00330280">
            <w:fldChar w:fldCharType="begin">
              <w:fldData xml:space="preserve">PEVuZE5vdGU+PENpdGU+PEF1dGhvcj5Cb2FzPC9BdXRob3I+PFllYXI+MjAxNzwvWWVhcj48UmVj
TnVtPjkxODwvUmVjTnVtPjxEaXNwbGF5VGV4dD4oQm9hcywgR3VwdGEgZXQgYWwuIDIwMTcpPC9E
aXNwbGF5VGV4dD48cmVjb3JkPjxyZWMtbnVtYmVyPjkxODwvcmVjLW51bWJlcj48Zm9yZWlnbi1r
ZXlzPjxrZXkgYXBwPSJFTiIgZGItaWQ9Ijl2czlwemZ6bmFweHBoZWZhMjh4enc5NXNmNWF2MHN2
OXJkeiIgdGltZXN0YW1wPSIxNTIxMTU5Mzg4Ij45MTg8L2tleT48a2V5IGFwcD0iRU5XZWIiIGRi
LWlkPSIiPjA8L2tleT48L2ZvcmVpZ24ta2V5cz48cmVmLXR5cGUgbmFtZT0iSm91cm5hbCBBcnRp
Y2xlIj4xNzwvcmVmLXR5cGU+PGNvbnRyaWJ1dG9ycz48YXV0aG9ycz48YXV0aG9yPkJvYXMsIFou
PC9hdXRob3I+PGF1dGhvcj5HdXB0YSwgUC48L2F1dGhvcj48YXV0aG9yPk1vaGVpbWFuaSwgUi4g
Uy48L2F1dGhvcj48YXV0aG9yPkJoZXRyYXJhdGFuYSwgTS48L2F1dGhvcj48YXV0aG9yPllpbiwg
Ri48L2F1dGhvcj48YXV0aG9yPlBldGVycywgSy4gTS48L2F1dGhvcj48YXV0aG9yPkdvcm5iZWlu
LCBKLjwvYXV0aG9yPjxhdXRob3I+QXJhdWpvLCBKLiBBLjwvYXV0aG9yPjxhdXRob3I+Q3plcm5p
biwgSi48L2F1dGhvcj48YXV0aG9yPk1pZGRsZWthdWZmLCBILiBSLjwvYXV0aG9yPjwvYXV0aG9y
cz48L2NvbnRyaWJ1dG9ycz48YXV0aC1hZGRyZXNzPkRpdmlzaW9uIG9mIENhcmRpb2xvZ3ksIERl
cGFydG1lbnQgb2YgTWVkaWNpbmUsIERhdmlkIEdlZmZlbiBTY2hvb2wgb2YgTWVkaWNpbmUgYXQg
VUNMQSwgTG9zIEFuZ2VsZXMsIENhbGlmb3JuaWEuJiN4RDtEZXBhcnRtZW50IG9mIE1vbGVjdWxh
ciBhbmQgTWVkaWNhbCBQaGFybWFjb2xvZ3ksIEFobWFuc29uIFRyYW5zbGF0aW9uYWwgSW1hZ2lu
ZyBEaXZpc2lvbiwgRGF2aWQgR2VmZmVuIFNjaG9vbCBvZiBNZWRpY2luZSBhdCBVQ0xBLCBMb3Mg
QW5nZWxlcywgQ2FsaWZvcm5pYS4mI3hEO0RhdmlkIEdlZmZlbiBTY2hvb2wgb2YgTWVkaWNpbmUg
YXQgVUNMQSwgTG9zIEFuZ2VsZXMsIENhbGlmb3JuaWEuJiN4RDtEZXBhcnRtZW50IG9mIEVudmly
b25tZW50YWwgSGVhbHRoIFNjaWVuY2VzLCBTY2hvb2wgb2YgUHVibGljIEhlYWx0aCwgTG9zIEFu
Z2VsZXMsIENhbGlmb3JuaWEuJiN4RDtEZXBhcnRtZW50IG9mIEJpb21hdGhlbWF0aWNzLCBEYXZp
ZCBHZWZmZW4gU2Nob29sIG9mIE1lZGljaW5lIGF0IFVDTEEsIExvcyBBbmdlbGVzLCBDYWxpZm9y
bmlhLiYjeEQ7RGl2aXNpb24gb2YgQ2FyZGlvbG9neSwgRGVwYXJ0bWVudCBvZiBNZWRpY2luZSwg
RGF2aWQgR2VmZmVuIFNjaG9vbCBvZiBNZWRpY2luZSBhdCBVQ0xBLCBMb3MgQW5nZWxlcywgQ2Fs
aWZvcm5pYSBobWlkZGxla2F1ZmZAbWVkbmV0LnVjbGEuZWR1LjwvYXV0aC1hZGRyZXNzPjx0aXRs
ZXM+PHRpdGxlPkFjdGl2YXRpb24gb2YgdGhlICZxdW90O1NwbGVub2NhcmRpYWMgQXhpcyZxdW90
OyBieSBlbGVjdHJvbmljIGFuZCB0b2JhY2NvIGNpZ2FyZXR0ZXMgaW4gb3RoZXJ3aXNlIGhlYWx0
aHkgeW91bmcgYWR1bHRzPC90aXRsZT48c2Vjb25kYXJ5LXRpdGxlPlBoeXNpb2wgUmVwPC9zZWNv
bmRhcnktdGl0bGU+PGFsdC10aXRsZT5QaHlzaW9sb2dpY2FsIHJlcG9ydHM8L2FsdC10aXRsZT48
L3RpdGxlcz48YWx0LXBlcmlvZGljYWw+PGZ1bGwtdGl0bGU+UGh5c2lvbG9naWNhbCBSZXBvcnRz
PC9mdWxsLXRpdGxlPjwvYWx0LXBlcmlvZGljYWw+PHZvbHVtZT41PC92b2x1bWU+PG51bWJlcj4x
NzwvbnVtYmVyPjxlZGl0aW9uPjIwMTcvMDkvMTQ8L2VkaXRpb24+PGtleXdvcmRzPjxrZXl3b3Jk
PkFydGVyaWFsIGluZmxhbW1hdGlvbjwva2V5d29yZD48a2V5d29yZD5GZGctcGV0L2N0PC9rZXl3
b3JkPjxrZXl3b3JkPmVsZWN0cm9uaWMgY2lnYXJldHRlczwva2V5d29yZD48a2V5d29yZD5oZW1h
dG9wb2lldGljIGFjdGl2YXRpb248L2tleXdvcmQ+PGtleXdvcmQ+dG9iYWNjbyBjaWdhcmV0dGVz
PC9rZXl3b3JkPjwva2V5d29yZHM+PGRhdGVzPjx5ZWFyPjIwMTc8L3llYXI+PHB1Yi1kYXRlcz48
ZGF0ZT5TZXA8L2RhdGU+PC9wdWItZGF0ZXM+PC9kYXRlcz48aXNibj4yMDUxLTgxN3g8L2lzYm4+
PGFjY2Vzc2lvbi1udW0+Mjg4OTk5MDg8L2FjY2Vzc2lvbi1udW0+PHVybHM+PC91cmxzPjxjdXN0
b20yPlBNQzU1OTk4NTg8L2N1c3RvbTI+PGVsZWN0cm9uaWMtcmVzb3VyY2UtbnVtPjEwLjE0ODE0
L3BoeTIuMTMzOTM8L2VsZWN0cm9uaWMtcmVzb3VyY2UtbnVtPjxyZW1vdGUtZGF0YWJhc2UtcHJv
dmlkZXI+TkxNPC9yZW1vdGUtZGF0YWJhc2UtcHJvdmlkZXI+PGxhbmd1YWdlPmVuZzwvbGFuZ3Vh
Z2U+PC9yZWNvcmQ+PC9DaXRlPjwvRW5kTm90ZT5=
</w:fldData>
            </w:fldChar>
          </w:r>
          <w:r w:rsidRPr="00330280">
            <w:instrText xml:space="preserve"> ADDIN EN.CITE.DATA </w:instrText>
          </w:r>
          <w:r w:rsidRPr="00330280">
            <w:fldChar w:fldCharType="end"/>
          </w:r>
          <w:r w:rsidRPr="00330280">
            <w:fldChar w:fldCharType="separate"/>
          </w:r>
          <w:r w:rsidRPr="00330280">
            <w:rPr>
              <w:noProof/>
            </w:rPr>
            <w:t>(Boas, Gupta et al. 2017)</w:t>
          </w:r>
          <w:r w:rsidRPr="00330280">
            <w:fldChar w:fldCharType="end"/>
          </w:r>
          <w:r w:rsidRPr="00330280">
            <w:t xml:space="preserve">. In this cross-sectional study, subjects were habitual e-cigarette only users who had used e-cigarettes for a </w:t>
          </w:r>
          <w:r w:rsidRPr="00330280">
            <w:rPr>
              <w:b/>
            </w:rPr>
            <w:t>minimum of one year (n=9)</w:t>
          </w:r>
          <w:r w:rsidRPr="00330280">
            <w:t xml:space="preserve">. There was also a conventional smoking group (n=9) and a control group of healthy nonusers of either product (n=9). F-fluorodeoxyglucose positron emission tomography/computer tomography (FDG-PET/CT) was performed to measure FDG uptake in the spleen, bone marrow and aorta. FDG uptake in skeletal muscle was also measured as a control. </w:t>
          </w:r>
        </w:p>
        <w:p w14:paraId="24B0157D" w14:textId="5C69E961" w:rsidR="000A3834" w:rsidRDefault="000A3834" w:rsidP="000A3834">
          <w:pPr>
            <w:pStyle w:val="BodyText"/>
          </w:pPr>
          <w:r w:rsidRPr="00330280">
            <w:lastRenderedPageBreak/>
            <w:t>FDG uptake was higher in the e-cigarette group compared to the control group in the spleen (SUV</w:t>
          </w:r>
          <w:r w:rsidRPr="00330280">
            <w:rPr>
              <w:vertAlign w:val="subscript"/>
            </w:rPr>
            <w:t>max</w:t>
          </w:r>
          <w:r>
            <w:t>=</w:t>
          </w:r>
          <w:r w:rsidRPr="00330280">
            <w:t>1.73 ± 0.04 and 1.62 ± 0.07 in e-cigarette users and controls respectively; p=0.29), bone marrow (SUV</w:t>
          </w:r>
          <w:r w:rsidRPr="00330280">
            <w:rPr>
              <w:vertAlign w:val="subscript"/>
            </w:rPr>
            <w:t>max</w:t>
          </w:r>
          <w:r>
            <w:t>=</w:t>
          </w:r>
          <w:r w:rsidRPr="00330280">
            <w:t>2.17 ± 0.12 vs 1.88 ± 0.06 respectively; p=0.09) and aorta (SUV</w:t>
          </w:r>
          <w:r w:rsidRPr="00330280">
            <w:rPr>
              <w:vertAlign w:val="subscript"/>
            </w:rPr>
            <w:t>max</w:t>
          </w:r>
          <w:r>
            <w:t>=</w:t>
          </w:r>
          <w:r w:rsidRPr="00330280">
            <w:t xml:space="preserve">1.98 ± 0.07 vs 1.87 ± 0.07 respectively; p=0.27). The differences observed, however, were not significant, although that for bone marrow was close to </w:t>
          </w:r>
          <w:r>
            <w:t xml:space="preserve">statistical </w:t>
          </w:r>
          <w:r w:rsidRPr="00330280">
            <w:t>significan</w:t>
          </w:r>
          <w:r>
            <w:t>ce</w:t>
          </w:r>
          <w:r w:rsidRPr="00330280">
            <w:t xml:space="preserve"> and may warrant further investigation considering the small sample size and limited power of the study. FDG uptake in skeletal muscle was not different between groups. No differences were observed in the metabolic activity of the aortic wall when measured by MDS-TBR. Plasma cotinine was weakly correlated with bo</w:t>
          </w:r>
          <w:r>
            <w:t>ne marrow activity (r</w:t>
          </w:r>
          <w:r w:rsidRPr="00330280">
            <w:t>=0.39, p=0.05).</w:t>
          </w:r>
          <w:r>
            <w:t xml:space="preserve"> Again the major limitations of this study include the small sample size reducing the power of the study to detect differences between the groups and the lack of consideration of potential confounders of the relationship between e</w:t>
          </w:r>
          <w:r>
            <w:noBreakHyphen/>
            <w:t>cigarette use and activation of the splenocardiac axis.</w:t>
          </w:r>
        </w:p>
        <w:p w14:paraId="1BD704CC" w14:textId="77777777" w:rsidR="000A3834" w:rsidRDefault="000A3834" w:rsidP="000A3834">
          <w:pPr>
            <w:pStyle w:val="BodyText"/>
          </w:pPr>
          <w:r>
            <w:t xml:space="preserve">Another small US cross-sectional case-control study by Moheimani et al. assessed whether habitual use of e-cigarettes (most days across </w:t>
          </w:r>
          <w:r>
            <w:rPr>
              <w:b/>
            </w:rPr>
            <w:t>one year</w:t>
          </w:r>
          <w:r>
            <w:t xml:space="preserve">) was associated with an </w:t>
          </w:r>
          <w:r>
            <w:rPr>
              <w:b/>
            </w:rPr>
            <w:t>imbalance of cardiac autonomic tone</w:t>
          </w:r>
          <w:r>
            <w:t xml:space="preserve"> and increased oxidative stress and inflammation in a sample of healthy young adults (e-cigarette users: n=16, controls: n=18; age: 21 - 45, mean age 27.6 years) </w:t>
          </w:r>
          <w:r>
            <w:fldChar w:fldCharType="begin">
              <w:fldData xml:space="preserve">PEVuZE5vdGU+PENpdGU+PEF1dGhvcj5Nb2hlaW1hbmk8L0F1dGhvcj48WWVhcj4yMDE3PC9ZZWFy
PjxSZWNOdW0+MTM1MDwvUmVjTnVtPjxEaXNwbGF5VGV4dD4oTW9oZWltYW5pLCBCaGV0cmFyYXRh
bmEgZXQgYWwuIDIwMTcpPC9EaXNwbGF5VGV4dD48cmVjb3JkPjxyZWMtbnVtYmVyPjEzNTA8L3Jl
Yy1udW1iZXI+PGZvcmVpZ24ta2V5cz48a2V5IGFwcD0iRU4iIGRiLWlkPSI5dnM5cHpmem5hcHhw
aGVmYTI4eHp3OTVzZjVhdjBzdjlyZHoiIHRpbWVzdGFtcD0iMTUyMTE1OTQyNiI+MTM1MDwva2V5
PjwvZm9yZWlnbi1rZXlzPjxyZWYtdHlwZSBuYW1lPSJKb3VybmFsIEFydGljbGUiPjE3PC9yZWYt
dHlwZT48Y29udHJpYnV0b3JzPjxhdXRob3JzPjxhdXRob3I+TW9oZWltYW5pLCBSLiBTLjwvYXV0
aG9yPjxhdXRob3I+QmhldHJhcmF0YW5hLCBNLjwvYXV0aG9yPjxhdXRob3I+WWluLCBGLjwvYXV0
aG9yPjxhdXRob3I+UGV0ZXJzLCBLLiBNLjwvYXV0aG9yPjxhdXRob3I+R29ybmJlaW4sIEouPC9h
dXRob3I+PGF1dGhvcj5BcmF1am8sIEouIEEuPC9hdXRob3I+PGF1dGhvcj5NaWRkbGVrYXVmZiwg
SC4gUi48L2F1dGhvcj48L2F1dGhvcnM+PC9jb250cmlidXRvcnM+PGF1dGgtYWRkcmVzcz5EYXZp
ZCBHZWZmZW4gU2Nob29sIG9mIE1lZGljaW5lLCBVbml2ZXJzaXR5IG9mIENhbGlmb3JuaWEsIExv
cyBBbmdlbGVzLiYjeEQ7RGl2aXNpb24gb2YgQ2FyZGlvbG9neSwgRGVwYXJ0bWVudCBvZiBNZWRp
Y2luZSwgRGF2aWQgR2VmZmVuIFNjaG9vbCBvZiBNZWRpY2luZSwgVW5pdmVyc2l0eSBvZiBDYWxp
Zm9ybmlhLCBMb3MgQW5nZWxlcy4mI3hEO0RlcGFydG1lbnQgb2YgQmlvbWF0aGVtYXRpY3MsIERh
dmlkIEdlZmZlbiBTY2hvb2wgb2YgTWVkaWNpbmUsIFVuaXZlcnNpdHkgb2YgQ2FsaWZvcm5pYSwg
TG9zIEFuZ2VsZXMuJiN4RDtEaXZpc2lvbiBvZiBDYXJkaW9sb2d5LCBEZXBhcnRtZW50IG9mIE1l
ZGljaW5lLCBEYXZpZCBHZWZmZW4gU2Nob29sIG9mIE1lZGljaW5lLCBVbml2ZXJzaXR5IG9mIENh
bGlmb3JuaWEsIExvcyBBbmdlbGVzNERlcGFydG1lbnQgb2YgRW52aXJvbm1lbnRhbCBIZWFsdGgg
U2NpZW5jZXMsIFNjaG9vbCBvZiBQdWJsaWMgSGVhbHRoLCBVbml2ZXJzaXR5IG9mIENhbGlmb3Ju
aWEsIExvcyBBbmdlbGVzLjwvYXV0aC1hZGRyZXNzPjx0aXRsZXM+PHRpdGxlPkluY3JlYXNlZCBD
YXJkaWFjIFN5bXBhdGhldGljIEFjdGl2aXR5IGFuZCBPeGlkYXRpdmUgU3RyZXNzIGluIEhhYml0
dWFsIEVsZWN0cm9uaWMgQ2lnYXJldHRlIFVzZXJzOiBJbXBsaWNhdGlvbnMgZm9yIENhcmRpb3Zh
c2N1bGFyIFJpc2s8L3RpdGxlPjxzZWNvbmRhcnktdGl0bGU+SkFNQSBDYXJkaW9sPC9zZWNvbmRh
cnktdGl0bGU+PGFsdC10aXRsZT5KQU1BIGNhcmRpb2xvZ3k8L2FsdC10aXRsZT48L3RpdGxlcz48
cGVyaW9kaWNhbD48ZnVsbC10aXRsZT5KQU1BIENhcmRpb2w8L2Z1bGwtdGl0bGU+PGFiYnItMT5K
QU1BIGNhcmRpb2xvZ3k8L2FiYnItMT48L3BlcmlvZGljYWw+PGFsdC1wZXJpb2RpY2FsPjxmdWxs
LXRpdGxlPkpBTUEgQ2FyZGlvbDwvZnVsbC10aXRsZT48YWJici0xPkpBTUEgY2FyZGlvbG9neTwv
YWJici0xPjwvYWx0LXBlcmlvZGljYWw+PHBhZ2VzPjI3OC0yODQ8L3BhZ2VzPjx2b2x1bWU+Mjwv
dm9sdW1lPjxudW1iZXI+MzwvbnVtYmVyPjxlZGl0aW9uPjIwMTcvMDIvMDI8L2VkaXRpb24+PGRh
dGVzPjx5ZWFyPjIwMTc8L3llYXI+PHB1Yi1kYXRlcz48ZGF0ZT5NYXIgMTwvZGF0ZT48L3B1Yi1k
YXRlcz48L2RhdGVzPjxhY2Nlc3Npb24tbnVtPjI4MTQ2MjU5PC9hY2Nlc3Npb24tbnVtPjx1cmxz
PjwvdXJscz48Y3VzdG9tMj5QTUM1NjI2MDA4PC9jdXN0b20yPjxjdXN0b202Pk5JSE1TODY4MjI2
PC9jdXN0b202PjxlbGVjdHJvbmljLXJlc291cmNlLW51bT4xMC4xMDAxL2phbWFjYXJkaW8uMjAx
Ni41MzAzPC9lbGVjdHJvbmljLXJlc291cmNlLW51bT48cmVtb3RlLWRhdGFiYXNlLXByb3ZpZGVy
Pk5MTTwvcmVtb3RlLWRhdGFiYXNlLXByb3ZpZGVyPjxsYW5ndWFnZT5lbmc8L2xhbmd1YWdlPjwv
cmVjb3JkPjwvQ2l0ZT48L0VuZE5vdGU+
</w:fldData>
            </w:fldChar>
          </w:r>
          <w:r>
            <w:instrText xml:space="preserve"> ADDIN EN.CITE </w:instrText>
          </w:r>
          <w:r>
            <w:fldChar w:fldCharType="begin">
              <w:fldData xml:space="preserve">PEVuZE5vdGU+PENpdGU+PEF1dGhvcj5Nb2hlaW1hbmk8L0F1dGhvcj48WWVhcj4yMDE3PC9ZZWFy
PjxSZWNOdW0+MTM1MDwvUmVjTnVtPjxEaXNwbGF5VGV4dD4oTW9oZWltYW5pLCBCaGV0cmFyYXRh
bmEgZXQgYWwuIDIwMTcpPC9EaXNwbGF5VGV4dD48cmVjb3JkPjxyZWMtbnVtYmVyPjEzNTA8L3Jl
Yy1udW1iZXI+PGZvcmVpZ24ta2V5cz48a2V5IGFwcD0iRU4iIGRiLWlkPSI5dnM5cHpmem5hcHhw
aGVmYTI4eHp3OTVzZjVhdjBzdjlyZHoiIHRpbWVzdGFtcD0iMTUyMTE1OTQyNiI+MTM1MDwva2V5
PjwvZm9yZWlnbi1rZXlzPjxyZWYtdHlwZSBuYW1lPSJKb3VybmFsIEFydGljbGUiPjE3PC9yZWYt
dHlwZT48Y29udHJpYnV0b3JzPjxhdXRob3JzPjxhdXRob3I+TW9oZWltYW5pLCBSLiBTLjwvYXV0
aG9yPjxhdXRob3I+QmhldHJhcmF0YW5hLCBNLjwvYXV0aG9yPjxhdXRob3I+WWluLCBGLjwvYXV0
aG9yPjxhdXRob3I+UGV0ZXJzLCBLLiBNLjwvYXV0aG9yPjxhdXRob3I+R29ybmJlaW4sIEouPC9h
dXRob3I+PGF1dGhvcj5BcmF1am8sIEouIEEuPC9hdXRob3I+PGF1dGhvcj5NaWRkbGVrYXVmZiwg
SC4gUi48L2F1dGhvcj48L2F1dGhvcnM+PC9jb250cmlidXRvcnM+PGF1dGgtYWRkcmVzcz5EYXZp
ZCBHZWZmZW4gU2Nob29sIG9mIE1lZGljaW5lLCBVbml2ZXJzaXR5IG9mIENhbGlmb3JuaWEsIExv
cyBBbmdlbGVzLiYjeEQ7RGl2aXNpb24gb2YgQ2FyZGlvbG9neSwgRGVwYXJ0bWVudCBvZiBNZWRp
Y2luZSwgRGF2aWQgR2VmZmVuIFNjaG9vbCBvZiBNZWRpY2luZSwgVW5pdmVyc2l0eSBvZiBDYWxp
Zm9ybmlhLCBMb3MgQW5nZWxlcy4mI3hEO0RlcGFydG1lbnQgb2YgQmlvbWF0aGVtYXRpY3MsIERh
dmlkIEdlZmZlbiBTY2hvb2wgb2YgTWVkaWNpbmUsIFVuaXZlcnNpdHkgb2YgQ2FsaWZvcm5pYSwg
TG9zIEFuZ2VsZXMuJiN4RDtEaXZpc2lvbiBvZiBDYXJkaW9sb2d5LCBEZXBhcnRtZW50IG9mIE1l
ZGljaW5lLCBEYXZpZCBHZWZmZW4gU2Nob29sIG9mIE1lZGljaW5lLCBVbml2ZXJzaXR5IG9mIENh
bGlmb3JuaWEsIExvcyBBbmdlbGVzNERlcGFydG1lbnQgb2YgRW52aXJvbm1lbnRhbCBIZWFsdGgg
U2NpZW5jZXMsIFNjaG9vbCBvZiBQdWJsaWMgSGVhbHRoLCBVbml2ZXJzaXR5IG9mIENhbGlmb3Ju
aWEsIExvcyBBbmdlbGVzLjwvYXV0aC1hZGRyZXNzPjx0aXRsZXM+PHRpdGxlPkluY3JlYXNlZCBD
YXJkaWFjIFN5bXBhdGhldGljIEFjdGl2aXR5IGFuZCBPeGlkYXRpdmUgU3RyZXNzIGluIEhhYml0
dWFsIEVsZWN0cm9uaWMgQ2lnYXJldHRlIFVzZXJzOiBJbXBsaWNhdGlvbnMgZm9yIENhcmRpb3Zh
c2N1bGFyIFJpc2s8L3RpdGxlPjxzZWNvbmRhcnktdGl0bGU+SkFNQSBDYXJkaW9sPC9zZWNvbmRh
cnktdGl0bGU+PGFsdC10aXRsZT5KQU1BIGNhcmRpb2xvZ3k8L2FsdC10aXRsZT48L3RpdGxlcz48
cGVyaW9kaWNhbD48ZnVsbC10aXRsZT5KQU1BIENhcmRpb2w8L2Z1bGwtdGl0bGU+PGFiYnItMT5K
QU1BIGNhcmRpb2xvZ3k8L2FiYnItMT48L3BlcmlvZGljYWw+PGFsdC1wZXJpb2RpY2FsPjxmdWxs
LXRpdGxlPkpBTUEgQ2FyZGlvbDwvZnVsbC10aXRsZT48YWJici0xPkpBTUEgY2FyZGlvbG9neTwv
YWJici0xPjwvYWx0LXBlcmlvZGljYWw+PHBhZ2VzPjI3OC0yODQ8L3BhZ2VzPjx2b2x1bWU+Mjwv
dm9sdW1lPjxudW1iZXI+MzwvbnVtYmVyPjxlZGl0aW9uPjIwMTcvMDIvMDI8L2VkaXRpb24+PGRh
dGVzPjx5ZWFyPjIwMTc8L3llYXI+PHB1Yi1kYXRlcz48ZGF0ZT5NYXIgMTwvZGF0ZT48L3B1Yi1k
YXRlcz48L2RhdGVzPjxhY2Nlc3Npb24tbnVtPjI4MTQ2MjU5PC9hY2Nlc3Npb24tbnVtPjx1cmxz
PjwvdXJscz48Y3VzdG9tMj5QTUM1NjI2MDA4PC9jdXN0b20yPjxjdXN0b202Pk5JSE1TODY4MjI2
PC9jdXN0b202PjxlbGVjdHJvbmljLXJlc291cmNlLW51bT4xMC4xMDAxL2phbWFjYXJkaW8uMjAx
Ni41MzAzPC9lbGVjdHJvbmljLXJlc291cmNlLW51bT48cmVtb3RlLWRhdGFiYXNlLXByb3ZpZGVy
Pk5MTTwvcmVtb3RlLWRhdGFiYXNlLXByb3ZpZGVyPjxsYW5ndWFnZT5lbmc8L2xhbmd1YWdlPjwv
cmVjb3JkPjwvQ2l0ZT48L0VuZE5vdGU+
</w:fldData>
            </w:fldChar>
          </w:r>
          <w:r>
            <w:instrText xml:space="preserve"> ADDIN EN.CITE.DATA </w:instrText>
          </w:r>
          <w:r>
            <w:fldChar w:fldCharType="end"/>
          </w:r>
          <w:r>
            <w:fldChar w:fldCharType="separate"/>
          </w:r>
          <w:r>
            <w:rPr>
              <w:noProof/>
            </w:rPr>
            <w:t>(Moheimani, Bhetraratana et al. 2017)</w:t>
          </w:r>
          <w:r>
            <w:fldChar w:fldCharType="end"/>
          </w:r>
          <w:r>
            <w:t xml:space="preserve">. The study analysed Heart Rate Variability (HRV) components for the high frequency (HF) (an indicator of vagal activity), the low frequency (LF) component (a mixture of both vagal and sympathetic activity) and the ratio of the LF to HF (which reflects the cardiac sympathovagal balance). </w:t>
          </w:r>
        </w:p>
        <w:p w14:paraId="22DFD862" w14:textId="58E8A71E" w:rsidR="000A3834" w:rsidRDefault="000A3834" w:rsidP="000A3834">
          <w:pPr>
            <w:pStyle w:val="BodyText"/>
          </w:pPr>
          <w:r>
            <w:t>The study found that HRV components are shifted towards sympathetic predominance and decreased vagal tone among e-cigarette users, which is found in people with increased cardiovascular risk, including conventional cigarette smokers. The HF component was significantly decreased in the e-cigarette users compared to the non-user controls (</w:t>
          </w:r>
          <w:r w:rsidRPr="002B532D">
            <w:t xml:space="preserve">mean 46.5 [3.7] </w:t>
          </w:r>
          <w:r>
            <w:t>normalised units (</w:t>
          </w:r>
          <w:r w:rsidRPr="002B532D">
            <w:t>nu</w:t>
          </w:r>
          <w:r>
            <w:t>) vs 57.8 [3.6] nu, p=0.04). The LF component (mean 52.7 [4.0] nu vs 39.9 [3.8] nu, p=0.03), and the LF to HF ratio (mean 1.37 [0.19] vs 0.85 [0.18], p=0.05) were significantly increased in the e-cigarette users compared with non-user controls, consistent with sympathetic predominance, even in the absence of recent e-cigarette use (as verified by the absence of detectable nicotine in the plasma).</w:t>
          </w:r>
          <w:r w:rsidR="008146F9">
            <w:t xml:space="preserve"> </w:t>
          </w:r>
          <w:r>
            <w:t>Plasma cotinine levels (an estimate of e-cigarette use) were significantly correlated with each of the HRV components: plasma cotinine levels were inversely related to HF component (r=-0.34, p=0.04) and directly related to the LF component (r=0.35, p=0.03) and LF to HF ratio (r=0.36, p=0.03). There was a nonlinear relationship between the number of tobacco cigarettes smoked per day and cardiovascular risk, which the authors suggest may indicate a low threshold above which underlying physiologic processes are saturated.</w:t>
          </w:r>
        </w:p>
        <w:p w14:paraId="537702B5" w14:textId="77777777" w:rsidR="000A3834" w:rsidRDefault="000A3834" w:rsidP="000A3834">
          <w:pPr>
            <w:pStyle w:val="BodyText"/>
          </w:pPr>
          <w:r>
            <w:t xml:space="preserve">In a later US randomised cross-over study </w:t>
          </w:r>
          <w:r>
            <w:fldChar w:fldCharType="begin">
              <w:fldData xml:space="preserve">PEVuZE5vdGU+PENpdGU+PEF1dGhvcj5Nb2hlaW1hbmk8L0F1dGhvcj48WWVhcj4yMDE3PC9ZZWFy
PjxSZWNOdW0+OTA3PC9SZWNOdW0+PERpc3BsYXlUZXh0PihNb2hlaW1hbmksIEJoZXRyYXJhdGFu
YSBldCBhbC4gMjAxNyk8L0Rpc3BsYXlUZXh0PjxyZWNvcmQ+PHJlYy1udW1iZXI+OTA3PC9yZWMt
bnVtYmVyPjxmb3JlaWduLWtleXM+PGtleSBhcHA9IkVOIiBkYi1pZD0iOXZzOXB6ZnpuYXB4cGhl
ZmEyOHh6dzk1c2Y1YXYwc3Y5cmR6IiB0aW1lc3RhbXA9IjE1MjExNTkzODciPjkwNzwva2V5Pjwv
Zm9yZWlnbi1rZXlzPjxyZWYtdHlwZSBuYW1lPSJKb3VybmFsIEFydGljbGUiPjE3PC9yZWYtdHlw
ZT48Y29udHJpYnV0b3JzPjxhdXRob3JzPjxhdXRob3I+TW9oZWltYW5pLCBSLiBTLjwvYXV0aG9y
PjxhdXRob3I+QmhldHJhcmF0YW5hLCBNLjwvYXV0aG9yPjxhdXRob3I+UGV0ZXJzLCBLLiBNLjwv
YXV0aG9yPjxhdXRob3I+WWFuZywgQi4gSy48L2F1dGhvcj48YXV0aG9yPllpbiwgRi48L2F1dGhv
cj48YXV0aG9yPkdvcm5iZWluLCBKLjwvYXV0aG9yPjxhdXRob3I+QXJhdWpvLCBKLiBBLjwvYXV0
aG9yPjxhdXRob3I+TWlkZGxla2F1ZmYsIEguIFIuPC9hdXRob3I+PC9hdXRob3JzPjwvY29udHJp
YnV0b3JzPjxhdXRoLWFkZHJlc3M+RGF2aWQgR2VmZmVuIFNjaG9vbCBvZiBNZWRpY2luZSBhdCBV
Q0xBLCBMb3MgQW5nZWxlcywgQ0EuJiN4RDtEaXZpc2lvbiBvZiBDYXJkaW9sb2d5IERlcGFydG1l
bnQgb2YgTWVkaWNpbmUsIERhdmlkIEdlZmZlbiBTY2hvb2wgb2YgTWVkaWNpbmUgYXQgVUNMQSwg
TG9zIEFuZ2VsZXMsIENBLiYjeEQ7RGVwYXJ0bWVudCBvZiBCaW9tYXRoZW1hdGljcywgRGF2aWQg
R2VmZmVuIFNjaG9vbCBvZiBNZWRpY2luZSBhdCBVQ0xBLCBMb3MgQW5nZWxlcywgQ0EuJiN4RDtE
ZXBhcnRtZW50IG9mIEVudmlyb25tZW50YWwgSGVhbHRoIFNjaWVuY2VzLCBTY2hvb2wgb2YgUHVi
bGljIEhlYWx0aCwgTG9zIEFuZ2VsZXMsIENBLiYjeEQ7RGl2aXNpb24gb2YgQ2FyZGlvbG9neSBE
ZXBhcnRtZW50IG9mIE1lZGljaW5lLCBEYXZpZCBHZWZmZW4gU2Nob29sIG9mIE1lZGljaW5lIGF0
IFVDTEEsIExvcyBBbmdlbGVzLCBDQSBobWlkZGxla2F1ZmZAbWVkbmV0LnVjbGEuZWR1LjwvYXV0
aC1hZGRyZXNzPjx0aXRsZXM+PHRpdGxlPlN5bXBhdGhvbWltZXRpYyBFZmZlY3RzIG9mIEFjdXRl
IEUtQ2lnYXJldHRlIFVzZTogUm9sZSBvZiBOaWNvdGluZSBhbmQgTm9uLU5pY290aW5lIENvbnN0
aXR1ZW50czwvdGl0bGU+PHNlY29uZGFyeS10aXRsZT5KIEFtIEhlYXJ0IEFzc29jPC9zZWNvbmRh
cnktdGl0bGU+PGFsdC10aXRsZT5Kb3VybmFsIG9mIHRoZSBBbWVyaWNhbiBIZWFydCBBc3NvY2lh
dGlvbjwvYWx0LXRpdGxlPjwvdGl0bGVzPjxhbHQtcGVyaW9kaWNhbD48ZnVsbC10aXRsZT5Kb3Vy
bmFsIG9mIHRoZSBBbWVyaWNhbiBIZWFydCBBc3NvY2lhdGlvbjwvZnVsbC10aXRsZT48L2FsdC1w
ZXJpb2RpY2FsPjx2b2x1bWU+Njwvdm9sdW1lPjxudW1iZXI+OTwvbnVtYmVyPjxlZGl0aW9uPjIw
MTcvMDkvMjI8L2VkaXRpb24+PGtleXdvcmRzPjxrZXl3b3JkPmVsZWN0cm9uaWMgY2lnYXJldHRl
czwva2V5d29yZD48a2V5d29yZD5oZWFydCByYXRlIHZhcmlhYmlsaXR5PC9rZXl3b3JkPjxrZXl3
b3JkPm5pY290aW5lPC9rZXl3b3JkPjxrZXl3b3JkPm94aWRhbnQgc3RyZXNzPC9rZXl3b3JkPjxr
ZXl3b3JkPnN5bXBhdGhldGljIG5lcnZvdXMgc3lzdGVtPC9rZXl3b3JkPjxrZXl3b3JkPnRvYmFj
Y288L2tleXdvcmQ+PC9rZXl3b3Jkcz48ZGF0ZXM+PHllYXI+MjAxNzwveWVhcj48cHViLWRhdGVz
PjxkYXRlPlNlcCAyMDwvZGF0ZT48L3B1Yi1kYXRlcz48L2RhdGVzPjxpc2JuPjIwNDctOTk4MDwv
aXNibj48YWNjZXNzaW9uLW51bT4yODkzMTUyNzwvYWNjZXNzaW9uLW51bT48dXJscz48L3VybHM+
PGN1c3RvbTI+UE1DNTYzNDI5OTwvY3VzdG9tMj48ZWxlY3Ryb25pYy1yZXNvdXJjZS1udW0+MTAu
MTE2MS9qYWhhLjExNy4wMDY1Nzk8L2VsZWN0cm9uaWMtcmVzb3VyY2UtbnVtPjxyZW1vdGUtZGF0
YWJhc2UtcHJvdmlkZXI+TkxNPC9yZW1vdGUtZGF0YWJhc2UtcHJvdmlkZXI+PGxhbmd1YWdlPmVu
ZzwvbGFuZ3VhZ2U+PC9yZWNvcmQ+PC9DaXRlPjwvRW5kTm90ZT4A
</w:fldData>
            </w:fldChar>
          </w:r>
          <w:r>
            <w:instrText xml:space="preserve"> ADDIN EN.CITE </w:instrText>
          </w:r>
          <w:r>
            <w:fldChar w:fldCharType="begin">
              <w:fldData xml:space="preserve">PEVuZE5vdGU+PENpdGU+PEF1dGhvcj5Nb2hlaW1hbmk8L0F1dGhvcj48WWVhcj4yMDE3PC9ZZWFy
PjxSZWNOdW0+OTA3PC9SZWNOdW0+PERpc3BsYXlUZXh0PihNb2hlaW1hbmksIEJoZXRyYXJhdGFu
YSBldCBhbC4gMjAxNyk8L0Rpc3BsYXlUZXh0PjxyZWNvcmQ+PHJlYy1udW1iZXI+OTA3PC9yZWMt
bnVtYmVyPjxmb3JlaWduLWtleXM+PGtleSBhcHA9IkVOIiBkYi1pZD0iOXZzOXB6ZnpuYXB4cGhl
ZmEyOHh6dzk1c2Y1YXYwc3Y5cmR6IiB0aW1lc3RhbXA9IjE1MjExNTkzODciPjkwNzwva2V5Pjwv
Zm9yZWlnbi1rZXlzPjxyZWYtdHlwZSBuYW1lPSJKb3VybmFsIEFydGljbGUiPjE3PC9yZWYtdHlw
ZT48Y29udHJpYnV0b3JzPjxhdXRob3JzPjxhdXRob3I+TW9oZWltYW5pLCBSLiBTLjwvYXV0aG9y
PjxhdXRob3I+QmhldHJhcmF0YW5hLCBNLjwvYXV0aG9yPjxhdXRob3I+UGV0ZXJzLCBLLiBNLjwv
YXV0aG9yPjxhdXRob3I+WWFuZywgQi4gSy48L2F1dGhvcj48YXV0aG9yPllpbiwgRi48L2F1dGhv
cj48YXV0aG9yPkdvcm5iZWluLCBKLjwvYXV0aG9yPjxhdXRob3I+QXJhdWpvLCBKLiBBLjwvYXV0
aG9yPjxhdXRob3I+TWlkZGxla2F1ZmYsIEguIFIuPC9hdXRob3I+PC9hdXRob3JzPjwvY29udHJp
YnV0b3JzPjxhdXRoLWFkZHJlc3M+RGF2aWQgR2VmZmVuIFNjaG9vbCBvZiBNZWRpY2luZSBhdCBV
Q0xBLCBMb3MgQW5nZWxlcywgQ0EuJiN4RDtEaXZpc2lvbiBvZiBDYXJkaW9sb2d5IERlcGFydG1l
bnQgb2YgTWVkaWNpbmUsIERhdmlkIEdlZmZlbiBTY2hvb2wgb2YgTWVkaWNpbmUgYXQgVUNMQSwg
TG9zIEFuZ2VsZXMsIENBLiYjeEQ7RGVwYXJ0bWVudCBvZiBCaW9tYXRoZW1hdGljcywgRGF2aWQg
R2VmZmVuIFNjaG9vbCBvZiBNZWRpY2luZSBhdCBVQ0xBLCBMb3MgQW5nZWxlcywgQ0EuJiN4RDtE
ZXBhcnRtZW50IG9mIEVudmlyb25tZW50YWwgSGVhbHRoIFNjaWVuY2VzLCBTY2hvb2wgb2YgUHVi
bGljIEhlYWx0aCwgTG9zIEFuZ2VsZXMsIENBLiYjeEQ7RGl2aXNpb24gb2YgQ2FyZGlvbG9neSBE
ZXBhcnRtZW50IG9mIE1lZGljaW5lLCBEYXZpZCBHZWZmZW4gU2Nob29sIG9mIE1lZGljaW5lIGF0
IFVDTEEsIExvcyBBbmdlbGVzLCBDQSBobWlkZGxla2F1ZmZAbWVkbmV0LnVjbGEuZWR1LjwvYXV0
aC1hZGRyZXNzPjx0aXRsZXM+PHRpdGxlPlN5bXBhdGhvbWltZXRpYyBFZmZlY3RzIG9mIEFjdXRl
IEUtQ2lnYXJldHRlIFVzZTogUm9sZSBvZiBOaWNvdGluZSBhbmQgTm9uLU5pY290aW5lIENvbnN0
aXR1ZW50czwvdGl0bGU+PHNlY29uZGFyeS10aXRsZT5KIEFtIEhlYXJ0IEFzc29jPC9zZWNvbmRh
cnktdGl0bGU+PGFsdC10aXRsZT5Kb3VybmFsIG9mIHRoZSBBbWVyaWNhbiBIZWFydCBBc3NvY2lh
dGlvbjwvYWx0LXRpdGxlPjwvdGl0bGVzPjxhbHQtcGVyaW9kaWNhbD48ZnVsbC10aXRsZT5Kb3Vy
bmFsIG9mIHRoZSBBbWVyaWNhbiBIZWFydCBBc3NvY2lhdGlvbjwvZnVsbC10aXRsZT48L2FsdC1w
ZXJpb2RpY2FsPjx2b2x1bWU+Njwvdm9sdW1lPjxudW1iZXI+OTwvbnVtYmVyPjxlZGl0aW9uPjIw
MTcvMDkvMjI8L2VkaXRpb24+PGtleXdvcmRzPjxrZXl3b3JkPmVsZWN0cm9uaWMgY2lnYXJldHRl
czwva2V5d29yZD48a2V5d29yZD5oZWFydCByYXRlIHZhcmlhYmlsaXR5PC9rZXl3b3JkPjxrZXl3
b3JkPm5pY290aW5lPC9rZXl3b3JkPjxrZXl3b3JkPm94aWRhbnQgc3RyZXNzPC9rZXl3b3JkPjxr
ZXl3b3JkPnN5bXBhdGhldGljIG5lcnZvdXMgc3lzdGVtPC9rZXl3b3JkPjxrZXl3b3JkPnRvYmFj
Y288L2tleXdvcmQ+PC9rZXl3b3Jkcz48ZGF0ZXM+PHllYXI+MjAxNzwveWVhcj48cHViLWRhdGVz
PjxkYXRlPlNlcCAyMDwvZGF0ZT48L3B1Yi1kYXRlcz48L2RhdGVzPjxpc2JuPjIwNDctOTk4MDwv
aXNibj48YWNjZXNzaW9uLW51bT4yODkzMTUyNzwvYWNjZXNzaW9uLW51bT48dXJscz48L3VybHM+
PGN1c3RvbTI+UE1DNTYzNDI5OTwvY3VzdG9tMj48ZWxlY3Ryb25pYy1yZXNvdXJjZS1udW0+MTAu
MTE2MS9qYWhhLjExNy4wMDY1Nzk8L2VsZWN0cm9uaWMtcmVzb3VyY2UtbnVtPjxyZW1vdGUtZGF0
YWJhc2UtcHJvdmlkZXI+TkxNPC9yZW1vdGUtZGF0YWJhc2UtcHJvdmlkZXI+PGxhbmd1YWdlPmVu
ZzwvbGFuZ3VhZ2U+PC9yZWNvcmQ+PC9DaXRlPjwvRW5kTm90ZT4A
</w:fldData>
            </w:fldChar>
          </w:r>
          <w:r>
            <w:instrText xml:space="preserve"> ADDIN EN.CITE.DATA </w:instrText>
          </w:r>
          <w:r>
            <w:fldChar w:fldCharType="end"/>
          </w:r>
          <w:r>
            <w:fldChar w:fldCharType="separate"/>
          </w:r>
          <w:r>
            <w:rPr>
              <w:noProof/>
            </w:rPr>
            <w:t>(Moheimani, Bhetraratana et al. 2017)</w:t>
          </w:r>
          <w:r>
            <w:fldChar w:fldCharType="end"/>
          </w:r>
          <w:r>
            <w:t xml:space="preserve"> the same authors aimed to determine the role of nicotine versus non-nicotine constituents present in e-cigarette emissions in causing increasing resting </w:t>
          </w:r>
          <w:r>
            <w:rPr>
              <w:b/>
            </w:rPr>
            <w:t>cardiac sympathetic nerve activity</w:t>
          </w:r>
          <w:r>
            <w:t xml:space="preserve"> and increased susceptibility to oxidative stress. Subjects were healthy volunteers (n=33; age 21 - 45 years, mean age 26.3 years) who were not e-cigarette or tobacco users and underwent three </w:t>
          </w:r>
          <w:r>
            <w:rPr>
              <w:b/>
            </w:rPr>
            <w:t>short term</w:t>
          </w:r>
          <w:r>
            <w:t xml:space="preserve"> exposure sessions of: e-cigarette with nicotine, e-cigarette without nicotine and sham smoking. Each exposure session was separated by a 4-week washout period. </w:t>
          </w:r>
        </w:p>
        <w:p w14:paraId="17AFCEDF" w14:textId="77777777" w:rsidR="00371ED0" w:rsidRDefault="000A3834" w:rsidP="000A3834">
          <w:pPr>
            <w:pStyle w:val="BodyText"/>
          </w:pPr>
          <w:r>
            <w:lastRenderedPageBreak/>
            <w:t xml:space="preserve">The e-cigarette initially used was the Greensmoke cigalike device (with 1.2%, or 12mg/ml nicotine), and then, because only 5/15 subjects had detectable nicotine in plasma, the second-generation pen-like device (with 1.2% nicotine). It was reported that still no plasma nicotine was detectable in the first 6 subjects who used the second device for 10 minutes, so the exposure was increased to 30 minutes of use for the remaining 27 subjects. </w:t>
          </w:r>
        </w:p>
        <w:p w14:paraId="6A9E23A1" w14:textId="77777777" w:rsidR="00371ED0" w:rsidRDefault="000A3834" w:rsidP="000A3834">
          <w:pPr>
            <w:pStyle w:val="BodyText"/>
          </w:pPr>
          <w:r>
            <w:t xml:space="preserve">Using the e-cigarette with nicotine (but not the e-cigarette without nicotine) led to a statistically significant and marked shift in cardiac sympatho-vagal balance toward sympathetic predominance: the HF component decreased, the LF component increased and the ratio of LF to HF increased. Whilst the systolic, diastolic and mean arterial blood pressure increased following the use of the e-cigarette with nicotine and decreased following the use of e-cigarette without nicotine or the sham control, changes were not statistically significant. </w:t>
          </w:r>
        </w:p>
        <w:p w14:paraId="0C563F22" w14:textId="77777777" w:rsidR="000A3834" w:rsidRDefault="000A3834" w:rsidP="000A3834">
          <w:pPr>
            <w:pStyle w:val="BodyText"/>
          </w:pPr>
          <w:r>
            <w:t>However, following the use of the e-cigarette with nicotine, plasma nicotine was significantly correlated with change in each of the heart rate variability (HRV) components: plasma nicotine was inversely related to the decrease in HF component (r</w:t>
          </w:r>
          <w:r w:rsidRPr="009E4A79">
            <w:rPr>
              <w:vertAlign w:val="subscript"/>
            </w:rPr>
            <w:t>s</w:t>
          </w:r>
          <w:r>
            <w:t>=-0.25, p=0.02) and directly related to the increase in LF component (r</w:t>
          </w:r>
          <w:r>
            <w:rPr>
              <w:vertAlign w:val="subscript"/>
            </w:rPr>
            <w:t>s</w:t>
          </w:r>
          <w:r>
            <w:t>=0.26, p=0.01) and the LF to HF ratio (r</w:t>
          </w:r>
          <w:r>
            <w:rPr>
              <w:vertAlign w:val="subscript"/>
            </w:rPr>
            <w:t>s</w:t>
          </w:r>
          <w:r>
            <w:t>=0.27, p=0.008). Similarly, plasma nicotine was directly related to the increase in systolic blood pressure (r</w:t>
          </w:r>
          <w:r>
            <w:rPr>
              <w:vertAlign w:val="subscript"/>
            </w:rPr>
            <w:t>s</w:t>
          </w:r>
          <w:r>
            <w:t>=0.21, p=0.04) and heart rate (r</w:t>
          </w:r>
          <w:r>
            <w:rPr>
              <w:vertAlign w:val="subscript"/>
            </w:rPr>
            <w:t>s</w:t>
          </w:r>
          <w:r>
            <w:t xml:space="preserve">=0.21, p=0.04), but not to diastolic or mean blood pressure. </w:t>
          </w:r>
        </w:p>
        <w:p w14:paraId="63C0B21F" w14:textId="77777777" w:rsidR="000A3834" w:rsidRPr="000A3834" w:rsidRDefault="000A3834" w:rsidP="000A3834">
          <w:pPr>
            <w:pStyle w:val="BodyText"/>
          </w:pPr>
        </w:p>
        <w:p w14:paraId="727E46FF" w14:textId="77777777" w:rsidR="000F0E2F" w:rsidRDefault="000F0E2F" w:rsidP="000F0E2F">
          <w:pPr>
            <w:pStyle w:val="Heading3"/>
          </w:pPr>
          <w:r>
            <w:t>What the new studies add to what is already known about e-cigarettes</w:t>
          </w:r>
        </w:p>
        <w:p w14:paraId="71768883" w14:textId="77777777" w:rsidR="000A3834" w:rsidRDefault="000A3834" w:rsidP="000A3834">
          <w:pPr>
            <w:pStyle w:val="Heading4"/>
          </w:pPr>
          <w:r>
            <w:t>Cardiovascular disease</w:t>
          </w:r>
        </w:p>
        <w:p w14:paraId="6B600EBC" w14:textId="1EC32B92" w:rsidR="000A3834" w:rsidRDefault="000A3834" w:rsidP="000A3834">
          <w:pPr>
            <w:autoSpaceDE w:val="0"/>
            <w:autoSpaceDN w:val="0"/>
            <w:adjustRightInd w:val="0"/>
            <w:spacing w:after="0" w:line="264" w:lineRule="auto"/>
            <w:rPr>
              <w:rFonts w:asciiTheme="minorHAnsi" w:hAnsiTheme="minorHAnsi" w:cstheme="minorHAnsi"/>
              <w:sz w:val="24"/>
              <w:szCs w:val="24"/>
            </w:rPr>
          </w:pPr>
          <w:r>
            <w:rPr>
              <w:rFonts w:cs="Calibri"/>
              <w:sz w:val="24"/>
              <w:szCs w:val="24"/>
            </w:rPr>
            <w:t xml:space="preserve">The WHO FCTC states that e-cigarettes may contribute to cardiovascular disease </w:t>
          </w:r>
          <w:r>
            <w:rPr>
              <w:rFonts w:cs="Calibri"/>
              <w:sz w:val="24"/>
              <w:szCs w:val="24"/>
            </w:rPr>
            <w:fldChar w:fldCharType="begin"/>
          </w:r>
          <w:r w:rsidR="00F632ED">
            <w:rPr>
              <w:rFonts w:cs="Calibri"/>
              <w:sz w:val="24"/>
              <w:szCs w:val="24"/>
            </w:rPr>
            <w:instrText xml:space="preserve"> ADDIN EN.CITE &lt;EndNote&gt;&lt;Cite&gt;&lt;Author&gt;World Health Organization&lt;/Author&gt;&lt;Year&gt;2016&lt;/Year&gt;&lt;RecNum&gt;13026&lt;/RecNum&gt;&lt;DisplayText&gt;(World Health Organization 2016)&lt;/DisplayText&gt;&lt;record&gt;&lt;rec-number&gt;13026&lt;/rec-number&gt;&lt;foreign-keys&gt;&lt;key app="EN" db-id="5xv5w5t2bdxtxfezx02xtxdft5rz5ptvvt29" timestamp="1524018676"&gt;13026&lt;/key&gt;&lt;/foreign-keys&gt;&lt;ref-type name="Journal Article"&gt;17&lt;/ref-type&gt;&lt;contributors&gt;&lt;authors&gt;&lt;author&gt;World Health Organization,&lt;/author&gt;&lt;/authors&gt;&lt;/contributors&gt;&lt;titles&gt;&lt;title&gt;Electronic Nicotine Delivery Systems and Electronic Non-Nicotine Delivery Systems (ENDS/ENNDS)&lt;/title&gt;&lt;/titles&gt;&lt;dates&gt;&lt;year&gt;2016&lt;/year&gt;&lt;/dates&gt;&lt;urls&gt;&lt;/urls&gt;&lt;/record&gt;&lt;/Cite&gt;&lt;/EndNote&gt;</w:instrText>
          </w:r>
          <w:r>
            <w:rPr>
              <w:rFonts w:cs="Calibri"/>
              <w:sz w:val="24"/>
              <w:szCs w:val="24"/>
            </w:rPr>
            <w:fldChar w:fldCharType="separate"/>
          </w:r>
          <w:r w:rsidR="00F632ED">
            <w:rPr>
              <w:rFonts w:cs="Calibri"/>
              <w:noProof/>
              <w:sz w:val="24"/>
              <w:szCs w:val="24"/>
            </w:rPr>
            <w:t>(World Health Organization 2016)</w:t>
          </w:r>
          <w:r>
            <w:rPr>
              <w:rFonts w:cs="Calibri"/>
              <w:sz w:val="24"/>
              <w:szCs w:val="24"/>
            </w:rPr>
            <w:fldChar w:fldCharType="end"/>
          </w:r>
          <w:r>
            <w:rPr>
              <w:rFonts w:cs="Calibri"/>
              <w:sz w:val="24"/>
              <w:szCs w:val="24"/>
            </w:rPr>
            <w:t xml:space="preserve">, whilst other reviews provide more mixed evidence. The US National Academies of Sciences, Engineering and Medicine Review (National Academy of Sciences) </w:t>
          </w:r>
          <w:r>
            <w:rPr>
              <w:rFonts w:cs="Calibri"/>
              <w:sz w:val="24"/>
              <w:szCs w:val="24"/>
            </w:rPr>
            <w:fldChar w:fldCharType="begin"/>
          </w:r>
          <w:r w:rsidR="00903735">
            <w:rPr>
              <w:rFonts w:cs="Calibri"/>
              <w:sz w:val="24"/>
              <w:szCs w:val="24"/>
            </w:rPr>
            <w:instrText xml:space="preserve"> ADDIN EN.CITE &lt;EndNote&gt;&lt;Cite&gt;&lt;Author&gt;Stratton&lt;/Author&gt;&lt;Year&gt;2018&lt;/Year&gt;&lt;RecNum&gt;7073&lt;/RecNum&gt;&lt;DisplayText&gt;(Stratton, Kwan et al. 2018)&lt;/DisplayText&gt;&lt;record&gt;&lt;rec-number&gt;7073&lt;/rec-number&gt;&lt;foreign-keys&gt;&lt;key app="EN" db-id="5xv5w5t2bdxtxfezx02xtxdft5rz5ptvvt29" timestamp="1521076678"&gt;7073&lt;/key&gt;&lt;/foreign-keys&gt;&lt;ref-type name="Report"&gt;27&lt;/ref-type&gt;&lt;contributors&gt;&lt;authors&gt;&lt;author&gt;Kathleen Stratton&lt;/author&gt;&lt;author&gt;Leslie Y Kwan&lt;/author&gt;&lt;author&gt;David L Eaton&lt;/author&gt;&lt;/authors&gt;&lt;tertiary-authors&gt;&lt;author&gt;The National Academies Press&lt;/author&gt;&lt;/tertiary-authors&gt;&lt;/contributors&gt;&lt;titles&gt;&lt;title&gt;Public Health Consequences of e-Cigarettes&lt;/title&gt;&lt;/titles&gt;&lt;dates&gt;&lt;year&gt;2018&lt;/year&gt;&lt;/dates&gt;&lt;pub-location&gt;Washington DC&lt;/pub-location&gt;&lt;publisher&gt;Board on Population Health and Public Health Practice, Health and Medicine Division, The National Academies of Sciences, Engineering and Medicine&lt;/publisher&gt;&lt;urls&gt;&lt;/urls&gt;&lt;/record&gt;&lt;/Cite&gt;&lt;/EndNote&gt;</w:instrText>
          </w:r>
          <w:r>
            <w:rPr>
              <w:rFonts w:cs="Calibri"/>
              <w:sz w:val="24"/>
              <w:szCs w:val="24"/>
            </w:rPr>
            <w:fldChar w:fldCharType="separate"/>
          </w:r>
          <w:r>
            <w:rPr>
              <w:rFonts w:cs="Calibri"/>
              <w:noProof/>
              <w:sz w:val="24"/>
              <w:szCs w:val="24"/>
            </w:rPr>
            <w:t>(Stratton, Kwan et al. 2018)</w:t>
          </w:r>
          <w:r>
            <w:rPr>
              <w:rFonts w:cs="Calibri"/>
              <w:sz w:val="24"/>
              <w:szCs w:val="24"/>
            </w:rPr>
            <w:fldChar w:fldCharType="end"/>
          </w:r>
          <w:r>
            <w:rPr>
              <w:rFonts w:cs="Calibri"/>
              <w:sz w:val="24"/>
              <w:szCs w:val="24"/>
            </w:rPr>
            <w:t xml:space="preserve"> conducted a review on the health effects of e-cigarettes with a search completed on</w:t>
          </w:r>
          <w:r>
            <w:rPr>
              <w:rFonts w:eastAsiaTheme="minorHAnsi" w:cs="Calibri"/>
              <w:color w:val="auto"/>
              <w:sz w:val="24"/>
              <w:szCs w:val="24"/>
            </w:rPr>
            <w:t xml:space="preserve"> 31 August 2017 (unlimited date for publications included)</w:t>
          </w:r>
          <w:r>
            <w:rPr>
              <w:rFonts w:asciiTheme="minorHAnsi" w:hAnsiTheme="minorHAnsi" w:cstheme="minorHAnsi"/>
              <w:sz w:val="24"/>
              <w:szCs w:val="24"/>
            </w:rPr>
            <w:t xml:space="preserve">. The Public Health England Review </w:t>
          </w:r>
          <w:r>
            <w:rPr>
              <w:rFonts w:asciiTheme="minorHAnsi" w:hAnsiTheme="minorHAnsi" w:cstheme="minorHAnsi"/>
              <w:sz w:val="24"/>
              <w:szCs w:val="24"/>
            </w:rPr>
            <w:fldChar w:fldCharType="begin"/>
          </w:r>
          <w:r>
            <w:rPr>
              <w:rFonts w:asciiTheme="minorHAnsi" w:hAnsiTheme="minorHAnsi" w:cstheme="minorHAnsi"/>
              <w:sz w:val="24"/>
              <w:szCs w:val="24"/>
            </w:rPr>
            <w:instrText xml:space="preserve"> ADDIN EN.CITE &lt;EndNote&gt;&lt;Cite&gt;&lt;Author&gt;McNeill A&lt;/Author&gt;&lt;Year&gt;2018&lt;/Year&gt;&lt;RecNum&gt;13025&lt;/RecNum&gt;&lt;DisplayText&gt;(McNeill A 2018)&lt;/DisplayText&gt;&lt;record&gt;&lt;rec-number&gt;13025&lt;/rec-number&gt;&lt;foreign-keys&gt;&lt;key app="EN" db-id="5xv5w5t2bdxtxfezx02xtxdft5rz5ptvvt29" timestamp="1524018409"&gt;13025&lt;/key&gt;&lt;/foreign-keys&gt;&lt;ref-type name="Journal Article"&gt;17&lt;/ref-type&gt;&lt;contributors&gt;&lt;authors&gt;&lt;author&gt;McNeill A,  Brose LS, Calder R,  Bauld L, Robson D.&lt;/author&gt;&lt;/authors&gt;&lt;/contributors&gt;&lt;titles&gt;&lt;title&gt;Evidence Review of e-cigarettes and heated tobacco products 2018. A Report comissioned by Public Health England.&lt;/title&gt;&lt;/titles&gt;&lt;dates&gt;&lt;year&gt;2018&lt;/year&gt;&lt;/dates&gt;&lt;urls&gt;&lt;/urls&gt;&lt;/record&gt;&lt;/Cite&gt;&lt;/EndNote&gt;</w:instrText>
          </w:r>
          <w:r>
            <w:rPr>
              <w:rFonts w:asciiTheme="minorHAnsi" w:hAnsiTheme="minorHAnsi" w:cstheme="minorHAnsi"/>
              <w:sz w:val="24"/>
              <w:szCs w:val="24"/>
            </w:rPr>
            <w:fldChar w:fldCharType="separate"/>
          </w:r>
          <w:r>
            <w:rPr>
              <w:rFonts w:asciiTheme="minorHAnsi" w:hAnsiTheme="minorHAnsi" w:cstheme="minorHAnsi"/>
              <w:noProof/>
              <w:sz w:val="24"/>
              <w:szCs w:val="24"/>
            </w:rPr>
            <w:t>(McNeill A 2018)</w:t>
          </w:r>
          <w:r>
            <w:rPr>
              <w:rFonts w:asciiTheme="minorHAnsi" w:hAnsiTheme="minorHAnsi" w:cstheme="minorHAnsi"/>
              <w:sz w:val="24"/>
              <w:szCs w:val="24"/>
            </w:rPr>
            <w:fldChar w:fldCharType="end"/>
          </w:r>
          <w:r>
            <w:rPr>
              <w:rFonts w:asciiTheme="minorHAnsi" w:hAnsiTheme="minorHAnsi" w:cstheme="minorHAnsi"/>
              <w:sz w:val="24"/>
              <w:szCs w:val="24"/>
            </w:rPr>
            <w:t xml:space="preserve"> searched peer reviewed literature on e-cigarettes (from Jan</w:t>
          </w:r>
          <w:r w:rsidR="00F70203">
            <w:rPr>
              <w:rFonts w:asciiTheme="minorHAnsi" w:hAnsiTheme="minorHAnsi" w:cstheme="minorHAnsi"/>
              <w:sz w:val="24"/>
              <w:szCs w:val="24"/>
            </w:rPr>
            <w:t>uary </w:t>
          </w:r>
          <w:r>
            <w:rPr>
              <w:rFonts w:asciiTheme="minorHAnsi" w:hAnsiTheme="minorHAnsi" w:cstheme="minorHAnsi"/>
              <w:sz w:val="24"/>
              <w:szCs w:val="24"/>
            </w:rPr>
            <w:t>2015 to 18 Aug</w:t>
          </w:r>
          <w:r w:rsidR="00F70203">
            <w:rPr>
              <w:rFonts w:asciiTheme="minorHAnsi" w:hAnsiTheme="minorHAnsi" w:cstheme="minorHAnsi"/>
              <w:sz w:val="24"/>
              <w:szCs w:val="24"/>
            </w:rPr>
            <w:t>ust</w:t>
          </w:r>
          <w:r>
            <w:rPr>
              <w:rFonts w:asciiTheme="minorHAnsi" w:hAnsiTheme="minorHAnsi" w:cstheme="minorHAnsi"/>
              <w:sz w:val="24"/>
              <w:szCs w:val="24"/>
            </w:rPr>
            <w:t xml:space="preserve"> 2017) to determine health effects. Previous reviews concluded that: </w:t>
          </w:r>
        </w:p>
        <w:p w14:paraId="5F2239F5" w14:textId="77777777" w:rsidR="000A3834" w:rsidRDefault="000A3834" w:rsidP="000A3834">
          <w:pPr>
            <w:autoSpaceDE w:val="0"/>
            <w:autoSpaceDN w:val="0"/>
            <w:adjustRightInd w:val="0"/>
            <w:spacing w:after="0"/>
            <w:rPr>
              <w:rFonts w:asciiTheme="minorHAnsi" w:hAnsiTheme="minorHAnsi" w:cstheme="minorHAnsi"/>
            </w:rPr>
          </w:pPr>
        </w:p>
        <w:p w14:paraId="3F1648FE" w14:textId="77777777" w:rsidR="000A3834" w:rsidRDefault="000A3834" w:rsidP="000A3834">
          <w:pPr>
            <w:pStyle w:val="Boxedtext"/>
            <w:ind w:left="0"/>
            <w:rPr>
              <w:b/>
              <w:sz w:val="28"/>
              <w:szCs w:val="28"/>
            </w:rPr>
          </w:pPr>
          <w:r>
            <w:rPr>
              <w:b/>
              <w:sz w:val="28"/>
              <w:szCs w:val="28"/>
            </w:rPr>
            <w:t>Previous studies</w:t>
          </w:r>
        </w:p>
        <w:p w14:paraId="54FAFBB5" w14:textId="77777777" w:rsidR="000A3834" w:rsidRDefault="000A3834" w:rsidP="000A3834">
          <w:pPr>
            <w:pStyle w:val="Boxedtext"/>
            <w:ind w:left="0"/>
          </w:pPr>
          <w:r>
            <w:t xml:space="preserve">‘There is </w:t>
          </w:r>
          <w:r>
            <w:rPr>
              <w:b/>
            </w:rPr>
            <w:t>no available evidence</w:t>
          </w:r>
          <w:r>
            <w:t xml:space="preserve"> whether or not e-cigarette use is associated with clinical cardiovascular outcomes (coronary heart disease, stroke, and peripheral artery disease) and subclinical atherosclerosis (carotid intima media-thickness and coronary artery calcification) ... and that there was ‘limited evidence…that e-cigarette use is associated with…arterial stiffness and autonomic control.’</w:t>
          </w:r>
          <w:r>
            <w:fldChar w:fldCharType="begin"/>
          </w:r>
          <w:r w:rsidR="00903735">
            <w:instrText xml:space="preserve"> ADDIN EN.CITE &lt;EndNote&gt;&lt;Cite&gt;&lt;Author&gt;Stratton&lt;/Author&gt;&lt;Year&gt;2018&lt;/Year&gt;&lt;RecNum&gt;7073&lt;/RecNum&gt;&lt;DisplayText&gt;(Stratton, Kwan et al. 2018)&lt;/DisplayText&gt;&lt;record&gt;&lt;rec-number&gt;7073&lt;/rec-number&gt;&lt;foreign-keys&gt;&lt;key app="EN" db-id="5xv5w5t2bdxtxfezx02xtxdft5rz5ptvvt29" timestamp="1521076678"&gt;7073&lt;/key&gt;&lt;/foreign-keys&gt;&lt;ref-type name="Report"&gt;27&lt;/ref-type&gt;&lt;contributors&gt;&lt;authors&gt;&lt;author&gt;Kathleen Stratton&lt;/author&gt;&lt;author&gt;Leslie Y Kwan&lt;/author&gt;&lt;author&gt;David L Eaton&lt;/author&gt;&lt;/authors&gt;&lt;tertiary-authors&gt;&lt;author&gt;The National Academies Press&lt;/author&gt;&lt;/tertiary-authors&gt;&lt;/contributors&gt;&lt;titles&gt;&lt;title&gt;Public Health Consequences of e-Cigarettes&lt;/title&gt;&lt;/titles&gt;&lt;dates&gt;&lt;year&gt;2018&lt;/year&gt;&lt;/dates&gt;&lt;pub-location&gt;Washington DC&lt;/pub-location&gt;&lt;publisher&gt;Board on Population Health and Public Health Practice, Health and Medicine Division, The National Academies of Sciences, Engineering and Medicine&lt;/publisher&gt;&lt;urls&gt;&lt;/urls&gt;&lt;/record&gt;&lt;/Cite&gt;&lt;/EndNote&gt;</w:instrText>
          </w:r>
          <w:r>
            <w:fldChar w:fldCharType="separate"/>
          </w:r>
          <w:r>
            <w:rPr>
              <w:noProof/>
            </w:rPr>
            <w:t>(Stratton, Kwan et al. 2018)</w:t>
          </w:r>
          <w:r>
            <w:fldChar w:fldCharType="end"/>
          </w:r>
        </w:p>
        <w:p w14:paraId="3B973AE0" w14:textId="77777777" w:rsidR="000A3834" w:rsidRDefault="000A3834" w:rsidP="000A3834">
          <w:pPr>
            <w:autoSpaceDE w:val="0"/>
            <w:autoSpaceDN w:val="0"/>
            <w:adjustRightInd w:val="0"/>
            <w:spacing w:after="0"/>
            <w:rPr>
              <w:rFonts w:asciiTheme="minorHAnsi" w:hAnsiTheme="minorHAnsi" w:cstheme="minorHAnsi"/>
            </w:rPr>
          </w:pPr>
        </w:p>
        <w:p w14:paraId="33BA8156" w14:textId="77777777" w:rsidR="000A3834" w:rsidRDefault="000A3834" w:rsidP="000A3834">
          <w:pPr>
            <w:pStyle w:val="BodyText"/>
            <w:rPr>
              <w:rFonts w:asciiTheme="minorHAnsi" w:hAnsiTheme="minorHAnsi" w:cstheme="minorHAnsi"/>
              <w:szCs w:val="24"/>
            </w:rPr>
          </w:pPr>
          <w:r>
            <w:rPr>
              <w:rFonts w:asciiTheme="minorHAnsi" w:hAnsiTheme="minorHAnsi" w:cstheme="minorHAnsi"/>
              <w:szCs w:val="24"/>
            </w:rPr>
            <w:t>The Public Health England review included the conclusions of other reviews, not just original studies, with one such review claiming that the short-term use of e-cigarettes was associated with low cardiovascular risk among healthy users.</w:t>
          </w:r>
        </w:p>
        <w:p w14:paraId="1500918B" w14:textId="77777777" w:rsidR="000A3834" w:rsidRDefault="000A3834" w:rsidP="000A3834">
          <w:pPr>
            <w:autoSpaceDE w:val="0"/>
            <w:autoSpaceDN w:val="0"/>
            <w:adjustRightInd w:val="0"/>
            <w:spacing w:after="0"/>
            <w:rPr>
              <w:rFonts w:asciiTheme="minorHAnsi" w:hAnsiTheme="minorHAnsi" w:cstheme="minorHAnsi"/>
              <w:sz w:val="24"/>
              <w:szCs w:val="24"/>
            </w:rPr>
          </w:pPr>
          <w:r>
            <w:rPr>
              <w:rFonts w:asciiTheme="minorHAnsi" w:hAnsiTheme="minorHAnsi" w:cstheme="minorHAnsi"/>
              <w:sz w:val="24"/>
              <w:szCs w:val="24"/>
            </w:rPr>
            <w:lastRenderedPageBreak/>
            <w:t>The results from new studies identified in this review were mixed, however, the study with the strongest study design, the randomised cross-over study by Moheimani et al.,</w:t>
          </w:r>
          <w:r w:rsidRPr="000515F0">
            <w:rPr>
              <w:rFonts w:asciiTheme="minorHAnsi" w:hAnsiTheme="minorHAnsi" w:cstheme="minorHAnsi"/>
              <w:sz w:val="24"/>
              <w:szCs w:val="24"/>
            </w:rPr>
            <w:t xml:space="preserve"> </w:t>
          </w:r>
          <w:r>
            <w:rPr>
              <w:rFonts w:asciiTheme="minorHAnsi" w:hAnsiTheme="minorHAnsi" w:cstheme="minorHAnsi"/>
              <w:sz w:val="24"/>
              <w:szCs w:val="24"/>
            </w:rPr>
            <w:t>attributed increased cardiac sympathetic nerve activity to the use of e-cigarettes containing nicotine. The authors attributed the effect</w:t>
          </w:r>
          <w:r w:rsidRPr="002E034B">
            <w:rPr>
              <w:rFonts w:asciiTheme="minorHAnsi" w:hAnsiTheme="minorHAnsi" w:cstheme="minorHAnsi"/>
              <w:sz w:val="24"/>
              <w:szCs w:val="24"/>
            </w:rPr>
            <w:t xml:space="preserve"> </w:t>
          </w:r>
          <w:r>
            <w:rPr>
              <w:rFonts w:asciiTheme="minorHAnsi" w:hAnsiTheme="minorHAnsi" w:cstheme="minorHAnsi"/>
              <w:sz w:val="24"/>
              <w:szCs w:val="24"/>
            </w:rPr>
            <w:t>to inhaled nicotine. They state the effect should not be considered benign, but related to increased cardiovascular disease.</w:t>
          </w:r>
        </w:p>
        <w:p w14:paraId="4553B879" w14:textId="77777777" w:rsidR="00F724C0" w:rsidRPr="00A432C9" w:rsidRDefault="00F724C0" w:rsidP="000A3834">
          <w:pPr>
            <w:autoSpaceDE w:val="0"/>
            <w:autoSpaceDN w:val="0"/>
            <w:adjustRightInd w:val="0"/>
            <w:spacing w:after="0"/>
            <w:rPr>
              <w:rFonts w:cs="Calibri"/>
              <w:sz w:val="24"/>
              <w:szCs w:val="24"/>
            </w:rPr>
          </w:pPr>
        </w:p>
        <w:p w14:paraId="51DC380B" w14:textId="77777777" w:rsidR="000A3834" w:rsidRDefault="000A3834" w:rsidP="000A3834">
          <w:pPr>
            <w:pStyle w:val="Heading4"/>
          </w:pPr>
          <w:r>
            <w:t>Heart rate</w:t>
          </w:r>
        </w:p>
        <w:p w14:paraId="085EE0D5" w14:textId="7330C6DB" w:rsidR="000A3834" w:rsidRDefault="000A3834" w:rsidP="000A3834">
          <w:pPr>
            <w:autoSpaceDE w:val="0"/>
            <w:autoSpaceDN w:val="0"/>
            <w:adjustRightInd w:val="0"/>
            <w:spacing w:after="0"/>
            <w:rPr>
              <w:rFonts w:asciiTheme="minorHAnsi" w:hAnsiTheme="minorHAnsi" w:cstheme="minorHAnsi"/>
              <w:iCs/>
              <w:sz w:val="24"/>
              <w:szCs w:val="24"/>
            </w:rPr>
          </w:pPr>
          <w:r>
            <w:rPr>
              <w:rFonts w:asciiTheme="minorHAnsi" w:hAnsiTheme="minorHAnsi" w:cstheme="minorHAnsi"/>
              <w:iCs/>
              <w:sz w:val="24"/>
              <w:szCs w:val="24"/>
            </w:rPr>
            <w:t xml:space="preserve">The US Academies of Sciences review concluded that ‘there is </w:t>
          </w:r>
          <w:r>
            <w:rPr>
              <w:rFonts w:asciiTheme="minorHAnsi" w:hAnsiTheme="minorHAnsi" w:cstheme="minorHAnsi"/>
              <w:b/>
              <w:iCs/>
              <w:sz w:val="24"/>
              <w:szCs w:val="24"/>
            </w:rPr>
            <w:t>substantial evidence</w:t>
          </w:r>
          <w:r>
            <w:rPr>
              <w:rFonts w:asciiTheme="minorHAnsi" w:hAnsiTheme="minorHAnsi" w:cstheme="minorHAnsi"/>
              <w:iCs/>
              <w:sz w:val="24"/>
              <w:szCs w:val="24"/>
            </w:rPr>
            <w:t xml:space="preserve"> that heart rate increases after nicotine intake from e-cigarettes.’ The Moheimani et al. study confirmed the association between plasma nicotine and heart rate described in previous reviews. The Staudt et al. study did not observe an association between e-cigarette use, with or without nicotine, and heart rate, however, this was a very small study with a number of substantial limitations. The US Academies of Sciences</w:t>
          </w:r>
          <w:r w:rsidRPr="000515F0">
            <w:rPr>
              <w:rFonts w:asciiTheme="minorHAnsi" w:hAnsiTheme="minorHAnsi" w:cstheme="minorHAnsi"/>
              <w:iCs/>
              <w:sz w:val="24"/>
              <w:szCs w:val="24"/>
            </w:rPr>
            <w:t xml:space="preserve"> review also highlighted </w:t>
          </w:r>
          <w:r w:rsidRPr="000515F0">
            <w:rPr>
              <w:rFonts w:asciiTheme="minorHAnsi" w:hAnsiTheme="minorHAnsi" w:cstheme="minorHAnsi"/>
              <w:b/>
              <w:iCs/>
              <w:sz w:val="24"/>
              <w:szCs w:val="24"/>
            </w:rPr>
            <w:t>the different effects of flavourants</w:t>
          </w:r>
          <w:r w:rsidRPr="000515F0">
            <w:rPr>
              <w:rFonts w:asciiTheme="minorHAnsi" w:hAnsiTheme="minorHAnsi" w:cstheme="minorHAnsi"/>
              <w:iCs/>
              <w:sz w:val="24"/>
              <w:szCs w:val="24"/>
            </w:rPr>
            <w:t xml:space="preserve"> on heart rate.</w:t>
          </w:r>
          <w:r>
            <w:rPr>
              <w:rFonts w:asciiTheme="minorHAnsi" w:hAnsiTheme="minorHAnsi" w:cstheme="minorHAnsi"/>
              <w:iCs/>
              <w:sz w:val="24"/>
              <w:szCs w:val="24"/>
            </w:rPr>
            <w:t xml:space="preserve"> Previously, the WHO report suggested that cherry, popcorn and cinnamon flavours were potentially more harmful than others </w:t>
          </w:r>
          <w:r>
            <w:rPr>
              <w:rFonts w:asciiTheme="minorHAnsi" w:hAnsiTheme="minorHAnsi" w:cstheme="minorHAnsi"/>
              <w:iCs/>
              <w:sz w:val="24"/>
              <w:szCs w:val="24"/>
            </w:rPr>
            <w:fldChar w:fldCharType="begin"/>
          </w:r>
          <w:r w:rsidR="00F632ED">
            <w:rPr>
              <w:rFonts w:asciiTheme="minorHAnsi" w:hAnsiTheme="minorHAnsi" w:cstheme="minorHAnsi"/>
              <w:iCs/>
              <w:sz w:val="24"/>
              <w:szCs w:val="24"/>
            </w:rPr>
            <w:instrText xml:space="preserve"> ADDIN EN.CITE &lt;EndNote&gt;&lt;Cite&gt;&lt;Author&gt;World Health Organization&lt;/Author&gt;&lt;Year&gt;2016&lt;/Year&gt;&lt;RecNum&gt;13026&lt;/RecNum&gt;&lt;DisplayText&gt;(World Health Organization 2016)&lt;/DisplayText&gt;&lt;record&gt;&lt;rec-number&gt;13026&lt;/rec-number&gt;&lt;foreign-keys&gt;&lt;key app="EN" db-id="5xv5w5t2bdxtxfezx02xtxdft5rz5ptvvt29" timestamp="1524018676"&gt;13026&lt;/key&gt;&lt;/foreign-keys&gt;&lt;ref-type name="Journal Article"&gt;17&lt;/ref-type&gt;&lt;contributors&gt;&lt;authors&gt;&lt;author&gt;World Health Organization,&lt;/author&gt;&lt;/authors&gt;&lt;/contributors&gt;&lt;titles&gt;&lt;title&gt;Electronic Nicotine Delivery Systems and Electronic Non-Nicotine Delivery Systems (ENDS/ENNDS)&lt;/title&gt;&lt;/titles&gt;&lt;dates&gt;&lt;year&gt;2016&lt;/year&gt;&lt;/dates&gt;&lt;urls&gt;&lt;/urls&gt;&lt;/record&gt;&lt;/Cite&gt;&lt;/EndNote&gt;</w:instrText>
          </w:r>
          <w:r>
            <w:rPr>
              <w:rFonts w:asciiTheme="minorHAnsi" w:hAnsiTheme="minorHAnsi" w:cstheme="minorHAnsi"/>
              <w:iCs/>
              <w:sz w:val="24"/>
              <w:szCs w:val="24"/>
            </w:rPr>
            <w:fldChar w:fldCharType="separate"/>
          </w:r>
          <w:r w:rsidR="00F632ED">
            <w:rPr>
              <w:rFonts w:asciiTheme="minorHAnsi" w:hAnsiTheme="minorHAnsi" w:cstheme="minorHAnsi"/>
              <w:iCs/>
              <w:noProof/>
              <w:sz w:val="24"/>
              <w:szCs w:val="24"/>
            </w:rPr>
            <w:t>(World Health Organization 2016)</w:t>
          </w:r>
          <w:r>
            <w:rPr>
              <w:rFonts w:asciiTheme="minorHAnsi" w:hAnsiTheme="minorHAnsi" w:cstheme="minorHAnsi"/>
              <w:iCs/>
              <w:sz w:val="24"/>
              <w:szCs w:val="24"/>
            </w:rPr>
            <w:fldChar w:fldCharType="end"/>
          </w:r>
          <w:r>
            <w:rPr>
              <w:rFonts w:asciiTheme="minorHAnsi" w:hAnsiTheme="minorHAnsi" w:cstheme="minorHAnsi"/>
              <w:iCs/>
              <w:sz w:val="24"/>
              <w:szCs w:val="24"/>
            </w:rPr>
            <w:t xml:space="preserve">. </w:t>
          </w:r>
        </w:p>
        <w:p w14:paraId="3AE3EEE5" w14:textId="00C15881" w:rsidR="000A3834" w:rsidRDefault="000A3834" w:rsidP="000A3834">
          <w:pPr>
            <w:autoSpaceDE w:val="0"/>
            <w:autoSpaceDN w:val="0"/>
            <w:adjustRightInd w:val="0"/>
            <w:spacing w:after="0"/>
            <w:rPr>
              <w:rFonts w:asciiTheme="minorHAnsi" w:hAnsiTheme="minorHAnsi" w:cstheme="minorHAnsi"/>
              <w:iCs/>
              <w:sz w:val="24"/>
              <w:szCs w:val="24"/>
            </w:rPr>
          </w:pPr>
        </w:p>
        <w:p w14:paraId="5550A4C7" w14:textId="77777777" w:rsidR="000A3834" w:rsidRDefault="000A3834" w:rsidP="000A3834">
          <w:pPr>
            <w:pStyle w:val="Heading4"/>
          </w:pPr>
          <w:r>
            <w:t>Blood pressure</w:t>
          </w:r>
        </w:p>
        <w:p w14:paraId="11CE3B1D" w14:textId="77777777" w:rsidR="000A3834" w:rsidRDefault="000A3834" w:rsidP="000A3834">
          <w:pPr>
            <w:pStyle w:val="BodyText"/>
            <w:shd w:val="clear" w:color="auto" w:fill="FFFFFF"/>
            <w:rPr>
              <w:rFonts w:asciiTheme="minorHAnsi" w:hAnsiTheme="minorHAnsi" w:cstheme="minorHAnsi"/>
            </w:rPr>
          </w:pPr>
          <w:r>
            <w:rPr>
              <w:rFonts w:asciiTheme="minorHAnsi" w:hAnsiTheme="minorHAnsi" w:cstheme="minorHAnsi"/>
            </w:rPr>
            <w:t xml:space="preserve">In regard to blood pressure, the US Academies of Science </w:t>
          </w:r>
          <w:r>
            <w:rPr>
              <w:rFonts w:asciiTheme="minorHAnsi" w:hAnsiTheme="minorHAnsi" w:cstheme="minorHAnsi"/>
            </w:rPr>
            <w:fldChar w:fldCharType="begin"/>
          </w:r>
          <w:r w:rsidR="00903735">
            <w:rPr>
              <w:rFonts w:asciiTheme="minorHAnsi" w:hAnsiTheme="minorHAnsi" w:cstheme="minorHAnsi"/>
            </w:rPr>
            <w:instrText xml:space="preserve"> ADDIN EN.CITE &lt;EndNote&gt;&lt;Cite&gt;&lt;Author&gt;Stratton&lt;/Author&gt;&lt;Year&gt;2018&lt;/Year&gt;&lt;RecNum&gt;7073&lt;/RecNum&gt;&lt;DisplayText&gt;(Stratton, Kwan et al. 2018)&lt;/DisplayText&gt;&lt;record&gt;&lt;rec-number&gt;7073&lt;/rec-number&gt;&lt;foreign-keys&gt;&lt;key app="EN" db-id="5xv5w5t2bdxtxfezx02xtxdft5rz5ptvvt29" timestamp="1521076678"&gt;7073&lt;/key&gt;&lt;/foreign-keys&gt;&lt;ref-type name="Report"&gt;27&lt;/ref-type&gt;&lt;contributors&gt;&lt;authors&gt;&lt;author&gt;Kathleen Stratton&lt;/author&gt;&lt;author&gt;Leslie Y Kwan&lt;/author&gt;&lt;author&gt;David L Eaton&lt;/author&gt;&lt;/authors&gt;&lt;tertiary-authors&gt;&lt;author&gt;The National Academies Press&lt;/author&gt;&lt;/tertiary-authors&gt;&lt;/contributors&gt;&lt;titles&gt;&lt;title&gt;Public Health Consequences of e-Cigarettes&lt;/title&gt;&lt;/titles&gt;&lt;dates&gt;&lt;year&gt;2018&lt;/year&gt;&lt;/dates&gt;&lt;pub-location&gt;Washington DC&lt;/pub-location&gt;&lt;publisher&gt;Board on Population Health and Public Health Practice, Health and Medicine Division, The National Academies of Sciences, Engineering and Medicine&lt;/publisher&gt;&lt;urls&gt;&lt;/urls&gt;&lt;/record&gt;&lt;/Cite&gt;&lt;/EndNote&gt;</w:instrText>
          </w:r>
          <w:r>
            <w:rPr>
              <w:rFonts w:asciiTheme="minorHAnsi" w:hAnsiTheme="minorHAnsi" w:cstheme="minorHAnsi"/>
            </w:rPr>
            <w:fldChar w:fldCharType="separate"/>
          </w:r>
          <w:r>
            <w:rPr>
              <w:rFonts w:asciiTheme="minorHAnsi" w:hAnsiTheme="minorHAnsi" w:cstheme="minorHAnsi"/>
              <w:noProof/>
            </w:rPr>
            <w:t>(Stratton, Kwan et al. 2018)</w:t>
          </w:r>
          <w:r>
            <w:rPr>
              <w:rFonts w:asciiTheme="minorHAnsi" w:hAnsiTheme="minorHAnsi" w:cstheme="minorHAnsi"/>
            </w:rPr>
            <w:fldChar w:fldCharType="end"/>
          </w:r>
          <w:r>
            <w:rPr>
              <w:rFonts w:asciiTheme="minorHAnsi" w:hAnsiTheme="minorHAnsi" w:cstheme="minorHAnsi"/>
            </w:rPr>
            <w:t xml:space="preserve"> review identified moderate evidence that diastolic blood pressure (DBP) increases after nicotine intake from e-cigarettes and limited evidence that e-cigarette use is associated with a short-term increase in systolic blood pressure (SBP). Of the studies examined here, the cohort study by Polosa et al. found no effect of e-cigarette use on DBP or SBP, however, the sample size of this study was small and confounders were not considered. On the other hand, the randomised cross-over study by Moheimani et al. found plasma nicotine following use of an e-cigarette with nicotine was associated with increased SBP but not DBP or mean BP. </w:t>
          </w:r>
        </w:p>
        <w:p w14:paraId="2FBE92B1" w14:textId="5B6BD1BA" w:rsidR="000A3834" w:rsidRDefault="000A3834" w:rsidP="000A3834">
          <w:pPr>
            <w:pStyle w:val="BodyText"/>
            <w:shd w:val="clear" w:color="auto" w:fill="FFFFFF"/>
            <w:rPr>
              <w:rFonts w:asciiTheme="minorHAnsi" w:hAnsiTheme="minorHAnsi" w:cstheme="minorHAnsi"/>
            </w:rPr>
          </w:pPr>
        </w:p>
        <w:p w14:paraId="3D0E4AE5" w14:textId="77777777" w:rsidR="000A3834" w:rsidRDefault="000A3834" w:rsidP="000A3834">
          <w:pPr>
            <w:pStyle w:val="Heading4"/>
          </w:pPr>
          <w:r>
            <w:t>Conclusions</w:t>
          </w:r>
        </w:p>
        <w:p w14:paraId="685C0EAD" w14:textId="77777777" w:rsidR="00E4466B" w:rsidRDefault="000A3834" w:rsidP="000A3834">
          <w:pPr>
            <w:pStyle w:val="BodyText"/>
          </w:pPr>
          <w:r>
            <w:rPr>
              <w:rFonts w:asciiTheme="minorHAnsi" w:hAnsiTheme="minorHAnsi" w:cstheme="minorHAnsi"/>
            </w:rPr>
            <w:t>T</w:t>
          </w:r>
          <w:r>
            <w:t xml:space="preserve">he studies reviewed here were few in number and all had very small sample sizes. The Polosa et al study was the only prospective cohort study considered in this review which also had a very small sample size. Studies with a small sample size have two major limitations which must be considered. Firstly, the power to detect an association is limited and therefore, if no association is observed it may be due to the lack of power of the study rather than the lack of a relationship between e-cigarette use and the health outcome of interest. Secondly, other than the randomised cross-over study, all other studies should control for potential confounders, however, due to the lack of power, these studies were unable to adjust for confounders and this is likely to bias the results. </w:t>
          </w:r>
        </w:p>
        <w:p w14:paraId="2EABFABC" w14:textId="77777777" w:rsidR="000A3834" w:rsidRDefault="000A3834" w:rsidP="000A3834">
          <w:pPr>
            <w:pStyle w:val="BodyText"/>
          </w:pPr>
          <w:r>
            <w:t>Overall, due to the few studies and the limitations related to sample size, these studies provide little additional evidence to the relationship between e-cigarette use and cardiovascular outcomes. To assess this relationship adequately, larger randomised controlled trials and prospective cohort studies are required.</w:t>
          </w:r>
        </w:p>
        <w:p w14:paraId="16BEC9C1" w14:textId="77777777" w:rsidR="000F0E2F" w:rsidRDefault="000F0E2F" w:rsidP="000F0E2F">
          <w:pPr>
            <w:pStyle w:val="BodyText"/>
          </w:pPr>
        </w:p>
        <w:p w14:paraId="304EA138" w14:textId="77777777" w:rsidR="000F0E2F" w:rsidRDefault="000F0E2F" w:rsidP="000F0E2F">
          <w:pPr>
            <w:pStyle w:val="Heading2"/>
          </w:pPr>
          <w:bookmarkStart w:id="19" w:name="_Toc513214346"/>
          <w:bookmarkStart w:id="20" w:name="_Toc517706632"/>
          <w:r>
            <w:lastRenderedPageBreak/>
            <w:t>Exposure to carcinogens</w:t>
          </w:r>
          <w:bookmarkEnd w:id="19"/>
          <w:bookmarkEnd w:id="20"/>
        </w:p>
        <w:p w14:paraId="538BAC59" w14:textId="77777777" w:rsidR="00A16F48" w:rsidRDefault="00A16F48" w:rsidP="00A16F48">
          <w:pPr>
            <w:pStyle w:val="BodyText"/>
          </w:pPr>
          <w:r>
            <w:t>This section considers four studies that referred to exposure to carcinogens as a result of e</w:t>
          </w:r>
          <w:r>
            <w:noBreakHyphen/>
            <w:t xml:space="preserve">cigarette usage </w:t>
          </w:r>
          <w:r>
            <w:fldChar w:fldCharType="begin">
              <w:fldData xml:space="preserve">PEVuZE5vdGU+PENpdGU+PEF1dGhvcj5GdWxsZXI8L0F1dGhvcj48WWVhcj4yMDE3PC9ZZWFyPjxS
ZWNOdW0+MTk1NzwvUmVjTnVtPjxEaXNwbGF5VGV4dD4oRnVsbGVyLCBBY2hhcnlhIGV0IGFsLiAy
MDE3LCBSZWlkZWwsIFJhZGljaW9uaSBldCBhbC4gMjAxOCwgUnViaW5zdGVpbiwgRGVsdWNjaGkg
ZXQgYWwuIDIwMTgsIFdlaSwgR29uaWV3aWN6IGV0IGFsLiAyMDE4KTwvRGlzcGxheVRleHQ+PHJl
Y29yZD48cmVjLW51bWJlcj4xOTU3PC9yZWMtbnVtYmVyPjxmb3JlaWduLWtleXM+PGtleSBhcHA9
IkVOIiBkYi1pZD0iOXZzOXB6ZnpuYXB4cGhlZmEyOHh6dzk1c2Y1YXYwc3Y5cmR6IiB0aW1lc3Rh
bXA9IjE1MjExNTk0OTAiPjE5NTc8L2tleT48a2V5IGFwcD0iRU5XZWIiIGRiLWlkPSIiPjA8L2tl
eT48L2ZvcmVpZ24ta2V5cz48cmVmLXR5cGUgbmFtZT0iSm91cm5hbCBBcnRpY2xlIj4xNzwvcmVm
LXR5cGU+PGNvbnRyaWJ1dG9ycz48YXV0aG9ycz48YXV0aG9yPkZ1bGxlciwgVGhvbWFzPC9hdXRo
b3I+PGF1dGhvcj5BY2hhcnlhLCBBYmhpbmF2PC9hdXRob3I+PGF1dGhvcj5CaGFza2FyLCBHb2R1
Z3U8L2F1dGhvcj48YXV0aG9yPll1LCBNaWNoZWxsZTwvYXV0aG9yPjxhdXRob3I+TGl0dGxlLCBT
dGV2ZW48L2F1dGhvcj48YXV0aG9yPlRhcmluLCBUYXR1bTwvYXV0aG9yPjwvYXV0aG9ycz48L2Nv
bnRyaWJ1dG9ycz48dGl0bGVzPjx0aXRsZT5FdmFsdWF0aW9uIG9mIGUtY2lnYXJldHRlcyB1c2Vy
cyB1cmluZSBmb3Iga25vd24gYmxhZGRlciBjYXJjaW5vZ2VuczwvdGl0bGU+PHNlY29uZGFyeS10
aXRsZT5Kb3VybmFsIG9mIFVyb2xvZ3k8L3NlY29uZGFyeS10aXRsZT48L3RpdGxlcz48cGVyaW9k
aWNhbD48ZnVsbC10aXRsZT5Kb3VybmFsIG9mIFVyb2xvZ3k8L2Z1bGwtdGl0bGU+PC9wZXJpb2Rp
Y2FsPjxwYWdlcz5FMTE3OS1FMTE3OTwvcGFnZXM+PHZvbHVtZT4xOTc8L3ZvbHVtZT48bnVtYmVy
PjQ8L251bWJlcj48ZGF0ZXM+PHllYXI+MjAxNzwveWVhcj48cHViLWRhdGVzPjxkYXRlPkFwcjwv
ZGF0ZT48L3B1Yi1kYXRlcz48L2RhdGVzPjxpc2JuPjAwMjItNTM0NzwvaXNibj48YWNjZXNzaW9u
LW51bT5XT1M6MDAwMzk4Mjc2NjA1MDM4PC9hY2Nlc3Npb24tbnVtPjx1cmxzPjxyZWxhdGVkLXVy
bHM+PHVybD4mbHQ7R28gdG8gSVNJJmd0OzovL1dPUzowMDAzOTgyNzY2MDUwMzg8L3VybD48L3Jl
bGF0ZWQtdXJscz48L3VybHM+PGVsZWN0cm9uaWMtcmVzb3VyY2UtbnVtPjEwLjEwMTYvai5qdXJv
LjIwMTcuMDIuMjczOTwvZWxlY3Ryb25pYy1yZXNvdXJjZS1udW0+PC9yZWNvcmQ+PC9DaXRlPjxD
aXRlPjxBdXRob3I+UnViaW5zdGVpbjwvQXV0aG9yPjxZZWFyPjIwMTg8L1llYXI+PFJlY051bT41
NjA8L1JlY051bT48cmVjb3JkPjxyZWMtbnVtYmVyPjU2MDwvcmVjLW51bWJlcj48Zm9yZWlnbi1r
ZXlzPjxrZXkgYXBwPSJFTiIgZGItaWQ9Ijl2czlwemZ6bmFweHBoZWZhMjh4enc5NXNmNWF2MHN2
OXJkeiIgdGltZXN0YW1wPSIxNTIxMTU5MzQwIj41NjA8L2tleT48L2ZvcmVpZ24ta2V5cz48cmVm
LXR5cGUgbmFtZT0iSm91cm5hbCBBcnRpY2xlIj4xNzwvcmVmLXR5cGU+PGNvbnRyaWJ1dG9ycz48
YXV0aG9ycz48YXV0aG9yPlJ1Ymluc3RlaW4sIE0uIEwuPC9hdXRob3I+PGF1dGhvcj5EZWx1Y2No
aSwgSy48L2F1dGhvcj48YXV0aG9yPkJlbm93aXR6LCBOLiBMLjwvYXV0aG9yPjxhdXRob3I+UmFt
bywgRC4gRS48L2F1dGhvcj48L2F1dGhvcnM+PC9jb250cmlidXRvcnM+PGF1dGgtYWRkcmVzcz5E
aXZpc2lvbiBvZiBBZG9sZXNjZW50IE1lZGljaW5lLCBtYXJrLnJ1Ymluc3RlaW5AdWNzZi5lZHUu
JiN4RDtEZXBhcnRtZW50IG9mIFBzeWNoaWF0cnksIGFuZC4mI3hEO1dlaWxsIEluc3RpdHV0ZSBm
b3IgTmV1cm9zY2llbmNlcywgVW5pdmVyc2l0eSBvZiBDYWxpZm9ybmlhLCBTYW4gRnJhbmNpc2Nv
LCBTYW4gRnJhbmNpc2NvLCBDYWxpZm9ybmlhLiYjeEQ7RGl2aXNpb24gb2YgQ2xpbmljYWwgUGhh
cm1hY29sb2d5IGFuZCBFeHBlcmltZW50YWwgVGhlcmFwZXV0aWNzLCBEZXBhcnRtZW50cyBvZiBN
ZWRpY2luZSBhbmQgQmlvZW5naW5lZXJpbmcgYW5kIFRoZXJhcGV1dGljIFNjaWVuY2VzLjwvYXV0
aC1hZGRyZXNzPjx0aXRsZXM+PHRpdGxlPkFkb2xlc2NlbnQgRXhwb3N1cmUgdG8gVG94aWMgVm9s
YXRpbGUgT3JnYW5pYyBDaGVtaWNhbHMgRnJvbSBFLUNpZ2FyZXR0ZXM8L3RpdGxlPjxzZWNvbmRh
cnktdGl0bGU+UGVkaWF0cmljczwvc2Vjb25kYXJ5LXRpdGxlPjxhbHQtdGl0bGU+UGVkaWF0cmlj
czwvYWx0LXRpdGxlPjwvdGl0bGVzPjxwZXJpb2RpY2FsPjxmdWxsLXRpdGxlPlBlZGlhdHJpY3M8
L2Z1bGwtdGl0bGU+PC9wZXJpb2RpY2FsPjxhbHQtcGVyaW9kaWNhbD48ZnVsbC10aXRsZT5QZWRp
YXRyaWNzPC9mdWxsLXRpdGxlPjwvYWx0LXBlcmlvZGljYWw+PGVkaXRpb24+MjAxOC8wMy8wNzwv
ZWRpdGlvbj48ZGF0ZXM+PHllYXI+MjAxODwveWVhcj48cHViLWRhdGVzPjxkYXRlPk1hciA1PC9k
YXRlPjwvcHViLWRhdGVzPjwvZGF0ZXM+PGlzYm4+MDAzMS00MDA1PC9pc2JuPjxhY2Nlc3Npb24t
bnVtPjI5NTA3MTY1PC9hY2Nlc3Npb24tbnVtPjx1cmxzPjwvdXJscz48ZWxlY3Ryb25pYy1yZXNv
dXJjZS1udW0+MTAuMTU0Mi9wZWRzLjIwMTctMzU1NzwvZWxlY3Ryb25pYy1yZXNvdXJjZS1udW0+
PHJlbW90ZS1kYXRhYmFzZS1wcm92aWRlcj5OTE08L3JlbW90ZS1kYXRhYmFzZS1wcm92aWRlcj48
bGFuZ3VhZ2U+ZW5nPC9sYW5ndWFnZT48L3JlY29yZD48L0NpdGU+PENpdGU+PEF1dGhvcj5XZWk8
L0F1dGhvcj48WWVhcj4yMDE4PC9ZZWFyPjxSZWNOdW0+MTE0NjY8L1JlY051bT48cmVjb3JkPjxy
ZWMtbnVtYmVyPjExNDY2PC9yZWMtbnVtYmVyPjxmb3JlaWduLWtleXM+PGtleSBhcHA9IkVOIiBk
Yi1pZD0iNXh2NXc1dDJiZHh0eGZlengwMnh0eGRmdDVyejVwdHZ2dDI5IiB0aW1lc3RhbXA9IjE1
MjM4NjIxODgiPjExNDY2PC9rZXk+PGtleSBhcHA9IkVOV2ViIiBkYi1pZD0iIj4wPC9rZXk+PC9m
b3JlaWduLWtleXM+PHJlZi10eXBlIG5hbWU9IkpvdXJuYWwgQXJ0aWNsZSI+MTc8L3JlZi10eXBl
Pjxjb250cmlidXRvcnM+PGF1dGhvcnM+PGF1dGhvcj5XZWksIEIuPC9hdXRob3I+PGF1dGhvcj5H
b25pZXdpY3osIE0uIEwuPC9hdXRob3I+PGF1dGhvcj5P4oCZQ29ubm9yLCBSLiBKLjwvYXV0aG9y
PjxhdXRob3I+VHJhdmVycywgTS4gSi48L2F1dGhvcj48YXV0aG9yPkh5bGFuZCwgQS4gSi48L2F1
dGhvcj48L2F1dGhvcnM+PC9jb250cmlidXRvcnM+PHRpdGxlcz48dGl0bGU+VXJpbmFyeSBtZXRh
Ym9saXRlIGxldmVscyBvZiBmbGFtZSByZXRhcmRhbnRzIGluIGVsZWN0cm9uaWMgY2lnYXJldHRl
IHVzZXJzOiBBIHN0dWR5IHVzaW5nIHRoZSBkYXRhIGZyb20gTkhBTkVTIDIwMTPigJMyMDE0PC90
aXRsZT48c2Vjb25kYXJ5LXRpdGxlPkludGVybmF0aW9uYWwgSm91cm5hbCBvZiBFbnZpcm9ubWVu
dGFsIFJlc2VhcmNoIGFuZCBQdWJsaWMgSGVhbHRoPC9zZWNvbmRhcnktdGl0bGU+PC90aXRsZXM+
PHBlcmlvZGljYWw+PGZ1bGwtdGl0bGU+SW50IEogRW52aXJvbiBSZXMgUHVibGljIEhlYWx0aDwv
ZnVsbC10aXRsZT48YWJici0xPkludGVybmF0aW9uYWwgam91cm5hbCBvZiBlbnZpcm9ubWVudGFs
IHJlc2VhcmNoIGFuZCBwdWJsaWMgaGVhbHRoPC9hYmJyLTE+PC9wZXJpb2RpY2FsPjx2b2x1bWU+
MTU8L3ZvbHVtZT48bnVtYmVyPjI8L251bWJlcj48a2V5d29yZHM+PGtleXdvcmQ+YmlzKDEsMyBk
aWNobG9ybyAyIHByb3B5bClwaG9zcGhhdGU8L2tleXdvcmQ+PGtleXdvcmQ+YmlzKDIgY2hsb3Jv
ZXRoeWwpcGhvc3BoYXRlPC9rZXl3b3JkPjxrZXl3b3JkPmRpYnV0eWxwaG9zcGhhdGU8L2tleXdv
cmQ+PGtleXdvcmQ+ZGlwaGVueWxwaG9zcGhhdGU8L2tleXdvcmQ+PGtleXdvcmQ+ZmxhbWUgcmV0
YXJkYW50PC9rZXl3b3JkPjxrZXl3b3JkPm9yZ2Fub3Bob3NwaGF0ZTwva2V5d29yZD48a2V5d29y
ZD5waG9zcGhvcmljIGFjaWQgdHJpcygyIGNobG9yb2V0aHlsKSBlc3Rlcjwva2V5d29yZD48a2V5
d29yZD51bmNsYXNzaWZpZWQgZHJ1Zzwva2V5d29yZD48a2V5d29yZD5iaW9tYXJrZXI8L2tleXdv
cmQ+PGtleXdvcmQ+Y29uY2VudHJhdGlvbiAoY29tcG9zaXRpb24pPC9rZXl3b3JkPjxrZXl3b3Jk
PmhlYWx0aCByaXNrPC9rZXl3b3JkPjxrZXl3b3JkPm1ldGFib2xpdGU8L2tleXdvcmQ+PGtleXdv
cmQ+cHVibGljIGhlYWx0aDwva2V5d29yZD48a2V5d29yZD50b2JhY2NvPC9rZXl3b3JkPjxrZXl3
b3JkPnVyaW5lPC9rZXl3b3JkPjxrZXl3b3JkPmFkdWx0PC9rZXl3b3JkPjxrZXl3b3JkPkFydGlj
bGU8L2tleXdvcmQ+PGtleXdvcmQ+Ym9keSBidXJkZW48L2tleXdvcmQ+PGtleXdvcmQ+Y2lnYXIg
c21va2luZzwva2V5d29yZD48a2V5d29yZD5jaWdhcmV0dGUgc21va2luZzwva2V5d29yZD48a2V5
d29yZD5jb250cm9sbGVkIHN0dWR5PC9rZXl3b3JkPjxrZXl3b3JkPmZlbWFsZTwva2V5d29yZD48
a2V5d29yZD5odW1hbjwva2V5d29yZD48a2V5d29yZD5tYWxlPC9rZXl3b3JkPjxrZXl3b3JkPnBp
bG90IHN0dWR5PC9rZXl3b3JkPjxrZXl3b3JkPnNtb2tlbGVzcyB0b2JhY2NvPC9rZXl3b3JkPjxr
ZXl3b3JkPnVyaW5hbHlzaXM8L2tleXdvcmQ+PGtleXdvcmQ+dmFwaW5nPC9rZXl3b3JkPjxrZXl3
b3JkPk5pY290aWFuYSB0YWJhY3VtPC9rZXl3b3JkPjwva2V5d29yZHM+PGRhdGVzPjx5ZWFyPjIw
MTg8L3llYXI+PC9kYXRlcz48dXJscz48cmVsYXRlZC11cmxzPjx1cmw+aHR0cHM6Ly93d3cuc2Nv
cHVzLmNvbS9pbndhcmQvcmVjb3JkLnVyaT9laWQ9Mi1zMi4wLTg1MDQxMTE1NjYwJmFtcDtkb2k9
MTAuMzM5MCUyZmlqZXJwaDE1MDIwMjAxJmFtcDtwYXJ0bmVySUQ9NDAmYW1wO21kNT0wZDM0NmNj
M2Q5OTc2ZTkxM2Q4MzJlOTEyOTY0MWMzMzwvdXJsPjwvcmVsYXRlZC11cmxzPjwvdXJscz48ZWxl
Y3Ryb25pYy1yZXNvdXJjZS1udW0+MTAuMzM5MC9pamVycGgxNTAyMDIwMTwvZWxlY3Ryb25pYy1y
ZXNvdXJjZS1udW0+PHJlbW90ZS1kYXRhYmFzZS1uYW1lPlNjb3B1cyBDNyAtIDIwMTwvcmVtb3Rl
LWRhdGFiYXNlLW5hbWU+PC9yZWNvcmQ+PC9DaXRlPjxDaXRlPjxBdXRob3I+UmVpZGVsPC9BdXRo
b3I+PFllYXI+MjAxODwvWWVhcj48UmVjTnVtPjEyMjY0PC9SZWNOdW0+PHJlY29yZD48cmVjLW51
bWJlcj4xMjI2NDwvcmVjLW51bWJlcj48Zm9yZWlnbi1rZXlzPjxrZXkgYXBwPSJFTiIgZGItaWQ9
IjV4djV3NXQyYmR4dHhmZXp4MDJ4dHhkZnQ1cno1cHR2dnQyOSIgdGltZXN0YW1wPSIxNTIzODY4
MTYxIj4xMjI2NDwva2V5PjxrZXkgYXBwPSJFTldlYiIgZGItaWQ9IiI+MDwva2V5PjwvZm9yZWln
bi1rZXlzPjxyZWYtdHlwZSBuYW1lPSJKb3VybmFsIEFydGljbGUiPjE3PC9yZWYtdHlwZT48Y29u
dHJpYnV0b3JzPjxhdXRob3JzPjxhdXRob3I+UmVpZGVsLCBCLjwvYXV0aG9yPjxhdXRob3I+UmFk
aWNpb25pLCBHLjwvYXV0aG9yPjxhdXRob3I+Q2xhcHAsIFAuIFcuPC9hdXRob3I+PGF1dGhvcj5G
b3JkLCBBLiBBLjwvYXV0aG9yPjxhdXRob3I+QWJkZWx3YWhhYiwgUy48L2F1dGhvcj48YXV0aG9y
PlJlYnVsaSwgTS4gRS48L2F1dGhvcj48YXV0aG9yPkhhcmlkYXNzLCBQLjwvYXV0aG9yPjxhdXRo
b3I+QWxleGlzLCBOLiBFLjwvYXV0aG9yPjxhdXRob3I+SmFzcGVycywgSS48L2F1dGhvcj48YXV0
aG9yPktlc2ltZXIsIE0uPC9hdXRob3I+PC9hdXRob3JzPjwvY29udHJpYnV0b3JzPjxhdXRoLWFk
ZHJlc3M+MSBNYXJzaWNvIEx1bmcgSW5zdGl0dXRlLiYjeEQ7MiBEZXBhcnRtZW50IG9mIFBhdGhv
bG9neSBhbmQgTGFib3JhdG9yeSBNZWRpY2luZSwgYW5kLiYjeEQ7MyBEZXBhcnRtZW50IG9mIFBl
ZGlhdHJpY3MsIFRoZSBVbml2ZXJzaXR5IG9mIE5vcnRoIENhcm9saW5hIGF0IENoYXBlbCBIaWxs
LCBDaGFwZWwgSGlsbCwgTm9ydGggQ2Fyb2xpbmEuPC9hdXRoLWFkZHJlc3M+PHRpdGxlcz48dGl0
bGU+RS1DaWdhcmV0dGUgVXNlIENhdXNlcyBhIFVuaXF1ZSBJbm5hdGUgSW1tdW5lIFJlc3BvbnNl
IGluIHRoZSBMdW5nLCBJbnZvbHZpbmcgSW5jcmVhc2VkIE5ldXRyb3BoaWxpYyBBY3RpdmF0aW9u
IGFuZCBBbHRlcmVkIE11Y2luIFNlY3JldGlvbjwvdGl0bGU+PHNlY29uZGFyeS10aXRsZT5BbSBK
IFJlc3BpciBDcml0IENhcmUgTWVkPC9zZWNvbmRhcnktdGl0bGU+PGFsdC10aXRsZT5BbWVyaWNh
biBqb3VybmFsIG9mIHJlc3BpcmF0b3J5IGFuZCBjcml0aWNhbCBjYXJlIG1lZGljaW5lPC9hbHQt
dGl0bGU+PC90aXRsZXM+PHBlcmlvZGljYWw+PGZ1bGwtdGl0bGU+QW0gSiBSZXNwaXIgQ3JpdCBD
YXJlIE1lZDwvZnVsbC10aXRsZT48YWJici0xPkFtZXJpY2FuIGpvdXJuYWwgb2YgcmVzcGlyYXRv
cnkgYW5kIGNyaXRpY2FsIGNhcmUgbWVkaWNpbmU8L2FiYnItMT48L3BlcmlvZGljYWw+PGFsdC1w
ZXJpb2RpY2FsPjxmdWxsLXRpdGxlPkFtIEogUmVzcGlyIENyaXQgQ2FyZSBNZWQ8L2Z1bGwtdGl0
bGU+PGFiYnItMT5BbWVyaWNhbiBqb3VybmFsIG9mIHJlc3BpcmF0b3J5IGFuZCBjcml0aWNhbCBj
YXJlIG1lZGljaW5lPC9hYmJyLTE+PC9hbHQtcGVyaW9kaWNhbD48cGFnZXM+NDkyLTUwMTwvcGFn
ZXM+PHZvbHVtZT4xOTc8L3ZvbHVtZT48bnVtYmVyPjQ8L251bWJlcj48ZWRpdGlvbj4yMDE3LzEw
LzIxPC9lZGl0aW9uPjxrZXl3b3Jkcz48a2V5d29yZD5OZXQ8L2tleXdvcmQ+PGtleXdvcmQ+ZS1j
aWdhcmV0dGU8L2tleXdvcmQ+PGtleXdvcmQ+bHVuZzwva2V5d29yZD48a2V5d29yZD5tdWNpbjwv
a2V5d29yZD48a2V5d29yZD5uZXV0cm9waGlsPC9rZXl3b3JkPjwva2V5d29yZHM+PGRhdGVzPjx5
ZWFyPjIwMTg8L3llYXI+PHB1Yi1kYXRlcz48ZGF0ZT5GZWIgMTU8L2RhdGU+PC9wdWItZGF0ZXM+
PC9kYXRlcz48aXNibj4xMDczLTQ0OXg8L2lzYm4+PGFjY2Vzc2lvbi1udW0+MjkwNTMwMjU8L2Fj
Y2Vzc2lvbi1udW0+PHVybHM+PC91cmxzPjxjdXN0b20yPlBNQzU4MjE5MDk8L2N1c3RvbTI+PGVs
ZWN0cm9uaWMtcmVzb3VyY2UtbnVtPjEwLjExNjQvcmNjbS4yMDE3MDgtMTU5ME9DPC9lbGVjdHJv
bmljLXJlc291cmNlLW51bT48cmVtb3RlLWRhdGFiYXNlLXByb3ZpZGVyPk5MTTwvcmVtb3RlLWRh
dGFiYXNlLXByb3ZpZGVyPjxsYW5ndWFnZT5lbmc8L2xhbmd1YWdlPjwvcmVjb3JkPjwvQ2l0ZT48
L0VuZE5vdGU+AG==
</w:fldData>
            </w:fldChar>
          </w:r>
          <w:r w:rsidR="00903735">
            <w:instrText xml:space="preserve"> ADDIN EN.CITE </w:instrText>
          </w:r>
          <w:r w:rsidR="00903735">
            <w:fldChar w:fldCharType="begin">
              <w:fldData xml:space="preserve">PEVuZE5vdGU+PENpdGU+PEF1dGhvcj5GdWxsZXI8L0F1dGhvcj48WWVhcj4yMDE3PC9ZZWFyPjxS
ZWNOdW0+MTk1NzwvUmVjTnVtPjxEaXNwbGF5VGV4dD4oRnVsbGVyLCBBY2hhcnlhIGV0IGFsLiAy
MDE3LCBSZWlkZWwsIFJhZGljaW9uaSBldCBhbC4gMjAxOCwgUnViaW5zdGVpbiwgRGVsdWNjaGkg
ZXQgYWwuIDIwMTgsIFdlaSwgR29uaWV3aWN6IGV0IGFsLiAyMDE4KTwvRGlzcGxheVRleHQ+PHJl
Y29yZD48cmVjLW51bWJlcj4xOTU3PC9yZWMtbnVtYmVyPjxmb3JlaWduLWtleXM+PGtleSBhcHA9
IkVOIiBkYi1pZD0iOXZzOXB6ZnpuYXB4cGhlZmEyOHh6dzk1c2Y1YXYwc3Y5cmR6IiB0aW1lc3Rh
bXA9IjE1MjExNTk0OTAiPjE5NTc8L2tleT48a2V5IGFwcD0iRU5XZWIiIGRiLWlkPSIiPjA8L2tl
eT48L2ZvcmVpZ24ta2V5cz48cmVmLXR5cGUgbmFtZT0iSm91cm5hbCBBcnRpY2xlIj4xNzwvcmVm
LXR5cGU+PGNvbnRyaWJ1dG9ycz48YXV0aG9ycz48YXV0aG9yPkZ1bGxlciwgVGhvbWFzPC9hdXRo
b3I+PGF1dGhvcj5BY2hhcnlhLCBBYmhpbmF2PC9hdXRob3I+PGF1dGhvcj5CaGFza2FyLCBHb2R1
Z3U8L2F1dGhvcj48YXV0aG9yPll1LCBNaWNoZWxsZTwvYXV0aG9yPjxhdXRob3I+TGl0dGxlLCBT
dGV2ZW48L2F1dGhvcj48YXV0aG9yPlRhcmluLCBUYXR1bTwvYXV0aG9yPjwvYXV0aG9ycz48L2Nv
bnRyaWJ1dG9ycz48dGl0bGVzPjx0aXRsZT5FdmFsdWF0aW9uIG9mIGUtY2lnYXJldHRlcyB1c2Vy
cyB1cmluZSBmb3Iga25vd24gYmxhZGRlciBjYXJjaW5vZ2VuczwvdGl0bGU+PHNlY29uZGFyeS10
aXRsZT5Kb3VybmFsIG9mIFVyb2xvZ3k8L3NlY29uZGFyeS10aXRsZT48L3RpdGxlcz48cGVyaW9k
aWNhbD48ZnVsbC10aXRsZT5Kb3VybmFsIG9mIFVyb2xvZ3k8L2Z1bGwtdGl0bGU+PC9wZXJpb2Rp
Y2FsPjxwYWdlcz5FMTE3OS1FMTE3OTwvcGFnZXM+PHZvbHVtZT4xOTc8L3ZvbHVtZT48bnVtYmVy
PjQ8L251bWJlcj48ZGF0ZXM+PHllYXI+MjAxNzwveWVhcj48cHViLWRhdGVzPjxkYXRlPkFwcjwv
ZGF0ZT48L3B1Yi1kYXRlcz48L2RhdGVzPjxpc2JuPjAwMjItNTM0NzwvaXNibj48YWNjZXNzaW9u
LW51bT5XT1M6MDAwMzk4Mjc2NjA1MDM4PC9hY2Nlc3Npb24tbnVtPjx1cmxzPjxyZWxhdGVkLXVy
bHM+PHVybD4mbHQ7R28gdG8gSVNJJmd0OzovL1dPUzowMDAzOTgyNzY2MDUwMzg8L3VybD48L3Jl
bGF0ZWQtdXJscz48L3VybHM+PGVsZWN0cm9uaWMtcmVzb3VyY2UtbnVtPjEwLjEwMTYvai5qdXJv
LjIwMTcuMDIuMjczOTwvZWxlY3Ryb25pYy1yZXNvdXJjZS1udW0+PC9yZWNvcmQ+PC9DaXRlPjxD
aXRlPjxBdXRob3I+UnViaW5zdGVpbjwvQXV0aG9yPjxZZWFyPjIwMTg8L1llYXI+PFJlY051bT41
NjA8L1JlY051bT48cmVjb3JkPjxyZWMtbnVtYmVyPjU2MDwvcmVjLW51bWJlcj48Zm9yZWlnbi1r
ZXlzPjxrZXkgYXBwPSJFTiIgZGItaWQ9Ijl2czlwemZ6bmFweHBoZWZhMjh4enc5NXNmNWF2MHN2
OXJkeiIgdGltZXN0YW1wPSIxNTIxMTU5MzQwIj41NjA8L2tleT48L2ZvcmVpZ24ta2V5cz48cmVm
LXR5cGUgbmFtZT0iSm91cm5hbCBBcnRpY2xlIj4xNzwvcmVmLXR5cGU+PGNvbnRyaWJ1dG9ycz48
YXV0aG9ycz48YXV0aG9yPlJ1Ymluc3RlaW4sIE0uIEwuPC9hdXRob3I+PGF1dGhvcj5EZWx1Y2No
aSwgSy48L2F1dGhvcj48YXV0aG9yPkJlbm93aXR6LCBOLiBMLjwvYXV0aG9yPjxhdXRob3I+UmFt
bywgRC4gRS48L2F1dGhvcj48L2F1dGhvcnM+PC9jb250cmlidXRvcnM+PGF1dGgtYWRkcmVzcz5E
aXZpc2lvbiBvZiBBZG9sZXNjZW50IE1lZGljaW5lLCBtYXJrLnJ1Ymluc3RlaW5AdWNzZi5lZHUu
JiN4RDtEZXBhcnRtZW50IG9mIFBzeWNoaWF0cnksIGFuZC4mI3hEO1dlaWxsIEluc3RpdHV0ZSBm
b3IgTmV1cm9zY2llbmNlcywgVW5pdmVyc2l0eSBvZiBDYWxpZm9ybmlhLCBTYW4gRnJhbmNpc2Nv
LCBTYW4gRnJhbmNpc2NvLCBDYWxpZm9ybmlhLiYjeEQ7RGl2aXNpb24gb2YgQ2xpbmljYWwgUGhh
cm1hY29sb2d5IGFuZCBFeHBlcmltZW50YWwgVGhlcmFwZXV0aWNzLCBEZXBhcnRtZW50cyBvZiBN
ZWRpY2luZSBhbmQgQmlvZW5naW5lZXJpbmcgYW5kIFRoZXJhcGV1dGljIFNjaWVuY2VzLjwvYXV0
aC1hZGRyZXNzPjx0aXRsZXM+PHRpdGxlPkFkb2xlc2NlbnQgRXhwb3N1cmUgdG8gVG94aWMgVm9s
YXRpbGUgT3JnYW5pYyBDaGVtaWNhbHMgRnJvbSBFLUNpZ2FyZXR0ZXM8L3RpdGxlPjxzZWNvbmRh
cnktdGl0bGU+UGVkaWF0cmljczwvc2Vjb25kYXJ5LXRpdGxlPjxhbHQtdGl0bGU+UGVkaWF0cmlj
czwvYWx0LXRpdGxlPjwvdGl0bGVzPjxwZXJpb2RpY2FsPjxmdWxsLXRpdGxlPlBlZGlhdHJpY3M8
L2Z1bGwtdGl0bGU+PC9wZXJpb2RpY2FsPjxhbHQtcGVyaW9kaWNhbD48ZnVsbC10aXRsZT5QZWRp
YXRyaWNzPC9mdWxsLXRpdGxlPjwvYWx0LXBlcmlvZGljYWw+PGVkaXRpb24+MjAxOC8wMy8wNzwv
ZWRpdGlvbj48ZGF0ZXM+PHllYXI+MjAxODwveWVhcj48cHViLWRhdGVzPjxkYXRlPk1hciA1PC9k
YXRlPjwvcHViLWRhdGVzPjwvZGF0ZXM+PGlzYm4+MDAzMS00MDA1PC9pc2JuPjxhY2Nlc3Npb24t
bnVtPjI5NTA3MTY1PC9hY2Nlc3Npb24tbnVtPjx1cmxzPjwvdXJscz48ZWxlY3Ryb25pYy1yZXNv
dXJjZS1udW0+MTAuMTU0Mi9wZWRzLjIwMTctMzU1NzwvZWxlY3Ryb25pYy1yZXNvdXJjZS1udW0+
PHJlbW90ZS1kYXRhYmFzZS1wcm92aWRlcj5OTE08L3JlbW90ZS1kYXRhYmFzZS1wcm92aWRlcj48
bGFuZ3VhZ2U+ZW5nPC9sYW5ndWFnZT48L3JlY29yZD48L0NpdGU+PENpdGU+PEF1dGhvcj5XZWk8
L0F1dGhvcj48WWVhcj4yMDE4PC9ZZWFyPjxSZWNOdW0+MTE0NjY8L1JlY051bT48cmVjb3JkPjxy
ZWMtbnVtYmVyPjExNDY2PC9yZWMtbnVtYmVyPjxmb3JlaWduLWtleXM+PGtleSBhcHA9IkVOIiBk
Yi1pZD0iNXh2NXc1dDJiZHh0eGZlengwMnh0eGRmdDVyejVwdHZ2dDI5IiB0aW1lc3RhbXA9IjE1
MjM4NjIxODgiPjExNDY2PC9rZXk+PGtleSBhcHA9IkVOV2ViIiBkYi1pZD0iIj4wPC9rZXk+PC9m
b3JlaWduLWtleXM+PHJlZi10eXBlIG5hbWU9IkpvdXJuYWwgQXJ0aWNsZSI+MTc8L3JlZi10eXBl
Pjxjb250cmlidXRvcnM+PGF1dGhvcnM+PGF1dGhvcj5XZWksIEIuPC9hdXRob3I+PGF1dGhvcj5H
b25pZXdpY3osIE0uIEwuPC9hdXRob3I+PGF1dGhvcj5P4oCZQ29ubm9yLCBSLiBKLjwvYXV0aG9y
PjxhdXRob3I+VHJhdmVycywgTS4gSi48L2F1dGhvcj48YXV0aG9yPkh5bGFuZCwgQS4gSi48L2F1
dGhvcj48L2F1dGhvcnM+PC9jb250cmlidXRvcnM+PHRpdGxlcz48dGl0bGU+VXJpbmFyeSBtZXRh
Ym9saXRlIGxldmVscyBvZiBmbGFtZSByZXRhcmRhbnRzIGluIGVsZWN0cm9uaWMgY2lnYXJldHRl
IHVzZXJzOiBBIHN0dWR5IHVzaW5nIHRoZSBkYXRhIGZyb20gTkhBTkVTIDIwMTPigJMyMDE0PC90
aXRsZT48c2Vjb25kYXJ5LXRpdGxlPkludGVybmF0aW9uYWwgSm91cm5hbCBvZiBFbnZpcm9ubWVu
dGFsIFJlc2VhcmNoIGFuZCBQdWJsaWMgSGVhbHRoPC9zZWNvbmRhcnktdGl0bGU+PC90aXRsZXM+
PHBlcmlvZGljYWw+PGZ1bGwtdGl0bGU+SW50IEogRW52aXJvbiBSZXMgUHVibGljIEhlYWx0aDwv
ZnVsbC10aXRsZT48YWJici0xPkludGVybmF0aW9uYWwgam91cm5hbCBvZiBlbnZpcm9ubWVudGFs
IHJlc2VhcmNoIGFuZCBwdWJsaWMgaGVhbHRoPC9hYmJyLTE+PC9wZXJpb2RpY2FsPjx2b2x1bWU+
MTU8L3ZvbHVtZT48bnVtYmVyPjI8L251bWJlcj48a2V5d29yZHM+PGtleXdvcmQ+YmlzKDEsMyBk
aWNobG9ybyAyIHByb3B5bClwaG9zcGhhdGU8L2tleXdvcmQ+PGtleXdvcmQ+YmlzKDIgY2hsb3Jv
ZXRoeWwpcGhvc3BoYXRlPC9rZXl3b3JkPjxrZXl3b3JkPmRpYnV0eWxwaG9zcGhhdGU8L2tleXdv
cmQ+PGtleXdvcmQ+ZGlwaGVueWxwaG9zcGhhdGU8L2tleXdvcmQ+PGtleXdvcmQ+ZmxhbWUgcmV0
YXJkYW50PC9rZXl3b3JkPjxrZXl3b3JkPm9yZ2Fub3Bob3NwaGF0ZTwva2V5d29yZD48a2V5d29y
ZD5waG9zcGhvcmljIGFjaWQgdHJpcygyIGNobG9yb2V0aHlsKSBlc3Rlcjwva2V5d29yZD48a2V5
d29yZD51bmNsYXNzaWZpZWQgZHJ1Zzwva2V5d29yZD48a2V5d29yZD5iaW9tYXJrZXI8L2tleXdv
cmQ+PGtleXdvcmQ+Y29uY2VudHJhdGlvbiAoY29tcG9zaXRpb24pPC9rZXl3b3JkPjxrZXl3b3Jk
PmhlYWx0aCByaXNrPC9rZXl3b3JkPjxrZXl3b3JkPm1ldGFib2xpdGU8L2tleXdvcmQ+PGtleXdv
cmQ+cHVibGljIGhlYWx0aDwva2V5d29yZD48a2V5d29yZD50b2JhY2NvPC9rZXl3b3JkPjxrZXl3
b3JkPnVyaW5lPC9rZXl3b3JkPjxrZXl3b3JkPmFkdWx0PC9rZXl3b3JkPjxrZXl3b3JkPkFydGlj
bGU8L2tleXdvcmQ+PGtleXdvcmQ+Ym9keSBidXJkZW48L2tleXdvcmQ+PGtleXdvcmQ+Y2lnYXIg
c21va2luZzwva2V5d29yZD48a2V5d29yZD5jaWdhcmV0dGUgc21va2luZzwva2V5d29yZD48a2V5
d29yZD5jb250cm9sbGVkIHN0dWR5PC9rZXl3b3JkPjxrZXl3b3JkPmZlbWFsZTwva2V5d29yZD48
a2V5d29yZD5odW1hbjwva2V5d29yZD48a2V5d29yZD5tYWxlPC9rZXl3b3JkPjxrZXl3b3JkPnBp
bG90IHN0dWR5PC9rZXl3b3JkPjxrZXl3b3JkPnNtb2tlbGVzcyB0b2JhY2NvPC9rZXl3b3JkPjxr
ZXl3b3JkPnVyaW5hbHlzaXM8L2tleXdvcmQ+PGtleXdvcmQ+dmFwaW5nPC9rZXl3b3JkPjxrZXl3
b3JkPk5pY290aWFuYSB0YWJhY3VtPC9rZXl3b3JkPjwva2V5d29yZHM+PGRhdGVzPjx5ZWFyPjIw
MTg8L3llYXI+PC9kYXRlcz48dXJscz48cmVsYXRlZC11cmxzPjx1cmw+aHR0cHM6Ly93d3cuc2Nv
cHVzLmNvbS9pbndhcmQvcmVjb3JkLnVyaT9laWQ9Mi1zMi4wLTg1MDQxMTE1NjYwJmFtcDtkb2k9
MTAuMzM5MCUyZmlqZXJwaDE1MDIwMjAxJmFtcDtwYXJ0bmVySUQ9NDAmYW1wO21kNT0wZDM0NmNj
M2Q5OTc2ZTkxM2Q4MzJlOTEyOTY0MWMzMzwvdXJsPjwvcmVsYXRlZC11cmxzPjwvdXJscz48ZWxl
Y3Ryb25pYy1yZXNvdXJjZS1udW0+MTAuMzM5MC9pamVycGgxNTAyMDIwMTwvZWxlY3Ryb25pYy1y
ZXNvdXJjZS1udW0+PHJlbW90ZS1kYXRhYmFzZS1uYW1lPlNjb3B1cyBDNyAtIDIwMTwvcmVtb3Rl
LWRhdGFiYXNlLW5hbWU+PC9yZWNvcmQ+PC9DaXRlPjxDaXRlPjxBdXRob3I+UmVpZGVsPC9BdXRo
b3I+PFllYXI+MjAxODwvWWVhcj48UmVjTnVtPjEyMjY0PC9SZWNOdW0+PHJlY29yZD48cmVjLW51
bWJlcj4xMjI2NDwvcmVjLW51bWJlcj48Zm9yZWlnbi1rZXlzPjxrZXkgYXBwPSJFTiIgZGItaWQ9
IjV4djV3NXQyYmR4dHhmZXp4MDJ4dHhkZnQ1cno1cHR2dnQyOSIgdGltZXN0YW1wPSIxNTIzODY4
MTYxIj4xMjI2NDwva2V5PjxrZXkgYXBwPSJFTldlYiIgZGItaWQ9IiI+MDwva2V5PjwvZm9yZWln
bi1rZXlzPjxyZWYtdHlwZSBuYW1lPSJKb3VybmFsIEFydGljbGUiPjE3PC9yZWYtdHlwZT48Y29u
dHJpYnV0b3JzPjxhdXRob3JzPjxhdXRob3I+UmVpZGVsLCBCLjwvYXV0aG9yPjxhdXRob3I+UmFk
aWNpb25pLCBHLjwvYXV0aG9yPjxhdXRob3I+Q2xhcHAsIFAuIFcuPC9hdXRob3I+PGF1dGhvcj5G
b3JkLCBBLiBBLjwvYXV0aG9yPjxhdXRob3I+QWJkZWx3YWhhYiwgUy48L2F1dGhvcj48YXV0aG9y
PlJlYnVsaSwgTS4gRS48L2F1dGhvcj48YXV0aG9yPkhhcmlkYXNzLCBQLjwvYXV0aG9yPjxhdXRo
b3I+QWxleGlzLCBOLiBFLjwvYXV0aG9yPjxhdXRob3I+SmFzcGVycywgSS48L2F1dGhvcj48YXV0
aG9yPktlc2ltZXIsIE0uPC9hdXRob3I+PC9hdXRob3JzPjwvY29udHJpYnV0b3JzPjxhdXRoLWFk
ZHJlc3M+MSBNYXJzaWNvIEx1bmcgSW5zdGl0dXRlLiYjeEQ7MiBEZXBhcnRtZW50IG9mIFBhdGhv
bG9neSBhbmQgTGFib3JhdG9yeSBNZWRpY2luZSwgYW5kLiYjeEQ7MyBEZXBhcnRtZW50IG9mIFBl
ZGlhdHJpY3MsIFRoZSBVbml2ZXJzaXR5IG9mIE5vcnRoIENhcm9saW5hIGF0IENoYXBlbCBIaWxs
LCBDaGFwZWwgSGlsbCwgTm9ydGggQ2Fyb2xpbmEuPC9hdXRoLWFkZHJlc3M+PHRpdGxlcz48dGl0
bGU+RS1DaWdhcmV0dGUgVXNlIENhdXNlcyBhIFVuaXF1ZSBJbm5hdGUgSW1tdW5lIFJlc3BvbnNl
IGluIHRoZSBMdW5nLCBJbnZvbHZpbmcgSW5jcmVhc2VkIE5ldXRyb3BoaWxpYyBBY3RpdmF0aW9u
IGFuZCBBbHRlcmVkIE11Y2luIFNlY3JldGlvbjwvdGl0bGU+PHNlY29uZGFyeS10aXRsZT5BbSBK
IFJlc3BpciBDcml0IENhcmUgTWVkPC9zZWNvbmRhcnktdGl0bGU+PGFsdC10aXRsZT5BbWVyaWNh
biBqb3VybmFsIG9mIHJlc3BpcmF0b3J5IGFuZCBjcml0aWNhbCBjYXJlIG1lZGljaW5lPC9hbHQt
dGl0bGU+PC90aXRsZXM+PHBlcmlvZGljYWw+PGZ1bGwtdGl0bGU+QW0gSiBSZXNwaXIgQ3JpdCBD
YXJlIE1lZDwvZnVsbC10aXRsZT48YWJici0xPkFtZXJpY2FuIGpvdXJuYWwgb2YgcmVzcGlyYXRv
cnkgYW5kIGNyaXRpY2FsIGNhcmUgbWVkaWNpbmU8L2FiYnItMT48L3BlcmlvZGljYWw+PGFsdC1w
ZXJpb2RpY2FsPjxmdWxsLXRpdGxlPkFtIEogUmVzcGlyIENyaXQgQ2FyZSBNZWQ8L2Z1bGwtdGl0
bGU+PGFiYnItMT5BbWVyaWNhbiBqb3VybmFsIG9mIHJlc3BpcmF0b3J5IGFuZCBjcml0aWNhbCBj
YXJlIG1lZGljaW5lPC9hYmJyLTE+PC9hbHQtcGVyaW9kaWNhbD48cGFnZXM+NDkyLTUwMTwvcGFn
ZXM+PHZvbHVtZT4xOTc8L3ZvbHVtZT48bnVtYmVyPjQ8L251bWJlcj48ZWRpdGlvbj4yMDE3LzEw
LzIxPC9lZGl0aW9uPjxrZXl3b3Jkcz48a2V5d29yZD5OZXQ8L2tleXdvcmQ+PGtleXdvcmQ+ZS1j
aWdhcmV0dGU8L2tleXdvcmQ+PGtleXdvcmQ+bHVuZzwva2V5d29yZD48a2V5d29yZD5tdWNpbjwv
a2V5d29yZD48a2V5d29yZD5uZXV0cm9waGlsPC9rZXl3b3JkPjwva2V5d29yZHM+PGRhdGVzPjx5
ZWFyPjIwMTg8L3llYXI+PHB1Yi1kYXRlcz48ZGF0ZT5GZWIgMTU8L2RhdGU+PC9wdWItZGF0ZXM+
PC9kYXRlcz48aXNibj4xMDczLTQ0OXg8L2lzYm4+PGFjY2Vzc2lvbi1udW0+MjkwNTMwMjU8L2Fj
Y2Vzc2lvbi1udW0+PHVybHM+PC91cmxzPjxjdXN0b20yPlBNQzU4MjE5MDk8L2N1c3RvbTI+PGVs
ZWN0cm9uaWMtcmVzb3VyY2UtbnVtPjEwLjExNjQvcmNjbS4yMDE3MDgtMTU5ME9DPC9lbGVjdHJv
bmljLXJlc291cmNlLW51bT48cmVtb3RlLWRhdGFiYXNlLXByb3ZpZGVyPk5MTTwvcmVtb3RlLWRh
dGFiYXNlLXByb3ZpZGVyPjxsYW5ndWFnZT5lbmc8L2xhbmd1YWdlPjwvcmVjb3JkPjwvQ2l0ZT48
L0VuZE5vdGU+AG==
</w:fldData>
            </w:fldChar>
          </w:r>
          <w:r w:rsidR="00903735">
            <w:instrText xml:space="preserve"> ADDIN EN.CITE.DATA </w:instrText>
          </w:r>
          <w:r w:rsidR="00903735">
            <w:fldChar w:fldCharType="end"/>
          </w:r>
          <w:r>
            <w:fldChar w:fldCharType="separate"/>
          </w:r>
          <w:r>
            <w:rPr>
              <w:noProof/>
            </w:rPr>
            <w:t>(Fuller, Acharya et al. 2017, Reidel, Radicioni et al. 2018, Rubinstein, Delucchi et al. 2018, Wei, Goniewicz et al. 2018)</w:t>
          </w:r>
          <w:r>
            <w:fldChar w:fldCharType="end"/>
          </w:r>
          <w:r>
            <w:t>. All of these studies were cross sectional studies. One of these studies involved</w:t>
          </w:r>
          <w:r w:rsidRPr="00DC0DED">
            <w:t xml:space="preserve"> adolescent subjects </w:t>
          </w:r>
          <w:r w:rsidRPr="00DC0DED">
            <w:fldChar w:fldCharType="begin"/>
          </w:r>
          <w:r w:rsidRPr="00DC0DED">
            <w:instrText xml:space="preserve"> ADDIN EN.CITE &lt;EndNote&gt;&lt;Cite&gt;&lt;Author&gt;Rubinstein&lt;/Author&gt;&lt;Year&gt;2018&lt;/Year&gt;&lt;RecNum&gt;560&lt;/RecNum&gt;&lt;DisplayText&gt;(Rubinstein, Delucchi et al. 2018)&lt;/DisplayText&gt;&lt;record&gt;&lt;rec-number&gt;560&lt;/rec-number&gt;&lt;foreign-keys&gt;&lt;key app="EN" db-id="9vs9pzfznapxphefa28xzw95sf5av0sv9rdz" timestamp="1521159340"&gt;560&lt;/key&gt;&lt;/foreign-keys&gt;&lt;ref-type name="Journal Article"&gt;17&lt;/ref-type&gt;&lt;contributors&gt;&lt;authors&gt;&lt;author&gt;Rubinstein, M. L.&lt;/author&gt;&lt;author&gt;Delucchi, K.&lt;/author&gt;&lt;author&gt;Benowitz, N. L.&lt;/author&gt;&lt;author&gt;Ramo, D. E.&lt;/author&gt;&lt;/authors&gt;&lt;/contributors&gt;&lt;auth-address&gt;Division of Adolescent Medicine, mark.rubinstein@ucsf.edu.&amp;#xD;Department of Psychiatry, and.&amp;#xD;Weill Institute for Neurosciences, University of California, San Francisco, San Francisco, California.&amp;#xD;Division of Clinical Pharmacology and Experimental Therapeutics, Departments of Medicine and Bioengineering and Therapeutic Sciences.&lt;/auth-address&gt;&lt;titles&gt;&lt;title&gt;Adolescent Exposure to Toxic Volatile Organic Chemicals From E-Cigarettes&lt;/title&gt;&lt;secondary-title&gt;Pediatrics&lt;/secondary-title&gt;&lt;alt-title&gt;Pediatrics&lt;/alt-title&gt;&lt;/titles&gt;&lt;periodical&gt;&lt;full-title&gt;Pediatrics&lt;/full-title&gt;&lt;/periodical&gt;&lt;alt-periodical&gt;&lt;full-title&gt;Pediatrics&lt;/full-title&gt;&lt;/alt-periodical&gt;&lt;edition&gt;2018/03/07&lt;/edition&gt;&lt;dates&gt;&lt;year&gt;2018&lt;/year&gt;&lt;pub-dates&gt;&lt;date&gt;Mar 5&lt;/date&gt;&lt;/pub-dates&gt;&lt;/dates&gt;&lt;isbn&gt;0031-4005&lt;/isbn&gt;&lt;accession-num&gt;29507165&lt;/accession-num&gt;&lt;urls&gt;&lt;/urls&gt;&lt;electronic-resource-num&gt;10.1542/peds.2017-3557&lt;/electronic-resource-num&gt;&lt;remote-database-provider&gt;NLM&lt;/remote-database-provider&gt;&lt;language&gt;eng&lt;/language&gt;&lt;/record&gt;&lt;/Cite&gt;&lt;/EndNote&gt;</w:instrText>
          </w:r>
          <w:r w:rsidRPr="00DC0DED">
            <w:fldChar w:fldCharType="separate"/>
          </w:r>
          <w:r w:rsidRPr="00DC0DED">
            <w:rPr>
              <w:noProof/>
            </w:rPr>
            <w:t>(Rubinstein, Delucchi et al. 2018)</w:t>
          </w:r>
          <w:r w:rsidRPr="00DC0DED">
            <w:fldChar w:fldCharType="end"/>
          </w:r>
          <w:r w:rsidRPr="00DC0DED">
            <w:t>.</w:t>
          </w:r>
          <w:r>
            <w:t xml:space="preserve"> </w:t>
          </w:r>
        </w:p>
        <w:p w14:paraId="6057516C" w14:textId="77777777" w:rsidR="00A16F48" w:rsidRDefault="00A16F48" w:rsidP="00A16F48">
          <w:pPr>
            <w:pStyle w:val="BodyText"/>
          </w:pPr>
          <w:r>
            <w:t>One small (n=23) US cross sectional study sought to determine the risk profile associated with e</w:t>
          </w:r>
          <w:r>
            <w:noBreakHyphen/>
            <w:t xml:space="preserve">cigarette use for </w:t>
          </w:r>
          <w:r>
            <w:rPr>
              <w:b/>
            </w:rPr>
            <w:t>bladder cancer</w:t>
          </w:r>
          <w:r>
            <w:t xml:space="preserve"> </w:t>
          </w:r>
          <w:r>
            <w:fldChar w:fldCharType="begin"/>
          </w:r>
          <w:r>
            <w:instrText xml:space="preserve"> ADDIN EN.CITE &lt;EndNote&gt;&lt;Cite&gt;&lt;Author&gt;Fuller&lt;/Author&gt;&lt;Year&gt;2017&lt;/Year&gt;&lt;RecNum&gt;1957&lt;/RecNum&gt;&lt;DisplayText&gt;(Fuller, Acharya et al. 2017)&lt;/DisplayText&gt;&lt;record&gt;&lt;rec-number&gt;1957&lt;/rec-number&gt;&lt;foreign-keys&gt;&lt;key app="EN" db-id="9vs9pzfznapxphefa28xzw95sf5av0sv9rdz" timestamp="1521159490"&gt;1957&lt;/key&gt;&lt;key app="ENWeb" db-id=""&gt;0&lt;/key&gt;&lt;/foreign-keys&gt;&lt;ref-type name="Journal Article"&gt;17&lt;/ref-type&gt;&lt;contributors&gt;&lt;authors&gt;&lt;author&gt;Fuller, Thomas&lt;/author&gt;&lt;author&gt;Acharya, Abhinav&lt;/author&gt;&lt;author&gt;Bhaskar, Godugu&lt;/author&gt;&lt;author&gt;Yu, Michelle&lt;/author&gt;&lt;author&gt;Little, Steven&lt;/author&gt;&lt;author&gt;Tarin, Tatum&lt;/author&gt;&lt;/authors&gt;&lt;/contributors&gt;&lt;titles&gt;&lt;title&gt;Evaluation of e-cigarettes users urine for known bladder carcinogens&lt;/title&gt;&lt;secondary-title&gt;Journal of Urology&lt;/secondary-title&gt;&lt;/titles&gt;&lt;periodical&gt;&lt;full-title&gt;Journal of Urology&lt;/full-title&gt;&lt;/periodical&gt;&lt;pages&gt;E1179-E1179&lt;/pages&gt;&lt;volume&gt;197&lt;/volume&gt;&lt;number&gt;4&lt;/number&gt;&lt;dates&gt;&lt;year&gt;2017&lt;/year&gt;&lt;pub-dates&gt;&lt;date&gt;Apr&lt;/date&gt;&lt;/pub-dates&gt;&lt;/dates&gt;&lt;isbn&gt;0022-5347&lt;/isbn&gt;&lt;accession-num&gt;WOS:000398276605038&lt;/accession-num&gt;&lt;urls&gt;&lt;related-urls&gt;&lt;url&gt;&amp;lt;Go to ISI&amp;gt;://WOS:000398276605038&lt;/url&gt;&lt;/related-urls&gt;&lt;/urls&gt;&lt;electronic-resource-num&gt;10.1016/j.juro.2017.02.2739&lt;/electronic-resource-num&gt;&lt;/record&gt;&lt;/Cite&gt;&lt;/EndNote&gt;</w:instrText>
          </w:r>
          <w:r>
            <w:fldChar w:fldCharType="separate"/>
          </w:r>
          <w:r>
            <w:rPr>
              <w:noProof/>
            </w:rPr>
            <w:t>(Fuller, Acharya et al. 2017)</w:t>
          </w:r>
          <w:r>
            <w:fldChar w:fldCharType="end"/>
          </w:r>
          <w:r>
            <w:t>. All subjects were former smokers (not smoking for at least 6 months) and 13 currently used e-cigarettes (mean age 39.4 years) whilst 10 were in a control group that did not use e-cigarettes (mean age 30.1 years). Many of the e-cigarette using subjects (9/13) were long term non-smokers (more than 12 months). Subjects in the e-cigarette group mostly vaped more than 28 times per week, with a range of products used. Urine was tested (using liquid chromatography-mass spectrometry, LC-MS) for five known bladder carcinogens: Benz[a]anthracene, Benzo[a]pyrene, 1-hydroxpyrene, o-toluidine and 2</w:t>
          </w:r>
          <w:r>
            <w:noBreakHyphen/>
            <w:t xml:space="preserve">napthylamine (limit of detection 10-100ng/ml). </w:t>
          </w:r>
        </w:p>
        <w:p w14:paraId="10DB9360" w14:textId="77777777" w:rsidR="00A16F48" w:rsidRDefault="00A16F48" w:rsidP="00A16F48">
          <w:pPr>
            <w:pStyle w:val="BodyText"/>
          </w:pPr>
          <w:r>
            <w:t>It was found that the e-cigarette users had significantly higher concentrations of two of the carcinogenic compounds in their urine, o</w:t>
          </w:r>
          <w:r>
            <w:noBreakHyphen/>
            <w:t xml:space="preserve">toluidine (p=0.0013) and 2-naphthylamine (p=0.014), than the control subjects. Mean concentrations of the </w:t>
          </w:r>
          <w:r>
            <w:rPr>
              <w:b/>
            </w:rPr>
            <w:t>two carcinogenic compounds, o-toluidine and 2-naphthylamine, were 2.3 and 1.3-fold higher in the e-cigarette group compared to the non-e-cigarette group</w:t>
          </w:r>
          <w:r>
            <w:t>. The other three tested urinary carcinogens and markers of polyaromatic hydrocarbon (PAH) exposure were not detected in both the subject and control groups.</w:t>
          </w:r>
        </w:p>
        <w:p w14:paraId="52B17602" w14:textId="77777777" w:rsidR="00A16F48" w:rsidRDefault="00A16F48" w:rsidP="00A16F48">
          <w:pPr>
            <w:pStyle w:val="BodyText"/>
          </w:pPr>
          <w:r>
            <w:t xml:space="preserve">Limitations of this study include the small sample size and the lack of consideration of confounders such as duration of previous conventional cigarette use, packs per day when smoking, and time since last conventional cigarette. In interpreting these results, it is important to note that the level at which aromatic amines (such as naphthylamines and toluidines) initiate the development of bladder cancer is still unknown, and acceptable limits of exposure have not been determined. </w:t>
          </w:r>
        </w:p>
        <w:p w14:paraId="5DECE140" w14:textId="0523818B" w:rsidR="00A16F48" w:rsidRDefault="00A16F48" w:rsidP="00A16F48">
          <w:pPr>
            <w:pStyle w:val="BodyText"/>
            <w:rPr>
              <w:szCs w:val="24"/>
            </w:rPr>
          </w:pPr>
          <w:r w:rsidRPr="001910CC">
            <w:rPr>
              <w:szCs w:val="24"/>
            </w:rPr>
            <w:t xml:space="preserve">The US cross-sectional study by Reidel et al. </w:t>
          </w:r>
          <w:r w:rsidRPr="001910CC">
            <w:rPr>
              <w:szCs w:val="24"/>
            </w:rPr>
            <w:fldChar w:fldCharType="begin">
              <w:fldData xml:space="preserve">PEVuZE5vdGU+PENpdGU+PEF1dGhvcj5SZWlkZWw8L0F1dGhvcj48WWVhcj4yMDE4PC9ZZWFyPjxS
ZWNOdW0+ODUxPC9SZWNOdW0+PERpc3BsYXlUZXh0PihSZWlkZWwsIFJhZGljaW9uaSBldCBhbC4g
MjAxOCk8L0Rpc3BsYXlUZXh0PjxyZWNvcmQ+PHJlYy1udW1iZXI+ODUxPC9yZWMtbnVtYmVyPjxm
b3JlaWduLWtleXM+PGtleSBhcHA9IkVOIiBkYi1pZD0iOXZzOXB6ZnpuYXB4cGhlZmEyOHh6dzk1
c2Y1YXYwc3Y5cmR6IiB0aW1lc3RhbXA9IjE1MjExNTkzODIiPjg1MTwva2V5PjwvZm9yZWlnbi1r
ZXlzPjxyZWYtdHlwZSBuYW1lPSJKb3VybmFsIEFydGljbGUiPjE3PC9yZWYtdHlwZT48Y29udHJp
YnV0b3JzPjxhdXRob3JzPjxhdXRob3I+UmVpZGVsLCBCLjwvYXV0aG9yPjxhdXRob3I+UmFkaWNp
b25pLCBHLjwvYXV0aG9yPjxhdXRob3I+Q2xhcHAsIFAuIFcuPC9hdXRob3I+PGF1dGhvcj5Gb3Jk
LCBBLiBBLjwvYXV0aG9yPjxhdXRob3I+QWJkZWx3YWhhYiwgUy48L2F1dGhvcj48YXV0aG9yPlJl
YnVsaSwgTS4gRS48L2F1dGhvcj48YXV0aG9yPkhhcmlkYXNzLCBQLjwvYXV0aG9yPjxhdXRob3I+
QWxleGlzLCBOLiBFLjwvYXV0aG9yPjxhdXRob3I+SmFzcGVycywgSS48L2F1dGhvcj48YXV0aG9y
Pktlc2ltZXIsIE0uPC9hdXRob3I+PC9hdXRob3JzPjwvY29udHJpYnV0b3JzPjxhdXRoLWFkZHJl
c3M+MSBNYXJzaWNvIEx1bmcgSW5zdGl0dXRlLiYjeEQ7MiBEZXBhcnRtZW50IG9mIFBhdGhvbG9n
eSBhbmQgTGFib3JhdG9yeSBNZWRpY2luZSwgYW5kLiYjeEQ7MyBEZXBhcnRtZW50IG9mIFBlZGlh
dHJpY3MsIFRoZSBVbml2ZXJzaXR5IG9mIE5vcnRoIENhcm9saW5hIGF0IENoYXBlbCBIaWxsLCBD
aGFwZWwgSGlsbCwgTm9ydGggQ2Fyb2xpbmEuPC9hdXRoLWFkZHJlc3M+PHRpdGxlcz48dGl0bGU+
RS1DaWdhcmV0dGUgVXNlIENhdXNlcyBhIFVuaXF1ZSBJbm5hdGUgSW1tdW5lIFJlc3BvbnNlIGlu
IHRoZSBMdW5nLCBJbnZvbHZpbmcgSW5jcmVhc2VkIE5ldXRyb3BoaWxpYyBBY3RpdmF0aW9uIGFu
ZCBBbHRlcmVkIE11Y2luIFNlY3JldGlvbjwvdGl0bGU+PHNlY29uZGFyeS10aXRsZT5BbSBKIFJl
c3BpciBDcml0IENhcmUgTWVkPC9zZWNvbmRhcnktdGl0bGU+PGFsdC10aXRsZT5BbWVyaWNhbiBq
b3VybmFsIG9mIHJlc3BpcmF0b3J5IGFuZCBjcml0aWNhbCBjYXJlIG1lZGljaW5lPC9hbHQtdGl0
bGU+PC90aXRsZXM+PHBlcmlvZGljYWw+PGZ1bGwtdGl0bGU+QW0gSiBSZXNwaXIgQ3JpdCBDYXJl
IE1lZDwvZnVsbC10aXRsZT48YWJici0xPkFtZXJpY2FuIGpvdXJuYWwgb2YgcmVzcGlyYXRvcnkg
YW5kIGNyaXRpY2FsIGNhcmUgbWVkaWNpbmU8L2FiYnItMT48L3BlcmlvZGljYWw+PGFsdC1wZXJp
b2RpY2FsPjxmdWxsLXRpdGxlPkFtIEogUmVzcGlyIENyaXQgQ2FyZSBNZWQ8L2Z1bGwtdGl0bGU+
PGFiYnItMT5BbWVyaWNhbiBqb3VybmFsIG9mIHJlc3BpcmF0b3J5IGFuZCBjcml0aWNhbCBjYXJl
IG1lZGljaW5lPC9hYmJyLTE+PC9hbHQtcGVyaW9kaWNhbD48cGFnZXM+NDkyLTUwMTwvcGFnZXM+
PHZvbHVtZT4xOTc8L3ZvbHVtZT48bnVtYmVyPjQ8L251bWJlcj48ZWRpdGlvbj4yMDE3LzEwLzIx
PC9lZGl0aW9uPjxrZXl3b3Jkcz48a2V5d29yZD5OZXQ8L2tleXdvcmQ+PGtleXdvcmQ+ZS1jaWdh
cmV0dGU8L2tleXdvcmQ+PGtleXdvcmQ+bHVuZzwva2V5d29yZD48a2V5d29yZD5tdWNpbjwva2V5
d29yZD48a2V5d29yZD5uZXV0cm9waGlsPC9rZXl3b3JkPjwva2V5d29yZHM+PGRhdGVzPjx5ZWFy
PjIwMTg8L3llYXI+PHB1Yi1kYXRlcz48ZGF0ZT5GZWIgMTU8L2RhdGU+PC9wdWItZGF0ZXM+PC9k
YXRlcz48aXNibj4xMDczLTQ0OXg8L2lzYm4+PGFjY2Vzc2lvbi1udW0+MjkwNTMwMjU8L2FjY2Vz
c2lvbi1udW0+PHVybHM+PC91cmxzPjxjdXN0b20yPlBNQzU4MjE5MDk8L2N1c3RvbTI+PGVsZWN0
cm9uaWMtcmVzb3VyY2UtbnVtPjEwLjExNjQvcmNjbS4yMDE3MDgtMTU5ME9DPC9lbGVjdHJvbmlj
LXJlc291cmNlLW51bT48cmVtb3RlLWRhdGFiYXNlLXByb3ZpZGVyPk5MTTwvcmVtb3RlLWRhdGFi
YXNlLXByb3ZpZGVyPjxsYW5ndWFnZT5lbmc8L2xhbmd1YWdlPjwvcmVjb3JkPjwvQ2l0ZT48L0Vu
ZE5vdGU+AG==
</w:fldData>
            </w:fldChar>
          </w:r>
          <w:r w:rsidRPr="001910CC">
            <w:rPr>
              <w:szCs w:val="24"/>
            </w:rPr>
            <w:instrText xml:space="preserve"> ADDIN EN.CITE </w:instrText>
          </w:r>
          <w:r w:rsidRPr="001910CC">
            <w:rPr>
              <w:szCs w:val="24"/>
            </w:rPr>
            <w:fldChar w:fldCharType="begin">
              <w:fldData xml:space="preserve">PEVuZE5vdGU+PENpdGU+PEF1dGhvcj5SZWlkZWw8L0F1dGhvcj48WWVhcj4yMDE4PC9ZZWFyPjxS
ZWNOdW0+ODUxPC9SZWNOdW0+PERpc3BsYXlUZXh0PihSZWlkZWwsIFJhZGljaW9uaSBldCBhbC4g
MjAxOCk8L0Rpc3BsYXlUZXh0PjxyZWNvcmQ+PHJlYy1udW1iZXI+ODUxPC9yZWMtbnVtYmVyPjxm
b3JlaWduLWtleXM+PGtleSBhcHA9IkVOIiBkYi1pZD0iOXZzOXB6ZnpuYXB4cGhlZmEyOHh6dzk1
c2Y1YXYwc3Y5cmR6IiB0aW1lc3RhbXA9IjE1MjExNTkzODIiPjg1MTwva2V5PjwvZm9yZWlnbi1r
ZXlzPjxyZWYtdHlwZSBuYW1lPSJKb3VybmFsIEFydGljbGUiPjE3PC9yZWYtdHlwZT48Y29udHJp
YnV0b3JzPjxhdXRob3JzPjxhdXRob3I+UmVpZGVsLCBCLjwvYXV0aG9yPjxhdXRob3I+UmFkaWNp
b25pLCBHLjwvYXV0aG9yPjxhdXRob3I+Q2xhcHAsIFAuIFcuPC9hdXRob3I+PGF1dGhvcj5Gb3Jk
LCBBLiBBLjwvYXV0aG9yPjxhdXRob3I+QWJkZWx3YWhhYiwgUy48L2F1dGhvcj48YXV0aG9yPlJl
YnVsaSwgTS4gRS48L2F1dGhvcj48YXV0aG9yPkhhcmlkYXNzLCBQLjwvYXV0aG9yPjxhdXRob3I+
QWxleGlzLCBOLiBFLjwvYXV0aG9yPjxhdXRob3I+SmFzcGVycywgSS48L2F1dGhvcj48YXV0aG9y
Pktlc2ltZXIsIE0uPC9hdXRob3I+PC9hdXRob3JzPjwvY29udHJpYnV0b3JzPjxhdXRoLWFkZHJl
c3M+MSBNYXJzaWNvIEx1bmcgSW5zdGl0dXRlLiYjeEQ7MiBEZXBhcnRtZW50IG9mIFBhdGhvbG9n
eSBhbmQgTGFib3JhdG9yeSBNZWRpY2luZSwgYW5kLiYjeEQ7MyBEZXBhcnRtZW50IG9mIFBlZGlh
dHJpY3MsIFRoZSBVbml2ZXJzaXR5IG9mIE5vcnRoIENhcm9saW5hIGF0IENoYXBlbCBIaWxsLCBD
aGFwZWwgSGlsbCwgTm9ydGggQ2Fyb2xpbmEuPC9hdXRoLWFkZHJlc3M+PHRpdGxlcz48dGl0bGU+
RS1DaWdhcmV0dGUgVXNlIENhdXNlcyBhIFVuaXF1ZSBJbm5hdGUgSW1tdW5lIFJlc3BvbnNlIGlu
IHRoZSBMdW5nLCBJbnZvbHZpbmcgSW5jcmVhc2VkIE5ldXRyb3BoaWxpYyBBY3RpdmF0aW9uIGFu
ZCBBbHRlcmVkIE11Y2luIFNlY3JldGlvbjwvdGl0bGU+PHNlY29uZGFyeS10aXRsZT5BbSBKIFJl
c3BpciBDcml0IENhcmUgTWVkPC9zZWNvbmRhcnktdGl0bGU+PGFsdC10aXRsZT5BbWVyaWNhbiBq
b3VybmFsIG9mIHJlc3BpcmF0b3J5IGFuZCBjcml0aWNhbCBjYXJlIG1lZGljaW5lPC9hbHQtdGl0
bGU+PC90aXRsZXM+PHBlcmlvZGljYWw+PGZ1bGwtdGl0bGU+QW0gSiBSZXNwaXIgQ3JpdCBDYXJl
IE1lZDwvZnVsbC10aXRsZT48YWJici0xPkFtZXJpY2FuIGpvdXJuYWwgb2YgcmVzcGlyYXRvcnkg
YW5kIGNyaXRpY2FsIGNhcmUgbWVkaWNpbmU8L2FiYnItMT48L3BlcmlvZGljYWw+PGFsdC1wZXJp
b2RpY2FsPjxmdWxsLXRpdGxlPkFtIEogUmVzcGlyIENyaXQgQ2FyZSBNZWQ8L2Z1bGwtdGl0bGU+
PGFiYnItMT5BbWVyaWNhbiBqb3VybmFsIG9mIHJlc3BpcmF0b3J5IGFuZCBjcml0aWNhbCBjYXJl
IG1lZGljaW5lPC9hYmJyLTE+PC9hbHQtcGVyaW9kaWNhbD48cGFnZXM+NDkyLTUwMTwvcGFnZXM+
PHZvbHVtZT4xOTc8L3ZvbHVtZT48bnVtYmVyPjQ8L251bWJlcj48ZWRpdGlvbj4yMDE3LzEwLzIx
PC9lZGl0aW9uPjxrZXl3b3Jkcz48a2V5d29yZD5OZXQ8L2tleXdvcmQ+PGtleXdvcmQ+ZS1jaWdh
cmV0dGU8L2tleXdvcmQ+PGtleXdvcmQ+bHVuZzwva2V5d29yZD48a2V5d29yZD5tdWNpbjwva2V5
d29yZD48a2V5d29yZD5uZXV0cm9waGlsPC9rZXl3b3JkPjwva2V5d29yZHM+PGRhdGVzPjx5ZWFy
PjIwMTg8L3llYXI+PHB1Yi1kYXRlcz48ZGF0ZT5GZWIgMTU8L2RhdGU+PC9wdWItZGF0ZXM+PC9k
YXRlcz48aXNibj4xMDczLTQ0OXg8L2lzYm4+PGFjY2Vzc2lvbi1udW0+MjkwNTMwMjU8L2FjY2Vz
c2lvbi1udW0+PHVybHM+PC91cmxzPjxjdXN0b20yPlBNQzU4MjE5MDk8L2N1c3RvbTI+PGVsZWN0
cm9uaWMtcmVzb3VyY2UtbnVtPjEwLjExNjQvcmNjbS4yMDE3MDgtMTU5ME9DPC9lbGVjdHJvbmlj
LXJlc291cmNlLW51bT48cmVtb3RlLWRhdGFiYXNlLXByb3ZpZGVyPk5MTTwvcmVtb3RlLWRhdGFi
YXNlLXByb3ZpZGVyPjxsYW5ndWFnZT5lbmc8L2xhbmd1YWdlPjwvcmVjb3JkPjwvQ2l0ZT48L0Vu
ZE5vdGU+AG==
</w:fldData>
            </w:fldChar>
          </w:r>
          <w:r w:rsidRPr="001910CC">
            <w:rPr>
              <w:szCs w:val="24"/>
            </w:rPr>
            <w:instrText xml:space="preserve"> ADDIN EN.CITE.DATA </w:instrText>
          </w:r>
          <w:r w:rsidRPr="001910CC">
            <w:rPr>
              <w:szCs w:val="24"/>
            </w:rPr>
          </w:r>
          <w:r w:rsidRPr="001910CC">
            <w:rPr>
              <w:szCs w:val="24"/>
            </w:rPr>
            <w:fldChar w:fldCharType="end"/>
          </w:r>
          <w:r w:rsidRPr="001910CC">
            <w:rPr>
              <w:szCs w:val="24"/>
            </w:rPr>
          </w:r>
          <w:r w:rsidRPr="001910CC">
            <w:rPr>
              <w:szCs w:val="24"/>
            </w:rPr>
            <w:fldChar w:fldCharType="separate"/>
          </w:r>
          <w:r w:rsidRPr="001910CC">
            <w:rPr>
              <w:noProof/>
              <w:szCs w:val="24"/>
            </w:rPr>
            <w:t>(Reidel, Radicioni et al. 2018)</w:t>
          </w:r>
          <w:r w:rsidRPr="001910CC">
            <w:rPr>
              <w:szCs w:val="24"/>
            </w:rPr>
            <w:fldChar w:fldCharType="end"/>
          </w:r>
          <w:r w:rsidRPr="001910CC">
            <w:rPr>
              <w:szCs w:val="24"/>
            </w:rPr>
            <w:t xml:space="preserve"> assessed NNAL levels in the urine samples of 14 current cigarette smokers, 15 current e-cigarette users (</w:t>
          </w:r>
          <w:r>
            <w:rPr>
              <w:szCs w:val="24"/>
            </w:rPr>
            <w:t xml:space="preserve">who </w:t>
          </w:r>
          <w:r w:rsidRPr="001910CC">
            <w:rPr>
              <w:szCs w:val="24"/>
            </w:rPr>
            <w:t xml:space="preserve">exclusively or predominantly used e-cigarettes in the previous </w:t>
          </w:r>
          <w:r>
            <w:rPr>
              <w:szCs w:val="24"/>
            </w:rPr>
            <w:t>six</w:t>
          </w:r>
          <w:r w:rsidRPr="001910CC">
            <w:rPr>
              <w:szCs w:val="24"/>
            </w:rPr>
            <w:t xml:space="preserve"> months; </w:t>
          </w:r>
          <w:r>
            <w:rPr>
              <w:szCs w:val="24"/>
            </w:rPr>
            <w:t xml:space="preserve">this group consisted </w:t>
          </w:r>
          <w:r w:rsidRPr="001910CC">
            <w:rPr>
              <w:szCs w:val="24"/>
            </w:rPr>
            <w:t xml:space="preserve">of 7 former cigarette smokers, 5 occasional cigarette smokers and 3 never cigarette smokers) and 15 never smokers. E-cigarette users inhaled </w:t>
          </w:r>
          <w:r>
            <w:rPr>
              <w:szCs w:val="24"/>
            </w:rPr>
            <w:t xml:space="preserve">an average of 218 </w:t>
          </w:r>
          <w:r>
            <w:rPr>
              <w:rFonts w:cs="Calibri"/>
              <w:szCs w:val="24"/>
            </w:rPr>
            <w:t xml:space="preserve">± </w:t>
          </w:r>
          <w:r>
            <w:rPr>
              <w:szCs w:val="24"/>
            </w:rPr>
            <w:t>61</w:t>
          </w:r>
          <w:r w:rsidRPr="001910CC">
            <w:rPr>
              <w:szCs w:val="24"/>
            </w:rPr>
            <w:t xml:space="preserve"> puffs per day. In this study,</w:t>
          </w:r>
          <w:r>
            <w:rPr>
              <w:szCs w:val="24"/>
            </w:rPr>
            <w:t xml:space="preserve"> urine NNAL levels in e-cigarette users were</w:t>
          </w:r>
          <w:r w:rsidRPr="001910CC">
            <w:rPr>
              <w:szCs w:val="24"/>
            </w:rPr>
            <w:t xml:space="preserve"> </w:t>
          </w:r>
          <w:r>
            <w:rPr>
              <w:szCs w:val="24"/>
            </w:rPr>
            <w:t>significantly higher than</w:t>
          </w:r>
          <w:r w:rsidRPr="001910CC">
            <w:rPr>
              <w:szCs w:val="24"/>
            </w:rPr>
            <w:t xml:space="preserve"> urine NNAL levels in never smokers</w:t>
          </w:r>
          <w:r>
            <w:rPr>
              <w:szCs w:val="24"/>
            </w:rPr>
            <w:t xml:space="preserve"> (mean NNAL=17.22 </w:t>
          </w:r>
          <w:r>
            <w:rPr>
              <w:rFonts w:cs="Calibri"/>
              <w:szCs w:val="24"/>
            </w:rPr>
            <w:t>±</w:t>
          </w:r>
          <w:r>
            <w:rPr>
              <w:szCs w:val="24"/>
            </w:rPr>
            <w:t xml:space="preserve"> 6.00 pg/ml creatinine vs 0.41 </w:t>
          </w:r>
          <w:r>
            <w:rPr>
              <w:rFonts w:cs="Calibri"/>
              <w:szCs w:val="24"/>
            </w:rPr>
            <w:t>±</w:t>
          </w:r>
          <w:r>
            <w:rPr>
              <w:szCs w:val="24"/>
            </w:rPr>
            <w:t xml:space="preserve"> 0.22 pg/ml creatinine in e-cigarette users and never smokers respectively; p</w:t>
          </w:r>
          <w:r>
            <w:rPr>
              <w:rFonts w:cs="Calibri"/>
              <w:szCs w:val="24"/>
            </w:rPr>
            <w:t>≤</w:t>
          </w:r>
          <w:r>
            <w:rPr>
              <w:szCs w:val="24"/>
            </w:rPr>
            <w:t>0.001)</w:t>
          </w:r>
          <w:r w:rsidRPr="001910CC">
            <w:rPr>
              <w:szCs w:val="24"/>
            </w:rPr>
            <w:t xml:space="preserve">. </w:t>
          </w:r>
          <w:r>
            <w:rPr>
              <w:szCs w:val="24"/>
            </w:rPr>
            <w:t>However, these levels were considerably and significantly less than the levels observed in smokers. NNAL level</w:t>
          </w:r>
          <w:r w:rsidRPr="001910CC">
            <w:rPr>
              <w:szCs w:val="24"/>
            </w:rPr>
            <w:t xml:space="preserve"> w</w:t>
          </w:r>
          <w:r>
            <w:rPr>
              <w:szCs w:val="24"/>
            </w:rPr>
            <w:t>as</w:t>
          </w:r>
          <w:r w:rsidRPr="001910CC">
            <w:rPr>
              <w:szCs w:val="24"/>
            </w:rPr>
            <w:t xml:space="preserve"> not correlated with the number of puffs per day in e-cigarette users.</w:t>
          </w:r>
        </w:p>
        <w:p w14:paraId="4B5B48E2" w14:textId="77777777" w:rsidR="00A16F48" w:rsidRDefault="00A16F48" w:rsidP="00A16F48">
          <w:pPr>
            <w:pStyle w:val="BodyText"/>
          </w:pPr>
          <w:r w:rsidRPr="00BC627D">
            <w:t xml:space="preserve">Another US cross sectional study </w:t>
          </w:r>
          <w:r w:rsidRPr="00BC627D">
            <w:fldChar w:fldCharType="begin"/>
          </w:r>
          <w:r w:rsidRPr="00BC627D">
            <w:instrText xml:space="preserve"> ADDIN EN.CITE &lt;EndNote&gt;&lt;Cite&gt;&lt;Author&gt;Rubinstein&lt;/Author&gt;&lt;Year&gt;2018&lt;/Year&gt;&lt;RecNum&gt;560&lt;/RecNum&gt;&lt;DisplayText&gt;(Rubinstein, Delucchi et al. 2018)&lt;/DisplayText&gt;&lt;record&gt;&lt;rec-number&gt;560&lt;/rec-number&gt;&lt;foreign-keys&gt;&lt;key app="EN" db-id="9vs9pzfznapxphefa28xzw95sf5av0sv9rdz" timestamp="1521159340"&gt;560&lt;/key&gt;&lt;/foreign-keys&gt;&lt;ref-type name="Journal Article"&gt;17&lt;/ref-type&gt;&lt;contributors&gt;&lt;authors&gt;&lt;author&gt;Rubinstein, M. L.&lt;/author&gt;&lt;author&gt;Delucchi, K.&lt;/author&gt;&lt;author&gt;Benowitz, N. L.&lt;/author&gt;&lt;author&gt;Ramo, D. E.&lt;/author&gt;&lt;/authors&gt;&lt;/contributors&gt;&lt;auth-address&gt;Division of Adolescent Medicine, mark.rubinstein@ucsf.edu.&amp;#xD;Department of Psychiatry, and.&amp;#xD;Weill Institute for Neurosciences, University of California, San Francisco, San Francisco, California.&amp;#xD;Division of Clinical Pharmacology and Experimental Therapeutics, Departments of Medicine and Bioengineering and Therapeutic Sciences.&lt;/auth-address&gt;&lt;titles&gt;&lt;title&gt;Adolescent Exposure to Toxic Volatile Organic Chemicals From E-Cigarettes&lt;/title&gt;&lt;secondary-title&gt;Pediatrics&lt;/secondary-title&gt;&lt;alt-title&gt;Pediatrics&lt;/alt-title&gt;&lt;/titles&gt;&lt;periodical&gt;&lt;full-title&gt;Pediatrics&lt;/full-title&gt;&lt;/periodical&gt;&lt;alt-periodical&gt;&lt;full-title&gt;Pediatrics&lt;/full-title&gt;&lt;/alt-periodical&gt;&lt;edition&gt;2018/03/07&lt;/edition&gt;&lt;dates&gt;&lt;year&gt;2018&lt;/year&gt;&lt;pub-dates&gt;&lt;date&gt;Mar 5&lt;/date&gt;&lt;/pub-dates&gt;&lt;/dates&gt;&lt;isbn&gt;0031-4005&lt;/isbn&gt;&lt;accession-num&gt;29507165&lt;/accession-num&gt;&lt;urls&gt;&lt;/urls&gt;&lt;electronic-resource-num&gt;10.1542/peds.2017-3557&lt;/electronic-resource-num&gt;&lt;remote-database-provider&gt;NLM&lt;/remote-database-provider&gt;&lt;language&gt;eng&lt;/language&gt;&lt;/record&gt;&lt;/Cite&gt;&lt;/EndNote&gt;</w:instrText>
          </w:r>
          <w:r w:rsidRPr="00BC627D">
            <w:fldChar w:fldCharType="separate"/>
          </w:r>
          <w:r w:rsidRPr="00BC627D">
            <w:rPr>
              <w:noProof/>
            </w:rPr>
            <w:t>(Rubinstein, Delucchi et al. 2018)</w:t>
          </w:r>
          <w:r w:rsidRPr="00BC627D">
            <w:fldChar w:fldCharType="end"/>
          </w:r>
          <w:r w:rsidRPr="00BC627D">
            <w:t xml:space="preserve"> assessed </w:t>
          </w:r>
          <w:r>
            <w:t>the presence of the metabolites of five</w:t>
          </w:r>
          <w:r w:rsidRPr="00BC627D">
            <w:t xml:space="preserve"> </w:t>
          </w:r>
          <w:r w:rsidRPr="00BC627D">
            <w:rPr>
              <w:b/>
            </w:rPr>
            <w:t>carcinogenic toxicants</w:t>
          </w:r>
          <w:r w:rsidRPr="00BC627D">
            <w:t xml:space="preserve"> linked to e-cigarette use in </w:t>
          </w:r>
          <w:r>
            <w:t>the</w:t>
          </w:r>
          <w:r w:rsidRPr="00BC627D">
            <w:t xml:space="preserve"> urine samples of </w:t>
          </w:r>
          <w:r w:rsidRPr="00BC627D">
            <w:rPr>
              <w:b/>
            </w:rPr>
            <w:t xml:space="preserve">adolescents </w:t>
          </w:r>
          <w:r w:rsidRPr="00BC627D">
            <w:t xml:space="preserve">aged 13-18 years (n=103). </w:t>
          </w:r>
        </w:p>
        <w:p w14:paraId="0807E663" w14:textId="77777777" w:rsidR="00A16F48" w:rsidRDefault="00A16F48" w:rsidP="00A16F48">
          <w:pPr>
            <w:pStyle w:val="BodyText"/>
          </w:pPr>
          <w:r w:rsidRPr="00BC627D">
            <w:t xml:space="preserve">The study sample was divided into </w:t>
          </w:r>
          <w:r>
            <w:t>three</w:t>
          </w:r>
          <w:r w:rsidRPr="00BC627D">
            <w:t xml:space="preserve"> groups: </w:t>
          </w:r>
        </w:p>
        <w:p w14:paraId="321E271A" w14:textId="77777777" w:rsidR="00A16F48" w:rsidRPr="008C5712" w:rsidRDefault="00A16F48" w:rsidP="001B093A">
          <w:pPr>
            <w:pStyle w:val="ListBullet"/>
            <w:tabs>
              <w:tab w:val="clear" w:pos="199"/>
              <w:tab w:val="num" w:pos="2183"/>
            </w:tabs>
            <w:spacing w:before="0" w:after="0"/>
            <w:ind w:left="1615"/>
          </w:pPr>
          <w:r w:rsidRPr="008C5712">
            <w:t xml:space="preserve">e-cigarette only users (n=67), </w:t>
          </w:r>
        </w:p>
        <w:p w14:paraId="49CEE0B1" w14:textId="77777777" w:rsidR="00A16F48" w:rsidRPr="008C5712" w:rsidRDefault="00A16F48" w:rsidP="001B093A">
          <w:pPr>
            <w:pStyle w:val="ListBullet"/>
            <w:tabs>
              <w:tab w:val="clear" w:pos="199"/>
              <w:tab w:val="num" w:pos="2183"/>
            </w:tabs>
            <w:spacing w:before="0" w:after="0"/>
            <w:ind w:left="1615"/>
          </w:pPr>
          <w:r w:rsidRPr="008C5712">
            <w:t xml:space="preserve">dual users of conventional cigarettes and e-cigarettes (n=16), and </w:t>
          </w:r>
        </w:p>
        <w:p w14:paraId="208ED4BF" w14:textId="77777777" w:rsidR="00A16F48" w:rsidRPr="008C5712" w:rsidRDefault="00A16F48" w:rsidP="001B093A">
          <w:pPr>
            <w:pStyle w:val="ListBullet"/>
            <w:tabs>
              <w:tab w:val="clear" w:pos="199"/>
              <w:tab w:val="num" w:pos="2183"/>
            </w:tabs>
            <w:spacing w:before="0" w:after="0"/>
            <w:ind w:left="1615"/>
          </w:pPr>
          <w:r w:rsidRPr="008C5712">
            <w:lastRenderedPageBreak/>
            <w:t xml:space="preserve">controls who never used e-cigarettes or conventional cigarettes (n=20). </w:t>
          </w:r>
        </w:p>
        <w:p w14:paraId="22847330" w14:textId="77777777" w:rsidR="00A16F48" w:rsidRDefault="00A16F48" w:rsidP="00A16F48">
          <w:pPr>
            <w:pStyle w:val="BodyText"/>
          </w:pPr>
          <w:r w:rsidRPr="00BC627D">
            <w:t>E-cigarette only users who used nicotine in their e-cigarettes reported using these more frequently, with an average use of 15.1 days/month (SD9.2) compared with 7.6 days/month (SD5.6) (p&lt;0.001) for e-cigarette users who did not use nicotine</w:t>
          </w:r>
          <w:r>
            <w:t>-containing</w:t>
          </w:r>
          <w:r w:rsidRPr="00BC627D">
            <w:t xml:space="preserve"> liquids. </w:t>
          </w:r>
        </w:p>
        <w:p w14:paraId="4E43BD12" w14:textId="77777777" w:rsidR="00A16F48" w:rsidRDefault="00A16F48" w:rsidP="00A16F48">
          <w:pPr>
            <w:pStyle w:val="BodyText"/>
          </w:pPr>
          <w:r w:rsidRPr="00BC627D">
            <w:t xml:space="preserve">The study tested for the presence of five carcinogenic Volatile Organic Compounds (VOCs): </w:t>
          </w:r>
        </w:p>
        <w:p w14:paraId="17B94411" w14:textId="77777777" w:rsidR="00A16F48" w:rsidRDefault="00A16F48" w:rsidP="001B093A">
          <w:pPr>
            <w:pStyle w:val="ListBullet"/>
            <w:tabs>
              <w:tab w:val="clear" w:pos="199"/>
              <w:tab w:val="num" w:pos="2183"/>
            </w:tabs>
            <w:spacing w:before="0" w:after="0"/>
            <w:ind w:left="1615"/>
          </w:pPr>
          <w:r w:rsidRPr="00BC627D">
            <w:t xml:space="preserve">acrylonitrile (CNEMA), </w:t>
          </w:r>
        </w:p>
        <w:p w14:paraId="39750290" w14:textId="77777777" w:rsidR="00A16F48" w:rsidRDefault="00A16F48" w:rsidP="001B093A">
          <w:pPr>
            <w:pStyle w:val="ListBullet"/>
            <w:tabs>
              <w:tab w:val="clear" w:pos="199"/>
              <w:tab w:val="num" w:pos="2183"/>
            </w:tabs>
            <w:spacing w:before="0" w:after="0"/>
            <w:ind w:left="1615"/>
          </w:pPr>
          <w:r w:rsidRPr="00BC627D">
            <w:t xml:space="preserve">acrolein (3-HPMA), </w:t>
          </w:r>
        </w:p>
        <w:p w14:paraId="58F0259A" w14:textId="77777777" w:rsidR="00A16F48" w:rsidRDefault="00A16F48" w:rsidP="001B093A">
          <w:pPr>
            <w:pStyle w:val="ListBullet"/>
            <w:tabs>
              <w:tab w:val="clear" w:pos="199"/>
              <w:tab w:val="num" w:pos="2183"/>
            </w:tabs>
            <w:spacing w:before="0" w:after="0"/>
            <w:ind w:left="1615"/>
          </w:pPr>
          <w:r w:rsidRPr="00BC627D">
            <w:t xml:space="preserve">propylene oxide (2-HPMA), </w:t>
          </w:r>
        </w:p>
        <w:p w14:paraId="0FDF763D" w14:textId="77777777" w:rsidR="00A16F48" w:rsidRDefault="00A16F48" w:rsidP="001B093A">
          <w:pPr>
            <w:pStyle w:val="ListBullet"/>
            <w:tabs>
              <w:tab w:val="clear" w:pos="199"/>
              <w:tab w:val="num" w:pos="2183"/>
            </w:tabs>
            <w:spacing w:before="0" w:after="0"/>
            <w:ind w:left="1615"/>
          </w:pPr>
          <w:r w:rsidRPr="00BC627D">
            <w:t xml:space="preserve">acrylamide (AAMA) and </w:t>
          </w:r>
        </w:p>
        <w:p w14:paraId="0AC7CE37" w14:textId="77777777" w:rsidR="00A16F48" w:rsidRDefault="00A16F48" w:rsidP="001B093A">
          <w:pPr>
            <w:pStyle w:val="ListBullet"/>
            <w:tabs>
              <w:tab w:val="clear" w:pos="199"/>
              <w:tab w:val="num" w:pos="2183"/>
            </w:tabs>
            <w:spacing w:before="0" w:after="0"/>
            <w:ind w:left="1615"/>
          </w:pPr>
          <w:r w:rsidRPr="00BC627D">
            <w:t>crotonaldehyde (</w:t>
          </w:r>
          <w:r>
            <w:t>HMPMA)</w:t>
          </w:r>
          <w:r w:rsidRPr="00BC627D">
            <w:t xml:space="preserve"> </w:t>
          </w:r>
        </w:p>
        <w:p w14:paraId="2E3ED578" w14:textId="77777777" w:rsidR="00A16F48" w:rsidRDefault="00A16F48" w:rsidP="00A16F48">
          <w:pPr>
            <w:pStyle w:val="BodyText"/>
          </w:pPr>
          <w:r w:rsidRPr="00BC627D">
            <w:t xml:space="preserve">as well as biomarkers of nicotine and tobacco-specific nitrosamine. </w:t>
          </w:r>
        </w:p>
        <w:p w14:paraId="3B902CFE" w14:textId="77777777" w:rsidR="00A16F48" w:rsidRDefault="00A16F48" w:rsidP="00A16F48">
          <w:pPr>
            <w:pStyle w:val="BodyText"/>
          </w:pPr>
          <w:r w:rsidRPr="00BC627D">
            <w:rPr>
              <w:b/>
            </w:rPr>
            <w:t>Metabolites of all five VOCs were significantly higher in the urine samples of e-cigarette only users compared with controls</w:t>
          </w:r>
          <w:r w:rsidRPr="00BC627D">
            <w:t xml:space="preserve"> (acrylonitrile: median (IQR)</w:t>
          </w:r>
          <w:r>
            <w:t>=</w:t>
          </w:r>
          <w:r w:rsidRPr="00BC627D">
            <w:t>1.3 (3.2) vs 0 (1.1) ng/mg creatinine in e-cigarette users and controls respectively, p&lt;0.001; acrolein: median (IQR)</w:t>
          </w:r>
          <w:r>
            <w:t>=</w:t>
          </w:r>
          <w:r w:rsidRPr="00BC627D">
            <w:t>254.3 (191.4) vs 192.8 (261.6) ng/mg creatinine respectively, p&lt;0.05; propylene oxide: median (IQR)</w:t>
          </w:r>
          <w:r>
            <w:t>=</w:t>
          </w:r>
          <w:r w:rsidRPr="00BC627D">
            <w:t>28.8 (25) vs 15.2 (14.4) ng/mg creatinine in e-cigarette users and controls respectively, p&lt;0.001; acrylamide: median (IQR)</w:t>
          </w:r>
          <w:r>
            <w:t>=</w:t>
          </w:r>
          <w:r w:rsidRPr="00BC627D">
            <w:t>67.3 (69) vs 34.5 (41.6) ng/mg creatinine respectively, p&lt;0.001; and crotonaldehyde: median (IQR)</w:t>
          </w:r>
          <w:r>
            <w:t>=</w:t>
          </w:r>
          <w:r w:rsidRPr="00BC627D">
            <w:t xml:space="preserve">148.7 (99) vs 100.4 (129.9) ng/mg creatinine respectively, p&lt;0.05). </w:t>
          </w:r>
        </w:p>
        <w:p w14:paraId="251AE24B" w14:textId="17D5560C" w:rsidR="00A16F48" w:rsidRDefault="00A16F48" w:rsidP="00A16F48">
          <w:pPr>
            <w:pStyle w:val="BodyText"/>
          </w:pPr>
          <w:r w:rsidRPr="00BC627D">
            <w:t xml:space="preserve">These relationships remained after controlling for sex and race/ethnicity. </w:t>
          </w:r>
          <w:r>
            <w:t xml:space="preserve">Urine NNAL levels were also significantly higher in e-cigarette only users compared to controls (mean (IQR) 0.3 (0.7) vs 0 (0) pg/ml creatinine in e-cigarette users and controls respectively, p&lt;0.001). </w:t>
          </w:r>
          <w:r w:rsidRPr="00BC627D">
            <w:t>The average number of sessions of e-cigarette use per day was also associated with increased levels of CNEMA (r=0.36, p=0.003), however, days of e-cigarette use in the past month was not associated with urinary VOC levels in e-cigarette only users.</w:t>
          </w:r>
          <w:r w:rsidR="008146F9">
            <w:t xml:space="preserve"> </w:t>
          </w:r>
        </w:p>
        <w:p w14:paraId="13681ECE" w14:textId="77777777" w:rsidR="00A16F48" w:rsidRDefault="00A16F48" w:rsidP="00A16F48">
          <w:pPr>
            <w:pStyle w:val="BodyText"/>
          </w:pPr>
          <w:r w:rsidRPr="00BC627D">
            <w:t>There were no differences in levels of the five VOCs based on the type of e-cigarette product used, however, levels of CNEMA and AAMA were higher in those using e-cigarettes containing nicotine. Levels of the three other significant and likely toxic VOCs were just as high in users of non-nicotin</w:t>
          </w:r>
          <w:r>
            <w:t>e products, an</w:t>
          </w:r>
          <w:r w:rsidRPr="00BC627D">
            <w:t xml:space="preserve"> important </w:t>
          </w:r>
          <w:r>
            <w:t>observation given</w:t>
          </w:r>
          <w:r w:rsidRPr="00BC627D">
            <w:t xml:space="preserve"> adolescents often initiate e-cigarette use with nicotine free products. Those who reported using fruit flavours in the past month also had higher CNEMA levels than those who did not (p=0.03). </w:t>
          </w:r>
          <w:r>
            <w:t>Fruit flavours were</w:t>
          </w:r>
          <w:r w:rsidRPr="00BC627D">
            <w:t xml:space="preserve"> the most popular choice among the adolescent e-cigarette users in the study. </w:t>
          </w:r>
        </w:p>
        <w:p w14:paraId="712D67D3" w14:textId="77777777" w:rsidR="00A16F48" w:rsidRDefault="00A16F48" w:rsidP="00A16F48">
          <w:pPr>
            <w:pStyle w:val="BodyText"/>
          </w:pPr>
          <w:r w:rsidRPr="00D83D0D">
            <w:t>One large US cro</w:t>
          </w:r>
          <w:r>
            <w:t>ss-sectional study</w:t>
          </w:r>
          <w:r w:rsidRPr="00D83D0D">
            <w:t xml:space="preserve"> (n=1572) </w:t>
          </w:r>
          <w:r w:rsidRPr="00D83D0D">
            <w:fldChar w:fldCharType="begin">
              <w:fldData xml:space="preserve">PEVuZE5vdGU+PENpdGU+PEF1dGhvcj5XZWk8L0F1dGhvcj48WWVhcj4yMDE4PC9ZZWFyPjxSZWNO
dW0+MTE0NjY8L1JlY051bT48RGlzcGxheVRleHQ+KFdlaSwgR29uaWV3aWN6IGV0IGFsLiAyMDE4
KTwvRGlzcGxheVRleHQ+PHJlY29yZD48cmVjLW51bWJlcj4xMTQ2NjwvcmVjLW51bWJlcj48Zm9y
ZWlnbi1rZXlzPjxrZXkgYXBwPSJFTiIgZGItaWQ9IjV4djV3NXQyYmR4dHhmZXp4MDJ4dHhkZnQ1
cno1cHR2dnQyOSIgdGltZXN0YW1wPSIxNTIzODYyMTg4Ij4xMTQ2Njwva2V5PjxrZXkgYXBwPSJF
TldlYiIgZGItaWQ9IiI+MDwva2V5PjwvZm9yZWlnbi1rZXlzPjxyZWYtdHlwZSBuYW1lPSJKb3Vy
bmFsIEFydGljbGUiPjE3PC9yZWYtdHlwZT48Y29udHJpYnV0b3JzPjxhdXRob3JzPjxhdXRob3I+
V2VpLCBCLjwvYXV0aG9yPjxhdXRob3I+R29uaWV3aWN6LCBNLiBMLjwvYXV0aG9yPjxhdXRob3I+
T+KAmUNvbm5vciwgUi4gSi48L2F1dGhvcj48YXV0aG9yPlRyYXZlcnMsIE0uIEouPC9hdXRob3I+
PGF1dGhvcj5IeWxhbmQsIEEuIEouPC9hdXRob3I+PC9hdXRob3JzPjwvY29udHJpYnV0b3JzPjx0
aXRsZXM+PHRpdGxlPlVyaW5hcnkgbWV0YWJvbGl0ZSBsZXZlbHMgb2YgZmxhbWUgcmV0YXJkYW50
cyBpbiBlbGVjdHJvbmljIGNpZ2FyZXR0ZSB1c2VyczogQSBzdHVkeSB1c2luZyB0aGUgZGF0YSBm
cm9tIE5IQU5FUyAyMDEz4oCTMjAxNDwvdGl0bGU+PHNlY29uZGFyeS10aXRsZT5JbnRlcm5hdGlv
bmFsIEpvdXJuYWwgb2YgRW52aXJvbm1lbnRhbCBSZXNlYXJjaCBhbmQgUHVibGljIEhlYWx0aDwv
c2Vjb25kYXJ5LXRpdGxlPjwvdGl0bGVzPjxwZXJpb2RpY2FsPjxmdWxsLXRpdGxlPkludCBKIEVu
dmlyb24gUmVzIFB1YmxpYyBIZWFsdGg8L2Z1bGwtdGl0bGU+PGFiYnItMT5JbnRlcm5hdGlvbmFs
IGpvdXJuYWwgb2YgZW52aXJvbm1lbnRhbCByZXNlYXJjaCBhbmQgcHVibGljIGhlYWx0aDwvYWJi
ci0xPjwvcGVyaW9kaWNhbD48dm9sdW1lPjE1PC92b2x1bWU+PG51bWJlcj4yPC9udW1iZXI+PGtl
eXdvcmRzPjxrZXl3b3JkPmJpcygxLDMgZGljaGxvcm8gMiBwcm9weWwpcGhvc3BoYXRlPC9rZXl3
b3JkPjxrZXl3b3JkPmJpcygyIGNobG9yb2V0aHlsKXBob3NwaGF0ZTwva2V5d29yZD48a2V5d29y
ZD5kaWJ1dHlscGhvc3BoYXRlPC9rZXl3b3JkPjxrZXl3b3JkPmRpcGhlbnlscGhvc3BoYXRlPC9r
ZXl3b3JkPjxrZXl3b3JkPmZsYW1lIHJldGFyZGFudDwva2V5d29yZD48a2V5d29yZD5vcmdhbm9w
aG9zcGhhdGU8L2tleXdvcmQ+PGtleXdvcmQ+cGhvc3Bob3JpYyBhY2lkIHRyaXMoMiBjaGxvcm9l
dGh5bCkgZXN0ZXI8L2tleXdvcmQ+PGtleXdvcmQ+dW5jbGFzc2lmaWVkIGRydWc8L2tleXdvcmQ+
PGtleXdvcmQ+YmlvbWFya2VyPC9rZXl3b3JkPjxrZXl3b3JkPmNvbmNlbnRyYXRpb24gKGNvbXBv
c2l0aW9uKTwva2V5d29yZD48a2V5d29yZD5oZWFsdGggcmlzazwva2V5d29yZD48a2V5d29yZD5t
ZXRhYm9saXRlPC9rZXl3b3JkPjxrZXl3b3JkPnB1YmxpYyBoZWFsdGg8L2tleXdvcmQ+PGtleXdv
cmQ+dG9iYWNjbzwva2V5d29yZD48a2V5d29yZD51cmluZTwva2V5d29yZD48a2V5d29yZD5hZHVs
dDwva2V5d29yZD48a2V5d29yZD5BcnRpY2xlPC9rZXl3b3JkPjxrZXl3b3JkPmJvZHkgYnVyZGVu
PC9rZXl3b3JkPjxrZXl3b3JkPmNpZ2FyIHNtb2tpbmc8L2tleXdvcmQ+PGtleXdvcmQ+Y2lnYXJl
dHRlIHNtb2tpbmc8L2tleXdvcmQ+PGtleXdvcmQ+Y29udHJvbGxlZCBzdHVkeTwva2V5d29yZD48
a2V5d29yZD5mZW1hbGU8L2tleXdvcmQ+PGtleXdvcmQ+aHVtYW48L2tleXdvcmQ+PGtleXdvcmQ+
bWFsZTwva2V5d29yZD48a2V5d29yZD5waWxvdCBzdHVkeTwva2V5d29yZD48a2V5d29yZD5zbW9r
ZWxlc3MgdG9iYWNjbzwva2V5d29yZD48a2V5d29yZD51cmluYWx5c2lzPC9rZXl3b3JkPjxrZXl3
b3JkPnZhcGluZzwva2V5d29yZD48a2V5d29yZD5OaWNvdGlhbmEgdGFiYWN1bTwva2V5d29yZD48
L2tleXdvcmRzPjxkYXRlcz48eWVhcj4yMDE4PC95ZWFyPjwvZGF0ZXM+PHVybHM+PHJlbGF0ZWQt
dXJscz48dXJsPmh0dHBzOi8vd3d3LnNjb3B1cy5jb20vaW53YXJkL3JlY29yZC51cmk/ZWlkPTIt
czIuMC04NTA0MTExNTY2MCZhbXA7ZG9pPTEwLjMzOTAlMmZpamVycGgxNTAyMDIwMSZhbXA7cGFy
dG5lcklEPTQwJmFtcDttZDU9MGQzNDZjYzNkOTk3NmU5MTNkODMyZTkxMjk2NDFjMzM8L3VybD48
L3JlbGF0ZWQtdXJscz48L3VybHM+PGVsZWN0cm9uaWMtcmVzb3VyY2UtbnVtPjEwLjMzOTAvaWpl
cnBoMTUwMjAyMDE8L2VsZWN0cm9uaWMtcmVzb3VyY2UtbnVtPjxyZW1vdGUtZGF0YWJhc2UtbmFt
ZT5TY29wdXMgQzcgLSAyMDE8L3JlbW90ZS1kYXRhYmFzZS1uYW1lPjwvcmVjb3JkPjwvQ2l0ZT48
L0VuZE5vdGU+AG==
</w:fldData>
            </w:fldChar>
          </w:r>
          <w:r w:rsidR="00903735">
            <w:instrText xml:space="preserve"> ADDIN EN.CITE </w:instrText>
          </w:r>
          <w:r w:rsidR="00903735">
            <w:fldChar w:fldCharType="begin">
              <w:fldData xml:space="preserve">PEVuZE5vdGU+PENpdGU+PEF1dGhvcj5XZWk8L0F1dGhvcj48WWVhcj4yMDE4PC9ZZWFyPjxSZWNO
dW0+MTE0NjY8L1JlY051bT48RGlzcGxheVRleHQ+KFdlaSwgR29uaWV3aWN6IGV0IGFsLiAyMDE4
KTwvRGlzcGxheVRleHQ+PHJlY29yZD48cmVjLW51bWJlcj4xMTQ2NjwvcmVjLW51bWJlcj48Zm9y
ZWlnbi1rZXlzPjxrZXkgYXBwPSJFTiIgZGItaWQ9IjV4djV3NXQyYmR4dHhmZXp4MDJ4dHhkZnQ1
cno1cHR2dnQyOSIgdGltZXN0YW1wPSIxNTIzODYyMTg4Ij4xMTQ2Njwva2V5PjxrZXkgYXBwPSJF
TldlYiIgZGItaWQ9IiI+MDwva2V5PjwvZm9yZWlnbi1rZXlzPjxyZWYtdHlwZSBuYW1lPSJKb3Vy
bmFsIEFydGljbGUiPjE3PC9yZWYtdHlwZT48Y29udHJpYnV0b3JzPjxhdXRob3JzPjxhdXRob3I+
V2VpLCBCLjwvYXV0aG9yPjxhdXRob3I+R29uaWV3aWN6LCBNLiBMLjwvYXV0aG9yPjxhdXRob3I+
T+KAmUNvbm5vciwgUi4gSi48L2F1dGhvcj48YXV0aG9yPlRyYXZlcnMsIE0uIEouPC9hdXRob3I+
PGF1dGhvcj5IeWxhbmQsIEEuIEouPC9hdXRob3I+PC9hdXRob3JzPjwvY29udHJpYnV0b3JzPjx0
aXRsZXM+PHRpdGxlPlVyaW5hcnkgbWV0YWJvbGl0ZSBsZXZlbHMgb2YgZmxhbWUgcmV0YXJkYW50
cyBpbiBlbGVjdHJvbmljIGNpZ2FyZXR0ZSB1c2VyczogQSBzdHVkeSB1c2luZyB0aGUgZGF0YSBm
cm9tIE5IQU5FUyAyMDEz4oCTMjAxNDwvdGl0bGU+PHNlY29uZGFyeS10aXRsZT5JbnRlcm5hdGlv
bmFsIEpvdXJuYWwgb2YgRW52aXJvbm1lbnRhbCBSZXNlYXJjaCBhbmQgUHVibGljIEhlYWx0aDwv
c2Vjb25kYXJ5LXRpdGxlPjwvdGl0bGVzPjxwZXJpb2RpY2FsPjxmdWxsLXRpdGxlPkludCBKIEVu
dmlyb24gUmVzIFB1YmxpYyBIZWFsdGg8L2Z1bGwtdGl0bGU+PGFiYnItMT5JbnRlcm5hdGlvbmFs
IGpvdXJuYWwgb2YgZW52aXJvbm1lbnRhbCByZXNlYXJjaCBhbmQgcHVibGljIGhlYWx0aDwvYWJi
ci0xPjwvcGVyaW9kaWNhbD48dm9sdW1lPjE1PC92b2x1bWU+PG51bWJlcj4yPC9udW1iZXI+PGtl
eXdvcmRzPjxrZXl3b3JkPmJpcygxLDMgZGljaGxvcm8gMiBwcm9weWwpcGhvc3BoYXRlPC9rZXl3
b3JkPjxrZXl3b3JkPmJpcygyIGNobG9yb2V0aHlsKXBob3NwaGF0ZTwva2V5d29yZD48a2V5d29y
ZD5kaWJ1dHlscGhvc3BoYXRlPC9rZXl3b3JkPjxrZXl3b3JkPmRpcGhlbnlscGhvc3BoYXRlPC9r
ZXl3b3JkPjxrZXl3b3JkPmZsYW1lIHJldGFyZGFudDwva2V5d29yZD48a2V5d29yZD5vcmdhbm9w
aG9zcGhhdGU8L2tleXdvcmQ+PGtleXdvcmQ+cGhvc3Bob3JpYyBhY2lkIHRyaXMoMiBjaGxvcm9l
dGh5bCkgZXN0ZXI8L2tleXdvcmQ+PGtleXdvcmQ+dW5jbGFzc2lmaWVkIGRydWc8L2tleXdvcmQ+
PGtleXdvcmQ+YmlvbWFya2VyPC9rZXl3b3JkPjxrZXl3b3JkPmNvbmNlbnRyYXRpb24gKGNvbXBv
c2l0aW9uKTwva2V5d29yZD48a2V5d29yZD5oZWFsdGggcmlzazwva2V5d29yZD48a2V5d29yZD5t
ZXRhYm9saXRlPC9rZXl3b3JkPjxrZXl3b3JkPnB1YmxpYyBoZWFsdGg8L2tleXdvcmQ+PGtleXdv
cmQ+dG9iYWNjbzwva2V5d29yZD48a2V5d29yZD51cmluZTwva2V5d29yZD48a2V5d29yZD5hZHVs
dDwva2V5d29yZD48a2V5d29yZD5BcnRpY2xlPC9rZXl3b3JkPjxrZXl3b3JkPmJvZHkgYnVyZGVu
PC9rZXl3b3JkPjxrZXl3b3JkPmNpZ2FyIHNtb2tpbmc8L2tleXdvcmQ+PGtleXdvcmQ+Y2lnYXJl
dHRlIHNtb2tpbmc8L2tleXdvcmQ+PGtleXdvcmQ+Y29udHJvbGxlZCBzdHVkeTwva2V5d29yZD48
a2V5d29yZD5mZW1hbGU8L2tleXdvcmQ+PGtleXdvcmQ+aHVtYW48L2tleXdvcmQ+PGtleXdvcmQ+
bWFsZTwva2V5d29yZD48a2V5d29yZD5waWxvdCBzdHVkeTwva2V5d29yZD48a2V5d29yZD5zbW9r
ZWxlc3MgdG9iYWNjbzwva2V5d29yZD48a2V5d29yZD51cmluYWx5c2lzPC9rZXl3b3JkPjxrZXl3
b3JkPnZhcGluZzwva2V5d29yZD48a2V5d29yZD5OaWNvdGlhbmEgdGFiYWN1bTwva2V5d29yZD48
L2tleXdvcmRzPjxkYXRlcz48eWVhcj4yMDE4PC95ZWFyPjwvZGF0ZXM+PHVybHM+PHJlbGF0ZWQt
dXJscz48dXJsPmh0dHBzOi8vd3d3LnNjb3B1cy5jb20vaW53YXJkL3JlY29yZC51cmk/ZWlkPTIt
czIuMC04NTA0MTExNTY2MCZhbXA7ZG9pPTEwLjMzOTAlMmZpamVycGgxNTAyMDIwMSZhbXA7cGFy
dG5lcklEPTQwJmFtcDttZDU9MGQzNDZjYzNkOTk3NmU5MTNkODMyZTkxMjk2NDFjMzM8L3VybD48
L3JlbGF0ZWQtdXJscz48L3VybHM+PGVsZWN0cm9uaWMtcmVzb3VyY2UtbnVtPjEwLjMzOTAvaWpl
cnBoMTUwMjAyMDE8L2VsZWN0cm9uaWMtcmVzb3VyY2UtbnVtPjxyZW1vdGUtZGF0YWJhc2UtbmFt
ZT5TY29wdXMgQzcgLSAyMDE8L3JlbW90ZS1kYXRhYmFzZS1uYW1lPjwvcmVjb3JkPjwvQ2l0ZT48
L0VuZE5vdGU+AG==
</w:fldData>
            </w:fldChar>
          </w:r>
          <w:r w:rsidR="00903735">
            <w:instrText xml:space="preserve"> ADDIN EN.CITE.DATA </w:instrText>
          </w:r>
          <w:r w:rsidR="00903735">
            <w:fldChar w:fldCharType="end"/>
          </w:r>
          <w:r w:rsidRPr="00D83D0D">
            <w:fldChar w:fldCharType="separate"/>
          </w:r>
          <w:r w:rsidRPr="00D83D0D">
            <w:rPr>
              <w:noProof/>
            </w:rPr>
            <w:t>(Wei, Goniewicz et al. 2018)</w:t>
          </w:r>
          <w:r w:rsidRPr="00D83D0D">
            <w:fldChar w:fldCharType="end"/>
          </w:r>
          <w:r w:rsidRPr="00D83D0D">
            <w:t xml:space="preserve"> investigated whether the use of e-cigarettes increases the body burden of flame retardants in e-cigarette users (n=14), by testing </w:t>
          </w:r>
          <w:r>
            <w:t xml:space="preserve">for </w:t>
          </w:r>
          <w:r w:rsidRPr="00D83D0D">
            <w:t xml:space="preserve">urinary metabolites of organophosphate flame retardants (OPFRs). Smokeless tobacco product (STP) users (n=15), conventional cigarette users (n=298), cigar users (n=22) and non-users (n=1201) were also examined. </w:t>
          </w:r>
        </w:p>
        <w:p w14:paraId="75F4EF8D" w14:textId="77777777" w:rsidR="00A16F48" w:rsidRDefault="00A16F48" w:rsidP="00A16F48">
          <w:pPr>
            <w:pStyle w:val="BodyText"/>
          </w:pPr>
          <w:r w:rsidRPr="00D83D0D">
            <w:lastRenderedPageBreak/>
            <w:t>The chemicals diphenyl phosphate (DPhP), bis(1,3-dichloro-2-propyl) phosphate (BDCPP), bis(2</w:t>
          </w:r>
          <w:r>
            <w:noBreakHyphen/>
          </w:r>
          <w:r w:rsidRPr="00D83D0D">
            <w:t>chloroethyl) phosphate (BCEP), and dibutyl phosphate (DBUP) were detected in all e</w:t>
          </w:r>
          <w:r>
            <w:noBreakHyphen/>
          </w:r>
          <w:r w:rsidRPr="00D83D0D">
            <w:t xml:space="preserve">cigarette users. After adjusting for gender and the interaction between race/ethnicity and education, the adjusted geometric mean (GM) of BCEP, the metabolite of tris(2-chloroethyl) phosphate (TCEP), was </w:t>
          </w:r>
          <w:r w:rsidRPr="00D83D0D">
            <w:rPr>
              <w:b/>
            </w:rPr>
            <w:t>higher in e-cigarette users</w:t>
          </w:r>
          <w:r w:rsidRPr="00D83D0D">
            <w:t xml:space="preserve"> than nonusers (0.67</w:t>
          </w:r>
          <w:r w:rsidRPr="00D83D0D">
            <w:rPr>
              <w:rFonts w:cs="Calibri"/>
            </w:rPr>
            <w:t>µ</w:t>
          </w:r>
          <w:r w:rsidRPr="00D83D0D">
            <w:t xml:space="preserve">g/ml (95%CI 0.44, 1.04) and 0.37 (95%CI 0.33, 0.42) respectively; </w:t>
          </w:r>
          <w:r>
            <w:t>p=</w:t>
          </w:r>
          <w:r w:rsidRPr="00D83D0D">
            <w:t xml:space="preserve">0.012). The adjusted GM of all other metabolites of OPFRs for e-cigarette users were not statistically different to that of nonusers. </w:t>
          </w:r>
        </w:p>
        <w:p w14:paraId="5096F5A0" w14:textId="77777777" w:rsidR="00A16F48" w:rsidRDefault="00A16F48" w:rsidP="00A16F48">
          <w:pPr>
            <w:pStyle w:val="BodyText"/>
          </w:pPr>
          <w:r w:rsidRPr="00D83D0D">
            <w:t>The numbers in the e-cigarette group in this study were very small (n=14), limiting the power to detect associations and the number of confounders and interactions that could be included in the statistical models.</w:t>
          </w:r>
        </w:p>
        <w:p w14:paraId="4A59C946" w14:textId="77777777" w:rsidR="00A16F48" w:rsidRPr="00A16F48" w:rsidRDefault="00A16F48" w:rsidP="00A16F48">
          <w:pPr>
            <w:pStyle w:val="BodyText"/>
          </w:pPr>
        </w:p>
        <w:p w14:paraId="718B6D93" w14:textId="77777777" w:rsidR="000F0E2F" w:rsidRDefault="000F0E2F" w:rsidP="000F0E2F">
          <w:pPr>
            <w:pStyle w:val="Heading3"/>
          </w:pPr>
          <w:r>
            <w:t>What the new studies add to what is already known about e-cigarettes</w:t>
          </w:r>
        </w:p>
        <w:p w14:paraId="0CF796DE" w14:textId="77777777" w:rsidR="009D68BA" w:rsidRDefault="009D68BA" w:rsidP="009D68BA">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1F6FF" w:themeFill="accent2" w:themeFillTint="1A"/>
            <w:spacing w:before="360" w:after="240"/>
            <w:ind w:left="227" w:right="227"/>
            <w:rPr>
              <w:b/>
              <w:sz w:val="28"/>
              <w:szCs w:val="28"/>
            </w:rPr>
          </w:pPr>
          <w:r>
            <w:rPr>
              <w:b/>
              <w:sz w:val="28"/>
              <w:szCs w:val="28"/>
            </w:rPr>
            <w:t>Previous studies</w:t>
          </w:r>
        </w:p>
        <w:p w14:paraId="11637CDF" w14:textId="4127A47E" w:rsidR="009D68BA" w:rsidRDefault="009D68BA" w:rsidP="009D68BA">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1F6FF" w:themeFill="accent2" w:themeFillTint="1A"/>
            <w:spacing w:after="0"/>
            <w:ind w:left="454" w:right="227" w:hanging="227"/>
            <w:contextualSpacing/>
            <w:rPr>
              <w:sz w:val="24"/>
              <w:szCs w:val="24"/>
            </w:rPr>
          </w:pPr>
          <w:r>
            <w:rPr>
              <w:sz w:val="24"/>
              <w:szCs w:val="24"/>
            </w:rPr>
            <w:t xml:space="preserve">The WHO </w:t>
          </w:r>
          <w:r>
            <w:rPr>
              <w:sz w:val="24"/>
              <w:szCs w:val="24"/>
            </w:rPr>
            <w:fldChar w:fldCharType="begin"/>
          </w:r>
          <w:r w:rsidR="00F632ED">
            <w:rPr>
              <w:sz w:val="24"/>
              <w:szCs w:val="24"/>
            </w:rPr>
            <w:instrText xml:space="preserve"> ADDIN EN.CITE &lt;EndNote&gt;&lt;Cite&gt;&lt;Author&gt;World Health Organization&lt;/Author&gt;&lt;Year&gt;2016&lt;/Year&gt;&lt;RecNum&gt;13026&lt;/RecNum&gt;&lt;DisplayText&gt;(World Health Organization 2016)&lt;/DisplayText&gt;&lt;record&gt;&lt;rec-number&gt;13026&lt;/rec-number&gt;&lt;foreign-keys&gt;&lt;key app="EN" db-id="5xv5w5t2bdxtxfezx02xtxdft5rz5ptvvt29" timestamp="1524018676"&gt;13026&lt;/key&gt;&lt;/foreign-keys&gt;&lt;ref-type name="Journal Article"&gt;17&lt;/ref-type&gt;&lt;contributors&gt;&lt;authors&gt;&lt;author&gt;World Health Organization,&lt;/author&gt;&lt;/authors&gt;&lt;/contributors&gt;&lt;titles&gt;&lt;title&gt;Electronic Nicotine Delivery Systems and Electronic Non-Nicotine Delivery Systems (ENDS/ENNDS)&lt;/title&gt;&lt;/titles&gt;&lt;dates&gt;&lt;year&gt;2016&lt;/year&gt;&lt;/dates&gt;&lt;urls&gt;&lt;/urls&gt;&lt;/record&gt;&lt;/Cite&gt;&lt;/EndNote&gt;</w:instrText>
          </w:r>
          <w:r>
            <w:rPr>
              <w:sz w:val="24"/>
              <w:szCs w:val="24"/>
            </w:rPr>
            <w:fldChar w:fldCharType="separate"/>
          </w:r>
          <w:r w:rsidR="00F632ED">
            <w:rPr>
              <w:noProof/>
              <w:sz w:val="24"/>
              <w:szCs w:val="24"/>
            </w:rPr>
            <w:t>(World Health Organization 2016)</w:t>
          </w:r>
          <w:r>
            <w:rPr>
              <w:sz w:val="24"/>
              <w:szCs w:val="24"/>
            </w:rPr>
            <w:fldChar w:fldCharType="end"/>
          </w:r>
          <w:r>
            <w:rPr>
              <w:sz w:val="24"/>
              <w:szCs w:val="24"/>
            </w:rPr>
            <w:t xml:space="preserve"> has stated that:</w:t>
          </w:r>
        </w:p>
        <w:p w14:paraId="30BA2FA9" w14:textId="77777777" w:rsidR="009D68BA" w:rsidRDefault="009D68BA" w:rsidP="009D68BA">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1F6FF" w:themeFill="accent2" w:themeFillTint="1A"/>
            <w:spacing w:after="0"/>
            <w:ind w:left="454" w:right="227" w:hanging="227"/>
            <w:contextualSpacing/>
            <w:rPr>
              <w:sz w:val="24"/>
              <w:szCs w:val="24"/>
            </w:rPr>
          </w:pPr>
          <w:r>
            <w:rPr>
              <w:sz w:val="24"/>
              <w:szCs w:val="24"/>
            </w:rPr>
            <w:t>•</w:t>
          </w:r>
          <w:r>
            <w:rPr>
              <w:sz w:val="24"/>
              <w:szCs w:val="24"/>
            </w:rPr>
            <w:tab/>
            <w:t>‘The typical use of unadulterated ENDS/ENNDS produces aerosol that ordinarily includes glycols, aldehydes, volatile organic compounds (VOCs), polycyclic aromatic hydrocarbon (PAHs), tobacco-specific nitrosamines (TSNAs), metals, silicate particles and other elements. Dicarbonyls (glyoxal, methylglyoxal, diacetyl) and hydroxycarbonyls (acetol) also are thought to be important compounds in the aerosol. Many of these substances are toxicants that have known health effects resulting in a range of significant pathological changes.’</w:t>
          </w:r>
        </w:p>
        <w:p w14:paraId="71C32628" w14:textId="77777777" w:rsidR="001761BE" w:rsidRDefault="001761BE" w:rsidP="009D68BA">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1F6FF" w:themeFill="accent2" w:themeFillTint="1A"/>
            <w:spacing w:after="0"/>
            <w:ind w:left="454" w:right="227" w:hanging="227"/>
            <w:contextualSpacing/>
            <w:rPr>
              <w:sz w:val="24"/>
              <w:szCs w:val="24"/>
            </w:rPr>
          </w:pPr>
        </w:p>
        <w:p w14:paraId="669BBC79" w14:textId="77777777" w:rsidR="009D68BA" w:rsidRDefault="009D68BA" w:rsidP="009D68BA">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1F6FF" w:themeFill="accent2" w:themeFillTint="1A"/>
            <w:spacing w:after="0"/>
            <w:ind w:left="454" w:right="227" w:hanging="227"/>
            <w:contextualSpacing/>
            <w:rPr>
              <w:sz w:val="24"/>
              <w:szCs w:val="24"/>
            </w:rPr>
          </w:pPr>
          <w:r>
            <w:rPr>
              <w:sz w:val="24"/>
              <w:szCs w:val="24"/>
            </w:rPr>
            <w:t xml:space="preserve">The US National Academies of Sciences, Engineering and Medicine Review </w:t>
          </w:r>
          <w:r w:rsidRPr="00740FE3">
            <w:rPr>
              <w:sz w:val="24"/>
              <w:szCs w:val="24"/>
            </w:rPr>
            <w:fldChar w:fldCharType="begin"/>
          </w:r>
          <w:r w:rsidR="00903735">
            <w:rPr>
              <w:sz w:val="24"/>
              <w:szCs w:val="24"/>
            </w:rPr>
            <w:instrText xml:space="preserve"> ADDIN EN.CITE &lt;EndNote&gt;&lt;Cite&gt;&lt;Author&gt;Stratton&lt;/Author&gt;&lt;Year&gt;2018&lt;/Year&gt;&lt;RecNum&gt;7073&lt;/RecNum&gt;&lt;DisplayText&gt;(Stratton, Kwan et al. 2018)&lt;/DisplayText&gt;&lt;record&gt;&lt;rec-number&gt;7073&lt;/rec-number&gt;&lt;foreign-keys&gt;&lt;key app="EN" db-id="5xv5w5t2bdxtxfezx02xtxdft5rz5ptvvt29" timestamp="1521076678"&gt;7073&lt;/key&gt;&lt;/foreign-keys&gt;&lt;ref-type name="Report"&gt;27&lt;/ref-type&gt;&lt;contributors&gt;&lt;authors&gt;&lt;author&gt;Kathleen Stratton&lt;/author&gt;&lt;author&gt;Leslie Y Kwan&lt;/author&gt;&lt;author&gt;David L Eaton&lt;/author&gt;&lt;/authors&gt;&lt;tertiary-authors&gt;&lt;author&gt;The National Academies Press&lt;/author&gt;&lt;/tertiary-authors&gt;&lt;/contributors&gt;&lt;titles&gt;&lt;title&gt;Public Health Consequences of e-Cigarettes&lt;/title&gt;&lt;/titles&gt;&lt;dates&gt;&lt;year&gt;2018&lt;/year&gt;&lt;/dates&gt;&lt;pub-location&gt;Washington DC&lt;/pub-location&gt;&lt;publisher&gt;Board on Population Health and Public Health Practice, Health and Medicine Division, The National Academies of Sciences, Engineering and Medicine&lt;/publisher&gt;&lt;urls&gt;&lt;/urls&gt;&lt;/record&gt;&lt;/Cite&gt;&lt;/EndNote&gt;</w:instrText>
          </w:r>
          <w:r w:rsidRPr="00740FE3">
            <w:rPr>
              <w:sz w:val="24"/>
              <w:szCs w:val="24"/>
            </w:rPr>
            <w:fldChar w:fldCharType="separate"/>
          </w:r>
          <w:r w:rsidRPr="00740FE3">
            <w:rPr>
              <w:noProof/>
              <w:sz w:val="24"/>
              <w:szCs w:val="24"/>
            </w:rPr>
            <w:t>(Stratton, Kwan et al. 2018)</w:t>
          </w:r>
          <w:r w:rsidRPr="00740FE3">
            <w:rPr>
              <w:sz w:val="24"/>
              <w:szCs w:val="24"/>
            </w:rPr>
            <w:fldChar w:fldCharType="end"/>
          </w:r>
          <w:r>
            <w:rPr>
              <w:sz w:val="24"/>
              <w:szCs w:val="24"/>
            </w:rPr>
            <w:t xml:space="preserve"> concluded that:</w:t>
          </w:r>
        </w:p>
        <w:p w14:paraId="7F9A562E" w14:textId="77777777" w:rsidR="009D68BA" w:rsidRDefault="009D68BA" w:rsidP="009D68BA">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1F6FF" w:themeFill="accent2" w:themeFillTint="1A"/>
            <w:spacing w:after="0"/>
            <w:ind w:left="454" w:right="227" w:hanging="227"/>
            <w:contextualSpacing/>
            <w:rPr>
              <w:sz w:val="24"/>
              <w:szCs w:val="24"/>
            </w:rPr>
          </w:pPr>
          <w:r>
            <w:rPr>
              <w:sz w:val="24"/>
              <w:szCs w:val="24"/>
            </w:rPr>
            <w:t>•</w:t>
          </w:r>
          <w:r>
            <w:rPr>
              <w:sz w:val="24"/>
              <w:szCs w:val="24"/>
            </w:rPr>
            <w:tab/>
          </w:r>
          <w:r w:rsidRPr="00DC0DED">
            <w:rPr>
              <w:sz w:val="24"/>
              <w:szCs w:val="24"/>
            </w:rPr>
            <w:t xml:space="preserve">‘There is </w:t>
          </w:r>
          <w:r w:rsidRPr="00DC0DED">
            <w:rPr>
              <w:b/>
              <w:sz w:val="24"/>
              <w:szCs w:val="24"/>
            </w:rPr>
            <w:t>no available evidence</w:t>
          </w:r>
          <w:r w:rsidRPr="00DC0DED">
            <w:rPr>
              <w:sz w:val="24"/>
              <w:szCs w:val="24"/>
            </w:rPr>
            <w:t xml:space="preserve"> whether or not e-cigarette use is associated with intermediate cancer endpoints in humans. This holds true for comparisons of e-cigarette use compared with combustible tobacco cigarettes and e-cigarette use compared with no use of tobacco products.</w:t>
          </w:r>
        </w:p>
        <w:p w14:paraId="5EE915F3" w14:textId="77777777" w:rsidR="001761BE" w:rsidRDefault="009D68BA" w:rsidP="009D68BA">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1F6FF" w:themeFill="accent2" w:themeFillTint="1A"/>
            <w:spacing w:after="0"/>
            <w:ind w:left="454" w:right="227" w:hanging="227"/>
            <w:contextualSpacing/>
            <w:rPr>
              <w:sz w:val="24"/>
              <w:szCs w:val="24"/>
            </w:rPr>
          </w:pPr>
          <w:r>
            <w:rPr>
              <w:sz w:val="24"/>
              <w:szCs w:val="24"/>
            </w:rPr>
            <w:t>•</w:t>
          </w:r>
          <w:r>
            <w:rPr>
              <w:sz w:val="24"/>
              <w:szCs w:val="24"/>
            </w:rPr>
            <w:tab/>
            <w:t xml:space="preserve">There is </w:t>
          </w:r>
          <w:r>
            <w:rPr>
              <w:b/>
              <w:sz w:val="24"/>
              <w:szCs w:val="24"/>
            </w:rPr>
            <w:t>substantial evidence</w:t>
          </w:r>
          <w:r>
            <w:rPr>
              <w:sz w:val="24"/>
              <w:szCs w:val="24"/>
            </w:rPr>
            <w:t xml:space="preserve"> that some chemicals present in e-cigarette aerosols (e.g. formaldehyde, acrolein) are capable of causing DNA damage and mutagenesis. This supports the biological plausibility that long-term exposure to e-cigarette aerosols could increase risk of cancer and adverse reproductive outcomes. Whether or not the levels of exposure are high enough to contribute to human carcinogenesis remains to be determined.’</w:t>
          </w:r>
        </w:p>
        <w:p w14:paraId="2EFBF334" w14:textId="77777777" w:rsidR="001761BE" w:rsidRDefault="001761BE" w:rsidP="009D68BA">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1F6FF" w:themeFill="accent2" w:themeFillTint="1A"/>
            <w:spacing w:after="0"/>
            <w:ind w:left="454" w:right="227" w:hanging="227"/>
            <w:contextualSpacing/>
            <w:rPr>
              <w:sz w:val="24"/>
              <w:szCs w:val="24"/>
            </w:rPr>
          </w:pPr>
        </w:p>
        <w:p w14:paraId="12ADE943" w14:textId="77777777" w:rsidR="009D68BA" w:rsidRDefault="009D68BA" w:rsidP="009D68BA">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1F6FF" w:themeFill="accent2" w:themeFillTint="1A"/>
            <w:spacing w:after="0"/>
            <w:ind w:left="454" w:right="227" w:hanging="227"/>
            <w:contextualSpacing/>
            <w:rPr>
              <w:sz w:val="24"/>
              <w:szCs w:val="24"/>
            </w:rPr>
          </w:pPr>
          <w:r>
            <w:rPr>
              <w:sz w:val="24"/>
              <w:szCs w:val="24"/>
            </w:rPr>
            <w:t xml:space="preserve">The Public Health England review </w:t>
          </w:r>
          <w:r>
            <w:rPr>
              <w:sz w:val="24"/>
              <w:szCs w:val="24"/>
            </w:rPr>
            <w:fldChar w:fldCharType="begin"/>
          </w:r>
          <w:r>
            <w:rPr>
              <w:sz w:val="24"/>
              <w:szCs w:val="24"/>
            </w:rPr>
            <w:instrText xml:space="preserve"> ADDIN EN.CITE &lt;EndNote&gt;&lt;Cite&gt;&lt;Author&gt;McNeill A&lt;/Author&gt;&lt;Year&gt;2018&lt;/Year&gt;&lt;RecNum&gt;13025&lt;/RecNum&gt;&lt;DisplayText&gt;(McNeill A 2018)&lt;/DisplayText&gt;&lt;record&gt;&lt;rec-number&gt;13025&lt;/rec-number&gt;&lt;foreign-keys&gt;&lt;key app="EN" db-id="5xv5w5t2bdxtxfezx02xtxdft5rz5ptvvt29" timestamp="1524018409"&gt;13025&lt;/key&gt;&lt;/foreign-keys&gt;&lt;ref-type name="Journal Article"&gt;17&lt;/ref-type&gt;&lt;contributors&gt;&lt;authors&gt;&lt;author&gt;McNeill A,  Brose LS, Calder R,  Bauld L, Robson D.&lt;/author&gt;&lt;/authors&gt;&lt;/contributors&gt;&lt;titles&gt;&lt;title&gt;Evidence Review of e-cigarettes and heated tobacco products 2018. A Report comissioned by Public Health England.&lt;/title&gt;&lt;/titles&gt;&lt;dates&gt;&lt;year&gt;2018&lt;/year&gt;&lt;/dates&gt;&lt;urls&gt;&lt;/urls&gt;&lt;/record&gt;&lt;/Cite&gt;&lt;/EndNote&gt;</w:instrText>
          </w:r>
          <w:r>
            <w:rPr>
              <w:sz w:val="24"/>
              <w:szCs w:val="24"/>
            </w:rPr>
            <w:fldChar w:fldCharType="separate"/>
          </w:r>
          <w:r>
            <w:rPr>
              <w:noProof/>
              <w:sz w:val="24"/>
              <w:szCs w:val="24"/>
            </w:rPr>
            <w:t>(McNeill A 2018)</w:t>
          </w:r>
          <w:r>
            <w:rPr>
              <w:sz w:val="24"/>
              <w:szCs w:val="24"/>
            </w:rPr>
            <w:fldChar w:fldCharType="end"/>
          </w:r>
          <w:r>
            <w:rPr>
              <w:sz w:val="24"/>
              <w:szCs w:val="24"/>
            </w:rPr>
            <w:t xml:space="preserve"> stated that:</w:t>
          </w:r>
        </w:p>
        <w:p w14:paraId="34DA5AE0" w14:textId="77777777" w:rsidR="009D68BA" w:rsidRDefault="009D68BA" w:rsidP="009D68BA">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1F6FF" w:themeFill="accent2" w:themeFillTint="1A"/>
            <w:spacing w:after="0"/>
            <w:ind w:left="454" w:right="227" w:hanging="227"/>
            <w:contextualSpacing/>
            <w:rPr>
              <w:sz w:val="24"/>
              <w:szCs w:val="24"/>
            </w:rPr>
          </w:pPr>
          <w:r>
            <w:rPr>
              <w:sz w:val="24"/>
              <w:szCs w:val="24"/>
            </w:rPr>
            <w:t>•</w:t>
          </w:r>
          <w:r>
            <w:rPr>
              <w:sz w:val="24"/>
              <w:szCs w:val="24"/>
            </w:rPr>
            <w:tab/>
            <w:t>‘Among e-cigarette users, two studies of biomarker data for acrolein, a potent respiratory irritant, found levels consistent with non-smoking levels.’</w:t>
          </w:r>
        </w:p>
        <w:p w14:paraId="37DD0B4F" w14:textId="77777777" w:rsidR="009D68BA" w:rsidRDefault="009D68BA" w:rsidP="009D68BA">
          <w:pPr>
            <w:autoSpaceDE w:val="0"/>
            <w:autoSpaceDN w:val="0"/>
            <w:adjustRightInd w:val="0"/>
            <w:spacing w:after="0"/>
            <w:rPr>
              <w:rFonts w:asciiTheme="minorHAnsi" w:hAnsiTheme="minorHAnsi" w:cstheme="minorHAnsi"/>
              <w:sz w:val="24"/>
              <w:szCs w:val="24"/>
            </w:rPr>
          </w:pPr>
        </w:p>
        <w:p w14:paraId="36079790" w14:textId="77777777" w:rsidR="009D68BA" w:rsidRDefault="009D68BA" w:rsidP="009D68BA">
          <w:pPr>
            <w:pStyle w:val="BodyText"/>
            <w:rPr>
              <w:szCs w:val="24"/>
            </w:rPr>
          </w:pPr>
          <w:r>
            <w:rPr>
              <w:rFonts w:asciiTheme="minorHAnsi" w:hAnsiTheme="minorHAnsi" w:cstheme="minorHAnsi"/>
              <w:iCs/>
              <w:szCs w:val="24"/>
            </w:rPr>
            <w:lastRenderedPageBreak/>
            <w:t>Of the four studies considered in this review, one of the studies was also included in the US review (Rubenstein et al.). The other studies cited above are new to this review.</w:t>
          </w:r>
          <w:r>
            <w:rPr>
              <w:szCs w:val="24"/>
            </w:rPr>
            <w:t xml:space="preserve"> The small Fuller et al study found higher levels of two carcinogenic compounds, o-toluidine and 2-naphthylamine, (mean 2.3 and 1.3 fold higher) for the e-cigarette group compared to the non-e-cigarette group, however levels associated with the initiation of cancer are unknown (these carcinogens are not referred to in the US Academies of Sciences review). </w:t>
          </w:r>
          <w:r w:rsidRPr="007E4395">
            <w:t xml:space="preserve">The Public Health England Review </w:t>
          </w:r>
          <w:r>
            <w:t xml:space="preserve">excluded the Reidel et al and Rubenstein et al studies included here. It concluded that ‘the cancer potencies of e-cigarettes were largely under 0.5% of the risk of smoking’ </w:t>
          </w:r>
          <w:r>
            <w:fldChar w:fldCharType="begin"/>
          </w:r>
          <w:r>
            <w:instrText xml:space="preserve"> ADDIN EN.CITE &lt;EndNote&gt;&lt;Cite&gt;&lt;Author&gt;McNeill A&lt;/Author&gt;&lt;Year&gt;2018&lt;/Year&gt;&lt;RecNum&gt;13025&lt;/RecNum&gt;&lt;DisplayText&gt;(McNeill A 2018)&lt;/DisplayText&gt;&lt;record&gt;&lt;rec-number&gt;13025&lt;/rec-number&gt;&lt;foreign-keys&gt;&lt;key app="EN" db-id="5xv5w5t2bdxtxfezx02xtxdft5rz5ptvvt29" timestamp="1524018409"&gt;13025&lt;/key&gt;&lt;/foreign-keys&gt;&lt;ref-type name="Journal Article"&gt;17&lt;/ref-type&gt;&lt;contributors&gt;&lt;authors&gt;&lt;author&gt;McNeill A,  Brose LS, Calder R,  Bauld L, Robson D.&lt;/author&gt;&lt;/authors&gt;&lt;/contributors&gt;&lt;titles&gt;&lt;title&gt;Evidence Review of e-cigarettes and heated tobacco products 2018. A Report comissioned by Public Health England.&lt;/title&gt;&lt;/titles&gt;&lt;dates&gt;&lt;year&gt;2018&lt;/year&gt;&lt;/dates&gt;&lt;urls&gt;&lt;/urls&gt;&lt;/record&gt;&lt;/Cite&gt;&lt;/EndNote&gt;</w:instrText>
          </w:r>
          <w:r>
            <w:fldChar w:fldCharType="separate"/>
          </w:r>
          <w:r>
            <w:rPr>
              <w:noProof/>
            </w:rPr>
            <w:t>(McNeill A 2018)</w:t>
          </w:r>
          <w:r>
            <w:fldChar w:fldCharType="end"/>
          </w:r>
          <w:r>
            <w:t xml:space="preserve">. </w:t>
          </w:r>
        </w:p>
        <w:p w14:paraId="5C4E3C30" w14:textId="77777777" w:rsidR="009D68BA" w:rsidRDefault="009D68BA" w:rsidP="009D68BA">
          <w:pPr>
            <w:pStyle w:val="BodyText"/>
          </w:pPr>
          <w:r>
            <w:t xml:space="preserve">The US review on the impact of e-cigarettes on adolescents and young people states that the full impact of the constituents of e-cigarettes are not fully understood </w:t>
          </w:r>
          <w:r>
            <w:fldChar w:fldCharType="begin"/>
          </w:r>
          <w:r w:rsidR="00903735">
            <w:instrText xml:space="preserve"> ADDIN EN.CITE &lt;EndNote&gt;&lt;Cite&gt;&lt;Author&gt;US Dept of Health and Human Services&lt;/Author&gt;&lt;Year&gt;2016&lt;/Year&gt;&lt;RecNum&gt;13024&lt;/RecNum&gt;&lt;DisplayText&gt;(US Dept of Health and Human Services 2016)&lt;/DisplayText&gt;&lt;record&gt;&lt;rec-number&gt;13024&lt;/rec-number&gt;&lt;foreign-keys&gt;&lt;key app="EN" db-id="5xv5w5t2bdxtxfezx02xtxdft5rz5ptvvt29" timestamp="1524017182"&gt;13024&lt;/key&gt;&lt;/foreign-keys&gt;&lt;ref-type name="Journal Article"&gt;17&lt;/ref-type&gt;&lt;contributors&gt;&lt;authors&gt;&lt;author&gt;US Dept of Health and Human Services,&lt;/author&gt;&lt;/authors&gt;&lt;/contributors&gt;&lt;titles&gt;&lt;title&gt;E-cigarette Use among Youth and Young Adults:A report of the Surgeon General&lt;/title&gt;&lt;/titles&gt;&lt;dates&gt;&lt;year&gt;2016&lt;/year&gt;&lt;/dates&gt;&lt;urls&gt;&lt;/urls&gt;&lt;/record&gt;&lt;/Cite&gt;&lt;/EndNote&gt;</w:instrText>
          </w:r>
          <w:r>
            <w:fldChar w:fldCharType="separate"/>
          </w:r>
          <w:r>
            <w:rPr>
              <w:noProof/>
            </w:rPr>
            <w:t>(US Dept of Health and Human Services 2016)</w:t>
          </w:r>
          <w:r>
            <w:fldChar w:fldCharType="end"/>
          </w:r>
          <w:r>
            <w:t xml:space="preserve">. Neither of the previous reviews </w:t>
          </w:r>
          <w:r>
            <w:fldChar w:fldCharType="begin">
              <w:fldData xml:space="preserve">PEVuZE5vdGU+PENpdGU+PEF1dGhvcj5TdHJhdHRvbjwvQXV0aG9yPjxZZWFyPjIwMTg8L1llYXI+
PFJlY051bT43MDczPC9SZWNOdW0+PERpc3BsYXlUZXh0PihVUyBEZXB0IG9mIEhlYWx0aCBhbmQg
SHVtYW4gU2VydmljZXMgMjAxNiwgTWNOZWlsbCBBIDIwMTgsIFN0cmF0dG9uLCBLd2FuIGV0IGFs
LiAyMDE4KTwvRGlzcGxheVRleHQ+PHJlY29yZD48cmVjLW51bWJlcj43MDczPC9yZWMtbnVtYmVy
Pjxmb3JlaWduLWtleXM+PGtleSBhcHA9IkVOIiBkYi1pZD0iNXh2NXc1dDJiZHh0eGZlengwMnh0
eGRmdDVyejVwdHZ2dDI5IiB0aW1lc3RhbXA9IjE1MjEwNzY2NzgiPjcwNzM8L2tleT48L2ZvcmVp
Z24ta2V5cz48cmVmLXR5cGUgbmFtZT0iUmVwb3J0Ij4yNzwvcmVmLXR5cGU+PGNvbnRyaWJ1dG9y
cz48YXV0aG9ycz48YXV0aG9yPkthdGhsZWVuIFN0cmF0dG9uPC9hdXRob3I+PGF1dGhvcj5MZXNs
aWUgWSBLd2FuPC9hdXRob3I+PGF1dGhvcj5EYXZpZCBMIEVhdG9uPC9hdXRob3I+PC9hdXRob3Jz
Pjx0ZXJ0aWFyeS1hdXRob3JzPjxhdXRob3I+VGhlIE5hdGlvbmFsIEFjYWRlbWllcyBQcmVzczwv
YXV0aG9yPjwvdGVydGlhcnktYXV0aG9ycz48L2NvbnRyaWJ1dG9ycz48dGl0bGVzPjx0aXRsZT5Q
dWJsaWMgSGVhbHRoIENvbnNlcXVlbmNlcyBvZiBlLUNpZ2FyZXR0ZXM8L3RpdGxlPjwvdGl0bGVz
PjxkYXRlcz48eWVhcj4yMDE4PC95ZWFyPjwvZGF0ZXM+PHB1Yi1sb2NhdGlvbj5XYXNoaW5ndG9u
IERDPC9wdWItbG9jYXRpb24+PHB1Ymxpc2hlcj5Cb2FyZCBvbiBQb3B1bGF0aW9uIEhlYWx0aCBh
bmQgUHVibGljIEhlYWx0aCBQcmFjdGljZSwgSGVhbHRoIGFuZCBNZWRpY2luZSBEaXZpc2lvbiwg
VGhlIE5hdGlvbmFsIEFjYWRlbWllcyBvZiBTY2llbmNlcywgRW5naW5lZXJpbmcgYW5kIE1lZGlj
aW5lPC9wdWJsaXNoZXI+PHVybHM+PC91cmxzPjwvcmVjb3JkPjwvQ2l0ZT48Q2l0ZT48QXV0aG9y
PlVTIERlcHQgb2YgSGVhbHRoIGFuZCBIdW1hbiBTZXJ2aWNlczwvQXV0aG9yPjxZZWFyPjIwMTY8
L1llYXI+PFJlY051bT4xMzAyNDwvUmVjTnVtPjxyZWNvcmQ+PHJlYy1udW1iZXI+MTMwMjQ8L3Jl
Yy1udW1iZXI+PGZvcmVpZ24ta2V5cz48a2V5IGFwcD0iRU4iIGRiLWlkPSI1eHY1dzV0MmJkeHR4
ZmV6eDAyeHR4ZGZ0NXJ6NXB0dnZ0MjkiIHRpbWVzdGFtcD0iMTUyNDAxNzE4MiI+MTMwMjQ8L2tl
eT48L2ZvcmVpZ24ta2V5cz48cmVmLXR5cGUgbmFtZT0iSm91cm5hbCBBcnRpY2xlIj4xNzwvcmVm
LXR5cGU+PGNvbnRyaWJ1dG9ycz48YXV0aG9ycz48YXV0aG9yPlVTIERlcHQgb2YgSGVhbHRoIGFu
ZCBIdW1hbiBTZXJ2aWNlcyw8L2F1dGhvcj48L2F1dGhvcnM+PC9jb250cmlidXRvcnM+PHRpdGxl
cz48dGl0bGU+RS1jaWdhcmV0dGUgVXNlIGFtb25nIFlvdXRoIGFuZCBZb3VuZyBBZHVsdHM6QSBy
ZXBvcnQgb2YgdGhlIFN1cmdlb24gR2VuZXJhbDwvdGl0bGU+PC90aXRsZXM+PGRhdGVzPjx5ZWFy
PjIwMTY8L3llYXI+PC9kYXRlcz48dXJscz48L3VybHM+PC9yZWNvcmQ+PC9DaXRlPjxDaXRlPjxB
dXRob3I+TWNOZWlsbCBBPC9BdXRob3I+PFllYXI+MjAxODwvWWVhcj48UmVjTnVtPjEzMDI1PC9S
ZWNOdW0+PHJlY29yZD48cmVjLW51bWJlcj4xMzAyNTwvcmVjLW51bWJlcj48Zm9yZWlnbi1rZXlz
PjxrZXkgYXBwPSJFTiIgZGItaWQ9IjV4djV3NXQyYmR4dHhmZXp4MDJ4dHhkZnQ1cno1cHR2dnQy
OSIgdGltZXN0YW1wPSIxNTI0MDE4NDA5Ij4xMzAyNTwva2V5PjwvZm9yZWlnbi1rZXlzPjxyZWYt
dHlwZSBuYW1lPSJKb3VybmFsIEFydGljbGUiPjE3PC9yZWYtdHlwZT48Y29udHJpYnV0b3JzPjxh
dXRob3JzPjxhdXRob3I+TWNOZWlsbCBBLCAgQnJvc2UgTFMsIENhbGRlciBSLCAgQmF1bGQgTCwg
Um9ic29uIEQuPC9hdXRob3I+PC9hdXRob3JzPjwvY29udHJpYnV0b3JzPjx0aXRsZXM+PHRpdGxl
PkV2aWRlbmNlIFJldmlldyBvZiBlLWNpZ2FyZXR0ZXMgYW5kIGhlYXRlZCB0b2JhY2NvIHByb2R1
Y3RzIDIwMTguIEEgUmVwb3J0IGNvbWlzc2lvbmVkIGJ5IFB1YmxpYyBIZWFsdGggRW5nbGFuZC48
L3RpdGxlPjwvdGl0bGVzPjxkYXRlcz48eWVhcj4yMDE4PC95ZWFyPjwvZGF0ZXM+PHVybHM+PC91
cmxzPjwvcmVjb3JkPjwvQ2l0ZT48L0VuZE5vdGU+AG==
</w:fldData>
            </w:fldChar>
          </w:r>
          <w:r w:rsidR="00903735">
            <w:instrText xml:space="preserve"> ADDIN EN.CITE </w:instrText>
          </w:r>
          <w:r w:rsidR="00903735">
            <w:fldChar w:fldCharType="begin">
              <w:fldData xml:space="preserve">PEVuZE5vdGU+PENpdGU+PEF1dGhvcj5TdHJhdHRvbjwvQXV0aG9yPjxZZWFyPjIwMTg8L1llYXI+
PFJlY051bT43MDczPC9SZWNOdW0+PERpc3BsYXlUZXh0PihVUyBEZXB0IG9mIEhlYWx0aCBhbmQg
SHVtYW4gU2VydmljZXMgMjAxNiwgTWNOZWlsbCBBIDIwMTgsIFN0cmF0dG9uLCBLd2FuIGV0IGFs
LiAyMDE4KTwvRGlzcGxheVRleHQ+PHJlY29yZD48cmVjLW51bWJlcj43MDczPC9yZWMtbnVtYmVy
Pjxmb3JlaWduLWtleXM+PGtleSBhcHA9IkVOIiBkYi1pZD0iNXh2NXc1dDJiZHh0eGZlengwMnh0
eGRmdDVyejVwdHZ2dDI5IiB0aW1lc3RhbXA9IjE1MjEwNzY2NzgiPjcwNzM8L2tleT48L2ZvcmVp
Z24ta2V5cz48cmVmLXR5cGUgbmFtZT0iUmVwb3J0Ij4yNzwvcmVmLXR5cGU+PGNvbnRyaWJ1dG9y
cz48YXV0aG9ycz48YXV0aG9yPkthdGhsZWVuIFN0cmF0dG9uPC9hdXRob3I+PGF1dGhvcj5MZXNs
aWUgWSBLd2FuPC9hdXRob3I+PGF1dGhvcj5EYXZpZCBMIEVhdG9uPC9hdXRob3I+PC9hdXRob3Jz
Pjx0ZXJ0aWFyeS1hdXRob3JzPjxhdXRob3I+VGhlIE5hdGlvbmFsIEFjYWRlbWllcyBQcmVzczwv
YXV0aG9yPjwvdGVydGlhcnktYXV0aG9ycz48L2NvbnRyaWJ1dG9ycz48dGl0bGVzPjx0aXRsZT5Q
dWJsaWMgSGVhbHRoIENvbnNlcXVlbmNlcyBvZiBlLUNpZ2FyZXR0ZXM8L3RpdGxlPjwvdGl0bGVz
PjxkYXRlcz48eWVhcj4yMDE4PC95ZWFyPjwvZGF0ZXM+PHB1Yi1sb2NhdGlvbj5XYXNoaW5ndG9u
IERDPC9wdWItbG9jYXRpb24+PHB1Ymxpc2hlcj5Cb2FyZCBvbiBQb3B1bGF0aW9uIEhlYWx0aCBh
bmQgUHVibGljIEhlYWx0aCBQcmFjdGljZSwgSGVhbHRoIGFuZCBNZWRpY2luZSBEaXZpc2lvbiwg
VGhlIE5hdGlvbmFsIEFjYWRlbWllcyBvZiBTY2llbmNlcywgRW5naW5lZXJpbmcgYW5kIE1lZGlj
aW5lPC9wdWJsaXNoZXI+PHVybHM+PC91cmxzPjwvcmVjb3JkPjwvQ2l0ZT48Q2l0ZT48QXV0aG9y
PlVTIERlcHQgb2YgSGVhbHRoIGFuZCBIdW1hbiBTZXJ2aWNlczwvQXV0aG9yPjxZZWFyPjIwMTY8
L1llYXI+PFJlY051bT4xMzAyNDwvUmVjTnVtPjxyZWNvcmQ+PHJlYy1udW1iZXI+MTMwMjQ8L3Jl
Yy1udW1iZXI+PGZvcmVpZ24ta2V5cz48a2V5IGFwcD0iRU4iIGRiLWlkPSI1eHY1dzV0MmJkeHR4
ZmV6eDAyeHR4ZGZ0NXJ6NXB0dnZ0MjkiIHRpbWVzdGFtcD0iMTUyNDAxNzE4MiI+MTMwMjQ8L2tl
eT48L2ZvcmVpZ24ta2V5cz48cmVmLXR5cGUgbmFtZT0iSm91cm5hbCBBcnRpY2xlIj4xNzwvcmVm
LXR5cGU+PGNvbnRyaWJ1dG9ycz48YXV0aG9ycz48YXV0aG9yPlVTIERlcHQgb2YgSGVhbHRoIGFu
ZCBIdW1hbiBTZXJ2aWNlcyw8L2F1dGhvcj48L2F1dGhvcnM+PC9jb250cmlidXRvcnM+PHRpdGxl
cz48dGl0bGU+RS1jaWdhcmV0dGUgVXNlIGFtb25nIFlvdXRoIGFuZCBZb3VuZyBBZHVsdHM6QSBy
ZXBvcnQgb2YgdGhlIFN1cmdlb24gR2VuZXJhbDwvdGl0bGU+PC90aXRsZXM+PGRhdGVzPjx5ZWFy
PjIwMTY8L3llYXI+PC9kYXRlcz48dXJscz48L3VybHM+PC9yZWNvcmQ+PC9DaXRlPjxDaXRlPjxB
dXRob3I+TWNOZWlsbCBBPC9BdXRob3I+PFllYXI+MjAxODwvWWVhcj48UmVjTnVtPjEzMDI1PC9S
ZWNOdW0+PHJlY29yZD48cmVjLW51bWJlcj4xMzAyNTwvcmVjLW51bWJlcj48Zm9yZWlnbi1rZXlz
PjxrZXkgYXBwPSJFTiIgZGItaWQ9IjV4djV3NXQyYmR4dHhmZXp4MDJ4dHhkZnQ1cno1cHR2dnQy
OSIgdGltZXN0YW1wPSIxNTI0MDE4NDA5Ij4xMzAyNTwva2V5PjwvZm9yZWlnbi1rZXlzPjxyZWYt
dHlwZSBuYW1lPSJKb3VybmFsIEFydGljbGUiPjE3PC9yZWYtdHlwZT48Y29udHJpYnV0b3JzPjxh
dXRob3JzPjxhdXRob3I+TWNOZWlsbCBBLCAgQnJvc2UgTFMsIENhbGRlciBSLCAgQmF1bGQgTCwg
Um9ic29uIEQuPC9hdXRob3I+PC9hdXRob3JzPjwvY29udHJpYnV0b3JzPjx0aXRsZXM+PHRpdGxl
PkV2aWRlbmNlIFJldmlldyBvZiBlLWNpZ2FyZXR0ZXMgYW5kIGhlYXRlZCB0b2JhY2NvIHByb2R1
Y3RzIDIwMTguIEEgUmVwb3J0IGNvbWlzc2lvbmVkIGJ5IFB1YmxpYyBIZWFsdGggRW5nbGFuZC48
L3RpdGxlPjwvdGl0bGVzPjxkYXRlcz48eWVhcj4yMDE4PC95ZWFyPjwvZGF0ZXM+PHVybHM+PC91
cmxzPjwvcmVjb3JkPjwvQ2l0ZT48L0VuZE5vdGU+AG==
</w:fldData>
            </w:fldChar>
          </w:r>
          <w:r w:rsidR="00903735">
            <w:instrText xml:space="preserve"> ADDIN EN.CITE.DATA </w:instrText>
          </w:r>
          <w:r w:rsidR="00903735">
            <w:fldChar w:fldCharType="end"/>
          </w:r>
          <w:r>
            <w:fldChar w:fldCharType="separate"/>
          </w:r>
          <w:r>
            <w:rPr>
              <w:noProof/>
            </w:rPr>
            <w:t>(US Dept of Health and Human Services 2016, McNeill A 2018, Stratton, Kwan et al. 2018)</w:t>
          </w:r>
          <w:r>
            <w:fldChar w:fldCharType="end"/>
          </w:r>
          <w:r>
            <w:t xml:space="preserve"> refer to the impact of flame retardants from e</w:t>
          </w:r>
          <w:r>
            <w:noBreakHyphen/>
            <w:t>cigarette use. The Wei et al</w:t>
          </w:r>
          <w:r w:rsidRPr="007E4395">
            <w:t xml:space="preserve"> study </w:t>
          </w:r>
          <w:r w:rsidRPr="007E4395">
            <w:fldChar w:fldCharType="begin">
              <w:fldData xml:space="preserve">PEVuZE5vdGU+PENpdGU+PEF1dGhvcj5XZWk8L0F1dGhvcj48WWVhcj4yMDE4PC9ZZWFyPjxSZWNO
dW0+MTE0NjY8L1JlY051bT48RGlzcGxheVRleHQ+KFdlaSwgR29uaWV3aWN6IGV0IGFsLiAyMDE4
KTwvRGlzcGxheVRleHQ+PHJlY29yZD48cmVjLW51bWJlcj4xMTQ2NjwvcmVjLW51bWJlcj48Zm9y
ZWlnbi1rZXlzPjxrZXkgYXBwPSJFTiIgZGItaWQ9IjV4djV3NXQyYmR4dHhmZXp4MDJ4dHhkZnQ1
cno1cHR2dnQyOSIgdGltZXN0YW1wPSIxNTIzODYyMTg4Ij4xMTQ2Njwva2V5PjxrZXkgYXBwPSJF
TldlYiIgZGItaWQ9IiI+MDwva2V5PjwvZm9yZWlnbi1rZXlzPjxyZWYtdHlwZSBuYW1lPSJKb3Vy
bmFsIEFydGljbGUiPjE3PC9yZWYtdHlwZT48Y29udHJpYnV0b3JzPjxhdXRob3JzPjxhdXRob3I+
V2VpLCBCLjwvYXV0aG9yPjxhdXRob3I+R29uaWV3aWN6LCBNLiBMLjwvYXV0aG9yPjxhdXRob3I+
T+KAmUNvbm5vciwgUi4gSi48L2F1dGhvcj48YXV0aG9yPlRyYXZlcnMsIE0uIEouPC9hdXRob3I+
PGF1dGhvcj5IeWxhbmQsIEEuIEouPC9hdXRob3I+PC9hdXRob3JzPjwvY29udHJpYnV0b3JzPjx0
aXRsZXM+PHRpdGxlPlVyaW5hcnkgbWV0YWJvbGl0ZSBsZXZlbHMgb2YgZmxhbWUgcmV0YXJkYW50
cyBpbiBlbGVjdHJvbmljIGNpZ2FyZXR0ZSB1c2VyczogQSBzdHVkeSB1c2luZyB0aGUgZGF0YSBm
cm9tIE5IQU5FUyAyMDEz4oCTMjAxNDwvdGl0bGU+PHNlY29uZGFyeS10aXRsZT5JbnRlcm5hdGlv
bmFsIEpvdXJuYWwgb2YgRW52aXJvbm1lbnRhbCBSZXNlYXJjaCBhbmQgUHVibGljIEhlYWx0aDwv
c2Vjb25kYXJ5LXRpdGxlPjwvdGl0bGVzPjxwZXJpb2RpY2FsPjxmdWxsLXRpdGxlPkludCBKIEVu
dmlyb24gUmVzIFB1YmxpYyBIZWFsdGg8L2Z1bGwtdGl0bGU+PGFiYnItMT5JbnRlcm5hdGlvbmFs
IGpvdXJuYWwgb2YgZW52aXJvbm1lbnRhbCByZXNlYXJjaCBhbmQgcHVibGljIGhlYWx0aDwvYWJi
ci0xPjwvcGVyaW9kaWNhbD48dm9sdW1lPjE1PC92b2x1bWU+PG51bWJlcj4yPC9udW1iZXI+PGtl
eXdvcmRzPjxrZXl3b3JkPmJpcygxLDMgZGljaGxvcm8gMiBwcm9weWwpcGhvc3BoYXRlPC9rZXl3
b3JkPjxrZXl3b3JkPmJpcygyIGNobG9yb2V0aHlsKXBob3NwaGF0ZTwva2V5d29yZD48a2V5d29y
ZD5kaWJ1dHlscGhvc3BoYXRlPC9rZXl3b3JkPjxrZXl3b3JkPmRpcGhlbnlscGhvc3BoYXRlPC9r
ZXl3b3JkPjxrZXl3b3JkPmZsYW1lIHJldGFyZGFudDwva2V5d29yZD48a2V5d29yZD5vcmdhbm9w
aG9zcGhhdGU8L2tleXdvcmQ+PGtleXdvcmQ+cGhvc3Bob3JpYyBhY2lkIHRyaXMoMiBjaGxvcm9l
dGh5bCkgZXN0ZXI8L2tleXdvcmQ+PGtleXdvcmQ+dW5jbGFzc2lmaWVkIGRydWc8L2tleXdvcmQ+
PGtleXdvcmQ+YmlvbWFya2VyPC9rZXl3b3JkPjxrZXl3b3JkPmNvbmNlbnRyYXRpb24gKGNvbXBv
c2l0aW9uKTwva2V5d29yZD48a2V5d29yZD5oZWFsdGggcmlzazwva2V5d29yZD48a2V5d29yZD5t
ZXRhYm9saXRlPC9rZXl3b3JkPjxrZXl3b3JkPnB1YmxpYyBoZWFsdGg8L2tleXdvcmQ+PGtleXdv
cmQ+dG9iYWNjbzwva2V5d29yZD48a2V5d29yZD51cmluZTwva2V5d29yZD48a2V5d29yZD5hZHVs
dDwva2V5d29yZD48a2V5d29yZD5BcnRpY2xlPC9rZXl3b3JkPjxrZXl3b3JkPmJvZHkgYnVyZGVu
PC9rZXl3b3JkPjxrZXl3b3JkPmNpZ2FyIHNtb2tpbmc8L2tleXdvcmQ+PGtleXdvcmQ+Y2lnYXJl
dHRlIHNtb2tpbmc8L2tleXdvcmQ+PGtleXdvcmQ+Y29udHJvbGxlZCBzdHVkeTwva2V5d29yZD48
a2V5d29yZD5mZW1hbGU8L2tleXdvcmQ+PGtleXdvcmQ+aHVtYW48L2tleXdvcmQ+PGtleXdvcmQ+
bWFsZTwva2V5d29yZD48a2V5d29yZD5waWxvdCBzdHVkeTwva2V5d29yZD48a2V5d29yZD5zbW9r
ZWxlc3MgdG9iYWNjbzwva2V5d29yZD48a2V5d29yZD51cmluYWx5c2lzPC9rZXl3b3JkPjxrZXl3
b3JkPnZhcGluZzwva2V5d29yZD48a2V5d29yZD5OaWNvdGlhbmEgdGFiYWN1bTwva2V5d29yZD48
L2tleXdvcmRzPjxkYXRlcz48eWVhcj4yMDE4PC95ZWFyPjwvZGF0ZXM+PHVybHM+PHJlbGF0ZWQt
dXJscz48dXJsPmh0dHBzOi8vd3d3LnNjb3B1cy5jb20vaW53YXJkL3JlY29yZC51cmk/ZWlkPTIt
czIuMC04NTA0MTExNTY2MCZhbXA7ZG9pPTEwLjMzOTAlMmZpamVycGgxNTAyMDIwMSZhbXA7cGFy
dG5lcklEPTQwJmFtcDttZDU9MGQzNDZjYzNkOTk3NmU5MTNkODMyZTkxMjk2NDFjMzM8L3VybD48
L3JlbGF0ZWQtdXJscz48L3VybHM+PGVsZWN0cm9uaWMtcmVzb3VyY2UtbnVtPjEwLjMzOTAvaWpl
cnBoMTUwMjAyMDE8L2VsZWN0cm9uaWMtcmVzb3VyY2UtbnVtPjxyZW1vdGUtZGF0YWJhc2UtbmFt
ZT5TY29wdXMgQzcgLSAyMDE8L3JlbW90ZS1kYXRhYmFzZS1uYW1lPjwvcmVjb3JkPjwvQ2l0ZT48
L0VuZE5vdGU+AG==
</w:fldData>
            </w:fldChar>
          </w:r>
          <w:r w:rsidR="00903735">
            <w:instrText xml:space="preserve"> ADDIN EN.CITE </w:instrText>
          </w:r>
          <w:r w:rsidR="00903735">
            <w:fldChar w:fldCharType="begin">
              <w:fldData xml:space="preserve">PEVuZE5vdGU+PENpdGU+PEF1dGhvcj5XZWk8L0F1dGhvcj48WWVhcj4yMDE4PC9ZZWFyPjxSZWNO
dW0+MTE0NjY8L1JlY051bT48RGlzcGxheVRleHQ+KFdlaSwgR29uaWV3aWN6IGV0IGFsLiAyMDE4
KTwvRGlzcGxheVRleHQ+PHJlY29yZD48cmVjLW51bWJlcj4xMTQ2NjwvcmVjLW51bWJlcj48Zm9y
ZWlnbi1rZXlzPjxrZXkgYXBwPSJFTiIgZGItaWQ9IjV4djV3NXQyYmR4dHhmZXp4MDJ4dHhkZnQ1
cno1cHR2dnQyOSIgdGltZXN0YW1wPSIxNTIzODYyMTg4Ij4xMTQ2Njwva2V5PjxrZXkgYXBwPSJF
TldlYiIgZGItaWQ9IiI+MDwva2V5PjwvZm9yZWlnbi1rZXlzPjxyZWYtdHlwZSBuYW1lPSJKb3Vy
bmFsIEFydGljbGUiPjE3PC9yZWYtdHlwZT48Y29udHJpYnV0b3JzPjxhdXRob3JzPjxhdXRob3I+
V2VpLCBCLjwvYXV0aG9yPjxhdXRob3I+R29uaWV3aWN6LCBNLiBMLjwvYXV0aG9yPjxhdXRob3I+
T+KAmUNvbm5vciwgUi4gSi48L2F1dGhvcj48YXV0aG9yPlRyYXZlcnMsIE0uIEouPC9hdXRob3I+
PGF1dGhvcj5IeWxhbmQsIEEuIEouPC9hdXRob3I+PC9hdXRob3JzPjwvY29udHJpYnV0b3JzPjx0
aXRsZXM+PHRpdGxlPlVyaW5hcnkgbWV0YWJvbGl0ZSBsZXZlbHMgb2YgZmxhbWUgcmV0YXJkYW50
cyBpbiBlbGVjdHJvbmljIGNpZ2FyZXR0ZSB1c2VyczogQSBzdHVkeSB1c2luZyB0aGUgZGF0YSBm
cm9tIE5IQU5FUyAyMDEz4oCTMjAxNDwvdGl0bGU+PHNlY29uZGFyeS10aXRsZT5JbnRlcm5hdGlv
bmFsIEpvdXJuYWwgb2YgRW52aXJvbm1lbnRhbCBSZXNlYXJjaCBhbmQgUHVibGljIEhlYWx0aDwv
c2Vjb25kYXJ5LXRpdGxlPjwvdGl0bGVzPjxwZXJpb2RpY2FsPjxmdWxsLXRpdGxlPkludCBKIEVu
dmlyb24gUmVzIFB1YmxpYyBIZWFsdGg8L2Z1bGwtdGl0bGU+PGFiYnItMT5JbnRlcm5hdGlvbmFs
IGpvdXJuYWwgb2YgZW52aXJvbm1lbnRhbCByZXNlYXJjaCBhbmQgcHVibGljIGhlYWx0aDwvYWJi
ci0xPjwvcGVyaW9kaWNhbD48dm9sdW1lPjE1PC92b2x1bWU+PG51bWJlcj4yPC9udW1iZXI+PGtl
eXdvcmRzPjxrZXl3b3JkPmJpcygxLDMgZGljaGxvcm8gMiBwcm9weWwpcGhvc3BoYXRlPC9rZXl3
b3JkPjxrZXl3b3JkPmJpcygyIGNobG9yb2V0aHlsKXBob3NwaGF0ZTwva2V5d29yZD48a2V5d29y
ZD5kaWJ1dHlscGhvc3BoYXRlPC9rZXl3b3JkPjxrZXl3b3JkPmRpcGhlbnlscGhvc3BoYXRlPC9r
ZXl3b3JkPjxrZXl3b3JkPmZsYW1lIHJldGFyZGFudDwva2V5d29yZD48a2V5d29yZD5vcmdhbm9w
aG9zcGhhdGU8L2tleXdvcmQ+PGtleXdvcmQ+cGhvc3Bob3JpYyBhY2lkIHRyaXMoMiBjaGxvcm9l
dGh5bCkgZXN0ZXI8L2tleXdvcmQ+PGtleXdvcmQ+dW5jbGFzc2lmaWVkIGRydWc8L2tleXdvcmQ+
PGtleXdvcmQ+YmlvbWFya2VyPC9rZXl3b3JkPjxrZXl3b3JkPmNvbmNlbnRyYXRpb24gKGNvbXBv
c2l0aW9uKTwva2V5d29yZD48a2V5d29yZD5oZWFsdGggcmlzazwva2V5d29yZD48a2V5d29yZD5t
ZXRhYm9saXRlPC9rZXl3b3JkPjxrZXl3b3JkPnB1YmxpYyBoZWFsdGg8L2tleXdvcmQ+PGtleXdv
cmQ+dG9iYWNjbzwva2V5d29yZD48a2V5d29yZD51cmluZTwva2V5d29yZD48a2V5d29yZD5hZHVs
dDwva2V5d29yZD48a2V5d29yZD5BcnRpY2xlPC9rZXl3b3JkPjxrZXl3b3JkPmJvZHkgYnVyZGVu
PC9rZXl3b3JkPjxrZXl3b3JkPmNpZ2FyIHNtb2tpbmc8L2tleXdvcmQ+PGtleXdvcmQ+Y2lnYXJl
dHRlIHNtb2tpbmc8L2tleXdvcmQ+PGtleXdvcmQ+Y29udHJvbGxlZCBzdHVkeTwva2V5d29yZD48
a2V5d29yZD5mZW1hbGU8L2tleXdvcmQ+PGtleXdvcmQ+aHVtYW48L2tleXdvcmQ+PGtleXdvcmQ+
bWFsZTwva2V5d29yZD48a2V5d29yZD5waWxvdCBzdHVkeTwva2V5d29yZD48a2V5d29yZD5zbW9r
ZWxlc3MgdG9iYWNjbzwva2V5d29yZD48a2V5d29yZD51cmluYWx5c2lzPC9rZXl3b3JkPjxrZXl3
b3JkPnZhcGluZzwva2V5d29yZD48a2V5d29yZD5OaWNvdGlhbmEgdGFiYWN1bTwva2V5d29yZD48
L2tleXdvcmRzPjxkYXRlcz48eWVhcj4yMDE4PC95ZWFyPjwvZGF0ZXM+PHVybHM+PHJlbGF0ZWQt
dXJscz48dXJsPmh0dHBzOi8vd3d3LnNjb3B1cy5jb20vaW53YXJkL3JlY29yZC51cmk/ZWlkPTIt
czIuMC04NTA0MTExNTY2MCZhbXA7ZG9pPTEwLjMzOTAlMmZpamVycGgxNTAyMDIwMSZhbXA7cGFy
dG5lcklEPTQwJmFtcDttZDU9MGQzNDZjYzNkOTk3NmU5MTNkODMyZTkxMjk2NDFjMzM8L3VybD48
L3JlbGF0ZWQtdXJscz48L3VybHM+PGVsZWN0cm9uaWMtcmVzb3VyY2UtbnVtPjEwLjMzOTAvaWpl
cnBoMTUwMjAyMDE8L2VsZWN0cm9uaWMtcmVzb3VyY2UtbnVtPjxyZW1vdGUtZGF0YWJhc2UtbmFt
ZT5TY29wdXMgQzcgLSAyMDE8L3JlbW90ZS1kYXRhYmFzZS1uYW1lPjwvcmVjb3JkPjwvQ2l0ZT48
L0VuZE5vdGU+AG==
</w:fldData>
            </w:fldChar>
          </w:r>
          <w:r w:rsidR="00903735">
            <w:instrText xml:space="preserve"> ADDIN EN.CITE.DATA </w:instrText>
          </w:r>
          <w:r w:rsidR="00903735">
            <w:fldChar w:fldCharType="end"/>
          </w:r>
          <w:r w:rsidRPr="007E4395">
            <w:fldChar w:fldCharType="separate"/>
          </w:r>
          <w:r w:rsidRPr="007E4395">
            <w:rPr>
              <w:noProof/>
            </w:rPr>
            <w:t>(Wei, Goniewicz et al. 2018)</w:t>
          </w:r>
          <w:r w:rsidRPr="007E4395">
            <w:fldChar w:fldCharType="end"/>
          </w:r>
          <w:r w:rsidRPr="007E4395">
            <w:t xml:space="preserve"> therefore provides new information, however the size of the </w:t>
          </w:r>
          <w:r>
            <w:t>e-cigarette group</w:t>
          </w:r>
          <w:r w:rsidRPr="007E4395">
            <w:t xml:space="preserve"> involved in the st</w:t>
          </w:r>
          <w:r>
            <w:t>udy was</w:t>
          </w:r>
          <w:r w:rsidRPr="007E4395">
            <w:t xml:space="preserve"> extremely small. In addition, the health impact was not considered.</w:t>
          </w:r>
          <w:r>
            <w:t xml:space="preserve"> Recent research has shown an association between TCEP and thyroid cancer.</w:t>
          </w:r>
          <w:r>
            <w:rPr>
              <w:rStyle w:val="FootnoteReference"/>
            </w:rPr>
            <w:footnoteReference w:id="3"/>
          </w:r>
          <w:r>
            <w:t xml:space="preserve"> Further research is required on the health effects of exposure to these organophosphate flame retardants and other constituents of e-cigarettes.</w:t>
          </w:r>
        </w:p>
        <w:p w14:paraId="4067E537" w14:textId="77777777" w:rsidR="00301538" w:rsidRDefault="00301538" w:rsidP="009D68BA">
          <w:pPr>
            <w:pStyle w:val="BodyText"/>
          </w:pPr>
        </w:p>
        <w:p w14:paraId="6CD13868" w14:textId="77777777" w:rsidR="009D68BA" w:rsidRDefault="00301538" w:rsidP="00301538">
          <w:pPr>
            <w:pStyle w:val="Heading4"/>
          </w:pPr>
          <w:r>
            <w:t>Conclusions</w:t>
          </w:r>
        </w:p>
        <w:p w14:paraId="316DEE49" w14:textId="77777777" w:rsidR="009D68BA" w:rsidRDefault="009D68BA" w:rsidP="009D68BA">
          <w:pPr>
            <w:pStyle w:val="BodyText"/>
          </w:pPr>
          <w:r>
            <w:t>In summary, the evidence to date suggests that biological samples of e-cigarette users contain metabolites of various known carcinogens and toxic compounds higher than that observed in the biological samples of non-users. Whether these levels are at high enough levels to indicate a higher risk of cancer or other diseases associated with these compounds in long term e-cigarette users is unknown.</w:t>
          </w:r>
        </w:p>
        <w:p w14:paraId="615B2DC6" w14:textId="77777777" w:rsidR="000F0E2F" w:rsidRDefault="000F0E2F" w:rsidP="000F0E2F">
          <w:pPr>
            <w:autoSpaceDE w:val="0"/>
            <w:autoSpaceDN w:val="0"/>
            <w:adjustRightInd w:val="0"/>
            <w:spacing w:after="0"/>
            <w:rPr>
              <w:rFonts w:asciiTheme="minorHAnsi" w:hAnsiTheme="minorHAnsi" w:cstheme="minorHAnsi"/>
              <w:sz w:val="24"/>
              <w:szCs w:val="24"/>
            </w:rPr>
          </w:pPr>
        </w:p>
        <w:p w14:paraId="01F7FB2C" w14:textId="77777777" w:rsidR="000F0E2F" w:rsidRDefault="000F0E2F" w:rsidP="000F0E2F">
          <w:pPr>
            <w:pStyle w:val="Heading2"/>
          </w:pPr>
          <w:bookmarkStart w:id="21" w:name="_Toc513214347"/>
          <w:bookmarkStart w:id="22" w:name="_Toc517706633"/>
          <w:r>
            <w:t>Respiratory system</w:t>
          </w:r>
          <w:bookmarkEnd w:id="21"/>
          <w:bookmarkEnd w:id="22"/>
        </w:p>
        <w:p w14:paraId="216B6C3A" w14:textId="77777777" w:rsidR="00301538" w:rsidRDefault="00301538" w:rsidP="00301538">
          <w:pPr>
            <w:pStyle w:val="BodyText"/>
          </w:pPr>
          <w:r>
            <w:t xml:space="preserve">This section contains the majority of the reviewed studies related to health risks/outcomes. This includes two randomised trials, one prospective cohort study, and five cross sectional studies. Studies in this section considered health risk factors and outcomes for the respiratory system, including respiratory/lung function </w:t>
          </w:r>
          <w:r>
            <w:fldChar w:fldCharType="begin">
              <w:fldData xml:space="preserve">PEVuZE5vdGU+PENpdGU+PEF1dGhvcj5Cb3VsYXk8L0F1dGhvcj48WWVhcj4yMDE3PC9ZZWFyPjxS
ZWNOdW0+MTMyNzwvUmVjTnVtPjxEaXNwbGF5VGV4dD4oQm91bGF5LCBIZW5yeSBldCBhbC4gMjAx
NywgUG9sb3NhLCBDaWJlbGxhIGV0IGFsLiAyMDE3LCBTdGF1ZHQsIFNhbGl0IGV0IGFsLiAyMDE4
KTwvRGlzcGxheVRleHQ+PHJlY29yZD48cmVjLW51bWJlcj4xMzI3PC9yZWMtbnVtYmVyPjxmb3Jl
aWduLWtleXM+PGtleSBhcHA9IkVOIiBkYi1pZD0iOXZzOXB6ZnpuYXB4cGhlZmEyOHh6dzk1c2Y1
YXYwc3Y5cmR6IiB0aW1lc3RhbXA9IjE1MjExNTk0MjQiPjEzMjc8L2tleT48a2V5IGFwcD0iRU5X
ZWIiIGRiLWlkPSIiPjA8L2tleT48L2ZvcmVpZ24ta2V5cz48cmVmLXR5cGUgbmFtZT0iSm91cm5h
bCBBcnRpY2xlIj4xNzwvcmVmLXR5cGU+PGNvbnRyaWJ1dG9ycz48YXV0aG9ycz48YXV0aG9yPkJv
dWxheSwgTS4gRS48L2F1dGhvcj48YXV0aG9yPkhlbnJ5LCBDLjwvYXV0aG9yPjxhdXRob3I+Qm9z
c2UsIFkuPC9hdXRob3I+PGF1dGhvcj5Cb3VsZXQsIEwuIFAuPC9hdXRob3I+PGF1dGhvcj5Nb3Jp
c3NldHRlLCBNLiBDLjwvYXV0aG9yPjwvYXV0aG9ycz48L2NvbnRyaWJ1dG9ycz48YXV0aC1hZGRy
ZXNzPlF1ZWJlYyBIZWFydCBhbmQgTHVuZyBJbnN0aXR1dGUgLSBVbml2ZXJzaXRlIExhdmFsLCAy
NzI1IENoZW1pbiBTYWludGUtRm95LCBRdWViZWMgQ2l0eSwgUFEsIEcxViA0RzUgTWFsbGV0IE0y
Njc5LCBDYW5hZGEuJiN4RDtEZXBhcnRtZW50IG9mIE1lZGljaW5lLCBVbml2ZXJzaXRlIExhdmFs
LCBRdWViZWMgQ2l0eSwgQ2FuYWRhLiYjeEQ7UXVlYmVjIEhlYXJ0IGFuZCBMdW5nIEluc3RpdHV0
ZSAtIFVuaXZlcnNpdGUgTGF2YWwsIDI3MjUgQ2hlbWluIFNhaW50ZS1Gb3ksIFF1ZWJlYyBDaXR5
LCBQUSwgRzFWIDRHNSBNYWxsZXQgTTI2NzksIENhbmFkYS4gbWF0aGlldS5tb3Jpc3NldHRlQGNy
aXVjcHEudWxhdmFsLmNhLiYjeEQ7RGVwYXJ0bWVudCBvZiBNZWRpY2luZSwgVW5pdmVyc2l0ZSBM
YXZhbCwgUXVlYmVjIENpdHksIENhbmFkYS4gbWF0aGlldS5tb3Jpc3NldHRlQGNyaXVjcHEudWxh
dmFsLmNhLjwvYXV0aC1hZGRyZXNzPjx0aXRsZXM+PHRpdGxlPkFjdXRlIGVmZmVjdHMgb2Ygbmlj
b3RpbmUtZnJlZSBhbmQgZmxhdm91ci1mcmVlIGVsZWN0cm9uaWMgY2lnYXJldHRlIHVzZSBvbiBs
dW5nIGZ1bmN0aW9ucyBpbiBoZWFsdGh5IGFuZCBhc3RobWF0aWMgaW5kaXZpZHVhbHM8L3RpdGxl
PjxzZWNvbmRhcnktdGl0bGU+UmVzcGlyIFJlczwvc2Vjb25kYXJ5LXRpdGxlPjxhbHQtdGl0bGU+
UmVzcGlyYXRvcnkgcmVzZWFyY2g8L2FsdC10aXRsZT48L3RpdGxlcz48YWx0LXBlcmlvZGljYWw+
PGZ1bGwtdGl0bGU+UmVzcGlyYXRvcnkgUmVzZWFyY2g8L2Z1bGwtdGl0bGU+PC9hbHQtcGVyaW9k
aWNhbD48cGFnZXM+MzM8L3BhZ2VzPjx2b2x1bWU+MTg8L3ZvbHVtZT48bnVtYmVyPjE8L251bWJl
cj48ZWRpdGlvbj4yMDE3LzAyLzEyPC9lZGl0aW9uPjxrZXl3b3Jkcz48a2V5d29yZD5BZG1pbmlz
dHJhdGlvbiwgSW5oYWxhdGlvbjwva2V5d29yZD48a2V5d29yZD5BZHVsdDwva2V5d29yZD48a2V5
d29yZD5Bc3RobWEvKnBoeXNpb3BhdGhvbG9neTwva2V5d29yZD48a2V5d29yZD5Dcm9zcy1PdmVy
IFN0dWRpZXM8L2tleXdvcmQ+PGtleXdvcmQ+RmVtYWxlPC9rZXl3b3JkPjxrZXl3b3JkPkdseWNl
cm9sL2FkbWluaXN0cmF0aW9uICZhbXA7IGRvc2FnZS8qYWR2ZXJzZSBlZmZlY3RzPC9rZXl3b3Jk
PjxrZXl3b3JkPkh1bWFuczwva2V5d29yZD48a2V5d29yZD5MdW5nLypwaHlzaW9wYXRob2xvZ3k8
L2tleXdvcmQ+PGtleXdvcmQ+TWFsZTwva2V5d29yZD48a2V5d29yZD5OaWNvdGluZTwva2V5d29y
ZD48a2V5d29yZD5QbGFjZWJvIEVmZmVjdDwva2V5d29yZD48a2V5d29yZD5Qcm9weWxlbmUgR2x5
Y29sL2FkbWluaXN0cmF0aW9uICZhbXA7IGRvc2FnZS8qYWR2ZXJzZSBlZmZlY3RzPC9rZXl3b3Jk
PjxrZXl3b3JkPipSZXNwaXJhdG9yeSBGdW5jdGlvbiBUZXN0czwva2V5d29yZD48a2V5d29yZD5W
YXBpbmcvKmFkdmVyc2UgZWZmZWN0czwva2V5d29yZD48L2tleXdvcmRzPjxkYXRlcz48eWVhcj4y
MDE3PC95ZWFyPjxwdWItZGF0ZXM+PGRhdGU+RmViIDEwPC9kYXRlPjwvcHViLWRhdGVzPjwvZGF0
ZXM+PGlzYm4+MTQ2NS05OTIxPC9pc2JuPjxhY2Nlc3Npb24tbnVtPjI4MTgzMjk4PC9hY2Nlc3Np
b24tbnVtPjx1cmxzPjwvdXJscz48Y3VzdG9tMj5QTUM1MzAxNDQ2PC9jdXN0b20yPjxlbGVjdHJv
bmljLXJlc291cmNlLW51bT4xMC4xMTg2L3MxMjkzMS0wMTctMDUxOC05PC9lbGVjdHJvbmljLXJl
c291cmNlLW51bT48cmVtb3RlLWRhdGFiYXNlLXByb3ZpZGVyPk5MTTwvcmVtb3RlLWRhdGFiYXNl
LXByb3ZpZGVyPjxsYW5ndWFnZT5lbmc8L2xhbmd1YWdlPjwvcmVjb3JkPjwvQ2l0ZT48Q2l0ZT48
QXV0aG9yPlBvbG9zYTwvQXV0aG9yPjxZZWFyPjIwMTc8L1llYXI+PFJlY051bT4xODY4PC9SZWNO
dW0+PHJlY29yZD48cmVjLW51bWJlcj4xODY4PC9yZWMtbnVtYmVyPjxmb3JlaWduLWtleXM+PGtl
eSBhcHA9IkVOIiBkYi1pZD0iOXZzOXB6ZnpuYXB4cGhlZmEyOHh6dzk1c2Y1YXYwc3Y5cmR6IiB0
aW1lc3RhbXA9IjE1MjExNTk0ODQiPjE4Njg8L2tleT48L2ZvcmVpZ24ta2V5cz48cmVmLXR5cGUg
bmFtZT0iSm91cm5hbCBBcnRpY2xlIj4xNzwvcmVmLXR5cGU+PGNvbnRyaWJ1dG9ycz48YXV0aG9y
cz48YXV0aG9yPlBvbG9zYSwgUmljY2FyZG88L2F1dGhvcj48YXV0aG9yPkNpYmVsbGEsIEZhYmlv
PC9hdXRob3I+PGF1dGhvcj5DYXBvbm5ldHRvLCBQYXNxdWFsZTwvYXV0aG9yPjxhdXRob3I+TWFn
bGlhLCBNYXJpbGVuYTwvYXV0aG9yPjxhdXRob3I+VGFzaGtpbiwgRG9uYWxkPC9hdXRob3I+PC9h
dXRob3JzPjwvY29udHJpYnV0b3JzPjx0aXRsZXM+PHRpdGxlPkhlYWx0aCBpbXBhY3Qgb2YgZS1j
aWdhcmV0dGVzOiBhIHByb3NwZWN0aXZlIDMuNS15ZWFyIHN0dWR5IG9mIHJlZ3VsYXIgdXNlcnMg
d2hvIGhhdmUgbmV2ZXIgc21va2VkPC90aXRsZT48c2Vjb25kYXJ5LXRpdGxlPlJlc3Bpcm9sb2d5
PC9zZWNvbmRhcnktdGl0bGU+PC90aXRsZXM+PHBlcmlvZGljYWw+PGZ1bGwtdGl0bGU+UmVzcGly
b2xvZ3k8L2Z1bGwtdGl0bGU+PGFiYnItMT5SZXNwaXJvbG9neSAoQ2FybHRvbiwgVmljLik8L2Fi
YnItMT48L3BlcmlvZGljYWw+PHBhZ2VzPjIyLTIzPC9wYWdlcz48dm9sdW1lPjIyPC92b2x1bWU+
PGRhdGVzPjx5ZWFyPjIwMTc8L3llYXI+PHB1Yi1kYXRlcz48ZGF0ZT5Ob3Y8L2RhdGU+PC9wdWIt
ZGF0ZXM+PC9kYXRlcz48aXNibj4xMzIzLTc3OTk8L2lzYm4+PGFjY2Vzc2lvbi1udW0+V09TOjAw
MDQxNTkyNTcwMDA0NjwvYWNjZXNzaW9uLW51bT48dXJscz48cmVsYXRlZC11cmxzPjx1cmw+Jmx0
O0dvIHRvIElTSSZndDs6Ly9XT1M6MDAwNDE1OTI1NzAwMDQ2PC91cmw+PC9yZWxhdGVkLXVybHM+
PC91cmxzPjwvcmVjb3JkPjwvQ2l0ZT48Q2l0ZT48QXV0aG9yPlN0YXVkdDwvQXV0aG9yPjxZZWFy
PjIwMTg8L1llYXI+PFJlY051bT4xMDM1NzwvUmVjTnVtPjxyZWNvcmQ+PHJlYy1udW1iZXI+MTAz
NTc8L3JlYy1udW1iZXI+PGZvcmVpZ24ta2V5cz48a2V5IGFwcD0iRU4iIGRiLWlkPSI5ejA1ZHow
cHJhYWRmdWVlMHpveHplZGs5emZlNWZ4eDUwejUiIHRpbWVzdGFtcD0iMTUyNjg2OTg3OCI+MTAz
NTc8L2tleT48a2V5IGFwcD0iRU5XZWIiIGRiLWlkPSIiPjA8L2tleT48L2ZvcmVpZ24ta2V5cz48
cmVmLXR5cGUgbmFtZT0iSm91cm5hbCBBcnRpY2xlIj4xNzwvcmVmLXR5cGU+PGNvbnRyaWJ1dG9y
cz48YXV0aG9ycz48YXV0aG9yPlN0YXVkdCwgTWljaGVsbGUgUi48L2F1dGhvcj48YXV0aG9yPlNh
bGl0LCBKYWNxdWVsaW5lPC9hdXRob3I+PGF1dGhvcj5LYW5lciwgUm9iZXJ0IEouPC9hdXRob3I+
PGF1dGhvcj5Ib2xsbWFubiwgQ2hhcmxlZW48L2F1dGhvcj48YXV0aG9yPkNyeXN0YWwsIFJvbmFs
ZCBHLjwvYXV0aG9yPjwvYXV0aG9ycz48L2NvbnRyaWJ1dG9ycz48dGl0bGVzPjx0aXRsZT5BbHRl
cmVkIGx1bmcgYmlvbG9neSBvZiBoZWFsdGh5IG5ldmVyIHNtb2tlcnMgZm9sbG93aW5nIGFjdXRl
IGluaGFsYXRpb24gb2YgRS1jaWdhcmV0dGVzPC90aXRsZT48c2Vjb25kYXJ5LXRpdGxlPlJlc3Bp
cmF0b3J5IHJlc2VhcmNoPC9zZWNvbmRhcnktdGl0bGU+PC90aXRsZXM+PHBlcmlvZGljYWw+PGZ1
bGwtdGl0bGU+UmVzcGlyYXRvcnkgUmVzZWFyY2g8L2Z1bGwtdGl0bGU+PC9wZXJpb2RpY2FsPjxw
YWdlcz43OC03ODwvcGFnZXM+PHZvbHVtZT4xOTwvdm9sdW1lPjxudW1iZXI+MTwvbnVtYmVyPjxk
YXRlcz48eWVhcj4yMDE4PC95ZWFyPjxwdWItZGF0ZXM+PGRhdGU+MjAxOCBNYXk8L2RhdGU+PC9w
dWItZGF0ZXM+PC9kYXRlcz48YWNjZXNzaW9uLW51bT5NRURMSU5FOjI5NzU0NTgyPC9hY2Nlc3Np
b24tbnVtPjx1cmxzPjxyZWxhdGVkLXVybHM+PHVybD4mbHQ7R28gdG8gSVNJJmd0OzovL01FRExJ
TkU6Mjk3NTQ1ODI8L3VybD48dXJsPmh0dHBzOi8vcmVzcGlyYXRvcnktcmVzZWFyY2guYmlvbWVk
Y2VudHJhbC5jb20vdHJhY2svcGRmLzEwLjExODYvczEyOTMxLTAxOC0wNzc4LXo8L3VybD48L3Jl
bGF0ZWQtdXJscz48L3VybHM+PGVsZWN0cm9uaWMtcmVzb3VyY2UtbnVtPjEwLjExODYvczEyOTMx
LTAxOC0wNzc4LXo8L2VsZWN0cm9uaWMtcmVzb3VyY2UtbnVtPjwvcmVjb3JkPjwvQ2l0ZT48L0Vu
ZE5vdGU+AG==
</w:fldData>
            </w:fldChar>
          </w:r>
          <w:r>
            <w:instrText xml:space="preserve"> ADDIN EN.CITE </w:instrText>
          </w:r>
          <w:r>
            <w:fldChar w:fldCharType="begin">
              <w:fldData xml:space="preserve">PEVuZE5vdGU+PENpdGU+PEF1dGhvcj5Cb3VsYXk8L0F1dGhvcj48WWVhcj4yMDE3PC9ZZWFyPjxS
ZWNOdW0+MTMyNzwvUmVjTnVtPjxEaXNwbGF5VGV4dD4oQm91bGF5LCBIZW5yeSBldCBhbC4gMjAx
NywgUG9sb3NhLCBDaWJlbGxhIGV0IGFsLiAyMDE3LCBTdGF1ZHQsIFNhbGl0IGV0IGFsLiAyMDE4
KTwvRGlzcGxheVRleHQ+PHJlY29yZD48cmVjLW51bWJlcj4xMzI3PC9yZWMtbnVtYmVyPjxmb3Jl
aWduLWtleXM+PGtleSBhcHA9IkVOIiBkYi1pZD0iOXZzOXB6ZnpuYXB4cGhlZmEyOHh6dzk1c2Y1
YXYwc3Y5cmR6IiB0aW1lc3RhbXA9IjE1MjExNTk0MjQiPjEzMjc8L2tleT48a2V5IGFwcD0iRU5X
ZWIiIGRiLWlkPSIiPjA8L2tleT48L2ZvcmVpZ24ta2V5cz48cmVmLXR5cGUgbmFtZT0iSm91cm5h
bCBBcnRpY2xlIj4xNzwvcmVmLXR5cGU+PGNvbnRyaWJ1dG9ycz48YXV0aG9ycz48YXV0aG9yPkJv
dWxheSwgTS4gRS48L2F1dGhvcj48YXV0aG9yPkhlbnJ5LCBDLjwvYXV0aG9yPjxhdXRob3I+Qm9z
c2UsIFkuPC9hdXRob3I+PGF1dGhvcj5Cb3VsZXQsIEwuIFAuPC9hdXRob3I+PGF1dGhvcj5Nb3Jp
c3NldHRlLCBNLiBDLjwvYXV0aG9yPjwvYXV0aG9ycz48L2NvbnRyaWJ1dG9ycz48YXV0aC1hZGRy
ZXNzPlF1ZWJlYyBIZWFydCBhbmQgTHVuZyBJbnN0aXR1dGUgLSBVbml2ZXJzaXRlIExhdmFsLCAy
NzI1IENoZW1pbiBTYWludGUtRm95LCBRdWViZWMgQ2l0eSwgUFEsIEcxViA0RzUgTWFsbGV0IE0y
Njc5LCBDYW5hZGEuJiN4RDtEZXBhcnRtZW50IG9mIE1lZGljaW5lLCBVbml2ZXJzaXRlIExhdmFs
LCBRdWViZWMgQ2l0eSwgQ2FuYWRhLiYjeEQ7UXVlYmVjIEhlYXJ0IGFuZCBMdW5nIEluc3RpdHV0
ZSAtIFVuaXZlcnNpdGUgTGF2YWwsIDI3MjUgQ2hlbWluIFNhaW50ZS1Gb3ksIFF1ZWJlYyBDaXR5
LCBQUSwgRzFWIDRHNSBNYWxsZXQgTTI2NzksIENhbmFkYS4gbWF0aGlldS5tb3Jpc3NldHRlQGNy
aXVjcHEudWxhdmFsLmNhLiYjeEQ7RGVwYXJ0bWVudCBvZiBNZWRpY2luZSwgVW5pdmVyc2l0ZSBM
YXZhbCwgUXVlYmVjIENpdHksIENhbmFkYS4gbWF0aGlldS5tb3Jpc3NldHRlQGNyaXVjcHEudWxh
dmFsLmNhLjwvYXV0aC1hZGRyZXNzPjx0aXRsZXM+PHRpdGxlPkFjdXRlIGVmZmVjdHMgb2Ygbmlj
b3RpbmUtZnJlZSBhbmQgZmxhdm91ci1mcmVlIGVsZWN0cm9uaWMgY2lnYXJldHRlIHVzZSBvbiBs
dW5nIGZ1bmN0aW9ucyBpbiBoZWFsdGh5IGFuZCBhc3RobWF0aWMgaW5kaXZpZHVhbHM8L3RpdGxl
PjxzZWNvbmRhcnktdGl0bGU+UmVzcGlyIFJlczwvc2Vjb25kYXJ5LXRpdGxlPjxhbHQtdGl0bGU+
UmVzcGlyYXRvcnkgcmVzZWFyY2g8L2FsdC10aXRsZT48L3RpdGxlcz48YWx0LXBlcmlvZGljYWw+
PGZ1bGwtdGl0bGU+UmVzcGlyYXRvcnkgUmVzZWFyY2g8L2Z1bGwtdGl0bGU+PC9hbHQtcGVyaW9k
aWNhbD48cGFnZXM+MzM8L3BhZ2VzPjx2b2x1bWU+MTg8L3ZvbHVtZT48bnVtYmVyPjE8L251bWJl
cj48ZWRpdGlvbj4yMDE3LzAyLzEyPC9lZGl0aW9uPjxrZXl3b3Jkcz48a2V5d29yZD5BZG1pbmlz
dHJhdGlvbiwgSW5oYWxhdGlvbjwva2V5d29yZD48a2V5d29yZD5BZHVsdDwva2V5d29yZD48a2V5
d29yZD5Bc3RobWEvKnBoeXNpb3BhdGhvbG9neTwva2V5d29yZD48a2V5d29yZD5Dcm9zcy1PdmVy
IFN0dWRpZXM8L2tleXdvcmQ+PGtleXdvcmQ+RmVtYWxlPC9rZXl3b3JkPjxrZXl3b3JkPkdseWNl
cm9sL2FkbWluaXN0cmF0aW9uICZhbXA7IGRvc2FnZS8qYWR2ZXJzZSBlZmZlY3RzPC9rZXl3b3Jk
PjxrZXl3b3JkPkh1bWFuczwva2V5d29yZD48a2V5d29yZD5MdW5nLypwaHlzaW9wYXRob2xvZ3k8
L2tleXdvcmQ+PGtleXdvcmQ+TWFsZTwva2V5d29yZD48a2V5d29yZD5OaWNvdGluZTwva2V5d29y
ZD48a2V5d29yZD5QbGFjZWJvIEVmZmVjdDwva2V5d29yZD48a2V5d29yZD5Qcm9weWxlbmUgR2x5
Y29sL2FkbWluaXN0cmF0aW9uICZhbXA7IGRvc2FnZS8qYWR2ZXJzZSBlZmZlY3RzPC9rZXl3b3Jk
PjxrZXl3b3JkPipSZXNwaXJhdG9yeSBGdW5jdGlvbiBUZXN0czwva2V5d29yZD48a2V5d29yZD5W
YXBpbmcvKmFkdmVyc2UgZWZmZWN0czwva2V5d29yZD48L2tleXdvcmRzPjxkYXRlcz48eWVhcj4y
MDE3PC95ZWFyPjxwdWItZGF0ZXM+PGRhdGU+RmViIDEwPC9kYXRlPjwvcHViLWRhdGVzPjwvZGF0
ZXM+PGlzYm4+MTQ2NS05OTIxPC9pc2JuPjxhY2Nlc3Npb24tbnVtPjI4MTgzMjk4PC9hY2Nlc3Np
b24tbnVtPjx1cmxzPjwvdXJscz48Y3VzdG9tMj5QTUM1MzAxNDQ2PC9jdXN0b20yPjxlbGVjdHJv
bmljLXJlc291cmNlLW51bT4xMC4xMTg2L3MxMjkzMS0wMTctMDUxOC05PC9lbGVjdHJvbmljLXJl
c291cmNlLW51bT48cmVtb3RlLWRhdGFiYXNlLXByb3ZpZGVyPk5MTTwvcmVtb3RlLWRhdGFiYXNl
LXByb3ZpZGVyPjxsYW5ndWFnZT5lbmc8L2xhbmd1YWdlPjwvcmVjb3JkPjwvQ2l0ZT48Q2l0ZT48
QXV0aG9yPlBvbG9zYTwvQXV0aG9yPjxZZWFyPjIwMTc8L1llYXI+PFJlY051bT4xODY4PC9SZWNO
dW0+PHJlY29yZD48cmVjLW51bWJlcj4xODY4PC9yZWMtbnVtYmVyPjxmb3JlaWduLWtleXM+PGtl
eSBhcHA9IkVOIiBkYi1pZD0iOXZzOXB6ZnpuYXB4cGhlZmEyOHh6dzk1c2Y1YXYwc3Y5cmR6IiB0
aW1lc3RhbXA9IjE1MjExNTk0ODQiPjE4Njg8L2tleT48L2ZvcmVpZ24ta2V5cz48cmVmLXR5cGUg
bmFtZT0iSm91cm5hbCBBcnRpY2xlIj4xNzwvcmVmLXR5cGU+PGNvbnRyaWJ1dG9ycz48YXV0aG9y
cz48YXV0aG9yPlBvbG9zYSwgUmljY2FyZG88L2F1dGhvcj48YXV0aG9yPkNpYmVsbGEsIEZhYmlv
PC9hdXRob3I+PGF1dGhvcj5DYXBvbm5ldHRvLCBQYXNxdWFsZTwvYXV0aG9yPjxhdXRob3I+TWFn
bGlhLCBNYXJpbGVuYTwvYXV0aG9yPjxhdXRob3I+VGFzaGtpbiwgRG9uYWxkPC9hdXRob3I+PC9h
dXRob3JzPjwvY29udHJpYnV0b3JzPjx0aXRsZXM+PHRpdGxlPkhlYWx0aCBpbXBhY3Qgb2YgZS1j
aWdhcmV0dGVzOiBhIHByb3NwZWN0aXZlIDMuNS15ZWFyIHN0dWR5IG9mIHJlZ3VsYXIgdXNlcnMg
d2hvIGhhdmUgbmV2ZXIgc21va2VkPC90aXRsZT48c2Vjb25kYXJ5LXRpdGxlPlJlc3Bpcm9sb2d5
PC9zZWNvbmRhcnktdGl0bGU+PC90aXRsZXM+PHBlcmlvZGljYWw+PGZ1bGwtdGl0bGU+UmVzcGly
b2xvZ3k8L2Z1bGwtdGl0bGU+PGFiYnItMT5SZXNwaXJvbG9neSAoQ2FybHRvbiwgVmljLik8L2Fi
YnItMT48L3BlcmlvZGljYWw+PHBhZ2VzPjIyLTIzPC9wYWdlcz48dm9sdW1lPjIyPC92b2x1bWU+
PGRhdGVzPjx5ZWFyPjIwMTc8L3llYXI+PHB1Yi1kYXRlcz48ZGF0ZT5Ob3Y8L2RhdGU+PC9wdWIt
ZGF0ZXM+PC9kYXRlcz48aXNibj4xMzIzLTc3OTk8L2lzYm4+PGFjY2Vzc2lvbi1udW0+V09TOjAw
MDQxNTkyNTcwMDA0NjwvYWNjZXNzaW9uLW51bT48dXJscz48cmVsYXRlZC11cmxzPjx1cmw+Jmx0
O0dvIHRvIElTSSZndDs6Ly9XT1M6MDAwNDE1OTI1NzAwMDQ2PC91cmw+PC9yZWxhdGVkLXVybHM+
PC91cmxzPjwvcmVjb3JkPjwvQ2l0ZT48Q2l0ZT48QXV0aG9yPlN0YXVkdDwvQXV0aG9yPjxZZWFy
PjIwMTg8L1llYXI+PFJlY051bT4xMDM1NzwvUmVjTnVtPjxyZWNvcmQ+PHJlYy1udW1iZXI+MTAz
NTc8L3JlYy1udW1iZXI+PGZvcmVpZ24ta2V5cz48a2V5IGFwcD0iRU4iIGRiLWlkPSI5ejA1ZHow
cHJhYWRmdWVlMHpveHplZGs5emZlNWZ4eDUwejUiIHRpbWVzdGFtcD0iMTUyNjg2OTg3OCI+MTAz
NTc8L2tleT48a2V5IGFwcD0iRU5XZWIiIGRiLWlkPSIiPjA8L2tleT48L2ZvcmVpZ24ta2V5cz48
cmVmLXR5cGUgbmFtZT0iSm91cm5hbCBBcnRpY2xlIj4xNzwvcmVmLXR5cGU+PGNvbnRyaWJ1dG9y
cz48YXV0aG9ycz48YXV0aG9yPlN0YXVkdCwgTWljaGVsbGUgUi48L2F1dGhvcj48YXV0aG9yPlNh
bGl0LCBKYWNxdWVsaW5lPC9hdXRob3I+PGF1dGhvcj5LYW5lciwgUm9iZXJ0IEouPC9hdXRob3I+
PGF1dGhvcj5Ib2xsbWFubiwgQ2hhcmxlZW48L2F1dGhvcj48YXV0aG9yPkNyeXN0YWwsIFJvbmFs
ZCBHLjwvYXV0aG9yPjwvYXV0aG9ycz48L2NvbnRyaWJ1dG9ycz48dGl0bGVzPjx0aXRsZT5BbHRl
cmVkIGx1bmcgYmlvbG9neSBvZiBoZWFsdGh5IG5ldmVyIHNtb2tlcnMgZm9sbG93aW5nIGFjdXRl
IGluaGFsYXRpb24gb2YgRS1jaWdhcmV0dGVzPC90aXRsZT48c2Vjb25kYXJ5LXRpdGxlPlJlc3Bp
cmF0b3J5IHJlc2VhcmNoPC9zZWNvbmRhcnktdGl0bGU+PC90aXRsZXM+PHBlcmlvZGljYWw+PGZ1
bGwtdGl0bGU+UmVzcGlyYXRvcnkgUmVzZWFyY2g8L2Z1bGwtdGl0bGU+PC9wZXJpb2RpY2FsPjxw
YWdlcz43OC03ODwvcGFnZXM+PHZvbHVtZT4xOTwvdm9sdW1lPjxudW1iZXI+MTwvbnVtYmVyPjxk
YXRlcz48eWVhcj4yMDE4PC95ZWFyPjxwdWItZGF0ZXM+PGRhdGU+MjAxOCBNYXk8L2RhdGU+PC9w
dWItZGF0ZXM+PC9kYXRlcz48YWNjZXNzaW9uLW51bT5NRURMSU5FOjI5NzU0NTgyPC9hY2Nlc3Np
b24tbnVtPjx1cmxzPjxyZWxhdGVkLXVybHM+PHVybD4mbHQ7R28gdG8gSVNJJmd0OzovL01FRExJ
TkU6Mjk3NTQ1ODI8L3VybD48dXJsPmh0dHBzOi8vcmVzcGlyYXRvcnktcmVzZWFyY2guYmlvbWVk
Y2VudHJhbC5jb20vdHJhY2svcGRmLzEwLjExODYvczEyOTMxLTAxOC0wNzc4LXo8L3VybD48L3Jl
bGF0ZWQtdXJscz48L3VybHM+PGVsZWN0cm9uaWMtcmVzb3VyY2UtbnVtPjEwLjExODYvczEyOTMx
LTAxOC0wNzc4LXo8L2VsZWN0cm9uaWMtcmVzb3VyY2UtbnVtPjwvcmVjb3JkPjwvQ2l0ZT48L0Vu
ZE5vdGU+AG==
</w:fldData>
            </w:fldChar>
          </w:r>
          <w:r>
            <w:instrText xml:space="preserve"> ADDIN EN.CITE.DATA </w:instrText>
          </w:r>
          <w:r>
            <w:fldChar w:fldCharType="end"/>
          </w:r>
          <w:r>
            <w:fldChar w:fldCharType="separate"/>
          </w:r>
          <w:r>
            <w:rPr>
              <w:noProof/>
            </w:rPr>
            <w:t>(Boulay, Henry et al. 2017, Polosa, Cibella et al. 2017, Staudt, Salit et al. 2018)</w:t>
          </w:r>
          <w:r>
            <w:fldChar w:fldCharType="end"/>
          </w:r>
          <w:r>
            <w:t xml:space="preserve"> and human airway biology and </w:t>
          </w:r>
          <w:r w:rsidRPr="007E4395">
            <w:t xml:space="preserve">immune response in the lung </w:t>
          </w:r>
          <w:r w:rsidRPr="007E4395">
            <w:fldChar w:fldCharType="begin">
              <w:fldData xml:space="preserve">PEVuZE5vdGU+PENpdGU+PEF1dGhvcj5SZWlkZWw8L0F1dGhvcj48WWVhcj4yMDE4PC9ZZWFyPjxS
ZWNOdW0+ODUxPC9SZWNOdW0+PERpc3BsYXlUZXh0PihSZWlkZWwsIFJhZGljaW9uaSBldCBhbC4g
MjAxOCk8L0Rpc3BsYXlUZXh0PjxyZWNvcmQ+PHJlYy1udW1iZXI+ODUxPC9yZWMtbnVtYmVyPjxm
b3JlaWduLWtleXM+PGtleSBhcHA9IkVOIiBkYi1pZD0iOXZzOXB6ZnpuYXB4cGhlZmEyOHh6dzk1
c2Y1YXYwc3Y5cmR6IiB0aW1lc3RhbXA9IjE1MjExNTkzODIiPjg1MTwva2V5PjwvZm9yZWlnbi1r
ZXlzPjxyZWYtdHlwZSBuYW1lPSJKb3VybmFsIEFydGljbGUiPjE3PC9yZWYtdHlwZT48Y29udHJp
YnV0b3JzPjxhdXRob3JzPjxhdXRob3I+UmVpZGVsLCBCLjwvYXV0aG9yPjxhdXRob3I+UmFkaWNp
b25pLCBHLjwvYXV0aG9yPjxhdXRob3I+Q2xhcHAsIFAuIFcuPC9hdXRob3I+PGF1dGhvcj5Gb3Jk
LCBBLiBBLjwvYXV0aG9yPjxhdXRob3I+QWJkZWx3YWhhYiwgUy48L2F1dGhvcj48YXV0aG9yPlJl
YnVsaSwgTS4gRS48L2F1dGhvcj48YXV0aG9yPkhhcmlkYXNzLCBQLjwvYXV0aG9yPjxhdXRob3I+
QWxleGlzLCBOLiBFLjwvYXV0aG9yPjxhdXRob3I+SmFzcGVycywgSS48L2F1dGhvcj48YXV0aG9y
Pktlc2ltZXIsIE0uPC9hdXRob3I+PC9hdXRob3JzPjwvY29udHJpYnV0b3JzPjxhdXRoLWFkZHJl
c3M+MSBNYXJzaWNvIEx1bmcgSW5zdGl0dXRlLiYjeEQ7MiBEZXBhcnRtZW50IG9mIFBhdGhvbG9n
eSBhbmQgTGFib3JhdG9yeSBNZWRpY2luZSwgYW5kLiYjeEQ7MyBEZXBhcnRtZW50IG9mIFBlZGlh
dHJpY3MsIFRoZSBVbml2ZXJzaXR5IG9mIE5vcnRoIENhcm9saW5hIGF0IENoYXBlbCBIaWxsLCBD
aGFwZWwgSGlsbCwgTm9ydGggQ2Fyb2xpbmEuPC9hdXRoLWFkZHJlc3M+PHRpdGxlcz48dGl0bGU+
RS1DaWdhcmV0dGUgVXNlIENhdXNlcyBhIFVuaXF1ZSBJbm5hdGUgSW1tdW5lIFJlc3BvbnNlIGlu
IHRoZSBMdW5nLCBJbnZvbHZpbmcgSW5jcmVhc2VkIE5ldXRyb3BoaWxpYyBBY3RpdmF0aW9uIGFu
ZCBBbHRlcmVkIE11Y2luIFNlY3JldGlvbjwvdGl0bGU+PHNlY29uZGFyeS10aXRsZT5BbSBKIFJl
c3BpciBDcml0IENhcmUgTWVkPC9zZWNvbmRhcnktdGl0bGU+PGFsdC10aXRsZT5BbWVyaWNhbiBq
b3VybmFsIG9mIHJlc3BpcmF0b3J5IGFuZCBjcml0aWNhbCBjYXJlIG1lZGljaW5lPC9hbHQtdGl0
bGU+PC90aXRsZXM+PHBlcmlvZGljYWw+PGZ1bGwtdGl0bGU+QW0gSiBSZXNwaXIgQ3JpdCBDYXJl
IE1lZDwvZnVsbC10aXRsZT48YWJici0xPkFtZXJpY2FuIGpvdXJuYWwgb2YgcmVzcGlyYXRvcnkg
YW5kIGNyaXRpY2FsIGNhcmUgbWVkaWNpbmU8L2FiYnItMT48L3BlcmlvZGljYWw+PGFsdC1wZXJp
b2RpY2FsPjxmdWxsLXRpdGxlPkFtIEogUmVzcGlyIENyaXQgQ2FyZSBNZWQ8L2Z1bGwtdGl0bGU+
PGFiYnItMT5BbWVyaWNhbiBqb3VybmFsIG9mIHJlc3BpcmF0b3J5IGFuZCBjcml0aWNhbCBjYXJl
IG1lZGljaW5lPC9hYmJyLTE+PC9hbHQtcGVyaW9kaWNhbD48cGFnZXM+NDkyLTUwMTwvcGFnZXM+
PHZvbHVtZT4xOTc8L3ZvbHVtZT48bnVtYmVyPjQ8L251bWJlcj48ZWRpdGlvbj4yMDE3LzEwLzIx
PC9lZGl0aW9uPjxrZXl3b3Jkcz48a2V5d29yZD5OZXQ8L2tleXdvcmQ+PGtleXdvcmQ+ZS1jaWdh
cmV0dGU8L2tleXdvcmQ+PGtleXdvcmQ+bHVuZzwva2V5d29yZD48a2V5d29yZD5tdWNpbjwva2V5
d29yZD48a2V5d29yZD5uZXV0cm9waGlsPC9rZXl3b3JkPjwva2V5d29yZHM+PGRhdGVzPjx5ZWFy
PjIwMTg8L3llYXI+PHB1Yi1kYXRlcz48ZGF0ZT5GZWIgMTU8L2RhdGU+PC9wdWItZGF0ZXM+PC9k
YXRlcz48aXNibj4xMDczLTQ0OXg8L2lzYm4+PGFjY2Vzc2lvbi1udW0+MjkwNTMwMjU8L2FjY2Vz
c2lvbi1udW0+PHVybHM+PC91cmxzPjxjdXN0b20yPlBNQzU4MjE5MDk8L2N1c3RvbTI+PGVsZWN0
cm9uaWMtcmVzb3VyY2UtbnVtPjEwLjExNjQvcmNjbS4yMDE3MDgtMTU5ME9DPC9lbGVjdHJvbmlj
LXJlc291cmNlLW51bT48cmVtb3RlLWRhdGFiYXNlLXByb3ZpZGVyPk5MTTwvcmVtb3RlLWRhdGFi
YXNlLXByb3ZpZGVyPjxsYW5ndWFnZT5lbmc8L2xhbmd1YWdlPjwvcmVjb3JkPjwvQ2l0ZT48L0Vu
ZE5vdGU+AG==
</w:fldData>
            </w:fldChar>
          </w:r>
          <w:r w:rsidRPr="007E4395">
            <w:instrText xml:space="preserve"> ADDIN EN.CITE </w:instrText>
          </w:r>
          <w:r w:rsidRPr="007E4395">
            <w:fldChar w:fldCharType="begin">
              <w:fldData xml:space="preserve">PEVuZE5vdGU+PENpdGU+PEF1dGhvcj5SZWlkZWw8L0F1dGhvcj48WWVhcj4yMDE4PC9ZZWFyPjxS
ZWNOdW0+ODUxPC9SZWNOdW0+PERpc3BsYXlUZXh0PihSZWlkZWwsIFJhZGljaW9uaSBldCBhbC4g
MjAxOCk8L0Rpc3BsYXlUZXh0PjxyZWNvcmQ+PHJlYy1udW1iZXI+ODUxPC9yZWMtbnVtYmVyPjxm
b3JlaWduLWtleXM+PGtleSBhcHA9IkVOIiBkYi1pZD0iOXZzOXB6ZnpuYXB4cGhlZmEyOHh6dzk1
c2Y1YXYwc3Y5cmR6IiB0aW1lc3RhbXA9IjE1MjExNTkzODIiPjg1MTwva2V5PjwvZm9yZWlnbi1r
ZXlzPjxyZWYtdHlwZSBuYW1lPSJKb3VybmFsIEFydGljbGUiPjE3PC9yZWYtdHlwZT48Y29udHJp
YnV0b3JzPjxhdXRob3JzPjxhdXRob3I+UmVpZGVsLCBCLjwvYXV0aG9yPjxhdXRob3I+UmFkaWNp
b25pLCBHLjwvYXV0aG9yPjxhdXRob3I+Q2xhcHAsIFAuIFcuPC9hdXRob3I+PGF1dGhvcj5Gb3Jk
LCBBLiBBLjwvYXV0aG9yPjxhdXRob3I+QWJkZWx3YWhhYiwgUy48L2F1dGhvcj48YXV0aG9yPlJl
YnVsaSwgTS4gRS48L2F1dGhvcj48YXV0aG9yPkhhcmlkYXNzLCBQLjwvYXV0aG9yPjxhdXRob3I+
QWxleGlzLCBOLiBFLjwvYXV0aG9yPjxhdXRob3I+SmFzcGVycywgSS48L2F1dGhvcj48YXV0aG9y
Pktlc2ltZXIsIE0uPC9hdXRob3I+PC9hdXRob3JzPjwvY29udHJpYnV0b3JzPjxhdXRoLWFkZHJl
c3M+MSBNYXJzaWNvIEx1bmcgSW5zdGl0dXRlLiYjeEQ7MiBEZXBhcnRtZW50IG9mIFBhdGhvbG9n
eSBhbmQgTGFib3JhdG9yeSBNZWRpY2luZSwgYW5kLiYjeEQ7MyBEZXBhcnRtZW50IG9mIFBlZGlh
dHJpY3MsIFRoZSBVbml2ZXJzaXR5IG9mIE5vcnRoIENhcm9saW5hIGF0IENoYXBlbCBIaWxsLCBD
aGFwZWwgSGlsbCwgTm9ydGggQ2Fyb2xpbmEuPC9hdXRoLWFkZHJlc3M+PHRpdGxlcz48dGl0bGU+
RS1DaWdhcmV0dGUgVXNlIENhdXNlcyBhIFVuaXF1ZSBJbm5hdGUgSW1tdW5lIFJlc3BvbnNlIGlu
IHRoZSBMdW5nLCBJbnZvbHZpbmcgSW5jcmVhc2VkIE5ldXRyb3BoaWxpYyBBY3RpdmF0aW9uIGFu
ZCBBbHRlcmVkIE11Y2luIFNlY3JldGlvbjwvdGl0bGU+PHNlY29uZGFyeS10aXRsZT5BbSBKIFJl
c3BpciBDcml0IENhcmUgTWVkPC9zZWNvbmRhcnktdGl0bGU+PGFsdC10aXRsZT5BbWVyaWNhbiBq
b3VybmFsIG9mIHJlc3BpcmF0b3J5IGFuZCBjcml0aWNhbCBjYXJlIG1lZGljaW5lPC9hbHQtdGl0
bGU+PC90aXRsZXM+PHBlcmlvZGljYWw+PGZ1bGwtdGl0bGU+QW0gSiBSZXNwaXIgQ3JpdCBDYXJl
IE1lZDwvZnVsbC10aXRsZT48YWJici0xPkFtZXJpY2FuIGpvdXJuYWwgb2YgcmVzcGlyYXRvcnkg
YW5kIGNyaXRpY2FsIGNhcmUgbWVkaWNpbmU8L2FiYnItMT48L3BlcmlvZGljYWw+PGFsdC1wZXJp
b2RpY2FsPjxmdWxsLXRpdGxlPkFtIEogUmVzcGlyIENyaXQgQ2FyZSBNZWQ8L2Z1bGwtdGl0bGU+
PGFiYnItMT5BbWVyaWNhbiBqb3VybmFsIG9mIHJlc3BpcmF0b3J5IGFuZCBjcml0aWNhbCBjYXJl
IG1lZGljaW5lPC9hYmJyLTE+PC9hbHQtcGVyaW9kaWNhbD48cGFnZXM+NDkyLTUwMTwvcGFnZXM+
PHZvbHVtZT4xOTc8L3ZvbHVtZT48bnVtYmVyPjQ8L251bWJlcj48ZWRpdGlvbj4yMDE3LzEwLzIx
PC9lZGl0aW9uPjxrZXl3b3Jkcz48a2V5d29yZD5OZXQ8L2tleXdvcmQ+PGtleXdvcmQ+ZS1jaWdh
cmV0dGU8L2tleXdvcmQ+PGtleXdvcmQ+bHVuZzwva2V5d29yZD48a2V5d29yZD5tdWNpbjwva2V5
d29yZD48a2V5d29yZD5uZXV0cm9waGlsPC9rZXl3b3JkPjwva2V5d29yZHM+PGRhdGVzPjx5ZWFy
PjIwMTg8L3llYXI+PHB1Yi1kYXRlcz48ZGF0ZT5GZWIgMTU8L2RhdGU+PC9wdWItZGF0ZXM+PC9k
YXRlcz48aXNibj4xMDczLTQ0OXg8L2lzYm4+PGFjY2Vzc2lvbi1udW0+MjkwNTMwMjU8L2FjY2Vz
c2lvbi1udW0+PHVybHM+PC91cmxzPjxjdXN0b20yPlBNQzU4MjE5MDk8L2N1c3RvbTI+PGVsZWN0
cm9uaWMtcmVzb3VyY2UtbnVtPjEwLjExNjQvcmNjbS4yMDE3MDgtMTU5ME9DPC9lbGVjdHJvbmlj
LXJlc291cmNlLW51bT48cmVtb3RlLWRhdGFiYXNlLXByb3ZpZGVyPk5MTTwvcmVtb3RlLWRhdGFi
YXNlLXByb3ZpZGVyPjxsYW5ndWFnZT5lbmc8L2xhbmd1YWdlPjwvcmVjb3JkPjwvQ2l0ZT48L0Vu
ZE5vdGU+AG==
</w:fldData>
            </w:fldChar>
          </w:r>
          <w:r w:rsidRPr="007E4395">
            <w:instrText xml:space="preserve"> ADDIN EN.CITE.DATA </w:instrText>
          </w:r>
          <w:r w:rsidRPr="007E4395">
            <w:fldChar w:fldCharType="end"/>
          </w:r>
          <w:r w:rsidRPr="007E4395">
            <w:fldChar w:fldCharType="separate"/>
          </w:r>
          <w:r w:rsidRPr="007E4395">
            <w:rPr>
              <w:noProof/>
            </w:rPr>
            <w:t>(Reidel, Radicioni et al. 2018)</w:t>
          </w:r>
          <w:r w:rsidRPr="007E4395">
            <w:fldChar w:fldCharType="end"/>
          </w:r>
          <w:r>
            <w:t xml:space="preserve">. Two studies considered the association between e-cigarette use and asthma </w:t>
          </w:r>
          <w:r>
            <w:fldChar w:fldCharType="begin">
              <w:fldData xml:space="preserve">PEVuZE5vdGU+PENpdGU+PEF1dGhvcj5TY2h3ZWl0emVyPC9BdXRob3I+PFllYXI+MjAxNzwvWWVh
cj48UmVjTnVtPjg4NzwvUmVjTnVtPjxEaXNwbGF5VGV4dD4oS2ltLCBTaW0gZXQgYWwuIDIwMTcs
IFNjaHdlaXR6ZXIsIFdpbGxzIGV0IGFsLiAyMDE3KTwvRGlzcGxheVRleHQ+PHJlY29yZD48cmVj
LW51bWJlcj44ODc8L3JlYy1udW1iZXI+PGZvcmVpZ24ta2V5cz48a2V5IGFwcD0iRU4iIGRiLWlk
PSI5dnM5cHpmem5hcHhwaGVmYTI4eHp3OTVzZjVhdjBzdjlyZHoiIHRpbWVzdGFtcD0iMTUyMTE1
OTM4NSI+ODg3PC9rZXk+PC9mb3JlaWduLWtleXM+PHJlZi10eXBlIG5hbWU9IkpvdXJuYWwgQXJ0
aWNsZSI+MTc8L3JlZi10eXBlPjxjb250cmlidXRvcnM+PGF1dGhvcnM+PGF1dGhvcj5TY2h3ZWl0
emVyLCBSLiBKLjwvYXV0aG9yPjxhdXRob3I+V2lsbHMsIFQuIEEuPC9hdXRob3I+PGF1dGhvcj5U
YW0sIEUuPC9hdXRob3I+PGF1dGhvcj5QYWdhbm8sIEkuPC9hdXRob3I+PGF1dGhvcj5DaG9pLCBL
LjwvYXV0aG9yPjwvYXV0aG9ycz48L2NvbnRyaWJ1dG9ycz48YXV0aC1hZGRyZXNzPk9mZmljZSBv
ZiBQdWJsaWMgSGVhbHRoIFN0dWRpZXMsIFVuaXZlcnNpdHkgb2YgSGF3YWlpIGF0IE1hbm9hLCBI
b25vbHVsdSwgSEksIFVTQS4gRWxlY3Ryb25pYyBhZGRyZXNzOiByandpbGxpYUBoYXdhaWkuZWR1
LiYjeEQ7Q2FuY2VyIFByZXZlbnRpb24gaW4gdGhlIFBhY2lmaWMgUHJvZ3JhbSwgVW5pdmVyc2l0
eSBvZiBIYXdhaWkgQ2FuY2VyIENlbnRlciwgSG9ub2x1bHUsIEhJLCBVU0EuJiN4RDtEZXBhcnRt
ZW50IG9mIE1lZGljaW5lLCBKb2huIEEuIEJ1cm5zIFNjaG9vbCBvZiBNZWRpY2luZSwgSG9ub2x1
bHUsIEhJLCBVU0EuJiN4RDtEaXZpc2lvbiBvZiBJbnRyYW11cmFsIFJlc2VhcmNoLCBOYXRpb25h
bCBJbnN0aXR1dGUgb24gTWlub3JpdHkgSGVhbHRoIGFuZCBIZWFsdGggRGlzcGFyaXRpZXMsIEJl
dGhlc2RhLCBNRCwgVVNBLjwvYXV0aC1hZGRyZXNzPjx0aXRsZXM+PHRpdGxlPkUtY2lnYXJldHRl
IHVzZSBhbmQgYXN0aG1hIGluIGEgbXVsdGlldGhuaWMgc2FtcGxlIG9mIGFkb2xlc2NlbnRzPC90
aXRsZT48c2Vjb25kYXJ5LXRpdGxlPlByZXYgTWVkPC9zZWNvbmRhcnktdGl0bGU+PGFsdC10aXRs
ZT5QcmV2ZW50aXZlIG1lZGljaW5lPC9hbHQtdGl0bGU+PC90aXRsZXM+PGFsdC1wZXJpb2RpY2Fs
PjxmdWxsLXRpdGxlPlByZXZlbnRpdmUgTWVkaWNpbmU8L2Z1bGwtdGl0bGU+PC9hbHQtcGVyaW9k
aWNhbD48cGFnZXM+MjI2LTIzMTwvcGFnZXM+PHZvbHVtZT4xMDU8L3ZvbHVtZT48ZWRpdGlvbj4y
MDE3LzEwLzAyPC9lZGl0aW9uPjxrZXl3b3Jkcz48a2V5d29yZD5BZG9sZXNjZW50czwva2V5d29y
ZD48a2V5d29yZD5Bc3RobWE8L2tleXdvcmQ+PGtleXdvcmQ+RS1jaWdhcmV0dGVzPC9rZXl3b3Jk
PjxrZXl3b3JkPkV0aG5pY2l0eTwva2V5d29yZD48L2tleXdvcmRzPjxkYXRlcz48eWVhcj4yMDE3
PC95ZWFyPjxwdWItZGF0ZXM+PGRhdGU+RGVjPC9kYXRlPjwvcHViLWRhdGVzPjwvZGF0ZXM+PGlz
Ym4+MDA5MS03NDM1PC9pc2JuPjxhY2Nlc3Npb24tbnVtPjI4OTY0ODUwPC9hY2Nlc3Npb24tbnVt
Pjx1cmxzPjwvdXJscz48Y3VzdG9tMj5QTUM1NjUzNDMxPC9jdXN0b20yPjxjdXN0b202Pk5JSE1T
OTA4NzQ3PC9jdXN0b202PjxlbGVjdHJvbmljLXJlc291cmNlLW51bT4xMC4xMDE2L2oueXBtZWQu
MjAxNy4wOS4wMjM8L2VsZWN0cm9uaWMtcmVzb3VyY2UtbnVtPjxyZW1vdGUtZGF0YWJhc2UtcHJv
dmlkZXI+TkxNPC9yZW1vdGUtZGF0YWJhc2UtcHJvdmlkZXI+PGxhbmd1YWdlPmVuZzwvbGFuZ3Vh
Z2U+PC9yZWNvcmQ+PC9DaXRlPjxDaXRlPjxBdXRob3I+S2ltPC9BdXRob3I+PFllYXI+MjAxNzwv
WWVhcj48UmVjTnVtPjcwMjwvUmVjTnVtPjxyZWNvcmQ+PHJlYy1udW1iZXI+NzAyPC9yZWMtbnVt
YmVyPjxmb3JlaWduLWtleXM+PGtleSBhcHA9IkVOIiBkYi1pZD0iOXZzOXB6ZnpuYXB4cGhlZmEy
OHh6dzk1c2Y1YXYwc3Y5cmR6IiB0aW1lc3RhbXA9IjE1MjExNTkzNTIiPjcwMjwva2V5PjxrZXkg
YXBwPSJFTldlYiIgZGItaWQ9IiI+MDwva2V5PjwvZm9yZWlnbi1rZXlzPjxyZWYtdHlwZSBuYW1l
PSJKb3VybmFsIEFydGljbGUiPjE3PC9yZWYtdHlwZT48Y29udHJpYnV0b3JzPjxhdXRob3JzPjxh
dXRob3I+S2ltLCBTLiBZLjwvYXV0aG9yPjxhdXRob3I+U2ltLCBTLjwvYXV0aG9yPjxhdXRob3I+
Q2hvaSwgSC4gRy48L2F1dGhvcj48L2F1dGhvcnM+PC9jb250cmlidXRvcnM+PGF1dGgtYWRkcmVz
cz5EZXBhcnRtZW50IG9mIE90b3JoaW5vbGFyeW5nb2xvZ3ktSGVhZCAmYW1wOyBOZWNrIFN1cmdl
cnksIENIQSBCdW5kYW5nIE1lZGljYWwgQ2VudGVyLCBDSEEgVW5pdmVyc2l0eSwgU2VvbmduYW0s
IEtvcmVhLiYjeEQ7RGVwYXJ0bWVudCBvZiBTdGF0aXN0aWNzLCBIYWxseW0gVW5pdmVyc2l0eSwg
Q2h1bmNoZW9uLCBLb3JlYS4mI3hEO0RlcGFydG1lbnQgb2YgT3Rvcmhpbm9sYXJ5bmdvbG9neS1I
ZWFkICZhbXA7IE5lY2sgU3VyZ2VyeSwgSGFsbHltIFVuaXZlcnNpdHkgU2FjcmVkIEhlYXJ0IEhv
c3BpdGFsLCBBbnlhbmcsIEtvcmVhLiBwdXBlbkBuYXZlci5jb20uPC9hdXRoLWFkZHJlc3M+PHRp
dGxlcz48dGl0bGU+QWN0aXZlLCBwYXNzaXZlLCBhbmQgZWxlY3Ryb25pYyBjaWdhcmV0dGUgc21v
a2luZyBpcyBhc3NvY2lhdGVkIHdpdGggYXN0aG1hIGluIGFkb2xlc2NlbnRzPC90aXRsZT48c2Vj
b25kYXJ5LXRpdGxlPlNjaSBSZXA8L3NlY29uZGFyeS10aXRsZT48YWx0LXRpdGxlPlNjaWVudGlm
aWMgcmVwb3J0czwvYWx0LXRpdGxlPjwvdGl0bGVzPjxhbHQtcGVyaW9kaWNhbD48ZnVsbC10aXRs
ZT5TY2llbnRpZmljIFJlcG9ydHM8L2Z1bGwtdGl0bGU+PC9hbHQtcGVyaW9kaWNhbD48cGFnZXM+
MTc3ODk8L3BhZ2VzPjx2b2x1bWU+Nzwvdm9sdW1lPjxudW1iZXI+MTwvbnVtYmVyPjxlZGl0aW9u
PjIwMTcvMTIvMjE8L2VkaXRpb24+PGRhdGVzPjx5ZWFyPjIwMTc8L3llYXI+PHB1Yi1kYXRlcz48
ZGF0ZT5EZWMgMTk8L2RhdGU+PC9wdWItZGF0ZXM+PC9kYXRlcz48aXNibj4yMDQ1LTIzMjI8L2lz
Ym4+PGFjY2Vzc2lvbi1udW0+MjkyNTkyMjE8L2FjY2Vzc2lvbi1udW0+PHVybHM+PC91cmxzPjxj
dXN0b20yPlBNQzU3MzY2ODk8L2N1c3RvbTI+PGVsZWN0cm9uaWMtcmVzb3VyY2UtbnVtPjEwLjEw
MzgvczQxNTk4LTAxNy0xNzk1OC15PC9lbGVjdHJvbmljLXJlc291cmNlLW51bT48cmVtb3RlLWRh
dGFiYXNlLXByb3ZpZGVyPk5MTTwvcmVtb3RlLWRhdGFiYXNlLXByb3ZpZGVyPjxsYW5ndWFnZT5l
bmc8L2xhbmd1YWdlPjwvcmVjb3JkPjwvQ2l0ZT48L0VuZE5vdGU+AG==
</w:fldData>
            </w:fldChar>
          </w:r>
          <w:r>
            <w:instrText xml:space="preserve"> ADDIN EN.CITE </w:instrText>
          </w:r>
          <w:r>
            <w:fldChar w:fldCharType="begin">
              <w:fldData xml:space="preserve">PEVuZE5vdGU+PENpdGU+PEF1dGhvcj5TY2h3ZWl0emVyPC9BdXRob3I+PFllYXI+MjAxNzwvWWVh
cj48UmVjTnVtPjg4NzwvUmVjTnVtPjxEaXNwbGF5VGV4dD4oS2ltLCBTaW0gZXQgYWwuIDIwMTcs
IFNjaHdlaXR6ZXIsIFdpbGxzIGV0IGFsLiAyMDE3KTwvRGlzcGxheVRleHQ+PHJlY29yZD48cmVj
LW51bWJlcj44ODc8L3JlYy1udW1iZXI+PGZvcmVpZ24ta2V5cz48a2V5IGFwcD0iRU4iIGRiLWlk
PSI5dnM5cHpmem5hcHhwaGVmYTI4eHp3OTVzZjVhdjBzdjlyZHoiIHRpbWVzdGFtcD0iMTUyMTE1
OTM4NSI+ODg3PC9rZXk+PC9mb3JlaWduLWtleXM+PHJlZi10eXBlIG5hbWU9IkpvdXJuYWwgQXJ0
aWNsZSI+MTc8L3JlZi10eXBlPjxjb250cmlidXRvcnM+PGF1dGhvcnM+PGF1dGhvcj5TY2h3ZWl0
emVyLCBSLiBKLjwvYXV0aG9yPjxhdXRob3I+V2lsbHMsIFQuIEEuPC9hdXRob3I+PGF1dGhvcj5U
YW0sIEUuPC9hdXRob3I+PGF1dGhvcj5QYWdhbm8sIEkuPC9hdXRob3I+PGF1dGhvcj5DaG9pLCBL
LjwvYXV0aG9yPjwvYXV0aG9ycz48L2NvbnRyaWJ1dG9ycz48YXV0aC1hZGRyZXNzPk9mZmljZSBv
ZiBQdWJsaWMgSGVhbHRoIFN0dWRpZXMsIFVuaXZlcnNpdHkgb2YgSGF3YWlpIGF0IE1hbm9hLCBI
b25vbHVsdSwgSEksIFVTQS4gRWxlY3Ryb25pYyBhZGRyZXNzOiByandpbGxpYUBoYXdhaWkuZWR1
LiYjeEQ7Q2FuY2VyIFByZXZlbnRpb24gaW4gdGhlIFBhY2lmaWMgUHJvZ3JhbSwgVW5pdmVyc2l0
eSBvZiBIYXdhaWkgQ2FuY2VyIENlbnRlciwgSG9ub2x1bHUsIEhJLCBVU0EuJiN4RDtEZXBhcnRt
ZW50IG9mIE1lZGljaW5lLCBKb2huIEEuIEJ1cm5zIFNjaG9vbCBvZiBNZWRpY2luZSwgSG9ub2x1
bHUsIEhJLCBVU0EuJiN4RDtEaXZpc2lvbiBvZiBJbnRyYW11cmFsIFJlc2VhcmNoLCBOYXRpb25h
bCBJbnN0aXR1dGUgb24gTWlub3JpdHkgSGVhbHRoIGFuZCBIZWFsdGggRGlzcGFyaXRpZXMsIEJl
dGhlc2RhLCBNRCwgVVNBLjwvYXV0aC1hZGRyZXNzPjx0aXRsZXM+PHRpdGxlPkUtY2lnYXJldHRl
IHVzZSBhbmQgYXN0aG1hIGluIGEgbXVsdGlldGhuaWMgc2FtcGxlIG9mIGFkb2xlc2NlbnRzPC90
aXRsZT48c2Vjb25kYXJ5LXRpdGxlPlByZXYgTWVkPC9zZWNvbmRhcnktdGl0bGU+PGFsdC10aXRs
ZT5QcmV2ZW50aXZlIG1lZGljaW5lPC9hbHQtdGl0bGU+PC90aXRsZXM+PGFsdC1wZXJpb2RpY2Fs
PjxmdWxsLXRpdGxlPlByZXZlbnRpdmUgTWVkaWNpbmU8L2Z1bGwtdGl0bGU+PC9hbHQtcGVyaW9k
aWNhbD48cGFnZXM+MjI2LTIzMTwvcGFnZXM+PHZvbHVtZT4xMDU8L3ZvbHVtZT48ZWRpdGlvbj4y
MDE3LzEwLzAyPC9lZGl0aW9uPjxrZXl3b3Jkcz48a2V5d29yZD5BZG9sZXNjZW50czwva2V5d29y
ZD48a2V5d29yZD5Bc3RobWE8L2tleXdvcmQ+PGtleXdvcmQ+RS1jaWdhcmV0dGVzPC9rZXl3b3Jk
PjxrZXl3b3JkPkV0aG5pY2l0eTwva2V5d29yZD48L2tleXdvcmRzPjxkYXRlcz48eWVhcj4yMDE3
PC95ZWFyPjxwdWItZGF0ZXM+PGRhdGU+RGVjPC9kYXRlPjwvcHViLWRhdGVzPjwvZGF0ZXM+PGlz
Ym4+MDA5MS03NDM1PC9pc2JuPjxhY2Nlc3Npb24tbnVtPjI4OTY0ODUwPC9hY2Nlc3Npb24tbnVt
Pjx1cmxzPjwvdXJscz48Y3VzdG9tMj5QTUM1NjUzNDMxPC9jdXN0b20yPjxjdXN0b202Pk5JSE1T
OTA4NzQ3PC9jdXN0b202PjxlbGVjdHJvbmljLXJlc291cmNlLW51bT4xMC4xMDE2L2oueXBtZWQu
MjAxNy4wOS4wMjM8L2VsZWN0cm9uaWMtcmVzb3VyY2UtbnVtPjxyZW1vdGUtZGF0YWJhc2UtcHJv
dmlkZXI+TkxNPC9yZW1vdGUtZGF0YWJhc2UtcHJvdmlkZXI+PGxhbmd1YWdlPmVuZzwvbGFuZ3Vh
Z2U+PC9yZWNvcmQ+PC9DaXRlPjxDaXRlPjxBdXRob3I+S2ltPC9BdXRob3I+PFllYXI+MjAxNzwv
WWVhcj48UmVjTnVtPjcwMjwvUmVjTnVtPjxyZWNvcmQ+PHJlYy1udW1iZXI+NzAyPC9yZWMtbnVt
YmVyPjxmb3JlaWduLWtleXM+PGtleSBhcHA9IkVOIiBkYi1pZD0iOXZzOXB6ZnpuYXB4cGhlZmEy
OHh6dzk1c2Y1YXYwc3Y5cmR6IiB0aW1lc3RhbXA9IjE1MjExNTkzNTIiPjcwMjwva2V5PjxrZXkg
YXBwPSJFTldlYiIgZGItaWQ9IiI+MDwva2V5PjwvZm9yZWlnbi1rZXlzPjxyZWYtdHlwZSBuYW1l
PSJKb3VybmFsIEFydGljbGUiPjE3PC9yZWYtdHlwZT48Y29udHJpYnV0b3JzPjxhdXRob3JzPjxh
dXRob3I+S2ltLCBTLiBZLjwvYXV0aG9yPjxhdXRob3I+U2ltLCBTLjwvYXV0aG9yPjxhdXRob3I+
Q2hvaSwgSC4gRy48L2F1dGhvcj48L2F1dGhvcnM+PC9jb250cmlidXRvcnM+PGF1dGgtYWRkcmVz
cz5EZXBhcnRtZW50IG9mIE90b3JoaW5vbGFyeW5nb2xvZ3ktSGVhZCAmYW1wOyBOZWNrIFN1cmdl
cnksIENIQSBCdW5kYW5nIE1lZGljYWwgQ2VudGVyLCBDSEEgVW5pdmVyc2l0eSwgU2VvbmduYW0s
IEtvcmVhLiYjeEQ7RGVwYXJ0bWVudCBvZiBTdGF0aXN0aWNzLCBIYWxseW0gVW5pdmVyc2l0eSwg
Q2h1bmNoZW9uLCBLb3JlYS4mI3hEO0RlcGFydG1lbnQgb2YgT3Rvcmhpbm9sYXJ5bmdvbG9neS1I
ZWFkICZhbXA7IE5lY2sgU3VyZ2VyeSwgSGFsbHltIFVuaXZlcnNpdHkgU2FjcmVkIEhlYXJ0IEhv
c3BpdGFsLCBBbnlhbmcsIEtvcmVhLiBwdXBlbkBuYXZlci5jb20uPC9hdXRoLWFkZHJlc3M+PHRp
dGxlcz48dGl0bGU+QWN0aXZlLCBwYXNzaXZlLCBhbmQgZWxlY3Ryb25pYyBjaWdhcmV0dGUgc21v
a2luZyBpcyBhc3NvY2lhdGVkIHdpdGggYXN0aG1hIGluIGFkb2xlc2NlbnRzPC90aXRsZT48c2Vj
b25kYXJ5LXRpdGxlPlNjaSBSZXA8L3NlY29uZGFyeS10aXRsZT48YWx0LXRpdGxlPlNjaWVudGlm
aWMgcmVwb3J0czwvYWx0LXRpdGxlPjwvdGl0bGVzPjxhbHQtcGVyaW9kaWNhbD48ZnVsbC10aXRs
ZT5TY2llbnRpZmljIFJlcG9ydHM8L2Z1bGwtdGl0bGU+PC9hbHQtcGVyaW9kaWNhbD48cGFnZXM+
MTc3ODk8L3BhZ2VzPjx2b2x1bWU+Nzwvdm9sdW1lPjxudW1iZXI+MTwvbnVtYmVyPjxlZGl0aW9u
PjIwMTcvMTIvMjE8L2VkaXRpb24+PGRhdGVzPjx5ZWFyPjIwMTc8L3llYXI+PHB1Yi1kYXRlcz48
ZGF0ZT5EZWMgMTk8L2RhdGU+PC9wdWItZGF0ZXM+PC9kYXRlcz48aXNibj4yMDQ1LTIzMjI8L2lz
Ym4+PGFjY2Vzc2lvbi1udW0+MjkyNTkyMjE8L2FjY2Vzc2lvbi1udW0+PHVybHM+PC91cmxzPjxj
dXN0b20yPlBNQzU3MzY2ODk8L2N1c3RvbTI+PGVsZWN0cm9uaWMtcmVzb3VyY2UtbnVtPjEwLjEw
MzgvczQxNTk4LTAxNy0xNzk1OC15PC9lbGVjdHJvbmljLXJlc291cmNlLW51bT48cmVtb3RlLWRh
dGFiYXNlLXByb3ZpZGVyPk5MTTwvcmVtb3RlLWRhdGFiYXNlLXByb3ZpZGVyPjxsYW5ndWFnZT5l
bmc8L2xhbmd1YWdlPjwvcmVjb3JkPjwvQ2l0ZT48L0VuZE5vdGU+AG==
</w:fldData>
            </w:fldChar>
          </w:r>
          <w:r>
            <w:instrText xml:space="preserve"> ADDIN EN.CITE.DATA </w:instrText>
          </w:r>
          <w:r>
            <w:fldChar w:fldCharType="end"/>
          </w:r>
          <w:r>
            <w:fldChar w:fldCharType="separate"/>
          </w:r>
          <w:r>
            <w:rPr>
              <w:noProof/>
            </w:rPr>
            <w:t>(Kim, Sim et al. 2017, Schweitzer, Wills et al. 2017)</w:t>
          </w:r>
          <w:r>
            <w:fldChar w:fldCharType="end"/>
          </w:r>
          <w:r>
            <w:t xml:space="preserve">, while others considered self-reported bronchitic symptoms </w:t>
          </w:r>
          <w:r>
            <w:fldChar w:fldCharType="begin">
              <w:fldData xml:space="preserve">PEVuZE5vdGU+PENpdGU+PEF1dGhvcj5NY0Nvbm5lbGw8L0F1dGhvcj48WWVhcj4yMDE3PC9ZZWFy
PjxSZWNOdW0+MTQ4NDwvUmVjTnVtPjxEaXNwbGF5VGV4dD4oTWNDb25uZWxsLCBCYXJyaW5ndG9u
LVRyaW1pcyBldCBhbC4gMjAxNyk8L0Rpc3BsYXlUZXh0PjxyZWNvcmQ+PHJlYy1udW1iZXI+MTQ4
NDwvcmVjLW51bWJlcj48Zm9yZWlnbi1rZXlzPjxrZXkgYXBwPSJFTiIgZGItaWQ9Ijl2czlwemZ6
bmFweHBoZWZhMjh4enc5NXNmNWF2MHN2OXJkeiIgdGltZXN0YW1wPSIxNTIxMTU5NDM4Ij4xNDg0
PC9rZXk+PGtleSBhcHA9IkVOV2ViIiBkYi1pZD0iIj4wPC9rZXk+PC9mb3JlaWduLWtleXM+PHJl
Zi10eXBlIG5hbWU9IkpvdXJuYWwgQXJ0aWNsZSI+MTc8L3JlZi10eXBlPjxjb250cmlidXRvcnM+
PGF1dGhvcnM+PGF1dGhvcj5NY0Nvbm5lbGwsIFIuPC9hdXRob3I+PGF1dGhvcj5CYXJyaW5ndG9u
LVRyaW1pcywgSi4gTC48L2F1dGhvcj48YXV0aG9yPldhbmcsIEsuPC9hdXRob3I+PGF1dGhvcj5V
cm1hbiwgUi48L2F1dGhvcj48YXV0aG9yPkhvbmcsIEguPC9hdXRob3I+PGF1dGhvcj5Vbmdlciwg
Si48L2F1dGhvcj48YXV0aG9yPlNhbWV0LCBKLjwvYXV0aG9yPjxhdXRob3I+TGV2ZW50aGFsLCBB
LjwvYXV0aG9yPjxhdXRob3I+QmVyaGFuZSwgSy48L2F1dGhvcj48L2F1dGhvcnM+PC9jb250cmli
dXRvcnM+PGF1dGgtYWRkcmVzcz4xIERlcGFydG1lbnQgb2YgUHJldmVudGl2ZSBNZWRpY2luZSwg
S2VjayBTY2hvb2wgb2YgTWVkaWNpbmUsIFVuaXZlcnNpdHkgb2YgU291dGhlcm4gQ2FsaWZvcm5p
YSwgTG9zIEFuZ2VsZXMsIENhbGlmb3JuaWE7IGFuZC4mI3hEOzIgRGl2aXNpb24gb2YgUHVsbW9u
YXJ5IE1lZGljaW5lLCBEZXBhcnRtZW50IG9mIFBlZGlhdHJpY3MsIENoaWxkcmVuJmFwb3M7cyBI
b3NwaXRhbCBMb3MgQW5nZWxlcywgTG9zIEFuZ2VsZXMsIENhbGlmb3JuaWEuPC9hdXRoLWFkZHJl
c3M+PHRpdGxlcz48dGl0bGU+RWxlY3Ryb25pYyBDaWdhcmV0dGUgVXNlIGFuZCBSZXNwaXJhdG9y
eSBTeW1wdG9tcyBpbiBBZG9sZXNjZW50czwvdGl0bGU+PHNlY29uZGFyeS10aXRsZT5BbSBKIFJl
c3BpciBDcml0IENhcmUgTWVkPC9zZWNvbmRhcnktdGl0bGU+PGFsdC10aXRsZT5BbWVyaWNhbiBq
b3VybmFsIG9mIHJlc3BpcmF0b3J5IGFuZCBjcml0aWNhbCBjYXJlIG1lZGljaW5lPC9hbHQtdGl0
bGU+PC90aXRsZXM+PHBlcmlvZGljYWw+PGZ1bGwtdGl0bGU+QW0gSiBSZXNwaXIgQ3JpdCBDYXJl
IE1lZDwvZnVsbC10aXRsZT48YWJici0xPkFtZXJpY2FuIGpvdXJuYWwgb2YgcmVzcGlyYXRvcnkg
YW5kIGNyaXRpY2FsIGNhcmUgbWVkaWNpbmU8L2FiYnItMT48L3BlcmlvZGljYWw+PGFsdC1wZXJp
b2RpY2FsPjxmdWxsLXRpdGxlPkFtIEogUmVzcGlyIENyaXQgQ2FyZSBNZWQ8L2Z1bGwtdGl0bGU+
PGFiYnItMT5BbWVyaWNhbiBqb3VybmFsIG9mIHJlc3BpcmF0b3J5IGFuZCBjcml0aWNhbCBjYXJl
IG1lZGljaW5lPC9hYmJyLTE+PC9hbHQtcGVyaW9kaWNhbD48cGFnZXM+MTA0My0xMDQ5PC9wYWdl
cz48dm9sdW1lPjE5NTwvdm9sdW1lPjxudW1iZXI+ODwvbnVtYmVyPjxlZGl0aW9uPjIwMTYvMTEv
MDM8L2VkaXRpb24+PGtleXdvcmRzPjxrZXl3b3JkPkFkb2xlc2NlbnQ8L2tleXdvcmQ+PGtleXdv
cmQ+QnJvbmNoaXRpcywgQ2hyb25pYy8qZXBpZGVtaW9sb2d5PC9rZXl3b3JkPjxrZXl3b3JkPkNh
bGlmb3JuaWEvZXBpZGVtaW9sb2d5PC9rZXl3b3JkPjxrZXl3b3JkPkVsZWN0cm9uaWMgTmljb3Rp
bmUgRGVsaXZlcnkgU3lzdGVtcy8qc3RhdGlzdGljcyAmYW1wOyBudW1lcmljYWwgZGF0YTwva2V5
d29yZD48a2V5d29yZD5GZW1hbGU8L2tleXdvcmQ+PGtleXdvcmQ+SGVhbHRoIFN1cnZleXMvKnN0
YXRpc3RpY3MgJmFtcDsgbnVtZXJpY2FsIGRhdGE8L2tleXdvcmQ+PGtleXdvcmQ+SHVtYW5zPC9r
ZXl3b3JkPjxrZXl3b3JkPk1hbGU8L2tleXdvcmQ+PGtleXdvcmQ+T2RkcyBSYXRpbzwva2V5d29y
ZD48a2V5d29yZD5Qcm9zcGVjdGl2ZSBTdHVkaWVzPC9rZXl3b3JkPjxrZXl3b3JkPipSZXNwaXJh
dG9yeSBTb3VuZHM8L2tleXdvcmQ+PGtleXdvcmQ+U2VsZiBSZXBvcnQ8L2tleXdvcmQ+PGtleXdv
cmQ+U3VydmV5cyBhbmQgUXVlc3Rpb25uYWlyZXM8L2tleXdvcmQ+PGtleXdvcmQ+YnJvbmNoaXRp
czwva2V5d29yZD48a2V5d29yZD5lLWNpZ2FyZXR0ZXM8L2tleXdvcmQ+PGtleXdvcmQ+c21va2lu
ZyBpbiB5b3VuZyBhZHVsdHM8L2tleXdvcmQ+PC9rZXl3b3Jkcz48ZGF0ZXM+PHllYXI+MjAxNzwv
eWVhcj48cHViLWRhdGVzPjxkYXRlPkFwciAxNTwvZGF0ZT48L3B1Yi1kYXRlcz48L2RhdGVzPjxp
c2JuPjEwNzMtNDQ5eDwvaXNibj48YWNjZXNzaW9uLW51bT4yNzgwNjIxMTwvYWNjZXNzaW9uLW51
bT48dXJscz48L3VybHM+PGN1c3RvbTI+UE1DNTQyMjY0NzwvY3VzdG9tMj48ZWxlY3Ryb25pYy1y
ZXNvdXJjZS1udW0+MTAuMTE2NC9yY2NtLjIwMTYwNC0wODA0T0M8L2VsZWN0cm9uaWMtcmVzb3Vy
Y2UtbnVtPjxyZW1vdGUtZGF0YWJhc2UtcHJvdmlkZXI+TkxNPC9yZW1vdGUtZGF0YWJhc2UtcHJv
dmlkZXI+PGxhbmd1YWdlPmVuZzwvbGFuZ3VhZ2U+PC9yZWNvcmQ+PC9DaXRlPjwvRW5kTm90ZT4A
</w:fldData>
            </w:fldChar>
          </w:r>
          <w:r>
            <w:instrText xml:space="preserve"> ADDIN EN.CITE </w:instrText>
          </w:r>
          <w:r>
            <w:fldChar w:fldCharType="begin">
              <w:fldData xml:space="preserve">PEVuZE5vdGU+PENpdGU+PEF1dGhvcj5NY0Nvbm5lbGw8L0F1dGhvcj48WWVhcj4yMDE3PC9ZZWFy
PjxSZWNOdW0+MTQ4NDwvUmVjTnVtPjxEaXNwbGF5VGV4dD4oTWNDb25uZWxsLCBCYXJyaW5ndG9u
LVRyaW1pcyBldCBhbC4gMjAxNyk8L0Rpc3BsYXlUZXh0PjxyZWNvcmQ+PHJlYy1udW1iZXI+MTQ4
NDwvcmVjLW51bWJlcj48Zm9yZWlnbi1rZXlzPjxrZXkgYXBwPSJFTiIgZGItaWQ9Ijl2czlwemZ6
bmFweHBoZWZhMjh4enc5NXNmNWF2MHN2OXJkeiIgdGltZXN0YW1wPSIxNTIxMTU5NDM4Ij4xNDg0
PC9rZXk+PGtleSBhcHA9IkVOV2ViIiBkYi1pZD0iIj4wPC9rZXk+PC9mb3JlaWduLWtleXM+PHJl
Zi10eXBlIG5hbWU9IkpvdXJuYWwgQXJ0aWNsZSI+MTc8L3JlZi10eXBlPjxjb250cmlidXRvcnM+
PGF1dGhvcnM+PGF1dGhvcj5NY0Nvbm5lbGwsIFIuPC9hdXRob3I+PGF1dGhvcj5CYXJyaW5ndG9u
LVRyaW1pcywgSi4gTC48L2F1dGhvcj48YXV0aG9yPldhbmcsIEsuPC9hdXRob3I+PGF1dGhvcj5V
cm1hbiwgUi48L2F1dGhvcj48YXV0aG9yPkhvbmcsIEguPC9hdXRob3I+PGF1dGhvcj5Vbmdlciwg
Si48L2F1dGhvcj48YXV0aG9yPlNhbWV0LCBKLjwvYXV0aG9yPjxhdXRob3I+TGV2ZW50aGFsLCBB
LjwvYXV0aG9yPjxhdXRob3I+QmVyaGFuZSwgSy48L2F1dGhvcj48L2F1dGhvcnM+PC9jb250cmli
dXRvcnM+PGF1dGgtYWRkcmVzcz4xIERlcGFydG1lbnQgb2YgUHJldmVudGl2ZSBNZWRpY2luZSwg
S2VjayBTY2hvb2wgb2YgTWVkaWNpbmUsIFVuaXZlcnNpdHkgb2YgU291dGhlcm4gQ2FsaWZvcm5p
YSwgTG9zIEFuZ2VsZXMsIENhbGlmb3JuaWE7IGFuZC4mI3hEOzIgRGl2aXNpb24gb2YgUHVsbW9u
YXJ5IE1lZGljaW5lLCBEZXBhcnRtZW50IG9mIFBlZGlhdHJpY3MsIENoaWxkcmVuJmFwb3M7cyBI
b3NwaXRhbCBMb3MgQW5nZWxlcywgTG9zIEFuZ2VsZXMsIENhbGlmb3JuaWEuPC9hdXRoLWFkZHJl
c3M+PHRpdGxlcz48dGl0bGU+RWxlY3Ryb25pYyBDaWdhcmV0dGUgVXNlIGFuZCBSZXNwaXJhdG9y
eSBTeW1wdG9tcyBpbiBBZG9sZXNjZW50czwvdGl0bGU+PHNlY29uZGFyeS10aXRsZT5BbSBKIFJl
c3BpciBDcml0IENhcmUgTWVkPC9zZWNvbmRhcnktdGl0bGU+PGFsdC10aXRsZT5BbWVyaWNhbiBq
b3VybmFsIG9mIHJlc3BpcmF0b3J5IGFuZCBjcml0aWNhbCBjYXJlIG1lZGljaW5lPC9hbHQtdGl0
bGU+PC90aXRsZXM+PHBlcmlvZGljYWw+PGZ1bGwtdGl0bGU+QW0gSiBSZXNwaXIgQ3JpdCBDYXJl
IE1lZDwvZnVsbC10aXRsZT48YWJici0xPkFtZXJpY2FuIGpvdXJuYWwgb2YgcmVzcGlyYXRvcnkg
YW5kIGNyaXRpY2FsIGNhcmUgbWVkaWNpbmU8L2FiYnItMT48L3BlcmlvZGljYWw+PGFsdC1wZXJp
b2RpY2FsPjxmdWxsLXRpdGxlPkFtIEogUmVzcGlyIENyaXQgQ2FyZSBNZWQ8L2Z1bGwtdGl0bGU+
PGFiYnItMT5BbWVyaWNhbiBqb3VybmFsIG9mIHJlc3BpcmF0b3J5IGFuZCBjcml0aWNhbCBjYXJl
IG1lZGljaW5lPC9hYmJyLTE+PC9hbHQtcGVyaW9kaWNhbD48cGFnZXM+MTA0My0xMDQ5PC9wYWdl
cz48dm9sdW1lPjE5NTwvdm9sdW1lPjxudW1iZXI+ODwvbnVtYmVyPjxlZGl0aW9uPjIwMTYvMTEv
MDM8L2VkaXRpb24+PGtleXdvcmRzPjxrZXl3b3JkPkFkb2xlc2NlbnQ8L2tleXdvcmQ+PGtleXdv
cmQ+QnJvbmNoaXRpcywgQ2hyb25pYy8qZXBpZGVtaW9sb2d5PC9rZXl3b3JkPjxrZXl3b3JkPkNh
bGlmb3JuaWEvZXBpZGVtaW9sb2d5PC9rZXl3b3JkPjxrZXl3b3JkPkVsZWN0cm9uaWMgTmljb3Rp
bmUgRGVsaXZlcnkgU3lzdGVtcy8qc3RhdGlzdGljcyAmYW1wOyBudW1lcmljYWwgZGF0YTwva2V5
d29yZD48a2V5d29yZD5GZW1hbGU8L2tleXdvcmQ+PGtleXdvcmQ+SGVhbHRoIFN1cnZleXMvKnN0
YXRpc3RpY3MgJmFtcDsgbnVtZXJpY2FsIGRhdGE8L2tleXdvcmQ+PGtleXdvcmQ+SHVtYW5zPC9r
ZXl3b3JkPjxrZXl3b3JkPk1hbGU8L2tleXdvcmQ+PGtleXdvcmQ+T2RkcyBSYXRpbzwva2V5d29y
ZD48a2V5d29yZD5Qcm9zcGVjdGl2ZSBTdHVkaWVzPC9rZXl3b3JkPjxrZXl3b3JkPipSZXNwaXJh
dG9yeSBTb3VuZHM8L2tleXdvcmQ+PGtleXdvcmQ+U2VsZiBSZXBvcnQ8L2tleXdvcmQ+PGtleXdv
cmQ+U3VydmV5cyBhbmQgUXVlc3Rpb25uYWlyZXM8L2tleXdvcmQ+PGtleXdvcmQ+YnJvbmNoaXRp
czwva2V5d29yZD48a2V5d29yZD5lLWNpZ2FyZXR0ZXM8L2tleXdvcmQ+PGtleXdvcmQ+c21va2lu
ZyBpbiB5b3VuZyBhZHVsdHM8L2tleXdvcmQ+PC9rZXl3b3Jkcz48ZGF0ZXM+PHllYXI+MjAxNzwv
eWVhcj48cHViLWRhdGVzPjxkYXRlPkFwciAxNTwvZGF0ZT48L3B1Yi1kYXRlcz48L2RhdGVzPjxp
c2JuPjEwNzMtNDQ5eDwvaXNibj48YWNjZXNzaW9uLW51bT4yNzgwNjIxMTwvYWNjZXNzaW9uLW51
bT48dXJscz48L3VybHM+PGN1c3RvbTI+UE1DNTQyMjY0NzwvY3VzdG9tMj48ZWxlY3Ryb25pYy1y
ZXNvdXJjZS1udW0+MTAuMTE2NC9yY2NtLjIwMTYwNC0wODA0T0M8L2VsZWN0cm9uaWMtcmVzb3Vy
Y2UtbnVtPjxyZW1vdGUtZGF0YWJhc2UtcHJvdmlkZXI+TkxNPC9yZW1vdGUtZGF0YWJhc2UtcHJv
dmlkZXI+PGxhbmd1YWdlPmVuZzwvbGFuZ3VhZ2U+PC9yZWNvcmQ+PC9DaXRlPjwvRW5kTm90ZT4A
</w:fldData>
            </w:fldChar>
          </w:r>
          <w:r>
            <w:instrText xml:space="preserve"> ADDIN EN.CITE.DATA </w:instrText>
          </w:r>
          <w:r>
            <w:fldChar w:fldCharType="end"/>
          </w:r>
          <w:r>
            <w:fldChar w:fldCharType="separate"/>
          </w:r>
          <w:r>
            <w:rPr>
              <w:noProof/>
            </w:rPr>
            <w:t>(McConnell, Barrington-Trimis et al. 2017)</w:t>
          </w:r>
          <w:r>
            <w:fldChar w:fldCharType="end"/>
          </w:r>
          <w:r>
            <w:t xml:space="preserve"> and breathing/coughing </w:t>
          </w:r>
          <w:r>
            <w:fldChar w:fldCharType="begin">
              <w:fldData xml:space="preserve">PEVuZE5vdGU+PENpdGU+PEF1dGhvcj5Qb2xvc2E8L0F1dGhvcj48WWVhcj4yMDE3PC9ZZWFyPjxS
ZWNOdW0+MTg2ODwvUmVjTnVtPjxEaXNwbGF5VGV4dD4oR3VjaHQsIEFkcmlhZW5zIGV0IGFsLiAy
MDE3LCBQb2xvc2EsIENpYmVsbGEgZXQgYWwuIDIwMTcpPC9EaXNwbGF5VGV4dD48cmVjb3JkPjxy
ZWMtbnVtYmVyPjE4Njg8L3JlYy1udW1iZXI+PGZvcmVpZ24ta2V5cz48a2V5IGFwcD0iRU4iIGRi
LWlkPSI5dnM5cHpmem5hcHhwaGVmYTI4eHp3OTVzZjVhdjBzdjlyZHoiIHRpbWVzdGFtcD0iMTUy
MTE1OTQ4NCI+MTg2ODwva2V5PjwvZm9yZWlnbi1rZXlzPjxyZWYtdHlwZSBuYW1lPSJKb3VybmFs
IEFydGljbGUiPjE3PC9yZWYtdHlwZT48Y29udHJpYnV0b3JzPjxhdXRob3JzPjxhdXRob3I+UG9s
b3NhLCBSaWNjYXJkbzwvYXV0aG9yPjxhdXRob3I+Q2liZWxsYSwgRmFiaW88L2F1dGhvcj48YXV0
aG9yPkNhcG9ubmV0dG8sIFBhc3F1YWxlPC9hdXRob3I+PGF1dGhvcj5NYWdsaWEsIE1hcmlsZW5h
PC9hdXRob3I+PGF1dGhvcj5UYXNoa2luLCBEb25hbGQ8L2F1dGhvcj48L2F1dGhvcnM+PC9jb250
cmlidXRvcnM+PHRpdGxlcz48dGl0bGU+SGVhbHRoIGltcGFjdCBvZiBlLWNpZ2FyZXR0ZXM6IGEg
cHJvc3BlY3RpdmUgMy41LXllYXIgc3R1ZHkgb2YgcmVndWxhciB1c2VycyB3aG8gaGF2ZSBuZXZl
ciBzbW9rZWQ8L3RpdGxlPjxzZWNvbmRhcnktdGl0bGU+UmVzcGlyb2xvZ3k8L3NlY29uZGFyeS10
aXRsZT48L3RpdGxlcz48cGVyaW9kaWNhbD48ZnVsbC10aXRsZT5SZXNwaXJvbG9neTwvZnVsbC10
aXRsZT48YWJici0xPlJlc3Bpcm9sb2d5IChDYXJsdG9uLCBWaWMuKTwvYWJici0xPjwvcGVyaW9k
aWNhbD48cGFnZXM+MjItMjM8L3BhZ2VzPjx2b2x1bWU+MjI8L3ZvbHVtZT48ZGF0ZXM+PHllYXI+
MjAxNzwveWVhcj48cHViLWRhdGVzPjxkYXRlPk5vdjwvZGF0ZT48L3B1Yi1kYXRlcz48L2RhdGVz
Pjxpc2JuPjEzMjMtNzc5OTwvaXNibj48YWNjZXNzaW9uLW51bT5XT1M6MDAwNDE1OTI1NzAwMDQ2
PC9hY2Nlc3Npb24tbnVtPjx1cmxzPjxyZWxhdGVkLXVybHM+PHVybD4mbHQ7R28gdG8gSVNJJmd0
OzovL1dPUzowMDA0MTU5MjU3MDAwNDY8L3VybD48L3JlbGF0ZWQtdXJscz48L3VybHM+PC9yZWNv
cmQ+PC9DaXRlPjxDaXRlPjxBdXRob3I+R3VjaHQ8L0F1dGhvcj48WWVhcj4yMDE3PC9ZZWFyPjxS
ZWNOdW0+MTAyMTwvUmVjTnVtPjxyZWNvcmQ+PHJlYy1udW1iZXI+MTAyMTwvcmVjLW51bWJlcj48
Zm9yZWlnbi1rZXlzPjxrZXkgYXBwPSJFTiIgZGItaWQ9Ijl2czlwemZ6bmFweHBoZWZhMjh4enc5
NXNmNWF2MHN2OXJkeiIgdGltZXN0YW1wPSIxNTIxMTU5Mzk3Ij4xMDIxPC9rZXk+PGtleSBhcHA9
IkVOV2ViIiBkYi1pZD0iIj4wPC9rZXk+PC9mb3JlaWduLWtleXM+PHJlZi10eXBlIG5hbWU9Ikpv
dXJuYWwgQXJ0aWNsZSI+MTc8L3JlZi10eXBlPjxjb250cmlidXRvcnM+PGF1dGhvcnM+PGF1dGhv
cj5HdWNodCwgRC4gVi48L2F1dGhvcj48YXV0aG9yPkFkcmlhZW5zLCBLLjwvYXV0aG9yPjxhdXRo
b3I+QmFleWVucywgRi48L2F1dGhvcj48L2F1dGhvcnM+PC9jb250cmlidXRvcnM+PGF1dGgtYWRk
cmVzcz5BcHBsaWVkIFBzeWNob2xvZ3kgVW5pdCwgVGhvbWFzIE1vcmUgTWVjaGVsZW4tQW50d2Vy
cCBVbml2ZXJzaXR5IENvbGxlZ2UsIE1vbGVuc3RyYWF0IDgsIDIwMTggQW50d2VycCwgQmVsZ2l1
bS4gZGluc2thLnZhbmd1Y2h0QHRob21hc21vcmUuYmUuJiN4RDtGYWN1bHR5IG9mIFBzeWNob2xv
Z3kgYW5kIEVkdWNhdGlvbmFsIFNjaWVuY2VzLCBLVSBMZXV2ZW4tVW5pdmVyc2l0eSBvZiBMZXV2
ZW4sIFRpZW5zZXN0cmFhdCAxMDIsIDMwMDAgTGV1dmVuLCBCZWxnaXVtLiBkaW5za2EudmFuZ3Vj
aHRAdGhvbWFzbW9yZS5iZS4mI3hEO0ZhY3VsdHkgb2YgUHN5Y2hvbG9neSBhbmQgRWR1Y2F0aW9u
YWwgU2NpZW5jZXMsIEtVIExldXZlbi1Vbml2ZXJzaXR5IG9mIExldXZlbiwgVGllbnNlc3RyYWF0
IDEwMiwgMzAwMCBMZXV2ZW4sIEJlbGdpdW0uIGthcm9saWVuLmFkcmlhZW5zQGt1bGV1dmVuLmJl
LiYjeEQ7RmFjdWx0eSBvZiBQc3ljaG9sb2d5IGFuZCBFZHVjYXRpb25hbCBTY2llbmNlcywgS1Ug
TGV1dmVuLVVuaXZlcnNpdHkgb2YgTGV1dmVuLCBUaWVuc2VzdHJhYXQgMTAyLCAzMDAwIExldXZl
biwgQmVsZ2l1bS4gZnJhbmsuYmFleWVuc0BrdWxldXZlbi5iZS48L2F1dGgtYWRkcmVzcz48dGl0
bGVzPjx0aXRsZT5PbmxpbmUgVmFwZSBTaG9wIEN1c3RvbWVycyBXaG8gVXNlIEUtQ2lnYXJldHRl
cyBSZXBvcnQgQWJzdGluZW5jZSBmcm9tIFNtb2tpbmcgYW5kIEltcHJvdmVkIFF1YWxpdHkgb2Yg
TGlmZSwgQnV0IGEgU3Vic3RhbnRpYWwgTWlub3JpdHkgU3RpbGwgSGF2ZSBWYXBpbmctUmVsYXRl
ZCBIZWFsdGggQ29uY2VybnM8L3RpdGxlPjxzZWNvbmRhcnktdGl0bGU+SW50IEogRW52aXJvbiBS
ZXMgUHVibGljIEhlYWx0aDwvc2Vjb25kYXJ5LXRpdGxlPjxhbHQtdGl0bGU+SW50ZXJuYXRpb25h
bCBqb3VybmFsIG9mIGVudmlyb25tZW50YWwgcmVzZWFyY2ggYW5kIHB1YmxpYyBoZWFsdGg8L2Fs
dC10aXRsZT48L3RpdGxlcz48YWx0LXBlcmlvZGljYWw+PGZ1bGwtdGl0bGU+SW50ZXJuYXRpb25h
bCBKb3VybmFsIG9mIEVudmlyb25tZW50YWwgUmVzZWFyY2ggYW5kIFB1YmxpYyBIZWFsdGg8L2Z1
bGwtdGl0bGU+PC9hbHQtcGVyaW9kaWNhbD48dm9sdW1lPjE0PC92b2x1bWU+PG51bWJlcj43PC9u
dW1iZXI+PGVkaXRpb24+MjAxNy8wNy8xODwvZWRpdGlvbj48a2V5d29yZHM+PGtleXdvcmQ+QWR1
bHQ8L2tleXdvcmQ+PGtleXdvcmQ+KkVsZWN0cm9uaWMgTmljb3RpbmUgRGVsaXZlcnkgU3lzdGVt
czwva2V5d29yZD48a2V5d29yZD5GZW1hbGU8L2tleXdvcmQ+PGtleXdvcmQ+SHVtYW5zPC9rZXl3
b3JkPjxrZXl3b3JkPk1hbGU8L2tleXdvcmQ+PGtleXdvcmQ+TWlkZGxlIEFnZWQ8L2tleXdvcmQ+
PGtleXdvcmQ+TmV0aGVybGFuZHM8L2tleXdvcmQ+PGtleXdvcmQ+Tmljb3RpbmUvYWRtaW5pc3Ry
YXRpb24gJmFtcDsgZG9zYWdlPC9rZXl3b3JkPjxrZXl3b3JkPlBlcmNlcHRpb248L2tleXdvcmQ+
PGtleXdvcmQ+UXVhbGl0eSBJbXByb3ZlbWVudDwva2V5d29yZD48a2V5d29yZD5RdWFsaXR5IG9m
IExpZmU8L2tleXdvcmQ+PGtleXdvcmQ+U21va2luZyBDZXNzYXRpb24vKm1ldGhvZHM8L2tleXdv
cmQ+PGtleXdvcmQ+VG9iYWNjbyBTbW9raW5nL3RoZXJhcHk8L2tleXdvcmQ+PGtleXdvcmQ+VG9i
YWNjbyBVc2UgRGlzb3JkZXIvcHN5Y2hvbG9neS90aGVyYXB5PC9rZXl3b3JkPjxrZXl3b3JkPipW
YXBpbmcvcHN5Y2hvbG9neTwva2V5d29yZD48a2V5d29yZD4qZWxlY3Ryb25pYyBjaWdhcmV0dGU8
L2tleXdvcmQ+PGtleXdvcmQ+Km9ubGluZSB2YXBlIHNob3AgY3VzdG9tZXJzPC9rZXl3b3JkPjxr
ZXl3b3JkPipwZXJjZXB0aW9uPC9rZXl3b3JkPjxrZXl3b3JkPipzbW9raW5nIGNlc3NhdGlvbjwv
a2V5d29yZD48a2V5d29yZD4qdmFwaW5nPC9rZXl3b3JkPjxrZXl3b3JkPmFkdm9jYXRlcyBmb3Ig
ZS1jaWctYmFzZWQgVEhSLjwva2V5d29yZD48L2tleXdvcmRzPjxkYXRlcz48eWVhcj4yMDE3PC95
ZWFyPjxwdWItZGF0ZXM+PGRhdGU+SnVsIDE3PC9kYXRlPjwvcHViLWRhdGVzPjwvZGF0ZXM+PGlz
Ym4+MTY2MC00NjAxPC9pc2JuPjxhY2Nlc3Npb24tbnVtPjI4NzE0OTE0PC9hY2Nlc3Npb24tbnVt
Pjx1cmxzPjwvdXJscz48Y3VzdG9tMj5QTUM1NTUxMjM2PC9jdXN0b20yPjxlbGVjdHJvbmljLXJl
c291cmNlLW51bT4xMC4zMzkwL2lqZXJwaDE0MDcwNzk4PC9lbGVjdHJvbmljLXJlc291cmNlLW51
bT48cmVtb3RlLWRhdGFiYXNlLXByb3ZpZGVyPk5MTTwvcmVtb3RlLWRhdGFiYXNlLXByb3ZpZGVy
PjxsYW5ndWFnZT5lbmc8L2xhbmd1YWdlPjwvcmVjb3JkPjwvQ2l0ZT48L0VuZE5vdGU+AG==
</w:fldData>
            </w:fldChar>
          </w:r>
          <w:r>
            <w:instrText xml:space="preserve"> ADDIN EN.CITE </w:instrText>
          </w:r>
          <w:r>
            <w:fldChar w:fldCharType="begin">
              <w:fldData xml:space="preserve">PEVuZE5vdGU+PENpdGU+PEF1dGhvcj5Qb2xvc2E8L0F1dGhvcj48WWVhcj4yMDE3PC9ZZWFyPjxS
ZWNOdW0+MTg2ODwvUmVjTnVtPjxEaXNwbGF5VGV4dD4oR3VjaHQsIEFkcmlhZW5zIGV0IGFsLiAy
MDE3LCBQb2xvc2EsIENpYmVsbGEgZXQgYWwuIDIwMTcpPC9EaXNwbGF5VGV4dD48cmVjb3JkPjxy
ZWMtbnVtYmVyPjE4Njg8L3JlYy1udW1iZXI+PGZvcmVpZ24ta2V5cz48a2V5IGFwcD0iRU4iIGRi
LWlkPSI5dnM5cHpmem5hcHhwaGVmYTI4eHp3OTVzZjVhdjBzdjlyZHoiIHRpbWVzdGFtcD0iMTUy
MTE1OTQ4NCI+MTg2ODwva2V5PjwvZm9yZWlnbi1rZXlzPjxyZWYtdHlwZSBuYW1lPSJKb3VybmFs
IEFydGljbGUiPjE3PC9yZWYtdHlwZT48Y29udHJpYnV0b3JzPjxhdXRob3JzPjxhdXRob3I+UG9s
b3NhLCBSaWNjYXJkbzwvYXV0aG9yPjxhdXRob3I+Q2liZWxsYSwgRmFiaW88L2F1dGhvcj48YXV0
aG9yPkNhcG9ubmV0dG8sIFBhc3F1YWxlPC9hdXRob3I+PGF1dGhvcj5NYWdsaWEsIE1hcmlsZW5h
PC9hdXRob3I+PGF1dGhvcj5UYXNoa2luLCBEb25hbGQ8L2F1dGhvcj48L2F1dGhvcnM+PC9jb250
cmlidXRvcnM+PHRpdGxlcz48dGl0bGU+SGVhbHRoIGltcGFjdCBvZiBlLWNpZ2FyZXR0ZXM6IGEg
cHJvc3BlY3RpdmUgMy41LXllYXIgc3R1ZHkgb2YgcmVndWxhciB1c2VycyB3aG8gaGF2ZSBuZXZl
ciBzbW9rZWQ8L3RpdGxlPjxzZWNvbmRhcnktdGl0bGU+UmVzcGlyb2xvZ3k8L3NlY29uZGFyeS10
aXRsZT48L3RpdGxlcz48cGVyaW9kaWNhbD48ZnVsbC10aXRsZT5SZXNwaXJvbG9neTwvZnVsbC10
aXRsZT48YWJici0xPlJlc3Bpcm9sb2d5IChDYXJsdG9uLCBWaWMuKTwvYWJici0xPjwvcGVyaW9k
aWNhbD48cGFnZXM+MjItMjM8L3BhZ2VzPjx2b2x1bWU+MjI8L3ZvbHVtZT48ZGF0ZXM+PHllYXI+
MjAxNzwveWVhcj48cHViLWRhdGVzPjxkYXRlPk5vdjwvZGF0ZT48L3B1Yi1kYXRlcz48L2RhdGVz
Pjxpc2JuPjEzMjMtNzc5OTwvaXNibj48YWNjZXNzaW9uLW51bT5XT1M6MDAwNDE1OTI1NzAwMDQ2
PC9hY2Nlc3Npb24tbnVtPjx1cmxzPjxyZWxhdGVkLXVybHM+PHVybD4mbHQ7R28gdG8gSVNJJmd0
OzovL1dPUzowMDA0MTU5MjU3MDAwNDY8L3VybD48L3JlbGF0ZWQtdXJscz48L3VybHM+PC9yZWNv
cmQ+PC9DaXRlPjxDaXRlPjxBdXRob3I+R3VjaHQ8L0F1dGhvcj48WWVhcj4yMDE3PC9ZZWFyPjxS
ZWNOdW0+MTAyMTwvUmVjTnVtPjxyZWNvcmQ+PHJlYy1udW1iZXI+MTAyMTwvcmVjLW51bWJlcj48
Zm9yZWlnbi1rZXlzPjxrZXkgYXBwPSJFTiIgZGItaWQ9Ijl2czlwemZ6bmFweHBoZWZhMjh4enc5
NXNmNWF2MHN2OXJkeiIgdGltZXN0YW1wPSIxNTIxMTU5Mzk3Ij4xMDIxPC9rZXk+PGtleSBhcHA9
IkVOV2ViIiBkYi1pZD0iIj4wPC9rZXk+PC9mb3JlaWduLWtleXM+PHJlZi10eXBlIG5hbWU9Ikpv
dXJuYWwgQXJ0aWNsZSI+MTc8L3JlZi10eXBlPjxjb250cmlidXRvcnM+PGF1dGhvcnM+PGF1dGhv
cj5HdWNodCwgRC4gVi48L2F1dGhvcj48YXV0aG9yPkFkcmlhZW5zLCBLLjwvYXV0aG9yPjxhdXRo
b3I+QmFleWVucywgRi48L2F1dGhvcj48L2F1dGhvcnM+PC9jb250cmlidXRvcnM+PGF1dGgtYWRk
cmVzcz5BcHBsaWVkIFBzeWNob2xvZ3kgVW5pdCwgVGhvbWFzIE1vcmUgTWVjaGVsZW4tQW50d2Vy
cCBVbml2ZXJzaXR5IENvbGxlZ2UsIE1vbGVuc3RyYWF0IDgsIDIwMTggQW50d2VycCwgQmVsZ2l1
bS4gZGluc2thLnZhbmd1Y2h0QHRob21hc21vcmUuYmUuJiN4RDtGYWN1bHR5IG9mIFBzeWNob2xv
Z3kgYW5kIEVkdWNhdGlvbmFsIFNjaWVuY2VzLCBLVSBMZXV2ZW4tVW5pdmVyc2l0eSBvZiBMZXV2
ZW4sIFRpZW5zZXN0cmFhdCAxMDIsIDMwMDAgTGV1dmVuLCBCZWxnaXVtLiBkaW5za2EudmFuZ3Vj
aHRAdGhvbWFzbW9yZS5iZS4mI3hEO0ZhY3VsdHkgb2YgUHN5Y2hvbG9neSBhbmQgRWR1Y2F0aW9u
YWwgU2NpZW5jZXMsIEtVIExldXZlbi1Vbml2ZXJzaXR5IG9mIExldXZlbiwgVGllbnNlc3RyYWF0
IDEwMiwgMzAwMCBMZXV2ZW4sIEJlbGdpdW0uIGthcm9saWVuLmFkcmlhZW5zQGt1bGV1dmVuLmJl
LiYjeEQ7RmFjdWx0eSBvZiBQc3ljaG9sb2d5IGFuZCBFZHVjYXRpb25hbCBTY2llbmNlcywgS1Ug
TGV1dmVuLVVuaXZlcnNpdHkgb2YgTGV1dmVuLCBUaWVuc2VzdHJhYXQgMTAyLCAzMDAwIExldXZl
biwgQmVsZ2l1bS4gZnJhbmsuYmFleWVuc0BrdWxldXZlbi5iZS48L2F1dGgtYWRkcmVzcz48dGl0
bGVzPjx0aXRsZT5PbmxpbmUgVmFwZSBTaG9wIEN1c3RvbWVycyBXaG8gVXNlIEUtQ2lnYXJldHRl
cyBSZXBvcnQgQWJzdGluZW5jZSBmcm9tIFNtb2tpbmcgYW5kIEltcHJvdmVkIFF1YWxpdHkgb2Yg
TGlmZSwgQnV0IGEgU3Vic3RhbnRpYWwgTWlub3JpdHkgU3RpbGwgSGF2ZSBWYXBpbmctUmVsYXRl
ZCBIZWFsdGggQ29uY2VybnM8L3RpdGxlPjxzZWNvbmRhcnktdGl0bGU+SW50IEogRW52aXJvbiBS
ZXMgUHVibGljIEhlYWx0aDwvc2Vjb25kYXJ5LXRpdGxlPjxhbHQtdGl0bGU+SW50ZXJuYXRpb25h
bCBqb3VybmFsIG9mIGVudmlyb25tZW50YWwgcmVzZWFyY2ggYW5kIHB1YmxpYyBoZWFsdGg8L2Fs
dC10aXRsZT48L3RpdGxlcz48YWx0LXBlcmlvZGljYWw+PGZ1bGwtdGl0bGU+SW50ZXJuYXRpb25h
bCBKb3VybmFsIG9mIEVudmlyb25tZW50YWwgUmVzZWFyY2ggYW5kIFB1YmxpYyBIZWFsdGg8L2Z1
bGwtdGl0bGU+PC9hbHQtcGVyaW9kaWNhbD48dm9sdW1lPjE0PC92b2x1bWU+PG51bWJlcj43PC9u
dW1iZXI+PGVkaXRpb24+MjAxNy8wNy8xODwvZWRpdGlvbj48a2V5d29yZHM+PGtleXdvcmQ+QWR1
bHQ8L2tleXdvcmQ+PGtleXdvcmQ+KkVsZWN0cm9uaWMgTmljb3RpbmUgRGVsaXZlcnkgU3lzdGVt
czwva2V5d29yZD48a2V5d29yZD5GZW1hbGU8L2tleXdvcmQ+PGtleXdvcmQ+SHVtYW5zPC9rZXl3
b3JkPjxrZXl3b3JkPk1hbGU8L2tleXdvcmQ+PGtleXdvcmQ+TWlkZGxlIEFnZWQ8L2tleXdvcmQ+
PGtleXdvcmQ+TmV0aGVybGFuZHM8L2tleXdvcmQ+PGtleXdvcmQ+Tmljb3RpbmUvYWRtaW5pc3Ry
YXRpb24gJmFtcDsgZG9zYWdlPC9rZXl3b3JkPjxrZXl3b3JkPlBlcmNlcHRpb248L2tleXdvcmQ+
PGtleXdvcmQ+UXVhbGl0eSBJbXByb3ZlbWVudDwva2V5d29yZD48a2V5d29yZD5RdWFsaXR5IG9m
IExpZmU8L2tleXdvcmQ+PGtleXdvcmQ+U21va2luZyBDZXNzYXRpb24vKm1ldGhvZHM8L2tleXdv
cmQ+PGtleXdvcmQ+VG9iYWNjbyBTbW9raW5nL3RoZXJhcHk8L2tleXdvcmQ+PGtleXdvcmQ+VG9i
YWNjbyBVc2UgRGlzb3JkZXIvcHN5Y2hvbG9neS90aGVyYXB5PC9rZXl3b3JkPjxrZXl3b3JkPipW
YXBpbmcvcHN5Y2hvbG9neTwva2V5d29yZD48a2V5d29yZD4qZWxlY3Ryb25pYyBjaWdhcmV0dGU8
L2tleXdvcmQ+PGtleXdvcmQ+Km9ubGluZSB2YXBlIHNob3AgY3VzdG9tZXJzPC9rZXl3b3JkPjxr
ZXl3b3JkPipwZXJjZXB0aW9uPC9rZXl3b3JkPjxrZXl3b3JkPipzbW9raW5nIGNlc3NhdGlvbjwv
a2V5d29yZD48a2V5d29yZD4qdmFwaW5nPC9rZXl3b3JkPjxrZXl3b3JkPmFkdm9jYXRlcyBmb3Ig
ZS1jaWctYmFzZWQgVEhSLjwva2V5d29yZD48L2tleXdvcmRzPjxkYXRlcz48eWVhcj4yMDE3PC95
ZWFyPjxwdWItZGF0ZXM+PGRhdGU+SnVsIDE3PC9kYXRlPjwvcHViLWRhdGVzPjwvZGF0ZXM+PGlz
Ym4+MTY2MC00NjAxPC9pc2JuPjxhY2Nlc3Npb24tbnVtPjI4NzE0OTE0PC9hY2Nlc3Npb24tbnVt
Pjx1cmxzPjwvdXJscz48Y3VzdG9tMj5QTUM1NTUxMjM2PC9jdXN0b20yPjxlbGVjdHJvbmljLXJl
c291cmNlLW51bT4xMC4zMzkwL2lqZXJwaDE0MDcwNzk4PC9lbGVjdHJvbmljLXJlc291cmNlLW51
bT48cmVtb3RlLWRhdGFiYXNlLXByb3ZpZGVyPk5MTTwvcmVtb3RlLWRhdGFiYXNlLXByb3ZpZGVy
PjxsYW5ndWFnZT5lbmc8L2xhbmd1YWdlPjwvcmVjb3JkPjwvQ2l0ZT48L0VuZE5vdGU+AG==
</w:fldData>
            </w:fldChar>
          </w:r>
          <w:r>
            <w:instrText xml:space="preserve"> ADDIN EN.CITE.DATA </w:instrText>
          </w:r>
          <w:r>
            <w:fldChar w:fldCharType="end"/>
          </w:r>
          <w:r>
            <w:fldChar w:fldCharType="separate"/>
          </w:r>
          <w:r>
            <w:rPr>
              <w:noProof/>
            </w:rPr>
            <w:t>(Gucht, Adriaens et al. 2017, Polosa, Cibella et al. 2017)</w:t>
          </w:r>
          <w:r>
            <w:fldChar w:fldCharType="end"/>
          </w:r>
          <w:r>
            <w:t xml:space="preserve">. </w:t>
          </w:r>
        </w:p>
        <w:p w14:paraId="3123AB1D" w14:textId="77777777" w:rsidR="00301538" w:rsidRDefault="00301538" w:rsidP="00301538">
          <w:pPr>
            <w:pStyle w:val="Heading3"/>
          </w:pPr>
          <w:r>
            <w:lastRenderedPageBreak/>
            <w:t>Lung function</w:t>
          </w:r>
        </w:p>
        <w:p w14:paraId="4068514D" w14:textId="1498DE67" w:rsidR="00301538" w:rsidRDefault="00301538" w:rsidP="00301538">
          <w:pPr>
            <w:pStyle w:val="BodyText"/>
          </w:pPr>
          <w:r>
            <w:t xml:space="preserve">A prospective cohort study </w:t>
          </w:r>
          <w:r>
            <w:fldChar w:fldCharType="begin"/>
          </w:r>
          <w:r>
            <w:instrText xml:space="preserve"> ADDIN EN.CITE &lt;EndNote&gt;&lt;Cite&gt;&lt;Author&gt;Polosa&lt;/Author&gt;&lt;Year&gt;2017&lt;/Year&gt;&lt;RecNum&gt;1868&lt;/RecNum&gt;&lt;DisplayText&gt;(Polosa, Cibella et al. 2017)&lt;/DisplayText&gt;&lt;record&gt;&lt;rec-number&gt;1868&lt;/rec-number&gt;&lt;foreign-keys&gt;&lt;key app="EN" db-id="9vs9pzfznapxphefa28xzw95sf5av0sv9rdz" timestamp="1521159484"&gt;1868&lt;/key&gt;&lt;/foreign-keys&gt;&lt;ref-type name="Journal Article"&gt;17&lt;/ref-type&gt;&lt;contributors&gt;&lt;authors&gt;&lt;author&gt;Polosa, Riccardo&lt;/author&gt;&lt;author&gt;Cibella, Fabio&lt;/author&gt;&lt;author&gt;Caponnetto, Pasquale&lt;/author&gt;&lt;author&gt;Maglia, Marilena&lt;/author&gt;&lt;author&gt;Tashkin, Donald&lt;/author&gt;&lt;/authors&gt;&lt;/contributors&gt;&lt;titles&gt;&lt;title&gt;Health impact of e-cigarettes: a prospective 3.5-year study of regular users who have never smoked&lt;/title&gt;&lt;secondary-title&gt;Respirology&lt;/secondary-title&gt;&lt;/titles&gt;&lt;periodical&gt;&lt;full-title&gt;Respirology&lt;/full-title&gt;&lt;abbr-1&gt;Respirology (Carlton, Vic.)&lt;/abbr-1&gt;&lt;/periodical&gt;&lt;pages&gt;22-23&lt;/pages&gt;&lt;volume&gt;22&lt;/volume&gt;&lt;dates&gt;&lt;year&gt;2017&lt;/year&gt;&lt;pub-dates&gt;&lt;date&gt;Nov&lt;/date&gt;&lt;/pub-dates&gt;&lt;/dates&gt;&lt;isbn&gt;1323-7799&lt;/isbn&gt;&lt;accession-num&gt;WOS:000415925700046&lt;/accession-num&gt;&lt;urls&gt;&lt;related-urls&gt;&lt;url&gt;&amp;lt;Go to ISI&amp;gt;://WOS:000415925700046&lt;/url&gt;&lt;/related-urls&gt;&lt;/urls&gt;&lt;/record&gt;&lt;/Cite&gt;&lt;/EndNote&gt;</w:instrText>
          </w:r>
          <w:r>
            <w:fldChar w:fldCharType="separate"/>
          </w:r>
          <w:r>
            <w:rPr>
              <w:noProof/>
            </w:rPr>
            <w:t>(Polosa, Cibella et al. 2017)</w:t>
          </w:r>
          <w:r>
            <w:fldChar w:fldCharType="end"/>
          </w:r>
          <w:r>
            <w:t xml:space="preserve"> (where one researcher had received industry linked funding) assessed </w:t>
          </w:r>
          <w:r>
            <w:rPr>
              <w:b/>
            </w:rPr>
            <w:t>lung function</w:t>
          </w:r>
          <w:r>
            <w:t xml:space="preserve"> including </w:t>
          </w:r>
          <w:r w:rsidRPr="00901C75">
            <w:t xml:space="preserve">forced expiratory volume in </w:t>
          </w:r>
          <w:r w:rsidR="006726B9">
            <w:t>one</w:t>
          </w:r>
          <w:r w:rsidR="006726B9" w:rsidRPr="00901C75">
            <w:t xml:space="preserve"> </w:t>
          </w:r>
          <w:r w:rsidRPr="00901C75">
            <w:t>second</w:t>
          </w:r>
          <w:r>
            <w:t xml:space="preserve"> (</w:t>
          </w:r>
          <w:r w:rsidR="00FD25EC" w:rsidRPr="00430400">
            <w:t>FEV</w:t>
          </w:r>
          <w:r w:rsidR="00FD25EC" w:rsidRPr="00430400">
            <w:rPr>
              <w:vertAlign w:val="subscript"/>
            </w:rPr>
            <w:t>1</w:t>
          </w:r>
          <w:r>
            <w:t xml:space="preserve">), </w:t>
          </w:r>
          <w:r w:rsidRPr="00901C75">
            <w:t>forced vital capacity</w:t>
          </w:r>
          <w:r>
            <w:t xml:space="preserve"> (FVC) and forced expiratory flow (FEF at 25-75%). In this Italian prospective cohort study </w:t>
          </w:r>
          <w:r>
            <w:fldChar w:fldCharType="begin"/>
          </w:r>
          <w:r>
            <w:instrText xml:space="preserve"> ADDIN EN.CITE &lt;EndNote&gt;&lt;Cite&gt;&lt;Author&gt;Polosa&lt;/Author&gt;&lt;Year&gt;2017&lt;/Year&gt;&lt;RecNum&gt;1868&lt;/RecNum&gt;&lt;DisplayText&gt;(Polosa, Cibella et al. 2017)&lt;/DisplayText&gt;&lt;record&gt;&lt;rec-number&gt;1868&lt;/rec-number&gt;&lt;foreign-keys&gt;&lt;key app="EN" db-id="9vs9pzfznapxphefa28xzw95sf5av0sv9rdz" timestamp="1521159484"&gt;1868&lt;/key&gt;&lt;/foreign-keys&gt;&lt;ref-type name="Journal Article"&gt;17&lt;/ref-type&gt;&lt;contributors&gt;&lt;authors&gt;&lt;author&gt;Polosa, Riccardo&lt;/author&gt;&lt;author&gt;Cibella, Fabio&lt;/author&gt;&lt;author&gt;Caponnetto, Pasquale&lt;/author&gt;&lt;author&gt;Maglia, Marilena&lt;/author&gt;&lt;author&gt;Tashkin, Donald&lt;/author&gt;&lt;/authors&gt;&lt;/contributors&gt;&lt;titles&gt;&lt;title&gt;Health impact of e-cigarettes: a prospective 3.5-year study of regular users who have never smoked&lt;/title&gt;&lt;secondary-title&gt;Respirology&lt;/secondary-title&gt;&lt;/titles&gt;&lt;periodical&gt;&lt;full-title&gt;Respirology&lt;/full-title&gt;&lt;abbr-1&gt;Respirology (Carlton, Vic.)&lt;/abbr-1&gt;&lt;/periodical&gt;&lt;pages&gt;22-23&lt;/pages&gt;&lt;volume&gt;22&lt;/volume&gt;&lt;dates&gt;&lt;year&gt;2017&lt;/year&gt;&lt;pub-dates&gt;&lt;date&gt;Nov&lt;/date&gt;&lt;/pub-dates&gt;&lt;/dates&gt;&lt;isbn&gt;1323-7799&lt;/isbn&gt;&lt;accession-num&gt;WOS:000415925700046&lt;/accession-num&gt;&lt;urls&gt;&lt;related-urls&gt;&lt;url&gt;&amp;lt;Go to ISI&amp;gt;://WOS:000415925700046&lt;/url&gt;&lt;/related-urls&gt;&lt;/urls&gt;&lt;/record&gt;&lt;/Cite&gt;&lt;/EndNote&gt;</w:instrText>
          </w:r>
          <w:r>
            <w:fldChar w:fldCharType="separate"/>
          </w:r>
          <w:r>
            <w:rPr>
              <w:noProof/>
            </w:rPr>
            <w:t>(Polosa, Cibella et al. 2017)</w:t>
          </w:r>
          <w:r>
            <w:fldChar w:fldCharType="end"/>
          </w:r>
          <w:r>
            <w:t>, subjects (total n=21) were recruited from vape shops, and followed for 3.5 years (</w:t>
          </w:r>
          <w:r w:rsidR="006726B9">
            <w:t xml:space="preserve">nine </w:t>
          </w:r>
          <w:r>
            <w:t xml:space="preserve">e-cigarette users who had never smoked and 12 controls had never smoked or vaped). Notably, the </w:t>
          </w:r>
          <w:r w:rsidR="00FD25EC" w:rsidRPr="00430400">
            <w:t>FEV</w:t>
          </w:r>
          <w:r w:rsidR="00FD25EC" w:rsidRPr="00430400">
            <w:rPr>
              <w:vertAlign w:val="subscript"/>
            </w:rPr>
            <w:t>1</w:t>
          </w:r>
          <w:r>
            <w:t>/FVC ratio was lower for all time points for e</w:t>
          </w:r>
          <w:r>
            <w:noBreakHyphen/>
            <w:t xml:space="preserve">cigarette users compared with controls, but the difference was not significant (p=0.09). </w:t>
          </w:r>
        </w:p>
        <w:p w14:paraId="7D03C1AC" w14:textId="605C6B50" w:rsidR="00301538" w:rsidRDefault="00301538" w:rsidP="00301538">
          <w:pPr>
            <w:pStyle w:val="BodyText"/>
          </w:pPr>
          <w:r>
            <w:t>The study also performed high resolution computed tomography [HRCT] scans of the lungs to measure parenchymal micronodules, ground-glass opacity or macroscopic emphysema (early signs of chronic obstructive pulmonary disease, COPD), lipoid pneumonia or popcorn lung disease. There were no early signs of bronchiolitis obliterans or early signs of COPD, lipoid pneumonia or popcorn lung disease in any of the eight e-cigarette users undergoing HRCT.</w:t>
          </w:r>
          <w:r w:rsidR="008146F9">
            <w:t xml:space="preserve"> </w:t>
          </w:r>
        </w:p>
        <w:p w14:paraId="269D8246" w14:textId="0E753317" w:rsidR="00301538" w:rsidRDefault="00301538" w:rsidP="00301538">
          <w:pPr>
            <w:pStyle w:val="BodyText"/>
          </w:pPr>
          <w:r>
            <w:t>Only six of the nine subjects in the e-cigarette group were vaping nicotine containing e-liquid by the end of the study, and even these were using lower nicotine strength liquid and the other three were using zero nicotine in e</w:t>
          </w:r>
          <w:r>
            <w:noBreakHyphen/>
            <w:t>liquid. It should also be noted that the small group of e-cigarette smokers were very young (mean age 26.6 years).</w:t>
          </w:r>
        </w:p>
        <w:p w14:paraId="039B86B5" w14:textId="77777777" w:rsidR="00301538" w:rsidRDefault="00301538" w:rsidP="00301538">
          <w:pPr>
            <w:pStyle w:val="BodyText"/>
          </w:pPr>
          <w:r>
            <w:t xml:space="preserve">A US randomised cross-over trial (n=30) that considered the effects of an acute (1 hour) vaping session (with a nicotine free and flavour free liquid with 70%PG/30%Gly) on </w:t>
          </w:r>
          <w:r>
            <w:rPr>
              <w:b/>
            </w:rPr>
            <w:t>lung function</w:t>
          </w:r>
          <w:r>
            <w:t xml:space="preserve"> in both healthy and </w:t>
          </w:r>
          <w:r>
            <w:rPr>
              <w:b/>
            </w:rPr>
            <w:t>asthmatic</w:t>
          </w:r>
          <w:r>
            <w:t xml:space="preserve"> individuals found no differences between groups for spirometry or Forced Oscillation Technique (FOT) tests </w:t>
          </w:r>
          <w:r>
            <w:fldChar w:fldCharType="begin">
              <w:fldData xml:space="preserve">PEVuZE5vdGU+PENpdGU+PEF1dGhvcj5Cb3VsYXk8L0F1dGhvcj48WWVhcj4yMDE3PC9ZZWFyPjxS
ZWNOdW0+MTMyNzwvUmVjTnVtPjxEaXNwbGF5VGV4dD4oQm91bGF5LCBIZW5yeSBldCBhbC4gMjAx
Nyk8L0Rpc3BsYXlUZXh0PjxyZWNvcmQ+PHJlYy1udW1iZXI+MTMyNzwvcmVjLW51bWJlcj48Zm9y
ZWlnbi1rZXlzPjxrZXkgYXBwPSJFTiIgZGItaWQ9Ijl2czlwemZ6bmFweHBoZWZhMjh4enc5NXNm
NWF2MHN2OXJkeiIgdGltZXN0YW1wPSIxNTIxMTU5NDI0Ij4xMzI3PC9rZXk+PGtleSBhcHA9IkVO
V2ViIiBkYi1pZD0iIj4wPC9rZXk+PC9mb3JlaWduLWtleXM+PHJlZi10eXBlIG5hbWU9IkpvdXJu
YWwgQXJ0aWNsZSI+MTc8L3JlZi10eXBlPjxjb250cmlidXRvcnM+PGF1dGhvcnM+PGF1dGhvcj5C
b3VsYXksIE0uIEUuPC9hdXRob3I+PGF1dGhvcj5IZW5yeSwgQy48L2F1dGhvcj48YXV0aG9yPkJv
c3NlLCBZLjwvYXV0aG9yPjxhdXRob3I+Qm91bGV0LCBMLiBQLjwvYXV0aG9yPjxhdXRob3I+TW9y
aXNzZXR0ZSwgTS4gQy48L2F1dGhvcj48L2F1dGhvcnM+PC9jb250cmlidXRvcnM+PGF1dGgtYWRk
cmVzcz5RdWViZWMgSGVhcnQgYW5kIEx1bmcgSW5zdGl0dXRlIC0gVW5pdmVyc2l0ZSBMYXZhbCwg
MjcyNSBDaGVtaW4gU2FpbnRlLUZveSwgUXVlYmVjIENpdHksIFBRLCBHMVYgNEc1IE1hbGxldCBN
MjY3OSwgQ2FuYWRhLiYjeEQ7RGVwYXJ0bWVudCBvZiBNZWRpY2luZSwgVW5pdmVyc2l0ZSBMYXZh
bCwgUXVlYmVjIENpdHksIENhbmFkYS4mI3hEO1F1ZWJlYyBIZWFydCBhbmQgTHVuZyBJbnN0aXR1
dGUgLSBVbml2ZXJzaXRlIExhdmFsLCAyNzI1IENoZW1pbiBTYWludGUtRm95LCBRdWViZWMgQ2l0
eSwgUFEsIEcxViA0RzUgTWFsbGV0IE0yNjc5LCBDYW5hZGEuIG1hdGhpZXUubW9yaXNzZXR0ZUBj
cml1Y3BxLnVsYXZhbC5jYS4mI3hEO0RlcGFydG1lbnQgb2YgTWVkaWNpbmUsIFVuaXZlcnNpdGUg
TGF2YWwsIFF1ZWJlYyBDaXR5LCBDYW5hZGEuIG1hdGhpZXUubW9yaXNzZXR0ZUBjcml1Y3BxLnVs
YXZhbC5jYS48L2F1dGgtYWRkcmVzcz48dGl0bGVzPjx0aXRsZT5BY3V0ZSBlZmZlY3RzIG9mIG5p
Y290aW5lLWZyZWUgYW5kIGZsYXZvdXItZnJlZSBlbGVjdHJvbmljIGNpZ2FyZXR0ZSB1c2Ugb24g
bHVuZyBmdW5jdGlvbnMgaW4gaGVhbHRoeSBhbmQgYXN0aG1hdGljIGluZGl2aWR1YWxzPC90aXRs
ZT48c2Vjb25kYXJ5LXRpdGxlPlJlc3BpciBSZXM8L3NlY29uZGFyeS10aXRsZT48YWx0LXRpdGxl
PlJlc3BpcmF0b3J5IHJlc2VhcmNoPC9hbHQtdGl0bGU+PC90aXRsZXM+PGFsdC1wZXJpb2RpY2Fs
PjxmdWxsLXRpdGxlPlJlc3BpcmF0b3J5IFJlc2VhcmNoPC9mdWxsLXRpdGxlPjwvYWx0LXBlcmlv
ZGljYWw+PHBhZ2VzPjMzPC9wYWdlcz48dm9sdW1lPjE4PC92b2x1bWU+PG51bWJlcj4xPC9udW1i
ZXI+PGVkaXRpb24+MjAxNy8wMi8xMjwvZWRpdGlvbj48a2V5d29yZHM+PGtleXdvcmQ+QWRtaW5p
c3RyYXRpb24sIEluaGFsYXRpb248L2tleXdvcmQ+PGtleXdvcmQ+QWR1bHQ8L2tleXdvcmQ+PGtl
eXdvcmQ+QXN0aG1hLypwaHlzaW9wYXRob2xvZ3k8L2tleXdvcmQ+PGtleXdvcmQ+Q3Jvc3MtT3Zl
ciBTdHVkaWVzPC9rZXl3b3JkPjxrZXl3b3JkPkZlbWFsZTwva2V5d29yZD48a2V5d29yZD5HbHlj
ZXJvbC9hZG1pbmlzdHJhdGlvbiAmYW1wOyBkb3NhZ2UvKmFkdmVyc2UgZWZmZWN0czwva2V5d29y
ZD48a2V5d29yZD5IdW1hbnM8L2tleXdvcmQ+PGtleXdvcmQ+THVuZy8qcGh5c2lvcGF0aG9sb2d5
PC9rZXl3b3JkPjxrZXl3b3JkPk1hbGU8L2tleXdvcmQ+PGtleXdvcmQ+Tmljb3RpbmU8L2tleXdv
cmQ+PGtleXdvcmQ+UGxhY2VibyBFZmZlY3Q8L2tleXdvcmQ+PGtleXdvcmQ+UHJvcHlsZW5lIEds
eWNvbC9hZG1pbmlzdHJhdGlvbiAmYW1wOyBkb3NhZ2UvKmFkdmVyc2UgZWZmZWN0czwva2V5d29y
ZD48a2V5d29yZD4qUmVzcGlyYXRvcnkgRnVuY3Rpb24gVGVzdHM8L2tleXdvcmQ+PGtleXdvcmQ+
VmFwaW5nLyphZHZlcnNlIGVmZmVjdHM8L2tleXdvcmQ+PC9rZXl3b3Jkcz48ZGF0ZXM+PHllYXI+
MjAxNzwveWVhcj48cHViLWRhdGVzPjxkYXRlPkZlYiAxMDwvZGF0ZT48L3B1Yi1kYXRlcz48L2Rh
dGVzPjxpc2JuPjE0NjUtOTkyMTwvaXNibj48YWNjZXNzaW9uLW51bT4yODE4MzI5ODwvYWNjZXNz
aW9uLW51bT48dXJscz48L3VybHM+PGN1c3RvbTI+UE1DNTMwMTQ0NjwvY3VzdG9tMj48ZWxlY3Ry
b25pYy1yZXNvdXJjZS1udW0+MTAuMTE4Ni9zMTI5MzEtMDE3LTA1MTgtOTwvZWxlY3Ryb25pYy1y
ZXNvdXJjZS1udW0+PHJlbW90ZS1kYXRhYmFzZS1wcm92aWRlcj5OTE08L3JlbW90ZS1kYXRhYmFz
ZS1wcm92aWRlcj48bGFuZ3VhZ2U+ZW5nPC9sYW5ndWFnZT48L3JlY29yZD48L0NpdGU+PC9FbmRO
b3RlPn==
</w:fldData>
            </w:fldChar>
          </w:r>
          <w:r>
            <w:instrText xml:space="preserve"> ADDIN EN.CITE </w:instrText>
          </w:r>
          <w:r>
            <w:fldChar w:fldCharType="begin">
              <w:fldData xml:space="preserve">PEVuZE5vdGU+PENpdGU+PEF1dGhvcj5Cb3VsYXk8L0F1dGhvcj48WWVhcj4yMDE3PC9ZZWFyPjxS
ZWNOdW0+MTMyNzwvUmVjTnVtPjxEaXNwbGF5VGV4dD4oQm91bGF5LCBIZW5yeSBldCBhbC4gMjAx
Nyk8L0Rpc3BsYXlUZXh0PjxyZWNvcmQ+PHJlYy1udW1iZXI+MTMyNzwvcmVjLW51bWJlcj48Zm9y
ZWlnbi1rZXlzPjxrZXkgYXBwPSJFTiIgZGItaWQ9Ijl2czlwemZ6bmFweHBoZWZhMjh4enc5NXNm
NWF2MHN2OXJkeiIgdGltZXN0YW1wPSIxNTIxMTU5NDI0Ij4xMzI3PC9rZXk+PGtleSBhcHA9IkVO
V2ViIiBkYi1pZD0iIj4wPC9rZXk+PC9mb3JlaWduLWtleXM+PHJlZi10eXBlIG5hbWU9IkpvdXJu
YWwgQXJ0aWNsZSI+MTc8L3JlZi10eXBlPjxjb250cmlidXRvcnM+PGF1dGhvcnM+PGF1dGhvcj5C
b3VsYXksIE0uIEUuPC9hdXRob3I+PGF1dGhvcj5IZW5yeSwgQy48L2F1dGhvcj48YXV0aG9yPkJv
c3NlLCBZLjwvYXV0aG9yPjxhdXRob3I+Qm91bGV0LCBMLiBQLjwvYXV0aG9yPjxhdXRob3I+TW9y
aXNzZXR0ZSwgTS4gQy48L2F1dGhvcj48L2F1dGhvcnM+PC9jb250cmlidXRvcnM+PGF1dGgtYWRk
cmVzcz5RdWViZWMgSGVhcnQgYW5kIEx1bmcgSW5zdGl0dXRlIC0gVW5pdmVyc2l0ZSBMYXZhbCwg
MjcyNSBDaGVtaW4gU2FpbnRlLUZveSwgUXVlYmVjIENpdHksIFBRLCBHMVYgNEc1IE1hbGxldCBN
MjY3OSwgQ2FuYWRhLiYjeEQ7RGVwYXJ0bWVudCBvZiBNZWRpY2luZSwgVW5pdmVyc2l0ZSBMYXZh
bCwgUXVlYmVjIENpdHksIENhbmFkYS4mI3hEO1F1ZWJlYyBIZWFydCBhbmQgTHVuZyBJbnN0aXR1
dGUgLSBVbml2ZXJzaXRlIExhdmFsLCAyNzI1IENoZW1pbiBTYWludGUtRm95LCBRdWViZWMgQ2l0
eSwgUFEsIEcxViA0RzUgTWFsbGV0IE0yNjc5LCBDYW5hZGEuIG1hdGhpZXUubW9yaXNzZXR0ZUBj
cml1Y3BxLnVsYXZhbC5jYS4mI3hEO0RlcGFydG1lbnQgb2YgTWVkaWNpbmUsIFVuaXZlcnNpdGUg
TGF2YWwsIFF1ZWJlYyBDaXR5LCBDYW5hZGEuIG1hdGhpZXUubW9yaXNzZXR0ZUBjcml1Y3BxLnVs
YXZhbC5jYS48L2F1dGgtYWRkcmVzcz48dGl0bGVzPjx0aXRsZT5BY3V0ZSBlZmZlY3RzIG9mIG5p
Y290aW5lLWZyZWUgYW5kIGZsYXZvdXItZnJlZSBlbGVjdHJvbmljIGNpZ2FyZXR0ZSB1c2Ugb24g
bHVuZyBmdW5jdGlvbnMgaW4gaGVhbHRoeSBhbmQgYXN0aG1hdGljIGluZGl2aWR1YWxzPC90aXRs
ZT48c2Vjb25kYXJ5LXRpdGxlPlJlc3BpciBSZXM8L3NlY29uZGFyeS10aXRsZT48YWx0LXRpdGxl
PlJlc3BpcmF0b3J5IHJlc2VhcmNoPC9hbHQtdGl0bGU+PC90aXRsZXM+PGFsdC1wZXJpb2RpY2Fs
PjxmdWxsLXRpdGxlPlJlc3BpcmF0b3J5IFJlc2VhcmNoPC9mdWxsLXRpdGxlPjwvYWx0LXBlcmlv
ZGljYWw+PHBhZ2VzPjMzPC9wYWdlcz48dm9sdW1lPjE4PC92b2x1bWU+PG51bWJlcj4xPC9udW1i
ZXI+PGVkaXRpb24+MjAxNy8wMi8xMjwvZWRpdGlvbj48a2V5d29yZHM+PGtleXdvcmQ+QWRtaW5p
c3RyYXRpb24sIEluaGFsYXRpb248L2tleXdvcmQ+PGtleXdvcmQ+QWR1bHQ8L2tleXdvcmQ+PGtl
eXdvcmQ+QXN0aG1hLypwaHlzaW9wYXRob2xvZ3k8L2tleXdvcmQ+PGtleXdvcmQ+Q3Jvc3MtT3Zl
ciBTdHVkaWVzPC9rZXl3b3JkPjxrZXl3b3JkPkZlbWFsZTwva2V5d29yZD48a2V5d29yZD5HbHlj
ZXJvbC9hZG1pbmlzdHJhdGlvbiAmYW1wOyBkb3NhZ2UvKmFkdmVyc2UgZWZmZWN0czwva2V5d29y
ZD48a2V5d29yZD5IdW1hbnM8L2tleXdvcmQ+PGtleXdvcmQ+THVuZy8qcGh5c2lvcGF0aG9sb2d5
PC9rZXl3b3JkPjxrZXl3b3JkPk1hbGU8L2tleXdvcmQ+PGtleXdvcmQ+Tmljb3RpbmU8L2tleXdv
cmQ+PGtleXdvcmQ+UGxhY2VibyBFZmZlY3Q8L2tleXdvcmQ+PGtleXdvcmQ+UHJvcHlsZW5lIEds
eWNvbC9hZG1pbmlzdHJhdGlvbiAmYW1wOyBkb3NhZ2UvKmFkdmVyc2UgZWZmZWN0czwva2V5d29y
ZD48a2V5d29yZD4qUmVzcGlyYXRvcnkgRnVuY3Rpb24gVGVzdHM8L2tleXdvcmQ+PGtleXdvcmQ+
VmFwaW5nLyphZHZlcnNlIGVmZmVjdHM8L2tleXdvcmQ+PC9rZXl3b3Jkcz48ZGF0ZXM+PHllYXI+
MjAxNzwveWVhcj48cHViLWRhdGVzPjxkYXRlPkZlYiAxMDwvZGF0ZT48L3B1Yi1kYXRlcz48L2Rh
dGVzPjxpc2JuPjE0NjUtOTkyMTwvaXNibj48YWNjZXNzaW9uLW51bT4yODE4MzI5ODwvYWNjZXNz
aW9uLW51bT48dXJscz48L3VybHM+PGN1c3RvbTI+UE1DNTMwMTQ0NjwvY3VzdG9tMj48ZWxlY3Ry
b25pYy1yZXNvdXJjZS1udW0+MTAuMTE4Ni9zMTI5MzEtMDE3LTA1MTgtOTwvZWxlY3Ryb25pYy1y
ZXNvdXJjZS1udW0+PHJlbW90ZS1kYXRhYmFzZS1wcm92aWRlcj5OTE08L3JlbW90ZS1kYXRhYmFz
ZS1wcm92aWRlcj48bGFuZ3VhZ2U+ZW5nPC9sYW5ndWFnZT48L3JlY29yZD48L0NpdGU+PC9FbmRO
b3RlPn==
</w:fldData>
            </w:fldChar>
          </w:r>
          <w:r>
            <w:instrText xml:space="preserve"> ADDIN EN.CITE.DATA </w:instrText>
          </w:r>
          <w:r>
            <w:fldChar w:fldCharType="end"/>
          </w:r>
          <w:r>
            <w:fldChar w:fldCharType="separate"/>
          </w:r>
          <w:r>
            <w:rPr>
              <w:noProof/>
            </w:rPr>
            <w:t>(Boulay, Henry et al. 2017)</w:t>
          </w:r>
          <w:r>
            <w:fldChar w:fldCharType="end"/>
          </w:r>
          <w:r>
            <w:t xml:space="preserve">. The authors recognised the need to study the effects of chronic use. </w:t>
          </w:r>
        </w:p>
        <w:p w14:paraId="008B87FA" w14:textId="77777777" w:rsidR="00301538" w:rsidRDefault="00301538" w:rsidP="00301538">
          <w:pPr>
            <w:pStyle w:val="BodyText"/>
          </w:pPr>
          <w:r>
            <w:t xml:space="preserve">Another small randomised trial conducted in the US assessed the effects of e-cigarettes on blood pressure, temperature, heart rate, respiratory rate, oxygen saturation, lung function, plasma endothelial microparticle (EMP) levels, and gene expression in the small airway epithelium and alveolar macrophages </w:t>
          </w:r>
          <w:r>
            <w:fldChar w:fldCharType="begin"/>
          </w:r>
          <w:r>
            <w:instrText xml:space="preserve"> ADDIN EN.CITE &lt;EndNote&gt;&lt;Cite&gt;&lt;Author&gt;Staudt&lt;/Author&gt;&lt;Year&gt;2018&lt;/Year&gt;&lt;RecNum&gt;10357&lt;/RecNum&gt;&lt;DisplayText&gt;(Staudt, Salit et al. 2018)&lt;/DisplayText&gt;&lt;record&gt;&lt;rec-number&gt;10357&lt;/rec-number&gt;&lt;foreign-keys&gt;&lt;key app="EN" db-id="9z05dz0praadfuee0zoxzedk9zfe5fxx50z5" timestamp="1526869878"&gt;10357&lt;/key&gt;&lt;key app="ENWeb" db-id=""&gt;0&lt;/key&gt;&lt;/foreign-keys&gt;&lt;ref-type name="Journal Article"&gt;17&lt;/ref-type&gt;&lt;contributors&gt;&lt;authors&gt;&lt;author&gt;Staudt, Michelle R.&lt;/author&gt;&lt;author&gt;Salit, Jacqueline&lt;/author&gt;&lt;author&gt;Kaner, Robert J.&lt;/author&gt;&lt;author&gt;Hollmann, Charleen&lt;/author&gt;&lt;author&gt;Crystal, Ronald G.&lt;/author&gt;&lt;/authors&gt;&lt;/contributors&gt;&lt;titles&gt;&lt;title&gt;Altered lung biology of healthy never smokers following acute inhalation of E-cigarettes&lt;/title&gt;&lt;secondary-title&gt;Respiratory research&lt;/secondary-title&gt;&lt;/titles&gt;&lt;periodical&gt;&lt;full-title&gt;Respiratory Research&lt;/full-title&gt;&lt;/periodical&gt;&lt;pages&gt;78-78&lt;/pages&gt;&lt;volume&gt;19&lt;/volume&gt;&lt;number&gt;1&lt;/number&gt;&lt;dates&gt;&lt;year&gt;2018&lt;/year&gt;&lt;pub-dates&gt;&lt;date&gt;2018 May&lt;/date&gt;&lt;/pub-dates&gt;&lt;/dates&gt;&lt;accession-num&gt;MEDLINE:29754582&lt;/accession-num&gt;&lt;urls&gt;&lt;related-urls&gt;&lt;url&gt;&amp;lt;Go to ISI&amp;gt;://MEDLINE:29754582&lt;/url&gt;&lt;url&gt;https://respiratory-research.biomedcentral.com/track/pdf/10.1186/s12931-018-0778-z&lt;/url&gt;&lt;/related-urls&gt;&lt;/urls&gt;&lt;electronic-resource-num&gt;10.1186/s12931-018-0778-z&lt;/electronic-resource-num&gt;&lt;/record&gt;&lt;/Cite&gt;&lt;/EndNote&gt;</w:instrText>
          </w:r>
          <w:r>
            <w:fldChar w:fldCharType="separate"/>
          </w:r>
          <w:r>
            <w:rPr>
              <w:noProof/>
            </w:rPr>
            <w:t>(Staudt, Salit et al. 2018)</w:t>
          </w:r>
          <w:r>
            <w:fldChar w:fldCharType="end"/>
          </w:r>
          <w:r>
            <w:t xml:space="preserve">. </w:t>
          </w:r>
        </w:p>
        <w:p w14:paraId="03EC3A78" w14:textId="2349721A" w:rsidR="00301538" w:rsidRDefault="00301538" w:rsidP="00301538">
          <w:pPr>
            <w:pStyle w:val="BodyText"/>
          </w:pPr>
          <w:r>
            <w:t>Ten healthy never-smokers with no history of e-cigarette use or use of any other tobacco product completed a range of tests and provided biological samples including a bronchoscopy brushing of the small airway epithelium and a bronchoalveolar lavage. Participants then attended an experimental session one week later during which they inhaled 10 puffs of an e-cigarette, had a 30</w:t>
          </w:r>
          <w:r w:rsidR="00F70203">
            <w:t> </w:t>
          </w:r>
          <w:r>
            <w:t>minute break, and then inhaled another 10 puffs. Participants were randomised to use either an e</w:t>
          </w:r>
          <w:r>
            <w:noBreakHyphen/>
            <w:t xml:space="preserve">cigarette with nicotine (n=7) or an e-cigarette without nicotine (n=3) during the experimental session. Baseline testing and collection of biological samples was repeated within 2 hours of the second e-cigarette use. </w:t>
          </w:r>
        </w:p>
        <w:p w14:paraId="188BCD5D" w14:textId="77777777" w:rsidR="00301538" w:rsidRDefault="00301538" w:rsidP="00301538">
          <w:pPr>
            <w:pStyle w:val="BodyText"/>
          </w:pPr>
          <w:r>
            <w:t xml:space="preserve">No significant changes in blood pressure, heart rate, lung function or oxygen saturation were observed, however, plasma EMP levels were significantly higher following use of an e-cigarette with nicotine, an indication of endothelial cell damage which has previously been observed in cigarette smokers. </w:t>
          </w:r>
        </w:p>
        <w:p w14:paraId="46521780" w14:textId="77777777" w:rsidR="00301538" w:rsidRDefault="00301538" w:rsidP="00301538">
          <w:pPr>
            <w:pStyle w:val="BodyText"/>
          </w:pPr>
          <w:r>
            <w:lastRenderedPageBreak/>
            <w:t>Acute use of an e-cigarette also changed the gene expression profiles in the small airway epithelium and in alveolar macrophages. Use of the e-cigarette with nicotine led to the up</w:t>
          </w:r>
          <w:r>
            <w:noBreakHyphen/>
            <w:t>regulation of 19 genes and the down-regulation of 52 genes in the small airway epithelium whilst use of the e-cigarette without nicotine led to the up-regulation of 40 genes and the down</w:t>
          </w:r>
          <w:r>
            <w:noBreakHyphen/>
            <w:t xml:space="preserve">regulation of 25 genes. Examination of the specific genes affected suggest altered activity of the nicotine receptor pathway and the tumour protein p53. Use of the e-cigarette with nicotine also led to the up-regulation of 6 genes and the down-regulation of 21 genes in alveolar macrophages, whilst use of the e-cigarette without nicotine led to the up-regulation of 25 genes and the down-regulation of 36 genes. It was not possible to identify specific pathways affected in alveolar macrophages, however, several of the genes affected are known to play important roles in macrophage physiology and pulmonary health. </w:t>
          </w:r>
        </w:p>
        <w:p w14:paraId="565C523C" w14:textId="77777777" w:rsidR="00301538" w:rsidRDefault="00301538" w:rsidP="00301538">
          <w:pPr>
            <w:pStyle w:val="BodyText"/>
          </w:pPr>
          <w:r>
            <w:t>This study has a number of limitations that should be considered when interpreting the results. Firstly, the study is small, reducing the power to detect important changes. Secondly, confounders have not been considered and should be considered when the exposure groups are so small that the randomisation cannot control for the relevant confounders. The study assessed the effect of acute use of e-cigarettes, however, it is likely that prolonged use is required to observe changes in health outcome measures such as lung function. There was also no control group in this study. Ideally, all changes observed should have been compared to any changes observed in a control group not exposed to e-cigarette aerosol with or without nicotine.</w:t>
          </w:r>
        </w:p>
        <w:p w14:paraId="2ECBB7D1" w14:textId="77777777" w:rsidR="00301538" w:rsidRPr="00BE496C" w:rsidRDefault="00301538" w:rsidP="00301538">
          <w:pPr>
            <w:pStyle w:val="BodyText"/>
          </w:pPr>
        </w:p>
        <w:p w14:paraId="5857959B" w14:textId="77777777" w:rsidR="00301538" w:rsidRPr="00BE496C" w:rsidRDefault="00301538" w:rsidP="00301538">
          <w:pPr>
            <w:pStyle w:val="Heading3"/>
          </w:pPr>
          <w:r>
            <w:t>Composition and integrity of airway mucous</w:t>
          </w:r>
        </w:p>
        <w:p w14:paraId="33133C7E" w14:textId="77777777" w:rsidR="00301538" w:rsidRDefault="00301538" w:rsidP="00301538">
          <w:pPr>
            <w:pStyle w:val="BodyText"/>
          </w:pPr>
          <w:r w:rsidRPr="00F01D93">
            <w:t xml:space="preserve">Reidel et al.’s US cross-sectional study examined the </w:t>
          </w:r>
          <w:r w:rsidRPr="00F01D93">
            <w:rPr>
              <w:b/>
            </w:rPr>
            <w:t>protein</w:t>
          </w:r>
          <w:r w:rsidRPr="00F01D93">
            <w:t xml:space="preserve"> </w:t>
          </w:r>
          <w:r w:rsidRPr="00F01D93">
            <w:rPr>
              <w:b/>
            </w:rPr>
            <w:t>composition and integrity of airway mucus</w:t>
          </w:r>
          <w:r w:rsidRPr="00F01D93">
            <w:t xml:space="preserve"> in e-cigarette users compared with traditional cigarette smokers and a non-smoking control group </w:t>
          </w:r>
          <w:r w:rsidRPr="00F01D93">
            <w:fldChar w:fldCharType="begin">
              <w:fldData xml:space="preserve">PEVuZE5vdGU+PENpdGU+PEF1dGhvcj5SZWlkZWw8L0F1dGhvcj48WWVhcj4yMDE4PC9ZZWFyPjxS
ZWNOdW0+ODUxPC9SZWNOdW0+PERpc3BsYXlUZXh0PihSZWlkZWwsIFJhZGljaW9uaSBldCBhbC4g
MjAxOCk8L0Rpc3BsYXlUZXh0PjxyZWNvcmQ+PHJlYy1udW1iZXI+ODUxPC9yZWMtbnVtYmVyPjxm
b3JlaWduLWtleXM+PGtleSBhcHA9IkVOIiBkYi1pZD0iOXZzOXB6ZnpuYXB4cGhlZmEyOHh6dzk1
c2Y1YXYwc3Y5cmR6IiB0aW1lc3RhbXA9IjE1MjExNTkzODIiPjg1MTwva2V5PjwvZm9yZWlnbi1r
ZXlzPjxyZWYtdHlwZSBuYW1lPSJKb3VybmFsIEFydGljbGUiPjE3PC9yZWYtdHlwZT48Y29udHJp
YnV0b3JzPjxhdXRob3JzPjxhdXRob3I+UmVpZGVsLCBCLjwvYXV0aG9yPjxhdXRob3I+UmFkaWNp
b25pLCBHLjwvYXV0aG9yPjxhdXRob3I+Q2xhcHAsIFAuIFcuPC9hdXRob3I+PGF1dGhvcj5Gb3Jk
LCBBLiBBLjwvYXV0aG9yPjxhdXRob3I+QWJkZWx3YWhhYiwgUy48L2F1dGhvcj48YXV0aG9yPlJl
YnVsaSwgTS4gRS48L2F1dGhvcj48YXV0aG9yPkhhcmlkYXNzLCBQLjwvYXV0aG9yPjxhdXRob3I+
QWxleGlzLCBOLiBFLjwvYXV0aG9yPjxhdXRob3I+SmFzcGVycywgSS48L2F1dGhvcj48YXV0aG9y
Pktlc2ltZXIsIE0uPC9hdXRob3I+PC9hdXRob3JzPjwvY29udHJpYnV0b3JzPjxhdXRoLWFkZHJl
c3M+MSBNYXJzaWNvIEx1bmcgSW5zdGl0dXRlLiYjeEQ7MiBEZXBhcnRtZW50IG9mIFBhdGhvbG9n
eSBhbmQgTGFib3JhdG9yeSBNZWRpY2luZSwgYW5kLiYjeEQ7MyBEZXBhcnRtZW50IG9mIFBlZGlh
dHJpY3MsIFRoZSBVbml2ZXJzaXR5IG9mIE5vcnRoIENhcm9saW5hIGF0IENoYXBlbCBIaWxsLCBD
aGFwZWwgSGlsbCwgTm9ydGggQ2Fyb2xpbmEuPC9hdXRoLWFkZHJlc3M+PHRpdGxlcz48dGl0bGU+
RS1DaWdhcmV0dGUgVXNlIENhdXNlcyBhIFVuaXF1ZSBJbm5hdGUgSW1tdW5lIFJlc3BvbnNlIGlu
IHRoZSBMdW5nLCBJbnZvbHZpbmcgSW5jcmVhc2VkIE5ldXRyb3BoaWxpYyBBY3RpdmF0aW9uIGFu
ZCBBbHRlcmVkIE11Y2luIFNlY3JldGlvbjwvdGl0bGU+PHNlY29uZGFyeS10aXRsZT5BbSBKIFJl
c3BpciBDcml0IENhcmUgTWVkPC9zZWNvbmRhcnktdGl0bGU+PGFsdC10aXRsZT5BbWVyaWNhbiBq
b3VybmFsIG9mIHJlc3BpcmF0b3J5IGFuZCBjcml0aWNhbCBjYXJlIG1lZGljaW5lPC9hbHQtdGl0
bGU+PC90aXRsZXM+PHBlcmlvZGljYWw+PGZ1bGwtdGl0bGU+QW0gSiBSZXNwaXIgQ3JpdCBDYXJl
IE1lZDwvZnVsbC10aXRsZT48YWJici0xPkFtZXJpY2FuIGpvdXJuYWwgb2YgcmVzcGlyYXRvcnkg
YW5kIGNyaXRpY2FsIGNhcmUgbWVkaWNpbmU8L2FiYnItMT48L3BlcmlvZGljYWw+PGFsdC1wZXJp
b2RpY2FsPjxmdWxsLXRpdGxlPkFtIEogUmVzcGlyIENyaXQgQ2FyZSBNZWQ8L2Z1bGwtdGl0bGU+
PGFiYnItMT5BbWVyaWNhbiBqb3VybmFsIG9mIHJlc3BpcmF0b3J5IGFuZCBjcml0aWNhbCBjYXJl
IG1lZGljaW5lPC9hYmJyLTE+PC9hbHQtcGVyaW9kaWNhbD48cGFnZXM+NDkyLTUwMTwvcGFnZXM+
PHZvbHVtZT4xOTc8L3ZvbHVtZT48bnVtYmVyPjQ8L251bWJlcj48ZWRpdGlvbj4yMDE3LzEwLzIx
PC9lZGl0aW9uPjxrZXl3b3Jkcz48a2V5d29yZD5OZXQ8L2tleXdvcmQ+PGtleXdvcmQ+ZS1jaWdh
cmV0dGU8L2tleXdvcmQ+PGtleXdvcmQ+bHVuZzwva2V5d29yZD48a2V5d29yZD5tdWNpbjwva2V5
d29yZD48a2V5d29yZD5uZXV0cm9waGlsPC9rZXl3b3JkPjwva2V5d29yZHM+PGRhdGVzPjx5ZWFy
PjIwMTg8L3llYXI+PHB1Yi1kYXRlcz48ZGF0ZT5GZWIgMTU8L2RhdGU+PC9wdWItZGF0ZXM+PC9k
YXRlcz48aXNibj4xMDczLTQ0OXg8L2lzYm4+PGFjY2Vzc2lvbi1udW0+MjkwNTMwMjU8L2FjY2Vz
c2lvbi1udW0+PHVybHM+PC91cmxzPjxjdXN0b20yPlBNQzU4MjE5MDk8L2N1c3RvbTI+PGVsZWN0
cm9uaWMtcmVzb3VyY2UtbnVtPjEwLjExNjQvcmNjbS4yMDE3MDgtMTU5ME9DPC9lbGVjdHJvbmlj
LXJlc291cmNlLW51bT48cmVtb3RlLWRhdGFiYXNlLXByb3ZpZGVyPk5MTTwvcmVtb3RlLWRhdGFi
YXNlLXByb3ZpZGVyPjxsYW5ndWFnZT5lbmc8L2xhbmd1YWdlPjwvcmVjb3JkPjwvQ2l0ZT48L0Vu
ZE5vdGU+AG==
</w:fldData>
            </w:fldChar>
          </w:r>
          <w:r w:rsidRPr="00F01D93">
            <w:instrText xml:space="preserve"> ADDIN EN.CITE </w:instrText>
          </w:r>
          <w:r w:rsidRPr="00F01D93">
            <w:fldChar w:fldCharType="begin">
              <w:fldData xml:space="preserve">PEVuZE5vdGU+PENpdGU+PEF1dGhvcj5SZWlkZWw8L0F1dGhvcj48WWVhcj4yMDE4PC9ZZWFyPjxS
ZWNOdW0+ODUxPC9SZWNOdW0+PERpc3BsYXlUZXh0PihSZWlkZWwsIFJhZGljaW9uaSBldCBhbC4g
MjAxOCk8L0Rpc3BsYXlUZXh0PjxyZWNvcmQ+PHJlYy1udW1iZXI+ODUxPC9yZWMtbnVtYmVyPjxm
b3JlaWduLWtleXM+PGtleSBhcHA9IkVOIiBkYi1pZD0iOXZzOXB6ZnpuYXB4cGhlZmEyOHh6dzk1
c2Y1YXYwc3Y5cmR6IiB0aW1lc3RhbXA9IjE1MjExNTkzODIiPjg1MTwva2V5PjwvZm9yZWlnbi1r
ZXlzPjxyZWYtdHlwZSBuYW1lPSJKb3VybmFsIEFydGljbGUiPjE3PC9yZWYtdHlwZT48Y29udHJp
YnV0b3JzPjxhdXRob3JzPjxhdXRob3I+UmVpZGVsLCBCLjwvYXV0aG9yPjxhdXRob3I+UmFkaWNp
b25pLCBHLjwvYXV0aG9yPjxhdXRob3I+Q2xhcHAsIFAuIFcuPC9hdXRob3I+PGF1dGhvcj5Gb3Jk
LCBBLiBBLjwvYXV0aG9yPjxhdXRob3I+QWJkZWx3YWhhYiwgUy48L2F1dGhvcj48YXV0aG9yPlJl
YnVsaSwgTS4gRS48L2F1dGhvcj48YXV0aG9yPkhhcmlkYXNzLCBQLjwvYXV0aG9yPjxhdXRob3I+
QWxleGlzLCBOLiBFLjwvYXV0aG9yPjxhdXRob3I+SmFzcGVycywgSS48L2F1dGhvcj48YXV0aG9y
Pktlc2ltZXIsIE0uPC9hdXRob3I+PC9hdXRob3JzPjwvY29udHJpYnV0b3JzPjxhdXRoLWFkZHJl
c3M+MSBNYXJzaWNvIEx1bmcgSW5zdGl0dXRlLiYjeEQ7MiBEZXBhcnRtZW50IG9mIFBhdGhvbG9n
eSBhbmQgTGFib3JhdG9yeSBNZWRpY2luZSwgYW5kLiYjeEQ7MyBEZXBhcnRtZW50IG9mIFBlZGlh
dHJpY3MsIFRoZSBVbml2ZXJzaXR5IG9mIE5vcnRoIENhcm9saW5hIGF0IENoYXBlbCBIaWxsLCBD
aGFwZWwgSGlsbCwgTm9ydGggQ2Fyb2xpbmEuPC9hdXRoLWFkZHJlc3M+PHRpdGxlcz48dGl0bGU+
RS1DaWdhcmV0dGUgVXNlIENhdXNlcyBhIFVuaXF1ZSBJbm5hdGUgSW1tdW5lIFJlc3BvbnNlIGlu
IHRoZSBMdW5nLCBJbnZvbHZpbmcgSW5jcmVhc2VkIE5ldXRyb3BoaWxpYyBBY3RpdmF0aW9uIGFu
ZCBBbHRlcmVkIE11Y2luIFNlY3JldGlvbjwvdGl0bGU+PHNlY29uZGFyeS10aXRsZT5BbSBKIFJl
c3BpciBDcml0IENhcmUgTWVkPC9zZWNvbmRhcnktdGl0bGU+PGFsdC10aXRsZT5BbWVyaWNhbiBq
b3VybmFsIG9mIHJlc3BpcmF0b3J5IGFuZCBjcml0aWNhbCBjYXJlIG1lZGljaW5lPC9hbHQtdGl0
bGU+PC90aXRsZXM+PHBlcmlvZGljYWw+PGZ1bGwtdGl0bGU+QW0gSiBSZXNwaXIgQ3JpdCBDYXJl
IE1lZDwvZnVsbC10aXRsZT48YWJici0xPkFtZXJpY2FuIGpvdXJuYWwgb2YgcmVzcGlyYXRvcnkg
YW5kIGNyaXRpY2FsIGNhcmUgbWVkaWNpbmU8L2FiYnItMT48L3BlcmlvZGljYWw+PGFsdC1wZXJp
b2RpY2FsPjxmdWxsLXRpdGxlPkFtIEogUmVzcGlyIENyaXQgQ2FyZSBNZWQ8L2Z1bGwtdGl0bGU+
PGFiYnItMT5BbWVyaWNhbiBqb3VybmFsIG9mIHJlc3BpcmF0b3J5IGFuZCBjcml0aWNhbCBjYXJl
IG1lZGljaW5lPC9hYmJyLTE+PC9hbHQtcGVyaW9kaWNhbD48cGFnZXM+NDkyLTUwMTwvcGFnZXM+
PHZvbHVtZT4xOTc8L3ZvbHVtZT48bnVtYmVyPjQ8L251bWJlcj48ZWRpdGlvbj4yMDE3LzEwLzIx
PC9lZGl0aW9uPjxrZXl3b3Jkcz48a2V5d29yZD5OZXQ8L2tleXdvcmQ+PGtleXdvcmQ+ZS1jaWdh
cmV0dGU8L2tleXdvcmQ+PGtleXdvcmQ+bHVuZzwva2V5d29yZD48a2V5d29yZD5tdWNpbjwva2V5
d29yZD48a2V5d29yZD5uZXV0cm9waGlsPC9rZXl3b3JkPjwva2V5d29yZHM+PGRhdGVzPjx5ZWFy
PjIwMTg8L3llYXI+PHB1Yi1kYXRlcz48ZGF0ZT5GZWIgMTU8L2RhdGU+PC9wdWItZGF0ZXM+PC9k
YXRlcz48aXNibj4xMDczLTQ0OXg8L2lzYm4+PGFjY2Vzc2lvbi1udW0+MjkwNTMwMjU8L2FjY2Vz
c2lvbi1udW0+PHVybHM+PC91cmxzPjxjdXN0b20yPlBNQzU4MjE5MDk8L2N1c3RvbTI+PGVsZWN0
cm9uaWMtcmVzb3VyY2UtbnVtPjEwLjExNjQvcmNjbS4yMDE3MDgtMTU5ME9DPC9lbGVjdHJvbmlj
LXJlc291cmNlLW51bT48cmVtb3RlLWRhdGFiYXNlLXByb3ZpZGVyPk5MTTwvcmVtb3RlLWRhdGFi
YXNlLXByb3ZpZGVyPjxsYW5ndWFnZT5lbmc8L2xhbmd1YWdlPjwvcmVjb3JkPjwvQ2l0ZT48L0Vu
ZE5vdGU+AG==
</w:fldData>
            </w:fldChar>
          </w:r>
          <w:r w:rsidRPr="00F01D93">
            <w:instrText xml:space="preserve"> ADDIN EN.CITE.DATA </w:instrText>
          </w:r>
          <w:r w:rsidRPr="00F01D93">
            <w:fldChar w:fldCharType="end"/>
          </w:r>
          <w:r w:rsidRPr="00F01D93">
            <w:fldChar w:fldCharType="separate"/>
          </w:r>
          <w:r w:rsidRPr="00F01D93">
            <w:rPr>
              <w:noProof/>
            </w:rPr>
            <w:t>(Reidel, Radicioni et al. 2018)</w:t>
          </w:r>
          <w:r w:rsidRPr="00F01D93">
            <w:fldChar w:fldCharType="end"/>
          </w:r>
          <w:r w:rsidRPr="00F01D93">
            <w:t xml:space="preserve">. Proteome and mucin concentrations were analysed from induced sputum samples collected from 14 current cigarette smokers, 15 current e-cigarette users (consisting of 7 previous smokers, 5 occasional smokers and 3 never smokers) and 15 never smokers (n=44). </w:t>
          </w:r>
        </w:p>
        <w:p w14:paraId="040477CE" w14:textId="77777777" w:rsidR="00301538" w:rsidRDefault="00301538" w:rsidP="00301538">
          <w:pPr>
            <w:pStyle w:val="BodyText"/>
          </w:pPr>
          <w:r w:rsidRPr="00F01D93">
            <w:t>The protein mucus composition of e-cigarette users was found to be different to that of both cigarette smokers and non-smokers. Compared with non-smokers, induced sputum from e</w:t>
          </w:r>
          <w:r>
            <w:noBreakHyphen/>
          </w:r>
          <w:r w:rsidRPr="00F01D93">
            <w:t>cigarette users contained approximately 81 proteins with significantly altered abundance. This was higher than that of cigarette smokers whose sputum contained approximately 44 proteins with altered abundance compared to non-smokers. The sputum proteome of e-cigarette users s</w:t>
          </w:r>
          <w:r>
            <w:t>howed an upregulation of a protein marker</w:t>
          </w:r>
          <w:r w:rsidRPr="00F01D93">
            <w:t xml:space="preserve"> known to be associated with smoking (aldehyde</w:t>
          </w:r>
          <w:r>
            <w:noBreakHyphen/>
          </w:r>
          <w:r w:rsidRPr="00F01D93">
            <w:t>detoxifying enzyme aldehyde dehydrogenase 3A1, p</w:t>
          </w:r>
          <w:r w:rsidRPr="00F01D93">
            <w:rPr>
              <w:rFonts w:cs="Calibri"/>
            </w:rPr>
            <w:t>≤</w:t>
          </w:r>
          <w:r>
            <w:t>0.05</w:t>
          </w:r>
          <w:r w:rsidRPr="00F01D93">
            <w:t>) and an upregulation of proteins involved in the oxidative stress response (thioredoxin, p</w:t>
          </w:r>
          <w:r w:rsidRPr="00F01D93">
            <w:rPr>
              <w:rFonts w:cs="Calibri"/>
            </w:rPr>
            <w:t>≤</w:t>
          </w:r>
          <w:r>
            <w:t>0.001</w:t>
          </w:r>
          <w:r w:rsidRPr="00F01D93">
            <w:t>; and gluthione S</w:t>
          </w:r>
          <w:r>
            <w:noBreakHyphen/>
          </w:r>
          <w:r w:rsidRPr="00F01D93">
            <w:t>transferase, p</w:t>
          </w:r>
          <w:r w:rsidRPr="00F01D93">
            <w:rPr>
              <w:rFonts w:cs="Calibri"/>
            </w:rPr>
            <w:t>≤</w:t>
          </w:r>
          <w:r w:rsidRPr="00F01D93">
            <w:t>0.0</w:t>
          </w:r>
          <w:r>
            <w:t>5</w:t>
          </w:r>
          <w:r w:rsidRPr="00F01D93">
            <w:t>)</w:t>
          </w:r>
          <w:r>
            <w:t xml:space="preserve">. </w:t>
          </w:r>
        </w:p>
        <w:p w14:paraId="3A74DEFF" w14:textId="520B9919" w:rsidR="00301538" w:rsidRDefault="00301538" w:rsidP="00301538">
          <w:pPr>
            <w:pStyle w:val="BodyText"/>
          </w:pPr>
          <w:r>
            <w:lastRenderedPageBreak/>
            <w:t>There were higher levels of proteins associated with the innate immune response in both e</w:t>
          </w:r>
          <w:r w:rsidR="00F70203">
            <w:noBreakHyphen/>
          </w:r>
          <w:r>
            <w:t xml:space="preserve">cigarette users and cigarette smokers compared to non-smokers, however the specific proteins that were higher in these two groups differed. Unlike the sputum of cigarette smokers, higher levels of the mucosal proteins lactotransferrin, trefoil factor 3, deleted in malignant brain tumors 1 (DMBT1) and lysozyme C were </w:t>
          </w:r>
          <w:r w:rsidRPr="00957539">
            <w:rPr>
              <w:u w:val="single"/>
            </w:rPr>
            <w:t>not</w:t>
          </w:r>
          <w:r>
            <w:t xml:space="preserve"> observed in the sputum of e</w:t>
          </w:r>
          <w:r>
            <w:noBreakHyphen/>
            <w:t>cigarette users compared to non</w:t>
          </w:r>
          <w:r>
            <w:noBreakHyphen/>
            <w:t>smokers. In fact, lower levels of some of these proteins were observed (eg DMBT 1, p</w:t>
          </w:r>
          <w:r w:rsidRPr="00947A84">
            <w:rPr>
              <w:rFonts w:cs="Calibri"/>
            </w:rPr>
            <w:t>≤</w:t>
          </w:r>
          <w:r>
            <w:t>0.05;</w:t>
          </w:r>
          <w:r w:rsidRPr="00947A84">
            <w:t xml:space="preserve"> lysozyme C, p</w:t>
          </w:r>
          <w:r w:rsidRPr="00947A84">
            <w:rPr>
              <w:rFonts w:cs="Calibri"/>
            </w:rPr>
            <w:t>≤</w:t>
          </w:r>
          <w:r w:rsidRPr="00947A84">
            <w:t>0.01</w:t>
          </w:r>
          <w:r>
            <w:t>). However, higher levels of other mucosal proteins were observed in the sputum of e-cigarette users compared to non-smokers (neutrophil elastase, p</w:t>
          </w:r>
          <w:r w:rsidRPr="00771BE0">
            <w:rPr>
              <w:rFonts w:cs="Calibri"/>
            </w:rPr>
            <w:t>≤</w:t>
          </w:r>
          <w:r w:rsidRPr="00771BE0">
            <w:t>0.005; proteinase 3, p</w:t>
          </w:r>
          <w:r w:rsidRPr="00771BE0">
            <w:rPr>
              <w:rFonts w:cs="Calibri"/>
            </w:rPr>
            <w:t>≤</w:t>
          </w:r>
          <w:r w:rsidRPr="00771BE0">
            <w:t>0.01; azurocidin, p</w:t>
          </w:r>
          <w:r w:rsidRPr="00771BE0">
            <w:rPr>
              <w:rFonts w:cs="Calibri"/>
            </w:rPr>
            <w:t>≤</w:t>
          </w:r>
          <w:r w:rsidRPr="00771BE0">
            <w:t>0.01; myeloperoxidase, p</w:t>
          </w:r>
          <w:r w:rsidRPr="00771BE0">
            <w:rPr>
              <w:rFonts w:cs="Calibri"/>
            </w:rPr>
            <w:t>≤</w:t>
          </w:r>
          <w:r w:rsidRPr="00771BE0">
            <w:t>0.01; matrix metalloproteinase, p</w:t>
          </w:r>
          <w:r w:rsidRPr="00771BE0">
            <w:rPr>
              <w:rFonts w:cs="Calibri"/>
            </w:rPr>
            <w:t>≤</w:t>
          </w:r>
          <w:r w:rsidRPr="00771BE0">
            <w:t>0.05).</w:t>
          </w:r>
          <w:r>
            <w:t xml:space="preserve"> </w:t>
          </w:r>
        </w:p>
        <w:p w14:paraId="309BA937" w14:textId="77777777" w:rsidR="00301538" w:rsidRDefault="00301538" w:rsidP="00301538">
          <w:pPr>
            <w:pStyle w:val="BodyText"/>
          </w:pPr>
          <w:r>
            <w:t>The levels of many of these proteins were also significantly higher than that observed in cigarette smokers’ sputum. Higher levels of these specific proteins are indicative of neutrophil protein enrichment in e-cigarette users, however, overall neutrophil cell counts were not higher in e</w:t>
          </w:r>
          <w:r>
            <w:noBreakHyphen/>
            <w:t xml:space="preserve">cigarette users compared to non-smokers, suggesting this altered protein profile is not due to a greater number of neutrophils. </w:t>
          </w:r>
        </w:p>
        <w:p w14:paraId="5EB76EE2" w14:textId="3B499E15" w:rsidR="00301538" w:rsidRDefault="00301538" w:rsidP="00301538">
          <w:pPr>
            <w:pStyle w:val="BodyText"/>
          </w:pPr>
          <w:r>
            <w:t>Other proteins associated with neutrophil extracellular traps (NETs) were also higher in e-cigarette users (and not higher in cigarette smokers) compared to non-smokers (calprotectin, p</w:t>
          </w:r>
          <w:r w:rsidRPr="00BF08AE">
            <w:rPr>
              <w:rFonts w:cs="Calibri"/>
            </w:rPr>
            <w:t>≤</w:t>
          </w:r>
          <w:r w:rsidRPr="00BF08AE">
            <w:t>0.005; coronin-1, p</w:t>
          </w:r>
          <w:r w:rsidRPr="00BF08AE">
            <w:rPr>
              <w:rFonts w:cs="Calibri"/>
            </w:rPr>
            <w:t>≤</w:t>
          </w:r>
          <w:r w:rsidRPr="00BF08AE">
            <w:t>0.005; peptidylarginine deiminase 4, p</w:t>
          </w:r>
          <w:r w:rsidRPr="00BF08AE">
            <w:rPr>
              <w:rFonts w:cs="Calibri"/>
            </w:rPr>
            <w:t>≤</w:t>
          </w:r>
          <w:r w:rsidRPr="00BF08AE">
            <w:t>0.05)</w:t>
          </w:r>
          <w:r>
            <w:t xml:space="preserve">, indicating an increase in NET formation in the airways of e-cigarette users. Concentration of mucin MUC5AC and the MUC5AC/MUC5B ratio in sputum, both of which are correlated with COPD progression, were higher in e-cigarette users compared to non-smokers (p=0.05 for both).  </w:t>
          </w:r>
        </w:p>
        <w:p w14:paraId="3E25AE04" w14:textId="77777777" w:rsidR="00301538" w:rsidRDefault="00301538" w:rsidP="00301538">
          <w:pPr>
            <w:pStyle w:val="BodyText"/>
          </w:pPr>
        </w:p>
        <w:p w14:paraId="4691A818" w14:textId="67BD430D" w:rsidR="00301538" w:rsidRDefault="00602AD8" w:rsidP="00301538">
          <w:pPr>
            <w:pStyle w:val="Heading3"/>
          </w:pPr>
          <w:r>
            <w:t>Asthma</w:t>
          </w:r>
        </w:p>
        <w:p w14:paraId="5CEA75FC" w14:textId="77777777" w:rsidR="00301538" w:rsidRDefault="00301538" w:rsidP="00301538">
          <w:pPr>
            <w:pStyle w:val="BodyText"/>
          </w:pPr>
          <w:r w:rsidRPr="000F7327">
            <w:t>In a US cross-sectional study (n=6</w:t>
          </w:r>
          <w:r>
            <w:t>,</w:t>
          </w:r>
          <w:r w:rsidRPr="000F7327">
            <w:t xml:space="preserve">089) Schweitzer et al. </w:t>
          </w:r>
          <w:r w:rsidRPr="000F7327">
            <w:fldChar w:fldCharType="begin"/>
          </w:r>
          <w:r>
            <w:instrText xml:space="preserve"> ADDIN EN.CITE &lt;EndNote&gt;&lt;Cite&gt;&lt;Author&gt;Schweitzer&lt;/Author&gt;&lt;Year&gt;2017&lt;/Year&gt;&lt;RecNum&gt;887&lt;/RecNum&gt;&lt;DisplayText&gt;(Schweitzer, Wills et al. 2017)&lt;/DisplayText&gt;&lt;record&gt;&lt;rec-number&gt;887&lt;/rec-number&gt;&lt;foreign-keys&gt;&lt;key app="EN" db-id="9vs9pzfznapxphefa28xzw95sf5av0sv9rdz" timestamp="1521159385"&gt;887&lt;/key&gt;&lt;/foreign-keys&gt;&lt;ref-type name="Journal Article"&gt;17&lt;/ref-type&gt;&lt;contributors&gt;&lt;authors&gt;&lt;author&gt;Schweitzer, R. J.&lt;/author&gt;&lt;author&gt;Wills, T. A.&lt;/author&gt;&lt;author&gt;Tam, E.&lt;/author&gt;&lt;author&gt;Pagano, I.&lt;/author&gt;&lt;author&gt;Choi, K.&lt;/author&gt;&lt;/authors&gt;&lt;/contributors&gt;&lt;auth-address&gt;Office of Public Health Studies, University of Hawaii at Manoa, Honolulu, HI, USA. Electronic address: rjwillia@hawaii.edu.&amp;#xD;Cancer Prevention in the Pacific Program, University of Hawaii Cancer Center, Honolulu, HI, USA.&amp;#xD;Department of Medicine, John A. Burns School of Medicine, Honolulu, HI, USA.&amp;#xD;Division of Intramural Research, National Institute on Minority Health and Health Disparities, Bethesda, MD, USA.&lt;/auth-address&gt;&lt;titles&gt;&lt;title&gt;E-cigarette use and asthma in a multiethnic sample of adolescents&lt;/title&gt;&lt;secondary-title&gt;Prev Med&lt;/secondary-title&gt;&lt;alt-title&gt;Preventive medicine&lt;/alt-title&gt;&lt;/titles&gt;&lt;alt-periodical&gt;&lt;full-title&gt;Preventive Medicine&lt;/full-title&gt;&lt;/alt-periodical&gt;&lt;pages&gt;226-231&lt;/pages&gt;&lt;volume&gt;105&lt;/volume&gt;&lt;edition&gt;2017/10/02&lt;/edition&gt;&lt;keywords&gt;&lt;keyword&gt;Adolescents&lt;/keyword&gt;&lt;keyword&gt;Asthma&lt;/keyword&gt;&lt;keyword&gt;E-cigarettes&lt;/keyword&gt;&lt;keyword&gt;Ethnicity&lt;/keyword&gt;&lt;/keywords&gt;&lt;dates&gt;&lt;year&gt;2017&lt;/year&gt;&lt;pub-dates&gt;&lt;date&gt;Dec&lt;/date&gt;&lt;/pub-dates&gt;&lt;/dates&gt;&lt;isbn&gt;0091-7435&lt;/isbn&gt;&lt;accession-num&gt;28964850&lt;/accession-num&gt;&lt;urls&gt;&lt;/urls&gt;&lt;custom2&gt;PMC5653431&lt;/custom2&gt;&lt;custom6&gt;NIHMS908747&lt;/custom6&gt;&lt;electronic-resource-num&gt;10.1016/j.ypmed.2017.09.023&lt;/electronic-resource-num&gt;&lt;remote-database-provider&gt;NLM&lt;/remote-database-provider&gt;&lt;language&gt;eng&lt;/language&gt;&lt;/record&gt;&lt;/Cite&gt;&lt;/EndNote&gt;</w:instrText>
          </w:r>
          <w:r w:rsidRPr="000F7327">
            <w:fldChar w:fldCharType="separate"/>
          </w:r>
          <w:r w:rsidRPr="000F7327">
            <w:rPr>
              <w:noProof/>
            </w:rPr>
            <w:t>(Schweitzer, Wills et al. 2017)</w:t>
          </w:r>
          <w:r w:rsidRPr="000F7327">
            <w:fldChar w:fldCharType="end"/>
          </w:r>
          <w:r w:rsidRPr="000F7327">
            <w:t xml:space="preserve"> sought to test the hypothesis that e-cigarette use among </w:t>
          </w:r>
          <w:r w:rsidRPr="000F7327">
            <w:rPr>
              <w:b/>
            </w:rPr>
            <w:t>adolescents</w:t>
          </w:r>
          <w:r w:rsidRPr="000F7327">
            <w:t xml:space="preserve"> was associated with </w:t>
          </w:r>
          <w:r w:rsidRPr="000F7327">
            <w:rPr>
              <w:b/>
            </w:rPr>
            <w:t xml:space="preserve">asthma </w:t>
          </w:r>
          <w:r w:rsidRPr="000F7327">
            <w:t>independently of cigarette smoking. This study used data from the 2015 H</w:t>
          </w:r>
          <w:r>
            <w:t>YRBS, a survey conducted every two</w:t>
          </w:r>
          <w:r w:rsidRPr="000F7327">
            <w:t xml:space="preserve"> years by the University of Hawaii with students of public middle and high schools (9th-12th grade, mean age 15.2 years) in Hawaii (78% response rate). The study population was highly culturally diverse. </w:t>
          </w:r>
        </w:p>
        <w:p w14:paraId="29BD3983" w14:textId="77777777" w:rsidR="00301538" w:rsidRDefault="00301538" w:rsidP="00301538">
          <w:pPr>
            <w:pStyle w:val="BodyText"/>
          </w:pPr>
          <w:r w:rsidRPr="000F7327">
            <w:rPr>
              <w:b/>
            </w:rPr>
            <w:t>Current e-cigarette</w:t>
          </w:r>
          <w:r w:rsidRPr="000F7327">
            <w:t xml:space="preserve"> use was significantly associated with current asthma vs never having asthma (adjusted OR 1.48, CI 1.24-1.78) and previous asthma vs never having asthma (AOR 1.20, CI</w:t>
          </w:r>
          <w:r>
            <w:t xml:space="preserve"> </w:t>
          </w:r>
          <w:r w:rsidRPr="000F7327">
            <w:t>1.00</w:t>
          </w:r>
          <w:r>
            <w:noBreakHyphen/>
          </w:r>
          <w:r w:rsidRPr="000F7327">
            <w:t>1.44). This was independent of conventional cigarettes or marijuana use, which were non</w:t>
          </w:r>
          <w:r>
            <w:noBreakHyphen/>
          </w:r>
          <w:r w:rsidRPr="000F7327">
            <w:t xml:space="preserve">significant in the multivariate analysis. There was a significant association of </w:t>
          </w:r>
          <w:r w:rsidRPr="000F7327">
            <w:rPr>
              <w:b/>
            </w:rPr>
            <w:t>ever e-cigarette use</w:t>
          </w:r>
          <w:r w:rsidRPr="000F7327">
            <w:t xml:space="preserve"> with currently having asthma (compared to never) (AOR 1.22, CI 1.01-1.47), and a marginal association for previously having asthma (AOR 1.19, CI 0.99-1.43). E-cigarette use and cigarette smoking were substantially correlated. </w:t>
          </w:r>
        </w:p>
        <w:p w14:paraId="5B541ED2" w14:textId="53D0A3DD" w:rsidR="00301538" w:rsidRDefault="00301538" w:rsidP="00301538">
          <w:pPr>
            <w:pStyle w:val="BodyText"/>
          </w:pPr>
          <w:r w:rsidRPr="000F7327">
            <w:lastRenderedPageBreak/>
            <w:t xml:space="preserve">The study concludes that the interpretation that e-cigarette use has a contributory role for asthma is plausible, but the issue of temporal ordering needs to be further examined, i.e. the association shown </w:t>
          </w:r>
          <w:r>
            <w:t>is</w:t>
          </w:r>
          <w:r w:rsidRPr="000F7327">
            <w:t xml:space="preserve"> possibly explained by those with existing asthma switch</w:t>
          </w:r>
          <w:r>
            <w:t>ing</w:t>
          </w:r>
          <w:r w:rsidRPr="000F7327">
            <w:t xml:space="preserve"> from smoking to e-cigarettes. The authors state that a reverse-causation argument (i.e. having asthma causes adolescent smokers to use e-cigarettes) is implausible because the base rates of the behaviours are quite different (45% of the population having ever used e-cigarettes whilst cigarette use was 25%). However, these findings should be further explored through prospective studies. Limitations also include the survey category ‘ever having asthma’ could have represented asthma occurring in distant childhood rather than recent asthma.</w:t>
          </w:r>
          <w:r w:rsidR="008146F9">
            <w:t xml:space="preserve"> </w:t>
          </w:r>
        </w:p>
        <w:p w14:paraId="401E94EF" w14:textId="77777777" w:rsidR="00301538" w:rsidRDefault="00301538" w:rsidP="00301538">
          <w:pPr>
            <w:pStyle w:val="BodyText"/>
          </w:pPr>
          <w:r>
            <w:t xml:space="preserve">Kim et al.’s large cross-sectional study (n=216,056; including n= 211,166 without asthma and 4,890 with asthma) from South Korea considered the association between </w:t>
          </w:r>
          <w:r>
            <w:rPr>
              <w:b/>
            </w:rPr>
            <w:t xml:space="preserve">asthma </w:t>
          </w:r>
          <w:r>
            <w:t>(recent 12 months)</w:t>
          </w:r>
          <w:r>
            <w:rPr>
              <w:b/>
            </w:rPr>
            <w:t xml:space="preserve"> </w:t>
          </w:r>
          <w:r>
            <w:t xml:space="preserve">and active, passive and e-cigarette smoking in adolescents </w:t>
          </w:r>
          <w:r>
            <w:fldChar w:fldCharType="begin"/>
          </w:r>
          <w:r>
            <w:instrText xml:space="preserve"> ADDIN EN.CITE &lt;EndNote&gt;&lt;Cite&gt;&lt;Author&gt;Kim&lt;/Author&gt;&lt;Year&gt;2017&lt;/Year&gt;&lt;RecNum&gt;702&lt;/RecNum&gt;&lt;DisplayText&gt;(Kim, Sim et al. 2017)&lt;/DisplayText&gt;&lt;record&gt;&lt;rec-number&gt;702&lt;/rec-number&gt;&lt;foreign-keys&gt;&lt;key app="EN" db-id="9vs9pzfznapxphefa28xzw95sf5av0sv9rdz" timestamp="1521159352"&gt;702&lt;/key&gt;&lt;key app="ENWeb" db-id=""&gt;0&lt;/key&gt;&lt;/foreign-keys&gt;&lt;ref-type name="Journal Article"&gt;17&lt;/ref-type&gt;&lt;contributors&gt;&lt;authors&gt;&lt;author&gt;Kim, S. Y.&lt;/author&gt;&lt;author&gt;Sim, S.&lt;/author&gt;&lt;author&gt;Choi, H. G.&lt;/author&gt;&lt;/authors&gt;&lt;/contributors&gt;&lt;auth-address&gt;Department of Otorhinolaryngology-Head &amp;amp; Neck Surgery, CHA Bundang Medical Center, CHA University, Seongnam, Korea.&amp;#xD;Department of Statistics, Hallym University, Chuncheon, Korea.&amp;#xD;Department of Otorhinolaryngology-Head &amp;amp; Neck Surgery, Hallym University Sacred Heart Hospital, Anyang, Korea. pupen@naver.com.&lt;/auth-address&gt;&lt;titles&gt;&lt;title&gt;Active, passive, and electronic cigarette smoking is associated with asthma in adolescents&lt;/title&gt;&lt;secondary-title&gt;Sci Rep&lt;/secondary-title&gt;&lt;alt-title&gt;Scientific reports&lt;/alt-title&gt;&lt;/titles&gt;&lt;alt-periodical&gt;&lt;full-title&gt;Scientific Reports&lt;/full-title&gt;&lt;/alt-periodical&gt;&lt;pages&gt;17789&lt;/pages&gt;&lt;volume&gt;7&lt;/volume&gt;&lt;number&gt;1&lt;/number&gt;&lt;edition&gt;2017/12/21&lt;/edition&gt;&lt;dates&gt;&lt;year&gt;2017&lt;/year&gt;&lt;pub-dates&gt;&lt;date&gt;Dec 19&lt;/date&gt;&lt;/pub-dates&gt;&lt;/dates&gt;&lt;isbn&gt;2045-2322&lt;/isbn&gt;&lt;accession-num&gt;29259221&lt;/accession-num&gt;&lt;urls&gt;&lt;/urls&gt;&lt;custom2&gt;PMC5736689&lt;/custom2&gt;&lt;electronic-resource-num&gt;10.1038/s41598-017-17958-y&lt;/electronic-resource-num&gt;&lt;remote-database-provider&gt;NLM&lt;/remote-database-provider&gt;&lt;language&gt;eng&lt;/language&gt;&lt;/record&gt;&lt;/Cite&gt;&lt;/EndNote&gt;</w:instrText>
          </w:r>
          <w:r>
            <w:fldChar w:fldCharType="separate"/>
          </w:r>
          <w:r>
            <w:rPr>
              <w:noProof/>
            </w:rPr>
            <w:t>(Kim, Sim et al. 2017)</w:t>
          </w:r>
          <w:r>
            <w:fldChar w:fldCharType="end"/>
          </w:r>
          <w:r>
            <w:t>. Subjects were Korean adolescents from 7th to 12th grade (12 - 18 years of age) who participated in the Korea Youth Risk Behaviour web-based Survey in 2011, 2012 and 2013. Current e-cigarette use was defined as any use in the last 30 days. Prevalence of e-cigarette vaping in this population sample was 8%. E-cigarette users were more likely to be both active and passive smokers (p</w:t>
          </w:r>
          <w:r>
            <w:rPr>
              <w:rFonts w:cs="Calibri"/>
            </w:rPr>
            <w:t>&lt;</w:t>
          </w:r>
          <w:r>
            <w:t xml:space="preserve">0.001). </w:t>
          </w:r>
        </w:p>
        <w:p w14:paraId="70447E19" w14:textId="7DE7ED2D" w:rsidR="00301538" w:rsidRDefault="00301538" w:rsidP="00301538">
          <w:pPr>
            <w:pStyle w:val="BodyText"/>
          </w:pPr>
          <w:r>
            <w:t>After adjusting for age, physical exercise, sex, obesity, region of residence, economic level, educational level of father and mother, and active and passive smoking, current e-cigarette use was associated with asthma (AOR [95%CI] 1.13 [1.01-1.26], p=0.027). Whilst the study has a large sample size and adjusted for a number of potential confounders, it was cross-sectional only and variables such as family history of asthma and parental smoking, and past smoking history were not accounted for. The relationship between e-cigarette use and asthma may also be explained by smokers with asthma switching to e-cigarettes.</w:t>
          </w:r>
          <w:r w:rsidR="008146F9">
            <w:t xml:space="preserve"> </w:t>
          </w:r>
          <w:r>
            <w:t>Additionally, smoking and asthma status were self</w:t>
          </w:r>
          <w:r w:rsidR="001B093A">
            <w:noBreakHyphen/>
          </w:r>
          <w:r>
            <w:t>reported which may result in misclassification and introduce bias, and ‘dual use’ of conventional and e-cigarettes was not accounted for.</w:t>
          </w:r>
        </w:p>
        <w:p w14:paraId="0EA666CB" w14:textId="77777777" w:rsidR="00301538" w:rsidRDefault="00301538" w:rsidP="00301538">
          <w:pPr>
            <w:pStyle w:val="BodyText"/>
          </w:pPr>
        </w:p>
        <w:p w14:paraId="20C227D4" w14:textId="77777777" w:rsidR="00301538" w:rsidRDefault="00301538" w:rsidP="00301538">
          <w:pPr>
            <w:pStyle w:val="Heading3"/>
          </w:pPr>
          <w:r>
            <w:t xml:space="preserve">Bronchitis </w:t>
          </w:r>
        </w:p>
        <w:p w14:paraId="537EBEB1" w14:textId="77777777" w:rsidR="00301538" w:rsidRDefault="00301538" w:rsidP="00301538">
          <w:pPr>
            <w:pStyle w:val="BodyText"/>
          </w:pPr>
          <w:r>
            <w:t xml:space="preserve">A few studies referred to self-reports of bronchitis symptoms </w:t>
          </w:r>
          <w:r>
            <w:fldChar w:fldCharType="begin">
              <w:fldData xml:space="preserve">PEVuZE5vdGU+PENpdGU+PEF1dGhvcj5NY0Nvbm5lbGw8L0F1dGhvcj48WWVhcj4yMDE3PC9ZZWFy
PjxSZWNOdW0+MTQ4NDwvUmVjTnVtPjxEaXNwbGF5VGV4dD4oTWNDb25uZWxsLCBCYXJyaW5ndG9u
LVRyaW1pcyBldCBhbC4gMjAxNyk8L0Rpc3BsYXlUZXh0PjxyZWNvcmQ+PHJlYy1udW1iZXI+MTQ4
NDwvcmVjLW51bWJlcj48Zm9yZWlnbi1rZXlzPjxrZXkgYXBwPSJFTiIgZGItaWQ9Ijl2czlwemZ6
bmFweHBoZWZhMjh4enc5NXNmNWF2MHN2OXJkeiIgdGltZXN0YW1wPSIxNTIxMTU5NDM4Ij4xNDg0
PC9rZXk+PGtleSBhcHA9IkVOV2ViIiBkYi1pZD0iIj4wPC9rZXk+PC9mb3JlaWduLWtleXM+PHJl
Zi10eXBlIG5hbWU9IkpvdXJuYWwgQXJ0aWNsZSI+MTc8L3JlZi10eXBlPjxjb250cmlidXRvcnM+
PGF1dGhvcnM+PGF1dGhvcj5NY0Nvbm5lbGwsIFIuPC9hdXRob3I+PGF1dGhvcj5CYXJyaW5ndG9u
LVRyaW1pcywgSi4gTC48L2F1dGhvcj48YXV0aG9yPldhbmcsIEsuPC9hdXRob3I+PGF1dGhvcj5V
cm1hbiwgUi48L2F1dGhvcj48YXV0aG9yPkhvbmcsIEguPC9hdXRob3I+PGF1dGhvcj5Vbmdlciwg
Si48L2F1dGhvcj48YXV0aG9yPlNhbWV0LCBKLjwvYXV0aG9yPjxhdXRob3I+TGV2ZW50aGFsLCBB
LjwvYXV0aG9yPjxhdXRob3I+QmVyaGFuZSwgSy48L2F1dGhvcj48L2F1dGhvcnM+PC9jb250cmli
dXRvcnM+PGF1dGgtYWRkcmVzcz4xIERlcGFydG1lbnQgb2YgUHJldmVudGl2ZSBNZWRpY2luZSwg
S2VjayBTY2hvb2wgb2YgTWVkaWNpbmUsIFVuaXZlcnNpdHkgb2YgU291dGhlcm4gQ2FsaWZvcm5p
YSwgTG9zIEFuZ2VsZXMsIENhbGlmb3JuaWE7IGFuZC4mI3hEOzIgRGl2aXNpb24gb2YgUHVsbW9u
YXJ5IE1lZGljaW5lLCBEZXBhcnRtZW50IG9mIFBlZGlhdHJpY3MsIENoaWxkcmVuJmFwb3M7cyBI
b3NwaXRhbCBMb3MgQW5nZWxlcywgTG9zIEFuZ2VsZXMsIENhbGlmb3JuaWEuPC9hdXRoLWFkZHJl
c3M+PHRpdGxlcz48dGl0bGU+RWxlY3Ryb25pYyBDaWdhcmV0dGUgVXNlIGFuZCBSZXNwaXJhdG9y
eSBTeW1wdG9tcyBpbiBBZG9sZXNjZW50czwvdGl0bGU+PHNlY29uZGFyeS10aXRsZT5BbSBKIFJl
c3BpciBDcml0IENhcmUgTWVkPC9zZWNvbmRhcnktdGl0bGU+PGFsdC10aXRsZT5BbWVyaWNhbiBq
b3VybmFsIG9mIHJlc3BpcmF0b3J5IGFuZCBjcml0aWNhbCBjYXJlIG1lZGljaW5lPC9hbHQtdGl0
bGU+PC90aXRsZXM+PHBlcmlvZGljYWw+PGZ1bGwtdGl0bGU+QW0gSiBSZXNwaXIgQ3JpdCBDYXJl
IE1lZDwvZnVsbC10aXRsZT48YWJici0xPkFtZXJpY2FuIGpvdXJuYWwgb2YgcmVzcGlyYXRvcnkg
YW5kIGNyaXRpY2FsIGNhcmUgbWVkaWNpbmU8L2FiYnItMT48L3BlcmlvZGljYWw+PGFsdC1wZXJp
b2RpY2FsPjxmdWxsLXRpdGxlPkFtIEogUmVzcGlyIENyaXQgQ2FyZSBNZWQ8L2Z1bGwtdGl0bGU+
PGFiYnItMT5BbWVyaWNhbiBqb3VybmFsIG9mIHJlc3BpcmF0b3J5IGFuZCBjcml0aWNhbCBjYXJl
IG1lZGljaW5lPC9hYmJyLTE+PC9hbHQtcGVyaW9kaWNhbD48cGFnZXM+MTA0My0xMDQ5PC9wYWdl
cz48dm9sdW1lPjE5NTwvdm9sdW1lPjxudW1iZXI+ODwvbnVtYmVyPjxlZGl0aW9uPjIwMTYvMTEv
MDM8L2VkaXRpb24+PGtleXdvcmRzPjxrZXl3b3JkPkFkb2xlc2NlbnQ8L2tleXdvcmQ+PGtleXdv
cmQ+QnJvbmNoaXRpcywgQ2hyb25pYy8qZXBpZGVtaW9sb2d5PC9rZXl3b3JkPjxrZXl3b3JkPkNh
bGlmb3JuaWEvZXBpZGVtaW9sb2d5PC9rZXl3b3JkPjxrZXl3b3JkPkVsZWN0cm9uaWMgTmljb3Rp
bmUgRGVsaXZlcnkgU3lzdGVtcy8qc3RhdGlzdGljcyAmYW1wOyBudW1lcmljYWwgZGF0YTwva2V5
d29yZD48a2V5d29yZD5GZW1hbGU8L2tleXdvcmQ+PGtleXdvcmQ+SGVhbHRoIFN1cnZleXMvKnN0
YXRpc3RpY3MgJmFtcDsgbnVtZXJpY2FsIGRhdGE8L2tleXdvcmQ+PGtleXdvcmQ+SHVtYW5zPC9r
ZXl3b3JkPjxrZXl3b3JkPk1hbGU8L2tleXdvcmQ+PGtleXdvcmQ+T2RkcyBSYXRpbzwva2V5d29y
ZD48a2V5d29yZD5Qcm9zcGVjdGl2ZSBTdHVkaWVzPC9rZXl3b3JkPjxrZXl3b3JkPipSZXNwaXJh
dG9yeSBTb3VuZHM8L2tleXdvcmQ+PGtleXdvcmQ+U2VsZiBSZXBvcnQ8L2tleXdvcmQ+PGtleXdv
cmQ+U3VydmV5cyBhbmQgUXVlc3Rpb25uYWlyZXM8L2tleXdvcmQ+PGtleXdvcmQ+YnJvbmNoaXRp
czwva2V5d29yZD48a2V5d29yZD5lLWNpZ2FyZXR0ZXM8L2tleXdvcmQ+PGtleXdvcmQ+c21va2lu
ZyBpbiB5b3VuZyBhZHVsdHM8L2tleXdvcmQ+PC9rZXl3b3Jkcz48ZGF0ZXM+PHllYXI+MjAxNzwv
eWVhcj48cHViLWRhdGVzPjxkYXRlPkFwciAxNTwvZGF0ZT48L3B1Yi1kYXRlcz48L2RhdGVzPjxp
c2JuPjEwNzMtNDQ5eDwvaXNibj48YWNjZXNzaW9uLW51bT4yNzgwNjIxMTwvYWNjZXNzaW9uLW51
bT48dXJscz48L3VybHM+PGN1c3RvbTI+UE1DNTQyMjY0NzwvY3VzdG9tMj48ZWxlY3Ryb25pYy1y
ZXNvdXJjZS1udW0+MTAuMTE2NC9yY2NtLjIwMTYwNC0wODA0T0M8L2VsZWN0cm9uaWMtcmVzb3Vy
Y2UtbnVtPjxyZW1vdGUtZGF0YWJhc2UtcHJvdmlkZXI+TkxNPC9yZW1vdGUtZGF0YWJhc2UtcHJv
dmlkZXI+PGxhbmd1YWdlPmVuZzwvbGFuZ3VhZ2U+PC9yZWNvcmQ+PC9DaXRlPjwvRW5kTm90ZT4A
</w:fldData>
            </w:fldChar>
          </w:r>
          <w:r>
            <w:instrText xml:space="preserve"> ADDIN EN.CITE </w:instrText>
          </w:r>
          <w:r>
            <w:fldChar w:fldCharType="begin">
              <w:fldData xml:space="preserve">PEVuZE5vdGU+PENpdGU+PEF1dGhvcj5NY0Nvbm5lbGw8L0F1dGhvcj48WWVhcj4yMDE3PC9ZZWFy
PjxSZWNOdW0+MTQ4NDwvUmVjTnVtPjxEaXNwbGF5VGV4dD4oTWNDb25uZWxsLCBCYXJyaW5ndG9u
LVRyaW1pcyBldCBhbC4gMjAxNyk8L0Rpc3BsYXlUZXh0PjxyZWNvcmQ+PHJlYy1udW1iZXI+MTQ4
NDwvcmVjLW51bWJlcj48Zm9yZWlnbi1rZXlzPjxrZXkgYXBwPSJFTiIgZGItaWQ9Ijl2czlwemZ6
bmFweHBoZWZhMjh4enc5NXNmNWF2MHN2OXJkeiIgdGltZXN0YW1wPSIxNTIxMTU5NDM4Ij4xNDg0
PC9rZXk+PGtleSBhcHA9IkVOV2ViIiBkYi1pZD0iIj4wPC9rZXk+PC9mb3JlaWduLWtleXM+PHJl
Zi10eXBlIG5hbWU9IkpvdXJuYWwgQXJ0aWNsZSI+MTc8L3JlZi10eXBlPjxjb250cmlidXRvcnM+
PGF1dGhvcnM+PGF1dGhvcj5NY0Nvbm5lbGwsIFIuPC9hdXRob3I+PGF1dGhvcj5CYXJyaW5ndG9u
LVRyaW1pcywgSi4gTC48L2F1dGhvcj48YXV0aG9yPldhbmcsIEsuPC9hdXRob3I+PGF1dGhvcj5V
cm1hbiwgUi48L2F1dGhvcj48YXV0aG9yPkhvbmcsIEguPC9hdXRob3I+PGF1dGhvcj5Vbmdlciwg
Si48L2F1dGhvcj48YXV0aG9yPlNhbWV0LCBKLjwvYXV0aG9yPjxhdXRob3I+TGV2ZW50aGFsLCBB
LjwvYXV0aG9yPjxhdXRob3I+QmVyaGFuZSwgSy48L2F1dGhvcj48L2F1dGhvcnM+PC9jb250cmli
dXRvcnM+PGF1dGgtYWRkcmVzcz4xIERlcGFydG1lbnQgb2YgUHJldmVudGl2ZSBNZWRpY2luZSwg
S2VjayBTY2hvb2wgb2YgTWVkaWNpbmUsIFVuaXZlcnNpdHkgb2YgU291dGhlcm4gQ2FsaWZvcm5p
YSwgTG9zIEFuZ2VsZXMsIENhbGlmb3JuaWE7IGFuZC4mI3hEOzIgRGl2aXNpb24gb2YgUHVsbW9u
YXJ5IE1lZGljaW5lLCBEZXBhcnRtZW50IG9mIFBlZGlhdHJpY3MsIENoaWxkcmVuJmFwb3M7cyBI
b3NwaXRhbCBMb3MgQW5nZWxlcywgTG9zIEFuZ2VsZXMsIENhbGlmb3JuaWEuPC9hdXRoLWFkZHJl
c3M+PHRpdGxlcz48dGl0bGU+RWxlY3Ryb25pYyBDaWdhcmV0dGUgVXNlIGFuZCBSZXNwaXJhdG9y
eSBTeW1wdG9tcyBpbiBBZG9sZXNjZW50czwvdGl0bGU+PHNlY29uZGFyeS10aXRsZT5BbSBKIFJl
c3BpciBDcml0IENhcmUgTWVkPC9zZWNvbmRhcnktdGl0bGU+PGFsdC10aXRsZT5BbWVyaWNhbiBq
b3VybmFsIG9mIHJlc3BpcmF0b3J5IGFuZCBjcml0aWNhbCBjYXJlIG1lZGljaW5lPC9hbHQtdGl0
bGU+PC90aXRsZXM+PHBlcmlvZGljYWw+PGZ1bGwtdGl0bGU+QW0gSiBSZXNwaXIgQ3JpdCBDYXJl
IE1lZDwvZnVsbC10aXRsZT48YWJici0xPkFtZXJpY2FuIGpvdXJuYWwgb2YgcmVzcGlyYXRvcnkg
YW5kIGNyaXRpY2FsIGNhcmUgbWVkaWNpbmU8L2FiYnItMT48L3BlcmlvZGljYWw+PGFsdC1wZXJp
b2RpY2FsPjxmdWxsLXRpdGxlPkFtIEogUmVzcGlyIENyaXQgQ2FyZSBNZWQ8L2Z1bGwtdGl0bGU+
PGFiYnItMT5BbWVyaWNhbiBqb3VybmFsIG9mIHJlc3BpcmF0b3J5IGFuZCBjcml0aWNhbCBjYXJl
IG1lZGljaW5lPC9hYmJyLTE+PC9hbHQtcGVyaW9kaWNhbD48cGFnZXM+MTA0My0xMDQ5PC9wYWdl
cz48dm9sdW1lPjE5NTwvdm9sdW1lPjxudW1iZXI+ODwvbnVtYmVyPjxlZGl0aW9uPjIwMTYvMTEv
MDM8L2VkaXRpb24+PGtleXdvcmRzPjxrZXl3b3JkPkFkb2xlc2NlbnQ8L2tleXdvcmQ+PGtleXdv
cmQ+QnJvbmNoaXRpcywgQ2hyb25pYy8qZXBpZGVtaW9sb2d5PC9rZXl3b3JkPjxrZXl3b3JkPkNh
bGlmb3JuaWEvZXBpZGVtaW9sb2d5PC9rZXl3b3JkPjxrZXl3b3JkPkVsZWN0cm9uaWMgTmljb3Rp
bmUgRGVsaXZlcnkgU3lzdGVtcy8qc3RhdGlzdGljcyAmYW1wOyBudW1lcmljYWwgZGF0YTwva2V5
d29yZD48a2V5d29yZD5GZW1hbGU8L2tleXdvcmQ+PGtleXdvcmQ+SGVhbHRoIFN1cnZleXMvKnN0
YXRpc3RpY3MgJmFtcDsgbnVtZXJpY2FsIGRhdGE8L2tleXdvcmQ+PGtleXdvcmQ+SHVtYW5zPC9r
ZXl3b3JkPjxrZXl3b3JkPk1hbGU8L2tleXdvcmQ+PGtleXdvcmQ+T2RkcyBSYXRpbzwva2V5d29y
ZD48a2V5d29yZD5Qcm9zcGVjdGl2ZSBTdHVkaWVzPC9rZXl3b3JkPjxrZXl3b3JkPipSZXNwaXJh
dG9yeSBTb3VuZHM8L2tleXdvcmQ+PGtleXdvcmQ+U2VsZiBSZXBvcnQ8L2tleXdvcmQ+PGtleXdv
cmQ+U3VydmV5cyBhbmQgUXVlc3Rpb25uYWlyZXM8L2tleXdvcmQ+PGtleXdvcmQ+YnJvbmNoaXRp
czwva2V5d29yZD48a2V5d29yZD5lLWNpZ2FyZXR0ZXM8L2tleXdvcmQ+PGtleXdvcmQ+c21va2lu
ZyBpbiB5b3VuZyBhZHVsdHM8L2tleXdvcmQ+PC9rZXl3b3Jkcz48ZGF0ZXM+PHllYXI+MjAxNzwv
eWVhcj48cHViLWRhdGVzPjxkYXRlPkFwciAxNTwvZGF0ZT48L3B1Yi1kYXRlcz48L2RhdGVzPjxp
c2JuPjEwNzMtNDQ5eDwvaXNibj48YWNjZXNzaW9uLW51bT4yNzgwNjIxMTwvYWNjZXNzaW9uLW51
bT48dXJscz48L3VybHM+PGN1c3RvbTI+UE1DNTQyMjY0NzwvY3VzdG9tMj48ZWxlY3Ryb25pYy1y
ZXNvdXJjZS1udW0+MTAuMTE2NC9yY2NtLjIwMTYwNC0wODA0T0M8L2VsZWN0cm9uaWMtcmVzb3Vy
Y2UtbnVtPjxyZW1vdGUtZGF0YWJhc2UtcHJvdmlkZXI+TkxNPC9yZW1vdGUtZGF0YWJhc2UtcHJv
dmlkZXI+PGxhbmd1YWdlPmVuZzwvbGFuZ3VhZ2U+PC9yZWNvcmQ+PC9DaXRlPjwvRW5kTm90ZT4A
</w:fldData>
            </w:fldChar>
          </w:r>
          <w:r>
            <w:instrText xml:space="preserve"> ADDIN EN.CITE.DATA </w:instrText>
          </w:r>
          <w:r>
            <w:fldChar w:fldCharType="end"/>
          </w:r>
          <w:r>
            <w:fldChar w:fldCharType="separate"/>
          </w:r>
          <w:r>
            <w:rPr>
              <w:noProof/>
            </w:rPr>
            <w:t>(McConnell, Barrington-Trimis et al. 2017)</w:t>
          </w:r>
          <w:r>
            <w:fldChar w:fldCharType="end"/>
          </w:r>
          <w:r>
            <w:t xml:space="preserve"> and breathing/coughing </w:t>
          </w:r>
          <w:r>
            <w:fldChar w:fldCharType="begin">
              <w:fldData xml:space="preserve">PEVuZE5vdGU+PENpdGU+PEF1dGhvcj5Qb2xvc2E8L0F1dGhvcj48WWVhcj4yMDE3PC9ZZWFyPjxS
ZWNOdW0+MTg2ODwvUmVjTnVtPjxEaXNwbGF5VGV4dD4oR3VjaHQsIEFkcmlhZW5zIGV0IGFsLiAy
MDE3LCBQb2xvc2EsIENpYmVsbGEgZXQgYWwuIDIwMTcpPC9EaXNwbGF5VGV4dD48cmVjb3JkPjxy
ZWMtbnVtYmVyPjE4Njg8L3JlYy1udW1iZXI+PGZvcmVpZ24ta2V5cz48a2V5IGFwcD0iRU4iIGRi
LWlkPSI5dnM5cHpmem5hcHhwaGVmYTI4eHp3OTVzZjVhdjBzdjlyZHoiIHRpbWVzdGFtcD0iMTUy
MTE1OTQ4NCI+MTg2ODwva2V5PjwvZm9yZWlnbi1rZXlzPjxyZWYtdHlwZSBuYW1lPSJKb3VybmFs
IEFydGljbGUiPjE3PC9yZWYtdHlwZT48Y29udHJpYnV0b3JzPjxhdXRob3JzPjxhdXRob3I+UG9s
b3NhLCBSaWNjYXJkbzwvYXV0aG9yPjxhdXRob3I+Q2liZWxsYSwgRmFiaW88L2F1dGhvcj48YXV0
aG9yPkNhcG9ubmV0dG8sIFBhc3F1YWxlPC9hdXRob3I+PGF1dGhvcj5NYWdsaWEsIE1hcmlsZW5h
PC9hdXRob3I+PGF1dGhvcj5UYXNoa2luLCBEb25hbGQ8L2F1dGhvcj48L2F1dGhvcnM+PC9jb250
cmlidXRvcnM+PHRpdGxlcz48dGl0bGU+SGVhbHRoIGltcGFjdCBvZiBlLWNpZ2FyZXR0ZXM6IGEg
cHJvc3BlY3RpdmUgMy41LXllYXIgc3R1ZHkgb2YgcmVndWxhciB1c2VycyB3aG8gaGF2ZSBuZXZl
ciBzbW9rZWQ8L3RpdGxlPjxzZWNvbmRhcnktdGl0bGU+UmVzcGlyb2xvZ3k8L3NlY29uZGFyeS10
aXRsZT48L3RpdGxlcz48cGVyaW9kaWNhbD48ZnVsbC10aXRsZT5SZXNwaXJvbG9neTwvZnVsbC10
aXRsZT48YWJici0xPlJlc3Bpcm9sb2d5IChDYXJsdG9uLCBWaWMuKTwvYWJici0xPjwvcGVyaW9k
aWNhbD48cGFnZXM+MjItMjM8L3BhZ2VzPjx2b2x1bWU+MjI8L3ZvbHVtZT48ZGF0ZXM+PHllYXI+
MjAxNzwveWVhcj48cHViLWRhdGVzPjxkYXRlPk5vdjwvZGF0ZT48L3B1Yi1kYXRlcz48L2RhdGVz
Pjxpc2JuPjEzMjMtNzc5OTwvaXNibj48YWNjZXNzaW9uLW51bT5XT1M6MDAwNDE1OTI1NzAwMDQ2
PC9hY2Nlc3Npb24tbnVtPjx1cmxzPjxyZWxhdGVkLXVybHM+PHVybD4mbHQ7R28gdG8gSVNJJmd0
OzovL1dPUzowMDA0MTU5MjU3MDAwNDY8L3VybD48L3JlbGF0ZWQtdXJscz48L3VybHM+PC9yZWNv
cmQ+PC9DaXRlPjxDaXRlPjxBdXRob3I+R3VjaHQ8L0F1dGhvcj48WWVhcj4yMDE3PC9ZZWFyPjxS
ZWNOdW0+MTAyMTwvUmVjTnVtPjxyZWNvcmQ+PHJlYy1udW1iZXI+MTAyMTwvcmVjLW51bWJlcj48
Zm9yZWlnbi1rZXlzPjxrZXkgYXBwPSJFTiIgZGItaWQ9Ijl2czlwemZ6bmFweHBoZWZhMjh4enc5
NXNmNWF2MHN2OXJkeiIgdGltZXN0YW1wPSIxNTIxMTU5Mzk3Ij4xMDIxPC9rZXk+PGtleSBhcHA9
IkVOV2ViIiBkYi1pZD0iIj4wPC9rZXk+PC9mb3JlaWduLWtleXM+PHJlZi10eXBlIG5hbWU9Ikpv
dXJuYWwgQXJ0aWNsZSI+MTc8L3JlZi10eXBlPjxjb250cmlidXRvcnM+PGF1dGhvcnM+PGF1dGhv
cj5HdWNodCwgRC4gVi48L2F1dGhvcj48YXV0aG9yPkFkcmlhZW5zLCBLLjwvYXV0aG9yPjxhdXRo
b3I+QmFleWVucywgRi48L2F1dGhvcj48L2F1dGhvcnM+PC9jb250cmlidXRvcnM+PGF1dGgtYWRk
cmVzcz5BcHBsaWVkIFBzeWNob2xvZ3kgVW5pdCwgVGhvbWFzIE1vcmUgTWVjaGVsZW4tQW50d2Vy
cCBVbml2ZXJzaXR5IENvbGxlZ2UsIE1vbGVuc3RyYWF0IDgsIDIwMTggQW50d2VycCwgQmVsZ2l1
bS4gZGluc2thLnZhbmd1Y2h0QHRob21hc21vcmUuYmUuJiN4RDtGYWN1bHR5IG9mIFBzeWNob2xv
Z3kgYW5kIEVkdWNhdGlvbmFsIFNjaWVuY2VzLCBLVSBMZXV2ZW4tVW5pdmVyc2l0eSBvZiBMZXV2
ZW4sIFRpZW5zZXN0cmFhdCAxMDIsIDMwMDAgTGV1dmVuLCBCZWxnaXVtLiBkaW5za2EudmFuZ3Vj
aHRAdGhvbWFzbW9yZS5iZS4mI3hEO0ZhY3VsdHkgb2YgUHN5Y2hvbG9neSBhbmQgRWR1Y2F0aW9u
YWwgU2NpZW5jZXMsIEtVIExldXZlbi1Vbml2ZXJzaXR5IG9mIExldXZlbiwgVGllbnNlc3RyYWF0
IDEwMiwgMzAwMCBMZXV2ZW4sIEJlbGdpdW0uIGthcm9saWVuLmFkcmlhZW5zQGt1bGV1dmVuLmJl
LiYjeEQ7RmFjdWx0eSBvZiBQc3ljaG9sb2d5IGFuZCBFZHVjYXRpb25hbCBTY2llbmNlcywgS1Ug
TGV1dmVuLVVuaXZlcnNpdHkgb2YgTGV1dmVuLCBUaWVuc2VzdHJhYXQgMTAyLCAzMDAwIExldXZl
biwgQmVsZ2l1bS4gZnJhbmsuYmFleWVuc0BrdWxldXZlbi5iZS48L2F1dGgtYWRkcmVzcz48dGl0
bGVzPjx0aXRsZT5PbmxpbmUgVmFwZSBTaG9wIEN1c3RvbWVycyBXaG8gVXNlIEUtQ2lnYXJldHRl
cyBSZXBvcnQgQWJzdGluZW5jZSBmcm9tIFNtb2tpbmcgYW5kIEltcHJvdmVkIFF1YWxpdHkgb2Yg
TGlmZSwgQnV0IGEgU3Vic3RhbnRpYWwgTWlub3JpdHkgU3RpbGwgSGF2ZSBWYXBpbmctUmVsYXRl
ZCBIZWFsdGggQ29uY2VybnM8L3RpdGxlPjxzZWNvbmRhcnktdGl0bGU+SW50IEogRW52aXJvbiBS
ZXMgUHVibGljIEhlYWx0aDwvc2Vjb25kYXJ5LXRpdGxlPjxhbHQtdGl0bGU+SW50ZXJuYXRpb25h
bCBqb3VybmFsIG9mIGVudmlyb25tZW50YWwgcmVzZWFyY2ggYW5kIHB1YmxpYyBoZWFsdGg8L2Fs
dC10aXRsZT48L3RpdGxlcz48YWx0LXBlcmlvZGljYWw+PGZ1bGwtdGl0bGU+SW50ZXJuYXRpb25h
bCBKb3VybmFsIG9mIEVudmlyb25tZW50YWwgUmVzZWFyY2ggYW5kIFB1YmxpYyBIZWFsdGg8L2Z1
bGwtdGl0bGU+PC9hbHQtcGVyaW9kaWNhbD48dm9sdW1lPjE0PC92b2x1bWU+PG51bWJlcj43PC9u
dW1iZXI+PGVkaXRpb24+MjAxNy8wNy8xODwvZWRpdGlvbj48a2V5d29yZHM+PGtleXdvcmQ+QWR1
bHQ8L2tleXdvcmQ+PGtleXdvcmQ+KkVsZWN0cm9uaWMgTmljb3RpbmUgRGVsaXZlcnkgU3lzdGVt
czwva2V5d29yZD48a2V5d29yZD5GZW1hbGU8L2tleXdvcmQ+PGtleXdvcmQ+SHVtYW5zPC9rZXl3
b3JkPjxrZXl3b3JkPk1hbGU8L2tleXdvcmQ+PGtleXdvcmQ+TWlkZGxlIEFnZWQ8L2tleXdvcmQ+
PGtleXdvcmQ+TmV0aGVybGFuZHM8L2tleXdvcmQ+PGtleXdvcmQ+Tmljb3RpbmUvYWRtaW5pc3Ry
YXRpb24gJmFtcDsgZG9zYWdlPC9rZXl3b3JkPjxrZXl3b3JkPlBlcmNlcHRpb248L2tleXdvcmQ+
PGtleXdvcmQ+UXVhbGl0eSBJbXByb3ZlbWVudDwva2V5d29yZD48a2V5d29yZD5RdWFsaXR5IG9m
IExpZmU8L2tleXdvcmQ+PGtleXdvcmQ+U21va2luZyBDZXNzYXRpb24vKm1ldGhvZHM8L2tleXdv
cmQ+PGtleXdvcmQ+VG9iYWNjbyBTbW9raW5nL3RoZXJhcHk8L2tleXdvcmQ+PGtleXdvcmQ+VG9i
YWNjbyBVc2UgRGlzb3JkZXIvcHN5Y2hvbG9neS90aGVyYXB5PC9rZXl3b3JkPjxrZXl3b3JkPipW
YXBpbmcvcHN5Y2hvbG9neTwva2V5d29yZD48a2V5d29yZD4qZWxlY3Ryb25pYyBjaWdhcmV0dGU8
L2tleXdvcmQ+PGtleXdvcmQ+Km9ubGluZSB2YXBlIHNob3AgY3VzdG9tZXJzPC9rZXl3b3JkPjxr
ZXl3b3JkPipwZXJjZXB0aW9uPC9rZXl3b3JkPjxrZXl3b3JkPipzbW9raW5nIGNlc3NhdGlvbjwv
a2V5d29yZD48a2V5d29yZD4qdmFwaW5nPC9rZXl3b3JkPjxrZXl3b3JkPmFkdm9jYXRlcyBmb3Ig
ZS1jaWctYmFzZWQgVEhSLjwva2V5d29yZD48L2tleXdvcmRzPjxkYXRlcz48eWVhcj4yMDE3PC95
ZWFyPjxwdWItZGF0ZXM+PGRhdGU+SnVsIDE3PC9kYXRlPjwvcHViLWRhdGVzPjwvZGF0ZXM+PGlz
Ym4+MTY2MC00NjAxPC9pc2JuPjxhY2Nlc3Npb24tbnVtPjI4NzE0OTE0PC9hY2Nlc3Npb24tbnVt
Pjx1cmxzPjwvdXJscz48Y3VzdG9tMj5QTUM1NTUxMjM2PC9jdXN0b20yPjxlbGVjdHJvbmljLXJl
c291cmNlLW51bT4xMC4zMzkwL2lqZXJwaDE0MDcwNzk4PC9lbGVjdHJvbmljLXJlc291cmNlLW51
bT48cmVtb3RlLWRhdGFiYXNlLXByb3ZpZGVyPk5MTTwvcmVtb3RlLWRhdGFiYXNlLXByb3ZpZGVy
PjxsYW5ndWFnZT5lbmc8L2xhbmd1YWdlPjwvcmVjb3JkPjwvQ2l0ZT48L0VuZE5vdGU+AG==
</w:fldData>
            </w:fldChar>
          </w:r>
          <w:r>
            <w:instrText xml:space="preserve"> ADDIN EN.CITE </w:instrText>
          </w:r>
          <w:r>
            <w:fldChar w:fldCharType="begin">
              <w:fldData xml:space="preserve">PEVuZE5vdGU+PENpdGU+PEF1dGhvcj5Qb2xvc2E8L0F1dGhvcj48WWVhcj4yMDE3PC9ZZWFyPjxS
ZWNOdW0+MTg2ODwvUmVjTnVtPjxEaXNwbGF5VGV4dD4oR3VjaHQsIEFkcmlhZW5zIGV0IGFsLiAy
MDE3LCBQb2xvc2EsIENpYmVsbGEgZXQgYWwuIDIwMTcpPC9EaXNwbGF5VGV4dD48cmVjb3JkPjxy
ZWMtbnVtYmVyPjE4Njg8L3JlYy1udW1iZXI+PGZvcmVpZ24ta2V5cz48a2V5IGFwcD0iRU4iIGRi
LWlkPSI5dnM5cHpmem5hcHhwaGVmYTI4eHp3OTVzZjVhdjBzdjlyZHoiIHRpbWVzdGFtcD0iMTUy
MTE1OTQ4NCI+MTg2ODwva2V5PjwvZm9yZWlnbi1rZXlzPjxyZWYtdHlwZSBuYW1lPSJKb3VybmFs
IEFydGljbGUiPjE3PC9yZWYtdHlwZT48Y29udHJpYnV0b3JzPjxhdXRob3JzPjxhdXRob3I+UG9s
b3NhLCBSaWNjYXJkbzwvYXV0aG9yPjxhdXRob3I+Q2liZWxsYSwgRmFiaW88L2F1dGhvcj48YXV0
aG9yPkNhcG9ubmV0dG8sIFBhc3F1YWxlPC9hdXRob3I+PGF1dGhvcj5NYWdsaWEsIE1hcmlsZW5h
PC9hdXRob3I+PGF1dGhvcj5UYXNoa2luLCBEb25hbGQ8L2F1dGhvcj48L2F1dGhvcnM+PC9jb250
cmlidXRvcnM+PHRpdGxlcz48dGl0bGU+SGVhbHRoIGltcGFjdCBvZiBlLWNpZ2FyZXR0ZXM6IGEg
cHJvc3BlY3RpdmUgMy41LXllYXIgc3R1ZHkgb2YgcmVndWxhciB1c2VycyB3aG8gaGF2ZSBuZXZl
ciBzbW9rZWQ8L3RpdGxlPjxzZWNvbmRhcnktdGl0bGU+UmVzcGlyb2xvZ3k8L3NlY29uZGFyeS10
aXRsZT48L3RpdGxlcz48cGVyaW9kaWNhbD48ZnVsbC10aXRsZT5SZXNwaXJvbG9neTwvZnVsbC10
aXRsZT48YWJici0xPlJlc3Bpcm9sb2d5IChDYXJsdG9uLCBWaWMuKTwvYWJici0xPjwvcGVyaW9k
aWNhbD48cGFnZXM+MjItMjM8L3BhZ2VzPjx2b2x1bWU+MjI8L3ZvbHVtZT48ZGF0ZXM+PHllYXI+
MjAxNzwveWVhcj48cHViLWRhdGVzPjxkYXRlPk5vdjwvZGF0ZT48L3B1Yi1kYXRlcz48L2RhdGVz
Pjxpc2JuPjEzMjMtNzc5OTwvaXNibj48YWNjZXNzaW9uLW51bT5XT1M6MDAwNDE1OTI1NzAwMDQ2
PC9hY2Nlc3Npb24tbnVtPjx1cmxzPjxyZWxhdGVkLXVybHM+PHVybD4mbHQ7R28gdG8gSVNJJmd0
OzovL1dPUzowMDA0MTU5MjU3MDAwNDY8L3VybD48L3JlbGF0ZWQtdXJscz48L3VybHM+PC9yZWNv
cmQ+PC9DaXRlPjxDaXRlPjxBdXRob3I+R3VjaHQ8L0F1dGhvcj48WWVhcj4yMDE3PC9ZZWFyPjxS
ZWNOdW0+MTAyMTwvUmVjTnVtPjxyZWNvcmQ+PHJlYy1udW1iZXI+MTAyMTwvcmVjLW51bWJlcj48
Zm9yZWlnbi1rZXlzPjxrZXkgYXBwPSJFTiIgZGItaWQ9Ijl2czlwemZ6bmFweHBoZWZhMjh4enc5
NXNmNWF2MHN2OXJkeiIgdGltZXN0YW1wPSIxNTIxMTU5Mzk3Ij4xMDIxPC9rZXk+PGtleSBhcHA9
IkVOV2ViIiBkYi1pZD0iIj4wPC9rZXk+PC9mb3JlaWduLWtleXM+PHJlZi10eXBlIG5hbWU9Ikpv
dXJuYWwgQXJ0aWNsZSI+MTc8L3JlZi10eXBlPjxjb250cmlidXRvcnM+PGF1dGhvcnM+PGF1dGhv
cj5HdWNodCwgRC4gVi48L2F1dGhvcj48YXV0aG9yPkFkcmlhZW5zLCBLLjwvYXV0aG9yPjxhdXRo
b3I+QmFleWVucywgRi48L2F1dGhvcj48L2F1dGhvcnM+PC9jb250cmlidXRvcnM+PGF1dGgtYWRk
cmVzcz5BcHBsaWVkIFBzeWNob2xvZ3kgVW5pdCwgVGhvbWFzIE1vcmUgTWVjaGVsZW4tQW50d2Vy
cCBVbml2ZXJzaXR5IENvbGxlZ2UsIE1vbGVuc3RyYWF0IDgsIDIwMTggQW50d2VycCwgQmVsZ2l1
bS4gZGluc2thLnZhbmd1Y2h0QHRob21hc21vcmUuYmUuJiN4RDtGYWN1bHR5IG9mIFBzeWNob2xv
Z3kgYW5kIEVkdWNhdGlvbmFsIFNjaWVuY2VzLCBLVSBMZXV2ZW4tVW5pdmVyc2l0eSBvZiBMZXV2
ZW4sIFRpZW5zZXN0cmFhdCAxMDIsIDMwMDAgTGV1dmVuLCBCZWxnaXVtLiBkaW5za2EudmFuZ3Vj
aHRAdGhvbWFzbW9yZS5iZS4mI3hEO0ZhY3VsdHkgb2YgUHN5Y2hvbG9neSBhbmQgRWR1Y2F0aW9u
YWwgU2NpZW5jZXMsIEtVIExldXZlbi1Vbml2ZXJzaXR5IG9mIExldXZlbiwgVGllbnNlc3RyYWF0
IDEwMiwgMzAwMCBMZXV2ZW4sIEJlbGdpdW0uIGthcm9saWVuLmFkcmlhZW5zQGt1bGV1dmVuLmJl
LiYjeEQ7RmFjdWx0eSBvZiBQc3ljaG9sb2d5IGFuZCBFZHVjYXRpb25hbCBTY2llbmNlcywgS1Ug
TGV1dmVuLVVuaXZlcnNpdHkgb2YgTGV1dmVuLCBUaWVuc2VzdHJhYXQgMTAyLCAzMDAwIExldXZl
biwgQmVsZ2l1bS4gZnJhbmsuYmFleWVuc0BrdWxldXZlbi5iZS48L2F1dGgtYWRkcmVzcz48dGl0
bGVzPjx0aXRsZT5PbmxpbmUgVmFwZSBTaG9wIEN1c3RvbWVycyBXaG8gVXNlIEUtQ2lnYXJldHRl
cyBSZXBvcnQgQWJzdGluZW5jZSBmcm9tIFNtb2tpbmcgYW5kIEltcHJvdmVkIFF1YWxpdHkgb2Yg
TGlmZSwgQnV0IGEgU3Vic3RhbnRpYWwgTWlub3JpdHkgU3RpbGwgSGF2ZSBWYXBpbmctUmVsYXRl
ZCBIZWFsdGggQ29uY2VybnM8L3RpdGxlPjxzZWNvbmRhcnktdGl0bGU+SW50IEogRW52aXJvbiBS
ZXMgUHVibGljIEhlYWx0aDwvc2Vjb25kYXJ5LXRpdGxlPjxhbHQtdGl0bGU+SW50ZXJuYXRpb25h
bCBqb3VybmFsIG9mIGVudmlyb25tZW50YWwgcmVzZWFyY2ggYW5kIHB1YmxpYyBoZWFsdGg8L2Fs
dC10aXRsZT48L3RpdGxlcz48YWx0LXBlcmlvZGljYWw+PGZ1bGwtdGl0bGU+SW50ZXJuYXRpb25h
bCBKb3VybmFsIG9mIEVudmlyb25tZW50YWwgUmVzZWFyY2ggYW5kIFB1YmxpYyBIZWFsdGg8L2Z1
bGwtdGl0bGU+PC9hbHQtcGVyaW9kaWNhbD48dm9sdW1lPjE0PC92b2x1bWU+PG51bWJlcj43PC9u
dW1iZXI+PGVkaXRpb24+MjAxNy8wNy8xODwvZWRpdGlvbj48a2V5d29yZHM+PGtleXdvcmQ+QWR1
bHQ8L2tleXdvcmQ+PGtleXdvcmQ+KkVsZWN0cm9uaWMgTmljb3RpbmUgRGVsaXZlcnkgU3lzdGVt
czwva2V5d29yZD48a2V5d29yZD5GZW1hbGU8L2tleXdvcmQ+PGtleXdvcmQ+SHVtYW5zPC9rZXl3
b3JkPjxrZXl3b3JkPk1hbGU8L2tleXdvcmQ+PGtleXdvcmQ+TWlkZGxlIEFnZWQ8L2tleXdvcmQ+
PGtleXdvcmQ+TmV0aGVybGFuZHM8L2tleXdvcmQ+PGtleXdvcmQ+Tmljb3RpbmUvYWRtaW5pc3Ry
YXRpb24gJmFtcDsgZG9zYWdlPC9rZXl3b3JkPjxrZXl3b3JkPlBlcmNlcHRpb248L2tleXdvcmQ+
PGtleXdvcmQ+UXVhbGl0eSBJbXByb3ZlbWVudDwva2V5d29yZD48a2V5d29yZD5RdWFsaXR5IG9m
IExpZmU8L2tleXdvcmQ+PGtleXdvcmQ+U21va2luZyBDZXNzYXRpb24vKm1ldGhvZHM8L2tleXdv
cmQ+PGtleXdvcmQ+VG9iYWNjbyBTbW9raW5nL3RoZXJhcHk8L2tleXdvcmQ+PGtleXdvcmQ+VG9i
YWNjbyBVc2UgRGlzb3JkZXIvcHN5Y2hvbG9neS90aGVyYXB5PC9rZXl3b3JkPjxrZXl3b3JkPipW
YXBpbmcvcHN5Y2hvbG9neTwva2V5d29yZD48a2V5d29yZD4qZWxlY3Ryb25pYyBjaWdhcmV0dGU8
L2tleXdvcmQ+PGtleXdvcmQ+Km9ubGluZSB2YXBlIHNob3AgY3VzdG9tZXJzPC9rZXl3b3JkPjxr
ZXl3b3JkPipwZXJjZXB0aW9uPC9rZXl3b3JkPjxrZXl3b3JkPipzbW9raW5nIGNlc3NhdGlvbjwv
a2V5d29yZD48a2V5d29yZD4qdmFwaW5nPC9rZXl3b3JkPjxrZXl3b3JkPmFkdm9jYXRlcyBmb3Ig
ZS1jaWctYmFzZWQgVEhSLjwva2V5d29yZD48L2tleXdvcmRzPjxkYXRlcz48eWVhcj4yMDE3PC95
ZWFyPjxwdWItZGF0ZXM+PGRhdGU+SnVsIDE3PC9kYXRlPjwvcHViLWRhdGVzPjwvZGF0ZXM+PGlz
Ym4+MTY2MC00NjAxPC9pc2JuPjxhY2Nlc3Npb24tbnVtPjI4NzE0OTE0PC9hY2Nlc3Npb24tbnVt
Pjx1cmxzPjwvdXJscz48Y3VzdG9tMj5QTUM1NTUxMjM2PC9jdXN0b20yPjxlbGVjdHJvbmljLXJl
c291cmNlLW51bT4xMC4zMzkwL2lqZXJwaDE0MDcwNzk4PC9lbGVjdHJvbmljLXJlc291cmNlLW51
bT48cmVtb3RlLWRhdGFiYXNlLXByb3ZpZGVyPk5MTTwvcmVtb3RlLWRhdGFiYXNlLXByb3ZpZGVy
PjxsYW5ndWFnZT5lbmc8L2xhbmd1YWdlPjwvcmVjb3JkPjwvQ2l0ZT48L0VuZE5vdGU+AG==
</w:fldData>
            </w:fldChar>
          </w:r>
          <w:r>
            <w:instrText xml:space="preserve"> ADDIN EN.CITE.DATA </w:instrText>
          </w:r>
          <w:r>
            <w:fldChar w:fldCharType="end"/>
          </w:r>
          <w:r>
            <w:fldChar w:fldCharType="separate"/>
          </w:r>
          <w:r>
            <w:rPr>
              <w:noProof/>
            </w:rPr>
            <w:t>(Gucht, Adriaens et al. 2017, Polosa, Cibella et al. 2017)</w:t>
          </w:r>
          <w:r>
            <w:fldChar w:fldCharType="end"/>
          </w:r>
          <w:r>
            <w:t xml:space="preserve">. McConnell et al.’s US population based cross-sectional study (n=2,083, including 502 or 24% who were ever users of e-cigarettes) considered chronic bronchitis symptoms and wheeze for adolescents who were current users (past 30 days) of e-cigarettes (mean age 17.3 years). </w:t>
          </w:r>
        </w:p>
        <w:p w14:paraId="40665B80" w14:textId="024BB1D9" w:rsidR="00301538" w:rsidRDefault="00301538" w:rsidP="00301538">
          <w:pPr>
            <w:pStyle w:val="BodyText"/>
          </w:pPr>
          <w:r>
            <w:lastRenderedPageBreak/>
            <w:t>After adjusting for key confounders including sociodemographic characteristics, lifetime number of cigarettes smoked and second-hand smoke (SHS) exposure, risk of bronchitis symptoms was higher in those with a history of e-cigarette use (OR 1.71, 95% CI 1.20-2.43). A similar trend was observed for current e-cigarette use which did not reach statistical significance (OR 1.41, 95%CI 0.92-2.17). Assessment of usage patterns also found a trend of increasing risk of bronchitis symptoms with increasing e-cigarette use (OR 1.37, 95% CI 0.79-2.37 for 1-2 days of use, OR 1.64,</w:t>
          </w:r>
          <w:r w:rsidR="00F70203">
            <w:t> </w:t>
          </w:r>
          <w:r>
            <w:t xml:space="preserve">95%CI 0.88-3.05 for </w:t>
          </w:r>
          <w:r>
            <w:rPr>
              <w:rFonts w:cs="Calibri"/>
            </w:rPr>
            <w:t>≥</w:t>
          </w:r>
          <w:r>
            <w:t xml:space="preserve"> 3 days use/past 30 days), however this trend also did not reach significance (p=0.09; OR 1.24, 95% CI 0.78-1.98). After adjusting for confounders, no association was observed between wheeze and e-cigarette use. The major limitations of this study include the use of self</w:t>
          </w:r>
          <w:r>
            <w:noBreakHyphen/>
            <w:t xml:space="preserve">reported data which can introduce misclassification and bias, and the inability to establish a causal relationship due to the cross-sectional study design. </w:t>
          </w:r>
        </w:p>
        <w:p w14:paraId="3D7096AA" w14:textId="77777777" w:rsidR="00301538" w:rsidRDefault="00301538" w:rsidP="00301538">
          <w:pPr>
            <w:pStyle w:val="BodyText"/>
          </w:pPr>
          <w:r>
            <w:t>In the industry-funded Polosa et al. Italian cross-sectional study, where subjects (n=21, mean age 29.7 years) were referred to the study from vape shops, subjects were asked to self-report cough, wheezing, shortness of breath and chest tightness symptoms. No coughing, wheezing, shortness of breath and chest tightness were reported in the group who were e-cigarette users and three participants in the control group (which had been selected from hospital staff) reported cough on three occasions. This small study has a high potential for selection and reporting bias.</w:t>
          </w:r>
        </w:p>
        <w:p w14:paraId="2350DD83" w14:textId="77777777" w:rsidR="00301538" w:rsidRDefault="00301538" w:rsidP="00301538">
          <w:pPr>
            <w:pStyle w:val="BodyText"/>
          </w:pPr>
        </w:p>
        <w:p w14:paraId="704EB7B0" w14:textId="77777777" w:rsidR="000F0E2F" w:rsidRDefault="000F0E2F" w:rsidP="00283F5A">
          <w:pPr>
            <w:pStyle w:val="Heading3"/>
          </w:pPr>
          <w:r>
            <w:t xml:space="preserve">What the new </w:t>
          </w:r>
          <w:r w:rsidRPr="00283F5A">
            <w:t>studies</w:t>
          </w:r>
          <w:r>
            <w:t xml:space="preserve"> add to what is already known about e-cigarettes</w:t>
          </w:r>
        </w:p>
        <w:p w14:paraId="16E9D79F" w14:textId="77777777" w:rsidR="00301538" w:rsidRPr="00301538" w:rsidRDefault="00301538" w:rsidP="00301538">
          <w:pPr>
            <w:pStyle w:val="Boxedlistbullet"/>
            <w:numPr>
              <w:ilvl w:val="0"/>
              <w:numId w:val="0"/>
            </w:numPr>
            <w:ind w:left="947" w:hanging="360"/>
            <w:rPr>
              <w:b/>
            </w:rPr>
          </w:pPr>
          <w:bookmarkStart w:id="23" w:name="_Toc513214348"/>
          <w:r w:rsidRPr="00301538">
            <w:rPr>
              <w:b/>
            </w:rPr>
            <w:t>Previous studies</w:t>
          </w:r>
        </w:p>
        <w:p w14:paraId="2401ABD5" w14:textId="77777777" w:rsidR="00301538" w:rsidRDefault="00301538" w:rsidP="00301538">
          <w:pPr>
            <w:pStyle w:val="Boxedlistbullet"/>
            <w:numPr>
              <w:ilvl w:val="0"/>
              <w:numId w:val="0"/>
            </w:numPr>
            <w:ind w:left="947" w:hanging="360"/>
          </w:pPr>
        </w:p>
        <w:p w14:paraId="6F29BF47" w14:textId="77777777" w:rsidR="00301538" w:rsidRDefault="00301538" w:rsidP="00301538">
          <w:pPr>
            <w:pStyle w:val="Boxedlistbullet"/>
            <w:numPr>
              <w:ilvl w:val="0"/>
              <w:numId w:val="0"/>
            </w:numPr>
            <w:ind w:left="947" w:hanging="360"/>
          </w:pPr>
          <w:r>
            <w:t xml:space="preserve">The US Academies of Science Review </w:t>
          </w:r>
          <w:r>
            <w:fldChar w:fldCharType="begin"/>
          </w:r>
          <w:r w:rsidR="00903735">
            <w:instrText xml:space="preserve"> ADDIN EN.CITE &lt;EndNote&gt;&lt;Cite&gt;&lt;Author&gt;Stratton&lt;/Author&gt;&lt;Year&gt;2018&lt;/Year&gt;&lt;RecNum&gt;7073&lt;/RecNum&gt;&lt;DisplayText&gt;(Stratton, Kwan et al. 2018)&lt;/DisplayText&gt;&lt;record&gt;&lt;rec-number&gt;7073&lt;/rec-number&gt;&lt;foreign-keys&gt;&lt;key app="EN" db-id="5xv5w5t2bdxtxfezx02xtxdft5rz5ptvvt29" timestamp="1521076678"&gt;7073&lt;/key&gt;&lt;/foreign-keys&gt;&lt;ref-type name="Report"&gt;27&lt;/ref-type&gt;&lt;contributors&gt;&lt;authors&gt;&lt;author&gt;Kathleen Stratton&lt;/author&gt;&lt;author&gt;Leslie Y Kwan&lt;/author&gt;&lt;author&gt;David L Eaton&lt;/author&gt;&lt;/authors&gt;&lt;tertiary-authors&gt;&lt;author&gt;The National Academies Press&lt;/author&gt;&lt;/tertiary-authors&gt;&lt;/contributors&gt;&lt;titles&gt;&lt;title&gt;Public Health Consequences of e-Cigarettes&lt;/title&gt;&lt;/titles&gt;&lt;dates&gt;&lt;year&gt;2018&lt;/year&gt;&lt;/dates&gt;&lt;pub-location&gt;Washington DC&lt;/pub-location&gt;&lt;publisher&gt;Board on Population Health and Public Health Practice, Health and Medicine Division, The National Academies of Sciences, Engineering and Medicine&lt;/publisher&gt;&lt;urls&gt;&lt;/urls&gt;&lt;/record&gt;&lt;/Cite&gt;&lt;/EndNote&gt;</w:instrText>
          </w:r>
          <w:r>
            <w:fldChar w:fldCharType="separate"/>
          </w:r>
          <w:r>
            <w:rPr>
              <w:noProof/>
            </w:rPr>
            <w:t>(Stratton, Kwan et al. 2018)</w:t>
          </w:r>
          <w:r>
            <w:fldChar w:fldCharType="end"/>
          </w:r>
          <w:r>
            <w:t xml:space="preserve"> concluded in relation to respiratory diseases that:</w:t>
          </w:r>
        </w:p>
        <w:p w14:paraId="2F9BE9C6" w14:textId="77777777" w:rsidR="00301538" w:rsidRDefault="00301538" w:rsidP="00301538">
          <w:pPr>
            <w:pStyle w:val="Boxedlistbullet"/>
            <w:ind w:left="947" w:hanging="360"/>
          </w:pPr>
          <w:r>
            <w:t xml:space="preserve">‘There is </w:t>
          </w:r>
          <w:r w:rsidRPr="00D9586B">
            <w:rPr>
              <w:b/>
              <w:bCs/>
            </w:rPr>
            <w:t>no available evidence</w:t>
          </w:r>
          <w:r>
            <w:rPr>
              <w:bCs/>
            </w:rPr>
            <w:t xml:space="preserve"> </w:t>
          </w:r>
          <w:r>
            <w:t>whether or not e-cigarettes cause respiratory diseases in humans.</w:t>
          </w:r>
        </w:p>
        <w:p w14:paraId="0B6428D3" w14:textId="77777777" w:rsidR="00301538" w:rsidRDefault="00301538" w:rsidP="00301538">
          <w:pPr>
            <w:pStyle w:val="Boxedlistbullet"/>
            <w:ind w:left="947" w:hanging="360"/>
          </w:pPr>
          <w:r>
            <w:t xml:space="preserve">There is </w:t>
          </w:r>
          <w:r w:rsidRPr="00D9586B">
            <w:rPr>
              <w:b/>
              <w:bCs/>
            </w:rPr>
            <w:t>moderate evidence</w:t>
          </w:r>
          <w:r>
            <w:rPr>
              <w:bCs/>
            </w:rPr>
            <w:t xml:space="preserve"> </w:t>
          </w:r>
          <w:r>
            <w:t>for increased cough and wheeze in adolescents who use e-cigarettes and an association with e-cigarette use and an increase in asthma exacerbations.</w:t>
          </w:r>
        </w:p>
        <w:p w14:paraId="1C7EDC9A" w14:textId="77777777" w:rsidR="00301538" w:rsidRDefault="00301538" w:rsidP="00301538">
          <w:pPr>
            <w:pStyle w:val="Boxedlistbullet"/>
            <w:ind w:left="947" w:hanging="360"/>
          </w:pPr>
          <w:r>
            <w:t xml:space="preserve">There is </w:t>
          </w:r>
          <w:r w:rsidRPr="00D9586B">
            <w:rPr>
              <w:b/>
              <w:bCs/>
            </w:rPr>
            <w:t>limited evidence</w:t>
          </w:r>
          <w:r>
            <w:rPr>
              <w:bCs/>
            </w:rPr>
            <w:t xml:space="preserve"> </w:t>
          </w:r>
          <w:r>
            <w:t>of adverse effects of e-cigarette exposure on the respiratory system from animal and in vitro studies.’</w:t>
          </w:r>
        </w:p>
        <w:p w14:paraId="49E1D164" w14:textId="77777777" w:rsidR="00301538" w:rsidRDefault="00301538" w:rsidP="00301538">
          <w:pPr>
            <w:pStyle w:val="Boxedlistbullet"/>
            <w:numPr>
              <w:ilvl w:val="0"/>
              <w:numId w:val="0"/>
            </w:numPr>
            <w:ind w:left="587"/>
          </w:pPr>
        </w:p>
        <w:p w14:paraId="772AD42C" w14:textId="77777777" w:rsidR="00301538" w:rsidRPr="00D657F3" w:rsidRDefault="00301538" w:rsidP="00301538">
          <w:pPr>
            <w:pStyle w:val="Boxedlistbullet"/>
            <w:numPr>
              <w:ilvl w:val="0"/>
              <w:numId w:val="0"/>
            </w:numPr>
            <w:ind w:left="587"/>
          </w:pPr>
          <w:r w:rsidRPr="00D657F3">
            <w:t xml:space="preserve">Key findings from the Public Health England </w:t>
          </w:r>
          <w:r w:rsidRPr="00D657F3">
            <w:fldChar w:fldCharType="begin"/>
          </w:r>
          <w:r>
            <w:instrText xml:space="preserve"> ADDIN EN.CITE &lt;EndNote&gt;&lt;Cite&gt;&lt;Author&gt;McNeill A&lt;/Author&gt;&lt;Year&gt;2018&lt;/Year&gt;&lt;RecNum&gt;13025&lt;/RecNum&gt;&lt;DisplayText&gt;(McNeill A 2018)&lt;/DisplayText&gt;&lt;record&gt;&lt;rec-number&gt;13025&lt;/rec-number&gt;&lt;foreign-keys&gt;&lt;key app="EN" db-id="5xv5w5t2bdxtxfezx02xtxdft5rz5ptvvt29" timestamp="1524018409"&gt;13025&lt;/key&gt;&lt;/foreign-keys&gt;&lt;ref-type name="Journal Article"&gt;17&lt;/ref-type&gt;&lt;contributors&gt;&lt;authors&gt;&lt;author&gt;McNeill A,  Brose LS, Calder R,  Bauld L, Robson D.&lt;/author&gt;&lt;/authors&gt;&lt;/contributors&gt;&lt;titles&gt;&lt;title&gt;Evidence Review of e-cigarettes and heated tobacco products 2018. A Report comissioned by Public Health England.&lt;/title&gt;&lt;/titles&gt;&lt;dates&gt;&lt;year&gt;2018&lt;/year&gt;&lt;/dates&gt;&lt;urls&gt;&lt;/urls&gt;&lt;/record&gt;&lt;/Cite&gt;&lt;/EndNote&gt;</w:instrText>
          </w:r>
          <w:r w:rsidRPr="00D657F3">
            <w:fldChar w:fldCharType="separate"/>
          </w:r>
          <w:r w:rsidRPr="00D657F3">
            <w:rPr>
              <w:noProof/>
            </w:rPr>
            <w:t>(McNeill A 2018)</w:t>
          </w:r>
          <w:r w:rsidRPr="00D657F3">
            <w:fldChar w:fldCharType="end"/>
          </w:r>
          <w:r w:rsidRPr="00D657F3">
            <w:t xml:space="preserve"> review were that:</w:t>
          </w:r>
        </w:p>
        <w:p w14:paraId="411A9CF0" w14:textId="7FECDA87" w:rsidR="00301538" w:rsidRDefault="00301538" w:rsidP="00301538">
          <w:pPr>
            <w:pStyle w:val="Boxedlistbullet"/>
            <w:ind w:left="947" w:hanging="360"/>
          </w:pPr>
          <w:r>
            <w:t xml:space="preserve">There have been some studies with adolescents suggesting respiratory symptoms among e-cigarette experimenters. </w:t>
          </w:r>
        </w:p>
        <w:p w14:paraId="5F9BA156" w14:textId="77777777" w:rsidR="00301538" w:rsidRDefault="00301538" w:rsidP="00301538">
          <w:pPr>
            <w:pStyle w:val="ListBullet"/>
            <w:numPr>
              <w:ilvl w:val="0"/>
              <w:numId w:val="0"/>
            </w:numPr>
          </w:pPr>
        </w:p>
        <w:p w14:paraId="70895474" w14:textId="77777777" w:rsidR="00301538" w:rsidRDefault="00301538" w:rsidP="00301538">
          <w:pPr>
            <w:pStyle w:val="ListBullet"/>
            <w:numPr>
              <w:ilvl w:val="0"/>
              <w:numId w:val="0"/>
            </w:numPr>
          </w:pPr>
          <w:r>
            <w:t xml:space="preserve">Both the US Academies of Science review and the Public Health England reviews included the McConnell et al. </w:t>
          </w:r>
          <w:r>
            <w:fldChar w:fldCharType="begin">
              <w:fldData xml:space="preserve">PEVuZE5vdGU+PENpdGU+PEF1dGhvcj5NY0Nvbm5lbGw8L0F1dGhvcj48WWVhcj4yMDE3PC9ZZWFy
PjxSZWNOdW0+MTQ4NDwvUmVjTnVtPjxEaXNwbGF5VGV4dD4oTWNDb25uZWxsLCBCYXJyaW5ndG9u
LVRyaW1pcyBldCBhbC4gMjAxNyk8L0Rpc3BsYXlUZXh0PjxyZWNvcmQ+PHJlYy1udW1iZXI+MTQ4
NDwvcmVjLW51bWJlcj48Zm9yZWlnbi1rZXlzPjxrZXkgYXBwPSJFTiIgZGItaWQ9Ijl2czlwemZ6
bmFweHBoZWZhMjh4enc5NXNmNWF2MHN2OXJkeiIgdGltZXN0YW1wPSIxNTIxMTU5NDM4Ij4xNDg0
PC9rZXk+PGtleSBhcHA9IkVOV2ViIiBkYi1pZD0iIj4wPC9rZXk+PC9mb3JlaWduLWtleXM+PHJl
Zi10eXBlIG5hbWU9IkpvdXJuYWwgQXJ0aWNsZSI+MTc8L3JlZi10eXBlPjxjb250cmlidXRvcnM+
PGF1dGhvcnM+PGF1dGhvcj5NY0Nvbm5lbGwsIFIuPC9hdXRob3I+PGF1dGhvcj5CYXJyaW5ndG9u
LVRyaW1pcywgSi4gTC48L2F1dGhvcj48YXV0aG9yPldhbmcsIEsuPC9hdXRob3I+PGF1dGhvcj5V
cm1hbiwgUi48L2F1dGhvcj48YXV0aG9yPkhvbmcsIEguPC9hdXRob3I+PGF1dGhvcj5Vbmdlciwg
Si48L2F1dGhvcj48YXV0aG9yPlNhbWV0LCBKLjwvYXV0aG9yPjxhdXRob3I+TGV2ZW50aGFsLCBB
LjwvYXV0aG9yPjxhdXRob3I+QmVyaGFuZSwgSy48L2F1dGhvcj48L2F1dGhvcnM+PC9jb250cmli
dXRvcnM+PGF1dGgtYWRkcmVzcz4xIERlcGFydG1lbnQgb2YgUHJldmVudGl2ZSBNZWRpY2luZSwg
S2VjayBTY2hvb2wgb2YgTWVkaWNpbmUsIFVuaXZlcnNpdHkgb2YgU291dGhlcm4gQ2FsaWZvcm5p
YSwgTG9zIEFuZ2VsZXMsIENhbGlmb3JuaWE7IGFuZC4mI3hEOzIgRGl2aXNpb24gb2YgUHVsbW9u
YXJ5IE1lZGljaW5lLCBEZXBhcnRtZW50IG9mIFBlZGlhdHJpY3MsIENoaWxkcmVuJmFwb3M7cyBI
b3NwaXRhbCBMb3MgQW5nZWxlcywgTG9zIEFuZ2VsZXMsIENhbGlmb3JuaWEuPC9hdXRoLWFkZHJl
c3M+PHRpdGxlcz48dGl0bGU+RWxlY3Ryb25pYyBDaWdhcmV0dGUgVXNlIGFuZCBSZXNwaXJhdG9y
eSBTeW1wdG9tcyBpbiBBZG9sZXNjZW50czwvdGl0bGU+PHNlY29uZGFyeS10aXRsZT5BbSBKIFJl
c3BpciBDcml0IENhcmUgTWVkPC9zZWNvbmRhcnktdGl0bGU+PGFsdC10aXRsZT5BbWVyaWNhbiBq
b3VybmFsIG9mIHJlc3BpcmF0b3J5IGFuZCBjcml0aWNhbCBjYXJlIG1lZGljaW5lPC9hbHQtdGl0
bGU+PC90aXRsZXM+PHBlcmlvZGljYWw+PGZ1bGwtdGl0bGU+QW0gSiBSZXNwaXIgQ3JpdCBDYXJl
IE1lZDwvZnVsbC10aXRsZT48YWJici0xPkFtZXJpY2FuIGpvdXJuYWwgb2YgcmVzcGlyYXRvcnkg
YW5kIGNyaXRpY2FsIGNhcmUgbWVkaWNpbmU8L2FiYnItMT48L3BlcmlvZGljYWw+PGFsdC1wZXJp
b2RpY2FsPjxmdWxsLXRpdGxlPkFtIEogUmVzcGlyIENyaXQgQ2FyZSBNZWQ8L2Z1bGwtdGl0bGU+
PGFiYnItMT5BbWVyaWNhbiBqb3VybmFsIG9mIHJlc3BpcmF0b3J5IGFuZCBjcml0aWNhbCBjYXJl
IG1lZGljaW5lPC9hYmJyLTE+PC9hbHQtcGVyaW9kaWNhbD48cGFnZXM+MTA0My0xMDQ5PC9wYWdl
cz48dm9sdW1lPjE5NTwvdm9sdW1lPjxudW1iZXI+ODwvbnVtYmVyPjxlZGl0aW9uPjIwMTYvMTEv
MDM8L2VkaXRpb24+PGtleXdvcmRzPjxrZXl3b3JkPkFkb2xlc2NlbnQ8L2tleXdvcmQ+PGtleXdv
cmQ+QnJvbmNoaXRpcywgQ2hyb25pYy8qZXBpZGVtaW9sb2d5PC9rZXl3b3JkPjxrZXl3b3JkPkNh
bGlmb3JuaWEvZXBpZGVtaW9sb2d5PC9rZXl3b3JkPjxrZXl3b3JkPkVsZWN0cm9uaWMgTmljb3Rp
bmUgRGVsaXZlcnkgU3lzdGVtcy8qc3RhdGlzdGljcyAmYW1wOyBudW1lcmljYWwgZGF0YTwva2V5
d29yZD48a2V5d29yZD5GZW1hbGU8L2tleXdvcmQ+PGtleXdvcmQ+SGVhbHRoIFN1cnZleXMvKnN0
YXRpc3RpY3MgJmFtcDsgbnVtZXJpY2FsIGRhdGE8L2tleXdvcmQ+PGtleXdvcmQ+SHVtYW5zPC9r
ZXl3b3JkPjxrZXl3b3JkPk1hbGU8L2tleXdvcmQ+PGtleXdvcmQ+T2RkcyBSYXRpbzwva2V5d29y
ZD48a2V5d29yZD5Qcm9zcGVjdGl2ZSBTdHVkaWVzPC9rZXl3b3JkPjxrZXl3b3JkPipSZXNwaXJh
dG9yeSBTb3VuZHM8L2tleXdvcmQ+PGtleXdvcmQ+U2VsZiBSZXBvcnQ8L2tleXdvcmQ+PGtleXdv
cmQ+U3VydmV5cyBhbmQgUXVlc3Rpb25uYWlyZXM8L2tleXdvcmQ+PGtleXdvcmQ+YnJvbmNoaXRp
czwva2V5d29yZD48a2V5d29yZD5lLWNpZ2FyZXR0ZXM8L2tleXdvcmQ+PGtleXdvcmQ+c21va2lu
ZyBpbiB5b3VuZyBhZHVsdHM8L2tleXdvcmQ+PC9rZXl3b3Jkcz48ZGF0ZXM+PHllYXI+MjAxNzwv
eWVhcj48cHViLWRhdGVzPjxkYXRlPkFwciAxNTwvZGF0ZT48L3B1Yi1kYXRlcz48L2RhdGVzPjxp
c2JuPjEwNzMtNDQ5eDwvaXNibj48YWNjZXNzaW9uLW51bT4yNzgwNjIxMTwvYWNjZXNzaW9uLW51
bT48dXJscz48L3VybHM+PGN1c3RvbTI+UE1DNTQyMjY0NzwvY3VzdG9tMj48ZWxlY3Ryb25pYy1y
ZXNvdXJjZS1udW0+MTAuMTE2NC9yY2NtLjIwMTYwNC0wODA0T0M8L2VsZWN0cm9uaWMtcmVzb3Vy
Y2UtbnVtPjxyZW1vdGUtZGF0YWJhc2UtcHJvdmlkZXI+TkxNPC9yZW1vdGUtZGF0YWJhc2UtcHJv
dmlkZXI+PGxhbmd1YWdlPmVuZzwvbGFuZ3VhZ2U+PC9yZWNvcmQ+PC9DaXRlPjwvRW5kTm90ZT4A
</w:fldData>
            </w:fldChar>
          </w:r>
          <w:r>
            <w:instrText xml:space="preserve"> ADDIN EN.CITE </w:instrText>
          </w:r>
          <w:r>
            <w:fldChar w:fldCharType="begin">
              <w:fldData xml:space="preserve">PEVuZE5vdGU+PENpdGU+PEF1dGhvcj5NY0Nvbm5lbGw8L0F1dGhvcj48WWVhcj4yMDE3PC9ZZWFy
PjxSZWNOdW0+MTQ4NDwvUmVjTnVtPjxEaXNwbGF5VGV4dD4oTWNDb25uZWxsLCBCYXJyaW5ndG9u
LVRyaW1pcyBldCBhbC4gMjAxNyk8L0Rpc3BsYXlUZXh0PjxyZWNvcmQ+PHJlYy1udW1iZXI+MTQ4
NDwvcmVjLW51bWJlcj48Zm9yZWlnbi1rZXlzPjxrZXkgYXBwPSJFTiIgZGItaWQ9Ijl2czlwemZ6
bmFweHBoZWZhMjh4enc5NXNmNWF2MHN2OXJkeiIgdGltZXN0YW1wPSIxNTIxMTU5NDM4Ij4xNDg0
PC9rZXk+PGtleSBhcHA9IkVOV2ViIiBkYi1pZD0iIj4wPC9rZXk+PC9mb3JlaWduLWtleXM+PHJl
Zi10eXBlIG5hbWU9IkpvdXJuYWwgQXJ0aWNsZSI+MTc8L3JlZi10eXBlPjxjb250cmlidXRvcnM+
PGF1dGhvcnM+PGF1dGhvcj5NY0Nvbm5lbGwsIFIuPC9hdXRob3I+PGF1dGhvcj5CYXJyaW5ndG9u
LVRyaW1pcywgSi4gTC48L2F1dGhvcj48YXV0aG9yPldhbmcsIEsuPC9hdXRob3I+PGF1dGhvcj5V
cm1hbiwgUi48L2F1dGhvcj48YXV0aG9yPkhvbmcsIEguPC9hdXRob3I+PGF1dGhvcj5Vbmdlciwg
Si48L2F1dGhvcj48YXV0aG9yPlNhbWV0LCBKLjwvYXV0aG9yPjxhdXRob3I+TGV2ZW50aGFsLCBB
LjwvYXV0aG9yPjxhdXRob3I+QmVyaGFuZSwgSy48L2F1dGhvcj48L2F1dGhvcnM+PC9jb250cmli
dXRvcnM+PGF1dGgtYWRkcmVzcz4xIERlcGFydG1lbnQgb2YgUHJldmVudGl2ZSBNZWRpY2luZSwg
S2VjayBTY2hvb2wgb2YgTWVkaWNpbmUsIFVuaXZlcnNpdHkgb2YgU291dGhlcm4gQ2FsaWZvcm5p
YSwgTG9zIEFuZ2VsZXMsIENhbGlmb3JuaWE7IGFuZC4mI3hEOzIgRGl2aXNpb24gb2YgUHVsbW9u
YXJ5IE1lZGljaW5lLCBEZXBhcnRtZW50IG9mIFBlZGlhdHJpY3MsIENoaWxkcmVuJmFwb3M7cyBI
b3NwaXRhbCBMb3MgQW5nZWxlcywgTG9zIEFuZ2VsZXMsIENhbGlmb3JuaWEuPC9hdXRoLWFkZHJl
c3M+PHRpdGxlcz48dGl0bGU+RWxlY3Ryb25pYyBDaWdhcmV0dGUgVXNlIGFuZCBSZXNwaXJhdG9y
eSBTeW1wdG9tcyBpbiBBZG9sZXNjZW50czwvdGl0bGU+PHNlY29uZGFyeS10aXRsZT5BbSBKIFJl
c3BpciBDcml0IENhcmUgTWVkPC9zZWNvbmRhcnktdGl0bGU+PGFsdC10aXRsZT5BbWVyaWNhbiBq
b3VybmFsIG9mIHJlc3BpcmF0b3J5IGFuZCBjcml0aWNhbCBjYXJlIG1lZGljaW5lPC9hbHQtdGl0
bGU+PC90aXRsZXM+PHBlcmlvZGljYWw+PGZ1bGwtdGl0bGU+QW0gSiBSZXNwaXIgQ3JpdCBDYXJl
IE1lZDwvZnVsbC10aXRsZT48YWJici0xPkFtZXJpY2FuIGpvdXJuYWwgb2YgcmVzcGlyYXRvcnkg
YW5kIGNyaXRpY2FsIGNhcmUgbWVkaWNpbmU8L2FiYnItMT48L3BlcmlvZGljYWw+PGFsdC1wZXJp
b2RpY2FsPjxmdWxsLXRpdGxlPkFtIEogUmVzcGlyIENyaXQgQ2FyZSBNZWQ8L2Z1bGwtdGl0bGU+
PGFiYnItMT5BbWVyaWNhbiBqb3VybmFsIG9mIHJlc3BpcmF0b3J5IGFuZCBjcml0aWNhbCBjYXJl
IG1lZGljaW5lPC9hYmJyLTE+PC9hbHQtcGVyaW9kaWNhbD48cGFnZXM+MTA0My0xMDQ5PC9wYWdl
cz48dm9sdW1lPjE5NTwvdm9sdW1lPjxudW1iZXI+ODwvbnVtYmVyPjxlZGl0aW9uPjIwMTYvMTEv
MDM8L2VkaXRpb24+PGtleXdvcmRzPjxrZXl3b3JkPkFkb2xlc2NlbnQ8L2tleXdvcmQ+PGtleXdv
cmQ+QnJvbmNoaXRpcywgQ2hyb25pYy8qZXBpZGVtaW9sb2d5PC9rZXl3b3JkPjxrZXl3b3JkPkNh
bGlmb3JuaWEvZXBpZGVtaW9sb2d5PC9rZXl3b3JkPjxrZXl3b3JkPkVsZWN0cm9uaWMgTmljb3Rp
bmUgRGVsaXZlcnkgU3lzdGVtcy8qc3RhdGlzdGljcyAmYW1wOyBudW1lcmljYWwgZGF0YTwva2V5
d29yZD48a2V5d29yZD5GZW1hbGU8L2tleXdvcmQ+PGtleXdvcmQ+SGVhbHRoIFN1cnZleXMvKnN0
YXRpc3RpY3MgJmFtcDsgbnVtZXJpY2FsIGRhdGE8L2tleXdvcmQ+PGtleXdvcmQ+SHVtYW5zPC9r
ZXl3b3JkPjxrZXl3b3JkPk1hbGU8L2tleXdvcmQ+PGtleXdvcmQ+T2RkcyBSYXRpbzwva2V5d29y
ZD48a2V5d29yZD5Qcm9zcGVjdGl2ZSBTdHVkaWVzPC9rZXl3b3JkPjxrZXl3b3JkPipSZXNwaXJh
dG9yeSBTb3VuZHM8L2tleXdvcmQ+PGtleXdvcmQ+U2VsZiBSZXBvcnQ8L2tleXdvcmQ+PGtleXdv
cmQ+U3VydmV5cyBhbmQgUXVlc3Rpb25uYWlyZXM8L2tleXdvcmQ+PGtleXdvcmQ+YnJvbmNoaXRp
czwva2V5d29yZD48a2V5d29yZD5lLWNpZ2FyZXR0ZXM8L2tleXdvcmQ+PGtleXdvcmQ+c21va2lu
ZyBpbiB5b3VuZyBhZHVsdHM8L2tleXdvcmQ+PC9rZXl3b3Jkcz48ZGF0ZXM+PHllYXI+MjAxNzwv
eWVhcj48cHViLWRhdGVzPjxkYXRlPkFwciAxNTwvZGF0ZT48L3B1Yi1kYXRlcz48L2RhdGVzPjxp
c2JuPjEwNzMtNDQ5eDwvaXNibj48YWNjZXNzaW9uLW51bT4yNzgwNjIxMTwvYWNjZXNzaW9uLW51
bT48dXJscz48L3VybHM+PGN1c3RvbTI+UE1DNTQyMjY0NzwvY3VzdG9tMj48ZWxlY3Ryb25pYy1y
ZXNvdXJjZS1udW0+MTAuMTE2NC9yY2NtLjIwMTYwNC0wODA0T0M8L2VsZWN0cm9uaWMtcmVzb3Vy
Y2UtbnVtPjxyZW1vdGUtZGF0YWJhc2UtcHJvdmlkZXI+TkxNPC9yZW1vdGUtZGF0YWJhc2UtcHJv
dmlkZXI+PGxhbmd1YWdlPmVuZzwvbGFuZ3VhZ2U+PC9yZWNvcmQ+PC9DaXRlPjwvRW5kTm90ZT4A
</w:fldData>
            </w:fldChar>
          </w:r>
          <w:r>
            <w:instrText xml:space="preserve"> ADDIN EN.CITE.DATA </w:instrText>
          </w:r>
          <w:r>
            <w:fldChar w:fldCharType="end"/>
          </w:r>
          <w:r>
            <w:fldChar w:fldCharType="separate"/>
          </w:r>
          <w:r>
            <w:rPr>
              <w:noProof/>
            </w:rPr>
            <w:t>(McConnell, Barrington-Trimis et al. 2017)</w:t>
          </w:r>
          <w:r>
            <w:fldChar w:fldCharType="end"/>
          </w:r>
          <w:r>
            <w:t xml:space="preserve"> study</w:t>
          </w:r>
          <w:r w:rsidRPr="000F7327">
            <w:t xml:space="preserve">, whilst the Public Health England Review also included the Schweitzer et al. </w:t>
          </w:r>
          <w:r w:rsidRPr="000F7327">
            <w:fldChar w:fldCharType="begin"/>
          </w:r>
          <w:r>
            <w:instrText xml:space="preserve"> ADDIN EN.CITE &lt;EndNote&gt;&lt;Cite&gt;&lt;Author&gt;Schweitzer&lt;/Author&gt;&lt;Year&gt;2017&lt;/Year&gt;&lt;RecNum&gt;887&lt;/RecNum&gt;&lt;DisplayText&gt;(Schweitzer, Wills et al. 2017)&lt;/DisplayText&gt;&lt;record&gt;&lt;rec-number&gt;887&lt;/rec-number&gt;&lt;foreign-keys&gt;&lt;key app="EN" db-id="9vs9pzfznapxphefa28xzw95sf5av0sv9rdz" timestamp="1521159385"&gt;887&lt;/key&gt;&lt;/foreign-keys&gt;&lt;ref-type name="Journal Article"&gt;17&lt;/ref-type&gt;&lt;contributors&gt;&lt;authors&gt;&lt;author&gt;Schweitzer, R. J.&lt;/author&gt;&lt;author&gt;Wills, T. A.&lt;/author&gt;&lt;author&gt;Tam, E.&lt;/author&gt;&lt;author&gt;Pagano, I.&lt;/author&gt;&lt;author&gt;Choi, K.&lt;/author&gt;&lt;/authors&gt;&lt;/contributors&gt;&lt;auth-address&gt;Office of Public Health Studies, University of Hawaii at Manoa, Honolulu, HI, USA. Electronic address: rjwillia@hawaii.edu.&amp;#xD;Cancer Prevention in the Pacific Program, University of Hawaii Cancer Center, Honolulu, HI, USA.&amp;#xD;Department of Medicine, John A. Burns School of Medicine, Honolulu, HI, USA.&amp;#xD;Division of Intramural Research, National Institute on Minority Health and Health Disparities, Bethesda, MD, USA.&lt;/auth-address&gt;&lt;titles&gt;&lt;title&gt;E-cigarette use and asthma in a multiethnic sample of adolescents&lt;/title&gt;&lt;secondary-title&gt;Prev Med&lt;/secondary-title&gt;&lt;alt-title&gt;Preventive medicine&lt;/alt-title&gt;&lt;/titles&gt;&lt;alt-periodical&gt;&lt;full-title&gt;Preventive Medicine&lt;/full-title&gt;&lt;/alt-periodical&gt;&lt;pages&gt;226-231&lt;/pages&gt;&lt;volume&gt;105&lt;/volume&gt;&lt;edition&gt;2017/10/02&lt;/edition&gt;&lt;keywords&gt;&lt;keyword&gt;Adolescents&lt;/keyword&gt;&lt;keyword&gt;Asthma&lt;/keyword&gt;&lt;keyword&gt;E-cigarettes&lt;/keyword&gt;&lt;keyword&gt;Ethnicity&lt;/keyword&gt;&lt;/keywords&gt;&lt;dates&gt;&lt;year&gt;2017&lt;/year&gt;&lt;pub-dates&gt;&lt;date&gt;Dec&lt;/date&gt;&lt;/pub-dates&gt;&lt;/dates&gt;&lt;isbn&gt;0091-7435&lt;/isbn&gt;&lt;accession-num&gt;28964850&lt;/accession-num&gt;&lt;urls&gt;&lt;/urls&gt;&lt;custom2&gt;PMC5653431&lt;/custom2&gt;&lt;custom6&gt;NIHMS908747&lt;/custom6&gt;&lt;electronic-resource-num&gt;10.1016/j.ypmed.2017.09.023&lt;/electronic-resource-num&gt;&lt;remote-database-provider&gt;NLM&lt;/remote-database-provider&gt;&lt;language&gt;eng&lt;/language&gt;&lt;/record&gt;&lt;/Cite&gt;&lt;/EndNote&gt;</w:instrText>
          </w:r>
          <w:r w:rsidRPr="000F7327">
            <w:fldChar w:fldCharType="separate"/>
          </w:r>
          <w:r w:rsidRPr="000F7327">
            <w:rPr>
              <w:noProof/>
            </w:rPr>
            <w:t>(Schweitzer, Wills et al. 2017)</w:t>
          </w:r>
          <w:r w:rsidRPr="000F7327">
            <w:fldChar w:fldCharType="end"/>
          </w:r>
          <w:r w:rsidRPr="000F7327">
            <w:t xml:space="preserve"> study.</w:t>
          </w:r>
          <w:r>
            <w:t xml:space="preserve"> </w:t>
          </w:r>
        </w:p>
        <w:p w14:paraId="5F79DBC7" w14:textId="77777777" w:rsidR="00301538" w:rsidRDefault="00301538" w:rsidP="00301538">
          <w:pPr>
            <w:pStyle w:val="ListBullet"/>
            <w:numPr>
              <w:ilvl w:val="0"/>
              <w:numId w:val="0"/>
            </w:numPr>
          </w:pPr>
          <w:r>
            <w:lastRenderedPageBreak/>
            <w:t xml:space="preserve">The remaining studies are new to this review: Thus there are 6 new studies presented here. Two of these 6 studies involved subjects who were recruited from vape shops </w:t>
          </w:r>
          <w:r>
            <w:fldChar w:fldCharType="begin">
              <w:fldData xml:space="preserve">PEVuZE5vdGU+PENpdGU+PEF1dGhvcj5Qb2xvc2E8L0F1dGhvcj48WWVhcj4yMDE3PC9ZZWFyPjxS
ZWNOdW0+MTg2ODwvUmVjTnVtPjxEaXNwbGF5VGV4dD4oR3VjaHQsIEFkcmlhZW5zIGV0IGFsLiAy
MDE3LCBQb2xvc2EsIENpYmVsbGEgZXQgYWwuIDIwMTcpPC9EaXNwbGF5VGV4dD48cmVjb3JkPjxy
ZWMtbnVtYmVyPjE4Njg8L3JlYy1udW1iZXI+PGZvcmVpZ24ta2V5cz48a2V5IGFwcD0iRU4iIGRi
LWlkPSI5dnM5cHpmem5hcHhwaGVmYTI4eHp3OTVzZjVhdjBzdjlyZHoiIHRpbWVzdGFtcD0iMTUy
MTE1OTQ4NCI+MTg2ODwva2V5PjwvZm9yZWlnbi1rZXlzPjxyZWYtdHlwZSBuYW1lPSJKb3VybmFs
IEFydGljbGUiPjE3PC9yZWYtdHlwZT48Y29udHJpYnV0b3JzPjxhdXRob3JzPjxhdXRob3I+UG9s
b3NhLCBSaWNjYXJkbzwvYXV0aG9yPjxhdXRob3I+Q2liZWxsYSwgRmFiaW88L2F1dGhvcj48YXV0
aG9yPkNhcG9ubmV0dG8sIFBhc3F1YWxlPC9hdXRob3I+PGF1dGhvcj5NYWdsaWEsIE1hcmlsZW5h
PC9hdXRob3I+PGF1dGhvcj5UYXNoa2luLCBEb25hbGQ8L2F1dGhvcj48L2F1dGhvcnM+PC9jb250
cmlidXRvcnM+PHRpdGxlcz48dGl0bGU+SGVhbHRoIGltcGFjdCBvZiBlLWNpZ2FyZXR0ZXM6IGEg
cHJvc3BlY3RpdmUgMy41LXllYXIgc3R1ZHkgb2YgcmVndWxhciB1c2VycyB3aG8gaGF2ZSBuZXZl
ciBzbW9rZWQ8L3RpdGxlPjxzZWNvbmRhcnktdGl0bGU+UmVzcGlyb2xvZ3k8L3NlY29uZGFyeS10
aXRsZT48L3RpdGxlcz48cGVyaW9kaWNhbD48ZnVsbC10aXRsZT5SZXNwaXJvbG9neTwvZnVsbC10
aXRsZT48YWJici0xPlJlc3Bpcm9sb2d5IChDYXJsdG9uLCBWaWMuKTwvYWJici0xPjwvcGVyaW9k
aWNhbD48cGFnZXM+MjItMjM8L3BhZ2VzPjx2b2x1bWU+MjI8L3ZvbHVtZT48ZGF0ZXM+PHllYXI+
MjAxNzwveWVhcj48cHViLWRhdGVzPjxkYXRlPk5vdjwvZGF0ZT48L3B1Yi1kYXRlcz48L2RhdGVz
Pjxpc2JuPjEzMjMtNzc5OTwvaXNibj48YWNjZXNzaW9uLW51bT5XT1M6MDAwNDE1OTI1NzAwMDQ2
PC9hY2Nlc3Npb24tbnVtPjx1cmxzPjxyZWxhdGVkLXVybHM+PHVybD4mbHQ7R28gdG8gSVNJJmd0
OzovL1dPUzowMDA0MTU5MjU3MDAwNDY8L3VybD48L3JlbGF0ZWQtdXJscz48L3VybHM+PC9yZWNv
cmQ+PC9DaXRlPjxDaXRlPjxBdXRob3I+R3VjaHQ8L0F1dGhvcj48WWVhcj4yMDE3PC9ZZWFyPjxS
ZWNOdW0+MTAyMTwvUmVjTnVtPjxyZWNvcmQ+PHJlYy1udW1iZXI+MTAyMTwvcmVjLW51bWJlcj48
Zm9yZWlnbi1rZXlzPjxrZXkgYXBwPSJFTiIgZGItaWQ9Ijl2czlwemZ6bmFweHBoZWZhMjh4enc5
NXNmNWF2MHN2OXJkeiIgdGltZXN0YW1wPSIxNTIxMTU5Mzk3Ij4xMDIxPC9rZXk+PGtleSBhcHA9
IkVOV2ViIiBkYi1pZD0iIj4wPC9rZXk+PC9mb3JlaWduLWtleXM+PHJlZi10eXBlIG5hbWU9Ikpv
dXJuYWwgQXJ0aWNsZSI+MTc8L3JlZi10eXBlPjxjb250cmlidXRvcnM+PGF1dGhvcnM+PGF1dGhv
cj5HdWNodCwgRC4gVi48L2F1dGhvcj48YXV0aG9yPkFkcmlhZW5zLCBLLjwvYXV0aG9yPjxhdXRo
b3I+QmFleWVucywgRi48L2F1dGhvcj48L2F1dGhvcnM+PC9jb250cmlidXRvcnM+PGF1dGgtYWRk
cmVzcz5BcHBsaWVkIFBzeWNob2xvZ3kgVW5pdCwgVGhvbWFzIE1vcmUgTWVjaGVsZW4tQW50d2Vy
cCBVbml2ZXJzaXR5IENvbGxlZ2UsIE1vbGVuc3RyYWF0IDgsIDIwMTggQW50d2VycCwgQmVsZ2l1
bS4gZGluc2thLnZhbmd1Y2h0QHRob21hc21vcmUuYmUuJiN4RDtGYWN1bHR5IG9mIFBzeWNob2xv
Z3kgYW5kIEVkdWNhdGlvbmFsIFNjaWVuY2VzLCBLVSBMZXV2ZW4tVW5pdmVyc2l0eSBvZiBMZXV2
ZW4sIFRpZW5zZXN0cmFhdCAxMDIsIDMwMDAgTGV1dmVuLCBCZWxnaXVtLiBkaW5za2EudmFuZ3Vj
aHRAdGhvbWFzbW9yZS5iZS4mI3hEO0ZhY3VsdHkgb2YgUHN5Y2hvbG9neSBhbmQgRWR1Y2F0aW9u
YWwgU2NpZW5jZXMsIEtVIExldXZlbi1Vbml2ZXJzaXR5IG9mIExldXZlbiwgVGllbnNlc3RyYWF0
IDEwMiwgMzAwMCBMZXV2ZW4sIEJlbGdpdW0uIGthcm9saWVuLmFkcmlhZW5zQGt1bGV1dmVuLmJl
LiYjeEQ7RmFjdWx0eSBvZiBQc3ljaG9sb2d5IGFuZCBFZHVjYXRpb25hbCBTY2llbmNlcywgS1Ug
TGV1dmVuLVVuaXZlcnNpdHkgb2YgTGV1dmVuLCBUaWVuc2VzdHJhYXQgMTAyLCAzMDAwIExldXZl
biwgQmVsZ2l1bS4gZnJhbmsuYmFleWVuc0BrdWxldXZlbi5iZS48L2F1dGgtYWRkcmVzcz48dGl0
bGVzPjx0aXRsZT5PbmxpbmUgVmFwZSBTaG9wIEN1c3RvbWVycyBXaG8gVXNlIEUtQ2lnYXJldHRl
cyBSZXBvcnQgQWJzdGluZW5jZSBmcm9tIFNtb2tpbmcgYW5kIEltcHJvdmVkIFF1YWxpdHkgb2Yg
TGlmZSwgQnV0IGEgU3Vic3RhbnRpYWwgTWlub3JpdHkgU3RpbGwgSGF2ZSBWYXBpbmctUmVsYXRl
ZCBIZWFsdGggQ29uY2VybnM8L3RpdGxlPjxzZWNvbmRhcnktdGl0bGU+SW50IEogRW52aXJvbiBS
ZXMgUHVibGljIEhlYWx0aDwvc2Vjb25kYXJ5LXRpdGxlPjxhbHQtdGl0bGU+SW50ZXJuYXRpb25h
bCBqb3VybmFsIG9mIGVudmlyb25tZW50YWwgcmVzZWFyY2ggYW5kIHB1YmxpYyBoZWFsdGg8L2Fs
dC10aXRsZT48L3RpdGxlcz48YWx0LXBlcmlvZGljYWw+PGZ1bGwtdGl0bGU+SW50ZXJuYXRpb25h
bCBKb3VybmFsIG9mIEVudmlyb25tZW50YWwgUmVzZWFyY2ggYW5kIFB1YmxpYyBIZWFsdGg8L2Z1
bGwtdGl0bGU+PC9hbHQtcGVyaW9kaWNhbD48dm9sdW1lPjE0PC92b2x1bWU+PG51bWJlcj43PC9u
dW1iZXI+PGVkaXRpb24+MjAxNy8wNy8xODwvZWRpdGlvbj48a2V5d29yZHM+PGtleXdvcmQ+QWR1
bHQ8L2tleXdvcmQ+PGtleXdvcmQ+KkVsZWN0cm9uaWMgTmljb3RpbmUgRGVsaXZlcnkgU3lzdGVt
czwva2V5d29yZD48a2V5d29yZD5GZW1hbGU8L2tleXdvcmQ+PGtleXdvcmQ+SHVtYW5zPC9rZXl3
b3JkPjxrZXl3b3JkPk1hbGU8L2tleXdvcmQ+PGtleXdvcmQ+TWlkZGxlIEFnZWQ8L2tleXdvcmQ+
PGtleXdvcmQ+TmV0aGVybGFuZHM8L2tleXdvcmQ+PGtleXdvcmQ+Tmljb3RpbmUvYWRtaW5pc3Ry
YXRpb24gJmFtcDsgZG9zYWdlPC9rZXl3b3JkPjxrZXl3b3JkPlBlcmNlcHRpb248L2tleXdvcmQ+
PGtleXdvcmQ+UXVhbGl0eSBJbXByb3ZlbWVudDwva2V5d29yZD48a2V5d29yZD5RdWFsaXR5IG9m
IExpZmU8L2tleXdvcmQ+PGtleXdvcmQ+U21va2luZyBDZXNzYXRpb24vKm1ldGhvZHM8L2tleXdv
cmQ+PGtleXdvcmQ+VG9iYWNjbyBTbW9raW5nL3RoZXJhcHk8L2tleXdvcmQ+PGtleXdvcmQ+VG9i
YWNjbyBVc2UgRGlzb3JkZXIvcHN5Y2hvbG9neS90aGVyYXB5PC9rZXl3b3JkPjxrZXl3b3JkPipW
YXBpbmcvcHN5Y2hvbG9neTwva2V5d29yZD48a2V5d29yZD4qZWxlY3Ryb25pYyBjaWdhcmV0dGU8
L2tleXdvcmQ+PGtleXdvcmQ+Km9ubGluZSB2YXBlIHNob3AgY3VzdG9tZXJzPC9rZXl3b3JkPjxr
ZXl3b3JkPipwZXJjZXB0aW9uPC9rZXl3b3JkPjxrZXl3b3JkPipzbW9raW5nIGNlc3NhdGlvbjwv
a2V5d29yZD48a2V5d29yZD4qdmFwaW5nPC9rZXl3b3JkPjxrZXl3b3JkPmFkdm9jYXRlcyBmb3Ig
ZS1jaWctYmFzZWQgVEhSLjwva2V5d29yZD48L2tleXdvcmRzPjxkYXRlcz48eWVhcj4yMDE3PC95
ZWFyPjxwdWItZGF0ZXM+PGRhdGU+SnVsIDE3PC9kYXRlPjwvcHViLWRhdGVzPjwvZGF0ZXM+PGlz
Ym4+MTY2MC00NjAxPC9pc2JuPjxhY2Nlc3Npb24tbnVtPjI4NzE0OTE0PC9hY2Nlc3Npb24tbnVt
Pjx1cmxzPjwvdXJscz48Y3VzdG9tMj5QTUM1NTUxMjM2PC9jdXN0b20yPjxlbGVjdHJvbmljLXJl
c291cmNlLW51bT4xMC4zMzkwL2lqZXJwaDE0MDcwNzk4PC9lbGVjdHJvbmljLXJlc291cmNlLW51
bT48cmVtb3RlLWRhdGFiYXNlLXByb3ZpZGVyPk5MTTwvcmVtb3RlLWRhdGFiYXNlLXByb3ZpZGVy
PjxsYW5ndWFnZT5lbmc8L2xhbmd1YWdlPjwvcmVjb3JkPjwvQ2l0ZT48L0VuZE5vdGU+AG==
</w:fldData>
            </w:fldChar>
          </w:r>
          <w:r>
            <w:instrText xml:space="preserve"> ADDIN EN.CITE </w:instrText>
          </w:r>
          <w:r>
            <w:fldChar w:fldCharType="begin">
              <w:fldData xml:space="preserve">PEVuZE5vdGU+PENpdGU+PEF1dGhvcj5Qb2xvc2E8L0F1dGhvcj48WWVhcj4yMDE3PC9ZZWFyPjxS
ZWNOdW0+MTg2ODwvUmVjTnVtPjxEaXNwbGF5VGV4dD4oR3VjaHQsIEFkcmlhZW5zIGV0IGFsLiAy
MDE3LCBQb2xvc2EsIENpYmVsbGEgZXQgYWwuIDIwMTcpPC9EaXNwbGF5VGV4dD48cmVjb3JkPjxy
ZWMtbnVtYmVyPjE4Njg8L3JlYy1udW1iZXI+PGZvcmVpZ24ta2V5cz48a2V5IGFwcD0iRU4iIGRi
LWlkPSI5dnM5cHpmem5hcHhwaGVmYTI4eHp3OTVzZjVhdjBzdjlyZHoiIHRpbWVzdGFtcD0iMTUy
MTE1OTQ4NCI+MTg2ODwva2V5PjwvZm9yZWlnbi1rZXlzPjxyZWYtdHlwZSBuYW1lPSJKb3VybmFs
IEFydGljbGUiPjE3PC9yZWYtdHlwZT48Y29udHJpYnV0b3JzPjxhdXRob3JzPjxhdXRob3I+UG9s
b3NhLCBSaWNjYXJkbzwvYXV0aG9yPjxhdXRob3I+Q2liZWxsYSwgRmFiaW88L2F1dGhvcj48YXV0
aG9yPkNhcG9ubmV0dG8sIFBhc3F1YWxlPC9hdXRob3I+PGF1dGhvcj5NYWdsaWEsIE1hcmlsZW5h
PC9hdXRob3I+PGF1dGhvcj5UYXNoa2luLCBEb25hbGQ8L2F1dGhvcj48L2F1dGhvcnM+PC9jb250
cmlidXRvcnM+PHRpdGxlcz48dGl0bGU+SGVhbHRoIGltcGFjdCBvZiBlLWNpZ2FyZXR0ZXM6IGEg
cHJvc3BlY3RpdmUgMy41LXllYXIgc3R1ZHkgb2YgcmVndWxhciB1c2VycyB3aG8gaGF2ZSBuZXZl
ciBzbW9rZWQ8L3RpdGxlPjxzZWNvbmRhcnktdGl0bGU+UmVzcGlyb2xvZ3k8L3NlY29uZGFyeS10
aXRsZT48L3RpdGxlcz48cGVyaW9kaWNhbD48ZnVsbC10aXRsZT5SZXNwaXJvbG9neTwvZnVsbC10
aXRsZT48YWJici0xPlJlc3Bpcm9sb2d5IChDYXJsdG9uLCBWaWMuKTwvYWJici0xPjwvcGVyaW9k
aWNhbD48cGFnZXM+MjItMjM8L3BhZ2VzPjx2b2x1bWU+MjI8L3ZvbHVtZT48ZGF0ZXM+PHllYXI+
MjAxNzwveWVhcj48cHViLWRhdGVzPjxkYXRlPk5vdjwvZGF0ZT48L3B1Yi1kYXRlcz48L2RhdGVz
Pjxpc2JuPjEzMjMtNzc5OTwvaXNibj48YWNjZXNzaW9uLW51bT5XT1M6MDAwNDE1OTI1NzAwMDQ2
PC9hY2Nlc3Npb24tbnVtPjx1cmxzPjxyZWxhdGVkLXVybHM+PHVybD4mbHQ7R28gdG8gSVNJJmd0
OzovL1dPUzowMDA0MTU5MjU3MDAwNDY8L3VybD48L3JlbGF0ZWQtdXJscz48L3VybHM+PC9yZWNv
cmQ+PC9DaXRlPjxDaXRlPjxBdXRob3I+R3VjaHQ8L0F1dGhvcj48WWVhcj4yMDE3PC9ZZWFyPjxS
ZWNOdW0+MTAyMTwvUmVjTnVtPjxyZWNvcmQ+PHJlYy1udW1iZXI+MTAyMTwvcmVjLW51bWJlcj48
Zm9yZWlnbi1rZXlzPjxrZXkgYXBwPSJFTiIgZGItaWQ9Ijl2czlwemZ6bmFweHBoZWZhMjh4enc5
NXNmNWF2MHN2OXJkeiIgdGltZXN0YW1wPSIxNTIxMTU5Mzk3Ij4xMDIxPC9rZXk+PGtleSBhcHA9
IkVOV2ViIiBkYi1pZD0iIj4wPC9rZXk+PC9mb3JlaWduLWtleXM+PHJlZi10eXBlIG5hbWU9Ikpv
dXJuYWwgQXJ0aWNsZSI+MTc8L3JlZi10eXBlPjxjb250cmlidXRvcnM+PGF1dGhvcnM+PGF1dGhv
cj5HdWNodCwgRC4gVi48L2F1dGhvcj48YXV0aG9yPkFkcmlhZW5zLCBLLjwvYXV0aG9yPjxhdXRo
b3I+QmFleWVucywgRi48L2F1dGhvcj48L2F1dGhvcnM+PC9jb250cmlidXRvcnM+PGF1dGgtYWRk
cmVzcz5BcHBsaWVkIFBzeWNob2xvZ3kgVW5pdCwgVGhvbWFzIE1vcmUgTWVjaGVsZW4tQW50d2Vy
cCBVbml2ZXJzaXR5IENvbGxlZ2UsIE1vbGVuc3RyYWF0IDgsIDIwMTggQW50d2VycCwgQmVsZ2l1
bS4gZGluc2thLnZhbmd1Y2h0QHRob21hc21vcmUuYmUuJiN4RDtGYWN1bHR5IG9mIFBzeWNob2xv
Z3kgYW5kIEVkdWNhdGlvbmFsIFNjaWVuY2VzLCBLVSBMZXV2ZW4tVW5pdmVyc2l0eSBvZiBMZXV2
ZW4sIFRpZW5zZXN0cmFhdCAxMDIsIDMwMDAgTGV1dmVuLCBCZWxnaXVtLiBkaW5za2EudmFuZ3Vj
aHRAdGhvbWFzbW9yZS5iZS4mI3hEO0ZhY3VsdHkgb2YgUHN5Y2hvbG9neSBhbmQgRWR1Y2F0aW9u
YWwgU2NpZW5jZXMsIEtVIExldXZlbi1Vbml2ZXJzaXR5IG9mIExldXZlbiwgVGllbnNlc3RyYWF0
IDEwMiwgMzAwMCBMZXV2ZW4sIEJlbGdpdW0uIGthcm9saWVuLmFkcmlhZW5zQGt1bGV1dmVuLmJl
LiYjeEQ7RmFjdWx0eSBvZiBQc3ljaG9sb2d5IGFuZCBFZHVjYXRpb25hbCBTY2llbmNlcywgS1Ug
TGV1dmVuLVVuaXZlcnNpdHkgb2YgTGV1dmVuLCBUaWVuc2VzdHJhYXQgMTAyLCAzMDAwIExldXZl
biwgQmVsZ2l1bS4gZnJhbmsuYmFleWVuc0BrdWxldXZlbi5iZS48L2F1dGgtYWRkcmVzcz48dGl0
bGVzPjx0aXRsZT5PbmxpbmUgVmFwZSBTaG9wIEN1c3RvbWVycyBXaG8gVXNlIEUtQ2lnYXJldHRl
cyBSZXBvcnQgQWJzdGluZW5jZSBmcm9tIFNtb2tpbmcgYW5kIEltcHJvdmVkIFF1YWxpdHkgb2Yg
TGlmZSwgQnV0IGEgU3Vic3RhbnRpYWwgTWlub3JpdHkgU3RpbGwgSGF2ZSBWYXBpbmctUmVsYXRl
ZCBIZWFsdGggQ29uY2VybnM8L3RpdGxlPjxzZWNvbmRhcnktdGl0bGU+SW50IEogRW52aXJvbiBS
ZXMgUHVibGljIEhlYWx0aDwvc2Vjb25kYXJ5LXRpdGxlPjxhbHQtdGl0bGU+SW50ZXJuYXRpb25h
bCBqb3VybmFsIG9mIGVudmlyb25tZW50YWwgcmVzZWFyY2ggYW5kIHB1YmxpYyBoZWFsdGg8L2Fs
dC10aXRsZT48L3RpdGxlcz48YWx0LXBlcmlvZGljYWw+PGZ1bGwtdGl0bGU+SW50ZXJuYXRpb25h
bCBKb3VybmFsIG9mIEVudmlyb25tZW50YWwgUmVzZWFyY2ggYW5kIFB1YmxpYyBIZWFsdGg8L2Z1
bGwtdGl0bGU+PC9hbHQtcGVyaW9kaWNhbD48dm9sdW1lPjE0PC92b2x1bWU+PG51bWJlcj43PC9u
dW1iZXI+PGVkaXRpb24+MjAxNy8wNy8xODwvZWRpdGlvbj48a2V5d29yZHM+PGtleXdvcmQ+QWR1
bHQ8L2tleXdvcmQ+PGtleXdvcmQ+KkVsZWN0cm9uaWMgTmljb3RpbmUgRGVsaXZlcnkgU3lzdGVt
czwva2V5d29yZD48a2V5d29yZD5GZW1hbGU8L2tleXdvcmQ+PGtleXdvcmQ+SHVtYW5zPC9rZXl3
b3JkPjxrZXl3b3JkPk1hbGU8L2tleXdvcmQ+PGtleXdvcmQ+TWlkZGxlIEFnZWQ8L2tleXdvcmQ+
PGtleXdvcmQ+TmV0aGVybGFuZHM8L2tleXdvcmQ+PGtleXdvcmQ+Tmljb3RpbmUvYWRtaW5pc3Ry
YXRpb24gJmFtcDsgZG9zYWdlPC9rZXl3b3JkPjxrZXl3b3JkPlBlcmNlcHRpb248L2tleXdvcmQ+
PGtleXdvcmQ+UXVhbGl0eSBJbXByb3ZlbWVudDwva2V5d29yZD48a2V5d29yZD5RdWFsaXR5IG9m
IExpZmU8L2tleXdvcmQ+PGtleXdvcmQ+U21va2luZyBDZXNzYXRpb24vKm1ldGhvZHM8L2tleXdv
cmQ+PGtleXdvcmQ+VG9iYWNjbyBTbW9raW5nL3RoZXJhcHk8L2tleXdvcmQ+PGtleXdvcmQ+VG9i
YWNjbyBVc2UgRGlzb3JkZXIvcHN5Y2hvbG9neS90aGVyYXB5PC9rZXl3b3JkPjxrZXl3b3JkPipW
YXBpbmcvcHN5Y2hvbG9neTwva2V5d29yZD48a2V5d29yZD4qZWxlY3Ryb25pYyBjaWdhcmV0dGU8
L2tleXdvcmQ+PGtleXdvcmQ+Km9ubGluZSB2YXBlIHNob3AgY3VzdG9tZXJzPC9rZXl3b3JkPjxr
ZXl3b3JkPipwZXJjZXB0aW9uPC9rZXl3b3JkPjxrZXl3b3JkPipzbW9raW5nIGNlc3NhdGlvbjwv
a2V5d29yZD48a2V5d29yZD4qdmFwaW5nPC9rZXl3b3JkPjxrZXl3b3JkPmFkdm9jYXRlcyBmb3Ig
ZS1jaWctYmFzZWQgVEhSLjwva2V5d29yZD48L2tleXdvcmRzPjxkYXRlcz48eWVhcj4yMDE3PC95
ZWFyPjxwdWItZGF0ZXM+PGRhdGU+SnVsIDE3PC9kYXRlPjwvcHViLWRhdGVzPjwvZGF0ZXM+PGlz
Ym4+MTY2MC00NjAxPC9pc2JuPjxhY2Nlc3Npb24tbnVtPjI4NzE0OTE0PC9hY2Nlc3Npb24tbnVt
Pjx1cmxzPjwvdXJscz48Y3VzdG9tMj5QTUM1NTUxMjM2PC9jdXN0b20yPjxlbGVjdHJvbmljLXJl
c291cmNlLW51bT4xMC4zMzkwL2lqZXJwaDE0MDcwNzk4PC9lbGVjdHJvbmljLXJlc291cmNlLW51
bT48cmVtb3RlLWRhdGFiYXNlLXByb3ZpZGVyPk5MTTwvcmVtb3RlLWRhdGFiYXNlLXByb3ZpZGVy
PjxsYW5ndWFnZT5lbmc8L2xhbmd1YWdlPjwvcmVjb3JkPjwvQ2l0ZT48L0VuZE5vdGU+AG==
</w:fldData>
            </w:fldChar>
          </w:r>
          <w:r>
            <w:instrText xml:space="preserve"> ADDIN EN.CITE.DATA </w:instrText>
          </w:r>
          <w:r>
            <w:fldChar w:fldCharType="end"/>
          </w:r>
          <w:r>
            <w:fldChar w:fldCharType="separate"/>
          </w:r>
          <w:r>
            <w:rPr>
              <w:noProof/>
            </w:rPr>
            <w:t>(Gucht, Adriaens et al. 2017, Polosa, Cibella et al. 2017)</w:t>
          </w:r>
          <w:r>
            <w:fldChar w:fldCharType="end"/>
          </w:r>
          <w:r>
            <w:t xml:space="preserve">. Two of the large cross-sectional studies that showed a relationship between asthma and e-cigarettes may simply show a temporal relationship </w:t>
          </w:r>
          <w:r>
            <w:fldChar w:fldCharType="begin">
              <w:fldData xml:space="preserve">PEVuZE5vdGU+PENpdGU+PEF1dGhvcj5LaW08L0F1dGhvcj48WWVhcj4yMDE3PC9ZZWFyPjxSZWNO
dW0+NzAyPC9SZWNOdW0+PERpc3BsYXlUZXh0PihLaW0sIFNpbSBldCBhbC4gMjAxNywgU2Nod2Vp
dHplciwgV2lsbHMgZXQgYWwuIDIwMTcpPC9EaXNwbGF5VGV4dD48cmVjb3JkPjxyZWMtbnVtYmVy
PjcwMjwvcmVjLW51bWJlcj48Zm9yZWlnbi1rZXlzPjxrZXkgYXBwPSJFTiIgZGItaWQ9Ijl2czlw
emZ6bmFweHBoZWZhMjh4enc5NXNmNWF2MHN2OXJkeiIgdGltZXN0YW1wPSIxNTIxMTU5MzUyIj43
MDI8L2tleT48a2V5IGFwcD0iRU5XZWIiIGRiLWlkPSIiPjA8L2tleT48L2ZvcmVpZ24ta2V5cz48
cmVmLXR5cGUgbmFtZT0iSm91cm5hbCBBcnRpY2xlIj4xNzwvcmVmLXR5cGU+PGNvbnRyaWJ1dG9y
cz48YXV0aG9ycz48YXV0aG9yPktpbSwgUy4gWS48L2F1dGhvcj48YXV0aG9yPlNpbSwgUy48L2F1
dGhvcj48YXV0aG9yPkNob2ksIEguIEcuPC9hdXRob3I+PC9hdXRob3JzPjwvY29udHJpYnV0b3Jz
PjxhdXRoLWFkZHJlc3M+RGVwYXJ0bWVudCBvZiBPdG9yaGlub2xhcnluZ29sb2d5LUhlYWQgJmFt
cDsgTmVjayBTdXJnZXJ5LCBDSEEgQnVuZGFuZyBNZWRpY2FsIENlbnRlciwgQ0hBIFVuaXZlcnNp
dHksIFNlb25nbmFtLCBLb3JlYS4mI3hEO0RlcGFydG1lbnQgb2YgU3RhdGlzdGljcywgSGFsbHlt
IFVuaXZlcnNpdHksIENodW5jaGVvbiwgS29yZWEuJiN4RDtEZXBhcnRtZW50IG9mIE90b3JoaW5v
bGFyeW5nb2xvZ3ktSGVhZCAmYW1wOyBOZWNrIFN1cmdlcnksIEhhbGx5bSBVbml2ZXJzaXR5IFNh
Y3JlZCBIZWFydCBIb3NwaXRhbCwgQW55YW5nLCBLb3JlYS4gcHVwZW5AbmF2ZXIuY29tLjwvYXV0
aC1hZGRyZXNzPjx0aXRsZXM+PHRpdGxlPkFjdGl2ZSwgcGFzc2l2ZSwgYW5kIGVsZWN0cm9uaWMg
Y2lnYXJldHRlIHNtb2tpbmcgaXMgYXNzb2NpYXRlZCB3aXRoIGFzdGhtYSBpbiBhZG9sZXNjZW50
czwvdGl0bGU+PHNlY29uZGFyeS10aXRsZT5TY2kgUmVwPC9zZWNvbmRhcnktdGl0bGU+PGFsdC10
aXRsZT5TY2llbnRpZmljIHJlcG9ydHM8L2FsdC10aXRsZT48L3RpdGxlcz48YWx0LXBlcmlvZGlj
YWw+PGZ1bGwtdGl0bGU+U2NpZW50aWZpYyBSZXBvcnRzPC9mdWxsLXRpdGxlPjwvYWx0LXBlcmlv
ZGljYWw+PHBhZ2VzPjE3Nzg5PC9wYWdlcz48dm9sdW1lPjc8L3ZvbHVtZT48bnVtYmVyPjE8L251
bWJlcj48ZWRpdGlvbj4yMDE3LzEyLzIxPC9lZGl0aW9uPjxkYXRlcz48eWVhcj4yMDE3PC95ZWFy
PjxwdWItZGF0ZXM+PGRhdGU+RGVjIDE5PC9kYXRlPjwvcHViLWRhdGVzPjwvZGF0ZXM+PGlzYm4+
MjA0NS0yMzIyPC9pc2JuPjxhY2Nlc3Npb24tbnVtPjI5MjU5MjIxPC9hY2Nlc3Npb24tbnVtPjx1
cmxzPjwvdXJscz48Y3VzdG9tMj5QTUM1NzM2Njg5PC9jdXN0b20yPjxlbGVjdHJvbmljLXJlc291
cmNlLW51bT4xMC4xMDM4L3M0MTU5OC0wMTctMTc5NTgteTwvZWxlY3Ryb25pYy1yZXNvdXJjZS1u
dW0+PHJlbW90ZS1kYXRhYmFzZS1wcm92aWRlcj5OTE08L3JlbW90ZS1kYXRhYmFzZS1wcm92aWRl
cj48bGFuZ3VhZ2U+ZW5nPC9sYW5ndWFnZT48L3JlY29yZD48L0NpdGU+PENpdGU+PEF1dGhvcj5T
Y2h3ZWl0emVyPC9BdXRob3I+PFllYXI+MjAxNzwvWWVhcj48UmVjTnVtPjg4NzwvUmVjTnVtPjxy
ZWNvcmQ+PHJlYy1udW1iZXI+ODg3PC9yZWMtbnVtYmVyPjxmb3JlaWduLWtleXM+PGtleSBhcHA9
IkVOIiBkYi1pZD0iOXZzOXB6ZnpuYXB4cGhlZmEyOHh6dzk1c2Y1YXYwc3Y5cmR6IiB0aW1lc3Rh
bXA9IjE1MjExNTkzODUiPjg4Nzwva2V5PjwvZm9yZWlnbi1rZXlzPjxyZWYtdHlwZSBuYW1lPSJK
b3VybmFsIEFydGljbGUiPjE3PC9yZWYtdHlwZT48Y29udHJpYnV0b3JzPjxhdXRob3JzPjxhdXRo
b3I+U2Nod2VpdHplciwgUi4gSi48L2F1dGhvcj48YXV0aG9yPldpbGxzLCBULiBBLjwvYXV0aG9y
PjxhdXRob3I+VGFtLCBFLjwvYXV0aG9yPjxhdXRob3I+UGFnYW5vLCBJLjwvYXV0aG9yPjxhdXRo
b3I+Q2hvaSwgSy48L2F1dGhvcj48L2F1dGhvcnM+PC9jb250cmlidXRvcnM+PGF1dGgtYWRkcmVz
cz5PZmZpY2Ugb2YgUHVibGljIEhlYWx0aCBTdHVkaWVzLCBVbml2ZXJzaXR5IG9mIEhhd2FpaSBh
dCBNYW5vYSwgSG9ub2x1bHUsIEhJLCBVU0EuIEVsZWN0cm9uaWMgYWRkcmVzczogcmp3aWxsaWFA
aGF3YWlpLmVkdS4mI3hEO0NhbmNlciBQcmV2ZW50aW9uIGluIHRoZSBQYWNpZmljIFByb2dyYW0s
IFVuaXZlcnNpdHkgb2YgSGF3YWlpIENhbmNlciBDZW50ZXIsIEhvbm9sdWx1LCBISSwgVVNBLiYj
eEQ7RGVwYXJ0bWVudCBvZiBNZWRpY2luZSwgSm9obiBBLiBCdXJucyBTY2hvb2wgb2YgTWVkaWNp
bmUsIEhvbm9sdWx1LCBISSwgVVNBLiYjeEQ7RGl2aXNpb24gb2YgSW50cmFtdXJhbCBSZXNlYXJj
aCwgTmF0aW9uYWwgSW5zdGl0dXRlIG9uIE1pbm9yaXR5IEhlYWx0aCBhbmQgSGVhbHRoIERpc3Bh
cml0aWVzLCBCZXRoZXNkYSwgTUQsIFVTQS48L2F1dGgtYWRkcmVzcz48dGl0bGVzPjx0aXRsZT5F
LWNpZ2FyZXR0ZSB1c2UgYW5kIGFzdGhtYSBpbiBhIG11bHRpZXRobmljIHNhbXBsZSBvZiBhZG9s
ZXNjZW50czwvdGl0bGU+PHNlY29uZGFyeS10aXRsZT5QcmV2IE1lZDwvc2Vjb25kYXJ5LXRpdGxl
PjxhbHQtdGl0bGU+UHJldmVudGl2ZSBtZWRpY2luZTwvYWx0LXRpdGxlPjwvdGl0bGVzPjxhbHQt
cGVyaW9kaWNhbD48ZnVsbC10aXRsZT5QcmV2ZW50aXZlIE1lZGljaW5lPC9mdWxsLXRpdGxlPjwv
YWx0LXBlcmlvZGljYWw+PHBhZ2VzPjIyNi0yMzE8L3BhZ2VzPjx2b2x1bWU+MTA1PC92b2x1bWU+
PGVkaXRpb24+MjAxNy8xMC8wMjwvZWRpdGlvbj48a2V5d29yZHM+PGtleXdvcmQ+QWRvbGVzY2Vu
dHM8L2tleXdvcmQ+PGtleXdvcmQ+QXN0aG1hPC9rZXl3b3JkPjxrZXl3b3JkPkUtY2lnYXJldHRl
czwva2V5d29yZD48a2V5d29yZD5FdGhuaWNpdHk8L2tleXdvcmQ+PC9rZXl3b3Jkcz48ZGF0ZXM+
PHllYXI+MjAxNzwveWVhcj48cHViLWRhdGVzPjxkYXRlPkRlYzwvZGF0ZT48L3B1Yi1kYXRlcz48
L2RhdGVzPjxpc2JuPjAwOTEtNzQzNTwvaXNibj48YWNjZXNzaW9uLW51bT4yODk2NDg1MDwvYWNj
ZXNzaW9uLW51bT48dXJscz48L3VybHM+PGN1c3RvbTI+UE1DNTY1MzQzMTwvY3VzdG9tMj48Y3Vz
dG9tNj5OSUhNUzkwODc0NzwvY3VzdG9tNj48ZWxlY3Ryb25pYy1yZXNvdXJjZS1udW0+MTAuMTAx
Ni9qLnlwbWVkLjIwMTcuMDkuMDIzPC9lbGVjdHJvbmljLXJlc291cmNlLW51bT48cmVtb3RlLWRh
dGFiYXNlLXByb3ZpZGVyPk5MTTwvcmVtb3RlLWRhdGFiYXNlLXByb3ZpZGVyPjxsYW5ndWFnZT5l
bmc8L2xhbmd1YWdlPjwvcmVjb3JkPjwvQ2l0ZT48L0VuZE5vdGU+AG==
</w:fldData>
            </w:fldChar>
          </w:r>
          <w:r>
            <w:instrText xml:space="preserve"> ADDIN EN.CITE </w:instrText>
          </w:r>
          <w:r>
            <w:fldChar w:fldCharType="begin">
              <w:fldData xml:space="preserve">PEVuZE5vdGU+PENpdGU+PEF1dGhvcj5LaW08L0F1dGhvcj48WWVhcj4yMDE3PC9ZZWFyPjxSZWNO
dW0+NzAyPC9SZWNOdW0+PERpc3BsYXlUZXh0PihLaW0sIFNpbSBldCBhbC4gMjAxNywgU2Nod2Vp
dHplciwgV2lsbHMgZXQgYWwuIDIwMTcpPC9EaXNwbGF5VGV4dD48cmVjb3JkPjxyZWMtbnVtYmVy
PjcwMjwvcmVjLW51bWJlcj48Zm9yZWlnbi1rZXlzPjxrZXkgYXBwPSJFTiIgZGItaWQ9Ijl2czlw
emZ6bmFweHBoZWZhMjh4enc5NXNmNWF2MHN2OXJkeiIgdGltZXN0YW1wPSIxNTIxMTU5MzUyIj43
MDI8L2tleT48a2V5IGFwcD0iRU5XZWIiIGRiLWlkPSIiPjA8L2tleT48L2ZvcmVpZ24ta2V5cz48
cmVmLXR5cGUgbmFtZT0iSm91cm5hbCBBcnRpY2xlIj4xNzwvcmVmLXR5cGU+PGNvbnRyaWJ1dG9y
cz48YXV0aG9ycz48YXV0aG9yPktpbSwgUy4gWS48L2F1dGhvcj48YXV0aG9yPlNpbSwgUy48L2F1
dGhvcj48YXV0aG9yPkNob2ksIEguIEcuPC9hdXRob3I+PC9hdXRob3JzPjwvY29udHJpYnV0b3Jz
PjxhdXRoLWFkZHJlc3M+RGVwYXJ0bWVudCBvZiBPdG9yaGlub2xhcnluZ29sb2d5LUhlYWQgJmFt
cDsgTmVjayBTdXJnZXJ5LCBDSEEgQnVuZGFuZyBNZWRpY2FsIENlbnRlciwgQ0hBIFVuaXZlcnNp
dHksIFNlb25nbmFtLCBLb3JlYS4mI3hEO0RlcGFydG1lbnQgb2YgU3RhdGlzdGljcywgSGFsbHlt
IFVuaXZlcnNpdHksIENodW5jaGVvbiwgS29yZWEuJiN4RDtEZXBhcnRtZW50IG9mIE90b3JoaW5v
bGFyeW5nb2xvZ3ktSGVhZCAmYW1wOyBOZWNrIFN1cmdlcnksIEhhbGx5bSBVbml2ZXJzaXR5IFNh
Y3JlZCBIZWFydCBIb3NwaXRhbCwgQW55YW5nLCBLb3JlYS4gcHVwZW5AbmF2ZXIuY29tLjwvYXV0
aC1hZGRyZXNzPjx0aXRsZXM+PHRpdGxlPkFjdGl2ZSwgcGFzc2l2ZSwgYW5kIGVsZWN0cm9uaWMg
Y2lnYXJldHRlIHNtb2tpbmcgaXMgYXNzb2NpYXRlZCB3aXRoIGFzdGhtYSBpbiBhZG9sZXNjZW50
czwvdGl0bGU+PHNlY29uZGFyeS10aXRsZT5TY2kgUmVwPC9zZWNvbmRhcnktdGl0bGU+PGFsdC10
aXRsZT5TY2llbnRpZmljIHJlcG9ydHM8L2FsdC10aXRsZT48L3RpdGxlcz48YWx0LXBlcmlvZGlj
YWw+PGZ1bGwtdGl0bGU+U2NpZW50aWZpYyBSZXBvcnRzPC9mdWxsLXRpdGxlPjwvYWx0LXBlcmlv
ZGljYWw+PHBhZ2VzPjE3Nzg5PC9wYWdlcz48dm9sdW1lPjc8L3ZvbHVtZT48bnVtYmVyPjE8L251
bWJlcj48ZWRpdGlvbj4yMDE3LzEyLzIxPC9lZGl0aW9uPjxkYXRlcz48eWVhcj4yMDE3PC95ZWFy
PjxwdWItZGF0ZXM+PGRhdGU+RGVjIDE5PC9kYXRlPjwvcHViLWRhdGVzPjwvZGF0ZXM+PGlzYm4+
MjA0NS0yMzIyPC9pc2JuPjxhY2Nlc3Npb24tbnVtPjI5MjU5MjIxPC9hY2Nlc3Npb24tbnVtPjx1
cmxzPjwvdXJscz48Y3VzdG9tMj5QTUM1NzM2Njg5PC9jdXN0b20yPjxlbGVjdHJvbmljLXJlc291
cmNlLW51bT4xMC4xMDM4L3M0MTU5OC0wMTctMTc5NTgteTwvZWxlY3Ryb25pYy1yZXNvdXJjZS1u
dW0+PHJlbW90ZS1kYXRhYmFzZS1wcm92aWRlcj5OTE08L3JlbW90ZS1kYXRhYmFzZS1wcm92aWRl
cj48bGFuZ3VhZ2U+ZW5nPC9sYW5ndWFnZT48L3JlY29yZD48L0NpdGU+PENpdGU+PEF1dGhvcj5T
Y2h3ZWl0emVyPC9BdXRob3I+PFllYXI+MjAxNzwvWWVhcj48UmVjTnVtPjg4NzwvUmVjTnVtPjxy
ZWNvcmQ+PHJlYy1udW1iZXI+ODg3PC9yZWMtbnVtYmVyPjxmb3JlaWduLWtleXM+PGtleSBhcHA9
IkVOIiBkYi1pZD0iOXZzOXB6ZnpuYXB4cGhlZmEyOHh6dzk1c2Y1YXYwc3Y5cmR6IiB0aW1lc3Rh
bXA9IjE1MjExNTkzODUiPjg4Nzwva2V5PjwvZm9yZWlnbi1rZXlzPjxyZWYtdHlwZSBuYW1lPSJK
b3VybmFsIEFydGljbGUiPjE3PC9yZWYtdHlwZT48Y29udHJpYnV0b3JzPjxhdXRob3JzPjxhdXRo
b3I+U2Nod2VpdHplciwgUi4gSi48L2F1dGhvcj48YXV0aG9yPldpbGxzLCBULiBBLjwvYXV0aG9y
PjxhdXRob3I+VGFtLCBFLjwvYXV0aG9yPjxhdXRob3I+UGFnYW5vLCBJLjwvYXV0aG9yPjxhdXRo
b3I+Q2hvaSwgSy48L2F1dGhvcj48L2F1dGhvcnM+PC9jb250cmlidXRvcnM+PGF1dGgtYWRkcmVz
cz5PZmZpY2Ugb2YgUHVibGljIEhlYWx0aCBTdHVkaWVzLCBVbml2ZXJzaXR5IG9mIEhhd2FpaSBh
dCBNYW5vYSwgSG9ub2x1bHUsIEhJLCBVU0EuIEVsZWN0cm9uaWMgYWRkcmVzczogcmp3aWxsaWFA
aGF3YWlpLmVkdS4mI3hEO0NhbmNlciBQcmV2ZW50aW9uIGluIHRoZSBQYWNpZmljIFByb2dyYW0s
IFVuaXZlcnNpdHkgb2YgSGF3YWlpIENhbmNlciBDZW50ZXIsIEhvbm9sdWx1LCBISSwgVVNBLiYj
eEQ7RGVwYXJ0bWVudCBvZiBNZWRpY2luZSwgSm9obiBBLiBCdXJucyBTY2hvb2wgb2YgTWVkaWNp
bmUsIEhvbm9sdWx1LCBISSwgVVNBLiYjeEQ7RGl2aXNpb24gb2YgSW50cmFtdXJhbCBSZXNlYXJj
aCwgTmF0aW9uYWwgSW5zdGl0dXRlIG9uIE1pbm9yaXR5IEhlYWx0aCBhbmQgSGVhbHRoIERpc3Bh
cml0aWVzLCBCZXRoZXNkYSwgTUQsIFVTQS48L2F1dGgtYWRkcmVzcz48dGl0bGVzPjx0aXRsZT5F
LWNpZ2FyZXR0ZSB1c2UgYW5kIGFzdGhtYSBpbiBhIG11bHRpZXRobmljIHNhbXBsZSBvZiBhZG9s
ZXNjZW50czwvdGl0bGU+PHNlY29uZGFyeS10aXRsZT5QcmV2IE1lZDwvc2Vjb25kYXJ5LXRpdGxl
PjxhbHQtdGl0bGU+UHJldmVudGl2ZSBtZWRpY2luZTwvYWx0LXRpdGxlPjwvdGl0bGVzPjxhbHQt
cGVyaW9kaWNhbD48ZnVsbC10aXRsZT5QcmV2ZW50aXZlIE1lZGljaW5lPC9mdWxsLXRpdGxlPjwv
YWx0LXBlcmlvZGljYWw+PHBhZ2VzPjIyNi0yMzE8L3BhZ2VzPjx2b2x1bWU+MTA1PC92b2x1bWU+
PGVkaXRpb24+MjAxNy8xMC8wMjwvZWRpdGlvbj48a2V5d29yZHM+PGtleXdvcmQ+QWRvbGVzY2Vu
dHM8L2tleXdvcmQ+PGtleXdvcmQ+QXN0aG1hPC9rZXl3b3JkPjxrZXl3b3JkPkUtY2lnYXJldHRl
czwva2V5d29yZD48a2V5d29yZD5FdGhuaWNpdHk8L2tleXdvcmQ+PC9rZXl3b3Jkcz48ZGF0ZXM+
PHllYXI+MjAxNzwveWVhcj48cHViLWRhdGVzPjxkYXRlPkRlYzwvZGF0ZT48L3B1Yi1kYXRlcz48
L2RhdGVzPjxpc2JuPjAwOTEtNzQzNTwvaXNibj48YWNjZXNzaW9uLW51bT4yODk2NDg1MDwvYWNj
ZXNzaW9uLW51bT48dXJscz48L3VybHM+PGN1c3RvbTI+UE1DNTY1MzQzMTwvY3VzdG9tMj48Y3Vz
dG9tNj5OSUhNUzkwODc0NzwvY3VzdG9tNj48ZWxlY3Ryb25pYy1yZXNvdXJjZS1udW0+MTAuMTAx
Ni9qLnlwbWVkLjIwMTcuMDkuMDIzPC9lbGVjdHJvbmljLXJlc291cmNlLW51bT48cmVtb3RlLWRh
dGFiYXNlLXByb3ZpZGVyPk5MTTwvcmVtb3RlLWRhdGFiYXNlLXByb3ZpZGVyPjxsYW5ndWFnZT5l
bmc8L2xhbmd1YWdlPjwvcmVjb3JkPjwvQ2l0ZT48L0VuZE5vdGU+AG==
</w:fldData>
            </w:fldChar>
          </w:r>
          <w:r>
            <w:instrText xml:space="preserve"> ADDIN EN.CITE.DATA </w:instrText>
          </w:r>
          <w:r>
            <w:fldChar w:fldCharType="end"/>
          </w:r>
          <w:r>
            <w:fldChar w:fldCharType="separate"/>
          </w:r>
          <w:r>
            <w:rPr>
              <w:noProof/>
            </w:rPr>
            <w:t>(Kim, Sim et al. 2017, Schweitzer, Wills et al. 2017)</w:t>
          </w:r>
          <w:r>
            <w:fldChar w:fldCharType="end"/>
          </w:r>
          <w:r>
            <w:t xml:space="preserve"> rather than a causal relationship. Studies showed no or small effects of short term e-cigarette use on lung function (both increases and decreases on respiratory flow) </w:t>
          </w:r>
          <w:r>
            <w:fldChar w:fldCharType="begin">
              <w:fldData xml:space="preserve">PEVuZE5vdGU+PENpdGU+PEF1dGhvcj5HdWNodDwvQXV0aG9yPjxZZWFyPjIwMTc8L1llYXI+PFJl
Y051bT4xMDIxPC9SZWNOdW0+PERpc3BsYXlUZXh0PihCb3VsYXksIEhlbnJ5IGV0IGFsLiAyMDE3
LCBHdWNodCwgQWRyaWFlbnMgZXQgYWwuIDIwMTcsIFN0YXVkdCwgU2FsaXQgZXQgYWwuIDIwMTgp
PC9EaXNwbGF5VGV4dD48cmVjb3JkPjxyZWMtbnVtYmVyPjEwMjE8L3JlYy1udW1iZXI+PGZvcmVp
Z24ta2V5cz48a2V5IGFwcD0iRU4iIGRiLWlkPSI5dnM5cHpmem5hcHhwaGVmYTI4eHp3OTVzZjVh
djBzdjlyZHoiIHRpbWVzdGFtcD0iMTUyMTE1OTM5NyI+MTAyMTwva2V5PjxrZXkgYXBwPSJFTldl
YiIgZGItaWQ9IiI+MDwva2V5PjwvZm9yZWlnbi1rZXlzPjxyZWYtdHlwZSBuYW1lPSJKb3VybmFs
IEFydGljbGUiPjE3PC9yZWYtdHlwZT48Y29udHJpYnV0b3JzPjxhdXRob3JzPjxhdXRob3I+R3Vj
aHQsIEQuIFYuPC9hdXRob3I+PGF1dGhvcj5BZHJpYWVucywgSy48L2F1dGhvcj48YXV0aG9yPkJh
ZXllbnMsIEYuPC9hdXRob3I+PC9hdXRob3JzPjwvY29udHJpYnV0b3JzPjxhdXRoLWFkZHJlc3M+
QXBwbGllZCBQc3ljaG9sb2d5IFVuaXQsIFRob21hcyBNb3JlIE1lY2hlbGVuLUFudHdlcnAgVW5p
dmVyc2l0eSBDb2xsZWdlLCBNb2xlbnN0cmFhdCA4LCAyMDE4IEFudHdlcnAsIEJlbGdpdW0uIGRp
bnNrYS52YW5ndWNodEB0aG9tYXNtb3JlLmJlLiYjeEQ7RmFjdWx0eSBvZiBQc3ljaG9sb2d5IGFu
ZCBFZHVjYXRpb25hbCBTY2llbmNlcywgS1UgTGV1dmVuLVVuaXZlcnNpdHkgb2YgTGV1dmVuLCBU
aWVuc2VzdHJhYXQgMTAyLCAzMDAwIExldXZlbiwgQmVsZ2l1bS4gZGluc2thLnZhbmd1Y2h0QHRo
b21hc21vcmUuYmUuJiN4RDtGYWN1bHR5IG9mIFBzeWNob2xvZ3kgYW5kIEVkdWNhdGlvbmFsIFNj
aWVuY2VzLCBLVSBMZXV2ZW4tVW5pdmVyc2l0eSBvZiBMZXV2ZW4sIFRpZW5zZXN0cmFhdCAxMDIs
IDMwMDAgTGV1dmVuLCBCZWxnaXVtLiBrYXJvbGllbi5hZHJpYWVuc0BrdWxldXZlbi5iZS4mI3hE
O0ZhY3VsdHkgb2YgUHN5Y2hvbG9neSBhbmQgRWR1Y2F0aW9uYWwgU2NpZW5jZXMsIEtVIExldXZl
bi1Vbml2ZXJzaXR5IG9mIExldXZlbiwgVGllbnNlc3RyYWF0IDEwMiwgMzAwMCBMZXV2ZW4sIEJl
bGdpdW0uIGZyYW5rLmJhZXllbnNAa3VsZXV2ZW4uYmUuPC9hdXRoLWFkZHJlc3M+PHRpdGxlcz48
dGl0bGU+T25saW5lIFZhcGUgU2hvcCBDdXN0b21lcnMgV2hvIFVzZSBFLUNpZ2FyZXR0ZXMgUmVw
b3J0IEFic3RpbmVuY2UgZnJvbSBTbW9raW5nIGFuZCBJbXByb3ZlZCBRdWFsaXR5IG9mIExpZmUs
IEJ1dCBhIFN1YnN0YW50aWFsIE1pbm9yaXR5IFN0aWxsIEhhdmUgVmFwaW5nLVJlbGF0ZWQgSGVh
bHRoIENvbmNlcm5zPC90aXRsZT48c2Vjb25kYXJ5LXRpdGxlPkludCBKIEVudmlyb24gUmVzIFB1
YmxpYyBIZWFsdGg8L3NlY29uZGFyeS10aXRsZT48YWx0LXRpdGxlPkludGVybmF0aW9uYWwgam91
cm5hbCBvZiBlbnZpcm9ubWVudGFsIHJlc2VhcmNoIGFuZCBwdWJsaWMgaGVhbHRoPC9hbHQtdGl0
bGU+PC90aXRsZXM+PGFsdC1wZXJpb2RpY2FsPjxmdWxsLXRpdGxlPkludGVybmF0aW9uYWwgSm91
cm5hbCBvZiBFbnZpcm9ubWVudGFsIFJlc2VhcmNoIGFuZCBQdWJsaWMgSGVhbHRoPC9mdWxsLXRp
dGxlPjwvYWx0LXBlcmlvZGljYWw+PHZvbHVtZT4xNDwvdm9sdW1lPjxudW1iZXI+NzwvbnVtYmVy
PjxlZGl0aW9uPjIwMTcvMDcvMTg8L2VkaXRpb24+PGtleXdvcmRzPjxrZXl3b3JkPkFkdWx0PC9r
ZXl3b3JkPjxrZXl3b3JkPipFbGVjdHJvbmljIE5pY290aW5lIERlbGl2ZXJ5IFN5c3RlbXM8L2tl
eXdvcmQ+PGtleXdvcmQ+RmVtYWxlPC9rZXl3b3JkPjxrZXl3b3JkPkh1bWFuczwva2V5d29yZD48
a2V5d29yZD5NYWxlPC9rZXl3b3JkPjxrZXl3b3JkPk1pZGRsZSBBZ2VkPC9rZXl3b3JkPjxrZXl3
b3JkPk5ldGhlcmxhbmRzPC9rZXl3b3JkPjxrZXl3b3JkPk5pY290aW5lL2FkbWluaXN0cmF0aW9u
ICZhbXA7IGRvc2FnZTwva2V5d29yZD48a2V5d29yZD5QZXJjZXB0aW9uPC9rZXl3b3JkPjxrZXl3
b3JkPlF1YWxpdHkgSW1wcm92ZW1lbnQ8L2tleXdvcmQ+PGtleXdvcmQ+UXVhbGl0eSBvZiBMaWZl
PC9rZXl3b3JkPjxrZXl3b3JkPlNtb2tpbmcgQ2Vzc2F0aW9uLyptZXRob2RzPC9rZXl3b3JkPjxr
ZXl3b3JkPlRvYmFjY28gU21va2luZy90aGVyYXB5PC9rZXl3b3JkPjxrZXl3b3JkPlRvYmFjY28g
VXNlIERpc29yZGVyL3BzeWNob2xvZ3kvdGhlcmFweTwva2V5d29yZD48a2V5d29yZD4qVmFwaW5n
L3BzeWNob2xvZ3k8L2tleXdvcmQ+PGtleXdvcmQ+KmVsZWN0cm9uaWMgY2lnYXJldHRlPC9rZXl3
b3JkPjxrZXl3b3JkPipvbmxpbmUgdmFwZSBzaG9wIGN1c3RvbWVyczwva2V5d29yZD48a2V5d29y
ZD4qcGVyY2VwdGlvbjwva2V5d29yZD48a2V5d29yZD4qc21va2luZyBjZXNzYXRpb248L2tleXdv
cmQ+PGtleXdvcmQ+KnZhcGluZzwva2V5d29yZD48a2V5d29yZD5hZHZvY2F0ZXMgZm9yIGUtY2ln
LWJhc2VkIFRIUi48L2tleXdvcmQ+PC9rZXl3b3Jkcz48ZGF0ZXM+PHllYXI+MjAxNzwveWVhcj48
cHViLWRhdGVzPjxkYXRlPkp1bCAxNzwvZGF0ZT48L3B1Yi1kYXRlcz48L2RhdGVzPjxpc2JuPjE2
NjAtNDYwMTwvaXNibj48YWNjZXNzaW9uLW51bT4yODcxNDkxNDwvYWNjZXNzaW9uLW51bT48dXJs
cz48L3VybHM+PGN1c3RvbTI+UE1DNTU1MTIzNjwvY3VzdG9tMj48ZWxlY3Ryb25pYy1yZXNvdXJj
ZS1udW0+MTAuMzM5MC9pamVycGgxNDA3MDc5ODwvZWxlY3Ryb25pYy1yZXNvdXJjZS1udW0+PHJl
bW90ZS1kYXRhYmFzZS1wcm92aWRlcj5OTE08L3JlbW90ZS1kYXRhYmFzZS1wcm92aWRlcj48bGFu
Z3VhZ2U+ZW5nPC9sYW5ndWFnZT48L3JlY29yZD48L0NpdGU+PENpdGU+PEF1dGhvcj5Cb3VsYXk8
L0F1dGhvcj48WWVhcj4yMDE3PC9ZZWFyPjxSZWNOdW0+MTMyNzwvUmVjTnVtPjxyZWNvcmQ+PHJl
Yy1udW1iZXI+MTMyNzwvcmVjLW51bWJlcj48Zm9yZWlnbi1rZXlzPjxrZXkgYXBwPSJFTiIgZGIt
aWQ9Ijl2czlwemZ6bmFweHBoZWZhMjh4enc5NXNmNWF2MHN2OXJkeiIgdGltZXN0YW1wPSIxNTIx
MTU5NDI0Ij4xMzI3PC9rZXk+PGtleSBhcHA9IkVOV2ViIiBkYi1pZD0iIj4wPC9rZXk+PC9mb3Jl
aWduLWtleXM+PHJlZi10eXBlIG5hbWU9IkpvdXJuYWwgQXJ0aWNsZSI+MTc8L3JlZi10eXBlPjxj
b250cmlidXRvcnM+PGF1dGhvcnM+PGF1dGhvcj5Cb3VsYXksIE0uIEUuPC9hdXRob3I+PGF1dGhv
cj5IZW5yeSwgQy48L2F1dGhvcj48YXV0aG9yPkJvc3NlLCBZLjwvYXV0aG9yPjxhdXRob3I+Qm91
bGV0LCBMLiBQLjwvYXV0aG9yPjxhdXRob3I+TW9yaXNzZXR0ZSwgTS4gQy48L2F1dGhvcj48L2F1
dGhvcnM+PC9jb250cmlidXRvcnM+PGF1dGgtYWRkcmVzcz5RdWViZWMgSGVhcnQgYW5kIEx1bmcg
SW5zdGl0dXRlIC0gVW5pdmVyc2l0ZSBMYXZhbCwgMjcyNSBDaGVtaW4gU2FpbnRlLUZveSwgUXVl
YmVjIENpdHksIFBRLCBHMVYgNEc1IE1hbGxldCBNMjY3OSwgQ2FuYWRhLiYjeEQ7RGVwYXJ0bWVu
dCBvZiBNZWRpY2luZSwgVW5pdmVyc2l0ZSBMYXZhbCwgUXVlYmVjIENpdHksIENhbmFkYS4mI3hE
O1F1ZWJlYyBIZWFydCBhbmQgTHVuZyBJbnN0aXR1dGUgLSBVbml2ZXJzaXRlIExhdmFsLCAyNzI1
IENoZW1pbiBTYWludGUtRm95LCBRdWViZWMgQ2l0eSwgUFEsIEcxViA0RzUgTWFsbGV0IE0yNjc5
LCBDYW5hZGEuIG1hdGhpZXUubW9yaXNzZXR0ZUBjcml1Y3BxLnVsYXZhbC5jYS4mI3hEO0RlcGFy
dG1lbnQgb2YgTWVkaWNpbmUsIFVuaXZlcnNpdGUgTGF2YWwsIFF1ZWJlYyBDaXR5LCBDYW5hZGEu
IG1hdGhpZXUubW9yaXNzZXR0ZUBjcml1Y3BxLnVsYXZhbC5jYS48L2F1dGgtYWRkcmVzcz48dGl0
bGVzPjx0aXRsZT5BY3V0ZSBlZmZlY3RzIG9mIG5pY290aW5lLWZyZWUgYW5kIGZsYXZvdXItZnJl
ZSBlbGVjdHJvbmljIGNpZ2FyZXR0ZSB1c2Ugb24gbHVuZyBmdW5jdGlvbnMgaW4gaGVhbHRoeSBh
bmQgYXN0aG1hdGljIGluZGl2aWR1YWxzPC90aXRsZT48c2Vjb25kYXJ5LXRpdGxlPlJlc3BpciBS
ZXM8L3NlY29uZGFyeS10aXRsZT48YWx0LXRpdGxlPlJlc3BpcmF0b3J5IHJlc2VhcmNoPC9hbHQt
dGl0bGU+PC90aXRsZXM+PGFsdC1wZXJpb2RpY2FsPjxmdWxsLXRpdGxlPlJlc3BpcmF0b3J5IFJl
c2VhcmNoPC9mdWxsLXRpdGxlPjwvYWx0LXBlcmlvZGljYWw+PHBhZ2VzPjMzPC9wYWdlcz48dm9s
dW1lPjE4PC92b2x1bWU+PG51bWJlcj4xPC9udW1iZXI+PGVkaXRpb24+MjAxNy8wMi8xMjwvZWRp
dGlvbj48a2V5d29yZHM+PGtleXdvcmQ+QWRtaW5pc3RyYXRpb24sIEluaGFsYXRpb248L2tleXdv
cmQ+PGtleXdvcmQ+QWR1bHQ8L2tleXdvcmQ+PGtleXdvcmQ+QXN0aG1hLypwaHlzaW9wYXRob2xv
Z3k8L2tleXdvcmQ+PGtleXdvcmQ+Q3Jvc3MtT3ZlciBTdHVkaWVzPC9rZXl3b3JkPjxrZXl3b3Jk
PkZlbWFsZTwva2V5d29yZD48a2V5d29yZD5HbHljZXJvbC9hZG1pbmlzdHJhdGlvbiAmYW1wOyBk
b3NhZ2UvKmFkdmVyc2UgZWZmZWN0czwva2V5d29yZD48a2V5d29yZD5IdW1hbnM8L2tleXdvcmQ+
PGtleXdvcmQ+THVuZy8qcGh5c2lvcGF0aG9sb2d5PC9rZXl3b3JkPjxrZXl3b3JkPk1hbGU8L2tl
eXdvcmQ+PGtleXdvcmQ+Tmljb3RpbmU8L2tleXdvcmQ+PGtleXdvcmQ+UGxhY2VibyBFZmZlY3Q8
L2tleXdvcmQ+PGtleXdvcmQ+UHJvcHlsZW5lIEdseWNvbC9hZG1pbmlzdHJhdGlvbiAmYW1wOyBk
b3NhZ2UvKmFkdmVyc2UgZWZmZWN0czwva2V5d29yZD48a2V5d29yZD4qUmVzcGlyYXRvcnkgRnVu
Y3Rpb24gVGVzdHM8L2tleXdvcmQ+PGtleXdvcmQ+VmFwaW5nLyphZHZlcnNlIGVmZmVjdHM8L2tl
eXdvcmQ+PC9rZXl3b3Jkcz48ZGF0ZXM+PHllYXI+MjAxNzwveWVhcj48cHViLWRhdGVzPjxkYXRl
PkZlYiAxMDwvZGF0ZT48L3B1Yi1kYXRlcz48L2RhdGVzPjxpc2JuPjE0NjUtOTkyMTwvaXNibj48
YWNjZXNzaW9uLW51bT4yODE4MzI5ODwvYWNjZXNzaW9uLW51bT48dXJscz48L3VybHM+PGN1c3Rv
bTI+UE1DNTMwMTQ0NjwvY3VzdG9tMj48ZWxlY3Ryb25pYy1yZXNvdXJjZS1udW0+MTAuMTE4Ni9z
MTI5MzEtMDE3LTA1MTgtOTwvZWxlY3Ryb25pYy1yZXNvdXJjZS1udW0+PHJlbW90ZS1kYXRhYmFz
ZS1wcm92aWRlcj5OTE08L3JlbW90ZS1kYXRhYmFzZS1wcm92aWRlcj48bGFuZ3VhZ2U+ZW5nPC9s
YW5ndWFnZT48L3JlY29yZD48L0NpdGU+PENpdGU+PEF1dGhvcj5TdGF1ZHQ8L0F1dGhvcj48WWVh
cj4yMDE4PC9ZZWFyPjxSZWNOdW0+MTAzNTc8L1JlY051bT48cmVjb3JkPjxyZWMtbnVtYmVyPjEw
MzU3PC9yZWMtbnVtYmVyPjxmb3JlaWduLWtleXM+PGtleSBhcHA9IkVOIiBkYi1pZD0iOXowNWR6
MHByYWFkZnVlZTB6b3h6ZWRrOXpmZTVmeHg1MHo1IiB0aW1lc3RhbXA9IjE1MjY4Njk4NzgiPjEw
MzU3PC9rZXk+PGtleSBhcHA9IkVOV2ViIiBkYi1pZD0iIj4wPC9rZXk+PC9mb3JlaWduLWtleXM+
PHJlZi10eXBlIG5hbWU9IkpvdXJuYWwgQXJ0aWNsZSI+MTc8L3JlZi10eXBlPjxjb250cmlidXRv
cnM+PGF1dGhvcnM+PGF1dGhvcj5TdGF1ZHQsIE1pY2hlbGxlIFIuPC9hdXRob3I+PGF1dGhvcj5T
YWxpdCwgSmFjcXVlbGluZTwvYXV0aG9yPjxhdXRob3I+S2FuZXIsIFJvYmVydCBKLjwvYXV0aG9y
PjxhdXRob3I+SG9sbG1hbm4sIENoYXJsZWVuPC9hdXRob3I+PGF1dGhvcj5DcnlzdGFsLCBSb25h
bGQgRy48L2F1dGhvcj48L2F1dGhvcnM+PC9jb250cmlidXRvcnM+PHRpdGxlcz48dGl0bGU+QWx0
ZXJlZCBsdW5nIGJpb2xvZ3kgb2YgaGVhbHRoeSBuZXZlciBzbW9rZXJzIGZvbGxvd2luZyBhY3V0
ZSBpbmhhbGF0aW9uIG9mIEUtY2lnYXJldHRlczwvdGl0bGU+PHNlY29uZGFyeS10aXRsZT5SZXNw
aXJhdG9yeSByZXNlYXJjaDwvc2Vjb25kYXJ5LXRpdGxlPjwvdGl0bGVzPjxwZXJpb2RpY2FsPjxm
dWxsLXRpdGxlPlJlc3BpcmF0b3J5IFJlc2VhcmNoPC9mdWxsLXRpdGxlPjwvcGVyaW9kaWNhbD48
cGFnZXM+NzgtNzg8L3BhZ2VzPjx2b2x1bWU+MTk8L3ZvbHVtZT48bnVtYmVyPjE8L251bWJlcj48
ZGF0ZXM+PHllYXI+MjAxODwveWVhcj48cHViLWRhdGVzPjxkYXRlPjIwMTggTWF5PC9kYXRlPjwv
cHViLWRhdGVzPjwvZGF0ZXM+PGFjY2Vzc2lvbi1udW0+TUVETElORToyOTc1NDU4MjwvYWNjZXNz
aW9uLW51bT48dXJscz48cmVsYXRlZC11cmxzPjx1cmw+Jmx0O0dvIHRvIElTSSZndDs6Ly9NRURM
SU5FOjI5NzU0NTgyPC91cmw+PHVybD5odHRwczovL3Jlc3BpcmF0b3J5LXJlc2VhcmNoLmJpb21l
ZGNlbnRyYWwuY29tL3RyYWNrL3BkZi8xMC4xMTg2L3MxMjkzMS0wMTgtMDc3OC16PC91cmw+PC9y
ZWxhdGVkLXVybHM+PC91cmxzPjxlbGVjdHJvbmljLXJlc291cmNlLW51bT4xMC4xMTg2L3MxMjkz
MS0wMTgtMDc3OC16PC9lbGVjdHJvbmljLXJlc291cmNlLW51bT48L3JlY29yZD48L0NpdGU+PC9F
bmROb3RlPn==
</w:fldData>
            </w:fldChar>
          </w:r>
          <w:r>
            <w:instrText xml:space="preserve"> ADDIN EN.CITE </w:instrText>
          </w:r>
          <w:r>
            <w:fldChar w:fldCharType="begin">
              <w:fldData xml:space="preserve">PEVuZE5vdGU+PENpdGU+PEF1dGhvcj5HdWNodDwvQXV0aG9yPjxZZWFyPjIwMTc8L1llYXI+PFJl
Y051bT4xMDIxPC9SZWNOdW0+PERpc3BsYXlUZXh0PihCb3VsYXksIEhlbnJ5IGV0IGFsLiAyMDE3
LCBHdWNodCwgQWRyaWFlbnMgZXQgYWwuIDIwMTcsIFN0YXVkdCwgU2FsaXQgZXQgYWwuIDIwMTgp
PC9EaXNwbGF5VGV4dD48cmVjb3JkPjxyZWMtbnVtYmVyPjEwMjE8L3JlYy1udW1iZXI+PGZvcmVp
Z24ta2V5cz48a2V5IGFwcD0iRU4iIGRiLWlkPSI5dnM5cHpmem5hcHhwaGVmYTI4eHp3OTVzZjVh
djBzdjlyZHoiIHRpbWVzdGFtcD0iMTUyMTE1OTM5NyI+MTAyMTwva2V5PjxrZXkgYXBwPSJFTldl
YiIgZGItaWQ9IiI+MDwva2V5PjwvZm9yZWlnbi1rZXlzPjxyZWYtdHlwZSBuYW1lPSJKb3VybmFs
IEFydGljbGUiPjE3PC9yZWYtdHlwZT48Y29udHJpYnV0b3JzPjxhdXRob3JzPjxhdXRob3I+R3Vj
aHQsIEQuIFYuPC9hdXRob3I+PGF1dGhvcj5BZHJpYWVucywgSy48L2F1dGhvcj48YXV0aG9yPkJh
ZXllbnMsIEYuPC9hdXRob3I+PC9hdXRob3JzPjwvY29udHJpYnV0b3JzPjxhdXRoLWFkZHJlc3M+
QXBwbGllZCBQc3ljaG9sb2d5IFVuaXQsIFRob21hcyBNb3JlIE1lY2hlbGVuLUFudHdlcnAgVW5p
dmVyc2l0eSBDb2xsZWdlLCBNb2xlbnN0cmFhdCA4LCAyMDE4IEFudHdlcnAsIEJlbGdpdW0uIGRp
bnNrYS52YW5ndWNodEB0aG9tYXNtb3JlLmJlLiYjeEQ7RmFjdWx0eSBvZiBQc3ljaG9sb2d5IGFu
ZCBFZHVjYXRpb25hbCBTY2llbmNlcywgS1UgTGV1dmVuLVVuaXZlcnNpdHkgb2YgTGV1dmVuLCBU
aWVuc2VzdHJhYXQgMTAyLCAzMDAwIExldXZlbiwgQmVsZ2l1bS4gZGluc2thLnZhbmd1Y2h0QHRo
b21hc21vcmUuYmUuJiN4RDtGYWN1bHR5IG9mIFBzeWNob2xvZ3kgYW5kIEVkdWNhdGlvbmFsIFNj
aWVuY2VzLCBLVSBMZXV2ZW4tVW5pdmVyc2l0eSBvZiBMZXV2ZW4sIFRpZW5zZXN0cmFhdCAxMDIs
IDMwMDAgTGV1dmVuLCBCZWxnaXVtLiBrYXJvbGllbi5hZHJpYWVuc0BrdWxldXZlbi5iZS4mI3hE
O0ZhY3VsdHkgb2YgUHN5Y2hvbG9neSBhbmQgRWR1Y2F0aW9uYWwgU2NpZW5jZXMsIEtVIExldXZl
bi1Vbml2ZXJzaXR5IG9mIExldXZlbiwgVGllbnNlc3RyYWF0IDEwMiwgMzAwMCBMZXV2ZW4sIEJl
bGdpdW0uIGZyYW5rLmJhZXllbnNAa3VsZXV2ZW4uYmUuPC9hdXRoLWFkZHJlc3M+PHRpdGxlcz48
dGl0bGU+T25saW5lIFZhcGUgU2hvcCBDdXN0b21lcnMgV2hvIFVzZSBFLUNpZ2FyZXR0ZXMgUmVw
b3J0IEFic3RpbmVuY2UgZnJvbSBTbW9raW5nIGFuZCBJbXByb3ZlZCBRdWFsaXR5IG9mIExpZmUs
IEJ1dCBhIFN1YnN0YW50aWFsIE1pbm9yaXR5IFN0aWxsIEhhdmUgVmFwaW5nLVJlbGF0ZWQgSGVh
bHRoIENvbmNlcm5zPC90aXRsZT48c2Vjb25kYXJ5LXRpdGxlPkludCBKIEVudmlyb24gUmVzIFB1
YmxpYyBIZWFsdGg8L3NlY29uZGFyeS10aXRsZT48YWx0LXRpdGxlPkludGVybmF0aW9uYWwgam91
cm5hbCBvZiBlbnZpcm9ubWVudGFsIHJlc2VhcmNoIGFuZCBwdWJsaWMgaGVhbHRoPC9hbHQtdGl0
bGU+PC90aXRsZXM+PGFsdC1wZXJpb2RpY2FsPjxmdWxsLXRpdGxlPkludGVybmF0aW9uYWwgSm91
cm5hbCBvZiBFbnZpcm9ubWVudGFsIFJlc2VhcmNoIGFuZCBQdWJsaWMgSGVhbHRoPC9mdWxsLXRp
dGxlPjwvYWx0LXBlcmlvZGljYWw+PHZvbHVtZT4xNDwvdm9sdW1lPjxudW1iZXI+NzwvbnVtYmVy
PjxlZGl0aW9uPjIwMTcvMDcvMTg8L2VkaXRpb24+PGtleXdvcmRzPjxrZXl3b3JkPkFkdWx0PC9r
ZXl3b3JkPjxrZXl3b3JkPipFbGVjdHJvbmljIE5pY290aW5lIERlbGl2ZXJ5IFN5c3RlbXM8L2tl
eXdvcmQ+PGtleXdvcmQ+RmVtYWxlPC9rZXl3b3JkPjxrZXl3b3JkPkh1bWFuczwva2V5d29yZD48
a2V5d29yZD5NYWxlPC9rZXl3b3JkPjxrZXl3b3JkPk1pZGRsZSBBZ2VkPC9rZXl3b3JkPjxrZXl3
b3JkPk5ldGhlcmxhbmRzPC9rZXl3b3JkPjxrZXl3b3JkPk5pY290aW5lL2FkbWluaXN0cmF0aW9u
ICZhbXA7IGRvc2FnZTwva2V5d29yZD48a2V5d29yZD5QZXJjZXB0aW9uPC9rZXl3b3JkPjxrZXl3
b3JkPlF1YWxpdHkgSW1wcm92ZW1lbnQ8L2tleXdvcmQ+PGtleXdvcmQ+UXVhbGl0eSBvZiBMaWZl
PC9rZXl3b3JkPjxrZXl3b3JkPlNtb2tpbmcgQ2Vzc2F0aW9uLyptZXRob2RzPC9rZXl3b3JkPjxr
ZXl3b3JkPlRvYmFjY28gU21va2luZy90aGVyYXB5PC9rZXl3b3JkPjxrZXl3b3JkPlRvYmFjY28g
VXNlIERpc29yZGVyL3BzeWNob2xvZ3kvdGhlcmFweTwva2V5d29yZD48a2V5d29yZD4qVmFwaW5n
L3BzeWNob2xvZ3k8L2tleXdvcmQ+PGtleXdvcmQ+KmVsZWN0cm9uaWMgY2lnYXJldHRlPC9rZXl3
b3JkPjxrZXl3b3JkPipvbmxpbmUgdmFwZSBzaG9wIGN1c3RvbWVyczwva2V5d29yZD48a2V5d29y
ZD4qcGVyY2VwdGlvbjwva2V5d29yZD48a2V5d29yZD4qc21va2luZyBjZXNzYXRpb248L2tleXdv
cmQ+PGtleXdvcmQ+KnZhcGluZzwva2V5d29yZD48a2V5d29yZD5hZHZvY2F0ZXMgZm9yIGUtY2ln
LWJhc2VkIFRIUi48L2tleXdvcmQ+PC9rZXl3b3Jkcz48ZGF0ZXM+PHllYXI+MjAxNzwveWVhcj48
cHViLWRhdGVzPjxkYXRlPkp1bCAxNzwvZGF0ZT48L3B1Yi1kYXRlcz48L2RhdGVzPjxpc2JuPjE2
NjAtNDYwMTwvaXNibj48YWNjZXNzaW9uLW51bT4yODcxNDkxNDwvYWNjZXNzaW9uLW51bT48dXJs
cz48L3VybHM+PGN1c3RvbTI+UE1DNTU1MTIzNjwvY3VzdG9tMj48ZWxlY3Ryb25pYy1yZXNvdXJj
ZS1udW0+MTAuMzM5MC9pamVycGgxNDA3MDc5ODwvZWxlY3Ryb25pYy1yZXNvdXJjZS1udW0+PHJl
bW90ZS1kYXRhYmFzZS1wcm92aWRlcj5OTE08L3JlbW90ZS1kYXRhYmFzZS1wcm92aWRlcj48bGFu
Z3VhZ2U+ZW5nPC9sYW5ndWFnZT48L3JlY29yZD48L0NpdGU+PENpdGU+PEF1dGhvcj5Cb3VsYXk8
L0F1dGhvcj48WWVhcj4yMDE3PC9ZZWFyPjxSZWNOdW0+MTMyNzwvUmVjTnVtPjxyZWNvcmQ+PHJl
Yy1udW1iZXI+MTMyNzwvcmVjLW51bWJlcj48Zm9yZWlnbi1rZXlzPjxrZXkgYXBwPSJFTiIgZGIt
aWQ9Ijl2czlwemZ6bmFweHBoZWZhMjh4enc5NXNmNWF2MHN2OXJkeiIgdGltZXN0YW1wPSIxNTIx
MTU5NDI0Ij4xMzI3PC9rZXk+PGtleSBhcHA9IkVOV2ViIiBkYi1pZD0iIj4wPC9rZXk+PC9mb3Jl
aWduLWtleXM+PHJlZi10eXBlIG5hbWU9IkpvdXJuYWwgQXJ0aWNsZSI+MTc8L3JlZi10eXBlPjxj
b250cmlidXRvcnM+PGF1dGhvcnM+PGF1dGhvcj5Cb3VsYXksIE0uIEUuPC9hdXRob3I+PGF1dGhv
cj5IZW5yeSwgQy48L2F1dGhvcj48YXV0aG9yPkJvc3NlLCBZLjwvYXV0aG9yPjxhdXRob3I+Qm91
bGV0LCBMLiBQLjwvYXV0aG9yPjxhdXRob3I+TW9yaXNzZXR0ZSwgTS4gQy48L2F1dGhvcj48L2F1
dGhvcnM+PC9jb250cmlidXRvcnM+PGF1dGgtYWRkcmVzcz5RdWViZWMgSGVhcnQgYW5kIEx1bmcg
SW5zdGl0dXRlIC0gVW5pdmVyc2l0ZSBMYXZhbCwgMjcyNSBDaGVtaW4gU2FpbnRlLUZveSwgUXVl
YmVjIENpdHksIFBRLCBHMVYgNEc1IE1hbGxldCBNMjY3OSwgQ2FuYWRhLiYjeEQ7RGVwYXJ0bWVu
dCBvZiBNZWRpY2luZSwgVW5pdmVyc2l0ZSBMYXZhbCwgUXVlYmVjIENpdHksIENhbmFkYS4mI3hE
O1F1ZWJlYyBIZWFydCBhbmQgTHVuZyBJbnN0aXR1dGUgLSBVbml2ZXJzaXRlIExhdmFsLCAyNzI1
IENoZW1pbiBTYWludGUtRm95LCBRdWViZWMgQ2l0eSwgUFEsIEcxViA0RzUgTWFsbGV0IE0yNjc5
LCBDYW5hZGEuIG1hdGhpZXUubW9yaXNzZXR0ZUBjcml1Y3BxLnVsYXZhbC5jYS4mI3hEO0RlcGFy
dG1lbnQgb2YgTWVkaWNpbmUsIFVuaXZlcnNpdGUgTGF2YWwsIFF1ZWJlYyBDaXR5LCBDYW5hZGEu
IG1hdGhpZXUubW9yaXNzZXR0ZUBjcml1Y3BxLnVsYXZhbC5jYS48L2F1dGgtYWRkcmVzcz48dGl0
bGVzPjx0aXRsZT5BY3V0ZSBlZmZlY3RzIG9mIG5pY290aW5lLWZyZWUgYW5kIGZsYXZvdXItZnJl
ZSBlbGVjdHJvbmljIGNpZ2FyZXR0ZSB1c2Ugb24gbHVuZyBmdW5jdGlvbnMgaW4gaGVhbHRoeSBh
bmQgYXN0aG1hdGljIGluZGl2aWR1YWxzPC90aXRsZT48c2Vjb25kYXJ5LXRpdGxlPlJlc3BpciBS
ZXM8L3NlY29uZGFyeS10aXRsZT48YWx0LXRpdGxlPlJlc3BpcmF0b3J5IHJlc2VhcmNoPC9hbHQt
dGl0bGU+PC90aXRsZXM+PGFsdC1wZXJpb2RpY2FsPjxmdWxsLXRpdGxlPlJlc3BpcmF0b3J5IFJl
c2VhcmNoPC9mdWxsLXRpdGxlPjwvYWx0LXBlcmlvZGljYWw+PHBhZ2VzPjMzPC9wYWdlcz48dm9s
dW1lPjE4PC92b2x1bWU+PG51bWJlcj4xPC9udW1iZXI+PGVkaXRpb24+MjAxNy8wMi8xMjwvZWRp
dGlvbj48a2V5d29yZHM+PGtleXdvcmQ+QWRtaW5pc3RyYXRpb24sIEluaGFsYXRpb248L2tleXdv
cmQ+PGtleXdvcmQ+QWR1bHQ8L2tleXdvcmQ+PGtleXdvcmQ+QXN0aG1hLypwaHlzaW9wYXRob2xv
Z3k8L2tleXdvcmQ+PGtleXdvcmQ+Q3Jvc3MtT3ZlciBTdHVkaWVzPC9rZXl3b3JkPjxrZXl3b3Jk
PkZlbWFsZTwva2V5d29yZD48a2V5d29yZD5HbHljZXJvbC9hZG1pbmlzdHJhdGlvbiAmYW1wOyBk
b3NhZ2UvKmFkdmVyc2UgZWZmZWN0czwva2V5d29yZD48a2V5d29yZD5IdW1hbnM8L2tleXdvcmQ+
PGtleXdvcmQ+THVuZy8qcGh5c2lvcGF0aG9sb2d5PC9rZXl3b3JkPjxrZXl3b3JkPk1hbGU8L2tl
eXdvcmQ+PGtleXdvcmQ+Tmljb3RpbmU8L2tleXdvcmQ+PGtleXdvcmQ+UGxhY2VibyBFZmZlY3Q8
L2tleXdvcmQ+PGtleXdvcmQ+UHJvcHlsZW5lIEdseWNvbC9hZG1pbmlzdHJhdGlvbiAmYW1wOyBk
b3NhZ2UvKmFkdmVyc2UgZWZmZWN0czwva2V5d29yZD48a2V5d29yZD4qUmVzcGlyYXRvcnkgRnVu
Y3Rpb24gVGVzdHM8L2tleXdvcmQ+PGtleXdvcmQ+VmFwaW5nLyphZHZlcnNlIGVmZmVjdHM8L2tl
eXdvcmQ+PC9rZXl3b3Jkcz48ZGF0ZXM+PHllYXI+MjAxNzwveWVhcj48cHViLWRhdGVzPjxkYXRl
PkZlYiAxMDwvZGF0ZT48L3B1Yi1kYXRlcz48L2RhdGVzPjxpc2JuPjE0NjUtOTkyMTwvaXNibj48
YWNjZXNzaW9uLW51bT4yODE4MzI5ODwvYWNjZXNzaW9uLW51bT48dXJscz48L3VybHM+PGN1c3Rv
bTI+UE1DNTMwMTQ0NjwvY3VzdG9tMj48ZWxlY3Ryb25pYy1yZXNvdXJjZS1udW0+MTAuMTE4Ni9z
MTI5MzEtMDE3LTA1MTgtOTwvZWxlY3Ryb25pYy1yZXNvdXJjZS1udW0+PHJlbW90ZS1kYXRhYmFz
ZS1wcm92aWRlcj5OTE08L3JlbW90ZS1kYXRhYmFzZS1wcm92aWRlcj48bGFuZ3VhZ2U+ZW5nPC9s
YW5ndWFnZT48L3JlY29yZD48L0NpdGU+PENpdGU+PEF1dGhvcj5TdGF1ZHQ8L0F1dGhvcj48WWVh
cj4yMDE4PC9ZZWFyPjxSZWNOdW0+MTAzNTc8L1JlY051bT48cmVjb3JkPjxyZWMtbnVtYmVyPjEw
MzU3PC9yZWMtbnVtYmVyPjxmb3JlaWduLWtleXM+PGtleSBhcHA9IkVOIiBkYi1pZD0iOXowNWR6
MHByYWFkZnVlZTB6b3h6ZWRrOXpmZTVmeHg1MHo1IiB0aW1lc3RhbXA9IjE1MjY4Njk4NzgiPjEw
MzU3PC9rZXk+PGtleSBhcHA9IkVOV2ViIiBkYi1pZD0iIj4wPC9rZXk+PC9mb3JlaWduLWtleXM+
PHJlZi10eXBlIG5hbWU9IkpvdXJuYWwgQXJ0aWNsZSI+MTc8L3JlZi10eXBlPjxjb250cmlidXRv
cnM+PGF1dGhvcnM+PGF1dGhvcj5TdGF1ZHQsIE1pY2hlbGxlIFIuPC9hdXRob3I+PGF1dGhvcj5T
YWxpdCwgSmFjcXVlbGluZTwvYXV0aG9yPjxhdXRob3I+S2FuZXIsIFJvYmVydCBKLjwvYXV0aG9y
PjxhdXRob3I+SG9sbG1hbm4sIENoYXJsZWVuPC9hdXRob3I+PGF1dGhvcj5DcnlzdGFsLCBSb25h
bGQgRy48L2F1dGhvcj48L2F1dGhvcnM+PC9jb250cmlidXRvcnM+PHRpdGxlcz48dGl0bGU+QWx0
ZXJlZCBsdW5nIGJpb2xvZ3kgb2YgaGVhbHRoeSBuZXZlciBzbW9rZXJzIGZvbGxvd2luZyBhY3V0
ZSBpbmhhbGF0aW9uIG9mIEUtY2lnYXJldHRlczwvdGl0bGU+PHNlY29uZGFyeS10aXRsZT5SZXNw
aXJhdG9yeSByZXNlYXJjaDwvc2Vjb25kYXJ5LXRpdGxlPjwvdGl0bGVzPjxwZXJpb2RpY2FsPjxm
dWxsLXRpdGxlPlJlc3BpcmF0b3J5IFJlc2VhcmNoPC9mdWxsLXRpdGxlPjwvcGVyaW9kaWNhbD48
cGFnZXM+NzgtNzg8L3BhZ2VzPjx2b2x1bWU+MTk8L3ZvbHVtZT48bnVtYmVyPjE8L251bWJlcj48
ZGF0ZXM+PHllYXI+MjAxODwveWVhcj48cHViLWRhdGVzPjxkYXRlPjIwMTggTWF5PC9kYXRlPjwv
cHViLWRhdGVzPjwvZGF0ZXM+PGFjY2Vzc2lvbi1udW0+TUVETElORToyOTc1NDU4MjwvYWNjZXNz
aW9uLW51bT48dXJscz48cmVsYXRlZC11cmxzPjx1cmw+Jmx0O0dvIHRvIElTSSZndDs6Ly9NRURM
SU5FOjI5NzU0NTgyPC91cmw+PHVybD5odHRwczovL3Jlc3BpcmF0b3J5LXJlc2VhcmNoLmJpb21l
ZGNlbnRyYWwuY29tL3RyYWNrL3BkZi8xMC4xMTg2L3MxMjkzMS0wMTgtMDc3OC16PC91cmw+PC9y
ZWxhdGVkLXVybHM+PC91cmxzPjxlbGVjdHJvbmljLXJlc291cmNlLW51bT4xMC4xMTg2L3MxMjkz
MS0wMTgtMDc3OC16PC9lbGVjdHJvbmljLXJlc291cmNlLW51bT48L3JlY29yZD48L0NpdGU+PC9F
bmROb3RlPn==
</w:fldData>
            </w:fldChar>
          </w:r>
          <w:r>
            <w:instrText xml:space="preserve"> ADDIN EN.CITE.DATA </w:instrText>
          </w:r>
          <w:r>
            <w:fldChar w:fldCharType="end"/>
          </w:r>
          <w:r>
            <w:fldChar w:fldCharType="separate"/>
          </w:r>
          <w:r>
            <w:rPr>
              <w:noProof/>
            </w:rPr>
            <w:t>(Boulay, Henry et al. 2017, Gucht, Adriaens et al. 2017, Staudt, Salit et al. 2018)</w:t>
          </w:r>
          <w:r>
            <w:fldChar w:fldCharType="end"/>
          </w:r>
          <w:r>
            <w:t xml:space="preserve">, but sample sizes were small. </w:t>
          </w:r>
        </w:p>
        <w:p w14:paraId="60F14206" w14:textId="77777777" w:rsidR="00301538" w:rsidRDefault="00301538" w:rsidP="00301538">
          <w:pPr>
            <w:pStyle w:val="ListBullet"/>
            <w:numPr>
              <w:ilvl w:val="0"/>
              <w:numId w:val="0"/>
            </w:numPr>
          </w:pPr>
          <w:r>
            <w:t>The Reidel et al.</w:t>
          </w:r>
          <w:r w:rsidRPr="00343F38">
            <w:t xml:space="preserve"> </w:t>
          </w:r>
          <w:r w:rsidRPr="00343F38">
            <w:fldChar w:fldCharType="begin">
              <w:fldData xml:space="preserve">PEVuZE5vdGU+PENpdGU+PEF1dGhvcj5SZWlkZWw8L0F1dGhvcj48WWVhcj4yMDE4PC9ZZWFyPjxS
ZWNOdW0+ODUxPC9SZWNOdW0+PERpc3BsYXlUZXh0PihSZWlkZWwsIFJhZGljaW9uaSBldCBhbC4g
MjAxOCk8L0Rpc3BsYXlUZXh0PjxyZWNvcmQ+PHJlYy1udW1iZXI+ODUxPC9yZWMtbnVtYmVyPjxm
b3JlaWduLWtleXM+PGtleSBhcHA9IkVOIiBkYi1pZD0iOXZzOXB6ZnpuYXB4cGhlZmEyOHh6dzk1
c2Y1YXYwc3Y5cmR6IiB0aW1lc3RhbXA9IjE1MjExNTkzODIiPjg1MTwva2V5PjwvZm9yZWlnbi1r
ZXlzPjxyZWYtdHlwZSBuYW1lPSJKb3VybmFsIEFydGljbGUiPjE3PC9yZWYtdHlwZT48Y29udHJp
YnV0b3JzPjxhdXRob3JzPjxhdXRob3I+UmVpZGVsLCBCLjwvYXV0aG9yPjxhdXRob3I+UmFkaWNp
b25pLCBHLjwvYXV0aG9yPjxhdXRob3I+Q2xhcHAsIFAuIFcuPC9hdXRob3I+PGF1dGhvcj5Gb3Jk
LCBBLiBBLjwvYXV0aG9yPjxhdXRob3I+QWJkZWx3YWhhYiwgUy48L2F1dGhvcj48YXV0aG9yPlJl
YnVsaSwgTS4gRS48L2F1dGhvcj48YXV0aG9yPkhhcmlkYXNzLCBQLjwvYXV0aG9yPjxhdXRob3I+
QWxleGlzLCBOLiBFLjwvYXV0aG9yPjxhdXRob3I+SmFzcGVycywgSS48L2F1dGhvcj48YXV0aG9y
Pktlc2ltZXIsIE0uPC9hdXRob3I+PC9hdXRob3JzPjwvY29udHJpYnV0b3JzPjxhdXRoLWFkZHJl
c3M+MSBNYXJzaWNvIEx1bmcgSW5zdGl0dXRlLiYjeEQ7MiBEZXBhcnRtZW50IG9mIFBhdGhvbG9n
eSBhbmQgTGFib3JhdG9yeSBNZWRpY2luZSwgYW5kLiYjeEQ7MyBEZXBhcnRtZW50IG9mIFBlZGlh
dHJpY3MsIFRoZSBVbml2ZXJzaXR5IG9mIE5vcnRoIENhcm9saW5hIGF0IENoYXBlbCBIaWxsLCBD
aGFwZWwgSGlsbCwgTm9ydGggQ2Fyb2xpbmEuPC9hdXRoLWFkZHJlc3M+PHRpdGxlcz48dGl0bGU+
RS1DaWdhcmV0dGUgVXNlIENhdXNlcyBhIFVuaXF1ZSBJbm5hdGUgSW1tdW5lIFJlc3BvbnNlIGlu
IHRoZSBMdW5nLCBJbnZvbHZpbmcgSW5jcmVhc2VkIE5ldXRyb3BoaWxpYyBBY3RpdmF0aW9uIGFu
ZCBBbHRlcmVkIE11Y2luIFNlY3JldGlvbjwvdGl0bGU+PHNlY29uZGFyeS10aXRsZT5BbSBKIFJl
c3BpciBDcml0IENhcmUgTWVkPC9zZWNvbmRhcnktdGl0bGU+PGFsdC10aXRsZT5BbWVyaWNhbiBq
b3VybmFsIG9mIHJlc3BpcmF0b3J5IGFuZCBjcml0aWNhbCBjYXJlIG1lZGljaW5lPC9hbHQtdGl0
bGU+PC90aXRsZXM+PHBlcmlvZGljYWw+PGZ1bGwtdGl0bGU+QW0gSiBSZXNwaXIgQ3JpdCBDYXJl
IE1lZDwvZnVsbC10aXRsZT48YWJici0xPkFtZXJpY2FuIGpvdXJuYWwgb2YgcmVzcGlyYXRvcnkg
YW5kIGNyaXRpY2FsIGNhcmUgbWVkaWNpbmU8L2FiYnItMT48L3BlcmlvZGljYWw+PGFsdC1wZXJp
b2RpY2FsPjxmdWxsLXRpdGxlPkFtIEogUmVzcGlyIENyaXQgQ2FyZSBNZWQ8L2Z1bGwtdGl0bGU+
PGFiYnItMT5BbWVyaWNhbiBqb3VybmFsIG9mIHJlc3BpcmF0b3J5IGFuZCBjcml0aWNhbCBjYXJl
IG1lZGljaW5lPC9hYmJyLTE+PC9hbHQtcGVyaW9kaWNhbD48cGFnZXM+NDkyLTUwMTwvcGFnZXM+
PHZvbHVtZT4xOTc8L3ZvbHVtZT48bnVtYmVyPjQ8L251bWJlcj48ZWRpdGlvbj4yMDE3LzEwLzIx
PC9lZGl0aW9uPjxrZXl3b3Jkcz48a2V5d29yZD5OZXQ8L2tleXdvcmQ+PGtleXdvcmQ+ZS1jaWdh
cmV0dGU8L2tleXdvcmQ+PGtleXdvcmQ+bHVuZzwva2V5d29yZD48a2V5d29yZD5tdWNpbjwva2V5
d29yZD48a2V5d29yZD5uZXV0cm9waGlsPC9rZXl3b3JkPjwva2V5d29yZHM+PGRhdGVzPjx5ZWFy
PjIwMTg8L3llYXI+PHB1Yi1kYXRlcz48ZGF0ZT5GZWIgMTU8L2RhdGU+PC9wdWItZGF0ZXM+PC9k
YXRlcz48aXNibj4xMDczLTQ0OXg8L2lzYm4+PGFjY2Vzc2lvbi1udW0+MjkwNTMwMjU8L2FjY2Vz
c2lvbi1udW0+PHVybHM+PC91cmxzPjxjdXN0b20yPlBNQzU4MjE5MDk8L2N1c3RvbTI+PGVsZWN0
cm9uaWMtcmVzb3VyY2UtbnVtPjEwLjExNjQvcmNjbS4yMDE3MDgtMTU5ME9DPC9lbGVjdHJvbmlj
LXJlc291cmNlLW51bT48cmVtb3RlLWRhdGFiYXNlLXByb3ZpZGVyPk5MTTwvcmVtb3RlLWRhdGFi
YXNlLXByb3ZpZGVyPjxsYW5ndWFnZT5lbmc8L2xhbmd1YWdlPjwvcmVjb3JkPjwvQ2l0ZT48L0Vu
ZE5vdGU+AG==
</w:fldData>
            </w:fldChar>
          </w:r>
          <w:r w:rsidRPr="00343F38">
            <w:instrText xml:space="preserve"> ADDIN EN.CITE </w:instrText>
          </w:r>
          <w:r w:rsidRPr="00343F38">
            <w:fldChar w:fldCharType="begin">
              <w:fldData xml:space="preserve">PEVuZE5vdGU+PENpdGU+PEF1dGhvcj5SZWlkZWw8L0F1dGhvcj48WWVhcj4yMDE4PC9ZZWFyPjxS
ZWNOdW0+ODUxPC9SZWNOdW0+PERpc3BsYXlUZXh0PihSZWlkZWwsIFJhZGljaW9uaSBldCBhbC4g
MjAxOCk8L0Rpc3BsYXlUZXh0PjxyZWNvcmQ+PHJlYy1udW1iZXI+ODUxPC9yZWMtbnVtYmVyPjxm
b3JlaWduLWtleXM+PGtleSBhcHA9IkVOIiBkYi1pZD0iOXZzOXB6ZnpuYXB4cGhlZmEyOHh6dzk1
c2Y1YXYwc3Y5cmR6IiB0aW1lc3RhbXA9IjE1MjExNTkzODIiPjg1MTwva2V5PjwvZm9yZWlnbi1r
ZXlzPjxyZWYtdHlwZSBuYW1lPSJKb3VybmFsIEFydGljbGUiPjE3PC9yZWYtdHlwZT48Y29udHJp
YnV0b3JzPjxhdXRob3JzPjxhdXRob3I+UmVpZGVsLCBCLjwvYXV0aG9yPjxhdXRob3I+UmFkaWNp
b25pLCBHLjwvYXV0aG9yPjxhdXRob3I+Q2xhcHAsIFAuIFcuPC9hdXRob3I+PGF1dGhvcj5Gb3Jk
LCBBLiBBLjwvYXV0aG9yPjxhdXRob3I+QWJkZWx3YWhhYiwgUy48L2F1dGhvcj48YXV0aG9yPlJl
YnVsaSwgTS4gRS48L2F1dGhvcj48YXV0aG9yPkhhcmlkYXNzLCBQLjwvYXV0aG9yPjxhdXRob3I+
QWxleGlzLCBOLiBFLjwvYXV0aG9yPjxhdXRob3I+SmFzcGVycywgSS48L2F1dGhvcj48YXV0aG9y
Pktlc2ltZXIsIE0uPC9hdXRob3I+PC9hdXRob3JzPjwvY29udHJpYnV0b3JzPjxhdXRoLWFkZHJl
c3M+MSBNYXJzaWNvIEx1bmcgSW5zdGl0dXRlLiYjeEQ7MiBEZXBhcnRtZW50IG9mIFBhdGhvbG9n
eSBhbmQgTGFib3JhdG9yeSBNZWRpY2luZSwgYW5kLiYjeEQ7MyBEZXBhcnRtZW50IG9mIFBlZGlh
dHJpY3MsIFRoZSBVbml2ZXJzaXR5IG9mIE5vcnRoIENhcm9saW5hIGF0IENoYXBlbCBIaWxsLCBD
aGFwZWwgSGlsbCwgTm9ydGggQ2Fyb2xpbmEuPC9hdXRoLWFkZHJlc3M+PHRpdGxlcz48dGl0bGU+
RS1DaWdhcmV0dGUgVXNlIENhdXNlcyBhIFVuaXF1ZSBJbm5hdGUgSW1tdW5lIFJlc3BvbnNlIGlu
IHRoZSBMdW5nLCBJbnZvbHZpbmcgSW5jcmVhc2VkIE5ldXRyb3BoaWxpYyBBY3RpdmF0aW9uIGFu
ZCBBbHRlcmVkIE11Y2luIFNlY3JldGlvbjwvdGl0bGU+PHNlY29uZGFyeS10aXRsZT5BbSBKIFJl
c3BpciBDcml0IENhcmUgTWVkPC9zZWNvbmRhcnktdGl0bGU+PGFsdC10aXRsZT5BbWVyaWNhbiBq
b3VybmFsIG9mIHJlc3BpcmF0b3J5IGFuZCBjcml0aWNhbCBjYXJlIG1lZGljaW5lPC9hbHQtdGl0
bGU+PC90aXRsZXM+PHBlcmlvZGljYWw+PGZ1bGwtdGl0bGU+QW0gSiBSZXNwaXIgQ3JpdCBDYXJl
IE1lZDwvZnVsbC10aXRsZT48YWJici0xPkFtZXJpY2FuIGpvdXJuYWwgb2YgcmVzcGlyYXRvcnkg
YW5kIGNyaXRpY2FsIGNhcmUgbWVkaWNpbmU8L2FiYnItMT48L3BlcmlvZGljYWw+PGFsdC1wZXJp
b2RpY2FsPjxmdWxsLXRpdGxlPkFtIEogUmVzcGlyIENyaXQgQ2FyZSBNZWQ8L2Z1bGwtdGl0bGU+
PGFiYnItMT5BbWVyaWNhbiBqb3VybmFsIG9mIHJlc3BpcmF0b3J5IGFuZCBjcml0aWNhbCBjYXJl
IG1lZGljaW5lPC9hYmJyLTE+PC9hbHQtcGVyaW9kaWNhbD48cGFnZXM+NDkyLTUwMTwvcGFnZXM+
PHZvbHVtZT4xOTc8L3ZvbHVtZT48bnVtYmVyPjQ8L251bWJlcj48ZWRpdGlvbj4yMDE3LzEwLzIx
PC9lZGl0aW9uPjxrZXl3b3Jkcz48a2V5d29yZD5OZXQ8L2tleXdvcmQ+PGtleXdvcmQ+ZS1jaWdh
cmV0dGU8L2tleXdvcmQ+PGtleXdvcmQ+bHVuZzwva2V5d29yZD48a2V5d29yZD5tdWNpbjwva2V5
d29yZD48a2V5d29yZD5uZXV0cm9waGlsPC9rZXl3b3JkPjwva2V5d29yZHM+PGRhdGVzPjx5ZWFy
PjIwMTg8L3llYXI+PHB1Yi1kYXRlcz48ZGF0ZT5GZWIgMTU8L2RhdGU+PC9wdWItZGF0ZXM+PC9k
YXRlcz48aXNibj4xMDczLTQ0OXg8L2lzYm4+PGFjY2Vzc2lvbi1udW0+MjkwNTMwMjU8L2FjY2Vz
c2lvbi1udW0+PHVybHM+PC91cmxzPjxjdXN0b20yPlBNQzU4MjE5MDk8L2N1c3RvbTI+PGVsZWN0
cm9uaWMtcmVzb3VyY2UtbnVtPjEwLjExNjQvcmNjbS4yMDE3MDgtMTU5ME9DPC9lbGVjdHJvbmlj
LXJlc291cmNlLW51bT48cmVtb3RlLWRhdGFiYXNlLXByb3ZpZGVyPk5MTTwvcmVtb3RlLWRhdGFi
YXNlLXByb3ZpZGVyPjxsYW5ndWFnZT5lbmc8L2xhbmd1YWdlPjwvcmVjb3JkPjwvQ2l0ZT48L0Vu
ZE5vdGU+AG==
</w:fldData>
            </w:fldChar>
          </w:r>
          <w:r w:rsidRPr="00343F38">
            <w:instrText xml:space="preserve"> ADDIN EN.CITE.DATA </w:instrText>
          </w:r>
          <w:r w:rsidRPr="00343F38">
            <w:fldChar w:fldCharType="end"/>
          </w:r>
          <w:r w:rsidRPr="00343F38">
            <w:fldChar w:fldCharType="separate"/>
          </w:r>
          <w:r w:rsidRPr="00343F38">
            <w:rPr>
              <w:noProof/>
            </w:rPr>
            <w:t>(Reidel, Radicioni et al. 2018)</w:t>
          </w:r>
          <w:r w:rsidRPr="00343F38">
            <w:fldChar w:fldCharType="end"/>
          </w:r>
          <w:r w:rsidRPr="00343F38">
            <w:t xml:space="preserve"> </w:t>
          </w:r>
          <w:r>
            <w:t xml:space="preserve">and Staudt et al. </w:t>
          </w:r>
          <w:r>
            <w:fldChar w:fldCharType="begin"/>
          </w:r>
          <w:r>
            <w:instrText xml:space="preserve"> ADDIN EN.CITE &lt;EndNote&gt;&lt;Cite&gt;&lt;Author&gt;Staudt&lt;/Author&gt;&lt;Year&gt;2018&lt;/Year&gt;&lt;RecNum&gt;10357&lt;/RecNum&gt;&lt;DisplayText&gt;(Staudt, Salit et al. 2018)&lt;/DisplayText&gt;&lt;record&gt;&lt;rec-number&gt;10357&lt;/rec-number&gt;&lt;foreign-keys&gt;&lt;key app="EN" db-id="9z05dz0praadfuee0zoxzedk9zfe5fxx50z5" timestamp="1526869878"&gt;10357&lt;/key&gt;&lt;key app="ENWeb" db-id=""&gt;0&lt;/key&gt;&lt;/foreign-keys&gt;&lt;ref-type name="Journal Article"&gt;17&lt;/ref-type&gt;&lt;contributors&gt;&lt;authors&gt;&lt;author&gt;Staudt, Michelle R.&lt;/author&gt;&lt;author&gt;Salit, Jacqueline&lt;/author&gt;&lt;author&gt;Kaner, Robert J.&lt;/author&gt;&lt;author&gt;Hollmann, Charleen&lt;/author&gt;&lt;author&gt;Crystal, Ronald G.&lt;/author&gt;&lt;/authors&gt;&lt;/contributors&gt;&lt;titles&gt;&lt;title&gt;Altered lung biology of healthy never smokers following acute inhalation of E-cigarettes&lt;/title&gt;&lt;secondary-title&gt;Respiratory research&lt;/secondary-title&gt;&lt;/titles&gt;&lt;periodical&gt;&lt;full-title&gt;Respiratory Research&lt;/full-title&gt;&lt;/periodical&gt;&lt;pages&gt;78-78&lt;/pages&gt;&lt;volume&gt;19&lt;/volume&gt;&lt;number&gt;1&lt;/number&gt;&lt;dates&gt;&lt;year&gt;2018&lt;/year&gt;&lt;pub-dates&gt;&lt;date&gt;2018 May&lt;/date&gt;&lt;/pub-dates&gt;&lt;/dates&gt;&lt;accession-num&gt;MEDLINE:29754582&lt;/accession-num&gt;&lt;urls&gt;&lt;related-urls&gt;&lt;url&gt;&amp;lt;Go to ISI&amp;gt;://MEDLINE:29754582&lt;/url&gt;&lt;url&gt;https://respiratory-research.biomedcentral.com/track/pdf/10.1186/s12931-018-0778-z&lt;/url&gt;&lt;/related-urls&gt;&lt;/urls&gt;&lt;electronic-resource-num&gt;10.1186/s12931-018-0778-z&lt;/electronic-resource-num&gt;&lt;/record&gt;&lt;/Cite&gt;&lt;/EndNote&gt;</w:instrText>
          </w:r>
          <w:r>
            <w:fldChar w:fldCharType="separate"/>
          </w:r>
          <w:r>
            <w:rPr>
              <w:noProof/>
            </w:rPr>
            <w:t>(Staudt, Salit et al. 2018)</w:t>
          </w:r>
          <w:r>
            <w:fldChar w:fldCharType="end"/>
          </w:r>
          <w:r>
            <w:t xml:space="preserve"> studies provide evidence that e-cigarette use alters the abundance of proteins in lung tissues and fluids, indicating an increase in oxidative stress, endothelial damage and mucins associated with the progression of COPD; upregulation of neutrophilic immune function; and altered activity of the tumour protein p53, a protein which is important in preventing the development of cigarette</w:t>
          </w:r>
          <w:r>
            <w:noBreakHyphen/>
            <w:t xml:space="preserve">induced lung cancer. Whilst results from both of these studies are promising, each study has substantial limitations including small sample sizes and potential confounding effects. </w:t>
          </w:r>
        </w:p>
        <w:p w14:paraId="227ECD21" w14:textId="77777777" w:rsidR="00301538" w:rsidRPr="00301538" w:rsidRDefault="00301538" w:rsidP="00301538">
          <w:pPr>
            <w:pStyle w:val="BodyText"/>
          </w:pPr>
        </w:p>
        <w:p w14:paraId="75902282" w14:textId="77777777" w:rsidR="00301538" w:rsidRDefault="00301538" w:rsidP="00301538">
          <w:pPr>
            <w:pStyle w:val="Heading4"/>
          </w:pPr>
          <w:r>
            <w:t>Conclusions</w:t>
          </w:r>
        </w:p>
        <w:p w14:paraId="3588C5EB" w14:textId="7EC18559" w:rsidR="00301538" w:rsidRDefault="00301538" w:rsidP="00301538">
          <w:pPr>
            <w:pStyle w:val="ListBullet"/>
            <w:numPr>
              <w:ilvl w:val="0"/>
              <w:numId w:val="0"/>
            </w:numPr>
          </w:pPr>
          <w:r>
            <w:t>Further research is needed to establish if e-cigarettes increase the risk of lung conditions and the pathways through which such increased risk may occur.</w:t>
          </w:r>
          <w:r w:rsidR="008146F9">
            <w:t xml:space="preserve"> </w:t>
          </w:r>
          <w:r>
            <w:t xml:space="preserve">In particular, large, well-designed cohort studies with longer follow-up periods are needed. </w:t>
          </w:r>
        </w:p>
        <w:p w14:paraId="7DFDE41F" w14:textId="77777777" w:rsidR="00B333E9" w:rsidRPr="00B333E9" w:rsidRDefault="00B333E9" w:rsidP="001B093A">
          <w:pPr>
            <w:pStyle w:val="BodyText"/>
          </w:pPr>
        </w:p>
        <w:p w14:paraId="5B1DA967" w14:textId="77777777" w:rsidR="000F0E2F" w:rsidRDefault="000F0E2F" w:rsidP="000F0E2F">
          <w:pPr>
            <w:pStyle w:val="Heading2"/>
          </w:pPr>
          <w:bookmarkStart w:id="24" w:name="_Toc517706634"/>
          <w:r>
            <w:t>Lymphatic system</w:t>
          </w:r>
          <w:bookmarkEnd w:id="23"/>
          <w:bookmarkEnd w:id="24"/>
        </w:p>
        <w:p w14:paraId="1BF8B6E0" w14:textId="77777777" w:rsidR="00301538" w:rsidRDefault="00301538" w:rsidP="00301538">
          <w:pPr>
            <w:pStyle w:val="BodyText"/>
          </w:pPr>
          <w:r>
            <w:t xml:space="preserve">In one UK case study (self-reported), </w:t>
          </w:r>
          <w:r>
            <w:fldChar w:fldCharType="begin"/>
          </w:r>
          <w:r>
            <w:instrText xml:space="preserve"> ADDIN EN.CITE &lt;EndNote&gt;&lt;Cite&gt;&lt;Author&gt;Miler&lt;/Author&gt;&lt;Year&gt;2017&lt;/Year&gt;&lt;RecNum&gt;768&lt;/RecNum&gt;&lt;DisplayText&gt;(Miler and Hajek 2017)&lt;/DisplayText&gt;&lt;record&gt;&lt;rec-number&gt;768&lt;/rec-number&gt;&lt;foreign-keys&gt;&lt;key app="EN" db-id="9vs9pzfznapxphefa28xzw95sf5av0sv9rdz" timestamp="1521159374"&gt;768&lt;/key&gt;&lt;/foreign-keys&gt;&lt;ref-type name="Journal Article"&gt;17&lt;/ref-type&gt;&lt;contributors&gt;&lt;authors&gt;&lt;author&gt;Miler, J. A.&lt;/author&gt;&lt;author&gt;Hajek, P.&lt;/author&gt;&lt;/authors&gt;&lt;/contributors&gt;&lt;auth-address&gt;Wolfson Institute of Preventive Medicine, Queen Mary University of London, 2 Stayner&amp;apos;s Road, London E1 4AH, United Kingdom; Mental Health and Wellbeing, Institute of Health and Wellbeing, College of Medical, Veterinary and Life Sciences, University of Glasgow, Gartnavel Royal Hospital, 1055 Great Western Rd, Glasgow G12 0XH, United Kingdom. Electronic address: joannaastridmiler@gmail.com.&amp;#xD;Wolfson Institute of Preventive Medicine, Queen Mary University of London, 2 Stayner&amp;apos;s Road, London E1 4AH, United Kingdom. Electronic address: p.hajek@qmul.ac.uk.&lt;/auth-address&gt;&lt;titles&gt;&lt;title&gt;Resolution of recurrent tonsillitis in a non-smoker who became a vaper. A case study and new hypothesis&lt;/title&gt;&lt;secondary-title&gt;Med Hypotheses&lt;/secondary-title&gt;&lt;alt-title&gt;Medical hypotheses&lt;/alt-title&gt;&lt;/titles&gt;&lt;periodical&gt;&lt;full-title&gt;Med Hypotheses&lt;/full-title&gt;&lt;abbr-1&gt;Medical hypotheses&lt;/abbr-1&gt;&lt;/periodical&gt;&lt;alt-periodical&gt;&lt;full-title&gt;Med Hypotheses&lt;/full-title&gt;&lt;abbr-1&gt;Medical hypotheses&lt;/abbr-1&gt;&lt;/alt-periodical&gt;&lt;pages&gt;17-18&lt;/pages&gt;&lt;volume&gt;109&lt;/volume&gt;&lt;edition&gt;2017/11/19&lt;/edition&gt;&lt;dates&gt;&lt;year&gt;2017&lt;/year&gt;&lt;pub-dates&gt;&lt;date&gt;Nov&lt;/date&gt;&lt;/pub-dates&gt;&lt;/dates&gt;&lt;isbn&gt;0306-9877&lt;/isbn&gt;&lt;accession-num&gt;29150279&lt;/accession-num&gt;&lt;urls&gt;&lt;/urls&gt;&lt;electronic-resource-num&gt;10.1016/j.mehy.2017.09.006&lt;/electronic-resource-num&gt;&lt;remote-database-provider&gt;NLM&lt;/remote-database-provider&gt;&lt;language&gt;eng&lt;/language&gt;&lt;/record&gt;&lt;/Cite&gt;&lt;/EndNote&gt;</w:instrText>
          </w:r>
          <w:r>
            <w:fldChar w:fldCharType="separate"/>
          </w:r>
          <w:r>
            <w:rPr>
              <w:noProof/>
            </w:rPr>
            <w:t>(Miler and Hajek 2017)</w:t>
          </w:r>
          <w:r>
            <w:fldChar w:fldCharType="end"/>
          </w:r>
          <w:r>
            <w:t xml:space="preserve"> a 26 year old female never-smoker with a history of frequent tonsillitis, recurrent tonsilloliths, sore throat upon waking and coughing/phlegm, became a vaper and after 3 months of e-cigarette use (using 8-20mL e-liquid per day, 0-3mg/mL nicotine, various flavours) experienced a complete resolution of chronic tonsillitis (along with her other symptoms of phlegm, sore throat, etc) and experienced intermittent tonsilloliths. After 8 months tonsillitis had not recurred and her tonsilloliths had markedly improved, and she had not experienced a respiratory infection or cold. This was attributed to the </w:t>
          </w:r>
          <w:r>
            <w:rPr>
              <w:b/>
            </w:rPr>
            <w:t>propylene glycol</w:t>
          </w:r>
          <w:r>
            <w:t xml:space="preserve"> in e-cigarettes possibly influencing a microbial strain or the </w:t>
          </w:r>
          <w:r>
            <w:rPr>
              <w:b/>
            </w:rPr>
            <w:t>anti-inflammatory effects of nicotine</w:t>
          </w:r>
          <w:r>
            <w:t xml:space="preserve">. A single case study is anecdotal, useful for the development of hypotheses and in need of verification in a larger study sample. </w:t>
          </w:r>
        </w:p>
        <w:p w14:paraId="2F8C7CC7" w14:textId="77777777" w:rsidR="00301538" w:rsidRDefault="00301538" w:rsidP="00301538">
          <w:pPr>
            <w:pStyle w:val="BodyText"/>
          </w:pPr>
        </w:p>
        <w:p w14:paraId="3B9BAA1F" w14:textId="77777777" w:rsidR="00301538" w:rsidRDefault="00301538" w:rsidP="00301538">
          <w:pPr>
            <w:pStyle w:val="Heading3"/>
          </w:pPr>
          <w:r>
            <w:lastRenderedPageBreak/>
            <w:t>What the new study adds to what is already known about e-cigarettes</w:t>
          </w:r>
        </w:p>
        <w:p w14:paraId="5DDA3A35" w14:textId="77777777" w:rsidR="00301538" w:rsidRDefault="00301538" w:rsidP="00301538">
          <w:pPr>
            <w:pStyle w:val="BodyText"/>
          </w:pPr>
          <w:r>
            <w:t xml:space="preserve">The case study cited above was also referred to in the UK review </w:t>
          </w:r>
          <w:r>
            <w:fldChar w:fldCharType="begin"/>
          </w:r>
          <w:r>
            <w:instrText xml:space="preserve"> ADDIN EN.CITE &lt;EndNote&gt;&lt;Cite&gt;&lt;Author&gt;McNeill A&lt;/Author&gt;&lt;Year&gt;2018&lt;/Year&gt;&lt;RecNum&gt;13025&lt;/RecNum&gt;&lt;DisplayText&gt;(McNeill A 2018)&lt;/DisplayText&gt;&lt;record&gt;&lt;rec-number&gt;13025&lt;/rec-number&gt;&lt;foreign-keys&gt;&lt;key app="EN" db-id="5xv5w5t2bdxtxfezx02xtxdft5rz5ptvvt29" timestamp="1524018409"&gt;13025&lt;/key&gt;&lt;/foreign-keys&gt;&lt;ref-type name="Journal Article"&gt;17&lt;/ref-type&gt;&lt;contributors&gt;&lt;authors&gt;&lt;author&gt;McNeill A,  Brose LS, Calder R,  Bauld L, Robson D.&lt;/author&gt;&lt;/authors&gt;&lt;/contributors&gt;&lt;titles&gt;&lt;title&gt;Evidence Review of e-cigarettes and heated tobacco products 2018. A Report comissioned by Public Health England.&lt;/title&gt;&lt;/titles&gt;&lt;dates&gt;&lt;year&gt;2018&lt;/year&gt;&lt;/dates&gt;&lt;urls&gt;&lt;/urls&gt;&lt;/record&gt;&lt;/Cite&gt;&lt;/EndNote&gt;</w:instrText>
          </w:r>
          <w:r>
            <w:fldChar w:fldCharType="separate"/>
          </w:r>
          <w:r>
            <w:rPr>
              <w:noProof/>
            </w:rPr>
            <w:t>(McNeill A 2018)</w:t>
          </w:r>
          <w:r>
            <w:fldChar w:fldCharType="end"/>
          </w:r>
          <w:r>
            <w:t xml:space="preserve">, which also cited a suggestion that a controlled trial with nicotine free e-cigarettes in non-smoking patients could provide more definitive answers on the potential role of e-cigarettes in reducing current throat infections. It also noted animal studies did not raise concerns about health consequences associated with propylene glycol and glycerine </w:t>
          </w:r>
          <w:r>
            <w:fldChar w:fldCharType="begin"/>
          </w:r>
          <w:r>
            <w:instrText xml:space="preserve"> ADDIN EN.CITE &lt;EndNote&gt;&lt;Cite&gt;&lt;Author&gt;McNeill A&lt;/Author&gt;&lt;Year&gt;2018&lt;/Year&gt;&lt;RecNum&gt;13025&lt;/RecNum&gt;&lt;DisplayText&gt;(McNeill A 2018)&lt;/DisplayText&gt;&lt;record&gt;&lt;rec-number&gt;13025&lt;/rec-number&gt;&lt;foreign-keys&gt;&lt;key app="EN" db-id="5xv5w5t2bdxtxfezx02xtxdft5rz5ptvvt29" timestamp="1524018409"&gt;13025&lt;/key&gt;&lt;/foreign-keys&gt;&lt;ref-type name="Journal Article"&gt;17&lt;/ref-type&gt;&lt;contributors&gt;&lt;authors&gt;&lt;author&gt;McNeill A,  Brose LS, Calder R,  Bauld L, Robson D.&lt;/author&gt;&lt;/authors&gt;&lt;/contributors&gt;&lt;titles&gt;&lt;title&gt;Evidence Review of e-cigarettes and heated tobacco products 2018. A Report comissioned by Public Health England.&lt;/title&gt;&lt;/titles&gt;&lt;dates&gt;&lt;year&gt;2018&lt;/year&gt;&lt;/dates&gt;&lt;urls&gt;&lt;/urls&gt;&lt;/record&gt;&lt;/Cite&gt;&lt;/EndNote&gt;</w:instrText>
          </w:r>
          <w:r>
            <w:fldChar w:fldCharType="separate"/>
          </w:r>
          <w:r>
            <w:rPr>
              <w:noProof/>
            </w:rPr>
            <w:t>(McNeill A 2018)</w:t>
          </w:r>
          <w:r>
            <w:fldChar w:fldCharType="end"/>
          </w:r>
          <w:r>
            <w:t xml:space="preserve">. The US Academies of Science </w:t>
          </w:r>
          <w:r>
            <w:fldChar w:fldCharType="begin"/>
          </w:r>
          <w:r w:rsidR="00903735">
            <w:instrText xml:space="preserve"> ADDIN EN.CITE &lt;EndNote&gt;&lt;Cite&gt;&lt;Author&gt;Stratton&lt;/Author&gt;&lt;Year&gt;2018&lt;/Year&gt;&lt;RecNum&gt;7073&lt;/RecNum&gt;&lt;DisplayText&gt;(Stratton, Kwan et al. 2018)&lt;/DisplayText&gt;&lt;record&gt;&lt;rec-number&gt;7073&lt;/rec-number&gt;&lt;foreign-keys&gt;&lt;key app="EN" db-id="5xv5w5t2bdxtxfezx02xtxdft5rz5ptvvt29" timestamp="1521076678"&gt;7073&lt;/key&gt;&lt;/foreign-keys&gt;&lt;ref-type name="Report"&gt;27&lt;/ref-type&gt;&lt;contributors&gt;&lt;authors&gt;&lt;author&gt;Kathleen Stratton&lt;/author&gt;&lt;author&gt;Leslie Y Kwan&lt;/author&gt;&lt;author&gt;David L Eaton&lt;/author&gt;&lt;/authors&gt;&lt;tertiary-authors&gt;&lt;author&gt;The National Academies Press&lt;/author&gt;&lt;/tertiary-authors&gt;&lt;/contributors&gt;&lt;titles&gt;&lt;title&gt;Public Health Consequences of e-Cigarettes&lt;/title&gt;&lt;/titles&gt;&lt;dates&gt;&lt;year&gt;2018&lt;/year&gt;&lt;/dates&gt;&lt;pub-location&gt;Washington DC&lt;/pub-location&gt;&lt;publisher&gt;Board on Population Health and Public Health Practice, Health and Medicine Division, The National Academies of Sciences, Engineering and Medicine&lt;/publisher&gt;&lt;urls&gt;&lt;/urls&gt;&lt;/record&gt;&lt;/Cite&gt;&lt;/EndNote&gt;</w:instrText>
          </w:r>
          <w:r>
            <w:fldChar w:fldCharType="separate"/>
          </w:r>
          <w:r>
            <w:rPr>
              <w:noProof/>
            </w:rPr>
            <w:t>(Stratton, Kwan et al. 2018)</w:t>
          </w:r>
          <w:r>
            <w:fldChar w:fldCharType="end"/>
          </w:r>
          <w:r>
            <w:t xml:space="preserve"> review did not consider case studies.</w:t>
          </w:r>
        </w:p>
        <w:p w14:paraId="17F7E005" w14:textId="77777777" w:rsidR="00301538" w:rsidRDefault="00301538" w:rsidP="00301538">
          <w:pPr>
            <w:pStyle w:val="BodyText"/>
          </w:pPr>
        </w:p>
        <w:p w14:paraId="1B59CE59" w14:textId="7D606FF0" w:rsidR="000F0E2F" w:rsidRDefault="000F0E2F" w:rsidP="000F0E2F">
          <w:pPr>
            <w:pStyle w:val="Heading2"/>
          </w:pPr>
          <w:bookmarkStart w:id="25" w:name="_Toc513214349"/>
          <w:bookmarkStart w:id="26" w:name="_Toc517706635"/>
          <w:r>
            <w:t xml:space="preserve">Oral </w:t>
          </w:r>
          <w:r w:rsidR="006726B9">
            <w:t>h</w:t>
          </w:r>
          <w:r>
            <w:t>ealth</w:t>
          </w:r>
          <w:bookmarkEnd w:id="25"/>
          <w:bookmarkEnd w:id="26"/>
        </w:p>
        <w:p w14:paraId="5F4DFE74" w14:textId="77777777" w:rsidR="00301538" w:rsidRDefault="00301538" w:rsidP="00301538">
          <w:pPr>
            <w:pStyle w:val="BodyText"/>
          </w:pPr>
          <w:r>
            <w:t xml:space="preserve">An Italian case-control study (n=90) </w:t>
          </w:r>
          <w:r>
            <w:fldChar w:fldCharType="begin"/>
          </w:r>
          <w:r>
            <w:instrText xml:space="preserve"> ADDIN EN.CITE &lt;EndNote&gt;&lt;Cite&gt;&lt;Author&gt;Bardellini&lt;/Author&gt;&lt;Year&gt;2018&lt;/Year&gt;&lt;RecNum&gt;759&lt;/RecNum&gt;&lt;DisplayText&gt;(Bardellini, Amadori et al. 2018)&lt;/DisplayText&gt;&lt;record&gt;&lt;rec-number&gt;759&lt;/rec-number&gt;&lt;foreign-keys&gt;&lt;key app="EN" db-id="9vs9pzfznapxphefa28xzw95sf5av0sv9rdz" timestamp="1521159357"&gt;759&lt;/key&gt;&lt;key app="ENWeb" db-id=""&gt;0&lt;/key&gt;&lt;/foreign-keys&gt;&lt;ref-type name="Journal Article"&gt;17&lt;/ref-type&gt;&lt;contributors&gt;&lt;authors&gt;&lt;author&gt;Bardellini, E.&lt;/author&gt;&lt;author&gt;Amadori, F.&lt;/author&gt;&lt;author&gt;Conti, G.&lt;/author&gt;&lt;author&gt;Majorana, A.&lt;/author&gt;&lt;/authors&gt;&lt;/contributors&gt;&lt;auth-address&gt;a Department of Medical and Surgical Specialities, Radiological Sciences and Public Health , Dental School, University of Brescia , Brescia , Italy.&amp;#xD;b Department of Oral Surgery , University Vita-Salute San Raffaele , Milan , Italy.&lt;/auth-address&gt;&lt;titles&gt;&lt;title&gt;Oral mucosal lesions in electronic cigarettes consumers versus former smokers&lt;/title&gt;&lt;secondary-title&gt;Acta Odontol Scand&lt;/secondary-title&gt;&lt;alt-title&gt;Acta odontologica Scandinavica&lt;/alt-title&gt;&lt;/titles&gt;&lt;periodical&gt;&lt;full-title&gt;Acta Odontol Scand&lt;/full-title&gt;&lt;abbr-1&gt;Acta odontologica Scandinavica&lt;/abbr-1&gt;&lt;/periodical&gt;&lt;alt-periodical&gt;&lt;full-title&gt;Acta Odontol Scand&lt;/full-title&gt;&lt;abbr-1&gt;Acta odontologica Scandinavica&lt;/abbr-1&gt;&lt;/alt-periodical&gt;&lt;pages&gt;226-228&lt;/pages&gt;&lt;volume&gt;76&lt;/volume&gt;&lt;number&gt;3&lt;/number&gt;&lt;edition&gt;2017/11/23&lt;/edition&gt;&lt;keywords&gt;&lt;keyword&gt;Smoking&lt;/keyword&gt;&lt;keyword&gt;electronic cigarette&lt;/keyword&gt;&lt;keyword&gt;oral lesion&lt;/keyword&gt;&lt;/keywords&gt;&lt;dates&gt;&lt;year&gt;2018&lt;/year&gt;&lt;pub-dates&gt;&lt;date&gt;Apr&lt;/date&gt;&lt;/pub-dates&gt;&lt;/dates&gt;&lt;isbn&gt;0001-6357&lt;/isbn&gt;&lt;accession-num&gt;29161938&lt;/accession-num&gt;&lt;urls&gt;&lt;/urls&gt;&lt;electronic-resource-num&gt;10.1080/00016357.2017.1406613&lt;/electronic-resource-num&gt;&lt;remote-database-provider&gt;NLM&lt;/remote-database-provider&gt;&lt;language&gt;eng&lt;/language&gt;&lt;/record&gt;&lt;/Cite&gt;&lt;/EndNote&gt;</w:instrText>
          </w:r>
          <w:r>
            <w:fldChar w:fldCharType="separate"/>
          </w:r>
          <w:r>
            <w:rPr>
              <w:noProof/>
            </w:rPr>
            <w:t>(Bardellini, Amadori et al. 2018)</w:t>
          </w:r>
          <w:r>
            <w:fldChar w:fldCharType="end"/>
          </w:r>
          <w:r>
            <w:t xml:space="preserve"> tested for nine types of oral mucosal lesions (OMLs) in former smokers (n=45) and current e-cigarette users (n=45). For all OMLs, there was no significant difference between the two groups. There were no differences for precancerous OMLs for the two groups; and only one case of squamous cell carcinoma was found on the tongue of a former smoker. The odds ratios for e-cigarette users (when compared to former smokers) were significant for the OMLs </w:t>
          </w:r>
          <w:r>
            <w:rPr>
              <w:b/>
            </w:rPr>
            <w:t>nicotine stomatitis</w:t>
          </w:r>
          <w:r>
            <w:t xml:space="preserve"> (OR 6.77, p=0.04), </w:t>
          </w:r>
          <w:r>
            <w:rPr>
              <w:b/>
            </w:rPr>
            <w:t>hairy tongue</w:t>
          </w:r>
          <w:r>
            <w:t xml:space="preserve"> (OR 8.11, p=0.02) and </w:t>
          </w:r>
          <w:r>
            <w:rPr>
              <w:b/>
            </w:rPr>
            <w:t>hyperplastic candidiasis</w:t>
          </w:r>
          <w:r>
            <w:t xml:space="preserve"> (OR 4.65, p=0.04). However, the number in the groups was small and further studies are required to test OMLs and draw conclusions. It was unclear if the e-cigarette user group were sometimes dual users.</w:t>
          </w:r>
        </w:p>
        <w:p w14:paraId="4E2784FA" w14:textId="77777777" w:rsidR="00301538" w:rsidRDefault="00301538" w:rsidP="00301538">
          <w:pPr>
            <w:pStyle w:val="BodyText"/>
          </w:pPr>
        </w:p>
        <w:p w14:paraId="5D2546AE" w14:textId="77777777" w:rsidR="00301538" w:rsidRDefault="00301538" w:rsidP="00301538">
          <w:pPr>
            <w:pStyle w:val="Heading3"/>
          </w:pPr>
          <w:r>
            <w:t>What the new studies add to what is already known about e-cigarettes</w:t>
          </w:r>
        </w:p>
        <w:p w14:paraId="7A157592" w14:textId="77777777" w:rsidR="00301538" w:rsidRDefault="00301538" w:rsidP="00301538">
          <w:pPr>
            <w:pStyle w:val="BodyText"/>
          </w:pPr>
          <w:r>
            <w:t xml:space="preserve">Periodontal disease can be measured through intermediate outcomes such as bleeding after probing, plaque index, amount of gingival crevicular fluid, gum recession, bone resorption and tooth loss </w:t>
          </w:r>
          <w:r>
            <w:fldChar w:fldCharType="begin"/>
          </w:r>
          <w:r w:rsidR="00903735">
            <w:instrText xml:space="preserve"> ADDIN EN.CITE &lt;EndNote&gt;&lt;Cite&gt;&lt;Author&gt;Stratton&lt;/Author&gt;&lt;Year&gt;2018&lt;/Year&gt;&lt;RecNum&gt;7073&lt;/RecNum&gt;&lt;DisplayText&gt;(Stratton, Kwan et al. 2018)&lt;/DisplayText&gt;&lt;record&gt;&lt;rec-number&gt;7073&lt;/rec-number&gt;&lt;foreign-keys&gt;&lt;key app="EN" db-id="5xv5w5t2bdxtxfezx02xtxdft5rz5ptvvt29" timestamp="1521076678"&gt;7073&lt;/key&gt;&lt;/foreign-keys&gt;&lt;ref-type name="Report"&gt;27&lt;/ref-type&gt;&lt;contributors&gt;&lt;authors&gt;&lt;author&gt;Kathleen Stratton&lt;/author&gt;&lt;author&gt;Leslie Y Kwan&lt;/author&gt;&lt;author&gt;David L Eaton&lt;/author&gt;&lt;/authors&gt;&lt;tertiary-authors&gt;&lt;author&gt;The National Academies Press&lt;/author&gt;&lt;/tertiary-authors&gt;&lt;/contributors&gt;&lt;titles&gt;&lt;title&gt;Public Health Consequences of e-Cigarettes&lt;/title&gt;&lt;/titles&gt;&lt;dates&gt;&lt;year&gt;2018&lt;/year&gt;&lt;/dates&gt;&lt;pub-location&gt;Washington DC&lt;/pub-location&gt;&lt;publisher&gt;Board on Population Health and Public Health Practice, Health and Medicine Division, The National Academies of Sciences, Engineering and Medicine&lt;/publisher&gt;&lt;urls&gt;&lt;/urls&gt;&lt;/record&gt;&lt;/Cite&gt;&lt;/EndNote&gt;</w:instrText>
          </w:r>
          <w:r>
            <w:fldChar w:fldCharType="separate"/>
          </w:r>
          <w:r>
            <w:rPr>
              <w:noProof/>
            </w:rPr>
            <w:t>(Stratton, Kwan et al. 2018)</w:t>
          </w:r>
          <w:r>
            <w:fldChar w:fldCharType="end"/>
          </w:r>
          <w:r>
            <w:t xml:space="preserve">. Only the US Academies of Sciences review </w:t>
          </w:r>
          <w:r>
            <w:fldChar w:fldCharType="begin"/>
          </w:r>
          <w:r w:rsidR="00903735">
            <w:instrText xml:space="preserve"> ADDIN EN.CITE &lt;EndNote&gt;&lt;Cite&gt;&lt;Author&gt;Stratton&lt;/Author&gt;&lt;Year&gt;2018&lt;/Year&gt;&lt;RecNum&gt;7073&lt;/RecNum&gt;&lt;DisplayText&gt;(Stratton, Kwan et al. 2018)&lt;/DisplayText&gt;&lt;record&gt;&lt;rec-number&gt;7073&lt;/rec-number&gt;&lt;foreign-keys&gt;&lt;key app="EN" db-id="5xv5w5t2bdxtxfezx02xtxdft5rz5ptvvt29" timestamp="1521076678"&gt;7073&lt;/key&gt;&lt;/foreign-keys&gt;&lt;ref-type name="Report"&gt;27&lt;/ref-type&gt;&lt;contributors&gt;&lt;authors&gt;&lt;author&gt;Kathleen Stratton&lt;/author&gt;&lt;author&gt;Leslie Y Kwan&lt;/author&gt;&lt;author&gt;David L Eaton&lt;/author&gt;&lt;/authors&gt;&lt;tertiary-authors&gt;&lt;author&gt;The National Academies Press&lt;/author&gt;&lt;/tertiary-authors&gt;&lt;/contributors&gt;&lt;titles&gt;&lt;title&gt;Public Health Consequences of e-Cigarettes&lt;/title&gt;&lt;/titles&gt;&lt;dates&gt;&lt;year&gt;2018&lt;/year&gt;&lt;/dates&gt;&lt;pub-location&gt;Washington DC&lt;/pub-location&gt;&lt;publisher&gt;Board on Population Health and Public Health Practice, Health and Medicine Division, The National Academies of Sciences, Engineering and Medicine&lt;/publisher&gt;&lt;urls&gt;&lt;/urls&gt;&lt;/record&gt;&lt;/Cite&gt;&lt;/EndNote&gt;</w:instrText>
          </w:r>
          <w:r>
            <w:fldChar w:fldCharType="separate"/>
          </w:r>
          <w:r>
            <w:rPr>
              <w:noProof/>
            </w:rPr>
            <w:t>(Stratton, Kwan et al. 2018)</w:t>
          </w:r>
          <w:r>
            <w:fldChar w:fldCharType="end"/>
          </w:r>
          <w:r>
            <w:t xml:space="preserve"> refers to studies which included such measures whilst the UK review does not. The Bardellini et al study is a new study flagging significantly higher levels of some OMLs for e</w:t>
          </w:r>
          <w:r>
            <w:noBreakHyphen/>
            <w:t>cigarette users compared to former smokers.</w:t>
          </w:r>
        </w:p>
        <w:p w14:paraId="244C659D" w14:textId="77777777" w:rsidR="00301538" w:rsidRDefault="00301538" w:rsidP="00301538">
          <w:pPr>
            <w:pStyle w:val="BodyText"/>
          </w:pPr>
          <w:r>
            <w:t xml:space="preserve">The US Academies of Science review also notes a lack of rigorously designed studies exploring the effects of e-cigarettes on oral health, and no epidemiological studies examining the incidence or progression of periodontal disease. It notes that existing studies suggest that the e-cigarette aerosols can induce gingival inflammation, but that e-cigarette use may be less harmful than tobacco smoking for oral health. It concludes that there is limited evidence suggesting that switching to e-cigarettes will improve periodontal disease or that e-cigarette aerosol can cause oral tissue damage in non-smokers </w:t>
          </w:r>
          <w:r>
            <w:fldChar w:fldCharType="begin"/>
          </w:r>
          <w:r w:rsidR="00903735">
            <w:instrText xml:space="preserve"> ADDIN EN.CITE &lt;EndNote&gt;&lt;Cite&gt;&lt;Author&gt;Stratton&lt;/Author&gt;&lt;Year&gt;2018&lt;/Year&gt;&lt;RecNum&gt;7073&lt;/RecNum&gt;&lt;DisplayText&gt;(Stratton, Kwan et al. 2018)&lt;/DisplayText&gt;&lt;record&gt;&lt;rec-number&gt;7073&lt;/rec-number&gt;&lt;foreign-keys&gt;&lt;key app="EN" db-id="5xv5w5t2bdxtxfezx02xtxdft5rz5ptvvt29" timestamp="1521076678"&gt;7073&lt;/key&gt;&lt;/foreign-keys&gt;&lt;ref-type name="Report"&gt;27&lt;/ref-type&gt;&lt;contributors&gt;&lt;authors&gt;&lt;author&gt;Kathleen Stratton&lt;/author&gt;&lt;author&gt;Leslie Y Kwan&lt;/author&gt;&lt;author&gt;David L Eaton&lt;/author&gt;&lt;/authors&gt;&lt;tertiary-authors&gt;&lt;author&gt;The National Academies Press&lt;/author&gt;&lt;/tertiary-authors&gt;&lt;/contributors&gt;&lt;titles&gt;&lt;title&gt;Public Health Consequences of e-Cigarettes&lt;/title&gt;&lt;/titles&gt;&lt;dates&gt;&lt;year&gt;2018&lt;/year&gt;&lt;/dates&gt;&lt;pub-location&gt;Washington DC&lt;/pub-location&gt;&lt;publisher&gt;Board on Population Health and Public Health Practice, Health and Medicine Division, The National Academies of Sciences, Engineering and Medicine&lt;/publisher&gt;&lt;urls&gt;&lt;/urls&gt;&lt;/record&gt;&lt;/Cite&gt;&lt;/EndNote&gt;</w:instrText>
          </w:r>
          <w:r>
            <w:fldChar w:fldCharType="separate"/>
          </w:r>
          <w:r>
            <w:rPr>
              <w:noProof/>
            </w:rPr>
            <w:t>(Stratton, Kwan et al. 2018)</w:t>
          </w:r>
          <w:r>
            <w:fldChar w:fldCharType="end"/>
          </w:r>
          <w:r>
            <w:t>.</w:t>
          </w:r>
        </w:p>
        <w:p w14:paraId="21E31061" w14:textId="77777777" w:rsidR="00301538" w:rsidRDefault="00301538" w:rsidP="00301538">
          <w:pPr>
            <w:pStyle w:val="BodyText"/>
          </w:pPr>
        </w:p>
        <w:p w14:paraId="1EF812A3" w14:textId="77777777" w:rsidR="000F0E2F" w:rsidRDefault="000F0E2F" w:rsidP="000F0E2F">
          <w:pPr>
            <w:pStyle w:val="Heading2"/>
          </w:pPr>
          <w:bookmarkStart w:id="27" w:name="_Toc513214350"/>
          <w:bookmarkStart w:id="28" w:name="_Toc517706636"/>
          <w:r>
            <w:lastRenderedPageBreak/>
            <w:t>Dermat</w:t>
          </w:r>
          <w:bookmarkEnd w:id="27"/>
          <w:r w:rsidR="00FD4AE4">
            <w:t>itis</w:t>
          </w:r>
          <w:bookmarkEnd w:id="28"/>
        </w:p>
        <w:p w14:paraId="2DEFAFF0" w14:textId="1240F6E1" w:rsidR="00FD4AE4" w:rsidRDefault="00FD4AE4" w:rsidP="0035514A">
          <w:pPr>
            <w:pStyle w:val="BodyText"/>
            <w:rPr>
              <w:rFonts w:asciiTheme="minorHAnsi" w:hAnsiTheme="minorHAnsi" w:cstheme="minorHAnsi"/>
              <w:szCs w:val="24"/>
            </w:rPr>
          </w:pPr>
          <w:r w:rsidRPr="00D97FBC">
            <w:t xml:space="preserve">One UK case study report </w:t>
          </w:r>
          <w:r w:rsidRPr="00D97FBC">
            <w:rPr>
              <w:rFonts w:cs="Calibri"/>
              <w:szCs w:val="24"/>
            </w:rPr>
            <w:fldChar w:fldCharType="begin"/>
          </w:r>
          <w:r w:rsidRPr="00D97FBC">
            <w:rPr>
              <w:rFonts w:cs="Calibri"/>
              <w:szCs w:val="24"/>
            </w:rPr>
            <w:instrText xml:space="preserve"> ADDIN EN.CITE &lt;EndNote&gt;&lt;Cite&gt;&lt;Author&gt;Shim&lt;/Author&gt;&lt;Year&gt;2018&lt;/Year&gt;&lt;RecNum&gt;536&lt;/RecNum&gt;&lt;DisplayText&gt;(Shim and Kosztyuova 2018)&lt;/DisplayText&gt;&lt;record&gt;&lt;rec-number&gt;536&lt;/rec-number&gt;&lt;foreign-keys&gt;&lt;key app="EN" db-id="9vs9pzfznapxphefa28xzw95sf5av0sv9rdz" timestamp="1521159338"&gt;536&lt;/key&gt;&lt;/foreign-keys&gt;&lt;ref-type name="Journal Article"&gt;17&lt;/ref-type&gt;&lt;contributors&gt;&lt;authors&gt;&lt;author&gt;Shim, T. N.&lt;/author&gt;&lt;author&gt;Kosztyuova, T.&lt;/author&gt;&lt;/authors&gt;&lt;/contributors&gt;&lt;auth-address&gt;From the Dermatology Department, University Hospitals Coventry &amp;amp; Warwickshire, United Kingdom.&lt;/auth-address&gt;&lt;titles&gt;&lt;title&gt;Allergic Contact Dermatitis to Electronic Cigarette&lt;/title&gt;&lt;secondary-title&gt;Dermatitis&lt;/secondary-title&gt;&lt;alt-title&gt;Dermatitis : contact, atopic, occupational, drug&lt;/alt-title&gt;&lt;/titles&gt;&lt;periodical&gt;&lt;full-title&gt;Dermatitis&lt;/full-title&gt;&lt;abbr-1&gt;Dermatitis : contact, atopic, occupational, drug&lt;/abbr-1&gt;&lt;/periodical&gt;&lt;alt-periodical&gt;&lt;full-title&gt;Dermatitis&lt;/full-title&gt;&lt;abbr-1&gt;Dermatitis : contact, atopic, occupational, drug&lt;/abbr-1&gt;&lt;/alt-periodical&gt;&lt;edition&gt;2018/03/02&lt;/edition&gt;&lt;dates&gt;&lt;year&gt;2018&lt;/year&gt;&lt;pub-dates&gt;&lt;date&gt;Feb 28&lt;/date&gt;&lt;/pub-dates&gt;&lt;/dates&gt;&lt;isbn&gt;1710-3568&lt;/isbn&gt;&lt;accession-num&gt;29494384&lt;/accession-num&gt;&lt;urls&gt;&lt;/urls&gt;&lt;electronic-resource-num&gt;10.1097/der.0000000000000337&lt;/electronic-resource-num&gt;&lt;remote-database-provider&gt;NLM&lt;/remote-database-provider&gt;&lt;language&gt;eng&lt;/language&gt;&lt;/record&gt;&lt;/Cite&gt;&lt;/EndNote&gt;</w:instrText>
          </w:r>
          <w:r w:rsidRPr="00D97FBC">
            <w:rPr>
              <w:rFonts w:cs="Calibri"/>
              <w:szCs w:val="24"/>
            </w:rPr>
            <w:fldChar w:fldCharType="separate"/>
          </w:r>
          <w:r w:rsidRPr="00D97FBC">
            <w:rPr>
              <w:rFonts w:cs="Calibri"/>
              <w:szCs w:val="24"/>
            </w:rPr>
            <w:t>(Shim and Kosztyuova 2018)</w:t>
          </w:r>
          <w:r w:rsidRPr="00D97FBC">
            <w:rPr>
              <w:rFonts w:cs="Calibri"/>
              <w:szCs w:val="24"/>
            </w:rPr>
            <w:fldChar w:fldCharType="end"/>
          </w:r>
          <w:r>
            <w:t xml:space="preserve"> </w:t>
          </w:r>
          <w:r>
            <w:rPr>
              <w:rFonts w:asciiTheme="minorHAnsi" w:hAnsiTheme="minorHAnsi" w:cstheme="minorHAnsi"/>
              <w:szCs w:val="24"/>
            </w:rPr>
            <w:t>covered two cases of dermatitis (one 50</w:t>
          </w:r>
          <w:r w:rsidR="00F70203">
            <w:rPr>
              <w:rFonts w:asciiTheme="minorHAnsi" w:hAnsiTheme="minorHAnsi" w:cstheme="minorHAnsi"/>
              <w:szCs w:val="24"/>
            </w:rPr>
            <w:t> </w:t>
          </w:r>
          <w:r>
            <w:rPr>
              <w:rFonts w:asciiTheme="minorHAnsi" w:hAnsiTheme="minorHAnsi" w:cstheme="minorHAnsi"/>
              <w:szCs w:val="24"/>
            </w:rPr>
            <w:t>year old male patient, one 38 year old female patient) caused by nickel in e-cigarette (vaporiser) pens. The male patient presented with hand and facial dermatitis. He had used e</w:t>
          </w:r>
          <w:r w:rsidR="00F70203">
            <w:rPr>
              <w:rFonts w:asciiTheme="minorHAnsi" w:hAnsiTheme="minorHAnsi" w:cstheme="minorHAnsi"/>
              <w:szCs w:val="24"/>
            </w:rPr>
            <w:noBreakHyphen/>
          </w:r>
          <w:r>
            <w:rPr>
              <w:rFonts w:asciiTheme="minorHAnsi" w:hAnsiTheme="minorHAnsi" w:cstheme="minorHAnsi"/>
              <w:szCs w:val="24"/>
            </w:rPr>
            <w:t xml:space="preserve">cigarettes for the past six years. He was strongly positive to </w:t>
          </w:r>
          <w:r>
            <w:rPr>
              <w:rFonts w:asciiTheme="minorHAnsi" w:hAnsiTheme="minorHAnsi" w:cstheme="minorHAnsi"/>
              <w:b/>
              <w:szCs w:val="24"/>
            </w:rPr>
            <w:t>nickel</w:t>
          </w:r>
          <w:r>
            <w:rPr>
              <w:rFonts w:asciiTheme="minorHAnsi" w:hAnsiTheme="minorHAnsi" w:cstheme="minorHAnsi"/>
              <w:szCs w:val="24"/>
            </w:rPr>
            <w:t xml:space="preserve"> and positive to </w:t>
          </w:r>
          <w:r>
            <w:rPr>
              <w:rFonts w:asciiTheme="minorHAnsi" w:hAnsiTheme="minorHAnsi" w:cstheme="minorHAnsi"/>
              <w:b/>
              <w:szCs w:val="24"/>
            </w:rPr>
            <w:t>mercaptobenzothiazole</w:t>
          </w:r>
          <w:r>
            <w:rPr>
              <w:rFonts w:asciiTheme="minorHAnsi" w:hAnsiTheme="minorHAnsi" w:cstheme="minorHAnsi"/>
              <w:szCs w:val="24"/>
            </w:rPr>
            <w:t>. The female patient had a three-year history of pruritic patches on her right palm. Testing showed a positive reaction to nickel.</w:t>
          </w:r>
        </w:p>
        <w:p w14:paraId="5F3D50EB" w14:textId="77777777" w:rsidR="00FD4AE4" w:rsidRDefault="00FD4AE4" w:rsidP="00FD4AE4">
          <w:pPr>
            <w:spacing w:line="264" w:lineRule="auto"/>
            <w:rPr>
              <w:rFonts w:asciiTheme="minorHAnsi" w:hAnsiTheme="minorHAnsi" w:cstheme="minorHAnsi"/>
              <w:sz w:val="24"/>
              <w:szCs w:val="24"/>
            </w:rPr>
          </w:pPr>
        </w:p>
        <w:p w14:paraId="4E563331" w14:textId="77777777" w:rsidR="00FD4AE4" w:rsidRDefault="00FD4AE4" w:rsidP="00FD4AE4">
          <w:pPr>
            <w:pStyle w:val="Heading3"/>
          </w:pPr>
          <w:r>
            <w:t>What the new studies add to what is already known about e-cigarettes</w:t>
          </w:r>
        </w:p>
        <w:p w14:paraId="5BF6C740" w14:textId="77777777" w:rsidR="00FD4AE4" w:rsidRDefault="00FD4AE4" w:rsidP="00FD4AE4">
          <w:pPr>
            <w:spacing w:line="264" w:lineRule="auto"/>
            <w:rPr>
              <w:rFonts w:asciiTheme="minorHAnsi" w:hAnsiTheme="minorHAnsi" w:cstheme="minorHAnsi"/>
              <w:sz w:val="24"/>
              <w:szCs w:val="24"/>
            </w:rPr>
          </w:pPr>
          <w:r>
            <w:rPr>
              <w:rFonts w:asciiTheme="minorHAnsi" w:hAnsiTheme="minorHAnsi" w:cstheme="minorHAnsi"/>
              <w:sz w:val="24"/>
              <w:szCs w:val="24"/>
            </w:rPr>
            <w:t xml:space="preserve">The US Academies of Sciences review notes that allergic dermatitis has previously been associated with </w:t>
          </w:r>
          <w:r>
            <w:rPr>
              <w:sz w:val="24"/>
              <w:szCs w:val="24"/>
            </w:rPr>
            <w:t>propylene glycol (</w:t>
          </w:r>
          <w:r>
            <w:rPr>
              <w:rFonts w:asciiTheme="minorHAnsi" w:hAnsiTheme="minorHAnsi" w:cstheme="minorHAnsi"/>
              <w:sz w:val="24"/>
              <w:szCs w:val="24"/>
            </w:rPr>
            <w:t xml:space="preserve">PG) as well as nickel </w:t>
          </w:r>
          <w:r>
            <w:rPr>
              <w:rFonts w:asciiTheme="minorHAnsi" w:hAnsiTheme="minorHAnsi" w:cstheme="minorHAnsi"/>
              <w:sz w:val="24"/>
              <w:szCs w:val="24"/>
            </w:rPr>
            <w:fldChar w:fldCharType="begin"/>
          </w:r>
          <w:r w:rsidR="00903735">
            <w:rPr>
              <w:rFonts w:asciiTheme="minorHAnsi" w:hAnsiTheme="minorHAnsi" w:cstheme="minorHAnsi"/>
              <w:sz w:val="24"/>
              <w:szCs w:val="24"/>
            </w:rPr>
            <w:instrText xml:space="preserve"> ADDIN EN.CITE &lt;EndNote&gt;&lt;Cite&gt;&lt;Author&gt;Stratton&lt;/Author&gt;&lt;Year&gt;2018&lt;/Year&gt;&lt;RecNum&gt;7073&lt;/RecNum&gt;&lt;DisplayText&gt;(Stratton, Kwan et al. 2018)&lt;/DisplayText&gt;&lt;record&gt;&lt;rec-number&gt;7073&lt;/rec-number&gt;&lt;foreign-keys&gt;&lt;key app="EN" db-id="5xv5w5t2bdxtxfezx02xtxdft5rz5ptvvt29" timestamp="1521076678"&gt;7073&lt;/key&gt;&lt;/foreign-keys&gt;&lt;ref-type name="Report"&gt;27&lt;/ref-type&gt;&lt;contributors&gt;&lt;authors&gt;&lt;author&gt;Kathleen Stratton&lt;/author&gt;&lt;author&gt;Leslie Y Kwan&lt;/author&gt;&lt;author&gt;David L Eaton&lt;/author&gt;&lt;/authors&gt;&lt;tertiary-authors&gt;&lt;author&gt;The National Academies Press&lt;/author&gt;&lt;/tertiary-authors&gt;&lt;/contributors&gt;&lt;titles&gt;&lt;title&gt;Public Health Consequences of e-Cigarettes&lt;/title&gt;&lt;/titles&gt;&lt;dates&gt;&lt;year&gt;2018&lt;/year&gt;&lt;/dates&gt;&lt;pub-location&gt;Washington DC&lt;/pub-location&gt;&lt;publisher&gt;Board on Population Health and Public Health Practice, Health and Medicine Division, The National Academies of Sciences, Engineering and Medicine&lt;/publisher&gt;&lt;urls&gt;&lt;/urls&gt;&lt;/record&gt;&lt;/Cite&gt;&lt;/EndNote&gt;</w:instrText>
          </w:r>
          <w:r>
            <w:rPr>
              <w:rFonts w:asciiTheme="minorHAnsi" w:hAnsiTheme="minorHAnsi" w:cstheme="minorHAnsi"/>
              <w:sz w:val="24"/>
              <w:szCs w:val="24"/>
            </w:rPr>
            <w:fldChar w:fldCharType="separate"/>
          </w:r>
          <w:r>
            <w:rPr>
              <w:rFonts w:asciiTheme="minorHAnsi" w:hAnsiTheme="minorHAnsi" w:cstheme="minorHAnsi"/>
              <w:noProof/>
              <w:sz w:val="24"/>
              <w:szCs w:val="24"/>
            </w:rPr>
            <w:t>(Stratton, Kwan et al. 2018)</w:t>
          </w:r>
          <w:r>
            <w:rPr>
              <w:rFonts w:asciiTheme="minorHAnsi" w:hAnsiTheme="minorHAnsi" w:cstheme="minorHAnsi"/>
              <w:sz w:val="24"/>
              <w:szCs w:val="24"/>
            </w:rPr>
            <w:fldChar w:fldCharType="end"/>
          </w:r>
          <w:r>
            <w:rPr>
              <w:rFonts w:asciiTheme="minorHAnsi" w:hAnsiTheme="minorHAnsi" w:cstheme="minorHAnsi"/>
              <w:sz w:val="24"/>
              <w:szCs w:val="24"/>
            </w:rPr>
            <w:t xml:space="preserve">. The US Academies of Science study does not refer to the allergenic properties of mercaptobenzothiazole – which could also have been linked to the dermatitis in the case study above. The UK review </w:t>
          </w:r>
          <w:r>
            <w:rPr>
              <w:rFonts w:asciiTheme="minorHAnsi" w:hAnsiTheme="minorHAnsi" w:cstheme="minorHAnsi"/>
              <w:sz w:val="24"/>
              <w:szCs w:val="24"/>
            </w:rPr>
            <w:fldChar w:fldCharType="begin"/>
          </w:r>
          <w:r>
            <w:rPr>
              <w:rFonts w:asciiTheme="minorHAnsi" w:hAnsiTheme="minorHAnsi" w:cstheme="minorHAnsi"/>
              <w:sz w:val="24"/>
              <w:szCs w:val="24"/>
            </w:rPr>
            <w:instrText xml:space="preserve"> ADDIN EN.CITE &lt;EndNote&gt;&lt;Cite&gt;&lt;Author&gt;McNeill A&lt;/Author&gt;&lt;Year&gt;2018&lt;/Year&gt;&lt;RecNum&gt;13025&lt;/RecNum&gt;&lt;DisplayText&gt;(McNeill A 2018)&lt;/DisplayText&gt;&lt;record&gt;&lt;rec-number&gt;13025&lt;/rec-number&gt;&lt;foreign-keys&gt;&lt;key app="EN" db-id="5xv5w5t2bdxtxfezx02xtxdft5rz5ptvvt29" timestamp="1524018409"&gt;13025&lt;/key&gt;&lt;/foreign-keys&gt;&lt;ref-type name="Journal Article"&gt;17&lt;/ref-type&gt;&lt;contributors&gt;&lt;authors&gt;&lt;author&gt;McNeill A,  Brose LS, Calder R,  Bauld L, Robson D.&lt;/author&gt;&lt;/authors&gt;&lt;/contributors&gt;&lt;titles&gt;&lt;title&gt;Evidence Review of e-cigarettes and heated tobacco products 2018. A Report comissioned by Public Health England.&lt;/title&gt;&lt;/titles&gt;&lt;dates&gt;&lt;year&gt;2018&lt;/year&gt;&lt;/dates&gt;&lt;urls&gt;&lt;/urls&gt;&lt;/record&gt;&lt;/Cite&gt;&lt;/EndNote&gt;</w:instrText>
          </w:r>
          <w:r>
            <w:rPr>
              <w:rFonts w:asciiTheme="minorHAnsi" w:hAnsiTheme="minorHAnsi" w:cstheme="minorHAnsi"/>
              <w:sz w:val="24"/>
              <w:szCs w:val="24"/>
            </w:rPr>
            <w:fldChar w:fldCharType="separate"/>
          </w:r>
          <w:r>
            <w:rPr>
              <w:rFonts w:asciiTheme="minorHAnsi" w:hAnsiTheme="minorHAnsi" w:cstheme="minorHAnsi"/>
              <w:noProof/>
              <w:sz w:val="24"/>
              <w:szCs w:val="24"/>
            </w:rPr>
            <w:t>(McNeill A 2018)</w:t>
          </w:r>
          <w:r>
            <w:rPr>
              <w:rFonts w:asciiTheme="minorHAnsi" w:hAnsiTheme="minorHAnsi" w:cstheme="minorHAnsi"/>
              <w:sz w:val="24"/>
              <w:szCs w:val="24"/>
            </w:rPr>
            <w:fldChar w:fldCharType="end"/>
          </w:r>
          <w:r>
            <w:rPr>
              <w:rFonts w:asciiTheme="minorHAnsi" w:hAnsiTheme="minorHAnsi" w:cstheme="minorHAnsi"/>
              <w:sz w:val="24"/>
              <w:szCs w:val="24"/>
            </w:rPr>
            <w:t xml:space="preserve"> does not refer to studies on dermatitis associated with e-cigarette use.</w:t>
          </w:r>
        </w:p>
        <w:p w14:paraId="2546C409" w14:textId="77777777" w:rsidR="00FD4AE4" w:rsidRDefault="00FD4AE4" w:rsidP="00FD4AE4">
          <w:pPr>
            <w:spacing w:line="264" w:lineRule="auto"/>
            <w:rPr>
              <w:rFonts w:asciiTheme="minorHAnsi" w:hAnsiTheme="minorHAnsi" w:cstheme="minorHAnsi"/>
              <w:sz w:val="24"/>
              <w:szCs w:val="24"/>
            </w:rPr>
          </w:pPr>
        </w:p>
        <w:p w14:paraId="26DB4252" w14:textId="77777777" w:rsidR="000F0E2F" w:rsidRDefault="000F0E2F" w:rsidP="000F0E2F">
          <w:pPr>
            <w:pStyle w:val="Heading2"/>
          </w:pPr>
          <w:bookmarkStart w:id="29" w:name="_Toc513214351"/>
          <w:bookmarkStart w:id="30" w:name="_Toc517706637"/>
          <w:r>
            <w:t>Wound healing</w:t>
          </w:r>
          <w:bookmarkEnd w:id="29"/>
          <w:bookmarkEnd w:id="30"/>
        </w:p>
        <w:p w14:paraId="448C0E58" w14:textId="77777777" w:rsidR="00FD4AE4" w:rsidRDefault="00FD4AE4" w:rsidP="00FD4AE4">
          <w:pPr>
            <w:spacing w:line="264" w:lineRule="auto"/>
            <w:rPr>
              <w:rFonts w:asciiTheme="minorHAnsi" w:hAnsiTheme="minorHAnsi" w:cstheme="minorHAnsi"/>
              <w:sz w:val="24"/>
              <w:szCs w:val="24"/>
            </w:rPr>
          </w:pPr>
          <w:bookmarkStart w:id="31" w:name="_Toc513214352"/>
          <w:r>
            <w:rPr>
              <w:sz w:val="24"/>
              <w:szCs w:val="24"/>
            </w:rPr>
            <w:t xml:space="preserve">Two case studies reported on the detrimental effects of e-cigarette use upon </w:t>
          </w:r>
          <w:r>
            <w:rPr>
              <w:b/>
              <w:sz w:val="24"/>
              <w:szCs w:val="24"/>
            </w:rPr>
            <w:t>wound healing following surgery</w:t>
          </w:r>
          <w:r>
            <w:rPr>
              <w:sz w:val="24"/>
              <w:szCs w:val="24"/>
            </w:rPr>
            <w:t>. One article</w:t>
          </w:r>
          <w:r>
            <w:t xml:space="preserve"> </w:t>
          </w:r>
          <w:r>
            <w:fldChar w:fldCharType="begin"/>
          </w:r>
          <w:r>
            <w:instrText xml:space="preserve"> ADDIN EN.CITE &lt;EndNote&gt;&lt;Cite&gt;&lt;Author&gt;Fracol&lt;/Author&gt;&lt;Year&gt;2017&lt;/Year&gt;&lt;RecNum&gt;823&lt;/RecNum&gt;&lt;DisplayText&gt;(Fracol, Dorfman et al. 2017)&lt;/DisplayText&gt;&lt;record&gt;&lt;rec-number&gt;823&lt;/rec-number&gt;&lt;foreign-keys&gt;&lt;key app="EN" db-id="9vs9pzfznapxphefa28xzw95sf5av0sv9rdz" timestamp="1521159379"&gt;823&lt;/key&gt;&lt;key app="ENWeb" db-id=""&gt;0&lt;/key&gt;&lt;/foreign-keys&gt;&lt;ref-type name="Journal Article"&gt;17&lt;/ref-type&gt;&lt;contributors&gt;&lt;authors&gt;&lt;author&gt;Fracol, M.&lt;/author&gt;&lt;author&gt;Dorfman, R.&lt;/author&gt;&lt;author&gt;Janes, L.&lt;/author&gt;&lt;author&gt;Kulkarni, S.&lt;/author&gt;&lt;author&gt;Bethke, K.&lt;/author&gt;&lt;author&gt;Hansen, N.&lt;/author&gt;&lt;author&gt;Kim, J.&lt;/author&gt;&lt;/authors&gt;&lt;/contributors&gt;&lt;auth-address&gt;Division of Plastic Surgery, Northwestern Memorial Hospital, Chicago, USA.&amp;#xD;Lynn Sage Comprehensive Breast Center, Northwestern Memorial Hospital, Chicago, IL, USA.&lt;/auth-address&gt;&lt;titles&gt;&lt;title&gt;The Surgical Impact of E-Cigarettes: A Case Report and Review of the Current Literature&lt;/title&gt;&lt;secondary-title&gt;Arch Plast Surg&lt;/secondary-title&gt;&lt;alt-title&gt;Archives of plastic surgery&lt;/alt-title&gt;&lt;/titles&gt;&lt;periodical&gt;&lt;full-title&gt;Arch Plast Surg&lt;/full-title&gt;&lt;abbr-1&gt;Archives of plastic surgery&lt;/abbr-1&gt;&lt;/periodical&gt;&lt;alt-periodical&gt;&lt;full-title&gt;Arch Plast Surg&lt;/full-title&gt;&lt;abbr-1&gt;Archives of plastic surgery&lt;/abbr-1&gt;&lt;/alt-periodical&gt;&lt;pages&gt;477-481&lt;/pages&gt;&lt;volume&gt;44&lt;/volume&gt;&lt;number&gt;6&lt;/number&gt;&lt;edition&gt;2017/10/27&lt;/edition&gt;&lt;keywords&gt;&lt;keyword&gt;Electronic cigarettes&lt;/keyword&gt;&lt;keyword&gt;Nicotine&lt;/keyword&gt;&lt;keyword&gt;Surgery, plastic&lt;/keyword&gt;&lt;keyword&gt;Vaping&lt;/keyword&gt;&lt;keyword&gt;Wound healing&lt;/keyword&gt;&lt;/keywords&gt;&lt;dates&gt;&lt;year&gt;2017&lt;/year&gt;&lt;pub-dates&gt;&lt;date&gt;Nov&lt;/date&gt;&lt;/pub-dates&gt;&lt;/dates&gt;&lt;isbn&gt;2234-6163 (Print)&amp;#xD;2234-6163&lt;/isbn&gt;&lt;accession-num&gt;29069879&lt;/accession-num&gt;&lt;urls&gt;&lt;/urls&gt;&lt;custom2&gt;PMC5801784&lt;/custom2&gt;&lt;electronic-resource-num&gt;10.5999/aps.2017.00087&lt;/electronic-resource-num&gt;&lt;remote-database-provider&gt;NLM&lt;/remote-database-provider&gt;&lt;language&gt;eng&lt;/language&gt;&lt;/record&gt;&lt;/Cite&gt;&lt;/EndNote&gt;</w:instrText>
          </w:r>
          <w:r>
            <w:fldChar w:fldCharType="separate"/>
          </w:r>
          <w:r w:rsidRPr="00F42E51">
            <w:rPr>
              <w:noProof/>
              <w:sz w:val="24"/>
              <w:szCs w:val="24"/>
            </w:rPr>
            <w:t>(Fracol,</w:t>
          </w:r>
          <w:r>
            <w:rPr>
              <w:noProof/>
            </w:rPr>
            <w:t xml:space="preserve"> </w:t>
          </w:r>
          <w:r w:rsidRPr="00F42E51">
            <w:rPr>
              <w:noProof/>
              <w:sz w:val="24"/>
              <w:szCs w:val="24"/>
            </w:rPr>
            <w:t>Dorfman</w:t>
          </w:r>
          <w:r>
            <w:rPr>
              <w:noProof/>
            </w:rPr>
            <w:t xml:space="preserve"> </w:t>
          </w:r>
          <w:r w:rsidRPr="00F42E51">
            <w:rPr>
              <w:noProof/>
              <w:sz w:val="24"/>
              <w:szCs w:val="24"/>
            </w:rPr>
            <w:t>et al. 2017)</w:t>
          </w:r>
          <w:r>
            <w:fldChar w:fldCharType="end"/>
          </w:r>
          <w:r>
            <w:t xml:space="preserve"> </w:t>
          </w:r>
          <w:r>
            <w:rPr>
              <w:rFonts w:asciiTheme="minorHAnsi" w:hAnsiTheme="minorHAnsi" w:cstheme="minorHAnsi"/>
              <w:sz w:val="24"/>
              <w:szCs w:val="24"/>
            </w:rPr>
            <w:t xml:space="preserve">presents a US case where wound healing and breast reconstruction failed. The 51-year-old patient had a 1.5 pack/day conventional cigarette smoking history and had ceased smoking several months prior to surgery. Three months prior to surgery for a bilateral mastectomy and immediate tissue expander reconstruction (for a diagnosed right breast cancer) she had started using e-cigarettes (with usage similar to her previous 1.5 pack per day conventional cigarette use). The patient had significant mastectomy skin flap necrosis and breast reconstruction failure. </w:t>
          </w:r>
        </w:p>
        <w:p w14:paraId="63F4EFB5" w14:textId="01626712" w:rsidR="00FD4AE4" w:rsidRDefault="00FD4AE4" w:rsidP="00FD4AE4">
          <w:pPr>
            <w:spacing w:line="264" w:lineRule="auto"/>
            <w:rPr>
              <w:rFonts w:asciiTheme="minorHAnsi" w:hAnsiTheme="minorHAnsi" w:cstheme="minorHAnsi"/>
              <w:sz w:val="24"/>
              <w:szCs w:val="24"/>
            </w:rPr>
          </w:pPr>
          <w:r>
            <w:rPr>
              <w:rFonts w:asciiTheme="minorHAnsi" w:hAnsiTheme="minorHAnsi" w:cstheme="minorHAnsi"/>
              <w:sz w:val="24"/>
              <w:szCs w:val="24"/>
            </w:rPr>
            <w:t xml:space="preserve">In another US case </w:t>
          </w:r>
          <w:r>
            <w:rPr>
              <w:rFonts w:asciiTheme="minorHAnsi" w:hAnsiTheme="minorHAnsi" w:cstheme="minorHAnsi"/>
              <w:sz w:val="24"/>
              <w:szCs w:val="24"/>
            </w:rPr>
            <w:fldChar w:fldCharType="begin"/>
          </w:r>
          <w:r>
            <w:rPr>
              <w:rFonts w:asciiTheme="minorHAnsi" w:hAnsiTheme="minorHAnsi" w:cstheme="minorHAnsi"/>
              <w:sz w:val="24"/>
              <w:szCs w:val="24"/>
            </w:rPr>
            <w:instrText xml:space="preserve"> ADDIN EN.CITE &lt;EndNote&gt;&lt;Cite&gt;&lt;Author&gt;Agochukwu&lt;/Author&gt;&lt;Year&gt;2018&lt;/Year&gt;&lt;RecNum&gt;859&lt;/RecNum&gt;&lt;DisplayText&gt;(Agochukwu and Liau 2018)&lt;/DisplayText&gt;&lt;record&gt;&lt;rec-number&gt;859&lt;/rec-number&gt;&lt;foreign-keys&gt;&lt;key app="EN" db-id="9vs9pzfznapxphefa28xzw95sf5av0sv9rdz" timestamp="1521159382"&gt;859&lt;/key&gt;&lt;key app="ENWeb" db-id=""&gt;0&lt;/key&gt;&lt;/foreign-keys&gt;&lt;ref-type name="Journal Article"&gt;17&lt;/ref-type&gt;&lt;contributors&gt;&lt;authors&gt;&lt;author&gt;Agochukwu, N.&lt;/author&gt;&lt;author&gt;Liau, J. Y.&lt;/author&gt;&lt;/authors&gt;&lt;/contributors&gt;&lt;auth-address&gt;Division of Plastic Surgery, Department of Surgery, University of Kentucky, Lexington, KY.&amp;#xD;Division of Plastic Surgery, Department of Surgery, University of Kentucky, Lexington, KY. Electronic address: jyliau0@uky.edu.&lt;/auth-address&gt;&lt;titles&gt;&lt;title&gt;Debunking the myth of e-cigarettes: A case of free flap compromise due to e-cigarette use within the first 24 hours&lt;/title&gt;&lt;secondary-title&gt;J Plast Reconstr Aesthet Surg&lt;/secondary-title&gt;&lt;alt-title&gt;Journal of plastic, reconstructive &amp;amp; aesthetic surgery : JPRAS&lt;/alt-title&gt;&lt;/titles&gt;&lt;periodical&gt;&lt;full-title&gt;J Plast Reconstr Aesthet Surg&lt;/full-title&gt;&lt;abbr-1&gt;Journal of plastic, reconstructive &amp;amp; aesthetic surgery : JPRAS&lt;/abbr-1&gt;&lt;/periodical&gt;&lt;alt-periodical&gt;&lt;full-title&gt;J Plast Reconstr Aesthet Surg&lt;/full-title&gt;&lt;abbr-1&gt;Journal of plastic, reconstructive &amp;amp; aesthetic surgery : JPRAS&lt;/abbr-1&gt;&lt;/alt-periodical&gt;&lt;pages&gt;451-453&lt;/pages&gt;&lt;volume&gt;71&lt;/volume&gt;&lt;number&gt;3&lt;/number&gt;&lt;edition&gt;2017/10/17&lt;/edition&gt;&lt;dates&gt;&lt;year&gt;2018&lt;/year&gt;&lt;pub-dates&gt;&lt;date&gt;Mar&lt;/date&gt;&lt;/pub-dates&gt;&lt;/dates&gt;&lt;isbn&gt;1748-6815&lt;/isbn&gt;&lt;accession-num&gt;29031575&lt;/accession-num&gt;&lt;urls&gt;&lt;/urls&gt;&lt;electronic-resource-num&gt;10.1016/j.bjps.2017.09.017&lt;/electronic-resource-num&gt;&lt;remote-database-provider&gt;NLM&lt;/remote-database-provider&gt;&lt;language&gt;eng&lt;/language&gt;&lt;/record&gt;&lt;/Cite&gt;&lt;/EndNote&gt;</w:instrText>
          </w:r>
          <w:r>
            <w:rPr>
              <w:rFonts w:asciiTheme="minorHAnsi" w:hAnsiTheme="minorHAnsi" w:cstheme="minorHAnsi"/>
              <w:sz w:val="24"/>
              <w:szCs w:val="24"/>
            </w:rPr>
            <w:fldChar w:fldCharType="separate"/>
          </w:r>
          <w:r>
            <w:rPr>
              <w:rFonts w:asciiTheme="minorHAnsi" w:hAnsiTheme="minorHAnsi" w:cstheme="minorHAnsi"/>
              <w:noProof/>
              <w:sz w:val="24"/>
              <w:szCs w:val="24"/>
            </w:rPr>
            <w:t>(Agochukwu and Liau 2018)</w:t>
          </w:r>
          <w:r>
            <w:rPr>
              <w:rFonts w:asciiTheme="minorHAnsi" w:hAnsiTheme="minorHAnsi" w:cstheme="minorHAnsi"/>
              <w:sz w:val="24"/>
              <w:szCs w:val="24"/>
            </w:rPr>
            <w:fldChar w:fldCharType="end"/>
          </w:r>
          <w:r>
            <w:rPr>
              <w:rFonts w:asciiTheme="minorHAnsi" w:hAnsiTheme="minorHAnsi" w:cstheme="minorHAnsi"/>
              <w:sz w:val="24"/>
              <w:szCs w:val="24"/>
            </w:rPr>
            <w:t>, a 21 year old male patient used e-cigarettes within 24 hours of free flap (tissue transplantation) surgery. The patient underwent several debridements prior to free flap reconstruction, with the goal of obtaining soft tissue control and coverage prior to tendon reconstruction.</w:t>
          </w:r>
          <w:r w:rsidR="008146F9">
            <w:rPr>
              <w:rFonts w:asciiTheme="minorHAnsi" w:hAnsiTheme="minorHAnsi" w:cstheme="minorHAnsi"/>
              <w:sz w:val="24"/>
              <w:szCs w:val="24"/>
            </w:rPr>
            <w:t xml:space="preserve"> </w:t>
          </w:r>
          <w:r>
            <w:rPr>
              <w:rFonts w:asciiTheme="minorHAnsi" w:hAnsiTheme="minorHAnsi" w:cstheme="minorHAnsi"/>
              <w:sz w:val="24"/>
              <w:szCs w:val="24"/>
            </w:rPr>
            <w:t>Smoking just one e-cigarette within 24 hours of the free flap operation had a significant impact, with the patient having a significant drop in his free flap tissue oximeter readings. Immediately after surgery (free flap reconstruction), the Vioptics reading was in the low 70% range, but less than 24 hours after his surgery, the Vioptics reading had dropped to 19%. On exam, they found the flap to be pale but still with capillary refill and arterial and venous doppler signals. This problem was attributed to the vasoconstrictive effects of nicotine. Nicotine intake was not advised immediately after any surgery.</w:t>
          </w:r>
        </w:p>
        <w:p w14:paraId="7AF2AE61" w14:textId="77777777" w:rsidR="00FD4AE4" w:rsidRDefault="00FD4AE4" w:rsidP="00FD4AE4">
          <w:pPr>
            <w:spacing w:line="264" w:lineRule="auto"/>
            <w:rPr>
              <w:rFonts w:ascii="Segoe UI" w:hAnsi="Segoe UI" w:cs="Segoe UI"/>
              <w:sz w:val="18"/>
              <w:szCs w:val="18"/>
            </w:rPr>
          </w:pPr>
        </w:p>
        <w:p w14:paraId="4B18A6DD" w14:textId="77777777" w:rsidR="00FD4AE4" w:rsidRDefault="00FD4AE4" w:rsidP="00FD4AE4">
          <w:pPr>
            <w:pStyle w:val="Heading3"/>
          </w:pPr>
          <w:r>
            <w:lastRenderedPageBreak/>
            <w:t>What the new studies add to what is already known about e-cigarettes</w:t>
          </w:r>
        </w:p>
        <w:p w14:paraId="0BC64E38" w14:textId="77777777" w:rsidR="00FD4AE4" w:rsidRDefault="00FD4AE4" w:rsidP="00FD4AE4">
          <w:pPr>
            <w:pStyle w:val="BodyText"/>
          </w:pPr>
          <w:r>
            <w:t xml:space="preserve">These case studies are potentially significant and have not been referred to in prior comprehensive reviews </w:t>
          </w:r>
          <w:r>
            <w:fldChar w:fldCharType="begin"/>
          </w:r>
          <w:r w:rsidR="00903735">
            <w:instrText xml:space="preserve"> ADDIN EN.CITE &lt;EndNote&gt;&lt;Cite&gt;&lt;Author&gt;McNeill A&lt;/Author&gt;&lt;Year&gt;2018&lt;/Year&gt;&lt;RecNum&gt;13025&lt;/RecNum&gt;&lt;DisplayText&gt;(McNeill A 2018, Stratton, Kwan et al. 2018)&lt;/DisplayText&gt;&lt;record&gt;&lt;rec-number&gt;13025&lt;/rec-number&gt;&lt;foreign-keys&gt;&lt;key app="EN" db-id="5xv5w5t2bdxtxfezx02xtxdft5rz5ptvvt29" timestamp="1524018409"&gt;13025&lt;/key&gt;&lt;/foreign-keys&gt;&lt;ref-type name="Journal Article"&gt;17&lt;/ref-type&gt;&lt;contributors&gt;&lt;authors&gt;&lt;author&gt;McNeill A,  Brose LS, Calder R,  Bauld L, Robson D.&lt;/author&gt;&lt;/authors&gt;&lt;/contributors&gt;&lt;titles&gt;&lt;title&gt;Evidence Review of e-cigarettes and heated tobacco products 2018. A Report comissioned by Public Health England.&lt;/title&gt;&lt;/titles&gt;&lt;dates&gt;&lt;year&gt;2018&lt;/year&gt;&lt;/dates&gt;&lt;urls&gt;&lt;/urls&gt;&lt;/record&gt;&lt;/Cite&gt;&lt;Cite&gt;&lt;Author&gt;Stratton&lt;/Author&gt;&lt;Year&gt;2018&lt;/Year&gt;&lt;RecNum&gt;7073&lt;/RecNum&gt;&lt;record&gt;&lt;rec-number&gt;7073&lt;/rec-number&gt;&lt;foreign-keys&gt;&lt;key app="EN" db-id="5xv5w5t2bdxtxfezx02xtxdft5rz5ptvvt29" timestamp="1521076678"&gt;7073&lt;/key&gt;&lt;/foreign-keys&gt;&lt;ref-type name="Report"&gt;27&lt;/ref-type&gt;&lt;contributors&gt;&lt;authors&gt;&lt;author&gt;Kathleen Stratton&lt;/author&gt;&lt;author&gt;Leslie Y Kwan&lt;/author&gt;&lt;author&gt;David L Eaton&lt;/author&gt;&lt;/authors&gt;&lt;tertiary-authors&gt;&lt;author&gt;The National Academies Press&lt;/author&gt;&lt;/tertiary-authors&gt;&lt;/contributors&gt;&lt;titles&gt;&lt;title&gt;Public Health Consequences of e-Cigarettes&lt;/title&gt;&lt;/titles&gt;&lt;dates&gt;&lt;year&gt;2018&lt;/year&gt;&lt;/dates&gt;&lt;pub-location&gt;Washington DC&lt;/pub-location&gt;&lt;publisher&gt;Board on Population Health and Public Health Practice, Health and Medicine Division, The National Academies of Sciences, Engineering and Medicine&lt;/publisher&gt;&lt;urls&gt;&lt;/urls&gt;&lt;/record&gt;&lt;/Cite&gt;&lt;/EndNote&gt;</w:instrText>
          </w:r>
          <w:r>
            <w:fldChar w:fldCharType="separate"/>
          </w:r>
          <w:r>
            <w:rPr>
              <w:noProof/>
            </w:rPr>
            <w:t>(McNeill A 2018, Stratton, Kwan et al. 2018)</w:t>
          </w:r>
          <w:r>
            <w:fldChar w:fldCharType="end"/>
          </w:r>
          <w:r>
            <w:t xml:space="preserve">. </w:t>
          </w:r>
          <w:r w:rsidRPr="0035514A">
            <w:rPr>
              <w:color w:val="auto"/>
            </w:rPr>
            <w:t xml:space="preserve">These should be a consideration for harm reduction strategies for surgical patients who use e-cigarettes. </w:t>
          </w:r>
          <w:r>
            <w:t>Further studies on wound healing and e-cigarette use are likely to be informative.</w:t>
          </w:r>
        </w:p>
        <w:p w14:paraId="51B37D54" w14:textId="77777777" w:rsidR="00FD4AE4" w:rsidRDefault="00FD4AE4" w:rsidP="00FD4AE4">
          <w:pPr>
            <w:pStyle w:val="BodyText"/>
          </w:pPr>
        </w:p>
        <w:p w14:paraId="6DDBE830" w14:textId="77777777" w:rsidR="000F0E2F" w:rsidRDefault="000F0E2F" w:rsidP="000F0E2F">
          <w:pPr>
            <w:pStyle w:val="Heading2"/>
          </w:pPr>
          <w:bookmarkStart w:id="32" w:name="_Toc517706638"/>
          <w:r>
            <w:t xml:space="preserve">Oxidative </w:t>
          </w:r>
          <w:r w:rsidR="00283F5A">
            <w:t>s</w:t>
          </w:r>
          <w:r>
            <w:t>tress</w:t>
          </w:r>
          <w:bookmarkEnd w:id="31"/>
          <w:bookmarkEnd w:id="32"/>
          <w:r>
            <w:t xml:space="preserve"> </w:t>
          </w:r>
        </w:p>
        <w:p w14:paraId="28677020" w14:textId="77777777" w:rsidR="00FD4AE4" w:rsidRDefault="00FD4AE4" w:rsidP="00FD4AE4">
          <w:pPr>
            <w:pStyle w:val="BodyText"/>
          </w:pPr>
          <w:bookmarkStart w:id="33" w:name="_Toc513214353"/>
          <w:r>
            <w:t xml:space="preserve">Moheimani et al. considered oxidative stress and inflammation </w:t>
          </w:r>
          <w:r>
            <w:fldChar w:fldCharType="begin">
              <w:fldData xml:space="preserve">PEVuZE5vdGU+PENpdGU+PEF1dGhvcj5Nb2hlaW1hbmk8L0F1dGhvcj48WWVhcj4yMDE3PC9ZZWFy
PjxSZWNOdW0+MTM1MDwvUmVjTnVtPjxEaXNwbGF5VGV4dD4oTW9oZWltYW5pLCBCaGV0cmFyYXRh
bmEgZXQgYWwuIDIwMTcpPC9EaXNwbGF5VGV4dD48cmVjb3JkPjxyZWMtbnVtYmVyPjEzNTA8L3Jl
Yy1udW1iZXI+PGZvcmVpZ24ta2V5cz48a2V5IGFwcD0iRU4iIGRiLWlkPSI5dnM5cHpmem5hcHhw
aGVmYTI4eHp3OTVzZjVhdjBzdjlyZHoiIHRpbWVzdGFtcD0iMTUyMTE1OTQyNiI+MTM1MDwva2V5
PjwvZm9yZWlnbi1rZXlzPjxyZWYtdHlwZSBuYW1lPSJKb3VybmFsIEFydGljbGUiPjE3PC9yZWYt
dHlwZT48Y29udHJpYnV0b3JzPjxhdXRob3JzPjxhdXRob3I+TW9oZWltYW5pLCBSLiBTLjwvYXV0
aG9yPjxhdXRob3I+QmhldHJhcmF0YW5hLCBNLjwvYXV0aG9yPjxhdXRob3I+WWluLCBGLjwvYXV0
aG9yPjxhdXRob3I+UGV0ZXJzLCBLLiBNLjwvYXV0aG9yPjxhdXRob3I+R29ybmJlaW4sIEouPC9h
dXRob3I+PGF1dGhvcj5BcmF1am8sIEouIEEuPC9hdXRob3I+PGF1dGhvcj5NaWRkbGVrYXVmZiwg
SC4gUi48L2F1dGhvcj48L2F1dGhvcnM+PC9jb250cmlidXRvcnM+PGF1dGgtYWRkcmVzcz5EYXZp
ZCBHZWZmZW4gU2Nob29sIG9mIE1lZGljaW5lLCBVbml2ZXJzaXR5IG9mIENhbGlmb3JuaWEsIExv
cyBBbmdlbGVzLiYjeEQ7RGl2aXNpb24gb2YgQ2FyZGlvbG9neSwgRGVwYXJ0bWVudCBvZiBNZWRp
Y2luZSwgRGF2aWQgR2VmZmVuIFNjaG9vbCBvZiBNZWRpY2luZSwgVW5pdmVyc2l0eSBvZiBDYWxp
Zm9ybmlhLCBMb3MgQW5nZWxlcy4mI3hEO0RlcGFydG1lbnQgb2YgQmlvbWF0aGVtYXRpY3MsIERh
dmlkIEdlZmZlbiBTY2hvb2wgb2YgTWVkaWNpbmUsIFVuaXZlcnNpdHkgb2YgQ2FsaWZvcm5pYSwg
TG9zIEFuZ2VsZXMuJiN4RDtEaXZpc2lvbiBvZiBDYXJkaW9sb2d5LCBEZXBhcnRtZW50IG9mIE1l
ZGljaW5lLCBEYXZpZCBHZWZmZW4gU2Nob29sIG9mIE1lZGljaW5lLCBVbml2ZXJzaXR5IG9mIENh
bGlmb3JuaWEsIExvcyBBbmdlbGVzNERlcGFydG1lbnQgb2YgRW52aXJvbm1lbnRhbCBIZWFsdGgg
U2NpZW5jZXMsIFNjaG9vbCBvZiBQdWJsaWMgSGVhbHRoLCBVbml2ZXJzaXR5IG9mIENhbGlmb3Ju
aWEsIExvcyBBbmdlbGVzLjwvYXV0aC1hZGRyZXNzPjx0aXRsZXM+PHRpdGxlPkluY3JlYXNlZCBD
YXJkaWFjIFN5bXBhdGhldGljIEFjdGl2aXR5IGFuZCBPeGlkYXRpdmUgU3RyZXNzIGluIEhhYml0
dWFsIEVsZWN0cm9uaWMgQ2lnYXJldHRlIFVzZXJzOiBJbXBsaWNhdGlvbnMgZm9yIENhcmRpb3Zh
c2N1bGFyIFJpc2s8L3RpdGxlPjxzZWNvbmRhcnktdGl0bGU+SkFNQSBDYXJkaW9sPC9zZWNvbmRh
cnktdGl0bGU+PGFsdC10aXRsZT5KQU1BIGNhcmRpb2xvZ3k8L2FsdC10aXRsZT48L3RpdGxlcz48
cGVyaW9kaWNhbD48ZnVsbC10aXRsZT5KQU1BIENhcmRpb2w8L2Z1bGwtdGl0bGU+PGFiYnItMT5K
QU1BIGNhcmRpb2xvZ3k8L2FiYnItMT48L3BlcmlvZGljYWw+PGFsdC1wZXJpb2RpY2FsPjxmdWxs
LXRpdGxlPkpBTUEgQ2FyZGlvbDwvZnVsbC10aXRsZT48YWJici0xPkpBTUEgY2FyZGlvbG9neTwv
YWJici0xPjwvYWx0LXBlcmlvZGljYWw+PHBhZ2VzPjI3OC0yODQ8L3BhZ2VzPjx2b2x1bWU+Mjwv
dm9sdW1lPjxudW1iZXI+MzwvbnVtYmVyPjxlZGl0aW9uPjIwMTcvMDIvMDI8L2VkaXRpb24+PGRh
dGVzPjx5ZWFyPjIwMTc8L3llYXI+PHB1Yi1kYXRlcz48ZGF0ZT5NYXIgMTwvZGF0ZT48L3B1Yi1k
YXRlcz48L2RhdGVzPjxhY2Nlc3Npb24tbnVtPjI4MTQ2MjU5PC9hY2Nlc3Npb24tbnVtPjx1cmxz
PjwvdXJscz48Y3VzdG9tMj5QTUM1NjI2MDA4PC9jdXN0b20yPjxjdXN0b202Pk5JSE1TODY4MjI2
PC9jdXN0b202PjxlbGVjdHJvbmljLXJlc291cmNlLW51bT4xMC4xMDAxL2phbWFjYXJkaW8uMjAx
Ni41MzAzPC9lbGVjdHJvbmljLXJlc291cmNlLW51bT48cmVtb3RlLWRhdGFiYXNlLXByb3ZpZGVy
Pk5MTTwvcmVtb3RlLWRhdGFiYXNlLXByb3ZpZGVyPjxsYW5ndWFnZT5lbmc8L2xhbmd1YWdlPjwv
cmVjb3JkPjwvQ2l0ZT48L0VuZE5vdGU+
</w:fldData>
            </w:fldChar>
          </w:r>
          <w:r>
            <w:instrText xml:space="preserve"> ADDIN EN.CITE </w:instrText>
          </w:r>
          <w:r>
            <w:fldChar w:fldCharType="begin">
              <w:fldData xml:space="preserve">PEVuZE5vdGU+PENpdGU+PEF1dGhvcj5Nb2hlaW1hbmk8L0F1dGhvcj48WWVhcj4yMDE3PC9ZZWFy
PjxSZWNOdW0+MTM1MDwvUmVjTnVtPjxEaXNwbGF5VGV4dD4oTW9oZWltYW5pLCBCaGV0cmFyYXRh
bmEgZXQgYWwuIDIwMTcpPC9EaXNwbGF5VGV4dD48cmVjb3JkPjxyZWMtbnVtYmVyPjEzNTA8L3Jl
Yy1udW1iZXI+PGZvcmVpZ24ta2V5cz48a2V5IGFwcD0iRU4iIGRiLWlkPSI5dnM5cHpmem5hcHhw
aGVmYTI4eHp3OTVzZjVhdjBzdjlyZHoiIHRpbWVzdGFtcD0iMTUyMTE1OTQyNiI+MTM1MDwva2V5
PjwvZm9yZWlnbi1rZXlzPjxyZWYtdHlwZSBuYW1lPSJKb3VybmFsIEFydGljbGUiPjE3PC9yZWYt
dHlwZT48Y29udHJpYnV0b3JzPjxhdXRob3JzPjxhdXRob3I+TW9oZWltYW5pLCBSLiBTLjwvYXV0
aG9yPjxhdXRob3I+QmhldHJhcmF0YW5hLCBNLjwvYXV0aG9yPjxhdXRob3I+WWluLCBGLjwvYXV0
aG9yPjxhdXRob3I+UGV0ZXJzLCBLLiBNLjwvYXV0aG9yPjxhdXRob3I+R29ybmJlaW4sIEouPC9h
dXRob3I+PGF1dGhvcj5BcmF1am8sIEouIEEuPC9hdXRob3I+PGF1dGhvcj5NaWRkbGVrYXVmZiwg
SC4gUi48L2F1dGhvcj48L2F1dGhvcnM+PC9jb250cmlidXRvcnM+PGF1dGgtYWRkcmVzcz5EYXZp
ZCBHZWZmZW4gU2Nob29sIG9mIE1lZGljaW5lLCBVbml2ZXJzaXR5IG9mIENhbGlmb3JuaWEsIExv
cyBBbmdlbGVzLiYjeEQ7RGl2aXNpb24gb2YgQ2FyZGlvbG9neSwgRGVwYXJ0bWVudCBvZiBNZWRp
Y2luZSwgRGF2aWQgR2VmZmVuIFNjaG9vbCBvZiBNZWRpY2luZSwgVW5pdmVyc2l0eSBvZiBDYWxp
Zm9ybmlhLCBMb3MgQW5nZWxlcy4mI3hEO0RlcGFydG1lbnQgb2YgQmlvbWF0aGVtYXRpY3MsIERh
dmlkIEdlZmZlbiBTY2hvb2wgb2YgTWVkaWNpbmUsIFVuaXZlcnNpdHkgb2YgQ2FsaWZvcm5pYSwg
TG9zIEFuZ2VsZXMuJiN4RDtEaXZpc2lvbiBvZiBDYXJkaW9sb2d5LCBEZXBhcnRtZW50IG9mIE1l
ZGljaW5lLCBEYXZpZCBHZWZmZW4gU2Nob29sIG9mIE1lZGljaW5lLCBVbml2ZXJzaXR5IG9mIENh
bGlmb3JuaWEsIExvcyBBbmdlbGVzNERlcGFydG1lbnQgb2YgRW52aXJvbm1lbnRhbCBIZWFsdGgg
U2NpZW5jZXMsIFNjaG9vbCBvZiBQdWJsaWMgSGVhbHRoLCBVbml2ZXJzaXR5IG9mIENhbGlmb3Ju
aWEsIExvcyBBbmdlbGVzLjwvYXV0aC1hZGRyZXNzPjx0aXRsZXM+PHRpdGxlPkluY3JlYXNlZCBD
YXJkaWFjIFN5bXBhdGhldGljIEFjdGl2aXR5IGFuZCBPeGlkYXRpdmUgU3RyZXNzIGluIEhhYml0
dWFsIEVsZWN0cm9uaWMgQ2lnYXJldHRlIFVzZXJzOiBJbXBsaWNhdGlvbnMgZm9yIENhcmRpb3Zh
c2N1bGFyIFJpc2s8L3RpdGxlPjxzZWNvbmRhcnktdGl0bGU+SkFNQSBDYXJkaW9sPC9zZWNvbmRh
cnktdGl0bGU+PGFsdC10aXRsZT5KQU1BIGNhcmRpb2xvZ3k8L2FsdC10aXRsZT48L3RpdGxlcz48
cGVyaW9kaWNhbD48ZnVsbC10aXRsZT5KQU1BIENhcmRpb2w8L2Z1bGwtdGl0bGU+PGFiYnItMT5K
QU1BIGNhcmRpb2xvZ3k8L2FiYnItMT48L3BlcmlvZGljYWw+PGFsdC1wZXJpb2RpY2FsPjxmdWxs
LXRpdGxlPkpBTUEgQ2FyZGlvbDwvZnVsbC10aXRsZT48YWJici0xPkpBTUEgY2FyZGlvbG9neTwv
YWJici0xPjwvYWx0LXBlcmlvZGljYWw+PHBhZ2VzPjI3OC0yODQ8L3BhZ2VzPjx2b2x1bWU+Mjwv
dm9sdW1lPjxudW1iZXI+MzwvbnVtYmVyPjxlZGl0aW9uPjIwMTcvMDIvMDI8L2VkaXRpb24+PGRh
dGVzPjx5ZWFyPjIwMTc8L3llYXI+PHB1Yi1kYXRlcz48ZGF0ZT5NYXIgMTwvZGF0ZT48L3B1Yi1k
YXRlcz48L2RhdGVzPjxhY2Nlc3Npb24tbnVtPjI4MTQ2MjU5PC9hY2Nlc3Npb24tbnVtPjx1cmxz
PjwvdXJscz48Y3VzdG9tMj5QTUM1NjI2MDA4PC9jdXN0b20yPjxjdXN0b202Pk5JSE1TODY4MjI2
PC9jdXN0b202PjxlbGVjdHJvbmljLXJlc291cmNlLW51bT4xMC4xMDAxL2phbWFjYXJkaW8uMjAx
Ni41MzAzPC9lbGVjdHJvbmljLXJlc291cmNlLW51bT48cmVtb3RlLWRhdGFiYXNlLXByb3ZpZGVy
Pk5MTTwvcmVtb3RlLWRhdGFiYXNlLXByb3ZpZGVyPjxsYW5ndWFnZT5lbmc8L2xhbmd1YWdlPjwv
cmVjb3JkPjwvQ2l0ZT48L0VuZE5vdGU+
</w:fldData>
            </w:fldChar>
          </w:r>
          <w:r>
            <w:instrText xml:space="preserve"> ADDIN EN.CITE.DATA </w:instrText>
          </w:r>
          <w:r>
            <w:fldChar w:fldCharType="end"/>
          </w:r>
          <w:r>
            <w:fldChar w:fldCharType="separate"/>
          </w:r>
          <w:r>
            <w:rPr>
              <w:noProof/>
            </w:rPr>
            <w:t>(Moheimani, Bhetraratana et al. 2017)</w:t>
          </w:r>
          <w:r>
            <w:fldChar w:fldCharType="end"/>
          </w:r>
          <w:r>
            <w:t xml:space="preserve"> in </w:t>
          </w:r>
          <w:r>
            <w:rPr>
              <w:b/>
            </w:rPr>
            <w:t>habitual e-cigarette users</w:t>
          </w:r>
          <w:r>
            <w:t xml:space="preserve">. Low-density lipoprotein oxidizability, indicative of susceptibility of apolipoprotein B-containing lipoproteins to oxidation, was </w:t>
          </w:r>
          <w:r>
            <w:rPr>
              <w:b/>
            </w:rPr>
            <w:t>significantly increased in e-cigarette users</w:t>
          </w:r>
          <w:r>
            <w:t xml:space="preserve"> (n=12) compared with non-user control participants (n=18) (mean, 3801.0 [415.7] U vs 2413.3 [325.0] U, p=0.01), consistent with increased oxidative stress. High-density lipoprotein antioxidant index was not different between the groups and inflammatory markers were not different between the groups. </w:t>
          </w:r>
        </w:p>
        <w:p w14:paraId="344E9A87" w14:textId="77777777" w:rsidR="00FD4AE4" w:rsidRDefault="00FD4AE4" w:rsidP="00FD4AE4">
          <w:pPr>
            <w:pStyle w:val="BodyText"/>
          </w:pPr>
          <w:r>
            <w:t xml:space="preserve">In a later study </w:t>
          </w:r>
          <w:r>
            <w:fldChar w:fldCharType="begin">
              <w:fldData xml:space="preserve">PEVuZE5vdGU+PENpdGU+PEF1dGhvcj5Nb2hlaW1hbmk8L0F1dGhvcj48WWVhcj4yMDE3PC9ZZWFy
PjxSZWNOdW0+OTA3PC9SZWNOdW0+PERpc3BsYXlUZXh0PihNb2hlaW1hbmksIEJoZXRyYXJhdGFu
YSBldCBhbC4gMjAxNyk8L0Rpc3BsYXlUZXh0PjxyZWNvcmQ+PHJlYy1udW1iZXI+OTA3PC9yZWMt
bnVtYmVyPjxmb3JlaWduLWtleXM+PGtleSBhcHA9IkVOIiBkYi1pZD0iOXZzOXB6ZnpuYXB4cGhl
ZmEyOHh6dzk1c2Y1YXYwc3Y5cmR6IiB0aW1lc3RhbXA9IjE1MjExNTkzODciPjkwNzwva2V5Pjwv
Zm9yZWlnbi1rZXlzPjxyZWYtdHlwZSBuYW1lPSJKb3VybmFsIEFydGljbGUiPjE3PC9yZWYtdHlw
ZT48Y29udHJpYnV0b3JzPjxhdXRob3JzPjxhdXRob3I+TW9oZWltYW5pLCBSLiBTLjwvYXV0aG9y
PjxhdXRob3I+QmhldHJhcmF0YW5hLCBNLjwvYXV0aG9yPjxhdXRob3I+UGV0ZXJzLCBLLiBNLjwv
YXV0aG9yPjxhdXRob3I+WWFuZywgQi4gSy48L2F1dGhvcj48YXV0aG9yPllpbiwgRi48L2F1dGhv
cj48YXV0aG9yPkdvcm5iZWluLCBKLjwvYXV0aG9yPjxhdXRob3I+QXJhdWpvLCBKLiBBLjwvYXV0
aG9yPjxhdXRob3I+TWlkZGxla2F1ZmYsIEguIFIuPC9hdXRob3I+PC9hdXRob3JzPjwvY29udHJp
YnV0b3JzPjxhdXRoLWFkZHJlc3M+RGF2aWQgR2VmZmVuIFNjaG9vbCBvZiBNZWRpY2luZSBhdCBV
Q0xBLCBMb3MgQW5nZWxlcywgQ0EuJiN4RDtEaXZpc2lvbiBvZiBDYXJkaW9sb2d5IERlcGFydG1l
bnQgb2YgTWVkaWNpbmUsIERhdmlkIEdlZmZlbiBTY2hvb2wgb2YgTWVkaWNpbmUgYXQgVUNMQSwg
TG9zIEFuZ2VsZXMsIENBLiYjeEQ7RGVwYXJ0bWVudCBvZiBCaW9tYXRoZW1hdGljcywgRGF2aWQg
R2VmZmVuIFNjaG9vbCBvZiBNZWRpY2luZSBhdCBVQ0xBLCBMb3MgQW5nZWxlcywgQ0EuJiN4RDtE
ZXBhcnRtZW50IG9mIEVudmlyb25tZW50YWwgSGVhbHRoIFNjaWVuY2VzLCBTY2hvb2wgb2YgUHVi
bGljIEhlYWx0aCwgTG9zIEFuZ2VsZXMsIENBLiYjeEQ7RGl2aXNpb24gb2YgQ2FyZGlvbG9neSBE
ZXBhcnRtZW50IG9mIE1lZGljaW5lLCBEYXZpZCBHZWZmZW4gU2Nob29sIG9mIE1lZGljaW5lIGF0
IFVDTEEsIExvcyBBbmdlbGVzLCBDQSBobWlkZGxla2F1ZmZAbWVkbmV0LnVjbGEuZWR1LjwvYXV0
aC1hZGRyZXNzPjx0aXRsZXM+PHRpdGxlPlN5bXBhdGhvbWltZXRpYyBFZmZlY3RzIG9mIEFjdXRl
IEUtQ2lnYXJldHRlIFVzZTogUm9sZSBvZiBOaWNvdGluZSBhbmQgTm9uLU5pY290aW5lIENvbnN0
aXR1ZW50czwvdGl0bGU+PHNlY29uZGFyeS10aXRsZT5KIEFtIEhlYXJ0IEFzc29jPC9zZWNvbmRh
cnktdGl0bGU+PGFsdC10aXRsZT5Kb3VybmFsIG9mIHRoZSBBbWVyaWNhbiBIZWFydCBBc3NvY2lh
dGlvbjwvYWx0LXRpdGxlPjwvdGl0bGVzPjxhbHQtcGVyaW9kaWNhbD48ZnVsbC10aXRsZT5Kb3Vy
bmFsIG9mIHRoZSBBbWVyaWNhbiBIZWFydCBBc3NvY2lhdGlvbjwvZnVsbC10aXRsZT48L2FsdC1w
ZXJpb2RpY2FsPjx2b2x1bWU+Njwvdm9sdW1lPjxudW1iZXI+OTwvbnVtYmVyPjxlZGl0aW9uPjIw
MTcvMDkvMjI8L2VkaXRpb24+PGtleXdvcmRzPjxrZXl3b3JkPmVsZWN0cm9uaWMgY2lnYXJldHRl
czwva2V5d29yZD48a2V5d29yZD5oZWFydCByYXRlIHZhcmlhYmlsaXR5PC9rZXl3b3JkPjxrZXl3
b3JkPm5pY290aW5lPC9rZXl3b3JkPjxrZXl3b3JkPm94aWRhbnQgc3RyZXNzPC9rZXl3b3JkPjxr
ZXl3b3JkPnN5bXBhdGhldGljIG5lcnZvdXMgc3lzdGVtPC9rZXl3b3JkPjxrZXl3b3JkPnRvYmFj
Y288L2tleXdvcmQ+PC9rZXl3b3Jkcz48ZGF0ZXM+PHllYXI+MjAxNzwveWVhcj48cHViLWRhdGVz
PjxkYXRlPlNlcCAyMDwvZGF0ZT48L3B1Yi1kYXRlcz48L2RhdGVzPjxpc2JuPjIwNDctOTk4MDwv
aXNibj48YWNjZXNzaW9uLW51bT4yODkzMTUyNzwvYWNjZXNzaW9uLW51bT48dXJscz48L3VybHM+
PGN1c3RvbTI+UE1DNTYzNDI5OTwvY3VzdG9tMj48ZWxlY3Ryb25pYy1yZXNvdXJjZS1udW0+MTAu
MTE2MS9qYWhhLjExNy4wMDY1Nzk8L2VsZWN0cm9uaWMtcmVzb3VyY2UtbnVtPjxyZW1vdGUtZGF0
YWJhc2UtcHJvdmlkZXI+TkxNPC9yZW1vdGUtZGF0YWJhc2UtcHJvdmlkZXI+PGxhbmd1YWdlPmVu
ZzwvbGFuZ3VhZ2U+PC9yZWNvcmQ+PC9DaXRlPjwvRW5kTm90ZT4A
</w:fldData>
            </w:fldChar>
          </w:r>
          <w:r>
            <w:instrText xml:space="preserve"> ADDIN EN.CITE </w:instrText>
          </w:r>
          <w:r>
            <w:fldChar w:fldCharType="begin">
              <w:fldData xml:space="preserve">PEVuZE5vdGU+PENpdGU+PEF1dGhvcj5Nb2hlaW1hbmk8L0F1dGhvcj48WWVhcj4yMDE3PC9ZZWFy
PjxSZWNOdW0+OTA3PC9SZWNOdW0+PERpc3BsYXlUZXh0PihNb2hlaW1hbmksIEJoZXRyYXJhdGFu
YSBldCBhbC4gMjAxNyk8L0Rpc3BsYXlUZXh0PjxyZWNvcmQ+PHJlYy1udW1iZXI+OTA3PC9yZWMt
bnVtYmVyPjxmb3JlaWduLWtleXM+PGtleSBhcHA9IkVOIiBkYi1pZD0iOXZzOXB6ZnpuYXB4cGhl
ZmEyOHh6dzk1c2Y1YXYwc3Y5cmR6IiB0aW1lc3RhbXA9IjE1MjExNTkzODciPjkwNzwva2V5Pjwv
Zm9yZWlnbi1rZXlzPjxyZWYtdHlwZSBuYW1lPSJKb3VybmFsIEFydGljbGUiPjE3PC9yZWYtdHlw
ZT48Y29udHJpYnV0b3JzPjxhdXRob3JzPjxhdXRob3I+TW9oZWltYW5pLCBSLiBTLjwvYXV0aG9y
PjxhdXRob3I+QmhldHJhcmF0YW5hLCBNLjwvYXV0aG9yPjxhdXRob3I+UGV0ZXJzLCBLLiBNLjwv
YXV0aG9yPjxhdXRob3I+WWFuZywgQi4gSy48L2F1dGhvcj48YXV0aG9yPllpbiwgRi48L2F1dGhv
cj48YXV0aG9yPkdvcm5iZWluLCBKLjwvYXV0aG9yPjxhdXRob3I+QXJhdWpvLCBKLiBBLjwvYXV0
aG9yPjxhdXRob3I+TWlkZGxla2F1ZmYsIEguIFIuPC9hdXRob3I+PC9hdXRob3JzPjwvY29udHJp
YnV0b3JzPjxhdXRoLWFkZHJlc3M+RGF2aWQgR2VmZmVuIFNjaG9vbCBvZiBNZWRpY2luZSBhdCBV
Q0xBLCBMb3MgQW5nZWxlcywgQ0EuJiN4RDtEaXZpc2lvbiBvZiBDYXJkaW9sb2d5IERlcGFydG1l
bnQgb2YgTWVkaWNpbmUsIERhdmlkIEdlZmZlbiBTY2hvb2wgb2YgTWVkaWNpbmUgYXQgVUNMQSwg
TG9zIEFuZ2VsZXMsIENBLiYjeEQ7RGVwYXJ0bWVudCBvZiBCaW9tYXRoZW1hdGljcywgRGF2aWQg
R2VmZmVuIFNjaG9vbCBvZiBNZWRpY2luZSBhdCBVQ0xBLCBMb3MgQW5nZWxlcywgQ0EuJiN4RDtE
ZXBhcnRtZW50IG9mIEVudmlyb25tZW50YWwgSGVhbHRoIFNjaWVuY2VzLCBTY2hvb2wgb2YgUHVi
bGljIEhlYWx0aCwgTG9zIEFuZ2VsZXMsIENBLiYjeEQ7RGl2aXNpb24gb2YgQ2FyZGlvbG9neSBE
ZXBhcnRtZW50IG9mIE1lZGljaW5lLCBEYXZpZCBHZWZmZW4gU2Nob29sIG9mIE1lZGljaW5lIGF0
IFVDTEEsIExvcyBBbmdlbGVzLCBDQSBobWlkZGxla2F1ZmZAbWVkbmV0LnVjbGEuZWR1LjwvYXV0
aC1hZGRyZXNzPjx0aXRsZXM+PHRpdGxlPlN5bXBhdGhvbWltZXRpYyBFZmZlY3RzIG9mIEFjdXRl
IEUtQ2lnYXJldHRlIFVzZTogUm9sZSBvZiBOaWNvdGluZSBhbmQgTm9uLU5pY290aW5lIENvbnN0
aXR1ZW50czwvdGl0bGU+PHNlY29uZGFyeS10aXRsZT5KIEFtIEhlYXJ0IEFzc29jPC9zZWNvbmRh
cnktdGl0bGU+PGFsdC10aXRsZT5Kb3VybmFsIG9mIHRoZSBBbWVyaWNhbiBIZWFydCBBc3NvY2lh
dGlvbjwvYWx0LXRpdGxlPjwvdGl0bGVzPjxhbHQtcGVyaW9kaWNhbD48ZnVsbC10aXRsZT5Kb3Vy
bmFsIG9mIHRoZSBBbWVyaWNhbiBIZWFydCBBc3NvY2lhdGlvbjwvZnVsbC10aXRsZT48L2FsdC1w
ZXJpb2RpY2FsPjx2b2x1bWU+Njwvdm9sdW1lPjxudW1iZXI+OTwvbnVtYmVyPjxlZGl0aW9uPjIw
MTcvMDkvMjI8L2VkaXRpb24+PGtleXdvcmRzPjxrZXl3b3JkPmVsZWN0cm9uaWMgY2lnYXJldHRl
czwva2V5d29yZD48a2V5d29yZD5oZWFydCByYXRlIHZhcmlhYmlsaXR5PC9rZXl3b3JkPjxrZXl3
b3JkPm5pY290aW5lPC9rZXl3b3JkPjxrZXl3b3JkPm94aWRhbnQgc3RyZXNzPC9rZXl3b3JkPjxr
ZXl3b3JkPnN5bXBhdGhldGljIG5lcnZvdXMgc3lzdGVtPC9rZXl3b3JkPjxrZXl3b3JkPnRvYmFj
Y288L2tleXdvcmQ+PC9rZXl3b3Jkcz48ZGF0ZXM+PHllYXI+MjAxNzwveWVhcj48cHViLWRhdGVz
PjxkYXRlPlNlcCAyMDwvZGF0ZT48L3B1Yi1kYXRlcz48L2RhdGVzPjxpc2JuPjIwNDctOTk4MDwv
aXNibj48YWNjZXNzaW9uLW51bT4yODkzMTUyNzwvYWNjZXNzaW9uLW51bT48dXJscz48L3VybHM+
PGN1c3RvbTI+UE1DNTYzNDI5OTwvY3VzdG9tMj48ZWxlY3Ryb25pYy1yZXNvdXJjZS1udW0+MTAu
MTE2MS9qYWhhLjExNy4wMDY1Nzk8L2VsZWN0cm9uaWMtcmVzb3VyY2UtbnVtPjxyZW1vdGUtZGF0
YWJhc2UtcHJvdmlkZXI+TkxNPC9yZW1vdGUtZGF0YWJhc2UtcHJvdmlkZXI+PGxhbmd1YWdlPmVu
ZzwvbGFuZ3VhZ2U+PC9yZWNvcmQ+PC9DaXRlPjwvRW5kTm90ZT4A
</w:fldData>
            </w:fldChar>
          </w:r>
          <w:r>
            <w:instrText xml:space="preserve"> ADDIN EN.CITE.DATA </w:instrText>
          </w:r>
          <w:r>
            <w:fldChar w:fldCharType="end"/>
          </w:r>
          <w:r>
            <w:fldChar w:fldCharType="separate"/>
          </w:r>
          <w:r>
            <w:rPr>
              <w:noProof/>
            </w:rPr>
            <w:t>(Moheimani, Bhetraratana et al. 2017)</w:t>
          </w:r>
          <w:r>
            <w:fldChar w:fldCharType="end"/>
          </w:r>
          <w:r>
            <w:t xml:space="preserve">, the same group also examined changes in oxidative stress resulting from e-cigarette use in a </w:t>
          </w:r>
          <w:r>
            <w:rPr>
              <w:b/>
            </w:rPr>
            <w:t xml:space="preserve">short-term </w:t>
          </w:r>
          <w:r>
            <w:t xml:space="preserve">laboratory randomised cross-over study with </w:t>
          </w:r>
          <w:r>
            <w:rPr>
              <w:b/>
            </w:rPr>
            <w:t>non-users of e-cigarettes or tobacco</w:t>
          </w:r>
          <w:r>
            <w:t xml:space="preserve"> (included those who had quit </w:t>
          </w:r>
          <w:r>
            <w:rPr>
              <w:rFonts w:cs="Calibri"/>
            </w:rPr>
            <w:t>for more than one</w:t>
          </w:r>
          <w:r>
            <w:t xml:space="preserve"> year) (n= 33). There were </w:t>
          </w:r>
          <w:r>
            <w:rPr>
              <w:b/>
            </w:rPr>
            <w:t>no differences</w:t>
          </w:r>
          <w:r>
            <w:t xml:space="preserve"> found for changes in any measures of oxidative stress or inflammation for e-cigarette with nicotine and e-cigarette without nicotine users, compared to the sham control. </w:t>
          </w:r>
        </w:p>
        <w:p w14:paraId="468AF20D" w14:textId="77777777" w:rsidR="00FD4AE4" w:rsidRDefault="00FD4AE4" w:rsidP="00FD4AE4">
          <w:pPr>
            <w:pStyle w:val="BodyText"/>
          </w:pPr>
        </w:p>
        <w:p w14:paraId="5B74C1BA" w14:textId="77777777" w:rsidR="00FD4AE4" w:rsidRPr="00A411EF" w:rsidRDefault="00FD4AE4" w:rsidP="00FD4AE4">
          <w:pPr>
            <w:pStyle w:val="Heading3"/>
          </w:pPr>
          <w:r w:rsidRPr="00A411EF">
            <w:t>What the new studies add to what is already known about e-cigarettes</w:t>
          </w:r>
        </w:p>
        <w:p w14:paraId="2938D0B7" w14:textId="77777777" w:rsidR="00FD4AE4" w:rsidRDefault="00FD4AE4" w:rsidP="00FD4AE4">
          <w:pPr>
            <w:autoSpaceDE w:val="0"/>
            <w:autoSpaceDN w:val="0"/>
            <w:adjustRightInd w:val="0"/>
            <w:spacing w:after="0" w:line="264" w:lineRule="auto"/>
            <w:rPr>
              <w:rFonts w:asciiTheme="minorHAnsi" w:eastAsiaTheme="minorHAnsi" w:hAnsiTheme="minorHAnsi" w:cstheme="minorHAnsi"/>
              <w:iCs/>
              <w:color w:val="auto"/>
              <w:sz w:val="24"/>
              <w:szCs w:val="24"/>
            </w:rPr>
          </w:pPr>
          <w:r>
            <w:rPr>
              <w:rFonts w:asciiTheme="minorHAnsi" w:eastAsiaTheme="minorHAnsi" w:hAnsiTheme="minorHAnsi" w:cstheme="minorHAnsi"/>
              <w:iCs/>
              <w:color w:val="auto"/>
              <w:sz w:val="24"/>
              <w:szCs w:val="24"/>
            </w:rPr>
            <w:t>The two small studies reviewed here suggest that short-term e-cigarette exposure does not lead to changes in oxidative stress although it may be associated with habitual e-cigarette use.</w:t>
          </w:r>
        </w:p>
        <w:p w14:paraId="03ABD5A6" w14:textId="77777777" w:rsidR="00FD4AE4" w:rsidRDefault="00FD4AE4" w:rsidP="00FD4AE4">
          <w:pPr>
            <w:autoSpaceDE w:val="0"/>
            <w:autoSpaceDN w:val="0"/>
            <w:adjustRightInd w:val="0"/>
            <w:spacing w:after="0" w:line="264" w:lineRule="auto"/>
            <w:rPr>
              <w:rFonts w:asciiTheme="minorHAnsi" w:eastAsiaTheme="minorHAnsi" w:hAnsiTheme="minorHAnsi" w:cstheme="minorHAnsi"/>
              <w:iCs/>
              <w:color w:val="auto"/>
              <w:sz w:val="24"/>
              <w:szCs w:val="24"/>
            </w:rPr>
          </w:pPr>
        </w:p>
        <w:p w14:paraId="722FFA9F" w14:textId="00C14142" w:rsidR="00FD4AE4" w:rsidRDefault="00583373" w:rsidP="00FD4AE4">
          <w:pPr>
            <w:pStyle w:val="Heading2"/>
          </w:pPr>
          <w:bookmarkStart w:id="34" w:name="_Toc516428082"/>
          <w:bookmarkEnd w:id="33"/>
          <w:r>
            <w:t xml:space="preserve"> </w:t>
          </w:r>
          <w:bookmarkStart w:id="35" w:name="_Toc517706639"/>
          <w:r w:rsidR="00FD4AE4">
            <w:t>Oral and gut microbiota</w:t>
          </w:r>
          <w:bookmarkEnd w:id="34"/>
          <w:bookmarkEnd w:id="35"/>
        </w:p>
        <w:p w14:paraId="35AEA43E" w14:textId="77777777" w:rsidR="00FD4AE4" w:rsidRDefault="00FD4AE4" w:rsidP="00FD4AE4">
          <w:pPr>
            <w:pStyle w:val="BodyText"/>
          </w:pPr>
          <w:r>
            <w:t xml:space="preserve">A small US cross-sectional study conducted assessed the effect of use of e-cigarettes on the number and diversity of microbial communities in the oral cavity and gut </w:t>
          </w:r>
          <w:r>
            <w:fldChar w:fldCharType="begin"/>
          </w:r>
          <w:r>
            <w:instrText xml:space="preserve"> ADDIN EN.CITE &lt;EndNote&gt;&lt;Cite&gt;&lt;Author&gt;Stewart&lt;/Author&gt;&lt;Year&gt;2018&lt;/Year&gt;&lt;RecNum&gt;10418&lt;/RecNum&gt;&lt;DisplayText&gt;(Stewart, Auchtung et al. 2018)&lt;/DisplayText&gt;&lt;record&gt;&lt;rec-number&gt;10418&lt;/rec-number&gt;&lt;foreign-keys&gt;&lt;key app="EN" db-id="9z05dz0praadfuee0zoxzedk9zfe5fxx50z5" timestamp="1526869878"&gt;10418&lt;/key&gt;&lt;key app="ENWeb" db-id=""&gt;0&lt;/key&gt;&lt;/foreign-keys&gt;&lt;ref-type name="Journal Article"&gt;17&lt;/ref-type&gt;&lt;contributors&gt;&lt;authors&gt;&lt;author&gt;Stewart, Christopher J.&lt;/author&gt;&lt;author&gt;Auchtung, Thomas A.&lt;/author&gt;&lt;author&gt;Ajami, Nadim J.&lt;/author&gt;&lt;author&gt;Velasquez, Kenia&lt;/author&gt;&lt;author&gt;Smith, Daniel P.&lt;/author&gt;&lt;author&gt;De La Garza, Richard, II&lt;/author&gt;&lt;author&gt;Salas, Ramiro&lt;/author&gt;&lt;author&gt;Petrosino, Joseph F.&lt;/author&gt;&lt;/authors&gt;&lt;/contributors&gt;&lt;titles&gt;&lt;title&gt;Effects of tobacco smoke and electronic cigarette vapor exposure on the oral and gut microbiota in humans: a pilot study&lt;/title&gt;&lt;secondary-title&gt;Peerj&lt;/secondary-title&gt;&lt;/titles&gt;&lt;periodical&gt;&lt;full-title&gt;Peerj&lt;/full-title&gt;&lt;/periodical&gt;&lt;volume&gt;6&lt;/volume&gt;&lt;dates&gt;&lt;year&gt;2018&lt;/year&gt;&lt;pub-dates&gt;&lt;date&gt;Apr 30&lt;/date&gt;&lt;/pub-dates&gt;&lt;/dates&gt;&lt;isbn&gt;2167-8359&lt;/isbn&gt;&lt;accession-num&gt;WOS:000431379100013&lt;/accession-num&gt;&lt;urls&gt;&lt;related-urls&gt;&lt;url&gt;&amp;lt;Go to ISI&amp;gt;://WOS:000431379100013&lt;/url&gt;&lt;url&gt;https://peerj.com/articles/4693.pdf&lt;/url&gt;&lt;/related-urls&gt;&lt;/urls&gt;&lt;custom7&gt;e4693&lt;/custom7&gt;&lt;electronic-resource-num&gt;10.7717/peerj.4693&lt;/electronic-resource-num&gt;&lt;/record&gt;&lt;/Cite&gt;&lt;/EndNote&gt;</w:instrText>
          </w:r>
          <w:r>
            <w:fldChar w:fldCharType="separate"/>
          </w:r>
          <w:r>
            <w:rPr>
              <w:noProof/>
            </w:rPr>
            <w:t>(Stewart, Auchtung et al. 2018)</w:t>
          </w:r>
          <w:r>
            <w:fldChar w:fldCharType="end"/>
          </w:r>
          <w:r>
            <w:t xml:space="preserve">. The study involved ten daily e-cigarette users (daily use for at least 6 months), ten tobacco smokers and ten matched controls. There were no differences in age, gender, diet, BMI or race between the three groups, however there were only two females (6.7% of participants) who took part in the study (one e-cigarette user and one control). Diet was also simply categorised as meat eater, vegetarian and vegan with 90% of e-cigarette users and controls being meat eaters. </w:t>
          </w:r>
        </w:p>
        <w:p w14:paraId="07DFA961" w14:textId="77777777" w:rsidR="00FD4AE4" w:rsidRDefault="00FD4AE4" w:rsidP="00FD4AE4">
          <w:pPr>
            <w:pStyle w:val="BodyText"/>
          </w:pPr>
          <w:r>
            <w:lastRenderedPageBreak/>
            <w:t xml:space="preserve">No differences were found in the bacterial profiles of the fecal samples, buccal swabs or saliva samples of e-cigarette users compared to the control group (p= 0.26, 0.89 and 0.38 for fecal, buccal and saliva samples respectively). Similarly, no differences were observed in the relative abundance of the bacterial genera identified in these samples between the e-cigarette and control groups. </w:t>
          </w:r>
        </w:p>
        <w:p w14:paraId="2A71B353" w14:textId="42B73DAA" w:rsidR="00FD4AE4" w:rsidRDefault="00FD4AE4" w:rsidP="00FD4AE4">
          <w:pPr>
            <w:pStyle w:val="BodyText"/>
          </w:pPr>
          <w:r>
            <w:t>Whilst this study explores an interesting hypothesis, it has a number of significant limitations. Firstly, the small sample size limits the capacity of the study to detect differences between groups. The study has also not considered some important confounders such as socioeconomic status, physical activity and alcohol consumption. Diet, which greatly affects the bacterial communities that exist in the oral cavity and gut, has been crudely controlled for. Large cohort studies are needed to explore the potential relationship between e-cigarette use and the microbiota of the oral cavity and gut appropriately.</w:t>
          </w:r>
          <w:r w:rsidR="008146F9">
            <w:t xml:space="preserve"> </w:t>
          </w:r>
        </w:p>
        <w:p w14:paraId="66F93CC2" w14:textId="77777777" w:rsidR="00094ECE" w:rsidRDefault="00094ECE" w:rsidP="00FD4AE4">
          <w:pPr>
            <w:pStyle w:val="BodyText"/>
          </w:pPr>
        </w:p>
        <w:p w14:paraId="029CD4DE" w14:textId="77777777" w:rsidR="00094ECE" w:rsidRPr="00BA19B5" w:rsidRDefault="00094ECE" w:rsidP="00094ECE">
          <w:pPr>
            <w:pStyle w:val="Heading2"/>
          </w:pPr>
          <w:bookmarkStart w:id="36" w:name="_Toc517706640"/>
          <w:r>
            <w:t>Conclusions</w:t>
          </w:r>
          <w:bookmarkEnd w:id="36"/>
        </w:p>
        <w:p w14:paraId="559EFBD3" w14:textId="77777777" w:rsidR="000F0E2F" w:rsidRDefault="000F0E2F" w:rsidP="00283F5A">
          <w:pPr>
            <w:pStyle w:val="Heading3"/>
          </w:pPr>
          <w:r>
            <w:t>Consistency with previous reviews</w:t>
          </w:r>
        </w:p>
        <w:p w14:paraId="4F2FA9D1" w14:textId="77777777" w:rsidR="00094ECE" w:rsidRDefault="00094ECE" w:rsidP="00094ECE">
          <w:pPr>
            <w:pStyle w:val="BodyText"/>
          </w:pPr>
          <w:r>
            <w:t xml:space="preserve">This update review largely supports the findings and conclusions of other recent reviews with regard to the health effects of e-cigarette use </w:t>
          </w:r>
          <w:r>
            <w:fldChar w:fldCharType="begin"/>
          </w:r>
          <w:r w:rsidR="00903735">
            <w:instrText xml:space="preserve"> ADDIN EN.CITE &lt;EndNote&gt;&lt;Cite&gt;&lt;Author&gt;Stratton&lt;/Author&gt;&lt;Year&gt;2018&lt;/Year&gt;&lt;RecNum&gt;7073&lt;/RecNum&gt;&lt;DisplayText&gt;(McNeill A 2018, Stratton, Kwan et al. 2018)&lt;/DisplayText&gt;&lt;record&gt;&lt;rec-number&gt;7073&lt;/rec-number&gt;&lt;foreign-keys&gt;&lt;key app="EN" db-id="5xv5w5t2bdxtxfezx02xtxdft5rz5ptvvt29" timestamp="1521076678"&gt;7073&lt;/key&gt;&lt;/foreign-keys&gt;&lt;ref-type name="Report"&gt;27&lt;/ref-type&gt;&lt;contributors&gt;&lt;authors&gt;&lt;author&gt;Kathleen Stratton&lt;/author&gt;&lt;author&gt;Leslie Y Kwan&lt;/author&gt;&lt;author&gt;David L Eaton&lt;/author&gt;&lt;/authors&gt;&lt;tertiary-authors&gt;&lt;author&gt;The National Academies Press&lt;/author&gt;&lt;/tertiary-authors&gt;&lt;/contributors&gt;&lt;titles&gt;&lt;title&gt;Public Health Consequences of e-Cigarettes&lt;/title&gt;&lt;/titles&gt;&lt;dates&gt;&lt;year&gt;2018&lt;/year&gt;&lt;/dates&gt;&lt;pub-location&gt;Washington DC&lt;/pub-location&gt;&lt;publisher&gt;Board on Population Health and Public Health Practice, Health and Medicine Division, The National Academies of Sciences, Engineering and Medicine&lt;/publisher&gt;&lt;urls&gt;&lt;/urls&gt;&lt;/record&gt;&lt;/Cite&gt;&lt;Cite&gt;&lt;Author&gt;McNeill A&lt;/Author&gt;&lt;Year&gt;2018&lt;/Year&gt;&lt;RecNum&gt;13025&lt;/RecNum&gt;&lt;record&gt;&lt;rec-number&gt;13025&lt;/rec-number&gt;&lt;foreign-keys&gt;&lt;key app="EN" db-id="5xv5w5t2bdxtxfezx02xtxdft5rz5ptvvt29" timestamp="1524018409"&gt;13025&lt;/key&gt;&lt;/foreign-keys&gt;&lt;ref-type name="Journal Article"&gt;17&lt;/ref-type&gt;&lt;contributors&gt;&lt;authors&gt;&lt;author&gt;McNeill A,  Brose LS, Calder R,  Bauld L, Robson D.&lt;/author&gt;&lt;/authors&gt;&lt;/contributors&gt;&lt;titles&gt;&lt;title&gt;Evidence Review of e-cigarettes and heated tobacco products 2018. A Report comissioned by Public Health England.&lt;/title&gt;&lt;/titles&gt;&lt;dates&gt;&lt;year&gt;2018&lt;/year&gt;&lt;/dates&gt;&lt;urls&gt;&lt;/urls&gt;&lt;/record&gt;&lt;/Cite&gt;&lt;/EndNote&gt;</w:instrText>
          </w:r>
          <w:r>
            <w:fldChar w:fldCharType="separate"/>
          </w:r>
          <w:r>
            <w:rPr>
              <w:noProof/>
            </w:rPr>
            <w:t>(McNeill A 2018, Stratton, Kwan et al. 2018)</w:t>
          </w:r>
          <w:r>
            <w:fldChar w:fldCharType="end"/>
          </w:r>
          <w:r>
            <w:t>. These include:</w:t>
          </w:r>
        </w:p>
        <w:p w14:paraId="72929170" w14:textId="72709637" w:rsidR="00094ECE" w:rsidRPr="00146466" w:rsidRDefault="00094ECE" w:rsidP="00094ECE">
          <w:pPr>
            <w:pStyle w:val="BodyText"/>
            <w:numPr>
              <w:ilvl w:val="0"/>
              <w:numId w:val="30"/>
            </w:numPr>
          </w:pPr>
          <w:r w:rsidRPr="00146466">
            <w:t>The large cross-sectional studies in this review showing a link between asthma and e</w:t>
          </w:r>
          <w:r w:rsidR="00C57508">
            <w:noBreakHyphen/>
          </w:r>
          <w:r w:rsidRPr="00146466">
            <w:t xml:space="preserve">cigarette use in adolescents </w:t>
          </w:r>
          <w:r w:rsidRPr="00146466">
            <w:fldChar w:fldCharType="begin">
              <w:fldData xml:space="preserve">PEVuZE5vdGU+PENpdGU+PEF1dGhvcj5TY2h3ZWl0emVyPC9BdXRob3I+PFllYXI+MjAxNzwvWWVh
cj48UmVjTnVtPjg4NzwvUmVjTnVtPjxEaXNwbGF5VGV4dD4oS2ltLCBTaW0gZXQgYWwuIDIwMTcs
IFNjaHdlaXR6ZXIsIFdpbGxzIGV0IGFsLiAyMDE3KTwvRGlzcGxheVRleHQ+PHJlY29yZD48cmVj
LW51bWJlcj44ODc8L3JlYy1udW1iZXI+PGZvcmVpZ24ta2V5cz48a2V5IGFwcD0iRU4iIGRiLWlk
PSI5dnM5cHpmem5hcHhwaGVmYTI4eHp3OTVzZjVhdjBzdjlyZHoiIHRpbWVzdGFtcD0iMTUyMTE1
OTM4NSI+ODg3PC9rZXk+PC9mb3JlaWduLWtleXM+PHJlZi10eXBlIG5hbWU9IkpvdXJuYWwgQXJ0
aWNsZSI+MTc8L3JlZi10eXBlPjxjb250cmlidXRvcnM+PGF1dGhvcnM+PGF1dGhvcj5TY2h3ZWl0
emVyLCBSLiBKLjwvYXV0aG9yPjxhdXRob3I+V2lsbHMsIFQuIEEuPC9hdXRob3I+PGF1dGhvcj5U
YW0sIEUuPC9hdXRob3I+PGF1dGhvcj5QYWdhbm8sIEkuPC9hdXRob3I+PGF1dGhvcj5DaG9pLCBL
LjwvYXV0aG9yPjwvYXV0aG9ycz48L2NvbnRyaWJ1dG9ycz48YXV0aC1hZGRyZXNzPk9mZmljZSBv
ZiBQdWJsaWMgSGVhbHRoIFN0dWRpZXMsIFVuaXZlcnNpdHkgb2YgSGF3YWlpIGF0IE1hbm9hLCBI
b25vbHVsdSwgSEksIFVTQS4gRWxlY3Ryb25pYyBhZGRyZXNzOiByandpbGxpYUBoYXdhaWkuZWR1
LiYjeEQ7Q2FuY2VyIFByZXZlbnRpb24gaW4gdGhlIFBhY2lmaWMgUHJvZ3JhbSwgVW5pdmVyc2l0
eSBvZiBIYXdhaWkgQ2FuY2VyIENlbnRlciwgSG9ub2x1bHUsIEhJLCBVU0EuJiN4RDtEZXBhcnRt
ZW50IG9mIE1lZGljaW5lLCBKb2huIEEuIEJ1cm5zIFNjaG9vbCBvZiBNZWRpY2luZSwgSG9ub2x1
bHUsIEhJLCBVU0EuJiN4RDtEaXZpc2lvbiBvZiBJbnRyYW11cmFsIFJlc2VhcmNoLCBOYXRpb25h
bCBJbnN0aXR1dGUgb24gTWlub3JpdHkgSGVhbHRoIGFuZCBIZWFsdGggRGlzcGFyaXRpZXMsIEJl
dGhlc2RhLCBNRCwgVVNBLjwvYXV0aC1hZGRyZXNzPjx0aXRsZXM+PHRpdGxlPkUtY2lnYXJldHRl
IHVzZSBhbmQgYXN0aG1hIGluIGEgbXVsdGlldGhuaWMgc2FtcGxlIG9mIGFkb2xlc2NlbnRzPC90
aXRsZT48c2Vjb25kYXJ5LXRpdGxlPlByZXYgTWVkPC9zZWNvbmRhcnktdGl0bGU+PGFsdC10aXRs
ZT5QcmV2ZW50aXZlIG1lZGljaW5lPC9hbHQtdGl0bGU+PC90aXRsZXM+PGFsdC1wZXJpb2RpY2Fs
PjxmdWxsLXRpdGxlPlByZXZlbnRpdmUgTWVkaWNpbmU8L2Z1bGwtdGl0bGU+PC9hbHQtcGVyaW9k
aWNhbD48cGFnZXM+MjI2LTIzMTwvcGFnZXM+PHZvbHVtZT4xMDU8L3ZvbHVtZT48ZWRpdGlvbj4y
MDE3LzEwLzAyPC9lZGl0aW9uPjxrZXl3b3Jkcz48a2V5d29yZD5BZG9sZXNjZW50czwva2V5d29y
ZD48a2V5d29yZD5Bc3RobWE8L2tleXdvcmQ+PGtleXdvcmQ+RS1jaWdhcmV0dGVzPC9rZXl3b3Jk
PjxrZXl3b3JkPkV0aG5pY2l0eTwva2V5d29yZD48L2tleXdvcmRzPjxkYXRlcz48eWVhcj4yMDE3
PC95ZWFyPjxwdWItZGF0ZXM+PGRhdGU+RGVjPC9kYXRlPjwvcHViLWRhdGVzPjwvZGF0ZXM+PGlz
Ym4+MDA5MS03NDM1PC9pc2JuPjxhY2Nlc3Npb24tbnVtPjI4OTY0ODUwPC9hY2Nlc3Npb24tbnVt
Pjx1cmxzPjwvdXJscz48Y3VzdG9tMj5QTUM1NjUzNDMxPC9jdXN0b20yPjxjdXN0b202Pk5JSE1T
OTA4NzQ3PC9jdXN0b202PjxlbGVjdHJvbmljLXJlc291cmNlLW51bT4xMC4xMDE2L2oueXBtZWQu
MjAxNy4wOS4wMjM8L2VsZWN0cm9uaWMtcmVzb3VyY2UtbnVtPjxyZW1vdGUtZGF0YWJhc2UtcHJv
dmlkZXI+TkxNPC9yZW1vdGUtZGF0YWJhc2UtcHJvdmlkZXI+PGxhbmd1YWdlPmVuZzwvbGFuZ3Vh
Z2U+PC9yZWNvcmQ+PC9DaXRlPjxDaXRlPjxBdXRob3I+S2ltPC9BdXRob3I+PFllYXI+MjAxNzwv
WWVhcj48UmVjTnVtPjcwMjwvUmVjTnVtPjxyZWNvcmQ+PHJlYy1udW1iZXI+NzAyPC9yZWMtbnVt
YmVyPjxmb3JlaWduLWtleXM+PGtleSBhcHA9IkVOIiBkYi1pZD0iOXZzOXB6ZnpuYXB4cGhlZmEy
OHh6dzk1c2Y1YXYwc3Y5cmR6IiB0aW1lc3RhbXA9IjE1MjExNTkzNTIiPjcwMjwva2V5PjxrZXkg
YXBwPSJFTldlYiIgZGItaWQ9IiI+MDwva2V5PjwvZm9yZWlnbi1rZXlzPjxyZWYtdHlwZSBuYW1l
PSJKb3VybmFsIEFydGljbGUiPjE3PC9yZWYtdHlwZT48Y29udHJpYnV0b3JzPjxhdXRob3JzPjxh
dXRob3I+S2ltLCBTLiBZLjwvYXV0aG9yPjxhdXRob3I+U2ltLCBTLjwvYXV0aG9yPjxhdXRob3I+
Q2hvaSwgSC4gRy48L2F1dGhvcj48L2F1dGhvcnM+PC9jb250cmlidXRvcnM+PGF1dGgtYWRkcmVz
cz5EZXBhcnRtZW50IG9mIE90b3JoaW5vbGFyeW5nb2xvZ3ktSGVhZCAmYW1wOyBOZWNrIFN1cmdl
cnksIENIQSBCdW5kYW5nIE1lZGljYWwgQ2VudGVyLCBDSEEgVW5pdmVyc2l0eSwgU2VvbmduYW0s
IEtvcmVhLiYjeEQ7RGVwYXJ0bWVudCBvZiBTdGF0aXN0aWNzLCBIYWxseW0gVW5pdmVyc2l0eSwg
Q2h1bmNoZW9uLCBLb3JlYS4mI3hEO0RlcGFydG1lbnQgb2YgT3Rvcmhpbm9sYXJ5bmdvbG9neS1I
ZWFkICZhbXA7IE5lY2sgU3VyZ2VyeSwgSGFsbHltIFVuaXZlcnNpdHkgU2FjcmVkIEhlYXJ0IEhv
c3BpdGFsLCBBbnlhbmcsIEtvcmVhLiBwdXBlbkBuYXZlci5jb20uPC9hdXRoLWFkZHJlc3M+PHRp
dGxlcz48dGl0bGU+QWN0aXZlLCBwYXNzaXZlLCBhbmQgZWxlY3Ryb25pYyBjaWdhcmV0dGUgc21v
a2luZyBpcyBhc3NvY2lhdGVkIHdpdGggYXN0aG1hIGluIGFkb2xlc2NlbnRzPC90aXRsZT48c2Vj
b25kYXJ5LXRpdGxlPlNjaSBSZXA8L3NlY29uZGFyeS10aXRsZT48YWx0LXRpdGxlPlNjaWVudGlm
aWMgcmVwb3J0czwvYWx0LXRpdGxlPjwvdGl0bGVzPjxhbHQtcGVyaW9kaWNhbD48ZnVsbC10aXRs
ZT5TY2llbnRpZmljIFJlcG9ydHM8L2Z1bGwtdGl0bGU+PC9hbHQtcGVyaW9kaWNhbD48cGFnZXM+
MTc3ODk8L3BhZ2VzPjx2b2x1bWU+Nzwvdm9sdW1lPjxudW1iZXI+MTwvbnVtYmVyPjxlZGl0aW9u
PjIwMTcvMTIvMjE8L2VkaXRpb24+PGRhdGVzPjx5ZWFyPjIwMTc8L3llYXI+PHB1Yi1kYXRlcz48
ZGF0ZT5EZWMgMTk8L2RhdGU+PC9wdWItZGF0ZXM+PC9kYXRlcz48aXNibj4yMDQ1LTIzMjI8L2lz
Ym4+PGFjY2Vzc2lvbi1udW0+MjkyNTkyMjE8L2FjY2Vzc2lvbi1udW0+PHVybHM+PC91cmxzPjxj
dXN0b20yPlBNQzU3MzY2ODk8L2N1c3RvbTI+PGVsZWN0cm9uaWMtcmVzb3VyY2UtbnVtPjEwLjEw
MzgvczQxNTk4LTAxNy0xNzk1OC15PC9lbGVjdHJvbmljLXJlc291cmNlLW51bT48cmVtb3RlLWRh
dGFiYXNlLXByb3ZpZGVyPk5MTTwvcmVtb3RlLWRhdGFiYXNlLXByb3ZpZGVyPjxsYW5ndWFnZT5l
bmc8L2xhbmd1YWdlPjwvcmVjb3JkPjwvQ2l0ZT48L0VuZE5vdGU+AG==
</w:fldData>
            </w:fldChar>
          </w:r>
          <w:r w:rsidRPr="00146466">
            <w:instrText xml:space="preserve"> ADDIN EN.CITE </w:instrText>
          </w:r>
          <w:r w:rsidRPr="00146466">
            <w:fldChar w:fldCharType="begin">
              <w:fldData xml:space="preserve">PEVuZE5vdGU+PENpdGU+PEF1dGhvcj5TY2h3ZWl0emVyPC9BdXRob3I+PFllYXI+MjAxNzwvWWVh
cj48UmVjTnVtPjg4NzwvUmVjTnVtPjxEaXNwbGF5VGV4dD4oS2ltLCBTaW0gZXQgYWwuIDIwMTcs
IFNjaHdlaXR6ZXIsIFdpbGxzIGV0IGFsLiAyMDE3KTwvRGlzcGxheVRleHQ+PHJlY29yZD48cmVj
LW51bWJlcj44ODc8L3JlYy1udW1iZXI+PGZvcmVpZ24ta2V5cz48a2V5IGFwcD0iRU4iIGRiLWlk
PSI5dnM5cHpmem5hcHhwaGVmYTI4eHp3OTVzZjVhdjBzdjlyZHoiIHRpbWVzdGFtcD0iMTUyMTE1
OTM4NSI+ODg3PC9rZXk+PC9mb3JlaWduLWtleXM+PHJlZi10eXBlIG5hbWU9IkpvdXJuYWwgQXJ0
aWNsZSI+MTc8L3JlZi10eXBlPjxjb250cmlidXRvcnM+PGF1dGhvcnM+PGF1dGhvcj5TY2h3ZWl0
emVyLCBSLiBKLjwvYXV0aG9yPjxhdXRob3I+V2lsbHMsIFQuIEEuPC9hdXRob3I+PGF1dGhvcj5U
YW0sIEUuPC9hdXRob3I+PGF1dGhvcj5QYWdhbm8sIEkuPC9hdXRob3I+PGF1dGhvcj5DaG9pLCBL
LjwvYXV0aG9yPjwvYXV0aG9ycz48L2NvbnRyaWJ1dG9ycz48YXV0aC1hZGRyZXNzPk9mZmljZSBv
ZiBQdWJsaWMgSGVhbHRoIFN0dWRpZXMsIFVuaXZlcnNpdHkgb2YgSGF3YWlpIGF0IE1hbm9hLCBI
b25vbHVsdSwgSEksIFVTQS4gRWxlY3Ryb25pYyBhZGRyZXNzOiByandpbGxpYUBoYXdhaWkuZWR1
LiYjeEQ7Q2FuY2VyIFByZXZlbnRpb24gaW4gdGhlIFBhY2lmaWMgUHJvZ3JhbSwgVW5pdmVyc2l0
eSBvZiBIYXdhaWkgQ2FuY2VyIENlbnRlciwgSG9ub2x1bHUsIEhJLCBVU0EuJiN4RDtEZXBhcnRt
ZW50IG9mIE1lZGljaW5lLCBKb2huIEEuIEJ1cm5zIFNjaG9vbCBvZiBNZWRpY2luZSwgSG9ub2x1
bHUsIEhJLCBVU0EuJiN4RDtEaXZpc2lvbiBvZiBJbnRyYW11cmFsIFJlc2VhcmNoLCBOYXRpb25h
bCBJbnN0aXR1dGUgb24gTWlub3JpdHkgSGVhbHRoIGFuZCBIZWFsdGggRGlzcGFyaXRpZXMsIEJl
dGhlc2RhLCBNRCwgVVNBLjwvYXV0aC1hZGRyZXNzPjx0aXRsZXM+PHRpdGxlPkUtY2lnYXJldHRl
IHVzZSBhbmQgYXN0aG1hIGluIGEgbXVsdGlldGhuaWMgc2FtcGxlIG9mIGFkb2xlc2NlbnRzPC90
aXRsZT48c2Vjb25kYXJ5LXRpdGxlPlByZXYgTWVkPC9zZWNvbmRhcnktdGl0bGU+PGFsdC10aXRs
ZT5QcmV2ZW50aXZlIG1lZGljaW5lPC9hbHQtdGl0bGU+PC90aXRsZXM+PGFsdC1wZXJpb2RpY2Fs
PjxmdWxsLXRpdGxlPlByZXZlbnRpdmUgTWVkaWNpbmU8L2Z1bGwtdGl0bGU+PC9hbHQtcGVyaW9k
aWNhbD48cGFnZXM+MjI2LTIzMTwvcGFnZXM+PHZvbHVtZT4xMDU8L3ZvbHVtZT48ZWRpdGlvbj4y
MDE3LzEwLzAyPC9lZGl0aW9uPjxrZXl3b3Jkcz48a2V5d29yZD5BZG9sZXNjZW50czwva2V5d29y
ZD48a2V5d29yZD5Bc3RobWE8L2tleXdvcmQ+PGtleXdvcmQ+RS1jaWdhcmV0dGVzPC9rZXl3b3Jk
PjxrZXl3b3JkPkV0aG5pY2l0eTwva2V5d29yZD48L2tleXdvcmRzPjxkYXRlcz48eWVhcj4yMDE3
PC95ZWFyPjxwdWItZGF0ZXM+PGRhdGU+RGVjPC9kYXRlPjwvcHViLWRhdGVzPjwvZGF0ZXM+PGlz
Ym4+MDA5MS03NDM1PC9pc2JuPjxhY2Nlc3Npb24tbnVtPjI4OTY0ODUwPC9hY2Nlc3Npb24tbnVt
Pjx1cmxzPjwvdXJscz48Y3VzdG9tMj5QTUM1NjUzNDMxPC9jdXN0b20yPjxjdXN0b202Pk5JSE1T
OTA4NzQ3PC9jdXN0b202PjxlbGVjdHJvbmljLXJlc291cmNlLW51bT4xMC4xMDE2L2oueXBtZWQu
MjAxNy4wOS4wMjM8L2VsZWN0cm9uaWMtcmVzb3VyY2UtbnVtPjxyZW1vdGUtZGF0YWJhc2UtcHJv
dmlkZXI+TkxNPC9yZW1vdGUtZGF0YWJhc2UtcHJvdmlkZXI+PGxhbmd1YWdlPmVuZzwvbGFuZ3Vh
Z2U+PC9yZWNvcmQ+PC9DaXRlPjxDaXRlPjxBdXRob3I+S2ltPC9BdXRob3I+PFllYXI+MjAxNzwv
WWVhcj48UmVjTnVtPjcwMjwvUmVjTnVtPjxyZWNvcmQ+PHJlYy1udW1iZXI+NzAyPC9yZWMtbnVt
YmVyPjxmb3JlaWduLWtleXM+PGtleSBhcHA9IkVOIiBkYi1pZD0iOXZzOXB6ZnpuYXB4cGhlZmEy
OHh6dzk1c2Y1YXYwc3Y5cmR6IiB0aW1lc3RhbXA9IjE1MjExNTkzNTIiPjcwMjwva2V5PjxrZXkg
YXBwPSJFTldlYiIgZGItaWQ9IiI+MDwva2V5PjwvZm9yZWlnbi1rZXlzPjxyZWYtdHlwZSBuYW1l
PSJKb3VybmFsIEFydGljbGUiPjE3PC9yZWYtdHlwZT48Y29udHJpYnV0b3JzPjxhdXRob3JzPjxh
dXRob3I+S2ltLCBTLiBZLjwvYXV0aG9yPjxhdXRob3I+U2ltLCBTLjwvYXV0aG9yPjxhdXRob3I+
Q2hvaSwgSC4gRy48L2F1dGhvcj48L2F1dGhvcnM+PC9jb250cmlidXRvcnM+PGF1dGgtYWRkcmVz
cz5EZXBhcnRtZW50IG9mIE90b3JoaW5vbGFyeW5nb2xvZ3ktSGVhZCAmYW1wOyBOZWNrIFN1cmdl
cnksIENIQSBCdW5kYW5nIE1lZGljYWwgQ2VudGVyLCBDSEEgVW5pdmVyc2l0eSwgU2VvbmduYW0s
IEtvcmVhLiYjeEQ7RGVwYXJ0bWVudCBvZiBTdGF0aXN0aWNzLCBIYWxseW0gVW5pdmVyc2l0eSwg
Q2h1bmNoZW9uLCBLb3JlYS4mI3hEO0RlcGFydG1lbnQgb2YgT3Rvcmhpbm9sYXJ5bmdvbG9neS1I
ZWFkICZhbXA7IE5lY2sgU3VyZ2VyeSwgSGFsbHltIFVuaXZlcnNpdHkgU2FjcmVkIEhlYXJ0IEhv
c3BpdGFsLCBBbnlhbmcsIEtvcmVhLiBwdXBlbkBuYXZlci5jb20uPC9hdXRoLWFkZHJlc3M+PHRp
dGxlcz48dGl0bGU+QWN0aXZlLCBwYXNzaXZlLCBhbmQgZWxlY3Ryb25pYyBjaWdhcmV0dGUgc21v
a2luZyBpcyBhc3NvY2lhdGVkIHdpdGggYXN0aG1hIGluIGFkb2xlc2NlbnRzPC90aXRsZT48c2Vj
b25kYXJ5LXRpdGxlPlNjaSBSZXA8L3NlY29uZGFyeS10aXRsZT48YWx0LXRpdGxlPlNjaWVudGlm
aWMgcmVwb3J0czwvYWx0LXRpdGxlPjwvdGl0bGVzPjxhbHQtcGVyaW9kaWNhbD48ZnVsbC10aXRs
ZT5TY2llbnRpZmljIFJlcG9ydHM8L2Z1bGwtdGl0bGU+PC9hbHQtcGVyaW9kaWNhbD48cGFnZXM+
MTc3ODk8L3BhZ2VzPjx2b2x1bWU+Nzwvdm9sdW1lPjxudW1iZXI+MTwvbnVtYmVyPjxlZGl0aW9u
PjIwMTcvMTIvMjE8L2VkaXRpb24+PGRhdGVzPjx5ZWFyPjIwMTc8L3llYXI+PHB1Yi1kYXRlcz48
ZGF0ZT5EZWMgMTk8L2RhdGU+PC9wdWItZGF0ZXM+PC9kYXRlcz48aXNibj4yMDQ1LTIzMjI8L2lz
Ym4+PGFjY2Vzc2lvbi1udW0+MjkyNTkyMjE8L2FjY2Vzc2lvbi1udW0+PHVybHM+PC91cmxzPjxj
dXN0b20yPlBNQzU3MzY2ODk8L2N1c3RvbTI+PGVsZWN0cm9uaWMtcmVzb3VyY2UtbnVtPjEwLjEw
MzgvczQxNTk4LTAxNy0xNzk1OC15PC9lbGVjdHJvbmljLXJlc291cmNlLW51bT48cmVtb3RlLWRh
dGFiYXNlLXByb3ZpZGVyPk5MTTwvcmVtb3RlLWRhdGFiYXNlLXByb3ZpZGVyPjxsYW5ndWFnZT5l
bmc8L2xhbmd1YWdlPjwvcmVjb3JkPjwvQ2l0ZT48L0VuZE5vdGU+AG==
</w:fldData>
            </w:fldChar>
          </w:r>
          <w:r w:rsidRPr="00146466">
            <w:instrText xml:space="preserve"> ADDIN EN.CITE.DATA </w:instrText>
          </w:r>
          <w:r w:rsidRPr="00146466">
            <w:fldChar w:fldCharType="end"/>
          </w:r>
          <w:r w:rsidRPr="00146466">
            <w:fldChar w:fldCharType="separate"/>
          </w:r>
          <w:r w:rsidRPr="00146466">
            <w:rPr>
              <w:noProof/>
            </w:rPr>
            <w:t>(Kim, Sim et al. 2017, Schweitzer, Wills et al. 2017)</w:t>
          </w:r>
          <w:r w:rsidRPr="00146466">
            <w:fldChar w:fldCharType="end"/>
          </w:r>
          <w:r w:rsidRPr="00146466">
            <w:t xml:space="preserve"> may represent temporal ordering (i.e. existing asthma prompting switching to e-cigarettes).</w:t>
          </w:r>
        </w:p>
        <w:p w14:paraId="7BE25FB5" w14:textId="50F3D448" w:rsidR="00094ECE" w:rsidRPr="00146466" w:rsidRDefault="00094ECE" w:rsidP="00094ECE">
          <w:pPr>
            <w:pStyle w:val="BodyText"/>
            <w:numPr>
              <w:ilvl w:val="0"/>
              <w:numId w:val="30"/>
            </w:numPr>
          </w:pPr>
          <w:r w:rsidRPr="00146466">
            <w:t xml:space="preserve">The review supported findings on exposure to metals and chemical exposure from </w:t>
          </w:r>
          <w:r w:rsidRPr="0035514A">
            <w:rPr>
              <w:color w:val="auto"/>
            </w:rPr>
            <w:t>e</w:t>
          </w:r>
          <w:r w:rsidR="00C57508" w:rsidRPr="0035514A">
            <w:rPr>
              <w:color w:val="auto"/>
            </w:rPr>
            <w:noBreakHyphen/>
          </w:r>
          <w:r w:rsidRPr="0035514A">
            <w:rPr>
              <w:color w:val="auto"/>
            </w:rPr>
            <w:t xml:space="preserve">cigarette </w:t>
          </w:r>
          <w:r w:rsidRPr="00146466">
            <w:t xml:space="preserve">use regarding aldehydes </w:t>
          </w:r>
          <w:r w:rsidRPr="00146466">
            <w:fldChar w:fldCharType="begin">
              <w:fldData xml:space="preserve">PEVuZE5vdGU+PENpdGU+PEF1dGhvcj5SZWlkZWw8L0F1dGhvcj48WWVhcj4yMDE4PC9ZZWFyPjxS
ZWNOdW0+ODUxPC9SZWNOdW0+PERpc3BsYXlUZXh0PihSZWlkZWwsIFJhZGljaW9uaSBldCBhbC4g
MjAxOCk8L0Rpc3BsYXlUZXh0PjxyZWNvcmQ+PHJlYy1udW1iZXI+ODUxPC9yZWMtbnVtYmVyPjxm
b3JlaWduLWtleXM+PGtleSBhcHA9IkVOIiBkYi1pZD0iOXZzOXB6ZnpuYXB4cGhlZmEyOHh6dzk1
c2Y1YXYwc3Y5cmR6IiB0aW1lc3RhbXA9IjE1MjExNTkzODIiPjg1MTwva2V5PjwvZm9yZWlnbi1r
ZXlzPjxyZWYtdHlwZSBuYW1lPSJKb3VybmFsIEFydGljbGUiPjE3PC9yZWYtdHlwZT48Y29udHJp
YnV0b3JzPjxhdXRob3JzPjxhdXRob3I+UmVpZGVsLCBCLjwvYXV0aG9yPjxhdXRob3I+UmFkaWNp
b25pLCBHLjwvYXV0aG9yPjxhdXRob3I+Q2xhcHAsIFAuIFcuPC9hdXRob3I+PGF1dGhvcj5Gb3Jk
LCBBLiBBLjwvYXV0aG9yPjxhdXRob3I+QWJkZWx3YWhhYiwgUy48L2F1dGhvcj48YXV0aG9yPlJl
YnVsaSwgTS4gRS48L2F1dGhvcj48YXV0aG9yPkhhcmlkYXNzLCBQLjwvYXV0aG9yPjxhdXRob3I+
QWxleGlzLCBOLiBFLjwvYXV0aG9yPjxhdXRob3I+SmFzcGVycywgSS48L2F1dGhvcj48YXV0aG9y
Pktlc2ltZXIsIE0uPC9hdXRob3I+PC9hdXRob3JzPjwvY29udHJpYnV0b3JzPjxhdXRoLWFkZHJl
c3M+MSBNYXJzaWNvIEx1bmcgSW5zdGl0dXRlLiYjeEQ7MiBEZXBhcnRtZW50IG9mIFBhdGhvbG9n
eSBhbmQgTGFib3JhdG9yeSBNZWRpY2luZSwgYW5kLiYjeEQ7MyBEZXBhcnRtZW50IG9mIFBlZGlh
dHJpY3MsIFRoZSBVbml2ZXJzaXR5IG9mIE5vcnRoIENhcm9saW5hIGF0IENoYXBlbCBIaWxsLCBD
aGFwZWwgSGlsbCwgTm9ydGggQ2Fyb2xpbmEuPC9hdXRoLWFkZHJlc3M+PHRpdGxlcz48dGl0bGU+
RS1DaWdhcmV0dGUgVXNlIENhdXNlcyBhIFVuaXF1ZSBJbm5hdGUgSW1tdW5lIFJlc3BvbnNlIGlu
IHRoZSBMdW5nLCBJbnZvbHZpbmcgSW5jcmVhc2VkIE5ldXRyb3BoaWxpYyBBY3RpdmF0aW9uIGFu
ZCBBbHRlcmVkIE11Y2luIFNlY3JldGlvbjwvdGl0bGU+PHNlY29uZGFyeS10aXRsZT5BbSBKIFJl
c3BpciBDcml0IENhcmUgTWVkPC9zZWNvbmRhcnktdGl0bGU+PGFsdC10aXRsZT5BbWVyaWNhbiBq
b3VybmFsIG9mIHJlc3BpcmF0b3J5IGFuZCBjcml0aWNhbCBjYXJlIG1lZGljaW5lPC9hbHQtdGl0
bGU+PC90aXRsZXM+PHBlcmlvZGljYWw+PGZ1bGwtdGl0bGU+QW0gSiBSZXNwaXIgQ3JpdCBDYXJl
IE1lZDwvZnVsbC10aXRsZT48YWJici0xPkFtZXJpY2FuIGpvdXJuYWwgb2YgcmVzcGlyYXRvcnkg
YW5kIGNyaXRpY2FsIGNhcmUgbWVkaWNpbmU8L2FiYnItMT48L3BlcmlvZGljYWw+PGFsdC1wZXJp
b2RpY2FsPjxmdWxsLXRpdGxlPkFtIEogUmVzcGlyIENyaXQgQ2FyZSBNZWQ8L2Z1bGwtdGl0bGU+
PGFiYnItMT5BbWVyaWNhbiBqb3VybmFsIG9mIHJlc3BpcmF0b3J5IGFuZCBjcml0aWNhbCBjYXJl
IG1lZGljaW5lPC9hYmJyLTE+PC9hbHQtcGVyaW9kaWNhbD48cGFnZXM+NDkyLTUwMTwvcGFnZXM+
PHZvbHVtZT4xOTc8L3ZvbHVtZT48bnVtYmVyPjQ8L251bWJlcj48ZWRpdGlvbj4yMDE3LzEwLzIx
PC9lZGl0aW9uPjxrZXl3b3Jkcz48a2V5d29yZD5OZXQ8L2tleXdvcmQ+PGtleXdvcmQ+ZS1jaWdh
cmV0dGU8L2tleXdvcmQ+PGtleXdvcmQ+bHVuZzwva2V5d29yZD48a2V5d29yZD5tdWNpbjwva2V5
d29yZD48a2V5d29yZD5uZXV0cm9waGlsPC9rZXl3b3JkPjwva2V5d29yZHM+PGRhdGVzPjx5ZWFy
PjIwMTg8L3llYXI+PHB1Yi1kYXRlcz48ZGF0ZT5GZWIgMTU8L2RhdGU+PC9wdWItZGF0ZXM+PC9k
YXRlcz48aXNibj4xMDczLTQ0OXg8L2lzYm4+PGFjY2Vzc2lvbi1udW0+MjkwNTMwMjU8L2FjY2Vz
c2lvbi1udW0+PHVybHM+PC91cmxzPjxjdXN0b20yPlBNQzU4MjE5MDk8L2N1c3RvbTI+PGVsZWN0
cm9uaWMtcmVzb3VyY2UtbnVtPjEwLjExNjQvcmNjbS4yMDE3MDgtMTU5ME9DPC9lbGVjdHJvbmlj
LXJlc291cmNlLW51bT48cmVtb3RlLWRhdGFiYXNlLXByb3ZpZGVyPk5MTTwvcmVtb3RlLWRhdGFi
YXNlLXByb3ZpZGVyPjxsYW5ndWFnZT5lbmc8L2xhbmd1YWdlPjwvcmVjb3JkPjwvQ2l0ZT48L0Vu
ZE5vdGU+AG==
</w:fldData>
            </w:fldChar>
          </w:r>
          <w:r w:rsidRPr="00146466">
            <w:instrText xml:space="preserve"> ADDIN EN.CITE </w:instrText>
          </w:r>
          <w:r w:rsidRPr="00146466">
            <w:fldChar w:fldCharType="begin">
              <w:fldData xml:space="preserve">PEVuZE5vdGU+PENpdGU+PEF1dGhvcj5SZWlkZWw8L0F1dGhvcj48WWVhcj4yMDE4PC9ZZWFyPjxS
ZWNOdW0+ODUxPC9SZWNOdW0+PERpc3BsYXlUZXh0PihSZWlkZWwsIFJhZGljaW9uaSBldCBhbC4g
MjAxOCk8L0Rpc3BsYXlUZXh0PjxyZWNvcmQ+PHJlYy1udW1iZXI+ODUxPC9yZWMtbnVtYmVyPjxm
b3JlaWduLWtleXM+PGtleSBhcHA9IkVOIiBkYi1pZD0iOXZzOXB6ZnpuYXB4cGhlZmEyOHh6dzk1
c2Y1YXYwc3Y5cmR6IiB0aW1lc3RhbXA9IjE1MjExNTkzODIiPjg1MTwva2V5PjwvZm9yZWlnbi1r
ZXlzPjxyZWYtdHlwZSBuYW1lPSJKb3VybmFsIEFydGljbGUiPjE3PC9yZWYtdHlwZT48Y29udHJp
YnV0b3JzPjxhdXRob3JzPjxhdXRob3I+UmVpZGVsLCBCLjwvYXV0aG9yPjxhdXRob3I+UmFkaWNp
b25pLCBHLjwvYXV0aG9yPjxhdXRob3I+Q2xhcHAsIFAuIFcuPC9hdXRob3I+PGF1dGhvcj5Gb3Jk
LCBBLiBBLjwvYXV0aG9yPjxhdXRob3I+QWJkZWx3YWhhYiwgUy48L2F1dGhvcj48YXV0aG9yPlJl
YnVsaSwgTS4gRS48L2F1dGhvcj48YXV0aG9yPkhhcmlkYXNzLCBQLjwvYXV0aG9yPjxhdXRob3I+
QWxleGlzLCBOLiBFLjwvYXV0aG9yPjxhdXRob3I+SmFzcGVycywgSS48L2F1dGhvcj48YXV0aG9y
Pktlc2ltZXIsIE0uPC9hdXRob3I+PC9hdXRob3JzPjwvY29udHJpYnV0b3JzPjxhdXRoLWFkZHJl
c3M+MSBNYXJzaWNvIEx1bmcgSW5zdGl0dXRlLiYjeEQ7MiBEZXBhcnRtZW50IG9mIFBhdGhvbG9n
eSBhbmQgTGFib3JhdG9yeSBNZWRpY2luZSwgYW5kLiYjeEQ7MyBEZXBhcnRtZW50IG9mIFBlZGlh
dHJpY3MsIFRoZSBVbml2ZXJzaXR5IG9mIE5vcnRoIENhcm9saW5hIGF0IENoYXBlbCBIaWxsLCBD
aGFwZWwgSGlsbCwgTm9ydGggQ2Fyb2xpbmEuPC9hdXRoLWFkZHJlc3M+PHRpdGxlcz48dGl0bGU+
RS1DaWdhcmV0dGUgVXNlIENhdXNlcyBhIFVuaXF1ZSBJbm5hdGUgSW1tdW5lIFJlc3BvbnNlIGlu
IHRoZSBMdW5nLCBJbnZvbHZpbmcgSW5jcmVhc2VkIE5ldXRyb3BoaWxpYyBBY3RpdmF0aW9uIGFu
ZCBBbHRlcmVkIE11Y2luIFNlY3JldGlvbjwvdGl0bGU+PHNlY29uZGFyeS10aXRsZT5BbSBKIFJl
c3BpciBDcml0IENhcmUgTWVkPC9zZWNvbmRhcnktdGl0bGU+PGFsdC10aXRsZT5BbWVyaWNhbiBq
b3VybmFsIG9mIHJlc3BpcmF0b3J5IGFuZCBjcml0aWNhbCBjYXJlIG1lZGljaW5lPC9hbHQtdGl0
bGU+PC90aXRsZXM+PHBlcmlvZGljYWw+PGZ1bGwtdGl0bGU+QW0gSiBSZXNwaXIgQ3JpdCBDYXJl
IE1lZDwvZnVsbC10aXRsZT48YWJici0xPkFtZXJpY2FuIGpvdXJuYWwgb2YgcmVzcGlyYXRvcnkg
YW5kIGNyaXRpY2FsIGNhcmUgbWVkaWNpbmU8L2FiYnItMT48L3BlcmlvZGljYWw+PGFsdC1wZXJp
b2RpY2FsPjxmdWxsLXRpdGxlPkFtIEogUmVzcGlyIENyaXQgQ2FyZSBNZWQ8L2Z1bGwtdGl0bGU+
PGFiYnItMT5BbWVyaWNhbiBqb3VybmFsIG9mIHJlc3BpcmF0b3J5IGFuZCBjcml0aWNhbCBjYXJl
IG1lZGljaW5lPC9hYmJyLTE+PC9hbHQtcGVyaW9kaWNhbD48cGFnZXM+NDkyLTUwMTwvcGFnZXM+
PHZvbHVtZT4xOTc8L3ZvbHVtZT48bnVtYmVyPjQ8L251bWJlcj48ZWRpdGlvbj4yMDE3LzEwLzIx
PC9lZGl0aW9uPjxrZXl3b3Jkcz48a2V5d29yZD5OZXQ8L2tleXdvcmQ+PGtleXdvcmQ+ZS1jaWdh
cmV0dGU8L2tleXdvcmQ+PGtleXdvcmQ+bHVuZzwva2V5d29yZD48a2V5d29yZD5tdWNpbjwva2V5
d29yZD48a2V5d29yZD5uZXV0cm9waGlsPC9rZXl3b3JkPjwva2V5d29yZHM+PGRhdGVzPjx5ZWFy
PjIwMTg8L3llYXI+PHB1Yi1kYXRlcz48ZGF0ZT5GZWIgMTU8L2RhdGU+PC9wdWItZGF0ZXM+PC9k
YXRlcz48aXNibj4xMDczLTQ0OXg8L2lzYm4+PGFjY2Vzc2lvbi1udW0+MjkwNTMwMjU8L2FjY2Vz
c2lvbi1udW0+PHVybHM+PC91cmxzPjxjdXN0b20yPlBNQzU4MjE5MDk8L2N1c3RvbTI+PGVsZWN0
cm9uaWMtcmVzb3VyY2UtbnVtPjEwLjExNjQvcmNjbS4yMDE3MDgtMTU5ME9DPC9lbGVjdHJvbmlj
LXJlc291cmNlLW51bT48cmVtb3RlLWRhdGFiYXNlLXByb3ZpZGVyPk5MTTwvcmVtb3RlLWRhdGFi
YXNlLXByb3ZpZGVyPjxsYW5ndWFnZT5lbmc8L2xhbmd1YWdlPjwvcmVjb3JkPjwvQ2l0ZT48L0Vu
ZE5vdGU+AG==
</w:fldData>
            </w:fldChar>
          </w:r>
          <w:r w:rsidRPr="00146466">
            <w:instrText xml:space="preserve"> ADDIN EN.CITE.DATA </w:instrText>
          </w:r>
          <w:r w:rsidRPr="00146466">
            <w:fldChar w:fldCharType="end"/>
          </w:r>
          <w:r w:rsidRPr="00146466">
            <w:fldChar w:fldCharType="separate"/>
          </w:r>
          <w:r w:rsidRPr="00146466">
            <w:rPr>
              <w:noProof/>
            </w:rPr>
            <w:t>(Reidel, Radicioni et al. 2018)</w:t>
          </w:r>
          <w:r w:rsidRPr="00146466">
            <w:fldChar w:fldCharType="end"/>
          </w:r>
          <w:r w:rsidRPr="00146466">
            <w:t xml:space="preserve"> .</w:t>
          </w:r>
        </w:p>
        <w:p w14:paraId="367EA3DB" w14:textId="77777777" w:rsidR="00094ECE" w:rsidRPr="00146466" w:rsidRDefault="00094ECE" w:rsidP="00094ECE">
          <w:pPr>
            <w:pStyle w:val="BodyText"/>
            <w:numPr>
              <w:ilvl w:val="0"/>
              <w:numId w:val="30"/>
            </w:numPr>
          </w:pPr>
          <w:r w:rsidRPr="00146466">
            <w:t xml:space="preserve">Exposure to nickel has previously been associated with e-cigarette use </w:t>
          </w:r>
          <w:r w:rsidRPr="00146466">
            <w:fldChar w:fldCharType="begin"/>
          </w:r>
          <w:r w:rsidR="00903735">
            <w:instrText xml:space="preserve"> ADDIN EN.CITE &lt;EndNote&gt;&lt;Cite&gt;&lt;Author&gt;Stratton&lt;/Author&gt;&lt;Year&gt;2018&lt;/Year&gt;&lt;RecNum&gt;7073&lt;/RecNum&gt;&lt;DisplayText&gt;(Stratton, Kwan et al. 2018)&lt;/DisplayText&gt;&lt;record&gt;&lt;rec-number&gt;7073&lt;/rec-number&gt;&lt;foreign-keys&gt;&lt;key app="EN" db-id="5xv5w5t2bdxtxfezx02xtxdft5rz5ptvvt29" timestamp="1521076678"&gt;7073&lt;/key&gt;&lt;/foreign-keys&gt;&lt;ref-type name="Report"&gt;27&lt;/ref-type&gt;&lt;contributors&gt;&lt;authors&gt;&lt;author&gt;Kathleen Stratton&lt;/author&gt;&lt;author&gt;Leslie Y Kwan&lt;/author&gt;&lt;author&gt;David L Eaton&lt;/author&gt;&lt;/authors&gt;&lt;tertiary-authors&gt;&lt;author&gt;The National Academies Press&lt;/author&gt;&lt;/tertiary-authors&gt;&lt;/contributors&gt;&lt;titles&gt;&lt;title&gt;Public Health Consequences of e-Cigarettes&lt;/title&gt;&lt;/titles&gt;&lt;dates&gt;&lt;year&gt;2018&lt;/year&gt;&lt;/dates&gt;&lt;pub-location&gt;Washington DC&lt;/pub-location&gt;&lt;publisher&gt;Board on Population Health and Public Health Practice, Health and Medicine Division, The National Academies of Sciences, Engineering and Medicine&lt;/publisher&gt;&lt;urls&gt;&lt;/urls&gt;&lt;/record&gt;&lt;/Cite&gt;&lt;/EndNote&gt;</w:instrText>
          </w:r>
          <w:r w:rsidRPr="00146466">
            <w:fldChar w:fldCharType="separate"/>
          </w:r>
          <w:r w:rsidRPr="00146466">
            <w:rPr>
              <w:noProof/>
            </w:rPr>
            <w:t>(Stratton, Kwan et al. 2018)</w:t>
          </w:r>
          <w:r w:rsidRPr="00146466">
            <w:fldChar w:fldCharType="end"/>
          </w:r>
          <w:r w:rsidRPr="00146466">
            <w:t>.</w:t>
          </w:r>
        </w:p>
        <w:p w14:paraId="3360E133" w14:textId="77777777" w:rsidR="00094ECE" w:rsidRPr="00146466" w:rsidRDefault="00094ECE" w:rsidP="00094ECE">
          <w:pPr>
            <w:pStyle w:val="BodyText"/>
            <w:numPr>
              <w:ilvl w:val="0"/>
              <w:numId w:val="30"/>
            </w:numPr>
          </w:pPr>
          <w:r w:rsidRPr="00146466">
            <w:t>More research is required on the role of e-cigarettes and throat infections.</w:t>
          </w:r>
        </w:p>
        <w:p w14:paraId="26AC36CC" w14:textId="77777777" w:rsidR="00094ECE" w:rsidRPr="00146466" w:rsidRDefault="00094ECE" w:rsidP="00094ECE">
          <w:pPr>
            <w:pStyle w:val="BodyText"/>
            <w:numPr>
              <w:ilvl w:val="0"/>
              <w:numId w:val="30"/>
            </w:numPr>
          </w:pPr>
          <w:r w:rsidRPr="00146466">
            <w:t xml:space="preserve">The general poor quality </w:t>
          </w:r>
          <w:r w:rsidRPr="00146466">
            <w:fldChar w:fldCharType="begin"/>
          </w:r>
          <w:r w:rsidRPr="00146466">
            <w:instrText xml:space="preserve"> ADDIN EN.CITE &lt;EndNote&gt;&lt;Cite&gt;&lt;Author&gt;McNeill A&lt;/Author&gt;&lt;Year&gt;2018&lt;/Year&gt;&lt;RecNum&gt;13025&lt;/RecNum&gt;&lt;DisplayText&gt;(McNeill A 2018)&lt;/DisplayText&gt;&lt;record&gt;&lt;rec-number&gt;13025&lt;/rec-number&gt;&lt;foreign-keys&gt;&lt;key app="EN" db-id="5xv5w5t2bdxtxfezx02xtxdft5rz5ptvvt29" timestamp="1524018409"&gt;13025&lt;/key&gt;&lt;/foreign-keys&gt;&lt;ref-type name="Journal Article"&gt;17&lt;/ref-type&gt;&lt;contributors&gt;&lt;authors&gt;&lt;author&gt;McNeill A,  Brose LS, Calder R,  Bauld L, Robson D.&lt;/author&gt;&lt;/authors&gt;&lt;/contributors&gt;&lt;titles&gt;&lt;title&gt;Evidence Review of e-cigarettes and heated tobacco products 2018. A Report comissioned by Public Health England.&lt;/title&gt;&lt;/titles&gt;&lt;dates&gt;&lt;year&gt;2018&lt;/year&gt;&lt;/dates&gt;&lt;urls&gt;&lt;/urls&gt;&lt;/record&gt;&lt;/Cite&gt;&lt;/EndNote&gt;</w:instrText>
          </w:r>
          <w:r w:rsidRPr="00146466">
            <w:fldChar w:fldCharType="separate"/>
          </w:r>
          <w:r w:rsidRPr="00146466">
            <w:rPr>
              <w:noProof/>
            </w:rPr>
            <w:t>(McNeill A 2018)</w:t>
          </w:r>
          <w:r w:rsidRPr="00146466">
            <w:fldChar w:fldCharType="end"/>
          </w:r>
          <w:r w:rsidRPr="00146466">
            <w:t xml:space="preserve">, small size or short-term nature of the studies reviewed – more prospective cohort studies and larger studies </w:t>
          </w:r>
          <w:r w:rsidRPr="0035514A">
            <w:t>that are not industry funded</w:t>
          </w:r>
          <w:r w:rsidRPr="00146466">
            <w:t xml:space="preserve"> are required. </w:t>
          </w:r>
        </w:p>
        <w:p w14:paraId="37BEFEB6" w14:textId="77777777" w:rsidR="00094ECE" w:rsidRPr="00094ECE" w:rsidRDefault="00094ECE" w:rsidP="00094ECE">
          <w:pPr>
            <w:pStyle w:val="BodyText"/>
          </w:pPr>
        </w:p>
        <w:p w14:paraId="353E5459" w14:textId="77777777" w:rsidR="000F0E2F" w:rsidRDefault="000F0E2F" w:rsidP="00283F5A">
          <w:pPr>
            <w:pStyle w:val="Heading3"/>
          </w:pPr>
          <w:r w:rsidRPr="00283F5A">
            <w:t>Findings and new areas</w:t>
          </w:r>
          <w:r>
            <w:t xml:space="preserve"> not previously considered in other reviews</w:t>
          </w:r>
        </w:p>
        <w:p w14:paraId="3336B812" w14:textId="77777777" w:rsidR="00094ECE" w:rsidRDefault="00094ECE" w:rsidP="00094ECE">
          <w:pPr>
            <w:pStyle w:val="BodyText"/>
          </w:pPr>
          <w:r>
            <w:t>Some new studies in this review have highlighted potential issues of concern in the following areas:</w:t>
          </w:r>
        </w:p>
        <w:p w14:paraId="554046EE" w14:textId="77777777" w:rsidR="00094ECE" w:rsidRDefault="00094ECE" w:rsidP="00094ECE">
          <w:pPr>
            <w:pStyle w:val="BodyText"/>
            <w:numPr>
              <w:ilvl w:val="0"/>
              <w:numId w:val="31"/>
            </w:numPr>
          </w:pPr>
          <w:r>
            <w:t>Wound healing following surgery – while the evidence is only based on case studies, this may have implications for e-cigarette use following surgery.</w:t>
          </w:r>
        </w:p>
        <w:p w14:paraId="1DEE01BD" w14:textId="77777777" w:rsidR="00094ECE" w:rsidRDefault="00094ECE" w:rsidP="00094ECE">
          <w:pPr>
            <w:pStyle w:val="BodyText"/>
            <w:numPr>
              <w:ilvl w:val="0"/>
              <w:numId w:val="31"/>
            </w:numPr>
          </w:pPr>
          <w:r>
            <w:lastRenderedPageBreak/>
            <w:t xml:space="preserve">Exposure to particular carcinogenic compounds </w:t>
          </w:r>
          <w:r>
            <w:fldChar w:fldCharType="begin"/>
          </w:r>
          <w:r>
            <w:instrText xml:space="preserve"> ADDIN EN.CITE &lt;EndNote&gt;&lt;Cite&gt;&lt;Author&gt;Fuller&lt;/Author&gt;&lt;Year&gt;2017&lt;/Year&gt;&lt;RecNum&gt;1957&lt;/RecNum&gt;&lt;DisplayText&gt;(Fuller, Acharya et al. 2017)&lt;/DisplayText&gt;&lt;record&gt;&lt;rec-number&gt;1957&lt;/rec-number&gt;&lt;foreign-keys&gt;&lt;key app="EN" db-id="9vs9pzfznapxphefa28xzw95sf5av0sv9rdz" timestamp="1521159490"&gt;1957&lt;/key&gt;&lt;key app="ENWeb" db-id=""&gt;0&lt;/key&gt;&lt;/foreign-keys&gt;&lt;ref-type name="Journal Article"&gt;17&lt;/ref-type&gt;&lt;contributors&gt;&lt;authors&gt;&lt;author&gt;Fuller, Thomas&lt;/author&gt;&lt;author&gt;Acharya, Abhinav&lt;/author&gt;&lt;author&gt;Bhaskar, Godugu&lt;/author&gt;&lt;author&gt;Yu, Michelle&lt;/author&gt;&lt;author&gt;Little, Steven&lt;/author&gt;&lt;author&gt;Tarin, Tatum&lt;/author&gt;&lt;/authors&gt;&lt;/contributors&gt;&lt;titles&gt;&lt;title&gt;Evaluation of e-cigarettes users urine for known bladder carcinogens&lt;/title&gt;&lt;secondary-title&gt;Journal of Urology&lt;/secondary-title&gt;&lt;/titles&gt;&lt;periodical&gt;&lt;full-title&gt;Journal of Urology&lt;/full-title&gt;&lt;/periodical&gt;&lt;pages&gt;E1179-E1179&lt;/pages&gt;&lt;volume&gt;197&lt;/volume&gt;&lt;number&gt;4&lt;/number&gt;&lt;dates&gt;&lt;year&gt;2017&lt;/year&gt;&lt;pub-dates&gt;&lt;date&gt;Apr&lt;/date&gt;&lt;/pub-dates&gt;&lt;/dates&gt;&lt;isbn&gt;0022-5347&lt;/isbn&gt;&lt;accession-num&gt;WOS:000398276605038&lt;/accession-num&gt;&lt;urls&gt;&lt;related-urls&gt;&lt;url&gt;&amp;lt;Go to ISI&amp;gt;://WOS:000398276605038&lt;/url&gt;&lt;/related-urls&gt;&lt;/urls&gt;&lt;electronic-resource-num&gt;10.1016/j.juro.2017.02.2739&lt;/electronic-resource-num&gt;&lt;/record&gt;&lt;/Cite&gt;&lt;/EndNote&gt;</w:instrText>
          </w:r>
          <w:r>
            <w:fldChar w:fldCharType="separate"/>
          </w:r>
          <w:r>
            <w:rPr>
              <w:noProof/>
            </w:rPr>
            <w:t>(Fuller, Acharya et al. 2017)</w:t>
          </w:r>
          <w:r>
            <w:fldChar w:fldCharType="end"/>
          </w:r>
          <w:r>
            <w:t xml:space="preserve"> and flame retardants from e-cigarette use </w:t>
          </w:r>
          <w:r>
            <w:fldChar w:fldCharType="begin">
              <w:fldData xml:space="preserve">PEVuZE5vdGU+PENpdGU+PEF1dGhvcj5XZWk8L0F1dGhvcj48WWVhcj4yMDE4PC9ZZWFyPjxSZWNO
dW0+MTE0NjY8L1JlY051bT48RGlzcGxheVRleHQ+KFdlaSwgR29uaWV3aWN6IGV0IGFsLiAyMDE4
KTwvRGlzcGxheVRleHQ+PHJlY29yZD48cmVjLW51bWJlcj4xMTQ2NjwvcmVjLW51bWJlcj48Zm9y
ZWlnbi1rZXlzPjxrZXkgYXBwPSJFTiIgZGItaWQ9IjV4djV3NXQyYmR4dHhmZXp4MDJ4dHhkZnQ1
cno1cHR2dnQyOSIgdGltZXN0YW1wPSIxNTIzODYyMTg4Ij4xMTQ2Njwva2V5PjxrZXkgYXBwPSJF
TldlYiIgZGItaWQ9IiI+MDwva2V5PjwvZm9yZWlnbi1rZXlzPjxyZWYtdHlwZSBuYW1lPSJKb3Vy
bmFsIEFydGljbGUiPjE3PC9yZWYtdHlwZT48Y29udHJpYnV0b3JzPjxhdXRob3JzPjxhdXRob3I+
V2VpLCBCLjwvYXV0aG9yPjxhdXRob3I+R29uaWV3aWN6LCBNLiBMLjwvYXV0aG9yPjxhdXRob3I+
T+KAmUNvbm5vciwgUi4gSi48L2F1dGhvcj48YXV0aG9yPlRyYXZlcnMsIE0uIEouPC9hdXRob3I+
PGF1dGhvcj5IeWxhbmQsIEEuIEouPC9hdXRob3I+PC9hdXRob3JzPjwvY29udHJpYnV0b3JzPjx0
aXRsZXM+PHRpdGxlPlVyaW5hcnkgbWV0YWJvbGl0ZSBsZXZlbHMgb2YgZmxhbWUgcmV0YXJkYW50
cyBpbiBlbGVjdHJvbmljIGNpZ2FyZXR0ZSB1c2VyczogQSBzdHVkeSB1c2luZyB0aGUgZGF0YSBm
cm9tIE5IQU5FUyAyMDEz4oCTMjAxNDwvdGl0bGU+PHNlY29uZGFyeS10aXRsZT5JbnRlcm5hdGlv
bmFsIEpvdXJuYWwgb2YgRW52aXJvbm1lbnRhbCBSZXNlYXJjaCBhbmQgUHVibGljIEhlYWx0aDwv
c2Vjb25kYXJ5LXRpdGxlPjwvdGl0bGVzPjxwZXJpb2RpY2FsPjxmdWxsLXRpdGxlPkludCBKIEVu
dmlyb24gUmVzIFB1YmxpYyBIZWFsdGg8L2Z1bGwtdGl0bGU+PGFiYnItMT5JbnRlcm5hdGlvbmFs
IGpvdXJuYWwgb2YgZW52aXJvbm1lbnRhbCByZXNlYXJjaCBhbmQgcHVibGljIGhlYWx0aDwvYWJi
ci0xPjwvcGVyaW9kaWNhbD48dm9sdW1lPjE1PC92b2x1bWU+PG51bWJlcj4yPC9udW1iZXI+PGtl
eXdvcmRzPjxrZXl3b3JkPmJpcygxLDMgZGljaGxvcm8gMiBwcm9weWwpcGhvc3BoYXRlPC9rZXl3
b3JkPjxrZXl3b3JkPmJpcygyIGNobG9yb2V0aHlsKXBob3NwaGF0ZTwva2V5d29yZD48a2V5d29y
ZD5kaWJ1dHlscGhvc3BoYXRlPC9rZXl3b3JkPjxrZXl3b3JkPmRpcGhlbnlscGhvc3BoYXRlPC9r
ZXl3b3JkPjxrZXl3b3JkPmZsYW1lIHJldGFyZGFudDwva2V5d29yZD48a2V5d29yZD5vcmdhbm9w
aG9zcGhhdGU8L2tleXdvcmQ+PGtleXdvcmQ+cGhvc3Bob3JpYyBhY2lkIHRyaXMoMiBjaGxvcm9l
dGh5bCkgZXN0ZXI8L2tleXdvcmQ+PGtleXdvcmQ+dW5jbGFzc2lmaWVkIGRydWc8L2tleXdvcmQ+
PGtleXdvcmQ+YmlvbWFya2VyPC9rZXl3b3JkPjxrZXl3b3JkPmNvbmNlbnRyYXRpb24gKGNvbXBv
c2l0aW9uKTwva2V5d29yZD48a2V5d29yZD5oZWFsdGggcmlzazwva2V5d29yZD48a2V5d29yZD5t
ZXRhYm9saXRlPC9rZXl3b3JkPjxrZXl3b3JkPnB1YmxpYyBoZWFsdGg8L2tleXdvcmQ+PGtleXdv
cmQ+dG9iYWNjbzwva2V5d29yZD48a2V5d29yZD51cmluZTwva2V5d29yZD48a2V5d29yZD5hZHVs
dDwva2V5d29yZD48a2V5d29yZD5BcnRpY2xlPC9rZXl3b3JkPjxrZXl3b3JkPmJvZHkgYnVyZGVu
PC9rZXl3b3JkPjxrZXl3b3JkPmNpZ2FyIHNtb2tpbmc8L2tleXdvcmQ+PGtleXdvcmQ+Y2lnYXJl
dHRlIHNtb2tpbmc8L2tleXdvcmQ+PGtleXdvcmQ+Y29udHJvbGxlZCBzdHVkeTwva2V5d29yZD48
a2V5d29yZD5mZW1hbGU8L2tleXdvcmQ+PGtleXdvcmQ+aHVtYW48L2tleXdvcmQ+PGtleXdvcmQ+
bWFsZTwva2V5d29yZD48a2V5d29yZD5waWxvdCBzdHVkeTwva2V5d29yZD48a2V5d29yZD5zbW9r
ZWxlc3MgdG9iYWNjbzwva2V5d29yZD48a2V5d29yZD51cmluYWx5c2lzPC9rZXl3b3JkPjxrZXl3
b3JkPnZhcGluZzwva2V5d29yZD48a2V5d29yZD5OaWNvdGlhbmEgdGFiYWN1bTwva2V5d29yZD48
L2tleXdvcmRzPjxkYXRlcz48eWVhcj4yMDE4PC95ZWFyPjwvZGF0ZXM+PHVybHM+PHJlbGF0ZWQt
dXJscz48dXJsPmh0dHBzOi8vd3d3LnNjb3B1cy5jb20vaW53YXJkL3JlY29yZC51cmk/ZWlkPTIt
czIuMC04NTA0MTExNTY2MCZhbXA7ZG9pPTEwLjMzOTAlMmZpamVycGgxNTAyMDIwMSZhbXA7cGFy
dG5lcklEPTQwJmFtcDttZDU9MGQzNDZjYzNkOTk3NmU5MTNkODMyZTkxMjk2NDFjMzM8L3VybD48
L3JlbGF0ZWQtdXJscz48L3VybHM+PGVsZWN0cm9uaWMtcmVzb3VyY2UtbnVtPjEwLjMzOTAvaWpl
cnBoMTUwMjAyMDE8L2VsZWN0cm9uaWMtcmVzb3VyY2UtbnVtPjxyZW1vdGUtZGF0YWJhc2UtbmFt
ZT5TY29wdXMgQzcgLSAyMDE8L3JlbW90ZS1kYXRhYmFzZS1uYW1lPjwvcmVjb3JkPjwvQ2l0ZT48
L0VuZE5vdGU+AG==
</w:fldData>
            </w:fldChar>
          </w:r>
          <w:r w:rsidR="00903735">
            <w:instrText xml:space="preserve"> ADDIN EN.CITE </w:instrText>
          </w:r>
          <w:r w:rsidR="00903735">
            <w:fldChar w:fldCharType="begin">
              <w:fldData xml:space="preserve">PEVuZE5vdGU+PENpdGU+PEF1dGhvcj5XZWk8L0F1dGhvcj48WWVhcj4yMDE4PC9ZZWFyPjxSZWNO
dW0+MTE0NjY8L1JlY051bT48RGlzcGxheVRleHQ+KFdlaSwgR29uaWV3aWN6IGV0IGFsLiAyMDE4
KTwvRGlzcGxheVRleHQ+PHJlY29yZD48cmVjLW51bWJlcj4xMTQ2NjwvcmVjLW51bWJlcj48Zm9y
ZWlnbi1rZXlzPjxrZXkgYXBwPSJFTiIgZGItaWQ9IjV4djV3NXQyYmR4dHhmZXp4MDJ4dHhkZnQ1
cno1cHR2dnQyOSIgdGltZXN0YW1wPSIxNTIzODYyMTg4Ij4xMTQ2Njwva2V5PjxrZXkgYXBwPSJF
TldlYiIgZGItaWQ9IiI+MDwva2V5PjwvZm9yZWlnbi1rZXlzPjxyZWYtdHlwZSBuYW1lPSJKb3Vy
bmFsIEFydGljbGUiPjE3PC9yZWYtdHlwZT48Y29udHJpYnV0b3JzPjxhdXRob3JzPjxhdXRob3I+
V2VpLCBCLjwvYXV0aG9yPjxhdXRob3I+R29uaWV3aWN6LCBNLiBMLjwvYXV0aG9yPjxhdXRob3I+
T+KAmUNvbm5vciwgUi4gSi48L2F1dGhvcj48YXV0aG9yPlRyYXZlcnMsIE0uIEouPC9hdXRob3I+
PGF1dGhvcj5IeWxhbmQsIEEuIEouPC9hdXRob3I+PC9hdXRob3JzPjwvY29udHJpYnV0b3JzPjx0
aXRsZXM+PHRpdGxlPlVyaW5hcnkgbWV0YWJvbGl0ZSBsZXZlbHMgb2YgZmxhbWUgcmV0YXJkYW50
cyBpbiBlbGVjdHJvbmljIGNpZ2FyZXR0ZSB1c2VyczogQSBzdHVkeSB1c2luZyB0aGUgZGF0YSBm
cm9tIE5IQU5FUyAyMDEz4oCTMjAxNDwvdGl0bGU+PHNlY29uZGFyeS10aXRsZT5JbnRlcm5hdGlv
bmFsIEpvdXJuYWwgb2YgRW52aXJvbm1lbnRhbCBSZXNlYXJjaCBhbmQgUHVibGljIEhlYWx0aDwv
c2Vjb25kYXJ5LXRpdGxlPjwvdGl0bGVzPjxwZXJpb2RpY2FsPjxmdWxsLXRpdGxlPkludCBKIEVu
dmlyb24gUmVzIFB1YmxpYyBIZWFsdGg8L2Z1bGwtdGl0bGU+PGFiYnItMT5JbnRlcm5hdGlvbmFs
IGpvdXJuYWwgb2YgZW52aXJvbm1lbnRhbCByZXNlYXJjaCBhbmQgcHVibGljIGhlYWx0aDwvYWJi
ci0xPjwvcGVyaW9kaWNhbD48dm9sdW1lPjE1PC92b2x1bWU+PG51bWJlcj4yPC9udW1iZXI+PGtl
eXdvcmRzPjxrZXl3b3JkPmJpcygxLDMgZGljaGxvcm8gMiBwcm9weWwpcGhvc3BoYXRlPC9rZXl3
b3JkPjxrZXl3b3JkPmJpcygyIGNobG9yb2V0aHlsKXBob3NwaGF0ZTwva2V5d29yZD48a2V5d29y
ZD5kaWJ1dHlscGhvc3BoYXRlPC9rZXl3b3JkPjxrZXl3b3JkPmRpcGhlbnlscGhvc3BoYXRlPC9r
ZXl3b3JkPjxrZXl3b3JkPmZsYW1lIHJldGFyZGFudDwva2V5d29yZD48a2V5d29yZD5vcmdhbm9w
aG9zcGhhdGU8L2tleXdvcmQ+PGtleXdvcmQ+cGhvc3Bob3JpYyBhY2lkIHRyaXMoMiBjaGxvcm9l
dGh5bCkgZXN0ZXI8L2tleXdvcmQ+PGtleXdvcmQ+dW5jbGFzc2lmaWVkIGRydWc8L2tleXdvcmQ+
PGtleXdvcmQ+YmlvbWFya2VyPC9rZXl3b3JkPjxrZXl3b3JkPmNvbmNlbnRyYXRpb24gKGNvbXBv
c2l0aW9uKTwva2V5d29yZD48a2V5d29yZD5oZWFsdGggcmlzazwva2V5d29yZD48a2V5d29yZD5t
ZXRhYm9saXRlPC9rZXl3b3JkPjxrZXl3b3JkPnB1YmxpYyBoZWFsdGg8L2tleXdvcmQ+PGtleXdv
cmQ+dG9iYWNjbzwva2V5d29yZD48a2V5d29yZD51cmluZTwva2V5d29yZD48a2V5d29yZD5hZHVs
dDwva2V5d29yZD48a2V5d29yZD5BcnRpY2xlPC9rZXl3b3JkPjxrZXl3b3JkPmJvZHkgYnVyZGVu
PC9rZXl3b3JkPjxrZXl3b3JkPmNpZ2FyIHNtb2tpbmc8L2tleXdvcmQ+PGtleXdvcmQ+Y2lnYXJl
dHRlIHNtb2tpbmc8L2tleXdvcmQ+PGtleXdvcmQ+Y29udHJvbGxlZCBzdHVkeTwva2V5d29yZD48
a2V5d29yZD5mZW1hbGU8L2tleXdvcmQ+PGtleXdvcmQ+aHVtYW48L2tleXdvcmQ+PGtleXdvcmQ+
bWFsZTwva2V5d29yZD48a2V5d29yZD5waWxvdCBzdHVkeTwva2V5d29yZD48a2V5d29yZD5zbW9r
ZWxlc3MgdG9iYWNjbzwva2V5d29yZD48a2V5d29yZD51cmluYWx5c2lzPC9rZXl3b3JkPjxrZXl3
b3JkPnZhcGluZzwva2V5d29yZD48a2V5d29yZD5OaWNvdGlhbmEgdGFiYWN1bTwva2V5d29yZD48
L2tleXdvcmRzPjxkYXRlcz48eWVhcj4yMDE4PC95ZWFyPjwvZGF0ZXM+PHVybHM+PHJlbGF0ZWQt
dXJscz48dXJsPmh0dHBzOi8vd3d3LnNjb3B1cy5jb20vaW53YXJkL3JlY29yZC51cmk/ZWlkPTIt
czIuMC04NTA0MTExNTY2MCZhbXA7ZG9pPTEwLjMzOTAlMmZpamVycGgxNTAyMDIwMSZhbXA7cGFy
dG5lcklEPTQwJmFtcDttZDU9MGQzNDZjYzNkOTk3NmU5MTNkODMyZTkxMjk2NDFjMzM8L3VybD48
L3JlbGF0ZWQtdXJscz48L3VybHM+PGVsZWN0cm9uaWMtcmVzb3VyY2UtbnVtPjEwLjMzOTAvaWpl
cnBoMTUwMjAyMDE8L2VsZWN0cm9uaWMtcmVzb3VyY2UtbnVtPjxyZW1vdGUtZGF0YWJhc2UtbmFt
ZT5TY29wdXMgQzcgLSAyMDE8L3JlbW90ZS1kYXRhYmFzZS1uYW1lPjwvcmVjb3JkPjwvQ2l0ZT48
L0VuZE5vdGU+AG==
</w:fldData>
            </w:fldChar>
          </w:r>
          <w:r w:rsidR="00903735">
            <w:instrText xml:space="preserve"> ADDIN EN.CITE.DATA </w:instrText>
          </w:r>
          <w:r w:rsidR="00903735">
            <w:fldChar w:fldCharType="end"/>
          </w:r>
          <w:r>
            <w:fldChar w:fldCharType="separate"/>
          </w:r>
          <w:r>
            <w:rPr>
              <w:noProof/>
            </w:rPr>
            <w:t>(Wei, Goniewicz et al. 2018)</w:t>
          </w:r>
          <w:r>
            <w:fldChar w:fldCharType="end"/>
          </w:r>
          <w:r>
            <w:t>. The implications of raised levels of these chemicals in the body at the levels observed are not well understood.</w:t>
          </w:r>
        </w:p>
        <w:p w14:paraId="4EC56B01" w14:textId="77777777" w:rsidR="00094ECE" w:rsidRDefault="00094ECE" w:rsidP="00094ECE">
          <w:pPr>
            <w:pStyle w:val="BodyText"/>
            <w:numPr>
              <w:ilvl w:val="0"/>
              <w:numId w:val="31"/>
            </w:numPr>
          </w:pPr>
          <w:r>
            <w:t>Cross sectional studies showed a relationship between e-cigarette use and some types of oral mucosal lesions (OML). More studies on OML and e-cigarette use are required.</w:t>
          </w:r>
        </w:p>
        <w:p w14:paraId="06A6D9D0" w14:textId="77777777" w:rsidR="00094ECE" w:rsidRDefault="00094ECE" w:rsidP="00094ECE">
          <w:pPr>
            <w:pStyle w:val="BodyText"/>
            <w:numPr>
              <w:ilvl w:val="0"/>
              <w:numId w:val="31"/>
            </w:numPr>
          </w:pPr>
          <w:r>
            <w:t xml:space="preserve">One study suggested that </w:t>
          </w:r>
          <w:r>
            <w:rPr>
              <w:rFonts w:asciiTheme="minorHAnsi" w:hAnsiTheme="minorHAnsi" w:cstheme="minorHAnsi"/>
              <w:szCs w:val="24"/>
            </w:rPr>
            <w:t xml:space="preserve">mercaptobenzothiazole was a source of </w:t>
          </w:r>
          <w:r>
            <w:t xml:space="preserve">allergic reactions </w:t>
          </w:r>
          <w:r>
            <w:rPr>
              <w:rFonts w:asciiTheme="minorHAnsi" w:hAnsiTheme="minorHAnsi" w:cstheme="minorHAnsi"/>
              <w:szCs w:val="24"/>
            </w:rPr>
            <w:t>which had not previously been referred to in relation to e-cigarettes.</w:t>
          </w:r>
        </w:p>
        <w:p w14:paraId="49FEA8E0" w14:textId="77777777" w:rsidR="00094ECE" w:rsidRDefault="00094ECE" w:rsidP="00094ECE">
          <w:pPr>
            <w:pStyle w:val="BodyText"/>
            <w:numPr>
              <w:ilvl w:val="0"/>
              <w:numId w:val="31"/>
            </w:numPr>
          </w:pPr>
          <w:r>
            <w:t>Some measures of oxidative stress were increased among habitual e-cigarette users compared to non-users, but not following short term e-cigarette use. Studies in this area were small and results can be considered suggestive only.</w:t>
          </w:r>
        </w:p>
        <w:p w14:paraId="49A16893" w14:textId="77777777" w:rsidR="00094ECE" w:rsidRPr="00094ECE" w:rsidRDefault="00094ECE" w:rsidP="00094ECE">
          <w:pPr>
            <w:pStyle w:val="BodyText"/>
          </w:pPr>
        </w:p>
        <w:p w14:paraId="5035A904" w14:textId="77777777" w:rsidR="00094ECE" w:rsidRDefault="00094ECE" w:rsidP="00094ECE">
          <w:pPr>
            <w:pStyle w:val="Heading3"/>
          </w:pPr>
          <w:r>
            <w:t>Key findings</w:t>
          </w:r>
        </w:p>
        <w:p w14:paraId="35A1E196" w14:textId="77777777" w:rsidR="00094ECE" w:rsidRDefault="00094ECE" w:rsidP="00094ECE">
          <w:pPr>
            <w:pStyle w:val="ListParagraph"/>
            <w:numPr>
              <w:ilvl w:val="0"/>
              <w:numId w:val="21"/>
            </w:numPr>
            <w:spacing w:before="0" w:after="160" w:line="259" w:lineRule="auto"/>
            <w:rPr>
              <w:rStyle w:val="Strong"/>
              <w:b w:val="0"/>
            </w:rPr>
          </w:pPr>
          <w:r>
            <w:rPr>
              <w:rStyle w:val="Strong"/>
              <w:b w:val="0"/>
            </w:rPr>
            <w:t>A lack of long-term studies means</w:t>
          </w:r>
          <w:r w:rsidRPr="00EA34C0">
            <w:rPr>
              <w:rStyle w:val="Strong"/>
              <w:b w:val="0"/>
            </w:rPr>
            <w:t xml:space="preserve"> there continues to be no evidence </w:t>
          </w:r>
          <w:r>
            <w:rPr>
              <w:rStyle w:val="Strong"/>
              <w:b w:val="0"/>
            </w:rPr>
            <w:t>f</w:t>
          </w:r>
          <w:r w:rsidRPr="00EA34C0">
            <w:rPr>
              <w:rStyle w:val="Strong"/>
              <w:b w:val="0"/>
            </w:rPr>
            <w:t>o</w:t>
          </w:r>
          <w:r>
            <w:rPr>
              <w:rStyle w:val="Strong"/>
              <w:b w:val="0"/>
            </w:rPr>
            <w:t>r</w:t>
          </w:r>
          <w:r w:rsidRPr="00EA34C0">
            <w:rPr>
              <w:rStyle w:val="Strong"/>
              <w:b w:val="0"/>
            </w:rPr>
            <w:t xml:space="preserve"> e-cigarette use to be associated with clinical cardiovascular disease.</w:t>
          </w:r>
        </w:p>
        <w:p w14:paraId="1E57F6E2" w14:textId="478B7F9A" w:rsidR="00094ECE" w:rsidRDefault="00094ECE" w:rsidP="00094ECE">
          <w:pPr>
            <w:pStyle w:val="ListParagraph"/>
            <w:numPr>
              <w:ilvl w:val="0"/>
              <w:numId w:val="21"/>
            </w:numPr>
            <w:spacing w:before="0" w:after="160" w:line="259" w:lineRule="auto"/>
            <w:rPr>
              <w:rStyle w:val="Strong"/>
              <w:b w:val="0"/>
            </w:rPr>
          </w:pPr>
          <w:r>
            <w:rPr>
              <w:rStyle w:val="Strong"/>
              <w:b w:val="0"/>
            </w:rPr>
            <w:t>Carcinogenic compounds and carcinogenic metabolites arising from e-cigarette use are demonstrated to be present in e-cigarette users, and in animal studies. However the risk of the development of cancer or other health effects from the levels found is unclear.</w:t>
          </w:r>
        </w:p>
        <w:p w14:paraId="2FA70934" w14:textId="17B03EBC" w:rsidR="00094ECE" w:rsidRDefault="00094ECE" w:rsidP="00094ECE">
          <w:pPr>
            <w:pStyle w:val="ListParagraph"/>
            <w:numPr>
              <w:ilvl w:val="0"/>
              <w:numId w:val="21"/>
            </w:numPr>
            <w:spacing w:before="0" w:after="160" w:line="259" w:lineRule="auto"/>
            <w:rPr>
              <w:rStyle w:val="Strong"/>
              <w:b w:val="0"/>
            </w:rPr>
          </w:pPr>
          <w:r>
            <w:rPr>
              <w:rStyle w:val="Strong"/>
              <w:b w:val="0"/>
            </w:rPr>
            <w:t>Use of e-cigarettes may impair lung function although the independent effect of e</w:t>
          </w:r>
          <w:r>
            <w:rPr>
              <w:rStyle w:val="Strong"/>
              <w:b w:val="0"/>
            </w:rPr>
            <w:noBreakHyphen/>
            <w:t>cigarettes is unclear because of potential confounding by conventional cigarette smoking.</w:t>
          </w:r>
        </w:p>
        <w:p w14:paraId="3618E635" w14:textId="77777777" w:rsidR="00094ECE" w:rsidRDefault="00094ECE" w:rsidP="00094ECE">
          <w:pPr>
            <w:pStyle w:val="ListParagraph"/>
            <w:numPr>
              <w:ilvl w:val="0"/>
              <w:numId w:val="21"/>
            </w:numPr>
            <w:spacing w:before="0" w:after="160" w:line="259" w:lineRule="auto"/>
            <w:rPr>
              <w:rStyle w:val="Strong"/>
              <w:b w:val="0"/>
            </w:rPr>
          </w:pPr>
          <w:r>
            <w:rPr>
              <w:rStyle w:val="Strong"/>
              <w:b w:val="0"/>
            </w:rPr>
            <w:t>Case studies, which do not provide strong evidence, have suggested that e-cigarette use interferes with, or delays, wound healing. While these reports are suggestive, this has not yet been examined using appropriately designed studies.</w:t>
          </w:r>
        </w:p>
        <w:p w14:paraId="744462AE" w14:textId="77777777" w:rsidR="00094ECE" w:rsidRPr="00094ECE" w:rsidRDefault="00094ECE" w:rsidP="00094ECE">
          <w:pPr>
            <w:pStyle w:val="BodyText"/>
          </w:pPr>
        </w:p>
        <w:p w14:paraId="7E8AAED5" w14:textId="77777777" w:rsidR="000F0E2F" w:rsidRDefault="000F0E2F" w:rsidP="000F0E2F">
          <w:pPr>
            <w:spacing w:after="0"/>
          </w:pPr>
          <w:r>
            <w:br w:type="page"/>
          </w:r>
        </w:p>
        <w:p w14:paraId="29622AE0" w14:textId="77777777" w:rsidR="000F0E2F" w:rsidRPr="004F431A" w:rsidRDefault="000F0E2F" w:rsidP="000F0E2F">
          <w:pPr>
            <w:pStyle w:val="Heading1"/>
            <w:pageBreakBefore w:val="0"/>
            <w:spacing w:before="480" w:after="360" w:line="240" w:lineRule="auto"/>
          </w:pPr>
          <w:bookmarkStart w:id="37" w:name="_Toc513214358"/>
          <w:bookmarkStart w:id="38" w:name="_Toc517706641"/>
          <w:r w:rsidRPr="004F431A">
            <w:lastRenderedPageBreak/>
            <w:t xml:space="preserve">Injuries </w:t>
          </w:r>
          <w:r>
            <w:t>and poisoning</w:t>
          </w:r>
          <w:bookmarkEnd w:id="37"/>
          <w:bookmarkEnd w:id="38"/>
        </w:p>
        <w:p w14:paraId="361392D7" w14:textId="77777777" w:rsidR="000F0E2F" w:rsidRDefault="00F918EE" w:rsidP="000F0E2F">
          <w:pPr>
            <w:pStyle w:val="Heading2"/>
          </w:pPr>
          <w:bookmarkStart w:id="39" w:name="_Toc517706642"/>
          <w:r>
            <w:t>Introduction</w:t>
          </w:r>
          <w:bookmarkEnd w:id="39"/>
        </w:p>
        <w:p w14:paraId="27F5162D" w14:textId="77777777" w:rsidR="00F918EE" w:rsidRDefault="00F918EE" w:rsidP="00F918EE">
          <w:pPr>
            <w:pStyle w:val="BodyText"/>
          </w:pPr>
          <w:r w:rsidRPr="004D3735">
            <w:t>In this section,</w:t>
          </w:r>
          <w:r>
            <w:rPr>
              <w:b/>
            </w:rPr>
            <w:t xml:space="preserve"> </w:t>
          </w:r>
          <w:r w:rsidR="005E42EE" w:rsidRPr="005E42EE">
            <w:t>recent literature on injuries and poisoning resulting from the use of e-cigarettes is reviewed. The section</w:t>
          </w:r>
          <w:r w:rsidR="005E42EE">
            <w:t xml:space="preserve"> addresses part of the assigned task to ‘</w:t>
          </w:r>
          <w:r w:rsidR="005E42EE">
            <w:rPr>
              <w:rFonts w:cs="Calibri"/>
              <w:szCs w:val="24"/>
            </w:rPr>
            <w:t>r</w:t>
          </w:r>
          <w:r w:rsidR="005E42EE" w:rsidRPr="001022DF">
            <w:rPr>
              <w:rFonts w:cs="Calibri"/>
              <w:szCs w:val="24"/>
            </w:rPr>
            <w:t>eview all available evidence applicable to the impacts of the use of e-cigarettes, personal vaporisers and nicotine on individual and population health</w:t>
          </w:r>
          <w:r w:rsidR="005E42EE">
            <w:rPr>
              <w:rFonts w:cs="Calibri"/>
              <w:szCs w:val="24"/>
            </w:rPr>
            <w:t xml:space="preserve">.’ A total of </w:t>
          </w:r>
          <w:r w:rsidRPr="004D3735">
            <w:t>31 papers were reviewed</w:t>
          </w:r>
          <w:r w:rsidRPr="004F431A">
            <w:t xml:space="preserve"> (including </w:t>
          </w:r>
          <w:r>
            <w:t>two</w:t>
          </w:r>
          <w:r w:rsidRPr="004F431A">
            <w:t xml:space="preserve"> </w:t>
          </w:r>
          <w:r>
            <w:t>report</w:t>
          </w:r>
          <w:r w:rsidRPr="004F431A">
            <w:t xml:space="preserve">s that were reviewed </w:t>
          </w:r>
          <w:r>
            <w:t>based</w:t>
          </w:r>
          <w:r w:rsidRPr="004F431A">
            <w:t xml:space="preserve"> only</w:t>
          </w:r>
          <w:r>
            <w:t xml:space="preserve"> on the available</w:t>
          </w:r>
          <w:r w:rsidRPr="004F431A">
            <w:t xml:space="preserve"> abstracts)</w:t>
          </w:r>
          <w:r>
            <w:t xml:space="preserve">: </w:t>
          </w:r>
        </w:p>
        <w:p w14:paraId="00608E8C" w14:textId="77777777" w:rsidR="00F918EE" w:rsidRDefault="00F918EE" w:rsidP="00E16F8F">
          <w:pPr>
            <w:pStyle w:val="BodyText"/>
            <w:numPr>
              <w:ilvl w:val="0"/>
              <w:numId w:val="32"/>
            </w:numPr>
            <w:spacing w:before="0" w:after="0"/>
          </w:pPr>
          <w:r w:rsidRPr="004F431A">
            <w:t>14 case reports</w:t>
          </w:r>
        </w:p>
        <w:p w14:paraId="13494E4E" w14:textId="77777777" w:rsidR="00F918EE" w:rsidRDefault="00F918EE" w:rsidP="0023695A">
          <w:pPr>
            <w:pStyle w:val="BodyText"/>
            <w:numPr>
              <w:ilvl w:val="0"/>
              <w:numId w:val="32"/>
            </w:numPr>
            <w:spacing w:before="0" w:after="0"/>
          </w:pPr>
          <w:r>
            <w:t>8</w:t>
          </w:r>
          <w:r w:rsidRPr="004F431A">
            <w:t xml:space="preserve"> retrospective case reviews</w:t>
          </w:r>
        </w:p>
        <w:p w14:paraId="7E4DB7B6" w14:textId="77777777" w:rsidR="00F918EE" w:rsidRDefault="00F918EE" w:rsidP="00E652DB">
          <w:pPr>
            <w:pStyle w:val="BodyText"/>
            <w:numPr>
              <w:ilvl w:val="0"/>
              <w:numId w:val="32"/>
            </w:numPr>
            <w:spacing w:before="0" w:after="0"/>
          </w:pPr>
          <w:r>
            <w:t xml:space="preserve">3 </w:t>
          </w:r>
          <w:r w:rsidRPr="004F431A">
            <w:t xml:space="preserve">case reports </w:t>
          </w:r>
          <w:r>
            <w:t>(including a</w:t>
          </w:r>
          <w:r w:rsidRPr="004F431A">
            <w:t xml:space="preserve"> literature review</w:t>
          </w:r>
          <w:r>
            <w:t>)</w:t>
          </w:r>
        </w:p>
        <w:p w14:paraId="068DC43A" w14:textId="77777777" w:rsidR="00F918EE" w:rsidRDefault="00F918EE" w:rsidP="00C14512">
          <w:pPr>
            <w:pStyle w:val="BodyText"/>
            <w:numPr>
              <w:ilvl w:val="0"/>
              <w:numId w:val="32"/>
            </w:numPr>
            <w:spacing w:before="0" w:after="0"/>
          </w:pPr>
          <w:r>
            <w:t>5</w:t>
          </w:r>
          <w:r w:rsidRPr="004F431A">
            <w:t xml:space="preserve"> letters</w:t>
          </w:r>
          <w:r>
            <w:t xml:space="preserve"> or </w:t>
          </w:r>
          <w:r w:rsidRPr="004F431A">
            <w:t>commentaries</w:t>
          </w:r>
        </w:p>
        <w:p w14:paraId="07AD9B8C" w14:textId="77777777" w:rsidR="00F918EE" w:rsidRDefault="00F918EE" w:rsidP="0012376D">
          <w:pPr>
            <w:pStyle w:val="BodyText"/>
            <w:numPr>
              <w:ilvl w:val="0"/>
              <w:numId w:val="32"/>
            </w:numPr>
            <w:spacing w:before="0" w:after="0"/>
          </w:pPr>
          <w:r>
            <w:t xml:space="preserve">1 </w:t>
          </w:r>
          <w:r w:rsidRPr="004F431A">
            <w:t>cross-sectional study</w:t>
          </w:r>
        </w:p>
        <w:p w14:paraId="2A34FF5C" w14:textId="77777777" w:rsidR="00F918EE" w:rsidRPr="00F918EE" w:rsidRDefault="00F918EE" w:rsidP="00F918EE">
          <w:pPr>
            <w:pStyle w:val="BodyText"/>
          </w:pPr>
        </w:p>
        <w:p w14:paraId="4E353A6C" w14:textId="77777777" w:rsidR="000F0E2F" w:rsidRDefault="000F0E2F" w:rsidP="007008F9">
          <w:pPr>
            <w:pStyle w:val="Heading2"/>
          </w:pPr>
          <w:bookmarkStart w:id="40" w:name="_Toc517706643"/>
          <w:r w:rsidRPr="00283F5A">
            <w:t xml:space="preserve">Exploding </w:t>
          </w:r>
          <w:r w:rsidR="00F918EE">
            <w:t>e-cigarettes</w:t>
          </w:r>
          <w:bookmarkEnd w:id="40"/>
        </w:p>
        <w:p w14:paraId="6B0F1E71" w14:textId="77777777" w:rsidR="00F918EE" w:rsidRDefault="00F918EE" w:rsidP="00F918EE">
          <w:pPr>
            <w:tabs>
              <w:tab w:val="left" w:pos="397"/>
            </w:tabs>
            <w:spacing w:before="60" w:after="60" w:line="264" w:lineRule="auto"/>
            <w:rPr>
              <w:sz w:val="24"/>
            </w:rPr>
          </w:pPr>
          <w:r w:rsidRPr="004F431A">
            <w:rPr>
              <w:sz w:val="24"/>
            </w:rPr>
            <w:t>The majority of the case reports (</w:t>
          </w:r>
          <w:r>
            <w:rPr>
              <w:sz w:val="24"/>
            </w:rPr>
            <w:t>nine</w:t>
          </w:r>
          <w:r w:rsidRPr="004F431A">
            <w:rPr>
              <w:sz w:val="24"/>
            </w:rPr>
            <w:t xml:space="preserve"> out of a total of 14) described malfunctioning </w:t>
          </w:r>
          <w:r>
            <w:rPr>
              <w:sz w:val="24"/>
            </w:rPr>
            <w:t>e-cigarettes</w:t>
          </w:r>
          <w:r w:rsidRPr="004F431A">
            <w:rPr>
              <w:sz w:val="24"/>
            </w:rPr>
            <w:t xml:space="preserve"> where the device exploded or caught fire </w:t>
          </w:r>
          <w:r w:rsidRPr="004F431A">
            <w:rPr>
              <w:sz w:val="24"/>
            </w:rPr>
            <w:fldChar w:fldCharType="begin">
              <w:fldData xml:space="preserve">PEVuZE5vdGU+PENpdGU+PEF1dGhvcj5BY2tsZXk8L0F1dGhvcj48WWVhcj4yMDE4PC9ZZWFyPjxS
ZWNOdW0+NDY0NTwvUmVjTnVtPjxEaXNwbGF5VGV4dD4oQmFuLCBLcmlzaG5hbiBldCBhbC4gMjAx
NywgQmF1bWFuLCBSb21hbiBldCBhbC4gMjAxNywgQnJvb2tzLCBLbGVpbm1hbiBldCBhbC4gMjAx
NywgRm9yYW4sIE9hayBldCBhbC4gMjAxNywgTm9yaWkgYW5kIFBsYXRlIDIwMTcsIFNhdHRlc29u
LCBXYWxrZXIgZXQgYWwuIDIwMTcsIFRyZWl0bCwgU29sb21vbiBldCBhbC4gMjAxNywgQWNrbGV5
LCBXaWxsaWFtcyBldCBhbC4gMjAxOCwgQ2hpLCBOZXZpbGxlIGV0IGFsLiAyMDE4KTwvRGlzcGxh
eVRleHQ+PHJlY29yZD48cmVjLW51bWJlcj40NjQ1PC9yZWMtbnVtYmVyPjxmb3JlaWduLWtleXM+
PGtleSBhcHA9IkVOIiBkYi1pZD0iOXowNWR6MHByYWFkZnVlZTB6b3h6ZWRrOXpmZTVmeHg1MHo1
IiB0aW1lc3RhbXA9IjE1MjM5MjAyOTIiPjQ2NDU8L2tleT48a2V5IGFwcD0iRU5XZWIiIGRiLWlk
PSIiPjA8L2tleT48L2ZvcmVpZ24ta2V5cz48cmVmLXR5cGUgbmFtZT0iSm91cm5hbCBBcnRpY2xl
Ij4xNzwvcmVmLXR5cGU+PGNvbnRyaWJ1dG9ycz48YXV0aG9ycz48YXV0aG9yPkFja2xleSwgRS48
L2F1dGhvcj48YXV0aG9yPldpbGxpYW1zLCBKLiBULiBCLjwvYXV0aG9yPjxhdXRob3I+S3VucmF0
aCwgQy48L2F1dGhvcj48YXV0aG9yPk1vbnNvbiwgTS48L2F1dGhvcj48YXV0aG9yPklnbmF0aXVr
LCBBLjwvYXV0aG9yPjxhdXRob3I+R2FlbnNiYXVlciwgSi48L2F1dGhvcj48L2F1dGhvcnM+PC9j
b250cmlidXRvcnM+PGF1dGgtYWRkcmVzcz5QZWRpYXRyaWMgUmVzaWRlbmN5IFByb2dyYW0gVW5p
dmVyc2l0eSBvZiBDb2xvcmFkbyBEZW52ZXIgU2Nob29sIG9mIE1lZGljaW5lIEF1cm9yYSwgQ29s
b3JhZG8uJiN4RDtEZXBhcnRtZW50IG9mIFBlZGlhdHJpY3MgRGVudmVyIEhlYWx0aCBNZWRpY2Fs
IENlbnRlciBEZW52ZXIsIENvbG9yYWRvOyBEZXBhcnRtZW50IG9mIFBlZGlhdHJpY3MgVW5pdmVy
c2l0eSBvZiBDb2xvcmFkbyBEZW52ZXIgU2Nob29sIG9mIE1lZGljaW5lIEF1cm9yYSwgQ29sb3Jh
ZG8uJiN4RDtEZXBhcnRtZW50IG9mIFBlZGlhdHJpY3MgUGVkaWF0cmljIENyaXRpY2FsIENhcmUg
RGVudmVyIEhlYWx0aCBNZWRpY2FsIENlbnRlciBEZW52ZXIsIENvbG9yYWRvOyBEZXBhcnRtZW50
IG9mIFBlZGlhdHJpY3MgVW5pdmVyc2l0eSBvZiBDb2xvcmFkbyBEZW52ZXIgU2Nob29sIG9mIE1l
ZGljaW5lIEF1cm9yYSwgQ29sb3JhZG8uJiN4RDtQZWRpYXRyaWMgUmFkaW9sb2d5IERlbnZlciBI
ZWFsdGggTWVkaWNhbCBDZW50ZXIgRGVudmVyLCBDb2xvcmFkbzsgRGVwYXJ0bWVudCBvZiBQZWRp
YXRyaWNzIFVuaXZlcnNpdHkgb2YgQ29sb3JhZG8gRGVudmVyIFNjaG9vbCBvZiBNZWRpY2luZSBB
dXJvcmEsIENvbG9yYWRvLiYjeEQ7T3J0aG9wZWRpYyBTdXJnZXJ5IERlbnZlciBIZWFsdGggTWVk
aWNhbCBDZW50ZXIgRGVudmVyLCBDb2xvcmFkbzsgRGVwYXJ0bWVudCBvZiBQZWRpYXRyaWNzIFVu
aXZlcnNpdHkgb2YgQ29sb3JhZG8gRGVudmVyIFNjaG9vbCBvZiBNZWRpY2luZSBBdXJvcmEsIENv
bG9yYWRvLiYjeEQ7RGVwYXJ0bWVudCBvZiBQZWRpYXRyaWNzIFBlZGlhdHJpYyBJbmZlY3Rpb3Vz
IERpc2Vhc2VzIERlbnZlciBIZWFsdGggTWVkaWNhbCBDZW50ZXIgRGVudmVyLCBDb2xvcmFkbzsg
RGVwYXJ0bWVudCBvZiBQZWRpYXRyaWNzIFVuaXZlcnNpdHkgb2YgQ29sb3JhZG8gRGVudmVyIFNj
aG9vbCBvZiBNZWRpY2luZSBBdXJvcmEsIENvbG9yYWRvLjwvYXV0aC1hZGRyZXNzPjx0aXRsZXM+
PHRpdGxlPlRvbyBIb3QgdG8gSGFuZGxlPyBXaGVuIFZhcG9yaXplcnMgRXhwbG9kZTwvdGl0bGU+
PHNlY29uZGFyeS10aXRsZT5KIFBlZGlhdHI8L3NlY29uZGFyeS10aXRsZT48YWx0LXRpdGxlPlRo
ZSBKb3VybmFsIG9mIHBlZGlhdHJpY3M8L2FsdC10aXRsZT48L3RpdGxlcz48cGVyaW9kaWNhbD48
ZnVsbC10aXRsZT5KIFBlZGlhdHI8L2Z1bGwtdGl0bGU+PGFiYnItMT5UaGUgSm91cm5hbCBvZiBw
ZWRpYXRyaWNzPC9hYmJyLTE+PC9wZXJpb2RpY2FsPjxhbHQtcGVyaW9kaWNhbD48ZnVsbC10aXRs
ZT5KIFBlZGlhdHI8L2Z1bGwtdGl0bGU+PGFiYnItMT5UaGUgSm91cm5hbCBvZiBwZWRpYXRyaWNz
PC9hYmJyLTE+PC9hbHQtcGVyaW9kaWNhbD48ZWRpdGlvbj4yMDE4LzAyLzA2PC9lZGl0aW9uPjxr
ZXl3b3Jkcz48a2V5d29yZD5lbGVjdHJvbmljIGNpZ2FyZXR0ZTwva2V5d29yZD48a2V5d29yZD5l
bGVjdHJvbmljIG5pY290aW5lLWRlbGl2ZXJ5IHN5c3RlbXM8L2tleXdvcmQ+PGtleXdvcmQ+cGVy
c29uYWwgdmFwb3JpemVyPC9rZXl3b3JkPjwva2V5d29yZHM+PGRhdGVzPjx5ZWFyPjIwMTg8L3ll
YXI+PHB1Yi1kYXRlcz48ZGF0ZT5KYW4gMjU8L2RhdGU+PC9wdWItZGF0ZXM+PC9kYXRlcz48aXNi
bj4wMDIyLTM0NzY8L2lzYm4+PGFjY2Vzc2lvbi1udW0+MjkzOTUxNzU8L2FjY2Vzc2lvbi1udW0+
PHVybHM+PHJlbGF0ZWQtdXJscz48dXJsPmh0dHBzOi8vd3d3LnNjaWVuY2VkaXJlY3QuY29tL3Nj
aWVuY2UvYXJ0aWNsZS9waWkvUzAwMjIzNDc2MTczMTcyNzQ/dmlhJTNEaWh1YjwvdXJsPjwvcmVs
YXRlZC11cmxzPjwvdXJscz48ZWxlY3Ryb25pYy1yZXNvdXJjZS1udW0+MTAuMTAxNi9qLmpwZWRz
LjIwMTcuMTIuMDMyPC9lbGVjdHJvbmljLXJlc291cmNlLW51bT48cmVtb3RlLWRhdGFiYXNlLXBy
b3ZpZGVyPk5MTTwvcmVtb3RlLWRhdGFiYXNlLXByb3ZpZGVyPjxsYW5ndWFnZT5lbmc8L2xhbmd1
YWdlPjwvcmVjb3JkPjwvQ2l0ZT48Q2l0ZT48QXV0aG9yPkJhbjwvQXV0aG9yPjxZZWFyPjIwMTc8
L1llYXI+PFJlY051bT41NzYxPC9SZWNOdW0+PHJlY29yZD48cmVjLW51bWJlcj41NzYxPC9yZWMt
bnVtYmVyPjxmb3JlaWduLWtleXM+PGtleSBhcHA9IkVOIiBkYi1pZD0iOXowNWR6MHByYWFkZnVl
ZTB6b3h6ZWRrOXpmZTVmeHg1MHo1IiB0aW1lc3RhbXA9IjE1MjM5MjEwMTEiPjU3NjE8L2tleT48
L2ZvcmVpZ24ta2V5cz48cmVmLXR5cGUgbmFtZT0iSm91cm5hbCBBcnRpY2xlIj4xNzwvcmVmLXR5
cGU+PGNvbnRyaWJ1dG9ycz48YXV0aG9ycz48YXV0aG9yPkJhbiwgQy48L2F1dGhvcj48YXV0aG9y
PktyaXNobmFuLCBELiBHLjwvYXV0aG9yPjxhdXRob3I+QWJkYWxsYWgsIFkuPC9hdXRob3I+PC9h
dXRob3JzPjwvY29udHJpYnV0b3JzPjx0aXRsZXM+PHRpdGxlPkJhbGxpc3RpYyB0cmF1bWEgZnJv
bSBhbiBleHBsb2RpbmcgZWxlY3Ryb25pYyBjaWdhcmV0dGU6IENhc2UgcmVwb3J0PC90aXRsZT48
c2Vjb25kYXJ5LXRpdGxlPk9yYWwgYW5kIE1heGlsbG9mYWNpYWwgU3VyZ2VyeSBDYXNlczwvc2Vj
b25kYXJ5LXRpdGxlPjwvdGl0bGVzPjxwZXJpb2RpY2FsPjxmdWxsLXRpdGxlPk9yYWwgYW5kIE1h
eGlsbG9mYWNpYWwgU3VyZ2VyeSBDYXNlczwvZnVsbC10aXRsZT48L3BlcmlvZGljYWw+PHBhZ2Vz
PjYxLTYzPC9wYWdlcz48dm9sdW1lPjM8L3ZvbHVtZT48bnVtYmVyPjM8L251bWJlcj48a2V5d29y
ZHM+PGtleXdvcmQ+Y2xpbmRhbXljaW48L2tleXdvcmQ+PGtleXdvcmQ+YWR1bHQ8L2tleXdvcmQ+
PGtleXdvcmQ+QXJ0aWNsZTwva2V5d29yZD48a2V5d29yZD5jYXNlIHJlcG9ydDwva2V5d29yZD48
a2V5d29yZD5jb21wdXRlciBhc3Npc3RlZCB0b21vZ3JhcGh5PC9rZXl3b3JkPjxrZXl3b3JkPmRl
YnJpZGVtZW50PC9rZXl3b3JkPjxrZXl3b3JkPmVsZWN0cm9uaWMgY2lnYXJldHRlPC9rZXl3b3Jk
PjxrZXl3b3JkPmZvcmVpZ24gYm9keTwva2V5d29yZD48a2V5d29yZD5ndW5zaG90IGluanVyeTwv
a2V5d29yZD48a2V5d29yZD5odW1hbjwva2V5d29yZD48a2V5d29yZD5pbnRlcm5hdGlvbmFsIG5v
cm1hbGl6ZWQgcmF0aW88L2tleXdvcmQ+PGtleXdvcmQ+bWFsZTwva2V5d29yZD48a2V5d29yZD5t
YXhpbGxvZmFjaWFsIHN1cmdlcnk8L2tleXdvcmQ+PGtleXdvcmQ+bWlkZGxlIGFnZWQ8L2tleXdv
cmQ+PGtleXdvcmQ+b3h5Z2VuIHNhdHVyYXRpb248L2tleXdvcmQ+PGtleXdvcmQ+cHJpb3JpdHkg
am91cm5hbDwva2V5d29yZD48a2V5d29yZD5wcm90aHJvbWJpbiB0aW1lPC9rZXl3b3JkPjxrZXl3
b3JkPnNtb2tpbmc8L2tleXdvcmQ+PC9rZXl3b3Jkcz48ZGF0ZXM+PHllYXI+MjAxNzwveWVhcj48
L2RhdGVzPjx1cmxzPjxyZWxhdGVkLXVybHM+PHVybD5odHRwczovL3d3dy5zY29wdXMuY29tL2lu
d2FyZC9yZWNvcmQudXJpP2VpZD0yLXMyLjAtODUwMjA2OTIwMTUmYW1wO2RvaT0xMC4xMDE2JTJm
ai5vbXNjLjIwMTcuMDEuMDA3JmFtcDtwYXJ0bmVySUQ9NDAmYW1wO21kNT1jNDIzOWVlZGQ4NjQx
YTM0NWQzMTU0MDJmZDAzN2E3MjwvdXJsPjx1cmw+aHR0cHM6Ly93d3cuc2NpZW5jZWRpcmVjdC5j
b20vc2NpZW5jZS9hcnRpY2xlL3BpaS9TMjIxNDU0MTkxNzMwMDA3WD92aWElM0RpaHViPC91cmw+
PC9yZWxhdGVkLXVybHM+PC91cmxzPjxlbGVjdHJvbmljLXJlc291cmNlLW51bT4xMC4xMDE2L2ou
b21zYy4yMDE3LjAxLjAwNzwvZWxlY3Ryb25pYy1yZXNvdXJjZS1udW0+PHJlbW90ZS1kYXRhYmFz
ZS1uYW1lPlNjb3B1czwvcmVtb3RlLWRhdGFiYXNlLW5hbWU+PC9yZWNvcmQ+PC9DaXRlPjxDaXRl
PjxBdXRob3I+QmF1bWFuPC9BdXRob3I+PFllYXI+MjAxNzwvWWVhcj48UmVjTnVtPjUzMDc8L1Jl
Y051bT48cmVjb3JkPjxyZWMtbnVtYmVyPjUzMDc8L3JlYy1udW1iZXI+PGZvcmVpZ24ta2V5cz48
a2V5IGFwcD0iRU4iIGRiLWlkPSI5ejA1ZHowcHJhYWRmdWVlMHpveHplZGs5emZlNWZ4eDUwejUi
IHRpbWVzdGFtcD0iMTUyMzkyMDk0NCI+NTMwNzwva2V5PjxrZXkgYXBwPSJFTldlYiIgZGItaWQ9
IiI+MDwva2V5PjwvZm9yZWlnbi1rZXlzPjxyZWYtdHlwZSBuYW1lPSJKb3VybmFsIEFydGljbGUi
PjE3PC9yZWYtdHlwZT48Y29udHJpYnV0b3JzPjxhdXRob3JzPjxhdXRob3I+QmF1bWFuLCBaLiBN
LjwvYXV0aG9yPjxhdXRob3I+Um9tYW4sIEouPC9hdXRob3I+PGF1dGhvcj5TaW5nZXIsIE0uPC9h
dXRob3I+PGF1dGhvcj5WZXJjcnV5c3NlLCBHLiBBLjwvYXV0aG9yPjwvYXV0aG9ycz48L2NvbnRy
aWJ1dG9ycz48YXV0aC1hZGRyZXNzPlVuaXZlcnNpdHkgb2YgQXJpem9uYSBNZWRpY2FsIENlbnRl
ciwgRGVwYXJ0bWVudCBvZiBUcmF1bWEsIENyaXRpY2FsIENhcmUsIEJ1cm5zIGFuZCBFbWVyZ2Vu
Y3kgU3VyZ2VyeSwgVW5pdGVkIFN0YXRlcy4mI3hEO1VuaXZlcnNpdHkgb2YgQXJpem9uYSBNZWRp
Y2FsIENlbnRlciwgRGVwYXJ0bWVudCBvZiBUcmF1bWEsIENyaXRpY2FsIENhcmUsIEJ1cm5zIGFu
ZCBFbWVyZ2VuY3kgU3VyZ2VyeSwgVW5pdGVkIFN0YXRlcy4gRWxlY3Ryb25pYyBhZGRyZXNzOiBn
dmVyY3J1eXNzZUBzdXJnZXJ5LmFyaXpvbmEuZWR1LjwvYXV0aC1hZGRyZXNzPjx0aXRsZXM+PHRp
dGxlPkNhbmFyeSBpbiB0aGUgY29hbCBtaW5lLUluaXRpYWwgcmVwb3J0cyBvZiB0aGVybWFsIGlu
anVyeSBzZWNvbmRhcnkgdG8gZWxlY3Ryb25pYyBjaWdhcmV0dGVzPC90aXRsZT48c2Vjb25kYXJ5
LXRpdGxlPkJ1cm5zPC9zZWNvbmRhcnktdGl0bGU+PGFsdC10aXRsZT5CdXJucyA6IGpvdXJuYWwg
b2YgdGhlIEludGVybmF0aW9uYWwgU29jaWV0eSBmb3IgQnVybiBJbmp1cmllczwvYWx0LXRpdGxl
PjwvdGl0bGVzPjxwZXJpb2RpY2FsPjxmdWxsLXRpdGxlPkJ1cm5zPC9mdWxsLXRpdGxlPjxhYmJy
LTE+QnVybnMgOiBqb3VybmFsIG9mIHRoZSBJbnRlcm5hdGlvbmFsIFNvY2lldHkgZm9yIEJ1cm4g
SW5qdXJpZXM8L2FiYnItMT48L3BlcmlvZGljYWw+PGFsdC1wZXJpb2RpY2FsPjxmdWxsLXRpdGxl
PkJ1cm5zPC9mdWxsLXRpdGxlPjxhYmJyLTE+QnVybnMgOiBqb3VybmFsIG9mIHRoZSBJbnRlcm5h
dGlvbmFsIFNvY2lldHkgZm9yIEJ1cm4gSW5qdXJpZXM8L2FiYnItMT48L2FsdC1wZXJpb2RpY2Fs
PjxwYWdlcz5lMzgtZTQyPC9wYWdlcz48dm9sdW1lPjQzPC92b2x1bWU+PG51bWJlcj4zPC9udW1i
ZXI+PGVkaXRpb24+MjAxNy8wMy8xMDwvZWRpdGlvbj48a2V5d29yZHM+PGtleXdvcmQ+QWR1bHQ8
L2tleXdvcmQ+PGtleXdvcmQ+QmFuZGFnZXM8L2tleXdvcmQ+PGtleXdvcmQ+QnVybnMvKmV0aW9s
b2d5L3RoZXJhcHk8L2tleXdvcmQ+PGtleXdvcmQ+RGVicmlkZW1lbnQ8L2tleXdvcmQ+PGtleXdv
cmQ+RWxlY3RyaWMgUG93ZXIgU3VwcGxpZXMvKmFkdmVyc2UgZWZmZWN0czwva2V5d29yZD48a2V5
d29yZD5FbGVjdHJvbmljIE5pY290aW5lIERlbGl2ZXJ5IFN5c3RlbXMvKmFkdmVyc2UgZWZmZWN0
czwva2V5d29yZD48a2V5d29yZD5IdW1hbnM8L2tleXdvcmQ+PGtleXdvcmQ+TGVnIEluanVyaWVz
LypldGlvbG9neS90aGVyYXB5PC9rZXl3b3JkPjxrZXl3b3JkPk1hbGU8L2tleXdvcmQ+PGtleXdv
cmQ+TWlkZGxlIEFnZWQ8L2tleXdvcmQ+PGtleXdvcmQ+U2tpbiBUcmFuc3BsYW50YXRpb248L2tl
eXdvcmQ+PGtleXdvcmQ+VGhpZ2g8L2tleXdvcmQ+PGtleXdvcmQ+V291bmQgSW5mZWN0aW9uL3Ro
ZXJhcHk8L2tleXdvcmQ+PGtleXdvcmQ+WW91bmcgQWR1bHQ8L2tleXdvcmQ+PGtleXdvcmQ+QnVy
bnM8L2tleXdvcmQ+PGtleXdvcmQ+RWxlY3Ryb25pYyBjaWdhcmV0dGVzPC9rZXl3b3JkPjxrZXl3
b3JkPkxpdGhpdW0taW9uIGJhdHRlcnk8L2tleXdvcmQ+PGtleXdvcmQ+VGhlcm1hbCBpbmp1cnk8
L2tleXdvcmQ+PC9rZXl3b3Jkcz48ZGF0ZXM+PHllYXI+MjAxNzwveWVhcj48cHViLWRhdGVzPjxk
YXRlPk1heTwvZGF0ZT48L3B1Yi1kYXRlcz48L2RhdGVzPjxpc2JuPjAzMDUtNDE3OTwvaXNibj48
YWNjZXNzaW9uLW51bT4yODI3NzI3MzwvYWNjZXNzaW9uLW51bT48dXJscz48cmVsYXRlZC11cmxz
Pjx1cmw+aHR0cHM6Ly93d3cuc2NpZW5jZWRpcmVjdC5jb20vc2NpZW5jZS9hcnRpY2xlL3BpaS9T
MDMwNTQxNzkxNjMwNDAyOD92aWElM0RpaHViPC91cmw+PC9yZWxhdGVkLXVybHM+PC91cmxzPjxl
bGVjdHJvbmljLXJlc291cmNlLW51bT4xMC4xMDE2L2ouYnVybnMuMjAxNi4wOS4wMjQ8L2VsZWN0
cm9uaWMtcmVzb3VyY2UtbnVtPjxyZW1vdGUtZGF0YWJhc2UtcHJvdmlkZXI+TkxNPC9yZW1vdGUt
ZGF0YWJhc2UtcHJvdmlkZXI+PGxhbmd1YWdlPmVuZzwvbGFuZ3VhZ2U+PC9yZWNvcmQ+PC9DaXRl
PjxDaXRlPjxBdXRob3I+QnJvb2tzPC9BdXRob3I+PFllYXI+MjAxNzwvWWVhcj48UmVjTnVtPjU1
NTc8L1JlY051bT48cmVjb3JkPjxyZWMtbnVtYmVyPjU1NTc8L3JlYy1udW1iZXI+PGZvcmVpZ24t
a2V5cz48a2V5IGFwcD0iRU4iIGRiLWlkPSI5ejA1ZHowcHJhYWRmdWVlMHpveHplZGs5emZlNWZ4
eDUwejUiIHRpbWVzdGFtcD0iMTUyMzkyMDk4OCI+NTU1Nzwva2V5PjxrZXkgYXBwPSJFTldlYiIg
ZGItaWQ9IiI+MDwva2V5PjwvZm9yZWlnbi1rZXlzPjxyZWYtdHlwZSBuYW1lPSJKb3VybmFsIEFy
dGljbGUiPjE3PC9yZWYtdHlwZT48Y29udHJpYnV0b3JzPjxhdXRob3JzPjxhdXRob3I+QnJvb2tz
LCBKLiBLLjwvYXV0aG9yPjxhdXRob3I+S2xlaW5tYW4sIEouIFcuPC9hdXRob3I+PGF1dGhvcj5C
cm9va3MsIEouIEIuPC9hdXRob3I+PGF1dGhvcj5SZXlub2xkcywgTS4gQS48L2F1dGhvcj48L2F1
dGhvcnM+PC9jb250cmlidXRvcnM+PGF1dGgtYWRkcmVzcz5EZXBhcnRtZW50IG9mIE9uY29sb2d5
IGFuZCBEaWFnbm9zdGljIFNjaWVuY2VzLCBVbml2ZXJzaXR5IG9mIE1hcnlsYW5kIFNjaG9vbCBv
ZiBEZW50aXN0cnksIEJhbHRpbW9yZSwgTWFyeWxhbmQsIFVTQS4mI3hEO0RlcGFydG1lbnQgb2Yg
UGVyaW9kb250b2xvZ3ksIFVuaXZlcnNpdHkgb2YgTWFyeWxhbmQgU2Nob29sIG9mIERlbnRpc3Ry
eSwgQmFsdGltb3JlLCBNYXJ5bGFuZCwgVVNBLiYjeEQ7UHJpdmF0ZSBwcmFjdGljZSwgV2VzdG1p
bnN0ZXIsIE1hcnlsYW5kLCBVU0EuJiN4RDtVbml2ZXJzaXR5IG9mIEJhbHRpbW9yZSBTY2hvb2wg
b2YgTGF3LCBCYWx0aW1vcmUsIE1hcnlsYW5kLCBVU0EuPC9hdXRoLWFkZHJlc3M+PHRpdGxlcz48
dGl0bGU+RWxlY3Ryb25pYyBjaWdhcmV0dGUgZXhwbG9zaW9uIGFzc29jaWF0ZWQgd2l0aCBleHRl
bnNpdmUgaW50cmFvcmFsIGluanVyaWVzPC90aXRsZT48c2Vjb25kYXJ5LXRpdGxlPkRlbnQgVHJh
dW1hdG9sPC9zZWNvbmRhcnktdGl0bGU+PGFsdC10aXRsZT5EZW50YWwgdHJhdW1hdG9sb2d5IDog
b2ZmaWNpYWwgcHVibGljYXRpb24gb2YgSW50ZXJuYXRpb25hbCBBc3NvY2lhdGlvbiBmb3IgRGVu
dGFsIFRyYXVtYXRvbG9neTwvYWx0LXRpdGxlPjwvdGl0bGVzPjxwZXJpb2RpY2FsPjxmdWxsLXRp
dGxlPkRlbnQgVHJhdW1hdG9sPC9mdWxsLXRpdGxlPjxhYmJyLTE+RGVudGFsIHRyYXVtYXRvbG9n
eSA6IG9mZmljaWFsIHB1YmxpY2F0aW9uIG9mIEludGVybmF0aW9uYWwgQXNzb2NpYXRpb24gZm9y
IERlbnRhbCBUcmF1bWF0b2xvZ3k8L2FiYnItMT48L3BlcmlvZGljYWw+PGFsdC1wZXJpb2RpY2Fs
PjxmdWxsLXRpdGxlPkRlbnQgVHJhdW1hdG9sPC9mdWxsLXRpdGxlPjxhYmJyLTE+RGVudGFsIHRy
YXVtYXRvbG9neSA6IG9mZmljaWFsIHB1YmxpY2F0aW9uIG9mIEludGVybmF0aW9uYWwgQXNzb2Np
YXRpb24gZm9yIERlbnRhbCBUcmF1bWF0b2xvZ3k8L2FiYnItMT48L2FsdC1wZXJpb2RpY2FsPjxw
YWdlcz4xNDktMTUyPC9wYWdlcz48dm9sdW1lPjMzPC92b2x1bWU+PG51bWJlcj4yPC9udW1iZXI+
PGVkaXRpb24+MjAxNi8wNy8xMjwvZWRpdGlvbj48a2V5d29yZHM+PGtleXdvcmQ+QWRvbGVzY2Vu
dDwva2V5d29yZD48a2V5d29yZD4qRWxlY3Ryb25pYyBOaWNvdGluZSBEZWxpdmVyeSBTeXN0ZW1z
PC9rZXl3b3JkPjxrZXl3b3JkPipFeHBsb3Npb25zPC9rZXl3b3JkPjxrZXl3b3JkPkZhY2lhbCBJ
bmp1cmllcy8qZXRpb2xvZ3kvKnRoZXJhcHk8L2tleXdvcmQ+PGtleXdvcmQ+SHVtYW5zPC9rZXl3
b3JkPjxrZXl3b3JkPk1hbGU8L2tleXdvcmQ+PGtleXdvcmQ+TXVsdGlwbGUgVHJhdW1hPC9rZXl3
b3JkPjxrZXl3b3JkPmNyb3duIGZyYWN0dXJlPC9rZXl3b3JkPjxrZXl3b3JkPmRlbnRvYWx2ZW9s
YXIgdHJhdW1hPC9rZXl3b3JkPjxrZXl3b3JkPmVsZWN0cm9uaWMgY2lnYXJldHRlPC9rZXl3b3Jk
PjxrZXl3b3JkPmV4dHJ1c2lvbjwva2V5d29yZD48a2V5d29yZD5zb2Z0IHRpc3N1ZTwva2V5d29y
ZD48L2tleXdvcmRzPjxkYXRlcz48eWVhcj4yMDE3PC95ZWFyPjxwdWItZGF0ZXM+PGRhdGU+QXBy
PC9kYXRlPjwvcHViLWRhdGVzPjwvZGF0ZXM+PGlzYm4+MTYwMC00NDY5PC9pc2JuPjxhY2Nlc3Np
b24tbnVtPjI3Mzk3MTM3PC9hY2Nlc3Npb24tbnVtPjx1cmxzPjxyZWxhdGVkLXVybHM+PHVybD5o
dHRwczovL29ubGluZWxpYnJhcnkud2lsZXkuY29tL2RvaS9wZGYvMTAuMTExMS9lZHQuMTIyOTM8
L3VybD48L3JlbGF0ZWQtdXJscz48L3VybHM+PGVsZWN0cm9uaWMtcmVzb3VyY2UtbnVtPjEwLjEx
MTEvZWR0LjEyMjkzPC9lbGVjdHJvbmljLXJlc291cmNlLW51bT48cmVtb3RlLWRhdGFiYXNlLXBy
b3ZpZGVyPk5MTTwvcmVtb3RlLWRhdGFiYXNlLXByb3ZpZGVyPjxsYW5ndWFnZT5lbmc8L2xhbmd1
YWdlPjwvcmVjb3JkPjwvQ2l0ZT48Q2l0ZT48QXV0aG9yPkNoaTwvQXV0aG9yPjxZZWFyPjIwMTg8
L1llYXI+PFJlY051bT4xNzk3PC9SZWNOdW0+PHJlY29yZD48cmVjLW51bWJlcj4xNzk3PC9yZWMt
bnVtYmVyPjxmb3JlaWduLWtleXM+PGtleSBhcHA9IkVOIiBkYi1pZD0iOXZzOXB6ZnpuYXB4cGhl
ZmEyOHh6dzk1c2Y1YXYwc3Y5cmR6IiB0aW1lc3RhbXA9IjE1MjExNTk0NzgiPjE3OTc8L2tleT48
a2V5IGFwcD0iRU5XZWIiIGRiLWlkPSIiPjA8L2tleT48L2ZvcmVpZ24ta2V5cz48cmVmLXR5cGUg
bmFtZT0iSm91cm5hbCBBcnRpY2xlIj4xNzwvcmVmLXR5cGU+PGNvbnRyaWJ1dG9ycz48YXV0aG9y
cz48YXV0aG9yPkNoaSwgQS4gQy48L2F1dGhvcj48YXV0aG9yPk5ldmlsbGUsIEIuIFcuPC9hdXRo
b3I+PGF1dGhvcj5SYXZlbmVsLCBNLjwvYXV0aG9yPjwvYXV0aG9ycz48L2NvbnRyaWJ1dG9ycz48
dGl0bGVzPjx0aXRsZT5FbGVjdHJvbmljIGNpZ2FyZXR0ZSBleHBsb3Npb246IENhc2UgcmVwb3J0
IG9mIGFuIGVtZXJnaW5nIGNhdXNlIG9mIG9yb2ZhY2lhbCB0cmF1bWE8L3RpdGxlPjxzZWNvbmRh
cnktdGl0bGU+VHJhdW1hIChVbml0ZWQgS2luZ2RvbSk8L3NlY29uZGFyeS10aXRsZT48L3RpdGxl
cz48cGVyaW9kaWNhbD48ZnVsbC10aXRsZT5UcmF1bWEgKFVuaXRlZCBLaW5nZG9tKTwvZnVsbC10
aXRsZT48L3BlcmlvZGljYWw+PHBhZ2VzPjYyLTY3PC9wYWdlcz48dm9sdW1lPjIwPC92b2x1bWU+
PG51bWJlcj4xPC9udW1iZXI+PGtleXdvcmRzPjxrZXl3b3JkPmFkdWx0PC9rZXl3b3JkPjxrZXl3
b3JkPkFydGljbGU8L2tleXdvcmQ+PGtleXdvcmQ+Y2FzZSByZXBvcnQ8L2tleXdvcmQ+PGtleXdv
cmQ+Y2xpbmljYWwgYXJ0aWNsZTwva2V5d29yZD48a2V5d29yZD5lZHVjYXRpb248L2tleXdvcmQ+
PGtleXdvcmQ+ZXF1aXBtZW50IGRlc2lnbjwva2V5d29yZD48a2V5d29yZD5leHBsb3Npb248L2tl
eXdvcmQ+PGtleXdvcmQ+ZmFjZSBpbmp1cnk8L2tleXdvcmQ+PGtleXdvcmQ+aGFybSByZWR1Y3Rp
b248L2tleXdvcmQ+PGtleXdvcmQ+aHVtYW48L2tleXdvcmQ+PGtleXdvcmQ+aW5jaWRlbmNlPC9r
ZXl3b3JkPjxrZXl3b3JkPmxhY2VyYXRpb248L2tleXdvcmQ+PGtleXdvcmQ+bWFsZTwva2V5d29y
ZD48a2V5d29yZD5tZWRpY2FsIGRldmljZSBjb21wbGljYXRpb248L2tleXdvcmQ+PGtleXdvcmQ+
bW91dGggaW5qdXJ5PC9rZXl3b3JkPjxrZXl3b3JkPm9yb2ZhY2lhbCBpbmp1cnk8L2tleXdvcmQ+
PGtleXdvcmQ+c2FmZXR5PC9rZXl3b3JkPjxrZXl3b3JkPnNtb2tpbmcgY2Vzc2F0aW9uPC9rZXl3
b3JkPjxrZXl3b3JkPnRlbXBlcmF0dXJlPC9rZXl3b3JkPjxrZXl3b3JkPnRvb3RoIGluanVyeTwv
a2V5d29yZD48a2V5d29yZD5Vbml0ZWQgU3RhdGVzPC9rZXl3b3JkPjxrZXl3b3JkPnlvdW5nIGFk
dWx0PC9rZXl3b3JkPjwva2V5d29yZHM+PGRhdGVzPjx5ZWFyPjIwMTg8L3llYXI+PC9kYXRlcz48
dXJscz48cmVsYXRlZC11cmxzPjx1cmw+aHR0cHM6Ly93d3cuc2NvcHVzLmNvbS9pbndhcmQvcmVj
b3JkLnVyaT9laWQ9Mi1zMi4wLTg1MDM4ODI2MTI2JmFtcDtkb2k9MTAuMTE3NyUyZjE0NjA0MDg2
MTY2NzQyMzQmYW1wO3BhcnRuZXJJRD00MCZhbXA7bWQ1PWJjNmFhMmIxYjYzODgwZWNiNzdhYTJj
MDNhYmU5ODcyPC91cmw+PHVybD5odHRwOi8vam91cm5hbHMuc2FnZXB1Yi5jb20vZG9pL3BkZi8x
MC4xMTc3LzE0NjA0MDg2MTY2NzQyMzQ8L3VybD48L3JlbGF0ZWQtdXJscz48L3VybHM+PGVsZWN0
cm9uaWMtcmVzb3VyY2UtbnVtPjEwLjExNzcvMTQ2MDQwODYxNjY3NDIzNDwvZWxlY3Ryb25pYy1y
ZXNvdXJjZS1udW0+PHJlbW90ZS1kYXRhYmFzZS1uYW1lPlNjb3B1czwvcmVtb3RlLWRhdGFiYXNl
LW5hbWU+PC9yZWNvcmQ+PC9DaXRlPjxDaXRlPjxBdXRob3I+Rm9yYW48L0F1dGhvcj48WWVhcj4y
MDE3PC9ZZWFyPjxSZWNOdW0+NDczNDwvUmVjTnVtPjxyZWNvcmQ+PHJlYy1udW1iZXI+NDczNDwv
cmVjLW51bWJlcj48Zm9yZWlnbi1rZXlzPjxrZXkgYXBwPSJFTiIgZGItaWQ9Ijl6MDVkejBwcmFh
ZGZ1ZWUwem94emVkazl6ZmU1Znh4NTB6NSIgdGltZXN0YW1wPSIxNTIzOTIwNDE5Ij40NzM0PC9r
ZXk+PC9mb3JlaWduLWtleXM+PHJlZi10eXBlIG5hbWU9IkpvdXJuYWwgQXJ0aWNsZSI+MTc8L3Jl
Zi10eXBlPjxjb250cmlidXRvcnM+PGF1dGhvcnM+PGF1dGhvcj5Gb3JhbiwgSS48L2F1dGhvcj48
YXV0aG9yPk9haywgTi4gUi48L2F1dGhvcj48YXV0aG9yPk1ldW5pZXIsIE0uIEouPC9hdXRob3I+
PC9hdXRob3JzPjwvY29udHJpYnV0b3JzPjxhdXRoLWFkZHJlc3M+VW5pdmVyc2l0eSBvZiBDYWxp
Zm9ybmlhIFNhbiBEaWVnbywgU2FuIERpZWdvLCBDYWxpZm9ybmlhLiYjeEQ7RGVwYXJ0bWVudCBv
ZiBPcnRob3BhZWRpYyBTdXJnZXJ5LCBLYWlzZXIgUGVybWFuZW50ZSwgTWlkLUF0bGFudGljIFBl
cm1hbmVudGUgTWVkaWNhbCBHcm91cCwgUm9ja3ZpbGxlLCBNYXJ5bGFuZC48L2F1dGgtYWRkcmVz
cz48dGl0bGVzPjx0aXRsZT5IaWdoLVByZXNzdXJlIEluamVjdGlvbiBJbmp1cnkgQ2F1c2VkIGJ5
IEVsZWN0cm9uaWMgQ2lnYXJldHRlIEV4cGxvc2lvbjogQSBDYXNlIFJlcG9ydDwvdGl0bGU+PHNl
Y29uZGFyeS10aXRsZT5KQkpTIENhc2UgQ29ubmVjdDwvc2Vjb25kYXJ5LXRpdGxlPjxhbHQtdGl0
bGU+SkJKUyBjYXNlIGNvbm5lY3RvcjwvYWx0LXRpdGxlPjwvdGl0bGVzPjxwZXJpb2RpY2FsPjxm
dWxsLXRpdGxlPkpCSlMgQ2FzZSBDb25uZWN0PC9mdWxsLXRpdGxlPjxhYmJyLTE+SkJKUyBjYXNl
IGNvbm5lY3RvcjwvYWJici0xPjwvcGVyaW9kaWNhbD48YWx0LXBlcmlvZGljYWw+PGZ1bGwtdGl0
bGU+SkJKUyBDYXNlIENvbm5lY3Q8L2Z1bGwtdGl0bGU+PGFiYnItMT5KQkpTIGNhc2UgY29ubmVj
dG9yPC9hYmJyLTE+PC9hbHQtcGVyaW9kaWNhbD48cGFnZXM+ZTM2PC9wYWdlcz48dm9sdW1lPjc8
L3ZvbHVtZT48bnVtYmVyPjI8L251bWJlcj48ZWRpdGlvbj4yMDE3LzEyLzE2PC9lZGl0aW9uPjxk
YXRlcz48eWVhcj4yMDE3PC95ZWFyPjxwdWItZGF0ZXM+PGRhdGU+QXByLUp1bjwvZGF0ZT48L3B1
Yi1kYXRlcz48L2RhdGVzPjxpc2JuPjIxNjAtMzI1MTwvaXNibj48YWNjZXNzaW9uLW51bT4yOTI0
NDY3NTwvYWNjZXNzaW9uLW51bT48dXJscz48cmVsYXRlZC11cmxzPjx1cmw+aHR0cHM6Ly9pbnNp
Z2h0cy5vdmlkLmNvbS9wdWJtZWQ/cG1pZD0yOTI0NDY3NTwvdXJsPjwvcmVsYXRlZC11cmxzPjwv
dXJscz48ZWxlY3Ryb25pYy1yZXNvdXJjZS1udW0+MTAuMjEwNi9qYmpzLkNjLjE2LjAwMTc3PC9l
bGVjdHJvbmljLXJlc291cmNlLW51bT48cmVtb3RlLWRhdGFiYXNlLXByb3ZpZGVyPk5MTTwvcmVt
b3RlLWRhdGFiYXNlLXByb3ZpZGVyPjxsYW5ndWFnZT5lbmc8L2xhbmd1YWdlPjwvcmVjb3JkPjwv
Q2l0ZT48Q2l0ZT48QXV0aG9yPk5vcmlpPC9BdXRob3I+PFllYXI+MjAxNzwvWWVhcj48UmVjTnVt
PjY0OTE8L1JlY051bT48cmVjb3JkPjxyZWMtbnVtYmVyPjY0OTE8L3JlYy1udW1iZXI+PGZvcmVp
Z24ta2V5cz48a2V5IGFwcD0iRU4iIGRiLWlkPSI5ejA1ZHowcHJhYWRmdWVlMHpveHplZGs5emZl
NWZ4eDUwejUiIHRpbWVzdGFtcD0iMTUyMzkyMTA5NyI+NjQ5MTwva2V5PjxrZXkgYXBwPSJFTldl
YiIgZGItaWQ9IiI+MDwva2V5PjwvZm9yZWlnbi1rZXlzPjxyZWYtdHlwZSBuYW1lPSJKb3VybmFs
IEFydGljbGUiPjE3PC9yZWYtdHlwZT48Y29udHJpYnV0b3JzPjxhdXRob3JzPjxhdXRob3I+Tm9y
aWksIFQuPC9hdXRob3I+PGF1dGhvcj5QbGF0ZSwgQS48L2F1dGhvcj48L2F1dGhvcnM+PC9jb250
cmlidXRvcnM+PGF1dGgtYWRkcmVzcz5EZXBhcnRtZW50IG9mIEVtZXJnZW5jeSBNZWRpY2luZSwg
VW5pdmVyc2l0eSBvZiBOZXcgTWV4aWNvLCBBbGJ1cXVlcnF1ZSwgTmV3IE1leGljby48L2F1dGgt
YWRkcmVzcz48dGl0bGVzPjx0aXRsZT5FbGVjdHJvbmljIENpZ2FyZXR0ZSBFeHBsb3Npb24gUmVz
dWx0aW5nIGluIGEgQzEgYW5kIEMyIEZyYWN0dXJlOiBBIENhc2UgUmVwb3J0PC90aXRsZT48c2Vj
b25kYXJ5LXRpdGxlPkogRW1lcmcgTWVkPC9zZWNvbmRhcnktdGl0bGU+PGFsdC10aXRsZT5UaGUg
Sm91cm5hbCBvZiBlbWVyZ2VuY3kgbWVkaWNpbmU8L2FsdC10aXRsZT48L3RpdGxlcz48cGVyaW9k
aWNhbD48ZnVsbC10aXRsZT5KIEVtZXJnIE1lZDwvZnVsbC10aXRsZT48YWJici0xPlRoZSBKb3Vy
bmFsIG9mIGVtZXJnZW5jeSBtZWRpY2luZTwvYWJici0xPjwvcGVyaW9kaWNhbD48YWx0LXBlcmlv
ZGljYWw+PGZ1bGwtdGl0bGU+SiBFbWVyZyBNZWQ8L2Z1bGwtdGl0bGU+PGFiYnItMT5UaGUgSm91
cm5hbCBvZiBlbWVyZ2VuY3kgbWVkaWNpbmU8L2FiYnItMT48L2FsdC1wZXJpb2RpY2FsPjxwYWdl
cz44Ni04ODwvcGFnZXM+PHZvbHVtZT41Mjwvdm9sdW1lPjxudW1iZXI+MTwvbnVtYmVyPjxlZGl0
aW9uPjIwMTYvMTAvMDg8L2VkaXRpb24+PGtleXdvcmRzPjxrZXl3b3JkPkFkdWx0PC9rZXl3b3Jk
PjxrZXl3b3JkPkNlcnZpY2FsIFZlcnRlYnJhZS9kaWFnbm9zdGljIGltYWdpbmcvKmluanVyaWVz
L3BoeXNpb3BhdGhvbG9neTwva2V5d29yZD48a2V5d29yZD5EZWdsdXRpdGlvbiBEaXNvcmRlcnMv
ZXRpb2xvZ3k8L2tleXdvcmQ+PGtleXdvcmQ+RWxlY3Ryb25pYyBOaWNvdGluZSBEZWxpdmVyeSBT
eXN0ZW1zLyphZHZlcnNlIGVmZmVjdHMvaW5zdHJ1bWVudGF0aW9uPC9rZXl3b3JkPjxrZXl3b3Jk
PkVtZXJnZW5jeSBTZXJ2aWNlLCBIb3NwaXRhbC9vcmdhbml6YXRpb24gJmFtcDsgYWRtaW5pc3Ry
YXRpb248L2tleXdvcmQ+PGtleXdvcmQ+KkV4cGxvc2lvbnM8L2tleXdvcmQ+PGtleXdvcmQ+SHVt
YW5zPC9rZXl3b3JkPjxrZXl3b3JkPk1hbGU8L2tleXdvcmQ+PGtleXdvcmQ+UGFpbi9ldGlvbG9n
eTwva2V5d29yZD48a2V5d29yZD5SYWRpb2dyYXBoeS9tZXRob2RzPC9rZXl3b3JkPjxrZXl3b3Jk
PlNwaW5hbCBGcmFjdHVyZXMvY29tcGxpY2F0aW9ucy8qZXRpb2xvZ3kvc3VyZ2VyeTwva2V5d29y
ZD48a2V5d29yZD5Ub21vZ3JhcGh5LCBYLVJheSBDb21wdXRlZC9tZXRob2RzPC9rZXl3b3JkPjxr
ZXl3b3JkPmNlcnZpY2FsIHNwaW5lIGluanVyeTwva2V5d29yZD48a2V5d29yZD5lbGVjdHJvbmlj
IGNpZ2FyZXR0ZTwva2V5d29yZD48a2V5d29yZD50cmF1bWE8L2tleXdvcmQ+PC9rZXl3b3Jkcz48
ZGF0ZXM+PHllYXI+MjAxNzwveWVhcj48cHViLWRhdGVzPjxkYXRlPkphbjwvZGF0ZT48L3B1Yi1k
YXRlcz48L2RhdGVzPjxpc2JuPjA3MzYtNDY3OSAoUHJpbnQpJiN4RDswNzM2LTQ2Nzk8L2lzYm4+
PGFjY2Vzc2lvbi1udW0+Mjc3MTI5MDE8L2FjY2Vzc2lvbi1udW0+PHVybHM+PHJlbGF0ZWQtdXJs
cz48dXJsPmh0dHBzOi8vd3d3LnNjaWVuY2VkaXJlY3QuY29tL3NjaWVuY2UvYXJ0aWNsZS9waWkv
UzA3MzY0Njc5MTYzMDY2Njc/dmlhJTNEaWh1YjwvdXJsPjwvcmVsYXRlZC11cmxzPjwvdXJscz48
ZWxlY3Ryb25pYy1yZXNvdXJjZS1udW0+MTAuMTAxNi9qLmplbWVybWVkLjIwMTYuMDguMDEwPC9l
bGVjdHJvbmljLXJlc291cmNlLW51bT48cmVtb3RlLWRhdGFiYXNlLXByb3ZpZGVyPk5MTTwvcmVt
b3RlLWRhdGFiYXNlLXByb3ZpZGVyPjxsYW5ndWFnZT5lbmc8L2xhbmd1YWdlPjwvcmVjb3JkPjwv
Q2l0ZT48Q2l0ZT48QXV0aG9yPlNhdHRlc29uPC9BdXRob3I+PFllYXI+MjAxNzwvWWVhcj48UmVj
TnVtPjY0ODg8L1JlY051bT48cmVjb3JkPjxyZWMtbnVtYmVyPjY0ODg8L3JlYy1udW1iZXI+PGZv
cmVpZ24ta2V5cz48a2V5IGFwcD0iRU4iIGRiLWlkPSI5ejA1ZHowcHJhYWRmdWVlMHpveHplZGs5
emZlNWZ4eDUwejUiIHRpbWVzdGFtcD0iMTUyMzkyMTA5NyI+NjQ4ODwva2V5PjxrZXkgYXBwPSJF
TldlYiIgZGItaWQ9IiI+MDwva2V5PjwvZm9yZWlnbi1rZXlzPjxyZWYtdHlwZSBuYW1lPSJKb3Vy
bmFsIEFydGljbGUiPjE3PC9yZWYtdHlwZT48Y29udHJpYnV0b3JzPjxhdXRob3JzPjxhdXRob3I+
U2F0dGVzb24sIEUuIFMuPC9hdXRob3I+PGF1dGhvcj5XYWxrZXIsIE4uIEouPC9hdXRob3I+PGF1
dGhvcj5UdW9oeSwgQy4gSi48L2F1dGhvcj48YXV0aG9yPk1vbG5hciwgSi4gQS48L2F1dGhvcj48
L2F1dGhvcnM+PC9jb250cmlidXRvcnM+PGF1dGgtYWRkcmVzcz4xIFdha2UgRm9yZXN0IFVuaXZl
cnNpdHkgU2Nob29sIG9mIE1lZGljaW5lLCBXaW5zdG9uLVNhbGVtLCBOQywgVVNBLjwvYXV0aC1h
ZGRyZXNzPjx0aXRsZXM+PHRpdGxlPkV4dGVuc2l2ZSBIYW5kIFRoZXJtYWwgYW5kIEJsYXN0IElu
anVyeSBGcm9tIEVsZWN0cm9uaWMgQ2lnYXJldHRlIEV4cGxvc2lvbjogQSBDYXNlIFJlcG9ydDwv
dGl0bGU+PHNlY29uZGFyeS10aXRsZT5IYW5kIChOIFkpPC9zZWNvbmRhcnktdGl0bGU+PGFsdC10
aXRsZT5IYW5kIChOZXcgWW9yaywgTi5ZLik8L2FsdC10aXRsZT48L3RpdGxlcz48cGVyaW9kaWNh
bD48ZnVsbC10aXRsZT5IYW5kIChOIFkpPC9mdWxsLXRpdGxlPjxhYmJyLTE+SGFuZCAoTmV3IFlv
cmssIE4uWS4pPC9hYmJyLTE+PC9wZXJpb2RpY2FsPjxhbHQtcGVyaW9kaWNhbD48ZnVsbC10aXRs
ZT5IYW5kIChOIFkpPC9mdWxsLXRpdGxlPjxhYmJyLTE+SGFuZCAoTmV3IFlvcmssIE4uWS4pPC9h
YmJyLTE+PC9hbHQtcGVyaW9kaWNhbD48cGFnZXM+MTU1ODk0NDcxNzc0NDMzMzwvcGFnZXM+PGVk
aXRpb24+MjAxNy8xMi8wMjwvZWRpdGlvbj48a2V5d29yZHM+PGtleXdvcmQ+ZWxlY3Ryb25pYyBj
aWdhcmV0dGU8L2tleXdvcmQ+PGtleXdvcmQ+ZXhwbG9zaW9uPC9rZXl3b3JkPjxrZXl3b3JkPmhh
bmQgYnVybjwva2V5d29yZD48a2V5d29yZD52YXBpbmc8L2tleXdvcmQ+PGtleXdvcmQ+dmFwb3I8
L2tleXdvcmQ+PC9rZXl3b3Jkcz48ZGF0ZXM+PHllYXI+MjAxNzwveWVhcj48cHViLWRhdGVzPjxk
YXRlPk5vdiAxPC9kYXRlPjwvcHViLWRhdGVzPjwvZGF0ZXM+PGlzYm4+MTU1OC05NDQ3PC9pc2Ju
PjxhY2Nlc3Npb24tbnVtPjI5MTkyNTA2PC9hY2Nlc3Npb24tbnVtPjx1cmxzPjxyZWxhdGVkLXVy
bHM+PHVybD5odHRwOi8vam91cm5hbHMuc2FnZXB1Yi5jb20vZG9pL3BkZi8xMC4xMTc3LzE1NTg5
NDQ3MTc3NDQzMzM8L3VybD48L3JlbGF0ZWQtdXJscz48L3VybHM+PGVsZWN0cm9uaWMtcmVzb3Vy
Y2UtbnVtPjEwLjExNzcvMTU1ODk0NDcxNzc0NDMzMzwvZWxlY3Ryb25pYy1yZXNvdXJjZS1udW0+
PHJlbW90ZS1kYXRhYmFzZS1wcm92aWRlcj5OTE08L3JlbW90ZS1kYXRhYmFzZS1wcm92aWRlcj48
bGFuZ3VhZ2U+ZW5nPC9sYW5ndWFnZT48L3JlY29yZD48L0NpdGU+PENpdGU+PEF1dGhvcj5UcmVp
dGw8L0F1dGhvcj48WWVhcj4yMDE3PC9ZZWFyPjxSZWNOdW0+NTE4MDwvUmVjTnVtPjxyZWNvcmQ+
PHJlYy1udW1iZXI+NTE4MDwvcmVjLW51bWJlcj48Zm9yZWlnbi1rZXlzPjxrZXkgYXBwPSJFTiIg
ZGItaWQ9Ijl6MDVkejBwcmFhZGZ1ZWUwem94emVkazl6ZmU1Znh4NTB6NSIgdGltZXN0YW1wPSIx
NTIzOTIwOTMwIj41MTgwPC9rZXk+PGtleSBhcHA9IkVOV2ViIiBkYi1pZD0iIj4wPC9rZXk+PC9m
b3JlaWduLWtleXM+PHJlZi10eXBlIG5hbWU9IkpvdXJuYWwgQXJ0aWNsZSI+MTc8L3JlZi10eXBl
Pjxjb250cmlidXRvcnM+PGF1dGhvcnM+PGF1dGhvcj5UcmVpdGwsIEQuPC9hdXRob3I+PGF1dGhv
cj5Tb2xvbW9uLCBSLjwvYXV0aG9yPjxhdXRob3I+RGF2YXJlLCBELiBMLjwvYXV0aG9yPjxhdXRo
b3I+U2FuY2hleiwgUi48L2F1dGhvcj48YXV0aG9yPktpZmZpbiwgQy48L2F1dGhvcj48L2F1dGhv
cnM+PC9jb250cmlidXRvcnM+PGF1dGgtYWRkcmVzcz5EaXZpc2lvbiBvZiBBY3V0ZSBDYXJlIFN1
cmdlcnkgYW5kIFRyYXVtYSwgTWVtb3JpYWwgUmVnaW9uYWwgSG9zcGl0YWwsIEhvbGx5d29vZCwg
RmxvcmlkYTsgTW91bnQgU2luYWkgTWVkaWNhbCBDZW50ZXIsIE1pYW1pIEJlYWNoLCBGbG9yaWRh
LiYjeEQ7RGl2aXNpb24gb2YgQWN1dGUgQ2FyZSBTdXJnZXJ5IGFuZCBUcmF1bWEsIE1lbW9yaWFs
IFJlZ2lvbmFsIEhvc3BpdGFsLCBIb2xseXdvb2QsIEZsb3JpZGEuPC9hdXRoLWFkZHJlc3M+PHRp
dGxlcz48dGl0bGU+RnVsbCBhbmQgUGFydGlhbCBUaGlja25lc3MgQnVybnMgZnJvbSBTcG9udGFu
ZW91cyBDb21idXN0aW9uIG9mIEUtQ2lnYXJldHRlIExpdGhpdW0tSW9uIEJhdHRlcmllcyB3aXRo
IFJldmlldyBvZiBMaXRlcmF0dXJlPC90aXRsZT48c2Vjb25kYXJ5LXRpdGxlPkogRW1lcmcgTWVk
PC9zZWNvbmRhcnktdGl0bGU+PGFsdC10aXRsZT5UaGUgSm91cm5hbCBvZiBlbWVyZ2VuY3kgbWVk
aWNpbmU8L2FsdC10aXRsZT48L3RpdGxlcz48cGVyaW9kaWNhbD48ZnVsbC10aXRsZT5KIEVtZXJn
IE1lZDwvZnVsbC10aXRsZT48YWJici0xPlRoZSBKb3VybmFsIG9mIGVtZXJnZW5jeSBtZWRpY2lu
ZTwvYWJici0xPjwvcGVyaW9kaWNhbD48YWx0LXBlcmlvZGljYWw+PGZ1bGwtdGl0bGU+SiBFbWVy
ZyBNZWQ8L2Z1bGwtdGl0bGU+PGFiYnItMT5UaGUgSm91cm5hbCBvZiBlbWVyZ2VuY3kgbWVkaWNp
bmU8L2FiYnItMT48L2FsdC1wZXJpb2RpY2FsPjxwYWdlcz4xMjEtMTI1PC9wYWdlcz48dm9sdW1l
PjUzPC92b2x1bWU+PG51bWJlcj4xPC9udW1iZXI+PGVkaXRpb24+MjAxNy8wNS8xNjwvZWRpdGlv
bj48a2V5d29yZHM+PGtleXdvcmQ+ZWxlY3Ryb25pYyBjaWdhcmV0dGUgYnVybnM8L2tleXdvcmQ+
PGtleXdvcmQ+ZnVsbCBhbmQgcGFydGlhbCB0aGlja25lc3MgYnVybnM8L2tleXdvcmQ+PGtleXdv
cmQ+bGl0aGl1bS1pb24gYmF0dGVyeSBleHBsb3Npb25zPC9rZXl3b3JkPjwva2V5d29yZHM+PGRh
dGVzPjx5ZWFyPjIwMTc8L3llYXI+PHB1Yi1kYXRlcz48ZGF0ZT5KdWw8L2RhdGU+PC9wdWItZGF0
ZXM+PC9kYXRlcz48aXNibj4wNzM2LTQ2NzkgKFByaW50KSYjeEQ7MDczNi00Njc5PC9pc2JuPjxh
Y2Nlc3Npb24tbnVtPjI4NTAxMzg1PC9hY2Nlc3Npb24tbnVtPjx1cmxzPjxyZWxhdGVkLXVybHM+
PHVybD5odHRwczovL3d3dy5zY2llbmNlZGlyZWN0LmNvbS9zY2llbmNlL2FydGljbGUvcGlpL1Mw
NzM2NDY3OTE3MzAzMjE5P3ZpYSUzRGlodWI8L3VybD48L3JlbGF0ZWQtdXJscz48L3VybHM+PGVs
ZWN0cm9uaWMtcmVzb3VyY2UtbnVtPjEwLjEwMTYvai5qZW1lcm1lZC4yMDE3LjAzLjAzMTwvZWxl
Y3Ryb25pYy1yZXNvdXJjZS1udW0+PHJlbW90ZS1kYXRhYmFzZS1wcm92aWRlcj5OTE08L3JlbW90
ZS1kYXRhYmFzZS1wcm92aWRlcj48bGFuZ3VhZ2U+ZW5nPC9sYW5ndWFnZT48L3JlY29yZD48L0Np
dGU+PC9FbmROb3RlPn==
</w:fldData>
            </w:fldChar>
          </w:r>
          <w:r>
            <w:rPr>
              <w:sz w:val="24"/>
            </w:rPr>
            <w:instrText xml:space="preserve"> ADDIN EN.CITE </w:instrText>
          </w:r>
          <w:r>
            <w:rPr>
              <w:sz w:val="24"/>
            </w:rPr>
            <w:fldChar w:fldCharType="begin">
              <w:fldData xml:space="preserve">PEVuZE5vdGU+PENpdGU+PEF1dGhvcj5BY2tsZXk8L0F1dGhvcj48WWVhcj4yMDE4PC9ZZWFyPjxS
ZWNOdW0+NDY0NTwvUmVjTnVtPjxEaXNwbGF5VGV4dD4oQmFuLCBLcmlzaG5hbiBldCBhbC4gMjAx
NywgQmF1bWFuLCBSb21hbiBldCBhbC4gMjAxNywgQnJvb2tzLCBLbGVpbm1hbiBldCBhbC4gMjAx
NywgRm9yYW4sIE9hayBldCBhbC4gMjAxNywgTm9yaWkgYW5kIFBsYXRlIDIwMTcsIFNhdHRlc29u
LCBXYWxrZXIgZXQgYWwuIDIwMTcsIFRyZWl0bCwgU29sb21vbiBldCBhbC4gMjAxNywgQWNrbGV5
LCBXaWxsaWFtcyBldCBhbC4gMjAxOCwgQ2hpLCBOZXZpbGxlIGV0IGFsLiAyMDE4KTwvRGlzcGxh
eVRleHQ+PHJlY29yZD48cmVjLW51bWJlcj40NjQ1PC9yZWMtbnVtYmVyPjxmb3JlaWduLWtleXM+
PGtleSBhcHA9IkVOIiBkYi1pZD0iOXowNWR6MHByYWFkZnVlZTB6b3h6ZWRrOXpmZTVmeHg1MHo1
IiB0aW1lc3RhbXA9IjE1MjM5MjAyOTIiPjQ2NDU8L2tleT48a2V5IGFwcD0iRU5XZWIiIGRiLWlk
PSIiPjA8L2tleT48L2ZvcmVpZ24ta2V5cz48cmVmLXR5cGUgbmFtZT0iSm91cm5hbCBBcnRpY2xl
Ij4xNzwvcmVmLXR5cGU+PGNvbnRyaWJ1dG9ycz48YXV0aG9ycz48YXV0aG9yPkFja2xleSwgRS48
L2F1dGhvcj48YXV0aG9yPldpbGxpYW1zLCBKLiBULiBCLjwvYXV0aG9yPjxhdXRob3I+S3VucmF0
aCwgQy48L2F1dGhvcj48YXV0aG9yPk1vbnNvbiwgTS48L2F1dGhvcj48YXV0aG9yPklnbmF0aXVr
LCBBLjwvYXV0aG9yPjxhdXRob3I+R2FlbnNiYXVlciwgSi48L2F1dGhvcj48L2F1dGhvcnM+PC9j
b250cmlidXRvcnM+PGF1dGgtYWRkcmVzcz5QZWRpYXRyaWMgUmVzaWRlbmN5IFByb2dyYW0gVW5p
dmVyc2l0eSBvZiBDb2xvcmFkbyBEZW52ZXIgU2Nob29sIG9mIE1lZGljaW5lIEF1cm9yYSwgQ29s
b3JhZG8uJiN4RDtEZXBhcnRtZW50IG9mIFBlZGlhdHJpY3MgRGVudmVyIEhlYWx0aCBNZWRpY2Fs
IENlbnRlciBEZW52ZXIsIENvbG9yYWRvOyBEZXBhcnRtZW50IG9mIFBlZGlhdHJpY3MgVW5pdmVy
c2l0eSBvZiBDb2xvcmFkbyBEZW52ZXIgU2Nob29sIG9mIE1lZGljaW5lIEF1cm9yYSwgQ29sb3Jh
ZG8uJiN4RDtEZXBhcnRtZW50IG9mIFBlZGlhdHJpY3MgUGVkaWF0cmljIENyaXRpY2FsIENhcmUg
RGVudmVyIEhlYWx0aCBNZWRpY2FsIENlbnRlciBEZW52ZXIsIENvbG9yYWRvOyBEZXBhcnRtZW50
IG9mIFBlZGlhdHJpY3MgVW5pdmVyc2l0eSBvZiBDb2xvcmFkbyBEZW52ZXIgU2Nob29sIG9mIE1l
ZGljaW5lIEF1cm9yYSwgQ29sb3JhZG8uJiN4RDtQZWRpYXRyaWMgUmFkaW9sb2d5IERlbnZlciBI
ZWFsdGggTWVkaWNhbCBDZW50ZXIgRGVudmVyLCBDb2xvcmFkbzsgRGVwYXJ0bWVudCBvZiBQZWRp
YXRyaWNzIFVuaXZlcnNpdHkgb2YgQ29sb3JhZG8gRGVudmVyIFNjaG9vbCBvZiBNZWRpY2luZSBB
dXJvcmEsIENvbG9yYWRvLiYjeEQ7T3J0aG9wZWRpYyBTdXJnZXJ5IERlbnZlciBIZWFsdGggTWVk
aWNhbCBDZW50ZXIgRGVudmVyLCBDb2xvcmFkbzsgRGVwYXJ0bWVudCBvZiBQZWRpYXRyaWNzIFVu
aXZlcnNpdHkgb2YgQ29sb3JhZG8gRGVudmVyIFNjaG9vbCBvZiBNZWRpY2luZSBBdXJvcmEsIENv
bG9yYWRvLiYjeEQ7RGVwYXJ0bWVudCBvZiBQZWRpYXRyaWNzIFBlZGlhdHJpYyBJbmZlY3Rpb3Vz
IERpc2Vhc2VzIERlbnZlciBIZWFsdGggTWVkaWNhbCBDZW50ZXIgRGVudmVyLCBDb2xvcmFkbzsg
RGVwYXJ0bWVudCBvZiBQZWRpYXRyaWNzIFVuaXZlcnNpdHkgb2YgQ29sb3JhZG8gRGVudmVyIFNj
aG9vbCBvZiBNZWRpY2luZSBBdXJvcmEsIENvbG9yYWRvLjwvYXV0aC1hZGRyZXNzPjx0aXRsZXM+
PHRpdGxlPlRvbyBIb3QgdG8gSGFuZGxlPyBXaGVuIFZhcG9yaXplcnMgRXhwbG9kZTwvdGl0bGU+
PHNlY29uZGFyeS10aXRsZT5KIFBlZGlhdHI8L3NlY29uZGFyeS10aXRsZT48YWx0LXRpdGxlPlRo
ZSBKb3VybmFsIG9mIHBlZGlhdHJpY3M8L2FsdC10aXRsZT48L3RpdGxlcz48cGVyaW9kaWNhbD48
ZnVsbC10aXRsZT5KIFBlZGlhdHI8L2Z1bGwtdGl0bGU+PGFiYnItMT5UaGUgSm91cm5hbCBvZiBw
ZWRpYXRyaWNzPC9hYmJyLTE+PC9wZXJpb2RpY2FsPjxhbHQtcGVyaW9kaWNhbD48ZnVsbC10aXRs
ZT5KIFBlZGlhdHI8L2Z1bGwtdGl0bGU+PGFiYnItMT5UaGUgSm91cm5hbCBvZiBwZWRpYXRyaWNz
PC9hYmJyLTE+PC9hbHQtcGVyaW9kaWNhbD48ZWRpdGlvbj4yMDE4LzAyLzA2PC9lZGl0aW9uPjxr
ZXl3b3Jkcz48a2V5d29yZD5lbGVjdHJvbmljIGNpZ2FyZXR0ZTwva2V5d29yZD48a2V5d29yZD5l
bGVjdHJvbmljIG5pY290aW5lLWRlbGl2ZXJ5IHN5c3RlbXM8L2tleXdvcmQ+PGtleXdvcmQ+cGVy
c29uYWwgdmFwb3JpemVyPC9rZXl3b3JkPjwva2V5d29yZHM+PGRhdGVzPjx5ZWFyPjIwMTg8L3ll
YXI+PHB1Yi1kYXRlcz48ZGF0ZT5KYW4gMjU8L2RhdGU+PC9wdWItZGF0ZXM+PC9kYXRlcz48aXNi
bj4wMDIyLTM0NzY8L2lzYm4+PGFjY2Vzc2lvbi1udW0+MjkzOTUxNzU8L2FjY2Vzc2lvbi1udW0+
PHVybHM+PHJlbGF0ZWQtdXJscz48dXJsPmh0dHBzOi8vd3d3LnNjaWVuY2VkaXJlY3QuY29tL3Nj
aWVuY2UvYXJ0aWNsZS9waWkvUzAwMjIzNDc2MTczMTcyNzQ/dmlhJTNEaWh1YjwvdXJsPjwvcmVs
YXRlZC11cmxzPjwvdXJscz48ZWxlY3Ryb25pYy1yZXNvdXJjZS1udW0+MTAuMTAxNi9qLmpwZWRz
LjIwMTcuMTIuMDMyPC9lbGVjdHJvbmljLXJlc291cmNlLW51bT48cmVtb3RlLWRhdGFiYXNlLXBy
b3ZpZGVyPk5MTTwvcmVtb3RlLWRhdGFiYXNlLXByb3ZpZGVyPjxsYW5ndWFnZT5lbmc8L2xhbmd1
YWdlPjwvcmVjb3JkPjwvQ2l0ZT48Q2l0ZT48QXV0aG9yPkJhbjwvQXV0aG9yPjxZZWFyPjIwMTc8
L1llYXI+PFJlY051bT41NzYxPC9SZWNOdW0+PHJlY29yZD48cmVjLW51bWJlcj41NzYxPC9yZWMt
bnVtYmVyPjxmb3JlaWduLWtleXM+PGtleSBhcHA9IkVOIiBkYi1pZD0iOXowNWR6MHByYWFkZnVl
ZTB6b3h6ZWRrOXpmZTVmeHg1MHo1IiB0aW1lc3RhbXA9IjE1MjM5MjEwMTEiPjU3NjE8L2tleT48
L2ZvcmVpZ24ta2V5cz48cmVmLXR5cGUgbmFtZT0iSm91cm5hbCBBcnRpY2xlIj4xNzwvcmVmLXR5
cGU+PGNvbnRyaWJ1dG9ycz48YXV0aG9ycz48YXV0aG9yPkJhbiwgQy48L2F1dGhvcj48YXV0aG9y
PktyaXNobmFuLCBELiBHLjwvYXV0aG9yPjxhdXRob3I+QWJkYWxsYWgsIFkuPC9hdXRob3I+PC9h
dXRob3JzPjwvY29udHJpYnV0b3JzPjx0aXRsZXM+PHRpdGxlPkJhbGxpc3RpYyB0cmF1bWEgZnJv
bSBhbiBleHBsb2RpbmcgZWxlY3Ryb25pYyBjaWdhcmV0dGU6IENhc2UgcmVwb3J0PC90aXRsZT48
c2Vjb25kYXJ5LXRpdGxlPk9yYWwgYW5kIE1heGlsbG9mYWNpYWwgU3VyZ2VyeSBDYXNlczwvc2Vj
b25kYXJ5LXRpdGxlPjwvdGl0bGVzPjxwZXJpb2RpY2FsPjxmdWxsLXRpdGxlPk9yYWwgYW5kIE1h
eGlsbG9mYWNpYWwgU3VyZ2VyeSBDYXNlczwvZnVsbC10aXRsZT48L3BlcmlvZGljYWw+PHBhZ2Vz
PjYxLTYzPC9wYWdlcz48dm9sdW1lPjM8L3ZvbHVtZT48bnVtYmVyPjM8L251bWJlcj48a2V5d29y
ZHM+PGtleXdvcmQ+Y2xpbmRhbXljaW48L2tleXdvcmQ+PGtleXdvcmQ+YWR1bHQ8L2tleXdvcmQ+
PGtleXdvcmQ+QXJ0aWNsZTwva2V5d29yZD48a2V5d29yZD5jYXNlIHJlcG9ydDwva2V5d29yZD48
a2V5d29yZD5jb21wdXRlciBhc3Npc3RlZCB0b21vZ3JhcGh5PC9rZXl3b3JkPjxrZXl3b3JkPmRl
YnJpZGVtZW50PC9rZXl3b3JkPjxrZXl3b3JkPmVsZWN0cm9uaWMgY2lnYXJldHRlPC9rZXl3b3Jk
PjxrZXl3b3JkPmZvcmVpZ24gYm9keTwva2V5d29yZD48a2V5d29yZD5ndW5zaG90IGluanVyeTwv
a2V5d29yZD48a2V5d29yZD5odW1hbjwva2V5d29yZD48a2V5d29yZD5pbnRlcm5hdGlvbmFsIG5v
cm1hbGl6ZWQgcmF0aW88L2tleXdvcmQ+PGtleXdvcmQ+bWFsZTwva2V5d29yZD48a2V5d29yZD5t
YXhpbGxvZmFjaWFsIHN1cmdlcnk8L2tleXdvcmQ+PGtleXdvcmQ+bWlkZGxlIGFnZWQ8L2tleXdv
cmQ+PGtleXdvcmQ+b3h5Z2VuIHNhdHVyYXRpb248L2tleXdvcmQ+PGtleXdvcmQ+cHJpb3JpdHkg
am91cm5hbDwva2V5d29yZD48a2V5d29yZD5wcm90aHJvbWJpbiB0aW1lPC9rZXl3b3JkPjxrZXl3
b3JkPnNtb2tpbmc8L2tleXdvcmQ+PC9rZXl3b3Jkcz48ZGF0ZXM+PHllYXI+MjAxNzwveWVhcj48
L2RhdGVzPjx1cmxzPjxyZWxhdGVkLXVybHM+PHVybD5odHRwczovL3d3dy5zY29wdXMuY29tL2lu
d2FyZC9yZWNvcmQudXJpP2VpZD0yLXMyLjAtODUwMjA2OTIwMTUmYW1wO2RvaT0xMC4xMDE2JTJm
ai5vbXNjLjIwMTcuMDEuMDA3JmFtcDtwYXJ0bmVySUQ9NDAmYW1wO21kNT1jNDIzOWVlZGQ4NjQx
YTM0NWQzMTU0MDJmZDAzN2E3MjwvdXJsPjx1cmw+aHR0cHM6Ly93d3cuc2NpZW5jZWRpcmVjdC5j
b20vc2NpZW5jZS9hcnRpY2xlL3BpaS9TMjIxNDU0MTkxNzMwMDA3WD92aWElM0RpaHViPC91cmw+
PC9yZWxhdGVkLXVybHM+PC91cmxzPjxlbGVjdHJvbmljLXJlc291cmNlLW51bT4xMC4xMDE2L2ou
b21zYy4yMDE3LjAxLjAwNzwvZWxlY3Ryb25pYy1yZXNvdXJjZS1udW0+PHJlbW90ZS1kYXRhYmFz
ZS1uYW1lPlNjb3B1czwvcmVtb3RlLWRhdGFiYXNlLW5hbWU+PC9yZWNvcmQ+PC9DaXRlPjxDaXRl
PjxBdXRob3I+QmF1bWFuPC9BdXRob3I+PFllYXI+MjAxNzwvWWVhcj48UmVjTnVtPjUzMDc8L1Jl
Y051bT48cmVjb3JkPjxyZWMtbnVtYmVyPjUzMDc8L3JlYy1udW1iZXI+PGZvcmVpZ24ta2V5cz48
a2V5IGFwcD0iRU4iIGRiLWlkPSI5ejA1ZHowcHJhYWRmdWVlMHpveHplZGs5emZlNWZ4eDUwejUi
IHRpbWVzdGFtcD0iMTUyMzkyMDk0NCI+NTMwNzwva2V5PjxrZXkgYXBwPSJFTldlYiIgZGItaWQ9
IiI+MDwva2V5PjwvZm9yZWlnbi1rZXlzPjxyZWYtdHlwZSBuYW1lPSJKb3VybmFsIEFydGljbGUi
PjE3PC9yZWYtdHlwZT48Y29udHJpYnV0b3JzPjxhdXRob3JzPjxhdXRob3I+QmF1bWFuLCBaLiBN
LjwvYXV0aG9yPjxhdXRob3I+Um9tYW4sIEouPC9hdXRob3I+PGF1dGhvcj5TaW5nZXIsIE0uPC9h
dXRob3I+PGF1dGhvcj5WZXJjcnV5c3NlLCBHLiBBLjwvYXV0aG9yPjwvYXV0aG9ycz48L2NvbnRy
aWJ1dG9ycz48YXV0aC1hZGRyZXNzPlVuaXZlcnNpdHkgb2YgQXJpem9uYSBNZWRpY2FsIENlbnRl
ciwgRGVwYXJ0bWVudCBvZiBUcmF1bWEsIENyaXRpY2FsIENhcmUsIEJ1cm5zIGFuZCBFbWVyZ2Vu
Y3kgU3VyZ2VyeSwgVW5pdGVkIFN0YXRlcy4mI3hEO1VuaXZlcnNpdHkgb2YgQXJpem9uYSBNZWRp
Y2FsIENlbnRlciwgRGVwYXJ0bWVudCBvZiBUcmF1bWEsIENyaXRpY2FsIENhcmUsIEJ1cm5zIGFu
ZCBFbWVyZ2VuY3kgU3VyZ2VyeSwgVW5pdGVkIFN0YXRlcy4gRWxlY3Ryb25pYyBhZGRyZXNzOiBn
dmVyY3J1eXNzZUBzdXJnZXJ5LmFyaXpvbmEuZWR1LjwvYXV0aC1hZGRyZXNzPjx0aXRsZXM+PHRp
dGxlPkNhbmFyeSBpbiB0aGUgY29hbCBtaW5lLUluaXRpYWwgcmVwb3J0cyBvZiB0aGVybWFsIGlu
anVyeSBzZWNvbmRhcnkgdG8gZWxlY3Ryb25pYyBjaWdhcmV0dGVzPC90aXRsZT48c2Vjb25kYXJ5
LXRpdGxlPkJ1cm5zPC9zZWNvbmRhcnktdGl0bGU+PGFsdC10aXRsZT5CdXJucyA6IGpvdXJuYWwg
b2YgdGhlIEludGVybmF0aW9uYWwgU29jaWV0eSBmb3IgQnVybiBJbmp1cmllczwvYWx0LXRpdGxl
PjwvdGl0bGVzPjxwZXJpb2RpY2FsPjxmdWxsLXRpdGxlPkJ1cm5zPC9mdWxsLXRpdGxlPjxhYmJy
LTE+QnVybnMgOiBqb3VybmFsIG9mIHRoZSBJbnRlcm5hdGlvbmFsIFNvY2lldHkgZm9yIEJ1cm4g
SW5qdXJpZXM8L2FiYnItMT48L3BlcmlvZGljYWw+PGFsdC1wZXJpb2RpY2FsPjxmdWxsLXRpdGxl
PkJ1cm5zPC9mdWxsLXRpdGxlPjxhYmJyLTE+QnVybnMgOiBqb3VybmFsIG9mIHRoZSBJbnRlcm5h
dGlvbmFsIFNvY2lldHkgZm9yIEJ1cm4gSW5qdXJpZXM8L2FiYnItMT48L2FsdC1wZXJpb2RpY2Fs
PjxwYWdlcz5lMzgtZTQyPC9wYWdlcz48dm9sdW1lPjQzPC92b2x1bWU+PG51bWJlcj4zPC9udW1i
ZXI+PGVkaXRpb24+MjAxNy8wMy8xMDwvZWRpdGlvbj48a2V5d29yZHM+PGtleXdvcmQ+QWR1bHQ8
L2tleXdvcmQ+PGtleXdvcmQ+QmFuZGFnZXM8L2tleXdvcmQ+PGtleXdvcmQ+QnVybnMvKmV0aW9s
b2d5L3RoZXJhcHk8L2tleXdvcmQ+PGtleXdvcmQ+RGVicmlkZW1lbnQ8L2tleXdvcmQ+PGtleXdv
cmQ+RWxlY3RyaWMgUG93ZXIgU3VwcGxpZXMvKmFkdmVyc2UgZWZmZWN0czwva2V5d29yZD48a2V5
d29yZD5FbGVjdHJvbmljIE5pY290aW5lIERlbGl2ZXJ5IFN5c3RlbXMvKmFkdmVyc2UgZWZmZWN0
czwva2V5d29yZD48a2V5d29yZD5IdW1hbnM8L2tleXdvcmQ+PGtleXdvcmQ+TGVnIEluanVyaWVz
LypldGlvbG9neS90aGVyYXB5PC9rZXl3b3JkPjxrZXl3b3JkPk1hbGU8L2tleXdvcmQ+PGtleXdv
cmQ+TWlkZGxlIEFnZWQ8L2tleXdvcmQ+PGtleXdvcmQ+U2tpbiBUcmFuc3BsYW50YXRpb248L2tl
eXdvcmQ+PGtleXdvcmQ+VGhpZ2g8L2tleXdvcmQ+PGtleXdvcmQ+V291bmQgSW5mZWN0aW9uL3Ro
ZXJhcHk8L2tleXdvcmQ+PGtleXdvcmQ+WW91bmcgQWR1bHQ8L2tleXdvcmQ+PGtleXdvcmQ+QnVy
bnM8L2tleXdvcmQ+PGtleXdvcmQ+RWxlY3Ryb25pYyBjaWdhcmV0dGVzPC9rZXl3b3JkPjxrZXl3
b3JkPkxpdGhpdW0taW9uIGJhdHRlcnk8L2tleXdvcmQ+PGtleXdvcmQ+VGhlcm1hbCBpbmp1cnk8
L2tleXdvcmQ+PC9rZXl3b3Jkcz48ZGF0ZXM+PHllYXI+MjAxNzwveWVhcj48cHViLWRhdGVzPjxk
YXRlPk1heTwvZGF0ZT48L3B1Yi1kYXRlcz48L2RhdGVzPjxpc2JuPjAzMDUtNDE3OTwvaXNibj48
YWNjZXNzaW9uLW51bT4yODI3NzI3MzwvYWNjZXNzaW9uLW51bT48dXJscz48cmVsYXRlZC11cmxz
Pjx1cmw+aHR0cHM6Ly93d3cuc2NpZW5jZWRpcmVjdC5jb20vc2NpZW5jZS9hcnRpY2xlL3BpaS9T
MDMwNTQxNzkxNjMwNDAyOD92aWElM0RpaHViPC91cmw+PC9yZWxhdGVkLXVybHM+PC91cmxzPjxl
bGVjdHJvbmljLXJlc291cmNlLW51bT4xMC4xMDE2L2ouYnVybnMuMjAxNi4wOS4wMjQ8L2VsZWN0
cm9uaWMtcmVzb3VyY2UtbnVtPjxyZW1vdGUtZGF0YWJhc2UtcHJvdmlkZXI+TkxNPC9yZW1vdGUt
ZGF0YWJhc2UtcHJvdmlkZXI+PGxhbmd1YWdlPmVuZzwvbGFuZ3VhZ2U+PC9yZWNvcmQ+PC9DaXRl
PjxDaXRlPjxBdXRob3I+QnJvb2tzPC9BdXRob3I+PFllYXI+MjAxNzwvWWVhcj48UmVjTnVtPjU1
NTc8L1JlY051bT48cmVjb3JkPjxyZWMtbnVtYmVyPjU1NTc8L3JlYy1udW1iZXI+PGZvcmVpZ24t
a2V5cz48a2V5IGFwcD0iRU4iIGRiLWlkPSI5ejA1ZHowcHJhYWRmdWVlMHpveHplZGs5emZlNWZ4
eDUwejUiIHRpbWVzdGFtcD0iMTUyMzkyMDk4OCI+NTU1Nzwva2V5PjxrZXkgYXBwPSJFTldlYiIg
ZGItaWQ9IiI+MDwva2V5PjwvZm9yZWlnbi1rZXlzPjxyZWYtdHlwZSBuYW1lPSJKb3VybmFsIEFy
dGljbGUiPjE3PC9yZWYtdHlwZT48Y29udHJpYnV0b3JzPjxhdXRob3JzPjxhdXRob3I+QnJvb2tz
LCBKLiBLLjwvYXV0aG9yPjxhdXRob3I+S2xlaW5tYW4sIEouIFcuPC9hdXRob3I+PGF1dGhvcj5C
cm9va3MsIEouIEIuPC9hdXRob3I+PGF1dGhvcj5SZXlub2xkcywgTS4gQS48L2F1dGhvcj48L2F1
dGhvcnM+PC9jb250cmlidXRvcnM+PGF1dGgtYWRkcmVzcz5EZXBhcnRtZW50IG9mIE9uY29sb2d5
IGFuZCBEaWFnbm9zdGljIFNjaWVuY2VzLCBVbml2ZXJzaXR5IG9mIE1hcnlsYW5kIFNjaG9vbCBv
ZiBEZW50aXN0cnksIEJhbHRpbW9yZSwgTWFyeWxhbmQsIFVTQS4mI3hEO0RlcGFydG1lbnQgb2Yg
UGVyaW9kb250b2xvZ3ksIFVuaXZlcnNpdHkgb2YgTWFyeWxhbmQgU2Nob29sIG9mIERlbnRpc3Ry
eSwgQmFsdGltb3JlLCBNYXJ5bGFuZCwgVVNBLiYjeEQ7UHJpdmF0ZSBwcmFjdGljZSwgV2VzdG1p
bnN0ZXIsIE1hcnlsYW5kLCBVU0EuJiN4RDtVbml2ZXJzaXR5IG9mIEJhbHRpbW9yZSBTY2hvb2wg
b2YgTGF3LCBCYWx0aW1vcmUsIE1hcnlsYW5kLCBVU0EuPC9hdXRoLWFkZHJlc3M+PHRpdGxlcz48
dGl0bGU+RWxlY3Ryb25pYyBjaWdhcmV0dGUgZXhwbG9zaW9uIGFzc29jaWF0ZWQgd2l0aCBleHRl
bnNpdmUgaW50cmFvcmFsIGluanVyaWVzPC90aXRsZT48c2Vjb25kYXJ5LXRpdGxlPkRlbnQgVHJh
dW1hdG9sPC9zZWNvbmRhcnktdGl0bGU+PGFsdC10aXRsZT5EZW50YWwgdHJhdW1hdG9sb2d5IDog
b2ZmaWNpYWwgcHVibGljYXRpb24gb2YgSW50ZXJuYXRpb25hbCBBc3NvY2lhdGlvbiBmb3IgRGVu
dGFsIFRyYXVtYXRvbG9neTwvYWx0LXRpdGxlPjwvdGl0bGVzPjxwZXJpb2RpY2FsPjxmdWxsLXRp
dGxlPkRlbnQgVHJhdW1hdG9sPC9mdWxsLXRpdGxlPjxhYmJyLTE+RGVudGFsIHRyYXVtYXRvbG9n
eSA6IG9mZmljaWFsIHB1YmxpY2F0aW9uIG9mIEludGVybmF0aW9uYWwgQXNzb2NpYXRpb24gZm9y
IERlbnRhbCBUcmF1bWF0b2xvZ3k8L2FiYnItMT48L3BlcmlvZGljYWw+PGFsdC1wZXJpb2RpY2Fs
PjxmdWxsLXRpdGxlPkRlbnQgVHJhdW1hdG9sPC9mdWxsLXRpdGxlPjxhYmJyLTE+RGVudGFsIHRy
YXVtYXRvbG9neSA6IG9mZmljaWFsIHB1YmxpY2F0aW9uIG9mIEludGVybmF0aW9uYWwgQXNzb2Np
YXRpb24gZm9yIERlbnRhbCBUcmF1bWF0b2xvZ3k8L2FiYnItMT48L2FsdC1wZXJpb2RpY2FsPjxw
YWdlcz4xNDktMTUyPC9wYWdlcz48dm9sdW1lPjMzPC92b2x1bWU+PG51bWJlcj4yPC9udW1iZXI+
PGVkaXRpb24+MjAxNi8wNy8xMjwvZWRpdGlvbj48a2V5d29yZHM+PGtleXdvcmQ+QWRvbGVzY2Vu
dDwva2V5d29yZD48a2V5d29yZD4qRWxlY3Ryb25pYyBOaWNvdGluZSBEZWxpdmVyeSBTeXN0ZW1z
PC9rZXl3b3JkPjxrZXl3b3JkPipFeHBsb3Npb25zPC9rZXl3b3JkPjxrZXl3b3JkPkZhY2lhbCBJ
bmp1cmllcy8qZXRpb2xvZ3kvKnRoZXJhcHk8L2tleXdvcmQ+PGtleXdvcmQ+SHVtYW5zPC9rZXl3
b3JkPjxrZXl3b3JkPk1hbGU8L2tleXdvcmQ+PGtleXdvcmQ+TXVsdGlwbGUgVHJhdW1hPC9rZXl3
b3JkPjxrZXl3b3JkPmNyb3duIGZyYWN0dXJlPC9rZXl3b3JkPjxrZXl3b3JkPmRlbnRvYWx2ZW9s
YXIgdHJhdW1hPC9rZXl3b3JkPjxrZXl3b3JkPmVsZWN0cm9uaWMgY2lnYXJldHRlPC9rZXl3b3Jk
PjxrZXl3b3JkPmV4dHJ1c2lvbjwva2V5d29yZD48a2V5d29yZD5zb2Z0IHRpc3N1ZTwva2V5d29y
ZD48L2tleXdvcmRzPjxkYXRlcz48eWVhcj4yMDE3PC95ZWFyPjxwdWItZGF0ZXM+PGRhdGU+QXBy
PC9kYXRlPjwvcHViLWRhdGVzPjwvZGF0ZXM+PGlzYm4+MTYwMC00NDY5PC9pc2JuPjxhY2Nlc3Np
b24tbnVtPjI3Mzk3MTM3PC9hY2Nlc3Npb24tbnVtPjx1cmxzPjxyZWxhdGVkLXVybHM+PHVybD5o
dHRwczovL29ubGluZWxpYnJhcnkud2lsZXkuY29tL2RvaS9wZGYvMTAuMTExMS9lZHQuMTIyOTM8
L3VybD48L3JlbGF0ZWQtdXJscz48L3VybHM+PGVsZWN0cm9uaWMtcmVzb3VyY2UtbnVtPjEwLjEx
MTEvZWR0LjEyMjkzPC9lbGVjdHJvbmljLXJlc291cmNlLW51bT48cmVtb3RlLWRhdGFiYXNlLXBy
b3ZpZGVyPk5MTTwvcmVtb3RlLWRhdGFiYXNlLXByb3ZpZGVyPjxsYW5ndWFnZT5lbmc8L2xhbmd1
YWdlPjwvcmVjb3JkPjwvQ2l0ZT48Q2l0ZT48QXV0aG9yPkNoaTwvQXV0aG9yPjxZZWFyPjIwMTg8
L1llYXI+PFJlY051bT4xNzk3PC9SZWNOdW0+PHJlY29yZD48cmVjLW51bWJlcj4xNzk3PC9yZWMt
bnVtYmVyPjxmb3JlaWduLWtleXM+PGtleSBhcHA9IkVOIiBkYi1pZD0iOXZzOXB6ZnpuYXB4cGhl
ZmEyOHh6dzk1c2Y1YXYwc3Y5cmR6IiB0aW1lc3RhbXA9IjE1MjExNTk0NzgiPjE3OTc8L2tleT48
a2V5IGFwcD0iRU5XZWIiIGRiLWlkPSIiPjA8L2tleT48L2ZvcmVpZ24ta2V5cz48cmVmLXR5cGUg
bmFtZT0iSm91cm5hbCBBcnRpY2xlIj4xNzwvcmVmLXR5cGU+PGNvbnRyaWJ1dG9ycz48YXV0aG9y
cz48YXV0aG9yPkNoaSwgQS4gQy48L2F1dGhvcj48YXV0aG9yPk5ldmlsbGUsIEIuIFcuPC9hdXRo
b3I+PGF1dGhvcj5SYXZlbmVsLCBNLjwvYXV0aG9yPjwvYXV0aG9ycz48L2NvbnRyaWJ1dG9ycz48
dGl0bGVzPjx0aXRsZT5FbGVjdHJvbmljIGNpZ2FyZXR0ZSBleHBsb3Npb246IENhc2UgcmVwb3J0
IG9mIGFuIGVtZXJnaW5nIGNhdXNlIG9mIG9yb2ZhY2lhbCB0cmF1bWE8L3RpdGxlPjxzZWNvbmRh
cnktdGl0bGU+VHJhdW1hIChVbml0ZWQgS2luZ2RvbSk8L3NlY29uZGFyeS10aXRsZT48L3RpdGxl
cz48cGVyaW9kaWNhbD48ZnVsbC10aXRsZT5UcmF1bWEgKFVuaXRlZCBLaW5nZG9tKTwvZnVsbC10
aXRsZT48L3BlcmlvZGljYWw+PHBhZ2VzPjYyLTY3PC9wYWdlcz48dm9sdW1lPjIwPC92b2x1bWU+
PG51bWJlcj4xPC9udW1iZXI+PGtleXdvcmRzPjxrZXl3b3JkPmFkdWx0PC9rZXl3b3JkPjxrZXl3
b3JkPkFydGljbGU8L2tleXdvcmQ+PGtleXdvcmQ+Y2FzZSByZXBvcnQ8L2tleXdvcmQ+PGtleXdv
cmQ+Y2xpbmljYWwgYXJ0aWNsZTwva2V5d29yZD48a2V5d29yZD5lZHVjYXRpb248L2tleXdvcmQ+
PGtleXdvcmQ+ZXF1aXBtZW50IGRlc2lnbjwva2V5d29yZD48a2V5d29yZD5leHBsb3Npb248L2tl
eXdvcmQ+PGtleXdvcmQ+ZmFjZSBpbmp1cnk8L2tleXdvcmQ+PGtleXdvcmQ+aGFybSByZWR1Y3Rp
b248L2tleXdvcmQ+PGtleXdvcmQ+aHVtYW48L2tleXdvcmQ+PGtleXdvcmQ+aW5jaWRlbmNlPC9r
ZXl3b3JkPjxrZXl3b3JkPmxhY2VyYXRpb248L2tleXdvcmQ+PGtleXdvcmQ+bWFsZTwva2V5d29y
ZD48a2V5d29yZD5tZWRpY2FsIGRldmljZSBjb21wbGljYXRpb248L2tleXdvcmQ+PGtleXdvcmQ+
bW91dGggaW5qdXJ5PC9rZXl3b3JkPjxrZXl3b3JkPm9yb2ZhY2lhbCBpbmp1cnk8L2tleXdvcmQ+
PGtleXdvcmQ+c2FmZXR5PC9rZXl3b3JkPjxrZXl3b3JkPnNtb2tpbmcgY2Vzc2F0aW9uPC9rZXl3
b3JkPjxrZXl3b3JkPnRlbXBlcmF0dXJlPC9rZXl3b3JkPjxrZXl3b3JkPnRvb3RoIGluanVyeTwv
a2V5d29yZD48a2V5d29yZD5Vbml0ZWQgU3RhdGVzPC9rZXl3b3JkPjxrZXl3b3JkPnlvdW5nIGFk
dWx0PC9rZXl3b3JkPjwva2V5d29yZHM+PGRhdGVzPjx5ZWFyPjIwMTg8L3llYXI+PC9kYXRlcz48
dXJscz48cmVsYXRlZC11cmxzPjx1cmw+aHR0cHM6Ly93d3cuc2NvcHVzLmNvbS9pbndhcmQvcmVj
b3JkLnVyaT9laWQ9Mi1zMi4wLTg1MDM4ODI2MTI2JmFtcDtkb2k9MTAuMTE3NyUyZjE0NjA0MDg2
MTY2NzQyMzQmYW1wO3BhcnRuZXJJRD00MCZhbXA7bWQ1PWJjNmFhMmIxYjYzODgwZWNiNzdhYTJj
MDNhYmU5ODcyPC91cmw+PHVybD5odHRwOi8vam91cm5hbHMuc2FnZXB1Yi5jb20vZG9pL3BkZi8x
MC4xMTc3LzE0NjA0MDg2MTY2NzQyMzQ8L3VybD48L3JlbGF0ZWQtdXJscz48L3VybHM+PGVsZWN0
cm9uaWMtcmVzb3VyY2UtbnVtPjEwLjExNzcvMTQ2MDQwODYxNjY3NDIzNDwvZWxlY3Ryb25pYy1y
ZXNvdXJjZS1udW0+PHJlbW90ZS1kYXRhYmFzZS1uYW1lPlNjb3B1czwvcmVtb3RlLWRhdGFiYXNl
LW5hbWU+PC9yZWNvcmQ+PC9DaXRlPjxDaXRlPjxBdXRob3I+Rm9yYW48L0F1dGhvcj48WWVhcj4y
MDE3PC9ZZWFyPjxSZWNOdW0+NDczNDwvUmVjTnVtPjxyZWNvcmQ+PHJlYy1udW1iZXI+NDczNDwv
cmVjLW51bWJlcj48Zm9yZWlnbi1rZXlzPjxrZXkgYXBwPSJFTiIgZGItaWQ9Ijl6MDVkejBwcmFh
ZGZ1ZWUwem94emVkazl6ZmU1Znh4NTB6NSIgdGltZXN0YW1wPSIxNTIzOTIwNDE5Ij40NzM0PC9r
ZXk+PC9mb3JlaWduLWtleXM+PHJlZi10eXBlIG5hbWU9IkpvdXJuYWwgQXJ0aWNsZSI+MTc8L3Jl
Zi10eXBlPjxjb250cmlidXRvcnM+PGF1dGhvcnM+PGF1dGhvcj5Gb3JhbiwgSS48L2F1dGhvcj48
YXV0aG9yPk9haywgTi4gUi48L2F1dGhvcj48YXV0aG9yPk1ldW5pZXIsIE0uIEouPC9hdXRob3I+
PC9hdXRob3JzPjwvY29udHJpYnV0b3JzPjxhdXRoLWFkZHJlc3M+VW5pdmVyc2l0eSBvZiBDYWxp
Zm9ybmlhIFNhbiBEaWVnbywgU2FuIERpZWdvLCBDYWxpZm9ybmlhLiYjeEQ7RGVwYXJ0bWVudCBv
ZiBPcnRob3BhZWRpYyBTdXJnZXJ5LCBLYWlzZXIgUGVybWFuZW50ZSwgTWlkLUF0bGFudGljIFBl
cm1hbmVudGUgTWVkaWNhbCBHcm91cCwgUm9ja3ZpbGxlLCBNYXJ5bGFuZC48L2F1dGgtYWRkcmVz
cz48dGl0bGVzPjx0aXRsZT5IaWdoLVByZXNzdXJlIEluamVjdGlvbiBJbmp1cnkgQ2F1c2VkIGJ5
IEVsZWN0cm9uaWMgQ2lnYXJldHRlIEV4cGxvc2lvbjogQSBDYXNlIFJlcG9ydDwvdGl0bGU+PHNl
Y29uZGFyeS10aXRsZT5KQkpTIENhc2UgQ29ubmVjdDwvc2Vjb25kYXJ5LXRpdGxlPjxhbHQtdGl0
bGU+SkJKUyBjYXNlIGNvbm5lY3RvcjwvYWx0LXRpdGxlPjwvdGl0bGVzPjxwZXJpb2RpY2FsPjxm
dWxsLXRpdGxlPkpCSlMgQ2FzZSBDb25uZWN0PC9mdWxsLXRpdGxlPjxhYmJyLTE+SkJKUyBjYXNl
IGNvbm5lY3RvcjwvYWJici0xPjwvcGVyaW9kaWNhbD48YWx0LXBlcmlvZGljYWw+PGZ1bGwtdGl0
bGU+SkJKUyBDYXNlIENvbm5lY3Q8L2Z1bGwtdGl0bGU+PGFiYnItMT5KQkpTIGNhc2UgY29ubmVj
dG9yPC9hYmJyLTE+PC9hbHQtcGVyaW9kaWNhbD48cGFnZXM+ZTM2PC9wYWdlcz48dm9sdW1lPjc8
L3ZvbHVtZT48bnVtYmVyPjI8L251bWJlcj48ZWRpdGlvbj4yMDE3LzEyLzE2PC9lZGl0aW9uPjxk
YXRlcz48eWVhcj4yMDE3PC95ZWFyPjxwdWItZGF0ZXM+PGRhdGU+QXByLUp1bjwvZGF0ZT48L3B1
Yi1kYXRlcz48L2RhdGVzPjxpc2JuPjIxNjAtMzI1MTwvaXNibj48YWNjZXNzaW9uLW51bT4yOTI0
NDY3NTwvYWNjZXNzaW9uLW51bT48dXJscz48cmVsYXRlZC11cmxzPjx1cmw+aHR0cHM6Ly9pbnNp
Z2h0cy5vdmlkLmNvbS9wdWJtZWQ/cG1pZD0yOTI0NDY3NTwvdXJsPjwvcmVsYXRlZC11cmxzPjwv
dXJscz48ZWxlY3Ryb25pYy1yZXNvdXJjZS1udW0+MTAuMjEwNi9qYmpzLkNjLjE2LjAwMTc3PC9l
bGVjdHJvbmljLXJlc291cmNlLW51bT48cmVtb3RlLWRhdGFiYXNlLXByb3ZpZGVyPk5MTTwvcmVt
b3RlLWRhdGFiYXNlLXByb3ZpZGVyPjxsYW5ndWFnZT5lbmc8L2xhbmd1YWdlPjwvcmVjb3JkPjwv
Q2l0ZT48Q2l0ZT48QXV0aG9yPk5vcmlpPC9BdXRob3I+PFllYXI+MjAxNzwvWWVhcj48UmVjTnVt
PjY0OTE8L1JlY051bT48cmVjb3JkPjxyZWMtbnVtYmVyPjY0OTE8L3JlYy1udW1iZXI+PGZvcmVp
Z24ta2V5cz48a2V5IGFwcD0iRU4iIGRiLWlkPSI5ejA1ZHowcHJhYWRmdWVlMHpveHplZGs5emZl
NWZ4eDUwejUiIHRpbWVzdGFtcD0iMTUyMzkyMTA5NyI+NjQ5MTwva2V5PjxrZXkgYXBwPSJFTldl
YiIgZGItaWQ9IiI+MDwva2V5PjwvZm9yZWlnbi1rZXlzPjxyZWYtdHlwZSBuYW1lPSJKb3VybmFs
IEFydGljbGUiPjE3PC9yZWYtdHlwZT48Y29udHJpYnV0b3JzPjxhdXRob3JzPjxhdXRob3I+Tm9y
aWksIFQuPC9hdXRob3I+PGF1dGhvcj5QbGF0ZSwgQS48L2F1dGhvcj48L2F1dGhvcnM+PC9jb250
cmlidXRvcnM+PGF1dGgtYWRkcmVzcz5EZXBhcnRtZW50IG9mIEVtZXJnZW5jeSBNZWRpY2luZSwg
VW5pdmVyc2l0eSBvZiBOZXcgTWV4aWNvLCBBbGJ1cXVlcnF1ZSwgTmV3IE1leGljby48L2F1dGgt
YWRkcmVzcz48dGl0bGVzPjx0aXRsZT5FbGVjdHJvbmljIENpZ2FyZXR0ZSBFeHBsb3Npb24gUmVz
dWx0aW5nIGluIGEgQzEgYW5kIEMyIEZyYWN0dXJlOiBBIENhc2UgUmVwb3J0PC90aXRsZT48c2Vj
b25kYXJ5LXRpdGxlPkogRW1lcmcgTWVkPC9zZWNvbmRhcnktdGl0bGU+PGFsdC10aXRsZT5UaGUg
Sm91cm5hbCBvZiBlbWVyZ2VuY3kgbWVkaWNpbmU8L2FsdC10aXRsZT48L3RpdGxlcz48cGVyaW9k
aWNhbD48ZnVsbC10aXRsZT5KIEVtZXJnIE1lZDwvZnVsbC10aXRsZT48YWJici0xPlRoZSBKb3Vy
bmFsIG9mIGVtZXJnZW5jeSBtZWRpY2luZTwvYWJici0xPjwvcGVyaW9kaWNhbD48YWx0LXBlcmlv
ZGljYWw+PGZ1bGwtdGl0bGU+SiBFbWVyZyBNZWQ8L2Z1bGwtdGl0bGU+PGFiYnItMT5UaGUgSm91
cm5hbCBvZiBlbWVyZ2VuY3kgbWVkaWNpbmU8L2FiYnItMT48L2FsdC1wZXJpb2RpY2FsPjxwYWdl
cz44Ni04ODwvcGFnZXM+PHZvbHVtZT41Mjwvdm9sdW1lPjxudW1iZXI+MTwvbnVtYmVyPjxlZGl0
aW9uPjIwMTYvMTAvMDg8L2VkaXRpb24+PGtleXdvcmRzPjxrZXl3b3JkPkFkdWx0PC9rZXl3b3Jk
PjxrZXl3b3JkPkNlcnZpY2FsIFZlcnRlYnJhZS9kaWFnbm9zdGljIGltYWdpbmcvKmluanVyaWVz
L3BoeXNpb3BhdGhvbG9neTwva2V5d29yZD48a2V5d29yZD5EZWdsdXRpdGlvbiBEaXNvcmRlcnMv
ZXRpb2xvZ3k8L2tleXdvcmQ+PGtleXdvcmQ+RWxlY3Ryb25pYyBOaWNvdGluZSBEZWxpdmVyeSBT
eXN0ZW1zLyphZHZlcnNlIGVmZmVjdHMvaW5zdHJ1bWVudGF0aW9uPC9rZXl3b3JkPjxrZXl3b3Jk
PkVtZXJnZW5jeSBTZXJ2aWNlLCBIb3NwaXRhbC9vcmdhbml6YXRpb24gJmFtcDsgYWRtaW5pc3Ry
YXRpb248L2tleXdvcmQ+PGtleXdvcmQ+KkV4cGxvc2lvbnM8L2tleXdvcmQ+PGtleXdvcmQ+SHVt
YW5zPC9rZXl3b3JkPjxrZXl3b3JkPk1hbGU8L2tleXdvcmQ+PGtleXdvcmQ+UGFpbi9ldGlvbG9n
eTwva2V5d29yZD48a2V5d29yZD5SYWRpb2dyYXBoeS9tZXRob2RzPC9rZXl3b3JkPjxrZXl3b3Jk
PlNwaW5hbCBGcmFjdHVyZXMvY29tcGxpY2F0aW9ucy8qZXRpb2xvZ3kvc3VyZ2VyeTwva2V5d29y
ZD48a2V5d29yZD5Ub21vZ3JhcGh5LCBYLVJheSBDb21wdXRlZC9tZXRob2RzPC9rZXl3b3JkPjxr
ZXl3b3JkPmNlcnZpY2FsIHNwaW5lIGluanVyeTwva2V5d29yZD48a2V5d29yZD5lbGVjdHJvbmlj
IGNpZ2FyZXR0ZTwva2V5d29yZD48a2V5d29yZD50cmF1bWE8L2tleXdvcmQ+PC9rZXl3b3Jkcz48
ZGF0ZXM+PHllYXI+MjAxNzwveWVhcj48cHViLWRhdGVzPjxkYXRlPkphbjwvZGF0ZT48L3B1Yi1k
YXRlcz48L2RhdGVzPjxpc2JuPjA3MzYtNDY3OSAoUHJpbnQpJiN4RDswNzM2LTQ2Nzk8L2lzYm4+
PGFjY2Vzc2lvbi1udW0+Mjc3MTI5MDE8L2FjY2Vzc2lvbi1udW0+PHVybHM+PHJlbGF0ZWQtdXJs
cz48dXJsPmh0dHBzOi8vd3d3LnNjaWVuY2VkaXJlY3QuY29tL3NjaWVuY2UvYXJ0aWNsZS9waWkv
UzA3MzY0Njc5MTYzMDY2Njc/dmlhJTNEaWh1YjwvdXJsPjwvcmVsYXRlZC11cmxzPjwvdXJscz48
ZWxlY3Ryb25pYy1yZXNvdXJjZS1udW0+MTAuMTAxNi9qLmplbWVybWVkLjIwMTYuMDguMDEwPC9l
bGVjdHJvbmljLXJlc291cmNlLW51bT48cmVtb3RlLWRhdGFiYXNlLXByb3ZpZGVyPk5MTTwvcmVt
b3RlLWRhdGFiYXNlLXByb3ZpZGVyPjxsYW5ndWFnZT5lbmc8L2xhbmd1YWdlPjwvcmVjb3JkPjwv
Q2l0ZT48Q2l0ZT48QXV0aG9yPlNhdHRlc29uPC9BdXRob3I+PFllYXI+MjAxNzwvWWVhcj48UmVj
TnVtPjY0ODg8L1JlY051bT48cmVjb3JkPjxyZWMtbnVtYmVyPjY0ODg8L3JlYy1udW1iZXI+PGZv
cmVpZ24ta2V5cz48a2V5IGFwcD0iRU4iIGRiLWlkPSI5ejA1ZHowcHJhYWRmdWVlMHpveHplZGs5
emZlNWZ4eDUwejUiIHRpbWVzdGFtcD0iMTUyMzkyMTA5NyI+NjQ4ODwva2V5PjxrZXkgYXBwPSJF
TldlYiIgZGItaWQ9IiI+MDwva2V5PjwvZm9yZWlnbi1rZXlzPjxyZWYtdHlwZSBuYW1lPSJKb3Vy
bmFsIEFydGljbGUiPjE3PC9yZWYtdHlwZT48Y29udHJpYnV0b3JzPjxhdXRob3JzPjxhdXRob3I+
U2F0dGVzb24sIEUuIFMuPC9hdXRob3I+PGF1dGhvcj5XYWxrZXIsIE4uIEouPC9hdXRob3I+PGF1
dGhvcj5UdW9oeSwgQy4gSi48L2F1dGhvcj48YXV0aG9yPk1vbG5hciwgSi4gQS48L2F1dGhvcj48
L2F1dGhvcnM+PC9jb250cmlidXRvcnM+PGF1dGgtYWRkcmVzcz4xIFdha2UgRm9yZXN0IFVuaXZl
cnNpdHkgU2Nob29sIG9mIE1lZGljaW5lLCBXaW5zdG9uLVNhbGVtLCBOQywgVVNBLjwvYXV0aC1h
ZGRyZXNzPjx0aXRsZXM+PHRpdGxlPkV4dGVuc2l2ZSBIYW5kIFRoZXJtYWwgYW5kIEJsYXN0IElu
anVyeSBGcm9tIEVsZWN0cm9uaWMgQ2lnYXJldHRlIEV4cGxvc2lvbjogQSBDYXNlIFJlcG9ydDwv
dGl0bGU+PHNlY29uZGFyeS10aXRsZT5IYW5kIChOIFkpPC9zZWNvbmRhcnktdGl0bGU+PGFsdC10
aXRsZT5IYW5kIChOZXcgWW9yaywgTi5ZLik8L2FsdC10aXRsZT48L3RpdGxlcz48cGVyaW9kaWNh
bD48ZnVsbC10aXRsZT5IYW5kIChOIFkpPC9mdWxsLXRpdGxlPjxhYmJyLTE+SGFuZCAoTmV3IFlv
cmssIE4uWS4pPC9hYmJyLTE+PC9wZXJpb2RpY2FsPjxhbHQtcGVyaW9kaWNhbD48ZnVsbC10aXRs
ZT5IYW5kIChOIFkpPC9mdWxsLXRpdGxlPjxhYmJyLTE+SGFuZCAoTmV3IFlvcmssIE4uWS4pPC9h
YmJyLTE+PC9hbHQtcGVyaW9kaWNhbD48cGFnZXM+MTU1ODk0NDcxNzc0NDMzMzwvcGFnZXM+PGVk
aXRpb24+MjAxNy8xMi8wMjwvZWRpdGlvbj48a2V5d29yZHM+PGtleXdvcmQ+ZWxlY3Ryb25pYyBj
aWdhcmV0dGU8L2tleXdvcmQ+PGtleXdvcmQ+ZXhwbG9zaW9uPC9rZXl3b3JkPjxrZXl3b3JkPmhh
bmQgYnVybjwva2V5d29yZD48a2V5d29yZD52YXBpbmc8L2tleXdvcmQ+PGtleXdvcmQ+dmFwb3I8
L2tleXdvcmQ+PC9rZXl3b3Jkcz48ZGF0ZXM+PHllYXI+MjAxNzwveWVhcj48cHViLWRhdGVzPjxk
YXRlPk5vdiAxPC9kYXRlPjwvcHViLWRhdGVzPjwvZGF0ZXM+PGlzYm4+MTU1OC05NDQ3PC9pc2Ju
PjxhY2Nlc3Npb24tbnVtPjI5MTkyNTA2PC9hY2Nlc3Npb24tbnVtPjx1cmxzPjxyZWxhdGVkLXVy
bHM+PHVybD5odHRwOi8vam91cm5hbHMuc2FnZXB1Yi5jb20vZG9pL3BkZi8xMC4xMTc3LzE1NTg5
NDQ3MTc3NDQzMzM8L3VybD48L3JlbGF0ZWQtdXJscz48L3VybHM+PGVsZWN0cm9uaWMtcmVzb3Vy
Y2UtbnVtPjEwLjExNzcvMTU1ODk0NDcxNzc0NDMzMzwvZWxlY3Ryb25pYy1yZXNvdXJjZS1udW0+
PHJlbW90ZS1kYXRhYmFzZS1wcm92aWRlcj5OTE08L3JlbW90ZS1kYXRhYmFzZS1wcm92aWRlcj48
bGFuZ3VhZ2U+ZW5nPC9sYW5ndWFnZT48L3JlY29yZD48L0NpdGU+PENpdGU+PEF1dGhvcj5UcmVp
dGw8L0F1dGhvcj48WWVhcj4yMDE3PC9ZZWFyPjxSZWNOdW0+NTE4MDwvUmVjTnVtPjxyZWNvcmQ+
PHJlYy1udW1iZXI+NTE4MDwvcmVjLW51bWJlcj48Zm9yZWlnbi1rZXlzPjxrZXkgYXBwPSJFTiIg
ZGItaWQ9Ijl6MDVkejBwcmFhZGZ1ZWUwem94emVkazl6ZmU1Znh4NTB6NSIgdGltZXN0YW1wPSIx
NTIzOTIwOTMwIj41MTgwPC9rZXk+PGtleSBhcHA9IkVOV2ViIiBkYi1pZD0iIj4wPC9rZXk+PC9m
b3JlaWduLWtleXM+PHJlZi10eXBlIG5hbWU9IkpvdXJuYWwgQXJ0aWNsZSI+MTc8L3JlZi10eXBl
Pjxjb250cmlidXRvcnM+PGF1dGhvcnM+PGF1dGhvcj5UcmVpdGwsIEQuPC9hdXRob3I+PGF1dGhv
cj5Tb2xvbW9uLCBSLjwvYXV0aG9yPjxhdXRob3I+RGF2YXJlLCBELiBMLjwvYXV0aG9yPjxhdXRo
b3I+U2FuY2hleiwgUi48L2F1dGhvcj48YXV0aG9yPktpZmZpbiwgQy48L2F1dGhvcj48L2F1dGhv
cnM+PC9jb250cmlidXRvcnM+PGF1dGgtYWRkcmVzcz5EaXZpc2lvbiBvZiBBY3V0ZSBDYXJlIFN1
cmdlcnkgYW5kIFRyYXVtYSwgTWVtb3JpYWwgUmVnaW9uYWwgSG9zcGl0YWwsIEhvbGx5d29vZCwg
RmxvcmlkYTsgTW91bnQgU2luYWkgTWVkaWNhbCBDZW50ZXIsIE1pYW1pIEJlYWNoLCBGbG9yaWRh
LiYjeEQ7RGl2aXNpb24gb2YgQWN1dGUgQ2FyZSBTdXJnZXJ5IGFuZCBUcmF1bWEsIE1lbW9yaWFs
IFJlZ2lvbmFsIEhvc3BpdGFsLCBIb2xseXdvb2QsIEZsb3JpZGEuPC9hdXRoLWFkZHJlc3M+PHRp
dGxlcz48dGl0bGU+RnVsbCBhbmQgUGFydGlhbCBUaGlja25lc3MgQnVybnMgZnJvbSBTcG9udGFu
ZW91cyBDb21idXN0aW9uIG9mIEUtQ2lnYXJldHRlIExpdGhpdW0tSW9uIEJhdHRlcmllcyB3aXRo
IFJldmlldyBvZiBMaXRlcmF0dXJlPC90aXRsZT48c2Vjb25kYXJ5LXRpdGxlPkogRW1lcmcgTWVk
PC9zZWNvbmRhcnktdGl0bGU+PGFsdC10aXRsZT5UaGUgSm91cm5hbCBvZiBlbWVyZ2VuY3kgbWVk
aWNpbmU8L2FsdC10aXRsZT48L3RpdGxlcz48cGVyaW9kaWNhbD48ZnVsbC10aXRsZT5KIEVtZXJn
IE1lZDwvZnVsbC10aXRsZT48YWJici0xPlRoZSBKb3VybmFsIG9mIGVtZXJnZW5jeSBtZWRpY2lu
ZTwvYWJici0xPjwvcGVyaW9kaWNhbD48YWx0LXBlcmlvZGljYWw+PGZ1bGwtdGl0bGU+SiBFbWVy
ZyBNZWQ8L2Z1bGwtdGl0bGU+PGFiYnItMT5UaGUgSm91cm5hbCBvZiBlbWVyZ2VuY3kgbWVkaWNp
bmU8L2FiYnItMT48L2FsdC1wZXJpb2RpY2FsPjxwYWdlcz4xMjEtMTI1PC9wYWdlcz48dm9sdW1l
PjUzPC92b2x1bWU+PG51bWJlcj4xPC9udW1iZXI+PGVkaXRpb24+MjAxNy8wNS8xNjwvZWRpdGlv
bj48a2V5d29yZHM+PGtleXdvcmQ+ZWxlY3Ryb25pYyBjaWdhcmV0dGUgYnVybnM8L2tleXdvcmQ+
PGtleXdvcmQ+ZnVsbCBhbmQgcGFydGlhbCB0aGlja25lc3MgYnVybnM8L2tleXdvcmQ+PGtleXdv
cmQ+bGl0aGl1bS1pb24gYmF0dGVyeSBleHBsb3Npb25zPC9rZXl3b3JkPjwva2V5d29yZHM+PGRh
dGVzPjx5ZWFyPjIwMTc8L3llYXI+PHB1Yi1kYXRlcz48ZGF0ZT5KdWw8L2RhdGU+PC9wdWItZGF0
ZXM+PC9kYXRlcz48aXNibj4wNzM2LTQ2NzkgKFByaW50KSYjeEQ7MDczNi00Njc5PC9pc2JuPjxh
Y2Nlc3Npb24tbnVtPjI4NTAxMzg1PC9hY2Nlc3Npb24tbnVtPjx1cmxzPjxyZWxhdGVkLXVybHM+
PHVybD5odHRwczovL3d3dy5zY2llbmNlZGlyZWN0LmNvbS9zY2llbmNlL2FydGljbGUvcGlpL1Mw
NzM2NDY3OTE3MzAzMjE5P3ZpYSUzRGlodWI8L3VybD48L3JlbGF0ZWQtdXJscz48L3VybHM+PGVs
ZWN0cm9uaWMtcmVzb3VyY2UtbnVtPjEwLjEwMTYvai5qZW1lcm1lZC4yMDE3LjAzLjAzMTwvZWxl
Y3Ryb25pYy1yZXNvdXJjZS1udW0+PHJlbW90ZS1kYXRhYmFzZS1wcm92aWRlcj5OTE08L3JlbW90
ZS1kYXRhYmFzZS1wcm92aWRlcj48bGFuZ3VhZ2U+ZW5nPC9sYW5ndWFnZT48L3JlY29yZD48L0Np
dGU+PC9FbmROb3RlPn==
</w:fldData>
            </w:fldChar>
          </w:r>
          <w:r>
            <w:rPr>
              <w:sz w:val="24"/>
            </w:rPr>
            <w:instrText xml:space="preserve"> ADDIN EN.CITE.DATA </w:instrText>
          </w:r>
          <w:r>
            <w:rPr>
              <w:sz w:val="24"/>
            </w:rPr>
          </w:r>
          <w:r>
            <w:rPr>
              <w:sz w:val="24"/>
            </w:rPr>
            <w:fldChar w:fldCharType="end"/>
          </w:r>
          <w:r w:rsidRPr="004F431A">
            <w:rPr>
              <w:sz w:val="24"/>
            </w:rPr>
          </w:r>
          <w:r w:rsidRPr="004F431A">
            <w:rPr>
              <w:sz w:val="24"/>
            </w:rPr>
            <w:fldChar w:fldCharType="separate"/>
          </w:r>
          <w:r>
            <w:rPr>
              <w:noProof/>
              <w:sz w:val="24"/>
            </w:rPr>
            <w:t>(Ban, Krishnan et al. 2017, Bauman, Roman et al. 2017, Brooks, Kleinman et al. 2017, Foran, Oak et al. 2017, Norii and Plate 2017, Satteson, Walker et al. 2017, Treitl, Solomon et al. 2017, Ackley, Williams et al. 2018, Chi, Neville et al. 2018)</w:t>
          </w:r>
          <w:r w:rsidRPr="004F431A">
            <w:rPr>
              <w:sz w:val="24"/>
            </w:rPr>
            <w:fldChar w:fldCharType="end"/>
          </w:r>
          <w:r w:rsidRPr="004F431A">
            <w:rPr>
              <w:sz w:val="24"/>
            </w:rPr>
            <w:t xml:space="preserve">. </w:t>
          </w:r>
        </w:p>
        <w:p w14:paraId="3E0FD3C1" w14:textId="77777777" w:rsidR="00F918EE" w:rsidRDefault="00F918EE" w:rsidP="00F918EE">
          <w:pPr>
            <w:tabs>
              <w:tab w:val="left" w:pos="397"/>
            </w:tabs>
            <w:spacing w:before="60" w:after="60" w:line="264" w:lineRule="auto"/>
            <w:rPr>
              <w:sz w:val="24"/>
            </w:rPr>
          </w:pPr>
          <w:r>
            <w:rPr>
              <w:noProof/>
              <w:sz w:val="24"/>
            </w:rPr>
            <mc:AlternateContent>
              <mc:Choice Requires="wpg">
                <w:drawing>
                  <wp:anchor distT="0" distB="0" distL="114300" distR="114300" simplePos="0" relativeHeight="251658244" behindDoc="0" locked="0" layoutInCell="1" allowOverlap="1" wp14:anchorId="672F7F93" wp14:editId="7FD19A21">
                    <wp:simplePos x="0" y="0"/>
                    <wp:positionH relativeFrom="column">
                      <wp:posOffset>4379883</wp:posOffset>
                    </wp:positionH>
                    <wp:positionV relativeFrom="paragraph">
                      <wp:posOffset>1200076</wp:posOffset>
                    </wp:positionV>
                    <wp:extent cx="1721485" cy="2485390"/>
                    <wp:effectExtent l="0" t="0" r="0" b="0"/>
                    <wp:wrapSquare wrapText="bothSides"/>
                    <wp:docPr id="3" name="Group 3"/>
                    <wp:cNvGraphicFramePr/>
                    <a:graphic xmlns:a="http://schemas.openxmlformats.org/drawingml/2006/main">
                      <a:graphicData uri="http://schemas.microsoft.com/office/word/2010/wordprocessingGroup">
                        <wpg:wgp>
                          <wpg:cNvGrpSpPr/>
                          <wpg:grpSpPr>
                            <a:xfrm>
                              <a:off x="0" y="0"/>
                              <a:ext cx="1721485" cy="2485390"/>
                              <a:chOff x="0" y="0"/>
                              <a:chExt cx="1721485" cy="2485670"/>
                            </a:xfrm>
                          </wpg:grpSpPr>
                          <pic:pic xmlns:pic="http://schemas.openxmlformats.org/drawingml/2006/picture">
                            <pic:nvPicPr>
                              <pic:cNvPr id="7" name="Picture 7" title="Close up image of a burn on a person's thigh"/>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1680210" cy="1828800"/>
                              </a:xfrm>
                              <a:prstGeom prst="rect">
                                <a:avLst/>
                              </a:prstGeom>
                            </pic:spPr>
                          </pic:pic>
                          <wps:wsp>
                            <wps:cNvPr id="2" name="Text Box 1"/>
                            <wps:cNvSpPr txBox="1"/>
                            <wps:spPr>
                              <a:xfrm>
                                <a:off x="0" y="1828800"/>
                                <a:ext cx="1721485" cy="656870"/>
                              </a:xfrm>
                              <a:prstGeom prst="rect">
                                <a:avLst/>
                              </a:prstGeom>
                              <a:solidFill>
                                <a:prstClr val="white"/>
                              </a:solidFill>
                              <a:ln>
                                <a:noFill/>
                              </a:ln>
                              <a:effectLst/>
                            </wps:spPr>
                            <wps:txbx>
                              <w:txbxContent>
                                <w:p w14:paraId="6C60DA9C" w14:textId="77777777" w:rsidR="0048064B" w:rsidRPr="005A1079" w:rsidRDefault="0048064B" w:rsidP="00F918EE">
                                  <w:pPr>
                                    <w:pStyle w:val="Caption"/>
                                  </w:pPr>
                                  <w:bookmarkStart w:id="41" w:name="_Toc516780145"/>
                                  <w:bookmarkStart w:id="42" w:name="_Toc517707387"/>
                                  <w:r w:rsidRPr="005A1079">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t>:</w:t>
                                  </w:r>
                                  <w:r w:rsidRPr="005A1079">
                                    <w:t xml:space="preserve"> </w:t>
                                  </w:r>
                                  <w:r>
                                    <w:t>B</w:t>
                                  </w:r>
                                  <w:r w:rsidRPr="005A1079">
                                    <w:t xml:space="preserve">urn to thigh sustained from exploding </w:t>
                                  </w:r>
                                  <w:r>
                                    <w:t>e-cigarette</w:t>
                                  </w:r>
                                  <w:r w:rsidRPr="005A1079">
                                    <w:t xml:space="preserve"> in pocket; Bauman et al 2017</w:t>
                                  </w:r>
                                  <w:bookmarkEnd w:id="41"/>
                                  <w:bookmarkEnd w:id="4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72F7F93" id="Group 3" o:spid="_x0000_s1046" style="position:absolute;margin-left:344.85pt;margin-top:94.5pt;width:135.55pt;height:195.7pt;z-index:251658244;mso-height-relative:margin" coordsize="17214,24856"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G2xqI1AMAAOIIAAAOAAAAZHJzL2Uyb0RvYy54bWycVt9v2zgMfh9w&#10;/4Pgl3tKbadpkhpNhyz9gQHFFlx72LOiyLYwWdIkOUnvcP/7kZKdrEnv1u2hDkVRFPXxI9mr97tG&#10;kg23Tmg1S/KzLCFcMb0Wqpolfz7dDaYJcZ6qNZVa8VnyzF3y/vq3d1dbU/ChrrVcc0vAiXLF1syS&#10;2ntTpKljNW+oO9OGK9gstW2oh6Wt0rWlW/DeyHSYZeN0q+3aWM24c6C9iZvJdfBflpz5z2XpuCdy&#10;lkBsPnxt+K7wm15f0aKy1NSCdWHQX4iioULBpXtXN9RT0lpx4qoRzGqnS3/GdJPqshSMhzfAa/Ls&#10;6DX3VrcmvKUqtpXZwwTQHuH0y27Zp83SErGeJecJUbSBFIVbyTlCszVVARb31jyape0UVVzha3el&#10;bfAX3kF2AdTnPah85wkDZT4Z5qPpRUIY7A1BOr/sYGc15ObkHKtv/+vkeBJOpv3FKca3D8cIVsBf&#10;hxJIJyj9mE1wyreWJ52T5k0+Gmq/tmYACTXUi5WQwj8HckLqMCi1WQq2tHFxAHzSAw67eCkBhRde&#10;QgoWUjtOWkNEQytOdEkoWbVWEa1AMlBuWv3uiK9FVWOe8BZ0HK+hCMODZl8dUXpRU1XxuTNQCpAM&#10;tE5fmoflixhXUpg7ISWmFuUODSibI9q9Amik9I1mbcOVjzVquQRgtHK1MC4htuDNigPl7Md1HqoG&#10;uPLgPF6HrAl18/dwOs+yy+GHweIiWwxG2eR2ML8cTQaT7HYyykbTfJEv/sHT+ahoHYf3UnljRBcr&#10;aE+ifbVIunYSyy+UMdnQ0CwQqRBQ/xtCBBVCgrE6b7lnNYoloPUHIBzP7DcCtAc0EXcHhYQn3lQ6&#10;42k2zKFtYenk0+F0mr0sAMi0df6e64agAIhCDAFRuoFoYzS9SZf4GECIDOLBGofO6/ocw+ptuGHf&#10;fa1nPdbUcAgB3R64Puy5/oQJ/qB3JDCxM8LmQvwO1B1DUf+/QH0HRuTMSacZX4ynR+3iJ9GCBGsp&#10;1n0hIIwLaSM7trXwPNTSkZVUmFyl8VSEP2p4mEVdTg7PQ8nvVrvQgfeQrPT6GRCxGjIK2XeG3Qm4&#10;/YE6v6QW5hMoYeb6z/Appd7OEt1JCam1/es1PdpDZmE3IVuYd7PEfWsptjr5UUHOcTj2gu2FVS+o&#10;tlloqIo8RBNEOGC97MXS6uYLUGKOt8AWVQzumiW+Fxc+Tl0Y5YzP58EodswH9Wigz8ZOgCg/7b5Q&#10;azpGeyDMJ92zihZHxI62EfN563UpAusR14gisB4XwPAghUEaCrob+jipv18Hq8O/Jtf/AgAA//8D&#10;AFBLAwQUAAYACAAAACEAusGlu7wAAAAhAQAAGQAAAGRycy9fcmVscy9lMm9Eb2MueG1sLnJlbHOE&#10;j8sKwjAQRfeC/xBmb9O6EJGmbkRxIyL1A4Zk2gabB0kU+/cG3CgILude7jlMvX2akT0oRO2sgKoo&#10;gZGVTmnbC7i2+8UaWExoFY7OkoCJImyb+ay+0Igpj+KgfWSZYqOAISW/4TzKgQzGwnmyuelcMJjy&#10;GXruUd6wJ74syxUPnwxovpjsqASEo6qAtZPP5v9s13Va0s7JuyGbfii4NtmdgRh6SgIMKY3vsCrO&#10;pwPwpuZfjzUvAAAA//8DAFBLAwQUAAYACAAAACEA2ZLzGuEAAAALAQAADwAAAGRycy9kb3ducmV2&#10;LnhtbEyPQUvDQBCF74L/YRnBm92N2pjEbEop6qkItoJ42ybTJDQ7G7LbJP33jic9Du/x5vvy1Ww7&#10;MeLgW0caooUCgVS6qqVaw+f+9S4B4YOhynSOUMMFPayK66vcZJWb6APHXagFj5DPjIYmhD6T0pcN&#10;WuMXrkfi7OgGawKfQy2rwUw8bjt5r1QsrWmJPzSmx02D5Wl3threJjOtH6KXcXs6bi7f++X71zZC&#10;rW9v5vUziIBz+CvDLz6jQ8FMB3emyotOQ5ykT1zlIElZihtprFjmoGGZqEeQRS7/OxQ/AAAA//8D&#10;AFBLAwQKAAAAAAAAACEA0IOVWxexAwAXsQMAFAAAAGRycy9tZWRpYS9pbWFnZTEuUE5HiVBORw0K&#10;GgoAAAANSUhEUgAAARAAAAFCCAYAAAA5TILpAAAAAXNSR0IArs4c6QAAAARnQU1BAACxjwv8YQUA&#10;AAAJcEhZcwAADsMAAA7DAcdvqGQAAP+lSURBVHheZJ1leB1JtmXr1+uuMoOYmZmZmcliZllsMbOZ&#10;mWRGmZmZxWB22VV2MTN19+zZkdfu7nnz43yZlyVbsXLtE5F535s01QqTp9lgynR7TJvhhGkz3d6W&#10;O6bN8sL02b6YKR+AWYqhmK0UyYqCnHI05FVjIK8WAzluZysG83k2mDpdH9Om6rI0MWWyGiZNUsL7&#10;78vh73+fib/9bTr+9vep+J+/TWFN5v5kfDBpOiZPUcbkqYZ8rR0/3w0zZnli5mwPzJBzw0wFD8gp&#10;+UFRJRhKqqFQZimpBEJBkY/NNMWUqXztlBn8rJmYMkUOU3l71iwDqKg5Qk3LE6qa7lJp6HhCQ9sT&#10;6loeLC9o6vhCS5el5wdtgxDoGsfCyDwTZrZlsHKqh7VzM6ycG2Ht2iCVpXM9b3PfpQFWLtxnvXvM&#10;1q0JNm6NLO67N8Hesxn2Xtx6NcLRu4HVCBeverh7lCM8OAeluQVY2tGBA73bcOPcOQzfuYvxwUE8&#10;eziBN69e4qvPv8CP3/2A3375Fb//9jt+//0P/PnnP/DXX//EP/7xT/zrn2L7J/784zf89tMP+OGL&#10;z/Hly5f45PEjvBodxvOhfnz69DF++uoL/PDmJV7fv4YXl0/ik6tn8ObSKbw8exTPTx7Cs2MH8fTI&#10;Pjw9tBcvjx7EmxNH8Pr4YXx0pA+vDvdxewgfHz/C4vaErF7zda9P8TknD+Ml7//wWB8+5GtfHNqP&#10;5wf34vmBPXi2dxee7NiGR71bMbFlCx5t2YpHm3oxvm4LRlZvwPCKtRhdvgpjy1ZgZNlyjCznduUq&#10;jKxirVmN0bVrMLZuLcbWrsXwqpUYXLEMA8uWYGDJYgwuXYLh5Uv5umUYFcX7xhYvwvjixRjq7kF/&#10;RxcGO3sw0NbF6kR/czvu1TbhQXUT+uc14X5JLe4VVrGqcYfbm/mVUt3i/q3CebiZV4HrOWW4mlmC&#10;yxlzcSmjCOfT8nE2NQ9n0/NxOrMAp7ILcTK3EMfzCnC8sAgny0pxsrISx8orcKisHAdKSrBnbjH2&#10;lJTiQEUFjtTV4HhrA4611nFbi5MdjTjZ2YTj7Y041t6A452NONHTjBPzW3GsuxVHuppxqL0JfW0N&#10;2N9ajz3NNdhRX4GtNaXYxu3OpnnSdkstbzeUsUqxqW4uNtYWYX11IdbMK8CG2mKsZ61jbW2uxOam&#10;cqyuKsSKijwsK8+VamlZNnoKk9GVn4TGtFgUhvkh3tUOXoZ6sFBThY6iIlTl5aEwezZmzZiJGdNn&#10;Yto0UbMwlTVt2myO89l4b9I0CwLEnAPYFlMJkKkzXFkuLGdMnelCiHBQy3kRIv6YpUCIKL6FiIqA&#10;Ryxmq0QRLgEEiC0BYIjp0/83QGZLAPn732cQGtMkePzP3yYRKJP52AwCQA3TpptjOqE1faa3DCBy&#10;HvwcL8xS8uVn+kOOgFJQEvD4D0TkFQi5GXoEx2yCg78QfxkBkWnT1KCoZAE1gkNFw4vlyX2CQ1sU&#10;IaLtQ3gQHPr+hEcgdAyjoG+aBhPrubB0rIGNazNh0A5rt1ZYcd+a9Q4mAhbWro0ECIHBrY0r4cGy&#10;dW+GnUcr7FmOXs0sbr1b4eTbBGe/Bnj71iE6rBrF2fMwv7EeOzhQLh47if6btzHa349HY6N49fw5&#10;vvj0U/zw7feEhwwcEjz++Av/+OsfhIas/vXPf+Cff/6OP3/5ET9//TW+ef0xPnv6CB+NDeIp4fHx&#10;0yf46csv8NObj/D6wU28uHQCr6+exqcEyMcXjuMlB/8LCR77pXop4HDyqFQfESCvjhIgAiKsj44J&#10;iBwmPAiN47x9/CBecStB4/ABfHhIwIPVtx/PDu7B8/278WLPLjwjQJ5u6yU8tmB840ZCYR1BsAr9&#10;S1dgiOAYXUpwLF6KoYUc+IuWYGixrEZXrMA4oTGxciXGCZZRPmeEj4/wecMLFmGINcz9Ud43xhpd&#10;sACj8+djtGc+BtoJjPYuDHXOx2BLJwabOjDQ0IYHVY24V14nwePB3Br051ex5uFeHsGRU46bWSW4&#10;RWDcyijBzbS5uJFahCsphbiQmkt4ZOBMagrOpKThXGoaziRl4GRCDk4k5+BYei6O5hTgWMFcHC0q&#10;Rl9BEfYVFGB3fj56s3OwLScf+0oIkJpaHG+qx7HmWhxtrMWxlgacICCOEipHCJVjBMoxQuMIt4fa&#10;6wiOOhxoqcWBZm5Z+5oIkDoCpKoEvTUERm05tlQRGvOK0Ssg0liGzfUl2NxQQnDMxerKfKyrmSvV&#10;2uoibCE8NvM5Yn9VZQGWlQmA5GEpq7soTar2vBRUJcUgL9QfkU42cNLTgKmqInSVFKGpqAxNZVUo&#10;Kylj+gyOtekExwyOM26nEyLvTZluiUnTTGggFoQGLWAmIfKuZjhKNY0gmT6bA1uYiEIIgRHGisRM&#10;GslMpTCagg+fY00y6ZNU2nxjDQJEBZMnKf4/APn736f/l4FMwQfvz+Kg1+APZilZx0w52o6cNz/H&#10;iwDxJaj8uQ0iQEIgz89RVA6XAKKiFkxIEGhy1vxFVAgQGQ3FdspUBcyarUvI2EJFXQYRVQJETVuY&#10;iBfh4U8D8aN9+BIewdAzmQND8xzaR4UEA3uPdth5dsKGZe3eJoHE+t+WIQOGgIyAhgwcwjpa4EBo&#10;iHLyaSE4WuDs28Fqg5tfHcJD5yE/vQYt1Y3YsGQhTuzdhzuXrmHo/gNMjAzh+ePH+PTjj/HNl1/h&#10;5x9/oXn8SXjQMv4U8Pgn/ilKgsdf+Nc//sBfv/2MX7/9Gt++eY3Pnj3FR+MjeDpwFy8fjuJ7wuPX&#10;r77EF2MD+PDKabxhCXi8vngSL08fxvOjB/D08D48Y31IGLyiUbwiVF4JSEigYBEc/4bHv2/zuYTL&#10;yyMHCA2+/iBr/1483U/rIDyeHtiNZ/t24fmuHRI8ntBAHm3aRJtYR2tYgX4OfFHDhIIAw+h8gqF7&#10;EWsBhjq6MdzZjYmFS/B4yTJMCJhwf4zAGJu/EKNdCzBIqxiiXYzNp3HMX8ziYwTHaA/vY410dmGY&#10;BjLM9xpo7kB/XQv6q5owUN4ggeNBgQBHFe7nVuJ2dhnuZJbiDqFxS0AjpYhViBtp3GYU42paMS6m&#10;5eF8ejrOpadyS4CkpeFsMiESn4XTczJxIi4Dx+IzcJygOZaRh76MXOwjVHZn5GBrajq2ZGRif2k5&#10;jtfRMBpoGg2ESH09jjdyv1kYCQHSUkeI8H4C5QiNo4+2cbCpGvsbq7C3fh52187DLta2eWXYWkmA&#10;EBzbqgmMimJsKp+LLdUl2FpXhk21JdhUXypBY9VbgKyhcYh9YSIb3z62pqoIKwiOZWX5WFKWRwPJ&#10;wPy5mehmNWQloyw+GulB3giwNoKNljKMVJRhqKYBS0NjGOobYuYseY5zwkNsCREJINNm2WEyDWDS&#10;VDNChBCYySgzy4nAEHGGAJnuwPsIkVmub03Eh+VHgATREEIxk9sZ8u58Di1mmo4Ej+nT1DF1iup/&#10;AUQGj7/9jQbyP4wx/zOFt6fxcXkCRJMQMOMP54LZ8oSGQiChEcASxkP7UAqCAs1DQQBEKYIACScY&#10;QqCsEkQL8aC1GPBz+QvRQoSJTJnKKDNdme9lAGU1ewkeqiLOMLqoi+iiFyABRF3bCxrc1zVOgKFF&#10;Acztq2gYzXDw7oSjbw9svbtg7dEGK7cW2AhYeAgzESAR+60ER4tUMtNoIzhY3iw/3uffxG0r3Lxb&#10;EBRciezUUtSXVWM5Nbtv+3bcOHsRQ7fv/zu6vGYE+ZrR5afvvsevP4vo8gf+oHnIYsu/8E/Gln/9&#10;S8SXv2gfjC4/fIvvPn2Dz58/w6uJMTwefIBnBNG3vO/3b7/CV0/G8fLGBXx85RSjCyHCCPPy3BE8&#10;ObYfj/p24/Eh2sJR2gcBIgzkpYAD6x00RJSRirHmHUBeHjmID4V1sERcecSoMrFrOx7u2YHH+3fi&#10;8V5ud23Dk21b8HjLZjzavAkTNI8R2sYwB7yAxZAAQRdtgf8Og109GGaNEBzDjBvDrV0Y71yARz2L&#10;8ZA13rMIEz0LeXsh7+/BaGsnxmgYD7n/qEvcLx5fwOf1YLy7G2MEyBgtZKSF5lHXigeVjRgorcNA&#10;UQ0GcuZhIKMc/ekCHDSNzLm4mU5YpBbiOsFxNaUAl7l/hbFF1GUC5ArBcik9hxaSToBk4FxGOs6k&#10;peJMMo0kIRWnY1JxIjwZxyJTcHxOBo7EZ+Igt/sS07AzORmbkxOxJZO3i0txtIrmUVOPI9V1OFrL&#10;qmfRRI821+MwreRwUy2O0DYO0TYO1BMeNZXYXV2BHZXl6GVE2lpKeJQTHhWy2lhSiHXF+dhYOReb&#10;awiP6mJsqCYgGF9WMqa8iytLS7KwmvcJ+xAlAaaCFlKah4XFOejKS0NPUTrmF2eiJSeVFjIHBRFB&#10;mONuDw9jXVioq8FMSxu25hYw0jfCDGEerBmzFDBjpjxlQR7viV7D1Bn2BIi1VFOm2xEGDgSGMA9h&#10;IAIg4rYzoSIg4k6AeBIghIiSMBI/WoOIPLQYRpepU9UID1H/DZC3EeZvNJD/mYa/sd5/X/QtFPl8&#10;DcYO/nAzbWkUnlJckSeYxHaWYiDklAVAQmgUAh7RtA+WOk1EshB+/mxa0zRayBQBD1lNnSZ+SXUo&#10;qpjTQJyhpO4BFU0fAiSAAAmUIoyGLm9zX8c4CUZWJbCQ4ksj7L3aYe/bBRvvDlh70kAIj3dlJSKM&#10;BJAWqewIFUeCQ7INn3ZWG2/TRPybCZAG+PpXIzm2FJUFxehpasCuDRtw5fRpDNy8JUWXx6OjePn0&#10;GT59/Qm++/pb2gfN4uff8AftQ/Q7/vnPfxEcAiCMLQIef9E+GF1++vJzfPnhC3xMeDx6cA+j9+7i&#10;zYcf4rfvvsZ3Hz7Bq9uX8IrQeEOAvL58Aq/OH8XTkwfw8PAePDq0G0+P7sMLxhEJIKKPQat4STC8&#10;IiT+uyTzoHVI0OjbJ9Wzvr0Exi4JHFIRHI/2ER57tuPxjq00j814THiMr1lDeCyToofoS4ywxru6&#10;MdrejsFmmkFjI4YaWzDS2IqRBlZjB0aaOjHa0o3xth5McDvW3InxpnaM8/GxuiaMcBCO1jbydjsm&#10;Wvl+HQRLB1/T0YGx1naMivejeQzRPAbL6jFEeAzmVGCQ4OhPmov78QW4k5SLmym5uJ6eh6tZhEY2&#10;oZE1F9cyi3GdYLmSUYiLBMr55DycS8nE6ZQUnCQMTiTHs+JwMiUWp1OTcDYlHacS0nA8PhknElNw&#10;LDEJ+2OjsCMqFNtjI9A7Jw6b4hNpI5mMNYXYX1yGvrIqHKqkZVRW4WAV92tr0FdbjQO0jL66ahzk&#10;dm8VwUFYbCc4tpWVYUtxCbbMLcbWYlG0juIirC/Mw9qiXGwoK8RGRhlR6yuKsJJWsZwRZUVFvtTn&#10;WEKArOBWmMhqxhcpxhAgy/m8RQRIdz7hUcgqykBbTgrqUuJREh2K7ABPRNhbMcrowtrAANZm5tDS&#10;YLKQAEJwzFDAzJk0/ZmKeG8mATKdgJgy1QaTpjDOsCZzXzQ1pUgjxRp7TCdQps8mRGgKMwgS0aeY&#10;yQE/c7YbB78dX2+IyZPVGV2UpfgitpMIkA8+kCcsZrEEQGTw+Pv/zOD9jBxTlAkQYSAG/BmEhTjQ&#10;HPwgT3gIgMymfcxWIkRYCiphhEcMVDXmEAqxUFaX9UMUFb35CxnyveQlA5FKNHlmKEJOQYewYZQR&#10;FqLpS+sQAAmAjgHLMIj2EQMDsyyY2FQSIA2wdGmkdbTSPtoZYQgP7lu7t8CS4LAUAGHZ8LZkH29j&#10;ixPh4eLXBRefThqIiDCi2uDhX4XY6AIU84+0s6YGvStX4cLR4+i/eRNjNIZH48P48PFTfPLRJ/j6&#10;y2/ww/c/4ddfCI8/BDwYVwgOWQn7IEAYXf4hoss3X+Hrj1/hzaOHePrgAQauXcEzguinr7/B969f&#10;4eO7VwmPE/iE9ebiCXx0/hieneyTwYMlGqfPGGOeHzuIF0dpFe/M4tB+fEhAiHpBw3gh9nmfaJA+&#10;4+0n+wmeAyKq7JEAItW+nTSRnXhCiDyhjTyW7EOYxxqMEh6idzFKgIgexQQtYaKdoKirwXBlJYYq&#10;WKWs4koMF8/D8Nwq7ldjuKwWo5UNrEaMlNexajDCgTdaWsHnlGJwbhlfX4dRWsY4o4qwDqma2giZ&#10;ZoxWNxAeNegvnIcHWaW4m5yPu4l5uDMnB7diM3EzMQM30jNxLScXlwsIioJCnM3Jx7nMfJzPzMOZ&#10;jCwcZ1w5lJaC/RxQuxPCsSs2EHtiAtGXGI6TmfGsJJzJYqzJycSprFSczErCiex4HMqIwL7kIOye&#10;E4id0SHYEROD7XOSsD0lDbuyc7Enby72FpViL3+PvSWl2F9Rgb2VZdhdUYL988ql23vKy7BdAKOQ&#10;sCgiHAqKsCGvABvyaRz8eTcWFmBdAQFCiKybW4A1JbxdSiMpLcAKQmHp3GysICCWlWRjQV4qFuWn&#10;SfsrCBYBkVWEy3IRYUpy0VPACCNiDCHSToA0ZSSgOiEKc8MDkeDmTAsxgp2RCUwMjKAgp4zp0xU4&#10;rpSksSUgMosQeW/aTAvCwoQDzwiTpxjgg8n6mDRZ7DPSTGEsmWrJIzxLijcCKvZSSVDh7ekzrKTX&#10;TpqkxRJ9DxlAxHbSBwpvAUILkQAylQCZir//bQYfk5MgM3WKMBBGnxn6LFNCxJ4D35sAEb0PFiEi&#10;ACKvzNiiHsUokggVrSQoaUZBWSMCqmqhkJd34C8nYpOAkqyhOk1YyEwVKCibQk3LDRpS30MGD12j&#10;YOgahsPANFFqnlo41MHapUVqmlrRMAQ0pK20T2gQGNYsG9EoJVgcPMVWxBeZfbjQWJx8OqQGqrNn&#10;Azy96xERVoJcKnAj/yA2MPOfOXAYD65dx9gA4TE2hBdPHuHNq9f4+otvCY+f8YswD9EwlcxDQIPw&#10;+D/vACKiC6PND4TEJ6+lWZZnA/24d+EChm7dxLeffYZfvvwSnwz3SzMuby4dwycXjuH12WNSRHl8&#10;eC8e9nHwi94HbeOZaIIeO4wPRR05RGjwPtHL2LcbLw7sle2LGRUBDN73mJB4vG+XBA/pftHzeNv3&#10;eCIAIkWXrTSPjXgoZlBWLMfYosWYIDykmEHrGGfuH60uJyTyMTA3DwMlRdzOxVDBXIzklWAkpxjD&#10;2UUYzuF9+QRFIUExtxyjJRUYEeDILSAQcjDA7WAxraKiFsO1TRhtbqe5EB60lHEBkKp6AmQe+gtK&#10;8YDvdzslBzcSM3EjKRNXk9JxhXHkSm42LnPwnS0uxKG8HOxm1NiWmootSYwdibHYmBiJdcnhWJkQ&#10;iKUxblgS6YAVka58LBSHc1NwNj8Tl/KzcKUwC5c4AM8VESLFSThaGIfDOeHoSw3E3lgf7Aj3xeaQ&#10;QGwMD8eWmDnYFJdIK0nG1uR0bM/Mxp7CQuwpmYudcwsJlGLsI1R20zi2CXjkFWETa112PtZk5WJt&#10;NoGRk4f1eYRHHmGQn4PVhblYyVrFWjM3Hyvn5hIgOVheQoAUZaOTAGyNj0YP4bCEEBFN1JXlAiB5&#10;WFycS3BkYkFRpmQgHXkpaMlMQF1yDMpjw5Hq6wk/a0vYmZhBV9tAsg0Bj6kzOL6nc5/xZcZ0Obwn&#10;Bq4YwFOn6hAa2nh/kgbe/0CUFj6YxPsm67EM+BihMtWUMcdCqslTzaT7pkzhcyapEx4ycEydIisB&#10;kA8IEDGN+2+A/J0A+dsUvP/36ZhMsEjPp7VMm0o9mq5HqunzBzWBvJwTFBQDoKAUQnAw0rDklIKh&#10;oEpgaCdAVScFqnqJ0NCfA3WtSCgp04Zm6vNzSUiayLSpsgbPNP6isxX0CR0naOp5Q0tfTNv6EyJB&#10;0DeKgbF5BsxsS6UpWluPNti60zzcWqUmqZWLKBFZWmSxhmVHcAh4OAj7IFAcue/EqOMs7IPm4ehd&#10;CzefckSElCIvuRD11M3lXR04snM3bl+4iOHbd/BwiPCgebz56DW+/OJLfP/dD/j5J8Lhf8WW/9iH&#10;aJyKWZfvGV0+wecvnuL58BBunjuD62dP45Pnz/Hb11/jqycTeHXrMt5cO4NPLp3Ex2ePEh59eE5o&#10;PBHwEI1PmsYzGsdzQuPFUcKD9eJQHyFBq9i1A8/27MJzAuOpmIoVYNgt+hrb8UiU6HUIkLzdPhFA&#10;2b8TT3fTPHq3YHzDeoytWS2bRVmxDI9pIE8WLsHDFkaLSmEYhejPScddHuXu5STjbm4G7mZnSlAY&#10;5CAZ5mAZzi8iPArQT+Xv5yAaLinDeHkFxsvKMcwjcX9WNoby+FzayGBFDQbm1WGIkWWknhGnoY3x&#10;pgXD4j6+ZrCwmADJx01GiKs0gIvp6TiTmY5zHPinOMgOFmZjE+1hEYHRHheFtjkx6IiLRntkMNoi&#10;fNAS4ooGPxturdEeJcoR3XH+WJkahx1ZKejLZHSheVzkILxcmoMLZdk4W5KO04UJOJ4TgSMZIdif&#10;EITtEX7YHOiLjQGBWB8UhjWsFQGhWB0WRWilY6+YuWHtoQnt4c+8i7/3TkJ1W/5cbMotxJqMHKxM&#10;y8LqzBwJJKuysrAyKxMrs7OwKp8gKWI8oZGsLiBMCOblxXlYUZKPFUU5aI+PQX1kKNrT4wmKdCxn&#10;nFlZLmKOLMLML8jEQhrLgrlZ6CpIRWt2Ahr4+1UlxiErOBAhTg6wNTWDurouD8bKlAY1SgSLEJFF&#10;GQJkJgftjOm60vSraIJ+wAH9vhj8wiAmqxESWiw9KaJMmWbMrakEksmSsWgTLqosAQ/SaaqYEZHF&#10;l8mTlN4aiADILKmJKpuBmcrbM/kcRcJDlVuaA2PM9OnamCmVDmbOsMDs2e6Qp30oqtAwlMUaFG5V&#10;I6GsMwcahsnQMkyFjlEiTSIG6pp+BIU5QahKgBAiopHKKCMsZJacNh+3g7a+NzR1faCh68VtAAyM&#10;42BqlQNTGwLEqR527m2sDti6ESKuNBACxJpbWwLFwbOddtEuRRZHxhux70gTcebWyauTtzvg4N3A&#10;KFOO4NBCZCfmor5oLpa1tmA/B9f182cwdPsGxh7cx9OxCbz+8DW++vxrwuN7wuMn/PbbH1LD9L/B&#10;ISxE6n1Isy4/4edvvsTXr17g1eggbpw5iVMH9uHx4CDhQSt5+QKv79/A6+tn8ebKSbw6dxTPjh2Q&#10;wPGc4BAx5MUhxhapGFmOHsLLo0ckeDzZswcT27fj4fZteLpLAEEGjicEwxMxo7KHt1kPeXuCpiG2&#10;j0TDlBB5tJu3d2zFw62bCJB1GBcAWbkcD5cvxeMlS/CosxsPaxswXkiDSCMwEuJwjRn7ckQwzgcF&#10;4biXN464e+FMYAhuJqdggINhoHwuHvCoPFhCK6mggdDgJipYpSUYKyrCCP9dh0tpMoTS4LxqjNQ0&#10;YIwAGSVIBuc14EHpPNxnBLjPo/u9gnxcJ6QuZNIQslNxODsFB3k03padjMWpsWhKjEB9ahRaOHBE&#10;Q7E7kxrPn6/a3xVVHjaocTNHc6AVOqId0RbvjcaEYHSkxWJRehyWMtpsSIrA0XxaTXkRrpUV4mpp&#10;Pq6U5RAiyTiSHYtDmdE4kBSKPdG+2BHmi63BwVjvH4RVvoFY6ReMNSERtJIE7KAV7crOwa7cfOzM&#10;K8QORp2tBOp6RqoVyRlYRnNaSZtdnUkAMGIt5/OXZxIguQQKf8eVBMiqghxCI5cxhjApKcSqogJ0&#10;xMejMTKCAElAd0EKoZGJZfz5lr0FyIKiLCxilFlYTFshQFqyE9GQPgc1yXHICw9GmKsTzBhf5BWZ&#10;EuQIDnkNTJXjWOX+bHkVKCmqEiAzjTh4efSepktAEAhTaBNS/0KFWw0JHtOmmfBobsGy4j6L+9Nn&#10;iNijJVmEgIfYTpuqJpVooEo9kLfxRQBDrAER9vE3guR93j9ZPEe8nvAQnykgMkOChwFpZ8woY80I&#10;4wkl1RBCJBxyyuFQUiMsBEB0wqCi6kvz8IG6mj9jjCdjj/iZ+PmMMdOnzWTN4O81UyKnsrIxtLRF&#10;jCE8aCLa+iEwMEmCuU0h48s8Gki9bGrWrY3bVsYZYSEswkOs73AgLIRtODCy2DOq2BMYTp6dcCU8&#10;BESEkTh71yA4uAiZ8Tmo5pF0cUsz9m3aiOunT9I8bmDiwT08HR3Gxy+eSzMuP3z7A376kfD45Tf8&#10;40/CQppteQcP0TSVNU7/+uNX/Pr9N/jm9Uf4eGIEDy4QHnu2YeD6VfwoZm7efIRP+m/ho6uiYcrI&#10;cu6wbLZlPy1i/24872MkOfi2CJ3njCsfHj6E5wcP4vFuRpttuzDRS0BsIzR2EBhv4fFoVy8e7twm&#10;QWN8Zy/GCIpx1gT3H/G+RzsJjm2bCI8NeLR5PaPLGowvX44JAY7FjC6dnRzUjRgpq6ZhlOA+oXon&#10;JhWXgyJx0tUHh+3csdvcAVsMLbHD3A6HPb1xkUe+2zya3yorwG1C5CbV/BoH/o3MJNzPTsMQB8wA&#10;NX6ANjJUXIp+1gPCpL+Cn1FZh8HSGjwoKsU9Dp67JQW4WZqLy9Tz0/lpBEcStnBwrEiJRVdiDOpi&#10;I9BGcKxpLMCW9iKsnpeOVhpDhY8DytxtUOFqhRp3c7QGWaN7jjsW50RiRWkq1lbRALhdnBONxcmh&#10;2JgWjWMciBd41L/A6HCeA/IkY82x3FScyE/B0axYHODz9swJwLZIX2wI9MJaX2+s8/fHuoBgrPIj&#10;TPwDsSEqCr2E6PasPPTmMr5kF2CdgEYi4TEnDauSsrAmXQAkG0sIY1HLGYOW5+RiWS5jSx7Bwn+v&#10;FYwyqxgPVxK2HYkpaIyNRQdtqYs/ywICZAn/TUQJePw3QDryU9GUnYQ6wqYmKRpF4YEEiAsMdEww&#10;U14b0xSZUhRpIop6UFTVh6amPnS09fDejJmmHGjGHMD6HMw60qCeygEtGqKTJovBrcfHCBCCY/p0&#10;u7dlReDQRmgnAhbTREnwEH2IdzMwtJj35RldhH28jS9/lwHkAzF9y+dOYXSZTHBM4mvE7Wk0kBkz&#10;DTBzthFmyZsTII5QVCYoVMIIEsYXjSiW6I3Y8nmGtBRTKCjYQF7eisAx4M9IC5oyi/CYRRhxKxa7&#10;zFCAnJwWgWMBTR1X6DLC6BmFwsg8GRb2ZYQF4eHWSHi0wI4AsaOBSCbCOCNijb2XKMJDWuPRDmdf&#10;QoMQcaaJuLDE1K2LVy38A0qQHFeASsJjIfP+bh6RL584isEbVzHRfxdPRofw6uljfPHpG8LjW/z8&#10;w0/45adf8Cejyz//IjgIkH/9N0D+wUjz52/4/efv8f3nn+ATRpTBq+dxdPsmXDt1DN998hq/fvUF&#10;Ph8fxqvr5/HRpeN4efYwHh3ei1ExM0JDkFaGEiACJKIEQF4QHM/2HyAE9kjweLRtNx5t30N48PFd&#10;u/CMBvJYgGM7Y4koQuMdPMa38XbvZoxt2YjRjWtpHWvwiL/nI2EeS5ZKPQ8x7fqwrQtjNY0YKqnC&#10;g5wy3EsqwJ2IDFzyjsJBSxds0jTBGnUjrDOwxFp9c6zVNMI2AwscdHTGibAgnEmKw7m0JJyaE40T&#10;USG4GB+BO+mJBFE2BqjxD3gkvseBdienEDdz5+JOYRkeFFfgQUEJ7uURHoxL9yqLcGtePi6WZuJo&#10;YRq2ESCLODDqme/r+f6dNI51DSU4sLQeO9oLaR/BmBdojyIXcxTYm6LSzQr13hZoD7HC0lQvbKtJ&#10;xT6CZmt9FjZUESSVSViSG4H5Cf5YkxrBKJKKo0WZOM5YcIx1sigbZzgwTxWl4WReIg5nRmJvkj+2&#10;RbtjU6gTNoU4Y3OYB9b4u2GJhwsWuLtjCe1k45xk9BIUm9KzsS45HWvjU7FmTjrWCICk0jIYZxYz&#10;ki1iSSChkSxhpFmay2I8W8potpwQWVaYj56MdLSnJqGT1tVFQIiospjAkOILo5coEWFEI7WN/z71&#10;WQmo5b+zAEhxVBBCCBAdbR7MlfQxXdlAKgU1Ix6MTaCvZwwDfUMayCxjaRZj2jRhIQIgmlJNFvYh&#10;GYg2QWFAiJhzYHLgilmZ6ZZ8juiLaErQEGs/xFZmH4SBiDWMMKKB+r8BItZ/TJosAMJ4NJXvz9dN&#10;nqrK9xfF92GUmjnbkAAxZVkzmjjTQHyhoh5E4/AmKCwle5k0WYBCEXKztTBrFgk5TZjQLMYimgcB&#10;Ml0AZBoBMl2er1GCgqIWVNUtCRFPaQbG2DIF1k7VsrUdHk3SGhBbRhZhHrYEiJ0HIUKAiFkXsQ5E&#10;QEQ0TF0JEBc/Gogvb/s0wZXRxc+/FPFRuZibXYSuhhrsWL8KFwmPgRtXMP7gNs1jgPB4hM/fvML3&#10;33xF8/gBv/z8M/74/XdpxkWKK/9unrL++Sf+9dfv+OtXRpevP8eXLx7j4Z2rOLG7F8f27carJ4/w&#10;+7df46tnD/Hy1mW8unwar84ewyNaxtCObRhj5BDGIexDanS+nUGRDOTAfjzduw+PCAwBj8csGTz4&#10;fMYZEVvGt2/F6LbNGGGNESITO2gdb5enPxTrO2hWE+tpHWvW4KFYPbpoMcbEQrA2RpYmwqOqGcOF&#10;89CfWYw7hMeNsHSccw7DTm0brJiliflTldE9XRVLCJHVeuZYyaPbOt6/RUUPvfrG2GFpjT229tgp&#10;bW1w1t8Ht2NjcC8+EXfmJDEGJeJ6XApuJubgRko+bmUW4jb1/2ZeDu7QPO7VlONuXRkuMPPvz03G&#10;how46nwYyiL8UTEnBPNL02gdJdjdU4YdLfkcfBGoDbZHhZcFi/bhYYtab1tUexihyd8Iy1PdsKMq&#10;Dgea07G9Zg62VMViS20C1lbEYHlBGBYTPktTgrAuIRQ7U+NwiHA6QYCc5IA9PTcD50rScTx/Dg7y&#10;eXvTfLAz0RW9sY7YHOGEdUHOWO7jgoXuLuhyccVi7wCsjYhjtEnChrhkrI1Kwlqa27rETEKE1pGY&#10;iiU0i0XJtKDUdCwiRBalpWNxVgatiNs8QoUQWVRISORloofVnZ9BgIjZlqy3wMiURbY8MY3L5xTQ&#10;vgiPhowEGkgSARKD4pgwBLq6Ql3LCDNVjTBDxRSzVU2gTqDoERyG+gbS2pD3Zs0y4QA0xcyZIqaI&#10;RVkEhogWhIPoT0yeJICgRTgYckCa88guZmUYX6aIJetaEjymTxMgERARAPlPD0T0P/7O+CItInsH&#10;kPdlABEQENFFgGQK4TFNAoiwEB3JLmbyZ5o12xKz5RhlaBnCSETM+uADsbZkGrdTMPmDaRI0RE0m&#10;OKZMns7PF/FFxBjRSJXjzyuHWTPlaSkqUOYfqKqGPbQYYUxtcgmNOgkeVixpxsWZW8YX0QcRABFR&#10;Rcy62EvxhbYhGQi3fl3S9K2rTz38/SuQEJmHkow8dNXVYPva5Th/7BAeXLuC0Xt38Hi4Hy9pD58R&#10;Ht998wV+/onw+OUX/E54/PXXXzJ4SMUII/ofwj4EPH6joXz7Jb766Dme9t/Emb3bcIBxYeTePfzw&#10;5Zf47qOX+PjeDTxnpPnwzDE8PrgPw9u3Y4wW8Xj/PgJDZh6PJfvYg6f7eXsvAbF7Dw2D9xMaj7fz&#10;MdZT3n7G+5/u3oWHBIUAiDCOhyKqiDjD+x6LlaWEx+NNojbi0br1GF+xCqMLF0uLwcbaOjDRIBqm&#10;zRjIr8JdAY7wNFwNTMIxew4uVTMs4P9v1/sK6HxfDl2TFDF/mhoWz9TAcv7fr+VBZ8sMTWxX0sN2&#10;dQNsY/Vq6GOXvgn6rGxwkoPrrJcfTnn647RPCC6HxeNqVBquxGbhalI2LvMofLEoncaRgcuVuThX&#10;WYD9VPTVGYnoTIzEvOgAlMT4Yx5jSltWBJYURWFBlh/B4oKWMDvU+Zqh2ssU1b7WqPe3R3OgAw3E&#10;FA2+hlgc74hN+cHYVBSMNfk+WJzuip4UF/QQLJ18fUOoLao8TFHjZIIOLzusifLDjpQI7MtgfMmI&#10;waGcOPTlRWN3ZhB2pPlhV7o/dqb5o5f2sjnaHxt5tF8XGoClXu7ocXbFQldPrPANxKqgCKwOjsOa&#10;8CSsiU3BKtaymEQsjkvEwkQaFSPP4lSZjSwkTBZmZGBhDq0iPxs9+YREbgbhkUVAZEkAEdVNOxLr&#10;PzpzU7hNkxqpAiStmYloYtUTINVJsSiMDoOXswuUaYcz1TkW1SygpGFBeJjCxMgQJoYGMDYgQGbP&#10;ZlSQ40DlYBUnqM2YQVWZwbxDMAgrEP0NAYPJkwkHRpxp0/QkcEzj4H/X85DZx7vbAgQCIIqMMKL/&#10;8XYVqhRf/gMQseBsCqEjizKif6IqwUgAZDqNSPwsMrAxWtEuPpg8E+8TGO8TRKImfzAdUz6YKatJ&#10;BMmUKXzP6Xyf2RI0xCo5qWbISwCRk1Nh3NGkyVgywsTC3K6U9lELG09Cw1M2hWvp1ChN58oAIosw&#10;YtWpBBDRB/FuhaMf92kgYgGZn181EiOLUJKWj66qKuxYswIXj/Xh/tXLGL17F4+HBvHh43F8+tEL&#10;fPvlZ/j5x29pHj/i119/xZ9/MqIQIP/4S8y+ECRvT5T7l9j/nYD5QSxVf4UPRx7gEmPJ7jXLcOPU&#10;CXz9+mN8/+Y13gzex/OLp/D89FE8PdKHib1idegeqcfxvG+/BI1HewmJfcI8xJLzvXhMQDzaSUhs&#10;3ynV4x27CA9RIrbskPU8aBti+1j0QqRZl52MOL2Y2LgR42vX4iFrYvVqjC5fjpElyzC2cAnGO+dL&#10;azLGa1owXFyLexkluBGVgYse0Ths7oV1PHp18P+3ZbIC2nlQWUAzXcq/qZWTVLD6A2Wp1vKgs4Uw&#10;2aOsj72axtilY4p9jDiHTG3RZ2qFAybm6DPnvrkDjti44oRHII4GROJI+BxpIdep7FScKUnFqeIE&#10;HC2YgwOMLeuzRV8jFo0cEI2pUSiL9EKRnzNKfBxR7mOJSi9j1Hgbo87LBFVuhqjxNEGNjznmeYjb&#10;xqjlto4QafKzQFeYAzrDHdAQYIFSVx0UOWihwsUQFY6GKLHUQam5NipsdFHjoIdWdxMsCbLHylAX&#10;rAh24tYZa6JdsSaOthHljJWxntiYQiAlh2BTUgh6GYF6E8OxKSoQS73d0OVgz3LEfBdPLPMOJUhi&#10;sSpsDlaFx2EFf9+l0QlYkpCCJbSQJUmpWMSYsyAhHT2MPN20kfnZhAVtpDM7TQYRWkiXAMrb6iQw&#10;OnJTJQsRUOnMTSNUk9CclYz6DAIkOQ45UeFwcnCBAuPmLE0zyGtaQEPXEsbGFjA3MYaZsTEhYoL3&#10;ZszQ40A1lvoJs2czzszUw9TpWhJAxIlpYrHX5A8UpBkVMdsiGqwCDlP5xzBtqhIH/TuAvIMHDWSK&#10;EiZNetdAFfFl2lt4TJFuS0vY+dzJU0REEg1U2WunCWiJc2nEdO4skm8mI9UUYRxT+doPaB2T+b6E&#10;xySZaUjrPaQSZwm+iy6Eh1huS3DMlEq24GX2bGUCRAtqGg7QNY6DkWigulTB2oPQEPZBgIizcEWE&#10;ET0QYSACIsJApJkXloN3Cxx9G+HiUwcfnwrEhRZhbloBOgU8Vq3AhaMHaR6XMEbzeDI4gJcPZfD4&#10;jvD45ftv8Svh8dtvv+CPP/6QwYOw+Osvsf8nAfIPwuMf+D9itenPP+DHT1/j44khXDvRh22rFuM0&#10;I8hnz5/h588+xWdjw3h26Qye8LHHh/ZhYh/hsW8/nokGqXRmrFijIeILI8tBAoXbR4THxI4deLSL&#10;8CAwRD1mPdkpVpDKLGNCNElFXHk3dSv2RWwhPCZWExzLZMYhFodNLF6KsfmER9dCPGzpwcPadoyX&#10;1WMgm/CITccl3xgctfDGJiUTLJisgjb+vcyfSdNQ0EavvA62z9TCdv7d9H6ggk3vK2ETD1TbZ2ti&#10;v5oB9ukaY5+hKQ6b0jysHHHGzgln7cVWlDOO2Tpim40tVjraY4mnG5YFeGFliBfWEBCb5vhKtTIm&#10;AF2RwSgP8EZZsDfmhXmjwM0K2TZGKLA3Q4mDGSqdzVDvaYlaNwuU8P4ye1MCg7dpE2X2eqhwMCBI&#10;zFDuZIR5opxNUGpniEJLbRSYa6HESh+lVnooNdNGpaUe6pyNUO9igGZXA3R7m2EhwTPf1wLtnsZo&#10;8zJAl78JWn1M0OhpihY/a3SFOGFRlAeWx3ljfWIwtiZH8mcPw+owPyzwdkG7kz3mu3tgmX8IVtBG&#10;VgRGYHlQNJYSJEsYbxYnEB6xSeiJTEBXVCK6GO+6aCXd6YRDZgo6s7gVIBFFkHQJE6FxyEAiM5IO&#10;3t+ek4Z2AriFz69JTUBlUhySQ0NgbukAOS1zKGhbQFWfB15ja5iZEiDGJjA2NIaRgQAIj/Aixsye&#10;bcbIYIzpYj0FY8w0liya0BSEgfCoMekDAuGDGTQLsY5jJoEiRwAIOyE4xFm102T2MYV/LJMmyXHA&#10;/78zMH8nCD6YJJvCncIIM0WCx7v+CYufN32G6IHoM8KIZfHiPcS6kUn8TAGOd6fuz+BjM/h8EVfe&#10;9jr+K7LIACInAUSCx0xFyMupQkXVGBpaXtA2iIGBZQ7Mnauk/oaYgbF2EX0QGTze9UAcxBStt7AN&#10;woPW4SD6Ht518PUpRVxILgqTctFRWYltK5biwuE+CR6j927hyUA/Xk2M47OXz/HtF5/glx++wW+E&#10;wq+//Ijff/sVf4mT5AgLyT4kgPwhmce/xG0+Lk6G+/zpI/RfPI2961bg4NaN0pTtT59/jq95/7Nr&#10;FzBx/CAmDu7G6K4dkn08OXBQZh8CHvvFoq+9EjxesJ7u2/cWGjKACJg82s0t4fGQcUVqmIrIsnOr&#10;dD6LqIfbtmBCLAzbsAGPVq/D4+Wr8WjBUoy2dWNUnLfSPh9jLd0YqWvDSFkjRgpqMJBejBvRKbjg&#10;F4FTtj7YpWGFFTwozOfBp2eSAlZOV8UuRX0cVTHBKTVznKCZHJiljT08eOynffSpGqJPzxSHTCwJ&#10;H1sctbLDCXsnXPL2wu3wQNyMDMTVUH+c8fdCr6sDFjpbo8PDHu3ejmjzsEOjswUaXcxpAJbct0S5&#10;vTkK7SxQ4GiFuU5WKLA2QY65HvKtjFFkY4Yia31UOhmi2tUIpbYGKLdjDHG1JCxMUGKtixLeV8n3&#10;q3KzRDXhUWlvhGJLfRqHHuZaaKHYiuAgaGppIq0+FugJtkeHn6UEjE7aTYenIeb78efxMEKNvSbq&#10;nLTR4EYoOeuh2EaLkNInrCzQ4G2DziA3rIijkaTFYnN6FOOKH+b7O6HHm5Dx8cJSnwCsYHRb7hOO&#10;JYHRWBgZj/mMM/Oj4tEZFoeOiDnojI1HRwIjW0oSOtO4zSRcaBqdhEMnIdFTmIVuUSK2FGS/tZFM&#10;dORk0EBS0ZxJgPB1ZUlzEB0QAD0TWyjoWENFzxJaxpYwpAmamljAxMAUhvrGMNAzFgAxhpw8n6go&#10;lpFbYcYsMw5iEx7JxfSumNlgnBGNUVrHpA9mSRFEAgHjxCQOaAGEDybNkoAxRUSTKWKBmByfKwa/&#10;bA2ItIT9b8IixAzMW+iIXgkhIvoe75qw02k+swmPWbPFwjaxDJ7Pf9vreAcPmXkQHlJcmSYrCSSi&#10;Ycr48hYe0wkPMQMjVtDJz1KGMu1DU8MOWnr+0DAMha5lIswciwmQesYUsUS9GfaMLA6enTL78BTG&#10;QXhIMy2y/oejdzPcfCoREZaDvJR0tJWXonfpQpzjoL1/+Txjy03GlgfSWbGfffgM33z2Bj9++yV+&#10;+Umcok94/Poz/vzjdwKEliGV2P+NAPldMo9//f4r/qCpfPPqJcZuXseh3o3Ys2ENBm9ew7efvOb9&#10;L/Dh7esYP34IE317MLKrF2OEwBMC4tkBgkLqc4gFXqJpKjOQZ/v3Sb2Ph4wqj0R/RMBDgghhsrMX&#10;49s2YXTbBozt2ISJnVuk+wQ8xjdtIDw24sna9XiybDUezic8CA0JICwBj/GGDgyV1uF+Rinuxhfg&#10;ZngaLnhH0BA8sEvPGuvk9aSosvTv8lhJiGymnR6cpYMTCkY4TXicZ64+w/1jtJGjCvo4pWGOc4a2&#10;uOjgjPMerjjn44HLoQG4GReKW/EhNBsCJMYPp8LdsCPIAUt9bdHpbfcWILaodzJGtZ0eqm31UG7O&#10;mGGkjSIzA+Sb6rP0UGRpjDxzI2SbGyOX+/mEQbkDYwuhUWJLMzHXRqmNAcqsDVFswUhib4h6Lwva&#10;gg0HPqMNB3yZjT6qHI0JG10UmmvyuVoEiDbhYYZl0Y7o9rNCB+NPj7sRWh210OamixYPQ1TZa6Pc&#10;Wh2Vdow7tjrINVFDlpEacky1kEuDKbIyRB1huCDSGyuTGWXifdAZ7IhWb2sJjp2urljg5oMljDRL&#10;AqKxKDQWCwiNnrBYdARFoiMsBh3RcWiPj6eFEB4EQVd6InoYSzoZTzpyaCYFMuuQ9UJkfZHOPGEh&#10;aWjNSkFjhgBIEuYmRsPf1wdqhvaEhw3HixV0TaxgYGwOI5qhob4J9PQMoS+aqDNn0z4U7CCv5ITZ&#10;iraYJRqWcm/7IW/XiIjre8hWlwogECBSHJlKGxEgEVYhYDKd0HhbjCniVP0PpFWo7wAiGp8EDe1j&#10;kngvEXVE5BHmIkFEnfagQVsQjVkVCVbivaZMpm0QGlNY0jJ1sc5Dii1iybqsJPOYwftnzOJ2lmQe&#10;M2YoER7KUFHQgIm2MZytnODlHAhH2yAYm/rAwCwMxjY5sHKuk2ZapJPj3Fth7y6apowu3oSJdHLc&#10;2+apdytcvaoRHFSIrKQcNBEem5fMx7kDu3GfcWL0zlXC4w4+ejyCLz5+hu++eIOfvv0Kv/74ncw8&#10;JHj89hYav+NPgkNsBTzEStP/I26LCwQRFI/v38UxmsWeTetx9/JFfPnRK3z35iO8IpwmzpzEeN9+&#10;jO/diXGxUnSPOI1+H14cYISRYMHbBImYcZH6Hnz80W6W6H3QQgQ8HoupWr724S7RLN0oAWR8+2ZG&#10;GcJj6xaMiRmWDZvwbAtthPYx2r0Iw620jbYejHUuxFjHAgw2deJ+eT3uZpfiRkwWLgYm4oxHBI5Y&#10;e2CHhinWzFDHcsbf5R8oYi0h0ssYs3+GJk4rm+KCiiXOKprgnJIxTsnp4/BMXRxVNMRpVROc17fB&#10;DU9fXGf8uBoXjlsZcbiZGYVraUG4nOKDy2neOJXigd0JrowsjjzC86jvbocOV1u0uVigydkYNYRI&#10;sak6CgxUUWDIAWqgiRxDTRRZGPDIb0HzsOTANUS2CZ9nzehiQ5iY6PA5aowkuqglIOoYWRo9zNAR&#10;bIXuEBs0e1qglveJx1p9rNDobULD0cU8Rx3UOGlwoBtgcaQtFoRysHuZYb63KTo9DNDqqYtmHwPC&#10;gWCihRRYqBAcSkjTU0QmPy9NXxWJ2opIEz8rrafS3RjNwfy8YFuUORkQbDpodrdCl5szOhzdMN/F&#10;H4s9w7CIlrdImAhh0u0fQdhEoj0yBu1xcehMSqCFsFIJkYxktGUkSk1S0fcQ57yIKex3MBH74r4W&#10;WooASHVKIrLmRMLR0xsqRs6Ehz20GV10DM2hL8yDscXQwBjGRiawMLfEe7Nmm0JOAogjAWInQWS2&#10;vKUUawRApk0XC8nELIw6B7GYWRGzKsImBEQm8/ZkDnRCRMyM/D81kyChhUgAmc7XzCBkZL2PKdPE&#10;FC6tRvRYpP4H4UELmTVDg1sBqv+CB21jCku68tjb81zeAUQARbbuQ9Y4FWcLisbprBmqkGeeVlfS&#10;gYOZDeL9A5EfF4uS5GRk8x/Z38EDFkbuMDKNh7l9hXSBIOksW0YYARBHL8KDwLCXTtUX1/XogIt3&#10;AwIDS5CZmIvW8jJsWbwAZ/bvxN1Lp2geV/Bk6DY+ejSIL149xndffoSfv/8Sv701j99+/Ql/0C7e&#10;weNdyaKLmLJljPnlJ/z0xaf4cGQQFw7tx/6tm3D74nl8SRv58bNP8enjcTy8ch5DffswzME/IZab&#10;i9kWQuI5tyKqiO3TfeJcFoJk3x4pqjykdTzcuRsPd+x82wMRtV06e1ZaSUqIiEVjAh6PCY8JGsfE&#10;yvV4tm4LnqwhXBhbBpo70V/fhqGmDgw3dmBQnC5f1YjbhfNwKzEPl4IScMIzHPsdfLGdBrFBURdr&#10;Z2lgrbwW1nC7ebo6dvMAcYhmeU7bCpcMHXFW1wbHNEzQp2yAQxpmOKJmjD45DZzgEe5WVAgGipIx&#10;VJ6J/vJ03CiIxvkMP5xOceHWHacyvbA7yQUbYh2xPNQBPV42aGdkaXY0Rb0DIwntoMRcDQXGKiwN&#10;ZOurI1VLGZl6WsgzoWmYmiDXSB8ZOhrI1FVDnoEGYaOJuYRMNWNNKyNNi5semlgdwSboDDFDPY2i&#10;yt4AtQ5G6PBnXIk0Q2eoKQ3AEl3+5mjzJDQ48JdGOaDTz5TgMEBPoIg1VmjxN0GTH1/vpsP4pIws&#10;U8LDhCAx00A6TSRBXwkJBEqykTJSTZWRY6uFHBttJBsqIdtMHc1etljM2Nbj4o52O3d0OxMi3owy&#10;fjQR72j+/hH8GSLQERqF9mgaSUI82pMZZ1IT0E4LaU6PR3NGAtqyCRNWu4g1eekEiOiNpKEth/GF&#10;28asNNSmpyApdg7MXEOgZuYJbRNHRhlr6BtZwMjIDCbGZrAkOOzt7OHq4iamcU0hzwijSANRVHKA&#10;vII4rV7WDxFrRKST3MTMyNt+yGTGlPc5uIWB/Bsgk6ZywAvD+G+AEBiShcimcYWJTBbL3UWjlECS&#10;ZmDEdUNYIsLMnKHF4m0p/ohGqzAOWZNUbGWXLJQnzBhNxFmB4hogYv9tzZyhTOPQgBwVWUHOgOZh&#10;CHM9C0R7eaA4yh+VzJcN1Lqm9FRUxCchnuS2NQ+BmWU6rF3nESAN0poQe0YZh7cnzYlFZNIJc17N&#10;8PErQ0pcHlqKy7B9yQKcP7AT9wiP8XtX8XzkNt48HsBXHz3ED1+8JDw+w++/fIs/fhU9j5+kEgAR&#10;BiK272AiFosJgPzzt1/xy9df4M2jcdw5ewJnD+xB/7Ur+OKjD/HzV1/i6w9f4Omt6xg6cgD9O7di&#10;SDQ3CYon+8VsCwFC+5DWd/A+UVJkoWmMS9DYhYm3sy4iwki9j90ygEjntYjZFt5+IuxDXD1s5RqM&#10;L1mNiYWraBtLMNzUhYGqZgxWNmF4XjOGyuoxOLcGQ0XVuJdZgivhKTjqHITdlu7oNXXCJn1LbNQy&#10;whY9M2w3tUavsQW2axphn4ohjmqZ4bSlI045uDDmOOGIpT2OmtvglI0Tzpo74qShNS75eeNecTTu&#10;N8ZioCEZd8vjcSk1CGcjvXAy2BknqPWHQpywM8wOm6JssSLMCj2+ZtLMR70z4eGoixrWPEaGUisN&#10;RhFN5BEi6dqqBIYmgaGFLF1N5OqJImQM1VFsrIkSI02Um2igwVYf3Z4m6PImSDx00RlggI4AYSNG&#10;aOJnNDGetPsbY1GcORbGWjJGWKM7wIrmY4IWF0YXX1M0MdJUWqkQIsYc2DZo8mSc8TdAvTfB5qCG&#10;Qht+rrUGcq1oRpZaSDFWRaTmbETRRGJ1VRDDitZWQpyOMvKtDdDk44CFwZ5YHOCDbg8vtLt4oscz&#10;kACJwkKvSNpJCDq8QtAeGI62yGi00UJaEuLQnDwHzanxaEidw7/7RLRkJqOFkaY1R0BEZiIiwrTn&#10;ZKAxNx11BMk8AiQyOhWGbnOgZeUHfXMnmJrbwsLCDrY2DnB2coGvlw9CAoMY5cPxnpjCVVC0hxIB&#10;oqziCkVlmoi8uTQjM4vxRqzJmCFOdJuuLZnCVGmGZZYUX94XDU7WB5OmSBYig4iwEVGifzGD4BD2&#10;QRthBhYrXKdP05GmagVEpoqm6XRNCR6zWNPexiTRR5kxTYmfqczHVFiq3KelUIFnzNSmHeny59OD&#10;nFS6b0uP1qFPeBhBUd6U9mEGR1MHpPAPsjzCE7VxvmjLTMCyeWVY39qOnoo6RPlEw9wkBJbORbDx&#10;ENc0bYSdBBECxKNdOufF2asFHl5ViArNw7zcImzs6cGF/Xvw4Arhcf8SXo7cwWdPBvHNxw/x05cv&#10;8et3n+C3n7/CH7/9wCI4pPqZJa409rNUf/7xqxRdxPU9/kmo/P7Dd/jy5TMM37iEa8f7MHrrGr5l&#10;ZPnt+2/w/adv8NHgAEZPn0A/B/uQaHaK81MIj0eMLmKa9qlkHHsl45BZh4DHdhZNRcy28D4BFemk&#10;OTEtK8DBEue8iJWnz8RztmzFyKq1GF68EiPzl2OodREG6jrwoKIR94vFEvEq3M8rx73sEgzklGGQ&#10;8LgRl4mjXsHYaeEkmcc2PStsM7AkOCyxzYJbWxtss7HCLjMLHDa2wXFzOxyxd8B+Rzvs4xHsIOuw&#10;ky1O+Tnhaqgn7sT48bMicLcpDDdrfHBtri8upXjjTKArTrg645ijI044O+GkjxsOhrlgEwfvklAT&#10;HvlN0MEjfAuP+o3u+owbxmjzNuOWRuLKqEGryDFQR7aeumQbxWY6qLDSR4WlNqptdVFnr8/SQy3j&#10;Qq2tHhqdZPBoJ0S6fA1pI4wghFK7lzHjgjlafAmEQH6WLy3F24ifY4RqGx1U8/1aXPhejlo0IGV+&#10;tiHafKxRzfvqvXQkgJQ7qaPETgPljnqEiR4K+Lp0WkakljxC1OURqaOKCG0ChPDIstZDpZcV44wT&#10;ukLc0BPkgS4/T7R5uBOYnuj2CkSPexC6XALQ4RaIdt9QtIZEooUQaY6NRVPCHDQSIg0phEhaAiNK&#10;EhpYLdkpaM8TFpKGLqkHQoDk0D4IkJKMDARG58DYMxUmTsGwcvCCk7MnvDz9EBIUitjoGCQnJiEj&#10;LR05mVkEiLwNoeHMcoGKmifLnRZizUEqW1wmpnhniYVdkoWIZqdofioQGjPeWggB8m9ovAOIuFyh&#10;zEREz+R9sVaDeXjGNG1CQI9Ww1gkQUTcJhAIhenTaSZTZKCYPUuLQNDhVhRhMUsPs2eK6WYxO6PH&#10;MuC+WGxmyOcZQ0FBWJQR5OX0uG9IGJpBW80K7pZuyAoJRktGDFZWZmB1bQHWt9Vhx5IlWN/Rjczw&#10;eJjpe8DUOgO2HvWw8yBA3JtYLRJA3sEjNCAfBan5WNHagVMccA8YJSb6r+PD8Vv4/OkAvqV5/PTF&#10;hxzwhMdPX+L3X7/Dn7/9iL9+/wn/+P1nbgkNCSLc/v6LtERdrDT9F7d//vw9vv3kIzzuv4P7V87h&#10;6eA9/PDpa/z5/bf4+cvP8NnDcTy6eAGDhMQQoTAhehiExWPCQzRPBThEn2Ni5w6Mbd8mgUMARNwW&#10;9Vhco/SA7Poe0gzNPsKEEBEnzT3n656LBWTbdmCccUXAY7h7KQabe3C/uhV3SutwW1x4OLMYN/j7&#10;iwvx3BKnxydl4UxwLHY7emKztT02m1hil74FDooytsQBKxvssrZEr5WJVLsszXHU1hFn3DwICw+c&#10;CHXF8WhnnEzgfal2jCS2uJTviHvl7rhV64FLZc64mGmH8/EOuBDugrNefK6LE2HjgL321tjrboe9&#10;Ec7YluSEtQk2WBFjicWESJcX4eGiw8FlhG4/a3T6cPC5m6LaQTRGtVFCGymx1EStM2HjZYFGDvA6&#10;Jx00u+oRGPq8rceYIuyFFuOkhVonTZqFPhocCQiCpsmDz/MxRjVNp1IAwEYTpYwbDbSTOhc+hyBq&#10;9jAlyEylmZkmHwu0Btmgwd8MdQRcraceyhzVUGyrhgphSXxNMcGVba2FJFM1hAqIaCogVFMeMfoK&#10;yHXQQaUPXxskFrrZo5a/d6OHI38OZ5qQM8HmhnZXT3Q4eaPTxZ/AC+bnRaA1LAotUTESRBrj49CQ&#10;GI96Rpo6Rhqx0rQpKwVtjCydIsKw2hhnGnPSUZObiaysPHjGFsImIANu/nEICo1DTEwiUlMykZdb&#10;gNKSUlRWzkNVVTVqqmsFQOwkeIhSVfeBmqY3lJTteYS34CBllBFTvLOMOMh1Obg1ONDFeg1xsp2Y&#10;ohUNVXF27X8A8r601kMA5N1tsXBMzJCo0yT4HtLJcizCYDqhIADyLh5JUWamDsEgZmIICdbs2QIS&#10;hrQLI8gxmswmJGZzKydvzK2YQTKFoqI5wWEiwUNB0ZBRzPTfAMmJoNblJWJ5VTaWV+eiqzQXnaXF&#10;1LVchPAfX0/TCoamcbB1q4aDp7gmqrjGaSvtowWuXvPg55uHpOhMtFVW4cCmzbhz7jQePbiOVxMP&#10;8NmzEZrHI/z4+Qv89t0b/P7TF4wuXxMWP/wbHv9k/ePXn6Rl6QIi//jjF+myhAIe4r4fvniDl2P9&#10;GLl1BR9ODDPKfI6/aCS/fPk53/8xHl+/gpEjhzDMwT4uZlHEgjFhG3uETYgGKSPKW3iMbuuV9t8B&#10;RMQVsZRdXMP0w8MygEixZdd2PONzBDyebKexbNyKsWVrMdK9HMPNC/CgvBG38ypxXVwfNCEXV6LS&#10;cDE0Hqd8w7HX0QubzeyxWtsUK9T0sEbXUDKOE7Yc9E4eOG3viKM0jMMu9thjZ4Yt5rrYaWWKo/xj&#10;Pxfkj0vRgbiY5IWzmYwyORY4k2eGs8XWuFzuhGvFzrzfFscSzHEy2gwnQixx0tcWR1yssM/BHDuc&#10;zbHZzRwbvS2wJdIGm5NssS7BGuvibLAqnFHGxxCNjhz0HNzt7mZooX3UOxmilrfrnHUJDm1UOemi&#10;0dOM0cQGrd6mvF+bpqBFixCPa0mxp4IDt44mU2GriSprHTQ4mRAQLHcDaeAXmjEe0WrKbPRQaK6B&#10;MsalebSWCjs+140xh9BqdDNCm585OhixumMc0BJmi+YgS9QRQCUOmiiyUUcR4VNgo4V8QiTLThcx&#10;hiqEhxxNZCbCtWZijqE8Us3UkGahg3gjbcTqaSDL0hilLraY62jF97FGDc2s2dkDHc6+aPcMYlQK&#10;Q0twBJoJkabIGDTGxKIuLha1BEldciIaMkW/g9BgdebTPvLT0EITacrJRFVuLhKy58I9qRQBCUVI&#10;TC1Eds5cFBdXoLq6AU3Nbejo7EQ3LbynZwHm9yzCe/KKDhI8lFTdoKrhBw2tAKiquXEw2nKACogI&#10;A+FgnqEj2YF0yrw470RYyPuMKH8X6zT+Cxj/67aYihV9E2EYYpHa9LcAEQYxS9xmhBEL1mSA0SJA&#10;dGUAkSM4CAlFRXHCnCkhRmCw5OV4W96MlmRBWFhAniW2cgq8j8+XVxBlCi01C3jbeaIgJhKNmTFo&#10;yohGdUIYSqODURIThezQMLjwD19L1RAGRoGwdixmdGmAIwEilq07eNXTPgoQG5aOytxCbF66GNdO&#10;HMXEvRv4+NEDRo4xfPv6GWMLowbh8Qfh8efPhAftQ8BDZh0/4g8axh8/fYc/fvmBt38iPH6hfTDC&#10;/P4jfvnmM7x+NIJxwuP58H2pifqPn3+Qrmv69csXeHr/DoZPHsfogQOY2LOP9rEXD3cLeOyTACIa&#10;pAIUwjoEQERN7CJACI6HBIu0ClVcWezwfjw/JHomvE8ARJjJNtrMZr5mYy/G1mzC0ILl6G/oxr2S&#10;etzMKMGV+Byci0jBCZ8oHLT2xnZda6xV0ccSOQ0smKWKRbPUsGy2Gjao6aLP0g6XffxwKzgYl/29&#10;cczTEXtdrLHdwQSbLXWxzdoEBzyccCbSD1cSg3ApwQ8nY9zRF2qNw2EmOBFribOJzriQ4I5zc1xw&#10;Jt4WZ+dY4WS4Jfo4yHc7GWGHmxn2hDlgRyyNJ9oK62MtsCLKGEvDDbAywgxLgggFxokWsZBLmACt&#10;o9XVGO0evN/HXFrE1eLNmOLKKOFujFY/S5Yp7YGxxVkDda6aqHNjpHFhDPE3YmSw5P2GjDraqKGB&#10;1HlYSifXVfJnyTPWQjHBOM+BMBBTxk4ElLcxmvl+PWHW6A60IJD0+HmMQKGmWBRLgARboynAggAx&#10;5eDXQp61GlKM5JFmroZcGlG2kzHiTTVpIPIIVJmJYFVRs1hyCFRVhIeSPFwVZiNQVw1zbIwRZa6H&#10;YD01JJjoo9LOEe3O3rQoP8arYDQHhKGZUaYpIhp1EVGoiohEVUw0apMYZTJS0EzbaGVs6cjLRDsh&#10;0sptU24eyvLmYk7ePEQWNCCDfwdl5Q1oqG9DZ+cCLFq0DMtXrMLqtWuxZt16rFm7HmtZ7ykoO0oz&#10;MO8AoqYZKJmIgpIDj/gWMvuYwejwNsJMFYvFCJCpU8US99kySLw1ENkycwGQd/YhmqdiwZm4ghHh&#10;wOgxU1phyi3hIa08narM91WhidA+GFck62AcEUahqGjGOGJOozAnTMz485hCSd4SSopWfFz0bt4V&#10;QUKACCOZLUdTIUTUVE3gaOHAmBJCdeM/YlwQCgMJlAAvFIcFYw512kLDEBoqJtDR92KMSYOtSxUc&#10;3Brh4NEMJ/dSBPulYW4qzaW5Ecd3b8fQzct4OdGPL16N47vPnuLHL1/h128FPD7Hn798xfqWRfv4&#10;9UeChPXLd7SSr6USFwSSjIQG8tfv3+PX7z7DFy8mMHH7Ch7euUGTecHYwud+9xW+e/0SHw33Y/Ti&#10;WQwfPoSHB/poHQcIDNHn2IfHLOls2p3/iSpSCXDsY5wRJZaxi3UgYiGZmM7dK6DCeLNzOx5tI2g2&#10;bsH4us0YXb0BA4uX435LF+6U1+N6VjEuJmTiePgcHvF9sEHXEhsVDLCBoF/N//tVhMZqJe6ramKD&#10;hg72GlvgpLsHLvPf9DrhfDHMA8cC7LHPmwDh4N3BOujjjNORhEtKFC7GiyXoLtjpZo2tzibY5maI&#10;/YwbpyIIlzmRuJEcgeuZvric7oRzsTY4SdPoi3LA/kRP9BUGYn+pN3bkOmJjsiVWxZpiTZwF1sZa&#10;Y0mAKTpd9dFir4MWGx0ekY2wgPCZ72uOhYGWWBZlhcURfE4A7YQw6Qy2QleYBTqCjNHkxXhCuIhG&#10;Z3uQIRbGWGB+lFg8poNCE1XGHmEYjCiEWIWzKfIstJEvlq/bG6LQWgOljhpoCyPEUuyxPMMBS5Nt&#10;0B1pKr1XZ6gxusItUO9jghpPY5S56SPbVh3pNJ1oxpRQPQVEmKojwVoP8WYaiNBhjFGbiSCCI0hN&#10;AUEqs+GvLOChAAcFObhpKMDfSAPeBlpwVlNBsC6jmR3txsUVjS7uBJcfwRiKZlpIY2gkakIjMC+M&#10;FRWNKmEh6clozBYGkkUDyUFHQS7a83LRUFCEwpJqZFS2oahuPqqbutDetQjLaaZr12/C5i292Mqo&#10;u23HLvTuZO3Yid7t2wVAnKCo4gxFVVcoqXlBWd2PMPHikd2Rg9aK0cEEcqLfIOKHsAVGDbFcXViI&#10;uAKYmDGRmYcMIDKgyNaDiCuPSbMvU5QIEGEg4spGsv6HdNkAAmT6TJrHTC3JRoTpzJ7JuMJYoqRk&#10;LYFCUcEcyowkKsrGUGJEUZQ34f3mfJwgUeLjAiYiwhA2CjQQOQEQeUM+xxCGWiYIdfdEWWIcapNj&#10;URkTijx/T8Q7O8Dd0AS6SjrQ1LSGrpEPDM1jYeFQJJ0fY+deCS/PLKTHpGNRQx0ObtmA62dO4OnQ&#10;PXz+4UN89+lz/PSVgMdr/P7DpzQP2sevX+Ov374nPGgahMjvtI7ffvyG9RV+//FrGgjN5A8BkJ/4&#10;GnFxoMd4dPcKBq6cZRwS0eUz/PbN5/j+zUu8GR/ExOXzGDh6CCMEwMP9B2kge2kaYjm6WAhGE9kp&#10;LgQkmqUyAxkX5kFwPDpAyBzcR+hwS4A8Jjz+vfJUAIb/6RI8CA4xXTu6ZCUGWroJjzrczC/jwM3D&#10;0eh4bPbwwXJjDlJax+ZZOtg5UxO7lbWxR1cfOwx1GVv0sMvGBEfc7XE21BuX4oNwJZXxJMEbZ6Jd&#10;cDyCUSbWGSc48C+kx+BafiYu5yTidKwPDvraYLuXJXq9zLCNsWNvgCWOhfnhQmwcriXPwY3sCFzL&#10;8iNsnHE+xRWnCwJwoioGJ1viWTSiSl/0Zttjbbw5VsWYY02MFVaEmqGLBlFvpYRGS3V0uxphCY1g&#10;sb8ploVaYUOCPTYy8qyMNseyaEaeZHeszfTA6nQXLIu3wZI5YmrWEG1BugSIOZYnOKCDJlHlyCM8&#10;babS2QCFNrrIpVFlmdMgrHRRQjMRAClz0mJUscRSfsayNAcsyXDEfMaqtkBDQkkXrSGED22kzEkb&#10;hXbaSGXsiTRUg4+2IjxpHJ7qjC06Kog30UaCkTridJUQpaWIGB1lxGgrIExdHl6K8nCmgXiqK8Cb&#10;97tqqMJRhZHHgCBztkOjuytqnZwZtbzQ7BWEZkaZ+sAwVAeGojIoDBWESNUcjoM0GUBa87LQXpDD&#10;ykVbQR6a5paiuqYV1a3L0NK1EouXrsb69VuxY/te7N3bh76DR9DXdwSHDnHLOnj4MPpYEkDkxCpU&#10;lpySCxRUPKFMkIjGqgCInJwJBzWNQVy1TMyaSNOuogRIFKU1GzKA/Mc8RLQREHn/7yLC0ECmiOsp&#10;qmHGLC1GGG2CQ5zvQmBIfQ49WWwRtxlvBKwU5AgIMTOkaEeAWEBXywp2Fk4wN7aBqjIhomBEqFhA&#10;WdlGAo3ogSgJWxFwYXwRMFEUFqJkBEsDa0R6B6MwLgHF0VFIYBZ30zeEiYoWdNSMoavvAj1jPxia&#10;hMHMLgNWbqVw9shHhH8yanILsG/Datw4wxhx5zpePx7Ft2+e48cvXjJ+fCw1Tf/48TMJIH/99g3+&#10;IXofNA8RW3794Rv88v1X+JX1B0HypwALAfIXTeTHT1/i2YObuHX6EIZvXsJXtA8BkB8+eYkvnozi&#10;+a2rGDp2CAP792CMAJjYvw/ju3dj7O207CPC4+H23Rjv3YGxXsYX0VwVsyuExmNxIt2hAzKIvD2h&#10;TgBEmolhPdzKyLJ6PSaWr8WEmHFp78FAZQPu5JTialoujhEeGz28scTSGsuNzLFJxww7VY1wQM0Q&#10;x01oG8zdR1zM0edhhSMBTjQLcSEgwiMjjIAIw6X0AMYQD5ye44aL2d64XhyCGyWJuF6SiYsFCTia&#10;6IX9tIr90XbYF01T4WA+FOPIGBOM8wkJuJwchyuZBEh6IK7FefC93XCO5nGmfg7Od6bgQsccHKzw&#10;xcY0QiDGFEtDDbE81AQrGRUW+uijw0kDHfZaWORuiDUhFtjIz9ia4ILdGa7YSavZkuSAbVn8GSqj&#10;sbcmClvL/bC52AVbiu2wJtOc5mEs2ceiGDu0BZgz8hiiilXGaJTNOJPGQZ5NeOTZ6BEgxpjnaoo6&#10;T8Ir1IYgciBA7LE4wwk93G/yNUStmzoaAwwxz9uQ0UUHmdY6CNZWhqOSHKyUFWCvoQx3dSUEaKoi&#10;Sl8DMXoqiCU0YjRnY46uApIMlQgUWofybLjLz4S3shy8VRXgoqIIV3VVRJrqY66bOBvYiZBzojV5&#10;0KiC0ORD8/YLRnVAMCoCQ1BOgFTHz0E9I0wTI0xLfhZaC7LRWpSD1rkF6KiqQXfHIixYvB6rVm3F&#10;tt492L/vEA4fOo7jx87g9KnzOHP6PE6fOffvOnXmLN6TUyA4FOxpHPbSBXzklVyhoOwqGYi0oGw2&#10;I8fbyx7OYAyRZmKEOUgQUXm7bF3A4h1AhH2IiybLzEQsd586VYHAIEB4FJNFGdHsFI1PcenCdz0W&#10;2UyLAj9PUUGYhQCIPZRpGEY6NnC2doIFdVmF1qAgp8v7aSZvAaJEmAhwKLNUxD5LRBphK5qqFjDR&#10;c4S9mSucTB1hpW0BA0JIV9UMerqO0DP0hp6RuMRhMEys4mDrnIFA33TkzsnE0qYmXDxyABP3b+Ll&#10;2CC++PAxvv/sJX7+6iMC5DUB8inh8DmBQYD8SoD8/h+A/Pbjt4TI1/iN9Rdt5B+/ib6I6Ht8ijdj&#10;/bh17ACuHNmLZyP3aTQf4XtC5YunY/jw3nWMnDyMB4wcw4SCFEdYD6WZFgJgh1gURihsl0FEWuMh&#10;wCAWjh2UweMxtw8JHuk+0WgVK1DFIjJxuv/6DRheuhJjC5cTHgvQX9WMBwXzcDutCKejEtFL81hh&#10;aYMVxuZYb2iOXn1z7NWzwHELe5x352D2c8FJfwfGFAfGC0+cJTwupobhenY0buTF4GpqMC5Fe+Fy&#10;oi9u5AfgTkkI7pYm4HZZFi4WJmNnrAc2cGDv5dH6MI/+xzO9cDojFOfT43AxPR6XMyNxNZtASqHV&#10;RLrifIQzzqb44ExxFM43J+Jcexz2lnlhfaoVbcIEC/310e2uhx53A8z31MciLwMs8SJU/IyxOcYG&#10;u1LcpNqT5oR96c7Yk+GMg8W+NJk5ONmdjL62WPS1hKKvyQe9xU5YFG2J1gATqZ9RQwhViRkXF0YV&#10;R11kMLak0byyrfUlgBRK/Q8BEROaizWWJTthaboN5idbEyD2aA8V57kYyOKLjyUK3UwRSXuxUZGD&#10;IeOIgZIiTAkCazV5uDOahGgxzmjLI1pbDpGas2gfhAhjzhx9RYSozoaP/Az4Kc6GLyONh4oSvHW1&#10;EG1lhDRHU2Q7WaDAyQ4Vbp6o9fBHjSjvAFT5BaLcP4gGEi7rgWSlokEsGstLR1NBJprnZqOlrAhd&#10;jU1YsmgF1q3dit27DhIcJwiO0zh18hzOnrmIc2cv4eKFK7gg1WVcuHgZFy9doYEo2jIyMKrIi0Yk&#10;txy0Uv9DTOXSPmaJaVOpgapDCxEAkZ15KwxEAGTaWwt5F2GkpewSQKb/GyDTpinSMkSTVJPA0JeM&#10;QVHRGvJyVnx/0SAV0UVXKnkx4yLHOKJAONBABEDUlUygTZVWU9LiY5rSdK0iYSGDhwwiyooCImaS&#10;mYh4o6goeiWWjD42UFdzhLamM/S0XKCr4QQdDYJD1x16+l7Q0feBvoE/jI2DYG4RBneXGKRGp6Gj&#10;sgp7N6xD/9ULNI8RwuMRvnnzgvbxigD5WNb7IDz++vlLRhYRXxhRpL7H91J8EQby6w+y+PIP0Rdh&#10;/frdl/j8+TgenDuG0zs34t654/jsxUN8/eZDfEJ4vKCVjJ8/if79uzCwcxtGRYN0106MiS0h8JD2&#10;IeAxQXA8FADZIRqpBMRemgejzpPDhwiQPsJjH41EBh1pXYiILTSP0Q0bMCC+Ja5nIQZpHoMNHegv&#10;b8SD/Hm4lpiDPt9QrLNywEqaxzojU2w2NsN2M0vst3PEaV9fXIoIxNkILxwNIUDC7HBmjivOJHnj&#10;fHIgbuXE4FZ2JC7FMrIEOeJKhBuuJbjjWoYXbhXH4u68bFwrS8eR9AjsnEMDSPXAsVxPnM4Pwfnc&#10;BJzPomFkhuBiBj8n3Z3m4YyLkbSYEFYYnxfrjyMEy9F5odhf4Yet2c5YE2uFhd5GaLPTRYeDPhZ6&#10;GWNliDk20Go2MNZsS7HH3ixP7Ep1x84kR+yIt0PvHBvsznHCkdoQnO5Kwun5qTi7IAGnusKxvcQN&#10;CyIs0Ohlglp3U8xzNka1ixkqXEyQx8/IoIGkmmkhxUQVOVZaKHEyRAnjTbG9Lur8zTCf1tEdb4EO&#10;mtGCOXaYH2uHFv48Nd4mKHYxRhKB48F4YqI4E0aMJMaKijBmLDFVmgF7lRnw15yJCD05ROvKM8LI&#10;S4vLIjRmSfthanIIprWEKIm+CAFCE/HSUUeomT7CTLURYqyNaDPCxMYGBY6uKHXzQqWnL8q9fFHm&#10;H4h5kZHSNG59dgrq81LRmJ+GhgKCRACkuhwL589nZNmCXTv3MaLQOk6cpXFcIDgu4sL5q4QH6+I1&#10;gkNsRREkhMh78mIqlINWWmshttJp/WLqVlyTQ4DjnW3IYsv0qeK6He8Awv2pSpg6eTaBIaILgSFm&#10;XSa9a6xOw2QxhTtNrBLVhJamBSxMXWBEI1DlwFaQY0l9FmPJPuRm6bNEjBGLwcxpE9YsQkCKJ7QW&#10;eX2WAYuPExjKyrZQVbWHigpBo0yYKBMeLPHduO/2VVSsoaZmDw1NF2iLq5FpExo6XowuPhI8dPV9&#10;YWIUyJ8rEE42AYgLjEZDcSm2r16FyyeO4FH/bRk8Xj+jKbzAD58LA/kYf3z/Gf76kebxEwHyMwHy&#10;6/f/7n3I+h/fsmQN1L9+/g5/EijfMaqM3biAE9vX4eyeLXh6/wa+evkEn7+YwKuRe3h8/QIGj+zH&#10;wJ4dGNm1C6O0ixFGlKEtvRjZuh3j2wiTXha348JCdu+FtBZEnEjXdxCPCY9HomdCoDxk5JHOwCU8&#10;RGyZ2LQFw6vX4sHiJejv7sFQayeG69swUtmM/vxKDtZk7HXwxHojC6wxMsN6C3NscbTGHm8XwsKf&#10;8SKMphGCCxl+OJvhhrOpNJIEQiTOCReSaBuEx51cVkYAbiV44kasG67PIUDSAnA5PwaXi+NxqSAS&#10;5/LDcCwnBIcy/XEszxdnCsNxIT8RF3NiGXkCcTnLG1fS3XAhwQlnwvk5QW444+OCw1T0bd522Bzl&#10;gC2MIqvmWGFxoDF6aAdttIEuZyMsD7bE1mRH7M/3xv4CLxwo9MSR0iAcmRuCPeleWBdGS/A2xppw&#10;C8YYV+wpCcK+qjAcbw3HyfYg7GCUWRJtjY4Aa0LEivGDEcbNAuXOJsi310c+YVHopI8caw3k22gx&#10;Npih3teadmGGal9jtIZbozPKCl1RFmgPM0dziBma+Jkl3uaINteEJ+OJrYY8zFRmwVJdAVYairBg&#10;NDFTJEBUZyKA5hFloIg4GkeMjiLhQXCoyyGcFaoq4CGPUFaIymx48T08tFXhY6AND4LEUUMVzuoq&#10;8NfXQSz/79Lt7DHX1RMVXgGoYIypjomRGqhitWlDfgYaaR+imorz0dXchDVrN2DXrv04dOgojp04&#10;jdOnCY5zMuO4dOk6Ll3+T52/dBVnL1xiXcR7Io7ILubDiDFDW4orot8hVoaKpeWSZUglnsOS1oG8&#10;3ZeKj0nN1Jn/BogMJrI4I60qna4GRTl9GOjawc7CFWaGDtBSs4OaiiPNgcYjVsPOMoE8oTVbgggt&#10;Rd6Y4DAnaKxoEbaSaYh+iKK86G+I2RkrKKvYSnAQpcJ9ZRUrQsOcxSijYkKomHBrTgOxgSatQ1fb&#10;Dbo6HtDV9YS+Ic3DyI/24QcT40DYWQUh0j8aVbl52Lh4Ps4xugzeuIhXDwfx9Vt4fP/ZhwSIMJA3&#10;+O27T/H7D5/RML5gZBFN0u+l6CLBQ0CE0Pj9p2+4ZREiP372MT4cuItL+7fjyJZVuHv2CF5PDOHL&#10;F4/wyaMhPGd0GTp9FPdpH0O0hmHCY3DzNjxYtwX3V2/AII8Oo5u3Y2QLYwgBIs5vkdaCvAXIk4MH&#10;pV7JGMEhizp8DuEjzGNi8xaMrZPZx4OFC9Hf2YGh5laM1DZjuKweN5PzcNQ9EDtNbKSl55ttrLHV&#10;wwF7Qt1xdI4/ziWH4jLhcTXTDzcKfXC91B2Xc+1wIdGGUcUd1zPDcKswHveLEzBQFI37eUG4neGD&#10;26l+uJURI10Y+XJWAi5lROBifgTOFcfheF4kjuYE4HRBMAEShSuEzLX8cEaYAFxMo9Wk+eJschAB&#10;5YcTwe445OOKXV7O2BzkgA3xjlgRY4GFfkbodNRHOwGyxIfAS3TAgbmeONMQgQstsThdT1hVhuFo&#10;aRT25QRhQ6QTlnlZYAVtQawd2ZTqit4cL0Yib+ytcMWGLBssJkA6A/8DkBpXU0YYYxTTRkrdjVHn&#10;Z4YqT+5LK0n1MY/31fiZoMJTBzWMT00BRuiINENriAnhYoxybwvEWhvCmYPdVV8L3kY6BIkq3Gki&#10;HvrKcGVscWKk8VBnTNFVQayBKuL1lBGjpUhozEYwQRGkPB0BCtMRpCiHMMaXEJWZ8CJwXDWV+Hp1&#10;uIivn9TQgiVjjYuOBoJpIjHmjDUOTvz8AMwLoX3EJ6IhIx31OZk0kCw05OUwwhAeleVYvWgxdtA8&#10;RL/jNOFx5uwFnD9/DZcv3sDly6wrN3Hl6k1cuvIOHldwhjHmzHkCZKr4ekkCYLqYTn17Ytu0KW9N&#10;Q8y2MKJIRYsQ8Pj/AMLniNdOkaZ0ZbMv/7ERcSYt4wvBJAa/Gm1BU90OGuoOHPSeLHFldQ+IywnI&#10;zRbTtIZSU1XYkAL3RZ9DlfBQUbGHkqpY8CabmRGxRsQUVVVrqPP9VAkjFT6urGrDsmTxdWqmLAJE&#10;1QRq6ubQ1LSFtpYz7cMT2nre0DHwhaGxP0wJEUtDL/g7BqAsLRtr5y/AyX178eDqRTwZuIM3jBZf&#10;vXmObz/5EN8JgIgI8/VrRphP8Ov3n+JXxpjffmJU+YnGIaKL6H0I++DtPwiQP378SjKWNw+HcOfU&#10;YZzoXY/LfTvx6O5VfPp4FJ89GcOr4XsYv3gaDw7sITxoGIwlQwSFgMfd5etwd8kaDKzehOGNvRgW&#10;azcEQHaJ/gYBQtt4uu8Anh04KN0e274DY1u3YWLLNjxkjW7cjKE1azFIeAwsWkT76ES/+GrJmlr0&#10;F8/D3fS5OO0XhV1Gttila4IDllY44OmM/eE8eicE4GxKOK6kReFmVhjuFAXiXoU/bhR74FKWIy6l&#10;uuBGbgTvy8RAQy4Ga1PRXxKNm+n+uBLvhdtJoaxYXEmOxeX0KEIoGFeyw3B5bjzOz03AOXGSHF9/&#10;gfZxmRZyLTcOF9IDcCbNB+cyg2k5YTgZ44ujtJDDod44lBCEXYTY1hx3bMgQELFCN2NLOwf4qggH&#10;7CvyxsnGIFxdGI+bS9NwsTMBJ2tjcbxqDo6WxWBPlj+2Jbpgc7w91tOeNqU402bcsSXLHRtpNcui&#10;LNEdYIE2H8YYdzPUER7SqfsOJihxNEGZswGa/Y3QEmiGSndZU7TU1QDVPsYEiR6qXfVQ58PnhJsx&#10;upiinvGqiIALMxGDXBFhFvpIdjJHnJUOwoyVEWKoDH9dRXgTFKHaCkg0VUWqiSYSdFURSUMJVp6F&#10;QAIkUJl2ojAD4YRHrLoSwmkj3rQQZzVFuGiqwk1LA47qGrBWU4GDrga8jXURbKqPdAc7VPgFoiqc&#10;9pGYjMbMdDTmZqE+V0AkB81zi7CIB5Jtm7ZKMywnCY/z584zmsis44qAB0vA4/KVG7hAeJwjPM7x&#10;8bMCIOeEgRAUoqchTc+K63OIr2mYxFgiarK48pi4zoc4kY2QmU6IzBAQkUUYyVykUpaeN/m/eh//&#10;BgjfQyxfl1dgXFEUXxjlzAHuBVX1YJb4eko/aR2KbCpWrDaVndciYoqIL+qEh7qqg2QYKjQMFWVG&#10;GkYUVZa6AIgED3u+j70MKCoElYoZn0uDUTGCKrfqBIiWpg20tZ0YWRhhDHygZ+ANC4LDwcAZbvo2&#10;iHHzQWdlFY7wyH/34kU8HriPlxPDePNsAl9+/BzfECDf0z5+JAx++vpj/PzNa/z87af46bvP8NP3&#10;n+Pn77/CL99/LSvR//iR5sEI8+s3n+CLF+MYvX4O5/b24jwNZPjaWbwavU+AjOD1+ACe3L6KoROH&#10;0b9nF6OL6HmI6LIDQxu3oX/lRjxYtk4CyNCGrRJAxHTuw90CIGIZuziJ7qAEEdEPGSU8RjZuwcj6&#10;zRhZuxFDK9diaOkKDC5cjKGebgy2MbLUVONuUTEHdjpOB0XgoI0z9pla4KiDNU742OGkaFwmekoz&#10;Kleyo3AjL57xJAr3sgNwL8sL1xkvria443ZOBO6XZmKwoQwjrSUYrc/Eg7wIXA5zxQV/F9yMCMbd&#10;uFjcTGGESQ8hQHxxmdZxsSgcV0vn4Na8FFwtTsLZvCScz0+n1STjXFooweGPS2Ibx/gR6Y2jiTSR&#10;Ij6nJg0Hy4KxJc+FtuCAlYTAolALLGZ02ZTiisNVgTjbFoorPVG4vTgRN+an4mJLCi42p+N8UxaO&#10;VsRif2EAduR6YkOaEzYw7qxJsMcKvs/qRHssChEX/zFBK+HR6m6BFleCxIkxxZkm4kyYOOhJC8S6&#10;Q83REWqLBj+xvkNc8tCEtqKLeg99NHO/WZx9628oXU+13MMIqbZ6iDTWRLyFLqOFEVKstBFjqIRY&#10;VoyBEqIZWdIt1VBor4Vca9Go1USsjhIiNeURIUpDDhGMMfHaikjUEgCRh7fiLDgpzYaTqiKc1JRh&#10;R/uwVlWCvZYaPAy1EGSmh1QnW1QGM75Ei2UMKdL0bVO+sI8sxpc8tJWVYRX/Lg7wb+fE8ZM4e4bw&#10;YDS5dEkA5CqhQYhcvcH9azh3/vJ/1SXCgxFGAEQsEpsxTZcQEGs8hF0occuaoswSdiIAIs6IlZPu&#10;n0EDkRqiUlOUsUeyEPEVlfIQZ9D+ByCiF8LXEUgzphsQDHaSbSiL73HRCGGFQ018NaVGMAe/i7RY&#10;TABE9Djk5QxoIEZQlicMFO2grsyYoiymcC0JB9EYtYSSgImarWQfaqq2BIktNNSsoEEDEaWqIpqs&#10;AiKMMOrW0NKyh56uM4wN3AgOdziYeMDL1BkBRpYIMTJBpn8AVrV34uKR4xi+dQcvxsfw8ZMJvBYX&#10;RH7xDF999IIQeYkfvhQAec16g5+++RQ/fvsZ63P8+M0XUv303Zf4+YevpAbqr7z/uzcv8HzwFq4f&#10;24dz+7bh/vnjeDZIs3k0ItXLwbuYuHgGA+KK6rtkzVJxApw4k3ZMQGT9VvSv3oiBNZswsHYTBjcQ&#10;DltpGaKZulOs8djPYnTZzthD4xgkPAYJjsE16zG4YjXhsRxDCwiP7vkYbm/HUGMdHvAP50ZaBk4G&#10;h+CQqxtOujOSBHnjapQnzkc74UKCM66neeEWI8id9Ejcy0nC/ZwE3Of+3aQgXI/zxbX4YDzITMFQ&#10;cREGayowVF2E4eIU3EsKw1VvN1zme96KjMKt+HhcmUOopPB1jCtXSkNwqSICVyrm4EplMq5V5+Bi&#10;eR7OMI9fzOVgTwtjbPHGWUaniym0E0aj83UZuNBVhHMd2dhfHoyNtJ9VybZYFGOJRZFWWJ3giJ0F&#10;3jjeEI4zrWE41xKEa91RuN4Zj0tNibjckoHLnbk43ZSCIzVR2F8Rgq35nlhPiKyMt8WKJDusE+tB&#10;omyka3m0C3gQGg12xmi2N0Gbixna3FgepugJNMHyOHusSvHEAnEBoXBrzI+0QLOvLksfXbSTDrEq&#10;1UuPMcYYDcFmKHEzRaGDGXLtjZFja4hsK31kmGmy1JBrpY4CO3WUuWgxGhmg0ou242aCNAsCh4YS&#10;T8DE6dE8tGcjmdtkHXlEq4vVqgpwU5KHg5IcbLm1UVaALQHipK0GP1M9RNmZIMvDCVURYYwvCahL&#10;SUGTBJBMNBVmo4X/b/Pr6tC7dj2O8W/+7OlzuMBIcvHiZQkglwmNy5ev4bwwjTMXcPptnTp9Xiqx&#10;f+YsASKal6JkMy3iy51E3+M/ZjGN5iF905uwELGiVESdaWLlqBpmvYWIiDH/GyCTCJApk+QxbbJ4&#10;PyPGEgcCxFeyDlV1AQ5ZqWuFQV3TWzYlK2ZW5I2l+CJN58rRJBStCQ9aBuOLstQUFc1TxhQVaym2&#10;CIAICxHRSFPdRgYRUeqW0FK3gjbhoathCyNte1jqO8CD0AizcEGcpSMSLW15VLBEgrUVSqIi0bt0&#10;GW6SwqN3HxAgE3j1aAIfPRonRB4RIk/x1WsRYz4iRF7TRN7gx68/xfdffYbvWGIr6odvPqeR0EZ+&#10;+JJx52O8fjSM/ouncPHADtw80YdHYin8w2F89uwhY80Int66huGjh/Bgx3YMbeuVFoXJzqjdxf0d&#10;NI5eDNAm+gmPuysZZ1atx8DGrYw42wgM0VjdzciyCwO0kwcEx4CwjrUbMLSKsWXZCgwtXIThbvEt&#10;9l0YaWnBEO3jfkEBLkbF4JAbo4GbCy6ECiiE4joH7fU5onfhjwe54bibFo47cdHoT0nHYG4e+vOy&#10;MViQjYG5uejPz8FQZg4hkod7fL/7Oem4lxyHuwmxuBUegTtz4jFYUYp7lSW4npWMqxlRuDaXg3pe&#10;NK5Xz8HFuTE4kxuDq1W5uFZXjLOlWThbzsFeGYUzjCnHU/xwqSoJtxbNxbVlJbi0bC7OL87Fwboo&#10;9BZ6Y0O2K1am2mM1IbCtyA99tRE40zkH53tY3XzfHoKrYw7ONsTgbGM8LnSk4mxHEo43xkjP3VHi&#10;j/WMLetTHdGb74MtuT5YGeeAxSEEgr8VmlxoFdb6aGA1sRppEW0ehrQPIyyNt8K6TC9+tidWpblh&#10;fZYbVibbY2GUFZZE2GJZKM0ozBKL46wwP84arWIZu78jGgNdUEvDmyeubsbYVeagjXJHcWauKipc&#10;1dASTEDNcUJbjBMK3AwYaZSRZKKEBEM5JBnMQoZY+q4vj3gtYSYq8FNXpYUQHAIiNBEHdWV46msi&#10;wsYECc6WyPZyQXVMJONLImpTaSA5GWgWaz/m5qOd/zfLuzqxf+cunGJ0OXf2PM7/GyBXpeapAMfJ&#10;U+ekEtB4t//utgQQ0Z+YJa0E1YbcTH3CxACzxJTtNMJENFZF70MyEsJDrCiVoMIiREQ/RBjJjOmi&#10;D6JIU5FdCEgGkBkEiPiuWnGRIBPMlnMmQAKgpk7z0IyEqma4ZCHqWhHQ0AygXfBxeZqFtFzdhPAQ&#10;IBGrTkWvg/bBeKJKeKjSKFSVaRWqwjZsoKlGQBAcBpq20Ne0YlnAUMcCpnoWsDSwgp2hDdzMHBBg&#10;7YJIWyck2zsjz8kNJS6uLBcUuroij0fLiugobKbi3zx5BiO3H+DJ0Ciej47ixdgoITKBT549xpcf&#10;iSjzEt9+9jG++/w16w2++fwTlti+wbdffCrB5EdhIbSPbxh9nty7iRvHDuDa4X0YunwOL4b78cnT&#10;h/j8+WO8Hh3Co0vnMbB3Dwa3i29/2y4tSZfWdbDEuS2Dm2kUtIqBdZtxZ9lq3FqyCvcFRHhbNFaH&#10;1/dieN1WDKxi1Fm+hkXrWLlGgseD+QvwoKMDQ+0dGO/oxFgz40tFOa4mJ+Gorw/6XJxwJsAPN8Sg&#10;T4nD7eQo3E2OoGWE435aLO5npeBuOmNJRj4GsgsxkF+AIfGF2IXiS7ELMZZXgOEs8RjhQsjcS0zi&#10;c/IwzM8Yaa3H+KoeDCxpw62mCkaWDBpGDG7QOu615eJGPa2gPAXXa/JwcV4uTpWm4HxjKgc9I01V&#10;FE6yri3Lw4Nexq3Nlbi1tgSXl+egrzES20t8CQBPbCtzw7ZyL+yuCsahpkicWxiHSyuTcGlFMq6v&#10;TMWNZWm4QAs5QWicklaxxuFAVSj2zgvB7oog9ObxPRhn9pQGY2uuLxZH0mjCLLAk0g7tfjQQJ0M0&#10;MnLUWeqj1koPnT4mWBRliiXx5gSGExbFOrJoI0lOtCAnLKHBzA+1wtIoGhItbiXNZlmCDRbG2KEn&#10;2h1d0X5oY7xrJ2DaGbvqPMUZuRoodVBBqZMKWsNMsTjVBQvTPVDN90mzUUeCiTwSDGYiw1QOBdaq&#10;yDJWQrymHCI1lBGgoSYtKLNTFvBQgYeuJkLMDTHH0RJJzlbI83VHdWwsahKSUZeahiYeAFqKctFW&#10;WoSeuhpsWrUSR/oO4fSpszh3TjROL0lrPM4znoiFY8ePn8HxE2dw4uTZ/w8ewkDO8nnviWuBzOKg&#10;FeenyBZ0GdAq9AkRsTJUNo0rTuGXNUsJCwEOQkU2MyMrcVtcv0OYyr8BIvof/wUQOXkXRpUgqGtE&#10;0jiEfdBENIR9hENDI4hQcGNkoWXQOpQlgAgDMYayghkNxIKgECWLJ9pq5jAmKKy1LeCiawEffQuE&#10;mNggwsIB0dbOiLN1Rry9I5IdnZHp7II8anqxpzvKvT1R7edDrQxGC4+SrVFRaKTi1TKr18dHYdm8&#10;chzb2os7zHmjd+/j8eAAQTJIiIxIceazD5/gC0LhS5rIV29e4etPPsbXn77GV6wv33wk7X9HiPwg&#10;rORT0TgdxfClcxI87p0+hsd3btFIJvDFh8/w2ZOH+PDebQwfO4L+ndsxLK6KLuAhnXErWwA2RgMZ&#10;4s8ztJkgISxuEx43FyzHXW4fLF+L/hUEyUoxu7IeD5asxv1Fy9G/aCkGFizCg85uPCA4hgiQUQGP&#10;tg6M1DfgVkE+TkeG45ivF86FBDBixBAWKXiQnUarSMP9vBTcSWNcSSEM8ggGwmCgshIjJaUYKipi&#10;FWA0Nx9DNJKB/HwM5hAiuUUYESDh/YN11RhdxM9a04OhjfMZp3rwYEU7bnRU0iiycbOtCHeXV+DO&#10;EppFSxauNebjWlMxLjTk4EIbIdOViks9qbi6LAN3txTSzCq5rcCtdXNxbn4Kdpf7o7fIDXsq3bG/&#10;1h17azyxo8ILu6p8cHphOK6sY2xZm4Dr61Nwe30mrixNw2lC6WRrMg7Xx2F3aSDfIwAHasNxsDqc&#10;cYZAqQgnQPw48G2wJIaRJsEFnTSROlfCQ5zKb22AKisDdHiYYQkBI5qti8Ks0e5tjlbRxPU05GNG&#10;0kWUW7wNMT/KFssTnbEszg5L59hiYaw1OqLsUR/siDp/G8LECQuj7dHBeFPvbSCdS1PiqI6GICN0&#10;zrFBF4FUH26DXBpKMgGSbDQLudYqmGuviSxaSRwBEqGuBH81FWlFq4gwjgSIl7427cMUiS7WSGbl&#10;+nigMjwKNfHJaMjIQovoexQXoIP2sbS9Dbt7e3H86Il/9z4uEh7n3sLj5ImzOEGAiO1JAuZddBHW&#10;IcDxbvueuk4cbSAMKmp+UFLxgLyCI+RmW0NulhltRHYdELGAbKa48I9UGjQPAQ4liBPqxAWGhKHI&#10;ACIuqCyLMaKhOvUDAoQRZuZ0ARDRPA0kLKJYEVDTCKaJhBAgYdDUCoa6ugeUFW0JDHPZilJFY6ix&#10;tJTMoK9sBhN1c1hqW8KOZuFlZIlICxsk2dojy8GBRuGIudTxeT5+qA8KQVN4OJojwtHKgdIWEYrO&#10;yFAsiIvCosQ4LE5OwNK0VCzPysSKnGwsy03HkpwULM5NxpLiHPTO78HpfQdxm/+gw7dvYfz+PUJk&#10;AB+OD+PjpxP4lBD57CUB8PI5Pv/oQ3z++hU++/gVPn/1khHnI3zzKW2EYBGR59mDO7h/6jhuHjlI&#10;kJzHRyPD+PLDF/jq5Yf4ZHwEj65cxMCBvRgkPEYJkQnC46E4y1bMpuzaiVECZGTbToxs3Sk1UO8t&#10;W4PbBMidnqW4O3+ZVLd7ZNt7PUtwr2shjaMbAwSH6HdI4GB0GW/rwmhjKwbm1eBqZgZOhQXjMv9d&#10;7iQk4k5SKu6kZuJedg7uFeZisJyQqCjBcGUF404tBurrMNLcwNfXYbi6UrKLsTJuS8rRX1yG0fIa&#10;jFfUYrCwFA8ImQdt9RheS3BsWoD+Td2EH0Gyvhv9a9r58zcQHrXoX99AIDYSiFW4Ob8Ktxfz51pQ&#10;IgHkbEsCAZKCmyszCI0MXF2TTavIxcWlWTjM+LIpwxWbsp2xkwayvdAV2wvcsLPIi2YRiPOL4nFj&#10;fRqurk3G5dUJuLI6BRdpIWcJpFOMMH21sXyNj2QwfU3RONIch/01kdgzL4L3B2NFrBMWhDF2iPUc&#10;NARpQZmzIcostZFvqIZyS100uxpLjdYmNzPU2puixlYfNVbaaLTRQyuNpc3bBAuEiUQSGkGmWBBu&#10;iQXR5mgONUa1vzmaaB89Uc7oDLVFd7g9WgIsUe6si3JXXdT7GaEpxBh1gUYo5u0sK3VkmKuwFFFg&#10;p4G5jto0EWVEq81EqIoCfFVVYK8sB2tCRDRSA00NkOBqi3QvR2T7uGJugD8qQqJQGy++9zYPrYWF&#10;aC2Zi67qedjAuH6If+enaNwiuly6dBkXaCBi1amoM6cvSCB51+t4VwIa75qpEkA09TKgpZMGDa1E&#10;DupYgoR2wIGurOwJRQVnyMvZYPZbmIjl5iLySH0PAREp2rytt70S6VviCA/xtQ9TP5DH9MlqBIgx&#10;5GkgKnxfdb6/uuiBiF6IRogEES2dIGhre0nNUFVlU2iqGEFfxRAW6sY0DEv4G9sj3JJmYedMq3BC&#10;NnN7ibcHaoL8aBEERGwUuuMEHJKwMjsDa6hqawtzsJa6tiY/C2tZG+fmYUtZEbaWF6OXA2R7VRm2&#10;V5eht6YUW2qKsbmqEOsrWfU12LdiFS4dPow7ly6g/+Y1jN2/g8dD92kig/joyTjeMH588vwpPnnx&#10;DJ8QJJ98+JxAeYEvPqKVECJfvvoQH02MYez6Zdw61oc7Jw7j8e2btI7HjDUfESDP8XH/fYwdP4b+&#10;XTswLK06FSfE7ZSu+TEh1nKwxsWsyo7dEkTEFG7/ynW4t5DA6F7MWogb7d08infgVms37rR04l5L&#10;Owba2jHc2oaRllYMNzRjqJ7b+hYMVtfidmERLiZR8eNicDspAfcYO+4kZ+N+ZiFjSSmGy8sxXFuF&#10;sfZmjC/qwdjiRRjp6WQRRgvbMdLN92trxEhHK8HUjn4C5n5lNQbrGzHU2ozBjiYMLie0di7H2IFV&#10;GD2wgr/bIgxsJsB6F2B4E3/WZfNwe3UNIxuhsrUHt1c0SwC5vbgcl9szcIw2cLQyFBe6YnFteSKu&#10;LM/E+cXZON6aQFD4Y02CI9alOGB1oh0WhZtjLaPDdsaPfeUhONUVz5hDYDDKHG8LxvGOUBzvjMbR&#10;9lgcbYvH4aZY7GN82VMZhIP1kTjcGIu91ZGMQNHoLQzFwjA7dHCQd4eK72yxQjv3G2kV8zhwC03V&#10;UWisjRJzfZRY6KDMxpD7Bphrokmw6KDKxgC1doZo97LEwnA7vocVukUfJNYWi+OtsCDeEj1zHLAk&#10;2Yu3PdBBkHSFO6I50FpaV1JNk6nzNUIj4VHhQdOwVECmuTLNQx1Z3OZYiMsgEiAmqohSE2tDFOCl&#10;rARHcT4NYSJOrgu1NEaKhz0yPByQ6+WK0sAglIfFoJoHicbcXLQQIG2lpVjU0oIdmzbh6KEjOHPm&#10;nNT3EAYiRZjzVxhhGGPOiigjFpJdlaZ1zxMYUglLEaB5C5L3dPTSoaWdQhNI5ICeA2W1aEIkkoM9&#10;DMoqQVLjU1Hp7fVBxCUOpYsCMZbMEFdR/88szHQCRLp2qQDIpJlSicbr9ClqBI8xFAkQVVXRAwkj&#10;qER0CYGmRgB0NL1houMOSx1H2GjbwEXPEn7G1oiyckCaoysKPb1RGRSMhshI6QpLrfFz0JEcj/np&#10;SViak4Y1RTnYVFqILW/BsINg2F1bib1183CgsQb7G6uxu463G6rQx6PjofZ69LXWSfsHub+/tZZV&#10;jX1t1djTXI0tfO2mJj62bjUuHOnDjXNn8EB809ydG3hIo3gmvuf28TheP32M18+e4jVB8pq28Yax&#10;5FOC4bMXz/GGoHjO+DPI+CIAMnD+FD4cFNcQoX18/BKfPBrHkyuXMLhvj/RdtqMEiPh6BlGjO8RW&#10;BhJRozt3YWQHt72EyPrNuL+YBtI9H3c6u3CdfwhXOXhv1DXhDutBUzMGmhox0NCAgeo63C+twf2S&#10;GtwrrsBNRo7LiYm4PCcet5NTcTctC/cZOx5kFuB+ag4hwlhSVYXRLsJnSQ9GVi3B6JplGFq+AGOr&#10;F+DRhsUYX92D4WUEyrJuxhQCgJ91h6+5R6gMLO1ilOqkKS3ARN9aPD65EY+Pr8fovmWMZwvxcO8S&#10;GpawEv6cGxsJFlrK7iW4u74Tt5fW4/qiCpxuSceBuSHYVxSEE42RuLggDhfnp+JwTTx6CYkNqa5Y&#10;E++E1fH2WMoj/PxAc6yMdcTGNC9aiTdNIhBH2iJwsC4IO4tdsbfMDYfqGFfqg3CggbGtLUGqPRVB&#10;jCye2F0SjAM1hErtHOwoi8LKRHcsiqQhRFqi2c8QzYwj4vKFNR40BFtdlFoYEB4GyDNUlyrfQIOl&#10;jlIbfVQw6pTSRupczdEeYEv7oMlE22BhvDUWJFrQem2wMtMFKzM8sCLVA4sZk7pjHFEfYIEqX3NG&#10;Gws0BJiiJdQc1b66yLNVQI6NEvJpHplmykg34G1jVWQaqCJGUwEBakrwVFeFO8uD8PDV00S4lSHi&#10;HS2Q6miNAg8PlIeGozQmDvMYURvzc9DKCNpWXokljLfbtm5D38HDOHHiNE4xopw+fRZnz56Xlq5L&#10;576cYaQ5fxVXrog1IGIFqmz5+nmCRgBEwOP8hSt4T9cgA9q6qZKBqKrHMWZEERyiIlnhBEgwbcQX&#10;yoSIooI94405xNdNirNqZdcyJUykJqr4Tph38Hh7UeTJ8rQSGggBoqToRPvwfQsNPxhqecNS1x0u&#10;Rq4ItHBBjJ0L0l09Mdc7ANXBYWiNjsYCGsWKnCysLynEJsJhI7PbBm43VZWit7YC2+srsbuxCvtb&#10;6nCER7+jHc38A2rkEacRx1jHO1idTTjS3iCB41h3E07Ob8GxriYc5mNHOlkd9dwnVDoa0Mfn7Wqq&#10;xsaacmxooImsWoaz+/fi2qmThMgVDN+6wUhzB09HGGkejklfcv0RISLqY4LkzfNnhMcTvBwbw+N7&#10;99B//izunDyKkauX8Gp0GF8IU+Hznvffw9DJY3iwkxFFAoaYliU8xFXFuH0Hj/Gdog+yi4/TRnbu&#10;wfBmxpjlKxlbFuAWTeN6Qz2u1VYTIDyCc/8u48a9mnm4W1mOW8UluJ47F9cyinCVgLiWnI5r8Um4&#10;MSeJ1pGBO2mMLFkFGCgowVB+MR7kFKCfMOinbdxd1oOBdRz4m1ZheN0SPNywFE+2rsTDTUsxvKKH&#10;MakZ9wmp/poGPKglqLpacH9lN+6v7SYs+Pxj6zF+ZI0Ej9E9SzHOesga20EL2drBSMaigQzRTvp7&#10;FxIi7TSNapxbWIgztJAT9Qk4UhNGiATjWG0ktmb4Ye0cZ6yLd8WyCAcs5NF9Po/cnT4WWBJqI4MK&#10;TWRTlht2zPXCllw3Goo1NmXaY3+lH/ZW+dMyAnG0OV7qheycGyRN/W7K8sLO8giaaRg2FQdjK8G1&#10;MccTy1Ls0B7KmOIjLmhshHkuuiiz1cE8eyNUOTBemDHS6GmgQFcLRca0ETs9lDKG5IkrjNnxuS4G&#10;qHI3QEuwmbQqtTPGjBCxwpIUWwLFBkuTnLEs2RWtNJQKMXXrTYAwyjQGm6CREaYmQA8l7jQORwEQ&#10;ZWSZKSDLWABEgEQR0dry8NckQDRV4KmtCj8ddYQYaiHCQh8x1iYEiB3m+jG+REajjAeMqgxx4lwB&#10;Wvg30cn/sxWLlqOXsXj/vsM41Hcchw4dx9GjJ3Hy5GnGlnOEByMNzePypev/z0IysR5EshWCRLIS&#10;2sh72vo0EB1hIAm0gzjaBw1ElfBQjWDRQpRDoKTkD2VFb5a7BAIFeRFrTAkG0WgV/RFayLR3BvIO&#10;ILOkq5aJK5GJyxFqKNvBQMOFpuEMV0IjyMYbie4BKCQsxCXXutKSsIxRY13ZXMaJcvTSGnY0VWEP&#10;beFAVzP6ultxsKMF+9saWBzwBEMfAXCY26N8/GRPK9W1k3+ErAUdODO/jUrbzCI0CI7jXYQK6zj3&#10;JYAQFn1tdQRLHd+DgBF2wtvCRrbXl2F9RRHW00Z2L1mI49t34Mrxk7h3idZw4zrG7t3GYxrF05Fh&#10;PCUsnk88woePHuPlQ27HJ/BkYBCjN2/i/rmzuH/+DB7euYWPxkfxCa3lo7ERPKTR3D+wDw+29Up9&#10;Dsk0RL9DnC0r1oG8jTATBMcEwSHWeYirkQ0KgKxajZs983GNR/8bDbW4SdDdamQ8Yd2qnYebhOt1&#10;GtklgvdsEnU+Ph2XkjIIkAzcTMnA7dRM3ErPwR0BDCm2zMNoFWPI3FL0F5XiLkF0jwYyunEVxrau&#10;xtjm5dxfylqC/lWMHPz3vlFZhZvF83CnpAr3a+rQz3jTv2E+bWoJHh2hfZzeiNFDKzG8i9YiALJ7&#10;MX+3+ejf3I77G1sZadpwb1MLbq5rwd1NXbgvoszWdtzZ3s5tM66srMSZzjQcbYjAgfIwbMsMwMZE&#10;T6yM4VE70AZdQdbo8LVFq5uFNO26kYNxS5oHt25YG+fMcsLKaGusT3bA7rkBNI5Q7KuJxBHGoEMN&#10;8dhaEIi1fP6aNHesSHfHYprN8nRPbC7g5xR4YXmaPbojLdDka4JqVwOU2okvmdJDg6vofZigylof&#10;xfpaKNbTQ7mZAapdjFDpqY9CJx3k2usg34FRx1UftYxANX40GD99tEeZYmGSFXpiLbAwTjRWbVHr&#10;Y0jgaEon6pUROPVBhmgMM0J9mD7juQ7KPdVQJCBirYRCKxqPuSpS9BUQoUWAaCvDjeWuo0R4qCPW&#10;RJxMp4c51ubI8fRERXgUqmLjURGfgJqMDDQzvraUV6CnrRNr12zA1q27sGvnQewjRPbvP4KDfUdx&#10;hBA5fvy01P8QJ8+J+HKekebcf5WwjncAuUig0EAyoa0jMxB1RhhV9WjGGIJDLYQgCaWFECDKATQQ&#10;AkTJU2YiEkRsIS9nLp23Ir5OQViI6IPIIgzhMUkOYupXfqY6dJQNYK1nA19rDyR6BKA4LBL1iUlY&#10;SK1aP68EW+vnYTstYm9nKw4v7MKxpT1vi/uLO3FsQRuOz2+X6hhBcqy7hSDgln/MJ7kvYHG6pwXn&#10;FnXg0pJuXOD23IJ2nOFjp5nbxWOiBEhOECIneZ+wkUPttTjYUoNDjDGHWmrRR/s40FyJfY1ljEJz&#10;aT4FWD2vHFt7unGktxeXjx3DnQsXMHD9CkZv38TE/ft4SFg8Hh4lTMbxfHQcz7g/ce8Bhq5dx/0L&#10;5xljLklfFPWS4Hg5xufduY2hE8dxl8AY2LaN8JABQ4Djv6OLWAMiznd5vHc/j977pAgzuH4T7tNA&#10;bnR14VpzI2421+NmEwHCeHabwL1ZV45rNXNxppCDLz4Kx6NjcTEhA9dTsnBDAIR1KzULd2ge9wuK&#10;pb7HSEm5FF0Gi0sxKMWYagwtno+RlYswsp6xY9sqTOxYhdGty/FgRTfu0PTuMSrdqeZnl83Dff4c&#10;o+sW0jSWY4zQeHJmA55e2IyJE2sw3rccDw8RIPsXYGhXJx70thIYfP3mJtze0IBLq+pwY0snBg6u&#10;wPBhVt9S3NvVjVtb2nFrYwMuLC7A0cYUHK5Kwr7SaGzOCcK6LH+szfTF8jmeWBLmirUJsvNZtmb5&#10;EBzuWB3qgnVhLlgeaIcVYQ5Yn+KBXoKhrzGBfzOZjLLxkm1sLgzE6kxPdHMwd8fa0Qo8sIpRaEmy&#10;I1pDjVHnrYd6D2NUMZpUORiiwd0YTR6MNB5GaHMzRYONIapMdVHFo36zhzma/MxQ7mYgLV0vcTXi&#10;4DdDhbcZ8hw0ke+ojjrCoYsm0h1tgc4oC0YVE5S7ayPLUg2JhsrItlVDTaABmiMZY6L5WZFGqAvU&#10;Q7WPDqo9CSoHPeSZqSNRTxFhWkrw11WHh44avPRUCA5tJFvoEiJ60pqmooAgwiMB82icZQncMsKI&#10;ZevtNbVYvHAx1m7YjE1bdmL79r3YvbsPe/Yexl6C5GDfMRw+dhJHGWuOnTgjlTgr9/jxszh2nLdZ&#10;YkpXNFYFSMSJde/p6mcxwqRDUysJGppzCJFoQkTMygiACHgE0UD8aB5etBEPqCi7EyKutBEnbsXp&#10;9uY0DGEi4suhRENVDjMmz4b8VEWoz1KFqaouPE2tkeQTgNrUdCwuLcd6qvaWpjrsok0c4uA/zAF/&#10;eFEnji7owqlFC3Bu2WKcXbYQ51YsxAXW2cXdONFDiBAaok5Rs0/z9gn+MZ8kRM7zCHh+URvto02C&#10;x0W+1/n/DyCtMivh7VM9vE+KMo3oIzwOCHBwEB5gJNpP+9hfX4o9orFaVoDlRblYxAi1vr0VR7du&#10;wdVjR3Cb0eTeZWEjNyC+hX/iQT8eDQzRSoZZQxi7ew+DBMiDixcxcOkyxm/dwpMH9/Ho3h0MnT2D&#10;u7v34H7vNgwRICKyCPt4BxBx0SCxCvUhreepOFWfcBlkXhWLxO4tW407C5fiDiPM/W4xmFtxvbGa&#10;0GBkITxu1ZXiTHE6+lIIj7goXOAfkIDHnfRc3GZkuZWWjbu5BRgkNIbFTAqNY4w1VDAXt9OzcDcv&#10;H8NtTRhZPh8DizswtLKLn08oHFqHJwfW4GHvUoysJgyWL8CDBZ2429nM5/TwOSswepBx5chyPD67&#10;Hk8u0ECOLcfAAYLo8HwMH+zA/V2MO7uaMbinA4N7O1nd6N+9AAN7l/Bxvv7QCgzuX4zbvR24w6gz&#10;cGA57m7vxOVVNQRJGY61cfDXzUFfSxIOM4bsrYzDjoJwbCMIthT4YVN2INYl+GJlMOHha4/5tJMF&#10;XtZYGuKAdcmeOFCbiBML8nGwOwM7m+KxvTYWawsDMJ9RpjvWAfOjndEV6YjOaDs0+ovT+fXR5EkD&#10;sadh2OmjzcdUuhRiKyPN/CBLLAmxQxch0Uor6faXncFb7WLIga7P+CLOlRErUA2Ra6eBHFtVGoYW&#10;6v300BFhzs+zQWOoKYp5X6q5MmJ15ZHObYm7JuqCjQgQM7TQWFrC+XkhJmgJMJe+wzfbRF060S5c&#10;VwMB+trw0dNEsLE2Em2MkGZtjARzY6TZO6BUXMaQUbUyKRllyYmoSCdAyorR1dKC5ctWEiBbCJAd&#10;6N2+Bzv3ECD7j2Ivaz/jTN+Rk6wT3D/GOoqDjDd9h8V9p3CIdfTYaQkiYkpXmoUxMMyDnkH22z5I&#10;PCESS4hEQY0WIgxERUX0QBhhhH2ItRpKLixnqCq7QE3ZCaqEiJK8KU1DG7MZZZSnK0J3ljJMFdVh&#10;r6aNAGMzpFOpGpKTsLp6HnZ0dmDfooU4uHgBDi3qxkn+MZ5dvQhnVi7AySWd/E9m/Fjcg7NL5rN6&#10;cI4mcm7pfJwmRI6/hciZt1HldHebBJCz85txkX/wF/n68ws7JHickyIMjYMx53hHg9QPOcGsLnoi&#10;JwgR0QsR/Y8+Gois0VqB3bVl2FcnqpT7Jdgyby5WFeVgcW4GFnK7sZXvtXUzLh09jKunT+MWbeT+&#10;lSsEyU2M3pGBZOLBA4zcvo2Bq1dx/y1ARq5fxyijz+ClC7jTdxC3tvZigFAQ1/uQ6m18GSFQxrh9&#10;tGMXnm3fiaeEzOgmWsfatbizgvBYuhJ3F6/A/+XqLdfryNJs3byI3dWVaWZGybJkySTLYmZmZmZm&#10;ZmZmZmbJYpMss5OcUJlZ3b33uYBxxoxlV+1zfnxPLJJsSRFvvOObM2Zss56K+R4phAhhvBQaRIj4&#10;YzbABYP2xhi0MMS0tS0W7VywQnisO3tgw90bGz5+2A4Oxl5YKHYI8h0+FyMvewH+2PL3pVmEEA7J&#10;jC25jC+MHw3Z2O/Mx8FgMV4PlOBNN6uzFC9airFTm8dIlYNXncX4MErrGC/FwTjfnyZspsrxbCAf&#10;W53p2O1Jw1ZHHNYa+W92xBMU6dhuT8ZWeyqfZ2G9KgnLhYRLTTK2W9KxToBstWXRSIqx2ZaD5eok&#10;LJVFYyrXj383F0xku2M61xODsTZo9tZFS4Ae44k5WgMtGVk0kK2ugFw1RWQRHpn3r6NQQwklBvdR&#10;56pP23QgQJx54rJFY6wlqkIMkO+qiixGoDTGnhQTRQJFGcn6PMDVLkjXtYQwkvhfP4oE9fPSfI5U&#10;g+vIMJFDhbMqym1VkaN/GzkGBJa4NkblPMIIkAhxER7BEnDnLHxoIGKOR5DyMYLlOBL1LiPbThGp&#10;1owwehfhonAYFmf/BvtL38JV7hCCHp1FAuNXEiGToCduCyGi1FUE0ECcLh6GOY3D6Nwp6F48B91L&#10;Z2F6/Rxs5C7B5vpl1nV43lNFqKE5Qi1tEWJnD387WwQ6OSEuJASZjL4lJRWoqGxAdU0zahta0dTa&#10;TYAMor1L1AA6ugfQ1t2Pti5aCR939w2hm1DpEhAZGEf/0CTNZJIQESuSTeObs2fdcOasK8RozPGT&#10;Vixzlgwih4/q4/ARXWlY99AhRphD92gkd2gdijjEOvytEo5+p4gjfxcTwM7j2/91HGf+4zBufUe9&#10;OnYSmmfOwuLmTfhraSLN1QlVUeFoJUC6szIwUJCDwYJsjFCVJ0tzMM2aLM7EaH4yxvIIgvx0TBMe&#10;04TIFIEynUvQUK1HCYgxGsZEdipLgET0O+IlC5nPT2OESWV8SZTsY1TAgvAYTIrmWSsSfYlRUkNV&#10;gEPYR19SJCNLGDppIK1RQWgM80VLmB/aIwLRTJjUhvqi3N8dRe6OyHaxQYaHIyoT49DXUI/x3l7M&#10;Dg1jeXyCsWaGIFmQQCKsZFvAg9Flg4ARFrItPZ7CKqPLSlsr1mvqaB+NPBBbpPkeEjxYwkb2WW9p&#10;Iq9ravGsuAQ7hYXYZD0hQJ4UlWGzqBw7+aV4mpmP3fg0PAmJwqyfH4bcHTDoYIYJK0PMWZpjzdEd&#10;T5y88cTGBWs2TpJ9rLq6Y9NfwMIfmz4+2AkjTPh7eZ4Wg1cCHJVphFgWI0chDvppHANFOBguxNuJ&#10;UkaTMuwPleBFXwn2+8sJlWq8GqrEu8ka/LhYj+8XqnAwUYQXIwV4OVyAvZ4cbHdl4lk/q5c20x2P&#10;/b40PO+iudRHs+Kx2ZSGxaJozGcGY6MyAZs0jvXaeOx1ZNJmCrHRnI2V6hRs1KZitTyG+4C/rNGa&#10;6iqNzLT56qOH8BhIcEF3hBNqnXRQaKSMYqMHyNFUQvbDWyjTvIsS7bsoMn6Aeh8TtEY7oCHKBo1x&#10;1hJEKgJ1UeyljkKPx8h3e4RCVrqZAmI0ziFek1GGJhKmdFrqWVR6qaLUQxUlno9Q7aeNag9NaeQm&#10;jwaTrnMVkYonEXFL3BLzKsLuiBXbT7KOIvSOuHeMuEfuWUaYG8h2UES2M83HXgEhGufhdF3c5vII&#10;XBlnfFXOIEZPDomGNCFNEY0EQK4jgNHI6bKADSPLhVMwEJfs37gI29sEhxzt4xpP1LcUESTWQjW1&#10;QYSNPcIcHOHvYI8AN3ckxyagqLAMVVWNqK5uQW1dBxqau9HS0U9QDKGD9iFVL0FC8+joG0QXTaRn&#10;cFSq3qEx9BEc/cPTEkQGRLQZnRIRxoXwcJYAcuK0DcsSJ06Z0URkADlEEznMOHPkiAZB8oggeUBw&#10;3MMhmsghAuTId7dx5Fs5HGWUOfq387j49xO4e/QYNE+dhsGFC7BTkEeQnhYy3JxQHckDNTkRPVnp&#10;GC7MxWhxHg0kG2MFX+JKMWFSSFAQHjM0kxmaxxTNQ9RMXiZmxefy0r5AJBmTOal8ne8THhMZCbSQ&#10;FAkgE5mMObSPUdrHKDV7NIXmkRSDAQJEBpMIqe/RkxAu9UC64yIIkVBaSCCaQv1QH+yD2mBvyUCq&#10;GWNKvJ2R62aHDEdrZLk5o4YQHOCBP9ZHiAwOYnF0DCuTU1gnLDZmWQTH+uQk1hhX1sZpKqzl0WEs&#10;9XRhlZaxRTg8JShetDGytIjRl3qah6z2Wa/qCZiSEmxk52AjNw9bRcXYKinHBs8eW0UV2BELIacy&#10;RkQlYDUwAlOuXug3NcOwoRHmLW2w7MjI4uqNVUdPrNo4Y8XWHqu2dtK09G0vHzyNDsdeRixtg1Ua&#10;g+dVsXjZmID9jjS86s3BwRCNY7wCr2kSb+cq8HGhGh/mqgiHEuwRKm8m6wiMVr7WgPdztfhhqZaf&#10;qcTLUUYcAmOvJwNrTUlYb0nF8748vOjJxlNGlr0WxpOKCCwWiKnpMdisS8WTWgKiIY0xJhfb3ZnY&#10;6EilveTiJf8POx382Vv5ekcB1hszsVASjdnMAAxHO6OXxtEfYo3BSEcMxLqhL8YNLX7mqHAQDVIt&#10;5Js8QJamIopMeMDTTCqdddEawugT44C6SAvUR1uiNY4gYSyqDjfla+b8exuh2FMNSTSMCGEg6pdZ&#10;F2kBl1Bofxe1hE11ECtAF1U+2ihzVUO50yOUO6gi00Beuntd1K3ziL9zHWHyF+F7/SR85Y5JEEp8&#10;dBFJahcJEDmkWsohzU4OmS5KiDa6Cg9FAY9DcL12GJ63TyD48VVEadOCCI/4xzdYNxF85wLfPwYr&#10;xhijS6ehf/U8TGge9neuwfbWJdjK3YCniirCDcwRbW2PaHsHhDsRIC7OCPELQFZ6Nior6lBb24b6&#10;hk40tfSitXOIsBgmNBhZaBjdA6NfirYxSOsQAOHjPsKjd2icNcnXJ1g0ka8AEfHl1FknnDxj//8B&#10;yNHjxgSHAUuf8BBFiBxWx5FDj2gdDwgOFT6+Q3jcxuG/y+HYt9dx/O+XcPXQKTw8eRI6587B5PJF&#10;OCnfRrixHjLdaSDhIWhNSkRXeioGc7MwUZSHCYJkPD8L44TFZH4mpmgkM8W5zL65EjCEaUiRRVgI&#10;jWQqj8+zkzCWlcjXGFsIkBmCZILxZoKxRYIJATIu+hxpsRhjbBEAGRZDuzzbDiZEoU80TGkeXXEh&#10;6IgJJkDCGGXC0BHN/19EEOpD/FDp7yFVDUFS5u+GfA8H5LjYIs3BCuneHqjLySJEmjDW1YWpvn7M&#10;Do9IsWZZwGJsFMsjI1iicSwODWBxuB/z/d2YIyyWq6qwXVON3UZCoqWeIKmTAPKyoQ4vGY9eVFdh&#10;t6yUcSUXq1lZWCNANopLsVlagQ3axxbtYysrH5sJPPjCYzDnFUB4WKFHRxcjBMgc1XXFwZ0Q8cCS&#10;E8vZDYvODlgRF7t5uWM7JAAvshNwUJ+F/ZYMvGhOwg6NYLc5Fq/6MvB6JB+vxoppE2V4PctoQrN4&#10;v0iALNTg7Uw13s834KfVTvy40oGDySpCoxhvp0vxWtjHUDbNIQO73WnY5Pd91p6J1z00pfoUbNIg&#10;tkqiMJ/qg5lUP0aXZOy25WOPEeg5Teb1TB32JyvwjDHo5XQlDqb5exni76KnHHu9hCaj0yoNaTI5&#10;CH3BLhgIccNEgj9G4nzRH00rSQulifihxseCB7Y+cs0fIlX7NvIsH6HG3xzdSR4YyvFDf5aHFGFq&#10;I01RH2aCJgEOWkxlsDFKvDSRYXsHEZqX4K98CpFimrr2VSTqXEY6DaTU/THKPDVQ5qGOEtdHyLO7&#10;i1InVVQ5qyPfSFG6B02iynXEKV1H8FXGl0vH4XvtKKJUziHxwSUkql5GmtEtpFkqIN3uNrI97iHB&#10;6ha8VY7D+dq3cLn2HTxE5Hl4HuFiXRItOaTo3EK8hhyCCBC3GydhfeUYjK/w5HyNBiJ/BTaKV2Ar&#10;fxmuSrQPDdqHuS2i7RwQRfMII0AC3N0RHRmNQu43tYwtdfXtMvNoH5ABpFsGj65+YRrjrDECZIyv&#10;iff60dU7hF6+1iveGxDwmMDA6DRGp8S6IIsEyHl3nD7nhlNiNOaMHQHCGPMVIGLGqIDHYX0cPayL&#10;o4c0CQ81CSBHD91lKbNoId/K4+h/XiNALuPa4VNQPXkCuufOwvzqJbjeU0SkqT5/WY7S/IrmhFi0&#10;JcajOzUJIzwIJxllpmghUzQMqedBE5krzcN8Sd4XgNA4MpIxkp5EkCRjmpYxQYCMCkiI5ikhIl4T&#10;PRHRJBUlmqmT2eKxDCIjybQPQqM3JhR9jCv94nFcKLqig6R+R0eEv9RA7YgiQMIZZUL9UR3ohTI/&#10;N5QHelBzPVD0xULSnKwQa2uOJA931GRmob+hGcPtXRjr6cVk/wCmBwYwM0hgDPUTHv2Y6+vCdHcr&#10;JtrqMVlbSSXnwVDHA6OxhgCpw7NmcTe5Rh7Q3BIue6UljCwFWMvLY+VjvbAIT0rKsF5cjvUCgiSn&#10;EFup2diMScJaSCQmXT3QqW9IgOhgytoSK06MKnYuWLBywrytM+bsnbDo6ogNP3fs8ed6nhiJV2Wp&#10;OGjL5sGdiRedKdhpS8DTnjS8HMnF6+kSvKNNvF8iLFYIDbFdrsWn1UZ8v9aCT2tt+GmjCz896cQb&#10;AuXlSBFtIZfQSMVWexJ2u1LxtJdg6s/Bm2FGoP58bDenYLeBMaY+GWtF4Vgrj6eZVGB/vAG7Q9V4&#10;Ol7Hf6cNr+cZ4WZr8Xq5BW8JqVezrdgdrsXeMAE72kQoFfLEEIHBaEaZ5HAs5CdgLjcOE6kR0uP5&#10;0iQMZ4agM8oFFS76KDZXQ527MdoiHdCb4YmRsiCMVwVjqNgXHcn2aKBx1AcaosJXF9mOD5FioYg4&#10;wxsIVj2PgDunEf1Ittp6PIESq30RWYw2YrX2TGN5ZJsrIcv8DvIZYfKNlZGudgNJ964i6S6NgQAJ&#10;u34efpdOwOvCIYTKnUDivUtIVb+JTDNlZNqqINf1IQp81ZFkpwyfB4wn1wmQG9/Ci3HHT/UcwjSv&#10;IEH7BpIZZ5L0FaRFmT1vn4Pt9VMwvkqAXL8AUwLEWuEq7G5dh9f9h4g0NEWMWPfDyR5RLo4Ipn0E&#10;+/ojIz0H1VUN0qhLQzPto61Hii5tXYO0jyHCQxiHsAyZXQiYyKxkmPYxjkGaxsDIFPpHZgiPWQxP&#10;LGBydgUzC6v45tQ5AkRA5LyLBJDjpyxx7IQpAWKEIwTIUQGQQ7SPQ9oygBx6zHrI5wTIYRUcO3wH&#10;x75TwLG/X8cJGsi1I6eheuok9M6fhcU1kvGuEiJpINnCQMIC0RIfi45EMacjEQMZIo6kY4J2IQxD&#10;bCdE34MQmSmkiYgYw5omXMT7YphWggPBIUZWxhlbxGPRBxE1kSlKGIiAhxh5EU1UxhYx3yMmDN2E&#10;RC+jSh+No5vmIeDRHu6LtjAflh/aBOB4kNUFeUsAEf2PEj9XlBIkJT6imWqHVEcLxFoaI9TIEElu&#10;NJTMbHTV1aOvpRXDnZ0YpZGMdnVivKsD4x2tGGltxGhrHUbrKzFZVYbV2iqe8XlQ0ECei/gi+h4N&#10;BEhtHV6Ul0s9j418AY5CHmwlLJ55C0uwWlCMdUaXrcw8bCdlYCMqHitBYRh1cUWrvj56DPQw52iP&#10;ZWcXLNk4YcnSCQsWLD4Woyu7AX7YoX08T43BQVU6XrSm4iWhsT+YhVcjedgfK8ArmsSHVcLiSQM+&#10;PKnDx3VR9XzeiB82CY6dblYvfn06iF92+/H9cjPeT1fgzWghXvRmYluMrtA+XgwzgowV4tV4Ec2k&#10;GPt8f3+YnxmU9UaeD5bizVwbodGFg8UOvF7pwrv1brxeasE+DefNagc+bPTj7UoPXvBzTwmSl7Pt&#10;2BuqxXI97bQ8FXNlSTzRJPJEk4jFkmQslSVjvpwQKY+jxYqZxl7oinTFQJIP+tNZOT6YqArBbHMU&#10;xisC0ZVkjzp/fZS7qaOUlc8okmGtgjhGkaCHFwgQcbe5K0gTE9dMbyPHSgmFPPALTPhcXPKveRPZ&#10;ekooNnuIPN07SH1wHSl3ryFO4SKiblxAxM2LCLp6Bp4EiB8tJFr5vLRUomjUpoqJZF6PkeOthigL&#10;eXjePwnHG7KZp15KtJYHBIiGWNXsJlKNFJBheRdxeorwvSv6HOdhfvMCjPn9LW5dg93tG3BWvI1g&#10;TV3EmFnRPmwRReMMc3NCsKcn4mLiUVpWLY24NLV0y+DR2Y+W7kG09hAg/QQI40o3Y0oXzaODNtLO&#10;6ugbRWc/bYRAEb2PvuEp9I5Ms2bQT4iMTi1icm4Z35w+7yEDyDlnKcaI+SDHTpjg2HFD6aK3o4wu&#10;Rw9rSvHlqFRqfPyQELnHUmHdkRb8kQDy7WVcP3qWADkD3bP8Qa9cgcsdJeYyPWS5OFETg5g749Cb&#10;moIBEWMIkJHMNMYRqikBIZqlk6JpKsDBKDNblIVZYSSFOZgv4o4jYCIMhJYxInocqXESRAQwJjIE&#10;OAgQ0R8hPEYIj5G0aPQnEBbRweghQHpjwmVbCSAhBIYfWkK9mY290Rzsg6ZgXzSwagO8UBXgyeji&#10;jmIfZxR7u6DQ0xnZkoFYItHalLQ3QDAjQ6KHB6oyM9DB6NHT0IDepiZWI3obG6Rma199DQYIj2HC&#10;Y7aSMaSujkrfIDVNX4oZqGIJwhqaSJlsAaDNvEI8yWcxtqyxVgVACkpoH8XYyC3AVloWtuKTsR7B&#10;+OIXhEEaRyP/L43aGhgyNsKEiQWmTG2xYGKPBSOWhSPWXTyw4x+A3cgIvGLke92Qg2dtNI5+Rozx&#10;AkaTUrydp3Ws1OHHrRZCogXfbzbhez7+YbuN23b8QHh8fj7IGsKvL0fxG7c/0EY+zNXhE63h3Vg5&#10;rSKf8CjCu9lqmky5BJE3U6V4P1eFNwTNi7ESPB1hRJmiZcy34Q0B8n6tj9WLd6tdeL1IUEzX49VM&#10;M94tduHjWj8+bA7i1Xov9le68YqffzbVjG1ayRNGn4XadCxUp2O9IQ8L5TTQrGDuN7QRms5kNe20&#10;PAnTlbTX4igM5QVioiyUr9NAczxpmlaodNNBvvVDlLtqodbfGOXe3E/teCbXuo7Ae+cQwciRxAiR&#10;ZUZQON5HCSuPESRF9RKS7pxH2r3ryNNSRq6uCjI1FZHxSB5xty8i4sY5RN66jMAbZ+HFyOEvdxIR&#10;d8VNq24gxUwR2Q4PUOKrjSwPVYSbXIPb3aNwvPk3uMj9HR4KR+HLfzv08RXEMsKkmfJ72zyiGakw&#10;2tyAo+JlWN26BDP5S7BSuA4nJQW+/ggR+maItLRGpIMdIsR9bj3dEBESiizG3crqRtTSPuqau1DX&#10;0oP61h7UtfWyetDY2YNmRpWW7gE0dw1IYPl3DUkg6aaddAq4DNBOhgiT0RmM/Bsg7jh11gWnzzrh&#10;tHRdjJgPIkZhDKWh3CNHaB5HNAgOmgfhceyQKu3jvmQgxwiQYyLGfPsFIN8JgJzDo1NnoXPmPEwu&#10;XoaTohLC9PSR6eSE8oAANEVHyeyDABnKTMdIVoY0bCvAIVlGLmEieh2ikVqYwcrEXFEOzzJ5WBS9&#10;kfwMCRYjKXH/mgcymkobkXogNBMCZZjwGCI8hlIFQMIZVYIZUUIIkjBp2yGujYkMIkAC0BziS3D4&#10;oCHIB3UER7UfI4uPGyqo/KW+rihg9MqnPeW62iPT2RppjpZIYYSJMzNBsIE+Ao0MEC8mxPHnaS0r&#10;QxtB0l5bg/aaGgkq4tYQHWXF6Csq5FmzAlvi8nxxMyix4HF9E17WNeBpRSW2CYknOUVYo2Wsifke&#10;RWVYE+bBx08KyrDB9zez87GVnMH4koDl0AiMefmi2doGJVrqqHysih5dPYxSY6dNrDFvZItlIzus&#10;CYAwyuxQZfcZHV8TyPs1WXjZnomDoTwc0BLez1UwntTjh/Vm/ERYfGb9vN2JX58N4LeXIwTGCH57&#10;NYHfDqbwy77YTuL3/TH88KQdHxab8MNSK35Y4EHPg//dLG1lVfb66+kqAqYe3y/SVGYb8Hy4HHsD&#10;pXg11Yj3CwTESj8+rvYzqrQRHC04mGvF/kQjng3W8XO1hBqj0t44Pu6N4u3WAN5tDOCAVvJsph07&#10;Q/VYayvGaksxNjsqsVTDGJwThcWyOKy1Z2OhNQdz9dlYpLFM0VSGMoIwmh+C0WKeQJI90RJogxrG&#10;m1JHbdR6GaM9yh7NkdYo8dZBuvVdxOrdQAwjRKzWTSTq3kA+o0aRgwpSda4gWvEE4m+dQcqda0h/&#10;qIAsLR7kOsq0EtqFqjwS795EHCvo1gV4ECABCqcR91gM/95Btr0qClw1UOyhwWPiLiKNrsLr7jG4&#10;yP8n3G79nTHlKPzvn0eI2lVEPRarvKvw//MIUQZ34E2AOClfg9XtK7SPy4wv1+GqrITgx9o8oVki&#10;3NpWapxGMF6H+fsjLi4RufmlKCmvR1lNC8pqW1HKKm9oR2VjJyoIlZqWLtS396Kxo0+qJtqJAMnX&#10;rbCRLhFrWN1iFGZ8FkOT8xidWcLE7BIjzFlXnDwta6KeZp06zRhzgjHmqAmBQQM5rItjhMhx2scJ&#10;AuQ4AXL08ANayD0JIMe/U8axb2/j+Lc3cfLQFdw8fh5qZ85B79wFmF26AqfbighlPs9wcGAk8EdD&#10;VCTaEuLQl5aC4exMjIlmam4mgUG7KKBxsERskYZxCwREMmkh2TQQWghNZDaPAKFpjKYmSCMrgwkE&#10;RZIASTxGxWzTr/AQ9pFMlY2XTRLriAhGJ8HRFRWKdj5uCSM8wvzRGOrHLOzH2OJDeHii3MsFJYRG&#10;sSeL2wJ3B+Q42yHd3hJp9hZIc7BEko054i1pISYGCNTThL+RDqJd+fnEODQUFaGpogItldVoLq9E&#10;Q3EJGvJy0CNuzk2A7DCqPKtnpq8Vq6WLqsUzRpeNvCKsZBVjJa8cy/kVWCE01vNpHXkl2CqQvf8k&#10;I1vWPI2KkwDS40bA6esg5/F91Oo8xrA54WFugTljC8zqmWGRO9UTK3tsOjpjl7/7F0nxeFmUSevJ&#10;xkFfHt7SCN5MluHjQg1+XKNxrDQwljTygG/Cj4wRvz0bwT9eTeP3gxn88W4Bf35YxB/vF2RFiPy8&#10;3YMPK7SQZVrKSic+LnXiPSPJj0/68TPN4fvVHoKjDe+mWvB+vBkvuyvxvKMcb4cJlJke/lv8zMoQ&#10;DmZpFmPNtBNGuuEmPOtrYBRqIGg6GaWG8GFrmMUtAbI/R3gM12NnpIEmUocn3VV40l6B9UaCtyoT&#10;m03Z2OorwlJbHmars7BYnYvZ0jRG42jMlMVjoigG7aEuqHOzQL2nsBAT1PtaojfBA90pbqiPskRF&#10;gD7ynFWRbKrI6HALybSOAntlFNorIUVcr6J8Csn3riBdVQGZ6soEyF0kP6aZaN1GrokqMnXvIUms&#10;QPZQDoEKZxEsAPKIsDG9ixxHDUJEDWmMJQmmtxCufRn+d0/B6/Z38FFm3FE+joD7NBABEHXCy0AJ&#10;Seb3EaavBB8ajpPKDVgpXoWlwhVYM8K4q6ggTNMAUTxphNk5IJyRNtLLB1GhkUhOyUQu96OisjoU&#10;VzWhsLIRBZVNKKltIzy6UNXcTYDQSNoEOAZZAxJEGggUUf8CiIg3rJ7RSQxMzWJ4eh4j0wtSfXPy&#10;jDNOECCnzjjSQhy4JUBOyvogx44ZEyQG3Orh+FEtHD/ymDBRo5HIIHLssGikighDgHwnh1OHL0Pu&#10;xFk8PnsW+hcuwvzyVTjevo0gMQ+E2azEzxf10QQIz4Q9BMgQ7WMsTzRSs2UjMAIgjC5zxQSFiC/c&#10;2eeKZVFmSgzpisqlsWSmMMIkYDAxBv3xURhgDSZFfZmmToCkRDP7RqI/UUxRZ2yJDSM8QtAeFiTB&#10;o40gaYkIRCMNpD5MNmGsknGlzMcFRQRHvrs98j1kleduJ80BSbUzp3mYIYXbBBsTxFgaIcJUD0H6&#10;GvDWVoOHtjpCrC2RFRGGyuxs1BUWo54WUUsI1GXloD8/HyuVVditJTBqqvCS1rFfXoXnrO3icqzl&#10;FWM5t4TWUcHYUo4lPl/JLZTAsUmIiAlkG2kZjC/xWAsLx5RfAGqtrJGh8QjF6g/RwZg4aWWDGStb&#10;zJqa00DMsWplh21Xdzzl732PP/+znCS8ahTTy4vxZoSxhbHj9Tijy2wdLaIRPy7SHuYJkDkZQH7e&#10;G8LnF2O0jin8+X4Jf35axm/v5vHb2zn8ejCNn3YH8GGpnXGDEWejH9+vM44sdhMgg/h1Z5xQGsbb&#10;CUaV/ga87azDq+YqvBb3w+kgQAmIg/EOvJ/vI8Q68HykCTuDDdjprsV2QwWrCk+7CJSeBrwcaMSb&#10;+R68ZaR5ygjzZKAKOzSVpzOtWOutkCxjpSqLAOHvpyUfu338fXaV0kDyMVOejemyTMw35GK1q0Sy&#10;ko5Y7oe+9mgP92CEdUNbiDOGE30xnh2E/mxvtCU7oiLECFnOaki3eYgsmwfItb0vrUCWpCkWUb6I&#10;RLWbSHushCyde8g1VEWShiJNRQkFTtrIsVNHiokKkgzvIOLhFYQqnkGk8nnEM5Jk0iaSje4iRo2G&#10;8/gqwtUuI+TBRQQ/OENonGB0orHcP4sITTla0G3E83vEGasgnAbiS8OxV7kJK6WrsBXDtwrX4HXv&#10;PiJ0TRBtZosIB2eEuAv7CEBsbCLSsgqRU1SFgvI6gqMR+YRHQXULSurbUdHUjcrmHkKkB9Utvf+q&#10;GsabWgkqvWjtGSY4aB/DE+jktntEGMgMBidpIRNzGGbRQBwk+xDzQE4THqdOW9NILHDiFAFyggA5&#10;boTjxw1YtJCjGgTKlx4IAXJcAogi4wwjzCF5nDpyBfInTkP93BkYXLwIi6sCIAoIUFdDsrUViny8&#10;CZAItKckoi8jDUPZGRgV9kHDmGU8EY3TadqHAMZ0QQajTKrMQMRkM8aa8S9DumNiVEYAhOYxmChi&#10;SiQGEiMliIgSj7/2Ob6WiC0toYE0D1Z4IJoIjzraRw3hURUk+h0uKPRyQJ6HHaFBcBAeuYRHprMV&#10;MpyskO5ggWQCJMnGlAAxRpSFHkKMtODPM7+nhipc1R7AWe0hvBhr4r29UZiUhHIaQ2VGLhoyxYQ5&#10;GkR1DXYYa/YqyvCirBwvS8qxU0zTKCrFcgEBInodhIlomi4THqt5hdgUFkJ4rGfkYDMxBVsRUVjw&#10;9UOXHe1IzxC5Gupo0NTAAB9PW9hjztYRi4T1hqMTdjx98DQ4GC9iI/EyJxGvG/PxdogH8WQN40YN&#10;3k/V4gOjxcf5JnyabyZAWvHjQgt+4PaHtU7Gh0Epsvzj7Tz++riCPz4s4dc3hMfrOUaaGfz8dBQ/&#10;0DR+3CRodkb4NYwk8934aaEPP8/24eN4J94MteCNgEd1KfYrCS3+7PsF+XjO5y96GwkHGkdnDfYI&#10;jqf9TdhsLKd9ZWOjvAh7DdXYqijBRmUxY00z9hd68GKmDU8nmvF8tl2qrf4arDfT3iq5z+TGcj9K&#10;xAafr7eXYb6+EDOljDKVeVjvI5hoQas9lRjjZwbTwzCex/ibLUbo/NEX6YGx1ACMM+b0ZnijlnEm&#10;z1OH+4Q+qgMtUOZlhAxTFSRqXUG83jXEqF9HoroCUmkIOVZijY9HyLR6xH3cEEW+/Lu4aCLLThUJ&#10;hoqIeHAZEXfOSRPCUgiDGEaTUPkziFa6gEi+Fy5sQ/sq4o2uIELjHOPLZUTrKSHeWBlxRsqINlRm&#10;1FGBn7YSHO7dhP29G3B5IAe3uzy21NQRaWCGaAs7RDq7IoT7XjhPMMlp2cgqqEAe7UPAo4AGUlDV&#10;guL6DpQLcLT2oapFVpXNvShr6EI5Y40ASl2biC9D6BBNVMaW7pFpQmQK3UNT6OG2f3QaQ4wyEkBE&#10;30NMY5fqlC0BYkOYiLkgBMhxAuSYDCAnjuvg5HFNHD/2mAbykPYhACKGccWK6bdoIPLS/Wblj5+G&#10;BgFieEkA5Aocb8nB/9FDJFiY8o/hjroIxgmqdH9mKobFzFJhFKL3IeaBCMPIz5AgIiLMuBieFfM8&#10;mNvF6wIgI2I6e2q8NC19OIUAITCEaQjjEBPF+uIjpXkefWKCmLjUX7q+RfQ8gtEcGoCGYDFRzBe1&#10;Qd6oDGBkoXmU+BEe3jJ4ZLvaINvNVqoMJ0uk2ptJleZgjiRbE8RbGSHaXA/hJtqSffhqPYbHY8Lj&#10;oQrs796BtYoyHDQ0EGhvj7TQcBTFJ6ExjT8fAbJRWckDopwAITxoI+JmT7tllVgnSJZFv6O4lI/L&#10;sFrAAyI3nxGmENs0kO3MPGwlZWAzKgkrAREYdPRArbkVCnR1Uaz2CG2ajzFiYIh5a3us8Cy0yhy8&#10;6emBPcLjaVQEXmYk4XUN4dEjRkzEjFExMawBPy234/NaF37g9iMB8mlORItGfJhvoUX04Jfno/iD&#10;tvHXh2X889Mq/vy4jH+8W8Tvbxbw+8sZ/PJ0Aj89HSNEhmgsg/hpcQA/ThMi/e2EVTUOaBGvW8Xo&#10;Ugk2aU/b4tYShOqWuCteaTFedbfgOS1ju54gbeHvo68ZW/UVWCvOx1ZVGbar+biU8KwqwS5NZJfx&#10;RsSWvVFuh+pl8aWjApttNI7aPEbbaIxnRGGNsWWtvhjzFbLG+1J5ATYIq83RVqx0V2CigvtRXgzN&#10;JAXz5emYIET64/wwkODDk5EPDcUV9RE2KAkwRlWELVqTvVET6YIsRy2kmBIaZjQDPXmahAqNgvBg&#10;JCl200OJtxHKQgibUEsU+hjRYPWR6aCOaB0FRDDCxNEoUszuIZbRJPjaSQRfPY0gcXOqhxcRrX8N&#10;qba3kWR5C9GMTDEETbzZfcJDBSHatHhdRXip34Ljgxvc127C9cFNeDwQoy9aiDaxQIytAyLdPGgf&#10;gbSPJGTSZvNKaiV4FNe0ori2XaoyEV0Ijeqv8GjqQTnhUVLXLlUNwdLcPYJ2wqNzcIIAITRGZiSI&#10;dA9P/xsgkoHMM8KcJkBOyeBx8qQNiwZyyoIxxky6sO7oUUNahz7BoY0TxzRYaixVwuM+o4uYyi6P&#10;o98SIN/K48yhy1BghNE+fx7Gly/LACJ/E/6q9/nLMEKBpyvqwkPQKQCSIXogaRiTAJImwUE0UgU8&#10;BDC+QmTiS1N1PCcVo5lJGErj1ybxDy76H0kiqtA4xLUuqYRJShyzbBS6Y0VsEQBhdBHzOwiPtogg&#10;NNM+6oN8UeXviQpfRhZfNxQztuR7Oki2kSPAQYBkulhL5iGgEW9lKFUiY4sEDzN9hBtrI9hAA360&#10;Dy91VWntScf7d2CrrAhzGpehwm0Y370LBz19RLu5o4GRbbYwH09KirFdVornNdV4UVeLPUJkixFm&#10;lQBZZORZLSFASsWoC+0jNw9PxCzUbFZqFp7Ep2ApPA797v4o0TNj/lZHHuFRp6GGfj1tTJqZYsHW&#10;TrooTixPuBXgj13GqWfxMXhVnIU3LaX4MFiDt8NVEkR+IDB+WevGr4weP6524dNSGz4utOL1dANj&#10;BU1ksx+fn48RIPP4kwD5g/UbH3/en8GvrN9eTuPz3jjer/QxBrXhw1gnPox0431fBw7EMDUtY58/&#10;7ztxM+/EDCwHRmM1hTEjm2DMzCVEK7Df2YIXXc3YbqrGXkcD9oc6GG1a8LKN0aWlHps15dgihJ53&#10;0zh6m7HZWU1oVGJnoA7LLUUYLUrCRGkalhuKCJBCzOUkYyYjnr/HbCyzZrL4PCWJzwuw3duE1b56&#10;zDQVYKQsCf25kRgrisdUSRKGs8R6MkHoifNGY6AD6gJt0BLrjLpYRzSmeKI9NxR1qYHI8bNEhr06&#10;44waY40GLcMQeW76yHbSQqmfGSrCbFBK8JRF2KPI3xJFfhbSNsNZByk2j6VKsryPBC15hN44A/8L&#10;JxAgx7iiegmJpvLSqEymxyMk2d3n/qbKeowIxh1fdXm4q16H84NrNJArcL5/Fc53r0gACeFJJMbS&#10;GtHOzgincUaGRCIpJQe5RdUorGhEESNLWX0nq4uW0c3o0vvFOnoIj24ZPGrbJMiIvkgT4dHWP44O&#10;wqOTsJDMg+AQw7di9EVW0xgYY5ShhXwj1gI5TmiI0RdRx09Y4cQJRpgT5jQPE5mBCIAc/TdATtJA&#10;ThIgx76VXQdz9O/yOM46891lKJ04Bx0BkIuXYHlFBhDf+9Q2Iz3+sh1JdkaKZCqkMBACZPSLfYj+&#10;hjSEy+00bUP0OkSJkZnRzGQMMrIMEBCDKQIgseiNp22I6CIBRHaNS29CNLpiI6QehwCGBI1Qf1mF&#10;BUgTxOppINUBXqjw80A5S0wQ+wqO/xsg6bSPZDtTCR4x5vpSRREeYca6CDZkdNFTh7emGtxpV04P&#10;7sL2riIslRRgekseenJy0LhxE49vysFOXR2VocFYLi7AZmkJntFCXtbVS6utP+HBtVJajoWiEiwQ&#10;IGtiwhgBspZfgPWcXDwRU9nTs7CZnI51ZtpJv2BUGlgg5Q51WfkBqh8/Rr+hPiYtzDFnZ48Fe0es&#10;2jpj08VbWs/0gDHxNePAfl0hD9QyHAxX491ELd5N1uLtdB2hQQMhQH7aYOTY7MNnQuOHdUYQPv/8&#10;dAS/vpr80jxdxu80j8+MLT/SOj4/m6R9TOLTygD2e+vxoo2RiAf+q9YGPK2pxB7BsUXr2k5OxX5W&#10;HvaiUrAenECTKpIawtKi0KVl2Gvm76GtAVstjC+ExLO+NjzracNBfxeed7YSLHV43teOVwTTs74W&#10;PBXN1f567PTXYaWpEGMFiRgvTsUif77VmiIs5mdhPisVU2kJGGO0HY0hJMLDsZSdhY22Wiy2VWK6&#10;LheTNdynKpIwJkZncqPRluCH9kQf9CT7oTXSDc3RrujM8EFjqgdqUjxQnx2MitQgZATYI8VRD5m2&#10;OoSGEYr4vCjAClnuBsj3NUdxhB2KYxxRFuOComA7FATYoJzfqzTKCUUhtFsfU1rsIyTq3kaUwiWE&#10;Xr2AcAVGIkabDCtl5PhrIStQF6nuj5HqrI4kGk+Y6QO4qd6A3Z2LsFO+DAeVS3AmRFwZY/w0HiLS&#10;zAwxjo6I9HBHREAwEhLSkJVXjoJyAY9mFNe1ERydKCVASusFMLol6xA9kHK+XlbfjlKah3hc1z6A&#10;lt5RtA8QIEOT6BoR8BCxZZrQmMXA+BxrVgKIGI0ZlHogpxlbTtE6JIDYEBzCQixxigZy8oQJo4sR&#10;oWFIgOiyNHHi6GOcOqLKuPIAJw+JSWRiGrscThAkZwmQOyfOSyMwJpcuwfoqSSkvB18eYFH6ush2&#10;tqeBBH8BSDoBwuIffIwg+QoQ0eP4WmOZshKxRaw41isu/yckpJKiiiy2yOARKV3T0kXzaIsMkYDR&#10;RGA0hjCyBPmgRgzRMrLI4OGJUh93FHu70YqckONqiywXGUCyBDwceZAytiRYGyHOUgaQSBMdhBoy&#10;thhoI0BfC15aj+Ci9oBKeR82KndgrngLxvxZ9W7ehPq163hAA7t7/iKs7j9AbWgInlDZd8sr8LJC&#10;TFfn2bWyGitlFVgqKsVCQTGWGGFEfNkgTJ4wvjyh7j/JyMRGagaVPw0bYcz3Lr5o0zZH9T1ttGsZ&#10;YNTEHLNW1liyc8aysweWnVxpIG7YdPPDdkQUnhO++2V5eNFYyKhQioPRGnyYoWFM1eH1BB8vtEmj&#10;Jb/sjeAfL8bx58sJ/EZw/Lw7iF9f8vm7Ofzz4xL+eM/YQvv4RQBkdww/bY0y9gzg3WAL9gmPV+31&#10;eN1JS6glPMpL8ayKkaSA4CAEX/FneprJCBEvlgAowl4+I0dWIZ4wpu3SVLYaa7DVXEvLaMUejWSn&#10;vYUQ6cReVzuedhEoA13Y6m2hffAzg2KUhhAZqMVqawlmqmirVdlYqC3APH/OGZ5wZrPSMJwQg77I&#10;UIzHRmMuLg6L2ZlYruXvub4Es9U5GK9Kw0hlMsbLk9GfHYHaSFeWM9oSPQkTGkeqDzpzA9GcTVsl&#10;RMpTvJEZ5oRIZyPE2Osh3lYbiQ56yPW3QW4A9xU3XSS56hEwFsiPdkIxI1BJhBMKwx1QIeJPuj8q&#10;+X0LQm0JBi0k6t9BjPJ1RMqLW0fcQAIjieij5AUaIDPYAKletBWXx0ikuYSaP6J5iJGXC7BT4QlZ&#10;5RpcVOTgpXoXoQYGjC72kuVG+vojNiIGafxd55WKvkczCmkfAiClhENJnagOWYwRfRDxWm0rSmpa&#10;JBNp6BxCa58wD1nPo4+wENU7Nov+sTnCYgFDkwv/BggNZGiKEebUcUOcOm6AUyeMCA5zGTxOmOH0&#10;SRNujXGSAJHqmD7hocNS/wKQhzh9RIUmcgsnDsnj5Lc3cO67i7hz/Jw0iUwAxPb6dbjwjOz34B6i&#10;xWQyZvOaMBFhZLNQR3IyWekYYXwRl+uLq2xFf2OAsBCmMUTrEFPYR5nhh8SqZIRFV5wAhWiSiuno&#10;otchQCJiSwQ6xTyPGLENR4uYkh7iLy2kXElYlHo6o8zbBeU+boQHo4uXKwrcnZHn7kDrsJXmeGQw&#10;tvz/zSPKVBdhhpoI1tdAgK46fLRoHeq0Dv4B7WhWlsp3YMrYoi93A9o3buAR4aFM+7p95ixunzwN&#10;Vw0t/r8TCZASbBaXYbeoArulNVgpqcBCcSkWC0p45izBahHhUVwua5ryrL2RxrNmSjo2k9KwFZeK&#10;Vb9ITFi4YEDbFOOG5liydsCqWF1MLBJk44Jle3EBnSd2fAKwExiG7YR4PGN0eVldgKc8aJ61FuDd&#10;eO2/APJxphGf13rw294YfiM8ft+fwJ8HU/id4Pj8nEB5PYV/fljEPz8tsZZlTdS3BMmLaRrKMN6O&#10;ilXUyvGiqRJvu5pw0NGInTqCo1Gsg1qHzTr+vBVFeF5XjR3axnpGLjazC7FbUIrt/CLsMMrtNRAe&#10;TTWML03Y7+skRNqldWJ3ujuwIyDSyyJANnqasMb4sk1wbA/VYLWjFDP1uZhtyMMiTWSuKgdDmbL9&#10;RkBkmnY7nszYmJqEpZRkzPEkNFvOz1fmYaosDUMlCegricVAYQy6aBYNsR4sF9RHORAk9mhJ9kB7&#10;dgDacgNQRxMpinVCmIM67DQYJYweIMxRF7FuJkjz4f7C6BLvpoMIBw1Eu+oj2d8C2WF2KI2hecRy&#10;P4t3RzkhUkIryQm0RIqTNqI0byPizjVEKV5Hwj0FJLMyDO4jx9sAGYRImrc60t0eI96R+52pKlxU&#10;5WB95zJs7lyBPYHjfEcJfo+1pOteYp3cEcXoEhMcjuTENOTQ8Iq+9D2kaMIqITCkHkhNG61EzAUR&#10;1sHXCZDKpk7CY5CxRYy0TBMeM4SGDB5fASLsQ0BEGIgAx1eADE6IVdmPKOHYYUXZcOwRxpKjaiwx&#10;4qJPcMjAIhVBIyBy8qgWI4waTn0ByOmjtwmUWzj53XWcP3QeKifOQu/MOZheuAT76zfgdksBAQ8e&#10;IM7QEDlOTqgKDqQuxqEvgxGGf+zRPEKEBjJM4xjJSJagIdY2HUpJwHBaolQjrK+9j+64KAkUnWIB&#10;oC/VHSMmi4VLCym3MSK1R4VKCysLgIi5HWJl9hIPJ5R4OaPUSwzVEhyMU7kuhIeLGGmxloxDQCPW&#10;QsQVPamEdQh4BOk+hq+mKjwfP4Tro/uwu3eH4LgNM6XbMFJQgK7cTWhcv4aHV65CiT/3dYLj0pGj&#10;kD9xEsHG5oxhudgoY54vqZTu5fKEZ+HFwjLMfYHHSqG441wlNgkXofdPMvLwJCULT7hDrMUlYyUy&#10;AXM+YegztUGvrgEWbK2x7uyEFTtHLFvZsxyxYu+KTW9f7AWHYDc6Gs9z03DQUMQDuwL7POBeD1VJ&#10;E74+rop5Gy34zKjy59NR/PZsDL+IXsfrafz1dgZ/Ehx/vBHwmCc4BEAW8V8/rOCf3wuALOAfL2fx&#10;4/ognjNGPKnKx051MQ6aqgmSKjzlQf5sqEEqMS9jiQAToylrJUWYT07DUhKBSHg8rarEM5rH09Y6&#10;7HU34eVIF95MDuBgnN93uBdPh/uwM9CDze427A128nkHtgYasTVEYxmswnR9NnoK4zBak4GF5nxM&#10;lqaiLy2aJ6V4TOYzEguD5X40l5GChdRETKTFYqqYlluSjrFC7k9lPCFVJmGwKBYdyQFoTvBGS4IH&#10;qkNsUBZgjsYEV3RkB6ItJwgtOYEoYizxNVeB1q3TeCR3AVYGD+DvYIwoZ1qqlzmiPYwQZKeDAGtt&#10;hLsQAEGMLjSOMn7P3GgH5DPC5NE+MnxNkGCniUAaRTAjTMTtq0i6dxtp3J8ytAkQd32k++oj1VMN&#10;Ge5qiHPUQCAjjOvjW4zI12CteBXW8tfhrKiCYG1jxFi7EGS+iPEPQUJMIjK43+QXV0lzPsqk6NIh&#10;NUZLCRCpaCAlhIioMkKkqrELjWItkP5xdNI8OocYWUZm0TM6xxJb1rAoAY2vEUbYiGwrbOSbY4fk&#10;CI8bUh3+TpS8bKEg6WrbezhO2zhO6xD2ceoogXJMjxDRIERU+fwuTh9TkO4Md+rwFVw9claahWpw&#10;7jzMLl4mQK4TIPLwp4HE0kByHGxR7ueFFtpCH61imDv5WL6YTJaBEZ41hG2I4VkxKWyYZxDxeFSs&#10;QpYSB7FQsjANAYoOQqKTitpJUHQQIAIoHTHiatowCRzNtI8m0TAN9kWlnwfKfHg2YBUyruSLiWGu&#10;Ym6H6HcIeNgg1cFSapLKogp3AiNNmXXoPUaAziP4aD6Au9p9OD8kPO7SOu4owlRRHgYKN6EjfwPq&#10;hMfdy5cgd/YcLh8/hQuHT+DSsZNQvnoFSU7OjCk8G1dWYbuyButF5VjMKcZCXolUSwVlWBPgEJXP&#10;MzUVdI3wWE9Mx3p8KlaiEzEfFoNxmkWnuQUGDIwZWeyx4uiAZVthIbQPZ9qHjy+2oyOwlxaHF8Xp&#10;hEc+XveU0hRoCBNV+LjYiF92evB5rw8/7vTKJonRPD7vDeM32sc/38/hTwLkj7ezhMcC/usjwUF4&#10;/PVxAX99v4g/uP31YIawmcSn1QE8H2jATmslIVAjjaKs1xbjaU8Nno81Ym+0HuuMGNMFadIBPVOU&#10;i+nUVMwShtvFjHEtLXjaVIsnDRW0jQbsj/fg9fQA3syN4NX8MA4Wx/BsagAbg214OtqN/cke7A43&#10;Ex412CRAFtsLMdmQhSmW6Gf058egNzsaY0WEBKE1kBIrjcBNpsdjXqwtkxuPsbw4DOZEY7iAMKlO&#10;I4QyMVASh6YUfzSL3keSD6pC7FDobYJ62kJXDmNwVhDaCsJRwUjjb6uGh/JncPnMMSjdvAhdVUXY&#10;6NyHj7UO/ByMYGesASvdR/C00kactzkKomm40c7IieB+Fk540D5SPWm05oTP/WsIVbqOiFs0ECUF&#10;pNNkM3RVGfH1kOauhWTXB0hzU0W882MEmt+nxd6Cw3052CnKwVZODp4qDxFpbIVYxtU4b3/Ehcci&#10;NT0PuYWVKKlsQnn9l5hCQIj+x9cSEBFWIuJLdXMv6tr70dIzgs6BKXQNTknxpX1AgESYiAwkvaw+&#10;qQRA5gmPeWk7MC7izAIBwghylPZw+Nur+O7vV6Q69N0VyG4heU26kfWhb+VYt6VL+I8dvk+YPCBA&#10;HhAeyjhDgJwhQM4cFUO456B55jwMz4tZqJdhyzOyC8/OfvdUEKOrjUxbS5R4u6GRB34P4TDIM4Vo&#10;okrFGCOuuh2jbYzSPoYSxWJAcbQPmZF8bZC2C3CwxLR0CSBRtA5xFW1ksFTNEVTSUEYXwqMqwAtl&#10;X0ZbSnxdke/hKEEjy5mRxUn0OqxoHhaItyY8LAwRaapHeGgjVF8LgTq0Dg1VeKk/gNuje8yh9wiP&#10;u7BQUoIpzcOAANEmPB7fuAaVixdx7eQpnD96DBdPnMb105egcPEaDFVVURoSgidlldipodZXMLrQ&#10;PBZoGQu5tA8JIOJiuXKs5nObXYTVtBysJWcQIDL7WAqPwYh3IBptbdFoZIAxQ1MsW9hgycIKy2Y2&#10;WGN0WfHywZOoMOzlJuNlXS5ed4vFgMpxMFqBD3M10uzSn5604VfC4/PeAH5+OsSoMol/7IvIMknz&#10;mCNAFqSex1/Sdl5W7+fxj/ez+PMTzYNQ+fxqCj8/m8CHFRpCTzU2Wxi52ioxW5OPufoCaXREwGOX&#10;tdVbjaXafFlsYHwYYYyYSE7GVlUVI04r9tr4ua4G7PY1Y7OHj4fExXWj+LA5g4/bszhYHceLuUEC&#10;ZRAvprqxM9wgxZcn/bS3zkIsddJqaB9DRYkEQBA60sMxVZGFeUa2oewkdCdFYpy/j7myDEwU0zZy&#10;otCbEYbhQhlAJqpTMVAaJ42wtGYEoiXFBzURjijyM0cNjaGdAGkv5P5WGoOqrECEuOrikeJFXDpz&#10;ArevXcIjJTmoKV6DljJPIg+U8FBJHg95gFvrqSHUhfEmyBZZoTYECE9SIdZI9jFGEqNOjPV9hOvc&#10;QuQDOQLkGuJuyyNRRRFJWveRZq+JZJfHSHJ+QIioItZFDf4Wd+GmfZvmq8T4ogAHBUX4a+ggysYe&#10;Me6eiAkIQiL3k+y8cpRVNaOqvpMAEbYhg4jYfo0zomEq4CHmetR3DKCxS/Q9xHAtATI0Q4BMSX0Q&#10;WS9EZiMygMxLEPkKkP4x8Vy2/ebEEUWCgeZBgBz6+2UC5BLBIeoi4XEB3357Dt/+/Ty+/U8+J1wE&#10;VMSd8k8cYnQ5dpsAuYUzR+RwjgBRPHkeWmcvECCXpFmodteuw+WmPPxUVBClpYlUc1MUuDqjLiQI&#10;XYwxA+nJGKSJDGYwqmTSPkS/I01YSCKNI1a6RYPohQzQRnoSYtAZF0lYiIV/xLwOEVeCpUlhLYSG&#10;qOaIQDR8mSBWHeSDcn8PFDGy5DO+SOXuSPtwIDxskWovrMMUcVbGiDY3lGaVhhrp0DpoHrqaCNDS&#10;gNdjNbipPoAjAWijokR4KMKYf0B9xjIN+Zu4f/Uq5M+cxaWjJ/jzn8TlsxehcP0W7t1SwaPbd+Fi&#10;bIrWBJ51K2qp+jwrl/DsKcyD8BAQWZJ6H+USVJZziqTbVq6mZmEtKQ0rsUmYCgpHp5MrKk3MUaGv&#10;j37GwGUDM6zom2PB0BzLxjZYt3PHmr8/tlNj8bI2D2/6K/F6uBL7w+XS4sY/rDTh5412/ErrEFfQ&#10;/rTN2hnEb88nGEem8Osz0f9gfHlH0xA9jw9LhAchQpCI59Jr3y/jTxrJr69n8JnA+WF7BM9Hm7BI&#10;y1lsKcYG48zOWDP2JmkWk814PtXMA74O291V2OkgaLpqsdpcgeWaUmy38LNdTdjracJrmsebyV48&#10;G2ZUGWnD6yUxZX0a77en8G5rAu82JvBmdQS7461Y72XE66/CGq1qtiWb9kFrLUtBdzZjSGoU+rPj&#10;MV2ejcXaQswyWk3x8WxVHhbq8jDBz/VlRaA/IxwjBMgQo0t3PmNvQRhjCuGcygjDqo93QVmoNcoi&#10;7dGUFYDeygT0VCejhjCJJViM1RUhf/kcVBgjtO4rQ/3OLf6db+Aun1+/eB5Xz50hZG7CzVwLSQFW&#10;yI9xlnog6UGWiHJSR6yTGmJt7yPKWAERatcQoXwVifeVEHdP3GBKGYlWtA77h4h3uk/YPEKM62P4&#10;Wd6Flz5L4wGc7yrD/eEjhHJ/iHJyQaS3D6LDI5CWkYvCslpU1LaiioCoEPAQ0BBN1OpmFFY2SM3S&#10;qqYuyTqauofR2jsm9T3aBib+ZR3thEYz40wz32thide7hkSEYaRhlPkKEdEP6SM8JAM5dVwFR6U7&#10;wl0jRAiIby9LWwGL7/7zkgSUQ9+y/i4AcpHPL3B7AUcIm2P8mpOHr+P0kRu4cIxnYp559QgPowtX&#10;ZAC5epMAuQWfO8qI0HiMRBMjxhh7VAf4oz02Gr00jV7GE3Frhn4xKSxV9D4EMPiaiCzJsdTRePQT&#10;IN0ESLsYomVUaSFAxExSMSwrrmMRW2EejQRIXZg/akJoHwRIWYAYpnVFnrsTI4s9MhxtkOZgjRQ7&#10;CySKC+KsTKiUYkq6AeGhi2ADTWlmqY+mGuHxiPB4CKf792CrrAxzRVqHvDy0bspB9doNKNI6rtA6&#10;zh05gfMnzuL65RtQUlDBfWVVqN17DN2HGgixdUR/WhY2y2uwUVYtwWPua3whQBbF9PXCUiwJmGTm&#10;Y4X2sZpMeMQnYTYsCu0OzsjX1kWuuiaa9A0wwwizbGKBBUJk3thCWm1sw8sPG7SPZ8z3r2ge7yfr&#10;WLX4MFmDn5aa8XmjA583uwiRbvy43o2PK134tNaHX3fH8MveKH7YGsRnQkRA458flxldVgiNJclE&#10;/ikmkPG5KPHaL4wwP72YlCzkHS1kgwf0TFMuVnvK8XK2A8/FRXHz7ThY6sZzwmS3uxq77VV4NtCM&#10;3X4CprcZLwfa+bwNL4Y78G6qn/GqF69GOvBqvIsGMkLzGMGLlX68Fo3ajVHsL/dja7xJBhDWRi9t&#10;rUvYRy76CuLREB+E9uRIDGQnoi+T+1BuggQPqWgks7W50nyRruRgDKSFMcrEoi+bMTg9AB2Z3IeS&#10;PVAV48itOxpT3FEV54SqRFc05wWjvyYJPTUpBEgY0sKc4GWrB3UVeShcOQuVm1dYV3FP7jruKsjh&#10;xpVLuHDyBK6fOQnDhwqI9DBGgRiNSfBCaoA5ol01keSpiwTnR4i2uI0onZuIVZNH0mNlxKveQaLe&#10;fe6PjCbW9xBldxfRTg8RSpj4WdyHn4Eq/NQfwesRjUTXQFquUEwaiwgIQHxCAnKLSgmMJlTUt6GS&#10;liEVISKAUl7bglK+V9nYjkZaR+vXYVrGla5hWgfB0UqQCGg08r16Ud0jaOwZlV5v7xfxRtYLkQFk&#10;Af2EiGiw9guAnD55DyePK+LYkZs4wthy5DsWbeTw31n/SaAQFIcJkMMCHP95gVA5i+/+dhqH/naW&#10;r53H0W8v4OR3l5n5r+HB2SswuHBJmgMiAGJ/TQBEAV5KdxCuoY4EYyPGGFtU+PqiOSoCHfHiznBR&#10;6E5kiWHY+IgvW1mJGz310ES6GWc6BUCEgcTJIPI1qlQHirU7ePYQsYXmUREk1vHwQKmfO/Ms7cPL&#10;GXkezshycaB12CDJxgJx5gSHqSHCjfUJDn0EG+oigObhq8MMS9K7MLI4PrgLO5qHlTIjC+Ghf+sW&#10;1G/cYFy5jOunzuDcMVoH48qlc1dw89pt3Lv7CKqExn0VbgkQQw09JHmI6ysKsFZSKY22zGbz7EjT&#10;WGBcEc1TMXVd1GIWz+Rp2VhNycRaYiqWopjXPQlAPUOkKqmgQPkB+vSNsWBtjSVLK8wTInNmllh1&#10;98J2ZDh20+PwrCZLii3v5+rxYaEB3y814ue1VvxCePxCePy02sXXuvBhvoPvd+LHtV788KRPAsiv&#10;L6bw2+s5/P5WmMeSdJ3Lzy9oKG/mJXD8g6//djDL1wgPfvbzyxl8oIW8Wu6icTRhd6QOr2bapUll&#10;HzYGWUM4mOnEdhsNpLlSmmG63d34BSAdBEsTXgy14+1kP15yu9Ndz20b3s0PSRYioPH6ySAOngxh&#10;f2UAz+b4vRhhNnuqsNVVju2eCjzpLCUgMtBLaAh4jOanYignAcO5iZgszcBYUQptI5mfycRoIQGS&#10;FMQTUjBtl7EkKQANse5oS/ZCa6onamMdUZfogqZ0L9SleaE+0w/txdwHqxLRWZGImtwIZEZ7INLH&#10;Blb6qjSQi1CWu4JbVy7g5sVzkL92mScPedxhpFW8eh4GjCdBTjrIjnJEYZwH0hlhkvyMkOpvjHi3&#10;x4ixUUG86R3Ea9M8HtNA1GgfRqqIs32MMKt7CLVUQYjVXQRY3keQxSOpDycWDPJX10GYiRUiHVwQ&#10;IS6YC6N9ZOagkIZbUttM22iSrKOS0aW2sYvVidomPm7uQkN7H1ok8/g3QIR1SLGFoGgiMBp6RtDA&#10;9xv4uEkYCg2kY3BaZiEjMmAMTi6inzFGBhAxE5UAOXVCGSePKeD44Zs4dug6joqYQgsRliFucH2E&#10;kDjy7XkC5RwBcuYLQM4QIAIiZ3CU2wtHL+HBmSuMLxdhKk0ikwHE+YY8PBWVEKquhkRTI2TZ2aLU&#10;i3+ksGBCJIxQiJDdZpLwEHM4Ovn8a3URJl18T3ymVZhHdCi/RlQIbSNIgkaFvxeKvcSCP+6EhgeK&#10;fd0k6yj0Jjg8GVncHZDlao90xpZkW8LDgvAwMUSYAIeBHgJ0teGnrQkvLTW4Pr4Pp0cExwNlWDGy&#10;mDJz6t+6CS25G7SOa1A4dwEXGVfOHD6OcyfP4srF65C7oYTbt+7hPqGhoa4HLZbmY11Y0BJy/EMx&#10;lVuEpaIyzHE7Q5iI7YIwj6/xhdvFjDwsi+iSnI612ERMB4SgwdQCWQ9Uka9yFy2qGpjh91s2MsW8&#10;gQnm9E2wZG2HrZAQPKXBvShMwevWAnyYqMWnxUZ8ElfUrjVLfY/PG13SiMv3ix0sAmSuA6+nGqUZ&#10;p6/nm/E9AfL7q9l/AUTM9/jx+Th+eDoiQUNA5Ecairga9keax28H8wTMPL5/NolPu6P4uMmDfqEL&#10;75Z68NPWCL7fHsV7HvyvZ7qwP9iM14NtOCAk9giR54O0lP42bLXX4Tkt5O3UAE2knXBpwMuRTrxf&#10;GMEbWsjrFdrH5jjebo3jzcYYXq8O4+lEO6FBgHRUEkTV2O4sx3J9vjSEO1eZK9VMOY2jktGlOgcj&#10;Rcnoy4nDSEkqRopTaClBaI31QXsCI24U95VAG9RGO6Mzww+thEZdkhsaM3zRkM33sxiLCyPRUhyD&#10;+vxIVGaGESCeiPG3g6uVLtRU5HD7xiVcu3AG508ew1nW1UvnoSR3DWpK12Clo4QQF11kRTogL8YV&#10;GaHc9/xpvJ40XbsHCLNQRqypCmJ17iBOnfaheRcpZo+R4KCFcFpIMN8LMrmHQDNVhJiqw0/tobTe&#10;aaAWbdnKEREuXrQPxqq4ZKQzDueX16NQXOtS2STNPBU9kJqmHsJDrP/RLZlHM+Ehpqi3EA4iugiA&#10;dAxNMbZM/hsgX8yjuW9cijaiL9JNcPSIHsgYzWOCAJlaxND0EgYmZSbyzekz93H61H2cOq6MU8cU&#10;ceLoLRw7fI0QuUKYXJG2RyQDuUiACAv5CpEzfHyar53EEdbZQ+fw4PRl2sdl2scVWF29BjuqvgQQ&#10;JUUEqzPfmRggkxZQ7OmO2pAANEWGMpaEQ9yrVkwME1PQO1ldfNxFM+nk6+LetW1xoWiKonGEBxI8&#10;os9BeHBbEywA4oMifr9cV9HjEBfEiclhou/hiFx3e2SKdUwdrZDE2BJjwT8Ao0qogS4C9XQYV7QZ&#10;VzThoaYGF9UHcHjIuELrsFBWhPFtBegxsqjfuI57ly7h+gnxMx7F2SMnaR2XceOaPMGhAhVlNTy4&#10;pwk1VW1oaRhAR9MIOtpGcLayR2VkPBYIj8XiMszkFmI6hwDJK5JsRPQ9VgtKpYvmFtOzsSzgkZCC&#10;lcgYDDi7oVhDG3mPHqNBVxcjJqaYk6KLCZbFmqfOLtjgz71LQ9sT0aWtEG+HK/FpvoFm0SzVTxuE&#10;h1jTY6eX8aUHn5ZoHTSEn1ZpCYs8+y+00Bg68PPuCP4hQEFwiFmnAiA/v5zA92JC2ctJ/PpqGh8J&#10;j/dPxNT2KQJlAb+8mscnAkQA5eeX09Ls1B/3xqRJZt/TTN6v0SwmW7E/3or3s714PdFFULRKMWV/&#10;rFuKLweMLm9nBvFqogcvx7oINVrH7CCNpofGMYA36xN4tTpGAxklQMbwgq9vdonGax2edddho6UU&#10;qw0FWCFElhhTluoIE3Hpfk0Opuvz0FeYQKsIREd2DAZLUtCaHoK6eG+UBDsiz8cKRQRIUZA1KgiR&#10;lix/tDKytBVFoLkgAvW5PFkVxaCxIBoVGcEoSwtGTpw3IrytYGeszshyFedPcV84cRRnjh/FadaF&#10;s6dwR+4SzDQV4Wunjjg/MwLEUaq0YFsaiDUiXfXhZ36XcFBBHOGQqP8ASVr3kCiWAzBXR7yjNiKs&#10;1QiQewgwvsftYwRoq8Lzzh34PmAkNrBAhJ0bwjz9ERkWjWSeeDILqggQ2ZR1UaJhKhqnlY3dqG0R&#10;63wMok30M/om/j8N0k7Gl87haQkUIr5IfQ8JHMI6+L4YiRFDuARI35iwDgGQeam+QmSI229On1bG&#10;2dN3WSo4e4oQYZw5cUSONnJNqmOHZDA58i1NREBEmMi35wgPRhkC5Lu/Hcd3/+sYTv79FO6evACj&#10;C5dpIJdhcekKbK9cg9ONm/C4o4QgZrhYYwOk00AKPZg1A/0IkBC0RtNCvkBDxBbRKO0Uw7USQL4W&#10;o0tsmPT5hvBgqerCglAVJG674EXjcEeWswMyHGyRzW2Om2xyWIazNZLtRa/DGBGm+ggRM0kZVQL1&#10;xFW0WvBirHJ79AhO9+/D9q7MOszu3IYBdVTr5g08/L+s49QhnmlOnMG1yzdwS57WoaBMeKhC7ZEu&#10;tDSNoa9jxjKFNh8b6pkj0MmDipyBxZJyzBcWYyavgFWIuXwRYYqly/WXsrnzU0GXUjKwmpSK1bhE&#10;TAUEotHcDMWP1dCgr4cRGyvM2VhjgdFlydYeK55eeBIcjE3CdyMlGrvVmdJNrD8QHj88acVP2+34&#10;ZbcLvz3rxS97vfi8QzPY7MGPG32EyQh+pTX8vD2IHzb7eLD34xdGFbHex6/7U/iFwPi8L6sfno3i&#10;+xdj+JmPf3pGODwd4/vTtI85/PhyFh92xyUL+Yn28uM+ISKGdwmPj4wvH1YH8Gq6Q6oPywN4v0Qg&#10;LPTRUga57cf+dDcOpvtoKf14Tng8J1ReEyYHjDDPZvrwfJ4GszaO54tD2CWAns/xtcluPKWtPKfR&#10;7NFYNpvKsFabj3nGmJnydCzU5GKa9jHOyDJZl4OBUkIjOxrdRYnoKopHfTr3l0RvZPtZIdXdBKXh&#10;TqiIdEF5tAvqUn3RVsj4XJGArrJEdJRxW5WMtvJ41BVEoiYvAkWp/oggeCx0VXH31jVcPnsSF86c&#10;woXTp2mjJ3D1/Gmo3bkBV3M1xPqYIi3UBhnh4oJKW8T5WiDBzwYxXiYIslZFqPkDJFhqIMHgEeI0&#10;7iFB5z4SrTQQ76KDGAdthJs/ZrTm5wweSzNOXZSV4a/J/dfCDqEunggLCEVsfCpSc4qRXVIrmxwm&#10;GqdfqqKhU7ooTswuFcbRLnoZBIMwjVaCpH1AmAdrSPaaAIco8RlhJQIeXYSHDCDzkoH0jokSNjIj&#10;Vb+YC0IL+ebMKSXCQ0DkDsTjk8cVaCEEyJHrMhOR+iKMMowxoudxSMCDkUUA5NDfRZQ5jkMEyPH/&#10;PAGl42dgeIEUJjwEQOyuXIfTTXm4Kyoi4JEqIg30kcKDIc/NVTIHAYIWAqSNAOkQAEmMZmSJlh6L&#10;/oiottgv8SUmVIowjRECHrQPGozUKGVsKfRylQwkzc6Gfwhxyb0Zku24tTWT1i8VIywhxjoIFE1S&#10;XXXpClovDVrHo4dweHAP1tJU9Nu0DnnoMbKo/19DsyKunDp8EudPX5RZB8GhrHwf9x88hqqqFksb&#10;jx/rQ1PDEJrq+tDQMIKhjjnCqZl9Ag4EyBzBMZWdy8rHbI646KsQC1l5jC5ZWErLoH2kYTU+WbrL&#10;/qCbB2qNDFCnp40+UxPMWFth3swci4w0q47O2AoMwHZEOLbjorCXn4IXjC5iZunnLUYVAY0Xvfjj&#10;1RB+3x/C56d9+PnL0O2vYt4HASGGbUX9JuyCcPj9zQwBMo0fdofxnpD5fm9YMpBPBMhHfs3nV5P4&#10;5WCKRsLntJWfCYvPr+b4mVmChvB4McO4M4nvN2kKs914OcrIMtaB/dF2vJxgLCE0Pj0RUYfRZn0Y&#10;rwiS51NiweQ+WtAwno9345kAyNwQ3iyP4pVopK6M4c3aBF4SIHvTPXg61YVn/F5PRzqwR4BsdtTi&#10;SWMpliqyMZYbjwkaxpxolpalo6cgAZ15sWgSvY78OPQQJE3ZEahKpq0m0FbDnJEbwBgd4YyaeBFd&#10;GFvSA9Caz9hcEkeQxKCjNB49NanoqiZECJX64mgUpvkjLtgBLlY6UL93C7eucX+4xH3k/AXI0VAf&#10;Kd6Crd4jBDsZIjXEDllRjsiMckAKQRLlbYY4f2vEeJsizF4TUbaaPKlpIlb/EWI0HiBej/HeTgeJ&#10;noZI8uBnbY0Ys7URoqMOT9WH8FLXQJCxGUJsHRDi6YOI8BgkpuchLa9cAkhxTQsBIhumFfAQ63rU&#10;0zyaukak0RYJDF96HV9NQ1RrvyhC5QtgumgkosSEMgGRzsEZKcaIZutXgIiZqgIgfWJK+/gcvjlH&#10;cJwlOM6cUMTpE7dx8pj8F3hcZTHGiBJR5hAN5DtC5DtCRABERBgC5PDfT+LQf5zA8b+dgOKx0zA4&#10;L1tIyIr2Yf9lFMZdQQl+9x4gXEcHyVZWyCVASv28URsagGYBEAKjjeYhmqTt8QSGuNHTl56H6HWI&#10;odmGCFGyYdrqYD+UB4hmqaesWerlwu/pjExHBwLEArFmRog1F7NKZXM7gg1kF7/56T6Gt9YjaSq6&#10;uI7FnpHF6t4dmCjdhj6tQ1teDo+uX4PS+fO4fPQ4Tn93FKeO8Cxz9jLk5RRpHA9xVzRJVTWhzZii&#10;pW0MdXUDAoTwIDi0CBFtbTOYGVgj0TsIw7kFWCgsJTQKMEVgTGXly/ogWQWERw4W03jmTEnBclIK&#10;VmMTsBgSiSFnd3SYWWDA0hKzdnZYpnUsmVtjxcoWGx5e2AkLwQ7B+jxPzDQtxKvBSmkJwd9fDOK3&#10;g2H89mYYf7wZwe+vxASxYfxjn4/3RwmMMW4n8QdtQ6rXs9JIy18fF/H7a0KA4HgvLqbj9ieax8dd&#10;mgSh8pOwEkLkh+d8bW+UpkFTeSWaqkv4ZX+BdsKv3ZrEwVQ31psqsFxZhO3GKrzoaZGGaT/OD+MT&#10;Y8j7NQJmeQgHwkaWh/HxCaGzMY3XiyN4NTeMN0vjeE1wvBLwWJ/E27VJvBJGQvMQtUMwrfXUY72z&#10;DmstlVgnQFZrCmggmVioY3RhbGnLYeSI90c5q4xVlRKKyqQQlMWJa1ECURZNAwmwRw4BUkwDqYz1&#10;QF2yH5qzQtBGgLQWRKEhm/seIdJdnSIBpIMmUlsYhdxkXySFOyPY0wwWjB6qtA3lm1ehdPUKHt2W&#10;g6WWGnysDBDhZkKA2CInxgkZ0Q5ICLZEuKcxwjxMEOpsQANRR5SdJmIIkCg9VUSo3ydIxIVzRkj2&#10;tUSKlw3iac1RpgYI09NlhNHjic8YwRaWCHHmv+8XgMiYJCRnlyCzsBrZxbUoqGqWZpyKOR7iupba&#10;tn7JPgRAmru/9jympK0YnhXw+AoSAQ6ppFEZMYHs3wARFiLgIXtdNsVdZiGzElD6+Pibc6cIkJNK&#10;ECA5d5o2clIBp47dZIy5KtXxLxA5eugyjh4mRA4LiJxlnGF9e4bbUzj8H6dw4j9OQ+noORieuwSL&#10;i1dgc/kaHK7egPN1Objfug1v5XsI1dBEkoUFsl0cUezrjsoQX9RHhaCFAGllCZg0R4egKUrEFAEL&#10;0fMIkIZm68Nloyw1YoKYiC4B3iglQIoJkDwaSDYBkuHkiGRbkt7cBOHGusyMmgjQITQ0SXGS3lPj&#10;IdweP4Cj6j3Y3FeGmbISDAkPnVu38FjuJu5yZ7h56gzOH2KuZWS5cPoCrl+Vh6LCXalJ+vChplSP&#10;H+tBV5eRRc8CmpomhIgRdBlfDPTNYWpqB0crF2QHR2Esr0jqeQjrEBAR8JjOzMNcZi4W0jMZXVJZ&#10;KVhISMBMcBjG3HwwbOeKMXsXzDu7Yt3NHZuu7nji7IZNPz/sELDbGfHYK83AfmsJo0s13s014afd&#10;Hvz6igB5S8tg/XYwRLvgcwLkNwLkNwGQ/XFCZRL/eM0Y8kr0MgiQD2LUZR6/v50lDBhHXoxL9aOI&#10;L3sjNAtGl+d8TYLINC2EENlmBHpG+3g+j3cb4zzYR/F2eQRr7bUYy2ecKMjBamUZnrU14c1gF95P&#10;DODjwhhtg2axMIS3q2N4R3i8Jzzeb8wQGhM4WJ7Au/Vpfq8pHNA8Xm9M0UTG8Gy0C7tD7XhKS1kf&#10;bMZCexXW+e9stNbQQCoYYYqxUluA5cZCTNRkojY1EOUJvmjJj0VVaihyIzyRG+aJwgjuK1F+KAzx&#10;QJKbBdK8LVEcKa5VcZemnJfGeaAiyQfNudz/cmnDxTHoITg6K5PQzqotiEZekh8yYj0lC/Gw14OZ&#10;7n1o0US078rDTF0FLiaaCLY3RBQBkhhkhcxoR6RH2PGxJeIJhmhPCwLEiBahhSh7HcTa6SHKUANh&#10;3C/jaBsp7hZI8rVGggs/a2GMSGNDhBsYch82RaC4yz6jf4iXF0LDohCdkoOUgkpkltQhs6gGueUN&#10;MoA0dkmX6de2DaCuY4gQGUZj17B0if7X/kdLr9iKpukYmr80VNuluSATBIWYPCYzDmkSmWQd8/+X&#10;dcyxFvhYmAjjDbcSQESdP6PMM60yIUITOS6Hk0ev/RsirGOHCRBhIYfO00TO4uh353CMdfTb0zjy&#10;t9M4yVI+dgHG5xlfCBBrAsReRJjrN+EmrwBvJRWEUsUSzU15oNuggNZQGuiNKgKiQQzLxkWgiTGl&#10;iQAREGmMJETESIuwjkhaSCRjS6gvKgO9UMGvK2cJeOR6kvRiiNbRHomMR7HmZrQOI4Qa6sJfKCBt&#10;w/XRPWlo1pnlQHhY3VeBibIidKmd6rSO+9evQ/7CBVw4fgKnjxzDuRNncfXidalJek+AgzFFQ7IL&#10;E2hqGUOT5qFvaAVDIxvoMK7o6prD2MgaZma2sLRyhpsdY1V4HCYIjxmCY5rmIQAyK9lHPhYJkKXU&#10;DKwkp2AlKRnzsXEY9vJFr7UjRmycMePojlV3Tzzx8MSmlze2goOwlxaPZ8z4e82FeNFXwbN7Hd5M&#10;N+DTahujSx+tYID2wehCePz8nNHlWT9+eTlMMIzg1wPax2vax9sZAmaGnxNrnIpRlxnGE0YZARWW&#10;iCqicfr93pjUz/h+h8bxbJxRZRq/vZrFz7vj+MQY8sOTcXy/No6DuX4czA/g1cwANjoasVBVhsXy&#10;MqxVV+NZSxOrARv11dJVta/H+/Fmdgjvl2kay8I0uF2bwrP5ETxfGMWH7Xl83FnEO27f7szhBc3k&#10;SVcTgdGA7YE2POlrxpOeRuz0NmO7vR4r1SX8t/KxWltEgBRhvCoD3YXx6K9IxXBdDpryYlAcwxNN&#10;XCAtIxxVsYEoDHZDurcNMv3tURjphvwonnjCHZHib4X0IBsaix9a8sLRVRqL3qokaQi3rTwBdYUi&#10;wgQijzEoPdoLYd7W8LI3gIPxI9gb3Ieb6UME2Ggh1okW4WaGtGAbaQg3PcwOCYFWSA60RQrNJ45f&#10;F+1qjBgXA8Q6GiLMQAOhWqqIM9dDgrMp4tzMEWNthDB9HYTr6yPciOZiYoFAS1sEurohNDAEUQlp&#10;SMotQ3ppPTJLG5BOA8nk46LadkiritFAqlr7UdM+gFpCpJZRpo4lYNFCaLT0yCDS/KWkKNM3JpUw&#10;EZl5CGCIiDIvG22ZECARQJEBpH9iUdqK+ubCGRXCQwVie/HsXW6FkdwiRG7i1PEbtJHrEkSOHbpE&#10;iFyihcgMRAzhHvn2LCFyGsf/fgZn+dqDU5dhdumaFF+sWaKJ6siD01X+FgGijBC1x9JITCoVTTQ6&#10;C2khJQRCjbANEVcEOIR9sBppJvVf+h11fL9ORJcQH5T5e6CEXycMJo/wSHdiXLARIyxmiDAmOAz0&#10;EKSnDT8dDRrHIwka9rQN23vKsLmnAvO7yjC4owTN27fwkNahePkyLp84jVOHj/PnPEGIXsItuTuy&#10;0ZUHWnj0WB/qhIeWlgkjCwHCUidEtPXMYUBoGBnbwsLCGWY0D2NjS5ia2MLD1h0V0UmYEgDJzscU&#10;rUNsZxhjhH0spmURHmmyURdGl+mQMPQzugwQIBNWjpi3c8aauxfWPT2x6uUpmyhWloX97gocjNbi&#10;zUyjZB4fFmgfm5345WkvodFLs+jHry/7JaD8+pIweT3B18YJkTEaxzShMStB4x/c/vVxntsZgkPW&#10;4xAlZpr+QtP4tCv6EN080LsJkRF+vwl83hnD92J+xng7qxNvJ7pxMNyON7SD/WEx54OwaKjBenUl&#10;1qoqsdtUj93GemzU1OBpWyte9HbhOY3k9ZRoqI7izeokXq/P4Bnt5MXiON5tzeP97iLe7y3g3dMF&#10;HNBGno70YKOzGWttjC4dDdjqbsFuTyu2W+sxX5Yv3Xxss5H/Xks5xhhlhsrSMNtUhCkaSV9pGlqy&#10;Y9GSGYPWjBg0JoWhMtIXJeG01ggv5IaK4VUn5EW7o4BRpjCGRkyANGSHoKMkhgBJREd5HJqLo9FQ&#10;FIUyxpzC1GDkJPgjKcwV0X52CHQ2hI+tJoIctRDtoo90RxPkOXHfZkTKCrVDUoAlYmkjcQE8sflY&#10;Id6H+6qPBeI9TRDnYkzT0EOkoTaixVXfdoaI4ddLl1To6yKC9hFmYoIQc0v42znBz9sfIRGxiM8o&#10;QBqhkVHWSIg0IrmoDil8nl9NgDT2oqypFxXN/YTIACoIkoqWXtQSJo1iiJbVwFgjPSZQGoWFfIGI&#10;iDTCUESDtXNIAIRxhcYhADIwKYAhiy8CHv8qvv7NpbP3cOnMlyJALhIkwkLOCIickCdEbko2cpwG&#10;cpwAOXbkIkFynuA4Tws5g2PfnsTx/zyJi3xN7axsBqrVlavSWiB21wiQG9fgcvMmPMTiyg8fIspA&#10;CwmWhjzwrSR7KBQL+4glBkVcoXXU0zokaIQJeISgJiQQVcF+qBRT0wP4x/dxk5qmee6MLI5iYhjJ&#10;TeUTcztCpcyowbjySLpq1uHhXULjDixVlGCufAcmd+5AX1ERGgoKuEew3Th7XmqSnvjuGM4cp3Vc&#10;vok7ig/wkOAQzVBdfUtoMapoSOAwhRZjinguAKJGqIj3ra1cYW/nCRuagw3/0Pb2bghyZ+zimWJK&#10;DN0SGpMZudzmYobwmCE85pPSsBiXhMXIWCxSSad9gzDm4okZJzcs8nusO7piy9NHii1bkaF4VpCO&#10;V+3iwjhxGX4TPi004+NSEz4uN+OH9Xb8sNWBn5520z4G8cfrYfzjYIS2IRYDmv0CBVoGTeMXwuRn&#10;cU+XN1MSQP78MI8/3s8SJHMs8VgsVyjmgUzgrbhfy6qYaMYoszGE7xd7GEkasddSgRdi4ldfE82i&#10;Dq/FLNKhDmlRILG2x2pVKWaLcgmScslCxD2AnzY3Yae5ERvNDXg+QPiIngdjy8EKo8rKNPZXJrFP&#10;oLxirHlD+zjYmeFjvjdHC+lswkx5MZaqK7DaUIvVpjpstjdivZFxpq4Cm03VWGksx1QNQc04M9tQ&#10;jBHCtjsvBZ3ZiQRHJGpjuS+xGuK4jQ9GdUIwCgiR1EAH5EQR9rSLyhR/lCZ6oSrND20ERk8l7YMg&#10;qcsLRW1eGMqzglGaGYLitBBkx/sgI9oTicFOiGQcivbmCczVBKm2hshzMCVA7Gg0tkgUAAm25mdM&#10;EeJMSHiYEiBiPogxYhln4m1Er84AMWLNGUfuw/aEihljEE+CEUYyeARa28DXyQO+gZEIiUtDQk4p&#10;0kpoHWW0j7ImJBU3IqWkEbkESGljHwEygHICRFRJYw9Km3pQ3daPOsaZus4R1IotIdJAeIhqEvBg&#10;jJG2Yqi3X/RDGGWEgQh4TC0SIEv/gsZXmIgSj7+5eu4erhAilyWQyABy/rQSAaLwL4CcOCp6IcJA&#10;LuL40Ys8U1/AcSnKML78/QSO/udxnD98BmrnLsFMmgNCeFy/BgfCw/nmNRqIAIi4rP8eInU1EG+m&#10;jzQ7c+lGTfneLigWSwwG+aI6NIAgCWJUCURtaDBqCZHqkABGFh+U+nlK5iGiT667EzJd7JFkay5r&#10;lJroS3M7/LU04PFIFY73CY67d6RhWQsxNMu4YqSkBD0FRajJyeMOAXf11FmcOnQcJw+fxIXTl3Dz&#10;xm0oK6vSOrTx8KEuHmuYQEfPCnqG1jCgZejqW0uPdUTfg0DRIESEkRgyyliY2RMgTrCytoeVlT3C&#10;PfzRQoBMEBgTGdkYT8/GJGsqPQvTyemYTUjGdGQMZoPDMe8fihl+fl7cDJsQeeLogg0nARAv7IWF&#10;4UVOGl42FmO/rxJvx2rxcVrcU6URb5Ya8H6lBd9vdOL7rU58Zmz5880o/njDuPJqFP+gfQjrEP0O&#10;Mav0Z3Hl7T6LEPn97TT+/ERgECJ/ECJ/flrCH6IIkD/eLfJrZmULB4l+x+YIPi324tNkBw66a7HT&#10;UIoXBMeLAcKkrw4HE53S/I7tjnraAA/q2lJGiwIsV5Zgi0ay3VBHE2nATlMDntTTRrpaGL1EI3UC&#10;r0QRHi9Xp/BifRqvtmbxensWL55M4OX6OJ4TNCsdTZhmLFqsrMQctzOVZVin7Wzz9c2WOqzUl2Ou&#10;ugjTNTQPxpnRsly0JMegOSka/fnpaEuPo3n4ozLCD00J4WhJjUJDSjgqEoNRFOeH4kR/AiQIFQRI&#10;cbwHtz5oFRfRlUSjpSgSjQXhaGDV5oeiWoAkO5QmEoCi1CDkxPshOdQFiUFOSPC1RaqrBbI9rJAZ&#10;bI9UAiQ50Ib2YYlwF0OE2BMKIr4QIjHuhoh21EesFaFioocongDjnK1oIeaIMGSE0aVFc+tPgPja&#10;OcDTzR9ewQkITsxBXE45gVEnwSOtrAXJpc1I5Tazog35tV2EBsHR0CsrYSTNfaikgdQwztQQHjWE&#10;iAQQGse/4MFq5OMmAqSFBtJKgHSIpqk0cWwZQ9PLEkREDU4t/QsgYm7IN1o3HkD9+j08uKoM5UuK&#10;uH1REdfP3cal0wq4cFIO505cw7mT12ghlwkQguPoJQKExcfHDp/D0UOikXoCp787jntnzsOUscXm&#10;2nXpUn7HG9fhzHK7dROeirfhd18FYVqPEWOogyRLI+mK2DwPWohY5MffC5U0jSoxPT0sADW0kCoC&#10;RYBFvFfkI+Dhihx+PsOVeuhgIV0EJ6ajhwh4aGvCXU0V9vfuwpKwMCOwzBRvwVRRAYZ8rHNLAWo3&#10;5XH7wkVckOZ1HMfZE+dw9dINyN+8gzvKj6B8TwN372tDVc0Q6pqmBIUZ9AVAjGygrW1OWNjC1NQe&#10;BgZWUt9Dh0ZiRIBYWzrClgCxtLSDlQV3Gk9/dCVmYIzQGE3LwEhqBkYJjomkVEwnJmMuLgFz4dGY&#10;DwzHnEcAZp08sexIeDh4YN3BFevOYm0PH+wlxkkLAr1o5UHL+PJqqBqvJ+rwZrYRb5eaJXiIy/N/&#10;fsrI8mIIfxIav70YkVZT//UFIfJKLD84ik/bg9Lix7+/FhPG5giORfz14zL+/GEJf3L7108r+P3T&#10;An79YiLCWn4Wk8Sk2NKHDxPt+DTagdd9jdhtq8DznlrGmFYcTLbi/QyjzkQX9jp5UDdUSrVRU461&#10;mgpsNIpL9qulFcd2GDuEMYg1Tl8MEkZLYzhYncBzMZQr+iI7C3j7bJHbWexvTGB/bRw7E71YJXDW&#10;2pqx3tqCpdpazFWVY4nfY4Pfb7O1ToLHSDF/1+U5mK4twXBRDhpjItAaH4WRkix05SWjPMof5RH+&#10;aE4nWDKiUZdMq0gNQ3VGBMpSGEtoIbnRbihL9qWBBEgxpiGXcTo/TAJIYxEhUhSBmnyCJ0fYSCht&#10;JBQ5ib5IDnNBCiNNCiNRSqAjMgiT9BAn2ocwEFtEuJsiwE4PwQ6MJE7GCHUiIJy439oyvpjrINxI&#10;h1szxDs7IsbWBpEGtBUdfQQYGiDAxhq+jLbu3mHwikhDSGoRYvOqJetILm1BSlmrVGnlbYRJK7Kr&#10;OlBMcBTWdqO4TsCDJtI2iCrCo7pjkPAYQm3XMOq7GV8IEDHjVBhHK6HRMjApg4h4PjSNDkaYHjF5&#10;7As4JPuQDET2WOqFCAPJtrdBmrUl4qWRC0MEMAa4Ptag9j+AnpwiHl2h1p+/hqsnLuEc7eP0sUs4&#10;eeyyVBJQvj2L438/iVPfHoPSqXMwuXIdNldFXYUDLcSZFuIqf50GIg/fu0oIUVdFhI4mYo11kcL4&#10;IdbjyPNwRJEvISJuJyluah3kzVhD6xCNUn/mU6nf4YwsN0eku9gh2cGK+dFIuno2UF8LPlrqEjwc&#10;xAphSoowZUQxVSA8WEa35KEjLwdV/l/kTp+lKTGuiNmkZy9D7roilBTv4+5dddy7r4W7tI8Hj/Sh&#10;rWsJMwsXljNMzB2hb2TN+GImNU3NLRylMuRrBgaW0qiLtbUT7OxdYM+D343xIzNA3P2M0EjNxEhy&#10;GkYIjrHEVEwlMqMnpGIhNgkLYdGYY3SZdfPGkrMn1mxd8cSS8YUxZi3AH1tx0XhanIPnzYRHRzle&#10;9FRgnwARjdP34k5wTzql20v+8YpgEEO00jAtrWF3CD+Kq21pHH8c0EBeyC7B//2VWO9DGMYS/vnD&#10;Gv7r8xP88/Ma/vuXdT5ex5/fL+Ef7+elBuuPLwiO3WH8uDmM93OdeDfWio/jjCr9jTzrl2K3vQJv&#10;hprwbqgZH4ba8HqwnWCpo51U4VlbPXZYwg52O5ux1y2qCc9YT9tpIrSUZz0tOBB9kPVJvFgawUsC&#10;5M3GHF49maaJjEsAebkyiif83iudjdgZ6MJufzc22lqwyCgzU15E86hipKnGSGEG6mOD0J4Rg8ma&#10;YgzkZaI+PBRtsVEYJUy68lNREknTiPRFQ1Ys6jIipaHd6rRwVBEgJUlByIr0QE60B0qTAwmRQJSn&#10;8OSVEYwagqQ2JwT1BEkNo0wh7aQojTCihZTw/fRod8QHOyCNX58R5YX0CHekESZJQQ6I87NGrK81&#10;ghwN4W+njzAXgoEA8bbUhrvJY/iZaiLEVMxNEssW0qSdnRBjbYsoQ3OE6PM4NDOBv6MjvHgycguM&#10;hV9cLiKzKxFfWI+EogYkECKJJU1ILqGBlBIkxc3IqmhHcb3MPqQ40zKA0lZGmrYBVAkLIUDqRP9D&#10;AoXMPIRxtA/Pom14Bg18vZ5gaRFzQMRIy9g8esZlIzGypqkAxyJ6xhb4HouPvxlNjsBAXAi6IgPQ&#10;GuaHOh7EpWLRHR6kKZamiDLSg7fmYwJFGepXr+H26Qu4cuwizh05j+NSD+SU1Ac5RoDIHz8Lw0vX&#10;Yc3P2Vy9QoBcgdONq4wxV+GmcAM+KrcR+Og+wrXVJQtJoEGImzWJFcFyPRxQ4O1MWLig0M8Vhf5u&#10;KPB1Ra6ILIRHpqsYabFFkh3/MFZmCPkyyuKt+UhaFd3hnrK0qLHJLTmWvAQPYwUBj5u4f+Uyrp08&#10;iTOHj+LiqfOQv66Au4wrDx9q4aGqDh6p6ePRYwOostTUjWgeokFqBwsrN0LECYYmNjA2s4WxKQ3E&#10;3B5mlg4Eix23jvyME6xtnGHn4AYHRzf4uXmhODwGAymZGE1JJzxSMJKQgnGCYyYhHQvxaViISsRs&#10;YBimPX2w4OmNNQ8vPCE4tpw9sCVmmabEY68wC894QOwRIM+7KnAwLJYjFNPUu/DzVg9+2e3DP14M&#10;488DRhUxRMsSQ7XCOH7iwf/56SihMcMoI9b3WMY/P6zRLgQkFvFfPxIeP63TPFbx34THf/28Rqis&#10;4C/GGDGl/afn4/h+cwgflntxMNWKN5NteDfZThBUY62xEM/aK/Gmp57/vxJslxXy/8io0lTDqFKD&#10;/f527I924ymhstfXgmcjHdJs0xesl2LS2GAbXo724DUBIuZ8CFC8XBjB08l+7E724unCAF6sjUqz&#10;UNcGmrHW3cjv0Y3nwz3YEnGmtACj+VlYYJRZqC7HREkO+mkZg0VpUnxpS41HgY8HyoP80Z2Vjo7c&#10;NNSlRKM2JRJ1WdGoTA+ndYSglFVGCykjSMS2OCkY+bF+tAfRXHXlZwJRkR6E8vQAlGcwshAeaZE0&#10;jBjum6l+KGDkySB0EkMckRblgdyEAOQx0giAJBMq8QG0CS8LBBMawc4mCHM1Q6CDEZxN1GGhcRfO&#10;uo/hb6wHP9pzqJUFYpwcGWVsEK5vCn89QsfaCn6envAMjIR7ZBqCUosJjzokERoSQL5UcnETMmgg&#10;GYRIjgAI4VHW1Ifyln6UtQ6ilFvxuJoQka6y/QoPGoeoFjEjdUQGkEa+LgDSzNc7+FoXq5sgEVtR&#10;X8HRMTKHNlY7H3/zpDANK9mJWGBWnEmJwVhCBHqjg9ERHoBmsRgxD+JiNzuk25ggQl/MjLsHa0UV&#10;aFyWw7Xjp3Hyu2M49t0JHGFdPXoOOhdEhLkG22viYrrLcLp+mQC5IgHE644CfO8rI0RDFVH6moih&#10;hcRbEiJ2ptJapKInkituseBFgHk7IpuPMwmzDFdmSkdGA2tzRJpRAw35iyeEPB+rSs1Se9Eo5fc2&#10;UbgJA7kbLDnoy8lLa5QqXzyPi0eP4BThceX8FdxRuAvVh5rQ1jKGjq6Z1BjVE0OyJrbQ0bdgdDEh&#10;RIylCCP6HsJAjM3sWKIXYgkjUxtY2brA1sEddo4esLRxkVmJpT1B4ogwTz/Uxoh71wiAcKdOTpHs&#10;YzIhDdNxNJDoZMyERmPc258A8cKKtzdWuaNs+PthNzoSO6mJ2MnLwNPSfDznAfqstQIv+mvwZqIR&#10;Pyx34petXvy03YOfd3vwx/4ILUPAY4zbSfxDDMm+HKdxjEozSz+/mMTvwjrei/u6rOEvYR4/ruN/&#10;Pm9IAPknAfLX98v4x4d5CR7//MQo83pOuq7lw1o/Xs3wYJ9oxvv5bnxgvRisx15XFV711uFlWzWe&#10;FOViNS9biizrteXYbaol6LqwP9WHvbFObNMgnk2Jqej92Jvhdr4fL+cGsD87gOfT/diZ5mtLQ3jG&#10;xwIU6/0t2OVrewuEyWwvNoZasTXYiucCSAPt2GyvxzL/ncWqUixUlGGiMA9jtLTpinyMFGWgJycF&#10;DUlRyKa1FohlHvi7bMpIRkNaPBoz4mgdEShODEZunD/SIjyRHunNxwEoTAxCQXwAskRjNZgGIZqr&#10;MZ4oTg1ACY1DwCM/2YvwcEGquLYlylkCSUqEMxKCacVRnihIDqKhBBIyrkgMtkOsnyVC3YwR5m6G&#10;cA8LBNBE3C21YKX7ECbiok2ahz+tP4D7c7iDHeKcnBFDgITqmcBP34ifd0JwUBj8o1Phk5CPsMwK&#10;JIqGaVmLtBUgSWGMEX2QrIo2ZLPyqjtQIpkHoUHzKGvtp4H0o7K1T5oXIvodAhhfex4CGMI6voLk&#10;K0CaxLwQMYGM0OhkdfCxeC5A08ptM6tpaBaNrG+eVuZgqzAV6zkJWMmKx0IaVTApEiPxEeiPppmE&#10;+6Ep0B2VXvYodrVElp0JEk0MpNtV2txVwePL13Dz2Fmc/u4kD9Sz0ORBasO4YHedABEGIgAidxWu&#10;t27AQ+kWvO/eQZDaA8YYdUQZMMqY6CLB0gjJjDPpDpayu8CJe7gM34oAAP/0SURBVLK42iCV8SbZ&#10;yRpJtCEBjwgzIwTp68JPNEsZWVwe3iM8xBKDt2FyWw6Gt25Cl3FFrNnxiDFKLGx8/vBhnD56HFcu&#10;XYPynft4/FgX2tqmhIcFowpLz4JgsIGFtYtUXxumooSFmJgJ27AnOARArCSAmFoQFnauEkCsGD0s&#10;aSGW1o6wIUDivAPREsczIqPLsLAP1hgjzCQNZIrRZVrMD/EPxbgX7cPPB098fbDqw21kGHaTCY+M&#10;NOwW5uJpRRGeNpbheU8NXo7U4/V0Ez6tdkjw+FEsTfi8H3+8GWcsmeSW8GD9LmyE299eT+JnRprf&#10;Xs/gT7GWx/er+Cet479/2cT//m2LxkH7+GGZMBFrncoWC/rzy2X7n19O44edUQkgB7PteD3bgU8r&#10;/fiw0I2Xww140VeH/b567LZUYFXcsKmSkaa5HtuNtXje0YxXPNj3RjuxQ4CI61r2l4bxbLYPOxN8&#10;PtmNXRrIFs1kW3yGUNlfHcXB4gh2h/l8hJ8hYJ7ND2CHn12X5n40Yae/DZtdjVhtqpKapqt1lZgv&#10;L0VfWjK6xNoxGQRFXBijTBiqosOQHcCD3Z8HdUQwyuOjkB8VzIgSgNyYAGRG+SMu0A3BblYIYUX7&#10;8AQV7onChEDkEyzZ0d58zQbRfjbIjmeETg+kcfgiN8kTmbFujCx2iPAxR7S/JWICrCUDEc3UwtQQ&#10;WkkAYw0/E2SDGD8LwsMYQS40EDczeFrrwt5YA8ZaD6Hz8C6stbXgbWaKINpHJGER50CAmFsjWADE&#10;xAIhPBFFRCUjNKkQQenliMyplsAhmqYyeDRL8Mgob0FOVTsK6rpR0tSPirZhVLYPcyuiC58zuoj4&#10;Inofomn6FR6iiSq2AhhfH38tAZQ2EWMIirYhAkdccDc4iWa+1sDIU9s3gdr+KdT0TeGbl3X5eFqW&#10;ie2CFKzTRJbSYzGfGoWZpAiMM9oMMdp0hfmgkb/0aj8nlHnZodDZHFk2Bog31qZNqMNZ+R7UCJJb&#10;J89A69wFAoTwuHENTjdlozAuN6/DhWbgdpsAUbmDAFpMqKbohTxGtKE2Ykz0EMc4k2RtKoEkyZYl&#10;lhoUV9Bam0ldatEsDSa1fbU1aR5qhMdDxhbakLIyzBQVYcjvrcfookF43L18lZHlNE5/ewinjhzH&#10;ZVqRgoKKNItUT98chsZ2NA8LmoYYTSFMaB4m5g6EgRsjiSujiiOMTBxgzsfmVjQMK2eWE8uR4HCD&#10;jb2wD084OHvLiiBxcvGEm4sHMv3D0J2YhgECZCg5lQBJkwxkIi4JU1FxmAoOx4SPP2YIjRU/b2z5&#10;+cpiS2wMAZKC7dQ0bBflYa+hDM94tt8faWCEaMK7edmIiwDHbwcjjCMT+OvD9L/qz/esD7O0CNnw&#10;rBia/fODWBCZ8YTW8Rfrvz9v4n9+3aJ5rOFPRpb/ooH8D03kv35Y5edloy8/icv0twRABvF2sQdi&#10;jY9PawN4S5DsD9XjYLBRqmddtdhpq8Hz7hYc9HXioKMNbwe6cTBOgxA9EUaXF/OD0rUtz6f7CI8e&#10;ae1T0fhcYz2fGcDBmuh9TEozU18vMc4sDBM4owTOIDaHOrHS1oD5hkosNFZhkTVZlo9xce9kwnWS&#10;kO1NSkB3vFiMKgHtCdGoiQpDfoAPUr3ckOhFk/BxQxZNJCXYBzE8CUb5OSPMyxE+DubwsObJyMUK&#10;iYGuyGN0KRYWwhiSQ4jEBToi1NMK8SHOSI/1RnKEK2KDaBWBdvB3MYK7jSaC3I0QIS6SI0Cy4nyR&#10;leCP5Eh3xIU4IE581t8WgU6GcDR+BGdzTdiZaMBcVw166qrQuH8Xlpqa8DEzQ6iNLSLtnRBj54BI&#10;c0sEGJrB39YJ4SHRiEsuQGxWFcKzqxCVKwNIUmkTIUKAlIvRl2ZkVLR+gUefVKLvUdE2RAMRMGF0&#10;6RwkPIZQL6318W9QSI8JEynKcNvcT0CIEjZCaIhRGBFjREO1jp+t6R5Fbc84aljVononUNNLgLxu&#10;KMJ+VQ6elWbIIEITWc4gRJgZJ+NDMEJi90f4oCPEHU1BTqj1s0OFpyVtxBQ5dvrINNNDsqE+AtQ1&#10;YKNwWzaEe4MAITic5K7TPmTwcKEZuN5WgLvyHfg8UEEgNS6EEAljFInQ00K0kT5BYihdxxJnboRY&#10;SxNEs4R1hDIrButpw1/M8VB/DDdVVTjdfwAbgstcURnGtxUJj1vQFNPRL1/BlROnceLbIzh5WAaP&#10;O0oP8eChuPBNh9ZhJlmGlo651O/Qoo2IkRZjmoaphZMED0Nje2lrae3OcpNeF2CxsKZt2LjB3tEb&#10;Tq6+cHH3h6OLtzT3w9XdB34EQ1FoDO0jE4OML4MEyLAACO1jMiaB9hGFSb8ATHp4YNHbCxu0jx3/&#10;AGyHRWAjJh5PWGsCIpXF2GupxPPOSrwZbcD72WZ8L252vdtLyxghMKZoDTP46+Mso8csATCP//5x&#10;gTaxIEWRvz4tM7aIYVlGF9rHn59W8QcjzH/9vEUL2cZ/EST//HmDz59IJZqq4vO/vZ7Hz8+n8f32&#10;ON6vD+JgoQtvV3rw6ckAAdaBN2NNeDPcJANIN42jtwnvJ/neUC9eNTfjoIfQYIR5RmN4TqN4yWjy&#10;ilB4sTAk1UuCYZeWIfodbzdn8X57Du82p/F2YxovV8YYZ0bxkrVDCK12tmC5pQGLDTWYqS7DLGPS&#10;dCXBQYhMleejl/Gki9Dtjo5Cd0wUupLiUB4ahBQPV6QG8KAP8kKEqy3Cna0R5e2MSH83WoM7Al1s&#10;4cLY7GNvjnhCpSgpFOVp4SgiADIjPZFFmCSEeCDQzRoh3vaI5X4f4WePUC8rhPvawtvJCN4Oeoj0&#10;tSKUbBElLpILckAMYRPkacH3DBDKyBLtawdvW30YqynBQkcV5nqPocUTpxrhoaX6ANa6uvA1YyS3&#10;5dc6uCDGntCysICPqTkC3X0RxbibmF2BhPxaROdVIya/RmYeNI6UimakV7Uhq6YD2azChm6UNveh&#10;uLFXgoiILwIgYvhWwEPYh2ie1veMyoZvBTi+mIgARjPji7T9ApC2YTEKw+jCEpGlll9TRYDU9BIg&#10;tI862kc9q65vEt+8aynDQW0+XlZmMXen8uyXiCd58VjKiMZ0YihGo/1pIb7opea1Bzujyd8eNV7W&#10;qHC3QLGLKfJsDZBtqY80MwJAVx0B1DN3JQU4M078q+RvSDeYclW4BTe+53lXEb6qMoiIdUJCNdUR&#10;rqONcP5Sw/VYYiaeoR7CDPSkIVox0iJmlnppEh5qj+D4gPBQuUfzUIGhghJ0bt2Gupw8lC9dxqXj&#10;JwmPozh17DSuXroJhVt3CQ8dmoYJVNV0pYvf9PWtpCFZXV0rAkQ0TG0laAjr+GofpubOsLLxZHlI&#10;4LC2Y1whPERksSEwHJw94ezmC3snT9gwzri4eSMyIAT10Qk0jwz0M7YMEh4jtJFxRpqp2ERMhIZj&#10;jPCYdXXGqrs7nojeR2AQNqJiCY8ErEbHYTWdEaa+Ak87a/CitxpvxhvwabFNWtPj590+iOtb/nzP&#10;yPJ+Sqp/Eh7/+/My/vfPjCMCHmJZwu9pHR8ZWwQ0hIFIW8Lipw0pyoitaKT+xc/9Je55S9D8KRqs&#10;bxbx+cUsvt+jFWwM4dVyN96u9+GjAAht5N1MF95PdREkHXg52IJX0kzUXtpIC3YbaBVtLdLoyxpt&#10;Yae/Fa/EJfpimJYm8lRMeV8dw2vaxputWbzdnsfrVT5eFde+TOMpTWV3bpD2MYTtkW4stzfSQJqw&#10;zpqrqcRsVRmWm2qw2lKL+coSDKWlEB4xaPMLRDuh3B0XgyJfLyQ5O6CAMaYgIQLR7g7w58ko1MmG&#10;sPBCWngQIggYB+5bHrTa9FBfVHM/r8mIRGlSICOOD3Jj/SWAeDrRUpwsEOpDa/FxYjkg0IvwsTOC&#10;l5MJgUTLCCJgaBthvtbwczOHs5UeLA0eSSu0+9PSfRwMGVtU4WalDUdLHehpPIT6g/sw1NSGvZEp&#10;vBhZQu2cEO3kgSh7V/5freFu7YDg4CjEpuUjOb8acQRHRB4NhNt40TSldQiIZFS2I7euBzm1Xciv&#10;6yI8egiPXoJEwGNQgkhl+yBqCI8aQqSOBiItVyhWHJNKgGSchjElNVAFNGTgmEPn2Dw6R+f5eJ42&#10;MsevmaR9jBEYNBcRZ6TPzjLSzOCbD20VeEsLeVWdjWdlPPsVJuBJbhwtJBqzSWFU7yCMECIDkT7o&#10;DHFDS4AjGn3tUetlgwo3moiYvmtriGwrQ0JED/E82MPUH8HnrhKNQx5OBIgjAeJIO3CWl5de81BW&#10;gM99Jfg/UkGA2n0EqqkSJo8QRJCEMKIEaWogkI+DtDQQoCW7/F7cAd/tsbih0wPY3r0Lc6U7MLil&#10;CC05BajdkIfShcvS/I7jNA8xq/TGtVtQvqOKu3c18ECV4NAyxmN1fWhqGkJPDMnqW0Nfz5oAsWCE&#10;sYKugY0EDVGi9yEDiiNMzER0cSU43AkOD8k4RDm5+sDNMwCOjDC2jDTOLl7c8cKp0jJw9CWmSNtR&#10;AmQiNhnTUfEY4Y4+5uSERSdnbLh5YMvXFzuRUdjh557EJGEpMlYCyE4d40tvHfaHG/FuukUaeRFr&#10;eny/2c0IM4Q/3k0yntBAGFf+68cl/PdPyywC4/sV6QbYf30SMFnFf/+wTrBsMKZs4L9/pnUQGn8K&#10;aLD+IYzj7YI0cUy6WfbrBfz8YgYfd8eler89SjsYxIftYXzcGiFEhvl/GCfIJvBBRJPxTkarHsKk&#10;h7ATQ7TNeNXTKd2qcrWxAjsDrXizOIo3UiTpw9O5frx5MsHIMoXnK6N4ukgzmR9mxBnHS0Jki7ay&#10;zuizRXPZGOjAckcTVjuaGXfEyEsJJgoLsFhbhSXCZDInG4Nx8ejl766DAO4ND8dwRiqaosJR4e+H&#10;+oQYlMZFIoFRxlcMh9pZIykiCGlRIYj19YSPlRkCGY8LY4LRkBGD2lR+XXIoShKCUZgQhOQwT3i5&#10;WBIWZoSFNQLc7RDkZQ9nWyMY6D6ErQVPaK4mjDHGtA87hPjYwt5cFya6j2Ck9QA6DxVhbaBGiIjP&#10;mNAojOFiow0jmoiJjhbjDGFjZg1vK36tgyuieDIKsXWBu5kt3LlvhcWkIDG3DEkFNYjOrUJYjgBI&#10;LeJFE5XwSKtoI0BoH9VdrE7k1XYSHt2ML8I+BqU+iIgxoqrFxDFhHn1jXwAiW7ZQwKNFrEZGgLSL&#10;uCIZhwwe7WKUZUiMzBAgrPo+EWNoLMJS+PlWARDGGzES883HtnJ8aCrCm7pcPC8XN/6Jx2pmNFYI&#10;kKW0KMwkhPIAEBAJkCDSHeqOtiAXNPszzpDI5a40EUdzQsSUECHVzQ2QZKSNSG01+D1QhsttOSnO&#10;2N8kRGghLgrycL+jAC9aiDch4s3P+NBafFXvw48gCVBXgy8tw1v1IXwePYQXy4Pl+vCeNM9DLPxj&#10;QXgYCXjcuIWHV65D/vQ5nP3uKI4RHudOXYDcjdv/ii2PxXUsjC06euYsM9qH+ZcrZy2l61j0DAgR&#10;PUvo0ULEsK0oAREBEANjO2kuiJgTYs6tOaOMHWHh5R0MT69AuBAi9nxuZeUERwc3pIZEopPA6E9I&#10;kQAyJM3/SMMkATLF90ZcxXR1F6yLq2tdPLAbEIid+Hhsp2diIykdKwnJWMvJwi4PwBf9BMhIAz7M&#10;teJnwuOnrR78sNMrXRj318c5woHg+JFRhRD5XYyiSE1RMaoihmNFc1T0Nzbwfz5v4X8Ij68A+YtQ&#10;+SdL3CxbLGH4y4FY22OaNYNPe4SDmDwm7nu7N44PYsnCp+PSJfxi/Y/fxGX8L+YJE4JhcQCflof5&#10;/6NljHbj9QhhMtpDK2F0GWnH/mQ3PzOEdysj2BdDswv8nFhZjK9tTvVgZ5ZGskz7WKV9zI1gubsZ&#10;sw3V0szT5Y5GLLbUM8a0YqmxHiM5uRhNy8R0XoEUDbvCojDAuDeSlITB2FhCOgHj2RnoSYhFa3gI&#10;mmMjURgWiHAnOzgxXrtbmiPCxwMxfh5IookkBrgjM9SH4IhGPaN6dUIIqrifVySESRBJp3GH+bnA&#10;lwbjStC42ZvxsQ3srQ2gwUhioncfPq7GBIc5ooNpDIw69pZGMNbVgC6tWuO+AqwMH9FaLBEVaIVg&#10;TyO4WGvyNXU4mhrB08oGnhY2CLATyxPSPmiv/jbOcLFyhI9vKCKSspFSWC1d5xKTRwPJrSFA6hBX&#10;3IDUcjFxrFUyEAGQrKoOyUBKm3sJjEGpgVreKnogAiSDEkBqu8cIEDHCIpqm/4bHV+sQAOkan2ct&#10;SABppVk0D0yjZWAGTQOzjDBTqO7m1zLiNPE9WU1L9c2n9jJ8ai3Gu4Z8HIhbIJakYyMnAetZ1GnR&#10;C0mOwFRcCMZjAjEc5Yf+CG90MRe2B7qiydcRNZ42hIgVihzMkS8gYm2IdAtdJJnoIFJHjaZxB04K&#10;N2F78zrs5OT4WBZjPJRvw0PlNjzvKcKLEPEWEHn0gPBQJTwewOP+Pbiz3JgZXVgOBIf1HSWY31aE&#10;kfxtaF2Xx/2LV3H9+Cmc/Nu3OPq37wiP87glp4SHDzSgQdMQ/Q5x0ZuugaU0TGtkagt9Q0tahzF0&#10;CRNpTgcPfgO+bmRqD3NLF8k4BECEfRibOsCS8cXKhpCwJlwIETtGGTc3f7i6+sHBgRGHXy/Km3Gm&#10;MDoR3UmML4nCQlKlSWTjYgiXsWbSLwRTPNMsOssuz9/mdjcwGNvJSdjIyJTugyvgsV5WIMWX/dFG&#10;HEw24/uVLul2DJ+fDuCXl6J5Os2IskSzWJes4x/ini2fFqXGqOhn/I8wDm6Fefw/v2wRIJsSSKTI&#10;8gUeYlRGAOSPD0v49fUcxB33xTKFAhJfS6w29vHpBL5/IRYQmsdvrxel+vnlHOFCwOxM4sfdaXxa&#10;H8P7xUG8o2W8mqCVzPbiwxJhMdeD/dluRph+POdru9M9eL4wJNUe4fFSrP+xNoP9lWnsjA9isbEO&#10;c5UVWGqqx1x9NWZrKxljmjBfV4P+5FRahgAF4cwo2MO4J2b4jqXS9MIi0BcSSiOJQWtoEOoIitpA&#10;H2T7udM0TGFOk3U0NoKPmFdhZY5YDyekESIFUUGoTYlGNfftKp4gy2OCUMp9vIglRmpiCZjQAE94&#10;utjD1cECPh62cHWyhAkhYGlMu/AwRVSwPaKCnODvTgOxNIUe/61H4nYPD5RgZfIYwT5mBIglQr1N&#10;EehmigBnKwQ42MDf1o7AsEO4sytiPLwQ7uoFL8ZgdxcfBIbFIyajEOll9UgtbURcQR0i82oRXVgv&#10;GUg6gZFV243smm7kcptf34NCMfejRfQ8ZCMwskbqv+FRL+yhf5oQkc02lZmHDBzCPDrH5iR4dE8s&#10;SltpuJYG0sSvqeuZQk3PNGpoIbV8Xj84g0YCRFTD4JSIMKUSQN43FuBtbR72K7Kxk5+MTULkSXYC&#10;LYRRJjGcZ9HgL/0QH/SFeqE7mCYS4IIGH3tUe8ggUupsiUIHE+TYGiDDUo8QoYmI20ISEE4KNBEa&#10;iBMNxIUxxlWJIFFmqSjAnTbiyV+8Ny3Di+V+TwWud1Wk+2A4qtyBnfIdWCrehon8LejflIfmtZu4&#10;d/EyrjKyHPtf/4kj//GtFFtuXleAsvJDPHokmqW0DGMbaRaphhi21beQIKJHgGjrmcLYzEYahrWn&#10;Mlra0TCsnWFp4yoZh6W16HeI/oc7bAkJEV2sCRBzcyfYMso4O/vCxcUXjo7iIjoXbj0QHRSJ+uQs&#10;9KdkYTA5HUOEx6gYvo1PwlRENKa9A7Do6o01N09s0kR2Pf3wNCIKW8zyK5npWJbgUYi9tmppmvi7&#10;ebHIcKd0p/xfnw7hN8Ljj7dTjCYLEjj+5/OTf00Ck4Zlf+Tjn57g/xAa//uzMI9Nqf5bjL6I936Q&#10;9TuEmQhwiAll0pYRRkww+/3NkgSRXw8W8BOjzHuaiKjvn9NO9udoKnydYPmBz8UqZD8RJD+/mCNE&#10;pqTVyN4t9xMa3Xi/OijFnVeLjDbTbYwvXdiZ6sIm4fKCsUXcMOrV6iTBMYVnc2OEyRh2RgewUl+P&#10;hbIKzFZVYrqyFPM1ZZivryRUSjGelo7+sGgMRsRhKC4Z/fydDiYm8yQWgkoHJzT5+KArMhQNft4o&#10;trVClpkxMhztEOVEM6CBOJsYI8DWBn4WNAm+F0iQxLu7IC+I0A/xQUV0EI3FF3mh3jwJBCAt3BcR&#10;/h4I8HYlOJzh7mwDZwczONFEHGyN4WijB28XGoifNYK8reFqT1Dx33mgfBe3b8rhnpI8dNWV4e6g&#10;h4gAa0QH2iMx2BXx/q4Ic3FAkJ09Qh2dEU14xHj5ItDZA+7cl/yCYhCZmI3EvApkV7Ugs6pVGnGJ&#10;KyJICA8x8zRVzPkgOHJqe5BXR3g09qO4aYDQEH2PIQJkBFUdw1LV9Yx/gcY0jWIWzQSAmKouZpqK&#10;CCIiSwfh0T2xgN6pJXRPLqGdr4k5Ic0DU/xamkfXBKoJkdr+GQkgXyFSP8gtI803nzoq8EMHLaSl&#10;BO8binBQlYtnxWnYLUjBZm4io0wsFlL+HWXGYgKkkZmBcG/GGQ+0izjj54g6LztUutkQIhYocjJG&#10;vr0RMq30kWisjQjtR/B7qAI3RhdngkQqRXk4KzHSECKuygpwI0Q8CBE3xhRnQsNRWQl2NA5rpdvS&#10;rFIDwkdMDFO7eh0qFy7hytHjEjwO/8ffcfr4GdwQC//cvgeVu2rSJfiiaarDaGJoYg9dfStp1EXf&#10;0IZwcCE43OHAP5qLOyFAfbTjY3tnLwkUwkJEjBHNUzGsKyaMiT6HvQNBYyXeo4XYe8LJ2YcG4iEN&#10;4Xp5BSAxJAYNcTwjJmViKCUDwwTImLhojqo9ExSKeXH/Fm8/bPuy/Pyxw9d2Y2l51O8FQmStJA/i&#10;Fgj7Yor4bCfP4t34uNyNH5704hcCREwU++eHOfwPY8v/ECAirvw3wfE/v2wQJE/4nI8ZU2TGITMQ&#10;sRXAEAD5H9E8Fc1V0TT9KEZpFvE74fF1tOYzgfAj4SAAIoxDxJmPO+PSVkDjMyEizERARMDkZ37m&#10;xxez+Cxgws+8+3+5+s/3xrLszBfMv+H2o+m+re6RdFvqUUsqlTeZVWkqMyLD+wh677333oEASIIE&#10;AYIE6L333nvvPRkMho/IrKzSaLrvM9/feddGREk9H9ZzDoADMAI453fed+21117uwdliFy6lgnVz&#10;mJDoo9roJjRoXxaoPBYGcbg4zJDq03EqkkGs9Xdia6gHm31dCiBLtipMl5djwlKKhepyTJlKMF6g&#10;x0RuPgaT0mmjs3j+5aCbsG6NjkdtSBgq/P3REB+NlpR41EeGo8jRAUlXv0Gu0xMURYQg1d8bSR7u&#10;yPX1Q6anF5KcnBFyh1D59ltEPqRaDvaFhWqkNCkSxUkRKOWNMo8AiQrypvJwITAc8fjBLVy/+jnu&#10;3foaro53GDfh4XyD4LiDQO8H8Ha7j0f3bhAgn+G3PFevUHU/uXsV4f6ShHVFCu2+fGZWZCAS/X0Q&#10;7+3DbQBS+e9PDo1EJM/D4NA4xGXokK4zIafYBr2VAKlsomVpRHZZI+Eh9R+Nag6MrrKdAOlUACkl&#10;PMyNAzDX96G0zj6MW9Ux8md4NNCGCDyaJHjRCxwEIDK6IrkMidaRaXQQIu1UHwIWGdqtJ2hEtYh9&#10;sXUSJNza4TGNGn6mAERGYz65aC3HJeN5swWXDWZc1JaoYV3p9r1JiKwVZmOBXlFUyERGrEqqjqbR&#10;ztAn9iYEo+sDRBoIEcmJVPg5wuzzGCZGsccjKpF7yH54Cyl3riHm268Q8sWnVB8CD8ZnBAlDQeR3&#10;v2F8Snh8Cs/PfgM3gsPpN1Ka/gvc+dlPce0nP8FXP/pn/Orv/jv+x1/+F/z1X/xHZVv+9q//Fj/+&#10;0c8Jj8/t7QapPmS2rMDjzj1XNary6IkP4eGuHku9hwethCdVgDtthIcv7YmHr1IhjlQhYmXkPZI4&#10;FaB4UzX4BYTDm/JSKRF3qQEJhqd3MNw8/FT9R0hoFDIjE1CbmE0fLsO3GgzSuowSIFPJ/O5Cw7AY&#10;HIzNiDBsRRMeCXHYTkvFGgGykJZBq5ivhm53ZK3ZniqcjApEWvFingBZ7cX7fak0ldXjZgiAeSoJ&#10;CZnTIkViS2oY9v+j8h1b+L/fbipwKNUh8CA0/hfhIQlVWfNFQkZqBCBSOPbDU7EmswoEApGPVkWW&#10;bpCkqgBEgeVsjsHXqFT+8JTAOZ3Hm2O+T1TJrkyM66QtaccFAfJ8ZwxPtydwvj2Ji50p7k/jeG0C&#10;uwvD2CVEdhdGsDLQgfmmOqx1tGClrRlzNdVYrSFEqqowV2nDktWKUX6P/VRvw1LZSxs4lJaDgfh0&#10;NPuHozFMKqVj0BQXg46MFLSnJaMlMR7WoCCecw4wUH1USiFZUizMkRGwhkWgglEaEoIMFyqHe/eQ&#10;7u6KovBgmBOjYE7lcRmSA4lHZjSti7czvNwc4PzkPh7cvobr33yB29e+hMPD63B5chPuTrfgToj4&#10;eNyFP2+YHq738PjeVTy8cxWOvGl60cqH8loI9nqEON5cNYkRyIkJoerwR6KvP1KCwpASFoW4sGhE&#10;RcQhOikbSZpSZBVZkVdSBV15HfLLaVkqGlXSNLei1T55jgAR+1Jc20P10YMyyXe0DhMig4x+VNDC&#10;SK1GjRpuHVd5C6VCaGM+1ngIQOwQke0EWoZpZUZnlfpQCoSvNVCBNIhdIXjqeqf5OVP8PIKDj/8M&#10;EB7zyXmTBRfN5bhoLMPTOiOe1hbjtJoqpFyLLWMu1g1SXJaC2ZwkTGcnYJJKZDxD7Ewkf9xQdAtA&#10;ogiQMC/eETxUTkRGZyz88kq9n8Dg/hB6lRe5i0x+sQlUIxHffI7Az38N709/Bq9f/4zbXxIkv4E3&#10;FYcHweHym1/CkTbnwS9+hls//Qmu/vif8fk//CN++qE47L/+h7/AX/3H/6y6pKvZtD//TCVNv/jy&#10;Gq5cvY9vr0mB2BMCw40Wxp0wcVHwcHD6UMshpehUIW5e/vAOCCVEguDo6oOHjp6qRuSuDOtSuTxy&#10;9FLHunpSiYjdITQ8vEPg5RcOLwLFg89JIjUkOAp5UYloTM5Cj4zCEB5DhMcEZfZUXAJmZL5LWCjW&#10;CY/NhBjspiYTIGlYTc/AGn38dmkx9nnH3W4ox2ZrBfb6anA+1ozns7KSXA/ebA/h+0MpVZ+CrFn7&#10;L7z4ZelJWYbhj6qv6SKBsaZyHf+LIXkQVf9xKUO6ywog//piiVZF2hcyzj/EGa3J8aQCwKvdUbwj&#10;KN4fSZNlfu7TD3UhR6I+pgkOAkSCEFF2RwBzPEW4jONySxaA6qDq6MKLnVEqlmlc7k/j2cEMLo/m&#10;cEaIHKyO4WBlXE3b318cx3J3KybKLViSqf7dnVhrbcJKXQ0WKyqwQIDMWcoxnJGD/oQ0jMg2LQvd&#10;yRlojYxHNVVjQ0Q02uIT0Zksi5KloSsjlftJaIqORlVAEKpDQtGcmoTG9GRUEuBVtAt1MTGwEiZF&#10;fj4opIUpiw6HKYrWhUpFGx4EfXw4DARJWmQAgryc4ePuRLviQMXxgArjOgHxLVwei/q4B0/X+wTI&#10;bb5+G/5e9xHk8wjetDaefM7T6S7cntzi9g783R8gKdwb2uRI5MWGI1UAQvWREhqBpNBoxITFIpb/&#10;R0mcphVYkGOwQWOsgp7w0BEeBbZWBQwdI9/ahjxCpJD7JYRHqcy2larTthHGGGzKbkih14gKqduo&#10;7iFMukdQy8cf6z5EhYgCaR2eVvCQrYCjbWRWRRNfkxGXeh5XQxtTI+pDKRBCpG9GAaSmT+wMAXLa&#10;UIbzRkKEIDmrNSp4nDFkRGbLmE2AZGJZn6aszEJ+KmbzkjCZJcO7MVQh4eihb+yICURzpEDEmxDx&#10;RGUQlQghYvZ5AiMJLHamiF+kll981iOqkXtUI9d/j6AvCQ3aGC8Cw+s3v/4zPBxocR7+/KeEx49p&#10;WX5k75D+13+Dv/mP/wl/+R/+H/ivVB7/nbblZ2Jbfvk7/Irx619/RfsiHcQe4uq1x2oui4DgwROZ&#10;TesGGZp1cJIq0iB7+TmBIfbELzAC3v4RBEWAUh0PefwdWp3HtDLu3qFwoep4QmXi4hkEn4BIRgR8&#10;+R5fqhJ/7oeGxCIuIglF9OjN6enozc7BIE/4kcxsTFJdTFKizgYGYS06ElvJCdhNT8VmYhKWaWFW&#10;qEA2CguxXW7CbmU5tirLsFZThu0Wq+q9cdZfj3MqkVcb/Xi3N6Jm1v7pdAY/8IJ+vy+l61OQvqb/&#10;+lLmuizhj2od2yVlXwQoSplQefxPpUb4uiyW/QEgsmjUHxjfHU7ijYy0ECLPZch2awjf8fP/qJSJ&#10;2JYJe0tDwuT9iSRcpRs7nz+YUO95sTmgakVOqECerveqDu2SH3lxMIVn+xO42Jug+qB1WRrE8fKY&#10;6v2xNzOKpdZmTJWasV5XT9vWj53ONsxbLZguNmDBYsEsXxvKysVgWja/yzz0Eh6dcSnojE1GB7/r&#10;3tRM9KZlojMlDa0JCWiNj0VrbCwaaAvqaEnrA0LQkpCIGkLD7OIBq6sX6iIjUR4eihJexGWRtD9x&#10;UTCGBaMwNAh5oQHICKXNiQhGtK8HPB7fhdODm3B1IBRcHxAit+HhdBvePIfdHt+G44PrcH58g8C4&#10;BR9CJNDzPnxc7sDd4SZf5/se3YQPj40McEUGr4982qPcmDCkBfohOYgAoY2ND4lEbHg8ktLzkK43&#10;Iqu4ArklNmjN1SiwCjxa1DCtXkZbKiXvwajqoProhrGhByYFkCHCYxjW9lFajTFUtA+hvI2qhGGV&#10;6lFRIgTIxwIyBQ8qDEmUtlN1tI8SHNxKtNPGtNHGNA1NUX1QgVCh1BEW1d2T6rNtXWJlPiZUpZR9&#10;HJ+c0LacUn08a6lQKuSsxkCIFOCwQoO9slzsmHKxWZyNDUMOYZKj5svMqCrVOPvQboKokGB0xIqV&#10;8UeLjM6QuGJnrAHOVCIOCiSl3g4o8XJAodsjaGhrpAw+8fYVREmzY0myfvYruFF1OP7qZ3Z4/OTH&#10;+OZHP8Jnf/8PKln6N7Qs//n/+Av85V/8n/jbv/pv+PE//gSf0rZ8+fkVZV2++OIa7cs9guOJmk0r&#10;0BAIPHKkfRGAPPSAo7PYjxBV/CXwkCSqKAmByqMPhWMOzv7qWNl6+0XCjYrjoQMtjYs/lUcE/IKi&#10;EBASpfIn/gRKWEg8YkLjURQjS1FkUH1oaF3yMSml61FxmPQPwkJoCNYT47CXnY59Qmad/n0hJh7L&#10;WdlY0WqxVqDDlqEQm9yuF2qxYyzAcRlBTqhfTrXg9UYf3u4MUoVM0MrM4Dve9aXN4A+8wP9EgEgB&#10;mcxn+YOoE4LEnkDdVDbGXhNCq0OVIvAQ1fIvUgMiS1XK5xAg3wuQZIEofqZ0IxNwiL35jseotXAJ&#10;kfcnU7Q0hAaPebE9rBabekHgPFvvwxnhIQA5W+vBJV97sTuBl/tTuCQ8TtaHqTj6cTBHSEzKOreM&#10;kT4sNzVhyVSB9Zo67HZ1YrWuFmOS79DpsET1IWvpCIh7E9N4k0pBW3gsIw7dMcnoI0wG+P32JKfb&#10;cyGBVCTBYWiPjEEDwVHp4o0qV1808gK1ePtD/9ABNi8/1EdGwUobaQoNhik8BMWhgdD6exMggSiK&#10;jUBaiB8iPF3g6/AQbg/vwO3RbbgQBO4Ot6gu7lKVPEIoz2E/5wdwvn+NKuMGAj1oVbweqKKxINqY&#10;ILEu7k8QRQUT5+dOpeGHnNhg5FPd5EaFIj04EOlUR0nB4YgKIkBiU5GaV4QsgwW5RhtySqzQlFah&#10;QNRHZRvBQYDIiEtNtyocUyMv0vOjoRempj5YWgZVCEis7cMECPfbaGXaB6hChmk9ZATGDg4pGLPX&#10;etjrPSR5KhD5qDw+Riujhcc1U5k0DMwQIjMEESHSNa5yIQIQmQdT2U2AnPIkPSE4LttseMm4bDTh&#10;ot6Ak0odjqxahg67Zg0OKgpxUmXEtkmLRV06pnMS7FYmNVJVqvYnh6k6ke64ILQTJE0R3qgP80RN&#10;iDsqA6VexBVlvs4weTui2PMRdPyycx1uI+PRDSRRGkZe/wq+X/yGAPkp7vz0n3HlR/+E3/z3v8c/&#10;/Je/xl8RGn/5f1B50Lb87d9IhelP8Iuf/Qq//qUs7vR7NWwrjY+/+voWrnwrrQYdCQ5POLtTPVBV&#10;3KaiuHnXBQ8eexEcwUo9SCGYp49YkmBVJCZl6x5eYXBxC8JjR1+VRPX0DqMKCSE8xPYEcl+SruEI&#10;iYhHKMOPCsSbQAoggPThMejkST2UzYsgU4dZntwzIRFY8AvCKu3LZnI8dgmQXQJkIyEFK8m0MNm0&#10;iLQ52xlZ2KFi2c7KwqE2D2fFOjytMOA5rcxrXpiv1mljdvrxw8kE/uV8Bn8UcFAhqEWwCY5/fSV1&#10;H/++/mMN//fbDZU0lZEWeV4AIvmPj4tly7yXl1QeMoQrdsWeC5HRFiqTDxbnuzMqFFEpH0Dycpdw&#10;oJ16sdmPl9uDarGpFwTbU/77Tla6cLTUiXNZG3dbOrvL8pezON0Yo/oYwt5UD21LI2ali1hnK5ap&#10;PBZlgXFzOebrCQ9jCXr5PYwXFKk8yJTZhF4CticlAz1J6VQfSWiJiEVjcCRtDGFCOLfwO28KilCK&#10;o8U/DF3B0WjhDaHOPQC1VI71PiGo4k2inBCppmWoDA2HOSAAJioQAy2MLHeqld68MhqTEIWUAG/4&#10;PLwH3ycPEeHjgSi+FuHrwn1HRPk6ItbPCfFUFDH+rgTGE4R5P1ZzZhKDnAiLJ4jljTKe53eSrxvS&#10;/L2QHuCDTCobTVw4dPFRyKH6SQ8OQQbPi4RAAoRAjE3LQ7K2BNlUHznGSm6thEgldOWNhEWHHRpU&#10;HIa6HoKkg3amHcX13SpKqELMLQMoI0DKpHCM6sPWOYhKqT7tHLIrj17aFqn5oKqwQ2MePZOL6J1a&#10;Qtf4vN3GyIgMX+uQYVyGJFMFNFJQ1ihJ0x6qEAWNyQ8KxJ5QFSvzyUmzBact5XjaalW5kGdNJlw2&#10;GXFeU4jTKj2ObXraGR2VSSnO68uwby3EekmOKnX/CJHR9GiMpEdhKNVe9t4TL4okgHcHPzRG+KAu&#10;1Iu2xp22xpkQ+ahIHqOI9NbSN+Y43UKaNFi58w38vv4MD37xY/xOVv36T/8n/oqW5S//w38iPP6L&#10;Gm355x/9VNV6/OoXn+HXv/odfvvbr/CFqJDPr+KLL7+lfbmL2/ccVM3HYycf3HvkgVv3pB2hK57w&#10;sQDDhxD4N4iEUolw6x2OQKqJIKoJH39aFYavfxTcPUMJGMLEV6xLDPx5kobSh4fwx/fxC4MHXwsm&#10;ZIzRCejLyMNoTiGmMrSYj0nECu+K0lV9gyfOFiX2bgbhIXmPlHSs8S66zAtD5r/spmdhm3ZmNycL&#10;z0oK8cJSzN+gDK/n2/B+bxDf7dFWHI7QckgehCrkfFpBQIZm1TAttyphKqMtH0Zg/pcUj4mNIUT+&#10;lTbGXtK+jH+VCtWXVCaXSwoakieR5wUyf6A6+Y6A+p7b99y+J0DkOSk4ExUizZZFech6um/2hvmc&#10;KBZZQ2YQp6vdOCZEzmm3LjaHcElwPF2fwOn6OOEyht2JHiy112FJOrV3tGK+3IrJTC2mSwiRhhpM&#10;mksxpMnHhKlU1YKM28rQkZeN7pwc9OXSwhC0TXEJsFHRNRAEreFRaA+LQhsBUu8ZiCZCvNUzBM0e&#10;wWgP5PNhcagjTKo8AlBNtVjF442+BIe7B88/HxS4uiDPyQHFtBSSBymOCkcGL/iAxw8R5PAYiYG+&#10;SAsPQHqYL9J5/maEelI5uFOlMLifEurB1z2QHk6VEeyM5AABB4MASfF2QYqXK9L8vJAVFoRcqhtN&#10;TDSyaK9Sg6g+eO7FUr1GUX3E5hQgId+ITIMNuaU1yCY8cqlAZBSmmPAQu1JU24VC7usJj8KaDgUO&#10;AYihrgtG2hiTlK63DaKC4BCAVKuydcJDch6Ex8dCMQGI1Hl8BIgM3SqAUJkINLomFgmVBXRyv2OY&#10;xxMgTQIQQsMOkKkPMaHgUTc4g0+OBSCtFTghPESJPGs241kjAVJbRCtTiCObDodWPU5rSnBaa8RB&#10;ZRG2qEhWizIJEXtOZDo3ARNZcQokklztjQ9BlygR2prmKH9CxFclWCsDXAgRR5RLiLUhtUu8H6LA&#10;4x409JGZ9I8JD6Sb+pe4+9N/wk//8j/hv/2H/4C/+Y9/ib/7q7+lbfkpbYusR/sVPvv0SxVfffVh&#10;UesbVB53HuGBTLl/6IoHj9wgE+RuCzxoYRxpQUR9yCQ4KUEPDIkmRCLUcy7SFJknnn9QDILD4vm8&#10;HSCePuFKmTiKOuG+QMSb8Ange+X9Pr5h8OXzCXyPNTEV/fTqY1l6TCdmYj40EquBQViXSXPhYdiJ&#10;pYWhX19nrCSkYjkyAUvRiVQdOdjPpU1MT8W+Lhcvyo14U2XC+94a/LDRiz+djONPhMb30p7waISW&#10;Y1it4aISpzJUyxA4SPzvtR8yErOm4GHft9sZif/5mu9jCFzk8cf3/5Gf+f0lrdDzBXwnrQ2l1J2g&#10;EsiIChEF8ox2ShTIawJEFpt6LevIHEjp+wCebvXjGSFzvjGAo8U+1RzoaHmYABnF1mgnltrqsNHR&#10;gt2eLqxWVmNOZ8Ci1Yr1zmasNdZh2mzGCAEiFamTVeXoL9JhQK/FEG3NgEaDTkK2hd9jR3wCFUk8&#10;OmhZOkKj0USlUU/V0cDfscUnDJ3h8Wgh0Cu8A2Bx9kYdL9iq4AgUe/ii2JkAcfFC7u0HyLx9DyW+&#10;vjBQkegD/KANCkCytyfi3Hnx09rkhAUwZFavF3IkqKgzQqguGBnhnsiMEKi4IZXnc6qPA8HhwPc7&#10;cd8Fqd6uVCAESHgQcqIjkE37lB4s8AilkglHJM+1yKRsxOYVIz7fhLQi2hdjLbKKK6lAaGEIkJLa&#10;TpTQrhgIEFEgBu5/VB8Cj48AERVSTvVhlZ6nojz+3aQ5Gbr9aF0+hr3q1B4f7czHUAVlfwaIfS5M&#10;DeHxUYEIQGpkZIbP1/P1T87arDhrt+GIVua40YynVCBP64txXmfA07pi2hb68coCnFQX4biqCIe2&#10;QuyUabFBFbJSmIH5/BQVokZkiHckNYoqJBy9CZSUjPa4YP6Y/mgQOxPkSog409K4MJxhZZQHOsLs&#10;/wTFBInW7R7VyF2kPr6BsBtf4fGvf4LP/vZv1CpxP/77H+HTX/0Wn//u9/jtZ1/h0998oYZuv/zi&#10;Cm4RHg8fOMHB0R1OTl54SIDcueukytEfO3hTefgSEsFKaYgCEfUhFiSMF7FvQJSyLh5iT3zD7SMs&#10;KiKUZXGmpRH7IltnnqAevKsF8qQNCo1BoKgRqpbU8ETUUE3I0O1Eag6mw2Iw7x+AlcAArIdRgURF&#10;YjMmFpvxSVihFJ+jn18Ii8U2VcixRovDnGwcZmfgqYnqo9aCt21V+GG2E3/iBfrHs0mlOH44n+JF&#10;PI63BIg0SlZzXT4ARIZwRXH8f7/bUurDXjAm6mRN7Uvdh1ibj4VkMlrzP99sEEIrhIMARBTKKv5I&#10;mPzx5aKKH17Q1ojt4edITxEpeb+kbXm63oeXhMSbg7E/50feMJ7vjih4KIDQxhwu9mJ/oZfKRAAy&#10;jLXhVixI39S+DuwN9mK7pQUbtCqrjTXY6GrGRmsjpivKMUIlMi3zXcqM6M/XYEirxXhhIUZ1evRQ&#10;vXWlpGAgQ+bBJFGFRKONv0VbcBQaxLrwt20NikZPbApaYxNh9Q2CxcUbNXze5hkEw0N3FNLKFt11&#10;Ru61+9Dc4w3My1etlpjl7ISCAH/kEya5hEl+SAB0VCD5oXw9yBPZQYROmDcyP6iQ9DCqj1A3QsEV&#10;qVQeaYRHho8zMmhvsgLdkcXjM0N8kRURTIBEIjM8guojnACJpO2JRWRUKqLSdUjQlSFJV4G0QlEe&#10;dVQg1QRJNYoqW2Bu7EEp1YaMuHwEiKiP0qY+tf1oYVSICuG2UrqudwpAZMRlggCZ+nP+QxKnMkXf&#10;DhJ7BarkQcTWCDz+DS52CyNzXRplLgyB8REg1TKkS1VSz+cbh+bxyUVXFc47K3FCG3PSaMJpA9VH&#10;QwkuqEIuuH9SI+AowFmtgVGsICL9Q6QJ0YpM/delqZjPTyZE4un/4zCSFkM7E41+wqSblqY9TkZp&#10;fAgRD9Txy68NdkdNsJua1WujfxSIlAU8ocR8jAL3+8hzvIUssTR3r8Ltq9/im5/+BL/555/ht7Qs&#10;n31qB8dvCJDPPvsSv//qW9y+9QCPH7vA0dEDT564M2Trxee84CjwIAAktyG5DunjIcojKDSWNiQe&#10;AcGxVBtR8AmIhh9PPh//CAUQH4LFm8+L8nAjeNwIGVdJwPJEDeLFHywREovQ4DikBcejKSkTY1Qg&#10;kzx5Z+nJV3x9qED8sBYajK2oaGzGJWJDZt0SNEvxyViOS6EiycQRff9JbjYu9Pm4rDThVVct3o21&#10;4bt1Wd9WmgVJjmIGsoLcvzyb4f6U2lc5j9dUDlLzoWyLPXEqBWMqzyGweGGfNCdVp3aASE5EJtuJ&#10;3aFyeUkV8kJUypqCxB+oPqRPiADk+8s5AmTB3gqA75HciCxt+XxnmOCQpOq0ChmVeXM0iRd7Y4TH&#10;MFXIAKHRS2gwVvtxtj6I46UBbI93YGOoDTtjvdgYpAJpa8RaUy1mayswVW3BgjQJspVjtsqGpbpq&#10;tZSDqI8BrQajhXoMEiYNcXFooBXozUxHT1oaFW4cWmhjmkKiUE+F0RAahQ5+r1L23hIRh1paF5tX&#10;ACrcaFMeEB5XH6HouiNK73vCyJtLMc+XEm8/6Dy9oPP2phIhNPz9UBAcCEN4CIqoHjTB3kj3dUVm&#10;gCc04b7IoyXPjfKl+vBGKuGRHuTC11yQ7eeKbH93ZPO43BBRLz7IiQxEXnQYciMjlPpI5r8nUQAS&#10;noTolDzE5pZQeVQhw1BNC1ONPJltS3jkmWpQUt2uytEtzX0wNRIY9b3KynwEiKiPIlEofFxMwEhi&#10;VVoYVnUMEyAjqGXU02o09Nqn6quRF6VEpv+sPD5aG8mFCEjs5ez2EKBIbqSZKqO+f0aNxEj+QwBi&#10;rwOZUhD55CnVx2m7VQHklL77jOA4qy/BudoKMKhAGOdUIxcNpcqbn9eWYr+8gCokF0t6XhC6VAIk&#10;ETO5sZjKjsV4ZgwhEoWh9Cj0JofzR6U/jfZDU6Q37YyXKjqTGb31JHhdiKsCiTWIaoTqxOTrhEKP&#10;R8h3vYts51tIeHQN/le/wMNf/Qpf/+I3+A0h8utff4HPv7iKq9du4/bth7h3X5oEuagepa5uvvAk&#10;JNwoaR8/9qSdERUiE+L87IlS71A1HCuwUBEYA7+AGPhzK8+rOg9aE9nKCIwnVYk3rYsXLY2zj9SM&#10;hFN5xCr14R8YiQBCJjuckjotG+NUFJPSJNnJHWtuHlj181X2ZSsmDpu0OOtpWbQqOdhIz8ZKEu1M&#10;Em1LWiZOKM+flZXgVUct3kx14c1SH97xjv7D6ST+QOvy3ekYlcIMwTBLeEzb918SCq9EWQgQFggB&#10;QoEqQnIbMrP2j+eSZLXPdxEFoiyKWJHzWQJF6kOoXF5t8P2rCjSiRAQ2f5JcyPN5vKXqkTyIVKvK&#10;rN130mzoaIqKg9A4neXjGVoYGW0RBSKLbE+qiXdntDdHkg8RiKz2cSvRjwOxNLO92JnoxkpvExY7&#10;61Ubw8kKI4YNWsLDRHDYsEqorDZWY6bChAlzMSbLijFaUoCe/Gy0plFZpKbwu05FY1QUqv1ojwND&#10;0BwUgRp+7zXcthPgjbw5VHgFoop2ocovGOU8L0y0svprj6C77QSToy/KXf1hpDoRgJhDQlAaRGj4&#10;ESYEiSiRguAANTqTTxWRKXAI8EBemC80kf7QxAYgM8obyTxvUwPtiiOHdiWbtic7kOAI9UdORADy&#10;YkKhiYsgSMJV8jSB/54owi4yLh2x2YVI1lkIjDrkmhqQU1qrForSmGuhlZXmatshU/LLaFFKCY9i&#10;AUh9F4pFlRAUBtqYorpOBQ9DHV9nSFFZFcEhCqS6Q4ZupVnQpOr3IQBRuQ6CQ4Ah0SEKhADpnVhE&#10;7+QiegQko2JpRKVILxApNpNp+3YbY69GFQsj82Cm0KAAQgtz2lYByYWcMc6pQj4C5JwAOaJ9EdVx&#10;WiO2xoiXLVZcNpbj0FqkVMiSXtRHIqazYzCdFYWZnBhMZsVgNC0Sw4zBlAh0xVNaxvihkQCpJ0Bk&#10;Jq+UvzeFuaOJEKmnj6whzSulkpU/htnfBQbvx9C536W8vIWkB98i5MqXqrHztc9+iy9+9zV+/80d&#10;tSL+3TuPCQh32osAKoQgqodQ+FJByJyV+7Qy0mFdCsoe0cpIMyA3T4GCqAyJSLX1p6QMDktQ4JC5&#10;L5ID8SAs5DMFKkEEhgzputBfe/oSPgROSFiiek8gAaKPSuL/MxsTssaLkweWHztjiz57JzAUuzHx&#10;2KB1WSUw1jIID9qc9YxcLKdm8HEWDvV6nFG2XzRU4vVoO96vDeHd9jC+PxjFH4/tyzR8f0IrczGB&#10;P0i7whM+rxaGmmHIui5UJdJ97Jmsc/thTZd9QudYis7speqSL1F1ItyXhKj0//h/PydslIUhZGQu&#10;jKrzmMZ3T2fxHT9LAPLudEolUkV9iIWRatT3jHeMN8e0NDujuNiSXMgkH0/h5aFUoA7gZL0Xxys9&#10;OFpmrBAo/D8drQypnMgG/4/LPQ1Y7WvGZl8rFuustC60LVYTZqg6FmtsqvP6WHEhpgiPxZpyvmZE&#10;b2EeenS56C/UojUzDSW+3tA7OqA2KIRWJkapjRoCvS2acKEyrKJtqfYJRhkhYX7E88rRC0YJZx9Y&#10;eG6Ynfj+h07Qu7jDQoAYfLyhoZXRU40UEkx6wqQwKAD6ED/k+nsiy9cNmVQYeeF+BIM/MiI8kBbq&#10;rpKrYldyBRxBPDaEqoO2RRMTBl1iFPLiopBFgKSFhCIuOJzWJR7RaXlI0ZtUviNPJsiVN6l1Xgoq&#10;mtSCUfryOphlmcomQoHqQ8rVS5sGUELlYWSY2wZhJFwEIgKQkno+39BPG0MLQwVSTYCowjGqj4b+&#10;j1WnUjD2b/NeJJHaTWDI2i+9fCxhB4iok38DiBSVNQ7KUC6VB9VHXb/durSMLKBtdBGfPKN9Ofug&#10;QM5aLHjaXIaLJpMajXlKCyMAObIVEiIGnFSLtbHwZC/j8wbsyMzd4iwsF6RiQZuAOU0c5jXxmM2N&#10;t0NERmYIkJ6EEN4ZAtAc7YsmhmyVEiE4GiX4Q9RxKz1GpAjNGuiCMn9HlPg85A96jxC5rRYijrj+&#10;Nby+/hKPvvoaN76+gZvXHuDeHUdaF2914YtikEIvAYGDk4+aiXvjtiPuPZCeptLbVErUfdXwrpt0&#10;FaOqELviGxilYCDgkPf6U5koiMjn0dIEBscoFaJGYpTliUZgaAJCo5IRGhiNkugkDMenYoL2ZsrB&#10;DUtOblhx88KabyDWI2OwkpiMVQJjPTNXLWc5S5jMUpGs5uRhl/A4aqzCSU+9WmPl7eYw3u4OMQbw&#10;3QHhcSTd1alGzmRpBnv3dVnvRRKrf+JFLpbmD2eydq0EL/gj+zIO39FW/EHZjCk1PCv1H1KJal+B&#10;bs4+ZMuLXorJ5H2yHu6zzUFlT5Ti4Ouvj8apLMYJEoLl3A6O17QsrwVSVCOXOyM425Dk6SBe7I8y&#10;RnCxPUjb0qcszPFyLw5XBnAg8FigjaG62hxrV8s1rPe3YKu/DRtdTVhqrcOEzYJRgwFz5bQxFu4X&#10;FmC6zEjAVNDmlGGorBD9pgIMmQ1ooxqxRIejlCpBbE1zTALKfYJQ6R9O65KEBv5mNgLCyrC5+8Ei&#10;CoTWtoTW1ujog1KeL0buFz1yRQl/pzL/QBS6e0Dn4sYbly+KZbSGECmipdH6eSPPx0O11ox9cg8Z&#10;hIgmyh/ZvBnm0MrkRPgSGj7QhPgjLySANicY+VGh0MdHQp8UjdzYSKRHhCMpNByxBF1cUgaSNAZk&#10;Sb2HqY7AaERhZQv0hIe+vFEBpKCiXgGkQnUWIxgIjzIpV28ZgqmF+wSI5D1KqE5UYrWOgGkchInH&#10;VbQPq/aD9u7qUrY+9QEgH4rHaE0+KhABSBdti6z9ItE9ZrcyolIEIDL028T3NA7NqHqQhoFZPhZw&#10;LKFrYoWfsYxPnksOhDZGAaS1HBdt5XjWUkaVUYpntCxSWHZoLcB+RQEOrIU4qTHilBZGACKrxG+V&#10;5tLKZGKlKBWL+iQsUI3MaxKoRmLVxDtVIyL1IYnB6IgPRHtCINripaeID5rCPdEcZo+GEEKEAJFE&#10;q5TD22hpLIEOMPoSIh73keN0B6kPbiLu5jdUI5/D5fe0NdfvUIE4QfXtkGn17v5KOUixmPQxlZm4&#10;8ppMzVejMfed+ViqTGl1KHG9ZSiXJ5vYGl+CwJ445fslvGTEJoIWR4rGCBaVZKVaIWj8QuIRQICE&#10;RSYigXK5Oi4VYzw5Zl39sMR/x5KnD5a8fLHkE4DFsEgsxiVQgaRjMy0Hq1QfM9yfJnCWsvOwUWHG&#10;QU8jjkdb8XS2C2+3hvBmux+vd3rx/bEkTBlHQ6rzuiwW9f0RYSK5keMJtf3+iCpFbcf5+hje80J+&#10;uyMQGsFbWoo33L47EKCM4d3hCKEx+udk7OvdQR7H7dYAnslSlrQbb/ZkCUyxJBN4RjBcMF5LOTut&#10;zxuqlFcCG8Lq1YfEqQzbnqz1ECR9OKd9Oaf6OJXKVALkSCbULQtARrC/IAqkH7vTPVgfasVyL1VI&#10;byPWemhn2uowU2NfeW7eZsNseQUmSo20NyZMVZsxTYBM1pgxaivFkKUELfk5qEpNRF16MtqyM9GU&#10;nIrK0GjUhcZR0caj2jMQVgcPVHv4U92Gw+LhiwIqVe31B9DcpLK974LCR+7QPaLSdaNC8QuCgb9X&#10;IX83g5cf1YgfiggRnY8Pct3dkO3mgkxXJ2QwcmVtonDamGh/5McSGoSJJpygod3RiOWJCoGOtkWf&#10;EEX7EkWrE4Gk8HBEh0QgMjIBiZlaZEjRmKmKlqUORTJcW92iKk91tDCyYHaRrdG+JCVBIbNrpc6j&#10;vG1Ehar7aLUDpJTqRKyNAKSkvh/GRgKE1qWqW6pPZQj33817keBjyYMIICT3ofId3HbLei9jBAgh&#10;8m/5EPvcmGYZypXRGIlhKo/hBXSMyRDwMlXMChUI4SEAOZPFgj4A5HmrhVaF8WGC3TFhIfA4riym&#10;CjFSjRTjsLIQexU6bJsJEGMmlgtTqEISqULiMZcXj6nMGAwnh2MwMQwDUmTG6E0NQzejPTEQLTFU&#10;I1QhLbQzLbQzjQSIKJJaQqRaIMKtLdhZJVdLvB+owrM8qWB9dAOJd75E+PXP4X3jWzjco4V57KGW&#10;V3Cl5VBKhCEd1h88dqf6cMPtO864ecuBVsaZUHFWlkeVsnsFEBbBcPUMVvCQhKmoEhm+fcw7lQzv&#10;CjTEvnj7EC5yHGEiAJGakfCwWN6NEtGRkIpRevBZFx9s0HOvh4ZhIywCmxFUH7Qwquo0JgmbyVnY&#10;zpHmQVosEyRLeVRwlVRzQy24mO3By+V+fLdDC7PTj/cHg1QdUugli1sP4v0eVcnOAPdFlYi1kZXj&#10;qBh2pE6EYBDVQhC8XOvF5Uo3Xqz34xUVhSwO9XZ7iJDoxwtZEmKPn00wvd6XStJevOCF/1zgITNp&#10;aTlerA3gcp1AkaC6eCFLXBIgbwQqhMdrqpFXx5O45N98xs+9ZJzzM475Nw8XO1Qx2Qn3T0R9SAXq&#10;4gAOl6QadQj7cwNKgSz01mOpvwErA42YbbFhxFKE8fISKg3aGdqXcZMZwyXFGDaXYNRaSnhYMFld&#10;hjHanBGqkg5NLurSUtCUk4X2fA2aMzJRG0flEZtCixwHI22kmUqwJTSS6iQGNr8AFNOuFN56jLyb&#10;j5DHG0kB7Yz2sSsKXTx5fvF13wAUEhw6Dy+qXh/ke3oj180d+R6e3PeE1stT5Uc0PrQrtDSacB4j&#10;q/3HBkIbTcsSToBEBEEbFw5tQiTyCQ8ZfUmNiEQcbyKRvMFExacjOc+A3NJKaGR1/YoGwqMVxppW&#10;lHBrkNJ1qpDCCgKkvkslRCsJBFWu3j6q5ryYmsSq2O1KaUPvhzkxAwoexsZ+wmUIti5p/jOmAPJx&#10;yQYBiGz/rXkQASLwkMIywqOH8Oj5UAeiakH4fKu0NJSRGIEI95tH5tBK66IAQnj0Tq3ikxcdNlx2&#10;VOGCELmglXnWXoGXjNcSbdwnRJ7WGgkOKXGXYV3Ji1CV2AoIkHxsmbKoPj7CI1HZl5mcOExnx6nZ&#10;u9KIaFgKzCTSI9GXHoGOpGC0kt7NlIAtkT6ECCPcm1bGkwBxowohSGhrBCJWGaHxe4wSzw/zaQiS&#10;bIfrSHlwBdG3v0bArevwfugALzc/eFF5uKsp+V6EhIe9eZCsYXvjEe5ILkRAwjvQQ0pXBxmxYci8&#10;GBnC9Q+KUxEQHKfsieRKZNhXlhX0C4pVUBGAiCqRERsZpYkJjkR5bBL6CYhh3sFmeKdbDpDK0zCs&#10;hkdgiSfOQkQ05iPjsBDN74axkJxB66LFYq4Gy0WF2KytwNloG96tDuE97ct73vEFICr3QdXx/mAY&#10;7/jcm9VevCEc3hAab2kV3h9QSQg45AKXC325G68JAjnmNS2EKJm3m4TPOo8nFF5SFbxc77bDiLbo&#10;cqsHF2tdBEg/gdOD05lWyDIOx5MtOBhvxslMO1VJn1ri4fX+OF4ejCvV8YbwEKsiNR9PqThkaPdi&#10;c4B2pYsKoxUHC+04XurCwWynGnnZmerG7kwv7Us3NsY6sEh4zHZUY6mPACFEpmiJh0x6TFhLMNNA&#10;mFjN6MrPR3teHgZKiwkQE8arzBizmTBaTgViLEZ7bi4aMzLQodeix1CEllwqkoQE1NMqNjJswWFo&#10;CI1AV0ISmmNjUBsSigoPHxQ8ciI8nAgPb5TKsC5vOnpHAoLnQYEnVQdBo+fvqKcKyfegdXGlreFW&#10;5+bB884dWtqcXA935NDSaEK8oY2h8ogLVt3NNNEhKqRkXZMYidy4SKqPKCTzJhIdHotoqtTk7AJk&#10;FZYpmyLDtIaaNpTUtiuAlNbJtp2KpFlFaW2Haggk5ekWKVPvGEVl55hSJFYqEtlaRI2IOmkfoa0Z&#10;QSmhIupE5sDU9kjjZEmijqllK1v67aMwYmFEYYjSkGIyCQWP8UUChGDgfjdB8ufeIAIQ2aqYRQvV&#10;SgeP7eKxPVNUIK8IjucEiEDksqMSzztteMUQgLyiGnkpOZG6kg9zZIqoQqS4rEjZmm1TDu1LOtZo&#10;X5Z0yf/baIwARHqITGTEYIwxnBGtANKbFoHO5BBamSC0xNLKRNmjlVKwmSCRepF6gqQ+zEs1K6oK&#10;sjdwtvg7oMxX1MhjFHg8QL7LHWQ9uoaE21cRcvMGfB48gRs9rzOtiyw16cgTQ4rK7tx+rHqgPrjn&#10;yq0Trl97gAf3HeHEk8ZVeoN42FWGr0DBL4qWRRKqiYRIvKo8FYAEhiSo0RcPyY/Q0sjQrxSTpfOu&#10;0hKfjBHK03HetRbopZcDg7Eis2+DQjEfGEKIRGODlmU1PRuzqemYTc/EfJ4Gi0YD4WHFQWc9ns90&#10;4T0v9HdUC+94Ub6nhXmzxYuXduDNWh8uJ1txPtyAV3OdeCOqgrZDAPLD/hj+sEObstaP51QQr2kb&#10;vic0vt/i69u0PJsj+MPaMN4s9uL5Qhc/rw/fHRA6R9Lng9ChhZGJdM8Jp+OpZhxPNOFgtAG7Q3U4&#10;HGvG2UwHni724PnGEF7uyixbQoQW6SkVx8lqF6NbVaCe83MlTgix48VO7M+2YW2wQdmU9ZEWbIy3&#10;Yn2sFWtDzVjsrsNsaxUWGCudtZgnTKYbK7DQXIX5lloMW0zoICB6tVpMVJQpgAyV20EyRPXRXahH&#10;m5aA0evQbzJiwFyKetoYS3QU6pMJjJQUNMrwbmI86uNjUBEehLrIcFSHhKCAEMjjzaPQwRdm3iBK&#10;3AKge+KBfIbenTaHllNHgGjdBRreKHCXilValieufJ8Tsh8zXFyQ683PCfJCQWwwrYrkO8K4jYQu&#10;XhasikAOIzMmHGm8eSRQpUZGJCAhLQ85hRbkU30UVtTDQIAU2GRmrSyKbQdIaU2HUiGFFbQ1VW2Q&#10;3qZqrgthUdk1hmpaE0mQVncOUZ0QJGrSnFSgUp0QLhbCppwh7Qelh6kM4cq6t80942oN3LZB+xDu&#10;vweIgsUoH1NxdBMMnVQjXbIlQKS8XVkYsTK0Pc1SKyLqRMrg5b3Ty/jkXXclXndV4WVXNZ4RIE+p&#10;Qi6pPJ5LHkSSqQ1GPKsvxgXjrMZemSqFZZJc3bPkYtOYgTVDGtaLMxhSnZqIqZxojGdEMqIwmRWL&#10;SSqSccZQVgz6+HyPgkg42uJD0R5HmMSHoC02iIrET82haaQakQl59rk0bgoilQwbQ4Z6S30dYJDO&#10;Z673keMgHdyvIfzODXjfuQ9X/tDOztJV3Z3Wxg337zrixvWHuHXzCW7IOjDXHik7c/uWIx4/9IS7&#10;W7AqGHPlCeXqLnNjZNg2khBJQnh0moKJDPV6UHn4BsUQJnEKNsHB0TAo9ZGAcT/ptO6PpfAwrEdG&#10;YiMiCpuSPA2Lwipf38zMwWa+Dqt6PZZ44q9Smu82VeGkrxmX4514Od+DV7z4RX38gXD4jnf157yj&#10;X/JilJ4gZ0P1OBuow+uFboJBEqx2pfI9YSLxdomWhZB5Od2hFMd3O7Q4jPfrQ3g20YajYVnRv0NZ&#10;nO9E0RyOqDL098cTKun6Rnqf8u8/5TFH403YHazB/kgDDqlEjqhKLgioV3tjanRH8iJHSzxusV1N&#10;3z+lXZHmyypfwu0p1cfORCOWeiqx1FuNTX7eznQbtibbsDLUhPnOGqoOK6bqyrHSXqdGYxa66rDY&#10;XouFlhpalQqMmo2YohKZa6zEWLUZQ7ZSjNjMCh7NOTlopULppHrrL7UDpJ1KpCEzHY20NbW0LHW8&#10;8zcmxsEaG06whKIpJQENCXEwBQWhwM0LhVSoBmdvgsQTRdwvovUscPOBlq9p3WlhqCR1rgQIn9M7&#10;eSL77hNk3ryPbNrlPLE1/lQfYX4oJDwKUyRZak+Y6hh5jMx4WhdCK4W/f2x4HCJiUpCYrUdecQX0&#10;5hoU0brIZLl8KhGtVea8tMD4QYEIWCSZaqhsVXUdMl1fLIyNkLDR0qiFstv7aW0GCJA+vtYHi4LI&#10;iAqr5EC6pAfIBOoJjkapA6EaaSJA/qxACAyxLt0Tku+Q4Vx7YlVgouwLo0s6lKlciMzQpfLgMa1y&#10;7OSSAkjHJI8VgHzPH/p9TxXe9NTgWWcVTttseCpNhqTVYYsZz5uMuGw04rkUltXKVP8CgqQAJ4wD&#10;qwY75ixslmbSymQTJlkqkTqdG03VEU7rEsotQZIdg3Fam7G8BIxwO0h10psWia7EUHTIvJkEiRA0&#10;qZm8XnaIMD7Wi8gITS1DJuZVS0l8sDsVCUHi84R3iQfIdbqF9Mc3EH3/Jvzv34XT/QdUHg9w+85j&#10;WpZH+JaqQwAiCVdZxuHa9cf49upD3Lz2BE8eUa1IubrM1HWXNV5CVdGZN9VIcGgiwiJSlALx4uMg&#10;QiUkPJlKJVIlTxsS0zFCmzLu5Y2ZwAAs0/PKMg0rYRFYp3TdIjy2k9OxnZmLrSwN1jVabPKuedBY&#10;jbO+JlxOdOD1XA9eUO6/oo14T3D8gfG9WJZ1URW8OKfacDHeghe0FO9X+/ADbcsPewQILcl7vuf7&#10;NdqSmRY8H6jF85EmvF0dwPe0HN/vjqn9Z3z/+VQLXvH4d1Qcr3epbHapcg5pgQiQd1KKvjOIl7z4&#10;XxAiYmP2huuoRlrUwlIXy714STXzRqbvS+8PAuyMnyXgkJB9FbROUqV6vEDbMtaAtYFqrA7UECCN&#10;tC8tVCCEB8+xqRYrJhvKMdtsw1p3E5a7GzDTWom5VhtViQ3zTZVqMalZ2pm5tmpM8bjJeisGTCVo&#10;ysxEc2Y2OnUFhIgOLfw+e4pLqERK0VtchGYqkSrCoyaUiiM0DCZ/f5SHhqI5ORlNSUlq3+jrB7NP&#10;IAHiCT1vMHaAECp8rHVwg1aeJzg0Tu7QyT4j74Ejsm8/RC6tso6/dWFIIAqig1GYFAFDRhwK0mKh&#10;T4mBNikWuQnRSIsOR1JYqJquHx0ej8jELCTnF0NbWoVCSz0B0qRyHTruSx6kiCrEVN8BU10HrU2r&#10;GpkpqmxTdSAVhIPKgdCiiJ2xtdOitPdxK6vuS/VpH8wfZuXaaGWqCJoaAUj3OOqpWuplSxsjuRD7&#10;Eg6TarlKWXm/a/xjfJxgt2yfD0N4dE8tKsDIawomhIpYl/bxZXRMLKOdx3fOECDfddvwnvGWd4sX&#10;PbU4VyqkAi86rHjVQSXyoV/qs7piPK0RgOipQLQ4sGkUQA5t+dgvz8NOWTa2zdlYK07Dgi5eqZCx&#10;jAiMpkdgLJOKhOAYJ0BGuR2mGhmgOulJDkNnfBDa6CWl2Kwlypf2xeODArHDQ1WvfhjmreVr1dJv&#10;JNgD1iA3qhEXGAmRQmmf6M47hOtdJD25i5C7t+F0/QZuX7tJWNwjQKhAqDoeU6rKavqPHrjh7i1n&#10;XL/6iFsXWhqqFYLE3TWYtiYITx77wNlFZuOGIyAoDqGEhj+tTWBQPILE0hAg2sgkdMUkYYS+edLT&#10;C3P+foRHJLYiqTpoX7YIkP24ZOwmpmGDoFlLysR6Tj52y80462zAxQgVwwItynIfXi+JVenHS2nI&#10;syQ2ZQBvZMo8L+BzXniXhMCbuS58R2D8iRf7n3ZpUzZpR9YJkNVOfDfXgtdjjXjNu/z7NSoQmQ27&#10;NkDb0q0+4wXtzau1HrzeEhh049UOYXJAJUM782Jbkqa0OLz4JekqSuRsth0XtDwv+G96LTkWAkmG&#10;d2VkRmbwyrwXmX0rCuQpwXEm1oX7Z7RCh1QxW1Q8a7wpLXdZsdJXjZVBWpXeKkxR3c7QMs+18zVa&#10;mXVCVCzMVJMFcy0WKpByzNRJsrQUE9UWWp1qQqQG0w2VSn1UJiSiMT0LfSW0MgRHm74AXdz2EiCd&#10;hYWwxlFl+AWhOoDKg/a06IEzLB68KUXH0dYk8NyJgMU3EGXeASihxS146ArdA1qaJ54wOFB5PKS6&#10;eOQODc8RLdWJnpZY88QNeY+dkfvYEXlOLqrIzBAZipKkKBhSqULT41CcngBDWjxVSAxyCI/U0BAk&#10;hoQilgokmuojPlOHzCIL9JZawoNw+JDnEKsiSsRY3Q5LYzch0olCWhitRUZmOmBtFZUxiLJmsTKS&#10;SJXFnUZQ3UWbQoDIynNSrSrLN1jbaHMIkGpaGQWPDwCplYSq6sYuk+tkaFeUyKQ9gUpA9EwuqFD5&#10;ECqKHkJEwePD8//+te5JwkMBxK5CeufWaGE6yvGmnUEr86KnWo3InLcSHB02vJQEq+RA6sXGyAzd&#10;IhxZ82ldcrBfkUt42CGyy8fb5kxCJItKRIZ0UzCXH4/J7GiqkDAMpoRhOD0KIzK0mx1LKxONvtRw&#10;9CSFQBaskgbN0gagm2pEIPJRfUgOpJaqQ4Z2pdBMHtcQIDZpWEQrUxHojDJ/J2VpjL5PUOT9ABqX&#10;O8h4fBtx924jgCBxvH2X1uWOWhPm1u3HVCEECQHy8J4r7t52Jkw88fC+Jxwe+8HdJYRbH9oeNzyh&#10;T5Yp/TIkLDmPoOB4+PlFMyIRS/ti44kxEEw48o60wJNqJTQIG5StO+ER2PAPxmZAKNZDCJPIeKyk&#10;ZGAlV5bMKMZ+fRWeDrbicpqgoEKQeL1CiKxSAchIiNiWDcl/DNCWtOO8rw4Xgw14NdaCd1QHf6Ti&#10;+NN2P/5AgPxhi7HZg+8IkXd873cLhMrCAF5O8sIebsb5UCNOButxQkVxMU0Vw4v+FSHyZncAb/eH&#10;qESGVDcxmaL/mmCQ6fmvdoZoWagoFjvwlMe/oCKSGhEpY3+5L3kQWfrBPvv2jCH9QM6VGhEV0o8j&#10;AmutrwZzzWYstloICloZqty5zgrMddmw3F+Pxd46zHfVYLGnjjCpxHRTGWZpl6d5jo1VGjBsMWC8&#10;qoxg4WvN1RivqUCrNg8V8fGozchUwBissGCg3IJ+RldJMdVIPqoTUmAJikKlfxSMvCHobzjC7OwH&#10;q38oz5VQ2PibmD39qDxcUPjABSWPCZEH7iq0d12Qd8sJGp4X+Xysf0Kb8sQLWYRQBpVHpqMTcj09&#10;UBAWjJL4KJSkxKKAEClIjkYx4VGUHAdNTAQyQ4OREhiEhJBwREfHIyY1B6n5JapRkBSIGWyEA1VG&#10;SVWbyndISMJU1nSRxaEKrK3IL/t3AKGFsRAg0rawikCQNoXSZUx6fpgJHTlGkq1SQFYpgOFWurBL&#10;G0O1IJTkQ7qkR6p9gp0M5YoCUQVkhEA/VUQvgdE7tcD9FfTPraJvdhl9fL5PgKKUyRIfr/L1NYJk&#10;FT3TK+iZ5eOFDXzynj/sm3aLUhuXVB3HBMZhoxnnbVaVXJUeIS8JlBe0NE/rpCYkn9DI+wAPUR5i&#10;YdJVCEQEIGvF6VgqSMGsJp4KRKpRwzBEyzIk+1QkA+lh6EsJIUCCCY0AdEb7oZP2pZ0h7RGbP5a8&#10;M2qpQKQuRIZ2ZUavdDyrpoWx8bFVEqyESDmjgvvmAAcUet1Hvusd3i3uIuvJPcQ8uAePm7fx4BoB&#10;8u0DfHuFiuTb+7jGuEkr8/CBB5xoX5wcA+HwyI/wcMc9AkTsjBSP2WfwRsCXFsbLKxy+XqE8SWLQ&#10;Snsi6mPKxwvLEYRHLMHBu89WeBh2g7n1C8WybyjmCZH5ZAKEd8sNiwl7TdU4HaDlmO7G68U+KoRu&#10;vKBNeLtBe0ElIsnOZ7Quz6Y7cMGL7GmtBc8bCHTK+9f9tfgjLcIPywTGQhv+RND8Cy/mtzICM0cr&#10;M92HF33t2K+1Ypd38ANK/42qUqxWF+OguwqXs7RM/DuvaJHUjFqZ1yK1IrQmbw5laj73aWmeEU6H&#10;8804Xmyl2qCVIlQuGTL68orHPKcVuiC8LmX27UYvTpY6cEzldEaLdUSltERQTNWWYKWtAhuEyWpf&#10;FRa7qUYGxdK0YJlAnOmqwnx3LRaoQGabyzHXWIb5RiqRelEhVkKFyqS1BpMtNRiusqBZl4earAy0&#10;Fhag21KKngoTBiorMFxdiV6jEa15+WhMyURleAKBEY0SpwDk3yYoHnrAQCVh9PRHBX+XMioQ/UNn&#10;5N96jCLCQn/XVYEj7yYVxk0C5I6oEk/oHntB5+RLe+yBHFcP5Hp7IT/IXzUeKpHFuhOjoI2PgC6B&#10;EEmIQX5MFLJoW1IDA5EUEIz48GjEUHnG5eiRqi9FnvEDQCqbCA87QAQkoj7MdV1qaUpZnkFfQYCY&#10;aWtsrR+WahgiQIbseZBOe5tCWWbS3CwNhXrsPVAJEFW+ztclpAZEeqJK0lVaEtbRwkhfEClll5yG&#10;GrqlJVFgmBZ1QaUxNU9IECizhAjhMUBASIit6SMwBufWVfTPrmGA26HFTQwvbdHCECCiQl5RhVzS&#10;uhzzbrDHO8FhowlPRYkQIM/5A9sTqiWqR4jYFoHHXrldeWwYKdMZAhOxMpulGaouRAAykRmlytql&#10;X8gwbcsQbc1A2keAUHUkBNAK+KEj0gftET7oEJAQKC1RPqr0vS6CwBAVQgtTF+qJOkmsipWRYd5Q&#10;N1TxeZuqGXGlpXFCiR8tjd9jFHg/pJe9jzyH+0i+fw8hN+/D6eoD3LpyF1ev3MaVb+4QII/gwLuM&#10;rHt7l9C4fdOZ4aSg4i39QYJi4edvL2UPi0hGYHAcwvnYGBGPnkhatAA/zIcFYjUuAtu8A+3Ex2Av&#10;MhL7gQSIdyiWfMMxS9gsptPaFRmwWVGGHd5RD3sb8WyK9mKuFxczojp44S/Rcsz04GKsnaqhCUed&#10;NTiqIbQrjHhZI13zK/C6rxY/zNOy8IJ9Q9vyw1IXvicUnkoPVd7NX/S14rSpDttWC3aqK3BQa8Mm&#10;7cCatRi7LVY8HW2j2qHi2aT6kOTr7qhqkyizal98mJ7/7oT7OwM4Xe6gouik2qAy+qA+Xgo89qTu&#10;o5vRg+eE1wUhdkS1ogBCO3O00Im1fgKDN6V12piN/hqs9Fqx0F2O1cFqrI82YIUWZ2lA6kAkB1KH&#10;qTozLYsRC01UKC20O821mGnj8221mCBEhmor0GEqQltJIXppAXusZnSWl6K/qhyD1nK0a7VoSE5D&#10;bXQirIFRqPAJR7lXGAyPvaGjytTddUaRg4fKfZhkuPaRC/JvPoTu5hPo7whMnBiO0Nx0YDhBd98D&#10;+VQneg9CyNsfGl9f6GRujLIuMTAkRVNthCIvOhRa/vba2Ehk88aRFhSEJKrPhOBIxMckIz5do5oF&#10;pReaVbcxqTA1VDb/GRyiPFQQIDLrVtZ4sQOkngBpRgUhIaqiomUY5UqF2G2MTN0vJVwMdZ2qraGo&#10;D7tFke5j47CvoG8HjYBE2hNKTYhUliqAyAjMxOIHdUGQTIuVkT4hhMj0ooKKqBEBxgCBIduRxS0M&#10;L2xicJ77BMf42i4m1vZoYdrK8KbNjJctZlxScp63leOEflRUyIlMnKM/lQW4n9aVECDFtDEyAqP9&#10;36zLeokdINtmAYjdxthzIQmYoo0Zo/IYTgnHIG3LYDojw74ViAhAOqN9CRBfdEZ+VCKiQmQdXtqY&#10;cEJDgtCQURkJqRERoFSH0NqEudthIqok0BVmWhqjlMH709JIKbwrFcmT+0i7fx9hN+/A6coN3Pzm&#10;Oq7LGrm3HWlZPNT0/xuySj/vQjLU++C+G9xoX8SuyAJSgYHRiCBAIiJTkMlopH0ZDAvHSLAv5mNC&#10;sJ4Qjd2EWOxGR2EzMBiLPFmn6KcnaX+mo5OwpNFhw2zCdrUVe+31OB5qw9OpXpyNd+N4uJ3RhkOq&#10;kuPeJpx00HLwwjnjhXNO739RW04LSYA3W/Ga0v/7qXa8n2/H28U2vF9sx+uRBkKDv1GjFc9a+d7G&#10;GiqPShzyQjzlZ5231+G4nTDi3f58lMpnvoeKh8BaoZWhEpEq1TcEw8t9qpEjKVyzA+RsRXqcdlN5&#10;0BKJtZFjGPL4bL0L5+vSvnCQaqVfJVHF0pzS+ghMdiYasDFEWAxUUX3YsNJvw1JfBcOK+Z4KLBAw&#10;6/y3bI11YI0wHa8pxajNgKXWaqx0NGC+tQ6TTVUYrq/AYF0Fem0mtJsK0VpagI6yEnQRHt2ESH91&#10;OXrNJWjOykRjfBLPk1hYqfysPsGo8qFdcfRF4R2qENqTksfuKHX2IlREdTymvXkILVVoPkPLG4mW&#10;jzXXaIFvPKGFcUMuf0ON1INQUWgID6k0NUgT5pR4FMRHIicyWLUozKciyad1yQ4LQWpAEOIDwhAT&#10;Ho/YxCwk5RQho7BM5T9ySioIEFEgzUp9yIiLkfAoltoPRgkhIgAptLVBWyYAaYJNFscW1dExSiUy&#10;bB/SbRtSpezFBE4h31dKgFgJFBnWFasiEKnrG0dll8BmALVUHvY5LVLOPkGAzKBngqCYlHoPSZJK&#10;LkTmx8ikuln0Eyb9hIgAZGh+g9CQ2MTo0raCyAiVx/jqLqY29jGzfYRP3hIcr5qMCg4XjaW4IERO&#10;W8tx0GDCfh2ViCzzUFNsn85PeKgEKuGxX5GnAGJPntqhYY8MwiQdq4YULOoTVS5kKicGI4THQHIo&#10;+lMZVCAS3VQgbTFUHlQbnYRGJ6HRE+OPnrhAdMT6qwl4LYxmvi45ERnale7vkly1Q8SVisRDAaaG&#10;YKmiUimXZs6+UjMitSNOKPVzoq2hPHV+gJT7NxH47VU8+foq7krnMlmp/64THkmFKu9G1799SAXi&#10;gHu8Kz3hHchDKlFpYXx9wqhEIhAeEgtjfBb649MxEhqGiaggLCRGKoBsh1GFBIRgk3e5+UeEByXw&#10;XHgiFtJyMZujwXxREZUA1R3vrqe9rTjpasZOYzUtTQ322+qx01qLA951T5oIj4Yqqg8qCFsZv3vC&#10;gQB5Wm3CCyqS921V+H6wHt9NNeO7mVa8HW3Ey+4avJaZvJ0NeCEJ2s56POttxguC6sVIOy6GmnE6&#10;1IDz8WZao3ZlZS7nO/B8pRsvaVdeU1VIZ7HXB1QaBMQ51cfRfAshQXslykTmuVCFiI253CE0aF+e&#10;bQ+oeS9SEyK5kGO+Z3+hBXuzjdiZrMX6CFVIbzkWesqoNKxUH5W0MJVYJEQW+yuxRvBtURGt9jZg&#10;st6MSUJkub0ay511mCM8J2i/BqvN6KOCaivRoaEgF/WFuWhgtJsMhEoZ+gmRPqMBPXl5aE9MUZ3H&#10;TF7+PAeCYKVlKeLvquPvWyKFY46eKCVEiu46EB4PUEBw6GlntVfvIV/iyh1u7/J4R+hpW/I9fZDn&#10;54/80CAURIWhQNRHbBSMibHQExia6DAFDw2hkhsRiowgWhe/IMQERSEiKhlRyblIyDYgu7ACOcUV&#10;yCu1wWCThGkrVQeBIeDgflF1mx0g9d0qiggXXbkdILK6vuQ0BCAywiItCyv4WAAi82AEIlKVammR&#10;4d5+VHWJ4hhFbd8Yrc6w6k5W3z+uOq83D02ibWRajbr0UmlIdFN1SMhz3WOzhMocBmcWGEtUHssE&#10;iCgPgccWxpa3VYyv7GBqnfDYOsTczgkB0mrGC+n/IUO00oWMSuO4nvCoNWK7sgg7VQYc1BhwUiMT&#10;6nQq9/Ex1EiMTYvDSh2BosW2NGCWxbmLUxVAZH7Mkj5ZFZaNifJICSZAQtDH6EmWoVuBBG0LYdEd&#10;Z1ci3QRGT5w/uuSx5EcSCJN4fzRHe6OR8JCQYjM1MsNoIDw+zvKtIUxsklj1eazWp7EFusBKZVIW&#10;4omSQDfo3B8h5c4N+H/9DRyu3qDakKFeBzg8dMMj3qUEIDdkxIZq5DaB8pgqwpX2xt1N+qEGI1Km&#10;jcemYjQ2CWMRYVjmnWgzMxFbKQnY5Mmz4eKDlSeemLnnhhnPEMzHZ2A2LQ/TmQSIrgirJqqQSisO&#10;Gmv5vVqxJt3Y66pw2EyA1Fdjq7aS33sldstMWM/Px0YubWKpzIQ246nViOdlxXhjNuBtdSneD9bi&#10;++kWvOOF+KavDt/1N+L7gWa8Y7wZasWr0Q4CpBXP+xvwbJCWaYzqY7INz8ZbcDHZgsu5DpzPteKM&#10;SkYUh8DjxU4/LjdpT1baaGHalH35qDyeS8J1d1ApkEs5jvtSjXq2JsVknSpnsj1Rg83RamyP1WB9&#10;mACh6lgkPNZGa7AxVod1xspQFRYIkSVCZKm3ErNtFkw3lmG6wYL5lkrMU31Nt1RjjNAc5P+5m6qj&#10;idCo02ehVpeOOkZ7qQ49ZQZ0FuSjR6fFQEEB2hJSUOkViArfQFrbcFjcaTvu0M7ytzU6eKGIv3Op&#10;wOQW1cc3t1FEgBRxX3vnMfLvPoHmOu3ujfvQPXFGsa8fikNCVIcyUR+G6AiUxkejNCEGRTGR0MWE&#10;q/yHNi4SmsgwZNG6pPgFIC4wjEo1EWGJ2YhM1yMuswRZ+nJojJUosNTCRGCU1bXDRIAUExyFVCMF&#10;lS1UHrQxBIL0/ZB9fUUDlUiTSqzKKIwM38pWhnTFwkgLQ9VMSOpE+JzqwN4xoKBRLVaGqqNWQMJ9&#10;te4L4SEhi0ep0ZUpgQfVxweAyBT+jtFpKpM5qo8FDBAgg3MrGJ5fw9jSJiaWtzC1uoPp9T0G4bF5&#10;iIXdEyztn+GTNwTIy6YSPK0VQOhxWFWA/epinujFPMH1WKvQYbe6iHfEIpxUF/Bk1nOrx3E1YVKl&#10;VeXs+9J8uVLqQvQ8+fNUDmTVkEZ4SIl7Mmbz4jFNFTKWKSXtdoB0J1N9xPlSYXijQwHDnwDxQRch&#10;oiKGikTAkhhEpRKI1lgfNBMSTaEECO2MNCZSACE0VJ8RyZdwX2b0WmlhrAEEiBSf8Tgb32MJ5V0o&#10;wB06l0eIvXkdrt9cwR1C5AaVyD2eSI/vueI+lcet649x7ao92SoQcXLwhg89dbAvZSqtTDstyXhM&#10;LGbjorAha7wk0brExWCbymPdwROLtD8Lj32wFBSDJWltSAUynZGHuTwt1kpLqeiqcdxUj12CYruO&#10;QduxzccrtDhLBgPWjSVYydVgJSkd6ymZ2CnQ4bTShJe1FXjNu+4rUxFeC0CGa/FusgmvBqg8Burx&#10;w3g7vucd/e1wC9VJF97P0aaMtuIZ4XI50qSKzF7O0JZMtOLpdJtab0bmvsiIy0uqDFEgLwmFF5IY&#10;pfK4kBwHYSEKREJyH892+3G+2aNyIE83acFUM2UpXW/BLlXHSh/VRl85lUUto44wqcXmeD22Jhuw&#10;OVFPgNRSfVgx02HCdKsRY3WFGOY5N1VfihlJpEo9SFsNxptsVB+laC3SoCY7DTWaDKqPHDQWZaPD&#10;qEFvWSE6+VpTWjI683LRX1yExuQUKtBw1EVG8WYSDatXAIofuapZt8UPaFuuP4SBN4fCK3eh//oW&#10;im88guEe1cZDZ+Tee4zsm7QyDxyhc3aj9fWDgdZFF+gPDaOQN4vi2EiVQM2PCEEe7YsmNhx5UeHI&#10;DglFml8gEgiuGOn1QXUama5FdHYxYgmQ1DwT8kqsqvpU4GFp7IS5ntalqpWgsM/ELW3ohqlJkqK9&#10;MNZ1quelSrWsWeo7pNpUStmlmIwg6RhRfT8ENgITG21LhRSVMaSJ8sfRFvsiUlQdwzNoH5ZOZNL3&#10;lKAYm0HnxAy6CAsJAYlYmE4+L1vJiUgepJ8QGZ5fxeTKFqbXtjGzvovZTQHIHma3jrC4d4rlg3N8&#10;8pzW5Vkd1cdHMBAgB9UGAsSAFYuWkY/tqkIcflAhpww7QApwxB9/pywXG6VZ2LHIyAwBRJjsWuwT&#10;7GQkZj4/Sc2RmdcmYDovFiOESF9aKLoIhY8Aaee2UwBC9SEjMl0MUSKSXO2KZVCpyDGthETzh/oQ&#10;KSwTiNR/VCEy7MvHMpdGhn4FJLK0hD3J6o6KIE+YAylhaWdSH9+B95Xf4/6Xv8f1r77FtW9u4Q5P&#10;qAe3HHH/tqNSIN9euU+QPMQDqglfwiMpPAkVkSnoj0rASHgoZqJDsRYWjC3eebY8fbH2xA1LD1ww&#10;TwWy6B2C5YgELMUSoNFUYLwrzSemY1dfiMtKG57VVNEKWqk2qrFWV40FSxnmcvPtQ706PVYysrGW&#10;IN3LMrCpy8dprQWvKe3ftdfibZMV77qq8Z7weEcb83akEd+Nt+GP8z14R0i8YfxxZRB/XBvG+4Ve&#10;vCU03sx3481Knyose82QIeKXMhqzTXuyI6vxj+IV4+XO8IdlGroga7zICMwFLY7YFVEgF3x8Sric&#10;rkn3dZkw14792QbCg8pjmGqj24jlXgvhUYNtgmNnspGqpMGuPgiTtWH+X7vLMNFYhFGq2T7a315z&#10;NsZokWdaKzDbIbUiVRhvsaG/qgS1+WkwJcegKi8DjQYNGmljukr1qjK1nyDt0uYRHoXKxjSkpdqL&#10;yKKjUUk7aaWdLBeIOLqj8JELSp+4w3TfGYXf3kMBrUoJFYnhvhP0hEbe/SfIe0hr4+IOvbsn9F7e&#10;0Hn7QOvnq1ocamljtASHhpETGoic8CBCJAzZoSFIo12SFfZFfcREJSI6JRdR2YWIyStFXE4pUgiQ&#10;7KJyVQNiqm1DWUOnvWCMgBBQiBIpre+CQfIhfF4AIv1QJaQbmVIYMkwrZew9Yk3sa78IWNTCUb1j&#10;hMegynnU07rI6vsCEQGIwONjpalMopMQiHSO22EhAFFJVIbkQj4mUSUHIipkdGGN8NjB7MYe5ggP&#10;2U7L/vYR1YcAhArkvLYA54THmWwFJLUGlfPYITTWbTqsW3XYklX7+ZzMwj1RE+oEIvYQ9bFlzlGx&#10;TzUidkZszW65RoFlqTCN8EiihCdICJFJTRxGsqPQSxXSmRiAdtqTNkKijYqjhYBojfBGG21KG4HQ&#10;JYpELA4h0xbF56IImyhRIp5UHqI+7KEgQqjUC1AIiwYZrRGVoupG3NXi3xY/Zxh9HFHoxbuN811E&#10;XP89nH/3GW7/9kt88/kVXPnyGm5fvY97kkzlnUoA8u2VB7h5/QncXPyRF53Cf2sGhsIjMRrij5Wo&#10;UOyGh2PfPxgHngHYo89eue+CGd7tZt0DMRcQifmgaMxQvcx7h2MjJA67kQk4y8jBs5JSnBjN2DaY&#10;sFpahmU+XsrVYoMqZbegCNvaAmxma7CWnoUNjYbfcxku26tx2VaJF7xTv+mtwXcTzXg9XI/n3H83&#10;0Y4/LvXj+6VefL/ch3/ZHMG/bI3hj9z+sD6E92sDeENovN2QZkUy3Z/AUPAQ2yIT6wbxXGbWbvTj&#10;ZK4NBzPNarGoZ3ws0/Mlz3HxYaq+rP0ituVspQOHs03YGqnE5mAFtoYqsDFQzqjAOm3L+mCVgsgG&#10;wbEyaMPaYCXWBmxUGgb0mzPQW5zOCz8TfTxvxnjOzbRXYKarElOdlZhoowKhhW4uyoItKxEN+my0&#10;lWjRVJCDDpMeg3UWDNWWY9hmxlCFCR0GHaoS41DOC7pSlrGMioQ1MpLqMxyl7j4wunmjwjsQZgcP&#10;FFCJ6GlXiggPAYuoDu0TbmXCnLeAwxv5Hh7QuDM8PaHx9VE2JpfgyJUO64y8cKqQ8DBkBAWrvEec&#10;dBoLi1GJ04RcA+K1ZiRoyxGvsSBJY0aavkyt9VJcSSg0dqleH4UCCQGIJFQJDwPtTQm3psZuNT9G&#10;FtcuoyKxUXnIKnNqiUqGzLKVxslSgVopQ7e0KpUERnXPiAKIwKOqc1BVntoBIv1NpfO6qBGZC2OH&#10;h8BCwCGgGJiRiXRz6KO1GaZ1GVlYxQjVx9jiugLI3OY+FrYPMb91gPmdIwWO1aOndoAc2vJwSjty&#10;TjkpdR7nCiBF2KMS2WZsEhabtCc7lbQx1SU4qzPaJ9ZJVSqPPeX+sVgcHnfE7T6hsyOVqQTIFu3M&#10;RmkOlg3pmCNAZhnT2kSM5EQrgHQk0prE+aGFlkUlSgmBRgKgkRd8Y6ALWsLc0B7pgbYIDzSHuqnu&#10;Zc0EhopwqVjlsYz6UFeCw0W1BBCLo3IlKukqasVTKRKrLLXpQQkrPVedbiP59hX4f/EZHvzmU3z9&#10;q9/hy19/gatffIsbVCO3rt5TELlJK3OXAHF/6A5DcCyGY1IwzpNmgSfULj3yPu9yu4yDkAjs+Idg&#10;xdkbq67+2AiMwVp4AuZCozHpF4YV/0jsBcdgPzga58kZuCw24qCwhOqiBHuWKmyW27CoL8JaNu1g&#10;jhbbeflYo41ZpRJZz8zGoaEQ57zrnlUacVFXSoBU44eJFmVfnvUQIFMd+APB8QeqjB9W+/AnQkPB&#10;g/E9998s9+IVn39LaEiF6wvC5HKtD88JhYsNQmG1S426nC6043CqCUcEyMWK2BuZINdln56v1n3p&#10;wCm3MsR7RHjsj9dgZ8iGbQJkd9jGIEwIkDWqkHXCYmukFhtUHct9FUqZLHaaqDzy0FmQiN6CVAyb&#10;8jDKG9R4fQmm28sx2y0AsWG8uQwjdSXopYVuKcxCc0EW2oty0UYb02HSorfWhIFGKyFSxmOKldWp&#10;S0tCLa1kfVI8ahJiqUZoYwgQs3cASl28YXzsBt3NR9BI8pSWteCBE3QPnRQ8Cj29UeDvB22ALzTe&#10;nshxdUWWk33iXJ63FzRB9mZBAo9sqpGckCBkBQd/GHUJQbRYFyrNuPR8JOvMSCm0IZmRoCtHHAGS&#10;qDEhU1RIeZ2yLwogYlPKCRAZ0q2h8iA8pO6jvHUABj6WlflLG7pUcyD7Itn2qfmyVINMprO29qOy&#10;fUBVpdYIPPrHFUAEHjJPRoZtBSCqsxitjCphlxaGBMpHpTHAkITp0CwhMj3PWKDqWCE41rgVgIgC&#10;2VbgWNo9VrHA+AiQlUNamF1LNuV0PsFRyJPTgKe1RVQYeoKAJzJjk4piTVRGJW0Lf9SnDaWMEtXu&#10;UPqkSteyZ/zBz5tMOOLr+1QlewIRqpFNiwbrJgKkOANztDMzBMgUATJGKzOQGalm5bZKcyGZ2k/b&#10;Ihd9M9VDc4gHGgKdGY4ECiPICfUBDqiTCHRAfZA874zGUEKD8GgIIXAYLVQcLYRHc7g31QwVDT+z&#10;SZbc5GOpZjV7PoLe8TayH3yL1Bu/R/iXv4XTr3+Nb3/2S3zx89/g69/+Hjev3MLdaw9wn5bmPiFy&#10;95t78L3rhEpe/JOR8ZgLDsFmUBD2vf2x5eyFVRcvbAbIwtlR2AyLxnZkIjbiUrFIOTsdGoVJn2As&#10;+YRgJzwOx4kZOMvKx5m+GIeFRmwUGLFWTAViKMW8Ro/19DzsxqVjk9Zng0plm4pkm7bmsLAAFxYj&#10;LqtNqjr4/Wgj/iDl7VOttCiEx1If3i/24O1cB21LF6MHbxhS1v69tAjg9j3Vx3d7Y6r24/l6P54R&#10;Cs/XaFPWCQqpKl1oIxDqsTdah+OZFjxdplVZ7MTuNEEx10p4tKs4ofI4mG/C9ogdHHuExu6gVcUO&#10;H691m7DUXqwgsknVsdov1oYWrd2IiXo9+ssy0FeShmHeWAQgwzxPxqh8J1tNmO6swCSVyADPoT4+&#10;P8SbVl+ZDu2ESFNeCpq1aegs0aCngs/XmNBHm9NVUYh2sw5N2iw05KSjiVEbFwuLfyCMXr4wefmh&#10;hNZSz98x75u70EpDodsOyLn1EDkPniilUUhAFBAQ+QHeyPFyQ64nw0O2Hgog+dKlXVQI7UxWgD8y&#10;AwKQHhCIJNqXmKBwREbIfJdMxGUVIEVXpholpxZVEyKVhEgF4vLMSMo3I48qpKS6RVkYg1gYS8OH&#10;mbetysqYG7pV3sNQ0wmdTOnnY1EZUtsh8FAA6R0lJKR1Yb9a/0XUiEBERl4kcSrzYyRUyfqQfc0X&#10;+7IO0woeMnQrIzDKpiiALBIgsl1QWwHI+NIaxgmPiSVRIP87QBb//wGyX56DIwUQnqT1AhDe7QgQ&#10;WZlu15ZPC8M7YUUeQZKPA8JFeqU+54/9vMWEy2azGvo95R3kiCDZJ0AOZBSntgSHVCM7vLtsUIWs&#10;m/8tVktzMV+UrubEyNT+jiRamaQwdCVF0MYEUW34oJWqoSmYqoKwqPF/iCrf+6jyuY9qv4eoCXhE&#10;iDxBQ7DThxDl4UrwuBMgDL73I0BaYwLQGOVLG+OBSn9nmKlA8h9eRwbhkfLtF4j95nP4fv4Z7v3i&#10;V/iKEPmadubGlZu4d+0+Hl5/gIe0NE+uP0KKmz+6oxIwHR6NpfAIbIeFYzcwFDu+QVQcVB0+gdiO&#10;isNOTDI2GKsJaViOpm2jhZnzDMIS378TFInDqGTsxWbgIFOLvZwCLKXmYjohE7MpOVjJ1WMrh995&#10;SjZ2U3OwqyvEWVUVLpsacFFbicuqMrxsqsDbwXq8H27AW8YbAuO7zUH8QdoALBMYi134QZQIgfKd&#10;bLdk4t04fqBtkWn/7wkPaQXwUsrXV3txudSlOpFJMvVoohFbvTY1ke50pp1A6cLBdDNtSB2B0arA&#10;cawSpq3Ym64jGMxY7zURGuXY7rdgq4ePO0ux2FKI+SY9Vrm/3mfBUlcpFrg/11qMsRpCgefbBG9M&#10;UzY9Bnhz6TFlYahKi7EGA8YaS2hditBeIoojEwPWAgJHj1ZNGurT49GiSUV3SR5VRwF6Kg3othai&#10;k8d0UKk0U5006XJVVMREodBN8l3eKPHzR/EDZxR/+0gVjuXfcUIuf9OMa/eQ7+SGouBA6MJkOQda&#10;GD/p9eGCXF835EvTIF8v5Pl4It/XW1mZbC8vZHr7IIOfmcyI9QtUy1NGUplGpebRvhQjraACGYYa&#10;pBlqkWKoQ0JBJWLyyhCbW6pUiHQbE4AUV7aoDmRaaaJsrlP5EIOApFbWv22H3taqJslJk+R6VSAm&#10;5ekyuiIl7ZIwHSJMZF6MlLHbcyBqn6pEbIwkUAUcHyfQyRCuAEQm0fWMz6KfEBmYIjgIEQGHKBCB&#10;yBiVx9TKBqZXNlXMru9iUWzL3gmW9xkHpwoea8cXdoAIPI5sGqVCxMpIMvVpTYFSIsc1hdjhj7tB&#10;myOxw9eP6ovwtKmEACnFi1Yz1YcJp/zhDwmRg/pSbhm0OUcfaki2bbRBMpJjk0SsDBGbsWHRYVKX&#10;gmFCpE96heQmYUxDT5wWi864YFXS3hJBG0J1URvwBDbv+7C432HcQrnXbdh8H6CWKqROItAOkSZC&#10;pClELA5VSIS3vRyeIaXwMqRr9ngAoytPmvvXkH7tK6Rc/QIJV75A2Fefw4025hoh8vtPv8CVz7/B&#10;lS+u4MZX13HvmzvwvucIY2AExqLjMRMWgbXoaOxERmGH8ngrKBTrMu9F1EdcIlYJmbW4NGyl8bsi&#10;HLZlP4xgCQjHQUAETvxjcBiWgt1kDdaScjEbkYLJiCQs8OTbpiI5LLPguFyiDEdWWaenGhfdLXje&#10;XIvnVqqPxgq8GWnEi4E6vOivxTte5NL7491aP96t9uBPhMm/Ehr/QtXxL4TGv+xP4I8SexP4k6y8&#10;Lz09ZKYvISILdp/Pd+DpQieeLXUTIE12eFDZyCzcU8LpcKYVh7OtqspU6jyOFltwTPWxM1atVMZy&#10;cyE2CIcNWpM1KozlFgMW+dwSt6tdJixTjczzuMUOIxbaSjBVX4Bx3pymaopVDJZp0FeajcEKDfoZ&#10;ndxvLcpAsz4NbQWZ6KNd6SEwmrKT0JSVhB7amAECZdBmQK+oD1sROisK0M7zqcWoQWtxPpoKclGe&#10;FINiKgq14lxoMApcaEGlgOyJK/IdXKF5RPvi4oZSvmZKiIQ+iuoj2BP6YIKCIMkLcKdt8SJIaGc8&#10;3VUTIelOluXuhQxfP6T7+yPJ1x/RPkGIDItHXEouknKLkFEgRWOVSKf6SC2qQWJRLRIKaxCjtSIm&#10;10R7Y4LOUotSqg0pZ5d5MAWWRmiMtdB86Mqup/KQRbULaW2k45gM4VbLXBbCo0aGaQmJmu5BBRJ5&#10;bKNdKW+VXAkViaxKR5gIbNSK+1QgAhBRH2oRbcmBECQ9YzMYmKTimKZ9kaAKUQBhjFGBTIry+AiQ&#10;tR0s7RxjRZKme1QfBMnaB4AISD45JiCOqwiRyjwcWHMgORFRI7K85QXjmMDYq9Fhi8dt8cff5WtH&#10;9YWESDGVSCkuqUaeNlOFUJkcN9DGqBoSWhnGASGyJxCpLFQQ2aMqOWmyYIcgmS/JxriCSALGtamY&#10;ps8dy0tDf2q0muKvurhHeKIuxAVWn0codb0Fg+O3KHK8ilK3m7D6PUI1LU41bU2NvwNqaXmkp2oD&#10;VYi0SmyMkCFdZzWka/F+jBKXuyhyuA0tAZJ54wNAqEBivv4CwZ//Fo9+SQXy01/iy198ht/96neM&#10;z/HtZ7Q5j2iXqDqmoqKwGB2l+n3shIRRUYRiKzgM63xtPTEe62mpWElIxnpyJnapJo40BGZaDg5i&#10;k3FMiXsaFovz8AQcRFOdxGRgOjoDU9HpmIxKVQDZ4vFHJaU4b6jBWUsNDsup6KrMOO2ux2VLNV5S&#10;gbxpq8KbsVa8mqB1mWpXOY93VBqXtDIvZ9uoRAbwJ8JBWgL8sDOMP1F9fLc9gneEzB8Iknd87tXm&#10;AN7J/BeZILc+oEJaGJ7TspzRsjylKjmZa8eeNBfi58r0/BMBiPT/WKASmZFu6hWY5jkzRTWxyJvM&#10;ckMxlqgglpoIjjbasg4zFYgZC60lmGsqoiIxMIoxw3NprKoQ4/z9JxhDZfnoL85GvzGHNiUd9TkJ&#10;aNKkoE2fzseZ6DLkoIvKoj0/HZ36LB6nJXQKMGQrRn+1kSqkBN0WKhZzAVpMOjQX56mRm4rMeJRn&#10;xMGWmQRLUiyM4aEo4UVvoHoo9vdFSag/SmOCUZYSAVNaJAyJISiKC0JJLLeEiZZWWhPihRxvKhJp&#10;IOTsghxnd2R6+CHVNwApVB9JfgGI4U0hKjYNidJprIAWpUQWx65CZkktUosJj4JqxBZUIUZvQzRt&#10;THyeEXnGSpTK9H0ZfaHakL4f+aZavrcaucWV0HBf+oHIMK4UlllapdeHtCmkXRGVoVaes6sNG62M&#10;hfAoa+6mbekjPAZUNNDmfOx7KiMvoj7ahmllBsbRMTxBgEwTIHMYmlrAoKgQSabyscTo3DImaF+m&#10;ljcIkk3MrG5jcftQAeRjrFJ5CEAkFEBOqvNxzDiw5qpZtidUGhdUFZcEw9NmIy96gqDOQBWiZ1B+&#10;EygnDUV41iJ2Rk56A05kBIc2RpaFEPWxW23ALu8ye1KQVlWE9fJ8rDF2ZIiYsUAPPK5LxlBOHEby&#10;7BAZ48kzlE1VkhqBrsRgtMX68+L1RFWAKIi7KHhyFZr7X0H36BuUuN5Ehc9D2Pwew0bAVPk+ocVx&#10;JEhcFERkZKYywAnlhIfF6xFMbg9Q8Ogm8u99i9zb3yD9+hdIuvI7JF79EtHffAGfT3+NOz/+KT6X&#10;Vf9/8it8+tPf4Pqvf4csR1cMEh5zMZFYoTSWloXLHj7Y8A/BZlQ07Uoc1tKTsZWXhc2cLGxlZ2M/&#10;V4ODdNqQmCQcUJWcxqbglLbmPDUbB1Qmc4TIBGM2IZufm44N3sH2aWv28/Q4ravEaVMl9g1SV8Pv&#10;v0sAUoXXLTa8763HWwLk3WyXSpp+v9KLZxPNOO6v5rYJ363306pIC8R+vN0ewPdUHO9k3stqH14T&#10;LhIyB+bPE+gOJvCGYHlByFzwvRfS00PWcyFI9qeacTjZwmjmfiPVCNUH1cghrc5KmwkTZTmYpAWZ&#10;t+oxy5i25mOB6nWF6nSZsUA7PEslO0VlO81zTO1XF2BMkqY8H0ZpPfoMWeglLPqKstCmS1PwaNdn&#10;ooPwaC3IQEdRNrqoOjoLshVAOrUZ6Ob+gLlQFZn1lRWjQ0/VoclGvS4HtZoMVOYkozo/FTXadFTR&#10;8tioXCpSYmGKDkVpRBDKE8JRkRaFsoxImDMjYcqKRCm3pTznjMnhKIwPgiaS8AhwRYbjY2Tdf4g8&#10;B0fkunsiw8sfaQRIMtVHfEAgYiNikcDfLj2vBLmGctXvI6+0GjmmOmQa65FUWIU4wkMUSHSeBbE5&#10;JcgxWGGsbIa5th3mhi4YaWdkSFdXVqtm7OYSMBpTDbSWepVMlWIxU0s/ytr6qUaoMAiQWkmcUn1Y&#10;aVfKmntQ1thlL3uXRbXb+2l5/g0g9u0MWgcn0Nw/QoCMo3eCCmRqnupDVIhAhACZIkAYo3NLSoFM&#10;LW9iYmlDgWR+c1epj1XalzXCY/VQFMgzbJ49l1EYDU5rZe1bHZWIFIQRJtzKkO5zAuRFm0WVtx8T&#10;DJu0IStllNuVBEhjMZ4RHi+oQC54B5IGQ6pOhKA5ri3GPtWGQGST6mOd6mND8iEVWqxZ8hVMlkqz&#10;MKGTBkMxjFgMZ8eiTxaikraHqeEKIB38MWV0RhafElAYqULyH36D7NufI/vO5yh0+BZlBEu5xz3G&#10;fcYDWAmLan8nKhMnWAkVgUe59yNYpIPZk5vQ3L2CvDvfIOvWV0i7/jlSrn9JiHyBiM9/DY9f/hzf&#10;/uOP8dk//BS/+/Ev4f77q6j29qdaiMJKHG1KTDQ2g8KwGRCGrchYbFN17OZlYys3Czt5OdjT0Lpk&#10;ZWI/LQMniWk4oOrY9aVa8Y3AQUgcjqNTcZicgy0qjtWMfKxSdWxoC3FsIIQZx6VUclQf5x11uKiv&#10;5Pdei7PmSpxVleJlqxVv+wiQoSY1bPt+rhPvpBMZLcfFWJNSIN/Ryvxhe8jemIiAkMZCr2W0hcc9&#10;o1WRXMdLQuQlj7GvzD+D9ydzeLk7hku+9xmB9HSlB6fS30NUyEgdVmUSXG85dkZqsD/WgH3anPW2&#10;Mizwd120FmK+vACjVAojxVRV5XlYqCrAPEOgMkmLMkZbMmHOpVrJxzjPneHSPIya8zFYkosuAqOb&#10;0UtodDN6i3JoU3LQnJeCRkY3FUWPMZ+QyFIWppEg6Mji8VKBWqBFU2YGbDExKKettCYnoIogr8lN&#10;Q62eIOHn2vKSCBNueVMyJ0fAwrBmRqM8JwaW3GiYciJhzApHKSFiSAlFQUIgdPH+yA1zRab7QyRf&#10;v4Gs61Stjk7I9PRAircvUnk+JDJiqD7jElKRlqVHrgzTFluhUQrEppanzC6tR5qhBvE6wkNTToCU&#10;IY4KJKvQghJbIwFirwkx8+IvVRBpVM2Wc0qsCiK5BFGB2JhG+/ovhvoumJt6Udlmz3FI0ZjUf5Q1&#10;9aj3VxAkCiB8vYGvyZT9DhnGJUC6x+e4pQIhQNoGR9E9NqUAMjK7qEIgYgfIDIZnFzC1soaZtU2V&#10;C5laWcfcJm3M7iGW92llVAL1AhunL7B1/lJGYXIIDJ0qYxdoCEwOKU+Pq/V4RhXyigB50VaB82aL&#10;Ki5boNxcK9fQqhTj4kMeREDzlHecI1EnllwcyILcMhRcIwAp4PFaAkSv8iFbhMkaT6iV0kzMG1Iw&#10;pZNOZTEYyopCd0oYOpND0UOASIK1n/KyMyFYFYpVBTqhzOsBipxuIPfuV0i++isVmvtfo8TpJozO&#10;t1DKMLvcRrk7YeL5gKrl3oe4Swt0RwEk//5VBiFy92tk3vwC6YzUG5JQ/Q1CCBGXn/8KVwmQb/7x&#10;p0i8cQcDoaFYjKFNoQLZltwH7zo78cnYTs9U0NjPz8VWZha2UzNxmJGNo9R0HMUk4jQ8HgcBUdj3&#10;DMehBwHiG43DuHScZOuwL/mRbA12yy20edW0g/V41lyvJtDt0absd/C5vmY8G2jB0/YaKhCqD4Lj&#10;h5kufD/ZgXfcfztCxSEjLtKMaEFaA3TZE6lUG7IspliX14TCc1qQZ4TB2XQLLrj/Wmbh7o/h7SEt&#10;zdE0FcgUXmwO43KVCoSfcz7XgbP5Dhzz+LVOC20HbxqdZdgdqlU5kl2qnY3WcqzVmbBaXYoZkx4D&#10;vNsP6dMwbc7DfIUeCxWESJkeE1QPQ1QDQ1SXI1QUI1QW/do09NFmSHRlJqI9LR7t6QnooN3o1WSi&#10;My8ddalxaMxKRm+xFn1GHVr4XHVCFBrio9CWkojmlGRURcegmBe0rCxni4iCVUASH4vqrFRUU6lY&#10;86hEqGrqDZmwaRKpNqJQQXBUEBzm7AiU5UZRfVBxJAeiIDEAulg/aHmz0vJcy/J4iLQ715H+9TXk&#10;Xr+LXEdHJHm4IcHbm/DwQ6xvEKJ5A4nPyEVmvhHaIiu0RqoPwiOjwIJUvQVZCiJ1SCmiCtFWIFZr&#10;QYLWrPIkhWU1MNe0opzwkKZAUhtSUt2MfHMNcggPiaxiG/ItjbQxvSiq60ZBTSeMBImVaqSKykOG&#10;a20CEIJDkrLljd3q+Ro+19hNBTI4hU4CpIPWpWuU+yOThMcYWgcELmO0MVMYmqEKmZ2nAplD/+Ss&#10;AsjI3AIml1dpXTYwzZhZ3VQAWdw5+KBCCJBDO0C2z1/jk+0ySu6KPFVIdkFb8rShgApChz0qkyNa&#10;mWeUo5ctZrXglNiPueIsLFG67lNlnDeb1GsyIvOMNkdm6W4YM7BlzlYAkZEZaQtw2FCKXcrWzXId&#10;AaLFpiUPa9LNvTSdEElWEBnlD9tPKdmbHoEeRj9/cOlc1keIiAqRhkIVvlQhbnege/wt0m78FjFf&#10;/ASxX/4UWbe/QMHjayh6IvEtjARKqettGJyuqyh24db5BuFzE0WODIebtEHXkHPn98i8JRD5HAnX&#10;+XlXP0fY51/A6We/hvuvf4syJ2fMRIZjLTYKG1ERWIuIwFYy7UpuNjZ1Gmxr87Cbk40dwmOHXvg4&#10;KRvnyVnY8wvHjlsgDoNicRqRipOIFOzFpuKIauOpyYzToiKcmKSmhuqiuQZPexpwMdCM0+5a7FJp&#10;bLfZcNRZi+PWKpy1VOIVrcv3U53443I/fpjvxXcjVBujLfhuvgvfESDvFnvxdrEbb+Y78YqK5NV0&#10;O15LnxGqjufz7XhOgFxQoUizIungLsO572lf3u5JP1SqlK1RvFgdwCnfdzTOf8dkK0653emrxEa3&#10;DNVKk+VG7A3WUn1YsFxXipUaExYrjbQxVCAExYQxF9NS11GUiWFdBiYKqUp44fcQEN0EQh9h0cvo&#10;SI1FV0YCegiM1qQYNMZGopFwbqK6a02MR0tyIlrSktFFZTdQpKPa0KAxgzBIiEZTUjyaE+NQS8Vh&#10;knVbHFxg8glAbVQsSgOD1WpyZclxqCJAqvlvaCzOQWNJNqzaRFjyYlGlT+I+1Uh2JCw5UYSKWBY/&#10;6KK9oaVt0dL2arwdkXL7KlJ+/3vkfHub5whh4uiABA93xPv4IM5H1Eck4pMykJxXqHIf2pJKFJjr&#10;kE/VkEF4pOoIiqIKtVxlFpWIQCRBb0Wizv6ahiqjpLIJ5rp2lDd1K4DIBDsZicmnlZHlLTMJkGy+&#10;v7iuByUNokJ6CBCxK92ETo+q9VAAoQIpq++ElZ9TS4vT0DWCJrEwQ5NqglzX6DRjkgCRRkJjSoHI&#10;tntsAoMzswogQzNzCiYCj7EFWhgCZGp1/QNAtjC3IYnUA6x8sDGSA9k4vsTWKRXI1ocZtUeVGsKD&#10;qqOJEGk04PDDrFspWz+nujhvLFVDtFLavlKWz33K7hYLbUyZGta9pBo5qytUMNrn+05pa05lhIbH&#10;XHRUqtYAmxZaGJlwZ9Fgi3J3vSwLC8V2gIgKGcwWiETxZKOVoUeVvqnd9KWtMf6qIKwqyAkmqpAC&#10;giD7/u8R+/XPEfSrv0fkb3+s1IT2wRXGN4TJtzA43kABYaJ7fAWFTt+imPbH6EYlQnVidH+AQoIk&#10;997XhM+XCiApN76kEvkGCVe+RshvP0fGjVvoDfLHSnQENiIjsSnzXTJTsVOQi91SqoiyIuwUalXO&#10;YzuVFiY6BadxaSrfsesbiv2AcJylZOAiO4+2JRO7qdk4FYBYTASvFeddVBmdhAchIY2DzrqrcdJu&#10;w3GLFXuN5QSuCbv0+Ccy+kJl8qa/kaqjFe8Jj3f9LXhLdfJutBWvx1rwerId7+a68WqciqW3Ghf9&#10;dbQ2BMdsO57NtOAZ1cTTqWacTbXgkqrl7cYwbQ5VyJasLcPYmaAyGaMC6cXJRCtORptwNNyA45FG&#10;nIw145gwORhtJExsWKgvwUJ1Ma1KCaYshZg0ywpyhZijlZkxazCsT8eAJg1j+hwM5aZTUcahIzGG&#10;vyO38dFooxXsSU3k8/Fo4n4jYdBEBVEbGErLGYj6qBh0pPF9mVQjtIOd2Rlo4/feSog0ptCmEDbW&#10;0BCYffxQ6uWLylDaEtoJGVXReXrCwr9VlU8VU5ClAFJfnKkAUpHP9xbQzuiSCI9YWLJjYOKNSh/j&#10;i3yqDm24O7RBrshzlSHeK8i+IrmyR0h77IAkVxcCxANxXj6IlsrT6GSkSJtCXanKfehN1SiyNEBr&#10;ooIwWAmVMmVVcqhKJB+SVlyjABKrKUMibUx2IVVIeR1Kqpphrm+HpYn2pKELhqp2VcKutdQhg5+T&#10;bqhEUTXVSWO/CrEzpXWdCjp2gAzYJ9w196KG6qOR1qW1fxxtA+MKGN1jAo8pZVkEIh8B0jkyjr7J&#10;acKD4GAMEyKj84sqxhYWFUBm12UEZkuNxMyt7mJ5+wireydY3T/FGlXI2uFTrNPKfLJVnosdS7ZK&#10;oApALpsN3BYpC6P6fsiMWxnipWWRPMgGbcgqlcR+PQFCa/Os3YLLNqoQVRsiRWZUJgTOMz53Rrgc&#10;Ncq2AieNZYSG/kM9iECEUZ6DJWMapvQJGNPEYoA2RgDST58quRCBhzRcloIwqSqV6fsWv8cwUIXk&#10;EgxJ1z8lQP4BHv/0fyHol/+I1Kuf0d58TVtzBfkPv4X2kcRV6B2uweBCgLjfI4AewuT9CMWEie7x&#10;deTx2KzbXyHr1hXk3L1JiFxF4jdfo8LZEdMxsr5LiFqqYTM5CfslOmxbCqjOCNRqM07MJdgr0FOF&#10;EJrxKThLIEASU3EaGouzyHicU6E8NRbiRJOPw9QcHCRl4rSkCC96a/GSF+dFbw0uOgmQNgK2oQzH&#10;TWJpzNiuKMZWSYFSOUfFBjyvtuJZfQUuGS/rZS5NOS5ry/Gq0Up7WYk3w834fpYAGW3GU4Lo2UA9&#10;LgmC84kmRiPh0YLzSQJkvAkXMx14sSR5kT5cUr28WBukAhnD6+0J7o/gYr6P0GjF4VADty04JDh2&#10;qDy2aF2WaFenKvWYtRVhngCZLi/CTHkx5qlE5q1FmLPoMG+hheHzC2UGTBVp0U9L0ZUUh864aDSH&#10;h6IlQvrgxqKZIGiMiUJLbByfj0WtfyjK3XxRH0KbkpCChpg41NOWNFN1tKcnU5UkoTI2AqaQQNUs&#10;2UT7UkYVYgsLh4W/T5G7J4x83poYi8rcFFRpklFDW1VnyEClPpkASSRIRIEQILlUITzHihJDkBvq&#10;gdwQNwUQTYAL8pwfIffWTeTRvmbee4IkF1ckenkgwc0T8R6+iA2JREJSFtJzi5FbWA6dSRol19GW&#10;UIGUVKnp+9mER7b0AJFcBtVEulFyIRWIy7eogrIMvRk6M6FjlYWlmu0NlakiSqQC1drC99QjrciG&#10;FEJHZ22zrz6nFpHqVklXS3MXKttlqr+0MxxANZVHnZSvdw+jpX8MHUMTChhdo7IdR8+4QEQszChf&#10;H1aJ1L7JGaVABqa5ZQhERuYWMb64RMWxieXdPSxt72KGAJlZ2cLS5iFWdwmQvVOsH1CBSB5EALJq&#10;TOdFkU0/nquSpxcNhVQSerWvkqpV+dir5AVSo8cB7z6S01gtl5EYSnDammdtZXjRIS0RLXjdVY4X&#10;7WUqN/Kso5wXh5V3VEKkyaTUyw7hs12hUxZm3ZyDNTPtEAEyU5SESX0ixnl3GOcPPKJJwIBAJJUn&#10;m6wfIwCR6fqhsvi2I+8896GnJcmkCon88hdw+6e/w5O/+yv4/OR/IO6rX1M9fIGcW19Bc/f30D2k&#10;AhGA8Hij+22YvR/A4vMIZoKk2PUu9FQqGoJG8/Am4y6y7hA6966jM8gbK0mx2IiNxjJP0qXEBGwW&#10;iXKSsn5ZJ9iEIzOVWjHtSEEhTtNycMF4lpWLi5hknITF4Yj7h/oCHGXk4JAW5iA+FeemYrzqqcUb&#10;XqBSy/GirxbP+fgpVdoZFchRvRm75kKs0SYtJ6VgP0+DizITw4iLCkKa8HhWV47ndRa8qKP6o2KR&#10;kZnvZrvwhhf8C37uSyqGlwTGs3FCSlSHKJHZDjwnPF7OdeEl7c3lbCee8vGlTLjbGMfbzSm83pjE&#10;q/UxPteHp9MdOJ1owf4Q4dFrwyatzDxvDmMqGarHBGPMpMNMBW2trZhKRIupMi2Wa0ux3liBpeoy&#10;TBKCAzkZ6KE16aCKawzkbxkSjq5oQiEuAW1JSbSncagJjECNXxhqvUPQEhZLlSLNgSJRGx6uINNA&#10;pVLLKJeeHIGER2CggkZZQCAqQkJhCghCiV8ALGFhsMbH0MYw0mNoY1JQX0I7U5SKcp5TZblxtDIJ&#10;VB9xMCVHQBfph6xAV+QQHPmBLtB4OvAceEjbch9ZD2hdnJyQ5OlOgHgh0c0bcd7BiI1OQlKaBln5&#10;pdDRshRJ7w5aj0IpCiutITioHAgI1UiIViWL6uQjQGIFILQ46foyqBm65bUwCkDqZD5MOwqrWpFT&#10;3ohMk9ieSiQVVCC/opkWxt77o4jHGKSStaEDFa2SNB1QyqOmrZ/Rh9qOXtR19aG5b5CQGFNKo3Nk&#10;DF0qxqlARlUOxJ5InUA/VUj/FEPUCG3M6PwSZtbWsUJ4bB6dEBRHWNzcxdzaNgGyT4AcY40qRACy&#10;SXhsHT/DJ2OaeKyb6OFpZaRFodSEnNXqcUJgnNYW4JQwOazRYrdaqwrJpLRdVMhBvZHym+qD4HhJ&#10;cLzqqsCbHive9dKzU+o+66igRKdU5/a4xYy9WgO2bXpegHIR2mPVlIVlaX9ozsR8STqmKDHHtclq&#10;WHdQ1Ij0Tk0LRXcSVUiMH08o6cZOG0MIFNKS5D25ShXyBfx/+WPc/7/+K27/P/8z3P7xvyPqs18g&#10;7cpnyKGt0T38hnbmOkokyUpglHk8hMXzsSprN3k9gtHjEQyuYmnu89g7hMe3qPJ4jMm4cKxTZm/T&#10;k2+mJGM1Ix1bvKPKxS0W5tCow0EhrVqxHheEyHEmLUpuHl6UluCStuU8Ph1nWbSA6YRIZBIOIhJw&#10;mJaBM/r6S961XzZa+H1V0YrUK3vyZqAJ7wZ54XfQztC2bOfmYi0xRSVr9/Jysa/l36LiedEsS3BI&#10;D5AG1aHs9UAD3k624TXty1kXlUynDZdUGs+nm3Ex0WAHyBxBMdeJF4TMK8ZLWTBqsgVHQ/U45PuP&#10;hppxMt6J54uDeLkyzGN7cMHPPB1rwv5ADXYFIJ3lWGgsxnR1ESYJjFECZJxqY8ZqwLgpH726VPQV&#10;ZmCm2oAl/t9mbEYM8/vpz0qj+ohFAy/yWlqU5qAItFNxtBEirQRFU2gMav3CUeMbhhqPIB4XQcua&#10;gLoIAiQiHHXR4agkOMS6VCfEwhZLMFC11MTE0sqEo8TXDzp3DxgIEHNoGIxhoSiKDEFpciQqeS7V&#10;GNJhowIReJhz4lCWEw9TahQMUYHIDfJAuo8jsgQcno7QOD+hCn2ArIePkeHijEzCI93DE4nuXojz&#10;pPqQ3EdCBhLT8tXQrSiOQl7wskxDoaWRaqQeOcWVSCNA0vQmZBZTjRAgWaW1am5MHNVHotasAJIj&#10;XdrLqmCsbISZAJGFpfSVLcgsa0CasY7wsCJBx+MIJmNjr4qCmjbobE0o4fHW1l4qD6oPaTrUTEvT&#10;3Imq1k4CpQv1XT0ExfCfAdI5TNtCoHwEiIQ87puYUvAQBTJB5TG/tomV7R2s7+1h6/AYWwKRvUPa&#10;lz2s7OxjbfeIACFE9s8IkadUIE/xSWW0PxaL05WN2bbItHxeCDUFagRGhmcFItL344Dw2K0iQKxa&#10;rFcITIpwJglUnlgCEDtEyvG226o6vF8SHk877RD5CJAdmaDHO9imrKdLBbJuzsY6wbVWkYsFgmSS&#10;P/Qwf+jBrGjCQ0ZiQtFHiPSkhqpJdzWUmeWy4LbXPRS63YTW8RoyaFmCP/0p7v71f8Y3/+kvcOev&#10;/xru//APiPjNz5F+5VNo734Jw+NrMDregcn5PsrcHsHi8YQgcUCZlyMVCYHEfZMLbc3jOyjjMb0R&#10;flhMpPLg3W8lPg5bWVnYzc/Hrj4f+4TIXj4VG++se5osHBdTtVkMOM7LotLIwGVRIZ7n6XBOy3Ke&#10;lYezxHQcCzxocY5zsnGRT8jo8vCWsv99TzWhQRAMNOLtYAveD7biVXstzqg0BCDrSanYTiNAcggQ&#10;zQeAtMh7mvGWtuUF4SOK49V4Ky75OSe0lKftVlzwuQuxL+P1BAiPW+iCLO/wjFBQDYUkrzFYhwMC&#10;7ICWZ6ezkqCoxyvC4/vtSVzOdOKEr5/QuhzSuuz22LBOZbnUbGSUYbbOhAnauLlqI2Yqi9FflInm&#10;rFh0UD1O8TdeaCjFNF8fp+Ub0eagW1aJo2JoCAxFG+HRHh6HpuAoPheJpqAYNAVEU30QEm4BqPPl&#10;bx2biJbERDTxu6+PjUJVVDiquK1LIlgI8wZZfS4pGdWEiCyEreNFXkJAFRImsnZtYRhtThIVC2FR&#10;JnYlJwaltMbFaREoTYtEcVwIdCG+yPEnILyckOn8GLmOj5D94D5V7UNkubggg/DI8vBAlpsXVYgv&#10;ooNDEUfgpaTnIS23CJlaE3JoVzTG6g8l6fXIM9Yi21BF9VGO9AIzsgzlyKNVyTPXIaO4Ckk6C5IF&#10;IDoTsgpMVCxWGCpqUVrTQvvSCg1hJPBIKSZwCmxqVm8mVY40D5IOZAU17dBVNqGYAJFEqioco5Wp&#10;bOlCRSOh0tSK6rYOBZCWvgEFj25aGFEgst82OMLnh9BGuMhz/ZNTGKCVGZ6eo01Zw9rOLjb39u2x&#10;f4DtA0KEINmgElkjSFZ3D6hOjhgnCiIbhwRIkstj9GbGYo0X8FY5L4yKPBxRKZxW23t/yKxblQ+h&#10;Ijlk7FRq1TCuFJQdEzLPOsqoQiilGR+tzAval2fttDAfVMhJa5myP4e0MTJrV6b6r1N9iIXZtNrn&#10;2awQJLPFaVQgCRjKibaDgwDpz4xAL/db4wUgbrAEPIHR+x49r4zPX6NP/Rrhn/8cD//2v+Lb//Kf&#10;ceu//z3u/8M/we3HP0Lc734JzfXPYbhPgDy5B5PjPZS50MK4PUY57zrlPHnKCRCLlwMs7rQ1LvfQ&#10;GOCG2ZRorFF9rPJuJ9ZlPTsLW1QBW7lS68GLmY+PcggPfR5OTQV4XmUkODR4nk0Lk0PVEZeGI1qW&#10;kySqkJgknKak46lOR3ViwJvSIrw1F+F9Uzm+G6jD+2EqD+ki1tOI501VeGorw2mRAXtp2diJS1W5&#10;k5M8Pc5kbkwJv+8qWkVC5lVPHc4IjIuuKrweasKroUbaoTo8763FJW2RJFKfjfAzp9vwarEbLwiQ&#10;C1qS8+FG+3IPPPaU6uNitAVPGRfT7XizJmvpDnO/DcdUHoc9ldijddnqtGCFtnS1zYwNKpzZBjPG&#10;K4swR5BMVRWjrzgLXTK7tixHqZSlZhPma4yYLTdggt9Lb1oymiOpLCJj0BmbjBYCpI6qo8EvAi1B&#10;sfzOo1DjFaIsTFNQJDriktFNtdaalEgFQvtCkFczKrlfR7A0JCerBkL1iUm0LeEoDQ6BiVZG7+2D&#10;fALEGB0GC22MKSUShiTanuQwle/QRQfAEEPQhPkh188D2TL3xcsN2U+e0LreQ/qtO8h44oBsTw8F&#10;kDRXN6S6eiLeOwAR4VGI5e+Zll2AXMIhv9iKvGIbcqlC8mhdckpqCIxqBZBsgw0ZVBmZtDF5spC2&#10;mdaGoMkwVCKzqELlQLL5GToCpJgAMdU0o7jKnvtIKqpWkUwLE6+jkuHfKJKKVWl3WNcBPS2PAKSs&#10;SYrHelFJK2NrpqVpbIWlvhG2pmbUtXeikRBpH7SDQhRIx9AI2kV9ECDtBEkPLcwA7YsM3Y7OzmN+&#10;dQPrBMiWAsfBh+0hdg6PsC0Q2bcDZFVGY3aOVD5kTRoKeVznxRXqi8nCNKzJiExFPq1MPnbKpEGQ&#10;Dk954cuM27N6qpEGAw5qC1Uh2ZYkWOsKaGNKcdluVkVlz6QuhCfZZVsZnzfjnOBQTZqbzQog+4TR&#10;oUz7rywgqAihskwqEELERqAQXIulmZihXx3XJtpHZLIiMSC9QzLC0Z7Iu1MkLUwwFYPvQxg87kDj&#10;cA1pt79A9Fe/gMeP/g53/tvf4PaPfoybP/s5t/8E35/9BKlffAbtjW9R9OA2Sh2oQpyoMgiKclqX&#10;ClqZCq8nsHo7wOr1mDLaCYO8Oy2l09alJNA+pGI1Mx2rGn4vRXrs0X4cFVBdaLV4SqCc5Gbj3KDF&#10;q8pSvLUU421hIZ5RdRyExmOPd9Z9yvPD0GicpmfgoqwYr2oteFfHaKbd664iOGqpQmrxrq0Wr5tq&#10;cF5RhhODgZ+rpWJJp/VJxkFcOg541zvTFOK80ICnJbQ/lWVqXsyzBoK72Z5Ifd5Vg5f99XjeTQsk&#10;CdlaE552VOE51cbLWbEvHXhGgJxRaRx0VOKIx18Mt+D5BO3NVIdSKC9kYt1iF57KIttDtVQm5djk&#10;77jOWGNsUFFu0CbNNJowWlmIyepijFkLCA4NJvmbLjTJUg5mLDeXYq7KgEmTDmNFeRjSZKIrJREd&#10;CYloi0tEbXCEsiyNgVQh/hGo8gyCzSMQdQHhVCUEC21Oc2QcqmlRKgKDUBMRoZKlku+ojoqBLTIK&#10;tuhoVMfFoYL7Ao8SHlfk54+ioACURIWiODoE+sgANc+lkNDQRvgjL9gb2iAvaHzdkOHmiAwPF+S4&#10;u6p8R/p1woPqI9PVFdnubkinCkkmQBI8fRArM26jExGdmIHULD1yaE/yeWFLDkQmw+Wb6mhdagiH&#10;KkLDpvIgWQUWNRKjMVWpY1SJO5/PllEagiW70K5AiivqUFrVBFkvRoZtBR4JMuxbaEWMphRJ/Ax9&#10;VRsK67pQWNuBAlkGU0ZumrtoY7oJEdqXlk5CpB3l9U2oaGhCdUubgkhzb78Ch4IHYdJBcLRJEpXb&#10;3nEChApEVMjY3AIW1jewurWNjZ0dbNHCbBMgu4THzpE9trm/uW9XIsvbB1jaOsDyzjE+efjNFcQ4&#10;PUFLRhyWzXkKIPtW2gwTLQ0hclLDk5YnzLNWC562mHBMiOzT4uxQNexUanBEiFy08M5IeSu1IDKc&#10;KyD5OD/mpLGUSkVa+dHC0P7sMaSPiFSuSvJ21UhwUYls8O61LMVlRkKkOANjhMiQTPsnSAQgHUmB&#10;aIjyUks5lPk9IUDuQet0Axl3vkTc73+JgJ/9Axz//u/w4Kc/wY3f/BpXfv5z3P/xjxHAbdIXv0Pu&#10;9W9Q9PA6Sh1vU2ncpQq5j3L3B4TII1R6P0GVjwO6ebItZCZgJT0BOznpOKJd2SzQYNsonejNBCr/&#10;LyYDLgr4f87OxVFiMs7T0/GquACvCmllElJwxLvppoM/NiQ8grHpFYzj6ARclhTitQCktgzvRH3Q&#10;NrxvrcCLqlJc2KSxdR1eNzfgWaVNVaWeZFLJJGfjgJ57j9ujLC1VD1VfvhbnxQSV1YiXDeV4TpCc&#10;VvN4qoHzVitO66n2ygpxXMHfo60al1QZl1QYz6doX8ZaCA8b1qpLsMv3nfU14HSwEadUKmeTLTiW&#10;XiATDTij7TkerscW1eS6qA4qynUqyhWeA4u0MFN1BAct7ATVx7itENOS96DqWKPNkTL3uTo+RxU7&#10;VqrBcGE2hnXZVLmp6ExJQishUhcRjRr/UNT6UnX4hRImIajx4X5gGB+HoNLDj7+PD4qd3WHy8oWV&#10;9sdCQJQHhcASFAxjQADKQkNRTrCYqD4M/gEo8PFVFqYoKFBZmPwgX+QF+UArM22VXfFELiNHweMJ&#10;0mhbMj1ckSvAePAYGbdpXxwckenminQnJ6Q5OiHZ3QNx/LsJhF5Saq4aus3IMyAzvwRZtCF5VCFS&#10;+6GjctCaGgiHaqTrKxh2eOTydX15PaMBucYqpPM5sTXZRVQnBUbkGytQRAVSbJNp/TyGVieNNiip&#10;uBrxBVLBWopEKpl8mXRX00mQtKpGQ6VUIOUKIKJCCA9GpWyb2mBrbCFA2lFPgDR19ylwfFQgAo72&#10;/iF0cts3No7+CcbkBMbnF7C4vo6VrU2sMTZ2tgmQfeweHWPv+AR7JxKnBMkJlciRyoksbOwokHzy&#10;8Oo1eNy5A32IP6YK7a0Jd2krZHhXchRy0R9TPVy0WdTIyjnvRKe80xzQzmxViGKhxK6VqtViXBIi&#10;MpSrCssYp1QuJ/VG1UdEpvcfVEpytggX0k9ESt6rpXuZhlDRqL8rIzOLBNdsSSbG9ckYzI1Fv1Ig&#10;shh3EBqjfQgQWRfXEUapB3G5jdz73yD56qcI+8WP4PmPfw+Xn/8UD373W1z/8itc//R3eEw1EvzL&#10;nyPly0+hufkVIULF5XDzz0rE6v6Qd79HqA9wxURyFNYyk7CWloCt/AzslBIgZXp+HwI8M4MKodxI&#10;JVCAs4xsHMcm4IIQecP9FwmpOKan3yU0NlwCse0Rhr2QeOxEJOI4KQMviovwykz1YCpUTZG/p3J4&#10;V0vlVlGMC6sZz+tr8KajBS9bmnBWXk57xO9HmgtRiWzHZ+CQADmkMjnTFyiAXBAgL1psuGiy4pgQ&#10;klEh+Tce8/kjQu6UVuiipQan7dU4od05p805pULZpfrZ4N8/aLLhpKuONqWGdqUWJyMNOBitxdFY&#10;vRryPeXjvd4q7PZWq1gneAQes/Wy7GQhhq06jBAesoDUQpNZAWSR58U8bzACkHn+ztMVeoyU5GJA&#10;l4Ge7BS083ttS0tS+Y1q/2BUuHoTIkG0LRFUIgQJn6v3DUatZwDMzp4ocnCF2dsPVoKjjBeyOSBQ&#10;rW0rE+PKw8NhjYhEKYFSSOWh9/aFzsvHvvRkRIhKpOrDgggSP2R6SzKUoPChNfFwQqrzQ2S5OyHX&#10;yx25Lq7IeyIr7zsgy9kZmYx0BwekEiBJXt6Ip/JJSkpDaoaW8ChGts5IeJQgUysNk01UEuXQFEsh&#10;WQNBIhCpVNWoMhIjyznoLHWqtkNK01PV6AzfY5A6EaoYk/XPAJEh3RxTLZJpgRLEvogCyTchgTDK&#10;q2iEtrIFWlsjClU7gDZYGttR0dQKa7PkQzq4pY1paEF5bROqGlpRT6A0dHSjuaf/zxBRIBH7IvkP&#10;KpC+iTFamElMLC5SgXwAyPZHgOxhhxZGQYQA2T894/6psjICkMVNAcg+Prn+29/hzle/R+C9u6hP&#10;4gVEObotK87xwt6gpZEk5w4vfKkqlaTpqZpcZ8BhneRDeCwBss+tTKiTyXdSDyJDuZcEyBnBc8K7&#10;1TFVjDRrlu5lYoeeykLdPNlEtcikvTO+90gUCWG1yr8/X5KFSb19uv9gdgwGsqIpgUPRGOOD6jDp&#10;b+oMk4+szn8beQ+uIu3bzxH5q5/A/5//AV4EiOOXn+O+rI37zVXc+c2ncP7FzxH26S+R/s3n0N66&#10;CsPdGyh9dAvlzvcIj8eo8nZEV6Q/lrOTsZGRhPWMRGxoM7BuzMNGOa2LrRiHFSU4og05opI4zM6h&#10;tUjCWUyiAseLuFRcRiYRINHY95eFpaLt8OCFv5NOq5OTj0utDpd6bo06vKb0f0+b8aqGNoMX/FMr&#10;1Z21ghCpxYtGqoIyCw51VBH5BdjP02E3i6qQADmWQjQz7aHNgnOqmUvJmTRU4ryewf3TWtpFC4Ft&#10;KMRBCZVihRn71TIKRnvU24SDzhrsEjqHrbQ5Xfw73Q04ooU6ldX/x7lPeBwLQFQCtolQaVQFZbsD&#10;NVjrtGK5vQJLreWY5O/YZ8pDPxXGZFURFqgw52lxZ6r1mOaNRSCyyN91lnZ1pCQbPZoUdOWmoDOH&#10;kZ2qajuq/GlbCIkaT38ChNaF4Kh29yU8/FHnR7h4EyJefqgICCZAwvh7+6sGQSWERInUgAhUQsNU&#10;/qOYYFEJVE8vaP39YIymMomPQnFUmB0gXlQdjBxfD+47IcvDEfm+nsjz9kCumxs0zq7IcXZRHcgy&#10;nRypPhxV/UeCfyASYxORnJqNlPR8pOYUIoPqQwrIMgiSNAltKVI1RmRozcgx2JBXUknlUUGFIfUe&#10;JrWglL6iHnmmaqTwfSkCHoOZECFASssJkGoYq+pRVEmAmGtoWayIo4qRiMozIo6fn1deR/XRhAKx&#10;OtUCkGZY6ltQUd+sEqeSA1F5ED5XVt2AitpG1BIsdYRIPSHS1N2L1r4BtPUNqm3n0DB6R8fQOzaG&#10;welJTC4JQNawvCkA2cLm7q6yMVt7+3YrQwuzd3yqALIlNmZnn8fuYnlrF5/84n/8v/DLf/gf+PJH&#10;P0LUw9voz0/Cpi0fu1X52LJRhViyqEbysCd9UWk9DutlSj7vjg1FqjZkm6CROKqjsuBd6Hm71INQ&#10;mlOpnMncGknC1vC9Npmsxzt3Q7GyOC8JGYmPVaySX9mv0mOzXIslYxZmC9IwqU3GaF48hnJi0Z0W&#10;jpb4ANR/sDGWAAfamLvIf3wdWTd/j/jPf4WQn/8zfH7+Ezz57W9w98o3uP31Fdz87ed2iPzqVwj9&#10;7adIu/I1tDe/RfGDGyhzvAMb5Wx7WABms5KxqSE0uN0iPHaM0pJRRp5KsFdhwFZhPvZ0Ghzm0LoQ&#10;Gkfh8TgPicWJbzj2vcNw6h+Dfc8wKpBQbDoHYImxHpGgkqEHKVk4Ts5UquVcm4PnZj3eWIvxopSQ&#10;ECAZCdpSfg82G15UV+GshJYvR4eT/EKc0s4cFvDfoCVki804txIUVTYcESIHBMSO2UiQW3DcVM3v&#10;txz7RYSOTs9tEbaLi7FlLKXCI0QaCA9Z8rKB7+2ox0l3E44JkOOeetoYAmSsEceEyMFILQ6H63Ay&#10;SsAQIkdUItuyEFSPFevdlVilEpmkdRng9zNYkofRsnxM8Led+gAPiVmeI3P8PSdtWgwUpaMjNxHt&#10;OUnozKONyUlDQ0IsakOoODx8UeXmjRq/QNQQFjYnd1hdPGAjKAQg5b6BKPcLQhmhUurihRJnD6VK&#10;dI+coHdyU9PzS2hnihkF0rvUy0t1UjfGRhIg0QRIKHTBfsjz81KR5eOGLN4stAHu0PrRztCuZDk5&#10;I/tDSBvDdMcnSCJE4qk+EsKjkczfLS1Ti3TpNpZdQFgYCA0j0gUihVQZhWUESSmScw1IImBSNcVU&#10;JqXILhB1QptjtKoeINKNLJnvS5LXi8yEjBkao1SkVqKkshaGqgbkExTptDpJVDEJtDBRuSWI05Qg&#10;nyrFUNsCQ42smdsAE8FR3kj1QaVRSXBUt3YzaGckkVrTgPKaelTTytTSytS2dVCJdKGpqxeNnYRJ&#10;VzfaBwbQPUIbMz6O0blZzK6sYGFtDUvrG1ghRNa3dwgRO0A+QkTUyB4tjIBEkqrrhMgKIfLJj//u&#10;b/FP/+2/4Z//+q9x/ac/QmGQBxbMuaruY7fKrjCkv+meJD55R9mvLVDwEBtzRNuyx8e7PGkO/n9k&#10;/Xd/FNmapYHW17gz09PTfU4fU4YqPAiEJOSFkQB5771N773PlPfeILz3UA7KUngQHgnhq6p75n6G&#10;ddcbCXXOzP3j/UVmZCqVUkQ88ay9d+wQWNAsZASqAOQ1486jKR4cYwHGlxB3Yh6ArIdc96GxVeCh&#10;XGsj7SdK5OHn8fdco4X8QAv5JmhWACIWIsPbD9NC9ml5hmorp4XkKzEmnL8NnswkGBM3K1231Wto&#10;IAKQxAQFIOlb4llbsCMmBrlrN6AhdjPMqQnwZyWjN2cbd+BcnJOu2hCB4bHimsuM270yOTStg6r/&#10;YHqAMasHt8N+3LU5cF/m9yA47tW20ThUeFDVhptlTbhT0oJ7ctFcdQeuM8L8WFiNW8zO9/kzdxlD&#10;7qkseMDlA7MFTwMevIgE8MzL/0cohIc9tLtumggP9mdyrUyQkHYGlIbTh/4u3Av14nZ3P272D+Lu&#10;4DDu0UJu9/I79fXgZi8h0c9I2U9QuDy4arTgZojQJowWBobwCz/rJ18A1wmUXxijbjEu3d87iTtz&#10;Y7gxOUSgjODu/jE8OM4oc2Yad09N4NaJcWUA2f1zM7h7ego3+fwWY8zNo5P4cW4YFwjAM52ER48P&#10;5/q9ODdME2Ec/YbR5SsuL/Hkc3GMrw24cIwmecCpxbxNw2KEsRsxb9Jjr4oQoV0MlXJbVlUxvtRi&#10;oqwCI0WlGCBI+vJLMURwSPXmlaI3uxjduwsQ2pEDV3qWco1KqKiEcYaRhrElUlutTB7U3daMLlak&#10;jfBorFPA4aVpeMtpHyUytqMgOtuYzH1K63Bk58HG+CK9L7acPJhz86ApKoJa2j4YUQ0EiM0ZhIMH&#10;vsQWe5DwIAjMvi6YxUAICykzX9MTIFp7EAYBjbSVcL1PDGRgUmlMtdBKjGIwBIuLFuLpHmDskRgz&#10;gc6xGQJkCpauERgio4wuNBBXFCD+kWl0zRwgQOYJkKiBCEBG9x7E2N5DGN93GBOMMQKQIdrHCGuS&#10;ZjKz/xDmDh7B/OFj2EeA7OXj2YOHsP/4cRw9exanLl3CpSuXceXnnxUD+V4gIgPJrkmMuY3r0isj&#10;9d5IBCJ3HzzEbdaNe/cViHy09uOPsfKvf8fnf/4PbPjLn1GVkoC9FkaZES+BQYhInBED4VnmDqPM&#10;bQLhHuPGAx7s92e7sUBVvcfH93jWeUwQLNEqZFDZu6NyU26eMfmaDIO/R7u4x599NCUX7L1vL2Hk&#10;kbEmzwgigckzaaRl5BGIiIn82OPCJb9BAchJxhixkAP6OiXKjDYUoJ8xprs4Uxm2bknZgraYNahe&#10;uxIFBMiuxHhCJBHbtm5FBmGyLZ7PaSP5G2MIEZpIShxCmancafPxjdmAmzQDiS/XqNk3qOZ3BCBj&#10;Paxe3B+mBQQJQoMVD6VNo7oN95vUeGagVdAu7qpMuFurwsNGHR60m3Crrh13mlV44vXQOBg/tGbc&#10;bTfjkQwuk+tjaDIvIwRpkIYR6cazHtpHVw8eBRjzfEGCI4QnriAWrIyRBhduuml7vYO4STO5Fe6i&#10;YURoJCHcIxQWumhujCt3PDTGdsYv1k1GplvuAH7S23CZtvSd2Y4rdgcuu+UevbRGWsvVrhB+CPgU&#10;qNwckvleBrBwcAQLR0Zx99gY7p2awj3C49bxsWgdGcfPc4wvA2GcibhxNuzGhfcGcpHb9UueGC6O&#10;B3Cq34ETPVac6rXhZJcFR7w67LepMWtsx5SujfDQ4aDVhH16HSabmzBCAIzV12G6qQkTldXozylA&#10;T1Ye+nKKMVxUiaHCCgzklKA3swDh9D3wp2bBm74Lvl05iJSUEiBVCNdUoLOhFoO0jgFWuKUBfmWO&#10;0yp4KxlVFNNgdCmkaZQxyghQSkrgzuNzufP+nhzYCA6rtHvkF0JVWQlVezs0OiMM3L42RwAOAsNF&#10;q3DTHuwEuoVgN7PEKPSeCJed0LnD0BEeMsGQlEDELb0otA8Z8i5tImbaip2fI20gzkgfvN18vX8U&#10;4ZEp+IcmYe8Zg6V7XBmJqmKEUfMzPAMTiEzuUyJMiKDpmphBPy1Eum6VhlPGlbF5Gskco83ULMam&#10;92J6/iDmDhxWoCE1L+0hNJGZ/fsxd+gQDtNCTp4/hwvffIXLP/1AePz8vq7iJ5rIL9dv4NoNxhmJ&#10;NLduEiLR3pkbd2kkCwtKr8y1O/fwUeyqldiwYgXWECRr//ZXpKz8nJTOwwWq5zWeWW4Nu3FzkDvx&#10;oJuP5TlNgmqqXG0rXbPSuyKGIaNW5xlPDglAhvD26AjeHB5mTJFrZQaUaQ/vEx6PpzvxmDubTB0g&#10;g9WkpNH1JY3lOd/3ZG8vHsrnTsjVu35c5vc465GrOduVdpCDBMheAUi93IFuD3pKshDMToedMUa1&#10;ZT1qCZDCDWuxK24TMuNisZ32kR63hQCJw87Nm5G5Zi3yV3yOxjVrYCMsZ6mzP7iMuOY04md9B64x&#10;wlzrdOE6z653eoK4FWKcIwju8SB8QBAsGmzRsR1aEx6arLhjeD/eo0mDJ81aPFYTFnUdWCBgHtls&#10;NBArFvQmPNCZ8IjLRR7ILwN+LHs8eOrw4BFh8SxEgBIki8FOPOWB/0TiC3faGwTAL3o7Frhz3mec&#10;uW2XrmMfweTDA0YpiVML8pggumdj3OTvv9bB78+z5g/8jldatfjJyO3odOMHpxOXnXb8SPu5GvLj&#10;Z7+HRUCFw/ilhxAhKB8cHMd9guIebeM+Y83C6WnCYxzXDg3jp7k+fDNMeBAcp4Mu5Qrcs51OnO5x&#10;4syAB2doqcf7HDgUNuJIxIQzfU4cD5kwZ2rBrL4VswYZy9GMGU079hl1mNOqMa1qw2RrE6ZamjDb&#10;1oKxKlpEVg66CZBhRpb+vBJGzTwFKJGM3fAlMbKmZMK7fTcjTCG6qyvRVU+A1HPZVo9eAqpL1YIQ&#10;ARJsqmNMqYCvpIigyKVpZNM4CpRuW1dJMTy0D3c2oZKVDcuuPbDk5sLE1/VlldA2t0Kl10NjtsJk&#10;dcPhCsEZ6CZAeuHige/gUikCwMqltGsIQLR8n5rbTcPSsfS0ESsB4wkNwN89ysgS7cIVgNiC3YxB&#10;hBJNJKg0pk4y6sgUAKOwEzi2ngnoAn1QSbtL1zAtZAbewUn4BscRHp1ED2PK4MxeQmMfbWQvBmZm&#10;MTjN+PIeIDOMLwpAWHNiIqy9tI9ZAmTvgYM4RAs5fuYMzn91CZd//J7m8TN+vCbw+AVXr/1CgFwj&#10;QKJ1/eZ1msgNBSLX39c1WslVRp2PkmPWIX7dKmxauQIbP/sEMZ9+jJLkOEwZ2/CDXDU7LD0yPDsP&#10;SFuImxYhF9gFlPvB3JMZ2Mcl2vBsSQMRgDw70IdlQuQVgfCK8Hh5eAjLBMmjvT1Rc5mklvNnZA6S&#10;J/yZF4TG6yMjhM4If24Ei/uH8HTfIIHTp0yB+FOfG1/SQuTamKPGRhzU1WBeVY6JxgIMV+egr1Tm&#10;CGGMyUqBdusm1PFvKaWJ5CXEICd+E/ZsiUXm5k3IWLca6Z9/hu1/+zuy/vw3FP71Y5gS4nC8vR7X&#10;/GZctWhwVafimduKG0EnbvhoFjzYbjisuN6hwd1GGkaHAYsOGSzmwlObHfda1bhd2YTHLRostevw&#10;jAfsAz6+y3iz0Nih9NI8Mpvx3OPCc5eD8LDjldeLNzzwn6ppMi06PNQ58NQTxstOxrpAJ54RHo9Z&#10;91n3nAQ1bWOR0WUpQrgQOi86CRzGqTsORi3C6Tbh8CBCy6Od3HATCHbCz+bEdYMFtwiru4xKdzuD&#10;uOZ14Ue3HVeDXvwS8eOXTpl6IYIbgz34ZagbN6cH8fjEHB6cnsOdU9O4d24O987O4faJSfzCbXKF&#10;2+LLQT8u9vlxrouxpcuFk4T7sZAFxzptOMI62mXD8W47ThEe5wiVwz4DRlV1GFc1YFLbiqHWeoy0&#10;NWCaljDL//VeLqfamzDOA36sSdo6ytCdW4ChkjKMVVejjwd6JCcHoaxd8KZthyd1O3zbs+DO3I1A&#10;USE66wiO5hr0dDSgR8PYom6Gv6UOgYYqBGvKESgphDd7N1w7d8C9i59RkAdPUT6cuTlw7N6tzDZm&#10;2bkLRi71OdlKdDHUN8OkNUJHeOj5fzTZPLDTBt084L2Eh5vAUGASkStx+wkEGgXXWxlnjO8horEH&#10;GGVYNj+Mir10wt85gFD/GPx9o/B0DSrtIwIQZ7gHgd5hRIbGESQc3H1jtJARWBll9LSVDsYniT7+&#10;oSnCY4LLcUTGJtE9Pon+qRkMzc4RIHMYmJ6mfcxgmBAZnZnDFCPMrEBDgQgBQmjM7T+gwGOeIDl0&#10;7BhOnBWAfIlvvv8O3//8E+FBgBAkUj/zsdQv135mXY2ChBC5fovwUIoAuXFTALIayZtYG1cibvUK&#10;bPr8E6TxIHRVleBilxPXRnxKI2m0MdWF+xMye1lYuSudRJK7jDUCBpmh7PG8XGBHJZc2DSlCQ3pk&#10;ntNG7s3KtTC+aFfuODM6f16u2n1FuMjQ9xdU5+cEyDPurDJNwOP5fiwwzsj8Id9x5zzv1igX1324&#10;o91MS7Fyef9QZTa6i3YikJMBU2o8mjauQeXmNSjeugGFWzYgb/0aZBIc6X/7C9L//GfC4z+Q8+e/&#10;oOTvf0Nk1058b5P5Pcz42aDCVYMGN1xWRgYb7jhpDzI8ncuFNjXuVTTjcauOMPBgORzAMs/ez1R6&#10;PCltxGK9Cs/lfi+0lCdyNS53wCdG2orVgmWvA69CbrzgZ74kkF6HAnhusuBRmw5POix4qndjiRHl&#10;BXfEZzKlod2Lew7GRy8BEozgycCQcje7pb5oo+vLUf5fhzvxqItwcREUJjvu8n2Phodxt68X9xhp&#10;HjGWPCQ0HvYzIo3R/Ib4v+9iXKE9/NLpw1XWT50yGjiEG/y8GxOE9fwoHp+ax4MzexWA3KGB3D45&#10;jdvHJ3Hj0Ch+mO7GlfEwvp/sxtfDIZzuduBo2MQy41iEUSVkxgmuO9XvxgmxD5rJAZ8Rk6ZWTBpY&#10;jDAjmiaMaVswY1JjL//fe1Vc31KPQVpEL2NFb3EJhirkEn3CpJFwqCpGZ3khbSMb7qyd8OzKgo8H&#10;epDwCFYU0zCKEW6qQndHI3rVLehi+QgPd2kBvPmMO5k74E9LhTclBd4dMnI5G57sXbDt2Aar1M6d&#10;MBFOetqJOi8HqvIyGFUa2KxOWGl7Fm4Hi9MHK2Fu94TgYmTx0h48hIiH9uHmNrNxnY0GIiXtIkZu&#10;SwMhoueBr7P7YOD2tHO7esLdjDFDCA+OITQwBh+hIW0gbumN6enn+lGlLSQ4NAFX7wgskQEYg700&#10;kCDMXIbHZpWG1s7xKXQRHr2TU4RGFCDDLIHHIK1kRDGQOUzSTAQg0RjD5UExkoPYy/gyf+gg9h89&#10;jGNnTuHcl5fwlTSkEiJXWN/98D2+//EH/PDTj/iRUPn5F6mf/2EljDTRwWZ3lYbWj3albkLKpi+Q&#10;EvMFUjeuQuL6VUhauwpVGanKhv9Bbm0pF9GNyOX3TmWuDxnD8WxG7lIXUu4fI70nC9OEyiwz+XSI&#10;UUVMI6iUzKkql/zf4es3pLeG1vJ0ukcZ4SrjQZb3D+AFFVmxjwNiH0N4JgDZK+0hnbg9GsTVPhe+&#10;9ulxytqCY6boTbnn2sowKRMuV+cqFhLO2w57eiJaN65FVcwqlMSuRt7aFdj18V+w7d//F7b9679i&#10;+7/+G3b96c/I/8ufoY3dgCPU3us8wK+Z9LiqJUBsBlz32HDX7cCC1Yq7Bj3uabV42KLCE8aSZ7SL&#10;RYkhDgeWnA48o2E8LqnH05p2LNs9eBUI45U/iFfBIF7TFN6EvFx68LbLg3fU/t8Hu/BukH+324VH&#10;FgeeWH145iAUeIZ5yWz91P2+7cMbxO1gCPc6u/B0cAiLg/141h3C8mAEz4dCeNztxVNaxH07TYkx&#10;5x6jz6PhESz09/H9/VgeGcDTgS48GZX2pT48ZsmdBW9PdOEWgXJ9MMTYImNcZFQx7WOiB3f3DiuT&#10;GN0/Rvs4TnAcIziOSPtHdBzINW6bH2d78AO3m9yS4bi0bzCqnCIoTnU5cNBrxAHWwaAZ+wJGzAdM&#10;2EuATNnVmLSqMOPQYsauwYyNZdVgkgf7RH0tphrrMNxA2ygvxVB5BaNpPYZoKT0tVehprkB/M0FC&#10;UASKc+FnBcsKEeHJLVhZDG9lIUL15Yg0VqOzsRYRxhaPdNnu3glbago8CVsRiEuAL34rfBlytXUm&#10;XJnbYN/OyJu5HVY+N+/ZDR2NRFVYCA1/t9logoMW5yQ4XO4gXIyOTl8EDi+jBMHg8ETgpoF4CQ8v&#10;IeIK9SjtI1bah0wwZOA2lNITOjrCw8D9wub201xoIQRFaGAEwX4ZgDaE4MCwUv5eWT+EzuExhAkR&#10;NyONjXZjJqg6HH4Y+Pu7CI+eSbkVplzBS/sQ42BsGaZ9DHHZR6j0jU5ggHYyPDmtAGSO5iHtHvOH&#10;GWMEIAdpIISH1L7DB3Hk5HGcuXAel775Gl8TIt8ISK58i8vfXSZMruB7wuTHn3/8v6zkKiHyRy/N&#10;7bv4qL5kBwp2xmNb3BokbVhJkKwnSDZiR8xG6Ap245jPhGs86OUamOsDMjrVrRjIMg1hcaaHEJE7&#10;0jGDT7EYSe5MBXFTJmce9SiDxGTEqRjJAqFylyB6LHOFyDgQwkOmQZTHz/fxACEwZELmxXnqOiEi&#10;N6uScSQyfuR6vwuXA3qcc7ThpKWRFlKL+Y7o/CCjNXkYKN+NTsYYe1oC2gmQ2vUrUbT6U2T+7U9I&#10;/1//itR/+Rek//d/wbb/8a/I/Pc/oZg20rlnOy67DLjqNOEntQo/ExQ3XHZlTtN7hMc9Ro8bDU24&#10;XVqNh7XNWGxjTGEsWaxpxWJVMx4UVuNBSQ0WyxvxigayTPt45nYzhgTwlgfwf+0dZ43i9/mR9zWM&#10;/++RCfyfwxP4dWYIL/q6ldGmMr3hPZMb99V2PNTSeLjujod2EQrjiXTtEgrLA914MdaFFzS3Z51O&#10;PHRbcJ/gu0PQ3fZ58WCE/6+5WTyZnMCTcYJ4lCDu4/94TLrVR/D00CAeMFo+ZJx8dGwc9/cP4/Zk&#10;L24RHAKPm3x8e4aQ3zeKu4cncYcQuXlsCtePTbDGcf3oKH7a34fL3IYySfLZfgejioWWYcfpHheO&#10;h+yYt+swbVZh2qrGtIDCqcMkYTFibMWYuR3TBMgs1wlE5H2j7Y0YrqvGVHMjJpoaMFRThUHWECEw&#10;0FGPPkafIXU9Rlm9zYwk1UVKRerKEKwqgqtQblGaDR9jiodG4mX5WU7ahCU9A9bYBLhjtsC3OQ6+&#10;rYnwbssgPLbDsYPwYFmztsGSkwUjI44mOwftjE/ajnbYGE1dLi+LB703BC9jho8HspegcDGKRE2k&#10;Ez4CxCPrGG1cBIqDJmLh60a+ruNBr2H0kSkPjQ5GIE+AP9+JQFcvgoRIoHdAgUaQ0TTME0R4gEs+&#10;7hwaRefolNIW4uoehjXcDxUtRucOcP0EI8ssrYNF2xD7EPMYmZN2EBoIgdI3NoY+nkgGRscwNjOD&#10;mX0HotHlwAFM75tXau7AfkaYAzhw+BCOnTyBcwIQxpivFIh8TYhIfaXUt5e/UWDyHY1EbCQKEok2&#10;13H95m3cooV81Fa9G3VF21BEiOyk9qfFrEHq+tXI2LAGBUnx8DaU42I3VZlRRoacy53m5CbaAo/n&#10;csBzKTbxkEYi3bp3aSAyf8i9cR4cIx7IzGbSaCozmz2ihUij6ZJ0987yDDlFRZdiVJE5WR9Tk5cI&#10;kBcHhllU9/k+pdfm1pAbP/Js96VHRQtpUm62PS8G0lCIsVoCpGK3MlWhMz0eOsaWlk1rUL7yE2T+&#10;6V+RRngkEx4p/+1fkPY//ie2/9u/o2H9OszUluNHrwm/cMe/qu7AVZUaN3j2uW0w447BhHtGIxaa&#10;2rBQUYdHDS1YUhMgzR1YriVACmtxOzUHd7OKsVTdgte1XK8yKG0jr7oj+HVqGP91cBr/dXIvfj+7&#10;D/919gD+zwWpefyfc7P4z+NTeDlJQAZoaTxT3eww42ZZKx40G3GPO95tGswTmsSLMf4fCJpXtInX&#10;07SUqR4s0T4eeexY8LsYV3xYYDx5OD3C/+E4QTKA+8ME8SQhPDuGl8fm8Or8fjw7MaXA4+HRYeUC&#10;u2dn5nHvwBju0DruTA/i9tQAIdKPa5N9uLZXhq2P4SpB9/PhcfwkA8hoiZd5crg05sW5AQfO9Fpx&#10;btCFc0MenGC8PETz2Mf/45Q0lOraMGXqwLRFg1F9GwY1zRgxtGHC0oFxgmSUVjuua8EIATJIWIy1&#10;NGKUkWWwvgYDDTUYlJnTOxowqOK6DsKEIOmkjfjrSmgbZeiU61kqCuDI3QXn7iw4d+2iTTCWMIrY&#10;dmbSLnbCnpIOx5at8MRy/6WBSITx7NwGJ+3Dui0VxvQk6LanQL97B7Q5u6EmeDrqaqHVamB3OOEh&#10;wL2+EALBLvjDPazeKDAEFv4IYdCFAKOHJyTgiMBG0FgYU2wEi50wMXsjSnzRWqMAcdAoA509CPf0&#10;IUiI+Lt64O3kZ4VpM5EIAt3diPT1o2eIABifISxm4OuXXpsBqAkjHW0oQrgMycVyc/PK9S5S0usi&#10;8BhVShpQaSEjI+gdGqKJjGGCgJlVIBIFyCTfMz0/j3k+P0grOU6AnDl3FhcuXcTFLy8SJIwz37C+&#10;vciSx1/i62+/ppVcVmLNB4iIiVy7fgM3b9/GR62Vu1BflIGqnGSUZiYgL20TMresRNr6FUiPWYvS&#10;jER0tVbgKyrrzzSQn97fif/hWEiBxzIh8ozLJ4TIY8JBrpWR+8Y8mAlhgcZxf9yPh+PRGd9lnpEl&#10;vmd5b69ScivNewTTbX7efblwjwBZ5tnx9eExpW1EunYfc8eVK4R/6jLhG68aZyzNOKyuxt7mEkzW&#10;F9BActBfnsUIkwZXRhwsSZugi9+A+rVfIO+vf8a2//k/owBhpdFA9vz9Y/hzs/GlnXHFa8EtpwG3&#10;jFrc0Whxt12De6zbLe24TXg8alXhUWMb7tc04GFTCxZ1Oryy2bDcocOTolo8KajBUxrIYiUBozLi&#10;VSSMd6P9+H16CL8SEMujvbSBXrymifx2aha/np/Bb6zfz8/hDWPC8+lhRhHGPsaQO806ZXk/xIgy&#10;OoiX+6bwav8kXsyO4NX8KF7L3Kj8zKc9fD8j0F0bLcnjwINevn9iAA+GaBGMNQvdjI3DBDHXLR+e&#10;xpvLp/Di62NYODCKWwTQo+MzeHLuEG7uHcN1GsrN8X7ayCBujPfh5/EeZUKgy4yY38z04pvZvuhy&#10;irGFJniR2+oit8XFQTcu0S4vMs4eDTGu2FXKOI8ZgmNU3YQRVRMh0YZRbRv6OxrRr6JhaJu5rENv&#10;Ww1G1LQPAYi0fzTTMOqr0V1XiV5GGVk3rOLrfE8/39vZVAFfbTF8YiCMLYGSAviKZe6ObHgZP5w7&#10;MuHcnglbxnaYklNgSUiCXexjSwL8SUmERxJc6Sm0jww4sjJg2UZwZCRDtzMN2l07oMrPhaq2Gpr2&#10;Nui0OhqIAz5fEEEaQzjCg76L8YIVlLYKAsPDuCgA8XcSKixnMML4EoDRybji8MLkDBAmYZh4YtDb&#10;5foZdxQgkW6EuwmPSBeNJQirxweLi/HG44WHz0MEShfjTN8YI8rYDMJDk3B3D0HLz9MSQkFGHOVq&#10;W0JDqb37lCtvR6QNhLYxTAMZkmgzMkoQDREkwxjjutl9+xULmd63j0CZxSTfLw2pBw8fwZGjx3Dq&#10;9GnFQi5cusCSpRjJecLjIuFBC2GkEYBI+4jEmWh7SLRNRLp4P2rhwVdflI6avCRUZSegYlccCjNi&#10;kBW/GmkbVyJj42pUZWzFiKYOV3oc+LnHxkjhUA78J5OMIFO0h7Gwcvm/QEQuuHtCXX40362A5L5M&#10;TsSS+848ngoQIF0KPF7QLhZpLXcYiX7ptOLuoJdW0otXB0bwlmc+mQ1ehseLwdzkWe/HiAFfuTtw&#10;2tSIQ+0Vyt3oJgiPYdpHb+kOhPPT4M3cqkwiZCVEVBvXoPrzz5D9H/+B1P9BC/lv/wPp//KvaE9M&#10;xGGDGldDLlxzGXHdTGCY9bjNnedWUzvutXTgHuFxp7wOC6V1uFtUhbsl1XhMgCyptXjGetJK42jV&#10;4jWhsdyixeOqFjzm8gXjxLvhHvzGg/E1D+znAS+Wg3684kH6TgBygUZycS/+95f78PuF/Xh9aApL&#10;Xfy/cSd6SPjcD/P/1ElLGxvEq70T/B9M4tWxGbw5SZPg45eTY1jkjnGfZ67bFhvLjHtBwpe/8+HE&#10;kAKRhd4IHvV34nEvt8voMJbPHcfyN6dxa4Ym0RPCrbkx3D82j2s0le+lO5fvvTU1hJuzw/hldgA/&#10;EhhfjfhpGB6cHwni/FAQZwf4XMZ7DPlwSWYk47a6QCs802/HIZ8Ge23t2M+IMm/TYkzTRIuow6im&#10;BWOESD9t4gNAetvr0McapYGMqpsx1NaIvqZadNVXIlJbgS5CZKBFoksTBtQN6KRxeEpyGFFyECzO&#10;R6hQRqDmIliQh0B+Dvw52fDQPNy0DmdyGqyMK9Z1MXCsjYFnE+NLUiI86clw0DokttgFIDvSYNie&#10;Bh1tRMv4oi4vg7qtGRrah1FvVADi9/OADnciJAc9wRERiHAZiIiJdCsA8REuPlqFwx8mDPyEgU+x&#10;DWk0NTrkMZeEh5nrnASIn5+nwMMf4jo3dNx+eosdVqcbXvl9/F2dfYPoGR5D94jMdDYOb88QDO4g&#10;DcSjRB7pphVwjMyyZBzI9BytQ+DBkkbU8SkCZJwAoYUwyoxMTmJqr3Tp7lMAIo+nGHkEIAeOHMVh&#10;AuTEqVM4e/4czl88zzpHmJzl8sx7iEQNJNo2IhbyPX74SUwkWgKTj5rKdqK+OA11hcmEyFZU7olH&#10;WVYcijI2ISdpLXbHrUFOQgx0RbtwxKXGj/02/DJoVwaYyf1zH7PuD0kOp2FM8mCYZ/Zm5n50oBd3&#10;aSF3CI0F1oNJHx5N+pX77y7NdjP+8H00kLvcUW8STI+4s76YH8DrgzzbshblCl6Bh0w6xLz9XUCH&#10;i/YWHNcyvjQVY7omD2OVe9BfsgM9xdvQXbwdnYwxwV3JcKfHwcgo075uDSpWrMCOf/s3JP1//juy&#10;//I3vreIn0V4BAlDG+MLYXLLbGSMUeOn+mbcbm7HfZrHzdIa3MqvwL2iajypbsKTygbc3VOs1IPy&#10;Wrww2/BrOIxX3AEeNRA6lTQRsxXvRgjBMUa0bj+eOO14aqWx9ITx5tAk48w8/vMsIXKGMebcPN4c&#10;mcIy3/98rB+L+8bxZGwAzzr5/+nnz9NOnu8f53um8froDF7sI0zmprA4MY6Fnl4FInd9PlxzOnBV&#10;xqkM9ON+/wDudnUpt8dckNGq1OVbw7SLqRH8NNCDK5EALhMil7tDuOJx4wp1/buQ3P+4F7/MDOLH&#10;2X78QNv4st+D0xEbTnW7cJJ1LOJQHp/v8+K8XGHLSHsyYlHs47BPh/0uDQ44dTjklsl+VBgnPKa4&#10;nDB2YIhAGdG3YszUjmEu5fEoa4iW0dVQhUhNOcFRhXA14wkf9zZWo6e5GqGaUjhzsmDKSIMzK5PQ&#10;yEe4pAidpcUI5ecpPTLuzJ2EA6NJahrccVvhXLUBrs/WwvXFOrhjNsOTnAiXwINl3Z6qwEPPpYrV&#10;nrkdWkYXQ1MjtBoVtLRLk9EMu92pACQsAAl30URY0oNC+whwGSREBCRiJEEaiMDEybgjDaVKeeSK&#10;3QCsBIqF8LC5aBgKICQOdcLho60QICqTFe2Mygarg6+H+LkESO8AD34aBCHQRZAE+oZhZ4wy8nM9&#10;jD39k9PKuI8oQPYRHHsxyHVSAxNTSgPqIEsg0jc8yscTGCd0pmSOEEaXmfl9ipEIQPbTQAQiR48f&#10;x+mzZ3COEInCIwqQC5fOMdZceB9rpE3km/cNrP8oAcpHjSXbaCCpqC0QgNBCchJRsWcryjO3oGR7&#10;DIrSpbagJjMJocZinA3qCRGrMpfHXWbgR6MEB0tuyP14QnpeQsqgscf75JYOYZ7d5G50csWtW5m4&#10;WdpCHk9E7737TC60YxR6MBxQTObVPM+8+0d4sAzRVjpxW+yky4ofggZ87erAOUsTjmmqFYBMVtE+&#10;ynYpt2/oITz6yrLQW5KJrrxtCPK72pNiodu8AU2ESO5f/4q0//4/0Myd6hhV9ZrfiWtec3TUqd2M&#10;m9JgqjXgmtzzpY0xppERRgykrgX3CZRHLSo8pZ08rm7E44ZWRhmD0svyjgf8W57JX/gZ01Q6LDqd&#10;hEe/El2WB7uw2BnE8wjBONCFFzxAfz8+i/99ci8Na4IxjYZxcBzP9xIUB7hk3Hg+O4blIUaPsSEs&#10;7Z/AIl9/wdde0VSWD/F1xppHNJCFXhre4KDSZfudWo8LBNw3jSr80KDFj816/GRx42fm8B+Zn78x&#10;WvEl/76vHHZ87XXh26APX7ocuGQy45LRhIu0mK/9bnxL4H3d68eX3YQH/zdHHDrlpk8nww6c6XIT&#10;Giwuz3S6cDxowSGPXhnncTRgxAE37cOh4Toj9jMSztv1mKfdzfAzxhhrhvQtGNA1Y5Alj4dpIGIm&#10;kTpaR00FeqorECwpRLC0EN2ESIhRxZq9E/q0ZOiTkmFjTAkVl6C7mqApK0UwJwfe7dvhTEmGPYHg&#10;iEuAZ2MsnCvWwPXJKnjWrIdryxY4UhLhkPu7ECAmiS3bkqHenoL2nRnoyNkDY10tbHotzEaD0vti&#10;oxU4eULw8SAPBsMIBMLw8eD20TJ8/gh8gQj8gU7CpItA6GUk6VfKJxDxBGF3+WkbISXmuPgzEl08&#10;/IwgwREIRbguADs/20xj0dpdaCdEOowWJeZ4GYUiPf3oJUD6RycUiHQOjsLHz7cwIjn4873jE4TH&#10;PMZmD2B0Zj+tQwAyQ3i8B8j4PwAinzNAkxmbmsUEo49EF7EPgYgAZN+hwwTIERw9cRxn3gPk7Hku&#10;L5z5J4CcVyAi7SNiI9LA+u0VAYk0rn6L7364QoCUZigGUlOYguoCVl4yKnO2ooxRpmRnLGuzApOq&#10;zAS05qejp6OMEKGJ9JqV20E8ZJRZIgxe0CoWedA/Ihyk5+XBVAj3JgNQrtgdcSkx5BbrnjSs8mfk&#10;JlSPJ6URtYsg6cYy48vLOR481Oink4w/hIqYyc9hM654tbhkbcFpQx2OqauwjwCRW1kOlmahnyW9&#10;MANV2cpEyTLvaZfcQGp7EsyJsWgnRMpWfIqcv/4F/l278b3FghtOM37mGfOq24TrTkYy2sRtkwO3&#10;dRblXraPGE8e1rXSLAgPwuRJcwde8EB9yTPUC58H7/q6GFMG8W5yCG/ltguExHMxDa8Xz/s68aK3&#10;E696WDzrv5saVtoupH4jJKRezg7x7xzCc0JlcXqAVtFPCPfx75ZJgsawxPjy6iCtQyKMtGMcncML&#10;Lp/umyB8CRlm3udzs7jT24PvdEYFIKcKq3FmdwUu5dbicpsZvwR6+feF+boF36j0OMfYdU6twWW3&#10;C9/7ffjabsc5gx5ntVqcNxhwnhZ21mLACRNtgvFinpHjkFWD034bLnb7cEGueyFcBCIy/+khjwFH&#10;/GYCxIyDHh32Oflzbj0OeEw46LNgn8+MGZce4zYNerWERbtc5Fav3JO2X9PIiNKIfsaV7qpyBPJy&#10;4d6zC968bITLi+EvL4Q5R7pYM+HIzVZ6WDorKxEuLYVnzx5G1Uy4U1Lg2BwLh0SW1RvgXrse7tVr&#10;CY918BMe7mS5cVgK7JmMLTvTYdiWAh3NQ8PoouLv0hFEDq0aHlqiy2aDi9vP7XIp8AgEQgjxgBWI&#10;+H1BeAUE/1QCFGlgDRMikS6aCO3BxYPcSuOwS5etLwwXrcRN+Ih1KPDw0kgIJwuNxESA6LjUEBwd&#10;Rhva9WZCxMWI043ugSH00z76CIFuQiBAqNj42XZ+p66RMSXGjBAeUnLtiwBFhq8PiIUQIAPSlSvF&#10;nx8iTMRABB6TszSRuTkCZJ4A2U+AHMTBo0eUnhgxkLPnzyoAOXte2kROv4eINLCeU+rLry7g628u&#10;4Ztvv8JlmsgVpav38nuAlNBAilIUiFTlJxEgCbSQeJTvjlbl7jhU70lATfZWqErSMagpw/mABtd7&#10;7DzQvdzxwzwgqN2TXXhEo1gY9eGG9Nj02hRTuc7Ic0OWjD83mJsFPHJHvAUxl5kuPJ/nWXuuD0vT&#10;PYxEEdzr9+JWtx3XQib85NPjChX5grEZR9srcbC1TLkD/0RtnnLLShlIJiNSh6U9hBAZLN+FfkJE&#10;Jg9ypMVBvWUdGtd+Dt2WGOyvqsA1mxnX3Rb8TN3+xW/HTbmzHDXyBg80uablgcaCp2oTntZ14Eld&#10;G561qLHcrsOLZg0W69vwgtr5ayiAd4M9eDPcG70ojjvgM65fsjmxGAjgeTiE5a4wXhMuv+2fxK8H&#10;J/F2fgy/H57Bfx6bw7sDBMQMYcGo83SkG88InEehIB4OSa/TMGEygKUJvs7HizNj/P9MKZfuP5sf&#10;x9KhObw8cQjPDu5T4snVYBDf8/ufozldbFDjqzo1Lrbo8Y3dhyvM499xB/1WY8KlJhW+bCFAGLMu&#10;2234mmfcSwTHRdYloxHn9Hock3u0NNRjimf6vS2NOEyYnPJYcYl2cklmF+v1McJ4cCpsVezjoFeP&#10;Q1yKjUThIWNBzNhPgMy5DZgipKdcWoxYWjFgaGI1EyIN6FHVY4DRpr+tHsGyIh7kO2HLYBTZvoOA&#10;2E1g5MFVkg9naQH81eXKhXKRikp4dufAnrYNjq0Ew7pNsK1YC9unq2H9+xewf0bz2BADb0IcfKlJ&#10;SnRxyJiPzB2MLukwEh562oiWUNKXFcPR1go/4RHweRHweOFzeeD3+hHmwR7hgRxh5JAYIzDxEQZS&#10;0jPj4cEs5SVY/GIXoU6aCYFBcNidXlqIT2nzcPF1D3/Wz6jp5TayEU5Gmx1GRiQjQaJnjFFbHOgw&#10;2dDCk0Aby0qoBLt7FYj0DA4j0jegQMXq9hEiflrJKIZpEyOzewmPfRifl2th9im9MzKQTCxkkBAZ&#10;ppFIjRAqEzOzmN47h2nCQ5Yz83sxu38v5g/uJ0AOEyASYU7j7Dmxj7M0EULkHCGi2AjjzAUByHkC&#10;5CK+/voSIUITYaRRTIQW8lFDiRhIKuqKBSCERy7hkU1oZCegisCoZJypYtXQSmpyt6I+LxE6Qqe7&#10;rRAnXK242mPFPUaZxwTHMx78T2gO9xk9roaN+M6vwY+dRlzrk8hjw1Uur/bw4O0yK70qv/TyZwmR&#10;Z4TPM+kKHg3hrsyKRnj8wnz9g1vNnN6OL00tOKWqxf7GEsw1FHHnLsNMcwnG66QXJg+jhMlYba7S&#10;IzNCiMhtLcVCnBlx0Cesg4EQGcnNwhVVGyMLfy93cJnv41aYv4sAuUadv0bDuNthwEOC5EmHEc+a&#10;1HjKM/eijChlZHnWpsZiSweea3V443Xjdx70b2kZSy4nnhqMWLTY8YpnnhfMzUsy7SBh8JoAeMuD&#10;XiDyRuIOgfLrvnG83s9YMjmIl6P9fB/By51jkTvJ8/5ePJVRpG4PHnL5iJbzdHIUDxlp5G79j/kz&#10;i4wyi4dmcX9sFDd6enBncAALjDPfe3z4hhb1JSF4qrYNZxhpLtGmvjXZCRg3vmk30kwMuMod9zv+&#10;TV+2dfB1wobg+MrKmEOoHJfZ06n1U5XV2NfciqNGHU65owD5ajCEiwMCEDdjDa3Dq2FMUWHeqY7a&#10;h8uA/Ywts3YZ66HDtF1LgGgx6zVghoYyyfeM29UYMsml9o1Kg2pnUxUCMiAsnwaSlQVrWjosaWmw&#10;786CqzgPbpqIXHYfFEspKuJ7dsOWlAbjhlgYPxFwrILjszWwMbYISFwxsfCkJMGzPY3v3Q7XLoJp&#10;53aYt9NAuE5LkGjy9sDSVI+QzYoITSwSCqGToAgTAiEaQ5hAEHh8AIiYiESZAGOJXyKMWIVSAhAu&#10;WQIUAYiT8HDRLtx8TXpWfCECprMLvnAYNo8Hep5o9PxfmxxOWLiNpS1ER6CoGJ1aNHpoTBZ4+fs6&#10;ZUxI/wBC3X1RgBAsVrcXvcOjGN+7l+CYx8T+faz9GPsAkGkZiRptDxliDRMmo1MyoIwAYU29r5n5&#10;Oew9OI/9Rw7g8IkjOH7qOE6dPskYcwrnaSEX/oAIl4TH+YvRCPPlV4TH1wKPaEkPzTeEyEeNJTvQ&#10;UJyBuqJU1OQn0j7iFYBUERhV2Ymozk4mPAiXnGTU5koloZ7VRug4a3dhRl+DK9yh7g358HQ0iGcE&#10;yMMBD253ExgRGgQBolTEgB9DBi5N+DFixJWAVumW/YGguEXg3BvxKz0xt3qchAffwx30sqMNF40N&#10;ONlRjcONZdhbX4RZAmS+tUK53eWURBlCREakTrHGCZGR6ihAugkQ944EWFI2IZyRhNPVlbhNTb/F&#10;M+qNoAN3O2VC5DDucyeSHo17PDs84AZ+aLZgUWXAS8JkSU+r4IH1wsF4Yjbhhc2ClwE33nUF8Xs4&#10;iHeMLC+tdiwbuJ47w5sIrWRgmLAYZ3SZwOuJEbwYIyhG+rEU8OGB3Yon/J3PZxhfxvrxkvWKtvGc&#10;O9oy6+UwI1x3JxYJA5n79NnkCJ7xM+4TRgvK+A4+nxnH4+Eh3GHWvuH04RZ39Nvd3YQiTcTmxlf8&#10;3mfLm3C+oonRhf937tQ/sr5s0+N7mWe1sxfXuUN+q9bhK50eF8RC+LddZLQ7rtVgX0sLDnaocJL/&#10;h9MuO0557cqVtzKz2JkuB05FLDgs8HC2Y7+H4CAc9rsYYRw6TOhbMdjRgEljB2YcekYYA+Z8hApN&#10;ZZKgGbd30EaiAIm0EB71hENtGTppGcGifNh3boNlmwBkJ+w80AUinrJCeIsLGG9yaSg7YYxLhIax&#10;RfvZahg/XgnHSsaX1TFwr9sMd5zcjjIZznTGGxltKjcKo3UYCQ7dDkaXrB3QlhTCqe5AhEbQyYO8&#10;p6sHfYwJ/T19fNyNrk4Wl5088D9AJMyTQkgaUN83qEr3bpDrJJr4GXOkEdRN63B7xE4Yefi5Yh2B&#10;CKHUJWNGOmkQjCwWMyOLAVqrhUDwKFAwOlx8bmeMMaGDFuIQC+L3ifR+AEiPMhBNINLNfWuSwJjc&#10;xyI8JvcfIEwIEMaUQcLiD3goJfFlhtaxFzNiIO9rdt9eBSAHjh7E0VPHcOKMRJiThAZjy/uSGHOG&#10;RiKxRnpn/gEQiTCX8O23hAhLIPJRPXW/sXhHtCuX8aWaBiLwqMwhPHKSUJeXQutIQ11uigKQGlZ1&#10;XhJq+d7GgmQYynZgSldLo7Dj4bAPjwgCiTVyk+1rfTbFQAQWlz1qfMsz1jey9GnwtUeFiwTEJe6I&#10;l31aBSRXO2kohNEPXr7fRfOwMNurq3GA0JitysUUa7ouXzGQfR3U7LYKmkgp5hhr5lpKMCHXxlTJ&#10;nfh3oSdvG7xZifBsS8BsXg5+bmvHXR4ot3hA3Iq48bA3iOc8q8ts6Y+5MZ8SCAty/QsPqqUOnTLW&#10;4wU36GuLFa9NJrzmgfar24nfesP4VYrq+5Yb/6XJSoCY8dJFgPT04t24jDSdwWtCZLG3F88Iguc9&#10;Xfw9Piy4HXjSTUuR3pYBRpfBbrwgNJYIj2c+H14M9hIog3g+0IsnjEjPxofwVOxjZAAPx0fwZJQ2&#10;wrPTAs+GN2kVt90B3OEZ8zpBctXiws8EyI8GO76pasXZ3Ep8WdmEHwmRH7UWXG7m/1hjxg3ujL84&#10;Pfie3/tb/m1fEhznGGHEPuZbmgjmVhy3mHCWZnYhJLeqlKtvHTgRsOJ40IxjQcYUbrv9rg4c9huj&#10;bSCMK3MWNUZUjRhorcW0UYW9TgOmGWGmaSHjNpUCDokyg8Ym9Grq0dVeg2BTBUKNFehurEKEJuKW&#10;wWF7dsLFpUMAUpgLL6OMh0t37h5YM9KhjYuHIZZmuXYjIULzWLMRbhqJe3M83AmJcCYlw56UpNye&#10;0pyeBKM0nhImmqxMaAsKYGtugp8WEPb60BmMoJcH6UDfIIYYG4YHh7gcRH9fP3q57QQkEmfChEYo&#10;3IMw4StduhFpPO3qVcZuSO9KgJDx0UQk1vg+mAnNJthJm+DnhGmKDn+AoLChndFRReM12uXudm7F&#10;RnTcDioCpE2jo6HYaCw0H/6OAH+fdBdLo6y0rYT4OycYX6RXZWrffkztP0gjkd4YmYVsBkOMLVIj&#10;hMno1BTjywyNY57Q+EftPbAPBw4fwJHjUfs4KQA5IwZyktYhIDlFeJxUoHKGUUa6di8qEeYCAXJR&#10;AcjlKxJhvsa3l7/GR7u3xqB4+1aaRgrq8lNRz6rNE1AQElzWva/a3EQlwkhPTXU+1+ULWFh8n750&#10;G2aNdfi5l2f2IS/u0ihu9TnwC6PKd4THl842nLc045y5CWdYZ20tOGtvwWkrAWFuUOoMYSFA+cat&#10;UnpcvrS34oyhDkfayjHHiDJethvj5bsxzcd7CY0D6hoc1DDWCGCkYbW9XLGQkRoaSPku9BZsR3hP&#10;KoZzM/FlfR3uMoYskPx3lRGcfjzujygH8UOfXFLvwVIkqFzf8sJsxRvm0mVq/jLt4yXPwq9oHu94&#10;oP3O6PKuO8ToEsHvPLv8yjONXFn7ihr6KhjASx74S0MEAiPFEs8iT3lwP+MZSiAlF77d4uc9IEie&#10;8mcf+L14HA5gqYvGEQzhOdctEyDynR71dzEGsnq7sED9vUmFvsbPusoMftUdwnW7H9f0dvyst+I6&#10;QXLT4MBVxq6rjC9X1fyfN6hwPqcSl3Kr8EOjGj8xlv2oZWw02xkL3bjCs+9l/q3fOO34inWeZ0ax&#10;jwOqdhw2aHHCKfe3deC038mSJU2Eke9EQOb30GO/s4OlIjh0LD3mrCpCox1T+jalC3fa0KEMV5/g&#10;ujHWkK4JQ/pmjBhbuGxkNaGfEAk3EyBN5cpgsXBNCQKl+fDJADFWQC6ik4FjXHpk2HoOIw5NwkzD&#10;sBESps1xMKzbAPvGzXBt3gLHljilR8a+NQnWrYkwJSXAkMKSnpcdGWjP3gNTbR38NKuQx4swD+hO&#10;GkQPD8qBvgEFHB8AMkCA9Pf2oVsAIvAIEhI8iIMhsY9ow2mEP9fZ3YMunjQ6CYhQRBpLJeqEuCQ8&#10;uN3C3LadvXyNhiiDx/TcTzq4X6kYVXQ0XjP3CYGI2emElt+rjfG4XbqTCRePmA23uXQTi4X4+FgG&#10;oo3SLpRuWRnbIQYyO09YzGFkkhCZmFFqlDAZm57C5OyMAo05xp0PAJknQA4dOYjjJ4/h5OkTSnw5&#10;zeVpguTMORkT8qH+0Zh66ctz+OrraCPqB/sQeEhj6kdbv/gYqWtXIHPzahSkbkJFJiEhMMlNi5oH&#10;QVFH26jL38pKQH0BHxdwXV5q1EpoKrW58TBW7eBZqAE/RKy41enA9ZAZP9MsLjvacZYx5KimGod4&#10;oB/SMo7oanCY0UcpQw0O6QkBTQXXV+G4uQ4nCJQTBNIRTSX20yymqnMxSquYqMzGDCPLPA3kEOFx&#10;1NDIz6jnz9XiID9bsRACRgaX9dGsBvN24FhVCa4z6z/kWecBDUAAcr8noIzWfDrSi4cEwtPeCI1h&#10;AG/6uvCaNvJKb8aSVo/nXife9IfxtjuA3zpD+L07gre9nXg30IPfCYv/7O/lui68oT28YhR62UUo&#10;ced5QiN4YnTisc6GRVrBM6rqfYsdd3nWf8DHC9TZBe44j7kTP2FceeYLYLmvB88ZU54SIE+lUbUr&#10;jAXu6HeMDtwyOHFVY8U39Wp806glJGSKAQuuthqUaROv1nfgx+J6XCuox606NX6mdVxu6MCVqhb8&#10;pCZY7G78bHfhJ/5tPwX8+J7w+pr/i68Jjy+5POew4rTNjJN2lpNRhnXYTtOwaHFQ7q7Px8ccRq7T&#10;Yd5CuzB3YK/lfREec3wuBjJv1WLOpMYMATKhbVVgMq5rxYimGcOaJgxrmzCqI0hYPW3VCDWUIkKA&#10;hBsZYWrl5tgECE1DIBKp4WssT3EOzLu3wcQoYtqWAksaDSMllZaRDGtcHByEh4vwsPGxNT4BZpaB&#10;lqJPoKWkbIVuWypat2egrYARiftBkMCP0BK6eLB38aDvJQT+GSDDg8OKjYiFKAbCqCIRRhpLoxCJ&#10;xhmJN52MJ1IRRpQwTwBhQiMksSUcUp5HCJDw+wjjppWYGHMFHmqepMRG9DyhCDwkzshSQ9Nt02oZ&#10;ZXQwEDAScezSaCuNtTShbn7PkYlJpVdFRpmOMaKMTs+9B4jAQ9bNKUPYJb5Im8ecMv/HfgUiUh8A&#10;ckIaT2keSp2mdZz9EFuiPTFKL8z7unjpLL788rwSYb6Voe3KNTLfRnthEj//BAmf/Q0JK/6KpNUf&#10;I2PDCmTFrkF+SiwqswgLQqKewGgoSkFjSTLjjjyWgWepqGGEqc5PRFV+POoLE2GszsRQRzlO0B6+&#10;Ykz5hpHlAo3jqKqS1lCMWam2UqVmZNnO6KEqw2xHCabbijHD5V5tOfbrqwgWAkdbhQP8vPmmEswS&#10;HLO1jC+MM/tpJUcJjlO2NuUOdkcN9QRINQFSiqnaAoxKFy+NZb4iHz+0NuE+c+dDjwMPgx4sBCS+&#10;hJQh5nKP2UUZKj43il9nR/FmqBcvqZTveLb+1eXB275O/OfkAH4d6cGvjBT/Z2QQ/8V6092JFzwQ&#10;XzOavKKNLPndeBEkRHjQLxMmizzjP27U4GmLDs91VqVXR+ZQvU9LuMvnNwwW5Ybbz3lmekp4PPP4&#10;scyz2IuBPrzo76G9MPIIiLgDPaRd3G4x4pfyZlzeU4HvBRQNavxCmNwiQO606/FzSR2uZOTj5x0l&#10;+KWkHpcrGnCJBvJVbjV+6DDgR5sTVySycKe96vfjR48b5416RhcdLhIWF30OnPfRNhjvpM3jhNxV&#10;36rHPEFwwKjGMasBh4waTLc3YbK9kesJEZNAgybi0Cm116YlTAgQsxqTAo22Bgy11mGkg9BQESDt&#10;DRhsq1NGqfa2VCNcX4JIQwm6aCHB+lL4KgvhytsNS3o6HFk7Eawogr9c5inNgikzDUaahCWd9sFo&#10;4kwlQFJSYCMsnLG0D5aFADGxDHysi42FjgDRpSZCnZ6Kdn6erroSLrMRfv7tEWn7iDC+8ODup0GI&#10;cQwxGgo8RoZHlRrk454emobSDkJoSPuHAISxJ0jLEFhE3sMiGApyXZDvkRGsUgG+HiRYIoSIAIcm&#10;QYDY3D7obQ7orHbCwwG9ww4jTdBGgEgjq8nhoImY0KHXQcXIrKP1Ss+Nhfuk2+un8YiBTCpgGJ2c&#10;QP/IsHLti8BDwKE0nNJQPoz5kJqlqQhA5AI6qf2HGF+OHsKpU7QO2ofSgHpGel1kHMg5BSJS0pB6&#10;4eJZBR4yKlUizFdfCUC+xXfffYfvf/gO3wlAtq1agRRCJHHF36MgUepjJK/8HNs3rkFuUgzKs8Q8&#10;UgmQNDRIFacrY0dqCZMqgqOqgHZCmDQUpaKjhDtATRb62ou5o9URBHVUYwKEB7cc4DNiCc1FGG8u&#10;xERL0R812VqEKUJkSlWCGU0p5gUkBIjYxTHC4oiGkaWjEgcIj4P8vGOGBp4123Da3oZjNJz9fG2W&#10;oBGAjFXlKvd5OctsfVutUgByjwfILU/0dpRPBruxPDmI5QMTWD46jVf7x/F2lKCgQTxnFn2pNuB3&#10;HsCvIgG866GBEBIvQwG86QzjN1qHLGXY+msZ7zFG6Exy3cwAXo32MLJ48cRsw1OtCUtGK54brHhS&#10;z+9Q1oRbla24xQP/brsRj60eLHPnXOIOtkiQvKAyv+rqwTJ3tqc8cz3j2e+pN4gFlYU/o8Wtmg7c&#10;LG/BnRY9FtQWXKtoxTU+FzDdrmrED5mF+HFXCb7PLse5pF04uT4NZ+J34dvaNvzI6PKt1oCvVDr8&#10;QBP6jjvwWZUKpzUEvN2CrwjVCzSz405GGbcFp3x2HHeZFYiIfRxn7de2Y6KpDlMtjYR8O+Z0bYqJ&#10;HHTqsc+mU6xjitYxSkD015ajv6YCA3VV6K+vwWBjHQYaatHL513VNI5qxpXKfIRri9BJeHjLaQf5&#10;u2HesR3GrclwyDweXOelfThzMmHLyoAzUxrF0wkPGkgiYwrjik1iy6ZY2FhGAcfmWGhZmjg+ToyH&#10;OjkR7RnboCkogKW9FW5alt/tZHzxoZsHfj/tcbCvD8MDA6yofQwPjWCYABkaHGGMGUBXZw86efYX&#10;EwkRHgHGUT8hHAxGy8f9wEuj9PHEIeVlHPYy6noZjf08yUiU8RM4btqmgzYh40Ck4dTAUiBiJyBo&#10;RXJNjEW6emklOouJAJFeGSP0jJcGgsRMkEjj7MDoMA1j+j1AhtDV34ce+e7jkwpcRiZk9Ol0tPH0&#10;j5GnUYDsP3QQBw4fxOFjh3FC6X1hhDklFiINp2cJjrNKl260W5cWcoEAoXlE2z8uKd23ly9/G60r&#10;l5Wu3I+y161B1pqV2LHqC2SsXIHUFSuQ/OkKJH36GZI++xQpX3yKbeu/wJ7E9SjNikctQdJQso21&#10;HXXS8KqYCNfRSqQUW2HMaSdgLOU74a/O5k5UwJ2PhiEAaS0jPIox1iQAKSY4SjDZRqi0ch2hMtyY&#10;i6H6bAzWZWOoNke5mdQxczNNoxUnTI04SqAc1tYoS3l+2sb1libsVzHCECDTdfzcihzsryrE962N&#10;uEdtvWcxYiHoxm2eaRc6/VikcSwfnsLikQnl7m3PZoZ59u8lKHggc2O+oE6+I0zeiGVwh3hHmLzh&#10;xn8u7R1yte3oIN4N9SnD1n89MIbfT03jt6Pj+G1uBO8YQ14TAK+pyC94ZlkyWvCsXYcnzRosECQ3&#10;CZGbtR3KXeceWZxK+8hTQmSJBrLETP6MurrEHfoFzyxPCJgFHb+zxo7HjiCe2IJ4ZPPjgd6FhVqC&#10;o6wZ14prcL2wWoHHVxl5OJ+WjdPJu3AmYw/OZ5fgSpsWP9KmviM4vqWNfK0y4JLOhDMdGpxWa3DG&#10;ZMB5lw0XGNeO2wgLh0kByDG3GUedfC5LgmSGEBjlWXymrZkAUWFW14EZfTtNRMOlCuNtTRipIyQK&#10;CxHO5Akkm9uxuAQ9xcXoel+RoiKlt0XaNNw0C28h4wqtw0Vw2GkettQ05ZoW/+4s+Iuy4cmTK253&#10;wLEzHe6dBIj00CRtZXSJhz0uAQ6WPTYOFkLDsHkzNJs2o4Mw6SBYVPFxaBOA7NkDfV09rHo9XFYL&#10;/Ny2ER7oPQIQRotBbvPh/n6MKBB53w7CGuTjPhqI0sUbZITgwRsgOAQYHo8LboLIyQhot1th4QFv&#10;4YFu5YGuFOOy1WaFjUbh4D7j4H5gF8uQ7liWMpiMccZAM5SS62VknQw0M9M2TISKnp8jZeB3FoCY&#10;+Jlufu++oUHaxgStYwyDoyPoGRxEhPtOmDDsG+LfME6DmpArcacIj73KlbfzBIgyeIwQ2UcDOcAI&#10;c/TEUZz40AbyPr4oJfB4X+f4PAoRaf+Qto/oSFRp+5Cl0gtTuGkD8mPWI2f9Wuxauxo7V6/C9pUr&#10;sY0GogDlvZ0kfvGxcoVuVvxaFG2LQ3UOY0xBBqNMtBppJY0CkMIUQiZJua6mLicBTTmJPAOkwFqa&#10;ga6GPNpFFSNLxXt4ECh8PK2qIETKMEYTGWnMiQKkNhsDhM8I4bNPU40TBMVZVwfOMB6dkFikr8MR&#10;QuS4tK8wwuxvr8A8ASVx5xDPapcaa3FT1Y571MG7PJveDbtwv48H4fQgnhyawLPj01g8LIOzhrE0&#10;M4LliSHaxBBjTB/eDPTgLet1JMRI4sUbXxCvnQSP2YUX/jABMoK302N4PT2M/zw6g/88MYNX80N4&#10;xzj0dqQfL3nWeUsQvOJO8Zo7ykuebZ7ybPPEaMMCY83dVh3uM9bcU+tx32BmjPHjKWPLQ56lHjq9&#10;hEgEi4FOPPYElbvTPTKwnEE8sAWwYPTgTqMBt0pa8IjLhy0GXK9owc+Eyfe0nK8YZy6W1OJidSO+&#10;burAFQLsMiF4hTvnZZUJ5xo7cLypHUcaWnCgrhFH2ttximp/ymrCMZMOJwmRszS1kzSRY26u85hw&#10;gJFlvLIcI+VlmGptxoxKpiJspTG2YFbmNiVQxpqbMFxRjf5cwiJjF3rTCJHtuxFK245Qxk507til&#10;lE8GjKWlwrWNNpGSDFd8IvxxKfBtYTTZnABvYir8yhSE2+HO3A6XdMfyfQ7CwL41AZYtW2CX6BIf&#10;HcIuADERHAZCRM1lW8xmtG6OQysh00oo6SrKYdVoYOPZ3MWD3MfYEGJc6AoG0M3I0cllhHYZZkXk&#10;ObddF+NNJyvE17xuN5zcdnabDTYezAIKM/9fJn6ekWWg3eoZBY0EsZkgEXjYaBFWMQuW2e5UwGB1&#10;CkB8cHgCyjB3J/cpuXZGBolZuLR45L4zEmNcBIhARH7ORaA4YORnmvn7ffw+g7SOcQJklJAY5Emm&#10;j7DrIQAjBEgwEkR3H4E4PoIJvmd6LtqIKvDYuz8aZfYe3K+MATlykgA5Q4CcPUWARLtsFQvhY4k0&#10;Umf5+JzSlRu9LuZLWogMaf8wlF0xkIotG1G+JQalm2NQGLMBeRvWY8+61YTJF9hFM9m5Wu41+zlj&#10;zgqC5DOlUlevQOamaDtJxa4UQmM7AbKdBpJO+0hFvXTz5krPTjxqWHU5cWjM5c7RnI/Dnjae5WSo&#10;dDXmaA3zjCbzcoGczDKmKSdIGEGa8t5HHEKGkWealiL3xhWAXPRocI7Lk3JdDMFxkjA5zuURdTWO&#10;so6ra3CBeftn7tx3aR8LPCBuBcy4FrZiYURmhB/Cs1m5UG0ML2gPS1MDWBzpw7KMwRjkslcmOA5G&#10;Jz6mmi5xZ3vFDfzCQpvQ2hlJXHgb7sHvM5P49dAM/uv4PP73sTm8lRg0P44Xw/3KmI7XPkYg7ixv&#10;mX1f0zJkFrJn3CEeWx24z0ghEy3f5oF8p74Vj01WpfH1oduLBxYXHprcXBetBbUZd9oMuMHocp2w&#10;uKN34G6bGdfLaTKNOjy0+rFg9uGXdgu+b9Ljy+p2nGO0OUeonClvwtn6NpzXGfCl3oyLtKDjVU04&#10;UteMgwTMXGklDjY04RR1+bhBRxgTICY9TnJ5wqzHEWlEtWmxT0/baK7HZEMdxhrrlVnDRmr4vKkV&#10;+7Q6zBIo4w2NBEw1BvLK0JmejXBcOrq3piOckIrQ1lQE41Pg30JYsAJbUwgKwmNjLDwbtiC0ORnB&#10;mEQ418XCxdfdKalwy4xiqVwmJ8O5la8RFlbCwbwxBrbYWBoIQSINp4wuxk2boI3ZhPYNm9C0nhWz&#10;Bc2MQqrsbNhaWwgOExxWMw3EDC8P7qDHjU5uX4FHOOClWTByeJxwuxx/lNMRBYbAwmjUw8j/kYEn&#10;IwOXJrOJsDDDxDLysUnAQROxO/lz3M5Ofr6D+43StsFtqkCD+4Ob4PAG5arcHqWLVqYEkKkOZUoA&#10;GapuletkCBGj3UV4yEREPpoLzYQAs8r3DgcxMsYIMzWBMQJkiAAZGBpWqn9QupYlLvnQ2dOpvG+a&#10;UWeOFjK3X3pior0xAhAZA3Ls9HGcPHvyD4BIfDl7VuoDQE5FLeS8WIgMKJPuXLm47v11Me9t5KO6&#10;rZtQk7AJVfGEQVwsSmM3oYhWUrBxLWGyFjmMOHvWriFI1tBKViPt8y+QsoLRZsXHSF31GXbErEYe&#10;QVK+S6yDBpKfhsa8FEIjEbU0kDoxEcJEbMRYlYlxUzV3ynrsM9ZiP+3hoLGJZ7h6HDDW4aCpBvt0&#10;FbQSMZMyzKkrMEdDkQbXOT4/aq7HBY8KX/p1OO9mhhcrsbXhHOPNGVMTzlmaccHUjO+Yxe/wrHOf&#10;B8NtrwnXO8241e/Cg9FOPBnrxeJQL54OMjZM9eHlaC9e9dM4BgfwcqAfi/zny8RASxoTnrNeWp14&#10;Q4C8ttAkOix4pbHhrTuId329eD02yAgzid8OzxAm03i7b4LRYwDPGUleRjrxSopx5k0kjOfSVSzF&#10;HfeRdB3zzPJEZ8TDhnZGmzbFRh7oLbivMSv3kFnosOK2AENuGWGw4gaXUnf4Pe45fLhtdOC6zoqb&#10;Ni/u+7pxTePEhZJmnCqow7kaFb5qM+E0QXKcRnKCJnJGrodRERKtHTjc0o5DNJD91fU43MB4qNXi&#10;DA+EMzwQjqk7sL+pEQdbmrCvoxlz+jbsNaowx8gy2dGC0aYGjDISjNY1YKqlA3NtHRitrMJwcSmG&#10;C8toIGXo2pEPL4HgX7sFwU1bEYhNhGd9LGxrYuClZYQJFO+WrXBznS8mHoG4JPhjk+CJSYA7nkse&#10;/DKfh4vl5vtc/BkHYWMnIByMKPbYzbBu3gjzphjCIwY6AqRjQwya1m1E/VrWpng0Z+yAurQMFlqo&#10;k3blslvg4UHuY+wIcjtEBCCKcYh5+BhRPPD75EI6KY8SUwQiVkJHIPJHTKEJOFyMLwSFLD9Aw83P&#10;dEu84ed6CSZPUCZilgvrIvATEnIVb4jACHX1KRfgRXoZPfpkJrIhpeSaFzfjklz3IlYig8fk0n8Z&#10;1eokjBxuB8KdQQyPDhEeo1wSHIwv/YxaUgOMLz19XfDx73AwkvqDXuW98wTHPkJDosuHOnjsMAFy&#10;AicZUU6/Nw8ZefoBINH6J4gojaoySvUfEJFI861EmObUODQkx6IuMRY1W2MVkJST8GIkJZs2omjj&#10;BhRukMmJ12P3mjXIWs2Ys4oR5wtaCUGS+NknSF75KTI2fIHsxA0ok27gnFRl5GpNbiLq8qW2opYg&#10;aWa0CbXnY5+rEdOGaswSIicIhBOudhy21uOguZYQqSVQWPoa7NdVM75UYR9BMk+o7FeX46S1iQDR&#10;4quAFhcJkYvOdlyS4e7ODnzl6MDX5jb8wh3+Ic3joceC29Kt3OfAw6EAnhIeT8b6lXEWD/sZE0Z7&#10;8KIvwoM8ogDhDQGyTIVdYtR4oTLincGB3xxevJX5Tnlgv2zV443RHrUKGsNL7iivBhl1pAeH9vF6&#10;YhivuSFfMo68pAK/ITzeEiYCkCW/V+mxeTNAw+HvfiENudTmp+1a3KcV3G1sxe3GNvxcWocruZW4&#10;sqcKPxTU43a7Sbmp9n2ewR54Qgo87roYZbxh3OLjn2UciC+Ma7SVi4wxp0obcK5dj68JlosdZpyq&#10;acfJFg1OEiBnaT2ntHocam3FwaZmHG5qwREZst6hxmmTCSd5dp1vqMd0VSVmamsw29qIvYYO7DNr&#10;sZcAmWhrxmhrE8bbWllttMV2TDU2YrioGCN5haxiDOSXoje3BL6tafCs3gQfDcPPA9q1OgaOVRvh&#10;o2UE129BYGMcfFx6Y+LgZ4wJCDgIE4/EmFjGk/Wb4dwQy9oCB0Hj4GPHRq4jQBxbNsPCfdNIY9bH&#10;bIQ6JgYt6zagbs161NJAGhJT0JKTi47qamj4nc1GLQFC+yAQAjzYQzzQpSE1wu3XxZjazTN3D08c&#10;Ur000B5uvwjXC0hctBFp54iC5H1JjHlvIGZaitiBxcb3MB45CRKBiIfW6VKGtNMKwnIpv1S3ApBI&#10;zwA6BSCszn7pSZlQLp4Lc72M/XDzZ3wyhL6TsUSGwhN0HlpSZ3eIZjGk1ACjdi9PfD3cb/u43yrP&#10;CZBgiMbjkjYYEzw+F4ZHBgmQfUrD6eFjR3Do6CEcOX4UJ2kZp6Xn5UJ0HhDFMggJgcVZWslZGUj2&#10;T3X23CkCRLp05cK68wRIdFDZR20ZW9GSFo+mlDjUEyQCkUrqYRWrkqSv2LwJZbFRmBRsXI/c9euQ&#10;vW6tAhJpK0n7/HMkESKJn/2dIPkE6QTJ7qSNyuxmVTL4rIDwKEggQOIZbRKgr8jAgKkSR7v1uDIb&#10;wvX93fh+1IkzwQ4cstFCzHU4ZG7AYVO2HlFfAAD/9ElEQVS9ckf+w4wuR2S8iLYSB9RlrAqcsjUr&#10;APmaILnEOPMlIfINo823dhV+MLbjrk2PR16ezcM23Ol24FaEsaHTh4fMhwsDfbjPmHF/uBsPuwJ4&#10;4mWsMJmxZLbhpcWJl1oL3miteMcD81eeCd7ZGFkMNrxWm/BKZ8a7AO1jqB+/DvTiV0JEemOWu0J4&#10;M9qvNKy+7ezEa2ZeGZ36grHhjcWBdw6Pcsn/y+EevByT6sYr2s/z3iAeqzVYoAXc61DhTms7rlY1&#10;4Nv8SlzOq8FPFYwphMBtsws3WLcIhTuuIP+uXjzs7Md1guRHmwdXCZgfTA5ahw5nWzU4pSMMGJVO&#10;0VxOtRtwgtHlRKMKp5rVON7QhoOMHwcZOY62tuEwQXCovQPH9QYc4HKypgZTdbWYpYXsZQzcq24n&#10;xDv4uBVjjDAjLQ0YV7dhmCAZqq/DaE0txkorMFZYisGcIvTsKUR3TiE60zIRWB8PP0EhAPGs2wzf&#10;pgT4aRmhtXHo2kRoECCu1RtoJ5u4Pg6eje+BQoi4uM65bhPcXOdiJHFxvT0mFlaahpVxxbRxI3Tc&#10;F9U8sbVzXQPNo2YtIRIbh5bMTHSUl6GjuQEdbU3QqVphYyTzSQ8ModHDE0ZfTzerC71c9nNbDnKb&#10;DjIGDPBglFGoEZ4AAgRBtJfFTZDQNgQUAg5p+yBs9Yx9Or0WGp0aHTS3Do0KBolLhJRLsQY37cSr&#10;dMG6vT4+9ijPXYwmLsYVGRsikwz1DAxjaHQS/cOjCHbJoDEZhNaF7r4epU2ji2ALRWhKXUEMDPdi&#10;eGyA8aWP0Ih+7xGahoBCABIK++Dzu+Dx0oxoIh5+935G83379+IoAXLs2FGcOHkiahwKQM7hnMwB&#10;Qjj8c8mo1DNnT7wHiLz/BNcTIsrAsrPvB5ZdxEfqnSno2J6E1owENNFG6pO30Ea4TIxH3dY41NBI&#10;KuM2oYLUL2MVC0hI/twN67FrzVrsWLUaGQKSL1Yg+fNPsXUFjYTRZuemlchP24DK7DjUESD1+Qlo&#10;oIk0FiRCX70DY64GfDfPM+ehTnw1aMRxfzMO2CTW1EQBwjpIEzlqpIITJidpK8doJDIu5KCmAqft&#10;zfjSp8FXHrViH187VbhiVuGGSY0HTiMehCy422PHrbAdt2UOUe4MD7t7cI8b7H5vD55wwywGfJB7&#10;tTxpUeEZo8RiQwdetOl5wHvxhhv5FbPoSy3NQ21UQPCa696S+O/Gh/ErTeNXbmS5z8sL6eId7sNv&#10;jC/vaBuvDRYs87OWalrwskWLN4waMvHQy94wXvQHufRheSCIpU4vnvJM8chswCObGY94EC90aHGn&#10;w4C7rUbcqdPgRrUK16va8UNxI76r7cAvJoLE24m7wT7c8HXhmjtEC/HgS8atM1oDDcOA47SNY1oT&#10;TvA7nzYTJB38/9a2Ke0fJ2ppHgTWAQLhqFaNI2o1DqnUfKwnQNSY4WuT9Q2YqK3FeGUlhlkTdXWY&#10;biA4aCdiIVMdrRiolVsxlGO4mlCprMNQSRXhUYTIzlx0ZuWie8cehOJS4I9LRCgplY+TEJIG0thk&#10;eNfQSggWr1jF52vgWrEGflqGPzYBnk0ECYEhMPEIVGSI+uY4mscWpbvWsnETzOsZXdYLQNYTIBsJ&#10;kM2oJ3BquGxKToa2uADGlkYYtB3Qs4zadpgNajgZY6SxtJ8H5jC33+jIsFIjrOHhIQJkAP39/ejr&#10;60MnTwQytiNI4Ei3rXTReggFJ43EoUQbC0yMNgZCRE1wtLW3opX/0w41IULA2GkjLok2/BkP9xEP&#10;zUSijkQemXfVanco4zvsLkYfmoqMMu0dGEKkW+IOjai/l4Do58HfQ8Popml0EiQhpTp7+H6e/MJd&#10;fkIlgE6CRcDhDzB++Z38vTal3B6H0lvkZSzr6e3G3NwMjtM+zp07h0uXLtEmLuL8JRqIctn+WcUu&#10;ZNSp1MVLAhLpzpVuXpkz5DhjzEkFIvLal1+dw1ffXMBH+t3boM1MhWpHMtq2MWakEyQp8WhMjlOq&#10;PikOtVu3oDqBVpIQhwqaSemWTShhxClgvMl+33uTuWYltq/+HGkrP0eywOSLT5G29jPsil+Nkh2b&#10;lLaQxsJENNBIZKmr3IaQqggjhMaMm7AItDDa1GNEXYzepjwMtBRiiqDYTws5aqzHCQNLRxtRV2Jf&#10;ezTOyFD4r2ke37i1+MbSgZ/0Ktwz63DfY8RCtwV3eqz4xanFLwYelC4XHnJDPaEayozlyzzrvKau&#10;viBEnvGge8oz81KrGm9sjC3cYd55GF24cV/zIHzFs/lbXxBvqZcvpX2DG+O1dPtyA7/hWewVP+ct&#10;zwq/jw3iDXVzWWNQ4PGsrAHPq1oIExWeq7iOO9BSyINFpwXPuIGXugNYooUs9QTwLOjGE4cVD41G&#10;3GesucfocbO8lfDowI06Lb7Pr8OFbcW4wufX9C783KzHj81a/ERjutKkw6U6Fc6LgSjtHLQNAuW8&#10;mWbHOHaiQ4fDBMeRSv4PuTza2KJc87JfryZoNDjY0op9jU3Y39SKvXXNGC+nVRTTKvKKMJxfiFG5&#10;0VNlNSYYe6YkurS0YLCqGv00j5GKGgKkFgNllejJFQMpQHd2ATqz8+BPTof3PUCCW5MRTE6Dj1Bx&#10;fhED10qax9oYOFeto4Wsh492EZLbLxASLhqFe/OW6CAxGWm6mVGGr9tiNsO6aTPMGzZCv34DtHyf&#10;ZsMmtDPaNNBKahPi0bI7C+rqCugJOr2mHUb+jVaTFnYaiN1igMdlJ0T86OnuxABPBoMDPJsPDSoV&#10;NZBeBTBdnWFlYJgAJAoSucaFIGEUVWAgw9AZbaRBVavTokPVgfb2NoKkDe0dHdBotYw5FuV9YgFe&#10;RiYpgYmL+5ZDembs/AzubxaWPJeh8KHOCML83X38HsOjAxjkiemfARLu9MMf4ucFnHD7GJncZtjs&#10;Bn6OgWCi/XDfsjK+my06WKwGxUKkXSQQ9BKM3Zifn1UiyldyXYvMNKZcFHcRX9IopGRSZWnfkOte&#10;ZPyHDCS7cFEaUyXGRC1EAPLV14wx/LmPzHlZMGRvh25XOjSZabSRZLQSIi1KCVAS0ZiyFXVJCahJ&#10;TED11nhUxm9RGlzFSIoYb/I3rUf2hjXYtW4ldq5diW2ESdoqgmTlp0he/Qm2x6xAfup6VNNG6gtp&#10;I1LvQdJRlgZzzU64mnbB1ZAJUwW/R2Ey9AUp8FTtwlBbKTW6mhGGNqKmnUh3bWsJ5lqLlDhz1tqK&#10;b916XLaocZ07ykOnGQ8ZXRZ6rbgdMuC6Wa3MHbpAfXxEg1gKR/CMO88T7gzLrOdUVDnzP+VB90pv&#10;xK/c2L+xZPLklzxLvKFyvma9C0bwW1d0rMivNJhfCY+3k8O0kUG8ZXx5O04jGehRhrQ/t1jxQmvE&#10;Ups2OpeIXNkrUwNw/XOegZbUOjzr0GCRO9eSXJ0rN4uSyZB5xnik1+NuTTNu5FXjl2xWcTNtxIw7&#10;DTr8QIj8WE8gquz4oawF3+ZW4qvCGpzJrsIZPv9KZaaFOXBBY8Q5Rq7z7UYcrWjEvoJKzBdXYT/B&#10;cLiK8aWmAXsZYfY3N+NYc6sSaWZKyzFDCMwSBjN832wZo0xJOcYLSzAmd80vIlBqxUIaMUIbGayp&#10;wwDXDRSUYKCkFAPl5ejje3sJnXBOHnxZu+FKSIadZuGmVfgEJCnpBEkavKsZTT6jedA+PIweAg3/&#10;ljgEWB6CwLWRYNm0icYRAwdjtCuWpkJ4KPbxPr7o+R4NwaHiujaua4qPQ9PObWgtLUJbXTU6murR&#10;wZil7miBjiAxGzRKjHHQ+NyEiI/bOMjtHwmHCJMuDMgZnwftQH83Y4104/KsTlv5/wcIIcB9RmzC&#10;RsuQtg8xDplTVUX7aCdI2jra0UqQCFSkm9dOY/ESPH5+li8Q4GNGGkLE7qSR0EJkvIhFuon5edIY&#10;GxDAMY4IPAYZWcRCevsl0kTQTYsVAwkxkgfCAiY7oWFUACLQMJm1ShlNGqVsdqNiJmIpPb0Rxp1+&#10;7N07ieMnDtFCzuLby3JdC4HBOCLAUEacyrwf0mXLx/+wERnuLsPfjykgEaBInPnIWrgb5oIsGPN2&#10;Qp+zHdrdGejIlGnfkpVqo5k0pycx2ghEtioQEROpIkQUI6GZlMRtRsHmDcjZsBq7N6xC1nrayJrP&#10;kb76M6Sskkgj19t8hqwtq1G0YyOqpT2kiJ/JavhgJYw5TYVblZhTm83XsxPQXpAKW8UuhOvyMSzD&#10;32VEq0yo3FKKaRkW31qKg6oanNW34HuZHFngEZKZyl24323HHQfNQ6fBAxuf29xYMDOuuH0KSO6b&#10;LFg0WbEs4zNkPg+VBi958L7iWeUdNfWVyYxXZisthADhxn7FzCqDw94yG//a1Ylfh/vxSobBTw3i&#10;9WifAhGZqewVd7wX3AGUi+sEUmEaCc8oS1TgJWbiZY8bz41mPGtsx5Omdjw1m/E87MczauYT7oyP&#10;NXos1LbiTkkTbuU34KfdVfiZ4LhZRxNhlLpl8+Cm0Y3va9S4zPWXdpXjxPZiHC+sx4U2owKRc806&#10;nGk14AQt5sCOYuxN3oMDe0pwkFA4wNpfwihYWIkjhMpRRpBDdY04UFuPeT7ey+W+ugbMVVRjurgM&#10;E3nFGM3Kx1h2MSYYU0ZpJqNlXNI8ZMxHt9zLNjsHfQUF6MsvQBfh4cnKgjtjB9zxqbCu20x7YGSJ&#10;T0KQEUZ6XALrYuFbuR7uL9YyxsQglLCVYNnKuML3Eg5uLl00DYc8Jjzc0mVLC7FxnRiIkTDRCjz4&#10;uJ3vbSM8WjLS0FyQg1baR2tjLdqa69HGGNPe1gQVIaLXdMCs5wFFC3E6LPC47UrXrc/rIkh8inH0&#10;SiMq4dHTHSZYBBxeBAIfRplG20LcfL9LemgIEOmFkYNeGlN1Bj00NBE1QSIxRgDSwkjTrpKbdKth&#10;tpr4M7QR6eFhuflZHz7HJd2+743Gxpgl0SPSGUQ/zWNgUNpoutEnyyE+H+5Rlr0DnYw5BB0tNhCU&#10;qEQAERYCDb1B5nhth07Pv5lQcfC48Poc/Fv4t/K9YYKnty+EiYkBzO+bxOFDc0odODiH/Qf+uWb5&#10;+jStZZLQmcDs7ChmZka4HIvW3Dg+shfvho1lLdoVBUnuTmj3ZECVlYoOVvvOFLRuT0FTmkAkUYFI&#10;LSGiFB9XJ8a/h8gmFG5ej7yYNcjeuFqxkR3rPkfGWsaa1Yw0Kz9jrUD6+s+QnbwGldmEhQyLL03h&#10;kiAplqHwcuWvzEHC35GbhKaiDLSX7WDcyYStfg/CrQUYVpVjiiCZbpdRkTJ4rAKn2urwk1GD+/wn&#10;Pexy4V6vEwuddkLDgHsdjAM8qBbaTLjXosUDnZkHqpNl58FrxTOC5AkN5JlGgxfcCd7REH5zOvGK&#10;BvGG731N6EhbyBuC57XDQytx4iVzrQxjfzMzjDdTQ3jFs8Pr7ohSL6ma0rPzljB5N9iLlzSU5akR&#10;Za6P56EQnjJKyeTLS00qLMo9Zgwm5TaZi047HlrNhJ0Z93S0EMaTe7Uq3KJZXCMcrjW045rVhmuE&#10;4Q8aC35oMeNGmx1XyloJkEIcza7E+RoVLtVqcbFOg3MNWgKDprG7GPM7CnCosApHqpuxv5R2QZjs&#10;21WCQ3nlOFheg8MNrTjSrMLBesZIPp8XG8ljhNydzyrERGYeJnIIkEJGFj6XGqWVDOXkY2B3TrT2&#10;5KB3N7fRzkx4t22DP307AokZsG+IYxEYWxIJCRkwlgD3uhiaxwYFHl6CQeARTk5m3JG4sgleAsEr&#10;0xLSLNyEhJO2a2NZCQtl2DqBpGGpGHE6eBJr477ZuicTLeXFaKmvRjMB0iIAaSVA2ptpIa1KnDHp&#10;VLAYGWcUC6EV8ED9ABI/D+ogYSHdudFxITIeROZIlbIrvTFOmouDzx18LtFEyk57kK5d6Y2RMSEf&#10;QPLPEGlmnGpXtUFLgBnNBtqGmT9nVT5TKYLFze8gn+90WRlzHEpvStQaGGf6OxljWINdUYgM9SjV&#10;T6j08rXOLsKO0djjtSsQEQPR6tqg1hCchImJJ1eLRf5uHeGpZ4yjlfgs/Bk7urs8GBoIYXS4C6Mj&#10;PRgf7ydYBpUanxzABGt8vI/Vy3V9f5S8b5zW/ZG9ZA8cpdmQpa1oNywFcqPhHdAIRHaloZ020vYe&#10;Is0ZKWhM44GeygOey/qUpD8gUrl1C8oJkZLYjSiM3YDcmLW0kdXIopHsIEy2rflCaR9J+fxTAuVT&#10;7IpbjdKdW2ghyWgqS0WTgKQokfFmK0su2ktHc9l2tFbsRHvVTqgZc4x1WXA15iDSUoQhGcHKSHOg&#10;rQbn2hoYX/R4IFfadrpwt9uJ+wTJA+4oC9JNWq/BQmU77tW0YaG+XRnj8crlUUaZSi/KK9Zb7kBv&#10;uEP8Rkv4jcBYZvx40azGa5713xIiv9n5utGOFxYblgmBJZ49XhEWMufpG/4jX0kPy6hcF8PHLFn3&#10;lq+9nh/HmwPTeDc7gZf9fVgkRJaosEu0n6ftGoLMgmdUzGfS/mEx4bGPAOS6OyotFjoIkia1MgT+&#10;VrMGP7VqcLm+DV9WNONynQ7fqxw4X96CY9sKcCanGhcr2nGxsgPf8LULFW04kFOGvXmlmM8hMHJK&#10;sS+vgkApxVxmEfbmlONASS0OVTTgCEF2uI7vL6eF7MjHbEomZjN2YzxpB8ZYE8mZGOPz4Z05GEzL&#10;wvC23RiheQwwpgxm7cHQzl3oz9iJSHI6/IkpLJpGIqNKXDINhAc+LcQVGx3X4YnfCi+Nwx0Xz8eM&#10;LHGEBcsXz+eEhpMAccYSHBJdYjbCvnE9HAIQnqTMfE2GrRtj46Hh56niaancB9uzuJ8U5aK5sgxN&#10;dTVoaqhFc1MdWloIkbZGxUAkxhgIEKNBDYtEGbtZAYSUy2lVYo20j3g9UlGwuOQ1rpODXBoj/ygZ&#10;yi5Fe3DyhCMAscgoVRqk2IhEGgGJSqNGGw2klQBrJURa25sYawgSGonBIFFD2i5MhImFULIq8HDz&#10;90svSiDoQSgsEAmguycULcKkhyenPp6wBhhrpMROuhh/BSDSgComIm0hYiIabSt/VysfdxAgtC+r&#10;Fk6bFl6XgQAx00gsNC0H+nu9hEgQI0MRjI10ExD9mJoexOT0AKa5lJqaij6emRmifUiNYI5G8pGz&#10;LBdSjtIcmkg2TSQbpvxdMOZnQp/7ASTpBAlhsjMdLdtS0ZjBg54wacpIJUxoDTQTiTbSNlIug9FY&#10;RdwJ8mLW00bWYpeAZP0qZK4lTOSamy8+Q/qqT7Fj4xcoSN0YtY3iNEKDcCoRoFBHy7lTlO9ER2UW&#10;NDW7oK3JgraW36luFywN2fA25mOotRzHdS34wWrEbW7w+0E37kU8uEOI3Oc/855agzs8u96nyt8t&#10;acQtHiAPqluw1KDCK4MVL2gSLxgf3nIj/BcjyK+REF4SEC/10Z6Xl+2MNB0GmohF6caVtgwxkFdU&#10;WrlqV7mEf4TQ4D/2Bf/pL0nlFzxDPOdZ4TnPFs9lzlSC5OX0MF5N00LGh7E82K9chbvI/Pukg9ak&#10;UuMB9fYJd9SHPIMJWB4y3tworsad2hY8oIk87bAywjCyFNbhSlE9rhQ34lJRI06XtuBEQR2OM8Kc&#10;zCzFid0VOJ5VgQt87XxxHY5mFeJwpthJKY5nl2FfRh5mEvdg384izBfTNCobcYh1lKZyqLROiTUH&#10;UrMxE5OKqa3bMRKfjuHYVEzGZWAicTsGE7ehPyEdQyk7MEhg9G/fid5tO9BJWHQmyGjTZEaURAQ2&#10;J8C/KQG+2ERlHIdM9uOJT1QufJNZwwJphAuNw7M1Eb6EROXucW7ahJO2IQ2mLqXdIwbuLZvgiufj&#10;RFrM1jhYuV+ZCRn9ljho+XOqZBryjm1oy9vDk00hGirLUVtVgbqaCjTQRJpoIq0t0pVLC5EDV0uI&#10;6KMA+WcLkQFkQW5LiTKhoCy9/zSojI/5WoCvfbiAzk9jlDEiAhCHtINYCA9GUQUk/w9ElFijUaFd&#10;gUgj2sSINPJdOhgxCBIakcmsY9TQ0x6ijaACEa+PVsQTSzjiUyAiJY2oYiS9PHEp8WZAANJDgMgV&#10;wVGAiIW43FZCROKMir+jjb+jnd9NAKKBlTbisusZ3QQg1j8AMjwYpIVEWJ0YG+3GDPfp2ZkPwGBs&#10;oW3PKM+5fnaYkWaUxQjjKs+HszyPAMmFlQAxF+6BqXAXTIw0RkYagYguZzvUBElHloCEENmZiuYd&#10;qWjdkUGgpKMxPZU2khyFCE2kglUWH4viLdI2EoPcTRsUkOxZL0PkVyJz9ReQq4DTZADa2hXYk7AO&#10;ZTvjUZ9Py6GNtFZkoK1iBzqqdhEee6CryyE4sll7oG9gNWYTIrkY1tTgG6+VwPDjbsRLeLC6fLjb&#10;5cVdC6FSWYc7lfW4X9uGeyX1uFVUjfuVDXhCiCy2qgkBB94QIL/SHP6T/6DfervxirbxgobyxkpA&#10;SHwxWhXYLBMmMs2hjPF4RYMQa5FrZV5wQ8qtHF7LFIU8Ozy32/FMpcNTo1kZdbrM9zznTrnETLvE&#10;jS1X2j6i/TyzObCo1uNRUweeymPm7ycEk1z+/6iqFdcLqnCzuBZ3+PhugwG/1OpwpaQVP7K+L2nG&#10;hT1VOL6zHCeyKnF2F2tPBY7sKMLBlDwFJucKKnEqMx9HtmbicPJuHGOMOZiRi33JOTjM9x6sbMKB&#10;asKjoh5HCJj923MwR7PYG7cNM+uTMZWwjQZCiGzNwDhrLDkDg0np6ItPQS/NondrKgYydqCXJSNL&#10;O5MyEEndTgvJQHDzVvjWblZGofo2Rrtl/VsJDDGQuK3wp6TAuzWJ0IiHcyOBERMtBwHiTUhgxRM0&#10;sfAkETzJfJxEgHB/snCdgUu1VFIS1Nu3oyMnG21ljC7VFWisqVQAUltVjrrqctTzeaNEGtqIxJkO&#10;VQs0PHhNPGjFQAQeAb+HB1EQ3Z1d1PkudEkvCJ9HQSHgEGgElB6ZcDikDDCTxlUBiscrBmJXunTl&#10;Ijq5BkbaRGRg2YdIozcalLEiWq0aKkKsgyCRpVargp6RRkxEIGI0Sa/Ne4jQRFwCEQJBTEQgIhXh&#10;fi4l0Uag0d0TUWDS3RNWXg/wBPoPiMj30SsQ0RtbCSlaCAFiNglACRGnkX+DDZ0RF3oJkEECZJgG&#10;MjQYxgghMjPZjzmBh9LmMarUDI+RqekhmghhIlCZHcNH7ooCuCqiELGLhZTQQrg0M9YYCRJDPqOD&#10;YiM7odlNkLBUe7ahYzeL6tguLd/bMxhvaCa0kfoU2gg3eiU3fjnPGqW0EgFJIUEiRpL7HiTS7btt&#10;1edIE5DIuJGY1SjOiEVjQRpUlfxdNbuhJTi0dbnQ1efBUJ8PQwOXTfkwthTA2VqMvdZ2/NJNePSG&#10;cKvbhztyr9jeAO7z8V2dBjeLyhld6vGE+f4xofGoqhnPGlV43qZTLOOdw4W3PIu84cEts6y/DQTx&#10;UsZsMKq8dvuwzDgjV+O+sju43oTXMsjM4lTGg7zkTvaaP/OaB77cfU4Gky3xrPRY7h9TUodFmc2d&#10;oFhye/HMZMYid6qn3PEec0d87CdMwoSNN0DQOPDYLRMcye0fpvg9xvHEEcAtGUBWo8b1wkb8UNCA&#10;7ytU+KlGh19YP1Sr8GV+Lc7tLMPpbSU4s7MUZ/KqcbKgGkczS2gkRTjHyHI2swDHYndgX0waZjan&#10;Y//WLMIkF8d2l+NwUQ0OMtIIPA6k7MJcbBqm4lIwsT4O459vwti6eIzHp2EkkcaxJQkDWxLRTwj0&#10;Ew696+LQvX4LehMIkvTt6EnbToCkI5iUinBSGgIx8fCuXI+ADF1fsxGO1etpIjSJjZsJDUYWRhi5&#10;b62MNrV8sQ621RuU12RmMQUg0gZC63AnJ8ApxcfWuM0wExyGhFhouF+p07mf7NmN9uJitNdWoVVi&#10;S30NGgiNesJEqk4BCZe1XFdfhaamqJGoOnhWlgZVmqtElwBB0cntIXOiKhfRcRuFGDWl50Uu34/2&#10;xBAi3ObhiIBE2hxkwJabFiIjVQkOmocCEJZcifuhzISIMujsPUQ0tBG1uoPLDugNGphM0nMiF+PJ&#10;Us+fMdNqCBBpm/E5FCB8KHkudiIlkPAHXIqZiJXIUiAibSeyXl53OE2EhsBJeoPa+bs6+H1UStkk&#10;yngZYSLO9wAJscIY7A/RRiKYGO9VLGSG5jwzM4ppgmRyaojxZoAQEYAIUBhhfFXF8FQWwE2ICEgU&#10;mBAqNpqJqXgPIZJFI9lNiOwmRHbRRmgF2TzAWTJFvooQ6diZgfZtaWilibSwpH2kNjUJNYRJZdJW&#10;Gkk8jWQLSqimhZs3Ik+6fdevQZZEmjXRaQTSVn6G7RtWMtJsJkS2Q1eTowDDqBSh0VAAY2MRzC3F&#10;sLeWoLO9AqcdetzpC+MOAXJToEHzuMflo04vFrih7lbX4Gkrz/DNHXgo8GCUWW7VY5mG8ZaQ+J0l&#10;8UQGib31ePGC8eS5xBdaxutIGK96O5XG0hc0lWUNI41MnmwRuHjximcjGUfyyufHotGCRWmU1Rvx&#10;gDFpsbgeL+o78Lhdi4dqHR6qGEMEIDxzPBHgDAxguXcATzt78MgXxn1vEI/6Bxhz5vBmdAaLkUE8&#10;9fXiqTmIhQYTfsitxdfZFbjCuPJzZYcCkK9KGnCpgBDJrsJp2sgpxpuT/L3HaBendpTgIuPMhZ0l&#10;OEXjOJS2BwdT9+Bo0h4c2LpbMZFDu2grmUU4tLMQ+2koinmIaWyMx+AnazD6xUaMbUnGUEIKBgmV&#10;gXVb0L8pHj00i67PNyLy6Rp088Dvid2KbkIlsj4WQdqEnyCQHhbfp6vh/3wNfISHd+0GuNdthGt9&#10;DE2DoGCUcW7YBM8Gmsc6xpT1fMzoIm0gYh5uiS20WEdiPOy0WltCnAIPI0vP/UhL+9DsZLwtyEc7&#10;jaNNogotQ3pfBCKNBIqUAhOWRJpaVhQkEm3q0dJMI2lvgZ4nGpvVCh+3f/g9NGTg2AdwiIH8c3wJ&#10;hqTkbM/I4JN2EIdiIRJloiUwkUv6zX8sBSLRq3cNjDZ6RhsNtDrpKRGIqGkqEmP0NBAj328kkCwK&#10;QAQCUZuQhlsZ72EkEPRKWW0GgsSqtJNI+4hARNpCBCSyTiAi7SECEatN4MTfo0Cknd9HqoPfVc+/&#10;yY6eHgJkIKjYx9AASyxkpAvjE32EhrR/0DqmaB+TQ+8bWQcIDwHLCD7y15QoNy72VhX+sXRVFMJR&#10;UQQ7IWItY7ShlViKJN5kw1TACJGbRZCIlWQRIoTJrm1Q7UxHx/Y0tLNaCJOmbQRJuoAkEdXJW1Ep&#10;vTXc+GXcQYpjN0WnENhAG1n33kZkEBpNJGPdCmTHb0DtnjRoq3NhJjQsTSwurU3FsLaWIkB47NU1&#10;4Xu/HXdJzDu9QdxTyk+AePE44MSdOkaWglLllpQPGQcWdhbjYWY5lspb8JwH94sGFd626PG6WYfX&#10;LbooSAiGN16f0gX7drAXv44N4bfhfrzjDvXW4cavNIdfvXxsc+GlRB2rAy8YP5YJFQHPs1YNFuva&#10;8KpehRdNajxuoI2wnrVp8IwW85Ta+YjKKZftP3J4WbQngx13+LMP+fmybsHsxgObD/fNHlxv0OF6&#10;aStu7qnFj4wmXyftxpWcClwmKC5weZp/0+ndlThX3orj1a2YZ0Sb31OGU7k1OLWrAoeTsnE4IZPR&#10;htaxq4BxpwiHdxfjwE5GG0Lk2I5CHKClzKVkYWJTCsY2JGBkzWb0/30lBj5ZjQHGDzGPwTWxGFq9&#10;GcMERR/topMQCRMQXZ+uRGTVBkQ+WYvOj1cjtGYDowth8fFK2P/0KRx/XQHHJ1/AtXItfASGDBZz&#10;EzBOgsQh7yM43FwvvS3SkOrhica5lXBJ3AIXzcMll/AnblWii1mK0cawdSu0aenQMLroCA+tDFdn&#10;PJEu2zY+bm0iHGgjSmNqXTUjDK2Ey/q6KlY1GgQwDXV/VHNTA3+2FVq16L1JMQkxCmkclTaO6ARB&#10;Agtp9/hHe4g/4FVGeEqjqgxzdzqlZJTqP2Ain6VcgCcNrIw4StQhHMQyzFYDD+r34zUUgOj4HgN/&#10;RtpBxEDk4JcYEoVGtJ0kWvJc1gtAgowtnZ0BdEukUWJNCF0CEZqIdNt6ffxbXDJORGynnRBppRE1&#10;c9nC39cBj8fE6ObFEOPL8FAnARLBQD8hwsdjY72EiPS2EBqsSemZ4VJKYsysGIi/ugT+6mL4a6Il&#10;EHETHu7KErirSuCqJEgEIrQRaSOxFucoMDEV7FbKmEcryd6hQESdmQEVqyNrG9pZzdtTUZ+ehLo0&#10;iTUCEWkjYbRJYKwhRAo20UY2Rm1k1zqxEZk64FOkEyS7Nq1DxY5UqPi7LQ0lsDeXwtFSCjcBMqSp&#10;xUXS8zZt43ZfALd7fHjA6PKwL4gHfHyfG+dmaQXuFJThUUk1nhbVYonK/5QH1WIOn/Ms/aykHq/b&#10;CRBpGG1npNGalOHmrwiQN7SKX/t68dv4CH4jRN51d+PXcCd+7+zG724/3jDKPG/TKrO3PzeYsWwl&#10;QGg1S81q5fkSbeSRzoAHbWo84fueMTLJPWaemm144vEQDhY8oM08scvYFAcWLDY8JIgWCJJbKgPu&#10;8vPlKtyrVe34Ma8ev+ysxNXkfHyXnI0rmcX4OqsE51NycToxG+fENKracKKiBfsLarA/twonS5tw&#10;nI8PpWTj6KZtOJaUicMZu3F0NyNNcSXNIx/7t2TgwKYMzNE8puLSMRubiglGk6HPN2Dg41Xo/esX&#10;6PlsPQbWxmF4fQKG1tNMYhPRG5eIrs0JiBAAwVWrESYUwl/wMaETXEVQrFsP94rVsP/1c1gJENNf&#10;P4Pp4y/gYJSRmCIXxMlVtXaZEHntepj5GeY1a+DYTBNhNHEmxcGVshXutCTlFg0fAGKhhVj42JCa&#10;osywri8rhaWVB4KMs1C10iZa0c7n7S1NaCMUWhrq0UxANDUKKGoJDhaXCjhoIGIh8rhBntc38HkT&#10;400L2mTsBj+rgzFHrZZ2Cp69CRa7nSbgigJFGlE/NKRGJxdyKa9J/QMkEm1kwiGbslTmCVHgJA2c&#10;AgaJF9HBX1EgEB6EgpTdIbYhUwZItIm2jwhoBDhiHmIjTpeFdmIjyJyEhbTj+AiOIHoIkR4FIkHG&#10;Ex9fY/zxWfh9BFAdCjj0+ialBCZWq5qgsWOA4Bgb68P4aC9B0o2RYenSHSA4Brk+2mUrj8fHuCRI&#10;pqffR5hQTRmCNTyr00QEIN4qwqO8CJ6KUj4uY5XCKSZCgEgbiaNM2kry/gCJlEBEz0ij27ODRkKY&#10;8LFqz3a0ZqWjcXsKGjL+AZFqRpoqgQhtpFSurZF5SDZtIEjWRdtGVn+B7V98jm0rVyJz/ToUJiWg&#10;KTcT5roiOFtKEGkrw0FDC34OOWgffkYXN250uZT48oBAedDlwQLz5EJDEx43t+JJYxsWmzrwnAf3&#10;clULXhYyYuwoxWJhLV62avFKbcALvQnLjCFyw+wlPn/epMFrI2NNTw9+nxrF7yPDeBvpxluZTMgb&#10;wK9OLw3EhkWNgb+jHU/lplMyVJ0gWuLnPOHO8kCrVyDyhDvUU7ebMceKJx2EiM6Ex1ojHhplIiEf&#10;40qnMnv7Ix9jjCdAoDhxV0WQNOlwu1lmLQvhgZF/ZyVhQvBd3lXKKsc3aUU4n5SLMwTKOQLy+K4y&#10;HN1WjJOMMyfza3B8dxmOJe/BMULiWPw2HE3NZIzJxKFt2TiYuBNzaxMwuyoBM+uTMBmThLnNqXyc&#10;gNFVmzCyKgZDjDBDK2MxzPeNxdJOEtIUG+lmjOmVIji6NjHOJCQivCkO/pXr4P18FeGxCh4+9qyJ&#10;gZNGYv5iDQwsGYbulImAZCrCuC2w8uRh3UCArF2rlNJ1m0h4CEBSt8IlkydzX7FwPzHHbYaBpd2a&#10;AO22bdAX00R5sNsYP4w6NXSaDkKkXWnb6GhrIUSa0drcpMQUMQyBhYCiXoGIQKOBEGlEUxOrUV5n&#10;8XEL4dPayp+jzQhkGgihpiZZJ0Bh3NAzOnDbinEIOLxegUe0a9fjERsRiPzjWhmpDzYj68QsHITH&#10;B0D8AyA6giFqFVICiSg8+Pe9B4eUrJPXBR4STyTeeH3SFuJk/PKgM+KnTbyHCONMd7efduKlpTj4&#10;/fjZNhVhGDUQna6R1cTHbfyeOsVWhga7ME04TE0MYXJyGDOExDT3/8mJYdYQARIteS7rp6fH8FFn&#10;fSXCdRUI1ZYjQBvxVhQTIMUKQHwCkMpSuAgUe0ke4ZHPxwVK2UtzYSvJUZZK740YSf4uGPKk5yaT&#10;ismMumcbWnelo3lnGhozUlCXSpC8HzsSva4mOgeJDIkv2SxX+8qVvquRtXoVMldGZ0bbuWYV8mI3&#10;oomf5awvwmhHNS5aNbhBcNzp9+J2l5Plwp2IE/c73XgYdOIB8+QznQ6veKZ/wQN1UcuDu0OL5RYV&#10;3jSq8aqkEctF9XhRy7jRosErHtjLjB/PCZTFRhWelDdhuU6tXAfzLhzBf/YwzgQjyrSG7zo78WtP&#10;N94whiybrXja0hGFjsCH9vGcgHiqISgYW56qdHjInecRz1aPaBkP9Eblyl8ZbSo3435IcMksZ88t&#10;fizZg1j2deGJg1GsQ+Y8bcfPJa24pXZiwdWJ+0YvfqRZfJVVhit5tfiaNnU2JQdHU3bhWGYhY0oB&#10;Du0swgmax5HdpTiQkIUj8ayEHTgQl4Z9m5JxKC4DR3fm4VD6bswzssxJ0T4m1m3F6OebMfrJBoyu&#10;2ICx1ZswtG4LhuNSMLSFtTkJw1uS0bshDpHP16N75Ub0ro1B/4ZY9G6MR4RACccmILhhMzxfrIWb&#10;scYdswWO2DjYYmX8xmZYExLgSE2GKz0N7oxUOJLjCRIZGBYD+6ZN8MTHw8eThVexj0Q4aSA2xl4T&#10;32PcsgnquE3oYKTRZPOkxQPeZeYZm8pvMupg0GqgU6uhVnUQIu2EiNgIbYLVSpgIGJoJk0b+XH19&#10;vVICEYFDM0ETrUYFHu0dLUpPSRtBJFCJgkZeb+a6Nmg0PKiNcjCaCQu5aE3MxP7eRCTO2AkMiS/R&#10;9g8ZMBYdjEZ4vG/HiAJCekgEEGplKXCQ9TKG4wNAPkBDDOVDfTAQ6aoVePgY4wMBB8LhKEC6OgUg&#10;UgGaiEQbP03ExfdY+N0IIAUibYRhM7TaRpa0A3XAyu8TIohGh7owMzmEudkJzO+d4nKSIBlTKgoN&#10;mgcfz86MY5bv+ai7oQqddYRIbQWC1eXwERjeCoJElpUCkDIFJu5yRhqWwETp+qWJOKT7933vjbVo&#10;D8yF/4g12lxaSPZ2QmQ72pQ4k46mD12+/zR2pJraWpUgIJEL9DYiX4EIIw0hsnPlF9jxxQpkrvpc&#10;GSovA9z2aRrwk9+KWz0e5S52dzt5gHW5uXThAQHyiAB5yg22SPovUT2f84B9JrembOWBznrJg1x6&#10;VF4wWrzTmPE7z/hvGCeeS++MAERGptIslpVoY1DGgfxqc+Otx6cMaX8dDuFtdxeBEsJLq0MZDr/o&#10;9mDRRcsQgNA0JNIsMt48bezAY4LiET9P7vh/t41w4uc/le5bWstDmtGj6jY8adDiqdaKR0ZGHw3j&#10;Ta0GN8va8FONCt/LHfdrNPilWo3LJU24UNyAy3UqXGIEO5aRg4PJNIuduTiSX459BRWYzS3D5LZc&#10;7E3PwUmC5FhGNvYRINOrt2COtnEwKx+H9hRiX9JOzBAo07HpmFqzFeOr4zC+cjNGPl2P0U/XYWzt&#10;FoxsTcVQfAr618YSFnHoIVRCf1+NTr4epmWEVqxF58oYhGQ9o004IQle6ZYlWOy0EoNcu7KFtkFz&#10;MNM6LTxxONJT4Jb71hIUZoJBJgVy8j0e6X3h654UWkpKPOxcWrhfGLbEQE+IaAiXjh0ZMJSXwWXQ&#10;wSsNl4wDFrMRZgMPRp4wdFotNAIS2kIHD/Z2moPEkhalmhVQCAwECgIQpQgVAYsApIUAaWsXgEh3&#10;a5tiHgIOKXnc3k44yYVyGmmQFBuIjtuIDgCL9pAoQGGJbcggMSkxjWhPy/s2jz+WYhdRw4jGGOMf&#10;kPlnYMjzf67oRXNmpQ3E57PRMGggYTdB4VXaP7oJj64uH5fREoAEgza+10SQSQwSiLQzojUSpuVK&#10;+5BO2w47TSREIA0NdiqQmN87/X/V3jkCZW5SgYo83st1H/U11aKnoRqKibyHiJ+xRe5JGqipoIX8&#10;3yVg+dD1q1RlgRJxPhiJRe7jUZgNQ/5uaAgRNQ/6jt070CLdvSwBSYN0+XJHig5Ck+tr4hlrtjDW&#10;SKTZqMyElr12NXavWUmQfKFUYQwVmXHposuIm4wpYh23Ijbci9hxn/+geyxZPiFFl7gxl5g3F9WM&#10;FDSLZ/VteFrZgMXqRkKCUYZW8spix68OD955/XhFMCzLdTGs5zY7ntEMnusJlRYtnjAePK1pUdo2&#10;ZLLl59TU50G51iWoNKIu2VxYDAXxjNlY7qO7pCdEGFGeS5whpB43q/CQpvOgrBH3S+vxoJLL2hYs&#10;aHS4R7jdJUQWqptwl1HoTrsat/j4Vm61ci3ML01qfN+swZXiJny9o0zpthXDOFPVjAsVjThPWBwn&#10;PA7uLsDRijocrGjAbFYJJhN2YTY5G0d2FuJAYib2JxK8CdsxvS4JEzEpmOXj/SlZmE/KxMxGRpeN&#10;KZhO3oHJ5G0YWb+FNrKRUInDCCEyuHoz+hhnejYSIFuS0MXnXWs2I7J+M/xfrINv1UYFIJ0bExhl&#10;EpSGUQdNxLZpC/QbNsLAmCP2YUskPFKSlVnV5bH0rljETGS4ejwjC9/jIiQEHtbEzYTHZpi4Pxjj&#10;N0FHkKhpr5q8bOWm2CFGiIBcIs9tYed2tppNMNMKjAYDz6Z6QkRDiKgIkXZaSBvB0BotgkRg0ESA&#10;NDZEISI2UldXo8SbJsYdAYnYh1xZK9CQknYRsY8O2o2KliPdsDoZ1fpH20TUHj6Yg6zT6VXQ8KCU&#10;5YeSYeXy2gerkNgS/TmxEoFDFAwCCAHFh8/8Z2hIfJGSx1ELkXYQBwKESDDkQpgQiTC2hCMECk+o&#10;EZ5YQ4z7MuZDGkylHaS1rRrlPPFnZaUhISEGiVtjUVycy7+rif9LFXxeC3p7QxgbG6R1jCnA+H9h&#10;sm+etW8GHw22NqC/uQ49TTXoaqhEpL6CkaYcIYk1NJNgbSVh8qGqCJFyeCqlobVQaWz1yC0JWU4+&#10;tzHi2EoLGGkKYCrMhUF6bArERrIIkUy079qJ9sztyriRVjESxpoG6modz0ZVSdHh8GU8KxXHrEX+&#10;htXI3bAG2eu5XLsS7duSMadpxk/8p9zu8eJuxEFo2BhbaCAExx2ZNJn/wCdum3Kp/DKz6BIjy1J5&#10;IxaL6rBY1oDlKokmrVimAbyidbw2WPHSSavoYiQJhJQBY0s0kae1rVhSMYrU8+DOKsUTHqwvLFa8&#10;ku5cxqLnPo9yOf8LfxCLdlf0QjmnC8sOlpiIXM7fosZTxqZHrMc0nccyOXKzHgtFjVgob8UjmxcP&#10;evvwyB3ge0y4qzYSKDbc5u+/Rcu4zbhyrbSRsaUB3+6uwPnEbJxNzsE5aUAtZoThd/yGQDolkGAs&#10;OV5ag5OVTcogsQN8394tOzG9iXaxLhl74wiM9D2Y3UqIMLZMrU/E/JZ07OPz2dhtmCFkJpJ3Yiwu&#10;FWObtmJs41ZMbEqKwoMw6SdIurm+OzYJ3Rvi0R2TgB7CIrRyPbyfrUGQkSYiM41t3KJc5+JcvxEO&#10;gkGuXbHExsLKeOJMop2kpcKTnARHfByc8Vtgj+F7FYDwdZ5EnNwP7Iw2xjiCJ5bGSXholHEfiVDv&#10;yIKpthZ+WkfE70eQEdJHiEj7gnTDWrhdpLHTQJDo9AYevDpGGjWNooPwaCc82gmH1qiBEBpN9QKR&#10;JtQ1ECANBIgUIVJfX6dEl6i1RKudAJFGWrESlVquMWGUIRykG1ataeVjRgKDWgGEXMAmz1Vqvl/V&#10;8k+vR+HxIZb8AQ5rtCyyfA+RaH0wjg8GEgWIQEMGiUmJgQhAJMr8c5wJBLkU4wjIe2U6RhXBJ6As&#10;RV5eJpKSYxGzaQ1Wrf4Mn372V3y24m/YHLseRUU5/J81Kl28Ho9FMZnBgS6MDPcqjaeTjDYyLmR+&#10;bhz75ycJkSl8NNzWhMG2RlYDBtrq0ddKmDTXoJPRJiJWUl9FkFTRRipZsqxSGlc9NBEp6a1xsRwV&#10;xQSIQKSIECmCpYQQKc6DkV9KTyPR5O6mjbD2ZCk3OW7fmYGW7amESDLqmXdrqK/KNTXcYcq2bEDR&#10;JkJEQMIq5x8XqSzE1yEnbvYFcYe5TqDxIOLEQwLlvjL+w4tHjDLP+I9dolK+8jgZQxgNyurxrJzw&#10;qG/HMk1guaEdL3iAy+X2yyojXsvkQV1yGX4Qr0x2PJeJgHjgvmpnzNHZ8KSmVRmB+kaGsNNM3miM&#10;/GwPXvb3YDEQYIQhsBhbFi02POcOrdwi08iYQnDdl+5jWsEDlQELNJV7jCf3qlV40GDAU08nlsem&#10;8LyzH4+1BCFfe2j1EjQePDO4sWQP0FKsuFnVjp/2VOHbjHxcyS7Ht/l8XF5PM2GkqWzGme15OJy2&#10;G8dySnGqpBan86pxfBsjSsoezMRvx9RaWsdqRpTYNGVE6eSmZEyuiuP6BIyvS1CGqc9sy8Hw1m0Y&#10;WhePiQ0JmIhNwXhCOmMLwUE49KzehIhElRUbEP5kHXq/2IResZBV65UYE1ixBgG5LD9mMxzrNsDJ&#10;kkvybRuis4c54+LhYDnj4qKwkEmRN22EfcM6uLh0MaLYeRaUxlMbTyS62I3QcJur42PQnrgF6owM&#10;7ktlcBMMIb9MRRjkMggvzVF6PaSXwyYXtFksMDMimvn/13FbqTR6tKu0tAc1mgmQxuYWRhZqex3N&#10;o5YGwhJgKPBoqENdfQPrH20kHxpaJf50ML5EB4BxyRJ4fLAMufLVYIy2ZUjJYwGGrBeAqNQtClj+&#10;X4CIhUhbiIUl60ws8/vo8qE+GEgUJDK/h4ngkPhigstjhNsrV/nK9TQEkpWfb5JRrg2EXhUBWYqK&#10;ijwUFOykbaQgPT2eoFiLz7/4mND4O+HxN3zy6V/xySd/xYrPP0Y8/98VTBc6XbPyWWItPT0B9PeH&#10;lUFm0rU7PNxFmPRhdmqYZjKOj0bb5a5hTRhRNWOEf+hgeyP6W+ujRtJYrVRnYy1BUkMzqSFMauAn&#10;RHw0Em91BVyEiZMgcVSUwl5e8kdZBSK0EVMJIUI90hfmQJu3B5rsXdDQRmQAWnsmTWRHmjKK9Y9r&#10;argDVW2V2c82oGTzOpSyDFnpOGxW48ZAJ+71szplWj8/HoR9hIiXFuLB/R4eeL2MEQTIc4sBr6m2&#10;csBL4+grHsBvtWa8btbidZsOb2R4utHG1y14Y3Pjpdy2IRTGq84InnOHlHaP3+xe/EozkTEeyzqT&#10;MqnQG0act9w5X1OhX/EM+MItc3/QQIw0E5NDaUh9QlN5Io2oNJ6HO4pxL7MYd0vqGE2acY9wetRq&#10;wCOVFQ8NtCVXGE/sPtxt0eB2XTsW2s14pHNiket/HZ8ljAZwp8XInyVECMLvGX8ul9bhclENfqId&#10;XW3S4MuiSpzcxQizpxjHc8txPr8G57MrlUbV/Wl7MLdlO0bXJNAsGFVSMzG1JQ1TGwmV2FSM0DJG&#10;4tIxmpKJgfh0DMQkKl22IxsSMbY5WTGQ7k9pGH/5AoE/f44Al77/+Bzhv69G1+eE+qp1CH+xFv4V&#10;qxF4P2DMvnI1XGv4mFHGvmYDHLQRr1znIkaybj3jTXQwmUMaT2M2wilLmSCZ0JA2D3PCFmhpoaq4&#10;GKgZZTrSE6DO2w1He4sym3owJGMcAgjQ+jwyRaDM6iUAYVkYP83cBkbapU5n5sFrRAfNrq1Dh+Y2&#10;FRpoIHUNzaiqa0R5bT0qa2pRU1ON2toaVBMqNQ0tBEmTApD/GyLSBhJt/1CrCYz3w9DFOpTBYASJ&#10;Ek3ej9UQSMhzgUjURsRE2hTgGIz/aDBVIMHH0gtjYZwxS/GxvB6Fxz+VXcu/U0sL0REW8hnyeTI8&#10;vwZNzeWorStGVWUuSouzkJ+bjj27kpG1cyu2ZcQhJWUztm7dgLi4ddiwYSUB8vd/AITw+OSTv+HT&#10;T/+Glas+QUpqPP/2MhgMrYSyBn6/FV08Qff3BzE0HGERIkPdGB/tw+T4EAHSQXgIQDoIEEJETKSv&#10;uRZ9LXUKSHq57G6qRYSUDtVXs2oRJEz8BIm3tooAKVfg8aGclWVwsAQiNlqJtbwQ5tJ8GEvyGWdy&#10;octlrKGJaLMzod69Qxkz0iY2si1NudK3PjURtdTY6oRNqNyyHo1c9teW4nsaxl1++QVms/sEyINw&#10;APcDXuWGUQvMePc77XjS6cAzF83CrMdzowGLzMTPpUFUpccywbFYS/to1eGtDEcnOF5zKY/fMUb8&#10;Fu7Cr7290RGoNqfSXfu2qxMvrDZlbtN3Hj/+MxTE70EZJ0IDYVx5SXt57gniqcuHpwYbFlv4O+T3&#10;mGkkOiMWaS+LNJEnjBYPCJHHMjuZ3C9Xa8ddxphrBQ24Q6A8MPB5owZ3K9pxp7IDN7nuSaAbD8xe&#10;XC1vxi9VzfixthnfVzfhSl4VvsksweXcKnxHoHxdVYdzZVU4TZCc2FOCU7tLcDK7FId35mM+KQsz&#10;jC9jElu2ZGA2iVElXpY7Mb8tG3u352A8JQv9hEp/TBIrEQMbtmJYum3jUzEs3bVrY+D/2+fw/+kz&#10;ZbCY/29fwP1vH8P7v/4O379/DM+//x0ulufvn8P92SpYP+GSMAnI/KbrN8Mjl+wzqrjWEx7raBx8&#10;7paRqJsImI1yte1GWDdtgGnzBsaWjdDHEhzS65IYBw13Zk1WKgy1JfBQ75XL7QUeQT+UuTlkzlGn&#10;GzZCRKYHNBHyOv7vVUYzNAYzD24LD2C5abUFTWoLqltNKKhTI7OiGRklNdhWWIndhdUo5LYpq6xT&#10;gFJbF4WHmIl04wpAGhl7WlqibSEd7TzDa6IAkXYQubZGR4iYTDQLAkQsQilCRExEzENKbOSDtei5&#10;3iC2wvcoA8Sscok/DYKmYVVmFxNoSCOtgEZgIsCQQWDN/H21aG0r5/cqIvxyUVaWRcPIQE52CqGR&#10;iMwd8dievhnpqTFIS9mIlKQNSEzcQLtYhy1b1mLd+s9pGwKQqH18TIB8/LEAJAqUNWtWYNfuDLS3&#10;1/NvlMFmKqXtRNpRenp8yoCz0VG5tF+6cwmQMbl3qVLNGGVmG5Y4Q3AoRZiIkfQ019FABB7VCjwC&#10;XPo/QIQ2IhBxVoiJUDMVK+FzPnZWESpVJbCUF8FcUsg4Q5Dk58CYJ2NH9sDAM4uARCJN245taN4W&#10;jTQNjDT1hEg94WHflYETZhXuEB4PWfcZX+5HfLgf8uCO1447PivuhW141OPAk4i0fzB6OK1Ydtiw&#10;RK2V8R0ywOtpfRsWG9WMNUa8ZFR5zYP+lcy2zoP3jcWNtzYv3jn9eEtQyHD1lzIHiEwiZOVjQuiN&#10;3op3XP+OZ7qX/GyBxAujEy/NjBsEyWOC6HGLFs/4O54z1ixxh37Os6BcwSsNqgKRx4xST5sFFM24&#10;uqME13aW41atGgsEykK9DncKm3CLkUUaT282qHCD7/uJMei73FICoxQ/FtfgBxrGpW0FOJm0Cxd2&#10;F+GrMrmMn9ZRWo2TMkQ9bgcOpu7GgZTdmF6fjGHGlcHVcZhYn4Sp2AwMraddxKRgLoN2IhMFpe7C&#10;wOYU9NM8BtbEY3A9AcL4MppII9kUh+51jC4yLP3fP0XgTyvg/8vn8PKxmwBx/Yng+MtnSjn+/Akc&#10;//Ep7Hzs/GQVPKtoF4w4YiOutWvhWLsGzvXr4NwgA8qi8LBu2ADrxg3KDOuGmA3QxKyHijYiF8tp&#10;GGc0O5JprZmwtNfBz20tV8sKQPxyIRtjpFsMxOWB1eGGidDXm+1Qc9uquNRwW+m41JpcaDH6UKr1&#10;YUeLG3E1Nqwv1WN1QRs+z27E55l1WL+zGmk55cgrLUdpZTUqq+tQUyuRhhCRQWcyMK21WZn3VNpB&#10;JMrIdS1iImr1e4Ao9qF/Dw+dAgexDal/RJtovNGJuegl5sh7DASPTEEY7do1W8ReaDTGNpbM5yFd&#10;rbVQdVShraWUsSQftTV7UF2VhfKyHSguTENebhLhEY/M7bHY9h4eKckbkJy4DlsT1tI81iA2djU2&#10;b16NtetW/BNA/hItGsgnNBAByAquj6X1l5RIo2qjApHosHcdbcSCzk73+0FnA5iaGMZHk8xoE1Ss&#10;ccJDSgGJWAlriPAY4rKfUIk0MsI0VLNqEGyoRYiZMcwSI/HXVsNTVQF3ZbkSa7w1fFxdDhcfO6vL&#10;YCuniTDSWEsIEkLEkJ9NeOyBqUCWApEsdGQSItvT0bqdkSadIElJhJo70XBVMb7323CfGewR62E3&#10;4RF24V7AgduEx+2ABfe6GB0GPXja5cRTL6ERkFnQGS94EC8zrrxkhHneocdrM2OIzYNlqwuvA2EC&#10;IkSY0EIkrli9jDZR8/jNG1Ss5Hd/GL9Z3XhFq3hFMLxkBHlFHV5izn7GOLOkYdEW5GbaT7mzPmhR&#10;K7doeNSowv1mVm2rMpT9SWMHHhIeDwprcTevBjcYMW7mVOG2zDRW0oTblSrcJjyucv0vdS241tSG&#10;q/kVuJpTil8qanG1hBDZlo8f95TjWmULvtlThjPJu3EhqwgXc8pwekc+zjGynIzbiSMb03EsZQ8O&#10;xu/ExOdbMLIyFiOrtmCMMUbMY4ImMrx2K8aSd2B0224MMcIMM7IMrUvA4FoaB0HSFZPAZSzCn65C&#10;6O8r0fnXlfD9y8dw/re/wPNvn8LLGOP8ywrYP6aNrFgD3xfr4JCRp3/6RAGInTZi589aCR6bjEpd&#10;uQb2Vaw1a2EjTKxr18Eu8NiwHsb1a2HcuB46gkRFkKgZY6J31U+Ges926Lj9XTy7K/ZB85AZwmQ0&#10;qMDD5ZZbGHhpHx7oCXANt6WaQFdbvNDYAlDZg2iwhJGvDyG5I4ANTX6sqvPgi2oHPi8349NiI/6S&#10;o8afttXh4/RSbMoqxbaCSuRV1KO0poFRJ9omIoPKZCyJGIhKRr7SQLRajQIRFSONtIkobSACDgUi&#10;emVp4HMDv/sftvHHa1wvgOFrckGdmIxiKMr8HS2sJq6rh05bDY26HO1tJWhtLkIT4dFQl4362t2o&#10;JUAqy7ejtCiNkYUA2U2A7IhFRvomwmMjErcKPNYgIV7AsRIxMV+wVmHt2hUKPKQEGNKIqrSDsOS5&#10;RJtVMvlXUhwjURF/fxMM/E4mY7sSacRGwmEnI00IoyO9BAgzmgAkCpFm/P84+8/4qK502xv113vO&#10;7m4HnDMZoZyzkJCQQCLnnIVyriqpSqqSqlTKOecscgYbMOBst3MiI3LO2O7e534cdzxzSZj27n7P&#10;+7sfRq9QpRJtWP8a45nPnFMcSVsGlUmQ8J6qi/BedXIcquhEKhPjUM7/oBWkcmUSJdcESukmqYus&#10;pdYoCUTssetQuHEdI80qWFavQD5BIgVW4/LFhMh85BAgAhGDFFhllGbmDKRGEyLTpyM1MhJ2Rp29&#10;hjR8X2nHaf6Bz1Cna7UC6o8lZnxPePwoO87V2XC2mVGirhgXK4txuVqWELSrAqfUMCSSXGI2vmYv&#10;UltOXi8qx83qOkaUWgKjDPfKq3GvuAK3zUW4ZS3BLcLjFt3I9TxZRCgfN7LzcJ0QubwuiTGIToYu&#10;5qLegiEDwZUpq5ll45wuRwHkF+n9SNHhFOPSiTWJdBw61aV6LjGLLiQVp5YzzqxIxC+rEvHT8jiC&#10;ZAO+nU/NXYvPCYHP5i/HFwtW4KvZS/H3ucvw+eKVBMcyfBw6Gx+Fz1fdqJ/OXoVjUUtwdOFaAmQN&#10;9vH+gWkLsCd0DnYFxGDX1LnYGhyDXvcw9PmGo8cvXPV59E6did6IOejwj0Qbz1siZqGVbqSZ4NBa&#10;1elEgiNR7Uvn4emPcjqJ8rEuqB7njtLRLrC+PhHWdxxRONEN+eNdYSFI8nluJSgKCBrzOCeYJzoz&#10;xrhSvObP5zq4w8SjkfdyXdyQ685rD3eY6UZyfb2Q7S0Akf1d/JEVHIisiDBkz5iG7LnR0K9eDDMf&#10;qpJCK8pKtIlt2vwT6fgU92GHucCOHMbRLDqNTKON7sOOtLwyJJmrsTavBnMMlQhLL4dfSjm8k8vh&#10;kVCiIOKxwQqf9bkIWq9H0Oo0eM3fBLfo1fCauQqhC9dhNmPNsvXxWCcF1+E+ERnelXVOZX0PzYHI&#10;FP003kvR6htGA11Q9rBkY+xsOiA941SWphwdXRHBQZeRbWKMMTGWmOg0TLLoT7KKKDk50mIez2/+&#10;WAJkPePSGmSkrURa8nKkJC5BUvwiJMTNx6aNc7Bh3UysWTkdy5dEYNH8MMydHUKABCI83E9FlpBg&#10;DwQHuSt4+Pm5UK7w8HR6ApA/CqmaE9EcyCS4ukyGt6xtLGlg01oYspIIEfmzpapIY7VmaxCpK8Uz&#10;HXQgAgtRO6VgkpU8DBAprCYpgNTRhdRSNSkJqEoWeBAoAhWeV/FcCq0ScWS0RoFEekgIFamTKDci&#10;c2vUiI0UW2WUZgndyCKKkWbpfOgXzWHenYl0RpmUGdOhnxGNVjqazwrzcKquBGcFIPwDn6kt1VxI&#10;hQ0/MZf9XFmAU/XFBEg5hhrKcKm2HJcry3Ce7mMoNx9XiktwReoaZaWqd+NGeSVu19bjdkMjbtfU&#10;4XZpBe5QdwmVe3lFdByETGEprufL2hyEDh3LTToU6Qk5vz4F5+PSCRBpfbfiIv/hnmNEOpNpoLJx&#10;OisHp+U6myJEzjCunM+U9zLOMCYNGfNxPsOE07GMZMs34Zu5q/Adv/V+WECAzFuNLxhBvp27HD/M&#10;XYFv6Ti+ilmCjyLn4MiUGTjsPx1HfaNx1C8GxwJm4ti0RTi2PBaH1yVg/6I12L9gFfYSQNsDo7HN&#10;Jwo7gmZiOyGy2T8KfX4RjDOMMIRFO4HSQjfSQqg0UY2MLbVuAYwwIYwt0WhhfKn1CkK1my/KCAH7&#10;6MladBlLt0F42AiNIhcf2BwYSca4wDzGic7DEXljKQIklwAxERY5PBoYaQzjnJFNB2MkSMx0KhZG&#10;mlw6kVxvAoSRxRjgi5xAfxgID11oCDLpPHUzp8PAL5Y8Rmi7LY/uQ5sdK2uTqrqHzDkhQCwFRTAR&#10;8nqCI9NYSPdRhLTcEsTmVmFRTi2m62oRkl4Jf8LDJ6kcnpRHQjF8NhVgyqZczKN73EAIJDKCbEpL&#10;w7JNSYheHYvwJWsQTvc3ncc5q9Zj4bpYLN8Uh7UJiYhLTkFSehrSGGMyRASIdK9m6OhMCIg0QxZS&#10;+JnJWZlI4uuJfD2Zx3S6DAOjgMmcSehl8s+eTqUivyCFx2SKx/wUmC1JfEjjkZO9EQb9umGArEJa&#10;ygqkJi3VIJKwkA/2PGxcPwtrV0fThUzH0sURmDc3FDNmBBEgUvPwQnCwu3Iffn7O8PV1ho+PC9zd&#10;HRU8BBROTgIQOo8RB8IY4+LsoADi4e6MAH8vLJw/k/DaiGwdIcI4I8VVgYjNloMKJoFnurPT0UV1&#10;GFLRrk9BO+EhEoC0pCcQIIwzJFATwdLAeFOXlqhAMuJIqgmQaoEJnUglnYiM1pTJiI2cEyqljDwl&#10;m9bRkawmVFapo0zSy18jQ75LGW0Ww7iCUWbpXDW7N0N6RWKiUTRvPvYnJzOqWDFUL4vxlOFcNUFB&#10;h3GOOlNehFNldoKkEKcJmHPNFThLuJyvLMHlilJclOn5hSW4XlmNm/X1uFFXj6t0Gjer6nndwPfI&#10;lpNVBEqFKpDeNFlxM8uMO3nFuFvN9xAilwmKq5l0MRlmXKDjkFrHhSI6nJJSxqRSDBFO53PMBAUd&#10;ByPOifgMnJQlFAmUEzKN32jCSdm+MkmPk6kGnJI5MMlZ+GlVPH5clYCf6GjOJOhwLsWEH5Zuwufh&#10;c/HltHn4OnIBPqeL+Jgx5NOw2fiCbuRzwuazmOX4ICAa73uE49j0xTi6Og4H+A9eZtnuJ2wOMMrs&#10;CIrGVtcwbPefgW1T52DQexo2e0eqmkjfjHnoCIhAOx1Hu384o0sYGuhMZFhWej0a/EJRSXBU8GGv&#10;pKMoYUyxEwo2wqGITsM+wR35BILVQRyHOyxjNXiY3p2MnHcdkD3aAQbGmKwxDkh/dyI1Cdl0KrmT&#10;vQgVLxidPGF0Izy8fOk+fGEiPEwh/qpZzBAaiMzwYGRMZ3SdNwvG2LUozMtWWzQWM7oUK3gINKRo&#10;WohcwiPbUoQMwiM1pxCpeeVIzKvEGmMV5uqrMC29FCEpjC3JZfCi6/DeZIXfRhOmbjJgYYoBGzJ1&#10;SGfsMJlpzS2pyOODbTTTWZiSkMYIkUA3HpuWhA2pSVjPf/Ob+Dwk8vlIpSPONGYSBhl0DrJocYb6&#10;WXOBDhabHnlWRpV8xhLafVG2RQeTvMb7NpuswZGFIrs0a6XzPI2RIIXf6MkoIESU8pNgzouHyRhL&#10;iGygC1mLzIzVCiLpaSsYZ+hEkpbQhSzAxg1zsH4tXciqaKxcNh0LF0Zg5swQTIv0RxgjTEiIxBdx&#10;HxpAfH3pQAgQZzoNAYWzk4OCiBPBMSK57+bqqADi6eGCkCAfrOCzmZUeR6AlqZqIgCSP/7/thSY8&#10;M5CnR79Zj97cLHQbM9DJ/0AdesYaWsd2HWHC/2htvG5h1GmmW2nISEY9/8OKI6khPJ6IcaY6YROq&#10;GG+qJNoQKlrdRKudlMatQ3HsMEQ2iBNZjvy1y2BZS4isphtZuUh962QsIEhmz0bb0hX4MkuP88U2&#10;XK0qxrVqQqG8GENKBEYZIVJGiFQU4WwdnYdsU9lYyfhShsvlfPjpNq7TbVxlNLlaRljQbVwrryFA&#10;GnCDgLhWUY1bdCH3mlpwq7gcV7JMuMpvpJs5Ntws4eeYCnB+YzrOrU7FmbUZuJRdyJ+XzagID4JD&#10;dKGgEOfSsnE2nvGEkJA1V0+sS8bJtUn4kQ/3T7IOCUFyOj4dPxMWPzP+/MLjDwvW4qcVcTiRSLAk&#10;GwkVoxqVkcLq55EL8fXMZfiCUDg6dTaO+0Xhsylz8IW8Rlt9fN5yHAqiI4mchw+WrsV7dCs7fadj&#10;B0GxK2oudscsxK5guhC6jy3T52MLo8/2KbOxbc5S9C1Ygu4p09HpFYKuwAi0BUxFg2sgah19Uesk&#10;4PDQRljenoRiqpTOo4JOwy4jL5NcUexI1zGBroNAsRAk+eNdeM24MtYZOXQqBv6sjhBJf2ci0t6Z&#10;AN14mYnL+ELlTPZAjrMnDK6eyPHwhtHHF0Z/P7oPP+iD/aALI0CiQpE+OxJ6mXeVlYpiWW6wVKbO&#10;S9HURnhoO90b80ugtxQzqtiRmFuITcZirDVWYAnBMSOjEiGppfBLtMJrUz7cNxTAm1ElcqMOSxOS&#10;EZsah0wCIs+YgoLcNBSY6QLyNQdQYEvlQ8Hfa8+k2zHwdxr4cOv4ejof7jRYCzNhLcqCTUQI2AgA&#10;O0FQUpqF8go9Kip1POpQWqbjn1vH+3qUlRlQyXsV5RTPReV8rbQkk1BMR1EhIWJNgY2/30qAiJ6G&#10;iLgQgYguS0Q3kr4SqSnLkJiwCJtixYXMxvo1EmWisXRJJObOnUoXEoyICD+EhnohKEjqHxJfXIYB&#10;4kRwTFLwcHaerElBRNO/AITy8nDG1LAArFuzhH8OxivCQ2TM5n+3PB2e6ef/DOZnY8BiQB/PBSJd&#10;2WnKlXTn0J1Q7YSKAsgwRJoyU1SskeJqXUo8aulGagmMWuloFVeiHIkUWQkPxhoBSBlVwjxVLACh&#10;A5HuVSuVzziTP9x8lr18MfRLFqBk0SLsWbUOP2Zk4KLVgtuExV1ZwKesRC0PeJ7gkCUCh6oYbagL&#10;DRW41lRF0JTiSpEdl/htJXvT3iA0rpbxPmFxtaZWAeBGeS2uV9XhZkMT7ra24V5zG66XVOCKIQ/X&#10;0nJwjS7kqllm21pxKSUHFxKzcSHJiItpubiis1BmtWrZRQLnYmYOzqcZcF6Xi/N5VrXi+4m4DJxa&#10;KTUOuoyNSYREGs7EpeIkwXIi0YCzBNOp1Cz8yOjxC93Hj/z8Hzfp8d2KZHw5cw0+jVyGz6KW4uMZ&#10;i3GMDuQY48jxgBgcj1iAYwKVuUtxhLFmf9gMvD9zIY5I/8eUGAy6h2AwJBK7FizG3lmLsCUkBv2h&#10;M7F12lzsjOH17IXoiYxBVwjjTHA4ekJl/Y8paHDxQ+0kL1SPc0MFI0nJu3Qb70yG7c2JKHyLEKHT&#10;KJrsDuskF9gZaQoJEusEJ8qZUHFDAZ2JkfDQv+MAvRzpSrIImEzKMNEFer5XR2U7EiJ0Hzme3sim&#10;crx9kE0Xovf1QRadSJY0jM2chswls2FM3AB7vkmtSyrwsPPvNL8gH0ZLPr/RC6EzM6qY7EgwFSKW&#10;8FihL8GcjFJMTSmDf2IJvOIK4bbRAq91RoRuyML8+BTE8d+qThfHHB+HXFMi4ZEKGx2HzULx4S20&#10;JdAVJPN3SgOVYVh6lBQTBgRKaVGmevDLywkKqpzQKCvNQHlZJioIiKoqPaqrs3mkta8cVkUO4ZGN&#10;6goDagiYGt6rpqp4XUHIlPEzSoroRgQihJfIRpgIRCzmBAWQbMN6BZERkGRmMM7QhSTThcTThWgQ&#10;oRMhRFatiMbiRZGYPTtMRRmByIgL0eogbnQVIwCRkRgeCRAnJ5E4kskEyGRGGCe4u2kOREDi7eWK&#10;qMhQxMWuUgXVHMpEgOSSDc/0mrIUPMSFiHpMmegkQAQk4kp6+HoXLVubIR0tdCKtVBtBIsVVGaER&#10;NTCrSs+I1oAWSycSixq6ERVpCJEyJYHIepQSIkXrpYt1pZJ17UoUSPOZKq4ugXnpIrQtW44P16zD&#10;aebS67YC3CM8HsgsWDqLC4w058qsuFBFiFQTJtV2XGSEuVRuw8V8xg1zvmorvyJ7uNTW4zqjy/W6&#10;Blzn+Y3KGlwXoNTKrnKNuMnXbspM26oa3LYz7uhzcSPLguu0xENZeXQd+bhawEiUX4wr2QXqtWuZ&#10;MkdGj3NSTKWzOJ9Oh5GTi1P8ZjxhseIXOpJTBMOZDKPapvJn5uqf18TRkSTiRLoZ5+luzuYX4Ke4&#10;JHxHR/Hd6mR8vzYNXy+OxydRK/EhAXI0fBHeJzSOUR8xqhxfsR7HF6/G0aj5ypW8P3UmdoZMw54Z&#10;s7F3xUrsXLwM26fOwNagcMaZhdg3bym2hsxEt0cY+gMisWP6PGyeOQ+9BEh3aAS6pkxFe0AI44sf&#10;Gt38UTPJEyVvOqDkLXEfFJ1HwWhH5L45AYV0HGXO3ih2cINtHMEynnJgrJF+D96Tuofu7YnIfGcS&#10;MhllMgmgDB7TGWMy+d7MCY7Q8716Z3dkezDK+PlRjC0yT4bS04XoZLJcZJgadTFs5JcKv7yKCgv4&#10;cNmpYj5UhTDlWZBltCBNDctaEZttwyqDHQsyizEjpRihiUXwibPBY4MFPmtNCF6fhdmxyVjPL7K0&#10;9A3M8Bv5j34TnUcCLLn8xic87IwWhdYsPrh0HDY6CYKijNAQl1A5DAqlMj2vBQQaAORYVW4gCHiP&#10;wKiuNqK6xoTq2lwec1FVnYtKXldWi/hadQ5qCRdN8hnys/K5BFLJHxCxK5AIQJKQb0kg6DapGCPw&#10;EJAIQLIyV6soIy4kKXExEuJHRmVmY50a1p2BRQsjMWcuIRKt1UMEIkGB7gjwd1d9HhJhnEQKIBo4&#10;NHg4Krm5OhMgLnQgAhAXBROByGxZBzlZajMpMMlCzWTEM72EQx8h0Z+rg4ozPPYSIgKPfrmmuvm6&#10;AKSV4FCiCxE1MycqESKqg5VORDpYRbUESHX8JlTECUS0ekg5I01Z3HrIRD1tti9BQoDYBCJ0IZZl&#10;i1G5dAl2rViFb9fH4nKWDndsNtwr0wAiTuRCST7OVRAgBMdQpQ3nK3kusubistmMa/wHd5Ux42op&#10;owudh8DjVl0jblXX4RYdyS2phzQ34lodIVJVRYDU0JWUq5XILsniyalGnI+nU4jX47Ihn5/HeGNj&#10;bOE/3Gt5Nlw3FuCirJS+IRkXNqXxvek4GZuCEylZOJGTh1NZuThDJ3NGZ8LJrGwCRXo6UvB9CiOO&#10;Pp9Q4f2kLPyyPhHfLVqDr2atVJtHfTZ/A45Gr8AhxpfjM1fgo4hFjDGr8QWdzMcbE/DB/OV4P2wm&#10;jjCWHKR2BEVi94w52Muot2vhEuyOnoPd06KxnwDZs3AZtkYvYEyJxEBwFHbKxLlpMRiIiEZfcAQ6&#10;/UPQ6OmLakaKRvcA1Ez2hv3NSSh8fQJsBEgB44mMqOTSURTSgZQ6eqGYUcVOV1FIINgmEzAOzrBM&#10;ZEQZS9fB6JJJpTH2iKT2kUnYZIn74Pv0Tq4wuLnDRMeRGxgAY4A/sgkSPY/6KUHQhYciMyYKWcsW&#10;IC8tDsX8uyyh+yi12/lg25FnLkAG/9vG6y3YqLNiTZYNCzJsmJZqR2CSHd5xjCkbTPBZk4WgNcmI&#10;WR+HZfx3Fp+0BplpfPiyYmHU03kY4mDJjkdBTgIKcxNht6TAbk0nRAiTfMKjUI+qUj7kBEQtgSGq&#10;IzBqK42orcpDfXUeGmryUCeweAocNQRHXZ0Z9fV8rU4mommqkdf4njqqviaHP8fP41FAUl3J3zUM&#10;kTKBSLHURdIIS4kxSYwxjFm5m2DM2UCIrFfHEYiICxGIpCQvVRBJFIhspBNZNxtrV83EyuUSZ6Iw&#10;f/5URMeIE/FFWAjjjPSBeLloABF4uDjAxUVzHSPwcHURgIic4EFwCEjk3IXv9fVxx4IFs+iA4pGd&#10;nQHZa+aZgVwNGoNmAzZbsrHZnM1zPQZ4rUSA9Jp06NAzyujSlMR9SJRpluMIRKjGNDqR5FjVySoA&#10;qYlnlKEqeV4xHGm0eTVrCA9ZMmAlitaugF1WQFu1FPalC9El7mPlOpyIjcd1Qw7u5ltxt7gYD8pK&#10;cZfx5XJ5IV0HnUelHWdK85WGiiw4b8zGkNGkVhS7WUmXUV6FSwKRSkaXqlrcrK7Hnfpm3G5oxe2W&#10;NtyR+gfhcpsO5KqNkYfu4YrZhsuZdDCJubiUZsblHALDziiUT4Aw2gwZcnGBYBgiOM6sScC5hAwM&#10;JWfh3MZUnCUUzvAb8hSj0NkME85mGnE6Q48T2dn4OluPL3U6fJ6Sic9WJ+CrlfH4IS4d321Kwd+X&#10;bsSXCzfi83lrcSR8PvYFzcAH4fPw+cL1+IZx6MsNKfhk8Rp8EEHnET4L7y1aif0LV2EX483e0FkK&#10;JvsIlj3hMdg5dTp2TY3Gjpj5GKQL6Z8xD1vDeB0ajYHAaej3m4o+P5kXE4YG/yACxAt1jj6ocfBi&#10;dHFC2WhKej4me6DQkXLwQBHhYee1bbwzrASInRGmUFYYIzwsMmTLmCKF03Q6kLR3JiJj9CRkjXdE&#10;Nt+jV3JBjqs78vx8YA6i82Bc0fl5Uz7QychL+BRkTpeej1kwyAp4/IdZWphPeDC+yIgL/16yjHnY&#10;xJi4OiMfi9JsmJlkRWhCAXzjLfDcaITXmnQELY9F1LLVWLh6KdZv5EOVIAXHNdBlEh6GRFhMfCgJ&#10;jYLcJNjykmGnigiQEgJEVFqQgUq7DjXlfNCr+NATGvVVJjTSUTTUEhy1ZjTV56OZaqjLIyBMBEbu&#10;sPLQ1MDXGqkGC99n4XvMqBOw8OfreWwgWOpr+bm1/HyqliCprszW4hAhMlITkRqMuBCJMhZzPEym&#10;jQogmjQ3Ii5kpBYyAhEpqm7aOBcb1s5STmT1yhmESATmzQtFDJ2IdKSGBHvSSQwDhJKGMs2BaBoZ&#10;gdEA4qj6QdwIEVeeq1Ebyt/fC8tk0h2ff+m2fWZbvhFbBBx5BmwhPNS5SOoiCh50I0bGmGxGG30m&#10;OgwZjDBaTWREApMWcSUCFEKkgVGmLpFuhOCoUiJEVL+IOJANKI2VGEN4rF+BonXLUbSG8FhJ97F8&#10;MfasXovv1yeo9Ttu8R/OA2bee7ZC3C204g7z8KWqUpyT0ZYaHsvtOFtmwzmrBWd1jBWZ0sKeRyAU&#10;4zLhcbGiik6jETcaWwiNdsKjDdcrGGeqGV9q6ErKa/jeEtWRet1ixzVLMUFRgKEMCy7nFuOarRw3&#10;S2twk8drjDBSJ7mckYPz65JxalksTtFFnCIETm9Mxpk4QiXVgBOMNzK79kIuoxb//D/nGvGtJUdt&#10;8P05I9lHGxLw4fI4fLY+BV8QQB+tocNYzeu18TgyazH2B0zD+37T8eGclfiU8PiQ9z9cugYfzlqE&#10;I7MX4b0lq7Bv9jLsCojGXkLkQOQ87JFIQweybfoswmIGtkXMxJaZC7Fl+lxs5fUWqieQ0cUrFJ2e&#10;IWj2ZXzxDaLz8ETVOFfV6yHRpfidySga4wQ7o0mJiw9KnX1QLABx9KQ8UEBg2Ca5wCrgoMPIHe+E&#10;nHGOdB8TVeE0g7FF4KGXIVyCQz+ZAKH7MHp6IT84AHkh/gSHFzJ8PJAlxdOwYGRFhSFj9nToVixC&#10;Hv/dyMhLiS2f8LDCyi+PHJMZCXRyK9IMmJ1oxNTYXPhvyIXPOj18ViTCf9FqhC1YiJkLZmPJkhis&#10;WzUb8RsXIZUA0aWtRU7WRuTRdeTnybe6jHgwKjCylBTyobUbUF7Mh7iEkaQ0R4MHXUZ9tZkuhA9/&#10;BSFRSYgwijQTIi11+WipL0BTrQWNBEQLgdHaVIDWRk1y3dIk97RjYwNdSQPh02hGYxOhwmODAKfO&#10;RIho7qRKIEInUl6epSBSVCSFWRmdSUUBnYjZHAejkeAwrFMQERcyUkxNS1mO1GRCJGmJciHxjDKb&#10;NsyhEyFE1sRg5YpILF4sXapTETM9GGFTvAkQZ23o9glAqOGaiBKvFUTc6EaG5eI6WesXmTyeTmQS&#10;poYHYw2//DN06Xhmhy0X2wqMdB4CEDoOUqWfkUUciQCkjwDpYdbpYdTpzpH6SAYlhVVGGv1wcVXg&#10;IdFGR5BkJqEpXYszdXQjtUmMNHQkNXQgVYwylVJY3bQOJRtkzZGVKJT1WAmQ0hWL0bZ6BT7ZGK8W&#10;4rmiy8ZdsxUP6AoeWItwX5xFeSmG6itwpq4M5+rKcU4gUlWCIX5bDan9bQ0Y0hvVHJXLpZW4WFWD&#10;a83NuNXRjrvt7YwwDbhSWoXLZYwtMpxbwnOC44rVjluFZbhtZvTRFeBSXiEu28t4v5jxpYRHQsZs&#10;x1VaaIkvZ9cnq1XLzqyMw4nlG/CL7DezMhanZUKcRBWBDD/3HEH2c54Z3+fm4FujAV/rdfg0hdDY&#10;lIqP6ECOxqXifcLyg/XxOLZ2Ew4vXY0jC1bg6NwVODZ7BY7PW42jC1fjo2Vr8cmClQog+2cuwM7g&#10;GdjhGY7doTOxl6DYTaexbeZ8bJ21ADsIjS10IRJd+nynoj9oGganzURPeDS6giPVdg21Tl6oopOo&#10;YlQpk7b0tyci/83xsL41AflvT4CVYCgiROyTRO50IZ4odvVCobM7bI5uyJ8k0cUB2ZRuDOMKXYeM&#10;uGSJJLZMckbWZBfonN2gc3FFjrcX8oICkB3oi3QfT6T5EiIESlZECKNLONIXzoRh42pY9FLUNCmA&#10;2AvyaZHNSNXlYBVd3qz4TISs18FrlQ4ey1LgNX81AqJnIoLuZfbMcCyeF4GVtO3rVs9BQuwypDO+&#10;6NNp/XWbYGZkyTcTIAXy7Z7Bb3rGBoKjvNRIB8AHuYpuocZCyQMuLsKG5joBBc/rLASHGa0CDIKj&#10;mRBRAGGUaaYrEbA002HI6610Hy2ERgsdSSuPbYRGazM/o0VTSzM/U4GFMKknXPiztSrmSGFV4oxW&#10;mC2hBCLa8G7iMEQ2qhgjEheiy1jNeLYCGanL+f91KVISFiExbiEhMp8Q0ZzImlUzsHJZFJYuisS8&#10;2VMRGeEPb28nTHYcq/o+tBqIBg5xJCNT+2W2rpu7wIPRRibeuRAefM2BAHHmMdDfGzFzZ2NZ7EY8&#10;s7vIDIHIVjqOzQRGv1GHPjqOQUabQbqSARNdCK9F3YSIjMqo4V6CpE0AkpWqRmVGANKcIYVVupBU&#10;mYwX+0QCk5oEmeEbS4CsRxljTKka1l2JErqQ2jUrsX3DRnyflKbaxW/zH89DRovHfIgfF5fhfkkp&#10;rleWKYCcqinBmdoSnK0rVbvbXymj45Dp9LIimDkfV/n+y2UVGCqX0ZlG3O7qwI2mJlyuqMYlWduU&#10;cea2OBCBCCPOTekVkWNxFW5Yy9S51E9kucELOQRKASFiL8clow1nxGFIg1gio4v0cayOV3HmpLiR&#10;VB1O5pghm3ifyeN7qRM5ufgx24DvcggQxpjP0jPxUYYOH9ItfZCUgfc2JeEwM7ssDnRg7nIcWxOH&#10;j+hoji9Yi2MRi/BB2Dwe5zHCzMWhWQuxf/4Stb7p7qmzsH0KQTElCpvpMAZDZqg1PjbzXj8B0iXT&#10;8p390eERiB7/qegKCEebfxiaAkJR4+aDinGMK+84wPbGBFgID+n3KKSDKHhrHGxjJ6mRlnzes0rt&#10;Q0UadxQQCvlUrhRG352ATMImi/DQExzZBI6eUNLRoYw4Dz3hoXN1hcHLU0WXLMaWdF9vpAcGIGMq&#10;o8uMqciYF4nMVQthpPuw8N+eNd/Eh1wWIpYJcVlYnZKG6RszELA2C57L0+A+dx28oubCLzwMoVP9&#10;ER0ViPl8OJYsnI5Vy+bwweGDtInxJWktstKkeBqHXALEQgdizU9FEd1HaZFBA0hJNqrKpMbBiEGA&#10;NBIOjY1WPuiFaGspRHsr1WZHR6sdnbzu4P2OZjvam3i/0YaOJhuPdByMNCNqpqtoqspRx1YBC0HS&#10;KiBpJFxEEnUYcZoIjyaJRQSPxKQ6/kyNFFcrtSFfqYnYC2V0SKuJSJyRmogUVo050ti1DnpGGV0G&#10;nQCjTKpqMOP/93hpMvsDImtXRmP1sulYtmgaQRuCwAAXODqOURBRwBiGxx8Akan9kxREpO4h145O&#10;4+EgAHEcBxeeB/l7IDI6ApGLF+CZPcX52GU3Y6ctD1stdCJ5OXQimjbTTg6YDHQk4kQEJDrlQnrE&#10;idCBSD2kLUtqIlpxtU05ECmoxilp4Nj45FhLiMjwbsWmDSiPXafWYS3duAoVVE/8JnyclqGWALye&#10;pcc9fnM/shfj16Iy/FpWiftl5QRIOYZqy1Qn6nnC42JjOS7yeKm0kA86Y4M+B5dk82tZblDqINU1&#10;uNPWijv93bje1a7cyLX6BtVYdkuNzNThZmMT7jHe3GlqZbSpx41aAqe9k9GHwCFMrjK+XKFTuVJa&#10;jQv5RThjMOOcKMuIs7JiWWImj1m4IPUR2VUuSY+f+G35Ix3GiRRpKtPje4MeX+ky8VlSMj5OTCE4&#10;UnE4IQVHNhIe6xJwaNUGvMdYsidiPvZGLcTBWctxJGopDgXOwnvekTjoFY5dPmGMKtHYTYexM2YB&#10;9sxfhm3TZhMY0zEYORN9YdHo86HjYATqiZyFrmnR6BSIuAWgyyMYbS4BdB7eqPXm0csPtRPdUDnO&#10;Bba3JqKQICklJIomOMNOMJSOZ5Shi7BNHIEH44vUPWSOCyWFU91b45FBpRMimWMmw0B4GAgOAx1K&#10;Np2KggeVRYBkergjy8cLmQSINt8lhNElAplzpiNj6WzoNq1GLr+I8nMNfFhktS0jDHTCG1NSEcO4&#10;6Ls8FS7zEuAWtRheIVPhH+DPPO+NiKk+mBkTjIULIrF8KW37Cj44a/kgxdHeDwPEkMUHTgqohIj0&#10;fBQW8MG0ZqLYym97KZoyvtQyqjRW86EW16EAYkMbodHRXoTOjiJ0dRSju7MEPZ2l6O6g2nnOY19X&#10;GVWKXr6nu60QPQROV4sVnYw17XQZApSWOg0ibYRHE91GfWUO6ity0FBpRLO4GKqpyoSGKqm5ZKvh&#10;XnEipQRIMeNMkdRERgqrlkSCkCAx8v+TgXDUr4U+i04kncCUKEOIyPCu9IiIE5H5MhvWzMS6lTMI&#10;ETqRhRFqhq67u7iJMQoM2jwYaWPX4KHp6Xgjre4TMInvmTR5LFycxyM4wA1RBHfkrHA8s6tQ4KFp&#10;e0GeknZOV8JvgcFcQoTqNerRwxzfrST1EAKEf+ltmRpEWulCJL60ZklBNeF/AEQkCxWpWb0b1qF8&#10;gwaPUkaY5rh1eD8rA6fMFrUQ8g29HndzTbiXX4BHxaX4nVHkXkUFLpUX40x1Mc4RHJdbGT9aKjFU&#10;V4KLFRJDZGasGRfEidgKcb1CWtbrcKe5iRGmBbf7uuhEOnGdALlRX4dbzXQgrc2439GFx70DeNDe&#10;jZuMONfrm3GzpxfXm9pwo7IBdxrb6VgacMlG95NbiPOyCHKeXbWmX8i24HRGNn6SiXNpdCayifei&#10;OPywMFa1qp+kkzgt+9+aTPjOYMCnsQk4tnIDjixfr7aefG/xWhxZsRGHF60hQJbjvbkrsTdiAXYH&#10;xODwFLqO8AU4GBiNA37TsIdg2ElYbPOfhi3+0lk6B9tku4awGAJkFvqmxqCP93t8I9AZOh3dhEoP&#10;40s3IdIdFI5W7xDUOXqjmjCopJuooaSIWuLgTnmgXJYndCBQ6D6KJzpqACEUZMWxQmcPNVW/gIDI&#10;UyMvDjBIsfRdGXUhREY7IGsiY4sD5eiCLCfGF8LD4E6QeHggg0onQNLpQjJkpu20UGTwGyyD0SVz&#10;3VJk063m0tGa+SWVzy+uXFM2EvllMo/uLpCOw50wdae78vXzQ6CPO/8Be6g8P2NaAObNCuO36wys&#10;WT4Lm1bNQ+L6xUjeRIAkrkFW6nrkZG6CSR/PGJMIqzkN9vwMFA2rmColSCqK9KiW0RfGmYZqiSIF&#10;6GixEwpFBEUJegmKnu4y9HaXEyJlCiI9Ao+ecvT3VlA89pRiQNRdiv4u/kyHHV2tNnRS6kiwtBEk&#10;TyAyDJKaUkKsOJO/X0eQGVBBcJQyvpQUpqHYJs10qQSeNrSrhnfNCTCLE2GkMckIjWEdIbmGTmQV&#10;MgQkqVphNTlhMZ3YAsTTicStm40Nq2Owevl0LJwfgeBgD0KBLmTyOAWPP+bCiNvQACLxRhVaHR3g&#10;OHkiJjkQIA5j4e42CVOneNL5+WFWTCCe0eBhUdphHTlnrLHmKphsy8+lGzESIjmMNtl0H3p00X2I&#10;OplZO3TplEBEA0ibLllBROogIxCpTdpAkGxAdaLWB1KyYTXK1lMESDkBsjk5Ht/m5TIm2HHHaiU8&#10;cvHAwgjD61/LK/G4nNGipBjnS+04U1OKIcLjUnsVLrbSgTSX41oDYVFVgRtFxSrCXFAbYEtLei1u&#10;04VcY5S5zQhzu50waGyk62CEaW3EfUabx319PPbiTms7btONXGukSxEHQkdyo4bwqW/BtYoaXGKU&#10;umguwgVTIc5m5OFcuglDmbk4m6onKFLw83oqNh2/rE3FD8sT8OOyTTi9IRnnmeHPmwvwM93R5+vj&#10;cXzxGhxduAbHlm3AR+tll/0UHF+xAcd5fZzAObRoHQ5OW4RDkYtwZPoiHCQkDgTPwHtynLOY8WWO&#10;chqymliXVxh6eewNjCAkItHC8zonfzTSbXT6R6DLj9HFZwo6gyPQLiurewYRIF6wM54UMYqUuzPK&#10;eAWg0icQFZ6+KHZyo9twRuEkR1jHMd4QChJdBB6FLh6wOrvBNHEy9GPoOuhU0t+ZgDQpoI6bjDTG&#10;mjSCJ2OyMzIIkCxXN+gIjixPT6R7ER7+ssJYIOExHF3mRkG/ZjFMafKApxIgWXQJOph4zEhLx4o1&#10;sZgSsxBuIVFw9wuEn48HQnxcMcXfnfDwQmS4P2ZFhmDRrAisXBxNqz4HsesWIDF2KVLj+DAl0eKn&#10;bUROlgzf8pvbyIcwj9/o+ZkoITRKbTqUURV2PSqLDahmnBHVlTN+VDGOCEhqzGivL0B3azH6CI6B&#10;bsKiq1yd9xMmAo6BPt7r53mfAIWuZFi9PXQp3cUEjaZuAqWTLqW9pUDVSZpl5Ibxpb7apMBRW0mA&#10;SUGVMCkmMIoIi0JLgpKN8cWSG0t4xKEgj1EvNw5mYyydyEaCZAOMUlwddiNZmauQKbEmbQXS6UrS&#10;6EpS4hYiYcM8xK6RYd7ZjDJh8PRwxGSHfwXIyIxcTTyX68mT4OgwEQ58rxMdS6CfK2IiA7BgVjCW&#10;L6ID2WEVx2HBrkICRMChlKfqIurI17cylw4SIpvNuRhgxOmT3hFjFvqVK8lSMJH29xF4tGbJLF6J&#10;MlotRNU/CI+qhLWoiJP1VlczwmgAqePxsJ4xoNCG68VFuF1YiDtmMx7kW/C4pAS/VVTjAWOMLCN4&#10;oayYEaac8KjFla4aXOlgtGitxtX6StyqrsTNklJcofu4TF0hQG5VVuN6aTmuyl4ulTUERLOCyP2e&#10;bjzo6sKjnh78NjiIu3QmN9voUro7cJUx52JNPa7UN+FqRS0uFxAcBfw8xqlLtmKcZXz5aUMaflmX&#10;gjPSdRqbgtOrEwiORPzISHMmuwCn03Lx47pU1Q+i5s9YCnFal4vP18bji1Vx+ILfrF9sTMXP2fn4&#10;mg7mI7oS2XHuk5VxOMLj0XlrcChmCXYFRGEfv3kPBkfjYEiMGnHZFTEHA0HT0c5I0+4aSICEoT9i&#10;Jnqj56AlfAZqPILQ6OgP2WlO9rZt8wpCi0cAWuhEWqR1nUApc/NFqacfKv2CUO5DgPABVQBx9UAx&#10;H3o7AWCbIAAZ7vkQOfMeHUUeAZM5ZhzS3hmr5rtkEB7phEfyeAekEC7pdCBpfG+6mzvSxXl4SdHU&#10;GxkhAdBFSr9HGKNLJLKWzkEu/11Y6W5zcwwwMebJ9gypyclYuXIFpkVFwcsvAG6Ej5e3OwL83JTz&#10;kKHIiDBvxETQfUwPxeLZkVixOAZrVs/H+g1LELdxGZLEgagIsxEGcSCGJFhMaXz40lFIgBTbCBCC&#10;o6KY0ChlhCkzoq4il47AxDjByME40061VvK8Mg/ttfnoarShp7kQvc129NKdDDDSDBIgg31/qL+X&#10;EOklPIbVQ4gISHq7CRMBSScjUbvUVqxKbXQlMvTbWG9WQ8P1dCe1dCaVJYxXdCHF1iSCJJEQiWe8&#10;24gCOo980ybkZW9Arn6dUh4dSC4BIjIZ6LgIEoOOylwNfcZq6NJXKZAkxy1C4saFiNuwAMsWz8CU&#10;IE+4uggkCBE6EQflRkYAosUakRROBTQuTuMQ4OuEmOlBdHxRjEUxqvfkmd32AuwpEuVjt53ug5Fm&#10;V5EZu4sJFTujDEGyJZ/wsMhwr0kdZcRGiqwDUnDNySJEMhhrZEKeFFP/cCHSXCZdqiKpfwhEquMJ&#10;kXhChKogSHpT4vFVYT4uVZbhWgkBUlyM+4V23GeceWAvUgB5XEqHUVqGy6WMK9V0HB31uNFNdRIk&#10;zYwyNWWMLBRhca1S9rOVBrJa3KyqxTXC51ZxBe6U1+A6IXKzrQ2Ptm/H4y3bVHwRkNwhOO70duB2&#10;fxeutDThSk0drje34GpVNSORRS1VeMVmx1CBDWezTDi1MR0nFUAycXJTKk6siVcA+SlJhwvWMlwo&#10;KMNPaSacoVu5yOhzwWRjlMnBZys34cs1Cfh2Uzq+YLb/en0aPlu2ER9MX4D3Q2bicNhcvB+9BIfm&#10;rsDB0NnY4xaKfT7h2Etg7CVEdgUwwvhOw9aQaAyEx6CfzmPLlBnYEjMffbMXoGvmPEJjOto8QtHG&#10;b+6WqBhCI1RtEqV2l1N7vESgznsKqnyCUeUXrMBRRZV7ECDusraHG+wERuGEybCKJjnA4jCJ4HBA&#10;vrsrzK6u0E1kZBknzWIOyBhPaDDWpBA2qYRHuosb0hhfUgmQVLqPNB9vpAX6ISM8BFkxU5E1JxyZ&#10;C6Nh5BdHaX4eyvn3mm+xEh45kHVK58xfhJApU+Dt6QYvDxf4erkiyMcNof6MLcE+CA/1w/QIf8yO&#10;moL5MeFYPHcali+hA1k9lw6E2X+DAGQFUhJWIyNlPR+gWOToaPuNUmNJg9WSrtVACJByGb4lPGoY&#10;XerpOhrpOpprLWiry0dnXQE6a+k+6qzoEXg02dDLYy/jTXe9hdcF6KerGCQcBuk4BgkMFWEIkQHC&#10;RCSuRKAi8aaP0UZA0sWf6SBERkDS3Kj1jNQLQGoJMUJEmteqGGkqitNRXpSG0sIUBZNiq/SuMMqY&#10;pCFuI8z69bAQIhZCxMw4k8tjNuOMwEOOOTpeyzwamYyXzHiTQHdGbVo3nxCYjnn8u4iKDIafr7uq&#10;d2j1kBGNV1HG1c1BzaOJCvfG4vmh2LBmFqPRIlVvETA9c7DCjgPlhdhbUqCpVNOeknzsJEC2WU0K&#10;IFsLTEpb8nOwpSCHENGj35SpJJ2sMswrc2jaddIPImusJqgFiWTVd+kLqZXmsiTpUKUTiV+HsoR1&#10;qGG02U8QnWIEudrCh7aaD3pJGR7ZS3HPbMP9AjvjCyMMAXKvREZb6DBqKnCzvQG3+xgvuhsYXyoI&#10;DVnTtATXa6pxs7mRD38Do0qDmokrM3JvlghAGINk9i1fv9PfgzudnarN/VZnG+5t7sY9AuROVztu&#10;trbwPU3KkVwliC5YC3AhL08tTiRRRBrETsam4RQf/vMpRpwiGE4kZuFUQhbOZObhEuFxPr8EJ3Ks&#10;OJ1XhNPGQpzKysPPhMt3hM63sRn4gT/3nez3siQWn85diWPT5uKATwT2+0zDwYh5eD9mMQ4GRWOv&#10;Zxj2h8zA/tmLsHv2YuwIm4nNvhEYDIrCZrqO/tDp6A+JxJbwmRiImIVeqjs0Gp10J62MLy2hkQRJ&#10;BFr8w9BM9yEQaXUPQbNbMKrdA1HuGYAKDz9UUxUePiglQOyTZXWxiZoICcv4STATGCaHyTA6OsHk&#10;7IpsqXMQGFl0HlmTGFkc6DoEHnQw6W6EhrsHUug+kr149PVCWkggMiLDkTGTzmNBJLJXL0Ax3WsL&#10;42RTcwds9gps3JiIKALP19cfnm6u8HFzhL+nM4J9XBBG9zEt0BNRIf6YMTVYRZd50WFYNDsCS+bT&#10;gSyZzggTg9i1cxG/nnZ94xIkx0thcS0ylQuJ47dzIp1OEsy5jDICETUaQxdSKi3qfGjpOBoJjOZ6&#10;K1obbOhotKO7mdGlhQ8+I4y4jv7WIgxQfTzvayU86EK29JQpiPTTYfR1Fqv6xyDvbSY4xKEIUFSk&#10;GXYhCiAdhUptbQRIUz4aGGnqpYNVHEi1UbmQqjL+2ehEyksyUF6coWAi9ZEyewZKZNJfvjTEyQZb&#10;m1AgYqyxMNaYCBSBRzYhYiJgxJXIiI0hkxEnXXMkWamMeMkrCYBVSNi0FCuWzYSsnzozOgTRdBiy&#10;oploZkwg5s8L4+vTVUFWhoozU1bQ2a3SPidtJZ45UFGIfeVW7CmlA6HrkOPeUivPNYDsKMxTLkSO&#10;om0y5GulC8mnCzHr6Ei0fhHpFZE5NAogGbJEYoJaDkCWRqwXeEh7e+IG1BAgtcOLNbfTpXxSYcP5&#10;rnpc62nGrSY+0LYi3M+z4QF131iAu4XFuMP4cLeolI6CMaWuCnda6xg7GnGroxZXq6VpzEaIMKY0&#10;yiS5OlwqL8VVmTtTr811uU2Q3CVE7lXV0HG04+FgL+52tON2Wyse7NqCR/u24zbvS1H1bhdBQojI&#10;frhqo22LBVcJkUuMWOdMeTiRkIYflsXixIoknEvKVpHljCGf9w34OU6Pkyk5+CHZgB8JkxMmO05b&#10;SnDOXISfU7PxE1/7iWD5Lq8Q3zO+fLWJDmTVehxfsBSHCIf3Zap+8Cy8HzqHsWUG9vhFYE/YLOxe&#10;uALbVq7F9kUrsT16IbbTsewgZDbHLMBAlOz7Eo1BgqMvfBa6eN7mP1VtlN3mF4pGQqLOS3aaC0Sj&#10;kzcaJ3igyckf1W4BKHKSdT081GhLISFQ5OjK6OII8+gJ1Hjk8Zg3ZiJMdBo6HtN5nT52ElJ5nizn&#10;AhH+TIaTK+HhTnAIPDyR6uGpAJLk6Y4kAUhoMNKnT1Pr32YsnAGjDN0TyGX8O8nh3/GKVbHw85+C&#10;cWMnYPyY0XCbPBH+Hho8pjBzTw1wRyTdx4zQAMwMD8acqBDMj2Z8mROBZQuisJKWfM2yaKxfNQsb&#10;10otZB4fDGb/RFlHg1EmfSMfqjja+/gnEMk3S7dnOkqKdKgskyFUiRAFaKovRHODHW2ER1d7GXo7&#10;ytHbzjjSRoi0ExIdhEUnnUangKMMWwiJzQRGP2GiRmNabehmNBH10mX0dxMqhEdfVxEjjF0BpJPH&#10;dgKktZW/r5ngauTvbpD2d7ohAqSmykioZfPPJTN4swg5So7SJ1JC8MkIDSNOkUzAkxm8hInM4C0w&#10;JzCmSdyR3hc6FCNlilUFVxm1MRIoypVkiTMRsGwgWNYRCow5icvpTiTqLEZi7AK6jPlIiV/IKLgY&#10;manLVZFWnynuRhYYWsvPEK3BM3vK6DYEHtSuEsYWiS7iPoos2GHP49H8lCzYTohslcYzSzYGCQ+R&#10;tMJLb4isKSLRpY2SpQAEJE2pcWhgfKmn+xBpIIlFY1I89jAO/dBSg6HeFgKkFbfr63DbYsNdUz7h&#10;QfGb+05BIe7Q5t6lE7klO8I1SC2jhvFCFgoqwhW6p8tlNtxgjLlDx3Cb77nKGHSNTuZ2fQPuNBMK&#10;NfW4V1mHR51d+H3Xdvy2awce7dzOKLMND3m8v3ULbjW3qgKr1EPutvPPUlmF63kEB621zLG5XGTD&#10;UL4FJ2VUZWMyTq1NxskNafg5PhM/xWbi+5XJaje5n5Ny1NaUP6Wb8UuOHefK6hm7GvBLLsGhz8O3&#10;ZsLDXobveP33uBR8tnwtjs1dgqMEwzHGlyPTF+PwjEV4L2IO9gcRIowr2wiK7UtXY+fiVdg5dyn2&#10;zl+BXbLL/rzlGJy3BP2ESC/B0RM1C53TZ6E9NEqt99HuGYwmF2/UO7mjztENdYwaNeOdUTXZC0UO&#10;njCPcUb2m5NgeGMCct91UMsU5o+bDMsYB+S9O5H3x0L/5jjo3h6PtLfGIZlKfHsc4t8ai0QCJM3B&#10;CRnObgoe6YRGqqeHFlu8vNR5kjcV6IM0xpfMmGlqslz8HDqG6GkEwCxEhE6Dp6cfxjEGvfLKG3jh&#10;uRfwygsvYPQbr8Jl4jg6EBeEBngiPMgbUYwuM6YGYNa0IMybMQULZ01lfKEDmccIszASq8SFLI/B&#10;htWzsXHdXOZzaaxajqQEQoROJCtdHhbGGULEmJ3AhyoBFnMyCqWNnRCRnpBqqYPU5BMiNgKkCB10&#10;Hl3tjB0Eh6h7WD0dBAmdxkAXQSKOg4AYoLsQYHQzlvQ0M+YwmvTQXfS0UARFbzvjD+EhxVSBSHub&#10;TWsyky5V6VYlQOrq6UBqNIioSXuV2YRJjprYV1mepVReKhP+NIhIr8jIHBqt/T2ZziqFYElBoQKK&#10;dODSmVB5UjuhQ8kVl8L4kyNA4dFkoAgSY5aMWBEqGXQrGQRFOsXok525iq/RzRA8AiAFIiqHzkau&#10;n1HQeEoCEg0m+dhOgIh2EB4j51vEfQg8pA4y3K0q8UW6U0cWJRo5Ckia0+PpQjZpIkzqZbX3pE3o&#10;yUjBx+VFONvbhqtbuxlJOnC/oR4PbMV0IFbcN1jwQE8Vl+NBrbiISrXS2I02uoqWWlwsseFSkZWx&#10;pBg3K4txq7QIt6VwWlKqJOua3iqjW6lvUk1jdxta8ah3M6GxE/f37sGv7x/EPw4cxK+79+Lxtp14&#10;0NalJtxdr6DzKKvAlUI73YcVl2XtU0MOLubm4gIBcpZx5oTsKseHX6bk/7g2Ed+vTsJ3q1LwfWwW&#10;ThqsGLJV4pylAucLGIEqm3G2vAY/5hbgG8af72QF9vxifJttxhcJKfhi9UZ8OG8ZjhMIHy9ZiyML&#10;VuHQImrhShyeuQQHps7Enqg52CGt6YwqOxhd9s5ZhJ1zFmOL7Eo3fym28rovkvGF6o2Zp/pAZOGg&#10;Du8p6PIOQouzB+HhiJpJjqik0yie6EZIuCDnDTqLV8ZD/+p4GN+aRMcxGbmjGVfeJVTemoCs18Yi&#10;843xyHhTRlwmIm3MZKSMdUQylUoYScF0BB4ZhEaaN+FBZUjdw8cLSX5UqD/dRwh0fNhT50ViVoAH&#10;nN59G6NffwuvvfgKofE8nnvuOTz37LN4/m/PYtTfnsNLvH795Zcwnu/zdJmM0EAvRIbRVkcEIiYy&#10;CHOip6jmsUVzpzHCCECiCBBxITFYt3IWNogLWb8AcRuW0InIUoCradfXqb4QfeYm/uOPhyknAXky&#10;N8bCh60gDcWFjAmlekJEJr6Z6UIYZZoIEsaV9rYiraFM1K71hfQSGBJXBgiPzT0CEXEnhegT10E4&#10;9ApEGE26CIZOOoyuFgtVoIZzO6SAKs1lMqxba0IDodEg7e2UBhDCQybrESK14kYqZXZwFqpk2QBK&#10;IFLKSFMm8UadaxApsstaJmkoUe4kRcFEZJMhYIv0wWjKp0uRkRwlo7iVWOQRJrmEiUjOlQiKPILC&#10;kr0e5mye08k8gVAOr6lnBBbKhVAj5yNuRICxrdCErTYjwZGj1g0RbR7WIEEi64l0S3u7DOsSIhJj&#10;VJQhQFRPCAEiLkTgIRCRUZmmlFjszMnEd3UVuLS5E7d39OFudxvuN9bjUWkFHuUzxtDi35EYU1VN&#10;sNThWlW5Wq7wdm8r7vS04LrUTehCbtbSnfD+vRLGHJsd1/OtuGW1446lCNeo6xV1uNXSgYeEx+Pe&#10;rXjQPYgHO3cTIO/h4e49So8JlYddvbhX14Sb/N3XDDKVP1fbusFSoBrUhug8hjJlD1sDfklMxffr&#10;NuEH5vZfZIWxBNnXJRM/phoVQM6ZinEurwxD9jqcK6nDj4wsf0/T48tEuhVdntpA6mudEZ+lpOPT&#10;uEQcW70BR1dtwLGl61Tr+uHFa/HesnV4n0DZFzlPbaC9lS5lS9Rc7AiLwY4Z8zBA9U2dhS2MM5sJ&#10;kh66kO7I2RgkaPoi56CNAGn1nar6PxqdvVDr4IpqJzeUTnZHwThXmN9xhekNJxhenQT9axOQ/cZE&#10;5Lw1UXMcVNab4ylC5C0HpBMuqTJFfzyBQfikTyI0JvMo7sNN+jyGh2oJD1GGLwHi543kIF8kRwQh&#10;fWYYMueFY3WEH9zHvIWXCIqXnn0eLz5LcPz1L3jub38hPP5KeAhAnscL1Ci+9jLdyDtvvAbnyVr3&#10;Y1R4IKKjgjGLAJlHB7KI7mPpwulYzgizcql0XEZj7YqZaj7MhrVSVF2AhI1LkRy/EqkKIlITWQ+D&#10;Tlb7itNciHSoWvjNbU1Va35UlhlUhJA288Z6C5qbCJLWQrRRrS3asUOayzqLNBfSXYpBAkSiSh+j&#10;SR/dhaiXEOlpzacjsQwrH510HNIL0lyXiwZCopFqEEiUG1BXJVP9xXFIN6pM9zcQZhRdiABEZu+O&#10;qKJMXEg64aEBRNYkKeF1iUCFMCnjUXpJyop4XUSXMtJTIpIhYjVMzP/PlAwRF+TGKuUz7lgICRnp&#10;EUlNxcIoVMBjAV/L53ssebxvHhbPn9lRbNacRxmhMQyOnZTc31aUiy2FdBzWbAwU0G3kG7C5IJtA&#10;EaiYeK5BpU8ijBqJoZ60uqep0ZgWxpjmp3pC6lNj0UGoHGEMOiWriPW14mZfGx9yxpeaStxnVHlY&#10;Vo2HlbW4X1OH+/WMHwTLjVa6g/Z63Olqpppwh+fXmxhrmgmYxmq1Z8vNfJvasvK2qQC3ZVGgghJc&#10;Z3y43dFD8Azi/sBW/DqwHf/cvge/79yDe90DuNvWg/ut3bjXKt2oTbhVXKr2gZHNpGQ3ust5sldu&#10;Ds4TILKv7vm4VG3+y9L1qn39tKx9mpKNX2Iz8PXaFHy3MRM/J5twyliES2UNOG+vwvfpOfgiNhmf&#10;ETjfJjHupGXj8/hUfBqbiA/XbMSxtRvx0cYEHF25AZ9Jbwi1Z9Fq7KX2zVmO7bOXYOvSVTzScUgz&#10;WfQcxpdFGJw2R6mHrqMzZi56Z87HIGHSSZdSHxCOGq8pqHD0RflED5RNdEcJH3zreFfGE2fkvuWs&#10;ACIuxECA6F4dB/3rFMGhf3sCDHQhurcdkEGApDDmJPGYPNYZqRNcGF2k7uGOTFcPZHp4IdOT8BDJ&#10;kK1ARAAS4IuUKYFIiZyCtNkRiI8JQ6TbJLz9IgHx12cJCYHF3/A8AaL0FxFdyF+f00QnIhB5UbmR&#10;FzFx7Dvw93GjCyFAZoQRIOEESCSWLJiuhiWXM8KsWkYXsiJGTWlfzyijiqobpLV9KZLi6UQSViI9&#10;ZQ2yMtZDn7WRFj4OZpN8KyfBlp9CF8KHskSn6g9SzJTZtDJvpbmpQHWnCkzkqLkQqWnQiQzXPnqG&#10;40kPz3sJlx66ke4OK0Un0k6QtMuR7qNZ5tZIM5kB9fw90pFaK9Aq06OmnL9bnAaBUFWWpbpSpTdE&#10;tblLlyrhogBDF6IciXIljDaUQESAUkmgVNKZSNG1klGnSuonxZlPVE6glNkJGIGKgokMFScQJnGw&#10;WWJhzdsIK+FgJRwEGlKglWKtDCXb8ofF99usCbDy+MzOUsKCGjluJzi2FzOuUFsJkK12gsJGUFAC&#10;k63iSHgURyIAkUgjdRBZV6QnhwAhPLqNmhNRMUYgQifSmBGPemlxJ0y26jPwZXkhznU14FJHI262&#10;MmI0MZqUl+NOdS0edfXg0QAf+E4+2A2NfLAJi+4G3OyXImcT7jYz0tRX4BZ1r4HwqCzHdVlEyJCL&#10;a1km3CRAbtLJ3G2mq2nnZ3TQXRAe9we34UFLD51GO3++DTcr+Nl8yG8V1eCa7AljlyhUhsuWfFzU&#10;Zas9dC+k63A2Tfa5JUCyZJf/LJzakITTq+Nxdl0yzsal42yCDqfidGpPl28Ikp8yzfjFXIQz1jJG&#10;niKcSNHjO8Liyw2b8OnK9dQGfLSK0YXx5SM6j+PL1uLDFbJl5SaCJV3Nhdm9cBX2LF6NAys2qNrH&#10;tgXLsDVqFjYHhWHrdEJk4QJsm01gTJ+LnpmEx5wF6KILaQmJUlszVLoGomySD4rGesA+xh2Fo91Q&#10;8K4L8t5iTCEMct92hPFNBzoPwkOiyiujoXuDAJGlCKU9/a3xSON1CiNMEp1I4juTkTyOAJlEF0In&#10;k+nmSXh4I8vbB1m+vowtPoSHF1J8PJHq74PUKUFIiSA8+LAnz4rA4hA/uLz9Jl78y1/pOv6m9AIB&#10;Inperv8i956lG2GkITyeJzxGiUt57gW89PwLePXFURjzzpvwdHVEBGPR3JnhWDg3EovnRxEi2oQx&#10;GS1YvTJaLe+3blUMNq6ehU3rCJGNCxC/aTEhIjNX6UaSVyEznVmfTsSYHU+IMMpIPaQglfZfvtUl&#10;KsjDSodAiMj0fDWVv6FAxZrOVi3GKAlM6Eo6KTmXzlUBi1brsFFWqkBJgNLVWoD2Rhku5ufKcgGU&#10;gKS2XDpS+dAzhtSUpKGGMKghROr456jnn0MgUk/HIk5F5szUVOoIF75eTchQ1byuJoAEQvJzVQSJ&#10;fGad1FHocGrKtWM1QSVDxCMgKadLkaHiMjsBKquyWeMJEwKFoLDn8zo/CSXWZLoYEWFTmEjJUZSM&#10;Z3aVW7GrvAA76UC203lsIzhGJADZIgARYPCogDLsSgbpRPoteroSyqKjC5HVyzLUZLvObKmDaGqn&#10;2giSZl0iGjIT0KJLwf7cHPxSV41LA5242d1JeDTzwW7GveZGRoxuPNi6BXepe4N0CL0duNXTjKs9&#10;9bi9mUCgW7nTJJPf+LCX2/Ggogz3i4pxzWTBVZ0JNwwW3LAW8T3NeNTNaFTPyEM9HtjCCDOIh7Vt&#10;eFhN11NOYBVV405lA64XMQ4ZC3A9Nx/XbDZcLrDgklHbZX+IIBnKIkhkqQC9SVsTRJ+rtnY4nUxw&#10;ZOQwtpgZWQjEbCt+SsvFCelWtVfgNB3QCaMFP2bq8UNGBr5JTsbHy1epWbUHZy/GEdnvha7k+LL1&#10;ODR/JQ4xunywJh6HV8aqVdb30YG8vyoW+xhnds5bjp1S+5gxGzunz8K2WfOwdc5CDNJ5SPG0Y+oM&#10;NBIcte5BqHDyRRnBUfaOG0recYf9XXfYGFkK3nGBmQCxyAxcuhFZ09TAuJL+yrvIeG00nQfdBwGS&#10;wXspr41B4qujkfTGWCTSlSSOlkYxZ6Q5aiMu6e5eyPAiPPwDoA8ORlZQINL86Tr8vZEaEoDU8ClI&#10;jQxDWsxUrJ4aBP+JE/AWQfDCfxEghMWzf/2rAofUPcSNvDAMjecJDCmmjnpO4KEB5EX+3IvPP68i&#10;zVuvvQLHCWMRFuSD+XQ2ApDFCyIJkGlYvjQSq1ZMJ0BmqElk0uwkRVUZldm0cSES4uhEEpYjOXGF&#10;5kTUSmWboCbbST3kaYiUyLc7owWdSL2sCVLDSFMrM23z0d5MWLQRHEoCD7oSaVkXgNCRyLyZrnY7&#10;OtsJG0pA0jkMkS5GmY4ms4oyMoNX5sI0VtPpyBokfPhr6R7qqFpGkho5L9PxPkFAN1JP99FAgNRV&#10;8ZzwqK/KQmONnn+ubIqwq6Gj4esyp6aOkJH5NWo9k2qZayO9LvwdjEwKJIRINT9bYCIuRVxLJX9n&#10;RbHWd1JiS0EpI4+onHFI7pdTZSWpVIo6lhN0z2iwyKUEFHQV1NYiDRZb7Jo203WIBCIaUEwq0vRa&#10;6DrM6cPKRBcB0pGdqsDRRoi0y7koh3GG91p0SYw5KThuNWOouQnXBvtwq7MTd1pa6Q4YJbb349GO&#10;rdR23NlMeGzrx/2dPbizvR3XB5pwe2s77m3twu3uRtxqqsDNKmlXL8PdqgpcLbTjurWQbqKUUKjB&#10;A7qPO42tuEFI3KLu1bfgLmPKfcaZX7sH6Vz4ehWB1Uw3InNgCkvoQggPMwGRI5tHGXHRYsFQXh6G&#10;so04T4Cck/1dMk24oOM9XS7OECSnzTaCwo4LZVW4WFaDs7nFOJ1HFZTilLUYP5kt+Nqgw3fZenyv&#10;y8Bn69bhEJ3DvpgF+GBtAj6Ky8DRVXEECN3GnBUEx2ocWrYBhwmNA4wtB1esxV46kK1zlmAHXciu&#10;BYwz02djW8x87JARGAKlNTgCDd4hqHbyRyVdR9nwPi5lb7ug+C0XFPG8ZII7imRV9dFOati23N0X&#10;xS5eMI6ehMzXxyKL0NC/MxF6WU2M0SWNLiXprYlIensi3cckJI93RNpkrVEsw82DAJFiKQESHARd&#10;2BRkhYUgIyQIaVRqaDCShwGSGDUV091dMPqll/ASwTGKLkNqHQoaymVITNFqHiK5J1Iw4XueaPje&#10;KEaaV0eNwoQxbyPQzw0zZ4Rg0YIILFsUgeWLw7FqaRTWLB+uhayYTYjIUn9zsXHdfDUyE79J1s5Y&#10;htSkVchIWQu9WnAoDtpSh4lP6iECEVkprFK+vfntL8XMOj6EAhJZVEgg0t5iQzvBIe3p0hQmoyvd&#10;dB8SbzraCJUnYnRhjOlst6Czzcz3azN0paW9qV4kbe10JHXywAsECIzyTMKDLoJOpJoPrhwbCI0G&#10;cR7lfNiLU1BRlMTzdMLDMPyzhAiBJ+uXiJoID1luoIluRzkeBZNcDSR0PeJuahmHahiBqvn7aioy&#10;1VHcS2UxYxBdikiuq8XVEDjiciRiyftEzwzasjFg1aO/QEcgZCgoyLW4jhFwDDCu9NNxyHFQah/q&#10;Xjb68rPQm5/BYyalI0Sy0J07DBJT+hN1UZ2ESBchspOvf1NejEvSqNXZgRttbbhNeNw7sA13dg3i&#10;7pYBPNy6VXMfW3rxcCe1uxt3d3Tgzp5evqcXt/tbcLujDrdbqgiFWrqNWlyvlR4ROoqmBjzs6MCD&#10;tk7cqiN06DBuldWp1dhlXsv9wa14vH037rXxc+pa1aJCah8YxpebMvybm4cLqek4l5Ku1T7oRGSh&#10;olNJ6TgpK5HFM84k6xlpsnFWZuRmW3DWZMNQUQUuVjdiiM7mnK0SpxhhThIuP5nN+CbHgG+zdfgq&#10;jQ5kzVrCYgkO0V0cW5+KoxvSlOs4snwjDi1ch/cW8vWl63FEZuguWYl9BMaeBUvVosibZb2PuQux&#10;ZeYcbJ29gFqIjtDpaPabikavUNQQIOXjPVHCuFJKlY/xQPG7roSHG6rc/VDm6oNCtViQJyq8fFEi&#10;O8ZNdIJB1jOVoqlMz5f29HcckEHQZIwjMOhS0ia4INNRah6eyCI4sjzEfXghM9AfWYRFFmEhe9lm&#10;ECLpVEqYAISKCMUKvsdz9Gi8wof/RcJDFU+fuIs/wKHgMQwWAcZz1LN0KE8k14w7z0nsefZveOmF&#10;5/DOm6/A3WUCoiL8sWheOJYvDMeKxdPUkK6MyKxdPlNNsltDiKxfPTwyQ4hIj0iyrFiWLEseysiM&#10;DO+KE5HRiRGIaCMzIxCR9U+rZPKbrFQmEGmQRYMKVDt6GwEiR4GIAGOkVX1EbS0ETivBIfBos6Ct&#10;VdYJYSxq5MPdwAd7RI1y5IMvboIQaaik05C6CAFSzW/72rIMxh0dxQee1+WMEwKSOgFLNSFSY6RM&#10;ytW0iFuiWgmoFllqgJCSdU2ah6VgoqIRIcLfVUPVEk51/J21dDtSkxGXIg6lZjgKjUiuBTzy/mf6&#10;LFno58Mv0Bi08kiQDBQIUAwKGn354jT0Sn0WA69HQCJQ4T1CRH5WFVkVZLIJFT268jLRkUeQ5BIe&#10;BEi3MQ39xnQcthrxc3U5zjfW4xIf9tu9XYTHdtw9vBN3dm9mTOnDvS2DuL91Mx3JAB7s6sODPX24&#10;v78ft/f148YWOobuJtxtlx6PGsafGjqNGtxukwIrnUyfzK7twe2qelyzV9J5MPa0dBMq/XjQyN/V&#10;0oMHm3fi4eAu3G+nAzKX4CYdhYze3CwtxTU6GSmgnktMwdnUVJzLycEZguRsqjZ1/w94EC6GPL5e&#10;gDN5dgyV1OAygXSBcWmopBbn6ULOmBhp8nLxtcmAv+vS8eGG9TgwfzEOLljBmLIJR9en4+i6VBwh&#10;QD5YG6+cyPuL1+GgGoVZj/1zl2F39DxCZBn2LF5JeCzCLgJk+5z56JY29ZBpaJK9bL3C0Ogegjpn&#10;Wd/UD5UT6ULGeqNkLGEywRPVXoFoCg1HdWAIygmOCm9vHqVt3QVWRxcYZUnCN8YjjRBJl9m1jDGy&#10;qrqesMmiMie7Q+/qjSw3b2Qyuuj4GTpGF11oEPQRdB9URgThER6CVMaVxKmBSAwPQmxoIKIcJ2PM&#10;qJfwohp10fRnYPxZUh/5F3g8LYEIAfI89eLzz+KNV17C5PHvqkl2c6NDsIxuZOXiSKymE1m9VEAi&#10;M3XpSFbNHB7eFSciM1WlqLpKzZnJSJEFemQeyQhEZGRGZsEOL7RcLEOn2sLKCiL8dpe2c5nDIiuP&#10;tcmqZDwqV6HEe8OuRIOLAEQDRzsjjEgA0jwMkOZhcDTWEwBy3SCugdfDQGiUWCK1EErOm+k0muhU&#10;6uWBLyc8+PDLtbgMgUVbPX8XXZI6NsrIj6ZWWTFteOW0ZnE+MoQsSzOKZCi5OkfFH02EmMCSkUeg&#10;oZwN/yzyHoGO1F7qq2VbBwJkoCALW2x6bLMzvlCDyl0IHDSQCDx6zCMAEbAQFjIyY5UjwUMXI1IR&#10;yG5EP+93S6QhRDoJkW6qPzcD2+lQPpQ9bSuLcaKqFEN0DjcHunB3/1bcfW8HHhAkD/dtx/092/Fg&#10;7w48OrgD9w9sxr33BvHg8Dbc3UuADLTglkQYwuMGQSQjN7ebqvGgtw0Pezpxj67mQXuHii3X8ytw&#10;t7aNMaUbj9sJo5o23Cqowo3yZtxq6aV7YTwiQK4nZeFSph6X8/NxqbiU0cWK82l0IIlJGNIbtN32&#10;ZfvKzByeExjGPJxkrDlj5vuKK3C+oo6qx1BNE4Ya2zBUWovT+gL8lJ5D55GDr3IN+DwzBYdWrMLu&#10;WYvw3tINOLYxHR+sS8eRlUnUJny4VoZz47Vd5giQ9xljds9eiq1R87Bz9hLsnr8SOwmUbdHzMTht&#10;FtoDIlDvEYJ61yA0uASqWbgNLgFocAtEtaMfSsd5o3C0O4one6EhOByt02egPiIcNYwcVf6+KPeW&#10;GbaOyJ/sBOM4uo23JhEeE5E+hg5k7CStTd3BRbWpZzoRIO4EiNQ93Lyg95ad5IKhkx30pxEeVPo0&#10;wiMiGEnhgYif6o/YMD8s8/eE7+h38fqzL9BtjKJzkCFaDRKq/jGsP9/7fwSI6G9/VX0j8nmjnh2F&#10;V14YhTFvvgoft0mYFRnwpLFMILJGQLJcNEMbnVkjS/4RIhsWq5XLtCHeVaomos/cMAwR6ZVIgS0/&#10;XS1AVGLXobRY1i6VNUxzUCV1BIkBEhXkG12Ge2UtVIkkfPhlfktr8x/uREAiMaZdCqiU3BPQyHsF&#10;HAIQkQCksZ4ORO7LA64+m5DiZ8vCRQIEGQIWN6E5Cllq0UiZeK3db+P7ZS0Seb8cOwizdlmfpIm/&#10;n5GrjWptlh4Xfl4THYoUdEUCLn6eQEVApFZao5NpkhqNikKEEz+/mb+nsY5wqTNQekYYiS+MIAMF&#10;mcqBbLYZMCjuw6I5kc0EQz9B0pPHuGLWqXPNnWgQ0eomfwBkkOcDhJG4mj5+Rg8B1UuYbObPH2T0&#10;+bK6CF9X2PB9RSHO8cG/0sWHeRsf5h2MLrs249E+goTweHhgJ349vAuPDhEo723Gg/e24D7jzO1e&#10;vr+dkaS2HDcqSnBHRmE6GvGgsxUPGppwr7aRzqSVUYZOpaGdMaYN92o6cL+uE7fL6XjyCZ3CKtyu&#10;poupblE78gs8hpLTcCFNh3MGRhZDrur5GEpM5f0Mtbft+VQ9zqQZcIEAOZdrwalcM07bigiOWlys&#10;a8E5RqRTjErneH65qglnsvn/MYXRRU+AGPX4NDUJh5atwb75q+g+EvFxnB7H1qbh4CLGlcUbcHzJ&#10;RrzP+LJ34WocWEIHQojsJEA2T5+PbTMWY/uMpQTHAnQGzUCH51S0uhAejkGomeSHqgmyRKGXWl29&#10;iiqbSHcx1g3W0S6wO3iizDMApX6BKPZlbPHxRqUvHQgBYnOeDIuDI4wTZIbtZDWzVjfJUSnLwUkt&#10;S5jpKAsDeUAvw7USXTy8ofcNgD4kmLGFIjhG4JE8DI+NoT5YFeKFac6TMOGVV/Hacy/SebyA55+T&#10;ugbFKKNAISMy1Ag4ngbI33j/38JDRIBIpHn+rzIk/AIh8jxefv45vPXqi3CZNBoRU7xUl+rKxdJg&#10;RhEisv3j2lWzFEBUj4hqNJM4MzzEmyjLA67+HxCRBYiKbFmEiB5lpbKdoxGVFUY6EWnwMqGOD5g0&#10;nonU4st0AKp/pEG+6QUUfFBH3MiIeN08DBB5cFsID9GII9FARAlE+FniGDr40AsI1Apnf5Y4DR5F&#10;MsLTwc+WnhNNBfxZqdNILUZrhpOV1tSfic6orUWLU21UuxR3+fPaZ/JcPld99ojkdUKqiX/WJoKL&#10;emZbsTiGTMaOdE2WTPTRKfTxgR8gBDZLPBEYEAK9dBQSeVS9g3DopSTGyFE7J1QIj0Gb9nMKRHKP&#10;79/FePNhmRVfEyCfl1kIESvO1MvCQHW429+JBwPdeNDXjUfbNuPutkHcJlAeH9yOX9/bhnu7enBv&#10;Wxce9NBB1FXiepkdN0usuMXj7QapgzTgflsL40oT7hAgN2UR5bZuupF+3O+k8+jeys+mq+kaIEwI&#10;kfIqtdXD3bJ63LaV4XJBPh2GDheTMnA+ORPndUZcMJpxPsOAs7x3hmA5zchyivfPGi04Z7HhbGER&#10;zpRW4kpDG642d+FSfTvOVTTgpK0C5wrK6VLs+Flnxvd6E77OysTxjRtxcOEq7J9DOCyKw9GVyTi2&#10;MgGHF63DoblrcHj2arw/awUOzF2BfXOX06nQfUxfgIHwOdgSNheDIXPRHRCDNq9wNDsGon6CH2rG&#10;+6JqvDcqxntRnqggSIrHEBxvO8H6liOPjigY7Yz8Ca6wSgOZgyvlgmJXd0LFA0Xursh3kr1sXaCf&#10;6IRMBQ4CRMkZusmuaq6LztUDuhGAePlAH0CATCE8GFkkuih4MLYkhPljU5gv1hMgc31c4PL263j9&#10;uRfw6rMEiHIZAggBiOgPgDytpwEyoj8DRCKMijHymfwsiUMvEiCjGGleefF5jB/9JgJ9XBlppmDF&#10;oki1VupKiTIrZ2LdaoGINJqJE5H9VOYjPnYhIbIEqUnLFUQkzmTrYlWckcWYJc5Iy3uxXbZfEJAY&#10;lBuppBuprspFbXWekizIXCdFSgWT4aFfiQt0JC3S/yHroor4YDfxgRRAtBAiLSq2CECG3QAlcGmU&#10;wieBJA5EVjRTyyLyIZa1RNRDru7R0VAdhIvmNug6+Ls6+Xu622TUx4quluFRo+GV1aTIK6NDHXRD&#10;HXyPqFO9l6AiUNqbCSL5HAUivkZ18fM65XP5WqfUc1oIkhYzntlTVYDtpUY6BwJAQEKAKFBQA4TF&#10;YH4WYaDDVoJhC6EgYNAKrjpGkyx05TKmSJGU6pGfo5vpFzfD90iviLiUrXQmHxAYX9WU4ttKO76q&#10;tOKH+hKcbazAJQFAewsedrThfkc7Hm8ZwJ0tjCpbexhp6Ej2D+L+dsKgrx136mtx3W7DjaJ83KaD&#10;uVtXSoBU0nE04GFnJ9WDu129aiGgG9ZK3G/oxO+79uP3I8fw26FjeLx9D+41yRBuBa4UleJ6bhFu&#10;0ClcISwuyXKIGXpcTMvEkIEAYTw5l23GqXQDTvG1k2YLzhQW41xhKc4UFOIs3cdpKZzWtuJCVQtO&#10;2atxorASP+TYKCt+NFnx92Q9vtiYgi83JeDYitXYP3MpDsSswZF5m3B00SYcIzyO0JHsj16G/dOX&#10;4r0ZPEYuwu6oBWqj7G0Rc9HvF4UB3+no8oxAu9tUHsPRRvdRN5HwGOeFagKkaoIvKgmU6kmBKBnj&#10;BfOrDjC/MgEFr09C/hs8f9sB+WOdtb1sRzO2yNKFzq5q7Q+bmzvMLm4wu3vA6EZYOE4mRCYPr2vq&#10;rhZGznJxR6aMunh5I9PPF7og2Qg7GBl0IGnhjC1TAxA/xRdxIT4EiB9WBXsimE7grVEv4CVGl5f/&#10;Ngov8cF/QTpOBR5/eZ6w+FeAPDuskeunAfJniEgh9XkpptKJCJRGqTjDz5WIRGC9PGoU3mGkcXca&#10;h6ipPlgyLwIrlsxgjJmpYoxse7ButWwJOeJG5hEiCwiRxXQiyxhnVhIiMmlM5n7Iwj3DxdV8mW+S&#10;BrtNWscZbaQ2QpBUVYobyVUT8kSyh4zARAAiLkS5CXEX/IZXzoNHuSfxREAgEJG6h4DmCUQUQLSR&#10;FQFMC3++VX6eR3lNIlDbcEwSdyFrtkqbfCedhfSadBEI0rjW1WbjtV3N35GV1XplZbWuUsjaJN0d&#10;NgJFU0+nle/5o+mthz/bzc/p4c/LHB9NfI9qiBPgEDYEzjPHeqrxfmsR9tXlYyf/I2wvM2l1EIkv&#10;1NZCA3bweleRETt53GGXTlQDQSLugu5DRl6k1iEQMaYRKKJU9OamEz50H3zPNrsRH9cV47uGcnxX&#10;U4SfWipwprMW55oraf/Lcau+Rs13eVBPEGyma9izFbd30i3s34JH72/Dw72DuNvdihvFRbhlzadz&#10;sOF2JQHCn7/bzdjSSwfTT8eymS6jm+5FGsQKqwmcdjzYuYcAOY5/vH+MLmc77nR00bHws+yluJaR&#10;i8sp2biYolNNY9L7cT47G2f1sl1lDs4QHifpSE6nZuKX1CycIFDOymrrJgvOGvLwi96Ck4TQSVMR&#10;fuTxe3Mxvjba8F1BCb422fDxxgx8Qqfx6aokfDCfTiN6FT6YtQ4fLYrH8QUb8V70EhxkPDkYI+uh&#10;LsSuKXOwO2Q2j7N4PQ9bg6ajzzMM/d4R6HALVeDoYnxpcw9FnRRL6ToqCZBKAqSCbqR8nC8K33JD&#10;7ssTYXppHEEyAXmvTUDuGxORS4jIfBfjWzwf7QDLeEdCxI0uhM7Eww0Ffp6w+ApEnKAnRPSOzjAQ&#10;HHq6lUwCRhYIyvD2RlZgALJCgpAhXaahAUjkMSHED3FBXthEiMSG+2OBtxOc33iF4HgOL/3tecJD&#10;pHWearWO5wgJDSAjTuRv//WXf9Ff5fj/AJAXGIekN0RAItcyaqM1oAlEnqcbeR6vvTQKk8a+jSkB&#10;HlgwO4JRhgBZOUu1uq9fPVfTGhninaO2Q5DFiJPiF6ptEjJSBSJSF1nHSLMBudmxhIh0rSbTkcj8&#10;ElnwOA3FRRkoLdFAUlHGiMOYU8WYU8N4I6M1qglN3IaCA90IXYKcSwFWXpPaiSy2/DQ8RmopjXVG&#10;OplsvjeH902MGgQHHUCL1C4IEBk+lv4T1YMijWzqSBjwYRdwdAs82uQ+AdIuXbOl6CdAZB3XPll+&#10;oMtOEQydBTxa0d8lE/54TrD0q7b8QtWWL0sVDPRQ3UXo6+b7qW4CRxrjnjn58Tb89EEfvj3YiS93&#10;tuCTzQ042llJoNiwq9KCPVX52CvHsjzsLjFiV7FAxKCKrlI/GZRCKmOK1Du6CY0uUyq6cpLRnZOK&#10;fjqUfjPdC99zrNqGbxpKCJFinO6tw4W+RpyXxYDoIGSK/q3SEkaScgWD+/u24s6+Lbj3/g78emQ3&#10;HkuRtbuFsaUId+1W3JX4UlKA+601eLitB492a70jD2Q+S20L7jd24lHPVlUovdO1lQD5BP889gnu&#10;9zIe9Q3g7tbNuFFXi2t0GRdzTGquy8VMPS7ReVzKycX5LD3OpssCz1lqkefTSen4OTYJP6focSa3&#10;ABcKbBgy5dOZ5OHndCN+yMzFSWsFfrCU4wdzOX4pqMTnySZ8tj4L3yeb8XVsDo7M2oD3o1bhcPQa&#10;HJu3AYdnrcQeRhNZvvBg5BLsDJqN7b4zsINuY7vPNGzzDsdmr1AMeIai14vQcAlGk2MAWt2moMk1&#10;mG7Dh8DwQNlYdx49UTrGA4VvM668TsfxKiHx8niYXhkHI5X9GvX6eOh5lK5T/RvjYHiLgJnggEK6&#10;Dqs3Y0+gFwoIAYuvO0weLjDIwkF0KVlUpqsbMgiadB8CRLZjoPtICw1E0hQBhy82BXjz6I2EqX7Y&#10;GO6HKJfxGD3qebxMUCjxwX6Rxxf48AswRjTiNsR5CDD+rKcB8meQCCRefvElvDTqRQUPDSza8K/0&#10;iyiIUK/QBY156zX4ejhhTnQYVi0TiMwmROYoaS5E4oxAZC4hMg9JCQshixRnpq1CVjohQpDk0I3k&#10;0o1I63t+XiIK8hIIkiQFEtmSUranlBGbkVGbSnEmjDjavBptxEYAIkO/Uh/R3IkUM63qntRKRuAh&#10;MJGjbEYlk+wa1OiMUQMHY4TM4m2nOgQgjBaiEXjI4s6qtb5d1nTlg94mRw0gfQIQuhAlWcNEgECA&#10;CDwGum0Y4Hm/wIPgGOgqIkQoQmaQ8BjsK8FAL9VXjP4+/lyP/JwNz1z+8X1c+uEgLny3H2e/3IVT&#10;n2zHz8c2Eyjd+GJnKz7Z0ojj/bU43FGG95rtOFBXgN20aeJUtpfRsZRSxTwvkrZ2qZdkEBppGKAr&#10;GbQQMNROWzYdSCG+ay7BL63lONdXj6GeOrW26bXWWtxsqsalkkJcISCutzXiJqFwn/B4eHgn3cgg&#10;Huzow/3+dtXCfq+KsaWoAHdLC/G4oxH3tnbj/n6+b/8e3OkbxMN+OpZdB/CYkeXBZkaWti347fBH&#10;+P2D47jf3ovbsvp6S7Naueyq1YaLtgJcsdkIDhMuSowx5uF8bi5O5eXgdEEezuRbcDrbhNPp2ThD&#10;YJwtYHSxFfN1K07ShfyQYcL3hgKcKq7Hmap2nC5uxY/ZFfh0vQGfrM3EV4kmfL4mk+5jDfZHrcCh&#10;mNU8X4H9UxlTphAgUxdiX8hc7PKPwZ7AWTxGYytjyhaPMB7D0OcWgg6XILQQHk2TA9BCF9LgFKBq&#10;HgKQ0jFujC2uSoVvOxEgk2B5fSLMdB4CEMPLY6B7ZQwMBIi0rasZtq/y3htjkDt+ImzuLrDRfRQG&#10;+6CQDqKAILD4e8Ho5QkdwZEpECE8dN5eyPDzQSYBkhkWhNQwAiTEF/GETlywNxJDvZE81ROrg9zg&#10;N+4dvM5YIfB4RQqcMgpDiMgcGA0efziPZwUUfwLH0/p38HgaIqOef+HfAkRrOnteuZRXXngOb7/2&#10;Mtwcx6vVzJYvlm7VWaqoKlFmpB4iywDEEiIJmxYgOWEJIbJcxZlMKa6qTao2DO+vK3NoZDar1EgI&#10;kvwkFApIrLIIsiwPIAsByYpnAhLpsciBbIepQFJnpqT+QWCo1nhCpFmDyIhD0SCjQURzJRJvxHkQ&#10;HlLnkJqEAKNNIotF1S1kNXjlPgiN/k6BBR2HzMuR7liqlxFGwDHQXa4mAMos4kEBgnIWsrKandCg&#10;6DgGCA610posU0DIDPZSBIfAY6C/GJv7i7CF2sz7z1w5eRhXTx3BVR4v/fw+Lv5ImHx/EEPf7seZ&#10;v+/Gyc924OcPt+CHI/347v0efLOvE5/vaMFHm+txvK8GRzorCJYi7CdY9hAsO0uysd2uw7bCbGyz&#10;GtV+M++V5OHr5lL83FbG6FKNs501ONchIzB1uNHVgGst1RiqsONSZQmutPHetm78emgnfiNE7gs8&#10;CIkHBMg9AuN2bTluFubjNp3Ig5Y63O1tx+2t/XhwYD/uHzyMx+8RHHsO4s72nbjX04+7ta2qgPrr&#10;voNqXoxM8b9RxPgiW1mazGro9mqBVTmPC1L7yBVIMKJQQxbCw5TLqEKHYbDgVE4+TluKcKqgFKfz&#10;bPjFkIuf8+w4UViDHwtqcKqsHecaNuNkWQe+S7fjs9UZ+HRtBj5anID3CI/Dc9bh2PwNOBCxCLsJ&#10;iwNT5uNA6ALsCpiJXbzeH87zKbMx4BOBQVl5jC6ki/BoE+dBNTsFEiDBqGV8EedRJg5knDuK3pXt&#10;GJxhe8cR+W9Mgvl1xpZXx9J9EBzDAMl+cyKy356kZtnq3pqAnHcnqhEYu5cbiuggiggDOx2FjceC&#10;YF8Yfb2gozvJcHFGlqc7DP6+yJSNoYL9kTYlgPDwIzy8ER8izsMbSeEeiA91xiy3sZjwyst46S/P&#10;MrbQfRAgqvdjePRFPfwCA4GCQOJ//5emP4Hjz3oaJE/DZAQaf75WLkR+r2qFlzb45/G6RJpxbyE0&#10;2AOL5kdg9YpoVQ9R7kPa3aWoSohs2jCfEFk0XFhdgYzkVdClihORhXhkPQypi0j3qsBkkwJJgVka&#10;0JKedLGq3fxlRTFpEy+XuSrZWjer9JDI0CghooFEizYScwQaaqe7YaCIZLREJMPCmqwExojbkJqE&#10;lXDguVxTvXQeAhBZp0QWOdKkLT0w2FOuJOfadQk201mIw9gsLqObP8foMsjIsqV3ZFU1cR78TGqA&#10;zmMEHluH9cyNs8dx49xxXDv9gQLJFeoyYXLxxCFc+OV9DP1EmHx/AOcJFKWvCZYvd+PUZztx6tMd&#10;OPHhVvxwuA9f723Hp1sIla5yHG4uxP5aRqAKupXiPByvtOJ7AuRkRwWGGF/OtFTgPHWtqx5XOmpx&#10;obGC3952XKgvw82eJtze3IkHezfj1/d24BEdyN3eVtxtqcG95hrcqqQDKbRpiy/XVqnO0/vtHXjU&#10;txm32/twu7mb7+1i5OnGnU7Cpb6J0WUQj/fQjUjna1kFrhYV4Qp//prdjss2q4LGeenzyDJgiCA5&#10;J+3reWYVbWS27YkMOpKcQpySOS4FZbhUTPdkKVFAOVtEcJQ24TtDKb7XleNM7QAude7Cz4ZyfLYo&#10;CZ8siMeRmDWMKUvx4YKNODp3DXYHz8Yuv2jsD56LfdQORpddgTOxd+p8bAmYgW5xHoRIL4/thEbr&#10;ZH8FkEZHP9Q5SMHUC6UESAlVROdhfWsy8t+k8yAk8ugy8l4fB9NrY2Ck2zDxWk3Tp7IIDt07k5A9&#10;1hE5Yx1gmjgJVg9nFPoy/hAihQSHlcqnTHQhek+6D09nGOhQDIwq6YE+SJEp+nw9UbkOXyREBCAx&#10;Uo7uWOY/CZ7vvIxXpbj5X0+1rYvzkAd7+CEfgYCA4S+Eh+jPwPhPehoiohFw/DuASD3keVkeQCBG&#10;NyLrjLwyahTGvP0GfDwnY3ZMMFYtj1brfMaulTkz2mpmmzZIx+qCYYgsRWoiXUjyamQRIlmquCpD&#10;vbLK10Y6EoGJBpERkIgbkd32ZZ0OWfxnBCJPWuKrGU1qZaRGYgodCeONVhOh2yBQZPMpAUl7sxRH&#10;bQoY0r/RLptbKWn3xYH0dFjVMgICDymiSnQZWVpRIDLiNpTj6BEHUsrXS9R7BhRASgkKStY0kTVO&#10;GF/+WOuVP9dD99FDeIgIkc2EyAg8tvD8mdvnP8LNcx8SHgSIQIS6TF0SESYXTx7CRYLkwk/vaWLk&#10;GaJLGfrxPVz8ifGHuszzoa/3Quopv9Cp/HCgC1/t7cCx3lq8X2PDZ1WF+LmpTMHjykAThgiPi00E&#10;SCev2wmQ5iqcb+C91hrc7mnB3b523N89gEeMMA/3bcbD7hY8aqjGw3rZH6Yc94pKcKewCHcZQ+7X&#10;N+BxQxvuVDbiRmmt6u24096PR++9j4cH9+HuYD/ub+7jZ3YyvtTjZiV/b2kJrleU4kY1f2eJHees&#10;+ThPYJw3ESR0JWfoOk4zxpzl+YksE37JysepbALDXI7L5c24WtaE00Y7fsmmC7FU4Mf8KnyXasM3&#10;sXQo9nYM1fbj77EmHJ++Fsdj1uOD6atxJHI5Ppy9BoeiFmOn/3Ts9J2u9n/ZTXDs9ovBLt8YVQMZ&#10;ZHzpcQtFj3soOpyC0DzJF80OfmglSJqdA1Gv5rt4MbK40XW4oOBtR4LDAWYCROCRy6iS94ZoHMwE&#10;RsEYR5gpaVfXj3FAzgRnGGXv2nEOyJ44EfluzrD6uMPs7QYzQWIJ8II50Bt5jDTGQE9kB7gjm7DQ&#10;BfkglZBJ4muJBEhymB9SogKRHD0FCVF+WB4wGQHjX8dbLzBa/Nd/qUlzz//lX2seT2LL8MP/ZziM&#10;wOT/BpX/BJARePyh55RG4oy4kVHPjcJLL7yIN19/BS6O41SkkREaGd7dQIhIk9kIQGR4N2HTYiTH&#10;LUUaIZJBiGTIht2yalfWeqUcOpI8gYgsykNJtJG9W2yMNbKYT4ksikyQCERk+0rlROhC1KbbItU7&#10;kkt4MKYIQAiUFh7V0Ky4DboOkcQW6ecYkaptSJ2jvZDQ0Aqo8j65J9FFiqRanUOORSqKaCDR9q35&#10;w4EIQHgu7kPqHhJheBy5lrrIZsJDxRgFEPtTALHjmVvnPsKNswTI6aNPdIW6LCJULglA6EYuUZd/&#10;4fnPdCaMOkq8vnySroW6SKdy/tt9OPP5ToJkO059vgs/fTCIL3tq8G1DKc60VeNyfzMu90m3ZgWu&#10;SPG0qxFXOxtwie7iakcDbg+249H2Xjym+/j9AGPHzkE82NKNxz1teNwo9Q9ZdLkU94vLcM9GgPD8&#10;YVMLHtNx3K8ndNp66TZ24O6eI/j9xxP49btvcf/QAUKkB9frqnG1pBg3iovVZ1yjA7lUSPdBnbcV&#10;YIjHId47yzjzc46RcDASLEU4Z6vAydwyRpZqXChtw9XqTpwlSH5Iy+P7SnG2pAUnbXX4Nikf322S&#10;UZkafKcrxrF5mwiQNfhsYSI+nrsJh8Nl3dOFOBgyB3sCZ2D/lFnYFzoHu4LoPAJnU3Ow3TsKmz3C&#10;0e8ehk7nYLTQeTQRHk2O/mghPJpcCBDnYYCMdUPRaDfGFhfkv+UI27tOsFIWOg3zmxOU8t+dhEIC&#10;o4DKneAE02RX5FLGSc7ImeSEPMYTVUClw8jzcUMuQSIAsYgLmeqPvDBGmSneyJ7igwzGlRTCI5lg&#10;SZ7ij9TIYKTGhBAgwVgudY8xb+Ct58V10H2M1DiGgfFnPfsXgoD6C0HzL7B46vifAPKf4PG0BB5P&#10;n4tUpBGAPD8Ko14YhRep1xi1Jo57F1MCvdSsXimqblgrtRBxIdLyPuxCCJEUQkQ27E5jnMlKl20l&#10;NWVLcVVGacSNyIpeAhFZ6SsvDgWWeLWrnGwOJSuIyXodFWVZhIiBEJG6iKxEphVKmyjp9BR4aAAZ&#10;7iBt1vo6NJAIULQhW9n0Stv4StYfkWUFZN8ZgoUA6OGDL4s4y2LO/cMuQuocCiYEh3IoPFfOgwCR&#10;mPIHMBhTGGe29EqsISTkXNQ3rH6R1D8IEgWQ8x/TgXyE62eOP9E1JXElRxU4RKpWIrA4wYjzy2He&#10;O6zBQxzLSP3kh4NavPl8N859w9jzzX6c2tuNn1uqcK69DpcYT87TcZytK8Pl+kpcb6EDYSy53FhN&#10;mDTjwVbC4sAW/HpsD37buxWPWlsYT5pxn67kXlMt7stkuYoK3C0uxb2CIoKkAg/qm3GvvhWPWrrx&#10;65Zd/PmjeHj4M/z+1S/4x/cn8PDoMUagfkaXMlzNt+A6488tupiLVgKDUeVSvriPPJzJpfOw2nCS&#10;93+hEzmZnYdz5mJcsNUSJPUYKmrB5epuHhtxMjMfP2ZYcMbegGtNgzhtq8e3qQX4KZsxxlCMT9Zk&#10;4IPZ6/DJ4gR8sTINH0Svwb6gedjrR1j4R+NAyCwcnrYAB8LmYIe/xJfZ2B00G9t8pmOLTyT6vSLQ&#10;4ToF7W5TlOtonOyHBsaXGgdvwsMT5RM8huOLO8HhQgfCCCMx5u3JBAdjjEDk7YmwjpusNpAqdCIk&#10;nD1gdnInODR4GB2dkefuigI/DzUCYw7wRK4/RYDkhfjATIeRO5UuhNIzqqTRhaQQHimhfkifFoT0&#10;mClInRWMDeFeCHN4B++8wG95Og4ZaVFRhefaQ67BZMR9PAHIU/BQQ7fqvqZ/W1RVP0PXIq8P62lo&#10;/Cf94UYIEUaYF54XSfFVg8jLL76I0Yw0fl4umDNzKlatmIX1hEgsAbJp2IXINgZJsYsJkqVPOlZl&#10;dEaGeWWRYRmhydFpa4TKeqOyiLHILCt9CUQKktQSg6VFMgU+nXFGNwyRbDoQGarNUdPxBSLSJCaS&#10;hrG2Jmk3l34Pae6SblRZElHqH+I4ZKiW7kNGXIbXJRH3oa5ltTQCoU8ch9puYtiF8DggEFHnhADh&#10;saVPFoaWCKPVQBQ0CI+thIVoG9/zRP2ldB7iXMShFA5HmKFPMAIRkbiREV0/c+xJrBFJneQaoXKN&#10;zuTaGbqVszynpG5yhW5ERnPO/H0P48wBRpsjdCmHcfa9AZykwzjXVoeLHY2ML9U4X1+OCzWESC3j&#10;BKPJrbYGOoc2PNjciYf7N+PX47vx+/4t+K2vg/GlFXfa6tUIzKOWRtyrrFIrtT+wleJBZT0eNHfi&#10;QUMHHtF9PN6xD48OfIA7mw/i7tZDeLzvOO71bsOtyjpcs1hwxaDDDdkCk9HlbLFdjbCcp/M4y9dO&#10;5shSgwU4Yc7HL7n5OGmkE9ETJoYSnDBV4gwhcaGilY6kGr/QfZzMLcbFuk6cr+rEN3zPV1k2nCiu&#10;w3fZRTi+JAHH5qzDx4vicGzWOgJjPvYF0HFQexlZDobOxfth87Cb8NjuFUnnMR1beRz0iMCAZwR6&#10;PKaiwy0M7YwxMnRbK63q4z1RRtdRSqnhW17bR7sq95H3+iSYZNTlNUYXgQedh2XMJNgmOapNouxu&#10;hARldHBibHGEkS4kx9kFRulEJTisdBd5/h4wUbnBBMgUX+RS2TzPotIJFIFHcogvUsP9kUnXkTk7&#10;BEnRAZjv5wiXt17BGwTIyxIT5GHlw60tEKRpBCBPawQUInn/v772NwULgYTAQzkVpb/iL/La8P0R&#10;kPy/AcqIC9EgIgChG3nhBUJEhoNfwFtvvAInRpqIcD8sWxqDdYwyGwmQOAJERZlYaXtfjEQ6kZRE&#10;bXRGekWy0lcxyhAkujVqdzhZbFhkUmuIyhKAcbAx0tgFIoUCEXEimQoiEmlkhbG6GoPW71GXQ3gM&#10;xxlVUNUm6D2BCK9HIk2HtKm3SmSh6yA4uhhpZKRFVkPr7ZDejuFaiKqBaHUQKZiKi9DiCGGhrssI&#10;ihGI8JpuZKvcfwKREoKjTMFDtIXXMmIzyGizVUZh7lz4FCMQGdEfIDmudP3ssT9EqIhU4ZW6Lq8T&#10;JtdOfoCL3x3Aua/24vIPh3D9xDE6lQ9w9sAATrfWYqi9ERfoOM4zugzV/QGQG001uN/VhF8HCAEC&#10;5PGuPjzaN4BHu/vw27Ye/EawPOLPPmijmhoYW8pwN7+QDoQQaWzD7zt245+79+MfO/bjt92H8Pt7&#10;x/Fw2wHcbhvE7apW3LJW4oaliPAw4HJKCq7n5uFqZTnOlZao3fDOyXaZxYU4SXCczLXglzwzfs7L&#10;x4lcG37QF+BHvZ0wKccpSzXjSiNdSqW24npeKc5VtuGnvCp8mVKA7/PK8Yu9Dp/HZePwrLX4IGYN&#10;jknX6bTlhMVCvDdlntK+4NnDmoXdftHYKfAQcLiEYYDQ6KM6nENUu3rj5ADUTfRBzROAuD8ZfSnm&#10;0foOY8jrE5Gr4EFJAfUdWV2dccbBGTbCo9DFFTZ3D1h4NDo4ItfJFRYPRhYvT5gkstB9WAmHvAAC&#10;xp8xRs5D/JET5IfMAFma0BupjDSpIX5IDfOn+whEJqNL+swgrJ/qiVCH0Rj78ot488WX8NqolwgR&#10;PpRSc5DI8AQmGiBGJs2NTJz7T6/JymR/G3YwCiDiVP7rfxMePOe9v/De0wBRDmX4+t/BQ/QEICrK&#10;jADkebw4StNLLz6PV18ZhfHj3kRIkCcWLY7GepkvQ3jExWpOJH4YIqqwmiQQWYHMNGk4WwWd7AQn&#10;+7GozZy05jMpsJqNsmcLXUi+5kJkfVJZp1T2fKmWafGVeqgFgqoNyoW0ECDiPqSQqmb5NmoAkSjz&#10;B0C02oi0q0shVeofEmvEfcj2EQIPWQFeiqUD3WV0G+WERTmjR5mCxmaCQTtK/UPTCEQ08bUnTkTA&#10;IQDRpF4TpyJRh3oCkBH9GSI3z/+rbpyjMxF3oo5a5Lkh0ecEAfItncd3B9X5zZMEzY8f4AJhcJYO&#10;42JHs5p9e75a4FGBK/XVuEFXcYNwudfdgH9sacc/tnbhd8aYRwPteNjbgoft9XhM6PzW3oS74lQq&#10;KnFLNooy5eM2IfKwpR2/7SM8jh7HPw99iH8e+BD/3yOf4L8PHsH9th5cJziuZppwNduCS+l6XExK&#10;xaVsIy4REBeo85Z8nLNbKTsBQcfB6PKz2YIfCZPvciz4ngA5kUtQ5NNBUSfNhIehCN9nMq5YKnCy&#10;qB7fZxXhuxQrYVOMzxNy8cGiBByi6zg8kwCZvR7H5m7A4ajlOEh47J8yF3uCZmGXFE9FCiBR2OIW&#10;jn6XUAIkFH3uMvIShEYHP9RP8qH78EatQITnVRO9GV88CQ83FAg83pwEo6yoLg1jdB9GAsT0rgPy&#10;J7mi0NULdoKi0NMdBe5uyHN2gtnZGQUeMuLiC3toAGyMIwV0FwVTGFmCvGCkG8kmMPR+Psjyk2Fb&#10;AiM4AGkhVGgg0sMDkRElAAlG8gx/LPCaBOdXR+FVPpyvPPciXh31Cl5/8RUFElmG8GkojLiL/6Sn&#10;3yuu5WkwCED+S0QXMqJ/VyP5vwHkzxBRTmQYIi/RhYheeekFvPvO6/D1ccGCBVHYuGEBNsXKfBmB&#10;yAhAZM+ZpapPJCN1hXIhItk3RQOItueKDPeqmohAJE+WCZTd5ehCCmXlr8w/1tmokuny2WhinNHq&#10;IHQfIwChE5EJbiMRRuAhMUaLMlZIt6kM58q5rMPapxyI1vvRL9tO9FQwxlRg80Altg7wSCCI+9CG&#10;bgUU2rmA4ekoI5J72/rLsY0/p4kQEsCIU+nie+h+nrl78TMIRJ52IiNxRnRr6H9KIHJNOZPhqHOa&#10;buPHQ3QgB3GNseXmqWMECB3KV+/hHKFwmhC4QIBcaK7DUFU5LjJCXG2QbSbrcburAQ/6m/Hr5hYC&#10;pBP/3NKN33pa8aijAY/oTv5J9/Ero8+tCjqPYql/VOK2FFBLy/GgtQ0Pt+/C4w8+YnQ5hntbDuDX&#10;vR/gH3QisvbHzTw7rqYZcDVZhyuJWbhqIEwKbGqryouMLOdMMtJiwjlLAc4UECLUmaJS/GItwhcZ&#10;RnzHCDNkq8O5ghqczqXD0NmpYjqVSvxsqcRpewNOF9QRKqX4KtGMj1Zl4PP1Ony0MhXvz1qDozM1&#10;J7KPDmRP4Gzs8I/BNuk0ZXTZ4cf44hNF9yHwCEGvcxC6qU5KiqcNk3wpAYjmPmToVibLyUxb+zi6&#10;iHcmI/dNug9pUxeQEB7Gtychb5wT8p09YfP0g93XDzZfb1gIkXxCREBS4OWOwmA/lESGoJiyEiK5&#10;dB85fh7Q+3oiy8dLbcuQ4e+HDIHHlAA6D1mikOfTZIsGKsYf68PpPia8hXf+9l947n/9L0YRAQEf&#10;xGdfwKsvjMLrL71MoLykptq/TJhII5kM6/67kZl/B5knIzWq9qHFmCfwoEagMVJHeRoif9Z/BMlw&#10;TWSU1G+UE+GfU+bvECRvMtK4yfIAM0Oxds0c5UKkoKrFGFmQ6GmIrKQT0eoiUlhVozNqmFf2YNEg&#10;YjFJlEkkRJJRYqULsctKXzrUyspglTlq7Q9tPQ+ZCUt4CEAkxhAoapo+nYg4ECmsaoXUkV4QiTAE&#10;ieoH+QMgvbIBljSO0X0M9FUqgGwZBshILUTVPNRRRl600RdpYf9jFEYKp3QeBMfWYcm1ijoyksPf&#10;/8y9S59DJCD5HzAZohsZ1u0LH+PORbqUC9r9m2r4l0ARp0JgXPrxfVz56ZCCxy06kpunjuPSR7tx&#10;sqeZAKnHEAFyqbWR4KhT7uNyQxWuttTgbl8zHm1jfNnGOLKzm06kC7/2ESCbGV0GW/F/Bjvwz44m&#10;PK6qxO/lNXhcUYsH1TV41NKC3zdvwW/738NvH36OR4f4Z+nZiXsD+/CPbYfxoL4PdyS+GPNxIz0b&#10;1wUiWdmqff2qzY4LdsYXiwVn9Tk4Rzdyzl6KU9TZsmqcKqnCd6YixhRGnYJanMgpwy/6IvyQIXWR&#10;Ypw2V+GHTDtOGGU0qR9nqjvw9/QCfLImC5+ty8KxxfHYH7EUB8MW48AUwiNoLnYGzsQWAkNqHJu9&#10;p2HQS+od4YwsU9DlFIAORz+0OfiqYdsGOo56uo06qlrgQamuU5EAZLybWtfURGDIHJc8wkSDhzOs&#10;ToSHmy+dhi+sXv4ESADyvX2Q7+mFfLoPKZyaCBGTnxdyCAydlysyPZyR6eWGTMJDJsvJfJfMKUHI&#10;mBqEtAg6j0g6jxkByIj2R1q0H1KifbE8xAXBDu9i0hsv43V+i0vx9Nn//b/x7P/6/6gV1gUcAhDR&#10;6y++/Ee8Ge5IfRoa/xMgw8VWHp/9K6FAqVEb0f8FICP6v0NEcyLPy340T9VFpLD60ijqxVF47bWX&#10;4SDLA4T7YfWKWXQgshDREuVARqRBROohqwmRP4Z4xYE8gYi0wOdoUUaDCONMQTKdSJraSFuciCzi&#10;I8sQyjDuCEDaFUTMTzQCEFnbQ3MiMllOpNVCVHRRAJHRFun5IDykeayvAoP9FB9+6f0YgYfqMpVz&#10;VRQdgcZwC3undLPKaIsUTv8AyNY+QqSH92Q4uK3wfwJEkwaRP/SJunfvMl+7RMjwfCTy3KFu0oFc&#10;ofO4ceoo7pz9CLepm6c/xMUPtuNUZxPOMMIM8Xi5bXjf2uZ6XGupxbV2xpctBMe+fvzj4CD++d5W&#10;uod+upFOPNzSgYdb2+hGGvF7XSV+LS/Bo+IyPC6pxKOaOjzu7MZ/7zuAf37wIR4d+RgP9n2Auz07&#10;8LBvL/5711E8bOonQMrVVpnXCAhxIhc3paqJcxeMdB7SbWqWFcVMuGAV51GCn/nes1V1OFNZj19s&#10;VTiRV4FfsksJDb5mKMaP2cXqngzffp2Qhx91JbhQ348L/F1fpVtxdH4cjs5Yg/enLsH+kPnYEzIP&#10;u4LmqC7TbXQdApBBwqOf4OhlVJF+j27XYHQ4B6CNAGl28CE8vBU8tPiiuY8agkXiS8k4d5RMZAQh&#10;QMzvatDIeYviMfsdAmSCC2wujCSUydEDuU6Ehrsv8ty8YHJxV3va6iZNRoaDI9IcnZDGSJPm4ox0&#10;N8LDm+7D3xc6metCeGTJYkFRU5AZTc0KQebsIIowmemP+EhPLPBzQJjTeAROHg/PCWPhPPptjH/9&#10;FbwxSpzGX/A8H2LpBRFgvMIHU1zJa3wwX32B3/B8cF8WZ0L92Xlo13zA+dBrEPkvAkSkQWHEkYzo&#10;/x+A/AGRP/SHI5FY8wIdySi6kRfx8kujMHbMmwgN9sLKpQKRJcqBjAAkWTasTpLtIlYjI20tsggQ&#10;PQEy0ieiRZmN2mQ8OhHZb0X2sZX9WOz5iWqfW4kzslq6rFXaVPtUhGkUyZBuHqGhxRgNIHLUiqhd&#10;bVIHyf8jvqgHX4qm0nVapqTVP3hNGAg8VHOYFFKlOUw5DymKFqk2doFCv8QfuhiBiHSjajHmDwci&#10;ABH1t9vxzP3LXyiAjEBEgCGw+FegaOC4R929pL3+BC4EyA0C5NrJI7jFWHOXEUi79xEuvL8Np+ke&#10;zhMeF7sacbG1Flcaa3CdjkQ2yL5FODzY1k54bMZ/H9uN347uwm/vbcNvEmMInX+01eH3xir8o7QI&#10;jwoLcMeSjwf5PKdLkALqb7v34/dDBMieo3i84xB+ZXS5v+MgHg7swb3KZtwwmHEjJxdXZHtKcSDp&#10;elzh9UVZslCXrcWXwkIMlVXQdZTgBHW+rgE/MyZ9l0domMoICToRRhQpop4urMVpRpfvs6z4e6oF&#10;P9GdnCxqxU/6MnzO+HIkajXeD1mIfcHzsDdsPvZOmYfdjC47Jbr4TcdWatAnEr2eU9HjEYYutxB0&#10;ugahwyUQ7YRI02Rf5TqkcNpAaEj9o3KcJ6p5LS6keKwr44sbrGOdkfeuA8ExUe0gpxe9PQEmxheL&#10;gwdMk9xgGO+KnIluBIkncia7ExwuyJzgiAxZaWyyC7Kc3JDl6qGtcerlBZ2vD3SB/tATHrqwEOgi&#10;Q6GbGQ7dnHBkzQ2lgpExJxApMb5YG+qKmW4TEOowDqGOExDm4oBQ50kIdpwIn4nj4PTuO3j3lVfx&#10;ihQrVV/IfymovMwHVCDyGh/M116UeCMLDWldolJ0/QMior9CNpuSTaeeFfHnRx7+ESj8O4CMwOIJ&#10;FJ7S08B4GiTPCrDkvnIj1POi56kXCJQX1CjN2HdeR0iAO1YsjVG1kMQ4rRYiAJGh3dQkrcksM4Mu&#10;JGstITK8h+xIQfWpHd9k39qC3E0KIkUFiXQiqcqJaFEmV0FkpKFMWzRIFvHJo+uQGKNFGTVtX9bx&#10;aBWQCEC0BjLNfQgoxG1oPR5quJYQUPUPiS9S5yBApFAq8Oije5Hd9ProaHr52QOEyGZpNOuWEZnh&#10;AuoIQKQQKyAicHrofp55ePVLPKDuXx6GiALFn1yJ3LvCe6KnXQhfu3XuYxVhbjK23GG0ucuYc4f3&#10;b578CJcObMPZzmYMER4XOmpwqa0aV5sJEFnKkHC409OA+32NeLy7B78f3YkHh7fj8aHt+OeOPvw3&#10;3/N/aivwz+oy/E54PDLn4l6uGQ8KixhnqvGovgW/btuLxwc/xK8HPyWAvsL/+ehrPNp+ELeqmnAr&#10;z4rrmXrcZGy5kWHAlaQMXKbzuFxagss2G4Zy6T5sVgxVV2GoVibC1WCovoEAacQ3liL8SICczq/G&#10;L6ZynLXW42p1Ny6WExbZdnyZZMK3ueU4U9dDyFTjiyXp+GjmBhyOWM7IsgD7plIRC7E3ZK6aILcz&#10;IAbb/aOxxTcKfd4R6CFAZIZtj0eomijXRni0OPmjkQ6kbrwX6icIQPxU8VQAIls0qM7TMa6wESL5&#10;YwQgdCDvOCD7rYlqPxeRuJDs0ZOhp3RjnaAf7wwdY00Wj1kTnKF3cIXBmU7EzRN6SoOHFE19oQ8K&#10;gD40CPrwKdBHToU+Zhr0c6fBMD8C+nlhCiCpMX6Ii/LGsgBnRDmNw5SJYzBl0liE0YWEO0/ENFdH&#10;RLg7IczVCQGODvAcPw6O77yF0a++hNf4UL5EMLxEWLzyPAHygsSal/EqQfLqi/ym5wP74rN/wyi1&#10;xoe22ZTAQ5NAgdDgA/9XHsWFjADkabchEHgaGKpQOqyRezLNX/T0PdXyLpJ7hJyARFY804Dy3JOh&#10;3jGESHCgG1Yui2GUWYzk+BFJlFmmTb6TekjG6mGIMM4MF1WNCiKacinZBU42b5L9V2S/lQrZxkEV&#10;VXMg2zCMgOQPiGiL/MhiPwISWfND6h4yEiNDutKNqjpQxTnw4X8ydCtFT3EN4kJkfotAZRgsAhOZ&#10;st/TalXOY1DcByEyQJhsVvUPiS8yQiPHMgKEn8Przb0Sf/hemY378NqXEN2/SieiIPEFYaJJgUTA&#10;wvvq9ava+V1C5I6CyOe4ff5TFVcktih4XBaAfIpbPx/HpT1bcLa9EefaanChrRKXO2twrYPxpY0A&#10;6ajF/QGpf9BJHOjHb8d24BEBIhPo/rmnH783V+PXsiL8WlFK92HDAz7w900W3LMX42F1LR42tuPX&#10;/Ufw+2ff4bfPv8evf+fxw8/waGAbbheV4bbFgtt5ZtzOycNNA11Iqk7t83KRn3XJTtdhK1DDt0MV&#10;FbhQXY/ztXRIja04U1GLb2UH/awCfJ9hY3Qpw4XiNlyr68PFMnEbhfgqzogfc8rpWJrw9wQzPpy5&#10;EcfEfYQvwT4ZqqX72Bc6D3uCNfex3W+GijCDhEe3eyidxxT0Eh7d7iFocwpAsyPhMVkbdREHokZd&#10;CJDqSX4oH+eFknddUfSui5r3UkgHUqAA4sgIQ4C8OQE62ZbhtTHQ81xPiOhGO0A/zpEAcYKOMkx0&#10;gdHRHUYXTwUPg7s4Dw+1o5zAwxAUCANdhz4iFPrpU2GYGQnD3OkwLIhC9gKChABJnxWIxOk+qnFs&#10;oTdB4SDwGEMXIgAZhzA6kXA6kWlujkqR7i6UK90JYTJ5EmEyFg5vv4W3xHn8jRChXn1e6iSalDPh&#10;g/0qHcCLwxCRbS8156G5CgWQfwOO/+Q4RjTiOLT3PEuACBS0esdIzeNFcUNKjFVP4PIsz/n+F/h+&#10;WZ7gxecVREKDPLF2xWykSDE1fpGmBFmMSCbfLWOUWY2szLWEiACEMUZ2xVcbU6+HiUcBiLgQgUih&#10;ZROKbfEoK0oe3j5BVjyXxY0FInmEiDgRiyYBCeOMrGUq4JAII25EViJ7eiKdggiP4iA2M8Js6a1Q&#10;kvNBgkXFGoJFah5qvQ9Gls10LgKQAQJEiqNSTBVQqJ6QPoEJ3Ui/uBmpmRA2PYSM9IE8uv53iEYg&#10;cl8AcoXnIxJ3oqQB5q5IYowAZIgO5MzHuHnqQ9yhE7kn9y/La4TK9x/g0o5+nG2qoSqV+7jcXo1L&#10;XbW42F6FGx3VeCzx5T3C4oOt+PUDRpeDWxlF+giVTvzWWoNHFSV4UFOJuxXleFBUjMcFRWrz7XsV&#10;NXjQO4jfPvkC//3DSfzjq+8gHaf3du7Cvc5e3CUM7lZW4XZJMa4bTbhGB3I5TY+LGXqcNxjVLNvz&#10;stt+eTEuyE50lXW4WNeM8zUNOFHI2JJjIzzy8SlB8XNuLS5U9uEXWyPPK/BDlg1fx+fi23gzvoo1&#10;4aMFiTg+Yy0+nLEGh6YtVVP0dwfTdQTGEB7R2OYdqZrEtvpEod9jKrpcgtHJyNLpHIgOwkNm2jZP&#10;FvfhqxVOeRR4VFGVvF823lu5j+LRhAjdh3Igo51gftcJuW9PVlP09W+MV1tS5hAcOQSHYbwjsic6&#10;IYexxUjXkevsiTxXb5jcvGBw84DOzQ06T3c1XJsTEgTj1FBkR4RBH6XBI3vuDGQvnI7sJVEwLIpE&#10;xqwQJM/wQ0KUD9ZM8cRsdweE0X2ETBz9FEDGY6rLJMJDIOKAKEJkujudChWp5EJn4gx/h4lwHf0u&#10;xr7yCl7jw/kSAfEKH9RXCY/X+fC+wXjzqnzjS8coHYk4kL8N1z1GgPE0QEaiyAgg/p3ktZGffbIY&#10;kQBERlzUqItWNFVSMPkDLDIio3pFBCL8M8pkvLFvv4mpwT5Yt2rucJSRSXfDEElaOuxCtCijORCJ&#10;MYQHAZL7BCLrGGfWIz93IwrzN6HImoAy+0g9xEAnYlQQkX1cRiKN2jtGRmrqpSaSr/pDZHRGhncF&#10;IDKVXyAiEoioyXSMM5u7BR4VKtYod0IHoua/SJyROkcnIdHB+wIOAqSPjkScidRIBCICCjkKSCT2&#10;DNJ5bO62YRvv0YEIQL5SkvMHV6lrcv61Oo7oPu/fpRtRIjwk2tw+y/hy8jhun/4Y9y98psUgAuQ+&#10;X7/1zSFc3NKFc/WVOF/Ph7SlElcIkWvddbjeW4871KOtrfj9AIGxvxcP9/fjH3sH8bi/HY/6GU8Y&#10;cX5ljPm1owUPmpvwK+PFP6rq8LCoAndr6Fz2HcKvn32D3z//Dr++f1SB405dk+pKfdjK8/pmXC8r&#10;xXU6Ddmy4YrViks8P2c247w1X8FjiPHoQjXhxthyuakNF2qbcMJaqgDyi4nHfMaulu24UL8FXybb&#10;8Pk6A75JysO3afn4+zodPp2zCcemr8HR6atwPHoVjkQtpfOYi10B0djpNx07GFm0tT3C1RyXPtcp&#10;6BaAqKKpL1rpOmSmbQudRpOMvEzwVtGljvdqCJZqAqZsEgEywQPFVBFVOMEdBWNdFEDEhZhkBEbi&#10;zJjJyKXbME5wQvYEuhMHba3TXCd3WNy9YfbwhpGRRdyH3oPw8PFCTnAAjOGhMEaGwzCdUUXgMY/w&#10;WEQRHjlLI6FbGI6UGLqPKF9sivTF8kB3RDtPIkDGIpQOJIwACXeagAhGmHBnHl0mqj1wowiR6YTI&#10;DEaaaA+RM2I8XRHj5YooHoOdJ8N1zNsY89ILeI2O4yW6DJktK3HmtZcIET7MMgV/lNQk+NCPQGIE&#10;BCPw+PP1v4PHyPtGXheHIf0fI85CmshGJFDR4CEFVLqll0UvUlrb+8uMXuKYZN3VyKl+akWzxDgB&#10;yEICZJFyIWpoN20lshhl9HQiBjqRHP26pwDCc3W9Drk5hEjeRtgscSi2JqktJ6tK9Ywz2vCuFFa1&#10;OJPLo7gSGanRAKKWQyRMBCDakG6hNq2fx6cBMtBVTniUq67UXkYTaXOXQqosFtTXSdfRSShI4XS4&#10;BtLbUqDVRbr4mnSd8r0CDgUPGfLtsNKxWLGdAHrmEeHw+PrXSo+ohwKP699oujZ8pB4QLhJv7o1E&#10;mwuf4xbBcf2X47h79jM8uESXIvcJlgdSA/niAIZ6W/itLo1jJbhMiFxrrcbt3kbc396OB7s68XBX&#10;B+NLn9LvBwfxDzqQf2zvwW8DbXjY2agm0f3a1Y6HVbV4LPDgA36rvh23+hh3PiE8vj+HXz//iZ/z&#10;Hm6X1uCGpRD36SR+Z4y539WH27JwMuFzs7kZF2ur6DIqcJnQuFxZiouVJThfXUpX1ITr3V241tmN&#10;y41t+Cm/BH/PMOMbQxFOlrbgZt9+XG7Ygm8SC/Dpigx8sU6Pv8ca8PECwiNiGY6GL8V74YtxMHwR&#10;DsgiQbIkIePKDt9ItbKYgod7OAbdpqLXhQBxDVEOROoebXQhMklO1Mx7ja6BaPKYgiavUDR5h6Fe&#10;Nsd29Uepkw9KXfxQ4uKLYp5bJ3kgb4wTTARH3li6kfEExXhn5EpUUXNdCBZHvu7kQufhAYunN/K8&#10;fWDy9ka2FEx51Pv7IntKEHIipyJ7xjQ6D8aV+dEwLKaW0n0s470l4cicH4qUmQGIp/tYP5XxxdcJ&#10;UZPpNgiQcIfxiJg8AdOcJiKK8SVSHIgAxHWSOo90FYhMRgwBMtOTACFEZlKzvd0wy9cD0wmTYEYf&#10;13ffxLsEyUvP/pXxghGG7kO2sRSYCEhkVTGJHeIetDjzr87jP0HkP70m8WSk/0O5i1FyfE6DCMEh&#10;ABkZ0n1Zfj8B8uorL+G1l18m3EQv4s1XR2HyxLcxI9IfG9bNJkBkEaI/okx68jJkqS5VgcgaZNON&#10;aODQHIgSAWLMJkSM61Gg6iFaQVWDiGzoJDvHaRDR6iKy7YI4EG1IV46yzYPWlap1pMr8mJFVyUam&#10;9cuQrozM9PFcTbQjOPoJgj5ZjazDRlhooy8Cjx46GnEgalq/wIXvEwcyMrlukPd6my18rxlbGHMI&#10;EA0ej298owGEsHh041uefzt8rkkAIlHmgcQaAcXQp7j+81Fc/fGoAsh9AkTAIq+JG7n2yV6cba/D&#10;mTI7LlQU4VJ1CW601ODOQCvuER4PDvbhIePLP45swf85uh3/+EAKqNvweFcvfuV7fu1vw6PNXXjQ&#10;2IB7Jhvu5hXiFiFxs6UPd3cdwqPPv8c/T17G71+fwP0d+3C7vBZ3yyXa9OPXvXvxYMs2tfrYvdZW&#10;AqQBF6rKcFHa56vLcbGCACmjAyFIrnW14lpvNy61d+ICXcjPhZX42mDHdzmlOG1vYnzpwUlLHX7M&#10;LML36XQhq7Pw8ZxYHCU8PpiyEB+EEh5SOJWCafBs7JboQvexzTsCmz2nYtA9jArHgGs4up1D0CUA&#10;cQ9BB0HR4RmGVu+paA2KRFvodLRMiUJr2Ay0R8SgLSIaLWFRqAsIQ5V3MKp8CROfYJS4+aHQ0UtB&#10;wzTaEeZxzjBPcEXeJFeYGFeMDoTIZLoPJwLFhfc9PGHx8YXZzw+5/v7IofT+fjAEBcAwdQoMUREw&#10;xEhsITQWER5L6D6WESbLIqBbFIaMeYwvMQHYNM0ba8I8sMB7MqZNGoup48cgggCJdCQ8nOg4nAkQ&#10;OhNxIsqN0JVIYTWKEIl2dyRAnIZB4oQ53q6Y6+OOeYTIHAUSFwTy/Q7vvI7X+SC/wIddekVUwZXf&#10;9vLAvsIo8RJdg8BF1hYZgYMcR87/U7R5WgouUtvg5zytJ26EABGpVndGFs2hvKBBhJI/y+t0JW+8&#10;+hLefvNluDqPweyZwWo5xES6EIkyKYRIGiGSkSIQ0TpV9ZmrkaMg8hRAhiGSyyhjMcXCZo57Mioj&#10;EJGRGdm/VkAyApE/RmgsyonIPi4jMUYtqqwgorkQ1douNRFKjdDIMK+4DkJBACIOQxyIijz8uRGA&#10;yCjMIN8nhVLlQEYijACEzkTeI5K6yb86EAWLb/H45nfDknPC5AbBwgijRICI7p37BFe/P4RrPzA+&#10;nPsCDy4TMHQnDy8TMhe/wJWPduNsax3hUYpLlcV8cEtwW3aT29JOteHBXsaW9wfx2wdb8d/Hd+K3&#10;w1vw+MAA7jO+PGytwe/Syj7Qjvs11XiQXYD7+Xbcr6IraenH493v4xHjy3+fGGKE+ZY/sxX3JL50&#10;9ODetm24u2Mr7vT04EZNHW5VVuJakY3xxYIrxYVUEc5XleNSQ43qiL1EuFzq6sBQRycutnXhVEUj&#10;fiysxcmSZgxVdOBEQQ2+SDThS7qOr2Oz8emCRByTtU3pOo6ELcIHkctxZMZKvB+xmACZo1rV9wTN&#10;xA7/6Rj0Ckc/HcigRxQhEsX4EopOAqSL4OggOLoCotAZFoOu6LnomrUAbTPmoHX6LHREz0JnzCy0&#10;Rk5HfchU1ARMQaVfCMq8g1BMgNgme8IsQ7l0IdI8livT9QkPAUgOY0uOI+HiTFfi5oY8Og6znz/y&#10;AgKRGxwMU0gIsoPpPEKn0H3QZUQTHLOpBdHIfuI+oniMQNbCKUibHahqH7HhnlhLgCz0dUSkA6PL&#10;+HcRPmEMIulAohzpPAiSCErcyDQCRUngQmcSzSgzU+BB9zGL8JjtQ3m7YB6P833cMM/PA7OpCA8X&#10;eE0Yi3deeRnPEwLP/e+/KJi8xAf8ZYJFuRFKHmxxEX+Gw58h8rSewEM5EIkxBAcBJcen+z9G4ovm&#10;RGS+zB/uRLaMeFVgIs7o5Vfw+muvYvQ7b8DHYzIWz58GmS8jBVUNIIuRLoszEyLafJnVyGacMcqI&#10;jPSGUCZKLQWQvQEW4wa6EKmHSJQhROwpajNr2fRaICIdq384Ea0uou0WZ9RGaKRHRK2ROgyR4Sgj&#10;dRGldq1PRGbiavAYltwT0PA93YRCd4M4EMaXYfehJOAQSZOZ1EeaCjDYasdWxqNnRuof4j4e/ws8&#10;/gQQiTYjACEs7p75GDd+/AB3T3/C66/x4Kq8Thhd/Rr3L36Jyx/uwjkC5GpdFa43VTO+1DB6NOPu&#10;9g46hk482teHR+8N4PfDBMixHfj9/c34dWcPHrTK6uzleNypzdC9W1eN+9YCPCguxqO6FvzaOoDf&#10;ZPTly2/x39+cwO+ffqdm3N4oYzyqb8SddtlUqh63a2txs7wKd4rofExGXNRl4XJ2jqqDnK+vpNuo&#10;UfFqqKkOQ93tuNDThbMNzfjaXIQvjUU4V9uFKy2D+NlWgy/T8vDp+gx8ujwZny5JxmcrknF03lq8&#10;z9giCwUdm7UWhyOXDQNkNvZIjAmeha0BM9DvE4k+z0gMek9Hj/c0dPpNQ3doDDpCo9EzbQ76Zi1E&#10;z/zF6JizAM3Rs9FKKYBMj1HbUVZ5B6Dc4/9H2F+Fx3WlWxtoLs9uSCcddJgZzCiDLEbLkiyLJUuy&#10;LWZmZibLMlMSh5nZ4diJA2Zmdhzq7P/cjDPGnFWykr//51yMZ61atarKnb3XqzG++c05p6Fl/DQ0&#10;jp2COrqP6vvHofLuxwkRRhQCpOx+wuLhcXaW7SN0IY+PRzmjS+lYXpukKfrTCY+ZKCc0ytxcUeLu&#10;inIfD5TP80NpcACKF/ijOJyKJEAifVASTYDQgeSFyH1MQ7LHJCxmfFnkOgmhUx6l87gLrvfdQRdy&#10;F93IvYw0jC2CiIEHz+lGvB9/hM7kEfg8+jD8eB4w/lHMY4yZT4AEER7zJuv8MUJEIkimjkfo9Il0&#10;JBMx59GHcP8tN+N6Pfz/8zdc/U+C5Crth6sHWG7kOgKFD7ejPmKjzWVHoqMgMro/ZAQghIe2xTQx&#10;ZmS0RedyHKMAwt+QVBMZgQil37Xv30hXciNuvekG3McINnPaWLP3jHUgYciisgkQRRkLEMaYPMIj&#10;n/DQ2qoFi+lAFpsRGdVFKkrkQhRlNDLjgEg9IdIoiGjDa0FExdXLkcZuOakJeLYmMgIQZ5yhbGHV&#10;yq6wTghQOjevGUO0iJCGclf1l9NZVJqekI0CiGogBjSqpyi+8DN0OmsZnTYsq2eEIUB+OinnQXgY&#10;WGwzuigd5/nxrTwyvvD9c4SMiTByGPs/w8kfP8TpHR/i4kFChVHnnIk//J6jX+OsAPLOs9jLh/QA&#10;o8NhRpcTm4Zx4pmVOPX8Kpx7gRHmlbW49NYT+I3g+M8rdCIEyk+bCZZhTdvvwMW1y3FhA4Ey3Ifz&#10;zVU4U16O083dOLP6SZx75S1c+vBz/PrFd4TIDpx76iUcbu3Aya4unGluxonKShxtIjjau3GqoRlH&#10;CguxPysLB3LzsK+qwhRPD/V1YV9/F3YtY8waHsSelUPYRki9n1mALTkVZqatmW1b24XvqjvxeVYF&#10;PojPxgdx2YRJHt5duASve4bjVbcwvOYZgZfpRl6YGWQax7S2x/Ozg/AsQfKEix/WERzrpnph3Uxf&#10;rCc0Ns0Pxxr/EKzxC8aG4AisCYnA8LwFBIgcyDwMunmjz4XOg46j1dQ9JqOZaiQ8agQPgqPqvnGo&#10;vm8CKu4bj4oHCIyHx5sFgyxAJqBs7CSUjJuAkilTUDrTBSVzZpvRljJvd5T7e6Iq2BdVCwNRERGI&#10;0khCJIoOJIrxhfAoifZCYbgbsoOs+1jqMZkA0QjMZMyf+AjcHrwLc++3DsQAxBFjPNULwhjj/fjD&#10;8Hn8Ufg89ih8CRH/xx5B4DhGF7qQ4EmPIsSAg0cqeKrOH+f54wibNh7hhEgIY4372Efx2B23Ywwf&#10;btuRartUFWv0EDsLrYLK9XQP1xAMTng45YTHaICY1nWjvwLE9oc4h3cFCeeq7wLINdc4hnMd7zu7&#10;VG+64RrcfvP1eOi+2+DlNtnsM6PekEw6kCxTUI2kCyFAsv8MEONAzEJEWtHMqrJETsQO79omswzT&#10;qdrakE2Q5BiQyI0IHHIkzmjjLKraeTICyGh42FEZCxECQI7DIXtdw7+1BAjdx7JKuo9qU+fQdP0R&#10;gJj76UQEIbqUVZ0lWE0HtGm4AVdcOvkVLp38Gj+f2oafT36LSye+JUS+MbpkIPIVLhAg54/bUZqL&#10;iip7PsPpHz/G+T2f4KfDGqX5EmcJj/MEyU9Hv8KZvVtw8PUnsV9/6VsbTfHyGN3HsSeX48RTQzj1&#10;xCDOPbsCv75J1/H8alzcNISf+N5Pm5bj0pp+/LS6B5c2rcJPT2/CeUaac23VOFtSRoD04vzTL+Hc&#10;y2/j9FOv4MIbHzDC8Lc3bMapAX7nckKqvhEnGxpxvLcfh7v7cKSFEaqyDAfLinGoqBD7Skt5nbFm&#10;eAD7qN3L+rCrrxc/9nXji5pabNEq6+XN2N06RPfRg28r26k2bMksw3uLsvE+AfJedAbeDlmCN33j&#10;8Ip7JF4SQAiTlzwIkbnBeEb9H3Pm4zm3EDw9dz42uPhinYsPNswlUPzD8FRINNb4BGNY8cUjCCuo&#10;ZTwfmOOLvpke6Jg40xZOHyI4qPoHJ6DugXGopWruH0t4jEUlVXX/BFQ+MAHlDzoA8ug4lDw2DsVj&#10;x6Nk/CQUT5qCoul2G8rCuYoshEeAFyqCfVDJuFIV6Y/KKH+URfuhLMYXpdF0H1GMNRFuyAvVeh/T&#10;CY9JWOpOB+Jut6sMmvAI3NU8xqjh8cA9jDD30WU8QFg49PiD8B37MHwJEL/HH0MAFTjuMcyTAxn/&#10;MIIJoAV0HaFTHzUKkQMRUAiWUB7Dpo6lxmM+IeLFSDOZv3PXmBtwvR56QcBIhVZtIGXdiKTZv1q2&#10;UJAYDZHREkScsBit0QAxozOm/nEZJE4XokKuvW6lWKPekJsJkTtvvRFjH7kH8/zmIGXxQtgOVdsX&#10;kpMRjfysWBTlLEKJAyJyHyONZQYgi+lC1KWqeTNqeb88+U4zeAWSyxApdKjAxBhNwlOM0eS7lYMC&#10;iF3i8M8AkeOwjWYj0nW6DQHEaJjxhEfrPhrMiIvmyGiURsO6ii/rBCuCaxV/V6+v+PnUVvxyehv1&#10;LbUdv5zabkDy88lv8DOdyCVHhFHM+Ukxhu7j7I4tOLtzCy7u/5wA0XAvHYoBDe/l+end72P/qxv4&#10;F54AaW/Gwc4WHOppw8HuZhztacaZYdsD8p9X1uPXZwmKzcP4SfNe6FJ+3ric0BjExScJlmc34ewT&#10;wzjd1YCzrS04v4L3v/Yefnn7E5zd9DLObX4RF555Duf6CZ7hVTi7Zg2OdXfj3OAAzgwN43BnN452&#10;tOIYIXaosQYHqsuwt7oCR4Z6cWj1MuxbMYj9K5dj79AgdhAiWxua8HlJHb6uascPzcvwfUMfvipt&#10;whZFmNQifLykAB8k5eIdguT1sKV4zY8xhnptfhJeC1+M1xYm4qXgGDznH45n/MKx2WchnvBcgI3u&#10;wVjvxrjiGYynAiMJkXAMz/LF0BR3DE1yR984V3Q9PhOdj7ug89HpZui26d7xVoRELWFRzahSS3jU&#10;PcTXVOWDdCA8Vj3EiPIQAfLYRJSNm4jiCRNROHESiug8BI+CWbOQz+hS5OWBUn9vlAf5omIBFeFL&#10;ePBIaJTTdZTHeBMiXigmPPJDZyJnnoZupxl4JNOBLPWcirg5k4wDUVzxeIhR5SHCg+7DlwDxJTz8&#10;CA//cQ8jYCwji8ToEjiWUWU8RfcRRIDo8yGTCQuHA9G54OF0JgLIQqNxWDB9AgJ5nPno/bj35htx&#10;nXEZAoSOGpURAGykEEw0cuOEyGg3onOnrAshMCi7TuplkBiAGF3jeK3vJkTodK4jKNSRauHB93Ru&#10;iq6qjVyDW268DnfddhOmMaZFhfsxyggijDLpmmwXTRcSi0ICREsgah3VUjPRbjREnG3uS+hClhqA&#10;1Fak/gkimnxni6t5pjaixrM+xzIA2mB7iK5Ak/BWac1UB0DMsC7lBIiOpiZi4OJ4bVyI7rcQca6L&#10;amILpdcb6D7UJ7JWv0F4reouM41nV1h4fGMA8uuZ7fjVQEQAoSM5sZVitBFACI+LBz/DmR0f4eQ3&#10;7+HsDx/j4gFeO+IAx0nGHdVN6ERO7nwXO19cxb/qLdinkY+OFhxubMCBqkrjBk52NeEiIfHr0yvx&#10;n+fXMMZsNP0gvz6zhuBQkZUQ2ax9ctfjwnpGmc5mXOzpwi8vv4yf3/6QUHkN51Y/j5/Wbsa57gGc&#10;bW7H+QG6GzmQ7i4zge50LSNMUwuOtjbgcEsd9jZWY39LLfZ2ECYr+nB05SAODvZj7/Ay7KR2ESLf&#10;t3fh24ZObK3rwjf1vdhe140teZV4N7OQxzJsySrGO0tz8GZSFl6LSsGroYvxRngKXl+UgVeTM/HK&#10;kjS8mLAUz8Uk4unweDwREoMNgRHYEBCO9XQeG+YRKqExWOsVjIEpbujXzvrq93hwGlrvnYjme7RN&#10;g511qzU/Gu8dh/p7xqLm7scJkMdRT2A0PDoJtY9MRPXDhIeKqTyWPUKAaMLcZK2mPh0lLjNQzNhS&#10;PHs2Cl1dUejuhiIfL5QEeKN0nhfKQj1REemFSsKjIorwiPKiPBll3FEYNhu586ebtvU0r2lI8Zhq&#10;Fk1O9p6BeO15O1HR5GHGlocMPNQT4v/4A4TFg5hHeARJdCDzGGOMCJKg8Y8QIITHhIesJj5MWFiQ&#10;OMERygizQOCYzhgzbSwiqKiZExAxayLmu0zAbH7nfbfejOtU9BQg/nU1/kUJJGpD13wavWfev9rW&#10;OkxtxFEjcULFKbOv7l/ciNN56Ny6Eo3OyGkIIhYcZg9eE2nsURBRpFKcuuXG6/HAPbfBfc5ExMf4&#10;0YkEmeFd2+Zup/ybdVQJkGLGF82RKSU8JEHECRDBw6naihTUV9kZvIKIM87oqPZ3LUY0IIjIiXRr&#10;h366kIEaQqQWq4d01H62tlPVCQ4rhysxECFM6ES0jaVzK0tbH7HuYyPv28j7NwwSRl10IO0lWNNX&#10;iU28hwCx8BgBCPXzKbmPrYwwjDfUzzoe+RIX9n2Kk9++iyOfv4nT33/EOPOlqZOYgisBYo50ICd/&#10;eBvfPzmI7W11OEDncZgAOdTUgP2NfE0ncKqvFZc2DuHiE0O49MwKA5BLLxIYT63E+SdX4uzmVbjw&#10;9Dqcf2otzq1jvGlvw6X2Tvy8+Rmcf+l1nH36VcabN3F+3dM41d6LU3QaZ1auwqkVwzje2YojZeU4&#10;VlCKY1VVONQscNRgb1MNnVAz41Qb9ve041BnJw7yO38kmL7p7cR3BM8PHd3Yye/b1tCOLyob8TX1&#10;aVElPi6twKeV1fiooAhvp2XhzeQMvLU4A28uSsWbCel4My0Hb2Tl4JW0DLyUnIrnEhbjqag4PLEw&#10;FhuCo7AxhFoQhaejE/BMZDxWegSid+JsdD88Fd10G10PTUHbfXa+ixZL1qS5RgKjgVLbuprGanje&#10;SGA0qIjKuFJJVZi6x3iUPjoBpeMno3TqNJTOnIkyUyydi1KCo1jw8CAY6EDULFbk747i+W4oC3M3&#10;EJHKIuhOFvLesDnID3FB7jwChPEl3Xs64UH5zMBSr+mIYYSZzwjj99hD1MPm6E8FEiBB4x5CCN8L&#10;pdMIkdMYS1BQQdJ4QUN6kBHoQXMeMulhswXmgsmPW9dBcIxo2jiETx+LGAIkmgCJ5O+GzpoCVzqZ&#10;+2+9BTcQEGajbkLgagLEORnOTMK76koChMBQoZRHCxN1oNouVDOnxuFKTBzSd1CXY4wTILrG71Nf&#10;yrUWFCa2qE5ioowDIISK9uLVcPOY66/FrTddi8cfugNBfi5YmjgP6ckhtj/ExBmtHaIhXU35v9yh&#10;Ktn2dus+nA5E0szd0U5EUUbDvM11hEljFrrb8tHXUWSXAuiuwPJeZ5SpMjv1D/eXUxWEiO1WdYJk&#10;dKQZ7UpGZCBiayUCyHrFop5qrOwox5ruKmzga9VFCBA6DurXM98ZeAgkPxMGP58gOCTC4xc6jF+O&#10;fmVqHse/fhvHvniLToQOhO7DuA66lUsqwB6jEzn8OY5/8wZ2bBzAj+10HQTIoe42HCBEdnc1Y19P&#10;C84u78WvT6zEz8+txs/Pr8avL63DT4wy558cxgXVPug8Lj3/BC48tx7nN63ExV7GkuY2nOlZhrMr&#10;6UqefQkXXn6HEeYVftdanOnX4strcHL5MtOwdrC13iygfLiyHPvrygmKehxob8I+RpmDjDSHujux&#10;j1Da09qGnX09+LG/Bzt6erCzi+ctggdhUViMz0vL8VVVDb6qq8NnVRX4sIDxJSsTb2dm4O1UwiMx&#10;EW8kJOGtlFS8kZaKV1OW0okswXOL4rEpnM4jeCE2BIXjybBoPBERi82xiXgyPBbDbv7omzjHTNPX&#10;FpWdBEnbA5PR+sAktGjWLZ1Hwz2Po5bw0LoflXc+YgBS9+B41NFxGIDQdVRIj01CxfgpKJs4FSXT&#10;ZqBk5myUzHFFiZsbSjwEj7nId3dFvua5qFXdby6KAl1RusCNMcYTlYRHWbgrihfMQkHwdMJjKrID&#10;p5pZt+m+dCG+05FC97HYczodwUQCgBFFboPOYv44RhMdxz6IYEIilO8tUI2DDkPnIbwWTMcRTGAE&#10;T7IAmTfhAQOQUAIkbMpjJqqEz6DToMuIMMeJ5vXCaeMRyWvRMycRIlMQ5ToNYXOmw40R4YFbbsIN&#10;BMG1BIGZ+i+IGBAQDJpDI2CM0uhrV5mJef/3kK8BiiBkICJHIoBYGAkipsD6bzoRLcZsYg6Bo+sG&#10;IrZeoqazMTdcwyhzA1z4vy823BeZmmiX6iioCiCZMaYekp8diwKtp6rhXUd/iNOBjAaJEyY15amo&#10;r9Q6IpkOpRuQdDLO9DBS9HeUYpAAGeqppAuxM3iH+ggVLZPYW0aYyInIkfy17V1HAYPXzNF57nAi&#10;koCyrB4ruvi9bWVY11+HjSvVX0KAGHCc/n4UQOg+BJCThIbECGNEWJzfsQUnv34HZ779ABf2av6M&#10;ogvhQcfyiwAioBwiQLa9gd1PDWMnYbGnhw90dzv2EyDft9ZhT3czTg324OLqQfzy9Cr8+uJa/Pqq&#10;7Ua9yDhzUSuzP7MJP7+4Gb88s8G0sl9sZURpase5viGc7ltOYKzEhSdfwbknXsWJrpU41tiFM3QO&#10;p3u6cayjGUea63C8tQlHmuqwr6rU9H8caOO/pUUNbe04ONSHg6uGcICx5eCqFTiyfi0O0r3s6VX/&#10;RxO+ZMz6mLD4pKgAnxNCn9VU4qPiPLyblYp3MlLwTnoy3lySgNfjovFqfDReSojB84ui8cKiGEaY&#10;WDwdG4lNEQuxLnSBgchmQuNJOo8NdCRr5i3Ecld/LJvijsHxs9H7+Ey0PzwNLQRIywNT0HL/ZLqP&#10;Cai7m9HlLgKE8Ki861FUESDV949FNSFS5XAfFXQeVeOmoHLSNJRNJTxc1ONBUMyaYzWX4HCfjRy3&#10;WcjlscCb7/nNQVGQK8oWeqCc8KiImIvyhbNQFDoNeUGTkTNvErICJhIc0mSKMUYA8ZhhABKsDZnG&#10;PUBgEBQTxhrHYcBBUITxoVnIaBJOZxHOaBI2iffIZajWwfeMA6EEkzDdp6hCxxFJYEQSHIKIOc6c&#10;jIUzJiHcZRKiCI+Y2VMRLblOxULKbfyjuFeFVULkGuMkrItQXDGAkNswwBAUHK/N0TExz9yniXl/&#10;XqBIILEQERycDkYQ4e+YeERQXG37UASPkSY0AxQHROhEbqETeeDOW+Azl/BN1LAuIwzhkccYk28A&#10;YlWQHYNCA5FYFJtGs3iUFiyiG9E8GTvhzkpAIUTK6EQq0uhI0owjsYXVyyub9XdebjTTCu8D3cVG&#10;y3pKzapmK/orTZxRtLkcaXSUagkNu7KZjua1pMIp7123rAEru6ow3F6OdYN0H3Iuq+pxxW9nCA8D&#10;EBtffjlFIGhU5iSdh2ScyNeMMF+busepbe/i3K6P8dOhL3CB7uTiKcJG0BFADn9JgHyBk9+9i/3P&#10;rMWu3nbsJDj28i//3pZa7GitwQE6hNPL++gcenBeIy7PrcIlAuTSqxvx04sbcO7p9Tj37FP46YVn&#10;8fOTG3CR8eRsVQMB0okLfatwVmpbhnODGwiijTjR2I/jlU04VV6DM9U1OFFRgaOVFaZwepgw2V/H&#10;6KItHBihDmr0ZWAAh5Ytw3FC4+ja1aaJ7NgTG3B44xrs6e/C9gY6jsoSfFKYi4/ysrGltAiflJfg&#10;/Vw6j5TFeCfZ6q3FBEjSIrxMPSdoxITj6agwbI5ciCcjwvBEVCTWR0Rg7YJwbKT7eCJyEdYFR2LY&#10;MwhDs/2wfKYPls/wQt8kV7Q+PAWNjDBN900iPCaiXgsma91TRhnBo5JORL0f1Q/QeTwwbgQe5Y9P&#10;QjndR/kULUvI6ELnUew6FwWzXZFHgOTzdb4b5T6HAJmFPG+CYp4rgeGByigvihCh+ygKmY78eZOR&#10;GziJAJmMDP9JSPGZiHQ/uhBGmTRGmCUESAzjRCihEEQXIWexYKKFhBROIEQQFJF0FdFTH+fxcb5+&#10;DOFUGK/rc/NNfHmQ0YX383oU4RFFeETN4FEORGJsiSSoIuk8IgiQSMJEDiR6No9zJiHGjRCZMwUu&#10;j9yPW/iwmvVD/kk5HIRqH05ASDae2GualOd0Gs76iIAieDjXFRlxIyMRyALEOBFTfHUM/cqhmHqL&#10;jT7O+HM93Yjmytx64/WMMvdivv9cpC4OQ44Akh6NvEyNyFgV5sQRHhreVZOZNvBWo5kUjzKpMB7l&#10;hYRJUaKBSHVZiokzznjTWK3RGdVD8tDRYmfxOhvNBro0GY/OhBpUr0hPOVbQmaxSs5im/xMMf4IH&#10;pbVV12h1Myc8JAFkiBqoxapOfge1bhmBYhxMHR3I6e/oOiQBhPGFAPmJ0LjkiC8/H5O+xk8HvsSZ&#10;7R/i9Pb3cWH/p6aoquHdi4TMT4SIaX2n+7hw8AucJmgOv/gU9vX1ERqt2N1Yj/2tDdjX2YhDdCWn&#10;Brtwjg/rxSE6kY3LcOGZlYTHRlx4fhPOP70JF59+Gj8/8ywubliPM02tOFlZi9N1jDC1PThdQ9V2&#10;41TzIM62LsfZxl6cqKrHybIKnCouxfGSEpxkfDne3IAjhJda1vfW1WJPbQ0jDF+3d2J/WxeO9C/D&#10;sdVrcHDNGhwmSA4MD+CHJq2uXoqvy4vxRWEePs3LwSfFBfiY5+8ynryxKA7vLE7Cezx/ixB5LWUJ&#10;XklLxos8fzY+hgAJx1PhYXgqMgJPxMRgXUQU1i4kSOhA1ofFYKVPCAZcvNFH99E32Y2ai+6JswgQ&#10;uo77xqPh3vGEhxYMogiUGl4TPDTfpZrgqNJw7QNjGV0mjMyuLZ1EgEyfgYrZs1FOx1FMFVB5c+ZQ&#10;s5HnSnDQfeR6zkRBwBxULPREdbQ3qqQoTwKEwAmahtwAAiRgCrKpVB8CxHuKaWHXRLoMHxckM8LE&#10;z56EsKmPGggEU4oqCwUPAkLwEEQEkBgCJGbqWERRoyGiKDOf8NFyACqSRk8fhygVS3mMNuAYT4DQ&#10;kZhzgkUgoSOJIrii+NvRcyYiZu5kxLpPQxDhMva+ezBGhU8BhNJ2EDbKXB7KFQz0wOuazp1ybjkh&#10;6bUzzjibz+xnrZNxAsTZP+KUBZG9JoBoaFkAcdZDbr/5Bkx8/H6Ezfcwu9vlKsKosUzdqVQBY0xR&#10;rvaVSSA0EggN294uB1JWSCciEShlfK/cEXEUadR4pg5WuZDGmiw01+egrUlt73Y9EfWG9LYXobs1&#10;D71t+RjoKMRQdwmG6UpWMtqsHqzCWroQaQ3hsMYBkzVa4WxIBVe+NwIQniv20NmoeLqCLmfNIK8P&#10;ETwaxtWwrRMgpnjK+KLI8vNxug7Bg87jl4OEw45P6D7ex7kfP8YlugzT/n5CALEjMJp4pwayM4w2&#10;J7/fgiMvP4sDg0PYzQd2dyOjAx9kbZ69r7EWRxkpTrc04afONvw83IefNg6bafznn3uSEHkGPz/7&#10;HC5tfhoXVq/GuZoGnCoqx+niGpxMKcWxxSV8TRdDgJxr6seZiiYc5funyqtwqqQcx4qKCJxyqoLO&#10;pNLse7urohz7GwgvRqFDbdqesgPHe5fj3FPP48Lrb+DExk3Y2dCAbwry8UNZCbZXlOBLQuNzOpCP&#10;c7PwQWa6AccbcbF4OzEBby9JwqtLE/BK6mK8zEjzPEHyNOHyTCwhQnBsjo3Hk7F0HHQegsdGRpdV&#10;AWEYoPPomeiKzsdc0PbQVLQRHO2PqN9jEhoIi/p7xxIelFYd4+sarX3K6KJuU813qXxIRdNxpmha&#10;No4AmTgFpdMYX2a6oHT2LBTPmYVCKp/nubNckD1rOrLmTEe2pwvyA+cwtniiKtYX1TE+qIwUPNxR&#10;EkqnMo8A8Z+CHP+pyPSdQnhMpgOZYtxHpp8L0ulAkj1nIMF1CiPHWBNBQgw8CI7Jl93GiAOhYgmG&#10;2GkEg0CiqEKoKM6EECJhPAoaMVrhy3GMJSzMqIuLAKL6B98TOIwbIVBmESiznQCZiij36fClg3n4&#10;zltxAx/gq/5xGQLOjalGQ8T5oDtB4nz4//qe7rff4/ysjT82Duk+e+9fZYaFJYJEENHwryCi/pBJ&#10;4x7EwhAvZKZEEBwWIjnpEYwz6g1JMBtTqcXdOT/GAELdqYKGUyqyaqi3aDFK1BJP6GiJxBo6kfqq&#10;dDoRO8Rr586oRyQfnc25hEguXUgBlnUXUkVY3ltqXMjqQUaZQQJDozUa9lXzmTpYTcSxELEiLFQ7&#10;6a7AcJsAUo5Vffqs7q2xNRATYzT6otEYQuS3k9/gl+PbcJHwuEjncXHHpzj11bs4ufU9XNzzGaFC&#10;h0K4qEfEjL6cVMPZNpw7+CXO7v8Cp+RAXnkGB5YNYW9HF3bz4T3Y3IQjbc04UF2JA2VlOFJdjXNt&#10;Lbg02I0LKwdxfsNqOhFGl5deZKx5AWc2PoHTw8M4X9+EMyUVOK2tHDKKcSK5hDBpw8mGfhwrb8bx&#10;jCIczyzAqdIqnCgowZH0bBzNysaRzCwcScvG/owc7KUzOdTchiOMQ8cH+nC8pxfH+lfizLOv4eK7&#10;H+LUE0/hR/57vqXj+L64ENtKCvB5PuNLZho+Sk8xxw9SkvF2UgLeSIjHy/GxeDExDi8nJ+IFxprN&#10;vP5EXDyejk/EM9ST0YuwgfBYS9exbkEs1s2PwAqvIPQzsvSMn4POR6aj9f5JaLl/AkEyyUCk+cFJ&#10;Zq3TOun+8ahjXFHXaZUmyt3/uIFH5aMTCY/xdlWx8ZNRolEXF8FjJoqpAoIkd+YM5LgQGtLs6cZ5&#10;FAa5oTSC0IjzR2W8HyoYX8oWuqOU8Cicx/t9JyPTexIyqHQ6DxVPU32nU9MIDw3nMsszwiQSINF8&#10;sOUgVCyNmDIWkVPpIiTCwrgJB0DieL5o2njE8yEXSCIJEDmRhaqP6B6CI5bf5VQcYaFRFy0XEEWA&#10;CCZyJTEEiAEJASIHEjt3CuIYY+IIkQieu/PfcffNN+Hqf17Fh17u4e+Oo4WIU6NBIelc0nWN4tjr&#10;6iFx9o84r/M+yRmHnBIs5H4oM5/G8b3O66YJTUXVG6/D7beOwfTJjyE+KsDAIzdDbiTSAZBExpck&#10;AkHwsLN1rcOgCJUKOo1KQqOqmBGmZKk5Oq9XK9bQkdRq3xkzSiOQZKKtIRsdTTmEiOBRiOV9xYRH&#10;AZ1ILuNMEZ1IOZ1IFUFSTTGaDNRh1WCdbUITVLTfjAMigsQaXlvVVYGhZn62vYwA4XV+RhC54rez&#10;AoijgOqog/yHruTX498wjnyF87voKrZ9gBOfv41z332Mnw/RkRAWqnmYZjN1r0rHv6Ur2YZLamXf&#10;swWH33gG+4cGsLe9A7v4132/9qJllBA8DpeV43hTIy4M9uD8sh6cGOjCqZVqINuInzc/i0tPPo3T&#10;y1fiRBejSn0jTpdW4py2cmhqMVFGNZCLg2txvrUXJwmQE2l5OFlM95GVj0NJqTiSko5DS1OwL2Ep&#10;9hMiR6pqcJiu41CvVkMbwn6C5NAA3c0r7+D8m+/j0Kq12F5ViW+K87GtOA9fFufi88JcfEJwbElN&#10;5jEdH2Sk4m1GlVcT4/FCXAxeIEReJjheSFyEzYTHpmi5jiRsjl+MjXQdawiNNUHUvAis8gvFCo95&#10;GJzhjZ4JruiSA3lwsgUIjx2PTEMLIdKgBZOlhyaiVsVSxRbVPB60dY8yOg/Bo1DrekyeiuIZM1BE&#10;cBRS+XQcOTOmIWvGVGQRIrmuBIoXI02QiqWERlwgyuMpQqQs0hulYW4oDma08SMwPMcjzXMCNZGw&#10;mIwMvxl0H1qBjPDwnuroB5mOpLl8cPkwm1jCB8IJjmgqVi6CsIghOAw8eJ44YwISGUEW8RjD17ov&#10;SvURSgCJIyDiHRJEYgiOGIIihk5DXa+xPI/l78XP4TkVLQcyZzLi3aYhgQCJc5+MUN43/ZEHTD3k&#10;KgOPv41Aw1nX7aA8UwAAsPtJREFUGF3b0AOuuHEZHhYMo1dpvzzUayFjPyN3cbUZwlWvic4lM0OY&#10;shBx3vtv2EYzO4v3pjHX4/67b4MPwZeSGEr3QYgwzggghdkJKM5NNDHGFlFtXCnn0QmPvwJEr3Ve&#10;S/ch1Wm1d/WLVKaiuSYDrZpD05BJiGShp00QyUNfWzZ6W7MJkQLGmVJChI6itwrDdBMrCZGVBII5&#10;CiKEhoWIBchqgaarHMua+dm2Yqzq5zUCR87FAMTAY1QvyO+neH6UrmLvl7jw/Sc4+eW7OLX1ffP6&#10;12NyKNvx2ykVX3+gY/mREPmeQGEMIkg05HvhwKc49v4LODA8aACyp7EJe2vrsJ8P8pEKOoW6epzq&#10;6cRZbag92IVjfZ1mEtwFTcXfuBk/rVqHU+3dOKlNtFvacKasBueq6nGhr99sJnV+cCUuDKzEOfWA&#10;5DO+ZBbiRF4RDqdk4QABcjA5DYdSUgmPTOzVPBhtoq36R08XDg32Y393L46uXI9zL72Bcy+8gl09&#10;fdhaWYZvqorxdVkBvizJx+fUZ4wvH6csxXupS/A29cbSJLzGKPNyAsERvwgvJdCBLFqEpyLj8ET4&#10;IjoPAiQuyfR8rPYNwWrvEKz0nI9h9wCsmOtHgNCBTJhjANKhkRe6jhYN3aplXXWQh+lCHp6IGnWa&#10;Ch50HdWPTEQVnUc54VFMFY6diEJnizodR56iykyCw4XgcJlmNoHK9ZiNIj93lAX7EB7+qIgOQEVs&#10;AMpi/VAW7YOyCC+ULHCjM5mJbD+5jgl0GnQgdCJaeSzTfyYyAyjfGZcB4jkdiwmQ+FmTGD/kPB63&#10;joNHQSOeAIl3IQxmjEMCYZBIKEhJvD9x5iQsIkjiCBJFm5hp/IwDIIscipcTIUDiCYl4V0KCwIjT&#10;ObVI5wIIYSLF0QkluBMiHlMR6zYF8wincXffjhu0epkg4oDGP/72d6PRdQ0BwYyyUBYgiid88J3N&#10;Z4wqGrXRKvCX4eJ0HFqn5N//l66/xgESM/zrgI2jf0TzZbQMwG1jbsC4h+5GaMBcs89udqpcSDQK&#10;suIIENVBFpliqhmFITgsPJYQGEtHjtUlyebcug8HQBzwcK7yrgl47ZqA15SNTqqrORvdLZk8UgJK&#10;Sy4hQkdCIAx1V2J5TzVWEAiSulhNE5rm1DDiaMTGjNow8gx3FGGQkWi4kwAxEcjChRGGbsP0gjgB&#10;QjHGXDr0lYkuZ79+H8fpPs58T/dxeCt+O2Hh8dupHfjt9E7eu5MA+YFxht+h6KNekIOf4eTHr+DQ&#10;ymHsIwj2NbURIE3YX1mPozX1ONHaiuP9dB1aWHmAIFnWR3isxsWNm/DTxidxYcUqnGb0OUvXcKG9&#10;C+dqmnCWnz/XO4CfVq7FBbqTM519ONHSadY/PVdVi1MFxTi8NBMH4pLpQlJwOD0DBwsLsKeyHHsa&#10;6rG/pRH7muuwp7UJuzs6sL9vAAdVo+HvfFtVTXiU4JvaEnxdXogv6EQ+L6UKcvBRGqNLchLhkUh4&#10;JFiAJC7GiwlWT8fEYROjyqYF6v1YhCci4k3vx2rPIKyaG4ChWd4YmOFBeHigf/JcC4+Hphu1PTjV&#10;DN823j8RjYRJAwGiLlOBQ5Gl+tFJqHl8MqrGTkbFuMkon6BFgaahRPBgdMmbOR3atzZrlrafnIL8&#10;uYwy3nNREuiBslAvwsMXldECiB/KowiTSE+UhnsYFTO+5AVOQ47/ZFM4zfKfSnhMQaYfYRQ4C1kB&#10;WkRZBdTpJsKkeblgyVw+tPwtgUAAiDYwoOPguQCSwLiRSNeQJM0eT03EYjqGJH4mgQCJ5X0GHtMe&#10;4+cfJ0D4Gd6rzyQKFLMJEgcwzJHXE8x1QoPgUMRRrUTuJI4wW+QxjW5kMqL4Oc/xD+Gem2/gQ0/3&#10;8XfrPi4DxELEWdNQQVQwUKPYv/75DwMMO+LikOodjprHaIBowt51BI2WFzBLDDgAogWPNLnPrlui&#10;3f/VN/IvOhPeq2UACJGbr7sOd990I6ZPeBgxC32RlUKAZNCFZMXYXhAzEqOhXBVTBRA5j6U8SnId&#10;dB8lKYTLYgMYRRfVP2yjmebNJBuANNdl0H2oPySH4MilctBD59FLJ9LLSNPXqihTQpVigHFkoKOM&#10;saYcg1rpjFIPyQo6DgFEzWgrByuxsq8MQ+35WM7Pr+opIUAqCA9bR7niN42+0HEYCSDUz+ou3fc5&#10;zm//CKcIjxNfvWuijHUfjDx0Hb8aeOywDoTu4xIjj4k1am3f/ylObnmV0WAF9vAB3dvcgX11rdhT&#10;XoeDNXU43taCE4PdOLtmAD+vHMAvq5bj3BrNZVlHiDyBi2vX4uxAP851d+N8h52Sf46guNA1QHis&#10;pkNZjfN0DafbOnGGbuJ0YyNOlpQyzuThcEIKDtF5HCzKx96yIrt8YUMj9tTwWFfJ83q6onbs6+nG&#10;zuZG4zy2lhTh28oSbKsmQCqK8CVdyBflBfi8KBcfZaXhHULkDTqR15YuwStJi+k+kvBcXCI203ls&#10;CI3AhvmR2BgUg3WBkVjjtwBrvOZjtds8rHb1x/KZ3uib7Iqe8bPQQ3i0Exit901C2wNTDEBa6USa&#10;Hp7K2CJ4EBiERpVGWRhZqh/ja/V5jJ+K8knTUDHNBRUzZ5rZtQUzpxIek5E7dzLy+Ne4wGMmSnzd&#10;UDHfG5VhPqiI8DZt6iPt6qZhzI1Hd5TzWBgyEzkadSFAsgI0XDuFkWUy3QehMo/OJEB7wMxEFqNM&#10;hjfjjOdMLHElQGbSHbjwAZejMPUN6z4MPPhgL+bDn8QHerHrBAKHr10nImnORAOKuBljCRELkChK&#10;jiOB9yby/SRXOhV+Vt8h6X4BRIrXZwURB0gUa+LoUhYxEiTyf388PxtG96NFiW7jX3sN1xqAjOhv&#10;DhfiiCYEhvo4BIsr//l3AxEBwyygbPo7dJSLuBx1LEAsRCQVTBVlBBIBRK3sNzsWG7rJLH/ocCZm&#10;LRGNzFyDmxmz7rv9Znjx356aFAqtFZKrBYdMU5kdylVxVPWQ8oLFBhw6ChoVggldSDnjiwqqIwAp&#10;Uw3Etrw3VKWhSRtW1dGFNOTQceSiSwAhPPoYXfo7CjFIB6G298FOAoQg6Zc6JfWRaHMrNZ6pe9V2&#10;tKqbdaib79HJDBEgK7qKGGHKCJBKoyvkPpwAEUx+00S6/V/gwo9bcHbbBzhNeJz7fgt+PuhwH6fp&#10;Ps7soFOhFGEIlJ9P8DOExyXGF83OvXDgM5z+7DUcWLscOzsIjuYWPrzN2M0osre8EseaG3BGfSDr&#10;B3FpdT8urlyG48upZQTJqjW4uGY1XcgwLgwO4GJPD0430IFU1OGnJgJFoyd9gzjX3I4ztQ0mDh1W&#10;30dNJU6Xl+N4VjYOER4H6spwoKEKh/n7B+k4dtfUYGddFXbV1JoW9n3dHdhOoGyrLcP2mgp8T9Bs&#10;qyrHl+XF+Jwu5LOyfGwpzMF72el4KyMVr6em4+XFKRYe0Ql4OiwWm+aFY71fCNb7LMBG3wis9QjF&#10;8Cw/DM/wxkoXH6yc5YvlPO+b6IruR13Q+RCBce9406redN8ERpjJaHlkOpoe1SJBalGfiErCQ9Py&#10;tRiyej2qCY/qKTNQMWMmymfPRsWcOShhTMnjQ5bvMQXFvi4o8plFzUFpoCfh4YfqyABU0XVUxfig&#10;OoYQidLcF4IjgoDhsWyhKwqCZiBLkYXgyBBA5EACGIGCXJDLaJMbyCOdSE7AbGTy+9M8ZzHCTOcD&#10;zQeWkUROJIFHQUQSQJIINOM4CASBYyndgRMiiQTFopl0Ki50LdMfYwR6FNGMO4KDnEciIZBEgCye&#10;M4X3TzGOJGGOhYdAo/qIrYlYLdLvuE41sSrJbRpi6Y7mTxuHsXfdYraEEDj+Tifyd7qPvxMg/zAu&#10;hGBRfYSAMcCgS9CmVdq4+yqz5gjBQIjIZRiAEBAWINaBOCHiPDc1EYcjuexECBKtWHbj9TzKkdCl&#10;mHVECBrecwuvjXvkHoSHeCBL64Vkqb09jhBRP8gilKmYapSEcqcKVFTlkeAwozPFiy1AtLcM3YcB&#10;iAqpFalorEpHU3UmWuuyGWVyrBOR8+jINwXVwS5Bwkrng90llLpY6UocrzUxz2yp2cuI01uFQS3w&#10;TBgNtORhuLuIkaac8FB7vABiIsw3Rr/Tffx2bCt+3vMZLn73MePLezj7zYf4Zd/X+P24nAdFgPx+&#10;lg7kzI90H466h6KLRmKOqpFMvSAEyJdv4OCGYdNItot/9fcwZuwqKseugkIcqijHqa4WnB1mPBmi&#10;ixjWTnUDONo/iJMDQzg3PEyorCBA+nGW8DldUolzuaW4WF6PCx29ONvRjdOMQqeraszaH0eKi3Ck&#10;qgzHa6pwlOcHCYH9TVU42FqHw9pCU1P3u9vxA19/V12J3bV12ElgfEPnob6P7XQn39XWYmtFBd1H&#10;CeFRjI8JoXezM/F6WipeS07Fq0lpeD6KkWVBHJ4KisYTPmFYPzcIa2f5U4FYNycIa1wYWSa5Y9kE&#10;VyyfNJfnc9HP8+7HZ5oV1tsfnIKW+8ab1dVN4xgB0vjwFMJjMmoID0WXMrOSulYUG4+K8ZMNPGpn&#10;zkHV3LmocJNcUTx7OvL4ABX5uKAskK/956DIfy5Kg71RFRGI2tgg1MQFUv4GIgYgUWoe0/wXN5Qs&#10;mGXiS5YiCx1H5jzChODICZ6FfA3rqrhKF5I7bzbdyBxGmdlI856Npe4z+HBPo6YSDJIedDoBupHR&#10;AFlCV+DUUrcp5iioCCLGibgo/jDC0LnIdYy4EAMQfgf/Qut1ArWIiuNnRgNE8SaJ7mMxwSEluU9H&#10;PBVBqM7iw3kzo8O/jPP4J/7GCPO3v/0Nf5cEEcHjX4oq1mmoXd2M3PA9rTui+TTWWfzbwMTZMDYy&#10;CuMEydW2eUxF1f8WaQQPCxEtyahrel9NZtfhrlvHYPb0sUiKD4Iay/Ky6ECy1VQWZxzICETydG4l&#10;iKgfRKosdjoQAkTwMMXUFJ6nEiJphEiGcSKt9RmEiOJMtnEhvYwhgog0QCfhPFpwqGNV7qPUtL6P&#10;BsiyrgosI0SG6FSW857hvlKs6C/HisFyFVEJjTOMJgTIb5qBe+gLXNr5CS5ttwA5T5D8doj3nKLb&#10;MB2rP+B3St2rpofEwMPRiarlEQ8TIITI2W/exqEnV2JnZxN21ddiX1kl9uQVYVdWHvZl5+GgGr5a&#10;6hlBCIihHpxcMYRjg8sYbYYIFgJE6mE8qajGicx8nMkpwtm8UpylizldXYcTcht1fK+FkYjO4Wh5&#10;KY4SBEeqqnCkkS6ju4nxqR67+1qwd2Uv9tHx7O5pxc6GWuzgZ78tKMDW3FxsK2J0KSE4CLfPCggP&#10;Kb+E0aUAbydn4TWC48WYJXguNB6bA6LwhNdCbJxL1zEzEGumeGHVRHesmuSJVVO8sWKSB4bGz8HQ&#10;BGriHDPbtpuxpfPRGWin02hjVGl9aDKaHpiARu1xyzhTy2PNgxNGCqflD40zq6jXTHdBzczZqJ49&#10;B9WER6UnH34vugcPVxS5zkABH5wSPtjl891QHDgXxfPoMBb4ojo6CLXx81ETH4jqWH8TXzRZTtGl&#10;MloAIXBCXGzvR8B0s2ByBt1GllxHyBwULHAjQOYQHLOQO9+VmovswDnI8CVEvGYi1XMGUj0oTw3t&#10;TiMg+CDzoU+cpegiaEwx0HCCwwkRQUFK4r0qmpq6ict4Cw26jz9JUUbA4XkiP5NALfqLkhjblvDf&#10;YOTlgiSvGYTINATxex+942Zcx1ii4VxBQwAxEOG5uk9NK7pxGVpXhHAwdRNGGULHOBGCwszuFUQY&#10;Q3SfKa5eaUdyLEgc3acS79O9ksAjOWONpvnfOsaCRNduJER0/vB9tyPIbzayUyNRYNra7byYEsUY&#10;9Xnk0o0YRyLFj0iNZepMrZILUR+IhnFLk1H3J4DIhaQzyqSjrSHDFFS7VA9pzSNI8g1IFGmcUp/I&#10;QBfdiQMian1XjDGbfffY+TVmjo15XWYBQ4AsZ5ShAyE4qN/PEBKalr93Cy7t+JgA+Qhnt76Pizs+&#10;w69H1Wj2I34WOOg8TN+I1g0xjWcOgKjx7MiXRhe1RsgPH+Dwc2uxo7MRu+urcaCsHPvzirE7Iw+7&#10;k7OxJy0HB4tKGUHqcLqnC6eXD+E44XFi2TDOrtDKZCtwsbePLqMWJ/lQnymvwGnef5KfO5mRi+NF&#10;xTjeUI2THY0ERiUOVZficFUljtJdnB7owfG1g9i7vAM/Drbgh2Vt2DHYjt2E1e7memwnvD5Ny8CX&#10;2fk8lxOpwRd55diSUYhPUguxZUke3ovLwJvhKXg5JAnP+EZhk2sQNtFpPDF7HjbOmod10/2wmuBY&#10;MWEuVk50I0B4PsUdyxlXlhEeg1Sf6h7jZqGLIOlQ/eOxGWhjXDEjLur7eJDwuH+8WRzItKjTgVQ9&#10;Phn1M2ajwd0dtR4eqCY4Kj0ZPbwJDx93lHi5UrNR4jsH5UGEhnaOI0CKdB7O+BJHgCwK4lHuw8/M&#10;ttVM2zIBhA6kLHw2CoOnM8LQxdBlZFFp/tORTpDkhriicIE78oJdkRNEFyKABLk6AMIY4+2CdIfU&#10;neqc7u8ExBJKQEl2txI8BAR71Pu8jxFFsJFjSaCrSJw9nu8r7kxyyMJnsT7DYxKVqFoHJWgk8Kj6&#10;h4Zxl3jPQLK6ZH1nYin/fUneMxFDuM0d+yDuYHS46r8ARDvbGQAYp2Hjh1zHVWbo10LH1Dx4j0ZT&#10;zLCt6iIEiNlqUyM3up/vX/0XN2KAYkDy50ijtvbbbrrRgOSm63TtGtxx8/WYMekhJMT404WoK1Wt&#10;7ZoTE28hkktgaFQmJxolOVGESgxfxxIicagoTECVhnKLCJBiAqTEAqR+BCBpBEgamrVNRINzVCaH&#10;ELEAcUKkt10AEUzkTC5DxMYahxyzfI0Ek146E7mTPsKEbuUKC49v8IcmxGl+y46PcPH7D3Fx+wc4&#10;v/1DXNr3FX47QfehyEIJIL8yupgeEAFEn+O5+j8uERzqXNW8mZ92b8HRVzZiB53AbjmC8kocLizH&#10;gewS7EspxP6UAhzMLMYxPsAnGltwnLHkePcATvUTIMtX0YWswNlly3CukzGnqQln6RxOlRTjVEom&#10;zuYW4jRdzanGOpysZWyprcAhRpiDpSU4QhdyfLALB9f0Y9eqLuxe2YndKzqxa0UXdvURJATI1wVF&#10;+Cw1F98V1WJnNaNNVTu2FdTi0yWER3wePgwnPAIT8Yp3LJ6bG44nXQiPKT54Yqo3z/0NSNbPDMCq&#10;6T5YLmhMccPK6QQItWzKXPROmIXucS7oGU8HQoh0jJuJ9sfpQh7XFg1T0USANDw0yTSLaXWxMi2M&#10;/CCdx7gpqJ02E/Vz3VDn5Yk6H0/U+Hqi0pdw8HFDqQ9jiu9clAfSScz3JDw8UUaVUOUL1WE6j/CY&#10;j9qEeSa+1MT6EiCeKA1j9ImUA/FASdhsA498xpZ8QiKbTiPNbxoyCBCBwziQkLk8n0OAyIkoxrgi&#10;k38tDUB8ZlKzCBAe+Vc/lS4kmQ+1M9Lo4Zczse7EuhDrKnik5ECcbsRGmnE8n4Algof7ZCQTSMn8&#10;7BICYqmO1GKCI8ljOhbT/STyGEOHEudGWBEcKX6zkOI/C8l0Y0v5b1xMpxRKQD1+5y24hjDQKMxf&#10;AWJcBI9aoEgbWF2reML4op3vVCNxDvsqtjjrHNcSIJLdr/fPccaI99nh2z/HGUlORPC445Ybcfst&#10;N/Bc8eYa3H/XGPh5TkVmygILEU31VzFVTkQjM4RKQXoYCtMX8JwQyb0MkEqNxBAgtU6AlBIgBiKq&#10;haSgoTLFQKRVa4holfeGrBGIWCdS4ACI04X8Oc7o3B4tRKwTETRGiU7FAOQ/jC//0cjLrk8MNC5+&#10;9xEuECKXNPJymIA5tQO/nt1J57ETv9OJaCTGrlpmdUnLHx7l5w99ZfTz4a/xy/7PcPzNp7B7oA37&#10;WhtwqLIGR4urcDi/EgcyynAgnY4hoxTHcstxpJBwqW7A8VZGma4hnOxbjpMDy3Fq2RDODA7gQn8P&#10;zvHBP5mfh9PpWXQj5TjJ7zxWXYljBYJQKQ4WFmJvbg5/pxyHupuxZ3kndhAcewmR/Wv7sG/DIHYv&#10;78Z3bQ34qqQM3xTWYld1D74r7cDWwiZ8lVGNLbF5eD80FW8HJOE1z1i85B6BZ11D8eSMALMp9qbJ&#10;FJ3HhlkBWDdnHlbPCcTQDB8MTvPAMmpomjv6CZCuCXQcBEgX4dE1YTbax85A62NT0aa9XQgQDdfW&#10;a8iW0aXqfsYWzW95fBJqCI86wqPWk+DwpnzoQPw8UOnvgYoAAiDQE9VBXqgO9UHlAh9UhHqjUuCI&#10;CjB1DxNdBBDGl5pYP1SZjlO6j4WMQFH8DkKkJIwxZT4jTJCkRZM1WW4KHccsA42C0LkEiKuJMXnz&#10;VQuRXJHlb2NMBp1Pmo+NM2meLkhxpwtwY5zhMcXdxhqnrBMRRAQQ1UhUXLUuQ8dFM8cizuUxxpXx&#10;dBsTCQ26FN6/VPGEWkpYJBNSzpiyhA5jMaUuVEnQSAmgCJAU/vtS/F2RyuMigm72Yw+YbTI1hGtd&#10;CI8a0mVEkYMQCAQObfh9HWEgB6LrV5oCrC26KrIo6gggTjk3/f5rS7uJRFfT1fz7X38CiOKM3ePG&#10;OpE7bx1jpH1lpMnj7kdcuA9y0mxnqqmFMM4UKtZkRCA/NRT5aSEoyhRA4lDOSKPWdidAnA7EQiSZ&#10;AElGgwBSkYomzditykCLgYiayyxE1OLuBEhve6GR1hSxozBWFih0JZ0CiSKN3MdoeBAqvH6Fah+/&#10;y0Uc/ALnvvsQF7Z/jJ9+3IKLO7fg14Nb8R+6j99P78LvZ3fht9M76EYYX44zvhzXyIvVT8cJEHWh&#10;HtlKF7IVvxzZRjfzFU6+9yz28aHd39ZEh1CDIyVVOFRYgQM5pdifWYojmWU4mVNOiJThaFkNjjd3&#10;4VjHII51LaMbGcTpvkEDkHP93Tjf2ohzFWU4U1yEMzUVONFQY6BxIDkTh9NzsD8rB3vzcrG/osSu&#10;PNbfir1DHdg33IkD6/txcPMK7F0zgO/7O7GtqQXba7rwQ80AtuW24vOUKnyaUIQPwtLxhn8CXvOK&#10;xaveMXjZNxrP+yzEk4wvG6f7Yv1UH6x3CcBawmPN3PlY5Tofw3QjQy6+WDbdCwOESN9UN/QQIt2T&#10;XNHFGNM5fjbhMR3Nj0xB0yMqmtJ9qOuUIGl8bBrqHp2CasaW2ikuqJvjihrGlhpfQkLOg46jys8N&#10;VYFuBIcHaoO9UBvqi9pwf1RHMK5QtdEBqIul86CqYwMZWxx1D4JD81xKFjDqhGvtDzqYha4o5uui&#10;ULqQ4NmmWJpp6iB0JKp/UIUOgOTpfQEkcBalQipdiP9cIydA0j1n0oEQIowN6hORQ0ljrFDfSKrn&#10;NCMnSIwbccBDjuVPAHFljNGyiR6EhyIRPyNp/o20VEeCY6lkoooLEgiVpXIfAoiByBykBrghjXFu&#10;CcEyjxHp/ttuMjUNOYq//8/f8D//8z/4B13JvwiGf8uBEBg3qu2cAFDzmZmte5WciEZm/maaydQT&#10;YoZsTW2DDoOvBREznDsSXUYBxEDEFmENQDQv5prrGGeuw02UgcgtY+hGxuC2G6/D/XfcDG9Gu9RE&#10;upCMWGitENVDCjRjlwApyghHcVYEY0ws44ytjxiAqDuVEkBqSqxqS5cyyiwlRJYagDQyzjQRIM01&#10;mWipc3aoXnYiXS356Haop5VOpF0QscVVRZrLscauKXIZHtaNqG/kCo28/Hp8Gy4QGGe3vU94fIqf&#10;NApD/XrkW/yH7kMAUdPYzwTHpaOMLUfpOo5p0WWeEyA6mnPqV4LllxN0KHQkpz58EftX9mJ/RxMO&#10;1NXiUE0NDldW42BROQ5mExrZ1TidX4dT+TU4UcJjcw9O9AzjeP9KnFi2AqeWr8D5FcM410uAtDTg&#10;IqPQmboKnGmoxOnGahwqpuugI9mdmYOd+fnYU854VFmGPbxnb0cD9gkiA63Yp/14nxymCxnGrpXD&#10;+LajD19XdmBbcRu25TTiy5QKbInLw3shyXhNCyV7R+PVwHi8viAJL4bE4UmfMGx0C6FCscFjAdZ5&#10;LsBq9xAsnxOEZQTIAONM/wxf9BIivYRI71RP9Ez2QCcB0jbWBS0ERROhoV6Pek3df2wGmsbNQiPh&#10;UseYUzOFzmOWK2rnEhjuhIUP3QbhUeE9G1V8MKroACr5EFcF0Z2E+aCOjqMmigCJ9kVNDCESR4jQ&#10;ddTGapFkT7M4UP78aWaBII24lC3URDqrkjBXQkJOg5AgMHLnq1jK+wUQXpMDyZtvlR/E9wMFEVdk&#10;B2iHurnI4kOa4edKUCjC0IUQHKmKMgSHVi5LU/eqjl4WIKl0EU53kkxXYaMN4w6jjG0go/ugQzHO&#10;g1AwwFCMobVPISiS6XKS+Tsp/L1kvWZ0kpboXBGG8Ejlf5uUAAKEoE2d545knsf6TMfUx+7hA301&#10;rv7blfjn/8cC5G+KMYonjCwCx03XXs+H/RoDEI3GaPatQGAKq3wtqCiuCBQjSxo64sy1jmFfp2wT&#10;mu5V7BFwCA8ju06IpH1lBJG7br0Jd908BnfddD0mPHIPIhlDc9KiGGVikE8XUkBgSCV5cSjTjNz8&#10;BMaaRQYg5Y5Gsyo6kOriZAuQUsYZ7fhfthi15YtRR4gozjRoxi6jTFNNqoWI1hDRXBmtrdqUi07j&#10;SAgUM9ybRzdiayMWJIo0NsqosKqiqrMeMthVwfcEEMUQugUtEqQ5Lz/t/ByX9n2JSwe/Igy+IzwU&#10;Wxhf1DAmUBzdZt3HiAMRPNQDouvbLEAYceRITm95BfvXDWJfbysOtjXiMJ3I4YY6HCxlZGGUOZJX&#10;w1jSgNN5DThV0ICzzf04N7QOp1dtwInV63Bi7TqcXb8eF4aHcKG7HWcaCZpaxpemKpxorsHe2gp8&#10;V12GbwmMbXQe31N76U5211Ptddjb14ydfU10HS34jm7ku2Xd2N7Xgy/rW/FJQQ0+z6rGF2kV+GRJ&#10;MT6Kz8V7YSl4IzABrwbE49XgRLwaptGXRXjSPwpP+ETiSb8YbPKLxlrvcKzwCMGQ6zwMziZA6Ej6&#10;GGu6XbzQNd0dnVPd0TF5LtoYZVrGTkPL41PRTIg0EiKNciMERxPh0kCXUj+V4JgpeLihxt0dVZ50&#10;HIIH/8pX8K9tBe15md9MlAfMQtV83hPmjSpa3opw9XZ4oirahwDxR/2iQEKEAIlUl+lMFAZP5XEG&#10;oTELpWEzjcoWziZcLrsP4zIIDic8Che4jQAkP9idEHI1ESaPAMsRROa5ITvQHZkOgKQRHOkqphIY&#10;I/CgUvnwCgCqZcidWIBIToAQFhoK5l9e50iNCqYmshAYxoEIIIST04XoXMsqCiIpPrOQyv82zvqH&#10;IJJGiKTx3+cESKK/C9wnP4xbr78O//77lbiSDsTUQQgFLSB0lYZsr1QNRKuMCSByKhrK/aeJKoLD&#10;v3ifs4NVELH1DULEvO+EiC3G6n4z8c5RG9HojBMiN0jXWpnCKuPMbWOux92MMvfeeiMeuHMMPGaN&#10;pwsJNQAx64TkqS9EjWUChoZ1BRA5kATGmERUECJ2fkyyaWs3ACE0asuXEB46lxhrTIOZtohIRXMt&#10;3YgWZ64lROrVJyKQqOU9ixDJsl2rbYo3dplE21zmBImKqupaLWOskcp5nRHmP4TCT7s+w+lvPsDZ&#10;77bQiXyBi3u/MDHk95Pf4z+MLb+fUdu6msYYXQiNX06o+cwO4ZqtH7ReCKV1VH817xMsx7bi9Oev&#10;Ye+mIewZaMd+rUfaQTXW41CF4kwN40wtjhU14nRBE9WIUzWdONO3EmeWr8HJFWtxdt0TOLduI86v&#10;XImzjB6nm+twsq6SUYefb6vHj6pnEBDblrXhy4ZybC0vxE46k12ttdjVWY8dvYQHIfItta27EVs7&#10;m/A1QfZFbS0+K6rEJ+kl+DAxHx8sysf7cbl4JyINb4YuwWvBSXglNAnPhyRgc1AcNhEgm/wo/xhs&#10;8I3CGq+FBiDL3ehAXAPRPzuAAPFHz0xvdM5wRztjTBvh0DRuBhoeo/N4dDIleBAk41zQOpnvERz1&#10;0wiOWXNR4zoX1XQeNd4ehAfdh68rKvhwVPLBKBdAaMkrg9xRHeqFygVaFNljZElCTc0XQOriA+hI&#10;fFCmSXIhs+g8CJ1wxZc5hIcLX7sYiBSGuKBg/kwDEUGjiN8jCR7FCz3MKEx+iEBii6kqpOYRJMaV&#10;0AHlMCJk+c0xIzECSCb/nZn8N2rynVMCiFyECqHJAoiJOYSBahuEhY0xhIQpvKohbBKl+ocTIHIh&#10;PBcwvKwbMecOeKTx99PozNIICgMOuqR0gi49yJUAmUuAuGIx3cn8mRPw0B234t8mxqgG4mgoIxg0&#10;mqJo4nQJ//rHlfgHIaMJeYoogoJqHc6Cqgqvchb2/n8bYPxVAocTIMaxjIYIo4xzGHcMjzcTIreP&#10;uY4AGcMYMwYTH70b4fPd6UKiUehoKjMLDJlh3ETjPgQQgaSCr1UDcU6wGxnONV2pzt4QvSZAVBOp&#10;VIOZnIiGd52RxtZFTK8I1dGYZV1ICwEiJ9KmSFM4on6tuyqgaDOrdrXCS0V0IIe3mpb1s999THBo&#10;GHcrLu3fit8ZV/449QMB4uj7ME1jgoaVEyDq/7h49CsjreT+2ynbWKZFiE5v1dKGy83ox972JuzR&#10;EoN1dThS24jjNc04Ut3CYwdOM06cLGvFscoWnGjoZJTpxZnuYVwa3oifhjfgXP8QznS14zy/4yyh&#10;cbq9way2vpvRaNsyuomeWmypKcTWmhL80F6LHZ0NRj90NeBbQmR7LyHCSLO1pRZfN1Xjq9pKAqQY&#10;HyZnm71e3ovPw7txOXg3NhtvR6XjlQVL8AIB8mxoIp4MisV63wgDjTVe4UarPMOsA3Gbj4G5geid&#10;5Ud4+KJ7phc6HABpJUAaHndBnbpM6UDqxk5F0/jphMcstBAcTTPnom42IwvhodhS5UX34euBSj8C&#10;hFGhhg9rddBcRhdXRheCJdgblSEESBgBssDDLIpcHeXNCOOLWsYYHcs1xyVEfR6z6TYYe6LczLCt&#10;hYcL3ccMOpMZKAqehSK6jiJCojiMn+F3CR7FCz1RxNeFfC0VUHmmHsJoQ6jkEyK5hFoOoZHFBzST&#10;ylIvA68JIhkOpdGVLGV80QiKYCCI6LiE0cWAQqM1jlEb1UJsK/tlgFjxc4xByV6EjeTNKMTokqYi&#10;rr8r0vnfJZ3OSMogODIYt9KpVJ6nCCL8N8YQUmpvv+Gaq0y36d//5/LkOuNA+LDbh/wa8/ofjDhX&#10;/l074f2DQLCt7WbZQwdE1IXqBI4+Z1vb/6zLRVXbIzIaIKqJGIDw9U0GItfgTkaY+++8BY/cexs8&#10;CLyU+AUoyCRAchRXnI1kiea1IGKm8lNOgFjZnpBquhALEsYaNZqpqGpGZNJslKlKdzSZWYCoT6RZ&#10;O+DVphMidCGNan8nRJrzqHz0tDDOtBZQBIggomijZjQdCZgBOpUrfmZcUbfpxV1yHYTE4e/w69Ht&#10;+A/dxx+Ex38Ij99OO9vVBQ51o0q2BV4dqJeOEzqUulINaAQXvj77w3vY9/xq7CZA9rUSIPX12FOt&#10;+TBNOFKvrR7acaxFq4v10l308qjp++2ESitB0o1zncO40Lea8BjA6bY2nOV3nHYA5ERdFQ7WVuEH&#10;QuHzhlJ8XV+MnR112M24slPRhY7jx65GfEsn8k1zNb5tqMTWOrqUujJsqynD5wX5+Cg1Cx8tzsMH&#10;Cfl4Nz6HIMnBO4TIKwuT8fyCxXiOeiooHuu9I7DaYwEVhrUEiI7D7iFY5j4f/W6MLm6+6JzriQ5X&#10;Oo85rmieMQsNkwmP8TPQOMEFLVNmo1kbYxMezdPmoMllLhrmuJnYUuVOgHgTBv6eqAn0QvU8T1Ms&#10;bVxAMAR7EiC8J0g7yXmjgq8rQjRRzh3lCwUQL9TQdUiVEQQLH/gSRpDSBVrnlCBS+7ocCGNMWfgs&#10;AoQQYbzRsG4J7ynmvSX6DMFRGu6FYsaiIrkQAURHKp/3yIkU0PXkM0Ll0A1lExxSFqNVNoGRzWsa&#10;5s2gMnmezvdUE1HxU1CQjKvgcbEKqAYcU8yQrtyHOk7VMCbXoagipTIi6TsEj6WeWmJR65MQTqZY&#10;ygjlAEga4SWAZAXPRQbdUiohksLrKXQpiQSR/9SxuOeWGwiAv+GfdCD/dADEuIpRENHSiHr/yr/9&#10;z4gLsa3svO6431kLMeuA6DN8rWujNQIQajRAnEVV40QcLkQ9IbfeeB3uue0mPHT3bZg+7kFEhfig&#10;IGMRgZFAgCi62LVCNGPXxBcBxDEKI3BUaqEhzY0RQIwsOJwgUXv7aIDIgajVXdP+mwmOZm3mXWMB&#10;0tHAOKP2d82hMRDJI0QsQPqMI8kjOHIJjjyr1lxc8RPBcf77z/DLgW/pOn40oyyKLr+fZnw5S4Cc&#10;VdOY4EE4aCKdWtnPSAQNr2vmrhyH6h6/mm7VH/CzIEJnokl1+1/byCjRhv1trdjfTNVTdB8Haptw&#10;qKXNrNNxtLUTJ7v6cLp3Gc509MPswt/SixPtgzjRsQzH2wdwvK2H0aUFRxoYexqqcay8xO40V1WG&#10;3U1V2EdQHGBUOrC8C3uH2rGrvxk76EC+a67CN9Ul+LaiCNsri/FtVRG+4flX+bn4PDMPn6TkO8CR&#10;hbeiM/F6RDpeDkumAyFAQpKwOSAOG7wisM6d8HCzWuO2ACvcQ7HMgw7EKxB9/v7o8PdAi/csNLkT&#10;HLOmoWbaVNRMnor6KTMIDQJk6hw0UPUzGF1mu6HOzcM0itV4Mbr48TXB0RDsg7r53qgL8SVAAlCn&#10;HeQC6Ur4XhWvV8z3QDldQLniSzgBEUFnEullVM6HvpSOoozvmS0b6EaqIgmcCDdChJEo0pWgYLRZ&#10;aEdlSgiRIkaYEoJG0/vLIryNAxE05Dzy+T0FdCP5Jsow4jgAksvYYODhAIjmyuTwmoZ5jfhwCyRp&#10;fF9FUCc8UlQIpTQ8axrECAyBI2ku44ubJIBMIzQED9VVZhJEs0xtxRZUpzMeMSqZ2EJwCB4GInOR&#10;Seufwf8uijBp81RMnYsU/7lYwrgTSVBNuO92AsK2q9tiqQqkjun9jigj/UvvEyD/croQxRhd531G&#10;Gr1RXCEItJiy4GKm/RM2VrY/xAkSAcQJj5FRGeNGbFeqCqo3X38Nbr/pBjxw162Y+PA9mOdJKC+N&#10;RlGWHIfcRxJKtA1ETpyjgKp1QhwQMfCwa4UIGgLGZYDY9nYnQEyEGQGIZLtVm9WxytdttQRIPQHS&#10;QIDIiVDdBEkvXYhm8Pa36qjZvDmjIEIHcvb7T3Bh91fGefx2nNA4ZeEhSPznnAWIdRt2Ip3ijMAi&#10;F2IBIul9XjOzcwkQwYTA0T65B957FjuWdWNfdxcOdnbjYBtF53GgvhkHm6lWwqSJatEGVNpJjgDp&#10;HMSZniGc7llBgKwgQFbgZMcwodJH59KMY3W1OF5ZhsPlxXxdzc/Q0QwQRCv7qT4cXN6BvYw2e+hC&#10;dtaX4/vSAnxXlIvvinPwbUkuvuH5l1lZ2LIkAx/EZ+Cd6Ay8HZOJN6My8Arh8SLB8XxwIp4NWoQn&#10;fKKxdk4oVrsEYdWMeVgpzZqPYdf5BEgQlgeEYHhBCHr5sLfwr2a9K+OKCzVtBl0IncikWWicPBMN&#10;dCF1M+byfU/Ue3ijwdsHDT6MIN5zUe0zG7WMLXWB7qglMKrneaF2vp9RdZC37f2YTzfCB7iCD3Ml&#10;H/BKQqDSQISQICwEEKmCD70WTVaR1YBloQCiWbh2GFcSPIoFkAUCiFYr80CJcR8CiCfyqTwTZbyM&#10;8xA8nADJ40NrIELnoZm6OQEa5rWjNKqPSBlyIXzY5RiWqhBqHMUs4yxUF1lMWBhwzJ1oh289GV88&#10;FFWmERouVvxuuZkMOgl9Vo4kncBK5+8JEumMeFbuRmkEiTPSCCDJAR5YyrgTTyjNfuw+xgaC4B+C&#10;xyiAyFWotiEo0G1oaFfu4yoCxLgQFUkdTkMAUZy5Ste0lcO1gshVhAa/50otCSCQqN3dSp+xM3bp&#10;QggNK3tuh3ZtUVXLHt6iWsjtN2HsA3fA3WU8FsfMpwuJdcSYJLqPeNOlWpqnGojWC3FIUUYdqYSG&#10;nQ8jcKQYcNRQToA0VlHVqoE44XEZIs08ttKRtNcQILXZ6KiTstBFkPQ05qG3mc6DLqTPAZBeAsQ4&#10;ERNnCnHFaQLk0iENvxIUfPAFj9GgEEhsZHFco3TNWQOxsUVwEVQcM3TpQLTokEZljnz2KvauX46D&#10;ywZwqJ/q7sOhti4cNuuTtuJge4tZMX03I8me+jrChLGm3ULkZOcQAUJwCCKdK3GsYzkOt3TRhTTh&#10;aH0NDlNHWxpxrKsdRwa7cHS4B0eXd+NATxP2y5G012NXdSl+KCvEDkJkR0E2vsvJxDfZWfgiNQPv&#10;xSzB2+FL8A5dxztRFiCvMr68GJKI5+cvwjP+sdjothCrpgVgeKIXhiZ4YmiyN5bP4OtZgVg2xw+D&#10;7pS3H3o93NE+ezaaprsQFi5oVGyZzDgzWc5jJuExE7V8v8Y0ijGi+Pqhyd8PdT6MIl6zKL7nQ4jQ&#10;ydT4eTLSMJ4E+hqYVM9zpwNR9+lcA5AquoYqtaY7XEglAVKpyEJwGJDoKIiY13IkhASlIdxiQkNF&#10;U9U9itQrws+X0qmU0IUUh3ujiCqI8EFhuA+KwngM9URBiDsKgik+sEZyIoKGHAgf8jyBgwDMJQBz&#10;qHQ5EBU7NVKi4VcDEcURNYWps5QRRg1mBhpTCRDFFC3mPJ2fmUGAzCCEZo7UVeRGUlX/MA7EOeIi&#10;x2EBonMpwwEVDecmB7gbgCTwN/2nPIL7br7edJ9qSr8zktjRFdvXcXk0xdFtSgeiFncz6kKZz/Ka&#10;WQrATNPndR41Ge8qAxA7UjPiQCgbY+yyh2aZQ4eupwOxe+syzmiynbbFvHWMqYPMmPAQIhlV89Nj&#10;UJSttvYEA4/C7Bg6ErkQQqTAzokxbqQo0UQXp+swzsNAhEfHDF0VURsEEdU/nPBghHE6kFa+bqcD&#10;adcQby2BokgjiBAg3QSI6RNRG7yKq6bASpioHZ6x5ooLe7/Cfxhb/nPmR4JB81wIAuqPczsIEL7+&#10;E1B+dEBFjsMWUDWMq6KqAKLPm4KrAOMAyPFtb+Hws+voDJbjyLJlONI7gMMdfNA7e3CkqwuHOtux&#10;r0UAqcDeukocbKjHEULkaBPdCHWkpYdRpx9HCJGjPWtxkJFmf2MbXYzmwFDNTYQR41An1d2Egz2N&#10;2NtRg93N/L6mSvzI2PJ9SSF2Fhfie7qObanp2Jqaic+XZOK96KV4K2wJ3l2YhnciM/EWAfLawhS8&#10;RAfyHKPLU54R2DArGCsn+2D5eHcsm+iOoWneGJ7pj+Wz/DAwwxM9093RM8MN3dPd0DnNDe3T3NHK&#10;ay0zPNA8wx1NLq5omEU4MNaUu0xC6aypqHRjlKH7aPTzJUDoOAiPak/eQzdigOKtuS8EBUFSxb+k&#10;KqRW8C+rAFK5QPCQu6AjEUQcAKlQdAmhwwhhxHG4kEoN9fI9AaQodA4KQ2YTCASI4BFm40qJdqaL&#10;9kZZlDfPGWMifVAc5Y+iCH8ULmAeD6bz4EOZzwe0wEggYcSZx2uERh4f1nxeyyM4cumesvngqk8k&#10;XZPvFEEYR2wzmEZReKQW02kkER6a57JEozUOkDiHgA1ECJA0vxmUah+8JvdBWKVRGr5NFljkdgjW&#10;9CDBhFGG/9YMPnwazlVj2WJCJ5G/t3D2OEy452ZTFP3nP//lmNr/D4cD+Sedxz8JjisJi6sMGLS6&#10;2LUOqDi7SnWuxYqu4n36Ht1jrpuYQ3jwfbt2qo0vpg5C9+GUM84ovjgBch0BYiBy/XW44+YxeOiu&#10;2zDhkXsRROhmJ0eYjlTNiynMiUFBVhQdiVrcNZTrAAhdSEVRgqOIqtEYxhe5EQMRjcAIILb+oTVT&#10;LUAyHQBhhJGcMYbnrYSHANJWp5EZOhIt0kyAOBvO1GxmRJgYkFBX/HJE82AEEEJCwJDD4NEJEAFB&#10;+uOcrgkgzkhjax+mNiLHYQBih3zNfBm6GQHkzA8f4MRrT+PYmpU4OrgMR3sHCY4BuoYBHO/px2FC&#10;ZH9bM/Y3N5htLw9Sh+gwDtW3Ue0ESgf2NzD2NPOzHWvpWlZgT10H9tTw/lq6jNo67Kupwn7CR5/f&#10;r82r2uuws7UWO5tq8GNFGX7Iycf2tGx8uTQdXyXzmJyDjxLkOpbinfBkvBfO8/AMvMXja6FL8WIg&#10;3Yd3JJ6YG4oNMxlZJnth+SQPrJjhi9WufD1nHgZdfNE3wxu9M33QO9sX3bN80TnTFx2z/dDhFoAO&#10;90C0uvmh2c0LDWoQmz0dxTPGoYAqdZ1OWLih3t+b8qLcjWr9CAdvV5QTJhU+rqj0Y0zhQ1rBeFBO&#10;gFSGEDZ0CNV8yCsVTwQOh1T7KA2ei7JQwocRpDKC90X58uhliqoaus0PmjkCEA3XqlgqcAggJQRS&#10;EcEkgJRECyB+DoDwr+EIQHgUMAiLwnmMNUGEi+Bh5EH34YEsvqdmM9VCVMNIkfMQPNSdqroI48kS&#10;AYQOJEk9IOr/YKRJJkRSTO+HFnQmOPxdKIIkQDBhpCEwDEAED0UjFWoZpTLphgQP1UAy6ZSkNL5O&#10;YdRZwnuS+Hux7pMw89G7GBmuxj8YQ5wAMRPn+FoQuYYR5Fp1kSqeSHIklObKqF6hYdqrTUwhcAxs&#10;7HU1ll1jGsgkC47R8Bj9+jJA+Dl9ViJAtKPdrWNuxP2338oYcxc8Z05kjAlCQWaMgUXRCEAIFDNP&#10;xhFlNLV/1Mxc40QEkBI6EUesMfUP7WgnOQDinO5v+kJ0lBwQETw61K1qiqmOblXGF9uxWkh4UISK&#10;HaHRKMxRLZK8lQ88QaCoYmCxw0jgcDoQOY8/zgkSl2sfzmhj4HGasFHT2Zmd/B5C5OT3/F4CZu/n&#10;OPvBqzi+iS5k2XICZBmO9TKa9C7HyT4BpZcQ6cQROhE5iYNN9Tjc2Ex4tBIkLXQjBAkhcqCuh3AZ&#10;ZMQZxJ7aduyqrMfuihrsKqvEjqJS7C4tx76qOuytbcSuugb8UF2HHyqpkmr8kFuBbzNK8GVqIb5M&#10;K8LnKQX4YFEm3o5OxdtRaXg3Mh1vh6Xi9flL8HJAAp73icFmRpeNs4KwdpovVtB5rJjiibVzgrDB&#10;Kwwr54ag38UffXQifa6B6HMPQreHNB9dXsHo9AlGu+98tPoEosnLF/WefPDdZ6Fk9iQUzCJAmMvr&#10;+MC1hPqjNSwQLWH+aArxQQ0fvHLm/XKf2aj0p9sgPDQKYzSf3xHqg2rNfYn0s3AgRFQDMXUQE1cI&#10;BKoiXKMzfnQpPnQi7ihWsxjhod6PYvWJ8F7b98G4I/dBFdPJFPJ1kaJMpC/PGWUWeDG+eCGff+UL&#10;+IAqvhjnwX+PdSIeBh65vJY33xO5VDav5VBZdAemCKqiqI9qGjORwYc61Y+OxFuFVcYYdaCqvZ3H&#10;ZLeJSOaDniInon4SLacYyBgzj5/j8TJAZvM76EL43WmKOARrJv9tWXReWXRgGcEE13zex88t5fcs&#10;JoziPSfDY+L9uH3MtXQgWifEAsS4EAGEULAAoetwzLzVRLvrqRsZX8wyhZrST1ditsk0joVwUVGU&#10;sBFA/tsEu9EQUZy5PCJDcPCzZr9dOR4VU2+4DvfcchMevfcOuEx8mDGGcM5gjDHwiGSEIUBybYxx&#10;RhkBZDQ8zLkKqqa9XV2pS018ETyaKgkNR4RRH0gzI4s5OkFSS4BQbY41VZ0zeLV15uWWd8aZZgHE&#10;gkSjM1doGr6RNtM20uJCiizO2sd2Aw05D6f7cF6zozEWHupU/V1zZQgRu9ThDwQIQXNoK85/+S5O&#10;PP8Ujq1chaP9hMfAME4vW0Etx/H+PkKEcaXXCZF2xhaeN3UwnrTiqAqt9Y3YX9tCJ9JFgPTw2Ind&#10;1U3YWUaHUVyOH/KLsaOwArtK6rCjuBbfFVThG0JjW24Vvi2ow3fFjTzW4+usKnyZWYnP08uxZWkR&#10;PkjMw3vx2XgvljAJT8MrgYl43isGz3lG42m3cOM+Vk/xogPxwJrpvgTIfDqQEAwRLP0uAaYDdcAj&#10;BH3eoej2DUGXXwg6/YLR5jsPLX4BaPL1Y1TxQa23JyMKnYTnTMaSmagPdkMr/8J3RAdTITwPQsMC&#10;X1T4M4LQvlbQflfxL341H9hqgSOIn9diQaG+qNKKY4wXNXQJgoSGcFUsVdHUDuMSQnQganOvpLtQ&#10;7aNgvva9nQVN6zdLG1IafSlVxOF95fwOORBFmiJTTPUiYPg6TEcqVDUQAcTVOJF8wqGAf+UNUBhn&#10;cgmY/FAv5BE2Ofz3ZhMqciCmyUzig696hhZrlrtQl6kmzpnlDjWdf84ELDUrmGlDq2kjAMkkOLKC&#10;ZiFrHj8fOIcAckh9IJTOM+dRQRTBkRGkZjJChf9b04PofOhglvD3FnlNRsC0h/HAbTcSGAKIhYcp&#10;po5yINdcZcEgGYBc7ZgUxwfcWTA1DuQv8UYA+b9qIH8BiPO1ooym/Dun/Zt5M4SIpv3fcdONePju&#10;2zH50fsw32cWcrRWSGYUQRJO9xHNOKNCqgWIZB2IHc618LASPGpKFhMgSxhhNLkuzQJEIHECRBtS&#10;GVl4GIBoPVVGFydAnBCxM3idAHFCpIgQKcIVv57axoferkimPWF+prMwM2xHdZjKbQgYztEYyYzU&#10;mMLpZRmQOGDyC2ORWt/V0Xruu49w4o3ncWLDOhwfXoETyzXPZRhnVgzzuAzHB3pxrK8LR7oJjo4e&#10;HGvn67YeHG1VraMW+2qrcKCekYXg2N/QS5fSR6fRhu8Jj+0FhfihsBg/FjGqFJbhu/xSfJNXiq9z&#10;y/FVQSW+KqrG16W12FpCgBQ24OuCRnyZV4/Ps6vxCUHy4ZICvLcoB29FpOOleQSITxxe8Ik3ENk0&#10;JwRrZ/phDeOKVhtb6RKIwRkBhIfa19UDMh99nsHo8bHgaPcjOHzpJvwYXfz90agiqR8B4ueNugAf&#10;NM73Q0u4P9qiA9AWE8hjENqigtG0MAj1oXQM8xx9H/yLLoDU0J5X8+GsMiMw3qgMJiwW+KNK637Q&#10;hQgi1VECiGodnqY7VY1kiiy2zZ1uYgHdB+OLaiBOgOhYQrBo+FYLLlfE+KKUsCmmkykMI0QWUKEE&#10;CSFSHKajAOJKEBEggghVyL/6kkZm8lVk5b15wRYmciRZBIfWDNHRjtgQBjwKDks8pxiAmFm6sy/D&#10;Q9eSnQAJkGMhRLRmiZYd4G9mBjqgQYBlElBZdB+6nsV/V+b8OUifx9/UDGM6rQw6rlQCaClBlOg1&#10;CcEzHsVjd91qYGH2wtWIihnGtRPrzAQ5uRAeFV3kPpwA0QN+NSFxpWO05d+Cje5z1EJG3MmV1oWM&#10;BoizgOqEiVPOyXlOCGm27m0azr3zVoxjjPGZMxnpSQsIjyhCJJLAcMaXPzsQO5RLiDhUTRl4lAog&#10;SY45MXQhWieEcaapKs3EFYFDs3R1VC2kxfG6VW3uGompzzF9ISbKqCdkJMaMgogA8ttpweFbugu6&#10;DA3bnqPLICxU31BzmNlx/+hX5mgbxjTnhS6EkLCwEDhs1LHDv/a1RmJUYP2NELm49zOc+vBVnNy8&#10;ESfXrcWpNatxagUdyMoVOLNyJbSrvjZ8OtLTTRfSg+Oqj3T142h7O/Y31mBvPQHS2Ej3IQcyiMMt&#10;y3GQIPmRDmR7cSl2VFZjR3k1vidEvisqx/fldB1VjdhW1YCvymrxFQGyrbwJ31S08diGL4sa8Xl+&#10;HT7LrcFHqaV4JyEXr0cRICFL8CIh8iJjzDNe0dhAt7F2bhDWzJ2HFYwsg9MZWQiP/jnBGHAPRY/7&#10;fFPraPMMRKsXo4iPP5p9fdFCeLQE0oEE+KMhkCCZT6iEBhEeIYQGFTsfLTGEDQHSEhWCxoXzCZAA&#10;1IUQCvO9CA93G1sIkQo+jBWMBOV0IVowuZoAqV6o2bgUIVIV6W1qIIoqAkfpAgIkzBUVEYwykerf&#10;mMmH3IXQ4HfJfYS722IqY40BiGbvxvihLMbHAETrgRQTICUaumUsMK3ucjGh6ka10/wLqCKeF/Jo&#10;XocSJoSMFiDKozPJ54Od5atFh6YRHrbZzPSN8JjOoxxIMiGSImAQIqnuU5CmmbtqV+fnFE0yAynH&#10;gkfZdBjZ/N7LABFM5vC9OcihM8oOcSNALEQyeFRDWTo/pzrIUv5+IiNM2MyxmHTfnQYQo3tAtLCQ&#10;KaIKHnIgfN/AwyEnQFQ8/acWYP7XP4wDcY7c2H1hbE/IXwHihIg2mZJGQMLrNs44AMLvN5PsxlyP&#10;e2+7CY/dczvcpo5FUlQg8tIikZce8af6h+ChGohZF6Qo0SxxaABSmGhVlEAnkkCQJBiImCn+5SkE&#10;SAoBonVCUggOzY2xzqPZCRA6Eqm1lu6jTgChtHm3qYVQ2unOjMbYDlU1mV1hwHF2u4knf5wnQCRC&#10;ZHRkUYu64CGQXNAO/HQVPx/XSIsFiLNOYiCiWMOj6ilyKmptV53l3Jdv4+QLT+Hkpg04tX49Tq5Z&#10;g1Or1+CsVmBfvQqnhoboQnpxtIsA6e6n6ELoSA5pmLeZ8FCfSHsfDncO4Uj7EA4192FPbSt21jRh&#10;T0Mbj634vqyO8KjHj7Xt2NHYg+/qu7GtspUOpBFbCZBtVTyvaMFnRfX4tKAWn1Fbsirx7tJCvB6X&#10;hRfDluLZefF4RpPmPBZiNSPKardArHQLwNBMAmQWI4vrfPS6BaPTje5hbgBa5vqi2Y3yoLvw9kOr&#10;H+ERwOuBgWieR0AEB6MlLBjNCykCpDU6lPCg64gSQPgeXzeGzSc8AlAb7DsKICqeziE8CJJgTwLE&#10;A1Uh3qglPGqoqjBGlIU+ZsRFBdQSNYVRFiByGxquVXSZQRAwFhEoNYSE5s8IIOoBqVD80YZTsf4E&#10;iB9diIZuLTxKKUGiiFAqIaAKBRGea6p/gcAiaAgg/Isvd6K2eDmTPD7YeXz4s+kisvxmOAAy2zoS&#10;UxNRQ9k0pPpMRaqXhUgagZJBsKh/RPNb1CyWpWFiAw65Dx4JBgsRR2wJ5HfyugCiLlTBw7oQzYvh&#10;79B9aKRGU/4T+TuRdDkuD9+LMYobdCACiBzIv6lr6EAEkOsIiesIBk3ztw5EALExQw1jBiBX/n0E&#10;IHIgevgNQAgTZw/IfwPI9ddeR1gQII7rdlTG6UCuNgC55YZrcffNjDF0ITPGPohI1ZO0HSYBUjQy&#10;jGuXOTRLGxYuIkBUBxnlQEycUWFV1wmSErqQ0iVG9eVLCBGqiqpeSudhISJ4tDLWyH20EiByIO1y&#10;IHQfRk2auauiqmbt5hIcFiIOgPCBlwiN31UkldSByuMf5390AEXXBAV1pH6DnzSt//h3dCXbcfGY&#10;dqRT7CEw6Dy0Zqrchy3Kfguz2x1di1Y4O/EmY8zTT+LUpk04uX4DTqxfh9MbNuA8gSIncmJwkNBQ&#10;M1knjnV14Xgf40xvDw7x/GAX4dGjYeAhHO4ewIG2buxp6sCuxg7sbujADgLkh8omfE99V02Y1Hbi&#10;u9pufFPZjq/LGvF1OeNLJeNLRQM+K6nFJ4w2nxRSedX4IKMcryfmYnNYAtZ4h5gtGVa5BmD5LG8M&#10;z/XBcjcfDKrng26kl2rney183ezqQ3h4o8WDR286D0aXVsKjlfBoCaLLmL8AraELCZAFaCIkmuk0&#10;WiMJksj5aIyYh+YoXuPr+gXzCA9/ioBgXKlRbOFf8Wo6ELWz11AVQe6oDmUUYnypWsA4I4URIAsY&#10;XfgwF9G2F87XcoV6oJmfg2Yg038qcgKn8eGeDe2FW8uoomhTEs74ot354/ldi7RbXQAB4o9yRqLS&#10;hd6EkOopHnQiajijszFdqrYuUqB6CB1KIYFRwAc2jw+zCqxFjC+Fch8OgOQIItoWQkc97AKDCp/q&#10;MDU1DkFksoFIGmOL+j0USzICBAmN4lCEqFyG6iDZ8yVBw+FO+J2CigCSowIqYZbBe1Q8TSM8LEAY&#10;lwixRXQ7kXMnYu7j95ulDhVjzMPucCHa2f9aQkTgcMq4D0aTGwkIDdWqB+QfZo2QywCR7IZSTgfy&#10;5xjjBIl6QTT6ohZ2AcNM/+d363OjW9tvvv5a3EUX8tDtt2Dig/dgnsd0ZCxWjIlEUVbMyDCu5seU&#10;S4RIpcOFVKm1XQBhfKkpoxhhbC1Ew7qSiqqJqK9IQH1lIhoIkSbTxk5wVGeijcc2Rhh1pLbXM7o4&#10;OlKdsgDJNVtFdDshQhmAGEBQevh/UwRRvwdfG3hQf1z40cLk3I+8j67jjGM/mJPfEybfESLbceHo&#10;t0YXj2uFMs3I/cZsVPWzNqrSgss7t+AkY8zxF57GqSeeIDg24sQGOhHqHCFyjk7k1PAKAoNRhgA5&#10;2kWIEB7H+lRk7cfh3kEc7VvO18M80oEQIvvaerG7uQs7G9rpOprxY3UzfqAj+a66Ad/WNOMbQmVb&#10;VQu+qWrmkS6kuhFfMdZ8zojzaWkNPi2himrxcV4V3kotNLvL9REYXdNd0TPdjXHFHUOEx5CHL52H&#10;H3rnBKBjFp3GbDoOVwLD3YfRxRetPhYebYwt7UHz0BZMdxJCt7EgDC1Uc1go4RFEB0JHQng0RQah&#10;MXIeFYT6hYEmukiaA1NDUNQKFqqBML7UzPdglHFDOf8iV4V4oiqUsUNHwqOaMKnkA1/CByifD05e&#10;oDpDZ/Dhm84YoOHQKYwUii90NJF0NhqyJUDKtdWD9shdxPgSH2AciOBREUUXQlAIIOXhXqbQKvdx&#10;GSAavfEwADGzdQkQ1UUEj6JgvjffdqoaFyJ3IOdAR5CtqEG4ZGjeigEF3Yi/pv5PJVQIDz7kijdZ&#10;JpYwklBZBIkpxPIzWnYxW8VUAxK5EUJDtRb+Zl4Ij4SaRmHS+V4aHUsafzOVgEkO0CjMNMR7TEYU&#10;o5LXhIdwz5jroJqHwKGHXQ1fWhfkWp6POA+H+7iRzkBDtRqV0WQ8AxC6ENVAFHsMQAgBQUTdrE4H&#10;8meIWBci9yFQaGsHA5E/AeRajKE0ue6OG6/Dg7fdjHGMW+5auZ3/d8nPjDI9IaMBYiFCF+KYWFdZ&#10;QCm+0I3UmHVBbD/I5aUONS9mCRroQKTGqmS6kFRGGttIJoC0yomYPpDMUXNjLDT+Ku1w192c82eA&#10;/KYWdTWDGXg4XQnfNyCRG9lJkOzi/Va/m2UOLUwunRBICJCj2xhzvsaFQ4w7jC4XT2yla9mGXw58&#10;iXNb38WJ157Dyac24RShIQcind24Eeeos2vXmUWEjg8IFv0UIw0BcoznR8zrZTwXRIZ4vpxQGcaB&#10;zgHsbevB7ha6kSZGl4ZmbK+twTe1dfi2rhHf1DXz2EIRJrUt+Kq6CZ9XNuBTQuSz8loDkY/yK/B2&#10;RiGeiVuCQW9Gj2mz0DTZBW3T5qBnjif6CZE+AqNrlg/aqVaet7oTGF6UL+Xvj7Z5gegMno/O0GC0&#10;LwhB+8IFaA8PQ2uERCcSqfgSjNaYELTEhqA5JpQxhu4jjAAJ9UO9VhpjfKlhfKmZx7jCB8i5EpkA&#10;YmohfGjKqQpCpGoh3UM4H/wwbxMjcgkOAw//6WZ5whzGCi2SXBrOz9BtmM2lNCrD83KtlUqAlMdb&#10;gKgOUh7hgzJCooRw0C7+5eofMfCgw+G5maW7QA1o9qi6h1YskwspCnaj81GhVQVUrSHiyvf4kMs9&#10;EBYCSC7vMQVPnmfQQWRomNZ3utk+U1HH2Ravzwg8Upaci9yMiTEaiZlNcLjxu7yQR7eWz2M+YZob&#10;6kmAuCGTEMmkI1EdxAJkpgHIIvdJiCFA/CY/gntvut6s+SH3oRhjFlfmw2+ch6N4akDCqKOHXTWQ&#10;q6+07uMfhIgAIgdjm8/4GYJGNRLNjxEwRgPEGWOsC7HFUgFJscdsOuUAiHEn115rJtfdzhhz/y22&#10;DjJj/AOIJCDz6EBsJ6qz/uEASJ5jar+Bh1UVI4txIIRIXZmWOEw1Sxyq/tFYKWDYIqrWS20iQJq1&#10;birBIWgIHk6AXIaIgJFP5Y2CiWbsZvOYhStGhmgNROQydjhgIXDwPSPFGV4/NxogOwmQHQYgVtqt&#10;7kfYxYS+wcUjW3Hu8Fc4e5jg4PEigXL+x49x6v1XcPLZJ3Fy4zocX7sGx9etwemNG3CWruSctG4D&#10;Tq9agxPDK802D0cHtF9MP45puLe/lzGm2+hIPyEzsAKHCZKDPYPY19mLPe092NXWgR+aG7C9qZ4i&#10;PBpb8W1DK76pb8PW2jZ8UdWEzyrr8WlFHT4pq8HHxZV4P7cUb6Tn4cXFaVgVshBN2odl4lTUTpxu&#10;Zs92zfZEj6s3Omd7o41qZXRp8/BDu7c/2n0pRpaO+UHoDJmPjgXzCY5gtEWEUoRI1EIqDO3RVOxC&#10;tMVR8eFo5XlzVCga6UwawvxRrz6QIMaVeZ50HwRIIEFCoMiVVPNYraPDgdj44otKOpBSvs7nQyeI&#10;2IKmG4rpGIoifVFqhmgJjChPVKr+QXCUjYgAiSNApEitI6JRHMGDUneqEUHCo5kno/4RxRpKU/tt&#10;QdXWPzTEm09AaDRG20DkEBRm4p3qFaqBOACSw/cEEI2wKMZk+LqYYmumz3QepxOCdFF0G1qLVYsd&#10;yXXIfWhNEjkZORfVQXLpynIJVimPQM0L8UAOoZbNyCUJILaRbAYWe2sLzEmIdZ9MgDxqWtpNDURD&#10;uKYTVfUPxZd/GmjIeQggii9jVN/g638JHo51UrWTnTpSnTWQkZEYAeS/uJD/BpD/Lu1sdy1uI0Du&#10;uelGPHLXbZj8yD0IZuTLTl6IwszoUQ5kkY0wmp1LCSBa3tCs1K7oYgDiWJXMrI+qhjI6DjMKk0Fo&#10;ZDpGYrTocjphIWhclsAhtdXpmIsOI8YYOpKuRoHDwqOHELnid2dPh+ogpvYheMiFON2HdSACyB90&#10;IAKHIGO7VkeLEUg1kFPfj+jnk9sZab7B+aNbcZ4QObdXG069jZOvPYsTT6zHsTWrcHTtalsL2UQH&#10;8tSTOP/EU3QjjDgEyclVq3F8eBjHh7RrnVxIO/Z21mJvVwMODXThCK8fGRzGof7l2N9DJ9LVj33d&#10;/djbQ5AwAu3o6ML3rV34rrkT2xs7CZEOfMVo8zkjzmeVjC4llfigoAzvZBXitZRsPJ+UirUR0Wh2&#10;Y+6fMAEVEyejiXGmc7YXuuZ4oYNupI3H1rkEiacfOnwZafwJj3nz0C4xunQuDEFHZChdh1Ub4SG1&#10;xxAcsREEBxUXQRcSjia+L4A0hgVYB2JqIN4EiY4+5ppm5tYE87iAMYeuo3YhwWFqH3QUVAkfniKq&#10;RO6BsaNUzWN0FOomLTNDtIRNLOOOAxZllNmhX7FFUmwhPNQ/orqHOlcNNOg8BBGdq2+klGBRvClR&#10;CzxhoEJqIR9WFU8VY7TokGbt5hIoOXzg8wkVrWSWpdm6BIrTgchFqKFMfSFmaNcAZBqy/aYz+ggg&#10;VDChYeo42iVPn3fEGGccEpAYlST9Rh6/O28BAbXQFdlh/A3+G+RATCMZAZLgORlx7lPgO8k6EAHE&#10;9IAYgKjvQyMv1NVX4gYCQQstj+HDLoDIZWgpgBGA8LNyL5on41xISJ2l11L/L4CYkRd+p3UcTojQ&#10;dVwn6dxeswC5BnePuQGP3HkbJj54N3znTELqomDkp0eiOCsWJYSI9osx8CBERiKMljjUAkNmZTKr&#10;ugoCRHvmOmQAUkl4VAkgAolqIE6IWJC012caUEgGIrVZaBF0+Nk2OpWuhix0N1KESG9zrgWIc0at&#10;9nsRGGwxdXR8cUYYuRAnPGy9RBr92hRRJcHE0ReinhDVRX46ts2stXr649dw4plNOLJuFQ6uXomj&#10;dCHHNzC+PLEJZzcTIJs349yTmxltNuHMhvU4w/dPrmRs0d4unVXY0V6J/QMtODTUZzbIPjgwjP29&#10;Q9jXswwH+vmazmU/Hcre3kHsJlB2dvZhR1svfmzuphtpI0Qa8XlFLbYUVeADuo93MgrwyuJMPB2b&#10;TIDEosOPD6kLHcjMGWid44HOOXQfrl5odyVA5nqhzZ1RxriPAMaXQLQFzDOF0w5GmO6FYegMZ2Qh&#10;SORA2iKpqAXooONoJzRapbhwtMSEWfexIIAA8edRMYaQECyo+lC5Ej8Dj9oQnjPq1GvXOUfdo3wB&#10;YcHsX8SHVg+1GsLUlq5+jkqNqhAepRriFUDifFGl5Q4JjkpGlsq4ADoTbbgdgDJ+X4mjaKo6iVY1&#10;UwOa04UIICq8mkjDaKMRGlPzUJxR56rijFyIAKLYROegh1/ngoqiiFyJpL4NjbSooCp3oqUAzCgN&#10;I4zcRz4BYQAy3ypXAOFrs0OeAYnqJBrVmYkcX557uyCbR8UlLT+QR4AIIlmh/B3+vmoiqoMkek9D&#10;rMc0+Ex8FPeMsZPqFF+cQ7m2Zd3qRj7kYwgDLfijkZE/AURrifzNAsS5BICZcftvdZZea2DxV4Bc&#10;hoijaUwQUXerah8GHJJqLf82EUYAuYsAefiOW00dZO6Ux5AQ4Yv8NAsQLaxcpoWFDEA0rd+5k78D&#10;II4i6p8AUuVY1lBT+gkCCw+JLoQa7ULaTXShGhhjtKeM4ozurUhFCyNQG+/vYMzp4j29jDJmGFe9&#10;IAYiGnolRKTf5EhGuRB7tO7EFFMd0JBrkZzw+JXnv/A9s4cM4aEtIX4/pXOBha6EILn0/cc4+/pz&#10;OLppHQ6uXYVD1GHqmCBCgJx95hmce+ZZguRpnH+SroTu5DTfPzHcR+fRgr19DTgw1Eb1YC+jzT5C&#10;Y1/fEPYzzhyQI1m2nBrGAYJlb+8yA5FdHYRISxe217diW00Tvq6qx+elVfhIAEnNwysJBEgUARIe&#10;h75gRpAATwLCHR0eXuic64MOAqRtLq+5e6PDS/ElAC2ESBPVLJAEzmOMmY+u0FDGGLqPBSFoFUjC&#10;eR4ZQgfCoxS7gO5jgS2g0knUh3pTPKqQGkxgBPnQfViA1KpxbB4dSTABI9hEBBEgaiTjAx6mFnU7&#10;nKpCp4ZkKxhTyqmqOEImhoDgNRVMK+hAKnWNqiJANHRbEUX3oRrKQsJmIT9L51LNaFMdQ9jou1Qz&#10;EYB4vZLHctOophXPqGCN0NimM43KFBJihXxgVRORe8gLsVtEaCUzQUSbU+UyemhoVoVRra/qhEcO&#10;nYgzuphhYIIij6DI005581x4ryBiY40Aks1rqpeka/Eh1ynI8NT2FIQY/11yIbkL6UQUZeiMVBNJ&#10;CZyFREakGN7vMe5h3MG/8lf/U7vyS7aRzAmQGxVb5Dz4cGtU5HKEUffq38y2EIKI4s/l1cw0CmMB&#10;IqcxAhA6FCdADET4PbZwSsdC2Tk2hIngoa0vCQ87lHsN7iTkHrz9Fjx+zx2Y9vh9iFAkTItAUWYM&#10;irMtRAxA6D7sAkOjASIXYrtQTYQx7sMBkGrNyFUviK19OOshzrqHPWaglW7EqF4LDWWisy6b0nR/&#10;upNR6qJDcfSB2DqIGarVsKuzTZ2vfxNgqN/NPXQihIOZZDciAYT38TP6nCBhHIgBCMFCeKjF3bnY&#10;kN77/fC3+PnL93D8xadxcNN6HKTDOMQoc3T9Wpx4kvHlGYLjuedw4dlncP7pp3Bh8xN0I2pAG8aJ&#10;lYM4SpAcoQ4uIzz6pEFChK5jYIgAsTpIiAgme/ssQPYw3uxknNle10KANGIrAfJlaTU+zi3BW8nZ&#10;eCU+HU+HL8HakFgMBYWiPygAvYGEhac7XYgbWiRXnrt7ooVQafakvLwJEB+0+tONMMK0SUFBaCNI&#10;WulGWkOD0bIgGM1hQWYUpkmjMFG8RjUuDEBdqGoc2q7B2yweVE1YSOoHaaAbqQ7iX/9ADePKgcwz&#10;Iza1Kp7SgWhZQxM7GCs0elJF11FFhyGnUbVIR4IiPtC4jUpdkwQQvdawraIL3UdZhGogfC8mwGxG&#10;VU3wVEVZaFQSHppPo3MVVksJjJJQTxRLYd7Q2iGquRQZJ6Siqm0yM/vJ8GG3LoRug1BQk5mGc63m&#10;2L4PHzoIxhkBwize7ICNhoBzCBVdz5EDIUxUE9Hq8dkESobXdCS5jEf8tMeR5jEDhfMtyFQ0zlkg&#10;aWjXzdRCVEhN8pmBGPdpmPPY/biZD6+zgGoWCDK1DCdA/gWtGzKGDkEgUX+GHIja37W3jBMgl6OP&#10;GsIcTWGKMTwXkMysXX6vbW8XSP5lAGJ3/XdChL95jfpIBBDCg2Bz9oLcqY5UAuTRe27H+AfvRCDd&#10;U/bShSjU3JisOLNrXbmjF0TdqKPXBbFyjMKU2xm52uLBzImpFjySKQdEqtLNYkKjASJpqcOWWkab&#10;ujR0ECBdqn002AWGtEqZKaQ28jVl9sb9zznCQQ6DMsAQPBwAETgsPPi+Ax5mSr/DdeheJ2SsBCGH&#10;GzENZTbKaKRGR+3qb/bZ3fc1Tm15C4df2IwjT2zA4XVr6UYIkvXrcGwTowwh8tMLz1HP4qfnn6Yb&#10;2YTTgohqJqtWECJDOLxskHFlgHFlAPsGeBwYNNqn14ww+wkVZ4zZoyjTxghT34KvK+vxRVkNPiks&#10;x/uZBXhjaQZejk/FMwsXY928aAz7hmDQ1w893h5odZuNhlmzKFc0EiL1c+aiztUVDe4eaPH1oVMh&#10;PILoPgiMdsLDNJAFBlgF8Tx4HhqCA1BPNREmLYw26geRwzBzXChnraMq0MtIEUaRRmCp1gplvLdO&#10;K5Qt8EfNAs2Hsf0f5QRJdTShEqe9cOeZ/XDNrnSJBMciuoxF81CVEESg8EhoqA5SreIpHYaaxmyM&#10;UZ2E8NDn6UyqowmTKP4Gpfk0khn+pcspZlxRl6pa3DVfpijcjs6YtVT5XmHwXBNn7F4ymv3LmMKj&#10;gQBBojqGIogdgaGToPuwIy42ouSpbhKk4qvWFhF8FH1UgLVuRvv1ZnhNw9KZExA76RHET3/c7JCn&#10;Aq7uyaLzyQoloEL5W7xfw7lL+FuLCaoo16mY9sDduIEPtSbQSZdn1sp5UDzeRGjcZFyIdR9m820B&#10;hOD4K0DM3jCmFvIvfocdnhWQTJ8Jv1tSi7u2ijAAGYEIY9M1/IwAot8lOLRSu+bDGIDcTIDccQse&#10;vvs2PHLPrXCbPhYpi4JRkBlnVioz++Y6p/MX2hXKrPtwAkSrktnZuGZKv4GIIgzBQUcigNj6h7pP&#10;M20jmQMiVjpPM+qoV91DRVO7VqqzI1WzcbUmyBW/nt5GCGhmrZ0k96upiViZawYggoekGbmjHMhf&#10;AKKYI4CYaw6AmB38T1mQmNZ36mee/3zie1zY9TmOv/cyjjy7EYc2rcG+dauwd/UqHFizGsc3bWCM&#10;2YyLzxMghMh5np95klFmI2OOaiaEyBFC5OAQgUGQ7KX2DfabSLOntxd7eqjuPuwlOHZ39mFnew9+&#10;aOnAttomA48tRYRHbhHeTMvBK4vT8GJ8Mp6NXIxNoXFYHbgAg15a59SVrmM2mgmMFjcvtHr60Xnw&#10;4fb0Me3qXSHB6A5bgO6FVEQYOsNC0RZCiMwnOOhgmnUMsQBpCAk0dREBpCF0HmOKXW3MLF9oiqj8&#10;y8/XkoZ1zciM1kXleS3fr6NqNZHOsSNduYZy6Rzq4uejjv/PVRsfhBqCojaRR8rUOrTBduJ8VPO6&#10;Ntq2u/X72tpGtGoldiKdWtmrdS8hY/bTlQMROHheqRikHe4iPFGykA6EUUY9IcXqP4nw4Wsfcy4H&#10;oMKplEOXIYioFyQrgKBQDKErcQIkkw/1iOMQWByjLQYgGlUJ0upnXvwuT4rfq2vzGEm0JOLMiVg0&#10;5XEsmvo4Utyn8n435PO3s+hQskL5PQt4DKH4vepKNXNhvGcgdOYkjL3rNlxDGAgAdtOoK+ka5D4I&#10;DjqBmwmPm3VUnKCj0PCuAQjvFTicANFEPMUUCxDVQwQQW9/QuYEIZQBylUSA6Dody78FEMLjzwBR&#10;/UOjMNcZgNyhhZZvvxkP33UrHrrzZkxljInRaJsWGcqKh3Mkxi5taGsgI/FFzWN/gYdVMhorVEiV&#10;LECs4xBAnHUQO3RraiBmtfZ0CxDHiu3aoFvwMC3tVK8ayTSZ7vLaHlogyEqvdV3dpL8x1vxp9q3A&#10;4WhdFyT+6kJMDeVPAKHkROg8pEvUT4SKNqk6ve09HHltMw49vRYHNqzCvlUrsW/lChxcswrHN67H&#10;qSc34cxTT+Iso8wZ9Y8QICfXr8GJtatwlBA5uGI59g8vx77lQ4QInUZfD3b1dGNnZyd2dnRhV0cP&#10;dtB5fN/cgW8b1AdSjy0afSksxbsEyBuZuXg5JQMvLE7Bc4uWYnNMItaHRWEoYB66vbzQ7eODbj9/&#10;dAcEo3f+QvSELERnMIERFob+qEj0x0ajLy4KvXGR6I4JR1fUQnRo+JagMMO54YwyjC+tjqFdjcyo&#10;pb2BsUaxpInvN0fYfpBqOo8aAkNRpZ4Rx7gNupMawqQunADRjnSMMBrCVQ9IXQxjDQFSn0CALHK4&#10;EDoOAaNSbkJA0etYug/CQNtdqs5RqTqH4ow6U9WRqtfaCpPSufpFnPUUTfVX70ipAzrlhEspwVEa&#10;4UuA+Bp4qENVQ7hq6jJHFTUJBwEkWw7EuAsbZeQiFGsKTUu8nIXAIsjIpegzFiKa3SuAFAgkge6E&#10;x2wkz5qKpGkTsHjGBKS6TSWk+D10RAUEm4kuYfwuAkQdqWpnTyPEFGHiPafDf8pYPHDzGFztmIVr&#10;hmL14NMVyG3ccu1l3axREjoKbX2ppjG5FQOQ/7GFVPN5RiD1kIx0pI4CiNmIm9AQOC7LAkRrqV5L&#10;aAggJsJQtoBKeFx/PW4VQG68DvfdehPhQYDccTPG3X87ghjbspLDUZgVaxcacjSUOSEyMiP3vwHE&#10;OZRrAHK5BiJwODXagdiRmMvSvjHaM6a7leBozbPzYZry0EtdYXblFyTUdn7StqqbVcYMSLTS+lYD&#10;khGHQmdit3VwgMEh1T+k0e5jtAMxs3O1Rgil46Xj23FRw7t7P8Wpz9/A0VefxOGn1tB9ECArhrF3&#10;eBnBMIRDhMlROZIN63CC8DixYS1FgBAix9etxmGC5iChs5+f2Tc0gD0DvdjV3YUf2trwXWsbj534&#10;ns7jm8ZWbK2n+xBAyqrwQXE53i0swVt5hXg9Jw8vZ2bjxbRMPLMkBZviE7AmMhorwiOwIiICy3kc&#10;DI/EYGQMBqNi0B8dbcAxsCgGA4lx6E+KQ19CDHoXRaM3niJMeuIiKAIlhs4kOhQd0QsonseGo0Mj&#10;MTEL0czXUlNkCOrD56FO4ODReS5wVDHKVNN5CB51EYSKFElHEhOEBsKjIUEAsfCojiMwCJJqupEq&#10;s0u/3AkdCSNKNeOKdrFThKmlOzHDugIF4VBloELXQakYK2CUxRAWsQSIJJgYpyLHIsAoBgUYgDjh&#10;oWUPzdqpIZLijO1UFUTMUgByJzxXkVQFVy3orB3yVNfICpxhXQrfz1VPi+5nJBKItGBzulY0mzUJ&#10;S10mIdV1GmHCexlxTD9KGGGz0B25Cxl3wl1HAJLK70v2m4ElPjMQTdjMHfsQbudDerXj4Tf9HwII&#10;H+ib6DZuJTRucYDkJkpDueoPEUA0dCt4/AkgciD/sg5E0vCsZABiPvf/AAi/VxC5zgEPNZSpYU0A&#10;uZUAue2G63DnjdfjXsLugdtuwYN0Io/Qhbi7PIZk/kHQ9P4irQ2SE43S/DjGGLus4cisXAdELEC0&#10;TupSHjUjd6mBh1Nm9/4aFVEtSP4MEGcXqiT3kW3gMbKrv1Zoby3AAHWFJtJpiULrMAQAiqDQdg0/&#10;n/jaARA5EutKtCu/QGPAoGULKQMQwUKjOH8Ch5XmyQgcv5zUgss8Mr78coyfPfYNfiJELuzaglOf&#10;vIKjLz+Bg08wyqwZxu7hQewaZAwZ7MP+5ctwkCA5tHoljsh5MOpIx9ar8LqG1+lchoexhzFmV38v&#10;fuzqwPbWZnzbIrVSbdja1Iwv6hrwaU0dPqqoxnslBEhJGd4uLsUbhUV4JS8fL2Tn4Jn0dDyxNBkb&#10;Fy/BhsWLsT4pCWsSErBi0SIsp4YWxWMogUqKx7Il8RikBqTFcRhIiiVQCJkkanEs+hPpThKi0LMo&#10;Al1xC9EdH4Fuvu5cFIX2+Ei0Uc0ESYMAEkEYRFrVRwQRFhpxIQgYXSoJkmo5Egc8aqIImljeS0AI&#10;HrWEhOBRoziTEMooE0KIBJtoU8fr1XzYJYGkls5EtRKBRPFELkQAMcO9BiKChEZuCBVBhke5EHPN&#10;xBney++qiAk0ANGiy4oeBQRGEcFhhngFELkQwcMhDdFqtMUM16rA6himzdFoCx94uRTFGY3EqI6i&#10;prgs/xlI9dCeuhOxdM5EZNBJ5AVotIffHWp7P/LC3JAbRtAsZBwK51F9IIwwKfO0j+50s3ziwjmT&#10;MPn+u3CDRkT+yQeZD7/a2fWwCxQ3CyB8iG/mg60Io9EXORMTR+hUNAojePztrwBhhNE95nv4efVy&#10;qG7ihIpciNOJOEdlRmIMZYuptjdE0/nlQG7Xtpc33YB7CBC5kPtvvZkawxhzD6I1ZJ4ZiaKcSBTn&#10;RhEgsSPLGkoWIKNjjAqpgom6UpeMOBAjuhBnJ6oBiIGHcx6MpDkwjs5TTedvybcbcrcVoU9qLUI/&#10;dcUf57/DH2oWU/u6s/9DUeSMIoxjrRAe5UY0K/eXU4LHf3EgDnCMBojgclnWeRiAHOdnjlFmUh4h&#10;oiaznR/hxJaXcfilTTiwebVZiHnncB92DHRjF13F7kHGk8EBxhRq+QCBMYgDK4ZwYCXdyvLlhM0g&#10;dvT34fueLnzT3oJtLY3Y2tyArxob8GVTAz7n8ZO6OnxYXYO3y8rxRnEJ3iwpxes8vlxQgBdy8/Bc&#10;DgGSmYGn0tLwREoaNqWkYmNyMtYnL8Hq5MVYsTTJKplKScLylEQsS06wWrrIAGVoaRyvx/E1YbI4&#10;Bn1J0ehOjEIXwWGOVMeiSLRTbQRKM91II11IQ1Qo6qMIkiiCI5KugSCpIkAq6USqqGr1gETRYURT&#10;I9GFwEgkQAxECIuEBXwdxtdhhEgonQajTSzBwoe9mp9RsVU7+FvYECSOwqozvphzM1JjI45qJNaV&#10;yKlIPI9U7PFHuSKMhnLpAhRX1A0raKitXbJrh1hw5Pi7mF6PHMmXIhhyAqczzswwEcbs02ugIejY&#10;79L9qR6TzHT/dM9ppt1dESh/ASMOgZFrRlvmGGBkh9ljDq9nhc5FOuGTzPiyxGc6kjymInDq43wI&#10;bzQzb6/+pyDCB1vDtya+yHlcY+Bxk6MWMobSyMwIQLQAEcEheEh2JTO5DHvP/xMgDhcyMiIjcKmu&#10;onsoJ0Ak20h2HW678QbcedONuJsAufcW6uabcN8tN+Hxe+/AfG/+90qLQHF2NEpy7HKHGoWpKBJE&#10;FhEedoFlW0S93FCm/XINQBhnGrVKu1lgSKMwFiCakWv2zCU82upzCJEcc+xo1IhLPrT+h1nKsKWI&#10;AClGP9UntZbgiv+98D3+9+IP1I/444IaxgQTjcrQlWiExjgUG3FMgZVyQuGv4LDRxRlfBJbL9146&#10;IfGa3Af1szbg5jWz052azI5+jbM7PsLRD1/AgZfWY//mFdi9dgA7hnvxw2A3vu9lFOlsxw9dVHcH&#10;vqd+6OnEj73dfN2D77q6sb2L8Ohox1ctTQRGHT5vqMNnDbXYQn1UV4MPaqrxTmUl3igpwatFdB2F&#10;hXgpPx/P5+biWbmPrGwqE09nZuKpjEw8kZ6BjampWJ+WjDXpyVglpS3FSmpF6mIDkOUEyTDPpRWp&#10;BEtqIoZT6FSS4zBIiPQKIAnR6KLr6IhnfKHaCQ6rSNNU1hRLF0KI1BEgtVF8yCkBpHIh3QNVy/O6&#10;6GA0xBEwccGEB5VAYBAedUkESRJfJy1AQyK/Jykc9TxWxYagKprOhMCpZtypEUziQxxHOhy6llpT&#10;OKW7GSUDE8KjWgCh41BTmTkaiNCBRDLSqHiqhYYIDw3fKpIUEhiFxm1oVrBgIjcx28zM1YiMukxz&#10;CY4sR9ep3EeB1iUhEMy8GgdAtJl3JmOHnEeq+2Te70Kg8L0QQobQyCUopOzQy0VTIwMRAoT/pnSC&#10;bGnALCR5TUG86yTMffQeguFK079xFR2I6SQlQKz7uJbx5do/AURDunZ9EOtUBBDtJ+OEiAEIv+uv&#10;ABkdYS4DhL/J75JjufrKP/eEOF2IhY/mwggg15th3LsNRG40TuTeW242W3R6ukxARlLoSEeqndqf&#10;YFyIc1q/BYgciHUepqHMOJClBiBancyuUOYECEWA2J3qsgiSbLQ35Bp4dJg5MHQeTQRIcyF6CRCB&#10;o7+9ZEQEiOBhJYD8QaDIkRhnIpDQjdghXjvyIkg43YUTILommfcNQGwMco7oaIWzn+g0VPfQzv2a&#10;LyN46DuMkxFkjgsiWwmRDwmR53DwxbXY99Qwdm0YxI+revHdQDsB0Yzt2s6yrRFfNdfj6+ZGOo1m&#10;Oo0WK8aVr1tb8XlTE7bU1+Pj+jp8TIh8WF+Dd6sr8VY5nUdpKV4rKcYrRYSHnEdBPp7Ly8MzOblU&#10;Dp7NJUjyc7GZxyezs7EpMx0bMtOwPjsDa7PTsSYrFSszkrEinRBJX4JVGUut+FpambaEAEkiQBLQ&#10;z1gjcHTG0XFEaVJdKDoYWTpiIxhjItFJV6J5MU0xYXQeCwiKUEKEirYgqY4gPOhIGgiDxngCYhHv&#10;o7tokBIXEBoECuFhXYigEsL36ELiQw00Khl1jBRhFGXoQKpNbcQBIGbqGlMPsTK9JE43ovNoOhCz&#10;9iqdh9wHzzUzV8O3Zvc608qurSK0bYSazNSRqhqHXXBI52YdVtU7FFM00Y8QUaOY6h9FBEERH3q7&#10;WBFBxIdfW2eme01HBiGieoipn/D78+U6CImsBbPMcG3GfBdkBM808LDuQx2ompGrNvY5WML4kuA+&#10;EQumPY5xd9zEB1prefDBp6PQMKvqGzcRGs7ah4Zvx0gEyPVXa7KcnXWrYuto9/HfHIga0VTHUHep&#10;Wts1tCvp/RGNAIQRxlEHsUO6tjPVzMa99jrcfgMjzBhFGAsQgUTnciNTHr8fsVqnNjMKJblyII62&#10;drmQQlsH+b+KqaYOYmW3uZQUZZYyxiz90+JCLRqVUYxRfCE4OhsJEG3t0JRHgOSb/WH6GV8GCJGB&#10;dokRxgLkxz8B5H8FEELDykYbZwu77f+wDsPIUTS9LL4mOEbLFmfpYLRmiIZ0BQy+Nu7Dca4JeFoC&#10;8WdNwvvhAxx+/1nsJ0SME1k3gB9X0mkMdWB7H0HR0YgvWurxBSPKF81yG41UE74gOL5oasanDY34&#10;uK4eHzKyfFBXi/foPN6uqsAb5WV4vYwAKS3BK8VFeKmEECktwovUC3z9fHEhnue15/n6WR43F+bi&#10;yfxsoycKcrCRxw15mViXS5Bkp2FdjpROsKRiTWYyVhMkK+VMGHEGFy9C76IYdAoWMXQdamkXQKIX&#10;mmsGLAkRBMhCNMfROQgiUqxEiMQQCnQQtlhKMDCS1C8iHAgPOYzGJGqxHAfBQ3CYgqlizSLdG4I6&#10;9YYwvlRTVbGMQRqVMb0ihJJqJ4kCiGDCaKRhXr5fpdEaA5LLRzWplZvYQngQJNo/RuumKkrowdci&#10;zVod3qz+znMtnai9ZySzcBHv0TaaWhU+N3CGgYrWGRE4ChdSAoju1WdVEFXhlODII0xsp6uGaelA&#10;BAlTIJ2BdEaf9HkECL8zW65koRuPc037upkDw5iU6DEZkbPGY87D9zjWALEAMb0f1A2MKLdedw1u&#10;U3QwvR+KMypo0hXQNfxbK48xfihqCBb/cGzM7VxP1bgYwsI5g9csvkwXoaYyW1x1iqAwovOgnHUQ&#10;W0zl5/mbtrX9MkCc7kO1EHWlao2Qu2++AQ/ffTP86cqyU8L+DBC5ENNM9t9GY5x7xCSjroIQETgE&#10;EE3n57ntCUmFnROjQurlafydijBmbxi79kdvi12JXdtc9rcVUgUEiIGH4oszwqjXwynHVg4O92Hk&#10;rJMYyXUQGKNkirGEhqThX+NETE+JwCLJcThHeyxYLsl9aFEi6tejPD+0FSe/fx+H3nsOh15YjwNP&#10;EiLrB7FzTR9+WM6oMtCJbxhpvu7swJftbfistQWf0Yl8zuPnLS34tLmZzqOBzqOeAKnDe7V0IDVV&#10;eKuqHG9WEiLlpXi1tBgvl9OJVJbiZerF8hK8wNeCx/NlxXiO58+UFuDpknzHsQCbi/OoXDxRmIVN&#10;+ZnYVJCNjXlZ2CCIZKVgNd3HimTGGsJjMCEOffHR6NHwbpwgQnBQXTzvovvoSqASI9CREI62RRFo&#10;ZqRpJEyaFhEMdBACiBmmJQgaDRRC6TroPBhRGpdEoIlqXMxzxRZerxdgGE8EjwYCRQXUGvWGGGgE&#10;oiZhHp0KgZTIo84TBA/7ns6dozjOzwg2GgouV1+IQ5pbIxUTIHlmGNYVZTxX56oWdtaeuxYgc6At&#10;NEvCBAsBRMskai9e7YpHt0LgaJmAYjWnhbsTSIQFIVDA9zSnxWynSQkgpoGM7iXP9HbMRNq86YSE&#10;ADILmSq00nVk8V61racxQmkRocWMLnFzJsBnwoN48NYbcAOBcY2cB4/qz1Dvh2AheEgqoMqFqIAq&#10;sFxLeFxDeGi19LvvvJO6yzz0Tvfx1yKq+kUEgRvU0v5/AUT3EBYqnvJ8pLVdTsURY0wNhJ+9iQC6&#10;9XrbiXrXLQQInYhGZO68ka/H3Ij7brsBs6c8jKX8v43WSC3NJUA0LybftrSbCXWmpd2xsJBjOLfG&#10;FFOXOubGaC2Qy0O5I0XU/zoKY4uoZrNtAsSCxC5n2EuACCQEyA4CxMpChDovcNh9YYxG3IcTILZp&#10;bLRG+kDMSI7gMercOJHRALFDxRYech6KMIw1DmmRoguHt+LM9vdx9B3GmefXY4+JM8uwa80gdqwc&#10;JEgGCZJ+bOvpwVcEyRcdbfiyo93oC0LlUwLl46ZGfNhIiNTThdRV452aCkKk7DJECI1XKkrwEmHx&#10;YhldCPVcaSGe07GcLqSsgMq3x1KCpCSPIGG8Kc7BU0U5BihP0JWsZ7RZq/pI8mIMEx7LkxZhKDHe&#10;DPMaiGj0JS4c3YwrXRqRofMQPLoWEywEQntiJFp4rZkwaSEQmug0GuJU8wgiTCwUGhlZ5Dic8Gji&#10;Z5v4WalZRzqTRkJEakgIJRxsb4ggIZdRnxSE+iV0HosJkQSNxASYImotoSHnUsvfqo4lVEYVWisY&#10;Y8pjGGEYaczcmigBhA5kobupW6gztYxxRgDRUoklhIUAomhSEk64RM4lLNzsCvCmCU0LFGkxZ8+R&#10;7yqJIkiowggNx86lNLoyl8BgfOFR8Mii28gOmomsIBdkEiJ29fU5lPOonermIIXRZanfDFP7CJsx&#10;FpPuvc04CrNY0JWKHHIWdsbtzdf+2wJEIzB8+K0LYXwhEBRvTF3jumvx4AMP4OEHH6ZTuHYEHnIk&#10;tpVdDoQAoJvQuh5aplDXR8vsUCf9/wGIjTH8d9At3aad6kY5kDsJkrvoSu4lDCc9ejeiteC1ekFU&#10;B3H2gxiA0IFQ1YSIXVjZAsSOxowGSPIIOKwuw+OvEBkBiEOCR5+Bh3brV4QZBZARiGjqvhMgOv4J&#10;IH91IX8ByF9k59Y46iHO2OPoJbksXjMjNNqY2w71CiSXDn6Ns9s/xJH3X8CeF9Zh91MrsXvjCuxc&#10;O4wdq5bjx+EhfDc4gG/7+rCtt4cw6cZW6queLnzR1Y5P2lvwcSshwqjzQWMd3idE3iVEBJK36Ube&#10;qCgjROhACBIDEUoQeaGMMaZcICE8SvMYZygdqadLCI6SbIrHIrqR/Cysz0pzACQJw4TH8OIE40IG&#10;1BsSH4meReHoJSC6qU4DD7qPJAsPA5CkSLRRrTxvJSRaksLQJGCopiGA0JHIachxNAgiDjXrXiN9&#10;LsLAxwCInxVEGhLpROgu6uk8GpfwexZr1IZAIUBUQJXqGWM0olMreMTy/TjFn2BUxQSiLNo2kplG&#10;M0ojMbYjVeAgBDSpb6H2ptFRbe6KNIQIQVASQXhEajlEgcPKnBMU2k5T3bDqNymmiqIJkEgPFBIw&#10;BQRMLp1Kjua+ECICiJRLB5JHOKkWkkN4aRFlgUTLFxoFzDI79WsKf4z7FLiPfYB/ua81jkNLFmqt&#10;U7PqOkEyhg+vah+3ExDGffAB1hwZ1UQUR9RApj4RzWEZc8MY3HTjGOM4DDxMIVYwkrMgQAgjU0Cl&#10;exg9mU6QMYVTwcIAgwBxyAJEEeZqCxAByMQY9YP8G7fy361u1DslAURDu3Qg99CVPHrPrQjyckFe&#10;WjSKswkQTawzDWVJdl0QqoZRplork5VqZq4KqU54aGaujTAWILaVXd2oTmg4wWEdiG1fl+twyrgP&#10;40C0N64ByE787wXCg/rDcfzfCzsNQC5HGAsM51Cvnd4/CiCKLqM1CioWIM4RnO9NDcRZRHUCRIVU&#10;c10F2DOUOlYJEzPce+RbnN/5CQ5/9BL2vLgRuzevxc5Nq/Dj2hX4cdUwvhdEhuhGhgiSZXQkA734&#10;qr8LX/Z24LPuVnza2YJPOlqxpa0ZHzXJjRAidZV4p7YSb1VX4PXqcrxKvUxn8iLdyPN0HoLHC5SO&#10;z9N9SC9UyJUUMs7kjkhORPWRDXQg6zIYYTTUa+CRgGWL49GXGGNdB6NJjwBCcHQnRdF5RKODAGnn&#10;w95BaHQsiULH0ii0JxMkSwkCwYEQaSQE6gkPFU+beH+TIouuCzCU7mlOWmCA02okgPA9fq4pYYF5&#10;rzGJ7mWxlY0qhEbifMKF0YhgaeC1OkYVDfea0R3+Xn18CN0I44v6PggQ0yuic8JDyyPqWGmGdHmN&#10;DkQAqdA6InqfECimi9C+u6praPOqUsJBa7BKZh9evi6l6zA74kUTIFGEB6FSJPF+1VfMxDhGFK2D&#10;qvVQNQLjdCjq+8gmRLL5fnqgC1L9GWu0RCLhkeQ9HQHTHscjt99knISGbBVftGCQdAMf6pv5sN4m&#10;eNCFCB630HncwvhiAMKHW8ARKEZHFic87BCwiqR/Bohd1tDC4b/JQMR5LpA4CqkqotpeEK1Mphm5&#10;dCE30BURIrePuc50pd55g5rLNDJzAx7g/y4PlwlI5/+PFGdran8CAaJ29sXGgVRTNVojVaMyJYlm&#10;ar/gIdkp/ap9/N8AkUYDRHNfnO5D4LBbOhAiju0ddFQd5Ir/vbCLwLDSgkFyH/9rJHjYWohGYUxs&#10;Ma7CcW6uCSyUo7CqIqqZneu4/08AMS5EACEYjMNwFFYdPSWKNsadmO+hyzlN16OJd5qIp8Wb93yO&#10;k5+9gX2vPoUdm9dgx0ZCZN1K/LCaEFlJiKxYhu3DA/hmqA9fDxIg/R34vJdRRhDpbsMWguSjVjqR&#10;plq8W1+FtwmRN2sr8FotAUK9WFWKZwmPZ+g+npX7EDwIjRcq6UyqSsz7On+unECp0HuCSR6eKszG&#10;xpwMC5AU2ysyRID0J2oEhkCIWYB2StGlJ4lxZkkMuqhOQYOuoWNxpIFHRzKVYiHSqohCuDQsolQX&#10;IXxaeF8zASLX0byY0HCoiYBoplqSQo2aEoIZgUIsTCgDGd23ONQApC5hPpqXEC583ZikTlZFmECK&#10;79GJqH4i1RAgZj4MZWboEiCKKXIaWh/ErBlCV6Fp/tqbpoaQ0VIAcija9S5fs3M1zMv7ywgJLSkg&#10;aGgHPG1iZUSgKMIU0ZXIfai2otGdPMLBCZAsRRjGFgEkjwAZ6QGhO8kOnoX0gGlI8ZmMZJ8pWOo9&#10;FREzx2HSfYou1kVc809GDQHkKkYXxpKb+PAKHnIfBh6U3IhgohXbtRqZAKFh29GjLk6AXIaH2tat&#10;exAAdK5YMgKIEf3fABFoVEQVPOwaIRoCFkBUiOW/4/pREFFrOwEikCjS3H/bjXCZ8DCSooMYYRJQ&#10;lpdkAFJO5yEXUk2QyIGoJ6SSqilNogOxw7kqoDaMFFFTzDCuZuNaiDhXIMsyzsNMnjPKNSMwvS3a&#10;pV9HwkNRhscB7Uz3vxf34P9c3Iv/c2EPoXEZIk73oZEY56JCl4ulgokFiF29TOC4/N5v57bzqDqI&#10;oCH3oT4SAcICxAkRE11GhoIFD8FGn9Nr1V+0TeaP0Arwv55gtDm4Fce/fgd733wOO5/diB83rTEQ&#10;+Z4Q2b6KEFlJiKzox9dDPfhyGWPMICHS345Pe9vxcVcLPuwgQNrq8V5LHd5uqsEbDZV4vZ4AqSvD&#10;C9XFeIZweFq1DjqO5wwkBA9GnBo6FOql6lKqBK/UlvF1KZ6vtBB5siAL6zJTsVIAYYxZvjSRAIk1&#10;Lest2nkulgBJjELv0lj0JMehm+paGkeICCTUUiqZSokmQKLQSqA0L46iA4k0auZnW/i6hcARXORS&#10;2ngUTBoFDcJAMGnmeeOiYN5PuCwRbMKNa7FSAVZOJBTNS+VMNJRLeKg+IrCYvhA6EsYeDfFWar8Y&#10;QkMT6pwOpDqGr+kadFRfiIqhAoZ5z6x6JsdCINB5mP1ltIoZ3UZFjAWInIcKp2ZCHo9FlMBhC6hz&#10;TVt6HsGTRdchZQsSBhSMMoRKDr8zJ5QOhHARWNLmWfeR5qO9d6chZvYEuD58F+HAB/dKu3+L4sj1&#10;lIEH3cKtfFDvUMenAyC2+9QO46r+oeFXRRRB488AUe/HPwglDQHbwqktnvJzgoE+y9fOeofZgU6g&#10;4DXBRVP9r73KuhRzTgkeRjy3LkQNZVdbF0KIaG0QLTBkICKAqJB6y02Y8NA9iAjifz86kFI6kLK8&#10;RFQovhh4LEGNRmFMIZXwYIwx/SBltqVdw7imlZ1qphtpEUQIkMursdvoYqbrGwdiAWKGcAURwaQp&#10;D31N+Ri0ANkP6f9c2EeA7CE8BJHLIBnpTpXkNAw4Lktg0dGAQ9Aw0gQ8Se5CLmMUQBhT5Cp+1fR+&#10;Demaa5LeF0T4PQSI1lvVos3aIvPSCYFHbmQHLjHSnPnxUxz55C3sfuUZfP/kWny7bgW2rV5GDWDb&#10;qn5sXdGLL5d34/NlBMgAo0xfO7Z0M8J0NeLDzka8116Pt5oJkMYqvN5AF1Jfhpdqig0Q5CzkOF6q&#10;0TWCQi6loYr31uA13v9qfQVe5Wd0fLmWrqSqCJsJkQ25GVidoWazJViZttj0gfQl0W2Yekck+giN&#10;/tRF6E1bhB4eu1MuqyslHt2p8ehKJVRSY9CWHI0WQqVJEGHkaeTnGxNt0VQQaSNgWulgFGsaea1p&#10;Cd0GZSJLooBC10HINC/l5+hcmpZQgo25Li0wMUbFVVsjmc+jiq2MMRrepUsxW16qiUzOItYPtXGS&#10;P+oXBVjXkqBhXjt/xiiWUSdOM3wVVbQcogql9lzrsmpynpmYF6lZvF7GiRSp5iHYOFyHhm61bqpZ&#10;dDlotoWGogqBoREXLVWYHcx7eJ/2hEljfEkLIER8ZyLWdRrcH30A9/Fhu44P+TX/1KI/ch6Ch61v&#10;2LoH/5pff93l1nX+9ddcGDv3hQ6BDsMJDx2dGgHIP/9hopFqJZI+d7n71LqTyw6F7/Eeve9cN+Sy&#10;rPNwSvCwE+sEEMYpA5FrcAuldVLlQu688Ubce9PNePTu2zHPc7rZtc4UUfO0OjsBUkSAFC9FrTpR&#10;iwkNqr6U4BA8yi5PrlM3qsDRWp1CB8Jz0/+hOsioGohZ+5QAccjpOgQQgUQyDuSPnw4QINJ+AmMf&#10;gbCH2k1wCCIEiHEYDmCYeHK5iGqhYTXiHhzOw9kDMhogZhTG0S/i7Fi155dBYuLLWRVyter7Ll7b&#10;QWkB5934g/rP6V345fgPuLB/K058+xH2vv8Svnt+A7ZuWo4v1vXhyzW9+HpVL75a0Y0vhjrxGV3I&#10;p3QhW/pasaW3BR/3NOP9jka8RRfyhlxIEyHSWEkglOMVOpHXCIbXG6uNXtOR97zJe99qreOxFm80&#10;61oVXqNeIUheqC3B05X5eLI0BxsKGGXyUrE2NxWrs5MxnLEYywiMAQJjMD0JAxl0JlSfjpmLMUD1&#10;pSeiJy3eKp0gSY9DR2osWulIWpJj+bDHopGwEAgaCYxmuRCCwUQavm7he3IsuibH4RypaSaEmpdG&#10;ExwCCOEjR7KUAErmZ5LVPyJQCB7BxpnodeNinasxLYhw0NCtXIUf3YmFRj0B00A18TNNvK+W1zU6&#10;I6eidVcFD4FE82rs3Bkts2hrH5rZW8r7SrXUIq8XEzACiDb0NhPiNHkuxN0AJJ0A0SZRucZxyHnQ&#10;cdCJaMtKQUQrr2cSMJqEl0YHEuOmoukjuP/mm818F426qFhqxAdb7kOjLLdfzwdR7eIEieoeunYL&#10;z8do+JUPuiCgmbf/HSC2AU33mN4PAYBgcM6ZsZ2nl0dfRkZg9L0OGaD8CSKCh619mEKsw4GomKr5&#10;OFriUOuk3kp43E7XdMf1N+CeMTfh4TtugdfM8cik6zRDuaaZzDEKQ2jUlCQTHoQG1WC2dEil0lBf&#10;kW6OamVv0UpkZl8YWwtxDuNeBohjHxi5EYJFK5LJefS3WnAMmIYyJ0B+Oog/CJH/ECC/n99LOOw2&#10;f/01+mIhYiPMSL3DGVVM3BA07LmNHwKHekEEDKcc10w0sboMDQuUy4szy3nI+Qggu/naHv9zjmCT&#10;zu7h7+zCRbqSc4e24eSPn+DgZ29g55ubsfXpYUKkF1+spgNZSYAs78KnhMjHdCIfD7Tjk/42fNLX&#10;hg97WvBuZxPeam/Em4w0b7TW4vUWgoFweIPOxILC6q1WuhUnPHiPpHtfa67Cy40VeL6uFM/WFuLp&#10;6jw8VZGNTaWZ2FCcgbUFaViVuxTDWUlYRlAMZi4hMAgRajCbr3OWUIsJEjqVjEXoy7TqzaQTIUg6&#10;6EjaCZ42qpXOREAxMBgBiK2LtBMUHSkxvEZgLIk2sGmiLHx0TU5ECkdrSiQlgDgjDd3KkgWUjiFG&#10;goiGfGsW+aMm3t+M2jQunm+A0cBoI5kRIjodFWQ1vV/FVgsQRhxNzONrAxW6F4HEFEvpZooidBRA&#10;/HhuAaIYYx2IhYcWXdaIikZZFFe0YZTa1jXvRet8pAXRcagPxG860hldFrlNhvu4B81WCDf8+1o+&#10;yHww/8UHlQ+v6hnX88G+8ep/mVm2t/Ov+e18KG8VOAw8GBMYZczUfULAOfP2/wUQE4l4nzO+yFno&#10;tQWIHXHRyMto6ZqVIs5/B4iVAOIQz01jGmU2nFLBl85JELmbMeaB227CDP5vXhTui5JsAsSxP4yd&#10;1r+E8SUZNYUECVVXkoKG8nRGl0w0VmUxvvCojbYJEFtEdS4q5HQgijHOiXT5dB956ObrLl43AHEM&#10;30qDGoX5Q86D8NDxPxckuZC9DgfijDJ0BBc0GiN3oIfdCQVCwzFHxvla+v3UaIDQuSiSOGRqHbw+&#10;GiBm7VRHZJHrsNtGWHhIBhwGbE4RInQlP9OJ/HToW5zb+yVOfP8R9m95GT+8ugnbnl1FkAzg0xU9&#10;+HS4B58wzny8rBMf9rXgg146kG4CpKsZ71BvEyRvtNONtBEQ1OstNUZvCBqEy9uEzNvtDXizVdcI&#10;D+q1VrqPJrqP+lI8V1dMFRIi+YRILp6sJETKsrChJANrClOxMj8Zy3OTCY0lhIWcB5Vl1ZeVwCPd&#10;SXYCYZKIAaqPr3sIlO70BIIkEe10MAJIC0HRkLSQD/5CwkLwCDdRppNupSMlliCJNbGnkbGngZGn&#10;aUmMAUiLAx6CRmuKRAARJC3JdCy83ryU3zkCEQsSDfkKIg2LgwxQrDNRzJFUI1G7fAgBEWBijqCh&#10;+TNyLILGaIAYeER6oVAFUtU+1IhGmREXFU55FEBy5SoEDz/tjTvTbFeZS1ei+GLqIIRIZrCGaqch&#10;2Wcikr2mYNHcqfAa9zDhMcY6AT3gfGgFDxMvKNU9NMJym6KA4MFzAcSMwDAmaOq+LYLKNch9/Lll&#10;3TkC4wTIaGg4z53xxS5faIExGh7mnPorQC7Dw+lA/gwQszYrpQYzzdS97QbbE6K29sfuvQ3zvGYg&#10;Pz0KWt5Q8JDM2qhFhEgBj3mJqMpPshCpIDSqstFcncVjppHOnXvhaktLHc02Dg3aA0bzYArQ2zyq&#10;9qEIQ4AMdpZgWXcZlvF4xR8X9hAeBIYR4UH9QYj8wQf2D8UZs42DIgUBIqlwqjoIQWCm/wsYo85/&#10;U1HU9HUovliAjEjwkAgQzaOxc2ksQH4744QHowp/1+k+RgBCGXgoZvH4v+f24f97dh/+98weRpof&#10;cf7QNzgjkPz4MY5ufZfR5kVsf2EDvt64Al+uHsRnK/vw4fJOvD/Qhvd6W/Euo4z0dncj3ugkLKi3&#10;OgmKjnqjt3mu19LbnbzWToC00YG0V+PV1kq82FBCcBQZ9/GsAUgBnqnJx1NVgkguNv3/+jrv/y6r&#10;+/33D+jX0iEjiw2RKXuHpcwiSzaEFVYGGZAQyN6bkLACYYgM0YKjWq1aba0dWqtW/LgHWzYEEkYS&#10;8Ppe1+u87yTwsZ8frse57/t9JyS255nrNc45KbF4miB5akMU9tCR7Fgbju10HdvpOrbGhBk8Ngsc&#10;cUtRsSaMoiuJC8MWPrPPCJiyqCV0IXIfCkXUeTqLE18OglBgSFK8aj42RiwwiBSvWmjAEDyylszh&#10;OI/vUAaJmfwaaQbhMYuuhk7EAKLQZpZBpPEd917+CgcTgcPBQ65E0lYB05G2YCqS57rwJV1HZDLk&#10;kRtxuROVa5VAdVWXNU8SAirFEgYWtszW2TWChwOIXIjyHzruIZLwiJikZjGFMAQL4WJ9HyrZTh5u&#10;5drlY/pi/vDeeLxnFwT7+dFlKPyQ2/g5Hn6I4rXg0YoTXKBQ6CJ4mOvwwcPuCRWdPmc5DIJAOQ4B&#10;5EHnoZ4OSSGKche2YRCh4XYZ03MBxI0WxvhAEugfgI7tO6AVQw8vpHkwjGkEiAcR7dZOcGhx3W8e&#10;NvfhNhpqgaBWDGP8GMYQIF0Yxjw2uBei6ARTmjgQ141KgGhcu5QgEUBWIntDOHLpRHSsQwM80gWO&#10;GBRlxjaoJJvwyHHw0AK6zQUMVwoVrmgJv2sgEzgqGgFCh6ES7hWGCYTJrSsEh/QAQLwwRgdwW2mX&#10;EGmqRoD4Vtvawjk5kiYQ8QDyv0IYORAHkJsMUW4TDhprzvP+AsMpQkL3N/n81mW6JELkNse6q9+j&#10;7sr3uHX+G1Sd/hzXTn/Gf/MLVFPXvv8Y5479Dcf//kd8/trv8NGRffjn/gq8u7scf2FYI5C8vaUA&#10;b23Nwxubc/Am9afyPLxZRm0iNKRShi8S4fJaCZ0J4eEB5KW8JLxAiDwvZQsmiQRIAp5Nj8ehtDU4&#10;SIjsJ0T2JUdjL8Oa3YmR2EVHsjN+JWFBkKwlMOI5UhVrnbb7ICInIpCUM6QpjVhoYYrCluJVdByR&#10;DFfkIDj5i8MZvkQQInxWRIgIILkKYyz56nImlmAlFApXUeFudJCQ8/A1pPkcikCi57rWqIqNciLK&#10;kWQtnea2DVjq9hpJmT+ZAHHL/xXu2PaIHkCULJ3n+j3Uqq6jHqImDbbjHhIYisTPGE5ojKIaW9jj&#10;VH2ZrHNj1NuhJGqIC1/0fNpoQmUEVk7QCtuhmDW0D0K6dECHlg+juf6yq1TLyekOhlKC8xc+ePwa&#10;bflX20uayokE0nXYGpgWmpiatJzQhI3chxe+NHUeXkOY5DkI5TPcObjuM0HDAMLvoTDIHAnfaR0Q&#10;iEc6dUZAy1b8TO84gAgY+j4NiVYPJoIIwdGS4UorwsPv1w/zZ25Op0R5APFvgfaBfnikbSAGM4xZ&#10;oDOBokNtl3Y7pU5hDF1IuqoxHLPXL0eOFtJtkOhEksIZ0kRAZ8MUECICSHFWnMmDx6a8BMJjHR2H&#10;2/tja0miwUKjhS681r0PIASCtbB/ZiC5JVnoIifgQhh3nIMDiEkAUQXGN1oJ1wcQW12rkqs6SU9/&#10;bBDRaf2W52gAict7OPeh689QQ4DU0HUIFLcu0mkQHDWCh0BCgEg3LynE+o5y4ZYlf3l/+yJ1gaHY&#10;eT67+D1qLx/nz/Utv7fcyWe48s2HlnD96q0X8eHRp/CPA9vx192b8M7OYqoQf65gWLM9D29vy8db&#10;W/IIEgKlLJty4+ulDG8IjleL0twoiBSl4veFKXgpPwkv5hImDGeOZK3Hs4TIobS1OECISE+nxmIv&#10;IbKHTmT3+khUrgtHZcIqG3esW0WQrCA8VhhYKgkYaQfDnm1xywiRMJRFqkoTahWa8qhFliMptlzG&#10;bINHCeGxcfVCjnQhkYQNgVO4SglYJVEZrhAERXQdxRGzCZo5BA0BYTARMOhUGArZe77ciAcRORIH&#10;EIYsDfBgaLNsOsepBIdbgKeu1owlDiCuUUxbHyppqk5TQkQt6tN1qhwBMnWYXcczHJH7EEBUvpVD&#10;UflWB0TZCfyT1f/BryFEoug6ogiWFeNDsGj0YEwb0BuDOnRAO04q6y7lJHYhCychbb82SNbxDApP&#10;VLlo17KFlWwFkCA6D7kPASSQ8LDSLd+Vc9CRlQ/9nO5DEKGawkNuwivNalR/h543fG5Se7tLtHpO&#10;xGDx69+4r2viPnSUpaT7Zv9PX+N7X5UaORLf5y1/9Rv4EyL+BEoAf5cgNZb5N0c7OpDObfzRs3Mb&#10;TBzZDzHLZz4AEOVBXDVGVZgcT757nZWrndrzUqMMJB5EPHiUF2rPjw2UluwTIBsTsa3UBxBKAKnY&#10;mISK0iT8rOHkOR9EBAuX81AC1Re2NIUH5VVl7P7BagwhYj0eciGneU0nIlfiNmAWMDyANCZNqy/S&#10;OZjoOBieKFGq0EVhjPIdNbyvlgOR+5DjoG4LIBKf3SYs7lC1l75DHeFRf+0kaq+dYGhGkOh9weTc&#10;F7j0zQc49dHb+Oqd3+Pj3+/Hv57dib/vK8NfdhXhzwaSQoLEuZK3NueaK3lzM8OZMoU4DGFK6EA2&#10;EiDUK8Vp+D0h8hIh8mJ+Ml7ITcbRnCQ8SydyKCMe+wmPfXQhT9GF7KX2ECK7k+hEFNL4YLIjgW7E&#10;4LEKu9dFMtTh5+tWEyKRdCOrGOIsJ0CWojxiCbYoARsdZq6kJHwe4TGX4HDwKI1ebOOmaGkRSn1A&#10;UahSRFgUUxv5/qbI+QQJ3QvhIYDkMRTKtoqNACLX4Uq8yoV4o1fW1d6qtv+I7lWBWapwZhLhMQlp&#10;Omd3gXMdXmiyYf7jSKIS54wmHIYjZvIQa0lXO7p6RNar/Z3hjxrK1GymBjKtvI2dOhLRU9R9Otx2&#10;KdMxEBF0HgtHDsTEXt3QOygAQQLFQ80YrnBScuK51bCuj0LSepLWnHACiODhFs01AkSjej+0mbLC&#10;F63Q1ZGV2n39IU5oAwNleYsmE9/WuvC+aW7De9cbPVfyoORADCgWrhAOdBhyHLZjGf99LwyyMjDf&#10;89yOqj0Ks1TSba3W9oCWdCCt0Km1H7q2D8CoQT2wahHDSV8Y03BCHWGhw7Wz6T5ykjyILOc9lUyI&#10;JPMzLe+nGxFIFL4IIHIeW0o2EBrJBAbHkvW+nAevBRFebzV4pGBHWarnQDyA3C8PFk3h4T0TLB4s&#10;5dq9qjG+9S1yHwKI1NBtqtEAovN0XeK0muC4wfGGch5KnvLey30YQEzKfxAgDFtuyoUIHAplGNaY&#10;7J4AITzqqk4RICdxxweRm3xew3eu83tePX0M5798D8fVkPbuK/jsT0fw8cuEyXOV+PvTW/HO7jK8&#10;vbMEfyJIXt+Wiz9uycZr5Zl4lXptM0FCvVqWiVcIlJclhjYv0Zm8kJ+C5/NScIRu5HB2Ivanr3Xg&#10;SInBXrmQ1BheRxMolDkSuRE6ETqPXesisGe9oLKa11EESiQdyEqURy/DZlVwoldgW8wKOpJlfEZH&#10;EhXqYBGzyAeQRdgUuwhlsQtRFuNUuloAkauYQRcyk9AhcOhYigifArqNfIUoqsYIMoSKciNyJl7u&#10;I4+jHIgA0gCRxYKIu88OE1TkQCYhnSGMNYqpJV2hCaGxYf4Ye6ZwRmGMNgTSAjzBQxshr58txzKR&#10;ABlni+e0/kUdpjGEjZrEYhjuCCCRhMf8kP4Y3S0YXfxbws/XLaq8R2MvhlbXugVyWs3qwcNbaeu5&#10;D92bG1GOQe7D8hnNbI8QAwdH7f+hw7eti9VchAAi0LhJ3RQKgoYX6vxUyNNUgtGDAGlFZ6G8hyDm&#10;ErIOVh5AzJFQAp3KuoEM2RTCaKVuR9t02R/D+3fDitBJBMhC6IgHb0m/t6WhNhMyaJgY0ki+hjK5&#10;EFfSjW50IATI5mK6j5Ik0zZqe2kydpSnmirKU1BBcFSUpfE+Ta3syoEofPlpeHh6EB7/VRbGOAkY&#10;WutiK261UbOXWPUBxMt7KHS5wXBFLqOa16qw/FTyVAC5Sdeh8TYh4jkQcyES4VJ7/RTqb5xGbZUD&#10;iAeRW9cIHoY8N/hvXDnzKS5+p6TrBzj/1fs49/k/8cMn7+LUv9/G13/9Az56+RD+dnA73tpVjDcY&#10;2rxBkLy+LQd/3JpNoGQZUF7ZlEFl4g+UQGIQKUjF0YIUPJe7AYcyEwwi+9Li8HQ6lRZLRxJjeloS&#10;SORG1hMehMkuOpJdypNQOwmUbQxjtq4hONYonFmBrdSW2DBsjl2CcqqMEkBKCYvyuMXYEr8Em/lX&#10;qDxOICFQYhTSzDOIlETOpeQ+5tN5zEM+AZLDECVPCdUoupkoAYT3K1wp16vI2JaJ6k5V+ZbQUJeq&#10;q9jMsNxIw8I8uZCFOsx7LBIJjvV0Izq8O5X/x5a0j4ja2xPoMGx5PsGgM3RtB/dpKt/yufZWnUUH&#10;MpPgmD4MUU8Mw5IxAzF5QE8M7NgO7Vu0QEtNKE4sV6XgX2ZOOuU61M+hsES5Di08s6Sp4MH3Avle&#10;kAHENZEFEiA6PMp1j+ogKIHALZBzYcjP6RboCCg5Aq/i4nZab3QdD4LDkz7z1AAPws71hLgQRQCx&#10;HAd/HlVYWims4WfNm4Q3DclVyjvywY8uxJxIq+boEOBnp9cN6RWMJXPGI2ltKAGyGKmJS2wpv+s+&#10;1YrcMAcRtbInCx7L3YZCaXQe6TraUuXbxuTpJu08ZruOyX0kmSo2paBySwZ2bcvEzq0ZqORYuVXK&#10;8NbC+BbUNVnS/yBAPP0kNJrIKjK6Vk5ECVPlRAgO7UomGUQsjPESp3IcEl3G5a8NIF74YgBR+ZZy&#10;DkRJVErguPYdagmEWoJEslwIQXGH4KgjRKTa64RIFSFC3a7iZzd4ff2EOZjqi9/w31GehONFNdLx&#10;nSvHCbovcO4LOpT33sCnrz3LMGcX/rZvM96uLMKb2wmSBkeSgT9IdCMvl2bg9wxvXiREni9MxZH8&#10;JEJkPZ6hEzmYlUCtxYGMNQxrYg0kB3l9MH0NDtCZ7KNDcY7EhTYW3iRFoZJAqUiMQMW6cGxniLOF&#10;MCkXQOKWYstaOhOqfM1SlBEemwmPrQl8Hs/rtYv4fDGfEy7RoeZEymN5H0Pn4gttCgiRnBVyIDNR&#10;GKFwRjkPOQ5XsjWA0H3kEhySWuRt/Y1ValzZ1+VGtKeI4DHRuQ1p0QTqt7zW+buT6D7GW4nWzoSZ&#10;PAyrCYbVk4f6VttqvQxdywztcjYea2c9bruNLZ8wCDMGP4qQru3xSGBLcxYtf8nJRGnUubV6Zo1g&#10;lCoqbaxJzMlzHgp1pNYMFdr4QhltoKwSqSVCm0x25zge+l/wsAqNPXfhid79b9DwgOFBxoOHAYSA&#10;0GpdAUTuw+/h5pbbCFSCVI5EToOfO2fS3KRr22hIVZhWdF/83dRkpspMW+sH8ceA7h0RSkeXvGaR&#10;OZC0dUttKb+2NJSylPOwkEWbKjvn4eChXpAoFPhKtyrbWvJU+54WKt/h4KEwRo5DsNi1Pcu0uyIH&#10;e3bkYu+ObLWyEyBX5UIawdHUbTwID9dtej80PLn1ME2eNam23LcNolrYtSbGV75VstR6T6584wBC&#10;uSqQk2twc+BQ7sNkCVTnPgwidB93rh0359EIEOqGDyQER+2Nk6ivpjvR82t8p+os3zvLe443frDx&#10;NkMfgej2pe9QdeJT/HDs7+ZK/v38PrzzVBne3JGP182JECKb6ULKnASRl0oEkGQDyO/yNuBwbiIO&#10;5ayjEvAMdSg7njCJJ1gSGObE06UQLATJ05YvicVTSauxl/BQmKOQZ3fyauwkULYRIpvXLicUwgiH&#10;MIJiObasoyNZt5zwWIpyaotpic+J8BnhsskHDcGjPIawiV7K+0UojlpA9zHbAOLyIUqcEhAmBwlL&#10;vjLEKaaKCBtdF1mi1VVnFNJoC0Qty7fl+WpXVy5EWsjnC35LKIw1SMToeAclSqm1al2fpf0/xmMd&#10;nYkayuJnqd9jNFZODMHskL4Y3aMzegT5oS0h0YphhEqyrrHql3QPzTjhCAVOIussbcHJ1ELt6QKE&#10;nivfQREUkoOHwhlORPt6hQwKRQQCTXxNdhdiuByEulcJDgtbnPRMoY2civRTAGkKi6Yg8eAh/abB&#10;fQgehAIVZCJQ+HNpXY2Vb5u3gH+Llgig7D26r8CWLQkVhT4OoIF0JB38m6N/9/YInTnG186uVbh0&#10;HUqg+pKo9wNE62AYtqRGIi8tCvlqHrPNk9eiVBsnF6rqst4SqApdtm2kSulAGLbs3JJG5+FcyJ4d&#10;OYRHLp7amSOANN2R7KcB0vT6PkD8hBrfISQuEhIXdZyljrbUXqoMXVR18QBiz/SZOk/lNlyXqau+&#10;NDqQRtchSFBqfDN4aP2OAHLcEqcGDgJCMnBQ9TVnHDTsnhARSPRe1WmGOj/gbs05ny7g7s2LuHvr&#10;IupvX0TdnUs21lafQ/WlE7jwzTF8/d6f8MErh/CX/VvwOkHyKsOZV+hCXiZAXiqlA/EAUkCAFGzA&#10;s3mJOCzlr2/QM7x/hmB5JodwyV6Hgwp1MhIY5qy1io2FOekcKeVOKulOtjPE2ZYYjq2JdCIGDoY2&#10;G1ZRDHP4fxSBZFuitIxOhIpfRpeynOFMmIU6zrkQNnHLCJOlKCFU8hja5BMiCnOUWC2O8EKdudjI&#10;sKZ09QKURqlMrEQs4cH3lSvxAKJ8SNK88bYoTtUX5UF0pGYK3UcKAaKdzGz3MgJCq26TGdJsCGWY&#10;Q63j18XrTJm5ExDD0GbZxMGYEdILo3sGo1ebILTlX9xWnOStmv0Kfr/4pa2gtTUrgoAAwYnUTl2Z&#10;LVs0lGkFjtaqvPhciAAjcEi6lltRyCMguLDFcx9uortkqQ8c6mTlvynQ6H1VSAwcTQDS+PWNzsMD&#10;SFOIeABRArYh92GlWUKNoGhDOLTmqNBKR2q69nVBoyWCWrViuNISrQkP9YK4/hAX0gTwd2zn9xsM&#10;7RuMFdo5js4zlQ40nS4kc516P5z7yLLEqYOIq7woacrQhQDRClxtoKz9TzcVaI8PJVATzXVsk5Qs&#10;LUvCjs3JdCCpdB/pdB9Z2FORbdq7I0tJ1GOcjI2J1KYA8eTBo6keBIfnTBo/p+sgQJqe1O8chwcR&#10;BxRJz29ZLuQLl0j1AcQgol4UOhNzH3Id9wHEuY86hh/1VYRFNWFBYHgA0Xj35tmGZ3XVJ30Q4Wiw&#10;OYN7t87h3u0L1CXcrb2C+roruHPnMmo51tdX4W79Ddy9W4O6uhrcvHEJl09/heMfvYtjbxzFPw7v&#10;xBs7i/FyeTZe2Eh4lKTi+eJUHC1KwZGiZPyukKGMQEKgHKYrOZy/gQDZQEfC0IbwOJBFgGQl4kBm&#10;IvZn6j6Bisc+hjhPpcdhb1ocdqXGoZKjtJNw2ZEchYpkhjYpEdhBVaREcpR4nRRu2rGB1wx/tqtM&#10;bGIYRG2NX2kupphhjQOIEqjKjcwjOBq1keAQQHTtulcJGiVaCZl8OpQ8hjIq57oDvCchk+DICpts&#10;FRntYJY0fwJDmomEihKsk5CqPhEqaSHhsWAcYmeNRsTU4QibMBRPDumN4V07oXvrQEt8quJgXZi/&#10;5ISi/K2Uyb+4nHitm7dE25Z+BIcfAcLJR6CYy+CkcgBRKOOFMw8biAQbORbLexAODgaNE18wcSVX&#10;wUXv/MokgKi3RGDRO85t3F/efVAPwsN7JoBY6PJrBw8/ORD+PkH8+doSFFok16YlocGf2y2g42cq&#10;P/vxM3/3meVK+Lt6ANH6mOB2/nhi7CA76iF17UKkx1MJCwmQRchev5QSSMKQk7QcuckrkUeACBxe&#10;D0hRllvzUqI1L1qqrxZ1X8l2WylDl01J2FmeTPeRRICkEB5pdB8ZhAe1PYMAyVAZ9xNOUk58Eye/&#10;T66869QIDgKF8nYnq7G2droJaw7zQcRyHwQIQaHyrNyHg4cWxbnKi/IfN/jMpGSqNau5yos5EOVD&#10;pPsSqA4iHkiURLVEqhKnPvchp1FXLaeh8QzhQYdhAKHbkBMxee/InZwlOM7j3h06j1o6DkKjrpbw&#10;IEjq6q46gBAed+/dRv29Oxzv4N7dm6i7eYW/G13Jt5/guw/fwSdvvYT3XtyPvz5TgTf3lOIP2/Px&#10;EqHyfGkmjpRk4LnidCoNv6OeK0rlNUW3coRhzwtlhE95Hl7aWoDnt+TjEN/fk8P/8VL5VyGefymi&#10;lyMznPZ02XxqHtJXzuf9fGSHz0MeJ3pBNEOSuKXYnLgS25MIEjqWypRYVKxfzdBHziWSrsTBQ45k&#10;I0OYQkJDeRBJTWlN29kVxqhXpIihTYFVZhjOKMwRPHido/yIekToRDJUzg2bQk2m6yAc1JbOcERh&#10;iU6zs5CGbmQDYZIwbyKiZ4wlNEIwY1hvPN47GAM7t0G3AIUqDyOQE8xfE13VFI4BvDcJEpxQ+kvd&#10;gX+RO/oRHpx0rRvgQVh44sSS2goedCatOdpJc/x+brWtg4WDhoOJpGqLnIdVdfi8uSY8pY2FVH71&#10;HMt98LDR5U5c34cDRVOAWOep5T1ck1hL/myWOKW0BkdhiOCgfT60haHa1LWdoY52UMdpa0q9H1rW&#10;r5Z7y/3w69TS3qV9IMYM74OVS6ZgQ1woAbIIGQmLCI/FyFq3BFmJSxnCSKq8qJTL8CWZAEmNIjy0&#10;fF+5D4UvhIc2DSqMp/tYZ/BQm3oFwVG5ha5jaxp2b0t3wKjIJDQyGbpkYl9lBpVJB6KjG3QGjCSI&#10;XPHBxHtm0r0PIgYNBwLXCCaACBhOjetcHDg8l+FO51e+w0FFruTGJV5f/pz/pvo9BA+VdL9kyODK&#10;tp48gHgQsYV/Ppgo72Ghi0GDIDHJXZxlWPID7hlEBBO5DQ8ouufnnvu4w/CFIctdwqOeck7EAeTe&#10;vRrc+/EWRwcQweTePd0TLHdvEDhXcfP6WVw79w3Of/sxTh57B1+//0cc+8uL+OjNo/jg9aN4/7Xn&#10;8P6rz+IDJWU5fvjGEXz8p6P45O3n+d4L+IjXH7x5BB9wfJsgOritGOWZG5AVF4G1S+Zi2dQJmD92&#10;JOaPG4VFEx9D2BNjsGLy4wifOgbh08Yi6snxSJg/FelaoRuxGCWxK1AaR7cRH47yhAhsFkAS5D4Y&#10;vkQtRIGqMVELUBQV6mBCiOQQINnLptFhPEmozOBIoCgnQpgURhImEbORu4rOQ3uJyIXwa7KWzaYD&#10;mYoN8yYg7km3ijbqCfVwjEbMtMcQNXUUVvJ+0bjBmDmyPyb074khwR3QPTCADsJ1h1q+wqfGng13&#10;LQioEaw9/0J3kGjnFba4kMVzGRQnpCeFNu287lOFA5x4yi1YJUX5DY4CSYN8iVJbWUuAeCt4DTY+&#10;QPw3gKjc631PQUjA8FyIpKpLQ9mWP5tyGIKHd4i2zsENasnfk6Bo79cKHfz9bc8P26+Ev4NyHwEc&#10;1USmd7VDWac2fujXo5Otg4kIm471cQuRzNAlLYGwIDSyE+k4GMpmK4GaTGkndluN6zpQlf/Q+hev&#10;8qIFc9qi0DWMNYWHwJFBERrbs7BvR67p6cpc7N+dgwN7cnBwby4dyLmPcOuCO0DKDpTyORJdNwVI&#10;Y7ji3IWTQOHBQ/e+EEXuw+DiAGKn0TUAhJDwAaSazqPmyhcGEPec9+oD0VqYK/eDoylAmqoRIHIV&#10;ClEkB5R6QkQAceC4Hx7mPAweF50DEUAYujSC5ArDl2sERTUBcpOiC7kr3SJEKDkTAuSedE/jddTz&#10;6wWu2/yZqi99i6oL1KXjuH7lJK5fPoEbl3l9UaXkb3H9/Fe4dvZzXDl9DN9/9jd8+Z8/49yJT3Ca&#10;EPrn2y/j6P6dqNyUi4LkNYhdPAcLfzsG88aMxNzHhmPO6BDMpWaPHIJZIwZhDjV/1BCEjR+JqGnj&#10;sXbOZCSGTkfS4plI054hEaEoS1hBoCxHUfRCFFLFcYuxaW0YytYuw6Y1YSihkymMXIBiQmWjPo/m&#10;dTTDmxiOVCGvcyPnIpPOI42wSV48nU5jMqKnjsWycSEIHTkAc4b1xYyBvTC1X09M6tvDFrqN7N4J&#10;g4Lbonf7IHQJonuQNeckUlLTg4SXx5DamdPQvhd+6MBJJXgICk0hITW8z+8nYLTjM4MH5ZKmcjRK&#10;mspNEAweLCRemyxsofSOwhefS2mEgqovdCCCBiV4NABEzwkXvWPvmZwL8ST3IYC4kq3CEF9XqQHE&#10;QSTAti6UC2mFzoGB6NmxHXp1bo/g1g4mbem61Hka3NYfA3p1xqQxg7Bo7njE0RFqL1SvcUz7n2ZR&#10;ahbLZchiFRfbwjDclKfKC5WvZfy2fWGMHdlQpr09irVALhHb6T4Ej52b0+g8Muk6sgkPJ8Fjf2U+&#10;DuwuIDzolJ/KxzP7CvCz66fex40z/0LNuQ8JEYKDgPDgYRsD+VStoy4JGstzWLXFF7porQuBYSGN&#10;ORMPLu6+0YU4gKh0W6PQRiJAbl79kiBQvkPPBRTeX/3KLepTqOJzG03h4cHE5UQIEIUjDTmORoAo&#10;jKk3F0JY3Dxn8LC8CIHyowcPhi735Do4+etvM4wxN6KQ5jLuGUCuExiCiMDRCJD6u9V0KIIHP+O1&#10;5Upu07XUXOC//wP/nXMMdS7y+12xz917dDSCU815/tynCOrjuHrmM3z76d9w6ut/49a10/zvcRoX&#10;TnyOr//zD/zrz6/itaP7UVmai4TlCwmRsfxLHoJpw4ZQQzFlyCBMGTwA04cMxMxhAslghD4WgrCJ&#10;o7Fs0mgsHq+//sOxcsoYrFs4HQmh07B65jjEzp2I9QRAxsq5yA1fgLxw5UScCiIW0pksRtHqxciP&#10;DEVOxAJkrJiDDXw/ds5ErKS7WPxbwuuxAZg2tA+eGNQLY3t3xYiunTC0cwf0b9cWj9JhdAv0RxdK&#10;J+IH+/vZXh2d/PzpJPzRvgUnBUGhHIVGuQqBoiMni957hBNJo57dBw1CR4AwqNDmCzwGG36d+kQ8&#10;0CisUcepTprTUn45C4OIYMHRQhVdU8p9yCm4SS8A0EnYeTAEiK4JCk9yIi504bVg4YNNI0Ao+3oX&#10;uggeOitGDWMGD0rJUy3NV/giV+GcBX9/hjDa73Rony52hOWkx/rh8SE9MLw//9sO6mbnwSyazf/t&#10;GE5qD5DUdUuRvi7MbRykZCmhIeXQdeQSHnZwVPoq5OkAbd/u6417fujU/Rhov1Mtjtta0giQHVZx&#10;SacDyaT7yMZTFTmERzbhkYdDewpxaG8hwVGIw08X4bAAUnXqPVw5/ndcO/kebpz9iCAhIAgFHbht&#10;u4rp1H7C5drZD3BdZ+X6nIjyHSYDiByIgCFIOPfhAcSTy38oz+FAIXgYQAQPuRDBwwPKta8Jh/8b&#10;IBqVUK2tOmGNYw4gjdWXRin/IeehUq0AQvdxS+6DkLDEqQtZ7slxGERcFUbPfxRAOOnv0mHcvedc&#10;iKd6JVYFDYLBVE/Q1F4zYNQZiPh9667RpVwnPPS1Cnv4vkIjAq32+mn+/Cf53/VLnD9BwBImAs/N&#10;K6fozr7HlbNf4+KpL3Dmu2M49v6fcbhyM+KXhWLu2NGYSoBMHjIET0iDBZFBnMyDMZ0QmTV8CEIZ&#10;7oSOG4EZIwby876YTE0fPhDTQvrzvhemDOuDOY/TsUwchfAnGApREYRM1NRxWO2JTiaS44pJj2PR&#10;2BGYPWow/83eGMv/g49+tDNCunfE0G4dMKRrRwzgX8zeAkfbNujRug0e0SKygACCIIAQCaTzCOJ1&#10;EIIDggiGQHRq5YeOhEAnTnx7j+rK97oG6ev80ZnuQ591MCg8TDg4UAgSCmU6EUgddGKbjjqQ9ddf&#10;ajkSQYajkqrqD9Eep9pMyAOGTsJXE5ryIW75v8DAUIRjMwKhGd9rxvebaYUtv9ZgYO8IFC6Z2uA+&#10;LERxJd4GiAg8/BrbKJnhmU6qk6x6RCmfo2qL7clKB9JG7oNqQ4DoCMvgoFYY1jsYC6aNwqqFE6hx&#10;WD6P4eqCcYhZPgXro+ciJW6RLdE3cKwXPBqrLK5US4AIHmkrCY9wd+7tT5z5ot3GtDHy5uJ4bCtN&#10;QMUmug9VXAiQSgNIhrmQvRUZBEg6DuzKwjN7nfM4/HQBnt1fwDEfP6s5/yGun/kAVaf+heunPuT4&#10;EfUhbpym4/iBALEjGD7C1dMfUHyHIY8HD7f7mAcQL2xpBIhrFPPkmsMeBEjNZUJFowHkC1RfJlBs&#10;awGCwld9+W/yAGIJVDkOTkpNTOc+OEGtZEvAVPsqNNUMY2rOESByH855KOehku3dOkKEk9vyHzb5&#10;5RwEAAcQAwDB8SPucFQu5CbqDR6q0ggkPhEYBhMLbXz5E76vvIlci5KztbfO4Y4PdjevnkDN9TO4&#10;Q6jc4lhNqNy4chzXLn2HmqrTuH39LKrOf4uvPn4XR/ZuxYbwJZg9dhSmhBAiQx1ENAoqUwiRqUMJ&#10;kVHDMHMUHcrQARjfvw9G9+qJkT27Y3Tvnj71wLj+BMmQfpjBd6YLMIP6YAbvZ3oa2h9Pcpw8sDcm&#10;9n8UE6gxfbpjRI9HMExuo0sHDKOGdumIwcGdMLBTJ/Tv2BF9O3QgSAiTNm3wKGHSM6g1urdujW5t&#10;WqOr1K4NurXlfesg9OB9T0KnO691r7ELARJMKGiZfmeOHS2cETSUQJVaEkKtbG9QPRNE1AfiqjDK&#10;i3CSEhRqeW/1S7eZkNdHYhUMTmLbhpBgUK5DrsEaxNTnoWtKB2I7OVAIMJZ8FWQeAIjlVJrI7W2q&#10;hjBXMfH287Bl+YKHSswGD4Zcdt6L8h/a69Sf/40CMbxPV4ROfQyrFz2BmLAnELd8MhJWTUPSaoaj&#10;a+YjY+1iZDJsySJAbKGcoEF45EpyHgRIXtoKuo6VhEc4CrIIkGwChK6jOEfOIxob8+g+dNJcEQFS&#10;QoBsWsewJcmnFEua7t6q/Ec69lSkYt/OVAIkg+4jx1zHcwcK8eyBfEKEALEEqmAg1/EDw5IznxAk&#10;hMhJQeRjPiMgCBG1oled+TeqzhI4P1A+kBhALLHqch4OHp/ye3qt6q7Con0+vNKsrXXhM8t9ECAK&#10;ZxxAlEDVM9dUZrujNXEenhu5HyDKgagKQ2ioMayKLkMAkfsgPOokayA740uqnveFLwSIgKHKSx2B&#10;UX/VhSwmXVMEiEKYez8y/MAtwqPWJ0HEl0j1oKEQRU7DpM/kVGqpOtNd5U/qa1BPV1J36yLqCLLa&#10;G2dRy9DqDoF2i3C7xfubVadQc+0Eqq8e53iSId0JVF34BhdPf4pvjr2Llw9XIilyCeYQIlNDhmIy&#10;QxknwiNEohsZ7jR52ECMH9APo3o/ipCePTC0R3cM7tYVQ6gQH1DG9u2FcX0IiL5Uv16Y2O9RTBrQ&#10;G5MJlMmD+2DigEcxvl9PjKPGUo/16YERPbtgeI9gjOjeGSN7dKG6IaRbNwzt2gVDugQTJh3Rr2MH&#10;g0kfqi+v+3Xu5BTcGX059uGz3u3bG0C60Xl0DQqwUm6PNgJJoHtmDkYhDaFCadcxbR4UHKiRLoa2&#10;30IZuQ5NTk5YNZN5u637/7oZ1HhmC+3kPFSN4ag8iCVKOcoxaDHdL+zcXHf0pdQAEYLCqiuExX0A&#10;oZoCxHIp1E/BwwBCcNiKWq1nUc7DNgbi76HfLYjhXmt/9A1uh0nD+2PFrImIXTwV8cunIWHFVCSu&#10;mo6UqDlIjyVA1oQSIgsJkcXIXr8MeaqsqDxLeJgMHlTmKhQQIIUESFEOAUKV5EajNJ/uoyAWmwrj&#10;DB5b5T7KE1G5VaVaaksy9mxLw15TKh0IAbIjDfvpQA7uybXQ5XcHS3DkEHWw2JVxlSTVqtrbF/8H&#10;t+kcbp+jozhLl3FGACFgLKThM3WU0pUIIg4khIj2APE5kJsEiAtdGkMYDyCeA3GrawkNug7lOgQQ&#10;K+XyPdt/xAcO10DmAGK7pl27P5zRtYOHIHGS1wQG/2ILIPWEiYU1AodPgoryIXc5YZ0DuWwAMUjI&#10;afgA8qPuGwCiKozcB50ECAQDhy+MMVDQgVgilfD48SYhQldylyNhoapNA0Du1fMZXQsBcreuynIt&#10;ypHU3jiHesKktvo8bhv4CBT+nLerTvK/zUm6MSVdv8W181/i0tn/wYVT/8H3n/0DrxzeheSIJZg3&#10;YTSmjRhGUMiJDGaIMpROhKHG0IGYMoIjYTJ+YH+M7tsbIXQhg7p3Q39O8gHUIE12TvoQQmXEoz0I&#10;GToTwmFU7+54vC9hIdcxsBcmDCBgCA65j7H9ehhERvXqTkdDcPR8BKN6dqW6Eyg9GNbw+3V/hBDp&#10;jIFyJY8EY4BEaOh6UHAwhlCDqf6EjMDSu307PEpXIvXq0Ba9KV33oEuRQ5ErEVweITQEjmCBg3+x&#10;2ytvoBKoLwkreARw8qqyYyPvrQWeALFwxQcLG33w0IRXrkOgUKdpMwGkCUT0TN2jgQy7dMCUB48G&#10;gMjF+L6Pt6u6gYMw89yOQhdr/PJVUXRYVPuAFujEcEWbAnVvH4SeHdugX5d2GDO4h3MfC6dgjSos&#10;4bOoGUiKmk14hCI9bgHS4uZSc+hG5iEjfgly169yAEklMFLoOlJXoiB9FQrTCY+MCIYtEQxbqJxI&#10;hi3RdB50H4WxKCuKw5aNCdhelogdm9cTHsnYtU1KMdchcDxVkUb3kY6nKzNxYHc2HUieAeTIoVK8&#10;cHgTjh7aiP8PsSMyLGMz9JcAAAAASUVORK5CYIJQSwECLQAUAAYACAAAACEA5IuyvA0BAAATAgAA&#10;EwAAAAAAAAAAAAAAAAAAAAAAW0NvbnRlbnRfVHlwZXNdLnhtbFBLAQItABQABgAIAAAAIQA4/SH/&#10;1gAAAJQBAAALAAAAAAAAAAAAAAAAAD4BAABfcmVscy8ucmVsc1BLAQItABQABgAIAAAAIQBG2xqI&#10;1AMAAOIIAAAOAAAAAAAAAAAAAAAAAD0CAABkcnMvZTJvRG9jLnhtbFBLAQItABQABgAIAAAAIQC6&#10;waW7vAAAACEBAAAZAAAAAAAAAAAAAAAAAD0GAABkcnMvX3JlbHMvZTJvRG9jLnhtbC5yZWxzUEsB&#10;Ai0AFAAGAAgAAAAhANmS8xrhAAAACwEAAA8AAAAAAAAAAAAAAAAAMAcAAGRycy9kb3ducmV2Lnht&#10;bFBLAQItAAoAAAAAAAAAIQDQg5VbF7EDABexAwAUAAAAAAAAAAAAAAAAAD4IAABkcnMvbWVkaWEv&#10;aW1hZ2UxLlBOR1BLBQYAAAAABgAGAHwBAACHuQMAAAA=&#10;">
                    <v:shape id="Picture 7" o:spid="_x0000_s1047" type="#_x0000_t75" style="position:absolute;width:16802;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FtPDAAAA2gAAAA8AAABkcnMvZG93bnJldi54bWxEj0FrwkAUhO+F/oflCd6ajUqbGt2EUtB6&#10;qWAUen1kn0kw+zZkt0n8991CocdhZr5htvlkWjFQ7xrLChZRDIK4tLrhSsHlvHt6BeE8ssbWMim4&#10;k4M8e3zYYqrtyCcaCl+JAGGXooLa+y6V0pU1GXSR7YiDd7W9QR9kX0nd4xjgppXLOH6RBhsOCzV2&#10;9F5TeSu+jYJPXbjhmdaH4zLZf+1wdVt/jBel5rPpbQPC0+T/w3/tg1aQwO+VcANk9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4EW08MAAADaAAAADwAAAAAAAAAAAAAAAACf&#10;AgAAZHJzL2Rvd25yZXYueG1sUEsFBgAAAAAEAAQA9wAAAI8DAAAAAA==&#10;">
                      <v:imagedata r:id="rId24" o:title=""/>
                      <v:path arrowok="t"/>
                    </v:shape>
                    <v:shapetype id="_x0000_t202" coordsize="21600,21600" o:spt="202" path="m,l,21600r21600,l21600,xe">
                      <v:stroke joinstyle="miter"/>
                      <v:path gradientshapeok="t" o:connecttype="rect"/>
                    </v:shapetype>
                    <v:shape id="Text Box 1" o:spid="_x0000_s1048" type="#_x0000_t202" style="position:absolute;top:18288;width:17214;height:6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cpTsIA&#10;AADaAAAADwAAAGRycy9kb3ducmV2LnhtbESPzYvCMBTE74L/Q3iCF9HUHkSqUXb9AA/rwQ88P5q3&#10;bdnmpSTR1v/eLAgeh5n5DbNcd6YWD3K+sqxgOklAEOdWV1wouF724zkIH5A11pZJwZM8rFf93hIz&#10;bVs+0eMcChEh7DNUUIbQZFL6vCSDfmIb4uj9WmcwROkKqR22EW5qmSbJTBqsOC6U2NCmpPzvfDcK&#10;Zlt3b0+8GW2vux88NkV6+37elBoOuq8FiEBd+ITf7YNWkML/lXg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NylOwgAAANoAAAAPAAAAAAAAAAAAAAAAAJgCAABkcnMvZG93&#10;bnJldi54bWxQSwUGAAAAAAQABAD1AAAAhwMAAAAA&#10;" stroked="f">
                      <v:textbox inset="0,0,0,0">
                        <w:txbxContent>
                          <w:p w14:paraId="6C60DA9C" w14:textId="77777777" w:rsidR="0048064B" w:rsidRPr="005A1079" w:rsidRDefault="0048064B" w:rsidP="00F918EE">
                            <w:pPr>
                              <w:pStyle w:val="Caption"/>
                            </w:pPr>
                            <w:bookmarkStart w:id="43" w:name="_Toc516780145"/>
                            <w:bookmarkStart w:id="44" w:name="_Toc517707387"/>
                            <w:r w:rsidRPr="005A1079">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t>:</w:t>
                            </w:r>
                            <w:r w:rsidRPr="005A1079">
                              <w:t xml:space="preserve"> </w:t>
                            </w:r>
                            <w:r>
                              <w:t>B</w:t>
                            </w:r>
                            <w:r w:rsidRPr="005A1079">
                              <w:t xml:space="preserve">urn to thigh sustained from exploding </w:t>
                            </w:r>
                            <w:r>
                              <w:t>e-cigarette</w:t>
                            </w:r>
                            <w:r w:rsidRPr="005A1079">
                              <w:t xml:space="preserve"> in pocket; Bauman et al 2017</w:t>
                            </w:r>
                            <w:bookmarkEnd w:id="43"/>
                            <w:bookmarkEnd w:id="44"/>
                          </w:p>
                        </w:txbxContent>
                      </v:textbox>
                    </v:shape>
                    <w10:wrap type="square"/>
                  </v:group>
                </w:pict>
              </mc:Fallback>
            </mc:AlternateContent>
          </w:r>
          <w:r w:rsidRPr="004F431A">
            <w:rPr>
              <w:sz w:val="24"/>
            </w:rPr>
            <w:t xml:space="preserve">The </w:t>
          </w:r>
          <w:r>
            <w:rPr>
              <w:sz w:val="24"/>
            </w:rPr>
            <w:t xml:space="preserve">cause is stated to be that the </w:t>
          </w:r>
          <w:r w:rsidRPr="004F431A">
            <w:rPr>
              <w:sz w:val="24"/>
            </w:rPr>
            <w:t xml:space="preserve">lithium ion battery short circuits due to overheating, water exposure, excessive charging, improper charging with incompatible devices, contact with metallic objects or physical battery damage. This so-called ‘lithium ion battery runaway’ causes an explosion and fire resulting in thermal and chemical burns. Exploding </w:t>
          </w:r>
          <w:r>
            <w:rPr>
              <w:sz w:val="24"/>
            </w:rPr>
            <w:t>e-cigarettes</w:t>
          </w:r>
          <w:r w:rsidRPr="004F431A">
            <w:rPr>
              <w:sz w:val="24"/>
            </w:rPr>
            <w:t xml:space="preserve"> can also cause projectile injuries where the parts of the device are injected into various parts of the body such as the mouth, mandible, thigh or hand.</w:t>
          </w:r>
        </w:p>
        <w:p w14:paraId="003B72F3" w14:textId="77777777" w:rsidR="00F918EE" w:rsidRPr="004F431A" w:rsidRDefault="00F918EE" w:rsidP="00F918EE">
          <w:pPr>
            <w:tabs>
              <w:tab w:val="left" w:pos="397"/>
            </w:tabs>
            <w:spacing w:before="60" w:after="60" w:line="264" w:lineRule="auto"/>
            <w:rPr>
              <w:sz w:val="24"/>
            </w:rPr>
          </w:pPr>
        </w:p>
        <w:p w14:paraId="03B593F8" w14:textId="77777777" w:rsidR="00F918EE" w:rsidRDefault="00F918EE" w:rsidP="00F918EE">
          <w:pPr>
            <w:tabs>
              <w:tab w:val="left" w:pos="397"/>
            </w:tabs>
            <w:spacing w:before="60" w:after="60" w:line="264" w:lineRule="auto"/>
            <w:rPr>
              <w:sz w:val="24"/>
            </w:rPr>
          </w:pPr>
          <w:r>
            <w:rPr>
              <w:sz w:val="24"/>
            </w:rPr>
            <w:t>The case reports describe</w:t>
          </w:r>
          <w:r w:rsidRPr="004F431A">
            <w:rPr>
              <w:sz w:val="24"/>
            </w:rPr>
            <w:t xml:space="preserve"> the device being in the trousers pocket of the user resulting in burns to the upper legs and lower trunk </w:t>
          </w:r>
          <w:r w:rsidRPr="004F431A">
            <w:rPr>
              <w:sz w:val="24"/>
            </w:rPr>
            <w:fldChar w:fldCharType="begin">
              <w:fldData xml:space="preserve">PEVuZE5vdGU+PENpdGU+PEF1dGhvcj5CYXVtYW48L0F1dGhvcj48WWVhcj4yMDE3PC9ZZWFyPjxS
ZWNOdW0+NTMwNzwvUmVjTnVtPjxEaXNwbGF5VGV4dD4oQmF1bWFuLCBSb21hbiBldCBhbC4gMjAx
NywgSGFyc2htYW4sIFZvanZvZGljIGV0IGFsLiAyMDE3LCBQYXR0ZXJzb24sIEJlY2tldHQgZXQg
YWwuIDIwMTcsIFRyZWl0bCwgU29sb21vbiBldCBhbC4gMjAxNyk8L0Rpc3BsYXlUZXh0PjxyZWNv
cmQ+PHJlYy1udW1iZXI+NTMwNzwvcmVjLW51bWJlcj48Zm9yZWlnbi1rZXlzPjxrZXkgYXBwPSJF
TiIgZGItaWQ9Ijl6MDVkejBwcmFhZGZ1ZWUwem94emVkazl6ZmU1Znh4NTB6NSIgdGltZXN0YW1w
PSIxNTIzOTIwOTQ0Ij41MzA3PC9rZXk+PGtleSBhcHA9IkVOV2ViIiBkYi1pZD0iIj4wPC9rZXk+
PC9mb3JlaWduLWtleXM+PHJlZi10eXBlIG5hbWU9IkpvdXJuYWwgQXJ0aWNsZSI+MTc8L3JlZi10
eXBlPjxjb250cmlidXRvcnM+PGF1dGhvcnM+PGF1dGhvcj5CYXVtYW4sIFouIE0uPC9hdXRob3I+
PGF1dGhvcj5Sb21hbiwgSi48L2F1dGhvcj48YXV0aG9yPlNpbmdlciwgTS48L2F1dGhvcj48YXV0
aG9yPlZlcmNydXlzc2UsIEcuIEEuPC9hdXRob3I+PC9hdXRob3JzPjwvY29udHJpYnV0b3JzPjxh
dXRoLWFkZHJlc3M+VW5pdmVyc2l0eSBvZiBBcml6b25hIE1lZGljYWwgQ2VudGVyLCBEZXBhcnRt
ZW50IG9mIFRyYXVtYSwgQ3JpdGljYWwgQ2FyZSwgQnVybnMgYW5kIEVtZXJnZW5jeSBTdXJnZXJ5
LCBVbml0ZWQgU3RhdGVzLiYjeEQ7VW5pdmVyc2l0eSBvZiBBcml6b25hIE1lZGljYWwgQ2VudGVy
LCBEZXBhcnRtZW50IG9mIFRyYXVtYSwgQ3JpdGljYWwgQ2FyZSwgQnVybnMgYW5kIEVtZXJnZW5j
eSBTdXJnZXJ5LCBVbml0ZWQgU3RhdGVzLiBFbGVjdHJvbmljIGFkZHJlc3M6IGd2ZXJjcnV5c3Nl
QHN1cmdlcnkuYXJpem9uYS5lZHUuPC9hdXRoLWFkZHJlc3M+PHRpdGxlcz48dGl0bGU+Q2FuYXJ5
IGluIHRoZSBjb2FsIG1pbmUtSW5pdGlhbCByZXBvcnRzIG9mIHRoZXJtYWwgaW5qdXJ5IHNlY29u
ZGFyeSB0byBlbGVjdHJvbmljIGNpZ2FyZXR0ZXM8L3RpdGxlPjxzZWNvbmRhcnktdGl0bGU+QnVy
bnM8L3NlY29uZGFyeS10aXRsZT48YWx0LXRpdGxlPkJ1cm5zIDogam91cm5hbCBvZiB0aGUgSW50
ZXJuYXRpb25hbCBTb2NpZXR5IGZvciBCdXJuIEluanVyaWVzPC9hbHQtdGl0bGU+PC90aXRsZXM+
PHBlcmlvZGljYWw+PGZ1bGwtdGl0bGU+QnVybnM8L2Z1bGwtdGl0bGU+PGFiYnItMT5CdXJucyA6
IGpvdXJuYWwgb2YgdGhlIEludGVybmF0aW9uYWwgU29jaWV0eSBmb3IgQnVybiBJbmp1cmllczwv
YWJici0xPjwvcGVyaW9kaWNhbD48YWx0LXBlcmlvZGljYWw+PGZ1bGwtdGl0bGU+QnVybnM8L2Z1
bGwtdGl0bGU+PGFiYnItMT5CdXJucyA6IGpvdXJuYWwgb2YgdGhlIEludGVybmF0aW9uYWwgU29j
aWV0eSBmb3IgQnVybiBJbmp1cmllczwvYWJici0xPjwvYWx0LXBlcmlvZGljYWw+PHBhZ2VzPmUz
OC1lNDI8L3BhZ2VzPjx2b2x1bWU+NDM8L3ZvbHVtZT48bnVtYmVyPjM8L251bWJlcj48ZWRpdGlv
bj4yMDE3LzAzLzEwPC9lZGl0aW9uPjxrZXl3b3Jkcz48a2V5d29yZD5BZHVsdDwva2V5d29yZD48
a2V5d29yZD5CYW5kYWdlczwva2V5d29yZD48a2V5d29yZD5CdXJucy8qZXRpb2xvZ3kvdGhlcmFw
eTwva2V5d29yZD48a2V5d29yZD5EZWJyaWRlbWVudDwva2V5d29yZD48a2V5d29yZD5FbGVjdHJp
YyBQb3dlciBTdXBwbGllcy8qYWR2ZXJzZSBlZmZlY3RzPC9rZXl3b3JkPjxrZXl3b3JkPkVsZWN0
cm9uaWMgTmljb3RpbmUgRGVsaXZlcnkgU3lzdGVtcy8qYWR2ZXJzZSBlZmZlY3RzPC9rZXl3b3Jk
PjxrZXl3b3JkPkh1bWFuczwva2V5d29yZD48a2V5d29yZD5MZWcgSW5qdXJpZXMvKmV0aW9sb2d5
L3RoZXJhcHk8L2tleXdvcmQ+PGtleXdvcmQ+TWFsZTwva2V5d29yZD48a2V5d29yZD5NaWRkbGUg
QWdlZDwva2V5d29yZD48a2V5d29yZD5Ta2luIFRyYW5zcGxhbnRhdGlvbjwva2V5d29yZD48a2V5
d29yZD5UaGlnaDwva2V5d29yZD48a2V5d29yZD5Xb3VuZCBJbmZlY3Rpb24vdGhlcmFweTwva2V5
d29yZD48a2V5d29yZD5Zb3VuZyBBZHVsdDwva2V5d29yZD48a2V5d29yZD5CdXJuczwva2V5d29y
ZD48a2V5d29yZD5FbGVjdHJvbmljIGNpZ2FyZXR0ZXM8L2tleXdvcmQ+PGtleXdvcmQ+TGl0aGl1
bS1pb24gYmF0dGVyeTwva2V5d29yZD48a2V5d29yZD5UaGVybWFsIGluanVyeTwva2V5d29yZD48
L2tleXdvcmRzPjxkYXRlcz48eWVhcj4yMDE3PC95ZWFyPjxwdWItZGF0ZXM+PGRhdGU+TWF5PC9k
YXRlPjwvcHViLWRhdGVzPjwvZGF0ZXM+PGlzYm4+MDMwNS00MTc5PC9pc2JuPjxhY2Nlc3Npb24t
bnVtPjI4Mjc3MjczPC9hY2Nlc3Npb24tbnVtPjx1cmxzPjxyZWxhdGVkLXVybHM+PHVybD5odHRw
czovL3d3dy5zY2llbmNlZGlyZWN0LmNvbS9zY2llbmNlL2FydGljbGUvcGlpL1MwMzA1NDE3OTE2
MzA0MDI4P3ZpYSUzRGlodWI8L3VybD48L3JlbGF0ZWQtdXJscz48L3VybHM+PGVsZWN0cm9uaWMt
cmVzb3VyY2UtbnVtPjEwLjEwMTYvai5idXJucy4yMDE2LjA5LjAyNDwvZWxlY3Ryb25pYy1yZXNv
dXJjZS1udW0+PHJlbW90ZS1kYXRhYmFzZS1wcm92aWRlcj5OTE08L3JlbW90ZS1kYXRhYmFzZS1w
cm92aWRlcj48bGFuZ3VhZ2U+ZW5nPC9sYW5ndWFnZT48L3JlY29yZD48L0NpdGU+PENpdGU+PEF1
dGhvcj5UcmVpdGw8L0F1dGhvcj48WWVhcj4yMDE3PC9ZZWFyPjxSZWNOdW0+NTE4MDwvUmVjTnVt
PjxyZWNvcmQ+PHJlYy1udW1iZXI+NTE4MDwvcmVjLW51bWJlcj48Zm9yZWlnbi1rZXlzPjxrZXkg
YXBwPSJFTiIgZGItaWQ9Ijl6MDVkejBwcmFhZGZ1ZWUwem94emVkazl6ZmU1Znh4NTB6NSIgdGlt
ZXN0YW1wPSIxNTIzOTIwOTMwIj41MTgwPC9rZXk+PGtleSBhcHA9IkVOV2ViIiBkYi1pZD0iIj4w
PC9rZXk+PC9mb3JlaWduLWtleXM+PHJlZi10eXBlIG5hbWU9IkpvdXJuYWwgQXJ0aWNsZSI+MTc8
L3JlZi10eXBlPjxjb250cmlidXRvcnM+PGF1dGhvcnM+PGF1dGhvcj5UcmVpdGwsIEQuPC9hdXRo
b3I+PGF1dGhvcj5Tb2xvbW9uLCBSLjwvYXV0aG9yPjxhdXRob3I+RGF2YXJlLCBELiBMLjwvYXV0
aG9yPjxhdXRob3I+U2FuY2hleiwgUi48L2F1dGhvcj48YXV0aG9yPktpZmZpbiwgQy48L2F1dGhv
cj48L2F1dGhvcnM+PC9jb250cmlidXRvcnM+PGF1dGgtYWRkcmVzcz5EaXZpc2lvbiBvZiBBY3V0
ZSBDYXJlIFN1cmdlcnkgYW5kIFRyYXVtYSwgTWVtb3JpYWwgUmVnaW9uYWwgSG9zcGl0YWwsIEhv
bGx5d29vZCwgRmxvcmlkYTsgTW91bnQgU2luYWkgTWVkaWNhbCBDZW50ZXIsIE1pYW1pIEJlYWNo
LCBGbG9yaWRhLiYjeEQ7RGl2aXNpb24gb2YgQWN1dGUgQ2FyZSBTdXJnZXJ5IGFuZCBUcmF1bWEs
IE1lbW9yaWFsIFJlZ2lvbmFsIEhvc3BpdGFsLCBIb2xseXdvb2QsIEZsb3JpZGEuPC9hdXRoLWFk
ZHJlc3M+PHRpdGxlcz48dGl0bGU+RnVsbCBhbmQgUGFydGlhbCBUaGlja25lc3MgQnVybnMgZnJv
bSBTcG9udGFuZW91cyBDb21idXN0aW9uIG9mIEUtQ2lnYXJldHRlIExpdGhpdW0tSW9uIEJhdHRl
cmllcyB3aXRoIFJldmlldyBvZiBMaXRlcmF0dXJlPC90aXRsZT48c2Vjb25kYXJ5LXRpdGxlPkog
RW1lcmcgTWVkPC9zZWNvbmRhcnktdGl0bGU+PGFsdC10aXRsZT5UaGUgSm91cm5hbCBvZiBlbWVy
Z2VuY3kgbWVkaWNpbmU8L2FsdC10aXRsZT48L3RpdGxlcz48cGVyaW9kaWNhbD48ZnVsbC10aXRs
ZT5KIEVtZXJnIE1lZDwvZnVsbC10aXRsZT48YWJici0xPlRoZSBKb3VybmFsIG9mIGVtZXJnZW5j
eSBtZWRpY2luZTwvYWJici0xPjwvcGVyaW9kaWNhbD48YWx0LXBlcmlvZGljYWw+PGZ1bGwtdGl0
bGU+SiBFbWVyZyBNZWQ8L2Z1bGwtdGl0bGU+PGFiYnItMT5UaGUgSm91cm5hbCBvZiBlbWVyZ2Vu
Y3kgbWVkaWNpbmU8L2FiYnItMT48L2FsdC1wZXJpb2RpY2FsPjxwYWdlcz4xMjEtMTI1PC9wYWdl
cz48dm9sdW1lPjUzPC92b2x1bWU+PG51bWJlcj4xPC9udW1iZXI+PGVkaXRpb24+MjAxNy8wNS8x
NjwvZWRpdGlvbj48a2V5d29yZHM+PGtleXdvcmQ+ZWxlY3Ryb25pYyBjaWdhcmV0dGUgYnVybnM8
L2tleXdvcmQ+PGtleXdvcmQ+ZnVsbCBhbmQgcGFydGlhbCB0aGlja25lc3MgYnVybnM8L2tleXdv
cmQ+PGtleXdvcmQ+bGl0aGl1bS1pb24gYmF0dGVyeSBleHBsb3Npb25zPC9rZXl3b3JkPjwva2V5
d29yZHM+PGRhdGVzPjx5ZWFyPjIwMTc8L3llYXI+PHB1Yi1kYXRlcz48ZGF0ZT5KdWw8L2RhdGU+
PC9wdWItZGF0ZXM+PC9kYXRlcz48aXNibj4wNzM2LTQ2NzkgKFByaW50KSYjeEQ7MDczNi00Njc5
PC9pc2JuPjxhY2Nlc3Npb24tbnVtPjI4NTAxMzg1PC9hY2Nlc3Npb24tbnVtPjx1cmxzPjxyZWxh
dGVkLXVybHM+PHVybD5odHRwczovL3d3dy5zY2llbmNlZGlyZWN0LmNvbS9zY2llbmNlL2FydGlj
bGUvcGlpL1MwNzM2NDY3OTE3MzAzMjE5P3ZpYSUzRGlodWI8L3VybD48L3JlbGF0ZWQtdXJscz48
L3VybHM+PGVsZWN0cm9uaWMtcmVzb3VyY2UtbnVtPjEwLjEwMTYvai5qZW1lcm1lZC4yMDE3LjAz
LjAzMTwvZWxlY3Ryb25pYy1yZXNvdXJjZS1udW0+PHJlbW90ZS1kYXRhYmFzZS1wcm92aWRlcj5O
TE08L3JlbW90ZS1kYXRhYmFzZS1wcm92aWRlcj48bGFuZ3VhZ2U+ZW5nPC9sYW5ndWFnZT48L3Jl
Y29yZD48L0NpdGU+PENpdGU+PEF1dGhvcj5IYXJzaG1hbjwvQXV0aG9yPjxZZWFyPjIwMTc8L1ll
YXI+PFJlY051bT41MTQ1PC9SZWNOdW0+PHJlY29yZD48cmVjLW51bWJlcj41MTQ1PC9yZWMtbnVt
YmVyPjxmb3JlaWduLWtleXM+PGtleSBhcHA9IkVOIiBkYi1pZD0iOXowNWR6MHByYWFkZnVlZTB6
b3h6ZWRrOXpmZTVmeHg1MHo1IiB0aW1lc3RhbXA9IjE1MjM5MjA5MjYiPjUxNDU8L2tleT48L2Zv
cmVpZ24ta2V5cz48cmVmLXR5cGUgbmFtZT0iSm91cm5hbCBBcnRpY2xlIj4xNzwvcmVmLXR5cGU+
PGNvbnRyaWJ1dG9ycz48YXV0aG9ycz48YXV0aG9yPkhhcnNobWFuLCBKLjwvYXV0aG9yPjxhdXRo
b3I+Vm9qdm9kaWMsIE0uPC9hdXRob3I+PGF1dGhvcj5Sb2dlcnMsIEEuIEQuPC9hdXRob3I+PC9h
dXRob3JzPjwvY29udHJpYnV0b3JzPjxhdXRoLWFkZHJlc3M+KlJvc3MgVGlsbGV5IEJ1cm4gQ2Vu
dHJlLFN1bm55YnJvb2sgSGVhbHRoIFNjaWVuY2VzIENlbnRyZSxUb3JvbnRvLE9OLiYjeEQ7ZG91
YmxlIGRhZ2dlckRlcGFydG1lbnQgb2YgU3VyZ2VyeSxEaXZpc2lvbiBvZiBQbGFzdGljIGFuZCBS
ZWNvbnN0cnVjdGl2ZSBTdXJnZXJ5LFVuaXZlcnNpdHkgb2YgVG9yb250byxUb3JvbnRvLE9OLjwv
YXV0aC1hZGRyZXNzPjx0aXRsZXM+PHRpdGxlPkJ1cm5zIGFzc29jaWF0ZWQgd2l0aCBlLWNpZ2Fy
ZXR0ZSBiYXR0ZXJpZXM6IEEgY2FzZSBzZXJpZXMgYW5kIGxpdGVyYXR1cmUgcmV2aWV3PC90aXRs
ZT48c2Vjb25kYXJ5LXRpdGxlPkNqZW08L3NlY29uZGFyeS10aXRsZT48YWx0LXRpdGxlPkNqZW08
L2FsdC10aXRsZT48L3RpdGxlcz48cGVyaW9kaWNhbD48ZnVsbC10aXRsZT5DamVtPC9mdWxsLXRp
dGxlPjxhYmJyLTE+Q2plbTwvYWJici0xPjwvcGVyaW9kaWNhbD48YWx0LXBlcmlvZGljYWw+PGZ1
bGwtdGl0bGU+Q2plbTwvZnVsbC10aXRsZT48YWJici0xPkNqZW08L2FiYnItMT48L2FsdC1wZXJp
b2RpY2FsPjxwYWdlcz4xLTk8L3BhZ2VzPjxlZGl0aW9uPjIwMTcvMDYvMDI8L2VkaXRpb24+PGtl
eXdvcmRzPjxrZXl3b3JkPmJ1cm5zPC9rZXl3b3JkPjxrZXl3b3JkPmUtY2lnYXJldHRlczwva2V5
d29yZD48a2V5d29yZD5saXRoaXVtIGlvbiBiYXR0ZXJ5PC9rZXl3b3JkPjxrZXl3b3JkPnZhcGlu
Zzwva2V5d29yZD48L2tleXdvcmRzPjxkYXRlcz48eWVhcj4yMDE3PC95ZWFyPjxwdWItZGF0ZXM+
PGRhdGU+SnVuIDE8L2RhdGU+PC9wdWItZGF0ZXM+PC9kYXRlcz48aXNibj4xNDgxLTgwMzUgKFBy
aW50KSYjeEQ7MTQ4MS04MDM1PC9pc2JuPjxhY2Nlc3Npb24tbnVtPjI4NTY2MTA2PC9hY2Nlc3Np
b24tbnVtPjx1cmxzPjxyZWxhdGVkLXVybHM+PHVybD5odHRwczovL3d3dy5jYW1icmlkZ2Uub3Jn
L2NvcmUvam91cm5hbHMvY2FuYWRpYW4tam91cm5hbC1vZi1lbWVyZ2VuY3ktbWVkaWNpbmUvYXJ0
aWNsZS9idXJucy1hc3NvY2lhdGVkLXdpdGgtZWNpZ2FyZXR0ZS1iYXR0ZXJpZXMtYS1jYXNlLXNl
cmllcy1hbmQtbGl0ZXJhdHVyZS1yZXZpZXcvN0VENDA3MTczOUNDQUE1Q0EwNzFCQjg4RUEzQzI3
RkM8L3VybD48L3JlbGF0ZWQtdXJscz48L3VybHM+PGVsZWN0cm9uaWMtcmVzb3VyY2UtbnVtPjEw
LjEwMTcvY2VtLjIwMTcuMzI8L2VsZWN0cm9uaWMtcmVzb3VyY2UtbnVtPjxyZW1vdGUtZGF0YWJh
c2UtcHJvdmlkZXI+TkxNPC9yZW1vdGUtZGF0YWJhc2UtcHJvdmlkZXI+PGxhbmd1YWdlPmVuZzwv
bGFuZ3VhZ2U+PC9yZWNvcmQ+PC9DaXRlPjxDaXRlPjxBdXRob3I+UGF0dGVyc29uPC9BdXRob3I+
PFllYXI+MjAxNzwvWWVhcj48UmVjTnVtPjY0MzM8L1JlY051bT48cmVjb3JkPjxyZWMtbnVtYmVy
PjY0MzM8L3JlYy1udW1iZXI+PGZvcmVpZ24ta2V5cz48a2V5IGFwcD0iRU4iIGRiLWlkPSI5ejA1
ZHowcHJhYWRmdWVlMHpveHplZGs5emZlNWZ4eDUwejUiIHRpbWVzdGFtcD0iMTUyMzkyMTA5MSI+
NjQzMzwva2V5PjxrZXkgYXBwPSJFTldlYiIgZGItaWQ9IiI+MDwva2V5PjwvZm9yZWlnbi1rZXlz
PjxyZWYtdHlwZSBuYW1lPSJKb3VybmFsIEFydGljbGUiPjE3PC9yZWYtdHlwZT48Y29udHJpYnV0
b3JzPjxhdXRob3JzPjxhdXRob3I+UGF0dGVyc29uLCBTY290dCBCLjwvYXV0aG9yPjxhdXRob3I+
QmVja2V0dCwgQWxsaXNvbiBSLjwvYXV0aG9yPjxhdXRob3I+TGludG5lciwgQWxpY2lhPC9hdXRo
b3I+PGF1dGhvcj5MZWFoZXksIENhcmx5PC9hdXRob3I+PGF1dGhvcj5HcmVlciwgQXNobGV5PC9h
dXRob3I+PGF1dGhvcj5CcmV2YXJkLCBTaWRuZXkgQi48L2F1dGhvcj48YXV0aG9yPlNpbW1vbnMs
IEpvbiBELjwvYXV0aG9yPjxhdXRob3I+S2FobiwgU3RldmVuIEEuPC9hdXRob3I+PC9hdXRob3Jz
PjwvY29udHJpYnV0b3JzPjx0aXRsZXM+PHRpdGxlPkEgTm92ZWwgQ2xhc3NpZmljYXRpb24gU3lz
dGVtIGZvciBJbmp1cmllcyBBZnRlciBFbGVjdHJvbmljIENpZ2FyZXR0ZSBFeHBsb3Npb25zPC90
aXRsZT48c2Vjb25kYXJ5LXRpdGxlPkpvdXJuYWwgb2YgQnVybiBDYXJlICZhbXA7IFJlc2VhcmNo
PC9zZWNvbmRhcnktdGl0bGU+PC90aXRsZXM+PHBlcmlvZGljYWw+PGZ1bGwtdGl0bGU+Sm91cm5h
bCBvZiBCdXJuIENhcmUgJmFtcDsgUmVzZWFyY2g8L2Z1bGwtdGl0bGU+PC9wZXJpb2RpY2FsPjxw
YWdlcz5FOTUtRTEwMDwvcGFnZXM+PHZvbHVtZT4zODwvdm9sdW1lPjxudW1iZXI+MTwvbnVtYmVy
PjxkYXRlcz48eWVhcj4yMDE3PC95ZWFyPjxwdWItZGF0ZXM+PGRhdGU+SmFuLUZlYjwvZGF0ZT48
L3B1Yi1kYXRlcz48L2RhdGVzPjxpc2JuPjE1NTktMDQ3WDwvaXNibj48YWNjZXNzaW9uLW51bT5X
T1M6MDAwMzkxODY3NTAwMDE1PC9hY2Nlc3Npb24tbnVtPjx1cmxzPjxyZWxhdGVkLXVybHM+PHVy
bD4mbHQ7R28gdG8gSVNJJmd0OzovL1dPUzowMDAzOTE4Njc1MDAwMTU8L3VybD48dXJsPmh0dHBz
Oi8vd2F0ZXJtYXJrLnNpbHZlcmNoYWlyLmNvbS8wMTI1MzA5Mi0yMDE3MDEwMDAtMDAwMjIucGRm
P3Rva2VuPUFRRUNBSGkyMDhCRTQ5T29hbjlra2hXX0VyY3k3RG0zWkxfOUNmM3FmS0FjNDg1eXNn
QUFBZEl3Z2dIT0Jna3Foa2lHOXcwQkJ3YWdnZ0dfTUlJQnV3SUJBRENDQWJRR0NTcUdTSWIzRFFF
SEFUQWVCZ2xnaGtnQlpRTUVBUzR3RVFRTURKY3pQaFljdGlKcldXaVFBZ0VRZ0lJQmhZX21DM2Q1
aWxhZmpWZDQzTEtoYlBydTJDMUhfUE44RXJPbkJLU3EwMnhXSHhNNnZTaE9FSDhjcmFNMjhNbXht
bzVmdl9iRFh5czZrbDlpTE1jcV9ZeEk3SXNBdThmeUNkX2ZQOUVnN0V3NjNSamZFQ1RFS0djeFlK
dlFOS3FLSEtDVU1YR0ZaQkJaM1EzVGFqZjR4ZjVja0lwRDZzb3JxOWlfWnB5NDJReHZUVVdMT2ZH
cEczbjBPUWwwTEM0U2o4QmxFeHBNUmtFSVIxeGZjQ2JJbVppTGdYNFRpeGE1YXpQS044RXBHclFP
Uzk0cHd5akdfY3BmTkloMmE0Y0RrVHktbWRudVpaOE5PbG04aVdmMmx6VXlSQVM3WERkMkZJbDB6
Y2pBQmNUNm5tb1VuT2VhRHZpZG9BMXAwRzZnMlpnNHJrWVU3T1RMMVYtUnZ5TlZicUR2M0ZCY3cz
UGt4dkUtSDU2OEQxcHFuYmFwa0pSajBBZWkxQ3ZIb3dNS1BoRm1GNFpVNDVFbTFicEpfM3hVOW44
akRZcUVrUmlpX2pSWHQ4ZVRfTTc0N3BJZngwZzF2cUwzeERYd1k2dGRseU9KTjVCSHJYZ3RDSFJV
REF4anNJTkdqZHl5cnlCaG1Vb0xGb0VYOU9YQ3RPSkZnWkVZUzZWTEtMbTQ5bTV2RThua0lWeFQ8
L3VybD48L3JlbGF0ZWQtdXJscz48L3VybHM+PGVsZWN0cm9uaWMtcmVzb3VyY2UtbnVtPjEwLjEw
OTcvYmNyLjAwMDAwMDAwMDAwMDA0NzE8L2VsZWN0cm9uaWMtcmVzb3VyY2UtbnVtPjwvcmVjb3Jk
PjwvQ2l0ZT48L0VuZE5vdGU+AG==
</w:fldData>
            </w:fldChar>
          </w:r>
          <w:r>
            <w:rPr>
              <w:sz w:val="24"/>
            </w:rPr>
            <w:instrText xml:space="preserve"> ADDIN EN.CITE </w:instrText>
          </w:r>
          <w:r>
            <w:rPr>
              <w:sz w:val="24"/>
            </w:rPr>
            <w:fldChar w:fldCharType="begin">
              <w:fldData xml:space="preserve">PEVuZE5vdGU+PENpdGU+PEF1dGhvcj5CYXVtYW48L0F1dGhvcj48WWVhcj4yMDE3PC9ZZWFyPjxS
ZWNOdW0+NTMwNzwvUmVjTnVtPjxEaXNwbGF5VGV4dD4oQmF1bWFuLCBSb21hbiBldCBhbC4gMjAx
NywgSGFyc2htYW4sIFZvanZvZGljIGV0IGFsLiAyMDE3LCBQYXR0ZXJzb24sIEJlY2tldHQgZXQg
YWwuIDIwMTcsIFRyZWl0bCwgU29sb21vbiBldCBhbC4gMjAxNyk8L0Rpc3BsYXlUZXh0PjxyZWNv
cmQ+PHJlYy1udW1iZXI+NTMwNzwvcmVjLW51bWJlcj48Zm9yZWlnbi1rZXlzPjxrZXkgYXBwPSJF
TiIgZGItaWQ9Ijl6MDVkejBwcmFhZGZ1ZWUwem94emVkazl6ZmU1Znh4NTB6NSIgdGltZXN0YW1w
PSIxNTIzOTIwOTQ0Ij41MzA3PC9rZXk+PGtleSBhcHA9IkVOV2ViIiBkYi1pZD0iIj4wPC9rZXk+
PC9mb3JlaWduLWtleXM+PHJlZi10eXBlIG5hbWU9IkpvdXJuYWwgQXJ0aWNsZSI+MTc8L3JlZi10
eXBlPjxjb250cmlidXRvcnM+PGF1dGhvcnM+PGF1dGhvcj5CYXVtYW4sIFouIE0uPC9hdXRob3I+
PGF1dGhvcj5Sb21hbiwgSi48L2F1dGhvcj48YXV0aG9yPlNpbmdlciwgTS48L2F1dGhvcj48YXV0
aG9yPlZlcmNydXlzc2UsIEcuIEEuPC9hdXRob3I+PC9hdXRob3JzPjwvY29udHJpYnV0b3JzPjxh
dXRoLWFkZHJlc3M+VW5pdmVyc2l0eSBvZiBBcml6b25hIE1lZGljYWwgQ2VudGVyLCBEZXBhcnRt
ZW50IG9mIFRyYXVtYSwgQ3JpdGljYWwgQ2FyZSwgQnVybnMgYW5kIEVtZXJnZW5jeSBTdXJnZXJ5
LCBVbml0ZWQgU3RhdGVzLiYjeEQ7VW5pdmVyc2l0eSBvZiBBcml6b25hIE1lZGljYWwgQ2VudGVy
LCBEZXBhcnRtZW50IG9mIFRyYXVtYSwgQ3JpdGljYWwgQ2FyZSwgQnVybnMgYW5kIEVtZXJnZW5j
eSBTdXJnZXJ5LCBVbml0ZWQgU3RhdGVzLiBFbGVjdHJvbmljIGFkZHJlc3M6IGd2ZXJjcnV5c3Nl
QHN1cmdlcnkuYXJpem9uYS5lZHUuPC9hdXRoLWFkZHJlc3M+PHRpdGxlcz48dGl0bGU+Q2FuYXJ5
IGluIHRoZSBjb2FsIG1pbmUtSW5pdGlhbCByZXBvcnRzIG9mIHRoZXJtYWwgaW5qdXJ5IHNlY29u
ZGFyeSB0byBlbGVjdHJvbmljIGNpZ2FyZXR0ZXM8L3RpdGxlPjxzZWNvbmRhcnktdGl0bGU+QnVy
bnM8L3NlY29uZGFyeS10aXRsZT48YWx0LXRpdGxlPkJ1cm5zIDogam91cm5hbCBvZiB0aGUgSW50
ZXJuYXRpb25hbCBTb2NpZXR5IGZvciBCdXJuIEluanVyaWVzPC9hbHQtdGl0bGU+PC90aXRsZXM+
PHBlcmlvZGljYWw+PGZ1bGwtdGl0bGU+QnVybnM8L2Z1bGwtdGl0bGU+PGFiYnItMT5CdXJucyA6
IGpvdXJuYWwgb2YgdGhlIEludGVybmF0aW9uYWwgU29jaWV0eSBmb3IgQnVybiBJbmp1cmllczwv
YWJici0xPjwvcGVyaW9kaWNhbD48YWx0LXBlcmlvZGljYWw+PGZ1bGwtdGl0bGU+QnVybnM8L2Z1
bGwtdGl0bGU+PGFiYnItMT5CdXJucyA6IGpvdXJuYWwgb2YgdGhlIEludGVybmF0aW9uYWwgU29j
aWV0eSBmb3IgQnVybiBJbmp1cmllczwvYWJici0xPjwvYWx0LXBlcmlvZGljYWw+PHBhZ2VzPmUz
OC1lNDI8L3BhZ2VzPjx2b2x1bWU+NDM8L3ZvbHVtZT48bnVtYmVyPjM8L251bWJlcj48ZWRpdGlv
bj4yMDE3LzAzLzEwPC9lZGl0aW9uPjxrZXl3b3Jkcz48a2V5d29yZD5BZHVsdDwva2V5d29yZD48
a2V5d29yZD5CYW5kYWdlczwva2V5d29yZD48a2V5d29yZD5CdXJucy8qZXRpb2xvZ3kvdGhlcmFw
eTwva2V5d29yZD48a2V5d29yZD5EZWJyaWRlbWVudDwva2V5d29yZD48a2V5d29yZD5FbGVjdHJp
YyBQb3dlciBTdXBwbGllcy8qYWR2ZXJzZSBlZmZlY3RzPC9rZXl3b3JkPjxrZXl3b3JkPkVsZWN0
cm9uaWMgTmljb3RpbmUgRGVsaXZlcnkgU3lzdGVtcy8qYWR2ZXJzZSBlZmZlY3RzPC9rZXl3b3Jk
PjxrZXl3b3JkPkh1bWFuczwva2V5d29yZD48a2V5d29yZD5MZWcgSW5qdXJpZXMvKmV0aW9sb2d5
L3RoZXJhcHk8L2tleXdvcmQ+PGtleXdvcmQ+TWFsZTwva2V5d29yZD48a2V5d29yZD5NaWRkbGUg
QWdlZDwva2V5d29yZD48a2V5d29yZD5Ta2luIFRyYW5zcGxhbnRhdGlvbjwva2V5d29yZD48a2V5
d29yZD5UaGlnaDwva2V5d29yZD48a2V5d29yZD5Xb3VuZCBJbmZlY3Rpb24vdGhlcmFweTwva2V5
d29yZD48a2V5d29yZD5Zb3VuZyBBZHVsdDwva2V5d29yZD48a2V5d29yZD5CdXJuczwva2V5d29y
ZD48a2V5d29yZD5FbGVjdHJvbmljIGNpZ2FyZXR0ZXM8L2tleXdvcmQ+PGtleXdvcmQ+TGl0aGl1
bS1pb24gYmF0dGVyeTwva2V5d29yZD48a2V5d29yZD5UaGVybWFsIGluanVyeTwva2V5d29yZD48
L2tleXdvcmRzPjxkYXRlcz48eWVhcj4yMDE3PC95ZWFyPjxwdWItZGF0ZXM+PGRhdGU+TWF5PC9k
YXRlPjwvcHViLWRhdGVzPjwvZGF0ZXM+PGlzYm4+MDMwNS00MTc5PC9pc2JuPjxhY2Nlc3Npb24t
bnVtPjI4Mjc3MjczPC9hY2Nlc3Npb24tbnVtPjx1cmxzPjxyZWxhdGVkLXVybHM+PHVybD5odHRw
czovL3d3dy5zY2llbmNlZGlyZWN0LmNvbS9zY2llbmNlL2FydGljbGUvcGlpL1MwMzA1NDE3OTE2
MzA0MDI4P3ZpYSUzRGlodWI8L3VybD48L3JlbGF0ZWQtdXJscz48L3VybHM+PGVsZWN0cm9uaWMt
cmVzb3VyY2UtbnVtPjEwLjEwMTYvai5idXJucy4yMDE2LjA5LjAyNDwvZWxlY3Ryb25pYy1yZXNv
dXJjZS1udW0+PHJlbW90ZS1kYXRhYmFzZS1wcm92aWRlcj5OTE08L3JlbW90ZS1kYXRhYmFzZS1w
cm92aWRlcj48bGFuZ3VhZ2U+ZW5nPC9sYW5ndWFnZT48L3JlY29yZD48L0NpdGU+PENpdGU+PEF1
dGhvcj5UcmVpdGw8L0F1dGhvcj48WWVhcj4yMDE3PC9ZZWFyPjxSZWNOdW0+NTE4MDwvUmVjTnVt
PjxyZWNvcmQ+PHJlYy1udW1iZXI+NTE4MDwvcmVjLW51bWJlcj48Zm9yZWlnbi1rZXlzPjxrZXkg
YXBwPSJFTiIgZGItaWQ9Ijl6MDVkejBwcmFhZGZ1ZWUwem94emVkazl6ZmU1Znh4NTB6NSIgdGlt
ZXN0YW1wPSIxNTIzOTIwOTMwIj41MTgwPC9rZXk+PGtleSBhcHA9IkVOV2ViIiBkYi1pZD0iIj4w
PC9rZXk+PC9mb3JlaWduLWtleXM+PHJlZi10eXBlIG5hbWU9IkpvdXJuYWwgQXJ0aWNsZSI+MTc8
L3JlZi10eXBlPjxjb250cmlidXRvcnM+PGF1dGhvcnM+PGF1dGhvcj5UcmVpdGwsIEQuPC9hdXRo
b3I+PGF1dGhvcj5Tb2xvbW9uLCBSLjwvYXV0aG9yPjxhdXRob3I+RGF2YXJlLCBELiBMLjwvYXV0
aG9yPjxhdXRob3I+U2FuY2hleiwgUi48L2F1dGhvcj48YXV0aG9yPktpZmZpbiwgQy48L2F1dGhv
cj48L2F1dGhvcnM+PC9jb250cmlidXRvcnM+PGF1dGgtYWRkcmVzcz5EaXZpc2lvbiBvZiBBY3V0
ZSBDYXJlIFN1cmdlcnkgYW5kIFRyYXVtYSwgTWVtb3JpYWwgUmVnaW9uYWwgSG9zcGl0YWwsIEhv
bGx5d29vZCwgRmxvcmlkYTsgTW91bnQgU2luYWkgTWVkaWNhbCBDZW50ZXIsIE1pYW1pIEJlYWNo
LCBGbG9yaWRhLiYjeEQ7RGl2aXNpb24gb2YgQWN1dGUgQ2FyZSBTdXJnZXJ5IGFuZCBUcmF1bWEs
IE1lbW9yaWFsIFJlZ2lvbmFsIEhvc3BpdGFsLCBIb2xseXdvb2QsIEZsb3JpZGEuPC9hdXRoLWFk
ZHJlc3M+PHRpdGxlcz48dGl0bGU+RnVsbCBhbmQgUGFydGlhbCBUaGlja25lc3MgQnVybnMgZnJv
bSBTcG9udGFuZW91cyBDb21idXN0aW9uIG9mIEUtQ2lnYXJldHRlIExpdGhpdW0tSW9uIEJhdHRl
cmllcyB3aXRoIFJldmlldyBvZiBMaXRlcmF0dXJlPC90aXRsZT48c2Vjb25kYXJ5LXRpdGxlPkog
RW1lcmcgTWVkPC9zZWNvbmRhcnktdGl0bGU+PGFsdC10aXRsZT5UaGUgSm91cm5hbCBvZiBlbWVy
Z2VuY3kgbWVkaWNpbmU8L2FsdC10aXRsZT48L3RpdGxlcz48cGVyaW9kaWNhbD48ZnVsbC10aXRs
ZT5KIEVtZXJnIE1lZDwvZnVsbC10aXRsZT48YWJici0xPlRoZSBKb3VybmFsIG9mIGVtZXJnZW5j
eSBtZWRpY2luZTwvYWJici0xPjwvcGVyaW9kaWNhbD48YWx0LXBlcmlvZGljYWw+PGZ1bGwtdGl0
bGU+SiBFbWVyZyBNZWQ8L2Z1bGwtdGl0bGU+PGFiYnItMT5UaGUgSm91cm5hbCBvZiBlbWVyZ2Vu
Y3kgbWVkaWNpbmU8L2FiYnItMT48L2FsdC1wZXJpb2RpY2FsPjxwYWdlcz4xMjEtMTI1PC9wYWdl
cz48dm9sdW1lPjUzPC92b2x1bWU+PG51bWJlcj4xPC9udW1iZXI+PGVkaXRpb24+MjAxNy8wNS8x
NjwvZWRpdGlvbj48a2V5d29yZHM+PGtleXdvcmQ+ZWxlY3Ryb25pYyBjaWdhcmV0dGUgYnVybnM8
L2tleXdvcmQ+PGtleXdvcmQ+ZnVsbCBhbmQgcGFydGlhbCB0aGlja25lc3MgYnVybnM8L2tleXdv
cmQ+PGtleXdvcmQ+bGl0aGl1bS1pb24gYmF0dGVyeSBleHBsb3Npb25zPC9rZXl3b3JkPjwva2V5
d29yZHM+PGRhdGVzPjx5ZWFyPjIwMTc8L3llYXI+PHB1Yi1kYXRlcz48ZGF0ZT5KdWw8L2RhdGU+
PC9wdWItZGF0ZXM+PC9kYXRlcz48aXNibj4wNzM2LTQ2NzkgKFByaW50KSYjeEQ7MDczNi00Njc5
PC9pc2JuPjxhY2Nlc3Npb24tbnVtPjI4NTAxMzg1PC9hY2Nlc3Npb24tbnVtPjx1cmxzPjxyZWxh
dGVkLXVybHM+PHVybD5odHRwczovL3d3dy5zY2llbmNlZGlyZWN0LmNvbS9zY2llbmNlL2FydGlj
bGUvcGlpL1MwNzM2NDY3OTE3MzAzMjE5P3ZpYSUzRGlodWI8L3VybD48L3JlbGF0ZWQtdXJscz48
L3VybHM+PGVsZWN0cm9uaWMtcmVzb3VyY2UtbnVtPjEwLjEwMTYvai5qZW1lcm1lZC4yMDE3LjAz
LjAzMTwvZWxlY3Ryb25pYy1yZXNvdXJjZS1udW0+PHJlbW90ZS1kYXRhYmFzZS1wcm92aWRlcj5O
TE08L3JlbW90ZS1kYXRhYmFzZS1wcm92aWRlcj48bGFuZ3VhZ2U+ZW5nPC9sYW5ndWFnZT48L3Jl
Y29yZD48L0NpdGU+PENpdGU+PEF1dGhvcj5IYXJzaG1hbjwvQXV0aG9yPjxZZWFyPjIwMTc8L1ll
YXI+PFJlY051bT41MTQ1PC9SZWNOdW0+PHJlY29yZD48cmVjLW51bWJlcj41MTQ1PC9yZWMtbnVt
YmVyPjxmb3JlaWduLWtleXM+PGtleSBhcHA9IkVOIiBkYi1pZD0iOXowNWR6MHByYWFkZnVlZTB6
b3h6ZWRrOXpmZTVmeHg1MHo1IiB0aW1lc3RhbXA9IjE1MjM5MjA5MjYiPjUxNDU8L2tleT48L2Zv
cmVpZ24ta2V5cz48cmVmLXR5cGUgbmFtZT0iSm91cm5hbCBBcnRpY2xlIj4xNzwvcmVmLXR5cGU+
PGNvbnRyaWJ1dG9ycz48YXV0aG9ycz48YXV0aG9yPkhhcnNobWFuLCBKLjwvYXV0aG9yPjxhdXRo
b3I+Vm9qdm9kaWMsIE0uPC9hdXRob3I+PGF1dGhvcj5Sb2dlcnMsIEEuIEQuPC9hdXRob3I+PC9h
dXRob3JzPjwvY29udHJpYnV0b3JzPjxhdXRoLWFkZHJlc3M+KlJvc3MgVGlsbGV5IEJ1cm4gQ2Vu
dHJlLFN1bm55YnJvb2sgSGVhbHRoIFNjaWVuY2VzIENlbnRyZSxUb3JvbnRvLE9OLiYjeEQ7ZG91
YmxlIGRhZ2dlckRlcGFydG1lbnQgb2YgU3VyZ2VyeSxEaXZpc2lvbiBvZiBQbGFzdGljIGFuZCBS
ZWNvbnN0cnVjdGl2ZSBTdXJnZXJ5LFVuaXZlcnNpdHkgb2YgVG9yb250byxUb3JvbnRvLE9OLjwv
YXV0aC1hZGRyZXNzPjx0aXRsZXM+PHRpdGxlPkJ1cm5zIGFzc29jaWF0ZWQgd2l0aCBlLWNpZ2Fy
ZXR0ZSBiYXR0ZXJpZXM6IEEgY2FzZSBzZXJpZXMgYW5kIGxpdGVyYXR1cmUgcmV2aWV3PC90aXRs
ZT48c2Vjb25kYXJ5LXRpdGxlPkNqZW08L3NlY29uZGFyeS10aXRsZT48YWx0LXRpdGxlPkNqZW08
L2FsdC10aXRsZT48L3RpdGxlcz48cGVyaW9kaWNhbD48ZnVsbC10aXRsZT5DamVtPC9mdWxsLXRp
dGxlPjxhYmJyLTE+Q2plbTwvYWJici0xPjwvcGVyaW9kaWNhbD48YWx0LXBlcmlvZGljYWw+PGZ1
bGwtdGl0bGU+Q2plbTwvZnVsbC10aXRsZT48YWJici0xPkNqZW08L2FiYnItMT48L2FsdC1wZXJp
b2RpY2FsPjxwYWdlcz4xLTk8L3BhZ2VzPjxlZGl0aW9uPjIwMTcvMDYvMDI8L2VkaXRpb24+PGtl
eXdvcmRzPjxrZXl3b3JkPmJ1cm5zPC9rZXl3b3JkPjxrZXl3b3JkPmUtY2lnYXJldHRlczwva2V5
d29yZD48a2V5d29yZD5saXRoaXVtIGlvbiBiYXR0ZXJ5PC9rZXl3b3JkPjxrZXl3b3JkPnZhcGlu
Zzwva2V5d29yZD48L2tleXdvcmRzPjxkYXRlcz48eWVhcj4yMDE3PC95ZWFyPjxwdWItZGF0ZXM+
PGRhdGU+SnVuIDE8L2RhdGU+PC9wdWItZGF0ZXM+PC9kYXRlcz48aXNibj4xNDgxLTgwMzUgKFBy
aW50KSYjeEQ7MTQ4MS04MDM1PC9pc2JuPjxhY2Nlc3Npb24tbnVtPjI4NTY2MTA2PC9hY2Nlc3Np
b24tbnVtPjx1cmxzPjxyZWxhdGVkLXVybHM+PHVybD5odHRwczovL3d3dy5jYW1icmlkZ2Uub3Jn
L2NvcmUvam91cm5hbHMvY2FuYWRpYW4tam91cm5hbC1vZi1lbWVyZ2VuY3ktbWVkaWNpbmUvYXJ0
aWNsZS9idXJucy1hc3NvY2lhdGVkLXdpdGgtZWNpZ2FyZXR0ZS1iYXR0ZXJpZXMtYS1jYXNlLXNl
cmllcy1hbmQtbGl0ZXJhdHVyZS1yZXZpZXcvN0VENDA3MTczOUNDQUE1Q0EwNzFCQjg4RUEzQzI3
RkM8L3VybD48L3JlbGF0ZWQtdXJscz48L3VybHM+PGVsZWN0cm9uaWMtcmVzb3VyY2UtbnVtPjEw
LjEwMTcvY2VtLjIwMTcuMzI8L2VsZWN0cm9uaWMtcmVzb3VyY2UtbnVtPjxyZW1vdGUtZGF0YWJh
c2UtcHJvdmlkZXI+TkxNPC9yZW1vdGUtZGF0YWJhc2UtcHJvdmlkZXI+PGxhbmd1YWdlPmVuZzwv
bGFuZ3VhZ2U+PC9yZWNvcmQ+PC9DaXRlPjxDaXRlPjxBdXRob3I+UGF0dGVyc29uPC9BdXRob3I+
PFllYXI+MjAxNzwvWWVhcj48UmVjTnVtPjY0MzM8L1JlY051bT48cmVjb3JkPjxyZWMtbnVtYmVy
PjY0MzM8L3JlYy1udW1iZXI+PGZvcmVpZ24ta2V5cz48a2V5IGFwcD0iRU4iIGRiLWlkPSI5ejA1
ZHowcHJhYWRmdWVlMHpveHplZGs5emZlNWZ4eDUwejUiIHRpbWVzdGFtcD0iMTUyMzkyMTA5MSI+
NjQzMzwva2V5PjxrZXkgYXBwPSJFTldlYiIgZGItaWQ9IiI+MDwva2V5PjwvZm9yZWlnbi1rZXlz
PjxyZWYtdHlwZSBuYW1lPSJKb3VybmFsIEFydGljbGUiPjE3PC9yZWYtdHlwZT48Y29udHJpYnV0
b3JzPjxhdXRob3JzPjxhdXRob3I+UGF0dGVyc29uLCBTY290dCBCLjwvYXV0aG9yPjxhdXRob3I+
QmVja2V0dCwgQWxsaXNvbiBSLjwvYXV0aG9yPjxhdXRob3I+TGludG5lciwgQWxpY2lhPC9hdXRo
b3I+PGF1dGhvcj5MZWFoZXksIENhcmx5PC9hdXRob3I+PGF1dGhvcj5HcmVlciwgQXNobGV5PC9h
dXRob3I+PGF1dGhvcj5CcmV2YXJkLCBTaWRuZXkgQi48L2F1dGhvcj48YXV0aG9yPlNpbW1vbnMs
IEpvbiBELjwvYXV0aG9yPjxhdXRob3I+S2FobiwgU3RldmVuIEEuPC9hdXRob3I+PC9hdXRob3Jz
PjwvY29udHJpYnV0b3JzPjx0aXRsZXM+PHRpdGxlPkEgTm92ZWwgQ2xhc3NpZmljYXRpb24gU3lz
dGVtIGZvciBJbmp1cmllcyBBZnRlciBFbGVjdHJvbmljIENpZ2FyZXR0ZSBFeHBsb3Npb25zPC90
aXRsZT48c2Vjb25kYXJ5LXRpdGxlPkpvdXJuYWwgb2YgQnVybiBDYXJlICZhbXA7IFJlc2VhcmNo
PC9zZWNvbmRhcnktdGl0bGU+PC90aXRsZXM+PHBlcmlvZGljYWw+PGZ1bGwtdGl0bGU+Sm91cm5h
bCBvZiBCdXJuIENhcmUgJmFtcDsgUmVzZWFyY2g8L2Z1bGwtdGl0bGU+PC9wZXJpb2RpY2FsPjxw
YWdlcz5FOTUtRTEwMDwvcGFnZXM+PHZvbHVtZT4zODwvdm9sdW1lPjxudW1iZXI+MTwvbnVtYmVy
PjxkYXRlcz48eWVhcj4yMDE3PC95ZWFyPjxwdWItZGF0ZXM+PGRhdGU+SmFuLUZlYjwvZGF0ZT48
L3B1Yi1kYXRlcz48L2RhdGVzPjxpc2JuPjE1NTktMDQ3WDwvaXNibj48YWNjZXNzaW9uLW51bT5X
T1M6MDAwMzkxODY3NTAwMDE1PC9hY2Nlc3Npb24tbnVtPjx1cmxzPjxyZWxhdGVkLXVybHM+PHVy
bD4mbHQ7R28gdG8gSVNJJmd0OzovL1dPUzowMDAzOTE4Njc1MDAwMTU8L3VybD48dXJsPmh0dHBz
Oi8vd2F0ZXJtYXJrLnNpbHZlcmNoYWlyLmNvbS8wMTI1MzA5Mi0yMDE3MDEwMDAtMDAwMjIucGRm
P3Rva2VuPUFRRUNBSGkyMDhCRTQ5T29hbjlra2hXX0VyY3k3RG0zWkxfOUNmM3FmS0FjNDg1eXNn
QUFBZEl3Z2dIT0Jna3Foa2lHOXcwQkJ3YWdnZ0dfTUlJQnV3SUJBRENDQWJRR0NTcUdTSWIzRFFF
SEFUQWVCZ2xnaGtnQlpRTUVBUzR3RVFRTURKY3pQaFljdGlKcldXaVFBZ0VRZ0lJQmhZX21DM2Q1
aWxhZmpWZDQzTEtoYlBydTJDMUhfUE44RXJPbkJLU3EwMnhXSHhNNnZTaE9FSDhjcmFNMjhNbXht
bzVmdl9iRFh5czZrbDlpTE1jcV9ZeEk3SXNBdThmeUNkX2ZQOUVnN0V3NjNSamZFQ1RFS0djeFlK
dlFOS3FLSEtDVU1YR0ZaQkJaM1EzVGFqZjR4ZjVja0lwRDZzb3JxOWlfWnB5NDJReHZUVVdMT2ZH
cEczbjBPUWwwTEM0U2o4QmxFeHBNUmtFSVIxeGZjQ2JJbVppTGdYNFRpeGE1YXpQS044RXBHclFP
Uzk0cHd5akdfY3BmTkloMmE0Y0RrVHktbWRudVpaOE5PbG04aVdmMmx6VXlSQVM3WERkMkZJbDB6
Y2pBQmNUNm5tb1VuT2VhRHZpZG9BMXAwRzZnMlpnNHJrWVU3T1RMMVYtUnZ5TlZicUR2M0ZCY3cz
UGt4dkUtSDU2OEQxcHFuYmFwa0pSajBBZWkxQ3ZIb3dNS1BoRm1GNFpVNDVFbTFicEpfM3hVOW44
akRZcUVrUmlpX2pSWHQ4ZVRfTTc0N3BJZngwZzF2cUwzeERYd1k2dGRseU9KTjVCSHJYZ3RDSFJV
REF4anNJTkdqZHl5cnlCaG1Vb0xGb0VYOU9YQ3RPSkZnWkVZUzZWTEtMbTQ5bTV2RThua0lWeFQ8
L3VybD48L3JlbGF0ZWQtdXJscz48L3VybHM+PGVsZWN0cm9uaWMtcmVzb3VyY2UtbnVtPjEwLjEw
OTcvYmNyLjAwMDAwMDAwMDAwMDA0NzE8L2VsZWN0cm9uaWMtcmVzb3VyY2UtbnVtPjwvcmVjb3Jk
PjwvQ2l0ZT48L0VuZE5vdGU+AG==
</w:fldData>
            </w:fldChar>
          </w:r>
          <w:r>
            <w:rPr>
              <w:sz w:val="24"/>
            </w:rPr>
            <w:instrText xml:space="preserve"> ADDIN EN.CITE.DATA </w:instrText>
          </w:r>
          <w:r>
            <w:rPr>
              <w:sz w:val="24"/>
            </w:rPr>
          </w:r>
          <w:r>
            <w:rPr>
              <w:sz w:val="24"/>
            </w:rPr>
            <w:fldChar w:fldCharType="end"/>
          </w:r>
          <w:r w:rsidRPr="004F431A">
            <w:rPr>
              <w:sz w:val="24"/>
            </w:rPr>
          </w:r>
          <w:r w:rsidRPr="004F431A">
            <w:rPr>
              <w:sz w:val="24"/>
            </w:rPr>
            <w:fldChar w:fldCharType="separate"/>
          </w:r>
          <w:r>
            <w:rPr>
              <w:noProof/>
              <w:sz w:val="24"/>
            </w:rPr>
            <w:t>(Bauman, Roman et al. 2017, Harshman, Vojvodic et al. 2017, Patterson, Beckett et al. 2017, Treitl, Solomon et al. 2017)</w:t>
          </w:r>
          <w:r w:rsidRPr="004F431A">
            <w:rPr>
              <w:sz w:val="24"/>
            </w:rPr>
            <w:fldChar w:fldCharType="end"/>
          </w:r>
          <w:r w:rsidRPr="004F431A">
            <w:rPr>
              <w:sz w:val="24"/>
            </w:rPr>
            <w:t xml:space="preserve"> as well as trauma to the mouth or hands</w:t>
          </w:r>
          <w:r>
            <w:rPr>
              <w:sz w:val="24"/>
            </w:rPr>
            <w:t xml:space="preserve"> </w:t>
          </w:r>
          <w:r w:rsidRPr="004F431A">
            <w:rPr>
              <w:sz w:val="24"/>
            </w:rPr>
            <w:fldChar w:fldCharType="begin"/>
          </w:r>
          <w:r>
            <w:rPr>
              <w:sz w:val="24"/>
            </w:rPr>
            <w:instrText xml:space="preserve"> ADDIN EN.CITE &lt;EndNote&gt;&lt;Cite&gt;&lt;Author&gt;Satteson&lt;/Author&gt;&lt;Year&gt;2017&lt;/Year&gt;&lt;RecNum&gt;6488&lt;/RecNum&gt;&lt;DisplayText&gt;(Satteson, Walker et al. 2017)&lt;/DisplayText&gt;&lt;record&gt;&lt;rec-number&gt;6488&lt;/rec-number&gt;&lt;foreign-keys&gt;&lt;key app="EN" db-id="9z05dz0praadfuee0zoxzedk9zfe5fxx50z5" timestamp="1523921097"&gt;6488&lt;/key&gt;&lt;key app="ENWeb" db-id=""&gt;0&lt;/key&gt;&lt;/foreign-keys&gt;&lt;ref-type name="Journal Article"&gt;17&lt;/ref-type&gt;&lt;contributors&gt;&lt;authors&gt;&lt;author&gt;Satteson, E. S.&lt;/author&gt;&lt;author&gt;Walker, N. J.&lt;/author&gt;&lt;author&gt;Tuohy, C. J.&lt;/author&gt;&lt;author&gt;Molnar, J. A.&lt;/author&gt;&lt;/authors&gt;&lt;/contributors&gt;&lt;auth-address&gt;1 Wake Forest University School of Medicine, Winston-Salem, NC, USA.&lt;/auth-address&gt;&lt;titles&gt;&lt;title&gt;Extensive Hand Thermal and Blast Injury From Electronic Cigarette Explosion: A Case Report&lt;/title&gt;&lt;secondary-title&gt;Hand (N Y)&lt;/secondary-title&gt;&lt;alt-title&gt;Hand (New York, N.Y.)&lt;/alt-title&gt;&lt;/titles&gt;&lt;periodical&gt;&lt;full-title&gt;Hand (N Y)&lt;/full-title&gt;&lt;abbr-1&gt;Hand (New York, N.Y.)&lt;/abbr-1&gt;&lt;/periodical&gt;&lt;alt-periodical&gt;&lt;full-title&gt;Hand (N Y)&lt;/full-title&gt;&lt;abbr-1&gt;Hand (New York, N.Y.)&lt;/abbr-1&gt;&lt;/alt-periodical&gt;&lt;pages&gt;1558944717744333&lt;/pages&gt;&lt;edition&gt;2017/12/02&lt;/edition&gt;&lt;keywords&gt;&lt;keyword&gt;electronic cigarette&lt;/keyword&gt;&lt;keyword&gt;explosion&lt;/keyword&gt;&lt;keyword&gt;hand burn&lt;/keyword&gt;&lt;keyword&gt;vaping&lt;/keyword&gt;&lt;keyword&gt;vapor&lt;/keyword&gt;&lt;/keywords&gt;&lt;dates&gt;&lt;year&gt;2017&lt;/year&gt;&lt;pub-dates&gt;&lt;date&gt;Nov 1&lt;/date&gt;&lt;/pub-dates&gt;&lt;/dates&gt;&lt;isbn&gt;1558-9447&lt;/isbn&gt;&lt;accession-num&gt;29192506&lt;/accession-num&gt;&lt;urls&gt;&lt;related-urls&gt;&lt;url&gt;http://journals.sagepub.com/doi/pdf/10.1177/1558944717744333&lt;/url&gt;&lt;/related-urls&gt;&lt;/urls&gt;&lt;electronic-resource-num&gt;10.1177/1558944717744333&lt;/electronic-resource-num&gt;&lt;remote-database-provider&gt;NLM&lt;/remote-database-provider&gt;&lt;language&gt;eng&lt;/language&gt;&lt;/record&gt;&lt;/Cite&gt;&lt;/EndNote&gt;</w:instrText>
          </w:r>
          <w:r w:rsidRPr="004F431A">
            <w:rPr>
              <w:sz w:val="24"/>
            </w:rPr>
            <w:fldChar w:fldCharType="separate"/>
          </w:r>
          <w:r>
            <w:rPr>
              <w:noProof/>
              <w:sz w:val="24"/>
            </w:rPr>
            <w:t>(Satteson, Walker et al. 2017)</w:t>
          </w:r>
          <w:r w:rsidRPr="004F431A">
            <w:rPr>
              <w:sz w:val="24"/>
            </w:rPr>
            <w:fldChar w:fldCharType="end"/>
          </w:r>
          <w:r w:rsidRPr="004F431A">
            <w:rPr>
              <w:sz w:val="24"/>
            </w:rPr>
            <w:t xml:space="preserve">. Five groups of investigators describe facial and arm burns as well as parts of the device being lodged in the mandible and mouth </w:t>
          </w:r>
          <w:r w:rsidRPr="004F431A">
            <w:rPr>
              <w:sz w:val="24"/>
            </w:rPr>
            <w:fldChar w:fldCharType="begin">
              <w:fldData xml:space="preserve">PEVuZE5vdGU+PENpdGU+PEF1dGhvcj5CYW48L0F1dGhvcj48WWVhcj4yMDE3PC9ZZWFyPjxSZWNO
dW0+NTc2MTwvUmVjTnVtPjxEaXNwbGF5VGV4dD4oQW5kZXJzb24sIFJpY2hpZSBldCBhbC4gMjAx
NywgQmFuLCBLcmlzaG5hbiBldCBhbC4gMjAxNywgQnJvb2tzLCBLbGVpbm1hbiBldCBhbC4gMjAx
NywgRm9yYW4sIE9hayBldCBhbC4gMjAxNywgTm9yaWkgYW5kIFBsYXRlIDIwMTcsIFNhdHRlc29u
LCBXYWxrZXIgZXQgYWwuIDIwMTcsIEFja2xleSwgV2lsbGlhbXMgZXQgYWwuIDIwMTgsIENoaSwg
TmV2aWxsZSBldCBhbC4gMjAxOCk8L0Rpc3BsYXlUZXh0PjxyZWNvcmQ+PHJlYy1udW1iZXI+NTc2
MTwvcmVjLW51bWJlcj48Zm9yZWlnbi1rZXlzPjxrZXkgYXBwPSJFTiIgZGItaWQ9Ijl6MDVkejBw
cmFhZGZ1ZWUwem94emVkazl6ZmU1Znh4NTB6NSIgdGltZXN0YW1wPSIxNTIzOTIxMDExIj41NzYx
PC9rZXk+PC9mb3JlaWduLWtleXM+PHJlZi10eXBlIG5hbWU9IkpvdXJuYWwgQXJ0aWNsZSI+MTc8
L3JlZi10eXBlPjxjb250cmlidXRvcnM+PGF1dGhvcnM+PGF1dGhvcj5CYW4sIEMuPC9hdXRob3I+
PGF1dGhvcj5LcmlzaG5hbiwgRC4gRy48L2F1dGhvcj48YXV0aG9yPkFiZGFsbGFoLCBZLjwvYXV0
aG9yPjwvYXV0aG9ycz48L2NvbnRyaWJ1dG9ycz48dGl0bGVzPjx0aXRsZT5CYWxsaXN0aWMgdHJh
dW1hIGZyb20gYW4gZXhwbG9kaW5nIGVsZWN0cm9uaWMgY2lnYXJldHRlOiBDYXNlIHJlcG9ydDwv
dGl0bGU+PHNlY29uZGFyeS10aXRsZT5PcmFsIGFuZCBNYXhpbGxvZmFjaWFsIFN1cmdlcnkgQ2Fz
ZXM8L3NlY29uZGFyeS10aXRsZT48L3RpdGxlcz48cGVyaW9kaWNhbD48ZnVsbC10aXRsZT5PcmFs
IGFuZCBNYXhpbGxvZmFjaWFsIFN1cmdlcnkgQ2FzZXM8L2Z1bGwtdGl0bGU+PC9wZXJpb2RpY2Fs
PjxwYWdlcz42MS02MzwvcGFnZXM+PHZvbHVtZT4zPC92b2x1bWU+PG51bWJlcj4zPC9udW1iZXI+
PGtleXdvcmRzPjxrZXl3b3JkPmNsaW5kYW15Y2luPC9rZXl3b3JkPjxrZXl3b3JkPmFkdWx0PC9r
ZXl3b3JkPjxrZXl3b3JkPkFydGljbGU8L2tleXdvcmQ+PGtleXdvcmQ+Y2FzZSByZXBvcnQ8L2tl
eXdvcmQ+PGtleXdvcmQ+Y29tcHV0ZXIgYXNzaXN0ZWQgdG9tb2dyYXBoeTwva2V5d29yZD48a2V5
d29yZD5kZWJyaWRlbWVudDwva2V5d29yZD48a2V5d29yZD5lbGVjdHJvbmljIGNpZ2FyZXR0ZTwv
a2V5d29yZD48a2V5d29yZD5mb3JlaWduIGJvZHk8L2tleXdvcmQ+PGtleXdvcmQ+Z3Vuc2hvdCBp
bmp1cnk8L2tleXdvcmQ+PGtleXdvcmQ+aHVtYW48L2tleXdvcmQ+PGtleXdvcmQ+aW50ZXJuYXRp
b25hbCBub3JtYWxpemVkIHJhdGlvPC9rZXl3b3JkPjxrZXl3b3JkPm1hbGU8L2tleXdvcmQ+PGtl
eXdvcmQ+bWF4aWxsb2ZhY2lhbCBzdXJnZXJ5PC9rZXl3b3JkPjxrZXl3b3JkPm1pZGRsZSBhZ2Vk
PC9rZXl3b3JkPjxrZXl3b3JkPm94eWdlbiBzYXR1cmF0aW9uPC9rZXl3b3JkPjxrZXl3b3JkPnBy
aW9yaXR5IGpvdXJuYWw8L2tleXdvcmQ+PGtleXdvcmQ+cHJvdGhyb21iaW4gdGltZTwva2V5d29y
ZD48a2V5d29yZD5zbW9raW5nPC9rZXl3b3JkPjwva2V5d29yZHM+PGRhdGVzPjx5ZWFyPjIwMTc8
L3llYXI+PC9kYXRlcz48dXJscz48cmVsYXRlZC11cmxzPjx1cmw+aHR0cHM6Ly93d3cuc2NvcHVz
LmNvbS9pbndhcmQvcmVjb3JkLnVyaT9laWQ9Mi1zMi4wLTg1MDIwNjkyMDE1JmFtcDtkb2k9MTAu
MTAxNiUyZmoub21zYy4yMDE3LjAxLjAwNyZhbXA7cGFydG5lcklEPTQwJmFtcDttZDU9YzQyMzll
ZWRkODY0MWEzNDVkMzE1NDAyZmQwMzdhNzI8L3VybD48dXJsPmh0dHBzOi8vd3d3LnNjaWVuY2Vk
aXJlY3QuY29tL3NjaWVuY2UvYXJ0aWNsZS9waWkvUzIyMTQ1NDE5MTczMDAwN1g/dmlhJTNEaWh1
YjwvdXJsPjwvcmVsYXRlZC11cmxzPjwvdXJscz48ZWxlY3Ryb25pYy1yZXNvdXJjZS1udW0+MTAu
MTAxNi9qLm9tc2MuMjAxNy4wMS4wMDc8L2VsZWN0cm9uaWMtcmVzb3VyY2UtbnVtPjxyZW1vdGUt
ZGF0YWJhc2UtbmFtZT5TY29wdXM8L3JlbW90ZS1kYXRhYmFzZS1uYW1lPjwvcmVjb3JkPjwvQ2l0
ZT48Q2l0ZT48QXV0aG9yPkJyb29rczwvQXV0aG9yPjxZZWFyPjIwMTc8L1llYXI+PFJlY051bT41
NTU3PC9SZWNOdW0+PHJlY29yZD48cmVjLW51bWJlcj41NTU3PC9yZWMtbnVtYmVyPjxmb3JlaWdu
LWtleXM+PGtleSBhcHA9IkVOIiBkYi1pZD0iOXowNWR6MHByYWFkZnVlZTB6b3h6ZWRrOXpmZTVm
eHg1MHo1IiB0aW1lc3RhbXA9IjE1MjM5MjA5ODgiPjU1NTc8L2tleT48a2V5IGFwcD0iRU5XZWIi
IGRiLWlkPSIiPjA8L2tleT48L2ZvcmVpZ24ta2V5cz48cmVmLXR5cGUgbmFtZT0iSm91cm5hbCBB
cnRpY2xlIj4xNzwvcmVmLXR5cGU+PGNvbnRyaWJ1dG9ycz48YXV0aG9ycz48YXV0aG9yPkJyb29r
cywgSi4gSy48L2F1dGhvcj48YXV0aG9yPktsZWlubWFuLCBKLiBXLjwvYXV0aG9yPjxhdXRob3I+
QnJvb2tzLCBKLiBCLjwvYXV0aG9yPjxhdXRob3I+UmV5bm9sZHMsIE0uIEEuPC9hdXRob3I+PC9h
dXRob3JzPjwvY29udHJpYnV0b3JzPjxhdXRoLWFkZHJlc3M+RGVwYXJ0bWVudCBvZiBPbmNvbG9n
eSBhbmQgRGlhZ25vc3RpYyBTY2llbmNlcywgVW5pdmVyc2l0eSBvZiBNYXJ5bGFuZCBTY2hvb2wg
b2YgRGVudGlzdHJ5LCBCYWx0aW1vcmUsIE1hcnlsYW5kLCBVU0EuJiN4RDtEZXBhcnRtZW50IG9m
IFBlcmlvZG9udG9sb2d5LCBVbml2ZXJzaXR5IG9mIE1hcnlsYW5kIFNjaG9vbCBvZiBEZW50aXN0
cnksIEJhbHRpbW9yZSwgTWFyeWxhbmQsIFVTQS4mI3hEO1ByaXZhdGUgcHJhY3RpY2UsIFdlc3Rt
aW5zdGVyLCBNYXJ5bGFuZCwgVVNBLiYjeEQ7VW5pdmVyc2l0eSBvZiBCYWx0aW1vcmUgU2Nob29s
IG9mIExhdywgQmFsdGltb3JlLCBNYXJ5bGFuZCwgVVNBLjwvYXV0aC1hZGRyZXNzPjx0aXRsZXM+
PHRpdGxlPkVsZWN0cm9uaWMgY2lnYXJldHRlIGV4cGxvc2lvbiBhc3NvY2lhdGVkIHdpdGggZXh0
ZW5zaXZlIGludHJhb3JhbCBpbmp1cmllczwvdGl0bGU+PHNlY29uZGFyeS10aXRsZT5EZW50IFRy
YXVtYXRvbDwvc2Vjb25kYXJ5LXRpdGxlPjxhbHQtdGl0bGU+RGVudGFsIHRyYXVtYXRvbG9neSA6
IG9mZmljaWFsIHB1YmxpY2F0aW9uIG9mIEludGVybmF0aW9uYWwgQXNzb2NpYXRpb24gZm9yIERl
bnRhbCBUcmF1bWF0b2xvZ3k8L2FsdC10aXRsZT48L3RpdGxlcz48cGVyaW9kaWNhbD48ZnVsbC10
aXRsZT5EZW50IFRyYXVtYXRvbDwvZnVsbC10aXRsZT48YWJici0xPkRlbnRhbCB0cmF1bWF0b2xv
Z3kgOiBvZmZpY2lhbCBwdWJsaWNhdGlvbiBvZiBJbnRlcm5hdGlvbmFsIEFzc29jaWF0aW9uIGZv
ciBEZW50YWwgVHJhdW1hdG9sb2d5PC9hYmJyLTE+PC9wZXJpb2RpY2FsPjxhbHQtcGVyaW9kaWNh
bD48ZnVsbC10aXRsZT5EZW50IFRyYXVtYXRvbDwvZnVsbC10aXRsZT48YWJici0xPkRlbnRhbCB0
cmF1bWF0b2xvZ3kgOiBvZmZpY2lhbCBwdWJsaWNhdGlvbiBvZiBJbnRlcm5hdGlvbmFsIEFzc29j
aWF0aW9uIGZvciBEZW50YWwgVHJhdW1hdG9sb2d5PC9hYmJyLTE+PC9hbHQtcGVyaW9kaWNhbD48
cGFnZXM+MTQ5LTE1MjwvcGFnZXM+PHZvbHVtZT4zMzwvdm9sdW1lPjxudW1iZXI+MjwvbnVtYmVy
PjxlZGl0aW9uPjIwMTYvMDcvMTI8L2VkaXRpb24+PGtleXdvcmRzPjxrZXl3b3JkPkFkb2xlc2Nl
bnQ8L2tleXdvcmQ+PGtleXdvcmQ+KkVsZWN0cm9uaWMgTmljb3RpbmUgRGVsaXZlcnkgU3lzdGVt
czwva2V5d29yZD48a2V5d29yZD4qRXhwbG9zaW9uczwva2V5d29yZD48a2V5d29yZD5GYWNpYWwg
SW5qdXJpZXMvKmV0aW9sb2d5Lyp0aGVyYXB5PC9rZXl3b3JkPjxrZXl3b3JkPkh1bWFuczwva2V5
d29yZD48a2V5d29yZD5NYWxlPC9rZXl3b3JkPjxrZXl3b3JkPk11bHRpcGxlIFRyYXVtYTwva2V5
d29yZD48a2V5d29yZD5jcm93biBmcmFjdHVyZTwva2V5d29yZD48a2V5d29yZD5kZW50b2FsdmVv
bGFyIHRyYXVtYTwva2V5d29yZD48a2V5d29yZD5lbGVjdHJvbmljIGNpZ2FyZXR0ZTwva2V5d29y
ZD48a2V5d29yZD5leHRydXNpb248L2tleXdvcmQ+PGtleXdvcmQ+c29mdCB0aXNzdWU8L2tleXdv
cmQ+PC9rZXl3b3Jkcz48ZGF0ZXM+PHllYXI+MjAxNzwveWVhcj48cHViLWRhdGVzPjxkYXRlPkFw
cjwvZGF0ZT48L3B1Yi1kYXRlcz48L2RhdGVzPjxpc2JuPjE2MDAtNDQ2OTwvaXNibj48YWNjZXNz
aW9uLW51bT4yNzM5NzEzNzwvYWNjZXNzaW9uLW51bT48dXJscz48cmVsYXRlZC11cmxzPjx1cmw+
aHR0cHM6Ly9vbmxpbmVsaWJyYXJ5LndpbGV5LmNvbS9kb2kvcGRmLzEwLjExMTEvZWR0LjEyMjkz
PC91cmw+PC9yZWxhdGVkLXVybHM+PC91cmxzPjxlbGVjdHJvbmljLXJlc291cmNlLW51bT4xMC4x
MTExL2VkdC4xMjI5MzwvZWxlY3Ryb25pYy1yZXNvdXJjZS1udW0+PHJlbW90ZS1kYXRhYmFzZS1w
cm92aWRlcj5OTE08L3JlbW90ZS1kYXRhYmFzZS1wcm92aWRlcj48bGFuZ3VhZ2U+ZW5nPC9sYW5n
dWFnZT48L3JlY29yZD48L0NpdGU+PENpdGU+PEF1dGhvcj5DaGk8L0F1dGhvcj48WWVhcj4yMDE4
PC9ZZWFyPjxSZWNOdW0+MTc5NzwvUmVjTnVtPjxyZWNvcmQ+PHJlYy1udW1iZXI+MTc5NzwvcmVj
LW51bWJlcj48Zm9yZWlnbi1rZXlzPjxrZXkgYXBwPSJFTiIgZGItaWQ9Ijl2czlwemZ6bmFweHBo
ZWZhMjh4enc5NXNmNWF2MHN2OXJkeiIgdGltZXN0YW1wPSIxNTIxMTU5NDc4Ij4xNzk3PC9rZXk+
PGtleSBhcHA9IkVOV2ViIiBkYi1pZD0iIj4wPC9rZXk+PC9mb3JlaWduLWtleXM+PHJlZi10eXBl
IG5hbWU9IkpvdXJuYWwgQXJ0aWNsZSI+MTc8L3JlZi10eXBlPjxjb250cmlidXRvcnM+PGF1dGhv
cnM+PGF1dGhvcj5DaGksIEEuIEMuPC9hdXRob3I+PGF1dGhvcj5OZXZpbGxlLCBCLiBXLjwvYXV0
aG9yPjxhdXRob3I+UmF2ZW5lbCwgTS48L2F1dGhvcj48L2F1dGhvcnM+PC9jb250cmlidXRvcnM+
PHRpdGxlcz48dGl0bGU+RWxlY3Ryb25pYyBjaWdhcmV0dGUgZXhwbG9zaW9uOiBDYXNlIHJlcG9y
dCBvZiBhbiBlbWVyZ2luZyBjYXVzZSBvZiBvcm9mYWNpYWwgdHJhdW1hPC90aXRsZT48c2Vjb25k
YXJ5LXRpdGxlPlRyYXVtYSAoVW5pdGVkIEtpbmdkb20pPC9zZWNvbmRhcnktdGl0bGU+PC90aXRs
ZXM+PHBlcmlvZGljYWw+PGZ1bGwtdGl0bGU+VHJhdW1hIChVbml0ZWQgS2luZ2RvbSk8L2Z1bGwt
dGl0bGU+PC9wZXJpb2RpY2FsPjxwYWdlcz42Mi02NzwvcGFnZXM+PHZvbHVtZT4yMDwvdm9sdW1l
PjxudW1iZXI+MTwvbnVtYmVyPjxrZXl3b3Jkcz48a2V5d29yZD5hZHVsdDwva2V5d29yZD48a2V5
d29yZD5BcnRpY2xlPC9rZXl3b3JkPjxrZXl3b3JkPmNhc2UgcmVwb3J0PC9rZXl3b3JkPjxrZXl3
b3JkPmNsaW5pY2FsIGFydGljbGU8L2tleXdvcmQ+PGtleXdvcmQ+ZWR1Y2F0aW9uPC9rZXl3b3Jk
PjxrZXl3b3JkPmVxdWlwbWVudCBkZXNpZ248L2tleXdvcmQ+PGtleXdvcmQ+ZXhwbG9zaW9uPC9r
ZXl3b3JkPjxrZXl3b3JkPmZhY2UgaW5qdXJ5PC9rZXl3b3JkPjxrZXl3b3JkPmhhcm0gcmVkdWN0
aW9uPC9rZXl3b3JkPjxrZXl3b3JkPmh1bWFuPC9rZXl3b3JkPjxrZXl3b3JkPmluY2lkZW5jZTwv
a2V5d29yZD48a2V5d29yZD5sYWNlcmF0aW9uPC9rZXl3b3JkPjxrZXl3b3JkPm1hbGU8L2tleXdv
cmQ+PGtleXdvcmQ+bWVkaWNhbCBkZXZpY2UgY29tcGxpY2F0aW9uPC9rZXl3b3JkPjxrZXl3b3Jk
Pm1vdXRoIGluanVyeTwva2V5d29yZD48a2V5d29yZD5vcm9mYWNpYWwgaW5qdXJ5PC9rZXl3b3Jk
PjxrZXl3b3JkPnNhZmV0eTwva2V5d29yZD48a2V5d29yZD5zbW9raW5nIGNlc3NhdGlvbjwva2V5
d29yZD48a2V5d29yZD50ZW1wZXJhdHVyZTwva2V5d29yZD48a2V5d29yZD50b290aCBpbmp1cnk8
L2tleXdvcmQ+PGtleXdvcmQ+VW5pdGVkIFN0YXRlczwva2V5d29yZD48a2V5d29yZD55b3VuZyBh
ZHVsdDwva2V5d29yZD48L2tleXdvcmRzPjxkYXRlcz48eWVhcj4yMDE4PC95ZWFyPjwvZGF0ZXM+
PHVybHM+PHJlbGF0ZWQtdXJscz48dXJsPmh0dHBzOi8vd3d3LnNjb3B1cy5jb20vaW53YXJkL3Jl
Y29yZC51cmk/ZWlkPTItczIuMC04NTAzODgyNjEyNiZhbXA7ZG9pPTEwLjExNzclMmYxNDYwNDA4
NjE2Njc0MjM0JmFtcDtwYXJ0bmVySUQ9NDAmYW1wO21kNT1iYzZhYTJiMWI2Mzg4MGVjYjc3YWEy
YzAzYWJlOTg3MjwvdXJsPjx1cmw+aHR0cDovL2pvdXJuYWxzLnNhZ2VwdWIuY29tL2RvaS9wZGYv
MTAuMTE3Ny8xNDYwNDA4NjE2Njc0MjM0PC91cmw+PC9yZWxhdGVkLXVybHM+PC91cmxzPjxlbGVj
dHJvbmljLXJlc291cmNlLW51bT4xMC4xMTc3LzE0NjA0MDg2MTY2NzQyMzQ8L2VsZWN0cm9uaWMt
cmVzb3VyY2UtbnVtPjxyZW1vdGUtZGF0YWJhc2UtbmFtZT5TY29wdXM8L3JlbW90ZS1kYXRhYmFz
ZS1uYW1lPjwvcmVjb3JkPjwvQ2l0ZT48Q2l0ZT48QXV0aG9yPk5vcmlpPC9BdXRob3I+PFllYXI+
MjAxNzwvWWVhcj48UmVjTnVtPjY0OTE8L1JlY051bT48cmVjb3JkPjxyZWMtbnVtYmVyPjY0OTE8
L3JlYy1udW1iZXI+PGZvcmVpZ24ta2V5cz48a2V5IGFwcD0iRU4iIGRiLWlkPSI5ejA1ZHowcHJh
YWRmdWVlMHpveHplZGs5emZlNWZ4eDUwejUiIHRpbWVzdGFtcD0iMTUyMzkyMTA5NyI+NjQ5MTwv
a2V5PjxrZXkgYXBwPSJFTldlYiIgZGItaWQ9IiI+MDwva2V5PjwvZm9yZWlnbi1rZXlzPjxyZWYt
dHlwZSBuYW1lPSJKb3VybmFsIEFydGljbGUiPjE3PC9yZWYtdHlwZT48Y29udHJpYnV0b3JzPjxh
dXRob3JzPjxhdXRob3I+Tm9yaWksIFQuPC9hdXRob3I+PGF1dGhvcj5QbGF0ZSwgQS48L2F1dGhv
cj48L2F1dGhvcnM+PC9jb250cmlidXRvcnM+PGF1dGgtYWRkcmVzcz5EZXBhcnRtZW50IG9mIEVt
ZXJnZW5jeSBNZWRpY2luZSwgVW5pdmVyc2l0eSBvZiBOZXcgTWV4aWNvLCBBbGJ1cXVlcnF1ZSwg
TmV3IE1leGljby48L2F1dGgtYWRkcmVzcz48dGl0bGVzPjx0aXRsZT5FbGVjdHJvbmljIENpZ2Fy
ZXR0ZSBFeHBsb3Npb24gUmVzdWx0aW5nIGluIGEgQzEgYW5kIEMyIEZyYWN0dXJlOiBBIENhc2Ug
UmVwb3J0PC90aXRsZT48c2Vjb25kYXJ5LXRpdGxlPkogRW1lcmcgTWVkPC9zZWNvbmRhcnktdGl0
bGU+PGFsdC10aXRsZT5UaGUgSm91cm5hbCBvZiBlbWVyZ2VuY3kgbWVkaWNpbmU8L2FsdC10aXRs
ZT48L3RpdGxlcz48cGVyaW9kaWNhbD48ZnVsbC10aXRsZT5KIEVtZXJnIE1lZDwvZnVsbC10aXRs
ZT48YWJici0xPlRoZSBKb3VybmFsIG9mIGVtZXJnZW5jeSBtZWRpY2luZTwvYWJici0xPjwvcGVy
aW9kaWNhbD48YWx0LXBlcmlvZGljYWw+PGZ1bGwtdGl0bGU+SiBFbWVyZyBNZWQ8L2Z1bGwtdGl0
bGU+PGFiYnItMT5UaGUgSm91cm5hbCBvZiBlbWVyZ2VuY3kgbWVkaWNpbmU8L2FiYnItMT48L2Fs
dC1wZXJpb2RpY2FsPjxwYWdlcz44Ni04ODwvcGFnZXM+PHZvbHVtZT41Mjwvdm9sdW1lPjxudW1i
ZXI+MTwvbnVtYmVyPjxlZGl0aW9uPjIwMTYvMTAvMDg8L2VkaXRpb24+PGtleXdvcmRzPjxrZXl3
b3JkPkFkdWx0PC9rZXl3b3JkPjxrZXl3b3JkPkNlcnZpY2FsIFZlcnRlYnJhZS9kaWFnbm9zdGlj
IGltYWdpbmcvKmluanVyaWVzL3BoeXNpb3BhdGhvbG9neTwva2V5d29yZD48a2V5d29yZD5EZWds
dXRpdGlvbiBEaXNvcmRlcnMvZXRpb2xvZ3k8L2tleXdvcmQ+PGtleXdvcmQ+RWxlY3Ryb25pYyBO
aWNvdGluZSBEZWxpdmVyeSBTeXN0ZW1zLyphZHZlcnNlIGVmZmVjdHMvaW5zdHJ1bWVudGF0aW9u
PC9rZXl3b3JkPjxrZXl3b3JkPkVtZXJnZW5jeSBTZXJ2aWNlLCBIb3NwaXRhbC9vcmdhbml6YXRp
b24gJmFtcDsgYWRtaW5pc3RyYXRpb248L2tleXdvcmQ+PGtleXdvcmQ+KkV4cGxvc2lvbnM8L2tl
eXdvcmQ+PGtleXdvcmQ+SHVtYW5zPC9rZXl3b3JkPjxrZXl3b3JkPk1hbGU8L2tleXdvcmQ+PGtl
eXdvcmQ+UGFpbi9ldGlvbG9neTwva2V5d29yZD48a2V5d29yZD5SYWRpb2dyYXBoeS9tZXRob2Rz
PC9rZXl3b3JkPjxrZXl3b3JkPlNwaW5hbCBGcmFjdHVyZXMvY29tcGxpY2F0aW9ucy8qZXRpb2xv
Z3kvc3VyZ2VyeTwva2V5d29yZD48a2V5d29yZD5Ub21vZ3JhcGh5LCBYLVJheSBDb21wdXRlZC9t
ZXRob2RzPC9rZXl3b3JkPjxrZXl3b3JkPmNlcnZpY2FsIHNwaW5lIGluanVyeTwva2V5d29yZD48
a2V5d29yZD5lbGVjdHJvbmljIGNpZ2FyZXR0ZTwva2V5d29yZD48a2V5d29yZD50cmF1bWE8L2tl
eXdvcmQ+PC9rZXl3b3Jkcz48ZGF0ZXM+PHllYXI+MjAxNzwveWVhcj48cHViLWRhdGVzPjxkYXRl
PkphbjwvZGF0ZT48L3B1Yi1kYXRlcz48L2RhdGVzPjxpc2JuPjA3MzYtNDY3OSAoUHJpbnQpJiN4
RDswNzM2LTQ2Nzk8L2lzYm4+PGFjY2Vzc2lvbi1udW0+Mjc3MTI5MDE8L2FjY2Vzc2lvbi1udW0+
PHVybHM+PHJlbGF0ZWQtdXJscz48dXJsPmh0dHBzOi8vd3d3LnNjaWVuY2VkaXJlY3QuY29tL3Nj
aWVuY2UvYXJ0aWNsZS9waWkvUzA3MzY0Njc5MTYzMDY2Njc/dmlhJTNEaWh1YjwvdXJsPjwvcmVs
YXRlZC11cmxzPjwvdXJscz48ZWxlY3Ryb25pYy1yZXNvdXJjZS1udW0+MTAuMTAxNi9qLmplbWVy
bWVkLjIwMTYuMDguMDEwPC9lbGVjdHJvbmljLXJlc291cmNlLW51bT48cmVtb3RlLWRhdGFiYXNl
LXByb3ZpZGVyPk5MTTwvcmVtb3RlLWRhdGFiYXNlLXByb3ZpZGVyPjxsYW5ndWFnZT5lbmc8L2xh
bmd1YWdlPjwvcmVjb3JkPjwvQ2l0ZT48Q2l0ZT48QXV0aG9yPkZvcmFuPC9BdXRob3I+PFllYXI+
MjAxNzwvWWVhcj48UmVjTnVtPjQ3MzQ8L1JlY051bT48cmVjb3JkPjxyZWMtbnVtYmVyPjQ3MzQ8
L3JlYy1udW1iZXI+PGZvcmVpZ24ta2V5cz48a2V5IGFwcD0iRU4iIGRiLWlkPSI5ejA1ZHowcHJh
YWRmdWVlMHpveHplZGs5emZlNWZ4eDUwejUiIHRpbWVzdGFtcD0iMTUyMzkyMDQxOSI+NDczNDwv
a2V5PjwvZm9yZWlnbi1rZXlzPjxyZWYtdHlwZSBuYW1lPSJKb3VybmFsIEFydGljbGUiPjE3PC9y
ZWYtdHlwZT48Y29udHJpYnV0b3JzPjxhdXRob3JzPjxhdXRob3I+Rm9yYW4sIEkuPC9hdXRob3I+
PGF1dGhvcj5PYWssIE4uIFIuPC9hdXRob3I+PGF1dGhvcj5NZXVuaWVyLCBNLiBKLjwvYXV0aG9y
PjwvYXV0aG9ycz48L2NvbnRyaWJ1dG9ycz48YXV0aC1hZGRyZXNzPlVuaXZlcnNpdHkgb2YgQ2Fs
aWZvcm5pYSBTYW4gRGllZ28sIFNhbiBEaWVnbywgQ2FsaWZvcm5pYS4mI3hEO0RlcGFydG1lbnQg
b2YgT3J0aG9wYWVkaWMgU3VyZ2VyeSwgS2Fpc2VyIFBlcm1hbmVudGUsIE1pZC1BdGxhbnRpYyBQ
ZXJtYW5lbnRlIE1lZGljYWwgR3JvdXAsIFJvY2t2aWxsZSwgTWFyeWxhbmQuPC9hdXRoLWFkZHJl
c3M+PHRpdGxlcz48dGl0bGU+SGlnaC1QcmVzc3VyZSBJbmplY3Rpb24gSW5qdXJ5IENhdXNlZCBi
eSBFbGVjdHJvbmljIENpZ2FyZXR0ZSBFeHBsb3Npb246IEEgQ2FzZSBSZXBvcnQ8L3RpdGxlPjxz
ZWNvbmRhcnktdGl0bGU+SkJKUyBDYXNlIENvbm5lY3Q8L3NlY29uZGFyeS10aXRsZT48YWx0LXRp
dGxlPkpCSlMgY2FzZSBjb25uZWN0b3I8L2FsdC10aXRsZT48L3RpdGxlcz48cGVyaW9kaWNhbD48
ZnVsbC10aXRsZT5KQkpTIENhc2UgQ29ubmVjdDwvZnVsbC10aXRsZT48YWJici0xPkpCSlMgY2Fz
ZSBjb25uZWN0b3I8L2FiYnItMT48L3BlcmlvZGljYWw+PGFsdC1wZXJpb2RpY2FsPjxmdWxsLXRp
dGxlPkpCSlMgQ2FzZSBDb25uZWN0PC9mdWxsLXRpdGxlPjxhYmJyLTE+SkJKUyBjYXNlIGNvbm5l
Y3RvcjwvYWJici0xPjwvYWx0LXBlcmlvZGljYWw+PHBhZ2VzPmUzNjwvcGFnZXM+PHZvbHVtZT43
PC92b2x1bWU+PG51bWJlcj4yPC9udW1iZXI+PGVkaXRpb24+MjAxNy8xMi8xNjwvZWRpdGlvbj48
ZGF0ZXM+PHllYXI+MjAxNzwveWVhcj48cHViLWRhdGVzPjxkYXRlPkFwci1KdW48L2RhdGU+PC9w
dWItZGF0ZXM+PC9kYXRlcz48aXNibj4yMTYwLTMyNTE8L2lzYm4+PGFjY2Vzc2lvbi1udW0+Mjky
NDQ2NzU8L2FjY2Vzc2lvbi1udW0+PHVybHM+PHJlbGF0ZWQtdXJscz48dXJsPmh0dHBzOi8vaW5z
aWdodHMub3ZpZC5jb20vcHVibWVkP3BtaWQ9MjkyNDQ2NzU8L3VybD48L3JlbGF0ZWQtdXJscz48
L3VybHM+PGVsZWN0cm9uaWMtcmVzb3VyY2UtbnVtPjEwLjIxMDYvamJqcy5DYy4xNi4wMDE3Nzwv
ZWxlY3Ryb25pYy1yZXNvdXJjZS1udW0+PHJlbW90ZS1kYXRhYmFzZS1wcm92aWRlcj5OTE08L3Jl
bW90ZS1kYXRhYmFzZS1wcm92aWRlcj48bGFuZ3VhZ2U+ZW5nPC9sYW5ndWFnZT48L3JlY29yZD48
L0NpdGU+PENpdGU+PEF1dGhvcj5BY2tsZXk8L0F1dGhvcj48WWVhcj4yMDE4PC9ZZWFyPjxSZWNO
dW0+NDY0NTwvUmVjTnVtPjxyZWNvcmQ+PHJlYy1udW1iZXI+NDY0NTwvcmVjLW51bWJlcj48Zm9y
ZWlnbi1rZXlzPjxrZXkgYXBwPSJFTiIgZGItaWQ9Ijl6MDVkejBwcmFhZGZ1ZWUwem94emVkazl6
ZmU1Znh4NTB6NSIgdGltZXN0YW1wPSIxNTIzOTIwMjkyIj40NjQ1PC9rZXk+PGtleSBhcHA9IkVO
V2ViIiBkYi1pZD0iIj4wPC9rZXk+PC9mb3JlaWduLWtleXM+PHJlZi10eXBlIG5hbWU9IkpvdXJu
YWwgQXJ0aWNsZSI+MTc8L3JlZi10eXBlPjxjb250cmlidXRvcnM+PGF1dGhvcnM+PGF1dGhvcj5B
Y2tsZXksIEUuPC9hdXRob3I+PGF1dGhvcj5XaWxsaWFtcywgSi4gVC4gQi48L2F1dGhvcj48YXV0
aG9yPkt1bnJhdGgsIEMuPC9hdXRob3I+PGF1dGhvcj5Nb25zb24sIE0uPC9hdXRob3I+PGF1dGhv
cj5JZ25hdGl1aywgQS48L2F1dGhvcj48YXV0aG9yPkdhZW5zYmF1ZXIsIEouPC9hdXRob3I+PC9h
dXRob3JzPjwvY29udHJpYnV0b3JzPjxhdXRoLWFkZHJlc3M+UGVkaWF0cmljIFJlc2lkZW5jeSBQ
cm9ncmFtIFVuaXZlcnNpdHkgb2YgQ29sb3JhZG8gRGVudmVyIFNjaG9vbCBvZiBNZWRpY2luZSBB
dXJvcmEsIENvbG9yYWRvLiYjeEQ7RGVwYXJ0bWVudCBvZiBQZWRpYXRyaWNzIERlbnZlciBIZWFs
dGggTWVkaWNhbCBDZW50ZXIgRGVudmVyLCBDb2xvcmFkbzsgRGVwYXJ0bWVudCBvZiBQZWRpYXRy
aWNzIFVuaXZlcnNpdHkgb2YgQ29sb3JhZG8gRGVudmVyIFNjaG9vbCBvZiBNZWRpY2luZSBBdXJv
cmEsIENvbG9yYWRvLiYjeEQ7RGVwYXJ0bWVudCBvZiBQZWRpYXRyaWNzIFBlZGlhdHJpYyBDcml0
aWNhbCBDYXJlIERlbnZlciBIZWFsdGggTWVkaWNhbCBDZW50ZXIgRGVudmVyLCBDb2xvcmFkbzsg
RGVwYXJ0bWVudCBvZiBQZWRpYXRyaWNzIFVuaXZlcnNpdHkgb2YgQ29sb3JhZG8gRGVudmVyIFNj
aG9vbCBvZiBNZWRpY2luZSBBdXJvcmEsIENvbG9yYWRvLiYjeEQ7UGVkaWF0cmljIFJhZGlvbG9n
eSBEZW52ZXIgSGVhbHRoIE1lZGljYWwgQ2VudGVyIERlbnZlciwgQ29sb3JhZG87IERlcGFydG1l
bnQgb2YgUGVkaWF0cmljcyBVbml2ZXJzaXR5IG9mIENvbG9yYWRvIERlbnZlciBTY2hvb2wgb2Yg
TWVkaWNpbmUgQXVyb3JhLCBDb2xvcmFkby4mI3hEO09ydGhvcGVkaWMgU3VyZ2VyeSBEZW52ZXIg
SGVhbHRoIE1lZGljYWwgQ2VudGVyIERlbnZlciwgQ29sb3JhZG87IERlcGFydG1lbnQgb2YgUGVk
aWF0cmljcyBVbml2ZXJzaXR5IG9mIENvbG9yYWRvIERlbnZlciBTY2hvb2wgb2YgTWVkaWNpbmUg
QXVyb3JhLCBDb2xvcmFkby4mI3hEO0RlcGFydG1lbnQgb2YgUGVkaWF0cmljcyBQZWRpYXRyaWMg
SW5mZWN0aW91cyBEaXNlYXNlcyBEZW52ZXIgSGVhbHRoIE1lZGljYWwgQ2VudGVyIERlbnZlciwg
Q29sb3JhZG87IERlcGFydG1lbnQgb2YgUGVkaWF0cmljcyBVbml2ZXJzaXR5IG9mIENvbG9yYWRv
IERlbnZlciBTY2hvb2wgb2YgTWVkaWNpbmUgQXVyb3JhLCBDb2xvcmFkby48L2F1dGgtYWRkcmVz
cz48dGl0bGVzPjx0aXRsZT5Ub28gSG90IHRvIEhhbmRsZT8gV2hlbiBWYXBvcml6ZXJzIEV4cGxv
ZGU8L3RpdGxlPjxzZWNvbmRhcnktdGl0bGU+SiBQZWRpYXRyPC9zZWNvbmRhcnktdGl0bGU+PGFs
dC10aXRsZT5UaGUgSm91cm5hbCBvZiBwZWRpYXRyaWNzPC9hbHQtdGl0bGU+PC90aXRsZXM+PHBl
cmlvZGljYWw+PGZ1bGwtdGl0bGU+SiBQZWRpYXRyPC9mdWxsLXRpdGxlPjxhYmJyLTE+VGhlIEpv
dXJuYWwgb2YgcGVkaWF0cmljczwvYWJici0xPjwvcGVyaW9kaWNhbD48YWx0LXBlcmlvZGljYWw+
PGZ1bGwtdGl0bGU+SiBQZWRpYXRyPC9mdWxsLXRpdGxlPjxhYmJyLTE+VGhlIEpvdXJuYWwgb2Yg
cGVkaWF0cmljczwvYWJici0xPjwvYWx0LXBlcmlvZGljYWw+PGVkaXRpb24+MjAxOC8wMi8wNjwv
ZWRpdGlvbj48a2V5d29yZHM+PGtleXdvcmQ+ZWxlY3Ryb25pYyBjaWdhcmV0dGU8L2tleXdvcmQ+
PGtleXdvcmQ+ZWxlY3Ryb25pYyBuaWNvdGluZS1kZWxpdmVyeSBzeXN0ZW1zPC9rZXl3b3JkPjxr
ZXl3b3JkPnBlcnNvbmFsIHZhcG9yaXplcjwva2V5d29yZD48L2tleXdvcmRzPjxkYXRlcz48eWVh
cj4yMDE4PC95ZWFyPjxwdWItZGF0ZXM+PGRhdGU+SmFuIDI1PC9kYXRlPjwvcHViLWRhdGVzPjwv
ZGF0ZXM+PGlzYm4+MDAyMi0zNDc2PC9pc2JuPjxhY2Nlc3Npb24tbnVtPjI5Mzk1MTc1PC9hY2Nl
c3Npb24tbnVtPjx1cmxzPjxyZWxhdGVkLXVybHM+PHVybD5odHRwczovL3d3dy5zY2llbmNlZGly
ZWN0LmNvbS9zY2llbmNlL2FydGljbGUvcGlpL1MwMDIyMzQ3NjE3MzE3Mjc0P3ZpYSUzRGlodWI8
L3VybD48L3JlbGF0ZWQtdXJscz48L3VybHM+PGVsZWN0cm9uaWMtcmVzb3VyY2UtbnVtPjEwLjEw
MTYvai5qcGVkcy4yMDE3LjEyLjAzMjwvZWxlY3Ryb25pYy1yZXNvdXJjZS1udW0+PHJlbW90ZS1k
YXRhYmFzZS1wcm92aWRlcj5OTE08L3JlbW90ZS1kYXRhYmFzZS1wcm92aWRlcj48bGFuZ3VhZ2U+
ZW5nPC9sYW5ndWFnZT48L3JlY29yZD48L0NpdGU+PENpdGU+PEF1dGhvcj5TYXR0ZXNvbjwvQXV0
aG9yPjxZZWFyPjIwMTc8L1llYXI+PFJlY051bT42NDg4PC9SZWNOdW0+PHJlY29yZD48cmVjLW51
bWJlcj42NDg4PC9yZWMtbnVtYmVyPjxmb3JlaWduLWtleXM+PGtleSBhcHA9IkVOIiBkYi1pZD0i
OXowNWR6MHByYWFkZnVlZTB6b3h6ZWRrOXpmZTVmeHg1MHo1IiB0aW1lc3RhbXA9IjE1MjM5MjEw
OTciPjY0ODg8L2tleT48a2V5IGFwcD0iRU5XZWIiIGRiLWlkPSIiPjA8L2tleT48L2ZvcmVpZ24t
a2V5cz48cmVmLXR5cGUgbmFtZT0iSm91cm5hbCBBcnRpY2xlIj4xNzwvcmVmLXR5cGU+PGNvbnRy
aWJ1dG9ycz48YXV0aG9ycz48YXV0aG9yPlNhdHRlc29uLCBFLiBTLjwvYXV0aG9yPjxhdXRob3I+
V2Fsa2VyLCBOLiBKLjwvYXV0aG9yPjxhdXRob3I+VHVvaHksIEMuIEouPC9hdXRob3I+PGF1dGhv
cj5Nb2xuYXIsIEouIEEuPC9hdXRob3I+PC9hdXRob3JzPjwvY29udHJpYnV0b3JzPjxhdXRoLWFk
ZHJlc3M+MSBXYWtlIEZvcmVzdCBVbml2ZXJzaXR5IFNjaG9vbCBvZiBNZWRpY2luZSwgV2luc3Rv
bi1TYWxlbSwgTkMsIFVTQS48L2F1dGgtYWRkcmVzcz48dGl0bGVzPjx0aXRsZT5FeHRlbnNpdmUg
SGFuZCBUaGVybWFsIGFuZCBCbGFzdCBJbmp1cnkgRnJvbSBFbGVjdHJvbmljIENpZ2FyZXR0ZSBF
eHBsb3Npb246IEEgQ2FzZSBSZXBvcnQ8L3RpdGxlPjxzZWNvbmRhcnktdGl0bGU+SGFuZCAoTiBZ
KTwvc2Vjb25kYXJ5LXRpdGxlPjxhbHQtdGl0bGU+SGFuZCAoTmV3IFlvcmssIE4uWS4pPC9hbHQt
dGl0bGU+PC90aXRsZXM+PHBlcmlvZGljYWw+PGZ1bGwtdGl0bGU+SGFuZCAoTiBZKTwvZnVsbC10
aXRsZT48YWJici0xPkhhbmQgKE5ldyBZb3JrLCBOLlkuKTwvYWJici0xPjwvcGVyaW9kaWNhbD48
YWx0LXBlcmlvZGljYWw+PGZ1bGwtdGl0bGU+SGFuZCAoTiBZKTwvZnVsbC10aXRsZT48YWJici0x
PkhhbmQgKE5ldyBZb3JrLCBOLlkuKTwvYWJici0xPjwvYWx0LXBlcmlvZGljYWw+PHBhZ2VzPjE1
NTg5NDQ3MTc3NDQzMzM8L3BhZ2VzPjxlZGl0aW9uPjIwMTcvMTIvMDI8L2VkaXRpb24+PGtleXdv
cmRzPjxrZXl3b3JkPmVsZWN0cm9uaWMgY2lnYXJldHRlPC9rZXl3b3JkPjxrZXl3b3JkPmV4cGxv
c2lvbjwva2V5d29yZD48a2V5d29yZD5oYW5kIGJ1cm48L2tleXdvcmQ+PGtleXdvcmQ+dmFwaW5n
PC9rZXl3b3JkPjxrZXl3b3JkPnZhcG9yPC9rZXl3b3JkPjwva2V5d29yZHM+PGRhdGVzPjx5ZWFy
PjIwMTc8L3llYXI+PHB1Yi1kYXRlcz48ZGF0ZT5Ob3YgMTwvZGF0ZT48L3B1Yi1kYXRlcz48L2Rh
dGVzPjxpc2JuPjE1NTgtOTQ0NzwvaXNibj48YWNjZXNzaW9uLW51bT4yOTE5MjUwNjwvYWNjZXNz
aW9uLW51bT48dXJscz48cmVsYXRlZC11cmxzPjx1cmw+aHR0cDovL2pvdXJuYWxzLnNhZ2VwdWIu
Y29tL2RvaS9wZGYvMTAuMTE3Ny8xNTU4OTQ0NzE3NzQ0MzMzPC91cmw+PC9yZWxhdGVkLXVybHM+
PC91cmxzPjxlbGVjdHJvbmljLXJlc291cmNlLW51bT4xMC4xMTc3LzE1NTg5NDQ3MTc3NDQzMzM8
L2VsZWN0cm9uaWMtcmVzb3VyY2UtbnVtPjxyZW1vdGUtZGF0YWJhc2UtcHJvdmlkZXI+TkxNPC9y
ZW1vdGUtZGF0YWJhc2UtcHJvdmlkZXI+PGxhbmd1YWdlPmVuZzwvbGFuZ3VhZ2U+PC9yZWNvcmQ+
PC9DaXRlPjxDaXRlPjxBdXRob3I+QW5kZXJzb248L0F1dGhvcj48WWVhcj4yMDE3PC9ZZWFyPjxS
ZWNOdW0+NTUyNTwvUmVjTnVtPjxyZWNvcmQ+PHJlYy1udW1iZXI+NTUyNTwvcmVjLW51bWJlcj48
Zm9yZWlnbi1rZXlzPjxrZXkgYXBwPSJFTiIgZGItaWQ9Ijl6MDVkejBwcmFhZGZ1ZWUwem94emVk
azl6ZmU1Znh4NTB6NSIgdGltZXN0YW1wPSIxNTIzOTIwOTcwIj41NTI1PC9rZXk+PGtleSBhcHA9
IkVOV2ViIiBkYi1pZD0iIj4wPC9rZXk+PC9mb3JlaWduLWtleXM+PHJlZi10eXBlIG5hbWU9Ikpv
dXJuYWwgQXJ0aWNsZSI+MTc8L3JlZi10eXBlPjxjb250cmlidXRvcnM+PGF1dGhvcnM+PGF1dGhv
cj5BbmRlcnNvbiwgSC48L2F1dGhvcj48YXV0aG9yPlJpY2hpZSwgQy48L2F1dGhvcj48YXV0aG9y
PkJlcm5hcmQsIEEuPC9hdXRob3I+PC9hdXRob3JzPjwvY29udHJpYnV0b3JzPjxhdXRoLWFkZHJl
c3M+U2VjdGlvbiBvbiBUcmF1bWEgYW5kIEFjdXRlIENhcmUgU3VyZ2VyeSwgRGVwYXJ0bWVudCBv
ZiBTdXJnZXJ5LCBVSyBDb2xsZWdlIG9mIE1lZGljaW5lLCBMZXhpbmd0b24sIEtlbnR1Y2t5Ljwv
YXV0aC1hZGRyZXNzPjx0aXRsZXM+PHRpdGxlPkEgU3VycHJpc2luZ2x5IFZvbGF0aWxlIFNtb2tp
bmcgQWx0ZXJuYXRpdmU6IEV4cGxvc2lvbiBhbmQgQnVybnMgYXMgUmlza3Mgb2YgRS1DaWdhcmV0
dGUgVXNlPC90aXRsZT48c2Vjb25kYXJ5LXRpdGxlPkogQnVybiBDYXJlIFJlczwvc2Vjb25kYXJ5
LXRpdGxlPjxhbHQtdGl0bGU+Sm91cm5hbCBvZiBidXJuIGNhcmUgJmFtcDsgcmVzZWFyY2ggOiBv
ZmZpY2lhbCBwdWJsaWNhdGlvbiBvZiB0aGUgQW1lcmljYW4gQnVybiBBc3NvY2lhdGlvbjwvYWx0
LXRpdGxlPjwvdGl0bGVzPjxwZXJpb2RpY2FsPjxmdWxsLXRpdGxlPkogQnVybiBDYXJlIFJlczwv
ZnVsbC10aXRsZT48YWJici0xPkpvdXJuYWwgb2YgYnVybiBjYXJlICZhbXA7IHJlc2VhcmNoIDog
b2ZmaWNpYWwgcHVibGljYXRpb24gb2YgdGhlIEFtZXJpY2FuIEJ1cm4gQXNzb2NpYXRpb248L2Fi
YnItMT48L3BlcmlvZGljYWw+PGFsdC1wZXJpb2RpY2FsPjxmdWxsLXRpdGxlPkogQnVybiBDYXJl
IFJlczwvZnVsbC10aXRsZT48YWJici0xPkpvdXJuYWwgb2YgYnVybiBjYXJlICZhbXA7IHJlc2Vh
cmNoIDogb2ZmaWNpYWwgcHVibGljYXRpb24gb2YgdGhlIEFtZXJpY2FuIEJ1cm4gQXNzb2NpYXRp
b248L2FiYnItMT48L2FsdC1wZXJpb2RpY2FsPjxwYWdlcz5lODg0PC9wYWdlcz48dm9sdW1lPjM4
PC92b2x1bWU+PG51bWJlcj41PC9udW1iZXI+PGVkaXRpb24+MjAxNi8xMC8xOTwvZWRpdGlvbj48
ZGF0ZXM+PHllYXI+MjAxNzwveWVhcj48cHViLWRhdGVzPjxkYXRlPlNlcC9PY3Q8L2RhdGU+PC9w
dWItZGF0ZXM+PC9kYXRlcz48aXNibj4xNTU5LTA0N3g8L2lzYm4+PGFjY2Vzc2lvbi1udW0+Mjc3
NTUyNTI8L2FjY2Vzc2lvbi1udW0+PHVybHM+PHJlbGF0ZWQtdXJscz48dXJsPmh0dHBzOi8vd2F0
ZXJtYXJrLnNpbHZlcmNoYWlyLmNvbS8wMTI1MzA5Mi0yMDE3MDkwMDAtMDAwMjUucGRmP3Rva2Vu
PUFRRUNBSGkyMDhCRTQ5T29hbjlra2hXX0VyY3k3RG0zWkxfOUNmM3FmS0FjNDg1eXNnQUFBZE13
Z2dIUEJna3Foa2lHOXcwQkJ3YWdnZ0hBTUlJQnZBSUJBRENDQWJVR0NTcUdTSWIzRFFFSEFUQWVC
Z2xnaGtnQlpRTUVBUzR3RVFRTVl3U0dMNUpONkRVSnNJTTBBZ0VRZ0lJQmhwTTlSdHFId1FmaVZT
Y0dLWk0ybC0yQzAtbWVGVDVvNjM4bXpuZDJMUDZsM3VCemVNekxkWUNXYVJaS2I4MjVSS0N5WVQx
bFhhME94WWRXOHNRTTJ2a1l1YWZ5WGNPWnM5SHZZWi1fRU1KeGY3NFE4LVFzbXdDWmo3Wmk4VVhV
VFg2MmtIZy10MERDemo1dWZnaHdiRVVfc3BMQzZNRjc0ekR5YU1tUFl5N1RnVnpvSmN0U2lid3do
T0xGRjUySUQ4Xy1TdWZSZlkxOHExMVVMV25na3hWZ2lycElwSkFidnF5R0tTZnN3aUN6VGFjMHNO
d0RMbTRydmgwN2M2NDlzQzdyOTIteTFpRXBUQnk2eFhxWGVVMVRNUkd4WDdEcHZrdC1qRWUwN1Zu
bkJkMjJJbUdma0pvRUlOcG0yeTBkQXZTTjZHSHhxcnRaVnpOMEs1bjNkY2R0dEcwWTRybTBPQTU3
eDVJU0pvUEpDdVVmTmJsNG1reDEzLUxPSmZnbnEta2FVckNQYVFKc3pxQ1JILUNJM0lzSGN6RC1q
Z3k3eDZ3SS1EcjFnLTFfYmRJd0xfekhxTk1DRHRJM3Z6ZmFFd1pNV05yNWhUWjUtTWYzQzloS3Nx
NTdRSFhrV2xMODVoN0R3WUw4VTlVV3RiWmxOV2JoZ0hnUnNDSnJyeVZfWHF4aWttaDVxZzwvdXJs
PjwvcmVsYXRlZC11cmxzPjwvdXJscz48ZWxlY3Ryb25pYy1yZXNvdXJjZS1udW0+MTAuMTA5Ny9i
Y3IuMDAwMDAwMDAwMDAwMDQ1NDwvZWxlY3Ryb25pYy1yZXNvdXJjZS1udW0+PHJlbW90ZS1kYXRh
YmFzZS1wcm92aWRlcj5OTE08L3JlbW90ZS1kYXRhYmFzZS1wcm92aWRlcj48bGFuZ3VhZ2U+ZW5n
PC9sYW5ndWFnZT48L3JlY29yZD48L0NpdGU+PC9FbmROb3RlPgB=
</w:fldData>
            </w:fldChar>
          </w:r>
          <w:r>
            <w:rPr>
              <w:sz w:val="24"/>
            </w:rPr>
            <w:instrText xml:space="preserve"> ADDIN EN.CITE </w:instrText>
          </w:r>
          <w:r>
            <w:rPr>
              <w:sz w:val="24"/>
            </w:rPr>
            <w:fldChar w:fldCharType="begin">
              <w:fldData xml:space="preserve">PEVuZE5vdGU+PENpdGU+PEF1dGhvcj5CYW48L0F1dGhvcj48WWVhcj4yMDE3PC9ZZWFyPjxSZWNO
dW0+NTc2MTwvUmVjTnVtPjxEaXNwbGF5VGV4dD4oQW5kZXJzb24sIFJpY2hpZSBldCBhbC4gMjAx
NywgQmFuLCBLcmlzaG5hbiBldCBhbC4gMjAxNywgQnJvb2tzLCBLbGVpbm1hbiBldCBhbC4gMjAx
NywgRm9yYW4sIE9hayBldCBhbC4gMjAxNywgTm9yaWkgYW5kIFBsYXRlIDIwMTcsIFNhdHRlc29u
LCBXYWxrZXIgZXQgYWwuIDIwMTcsIEFja2xleSwgV2lsbGlhbXMgZXQgYWwuIDIwMTgsIENoaSwg
TmV2aWxsZSBldCBhbC4gMjAxOCk8L0Rpc3BsYXlUZXh0PjxyZWNvcmQ+PHJlYy1udW1iZXI+NTc2
MTwvcmVjLW51bWJlcj48Zm9yZWlnbi1rZXlzPjxrZXkgYXBwPSJFTiIgZGItaWQ9Ijl6MDVkejBw
cmFhZGZ1ZWUwem94emVkazl6ZmU1Znh4NTB6NSIgdGltZXN0YW1wPSIxNTIzOTIxMDExIj41NzYx
PC9rZXk+PC9mb3JlaWduLWtleXM+PHJlZi10eXBlIG5hbWU9IkpvdXJuYWwgQXJ0aWNsZSI+MTc8
L3JlZi10eXBlPjxjb250cmlidXRvcnM+PGF1dGhvcnM+PGF1dGhvcj5CYW4sIEMuPC9hdXRob3I+
PGF1dGhvcj5LcmlzaG5hbiwgRC4gRy48L2F1dGhvcj48YXV0aG9yPkFiZGFsbGFoLCBZLjwvYXV0
aG9yPjwvYXV0aG9ycz48L2NvbnRyaWJ1dG9ycz48dGl0bGVzPjx0aXRsZT5CYWxsaXN0aWMgdHJh
dW1hIGZyb20gYW4gZXhwbG9kaW5nIGVsZWN0cm9uaWMgY2lnYXJldHRlOiBDYXNlIHJlcG9ydDwv
dGl0bGU+PHNlY29uZGFyeS10aXRsZT5PcmFsIGFuZCBNYXhpbGxvZmFjaWFsIFN1cmdlcnkgQ2Fz
ZXM8L3NlY29uZGFyeS10aXRsZT48L3RpdGxlcz48cGVyaW9kaWNhbD48ZnVsbC10aXRsZT5PcmFs
IGFuZCBNYXhpbGxvZmFjaWFsIFN1cmdlcnkgQ2FzZXM8L2Z1bGwtdGl0bGU+PC9wZXJpb2RpY2Fs
PjxwYWdlcz42MS02MzwvcGFnZXM+PHZvbHVtZT4zPC92b2x1bWU+PG51bWJlcj4zPC9udW1iZXI+
PGtleXdvcmRzPjxrZXl3b3JkPmNsaW5kYW15Y2luPC9rZXl3b3JkPjxrZXl3b3JkPmFkdWx0PC9r
ZXl3b3JkPjxrZXl3b3JkPkFydGljbGU8L2tleXdvcmQ+PGtleXdvcmQ+Y2FzZSByZXBvcnQ8L2tl
eXdvcmQ+PGtleXdvcmQ+Y29tcHV0ZXIgYXNzaXN0ZWQgdG9tb2dyYXBoeTwva2V5d29yZD48a2V5
d29yZD5kZWJyaWRlbWVudDwva2V5d29yZD48a2V5d29yZD5lbGVjdHJvbmljIGNpZ2FyZXR0ZTwv
a2V5d29yZD48a2V5d29yZD5mb3JlaWduIGJvZHk8L2tleXdvcmQ+PGtleXdvcmQ+Z3Vuc2hvdCBp
bmp1cnk8L2tleXdvcmQ+PGtleXdvcmQ+aHVtYW48L2tleXdvcmQ+PGtleXdvcmQ+aW50ZXJuYXRp
b25hbCBub3JtYWxpemVkIHJhdGlvPC9rZXl3b3JkPjxrZXl3b3JkPm1hbGU8L2tleXdvcmQ+PGtl
eXdvcmQ+bWF4aWxsb2ZhY2lhbCBzdXJnZXJ5PC9rZXl3b3JkPjxrZXl3b3JkPm1pZGRsZSBhZ2Vk
PC9rZXl3b3JkPjxrZXl3b3JkPm94eWdlbiBzYXR1cmF0aW9uPC9rZXl3b3JkPjxrZXl3b3JkPnBy
aW9yaXR5IGpvdXJuYWw8L2tleXdvcmQ+PGtleXdvcmQ+cHJvdGhyb21iaW4gdGltZTwva2V5d29y
ZD48a2V5d29yZD5zbW9raW5nPC9rZXl3b3JkPjwva2V5d29yZHM+PGRhdGVzPjx5ZWFyPjIwMTc8
L3llYXI+PC9kYXRlcz48dXJscz48cmVsYXRlZC11cmxzPjx1cmw+aHR0cHM6Ly93d3cuc2NvcHVz
LmNvbS9pbndhcmQvcmVjb3JkLnVyaT9laWQ9Mi1zMi4wLTg1MDIwNjkyMDE1JmFtcDtkb2k9MTAu
MTAxNiUyZmoub21zYy4yMDE3LjAxLjAwNyZhbXA7cGFydG5lcklEPTQwJmFtcDttZDU9YzQyMzll
ZWRkODY0MWEzNDVkMzE1NDAyZmQwMzdhNzI8L3VybD48dXJsPmh0dHBzOi8vd3d3LnNjaWVuY2Vk
aXJlY3QuY29tL3NjaWVuY2UvYXJ0aWNsZS9waWkvUzIyMTQ1NDE5MTczMDAwN1g/dmlhJTNEaWh1
YjwvdXJsPjwvcmVsYXRlZC11cmxzPjwvdXJscz48ZWxlY3Ryb25pYy1yZXNvdXJjZS1udW0+MTAu
MTAxNi9qLm9tc2MuMjAxNy4wMS4wMDc8L2VsZWN0cm9uaWMtcmVzb3VyY2UtbnVtPjxyZW1vdGUt
ZGF0YWJhc2UtbmFtZT5TY29wdXM8L3JlbW90ZS1kYXRhYmFzZS1uYW1lPjwvcmVjb3JkPjwvQ2l0
ZT48Q2l0ZT48QXV0aG9yPkJyb29rczwvQXV0aG9yPjxZZWFyPjIwMTc8L1llYXI+PFJlY051bT41
NTU3PC9SZWNOdW0+PHJlY29yZD48cmVjLW51bWJlcj41NTU3PC9yZWMtbnVtYmVyPjxmb3JlaWdu
LWtleXM+PGtleSBhcHA9IkVOIiBkYi1pZD0iOXowNWR6MHByYWFkZnVlZTB6b3h6ZWRrOXpmZTVm
eHg1MHo1IiB0aW1lc3RhbXA9IjE1MjM5MjA5ODgiPjU1NTc8L2tleT48a2V5IGFwcD0iRU5XZWIi
IGRiLWlkPSIiPjA8L2tleT48L2ZvcmVpZ24ta2V5cz48cmVmLXR5cGUgbmFtZT0iSm91cm5hbCBB
cnRpY2xlIj4xNzwvcmVmLXR5cGU+PGNvbnRyaWJ1dG9ycz48YXV0aG9ycz48YXV0aG9yPkJyb29r
cywgSi4gSy48L2F1dGhvcj48YXV0aG9yPktsZWlubWFuLCBKLiBXLjwvYXV0aG9yPjxhdXRob3I+
QnJvb2tzLCBKLiBCLjwvYXV0aG9yPjxhdXRob3I+UmV5bm9sZHMsIE0uIEEuPC9hdXRob3I+PC9h
dXRob3JzPjwvY29udHJpYnV0b3JzPjxhdXRoLWFkZHJlc3M+RGVwYXJ0bWVudCBvZiBPbmNvbG9n
eSBhbmQgRGlhZ25vc3RpYyBTY2llbmNlcywgVW5pdmVyc2l0eSBvZiBNYXJ5bGFuZCBTY2hvb2wg
b2YgRGVudGlzdHJ5LCBCYWx0aW1vcmUsIE1hcnlsYW5kLCBVU0EuJiN4RDtEZXBhcnRtZW50IG9m
IFBlcmlvZG9udG9sb2d5LCBVbml2ZXJzaXR5IG9mIE1hcnlsYW5kIFNjaG9vbCBvZiBEZW50aXN0
cnksIEJhbHRpbW9yZSwgTWFyeWxhbmQsIFVTQS4mI3hEO1ByaXZhdGUgcHJhY3RpY2UsIFdlc3Rt
aW5zdGVyLCBNYXJ5bGFuZCwgVVNBLiYjeEQ7VW5pdmVyc2l0eSBvZiBCYWx0aW1vcmUgU2Nob29s
IG9mIExhdywgQmFsdGltb3JlLCBNYXJ5bGFuZCwgVVNBLjwvYXV0aC1hZGRyZXNzPjx0aXRsZXM+
PHRpdGxlPkVsZWN0cm9uaWMgY2lnYXJldHRlIGV4cGxvc2lvbiBhc3NvY2lhdGVkIHdpdGggZXh0
ZW5zaXZlIGludHJhb3JhbCBpbmp1cmllczwvdGl0bGU+PHNlY29uZGFyeS10aXRsZT5EZW50IFRy
YXVtYXRvbDwvc2Vjb25kYXJ5LXRpdGxlPjxhbHQtdGl0bGU+RGVudGFsIHRyYXVtYXRvbG9neSA6
IG9mZmljaWFsIHB1YmxpY2F0aW9uIG9mIEludGVybmF0aW9uYWwgQXNzb2NpYXRpb24gZm9yIERl
bnRhbCBUcmF1bWF0b2xvZ3k8L2FsdC10aXRsZT48L3RpdGxlcz48cGVyaW9kaWNhbD48ZnVsbC10
aXRsZT5EZW50IFRyYXVtYXRvbDwvZnVsbC10aXRsZT48YWJici0xPkRlbnRhbCB0cmF1bWF0b2xv
Z3kgOiBvZmZpY2lhbCBwdWJsaWNhdGlvbiBvZiBJbnRlcm5hdGlvbmFsIEFzc29jaWF0aW9uIGZv
ciBEZW50YWwgVHJhdW1hdG9sb2d5PC9hYmJyLTE+PC9wZXJpb2RpY2FsPjxhbHQtcGVyaW9kaWNh
bD48ZnVsbC10aXRsZT5EZW50IFRyYXVtYXRvbDwvZnVsbC10aXRsZT48YWJici0xPkRlbnRhbCB0
cmF1bWF0b2xvZ3kgOiBvZmZpY2lhbCBwdWJsaWNhdGlvbiBvZiBJbnRlcm5hdGlvbmFsIEFzc29j
aWF0aW9uIGZvciBEZW50YWwgVHJhdW1hdG9sb2d5PC9hYmJyLTE+PC9hbHQtcGVyaW9kaWNhbD48
cGFnZXM+MTQ5LTE1MjwvcGFnZXM+PHZvbHVtZT4zMzwvdm9sdW1lPjxudW1iZXI+MjwvbnVtYmVy
PjxlZGl0aW9uPjIwMTYvMDcvMTI8L2VkaXRpb24+PGtleXdvcmRzPjxrZXl3b3JkPkFkb2xlc2Nl
bnQ8L2tleXdvcmQ+PGtleXdvcmQ+KkVsZWN0cm9uaWMgTmljb3RpbmUgRGVsaXZlcnkgU3lzdGVt
czwva2V5d29yZD48a2V5d29yZD4qRXhwbG9zaW9uczwva2V5d29yZD48a2V5d29yZD5GYWNpYWwg
SW5qdXJpZXMvKmV0aW9sb2d5Lyp0aGVyYXB5PC9rZXl3b3JkPjxrZXl3b3JkPkh1bWFuczwva2V5
d29yZD48a2V5d29yZD5NYWxlPC9rZXl3b3JkPjxrZXl3b3JkPk11bHRpcGxlIFRyYXVtYTwva2V5
d29yZD48a2V5d29yZD5jcm93biBmcmFjdHVyZTwva2V5d29yZD48a2V5d29yZD5kZW50b2FsdmVv
bGFyIHRyYXVtYTwva2V5d29yZD48a2V5d29yZD5lbGVjdHJvbmljIGNpZ2FyZXR0ZTwva2V5d29y
ZD48a2V5d29yZD5leHRydXNpb248L2tleXdvcmQ+PGtleXdvcmQ+c29mdCB0aXNzdWU8L2tleXdv
cmQ+PC9rZXl3b3Jkcz48ZGF0ZXM+PHllYXI+MjAxNzwveWVhcj48cHViLWRhdGVzPjxkYXRlPkFw
cjwvZGF0ZT48L3B1Yi1kYXRlcz48L2RhdGVzPjxpc2JuPjE2MDAtNDQ2OTwvaXNibj48YWNjZXNz
aW9uLW51bT4yNzM5NzEzNzwvYWNjZXNzaW9uLW51bT48dXJscz48cmVsYXRlZC11cmxzPjx1cmw+
aHR0cHM6Ly9vbmxpbmVsaWJyYXJ5LndpbGV5LmNvbS9kb2kvcGRmLzEwLjExMTEvZWR0LjEyMjkz
PC91cmw+PC9yZWxhdGVkLXVybHM+PC91cmxzPjxlbGVjdHJvbmljLXJlc291cmNlLW51bT4xMC4x
MTExL2VkdC4xMjI5MzwvZWxlY3Ryb25pYy1yZXNvdXJjZS1udW0+PHJlbW90ZS1kYXRhYmFzZS1w
cm92aWRlcj5OTE08L3JlbW90ZS1kYXRhYmFzZS1wcm92aWRlcj48bGFuZ3VhZ2U+ZW5nPC9sYW5n
dWFnZT48L3JlY29yZD48L0NpdGU+PENpdGU+PEF1dGhvcj5DaGk8L0F1dGhvcj48WWVhcj4yMDE4
PC9ZZWFyPjxSZWNOdW0+MTc5NzwvUmVjTnVtPjxyZWNvcmQ+PHJlYy1udW1iZXI+MTc5NzwvcmVj
LW51bWJlcj48Zm9yZWlnbi1rZXlzPjxrZXkgYXBwPSJFTiIgZGItaWQ9Ijl2czlwemZ6bmFweHBo
ZWZhMjh4enc5NXNmNWF2MHN2OXJkeiIgdGltZXN0YW1wPSIxNTIxMTU5NDc4Ij4xNzk3PC9rZXk+
PGtleSBhcHA9IkVOV2ViIiBkYi1pZD0iIj4wPC9rZXk+PC9mb3JlaWduLWtleXM+PHJlZi10eXBl
IG5hbWU9IkpvdXJuYWwgQXJ0aWNsZSI+MTc8L3JlZi10eXBlPjxjb250cmlidXRvcnM+PGF1dGhv
cnM+PGF1dGhvcj5DaGksIEEuIEMuPC9hdXRob3I+PGF1dGhvcj5OZXZpbGxlLCBCLiBXLjwvYXV0
aG9yPjxhdXRob3I+UmF2ZW5lbCwgTS48L2F1dGhvcj48L2F1dGhvcnM+PC9jb250cmlidXRvcnM+
PHRpdGxlcz48dGl0bGU+RWxlY3Ryb25pYyBjaWdhcmV0dGUgZXhwbG9zaW9uOiBDYXNlIHJlcG9y
dCBvZiBhbiBlbWVyZ2luZyBjYXVzZSBvZiBvcm9mYWNpYWwgdHJhdW1hPC90aXRsZT48c2Vjb25k
YXJ5LXRpdGxlPlRyYXVtYSAoVW5pdGVkIEtpbmdkb20pPC9zZWNvbmRhcnktdGl0bGU+PC90aXRs
ZXM+PHBlcmlvZGljYWw+PGZ1bGwtdGl0bGU+VHJhdW1hIChVbml0ZWQgS2luZ2RvbSk8L2Z1bGwt
dGl0bGU+PC9wZXJpb2RpY2FsPjxwYWdlcz42Mi02NzwvcGFnZXM+PHZvbHVtZT4yMDwvdm9sdW1l
PjxudW1iZXI+MTwvbnVtYmVyPjxrZXl3b3Jkcz48a2V5d29yZD5hZHVsdDwva2V5d29yZD48a2V5
d29yZD5BcnRpY2xlPC9rZXl3b3JkPjxrZXl3b3JkPmNhc2UgcmVwb3J0PC9rZXl3b3JkPjxrZXl3
b3JkPmNsaW5pY2FsIGFydGljbGU8L2tleXdvcmQ+PGtleXdvcmQ+ZWR1Y2F0aW9uPC9rZXl3b3Jk
PjxrZXl3b3JkPmVxdWlwbWVudCBkZXNpZ248L2tleXdvcmQ+PGtleXdvcmQ+ZXhwbG9zaW9uPC9r
ZXl3b3JkPjxrZXl3b3JkPmZhY2UgaW5qdXJ5PC9rZXl3b3JkPjxrZXl3b3JkPmhhcm0gcmVkdWN0
aW9uPC9rZXl3b3JkPjxrZXl3b3JkPmh1bWFuPC9rZXl3b3JkPjxrZXl3b3JkPmluY2lkZW5jZTwv
a2V5d29yZD48a2V5d29yZD5sYWNlcmF0aW9uPC9rZXl3b3JkPjxrZXl3b3JkPm1hbGU8L2tleXdv
cmQ+PGtleXdvcmQ+bWVkaWNhbCBkZXZpY2UgY29tcGxpY2F0aW9uPC9rZXl3b3JkPjxrZXl3b3Jk
Pm1vdXRoIGluanVyeTwva2V5d29yZD48a2V5d29yZD5vcm9mYWNpYWwgaW5qdXJ5PC9rZXl3b3Jk
PjxrZXl3b3JkPnNhZmV0eTwva2V5d29yZD48a2V5d29yZD5zbW9raW5nIGNlc3NhdGlvbjwva2V5
d29yZD48a2V5d29yZD50ZW1wZXJhdHVyZTwva2V5d29yZD48a2V5d29yZD50b290aCBpbmp1cnk8
L2tleXdvcmQ+PGtleXdvcmQ+VW5pdGVkIFN0YXRlczwva2V5d29yZD48a2V5d29yZD55b3VuZyBh
ZHVsdDwva2V5d29yZD48L2tleXdvcmRzPjxkYXRlcz48eWVhcj4yMDE4PC95ZWFyPjwvZGF0ZXM+
PHVybHM+PHJlbGF0ZWQtdXJscz48dXJsPmh0dHBzOi8vd3d3LnNjb3B1cy5jb20vaW53YXJkL3Jl
Y29yZC51cmk/ZWlkPTItczIuMC04NTAzODgyNjEyNiZhbXA7ZG9pPTEwLjExNzclMmYxNDYwNDA4
NjE2Njc0MjM0JmFtcDtwYXJ0bmVySUQ9NDAmYW1wO21kNT1iYzZhYTJiMWI2Mzg4MGVjYjc3YWEy
YzAzYWJlOTg3MjwvdXJsPjx1cmw+aHR0cDovL2pvdXJuYWxzLnNhZ2VwdWIuY29tL2RvaS9wZGYv
MTAuMTE3Ny8xNDYwNDA4NjE2Njc0MjM0PC91cmw+PC9yZWxhdGVkLXVybHM+PC91cmxzPjxlbGVj
dHJvbmljLXJlc291cmNlLW51bT4xMC4xMTc3LzE0NjA0MDg2MTY2NzQyMzQ8L2VsZWN0cm9uaWMt
cmVzb3VyY2UtbnVtPjxyZW1vdGUtZGF0YWJhc2UtbmFtZT5TY29wdXM8L3JlbW90ZS1kYXRhYmFz
ZS1uYW1lPjwvcmVjb3JkPjwvQ2l0ZT48Q2l0ZT48QXV0aG9yPk5vcmlpPC9BdXRob3I+PFllYXI+
MjAxNzwvWWVhcj48UmVjTnVtPjY0OTE8L1JlY051bT48cmVjb3JkPjxyZWMtbnVtYmVyPjY0OTE8
L3JlYy1udW1iZXI+PGZvcmVpZ24ta2V5cz48a2V5IGFwcD0iRU4iIGRiLWlkPSI5ejA1ZHowcHJh
YWRmdWVlMHpveHplZGs5emZlNWZ4eDUwejUiIHRpbWVzdGFtcD0iMTUyMzkyMTA5NyI+NjQ5MTwv
a2V5PjxrZXkgYXBwPSJFTldlYiIgZGItaWQ9IiI+MDwva2V5PjwvZm9yZWlnbi1rZXlzPjxyZWYt
dHlwZSBuYW1lPSJKb3VybmFsIEFydGljbGUiPjE3PC9yZWYtdHlwZT48Y29udHJpYnV0b3JzPjxh
dXRob3JzPjxhdXRob3I+Tm9yaWksIFQuPC9hdXRob3I+PGF1dGhvcj5QbGF0ZSwgQS48L2F1dGhv
cj48L2F1dGhvcnM+PC9jb250cmlidXRvcnM+PGF1dGgtYWRkcmVzcz5EZXBhcnRtZW50IG9mIEVt
ZXJnZW5jeSBNZWRpY2luZSwgVW5pdmVyc2l0eSBvZiBOZXcgTWV4aWNvLCBBbGJ1cXVlcnF1ZSwg
TmV3IE1leGljby48L2F1dGgtYWRkcmVzcz48dGl0bGVzPjx0aXRsZT5FbGVjdHJvbmljIENpZ2Fy
ZXR0ZSBFeHBsb3Npb24gUmVzdWx0aW5nIGluIGEgQzEgYW5kIEMyIEZyYWN0dXJlOiBBIENhc2Ug
UmVwb3J0PC90aXRsZT48c2Vjb25kYXJ5LXRpdGxlPkogRW1lcmcgTWVkPC9zZWNvbmRhcnktdGl0
bGU+PGFsdC10aXRsZT5UaGUgSm91cm5hbCBvZiBlbWVyZ2VuY3kgbWVkaWNpbmU8L2FsdC10aXRs
ZT48L3RpdGxlcz48cGVyaW9kaWNhbD48ZnVsbC10aXRsZT5KIEVtZXJnIE1lZDwvZnVsbC10aXRs
ZT48YWJici0xPlRoZSBKb3VybmFsIG9mIGVtZXJnZW5jeSBtZWRpY2luZTwvYWJici0xPjwvcGVy
aW9kaWNhbD48YWx0LXBlcmlvZGljYWw+PGZ1bGwtdGl0bGU+SiBFbWVyZyBNZWQ8L2Z1bGwtdGl0
bGU+PGFiYnItMT5UaGUgSm91cm5hbCBvZiBlbWVyZ2VuY3kgbWVkaWNpbmU8L2FiYnItMT48L2Fs
dC1wZXJpb2RpY2FsPjxwYWdlcz44Ni04ODwvcGFnZXM+PHZvbHVtZT41Mjwvdm9sdW1lPjxudW1i
ZXI+MTwvbnVtYmVyPjxlZGl0aW9uPjIwMTYvMTAvMDg8L2VkaXRpb24+PGtleXdvcmRzPjxrZXl3
b3JkPkFkdWx0PC9rZXl3b3JkPjxrZXl3b3JkPkNlcnZpY2FsIFZlcnRlYnJhZS9kaWFnbm9zdGlj
IGltYWdpbmcvKmluanVyaWVzL3BoeXNpb3BhdGhvbG9neTwva2V5d29yZD48a2V5d29yZD5EZWds
dXRpdGlvbiBEaXNvcmRlcnMvZXRpb2xvZ3k8L2tleXdvcmQ+PGtleXdvcmQ+RWxlY3Ryb25pYyBO
aWNvdGluZSBEZWxpdmVyeSBTeXN0ZW1zLyphZHZlcnNlIGVmZmVjdHMvaW5zdHJ1bWVudGF0aW9u
PC9rZXl3b3JkPjxrZXl3b3JkPkVtZXJnZW5jeSBTZXJ2aWNlLCBIb3NwaXRhbC9vcmdhbml6YXRp
b24gJmFtcDsgYWRtaW5pc3RyYXRpb248L2tleXdvcmQ+PGtleXdvcmQ+KkV4cGxvc2lvbnM8L2tl
eXdvcmQ+PGtleXdvcmQ+SHVtYW5zPC9rZXl3b3JkPjxrZXl3b3JkPk1hbGU8L2tleXdvcmQ+PGtl
eXdvcmQ+UGFpbi9ldGlvbG9neTwva2V5d29yZD48a2V5d29yZD5SYWRpb2dyYXBoeS9tZXRob2Rz
PC9rZXl3b3JkPjxrZXl3b3JkPlNwaW5hbCBGcmFjdHVyZXMvY29tcGxpY2F0aW9ucy8qZXRpb2xv
Z3kvc3VyZ2VyeTwva2V5d29yZD48a2V5d29yZD5Ub21vZ3JhcGh5LCBYLVJheSBDb21wdXRlZC9t
ZXRob2RzPC9rZXl3b3JkPjxrZXl3b3JkPmNlcnZpY2FsIHNwaW5lIGluanVyeTwva2V5d29yZD48
a2V5d29yZD5lbGVjdHJvbmljIGNpZ2FyZXR0ZTwva2V5d29yZD48a2V5d29yZD50cmF1bWE8L2tl
eXdvcmQ+PC9rZXl3b3Jkcz48ZGF0ZXM+PHllYXI+MjAxNzwveWVhcj48cHViLWRhdGVzPjxkYXRl
PkphbjwvZGF0ZT48L3B1Yi1kYXRlcz48L2RhdGVzPjxpc2JuPjA3MzYtNDY3OSAoUHJpbnQpJiN4
RDswNzM2LTQ2Nzk8L2lzYm4+PGFjY2Vzc2lvbi1udW0+Mjc3MTI5MDE8L2FjY2Vzc2lvbi1udW0+
PHVybHM+PHJlbGF0ZWQtdXJscz48dXJsPmh0dHBzOi8vd3d3LnNjaWVuY2VkaXJlY3QuY29tL3Nj
aWVuY2UvYXJ0aWNsZS9waWkvUzA3MzY0Njc5MTYzMDY2Njc/dmlhJTNEaWh1YjwvdXJsPjwvcmVs
YXRlZC11cmxzPjwvdXJscz48ZWxlY3Ryb25pYy1yZXNvdXJjZS1udW0+MTAuMTAxNi9qLmplbWVy
bWVkLjIwMTYuMDguMDEwPC9lbGVjdHJvbmljLXJlc291cmNlLW51bT48cmVtb3RlLWRhdGFiYXNl
LXByb3ZpZGVyPk5MTTwvcmVtb3RlLWRhdGFiYXNlLXByb3ZpZGVyPjxsYW5ndWFnZT5lbmc8L2xh
bmd1YWdlPjwvcmVjb3JkPjwvQ2l0ZT48Q2l0ZT48QXV0aG9yPkZvcmFuPC9BdXRob3I+PFllYXI+
MjAxNzwvWWVhcj48UmVjTnVtPjQ3MzQ8L1JlY051bT48cmVjb3JkPjxyZWMtbnVtYmVyPjQ3MzQ8
L3JlYy1udW1iZXI+PGZvcmVpZ24ta2V5cz48a2V5IGFwcD0iRU4iIGRiLWlkPSI5ejA1ZHowcHJh
YWRmdWVlMHpveHplZGs5emZlNWZ4eDUwejUiIHRpbWVzdGFtcD0iMTUyMzkyMDQxOSI+NDczNDwv
a2V5PjwvZm9yZWlnbi1rZXlzPjxyZWYtdHlwZSBuYW1lPSJKb3VybmFsIEFydGljbGUiPjE3PC9y
ZWYtdHlwZT48Y29udHJpYnV0b3JzPjxhdXRob3JzPjxhdXRob3I+Rm9yYW4sIEkuPC9hdXRob3I+
PGF1dGhvcj5PYWssIE4uIFIuPC9hdXRob3I+PGF1dGhvcj5NZXVuaWVyLCBNLiBKLjwvYXV0aG9y
PjwvYXV0aG9ycz48L2NvbnRyaWJ1dG9ycz48YXV0aC1hZGRyZXNzPlVuaXZlcnNpdHkgb2YgQ2Fs
aWZvcm5pYSBTYW4gRGllZ28sIFNhbiBEaWVnbywgQ2FsaWZvcm5pYS4mI3hEO0RlcGFydG1lbnQg
b2YgT3J0aG9wYWVkaWMgU3VyZ2VyeSwgS2Fpc2VyIFBlcm1hbmVudGUsIE1pZC1BdGxhbnRpYyBQ
ZXJtYW5lbnRlIE1lZGljYWwgR3JvdXAsIFJvY2t2aWxsZSwgTWFyeWxhbmQuPC9hdXRoLWFkZHJl
c3M+PHRpdGxlcz48dGl0bGU+SGlnaC1QcmVzc3VyZSBJbmplY3Rpb24gSW5qdXJ5IENhdXNlZCBi
eSBFbGVjdHJvbmljIENpZ2FyZXR0ZSBFeHBsb3Npb246IEEgQ2FzZSBSZXBvcnQ8L3RpdGxlPjxz
ZWNvbmRhcnktdGl0bGU+SkJKUyBDYXNlIENvbm5lY3Q8L3NlY29uZGFyeS10aXRsZT48YWx0LXRp
dGxlPkpCSlMgY2FzZSBjb25uZWN0b3I8L2FsdC10aXRsZT48L3RpdGxlcz48cGVyaW9kaWNhbD48
ZnVsbC10aXRsZT5KQkpTIENhc2UgQ29ubmVjdDwvZnVsbC10aXRsZT48YWJici0xPkpCSlMgY2Fz
ZSBjb25uZWN0b3I8L2FiYnItMT48L3BlcmlvZGljYWw+PGFsdC1wZXJpb2RpY2FsPjxmdWxsLXRp
dGxlPkpCSlMgQ2FzZSBDb25uZWN0PC9mdWxsLXRpdGxlPjxhYmJyLTE+SkJKUyBjYXNlIGNvbm5l
Y3RvcjwvYWJici0xPjwvYWx0LXBlcmlvZGljYWw+PHBhZ2VzPmUzNjwvcGFnZXM+PHZvbHVtZT43
PC92b2x1bWU+PG51bWJlcj4yPC9udW1iZXI+PGVkaXRpb24+MjAxNy8xMi8xNjwvZWRpdGlvbj48
ZGF0ZXM+PHllYXI+MjAxNzwveWVhcj48cHViLWRhdGVzPjxkYXRlPkFwci1KdW48L2RhdGU+PC9w
dWItZGF0ZXM+PC9kYXRlcz48aXNibj4yMTYwLTMyNTE8L2lzYm4+PGFjY2Vzc2lvbi1udW0+Mjky
NDQ2NzU8L2FjY2Vzc2lvbi1udW0+PHVybHM+PHJlbGF0ZWQtdXJscz48dXJsPmh0dHBzOi8vaW5z
aWdodHMub3ZpZC5jb20vcHVibWVkP3BtaWQ9MjkyNDQ2NzU8L3VybD48L3JlbGF0ZWQtdXJscz48
L3VybHM+PGVsZWN0cm9uaWMtcmVzb3VyY2UtbnVtPjEwLjIxMDYvamJqcy5DYy4xNi4wMDE3Nzwv
ZWxlY3Ryb25pYy1yZXNvdXJjZS1udW0+PHJlbW90ZS1kYXRhYmFzZS1wcm92aWRlcj5OTE08L3Jl
bW90ZS1kYXRhYmFzZS1wcm92aWRlcj48bGFuZ3VhZ2U+ZW5nPC9sYW5ndWFnZT48L3JlY29yZD48
L0NpdGU+PENpdGU+PEF1dGhvcj5BY2tsZXk8L0F1dGhvcj48WWVhcj4yMDE4PC9ZZWFyPjxSZWNO
dW0+NDY0NTwvUmVjTnVtPjxyZWNvcmQ+PHJlYy1udW1iZXI+NDY0NTwvcmVjLW51bWJlcj48Zm9y
ZWlnbi1rZXlzPjxrZXkgYXBwPSJFTiIgZGItaWQ9Ijl6MDVkejBwcmFhZGZ1ZWUwem94emVkazl6
ZmU1Znh4NTB6NSIgdGltZXN0YW1wPSIxNTIzOTIwMjkyIj40NjQ1PC9rZXk+PGtleSBhcHA9IkVO
V2ViIiBkYi1pZD0iIj4wPC9rZXk+PC9mb3JlaWduLWtleXM+PHJlZi10eXBlIG5hbWU9IkpvdXJu
YWwgQXJ0aWNsZSI+MTc8L3JlZi10eXBlPjxjb250cmlidXRvcnM+PGF1dGhvcnM+PGF1dGhvcj5B
Y2tsZXksIEUuPC9hdXRob3I+PGF1dGhvcj5XaWxsaWFtcywgSi4gVC4gQi48L2F1dGhvcj48YXV0
aG9yPkt1bnJhdGgsIEMuPC9hdXRob3I+PGF1dGhvcj5Nb25zb24sIE0uPC9hdXRob3I+PGF1dGhv
cj5JZ25hdGl1aywgQS48L2F1dGhvcj48YXV0aG9yPkdhZW5zYmF1ZXIsIEouPC9hdXRob3I+PC9h
dXRob3JzPjwvY29udHJpYnV0b3JzPjxhdXRoLWFkZHJlc3M+UGVkaWF0cmljIFJlc2lkZW5jeSBQ
cm9ncmFtIFVuaXZlcnNpdHkgb2YgQ29sb3JhZG8gRGVudmVyIFNjaG9vbCBvZiBNZWRpY2luZSBB
dXJvcmEsIENvbG9yYWRvLiYjeEQ7RGVwYXJ0bWVudCBvZiBQZWRpYXRyaWNzIERlbnZlciBIZWFs
dGggTWVkaWNhbCBDZW50ZXIgRGVudmVyLCBDb2xvcmFkbzsgRGVwYXJ0bWVudCBvZiBQZWRpYXRy
aWNzIFVuaXZlcnNpdHkgb2YgQ29sb3JhZG8gRGVudmVyIFNjaG9vbCBvZiBNZWRpY2luZSBBdXJv
cmEsIENvbG9yYWRvLiYjeEQ7RGVwYXJ0bWVudCBvZiBQZWRpYXRyaWNzIFBlZGlhdHJpYyBDcml0
aWNhbCBDYXJlIERlbnZlciBIZWFsdGggTWVkaWNhbCBDZW50ZXIgRGVudmVyLCBDb2xvcmFkbzsg
RGVwYXJ0bWVudCBvZiBQZWRpYXRyaWNzIFVuaXZlcnNpdHkgb2YgQ29sb3JhZG8gRGVudmVyIFNj
aG9vbCBvZiBNZWRpY2luZSBBdXJvcmEsIENvbG9yYWRvLiYjeEQ7UGVkaWF0cmljIFJhZGlvbG9n
eSBEZW52ZXIgSGVhbHRoIE1lZGljYWwgQ2VudGVyIERlbnZlciwgQ29sb3JhZG87IERlcGFydG1l
bnQgb2YgUGVkaWF0cmljcyBVbml2ZXJzaXR5IG9mIENvbG9yYWRvIERlbnZlciBTY2hvb2wgb2Yg
TWVkaWNpbmUgQXVyb3JhLCBDb2xvcmFkby4mI3hEO09ydGhvcGVkaWMgU3VyZ2VyeSBEZW52ZXIg
SGVhbHRoIE1lZGljYWwgQ2VudGVyIERlbnZlciwgQ29sb3JhZG87IERlcGFydG1lbnQgb2YgUGVk
aWF0cmljcyBVbml2ZXJzaXR5IG9mIENvbG9yYWRvIERlbnZlciBTY2hvb2wgb2YgTWVkaWNpbmUg
QXVyb3JhLCBDb2xvcmFkby4mI3hEO0RlcGFydG1lbnQgb2YgUGVkaWF0cmljcyBQZWRpYXRyaWMg
SW5mZWN0aW91cyBEaXNlYXNlcyBEZW52ZXIgSGVhbHRoIE1lZGljYWwgQ2VudGVyIERlbnZlciwg
Q29sb3JhZG87IERlcGFydG1lbnQgb2YgUGVkaWF0cmljcyBVbml2ZXJzaXR5IG9mIENvbG9yYWRv
IERlbnZlciBTY2hvb2wgb2YgTWVkaWNpbmUgQXVyb3JhLCBDb2xvcmFkby48L2F1dGgtYWRkcmVz
cz48dGl0bGVzPjx0aXRsZT5Ub28gSG90IHRvIEhhbmRsZT8gV2hlbiBWYXBvcml6ZXJzIEV4cGxv
ZGU8L3RpdGxlPjxzZWNvbmRhcnktdGl0bGU+SiBQZWRpYXRyPC9zZWNvbmRhcnktdGl0bGU+PGFs
dC10aXRsZT5UaGUgSm91cm5hbCBvZiBwZWRpYXRyaWNzPC9hbHQtdGl0bGU+PC90aXRsZXM+PHBl
cmlvZGljYWw+PGZ1bGwtdGl0bGU+SiBQZWRpYXRyPC9mdWxsLXRpdGxlPjxhYmJyLTE+VGhlIEpv
dXJuYWwgb2YgcGVkaWF0cmljczwvYWJici0xPjwvcGVyaW9kaWNhbD48YWx0LXBlcmlvZGljYWw+
PGZ1bGwtdGl0bGU+SiBQZWRpYXRyPC9mdWxsLXRpdGxlPjxhYmJyLTE+VGhlIEpvdXJuYWwgb2Yg
cGVkaWF0cmljczwvYWJici0xPjwvYWx0LXBlcmlvZGljYWw+PGVkaXRpb24+MjAxOC8wMi8wNjwv
ZWRpdGlvbj48a2V5d29yZHM+PGtleXdvcmQ+ZWxlY3Ryb25pYyBjaWdhcmV0dGU8L2tleXdvcmQ+
PGtleXdvcmQ+ZWxlY3Ryb25pYyBuaWNvdGluZS1kZWxpdmVyeSBzeXN0ZW1zPC9rZXl3b3JkPjxr
ZXl3b3JkPnBlcnNvbmFsIHZhcG9yaXplcjwva2V5d29yZD48L2tleXdvcmRzPjxkYXRlcz48eWVh
cj4yMDE4PC95ZWFyPjxwdWItZGF0ZXM+PGRhdGU+SmFuIDI1PC9kYXRlPjwvcHViLWRhdGVzPjwv
ZGF0ZXM+PGlzYm4+MDAyMi0zNDc2PC9pc2JuPjxhY2Nlc3Npb24tbnVtPjI5Mzk1MTc1PC9hY2Nl
c3Npb24tbnVtPjx1cmxzPjxyZWxhdGVkLXVybHM+PHVybD5odHRwczovL3d3dy5zY2llbmNlZGly
ZWN0LmNvbS9zY2llbmNlL2FydGljbGUvcGlpL1MwMDIyMzQ3NjE3MzE3Mjc0P3ZpYSUzRGlodWI8
L3VybD48L3JlbGF0ZWQtdXJscz48L3VybHM+PGVsZWN0cm9uaWMtcmVzb3VyY2UtbnVtPjEwLjEw
MTYvai5qcGVkcy4yMDE3LjEyLjAzMjwvZWxlY3Ryb25pYy1yZXNvdXJjZS1udW0+PHJlbW90ZS1k
YXRhYmFzZS1wcm92aWRlcj5OTE08L3JlbW90ZS1kYXRhYmFzZS1wcm92aWRlcj48bGFuZ3VhZ2U+
ZW5nPC9sYW5ndWFnZT48L3JlY29yZD48L0NpdGU+PENpdGU+PEF1dGhvcj5TYXR0ZXNvbjwvQXV0
aG9yPjxZZWFyPjIwMTc8L1llYXI+PFJlY051bT42NDg4PC9SZWNOdW0+PHJlY29yZD48cmVjLW51
bWJlcj42NDg4PC9yZWMtbnVtYmVyPjxmb3JlaWduLWtleXM+PGtleSBhcHA9IkVOIiBkYi1pZD0i
OXowNWR6MHByYWFkZnVlZTB6b3h6ZWRrOXpmZTVmeHg1MHo1IiB0aW1lc3RhbXA9IjE1MjM5MjEw
OTciPjY0ODg8L2tleT48a2V5IGFwcD0iRU5XZWIiIGRiLWlkPSIiPjA8L2tleT48L2ZvcmVpZ24t
a2V5cz48cmVmLXR5cGUgbmFtZT0iSm91cm5hbCBBcnRpY2xlIj4xNzwvcmVmLXR5cGU+PGNvbnRy
aWJ1dG9ycz48YXV0aG9ycz48YXV0aG9yPlNhdHRlc29uLCBFLiBTLjwvYXV0aG9yPjxhdXRob3I+
V2Fsa2VyLCBOLiBKLjwvYXV0aG9yPjxhdXRob3I+VHVvaHksIEMuIEouPC9hdXRob3I+PGF1dGhv
cj5Nb2xuYXIsIEouIEEuPC9hdXRob3I+PC9hdXRob3JzPjwvY29udHJpYnV0b3JzPjxhdXRoLWFk
ZHJlc3M+MSBXYWtlIEZvcmVzdCBVbml2ZXJzaXR5IFNjaG9vbCBvZiBNZWRpY2luZSwgV2luc3Rv
bi1TYWxlbSwgTkMsIFVTQS48L2F1dGgtYWRkcmVzcz48dGl0bGVzPjx0aXRsZT5FeHRlbnNpdmUg
SGFuZCBUaGVybWFsIGFuZCBCbGFzdCBJbmp1cnkgRnJvbSBFbGVjdHJvbmljIENpZ2FyZXR0ZSBF
eHBsb3Npb246IEEgQ2FzZSBSZXBvcnQ8L3RpdGxlPjxzZWNvbmRhcnktdGl0bGU+SGFuZCAoTiBZ
KTwvc2Vjb25kYXJ5LXRpdGxlPjxhbHQtdGl0bGU+SGFuZCAoTmV3IFlvcmssIE4uWS4pPC9hbHQt
dGl0bGU+PC90aXRsZXM+PHBlcmlvZGljYWw+PGZ1bGwtdGl0bGU+SGFuZCAoTiBZKTwvZnVsbC10
aXRsZT48YWJici0xPkhhbmQgKE5ldyBZb3JrLCBOLlkuKTwvYWJici0xPjwvcGVyaW9kaWNhbD48
YWx0LXBlcmlvZGljYWw+PGZ1bGwtdGl0bGU+SGFuZCAoTiBZKTwvZnVsbC10aXRsZT48YWJici0x
PkhhbmQgKE5ldyBZb3JrLCBOLlkuKTwvYWJici0xPjwvYWx0LXBlcmlvZGljYWw+PHBhZ2VzPjE1
NTg5NDQ3MTc3NDQzMzM8L3BhZ2VzPjxlZGl0aW9uPjIwMTcvMTIvMDI8L2VkaXRpb24+PGtleXdv
cmRzPjxrZXl3b3JkPmVsZWN0cm9uaWMgY2lnYXJldHRlPC9rZXl3b3JkPjxrZXl3b3JkPmV4cGxv
c2lvbjwva2V5d29yZD48a2V5d29yZD5oYW5kIGJ1cm48L2tleXdvcmQ+PGtleXdvcmQ+dmFwaW5n
PC9rZXl3b3JkPjxrZXl3b3JkPnZhcG9yPC9rZXl3b3JkPjwva2V5d29yZHM+PGRhdGVzPjx5ZWFy
PjIwMTc8L3llYXI+PHB1Yi1kYXRlcz48ZGF0ZT5Ob3YgMTwvZGF0ZT48L3B1Yi1kYXRlcz48L2Rh
dGVzPjxpc2JuPjE1NTgtOTQ0NzwvaXNibj48YWNjZXNzaW9uLW51bT4yOTE5MjUwNjwvYWNjZXNz
aW9uLW51bT48dXJscz48cmVsYXRlZC11cmxzPjx1cmw+aHR0cDovL2pvdXJuYWxzLnNhZ2VwdWIu
Y29tL2RvaS9wZGYvMTAuMTE3Ny8xNTU4OTQ0NzE3NzQ0MzMzPC91cmw+PC9yZWxhdGVkLXVybHM+
PC91cmxzPjxlbGVjdHJvbmljLXJlc291cmNlLW51bT4xMC4xMTc3LzE1NTg5NDQ3MTc3NDQzMzM8
L2VsZWN0cm9uaWMtcmVzb3VyY2UtbnVtPjxyZW1vdGUtZGF0YWJhc2UtcHJvdmlkZXI+TkxNPC9y
ZW1vdGUtZGF0YWJhc2UtcHJvdmlkZXI+PGxhbmd1YWdlPmVuZzwvbGFuZ3VhZ2U+PC9yZWNvcmQ+
PC9DaXRlPjxDaXRlPjxBdXRob3I+QW5kZXJzb248L0F1dGhvcj48WWVhcj4yMDE3PC9ZZWFyPjxS
ZWNOdW0+NTUyNTwvUmVjTnVtPjxyZWNvcmQ+PHJlYy1udW1iZXI+NTUyNTwvcmVjLW51bWJlcj48
Zm9yZWlnbi1rZXlzPjxrZXkgYXBwPSJFTiIgZGItaWQ9Ijl6MDVkejBwcmFhZGZ1ZWUwem94emVk
azl6ZmU1Znh4NTB6NSIgdGltZXN0YW1wPSIxNTIzOTIwOTcwIj41NTI1PC9rZXk+PGtleSBhcHA9
IkVOV2ViIiBkYi1pZD0iIj4wPC9rZXk+PC9mb3JlaWduLWtleXM+PHJlZi10eXBlIG5hbWU9Ikpv
dXJuYWwgQXJ0aWNsZSI+MTc8L3JlZi10eXBlPjxjb250cmlidXRvcnM+PGF1dGhvcnM+PGF1dGhv
cj5BbmRlcnNvbiwgSC48L2F1dGhvcj48YXV0aG9yPlJpY2hpZSwgQy48L2F1dGhvcj48YXV0aG9y
PkJlcm5hcmQsIEEuPC9hdXRob3I+PC9hdXRob3JzPjwvY29udHJpYnV0b3JzPjxhdXRoLWFkZHJl
c3M+U2VjdGlvbiBvbiBUcmF1bWEgYW5kIEFjdXRlIENhcmUgU3VyZ2VyeSwgRGVwYXJ0bWVudCBv
ZiBTdXJnZXJ5LCBVSyBDb2xsZWdlIG9mIE1lZGljaW5lLCBMZXhpbmd0b24sIEtlbnR1Y2t5Ljwv
YXV0aC1hZGRyZXNzPjx0aXRsZXM+PHRpdGxlPkEgU3VycHJpc2luZ2x5IFZvbGF0aWxlIFNtb2tp
bmcgQWx0ZXJuYXRpdmU6IEV4cGxvc2lvbiBhbmQgQnVybnMgYXMgUmlza3Mgb2YgRS1DaWdhcmV0
dGUgVXNlPC90aXRsZT48c2Vjb25kYXJ5LXRpdGxlPkogQnVybiBDYXJlIFJlczwvc2Vjb25kYXJ5
LXRpdGxlPjxhbHQtdGl0bGU+Sm91cm5hbCBvZiBidXJuIGNhcmUgJmFtcDsgcmVzZWFyY2ggOiBv
ZmZpY2lhbCBwdWJsaWNhdGlvbiBvZiB0aGUgQW1lcmljYW4gQnVybiBBc3NvY2lhdGlvbjwvYWx0
LXRpdGxlPjwvdGl0bGVzPjxwZXJpb2RpY2FsPjxmdWxsLXRpdGxlPkogQnVybiBDYXJlIFJlczwv
ZnVsbC10aXRsZT48YWJici0xPkpvdXJuYWwgb2YgYnVybiBjYXJlICZhbXA7IHJlc2VhcmNoIDog
b2ZmaWNpYWwgcHVibGljYXRpb24gb2YgdGhlIEFtZXJpY2FuIEJ1cm4gQXNzb2NpYXRpb248L2Fi
YnItMT48L3BlcmlvZGljYWw+PGFsdC1wZXJpb2RpY2FsPjxmdWxsLXRpdGxlPkogQnVybiBDYXJl
IFJlczwvZnVsbC10aXRsZT48YWJici0xPkpvdXJuYWwgb2YgYnVybiBjYXJlICZhbXA7IHJlc2Vh
cmNoIDogb2ZmaWNpYWwgcHVibGljYXRpb24gb2YgdGhlIEFtZXJpY2FuIEJ1cm4gQXNzb2NpYXRp
b248L2FiYnItMT48L2FsdC1wZXJpb2RpY2FsPjxwYWdlcz5lODg0PC9wYWdlcz48dm9sdW1lPjM4
PC92b2x1bWU+PG51bWJlcj41PC9udW1iZXI+PGVkaXRpb24+MjAxNi8xMC8xOTwvZWRpdGlvbj48
ZGF0ZXM+PHllYXI+MjAxNzwveWVhcj48cHViLWRhdGVzPjxkYXRlPlNlcC9PY3Q8L2RhdGU+PC9w
dWItZGF0ZXM+PC9kYXRlcz48aXNibj4xNTU5LTA0N3g8L2lzYm4+PGFjY2Vzc2lvbi1udW0+Mjc3
NTUyNTI8L2FjY2Vzc2lvbi1udW0+PHVybHM+PHJlbGF0ZWQtdXJscz48dXJsPmh0dHBzOi8vd2F0
ZXJtYXJrLnNpbHZlcmNoYWlyLmNvbS8wMTI1MzA5Mi0yMDE3MDkwMDAtMDAwMjUucGRmP3Rva2Vu
PUFRRUNBSGkyMDhCRTQ5T29hbjlra2hXX0VyY3k3RG0zWkxfOUNmM3FmS0FjNDg1eXNnQUFBZE13
Z2dIUEJna3Foa2lHOXcwQkJ3YWdnZ0hBTUlJQnZBSUJBRENDQWJVR0NTcUdTSWIzRFFFSEFUQWVC
Z2xnaGtnQlpRTUVBUzR3RVFRTVl3U0dMNUpONkRVSnNJTTBBZ0VRZ0lJQmhwTTlSdHFId1FmaVZT
Y0dLWk0ybC0yQzAtbWVGVDVvNjM4bXpuZDJMUDZsM3VCemVNekxkWUNXYVJaS2I4MjVSS0N5WVQx
bFhhME94WWRXOHNRTTJ2a1l1YWZ5WGNPWnM5SHZZWi1fRU1KeGY3NFE4LVFzbXdDWmo3Wmk4VVhV
VFg2MmtIZy10MERDemo1dWZnaHdiRVVfc3BMQzZNRjc0ekR5YU1tUFl5N1RnVnpvSmN0U2lid3do
T0xGRjUySUQ4Xy1TdWZSZlkxOHExMVVMV25na3hWZ2lycElwSkFidnF5R0tTZnN3aUN6VGFjMHNO
d0RMbTRydmgwN2M2NDlzQzdyOTIteTFpRXBUQnk2eFhxWGVVMVRNUkd4WDdEcHZrdC1qRWUwN1Zu
bkJkMjJJbUdma0pvRUlOcG0yeTBkQXZTTjZHSHhxcnRaVnpOMEs1bjNkY2R0dEcwWTRybTBPQTU3
eDVJU0pvUEpDdVVmTmJsNG1reDEzLUxPSmZnbnEta2FVckNQYVFKc3pxQ1JILUNJM0lzSGN6RC1q
Z3k3eDZ3SS1EcjFnLTFfYmRJd0xfekhxTk1DRHRJM3Z6ZmFFd1pNV05yNWhUWjUtTWYzQzloS3Nx
NTdRSFhrV2xMODVoN0R3WUw4VTlVV3RiWmxOV2JoZ0hnUnNDSnJyeVZfWHF4aWttaDVxZzwvdXJs
PjwvcmVsYXRlZC11cmxzPjwvdXJscz48ZWxlY3Ryb25pYy1yZXNvdXJjZS1udW0+MTAuMTA5Ny9i
Y3IuMDAwMDAwMDAwMDAwMDQ1NDwvZWxlY3Ryb25pYy1yZXNvdXJjZS1udW0+PHJlbW90ZS1kYXRh
YmFzZS1wcm92aWRlcj5OTE08L3JlbW90ZS1kYXRhYmFzZS1wcm92aWRlcj48bGFuZ3VhZ2U+ZW5n
PC9sYW5ndWFnZT48L3JlY29yZD48L0NpdGU+PC9FbmROb3RlPgB=
</w:fldData>
            </w:fldChar>
          </w:r>
          <w:r>
            <w:rPr>
              <w:sz w:val="24"/>
            </w:rPr>
            <w:instrText xml:space="preserve"> ADDIN EN.CITE.DATA </w:instrText>
          </w:r>
          <w:r>
            <w:rPr>
              <w:sz w:val="24"/>
            </w:rPr>
          </w:r>
          <w:r>
            <w:rPr>
              <w:sz w:val="24"/>
            </w:rPr>
            <w:fldChar w:fldCharType="end"/>
          </w:r>
          <w:r w:rsidRPr="004F431A">
            <w:rPr>
              <w:sz w:val="24"/>
            </w:rPr>
          </w:r>
          <w:r w:rsidRPr="004F431A">
            <w:rPr>
              <w:sz w:val="24"/>
            </w:rPr>
            <w:fldChar w:fldCharType="separate"/>
          </w:r>
          <w:r>
            <w:rPr>
              <w:noProof/>
              <w:sz w:val="24"/>
            </w:rPr>
            <w:t>(Anderson, Richie et al. 2017, Ban, Krishnan et al. 2017, Brooks, Kleinman et al. 2017, Foran, Oak et al. 2017, Norii and Plate 2017, Satteson, Walker et al. 2017, Ackley, Williams et al. 2018, Chi, Neville et al. 2018)</w:t>
          </w:r>
          <w:r w:rsidRPr="004F431A">
            <w:rPr>
              <w:sz w:val="24"/>
            </w:rPr>
            <w:fldChar w:fldCharType="end"/>
          </w:r>
          <w:r w:rsidRPr="004F431A">
            <w:rPr>
              <w:sz w:val="24"/>
            </w:rPr>
            <w:t xml:space="preserve">. </w:t>
          </w:r>
        </w:p>
        <w:p w14:paraId="67FA53B4" w14:textId="77777777" w:rsidR="00F918EE" w:rsidRDefault="00F918EE" w:rsidP="00F918EE">
          <w:pPr>
            <w:tabs>
              <w:tab w:val="left" w:pos="397"/>
            </w:tabs>
            <w:spacing w:before="60" w:after="60" w:line="264" w:lineRule="auto"/>
            <w:rPr>
              <w:sz w:val="24"/>
            </w:rPr>
          </w:pPr>
        </w:p>
        <w:p w14:paraId="096A1AF7" w14:textId="77777777" w:rsidR="00F918EE" w:rsidRDefault="00F918EE" w:rsidP="00F918EE">
          <w:pPr>
            <w:tabs>
              <w:tab w:val="left" w:pos="397"/>
            </w:tabs>
            <w:spacing w:before="60" w:after="60" w:line="264" w:lineRule="auto"/>
            <w:rPr>
              <w:sz w:val="24"/>
            </w:rPr>
          </w:pPr>
          <w:r w:rsidRPr="004F431A">
            <w:rPr>
              <w:sz w:val="24"/>
            </w:rPr>
            <w:t xml:space="preserve">Foran et al 2017 described a high pressure injection-type injury resulting from the explosion of an electronic cigarette, with injection of e-liquid into the index ﬁnger </w:t>
          </w:r>
          <w:r w:rsidRPr="004F431A">
            <w:rPr>
              <w:sz w:val="24"/>
            </w:rPr>
            <w:fldChar w:fldCharType="begin"/>
          </w:r>
          <w:r>
            <w:rPr>
              <w:sz w:val="24"/>
            </w:rPr>
            <w:instrText xml:space="preserve"> ADDIN EN.CITE &lt;EndNote&gt;&lt;Cite&gt;&lt;Author&gt;Foran&lt;/Author&gt;&lt;Year&gt;2017&lt;/Year&gt;&lt;RecNum&gt;4734&lt;/RecNum&gt;&lt;DisplayText&gt;(Foran, Oak et al. 2017)&lt;/DisplayText&gt;&lt;record&gt;&lt;rec-number&gt;4734&lt;/rec-number&gt;&lt;foreign-keys&gt;&lt;key app="EN" db-id="9z05dz0praadfuee0zoxzedk9zfe5fxx50z5" timestamp="1523920419"&gt;4734&lt;/key&gt;&lt;/foreign-keys&gt;&lt;ref-type name="Journal Article"&gt;17&lt;/ref-type&gt;&lt;contributors&gt;&lt;authors&gt;&lt;author&gt;Foran, I.&lt;/author&gt;&lt;author&gt;Oak, N. R.&lt;/author&gt;&lt;author&gt;Meunier, M. J.&lt;/author&gt;&lt;/authors&gt;&lt;/contributors&gt;&lt;auth-address&gt;University of California San Diego, San Diego, California.&amp;#xD;Department of Orthopaedic Surgery, Kaiser Permanente, Mid-Atlantic Permanente Medical Group, Rockville, Maryland.&lt;/auth-address&gt;&lt;titles&gt;&lt;title&gt;High-Pressure Injection Injury Caused by Electronic Cigarette Explosion: A Case Report&lt;/title&gt;&lt;secondary-title&gt;JBJS Case Connect&lt;/secondary-title&gt;&lt;alt-title&gt;JBJS case connector&lt;/alt-title&gt;&lt;/titles&gt;&lt;periodical&gt;&lt;full-title&gt;JBJS Case Connect&lt;/full-title&gt;&lt;abbr-1&gt;JBJS case connector&lt;/abbr-1&gt;&lt;/periodical&gt;&lt;alt-periodical&gt;&lt;full-title&gt;JBJS Case Connect&lt;/full-title&gt;&lt;abbr-1&gt;JBJS case connector&lt;/abbr-1&gt;&lt;/alt-periodical&gt;&lt;pages&gt;e36&lt;/pages&gt;&lt;volume&gt;7&lt;/volume&gt;&lt;number&gt;2&lt;/number&gt;&lt;edition&gt;2017/12/16&lt;/edition&gt;&lt;dates&gt;&lt;year&gt;2017&lt;/year&gt;&lt;pub-dates&gt;&lt;date&gt;Apr-Jun&lt;/date&gt;&lt;/pub-dates&gt;&lt;/dates&gt;&lt;isbn&gt;2160-3251&lt;/isbn&gt;&lt;accession-num&gt;29244675&lt;/accession-num&gt;&lt;urls&gt;&lt;related-urls&gt;&lt;url&gt;https://insights.ovid.com/pubmed?pmid=29244675&lt;/url&gt;&lt;/related-urls&gt;&lt;/urls&gt;&lt;electronic-resource-num&gt;10.2106/jbjs.Cc.16.00177&lt;/electronic-resource-num&gt;&lt;remote-database-provider&gt;NLM&lt;/remote-database-provider&gt;&lt;language&gt;eng&lt;/language&gt;&lt;/record&gt;&lt;/Cite&gt;&lt;/EndNote&gt;</w:instrText>
          </w:r>
          <w:r w:rsidRPr="004F431A">
            <w:rPr>
              <w:sz w:val="24"/>
            </w:rPr>
            <w:fldChar w:fldCharType="separate"/>
          </w:r>
          <w:r>
            <w:rPr>
              <w:noProof/>
              <w:sz w:val="24"/>
            </w:rPr>
            <w:t>(Foran, Oak et al. 2017)</w:t>
          </w:r>
          <w:r w:rsidRPr="004F431A">
            <w:rPr>
              <w:sz w:val="24"/>
            </w:rPr>
            <w:fldChar w:fldCharType="end"/>
          </w:r>
          <w:r w:rsidRPr="004F431A">
            <w:rPr>
              <w:sz w:val="24"/>
            </w:rPr>
            <w:t>.</w:t>
          </w:r>
        </w:p>
        <w:p w14:paraId="469918A6" w14:textId="77777777" w:rsidR="00F918EE" w:rsidRPr="004F431A" w:rsidRDefault="00F918EE" w:rsidP="00F918EE">
          <w:pPr>
            <w:tabs>
              <w:tab w:val="left" w:pos="397"/>
            </w:tabs>
            <w:spacing w:before="60" w:after="60" w:line="264" w:lineRule="auto"/>
            <w:rPr>
              <w:sz w:val="24"/>
            </w:rPr>
          </w:pPr>
        </w:p>
        <w:p w14:paraId="7A536481" w14:textId="77777777" w:rsidR="00F918EE" w:rsidRDefault="00F918EE" w:rsidP="00F918EE">
          <w:pPr>
            <w:tabs>
              <w:tab w:val="left" w:pos="397"/>
            </w:tabs>
            <w:spacing w:before="60" w:after="60" w:line="264" w:lineRule="auto"/>
            <w:rPr>
              <w:sz w:val="24"/>
            </w:rPr>
          </w:pPr>
          <w:r w:rsidRPr="004F431A">
            <w:rPr>
              <w:sz w:val="24"/>
            </w:rPr>
            <w:t xml:space="preserve">There were 8 retrospective case review papers </w:t>
          </w:r>
          <w:r w:rsidRPr="004F431A">
            <w:rPr>
              <w:sz w:val="24"/>
            </w:rPr>
            <w:fldChar w:fldCharType="begin">
              <w:fldData xml:space="preserve">PEVuZE5vdGU+PENpdGU+PEF1dGhvcj5Db3JleTwvQXV0aG9yPjxZZWFyPjIwMTg8L1llYXI+PFJl
Y051bT41NzI8L1JlY051bT48RGlzcGxheVRleHQ+KEppd2FuaSwgV2lsbGlhbXMgZXQgYWwuIDIw
MTcsIFJhbWlyZXosIFJpZGd3YXkgZXQgYWwuIDIwMTcsIFJ1ZHkgYW5kIER1cm1vd2ljeiAyMDE3
LCBTZXJyb3IsIENoYW91YXQgZXQgYWwuIDIwMTcsIFNtaXRoLCBTbWl0aCBldCBhbC4gMjAxNywg
VG95LCBEb25nIGV0IGFsLiAyMDE3LCBDb3JleSwgQ2hhbmcgZXQgYWwuIDIwMTgsIEhpY2tleSwg
R292ZXJtYW4gZXQgYWwuIDIwMTgpPC9EaXNwbGF5VGV4dD48cmVjb3JkPjxyZWMtbnVtYmVyPjU3
MjwvcmVjLW51bWJlcj48Zm9yZWlnbi1rZXlzPjxrZXkgYXBwPSJFTiIgZGItaWQ9IjkwdHAydnAy
NXd0ZTI2ZXo1MnN4dHRyd3Z6d2ZmdzVydnphZiIgdGltZXN0YW1wPSIxNTIxMDc3MzYzIj41NzI8
L2tleT48L2ZvcmVpZ24ta2V5cz48cmVmLXR5cGUgbmFtZT0iSm91cm5hbCBBcnRpY2xlIj4xNzwv
cmVmLXR5cGU+PGNvbnRyaWJ1dG9ycz48YXV0aG9ycz48YXV0aG9yPkNvcmV5LCBDLiBHLjwvYXV0
aG9yPjxhdXRob3I+Q2hhbmcsIEouIFQuPC9hdXRob3I+PGF1dGhvcj5Sb3N0cm9uLCBCLiBMLjwv
YXV0aG9yPjwvYXV0aG9ycz48L2NvbnRyaWJ1dG9ycz48YXV0aC1hZGRyZXNzPkNlbnRlciBmb3Ig
VG9iYWNjbyBQcm9kdWN0cywgVS5TLiBGb29kIGFuZCBEcnVnIEFkbWluaXN0cmF0aW9uLCAxMDkw
MyBOZXcgSGFtcHNoaXJlIEF2ZW51ZSwgU2lsdmVyIFNwcmluZywgTUQsIDIwOTkzLCBVU0EuIGNh
dGhlcmluZS5jb3JleUBmZGEuaGhzLmdvdi4mI3hEO0NlbnRlciBmb3IgVG9iYWNjbyBQcm9kdWN0
cywgVS5TLiBGb29kIGFuZCBEcnVnIEFkbWluaXN0cmF0aW9uLCBEb2N1bWVudCBDb250cm9sIENl
bnRlciwgQnVpbGRpbmcgNzEsIFJvb20gRzMzNSwgMTA5MDMgTmV3IEhhbXBzaGlyZSBBdmVudWUs
IFNpbHZlciBTcHJpbmcsIE1ELCAyMDk5My0wMDAyLCBVU0EuIGNhdGhlcmluZS5jb3JleUBmZGEu
aGhzLmdvdi4mI3hEO0NlbnRlciBmb3IgVG9iYWNjbyBQcm9kdWN0cywgVS5TLiBGb29kIGFuZCBE
cnVnIEFkbWluaXN0cmF0aW9uLCAxMDkwMyBOZXcgSGFtcHNoaXJlIEF2ZW51ZSwgU2lsdmVyIFNw
cmluZywgTUQsIDIwOTkzLCBVU0EuPC9hdXRoLWFkZHJlc3M+PHRpdGxlcz48dGl0bGU+RWxlY3Ry
b25pYyBuaWNvdGluZSBkZWxpdmVyeSBzeXN0ZW0gKEVORFMpIGJhdHRlcnktcmVsYXRlZCBidXJu
cyBwcmVzZW50aW5nIHRvIFVTIGVtZXJnZW5jeSBkZXBhcnRtZW50cywgMjAxNjwvdGl0bGU+PHNl
Y29uZGFyeS10aXRsZT5JbmogRXBpZGVtaW9sPC9zZWNvbmRhcnktdGl0bGU+PGFsdC10aXRsZT5J
bmp1cnkgZXBpZGVtaW9sb2d5PC9hbHQtdGl0bGU+PC90aXRsZXM+PHBlcmlvZGljYWw+PGZ1bGwt
dGl0bGU+SW5qIEVwaWRlbWlvbDwvZnVsbC10aXRsZT48YWJici0xPkluanVyeSBlcGlkZW1pb2xv
Z3k8L2FiYnItMT48L3BlcmlvZGljYWw+PGFsdC1wZXJpb2RpY2FsPjxmdWxsLXRpdGxlPkluaiBF
cGlkZW1pb2w8L2Z1bGwtdGl0bGU+PGFiYnItMT5Jbmp1cnkgZXBpZGVtaW9sb2d5PC9hYmJyLTE+
PC9hbHQtcGVyaW9kaWNhbD48cGFnZXM+NDwvcGFnZXM+PHZvbHVtZT41PC92b2x1bWU+PG51bWJl
cj4xPC9udW1iZXI+PGVkaXRpb24+MjAxOC8wMy8wNjwvZWRpdGlvbj48ZGF0ZXM+PHllYXI+MjAx
ODwveWVhcj48cHViLWRhdGVzPjxkYXRlPk1hciA1PC9kYXRlPjwvcHViLWRhdGVzPjwvZGF0ZXM+
PGlzYm4+MjE5Ny0xNzE0IChQcmludCkmI3hEOzIxOTctMTcxNDwvaXNibj48YWNjZXNzaW9uLW51
bT4yOTUwNDA4NTwvYWNjZXNzaW9uLW51bT48dXJscz48cmVsYXRlZC11cmxzPjx1cmw+aHR0cHM6
Ly93d3cubmNiaS5ubG0ubmloLmdvdi9wbWMvYXJ0aWNsZXMvUE1DNTgzNTQ4Ny9wZGYvNDA2MjFf
MjAxOF9BcnRpY2xlXzEzNS5wZGY8L3VybD48L3JlbGF0ZWQtdXJscz48L3VybHM+PGVsZWN0cm9u
aWMtcmVzb3VyY2UtbnVtPjEwLjExODYvczQwNjIxLTAxOC0wMTM1LTE8L2VsZWN0cm9uaWMtcmVz
b3VyY2UtbnVtPjxyZW1vdGUtZGF0YWJhc2UtcHJvdmlkZXI+TkxNPC9yZW1vdGUtZGF0YWJhc2Ut
cHJvdmlkZXI+PGxhbmd1YWdlPmVuZzwvbGFuZ3VhZ2U+PC9yZWNvcmQ+PC9DaXRlPjxDaXRlPjxB
dXRob3I+SGlja2V5PC9BdXRob3I+PFllYXI+MjAxODwvWWVhcj48UmVjTnVtPjU5NDwvUmVjTnVt
PjxyZWNvcmQ+PHJlYy1udW1iZXI+NTk0PC9yZWMtbnVtYmVyPjxmb3JlaWduLWtleXM+PGtleSBh
cHA9IkVOIiBkYi1pZD0iOTB0cDJ2cDI1d3RlMjZlejUyc3h0dHJ3dnp3ZmZ3NXJ2emFmIiB0aW1l
c3RhbXA9IjE1MjEwNzczNjciPjU5NDwva2V5PjwvZm9yZWlnbi1rZXlzPjxyZWYtdHlwZSBuYW1l
PSJKb3VybmFsIEFydGljbGUiPjE3PC9yZWYtdHlwZT48Y29udHJpYnV0b3JzPjxhdXRob3JzPjxh
dXRob3I+SGlja2V5LCBTLjwvYXV0aG9yPjxhdXRob3I+R292ZXJtYW4sIEouPC9hdXRob3I+PGF1
dGhvcj5GcmllZHN0YXQsIEouPC9hdXRob3I+PGF1dGhvcj5TaGVyaWRhbiwgUi48L2F1dGhvcj48
YXV0aG9yPlNjaHVseiwgSi48L2F1dGhvcj48L2F1dGhvcnM+PC9jb250cmlidXRvcnM+PGF1dGgt
YWRkcmVzcz5NYXNzYWNodXNldHRzIEdlbmVyYWwgSG9zcGl0YWwsIERlcGFydG1lbnQgb2YgU3Vy
Z2VyeSwgU3VtbmVyIFJlZHN0b25lIEJ1cm4gQ2VudGVyLCBVbml0ZWQgU3RhdGVzLiBFbGVjdHJv
bmljIGFkZHJlc3M6IHNhaGlja2V5QHBhcnRuZXJzLm9yZy4mI3hEO01hc3NhY2h1c2V0dHMgR2Vu
ZXJhbCBIb3NwaXRhbCwgRGVwYXJ0bWVudCBvZiBTdXJnZXJ5LCBTdW1uZXIgUmVkc3RvbmUgQnVy
biBDZW50ZXIsIFVuaXRlZCBTdGF0ZXMuPC9hdXRoLWFkZHJlc3M+PHRpdGxlcz48dGl0bGU+VGhl
cm1hbCBpbmp1cmllcyBmcm9tIGV4cGxvZGluZyBlbGVjdHJvbmljIGNpZ2FyZXR0ZXM8L3RpdGxl
PjxzZWNvbmRhcnktdGl0bGU+QnVybnM8L3NlY29uZGFyeS10aXRsZT48YWx0LXRpdGxlPkJ1cm5z
IDogam91cm5hbCBvZiB0aGUgSW50ZXJuYXRpb25hbCBTb2NpZXR5IGZvciBCdXJuIEluanVyaWVz
PC9hbHQtdGl0bGU+PC90aXRsZXM+PHBlcmlvZGljYWw+PGZ1bGwtdGl0bGU+QnVybnM8L2Z1bGwt
dGl0bGU+PGFiYnItMT5CdXJucyA6IGpvdXJuYWwgb2YgdGhlIEludGVybmF0aW9uYWwgU29jaWV0
eSBmb3IgQnVybiBJbmp1cmllczwvYWJici0xPjwvcGVyaW9kaWNhbD48YWx0LXBlcmlvZGljYWw+
PGZ1bGwtdGl0bGU+QnVybnM8L2Z1bGwtdGl0bGU+PGFiYnItMT5CdXJucyA6IGpvdXJuYWwgb2Yg
dGhlIEludGVybmF0aW9uYWwgU29jaWV0eSBmb3IgQnVybiBJbmp1cmllczwvYWJici0xPjwvYWx0
LXBlcmlvZGljYWw+PGVkaXRpb24+MjAxOC8wMy8wNjwvZWRpdGlvbj48a2V5d29yZHM+PGtleXdv
cmQ+QnVybjwva2V5d29yZD48a2V5d29yZD5FLWNpZzwva2V5d29yZD48a2V5d29yZD5FbGVjdHJv
bmljIGNpZ2FyZXR0ZTwva2V5d29yZD48a2V5d29yZD5MaXRoaXVtIGJhdHRlcnk8L2tleXdvcmQ+
PC9rZXl3b3Jkcz48ZGF0ZXM+PHllYXI+MjAxODwveWVhcj48cHViLWRhdGVzPjxkYXRlPk1hciAx
PC9kYXRlPjwvcHViLWRhdGVzPjwvZGF0ZXM+PGlzYm4+MDMwNS00MTc5PC9pc2JuPjxhY2Nlc3Np
b24tbnVtPjI5NTAzMDQ1PC9hY2Nlc3Npb24tbnVtPjx1cmxzPjxyZWxhdGVkLXVybHM+PHVybD5o
dHRwczovL3d3dy5zY2llbmNlZGlyZWN0LmNvbS9zY2llbmNlL2FydGljbGUvcGlpL1MwMzA1NDE3
OTE4MzAwODEwPC91cmw+PC9yZWxhdGVkLXVybHM+PC91cmxzPjxlbGVjdHJvbmljLXJlc291cmNl
LW51bT4xMC4xMDE2L2ouYnVybnMuMjAxOC4wMi4wMDg8L2VsZWN0cm9uaWMtcmVzb3VyY2UtbnVt
PjxyZW1vdGUtZGF0YWJhc2UtcHJvdmlkZXI+TkxNPC9yZW1vdGUtZGF0YWJhc2UtcHJvdmlkZXI+
PGxhbmd1YWdlPmVuZzwvbGFuZ3VhZ2U+PC9yZWNvcmQ+PC9DaXRlPjxDaXRlPjxBdXRob3I+Sml3
YW5pPC9BdXRob3I+PFllYXI+MjAxNzwvWWVhcj48UmVjTnVtPjEzNTk8L1JlY051bT48cmVjb3Jk
PjxyZWMtbnVtYmVyPjEzNTk8L3JlYy1udW1iZXI+PGZvcmVpZ24ta2V5cz48a2V5IGFwcD0iRU4i
IGRiLWlkPSI5MHRwMnZwMjV3dGUyNmV6NTJzeHR0cnd2endmZnc1cnZ6YWYiIHRpbWVzdGFtcD0i
MTUyMTA3ODQwNyI+MTM1OTwva2V5PjwvZm9yZWlnbi1rZXlzPjxyZWYtdHlwZSBuYW1lPSJKb3Vy
bmFsIEFydGljbGUiPjE3PC9yZWYtdHlwZT48Y29udHJpYnV0b3JzPjxhdXRob3JzPjxhdXRob3I+
Sml3YW5pLCBBLiBaLjwvYXV0aG9yPjxhdXRob3I+V2lsbGlhbXMsIEouIEYuPC9hdXRob3I+PGF1
dGhvcj5SaXp6bywgSi4gQS48L2F1dGhvcj48YXV0aG9yPkNodW5nLCBLLiBLLjwvYXV0aG9yPjxh
dXRob3I+S2luZywgQi4gVC48L2F1dGhvcj48YXV0aG9yPkNhbmNpbywgTC4gQy48L2F1dGhvcj48
L2F1dGhvcnM+PC9jb250cmlidXRvcnM+PGF1dGgtYWRkcmVzcz5VLlMuIEFybXkgSW5zdGl0dXRl
IG9mIFN1cmdpY2FsIFJlc2VhcmNoIEZvcnQgU2FtIEhvdXN0b24sIFRleGFzLCBVbml0ZWQgU3Rh
dGVzIG9mIEFtZXJpY2EuJiN4RDtVLlMuIEFybXkgSW5zdGl0dXRlIG9mIFN1cmdpY2FsIFJlc2Vh
cmNoRm9ydCBTYW0gSG91c3RvbiwgVGV4YXMsIFVuaXRlZCBTdGF0ZXMgb2YgQW1lcmljYTsgVW5p
Zm9ybWVkIFNlcnZpY2VzIFVuaXZlcnNpdHkgb2YgSGVhbHRoIFNjaWVuY2VzQmV0aGVzZGEsIE1h
cnlsYW5kLCBVbml0ZWQgU3RhdGVzIG9mIEFtZXJpY2EuPC9hdXRoLWFkZHJlc3M+PHRpdGxlcz48
dGl0bGU+VGhlcm1hbCBpbmp1cnkgcGF0dGVybnMgYXNzb2NpYXRlZCB3aXRoIGVsZWN0cm9uaWMg
Y2lnYXJldHRlczwvdGl0bGU+PHNlY29uZGFyeS10aXRsZT5JbnQgSiBCdXJucyBUcmF1bWE8L3Nl
Y29uZGFyeS10aXRsZT48YWx0LXRpdGxlPkludGVybmF0aW9uYWwgam91cm5hbCBvZiBidXJucyBh
bmQgdHJhdW1hPC9hbHQtdGl0bGU+PC90aXRsZXM+PHBlcmlvZGljYWw+PGZ1bGwtdGl0bGU+SW50
IEogQnVybnMgVHJhdW1hPC9mdWxsLXRpdGxlPjxhYmJyLTE+SW50ZXJuYXRpb25hbCBqb3VybmFs
IG9mIGJ1cm5zIGFuZCB0cmF1bWE8L2FiYnItMT48L3BlcmlvZGljYWw+PGFsdC1wZXJpb2RpY2Fs
PjxmdWxsLXRpdGxlPkludCBKIEJ1cm5zIFRyYXVtYTwvZnVsbC10aXRsZT48YWJici0xPkludGVy
bmF0aW9uYWwgam91cm5hbCBvZiBidXJucyBhbmQgdHJhdW1hPC9hYmJyLTE+PC9hbHQtcGVyaW9k
aWNhbD48cGFnZXM+MS01PC9wYWdlcz48dm9sdW1lPjc8L3ZvbHVtZT48bnVtYmVyPjE8L251bWJl
cj48ZWRpdGlvbj4yMDE3LzAxLzI3PC9lZGl0aW9uPjxrZXl3b3Jkcz48a2V5d29yZD5FbGVjdHJv
bmljIGNpZ2FyZXR0ZTwva2V5d29yZD48a2V5d29yZD5idXJuczwva2V5d29yZD48a2V5d29yZD5l
LWNpZ2FyZXR0ZTwva2V5d29yZD48a2V5d29yZD5saXRoaXVtLWlvbiBiYXR0ZXJ5PC9rZXl3b3Jk
Pjwva2V5d29yZHM+PGRhdGVzPjx5ZWFyPjIwMTc8L3llYXI+PC9kYXRlcz48aXNibj4yMTYwLTIw
MjYgKFByaW50KSYjeEQ7MjE2MC0yMDI2PC9pc2JuPjxhY2Nlc3Npb24tbnVtPjI4MTIzODYxPC9h
Y2Nlc3Npb24tbnVtPjx1cmxzPjxyZWxhdGVkLXVybHM+PHVybD5odHRwczovL3d3dy5uY2JpLm5s
bS5uaWguZ292L3BtYy9hcnRpY2xlcy9QTUM1MjU5NTkxL3BkZi9pamJ0MDAwNy0wMDAxLnBkZjwv
dXJsPjwvcmVsYXRlZC11cmxzPjwvdXJscz48Y3VzdG9tMj5QTUM1MjU5NTkxPC9jdXN0b20yPjxy
ZW1vdGUtZGF0YWJhc2UtcHJvdmlkZXI+TkxNPC9yZW1vdGUtZGF0YWJhc2UtcHJvdmlkZXI+PGxh
bmd1YWdlPmVuZzwvbGFuZ3VhZ2U+PC9yZWNvcmQ+PC9DaXRlPjxDaXRlPjxBdXRob3I+UmFtaXJl
ejwvQXV0aG9yPjxZZWFyPjIwMTc8L1llYXI+PFJlY051bT40NTQ5PC9SZWNOdW0+PHJlY29yZD48
cmVjLW51bWJlcj40NTQ5PC9yZWMtbnVtYmVyPjxmb3JlaWduLWtleXM+PGtleSBhcHA9IkVOIiBk
Yi1pZD0iOXZzOXB6ZnpuYXB4cGhlZmEyOHh6dzk1c2Y1YXYwc3Y5cmR6IiB0aW1lc3RhbXA9IjE1
MjE2MDc0MTMiPjQ1NDk8L2tleT48a2V5IGFwcD0iRU5XZWIiIGRiLWlkPSIiPjA8L2tleT48L2Zv
cmVpZ24ta2V5cz48cmVmLXR5cGUgbmFtZT0iSm91cm5hbCBBcnRpY2xlIj4xNzwvcmVmLXR5cGU+
PGNvbnRyaWJ1dG9ycz48YXV0aG9ycz48YXV0aG9yPlJhbWlyZXosIEouIEkuPC9hdXRob3I+PGF1
dGhvcj5SaWRnd2F5LCBDLiBBLjwvYXV0aG9yPjxhdXRob3I+TGVlLCBKLiBHLjwvYXV0aG9yPjxh
dXRob3I+UG90ZW56YSwgQi4gTS48L2F1dGhvcj48YXV0aG9yPlNlbiwgUy48L2F1dGhvcj48YXV0
aG9yPlBhbG1pZXJpLCBULiBMLjwvYXV0aG9yPjxhdXRob3I+R3JlZW5oYWxnaCwgRC4gRy48L2F1
dGhvcj48YXV0aG9yPk1hZ3VpbmEsIFAuPC9hdXRob3I+PC9hdXRob3JzPjwvY29udHJpYnV0b3Jz
PjxhdXRoLWFkZHJlc3M+RnJvbSB0aGUgKkRlcGFydG1lbnQgb2YgU3VyZ2VyeSwgVW5pdmVyc2l0
eSBvZiBDYWxpZm9ybmlhIERhdmlzOyBkYWdnZXJEZXBhcnRtZW50IG9mIFN1cmdlcnksIFNocmlu
ZXJzIEhvc3BpdGFscyBmb3IgQ2hpbGRyZW4gTm9ydGhlcm4gQ2FsaWZvcm5pYSwgU2FjcmFtZW50
bzsgYW5kIGRvdWJsZSBkYWdnZXJEZXBhcnRtZW50IG9mIFN1cmdlcnksIFVuaXZlcnNpdHkgb2Yg
Q2FsaWZvcm5pYSBTYW4gRGllZ28uPC9hdXRoLWFkZHJlc3M+PHRpdGxlcz48dGl0bGU+VGhlIFVu
cmVjb2duaXplZCBFcGlkZW1pYyBvZiBFbGVjdHJvbmljIENpZ2FyZXR0ZSBCdXJuczwvdGl0bGU+
PHNlY29uZGFyeS10aXRsZT5KIEJ1cm4gQ2FyZSBSZXM8L3NlY29uZGFyeS10aXRsZT48YWx0LXRp
dGxlPkpvdXJuYWwgb2YgYnVybiBjYXJlICZhbXA7IHJlc2VhcmNoIDogb2ZmaWNpYWwgcHVibGlj
YXRpb24gb2YgdGhlIEFtZXJpY2FuIEJ1cm4gQXNzb2NpYXRpb248L2FsdC10aXRsZT48L3RpdGxl
cz48cGVyaW9kaWNhbD48ZnVsbC10aXRsZT5KIEJ1cm4gQ2FyZSBSZXM8L2Z1bGwtdGl0bGU+PGFi
YnItMT5Kb3VybmFsIG9mIGJ1cm4gY2FyZSAmYW1wOyByZXNlYXJjaCA6IG9mZmljaWFsIHB1Ymxp
Y2F0aW9uIG9mIHRoZSBBbWVyaWNhbiBCdXJuIEFzc29jaWF0aW9uPC9hYmJyLTE+PC9wZXJpb2Rp
Y2FsPjxhbHQtcGVyaW9kaWNhbD48ZnVsbC10aXRsZT5KIEJ1cm4gQ2FyZSBSZXM8L2Z1bGwtdGl0
bGU+PGFiYnItMT5Kb3VybmFsIG9mIGJ1cm4gY2FyZSAmYW1wOyByZXNlYXJjaCA6IG9mZmljaWFs
IHB1YmxpY2F0aW9uIG9mIHRoZSBBbWVyaWNhbiBCdXJuIEFzc29jaWF0aW9uPC9hYmJyLTE+PC9h
bHQtcGVyaW9kaWNhbD48cGFnZXM+MjIwLTIyNDwvcGFnZXM+PHZvbHVtZT4zODwvdm9sdW1lPjxu
dW1iZXI+NDwvbnVtYmVyPjxlZGl0aW9uPjIwMTcvMDYvMjQ8L2VkaXRpb24+PGRhdGVzPjx5ZWFy
PjIwMTc8L3llYXI+PHB1Yi1kYXRlcz48ZGF0ZT5KdWwvQXVnPC9kYXRlPjwvcHViLWRhdGVzPjwv
ZGF0ZXM+PGlzYm4+MTU1OS0wNDd4PC9pc2JuPjxhY2Nlc3Npb24tbnVtPjI4NjQ0MjA1PC9hY2Nl
c3Npb24tbnVtPjx1cmxzPjxyZWxhdGVkLXVybHM+PHVybD5odHRwczovL3dhdGVybWFyay5zaWx2
ZXJjaGFpci5jb20vMDEyNTMwOTItMjAxNzA3MDAwLTAwMDAzLnBkZj90b2tlbj1BUUVDQUhpMjA4
QkU0OU9vYW45a2toV19FcmN5N0RtM1pMXzlDZjNxZktBYzQ4NXlzZ0FBQWRJd2dnSE9CZ2txaGtp
Rzl3MEJCd2FnZ2dHX01JSUJ1d0lCQURDQ0FiUUdDU3FHU0liM0RRRUhBVEFlQmdsZ2hrZ0JaUU1F
QVM0d0VRUU1wel84Z1pjUFdSd0p0MVRGQWdFUWdJSUJoVTJ3Zlhsc1JyRFd5RG1CNmtSREZxRFJ0
QnpVdDZUbnFxeExPX2x2OWZoZTVPdUVCVTZXNVlhMWNteWVIRkNRSUxxTWhfVG12QVlhX0hkanY5
Z0NUbTFwUW9hbUZ5ZjNKa2tOeUZVNjVfdEduQlJadnRjaGliOGx5bkdKWW9TbE5FMlpaUDlOd1NB
WGNFZGJhaC1leXhrMWJ4RGN4RlB4blc4VjBtUnZTbVVKMGllU1dpOGd2eXMwbm0tRTN0aGtNRUdO
Yzk3Qk80S3oxRG45X2x1WE1qLWREVHRWMWtpeGF3ZmRHbU1XZmxvblJEQTktd0t5YURGMHAtb0Jl
N2otbFJGRzVrMUlVNm5Yamlfb3VzT3JodTZweVVMZmdUUmJKd04yOXJ4LW1KVmpnSUI0QmVoaVdN
akxCeWppMjdNYmhEenR5ZllDS0JZUEJfZE1mQlBQNHlLM2xyMVEyb29jRzhKcURTNnkwaFVkWm90
LVFLZk1pbUlRemphSTlITXVZQ2h5OF9PdWNwT3Bzd0pzbEZsa05EMXA5UzhJYTZXOFZ0TkhuWHpp
NkxZaVMzWEdRdzVYbllnY0t0WXFheDU4Qkljem00dmJHeUJjNVNER2xCYVhqX0UwNUl2dlk5Ny1Z
TjYyWExlYS1FUFpUblVPU3Z3bU1VSlJ5Ym9pX0hLeUF5SnhEUVRUPC91cmw+PC9yZWxhdGVkLXVy
bHM+PC91cmxzPjxlbGVjdHJvbmljLXJlc291cmNlLW51bT4xMC4xMDk3L2Jjci4wMDAwMDAwMDAw
MDAwNDcyPC9lbGVjdHJvbmljLXJlc291cmNlLW51bT48cmVtb3RlLWRhdGFiYXNlLXByb3ZpZGVy
Pk5MTTwvcmVtb3RlLWRhdGFiYXNlLXByb3ZpZGVyPjxsYW5ndWFnZT5lbmc8L2xhbmd1YWdlPjwv
cmVjb3JkPjwvQ2l0ZT48Q2l0ZT48QXV0aG9yPlNlcnJvcjwvQXV0aG9yPjxZZWFyPjIwMTc8L1ll
YXI+PFJlY051bT40NTQ3PC9SZWNOdW0+PHJlY29yZD48cmVjLW51bWJlcj40NTQ3PC9yZWMtbnVt
YmVyPjxmb3JlaWduLWtleXM+PGtleSBhcHA9IkVOIiBkYi1pZD0iOXowNWR6MHByYWFkZnVlZTB6
b3h6ZWRrOXpmZTVmeHg1MHo1IiB0aW1lc3RhbXA9IjE1MjE1MDgxNzAiPjQ1NDc8L2tleT48a2V5
IGFwcD0iRU5XZWIiIGRiLWlkPSIiPjA8L2tleT48L2ZvcmVpZ24ta2V5cz48cmVmLXR5cGUgbmFt
ZT0iSm91cm5hbCBBcnRpY2xlIj4xNzwvcmVmLXR5cGU+PGNvbnRyaWJ1dG9ycz48YXV0aG9ycz48
YXV0aG9yPlNlcnJvciwgSy48L2F1dGhvcj48YXV0aG9yPkNoYW91YXQsIE0uPC9hdXRob3I+PGF1
dGhvcj5EZSBSdW56LCBBLjwvYXV0aG9yPjxhdXRob3I+TWltb3VuLCBNLjwvYXV0aG9yPjxhdXRo
b3I+Qm9jY2FyYSwgRC48L2F1dGhvcj48L2F1dGhvcnM+PC9jb250cmlidXRvcnM+PGF1dGgtYWRk
cmVzcz5QbGFzdGljIGFuZCBSZWNvbnN0cnVjdGl2ZSBTdXJnZXJ5IGFuZCBCdXJuIENlbnRlciwg
UHIgTWlNT1VOLCBDSFUgU2FpbnQgTG91aXMsIFBhcmlzLCAxIGF2ZW51ZSBDbGF1ZGUgVmVsbGVm
YXV4LCA3NTAxMCBQYXJpcywgRnJhbmNlLiBFbGVjdHJvbmljIGFkZHJlc3M6IGtzZXJyb3JAZ21h
aWwuY29tLiYjeEQ7UGxhc3RpYyBhbmQgUmVjb25zdHJ1Y3RpdmUgU3VyZ2VyeSBhbmQgQnVybiBD
ZW50ZXIsIENIVSBTYWludCBMb3VpcywgUGFyaXMsIEZyYW5jZS4mI3hEO1BsYXN0aWMgU3VyZ2Vy
eSwgT3JhbCBhbmQgTWF4aWxsb2ZhY2lhbCBTdXJnZXJ5LCBDSFUgTG9ycmFpbmUsIE5hbmN5LCBG
cmFuY2UuPC9hdXRoLWFkZHJlc3M+PHRpdGxlcz48dGl0bGU+VGhpZ2ggZGVlcCBidXJucyBjYXVz
ZWQgYnkgZWxlY3Ryb25pYyB2YXBpbmcgZGV2aWNlcyAoZS1jaWdhcmV0dGVzKTogQSBuZXcgbWVj
aGFuaXNtPC90aXRsZT48c2Vjb25kYXJ5LXRpdGxlPkJ1cm5zPC9zZWNvbmRhcnktdGl0bGU+PGFs
dC10aXRsZT5CdXJucyA6IGpvdXJuYWwgb2YgdGhlIEludGVybmF0aW9uYWwgU29jaWV0eSBmb3Ig
QnVybiBJbmp1cmllczwvYWx0LXRpdGxlPjwvdGl0bGVzPjxwZXJpb2RpY2FsPjxmdWxsLXRpdGxl
PkJ1cm5zPC9mdWxsLXRpdGxlPjxhYmJyLTE+QnVybnMgOiBqb3VybmFsIG9mIHRoZSBJbnRlcm5h
dGlvbmFsIFNvY2lldHkgZm9yIEJ1cm4gSW5qdXJpZXM8L2FiYnItMT48L3BlcmlvZGljYWw+PGFs
dC1wZXJpb2RpY2FsPjxmdWxsLXRpdGxlPkJ1cm5zPC9mdWxsLXRpdGxlPjxhYmJyLTE+QnVybnMg
OiBqb3VybmFsIG9mIHRoZSBJbnRlcm5hdGlvbmFsIFNvY2lldHkgZm9yIEJ1cm4gSW5qdXJpZXM8
L2FiYnItMT48L2FsdC1wZXJpb2RpY2FsPjxwYWdlcz4xMTMzLTExMzU8L3BhZ2VzPjx2b2x1bWU+
NDM8L3ZvbHVtZT48bnVtYmVyPjU8L251bWJlcj48ZWRpdGlvbj4yMDE3LzAzLzEwPC9lZGl0aW9u
PjxrZXl3b3Jkcz48a2V5d29yZD5BZ2UgRmFjdG9yczwva2V5d29yZD48a2V5d29yZD5CdXJuczwv
a2V5d29yZD48a2V5d29yZD4qRWxlY3Ryb25pYyBOaWNvdGluZSBEZWxpdmVyeSBTeXN0ZW1zPC9r
ZXl3b3JkPjxrZXl3b3JkPkVsZWN0cm9uaWNzPC9rZXl3b3JkPjxrZXl3b3JkPkhlYWx0aCBCZWhh
dmlvcjwva2V5d29yZD48a2V5d29yZD5IdW1hbnM8L2tleXdvcmQ+PGtleXdvcmQ+TGVnIEluanVy
aWVzPC9rZXl3b3JkPjxrZXl3b3JkPk5lYnVsaXplcnMgYW5kIFZhcG9yaXplcnM8L2tleXdvcmQ+
PGtleXdvcmQ+Tmljb3RpbmU8L2tleXdvcmQ+PGtleXdvcmQ+UmlzayBBc3Nlc3NtZW50PC9rZXl3
b3JkPjxrZXl3b3JkPlNtb2tpbmc8L2tleXdvcmQ+PGtleXdvcmQ+U3VydmV5cyBhbmQgUXVlc3Rp
b25uYWlyZXM8L2tleXdvcmQ+PGtleXdvcmQ+VGhpZ2g8L2tleXdvcmQ+PGtleXdvcmQ+KlZhcGlu
Zzwva2V5d29yZD48L2tleXdvcmRzPjxkYXRlcz48eWVhcj4yMDE3PC95ZWFyPjxwdWItZGF0ZXM+
PGRhdGU+QXVnPC9kYXRlPjwvcHViLWRhdGVzPjwvZGF0ZXM+PGlzYm4+MDMwNS00MTc5PC9pc2Ju
PjxhY2Nlc3Npb24tbnVtPjI4Mjc0NDk4PC9hY2Nlc3Npb24tbnVtPjx1cmxzPjxyZWxhdGVkLXVy
bHM+PHVybD5odHRwczovL3d3dy5zY2llbmNlZGlyZWN0LmNvbS9zY2llbmNlL2FydGljbGUvcGlp
L1MwMzA1NDE3OTE3MzAwOTgwP3ZpYSUzRGlodWI8L3VybD48L3JlbGF0ZWQtdXJscz48L3VybHM+
PGVsZWN0cm9uaWMtcmVzb3VyY2UtbnVtPjEwLjEwMTYvai5idXJucy4yMDE3LjAxLjAzODwvZWxl
Y3Ryb25pYy1yZXNvdXJjZS1udW0+PHJlbW90ZS1kYXRhYmFzZS1wcm92aWRlcj5OTE08L3JlbW90
ZS1kYXRhYmFzZS1wcm92aWRlcj48bGFuZ3VhZ2U+ZW5nPC9sYW5ndWFnZT48L3JlY29yZD48L0Np
dGU+PENpdGU+PEF1dGhvcj5TbWl0aDwvQXV0aG9yPjxZZWFyPjIwMTc8L1llYXI+PFJlY051bT4x
NzgxPC9SZWNOdW0+PHJlY29yZD48cmVjLW51bWJlcj4xNzgxPC9yZWMtbnVtYmVyPjxmb3JlaWdu
LWtleXM+PGtleSBhcHA9IkVOIiBkYi1pZD0iOTB0cDJ2cDI1d3RlMjZlejUyc3h0dHJ3dnp3ZmZ3
NXJ2emFmIiB0aW1lc3RhbXA9IjE1MjEwNzg0NzUiPjE3ODE8L2tleT48L2ZvcmVpZ24ta2V5cz48
cmVmLXR5cGUgbmFtZT0iSm91cm5hbCBBcnRpY2xlIj4xNzwvcmVmLXR5cGU+PGNvbnRyaWJ1dG9y
cz48YXV0aG9ycz48YXV0aG9yPlNtaXRoLCBTLiBMLjwvYXV0aG9yPjxhdXRob3I+U21pdGgsIEMu
PC9hdXRob3I+PGF1dGhvcj5DaGVhdGhhbSwgTS48L2F1dGhvcj48YXV0aG9yPlNtaXRoLCBILiBH
LjwvYXV0aG9yPjwvYXV0aG9ycz48L2NvbnRyaWJ1dG9ycz48dGl0bGVzPjx0aXRsZT5FbGVjdHJv
bmljIENpZ2FyZXR0ZXM6IEEgQnVybiBDYXNlIFNlcmllczwvdGl0bGU+PHNlY29uZGFyeS10aXRs
ZT5Kb3VybmFsIGZvciBOdXJzZSBQcmFjdGl0aW9uZXJzPC9zZWNvbmRhcnktdGl0bGU+PC90aXRs
ZXM+PHBlcmlvZGljYWw+PGZ1bGwtdGl0bGU+Sm91cm5hbCBmb3IgTnVyc2UgUHJhY3RpdGlvbmVy
czwvZnVsbC10aXRsZT48L3BlcmlvZGljYWw+PHBhZ2VzPjY5My02OTk8L3BhZ2VzPjx2b2x1bWU+
MTM8L3ZvbHVtZT48bnVtYmVyPjEwPC9udW1iZXI+PGRhdGVzPjx5ZWFyPjIwMTc8L3llYXI+PC9k
YXRlcz48dXJscz48cmVsYXRlZC11cmxzPjx1cmw+aHR0cHM6Ly93d3cuc2NvcHVzLmNvbS9pbndh
cmQvcmVjb3JkLnVyaT9laWQ9Mi1zMi4wLTg1MDMyMjI2OTIwJmFtcDtkb2k9MTAuMTAxNiUyZmou
bnVycHJhLjIwMTcuMDkuMDAzJmFtcDtwYXJ0bmVySUQ9NDAmYW1wO21kNT1lZWNlZmQ4ZDc0MWEz
ZjRkYTU4YTJkMjQyMjQ5MmFjNTwvdXJsPjx1cmw+aHR0cHM6Ly93d3cuc2NpZW5jZWRpcmVjdC5j
b20vc2NpZW5jZS9hcnRpY2xlL3BpaS9TMTU1NTQxNTUxNzMwNzIxMz92aWElM0RpaHViPC91cmw+
PC9yZWxhdGVkLXVybHM+PC91cmxzPjxlbGVjdHJvbmljLXJlc291cmNlLW51bT4xMC4xMDE2L2ou
bnVycHJhLjIwMTcuMDkuMDAzPC9lbGVjdHJvbmljLXJlc291cmNlLW51bT48cmVtb3RlLWRhdGFi
YXNlLW5hbWU+U2NvcHVzPC9yZW1vdGUtZGF0YWJhc2UtbmFtZT48L3JlY29yZD48L0NpdGU+PENp
dGU+PEF1dGhvcj5Ub3k8L0F1dGhvcj48WWVhcj4yMDE3PC9ZZWFyPjxSZWNOdW0+MTA2MTwvUmVj
TnVtPjxyZWNvcmQ+PHJlYy1udW1iZXI+MTA2MTwvcmVjLW51bWJlcj48Zm9yZWlnbi1rZXlzPjxr
ZXkgYXBwPSJFTiIgZGItaWQ9IjkwdHAydnAyNXd0ZTI2ZXo1MnN4dHRyd3Z6d2ZmdzVydnphZiIg
dGltZXN0YW1wPSIxNTIxMDc4MzU4Ij4xMDYxPC9rZXk+PC9mb3JlaWduLWtleXM+PHJlZi10eXBl
IG5hbWU9IkpvdXJuYWwgQXJ0aWNsZSI+MTc8L3JlZi10eXBlPjxjb250cmlidXRvcnM+PGF1dGhv
cnM+PGF1dGhvcj5Ub3ksIEouPC9hdXRob3I+PGF1dGhvcj5Eb25nLCBGLjwvYXV0aG9yPjxhdXRo
b3I+TGVlLCBDLjwvYXV0aG9yPjxhdXRob3I+WmFwcGEsIEQuPC9hdXRob3I+PGF1dGhvcj5MZSwg
VC48L2F1dGhvcj48YXV0aG9yPkFyY2hhbWJlYXUsIEIuPC9hdXRob3I+PGF1dGhvcj5DdWxoYW5l
LCBKLiBULjwvYXV0aG9yPjxhdXRob3I+TmVla2ksIE0uIE0uPC9hdXRob3I+PC9hdXRob3JzPjwv
Y29udHJpYnV0b3JzPjxhdXRoLWFkZHJlc3M+RGVwYXJ0bWVudCBvZiBFbWVyZ2VuY3kgTWVkaWNp
bmUsIEFycm93aGVhZCBSZWdpb25hbCBNZWRpY2FsIENlbnRlciwgTWVkaWNhbCBPZmZpY2UgQnVp
bGRpbmcgU3VpdGUgNywgNDAwIE4gUGVwcGVyIEF2ZSwgQ29sdG9uLCBDQSA5MjMyNCwgVVNBLiYj
eEQ7R3JhZHVhdGUgQ29sbGVnZSBvZiBCaW9tZWRpY2FsIFNjaWVuY2VzLCBXZXN0ZXJuIFVuaXZl
cnNpdHkgb2YgSGVhbHRoIFNjaWVuY2VzLCAzMDkgRSAybmQgU3QuLCBQb21vbmEsIENBIDkxNzY2
LCBVU0EuJiN4RDtEZXBhcnRtZW50IG9mIEVtZXJnZW5jeSBNZWRpY2luZSwgQXJyb3doZWFkIFJl
Z2lvbmFsIE1lZGljYWwgQ2VudGVyLCBNZWRpY2FsIE9mZmljZSBCdWlsZGluZyBTdWl0ZSA3LCA0
MDAgTiBQZXBwZXIgQXZlLCBDb2x0b24sIENBIDkyMzI0LCBVU0E7IENhbGlmb3JuaWEgVW5pdmVy
c2l0eSBvZiBTY2llbmNlcyBhbmQgTWVkaWNpbmUsIDQwMCBOIFBlcHBlciBBdmUsIENvbHRvbiwg
Q0EgOTIzMjQsIFVTQS4mI3hEO0RlcGFydG1lbnQgb2YgU3VyZ2VyeSwgQXJyb3doZWFkIFJlZ2lv
bmFsIE1lZGljYWwgQ2VudGVyLCA0MDAgTiBQZXBwZXIgQXZlLCBDb2x0b24sIENBIDkyMzI0LCBV
U0EuJiN4RDtEZXBhcnRtZW50IG9mIFN1cmdlcnksIEFycm93aGVhZCBSZWdpb25hbCBNZWRpY2Fs
IENlbnRlciwgNDAwIE4gUGVwcGVyIEF2ZSwgQ29sdG9uLCBDQSA5MjMyNCwgVVNBOyBDYWxpZm9y
bmlhIFVuaXZlcnNpdHkgb2YgU2NpZW5jZXMgYW5kIE1lZGljaW5lLCA0MDAgTiBQZXBwZXIgQXZl
LCBDb2x0b24sIENBIDkyMzI0LCBVU0EuJiN4RDtEZXBhcnRtZW50IG9mIEVtZXJnZW5jeSBNZWRp
Y2luZSwgQXJyb3doZWFkIFJlZ2lvbmFsIE1lZGljYWwgQ2VudGVyLCBNZWRpY2FsIE9mZmljZSBC
dWlsZGluZyBTdWl0ZSA3LCA0MDAgTiBQZXBwZXIgQXZlLCBDb2x0b24sIENBIDkyMzI0LCBVU0E7
IENhbGlmb3JuaWEgVW5pdmVyc2l0eSBvZiBTY2llbmNlcyBhbmQgTWVkaWNpbmUsIDQwMCBOIFBl
cHBlciBBdmUsIENvbHRvbiwgQ0EgOTIzMjQsIFVTQS4gRWxlY3Ryb25pYyBhZGRyZXNzOiBtaWNo
YWVsbmVla2lAZ21haWwuY29tLjwvYXV0aC1hZGRyZXNzPjx0aXRsZXM+PHRpdGxlPkFsYXJtaW5n
IGluY3JlYXNlIGluIGVsZWN0cm9uaWMgbmljb3RpbmUgZGVsaXZlcnkgc3lzdGVtcy1yZWxhdGVk
IGJ1cm4gaW5qdXJpZXM6IEEgc2VyaW91cyB1bnJlZ3VsYXRlZCBwdWJsaWMgaGVhbHRoIGlzc3Vl
PC90aXRsZT48c2Vjb25kYXJ5LXRpdGxlPkFtIEogRW1lcmcgTWVkPC9zZWNvbmRhcnktdGl0bGU+
PGFsdC10aXRsZT5UaGUgQW1lcmljYW4gam91cm5hbCBvZiBlbWVyZ2VuY3kgbWVkaWNpbmU8L2Fs
dC10aXRsZT48L3RpdGxlcz48cGVyaW9kaWNhbD48ZnVsbC10aXRsZT5BbSBKIEVtZXJnIE1lZDwv
ZnVsbC10aXRsZT48YWJici0xPlRoZSBBbWVyaWNhbiBqb3VybmFsIG9mIGVtZXJnZW5jeSBtZWRp
Y2luZTwvYWJici0xPjwvcGVyaW9kaWNhbD48YWx0LXBlcmlvZGljYWw+PGZ1bGwtdGl0bGU+QW0g
SiBFbWVyZyBNZWQ8L2Z1bGwtdGl0bGU+PGFiYnItMT5UaGUgQW1lcmljYW4gam91cm5hbCBvZiBl
bWVyZ2VuY3kgbWVkaWNpbmU8L2FiYnItMT48L2FsdC1wZXJpb2RpY2FsPjxwYWdlcz4xNzgxLTE3
ODI8L3BhZ2VzPjx2b2x1bWU+MzU8L3ZvbHVtZT48bnVtYmVyPjExPC9udW1iZXI+PGVkaXRpb24+
MjAxNy8wNi8yODwvZWRpdGlvbj48a2V5d29yZHM+PGtleXdvcmQ+QnVybnM8L2tleXdvcmQ+PGtl
eXdvcmQ+RW5kczwva2V5d29yZD48a2V5d29yZD5FeHBsb3Npb248L2tleXdvcmQ+PGtleXdvcmQ+
VmFwZTwva2V5d29yZD48a2V5d29yZD5lLUNpZ2FyZXR0ZTwva2V5d29yZD48L2tleXdvcmRzPjxk
YXRlcz48eWVhcj4yMDE3PC95ZWFyPjxwdWItZGF0ZXM+PGRhdGU+Tm92PC9kYXRlPjwvcHViLWRh
dGVzPjwvZGF0ZXM+PGlzYm4+MDczNS02NzU3PC9pc2JuPjxhY2Nlc3Npb24tbnVtPjI4NjUxODg3
PC9hY2Nlc3Npb24tbnVtPjx1cmxzPjxyZWxhdGVkLXVybHM+PHVybD5odHRwczovL3d3dy5zY2ll
bmNlZGlyZWN0LmNvbS9zY2llbmNlL2FydGljbGUvcGlpL1MwNzM1Njc1NzE3MzA0MDg0P3ZpYSUz
RGlodWI8L3VybD48L3JlbGF0ZWQtdXJscz48L3VybHM+PGVsZWN0cm9uaWMtcmVzb3VyY2UtbnVt
PjEwLjEwMTYvai5hamVtLjIwMTcuMDUuMDI5PC9lbGVjdHJvbmljLXJlc291cmNlLW51bT48cmVt
b3RlLWRhdGFiYXNlLXByb3ZpZGVyPk5MTTwvcmVtb3RlLWRhdGFiYXNlLXByb3ZpZGVyPjxsYW5n
dWFnZT5lbmc8L2xhbmd1YWdlPjwvcmVjb3JkPjwvQ2l0ZT48Q2l0ZT48QXV0aG9yPlJ1ZHk8L0F1
dGhvcj48WWVhcj4yMDE3PC9ZZWFyPjxSZWNOdW0+NTU5NDwvUmVjTnVtPjxyZWNvcmQ+PHJlYy1u
dW1iZXI+NTU5NDwvcmVjLW51bWJlcj48Zm9yZWlnbi1rZXlzPjxrZXkgYXBwPSJFTiIgZGItaWQ9
Ijl6MDVkejBwcmFhZGZ1ZWUwem94emVkazl6ZmU1Znh4NTB6NSIgdGltZXN0YW1wPSIxNTIzOTIw
OTkzIj41NTk0PC9rZXk+PGtleSBhcHA9IkVOV2ViIiBkYi1pZD0iIj4wPC9rZXk+PC9mb3JlaWdu
LWtleXM+PHJlZi10eXBlIG5hbWU9IkpvdXJuYWwgQXJ0aWNsZSI+MTc8L3JlZi10eXBlPjxjb250
cmlidXRvcnM+PGF1dGhvcnM+PGF1dGhvcj5SdWR5LCBTLiBGLjwvYXV0aG9yPjxhdXRob3I+RHVy
bW93aWN6LCBFLiBMLjwvYXV0aG9yPjwvYXV0aG9ycz48L2NvbnRyaWJ1dG9ycz48dGl0bGVzPjx0
aXRsZT5FbGVjdHJvbmljIG5pY290aW5lIGRlbGl2ZXJ5IHN5c3RlbXM6IE92ZXJoZWF0aW5nLCBm
aXJlcyBhbmQgZXhwbG9zaW9uczwvdGl0bGU+PHNlY29uZGFyeS10aXRsZT5Ub2JhY2NvIENvbnRy
b2w8L3NlY29uZGFyeS10aXRsZT48L3RpdGxlcz48cGVyaW9kaWNhbD48ZnVsbC10aXRsZT5Ub2Jh
Y2NvIENvbnRyb2w8L2Z1bGwtdGl0bGU+PC9wZXJpb2RpY2FsPjxwYWdlcz4xMC0xODwvcGFnZXM+
PHZvbHVtZT4yNjwvdm9sdW1lPjxudW1iZXI+MTwvbnVtYmVyPjxkYXRlcz48eWVhcj4yMDE3PC95
ZWFyPjwvZGF0ZXM+PHVybHM+PHJlbGF0ZWQtdXJscz48dXJsPmh0dHBzOi8vd3d3LnNjb3B1cy5j
b20vaW53YXJkL3JlY29yZC51cmk/ZWlkPTItczIuMC04NDk2MTgyNjkzNyZhbXA7ZG9pPTEwLjEx
MzYlMmZ0b2JhY2NvY29udHJvbC0yMDE1LTA1MjYyNiZhbXA7cGFydG5lcklEPTQwJmFtcDttZDU9
MzAxMmE5MWZkNTdlZTg3MWIwMjJkZTJiNjZhMzM3MjM8L3VybD48dXJsPmh0dHA6Ly90b2JhY2Nv
Y29udHJvbC5ibWouY29tL2NvbnRlbnQvdG9iYWNjb2NvbnRyb2wvMjYvMS8xMC5mdWxsLnBkZjwv
dXJsPjwvcmVsYXRlZC11cmxzPjwvdXJscz48ZWxlY3Ryb25pYy1yZXNvdXJjZS1udW0+MTAuMTEz
Ni90b2JhY2NvY29udHJvbC0yMDE1LTA1MjYyNjwvZWxlY3Ryb25pYy1yZXNvdXJjZS1udW0+PHJl
bW90ZS1kYXRhYmFzZS1uYW1lPlNjb3B1czwvcmVtb3RlLWRhdGFiYXNlLW5hbWU+PC9yZWNvcmQ+
PC9DaXRlPjwvRW5kTm90ZT4A
</w:fldData>
            </w:fldChar>
          </w:r>
          <w:r>
            <w:rPr>
              <w:sz w:val="24"/>
            </w:rPr>
            <w:instrText xml:space="preserve"> ADDIN EN.CITE </w:instrText>
          </w:r>
          <w:r>
            <w:rPr>
              <w:sz w:val="24"/>
            </w:rPr>
            <w:fldChar w:fldCharType="begin">
              <w:fldData xml:space="preserve">PEVuZE5vdGU+PENpdGU+PEF1dGhvcj5Db3JleTwvQXV0aG9yPjxZZWFyPjIwMTg8L1llYXI+PFJl
Y051bT41NzI8L1JlY051bT48RGlzcGxheVRleHQ+KEppd2FuaSwgV2lsbGlhbXMgZXQgYWwuIDIw
MTcsIFJhbWlyZXosIFJpZGd3YXkgZXQgYWwuIDIwMTcsIFJ1ZHkgYW5kIER1cm1vd2ljeiAyMDE3
LCBTZXJyb3IsIENoYW91YXQgZXQgYWwuIDIwMTcsIFNtaXRoLCBTbWl0aCBldCBhbC4gMjAxNywg
VG95LCBEb25nIGV0IGFsLiAyMDE3LCBDb3JleSwgQ2hhbmcgZXQgYWwuIDIwMTgsIEhpY2tleSwg
R292ZXJtYW4gZXQgYWwuIDIwMTgpPC9EaXNwbGF5VGV4dD48cmVjb3JkPjxyZWMtbnVtYmVyPjU3
MjwvcmVjLW51bWJlcj48Zm9yZWlnbi1rZXlzPjxrZXkgYXBwPSJFTiIgZGItaWQ9IjkwdHAydnAy
NXd0ZTI2ZXo1MnN4dHRyd3Z6d2ZmdzVydnphZiIgdGltZXN0YW1wPSIxNTIxMDc3MzYzIj41NzI8
L2tleT48L2ZvcmVpZ24ta2V5cz48cmVmLXR5cGUgbmFtZT0iSm91cm5hbCBBcnRpY2xlIj4xNzwv
cmVmLXR5cGU+PGNvbnRyaWJ1dG9ycz48YXV0aG9ycz48YXV0aG9yPkNvcmV5LCBDLiBHLjwvYXV0
aG9yPjxhdXRob3I+Q2hhbmcsIEouIFQuPC9hdXRob3I+PGF1dGhvcj5Sb3N0cm9uLCBCLiBMLjwv
YXV0aG9yPjwvYXV0aG9ycz48L2NvbnRyaWJ1dG9ycz48YXV0aC1hZGRyZXNzPkNlbnRlciBmb3Ig
VG9iYWNjbyBQcm9kdWN0cywgVS5TLiBGb29kIGFuZCBEcnVnIEFkbWluaXN0cmF0aW9uLCAxMDkw
MyBOZXcgSGFtcHNoaXJlIEF2ZW51ZSwgU2lsdmVyIFNwcmluZywgTUQsIDIwOTkzLCBVU0EuIGNh
dGhlcmluZS5jb3JleUBmZGEuaGhzLmdvdi4mI3hEO0NlbnRlciBmb3IgVG9iYWNjbyBQcm9kdWN0
cywgVS5TLiBGb29kIGFuZCBEcnVnIEFkbWluaXN0cmF0aW9uLCBEb2N1bWVudCBDb250cm9sIENl
bnRlciwgQnVpbGRpbmcgNzEsIFJvb20gRzMzNSwgMTA5MDMgTmV3IEhhbXBzaGlyZSBBdmVudWUs
IFNpbHZlciBTcHJpbmcsIE1ELCAyMDk5My0wMDAyLCBVU0EuIGNhdGhlcmluZS5jb3JleUBmZGEu
aGhzLmdvdi4mI3hEO0NlbnRlciBmb3IgVG9iYWNjbyBQcm9kdWN0cywgVS5TLiBGb29kIGFuZCBE
cnVnIEFkbWluaXN0cmF0aW9uLCAxMDkwMyBOZXcgSGFtcHNoaXJlIEF2ZW51ZSwgU2lsdmVyIFNw
cmluZywgTUQsIDIwOTkzLCBVU0EuPC9hdXRoLWFkZHJlc3M+PHRpdGxlcz48dGl0bGU+RWxlY3Ry
b25pYyBuaWNvdGluZSBkZWxpdmVyeSBzeXN0ZW0gKEVORFMpIGJhdHRlcnktcmVsYXRlZCBidXJu
cyBwcmVzZW50aW5nIHRvIFVTIGVtZXJnZW5jeSBkZXBhcnRtZW50cywgMjAxNjwvdGl0bGU+PHNl
Y29uZGFyeS10aXRsZT5JbmogRXBpZGVtaW9sPC9zZWNvbmRhcnktdGl0bGU+PGFsdC10aXRsZT5J
bmp1cnkgZXBpZGVtaW9sb2d5PC9hbHQtdGl0bGU+PC90aXRsZXM+PHBlcmlvZGljYWw+PGZ1bGwt
dGl0bGU+SW5qIEVwaWRlbWlvbDwvZnVsbC10aXRsZT48YWJici0xPkluanVyeSBlcGlkZW1pb2xv
Z3k8L2FiYnItMT48L3BlcmlvZGljYWw+PGFsdC1wZXJpb2RpY2FsPjxmdWxsLXRpdGxlPkluaiBF
cGlkZW1pb2w8L2Z1bGwtdGl0bGU+PGFiYnItMT5Jbmp1cnkgZXBpZGVtaW9sb2d5PC9hYmJyLTE+
PC9hbHQtcGVyaW9kaWNhbD48cGFnZXM+NDwvcGFnZXM+PHZvbHVtZT41PC92b2x1bWU+PG51bWJl
cj4xPC9udW1iZXI+PGVkaXRpb24+MjAxOC8wMy8wNjwvZWRpdGlvbj48ZGF0ZXM+PHllYXI+MjAx
ODwveWVhcj48cHViLWRhdGVzPjxkYXRlPk1hciA1PC9kYXRlPjwvcHViLWRhdGVzPjwvZGF0ZXM+
PGlzYm4+MjE5Ny0xNzE0IChQcmludCkmI3hEOzIxOTctMTcxNDwvaXNibj48YWNjZXNzaW9uLW51
bT4yOTUwNDA4NTwvYWNjZXNzaW9uLW51bT48dXJscz48cmVsYXRlZC11cmxzPjx1cmw+aHR0cHM6
Ly93d3cubmNiaS5ubG0ubmloLmdvdi9wbWMvYXJ0aWNsZXMvUE1DNTgzNTQ4Ny9wZGYvNDA2MjFf
MjAxOF9BcnRpY2xlXzEzNS5wZGY8L3VybD48L3JlbGF0ZWQtdXJscz48L3VybHM+PGVsZWN0cm9u
aWMtcmVzb3VyY2UtbnVtPjEwLjExODYvczQwNjIxLTAxOC0wMTM1LTE8L2VsZWN0cm9uaWMtcmVz
b3VyY2UtbnVtPjxyZW1vdGUtZGF0YWJhc2UtcHJvdmlkZXI+TkxNPC9yZW1vdGUtZGF0YWJhc2Ut
cHJvdmlkZXI+PGxhbmd1YWdlPmVuZzwvbGFuZ3VhZ2U+PC9yZWNvcmQ+PC9DaXRlPjxDaXRlPjxB
dXRob3I+SGlja2V5PC9BdXRob3I+PFllYXI+MjAxODwvWWVhcj48UmVjTnVtPjU5NDwvUmVjTnVt
PjxyZWNvcmQ+PHJlYy1udW1iZXI+NTk0PC9yZWMtbnVtYmVyPjxmb3JlaWduLWtleXM+PGtleSBh
cHA9IkVOIiBkYi1pZD0iOTB0cDJ2cDI1d3RlMjZlejUyc3h0dHJ3dnp3ZmZ3NXJ2emFmIiB0aW1l
c3RhbXA9IjE1MjEwNzczNjciPjU5NDwva2V5PjwvZm9yZWlnbi1rZXlzPjxyZWYtdHlwZSBuYW1l
PSJKb3VybmFsIEFydGljbGUiPjE3PC9yZWYtdHlwZT48Y29udHJpYnV0b3JzPjxhdXRob3JzPjxh
dXRob3I+SGlja2V5LCBTLjwvYXV0aG9yPjxhdXRob3I+R292ZXJtYW4sIEouPC9hdXRob3I+PGF1
dGhvcj5GcmllZHN0YXQsIEouPC9hdXRob3I+PGF1dGhvcj5TaGVyaWRhbiwgUi48L2F1dGhvcj48
YXV0aG9yPlNjaHVseiwgSi48L2F1dGhvcj48L2F1dGhvcnM+PC9jb250cmlidXRvcnM+PGF1dGgt
YWRkcmVzcz5NYXNzYWNodXNldHRzIEdlbmVyYWwgSG9zcGl0YWwsIERlcGFydG1lbnQgb2YgU3Vy
Z2VyeSwgU3VtbmVyIFJlZHN0b25lIEJ1cm4gQ2VudGVyLCBVbml0ZWQgU3RhdGVzLiBFbGVjdHJv
bmljIGFkZHJlc3M6IHNhaGlja2V5QHBhcnRuZXJzLm9yZy4mI3hEO01hc3NhY2h1c2V0dHMgR2Vu
ZXJhbCBIb3NwaXRhbCwgRGVwYXJ0bWVudCBvZiBTdXJnZXJ5LCBTdW1uZXIgUmVkc3RvbmUgQnVy
biBDZW50ZXIsIFVuaXRlZCBTdGF0ZXMuPC9hdXRoLWFkZHJlc3M+PHRpdGxlcz48dGl0bGU+VGhl
cm1hbCBpbmp1cmllcyBmcm9tIGV4cGxvZGluZyBlbGVjdHJvbmljIGNpZ2FyZXR0ZXM8L3RpdGxl
PjxzZWNvbmRhcnktdGl0bGU+QnVybnM8L3NlY29uZGFyeS10aXRsZT48YWx0LXRpdGxlPkJ1cm5z
IDogam91cm5hbCBvZiB0aGUgSW50ZXJuYXRpb25hbCBTb2NpZXR5IGZvciBCdXJuIEluanVyaWVz
PC9hbHQtdGl0bGU+PC90aXRsZXM+PHBlcmlvZGljYWw+PGZ1bGwtdGl0bGU+QnVybnM8L2Z1bGwt
dGl0bGU+PGFiYnItMT5CdXJucyA6IGpvdXJuYWwgb2YgdGhlIEludGVybmF0aW9uYWwgU29jaWV0
eSBmb3IgQnVybiBJbmp1cmllczwvYWJici0xPjwvcGVyaW9kaWNhbD48YWx0LXBlcmlvZGljYWw+
PGZ1bGwtdGl0bGU+QnVybnM8L2Z1bGwtdGl0bGU+PGFiYnItMT5CdXJucyA6IGpvdXJuYWwgb2Yg
dGhlIEludGVybmF0aW9uYWwgU29jaWV0eSBmb3IgQnVybiBJbmp1cmllczwvYWJici0xPjwvYWx0
LXBlcmlvZGljYWw+PGVkaXRpb24+MjAxOC8wMy8wNjwvZWRpdGlvbj48a2V5d29yZHM+PGtleXdv
cmQ+QnVybjwva2V5d29yZD48a2V5d29yZD5FLWNpZzwva2V5d29yZD48a2V5d29yZD5FbGVjdHJv
bmljIGNpZ2FyZXR0ZTwva2V5d29yZD48a2V5d29yZD5MaXRoaXVtIGJhdHRlcnk8L2tleXdvcmQ+
PC9rZXl3b3Jkcz48ZGF0ZXM+PHllYXI+MjAxODwveWVhcj48cHViLWRhdGVzPjxkYXRlPk1hciAx
PC9kYXRlPjwvcHViLWRhdGVzPjwvZGF0ZXM+PGlzYm4+MDMwNS00MTc5PC9pc2JuPjxhY2Nlc3Np
b24tbnVtPjI5NTAzMDQ1PC9hY2Nlc3Npb24tbnVtPjx1cmxzPjxyZWxhdGVkLXVybHM+PHVybD5o
dHRwczovL3d3dy5zY2llbmNlZGlyZWN0LmNvbS9zY2llbmNlL2FydGljbGUvcGlpL1MwMzA1NDE3
OTE4MzAwODEwPC91cmw+PC9yZWxhdGVkLXVybHM+PC91cmxzPjxlbGVjdHJvbmljLXJlc291cmNl
LW51bT4xMC4xMDE2L2ouYnVybnMuMjAxOC4wMi4wMDg8L2VsZWN0cm9uaWMtcmVzb3VyY2UtbnVt
PjxyZW1vdGUtZGF0YWJhc2UtcHJvdmlkZXI+TkxNPC9yZW1vdGUtZGF0YWJhc2UtcHJvdmlkZXI+
PGxhbmd1YWdlPmVuZzwvbGFuZ3VhZ2U+PC9yZWNvcmQ+PC9DaXRlPjxDaXRlPjxBdXRob3I+Sml3
YW5pPC9BdXRob3I+PFllYXI+MjAxNzwvWWVhcj48UmVjTnVtPjEzNTk8L1JlY051bT48cmVjb3Jk
PjxyZWMtbnVtYmVyPjEzNTk8L3JlYy1udW1iZXI+PGZvcmVpZ24ta2V5cz48a2V5IGFwcD0iRU4i
IGRiLWlkPSI5MHRwMnZwMjV3dGUyNmV6NTJzeHR0cnd2endmZnc1cnZ6YWYiIHRpbWVzdGFtcD0i
MTUyMTA3ODQwNyI+MTM1OTwva2V5PjwvZm9yZWlnbi1rZXlzPjxyZWYtdHlwZSBuYW1lPSJKb3Vy
bmFsIEFydGljbGUiPjE3PC9yZWYtdHlwZT48Y29udHJpYnV0b3JzPjxhdXRob3JzPjxhdXRob3I+
Sml3YW5pLCBBLiBaLjwvYXV0aG9yPjxhdXRob3I+V2lsbGlhbXMsIEouIEYuPC9hdXRob3I+PGF1
dGhvcj5SaXp6bywgSi4gQS48L2F1dGhvcj48YXV0aG9yPkNodW5nLCBLLiBLLjwvYXV0aG9yPjxh
dXRob3I+S2luZywgQi4gVC48L2F1dGhvcj48YXV0aG9yPkNhbmNpbywgTC4gQy48L2F1dGhvcj48
L2F1dGhvcnM+PC9jb250cmlidXRvcnM+PGF1dGgtYWRkcmVzcz5VLlMuIEFybXkgSW5zdGl0dXRl
IG9mIFN1cmdpY2FsIFJlc2VhcmNoIEZvcnQgU2FtIEhvdXN0b24sIFRleGFzLCBVbml0ZWQgU3Rh
dGVzIG9mIEFtZXJpY2EuJiN4RDtVLlMuIEFybXkgSW5zdGl0dXRlIG9mIFN1cmdpY2FsIFJlc2Vh
cmNoRm9ydCBTYW0gSG91c3RvbiwgVGV4YXMsIFVuaXRlZCBTdGF0ZXMgb2YgQW1lcmljYTsgVW5p
Zm9ybWVkIFNlcnZpY2VzIFVuaXZlcnNpdHkgb2YgSGVhbHRoIFNjaWVuY2VzQmV0aGVzZGEsIE1h
cnlsYW5kLCBVbml0ZWQgU3RhdGVzIG9mIEFtZXJpY2EuPC9hdXRoLWFkZHJlc3M+PHRpdGxlcz48
dGl0bGU+VGhlcm1hbCBpbmp1cnkgcGF0dGVybnMgYXNzb2NpYXRlZCB3aXRoIGVsZWN0cm9uaWMg
Y2lnYXJldHRlczwvdGl0bGU+PHNlY29uZGFyeS10aXRsZT5JbnQgSiBCdXJucyBUcmF1bWE8L3Nl
Y29uZGFyeS10aXRsZT48YWx0LXRpdGxlPkludGVybmF0aW9uYWwgam91cm5hbCBvZiBidXJucyBh
bmQgdHJhdW1hPC9hbHQtdGl0bGU+PC90aXRsZXM+PHBlcmlvZGljYWw+PGZ1bGwtdGl0bGU+SW50
IEogQnVybnMgVHJhdW1hPC9mdWxsLXRpdGxlPjxhYmJyLTE+SW50ZXJuYXRpb25hbCBqb3VybmFs
IG9mIGJ1cm5zIGFuZCB0cmF1bWE8L2FiYnItMT48L3BlcmlvZGljYWw+PGFsdC1wZXJpb2RpY2Fs
PjxmdWxsLXRpdGxlPkludCBKIEJ1cm5zIFRyYXVtYTwvZnVsbC10aXRsZT48YWJici0xPkludGVy
bmF0aW9uYWwgam91cm5hbCBvZiBidXJucyBhbmQgdHJhdW1hPC9hYmJyLTE+PC9hbHQtcGVyaW9k
aWNhbD48cGFnZXM+MS01PC9wYWdlcz48dm9sdW1lPjc8L3ZvbHVtZT48bnVtYmVyPjE8L251bWJl
cj48ZWRpdGlvbj4yMDE3LzAxLzI3PC9lZGl0aW9uPjxrZXl3b3Jkcz48a2V5d29yZD5FbGVjdHJv
bmljIGNpZ2FyZXR0ZTwva2V5d29yZD48a2V5d29yZD5idXJuczwva2V5d29yZD48a2V5d29yZD5l
LWNpZ2FyZXR0ZTwva2V5d29yZD48a2V5d29yZD5saXRoaXVtLWlvbiBiYXR0ZXJ5PC9rZXl3b3Jk
Pjwva2V5d29yZHM+PGRhdGVzPjx5ZWFyPjIwMTc8L3llYXI+PC9kYXRlcz48aXNibj4yMTYwLTIw
MjYgKFByaW50KSYjeEQ7MjE2MC0yMDI2PC9pc2JuPjxhY2Nlc3Npb24tbnVtPjI4MTIzODYxPC9h
Y2Nlc3Npb24tbnVtPjx1cmxzPjxyZWxhdGVkLXVybHM+PHVybD5odHRwczovL3d3dy5uY2JpLm5s
bS5uaWguZ292L3BtYy9hcnRpY2xlcy9QTUM1MjU5NTkxL3BkZi9pamJ0MDAwNy0wMDAxLnBkZjwv
dXJsPjwvcmVsYXRlZC11cmxzPjwvdXJscz48Y3VzdG9tMj5QTUM1MjU5NTkxPC9jdXN0b20yPjxy
ZW1vdGUtZGF0YWJhc2UtcHJvdmlkZXI+TkxNPC9yZW1vdGUtZGF0YWJhc2UtcHJvdmlkZXI+PGxh
bmd1YWdlPmVuZzwvbGFuZ3VhZ2U+PC9yZWNvcmQ+PC9DaXRlPjxDaXRlPjxBdXRob3I+UmFtaXJl
ejwvQXV0aG9yPjxZZWFyPjIwMTc8L1llYXI+PFJlY051bT40NTQ5PC9SZWNOdW0+PHJlY29yZD48
cmVjLW51bWJlcj40NTQ5PC9yZWMtbnVtYmVyPjxmb3JlaWduLWtleXM+PGtleSBhcHA9IkVOIiBk
Yi1pZD0iOXZzOXB6ZnpuYXB4cGhlZmEyOHh6dzk1c2Y1YXYwc3Y5cmR6IiB0aW1lc3RhbXA9IjE1
MjE2MDc0MTMiPjQ1NDk8L2tleT48a2V5IGFwcD0iRU5XZWIiIGRiLWlkPSIiPjA8L2tleT48L2Zv
cmVpZ24ta2V5cz48cmVmLXR5cGUgbmFtZT0iSm91cm5hbCBBcnRpY2xlIj4xNzwvcmVmLXR5cGU+
PGNvbnRyaWJ1dG9ycz48YXV0aG9ycz48YXV0aG9yPlJhbWlyZXosIEouIEkuPC9hdXRob3I+PGF1
dGhvcj5SaWRnd2F5LCBDLiBBLjwvYXV0aG9yPjxhdXRob3I+TGVlLCBKLiBHLjwvYXV0aG9yPjxh
dXRob3I+UG90ZW56YSwgQi4gTS48L2F1dGhvcj48YXV0aG9yPlNlbiwgUy48L2F1dGhvcj48YXV0
aG9yPlBhbG1pZXJpLCBULiBMLjwvYXV0aG9yPjxhdXRob3I+R3JlZW5oYWxnaCwgRC4gRy48L2F1
dGhvcj48YXV0aG9yPk1hZ3VpbmEsIFAuPC9hdXRob3I+PC9hdXRob3JzPjwvY29udHJpYnV0b3Jz
PjxhdXRoLWFkZHJlc3M+RnJvbSB0aGUgKkRlcGFydG1lbnQgb2YgU3VyZ2VyeSwgVW5pdmVyc2l0
eSBvZiBDYWxpZm9ybmlhIERhdmlzOyBkYWdnZXJEZXBhcnRtZW50IG9mIFN1cmdlcnksIFNocmlu
ZXJzIEhvc3BpdGFscyBmb3IgQ2hpbGRyZW4gTm9ydGhlcm4gQ2FsaWZvcm5pYSwgU2FjcmFtZW50
bzsgYW5kIGRvdWJsZSBkYWdnZXJEZXBhcnRtZW50IG9mIFN1cmdlcnksIFVuaXZlcnNpdHkgb2Yg
Q2FsaWZvcm5pYSBTYW4gRGllZ28uPC9hdXRoLWFkZHJlc3M+PHRpdGxlcz48dGl0bGU+VGhlIFVu
cmVjb2duaXplZCBFcGlkZW1pYyBvZiBFbGVjdHJvbmljIENpZ2FyZXR0ZSBCdXJuczwvdGl0bGU+
PHNlY29uZGFyeS10aXRsZT5KIEJ1cm4gQ2FyZSBSZXM8L3NlY29uZGFyeS10aXRsZT48YWx0LXRp
dGxlPkpvdXJuYWwgb2YgYnVybiBjYXJlICZhbXA7IHJlc2VhcmNoIDogb2ZmaWNpYWwgcHVibGlj
YXRpb24gb2YgdGhlIEFtZXJpY2FuIEJ1cm4gQXNzb2NpYXRpb248L2FsdC10aXRsZT48L3RpdGxl
cz48cGVyaW9kaWNhbD48ZnVsbC10aXRsZT5KIEJ1cm4gQ2FyZSBSZXM8L2Z1bGwtdGl0bGU+PGFi
YnItMT5Kb3VybmFsIG9mIGJ1cm4gY2FyZSAmYW1wOyByZXNlYXJjaCA6IG9mZmljaWFsIHB1Ymxp
Y2F0aW9uIG9mIHRoZSBBbWVyaWNhbiBCdXJuIEFzc29jaWF0aW9uPC9hYmJyLTE+PC9wZXJpb2Rp
Y2FsPjxhbHQtcGVyaW9kaWNhbD48ZnVsbC10aXRsZT5KIEJ1cm4gQ2FyZSBSZXM8L2Z1bGwtdGl0
bGU+PGFiYnItMT5Kb3VybmFsIG9mIGJ1cm4gY2FyZSAmYW1wOyByZXNlYXJjaCA6IG9mZmljaWFs
IHB1YmxpY2F0aW9uIG9mIHRoZSBBbWVyaWNhbiBCdXJuIEFzc29jaWF0aW9uPC9hYmJyLTE+PC9h
bHQtcGVyaW9kaWNhbD48cGFnZXM+MjIwLTIyNDwvcGFnZXM+PHZvbHVtZT4zODwvdm9sdW1lPjxu
dW1iZXI+NDwvbnVtYmVyPjxlZGl0aW9uPjIwMTcvMDYvMjQ8L2VkaXRpb24+PGRhdGVzPjx5ZWFy
PjIwMTc8L3llYXI+PHB1Yi1kYXRlcz48ZGF0ZT5KdWwvQXVnPC9kYXRlPjwvcHViLWRhdGVzPjwv
ZGF0ZXM+PGlzYm4+MTU1OS0wNDd4PC9pc2JuPjxhY2Nlc3Npb24tbnVtPjI4NjQ0MjA1PC9hY2Nl
c3Npb24tbnVtPjx1cmxzPjxyZWxhdGVkLXVybHM+PHVybD5odHRwczovL3dhdGVybWFyay5zaWx2
ZXJjaGFpci5jb20vMDEyNTMwOTItMjAxNzA3MDAwLTAwMDAzLnBkZj90b2tlbj1BUUVDQUhpMjA4
QkU0OU9vYW45a2toV19FcmN5N0RtM1pMXzlDZjNxZktBYzQ4NXlzZ0FBQWRJd2dnSE9CZ2txaGtp
Rzl3MEJCd2FnZ2dHX01JSUJ1d0lCQURDQ0FiUUdDU3FHU0liM0RRRUhBVEFlQmdsZ2hrZ0JaUU1F
QVM0d0VRUU1wel84Z1pjUFdSd0p0MVRGQWdFUWdJSUJoVTJ3Zlhsc1JyRFd5RG1CNmtSREZxRFJ0
QnpVdDZUbnFxeExPX2x2OWZoZTVPdUVCVTZXNVlhMWNteWVIRkNRSUxxTWhfVG12QVlhX0hkanY5
Z0NUbTFwUW9hbUZ5ZjNKa2tOeUZVNjVfdEduQlJadnRjaGliOGx5bkdKWW9TbE5FMlpaUDlOd1NB
WGNFZGJhaC1leXhrMWJ4RGN4RlB4blc4VjBtUnZTbVVKMGllU1dpOGd2eXMwbm0tRTN0aGtNRUdO
Yzk3Qk80S3oxRG45X2x1WE1qLWREVHRWMWtpeGF3ZmRHbU1XZmxvblJEQTktd0t5YURGMHAtb0Jl
N2otbFJGRzVrMUlVNm5Yamlfb3VzT3JodTZweVVMZmdUUmJKd04yOXJ4LW1KVmpnSUI0QmVoaVdN
akxCeWppMjdNYmhEenR5ZllDS0JZUEJfZE1mQlBQNHlLM2xyMVEyb29jRzhKcURTNnkwaFVkWm90
LVFLZk1pbUlRemphSTlITXVZQ2h5OF9PdWNwT3Bzd0pzbEZsa05EMXA5UzhJYTZXOFZ0TkhuWHpp
NkxZaVMzWEdRdzVYbllnY0t0WXFheDU4Qkljem00dmJHeUJjNVNER2xCYVhqX0UwNUl2dlk5Ny1Z
TjYyWExlYS1FUFpUblVPU3Z3bU1VSlJ5Ym9pX0hLeUF5SnhEUVRUPC91cmw+PC9yZWxhdGVkLXVy
bHM+PC91cmxzPjxlbGVjdHJvbmljLXJlc291cmNlLW51bT4xMC4xMDk3L2Jjci4wMDAwMDAwMDAw
MDAwNDcyPC9lbGVjdHJvbmljLXJlc291cmNlLW51bT48cmVtb3RlLWRhdGFiYXNlLXByb3ZpZGVy
Pk5MTTwvcmVtb3RlLWRhdGFiYXNlLXByb3ZpZGVyPjxsYW5ndWFnZT5lbmc8L2xhbmd1YWdlPjwv
cmVjb3JkPjwvQ2l0ZT48Q2l0ZT48QXV0aG9yPlNlcnJvcjwvQXV0aG9yPjxZZWFyPjIwMTc8L1ll
YXI+PFJlY051bT40NTQ3PC9SZWNOdW0+PHJlY29yZD48cmVjLW51bWJlcj40NTQ3PC9yZWMtbnVt
YmVyPjxmb3JlaWduLWtleXM+PGtleSBhcHA9IkVOIiBkYi1pZD0iOXowNWR6MHByYWFkZnVlZTB6
b3h6ZWRrOXpmZTVmeHg1MHo1IiB0aW1lc3RhbXA9IjE1MjE1MDgxNzAiPjQ1NDc8L2tleT48a2V5
IGFwcD0iRU5XZWIiIGRiLWlkPSIiPjA8L2tleT48L2ZvcmVpZ24ta2V5cz48cmVmLXR5cGUgbmFt
ZT0iSm91cm5hbCBBcnRpY2xlIj4xNzwvcmVmLXR5cGU+PGNvbnRyaWJ1dG9ycz48YXV0aG9ycz48
YXV0aG9yPlNlcnJvciwgSy48L2F1dGhvcj48YXV0aG9yPkNoYW91YXQsIE0uPC9hdXRob3I+PGF1
dGhvcj5EZSBSdW56LCBBLjwvYXV0aG9yPjxhdXRob3I+TWltb3VuLCBNLjwvYXV0aG9yPjxhdXRo
b3I+Qm9jY2FyYSwgRC48L2F1dGhvcj48L2F1dGhvcnM+PC9jb250cmlidXRvcnM+PGF1dGgtYWRk
cmVzcz5QbGFzdGljIGFuZCBSZWNvbnN0cnVjdGl2ZSBTdXJnZXJ5IGFuZCBCdXJuIENlbnRlciwg
UHIgTWlNT1VOLCBDSFUgU2FpbnQgTG91aXMsIFBhcmlzLCAxIGF2ZW51ZSBDbGF1ZGUgVmVsbGVm
YXV4LCA3NTAxMCBQYXJpcywgRnJhbmNlLiBFbGVjdHJvbmljIGFkZHJlc3M6IGtzZXJyb3JAZ21h
aWwuY29tLiYjeEQ7UGxhc3RpYyBhbmQgUmVjb25zdHJ1Y3RpdmUgU3VyZ2VyeSBhbmQgQnVybiBD
ZW50ZXIsIENIVSBTYWludCBMb3VpcywgUGFyaXMsIEZyYW5jZS4mI3hEO1BsYXN0aWMgU3VyZ2Vy
eSwgT3JhbCBhbmQgTWF4aWxsb2ZhY2lhbCBTdXJnZXJ5LCBDSFUgTG9ycmFpbmUsIE5hbmN5LCBG
cmFuY2UuPC9hdXRoLWFkZHJlc3M+PHRpdGxlcz48dGl0bGU+VGhpZ2ggZGVlcCBidXJucyBjYXVz
ZWQgYnkgZWxlY3Ryb25pYyB2YXBpbmcgZGV2aWNlcyAoZS1jaWdhcmV0dGVzKTogQSBuZXcgbWVj
aGFuaXNtPC90aXRsZT48c2Vjb25kYXJ5LXRpdGxlPkJ1cm5zPC9zZWNvbmRhcnktdGl0bGU+PGFs
dC10aXRsZT5CdXJucyA6IGpvdXJuYWwgb2YgdGhlIEludGVybmF0aW9uYWwgU29jaWV0eSBmb3Ig
QnVybiBJbmp1cmllczwvYWx0LXRpdGxlPjwvdGl0bGVzPjxwZXJpb2RpY2FsPjxmdWxsLXRpdGxl
PkJ1cm5zPC9mdWxsLXRpdGxlPjxhYmJyLTE+QnVybnMgOiBqb3VybmFsIG9mIHRoZSBJbnRlcm5h
dGlvbmFsIFNvY2lldHkgZm9yIEJ1cm4gSW5qdXJpZXM8L2FiYnItMT48L3BlcmlvZGljYWw+PGFs
dC1wZXJpb2RpY2FsPjxmdWxsLXRpdGxlPkJ1cm5zPC9mdWxsLXRpdGxlPjxhYmJyLTE+QnVybnMg
OiBqb3VybmFsIG9mIHRoZSBJbnRlcm5hdGlvbmFsIFNvY2lldHkgZm9yIEJ1cm4gSW5qdXJpZXM8
L2FiYnItMT48L2FsdC1wZXJpb2RpY2FsPjxwYWdlcz4xMTMzLTExMzU8L3BhZ2VzPjx2b2x1bWU+
NDM8L3ZvbHVtZT48bnVtYmVyPjU8L251bWJlcj48ZWRpdGlvbj4yMDE3LzAzLzEwPC9lZGl0aW9u
PjxrZXl3b3Jkcz48a2V5d29yZD5BZ2UgRmFjdG9yczwva2V5d29yZD48a2V5d29yZD5CdXJuczwv
a2V5d29yZD48a2V5d29yZD4qRWxlY3Ryb25pYyBOaWNvdGluZSBEZWxpdmVyeSBTeXN0ZW1zPC9r
ZXl3b3JkPjxrZXl3b3JkPkVsZWN0cm9uaWNzPC9rZXl3b3JkPjxrZXl3b3JkPkhlYWx0aCBCZWhh
dmlvcjwva2V5d29yZD48a2V5d29yZD5IdW1hbnM8L2tleXdvcmQ+PGtleXdvcmQ+TGVnIEluanVy
aWVzPC9rZXl3b3JkPjxrZXl3b3JkPk5lYnVsaXplcnMgYW5kIFZhcG9yaXplcnM8L2tleXdvcmQ+
PGtleXdvcmQ+Tmljb3RpbmU8L2tleXdvcmQ+PGtleXdvcmQ+UmlzayBBc3Nlc3NtZW50PC9rZXl3
b3JkPjxrZXl3b3JkPlNtb2tpbmc8L2tleXdvcmQ+PGtleXdvcmQ+U3VydmV5cyBhbmQgUXVlc3Rp
b25uYWlyZXM8L2tleXdvcmQ+PGtleXdvcmQ+VGhpZ2g8L2tleXdvcmQ+PGtleXdvcmQ+KlZhcGlu
Zzwva2V5d29yZD48L2tleXdvcmRzPjxkYXRlcz48eWVhcj4yMDE3PC95ZWFyPjxwdWItZGF0ZXM+
PGRhdGU+QXVnPC9kYXRlPjwvcHViLWRhdGVzPjwvZGF0ZXM+PGlzYm4+MDMwNS00MTc5PC9pc2Ju
PjxhY2Nlc3Npb24tbnVtPjI4Mjc0NDk4PC9hY2Nlc3Npb24tbnVtPjx1cmxzPjxyZWxhdGVkLXVy
bHM+PHVybD5odHRwczovL3d3dy5zY2llbmNlZGlyZWN0LmNvbS9zY2llbmNlL2FydGljbGUvcGlp
L1MwMzA1NDE3OTE3MzAwOTgwP3ZpYSUzRGlodWI8L3VybD48L3JlbGF0ZWQtdXJscz48L3VybHM+
PGVsZWN0cm9uaWMtcmVzb3VyY2UtbnVtPjEwLjEwMTYvai5idXJucy4yMDE3LjAxLjAzODwvZWxl
Y3Ryb25pYy1yZXNvdXJjZS1udW0+PHJlbW90ZS1kYXRhYmFzZS1wcm92aWRlcj5OTE08L3JlbW90
ZS1kYXRhYmFzZS1wcm92aWRlcj48bGFuZ3VhZ2U+ZW5nPC9sYW5ndWFnZT48L3JlY29yZD48L0Np
dGU+PENpdGU+PEF1dGhvcj5TbWl0aDwvQXV0aG9yPjxZZWFyPjIwMTc8L1llYXI+PFJlY051bT4x
NzgxPC9SZWNOdW0+PHJlY29yZD48cmVjLW51bWJlcj4xNzgxPC9yZWMtbnVtYmVyPjxmb3JlaWdu
LWtleXM+PGtleSBhcHA9IkVOIiBkYi1pZD0iOTB0cDJ2cDI1d3RlMjZlejUyc3h0dHJ3dnp3ZmZ3
NXJ2emFmIiB0aW1lc3RhbXA9IjE1MjEwNzg0NzUiPjE3ODE8L2tleT48L2ZvcmVpZ24ta2V5cz48
cmVmLXR5cGUgbmFtZT0iSm91cm5hbCBBcnRpY2xlIj4xNzwvcmVmLXR5cGU+PGNvbnRyaWJ1dG9y
cz48YXV0aG9ycz48YXV0aG9yPlNtaXRoLCBTLiBMLjwvYXV0aG9yPjxhdXRob3I+U21pdGgsIEMu
PC9hdXRob3I+PGF1dGhvcj5DaGVhdGhhbSwgTS48L2F1dGhvcj48YXV0aG9yPlNtaXRoLCBILiBH
LjwvYXV0aG9yPjwvYXV0aG9ycz48L2NvbnRyaWJ1dG9ycz48dGl0bGVzPjx0aXRsZT5FbGVjdHJv
bmljIENpZ2FyZXR0ZXM6IEEgQnVybiBDYXNlIFNlcmllczwvdGl0bGU+PHNlY29uZGFyeS10aXRs
ZT5Kb3VybmFsIGZvciBOdXJzZSBQcmFjdGl0aW9uZXJzPC9zZWNvbmRhcnktdGl0bGU+PC90aXRs
ZXM+PHBlcmlvZGljYWw+PGZ1bGwtdGl0bGU+Sm91cm5hbCBmb3IgTnVyc2UgUHJhY3RpdGlvbmVy
czwvZnVsbC10aXRsZT48L3BlcmlvZGljYWw+PHBhZ2VzPjY5My02OTk8L3BhZ2VzPjx2b2x1bWU+
MTM8L3ZvbHVtZT48bnVtYmVyPjEwPC9udW1iZXI+PGRhdGVzPjx5ZWFyPjIwMTc8L3llYXI+PC9k
YXRlcz48dXJscz48cmVsYXRlZC11cmxzPjx1cmw+aHR0cHM6Ly93d3cuc2NvcHVzLmNvbS9pbndh
cmQvcmVjb3JkLnVyaT9laWQ9Mi1zMi4wLTg1MDMyMjI2OTIwJmFtcDtkb2k9MTAuMTAxNiUyZmou
bnVycHJhLjIwMTcuMDkuMDAzJmFtcDtwYXJ0bmVySUQ9NDAmYW1wO21kNT1lZWNlZmQ4ZDc0MWEz
ZjRkYTU4YTJkMjQyMjQ5MmFjNTwvdXJsPjx1cmw+aHR0cHM6Ly93d3cuc2NpZW5jZWRpcmVjdC5j
b20vc2NpZW5jZS9hcnRpY2xlL3BpaS9TMTU1NTQxNTUxNzMwNzIxMz92aWElM0RpaHViPC91cmw+
PC9yZWxhdGVkLXVybHM+PC91cmxzPjxlbGVjdHJvbmljLXJlc291cmNlLW51bT4xMC4xMDE2L2ou
bnVycHJhLjIwMTcuMDkuMDAzPC9lbGVjdHJvbmljLXJlc291cmNlLW51bT48cmVtb3RlLWRhdGFi
YXNlLW5hbWU+U2NvcHVzPC9yZW1vdGUtZGF0YWJhc2UtbmFtZT48L3JlY29yZD48L0NpdGU+PENp
dGU+PEF1dGhvcj5Ub3k8L0F1dGhvcj48WWVhcj4yMDE3PC9ZZWFyPjxSZWNOdW0+MTA2MTwvUmVj
TnVtPjxyZWNvcmQ+PHJlYy1udW1iZXI+MTA2MTwvcmVjLW51bWJlcj48Zm9yZWlnbi1rZXlzPjxr
ZXkgYXBwPSJFTiIgZGItaWQ9IjkwdHAydnAyNXd0ZTI2ZXo1MnN4dHRyd3Z6d2ZmdzVydnphZiIg
dGltZXN0YW1wPSIxNTIxMDc4MzU4Ij4xMDYxPC9rZXk+PC9mb3JlaWduLWtleXM+PHJlZi10eXBl
IG5hbWU9IkpvdXJuYWwgQXJ0aWNsZSI+MTc8L3JlZi10eXBlPjxjb250cmlidXRvcnM+PGF1dGhv
cnM+PGF1dGhvcj5Ub3ksIEouPC9hdXRob3I+PGF1dGhvcj5Eb25nLCBGLjwvYXV0aG9yPjxhdXRo
b3I+TGVlLCBDLjwvYXV0aG9yPjxhdXRob3I+WmFwcGEsIEQuPC9hdXRob3I+PGF1dGhvcj5MZSwg
VC48L2F1dGhvcj48YXV0aG9yPkFyY2hhbWJlYXUsIEIuPC9hdXRob3I+PGF1dGhvcj5DdWxoYW5l
LCBKLiBULjwvYXV0aG9yPjxhdXRob3I+TmVla2ksIE0uIE0uPC9hdXRob3I+PC9hdXRob3JzPjwv
Y29udHJpYnV0b3JzPjxhdXRoLWFkZHJlc3M+RGVwYXJ0bWVudCBvZiBFbWVyZ2VuY3kgTWVkaWNp
bmUsIEFycm93aGVhZCBSZWdpb25hbCBNZWRpY2FsIENlbnRlciwgTWVkaWNhbCBPZmZpY2UgQnVp
bGRpbmcgU3VpdGUgNywgNDAwIE4gUGVwcGVyIEF2ZSwgQ29sdG9uLCBDQSA5MjMyNCwgVVNBLiYj
eEQ7R3JhZHVhdGUgQ29sbGVnZSBvZiBCaW9tZWRpY2FsIFNjaWVuY2VzLCBXZXN0ZXJuIFVuaXZl
cnNpdHkgb2YgSGVhbHRoIFNjaWVuY2VzLCAzMDkgRSAybmQgU3QuLCBQb21vbmEsIENBIDkxNzY2
LCBVU0EuJiN4RDtEZXBhcnRtZW50IG9mIEVtZXJnZW5jeSBNZWRpY2luZSwgQXJyb3doZWFkIFJl
Z2lvbmFsIE1lZGljYWwgQ2VudGVyLCBNZWRpY2FsIE9mZmljZSBCdWlsZGluZyBTdWl0ZSA3LCA0
MDAgTiBQZXBwZXIgQXZlLCBDb2x0b24sIENBIDkyMzI0LCBVU0E7IENhbGlmb3JuaWEgVW5pdmVy
c2l0eSBvZiBTY2llbmNlcyBhbmQgTWVkaWNpbmUsIDQwMCBOIFBlcHBlciBBdmUsIENvbHRvbiwg
Q0EgOTIzMjQsIFVTQS4mI3hEO0RlcGFydG1lbnQgb2YgU3VyZ2VyeSwgQXJyb3doZWFkIFJlZ2lv
bmFsIE1lZGljYWwgQ2VudGVyLCA0MDAgTiBQZXBwZXIgQXZlLCBDb2x0b24sIENBIDkyMzI0LCBV
U0EuJiN4RDtEZXBhcnRtZW50IG9mIFN1cmdlcnksIEFycm93aGVhZCBSZWdpb25hbCBNZWRpY2Fs
IENlbnRlciwgNDAwIE4gUGVwcGVyIEF2ZSwgQ29sdG9uLCBDQSA5MjMyNCwgVVNBOyBDYWxpZm9y
bmlhIFVuaXZlcnNpdHkgb2YgU2NpZW5jZXMgYW5kIE1lZGljaW5lLCA0MDAgTiBQZXBwZXIgQXZl
LCBDb2x0b24sIENBIDkyMzI0LCBVU0EuJiN4RDtEZXBhcnRtZW50IG9mIEVtZXJnZW5jeSBNZWRp
Y2luZSwgQXJyb3doZWFkIFJlZ2lvbmFsIE1lZGljYWwgQ2VudGVyLCBNZWRpY2FsIE9mZmljZSBC
dWlsZGluZyBTdWl0ZSA3LCA0MDAgTiBQZXBwZXIgQXZlLCBDb2x0b24sIENBIDkyMzI0LCBVU0E7
IENhbGlmb3JuaWEgVW5pdmVyc2l0eSBvZiBTY2llbmNlcyBhbmQgTWVkaWNpbmUsIDQwMCBOIFBl
cHBlciBBdmUsIENvbHRvbiwgQ0EgOTIzMjQsIFVTQS4gRWxlY3Ryb25pYyBhZGRyZXNzOiBtaWNo
YWVsbmVla2lAZ21haWwuY29tLjwvYXV0aC1hZGRyZXNzPjx0aXRsZXM+PHRpdGxlPkFsYXJtaW5n
IGluY3JlYXNlIGluIGVsZWN0cm9uaWMgbmljb3RpbmUgZGVsaXZlcnkgc3lzdGVtcy1yZWxhdGVk
IGJ1cm4gaW5qdXJpZXM6IEEgc2VyaW91cyB1bnJlZ3VsYXRlZCBwdWJsaWMgaGVhbHRoIGlzc3Vl
PC90aXRsZT48c2Vjb25kYXJ5LXRpdGxlPkFtIEogRW1lcmcgTWVkPC9zZWNvbmRhcnktdGl0bGU+
PGFsdC10aXRsZT5UaGUgQW1lcmljYW4gam91cm5hbCBvZiBlbWVyZ2VuY3kgbWVkaWNpbmU8L2Fs
dC10aXRsZT48L3RpdGxlcz48cGVyaW9kaWNhbD48ZnVsbC10aXRsZT5BbSBKIEVtZXJnIE1lZDwv
ZnVsbC10aXRsZT48YWJici0xPlRoZSBBbWVyaWNhbiBqb3VybmFsIG9mIGVtZXJnZW5jeSBtZWRp
Y2luZTwvYWJici0xPjwvcGVyaW9kaWNhbD48YWx0LXBlcmlvZGljYWw+PGZ1bGwtdGl0bGU+QW0g
SiBFbWVyZyBNZWQ8L2Z1bGwtdGl0bGU+PGFiYnItMT5UaGUgQW1lcmljYW4gam91cm5hbCBvZiBl
bWVyZ2VuY3kgbWVkaWNpbmU8L2FiYnItMT48L2FsdC1wZXJpb2RpY2FsPjxwYWdlcz4xNzgxLTE3
ODI8L3BhZ2VzPjx2b2x1bWU+MzU8L3ZvbHVtZT48bnVtYmVyPjExPC9udW1iZXI+PGVkaXRpb24+
MjAxNy8wNi8yODwvZWRpdGlvbj48a2V5d29yZHM+PGtleXdvcmQ+QnVybnM8L2tleXdvcmQ+PGtl
eXdvcmQ+RW5kczwva2V5d29yZD48a2V5d29yZD5FeHBsb3Npb248L2tleXdvcmQ+PGtleXdvcmQ+
VmFwZTwva2V5d29yZD48a2V5d29yZD5lLUNpZ2FyZXR0ZTwva2V5d29yZD48L2tleXdvcmRzPjxk
YXRlcz48eWVhcj4yMDE3PC95ZWFyPjxwdWItZGF0ZXM+PGRhdGU+Tm92PC9kYXRlPjwvcHViLWRh
dGVzPjwvZGF0ZXM+PGlzYm4+MDczNS02NzU3PC9pc2JuPjxhY2Nlc3Npb24tbnVtPjI4NjUxODg3
PC9hY2Nlc3Npb24tbnVtPjx1cmxzPjxyZWxhdGVkLXVybHM+PHVybD5odHRwczovL3d3dy5zY2ll
bmNlZGlyZWN0LmNvbS9zY2llbmNlL2FydGljbGUvcGlpL1MwNzM1Njc1NzE3MzA0MDg0P3ZpYSUz
RGlodWI8L3VybD48L3JlbGF0ZWQtdXJscz48L3VybHM+PGVsZWN0cm9uaWMtcmVzb3VyY2UtbnVt
PjEwLjEwMTYvai5hamVtLjIwMTcuMDUuMDI5PC9lbGVjdHJvbmljLXJlc291cmNlLW51bT48cmVt
b3RlLWRhdGFiYXNlLXByb3ZpZGVyPk5MTTwvcmVtb3RlLWRhdGFiYXNlLXByb3ZpZGVyPjxsYW5n
dWFnZT5lbmc8L2xhbmd1YWdlPjwvcmVjb3JkPjwvQ2l0ZT48Q2l0ZT48QXV0aG9yPlJ1ZHk8L0F1
dGhvcj48WWVhcj4yMDE3PC9ZZWFyPjxSZWNOdW0+NTU5NDwvUmVjTnVtPjxyZWNvcmQ+PHJlYy1u
dW1iZXI+NTU5NDwvcmVjLW51bWJlcj48Zm9yZWlnbi1rZXlzPjxrZXkgYXBwPSJFTiIgZGItaWQ9
Ijl6MDVkejBwcmFhZGZ1ZWUwem94emVkazl6ZmU1Znh4NTB6NSIgdGltZXN0YW1wPSIxNTIzOTIw
OTkzIj41NTk0PC9rZXk+PGtleSBhcHA9IkVOV2ViIiBkYi1pZD0iIj4wPC9rZXk+PC9mb3JlaWdu
LWtleXM+PHJlZi10eXBlIG5hbWU9IkpvdXJuYWwgQXJ0aWNsZSI+MTc8L3JlZi10eXBlPjxjb250
cmlidXRvcnM+PGF1dGhvcnM+PGF1dGhvcj5SdWR5LCBTLiBGLjwvYXV0aG9yPjxhdXRob3I+RHVy
bW93aWN6LCBFLiBMLjwvYXV0aG9yPjwvYXV0aG9ycz48L2NvbnRyaWJ1dG9ycz48dGl0bGVzPjx0
aXRsZT5FbGVjdHJvbmljIG5pY290aW5lIGRlbGl2ZXJ5IHN5c3RlbXM6IE92ZXJoZWF0aW5nLCBm
aXJlcyBhbmQgZXhwbG9zaW9uczwvdGl0bGU+PHNlY29uZGFyeS10aXRsZT5Ub2JhY2NvIENvbnRy
b2w8L3NlY29uZGFyeS10aXRsZT48L3RpdGxlcz48cGVyaW9kaWNhbD48ZnVsbC10aXRsZT5Ub2Jh
Y2NvIENvbnRyb2w8L2Z1bGwtdGl0bGU+PC9wZXJpb2RpY2FsPjxwYWdlcz4xMC0xODwvcGFnZXM+
PHZvbHVtZT4yNjwvdm9sdW1lPjxudW1iZXI+MTwvbnVtYmVyPjxkYXRlcz48eWVhcj4yMDE3PC95
ZWFyPjwvZGF0ZXM+PHVybHM+PHJlbGF0ZWQtdXJscz48dXJsPmh0dHBzOi8vd3d3LnNjb3B1cy5j
b20vaW53YXJkL3JlY29yZC51cmk/ZWlkPTItczIuMC04NDk2MTgyNjkzNyZhbXA7ZG9pPTEwLjEx
MzYlMmZ0b2JhY2NvY29udHJvbC0yMDE1LTA1MjYyNiZhbXA7cGFydG5lcklEPTQwJmFtcDttZDU9
MzAxMmE5MWZkNTdlZTg3MWIwMjJkZTJiNjZhMzM3MjM8L3VybD48dXJsPmh0dHA6Ly90b2JhY2Nv
Y29udHJvbC5ibWouY29tL2NvbnRlbnQvdG9iYWNjb2NvbnRyb2wvMjYvMS8xMC5mdWxsLnBkZjwv
dXJsPjwvcmVsYXRlZC11cmxzPjwvdXJscz48ZWxlY3Ryb25pYy1yZXNvdXJjZS1udW0+MTAuMTEz
Ni90b2JhY2NvY29udHJvbC0yMDE1LTA1MjYyNjwvZWxlY3Ryb25pYy1yZXNvdXJjZS1udW0+PHJl
bW90ZS1kYXRhYmFzZS1uYW1lPlNjb3B1czwvcmVtb3RlLWRhdGFiYXNlLW5hbWU+PC9yZWNvcmQ+
PC9DaXRlPjwvRW5kTm90ZT4A
</w:fldData>
            </w:fldChar>
          </w:r>
          <w:r>
            <w:rPr>
              <w:sz w:val="24"/>
            </w:rPr>
            <w:instrText xml:space="preserve"> ADDIN EN.CITE.DATA </w:instrText>
          </w:r>
          <w:r>
            <w:rPr>
              <w:sz w:val="24"/>
            </w:rPr>
          </w:r>
          <w:r>
            <w:rPr>
              <w:sz w:val="24"/>
            </w:rPr>
            <w:fldChar w:fldCharType="end"/>
          </w:r>
          <w:r w:rsidRPr="004F431A">
            <w:rPr>
              <w:sz w:val="24"/>
            </w:rPr>
          </w:r>
          <w:r w:rsidRPr="004F431A">
            <w:rPr>
              <w:sz w:val="24"/>
            </w:rPr>
            <w:fldChar w:fldCharType="separate"/>
          </w:r>
          <w:r>
            <w:rPr>
              <w:noProof/>
              <w:sz w:val="24"/>
            </w:rPr>
            <w:t>(Jiwani, Williams et al. 2017, Ramirez, Ridgway et al. 2017, Rudy and Durmowicz 2017, Serror, Chaouat et al. 2017, Smith, Smith et al. 2017, Toy, Dong et al. 2017, Corey, Chang et al. 2018, Hickey, Goverman et al. 2018)</w:t>
          </w:r>
          <w:r w:rsidRPr="004F431A">
            <w:rPr>
              <w:sz w:val="24"/>
            </w:rPr>
            <w:fldChar w:fldCharType="end"/>
          </w:r>
          <w:r w:rsidRPr="004F431A">
            <w:rPr>
              <w:sz w:val="24"/>
            </w:rPr>
            <w:t xml:space="preserve">. They all described the exploding </w:t>
          </w:r>
          <w:r>
            <w:rPr>
              <w:sz w:val="24"/>
            </w:rPr>
            <w:t>e-cigarette</w:t>
          </w:r>
          <w:r w:rsidRPr="004F431A">
            <w:rPr>
              <w:sz w:val="24"/>
            </w:rPr>
            <w:t xml:space="preserve"> phenomenon. Four mechanisms were considered responsible for injuries. These could be unique or associated with each other: thermal burns with flames, blast lesions secondary to the explosion, alkali chemical burns and thermal burns without flames (overheating). </w:t>
          </w:r>
        </w:p>
        <w:p w14:paraId="6C439EA6" w14:textId="77777777" w:rsidR="00F918EE" w:rsidRDefault="00F918EE" w:rsidP="00F918EE">
          <w:pPr>
            <w:tabs>
              <w:tab w:val="left" w:pos="397"/>
            </w:tabs>
            <w:spacing w:before="60" w:after="60" w:line="264" w:lineRule="auto"/>
            <w:rPr>
              <w:sz w:val="24"/>
            </w:rPr>
          </w:pPr>
        </w:p>
        <w:p w14:paraId="792A34D2" w14:textId="77777777" w:rsidR="00F918EE" w:rsidRDefault="00F918EE" w:rsidP="00F918EE">
          <w:pPr>
            <w:tabs>
              <w:tab w:val="left" w:pos="397"/>
            </w:tabs>
            <w:spacing w:before="60" w:after="60" w:line="264" w:lineRule="auto"/>
            <w:rPr>
              <w:sz w:val="24"/>
            </w:rPr>
          </w:pPr>
          <w:r>
            <w:rPr>
              <w:noProof/>
              <w:sz w:val="24"/>
            </w:rPr>
            <mc:AlternateContent>
              <mc:Choice Requires="wpg">
                <w:drawing>
                  <wp:anchor distT="0" distB="0" distL="114300" distR="114300" simplePos="0" relativeHeight="251658245" behindDoc="0" locked="0" layoutInCell="1" allowOverlap="1" wp14:anchorId="7E7CBEEB" wp14:editId="4E0FB276">
                    <wp:simplePos x="0" y="0"/>
                    <wp:positionH relativeFrom="column">
                      <wp:posOffset>69239</wp:posOffset>
                    </wp:positionH>
                    <wp:positionV relativeFrom="paragraph">
                      <wp:posOffset>52524</wp:posOffset>
                    </wp:positionV>
                    <wp:extent cx="1514475" cy="2563998"/>
                    <wp:effectExtent l="0" t="0" r="9525" b="8255"/>
                    <wp:wrapSquare wrapText="bothSides"/>
                    <wp:docPr id="1" name="Group 1"/>
                    <wp:cNvGraphicFramePr/>
                    <a:graphic xmlns:a="http://schemas.openxmlformats.org/drawingml/2006/main">
                      <a:graphicData uri="http://schemas.microsoft.com/office/word/2010/wordprocessingGroup">
                        <wpg:wgp>
                          <wpg:cNvGrpSpPr/>
                          <wpg:grpSpPr>
                            <a:xfrm>
                              <a:off x="0" y="0"/>
                              <a:ext cx="1514475" cy="2563998"/>
                              <a:chOff x="0" y="0"/>
                              <a:chExt cx="1514475" cy="2563998"/>
                            </a:xfrm>
                          </wpg:grpSpPr>
                          <pic:pic xmlns:pic="http://schemas.openxmlformats.org/drawingml/2006/picture">
                            <pic:nvPicPr>
                              <pic:cNvPr id="5" name="Picture 4" title="A close-up image of the palm of a hand with burns and blisters"/>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1514475" cy="1762125"/>
                              </a:xfrm>
                              <a:prstGeom prst="rect">
                                <a:avLst/>
                              </a:prstGeom>
                            </pic:spPr>
                          </pic:pic>
                          <wps:wsp>
                            <wps:cNvPr id="6" name="Text Box 5"/>
                            <wps:cNvSpPr txBox="1"/>
                            <wps:spPr>
                              <a:xfrm>
                                <a:off x="0" y="1757548"/>
                                <a:ext cx="1514475" cy="806450"/>
                              </a:xfrm>
                              <a:prstGeom prst="rect">
                                <a:avLst/>
                              </a:prstGeom>
                              <a:solidFill>
                                <a:prstClr val="white"/>
                              </a:solidFill>
                              <a:ln>
                                <a:noFill/>
                              </a:ln>
                              <a:effectLst/>
                            </wps:spPr>
                            <wps:txbx>
                              <w:txbxContent>
                                <w:p w14:paraId="1ABF82DA" w14:textId="77777777" w:rsidR="0048064B" w:rsidRPr="00944B64" w:rsidRDefault="0048064B" w:rsidP="00F918EE">
                                  <w:pPr>
                                    <w:pStyle w:val="Caption"/>
                                    <w:rPr>
                                      <w:noProof/>
                                      <w:color w:val="000000"/>
                                      <w:sz w:val="24"/>
                                    </w:rPr>
                                  </w:pPr>
                                  <w:bookmarkStart w:id="43" w:name="_Toc516780146"/>
                                  <w:bookmarkStart w:id="44" w:name="_Toc517707388"/>
                                  <w: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r>
                                    <w:rPr>
                                      <w:noProof/>
                                    </w:rPr>
                                    <w:t>:</w:t>
                                  </w:r>
                                  <w:r>
                                    <w:t xml:space="preserve"> Burn to hand sustained from exploding e</w:t>
                                  </w:r>
                                  <w:r>
                                    <w:noBreakHyphen/>
                                    <w:t>cigarette; Hickey et al 2018</w:t>
                                  </w:r>
                                  <w:bookmarkEnd w:id="43"/>
                                  <w:bookmarkEnd w:id="4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E7CBEEB" id="Group 1" o:spid="_x0000_s1049" style="position:absolute;margin-left:5.45pt;margin-top:4.15pt;width:119.25pt;height:201.9pt;z-index:251658245" coordsize="15144,25639"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b8Z8G3AMAAPQIAAAOAAAAZHJzL2Uyb0RvYy54bWycVllv4zYQfi/Q&#10;/0Do3ZHkykeEOAuvc2CBYNdosthnmqYsYimSJSnLadH/3hlSsps42OshynA4F7+5fPXu0Eiy59YJ&#10;rRZJfpElhCumt0LtFsnnp7vRPCHOU7WlUiu+SJ65S95d//7bVWdKPta1lltuCRhRruzMIqm9N2Wa&#10;OlbzhroLbbiCy0rbhno42l26tbQD641Mx1k2TTttt8Zqxp0D7k28TK6D/arizH+qKsc9kYsEYvPh&#10;a8N3g9/0+oqWO0tNLVgfBv2FKBoqFDg9mrqhnpLWijNTjWBWO135C6abVFeVYDy8AV6TZ69ec291&#10;a8JbdmW3M0eYANpXOP2yWfZxv7ZEbCF3CVG0gRQFryRHaDqzK0Hi3ppHs7Y9YxdP+NpDZRv8D+8g&#10;hwDq8xFUfvCEATOf5EUxmySEwd14Mv3j8nIeYWc15OZMj9W339FMB8cpxncMxwhWwl+PElBnKH2/&#10;mkDLt5YnvZHmh2w01H5tzQgSaqgXGyGFfw7FCanDoNR+LdjaxsMJcIAkAg636JQUUJ/CS0jBkjCp&#10;HR+1hoiG7jjRFfE1J4bKBmlKamgp0glfk01rlSN43EjhPLQioot+0VV0TBGYB82+OqL0CnR3fOkM&#10;NAemHaTTl+Lh+CJqMG3uhJSYbKR7fKCRXhXiGxDHIr/RrG248rFrLZcAlVauFsYlxJa82XAoQvth&#10;m4c+gup5cB7dYR2FTvpnPF9m2eX4/Wg1yVajIpvdjpaXxWw0y25nRVbM81W++he186JsHYf3Unlj&#10;RB8rcM+ifbNt+gETGzI0NtnTMD4QqRDQ8D+ECCyEBGN13nLPaiQrQOtPQDjqHC8CtCc0EXcHrYUa&#10;P91M+Ww6zseTkMCTurHO33PdECQAUYghIEr3EG2MZhDpEx8DCJFBPNj1MIvdkGM4/RhuOInfmmKP&#10;NTUcQkCzp+qfDtX/hAl+rw8kPKQXwnFD/AHYfYUi/5tA5bPJbFL0kwVNns2eeTYtJmHiHwcI9MXP&#10;oAUJ1lJsh0ZA3ZW0sTq6Wnjep+KFlFSYXKVRK8IfOTxspz4np+ch5Q+bQ5jJYzSInI3ePgMiVkNG&#10;YY05w+4EeH+gzq+phY0FTNjC/hN8Kqm7RaJ7KiG1tn+/xUd5yCzcJqSDDbhI3F8txeEnPyjIOa7L&#10;gbADsRkI1TYrDV0BawOiCSQoWC8HsrK6+QIlsUQvcEUVA1+LxA/kysc9DMud8eUyCMUZ+qAeDUze&#10;OAkQ5afDF2pNX9EesvtRD1VFy1eFHWUj5svW60qEqj+hCFWPB6jwQIXVGhq6/xmAu/v/5yB1+rFy&#10;/R8AAAD//wMAUEsDBBQABgAIAAAAIQC6waW7vAAAACEBAAAZAAAAZHJzL19yZWxzL2Uyb0RvYy54&#10;bWwucmVsc4SPywrCMBBF94L/EGZv07oQkaZuRHEjIvUDhmTaBpsHSRT79wbcKAgu517uOUy9fZqR&#10;PShE7ayAqiiBkZVOadsLuLb7xRpYTGgVjs6SgIkibJv5rL7QiCmP4qB9ZJlio4AhJb/hPMqBDMbC&#10;ebK56VwwmPIZeu5R3rAnvizLFQ+fDGi+mOyoBISjqoC1k8/m/2zXdVrSzsm7IZt+KLg22Z2BGHpK&#10;Agwpje+wKs6nA/Cm5l+PNS8AAAD//wMAUEsDBBQABgAIAAAAIQAXkK8f3wAAAAgBAAAPAAAAZHJz&#10;L2Rvd25yZXYueG1sTI9BS8NAFITvgv9heYI3u0kapU2zKaWopyLYCtLba/Y1Cc2+Ddltkv5715Me&#10;hxlmvsnXk2nFQL1rLCuIZxEI4tLqhisFX4e3pwUI55E1tpZJwY0crIv7uxwzbUf+pGHvKxFK2GWo&#10;oPa+y6R0ZU0G3cx2xME7296gD7KvpO5xDOWmlUkUvUiDDYeFGjva1lRe9lej4H3EcTOPX4fd5by9&#10;HQ/PH9+7mJR6fJg2KxCeJv8Xhl/8gA5FYDrZK2sn2qCjZUgqWMxBBDtJlymIk4I0TmKQRS7/Hyh+&#10;AAAA//8DAFBLAwQKAAAAAAAAACEACoR84LZPAQC2TwEAFAAAAGRycy9tZWRpYS9pbWFnZTEuUE5H&#10;iVBORw0KGgoAAAANSUhEUgAAAJ8AAAC5CAYAAAA27u3LAAAAAXNSR0IArs4c6QAAAARnQU1BAACx&#10;jwv8YQUAAAAJcEhZcwAADsMAAA7DAcdvqGQAAP+lSURBVHherL11WB1pusXbLtMyPS0z093T7tPu&#10;kqTj7u4hECcQI0KABIgSV2IQnOAaEtzd3d3dIUCArLve2pCk+8w555773D/ep7bB3rvqV+td66uv&#10;aj9SELIdBaGbWZrKsjB0JwpDdJUqCNmJvKAdLB3kB/Px0F0oCtuD4nBdFEU8qMLwPUrJ7eJIXZRE&#10;7mHt/kMVR+y6Xw8/VhS+88HjEXycVfqnKuP/e1C7UR61GxXRe5SqjNFVSrkfpYuqCH2UReuhOIav&#10;i9uBxujNyDX7HWkH30fFme/QeHkMOi1mshah32Ed+m9sQB/rrpMmBjx1MHhbH/f8Dyg14KuHuze3&#10;odtlNVps5qDG9FdUnf4KpSYfIvPA2yi8+guagzVQEaGFkphtrJ0oi+XniNVDTfw+fqbdqI7bhZrY&#10;7agL0UDOjTmodF6CDk9N3L2lj0E/E9Z5DAZdw2CIJQbD7XAvwhH3IllhvB1khXuB19Afeg53w06h&#10;L/I4umIOoSFGH6WR21EUtw05CVpITd6E9FRNpKZsYnEpt6XSpDYjLU3rfqWna//hflqaNl+7Wak0&#10;+fukDax1SE5Yg8RYNcRFL0ds1NKhWoLoyEWIiliA8NA5CA9jhc8dqjmIiJiNsPAZCA2bzpqGsNDp&#10;rBl83UyWLKWmD9U0PFIQuhUFYYRPKS3CtRtFofoETY9FqEJ3K1UQsktZ/if4Hq7iyL0ESwD8I3wP&#10;V1m0rlJyexhAKeV5gTD8Qf1f4Kvk/6yKNOD/1kdJLDd8vA6aIjch7dz3SDd+GxWnv0bjpTHouD4D&#10;ndcX4K79GvTZrUOv3Xr0OWzEoNtWDHrtxD0fPQz46KPXWwc9HpvQ5bwSLbazUHd1JKrOfoPSYx8i&#10;69A7KLUchfbIDXzfLXy/HSiM5XeQz6LAp8/Hd6I6ZgfqCUmVz2Jkmk1AvcNS9LpuRr/7Xgx4Hca9&#10;24Qv8CrhsyB8NoTPXlVh1oTPgjvBZQz6n8W9gFN8nQl6Qw+gJXQvKkK383tuR36CNjKSNyMrhWCl&#10;bCaEhCiVQEoRLqk/wvagBLgUwiqVmkrwkjciheClJK5BcvxqwrcK8THLERdD8KKXIiZqEeFbQPjm&#10;IeIP4M0leALfHAU+FYAC2iy+brbqtVyqio+Fz2TNwCOF4dooiCB4rMKILYSAsIURvjA9gkagwvYS&#10;RineliXvF4fzuQje/k/gRe1FKRWoNGrP/1DyvPyNSvEU+MJUABY/BJ4CHz/PMHT3K2rXffiqYvei&#10;UkogVODbh7IYA8KwBzVx29EQthbxxz5FlvFbVC3Cd3kc2s1nEsCFBE+D4K1V4LvrsAn3XLVwz4MA&#10;eu5EP6vHQwtdLurodFqCFruZqDcbgyqCXHL8I2Qdfg8lFqPQRviqoreiKFaH8HFnitFDOeGrjtPj&#10;4zqoid6GhlhtlDhPR9bl0Wh1WI67zlQ+p50YcDck6CfQH3AWAyGXCJ8ZBiMIHGsw5Crh42O+ZzHo&#10;fRz3vI+yDqLXxwDNt3RQ4bsZ5ZHbUBS/FTkprNStyEzdgoxUbaRTzRRFU+qPEKYPLe/DR4WUSk0Z&#10;Ai9pLVVPXYEvIXYF4Vs2BN9iwreA8M0nfHMRKUon0IUTRCmBL5JwRVDlIlQADsMXGU4AwwW6Wcrt&#10;SCpkZMQswhephUKqQ2HkRhRFarPYXgmXAFjCZWkElYQbVJYl4fKYvgKfgDZc/+/hYxsdqjJ5jbRV&#10;Ubvh4n2Bb7gUAJXX8G/vg6cqBT7+z6qYYfAERt6O2o9yBT5dArAVdcFqiD74HnIPvoWaM1+j6cpY&#10;Vdu1XIheW3WqH8G7sVEFn9MGAriZCrgNd923447bRrQ7rkCb4wK02c9Ek8VEtt6fUXbqc2SbfIJC&#10;89/RErGJn0EHBQSvII7fn9CVDX0mga+e8DXGaCPPeiwyL1Mpbyzh+7HdO2zBXbe96PMhUL5HcDfo&#10;JAbYXgdCL7LNXsTdwDPo8zuOvpuH0edshEGn/Rh0oRq77UKj+2ZUeK1DJYWjlPDlE778VLZgLrMI&#10;YDoBVMG35T5ow5WewefZeofbb2o6Wy7bc3LyOiSJ4iVqIElUL24l4qOXEbolQ+A9gE/gEZCk1d6v&#10;IeULJ1ThVLawoTYrChc5pHSq2yy+JoqgPiLAFUZpsjahKGoLAeKGj6SyCWj0T/fhG6oSgZCPl0Tp&#10;KfUwgA/DV0IwlCI4SkWoSp4rIyRl4luoEqXcSEXDcBK0kjCqHauM4JXxfjmrgn9XTgUsj9Bhy6Wv&#10;itLh67n3i69jVfB/lA8pYUXUPioP1Y8QCHy1gSsQYfQWCg+/i9qz3xG+8YRvNuFbTOVbgwH7jfR9&#10;mqxNGHRYi3vOGzDgsgl3CWGPyzp03FiGTocF6HSchxbLGai7/Dsq+X9yj3+Bgutj0RKljepYWhIC&#10;WBjH70gVlu8kfq+G8DXQ7zVEayLz6q/IPv8r2izmoMd6JXr4vn2uO9ja9+IOW/wdX0Pc8TuIO/6H&#10;0RNwBN0+Rujy2ocOl93osNGhOusQWu4UjtpodV6PCjd1VIVsYounbUrcjsKkHchN3IbsZCpgijYy&#10;CZ8oYAbb78OVlb4FmawMgS+dQCrwbVLBl0DwqHqJ8asU+OIIXkzUQqXVRrPVRhOuaFEtgUmBSyAb&#10;Ak0eG1K98HB6uvBphG0qXzuNsAl4cn+oIqZTPWfikeLIHYRmB0HRYXHDCzyETwAsebgEtj/f/xOA&#10;w/CVDMFXTOiKBDp6wCIllMjjBiiO3o/iWCNuLAPksT3m0ysVc2MJgGUEr5JVzbZeHUHvRNBrwnmb&#10;MFYTvmoa+1IqSXHUVu71DEX8O1G5UgJQEbeT4BHGhP2oTDRCXTx9kQ9bgtHrKDr6MWrP/YqWK1PR&#10;ZbEAPVYrMWhHn2dHpbPfjHtSN9bgnoMG7tqtQp+9GnpvrEKXzVL0EMAu+8WouzaVyjcOFRd+Q+bJ&#10;b5BjMR7NsVtQlcB1x9Zbws9UEr2DOxY/B5c1rEa2/sawDcg8/iVKTH5E2/mJ6KXf7OH/73FaR8jZ&#10;gt210ee9jSpHyHx2svagw2kbgd+GVttNqLVWR6udOrqsV+GO9Qp02K1ABT9Pjd961DJ4lNNXljHY&#10;FHM9FvA7FybwcySx1SexoyVq0RcydCVoIidxM9VRm+pIOKU90yOKz0tNXo9kttzEeHUkELy4OIYM&#10;ttvYmIWIoUJFEawoAhYVOg3RDApRYYQqdDIBmkwAJxK+CYRt4lBNIGyTlIqOmMiazJqKaIIYTfCk&#10;ovg/Yvj/Hilhmy2h2t1vjQRL6mG4/m/1X+GTBCxLlToS1mgjJjVjtil95FMtihMInagX/7aKPrOW&#10;/rKWnrM6ZC9qQvRQy2Udg1Ad/WENN3ANV3AlV3Z5nMDH1kyAZeVXxHOjy1LgSzBCfTxDgDv3QsN/&#10;oIS+r/7iCLSYTUe31SK2XDUMitrdUME3aK/J2xpcrkafzXI+vxw9toTOegnu2C1Dh9VCVJpK2x3P&#10;5ShknPoOOZYT0cQdQVJ1KdtrqewQUTsIA3cgCRsKfAwcwfRSBz5A8cEv0XJyJLovTUG35Tx02ixS&#10;3qP3Bt/Tje3fXRN3WN1u2miyXYdWm/VoslyDcvNFqGE6b742H+1m89BKy1DGv6+5tRYNFI0qvlel&#10;sgNyR+Q6KInfhjIGkYqETVy3tFLxWoSSECZqIzdZm+pIAFkSVNKYlNOSN7DdEr44NSVgxIrHY5uN&#10;jRK1E/CoVKEELmQKl4SOFRk6keonRfCGSm4/XFGs6HBCGD6F0PJvFXBZhDhW4CummtyHT/FWBOj/&#10;T/iGhmCG27KijjGGNOhSBJHglMfvpVLQJ1Hhahhq6oP2ojaAIPrRN/lKsYX5U/UCCF2gJvd2AsiW&#10;VsmWW0z4ygiwAp0onwLhPt7ez5S5HbnOkxG67zWUHf83k+4otDDpdnOj91J5BhypfI4Ez2Gz4vv6&#10;qS4DdlQkq+Xotl6OLqsl6LRaTPVbglaL+ai4OAHVF8ejwvR3wvcD8mymoJFJt5ittSxG0ic3OkEQ&#10;O1DNzzQMX03gGsTo/ws5+95H/ZGv0HH2V3SZjUeH5WS+1wz02MxHj+My9DivYrhRQ7uTOhptVqON&#10;YajJSh1lZgtQcWUWas9PQ5PpTDRem4Mis1mourlGga+G67Aqnl6TnrMskeueKb+UlqOcwBXHs0tQ&#10;CYvYkgsS6Q3ZlnOTtyA3aQuyktiKEzWRnrABKXEaSIxmwIhagrjIRYgNX0B1mo1oghIVMpU1hfBN&#10;QnjwBIQFj0dYCIvL8FCCJiA+VOEhhJHPR4aOYxHC0ElD0PL/DNUQfFQOGnklJBAMlfIZcE9+4Ov+&#10;TyVwUekEZPF6xYRPKcKnApvvEU3/GG1A4JgMCX4lW2plyC5UBe4mdLpo9NND3W19pWpvcXmLQN7m&#10;8ze3otJ7Ayp9N6IiYDOqueIVBWTSrOCyMl4AZNuN1af66KOeLTrTfhxC9F9B+RB8bfRt3XYMGzfY&#10;dunvBp2oeKy7N9aj35bp10YN3RYCHtXOYjE92kJ0Wi9W1KaaLbv8/DiUnBuJzDM/o8B+BuGTpEvo&#10;Ytn6pOVyZ6ggDNXcoarF87ElVgdqIGzXq0jZ9XdU7X8PHWzBXZd+RLfZb+gzH42e6+PRbjGZn206&#10;mq1no5Gfr47gt1CFG9hqK8wJvuk0pvUJaDg3hb5zBgouT0OZG59n56oV0BP4neNZidx+7CSlBLCM&#10;YaSYnrA4gbYqUYcAshOwCng/j+qYE0cVjKcfjV2PtGgm3IhlSIpYhMTw+YgPm4PYkOmIIXjRAl/w&#10;JEQIeEFjVRU8TgExImQiAeNzDy3l8XCCGREylkUI5TmCGxUqyqmCL5pqyrYraVKgGwZPnwFD4HsA&#10;oMrL/Qmy/66U/6OCT6qYQaE4VIIE79PDSZVR4Sr5XjUEsjqIyuBLU+7LFHd7D5p99dHhZ4QO/4Po&#10;DDiELprvO4E04IHGaPHVQ6PXFlSyRRXTcFcGa9HXEb7o7YSO7Ye3KwU+Ge7gZ6knGGlWvyNwz0so&#10;PfoJ6i/Q8FtOQY/dfHq6ZQwX61hMuax+h/UYtF2DXms1dJozZFgKfEvRdn0h2i0XoY0KWG8+G+UX&#10;JqCI8GXRPxbcmK2k2SJRPu4A5VS9cnrQSiqQwFdLBRRPVh24DsE6ryJG+wWU7X4NrQfeQvvpD9Fx&#10;/jN0n/8SbWe/ZBL/EtXnvkPlpV/ZYqegxnIuGmyXot56KZVvFkrOT0DZsVGoOTkONRemIO/CZBQ5&#10;LEN9+A6uA13UJBigIpFJXyqJO3YCuwnXiQJhErtDIrdBwk62YELIKpCuELMFOdEbkRW1DukRq5Aa&#10;tgQpYfORHDoHiaEzkBA8DXHBVKngyYghfJGieMPwhVDV+LiUqKKUAqkoJB+LCKYKBg/BRygVj6hA&#10;J213KmKYeh9RKZ7K55UxDEiyLY/azzay/w/wST3cPv8LdMMl8PE1ZZJsJb0q8Ml4nTwm4OkN+bo9&#10;TKI7CN02NPvQXN/WRbevAbp8jdDLxNcXcEwZfugPOoXBkFMYCJH7B9FDVWx210Ip21PJzbWoI3jV&#10;3PgCXyUNdyV9j0pR9ZgytyKD8AXs/CuKD32E6tPfo918Avqs5+IuW6mEi3uO61nrlKQ7KAPO1qv5&#10;GgFvGVsvzb3lUhV8TMcNFnPZeieh6MwIwvcb4ZuDOqprkageA085Va+c3rWSSbsyRgVfdTgTd9BG&#10;BOr8A6HrnkLhludRt+dF1O9/BTVGr6DOiGpoRE96gGXyHopOfoZq8zEMGTNRw3ZcZ7MYJVemofDU&#10;aBQd/hmVJqMI6UTknpuEXPrQutDtqGXLrU7Yx5BlSABZSYa8LdaD6zx+N/0fBYbLUu6cRUzlxdxR&#10;imV4iB41N2I9ssM1kBG6EmnBi5EWMg8pQTOQEjwdyQQvIXgK4glTLOGLUtRsnKJo4aFjEc3HVSXg&#10;TUGMBJL7AKrgU9puGH1fGF/HoKKCj4FDBR99QhTVjuAJdOVR/PDRhv8Rvofrv0A3XHzuj/AxhcnQ&#10;CcErj+B7MMXWEr6GIPo4781o9tLGHZ9dGPDbhwFfY9y9dQD9fiYY8D+JwYDTGPQ/jXuBp1jHMRh0&#10;lI8ZoY8KWeO6nn5uKarDNqGObaQqgW2Zqlcl8PFzlFPBGwlGuuUo+G1/HkU0/JXHvkLblTHos5yJ&#10;u1YLqHSrcM9OA2Dds12NfisN9FisInxsuxYrmSxX0R+uoO9bhla2wXqa/MpLk1Fw5jdknCV8jnNR&#10;R/BkgFmBj0FD4KtgkCqP1uVzVHbCVxeiheDdb8F/1WPII4CVWo+jdPsTKNjxBApZ+TpPosDgeRQf&#10;eR05h99B6aWfUcU2XGkxHbU2C1BybQryT45AwYHvUX50BKrOTUAe4cs0m4PaYMJNla2SIyoJhC75&#10;AKpSDqI6yZjrRBSQOzyVUcKIeOMSfsYSKrSMbhSGb0Fe+HrkhGkgM3gFMghfevBcpARORWrQFAI4&#10;BUlShCmO8EUTvmglSNDrhY3jfVVLltYcy4oTqO4DSPgIahQ9oIAXGyHAqdKygBcjQy3DqlcqY3py&#10;aCqSqhclnkzly0rlNsGUZRkfkyohrMOwCaB/8IcPwSctXTxlgXLkglCw/VZS8ZpD6Ovo35rcNNHl&#10;vgUDXntwz2c/BgnewK3DBI7gBZ4hcOdUFcDbASdxz5/wsR33s/12em9Bkc08lHsuRwtbX3UM06UY&#10;b6pNJT+vHGZr5J6dSl/lrfkU8ve9g6ojTJvnf8eda9Nxl15u0GYVIVyFXquV6KHKdV1foahe+zWm&#10;3OuEz5Lw8bkuho9OJuBWpuTaq9NRcmE00hgaCp2pTHJYjSpSFsPQo9ReBb4qVgM3fj3VsDFiByL0&#10;P8KtZY8ia80TKFn/BHJZGesfQ9bGR5G77VEU6v8F1SffQtHxd5FN9Su4+CvyL41BFXeUEtNxyDvy&#10;A3INP0fhgW9QfmoUss+MQ+rl6WzpW5j++X0ZsCoTjKl8B5Wq4u1KCV5UxHI+L+OeFbQDpVw/pVGy&#10;Pah8IdrID12PvBANZAWtQGbgYmQEzUNqwHSk+hPAwClIliKIiVRCacEKWPRu4SzFx7EetNQHbVUJ&#10;GWy5MVzGMOkKeDHh05l8pxPEmaxZQ/ANebH7IBKuB7ARxj+UwGdwHzY5lPVnAMuobmUEUFJvYdRu&#10;5EfJwDVVIXQnakJ2osmXPoVmv92VKdN9K+557MI9r324d/Mg7t06qhzHvBd4lkonxz3PA7wNAnnv&#10;9hEM3pZDTLqsLSi34oaxmYH2MHo/GdqIpdfie1Vzp6nh528ifGmEz3P948jd+waqD32J5tOj0GFK&#10;32e+gK2XcDFcdFguR7vVUrSYy3AGPd7Vpeg2X0UVXI1uy5VUPj5P79VK/1fLFlh6cSxSCF+R6yLU&#10;x+9EIVWvjO8t4JVzWSGfg0pUzxDQQPVr5nePMvwMPsseQZr6oyhY+yQy1J9EktqjyFj3KPK2Poqc&#10;PU+j/sy7KD/7MeL2/5NwfYeEw18h4wSDzalfkXPgC+QYfoI8o09RYPI9Hx+BlIsMH4HbUEvFq4qj&#10;6iUQPKnEQwp8VYSvkvBJ+i/nziDHnMtkPJUhpTiM6ZeeOT9kPWsNcoJWITNgMQFcgHT/WUjznY40&#10;P6ofK9lvOhL5WLw/028AK2gmU/BMhgoJIaJwXAqMynDKUCnwETyCGUMoFdUT+AS8SIYZ1gPle7ju&#10;w/dH6GQpivjfwafUffjYnglfQfQeZSC4jMvKsJ2oC9ZBjcd61NygsXen0ad/u+e+Dfc8dYGbRgTs&#10;kErlqHgq+ET9TgN+xwjmYQzwNb1eOuh2W4saq2nIvTwKLUFrmSoFPnofwlfFzy/wtTJpZln8Dq8N&#10;VJq9b6Lq4FeoPz4Srecmo/PKPNwheG1mTJUMFq2WS9BkthBNVwU++j0zNaZQdbZftmHC2ca2K/DV&#10;XZmB8kvjkULPV0j4atlyC9nKFPj4/uWiMEobZGJny6vn927mDhhFeG4SvuTVjyBH43GkqD2GuFWP&#10;IEvzEWQTvoxdT6HuzHuovfwFwve+jLTjnyNw15sI1/sAGYcI4f6PkL3vA1Xxe6Qd/wUpDB4CXx19&#10;XnW8EZVuSPWSCF+iwMcQIhaAn62MO4Goc0kk/V74dhSK6gVvQm7wOuTKjJsgNWQFLmUtRKbfHKTd&#10;moEMn2ksqqDPTCT5zEXirflI8F1ICFmB8xATNA2xUgwmSioW9SOEMqanLIcChiTbSIInR0aiImYj&#10;JpJ/GzX/f4JPYKJcC3QxAh5vcymPPdx2/zN8KgAFvkKufCk59FVN1asLZDhwWoUa++Xo8dyAATeZ&#10;TbIZg546hEsf9+j77gUcx70g+r2gsxig6ikw+lERxQ966+OuxxZ03ViGRqtJSD3xJRpurUBj9A5F&#10;+Wr4PlX8DtVsu20EI9d6LLw3PolcvTdRceAr1BwbgcYzk9BqOhsd5lS7qwLdEjRbcGm+mPAtRivh&#10;67ymhi6z1ei0UKMqriCcy6iMC1F/dSYqr0xGxoXfUeiymKBvRx43aKkCnmq4o4LQVbFqJPFyx2ti&#10;xRz+Bt4rHkMilS9T/TGq3mOI13gEedsfQzrhyzV4EeUn30W16eeIM3odkfy8Nze/iAjdd5Cg/wES&#10;dd9Cuu7bSNvLpfGnyDj5G5VvKmr8tFHLhFsjsBG6ClZl0kHF/4kClwt0tCOl3EFKowmeTEYIE/A0&#10;kRu0HlnBbLmBasgOXIXcwOXIDViCbN95yLw5G9leM5HjyaXnfGR6sSXfpC+8tQopXN+JPkuQSEgT&#10;qYSJgVIz2ZZn0PsRRkmz4v0Im1RUuGpSgRz7jYyYh0g5Rhyz6H+AbwgmgevhkseGwZO6D91w8W/L&#10;+D/KxPsxdRbReBcRiMrIPTTehM9vKyodlqPJcQV63degz1kdA64b0e+5Ff0+9H5+hoSNoAWdwGDw&#10;afQzbAwKjEzAAz6GGPDcg0EqZq/9AjSbjUKy8TuocZ+LZsJXxRVdS8Nfxc8l8LXH7USezTil7Wbu&#10;/gdKjT5HlclvqDs1AY3nZxCyRQpsDdcI3fUlaDRnXaPCXWXKJXjt1yT5Uvms1dBC9VPBN4vKNxlp&#10;50Yiz3EBQd+uKHupjC2KwU+UIQ8CSOWrotGvpdo00WdFM6m6Ln0c8epPIFX9cSRQ/RLo+Yr1nkGS&#10;9qPIN34NhcfeQd7x95B+9D0EbPsrfDY9h/h97yGW4MXvfh1JO/+BFC7T2Hqzz/yO9MszUO2rhRq2&#10;1ppEI8JH6JIO8HMYqQbauT7KaQlK2RWKoxiMIrYyZGihMHQz4dtItVuLjIBVyPBbgSzfFSjwX4FC&#10;36XI956PXI85KHSbhzLPZajwVke5zwaU3dJCmf82FBP4nJsbqIorkHprKVJuL0ay7wIkBcwjhGzP&#10;bMtxIbPYaufS283lch4BJHQRC1iLECWTFGKW4pFyKpmUKvGqStRrGCwBrjz2AXhS/x18Jcpzqv9R&#10;ztvyd8MH2qsYQJrCqEpeG1FlzzbntALdVMA+RzUFvgGvIfj8CV8gg0XQMQwEHcddgjcYYEIgD6H/&#10;pgHuum7HgJM6+qxnoOn8N0jWfxUlVLe2mO0KfDXc2NV872q2XVG+HKsx8Fj3mAJfBdtVzYmRqD89&#10;CQ3nZ1L1ROmWoMFsKZotVxAwUTgJGWvQa7MBPVbr0W29Bt031hDAVYRPIJ2PKvq+9POjke+4iIGD&#10;4BG6UrY4FXz0VwIfqzphL+ri6PnYisMP/g6buY8hZPFjiF3+KKJE+TSfRKnhi4jZ9BiyDf+OzINv&#10;Ipmql2nyPgK0/4KwHa8gxfA9xOi+jmidlxG77SUk7/onMoz/jfzz45B5dTaqCUINvWV1wn6qriFK&#10;GTyKud5l0kaZhAtaj+Ioql3kFoK3mSWThjcq7TY7UB0Z/qsU8HJ9V6Lg1nIUeiyil12Acjf6Wc9V&#10;aL25CZ3+OugM1EdnsDE6ww6jLfQQGoP4fv7c8W5tQqa3BtKpiqm+SxhWFjAtE8SQBUy/C6iE86mE&#10;CxEbtogqSOjClyI6chliopfjkQq20j8DKOonh9hk5omUCr6HIPuf4GPJZM6KIWhLxW/QiFcx7bYS&#10;vnKXNai2XYI2ql+73TL0Oqhh0GUj7nnvYNLVVYZS7gUdYZkQvmPKeF9/AIOG/wHcvamHfhemY7bc&#10;uxYT0HDyI6TufRH5135COxNvFSGvpcrW8r1r6Etbpe3ajMEtradRsO9tNJz4CY3nJqD5wgy0XV2A&#10;ToLWbqmGNpvV6CBgHfbquOOwHgOOmhh00Ob7sJwYilw2oceRINquQpctVdtyHnIuTUSRy1IFrlK2&#10;29I4riOBTwZ4k/SpQAQikb6PrbeFYAYbjcfVKY/BZ86jCFv4CEIJYDTtQCHbbSgVMH4PwTIkWEff&#10;Rdrhd+C/+WnE6/6doL2LeP3XEbX9RURqP4/EXa8h1egTpuEJyLo6l8rHtqvAR2tEtSumAhdxfRdz&#10;J1QUjzulTMIojNBCQdgm5IdtoOrR5wXR5wWoI4fw5Ql4VLEi9yUodpyPSmd2BLcVuEPw+m7pYMDf&#10;gPbnMPpDTmIg/Bz6I86iL+IMOqOOoyHEEEU+W5HlRRW9pcaQshzpgcuQGrwY8cELERe0APEhiwni&#10;UtYyxIcuR3z4CsRHrnigfKJUw+CpStqmgEMvwy+kAlFgkzE+VUlbfRi+P1cJIShR9kCmv7BdaGbb&#10;LXVajTqbZWi3X0kTT/jsV2PQib7Pg1/y5l4M3DYkgGyxgUdw1/8I+vwO4a4y/qePPq9dGHDRxIDd&#10;QvTLQOzRd6gEz6Hg6o/oiN6iHGCXoZaaWLYhwtdCP5ZrORrBW59H6YGP0Hh6BJouTkLb5ZkMEkvQ&#10;Y8s0a6eBbod16OEOcMdpA0HT4s6wBYPOW5W657YVAx5aGGAw6nNcSwjZgm0XIJ++r8hlGerj6Ksk&#10;TcZTCYbhI3SVrGr6vjqqXguTaMD+CTg75jE4TnoUt2c9ipCVTyFiPb2o7vOI1noSkdufQZTuSwTv&#10;bSQZv4HgLX9B7J5XkHWAMBq9jQi24eBNzyBe5zXkHv0WZdemI9ecKuy7mcGGO5sMqVD9SrgTqODb&#10;zW20HUUKeNoq8Jhsc4PXIC9InfCpIztgNXJur0D+TXo9t4XIvzEP5fbz0eS8Al3u6rjrqUWPvQuD&#10;t/dzmxyjDWIIDL+MwYiruBdthv5EM/TEXaQKHkTxzR3IZWvO8l1NNV2BtKBlSA5aoqrgZUgJWYGU&#10;MDUkh69GcsRqJEWo/Rk+QqUcFpOjHqyoPVQx8Q0EUCDkl1JNf1cdt70/N08pQqYUoSTERZH76fUM&#10;lJm9pfybaibd+oCtKL2xgspB+KxXopPVZ6dO+DYxdOgwdOhj0MeI0B3ml2XrJXgDt43Zjg24Enai&#10;z1MbvU4auGszj/CNRw1VInHncyik8nXGaCuTN4vp80plQxDAVvqcgmtjEK79IkoOfor6MyPQenkK&#10;/dxMttNF6OEO0OOgjl7ndeijuvU5Mn07axM+gkcABTzVzGZtelJtAkr1I3ytNgtRfGUKih0WEyyq&#10;DttdBeFThjQInBzaqhL4CF4d10Fr3AEE7p+I4yMeg+Xvj8KNAPotfgJha59Ahs6zSN7xDCK2Pono&#10;3S8i/fBbSGTrDd/5EiJ3vkzlew+Fhz9D1M6/w0fzOcQwcMgRlgpzhgHzOSj31URt0j7UJhvxfaXt&#10;cp2z2xTLQHKkgLdFOT2igMm2IHAd8gI0CB19HgNGWuBK5DA8FHktQ77tDJSZT0c9/2en9VJ2JPHi&#10;VH6vPexI3CYBJ9AffAH9YWYYiLTAvVgbDCbaYSDeEnciLqCOrym9uQ15t9cprTwjcAXSA1gEUd4r&#10;U4ZyglcjK0QdWaHqSA/TkLb7AD5lEqgyyUDAUpUCH6EbruFzLx5+nTz2oOQxmbNHOWZLfwCfDmpu&#10;a6KEKbf5+jK0EbyuIfgGuNEHXXfgHuG752NM8Nh2JXT4Ej6GjH6uACWQeEj7U0OP5SzcpfLV0Jin&#10;7HkRRWY/s+1qET6a6ni2Gpr+0jh6PhnFvzIGoZrPo8DwI9Sc+ZUhYhpVbzbhW6j4TYG515mK5rSe&#10;KryOK10A3MwVzwQuw0BehNBrM3rd5FyOteh0WIFm6/koYugoogK3E74aSZZ/gI8e9z58+9n+DyDE&#10;cBJOjnwCliMfh+OYR+A9h/6Pvi9F6xkkaD6F4LW8v/EpxO16haC9TCV8GdHbX0UKE27Ovo8RrP0K&#10;3Nc9i9h9H6L0whjCN4PwzUKZnybDhsEQfFQ+CkURA1AxVa+Y4Em7zQ/RRH7gBhQErEWevzoyCUSq&#10;H9WIHi3HZykKXOazhY9D+eVJqLs0Ay3X5qOD/rfnxkb0ue1Cv8AXeBJ3Q0zRG3IFfQTwXgzhS7DH&#10;YKw1+qPN0R18ittXF7ne65DlvxqZBC7Df6VSmYQ9O4gqG6JB5aXqcpkZumYYPvFphOT/AN/wbBip&#10;/wKfongPwyfHOHeg+tZGlNCvtVgsQ4fNMHyrMSAn7zBIKPDdMlaS7T223EHelqGVfo+dLKqP+0Yq&#10;1SrcuT4Nvea/o/7Eh8jQf5nw/ULQNqNajlsm7CKA3JEIX3vUTgW+kI1/UaYzVZ365T58nVbz0cf/&#10;1ee8Bv2ubLcMPX1sv70OawnlerZfacHr+Z5cuq9FtytDh7MGvSF3Hut5KDSl52P77WTLk0HeSlE/&#10;Mf0MGuWJukNt1wB1XA8thC/SeCpMxzwL+9FPwUXgY+sNXvE4YtWfZPh4HIH0gP5LqYgrnyCIzyNq&#10;02uI0fwHErXeQti6V+G+6i/wXPdXJBl9gdLzY1F6ZSpyzAif7yZUidLyvUT1JOAVUvUKJdmGMdWy&#10;8phscwPYcv258f3UkMV0m07w0nwWocB7MTIsJiKVO2bl5cmovTQN9ZfnMFzJ2Kc62ul773gaoMeP&#10;/jv4PHqCL6GXNRB5HQMxduiPtGILtsRAhCmaAwxR6L0Z2X5rkMWW/jB8OYROBR+Vl+qXEXpf+VTp&#10;VM6rGAbqf4JPwBuuh1+r+lsuGUSKo/cpbVeGWmSGdG0k/dgtxnXH5Qp4d+zVcIcGvk+OqYrJd91G&#10;hdEjfIaA3wHcu32Qkr+PG34PW+JWxfT3MazcsVuKTvNJ6L7yGxpPfoi0vX9F3uUf0BqhqRxiK0nc&#10;rYKPbbeD71t0bSxCN72AbIP3UHH8RzRz724zm44Wbrgu22WEme9P+AbcGTJcqXou6zDgRujc1qLX&#10;hQHEmbCzupxXo5XVLjsP236h6QTCNx/dNPv1hK5K1C/REGVK4NiLClY1FamOfq8l7iDiD8+A+cQX&#10;4TrhWXhPYPCYTfiWPIGgBVS8+Y8jbPHT8GMa9pr1CIKWvYDwVa8iZMlLCF/2CpxnPYUbi55BqM57&#10;yD72C4rPjOX7TxmCbwNkGpmM5wl4MrG2kPajIFwLeSEbFPBy2G5zAtYgh+Dl+LHV+i5HNuHLu7UY&#10;hc6zEX3iW6Se+AHl58ai6twk1nRCuACNFuposd+MDjdddPrIFP9TuBN0AT2s/tCruBtuRTW8jnvh&#10;rLBLTMNHUHl7J3JvrkemeD++VzpBvw8fSxRQxhWz6DmHPN8D+Iah+u/gk8fk+YdPd3wYPuXvGVZU&#10;4NH7UQlLqEB1rKpb61FO+LrsVlHSCd4NNSofi0lzwHUL4KUL0N/dE4PrvZ+Svxt3HLei+8YG3Lmh&#10;jm627E6reeiQ+W+mP6D++LtI3vMck+f3aIsQ5dvFjc/vICowBF+x2ViEab6ILP13UWbyPeovjCeA&#10;UxT4OmWWMj+DSuEInxTBG/QQGAU+ScESjpaijZ+7xWkVWm4sYeCYhwLTcYRvHrrYWhuoONUKfEYo&#10;S2bqTWbrTaLyCXzxxmiNP4ikYzNxferz9HtP4dYUqtzCJxCyVIB7FEFzqHZzn4H31MfgNOEReM54&#10;Gj6zqHSTn4TP9L/AesLjcF76CmL1v0K2yQgUnhqDwotTkHl1Oir8N6IiVs4X5rpnwi3kes6PpPcK&#10;01SGU3IC1yLTT4OtUA0ZDBcZt5YxZLDd3lqEopsLkXVtNEL032fQ+RqFJnJy1FhUnJuGKtP5qLu+&#10;Gk2Er919Lzp8DqDb7wTuBJ5BX9BZ+r+LuBtsxnZ8leHwMuscFdEEDQF7kee5DplMvgJfGkEX9RPo&#10;BEIFPKVWC3z0KUMAqsKCwPSg/hN8w+Appzo+pH4q5RuGT7yHLPkY98Q6+q8qnzUoc1hKiKh8N9hy&#10;CeBdOZeBrfcufdY9z93ATaqfjz4GPPfSj20neJv5eoIgr7OX6eyExmIc4fseNSb/Yvp7Gpnnv0FL&#10;+CYVfMnD8Bko8JUS1HCtvyptt+zo96hjy2q8NAmt5my9hE8+i5xL0cs228/qdVxDGNeyDa8l+BIu&#10;lrDNLkKj3WI0Oq5AiwPhsxP4xhI+mvPoXaiP1VeUr4zKV0r4SgU+VhVVUIEv4TBSTk2H9ezn4D3j&#10;KYQseAqRq59DxOoXELjoSQTOfQo3pzxOVXwMLpOfgBNvO/D2jbGP4saYx2FDtfRd9xFSD4xA1tHf&#10;UXByLAouTEHGlWkq+CRkUfUFvILIHcij18sN2YjsQAkX9Fd+3PBUvbTby5F2cxGyvOcj32chvd5M&#10;RB/6FP5b/45Eg4+Rbfg1Sk/8jqqLs1B9ZRFq2Xbr7TXR4robrV770XHrCLoIYF/QKQww+fYHX8Zd&#10;v/Pou3UGd28dx90gE7QE6qFA4LupUj2BT5ZKSRsOkDY8BJ9qbI8pVYZOqHwqFXsYQJX6DS/vq9sQ&#10;dMNLFYDDRfmPUY03FckgbKwOauXcBu/VKL6xGN0OAt8KZTaxwCfDLQLfoPtOqs4epktdbvydBGEb&#10;fZi24sX6HVcTVpldIsMkYwnfN6g2eVOBL+nEJ2gJG4Ivhe/N9CeDrR0Eo8RsvNJ28/Z9gOqTv6Dh&#10;4ng00dsIfO2WDAw2bOP26uhyYEu3X0NVZqu9oYEufiY5UUfga7ElgFS/RuflaHVaylY0D0VXxqPI&#10;mgDLrBW2+SpRvSTCl0LlS9FHRaqBCr4EI7QmHkHS2cmwW/g8bi9+FjHqL9DLvcL6O6JXMdUu/xv8&#10;F7yI2wtegN8SBos5z8Fx6pOwG/847Mc/Da95byJG50dkHB6L7KNsuSfHI//cRKRTwSsDNlL1dOir&#10;Ga64gxdEbkcuW25O8HpuYLY6tr/M2zT/viuRcnsp0tlqs70XIp+ql245Dv7b/w5/zZcRv+sd5Ap8&#10;x0ah2nQOaq4tQZ31GtTZaaLecQcaXPXQ4nUAbT5HFP83QAD7AwS80+jxOs46gB5/Ph/AnZ/wZXmr&#10;4BsuUT+BT0rgkzHGR5SpVBF6KIkYGl5RhlCGVUwF18MK95/qYRgVSAVmKqnq1Eg5rquD+ojtKHNb&#10;gTL7xfRZkqSW0/MtRx83cq+cvO2wgeZfi/5rK1seoXPZQvg2E7xNhHQNwaNC0e91KfCNQZvpV4Tv&#10;DSTsehpRB95GW9hGVHOvr0rmTkT4yhgA2mN2syWPgv+6vygH5GtO/4YWgtdMsy5tt81igTJPr8NW&#10;TRlg7rJZjU5l7I9Gm4+1WK9gy1VHh4MG2646mt3U6fsI3415KL46EXmWMxR1bUrYh+pkYwJnjLLU&#10;fahIM1BKgY+tt4VgJpwdA9vFzzBUPIt4Boe0Hf9Ext53kLL9DaRseQvJWu8z9b6LuE0fIEzjLYSq&#10;v4vg1e8hbO0nSN02AjnGk5BjMhEFJyai+PQE5J4ZT/gmo8JvA8GTE5gIH5eiejlsudlB67jRCZ20&#10;Pipeug/TLZNt+q0lyL65AIUecxB78kvcXP8sgja+iIQd/0LB/m9QajIaVRdmoYrw1VivRS3hq6UI&#10;1DlT4d0EQCP6v0NUPAYQ3+Po9T6KLldjdLro83F9NPpSgT3Z6r0JnB9broCnwPdQie9UwceEJOfh&#10;RlAx7gMoCqfydn+GT6WMf6xhAO/DpxzbHVZUwkcoGsIY/R2XooLtq5fts5f+TSZq9tpRcWzZ4tha&#10;ewRACRY0/j1Om6hAGwgpWyHh65VWbbeMr519H75Kk9eRsPsZhBu+jjb6m5owOY2RnyGe0BOIFqbf&#10;tAu/4tbaZ5Fh8D4qT/yCJqbURtNJaLoyQzk/Q2arCHxdAh+XnQxBnUPwtQuITvwMrpu5gjeh2VUD&#10;zY7L0GQ3H4UMLlkMLm1U+gYGDhV8RihPpfdL24dKQlidpI9apt9mVsrV8XBVfxGx619Dvs7bKD3w&#10;CcpOyOmU/0bRwS9QuP9r5O/9Ajl7vkau7ncoPjAGJUcnofDIZFQemIGK03NQfn4mW+IM1jQUnZ+M&#10;7KtTUe63XjmEJt2lMEYmOWgjJ3wIPl+2WrY5aX2ZPgSBAGbcWsqWOA/5TtMQqPsGvNUfY2d4Hqk6&#10;76DY8Dv64jEoOzMDpZcXooKBo8aOHYXdp5oWqNZlF5o96aUJYI/PYfRKeR1Cu5MBWh32oIW2qdZn&#10;G/K91vD9JFEvu18CYhY/S3YglU88IAPQn+CjajwE359V7WH4ypWiH5QlXyuluqyF7tCUKgIgR0no&#10;AcvCt6EmSBv5tgtQbrNQdbqgncBHNSN4PbZy6EoAXIc+buxe2eCOGxX45LE7thoEbwWXS3HHZhZa&#10;r41A41luNOOXEbfzKQTrv0avwRbB97kPX6LM59uOxLM/wmfNM0jTf48t5SfUMXDUX5yAhssE5w/w&#10;aRA6tlre7rAV+NTZjgm922bc9diKHvctbLtr6f1WopHfoZAtL00UNILwxRspM4crUowUACtS96OS&#10;3q8mmUmY4DUl6iHHehpub/47sne9j9oDn6P+zDf0n9+i9tw3qDr1NYoP/Rv5hp8iS/cj5Oh/jvLj&#10;I1Fxlq2d/q6aANZQjWouy/ViZqHRbK5yNluunFPix7Yr8LEKYrYiN5Itl/43O1iCxmrCt0oZ6M26&#10;xdRJAFNvsu0SvmzbCfBiEPNWexQRXGbspic2/gGVx8eh7LRMmJ2L8msrUGW1FhXcPhUMHrXOOmj2&#10;2It2r33opAfs9NiPbvf97ARcB3bbUO+6HZVemsjzUlfBd3sZVXepUgJglnyOAFVl+msIfGyPw4fT&#10;FPAeqNl/hE+eZ8lVBO4X/65yqOS+nCBUKiWvlasMCBQBm5BlMQvFFnPQZcnWa00Vk5nE9oTNdgO6&#10;KfGigH0O69luCR/brQxy3rFbz8fpwwhfjwBL5Wsw/Rk1Jz5CrsELiNr2GPx2/w1N/upoksNrhE91&#10;fNUQjUx9cSe/g7fG00jVe5dK8gNqz49DHX1fw5XpaGHbbbFajDaqnbTXNhs5zkv1owp3EPpOUV03&#10;bRYTN+1As4sm4WMCpE8suTaL8M0gfLqE7wDhO/AH+CoIXi39XwM/S1PCXuVMNx/NV5FJb1V98FPU&#10;niZgJz6m0nyI4oPvcOO/gtTtLyNB60UkbX2VLfldpO/7ECn7PkHJwd/YCgng1WmovToD9WZzCN8c&#10;5Fybg9LbG9lytysTB3IjtJBF+5Eh4LGtZbPkKEamKA49X8at5UghfPk+i5F6ZRTcNJ7BrdWPIYKe&#10;OGMX14/xdyg/RuU7PQVlF+ag8uoyVF5XQwWDhwBYOdSCW9110eKyB02OOxnAdqLeeivqbbTZmrVR&#10;5s6E7UFvd3Mp2zzfh21+GD6VAi7jTiHtWE3gU4H34MpSAtuDNvtf4COYonAPw6eARxUUCMsFPmUa&#10;vYDM10fsQEX4VlQHbkKa2TTkm89QTny+w40ul43o50buJ4B3bKT9rmGiXUvPJeZfjjhw43PZR1Xq&#10;peL0ET5pu02mv6D25MfI1VfBd2vHC6i7tRLNDDfVibu54em7CF9DxFZEmXylwJe0518oZtqtOTcG&#10;tVQ/ga/p+jw0WS5iqJCrUDHZWkutRheh62B1OW3GHUIn4HUq8Gmx5WqgicpdZj4HaZenKfA1KvA9&#10;UL5y8X1UPoFPUT7CV2g3HV6bXkaG7juoOvwx/ecnyD/wBgoM/8F2+zekaj2N5A1PIGn9kyx+3s3P&#10;I2nbS4jf9jdk632J0tOjUHV1EmsKagh9EVtv2qWZKLi5FsWRW5EXqqmAl07wUpkkMwJWK/DJYa7M&#10;wOXIVrzXSmUKVP7NJQg/8hVcVjwBP7XHELbueSRvfxN5Bl+g6NBvKDk1AeUXZiqJt8Z8BQFcqQBY&#10;aqmBUqt1qHNgF2Abrren2tluZTDZQvi0UEPRKHZZjSy3pUj1WoRkJmuBbxhAKZUPlFpF+IYU74HH&#10;20GPJ6VzHzyp4Xar1JD6yQlC0m4rmIIrZCiGS+ViPgIg/6ck3zKm3ApCUBO0CSlXJiGXK6+FG77z&#10;+hz0WC0leBosqh7NfpcV/RaBlMmbnVTFHnqvHlE9wtFtvRidFnPRdn2KAl/dqU9U8G1/DD7bn0fN&#10;zeVokfNXkwhfygP4Qg/+G17qTzGYvIniYz+g+sJY1F6aiIZrM9BkMV+Br5nBolmBT4MgrmPy1SR8&#10;9HlOBM9lO/3edsK3nXv7Fnqb9YRvKcr5+ZMvTkQz101jgiE9H8F7CL5KfoYaVp0Cny5yrCbCbcOL&#10;yny8soPv0ti/hSSdZ5DByt76JJI1HkXiykeQxmUmIUzb+CQytP+CuI1PI3H7+8ijZSi7MhZll8ah&#10;nLYh+/Q4xMtZbJ6rua20kR2yHhmh65AWrE741JDOdpupHGOlxwtgy+MGl3G2NLbCfM8l8Nn5DtyX&#10;PI7AVY8jfO1zSNj6T2TpfcYd4gcUnxhNfzkVdVcWoPH6ctSyKixWoMR8JQrNVqDccg0aHLXRSBVs&#10;sNuKBlttLjVRSW9e4ESwXAie53wkM1WL+g0roCifHNpThRAFPoFkuM2K4u0YqgfwDave/eLri7mU&#10;ktulBE+mkcu8vWICKGAqHjCacNL0V7Et1IVo0nRPRPqFcWi+NB7t16aji8rTy/bbS+C6reRcWfov&#10;tuQ2AtFBL9ZJOOWxViqlXGOl+fJE1JuORv25H1F9/EPkGDyPaCqfJzdShcdiBozdqKLyyYTOsqT9&#10;TNhbEGj8MTzUnkL8zjcI30+ovjgOtVcmc6XOQrPVQoK3hOBR+Zi6W+3kwkCb0emohfYbWgp8d9x2&#10;Uvl2ostdh+1mGzpcNgzBNxOJ50ajiSGnUQaUk9lqH4KvKm2/Al8Dk3dj/B6km40mfFSYPf9A6ZG3&#10;qcL/RPLOx5G5g7XlCSSseRQJao8gneDlbWE63/YcsnY8j6gNjyNi45vIPPw9Skx/R/7ZEcg79RtS&#10;jv2C6FOjkOm2TJmxkh28HpkhKvjSglTwKckyYDGXi5ApbY/tN/32CuS6LoTTutfgteQphLP1xm76&#10;G5KZdrP0P0Pege9QdGwESk9xPVH9Gq4uRO21xShjFV1djFwGkYKrS1HDrlRHH1hvo4kGKQaTGqd1&#10;KHRhe3cjdJ4LFPhE/R6GbzgBy/CLcsUCabOlUQKZHLHYMVRy++F2+6AEuCIu81lyjkYhoSuSY4pc&#10;Khfu4evLWQJfRewu5ZhrfagW0s0nI/H0CDRcHIVm0/GEcBJaLs9Ah9kCtJvPR5u5KBuLCtdCX9NI&#10;g13PdFd7fiKqz45GLVd81dlfUXXyK5QdfhtZe/+CGMLnTJUocp5D+HYRPoJP+MqTDVEfthW++h/A&#10;dfnjiN3+DxSZfK9c7qKBKbHFah5aZfyOLbRZpnc5aKDDUa5MJRfo0SaIm5WL9dxx383aQ/h2oYPB&#10;o9Nd4FtC+GYgjt+lPmQT4dNFNUFTkq5STLrpooZ6aGD7baAip1wdCbeNf+FO8AoKD73BFPsqsg3+&#10;ghydx5FO5Yvf+Bji1j6KFM0nkab9LHL2vozU3X9FCOEL2fAmMo78iOKLvyP31M/IoHeNPfwdok7/&#10;hjTnRcgP3Uj41hG+NWy7q5GuwEcIZEMTvHT/hdzwbHuEMZXKl+UwB3YrX8Ltpc8gUuNZxGu+ghSd&#10;fyFD7xNkGzFtH/gJedJ+j1FlT09FBcNOyZW5hG8B4ZuPHNP5KLdajRqbDai12aiA1+ywGXXKyfz0&#10;mB4LkKrAp2q9ivrRa0rLlxAiEIoCP6IaRlHBJ6fUyQkmSgmMD1UpQRquEpYcuVAVQaTaFQuAMXtQ&#10;IK8ntBUEUzmdkD6sKmYnGkK3INt8GhJMfkb92d9Qd+Z31liq2CQ0XZyORlN6sMtTCeAMtFrMRNPV&#10;6fRnhO70RFSdHoOKE7+i8sSPKD8piewLlB54B2k6f2FSexwOGk+gxGkOWuMEPrZ/qRQ91BL4mzvf&#10;g8vixxCt/TLyD32FqvNsu4SvyZotlxA1Mci0KPAx5dKzdDtpEj62XWm9NNBdbtuZ6HTQ7bGD4Gmj&#10;3VUbLTbq9F6zkGjyHWrYPupTuH7SDVBKtasi9DVUwZoUFtW3KckILbF6SL34C9zXPoGYLc+g8MAr&#10;KD78MgqY1ov1XkHRnr8hSetxJG56AolazyBe+znkG72NFN2/I2DjMwjb+j6KTo1WrhWTfexXJB78&#10;DpEHv0H4yZ+R7jQXeYHqyhw9OXaaRfhk+pIcScjyl1YrikcPRhBTfZcj59Yy5FlNgduqv8Jv2dMI&#10;W8PWrv0akqh8qXs+QLrep8jY9zmyDL9BtvH3yDn4CwqO/46ic1NQeHEWCghfIRWw1EINNdaaqLHV&#10;Qj09YAMtSbWHJvLdmbC9CJv3YsLHInQp9JgCXxrfO13GHJUUrMCnUrlh+BQAlSJEcoRgqJTzPWWC&#10;IoGTy5k9AE9V0m5lKadKKvDxb+TEFZnKXUlFamToyLeajTjusZUmPxKgX1F7agxBlCntU1EvZ2Jd&#10;4G3TyainItbyduWpsaxxqOKy/PhvTGLc+49+gyKmxQIDriy2ppB1j3MvfhzFDrPQGsu0myjHVQW+&#10;PagN1oTHtrcU+CI2vsCW8m9UMnBIamywWsCWsYx+ZQUBZFjhsoWer92OSZdJu8tJG51KbVE8Xzch&#10;7HLfytpBVdyASu4sCQe/QjmNdV2KDooy9FFCtashfHWErkoqcT9aGEQ6Yg2QcuZHeK6jwm19BsUC&#10;3eFX+T3+gSpCVmP8NjK3s83ufAm5e/+B9D1/RwV3sPyDHyNi62sI2/GBcjy37Ox4ZB/5DfFsjaGE&#10;L/j490i7MQu5viuQJ0cNghgygtVUc+ck4QqAAcuRxkomiKJ6MlU+99p4eKm9AP8VTyN8/QtI2PYP&#10;pOx6mzZA5ke+h8RdHyJd/99IZwBJ2/c1MqmEOcdGI/fsNBSzDZdarKTv00Cl5UZUWjEB32DgcN2G&#10;Cs/NyPVYTdUjbARQgY+lgo/Bw4fqSwCHl3+CT1V/Bq+YMP6h+NjD4A3X8Jlq8vdy6QjlrClWhcAX&#10;sR2lDgsRz8RZzrZRTv9VdXIUUx993PlpBI8GlyXjb03XqHxX2HJNZxDK6ag7N5kAjqbyjWAroCE+&#10;9AVKjD5Eru4/ELvtr3Bc8zTho/KJv0zQV8GXrILPTesNuBK+sHXPIdfwU1SwfddcmYZ6S/o9ezW0&#10;3FBXwkYzQ07T9dVoNl+NFhrqNraUVptNbM2aaHcghI4Ez4XlpsPXr0Pp+cmINf438pxmoi55J+Hb&#10;R/UzHoLPEJWETy5ZocAXZYDYI1/Cmyk2Wed5FBu9jOx9f6W6/QPlhu+g1OAtZOm8hFLjdxlGPuRz&#10;7/L7fodiJvUoKlLkro9QeHosShgy8o+NovL9gJCDXyP4xA9ItZ+JHKpJLj2ecvoj4csIVB1DzeFj&#10;Al86K8VfpTZFrBwGF4/lzyBwpcD3Ij/Tm0jXfY8AvocEnXdZ7yNV9zOk6n2OVP0vkWH0I7KOjEL2&#10;yckovLQAZUy/Al+F5QaUW2xADS1KLddNucdG5LivInwEjpU8BOAwfA+XAHgfvocB/F/h4/N/gI5q&#10;JzV8v5R/I/CVxjFFC3z0fY1R21HhuhTJbBVVUqd/JVTj0MiW23aV/ksmMF5fpIzl9d6QMT1JuMv4&#10;mJxNNo+vIzDnJ6CaytVwbgSaz/yMmqOfIWvf23ClqhU7zkOb+EuZzMm2W5GsizrC57r5dXgseRJh&#10;a+mv9n+CyjOjmeKmo8FiIVrsCJqtBm+zdV5bjrqrK+kJl1Idl6DiPE315VWou6aBRq7gVuvNaGOi&#10;a2YQqeHrC89NQLTxZ8i0nYyGRK6TDEOUpR0kfMaoZVUyfCjwJRqjPVwXwfSeXmueolX4K4oMX0Xy&#10;rmeQqfcq8va8iVTtl5DCnaja5HNlxnWm/vu0HL8p6Txg098RvP09VJhO4ueZRgDHIvnQjwgjfGHi&#10;/xznIF/Ow2DCFfiUljs0tpcrp0PKlQiCCGCg+L/lKBHfxf/ttvRJ+C97CqHrXkDKzreRrf8R0vZ8&#10;hESdD6h+HyJ596dcfoLE3f9G6r7vkXFwJLJOTELBxfkoNVuJKut1qLJcTwjXo9p2E6qdtVDiug7Z&#10;9HypD7fdIfgEtv8TfMOwFcmJxg/BV/Qn+KQehk/+tkxeK9N8aLaH4av2ZBu4OJogsS6PQxsTbzfT&#10;rUwukGO8/TT9g85rMOCyBnflfAk7dQJIL3Z9KV9LuK7NQgtVsYOe7c6VCWg89T3hex/ObB2FDvPZ&#10;dncrV4eqUHzfHjSEaMF10+vwWspUR/hy9xG+07+j9pKM8clsldVo5B7cYK6OBjPeNuPtKzTSF7ly&#10;L6xAzSV5fD2aLDTRaqWlKGGjrGhLJkYm3UjjT5B8fRyamLCL02Sc7zDhO4Sa1EOoTDuASnq/NsLX&#10;FroLPtveUIZ8Ura+gKL9f6f3ewpRTOlJWq8geu0LiFz3PAr2f0QV+hfCNf9Ov/UNUgy+VLyZv/bb&#10;9HuT0WQ+G6VnxiHhwPcIF893+hdkOc9DIf1e/p/gy1LAU6MXXM7bTJkKfEtRytSZcPw7uC15AsEr&#10;n0HoWlG+twjfJ1S/T5C08yOk7PmUyvc5QeT32y2t9wdkHRyFvJPTUHqJOyY7RJWVwLcOldbrmXw3&#10;ocppEwod2fZdV9DzMeVK4JCxvj8pn0D3v7bd+6ARvOG6/xjh+m/BU4ZcZJiFryMMRYRPLqJTF7kV&#10;9T6rkUdo2q5NQKfVNMi1keUKoDKVvlfG9GR5QwN9TjKbeB3vr0G3zRp0yVlm1xczETMVUx27zOah&#10;99o0NHHlZ+z7gPCxhd2YrxpklvNlBb4Ewhe0mfC9Ae8lTyNqwwvI0fsY5SdGovoC/5ZAd8oRFLbT&#10;HqftyvStPicdLnegx2Ebum/Q5znwvosu+lz1cNd1L1+ng1a+vtaW7YzqG2b4AeIuj0STXIgn9TDV&#10;zoRB4wiq5HaG3DdEewKVL0gHnptfhffqp5Cw+S/I2/sKQtc/Bc9ljyFU/QVC8By85j/OFvgKgte+&#10;CtdFzyJk87sI1v4A3mtfRzKNf9WlqaiSCaRHf0PUvq8U+EJPsh0SvoJArleBT86RGPJ8WawcAphH&#10;8FTwLSV8S1DC9Blk8D582HIjNJ7ne77EsCHwsYvQ56Wx3abrfcnW/x1yqHj5xr8wmTNwHJ/E1j9T&#10;ga/s2iqUc4eVGoav0nEj8h1XET56TM8/wvcwgMPgKfAVygF/ZUzvj1UYsUOp/wTff+f5JPEKfKqg&#10;QYAJXlE8b8fvRj2Vr9F3LXKvEj7z8eiynkao5iit9Q4VSDmExhaonE1mvwY9N9bhjh3LZr1y9KPb&#10;ahVVUsb9VhC+RbgjvvDMr/QlH8Jl4ytIt6Q/5GeTq9JXE4byuN1oDNkMn63v4ibhi9v0V+Tpf6x4&#10;xzqGhRaLFbjjoIUBt53K9P1BT737NeCxV3WleALX52GAPs99vG9AKOn3bmxGNT9z1vlfEWr0AaIu&#10;/IJGQl9G8CqTTRg0jtBvHkRZ+iFl3K+D8LX4b4PzOjmO+hSi1z+JtB3PI2zD0/BY+ih913OsF+Ax&#10;70m4L3gKrgufhfWMJwneR4jc+SVSjH5F8dkJqLw0BcVsuekHfkQUFTHskAo+OessT9quBA7Clz0E&#10;YJb4P1G/gCX0fYvZhpcgm/Dluc+B55ZX4b/mOcRtfBmxWv9AKn1eHhNu3v6vCRxrv0D3E4oP/oaK&#10;Y2NpkSbTisxE+fn5KL+ygvCpoYxdosRMjfCtRbU9vR+3V74D4XMjWF4yzDI01PIf4LuvfAKfqN+f&#10;axi+hwG8D9+f2q5ANwyeXJxbgY8bpIQQFCUQBKqQXEev7rYGMi7Rs10eQ2M/GW0Ws9BhSSWj2e+2&#10;IYA2BE+Ujoa+25bQyXFd5dguH7Nexdcu498sQ7sZ/SGDSePZUVS+f+PmtjeReHm8cmy3kim8ksBX&#10;8D1bqbZhBp/Dm94mVusl5Bh8jIqTv9PX0fOZSbrdhE6H7egnWIMehuj32IcBT5lFbcgywl1PI/Ty&#10;8W63feh01kW77TbU2WjSaNPgXxyDiAOfIPLsj2iM3IHS5KMoSz7C9z2C0qSDKElj601hy5WjH57r&#10;YL/8WdxcTvjWPIkkOS1y+18RtOF5gse2yvJY8Byc5z6D22p/xy2NN5Cy/2cm2zEMNjNQcmEKSs5P&#10;RP7xkUgz+hax+79CBOETzydHK2RqvMAnl7wQ4JS0O+T7svwXET6pxXwNW67577ix5llEar6KjO3/&#10;QirTbcaej5Fv+DUKjb9jCPqe9uQH3v8ZJYd/R+Xxiag5Mx01F+bSrixGLX1x1VU1VBG+Kos1DBv0&#10;fA7rUGRPpXVcgkz3xVS+efR8w/D9GUBJu1RHpu7/CF/h/wLfw57vj+CxeFuGZIbhKyZ8JQm7UUv4&#10;qm6qIc10NNveKNRTAZvMpioDyu00/3IyUbccV7Vaw5a8AZ2UcwGw224tYVyNdqpNi8UitssFaDGb&#10;jRa2oeYL45B7+DsE7/0QkdwQ7XyPCrb8UsJXmUhYmH7jjv2Im6ufRcz2V5Bh+AkN+xhUXp6NOgs1&#10;NNpsRrOdDrqd5VyRAyxjAngAgzflgkSHcdfrIHpZPZ4HcMfdCN2OemhypIWwX4/SazMQy9QddeoH&#10;NIVtRWnKIQJ4kDsa4Us8hBJpvfR9zYmGKLBfCof5T+M2g0/s2meQvIUmX/efSNn7HtJ3fMqw8Ski&#10;NN9HyIZ3kKb3neKxik5OoL+byqAxG4UXJiP/5BjkHP6R8H2NeMMvEaXA9wtyvZYqQypyOqQcukr3&#10;Y7hgsJDTFjOU2SOLCOEiPr8IRVS+sJPfwHH109wB3kTuzveRYfBvZBt+hXz6yAKqqihergGX+39F&#10;ySHCb0LVPT0DdQwajVeWouHqCgazFfTJGvTMm9DqpIVqJw2q3mJkucxHhvt8pHkQPrbdJHq/JGWg&#10;eTh8PIAv/fZKleeT+nPbLQjfrtSfIRT4JFD8X+ArjperyG8jfKuQfHEUKs+PZHIbg7rLDA30bjKp&#10;U1Stw3IlW7IaWq+vQbslIVRUUAPtbLnNci0VswXKdKJms5loJnwtFyfQi/yCWOMvEXjgS3RIouZn&#10;kp9IKGcIkHG/pLMj4cOWl6j7OvKOfI3qy4RWLnfmQNVz3UWoCJ7XYSqdCfo9CZ33Ydy7ZYJBn6MY&#10;vHUUA7d52/eYshQgu28eQIeHDhrs2EJO/ICwY9+iIVSbnu8gAZSrRAl8h1FCGCtSDzCM7Ecqg5Lj&#10;vCfgu/gJBb5ErRfoq/6FwkNfo/LwSJRTYQoOjUAu/VXV2SkMO9NQKfP2Ls1CBavIdDKyTX5FBsFL&#10;3fcFEgy/QMzhbxF5egTyvJYNwSfz5IbgGwJQ4FN5vcXIoerles9DwKHP4Lfln0jf9SFy9zCtU+my&#10;jH9UjmgUHB5FCEch15DhwnA0Cg6ORdGRCSg/NQO1At/V5RQNgW8lGq+v5XrciBYHTVQ603M6EnJX&#10;wudB+ET5POcTPgKoHGIbTrzi9RhIhuo/wif3/3+BL2HvffjqYph2b61G8gWu7PMjuFJHceUSwCuT&#10;qWjzCNsS5VJkrRarCJ862iyl1FirWCuUK0ip4JujjAM2XJiIhrNjUXriVyRT/fwMPkFrCFsiw08Z&#10;31OuQdwYswOJ50fDQ/15JBm8jeITbJF8r07uqd3u29B7k232FmHzPU7gjlPxjuIeobvnx/sETln6&#10;q0ouVjTIZb//MfTc0kObiwayz41CgMzNC95M+A4QvgOE77BK+ZJ5O9kIrUmGSDSdCueFjxO+xxGt&#10;8QxDxwvI0H8bRQSo9ugY1J5kazs3hRt5AuqvzKYlmIs6pvs62ovqa3NRdnkKco/9inQqXvLeT5FA&#10;qxF/5HvE0HYU3lyugCdz5f4Mn3LSNttvuv8y+sLlSHGYyp30M6Txb0uP/IIyApdzdDSyDv2O3KPj&#10;uX6mouDIFO4IXB6ahsLDk1FiMhllhK+Sfq/m0jJ+LjXUMWg0sju12GmiifBVuaoj14nwuS9ABoFT&#10;PJ/XH+FLYvgYhk+UTxTwPnwP18Nt9w/tdqj9Fkr9aWzvPoRykpGk3YeUT66OXk8Vqr6tjgSGhMKz&#10;PxG+kai6PJZfZgpaLOcrF1/ssFmBNiuZ1cI2y2plKGg2X0bwlijK12qxWJmJ0iBz2s6NR83Jkag4&#10;NVI51um392PU3lRHA4GXuXTlqXpoTNiFxCvjcWP504je/SYKTvyEJqsF6HJlO/dikpWrIfhS0XxP&#10;YPD2CSrbUfRT+aTkZ6fu+hzBgFwXMFCumCXXhj6DwVD5WaoD6PLYTN83HrcNPkVt4GYGDjmHQ+Bj&#10;2KDnK6MSlifJUMt+xJwZD8dFj8Nz3qMIWyVt9+9sdx8h2+gblBnzOxwdi7LTk7jxx6P83FSUX6Dq&#10;XZlLbzUflYSwnN+3gEEp88C3SNb7DHH6nyLO5DvE0r4U+qy4D5/MFFZNJiBwAh4rTZletQqFDCUR&#10;piMQsO8j5Jwagbrzk5Thq3p66CqZOnV1KVVtJQFbgZqLK1B1fhmqzy2kRSJ0plyaLqFYrEDtNXXU&#10;UfUarKh6N7TR6KypXAIl12Ux0glf2k0pAkfPlzgMH1tuIhPwsOdL9l6qlOL5hn3f8G2pfLly5ZDy&#10;/b+BbxhAUb/hIxvFQ/CVDcFXReWLpfrknfme6W0EvzT3erMpaLaci1arxaylaLZYipbrVECqXct1&#10;gmcmireI6riUCriMci974FTUnx+PutMMD6dHIcfkZwTqfYpSR8KZoEejr8+0qY8aql/S9amwWfEs&#10;grb9A3nHf0Wj7WJ0uG1Al9dOdN8ypoodQZ+Ad/skVZDKRvDueh9CL+uO90H0+bL1iuoRvnth5zDI&#10;6vM/ip6bXBdXpuM2Yajx30T4DAnbAVQlEkC5TBnhqyB8zQxgYcdH4cbiJxkoHkXA8ucQv+VtqthX&#10;yKC/KjowBuXHJxO6GSg7Ox1VF+fS5/E7mi9FNavi2hLldzhKLk6j+o2i5/sOcVTAmOM/INp0JPJv&#10;Dnu+odY7VGlUOqkUPxlyUaNCLkbw0S8Qqvce8k7IiVST6bUXKz+10EC702ytgQ67Deiw3YhOeuEO&#10;6818fq3SgdptVD9I02C5nl6ZAUOpDail+lUx5RY5rkSO6xKk0+el+FD1CGCi93zCR/UjfOL7BD6V&#10;71OB9x/hKwjdhvyQrcgN1kae/BwqARxWv2HwCqQYOv47+AS8h+GTK6HXxeqggp4v0uRbZB3/CqUX&#10;fkLpxRE0/+PYXphcCVUTg0fj9YVUOfndCzljnjDytrRcga9ZNsjlWahky5WjHU3nx1EBx9Ccj0AY&#10;vVAW/WOdHEtO0UNRugw070aW40LYa7wE742vIOvoLwp8bYSvnfB13DREp5yHQPj6/U4RQEJItetn&#10;9QmUUoSvX4HvpKJ6d0POoYft966vPqosFyJw31eo9t2I8mS5WoExqglfZZKcSGTM5T40Mn2HmPwG&#10;97WvwHvlS4jaKLNHvmFypZk/NxONlxmkrlHhaTcamcCbLVdTnWnmmSLrrddwI6uj0nItqsxXoezi&#10;HOSfGIfM0yMRf/ZXRF8biZybTLKidmy10naVYuJVAgdbbirhKwyiMjlNh6/eW4gzeF+5rG4tO0fj&#10;1TmEaQlb+0LUmC1lF2Jbpa9rZGttZqBoEftjvQ49jtoMYzvR57GHXWMXWmU6vaMO6uw2odJhPfIJ&#10;X7bbUmVwOfHmfMTTW8Z5zUUC4VOp3yK2XWm9ooCqSvJaIr+3S4X7U+WHbPtv4bsP4H8LH2H7M3yS&#10;dum/yjyXI/Tgl0g5/BkKz3yH4nO/sv2ORfWVKcoFahrMZfLiAgInAC4kcIuVditHI6RqLy+gOkxG&#10;8WkmZqbWhjP0jLxdSgWM2v8lErmsidypXCslL2U3ylOourfWwHHDa3Bd8wJSD/2AWuuFaGXbbfPc&#10;gTbvfQTwMO7cOkHI2FZ9CRjDRj+DRp/UbRbbcn8AoSR8vYHHcSf4LO7IRXP8DVF/YxXCDv6IKrlq&#10;QMo+5aTxagJYyZIz2WpS5TotexB+YiR8tzHNar+H7P20HKenUvUXoOb6Sm7gtWjhhm6ij6q5sgKN&#10;DFotNmLktdBsr8Vgo43aG9tRa6NJNSSAlwjg5UmIuzACkeYjkUmVyVCmKA3NEhb4qHzSejOCCAXb&#10;bhFbbqblWHgw6MTteRM5Rp+j7PhvqDwzgf9PzteYjtLzMo43G2Xn5jDwLGQYXMqdgRAS/DaqYbcz&#10;PbKnLjuCAS2JIbvCfrR77ES9uxYKXdWQ7bEUKYQv3kvAm6csH4ZvuPUmeMhyiUr5lB97ZglwUsov&#10;j7PyqH75fLyQ8MksFzleq8x24cYVAAt4W05SVh3tkNpN+OQIh2qcT7l8Q7wEDiohYZChllL3ZQg5&#10;8AUSD3yC3BPfqOAzHUvvN5krfiZqZU+8Ngf112Yrxluq8eo8NBG6ugtzUHFyOoqPjEY+01nJgZ9R&#10;epBt69D3NMs/IHzvhwiXiz8ScvkJrOIkUcC9qA7XgtPWN+CkRqNPday+zhbvuhatHtvQ6qWPDvnJ&#10;0dvH0M+2O0jvd+82W++tYwp8d/n4YAAVMeCkcqpgt+8hdPufwx3/M+j1PYAW142IZBAo81mNymS2&#10;e4aLiiQjpWoIXwPVsJnrxu/w97i9napDlay8OJM7lbS59Whx1EInN2q383Zl48o8QmUmjcs29Ljv&#10;Qa+7PoORAZo89qKBzzfe2IQqWpFC89mIMx2DKMvxyPCh0fdbppyVlnF7GVKk1QZR+eSIhz/r9kqU&#10;+tL/XZULo9P7bvkrMnX/hSKjf6OEwaP49K/0wiNQeILh7fQ0lJ5hwj4/jx5vEf0d060FlZjq12qv&#10;jXZnWhUPA/R4G6HT0xBdhLHeTQsFDBxZniuoZgLffEI37PdULThZPCArkSk43mOeAqHA+Eh+qDah&#10;2zIEn7RdJl2lVC1Y2vH9w24ETy6hXyRB5H+AT8CTC2OX0H8VsyR91kYJfMsRcugbpB38FDmEr/A0&#10;Wy8TY6XpBG6UKaypbKmTUcG2Wn52AkrlXAImwVKT8SgwHoPcfSORrf8DV96XyN77FbL2fq6MU6Xs&#10;/xQBO/6J4P0fsr1vHzqJaC+B2KsM8XjrfQiHVU8hTvcjmvgZaHFmS3HXRou36jIQd5XhFIJH9bs3&#10;1H77fI4xiMiFyc8qLbmPr+m+fRhdfueUusOU3MK9PpIbLtdtMRWP7yfwydWiCJ9cNaqRbbeBO7D7&#10;vk/hvfWfyGRAarFZiU4mRPlFyW5pY5570UXQ2nhfjp50uMrjDEOeeujz4gaWs8O89dHktovJUout&#10;fhUKzOchlmEn1noysqh4EjRkprLMWkkIWI6EkFXKbOZcv9XIY7qsJoBxJ7+Gv/aLiN/+ErJ130QJ&#10;11kpd9aCI18j9yB3YCbfIhMJPdPpP2ej+tICwreE4YJqLMfAbTag2WELOt34mb0M0MGdotVNB9VO&#10;m5DnrIYMwpdAqOIJoCwTlTE+8XyqUnygKKLHXC5liv0igU8uobVFUT8BrjCMcAlghE5Khl4EOgU8&#10;GYp5CL5h8ORChMrFCKl4JXGifFKEL57eS05jjN+DBgaOcq+VVAoGDpMvkHfsGy6/QQHvl7Fdlp9m&#10;4js5HiUnxnAFjORK+Y3t4Wek6/+I5J3fIGHbN0iU2vklknQ/R8qez5G8+xOk0PDH7nkfPpovwW/3&#10;WygP2ohqBhy5XEVpkp5y2bQQvofN8icRufN9Ku1UNDmuVn7FqMVbl/AZ4u6tQ0y7Mq7HdupzHH3e&#10;Jty72W6phgJeL4PIHbbjO34m6PA/jzb/s/w7YzS6bETUqVGIt2RQkCvQE75yQldG+CoT9qMxcR+q&#10;AzThuPsD3NZ5G2XmM9HutBYdTlQ8uSLDzf3oYnV66BG+7dy42oRNJq7uZu2l6umj3UWfn5MK6rqH&#10;loHBhv4wjyk4hjtsstNs1RCLDDCzUnk7NngF4sJ4O1gNeX5qqPBVZxqdh4C9byNy9xvKEE+OHn3f&#10;vn+jyPBr5BnJ4bRvkX/gN5SYcEc/xbR9bhbhm8cuxPZLv13HRFxnqYYG2/VodSKAHrsI3x40um5B&#10;mcMa5LLtpnkSfPrPJLlQuOLxRO2GlU9VAqGANxxEHskL0WSL3UwAtQnetvvh48/18Bjg8FDMsAeU&#10;Gk7EMgaoTDolgEVxe1HIKorbjXq2wjLCF32crfLYVyg04Rc/9AXyD32LErau8uME8Dil3+R3FB3+&#10;lSvlJ6Tt/RZJOl+xvkbGnp+Rt+935B3+naZbxqV+Q4bhN8g6wNfs+wy+m1+F745/Id99Jaq5A5Sn&#10;GKCEPqySYSfx2mRYL38GodvfU46T1tksR5OLJtvZTrRTVXpvGmHgJhXQ6ygVZ6huHiOUJxTweqiC&#10;Pb7H2XKPoSPwPFoIZJvPPtQ7r0M0d5zQC2NRo1wyQ65SxbCRQt+XTDgJX6nPOthsfQcBuh+j2oZ+&#10;02kNAdSiwukoF+CpdyJUdnLYTgv1dlpol/NFqIidbtwxXHV5fy/aqIDNztyhr65B/oXFCnwJV6eq&#10;rhAvyZbgZVDpUlmxBC82gjCErkYB4au/tVr52QYfpv1kQ9odo8+QayD1JQoNvyeEUrQxXK9lhK/s&#10;1CRUnJtO+GYTPhlrJIAMJfVWK+g/1Rk0NqLNdStD23aq3kYU2K9ElitbrgQJgY/tP4ktVcb1htvt&#10;g+LzSvpVteWH4GPvDt2iwKeq/wrgcCkQPjQG+Gf4SkQJqYICXgFBKCR8tVS+EgaO8GP8ske/RtFR&#10;Kh9lP//gdyg89DOKD4/glx+LiuPjVCXnDxxj2z02CdWn2CrpQdqvEBqm3iarRcpArNKimXoLTo1E&#10;lP7HCGJbzbBjaKHalhO80lQjVCUbIMdhESxXPo+gLe+gUH44jym6wXEDGty2oU1aH5VHJg/0eR5C&#10;r9cR3CV40nJl/K+XitfjY6JcGqKbqbcj8AzhO8aUTB/mtBrxZ0bBjztUbdw+qt9+VKYeRjHVryrt&#10;ENuuIfJdV8N8w+sIYettuMHv4LIad9w3s3bQe+5k69YjWLvQSNVrcdqONhcd1k50Ulk62Go75NwR&#10;mvxWF3YY01XIPTsfudfYtq7PQp5choy+Lt1fJhNoIDVEHXERq1lqyAwjfLeXo9pxLv3mmwja8QZy&#10;uM5Ljv+AAvHJxt/RyvyogJdHK1N0YASVbyxK2H0qLsxANb123fXF9HxLUW+5nKq3mnZlPT/rJrS6&#10;b0Gz2xaUU8XzbixHmquoHeHzIXRUviRvBgqmWRVoD6CT5fDtBM/5Ah97tly5kgCq4JOLCj5QwIfb&#10;7v3WOwRfsUAnj8lzBE9CiVKEr4jwFRC+fCbeQrbdGrmSkvdKhJrwSx/5DqXHCZwJQ8Oxkag4MQ6V&#10;Jyahhoa39uxMNJnOQ+ulhWhj9G83W4kOCw3csd6AbiuZXbyGfomti3thCyGqk58DvTYL2efGItz4&#10;WyTK4bM4fVSkGarm2BHAIi8NWKm/gkCtd1FwfAxqZU92WIcG7sGt7tzQrrto7vfSYx1gkpNL8R5h&#10;0GDY8DchfEzDcm26WwfRxcDRSQDb/Q+j3XMr6m25ck/9Ah+a97pouTSGMaoyTFCSdpDvS/iofum2&#10;i3FxxV8RYfgxlWM6ut2W4q7nWgaNdWyj6lS/Xfz/BNlhEzcuQ5CbQLmDrU0HHQxFHZ5bqM470O62&#10;FaVXliKXgSBP4LOci4Kg9chm5QRtYNvVQErwasSErkJ8xCrkhKihiGqUffo7eKx5BhE6r6PoJJP5&#10;+d9Rcuo35B1hJ2FgK2D6zthD/7z/exQeG42i0/Tapgwd19hurdXQaL8WTTc28LNpcV1t5c7Cz+i9&#10;E82e9PAuGsh1Xo5UdxV48bcWI0Hguzk8licpdxHk/A0ViKr7KvjmPQRfqMAnrfcBfFIC3HDY+E/w&#10;DT8+/DrlDDeCV8S2m08flM+wUUD4qmL52purEHz0e+Rwzyulrys7OQY1Z6eg8fJcNF9ehLary9Bh&#10;tgI9lhroZnVZyny+jbjDpNVlq40OtqZ2203KoGcH/Ue77RqaYbZZq6UouT4fkTLX7eRoNEXT/Kcf&#10;QEGaEVVoP8r8N8Nu/Ru4vf4t5B4ZhSp6mVpbddSx/bXSY3VwY/dQhXq89is+rO8WfSDTbN9tY3TT&#10;E3beNCAAemin0W67yRbopcukqkEfNAMJR7+CF71mVSitRdJhVKcfQ0n6EZQp8B1AIsPBmUXPIlTv&#10;dVSajUKXy0x0u8xHjdkMlFyaiVYqSafXNtTeWEdV0Vbga/fYgS4C1+G5mZAzFbuvJaQbCMRCwjQV&#10;eWbzkGqzAEUUjLygTSgM3kTvR/iCqHohK5EQvgKFhC/DcjJ9rsySeRzRO//JTvEbWym7yYUxtC4C&#10;4E8oNP4JmQZfI5uhQ05SKmHwq6DiVVtp0AZootmJwFGNW+nzWr32oIXVfHMvarlzFLmoseUuRYrn&#10;IkK3CHG3WOL57sP3YCqVCrrh+l/gk6T7sPo93HKH1U5gk9Mjh9Pw8H0JHvfho/IJfJUxO1BxWx1h&#10;bLtZAh+/aNXZSWi6PF85WVy5MsENTfQxCd5lC+olcHfsWA7bWNwQdlvRTm/UdWObarKnnFfB17fY&#10;radnWo0y22VIPDcJfsY/oJZpvTJV4DNGYdJ+1ETsguPm9+C95nVkHfyVe/ZMrtwVqHPYSJWR8zJ2&#10;KCeH36EKdst5umx5d7xo+JmGuxlK2j130+fooNGRaue8A7VOm9FgsxTlpqMRvOtfsN/wV5T68rmk&#10;QyhPPYLCjMMopfrV0f9Fm07HyTlPse29yg37HdPuGKr1KJScH8XPMQVNtqvQxnZWT+PeTA8lCtjo&#10;SBV0Zbmt486hgVqHpWzJK1F+ZTYyToxHvsV8pNkvImCbkeO/AUWBm5Dvvx6ZQWsRL0k3Uh1FfssR&#10;Rnvjq/E0gjc8jfi9b6Dy0ki20clM/BNRfO53FB7/FSVHfkXx0V8Y9Eag9NwEVFydRejo7bgjNDnt&#10;UIKOWIMWWpMWLwk/+mjwoq1x3sKUuxwZbLnJhC9O4GPFU+USpOV6ybR5mbsns1hUU+jFByolADJ0&#10;PJLLvUbgK2DqFfhUqXcIPqbfIvF+LBnvu3+4TeBT2uxu5ey04aVSBE9OHpdjvPlxeoRPj22XqVNO&#10;nwzWRPyF0WwdDBhXJtLMzqWKrVYuezsoF/3ml7rL6vNkCOCX7XXby9JDD+uOM4Gg6e6lQZfqurET&#10;bQSySTlheR033mp6oVnwMPgcRd5rlA1fTN+VT/9VG6sPD53P4aXxOtLpcwpPT0T55XmotVJD842N&#10;yolBHY5b0CVnrd2gErHkUhldXMHdLvSFcna+zFsjsOU2a1HjQFjoOzOP/gBnjRdwZdkzKPQkNMky&#10;leoQCrMPo5Dg19LzRV6YghMznoD/pldRfOoHVF78Cbkm/2b7/55KNB61prO5DqjCTJPtfN9GKn3t&#10;9TX0patRz3XTaK+GEot5VM3ZVKrfkX6UoctyDjJdFiGXsOWw3RYFrEOR/zrkB6xnylVHVuRapN6Y&#10;AS/tf8B/7V8QseUVJLLtl1wei0rz6dxpJqH0zBiUyZUJaEOqpE4yNJ2fgnqGDDm3pd1FS/GerQw9&#10;bUzdEnra2BVabtJeeNLncx1kOy9Fhlwaw30plYxFtUv0pgh4qUrUT3UsdxlhE/gelMxyHoJPpXri&#10;+RTwlMFmwifLYBmAlmuBqEoAfDhciL8bLtUk0mH4CF6sHvIIoAQPBT6+Tyr3umymryrzqWiwXIhu&#10;Gv9++h4FPO999FvG6Ke/6pfxN5nQ6W2MAd4e9OZ9D0P0OO+lCtJzWG9DoxWhsNnMDcTW5LIOZVYL&#10;4Mnkm2Q1Bw00/wJCUdoB+k0D+Bn+AseVLyNe70tkHZGz/pnsLrH9XV9JgNeiwXot/x/3eELQJCWH&#10;uGzZCu2pRmzztYShymI5KqxlAuU6ZbZJvMG/cWPFs4TvWeR78nXJB1GUehD5hE9afm2yIeJMp+E0&#10;4bu97m8E7luUn/mO6vsxCkx4Wya2npqiTKJtslBHLyHvukHFsZBjqBq0FGztBD7/0lRkE5RE3a8J&#10;3whkEqBM94XICVytHMHIC1xD9duAQnq/7LD1yItYj5AzP8Fj7d8QT2VOMngfWSYMGpfGo/jKVKre&#10;JMXfFR8ehfKjY1DNcFdDRa07x23ClNt0fTkBXMtkvo1ejzs5/bBcmarj9n40+eiihjahyHkNslyW&#10;8XNQ2TwIm+cD6KSSlPojcMOlHF6jWippdzjpDsMnsOUTOgW8IfhkosHwZINh+P4M4DB8ZYRPfjCm&#10;kMZfgU/GwOJ2KZfMSCZ8KSd/QoXZNHqv+WjjBu7hHnbHTZeeax/6aer7b8swx1FlZkmv50ECqJpp&#10;0uNmhA4HXYKxlUlMi1BsRaMtW6DARwNfQfhuG32BwGO/stXuVIY8itONUB1vgOiz02C+6C8I2fE+&#10;ko2+p2qxzVxQfYY6QlVrsZLqswoNVEMpga2WG7+Bn6+BqifK18gNUidnr9ltoHrMQqLe53Bf/VfY&#10;rn4Jhd6aqGPAENjzcg6hgO/bwLCTdn0uLs57hvC9SOX7FnWmv9Ju/IDq07+h0oRt8OQU9PPzy+TZ&#10;AW7sblsqjuVG2oot6KXyNlquRM758Ug98D2it3+MnNOjkWw2HhlMi9mBK5AdIj8xsIbbbSNFZCO3&#10;0Qbk+KyA5+73EKT1Blvrjyi7MIrtdAqqLOeh2mIBqq/MQznXR+mxCSg7SjVkyq0+Nh41pyaj9vwM&#10;1F5eqJzR12SvyRROz8dA1kYb0u6rhybfnai+KYfUViGTqpdO6FIU4Kh6D5W03eHjuVIykVRKdXxX&#10;DrMtkEHmh1Xvv8KnlKjhUNuVUsb2CJ7UH9RPVI+l+olNfUKnz8ChT8+3l4/tRE3YZiSZT6ZJ/w4l&#10;XBll3MsaGSw66OE6nHfTZxnQ6B9mnWSdoPE/RiCPopd119uEnuwg2p30CB0NugXhsyV8djI+to4r&#10;SQPl9EKBxl/Cfc8nynXrShL1UCzXykswQAoT7rl5T+OW9r8Qb/iVcuZ/xaUp9F9USavlVL6VhHgN&#10;k906pRrs+T/ZkltdtzB1bkeXXLHAjUrgtgsNBLDq0jxkGn+PgE2vw3XjGyi5tZlKdwAlmYcU+Ioz&#10;jNHM1ptnvQjXCP3t9c+h+OTXaL76O9qvjUXbxfGoPjoKNUfHo/saE72ZBnoJXrs5g9T1TRjgDtnv&#10;Qn95ZYlyplyK8XeI1fkIRZcmIP7aaKR7zyN8ywge1S90DXIiNhHEDShmpdnOhvOmvyNJ7zPUXp3M&#10;dbsE7c5qDFbrmLI3EOwNkIm67VT9Nvn9uQtzUHdqKipPTEYld4bK83NpiVYoFqCRStxMvytho/nW&#10;TtT7bkOFN9XVdRnS3Zcgle02WYAjWAksWQp4MtSimsXyoMTvCXRxbvMQ707P98DrCXgSNlSH1Ybh&#10;k9Y7nHyH5/gNz2wZPrqhHNl4qOTnruSHAgupOAp8CXqEUwd10Vu5YmYgXC6CeHYk8ukxas2Xs+3R&#10;XAuA7rvRddMIdwhdr4yxsWSAVwZ6ZcBXQOxyN2Q72M12yABgL0cFtqCJwaHBTg1l5myFx36Gy/Z3&#10;keWwCJVJuijPoPJRgXLdN+LMgufgoP4ygnXkN2x/QM2VyWi2ms8Wswot9hrKcIIMaQhwLa4ETa5O&#10;5U1/6aPH9KlLCHej0W0Pk6k2Ss/PQbLBNwjSfhve2u+iwldL8ZkVmYeRz/cso/K1MGkXcIe4sfwl&#10;BGu+qAyut14di06zqeg2m4XGM1NRenAcKo7OQM2ZxWg3W4871tq4a78D96QT3NiCivMLkEe1yzjw&#10;E1L0v0bR5cmIucr7Nxcgl8k2P0RDgS87ShNZoRtQSv8XcuRHuK55BWWnRvJ7LUavzyZ0e2gySG1h&#10;h9lOj70Ddxmw+p23ot9RC720HTLK0Hx5MeovLkSN6RLulKsZhmhpbtBXM2Q1MYzV39yGypuaKPKQ&#10;lCvnakjYIHAELYFwSangk8cFONW4njKNfmhCaYLnAuX4brzHn+BTJV0VfAVUPwU85ZDbf4avkPAV&#10;ET4ZUB4uGd9TrloVTeWTtkv4chPkwuA76MN2INt1Pvz3voPYw18ig56njGm3nn6r6cZmZWO3eOxF&#10;q/dBdLHtdvuaoNvnKO6wem7yvvcRdHkZo9NDn5DwdS670cIE2kSFqrNZiTKzOciiStza/SFiTMex&#10;DRK+zP2oSicUIbq4ovEmzJe8AN8t7yLtwHeqWdSEr9WeiZMGWjXMwf9JD9rCHaGNPrTz1n60++xH&#10;q+deNLL9VBH8MvrM3NOz6B+/RihBvrntA5TfYliQH11mys1P1kdViiFaaD+y6KN8NP6JmC2vofAw&#10;4WPQ6pDfAKESd5ovQ8PFBag9txCNpqvQabFJAa/fgR7YkV7LaiMqLi5G8ZnxyD00gvD+juKr0xDD&#10;tiu/pZEXps7tpEEI1yIzahMywzaiyGsVXDX/BT+tt1BH1Wt1UecOrU3V3srOsQt9Mp7pylDHANfn&#10;tAt36en6HLfhjp0mutj6262o/NfXMhVvYIfRZgdginfcjjoCWO25FcUe9JWubLeuC5EmCZZQxRGy&#10;WO+FyjJxCDJJwKqxvT8ONMuRDRlgVgaZ/wgfYZPWqsAngYMtVhLv0DCLgCctV7nkPkt+YVvOzZVT&#10;JJXTJIdKAkdZ9F4UMnDkMunmxOsq8DUm8e+YfHx130DIvg+ReoJRn6231pr+4sYGNLnwy7pyL/Nk&#10;smLQ6Lh1WJlv1y1185Cq+Hj3TUMu96OTqbiJ8NUwHFRaLFXgK7w4DpHGXyPw6Pf0mdtQmkbVTdlH&#10;8A/CfvuXOD/nGbhveBPxez9H7cVJaKZatspwh5OM3Muwir5qWMFTj61mH3cEQuRlhEYmvmq2whIH&#10;fgcLTWSfnY3Ugz8j0fhb+O7+BEXuGsoJ4tVJMrYoFwinQY/WRfKhkQhc+wYSt7+B/ANfovHiRHRe&#10;X8iNraFcg7pTJnBarUeX1Sb02G8jdLtxl9VtR+WVyZtsyZXnp6Po8O9Mo9NReHkaEqymcbuspQVa&#10;x+7EsBGyHunhG5DBSrCcAZvlLyKOfrTBajp3onVo9dDmzrqD/ll+YsIQAx5G6Hejv3YzQL/HfhaX&#10;rntwx4FKT9ja2VGabLcp9qbBbgd9LsFz2IEyVy3kOqkj3WkJ0t1kwFgOqRE+gqWCj3Apwyh8zktA&#10;U02pUtXwcd15yv0EPq+CL2So7VL5CsIFQJnNMgTdEHAKdEOKlxe5A7nROsgnfPmxu5TDZwX3S1qx&#10;CsDCWF3kMulKydULGpMI6W0N+Oq/SfV7G0kEpEROY7RaiRbC16zAtx313PDNXvpoZbRvu3WAEB6k&#10;Ah1A1+1D6GRb7mZ1Svri6+QaceXmK1F6bQHKzWaj+vIkpB7/GTf3f0YDvgZlmXKM1xANiSbwNBiF&#10;YxOfgP2ylxC2+R36m9GovzRTdfhIRvFddNFGVW1lNVEhpOpc9qCKMFQQulLCUci2mG+2FjkX51O5&#10;xyPzxO8IYzvMtl2KzsQDyk/Ll9Jm1CXoopPrMWrXp8qpkelbXkfxwe9Qc3Gyck7KnRua6OWOdsdz&#10;N3o8dTFAv9vvSSDcWS766CYArZbcIc3VUXF2JkqZissvzkLKmQnIdKQahm9GTqQmPR9DhvzKUKQW&#10;gdyI4IM/wG3lK8gxGUHFoqp7aaHDSwcdbjvRS8jkdFA5EUpOkBpgdxn0OcKS+4cwwI5zV47yeB2k&#10;/z5Ei3OIFsQIdU57UeG0A/mO65FmvxwpjkuQ5iHjeQwOhC2eFSewEUKBL5HwycSCRLZYGUxO8JSZ&#10;LHO5nEOvJ0uBbxYekd/aL1RmtagqX64mFbFVBd2f2qxUvoA3DB/Bk3oYvALeL5ITxtmS89iScwli&#10;LkGUy6fVcoOUBGyAr+HbuKX7JqKNv0DB6Qmov76Ue5pc7XIT5X0Lamnq6z33oJFtr/nmPrQQwlaq&#10;XauPMdoJXjtXYgs9URNbRjVNcZnFCpReX4Aqi7lovDIFOWdG4JbhZ8pxxrLsfShJP4C6xOPwOzwF&#10;JhOegM3CFxC09p8oPfwbW95UZbp6NVNtC1tqKxWgVf63C9M5W02lvTbKbFk2W1Bqo4USJtFyKlWV&#10;lTpb4HwU0LfGGv6I1Kuz0RIps2gkbO1GdSRb1U01BGu/iaCVf0HS+peRb/QNSs5OQhVDRPN1Kh6B&#10;bqPKdsgvbd46wpRPIAjGAAGRqyO0CXxyYjb9ZcWF2Si4MBORJr8j10283iZkRG1Gepgmtxm3Hf20&#10;jPd57vgQIVrvo+ziFCr1Eio3wxL9aifX6R2qd5/AJ+em0E8P+MsUspPKNDKl/E9j0I8VcJZ1AXdZ&#10;XbdPo4HKX+66E7mEL9meKdaRbdSd3k0gotopABK2ZOXQGtvusL/zWKj4O4EuwXO2UnFuclvm/M2j&#10;8gXLfL6hYvvNC9uCPAL4cLotIID5UqJ6UTtU9RB8cuy2kO12uGRigQw8FxC4PIIn8BXyMZlhUhqm&#10;haBjn8Kb8AXv+5jKMRJV1+ax9a5ENRNmtZMmalwo95672H510SgTFt33oJ5ANEor9CR4BER+mKTW&#10;TpvwbUCl1SpUWtMk28js5xkoNh2LoMPfINxhJsFj4qUPq0o4juBTc3F40lMwn/8CfKgOefu+R+Xx&#10;8agynYcK81Wos5IjF3KJ1y1M0FtQQ8Ndba2JaibqOhrvOuftaHDayp2ERtxhHWFfQiCmIt7oJ0Sf&#10;Go8y7w2oidyFWu6E5f5shVcnIEqH/lLnHSQyfcbt+ABJB0bQL85D9RV6THs9NLlxZ/IxYbg6RRjO&#10;YYAb/57MoJaLbluL/1pOteTr5aKMZ6ch8OAvyPeWay2vQ2qMFpKZcvOjaZOofKlUOhftt5DOcFJj&#10;wXVKSNu8qXpchx30x91uMoDPlntT4DvG91PNV7wXeA73gs4TOL5/4AXcC7mEe2FXMcjqD72ErqDj&#10;aLi9H4Uem5HmtALJzgTNTVRNBZ+onYCotFyCp7pP8NxV8MV7zGbRI3Mp8MUy7ca6L8MjeTJdnpVL&#10;+PKofDmsXLbffAaMfEm9Q+N7eYRQATCK0EnJLxsyXEjJvL3ieLZWKbZYGeerYMn5HPm8rxrrow9M&#10;2MXntiPi4g/wMngXfgYfIuXELyi+Mp0QLUXljdVsbwSQG7fBXbzfTjS46aDGaRsf24Y6Rv4mmuZ6&#10;3hYgKq03UrHW82/VUMW/r7VZhBabWWzBExFx7Ef4XRtHz8fULacxJpxA2KUVMJzyDC7PexHuy/6G&#10;tF2fo9j4V5QdZ+qUS0HIWVuX1FBttg51VKY6CwYZqk+jcuVNpmrXrWhkIq6V8T47ftbri1BgOhXZ&#10;p8Yi8exE5NktpeFXR67XSqTbzETs8R9QfOpXlB/5Afn6/0bq/m+4s01G8WV6XJtd9GAn0S0TU/0u&#10;oT/IDIPBrMCLyhlzHS46qLi2lDvmAgW+yotzkXZiAnz2f4cCX7n8LVUoXhvJsVpsudq0SBsRdmEk&#10;nDb+E7ly3UN+lmYvOV1AB63sEO0MF3cYNKTtKm1Wge8EBoMIXsgFvvcFDASxhsBDxHXcizTHvSgz&#10;9EacQaO/Ib8bldZlJZJdVMqnap8P4BsGUJYCWBwBFfji3Amdu8A3h4/NRbTTfARZK0c4CBsrh603&#10;J3SrUrlDwD1cD+DbQYkneHLehszZYwl8KgBZBE2GWiqH4eNjufRA+VTHksQ9qGDiTbGbAle9t+Fv&#10;9DFij3yFnPOjUWY1F8X8QKVMrVU31qNervzuQePrzvblsoWPUYXok2ocNqOWVWm7EfIDJfUOm1Br&#10;u5pAyDjdUvrHaVSj0Yg89A28CXYljX9J8hHUJJ1DJFOc7qRnYDr/RdxiCEje9hGKDH9C1Qm2QrY2&#10;OW+h7vJK1F/VQKP5ejQQwpqragRRDQ3Wa1BPZa4neDX8jLW2yxly5qPk6nSl8i5PRzZTbJr5NCRd&#10;m4CE878h5dRPKDtL73X2d9Sf/h2VptNQarZYuaJnt4sxFeg0um+fQ8fti1S/8+jxv8xkegrt7kbK&#10;5cfy+JlKL8nUsbkoODkVcQdHwnXP5yi4Rc8ZrqmCL06brXc9ivxWw0P3PXhupre8Mg1NThpo996C&#10;NrbbNudd6KR37aOfHGRgu8cWf8//GME7pcDXzxokgAMCIOEbDL9K6AQ8VvQ13I0+j8aAfchj0k11&#10;kVksVDgPFXwCWpzHfCoZIeNyGELlPusBfPR78jrnBYh0mAebo2OofEyzUjlSVDupXAGNJeFD2q7c&#10;VuCj1xuGTzlhSH5YWM7TpckuidO/X6VyBhtbblGc7tBQC+GjJ5TzdysJX9HNZXDSfYve70NEHvgE&#10;aae+R6HZZBr5GSixWoIqO3XUO29Es7s2awsaCWKN/UZUWK+l31qDKnu2WipeHWFscmYLdCQUN+iN&#10;LOej7NIY5J/+DTFGX8Hd4EsUB+ugMuk4ahIuIIp+TW/qs7i86K/wY+JN3Po24fsGNafHoc50Btrl&#10;OjAWq+m1qBh8bZM5FY5ps/76MjRaraCycsfga8rM+D5M1gJd0eUp3NhTUHBpKvLkN3CvMBBcGYMc&#10;05HIPfcr8o79gKpTI5Uz7eSE9To7NWXgttfdkC3wMNq9jqDN5wSaPU3o/U4yHPC+qwEqCX/BOe6M&#10;pgtQbTofWUcnIFz/RzjtYLK+uYbhkCrEtpsYQSCC2YbtZsBe/XkEbWeQMp/NgKGJO9670eG6F51y&#10;hS1XfdwlfPcEPoaLe34EMPA4+gNOoose8G4gvV4o4Qu7iHsRlwmeAMjWG30JfdFnUeu7F9lua5Hq&#10;ysDBdpr4EGgPw6eEEJbynNJyVfDFSrt1nYcoh4UItJyJQ1qfCXwMD1JhO7g3qSo3gm2V9bDvG/Z8&#10;+fR6BTK+R/jk+K38mHNZHBOeVKyBcmRDptJLAs5jqxXwclh5MpOZVcm2WxWwBq5734HH7jcQdYCt&#10;99gXyD4/AsVUDQkO1Xar2N4YANw20fxrMgUziDhsQIXlapRZqqGC6lNpSzBkBgg9YoMD71stQ9a5&#10;icjmxk43/hoh296DmfrfEcG2VRljgro4UwW+fTOew9UlL+HmmlcRseFvyNT9gG33Z27g8YRtHtro&#10;H7voI7tsNJW02Xh9FRro7RosFjFNz0eR6Uwq0hTknp+AvAsTkX+Ry4vj6MfGI5+A5ZuORv7lUSi9&#10;MhLV18ai6PSvqDw9Cu1M4S1y5pyLBoGQn83XYxkQNn1lHLFdAhWNfRuh7HQzQIMt1f7aGtReU0M9&#10;1TLt4BgE7voarts/gfxucaH/Bu7826l6G5AVtgbhx7+Hw+InkaT3Kaqvz2GK3oZ+733oJnA97vtx&#10;12M/BliDfI97Nw8AtwlgwFH0+x9Fi7v8mLPJ/fOS70XQ90Waoj/cFL3h59AZegzlTMyZ/Oxp7suV&#10;lpsoUBG2h0sAFOgUAOUQGoOFnLMhqqeCbwHhWwQPrrcNc15j4CB0eazcIeiUipSfzmRrJXBSEjiU&#10;tCvje0rLlVMmZfIAQWMJfGUKeCr4igmfpN9cgY8+UAAsYAKUa/ZVUjnrQjfD9/DXcNR6GbEHP0Ty&#10;0U+RceoHFFyeiOJrs+nlltHUa1DV1rMIgJNcenUNASN49HeVdhpcqhPS9Wx/a1HFsFJ0dR7ST45G&#10;qtGXCNX6F7zUXsGl+c9TYX9CLhWgOvw0Iq6qw3DmX2BG+DxWvQh/+YmEra8h7+DnKD03ArVXZ6KJ&#10;oLWzxbbT7LfZ8P0tV6GW4NVaLKSizGHCZaBhW8sznUDQJvAzT0KuKeGjdShgFZv+zlY5EpWEr858&#10;LErP/oI62oDe61RW2wVUJHV0cYfqp50YpB/rIiQtHlvZIlUD281OO9HhrI82+S0z623KRSkFviTj&#10;Ubi99VM4ar6HOp8NDDRM3REyOqHJzqUBnz3vwX3p08g1ppKbz6WflP9PqDwJHoEbkPIw5GOGivrh&#10;1iHAn4rnd5A7ty66bx1g66UHDGUrDjvDOou7IWfREXgMjb6GKOQOk+6ihnRPBg5puQp8DwAcVsH7&#10;yiePuxM8gc5lDqKcZyHGZT4ibiyErclILBn3V4GPLVXxdVQ35bakWxnXI2RDwytSMrAsP59eJL/r&#10;OuT5CglgsbTYeFE7+j4pacVcFkjR78k0eoGxlK+viNiN2si9qA3bhbir02C/9iXE7n8PSUc+Rvqp&#10;75B9ZhSVZRrKzecrF2CstidgVLUq+zVst3Ip1pWEUMKFGu+vYhtWV4ZZii7PRe6ZScg4+hsS936G&#10;m1Q8N7W/44baW7Dd8CnCZeo5w0ro+QUwmfccLJa9BJflzyF47YtI2vEO8g99j5Jzo1FJ31ZzbRZV&#10;bh6arBegWUy73QomYJlGvpy+chGqbOfyvWegwHwiaxIKLQii2RTCPx6lrGIz7kBym61XrspQbPIZ&#10;Pd836DIdgxbLKfw/89Bos5hwL8cd+xVou7GIXnUBW+1KgqnFoLEDnc4G6HQwQPN1et6rm1BzZT5S&#10;D41B0K6v4LHlI4Yyfp7bG1Dtyx0zWAu5jnPhuukl+K55Drn7v0KH+VL0EpZeH4Yab4aMmwLgPgzI&#10;pd9uUvm8pPUeZOs9hLu+TNvue+k9jdAXcAg9gYfRG3QUPcEmuEM4232NUX1zF7KcmK75GVMEPi+G&#10;iiHwhqEbBk8CxzB88eL1XAigM0OG8wxEOs1CiP08XDD4EXNHvYhHhgOFQDgMoKjd8KmRD8OnnK02&#10;9KPCKvjkyIYq4Q6XACiH1fKVksNqqsNuym9zROiiPsYYVVH7keesATuN1xC+523Es/Wmn/wOWSfk&#10;Oi4TUH51jtJGywlbmc1qFFksR+G1hSi3YKIllFXWq1DKx0oJXsHVBfzbiUg+9Bti9b5EuPZbuL3m&#10;H/BZ+yZ8N38Kp3Ufw1v3N4ScmoNbxmNwbeVr8Nr0DkK130aW7scoPvQdys+OQTm9W9llgn95KqrM&#10;pqHWejZT7kKm3OVoclBDE5W41nElQ88Sfqa5yDefQvCoglZzeHsWiq5NQwn/rujaTH6m6Si+NBEl&#10;p39G9r5/oezAu6g9+jEqz//AHewH5DABF578DaVclp7/GUUMJzXWM9FOq9HpugPtjrpot6PyWWxF&#10;07UNVL6FKDg1BUn8jmH7vkMhFbjKeQXqmKwbb61DNIOV+4YXEKr5N+QafIMei1Xod9uGvls6uHtL&#10;DwO39qFP5kl6sNV7GbD1sv2yzd+7fYCAGqBLAPU/QPgOosvPGB0ErsPvANpvyfy9vSij7053XK3A&#10;l+ghs1UewPdnAAU+VeKVljsLiWy1iVS8aMdpCHeYCj+rWTih8yWm/fwXFXzDvk6BjqANH0L7j/Cx&#10;CqNYEiiG0q7UffiodsoxXXrBPD6er/wP/m0EAYygkY45xNZ8DLn8Qtbr3oGP1tuI0P8QqccI39Gf&#10;UXiKrerSTJRcm8cWvBBF3ItzLs1DzgVu4CvzFJXLuzib92cj23QOMs5OQ9yhEYg1+gHhuz5GyIZ/&#10;IGTTGwjd/C6idn6JYJ1vEGwwkv7yJ7hu+wq3d3yOZKMfUXDkJ9TIBXPo9erMZ6DaYg4qmFaLCaBc&#10;e6/Gdj7b/XK00Oc0u6xHi6sW6lw3o8aRKmy7gsAxgTLtFrAl51ydz7DB2/y8BdcWc0dZhLKrs1B2&#10;eiTSdv4TWTteQcFelsmHSDj4ATKPf4Psg/S5DFsFx//NYPEj1X46mhmaWhmgWh23oc1+O7rst6LT&#10;lvdtlinToIrOT0XWqfH0x5MZ0Gahwn4x4V+AIH1ajZ1vIXn3eyg7OIItfjXuue3EAJVv0I8Jl9Xv&#10;o49uNx3lF5V63XbTA+rSE+5Fl8cuwrcbAwFGDB1G6PYzRPvtfWi7ReW9SbHwoOVi+Et3XIUkl2WI&#10;c6WyKWDJWJ2q/iuA0nrl+O0cJMl4oPNswjcRIbbj4Hl5PA5qfoAJ3z71AL5h8GSO3rDq/XfwKTUE&#10;nUAo9QC+oQkF9H55fFzxidLCo6iEkUasw8iKOocstoIbW3+Ay/r3ESIXnz74HdIP0vcpPzjC5HuB&#10;7eziTPqpuUg7PRVpJych68xkQjqOAYV1YiLSzk5F6ulJiD/CdnvkF+WiiXFMe/I7EmkyadToZ2Qe&#10;+p3/ezQ8tn4BX52vkWkyBqWnx6PizBjlp0/r5fou1nMJ22JUs8oIVDmDQa0oHtOdDFd0ciN2cWO0&#10;3TJCq7cuGty2c8OvQ7G1GhP6CmRfXoq8q6tRzIBSYa/FMES1ok2oM+Xn3v4mUja9iPxdr6L0xGfK&#10;dWqqro5D7UW2+TM/o/7KCNRbTqLSzkWjPdO26wYGEi22Y010OzKx3lhPFVzOpCxXEJjD9Dsd8hP3&#10;ZfTGZdwBcrmeYo1+QfbRH5XDd40nJ6P7ymr00zsOEh4B757/fqV6PHcxgOzAHddt93/QsM1lC7oY&#10;Jvp89dDrR0B9GYBu7aXi8XvSN1a6aCLHQR2pjsuR5LqEsAlgAts8xLjN/S8APgBR9ZpEdwYRKl64&#10;3UjcvvYj7Ey+hd6qf2L810/Q8/1J9f43+GQKlRy7/U/wKeN9BG8Yvny+tpBtWv4mP3ofYTyKzKiT&#10;iAy7jEiPA3AznIvrqz6E99bPqH5fI+Pwjyg6MQqFZ8Yj78xE5J6bikwqW/Kx8UghNBnHxyLlyCjl&#10;PIaMU5OQfpat6MRYxB39BUnHfkbK0e+Qe+hb5B3+AUXHVb8fVsrXpB4dg4Dd3yKGG6mESVV+LLmC&#10;gNdTnRqsFjE109e5aaDFU5PmfyOa3Dei2WMz2nx2oJdq0BdMDxR4EneCz3F5Cp3+h9HCVlV5Q5u+&#10;by2KLRgAZI6hky4T637UO3EDu22B/Exrxs53EK3xLPJ3v436S78zDExFGyGX3w7usV2IXscF6HJe&#10;rJwJV2U1D/V2DFv0grVyybgbTN43VqKLatvKZROtSOUVuV7fbDTQMzbJ+cc2K1FxZQFqaRuaLkxA&#10;1+UF6LXYiD7HXej32It+XwMVfAGGGCBgffRvkoQ7qeJtDHKtVDX5ZaVOz61M3mz5BLHFe6dSDV5b&#10;UeHGNO2wEmlUvUS3xffBimWCjWGYGAZwuAVLqe6zuExkRd+YAH+zr+By6gOY6r6NXYtewKSvH///&#10;CB893MPg/Rm+giH4JOEWD8GXR6+XE3caiVQ9D/8rcLU/CJdj63Bm6adKKPDf/QXSj/yMfJNfkWvy&#10;mzLTOPPEOGVUP/noaKSbjFamkmcc+x3pUifHEb6JSDlDFTw9Culn+Ddnf0X+mREE7HeUX5xIwz+N&#10;KjNLgTjuyGiq5zjlBJk6S6ocfVTN9SVocBDoaPT9dqI7QB93AvRYBugOpFIEH8ZA5DkMRl5Bf7gZ&#10;7kZaoi/8CroIYIffYdQ47SJ8m5i+tzOp6qPZVQ/Nch4uW9qA314MeG5AvuG/Ea7+F2TvYkplmm+m&#10;Z7zjtg4Dbhsx6LGeCVSd91cxiCxCKT1j4eXJytBNOW832cxh+5XrCWqi3WUdWhm+6i0JpvkytNpq&#10;oMthHXrZprscN6GL0PYR6n67NRhw1FENq/gYod/PCIMBxixDgkhvd0sm7W5TxgFbHNeixWktWl02&#10;MGWvU4a0mt02o8ljC+HbhkZv+W0NdWQ4LFGdmyuq5yU1H9GEL3oIvj8DKLeHH09wnYNwm1FwP/MO&#10;ru/7G45pvgCduU9h+g9UvgdtVzVDeRg+BUBlyOW/h08mC6jg420FPlUVxBkgjyXTrUoInww458ce&#10;RGr0SQT6HcdVt/O4bnMEzme34fjKb3F94xfw2vEFk+83SDP+mvUtkg2/p2KNpNoRQCpe1okxyD05&#10;BlkEL+3ICMLHxy5MRpbpZORcnkBfOJpGfwxKrk9BpSU9HINArdV81NssQqX1YuTRQxYwyZayrdbQ&#10;Q0lyrrBUQ73LZrYZXQW2rqCD6Ak5iLvhJuiPPI3+qAsYjLmOwWhb3rdDX5QdesKuodXvNFpvH0Ut&#10;YSu2pDrYyNUH5AeQd1FFtxK+Xeihava4aqDE5HtErH8e6fRkRad/4/vOZmtVpyoRPq/16HJZSo+3&#10;BG2OVN8bC+hzmdq5E5WZj2fwGcfUTS/oIOfNairjg20ErdlmjXKOSf21Vcr19HpdtHHHUQ2Dzqtw&#10;j9/nntteDMoVV5lWBwK4ZIId8KeC++ih5+Zu+rxt/AxD8DFItTjxf9mvRj13xDrntfS2TNEemqj1&#10;WIcCp2WEbxHS3BcjYQi+uP8BPlmq4KPiuc5FlISMa9/D/vCruLjzSRxe+xT2LHgW80Y9I/BtIXxb&#10;Cd9Wwqc6P0OGWVRDLdyzhwBUKaGkXdUJ4Sr4pOj1WMowiyifTJ1n5QiE8VS9OCldqt4hRFBJHF32&#10;47T9OVy1OwvHywYw0RiBy2s+h6vWpwjZ9SlS9n2JdKNvkGL8A9vr71Syicg7NYHgjVWOoeZQ6Qou&#10;TqJKzEQhU2U+q8BsBoquz2AQIHCOy9DosgpNzmpo4AZpYqpucF2Dai6rb6xAlf1SVNmtVI6iVNiu&#10;RYP7drTTF3UHGaM79AjuhB5Fb9gJwnYRAzHXMBhvjf5YW/TG2OJOtA06gy+j0ecYal30UWHHbmG+&#10;GQVXNhKOzVTRjby/DIXXl6JC2jl9XCkTb9SWV5Cs9xbyzv6o/PSUfNZamwVospuPWgvaAN7vJoh9&#10;t9fzMy9iYBmPUvOxyL/4M2osJ6DSRl2Z69jNltntsZMKSF95ZSVyT81DoyX/TqZmOVFF3TcpY4eD&#10;nmyzt03YauUIxjEMBJoo43l35Nxj+tVWJ/klpbX0mKvRyJDTRE9Xb6+GOvtVqJVyWE0LoYFy55X0&#10;ewuR6bxQOaQmU+CH4YuVwCHQsZTxvOH0K/DJ2B5LhlfCrH+H97lPYLXvBVzY8hiOaDyJfYuewcpJ&#10;L7LtRmgTsi2ET2obiiOl/RK+CMIWwVSrLFXgqVLubqWd5ittl+BF66E0Sk8ZYC4RtSOEcjw3K24P&#10;cuNlmhUTb6yhonq+t07A6sZhnLK/BlPby7CzMMGBtWNwaP47sFn9NoK2fIAUPfnFm6+QcvBH5apO&#10;hWe5Ic5MUIZgci5OpnoxjVrOQpXNQpRdn8eNxIBgxY1ttwp1TKWtnjvQyY3UTs/SJh7GZyc6fHej&#10;9Rbv39yKrttb0ExvV8cWU0VDX0cD3nKbRjv4EHqjj6EnXK7Bdxq94ZcwEGuBe0m26Euyxp1EK3QT&#10;xK6wS1Q9E4K8E+XX6fWur2O7X4Siq3P4+aYggQk6/vSvVORfqXJjUHntJyQavc6g9C6Kr/+EnOsj&#10;kX5tNHLNGHosJ6P8ymiUEMgWj1Xouc0W6KmGUusZVPWRSD75LZV6vPIjyq3e9HDcQfr9jNFFla0w&#10;W8tQRsV02ooetz1sz5vRKxdwVMb12GZvy7Wkz+BuABWcfvWuv4lyMrycm9zlTJshM7epdA0ErZHV&#10;wB1SrmEjXrOOAafmxnIU3iB4DvOQ4boQKaJ6omzDKVfxdEPgsYYPpSmvUcCbiUh6vSCz7+B+7E1Y&#10;7nkGplpP4IT6kzi07ClsnvM3PFIYOQyfqB+VT1ov4Sum6smPOUsNXwK3QIrw5bONyjSpPMJXqMCn&#10;r4IvVk+Z5VKQYIDchP2E0Ije7xDSw48h3O88XFwvwNzOFCfs7XHW6iqsLc/AeN0k7J/+JswX/wO3&#10;1/4TCTs/QjbbbqbJL8g5OxqlF+jdzk9W5qcVU+GKreehjGm0ioa9iqa7xoZ+iaa5ni2pg+1Tpr13&#10;3d6PTl9DlhHb6QG20kNsqcaEaj/uhu5Hb/A+tPvuRZ3HDtSwqpkCG2/T50UcQk/EcXo6AZBeL9YS&#10;91JscTfFEj3JluhNtMEd+r+ugBOod96NiutrUW2tjvRT0xF96DuEG36OsMOfIvbU58i3+BmN7uP4&#10;2X5F3uX3kXP1I1Q6j0C111QUOU1Agc041DlORxnTbva5H1Bqw8DgsoivX4L8a1ORcOwXpJzk66mO&#10;jWyTXQH7MMj1OBhynCp2BG1ueqiXE+i99NHpspsWg77PfTd6vPXZWgmpAt9Z3A08Q2hPYyDoJFvv&#10;IQwwtQ94y1ALoRUv6UoIHeXHD1eiVrzw9YW0LItoJRYh23oOUh1YLvOR6EqwlJYqLZawMcU+AO5B&#10;yTBMjOtsRDpNR5jNaPhd/gLOR17D9V1P4pL24zi15ikcWfkUdi4S+KK2KdDJITRRvGICViy/JB6l&#10;yxJl20uvJ5DJDznTu0XLBFFdZMXuRTbhy+dz8nOnyiXR+Fgh/zYvRp/PGbKOIC3iNCL9z8Pd5Qos&#10;7Cxxydoeh23ccMLcEteuXYTRulnQn/QmrnBP8JEZv7s+VF3I5iQ3GoND8Xma73PjGSAmU+VmoMxu&#10;McqZImsd1qDecQPbqjaVbBdabnEjEDQJAu23D3F5BF3c2zuDjrNVnkBX6Cn0RpxEd8gRhobj6Is8&#10;jrZAY9TTB5W5bkeZuw6aaMh7+HwXfdIdqsVgrBnuJVuhP8mC6meJu1TBHsLXHXSCYO1SBrlLzOcg&#10;hQk9SP9dBBu+j4QzXyD1yncocxmP9iC2Vp+ZKHeZgBKnyai9PRddUWqo8KZVsBuFevcpBPN7JJ/5&#10;GFlXvka59Tgq+kyknx6HxKNjUcr23ezOVEpguvjd+sOpZKGqw153g05R3Q+wFfM7u+9DjS3Tqic/&#10;/21j9PK73w2QGSsyS0Vmq5zhUu4fI5AH2JJVAPa5yy+pb0T7DQ16yOUMYQtQfnUuSuiN86/OQKr5&#10;NKQQvmRnqpwcqXhI+aQFD4/3ifKJ2g2rYLTLLGVAOcRqJG5f/IzwvYrru5/A5S2P4/T6J3FM7Qno&#10;LX1B4JNAIb6OLTWSXo7QFRE6AW4YPBV8AhrVjgDmEL5MgpbFZb4c5aASyrR5Od5bEEl/F2WAtKj9&#10;SI08itjg87jteRFWtldx0coGp60ccdDSC8fMb8D08mUc0lwCvYlv49rslxGk9hKydN5FjuFXSDv0&#10;DVMtPRIVoIAJuIwAllARypgKq9kulEucyVlmhKCR6bLF7wA6Q06gw/84Ve0YOrnyO7nXdwadJWRn&#10;CN8l3I25QmU7j97I87gbexG9UafRSY/X4GtARdqDera2TqbDnoBD6CO0g1GmbLvXCR8r0RIDiQLf&#10;ZYJtoswzLL6+GJnnRiPu0FcIMngTUUc/Rva135BnTbX2WIbO8F1oCtqLGj9dVPvvRX2QDtpobSpu&#10;LkCBw2jUeVMBrX9Asul7SDn/HjIufMXAMV6Znp99fh7T8zZ0U8XbCVRn4BFagfPoj75KL3odAxHX&#10;mMrPocfvFLp9jjCl0rfePqh87rsErT/0PAbDLmMg3JS3z2IglO2Xzw3wu91j6x700cdd+sM+dy10&#10;O8pxbLkw+BIq33xaiOnIuDgRyQxvyU5zkexGLycl8BE4WT4M37DHG65IJ3o9+8kIsvgNPhc+gcvR&#10;12C19ylc2/44zm18AsdWP4r9S59n4CB0UgUET8AppH8rGq4h6KTypJRWS7hY2fR92Uyy+TE6DB/0&#10;hNKOo2VszxjZcQeQFG2M6NBj8Lt9AQ6OF3HJ4ipOXbfCMQt7HCF8Jy2dcdXMHCd01mD/jI9hufB1&#10;RKx5DSna/0DCjncRueddRO/7mMHjS+Qc/J7wjUaZGZOs7UK2pjVo99iMVuUSZ/RzbDVtbCldhK+b&#10;7aUn+CwV7Dx93Dl0Ef42bqSukCu4G30NPQTqTuQF+rsL6Is+zzqDO2HHCOhB+kKC4kJD7rUXfZIQ&#10;I87gXtwVDMSbYSCBAMZdx92oywSbbddtJ8oslytnyyUf+RLxJh8jw/Q7lNpNUa6KX+mxHXcIe2+a&#10;D+6kB6A70wetCWaoY+uvuqWOcvcZqL89FaUuI5F67SMknn4TkYeYiC/TA16egwoL7mCuu6nqtAg3&#10;6dUYHnojL6E/xpw7DtU4yoKQXaUCXkJvwFnc8TuhqOJgtCkT+mXci7nKMsdA9BX0c4frl59wCDyG&#10;Pjkp35cqSv/XK+ePuG1Bt9MGdIivZPiot1uCQtqb9MsTkGQ5FYmOc5BI8GR8T8BT4GMp8BHCh+GT&#10;disV7jANIbYT4W/2E8PGh4TvVdgaPMnW+zhb71M4sfZRHFj+HAMHlS6f0Al4BVS8Avo3ORpRqNxm&#10;KYqngi+XbVYpKlxuzA6CuI3hgyk5dhtv70JurBFyYo8jPf4UIsOO47bPCTg4XYQ5Ve/cdQucsrDB&#10;CUs7HLfyxBnCd43wHdu5FnunfAjz+X9H8OqXELvhrwjf9CrDx98RuvtfSDD4GJlGX6L4zEiUm09C&#10;tS0VwVEOwq9ju9FSrujUzpbbznbSTmDuyJ7PFd0TfEoZj+sMPIt2Bb5LVL1L6CZ43dwYPaJ+UVQH&#10;1kDkWSZcQhtgrFwwstVLAosu7vgfRC/bdT835EC8Of/+Its1/0fIGWVaf7mVGnLPjUOO/LyD6ff0&#10;o6OYqmkNXJag3HsHuugVB6viMVibgYHaJHTmuqIiiPD5rid4S9EavBSVPnOQafUt4k68Dr/dL9MD&#10;jkO7eDAnLYYiHVTRz3V4GqCPwPdFcQei6vXFCHzW9IAWhMoMfQIhg5CAdo+A30swZ11nUrdgXaNa&#10;Uv34ffuCT/L/yDSqIwRQftpLjwFkK7rZRTqZllud1FF7Ywmyrk1GytXxSLkxC4kuKq8XJ/ApbVeA&#10;owf8E3zD4Klargo+P7MfCd9HcDv+GhyMnoa13lMw03kaZzY9ikOrZKglknARslxWHtUuXw6DRe0j&#10;kFwqz+kpj6vg0yN4Unyc4OXHaDFgbGbC1eZz9IFxB5EWfQrR4Rfg43MW9g6ncfm6KS5YWOO0mT1O&#10;WzrgFOukpQvOWDjB7Jo5jhK+HRPewYUZLyq/Dhm86kn4qj2H2xtehN/W1xCz+x2kGnyCPLbgoitj&#10;UGU5Hc32i9DhshpdHjTZnkywEjT897HlGhEYuWg3fd+tA2jzOcw6yufYmghhG9WjNcgEHTTtPWGn&#10;6f3YjpRB5HPoD6OfCj5Kg26Mjpu6aHLbgUY3ekmqjrS7gdirVEiqJNXlDj1Xm4+xMqUr98xEFHLH&#10;KDX/DRU3RqPWbToq6XtKbq5FW/ppDDYGYKAlGv0tYeguuYHSIKbkW0yXAWrojNJCbcBGZNuOQfyp&#10;dxCs9zpqr09Dr5tcq0+b/28LqqmwXR76ys8x9CvKR/WNtSFQNhiMsMJAGL1oBNtwFCuW0HEnUcFH&#10;8BIIKGEcoBLKpNAB+R4h/Ez0rP30hT3e+xhY5DK8cq3lTZALpdc4LkXy1QlINp+AVFcGCwYNZQzP&#10;a0j5HoJPwPtP8EUwSA3D53PhI3ie+gecDz+PG4bPwkr3GVzUfgKH1R8jfOH6ikfLimbFGLCl7kNO&#10;9D4CZkDg9AklYYscBlB/aElIo+UkIm3kx25EUYI22/BepMWaIC7sInxumcKaimdqeR5nzMxw2twO&#10;J8ycccLCVamTBO+0hSMuMXScNNiKrePfxJnJT8N9wdO4ufQpeK58ET7r/go/rVcQueufiNd9G2nG&#10;/0ahXN/k8mTUXZ/HhKaGdq6wduXiidvR7ccWEqCPLvq3Zk/6N5edTMBMgc5Uspty4rcxmpmEm333&#10;E8IDbMdHqGBsQxGnWFTKcAYSqvUA0+4dmvsWtt5yOy0UWW5iijaif+IGCzOhypxgWj7N9zqqTGbN&#10;ODUB+edHsk2ORM0NplvXmahxn4kS7wWojdZBb6kt+ipu4m79LXTmXUOx7xaUeK5Cja862rkOq0O3&#10;I5cbL870S0Se/BzltnPR4rZZOWGpzFqTwWYHut33Mr3SBoSe485CJYuxpF1g22XrHYhka400Yzgy&#10;VxWtwb1YVpwFQbRmyXNX2Yqp3hGmhPWC8nsivYHcKW+xpdPntntu47rUZIJejxqnFUizZNCwmUbw&#10;CJPrHESxYiRUEDplLG8IwOGg8XAp8FH5Qul7g8x+ZeD4HF6n32LrfRmOxi/CVu85XN5K37dOgU8P&#10;2QQtM5ZF+LIJXzbVL4eVy9SaqwAo0LEEPvF1UvR7BXE6yI/TQkHCVmTHGyIl5jSCfS/C1uk8Ltia&#10;0uOZMtVaEDh7ej0XmFi6w4Qt9yTBO3ndka3YBieNd0F7zOs4Of5xOM4hgIv/AreVLxO+VxCg9SrC&#10;dF5D1K7Xkaj3IXKOfI+SM0y+prNRabYItfZrubG1aP7Zfglgp48O0+F27r1UDdtNKLVeT/+iwY24&#10;CdU3tqHGeQdqGBQa5LojTHztbLMdQYfRQcXrJng9BHEw5iwVhqk44CCKrTSRZaqGVvc9NPb7ufGP&#10;sNWdRP//Q9dfx1W1NW6/sOf53bXTbXd3d7vt7u5OUJHu7u7u7u7ulBDFRgExMBEFpPU611ju/Zz7&#10;PO95/xiftVjAgjXnd14x11xj0NJ7sy0khafGZhMeEr6XvqvxPmQzC9AevI/bhXo22WdJR/GObvCh&#10;0glttZ74VGWCp3HnUBd1GK+STqO5QBZvCrgdE0+hzGMFSp2XoT7oAN5HyrDFs6SIqSqiqew8kMTM&#10;9GJJhr48Z/QQwK5Cd9qwO+2XmZQ59HupBwctV4BHdfxeQuUrpu0L8MRg3u0r4M+KApLHTJxlitZU&#10;bbQkqUrOjX6OFhNTXsWb8DN4ELQP1UG7URr5A76/38GQXDjwl/pJzvX9/4FP2G5+4Fbk+axBmst8&#10;JNpORqzFSEQaD0KoTn940Xqtr/0P+j3KU8K9AhXcY467T+t9IIFNA7WEsLaU9isUUFgxb/97PGLG&#10;q72ljMe35PGwXBk1t4xRXGCD2BgbuAXY0FpdYOHjQegCYEbYTAmfqV8sTDisvENg4R0KW8JnY6KJ&#10;axtGw3jDv+Cz858IO/w7wk8NQezFwUi+NhjZckNQrDoOFbResfZYreV6PHfag1eSdxHEJfWXqVDC&#10;LqTwLlyK0F3muIIXAVdQ634Wd2wOo8rqIKosDuG27VHcdT6JZ35X8DJMFu8T1PEhQQMfErXQminO&#10;8dkSPtpwsR1zozk+JWjhJaH9ECkyoAZtmU2R8PXQtnpo35+YNx84ikvq16LRewXeBW9Ec+R2vIna&#10;gOdRq6hwm/Ai8wJeZMvhU7k6YZPBs/C9LCS70JR4Ah9yqGziYwhpUihzX4Msy/l44LULH6Jk0Ua1&#10;fhepwL9/Gc2B19AlrDfdjH+XKp3ryNjAti65zJ3FiaOPlvyNIH5jG/5W/EMNe/O9/mrHBK+Y9ktg&#10;+9jWe2m/ndnmjCm6bO4sa4niKuqbVFwpNEWdw5OwQ7gbvAdlhO9v8P6GT1I8/vr6/wRP2G7R3/Cx&#10;eOX7rkOG2yIk2U9HvNV4RJuOQLjBYPir/QqHm/9Av5dlPxZsefZX231cwDxHm60t0JAUD3FfkgMJ&#10;nARIjicSe1aVXK8nzvfdvaWPUqpFYrIlfIKsYOfnBHNfX5j7BbDZhsLYJwKGYjDrGfpFwdqP8PmG&#10;sXQEw97aCNe2TYXeht/gtPUn+B8ehOBTIxB5YRhiqH4pMlQ+9Yko05iOSq05eGTGNuiwF0+dD+Kh&#10;8xHU+nBjeZ2hSp2nwl3AE9fjeOZ5GvVe51BjdxhlJrtQarwT+TpbkK21Edl6m1FivhuVtofx1Pcq&#10;nlIVnwWIdzrU2HjN0ZFvQ2UhfHnidIUl7dWEiqqLz3HisxaatCtjAkCVZLb8Ii7PDzyBp05b8dRl&#10;OV77r8fHsC1oCl1BuOehIWIBGuM24GXiPrxO5ojZgYdui/HUawX/3gF8yLiC9ip9vM2Tx/2QXci1&#10;WYS7HlvwPuYa1UiFmU8K9f6n8cbnEtVPmU2VJSGTjT6Ttp9jzzJkL8mgnXksT+IzF1RAAVpvkYfk&#10;AoiefN4SyF4BH5tvLwH8RoUUbbiHKt+Ry3ycTQBT1RgzeJDFSDFjnkNt+GH+P3txK0J88EecuxPn&#10;8qh24vO2YjAL/hj/b/D+X/AFEz6/dbTe5RL1S7KbhhjzsYgwHIYgrd/hpijgy7jKo/M6GjJl8DxH&#10;EQ15aniaq4onOSqoL9QilJqEku33v+ATpeMBLfl+iQ6qiwxxq8ASGWyUfuHWsPOxJVgeMAsIodL9&#10;DV4k9L3DoU8FNPILg6V/MEcYbDjs7MwhvXse1DcOgvX2AfA+NhrB5yYi/NJ4jqGIvjIQWYrjUKw2&#10;HSVqs1CpuxwPLLfjluFGVFruxiOPM6h2PIoal2Oo9T5LII/ioZO4oPMM75/AY5dTuGfPEG15CMXG&#10;tBKzPaikGlY7HMdjr0t44HERD70v4yWz4btkApVlxZ1iwx1rQ4sTg1mQAIp12j5TKdtS9CRfi3OB&#10;bSwmn6Ok8cLzAKFfRfXbiPdBm9HktxSNvpPwxGMkHnlNJORz8dB9Ou5ajcNds9GoNhmHOo/V3NFH&#10;0FGuifdiyhLutCL7BbjvuY459QzVmweSp3hNh/DaW3zoiPkxTZx/FKeSmNkEfGzdnYSvu9AJPSwU&#10;vWy7Ar7uQjeWI1dC6SY5Kd5Ny+2mGnbRrn/A6UL4+Bz5ZnytemhJU6UDsNxEXaQqn0Rt6GE8CNmH&#10;8rA9EsjElGZi/A1dsbg4lONv4P57/F04CkK2oyBgI3K8VyPTfRlSneYhwXoSokxGsXgMgK/aP9Ev&#10;WX0K8sXM5IFH8TpFBm9y1fGKObAhTxP1LCN1HLX5P07B/G25D2nLD0r0mRFNcCvPChlJNgiLdICD&#10;nzNMPN1hxCJhQrBMfMNh7B0hGYa0WkOfIBhTDS0DgmEVFEllZAN2sIb0/qWQXTcE+psGwenIBPhf&#10;mIbQy1MQemkkIq4MRpr8eBSpzkSewnSkXJuCPNWlKDfeijv2h/DA/QzBOykB8I7TMSrLaTzmYw8I&#10;3UPXM2jwk6LSXOHX5wncSdQ4nyYIFyTQ1QfdREOIPBrDlfA2TotWaIgWKksHM1FfkZMkG4nTEz3i&#10;FEWmWARGHy1ivbZkXRYcfQl8bbG070Aqr+cW1LltwSsqV5Mni5HbRDy07o/bJr/itukAFGr/gmzZ&#10;f6JU+SeO31GmPRa3rRehPfc6Por10SI2oNJtFuoDV6MxYKfkwoR6gvfMax9eiIWvCX6XUFwJcLRN&#10;jh6Wh56CH+D1lTH/sVT0UOm6aK2dzHdfCWCHuE8l7KQNdxI+kRO7+Tvig+BdBVT6PH18SmdBS7yJ&#10;xqjzqA0+isfMnQ+C96IqjOoXuR/l0Qc5Dkhubwn4CGVx6G4UReyWwCbGfwMoTjIXhu1AUcgW5NEN&#10;crzX0n6XItl+NuIsJyLKeDiCdX5Cv0RaW8TpPxAhPvOgtQR3/E7hGf+R+ixV1OdqEECqH2H8Yb2i&#10;cGgwG2qipsgE1YWWyEu1QUSIDdx9WTB8fGHgHQx9rxAqXjhMqHomVDxTlgtTgmfm78/hA4uAAJgH&#10;EE7ar5WzPa4eXIULywZAYfUfMN83AR5npiHoygyES09AxNURSJQZizzlmShQno0kqSmIvjQFqYpL&#10;JCpWF0DlCb1J+72Ee64n8cT3Mmppp7cdTqDa6RTvs437XcfzIDk8ZYGo87+OusCbeMbxMlINb+J0&#10;8DZRHx+SDPE22RSfxDsjVJUekaFEO2Se+lboyKzHIsJi8oUW/EnMIROnhuZoebTGyOGruMSeB+8L&#10;z4N46cK26/wn3jpPQ6PNMDw1E5fPD0UF4SuU/R8USv1fqJD7CWVKA5EuPxjvYw/hY+ohNEQtwwO/&#10;abTZubjnMA91bPXikv5nbjsI41WJ0nZSjdsIX2uOI9qyHNjO+f+VUO0I3vcK5jze9lD9epjzemix&#10;XYSui3bbLc4NFnujhyVEnKrpLXYloPYE1IKAGqAlSw3vU+XQGH0Bj4Jouf578CBgN26H7kU54RMn&#10;mf8e5VEHUPI3fOE/APxvCIuZEyXwhe9EUegW5AdsRq7PRmS5r0aa40Ik201HguVYRBr8hn75VwYg&#10;+8pQJF0YgeAzIxAmMxMZpptR5kPLSpLByzx1qqAKnuaLt9ZotUVauFuog9t5JiimBcREEjwvG1h7&#10;uMHEKxC6BE3HMwzGBNDEJ5TQhdKGQ2HlT9AInRXhM/Pz5eMBMPUNgY2rI6RObsWZlcNw888BsDww&#10;CV5nZyNUej5iZWZT+UYj6soopN2cikL1BchXW4Koy9PguH8Iwm8soqX9yGvPWQwe+VDhvKVQ6XgG&#10;xVbHUe18EU/8ZAmaEl6Ga+JltAaHOhojxVDDC379mvC9jhcAGuB9sgma0yx+LPKSZS1Rlu/cud8l&#10;bZE7ukicvDZhQOfvicuaWGo+hd9AOwFsjZJiMTgPsTD1W6fNeOe0kLfTOCbhjcNkAjgcNVo/o/Ba&#10;P5Tc+A9ypPoj9Pi/0ei1Gh/i1+J5xFQ89h5Jqx6Du9bj8Yw2/sRpDe15Gxp4cHWK/Mmi8DnLHs2Z&#10;DmhOtcfXXGa8Mm98q/DF9yp/ya14F+ab5DQLm26ZH/rK/X+MW/z+rQA+xvslBJNW3c7n/JJjwANO&#10;A+9SFXgA0BECDqLacxuqvbeiMniXBD4BnFC8MmG7kcx4LE3FYf8PeJJB4MQlVCUCwIgd/D6/Zo4t&#10;DNyOPAKY6f0n0lwXS069JNhOQqzJIPQrvz4QlTeZQ5RnSD5wE399OsI4QuUEhGvwiNW7PvkqGguU&#10;JPBVEbyKEjbbPEukJNvB098RFh6uMPTygo63P7S9wqHjFQoDrwCqXyABC4SFXxBsAkNgHRBI+Pxh&#10;QVs29/SDqbsvbN1dce3iIZzdMBFq24bB8dg02u5CRN9YioSbCxB+YTwimf/ipCYjTWE2cjRWIkFu&#10;CTxPTILtgbFIUttOwOTwwPcmbjmdR6H1KZTankGF02U88pPHqyh9vIjQQ2OYHl7F6bMAaON5jBaH&#10;JhrFiNXgrQZeJejw6DfmTjXF+xQjWpEFLclBcpqiV7xNRrXoqWRbLKPi5BjjQ4QsXvn+NamlWDMt&#10;5Aba/C/hK7Nam1i1x3kjXjkswguH6XhhNwUNpiPx2PDfuKXyfyHz6j8Qc/InhB7+D166zsHHiCl4&#10;ETwUj1x+w2OnP/DIfhQVby4eOy9h9tvO/1EZbSKHUtXacl0IizP/TyfCyAZLwHrLxcUPhKsyAH0V&#10;4sRyAL4TuO+87a0QjwUSwEDJyelvZbxf4icpIm3MtM3ZhviQqom3CfKoCz2PR/6HcJvRocKTmVrA&#10;F0HYWCyKowgVi4UoFAIwoW7/DV4JRynhKyV4JeHbUBLKthx4ECXBu1EQvBWZ/n8i1XsJUtznIc52&#10;OmK5PfrVKIzAPcUJqNWej0eGK1GuswKZqguRKk9Cr01EktIM5JqsRE3oSTzOUMbDAkNU5ZogLcUa&#10;gaFUPHcXGLp7Q9vbB1q+/tBhztOn2hl5BxI+tl0xCKWFnwCPg7cWXn4c/jD1IHyeHrhx9QROrZ8I&#10;3T1j4HZqOvzOzETk1fkIvzgNgSdGIZL5L+zSRETzoEik3cbJLkMk4bTcMxamO8fB+9IyxKnvRJrh&#10;IWQaH8IdNynUBavgeZgm3sUb422sMZWPEEbroS5WC41Uuhfxemjg/ecCxlhtPqaLN4TvbYoJ3nC8&#10;o/p9TLfiznbE13wXtIosVUUlqRRvV9mjXZywDleUjM9RKmjjbUvAdbTQ9j96nMIbx1203T/xyGga&#10;HulPwBOdUXhi+CtqtP+BnOv/g9TLvyHjWn822Ul4FTAIjYG/o9btV9yx/A8qjH5DqcFQ3LedhddB&#10;2/AiQRVfcpk92VJFlmvN5P/D0VngSaBoq2W8veWN75V+HELh/CQXwX4rC+Dj/hwB6CZ4XUUEUcBX&#10;ysdYQtoZJT6z8b5PEcsbyHKbncVj/8MS+Mo9NqKKyiUab3EES4SALJqW+pe9CvgKqG6iXIh8V0Kb&#10;LY3gCN/OsQ2lITtRFrSf8PFnmP1yApn7/Nh8xVtudnMRazYW/R4pj8djtWl4prsQTwyW4Y7eclTp&#10;r8Ad7WW4pTQT6TLMXVdGIEJxBnKcDuBhqhYqkw0QHGwOB1cLmLh4Qc8zkOAFQMs/AHqEz0DA5xPM&#10;wYIhIPQOgBkV0JIFw1IoIb825+PmVEYn/o6C3CUc+XMcNHeNgde5mQg8O5WNdwoCT4+F/4kR8D89&#10;Bt6nRjMHTkWc/BLE3FyKsGtUv9PzYLh1DBRX/AGTXZMQTwDzzI6i2uUKnvorUhEV8CxAmblQldlP&#10;iZlKHjWB8ngaqYG6aC08jdLAc0JYH6eLZzHaeBari9oYQplghOeJJmjgeJtphxbu8E8cHZVBVD9f&#10;KpAz2jNM0Z5kgGY+VyfzYjebspjmosn3Bl44n8Vzu0N4brkNj3UW45HmHDzRno56ozF4ZPAHylV+&#10;wh2dEajU+R2vvAaj3vcnCXx1Hv1RafQvFKj+E5lyP+O++TR8JHyvxZL8Oea0fXFOz5lNnA02n8Uh&#10;n7dFzsxzLB0lzugV8aDMg/d/FAuR+76yaLQT0q8FPrRaf6o4AaTy9TAPdhTYo62Aap+uTvhE+TqL&#10;p4FHcIe2W+W1hZlvD26FCxslbATub/iE+kngkwDIbEf4xOdySwlgSRhVj6M0ZBvKggll6DYUhG5C&#10;ftB6ZFP9Mr1WsHgsQqz5ePSr15qF53oL8dxoGeqNl+OJ0Qo8MV6FZ8ar8USs568yHUk3RsGfAHrJ&#10;zEKsxT4ke16Fv6cZXNwcYO4eBH3vUGgRLG0qm75PiORrfbZbAw4j7yDJMCGIot2a89ZC8o5HCFtv&#10;OFyCQ6GrrYgDq8dBbsNQONFOvY+PgvvBQXA/NAg+J4bB6eAAWO35A84nx8CHahh8dS7z3jIES62E&#10;y4l5sD44HfpbCee1NSizOo1K23O443iZ7fYS2y1zoJs0C8gllDlcQKWHNB4GK7LNKeEZYXlNlWsk&#10;bM+oirWxBqhNMEZDijlepFnjWYIZmhjsW4q98D7PHc3F/j+uZqYKSnIhx8sg8ca/ETpSLfGVv/ch&#10;Uod2rMC2exUN1kfxTH87anXWo9ZgBWr1Z+Kh7mhUqtBejUfgruFPeGz3T9T7/IZXQaNZMIahxngg&#10;48+vVMZ/EdBxeO26Ao1B5/ElUZWNW5xqIYQsHd3iwgn+/a+ZpuhmBOortEZvIUtR0Y9LxjoLHNHB&#10;stTGUtJKq/5Ki+4ldH0lVMQSZkPCKU6qt7LtfkhVxutoaTQEn8azoCO4770Td3124A4Lh1A+SY4j&#10;eGIU0X6F1UpKxV+3xQI6ySBsBK84dCvh28yxkaVjEwpDN9J6N0qab64Xs5893ct8Ivo16i/HCxPW&#10;e7M1aDT/Ew1mf6LedBUHITRYgFtUxQyF8Qhn43S5MgHmF6fAWn4lnEwU4Ev4rN0JnAfBo4pp+/jD&#10;wJNtl4XjB4DMfgRQ3yuY6hfM/MdB8MwInigi5v4RcAhkKTHVwaE1EyH952DYH58I/3Pj4X9mDALO&#10;jEL45Qn8eiycjgyHF/+27+XpCJRiIbnO4iG3DlGyGxAktRqeZxfB//IypGkyp1ieRpXtWZRbMf9Z&#10;HEMZR5HpIRSa86h2v4x7PtcYqq/haRjbLkvGa47GeEM0pVmhKcMOrzNs8IbQNSZb4XW6HT7meaA5&#10;zxNN2W5optq0sgl/zhFXzVjiuZ8i3gdr4EucMb6mWqE51gQvgzXxPkQTTZ432XZPoNbwIB4ab8Zd&#10;rSWoVpmEWzf/wG3l/vz6J9zW/QdqnYejKWAunjtPR43+OJTKD0Hy6X+gVG4InprMwkPbLXjpeYz5&#10;8ppkWa7OJB20J2jyb6oRSjUCqY++PGNJFu1gIWoV79sS0lb+f5+zbPBZXFpGAMV5vm6OHnH6Jc8O&#10;rVkm+JhB1YsXK0heJHynUBd0FA999qDGZ+cP+NheS8X5OwHeX8onAY/j78xXzPsS+MK2S8ATo4Tg&#10;FYesRWHIBo6NKAzaiHzf9cj3/BMZdgsRY0r4nhttQJ3JetRbbECj1UbJckjPTVej3mQ5HusvQIX6&#10;dGQrjGXOGovgm1NgdmI41PcPh8aZDbDTkYOjiweLgx90WSB0meWM3INh4BHB+2HQkwxCyOZrJE6/&#10;EETRgE0In7EPG7GvuNggCLb2Fji9Yy6k1lD5zkxDpOxcJCotQIrSfEn+zFTnkaKwABk6a5CksQKx&#10;ykuQqLYG6To7kKqxk9/biDjFTQi5tgIJvJ+tzQ3EHV5scgjpaluQoLgGGVqbka27DRW2tGW24WqX&#10;86ilBb+i1b5kEXkeo4u3qRYc1sx71vhI+D5lO+Ftmh0+ZDoxG7kRSnu8z7FDG+2vo0i8E2KLphBl&#10;NFBZW5gv26mUn+PN0JxkgY9xpngXrosGdxk0OEnhoQ2DvM4mlN6cjTyxHMPpf6Hoyr+Rc/GfKFEf&#10;ikqTyXhoNhdFsmOQdW4g4g/8A+kn/41K2WG4w0h033A57nM/iSl1P/iLa++uoi3yOtpplx3JiuhM&#10;VUF7qjpakwl9NJWMOfRjsj6aM0zQksVWm21D2GzRns2RZYXP6YZ4n0TwEuXwOkaahew8nhO+58HH&#10;GFf28QDdieqQPWy7P2YT/f+CT9iuBEJxTi9UgLdNcm5PjGIqXXHwGhQGr5eoXkHABuT7rEGB50qk&#10;2cxGpDEz30uLPai33IE6q61oFAv9Wm7ES/O1eEkFbDBcinuas5lRJiNXYSLiCZ/D0cHQ2fYrbmwa&#10;B6UTm2BmqAsTJ1fouXlw+MLElWrnFik53aIrGYTvr2FAEAV8xpJMGCEZZsyLjm72kD66BpcJnzVt&#10;N1RMa6G5DDksP4X6K3HLZB2Kjdej0moH8k03Il1/LfKMmSlsjqLY7DBy9BiIjQ4iU3sHCvT2IV19&#10;O3J1dvN2C5IV1yFNbT3vr2dZWYEMjbUoM9+PO06nmQuZzyLV8ULMh0cIX8ca4mW0AZpYUprimfcS&#10;zdkCLdCcYov3yTZ4kWSKV6kmaM6xYIYyp32xLXIn11BRG2jrn6iAHSlWkgtYPxJiyafcInTxPlwL&#10;rwKv45nDaZQr/onsk8ORtv/fHP9C/M5/IeLwr/DmyJCagPA9/RG65d+I3flPJO37v1Bw7heq5HhU&#10;KHEfSI9FteYS7qsdeOVyEB/Yqj8EnZYsgPMl5gbBl8fHWAU0sn2/EEtXpehR9YzRmmOGL8yMrVRD&#10;yccKMowkF1a8iVfg67zOW2m8ibqEV+Fn8TLsBJ4GHMB9wlcVJNou1U/yMcn/Az6WDcnbaBzi3YxC&#10;ZrwiydhM4Dbzdj0fW4f8YEIXSNXzW48879Uo9FiKNOupCNUfjn7vXU7jtfMxvHA4gJd2u/DSchNe&#10;mfMIow0/N1yGhwzLdzVmoEBuIuKu0P72/QHDTT9D5s/huPDndFw/cRjaOgbQs7WDvrMXjFxD2H4j&#10;JdarR+B+DN73+HHfwJuW7BsJA79oyTAmfC6eLlC9tBuXCJ8lbTdAehoVbgly9VdRwVahxOhPlJqu&#10;JzSbkMejP89kA4oZ5svtDqDS/ghu253AXcezuOd8AVWWJ1DG0nHP6eIPqzXcjzLT/Sg23I0Uwhd7&#10;YwHyqEAlpnuZC0/jgcdVPPaRYdBWwD1POcl45K2Me+7yeOKjgjp/NTQEqqE+QAn14SpojFZDU5IW&#10;PmXqoYtWJ1bnKdPfgULNjXhCRe1KMUMrs19rhi2+0L4F1G9ZSD6Jqcj4+0/MDqGETT7r8BhkH6HK&#10;HZ6EiAMjYMdtGnt8LDzX/AzXRf8LEZv+g6it/0ASIS2+MYAWPAoZlwahTHEaHhiuwFNGpHorRiXH&#10;zXjrvR+tEefxkerVJLnSR5Z2rI52wic+iyw+EtqeIy4hM2NUMGdZskBLCltuvAY+pCjiQ+JNvIm8&#10;giY+x6vwM7Tew3jguwvVAXtQFXoQlZEHmftE3hOD8IkZp6h2BaE7f8BH1RPwFYZs5fgBXyEttyDk&#10;T97fStXbhjyftcjxWIg81xlIshiJAO3+6PdjAsRLaHI9jSanQ3hlvQ2vLIT6rUODMXOfznw80p2H&#10;EsWpSL46Ee77B8F802+QWzUC5xdPxP5lS3B07yHIqarByMkdBk4BMHQNgyFBM6TtGkogDIO2W5Bk&#10;CBvW9QmHnoDPP1Zix47uzlC6sBNnVwyGwf6RcD41jLa6EIXGf6Kc/0epyVrkE8R8w7Uotd6OEoJ3&#10;i7e3HWgPrrQJrwu460QrdTiDp+5XcM/lAh550uo8r7N8nEaBwW6UGu1BjuZapCosRYH2BuRo8WjU&#10;30nF5FFNWPONDiNRYz9yjE8j3+Qc8gxYXKwvE+TTKDE+gnuE+7GfFAP5DclJ36ZYJXxKEqsRXUOp&#10;/lbEy85DhsoKNIcq0QoN0JZgiq/plmiIVMEL5rS2fBYSAijmeb6rQWu6tAj3lTbgodoO3FLdiNhL&#10;s5F5dR5iD46F359Uwy0/IXTzvxC6/V8olBmIKrVJKKb7VKjPRpXmfDxmLGqwXIW3TpvwiRmtJfio&#10;ZB7mppDzaImTZ/lRx9dkLbSm6aCNB0prpgG+ZjGXZphxWKI93QKfUwzRmq6Jz0nKeB95jdBexdtI&#10;Zr+QY3jgsxtVHJWBB1BBAEvDxOVSAj6WjEgebBEE7r9OtYi2K+D7oXxbaLW02GAqXfB2FPhtQ7bH&#10;cqQ7TUGq3UhEGfwKD+V/oN+XgOv45M8/7HUR79xO4g13qFgJ8ZXVJjyn+j0xWIzHbL0VKrOQJjUF&#10;HnsGwmzdz7gxfwDOzBqFHTOmY/Wc+di6fTsUqICmzoTPKYjqF0RVC4MRITT2DmfjpeJ5igZMC2bW&#10;M/CLYjOOgjHLiIOrA+TPbsX55YOhtW0wbNlyo2RnI1d3OUoJYJEB1c94LartaAV2rP+2O3DXZR8e&#10;ex1DjcshVFIBq+yP4rb9STz1vIRanyt47C1NRbuBaqfzKGfrLDLajSzVVSjSon2bEEaDXbhteQSV&#10;LCNV1mf4/WPMkjsQKb+dxeVPeJ5ahjCptQi/ugopChtQbnoQVY4nmRVP4677GUJ4VXLVyVOv0yjU&#10;WYeYGzPhc3wEqvh3WkIJZYACPsdp0f5kaG3y+JRviJY0dcmHv+uo1iXKf+K57Qm8dLqARo+LqLba&#10;h0JlxoILUxC45Z9IOzEQZTcm4hYdp1x1AlVuNWot+X9oLkWe/Gw8MlmDN07b8MlzJ+HbKZnnry3m&#10;PFoTb0gurO2QTPrDYpIhZmLQo91yiI+Rinn3sqiAGUIBqYgE80uyGj7FyqOZ1v0+6gqLx0nUeO1B&#10;met23PLdg4oQwhdK+GjBkrYbRfAIn+RUiyT37ZQ03iLCVxz6I/MVUPnE5EAFAVuQ670BGa4LkWQ3&#10;BrHmA+Cv+T9wkP0X+n0OkCF8MnjvLYX3nufxxvkIXtrswnPLLXhquhaPDJaxeCxBpepcpF6dAuet&#10;v0Bvyf/gyuSfcHLCQOycNBGLx43HzKkTcfzsOdi4BMCU6mfk4sc8x3brQRDd/FlExMnmYGa+YBgy&#10;8xlIzgcy83kHwcnNEXKnNuPGhjGwODyRzXYU/M5NRJLCfORxY5cZrsFtq224zwPjvssR1LiJCwoO&#10;4a4zA7HNVg5xidQB2uhRPPW+gLqAHwpVGyiDu4Sxxu08v38EeQSvRHsjKoy4wXS2474dW7EVLdv+&#10;EpXtKvJMT0rUL15lD7zPrUDI1TWIvLYGgefm83Ypsg13otz+GO64neLz06YY+Ot9mePYZNNVFsLr&#10;+FBEXpiGxzbH8MjqMBo9qcRihcfgE3hMMOqjz9HipNAUdgGFRuv5v56TXCr/JkYRT3zPUpFXIuv6&#10;ZEQe+jfyrw3GA/1pqNAaj3uMP20RF9AWK4May30o19+MpzZ78NJxNxps1qLBbhWagw+gPf6i5EPx&#10;X9PUWDzU0UJb/UIIO3INJONrrhE68wkec+BXMflRLlWQTVnMSvUlXgUtfwHYGHIO970Oo5hwl3nx&#10;IA07jDKhfOKcHzOfgK/o/wM+UTj+brv5VL6cgFW02/XIcl2BVPsZiLMchjDD3+Cm/L9gfXMAbZfg&#10;iXVr3/veYICVwhu303hpf4gvaheeWWzGEx5hj/WXU/nmIu0yC8f6/0BzVj9cHfsvnBrzO7aNHoZ5&#10;QwZg6pghWLNmNcwtXGAl4HNi/uMwZQkRbdjMwx9mXgSTw8ArUHL6xYgAWhFGVzcnyBxbD/Wd0+F8&#10;ei5cj46H84HhSLw5H/kay3HbdBOqzDZLPpx91/4gLXIj8ozWIpd5sJi2fNthF213Px64HUGdL3dy&#10;4GU8C5ZGXZgsHgZcwwO/K7jrcZaZcReqzPdQ7fYzQ+5HjeM5KulZ2vgp5BofRYHtRRTaX0WB9SXE&#10;qO5Fgvo+Zs/diLi5GgFXFyFFaysqnE7Qki7iCRvni7CraAw8h4c8KIp5gARfGAsPxpIsOaFOi1Gk&#10;ugglWnOQrzMDeXbL8CziID5lMOLEn0eR7RbUhl7G+3QdfMzRx6PQ80hTn49spUnIuNoftzXHoMZ4&#10;Iu6YTkYdX19HkiL68kzxNkIFrwJu4p3/Ve6ro3hmLZasXyqB71PUGXyIFop8BbWMUnV+BCniJksT&#10;bVVcsZyuxaGDT6naP67iFp9zTtfFpwQ1qrQKmqPl8CHqJnPfVWbgc6j02ItK3724HXoYtwR8Ybv/&#10;uniA7TacWe+/4ZM0XgEfmy4VUMCX5bscWW5st/YLEG8xHpFGA+Ct8TNsb/4TRtJj0O+T/01Wdzk0&#10;M3C3BPHWTxrvPM7jtetxNHKjihb8SG8FAy9t98JkuG74GQbz/hdkJvyM8+MHYPPQ/pj9x38weeTv&#10;mDp1PE6dugwDM0dYufvQgj1g5uYFc943c/eWvKcr3t0Qb7sZUvGM/cRnOYLgYG+Fi7uXQ3XrFFjs&#10;mwzrncNhubk/clRWo0J/A6qpLLdNtqCc0MXJLYL36bEIuz4VmTpLkWuwHCUEsMJmCwvHXtrtcbZY&#10;5rOAi9y51/GYmexhkBRqfC/gtgtt2vUEbjufQKXzadz3lcYdL2lkWZxAlOZOZpEjyHG+jip/dZS5&#10;K6DI8RqyLc8glU06RGEtkrS4ke2P87ku4x6fr447Wawbcp/g5xn+iXi5OfA/MRphJ8cj5vQYFCrM&#10;RLnWdBRpsKW6LKAFb8O7xEN4EX0Ud/wO4GOuBrrvOKL7obNkydRUgpqtPAb5cgNQrTUSd43H47HD&#10;HMnSXuIkc0++NdXLFp+TjfE2+CaeM6PfF299Gi+QrCDeJDJfGMHzuYAyq2PcLixf/H8rXU7hrvd5&#10;NEYpsAApEX41vBHzDCZp4J1Y60SseSLAixQz/8vgbdQNvIqSxpPgU7hHO68OOYSy0L0Ei/CxbEgu&#10;HAj/P5TvL/jElSyicOQGrkaG1xKkOy5Govl0RBoMR4Dmb7CT/Q/MpX6DzJGx6NfsJ4uPgYqSnPIl&#10;TBWfAmVpwTyqaMGv3QggM9ZDg9W4Jc8Nc2k6/LcNgv3KX6A6cxCkpw3HrrGDsXjEb5g04j8YNfIP&#10;zJgxD/sOncIVWSUo6xrC0tUTNp6+sPTwgjXhs/H1h6V/EMz8aMHikioPP1iaGeHc1kVQ2zxZ8naZ&#10;3U7a74Y/UMwGWWO6A0/t9uOu2XZkKi6E/7lJ8D8/EcFXJiFFbR4BZHPUYYsyoD1bUAUdd9IyjhKs&#10;M3gYfBUPQqWpKtdwL/AS7vqdQ7XPWVTS7u4EEkha3t1QedSwhWa7XIKb6i54aBxAvM1V3I8zR3W4&#10;Ho96DRS6X0OSKZXR5jyKnc/jFjNaFXfw0zBpvKJNPaX1ljAnJ6gsQujFyQg/PR6J58fgvsESPDSa&#10;g1LVoag2G4unrvNR77cK9WyJL6l+PbfN8f2xJ77VuqM+7RrS9ecgS3EE0q/8BwVyv+G2wRg8cpyH&#10;Bt9TaCYoLVkW+JLnTPWylizE99LzBB5ZrsdD8xWod9shmUj9jVikJlIJjz1vospWChVU91Jm4UrX&#10;c3gWKubbU0ZTggaesjTVhYuTy9JsuXQ9Qvc+4jrV7yY+xsnhXfxNvIglyJGnUB18EGXBu1Ei4CNs&#10;xZJ3Mqh8onD8DR8fk8DHwlEQtEliuWme4hIqlijDiQjRHAh3+Z9hda0/dM8Oxt4VQ9DvjYc0G5gc&#10;PgWrojWcOSFEGR8p6x/8qYA+rO7MWHW033taVD/ZRQjfOxKu6wZAfc4gKMwbh7NzJ2Dd5CGYOvxf&#10;GDX8FwwbNhzjJk7BvCXLsGHbDsgoq8DC0Qm2Hp6wFgB6U/38AmHqR+XzDYa1px/MjfVwcfsiaGye&#10;BKONI+FxYDKcdoxAhe52PLU+iEfmu5Gvshy5ikuQpfYnUtkqI6SnIYHKkqk1H5na85DNUlRoyv/R&#10;agNq3A/gvv9pPA6TwpMoGTzjUf2E+ewBG92dsMuoiSQwbIOPuENrYtVwP1kXFdHqiHS4Cs2LqyF7&#10;aC5S3BXxINUOLwvc8TDJFPfFe75xxqjmgVrJmFJBK7/H3FfP530RyQbrcQwR8vPhSeVz3fMHAg/1&#10;R6nKNBaDmWyoQ9lQf8dtvWGotpiEZ8xB75MuobfCBH13XNBx1w4P484hTXcWCtRHI/ncv5By8R8o&#10;0xiGhzZzmRkvSD6X/DHLCp/yXPBZnEeMJYxUuVdue/DKeTNeeLAoBp2larHoJBlRzYzwMsSA6qzC&#10;A/EG1foaaoMV0MjX+S5Jh5FEAU958D0LvvTDpj2pjo4H8JrP2ZIkj/fxVMAkNnvmyJqwo7gVvI+l&#10;Yw+h28UhLiDYSfD+epuN94UNS87zUfXy/Tcg24dFzWUuEq1mIFJ3NPyUf4Ot1L9hKTUC8gcHYdmU&#10;/uj30ukS3rpJ44u/Ilr5j34OU8aHMEU0h7GhBYkWfAavHfezfND61FYhlnIZsGsYTMRpkdWjoLRy&#10;AvZM6o9FQ/6BGYRv/LD+GDvoN8wZMxLLZ07BjnWrcfH0SRgaGsLWxR0WLgQwIAzWIWy64lIrYcWG&#10;6ri2cy70N4+G/dYhCGXm8903AkXKq/HEnA1LeZUkR90x2oY7FnuRzf8jWmoGEmRmIlt9saQVC+st&#10;tlyLMtvNuO9zBLXhl1AfL4enPIrrEhRQl6iIu7STah7Zz9gAXxSao5bB+1GOOR7kWKKGqlIQbwwD&#10;2a3YMv83aF1aj/xQQ3y+H4f3laF4mGyLJ0nmeJZqzlsD3A2XI4QXcM//HBrCr3AnX0IWI0KEzBw4&#10;7P0dXod+R9qNsTyAprA0jEK14s+oUPoFFZqD8ZgZ6HXoEWYuVbTRSj8XW6CWWS2Hxe62/izJLPnp&#10;Z/4HZQqDmOfm4kXQRbTwAPnIv92S6YC2DBvJZ0o+M3O+cd2DNy5bKBjHaZ3Md3z8Y4o5c50NPiXa&#10;4a146zBOj2VHi+Dxdcfq0nYN8YIHU2OUpsSKX9Fun7C1l5htQZ3PCXxOoBvGyeBNkhyeJ7HkRJxD&#10;efBRlFABi8P2EzSxtMFeKh8bethejt1UPapfMAEM2IZcnw1st6uQbD8X8ebjqXr94XbzHzC5+AuM&#10;ud9ObBiKSaOGot9zR6obAWzxvonPAQr4FKqIjwy1nyOphDw6mv2uSk7BvLTfx+a7EVmXZyDl7BT4&#10;7J0M5x2TobVqNI4y/20Z9RNWs4DMG/krFo/qj01Tx2LbzAlYMWE4VvH26L5dUFJRha2wYVquFQEU&#10;VzfbeLGY6Crg6vYZMN4+Gt4HRiP61HhEnBiDlKuzUKi0AilSs1Gs/idqRaM145GmsQbpzH6pMvOQ&#10;r74cxQZ/otphB8HbgiqXPWiIvILGeAU0JKnhKbPN81QtwqeGCmbAqlhFNBZZoLHUDm+qvdD8KAyv&#10;aoLwrMIXt3NdEOWpjCObxmPLgoHwND6Pd3dj8PlhMp7leOFukjWeZjngfooR7sWroyLwCqqZL+sI&#10;38uoa7jvcQK3LHYigdkv/vpEZCpMQIEqwdObiMfMcOUK/VEs9wvKtcfiieMavONOfRuviC/Z2miK&#10;lmYZWoMHxosYcUYi48IvKJQfjmf2K5nlrqBZQJUg3pmg9SaboSVKBR8CLlD1dhPA7WiLvIyv6dp4&#10;n2rIEmONlmwxs4InPue7oq3YHW1F7mjJdcLHTL7uZAu8pIq/FBBS+V8zB74Wp4AYH14Gn0ML4WtO&#10;kOP3actUwUc8MCqCT6I0mA049CDh24/CiH08OMVndHdLTjYXhWwnfNtQ6LcR2R50J7tFSLCcjijD&#10;YfBW/DdsrvwvGF8eCpVTM7B25i8YMXQk4XM4hddO59HsdR0f/Wi3QazbzEBfIjTQxhzYIsmAbGgu&#10;x/HcejcqVZah8PpsJJxh/to/A5oLB+Lq9N9wed4IHJk5HBvH/44Ds0fj+LwJODx3LDZOGISlYwZg&#10;6TTu0E1roayqAnMnV9pvgOS6PmtxIaq2LC5umQpDZr3Ak5ORcmUqsm5wBzI/pfNvZdyciwo9sawV&#10;86fVXqrJZpRqrkMmY0CRxmqU8Hv3HPfils0OloojPMLFcuwaqKe91MZr41WmKTegOip5MN1P08Or&#10;cmd8uBeA1ro4dLzKwPsnSWi4E4UnFaG4V+wHF9OL2EtV15Legjvprnha6I9nRYGovxWM2mIv3E4x&#10;QSXhKw64gtvB59EQewNNsbJ4zox5z/kIKszYxtXnIUthPDJvDESZ2ihUKY9GudJIlCoMRonKCJTr&#10;TpXMPfPc7yA+xojlXk/hkfUa1OjNxV2WlELFCWzKsyTLa71kwXkfzmIQJT5na4y2RAM6kxyaPE9L&#10;Zqlv8tyPFsLbnqWL1nwrfCl0xdcSX3Twf24vDWK2DEfvnQh0louvffC5wA3NwrozrfFOXMOYqMni&#10;wUZM5XwVfhlvWDbexzHziUH4HkdfQSXhK2P5KAk7hCKqn1hTI//vdzgkb6+x5UouHmDRcF2IROtp&#10;iDYaIfmkmsuNf8D84s/QOzcGJzcMw/wx/8LIYWy7jY7H+ALO4b2vFLPfNbxl+/0YooQvoVq0YS18&#10;phW/97+Bt14sIGxXjw3W45bsHKSdm4/gPZOhN/8XmFD9zDbOhPKK8bgydwgUV0yE/NLxuLF0LE7O&#10;GIQdE/tjwzT+0fGDsXHlQkhduQgTCwvYu3vCwc0JFgbyuLpzJrS3jUSU1FzkyM5FofJiKt40FKgs&#10;Jnhr2Xg3cufswGMbSr7aGiriKiRdFp/pmItslZW4Y70HpWYMwnZHWAQUJdfpvUy3wosMW3wocsPT&#10;RFM8YBZ6VmiPt3f80fosAZ/rUtHRVIjWl8V48yQbz+8loP5eLKrzfaF5fRtObJuMILsbKKd91VBF&#10;XtyLR311KB4Vu+BOhiEt6DqBvozHMddoY4p4F6tM9bggWaahlBaafmMUcm4ORY3udNw3XIRKtWnI&#10;vTYYmdK0ZOnfcNdkFmosF6DWYSVeumyUfCi+RMymrz4TlSwr9+y3QCy78DpAzGBwE2+Y2cScz2KF&#10;9XfB19DgeoxZ7ygaPA/jFf+PL1k6hM4eHeXe6KoIRsetULTdikJHZQy6bkejgwdXJx/vrAzkz/jh&#10;a5kX2otc8CnTDG/YgN9GyaMh6BIeeZ9GbQAPqqjraEyUw8PIS6gMOonykKMoDaPyhVL1QnZxbCN4&#10;WyWjkCUj338Vsr1YMhzEh8RHsOEOhJfSz7C79itMr4yCzP5xWDH5P4xnv2Lk8Ino94JANXkwqPpe&#10;wWsfAkj1+xisjC/BhC9YmxBq4EMga3gAW5HLMTwz3YhywpF6ahqCd46C85rB8N89E27bpsN09TgY&#10;rRoDy01TYLV1KsvDRFyfNwDHp/yEXZP7Y/noX7B80hBsWDwX544ehqG+Llxd7GBvJAfpHVNhcmAi&#10;4mQWIU9hAbKodukys1Gpvw73LbbigQDPdhch3EoLXocSjhSp+Yi7NAvp8stQrL8FuXpbkWd5jC1X&#10;BXXxJniZ5YQ3+R6Ezwd1LA/12U54wQ3+8X4E2p6loqkmHp/q8/C1qQLNDSVoepKOhpo4ND1KRnKQ&#10;PuTOrIDOtc1I9lVDZaoDnlWF4/WDaCplBO5kGiMnSBpFgRdxP/o6Xqfo4gsV9iUb5FPPY7hltBKJ&#10;0iMk035UaEzFPeO1kpPF5aoE8MZQJF38N7Jk/0C2wgCUaIzCM4sFbMY88G4MR4HCJFSZrMQzr/1o&#10;Cr+ID2y2bwJl0OgrjY/MaK2MDm+Dr+C5+0m8oFXW+51EAzPnxzQNfC22IVTuhIuAVYSjrTwarbei&#10;eRuFtrIQfL0VwseD0FUViK7KAHSV+aA1zx7N4r1ntuAX4ddQwxZ9h6M29Cqex8rgUcRlVBG+W0GH&#10;URpC+EKY8whfgeT9XKpeEOEL3IRc72VId52JBNuRiDQdgGDt3+Ag8xMsrg6BxumJ2LFkEIvpfzBu&#10;yMAf8D23Z1viH3rte/EHfJJzfrTdII0fAIZr04qV8S5ABi+dT+CJ0SbcIhiJR8ciaPtgROyfiNjD&#10;s+GzeSxc1o2A//bJ8N01Cf4HpsNp21ioLvgZ12b+Gycm/xt7JvyCHVMGYsfscdi5eDbOHdgOdxt9&#10;eJjJQWbnRNidnIokucXIkaNsX5mOLPlFVLs9eGy3D/esdjKoi1MuO1GutwW3DbaxhCxH3GX+LzJL&#10;kKJEudcmgFanCJ86GpOt0Vzqj0/c4PW0zhfZHnhTEoiPVICvtWnoqs/F25pEtNTl4OvrW2h/XY6W&#10;57lorsvEp7p0vKBNBdpK4Tpfm5XSdgRZXWAxccGHhxHoehGPhjJ7VMSqoEJkpTQ1fBCfLCt0xitm&#10;qCc+p1HBApR0czzCT/6EtGsjUayxBDUmf0rWAHlkslgyAVIK1S/+yr+Rev1X3NaagMemc1GsPI4H&#10;3mhGifmEbxfeRoj5pVXwKvAG6n0u4AOb+qeYG3jDVioWx34nmd73Eho53icroSXHEC35Nmhlzuug&#10;yrXdCkNraSi+lIRwBKKNNtxRHozuyhD03g5FT1UoOoo98JmlqzlJG69j5PCEz1vjcwYPA1naom/g&#10;KS29OvgUbgUeYu7bj2LCVxTCkhHCkhG6C0VBtF6/zZLZCeJtxiLSrD9C9H+Ch+K/YHr5F+icH4NT&#10;W0dj1thfMIbgjRg6CmNGT0O/ZzZb8NztEBrZal/6XEWTLxuTN+XdVwmfAlTRHKKB1360MU8p1Noc&#10;wQO9TShhDos7PAKB2/9A0rEpiD84FTH7OPZPRfKRWWzE0xB+dAq8qIzW6wbBdO1wyC8YgMu05BMz&#10;huDM4sk4uGgKdi2bCS2Zk3DUOg+tozPhflE02HlIuz4fiSwZmQTxnuUu3LdmnjPcTAD3osZiD27p&#10;bebYgnTZ5Qg9NxPR1xYjSXktcgz3oMTpCu4Ha+BJjCle53riTVEAamKs8I63X+8loutxFvrqC9D3&#10;vAgfapLx8XEamp9mou1FAQHMR9ebAnyupyreDUNViiU8DQ5D5+Ji6F5agmwfBTwvckLLgwA0lNig&#10;IlqZzY7KF6eIDwz2X8v9CaAtmtiwK202I0V+MgKO/gT/Qz8j/tpk5CrPxVOrTZIrUZ47rmPum4Yc&#10;leFIvUkFvDkQlTqTGDfGEsohKNSejjqPzXgbegjvI5TwRpyjC7qA95FXmc2Yy1iq3hHCD8xlr6lM&#10;r/n1B+azD1S/j1TlljwHfCnyRmuJHwdjBkd7aSC+ltJ2acc9hLK3Mpzw8WAq9cOXXFt8TNbDmwQV&#10;PI+WxZMQKTxmhq2Lvob6uBu4H34e5YFUviDCF0z4glj8gnfx/h4U+u9ErtcmpDotQKzlaIQa/gwf&#10;9f+B7bX/Bf2Lf+DmkTFYOfNXjB/xB4ayaAwbORkTJsxEv8cWa/HEYReeMag3eJzHC7creOUihSbX&#10;63jnTXn3UcQzJyk8sj1L1dmPKsKXc3Mewo8MR+D+IUhgQYg5NBE55xeg6PJS5J0nOEcnIfLYRAQd&#10;GIeAg1PgtmcqM+FEaP05GXJLxuGiOD+4cDJOr5iOy1vmQvvkKhgfYjO6vowlgzZ6iSXjKm2XbbdM&#10;YxVqTLejVGsdKoy3oZpt957lfjywOIw8lY2IukTwFDejxPI0qj3EInh6uBeqiwK21jRnBTzL8sTr&#10;4jC016Si71kJ+p6Woae2GJ1PC9h2E/G6OlZiv1/qMtD2PAvNT5LxoMAHZQlWKIs1pboZIsVFGm5q&#10;O2Ahsw7ZfrKoYuZK8jgHX8NtcFZdjUSn47ifaImX+W5ooeW9StNBjcdxFOivRvT5kfDY9R/4HRmI&#10;2CsTUKy1SDLLfqPXdtQ6rcE960W4Yyra/FgUqI2m4vdH6Kl/I1dNvLuxAk3+O/AyVBpvqbCSMsBW&#10;+ybiEkuBFEsCs3gMc1koWzO/bklSQEuKJj5lGONTDpU/zxGtBZ5oLRTZzgedhK9TwFcaQuBC0UUA&#10;uyrC0FlGOAtE9rOQrDD5OkGVeU8Wz8Kl8YzloyGe1ht1ERVBLBxBBwgcc3cwlS9gN0oCab/em5Dp&#10;vAJJtrMRYz4evpq/0m7/CeOL/aF5YTwOrR+KKaP+Q6sdhiHDJmHU2PmYOGEO+t0zWYEHVgy7tju4&#10;MQ6jwfEUntudQr3dRbxwvcGjVBr3TU7hjtERVFJZinQ2IOHGXPgfG4Hgk+MRe34G4s7MRN61pSiU&#10;WoxswhOxfyTBG4WAfbTmwzPgsXcGXPbMhemG6TBYNxMKi6fg2oJJuLZ6Gi6uHAXlLROht2UEEqRX&#10;IJ7PlXNhLnIJYPLpCci7LpZGWI8yzTUo19mEaqNdeGjJ4mN1AmV6B5B4YxOSVamI3gz70WZ4nerC&#10;AmCJRJvr8NPh68jxQ/v9HPQ+Kyd4t9H9uBLtD4rR9riAjTcNHx+k4M2dGGbBYNylUubH2SDKSx0Z&#10;IcZ4nO+DlppIvKKq5Xgp4Nr+KXBU2YpAs4OwU14FK7klsLi5FJH2x3GXmfJRjjPqcx3RmGVGu1LG&#10;A9cTyJRfAJ/9A+C973eEnBbvV09FkeESPHLbjAbvrWyz61DruApPbZfhrukc5sQB8D3yP0hhLqwy&#10;moVGt/VoCDyNJkL3itC9i5EieFfxhlb4JoaWy8fqAk8STml8SVKWTILeJuYgzLWm+tmhLdcN7Xm0&#10;4EKWkOIA9EjA+wFfB0d7WRBaqZAteS4/2i+zX1OSJl7FqaAxVg4NVNf6eB7U0ZdQTviKA8WKQvsl&#10;ua9EwOe/HXluq5FqOx/xltMRZjAejrL9YXThZ+heGIMbRydi5exfMXbY7xjOhjts+CyMnbAEY0bN&#10;QL9K7TkM8ct/LCtlvgWPaGsPTXfjofkR3j+NO/qHWPu3okR1O4/OzZJwHyU1E2GXmc9kFyNTYTXy&#10;ldejSGU98mSWI+f6QkSLDwHtHA67df1hvXYgHLaMh8vu2bDcMgM2OxbAdPM8qC6fCNkVY3B+we+Q&#10;Wz2IX/+EkFPTkSm1EBlnad2HxiB872DejkCxzALco82Wqq5DrsIqFKptxC2dPbhjfhrFBieQrnMM&#10;d33UUBcrPoPhhbpEJ8SYSsFb/SRe5oag7W4uemtvo+thBT5XF+BjdQ7e3U7D08Iw3IpzQITdTXhq&#10;n0SwkyLSws1xrziYxSIFn1hA3jIjvij0wZ14C5zfNBZXt4+FodQy+BvvQ7T9SUQ7nEFJlDpeV4Xg&#10;RXkQXhR7oanAAS8SdNkaL6NAawMizolL0X6Dz9EhiJQajwwN2q9YbJAqUu+1DQ9sV7I8bMBzjw1s&#10;7uMQefF3RF/+HdmKo1BrvxpPfQ6yhZ5EU8QFwncFb6NpvbF0Jo7XEVfwIuQc3kUxC9L+PyfpoJXt&#10;tZUZ9BOttz3vB3ydVD/x8cmeslB0cwj4OkvDWECCWVD88aXAA5+y7fE+zRRvk2i/idq8VcPLeDna&#10;LpWPVl8eePQv+A6gIIhC5LcdRT4bkSnev7WYjkjjqVS9cTC7+gc0Tg6GwrHJ2LlsIKaN+BdGDx2M&#10;kSMmYPTYuZgwaQlz32T0y1eYQFWZw525CBU6y1CpuwoVWitxW38rqnTo6wrrkXpxCTKvrkDGtWWI&#10;uzKX0C1kwF+OXK2NKKUaVpkeYkDeSdvYgEJu7GzFVYg6M5dH+3hozPsX9PkPmK8fC7sdM2G9jdnu&#10;yBJY7ZoJ9T+H48biX6Cw7Cforv4JAccnIPPGYiScngb/HYPgv+U3RO0ZhOxz03BPi9YqvxpZN1YQ&#10;dtZ6cRGmyUmUWV5Eid11VHqr0W5NCJ4Lnqe4Id70GvxUTqE2ju22NBWtVUW0xRTcivBGXpAj8oJt&#10;keJtAC+DSzC/tgMuqoeRFWGBp5Vshk3l6Pl0jzmwBO+YE1+yIT7LcofGscVQO74AxlKrEWV3HpG2&#10;55AqrD7dCh/vRuFdVRSeZbuhMduB1muOZ6FKqLI5gSzV9fA7Tic4NQbxN9kGFWbhsdse5rczHKeo&#10;gLvR4LMTD515AOvMQJbaRMRIDUDCtYGMGfN/LHLjewCvQ0/Rdi9QBdlsE27iE232XYwMH7uKD9Fy&#10;eM8m/CleC1/SBXz2+Ewr7SgQ4HmiR3xirSwQvX/lve4yWq4YlbzP8tFR6otWKnxLljWLizHeJenj&#10;XbI2XiUo43mcPB4zU97yJ3wBwnYJX+AeFPhuQp7naqTZzUW82WSq3hS4Kk+g4g2H3JHxOLFpEuaP&#10;/xkTh/XHqGEjWTKmYuLk+Rg3YS6GDh6DfunSw5EnOx5FitNRpCzeUZiFPIUZKFQRlwWtQPLZ2VSf&#10;KUg8NpOWOBsJV+YhW3UVio13ocz8AKpsT+Ku/VmUmh1Cnj6Dp8F23DLbhwojVnLtXTBm4dBb1Z+q&#10;NxK+JxfActsY+J2dD/djM+B8ZCqs9o6FGVXS4yQz4oWp8Do6CoFHx8N/zzCE7ByEzBPMk6emokpu&#10;Ne6obsQDPu8jyzMo0NyLfIPjSNc/iXTTS0g0u4IkKxmk2igg2VIGPnJHYHKMjdNEEQVulki3t0Ck&#10;uR7SPG1QGOqCynhPVMS7oijMAplu6ij21UPjrUi8q0lBx8sSfPt0H31vb6OnsQhvb0XgSYoz8j1U&#10;UBVlirJwA1TEmcKbfz/DSxGvijzQcjcWLXcSUB1nhXtxZvhc5o236ZaoD1XHXaeLklNIAWcnIYkN&#10;PvbmHJRbbEVzrDSa46XQnCBF6zyMKvsNqLDm67RbhTSlsYiV/oMxZxLuO67BfZdNtOrtqPM/gudi&#10;lSBa7qdkZTQnKqI5ThafYhXxMUaF6qeDz+JjnbT/NskE6B6SuVrEh8j7qMx95aHoLWfZKA9Hb0UE&#10;ulk4ejl62Iy7COBXAvuZ9iuZuUFM/ZuggcY4ZTwMk0K53zFa7UGJ+uX67UKWxypkOC9EsvUURBqO&#10;hrfGBFhcnwTZw6NwdON4rJw1GpOGD6DlDsfIYRMwfuwsTJ26AGPHTsOg/oPRL+3KcGReGYFsqdHI&#10;vTEeubKTkC07kfY2myozD4mnJiPx4CQkH56O+OMzWAjmIkd1jeRzEzVO57hhL6DK7hxKrU4i3/wQ&#10;cs33odJBfKbiDGqczyHs+hL4np8Nf45w6cVwOjwWfmy13uenIpwqF0yb9bs0B1EKSxF0YzbM9/4B&#10;y+39YbfpF4QRwBLCXnR+LsvMIlQrb8BTs5N4aHEW+doHkaR+AIFyu5BuKY0Cdw3cibDGg1h7VPkb&#10;IdFQGqosMyGK51HsYkE49ZHsTGUrSGTWy8Onhxz30tFyOxFvcvzxIc8fLVSuhhxfCUTfqHqiEXc/&#10;zkBjugeextmiPsEaH2hdjfmeVLoI5ARoIc9fAy8LaVlVkWirScTjdCfcjjbBm0IWj0z+TowB86gs&#10;sjQ3IPjSLMTdXMSxEMVGW9DEQP8qQopKI4cnVLU7nnvx2HcfVW4XcrSnIlF2KEr1p+G2FV+77XLc&#10;sV2Nxx67US9OPDP3NScTNua8lgQlfBGzGiSImeuN8SVNzLTghLYiMTOVO+HzoOKJeVsCOILRx5LR&#10;V/H/wNcjWi/h6y71J6yeaCe4X/i/f0gSH6TSxgtC/TBEGrd8jqPE7xDtdj+yvbYizXURUuzF1Bej&#10;EaAxAI5yI6B5djyObxqBVbOHY/Ko4RhNxRs5bBzGjp6JqdMWE755GDViHPr//AvhuzAC6eeGIfX0&#10;YGRcGk4AxxG+CciWn4bcm7ORe3kmii8QgHOLkHR0GmJYCEp1tuKR60U887rBjXEdd5yvoMr5Mm67&#10;XcYt13OS692qPc/jjtc5VDF0F9nuQ6bhBiRpLEOYHCFUno9QxXlI1VmLVNp0vNoaJBlsRKzBerjf&#10;mAkr5jzzzb8iYM9QFF2Zj1tX2GiPTOb/OQeFcltRqn0It2m30Sr74CmzHdW02/clYdzhIahLd0WF&#10;ny5KnNWgs30etLctwpMwd9wP9Wb5iEdHwx30Nd3Dt6ZqqloZeuvz0f0gFZ23ovAy0RZPIkzwpTgQ&#10;fXfi0FYSjo/Z3ngVb4u3/N7TGFPURBjjTpwF2p+m4F11OCpjTHAvwQzPxPwp3IkvGOxr2HyfpNvg&#10;WZo1Hkbro8pHHkXGe2m3qxFxdQGiry1CpsYG3LY/grqgq3ibqoonzHGPw8+iIfI0GkMOIl9/JmPN&#10;RLbhhaixYea1X4oaKuIj9x14SgV6ES5OrSgTPhW0iMX8WBK+phigXfLhJVE0XNHG/0WsmCTmeOkp&#10;o+1S/XrL+doqQiUA9hLA7koCyPtdzH5dJf7oYvnoyHdHezZfT7IF3sbr42WMBh6H3UCZ93EU+7AD&#10;+OylW7DoOc1BnPV4hOmLy6X+BeNLf+D6/hHYtHAIpowWJ5JHYvjw8Rg6fDKmTF2CmbOWYvy4aRg8&#10;YDB+//nf6Jd0diQyzoxEyonByLwwjKVhAnLlqX4KU1EgPxul1+aimk225safyDo9B0kX5+O+xWE8&#10;IWj13jfxPEARdQGUZT/mgmAlVIsLNAOkcC9ECjWBl/lPX+FjJwkl25HdVmSaMCOYr0GK6Z/Is96B&#10;AsvdyDDi47Z7ketxBMm2uwniVkTJLEbI0bEsHzOpfosQsXsU4o9NQxHhqzY+jTcheih1kkWIFptm&#10;pBU+VcTibrQ97sdboyHZAU/DzOF5cRsMdy5FQ7QXvhSloLO2HL1Nj9D3ugY9z8vRXM3H2Hg7K+PQ&#10;ku2PJoL0OsoYHXm0qzwfZic3fEl1RmuKA76k2OF1shUqAzUJmzU+P0pEz6scvKClFQep0Yo08TzH&#10;nW3XHc9yHNGQ74LGPGc8SiSwYZp0iLPI0t5G62VZ4zZMUOD21N+Oh75X8CZDGw2pilTW62yXF/A8&#10;7AiKTOajzHgOHtgtwiMHDufluO+wCg+ct+CB+z7UB58nGApoTqLiJWuggy23O8MEXRnW6Mh2Ysnw&#10;IHw+VDKCV+pBxSN85QK+v9WP9is5zxf5X/AFEFRfyQREYoHDTylWeJdgyOarjWeR8rgdcBZlfkeQ&#10;zwyawigQZzcNkWbDEaj5Cxyk/wcax/+D05sHYsn0gRg1dACGUPWGEL6RY2Zhzrw1mDJtIUYMH4c/&#10;fv0dI4f8gX5e+6ci7th4pB4dhtxzI5FHz85WmIl81TkoVZuHOyqLcE95CWoUV6L05jI2zg24Z3mE&#10;GeQsan2u4lnQTTwOvIk7fjdRE6SK+2FseVH6eMAGeCdEDg8Zgu9FyOBu2GVU+p9CsecBSXYocNuH&#10;ApcDKHXjfZcTtM0zKAu4StW6gbteMiixZJ6jvWcqLEeJ0lqkX1iEspsb0WDNhhduiaa8IDwuisGd&#10;zDDaXjze58cg1Voeua5KeBBmijdxzqhy1EKJtTqakgPwtTwNX+/m4HNVJr5UpqKtMhHNBSF4z3b8&#10;JtGBG9qZTdFUMjq5A7sybNBF5erl6KECdCWaozPdHi+izVAZbIj7VNi3NTH4VBOBqmgDpDrL40G8&#10;HcuGC96VuqG5wpslxRYP0qmYVKJaP1la7SGEnp0L3yNTEMvilEs1LGBEuRchri9UwIsMJbzKuIln&#10;USeRa7oYFWzBD51otQ4r8cx5LerdNuIJ4XvovIPZ7yReRV/HB1pue5oOujKN0JVjgY5cWyqXM74y&#10;CrSJ83uFLugsofWKBWxovQK+XpH9hPoJ+Kh8PSwdEvjE6prFfvx9T7TydYjLssS0cS9jtVAfrcjc&#10;J/bhMeQ4b2bOW444i3GIMBgGL7nfYHb6N8jsGoBdy4Zi2thBGD5sMAYPG4oRI8dJct78eX9iHFVv&#10;6ODh+OO3n7B+zUL0M98+A8EHJiHh4HAq2yjkXKXl3piGPEUB32zcVVuAGpUFuKu0lPfXMfDvwz3z&#10;I7SMY7hHYO55MfN5nGfblKa1aeIJw/azBHM8jtVFTbgqIVTGg2gFPIyVo0JdRXX4JdyLuoIygljg&#10;cQxlPsyL4rJvKkBloAxu+8sx+9xEse0plFoeRKnxblQY7EW1zkE8MzmPj96GaM4KRGNpAprqKthI&#10;H+Dr/WI0xvsgRf8q8syuodqOdhTGthfuguZQHsEJfmjPiaIKxFMRotCaE0Zr8senRFd8TnRCS6wN&#10;vsRZoztTzEBK8FgUulPN0JNihm8c35NN0Zdkhj5a2tsYY9zy00KGD0egHjOkB1XOFZnuqrgVbIA3&#10;/PpzpQ8+3vKS2PHDTCpgkT/qwrVR5XAFiTJr4XNoEqKvLkKR2X6kGO1AjuMR3A2/itfZavhYqIXa&#10;qAtIN1rO7buT0WYvHjpuQa3zVrxm1mr03o86jwN4HngGLyLFuT4FfE6m5aaLtYLFHH52tFoqXyFt&#10;V8xoVeCAr8Wu6KT6ddN6xaxVEvhYPPoIXY9QQI4e8ZYb23A3rbdDnJgmfM1phC/FBC9iNekeingc&#10;cQUVvkeQYbcWcaYLEW04EkHqQ+B45Xdo7vsNp9cMwKppgzFm6GDJRcVDOUaNnoiZMxZj1oylBG80&#10;BvzO5jtiEK5JH0c/2T8ns4mOQdDeEcx0I5F1bgyyL7N43JiMYjbgapW5uMt8dldxEWo01uGx8T7c&#10;NzuMausDuOtwhOpyBMXMLpXeV1Abo0P7sEJdEoN9oiEesnndi1YlbEp4nKjKoYgnyRyJ8qgOu4oS&#10;X2bCYGlmNqpdGKELU8DtQFlUeUkj1XA3soz2oNzqGO7YnMcTexk8tLqJBm/mkNxI1Jcl4f2zCnQ/&#10;v4cWlog0LSnkaV7EExM5NNlpoduXihXkiN4wD3TF+qAjmUd1Gjdwij+6k33QleCGjlgHdMXZoyPa&#10;Cl0xlj8WyKNa9TCwC/B6Gbh7E40InzGHCQE0QlOENqoD1FEdb4VHOWy5j5kNn8ajOMSAFnQRNbFG&#10;qCW4L7Id8JqZ68u9JHypScWrLDfU+Gki1+AYwVuKKBapPO0NSNP8ExmmO1DmdQav0jXwNksLD4Iv&#10;IcNkMxqCL+Nl8BXcd+c2cNqLWo/DeBFwBq+DL7LZyuJ9rILkkvkPtMXPKUbMaRY/4CuwR7tkBioH&#10;CXxthFEsxSXUTwDYe0vM1/fDegV83wSAt4IInp9kfQ8BX1uOK1qo2hLli6Py0cEe8wCppO2m26xF&#10;jNEChOmOgrficFicG4hrm3/Djvm/Y87oQRg5eBSGDZ2AYbTYSZPmYub0pSwcM/DH70Px2y+/YvnS&#10;BTA0VES/s6tm4+bSEbDeMhLhB0cj/dRo5J0by6IxDkWyU3FHeR5qWBCqFRagko30ruYm3Dfai3sW&#10;e5hH9rP17kcpC8Udn4uoYzN6mWGJuhTCl2qMJ0mGzGFqqI5UweMkLT6mw0Kgi6dp2rgXp4LykBuE&#10;U4CpjsfxGrgfo4q7oVRIPylEqq5DpNJ6VNjxeQO08TzIFLesVFDtRRtLj0RdSTI+195CL1XvRZAT&#10;os7twn29a/hkpoYeZwLjaYVvfrb4HuaKbzFe6E3wQV+yLwHyRB8VrzfBibdO+JbkhF7aZS9LRXcK&#10;VY8HTw9Hb4olvlPpvnHjS+AjeH08oD5E6eJBkAbqs2iv1RHMkHnofpmDu8m28NE5jET7Kwzj13E3&#10;yhAttLW+Z/n4+iAH78pjcC/SArecbiBPZw8S2fSzFJdJLobNNdyCQvvDeM5t8jpFkwXlMvPwETTR&#10;7l5GqOEBHUEUuGrnk6jzu4y3EbJo5Tb7kqiJD/yZZv5fX8SMVTlWtEwbqjtHvjUBtEVbPkeePW3Y&#10;mW3Wg/nPB71lYg6/QHwrD5GA960ihI8FEL4fi8uIef/aWVg+My4I+F5xv9ZFyDH3SdOZjiLVYjUi&#10;defAX3UsHK6PgiYj29GVf2DZ5P6YNGQY4ZuC4UOnY+SoaZgzeyWmT12MAX+MQv/fBhPA/jhyeA8s&#10;LDTRT+rIbpxYPBEyS4fBcfsYRB4YhayjBPDsOBRfm4E7iiwYKgtxX3UpqhQW4ZbsYtxmO63SXYsa&#10;0y24a70LdxwP4FHAJdQlqKEx3YQtzxS1aYSP4x7Vr4ZHzqMkfSqCMeozTFGfbcbvMTclaONxMq0r&#10;VR/PUnTxOIHBnApY5XkBwbIrEKvKJusii7cJjmjJCiOUdmybfqiKC8Sj7EjabR7aM8JQoXUd+Zf2&#10;46O1GrrsdfHN1RjfPAlOADNbmAN6o53RQ6XrTXanmrmiJ9EFPUku+Jbqju+ZXvjG0ZvhTvDs0cli&#10;0cPbXuad76nWPwBMMsG3BCN8SzTBu1At5FpewJ1Ivr5sd3x6nISO57loqgpFtM1leGrsYwOkoofq&#10;4R1b86eKeLwqikZjWTTuxTtQPQxQ7XAR2WobkHJjAYrVV6JQdxOL1wE8DrqOFwkaKHI+h3IPtmDu&#10;eHG5+5NoDTzgQVnlehaPvC7iTYRY8EYbHSmEjgdGC5W2VcxCkCPmk7ZirLD4MfIs8IVft4klu6h+&#10;3WLC8FIv9JX64fstMXtpML5L4KMKEr5esaAgAewq9MTXXBdJa/7IyPEqRpNl8jpq6VZ3mPkSjJci&#10;WG0anK+PhhEL69Vtw7B25m+YOnIgRg8ewzIxi9Y6l6q3CAvmr5W8j9ufqtf/9wGYPm0yFBSkYGOr&#10;i35qivI4u3M9ji8cA601Y+C1fTSS9o5B5vGJKL40G3fkF+EBS8djzWW4r76E8M1C0Y2ZyL0+A/ny&#10;bMKmG/HQ7SCeBF1kW1NBQ5o+nqQa4BE3zCNawQOq36NUE9SmUw3TragYtnie78CcZI96biwB6JNk&#10;gpmsg2cc9yIUkGd5CD6XlyDP+BSPdmU0RNihJS8OjRnRaCpMR11uDJ8jEp9zQ9HgzNZ79RAa1a+g&#10;214HPU76+OZmhB4PI3T6mKDV3wTt4bRV7vjuRGfarTM6qXydSe7oy/TDt9wgfMsPw7c8Wk+OD3rS&#10;2QwJYl+GM/rSCCHVsC/JnKpnTrW0wiu22myzC6hLtudr8MGL0lC8qWZbfpCIp2yIocZnEGN1FrcC&#10;aVXpLmy7bniWGYSX5dGoyxKrTjqxpCmjyvIospXXokB1LYp1t6LQbB+qXc+gLlIBGZaHcZfx4226&#10;GeqitRln6AwE7h4V8bHnJbwMuUnl02Y25WtLM5OsH9KaZcmG+l/wZYuVNM3wid/7wsc7ChwJn1g4&#10;kMovFrEW8An1o91+Kxe3YtZSKiIB7CnyZHFxQVuGLT4RvtfRmrjPTH4/4ByL5VHEGy6Gr/wEWF0Y&#10;C7XDI3Fw1WDMHvszRg8bQsWbgBFDZ2Dc2EWYM2ctptNyhwwZi98J3qhRw3CEYmdkpAp7RwP0U9Ey&#10;gLKsDE5vWYlryyfCau04hG0Zh/TDU1F8bj7uyjH4Ki/GQ/VFeKK9CNVKM1AoPQGJJ4Yg4dQwVOit&#10;wGP3/XgadA7PmemepWriESG6n2wg+azDI26cp1k2eJ7njMY8cfrBFU3MHa9ueeNlCXcOVfIuA+3D&#10;eB5dtN5bbNDJmtsQcGkl7jkpoinMDq9ZJl5kROBlUSqaq/KoeLloLolm5lRGueJxPJU5jla9m+iz&#10;1kCfkx4tl83PQx9f3HXwyUsX7UEm6Gau62UD7o3lxk/g0Z/CDU7V/EYF7cuJRh+B7skORkeaD7oz&#10;vJn9PKiGVMi/VPBbqh064x2ZtwxZiNTRcZsF5kkqPhK8l6XhaCwOx7uKSNxPtEGGqwxy3RVwP9YS&#10;tyOs8bogDC33E/Eq3xvvcp3xPEITNU4XUWJwAFlKm5CnvgmFBttRbncE92iricY7URPKfMvt+DBC&#10;CfdDZGj1UqgNkUZj0DW8CZfFF7pEB7dvG7ffp0y29Ky/IMz+AWF7NiEUEwJJHrOhHYvlXan6xXxd&#10;JT74TtAEgBLgeCsmChfgfSsRy7q6o1OcpGbma2H7b4qi8hL8Gp9TuOtL+AwWwfnqcOgfGYXr20dg&#10;/dwBGDv8JxaMkT+uWmG+mzljFebNXY/x42djwACq3h+/YeWqBVDXuAYLK03YOVD5FHQtoKFtAPkL&#10;56Cwcw30Vk+E2/oJSNhHdTvJnHdtMe7IsvGydDxUZ+tVno5iaWbDMyOQcXE0rXcNHrvswSPf46hl&#10;9X8YJ4+7IrvF6+JuAhWNatfADf6C1V+cgH3FNvWaR9xrVv5XpZ6ojtPDbebCp6l6eBCrilSrwwiQ&#10;XoaAy38Sag3C4I+PqSF4lhiEhrwEtN3PR8/DHKqhNQoUDuGpykk0q19At6Ecus2U0euihz4vqp4b&#10;wXNSwSc3PoefAXpCWSAi7dAX5YxvcW60UlpPejgBjKICxqA3Kx6d6aFoT/WjovgRPuZDKlVPGhUw&#10;ndmQt19jnfE+0obKRcW5RduvSUTHgzR8upOE+sJQPMr0xue70XiSYotiXxVUhujjboQl3hWE8PEo&#10;vC30IXzuDPBswV7MtnaXkKW6A2nya5CvvRGVNkdw2/U04vW34E7INTyKU2JZU0BNoLQEygYWM3Gp&#10;e3OsEj7Ha6GNjvElzQgtGbTeTBPemuBLpgXBs5WsjNkuJobMIoSE7yvh6xJT6BYx75aIBQKF9Qrg&#10;OAR4YuZ6KqJYqaiLP/OV8LWm2+CTmBYuSijfVebt47hD+KK0F8Dq7CAo7RqOU2uHYhGz3rDBv2Hw&#10;sFEc4zF50jwsXrgB0yYvxsgRE9G//x8YM3YYzl84AjMLNVjbacLWQZ9t19ARyvrWUFNWh9r5k5Bd&#10;PQO6qybAd/c8RB9dhOwL81B4YSbKr84lhAtxW34mim8wD16fhHLl2XhsuQGPHXegxnk/7vufx/3Q&#10;a3gQpYJHCQZ4kGDIfGeHxnwPvOaLbCj0Q0NxEF4UBeN5gR+e5Tjjdow27sSpoTZFG7fDbiJUezN8&#10;ry1HmPxW3PMgOFSjz5mhLDO+tLogvC+PQ3thGB6YXMcDqT14S/hadS+j11wBPVbq+Oqqgw4qXquz&#10;Cr44KqDDTQXdbpro9dBFXyDtOJSDQHxLcCF8/gSLeSc9ggDGopOQd6YGojeNVpQZyDxIC0phYUnl&#10;SGYGinDgTnfFxxQvvKJCPoh3xsvCELTcScT76kS+vhC8LA7AW7bGRwnmKPRQomVa4Y3kmkIffKqk&#10;At4Kx+eCADRGMhd7qVD9jiBVdh0K1DejxuYE7jicRKzaOlT7XcUDlrH7PCBrI1WZqW8Sehm8i1LG&#10;J26vFjpFa5IevqSy2KQTPmZpAd9nkf0EfLliqQR7WrBYt+MHfGKaXLHmcHcRowWLhwRA7pfvklnq&#10;f8DXy0z4tciNedEZXxiRPqVaoinGCE8C5VDtfQwV3vvhpzwLuiwZ5zcOxpb5AzBl1CAMHjIUg0aM&#10;wvAR4zFvxhIsnbuGasjiMWg4hgz6A5s3r4SWjgysbbVgxWHraIR+NwydIW9gDxUtI+jIy0N+13rI&#10;LJ8K/TUz4bxzIcJPzEfskSnIODMHxVKLUSo7H2WKs3BPczGeGFOdrDbigf023HbYTTs6jfvB0ngS&#10;o4FnDOmPE4zxPMsez3Pd2PaYe0qD8DTfF7U5nnia44YnzBT3E9keuTHv8wjPdTqOUPUNSDU6hHTD&#10;47jnqYXP6WxhZYl4lxNJ6w1DU1YQXgVb4bbyKbxSOoHP2hfQbnYdnZbyzHya6GLG6/TWR4u9Itrs&#10;ZNFpK4NP+hfQZnCFlqyEHm9VdPlpUQEtJED1pdBi0wSAYcx7YbRaBvCMEHzPYCZK82bOo1KKVsy8&#10;2BxgiS/xzE1VyVSzCFSG2/LACkZLdQJel0Xhw+14NBb4o6nYDy+yXZDpcFNywvtlqgvLhiU+V0Xg&#10;K3+2qyIWb5Mc2eK18NBRiplvL/LUCJ/1MRQb7oLPpVmoYrGoCZfDI0aRhlgdZmoFRhsxj54SPkSr&#10;4KNYKy5Jl8pH8NIInST3WVH5qHRUPAGeGO1suu15dhL4vuY7EUAxPa6YSJz2WyxWp/QHCJ+wYQGg&#10;WMejk7b7tcCVv+eI1kxbvE80Q0O4MlXvNIo99sOZmV+o3p6lg7F4/O8sGUNpuWMxZMRYjB0/BYvn&#10;rMAslo0Rg8Zj4G+DMGnCGMjInIeBsQLMrVRhaasOGwHfNUMXyBo5QUXPEjoaOtC+fB6yO9bj+pLp&#10;0Fw9HXbbxeXw4xB5cCoBnCuZtaBaYwlqDf9EnQVVz2oT7tluZYPbi3vebGPBN3i0a9ImTfAkzgjP&#10;CdjzbGe8Y5sSllub54lHWc54IM76c0M9ZON9yJJxy+MckvS3IdPsIBVUEUV211BF262P5AYrY6Os&#10;zEB7dRY+pgehli/gkfJ5fNaVQreFHDrtFNHpoEJ1M8C3CFv0RVihx08fvc5K6DS5hHc396JV8Qi+&#10;mUsTQFl0u/Nng/XRF8cslyIaLzd8qj8VL4RFI4zgET6hiiwlPXFO6Im1o1Uz77np4XUIf+deFto5&#10;bsc442GKJxUtDm9KWYBov59ux+At1a8p1wvl/jooZT58HG3J1m+Oj2XBaK+icrP5Nmd44nmoAep9&#10;lHHX+gxz3xbcNj+ATNU1CL02jwfyedwNlqHtqqCe8DVEqKNeTJERIs+2q0T102TTFbYr1M6MKsWS&#10;kWVN+Fg6xNS3OQI+B0nT/UrFE0MsiyWWShVzM4vRU+Qlge879w0k8FH5CF+X5GoYMWE4S0e2veQ9&#10;3leicQddRp7rIZhdnIWL64di9bSBmD5sIEYOGoNhI6Zg5OjJmDlzvgS+ccOmYUj/Ufjtp9/x55/L&#10;oG+oDCMzBVjYqMDakdbraIx+1w3dIWfqASVjR6jpm0FPQxsqV67g5tZ1kF0+GUpLBsFizRD4bBmF&#10;yD1jcUtmAR6w9T7SX40npuvw2HoLamy34Y7jPobSC3gYeB2PwlTxOEqPEBrhRSYLQ54bmvhCG/I8&#10;qHiueJTtiPvMgk/Y5mpTdFHJkpFptheZPOrveV3Ds0h9lLgooMBJFSXuBsxJkeisyUX342I0J/ih&#10;zlQV741pp8wP3fbq6PUkSFS7b36m6Au1RU8w26kvs5+DHHpNL6FT+Qh6lTh0z6LH8ipzoTy+eqvh&#10;S5AeehIdqHCe6KWidSfRfqh+39MJH7NmXwJVLoYtMdKaVm2NOhtVNFL9+lh43lenoYQ2XBxsyQPI&#10;BW+KwtD1KAvdDzPw+VYUPhYG8gB0RA7/hzICWJtsg/dFAWjmz30picSXvAC8jrXC8yAWNBdpFOvs&#10;krTeFFm2fN0NbL6n8CRcHo/Em/rh6qgLV8ML2m9TmPh8rapkGa5WFo4vqbTbdHPJ+Jzxt+o5oJMq&#10;J3JbG+9/pYIJxRNLI3RzP/RQ8SS3Rd74RpUW8ImyIVkai7Yr4JMM8fnfXEe0pDI68AB4FiGHbJeT&#10;UD82B7sXDcb0EQMxfvBIjBwyFcNHzsT4ibMxf94SzJ6yAEP/GIeBvw9j+x2GU6cPwcJaE+Y2yrCw&#10;V4GtmzpsXUzRT1rXCcJ6bxo60H6toKxtAmU1XRhKSUFh61JIzR8IneUDYbdyEPw3D8Ota/NRo7wA&#10;VaoLUa29HPfNN+GO1Vbctt2DB17MfH7XUBOggDv+qsx/OnieYoVGAlifaY+HyVS6NBsqnwMeCvhS&#10;TVCXaoA85zNIM9lH8NjogpS50Q1R6q6GUm8DpDloooFK1PmwAJ2PCtn0qDQuluhwZm5zseAt1S7Q&#10;muCxUHgao8ubzZYg9nnQWu1l8d36Bnp0z6FX8zS6tM8R2OvodefO81TDBz9ttFGVumIJWDQVLo4t&#10;kLnve0oQvosT0gTyW4wTi4o1OgNN8cxCAR9i3PD9CQ+CR/moyQhGNUvI7TBLRgxmwqoE9NxLR/ed&#10;FHRUxONNpg9tShXp1tKEyBTvGDne06ZbS6PxlQ35g/hUXZQRnvkootryKAo1NyBTngXPfCed5Cjq&#10;qHCvqWpipvw6AtgQwq9pfx9Y0FpY6D4nGhAMwpdmLlmaoYXbVChVh2QtXjfJ6ZJ2lj0xOiRrdvwF&#10;H6HrKaLKEbxeliABYG+RWKdDrNcm1uwQCwaKBQRdJOv6topJ0eMMUBelimy3S7i2Zw6WTxqEccx5&#10;o4eIUyuzMHr0XMyevRQLFy7HxFEzabcjMOCPwVixcglU1WVgaces56AGCwdVWLsQPjdzwqdlBykd&#10;G1zVscI1XUvc0DHHTTZgIw19qJ45issrp+Lm4iHQJekOa4ahgGWg+MZc5FyfinyFOagw+BNV5ptR&#10;bskN5nwSdz2uSGzzjp8qHobp4lm8KfOcPu7FGOBhkjkeUMJrsxxRzw3SyDBcGaqEWON9SLc8hufi&#10;DWwq5tNIc9wOMEAtbS+J8D1OCUBv3S20Uf0aQj3wNdAL3b60Dzd7dPs4oDfIAT2eFuh2NECXsw56&#10;XLXRxxfY66CA745K6LWRwzdac5+NInodVdHH9tvJ9tsabY3WGDt0RrugN8YdvbG++J5E8BKZgeLZ&#10;CGNYSmit3yJt0RVgghe2qmzDtKlnt9D95j7ePchjwWAWTfeiaxnjCWFtr0hEX00muqqSmFP98SjK&#10;HCmWV1DmrYK32V5UvnDCF8PcF8Pi4Ye3ybZ4GcbX7XkFFfrbUaK+EvfMt+O+0zECp4h3WZZ4n2GN&#10;Jpa3lwTwRYgimrjN3kVq4GOsHj6lCPjEenEWhM8aX3MYU/KY6whbZx6zG++LIeATcHWLy+kLf8DX&#10;V8yoQfjE6C6g4hWI6/88JWt3iCGsWoDcRvg+xhuhMVYbeZ6yOLF+FmYOH4wRQ4ZjxLBJbLRzMWXK&#10;Uixe/CfmzFmMEQPZcH8ZivHMehcunYCZpQbh04SVkwbh43DUgJWLgE/dClc1LXBZ0xyXtS1wVZdf&#10;69tAVcsCWvKqkD2wDZeWTcC1GYOhu3g4Ys8sQcaV+Ui+NAFpUpNRqLYIJfp/oshwMyrtRUmQYjNT&#10;Rm24Hp7HmeFxhD6qAlVxN1KXEJnTokzRwDDeROmvYx7M87yOBB71GXan8TROB41JDLfxdqgOMcPL&#10;nECUhtqxDXuhlztcAl+4F9ojg9AV5I8uH0/0hfmjJ4jZzJUqaKGDNlMldNmqETxasrMyVU4d3VTB&#10;bk9dfs1bZ130hlrhG8HuSuNzCbuNo/0QvL5YgiXgS+At/6YEvihHfGeO7A2xwHsXbTTHuUs+Adf1&#10;9iE+PCnCx9vJaL0VgyexTijyNMDbnFB0305DW2kcPlLlRNMt81JHkasCGmjxLcWErySauS8KLSwn&#10;7zOd8TpaHy/9buCBxQGUaaxElf461LqfZsaTx+sUY8Jngw9imYY4XbwKV8WbMBXCp0kVJnzJ/7/w&#10;fc0hbLlirY0f8HXki2WzmOHyaaUETMDXWyxOqzBaCAX8Gz6C9wM+qh3ttlUs+0Al/UzHeh+jL5lk&#10;KNtNDtsWTsKEIYMwdPgoFo1JGDN2PhYsWId5c5dh/NhpGPjLaAwZMBIbN62Atq48zK3VYeVI5XPW&#10;hqWTDiy5D6xcLdHvqrolrmiY4xLhu0TgLulY4IquNaQJoZymGVTl1XD96GEcWz4Hp+cOl8xEEH50&#10;DuLPTkHsqdHIEpM03piOXJWluGMnZjHnRmQzexDCIB0ozzx3AzVitR8eOU+pfPdjjPE42Q51LB13&#10;Yo1RFqaJahaTHG9F2rIFmvK98DzJC5VeVMsgc/6ON8M6LeFhEb5UpKIxlBs3iuCFBOJbaCh6woLw&#10;1Ycb194M7UYaaDVhm3UgaB7Mc1TPLj89NDur4SND7lcfE3QF2+KbaKxJ3ND8O91J3AnMkd9iaT/R&#10;tF0C+C1OgOiFvmhXfItiJoxkyQg2Q4ubNt4F26C3Jgdd9VV4WhSHKj5XU2EIGtO9kWgpx4PGBq1l&#10;sWgpYvvNDcKnggC8SXfHbV8qPw+oz/kB+MI8+JkW/DnfB1843sSZoFEsm9hCJ9gAAE+aSURBVOV6&#10;AWVqG1Gksg7PXMXM8LTYDAt8zLZDk3irLUoHrzneReniI93kU4whPiUSPoL5OY1NV8CXTeVjwevI&#10;pnXmUO0IoWSZrAJxjaIoEWIhGB7MAj5xjq+ElltM+GjHYnSJJbPyxapFDiwvhC/dBp8TeABEa+EV&#10;rTfBVgbLp43AKMI3Yug4jBw6GVMnLcbihRvZamdj2JDR+PXnAVgwfxZkZM/A1FKVWU+N8GnD2lkP&#10;Zk4GsHA24SB8l1WpehocAry/4LvM5ntFzwpS/FpdxxKaitq4uG8nji4aD5VlI+CweRyCDo1F+JHR&#10;iDk+DDHHBiNbZhaqrffivsdl3PWVJng3UUkrqfaRRm2YEmqjtNn6DHE3VA/VkWaSCzKrY8zwIIW2&#10;wwwirg6uk5ySCcGzZC/k0S4zLG7gabwH81QgOu7mo7kgmu3QAl9pvb2hVKeIcLQH+6PFm9bgZI6v&#10;ljpotzNGj49QKjbUKHtJUfjoRpWg5PdGOqOXKtcdz6ObYHXy9pvIdnEsHFHMd9GehI8QxvtyUPn4&#10;t7+xcHyPplKGGqOFVv6C6vY62Q8t1dksTaEoDrfn/x+CFxleKHDTwKNoe4mqtbP9fqTtthYEoZsF&#10;pD7KCXd8DPAq3gGfc8QnxVzRlu+Ndqrfyyhj1PvJocnnJsq1diJXfi1qHc7hTaiy5G2zz4Vs2qlm&#10;eE6le0mVbIo2YO4zQgtzZEsCDwoetBL4mKe/MtJ08MDuyKL1Cvg4ugldj+QC2b/Uj+omSod4H1e8&#10;2yGG+LqnhHmwVCyH6vrjUvp0e7SlskEn6FNp1fCc7hVifBlzxwvwhmLk4PEYP2I65s9YgXkzV2Hk&#10;8En4o/8QDBs2AgcP74ShOLVizZxHJ7IkfJbM52ZORhxmHBbod0HZFBeUjXFBlUPdlPZrhssEUEAo&#10;RfAU1U2gqaoPlevSkN6zFteWjoPmsuGw2zwUPntGw33jv+G/7SekXpiAEp11LB7HUO50WnI5fbXn&#10;Rcmocr+Ecg9pVPkpocJfHVXhpnjIJlif6Y5XzD1NxYFoLPDF2/JQZqgglAaZIETjGJJNr+B1ZgBe&#10;ZMXg650CNKWF4Km7CVr9nNDN3Pc9IhQdEcFoC+eGC3VFbwCzX4gHLZNHdII3s5sH+ghPs4c+WjyM&#10;JFnuW1IwugjgV2a8dgLYFeOKnkhH9EU6UfH4uwnMfSliUAVTCGCiE5+P8IUZoZUl6JmLBp4zIz7N&#10;CEW2vzVyqKYvcvg/prqiig27NsIS7UXi2jjaa54/w3sQ+m5F42OqHx74GTMP6+N9Gi1NWCLt7muh&#10;L16Lq6/Zel/6KuKB6UkUq2zBY9szeBMsj89Jenifa4u3WWycVLg34h0HKt4bjg90jua/4WMjbRXw&#10;ZTpysHD8DV4u44UYvN/Jg7uL8P2tchLgJBAK+MRjBPOvUywCvnaC3MrnbaHdvwimmwWpwFHxEKYN&#10;749RQ4djDFVv+sT5WDhnFSaPn4OBA4bht9/6Y+nSxVBUug5zSzWYW6nBxkkb5vZaVDsBn7EEPmMH&#10;M/Q7r2RI+AxxUcUIlwnaVS0zQkfr5ZAW8NGOFZT0oK6iBnXpc7i4Zi6kFoyG5sqhMPlzCKyW/xNO&#10;q/+BsP2DkSe/BLfN96PS4TgqHU+i1PYIck12I8t4D/KsTqDE9SqqAlRZPizxPMsHH8si8L4kXGJb&#10;n25Hc0ShMsYK/jonYXdpLbIp8S0lUfhSlYPuh7fQmByEei9LfPLhEenjTGCC0JMcjg4+3pPIoziG&#10;R3RsAPqY2/oS/dhWPdBBG/zgZoBWb3OCFcgWG4rexEB0J/jgcxifJ4xlIpRKyfs9ca78Pea/VCpf&#10;GhUxlQrLnNYXb4leNvA2Dx797ppsofb4cCsFdTlhuMs2fJfq+oyt+a6vNmp8Nalu1mjJpLLleDGw&#10;MyIUhDI7BdM2bVHlxueINmWuciOYoll6UwU9+D1TNLKk1TtKo0Jrt+RD8e8CZfExWgXPxRzM2cxd&#10;WTZ4J7IfAXyXYIL3zM8fEwlfCtXxL/jaqFZ/wyfAk8D3F4hdBL5bZL6/wRO3HH2Er1vkPTHlB4ug&#10;yHmtWXa0cEfmPTNmSw3UB8kxQslD7/xmTB78B0YPHYNpE+Zh4eyVmDV1IYYPGYNff/0NgwYNwNGj&#10;B6h66rC00YSFDcsF856prQbMHPUJnilMHM0JHwvHOUUDXCJ40oTsmpY5pDRMeN+UFmyKqywgN9XN&#10;IadqAkU1XWioKkH+1AGcXjoTZ2YMhOrykTBa+jtM5/eD98ZfkXxhOvJU1iBXdzOydDYjQWklcvW3&#10;osTyAPItDqPc7Sruh2rQRq3xOtcfnyti8elWLD6URaP1TgJeUP3CLS5D/8wyOEuvQ4mbItor41k2&#10;KvCtrgZNOdF4EUjbCnRBqw/VL4xHbUoIujNC0JsWiN4kP3yNC2Qh8UZHlAe+BFnjvZshbdcIXYH2&#10;bLBUvoQQlopQKmAAsyMbHW2zM8SaNm4rga+XiveNavs9ixCzxXYnslETvu4IQ2ZGTbz20cWHFP7d&#10;xwVov5uJhnRf3AuzoK2aoSnRkirGWzb85hQb7mz+PjNed14QQ30kM5QP7vlo4YG/Jt7wZ7+weH3J&#10;Eh/08SFUtFZGkueuMqjU3Y27xvvxVqyPEiGPejbdpgxzvErhcxMGsQ5wM222OdUSH5mjBXxf0miP&#10;hE+cFmnPcEQnbb0r5y/Fk9wnjEL1/oJPclqF93uY//qY+XoEfOIyqkx7SXH5zNGWKd7bNaLK8qAI&#10;VUCB6w1c2DwbU4YMwcRRU7Fw1iosnrsK40dPxsA/BmLAgN+waNEcKCqLiwd0YG2vByt7bUneM7El&#10;gA5UPrZcUydLmDhZod8ZeT2J8knTbqUJ3mUVPVxR0cdFDSPasDGklE0gw1IirW4IOQ1tqCnI4cLO&#10;LTgwcxwteAq0Fw2DwZx/wnNdfwTuHQ6/Q2MQdG4q3A6NgNfxMcjRXo9qFpF8030oczovOWFayw3f&#10;lMuwXU47Ko3G26JwNBLG4mBdBOgfh7viNkTpHOCRxsxTFYfvL+7i+6vH+FydhzfxVKwID7QHcWOG&#10;MavRSrtThNqJk8K+aIv0xUc/BzT7WOGTpwk+Ouujjar3LcyZ2U2UCj8JhN9ZMnqojL1xLB/CdpnJ&#10;xMWm37KC8T03HN/zwvA9O0Dy3m53oi26IwmwnybeB/D5sll2HuWhqyaDmdQFVQTyMcF5TTV6k0SV&#10;SjLAp3RLyQ7tYabrLQjBNxaQblrwy2hzAqhKC1bFuyRaWjqzFRWphcXgY6wRXnrKoEJvF8r1t+Ol&#10;zyW8jZTDiwQCwMz3OlE8P3OemBaXQ0AiZioVqifga02zlYw2PqfIfJ3ZArz/x3678wkegZOA9zd8&#10;fKyP7bdP/K9CjYXaiecXABL2jwl8XdHKeBIii1Tri9g5bzimDRuJ2SwZy+evw9zpizF88HD0//0X&#10;TJw4AsdP7oWxqTps7Axgy3xn5UAAnXRh7qQPcxdjWLhZwcLVhgBao9/Jm1o4JauJ8wo6uKDAYqGg&#10;hctKusyAejirrI8rSia4omqJs1THS2r6kFFShdzVa7i0bSeOs9HcnDUC+nN/h/3y32C36idYrxPT&#10;QoyB39FRCDo9QTLrVKrSciSrr0eW6X7cZwN+Es+NyFbbXMIMl+KJO1F2KAk0RJrbTRT5i5asigKb&#10;C7jto4QWAtpZV4m+pifoaqjGl5J4fGEhaGXG66PCfUvwJ0Q+hIcbMdwdbYFu+OhuiWa+0A4PU3T7&#10;WjALUtkCWUBCaNXBzvgW4c42y7IhLJaji2WjM8IFHQSyO50qmh2Bvpxw9GbRztOoXilU2WgzdAeo&#10;06pNCBSV834WOqtT8DjSDhUeGrjjq4waf742lqtHITKSJfRbhX1lcIdm+TF3UaEJX1u2O2qDdVDu&#10;fB2PAzXwOtYcH9LFit+2LA8M9v438cDiICqMd6BOzIctJgiKpXoTZgHdRzEtLm/bMgkZrVFyP4PQ&#10;sZX+gM+Ow4Hqx9ZLVf1/w0fl+6twSKyXqteTx+0mBkHszefP5LFsZPH/FvCxYTcnaLMQKeBegDTi&#10;zM9i7eQ/MGvkeKyYtwmLZ63GpDEzMPD3/hg88Fds3LQMGloyMLXQgI29AawJn7mdAI+Dec/c1YTK&#10;ZwlTZysY2VP5jsuo4+RNdZyV08QFjiuKWriqRBCVdXGGEF5UMsJ5JTOcVmEhURNKqAvZm2pQu3gd&#10;p/9cg3NTR0N1xiDozfwJFkt/gfvOUfDaPwre+4dJAIy+MhPRUrMRK7ccGfo7mYuu42GkNupTbVGX&#10;4oyyQDNku2ujLMgAD3hkP8+wxstEc5Q6XWU7VJBcBdLyqAi9b5+g7+1D9D4p4ZEdhuYgQhTlBYjT&#10;ItFspWFsq8HcyLTkDi8rdLqZotfTFN99zdHtZYI2F110+zC7+duiL0QUDP48lfIbs2F7pCdaQlzQ&#10;EumFVubC9lRmNJab9tQAdKbRklLZFmP5nITlc6gpFSMEnVVJ+FwchQchZqh0V8X9ADU8ClXCs0gl&#10;3PW7hCehsmhOF+ffnNhE2TRzA/l7YviwMJij0uUmSu2l8NBbBU1xRviYYSTZ0e9D5FHneBrV5nsI&#10;31lanjzeCRtn1mslpC1sny1UuTbaY3uOE0EhaJkCOMKXKm5/jLZ0B8LnhE4C+L/hY+OVjL/g6y1i&#10;fKDy9VB5e0UeFOcGReYj1J+5H1qS+X/FsWCFyqDa+zLCDU9j5YQ/MHfsVKxZshNzJBcPjMKA337F&#10;9KljcebsPhibqcDMShO2joTP0RBmhM/UQReWBM/c1RwmhE9YrpEDlU/Ad+qmBs7JC/C0cY1wXROn&#10;VjjOKOrgnKI+zrGUnCV8F5n9LquZQooqqKuiDZljp3B49kxcnD4WijOGQm/+YDitHQ3PHWMReGQi&#10;vPeNQszFmUiTXYZkhVXIN9qDu66XUOlxDeVsvmV+WoTODNUM4g2ZVKxSN7wrcERNqD6KCd9tL1m8&#10;zPbCm9upaKf1fnv/iNnvDpoTw/GejVfA9z2GGzOEpcHfCr3elvjuZ4k+LzP0uZmgmy+61UoVn8wV&#10;8c5ElgDqUwXt0Bdkj75QF/6+OLlM+431R2dMANpig9CaGIr27DhmsRjeRqIzI5DFgzsq2hZfAnTw&#10;wkePeYsloSCcRcAdt9iAq90IXZAWGiI0qHhqeBouywyowuewZuEQn4EVKhNA8PwlJaQ51QkPvFVR&#10;anUZZRYX8MRblllRHe8SNdEUoYgXnszG5odR73oezXGqbLy0V5aL5kQLNIsTvslUdqrdFwFfDnNr&#10;JoGh2n1J/gs8Se6zJ3zMflnO6M5hdCCAvbmMGYRNjL4CbrsixhAWHgGfGJ18PslJZWHnhP0d48M7&#10;5r3XwVRjL2l4qZzE8omjsfSvS6YmDpuCwb8Pxsghg7F392aoqkvDnAXD0k6HlmvIrGcICyqguaMR&#10;LJj1zJwtYexsAUMHyx/wnaTanZHXou3SbiXw6UCa9nuBj53m7VkBINvuBcJ3ifBdUjPnrTGUNPQg&#10;LyOHI2v/xJHZkyA1hwq4YCgMlwyBw/oR8N83AW5bhyLw4FikX1+KAo3NqGTpqLQ9hVzLo8i1u4B8&#10;N3lURVriGYO4uBKkudwbL9joyrhjighfmYs0KoON0FAch+bacnS/foA+wvc60g9vvFkgqFjfY7jh&#10;gq3Q7W2GHldDfHM3xHcxCFo3N0Sz4U18NLqJZlNZtFP+f8DngN5gF/RECKjYihOZyZKjqHAx6MqI&#10;Q29xBrpL0tgEk9CdFcbiQWuPc8Zbb12UWzCTuergUaQDHkfZo8JTE/e81dEYYYAXYqkB2m1jDBsq&#10;IWzJoNIW+xIQL3QW0HoL/VgyqLK04voQA9zn66+wOo8KmzN4FiqHpgRNvItVx8cgeTwwO4I65/N4&#10;z7zVmswykcJ8SAg/MCe+E4tJi5O/OY6SdzO6xAnlDAKYKs7L0Y5pv18z7AicA+Fj88125uDrzaXa&#10;016/0Xr7OCT3Re5j0ejJY0bkz7dl0f5p8R+ZMd8m6OI94XsTIocnvnKwuroPK6ZOwupFazCdTXfU&#10;gNEY9NsAzORjMjIXYWSqCksWDEt7Kh2znrmdPuEjgM6mtF0L2q2Aj+A5WhNAwneKkJ0leGepfBdp&#10;udeZ626yXEhxXGD5OKeoi/PKej9OxRC6y6pswuKcoKo2rqtqQurCOZxYvxzHZo7CzYUjYLhiDOEb&#10;B/cNo+CybgjsVv8G3z2jJdOa3bc9zp13GBkGO1HscA4VIifFWuIJd4a44PRVoSse0WKKJUtPSaPE&#10;6RrymKdelqegpbYSXY016H50Cw0sG+98HfA93APf2Vh7gizQ42mALgdNdNqqoM9eDd84+qyV8dVE&#10;Bm1msvhqrYhuVwPCR9slfN/4uwK8Hiped0IYvqWx2OSkUBEy8K0sF9/Ls/GNAPblxaKXbbo9xgUv&#10;/YxQQ/ByrBSRynEn2IIFyhxPQw2Zy8ypXuKTXvp4Ga+N59EabLRG+ModLpYk6MhjA6flfiGIn7Pc&#10;maNM8cxPne2dyulwERUuF1BLy30fr4VPIcq4Z3oE9S4X0RSpgk/JFrRWgsEhPsj9gerXIvIdle0r&#10;la0zk+BwfKXVtvH74sRwO+HspH12UAE7ac2d/NluKlsfM11fPls9b3tps71URQmgAmT+fJuwW6re&#10;B+a913GMAUL5+H898VeF/tmd+HP2LCyZsxRjhk3E0F+HYuCv/bF5wxpoayvAxIyqR/BEzjOy1oKR&#10;lTZMbdlwHZj1nGm5EvisOGxh6GRL+Kh8Ar4zcsJ6Ndh4DSCrYwoZHTNcFY1XlA8q30UVAwl8V4T6&#10;UQVPq+jgCtVPSVUVV08exqEFU3F1wQSYrp0D501z4LR6HAvIcJgt/BlmS/6D2PPzUWGwGyUGe5Cm&#10;sRGFVkdQ6XUTTxLMUZvphAZumHq++HuR+ih1U6DqyeBRsDbuxzmi+V4B2utpu6/vsyFn4inB+xjg&#10;DAj4wrlR/VkC3DTQY6uIDvMb6DKRRq/pNXw3v44+s2vosryJHntC6WnEzGcjuRBBvJX2LS4InbHB&#10;6EyKRF9WEr4XZrKVZrP5ZeA71a83L5E7KJ47NpLq449XEQzi+WFoSPRAoqU8csU7GoSvLsqCTdQO&#10;b1NsJGtcvCZ0DVG04UgdfKBiiaknvtLyvub7oE1Mw5HtgXcJNqgLYIYksA2Byih1OI8q96t4FamO&#10;T2FqqDE+hkYPsSSBtsQGWwnRFzEkmY7gUeG+ZjDXidMq/3s44KuAL8VSMjr4ex0CQpaTLubCLhaJ&#10;XkLWl+soue3NJnTiOdJp0fz+10xRXgR8LEGEr4l/+x0V/CUPhge+mtA8tQdr5i/ArMmzmPVGYuDP&#10;AzFiyBCcPXMMRsYaMLfUhrmtLkystaFnrgEDSy2Y2BrC2N4Yxo7mMHKygIEoG4TP2MUB/U4w852h&#10;6p2UUcVxGWWCqE5l0yFo+rhIC76gpMWhw/t6BM+QQwBp8ANIfl9GWR0KsjKQ2rMdF5bMxc05U6Gx&#10;cCp05o3iGALz5UNguvQ3eO4ei1yFdchT3SS5Wreaofqu9w3UJ1IBUqzxjDutNsEE1QGqBE8O1R4K&#10;aGZY/lyRgI5nt/G1rgbfX97Dh7w41Ps5ojXMUwLft1AGbw9tfDEnZCZS6DG7ii79s+jSOoZujWPo&#10;NTiLPktCaK+Eb95GVD3abjjzXowPvjPf9SRHUtkS8L0gi8DlMg9lojszEd2036+pkdwpMWyYYfiU&#10;EYHmbDbhmkzJVBt5HrrIcVXHk2j+71Hi3QdnvM9wwTuqz1sCVx+pi+dRenjL19dMJWrNYqMu9CeA&#10;fmzBnlQwRx5EamiOMaSlmuM+ba3EUaxmydcdpomHlmfx3OM6Pibq43O2HW3QRvI8X4StpnAk2aAr&#10;harGktHB8ZWPdxBKMb6mWnFYclhIbjvTrX5M//HX6OFB3sNsJ247+Lzt3P7taTxI0iwJNksSwfuQ&#10;aICmWE1GHBXUB6mgzFUNMge2Y8nseRg/Slyh/AeG/jEEyxYthLqaAiytDWBlZ0DlI2xWutA3p/LZ&#10;6LFsEDx7ExgTPEMnS+g4WECPtmv0N3ynqXonZFRw7IYSTsqqcCizhKiwAavhgiLtWAKfrgS+q4Tv&#10;oiIzILPgRYJ5UUkFMioqkLtyGafWrcGeseNxfNxoSE8fAaX5o2GxfhJsNo2F01Y23/MLEX1pIUoN&#10;9+EZA+zTICU0xhlKTjxL5nmhAlS43UCZ403UeCrjc643uu5loafxProaHuAbbbfjViqaQtkeo9hU&#10;w91ZHOzR4qCMF6qH0a5zCt/NLqFX/wTa5XegWXo9OlT34RuB/GarIIHve5gTvke74zuLxveUcHzL&#10;SmTuIXglBfheWsj72ehOT8DX+HDextKK4vA0zAu1kT74XJ6MzvvZ+EL4bkfYoCLYhAePE+pi7SQX&#10;D7zP8sR7FqcP6Y5ojDbCqzhjlggTAmjE9iguXxdvt/lK4GvlgVUfoIn3kXroYdZ6GafP1nwNt12l&#10;0OitgAeW5/HSRw4tKSb4JD5LQetsYdv9xMz3OcES7YliDhmqGSH8ykzYzvGVcHay9XYLyKh6X5nb&#10;vlLFOghUJ3NcVwYbuzj/yFwtRjdVTvz8Vx4s7SkWtGs26hRTfExg0YjVwasoNTSywdf6qSCV0eXI&#10;mhWYNmEKhgwcgt9//glTJ0zGqRNHYWamDxuqm42TCaw5hNUaEEATByNmPdqtoxnhs4SBoyU0bcyg&#10;ZWsOfSc72i6b7mnZH/CdlFPFKSrfERlFHJWWxxlZVQl8F0T7pTVfUtDlEODpsoho4hRV76iyEo4p&#10;yOHi9Rs4tHc/Ns1ciE2jxuLQhGE4PXko1JdPgOGfY2G1cSRCTs6F887RiL+2Evd5lDeGqjJoq6Hc&#10;TRoVzleQb3IUZdbncdtNEY9pSc2ZXuioyUZH3T101t1HX/1t9FRl4G0YG260P75FUvmiXdBB+2tS&#10;J3xaR/Dd5DS+6RxCl/xWvL+wFK03N6JHqJ+13A/4wgV8buij8n1Lj2LOS2Xry2O+K0QXb3vystCd&#10;Go+OhAi0J4SjLsiDqhaLlls5eF0Yi/IIR9Rl+qMmxgFPk93wKsML9fFOeJXmgaYMT0LoQcV2Z+kw&#10;w8tYIzTF6zE76eFTuvj8BMuHsN5cT5YQN7yJMsLbcB3aoR3VzRZ1kVqocpHCXZtLeGJ7BR9DNPEl&#10;3RwfaYdfWAjaaJNfqHqf46ho8Wz3tPouQthOINuZAzuoeAK6LqqYgKwjzZzAWfw1zKnoAkDm4yz+&#10;braV5LaHdtvJn++QqKT5/4bvbYwOGsOVCd5N3HGVg4/CCaybOR1jR4xHf6re4IG/YdP69VBTVYSp&#10;mR5smOusCJuFozFM7Kh+Ius5mkrexzVxMpdkPX0qnpa9BXR4ayCU7ySV78QNNRy7roJThPAULfjY&#10;DWXCp0go1XGeCneWpeScZGhzEEBlfZwjpMfklbBfRha7r1/HYanrOH72MnZt2ou10+di7aih2DDs&#10;d1yeNxbyi8ZAf+VoRF5cC/P1IzmGI1V+G2q95FHpchVJuvuQrLkD3ufmIkdvD+55KOFJGGW/IBBf&#10;7xeg++ld9Dy9g77n1eipzsbrMHFFii+6IhzQFWSGPm8ddBhdQo/eOYJ2Gj0ah9CnuBefL/2Jtutb&#10;0Kl5DN9ovd+8dPAtjBuev9cTzaaXKj46GYdv2anMfCncMYmS0ZYcSwuKQ0O4H0oYkjurS9D3uAKN&#10;2aEIZ3vO9zJEdaQt3uQH4UNRKOpTWCAyvPE81Q2vqYAfczzwnAWkPkqf6scCwvGBTfRrnheHD8Hz&#10;YQnxwcc4O7xim2+nKopPjH3MsMWzYA3ctr2EWpcbeB+uKTnR+0lkPbbaVjEyxfuttN9EwpLE/43Q&#10;CfDamTc7mAe7qI4dacx6tNDudAuqG2//Gj2ZArYfo4/K9y3XlvZrS1CF7TInEsDPVOqPYnHACDUW&#10;O7Ge3EWWQ1non9iB+WPGYfhAMcvU75g6eSwuXzoHY2NtFg3xVhpLhch3HEZ/5TxT5jxDOxO2Wwvm&#10;PBvmPTsOB4LnBCNXZ/Q7LSvyHkG6RvioguLdjhM3xNdUQXH+T0GHZUQUEtGICR/V7yLznlDFw9fk&#10;sOuSNHZclsbOC1I4eEYKR49dwr6NO7Fm6mSsGDEUR2aOx7npI3F50u+w37MQ2iuHQ3n+z3DePxOp&#10;6vtQZHkOMarb4XpqLjTYjBOVNuC+J+GLs8Lr8mi0PShE76MKyc7/Vl+JvntUoEhnvA21xicfPbyx&#10;uo5eJ0V0mUqjx+gyuvXPoEPlAHoV9qHj2hb08LaT2a/H9DJLiRJ6AvUlwHZRwXrECerEMHSx7XbE&#10;BKOd5eML739OiUJHcRYak6P4f4Si90E5/4dSPIpxRoqVEqrYrhtSabEE711BMF5m++F1XgDqUl3x&#10;IsMd7whffbwF6sSyowligT0qXDKzVa47OvN88TXbFx38ndZUb7wKFSeO+XgxocwjuLTAh55yuON4&#10;Ba+ClPEl3pDfpzKy1baynbbmOhNG2rBkAUDaKUHrYs7rTGPZoLp+peV/JYQdVLNuqp8EOtrt/zl6&#10;M63Rl8PfI4CiaEgyH5+zmTHoTbgGGgNlUet9FpWOx5BoegXn1i3FlMEjMeS3wRg8YAA2b1oNTU0F&#10;GJtqw8xCDyYW+jC00IWuuS70LPWgZ6UPHeZALSsD6NmZSdqtkesP6AycnCRDonzHr6viiBTtkwCK&#10;r/9+7MR1NZy++QNOMSRwilsq5XFpBey/eA3bzlzG9nNXsOvsVRw6LYVDRy5i96Y9WDltFhYMH4kt&#10;E8Zg7/hhODFxIFRWToHS0jHQWjUSKksHwGznFGToHUOYzAbobRqBmwv+jTjl7ZLZnJ4k2ePt7Th8&#10;uZuNrjv5DPqFBLAIfQ+z0ZzgjueumvhoL4+3BufQzpzXYngK7abn0Gl0Ct26R6h+B9CpuFNy286/&#10;0WlJZXRXQp+/PnoIX3ugFb6EOOFzCDNaoAuag90ItDvqg4XCxBHyUua7Msn0az0Pi9F9P48wOeIe&#10;lbMhiT+bIz4MFIr3hcF4RZDe5AdKlO9FmivVzxn1tMaGeFO8SKT9JpjiTZK1BKAOwieudOnI8UdX&#10;TjDtzRnvksR8el4SOIW1NoRoSOB7zvLxKVafuc8GnzOdmBWdadlO+ESr/Cze5RA2y8wm1K5LtN0s&#10;RhD+ja/iyhbCJJnqTWS8/wJOcl88xhLSm8XMl0OV5G27+PwH4fsUS8cJVUGd7zXJquwFVgfhrXAY&#10;W2ZMwJjfB+OPn/7A2NGjcPHSCRgaqcOAw5Tw6RtrQddEC9qEUcdcH9p8TIMwalsbQs+eGc+BVutk&#10;z+EIbVtb6Ngx8x2+qojDVxVw8LIcDl2RlwB4nBZ8TFqZgCnjBBXwOB8TX4txmD9z8NJNHLh4A7vP&#10;XcWO05ewgwDuI3z7jl7AmrW7sWDGEkweMhYTfh2I+QMHYc3wwdjLDHh21mjcWDwRBttmQf3P0VBa&#10;MRRhN7bC48xyKCz9A1dn/hupWkfxMNQET9Nd8aqEmUvMc5IaiLcZIXhfEI6PxaF4E+uAd166aLG5&#10;gQ6C99XkDN4bHMQH06P4asqGa0abNT6CTp29VMJD+GpGK6aNffPVxDc/Q/QFmqMtwArvvK3wwtMS&#10;bwId8SbIkdmG5cefO6MiDd9qy/HtaTna7mThXVE0PhRHojHBCY0E5W2WN5oyvQmgL14w4zUy671g&#10;Pm1IdsVLwvcyxYnKZ40XVLs3VKV3hOEN1UsUkdZcL7beAHTmc+QF4V08GzKfs6NIZEE3ia02ic+8&#10;OEvhEbPwmzANtCRaEjZ7lhaOLBYs8XZahjiH95fNsrFKTrlki/dyCR9/TsDXycz33/D9bwAl8HHQ&#10;fruyCSDh+787O++wqO593XvviSK9iIJdUVQssTfsXREVBAEBKQqCgtI7DMPANBi6YkFU7F1EBFFE&#10;BTv2GhN7YomiKRrT9j7vfX8LOcnOyb133/vH91kzw2KGh/nMW1abnwR8FRp8V6bAS2bx++sD0ZDv&#10;jmMaV1ruBAxt3wZtCZ44FXL48EFITAqDRiuDUpOCDE0qFMx9aSwe8qx0pOeqIc9WIokKmJqrhCxX&#10;RQXUQJafzclFQlYWEnRZaDGfIC0IIlCBYVSyFdJtt+BIuPK+G6F0D2b54FLcn79kJZz8QzCH9jrH&#10;h+B5LcFszhyvAMyY74XR42bBxmYQOrazhZVpZ7Rt3RadWpvBzsQco9tZYna3DvAZ1AtRkz+HfPZg&#10;RNt3webFk1HqPwExI60Q0FsfNemL8ZBZ6DEb4YMTG3FusxJ1BUm4vF6BK6VKXN+txeO9/LSXMQfl&#10;heHX7GD8IzcQ77QeeKMlfJkL8Y8cL2Y8T/yqdePPvfFT/hL8vjES/7k5hct0/FKqxYcdBHhbAZ6W&#10;5uL5niK8PLAe54tkqNZF4eb2XDyq2EQlK8VdKtO13To8OMJSUZGHZ5ynh/OlKxE85WOP2XZfMb+9&#10;qBFXMVhHKGnHYpcgc9wL2uArQtFYu4YQEqojhIdl4yfC97GOQwDfVq3Hd4T3fV0x7/M2YXp1IB13&#10;1izHlRxfPNksLo+hYhTIbdqwfKIQP3AEpL8cX80SQegEgMcKpINFxXyspf0Ssp+OavCxUoOfWST+&#10;qoAi8wnl+62W9iwAFPAd0eDdATkLXQzuFvnhbI47DivdsXhiX/QyMYAF4bNqa435ro5QaROgo62q&#10;qG7phC8jKwMKMWyzqkId5Dlqqp5Cgk+er0GSjvfzdEjOyUacVosYjVrAF0q1iyR04XCimgkABZBC&#10;3dyXhv/XuCxeQXVbhjneQXD0os16BWKmhz9muCzClNluGDB0Aqw79oG5aReYm7ARGXXnp6QjzPXb&#10;ooNBG9gammFUOys49umFhYN7IXT85wgZ1o3gTce2xZMQN7wdQgdZ4Ez2CjwuZxCnQogjnS9tUuDc&#10;qgTcYFO9vlWDW2I3V+02/OPkVrxbn4CPawhVcQR+oVJ8yPfH77k++M98X2n+UcBZG4Sf14bgp5JI&#10;/LIxFb+WMqTvLmSb3cTMtYNFYBve1e/HT9er8bBiDcpVoajOikJDiRIXCXz9mgScWC0uWimuS5yO&#10;rzi3t8lwezuLxJFCPKfSfUeQvq/fijdUwjcnN+Hd6c1cbsC3/PuFBb8hcM+OEHRGibd8/Ie6zfhA&#10;AMUh9O9qivF97Qa8J3jiunivWSIEfPfWh+Jipie+oPq92pkibV75oarpHA2xS+09bVjs1fhN7Do7&#10;zrzH+SDZujhlcjUVMI8KyMZL+MT8cpQt9xN4zfMrm++vJ5oa8XtxIhJVr3FfCp4z790q8EJdtid2&#10;pXpheh8rdDUwgJmBBYYOGY4VEQFNp0Ky0SozZVDlKJBBpcvIYbEgYMr8PCgLc6T9uNKG5QI23FxO&#10;fg6SCF8s4YsW8Dn6LsX8wFA4LV5OGw3GbJ+m/ObsvxwunPl+yzjL4USlc/QMwCx3PzgQOkntXH0w&#10;coIDbPuOgKVVDxgbd4SJYUcYGnaBgYEtpxuMDAiggTXatbJADwNzjLDugqndu8NzkB0CPu+G3Dkj&#10;scZlGJLt2yN5Ujc0rI7Cw/2ZeH6CbxzftMfl+bi/TYtnB4vw/HgpXjccwS93T+Ef147ghzKxs59q&#10;VppIACPxe+EyQrcY/ySE/8j34/3F+H1dCH5eF4YPLDEfqaI/76BiiKOe6w7i96vH8dvtk/jlwRl8&#10;fFCPy7vU2JXsi9qcaNyhNV9dL6fqRuLsuihc3RKPB3tk+HJXKpt4Kp4eysKbmrV4fXw93lDpxElB&#10;75jl3p4keCdKCGIJ1W8dlTGPariWKlmAJxUFeF1bTDg3cn3xJYFc/4Q4n2MdPpwulg4ufX5AKR0i&#10;/9XGcJxjhLiW64enG6Pxdj+LRwUbrlA6FhMJNAm+IvxSU8jGLHa/rcL7Wj4u4KsVBxZ8Kh0cAds/&#10;2WwlxeNtAeLHKjWLSQZ+rMjAWyre6z1JeLkjFk83h0jw1WZ5YW3EfAyzMoS1nj46tOsClwVuSE6P&#10;hCo7BkqxF0OTDAUBTM/OYMvNgiKX2S43D+qifKjXZENVpGPe0yI1LwupBX+CT0v4ZnotlnKbWM7i&#10;zPAgXFwK2OYtCiRkSzCXoM315m3PJRJ4Mxf4YNp8b4yYNBtdbAfDzKKrBJ6RQXtOBxhQ9fQM+3B6&#10;Qt+gKwz128NCry066lnARr8Nc6AVJnfqBI+enRDDDKicbEvlsyR8XXBlTRTu70yjSmTjJW3lndgb&#10;cLQEjTXb0Mjs9eNtFo+Hl/HP+3XMT5vweqcCP5UmM9NFU/VCaLlL8Fu2Pz5oF+H7LB/8kB+Mj8Wx&#10;0lHIL4pS8HCVAs+25DN3HWZ5OYPfv2KxeHAW392tkfYj74j3xJnCWNzcmIb7W9Jp9zG4URqPO7uT&#10;8HBvCu6zDDxmi33NN/sVrVRsVG4kfO9ObaaibcWP9VRSQvg9lU3Y7yN+eF4SUHG9lmfMgt8Stjfi&#10;6+frNnJd/v205jdHqWZ1BLYyD1/vV+JNuQbPtsehQeeFK4wND9aG4ttdydI5G2I7n3QikLBXsU+X&#10;4H2U9snmN8FXI45MoQUTvp9pp79UZzapHvOdgK/ZepvhE1e6eleWKp2d9mp3HMFbgQci7+nccYhF&#10;LXHBWPQ0+gztDAwxeuRYRMZEQaGNRxrdQaGOR6pa7EZLRZounaOGTKel5bLZriKAEnzZhI/g/Qm+&#10;eOa92CwtWkzz9MVMTwK10I826ktl8yVoAXChAs7z8sds90WYTdgcqXhzCJ4Db4+f5Yp+wyejQ4+B&#10;MDHvCn09axi0toZh6/YEjfAROD2DnoTPBq0Nu8KAamhG9bOiBVu1MkfXVibo09oIY9uYwK27BcKG&#10;s4h8boGIEdaoywzC9Q1RuL0pAQ92peEV37zXlRtoufm4d4j2drmOLfQ8bfI4PpzfTSviP3qvBu8L&#10;IvBzzgq8zwwkeEFoTPPDC00gXq6Jxvs9Gvy0OxN3chNwThuLBywXr6p24tfrJyXle3+1Eo3n9qGh&#10;OBXH1ctxfWMKvtieSpWT4QKz161t/J39MtpuCh7tT2V2y8S3DPvfsgQ01q4lbAK+EsJXSqC2crlF&#10;mueVRWy8zJbMdC9ozy+OFhHI9YRVXKh7A4HbgDeHs/GO0H2kyn97OBcvy9iKCfU3u2XMfQG4kbsQ&#10;D7h8sTUar/bI0XhInCIpjmYRp0ayXBCon2py8fEEYRPn6xK+n47ns0hwmOkEfE0bmz8VjE9LcfHz&#10;j5Uq/CCOXBGX390bg2c7luNhiR9urvJBDQtbUfB8OA3sDmuD/wGbrtbw8fVEhlpOpUuCXCcAZMPV&#10;UvmY7dKofHKdEikEUC4UkKClr8qRIEwrEO02B8mcRMKXkKNDXDYLxyQPb8wgZDPFEEAB3xxPKp83&#10;i8RCwrjAGzNdvTHbzQezXBdh9LS5sB1kjzbMdwbMd4ZUOiM9Kh4BFGMsAGzdCfr6Xah6tF8jjnFn&#10;ZsAOaGNoDUt9K0q4JTp9RgBbGcDezBBuva3hbWcFn/5WWB88D0eUgahWBaFGE4SzeVGoYg5bs9wN&#10;hzQJuLmrEPf3rUbDZg1tbRN+EudHHNuA1yXJeLsuDt/mE8A18fggTpdkxvuxQhytwfy1Nxc18mBs&#10;CnFFlTIMN7fkUH0O0iZ34/7ufFxjpqzLDOeE4to6wrYjheoXThg9cKs0UtpQLJTv2UEFntP+XlRm&#10;U/nYYPlmSwDWrpMstLFmHRqZ9V5Xr8OTg7n4hoWkka//isr3LRXuTc0avKGi/3CS8JxeKzXZHwnx&#10;B6pYIwvJD8fW8PYaliAZ7q4NxNVsF9zL98KzjSukvSFvy7PRWCHKB5WuhlZLdfuJViqU7hfp8Cpa&#10;Lh//jffFBmQBm4DvZ0LYPM2PvRe7/cpS8HJfAr7avgJfiC94XuuBiywa+5KcsWLKSPQ3NWB51MOE&#10;SaOQLIuVNqvINYlsswJAGVKF6hE+uYCPuS81h8rHfJdKAMWkMefJ2XBF0UjMJnjZOsQTvhihfBMJ&#10;3zQvP0z3pPIRvumEbbqAjeA5eFD1PHzgQPBmcuxnOqNzv2Ewsu6O1sYEzLADDAmcSUvOZ9YwFUtx&#10;nypoRAiFBRsadYIh1zWk+okCYsYM2M6gExXQGp2ZA/sYmWFEGwuMtTTDJGtzBI4bDI33TKxZ5oqN&#10;K12xhaN2tYfGfQz2JPtjf6IL9sY6YcMyRwb/HPx6sQL/vFKBd6J5bknC2TRvXFOx/W5T4X31Wvx2&#10;Yz9esI3e2q7FphXOSHEciMIls3AiJ5btdSOe7l+D09pwnNGE4WJuJK6tisWVwjA82JKAszof7I+e&#10;jqtFwXi2h2q4LRF3SuPwaC8BLCeARz4BSLv79igVrppTVYiXlQUENB+P9+vwiur3lqXiVWWh9LPX&#10;bL+v2FrfsqGKo5HfHlJJADYeyiFQq6iAJYRpLcRV78W3PDVo5+FGlgserw/GS1rv23IdbVkc1ycU&#10;MofZT2yrI2QnxSFTRdL8wjYs9hf/XpvXpHAETYzY19t8+/0RNmix229/Er7ZE8eIsRx31nvh9mp3&#10;1Ge5Yd3ySZjaxQqdP/sMNp2s4bfEB0qVXNqVlpaZjLRcKl5OGkeBdNFoCZ8iVwNFfjbh00FGZUvJ&#10;FhDyPuGT5QkAc5rg40QK+KZ4Mr/ReqcTtpkcAd5kJw/MciOAwnI5M129MM5hPmyHjIFBu674D9P2&#10;VLSOMDXpAlParBnBk4bwmRIqMz0rmLW2ggmt1pA50IAAGhh2loqIMfOghXEPqqANIeyCTgSzE7Ng&#10;Vz1TgmiBcV26wutzW4RPGQ6V2yTkeE5C9PjOWOdrj7PaAFTGTcE6r37QOg3AudVp+Ol8Ff5xpxY/&#10;X9+PG1Sr7VFzcChhAT+9YbiyORXfNuxC49UynC1VIWF2fwQPb4NkLjcsm0NrV+LehnQcjuanXR2C&#10;J6UKPNksx82CFXzjV6AsfCpKvAfjktYH3+xIYh4NQ31OIAEUV41Kw5N9GfjmkBavBISVOWhk7vqO&#10;ReDtMcIo8luZDo3VRdLxe29opY2Es7E6nxCKo5E1BE6Jr7fHM98l4sVeJX6UzrtYLx0C/3J3Mu6v&#10;DcDVLCfc1DnTepfgOXNgozjng/C9ZuF5x2b8geXh55M5hK/pwFHp2DxOM3y/EU4B24dKNV1AKUEn&#10;lu/ELr99zJF7xcEDUbi7MYh2644rOfNRKZ+LVJf+6MuG26G1IcaPtUdMQtM+XLVGRttNQXq+HKoC&#10;FUcNdWEm0sVeDCpdRmEef5ZLBcwmeDppZAQwmSPyXoJOx7KhRQSnhVA9YbkOHEfarbDYyXPdMc3J&#10;DZMdXTB2+lwMHT8dPQeOhEXn3mhl1gGtTDuwYIgv9OgKc7E5pSULBadNqw4w57Sh8lkaEEDCZ2RI&#10;G6bqSfZr2A3Ght2lMSF8plxaGNkQ1o783XZor28NW6N2GGViiFn81PkM7IaQ0T3g38cQOc59USd3&#10;wxmFA0qXDMQGvzE4kxNPJdmFjw2H8eHaHhxfvQwHFQtRy9xXnshlfhgui6sj0PqOFyUjxcEOCRM7&#10;Is9zFHaGO+N+aTpuFsXjcKQzrmeH4sXODDwrTcGdolA0ZPlivUc/rFvQF1e1vni5PQWnNYtRleqB&#10;G+ujcKskBvcI4WOq4Ddlarw6rEVjFfMbFe1tVR5eVejw9QENIcvlY4UsE7nSz19XZfFnKrw4KMdT&#10;Zsm7RUtpdaF4SfjEWWcfxBHJtNSXLDhfrluCa5nzcF3ryLzqwTIQxlaqxrvyHLwuY9sm+N8d0TID&#10;aghhjnR83wfCLdrvrywhvxI8oXxC8QRwPwibLWdrPiSueCBjhkzAN7tY8Nhub/K1GnTzUZ8+E3ti&#10;pyJoYmd0bW0AO4qBf4APZIpEqDSpUCmTkC7Blw5VvhpKjrqQ0OVn0n45ou1S5eS5tNs8ASDBo9LF&#10;aTXS9r24rExEKJVYqVRR+RZ4YYbbIlqrL2Y4L8T46U4YOX4mho6ejP5D7NGz31B0tOkPc6vuMDSn&#10;fZp3hhHHkMpnQkUzI3wWAjgxhMhCDC23DRXPjOAJ+AxotQa0Wn19KiDzoCF/R9w3YC400GdTNuhG&#10;iDvzd9vDqqU5bP5Dj4XEAION9TG+nRFmtNdDyHBrFPuNQ3XSPByOd0R1ykLaZDReHlgtnZjzjG/K&#10;ptCJKEt2xoWsAFREz8fhpIUoU/hiv9wPJcFzUeQ2AoVz7bDFfzxOZ/jj610q3GG+O6P2x4ONMXjO&#10;5vxgI4FYE4I6hSuKXGyxw28YbuuW4PG6KL6uG6qS3HF1dZj0FQ0310cyKyXj6b40PBe7pQ6JI5oV&#10;bKwKPNopo5Ul4muqo/SdbmzIL8vS8byMPz+Qgi+3iv23/rii88StVUF4zb//A9XxA9vvB8L3YmcC&#10;vly7GFfUDmhQTME12u/jkhC8PSjgo+0K+Mq0eHuYClqZIR19LM7dECM2Oouv8Pr4qWxIFkvohNq9&#10;JfRiXu9LwYvd8Xi8NRQ3CN5VloyL4hqJSZOxK3YGgqbaoj/t1tVpNpIUsZCz1WaoEghfAtuugE8J&#10;dYGG8Imh8jHnCfjktNb0/AICyKIh8h4BFMoXq1UjVsPJpOqp1AjLIHxDqGr9ho9H74GjYdN7MLp0&#10;74/2HXvDsm03mIkv7qDSGZuwVJhQwYxYKIw7ctmBLZZ5jmNM2zVvhk6PFtz60+i358/YgrnUF5tf&#10;uJ4hHzcWo2/JPNhOKiv6tGIjY74WldGc65q3aguL/2kGy/+w4Bijc2tj9DZojbHtDLF4pC3yvCdj&#10;S+gcbAyYimLvMTgt88b9VWGojnKAbnonbPQahOqVM3AyYg52EbLqBHecVS5FKe37SOA0VAaMx/7F&#10;43ErNwTPtslxlwr2xZYYPN4Zj6+Y5+6sXUEoAvgmzMZ69z44EjYFN7V+uKz0RXnMAlzSLcOtNVG4&#10;VxKHL6l8j3ayhOxNlS7i83QvQaRdPtlF1SolxJuiCV26dE3jp3zs0Q6+xo4YQhmGczoPHEueiQuq&#10;+bizeile7UvHj0fy8ENFnnTOxjc7YvFwfYAE39mkMbiscsCD9UupiHIqlhJvDmQSJk65UNcMNB5m&#10;dhTH+vF3P1BhPwgYabX/YrNUOwGdmFd7kmj30bhfIr4x1Afnsz1wWj4DhyJGoyzNBWvj3bHIZToS&#10;k8ORnkO10yVAk5kIXZYMSl0aVFS7THHyN8ET8MmzNUjVZUrQZRQUSksJvJwsKp/YnZYp2W4SG2+U&#10;WoMQmQItuvQZjLade8GCymZKZRPAmRE2Y0PCod9WgsSIFmrEpmpImIxFu5WUTGzXY4loTQXkmBI+&#10;U6qaqbhNZTPhCDDFNj4BoNgEI+6bSCPyIIfwGhl1holxV7bhzjDnc5uKttzSCsatqJqfWVJN2Yz1&#10;TNBDTw/27dtiycheyFo4GXKHgYge3g5rnQeiPGACtjnZIneUIdY7WOOQ3xCcDp+J8qCpuJa1DLfz&#10;wnEwyBGnIh1xKX4OKoMn4cvCUOn6KHcJ3teHUvGUFvTFhpW4vSoQN/J8URU9BcXutjgeNx2X2XhP&#10;p7qgKnkB7hZH4g7n4dZEPN6ehK/3yPGc1vuUNvlEHA3C5dNdKSws8XjIgvKWZUJks8e7EvHVNoJO&#10;67xRtASnFHNRHjYGFzPm4c6qxXi+Kx7vCNDbcoJSziy5LRJPiwNxWzsH5+NH4mr6VDxa44fnbN4v&#10;tiYwq1HJqKjfiUtmcP3Gsgy8pf1/V06lYxv/sUItfffuj7R4sXx7IA3f7kkmdInS5dVeUvWebo/C&#10;FyXBuMnnvaB1QlXsGByIGIXKTC/UlMQjKcYXqsx4ZGTHQ5EVC5W4zl5uGpQsGepCHTKLdMx8f8An&#10;J2jKwkIoV69i8ciTwEvIotppVbRbrdR2k2nHURlKLI2ORwvz9j1h3IZWyhxnZMQ3ndCZcIwNxW1C&#10;R/gMWgsQrahczHCEx4hgGRE04z+NKW1TjIk0nQgXARSAErymEdAJKLkkZE3TtI6pIX9fzKf7QiGN&#10;CLExm7MZldBaz5yFxBADLMzhYNMOEVMGS1fNDxvK/ObQH5vn9UXxpLZYb6+PPfPa4eTykbgud8Wp&#10;OGfcWxWBR8WJOCXzwYm42WiQzcWJsKn4ctVyPNgWh4vFbHnbIgjFSlzLoQKkz8cFTnnoGGzz6Yfz&#10;Sidcz/XCeTbAWo0H7mxgGdkYga93U/F2yZjVaKMsOo+2x1IF4/D13hS8pO0+oIo+YU78riKHapSD&#10;x1SaLwjOfQFfoR+z6zxURY7HhVRH6ULgT7eFMUIkMAsm4uW+eDwpWYZHtMLr8uk4uXIArsrH45u1&#10;3nizJQRvtkXhDWH+nqr6fRktVTRmzrsyJZdKWqwYWvGhNE4G3h1MJ3gyxoo4KmoMJ5qqz//LlhW4&#10;Ly5hV7hIurLE4cjhKI+bgNNrgnFxtwJZ6cuZ86KRzpGLpS4JKgFfbjotVwtxpan0PDWVjsv8LAKX&#10;A+WqQmRw0gvyqXw6tlstYgSAmcx8tFyxySWa8PksW4EWLalorQlZa6qcfus2fOPFWBC6JtUz1G+C&#10;T4w+W6wBgTBgNvszeBJ8bK5iTAwIH/OcgEmAJNSueZph+/P8+efSOgJsCe7OhI+vI9SPObBDKyN0&#10;1zfCQBN9zOjWDq59OmP5cBsUuNpjk+tQbJltgz2OnXB8kS2uxU7G03x/XFUuZFBfiq9pj/fWrMSF&#10;DLZguRPOJc1lewzF3dIoHM/1QW2OF+p1LCjJjjgSPgFHIydi88LeKFs2ArcLvHGP2evmGn80ULFu&#10;FS8jgCFUvVg21FTmJhm+LImgEkbRasPwhPb9fK8Mt9etxFeb42iPtMWDKhaTJNzZuBIPCPkdPk+9&#10;bDbOpMxCffw0KivbLNvmw20r8XB7GO5v4geiYBFuqufjTNRoHF1mi0vJo/AwzxnfrPfFNyVBeFoS&#10;ile08dd7Utla5Wjcn0Y7bbLVxgMy5joZl2yzn6z2OTPkky2RHP6NnEcsGfc3CtULxHmNM1VvtATf&#10;8XQH3OH6t1hmNuTFQaOJQro6ivDFQpGTwkn9dLCoGopPm1iUbLuq1blNTbewgFmP1stlxqp8pBbm&#10;IpH2G6sjhCwdCZlZCElMYaF1RQt9sT/WtBNVT1gjFY/AGRtY8rYlgRNDKPWa5w/4jGizzfNn+EwJ&#10;nzT/Jnxi/mUdSTm78APQFYatCDaLjEUrK7RtaYH2Lc3QiWXEVl8PQy2M4dyrIxRzR2PjoonY52eP&#10;6oCRuLRyDL5SOOPl6gBa1kLcyPTAiy3heLEjkiroj8sZ83Elwx0PCMf97XGoZ446VeiDk1o3HI+f&#10;gYrw8dizZDByZ7bF/qVDcZFg3Cj0olX6sBEuxeUCX1zO98XtNUHSLrCvStios5u+7v8Sy8Ntvpn3&#10;ikNwRuPFJr0cj6iAD7fG4xFt9Q6Buc/ScKOAwCdMwzW1C07FTMSljLm4x9B/d30g1wnC1UK+Rpb4&#10;oDjgeOhgVC3rgWMr+6Aubjga0qfhps5FgvNhcTCebYnCE36InhL+pomkEkfxQxGDV3tjJHsVrfZr&#10;cYHOjSvwcBOH4N0TeZIfrDr+DbWpM5lxJ6FWPo0fLJaf2nw8qMzBnnWpyFJHQKWORJpWwJfKSYci&#10;WxytrGLGUyAtR5yZRuUr0EnKJ2OzTaG9NgHI0kEARc4TG5WjNFQ/TSZ8QsNgN3gkbdesG9q26cHp&#10;hjZmndHGlK3TpCn3mRBIkfeabVeAJ+1CY7EwJBTNIwD8M3xN6tcElrSx+dP83yBsGgFyN1p/d75u&#10;Z+i34nMw/wkALVtawvIzY7T9rDU6fKaHAaaGcOnfFYkzBqPIYxQOBk/FuWgH3Ex3w8NcX1zNcOIb&#10;7Ixvt4fg9W7+04vZHpXOuJjqhLurluLR3kRc3xmOSxsCcTbPE3Wps1EZOQHFrt2RN6stdvj3Q03i&#10;FJxWsBhku6Ihz5tQuUgWfCXXW9r9dU7lSssiJEnTURkzAVeyF+JKjjdOpjnjSt5iFpgQqmAILZd2&#10;uzYQl6iyp+WOEnyX0+fi+MpRqE+ezobtz+dbjFtivypf56KWr0MoqglfeZAN9i7uhMpQO5xKsMdZ&#10;WvGVzCYAv+Bz3qaS3lztT/AXS1A92BSMJ1tDmOlCJTt/xnlUyr+heCm+JFxinYs6N5xIc8RR2UzU&#10;ps3GScVs/q3+eHdUiR/q1+IpW3PlpnTkqcKgVUWy4bLl5qVxVFQ7AZ+S4IkNyyo+piF0GqRQ3RLY&#10;ahO0WgKog5wtNyUvV9qVFsmmK+CLUWvh4h8A6662aNHWrAesLMTYSJevbyvBRwCMCYpUMj7lvU/w&#10;NSvfX+H7Fxtm5msG7f8PPsJr1FXaFKPXugvjAFVUKjViI3YbmDEDWhDCDnqt0ctID5O7WEjXjc7z&#10;nID9yx1QGTUHdSnzUR09GWdk0/F0oy++3uKHx8WLcF3thDOJM3CLgDw7QDXaE4Hza31wNncBLhDM&#10;ivCxWO/SFVu8emNfEFUnZhyOp/B51MyKhKY6ZQbqMuYQOie26Lk4Ej0OR2MnsKCMRXXseELhinPM&#10;iafFF1Tn++FW0VLcWhsk2fXVVcx6Khc29Flsz85ssdNQETQIp2InsvH64MviILbvYEn5RA67keWK&#10;kzGjUb68N/YH9UBt7HDUxI3GifjxuMjXvs6seJMAXuUHpyHHQ/oC7uurPAnRIqqvL5V0Ee6u8+V9&#10;XyqzF9dxk9a7lO2GU+n8H/F/UUfLrVPNw43VvvjuiBy/1a/C9+Ir+plVT21RYn1mBDIzIpGhTUIq&#10;i4aMwMl0TfAJ2xXwpeVQBXO0HBYMCT4NEglgAmETB43GZmUiUq1GWLoSoclpmOLsBkurrmhhadwd&#10;lsZUP5NuXHbmdIIFrdhUbKOj6gn4jMTGYo7UdAnPX+H76xhRGf8MngFVS4zYFfd386+ANo1o0vqE&#10;UI9q2ppWrE/4JOVl+zXWawOTVhYwb2mI9gSwp1ErjOlkjMUsIdqFk1AaOgf7ohyxO8QetTJaSaEb&#10;vljnjodrPXBL4yhd8/g2be3J3nDc3R2Cc6vdcT6Xiqhyxv5lw5j3bHEgaCgOhQzDobDhOJo0Aacy&#10;HHAgzB6VcbSnlOk4kTxV+hr+ishROBI5ErW8fT5tJq5p5+Mc39jzzGu3Vi8mAMFslCFsyIRqlS8a&#10;BDC5nribsxAnosbSUofQTifhdqE3HpUw61GdLucTnnVUMdr9OdlkZtAh0pyRTcQxwniUoJ+lWjVo&#10;XNnMvQgd1Zbgia9PuFbgRgDdOVTnfBdczpvPccEFnRPq1Y44ncHWn87WTwAv5bijngp6gbe/3h2F&#10;3+vz8NvZIrw5li+dBnBxhwa7ViUiRxUNTXYq1S2D7TUNyRxhv025r0n5xCUwVKsLCCdLBsGLVakQ&#10;k5EhbduL1mixQpGO4ORUBEYnYNxsZ1i27YIWVka0XALYlgBaGndBGyPCJzYgiz0TUtloK9mugE8c&#10;q2dMKP4d+JphEnD9v8BnRIU1krImSxBfS8DXkvC1ZAPW47oiewoAxZjqW6CdsQW6t7HAwI5tMMG2&#10;A7zH2CHWeSSyFtlj/eKhqEqiFfOffinTEbdz5+Ba2iScibZnHpyHu1TEG5v9cHkN34jcuaijBRV7&#10;2GCrT28cDh2BipUjsC9kEMpjRhHAidjk1xdHaK3VbIRHY8cSzGEEj+sE90UNn7NBMQtXVHNwWeOE&#10;BqrW7SI/fCmuSb2J5WZDE3zXqVRf0h4bmPMOiW8bjxiN87Tsu+Jx5k/J2jMXECIvKtsCnJVNQV3y&#10;eCr5RJxJnYKa+ImopWIKwK9kuuNGvidVzZP5ksvVBJAftGuFC3C1wIVwzSVYjgRvLqPCHMI3G/X8&#10;++qpdAK+08p5qOOH5QvmzPc1Kvx2phDvmfdelGfi4X4Nru3UoqJEgVVZ8dDlZyA1V83GmoYkjjxb&#10;ISmfyHwCvvT8bCjE0Stss8k6HZLEofJUvigV1U6eBv/YePhExsIvLBbjHF3Qpk1nKp+JuNJQT7Qx&#10;saHidYGZYQdJ9Ywl5SM4f4Kv6Xg9KpmARgKt4/9mmqD7u/kX0P52uF4rYe0ia3JJFdQniPp6nzb5&#10;iMdbCkDbw5wRwaptN3Tt1BM9e9jCrldPDB/QA1NG9ILXtMFI9hyHDZGOKJc5o1qyGeabhJGojx2J&#10;u9pZuJ7niOtFToTCGVez56IqkkVjtjF2LbGjZY+n5Y5FRdRw7Ftuh7LwQShy74zy6FE4sGIwDorr&#10;DkYNowoNwSFmsfokexaEySwPzGNaRz7ffGYwb3y1MQD3StiSN/izWfriXtEiWj7zViThDfwcJ6l+&#10;F1Jn4QaV8Hq2Jy2bBSCFqkYAz7F5nlPMQIOKAKXPInzTcUp8mJjPrma54Ha+F7Mis+dagkqlEwon&#10;1K6BKt6Q6yQBd143i1ZLUHPmscQ4cRgLtAtQkz4PxzO4HtX5dYUCH+vFfulsPC9X45uDajzdo8Tt&#10;HWk4uVmG4uwYZOemEj7aabaSCsjcp6P95qg5Wt7PRBJH7EKLZ7EQ+2/j2GpjVZlYIU+Hb0w8XJeF&#10;wiUoBO5LV2D0DEfpO3hbtDHrzaJhCwtTG5iJQ58InVC9P+D7Yztfkw2L7MflX9TujxHw/Sts/z54&#10;Yt1Pqir9joBMKKZQu7a8LZYCPmHNHWFu3g3trHuhY7d+6NxrILr26Y+edj3Qv18PjBtqB/fJgxHl&#10;Ngb5LCIbI6ZhB/PZlsA+OBY1AjcI3+XM6VS8WVQBB1zm/R2LuyJ7ph7KQgbjBItGdfw4HCZ8u5f1&#10;xvalPbHavSN2LuuPLYt7UhH7MR8OxJGIAYR2AMsBIUqbiIsZUwifA+Fzosq5UpEWSmeBXVvrSTWi&#10;JeYwx1G99lFFq1eOxDnCdCFNvL4rLqsXoDZxFrb7D6K6zcBZwtegnUMoaeUZs/g3TUJ9GmHUzOXf&#10;zufPcWE2dOfzurIIOeAkm/Bp5QxpzmpnS/BdKXSiMtJ+Cd8ZgnwscSqOsSCdVLviOnOo2NX348lc&#10;6SsXnhxMw1d7U/mYCo93KnCzNAkXtqdhc14sdNnJkOdnIrUgS9qmJ8/KQGKWOEmIQErb8DSIptVG&#10;UunCabehaQoEJaZgSXwiPMIjMCdgKWYs8sMM90XoZz+BtttJtN1esPg7+AieAK15M0tz6RBWLFTo&#10;v0PXNAbSNFntvwvcn0eCTxrxHFTcv8An7otjBk34t5pb9oBlBztY2wxE+97D0L7PEHTqYwebvn3Q&#10;l2M/sBccRtvBf/oAxHmMgNJvKLI9mOdYKk4ysx1LGYeajMmoU07HWcVUrHGxQuZ0Q8I3RCoPZeHD&#10;sCd0AHaG9sVa7w7Y7GeL3csHYOtiW+wIsKUi9mHm+5wNuT+BGs4mOhr1snG4kDGNbXUWzms4mQIC&#10;R77ZM1GZyOdcOQzbvHuidEEXVIUOx3nmxwaWhwssKXUyR1r4SKinWGBv8FDCMosAzsAp5r7quDE4&#10;HDGcH4ixOJM+HRfEbjeq7EmqbU3qZBxJGINDjAdHEsbiMEtJdcoE1PBnx1LHMXrY40DEUGwP7IcN&#10;i3ozRkzCdXGA6sEU/FCThbfHhc2m4P6eJI4MT/cr8WCHHLe3JOPmPi12rkqCLiuRhUINeaGO+Y5N&#10;luAlZ6tpsVS6TDViNCoJvpWKNCxLSUFgUjIWhkfCZcVKzF22DJO8vDHezQMTXdzRc/goWFi0RwsT&#10;054wNekBM5Pu0i4uAZ4JW66ATyheM3xN6vdpYzOhkNRN2Otf5q/wNc/fgfZ30wRdU0bUbymgE1b7&#10;B3zi7zJlJjWj6llY9YJl1wGw7jUC7e3sYdVvNKz7DkZHTje7z9G7T198bmdLCLtjNrOg51Q7hDnY&#10;YbXYHbd8EnZFT0KZbCoqEiejPNweysmmUE0xwe6gz7GfWW93cD9sC+qFrSG9oXI0xPYlfVAeMYw/&#10;+5wA2mAX1XBfSC9mPzta8BBURQxGdcwwHIsfSYUZjar4EaiizVcmjsI+/t4mQrvBowtyZ5hg3dx2&#10;qFoxDKcTJuKSkjlMPpvPMQlbfPojdYwB4RuGyugxfK2BOBQ+FBXRI5g3CVfMSByNt8cJAVfSOFQS&#10;uqPJE1ARP4bDAsNydCByOGcEdoUOwubAXtjg34Nji81L+lL5B/JDNwuPtkXgLe22sYoqt5+QbY3E&#10;3Z3xuLs9EQ92y/FolwIPd6fjflkO9q6RIVMdT3sVZ6JR+Qp00umRqXmZ0jF7cWolIpXpWJkmx7Lk&#10;JAQkxCMgKQme0VFwDA7CzMAATPTyxFjXBZjg7IpehM/c3BotjIxtYMTCYcy8Z2zYSdq8YiTtVhOZ&#10;6w/4mgFsekzAJ4aA/d1IwDWB9Of5O9j+OmI9/ZZ8HT7Pf4NPn/CJgxtMCZ8lW3pnql7PwejUbxQ6&#10;9LNH+/72sO43HO15v3PfEehGJbTp1Q997Hrj8wG9MKx/F8we0QMhM4Yg1WUE8pdNRkn0LJSsnIR1&#10;fsOQPNEKWXO70mIHYUdgb+wMtEVpQA9sXmqL1CmtsNW3F8qY9w6FDcHe5X2xk/BtWGRFW7bhY5+j&#10;nFMdNxzHCNzhqEHYFWzL6cmW3B8HI4dxvf7YusgGRfMssYvPdYk57px8Gq6woAj4ahKmY+eSIdBO&#10;s+TrENhlgwk8yw9hqhJqlkjY4uxRQQCPE7yTqWLD8BRariNq2bRPK2czz83DMSqlgFBSWq5/mMsj&#10;KfyA0bbL4ibSkl3xhPA92xGNRztjcbc0Atc3hdFmI3G7NA5fbk/Bs90ZeMHGK85B2bdaBpUiCilZ&#10;6RJw8lxt0yHzVMJEql60UoEwhRyhMhmWEjz/2Bj4x8fDNz4OTitCMGd5MBwClmCyx0JMmOuMXkNH&#10;MK+3QwtDwmdg1A2GVD0jtlnpAILmbPd38IngLwHxfxrCS/iaYfozfM3b+pofa1a5vxsBn0GrJvDE&#10;mIiDHEz4vBa0XCsbWHXri069qXL9RqCz3TB05DTD17HvaD42kgpIAKmCPe36oicLyQDb7pjYuzvm&#10;D+2BYHHusIc9UhaOQtLcgUhxtEOe1yCUEr7tBG/bkq4oXdwZW4PskO1kiZ3+fbB/2QBCMYBw9sK2&#10;ABsUe7ejFffA/hV9qYrMailjqEijcXClgNMGe0NsURkzGPW09vMqWi+t/Gj4cFxROuCr1WyoOicW&#10;B3ecz3CStjMejZ7Mxm0rwXckyh61yRNRp5iO08xr9YSrjtlPbPS+JMpDtgsuZDnjcq4bl/NxJc9d&#10;2qYnlg25C3C9kCVGFJxif1wu8kaNei5q2HYbWFTERvKLmQtxtTAQt9aH4FYJ4dsQjnub4/B4mwwv&#10;d6vwukyHZ+WFKFsjh0YRjdTMdBYLNdtuBlK0aYhXKxCdIUd4mozFQoblKcn/BZ9vTDThi8XCqHDM&#10;D12OOUsWY5qbG8bNdECv/gNhYtQG/wvBy8NUzOPJ4gAAAABJRU5ErkJgglBLAQItABQABgAIAAAA&#10;IQDki7K8DQEAABMCAAATAAAAAAAAAAAAAAAAAAAAAABbQ29udGVudF9UeXBlc10ueG1sUEsBAi0A&#10;FAAGAAgAAAAhADj9If/WAAAAlAEAAAsAAAAAAAAAAAAAAAAAPgEAAF9yZWxzLy5yZWxzUEsBAi0A&#10;FAAGAAgAAAAhAFvxnwbcAwAA9AgAAA4AAAAAAAAAAAAAAAAAPQIAAGRycy9lMm9Eb2MueG1sUEsB&#10;Ai0AFAAGAAgAAAAhALrBpbu8AAAAIQEAABkAAAAAAAAAAAAAAAAARQYAAGRycy9fcmVscy9lMm9E&#10;b2MueG1sLnJlbHNQSwECLQAUAAYACAAAACEAF5CvH98AAAAIAQAADwAAAAAAAAAAAAAAAAA4BwAA&#10;ZHJzL2Rvd25yZXYueG1sUEsBAi0ACgAAAAAAAAAhAAqEfOC2TwEAtk8BABQAAAAAAAAAAAAAAAAA&#10;RAgAAGRycy9tZWRpYS9pbWFnZTEuUE5HUEsFBgAAAAAGAAYAfAEAACxYAQAAAA==&#10;">
                    <v:shape id="Picture 4" o:spid="_x0000_s1050" type="#_x0000_t75" style="position:absolute;width:15144;height:17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YHLbEAAAA2gAAAA8AAABkcnMvZG93bnJldi54bWxEj0FrwkAUhO8F/8PyCl5ENwnYSnQVKwiC&#10;UtAW8fjMvibB7Ns0u5r4712h0OMwM98ws0VnKnGjxpWWFcSjCARxZnXJuYLvr/VwAsJ5ZI2VZVJw&#10;JweLee9lhqm2Le/pdvC5CBB2KSoovK9TKV1WkEE3sjVx8H5sY9AH2eRSN9gGuKlkEkVv0mDJYaHA&#10;mlYFZZfD1Sig3emzTQaD+Nfp+P7+4bfJ8XJWqv/aLacgPHX+P/zX3mgFY3heCTdAz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5YHLbEAAAA2gAAAA8AAAAAAAAAAAAAAAAA&#10;nwIAAGRycy9kb3ducmV2LnhtbFBLBQYAAAAABAAEAPcAAACQAwAAAAA=&#10;">
                      <v:imagedata r:id="rId26" o:title=""/>
                      <v:path arrowok="t"/>
                    </v:shape>
                    <v:shape id="Text Box 5" o:spid="_x0000_s1051" type="#_x0000_t202" style="position:absolute;top:17575;width:15144;height:8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wvTcEA&#10;AADaAAAADwAAAGRycy9kb3ducmV2LnhtbESPS6vCMBSE9xf8D+EId3PRVBci1Si+LrjQhQ9cH5pj&#10;W2xOShJt/fdGEFwOM98MM523phIPcr60rGDQT0AQZ1aXnCs4n/57YxA+IGusLJOCJ3mYzzo/U0y1&#10;bfhAj2PIRSxhn6KCIoQ6ldJnBRn0fVsTR+9qncEQpculdtjEclPJYZKMpMGS40KBNa0Kym7Hu1Ew&#10;Wrt7c+DV3/q82eG+zoeX5fOi1G+3XUxABGrDN/yhtzpy8L4Sb4C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ML03BAAAA2gAAAA8AAAAAAAAAAAAAAAAAmAIAAGRycy9kb3du&#10;cmV2LnhtbFBLBQYAAAAABAAEAPUAAACGAwAAAAA=&#10;" stroked="f">
                      <v:textbox inset="0,0,0,0">
                        <w:txbxContent>
                          <w:p w14:paraId="1ABF82DA" w14:textId="77777777" w:rsidR="0048064B" w:rsidRPr="00944B64" w:rsidRDefault="0048064B" w:rsidP="00F918EE">
                            <w:pPr>
                              <w:pStyle w:val="Caption"/>
                              <w:rPr>
                                <w:noProof/>
                                <w:color w:val="000000"/>
                                <w:sz w:val="24"/>
                              </w:rPr>
                            </w:pPr>
                            <w:bookmarkStart w:id="47" w:name="_Toc516780146"/>
                            <w:bookmarkStart w:id="48" w:name="_Toc517707388"/>
                            <w: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r>
                              <w:rPr>
                                <w:noProof/>
                              </w:rPr>
                              <w:t>:</w:t>
                            </w:r>
                            <w:r>
                              <w:t xml:space="preserve"> Burn to hand sustained from exploding e</w:t>
                            </w:r>
                            <w:r>
                              <w:noBreakHyphen/>
                              <w:t>cigarette; Hickey et al 2018</w:t>
                            </w:r>
                            <w:bookmarkEnd w:id="47"/>
                            <w:bookmarkEnd w:id="48"/>
                          </w:p>
                        </w:txbxContent>
                      </v:textbox>
                    </v:shape>
                    <w10:wrap type="square"/>
                  </v:group>
                </w:pict>
              </mc:Fallback>
            </mc:AlternateContent>
          </w:r>
          <w:r w:rsidRPr="004F431A">
            <w:rPr>
              <w:sz w:val="24"/>
            </w:rPr>
            <w:t>Ramirez et al 2017 identified thirty patients with burns resulting from e-cigarettes from three burns centres in the United States from January 2007 to July 2016. Twenty-nine were referred within the most recent 18 months</w:t>
          </w:r>
          <w:r>
            <w:rPr>
              <w:sz w:val="24"/>
            </w:rPr>
            <w:t>, with the remaining</w:t>
          </w:r>
          <w:r w:rsidRPr="004F431A">
            <w:rPr>
              <w:sz w:val="24"/>
            </w:rPr>
            <w:t xml:space="preserve"> one </w:t>
          </w:r>
          <w:r>
            <w:rPr>
              <w:sz w:val="24"/>
            </w:rPr>
            <w:t>being</w:t>
          </w:r>
          <w:r w:rsidRPr="004F431A">
            <w:rPr>
              <w:sz w:val="24"/>
            </w:rPr>
            <w:t xml:space="preserve"> referred in the 8 years</w:t>
          </w:r>
          <w:r>
            <w:rPr>
              <w:sz w:val="24"/>
            </w:rPr>
            <w:t xml:space="preserve"> prior</w:t>
          </w:r>
          <w:r w:rsidRPr="004F431A">
            <w:rPr>
              <w:sz w:val="24"/>
            </w:rPr>
            <w:t xml:space="preserve">. An explosion was identified by the patient as the precipitating event in 26 of the 30 injuries (87%). Explosion of an isolated battery while it was carried on personal attire was reported in 10 cases. Explosion of a fully assembled e-cigarette was described in 16 cases. In seven of these 16 cases (44%), the explosion occurred while the device was idle and </w:t>
          </w:r>
          <w:r>
            <w:rPr>
              <w:sz w:val="24"/>
            </w:rPr>
            <w:t xml:space="preserve">being </w:t>
          </w:r>
          <w:r w:rsidRPr="004F431A">
            <w:rPr>
              <w:sz w:val="24"/>
            </w:rPr>
            <w:t>carried on personal attire. In the other nine cases, the explosion occurred while the devi</w:t>
          </w:r>
          <w:r>
            <w:rPr>
              <w:sz w:val="24"/>
            </w:rPr>
            <w:t>ce was being operated. No injuries</w:t>
          </w:r>
          <w:r w:rsidRPr="004F431A">
            <w:rPr>
              <w:sz w:val="24"/>
            </w:rPr>
            <w:t xml:space="preserve"> were reported to have occurred while batteries were charging </w:t>
          </w:r>
          <w:r w:rsidRPr="004F431A">
            <w:rPr>
              <w:sz w:val="24"/>
            </w:rPr>
            <w:fldChar w:fldCharType="begin">
              <w:fldData xml:space="preserve">PEVuZE5vdGU+PENpdGU+PEF1dGhvcj5SYW1pcmV6PC9BdXRob3I+PFllYXI+MjAxNzwvWWVhcj48
UmVjTnVtPjQ1NDk8L1JlY051bT48RGlzcGxheVRleHQ+KFJhbWlyZXosIFJpZGd3YXkgZXQgYWwu
IDIwMTcpPC9EaXNwbGF5VGV4dD48cmVjb3JkPjxyZWMtbnVtYmVyPjQ1NDk8L3JlYy1udW1iZXI+
PGZvcmVpZ24ta2V5cz48a2V5IGFwcD0iRU4iIGRiLWlkPSI5dnM5cHpmem5hcHhwaGVmYTI4eHp3
OTVzZjVhdjBzdjlyZHoiIHRpbWVzdGFtcD0iMTUyMTYwNzQxMyI+NDU0OTwva2V5PjxrZXkgYXBw
PSJFTldlYiIgZGItaWQ9IiI+MDwva2V5PjwvZm9yZWlnbi1rZXlzPjxyZWYtdHlwZSBuYW1lPSJK
b3VybmFsIEFydGljbGUiPjE3PC9yZWYtdHlwZT48Y29udHJpYnV0b3JzPjxhdXRob3JzPjxhdXRo
b3I+UmFtaXJleiwgSi4gSS48L2F1dGhvcj48YXV0aG9yPlJpZGd3YXksIEMuIEEuPC9hdXRob3I+
PGF1dGhvcj5MZWUsIEouIEcuPC9hdXRob3I+PGF1dGhvcj5Qb3RlbnphLCBCLiBNLjwvYXV0aG9y
PjxhdXRob3I+U2VuLCBTLjwvYXV0aG9yPjxhdXRob3I+UGFsbWllcmksIFQuIEwuPC9hdXRob3I+
PGF1dGhvcj5HcmVlbmhhbGdoLCBELiBHLjwvYXV0aG9yPjxhdXRob3I+TWFndWluYSwgUC48L2F1
dGhvcj48L2F1dGhvcnM+PC9jb250cmlidXRvcnM+PGF1dGgtYWRkcmVzcz5Gcm9tIHRoZSAqRGVw
YXJ0bWVudCBvZiBTdXJnZXJ5LCBVbml2ZXJzaXR5IG9mIENhbGlmb3JuaWEgRGF2aXM7IGRhZ2dl
ckRlcGFydG1lbnQgb2YgU3VyZ2VyeSwgU2hyaW5lcnMgSG9zcGl0YWxzIGZvciBDaGlsZHJlbiBO
b3J0aGVybiBDYWxpZm9ybmlhLCBTYWNyYW1lbnRvOyBhbmQgZG91YmxlIGRhZ2dlckRlcGFydG1l
bnQgb2YgU3VyZ2VyeSwgVW5pdmVyc2l0eSBvZiBDYWxpZm9ybmlhIFNhbiBEaWVnby48L2F1dGgt
YWRkcmVzcz48dGl0bGVzPjx0aXRsZT5UaGUgVW5yZWNvZ25pemVkIEVwaWRlbWljIG9mIEVsZWN0
cm9uaWMgQ2lnYXJldHRlIEJ1cm5zPC90aXRsZT48c2Vjb25kYXJ5LXRpdGxlPkogQnVybiBDYXJl
IFJlczwvc2Vjb25kYXJ5LXRpdGxlPjxhbHQtdGl0bGU+Sm91cm5hbCBvZiBidXJuIGNhcmUgJmFt
cDsgcmVzZWFyY2ggOiBvZmZpY2lhbCBwdWJsaWNhdGlvbiBvZiB0aGUgQW1lcmljYW4gQnVybiBB
c3NvY2lhdGlvbjwvYWx0LXRpdGxlPjwvdGl0bGVzPjxwZXJpb2RpY2FsPjxmdWxsLXRpdGxlPkog
QnVybiBDYXJlIFJlczwvZnVsbC10aXRsZT48YWJici0xPkpvdXJuYWwgb2YgYnVybiBjYXJlICZh
bXA7IHJlc2VhcmNoIDogb2ZmaWNpYWwgcHVibGljYXRpb24gb2YgdGhlIEFtZXJpY2FuIEJ1cm4g
QXNzb2NpYXRpb248L2FiYnItMT48L3BlcmlvZGljYWw+PGFsdC1wZXJpb2RpY2FsPjxmdWxsLXRp
dGxlPkogQnVybiBDYXJlIFJlczwvZnVsbC10aXRsZT48YWJici0xPkpvdXJuYWwgb2YgYnVybiBj
YXJlICZhbXA7IHJlc2VhcmNoIDogb2ZmaWNpYWwgcHVibGljYXRpb24gb2YgdGhlIEFtZXJpY2Fu
IEJ1cm4gQXNzb2NpYXRpb248L2FiYnItMT48L2FsdC1wZXJpb2RpY2FsPjxwYWdlcz4yMjAtMjI0
PC9wYWdlcz48dm9sdW1lPjM4PC92b2x1bWU+PG51bWJlcj40PC9udW1iZXI+PGVkaXRpb24+MjAx
Ny8wNi8yNDwvZWRpdGlvbj48ZGF0ZXM+PHllYXI+MjAxNzwveWVhcj48cHViLWRhdGVzPjxkYXRl
Pkp1bC9BdWc8L2RhdGU+PC9wdWItZGF0ZXM+PC9kYXRlcz48aXNibj4xNTU5LTA0N3g8L2lzYm4+
PGFjY2Vzc2lvbi1udW0+Mjg2NDQyMDU8L2FjY2Vzc2lvbi1udW0+PHVybHM+PHJlbGF0ZWQtdXJs
cz48dXJsPmh0dHBzOi8vd2F0ZXJtYXJrLnNpbHZlcmNoYWlyLmNvbS8wMTI1MzA5Mi0yMDE3MDcw
MDAtMDAwMDMucGRmP3Rva2VuPUFRRUNBSGkyMDhCRTQ5T29hbjlra2hXX0VyY3k3RG0zWkxfOUNm
M3FmS0FjNDg1eXNnQUFBZEl3Z2dIT0Jna3Foa2lHOXcwQkJ3YWdnZ0dfTUlJQnV3SUJBRENDQWJR
R0NTcUdTSWIzRFFFSEFUQWVCZ2xnaGtnQlpRTUVBUzR3RVFRTXB6XzhnWmNQV1J3SnQxVEZBZ0VR
Z0lJQmhVMndmWGxzUnJEV3lEbUI2a1JERnFEUnRCelV0NlRucXF4TE9fbHY5ZmhlNU91RUJVNlc1
WWExY215ZUhGQ1FJTHFNaF9UbXZBWWFfSGRqdjlnQ1RtMXBRb2FtRnlmM0pra055RlU2NV90R25C
Ulp2dGNoaWI4bHluR0pZb1NsTkUyWlpQOU53U0FYY0VkYmFoLWV5eGsxYnhEY3hGUHhuVzhWMG1S
dlNtVUowaWVTV2k4Z3Z5czBubS1FM3Roa01FR05jOTdCTzRLejFEbjlfbHVYTWotZERUdFYxa2l4
YXdmZEdtTVdmbG9uUkRBOS13S3lhREYwcC1vQmU3ai1sUkZHNWsxSVU2blhqaV9vdXNPcmh1NnB5
VUxmZ1RSYkp3TjI5cngtbUpWamdJQjRCZWhpV01qTEJ5amkyN01iaER6dHlmWUNLQllQQl9kTWZC
UFA0eUszbHIxUTJvb2NHOEpxRFM2eTBoVWRab3QtUUtmTWltSVF6amFJOUhNdVlDaHk4X091Y3BP
cHN3SnNsRmxrTkQxcDlTOElhNlc4VnROSG5Yemk2TFlpUzNYR1F3NVhuWWdjS3RZcWF4NThCSWN6
bTR2Ykd5QmM1U0RHbEJhWGpfRTA1SXZ2WTk3LVlONjJYTGVhLUVQWlRuVU9TdndtTVVKUnlib2lf
SEt5QXlKeERRVFQ8L3VybD48L3JlbGF0ZWQtdXJscz48L3VybHM+PGVsZWN0cm9uaWMtcmVzb3Vy
Y2UtbnVtPjEwLjEwOTcvYmNyLjAwMDAwMDAwMDAwMDA0NzI8L2VsZWN0cm9uaWMtcmVzb3VyY2Ut
bnVtPjxyZW1vdGUtZGF0YWJhc2UtcHJvdmlkZXI+TkxNPC9yZW1vdGUtZGF0YWJhc2UtcHJvdmlk
ZXI+PGxhbmd1YWdlPmVuZzwvbGFuZ3VhZ2U+PC9yZWNvcmQ+PC9DaXRlPjwvRW5kTm90ZT5=
</w:fldData>
            </w:fldChar>
          </w:r>
          <w:r>
            <w:rPr>
              <w:sz w:val="24"/>
            </w:rPr>
            <w:instrText xml:space="preserve"> ADDIN EN.CITE </w:instrText>
          </w:r>
          <w:r>
            <w:rPr>
              <w:sz w:val="24"/>
            </w:rPr>
            <w:fldChar w:fldCharType="begin">
              <w:fldData xml:space="preserve">PEVuZE5vdGU+PENpdGU+PEF1dGhvcj5SYW1pcmV6PC9BdXRob3I+PFllYXI+MjAxNzwvWWVhcj48
UmVjTnVtPjQ1NDk8L1JlY051bT48RGlzcGxheVRleHQ+KFJhbWlyZXosIFJpZGd3YXkgZXQgYWwu
IDIwMTcpPC9EaXNwbGF5VGV4dD48cmVjb3JkPjxyZWMtbnVtYmVyPjQ1NDk8L3JlYy1udW1iZXI+
PGZvcmVpZ24ta2V5cz48a2V5IGFwcD0iRU4iIGRiLWlkPSI5dnM5cHpmem5hcHhwaGVmYTI4eHp3
OTVzZjVhdjBzdjlyZHoiIHRpbWVzdGFtcD0iMTUyMTYwNzQxMyI+NDU0OTwva2V5PjxrZXkgYXBw
PSJFTldlYiIgZGItaWQ9IiI+MDwva2V5PjwvZm9yZWlnbi1rZXlzPjxyZWYtdHlwZSBuYW1lPSJK
b3VybmFsIEFydGljbGUiPjE3PC9yZWYtdHlwZT48Y29udHJpYnV0b3JzPjxhdXRob3JzPjxhdXRo
b3I+UmFtaXJleiwgSi4gSS48L2F1dGhvcj48YXV0aG9yPlJpZGd3YXksIEMuIEEuPC9hdXRob3I+
PGF1dGhvcj5MZWUsIEouIEcuPC9hdXRob3I+PGF1dGhvcj5Qb3RlbnphLCBCLiBNLjwvYXV0aG9y
PjxhdXRob3I+U2VuLCBTLjwvYXV0aG9yPjxhdXRob3I+UGFsbWllcmksIFQuIEwuPC9hdXRob3I+
PGF1dGhvcj5HcmVlbmhhbGdoLCBELiBHLjwvYXV0aG9yPjxhdXRob3I+TWFndWluYSwgUC48L2F1
dGhvcj48L2F1dGhvcnM+PC9jb250cmlidXRvcnM+PGF1dGgtYWRkcmVzcz5Gcm9tIHRoZSAqRGVw
YXJ0bWVudCBvZiBTdXJnZXJ5LCBVbml2ZXJzaXR5IG9mIENhbGlmb3JuaWEgRGF2aXM7IGRhZ2dl
ckRlcGFydG1lbnQgb2YgU3VyZ2VyeSwgU2hyaW5lcnMgSG9zcGl0YWxzIGZvciBDaGlsZHJlbiBO
b3J0aGVybiBDYWxpZm9ybmlhLCBTYWNyYW1lbnRvOyBhbmQgZG91YmxlIGRhZ2dlckRlcGFydG1l
bnQgb2YgU3VyZ2VyeSwgVW5pdmVyc2l0eSBvZiBDYWxpZm9ybmlhIFNhbiBEaWVnby48L2F1dGgt
YWRkcmVzcz48dGl0bGVzPjx0aXRsZT5UaGUgVW5yZWNvZ25pemVkIEVwaWRlbWljIG9mIEVsZWN0
cm9uaWMgQ2lnYXJldHRlIEJ1cm5zPC90aXRsZT48c2Vjb25kYXJ5LXRpdGxlPkogQnVybiBDYXJl
IFJlczwvc2Vjb25kYXJ5LXRpdGxlPjxhbHQtdGl0bGU+Sm91cm5hbCBvZiBidXJuIGNhcmUgJmFt
cDsgcmVzZWFyY2ggOiBvZmZpY2lhbCBwdWJsaWNhdGlvbiBvZiB0aGUgQW1lcmljYW4gQnVybiBB
c3NvY2lhdGlvbjwvYWx0LXRpdGxlPjwvdGl0bGVzPjxwZXJpb2RpY2FsPjxmdWxsLXRpdGxlPkog
QnVybiBDYXJlIFJlczwvZnVsbC10aXRsZT48YWJici0xPkpvdXJuYWwgb2YgYnVybiBjYXJlICZh
bXA7IHJlc2VhcmNoIDogb2ZmaWNpYWwgcHVibGljYXRpb24gb2YgdGhlIEFtZXJpY2FuIEJ1cm4g
QXNzb2NpYXRpb248L2FiYnItMT48L3BlcmlvZGljYWw+PGFsdC1wZXJpb2RpY2FsPjxmdWxsLXRp
dGxlPkogQnVybiBDYXJlIFJlczwvZnVsbC10aXRsZT48YWJici0xPkpvdXJuYWwgb2YgYnVybiBj
YXJlICZhbXA7IHJlc2VhcmNoIDogb2ZmaWNpYWwgcHVibGljYXRpb24gb2YgdGhlIEFtZXJpY2Fu
IEJ1cm4gQXNzb2NpYXRpb248L2FiYnItMT48L2FsdC1wZXJpb2RpY2FsPjxwYWdlcz4yMjAtMjI0
PC9wYWdlcz48dm9sdW1lPjM4PC92b2x1bWU+PG51bWJlcj40PC9udW1iZXI+PGVkaXRpb24+MjAx
Ny8wNi8yNDwvZWRpdGlvbj48ZGF0ZXM+PHllYXI+MjAxNzwveWVhcj48cHViLWRhdGVzPjxkYXRl
Pkp1bC9BdWc8L2RhdGU+PC9wdWItZGF0ZXM+PC9kYXRlcz48aXNibj4xNTU5LTA0N3g8L2lzYm4+
PGFjY2Vzc2lvbi1udW0+Mjg2NDQyMDU8L2FjY2Vzc2lvbi1udW0+PHVybHM+PHJlbGF0ZWQtdXJs
cz48dXJsPmh0dHBzOi8vd2F0ZXJtYXJrLnNpbHZlcmNoYWlyLmNvbS8wMTI1MzA5Mi0yMDE3MDcw
MDAtMDAwMDMucGRmP3Rva2VuPUFRRUNBSGkyMDhCRTQ5T29hbjlra2hXX0VyY3k3RG0zWkxfOUNm
M3FmS0FjNDg1eXNnQUFBZEl3Z2dIT0Jna3Foa2lHOXcwQkJ3YWdnZ0dfTUlJQnV3SUJBRENDQWJR
R0NTcUdTSWIzRFFFSEFUQWVCZ2xnaGtnQlpRTUVBUzR3RVFRTXB6XzhnWmNQV1J3SnQxVEZBZ0VR
Z0lJQmhVMndmWGxzUnJEV3lEbUI2a1JERnFEUnRCelV0NlRucXF4TE9fbHY5ZmhlNU91RUJVNlc1
WWExY215ZUhGQ1FJTHFNaF9UbXZBWWFfSGRqdjlnQ1RtMXBRb2FtRnlmM0pra055RlU2NV90R25C
Ulp2dGNoaWI4bHluR0pZb1NsTkUyWlpQOU53U0FYY0VkYmFoLWV5eGsxYnhEY3hGUHhuVzhWMG1S
dlNtVUowaWVTV2k4Z3Z5czBubS1FM3Roa01FR05jOTdCTzRLejFEbjlfbHVYTWotZERUdFYxa2l4
YXdmZEdtTVdmbG9uUkRBOS13S3lhREYwcC1vQmU3ai1sUkZHNWsxSVU2blhqaV9vdXNPcmh1NnB5
VUxmZ1RSYkp3TjI5cngtbUpWamdJQjRCZWhpV01qTEJ5amkyN01iaER6dHlmWUNLQllQQl9kTWZC
UFA0eUszbHIxUTJvb2NHOEpxRFM2eTBoVWRab3QtUUtmTWltSVF6amFJOUhNdVlDaHk4X091Y3BP
cHN3SnNsRmxrTkQxcDlTOElhNlc4VnROSG5Yemk2TFlpUzNYR1F3NVhuWWdjS3RZcWF4NThCSWN6
bTR2Ykd5QmM1U0RHbEJhWGpfRTA1SXZ2WTk3LVlONjJYTGVhLUVQWlRuVU9TdndtTVVKUnlib2lf
SEt5QXlKeERRVFQ8L3VybD48L3JlbGF0ZWQtdXJscz48L3VybHM+PGVsZWN0cm9uaWMtcmVzb3Vy
Y2UtbnVtPjEwLjEwOTcvYmNyLjAwMDAwMDAwMDAwMDA0NzI8L2VsZWN0cm9uaWMtcmVzb3VyY2Ut
bnVtPjxyZW1vdGUtZGF0YWJhc2UtcHJvdmlkZXI+TkxNPC9yZW1vdGUtZGF0YWJhc2UtcHJvdmlk
ZXI+PGxhbmd1YWdlPmVuZzwvbGFuZ3VhZ2U+PC9yZWNvcmQ+PC9DaXRlPjwvRW5kTm90ZT5=
</w:fldData>
            </w:fldChar>
          </w:r>
          <w:r>
            <w:rPr>
              <w:sz w:val="24"/>
            </w:rPr>
            <w:instrText xml:space="preserve"> ADDIN EN.CITE.DATA </w:instrText>
          </w:r>
          <w:r>
            <w:rPr>
              <w:sz w:val="24"/>
            </w:rPr>
          </w:r>
          <w:r>
            <w:rPr>
              <w:sz w:val="24"/>
            </w:rPr>
            <w:fldChar w:fldCharType="end"/>
          </w:r>
          <w:r w:rsidRPr="004F431A">
            <w:rPr>
              <w:sz w:val="24"/>
            </w:rPr>
          </w:r>
          <w:r w:rsidRPr="004F431A">
            <w:rPr>
              <w:sz w:val="24"/>
            </w:rPr>
            <w:fldChar w:fldCharType="separate"/>
          </w:r>
          <w:r>
            <w:rPr>
              <w:noProof/>
              <w:sz w:val="24"/>
            </w:rPr>
            <w:t>(Ramirez, Ridgway et al. 2017)</w:t>
          </w:r>
          <w:r w:rsidRPr="004F431A">
            <w:rPr>
              <w:sz w:val="24"/>
            </w:rPr>
            <w:fldChar w:fldCharType="end"/>
          </w:r>
          <w:r w:rsidRPr="004F431A">
            <w:rPr>
              <w:sz w:val="24"/>
            </w:rPr>
            <w:t xml:space="preserve">. </w:t>
          </w:r>
        </w:p>
        <w:p w14:paraId="6339597E" w14:textId="77777777" w:rsidR="00F918EE" w:rsidRPr="004F431A" w:rsidRDefault="00F918EE" w:rsidP="00F918EE">
          <w:pPr>
            <w:tabs>
              <w:tab w:val="left" w:pos="397"/>
            </w:tabs>
            <w:spacing w:before="60" w:after="60" w:line="264" w:lineRule="auto"/>
            <w:rPr>
              <w:sz w:val="24"/>
            </w:rPr>
          </w:pPr>
        </w:p>
        <w:p w14:paraId="2A2B24B2" w14:textId="77777777" w:rsidR="00F918EE" w:rsidRDefault="00F918EE" w:rsidP="00F918EE">
          <w:pPr>
            <w:tabs>
              <w:tab w:val="left" w:pos="397"/>
            </w:tabs>
            <w:spacing w:before="60" w:after="60" w:line="264" w:lineRule="auto"/>
            <w:rPr>
              <w:sz w:val="24"/>
            </w:rPr>
          </w:pPr>
          <w:r w:rsidRPr="004F431A">
            <w:rPr>
              <w:sz w:val="24"/>
            </w:rPr>
            <w:t>Serror et al 2017 describe ten patients that were treated for e</w:t>
          </w:r>
          <w:r>
            <w:rPr>
              <w:sz w:val="24"/>
            </w:rPr>
            <w:noBreakHyphen/>
          </w:r>
          <w:r w:rsidRPr="004F431A">
            <w:rPr>
              <w:sz w:val="24"/>
            </w:rPr>
            <w:t xml:space="preserve">cigarette injuries </w:t>
          </w:r>
          <w:r>
            <w:rPr>
              <w:sz w:val="24"/>
            </w:rPr>
            <w:t>at</w:t>
          </w:r>
          <w:r w:rsidRPr="004F431A">
            <w:rPr>
              <w:sz w:val="24"/>
            </w:rPr>
            <w:t xml:space="preserve"> one burns centre in Paris, France. </w:t>
          </w:r>
          <w:r>
            <w:rPr>
              <w:sz w:val="24"/>
            </w:rPr>
            <w:t>In e</w:t>
          </w:r>
          <w:r w:rsidRPr="004F431A">
            <w:rPr>
              <w:sz w:val="24"/>
            </w:rPr>
            <w:t xml:space="preserve">ighty percent of </w:t>
          </w:r>
          <w:r>
            <w:rPr>
              <w:sz w:val="24"/>
            </w:rPr>
            <w:t xml:space="preserve">these </w:t>
          </w:r>
          <w:r w:rsidRPr="004F431A">
            <w:rPr>
              <w:sz w:val="24"/>
            </w:rPr>
            <w:t xml:space="preserve">cases, the e-cigarette exploded while in the pocket </w:t>
          </w:r>
          <w:r w:rsidRPr="004F431A">
            <w:rPr>
              <w:sz w:val="24"/>
            </w:rPr>
            <w:fldChar w:fldCharType="begin">
              <w:fldData xml:space="preserve">PEVuZE5vdGU+PENpdGU+PEF1dGhvcj5TZXJyb3I8L0F1dGhvcj48WWVhcj4yMDE3PC9ZZWFyPjxS
ZWNOdW0+NjQ5MDwvUmVjTnVtPjxEaXNwbGF5VGV4dD4oU2Vycm9yLCBDaGFvdWF0IGV0IGFsLiAy
MDE3KTwvRGlzcGxheVRleHQ+PHJlY29yZD48cmVjLW51bWJlcj42NDkwPC9yZWMtbnVtYmVyPjxm
b3JlaWduLWtleXM+PGtleSBhcHA9IkVOIiBkYi1pZD0iOXowNWR6MHByYWFkZnVlZTB6b3h6ZWRr
OXpmZTVmeHg1MHo1IiB0aW1lc3RhbXA9IjE1MjM5MjEwOTciPjY0OTA8L2tleT48a2V5IGFwcD0i
RU5XZWIiIGRiLWlkPSIiPjA8L2tleT48L2ZvcmVpZ24ta2V5cz48cmVmLXR5cGUgbmFtZT0iSm91
cm5hbCBBcnRpY2xlIj4xNzwvcmVmLXR5cGU+PGNvbnRyaWJ1dG9ycz48YXV0aG9ycz48YXV0aG9y
PlNlcnJvciwgSy48L2F1dGhvcj48YXV0aG9yPkNoYW91YXQsIE0uPC9hdXRob3I+PGF1dGhvcj5M
ZWdyYW5kLCBNLiBNLjwvYXV0aG9yPjxhdXRob3I+RGVwcmV0LCBGLjwvYXV0aG9yPjxhdXRob3I+
SGFkZGFkLCBKLjwvYXV0aG9yPjxhdXRob3I+TWFsY2EsIE4uPC9hdXRob3I+PGF1dGhvcj5NaW1v
dW4sIE0uPC9hdXRob3I+PGF1dGhvcj5Cb2NjYXJhLCBELjwvYXV0aG9yPjwvYXV0aG9ycz48L2Nv
bnRyaWJ1dG9ycz48YXV0aC1hZGRyZXNzPkRlcGFydG1lbnQgb2YgUGxhc3RpYyBSZWNvbnN0cnVj
dGl2ZSBTdXJnZXJ5LCBCdXJuIENlbnRlciwgSG9waXRhbCBTYWludCBMb3VpcywgQVAtSFAgMSBB
dmVudWUgQ2xhdWRlIFZlbGxlZmF1eCwgNzUwMTAgUGFyaXMsIEZyYW5jZS4gRWxlY3Ryb25pYyBh
ZGRyZXNzOiBrc2Vycm9yQGdtYWlsLmNvbS4mI3hEO0RlcGFydG1lbnQgb2YgUGxhc3RpYyBSZWNv
bnN0cnVjdGl2ZSBTdXJnZXJ5LCBCdXJuIENlbnRlciwgSG9waXRhbCBTYWludCBMb3VpcywgQVAt
SFAgMSBBdmVudWUgQ2xhdWRlIFZlbGxlZmF1eCwgNzUwMTAgUGFyaXMsIEZyYW5jZS4mI3hEO0Rl
cGFydGVtZW50IG9mIEFuZXN0aGVzaW9sb2d5IGFuZCBJbnRlbnNpdmUgQ2FyZSBVbml0LCBCdXJu
IENlbnRlciwgSG9waXRhbCBTYWludCBMb3VpcywgQVAtSFAgMSBBdmVudWUgQ2xhdWRlIFZlbGxl
ZmF1eCwgNzUwMTAgUGFyaXMsIEZyYW5jZS48L2F1dGgtYWRkcmVzcz48dGl0bGVzPjx0aXRsZT5C
dXJucyBjYXVzZWQgYnkgZWxlY3Ryb25pYyB2YXBpbmcgZGV2aWNlcyAoZS1jaWdhcmV0dGVzKTog
QSBuZXcgY2xhc3NpZmljYXRpb24gcHJvcG9zYWwgYmFzZWQgb24gbWVjaGFuaXNtczwvdGl0bGU+
PHNlY29uZGFyeS10aXRsZT5CdXJuczwvc2Vjb25kYXJ5LXRpdGxlPjxhbHQtdGl0bGU+QnVybnMg
OiBqb3VybmFsIG9mIHRoZSBJbnRlcm5hdGlvbmFsIFNvY2lldHkgZm9yIEJ1cm4gSW5qdXJpZXM8
L2FsdC10aXRsZT48L3RpdGxlcz48cGVyaW9kaWNhbD48ZnVsbC10aXRsZT5CdXJuczwvZnVsbC10
aXRsZT48YWJici0xPkJ1cm5zIDogam91cm5hbCBvZiB0aGUgSW50ZXJuYXRpb25hbCBTb2NpZXR5
IGZvciBCdXJuIEluanVyaWVzPC9hYmJyLTE+PC9wZXJpb2RpY2FsPjxhbHQtcGVyaW9kaWNhbD48
ZnVsbC10aXRsZT5CdXJuczwvZnVsbC10aXRsZT48YWJici0xPkJ1cm5zIDogam91cm5hbCBvZiB0
aGUgSW50ZXJuYXRpb25hbCBTb2NpZXR5IGZvciBCdXJuIEluanVyaWVzPC9hYmJyLTE+PC9hbHQt
cGVyaW9kaWNhbD48ZWRpdGlvbj4yMDE3LzEwLzI0PC9lZGl0aW9uPjxrZXl3b3Jkcz48a2V5d29y
ZD5CYXR0ZXJ5PC9rZXl3b3JkPjxrZXl3b3JkPkVsZWN0cm9uaWMgY2lnYXJldHRlPC9rZXl3b3Jk
PjxrZXl3b3JkPkV4cGxvc2lvbjwva2V5d29yZD48a2V5d29yZD5MaXRoaXVtPC9rZXl3b3JkPjxr
ZXl3b3JkPkxpdGhpdW0taW9uIGJhdHRlcnk8L2tleXdvcmQ+PGtleXdvcmQ+VGhlcm1hbCBydW5h
d2F5Jmd0Ozwva2V5d29yZD48a2V5d29yZD5WYXBvcml6aW5nIGRldmljZTwva2V5d29yZD48L2tl
eXdvcmRzPjxkYXRlcz48eWVhcj4yMDE3PC95ZWFyPjxwdWItZGF0ZXM+PGRhdGU+T2N0IDE5PC9k
YXRlPjwvcHViLWRhdGVzPjwvZGF0ZXM+PGlzYm4+MDMwNS00MTc5PC9pc2JuPjxhY2Nlc3Npb24t
bnVtPjI5MDU2MzY3PC9hY2Nlc3Npb24tbnVtPjx1cmxzPjxyZWxhdGVkLXVybHM+PHVybD5odHRw
czovL3d3dy5zY2llbmNlZGlyZWN0LmNvbS9zY2llbmNlL2FydGljbGUvcGlpL1MwMzA1NDE3OTE3
MzA0ODYyP3ZpYSUzRGlodWI8L3VybD48L3JlbGF0ZWQtdXJscz48L3VybHM+PGVsZWN0cm9uaWMt
cmVzb3VyY2UtbnVtPjEwLjEwMTYvai5idXJucy4yMDE3LjA5LjAwNTwvZWxlY3Ryb25pYy1yZXNv
dXJjZS1udW0+PHJlbW90ZS1kYXRhYmFzZS1wcm92aWRlcj5OTE08L3JlbW90ZS1kYXRhYmFzZS1w
cm92aWRlcj48bGFuZ3VhZ2U+ZW5nPC9sYW5ndWFnZT48L3JlY29yZD48L0NpdGU+PC9FbmROb3Rl
PgB=
</w:fldData>
            </w:fldChar>
          </w:r>
          <w:r>
            <w:rPr>
              <w:sz w:val="24"/>
            </w:rPr>
            <w:instrText xml:space="preserve"> ADDIN EN.CITE </w:instrText>
          </w:r>
          <w:r>
            <w:rPr>
              <w:sz w:val="24"/>
            </w:rPr>
            <w:fldChar w:fldCharType="begin">
              <w:fldData xml:space="preserve">PEVuZE5vdGU+PENpdGU+PEF1dGhvcj5TZXJyb3I8L0F1dGhvcj48WWVhcj4yMDE3PC9ZZWFyPjxS
ZWNOdW0+NjQ5MDwvUmVjTnVtPjxEaXNwbGF5VGV4dD4oU2Vycm9yLCBDaGFvdWF0IGV0IGFsLiAy
MDE3KTwvRGlzcGxheVRleHQ+PHJlY29yZD48cmVjLW51bWJlcj42NDkwPC9yZWMtbnVtYmVyPjxm
b3JlaWduLWtleXM+PGtleSBhcHA9IkVOIiBkYi1pZD0iOXowNWR6MHByYWFkZnVlZTB6b3h6ZWRr
OXpmZTVmeHg1MHo1IiB0aW1lc3RhbXA9IjE1MjM5MjEwOTciPjY0OTA8L2tleT48a2V5IGFwcD0i
RU5XZWIiIGRiLWlkPSIiPjA8L2tleT48L2ZvcmVpZ24ta2V5cz48cmVmLXR5cGUgbmFtZT0iSm91
cm5hbCBBcnRpY2xlIj4xNzwvcmVmLXR5cGU+PGNvbnRyaWJ1dG9ycz48YXV0aG9ycz48YXV0aG9y
PlNlcnJvciwgSy48L2F1dGhvcj48YXV0aG9yPkNoYW91YXQsIE0uPC9hdXRob3I+PGF1dGhvcj5M
ZWdyYW5kLCBNLiBNLjwvYXV0aG9yPjxhdXRob3I+RGVwcmV0LCBGLjwvYXV0aG9yPjxhdXRob3I+
SGFkZGFkLCBKLjwvYXV0aG9yPjxhdXRob3I+TWFsY2EsIE4uPC9hdXRob3I+PGF1dGhvcj5NaW1v
dW4sIE0uPC9hdXRob3I+PGF1dGhvcj5Cb2NjYXJhLCBELjwvYXV0aG9yPjwvYXV0aG9ycz48L2Nv
bnRyaWJ1dG9ycz48YXV0aC1hZGRyZXNzPkRlcGFydG1lbnQgb2YgUGxhc3RpYyBSZWNvbnN0cnVj
dGl2ZSBTdXJnZXJ5LCBCdXJuIENlbnRlciwgSG9waXRhbCBTYWludCBMb3VpcywgQVAtSFAgMSBB
dmVudWUgQ2xhdWRlIFZlbGxlZmF1eCwgNzUwMTAgUGFyaXMsIEZyYW5jZS4gRWxlY3Ryb25pYyBh
ZGRyZXNzOiBrc2Vycm9yQGdtYWlsLmNvbS4mI3hEO0RlcGFydG1lbnQgb2YgUGxhc3RpYyBSZWNv
bnN0cnVjdGl2ZSBTdXJnZXJ5LCBCdXJuIENlbnRlciwgSG9waXRhbCBTYWludCBMb3VpcywgQVAt
SFAgMSBBdmVudWUgQ2xhdWRlIFZlbGxlZmF1eCwgNzUwMTAgUGFyaXMsIEZyYW5jZS4mI3hEO0Rl
cGFydGVtZW50IG9mIEFuZXN0aGVzaW9sb2d5IGFuZCBJbnRlbnNpdmUgQ2FyZSBVbml0LCBCdXJu
IENlbnRlciwgSG9waXRhbCBTYWludCBMb3VpcywgQVAtSFAgMSBBdmVudWUgQ2xhdWRlIFZlbGxl
ZmF1eCwgNzUwMTAgUGFyaXMsIEZyYW5jZS48L2F1dGgtYWRkcmVzcz48dGl0bGVzPjx0aXRsZT5C
dXJucyBjYXVzZWQgYnkgZWxlY3Ryb25pYyB2YXBpbmcgZGV2aWNlcyAoZS1jaWdhcmV0dGVzKTog
QSBuZXcgY2xhc3NpZmljYXRpb24gcHJvcG9zYWwgYmFzZWQgb24gbWVjaGFuaXNtczwvdGl0bGU+
PHNlY29uZGFyeS10aXRsZT5CdXJuczwvc2Vjb25kYXJ5LXRpdGxlPjxhbHQtdGl0bGU+QnVybnMg
OiBqb3VybmFsIG9mIHRoZSBJbnRlcm5hdGlvbmFsIFNvY2lldHkgZm9yIEJ1cm4gSW5qdXJpZXM8
L2FsdC10aXRsZT48L3RpdGxlcz48cGVyaW9kaWNhbD48ZnVsbC10aXRsZT5CdXJuczwvZnVsbC10
aXRsZT48YWJici0xPkJ1cm5zIDogam91cm5hbCBvZiB0aGUgSW50ZXJuYXRpb25hbCBTb2NpZXR5
IGZvciBCdXJuIEluanVyaWVzPC9hYmJyLTE+PC9wZXJpb2RpY2FsPjxhbHQtcGVyaW9kaWNhbD48
ZnVsbC10aXRsZT5CdXJuczwvZnVsbC10aXRsZT48YWJici0xPkJ1cm5zIDogam91cm5hbCBvZiB0
aGUgSW50ZXJuYXRpb25hbCBTb2NpZXR5IGZvciBCdXJuIEluanVyaWVzPC9hYmJyLTE+PC9hbHQt
cGVyaW9kaWNhbD48ZWRpdGlvbj4yMDE3LzEwLzI0PC9lZGl0aW9uPjxrZXl3b3Jkcz48a2V5d29y
ZD5CYXR0ZXJ5PC9rZXl3b3JkPjxrZXl3b3JkPkVsZWN0cm9uaWMgY2lnYXJldHRlPC9rZXl3b3Jk
PjxrZXl3b3JkPkV4cGxvc2lvbjwva2V5d29yZD48a2V5d29yZD5MaXRoaXVtPC9rZXl3b3JkPjxr
ZXl3b3JkPkxpdGhpdW0taW9uIGJhdHRlcnk8L2tleXdvcmQ+PGtleXdvcmQ+VGhlcm1hbCBydW5h
d2F5Jmd0Ozwva2V5d29yZD48a2V5d29yZD5WYXBvcml6aW5nIGRldmljZTwva2V5d29yZD48L2tl
eXdvcmRzPjxkYXRlcz48eWVhcj4yMDE3PC95ZWFyPjxwdWItZGF0ZXM+PGRhdGU+T2N0IDE5PC9k
YXRlPjwvcHViLWRhdGVzPjwvZGF0ZXM+PGlzYm4+MDMwNS00MTc5PC9pc2JuPjxhY2Nlc3Npb24t
bnVtPjI5MDU2MzY3PC9hY2Nlc3Npb24tbnVtPjx1cmxzPjxyZWxhdGVkLXVybHM+PHVybD5odHRw
czovL3d3dy5zY2llbmNlZGlyZWN0LmNvbS9zY2llbmNlL2FydGljbGUvcGlpL1MwMzA1NDE3OTE3
MzA0ODYyP3ZpYSUzRGlodWI8L3VybD48L3JlbGF0ZWQtdXJscz48L3VybHM+PGVsZWN0cm9uaWMt
cmVzb3VyY2UtbnVtPjEwLjEwMTYvai5idXJucy4yMDE3LjA5LjAwNTwvZWxlY3Ryb25pYy1yZXNv
dXJjZS1udW0+PHJlbW90ZS1kYXRhYmFzZS1wcm92aWRlcj5OTE08L3JlbW90ZS1kYXRhYmFzZS1w
cm92aWRlcj48bGFuZ3VhZ2U+ZW5nPC9sYW5ndWFnZT48L3JlY29yZD48L0NpdGU+PC9FbmROb3Rl
PgB=
</w:fldData>
            </w:fldChar>
          </w:r>
          <w:r>
            <w:rPr>
              <w:sz w:val="24"/>
            </w:rPr>
            <w:instrText xml:space="preserve"> ADDIN EN.CITE.DATA </w:instrText>
          </w:r>
          <w:r>
            <w:rPr>
              <w:sz w:val="24"/>
            </w:rPr>
          </w:r>
          <w:r>
            <w:rPr>
              <w:sz w:val="24"/>
            </w:rPr>
            <w:fldChar w:fldCharType="end"/>
          </w:r>
          <w:r w:rsidRPr="004F431A">
            <w:rPr>
              <w:sz w:val="24"/>
            </w:rPr>
          </w:r>
          <w:r w:rsidRPr="004F431A">
            <w:rPr>
              <w:sz w:val="24"/>
            </w:rPr>
            <w:fldChar w:fldCharType="separate"/>
          </w:r>
          <w:r>
            <w:rPr>
              <w:noProof/>
              <w:sz w:val="24"/>
            </w:rPr>
            <w:t>(Serror, Chaouat et al. 2017)</w:t>
          </w:r>
          <w:r w:rsidRPr="004F431A">
            <w:rPr>
              <w:sz w:val="24"/>
            </w:rPr>
            <w:fldChar w:fldCharType="end"/>
          </w:r>
          <w:r w:rsidRPr="004F431A">
            <w:rPr>
              <w:sz w:val="24"/>
            </w:rPr>
            <w:t>.</w:t>
          </w:r>
        </w:p>
        <w:p w14:paraId="542B860C" w14:textId="77777777" w:rsidR="00F918EE" w:rsidRPr="004F431A" w:rsidRDefault="00F918EE" w:rsidP="00F918EE">
          <w:pPr>
            <w:tabs>
              <w:tab w:val="left" w:pos="397"/>
            </w:tabs>
            <w:spacing w:before="60" w:after="60" w:line="264" w:lineRule="auto"/>
            <w:rPr>
              <w:sz w:val="24"/>
            </w:rPr>
          </w:pPr>
        </w:p>
        <w:p w14:paraId="24C25BD8" w14:textId="77777777" w:rsidR="00F918EE" w:rsidRDefault="00F918EE" w:rsidP="00F918EE">
          <w:pPr>
            <w:tabs>
              <w:tab w:val="left" w:pos="397"/>
            </w:tabs>
            <w:spacing w:before="60" w:after="60" w:line="264" w:lineRule="auto"/>
            <w:rPr>
              <w:sz w:val="24"/>
            </w:rPr>
          </w:pPr>
          <w:r w:rsidRPr="007C1057">
            <w:rPr>
              <w:sz w:val="24"/>
            </w:rPr>
            <w:t>Toy et al 2017</w:t>
          </w:r>
          <w:r>
            <w:rPr>
              <w:sz w:val="24"/>
            </w:rPr>
            <w:t xml:space="preserve"> </w:t>
          </w:r>
          <w:r>
            <w:rPr>
              <w:sz w:val="24"/>
            </w:rPr>
            <w:fldChar w:fldCharType="begin">
              <w:fldData xml:space="preserve">PEVuZE5vdGU+PENpdGU+PEF1dGhvcj5Ub3k8L0F1dGhvcj48WWVhcj4yMDE3PC9ZZWFyPjxSZWNO
dW0+MTA1OTwvUmVjTnVtPjxEaXNwbGF5VGV4dD4oVG95LCBEb25nIGV0IGFsLiAyMDE3KTwvRGlz
cGxheVRleHQ+PHJlY29yZD48cmVjLW51bWJlcj4xMDU5PC9yZWMtbnVtYmVyPjxmb3JlaWduLWtl
eXM+PGtleSBhcHA9IkVOIiBkYi1pZD0iOXowNWR6MHByYWFkZnVlZTB6b3h6ZWRrOXpmZTVmeHg1
MHo1IiB0aW1lc3RhbXA9IjE1MjE1MDY5OTAiPjEwNTk8L2tleT48a2V5IGFwcD0iRU5XZWIiIGRi
LWlkPSIiPjA8L2tleT48L2ZvcmVpZ24ta2V5cz48cmVmLXR5cGUgbmFtZT0iSm91cm5hbCBBcnRp
Y2xlIj4xNzwvcmVmLXR5cGU+PGNvbnRyaWJ1dG9ycz48YXV0aG9ycz48YXV0aG9yPlRveSwgSi48
L2F1dGhvcj48YXV0aG9yPkRvbmcsIEYuPC9hdXRob3I+PGF1dGhvcj5MZWUsIEMuPC9hdXRob3I+
PGF1dGhvcj5aYXBwYSwgRC48L2F1dGhvcj48YXV0aG9yPkxlLCBULjwvYXV0aG9yPjxhdXRob3I+
QXJjaGFtYmVhdSwgQi48L2F1dGhvcj48YXV0aG9yPkN1bGhhbmUsIEouIFQuPC9hdXRob3I+PGF1
dGhvcj5OZWVraSwgTS4gTS48L2F1dGhvcj48L2F1dGhvcnM+PC9jb250cmlidXRvcnM+PGF1dGgt
YWRkcmVzcz5EZXBhcnRtZW50IG9mIEVtZXJnZW5jeSBNZWRpY2luZSwgQXJyb3doZWFkIFJlZ2lv
bmFsIE1lZGljYWwgQ2VudGVyLCBNZWRpY2FsIE9mZmljZSBCdWlsZGluZyBTdWl0ZSA3LCA0MDAg
TiBQZXBwZXIgQXZlLCBDb2x0b24sIENBIDkyMzI0LCBVU0EuJiN4RDtHcmFkdWF0ZSBDb2xsZWdl
IG9mIEJpb21lZGljYWwgU2NpZW5jZXMsIFdlc3Rlcm4gVW5pdmVyc2l0eSBvZiBIZWFsdGggU2Np
ZW5jZXMsIDMwOSBFIDJuZCBTdC4sIFBvbW9uYSwgQ0EgOTE3NjYsIFVTQS4mI3hEO0RlcGFydG1l
bnQgb2YgRW1lcmdlbmN5IE1lZGljaW5lLCBBcnJvd2hlYWQgUmVnaW9uYWwgTWVkaWNhbCBDZW50
ZXIsIE1lZGljYWwgT2ZmaWNlIEJ1aWxkaW5nIFN1aXRlIDcsIDQwMCBOIFBlcHBlciBBdmUsIENv
bHRvbiwgQ0EgOTIzMjQsIFVTQTsgQ2FsaWZvcm5pYSBVbml2ZXJzaXR5IG9mIFNjaWVuY2VzIGFu
ZCBNZWRpY2luZSwgNDAwIE4gUGVwcGVyIEF2ZSwgQ29sdG9uLCBDQSA5MjMyNCwgVVNBLiYjeEQ7
RGVwYXJ0bWVudCBvZiBTdXJnZXJ5LCBBcnJvd2hlYWQgUmVnaW9uYWwgTWVkaWNhbCBDZW50ZXIs
IDQwMCBOIFBlcHBlciBBdmUsIENvbHRvbiwgQ0EgOTIzMjQsIFVTQS4mI3hEO0RlcGFydG1lbnQg
b2YgU3VyZ2VyeSwgQXJyb3doZWFkIFJlZ2lvbmFsIE1lZGljYWwgQ2VudGVyLCA0MDAgTiBQZXBw
ZXIgQXZlLCBDb2x0b24sIENBIDkyMzI0LCBVU0E7IENhbGlmb3JuaWEgVW5pdmVyc2l0eSBvZiBT
Y2llbmNlcyBhbmQgTWVkaWNpbmUsIDQwMCBOIFBlcHBlciBBdmUsIENvbHRvbiwgQ0EgOTIzMjQs
IFVTQS4mI3hEO0RlcGFydG1lbnQgb2YgRW1lcmdlbmN5IE1lZGljaW5lLCBBcnJvd2hlYWQgUmVn
aW9uYWwgTWVkaWNhbCBDZW50ZXIsIE1lZGljYWwgT2ZmaWNlIEJ1aWxkaW5nIFN1aXRlIDcsIDQw
MCBOIFBlcHBlciBBdmUsIENvbHRvbiwgQ0EgOTIzMjQsIFVTQTsgQ2FsaWZvcm5pYSBVbml2ZXJz
aXR5IG9mIFNjaWVuY2VzIGFuZCBNZWRpY2luZSwgNDAwIE4gUGVwcGVyIEF2ZSwgQ29sdG9uLCBD
QSA5MjMyNCwgVVNBLiBFbGVjdHJvbmljIGFkZHJlc3M6IG1pY2hhZWxuZWVraUBnbWFpbC5jb20u
PC9hdXRoLWFkZHJlc3M+PHRpdGxlcz48dGl0bGU+QWxhcm1pbmcgaW5jcmVhc2UgaW4gZWxlY3Ry
b25pYyBuaWNvdGluZSBkZWxpdmVyeSBzeXN0ZW1zLXJlbGF0ZWQgYnVybiBpbmp1cmllczogQSBz
ZXJpb3VzIHVucmVndWxhdGVkIHB1YmxpYyBoZWFsdGggaXNzdWU8L3RpdGxlPjxzZWNvbmRhcnkt
dGl0bGU+QW0gSiBFbWVyZyBNZWQ8L3NlY29uZGFyeS10aXRsZT48YWx0LXRpdGxlPlRoZSBBbWVy
aWNhbiBqb3VybmFsIG9mIGVtZXJnZW5jeSBtZWRpY2luZTwvYWx0LXRpdGxlPjwvdGl0bGVzPjxw
ZXJpb2RpY2FsPjxmdWxsLXRpdGxlPkFtIEogRW1lcmcgTWVkPC9mdWxsLXRpdGxlPjxhYmJyLTE+
VGhlIEFtZXJpY2FuIGpvdXJuYWwgb2YgZW1lcmdlbmN5IG1lZGljaW5lPC9hYmJyLTE+PC9wZXJp
b2RpY2FsPjxhbHQtcGVyaW9kaWNhbD48ZnVsbC10aXRsZT5BbSBKIEVtZXJnIE1lZDwvZnVsbC10
aXRsZT48YWJici0xPlRoZSBBbWVyaWNhbiBqb3VybmFsIG9mIGVtZXJnZW5jeSBtZWRpY2luZTwv
YWJici0xPjwvYWx0LXBlcmlvZGljYWw+PHBhZ2VzPjE3ODEtMTc4MjwvcGFnZXM+PHZvbHVtZT4z
NTwvdm9sdW1lPjxudW1iZXI+MTE8L251bWJlcj48ZWRpdGlvbj4yMDE3LzA2LzI4PC9lZGl0aW9u
PjxrZXl3b3Jkcz48a2V5d29yZD5CdXJuczwva2V5d29yZD48a2V5d29yZD5FbmRzPC9rZXl3b3Jk
PjxrZXl3b3JkPkV4cGxvc2lvbjwva2V5d29yZD48a2V5d29yZD5WYXBlPC9rZXl3b3JkPjxrZXl3
b3JkPmUtQ2lnYXJldHRlPC9rZXl3b3JkPjwva2V5d29yZHM+PGRhdGVzPjx5ZWFyPjIwMTc8L3ll
YXI+PHB1Yi1kYXRlcz48ZGF0ZT5Ob3Y8L2RhdGU+PC9wdWItZGF0ZXM+PC9kYXRlcz48aXNibj4w
NzM1LTY3NTc8L2lzYm4+PGFjY2Vzc2lvbi1udW0+Mjg2NTE4ODc8L2FjY2Vzc2lvbi1udW0+PHVy
bHM+PHJlbGF0ZWQtdXJscz48dXJsPmh0dHBzOi8vd3d3LnNjaWVuY2VkaXJlY3QuY29tL3NjaWVu
Y2UvYXJ0aWNsZS9waWkvUzA3MzU2NzU3MTczMDQwODQ/dmlhJTNEaWh1YjwvdXJsPjwvcmVsYXRl
ZC11cmxzPjwvdXJscz48ZWxlY3Ryb25pYy1yZXNvdXJjZS1udW0+MTAuMTAxNi9qLmFqZW0uMjAx
Ny4wNS4wMjk8L2VsZWN0cm9uaWMtcmVzb3VyY2UtbnVtPjxyZW1vdGUtZGF0YWJhc2UtcHJvdmlk
ZXI+TkxNPC9yZW1vdGUtZGF0YWJhc2UtcHJvdmlkZXI+PGxhbmd1YWdlPmVuZzwvbGFuZ3VhZ2U+
PC9yZWNvcmQ+PC9DaXRlPjwvRW5kTm90ZT4A
</w:fldData>
            </w:fldChar>
          </w:r>
          <w:r>
            <w:rPr>
              <w:sz w:val="24"/>
            </w:rPr>
            <w:instrText xml:space="preserve"> ADDIN EN.CITE </w:instrText>
          </w:r>
          <w:r>
            <w:rPr>
              <w:sz w:val="24"/>
            </w:rPr>
            <w:fldChar w:fldCharType="begin">
              <w:fldData xml:space="preserve">PEVuZE5vdGU+PENpdGU+PEF1dGhvcj5Ub3k8L0F1dGhvcj48WWVhcj4yMDE3PC9ZZWFyPjxSZWNO
dW0+MTA1OTwvUmVjTnVtPjxEaXNwbGF5VGV4dD4oVG95LCBEb25nIGV0IGFsLiAyMDE3KTwvRGlz
cGxheVRleHQ+PHJlY29yZD48cmVjLW51bWJlcj4xMDU5PC9yZWMtbnVtYmVyPjxmb3JlaWduLWtl
eXM+PGtleSBhcHA9IkVOIiBkYi1pZD0iOXowNWR6MHByYWFkZnVlZTB6b3h6ZWRrOXpmZTVmeHg1
MHo1IiB0aW1lc3RhbXA9IjE1MjE1MDY5OTAiPjEwNTk8L2tleT48a2V5IGFwcD0iRU5XZWIiIGRi
LWlkPSIiPjA8L2tleT48L2ZvcmVpZ24ta2V5cz48cmVmLXR5cGUgbmFtZT0iSm91cm5hbCBBcnRp
Y2xlIj4xNzwvcmVmLXR5cGU+PGNvbnRyaWJ1dG9ycz48YXV0aG9ycz48YXV0aG9yPlRveSwgSi48
L2F1dGhvcj48YXV0aG9yPkRvbmcsIEYuPC9hdXRob3I+PGF1dGhvcj5MZWUsIEMuPC9hdXRob3I+
PGF1dGhvcj5aYXBwYSwgRC48L2F1dGhvcj48YXV0aG9yPkxlLCBULjwvYXV0aG9yPjxhdXRob3I+
QXJjaGFtYmVhdSwgQi48L2F1dGhvcj48YXV0aG9yPkN1bGhhbmUsIEouIFQuPC9hdXRob3I+PGF1
dGhvcj5OZWVraSwgTS4gTS48L2F1dGhvcj48L2F1dGhvcnM+PC9jb250cmlidXRvcnM+PGF1dGgt
YWRkcmVzcz5EZXBhcnRtZW50IG9mIEVtZXJnZW5jeSBNZWRpY2luZSwgQXJyb3doZWFkIFJlZ2lv
bmFsIE1lZGljYWwgQ2VudGVyLCBNZWRpY2FsIE9mZmljZSBCdWlsZGluZyBTdWl0ZSA3LCA0MDAg
TiBQZXBwZXIgQXZlLCBDb2x0b24sIENBIDkyMzI0LCBVU0EuJiN4RDtHcmFkdWF0ZSBDb2xsZWdl
IG9mIEJpb21lZGljYWwgU2NpZW5jZXMsIFdlc3Rlcm4gVW5pdmVyc2l0eSBvZiBIZWFsdGggU2Np
ZW5jZXMsIDMwOSBFIDJuZCBTdC4sIFBvbW9uYSwgQ0EgOTE3NjYsIFVTQS4mI3hEO0RlcGFydG1l
bnQgb2YgRW1lcmdlbmN5IE1lZGljaW5lLCBBcnJvd2hlYWQgUmVnaW9uYWwgTWVkaWNhbCBDZW50
ZXIsIE1lZGljYWwgT2ZmaWNlIEJ1aWxkaW5nIFN1aXRlIDcsIDQwMCBOIFBlcHBlciBBdmUsIENv
bHRvbiwgQ0EgOTIzMjQsIFVTQTsgQ2FsaWZvcm5pYSBVbml2ZXJzaXR5IG9mIFNjaWVuY2VzIGFu
ZCBNZWRpY2luZSwgNDAwIE4gUGVwcGVyIEF2ZSwgQ29sdG9uLCBDQSA5MjMyNCwgVVNBLiYjeEQ7
RGVwYXJ0bWVudCBvZiBTdXJnZXJ5LCBBcnJvd2hlYWQgUmVnaW9uYWwgTWVkaWNhbCBDZW50ZXIs
IDQwMCBOIFBlcHBlciBBdmUsIENvbHRvbiwgQ0EgOTIzMjQsIFVTQS4mI3hEO0RlcGFydG1lbnQg
b2YgU3VyZ2VyeSwgQXJyb3doZWFkIFJlZ2lvbmFsIE1lZGljYWwgQ2VudGVyLCA0MDAgTiBQZXBw
ZXIgQXZlLCBDb2x0b24sIENBIDkyMzI0LCBVU0E7IENhbGlmb3JuaWEgVW5pdmVyc2l0eSBvZiBT
Y2llbmNlcyBhbmQgTWVkaWNpbmUsIDQwMCBOIFBlcHBlciBBdmUsIENvbHRvbiwgQ0EgOTIzMjQs
IFVTQS4mI3hEO0RlcGFydG1lbnQgb2YgRW1lcmdlbmN5IE1lZGljaW5lLCBBcnJvd2hlYWQgUmVn
aW9uYWwgTWVkaWNhbCBDZW50ZXIsIE1lZGljYWwgT2ZmaWNlIEJ1aWxkaW5nIFN1aXRlIDcsIDQw
MCBOIFBlcHBlciBBdmUsIENvbHRvbiwgQ0EgOTIzMjQsIFVTQTsgQ2FsaWZvcm5pYSBVbml2ZXJz
aXR5IG9mIFNjaWVuY2VzIGFuZCBNZWRpY2luZSwgNDAwIE4gUGVwcGVyIEF2ZSwgQ29sdG9uLCBD
QSA5MjMyNCwgVVNBLiBFbGVjdHJvbmljIGFkZHJlc3M6IG1pY2hhZWxuZWVraUBnbWFpbC5jb20u
PC9hdXRoLWFkZHJlc3M+PHRpdGxlcz48dGl0bGU+QWxhcm1pbmcgaW5jcmVhc2UgaW4gZWxlY3Ry
b25pYyBuaWNvdGluZSBkZWxpdmVyeSBzeXN0ZW1zLXJlbGF0ZWQgYnVybiBpbmp1cmllczogQSBz
ZXJpb3VzIHVucmVndWxhdGVkIHB1YmxpYyBoZWFsdGggaXNzdWU8L3RpdGxlPjxzZWNvbmRhcnkt
dGl0bGU+QW0gSiBFbWVyZyBNZWQ8L3NlY29uZGFyeS10aXRsZT48YWx0LXRpdGxlPlRoZSBBbWVy
aWNhbiBqb3VybmFsIG9mIGVtZXJnZW5jeSBtZWRpY2luZTwvYWx0LXRpdGxlPjwvdGl0bGVzPjxw
ZXJpb2RpY2FsPjxmdWxsLXRpdGxlPkFtIEogRW1lcmcgTWVkPC9mdWxsLXRpdGxlPjxhYmJyLTE+
VGhlIEFtZXJpY2FuIGpvdXJuYWwgb2YgZW1lcmdlbmN5IG1lZGljaW5lPC9hYmJyLTE+PC9wZXJp
b2RpY2FsPjxhbHQtcGVyaW9kaWNhbD48ZnVsbC10aXRsZT5BbSBKIEVtZXJnIE1lZDwvZnVsbC10
aXRsZT48YWJici0xPlRoZSBBbWVyaWNhbiBqb3VybmFsIG9mIGVtZXJnZW5jeSBtZWRpY2luZTwv
YWJici0xPjwvYWx0LXBlcmlvZGljYWw+PHBhZ2VzPjE3ODEtMTc4MjwvcGFnZXM+PHZvbHVtZT4z
NTwvdm9sdW1lPjxudW1iZXI+MTE8L251bWJlcj48ZWRpdGlvbj4yMDE3LzA2LzI4PC9lZGl0aW9u
PjxrZXl3b3Jkcz48a2V5d29yZD5CdXJuczwva2V5d29yZD48a2V5d29yZD5FbmRzPC9rZXl3b3Jk
PjxrZXl3b3JkPkV4cGxvc2lvbjwva2V5d29yZD48a2V5d29yZD5WYXBlPC9rZXl3b3JkPjxrZXl3
b3JkPmUtQ2lnYXJldHRlPC9rZXl3b3JkPjwva2V5d29yZHM+PGRhdGVzPjx5ZWFyPjIwMTc8L3ll
YXI+PHB1Yi1kYXRlcz48ZGF0ZT5Ob3Y8L2RhdGU+PC9wdWItZGF0ZXM+PC9kYXRlcz48aXNibj4w
NzM1LTY3NTc8L2lzYm4+PGFjY2Vzc2lvbi1udW0+Mjg2NTE4ODc8L2FjY2Vzc2lvbi1udW0+PHVy
bHM+PHJlbGF0ZWQtdXJscz48dXJsPmh0dHBzOi8vd3d3LnNjaWVuY2VkaXJlY3QuY29tL3NjaWVu
Y2UvYXJ0aWNsZS9waWkvUzA3MzU2NzU3MTczMDQwODQ/dmlhJTNEaWh1YjwvdXJsPjwvcmVsYXRl
ZC11cmxzPjwvdXJscz48ZWxlY3Ryb25pYy1yZXNvdXJjZS1udW0+MTAuMTAxNi9qLmFqZW0uMjAx
Ny4wNS4wMjk8L2VsZWN0cm9uaWMtcmVzb3VyY2UtbnVtPjxyZW1vdGUtZGF0YWJhc2UtcHJvdmlk
ZXI+TkxNPC9yZW1vdGUtZGF0YWJhc2UtcHJvdmlkZXI+PGxhbmd1YWdlPmVuZzwvbGFuZ3VhZ2U+
PC9yZWNvcmQ+PC9DaXRlPjwvRW5kTm90ZT4A
</w:fldData>
            </w:fldChar>
          </w:r>
          <w:r>
            <w:rPr>
              <w:sz w:val="24"/>
            </w:rPr>
            <w:instrText xml:space="preserve"> ADDIN EN.CITE.DATA </w:instrText>
          </w:r>
          <w:r>
            <w:rPr>
              <w:sz w:val="24"/>
            </w:rPr>
          </w:r>
          <w:r>
            <w:rPr>
              <w:sz w:val="24"/>
            </w:rPr>
            <w:fldChar w:fldCharType="end"/>
          </w:r>
          <w:r>
            <w:rPr>
              <w:sz w:val="24"/>
            </w:rPr>
          </w:r>
          <w:r>
            <w:rPr>
              <w:sz w:val="24"/>
            </w:rPr>
            <w:fldChar w:fldCharType="separate"/>
          </w:r>
          <w:r>
            <w:rPr>
              <w:noProof/>
              <w:sz w:val="24"/>
            </w:rPr>
            <w:t>(Toy, Dong et al. 2017)</w:t>
          </w:r>
          <w:r>
            <w:rPr>
              <w:sz w:val="24"/>
            </w:rPr>
            <w:fldChar w:fldCharType="end"/>
          </w:r>
          <w:r w:rsidRPr="004F431A">
            <w:rPr>
              <w:sz w:val="24"/>
            </w:rPr>
            <w:t xml:space="preserve"> reviewed patients from a burns registry in California that admits approx</w:t>
          </w:r>
          <w:r>
            <w:rPr>
              <w:sz w:val="24"/>
            </w:rPr>
            <w:t>imately</w:t>
          </w:r>
          <w:r w:rsidRPr="004F431A">
            <w:rPr>
              <w:sz w:val="24"/>
            </w:rPr>
            <w:t xml:space="preserve"> 400 patients annually. Twenty five patients from this </w:t>
          </w:r>
          <w:r>
            <w:rPr>
              <w:sz w:val="24"/>
            </w:rPr>
            <w:t>registry</w:t>
          </w:r>
          <w:r w:rsidRPr="004F431A">
            <w:rPr>
              <w:sz w:val="24"/>
            </w:rPr>
            <w:t xml:space="preserve"> had sustained burns associated with </w:t>
          </w:r>
          <w:r>
            <w:rPr>
              <w:sz w:val="24"/>
            </w:rPr>
            <w:t>e</w:t>
          </w:r>
          <w:r>
            <w:rPr>
              <w:sz w:val="24"/>
            </w:rPr>
            <w:noBreakHyphen/>
            <w:t xml:space="preserve">cigarettes </w:t>
          </w:r>
          <w:r w:rsidRPr="004F431A">
            <w:rPr>
              <w:sz w:val="24"/>
            </w:rPr>
            <w:t>over a 16 month period in 201</w:t>
          </w:r>
          <w:r>
            <w:rPr>
              <w:sz w:val="24"/>
            </w:rPr>
            <w:t>5-1</w:t>
          </w:r>
          <w:r w:rsidRPr="004F431A">
            <w:rPr>
              <w:sz w:val="24"/>
            </w:rPr>
            <w:t xml:space="preserve">6. Twenty four out of the 25 patients were male and this gender </w:t>
          </w:r>
          <w:r>
            <w:rPr>
              <w:sz w:val="24"/>
            </w:rPr>
            <w:t>imbalance,</w:t>
          </w:r>
          <w:r w:rsidRPr="004F431A">
            <w:rPr>
              <w:sz w:val="24"/>
            </w:rPr>
            <w:t xml:space="preserve"> consistent with the other reviews</w:t>
          </w:r>
          <w:r>
            <w:rPr>
              <w:sz w:val="24"/>
            </w:rPr>
            <w:t>,</w:t>
          </w:r>
          <w:r w:rsidRPr="004F431A">
            <w:rPr>
              <w:sz w:val="24"/>
            </w:rPr>
            <w:t xml:space="preserve"> may be due to a preference of men to store e-cigarettes (and other items such as coins and phones) in their trouser pockets.</w:t>
          </w:r>
        </w:p>
        <w:p w14:paraId="4F4A2D02" w14:textId="77777777" w:rsidR="00F918EE" w:rsidRPr="004F431A" w:rsidRDefault="00F918EE" w:rsidP="00F918EE">
          <w:pPr>
            <w:tabs>
              <w:tab w:val="left" w:pos="397"/>
            </w:tabs>
            <w:spacing w:before="60" w:after="60" w:line="264" w:lineRule="auto"/>
            <w:rPr>
              <w:sz w:val="24"/>
            </w:rPr>
          </w:pPr>
        </w:p>
        <w:p w14:paraId="6BAD80C3" w14:textId="77777777" w:rsidR="00F918EE" w:rsidRPr="004F431A" w:rsidRDefault="00F918EE" w:rsidP="007008F9">
          <w:pPr>
            <w:pStyle w:val="Heading2"/>
          </w:pPr>
          <w:bookmarkStart w:id="45" w:name="_Toc517706644"/>
          <w:r w:rsidRPr="004F431A">
            <w:t>E-cigarette liquid ingestion</w:t>
          </w:r>
          <w:bookmarkEnd w:id="45"/>
        </w:p>
        <w:p w14:paraId="7A31AD46" w14:textId="77777777" w:rsidR="00F918EE" w:rsidRDefault="00F918EE" w:rsidP="00F918EE">
          <w:pPr>
            <w:tabs>
              <w:tab w:val="left" w:pos="397"/>
            </w:tabs>
            <w:spacing w:before="60" w:after="60" w:line="264" w:lineRule="auto"/>
            <w:rPr>
              <w:sz w:val="24"/>
            </w:rPr>
          </w:pPr>
          <w:r w:rsidRPr="004F431A">
            <w:rPr>
              <w:sz w:val="24"/>
            </w:rPr>
            <w:t xml:space="preserve">The </w:t>
          </w:r>
          <w:r>
            <w:rPr>
              <w:sz w:val="24"/>
            </w:rPr>
            <w:t>other major injury event that is reported i</w:t>
          </w:r>
          <w:r w:rsidRPr="004F431A">
            <w:rPr>
              <w:sz w:val="24"/>
            </w:rPr>
            <w:t>s the deliberate ingestion of nicotine containing e</w:t>
          </w:r>
          <w:r>
            <w:rPr>
              <w:sz w:val="24"/>
            </w:rPr>
            <w:noBreakHyphen/>
          </w:r>
          <w:r w:rsidRPr="004F431A">
            <w:rPr>
              <w:sz w:val="24"/>
            </w:rPr>
            <w:t xml:space="preserve">cigarette liquid </w:t>
          </w:r>
          <w:r w:rsidRPr="004F431A">
            <w:rPr>
              <w:sz w:val="24"/>
            </w:rPr>
            <w:fldChar w:fldCharType="begin">
              <w:fldData xml:space="preserve">PEVuZE5vdGU+PENpdGU+PEF1dGhvcj5MYW08L0F1dGhvcj48WWVhcj4yMDE3PC9ZZWFyPjxSZWNO
dW0+MTIwODwvUmVjTnVtPjxEaXNwbGF5VGV4dD4oTGFtLCBUYW5nIGV0IGFsLiAyMDE3LCBNb3Js
ZXksIFNsYXVnaHRlciBldCBhbC4gMjAxNywgVmFuIERlciBNZWVyLCBQcmFuZ2VyIGV0IGFsLiAy
MDE3LCBQYXJrIGFuZCBNaW4gMjAxOCk8L0Rpc3BsYXlUZXh0PjxyZWNvcmQ+PHJlYy1udW1iZXI+
MTIwODwvcmVjLW51bWJlcj48Zm9yZWlnbi1rZXlzPjxrZXkgYXBwPSJFTiIgZGItaWQ9IjkwdHAy
dnAyNXd0ZTI2ZXo1MnN4dHRyd3Z6d2ZmdzVydnphZiIgdGltZXN0YW1wPSIxNTIxMDc4MzgyIj4x
MjA4PC9rZXk+PGtleSBhcHA9IkVOV2ViIiBkYi1pZD0iIj4wPC9rZXk+PC9mb3JlaWduLWtleXM+
PHJlZi10eXBlIG5hbWU9IkpvdXJuYWwgQXJ0aWNsZSI+MTc8L3JlZi10eXBlPjxjb250cmlidXRv
cnM+PGF1dGhvcnM+PGF1dGhvcj5MYW0sIFIuIFAuIEsuPC9hdXRob3I+PGF1dGhvcj5UYW5nLCBN
LiBILiBZLjwvYXV0aG9yPjxhdXRob3I+TGV1bmcsIFMuIEMuPC9hdXRob3I+PGF1dGhvcj5DaG9u
ZywgWS4gSy48L2F1dGhvcj48YXV0aG9yPlRzdWksIE0uIFMuIEguPC9hdXRob3I+PGF1dGhvcj5N
YWssIFQuIFcuIEwuPC9hdXRob3I+PC9hdXRob3JzPjwvY29udHJpYnV0b3JzPjxhdXRoLWFkZHJl
c3M+YSBFbWVyZ2VuY3kgTWVkaWNpbmUgVW5pdCwgTGkgS2EgU2hpbmcgRmFjdWx0eSBvZiBNZWRp
Y2luZSAsIFRoZSBVbml2ZXJzaXR5IG9mIEhvbmcgS29uZyAsIEhvbmcgS29uZyBTcGVjaWFsIEFk
bWluaXN0cmF0aXZlIFJlZ2lvbiAsIENoaW5hLiYjeEQ7YiBIb3NwaXRhbCBBdXRob3JpdHkgVG94
aWNvbG9neSBSZWZlcmVuY2UgTGFib3JhdG9yeSAsIFByaW5jZXNzIE1hcmdhcmV0IEhvc3BpdGFs
LCBMYWkgQ2hpIEtvayAsIEhvbmcgS29uZyBTcGVjaWFsIEFkbWluaXN0cmF0aXZlIFJlZ2lvbiAs
IENoaW5hLiYjeEQ7YyBBY2NpZGVudCBhbmQgRW1lcmdlbmN5IERlcGFydG1lbnQgLCBRdWVlbiBN
YXJ5IEhvc3BpdGFsICwgSG9uZyBLb25nIFNwZWNpYWwgQWRtaW5pc3RyYXRpdmUgUmVnaW9uICwg
Q2hpbmEuPC9hdXRoLWFkZHJlc3M+PHRpdGxlcz48dGl0bGU+U3VwcmF2ZW50cmljdWxhciB0YWNo
eWNhcmRpYSBhbmQgYWN1dGUgY29uZnVzaW9uIGZvbGxvd2luZyBpbmdlc3Rpb24gb2YgZS1jaWdh
cmV0dGUgZmx1aWQgY29udGFpbmluZyBBQi1GVUJJTkFDQSBhbmQgQURCLUZVQklOQUNBOiBhIGNh
c2UgcmVwb3J0IHdpdGggcXVhbnRpdGF0aXZlIGFuYWx5c2lzIG9mIHNlcnVtIGRydWcgY29uY2Vu
dHJhdGlvbnM8L3RpdGxlPjxzZWNvbmRhcnktdGl0bGU+Q2xpbiBUb3hpY29sIChQaGlsYSk8L3Nl
Y29uZGFyeS10aXRsZT48YWx0LXRpdGxlPkNsaW5pY2FsIHRveGljb2xvZ3kgKFBoaWxhZGVscGhp
YSwgUGEuKTwvYWx0LXRpdGxlPjwvdGl0bGVzPjxwZXJpb2RpY2FsPjxmdWxsLXRpdGxlPkNsaW4g
VG94aWNvbCAoUGhpbGEpPC9mdWxsLXRpdGxlPjxhYmJyLTE+Q2xpbmljYWwgdG94aWNvbG9neSAo
UGhpbGFkZWxwaGlhLCBQYS4pPC9hYmJyLTE+PC9wZXJpb2RpY2FsPjxhbHQtcGVyaW9kaWNhbD48
ZnVsbC10aXRsZT5DbGluIFRveGljb2wgKFBoaWxhKTwvZnVsbC10aXRsZT48YWJici0xPkNsaW5p
Y2FsIHRveGljb2xvZ3kgKFBoaWxhZGVscGhpYSwgUGEuKTwvYWJici0xPjwvYWx0LXBlcmlvZGlj
YWw+PHBhZ2VzPjY2Mi02Njc8L3BhZ2VzPjx2b2x1bWU+NTU8L3ZvbHVtZT48bnVtYmVyPjc8L251
bWJlcj48ZWRpdGlvbj4yMDE3LzA0LzExPC9lZGl0aW9uPjxrZXl3b3Jkcz48a2V5d29yZD5Db25m
dXNpb24vKmNoZW1pY2FsbHkgaW5kdWNlZC9kaWFnbm9zaXMvcHN5Y2hvbG9neS90aGVyYXB5PC9r
ZXl3b3JkPjxrZXl3b3JkPkRpYWdub3NpcywgRGlmZmVyZW50aWFsPC9rZXl3b3JkPjxrZXl3b3Jk
PipEcnVnIE92ZXJkb3NlL2Jsb29kL2RpYWdub3Npczwva2V5d29yZD48a2V5d29yZD5FbGVjdHJv
bmljIE5pY290aW5lIERlbGl2ZXJ5IFN5c3RlbXMvKmFkdmVyc2UgZWZmZWN0czwva2V5d29yZD48
a2V5d29yZD5IdW1hbnM8L2tleXdvcmQ+PGtleXdvcmQ+SW5kYXpvbGVzL2Jsb29kLypwb2lzb25p
bmc8L2tleXdvcmQ+PGtleXdvcmQ+TWFsZTwva2V5d29yZD48a2V5d29yZD5QcmVkaWN0aXZlIFZh
bHVlIG9mIFRlc3RzPC9rZXl3b3JkPjxrZXl3b3JkPlN1YnN0YW5jZSBBYnVzZSBEZXRlY3Rpb248
L2tleXdvcmQ+PGtleXdvcmQ+U3Vic3RhbmNlLVJlbGF0ZWQgRGlzb3JkZXJzL2RpYWdub3Npcy8q
ZXRpb2xvZ3kvcGh5c2lvcGF0aG9sb2d5L3RoZXJhcHk8L2tleXdvcmQ+PGtleXdvcmQ+VGFjaHlj
YXJkaWEsIFN1cHJhdmVudHJpY3VsYXIvKmNoZW1pY2FsbHk8L2tleXdvcmQ+PGtleXdvcmQ+aW5k
dWNlZC9kaWFnbm9zaXMvcGh5c2lvcGF0aG9sb2d5L3RoZXJhcHk8L2tleXdvcmQ+PGtleXdvcmQ+
VHJlYXRtZW50IE91dGNvbWU8L2tleXdvcmQ+PGtleXdvcmQ+WW91bmcgQWR1bHQ8L2tleXdvcmQ+
PGtleXdvcmQ+U3ludGhldGljIGNhbm5hYmlub2lkczwva2V5d29yZD48a2V5d29yZD5jYXJkaWFj
IGFycmh5dGhtaWFzPC9rZXl3b3JkPjxrZXl3b3JkPmRlc2lnbmVyIGRydWc8L2tleXdvcmQ+PGtl
eXdvcmQ+bm92ZWwgcHN5Y2hvYWN0aXZlIHN1YnN0YW5jZXM8L2tleXdvcmQ+PGtleXdvcmQ+dG94
aWNpdHk8L2tleXdvcmQ+PC9rZXl3b3Jkcz48ZGF0ZXM+PHllYXI+MjAxNzwveWVhcj48cHViLWRh
dGVzPjxkYXRlPkF1ZzwvZGF0ZT48L3B1Yi1kYXRlcz48L2RhdGVzPjxpc2JuPjE1NTYtMzY1MDwv
aXNibj48YWNjZXNzaW9uLW51bT4yODM5MzU1ODwvYWNjZXNzaW9uLW51bT48dXJscz48L3VybHM+
PGVsZWN0cm9uaWMtcmVzb3VyY2UtbnVtPjEwLjEwODAvMTU1NjM2NTAuMjAxNy4xMzA3Mzg1PC9l
bGVjdHJvbmljLXJlc291cmNlLW51bT48cmVtb3RlLWRhdGFiYXNlLXByb3ZpZGVyPk5MTTwvcmVt
b3RlLWRhdGFiYXNlLXByb3ZpZGVyPjxsYW5ndWFnZT5lbmc8L2xhbmd1YWdlPjwvcmVjb3JkPjwv
Q2l0ZT48Q2l0ZT48QXV0aG9yPk1vcmxleTwvQXV0aG9yPjxZZWFyPjIwMTc8L1llYXI+PFJlY051
bT4xNzkyPC9SZWNOdW0+PHJlY29yZD48cmVjLW51bWJlcj4xNzkyPC9yZWMtbnVtYmVyPjxmb3Jl
aWduLWtleXM+PGtleSBhcHA9IkVOIiBkYi1pZD0iOTB0cDJ2cDI1d3RlMjZlejUyc3h0dHJ3dnp3
ZmZ3NXJ2emFmIiB0aW1lc3RhbXA9IjE1MjEwNzg0NzciPjE3OTI8L2tleT48L2ZvcmVpZ24ta2V5
cz48cmVmLXR5cGUgbmFtZT0iSm91cm5hbCBBcnRpY2xlIj4xNzwvcmVmLXR5cGU+PGNvbnRyaWJ1
dG9ycz48YXV0aG9ycz48YXV0aG9yPk1vcmxleSwgUy48L2F1dGhvcj48YXV0aG9yPlNsYXVnaHRl
ciwgSi48L2F1dGhvcj48YXV0aG9yPlNtaXRoLCBQLiBSLjwvYXV0aG9yPjwvYXV0aG9ycz48L2Nv
bnRyaWJ1dG9ycz48dGl0bGVzPjx0aXRsZT5EZWF0aCBmcm9tIEluZ2VzdGlvbiBvZiBFLUxpcXVp
ZDwvdGl0bGU+PHNlY29uZGFyeS10aXRsZT5Kb3VybmFsIG9mIEVtZXJnZW5jeSBNZWRpY2luZTwv
c2Vjb25kYXJ5LXRpdGxlPjwvdGl0bGVzPjxwZXJpb2RpY2FsPjxmdWxsLXRpdGxlPkpvdXJuYWwg
b2YgRW1lcmdlbmN5IE1lZGljaW5lPC9mdWxsLXRpdGxlPjwvcGVyaW9kaWNhbD48cGFnZXM+ODYy
LTg2NDwvcGFnZXM+PHZvbHVtZT41Mzwvdm9sdW1lPjxudW1iZXI+NjwvbnVtYmVyPjxrZXl3b3Jk
cz48a2V5d29yZD5hbGNvaG9sPC9rZXl3b3JkPjxrZXl3b3JkPm5pY290aW5lPC9rZXl3b3JkPjxr
ZXl3b3JkPmFkdWx0PC9rZXl3b3JkPjxrZXl3b3JkPkFydGljbGU8L2tleXdvcmQ+PGtleXdvcmQ+
Ymxvb2QgYW5hbHlzaXM8L2tleXdvcmQ+PGtleXdvcmQ+Ymxvb2QgbGV2ZWw8L2tleXdvcmQ+PGtl
eXdvcmQ+Y2FzZSByZXBvcnQ8L2tleXdvcmQ+PGtleXdvcmQ+Y2F1c2Ugb2YgZGVhdGg8L2tleXdv
cmQ+PGtleXdvcmQ+Y2xpbmljYWwgYXJ0aWNsZTwva2V5d29yZD48a2V5d29yZD5kZWF0aDwva2V5
d29yZD48a2V5d29yZD5lbWVyZ2VuY3kgcGh5c2ljaWFuPC9rZXl3b3JkPjxrZXl3b3JkPmh1bWFu
PC9rZXl3b3JkPjxrZXl3b3JkPmluZ2VzdGlvbjwva2V5d29yZD48a2V5d29yZD5pbnRveGljYXRp
b248L2tleXdvcmQ+PGtleXdvcmQ+bWFsZTwva2V5d29yZD48a2V5d29yZD5vdXQgb2YgaG9zcGl0
YWwgY2FyZGlhYyBhcnJlc3Q8L2tleXdvcmQ+PGtleXdvcmQ+cHJpb3JpdHkgam91cm5hbDwva2V5
d29yZD48a2V5d29yZD51bmNvbnNjaW91c25lc3M8L2tleXdvcmQ+PC9rZXl3b3Jkcz48ZGF0ZXM+
PHllYXI+MjAxNzwveWVhcj48L2RhdGVzPjx1cmxzPjxyZWxhdGVkLXVybHM+PHVybD5odHRwczov
L3d3dy5zY29wdXMuY29tL2lud2FyZC9yZWNvcmQudXJpP2VpZD0yLXMyLjAtODUwMzA0NjM5MzAm
YW1wO2RvaT0xMC4xMDE2JTJmai5qZW1lcm1lZC4yMDE3LjA2LjAyOSZhbXA7cGFydG5lcklEPTQw
JmFtcDttZDU9OTI2MGVhNDM5ZGMzMzBkNDIxODQwODQ0ZmVlN2NlMDI8L3VybD48dXJsPmh0dHBz
Oi8vd3d3LnNjaWVuY2VkaXJlY3QuY29tL3NjaWVuY2UvYXJ0aWNsZS9waWkvUzA3MzY0Njc5MTcz
MDU2Njg/dmlhJTNEaWh1YjwvdXJsPjwvcmVsYXRlZC11cmxzPjwvdXJscz48ZWxlY3Ryb25pYy1y
ZXNvdXJjZS1udW0+MTAuMTAxNi9qLmplbWVybWVkLjIwMTcuMDYuMDI5PC9lbGVjdHJvbmljLXJl
c291cmNlLW51bT48cmVtb3RlLWRhdGFiYXNlLW5hbWU+U2NvcHVzPC9yZW1vdGUtZGF0YWJhc2Ut
bmFtZT48L3JlY29yZD48L0NpdGU+PENpdGU+PEF1dGhvcj5QYXJrPC9BdXRob3I+PFllYXI+MjAx
ODwvWWVhcj48UmVjTnVtPjUzNTwvUmVjTnVtPjxyZWNvcmQ+PHJlYy1udW1iZXI+NTM1PC9yZWMt
bnVtYmVyPjxmb3JlaWduLWtleXM+PGtleSBhcHA9IkVOIiBkYi1pZD0iOTB0cDJ2cDI1d3RlMjZl
ejUyc3h0dHJ3dnp3ZmZ3NXJ2emFmIiB0aW1lc3RhbXA9IjE1MjEwNzczNTgiPjUzNTwva2V5Pjwv
Zm9yZWlnbi1rZXlzPjxyZWYtdHlwZSBuYW1lPSJKb3VybmFsIEFydGljbGUiPjE3PC9yZWYtdHlw
ZT48Y29udHJpYnV0b3JzPjxhdXRob3JzPjxhdXRob3I+UGFyaywgRS4gSi48L2F1dGhvcj48YXV0
aG9yPk1pbiwgWS4gRy48L2F1dGhvcj48L2F1dGhvcnM+PC9jb250cmlidXRvcnM+PGF1dGgtYWRk
cmVzcz5EZXBhcnRtZW50IG9mIEVtZXJnZW5jeSBNZWRpY2luZSwgQWpvdSBVbml2ZXJzaXR5IFNj
aG9vbCBvZiBNZWRpY2luZSwgU3V3b24sIEtvcmVhLiYjeEQ7RGVwYXJ0bWVudCBvZiBFbWVyZ2Vu
Y3kgTWVkaWNpbmUsIEFqb3UgVW5pdmVyc2l0eSBTY2hvb2wgb2YgTWVkaWNpbmUsIFN1d29uLCBL
b3JlYS4geW91bmdtZEBham91LmFjLmtyLjwvYXV0aC1hZGRyZXNzPjx0aXRsZXM+PHRpdGxlPlRo
ZSBFbWVyZ2luZyBNZXRob2Qgb2YgU3VpY2lkZSBieSBFbGVjdHJvbmljIENpZ2FyZXR0ZSBMaXF1
aWQ6IGEgQ2FzZSBSZXBvcnQ8L3RpdGxlPjxzZWNvbmRhcnktdGl0bGU+SiBLb3JlYW4gTWVkIFNj
aTwvc2Vjb25kYXJ5LXRpdGxlPjxhbHQtdGl0bGU+Sm91cm5hbCBvZiBLb3JlYW4gbWVkaWNhbCBz
Y2llbmNlPC9hbHQtdGl0bGU+PC90aXRsZXM+PHBlcmlvZGljYWw+PGZ1bGwtdGl0bGU+SiBLb3Jl
YW4gTWVkIFNjaTwvZnVsbC10aXRsZT48YWJici0xPkpvdXJuYWwgb2YgS29yZWFuIG1lZGljYWwg
c2NpZW5jZTwvYWJici0xPjwvcGVyaW9kaWNhbD48YWx0LXBlcmlvZGljYWw+PGZ1bGwtdGl0bGU+
SiBLb3JlYW4gTWVkIFNjaTwvZnVsbC10aXRsZT48YWJici0xPkpvdXJuYWwgb2YgS29yZWFuIG1l
ZGljYWwgc2NpZW5jZTwvYWJici0xPjwvYWx0LXBlcmlvZGljYWw+PHBhZ2VzPmU1MjwvcGFnZXM+
PHZvbHVtZT4zMzwvdm9sdW1lPjxudW1iZXI+MTE8L251bWJlcj48ZWRpdGlvbj4yMDE4LzAzLzAy
PC9lZGl0aW9uPjxrZXl3b3Jkcz48a2V5d29yZD5FbGVjdHJvbmljIENpZ2FyZXR0ZTwva2V5d29y
ZD48a2V5d29yZD5OaWNvdGluZTwva2V5d29yZD48a2V5d29yZD5Qb2lzb25pbmc8L2tleXdvcmQ+
PGtleXdvcmQ+U3VpY2lkZTwva2V5d29yZD48L2tleXdvcmRzPjxkYXRlcz48eWVhcj4yMDE4PC95
ZWFyPjxwdWItZGF0ZXM+PGRhdGU+TWFyIDEyPC9kYXRlPjwvcHViLWRhdGVzPjwvZGF0ZXM+PGlz
Ym4+MTAxMS04OTM0PC9pc2JuPjxhY2Nlc3Npb24tbnVtPjI5NDk1MTMzPC9hY2Nlc3Npb24tbnVt
Pjx1cmxzPjxyZWxhdGVkLXVybHM+PHVybD5odHRwczovL2prbXMub3JnL1N5bmFwc2UvRGF0YS9Q
REZEYXRhLzAwNjNKS01TL2prbXMtMzMtZTUyLnBkZjwvdXJsPjwvcmVsYXRlZC11cmxzPjwvdXJs
cz48Y3VzdG9tMj5QTUM1ODM1NTgyPC9jdXN0b20yPjxlbGVjdHJvbmljLXJlc291cmNlLW51bT4x
MC4zMzQ2L2prbXMuMjAxOC4zMy5lNTI8L2VsZWN0cm9uaWMtcmVzb3VyY2UtbnVtPjxyZW1vdGUt
ZGF0YWJhc2UtcHJvdmlkZXI+TkxNPC9yZW1vdGUtZGF0YWJhc2UtcHJvdmlkZXI+PGxhbmd1YWdl
PmVuZzwvbGFuZ3VhZ2U+PC9yZWNvcmQ+PC9DaXRlPjxDaXRlPjxBdXRob3I+VmFuIERlciBNZWVy
PC9BdXRob3I+PFllYXI+MjAxNzwvWWVhcj48UmVjTnVtPjQ1ODY8L1JlY051bT48cmVjb3JkPjxy
ZWMtbnVtYmVyPjQ1ODY8L3JlYy1udW1iZXI+PGZvcmVpZ24ta2V5cz48a2V5IGFwcD0iRU4iIGRi
LWlkPSI1eHY1dzV0MmJkeHR4ZmV6eDAyeHR4ZGZ0NXJ6NXB0dnZ0MjkiIHRpbWVzdGFtcD0iMTUy
MDU3MzExNCI+NDU4Njwva2V5PjwvZm9yZWlnbi1rZXlzPjxyZWYtdHlwZSBuYW1lPSJKb3VybmFs
IEFydGljbGUiPjE3PC9yZWYtdHlwZT48Y29udHJpYnV0b3JzPjxhdXRob3JzPjxhdXRob3I+VmFu
IERlciBNZWVyLCBELiBILjwvYXV0aG9yPjxhdXRob3I+UHJhbmdlciwgQS4gRC48L2F1dGhvcj48
YXV0aG9yPkphbnNlbiwgSS48L2F1dGhvcj48YXV0aG9yPldpbG1zLCBFLiBCLjwvYXV0aG9yPjxh
dXRob3I+S2llZnQsIEguPC9hdXRob3I+PGF1dGhvcj5NYXJpbmcsIEouIEcuPC9hdXRob3I+PC9h
dXRob3JzPjwvY29udHJpYnV0b3JzPjx0aXRsZXM+PHRpdGxlPkZhdGFsIGludG94aWNhdGlvbiB3
aXRoIG5pY290aW5lIGZvciBlLWNpZ2FyZXR0ZSBCYWNrZ3JvdW5kPC90aXRsZT48c2Vjb25kYXJ5
LXRpdGxlPk5lZGVybGFuZHMgVGlqZHNjaHJpZnQgdm9vciBHZW5lZXNrdW5kZTwvc2Vjb25kYXJ5
LXRpdGxlPjwvdGl0bGVzPjxwZXJpb2RpY2FsPjxmdWxsLXRpdGxlPk5lZCBUaWpkc2NociBHZW5l
ZXNrZDwvZnVsbC10aXRsZT48YWJici0xPk5lZGVybGFuZHMgdGlqZHNjaHJpZnQgdm9vciBnZW5l
ZXNrdW5kZTwvYWJici0xPjwvcGVyaW9kaWNhbD48dm9sdW1lPjE2MTwvdm9sdW1lPjxudW1iZXI+
NDM8L251bWJlcj48a2V5d29yZHM+PGtleXdvcmQ+ZXBpbmVwaHJpbmU8L2tleXdvcmQ+PGtleXdv
cmQ+bmljb3RpbmU8L2tleXdvcmQ+PGtleXdvcmQ+YWR1bHQ8L2tleXdvcmQ+PGtleXdvcmQ+QXJ0
aWNsZTwva2V5d29yZD48a2V5d29yZD5ibG9vZCBsZXZlbDwva2V5d29yZD48a2V5d29yZD5icmFp
biBkaXNlYXNlPC9rZXl3b3JkPjxrZXl3b3JkPmNhc2UgcmVwb3J0PC9rZXl3b3JkPjxrZXl3b3Jk
PmNsaW5pY2FsIGFydGljbGU8L2tleXdvcmQ+PGtleXdvcmQ+Y29uY2VudHJhdGlvbiAocGFyYW1l
dGVycyk8L2tleXdvcmQ+PGtleXdvcmQ+aGVhcnQgYXJyZXN0PC9rZXl3b3JkPjxrZXl3b3JkPmhv
c3BpdGFsIGFkbWlzc2lvbjwva2V5d29yZD48a2V5d29yZD5odW1hbjwva2V5d29yZD48a2V5d29y
ZD5pbnRlbnNpdmUgY2FyZSB1bml0PC9rZXl3b3JkPjxrZXl3b3JkPmludG94aWNhdGlvbjwva2V5
d29yZD48a2V5d29yZD5tYWxlPC9rZXl3b3JkPjxrZXl3b3JkPm5ldXJvbG9naWMgZGlzZWFzZTwv
a2V5d29yZD48a2V5d29yZD5uaWNvdGluZSBpbnRveGljYXRpb248L2tleXdvcmQ+PGtleXdvcmQ+
cG9zdGFub3hpYyBlbmNlcGhhbG9wYXRoeTwva2V5d29yZD48a2V5d29yZD5wdWxzZSByYXRlPC9r
ZXl3b3JkPjxrZXl3b3JkPnJlc3VzY2l0YXRpb248L2tleXdvcmQ+PC9rZXl3b3Jkcz48ZGF0ZXM+
PHllYXI+MjAxNzwveWVhcj48L2RhdGVzPjx1cmxzPjxyZWxhdGVkLXVybHM+PHVybD5odHRwczov
L3d3dy5zY29wdXMuY29tL2lud2FyZC9yZWNvcmQudXJpP2VpZD0yLXMyLjAtODUwMzIzNDI4MTcm
YW1wO3BhcnRuZXJJRD00MCZhbXA7bWQ1PThjNWI2M2Y2ZmIwZGExN2YyMDUyY2QyYWQyZDEzY2Uy
PC91cmw+PC9yZWxhdGVkLXVybHM+PC91cmxzPjxyZW1vdGUtZGF0YWJhc2UtbmFtZT5TY29wdXMg
QzcgLSBEMTU5MTwvcmVtb3RlLWRhdGFiYXNlLW5hbWU+PC9yZWNvcmQ+PC9DaXRlPjwvRW5kTm90
ZT4A
</w:fldData>
            </w:fldChar>
          </w:r>
          <w:r w:rsidR="00903735">
            <w:rPr>
              <w:sz w:val="24"/>
            </w:rPr>
            <w:instrText xml:space="preserve"> ADDIN EN.CITE </w:instrText>
          </w:r>
          <w:r w:rsidR="00903735">
            <w:rPr>
              <w:sz w:val="24"/>
            </w:rPr>
            <w:fldChar w:fldCharType="begin">
              <w:fldData xml:space="preserve">PEVuZE5vdGU+PENpdGU+PEF1dGhvcj5MYW08L0F1dGhvcj48WWVhcj4yMDE3PC9ZZWFyPjxSZWNO
dW0+MTIwODwvUmVjTnVtPjxEaXNwbGF5VGV4dD4oTGFtLCBUYW5nIGV0IGFsLiAyMDE3LCBNb3Js
ZXksIFNsYXVnaHRlciBldCBhbC4gMjAxNywgVmFuIERlciBNZWVyLCBQcmFuZ2VyIGV0IGFsLiAy
MDE3LCBQYXJrIGFuZCBNaW4gMjAxOCk8L0Rpc3BsYXlUZXh0PjxyZWNvcmQ+PHJlYy1udW1iZXI+
MTIwODwvcmVjLW51bWJlcj48Zm9yZWlnbi1rZXlzPjxrZXkgYXBwPSJFTiIgZGItaWQ9IjkwdHAy
dnAyNXd0ZTI2ZXo1MnN4dHRyd3Z6d2ZmdzVydnphZiIgdGltZXN0YW1wPSIxNTIxMDc4MzgyIj4x
MjA4PC9rZXk+PGtleSBhcHA9IkVOV2ViIiBkYi1pZD0iIj4wPC9rZXk+PC9mb3JlaWduLWtleXM+
PHJlZi10eXBlIG5hbWU9IkpvdXJuYWwgQXJ0aWNsZSI+MTc8L3JlZi10eXBlPjxjb250cmlidXRv
cnM+PGF1dGhvcnM+PGF1dGhvcj5MYW0sIFIuIFAuIEsuPC9hdXRob3I+PGF1dGhvcj5UYW5nLCBN
LiBILiBZLjwvYXV0aG9yPjxhdXRob3I+TGV1bmcsIFMuIEMuPC9hdXRob3I+PGF1dGhvcj5DaG9u
ZywgWS4gSy48L2F1dGhvcj48YXV0aG9yPlRzdWksIE0uIFMuIEguPC9hdXRob3I+PGF1dGhvcj5N
YWssIFQuIFcuIEwuPC9hdXRob3I+PC9hdXRob3JzPjwvY29udHJpYnV0b3JzPjxhdXRoLWFkZHJl
c3M+YSBFbWVyZ2VuY3kgTWVkaWNpbmUgVW5pdCwgTGkgS2EgU2hpbmcgRmFjdWx0eSBvZiBNZWRp
Y2luZSAsIFRoZSBVbml2ZXJzaXR5IG9mIEhvbmcgS29uZyAsIEhvbmcgS29uZyBTcGVjaWFsIEFk
bWluaXN0cmF0aXZlIFJlZ2lvbiAsIENoaW5hLiYjeEQ7YiBIb3NwaXRhbCBBdXRob3JpdHkgVG94
aWNvbG9neSBSZWZlcmVuY2UgTGFib3JhdG9yeSAsIFByaW5jZXNzIE1hcmdhcmV0IEhvc3BpdGFs
LCBMYWkgQ2hpIEtvayAsIEhvbmcgS29uZyBTcGVjaWFsIEFkbWluaXN0cmF0aXZlIFJlZ2lvbiAs
IENoaW5hLiYjeEQ7YyBBY2NpZGVudCBhbmQgRW1lcmdlbmN5IERlcGFydG1lbnQgLCBRdWVlbiBN
YXJ5IEhvc3BpdGFsICwgSG9uZyBLb25nIFNwZWNpYWwgQWRtaW5pc3RyYXRpdmUgUmVnaW9uICwg
Q2hpbmEuPC9hdXRoLWFkZHJlc3M+PHRpdGxlcz48dGl0bGU+U3VwcmF2ZW50cmljdWxhciB0YWNo
eWNhcmRpYSBhbmQgYWN1dGUgY29uZnVzaW9uIGZvbGxvd2luZyBpbmdlc3Rpb24gb2YgZS1jaWdh
cmV0dGUgZmx1aWQgY29udGFpbmluZyBBQi1GVUJJTkFDQSBhbmQgQURCLUZVQklOQUNBOiBhIGNh
c2UgcmVwb3J0IHdpdGggcXVhbnRpdGF0aXZlIGFuYWx5c2lzIG9mIHNlcnVtIGRydWcgY29uY2Vu
dHJhdGlvbnM8L3RpdGxlPjxzZWNvbmRhcnktdGl0bGU+Q2xpbiBUb3hpY29sIChQaGlsYSk8L3Nl
Y29uZGFyeS10aXRsZT48YWx0LXRpdGxlPkNsaW5pY2FsIHRveGljb2xvZ3kgKFBoaWxhZGVscGhp
YSwgUGEuKTwvYWx0LXRpdGxlPjwvdGl0bGVzPjxwZXJpb2RpY2FsPjxmdWxsLXRpdGxlPkNsaW4g
VG94aWNvbCAoUGhpbGEpPC9mdWxsLXRpdGxlPjxhYmJyLTE+Q2xpbmljYWwgdG94aWNvbG9neSAo
UGhpbGFkZWxwaGlhLCBQYS4pPC9hYmJyLTE+PC9wZXJpb2RpY2FsPjxhbHQtcGVyaW9kaWNhbD48
ZnVsbC10aXRsZT5DbGluIFRveGljb2wgKFBoaWxhKTwvZnVsbC10aXRsZT48YWJici0xPkNsaW5p
Y2FsIHRveGljb2xvZ3kgKFBoaWxhZGVscGhpYSwgUGEuKTwvYWJici0xPjwvYWx0LXBlcmlvZGlj
YWw+PHBhZ2VzPjY2Mi02Njc8L3BhZ2VzPjx2b2x1bWU+NTU8L3ZvbHVtZT48bnVtYmVyPjc8L251
bWJlcj48ZWRpdGlvbj4yMDE3LzA0LzExPC9lZGl0aW9uPjxrZXl3b3Jkcz48a2V5d29yZD5Db25m
dXNpb24vKmNoZW1pY2FsbHkgaW5kdWNlZC9kaWFnbm9zaXMvcHN5Y2hvbG9neS90aGVyYXB5PC9r
ZXl3b3JkPjxrZXl3b3JkPkRpYWdub3NpcywgRGlmZmVyZW50aWFsPC9rZXl3b3JkPjxrZXl3b3Jk
PipEcnVnIE92ZXJkb3NlL2Jsb29kL2RpYWdub3Npczwva2V5d29yZD48a2V5d29yZD5FbGVjdHJv
bmljIE5pY290aW5lIERlbGl2ZXJ5IFN5c3RlbXMvKmFkdmVyc2UgZWZmZWN0czwva2V5d29yZD48
a2V5d29yZD5IdW1hbnM8L2tleXdvcmQ+PGtleXdvcmQ+SW5kYXpvbGVzL2Jsb29kLypwb2lzb25p
bmc8L2tleXdvcmQ+PGtleXdvcmQ+TWFsZTwva2V5d29yZD48a2V5d29yZD5QcmVkaWN0aXZlIFZh
bHVlIG9mIFRlc3RzPC9rZXl3b3JkPjxrZXl3b3JkPlN1YnN0YW5jZSBBYnVzZSBEZXRlY3Rpb248
L2tleXdvcmQ+PGtleXdvcmQ+U3Vic3RhbmNlLVJlbGF0ZWQgRGlzb3JkZXJzL2RpYWdub3Npcy8q
ZXRpb2xvZ3kvcGh5c2lvcGF0aG9sb2d5L3RoZXJhcHk8L2tleXdvcmQ+PGtleXdvcmQ+VGFjaHlj
YXJkaWEsIFN1cHJhdmVudHJpY3VsYXIvKmNoZW1pY2FsbHk8L2tleXdvcmQ+PGtleXdvcmQ+aW5k
dWNlZC9kaWFnbm9zaXMvcGh5c2lvcGF0aG9sb2d5L3RoZXJhcHk8L2tleXdvcmQ+PGtleXdvcmQ+
VHJlYXRtZW50IE91dGNvbWU8L2tleXdvcmQ+PGtleXdvcmQ+WW91bmcgQWR1bHQ8L2tleXdvcmQ+
PGtleXdvcmQ+U3ludGhldGljIGNhbm5hYmlub2lkczwva2V5d29yZD48a2V5d29yZD5jYXJkaWFj
IGFycmh5dGhtaWFzPC9rZXl3b3JkPjxrZXl3b3JkPmRlc2lnbmVyIGRydWc8L2tleXdvcmQ+PGtl
eXdvcmQ+bm92ZWwgcHN5Y2hvYWN0aXZlIHN1YnN0YW5jZXM8L2tleXdvcmQ+PGtleXdvcmQ+dG94
aWNpdHk8L2tleXdvcmQ+PC9rZXl3b3Jkcz48ZGF0ZXM+PHllYXI+MjAxNzwveWVhcj48cHViLWRh
dGVzPjxkYXRlPkF1ZzwvZGF0ZT48L3B1Yi1kYXRlcz48L2RhdGVzPjxpc2JuPjE1NTYtMzY1MDwv
aXNibj48YWNjZXNzaW9uLW51bT4yODM5MzU1ODwvYWNjZXNzaW9uLW51bT48dXJscz48L3VybHM+
PGVsZWN0cm9uaWMtcmVzb3VyY2UtbnVtPjEwLjEwODAvMTU1NjM2NTAuMjAxNy4xMzA3Mzg1PC9l
bGVjdHJvbmljLXJlc291cmNlLW51bT48cmVtb3RlLWRhdGFiYXNlLXByb3ZpZGVyPk5MTTwvcmVt
b3RlLWRhdGFiYXNlLXByb3ZpZGVyPjxsYW5ndWFnZT5lbmc8L2xhbmd1YWdlPjwvcmVjb3JkPjwv
Q2l0ZT48Q2l0ZT48QXV0aG9yPk1vcmxleTwvQXV0aG9yPjxZZWFyPjIwMTc8L1llYXI+PFJlY051
bT4xNzkyPC9SZWNOdW0+PHJlY29yZD48cmVjLW51bWJlcj4xNzkyPC9yZWMtbnVtYmVyPjxmb3Jl
aWduLWtleXM+PGtleSBhcHA9IkVOIiBkYi1pZD0iOTB0cDJ2cDI1d3RlMjZlejUyc3h0dHJ3dnp3
ZmZ3NXJ2emFmIiB0aW1lc3RhbXA9IjE1MjEwNzg0NzciPjE3OTI8L2tleT48L2ZvcmVpZ24ta2V5
cz48cmVmLXR5cGUgbmFtZT0iSm91cm5hbCBBcnRpY2xlIj4xNzwvcmVmLXR5cGU+PGNvbnRyaWJ1
dG9ycz48YXV0aG9ycz48YXV0aG9yPk1vcmxleSwgUy48L2F1dGhvcj48YXV0aG9yPlNsYXVnaHRl
ciwgSi48L2F1dGhvcj48YXV0aG9yPlNtaXRoLCBQLiBSLjwvYXV0aG9yPjwvYXV0aG9ycz48L2Nv
bnRyaWJ1dG9ycz48dGl0bGVzPjx0aXRsZT5EZWF0aCBmcm9tIEluZ2VzdGlvbiBvZiBFLUxpcXVp
ZDwvdGl0bGU+PHNlY29uZGFyeS10aXRsZT5Kb3VybmFsIG9mIEVtZXJnZW5jeSBNZWRpY2luZTwv
c2Vjb25kYXJ5LXRpdGxlPjwvdGl0bGVzPjxwZXJpb2RpY2FsPjxmdWxsLXRpdGxlPkpvdXJuYWwg
b2YgRW1lcmdlbmN5IE1lZGljaW5lPC9mdWxsLXRpdGxlPjwvcGVyaW9kaWNhbD48cGFnZXM+ODYy
LTg2NDwvcGFnZXM+PHZvbHVtZT41Mzwvdm9sdW1lPjxudW1iZXI+NjwvbnVtYmVyPjxrZXl3b3Jk
cz48a2V5d29yZD5hbGNvaG9sPC9rZXl3b3JkPjxrZXl3b3JkPm5pY290aW5lPC9rZXl3b3JkPjxr
ZXl3b3JkPmFkdWx0PC9rZXl3b3JkPjxrZXl3b3JkPkFydGljbGU8L2tleXdvcmQ+PGtleXdvcmQ+
Ymxvb2QgYW5hbHlzaXM8L2tleXdvcmQ+PGtleXdvcmQ+Ymxvb2QgbGV2ZWw8L2tleXdvcmQ+PGtl
eXdvcmQ+Y2FzZSByZXBvcnQ8L2tleXdvcmQ+PGtleXdvcmQ+Y2F1c2Ugb2YgZGVhdGg8L2tleXdv
cmQ+PGtleXdvcmQ+Y2xpbmljYWwgYXJ0aWNsZTwva2V5d29yZD48a2V5d29yZD5kZWF0aDwva2V5
d29yZD48a2V5d29yZD5lbWVyZ2VuY3kgcGh5c2ljaWFuPC9rZXl3b3JkPjxrZXl3b3JkPmh1bWFu
PC9rZXl3b3JkPjxrZXl3b3JkPmluZ2VzdGlvbjwva2V5d29yZD48a2V5d29yZD5pbnRveGljYXRp
b248L2tleXdvcmQ+PGtleXdvcmQ+bWFsZTwva2V5d29yZD48a2V5d29yZD5vdXQgb2YgaG9zcGl0
YWwgY2FyZGlhYyBhcnJlc3Q8L2tleXdvcmQ+PGtleXdvcmQ+cHJpb3JpdHkgam91cm5hbDwva2V5
d29yZD48a2V5d29yZD51bmNvbnNjaW91c25lc3M8L2tleXdvcmQ+PC9rZXl3b3Jkcz48ZGF0ZXM+
PHllYXI+MjAxNzwveWVhcj48L2RhdGVzPjx1cmxzPjxyZWxhdGVkLXVybHM+PHVybD5odHRwczov
L3d3dy5zY29wdXMuY29tL2lud2FyZC9yZWNvcmQudXJpP2VpZD0yLXMyLjAtODUwMzA0NjM5MzAm
YW1wO2RvaT0xMC4xMDE2JTJmai5qZW1lcm1lZC4yMDE3LjA2LjAyOSZhbXA7cGFydG5lcklEPTQw
JmFtcDttZDU9OTI2MGVhNDM5ZGMzMzBkNDIxODQwODQ0ZmVlN2NlMDI8L3VybD48dXJsPmh0dHBz
Oi8vd3d3LnNjaWVuY2VkaXJlY3QuY29tL3NjaWVuY2UvYXJ0aWNsZS9waWkvUzA3MzY0Njc5MTcz
MDU2Njg/dmlhJTNEaWh1YjwvdXJsPjwvcmVsYXRlZC11cmxzPjwvdXJscz48ZWxlY3Ryb25pYy1y
ZXNvdXJjZS1udW0+MTAuMTAxNi9qLmplbWVybWVkLjIwMTcuMDYuMDI5PC9lbGVjdHJvbmljLXJl
c291cmNlLW51bT48cmVtb3RlLWRhdGFiYXNlLW5hbWU+U2NvcHVzPC9yZW1vdGUtZGF0YWJhc2Ut
bmFtZT48L3JlY29yZD48L0NpdGU+PENpdGU+PEF1dGhvcj5QYXJrPC9BdXRob3I+PFllYXI+MjAx
ODwvWWVhcj48UmVjTnVtPjUzNTwvUmVjTnVtPjxyZWNvcmQ+PHJlYy1udW1iZXI+NTM1PC9yZWMt
bnVtYmVyPjxmb3JlaWduLWtleXM+PGtleSBhcHA9IkVOIiBkYi1pZD0iOTB0cDJ2cDI1d3RlMjZl
ejUyc3h0dHJ3dnp3ZmZ3NXJ2emFmIiB0aW1lc3RhbXA9IjE1MjEwNzczNTgiPjUzNTwva2V5Pjwv
Zm9yZWlnbi1rZXlzPjxyZWYtdHlwZSBuYW1lPSJKb3VybmFsIEFydGljbGUiPjE3PC9yZWYtdHlw
ZT48Y29udHJpYnV0b3JzPjxhdXRob3JzPjxhdXRob3I+UGFyaywgRS4gSi48L2F1dGhvcj48YXV0
aG9yPk1pbiwgWS4gRy48L2F1dGhvcj48L2F1dGhvcnM+PC9jb250cmlidXRvcnM+PGF1dGgtYWRk
cmVzcz5EZXBhcnRtZW50IG9mIEVtZXJnZW5jeSBNZWRpY2luZSwgQWpvdSBVbml2ZXJzaXR5IFNj
aG9vbCBvZiBNZWRpY2luZSwgU3V3b24sIEtvcmVhLiYjeEQ7RGVwYXJ0bWVudCBvZiBFbWVyZ2Vu
Y3kgTWVkaWNpbmUsIEFqb3UgVW5pdmVyc2l0eSBTY2hvb2wgb2YgTWVkaWNpbmUsIFN1d29uLCBL
b3JlYS4geW91bmdtZEBham91LmFjLmtyLjwvYXV0aC1hZGRyZXNzPjx0aXRsZXM+PHRpdGxlPlRo
ZSBFbWVyZ2luZyBNZXRob2Qgb2YgU3VpY2lkZSBieSBFbGVjdHJvbmljIENpZ2FyZXR0ZSBMaXF1
aWQ6IGEgQ2FzZSBSZXBvcnQ8L3RpdGxlPjxzZWNvbmRhcnktdGl0bGU+SiBLb3JlYW4gTWVkIFNj
aTwvc2Vjb25kYXJ5LXRpdGxlPjxhbHQtdGl0bGU+Sm91cm5hbCBvZiBLb3JlYW4gbWVkaWNhbCBz
Y2llbmNlPC9hbHQtdGl0bGU+PC90aXRsZXM+PHBlcmlvZGljYWw+PGZ1bGwtdGl0bGU+SiBLb3Jl
YW4gTWVkIFNjaTwvZnVsbC10aXRsZT48YWJici0xPkpvdXJuYWwgb2YgS29yZWFuIG1lZGljYWwg
c2NpZW5jZTwvYWJici0xPjwvcGVyaW9kaWNhbD48YWx0LXBlcmlvZGljYWw+PGZ1bGwtdGl0bGU+
SiBLb3JlYW4gTWVkIFNjaTwvZnVsbC10aXRsZT48YWJici0xPkpvdXJuYWwgb2YgS29yZWFuIG1l
ZGljYWwgc2NpZW5jZTwvYWJici0xPjwvYWx0LXBlcmlvZGljYWw+PHBhZ2VzPmU1MjwvcGFnZXM+
PHZvbHVtZT4zMzwvdm9sdW1lPjxudW1iZXI+MTE8L251bWJlcj48ZWRpdGlvbj4yMDE4LzAzLzAy
PC9lZGl0aW9uPjxrZXl3b3Jkcz48a2V5d29yZD5FbGVjdHJvbmljIENpZ2FyZXR0ZTwva2V5d29y
ZD48a2V5d29yZD5OaWNvdGluZTwva2V5d29yZD48a2V5d29yZD5Qb2lzb25pbmc8L2tleXdvcmQ+
PGtleXdvcmQ+U3VpY2lkZTwva2V5d29yZD48L2tleXdvcmRzPjxkYXRlcz48eWVhcj4yMDE4PC95
ZWFyPjxwdWItZGF0ZXM+PGRhdGU+TWFyIDEyPC9kYXRlPjwvcHViLWRhdGVzPjwvZGF0ZXM+PGlz
Ym4+MTAxMS04OTM0PC9pc2JuPjxhY2Nlc3Npb24tbnVtPjI5NDk1MTMzPC9hY2Nlc3Npb24tbnVt
Pjx1cmxzPjxyZWxhdGVkLXVybHM+PHVybD5odHRwczovL2prbXMub3JnL1N5bmFwc2UvRGF0YS9Q
REZEYXRhLzAwNjNKS01TL2prbXMtMzMtZTUyLnBkZjwvdXJsPjwvcmVsYXRlZC11cmxzPjwvdXJs
cz48Y3VzdG9tMj5QTUM1ODM1NTgyPC9jdXN0b20yPjxlbGVjdHJvbmljLXJlc291cmNlLW51bT4x
MC4zMzQ2L2prbXMuMjAxOC4zMy5lNTI8L2VsZWN0cm9uaWMtcmVzb3VyY2UtbnVtPjxyZW1vdGUt
ZGF0YWJhc2UtcHJvdmlkZXI+TkxNPC9yZW1vdGUtZGF0YWJhc2UtcHJvdmlkZXI+PGxhbmd1YWdl
PmVuZzwvbGFuZ3VhZ2U+PC9yZWNvcmQ+PC9DaXRlPjxDaXRlPjxBdXRob3I+VmFuIERlciBNZWVy
PC9BdXRob3I+PFllYXI+MjAxNzwvWWVhcj48UmVjTnVtPjQ1ODY8L1JlY051bT48cmVjb3JkPjxy
ZWMtbnVtYmVyPjQ1ODY8L3JlYy1udW1iZXI+PGZvcmVpZ24ta2V5cz48a2V5IGFwcD0iRU4iIGRi
LWlkPSI1eHY1dzV0MmJkeHR4ZmV6eDAyeHR4ZGZ0NXJ6NXB0dnZ0MjkiIHRpbWVzdGFtcD0iMTUy
MDU3MzExNCI+NDU4Njwva2V5PjwvZm9yZWlnbi1rZXlzPjxyZWYtdHlwZSBuYW1lPSJKb3VybmFs
IEFydGljbGUiPjE3PC9yZWYtdHlwZT48Y29udHJpYnV0b3JzPjxhdXRob3JzPjxhdXRob3I+VmFu
IERlciBNZWVyLCBELiBILjwvYXV0aG9yPjxhdXRob3I+UHJhbmdlciwgQS4gRC48L2F1dGhvcj48
YXV0aG9yPkphbnNlbiwgSS48L2F1dGhvcj48YXV0aG9yPldpbG1zLCBFLiBCLjwvYXV0aG9yPjxh
dXRob3I+S2llZnQsIEguPC9hdXRob3I+PGF1dGhvcj5NYXJpbmcsIEouIEcuPC9hdXRob3I+PC9h
dXRob3JzPjwvY29udHJpYnV0b3JzPjx0aXRsZXM+PHRpdGxlPkZhdGFsIGludG94aWNhdGlvbiB3
aXRoIG5pY290aW5lIGZvciBlLWNpZ2FyZXR0ZSBCYWNrZ3JvdW5kPC90aXRsZT48c2Vjb25kYXJ5
LXRpdGxlPk5lZGVybGFuZHMgVGlqZHNjaHJpZnQgdm9vciBHZW5lZXNrdW5kZTwvc2Vjb25kYXJ5
LXRpdGxlPjwvdGl0bGVzPjxwZXJpb2RpY2FsPjxmdWxsLXRpdGxlPk5lZCBUaWpkc2NociBHZW5l
ZXNrZDwvZnVsbC10aXRsZT48YWJici0xPk5lZGVybGFuZHMgdGlqZHNjaHJpZnQgdm9vciBnZW5l
ZXNrdW5kZTwvYWJici0xPjwvcGVyaW9kaWNhbD48dm9sdW1lPjE2MTwvdm9sdW1lPjxudW1iZXI+
NDM8L251bWJlcj48a2V5d29yZHM+PGtleXdvcmQ+ZXBpbmVwaHJpbmU8L2tleXdvcmQ+PGtleXdv
cmQ+bmljb3RpbmU8L2tleXdvcmQ+PGtleXdvcmQ+YWR1bHQ8L2tleXdvcmQ+PGtleXdvcmQ+QXJ0
aWNsZTwva2V5d29yZD48a2V5d29yZD5ibG9vZCBsZXZlbDwva2V5d29yZD48a2V5d29yZD5icmFp
biBkaXNlYXNlPC9rZXl3b3JkPjxrZXl3b3JkPmNhc2UgcmVwb3J0PC9rZXl3b3JkPjxrZXl3b3Jk
PmNsaW5pY2FsIGFydGljbGU8L2tleXdvcmQ+PGtleXdvcmQ+Y29uY2VudHJhdGlvbiAocGFyYW1l
dGVycyk8L2tleXdvcmQ+PGtleXdvcmQ+aGVhcnQgYXJyZXN0PC9rZXl3b3JkPjxrZXl3b3JkPmhv
c3BpdGFsIGFkbWlzc2lvbjwva2V5d29yZD48a2V5d29yZD5odW1hbjwva2V5d29yZD48a2V5d29y
ZD5pbnRlbnNpdmUgY2FyZSB1bml0PC9rZXl3b3JkPjxrZXl3b3JkPmludG94aWNhdGlvbjwva2V5
d29yZD48a2V5d29yZD5tYWxlPC9rZXl3b3JkPjxrZXl3b3JkPm5ldXJvbG9naWMgZGlzZWFzZTwv
a2V5d29yZD48a2V5d29yZD5uaWNvdGluZSBpbnRveGljYXRpb248L2tleXdvcmQ+PGtleXdvcmQ+
cG9zdGFub3hpYyBlbmNlcGhhbG9wYXRoeTwva2V5d29yZD48a2V5d29yZD5wdWxzZSByYXRlPC9r
ZXl3b3JkPjxrZXl3b3JkPnJlc3VzY2l0YXRpb248L2tleXdvcmQ+PC9rZXl3b3Jkcz48ZGF0ZXM+
PHllYXI+MjAxNzwveWVhcj48L2RhdGVzPjx1cmxzPjxyZWxhdGVkLXVybHM+PHVybD5odHRwczov
L3d3dy5zY29wdXMuY29tL2lud2FyZC9yZWNvcmQudXJpP2VpZD0yLXMyLjAtODUwMzIzNDI4MTcm
YW1wO3BhcnRuZXJJRD00MCZhbXA7bWQ1PThjNWI2M2Y2ZmIwZGExN2YyMDUyY2QyYWQyZDEzY2Uy
PC91cmw+PC9yZWxhdGVkLXVybHM+PC91cmxzPjxyZW1vdGUtZGF0YWJhc2UtbmFtZT5TY29wdXMg
QzcgLSBEMTU5MTwvcmVtb3RlLWRhdGFiYXNlLW5hbWU+PC9yZWNvcmQ+PC9DaXRlPjwvRW5kTm90
ZT4A
</w:fldData>
            </w:fldChar>
          </w:r>
          <w:r w:rsidR="00903735">
            <w:rPr>
              <w:sz w:val="24"/>
            </w:rPr>
            <w:instrText xml:space="preserve"> ADDIN EN.CITE.DATA </w:instrText>
          </w:r>
          <w:r w:rsidR="00903735">
            <w:rPr>
              <w:sz w:val="24"/>
            </w:rPr>
          </w:r>
          <w:r w:rsidR="00903735">
            <w:rPr>
              <w:sz w:val="24"/>
            </w:rPr>
            <w:fldChar w:fldCharType="end"/>
          </w:r>
          <w:r w:rsidRPr="004F431A">
            <w:rPr>
              <w:sz w:val="24"/>
            </w:rPr>
          </w:r>
          <w:r w:rsidRPr="004F431A">
            <w:rPr>
              <w:sz w:val="24"/>
            </w:rPr>
            <w:fldChar w:fldCharType="separate"/>
          </w:r>
          <w:r>
            <w:rPr>
              <w:noProof/>
              <w:sz w:val="24"/>
            </w:rPr>
            <w:t>(Lam, Tang et al. 2017, Morley, Slaughter et al. 2017, Van Der Meer, Pranger et al. 2017, Park and Min 2018)</w:t>
          </w:r>
          <w:r w:rsidRPr="004F431A">
            <w:rPr>
              <w:sz w:val="24"/>
            </w:rPr>
            <w:fldChar w:fldCharType="end"/>
          </w:r>
          <w:r w:rsidRPr="004F431A">
            <w:rPr>
              <w:sz w:val="24"/>
            </w:rPr>
            <w:t>.</w:t>
          </w:r>
        </w:p>
        <w:p w14:paraId="5ED1611F" w14:textId="77777777" w:rsidR="00F918EE" w:rsidRPr="004F431A" w:rsidRDefault="00F918EE" w:rsidP="00F918EE">
          <w:pPr>
            <w:tabs>
              <w:tab w:val="left" w:pos="397"/>
            </w:tabs>
            <w:spacing w:before="60" w:after="60" w:line="264" w:lineRule="auto"/>
            <w:rPr>
              <w:sz w:val="24"/>
            </w:rPr>
          </w:pPr>
        </w:p>
        <w:p w14:paraId="2187C47F" w14:textId="77777777" w:rsidR="00F918EE" w:rsidRDefault="00F918EE" w:rsidP="00F918EE">
          <w:pPr>
            <w:tabs>
              <w:tab w:val="left" w:pos="397"/>
            </w:tabs>
            <w:spacing w:before="60" w:after="60" w:line="264" w:lineRule="auto"/>
            <w:rPr>
              <w:sz w:val="24"/>
            </w:rPr>
          </w:pPr>
          <w:r w:rsidRPr="004F431A">
            <w:rPr>
              <w:sz w:val="24"/>
            </w:rPr>
            <w:t xml:space="preserve">Morley et al reported the death of a 32 year old male who ingested e-cigarette liquid while under the influence of alcohol </w:t>
          </w:r>
          <w:r w:rsidRPr="004F431A">
            <w:rPr>
              <w:sz w:val="24"/>
            </w:rPr>
            <w:fldChar w:fldCharType="begin"/>
          </w:r>
          <w:r>
            <w:rPr>
              <w:sz w:val="24"/>
            </w:rPr>
            <w:instrText xml:space="preserve"> ADDIN EN.CITE &lt;EndNote&gt;&lt;Cite&gt;&lt;Author&gt;Morley&lt;/Author&gt;&lt;Year&gt;2017&lt;/Year&gt;&lt;RecNum&gt;5813&lt;/RecNum&gt;&lt;DisplayText&gt;(Morley, Slaughter et al. 2017)&lt;/DisplayText&gt;&lt;record&gt;&lt;rec-number&gt;5813&lt;/rec-number&gt;&lt;foreign-keys&gt;&lt;key app="EN" db-id="9z05dz0praadfuee0zoxzedk9zfe5fxx50z5" timestamp="1523921025"&gt;5813&lt;/key&gt;&lt;key app="ENWeb" db-id=""&gt;0&lt;/key&gt;&lt;/foreign-keys&gt;&lt;ref-type name="Journal Article"&gt;17&lt;/ref-type&gt;&lt;contributors&gt;&lt;authors&gt;&lt;author&gt;Morley, S.&lt;/author&gt;&lt;author&gt;Slaughter, J.&lt;/author&gt;&lt;author&gt;Smith, P. R.&lt;/author&gt;&lt;/authors&gt;&lt;/contributors&gt;&lt;titles&gt;&lt;title&gt;Death from Ingestion of E-Liquid&lt;/title&gt;&lt;secondary-title&gt;Journal of Emergency Medicine&lt;/secondary-title&gt;&lt;/titles&gt;&lt;periodical&gt;&lt;full-title&gt;Journal of Emergency Medicine&lt;/full-title&gt;&lt;/periodical&gt;&lt;pages&gt;862-864&lt;/pages&gt;&lt;volume&gt;53&lt;/volume&gt;&lt;number&gt;6&lt;/number&gt;&lt;keywords&gt;&lt;keyword&gt;alcohol&lt;/keyword&gt;&lt;keyword&gt;nicotine&lt;/keyword&gt;&lt;keyword&gt;adult&lt;/keyword&gt;&lt;keyword&gt;Article&lt;/keyword&gt;&lt;keyword&gt;blood analysis&lt;/keyword&gt;&lt;keyword&gt;blood level&lt;/keyword&gt;&lt;keyword&gt;case report&lt;/keyword&gt;&lt;keyword&gt;cause of death&lt;/keyword&gt;&lt;keyword&gt;clinical article&lt;/keyword&gt;&lt;keyword&gt;death&lt;/keyword&gt;&lt;keyword&gt;emergency physician&lt;/keyword&gt;&lt;keyword&gt;human&lt;/keyword&gt;&lt;keyword&gt;ingestion&lt;/keyword&gt;&lt;keyword&gt;intoxication&lt;/keyword&gt;&lt;keyword&gt;male&lt;/keyword&gt;&lt;keyword&gt;out of hospital cardiac arrest&lt;/keyword&gt;&lt;keyword&gt;priority journal&lt;/keyword&gt;&lt;keyword&gt;unconsciousness&lt;/keyword&gt;&lt;/keywords&gt;&lt;dates&gt;&lt;year&gt;2017&lt;/year&gt;&lt;/dates&gt;&lt;urls&gt;&lt;related-urls&gt;&lt;url&gt;https://www.scopus.com/inward/record.uri?eid=2-s2.0-85030463930&amp;amp;doi=10.1016%2fj.jemermed.2017.06.029&amp;amp;partnerID=40&amp;amp;md5=9260ea439dc330d421840844fee7ce02&lt;/url&gt;&lt;url&gt;https://www.sciencedirect.com/science/article/pii/S0736467917305668?via%3Dihub&lt;/url&gt;&lt;/related-urls&gt;&lt;/urls&gt;&lt;electronic-resource-num&gt;10.1016/j.jemermed.2017.06.029&lt;/electronic-resource-num&gt;&lt;remote-database-name&gt;Scopus&lt;/remote-database-name&gt;&lt;/record&gt;&lt;/Cite&gt;&lt;/EndNote&gt;</w:instrText>
          </w:r>
          <w:r w:rsidRPr="004F431A">
            <w:rPr>
              <w:sz w:val="24"/>
            </w:rPr>
            <w:fldChar w:fldCharType="separate"/>
          </w:r>
          <w:r>
            <w:rPr>
              <w:noProof/>
              <w:sz w:val="24"/>
            </w:rPr>
            <w:t>(Morley, Slaughter et al. 2017)</w:t>
          </w:r>
          <w:r w:rsidRPr="004F431A">
            <w:rPr>
              <w:sz w:val="24"/>
            </w:rPr>
            <w:fldChar w:fldCharType="end"/>
          </w:r>
          <w:r>
            <w:rPr>
              <w:sz w:val="24"/>
            </w:rPr>
            <w:t xml:space="preserve">. </w:t>
          </w:r>
          <w:r w:rsidRPr="004F431A">
            <w:rPr>
              <w:sz w:val="24"/>
            </w:rPr>
            <w:t xml:space="preserve">Park et al 2018 describe two case reports </w:t>
          </w:r>
          <w:r w:rsidRPr="004F431A">
            <w:rPr>
              <w:sz w:val="24"/>
            </w:rPr>
            <w:lastRenderedPageBreak/>
            <w:t xml:space="preserve">of attempted suicide by e-cigarette liquid ingestion. Both patients had transient cardiomyopathy but ultimately survived </w:t>
          </w:r>
          <w:r w:rsidRPr="004F431A">
            <w:rPr>
              <w:sz w:val="24"/>
            </w:rPr>
            <w:fldChar w:fldCharType="begin"/>
          </w:r>
          <w:r>
            <w:rPr>
              <w:sz w:val="24"/>
            </w:rPr>
            <w:instrText xml:space="preserve"> ADDIN EN.CITE &lt;EndNote&gt;&lt;Cite&gt;&lt;Author&gt;Park&lt;/Author&gt;&lt;Year&gt;2018&lt;/Year&gt;&lt;RecNum&gt;4561&lt;/RecNum&gt;&lt;DisplayText&gt;(Park and Min 2018)&lt;/DisplayText&gt;&lt;record&gt;&lt;rec-number&gt;4561&lt;/rec-number&gt;&lt;foreign-keys&gt;&lt;key app="EN" db-id="9z05dz0praadfuee0zoxzedk9zfe5fxx50z5" timestamp="1523920171"&gt;4561&lt;/key&gt;&lt;key app="ENWeb" db-id=""&gt;0&lt;/key&gt;&lt;/foreign-keys&gt;&lt;ref-type name="Journal Article"&gt;17&lt;/ref-type&gt;&lt;contributors&gt;&lt;authors&gt;&lt;author&gt;Park, E. J.&lt;/author&gt;&lt;author&gt;Min, Y. G.&lt;/author&gt;&lt;/authors&gt;&lt;/contributors&gt;&lt;auth-address&gt;Department of Emergency Medicine, Ajou University School of Medicine, Suwon, Korea.&amp;#xD;Department of Emergency Medicine, Ajou University School of Medicine, Suwon, Korea. youngmd@ajou.ac.kr.&lt;/auth-address&gt;&lt;titles&gt;&lt;title&gt;The Emerging Method of Suicide by Electronic Cigarette Liquid: a Case Report&lt;/title&gt;&lt;secondary-title&gt;J Korean Med Sci&lt;/secondary-title&gt;&lt;alt-title&gt;Journal of Korean medical science&lt;/alt-title&gt;&lt;/titles&gt;&lt;periodical&gt;&lt;full-title&gt;J Korean Med Sci&lt;/full-title&gt;&lt;abbr-1&gt;Journal of Korean medical science&lt;/abbr-1&gt;&lt;/periodical&gt;&lt;alt-periodical&gt;&lt;full-title&gt;J Korean Med Sci&lt;/full-title&gt;&lt;abbr-1&gt;Journal of Korean medical science&lt;/abbr-1&gt;&lt;/alt-periodical&gt;&lt;pages&gt;e52&lt;/pages&gt;&lt;volume&gt;33&lt;/volume&gt;&lt;number&gt;11&lt;/number&gt;&lt;edition&gt;2018/03/02&lt;/edition&gt;&lt;keywords&gt;&lt;keyword&gt;Electronic Cigarette&lt;/keyword&gt;&lt;keyword&gt;Nicotine&lt;/keyword&gt;&lt;keyword&gt;Poisoning&lt;/keyword&gt;&lt;keyword&gt;Suicide&lt;/keyword&gt;&lt;/keywords&gt;&lt;dates&gt;&lt;year&gt;2018&lt;/year&gt;&lt;pub-dates&gt;&lt;date&gt;Mar 12&lt;/date&gt;&lt;/pub-dates&gt;&lt;/dates&gt;&lt;isbn&gt;1011-8934&lt;/isbn&gt;&lt;accession-num&gt;29495133&lt;/accession-num&gt;&lt;urls&gt;&lt;related-urls&gt;&lt;url&gt;https://jkms.org/Synapse/Data/PDFData/0063JKMS/jkms-33-e52.pdf&lt;/url&gt;&lt;/related-urls&gt;&lt;/urls&gt;&lt;custom2&gt;PMC5835582&lt;/custom2&gt;&lt;electronic-resource-num&gt;10.3346/jkms.2018.33.e52&lt;/electronic-resource-num&gt;&lt;remote-database-provider&gt;NLM&lt;/remote-database-provider&gt;&lt;language&gt;eng&lt;/language&gt;&lt;/record&gt;&lt;/Cite&gt;&lt;/EndNote&gt;</w:instrText>
          </w:r>
          <w:r w:rsidRPr="004F431A">
            <w:rPr>
              <w:sz w:val="24"/>
            </w:rPr>
            <w:fldChar w:fldCharType="separate"/>
          </w:r>
          <w:r>
            <w:rPr>
              <w:noProof/>
              <w:sz w:val="24"/>
            </w:rPr>
            <w:t>(Park and Min 2018)</w:t>
          </w:r>
          <w:r w:rsidRPr="004F431A">
            <w:rPr>
              <w:sz w:val="24"/>
            </w:rPr>
            <w:fldChar w:fldCharType="end"/>
          </w:r>
          <w:r w:rsidRPr="004F431A">
            <w:rPr>
              <w:sz w:val="24"/>
            </w:rPr>
            <w:t>.</w:t>
          </w:r>
        </w:p>
        <w:p w14:paraId="7089F4A1" w14:textId="77777777" w:rsidR="00F918EE" w:rsidRPr="004F431A" w:rsidRDefault="00F918EE" w:rsidP="00F918EE">
          <w:pPr>
            <w:tabs>
              <w:tab w:val="left" w:pos="397"/>
            </w:tabs>
            <w:spacing w:before="60" w:after="60" w:line="264" w:lineRule="auto"/>
            <w:rPr>
              <w:sz w:val="24"/>
            </w:rPr>
          </w:pPr>
        </w:p>
        <w:p w14:paraId="777AC30A" w14:textId="0172123D" w:rsidR="00F918EE" w:rsidRDefault="00F918EE" w:rsidP="00F918EE">
          <w:pPr>
            <w:tabs>
              <w:tab w:val="left" w:pos="397"/>
            </w:tabs>
            <w:spacing w:before="60" w:after="60" w:line="264" w:lineRule="auto"/>
            <w:rPr>
              <w:sz w:val="24"/>
            </w:rPr>
          </w:pPr>
          <w:r w:rsidRPr="004F431A">
            <w:rPr>
              <w:sz w:val="24"/>
            </w:rPr>
            <w:t xml:space="preserve">Even a few millilitres </w:t>
          </w:r>
          <w:r>
            <w:rPr>
              <w:sz w:val="24"/>
            </w:rPr>
            <w:t xml:space="preserve">of nicotine </w:t>
          </w:r>
          <w:r w:rsidRPr="004F431A">
            <w:rPr>
              <w:sz w:val="24"/>
            </w:rPr>
            <w:t xml:space="preserve">can be lethal therefore nicotine intoxication due to e-liquid ingestion should be considered potentially life-threatening. Generally though, death from </w:t>
          </w:r>
          <w:r w:rsidRPr="0035514A">
            <w:rPr>
              <w:sz w:val="24"/>
            </w:rPr>
            <w:t>e</w:t>
          </w:r>
          <w:r w:rsidR="0023709D" w:rsidRPr="0035514A">
            <w:rPr>
              <w:sz w:val="24"/>
            </w:rPr>
            <w:noBreakHyphen/>
          </w:r>
          <w:r w:rsidRPr="0035514A">
            <w:rPr>
              <w:sz w:val="24"/>
            </w:rPr>
            <w:t>cigarette</w:t>
          </w:r>
          <w:r w:rsidRPr="004F431A">
            <w:rPr>
              <w:sz w:val="24"/>
            </w:rPr>
            <w:t xml:space="preserve"> liquid ingestion is very rare. More commonly e-cigarette liquid ingestion causes extreme drowsiness, confusion, cardiac arrests and seizures.</w:t>
          </w:r>
        </w:p>
        <w:p w14:paraId="3B994EE5" w14:textId="77777777" w:rsidR="00F918EE" w:rsidRPr="004F431A" w:rsidRDefault="00F918EE" w:rsidP="00F918EE">
          <w:pPr>
            <w:tabs>
              <w:tab w:val="left" w:pos="397"/>
            </w:tabs>
            <w:spacing w:before="60" w:after="60" w:line="264" w:lineRule="auto"/>
            <w:rPr>
              <w:sz w:val="24"/>
            </w:rPr>
          </w:pPr>
        </w:p>
        <w:p w14:paraId="03746F34" w14:textId="77777777" w:rsidR="00F918EE" w:rsidRPr="007C1057" w:rsidRDefault="00F918EE" w:rsidP="007008F9">
          <w:pPr>
            <w:pStyle w:val="Heading2"/>
          </w:pPr>
          <w:bookmarkStart w:id="46" w:name="_Toc517706645"/>
          <w:r w:rsidRPr="004F431A">
            <w:t>Miscellaneous injuries</w:t>
          </w:r>
          <w:bookmarkEnd w:id="46"/>
        </w:p>
        <w:p w14:paraId="24DAC05C" w14:textId="77777777" w:rsidR="00F918EE" w:rsidRDefault="00F918EE" w:rsidP="00F918EE">
          <w:pPr>
            <w:tabs>
              <w:tab w:val="left" w:pos="397"/>
            </w:tabs>
            <w:spacing w:before="60" w:after="60" w:line="264" w:lineRule="auto"/>
            <w:rPr>
              <w:sz w:val="24"/>
            </w:rPr>
          </w:pPr>
          <w:r>
            <w:rPr>
              <w:sz w:val="24"/>
            </w:rPr>
            <w:t>Andresen et al 20</w:t>
          </w:r>
          <w:r w:rsidRPr="004F431A">
            <w:rPr>
              <w:sz w:val="24"/>
            </w:rPr>
            <w:t>18 described the case of a man acquiring a chemical burn and thr</w:t>
          </w:r>
          <w:r>
            <w:rPr>
              <w:sz w:val="24"/>
            </w:rPr>
            <w:t>oat injury after falling with an</w:t>
          </w:r>
          <w:r w:rsidRPr="004F431A">
            <w:rPr>
              <w:sz w:val="24"/>
            </w:rPr>
            <w:t xml:space="preserve"> e-cigarette in his mouth </w:t>
          </w:r>
          <w:r w:rsidRPr="004F431A">
            <w:rPr>
              <w:sz w:val="24"/>
            </w:rPr>
            <w:fldChar w:fldCharType="begin"/>
          </w:r>
          <w:r>
            <w:rPr>
              <w:sz w:val="24"/>
            </w:rPr>
            <w:instrText xml:space="preserve"> ADDIN EN.CITE &lt;EndNote&gt;&lt;Cite&gt;&lt;Author&gt;Andresen&lt;/Author&gt;&lt;Year&gt;2018&lt;/Year&gt;&lt;RecNum&gt;4562&lt;/RecNum&gt;&lt;DisplayText&gt;(Andresen, Lee et al. 2018)&lt;/DisplayText&gt;&lt;record&gt;&lt;rec-number&gt;4562&lt;/rec-number&gt;&lt;foreign-keys&gt;&lt;key app="EN" db-id="9z05dz0praadfuee0zoxzedk9zfe5fxx50z5" timestamp="1523920175"&gt;4562&lt;/key&gt;&lt;/foreign-keys&gt;&lt;ref-type name="Journal Article"&gt;17&lt;/ref-type&gt;&lt;contributors&gt;&lt;authors&gt;&lt;author&gt;Andresen, N. S.&lt;/author&gt;&lt;author&gt;Lee, D. J.&lt;/author&gt;&lt;author&gt;Kowalski, C. E.&lt;/author&gt;&lt;author&gt;Bayon, R.&lt;/author&gt;&lt;/authors&gt;&lt;/contributors&gt;&lt;auth-address&gt;University of Iowa, Carver College of Medicine, Iowa City.&amp;#xD;Department of Otolaryngology-Head &amp;amp; Neck Surgery, University of Iowa, Iowa City.&lt;/auth-address&gt;&lt;titles&gt;&lt;title&gt;Fall With e-Cigarette in Mouth Resulting in Pharyngeal and Esophageal Burns&lt;/title&gt;&lt;secondary-title&gt;JAMA Otolaryngol Head Neck Surg&lt;/secondary-title&gt;&lt;alt-title&gt;JAMA otolaryngology-- head &amp;amp; neck surgery&lt;/alt-title&gt;&lt;/titles&gt;&lt;periodical&gt;&lt;full-title&gt;JAMA Otolaryngol Head Neck Surg&lt;/full-title&gt;&lt;abbr-1&gt;JAMA otolaryngology-- head &amp;amp; neck surgery&lt;/abbr-1&gt;&lt;/periodical&gt;&lt;alt-periodical&gt;&lt;full-title&gt;JAMA Otolaryngol Head Neck Surg&lt;/full-title&gt;&lt;abbr-1&gt;JAMA otolaryngology-- head &amp;amp; neck surgery&lt;/abbr-1&gt;&lt;/alt-periodical&gt;&lt;edition&gt;2018/03/02&lt;/edition&gt;&lt;dates&gt;&lt;year&gt;2018&lt;/year&gt;&lt;pub-dates&gt;&lt;date&gt;Mar 1&lt;/date&gt;&lt;/pub-dates&gt;&lt;/dates&gt;&lt;isbn&gt;2168-6181&lt;/isbn&gt;&lt;accession-num&gt;29494719&lt;/accession-num&gt;&lt;urls&gt;&lt;related-urls&gt;&lt;url&gt;https://jamanetwork.com/journals/jamaotolaryngology/article-abstract/2673593?redirect=true&lt;/url&gt;&lt;/related-urls&gt;&lt;/urls&gt;&lt;electronic-resource-num&gt;10.1001/jamaoto.2017.3265&lt;/electronic-resource-num&gt;&lt;remote-database-provider&gt;NLM&lt;/remote-database-provider&gt;&lt;language&gt;eng&lt;/language&gt;&lt;/record&gt;&lt;/Cite&gt;&lt;/EndNote&gt;</w:instrText>
          </w:r>
          <w:r w:rsidRPr="004F431A">
            <w:rPr>
              <w:sz w:val="24"/>
            </w:rPr>
            <w:fldChar w:fldCharType="separate"/>
          </w:r>
          <w:r>
            <w:rPr>
              <w:noProof/>
              <w:sz w:val="24"/>
            </w:rPr>
            <w:t>(Andresen, Lee et al. 2018)</w:t>
          </w:r>
          <w:r w:rsidRPr="004F431A">
            <w:rPr>
              <w:sz w:val="24"/>
            </w:rPr>
            <w:fldChar w:fldCharType="end"/>
          </w:r>
          <w:r w:rsidRPr="004F431A">
            <w:rPr>
              <w:sz w:val="24"/>
            </w:rPr>
            <w:t>.</w:t>
          </w:r>
        </w:p>
        <w:p w14:paraId="14E77080" w14:textId="77777777" w:rsidR="00F918EE" w:rsidRDefault="00F918EE" w:rsidP="00F918EE">
          <w:pPr>
            <w:tabs>
              <w:tab w:val="left" w:pos="397"/>
            </w:tabs>
            <w:spacing w:before="60" w:after="60" w:line="264" w:lineRule="auto"/>
            <w:rPr>
              <w:sz w:val="24"/>
            </w:rPr>
          </w:pPr>
          <w:r w:rsidRPr="004F431A">
            <w:rPr>
              <w:sz w:val="24"/>
            </w:rPr>
            <w:t xml:space="preserve">Cant et al 2017 described </w:t>
          </w:r>
          <w:r>
            <w:rPr>
              <w:sz w:val="24"/>
            </w:rPr>
            <w:t>a</w:t>
          </w:r>
          <w:r w:rsidRPr="004F431A">
            <w:rPr>
              <w:sz w:val="24"/>
            </w:rPr>
            <w:t xml:space="preserve"> necrotic oral ulcer resulting from smoking </w:t>
          </w:r>
          <w:r>
            <w:rPr>
              <w:sz w:val="24"/>
            </w:rPr>
            <w:t>e-cigarettes</w:t>
          </w:r>
          <w:r w:rsidRPr="004F431A">
            <w:rPr>
              <w:sz w:val="24"/>
            </w:rPr>
            <w:t xml:space="preserve"> apparently as a result of the heating element burning the roof of the mouth </w:t>
          </w:r>
          <w:r w:rsidRPr="004F431A">
            <w:rPr>
              <w:sz w:val="24"/>
            </w:rPr>
            <w:fldChar w:fldCharType="begin"/>
          </w:r>
          <w:r>
            <w:rPr>
              <w:sz w:val="24"/>
            </w:rPr>
            <w:instrText xml:space="preserve"> ADDIN EN.CITE &lt;EndNote&gt;&lt;Cite&gt;&lt;Author&gt;Cant&lt;/Author&gt;&lt;Year&gt;2017&lt;/Year&gt;&lt;RecNum&gt;5332&lt;/RecNum&gt;&lt;DisplayText&gt;(Cant, Collard et al. 2017)&lt;/DisplayText&gt;&lt;record&gt;&lt;rec-number&gt;5332&lt;/rec-number&gt;&lt;foreign-keys&gt;&lt;key app="EN" db-id="9z05dz0praadfuee0zoxzedk9zfe5fxx50z5" timestamp="1523920947"&gt;5332&lt;/key&gt;&lt;key app="ENWeb" db-id=""&gt;0&lt;/key&gt;&lt;/foreign-keys&gt;&lt;ref-type name="Journal Article"&gt;17&lt;/ref-type&gt;&lt;contributors&gt;&lt;authors&gt;&lt;author&gt;Cant, A.&lt;/author&gt;&lt;author&gt;Collard, B.&lt;/author&gt;&lt;author&gt;Cunliffe, D.&lt;/author&gt;&lt;/authors&gt;&lt;/contributors&gt;&lt;auth-address&gt;Torbay and South Devon NHS Foundation Trust.&lt;/auth-address&gt;&lt;titles&gt;&lt;title&gt;Electronic cigarettes: Necrotic ulcer&lt;/title&gt;&lt;secondary-title&gt;Br Dent J&lt;/secondary-title&gt;&lt;alt-title&gt;British dental journal&lt;/alt-title&gt;&lt;/titles&gt;&lt;periodical&gt;&lt;full-title&gt;Br Dent J&lt;/full-title&gt;&lt;abbr-1&gt;British dental journal&lt;/abbr-1&gt;&lt;/periodical&gt;&lt;alt-periodical&gt;&lt;full-title&gt;Br Dent J&lt;/full-title&gt;&lt;abbr-1&gt;British dental journal&lt;/abbr-1&gt;&lt;/alt-periodical&gt;&lt;pages&gt;226&lt;/pages&gt;&lt;volume&gt;222&lt;/volume&gt;&lt;number&gt;4&lt;/number&gt;&lt;edition&gt;2017/02/25&lt;/edition&gt;&lt;dates&gt;&lt;year&gt;2017&lt;/year&gt;&lt;pub-dates&gt;&lt;date&gt;Feb 24&lt;/date&gt;&lt;/pub-dates&gt;&lt;/dates&gt;&lt;isbn&gt;0007-0610&lt;/isbn&gt;&lt;accession-num&gt;28232716&lt;/accession-num&gt;&lt;urls&gt;&lt;/urls&gt;&lt;electronic-resource-num&gt;10.1038/sj.bdj.2017.150&lt;/electronic-resource-num&gt;&lt;remote-database-provider&gt;NLM&lt;/remote-database-provider&gt;&lt;language&gt;eng&lt;/language&gt;&lt;/record&gt;&lt;/Cite&gt;&lt;/EndNote&gt;</w:instrText>
          </w:r>
          <w:r w:rsidRPr="004F431A">
            <w:rPr>
              <w:sz w:val="24"/>
            </w:rPr>
            <w:fldChar w:fldCharType="separate"/>
          </w:r>
          <w:r>
            <w:rPr>
              <w:noProof/>
              <w:sz w:val="24"/>
            </w:rPr>
            <w:t>(Cant, Collard et al. 2017)</w:t>
          </w:r>
          <w:r w:rsidRPr="004F431A">
            <w:rPr>
              <w:sz w:val="24"/>
            </w:rPr>
            <w:fldChar w:fldCharType="end"/>
          </w:r>
          <w:r w:rsidRPr="004F431A">
            <w:rPr>
              <w:sz w:val="24"/>
            </w:rPr>
            <w:t>.</w:t>
          </w:r>
        </w:p>
        <w:p w14:paraId="0B5CD56C" w14:textId="77777777" w:rsidR="00F918EE" w:rsidRDefault="00F918EE" w:rsidP="00F918EE">
          <w:pPr>
            <w:autoSpaceDE w:val="0"/>
            <w:autoSpaceDN w:val="0"/>
            <w:adjustRightInd w:val="0"/>
            <w:spacing w:after="0"/>
            <w:rPr>
              <w:sz w:val="24"/>
            </w:rPr>
          </w:pPr>
          <w:r w:rsidRPr="004F431A">
            <w:rPr>
              <w:sz w:val="24"/>
            </w:rPr>
            <w:t xml:space="preserve">Finally there is a suggestion from Cho et al 2017 that daily e-cigarette use among adolescents may be a risk factor for cracked or broken teeth and tongue and inside-cheek pain </w:t>
          </w:r>
          <w:r w:rsidRPr="004F431A">
            <w:rPr>
              <w:sz w:val="24"/>
            </w:rPr>
            <w:fldChar w:fldCharType="begin">
              <w:fldData xml:space="preserve">PEVuZE5vdGU+PENpdGU+PEF1dGhvcj5DaG88L0F1dGhvcj48WWVhcj4yMDE3PC9ZZWFyPjxSZWNO
dW0+NTA1NTwvUmVjTnVtPjxEaXNwbGF5VGV4dD4oQ2hvIDIwMTcpPC9EaXNwbGF5VGV4dD48cmVj
b3JkPjxyZWMtbnVtYmVyPjUwNTU8L3JlYy1udW1iZXI+PGZvcmVpZ24ta2V5cz48a2V5IGFwcD0i
RU4iIGRiLWlkPSI5ejA1ZHowcHJhYWRmdWVlMHpveHplZGs5emZlNWZ4eDUwejUiIHRpbWVzdGFt
cD0iMTUyMzkyMDkxNSI+NTA1NTwva2V5PjxrZXkgYXBwPSJFTldlYiIgZGItaWQ9IiI+MDwva2V5
PjwvZm9yZWlnbi1rZXlzPjxyZWYtdHlwZSBuYW1lPSJKb3VybmFsIEFydGljbGUiPjE3PC9yZWYt
dHlwZT48Y29udHJpYnV0b3JzPjxhdXRob3JzPjxhdXRob3I+Q2hvLCBKLiBILjwvYXV0aG9yPjwv
YXV0aG9ycz48L2NvbnRyaWJ1dG9ycz48YXV0aC1hZGRyZXNzPkRlcGFydG1lbnQgb2YgUHVibGlj
IEhlYWx0aCBBZG1pbmlzdHJhdGlvbiwgSGFueWFuZyBXb21lbiZhcG9zO3MgVW5pdmVyc2l0eSwg
U2VvdWwsIFJlcHVibGljIG9mIEtvcmVhLjwvYXV0aC1hZGRyZXNzPjx0aXRsZXM+PHRpdGxlPlRo
ZSBhc3NvY2lhdGlvbiBiZXR3ZWVuIGVsZWN0cm9uaWMtY2lnYXJldHRlIHVzZSBhbmQgc2VsZi1y
ZXBvcnRlZCBvcmFsIHN5bXB0b21zIGluY2x1ZGluZyBjcmFja2VkIG9yIGJyb2tlbiB0ZWV0aCBh
bmQgdG9uZ3VlIGFuZC9vciBpbnNpZGUtY2hlZWsgcGFpbiBhbW9uZyBhZG9sZXNjZW50czogQSBj
cm9zcy1zZWN0aW9uYWwgc3R1ZHk8L3RpdGxlPjxzZWNvbmRhcnktdGl0bGU+UExvUyBPbmU8L3Nl
Y29uZGFyeS10aXRsZT48YWx0LXRpdGxlPlBsb1Mgb25lPC9hbHQtdGl0bGU+PC90aXRsZXM+PHBl
cmlvZGljYWw+PGZ1bGwtdGl0bGU+UGxvcyBPbmU8L2Z1bGwtdGl0bGU+PC9wZXJpb2RpY2FsPjxh
bHQtcGVyaW9kaWNhbD48ZnVsbC10aXRsZT5QbG9zIE9uZTwvZnVsbC10aXRsZT48L2FsdC1wZXJp
b2RpY2FsPjxwYWdlcz5lMDE4MDUwNjwvcGFnZXM+PHZvbHVtZT4xMjwvdm9sdW1lPjxudW1iZXI+
NzwvbnVtYmVyPjxlZGl0aW9uPjIwMTcvMDcvMTM8L2VkaXRpb24+PGtleXdvcmRzPjxrZXl3b3Jk
PkFkb2xlc2NlbnQ8L2tleXdvcmQ+PGtleXdvcmQ+Q2hlZWsvcGF0aG9sb2d5PC9rZXl3b3JkPjxr
ZXl3b3JkPkNyb3NzLVNlY3Rpb25hbCBTdHVkaWVzPC9rZXl3b3JkPjxrZXl3b3JkPkVsZWN0cm9u
aWMgTmljb3RpbmUgRGVsaXZlcnkgU3lzdGVtcy8qYWR2ZXJzZSBlZmZlY3RzPC9rZXl3b3JkPjxr
ZXl3b3JkPkZlbWFsZTwva2V5d29yZD48a2V5d29yZD5HaW5naXZhL3BhdGhvbG9neTwva2V5d29y
ZD48a2V5d29yZD5IZW1vcnJoYWdlL2V0aW9sb2d5PC9rZXl3b3JkPjxrZXl3b3JkPkh1bWFuczwv
a2V5d29yZD48a2V5d29yZD5NYWxlPC9rZXl3b3JkPjxrZXl3b3JkPk11bHRpdmFyaWF0ZSBBbmFs
eXNpczwva2V5d29yZD48a2V5d29yZD5PZGRzIFJhdGlvPC9rZXl3b3JkPjxrZXl3b3JkPlBhaW4v
ZXRpb2xvZ3kvcGF0aG9sb2d5PC9rZXl3b3JkPjxrZXl3b3JkPlJpc2sgRmFjdG9yczwva2V5d29y
ZD48a2V5d29yZD5TdXJ2ZXlzIGFuZCBRdWVzdGlvbm5haXJlczwva2V5d29yZD48a2V5d29yZD5U
b25ndWUvcGF0aG9sb2d5PC9rZXl3b3JkPjxrZXl3b3JkPlRvb3RoIEZyYWN0dXJlcy8qZXRpb2xv
Z3kvcGF0aG9sb2d5PC9rZXl3b3JkPjwva2V5d29yZHM+PGRhdGVzPjx5ZWFyPjIwMTc8L3llYXI+
PC9kYXRlcz48aXNibj4xOTMyLTYyMDM8L2lzYm4+PGFjY2Vzc2lvbi1udW0+Mjg3MDA3Mjk8L2Fj
Y2Vzc2lvbi1udW0+PHVybHM+PHJlbGF0ZWQtdXJscz48dXJsPmh0dHBzOi8vd3d3Lm5jYmkubmxt
Lm5paC5nb3YvcG1jL2FydGljbGVzL1BNQzU1MDc0NjEvcGRmL3BvbmUuMDE4MDUwNi5wZGY8L3Vy
bD48L3JlbGF0ZWQtdXJscz48L3VybHM+PGN1c3RvbTI+UE1DNTUwNzQ2MTwvY3VzdG9tMj48ZWxl
Y3Ryb25pYy1yZXNvdXJjZS1udW0+MTAuMTM3MS9qb3VybmFsLnBvbmUuMDE4MDUwNjwvZWxlY3Ry
b25pYy1yZXNvdXJjZS1udW0+PHJlbW90ZS1kYXRhYmFzZS1wcm92aWRlcj5OTE08L3JlbW90ZS1k
YXRhYmFzZS1wcm92aWRlcj48bGFuZ3VhZ2U+ZW5nPC9sYW5ndWFnZT48L3JlY29yZD48L0NpdGU+
PC9FbmROb3RlPgB=
</w:fldData>
            </w:fldChar>
          </w:r>
          <w:r>
            <w:rPr>
              <w:sz w:val="24"/>
            </w:rPr>
            <w:instrText xml:space="preserve"> ADDIN EN.CITE </w:instrText>
          </w:r>
          <w:r>
            <w:rPr>
              <w:sz w:val="24"/>
            </w:rPr>
            <w:fldChar w:fldCharType="begin">
              <w:fldData xml:space="preserve">PEVuZE5vdGU+PENpdGU+PEF1dGhvcj5DaG88L0F1dGhvcj48WWVhcj4yMDE3PC9ZZWFyPjxSZWNO
dW0+NTA1NTwvUmVjTnVtPjxEaXNwbGF5VGV4dD4oQ2hvIDIwMTcpPC9EaXNwbGF5VGV4dD48cmVj
b3JkPjxyZWMtbnVtYmVyPjUwNTU8L3JlYy1udW1iZXI+PGZvcmVpZ24ta2V5cz48a2V5IGFwcD0i
RU4iIGRiLWlkPSI5ejA1ZHowcHJhYWRmdWVlMHpveHplZGs5emZlNWZ4eDUwejUiIHRpbWVzdGFt
cD0iMTUyMzkyMDkxNSI+NTA1NTwva2V5PjxrZXkgYXBwPSJFTldlYiIgZGItaWQ9IiI+MDwva2V5
PjwvZm9yZWlnbi1rZXlzPjxyZWYtdHlwZSBuYW1lPSJKb3VybmFsIEFydGljbGUiPjE3PC9yZWYt
dHlwZT48Y29udHJpYnV0b3JzPjxhdXRob3JzPjxhdXRob3I+Q2hvLCBKLiBILjwvYXV0aG9yPjwv
YXV0aG9ycz48L2NvbnRyaWJ1dG9ycz48YXV0aC1hZGRyZXNzPkRlcGFydG1lbnQgb2YgUHVibGlj
IEhlYWx0aCBBZG1pbmlzdHJhdGlvbiwgSGFueWFuZyBXb21lbiZhcG9zO3MgVW5pdmVyc2l0eSwg
U2VvdWwsIFJlcHVibGljIG9mIEtvcmVhLjwvYXV0aC1hZGRyZXNzPjx0aXRsZXM+PHRpdGxlPlRo
ZSBhc3NvY2lhdGlvbiBiZXR3ZWVuIGVsZWN0cm9uaWMtY2lnYXJldHRlIHVzZSBhbmQgc2VsZi1y
ZXBvcnRlZCBvcmFsIHN5bXB0b21zIGluY2x1ZGluZyBjcmFja2VkIG9yIGJyb2tlbiB0ZWV0aCBh
bmQgdG9uZ3VlIGFuZC9vciBpbnNpZGUtY2hlZWsgcGFpbiBhbW9uZyBhZG9sZXNjZW50czogQSBj
cm9zcy1zZWN0aW9uYWwgc3R1ZHk8L3RpdGxlPjxzZWNvbmRhcnktdGl0bGU+UExvUyBPbmU8L3Nl
Y29uZGFyeS10aXRsZT48YWx0LXRpdGxlPlBsb1Mgb25lPC9hbHQtdGl0bGU+PC90aXRsZXM+PHBl
cmlvZGljYWw+PGZ1bGwtdGl0bGU+UGxvcyBPbmU8L2Z1bGwtdGl0bGU+PC9wZXJpb2RpY2FsPjxh
bHQtcGVyaW9kaWNhbD48ZnVsbC10aXRsZT5QbG9zIE9uZTwvZnVsbC10aXRsZT48L2FsdC1wZXJp
b2RpY2FsPjxwYWdlcz5lMDE4MDUwNjwvcGFnZXM+PHZvbHVtZT4xMjwvdm9sdW1lPjxudW1iZXI+
NzwvbnVtYmVyPjxlZGl0aW9uPjIwMTcvMDcvMTM8L2VkaXRpb24+PGtleXdvcmRzPjxrZXl3b3Jk
PkFkb2xlc2NlbnQ8L2tleXdvcmQ+PGtleXdvcmQ+Q2hlZWsvcGF0aG9sb2d5PC9rZXl3b3JkPjxr
ZXl3b3JkPkNyb3NzLVNlY3Rpb25hbCBTdHVkaWVzPC9rZXl3b3JkPjxrZXl3b3JkPkVsZWN0cm9u
aWMgTmljb3RpbmUgRGVsaXZlcnkgU3lzdGVtcy8qYWR2ZXJzZSBlZmZlY3RzPC9rZXl3b3JkPjxr
ZXl3b3JkPkZlbWFsZTwva2V5d29yZD48a2V5d29yZD5HaW5naXZhL3BhdGhvbG9neTwva2V5d29y
ZD48a2V5d29yZD5IZW1vcnJoYWdlL2V0aW9sb2d5PC9rZXl3b3JkPjxrZXl3b3JkPkh1bWFuczwv
a2V5d29yZD48a2V5d29yZD5NYWxlPC9rZXl3b3JkPjxrZXl3b3JkPk11bHRpdmFyaWF0ZSBBbmFs
eXNpczwva2V5d29yZD48a2V5d29yZD5PZGRzIFJhdGlvPC9rZXl3b3JkPjxrZXl3b3JkPlBhaW4v
ZXRpb2xvZ3kvcGF0aG9sb2d5PC9rZXl3b3JkPjxrZXl3b3JkPlJpc2sgRmFjdG9yczwva2V5d29y
ZD48a2V5d29yZD5TdXJ2ZXlzIGFuZCBRdWVzdGlvbm5haXJlczwva2V5d29yZD48a2V5d29yZD5U
b25ndWUvcGF0aG9sb2d5PC9rZXl3b3JkPjxrZXl3b3JkPlRvb3RoIEZyYWN0dXJlcy8qZXRpb2xv
Z3kvcGF0aG9sb2d5PC9rZXl3b3JkPjwva2V5d29yZHM+PGRhdGVzPjx5ZWFyPjIwMTc8L3llYXI+
PC9kYXRlcz48aXNibj4xOTMyLTYyMDM8L2lzYm4+PGFjY2Vzc2lvbi1udW0+Mjg3MDA3Mjk8L2Fj
Y2Vzc2lvbi1udW0+PHVybHM+PHJlbGF0ZWQtdXJscz48dXJsPmh0dHBzOi8vd3d3Lm5jYmkubmxt
Lm5paC5nb3YvcG1jL2FydGljbGVzL1BNQzU1MDc0NjEvcGRmL3BvbmUuMDE4MDUwNi5wZGY8L3Vy
bD48L3JlbGF0ZWQtdXJscz48L3VybHM+PGN1c3RvbTI+UE1DNTUwNzQ2MTwvY3VzdG9tMj48ZWxl
Y3Ryb25pYy1yZXNvdXJjZS1udW0+MTAuMTM3MS9qb3VybmFsLnBvbmUuMDE4MDUwNjwvZWxlY3Ry
b25pYy1yZXNvdXJjZS1udW0+PHJlbW90ZS1kYXRhYmFzZS1wcm92aWRlcj5OTE08L3JlbW90ZS1k
YXRhYmFzZS1wcm92aWRlcj48bGFuZ3VhZ2U+ZW5nPC9sYW5ndWFnZT48L3JlY29yZD48L0NpdGU+
PC9FbmROb3RlPgB=
</w:fldData>
            </w:fldChar>
          </w:r>
          <w:r>
            <w:rPr>
              <w:sz w:val="24"/>
            </w:rPr>
            <w:instrText xml:space="preserve"> ADDIN EN.CITE.DATA </w:instrText>
          </w:r>
          <w:r>
            <w:rPr>
              <w:sz w:val="24"/>
            </w:rPr>
          </w:r>
          <w:r>
            <w:rPr>
              <w:sz w:val="24"/>
            </w:rPr>
            <w:fldChar w:fldCharType="end"/>
          </w:r>
          <w:r w:rsidRPr="004F431A">
            <w:rPr>
              <w:sz w:val="24"/>
            </w:rPr>
          </w:r>
          <w:r w:rsidRPr="004F431A">
            <w:rPr>
              <w:sz w:val="24"/>
            </w:rPr>
            <w:fldChar w:fldCharType="separate"/>
          </w:r>
          <w:r>
            <w:rPr>
              <w:noProof/>
              <w:sz w:val="24"/>
            </w:rPr>
            <w:t>(Cho 2017)</w:t>
          </w:r>
          <w:r w:rsidRPr="004F431A">
            <w:rPr>
              <w:sz w:val="24"/>
            </w:rPr>
            <w:fldChar w:fldCharType="end"/>
          </w:r>
          <w:r w:rsidRPr="004F431A">
            <w:rPr>
              <w:sz w:val="24"/>
            </w:rPr>
            <w:t>.</w:t>
          </w:r>
        </w:p>
        <w:p w14:paraId="0374510D" w14:textId="77777777" w:rsidR="00F918EE" w:rsidRPr="00F918EE" w:rsidRDefault="00F918EE" w:rsidP="00F918EE">
          <w:pPr>
            <w:pStyle w:val="BodyText"/>
          </w:pPr>
        </w:p>
        <w:p w14:paraId="205617C5" w14:textId="77777777" w:rsidR="00F918EE" w:rsidRPr="004F431A" w:rsidRDefault="00F918EE" w:rsidP="00F918EE">
          <w:pPr>
            <w:pStyle w:val="Heading2"/>
            <w:rPr>
              <w:noProof/>
            </w:rPr>
          </w:pPr>
          <w:bookmarkStart w:id="47" w:name="_Toc516428087"/>
          <w:bookmarkStart w:id="48" w:name="_Toc517706646"/>
          <w:bookmarkStart w:id="49" w:name="_Toc513214362"/>
          <w:r>
            <w:rPr>
              <w:noProof/>
            </w:rPr>
            <w:t>Conclusions</w:t>
          </w:r>
          <w:bookmarkEnd w:id="47"/>
          <w:bookmarkEnd w:id="48"/>
        </w:p>
        <w:p w14:paraId="21DAB550" w14:textId="6A2D75EB" w:rsidR="00F918EE" w:rsidRPr="004F431A" w:rsidRDefault="00F918EE" w:rsidP="0035514A">
          <w:pPr>
            <w:pStyle w:val="BodyText"/>
          </w:pPr>
          <w:r>
            <w:t>This review of recent case reports and case series indicates that e</w:t>
          </w:r>
          <w:r w:rsidRPr="004F431A">
            <w:t xml:space="preserve">-cigarettes can explode and cause projectile injuries. While uncommon events, </w:t>
          </w:r>
          <w:r>
            <w:t>the increase in popularity of</w:t>
          </w:r>
          <w:r w:rsidRPr="004F431A">
            <w:t xml:space="preserve"> e-cigarettes </w:t>
          </w:r>
          <w:r>
            <w:t>in the US is accompanied by an increase in</w:t>
          </w:r>
          <w:r w:rsidRPr="004F431A">
            <w:t xml:space="preserve"> </w:t>
          </w:r>
          <w:r>
            <w:t xml:space="preserve">e-cigarette </w:t>
          </w:r>
          <w:r w:rsidRPr="004F431A">
            <w:t>injur</w:t>
          </w:r>
          <w:r>
            <w:t>y</w:t>
          </w:r>
          <w:r w:rsidRPr="004F431A">
            <w:t xml:space="preserve"> occurrence. </w:t>
          </w:r>
          <w:r w:rsidRPr="0035514A">
            <w:t xml:space="preserve">Raising awareness about the potential for major injury due to explosions is relevant for </w:t>
          </w:r>
          <w:r w:rsidR="0035514A">
            <w:t xml:space="preserve">e-cigarette </w:t>
          </w:r>
          <w:r w:rsidRPr="0035514A">
            <w:t xml:space="preserve">users and potential users, and awareness </w:t>
          </w:r>
          <w:r w:rsidR="006B0EFF" w:rsidRPr="0035514A">
            <w:t>rais</w:t>
          </w:r>
          <w:r w:rsidR="006B0EFF">
            <w:t>ing</w:t>
          </w:r>
          <w:r w:rsidR="006B0EFF" w:rsidRPr="0035514A">
            <w:t xml:space="preserve"> </w:t>
          </w:r>
          <w:r w:rsidRPr="0035514A">
            <w:t xml:space="preserve">amongst medical staff </w:t>
          </w:r>
          <w:r w:rsidR="006B0EFF">
            <w:t xml:space="preserve">would also be relevant </w:t>
          </w:r>
          <w:r w:rsidRPr="0035514A">
            <w:t xml:space="preserve">to improve </w:t>
          </w:r>
          <w:r w:rsidR="006B0EFF">
            <w:t xml:space="preserve">medical </w:t>
          </w:r>
          <w:r w:rsidRPr="0035514A">
            <w:t>care.</w:t>
          </w:r>
        </w:p>
        <w:p w14:paraId="5E6A823F" w14:textId="77777777" w:rsidR="00F918EE" w:rsidRPr="004C2600" w:rsidRDefault="00F918EE" w:rsidP="0035514A">
          <w:pPr>
            <w:pStyle w:val="BodyText"/>
          </w:pPr>
          <w:r w:rsidRPr="004C2600">
            <w:t>Prevention of injuries might be expected to be able to be achieved through improving battery design, battery testing standards and public awareness relating to e-cigarette battery safety. Such safety practices might include advising users to carry devices away from their body in dedicated carrying cases, and without other loose metallic items.</w:t>
          </w:r>
        </w:p>
        <w:p w14:paraId="37138FF7" w14:textId="77777777" w:rsidR="00F918EE" w:rsidRDefault="00F918EE" w:rsidP="0035514A">
          <w:pPr>
            <w:pStyle w:val="BodyText"/>
          </w:pPr>
          <w:r w:rsidRPr="004C2600">
            <w:t>Regulations and continued monitoring of the hazards of e-cigarette use is likely to optimize public safety. Serious injury from explosions and ingestion of harmful e-cigarette liquids can be mitigated with adequate oversight and regulations.</w:t>
          </w:r>
        </w:p>
        <w:p w14:paraId="0486D1D9" w14:textId="336E304D" w:rsidR="00F918EE" w:rsidRDefault="00F918EE" w:rsidP="0035514A">
          <w:pPr>
            <w:pStyle w:val="BodyText"/>
          </w:pPr>
          <w:r>
            <w:lastRenderedPageBreak/>
            <w:t>Case reports and case series are useful in reporting rare and atypical events but have limited use as a methodology to provide information on prevalence. This review is consistent with, but doesn’t contribute any further insights into, the findings from the US Academies of Science Review and the Public Health England Review. The Public Health England ‘Review of e-cigarettes and heated tobacco products’ accessed National Poisons Information Service data and data from burn treatment centres to gain better insights into the prevalence and context of injuries from e</w:t>
          </w:r>
          <w:r>
            <w:noBreakHyphen/>
            <w:t xml:space="preserve">cigarettes. Even with access to this information they can only conclude that e-cigarette explosions are ‘very rare’. Even so, because of the seriousness of the injuries, it is important to be aware of these incidents </w:t>
          </w:r>
          <w:r w:rsidRPr="004C2600">
            <w:t xml:space="preserve">and </w:t>
          </w:r>
          <w:r w:rsidR="004C2600">
            <w:t>for potential action</w:t>
          </w:r>
          <w:r w:rsidRPr="004C2600">
            <w:t xml:space="preserve"> to minimise future events.</w:t>
          </w:r>
          <w:r>
            <w:t xml:space="preserve"> There were no Australian case reports in the scientific literature, and the majority of reports of injury from e-cigarettes were from the USA and UK.</w:t>
          </w:r>
        </w:p>
        <w:p w14:paraId="432D2083" w14:textId="77777777" w:rsidR="00F918EE" w:rsidRDefault="00F918EE" w:rsidP="00F918EE">
          <w:pPr>
            <w:tabs>
              <w:tab w:val="left" w:pos="397"/>
            </w:tabs>
            <w:spacing w:before="60" w:after="60" w:line="264" w:lineRule="auto"/>
            <w:rPr>
              <w:sz w:val="24"/>
            </w:rPr>
          </w:pPr>
        </w:p>
        <w:p w14:paraId="354521A6" w14:textId="77777777" w:rsidR="00F918EE" w:rsidRPr="00F7140E" w:rsidRDefault="00F918EE" w:rsidP="00F918EE">
          <w:pPr>
            <w:pStyle w:val="Boxedlistbullet"/>
            <w:numPr>
              <w:ilvl w:val="0"/>
              <w:numId w:val="0"/>
            </w:numPr>
            <w:ind w:left="947" w:hanging="360"/>
            <w:rPr>
              <w:b/>
            </w:rPr>
          </w:pPr>
          <w:r w:rsidRPr="00F7140E">
            <w:rPr>
              <w:b/>
            </w:rPr>
            <w:t>Previous studies</w:t>
          </w:r>
        </w:p>
        <w:p w14:paraId="3828B1E6" w14:textId="77777777" w:rsidR="00F918EE" w:rsidRPr="005A07F1" w:rsidRDefault="00F918EE" w:rsidP="00F918EE">
          <w:pPr>
            <w:pStyle w:val="Boxedlistbullet"/>
            <w:numPr>
              <w:ilvl w:val="0"/>
              <w:numId w:val="0"/>
            </w:numPr>
            <w:ind w:left="587"/>
          </w:pPr>
          <w:r w:rsidRPr="005A07F1">
            <w:t>The US National Academies of Sciences Review</w:t>
          </w:r>
          <w:r>
            <w:t xml:space="preserve"> </w:t>
          </w:r>
          <w:r>
            <w:fldChar w:fldCharType="begin"/>
          </w:r>
          <w:r w:rsidR="00903735">
            <w:instrText xml:space="preserve"> ADDIN EN.CITE &lt;EndNote&gt;&lt;Cite&gt;&lt;Author&gt;Stratton&lt;/Author&gt;&lt;Year&gt;2018&lt;/Year&gt;&lt;RecNum&gt;7073&lt;/RecNum&gt;&lt;DisplayText&gt;(Stratton, Kwan et al. 2018)&lt;/DisplayText&gt;&lt;record&gt;&lt;rec-number&gt;7073&lt;/rec-number&gt;&lt;foreign-keys&gt;&lt;key app="EN" db-id="5xv5w5t2bdxtxfezx02xtxdft5rz5ptvvt29" timestamp="1521076678"&gt;7073&lt;/key&gt;&lt;/foreign-keys&gt;&lt;ref-type name="Report"&gt;27&lt;/ref-type&gt;&lt;contributors&gt;&lt;authors&gt;&lt;author&gt;Kathleen Stratton&lt;/author&gt;&lt;author&gt;Leslie Y Kwan&lt;/author&gt;&lt;author&gt;David L Eaton&lt;/author&gt;&lt;/authors&gt;&lt;tertiary-authors&gt;&lt;author&gt;The National Academies Press&lt;/author&gt;&lt;/tertiary-authors&gt;&lt;/contributors&gt;&lt;titles&gt;&lt;title&gt;Public Health Consequences of e-Cigarettes&lt;/title&gt;&lt;/titles&gt;&lt;dates&gt;&lt;year&gt;2018&lt;/year&gt;&lt;/dates&gt;&lt;pub-location&gt;Washington DC&lt;/pub-location&gt;&lt;publisher&gt;Board on Population Health and Public Health Practice, Health and Medicine Division, The National Academies of Sciences, Engineering and Medicine&lt;/publisher&gt;&lt;urls&gt;&lt;/urls&gt;&lt;/record&gt;&lt;/Cite&gt;&lt;/EndNote&gt;</w:instrText>
          </w:r>
          <w:r>
            <w:fldChar w:fldCharType="separate"/>
          </w:r>
          <w:r>
            <w:rPr>
              <w:noProof/>
            </w:rPr>
            <w:t>(Stratton, Kwan et al. 2018)</w:t>
          </w:r>
          <w:r>
            <w:fldChar w:fldCharType="end"/>
          </w:r>
          <w:r w:rsidRPr="005A07F1">
            <w:t xml:space="preserve"> concluded that in relation to injuries and poisonings</w:t>
          </w:r>
          <w:r>
            <w:t xml:space="preserve"> </w:t>
          </w:r>
          <w:r w:rsidRPr="005A07F1">
            <w:t>:</w:t>
          </w:r>
        </w:p>
        <w:p w14:paraId="0C3DA12B" w14:textId="77777777" w:rsidR="00F918EE" w:rsidRPr="005A07F1" w:rsidRDefault="00F918EE" w:rsidP="00F918EE">
          <w:pPr>
            <w:pStyle w:val="Boxedlistbullet"/>
            <w:ind w:left="947" w:hanging="360"/>
          </w:pPr>
          <w:r w:rsidRPr="005A07F1">
            <w:t xml:space="preserve">‘There is conclusive evidence that e-cigarette devices can explode and cause burns and projectile injuries. Such risk is significantly increased when batteries are of poor quality, stored improperly or are being modified by users. </w:t>
          </w:r>
        </w:p>
        <w:p w14:paraId="335CB594" w14:textId="77777777" w:rsidR="00F918EE" w:rsidRPr="005A07F1" w:rsidRDefault="00F918EE" w:rsidP="00F918EE">
          <w:pPr>
            <w:pStyle w:val="Boxedlistbullet"/>
            <w:ind w:left="947" w:hanging="360"/>
          </w:pPr>
          <w:r w:rsidRPr="005A07F1">
            <w:t>There is conclusive evidence that intentional or accidental ex</w:t>
          </w:r>
          <w:r>
            <w:t>p</w:t>
          </w:r>
          <w:r w:rsidRPr="005A07F1">
            <w:t xml:space="preserve">osure to e-liquids (from drinking, eye contact, or dermal contact) can result in adverse health effects including but not limited to seizures, anoxic brain injury, vomiting, and lactic acidosis. </w:t>
          </w:r>
        </w:p>
        <w:p w14:paraId="06AEC922" w14:textId="77777777" w:rsidR="00F918EE" w:rsidRPr="005A07F1" w:rsidRDefault="00F918EE" w:rsidP="00F918EE">
          <w:pPr>
            <w:pStyle w:val="Boxedlistbullet"/>
            <w:ind w:left="947" w:hanging="360"/>
          </w:pPr>
          <w:r w:rsidRPr="005A07F1">
            <w:t>There is conclusive evidence that intentionally or unintentionally drinking or injecting e-liquids can be fatal.’</w:t>
          </w:r>
        </w:p>
        <w:p w14:paraId="7A66D312" w14:textId="77777777" w:rsidR="00F918EE" w:rsidRDefault="00F918EE" w:rsidP="00F918EE">
          <w:pPr>
            <w:pStyle w:val="BodyText"/>
          </w:pPr>
        </w:p>
        <w:p w14:paraId="55BC62CF" w14:textId="77777777" w:rsidR="00F918EE" w:rsidRPr="002A59E2" w:rsidRDefault="00F918EE" w:rsidP="00F918EE">
          <w:pPr>
            <w:pStyle w:val="Heading2"/>
            <w:rPr>
              <w:rStyle w:val="Strong"/>
              <w:rFonts w:cstheme="majorBidi"/>
              <w:b w:val="0"/>
              <w:bCs/>
            </w:rPr>
          </w:pPr>
          <w:bookmarkStart w:id="50" w:name="_Toc517706647"/>
          <w:r>
            <w:rPr>
              <w:rStyle w:val="Strong"/>
              <w:rFonts w:cstheme="majorBidi"/>
              <w:b w:val="0"/>
              <w:bCs/>
            </w:rPr>
            <w:t>Key findings</w:t>
          </w:r>
          <w:bookmarkEnd w:id="50"/>
        </w:p>
        <w:p w14:paraId="3727700C" w14:textId="2DFD0424" w:rsidR="00F918EE" w:rsidRDefault="00F918EE" w:rsidP="00F918EE">
          <w:pPr>
            <w:pStyle w:val="BodyText"/>
            <w:numPr>
              <w:ilvl w:val="0"/>
              <w:numId w:val="34"/>
            </w:numPr>
          </w:pPr>
          <w:r w:rsidRPr="00130468">
            <w:t>The studies reviewed in this section are mainly case studies and case series.</w:t>
          </w:r>
          <w:r>
            <w:t xml:space="preserve"> However, the injuries incurred can be attributed directly to e-cigarettes.</w:t>
          </w:r>
          <w:r w:rsidR="008146F9">
            <w:t xml:space="preserve"> </w:t>
          </w:r>
        </w:p>
        <w:p w14:paraId="7F0255D2" w14:textId="77777777" w:rsidR="00F918EE" w:rsidRPr="002A59E2" w:rsidRDefault="00F918EE" w:rsidP="00F918EE">
          <w:pPr>
            <w:pStyle w:val="BodyText"/>
            <w:numPr>
              <w:ilvl w:val="0"/>
              <w:numId w:val="33"/>
            </w:numPr>
            <w:rPr>
              <w:bCs/>
              <w:sz w:val="22"/>
            </w:rPr>
          </w:pPr>
          <w:r w:rsidRPr="00130468">
            <w:t xml:space="preserve">E-cigarettes can explode and cause </w:t>
          </w:r>
          <w:r>
            <w:t xml:space="preserve">serious </w:t>
          </w:r>
          <w:r w:rsidRPr="00130468">
            <w:t xml:space="preserve">projectile </w:t>
          </w:r>
          <w:r>
            <w:t xml:space="preserve">and thermal </w:t>
          </w:r>
          <w:r w:rsidRPr="00130468">
            <w:t xml:space="preserve">injuries. </w:t>
          </w:r>
        </w:p>
        <w:p w14:paraId="17A354D9" w14:textId="77777777" w:rsidR="00F918EE" w:rsidRPr="00130468" w:rsidRDefault="00F918EE" w:rsidP="00F918EE">
          <w:pPr>
            <w:pStyle w:val="BodyText"/>
            <w:numPr>
              <w:ilvl w:val="0"/>
              <w:numId w:val="33"/>
            </w:numPr>
            <w:rPr>
              <w:bCs/>
              <w:sz w:val="22"/>
            </w:rPr>
          </w:pPr>
          <w:r w:rsidRPr="00130468">
            <w:t>While uncommon events, if e-cigarettes were to increase in popularity</w:t>
          </w:r>
          <w:r>
            <w:t xml:space="preserve"> without modification</w:t>
          </w:r>
          <w:r w:rsidRPr="00130468">
            <w:t>, injuries from e-cigarettes could be expected to increase in occurrence.</w:t>
          </w:r>
        </w:p>
        <w:p w14:paraId="6FFAD089" w14:textId="77777777" w:rsidR="00F918EE" w:rsidRPr="00130468" w:rsidRDefault="00F918EE" w:rsidP="00F918EE">
          <w:pPr>
            <w:pStyle w:val="BodyText"/>
            <w:numPr>
              <w:ilvl w:val="0"/>
              <w:numId w:val="33"/>
            </w:numPr>
            <w:rPr>
              <w:bCs/>
              <w:sz w:val="22"/>
            </w:rPr>
          </w:pPr>
          <w:r>
            <w:t>Intentional or accidental ingestion of e-fluids can cause serious injury or death.</w:t>
          </w:r>
        </w:p>
        <w:p w14:paraId="041F1175" w14:textId="77777777" w:rsidR="00F918EE" w:rsidRDefault="00F918EE">
          <w:pPr>
            <w:spacing w:after="0"/>
          </w:pPr>
        </w:p>
        <w:p w14:paraId="36ED6862" w14:textId="77777777" w:rsidR="00BB6177" w:rsidRDefault="00BB6177">
          <w:pPr>
            <w:spacing w:after="0"/>
            <w:rPr>
              <w:sz w:val="24"/>
            </w:rPr>
          </w:pPr>
          <w:r>
            <w:br w:type="page"/>
          </w:r>
        </w:p>
        <w:p w14:paraId="4CCA37E4" w14:textId="77777777" w:rsidR="000F0E2F" w:rsidRDefault="000F0E2F" w:rsidP="000F0E2F">
          <w:pPr>
            <w:pStyle w:val="Heading1"/>
            <w:pageBreakBefore w:val="0"/>
            <w:spacing w:before="480" w:after="360" w:line="240" w:lineRule="auto"/>
          </w:pPr>
          <w:bookmarkStart w:id="51" w:name="_Toc517706648"/>
          <w:r w:rsidRPr="004E291A">
            <w:lastRenderedPageBreak/>
            <w:t>Animal Studies</w:t>
          </w:r>
          <w:bookmarkEnd w:id="49"/>
          <w:bookmarkEnd w:id="51"/>
          <w:r w:rsidRPr="004E291A">
            <w:t xml:space="preserve"> </w:t>
          </w:r>
        </w:p>
        <w:p w14:paraId="04CEF9D4" w14:textId="77777777" w:rsidR="00EA2246" w:rsidRDefault="00EA2246" w:rsidP="00EA2246">
          <w:pPr>
            <w:pStyle w:val="Heading2"/>
          </w:pPr>
          <w:bookmarkStart w:id="52" w:name="_Toc517706649"/>
          <w:r>
            <w:t>Introduction</w:t>
          </w:r>
          <w:bookmarkEnd w:id="52"/>
        </w:p>
        <w:p w14:paraId="1352DEE2" w14:textId="28E77E84" w:rsidR="00EA2246" w:rsidRDefault="005E42EE" w:rsidP="00EA2246">
          <w:pPr>
            <w:pStyle w:val="BodyText"/>
          </w:pPr>
          <w:r>
            <w:t xml:space="preserve">In this section, recent studies using animal models that are relevant to the health effects of </w:t>
          </w:r>
          <w:r w:rsidRPr="004C2600">
            <w:rPr>
              <w:color w:val="auto"/>
            </w:rPr>
            <w:t>e</w:t>
          </w:r>
          <w:r w:rsidR="0023709D" w:rsidRPr="004C2600">
            <w:rPr>
              <w:color w:val="auto"/>
            </w:rPr>
            <w:noBreakHyphen/>
          </w:r>
          <w:r w:rsidRPr="004C2600">
            <w:rPr>
              <w:color w:val="auto"/>
            </w:rPr>
            <w:t xml:space="preserve">cigarettes are </w:t>
          </w:r>
          <w:r>
            <w:t xml:space="preserve">reviewed. </w:t>
          </w:r>
          <w:r w:rsidRPr="005E42EE">
            <w:t>Th</w:t>
          </w:r>
          <w:r w:rsidR="008A1D78">
            <w:t>is</w:t>
          </w:r>
          <w:r w:rsidRPr="005E42EE">
            <w:t xml:space="preserve"> section</w:t>
          </w:r>
          <w:r>
            <w:t xml:space="preserve"> addresses part of the assigned task to ‘</w:t>
          </w:r>
          <w:r>
            <w:rPr>
              <w:rFonts w:cs="Calibri"/>
              <w:szCs w:val="24"/>
            </w:rPr>
            <w:t>r</w:t>
          </w:r>
          <w:r w:rsidRPr="001022DF">
            <w:rPr>
              <w:rFonts w:cs="Calibri"/>
              <w:szCs w:val="24"/>
            </w:rPr>
            <w:t>eview all available evidence applicable to the impacts of the use of e-cigarettes, personal vaporisers and nicotine on individual and population health</w:t>
          </w:r>
          <w:r>
            <w:rPr>
              <w:rFonts w:cs="Calibri"/>
              <w:szCs w:val="24"/>
            </w:rPr>
            <w:t xml:space="preserve">.’ </w:t>
          </w:r>
          <w:r w:rsidR="00EA2246">
            <w:t xml:space="preserve">From the </w:t>
          </w:r>
          <w:r w:rsidR="008A1D78">
            <w:t>combined literature searches,</w:t>
          </w:r>
          <w:r w:rsidR="00EA2246">
            <w:t xml:space="preserve"> 40 </w:t>
          </w:r>
          <w:r w:rsidR="008A1D78">
            <w:t xml:space="preserve">reports </w:t>
          </w:r>
          <w:r w:rsidR="00EA2246">
            <w:t xml:space="preserve">were identified to be animal studies. Of these, 26 </w:t>
          </w:r>
          <w:r w:rsidR="008A1D78">
            <w:t xml:space="preserve">reports </w:t>
          </w:r>
          <w:r w:rsidR="00EA2246">
            <w:t>were excluded as they were:</w:t>
          </w:r>
        </w:p>
        <w:p w14:paraId="6D3D45A9" w14:textId="77777777" w:rsidR="00EA2246" w:rsidRDefault="00EA2246" w:rsidP="00E16F8F">
          <w:pPr>
            <w:pStyle w:val="BodyText"/>
            <w:numPr>
              <w:ilvl w:val="0"/>
              <w:numId w:val="35"/>
            </w:numPr>
            <w:spacing w:before="0" w:after="0"/>
          </w:pPr>
          <w:r>
            <w:t>conference abstracts (n=12);</w:t>
          </w:r>
        </w:p>
        <w:p w14:paraId="62A6621F" w14:textId="77777777" w:rsidR="00EA2246" w:rsidRDefault="00EA2246" w:rsidP="0023695A">
          <w:pPr>
            <w:pStyle w:val="BodyText"/>
            <w:numPr>
              <w:ilvl w:val="0"/>
              <w:numId w:val="35"/>
            </w:numPr>
            <w:spacing w:before="0" w:after="0"/>
          </w:pPr>
          <w:r>
            <w:t>abstract only (n=8);</w:t>
          </w:r>
        </w:p>
        <w:p w14:paraId="240F37AC" w14:textId="77777777" w:rsidR="00EA2246" w:rsidRDefault="00EA2246" w:rsidP="00E652DB">
          <w:pPr>
            <w:pStyle w:val="BodyText"/>
            <w:numPr>
              <w:ilvl w:val="0"/>
              <w:numId w:val="35"/>
            </w:numPr>
            <w:spacing w:before="0" w:after="0"/>
          </w:pPr>
          <w:r>
            <w:t>not specific to e-cigarettes (n=4);</w:t>
          </w:r>
        </w:p>
        <w:p w14:paraId="76D79759" w14:textId="77777777" w:rsidR="00EA2246" w:rsidRDefault="00EA2246" w:rsidP="00C14512">
          <w:pPr>
            <w:pStyle w:val="BodyText"/>
            <w:numPr>
              <w:ilvl w:val="0"/>
              <w:numId w:val="35"/>
            </w:numPr>
            <w:spacing w:before="0" w:after="0"/>
          </w:pPr>
          <w:r>
            <w:t>not in live animals (n=5).</w:t>
          </w:r>
        </w:p>
        <w:p w14:paraId="47D637AE" w14:textId="77777777" w:rsidR="00EA2246" w:rsidRDefault="00EA2246" w:rsidP="00EA2246">
          <w:pPr>
            <w:pStyle w:val="BodyText"/>
          </w:pPr>
          <w:r>
            <w:t xml:space="preserve">Sixteen remaining articles were included. </w:t>
          </w:r>
        </w:p>
        <w:p w14:paraId="0022DBEA" w14:textId="77777777" w:rsidR="00EA2246" w:rsidRPr="00EA2246" w:rsidRDefault="00EA2246" w:rsidP="00EA2246">
          <w:pPr>
            <w:pStyle w:val="BodyText"/>
          </w:pPr>
        </w:p>
        <w:p w14:paraId="545B6158" w14:textId="77777777" w:rsidR="000F0E2F" w:rsidRDefault="000F0E2F" w:rsidP="000F0E2F">
          <w:pPr>
            <w:pStyle w:val="Heading2"/>
          </w:pPr>
          <w:bookmarkStart w:id="53" w:name="_Toc513214363"/>
          <w:bookmarkStart w:id="54" w:name="_Toc517706650"/>
          <w:r w:rsidRPr="004E19B3">
            <w:t>Effects on the brain</w:t>
          </w:r>
          <w:r>
            <w:t>’s reward system</w:t>
          </w:r>
          <w:bookmarkEnd w:id="53"/>
          <w:bookmarkEnd w:id="54"/>
        </w:p>
        <w:p w14:paraId="50B255CB" w14:textId="77777777" w:rsidR="00EA2246" w:rsidRDefault="00EA2246" w:rsidP="00EA2246">
          <w:pPr>
            <w:pStyle w:val="BodyText"/>
          </w:pPr>
          <w:r>
            <w:t xml:space="preserve">Two studies investigated the effects of rodent e-cigarette exposure on the brains reward system. </w:t>
          </w:r>
        </w:p>
        <w:p w14:paraId="64923964" w14:textId="77777777" w:rsidR="00EA2246" w:rsidRDefault="00EA2246" w:rsidP="00EA2246">
          <w:pPr>
            <w:pStyle w:val="BodyText"/>
          </w:pPr>
          <w:r>
            <w:t xml:space="preserve">In the first study, mice exposed to e-cigarette vapour, at doses equivalent to human use, had higher levels of both nicotine and cotinine in the frontal cortex and </w:t>
          </w:r>
          <w:r w:rsidRPr="00493C64">
            <w:t>increased expression of</w:t>
          </w:r>
          <w:r>
            <w:t xml:space="preserve"> some</w:t>
          </w:r>
          <w:r w:rsidRPr="00493C64">
            <w:t xml:space="preserve"> </w:t>
          </w:r>
          <w:r>
            <w:t xml:space="preserve">neurotransmitter transporters in the frontal cortex, striatum and hippocampus. The results indicate that nicotine containing e-cigarettes may upregulate glutamate and therefore are involved in the reward system associated with addiction </w:t>
          </w:r>
          <w:r>
            <w:fldChar w:fldCharType="begin">
              <w:fldData xml:space="preserve">PEVuZE5vdGU+PENpdGU+PEF1dGhvcj5BbGFzbWFyaTwvQXV0aG9yPjxZZWFyPjIwMTc8L1llYXI+
PFJlY051bT4xMjQ4PC9SZWNOdW0+PERpc3BsYXlUZXh0PihBbGFzbWFyaSwgQ3JvdHR5IEFsZXhh
bmRlciBldCBhbC4gMjAxNyk8L0Rpc3BsYXlUZXh0PjxyZWNvcmQ+PHJlYy1udW1iZXI+MTI0ODwv
cmVjLW51bWJlcj48Zm9yZWlnbi1rZXlzPjxrZXkgYXBwPSJFTiIgZGItaWQ9Ijl6MDVkejBwcmFh
ZGZ1ZWUwem94emVkazl6ZmU1Znh4NTB6NSIgdGltZXN0YW1wPSIxNTIxNTA3MDM1Ij4xMjQ4PC9r
ZXk+PGtleSBhcHA9IkVOV2ViIiBkYi1pZD0iIj4wPC9rZXk+PC9mb3JlaWduLWtleXM+PHJlZi10
eXBlIG5hbWU9IkpvdXJuYWwgQXJ0aWNsZSI+MTc8L3JlZi10eXBlPjxjb250cmlidXRvcnM+PGF1
dGhvcnM+PGF1dGhvcj5BbGFzbWFyaSwgRi48L2F1dGhvcj48YXV0aG9yPkNyb3R0eSBBbGV4YW5k
ZXIsIEwuIEUuPC9hdXRob3I+PGF1dGhvcj5OZWxzb24sIEouIEEuPC9hdXRob3I+PGF1dGhvcj5T
Y2hpZWZlciwgSS4gVC48L2F1dGhvcj48YXV0aG9yPkJyZWVuLCBFLjwvYXV0aG9yPjxhdXRob3I+
RHJ1bW1vbmQsIEMuIEEuPC9hdXRob3I+PGF1dGhvcj5TYXJpLCBZLjwvYXV0aG9yPjwvYXV0aG9y
cz48L2NvbnRyaWJ1dG9ycz48YXV0aC1hZGRyZXNzPkRlcGFydG1lbnQgb2YgUGhhcm1hY29sb2d5
IGFuZCBFeHBlcmltZW50YWwgVGhlcmFwZXV0aWNzLCBDb2xsZWdlIG9mIFBoYXJtYWN5IGFuZCBQ
aGFybWFjZXV0aWNhbCBTY2llbmNlcywgVGhlIFVuaXZlcnNpdHkgb2YgVG9sZWRvLCBUb2xlZG8s
IE9IIDQzNjE0LCBVU0EuJiN4RDtQdWxtb25hcnkgYW5kIENyaXRpY2FsIENhcmUgU2VjdGlvbiwg
VkEgU2FuIERpZWdvIEhlYWx0aGNhcmUgU3lzdGVtLCAzMzUwIExhIEpvbGxhIFZpbGxhZ2UgRHIs
IE1DIDExMUosIFNhbiBEaWVnbywgQ0EgOTIxNjEsIFVTQTsgRGVwYXJ0bWVudCBvZiBNZWRpY2lu
ZSwgRGl2aXNpb24gb2YgUHVsbW9uYXJ5IGFuZCBDcml0aWNhbCBDYXJlLCBVbml2ZXJzaXR5IG9m
IENhbGlmb3JuaWEgYXQgU2FuIERpZWdvIChVQ1NEKSwgTGEgSm9sbGEsIENBIDkyMDkzLCBVU0Eu
JiN4RDtEZXBhcnRtZW50IG9mIE1lZGljaW5hbCBhbmQgQmlvbG9naWNhbCBDaGVtaXN0cnksIENv
bGxlZ2Ugb2YgUGhhcm1hY3kgYW5kIFBoYXJtYWNldXRpY2FsIFNjaWVuY2VzLCBUaGUgVW5pdmVy
c2l0eSBvZiBUb2xlZG8sIFRvbGVkbywgT0ggNDM2MTQsIFVTQS4mI3hEO0RlcGFydG1lbnQgb2Yg
TWVkaWNpbmUsIERpdmlzaW9uIG9mIFBoeXNpb2xvZ3ksIFVDU0QsIExhIEpvbGxhLCBDQSA5MjA5
MywgVVNBLiYjeEQ7RGVwYXJ0bWVudCBvZiBNZWRpY2luZSwgRGl2aXNpb24gb2YgQ2FyZGlvdmFz
Y3VsYXIgTWVkaWNpbmUsIENvbGxlZ2Ugb2YgTWVkaWNpbmUgYW5kIExpZmUgU2NpZW5jZXMsIFVu
aXZlcnNpdHkgb2YgVG9sZWRvLCBUb2xlZG8sIE9IIDQzNjE0LCBVU0EuJiN4RDtEZXBhcnRtZW50
IG9mIFBoYXJtYWNvbG9neSBhbmQgRXhwZXJpbWVudGFsIFRoZXJhcGV1dGljcywgQ29sbGVnZSBv
ZiBQaGFybWFjeSBhbmQgUGhhcm1hY2V1dGljYWwgU2NpZW5jZXMsIFRoZSBVbml2ZXJzaXR5IG9m
IFRvbGVkbywgVG9sZWRvLCBPSCA0MzYxNCwgVVNBLiBFbGVjdHJvbmljIGFkZHJlc3M6IHlvdXNz
ZWYuc2FyaUB1dG9sZWRvLmVkdS48L2F1dGgtYWRkcmVzcz48dGl0bGVzPjx0aXRsZT5FZmZlY3Rz
IG9mIGNocm9uaWMgaW5oYWxhdGlvbiBvZiBlbGVjdHJvbmljIGNpZ2FyZXR0ZXMgY29udGFpbmlu
ZyBuaWNvdGluZSBvbiBnbGlhbCBnbHV0YW1hdGUgdHJhbnNwb3J0ZXJzIGFuZCBhbHBoYS03IG5p
Y290aW5pYyBhY2V0eWxjaG9saW5lIHJlY2VwdG9yIGluIGZlbWFsZSBDRC0xIG1pY2U8L3RpdGxl
PjxzZWNvbmRhcnktdGl0bGU+UHJvZyBOZXVyb3BzeWNob3BoYXJtYWNvbCBCaW9sIFBzeWNoaWF0
cnk8L3NlY29uZGFyeS10aXRsZT48YWx0LXRpdGxlPlByb2dyZXNzIGluIG5ldXJvLXBzeWNob3Bo
YXJtYWNvbG9neSAmYW1wOyBiaW9sb2dpY2FsIHBzeWNoaWF0cnk8L2FsdC10aXRsZT48L3RpdGxl
cz48cGVyaW9kaWNhbD48ZnVsbC10aXRsZT5Qcm9nIE5ldXJvcHN5Y2hvcGhhcm1hY29sIEJpb2wg
UHN5Y2hpYXRyeTwvZnVsbC10aXRsZT48YWJici0xPlByb2dyZXNzIGluIG5ldXJvLXBzeWNob3Bo
YXJtYWNvbG9neSAmYW1wOyBiaW9sb2dpY2FsIHBzeWNoaWF0cnk8L2FiYnItMT48L3BlcmlvZGlj
YWw+PGFsdC1wZXJpb2RpY2FsPjxmdWxsLXRpdGxlPlByb2cgTmV1cm9wc3ljaG9waGFybWFjb2wg
QmlvbCBQc3ljaGlhdHJ5PC9mdWxsLXRpdGxlPjxhYmJyLTE+UHJvZ3Jlc3MgaW4gbmV1cm8tcHN5
Y2hvcGhhcm1hY29sb2d5ICZhbXA7IGJpb2xvZ2ljYWwgcHN5Y2hpYXRyeTwvYWJici0xPjwvYWx0
LXBlcmlvZGljYWw+PHBhZ2VzPjEtODwvcGFnZXM+PHZvbHVtZT43Nzwvdm9sdW1lPjxlZGl0aW9u
PjIwMTcvMDMvMzA8L2VkaXRpb24+PGtleXdvcmRzPjxrZXl3b3JkPkFkbWluaXN0cmF0aW9uLCBJ
bmhhbGF0aW9uPC9rZXl3b3JkPjxrZXl3b3JkPkFtaW5vIEFjaWQgVHJhbnNwb3J0IFN5c3RlbSBY
LUFHLypiaW9zeW50aGVzaXM8L2tleXdvcmQ+PGtleXdvcmQ+QW1pbm8gQWNpZCBUcmFuc3BvcnQg
U3lzdGVtIHkrLypiaW9zeW50aGVzaXM8L2tleXdvcmQ+PGtleXdvcmQ+QW5pbWFsczwva2V5d29y
ZD48a2V5d29yZD5Db3JwdXMgU3RyaWF0dW0vbWV0YWJvbGlzbTwva2V5d29yZD48a2V5d29yZD4q
RWxlY3Ryb25pYyBOaWNvdGluZSBEZWxpdmVyeSBTeXN0ZW1zPC9rZXl3b3JkPjxrZXl3b3JkPkV4
Y2l0YXRvcnkgQW1pbm8gQWNpZCBUcmFuc3BvcnRlciAyL2Jpb3N5bnRoZXNpczwva2V5d29yZD48
a2V5d29yZD5GZW1hbGU8L2tleXdvcmQ+PGtleXdvcmQ+RnJvbnRhbCBMb2JlL21ldGFib2xpc208
L2tleXdvcmQ+PGtleXdvcmQ+SGlwcG9jYW1wdXMvbWV0YWJvbGlzbTwva2V5d29yZD48a2V5d29y
ZD5NaWNlPC9rZXl3b3JkPjxrZXl3b3JkPk5ldXJvZ2xpYS8qZHJ1ZyBlZmZlY3RzLyptZXRhYm9s
aXNtPC9rZXl3b3JkPjxrZXl3b3JkPk5ldXJvbnMvbWV0YWJvbGlzbTwva2V5d29yZD48a2V5d29y
ZD5OaWNvdGluZS8qYWRtaW5pc3RyYXRpb24gJmFtcDsgZG9zYWdlL21ldGFib2xpc20vKnBoYXJt
YWNvbG9neTwva2V5d29yZD48a2V5d29yZD5hbHBoYTcgTmljb3RpbmljIEFjZXR5bGNob2xpbmUg
UmVjZXB0b3IvKmJpb3N5bnRoZXNpczwva2V5d29yZD48a2V5d29yZD5Db3RpbmluZTwva2V5d29y
ZD48a2V5d29yZD5FLWNpZ2FyZXR0ZXM8L2tleXdvcmQ+PGtleXdvcmQ+R2x0LTE8L2tleXdvcmQ+
PGtleXdvcmQ+eENUPC9rZXl3b3JkPjxrZXl3b3JkPmFscGhhLTcgbkFDaFI8L2tleXdvcmQ+PC9r
ZXl3b3Jkcz48ZGF0ZXM+PHllYXI+MjAxNzwveWVhcj48cHViLWRhdGVzPjxkYXRlPkp1bCAzPC9k
YXRlPjwvcHViLWRhdGVzPjwvZGF0ZXM+PGlzYm4+MDI3OC01ODQ2PC9pc2JuPjxhY2Nlc3Npb24t
bnVtPjI4MzQ3Njg3PC9hY2Nlc3Npb24tbnVtPjx1cmxzPjxyZWxhdGVkLXVybHM+PHVybD5odHRw
czovL3d3dy5zY2llbmNlZGlyZWN0LmNvbS9zY2llbmNlL2FydGljbGUvcGlpL1MwMjc4NTg0NjE2
MzAyODIyP3ZpYSUzRGlodWI8L3VybD48L3JlbGF0ZWQtdXJscz48L3VybHM+PGN1c3RvbTI+UE1D
NTQ2NjQ5OTwvY3VzdG9tMj48Y3VzdG9tNj5OSUhNUzg2NTUyMjwvY3VzdG9tNj48ZWxlY3Ryb25p
Yy1yZXNvdXJjZS1udW0+MTAuMTAxNi9qLnBucGJwLjIwMTcuMDMuMDE3PC9lbGVjdHJvbmljLXJl
c291cmNlLW51bT48cmVtb3RlLWRhdGFiYXNlLXByb3ZpZGVyPk5MTTwvcmVtb3RlLWRhdGFiYXNl
LXByb3ZpZGVyPjxsYW5ndWFnZT5lbmc8L2xhbmd1YWdlPjwvcmVjb3JkPjwvQ2l0ZT48L0VuZE5v
dGU+AG==
</w:fldData>
            </w:fldChar>
          </w:r>
          <w:r>
            <w:instrText xml:space="preserve"> ADDIN EN.CITE </w:instrText>
          </w:r>
          <w:r>
            <w:fldChar w:fldCharType="begin">
              <w:fldData xml:space="preserve">PEVuZE5vdGU+PENpdGU+PEF1dGhvcj5BbGFzbWFyaTwvQXV0aG9yPjxZZWFyPjIwMTc8L1llYXI+
PFJlY051bT4xMjQ4PC9SZWNOdW0+PERpc3BsYXlUZXh0PihBbGFzbWFyaSwgQ3JvdHR5IEFsZXhh
bmRlciBldCBhbC4gMjAxNyk8L0Rpc3BsYXlUZXh0PjxyZWNvcmQ+PHJlYy1udW1iZXI+MTI0ODwv
cmVjLW51bWJlcj48Zm9yZWlnbi1rZXlzPjxrZXkgYXBwPSJFTiIgZGItaWQ9Ijl6MDVkejBwcmFh
ZGZ1ZWUwem94emVkazl6ZmU1Znh4NTB6NSIgdGltZXN0YW1wPSIxNTIxNTA3MDM1Ij4xMjQ4PC9r
ZXk+PGtleSBhcHA9IkVOV2ViIiBkYi1pZD0iIj4wPC9rZXk+PC9mb3JlaWduLWtleXM+PHJlZi10
eXBlIG5hbWU9IkpvdXJuYWwgQXJ0aWNsZSI+MTc8L3JlZi10eXBlPjxjb250cmlidXRvcnM+PGF1
dGhvcnM+PGF1dGhvcj5BbGFzbWFyaSwgRi48L2F1dGhvcj48YXV0aG9yPkNyb3R0eSBBbGV4YW5k
ZXIsIEwuIEUuPC9hdXRob3I+PGF1dGhvcj5OZWxzb24sIEouIEEuPC9hdXRob3I+PGF1dGhvcj5T
Y2hpZWZlciwgSS4gVC48L2F1dGhvcj48YXV0aG9yPkJyZWVuLCBFLjwvYXV0aG9yPjxhdXRob3I+
RHJ1bW1vbmQsIEMuIEEuPC9hdXRob3I+PGF1dGhvcj5TYXJpLCBZLjwvYXV0aG9yPjwvYXV0aG9y
cz48L2NvbnRyaWJ1dG9ycz48YXV0aC1hZGRyZXNzPkRlcGFydG1lbnQgb2YgUGhhcm1hY29sb2d5
IGFuZCBFeHBlcmltZW50YWwgVGhlcmFwZXV0aWNzLCBDb2xsZWdlIG9mIFBoYXJtYWN5IGFuZCBQ
aGFybWFjZXV0aWNhbCBTY2llbmNlcywgVGhlIFVuaXZlcnNpdHkgb2YgVG9sZWRvLCBUb2xlZG8s
IE9IIDQzNjE0LCBVU0EuJiN4RDtQdWxtb25hcnkgYW5kIENyaXRpY2FsIENhcmUgU2VjdGlvbiwg
VkEgU2FuIERpZWdvIEhlYWx0aGNhcmUgU3lzdGVtLCAzMzUwIExhIEpvbGxhIFZpbGxhZ2UgRHIs
IE1DIDExMUosIFNhbiBEaWVnbywgQ0EgOTIxNjEsIFVTQTsgRGVwYXJ0bWVudCBvZiBNZWRpY2lu
ZSwgRGl2aXNpb24gb2YgUHVsbW9uYXJ5IGFuZCBDcml0aWNhbCBDYXJlLCBVbml2ZXJzaXR5IG9m
IENhbGlmb3JuaWEgYXQgU2FuIERpZWdvIChVQ1NEKSwgTGEgSm9sbGEsIENBIDkyMDkzLCBVU0Eu
JiN4RDtEZXBhcnRtZW50IG9mIE1lZGljaW5hbCBhbmQgQmlvbG9naWNhbCBDaGVtaXN0cnksIENv
bGxlZ2Ugb2YgUGhhcm1hY3kgYW5kIFBoYXJtYWNldXRpY2FsIFNjaWVuY2VzLCBUaGUgVW5pdmVy
c2l0eSBvZiBUb2xlZG8sIFRvbGVkbywgT0ggNDM2MTQsIFVTQS4mI3hEO0RlcGFydG1lbnQgb2Yg
TWVkaWNpbmUsIERpdmlzaW9uIG9mIFBoeXNpb2xvZ3ksIFVDU0QsIExhIEpvbGxhLCBDQSA5MjA5
MywgVVNBLiYjeEQ7RGVwYXJ0bWVudCBvZiBNZWRpY2luZSwgRGl2aXNpb24gb2YgQ2FyZGlvdmFz
Y3VsYXIgTWVkaWNpbmUsIENvbGxlZ2Ugb2YgTWVkaWNpbmUgYW5kIExpZmUgU2NpZW5jZXMsIFVu
aXZlcnNpdHkgb2YgVG9sZWRvLCBUb2xlZG8sIE9IIDQzNjE0LCBVU0EuJiN4RDtEZXBhcnRtZW50
IG9mIFBoYXJtYWNvbG9neSBhbmQgRXhwZXJpbWVudGFsIFRoZXJhcGV1dGljcywgQ29sbGVnZSBv
ZiBQaGFybWFjeSBhbmQgUGhhcm1hY2V1dGljYWwgU2NpZW5jZXMsIFRoZSBVbml2ZXJzaXR5IG9m
IFRvbGVkbywgVG9sZWRvLCBPSCA0MzYxNCwgVVNBLiBFbGVjdHJvbmljIGFkZHJlc3M6IHlvdXNz
ZWYuc2FyaUB1dG9sZWRvLmVkdS48L2F1dGgtYWRkcmVzcz48dGl0bGVzPjx0aXRsZT5FZmZlY3Rz
IG9mIGNocm9uaWMgaW5oYWxhdGlvbiBvZiBlbGVjdHJvbmljIGNpZ2FyZXR0ZXMgY29udGFpbmlu
ZyBuaWNvdGluZSBvbiBnbGlhbCBnbHV0YW1hdGUgdHJhbnNwb3J0ZXJzIGFuZCBhbHBoYS03IG5p
Y290aW5pYyBhY2V0eWxjaG9saW5lIHJlY2VwdG9yIGluIGZlbWFsZSBDRC0xIG1pY2U8L3RpdGxl
PjxzZWNvbmRhcnktdGl0bGU+UHJvZyBOZXVyb3BzeWNob3BoYXJtYWNvbCBCaW9sIFBzeWNoaWF0
cnk8L3NlY29uZGFyeS10aXRsZT48YWx0LXRpdGxlPlByb2dyZXNzIGluIG5ldXJvLXBzeWNob3Bo
YXJtYWNvbG9neSAmYW1wOyBiaW9sb2dpY2FsIHBzeWNoaWF0cnk8L2FsdC10aXRsZT48L3RpdGxl
cz48cGVyaW9kaWNhbD48ZnVsbC10aXRsZT5Qcm9nIE5ldXJvcHN5Y2hvcGhhcm1hY29sIEJpb2wg
UHN5Y2hpYXRyeTwvZnVsbC10aXRsZT48YWJici0xPlByb2dyZXNzIGluIG5ldXJvLXBzeWNob3Bo
YXJtYWNvbG9neSAmYW1wOyBiaW9sb2dpY2FsIHBzeWNoaWF0cnk8L2FiYnItMT48L3BlcmlvZGlj
YWw+PGFsdC1wZXJpb2RpY2FsPjxmdWxsLXRpdGxlPlByb2cgTmV1cm9wc3ljaG9waGFybWFjb2wg
QmlvbCBQc3ljaGlhdHJ5PC9mdWxsLXRpdGxlPjxhYmJyLTE+UHJvZ3Jlc3MgaW4gbmV1cm8tcHN5
Y2hvcGhhcm1hY29sb2d5ICZhbXA7IGJpb2xvZ2ljYWwgcHN5Y2hpYXRyeTwvYWJici0xPjwvYWx0
LXBlcmlvZGljYWw+PHBhZ2VzPjEtODwvcGFnZXM+PHZvbHVtZT43Nzwvdm9sdW1lPjxlZGl0aW9u
PjIwMTcvMDMvMzA8L2VkaXRpb24+PGtleXdvcmRzPjxrZXl3b3JkPkFkbWluaXN0cmF0aW9uLCBJ
bmhhbGF0aW9uPC9rZXl3b3JkPjxrZXl3b3JkPkFtaW5vIEFjaWQgVHJhbnNwb3J0IFN5c3RlbSBY
LUFHLypiaW9zeW50aGVzaXM8L2tleXdvcmQ+PGtleXdvcmQ+QW1pbm8gQWNpZCBUcmFuc3BvcnQg
U3lzdGVtIHkrLypiaW9zeW50aGVzaXM8L2tleXdvcmQ+PGtleXdvcmQ+QW5pbWFsczwva2V5d29y
ZD48a2V5d29yZD5Db3JwdXMgU3RyaWF0dW0vbWV0YWJvbGlzbTwva2V5d29yZD48a2V5d29yZD4q
RWxlY3Ryb25pYyBOaWNvdGluZSBEZWxpdmVyeSBTeXN0ZW1zPC9rZXl3b3JkPjxrZXl3b3JkPkV4
Y2l0YXRvcnkgQW1pbm8gQWNpZCBUcmFuc3BvcnRlciAyL2Jpb3N5bnRoZXNpczwva2V5d29yZD48
a2V5d29yZD5GZW1hbGU8L2tleXdvcmQ+PGtleXdvcmQ+RnJvbnRhbCBMb2JlL21ldGFib2xpc208
L2tleXdvcmQ+PGtleXdvcmQ+SGlwcG9jYW1wdXMvbWV0YWJvbGlzbTwva2V5d29yZD48a2V5d29y
ZD5NaWNlPC9rZXl3b3JkPjxrZXl3b3JkPk5ldXJvZ2xpYS8qZHJ1ZyBlZmZlY3RzLyptZXRhYm9s
aXNtPC9rZXl3b3JkPjxrZXl3b3JkPk5ldXJvbnMvbWV0YWJvbGlzbTwva2V5d29yZD48a2V5d29y
ZD5OaWNvdGluZS8qYWRtaW5pc3RyYXRpb24gJmFtcDsgZG9zYWdlL21ldGFib2xpc20vKnBoYXJt
YWNvbG9neTwva2V5d29yZD48a2V5d29yZD5hbHBoYTcgTmljb3RpbmljIEFjZXR5bGNob2xpbmUg
UmVjZXB0b3IvKmJpb3N5bnRoZXNpczwva2V5d29yZD48a2V5d29yZD5Db3RpbmluZTwva2V5d29y
ZD48a2V5d29yZD5FLWNpZ2FyZXR0ZXM8L2tleXdvcmQ+PGtleXdvcmQ+R2x0LTE8L2tleXdvcmQ+
PGtleXdvcmQ+eENUPC9rZXl3b3JkPjxrZXl3b3JkPmFscGhhLTcgbkFDaFI8L2tleXdvcmQ+PC9r
ZXl3b3Jkcz48ZGF0ZXM+PHllYXI+MjAxNzwveWVhcj48cHViLWRhdGVzPjxkYXRlPkp1bCAzPC9k
YXRlPjwvcHViLWRhdGVzPjwvZGF0ZXM+PGlzYm4+MDI3OC01ODQ2PC9pc2JuPjxhY2Nlc3Npb24t
bnVtPjI4MzQ3Njg3PC9hY2Nlc3Npb24tbnVtPjx1cmxzPjxyZWxhdGVkLXVybHM+PHVybD5odHRw
czovL3d3dy5zY2llbmNlZGlyZWN0LmNvbS9zY2llbmNlL2FydGljbGUvcGlpL1MwMjc4NTg0NjE2
MzAyODIyP3ZpYSUzRGlodWI8L3VybD48L3JlbGF0ZWQtdXJscz48L3VybHM+PGN1c3RvbTI+UE1D
NTQ2NjQ5OTwvY3VzdG9tMj48Y3VzdG9tNj5OSUhNUzg2NTUyMjwvY3VzdG9tNj48ZWxlY3Ryb25p
Yy1yZXNvdXJjZS1udW0+MTAuMTAxNi9qLnBucGJwLjIwMTcuMDMuMDE3PC9lbGVjdHJvbmljLXJl
c291cmNlLW51bT48cmVtb3RlLWRhdGFiYXNlLXByb3ZpZGVyPk5MTTwvcmVtb3RlLWRhdGFiYXNl
LXByb3ZpZGVyPjxsYW5ndWFnZT5lbmc8L2xhbmd1YWdlPjwvcmVjb3JkPjwvQ2l0ZT48L0VuZE5v
dGU+AG==
</w:fldData>
            </w:fldChar>
          </w:r>
          <w:r>
            <w:instrText xml:space="preserve"> ADDIN EN.CITE.DATA </w:instrText>
          </w:r>
          <w:r>
            <w:fldChar w:fldCharType="end"/>
          </w:r>
          <w:r>
            <w:fldChar w:fldCharType="separate"/>
          </w:r>
          <w:r>
            <w:rPr>
              <w:noProof/>
            </w:rPr>
            <w:t>(Alasmari, Crotty Alexander et al. 2017)</w:t>
          </w:r>
          <w:r>
            <w:fldChar w:fldCharType="end"/>
          </w:r>
          <w:r>
            <w:t xml:space="preserve">. </w:t>
          </w:r>
        </w:p>
        <w:p w14:paraId="0A056935" w14:textId="77777777" w:rsidR="00EA2246" w:rsidRDefault="00EA2246" w:rsidP="00EA2246">
          <w:pPr>
            <w:pStyle w:val="BodyText"/>
          </w:pPr>
          <w:r>
            <w:t>A study by Harris et al. 2018 found that e-cigarette</w:t>
          </w:r>
          <w:r w:rsidRPr="00AC4185">
            <w:t xml:space="preserve"> liquids b</w:t>
          </w:r>
          <w:r>
            <w:t>ind with n</w:t>
          </w:r>
          <w:r w:rsidRPr="00523DEA">
            <w:t>icotinic acetylcholine receptor</w:t>
          </w:r>
          <w:r>
            <w:t xml:space="preserve">s, leading to its partial inhibition and possible reduction in the reward system </w:t>
          </w:r>
          <w:r>
            <w:fldChar w:fldCharType="begin">
              <w:fldData xml:space="preserve">PEVuZE5vdGU+PENpdGU+PEF1dGhvcj5IYXJyaXM8L0F1dGhvcj48WWVhcj4yMDE4PC9ZZWFyPjxS
ZWNOdW0+NjA4PC9SZWNOdW0+PERpc3BsYXlUZXh0PihIYXJyaXMsIE11ZWxrZW4gZXQgYWwuIDIw
MTgpPC9EaXNwbGF5VGV4dD48cmVjb3JkPjxyZWMtbnVtYmVyPjYwODwvcmVjLW51bWJlcj48Zm9y
ZWlnbi1rZXlzPjxrZXkgYXBwPSJFTiIgZGItaWQ9Ijl6MDVkejBwcmFhZGZ1ZWUwem94emVkazl6
ZmU1Znh4NTB6NSIgdGltZXN0YW1wPSIxNTIxNTA2ODY3Ij42MDg8L2tleT48a2V5IGFwcD0iRU5X
ZWIiIGRiLWlkPSIiPjA8L2tleT48L2ZvcmVpZ24ta2V5cz48cmVmLXR5cGUgbmFtZT0iSm91cm5h
bCBBcnRpY2xlIj4xNzwvcmVmLXR5cGU+PGNvbnRyaWJ1dG9ycz48YXV0aG9ycz48YXV0aG9yPkhh
cnJpcywgQS4gQy48L2F1dGhvcj48YXV0aG9yPk11ZWxrZW4sIFAuPC9hdXRob3I+PGF1dGhvcj5T
bWV0aGVsbHMsIEouIFIuPC9hdXRob3I+PGF1dGhvcj5ZZXJzaG92YSwgSy48L2F1dGhvcj48YXV0
aG9yPlN0ZXBhbm92LCBJLjwvYXV0aG9yPjxhdXRob3I+T2xzb24sIFQuIFQuPC9hdXRob3I+PGF1
dGhvcj5LZWxsYXIsIEsuIEouPC9hdXRob3I+PGF1dGhvcj5MZVNhZ2UsIE0uIEcuPC9hdXRob3I+
PC9hdXRob3JzPjwvY29udHJpYnV0b3JzPjxhdXRoLWFkZHJlc3M+RGVwYXJ0bWVudCBvZiBNZWRp
Y2luZSwgTWlubmVhcG9saXMgTWVkaWNhbCBSZXNlYXJjaCBGb3VuZGF0aW9uLCBNaW5uZWFwb2xp
cywgTU4sIFVTQTsgRGVwYXJ0bWVudCBvZiBNZWRpY2luZSwgVW5pdmVyc2l0eSBvZiBNaW5uZXNv
dGEsIE1pbm5lYXBvbGlzLCBNTiwgVVNBOyBEZXBhcnRtZW50IG9mIFBzeWNob2xvZ3ksIFVuaXZl
cnNpdHkgb2YgTWlubmVzb3RhLCBNaW5uZWFwb2xpcywgTU4sIFVTQS4gRWxlY3Ryb25pYyBhZGRy
ZXNzOiBoYXJyMDU0N0B1bW4uZWR1LiYjeEQ7RGVwYXJ0bWVudCBvZiBNZWRpY2luZSwgTWlubmVh
cG9saXMgTWVkaWNhbCBSZXNlYXJjaCBGb3VuZGF0aW9uLCBNaW5uZWFwb2xpcywgTU4sIFVTQS4m
I3hEO0RlcGFydG1lbnQgb2YgTWVkaWNpbmUsIE1pbm5lYXBvbGlzIE1lZGljYWwgUmVzZWFyY2gg
Rm91bmRhdGlvbiwgTWlubmVhcG9saXMsIE1OLCBVU0E7IERlcGFydG1lbnQgb2YgUHN5Y2hpYXRy
eSwgVW5pdmVyc2l0eSBvZiBNaW5uZXNvdGEsIE1pbm5lYXBvbGlzLCBNTiwgVVNBLiYjeEQ7TWFz
b25pYyBDYW5jZXIgQ2VudGVyLCBVbml2ZXJzaXR5IG9mIE1pbm5lc290YSwgTWlubmVhcG9saXMs
IE1OLCBVU0EuJiN4RDtEZXBhcnRtZW50IG9mIFBoYXJtYWNvbG9neSBhbmQgUGh5c2lvbG9neSwg
R2VvcmdldG93biBVbml2ZXJzaXR5IFNjaG9vbCBvZiBNZWRpY2luZSwgV2FzaGluZ3RvbiwgREMs
IFVTQS4mI3hEO0RlcGFydG1lbnQgb2YgTWVkaWNpbmUsIE1pbm5lYXBvbGlzIE1lZGljYWwgUmVz
ZWFyY2ggRm91bmRhdGlvbiwgTWlubmVhcG9saXMsIE1OLCBVU0E7IERlcGFydG1lbnQgb2YgTWVk
aWNpbmUsIFVuaXZlcnNpdHkgb2YgTWlubmVzb3RhLCBNaW5uZWFwb2xpcywgTU4sIFVTQTsgRGVw
YXJ0bWVudCBvZiBQc3ljaG9sb2d5LCBVbml2ZXJzaXR5IG9mIE1pbm5lc290YSwgTWlubmVhcG9s
aXMsIE1OLCBVU0EuPC9hdXRoLWFkZHJlc3M+PHRpdGxlcz48dGl0bGU+RWZmZWN0cyBvZiBuaWNv
dGluZS1jb250YWluaW5nIGFuZCAmcXVvdDtuaWNvdGluZS1mcmVlJnF1b3Q7IGUtY2lnYXJldHRl
IHJlZmlsbCBsaXF1aWRzIG9uIGludHJhY3JhbmlhbCBzZWxmLXN0aW11bGF0aW9uIGluIHJhdHM8
L3RpdGxlPjxzZWNvbmRhcnktdGl0bGU+RHJ1ZyBBbGNvaG9sIERlcGVuZDwvc2Vjb25kYXJ5LXRp
dGxlPjxhbHQtdGl0bGU+RHJ1ZyBhbmQgYWxjb2hvbCBkZXBlbmRlbmNlPC9hbHQtdGl0bGU+PC90
aXRsZXM+PGFsdC1wZXJpb2RpY2FsPjxmdWxsLXRpdGxlPkRydWcgYW5kIEFsY29ob2wgRGVwZW5k
ZW5jZTwvZnVsbC10aXRsZT48L2FsdC1wZXJpb2RpY2FsPjxwYWdlcz4xLTk8L3BhZ2VzPjx2b2x1
bWU+MTg1PC92b2x1bWU+PGVkaXRpb24+MjAxOC8wMi8wODwvZWRpdGlvbj48a2V5d29yZHM+PGtl
eXdvcmQ+RWxlY3Ryb25pYyBjaWdhcmV0dGVzPC9rZXl3b3JkPjxrZXl3b3JkPkludHJhY3Jhbmlh
bCBzZWxmLXN0aW11bGF0aW9uPC9rZXl3b3JkPjxrZXl3b3JkPk5pY290aW5lPC9rZXl3b3JkPjxr
ZXl3b3JkPk5vbi1uaWNvdGluZSB0b2JhY2NvIGNvbnN0aXR1ZW50czwva2V5d29yZD48a2V5d29y
ZD5Ub2JhY2NvIGNvbnRyb2wgcG9saWN5PC9rZXl3b3JkPjwva2V5d29yZHM+PGRhdGVzPjx5ZWFy
PjIwMTg8L3llYXI+PHB1Yi1kYXRlcz48ZGF0ZT5GZWIgMTwvZGF0ZT48L3B1Yi1kYXRlcz48L2Rh
dGVzPjxpc2JuPjAzNzYtODcxNjwvaXNibj48YWNjZXNzaW9uLW51bT4yOTQxMzQzMjwvYWNjZXNz
aW9uLW51bT48dXJscz48cmVsYXRlZC11cmxzPjx1cmw+aHR0cDovL3d3dy5kcnVnYW5kYWxjb2hv
bGRlcGVuZGVuY2UuY29tL2FydGljbGUvUzAzNzYtODcxNigxOCkzMDAyOC0wL3BkZjwvdXJsPjwv
cmVsYXRlZC11cmxzPjwvdXJscz48ZWxlY3Ryb25pYy1yZXNvdXJjZS1udW0+MTAuMTAxNi9qLmRy
dWdhbGNkZXAuMjAxNy4xMS4wMzI8L2VsZWN0cm9uaWMtcmVzb3VyY2UtbnVtPjxyZW1vdGUtZGF0
YWJhc2UtcHJvdmlkZXI+TkxNPC9yZW1vdGUtZGF0YWJhc2UtcHJvdmlkZXI+PGxhbmd1YWdlPmVu
ZzwvbGFuZ3VhZ2U+PC9yZWNvcmQ+PC9DaXRlPjwvRW5kTm90ZT4A
</w:fldData>
            </w:fldChar>
          </w:r>
          <w:r>
            <w:instrText xml:space="preserve"> ADDIN EN.CITE </w:instrText>
          </w:r>
          <w:r>
            <w:fldChar w:fldCharType="begin">
              <w:fldData xml:space="preserve">PEVuZE5vdGU+PENpdGU+PEF1dGhvcj5IYXJyaXM8L0F1dGhvcj48WWVhcj4yMDE4PC9ZZWFyPjxS
ZWNOdW0+NjA4PC9SZWNOdW0+PERpc3BsYXlUZXh0PihIYXJyaXMsIE11ZWxrZW4gZXQgYWwuIDIw
MTgpPC9EaXNwbGF5VGV4dD48cmVjb3JkPjxyZWMtbnVtYmVyPjYwODwvcmVjLW51bWJlcj48Zm9y
ZWlnbi1rZXlzPjxrZXkgYXBwPSJFTiIgZGItaWQ9Ijl6MDVkejBwcmFhZGZ1ZWUwem94emVkazl6
ZmU1Znh4NTB6NSIgdGltZXN0YW1wPSIxNTIxNTA2ODY3Ij42MDg8L2tleT48a2V5IGFwcD0iRU5X
ZWIiIGRiLWlkPSIiPjA8L2tleT48L2ZvcmVpZ24ta2V5cz48cmVmLXR5cGUgbmFtZT0iSm91cm5h
bCBBcnRpY2xlIj4xNzwvcmVmLXR5cGU+PGNvbnRyaWJ1dG9ycz48YXV0aG9ycz48YXV0aG9yPkhh
cnJpcywgQS4gQy48L2F1dGhvcj48YXV0aG9yPk11ZWxrZW4sIFAuPC9hdXRob3I+PGF1dGhvcj5T
bWV0aGVsbHMsIEouIFIuPC9hdXRob3I+PGF1dGhvcj5ZZXJzaG92YSwgSy48L2F1dGhvcj48YXV0
aG9yPlN0ZXBhbm92LCBJLjwvYXV0aG9yPjxhdXRob3I+T2xzb24sIFQuIFQuPC9hdXRob3I+PGF1
dGhvcj5LZWxsYXIsIEsuIEouPC9hdXRob3I+PGF1dGhvcj5MZVNhZ2UsIE0uIEcuPC9hdXRob3I+
PC9hdXRob3JzPjwvY29udHJpYnV0b3JzPjxhdXRoLWFkZHJlc3M+RGVwYXJ0bWVudCBvZiBNZWRp
Y2luZSwgTWlubmVhcG9saXMgTWVkaWNhbCBSZXNlYXJjaCBGb3VuZGF0aW9uLCBNaW5uZWFwb2xp
cywgTU4sIFVTQTsgRGVwYXJ0bWVudCBvZiBNZWRpY2luZSwgVW5pdmVyc2l0eSBvZiBNaW5uZXNv
dGEsIE1pbm5lYXBvbGlzLCBNTiwgVVNBOyBEZXBhcnRtZW50IG9mIFBzeWNob2xvZ3ksIFVuaXZl
cnNpdHkgb2YgTWlubmVzb3RhLCBNaW5uZWFwb2xpcywgTU4sIFVTQS4gRWxlY3Ryb25pYyBhZGRy
ZXNzOiBoYXJyMDU0N0B1bW4uZWR1LiYjeEQ7RGVwYXJ0bWVudCBvZiBNZWRpY2luZSwgTWlubmVh
cG9saXMgTWVkaWNhbCBSZXNlYXJjaCBGb3VuZGF0aW9uLCBNaW5uZWFwb2xpcywgTU4sIFVTQS4m
I3hEO0RlcGFydG1lbnQgb2YgTWVkaWNpbmUsIE1pbm5lYXBvbGlzIE1lZGljYWwgUmVzZWFyY2gg
Rm91bmRhdGlvbiwgTWlubmVhcG9saXMsIE1OLCBVU0E7IERlcGFydG1lbnQgb2YgUHN5Y2hpYXRy
eSwgVW5pdmVyc2l0eSBvZiBNaW5uZXNvdGEsIE1pbm5lYXBvbGlzLCBNTiwgVVNBLiYjeEQ7TWFz
b25pYyBDYW5jZXIgQ2VudGVyLCBVbml2ZXJzaXR5IG9mIE1pbm5lc290YSwgTWlubmVhcG9saXMs
IE1OLCBVU0EuJiN4RDtEZXBhcnRtZW50IG9mIFBoYXJtYWNvbG9neSBhbmQgUGh5c2lvbG9neSwg
R2VvcmdldG93biBVbml2ZXJzaXR5IFNjaG9vbCBvZiBNZWRpY2luZSwgV2FzaGluZ3RvbiwgREMs
IFVTQS4mI3hEO0RlcGFydG1lbnQgb2YgTWVkaWNpbmUsIE1pbm5lYXBvbGlzIE1lZGljYWwgUmVz
ZWFyY2ggRm91bmRhdGlvbiwgTWlubmVhcG9saXMsIE1OLCBVU0E7IERlcGFydG1lbnQgb2YgTWVk
aWNpbmUsIFVuaXZlcnNpdHkgb2YgTWlubmVzb3RhLCBNaW5uZWFwb2xpcywgTU4sIFVTQTsgRGVw
YXJ0bWVudCBvZiBQc3ljaG9sb2d5LCBVbml2ZXJzaXR5IG9mIE1pbm5lc290YSwgTWlubmVhcG9s
aXMsIE1OLCBVU0EuPC9hdXRoLWFkZHJlc3M+PHRpdGxlcz48dGl0bGU+RWZmZWN0cyBvZiBuaWNv
dGluZS1jb250YWluaW5nIGFuZCAmcXVvdDtuaWNvdGluZS1mcmVlJnF1b3Q7IGUtY2lnYXJldHRl
IHJlZmlsbCBsaXF1aWRzIG9uIGludHJhY3JhbmlhbCBzZWxmLXN0aW11bGF0aW9uIGluIHJhdHM8
L3RpdGxlPjxzZWNvbmRhcnktdGl0bGU+RHJ1ZyBBbGNvaG9sIERlcGVuZDwvc2Vjb25kYXJ5LXRp
dGxlPjxhbHQtdGl0bGU+RHJ1ZyBhbmQgYWxjb2hvbCBkZXBlbmRlbmNlPC9hbHQtdGl0bGU+PC90
aXRsZXM+PGFsdC1wZXJpb2RpY2FsPjxmdWxsLXRpdGxlPkRydWcgYW5kIEFsY29ob2wgRGVwZW5k
ZW5jZTwvZnVsbC10aXRsZT48L2FsdC1wZXJpb2RpY2FsPjxwYWdlcz4xLTk8L3BhZ2VzPjx2b2x1
bWU+MTg1PC92b2x1bWU+PGVkaXRpb24+MjAxOC8wMi8wODwvZWRpdGlvbj48a2V5d29yZHM+PGtl
eXdvcmQ+RWxlY3Ryb25pYyBjaWdhcmV0dGVzPC9rZXl3b3JkPjxrZXl3b3JkPkludHJhY3Jhbmlh
bCBzZWxmLXN0aW11bGF0aW9uPC9rZXl3b3JkPjxrZXl3b3JkPk5pY290aW5lPC9rZXl3b3JkPjxr
ZXl3b3JkPk5vbi1uaWNvdGluZSB0b2JhY2NvIGNvbnN0aXR1ZW50czwva2V5d29yZD48a2V5d29y
ZD5Ub2JhY2NvIGNvbnRyb2wgcG9saWN5PC9rZXl3b3JkPjwva2V5d29yZHM+PGRhdGVzPjx5ZWFy
PjIwMTg8L3llYXI+PHB1Yi1kYXRlcz48ZGF0ZT5GZWIgMTwvZGF0ZT48L3B1Yi1kYXRlcz48L2Rh
dGVzPjxpc2JuPjAzNzYtODcxNjwvaXNibj48YWNjZXNzaW9uLW51bT4yOTQxMzQzMjwvYWNjZXNz
aW9uLW51bT48dXJscz48cmVsYXRlZC11cmxzPjx1cmw+aHR0cDovL3d3dy5kcnVnYW5kYWxjb2hv
bGRlcGVuZGVuY2UuY29tL2FydGljbGUvUzAzNzYtODcxNigxOCkzMDAyOC0wL3BkZjwvdXJsPjwv
cmVsYXRlZC11cmxzPjwvdXJscz48ZWxlY3Ryb25pYy1yZXNvdXJjZS1udW0+MTAuMTAxNi9qLmRy
dWdhbGNkZXAuMjAxNy4xMS4wMzI8L2VsZWN0cm9uaWMtcmVzb3VyY2UtbnVtPjxyZW1vdGUtZGF0
YWJhc2UtcHJvdmlkZXI+TkxNPC9yZW1vdGUtZGF0YWJhc2UtcHJvdmlkZXI+PGxhbmd1YWdlPmVu
ZzwvbGFuZ3VhZ2U+PC9yZWNvcmQ+PC9DaXRlPjwvRW5kTm90ZT4A
</w:fldData>
            </w:fldChar>
          </w:r>
          <w:r>
            <w:instrText xml:space="preserve"> ADDIN EN.CITE.DATA </w:instrText>
          </w:r>
          <w:r>
            <w:fldChar w:fldCharType="end"/>
          </w:r>
          <w:r>
            <w:fldChar w:fldCharType="separate"/>
          </w:r>
          <w:r>
            <w:rPr>
              <w:noProof/>
            </w:rPr>
            <w:t>(Harris, Muelken et al. 2018)</w:t>
          </w:r>
          <w:r>
            <w:fldChar w:fldCharType="end"/>
          </w:r>
          <w:r>
            <w:t xml:space="preserve">. When intracranial self-stimulation of rats was tested researchers found that rats given IV e-cigarette liquid had the same levels of intracranial self-stimulation as those exposed to pure nicotine </w:t>
          </w:r>
          <w:r>
            <w:fldChar w:fldCharType="begin">
              <w:fldData xml:space="preserve">PEVuZE5vdGU+PENpdGU+PEF1dGhvcj5IYXJyaXM8L0F1dGhvcj48WWVhcj4yMDE4PC9ZZWFyPjxS
ZWNOdW0+NjA4PC9SZWNOdW0+PERpc3BsYXlUZXh0PihIYXJyaXMsIE11ZWxrZW4gZXQgYWwuIDIw
MTgpPC9EaXNwbGF5VGV4dD48cmVjb3JkPjxyZWMtbnVtYmVyPjYwODwvcmVjLW51bWJlcj48Zm9y
ZWlnbi1rZXlzPjxrZXkgYXBwPSJFTiIgZGItaWQ9Ijl6MDVkejBwcmFhZGZ1ZWUwem94emVkazl6
ZmU1Znh4NTB6NSIgdGltZXN0YW1wPSIxNTIxNTA2ODY3Ij42MDg8L2tleT48a2V5IGFwcD0iRU5X
ZWIiIGRiLWlkPSIiPjA8L2tleT48L2ZvcmVpZ24ta2V5cz48cmVmLXR5cGUgbmFtZT0iSm91cm5h
bCBBcnRpY2xlIj4xNzwvcmVmLXR5cGU+PGNvbnRyaWJ1dG9ycz48YXV0aG9ycz48YXV0aG9yPkhh
cnJpcywgQS4gQy48L2F1dGhvcj48YXV0aG9yPk11ZWxrZW4sIFAuPC9hdXRob3I+PGF1dGhvcj5T
bWV0aGVsbHMsIEouIFIuPC9hdXRob3I+PGF1dGhvcj5ZZXJzaG92YSwgSy48L2F1dGhvcj48YXV0
aG9yPlN0ZXBhbm92LCBJLjwvYXV0aG9yPjxhdXRob3I+T2xzb24sIFQuIFQuPC9hdXRob3I+PGF1
dGhvcj5LZWxsYXIsIEsuIEouPC9hdXRob3I+PGF1dGhvcj5MZVNhZ2UsIE0uIEcuPC9hdXRob3I+
PC9hdXRob3JzPjwvY29udHJpYnV0b3JzPjxhdXRoLWFkZHJlc3M+RGVwYXJ0bWVudCBvZiBNZWRp
Y2luZSwgTWlubmVhcG9saXMgTWVkaWNhbCBSZXNlYXJjaCBGb3VuZGF0aW9uLCBNaW5uZWFwb2xp
cywgTU4sIFVTQTsgRGVwYXJ0bWVudCBvZiBNZWRpY2luZSwgVW5pdmVyc2l0eSBvZiBNaW5uZXNv
dGEsIE1pbm5lYXBvbGlzLCBNTiwgVVNBOyBEZXBhcnRtZW50IG9mIFBzeWNob2xvZ3ksIFVuaXZl
cnNpdHkgb2YgTWlubmVzb3RhLCBNaW5uZWFwb2xpcywgTU4sIFVTQS4gRWxlY3Ryb25pYyBhZGRy
ZXNzOiBoYXJyMDU0N0B1bW4uZWR1LiYjeEQ7RGVwYXJ0bWVudCBvZiBNZWRpY2luZSwgTWlubmVh
cG9saXMgTWVkaWNhbCBSZXNlYXJjaCBGb3VuZGF0aW9uLCBNaW5uZWFwb2xpcywgTU4sIFVTQS4m
I3hEO0RlcGFydG1lbnQgb2YgTWVkaWNpbmUsIE1pbm5lYXBvbGlzIE1lZGljYWwgUmVzZWFyY2gg
Rm91bmRhdGlvbiwgTWlubmVhcG9saXMsIE1OLCBVU0E7IERlcGFydG1lbnQgb2YgUHN5Y2hpYXRy
eSwgVW5pdmVyc2l0eSBvZiBNaW5uZXNvdGEsIE1pbm5lYXBvbGlzLCBNTiwgVVNBLiYjeEQ7TWFz
b25pYyBDYW5jZXIgQ2VudGVyLCBVbml2ZXJzaXR5IG9mIE1pbm5lc290YSwgTWlubmVhcG9saXMs
IE1OLCBVU0EuJiN4RDtEZXBhcnRtZW50IG9mIFBoYXJtYWNvbG9neSBhbmQgUGh5c2lvbG9neSwg
R2VvcmdldG93biBVbml2ZXJzaXR5IFNjaG9vbCBvZiBNZWRpY2luZSwgV2FzaGluZ3RvbiwgREMs
IFVTQS4mI3hEO0RlcGFydG1lbnQgb2YgTWVkaWNpbmUsIE1pbm5lYXBvbGlzIE1lZGljYWwgUmVz
ZWFyY2ggRm91bmRhdGlvbiwgTWlubmVhcG9saXMsIE1OLCBVU0E7IERlcGFydG1lbnQgb2YgTWVk
aWNpbmUsIFVuaXZlcnNpdHkgb2YgTWlubmVzb3RhLCBNaW5uZWFwb2xpcywgTU4sIFVTQTsgRGVw
YXJ0bWVudCBvZiBQc3ljaG9sb2d5LCBVbml2ZXJzaXR5IG9mIE1pbm5lc290YSwgTWlubmVhcG9s
aXMsIE1OLCBVU0EuPC9hdXRoLWFkZHJlc3M+PHRpdGxlcz48dGl0bGU+RWZmZWN0cyBvZiBuaWNv
dGluZS1jb250YWluaW5nIGFuZCAmcXVvdDtuaWNvdGluZS1mcmVlJnF1b3Q7IGUtY2lnYXJldHRl
IHJlZmlsbCBsaXF1aWRzIG9uIGludHJhY3JhbmlhbCBzZWxmLXN0aW11bGF0aW9uIGluIHJhdHM8
L3RpdGxlPjxzZWNvbmRhcnktdGl0bGU+RHJ1ZyBBbGNvaG9sIERlcGVuZDwvc2Vjb25kYXJ5LXRp
dGxlPjxhbHQtdGl0bGU+RHJ1ZyBhbmQgYWxjb2hvbCBkZXBlbmRlbmNlPC9hbHQtdGl0bGU+PC90
aXRsZXM+PGFsdC1wZXJpb2RpY2FsPjxmdWxsLXRpdGxlPkRydWcgYW5kIEFsY29ob2wgRGVwZW5k
ZW5jZTwvZnVsbC10aXRsZT48L2FsdC1wZXJpb2RpY2FsPjxwYWdlcz4xLTk8L3BhZ2VzPjx2b2x1
bWU+MTg1PC92b2x1bWU+PGVkaXRpb24+MjAxOC8wMi8wODwvZWRpdGlvbj48a2V5d29yZHM+PGtl
eXdvcmQ+RWxlY3Ryb25pYyBjaWdhcmV0dGVzPC9rZXl3b3JkPjxrZXl3b3JkPkludHJhY3Jhbmlh
bCBzZWxmLXN0aW11bGF0aW9uPC9rZXl3b3JkPjxrZXl3b3JkPk5pY290aW5lPC9rZXl3b3JkPjxr
ZXl3b3JkPk5vbi1uaWNvdGluZSB0b2JhY2NvIGNvbnN0aXR1ZW50czwva2V5d29yZD48a2V5d29y
ZD5Ub2JhY2NvIGNvbnRyb2wgcG9saWN5PC9rZXl3b3JkPjwva2V5d29yZHM+PGRhdGVzPjx5ZWFy
PjIwMTg8L3llYXI+PHB1Yi1kYXRlcz48ZGF0ZT5GZWIgMTwvZGF0ZT48L3B1Yi1kYXRlcz48L2Rh
dGVzPjxpc2JuPjAzNzYtODcxNjwvaXNibj48YWNjZXNzaW9uLW51bT4yOTQxMzQzMjwvYWNjZXNz
aW9uLW51bT48dXJscz48cmVsYXRlZC11cmxzPjx1cmw+aHR0cDovL3d3dy5kcnVnYW5kYWxjb2hv
bGRlcGVuZGVuY2UuY29tL2FydGljbGUvUzAzNzYtODcxNigxOCkzMDAyOC0wL3BkZjwvdXJsPjwv
cmVsYXRlZC11cmxzPjwvdXJscz48ZWxlY3Ryb25pYy1yZXNvdXJjZS1udW0+MTAuMTAxNi9qLmRy
dWdhbGNkZXAuMjAxNy4xMS4wMzI8L2VsZWN0cm9uaWMtcmVzb3VyY2UtbnVtPjxyZW1vdGUtZGF0
YWJhc2UtcHJvdmlkZXI+TkxNPC9yZW1vdGUtZGF0YWJhc2UtcHJvdmlkZXI+PGxhbmd1YWdlPmVu
ZzwvbGFuZ3VhZ2U+PC9yZWNvcmQ+PC9DaXRlPjwvRW5kTm90ZT4A
</w:fldData>
            </w:fldChar>
          </w:r>
          <w:r>
            <w:instrText xml:space="preserve"> ADDIN EN.CITE </w:instrText>
          </w:r>
          <w:r>
            <w:fldChar w:fldCharType="begin">
              <w:fldData xml:space="preserve">PEVuZE5vdGU+PENpdGU+PEF1dGhvcj5IYXJyaXM8L0F1dGhvcj48WWVhcj4yMDE4PC9ZZWFyPjxS
ZWNOdW0+NjA4PC9SZWNOdW0+PERpc3BsYXlUZXh0PihIYXJyaXMsIE11ZWxrZW4gZXQgYWwuIDIw
MTgpPC9EaXNwbGF5VGV4dD48cmVjb3JkPjxyZWMtbnVtYmVyPjYwODwvcmVjLW51bWJlcj48Zm9y
ZWlnbi1rZXlzPjxrZXkgYXBwPSJFTiIgZGItaWQ9Ijl6MDVkejBwcmFhZGZ1ZWUwem94emVkazl6
ZmU1Znh4NTB6NSIgdGltZXN0YW1wPSIxNTIxNTA2ODY3Ij42MDg8L2tleT48a2V5IGFwcD0iRU5X
ZWIiIGRiLWlkPSIiPjA8L2tleT48L2ZvcmVpZ24ta2V5cz48cmVmLXR5cGUgbmFtZT0iSm91cm5h
bCBBcnRpY2xlIj4xNzwvcmVmLXR5cGU+PGNvbnRyaWJ1dG9ycz48YXV0aG9ycz48YXV0aG9yPkhh
cnJpcywgQS4gQy48L2F1dGhvcj48YXV0aG9yPk11ZWxrZW4sIFAuPC9hdXRob3I+PGF1dGhvcj5T
bWV0aGVsbHMsIEouIFIuPC9hdXRob3I+PGF1dGhvcj5ZZXJzaG92YSwgSy48L2F1dGhvcj48YXV0
aG9yPlN0ZXBhbm92LCBJLjwvYXV0aG9yPjxhdXRob3I+T2xzb24sIFQuIFQuPC9hdXRob3I+PGF1
dGhvcj5LZWxsYXIsIEsuIEouPC9hdXRob3I+PGF1dGhvcj5MZVNhZ2UsIE0uIEcuPC9hdXRob3I+
PC9hdXRob3JzPjwvY29udHJpYnV0b3JzPjxhdXRoLWFkZHJlc3M+RGVwYXJ0bWVudCBvZiBNZWRp
Y2luZSwgTWlubmVhcG9saXMgTWVkaWNhbCBSZXNlYXJjaCBGb3VuZGF0aW9uLCBNaW5uZWFwb2xp
cywgTU4sIFVTQTsgRGVwYXJ0bWVudCBvZiBNZWRpY2luZSwgVW5pdmVyc2l0eSBvZiBNaW5uZXNv
dGEsIE1pbm5lYXBvbGlzLCBNTiwgVVNBOyBEZXBhcnRtZW50IG9mIFBzeWNob2xvZ3ksIFVuaXZl
cnNpdHkgb2YgTWlubmVzb3RhLCBNaW5uZWFwb2xpcywgTU4sIFVTQS4gRWxlY3Ryb25pYyBhZGRy
ZXNzOiBoYXJyMDU0N0B1bW4uZWR1LiYjeEQ7RGVwYXJ0bWVudCBvZiBNZWRpY2luZSwgTWlubmVh
cG9saXMgTWVkaWNhbCBSZXNlYXJjaCBGb3VuZGF0aW9uLCBNaW5uZWFwb2xpcywgTU4sIFVTQS4m
I3hEO0RlcGFydG1lbnQgb2YgTWVkaWNpbmUsIE1pbm5lYXBvbGlzIE1lZGljYWwgUmVzZWFyY2gg
Rm91bmRhdGlvbiwgTWlubmVhcG9saXMsIE1OLCBVU0E7IERlcGFydG1lbnQgb2YgUHN5Y2hpYXRy
eSwgVW5pdmVyc2l0eSBvZiBNaW5uZXNvdGEsIE1pbm5lYXBvbGlzLCBNTiwgVVNBLiYjeEQ7TWFz
b25pYyBDYW5jZXIgQ2VudGVyLCBVbml2ZXJzaXR5IG9mIE1pbm5lc290YSwgTWlubmVhcG9saXMs
IE1OLCBVU0EuJiN4RDtEZXBhcnRtZW50IG9mIFBoYXJtYWNvbG9neSBhbmQgUGh5c2lvbG9neSwg
R2VvcmdldG93biBVbml2ZXJzaXR5IFNjaG9vbCBvZiBNZWRpY2luZSwgV2FzaGluZ3RvbiwgREMs
IFVTQS4mI3hEO0RlcGFydG1lbnQgb2YgTWVkaWNpbmUsIE1pbm5lYXBvbGlzIE1lZGljYWwgUmVz
ZWFyY2ggRm91bmRhdGlvbiwgTWlubmVhcG9saXMsIE1OLCBVU0E7IERlcGFydG1lbnQgb2YgTWVk
aWNpbmUsIFVuaXZlcnNpdHkgb2YgTWlubmVzb3RhLCBNaW5uZWFwb2xpcywgTU4sIFVTQTsgRGVw
YXJ0bWVudCBvZiBQc3ljaG9sb2d5LCBVbml2ZXJzaXR5IG9mIE1pbm5lc290YSwgTWlubmVhcG9s
aXMsIE1OLCBVU0EuPC9hdXRoLWFkZHJlc3M+PHRpdGxlcz48dGl0bGU+RWZmZWN0cyBvZiBuaWNv
dGluZS1jb250YWluaW5nIGFuZCAmcXVvdDtuaWNvdGluZS1mcmVlJnF1b3Q7IGUtY2lnYXJldHRl
IHJlZmlsbCBsaXF1aWRzIG9uIGludHJhY3JhbmlhbCBzZWxmLXN0aW11bGF0aW9uIGluIHJhdHM8
L3RpdGxlPjxzZWNvbmRhcnktdGl0bGU+RHJ1ZyBBbGNvaG9sIERlcGVuZDwvc2Vjb25kYXJ5LXRp
dGxlPjxhbHQtdGl0bGU+RHJ1ZyBhbmQgYWxjb2hvbCBkZXBlbmRlbmNlPC9hbHQtdGl0bGU+PC90
aXRsZXM+PGFsdC1wZXJpb2RpY2FsPjxmdWxsLXRpdGxlPkRydWcgYW5kIEFsY29ob2wgRGVwZW5k
ZW5jZTwvZnVsbC10aXRsZT48L2FsdC1wZXJpb2RpY2FsPjxwYWdlcz4xLTk8L3BhZ2VzPjx2b2x1
bWU+MTg1PC92b2x1bWU+PGVkaXRpb24+MjAxOC8wMi8wODwvZWRpdGlvbj48a2V5d29yZHM+PGtl
eXdvcmQ+RWxlY3Ryb25pYyBjaWdhcmV0dGVzPC9rZXl3b3JkPjxrZXl3b3JkPkludHJhY3Jhbmlh
bCBzZWxmLXN0aW11bGF0aW9uPC9rZXl3b3JkPjxrZXl3b3JkPk5pY290aW5lPC9rZXl3b3JkPjxr
ZXl3b3JkPk5vbi1uaWNvdGluZSB0b2JhY2NvIGNvbnN0aXR1ZW50czwva2V5d29yZD48a2V5d29y
ZD5Ub2JhY2NvIGNvbnRyb2wgcG9saWN5PC9rZXl3b3JkPjwva2V5d29yZHM+PGRhdGVzPjx5ZWFy
PjIwMTg8L3llYXI+PHB1Yi1kYXRlcz48ZGF0ZT5GZWIgMTwvZGF0ZT48L3B1Yi1kYXRlcz48L2Rh
dGVzPjxpc2JuPjAzNzYtODcxNjwvaXNibj48YWNjZXNzaW9uLW51bT4yOTQxMzQzMjwvYWNjZXNz
aW9uLW51bT48dXJscz48cmVsYXRlZC11cmxzPjx1cmw+aHR0cDovL3d3dy5kcnVnYW5kYWxjb2hv
bGRlcGVuZGVuY2UuY29tL2FydGljbGUvUzAzNzYtODcxNigxOCkzMDAyOC0wL3BkZjwvdXJsPjwv
cmVsYXRlZC11cmxzPjwvdXJscz48ZWxlY3Ryb25pYy1yZXNvdXJjZS1udW0+MTAuMTAxNi9qLmRy
dWdhbGNkZXAuMjAxNy4xMS4wMzI8L2VsZWN0cm9uaWMtcmVzb3VyY2UtbnVtPjxyZW1vdGUtZGF0
YWJhc2UtcHJvdmlkZXI+TkxNPC9yZW1vdGUtZGF0YWJhc2UtcHJvdmlkZXI+PGxhbmd1YWdlPmVu
ZzwvbGFuZ3VhZ2U+PC9yZWNvcmQ+PC9DaXRlPjwvRW5kTm90ZT4A
</w:fldData>
            </w:fldChar>
          </w:r>
          <w:r>
            <w:instrText xml:space="preserve"> ADDIN EN.CITE.DATA </w:instrText>
          </w:r>
          <w:r>
            <w:fldChar w:fldCharType="end"/>
          </w:r>
          <w:r>
            <w:fldChar w:fldCharType="separate"/>
          </w:r>
          <w:r>
            <w:rPr>
              <w:noProof/>
            </w:rPr>
            <w:t>(Harris, Muelken et al. 2018)</w:t>
          </w:r>
          <w:r>
            <w:fldChar w:fldCharType="end"/>
          </w:r>
          <w:r>
            <w:t xml:space="preserve">. However, this study has a key limitation of not replicating usual intake of e-cigarettes (i.e. IV injection rather than vapour). It is likely that the activation of the brains reward system results from the nicotine present in e-cigarettes, not the other components of e-cigarette liquids </w:t>
          </w:r>
          <w:r>
            <w:fldChar w:fldCharType="begin">
              <w:fldData xml:space="preserve">PEVuZE5vdGU+PENpdGU+PEF1dGhvcj5IYXJyaXM8L0F1dGhvcj48WWVhcj4yMDE4PC9ZZWFyPjxS
ZWNOdW0+NjA4PC9SZWNOdW0+PERpc3BsYXlUZXh0PihIYXJyaXMsIE11ZWxrZW4gZXQgYWwuIDIw
MTgpPC9EaXNwbGF5VGV4dD48cmVjb3JkPjxyZWMtbnVtYmVyPjYwODwvcmVjLW51bWJlcj48Zm9y
ZWlnbi1rZXlzPjxrZXkgYXBwPSJFTiIgZGItaWQ9Ijl6MDVkejBwcmFhZGZ1ZWUwem94emVkazl6
ZmU1Znh4NTB6NSIgdGltZXN0YW1wPSIxNTIxNTA2ODY3Ij42MDg8L2tleT48a2V5IGFwcD0iRU5X
ZWIiIGRiLWlkPSIiPjA8L2tleT48L2ZvcmVpZ24ta2V5cz48cmVmLXR5cGUgbmFtZT0iSm91cm5h
bCBBcnRpY2xlIj4xNzwvcmVmLXR5cGU+PGNvbnRyaWJ1dG9ycz48YXV0aG9ycz48YXV0aG9yPkhh
cnJpcywgQS4gQy48L2F1dGhvcj48YXV0aG9yPk11ZWxrZW4sIFAuPC9hdXRob3I+PGF1dGhvcj5T
bWV0aGVsbHMsIEouIFIuPC9hdXRob3I+PGF1dGhvcj5ZZXJzaG92YSwgSy48L2F1dGhvcj48YXV0
aG9yPlN0ZXBhbm92LCBJLjwvYXV0aG9yPjxhdXRob3I+T2xzb24sIFQuIFQuPC9hdXRob3I+PGF1
dGhvcj5LZWxsYXIsIEsuIEouPC9hdXRob3I+PGF1dGhvcj5MZVNhZ2UsIE0uIEcuPC9hdXRob3I+
PC9hdXRob3JzPjwvY29udHJpYnV0b3JzPjxhdXRoLWFkZHJlc3M+RGVwYXJ0bWVudCBvZiBNZWRp
Y2luZSwgTWlubmVhcG9saXMgTWVkaWNhbCBSZXNlYXJjaCBGb3VuZGF0aW9uLCBNaW5uZWFwb2xp
cywgTU4sIFVTQTsgRGVwYXJ0bWVudCBvZiBNZWRpY2luZSwgVW5pdmVyc2l0eSBvZiBNaW5uZXNv
dGEsIE1pbm5lYXBvbGlzLCBNTiwgVVNBOyBEZXBhcnRtZW50IG9mIFBzeWNob2xvZ3ksIFVuaXZl
cnNpdHkgb2YgTWlubmVzb3RhLCBNaW5uZWFwb2xpcywgTU4sIFVTQS4gRWxlY3Ryb25pYyBhZGRy
ZXNzOiBoYXJyMDU0N0B1bW4uZWR1LiYjeEQ7RGVwYXJ0bWVudCBvZiBNZWRpY2luZSwgTWlubmVh
cG9saXMgTWVkaWNhbCBSZXNlYXJjaCBGb3VuZGF0aW9uLCBNaW5uZWFwb2xpcywgTU4sIFVTQS4m
I3hEO0RlcGFydG1lbnQgb2YgTWVkaWNpbmUsIE1pbm5lYXBvbGlzIE1lZGljYWwgUmVzZWFyY2gg
Rm91bmRhdGlvbiwgTWlubmVhcG9saXMsIE1OLCBVU0E7IERlcGFydG1lbnQgb2YgUHN5Y2hpYXRy
eSwgVW5pdmVyc2l0eSBvZiBNaW5uZXNvdGEsIE1pbm5lYXBvbGlzLCBNTiwgVVNBLiYjeEQ7TWFz
b25pYyBDYW5jZXIgQ2VudGVyLCBVbml2ZXJzaXR5IG9mIE1pbm5lc290YSwgTWlubmVhcG9saXMs
IE1OLCBVU0EuJiN4RDtEZXBhcnRtZW50IG9mIFBoYXJtYWNvbG9neSBhbmQgUGh5c2lvbG9neSwg
R2VvcmdldG93biBVbml2ZXJzaXR5IFNjaG9vbCBvZiBNZWRpY2luZSwgV2FzaGluZ3RvbiwgREMs
IFVTQS4mI3hEO0RlcGFydG1lbnQgb2YgTWVkaWNpbmUsIE1pbm5lYXBvbGlzIE1lZGljYWwgUmVz
ZWFyY2ggRm91bmRhdGlvbiwgTWlubmVhcG9saXMsIE1OLCBVU0E7IERlcGFydG1lbnQgb2YgTWVk
aWNpbmUsIFVuaXZlcnNpdHkgb2YgTWlubmVzb3RhLCBNaW5uZWFwb2xpcywgTU4sIFVTQTsgRGVw
YXJ0bWVudCBvZiBQc3ljaG9sb2d5LCBVbml2ZXJzaXR5IG9mIE1pbm5lc290YSwgTWlubmVhcG9s
aXMsIE1OLCBVU0EuPC9hdXRoLWFkZHJlc3M+PHRpdGxlcz48dGl0bGU+RWZmZWN0cyBvZiBuaWNv
dGluZS1jb250YWluaW5nIGFuZCAmcXVvdDtuaWNvdGluZS1mcmVlJnF1b3Q7IGUtY2lnYXJldHRl
IHJlZmlsbCBsaXF1aWRzIG9uIGludHJhY3JhbmlhbCBzZWxmLXN0aW11bGF0aW9uIGluIHJhdHM8
L3RpdGxlPjxzZWNvbmRhcnktdGl0bGU+RHJ1ZyBBbGNvaG9sIERlcGVuZDwvc2Vjb25kYXJ5LXRp
dGxlPjxhbHQtdGl0bGU+RHJ1ZyBhbmQgYWxjb2hvbCBkZXBlbmRlbmNlPC9hbHQtdGl0bGU+PC90
aXRsZXM+PGFsdC1wZXJpb2RpY2FsPjxmdWxsLXRpdGxlPkRydWcgYW5kIEFsY29ob2wgRGVwZW5k
ZW5jZTwvZnVsbC10aXRsZT48L2FsdC1wZXJpb2RpY2FsPjxwYWdlcz4xLTk8L3BhZ2VzPjx2b2x1
bWU+MTg1PC92b2x1bWU+PGVkaXRpb24+MjAxOC8wMi8wODwvZWRpdGlvbj48a2V5d29yZHM+PGtl
eXdvcmQ+RWxlY3Ryb25pYyBjaWdhcmV0dGVzPC9rZXl3b3JkPjxrZXl3b3JkPkludHJhY3Jhbmlh
bCBzZWxmLXN0aW11bGF0aW9uPC9rZXl3b3JkPjxrZXl3b3JkPk5pY290aW5lPC9rZXl3b3JkPjxr
ZXl3b3JkPk5vbi1uaWNvdGluZSB0b2JhY2NvIGNvbnN0aXR1ZW50czwva2V5d29yZD48a2V5d29y
ZD5Ub2JhY2NvIGNvbnRyb2wgcG9saWN5PC9rZXl3b3JkPjwva2V5d29yZHM+PGRhdGVzPjx5ZWFy
PjIwMTg8L3llYXI+PHB1Yi1kYXRlcz48ZGF0ZT5GZWIgMTwvZGF0ZT48L3B1Yi1kYXRlcz48L2Rh
dGVzPjxpc2JuPjAzNzYtODcxNjwvaXNibj48YWNjZXNzaW9uLW51bT4yOTQxMzQzMjwvYWNjZXNz
aW9uLW51bT48dXJscz48cmVsYXRlZC11cmxzPjx1cmw+aHR0cDovL3d3dy5kcnVnYW5kYWxjb2hv
bGRlcGVuZGVuY2UuY29tL2FydGljbGUvUzAzNzYtODcxNigxOCkzMDAyOC0wL3BkZjwvdXJsPjwv
cmVsYXRlZC11cmxzPjwvdXJscz48ZWxlY3Ryb25pYy1yZXNvdXJjZS1udW0+MTAuMTAxNi9qLmRy
dWdhbGNkZXAuMjAxNy4xMS4wMzI8L2VsZWN0cm9uaWMtcmVzb3VyY2UtbnVtPjxyZW1vdGUtZGF0
YWJhc2UtcHJvdmlkZXI+TkxNPC9yZW1vdGUtZGF0YWJhc2UtcHJvdmlkZXI+PGxhbmd1YWdlPmVu
ZzwvbGFuZ3VhZ2U+PC9yZWNvcmQ+PC9DaXRlPjwvRW5kTm90ZT4A
</w:fldData>
            </w:fldChar>
          </w:r>
          <w:r>
            <w:instrText xml:space="preserve"> ADDIN EN.CITE </w:instrText>
          </w:r>
          <w:r>
            <w:fldChar w:fldCharType="begin">
              <w:fldData xml:space="preserve">PEVuZE5vdGU+PENpdGU+PEF1dGhvcj5IYXJyaXM8L0F1dGhvcj48WWVhcj4yMDE4PC9ZZWFyPjxS
ZWNOdW0+NjA4PC9SZWNOdW0+PERpc3BsYXlUZXh0PihIYXJyaXMsIE11ZWxrZW4gZXQgYWwuIDIw
MTgpPC9EaXNwbGF5VGV4dD48cmVjb3JkPjxyZWMtbnVtYmVyPjYwODwvcmVjLW51bWJlcj48Zm9y
ZWlnbi1rZXlzPjxrZXkgYXBwPSJFTiIgZGItaWQ9Ijl6MDVkejBwcmFhZGZ1ZWUwem94emVkazl6
ZmU1Znh4NTB6NSIgdGltZXN0YW1wPSIxNTIxNTA2ODY3Ij42MDg8L2tleT48a2V5IGFwcD0iRU5X
ZWIiIGRiLWlkPSIiPjA8L2tleT48L2ZvcmVpZ24ta2V5cz48cmVmLXR5cGUgbmFtZT0iSm91cm5h
bCBBcnRpY2xlIj4xNzwvcmVmLXR5cGU+PGNvbnRyaWJ1dG9ycz48YXV0aG9ycz48YXV0aG9yPkhh
cnJpcywgQS4gQy48L2F1dGhvcj48YXV0aG9yPk11ZWxrZW4sIFAuPC9hdXRob3I+PGF1dGhvcj5T
bWV0aGVsbHMsIEouIFIuPC9hdXRob3I+PGF1dGhvcj5ZZXJzaG92YSwgSy48L2F1dGhvcj48YXV0
aG9yPlN0ZXBhbm92LCBJLjwvYXV0aG9yPjxhdXRob3I+T2xzb24sIFQuIFQuPC9hdXRob3I+PGF1
dGhvcj5LZWxsYXIsIEsuIEouPC9hdXRob3I+PGF1dGhvcj5MZVNhZ2UsIE0uIEcuPC9hdXRob3I+
PC9hdXRob3JzPjwvY29udHJpYnV0b3JzPjxhdXRoLWFkZHJlc3M+RGVwYXJ0bWVudCBvZiBNZWRp
Y2luZSwgTWlubmVhcG9saXMgTWVkaWNhbCBSZXNlYXJjaCBGb3VuZGF0aW9uLCBNaW5uZWFwb2xp
cywgTU4sIFVTQTsgRGVwYXJ0bWVudCBvZiBNZWRpY2luZSwgVW5pdmVyc2l0eSBvZiBNaW5uZXNv
dGEsIE1pbm5lYXBvbGlzLCBNTiwgVVNBOyBEZXBhcnRtZW50IG9mIFBzeWNob2xvZ3ksIFVuaXZl
cnNpdHkgb2YgTWlubmVzb3RhLCBNaW5uZWFwb2xpcywgTU4sIFVTQS4gRWxlY3Ryb25pYyBhZGRy
ZXNzOiBoYXJyMDU0N0B1bW4uZWR1LiYjeEQ7RGVwYXJ0bWVudCBvZiBNZWRpY2luZSwgTWlubmVh
cG9saXMgTWVkaWNhbCBSZXNlYXJjaCBGb3VuZGF0aW9uLCBNaW5uZWFwb2xpcywgTU4sIFVTQS4m
I3hEO0RlcGFydG1lbnQgb2YgTWVkaWNpbmUsIE1pbm5lYXBvbGlzIE1lZGljYWwgUmVzZWFyY2gg
Rm91bmRhdGlvbiwgTWlubmVhcG9saXMsIE1OLCBVU0E7IERlcGFydG1lbnQgb2YgUHN5Y2hpYXRy
eSwgVW5pdmVyc2l0eSBvZiBNaW5uZXNvdGEsIE1pbm5lYXBvbGlzLCBNTiwgVVNBLiYjeEQ7TWFz
b25pYyBDYW5jZXIgQ2VudGVyLCBVbml2ZXJzaXR5IG9mIE1pbm5lc290YSwgTWlubmVhcG9saXMs
IE1OLCBVU0EuJiN4RDtEZXBhcnRtZW50IG9mIFBoYXJtYWNvbG9neSBhbmQgUGh5c2lvbG9neSwg
R2VvcmdldG93biBVbml2ZXJzaXR5IFNjaG9vbCBvZiBNZWRpY2luZSwgV2FzaGluZ3RvbiwgREMs
IFVTQS4mI3hEO0RlcGFydG1lbnQgb2YgTWVkaWNpbmUsIE1pbm5lYXBvbGlzIE1lZGljYWwgUmVz
ZWFyY2ggRm91bmRhdGlvbiwgTWlubmVhcG9saXMsIE1OLCBVU0E7IERlcGFydG1lbnQgb2YgTWVk
aWNpbmUsIFVuaXZlcnNpdHkgb2YgTWlubmVzb3RhLCBNaW5uZWFwb2xpcywgTU4sIFVTQTsgRGVw
YXJ0bWVudCBvZiBQc3ljaG9sb2d5LCBVbml2ZXJzaXR5IG9mIE1pbm5lc290YSwgTWlubmVhcG9s
aXMsIE1OLCBVU0EuPC9hdXRoLWFkZHJlc3M+PHRpdGxlcz48dGl0bGU+RWZmZWN0cyBvZiBuaWNv
dGluZS1jb250YWluaW5nIGFuZCAmcXVvdDtuaWNvdGluZS1mcmVlJnF1b3Q7IGUtY2lnYXJldHRl
IHJlZmlsbCBsaXF1aWRzIG9uIGludHJhY3JhbmlhbCBzZWxmLXN0aW11bGF0aW9uIGluIHJhdHM8
L3RpdGxlPjxzZWNvbmRhcnktdGl0bGU+RHJ1ZyBBbGNvaG9sIERlcGVuZDwvc2Vjb25kYXJ5LXRp
dGxlPjxhbHQtdGl0bGU+RHJ1ZyBhbmQgYWxjb2hvbCBkZXBlbmRlbmNlPC9hbHQtdGl0bGU+PC90
aXRsZXM+PGFsdC1wZXJpb2RpY2FsPjxmdWxsLXRpdGxlPkRydWcgYW5kIEFsY29ob2wgRGVwZW5k
ZW5jZTwvZnVsbC10aXRsZT48L2FsdC1wZXJpb2RpY2FsPjxwYWdlcz4xLTk8L3BhZ2VzPjx2b2x1
bWU+MTg1PC92b2x1bWU+PGVkaXRpb24+MjAxOC8wMi8wODwvZWRpdGlvbj48a2V5d29yZHM+PGtl
eXdvcmQ+RWxlY3Ryb25pYyBjaWdhcmV0dGVzPC9rZXl3b3JkPjxrZXl3b3JkPkludHJhY3Jhbmlh
bCBzZWxmLXN0aW11bGF0aW9uPC9rZXl3b3JkPjxrZXl3b3JkPk5pY290aW5lPC9rZXl3b3JkPjxr
ZXl3b3JkPk5vbi1uaWNvdGluZSB0b2JhY2NvIGNvbnN0aXR1ZW50czwva2V5d29yZD48a2V5d29y
ZD5Ub2JhY2NvIGNvbnRyb2wgcG9saWN5PC9rZXl3b3JkPjwva2V5d29yZHM+PGRhdGVzPjx5ZWFy
PjIwMTg8L3llYXI+PHB1Yi1kYXRlcz48ZGF0ZT5GZWIgMTwvZGF0ZT48L3B1Yi1kYXRlcz48L2Rh
dGVzPjxpc2JuPjAzNzYtODcxNjwvaXNibj48YWNjZXNzaW9uLW51bT4yOTQxMzQzMjwvYWNjZXNz
aW9uLW51bT48dXJscz48cmVsYXRlZC11cmxzPjx1cmw+aHR0cDovL3d3dy5kcnVnYW5kYWxjb2hv
bGRlcGVuZGVuY2UuY29tL2FydGljbGUvUzAzNzYtODcxNigxOCkzMDAyOC0wL3BkZjwvdXJsPjwv
cmVsYXRlZC11cmxzPjwvdXJscz48ZWxlY3Ryb25pYy1yZXNvdXJjZS1udW0+MTAuMTAxNi9qLmRy
dWdhbGNkZXAuMjAxNy4xMS4wMzI8L2VsZWN0cm9uaWMtcmVzb3VyY2UtbnVtPjxyZW1vdGUtZGF0
YWJhc2UtcHJvdmlkZXI+TkxNPC9yZW1vdGUtZGF0YWJhc2UtcHJvdmlkZXI+PGxhbmd1YWdlPmVu
ZzwvbGFuZ3VhZ2U+PC9yZWNvcmQ+PC9DaXRlPjwvRW5kTm90ZT4A
</w:fldData>
            </w:fldChar>
          </w:r>
          <w:r>
            <w:instrText xml:space="preserve"> ADDIN EN.CITE.DATA </w:instrText>
          </w:r>
          <w:r>
            <w:fldChar w:fldCharType="end"/>
          </w:r>
          <w:r>
            <w:fldChar w:fldCharType="separate"/>
          </w:r>
          <w:r>
            <w:rPr>
              <w:noProof/>
            </w:rPr>
            <w:t>(Harris, Muelken et al. 2018)</w:t>
          </w:r>
          <w:r>
            <w:fldChar w:fldCharType="end"/>
          </w:r>
          <w:r>
            <w:t xml:space="preserve">. </w:t>
          </w:r>
        </w:p>
        <w:p w14:paraId="0CA1CF6D" w14:textId="77777777" w:rsidR="00EA2246" w:rsidRPr="00EA2246" w:rsidRDefault="00EA2246" w:rsidP="00EA2246">
          <w:pPr>
            <w:pStyle w:val="BodyText"/>
          </w:pPr>
        </w:p>
        <w:p w14:paraId="369F52C7" w14:textId="77777777" w:rsidR="000F0E2F" w:rsidRDefault="000F0E2F" w:rsidP="000F0E2F">
          <w:pPr>
            <w:pStyle w:val="Heading2"/>
          </w:pPr>
          <w:bookmarkStart w:id="55" w:name="_Toc513214364"/>
          <w:bookmarkStart w:id="56" w:name="_Toc517706651"/>
          <w:r w:rsidRPr="007F657B">
            <w:t>Effects during pregnancy</w:t>
          </w:r>
          <w:bookmarkEnd w:id="55"/>
          <w:bookmarkEnd w:id="56"/>
        </w:p>
        <w:p w14:paraId="19376F64" w14:textId="77777777" w:rsidR="00EA2246" w:rsidRDefault="00EA2246" w:rsidP="00EA2246">
          <w:pPr>
            <w:pStyle w:val="BodyText"/>
          </w:pPr>
          <w:r>
            <w:t xml:space="preserve">Two studies investigated the effects of e-cigarette vapour and components during the perinatal period, both studies used doses equivalent to human use </w:t>
          </w:r>
          <w:r>
            <w:fldChar w:fldCharType="begin">
              <w:fldData xml:space="preserve">PEVuZE5vdGU+PENpdGU+PEF1dGhvcj5DaGVuPC9BdXRob3I+PFllYXI+MjAxODwvWWVhcj48UmVj
TnVtPjg4ODwvUmVjTnVtPjxEaXNwbGF5VGV4dD4oS2VubmVkeSwgS2FuZGFsYW0gZXQgYWwuIDIw
MTcsIENoZW4sIExpIGV0IGFsLiAyMDE4KTwvRGlzcGxheVRleHQ+PHJlY29yZD48cmVjLW51bWJl
cj44ODg8L3JlYy1udW1iZXI+PGZvcmVpZ24ta2V5cz48a2V5IGFwcD0iRU4iIGRiLWlkPSI5ejA1
ZHowcHJhYWRmdWVlMHpveHplZGs5emZlNWZ4eDUwejUiIHRpbWVzdGFtcD0iMTUyMTUwNjk1MCI+
ODg4PC9rZXk+PGtleSBhcHA9IkVOV2ViIiBkYi1pZD0iIj4wPC9rZXk+PC9mb3JlaWduLWtleXM+
PHJlZi10eXBlIG5hbWU9IkpvdXJuYWwgQXJ0aWNsZSI+MTc8L3JlZi10eXBlPjxjb250cmlidXRv
cnM+PGF1dGhvcnM+PGF1dGhvcj5DaGVuLCBILjwvYXV0aG9yPjxhdXRob3I+TGksIEcuPC9hdXRo
b3I+PGF1dGhvcj5DaGFuLCBZLiBMLjwvYXV0aG9yPjxhdXRob3I+Q2hhcG1hbiwgRC4gRy48L2F1
dGhvcj48YXV0aG9yPlN1a2phbW5vbmcsIFMuPC9hdXRob3I+PGF1dGhvcj5OZ3V5ZW4sIFQuPC9h
dXRob3I+PGF1dGhvcj5Bbm5pc3NhLCBULjwvYXV0aG9yPjxhdXRob3I+TWNHcmF0aCwgSy4gQy48
L2F1dGhvcj48YXV0aG9yPlNoYXJtYSwgUC48L2F1dGhvcj48YXV0aG9yPk9saXZlciwgQi4gRy48
L2F1dGhvcj48L2F1dGhvcnM+PC9jb250cmlidXRvcnM+PGF1dGgtYWRkcmVzcz4xIENlbnRyZSBm
b3IgSGVhbHRoIFRlY2hub2xvZ2llcyBhbmQgU2Nob29sIG9mIExpZmUgU2NpZW5jZXMsIFVuaXZl
cnNpdHkgb2YgVGVjaG5vbG9neSBTeWRuZXksIFN5ZG5leSwgTmV3IFNvdXRoIFdhbGVzLCBBdXN0
cmFsaWEuJiN4RDsyIEZhY3VsdHkgb2YgQmFzaWMgTWVkaWNhbCBTY2llbmNlcywgQ2hlbmdkdSBV
bml2ZXJzaXR5IG9mIFRyYWRpdGlvbmFsIENoaW5lc2UgTWVkaWNpbmUsIENoZW5nZHUsIFNpY2h1
YW4sIENoaW5hOyBhbmQuJiN4RDszIFJlc3BpcmF0b3J5IENlbGx1bGFyIGFuZCBNb2xlY3VsYXIg
QmlvbG9neSwgV29vbGNvY2sgSW5zdGl0dXRlIG9mIE1lZGljYWwgUmVzZWFyY2gsIFVuaXZlcnNp
dHkgb2YgU3lkbmV5LCBTeWRuZXksIE5ldyBTb3V0aCBXYWxlcywgQXVzdHJhbGlhLjwvYXV0aC1h
ZGRyZXNzPjx0aXRsZXM+PHRpdGxlPk1hdGVybmFsIEUtQ2lnYXJldHRlIEV4cG9zdXJlIGluIE1p
Y2UgQWx0ZXJzIEROQSBNZXRoeWxhdGlvbiBhbmQgTHVuZyBDeXRva2luZSBFeHByZXNzaW9uIGlu
IE9mZnNwcmluZzwvdGl0bGU+PHNlY29uZGFyeS10aXRsZT5BbSBKIFJlc3BpciBDZWxsIE1vbCBC
aW9sPC9zZWNvbmRhcnktdGl0bGU+PGFsdC10aXRsZT5BbWVyaWNhbiBqb3VybmFsIG9mIHJlc3Bp
cmF0b3J5IGNlbGwgYW5kIG1vbGVjdWxhciBiaW9sb2d5PC9hbHQtdGl0bGU+PC90aXRsZXM+PHBl
cmlvZGljYWw+PGZ1bGwtdGl0bGU+QW0gSiBSZXNwaXIgQ2VsbCBNb2wgQmlvbDwvZnVsbC10aXRs
ZT48YWJici0xPkFtZXJpY2FuIGpvdXJuYWwgb2YgcmVzcGlyYXRvcnkgY2VsbCBhbmQgbW9sZWN1
bGFyIGJpb2xvZ3k8L2FiYnItMT48L3BlcmlvZGljYWw+PGFsdC1wZXJpb2RpY2FsPjxmdWxsLXRp
dGxlPkFtIEogUmVzcGlyIENlbGwgTW9sIEJpb2w8L2Z1bGwtdGl0bGU+PGFiYnItMT5BbWVyaWNh
biBqb3VybmFsIG9mIHJlc3BpcmF0b3J5IGNlbGwgYW5kIG1vbGVjdWxhciBiaW9sb2d5PC9hYmJy
LTE+PC9hbHQtcGVyaW9kaWNhbD48cGFnZXM+MzY2LTM3NzwvcGFnZXM+PHZvbHVtZT41ODwvdm9s
dW1lPjxudW1iZXI+MzwvbnVtYmVyPjxlZGl0aW9uPjIwMTcvMDkvMzA8L2VkaXRpb24+PGtleXdv
cmRzPjxrZXl3b3JkPmUtY2lnYXJldHRlPC9rZXl3b3JkPjxrZXl3b3JkPmUtZmx1aWQ8L2tleXdv
cmQ+PGtleXdvcmQ+aW5mbGFtbWF0b3J5IGN5dG9raW5lPC9rZXl3b3JkPjxrZXl3b3JkPm1hdGVy
bmFsIHByb2dyYW1taW5nPC9rZXl3b3JkPjwva2V5d29yZHM+PGRhdGVzPjx5ZWFyPjIwMTg8L3ll
YXI+PHB1Yi1kYXRlcz48ZGF0ZT5NYXI8L2RhdGU+PC9wdWItZGF0ZXM+PC9kYXRlcz48aXNibj4x
MDQ0LTE1NDk8L2lzYm4+PGFjY2Vzc2lvbi1udW0+Mjg5NjAwODY8L2FjY2Vzc2lvbi1udW0+PHVy
bHM+PC91cmxzPjxlbGVjdHJvbmljLXJlc291cmNlLW51bT4xMC4xMTY1L3JjbWIuMjAxNy0wMjA2
UkM8L2VsZWN0cm9uaWMtcmVzb3VyY2UtbnVtPjxyZW1vdGUtZGF0YWJhc2UtcHJvdmlkZXI+TkxN
PC9yZW1vdGUtZGF0YWJhc2UtcHJvdmlkZXI+PGxhbmd1YWdlPmVuZzwvbGFuZ3VhZ2U+PC9yZWNv
cmQ+PC9DaXRlPjxDaXRlPjxBdXRob3I+S2VubmVkeTwvQXV0aG9yPjxZZWFyPjIwMTc8L1llYXI+
PFJlY051bT44OTA8L1JlY051bT48cmVjb3JkPjxyZWMtbnVtYmVyPjg5MDwvcmVjLW51bWJlcj48
Zm9yZWlnbi1rZXlzPjxrZXkgYXBwPSJFTiIgZGItaWQ9Ijl6MDVkejBwcmFhZGZ1ZWUwem94emVk
azl6ZmU1Znh4NTB6NSIgdGltZXN0YW1wPSIxNTIxNTA2OTUxIj44OTA8L2tleT48a2V5IGFwcD0i
RU5XZWIiIGRiLWlkPSIiPjA8L2tleT48L2ZvcmVpZ24ta2V5cz48cmVmLXR5cGUgbmFtZT0iSm91
cm5hbCBBcnRpY2xlIj4xNzwvcmVmLXR5cGU+PGNvbnRyaWJ1dG9ycz48YXV0aG9ycz48YXV0aG9y
Pktlbm5lZHksIEEuIEUuPC9hdXRob3I+PGF1dGhvcj5LYW5kYWxhbSwgUy48L2F1dGhvcj48YXV0
aG9yPk9saXZhcmVzLU5hdmFycmV0ZSwgUi48L2F1dGhvcj48YXV0aG9yPkRpY2tpbnNvbiwgQS4g
Si4gRy48L2F1dGhvcj48L2F1dGhvcnM+PC9jb250cmlidXRvcnM+PGF1dGgtYWRkcmVzcz5WaXJn
aW5pYSBDb21tb253ZWFsdGggVW5pdmVyc2l0eSwgRGVwYXJ0bWVudCBvZiBCaW9sb2d5LCBSaWNo
bW9uZCwgVkEsIFVuaXRlZCBTdGF0ZXMgb2YgQW1lcmljYS4mI3hEO1ZpcmdpbmlhIENvbW1vbndl
YWx0aCBVbml2ZXJzaXR5LCBEZXBhcnRtZW50IG9mIEJpb21lZGljYWwgRW5naW5lZXJpbmcsIFJp
Y2htb25kLCBWQSwgVW5pdGVkIFN0YXRlcyBvZiBBbWVyaWNhLjwvYXV0aC1hZGRyZXNzPjx0aXRs
ZXM+PHRpdGxlPkUtY2lnYXJldHRlIGFlcm9zb2wgZXhwb3N1cmUgY2FuIGNhdXNlIGNyYW5pb2Zh
Y2lhbCBkZWZlY3RzIGluIFhlbm9wdXMgbGFldmlzIGVtYnJ5b3MgYW5kIG1hbW1hbGlhbiBuZXVy
YWwgY3Jlc3QgY2VsbHM8L3RpdGxlPjxzZWNvbmRhcnktdGl0bGU+UExvUyBPbmU8L3NlY29uZGFy
eS10aXRsZT48YWx0LXRpdGxlPlBsb1Mgb25lPC9hbHQtdGl0bGU+PC90aXRsZXM+PHBlcmlvZGlj
YWw+PGZ1bGwtdGl0bGU+UGxvcyBPbmU8L2Z1bGwtdGl0bGU+PC9wZXJpb2RpY2FsPjxhbHQtcGVy
aW9kaWNhbD48ZnVsbC10aXRsZT5QbG9zIE9uZTwvZnVsbC10aXRsZT48L2FsdC1wZXJpb2RpY2Fs
PjxwYWdlcz5lMDE4NTcyOTwvcGFnZXM+PHZvbHVtZT4xMjwvdm9sdW1lPjxudW1iZXI+OTwvbnVt
YmVyPjxlZGl0aW9uPjIwMTcvMDkvMjk8L2VkaXRpb24+PGtleXdvcmRzPjxrZXl3b3JkPkFlcm9z
b2xzLyp0b3hpY2l0eTwva2V5d29yZD48a2V5d29yZD5BbmltYWxzPC9rZXl3b3JkPjxrZXl3b3Jk
PkNyYW5pb2ZhY2lhbCBBYm5vcm1hbGl0aWVzLypjaGVtaWNhbGx5IGluZHVjZWQ8L2tleXdvcmQ+
PGtleXdvcmQ+KkVsZWN0cm9uaWMgTmljb3RpbmUgRGVsaXZlcnkgU3lzdGVtczwva2V5d29yZD48
a2V5d29yZD5HZW5lIEV4cHJlc3Npb24gUmVndWxhdGlvbiwgRGV2ZWxvcG1lbnRhbC9kcnVnIGVm
ZmVjdHM8L2tleXdvcmQ+PGtleXdvcmQ+R2x5Y2Vyb2wvdG94aWNpdHk8L2tleXdvcmQ+PGtleXdv
cmQ+TWFtbWFsczwva2V5d29yZD48a2V5d29yZD5OZXVyYWwgQ3Jlc3QvY3l0b2xvZ3kvKmRydWcg
ZWZmZWN0czwva2V5d29yZD48a2V5d29yZD5OaWNvdGluZS90b3hpY2l0eTwva2V5d29yZD48a2V5
d29yZD5Qcm9weWxlbmUgR2x5Y29sL3RveGljaXR5PC9rZXl3b3JkPjxrZXl3b3JkPlhlbm9wdXMg
bGFldmlzLyplbWJyeW9sb2d5PC9rZXl3b3JkPjwva2V5d29yZHM+PGRhdGVzPjx5ZWFyPjIwMTc8
L3llYXI+PC9kYXRlcz48aXNibj4xOTMyLTYyMDM8L2lzYm4+PGFjY2Vzc2lvbi1udW0+Mjg5NTc0
Mzg8L2FjY2Vzc2lvbi1udW0+PHVybHM+PHJlbGF0ZWQtdXJscz48dXJsPmh0dHBzOi8vd3d3Lm5j
YmkubmxtLm5paC5nb3YvcG1jL2FydGljbGVzL1BNQzU2MTk4MjYvcGRmL3BvbmUuMDE4NTcyOS5w
ZGY8L3VybD48L3JlbGF0ZWQtdXJscz48L3VybHM+PGN1c3RvbTI+UE1DNTYxOTgyNjwvY3VzdG9t
Mj48ZWxlY3Ryb25pYy1yZXNvdXJjZS1udW0+MTAuMTM3MS9qb3VybmFsLnBvbmUuMDE4NTcyOTwv
ZWxlY3Ryb25pYy1yZXNvdXJjZS1udW0+PHJlbW90ZS1kYXRhYmFzZS1wcm92aWRlcj5OTE08L3Jl
bW90ZS1kYXRhYmFzZS1wcm92aWRlcj48bGFuZ3VhZ2U+ZW5nPC9sYW5ndWFnZT48L3JlY29yZD48
L0NpdGU+PC9FbmROb3RlPgB=
</w:fldData>
            </w:fldChar>
          </w:r>
          <w:r>
            <w:instrText xml:space="preserve"> ADDIN EN.CITE </w:instrText>
          </w:r>
          <w:r>
            <w:fldChar w:fldCharType="begin">
              <w:fldData xml:space="preserve">PEVuZE5vdGU+PENpdGU+PEF1dGhvcj5DaGVuPC9BdXRob3I+PFllYXI+MjAxODwvWWVhcj48UmVj
TnVtPjg4ODwvUmVjTnVtPjxEaXNwbGF5VGV4dD4oS2VubmVkeSwgS2FuZGFsYW0gZXQgYWwuIDIw
MTcsIENoZW4sIExpIGV0IGFsLiAyMDE4KTwvRGlzcGxheVRleHQ+PHJlY29yZD48cmVjLW51bWJl
cj44ODg8L3JlYy1udW1iZXI+PGZvcmVpZ24ta2V5cz48a2V5IGFwcD0iRU4iIGRiLWlkPSI5ejA1
ZHowcHJhYWRmdWVlMHpveHplZGs5emZlNWZ4eDUwejUiIHRpbWVzdGFtcD0iMTUyMTUwNjk1MCI+
ODg4PC9rZXk+PGtleSBhcHA9IkVOV2ViIiBkYi1pZD0iIj4wPC9rZXk+PC9mb3JlaWduLWtleXM+
PHJlZi10eXBlIG5hbWU9IkpvdXJuYWwgQXJ0aWNsZSI+MTc8L3JlZi10eXBlPjxjb250cmlidXRv
cnM+PGF1dGhvcnM+PGF1dGhvcj5DaGVuLCBILjwvYXV0aG9yPjxhdXRob3I+TGksIEcuPC9hdXRo
b3I+PGF1dGhvcj5DaGFuLCBZLiBMLjwvYXV0aG9yPjxhdXRob3I+Q2hhcG1hbiwgRC4gRy48L2F1
dGhvcj48YXV0aG9yPlN1a2phbW5vbmcsIFMuPC9hdXRob3I+PGF1dGhvcj5OZ3V5ZW4sIFQuPC9h
dXRob3I+PGF1dGhvcj5Bbm5pc3NhLCBULjwvYXV0aG9yPjxhdXRob3I+TWNHcmF0aCwgSy4gQy48
L2F1dGhvcj48YXV0aG9yPlNoYXJtYSwgUC48L2F1dGhvcj48YXV0aG9yPk9saXZlciwgQi4gRy48
L2F1dGhvcj48L2F1dGhvcnM+PC9jb250cmlidXRvcnM+PGF1dGgtYWRkcmVzcz4xIENlbnRyZSBm
b3IgSGVhbHRoIFRlY2hub2xvZ2llcyBhbmQgU2Nob29sIG9mIExpZmUgU2NpZW5jZXMsIFVuaXZl
cnNpdHkgb2YgVGVjaG5vbG9neSBTeWRuZXksIFN5ZG5leSwgTmV3IFNvdXRoIFdhbGVzLCBBdXN0
cmFsaWEuJiN4RDsyIEZhY3VsdHkgb2YgQmFzaWMgTWVkaWNhbCBTY2llbmNlcywgQ2hlbmdkdSBV
bml2ZXJzaXR5IG9mIFRyYWRpdGlvbmFsIENoaW5lc2UgTWVkaWNpbmUsIENoZW5nZHUsIFNpY2h1
YW4sIENoaW5hOyBhbmQuJiN4RDszIFJlc3BpcmF0b3J5IENlbGx1bGFyIGFuZCBNb2xlY3VsYXIg
QmlvbG9neSwgV29vbGNvY2sgSW5zdGl0dXRlIG9mIE1lZGljYWwgUmVzZWFyY2gsIFVuaXZlcnNp
dHkgb2YgU3lkbmV5LCBTeWRuZXksIE5ldyBTb3V0aCBXYWxlcywgQXVzdHJhbGlhLjwvYXV0aC1h
ZGRyZXNzPjx0aXRsZXM+PHRpdGxlPk1hdGVybmFsIEUtQ2lnYXJldHRlIEV4cG9zdXJlIGluIE1p
Y2UgQWx0ZXJzIEROQSBNZXRoeWxhdGlvbiBhbmQgTHVuZyBDeXRva2luZSBFeHByZXNzaW9uIGlu
IE9mZnNwcmluZzwvdGl0bGU+PHNlY29uZGFyeS10aXRsZT5BbSBKIFJlc3BpciBDZWxsIE1vbCBC
aW9sPC9zZWNvbmRhcnktdGl0bGU+PGFsdC10aXRsZT5BbWVyaWNhbiBqb3VybmFsIG9mIHJlc3Bp
cmF0b3J5IGNlbGwgYW5kIG1vbGVjdWxhciBiaW9sb2d5PC9hbHQtdGl0bGU+PC90aXRsZXM+PHBl
cmlvZGljYWw+PGZ1bGwtdGl0bGU+QW0gSiBSZXNwaXIgQ2VsbCBNb2wgQmlvbDwvZnVsbC10aXRs
ZT48YWJici0xPkFtZXJpY2FuIGpvdXJuYWwgb2YgcmVzcGlyYXRvcnkgY2VsbCBhbmQgbW9sZWN1
bGFyIGJpb2xvZ3k8L2FiYnItMT48L3BlcmlvZGljYWw+PGFsdC1wZXJpb2RpY2FsPjxmdWxsLXRp
dGxlPkFtIEogUmVzcGlyIENlbGwgTW9sIEJpb2w8L2Z1bGwtdGl0bGU+PGFiYnItMT5BbWVyaWNh
biBqb3VybmFsIG9mIHJlc3BpcmF0b3J5IGNlbGwgYW5kIG1vbGVjdWxhciBiaW9sb2d5PC9hYmJy
LTE+PC9hbHQtcGVyaW9kaWNhbD48cGFnZXM+MzY2LTM3NzwvcGFnZXM+PHZvbHVtZT41ODwvdm9s
dW1lPjxudW1iZXI+MzwvbnVtYmVyPjxlZGl0aW9uPjIwMTcvMDkvMzA8L2VkaXRpb24+PGtleXdv
cmRzPjxrZXl3b3JkPmUtY2lnYXJldHRlPC9rZXl3b3JkPjxrZXl3b3JkPmUtZmx1aWQ8L2tleXdv
cmQ+PGtleXdvcmQ+aW5mbGFtbWF0b3J5IGN5dG9raW5lPC9rZXl3b3JkPjxrZXl3b3JkPm1hdGVy
bmFsIHByb2dyYW1taW5nPC9rZXl3b3JkPjwva2V5d29yZHM+PGRhdGVzPjx5ZWFyPjIwMTg8L3ll
YXI+PHB1Yi1kYXRlcz48ZGF0ZT5NYXI8L2RhdGU+PC9wdWItZGF0ZXM+PC9kYXRlcz48aXNibj4x
MDQ0LTE1NDk8L2lzYm4+PGFjY2Vzc2lvbi1udW0+Mjg5NjAwODY8L2FjY2Vzc2lvbi1udW0+PHVy
bHM+PC91cmxzPjxlbGVjdHJvbmljLXJlc291cmNlLW51bT4xMC4xMTY1L3JjbWIuMjAxNy0wMjA2
UkM8L2VsZWN0cm9uaWMtcmVzb3VyY2UtbnVtPjxyZW1vdGUtZGF0YWJhc2UtcHJvdmlkZXI+TkxN
PC9yZW1vdGUtZGF0YWJhc2UtcHJvdmlkZXI+PGxhbmd1YWdlPmVuZzwvbGFuZ3VhZ2U+PC9yZWNv
cmQ+PC9DaXRlPjxDaXRlPjxBdXRob3I+S2VubmVkeTwvQXV0aG9yPjxZZWFyPjIwMTc8L1llYXI+
PFJlY051bT44OTA8L1JlY051bT48cmVjb3JkPjxyZWMtbnVtYmVyPjg5MDwvcmVjLW51bWJlcj48
Zm9yZWlnbi1rZXlzPjxrZXkgYXBwPSJFTiIgZGItaWQ9Ijl6MDVkejBwcmFhZGZ1ZWUwem94emVk
azl6ZmU1Znh4NTB6NSIgdGltZXN0YW1wPSIxNTIxNTA2OTUxIj44OTA8L2tleT48a2V5IGFwcD0i
RU5XZWIiIGRiLWlkPSIiPjA8L2tleT48L2ZvcmVpZ24ta2V5cz48cmVmLXR5cGUgbmFtZT0iSm91
cm5hbCBBcnRpY2xlIj4xNzwvcmVmLXR5cGU+PGNvbnRyaWJ1dG9ycz48YXV0aG9ycz48YXV0aG9y
Pktlbm5lZHksIEEuIEUuPC9hdXRob3I+PGF1dGhvcj5LYW5kYWxhbSwgUy48L2F1dGhvcj48YXV0
aG9yPk9saXZhcmVzLU5hdmFycmV0ZSwgUi48L2F1dGhvcj48YXV0aG9yPkRpY2tpbnNvbiwgQS4g
Si4gRy48L2F1dGhvcj48L2F1dGhvcnM+PC9jb250cmlidXRvcnM+PGF1dGgtYWRkcmVzcz5WaXJn
aW5pYSBDb21tb253ZWFsdGggVW5pdmVyc2l0eSwgRGVwYXJ0bWVudCBvZiBCaW9sb2d5LCBSaWNo
bW9uZCwgVkEsIFVuaXRlZCBTdGF0ZXMgb2YgQW1lcmljYS4mI3hEO1ZpcmdpbmlhIENvbW1vbndl
YWx0aCBVbml2ZXJzaXR5LCBEZXBhcnRtZW50IG9mIEJpb21lZGljYWwgRW5naW5lZXJpbmcsIFJp
Y2htb25kLCBWQSwgVW5pdGVkIFN0YXRlcyBvZiBBbWVyaWNhLjwvYXV0aC1hZGRyZXNzPjx0aXRs
ZXM+PHRpdGxlPkUtY2lnYXJldHRlIGFlcm9zb2wgZXhwb3N1cmUgY2FuIGNhdXNlIGNyYW5pb2Zh
Y2lhbCBkZWZlY3RzIGluIFhlbm9wdXMgbGFldmlzIGVtYnJ5b3MgYW5kIG1hbW1hbGlhbiBuZXVy
YWwgY3Jlc3QgY2VsbHM8L3RpdGxlPjxzZWNvbmRhcnktdGl0bGU+UExvUyBPbmU8L3NlY29uZGFy
eS10aXRsZT48YWx0LXRpdGxlPlBsb1Mgb25lPC9hbHQtdGl0bGU+PC90aXRsZXM+PHBlcmlvZGlj
YWw+PGZ1bGwtdGl0bGU+UGxvcyBPbmU8L2Z1bGwtdGl0bGU+PC9wZXJpb2RpY2FsPjxhbHQtcGVy
aW9kaWNhbD48ZnVsbC10aXRsZT5QbG9zIE9uZTwvZnVsbC10aXRsZT48L2FsdC1wZXJpb2RpY2Fs
PjxwYWdlcz5lMDE4NTcyOTwvcGFnZXM+PHZvbHVtZT4xMjwvdm9sdW1lPjxudW1iZXI+OTwvbnVt
YmVyPjxlZGl0aW9uPjIwMTcvMDkvMjk8L2VkaXRpb24+PGtleXdvcmRzPjxrZXl3b3JkPkFlcm9z
b2xzLyp0b3hpY2l0eTwva2V5d29yZD48a2V5d29yZD5BbmltYWxzPC9rZXl3b3JkPjxrZXl3b3Jk
PkNyYW5pb2ZhY2lhbCBBYm5vcm1hbGl0aWVzLypjaGVtaWNhbGx5IGluZHVjZWQ8L2tleXdvcmQ+
PGtleXdvcmQ+KkVsZWN0cm9uaWMgTmljb3RpbmUgRGVsaXZlcnkgU3lzdGVtczwva2V5d29yZD48
a2V5d29yZD5HZW5lIEV4cHJlc3Npb24gUmVndWxhdGlvbiwgRGV2ZWxvcG1lbnRhbC9kcnVnIGVm
ZmVjdHM8L2tleXdvcmQ+PGtleXdvcmQ+R2x5Y2Vyb2wvdG94aWNpdHk8L2tleXdvcmQ+PGtleXdv
cmQ+TWFtbWFsczwva2V5d29yZD48a2V5d29yZD5OZXVyYWwgQ3Jlc3QvY3l0b2xvZ3kvKmRydWcg
ZWZmZWN0czwva2V5d29yZD48a2V5d29yZD5OaWNvdGluZS90b3hpY2l0eTwva2V5d29yZD48a2V5
d29yZD5Qcm9weWxlbmUgR2x5Y29sL3RveGljaXR5PC9rZXl3b3JkPjxrZXl3b3JkPlhlbm9wdXMg
bGFldmlzLyplbWJyeW9sb2d5PC9rZXl3b3JkPjwva2V5d29yZHM+PGRhdGVzPjx5ZWFyPjIwMTc8
L3llYXI+PC9kYXRlcz48aXNibj4xOTMyLTYyMDM8L2lzYm4+PGFjY2Vzc2lvbi1udW0+Mjg5NTc0
Mzg8L2FjY2Vzc2lvbi1udW0+PHVybHM+PHJlbGF0ZWQtdXJscz48dXJsPmh0dHBzOi8vd3d3Lm5j
YmkubmxtLm5paC5nb3YvcG1jL2FydGljbGVzL1BNQzU2MTk4MjYvcGRmL3BvbmUuMDE4NTcyOS5w
ZGY8L3VybD48L3JlbGF0ZWQtdXJscz48L3VybHM+PGN1c3RvbTI+UE1DNTYxOTgyNjwvY3VzdG9t
Mj48ZWxlY3Ryb25pYy1yZXNvdXJjZS1udW0+MTAuMTM3MS9qb3VybmFsLnBvbmUuMDE4NTcyOTwv
ZWxlY3Ryb25pYy1yZXNvdXJjZS1udW0+PHJlbW90ZS1kYXRhYmFzZS1wcm92aWRlcj5OTE08L3Jl
bW90ZS1kYXRhYmFzZS1wcm92aWRlcj48bGFuZ3VhZ2U+ZW5nPC9sYW5ndWFnZT48L3JlY29yZD48
L0NpdGU+PC9FbmROb3RlPgB=
</w:fldData>
            </w:fldChar>
          </w:r>
          <w:r>
            <w:instrText xml:space="preserve"> ADDIN EN.CITE.DATA </w:instrText>
          </w:r>
          <w:r>
            <w:fldChar w:fldCharType="end"/>
          </w:r>
          <w:r>
            <w:fldChar w:fldCharType="separate"/>
          </w:r>
          <w:r>
            <w:rPr>
              <w:noProof/>
            </w:rPr>
            <w:t>(Kennedy, Kandalam et al. 2017, Chen, Li et al. 2018)</w:t>
          </w:r>
          <w:r>
            <w:fldChar w:fldCharType="end"/>
          </w:r>
          <w:r>
            <w:t xml:space="preserve">. </w:t>
          </w:r>
        </w:p>
        <w:p w14:paraId="7EB913A9" w14:textId="77777777" w:rsidR="00EA2246" w:rsidRDefault="00EA2246" w:rsidP="00EA2246">
          <w:pPr>
            <w:pStyle w:val="BodyText"/>
          </w:pPr>
          <w:r>
            <w:lastRenderedPageBreak/>
            <w:t xml:space="preserve">One study randomised seven week old female mice to room air, nicotine-containing tobacco flavoured e-cigarette vapour (equivalent to 2 tobacco cigarettes twice daily) or nicotine-free tobacco flavoured e-cigarette vapour </w:t>
          </w:r>
          <w:r>
            <w:fldChar w:fldCharType="begin">
              <w:fldData xml:space="preserve">PEVuZE5vdGU+PENpdGU+PEF1dGhvcj5DaGVuPC9BdXRob3I+PFllYXI+MjAxODwvWWVhcj48UmVj
TnVtPjg4ODwvUmVjTnVtPjxEaXNwbGF5VGV4dD4oQ2hlbiwgTGkgZXQgYWwuIDIwMTgpPC9EaXNw
bGF5VGV4dD48cmVjb3JkPjxyZWMtbnVtYmVyPjg4ODwvcmVjLW51bWJlcj48Zm9yZWlnbi1rZXlz
PjxrZXkgYXBwPSJFTiIgZGItaWQ9Ijl6MDVkejBwcmFhZGZ1ZWUwem94emVkazl6ZmU1Znh4NTB6
NSIgdGltZXN0YW1wPSIxNTIxNTA2OTUwIj44ODg8L2tleT48a2V5IGFwcD0iRU5XZWIiIGRiLWlk
PSIiPjA8L2tleT48L2ZvcmVpZ24ta2V5cz48cmVmLXR5cGUgbmFtZT0iSm91cm5hbCBBcnRpY2xl
Ij4xNzwvcmVmLXR5cGU+PGNvbnRyaWJ1dG9ycz48YXV0aG9ycz48YXV0aG9yPkNoZW4sIEguPC9h
dXRob3I+PGF1dGhvcj5MaSwgRy48L2F1dGhvcj48YXV0aG9yPkNoYW4sIFkuIEwuPC9hdXRob3I+
PGF1dGhvcj5DaGFwbWFuLCBELiBHLjwvYXV0aG9yPjxhdXRob3I+U3VramFtbm9uZywgUy48L2F1
dGhvcj48YXV0aG9yPk5ndXllbiwgVC48L2F1dGhvcj48YXV0aG9yPkFubmlzc2EsIFQuPC9hdXRo
b3I+PGF1dGhvcj5NY0dyYXRoLCBLLiBDLjwvYXV0aG9yPjxhdXRob3I+U2hhcm1hLCBQLjwvYXV0
aG9yPjxhdXRob3I+T2xpdmVyLCBCLiBHLjwvYXV0aG9yPjwvYXV0aG9ycz48L2NvbnRyaWJ1dG9y
cz48YXV0aC1hZGRyZXNzPjEgQ2VudHJlIGZvciBIZWFsdGggVGVjaG5vbG9naWVzIGFuZCBTY2hv
b2wgb2YgTGlmZSBTY2llbmNlcywgVW5pdmVyc2l0eSBvZiBUZWNobm9sb2d5IFN5ZG5leSwgU3lk
bmV5LCBOZXcgU291dGggV2FsZXMsIEF1c3RyYWxpYS4mI3hEOzIgRmFjdWx0eSBvZiBCYXNpYyBN
ZWRpY2FsIFNjaWVuY2VzLCBDaGVuZ2R1IFVuaXZlcnNpdHkgb2YgVHJhZGl0aW9uYWwgQ2hpbmVz
ZSBNZWRpY2luZSwgQ2hlbmdkdSwgU2ljaHVhbiwgQ2hpbmE7IGFuZC4mI3hEOzMgUmVzcGlyYXRv
cnkgQ2VsbHVsYXIgYW5kIE1vbGVjdWxhciBCaW9sb2d5LCBXb29sY29jayBJbnN0aXR1dGUgb2Yg
TWVkaWNhbCBSZXNlYXJjaCwgVW5pdmVyc2l0eSBvZiBTeWRuZXksIFN5ZG5leSwgTmV3IFNvdXRo
IFdhbGVzLCBBdXN0cmFsaWEuPC9hdXRoLWFkZHJlc3M+PHRpdGxlcz48dGl0bGU+TWF0ZXJuYWwg
RS1DaWdhcmV0dGUgRXhwb3N1cmUgaW4gTWljZSBBbHRlcnMgRE5BIE1ldGh5bGF0aW9uIGFuZCBM
dW5nIEN5dG9raW5lIEV4cHJlc3Npb24gaW4gT2Zmc3ByaW5nPC90aXRsZT48c2Vjb25kYXJ5LXRp
dGxlPkFtIEogUmVzcGlyIENlbGwgTW9sIEJpb2w8L3NlY29uZGFyeS10aXRsZT48YWx0LXRpdGxl
PkFtZXJpY2FuIGpvdXJuYWwgb2YgcmVzcGlyYXRvcnkgY2VsbCBhbmQgbW9sZWN1bGFyIGJpb2xv
Z3k8L2FsdC10aXRsZT48L3RpdGxlcz48cGVyaW9kaWNhbD48ZnVsbC10aXRsZT5BbSBKIFJlc3Bp
ciBDZWxsIE1vbCBCaW9sPC9mdWxsLXRpdGxlPjxhYmJyLTE+QW1lcmljYW4gam91cm5hbCBvZiBy
ZXNwaXJhdG9yeSBjZWxsIGFuZCBtb2xlY3VsYXIgYmlvbG9neTwvYWJici0xPjwvcGVyaW9kaWNh
bD48YWx0LXBlcmlvZGljYWw+PGZ1bGwtdGl0bGU+QW0gSiBSZXNwaXIgQ2VsbCBNb2wgQmlvbDwv
ZnVsbC10aXRsZT48YWJici0xPkFtZXJpY2FuIGpvdXJuYWwgb2YgcmVzcGlyYXRvcnkgY2VsbCBh
bmQgbW9sZWN1bGFyIGJpb2xvZ3k8L2FiYnItMT48L2FsdC1wZXJpb2RpY2FsPjxwYWdlcz4zNjYt
Mzc3PC9wYWdlcz48dm9sdW1lPjU4PC92b2x1bWU+PG51bWJlcj4zPC9udW1iZXI+PGVkaXRpb24+
MjAxNy8wOS8zMDwvZWRpdGlvbj48a2V5d29yZHM+PGtleXdvcmQ+ZS1jaWdhcmV0dGU8L2tleXdv
cmQ+PGtleXdvcmQ+ZS1mbHVpZDwva2V5d29yZD48a2V5d29yZD5pbmZsYW1tYXRvcnkgY3l0b2tp
bmU8L2tleXdvcmQ+PGtleXdvcmQ+bWF0ZXJuYWwgcHJvZ3JhbW1pbmc8L2tleXdvcmQ+PC9rZXl3
b3Jkcz48ZGF0ZXM+PHllYXI+MjAxODwveWVhcj48cHViLWRhdGVzPjxkYXRlPk1hcjwvZGF0ZT48
L3B1Yi1kYXRlcz48L2RhdGVzPjxpc2JuPjEwNDQtMTU0OTwvaXNibj48YWNjZXNzaW9uLW51bT4y
ODk2MDA4NjwvYWNjZXNzaW9uLW51bT48dXJscz48L3VybHM+PGVsZWN0cm9uaWMtcmVzb3VyY2Ut
bnVtPjEwLjExNjUvcmNtYi4yMDE3LTAyMDZSQzwvZWxlY3Ryb25pYy1yZXNvdXJjZS1udW0+PHJl
bW90ZS1kYXRhYmFzZS1wcm92aWRlcj5OTE08L3JlbW90ZS1kYXRhYmFzZS1wcm92aWRlcj48bGFu
Z3VhZ2U+ZW5nPC9sYW5ndWFnZT48L3JlY29yZD48L0NpdGU+PC9FbmROb3RlPgB=
</w:fldData>
            </w:fldChar>
          </w:r>
          <w:r>
            <w:instrText xml:space="preserve"> ADDIN EN.CITE </w:instrText>
          </w:r>
          <w:r>
            <w:fldChar w:fldCharType="begin">
              <w:fldData xml:space="preserve">PEVuZE5vdGU+PENpdGU+PEF1dGhvcj5DaGVuPC9BdXRob3I+PFllYXI+MjAxODwvWWVhcj48UmVj
TnVtPjg4ODwvUmVjTnVtPjxEaXNwbGF5VGV4dD4oQ2hlbiwgTGkgZXQgYWwuIDIwMTgpPC9EaXNw
bGF5VGV4dD48cmVjb3JkPjxyZWMtbnVtYmVyPjg4ODwvcmVjLW51bWJlcj48Zm9yZWlnbi1rZXlz
PjxrZXkgYXBwPSJFTiIgZGItaWQ9Ijl6MDVkejBwcmFhZGZ1ZWUwem94emVkazl6ZmU1Znh4NTB6
NSIgdGltZXN0YW1wPSIxNTIxNTA2OTUwIj44ODg8L2tleT48a2V5IGFwcD0iRU5XZWIiIGRiLWlk
PSIiPjA8L2tleT48L2ZvcmVpZ24ta2V5cz48cmVmLXR5cGUgbmFtZT0iSm91cm5hbCBBcnRpY2xl
Ij4xNzwvcmVmLXR5cGU+PGNvbnRyaWJ1dG9ycz48YXV0aG9ycz48YXV0aG9yPkNoZW4sIEguPC9h
dXRob3I+PGF1dGhvcj5MaSwgRy48L2F1dGhvcj48YXV0aG9yPkNoYW4sIFkuIEwuPC9hdXRob3I+
PGF1dGhvcj5DaGFwbWFuLCBELiBHLjwvYXV0aG9yPjxhdXRob3I+U3VramFtbm9uZywgUy48L2F1
dGhvcj48YXV0aG9yPk5ndXllbiwgVC48L2F1dGhvcj48YXV0aG9yPkFubmlzc2EsIFQuPC9hdXRo
b3I+PGF1dGhvcj5NY0dyYXRoLCBLLiBDLjwvYXV0aG9yPjxhdXRob3I+U2hhcm1hLCBQLjwvYXV0
aG9yPjxhdXRob3I+T2xpdmVyLCBCLiBHLjwvYXV0aG9yPjwvYXV0aG9ycz48L2NvbnRyaWJ1dG9y
cz48YXV0aC1hZGRyZXNzPjEgQ2VudHJlIGZvciBIZWFsdGggVGVjaG5vbG9naWVzIGFuZCBTY2hv
b2wgb2YgTGlmZSBTY2llbmNlcywgVW5pdmVyc2l0eSBvZiBUZWNobm9sb2d5IFN5ZG5leSwgU3lk
bmV5LCBOZXcgU291dGggV2FsZXMsIEF1c3RyYWxpYS4mI3hEOzIgRmFjdWx0eSBvZiBCYXNpYyBN
ZWRpY2FsIFNjaWVuY2VzLCBDaGVuZ2R1IFVuaXZlcnNpdHkgb2YgVHJhZGl0aW9uYWwgQ2hpbmVz
ZSBNZWRpY2luZSwgQ2hlbmdkdSwgU2ljaHVhbiwgQ2hpbmE7IGFuZC4mI3hEOzMgUmVzcGlyYXRv
cnkgQ2VsbHVsYXIgYW5kIE1vbGVjdWxhciBCaW9sb2d5LCBXb29sY29jayBJbnN0aXR1dGUgb2Yg
TWVkaWNhbCBSZXNlYXJjaCwgVW5pdmVyc2l0eSBvZiBTeWRuZXksIFN5ZG5leSwgTmV3IFNvdXRo
IFdhbGVzLCBBdXN0cmFsaWEuPC9hdXRoLWFkZHJlc3M+PHRpdGxlcz48dGl0bGU+TWF0ZXJuYWwg
RS1DaWdhcmV0dGUgRXhwb3N1cmUgaW4gTWljZSBBbHRlcnMgRE5BIE1ldGh5bGF0aW9uIGFuZCBM
dW5nIEN5dG9raW5lIEV4cHJlc3Npb24gaW4gT2Zmc3ByaW5nPC90aXRsZT48c2Vjb25kYXJ5LXRp
dGxlPkFtIEogUmVzcGlyIENlbGwgTW9sIEJpb2w8L3NlY29uZGFyeS10aXRsZT48YWx0LXRpdGxl
PkFtZXJpY2FuIGpvdXJuYWwgb2YgcmVzcGlyYXRvcnkgY2VsbCBhbmQgbW9sZWN1bGFyIGJpb2xv
Z3k8L2FsdC10aXRsZT48L3RpdGxlcz48cGVyaW9kaWNhbD48ZnVsbC10aXRsZT5BbSBKIFJlc3Bp
ciBDZWxsIE1vbCBCaW9sPC9mdWxsLXRpdGxlPjxhYmJyLTE+QW1lcmljYW4gam91cm5hbCBvZiBy
ZXNwaXJhdG9yeSBjZWxsIGFuZCBtb2xlY3VsYXIgYmlvbG9neTwvYWJici0xPjwvcGVyaW9kaWNh
bD48YWx0LXBlcmlvZGljYWw+PGZ1bGwtdGl0bGU+QW0gSiBSZXNwaXIgQ2VsbCBNb2wgQmlvbDwv
ZnVsbC10aXRsZT48YWJici0xPkFtZXJpY2FuIGpvdXJuYWwgb2YgcmVzcGlyYXRvcnkgY2VsbCBh
bmQgbW9sZWN1bGFyIGJpb2xvZ3k8L2FiYnItMT48L2FsdC1wZXJpb2RpY2FsPjxwYWdlcz4zNjYt
Mzc3PC9wYWdlcz48dm9sdW1lPjU4PC92b2x1bWU+PG51bWJlcj4zPC9udW1iZXI+PGVkaXRpb24+
MjAxNy8wOS8zMDwvZWRpdGlvbj48a2V5d29yZHM+PGtleXdvcmQ+ZS1jaWdhcmV0dGU8L2tleXdv
cmQ+PGtleXdvcmQ+ZS1mbHVpZDwva2V5d29yZD48a2V5d29yZD5pbmZsYW1tYXRvcnkgY3l0b2tp
bmU8L2tleXdvcmQ+PGtleXdvcmQ+bWF0ZXJuYWwgcHJvZ3JhbW1pbmc8L2tleXdvcmQ+PC9rZXl3
b3Jkcz48ZGF0ZXM+PHllYXI+MjAxODwveWVhcj48cHViLWRhdGVzPjxkYXRlPk1hcjwvZGF0ZT48
L3B1Yi1kYXRlcz48L2RhdGVzPjxpc2JuPjEwNDQtMTU0OTwvaXNibj48YWNjZXNzaW9uLW51bT4y
ODk2MDA4NjwvYWNjZXNzaW9uLW51bT48dXJscz48L3VybHM+PGVsZWN0cm9uaWMtcmVzb3VyY2Ut
bnVtPjEwLjExNjUvcmNtYi4yMDE3LTAyMDZSQzwvZWxlY3Ryb25pYy1yZXNvdXJjZS1udW0+PHJl
bW90ZS1kYXRhYmFzZS1wcm92aWRlcj5OTE08L3JlbW90ZS1kYXRhYmFzZS1wcm92aWRlcj48bGFu
Z3VhZ2U+ZW5nPC9sYW5ndWFnZT48L3JlY29yZD48L0NpdGU+PC9FbmROb3RlPgB=
</w:fldData>
            </w:fldChar>
          </w:r>
          <w:r>
            <w:instrText xml:space="preserve"> ADDIN EN.CITE.DATA </w:instrText>
          </w:r>
          <w:r>
            <w:fldChar w:fldCharType="end"/>
          </w:r>
          <w:r>
            <w:fldChar w:fldCharType="separate"/>
          </w:r>
          <w:r>
            <w:rPr>
              <w:noProof/>
            </w:rPr>
            <w:t>(Chen, Li et al. 2018)</w:t>
          </w:r>
          <w:r>
            <w:fldChar w:fldCharType="end"/>
          </w:r>
          <w:r>
            <w:t xml:space="preserve">. Mothers exposed to e-cigarettes, regardless of nicotine content, had significant lung inflammatory responses (increased </w:t>
          </w:r>
          <w:r w:rsidRPr="007F657B">
            <w:t>pro</w:t>
          </w:r>
          <w:r>
            <w:noBreakHyphen/>
          </w:r>
          <w:r w:rsidRPr="007F657B">
            <w:t>inflammatory cytokines IL-1</w:t>
          </w:r>
          <w:r>
            <w:rPr>
              <w:rFonts w:cstheme="minorHAnsi"/>
            </w:rPr>
            <w:t>β</w:t>
          </w:r>
          <w:r w:rsidRPr="007F657B">
            <w:t>, IL-6, and TNF-</w:t>
          </w:r>
          <w:r>
            <w:rPr>
              <w:rFonts w:cstheme="minorHAnsi"/>
            </w:rPr>
            <w:t>α). The adult male o</w:t>
          </w:r>
          <w:r>
            <w:t xml:space="preserve">ffspring that were exposed in utero had altered homeostatic levels of several pro-inflammatory cytokines with the effect being partially independent of nicotine content </w:t>
          </w:r>
          <w:r>
            <w:fldChar w:fldCharType="begin">
              <w:fldData xml:space="preserve">PEVuZE5vdGU+PENpdGU+PEF1dGhvcj5DaGVuPC9BdXRob3I+PFllYXI+MjAxODwvWWVhcj48UmVj
TnVtPjg4ODwvUmVjTnVtPjxEaXNwbGF5VGV4dD4oQ2hlbiwgTGkgZXQgYWwuIDIwMTgpPC9EaXNw
bGF5VGV4dD48cmVjb3JkPjxyZWMtbnVtYmVyPjg4ODwvcmVjLW51bWJlcj48Zm9yZWlnbi1rZXlz
PjxrZXkgYXBwPSJFTiIgZGItaWQ9Ijl6MDVkejBwcmFhZGZ1ZWUwem94emVkazl6ZmU1Znh4NTB6
NSIgdGltZXN0YW1wPSIxNTIxNTA2OTUwIj44ODg8L2tleT48a2V5IGFwcD0iRU5XZWIiIGRiLWlk
PSIiPjA8L2tleT48L2ZvcmVpZ24ta2V5cz48cmVmLXR5cGUgbmFtZT0iSm91cm5hbCBBcnRpY2xl
Ij4xNzwvcmVmLXR5cGU+PGNvbnRyaWJ1dG9ycz48YXV0aG9ycz48YXV0aG9yPkNoZW4sIEguPC9h
dXRob3I+PGF1dGhvcj5MaSwgRy48L2F1dGhvcj48YXV0aG9yPkNoYW4sIFkuIEwuPC9hdXRob3I+
PGF1dGhvcj5DaGFwbWFuLCBELiBHLjwvYXV0aG9yPjxhdXRob3I+U3VramFtbm9uZywgUy48L2F1
dGhvcj48YXV0aG9yPk5ndXllbiwgVC48L2F1dGhvcj48YXV0aG9yPkFubmlzc2EsIFQuPC9hdXRo
b3I+PGF1dGhvcj5NY0dyYXRoLCBLLiBDLjwvYXV0aG9yPjxhdXRob3I+U2hhcm1hLCBQLjwvYXV0
aG9yPjxhdXRob3I+T2xpdmVyLCBCLiBHLjwvYXV0aG9yPjwvYXV0aG9ycz48L2NvbnRyaWJ1dG9y
cz48YXV0aC1hZGRyZXNzPjEgQ2VudHJlIGZvciBIZWFsdGggVGVjaG5vbG9naWVzIGFuZCBTY2hv
b2wgb2YgTGlmZSBTY2llbmNlcywgVW5pdmVyc2l0eSBvZiBUZWNobm9sb2d5IFN5ZG5leSwgU3lk
bmV5LCBOZXcgU291dGggV2FsZXMsIEF1c3RyYWxpYS4mI3hEOzIgRmFjdWx0eSBvZiBCYXNpYyBN
ZWRpY2FsIFNjaWVuY2VzLCBDaGVuZ2R1IFVuaXZlcnNpdHkgb2YgVHJhZGl0aW9uYWwgQ2hpbmVz
ZSBNZWRpY2luZSwgQ2hlbmdkdSwgU2ljaHVhbiwgQ2hpbmE7IGFuZC4mI3hEOzMgUmVzcGlyYXRv
cnkgQ2VsbHVsYXIgYW5kIE1vbGVjdWxhciBCaW9sb2d5LCBXb29sY29jayBJbnN0aXR1dGUgb2Yg
TWVkaWNhbCBSZXNlYXJjaCwgVW5pdmVyc2l0eSBvZiBTeWRuZXksIFN5ZG5leSwgTmV3IFNvdXRo
IFdhbGVzLCBBdXN0cmFsaWEuPC9hdXRoLWFkZHJlc3M+PHRpdGxlcz48dGl0bGU+TWF0ZXJuYWwg
RS1DaWdhcmV0dGUgRXhwb3N1cmUgaW4gTWljZSBBbHRlcnMgRE5BIE1ldGh5bGF0aW9uIGFuZCBM
dW5nIEN5dG9raW5lIEV4cHJlc3Npb24gaW4gT2Zmc3ByaW5nPC90aXRsZT48c2Vjb25kYXJ5LXRp
dGxlPkFtIEogUmVzcGlyIENlbGwgTW9sIEJpb2w8L3NlY29uZGFyeS10aXRsZT48YWx0LXRpdGxl
PkFtZXJpY2FuIGpvdXJuYWwgb2YgcmVzcGlyYXRvcnkgY2VsbCBhbmQgbW9sZWN1bGFyIGJpb2xv
Z3k8L2FsdC10aXRsZT48L3RpdGxlcz48cGVyaW9kaWNhbD48ZnVsbC10aXRsZT5BbSBKIFJlc3Bp
ciBDZWxsIE1vbCBCaW9sPC9mdWxsLXRpdGxlPjxhYmJyLTE+QW1lcmljYW4gam91cm5hbCBvZiBy
ZXNwaXJhdG9yeSBjZWxsIGFuZCBtb2xlY3VsYXIgYmlvbG9neTwvYWJici0xPjwvcGVyaW9kaWNh
bD48YWx0LXBlcmlvZGljYWw+PGZ1bGwtdGl0bGU+QW0gSiBSZXNwaXIgQ2VsbCBNb2wgQmlvbDwv
ZnVsbC10aXRsZT48YWJici0xPkFtZXJpY2FuIGpvdXJuYWwgb2YgcmVzcGlyYXRvcnkgY2VsbCBh
bmQgbW9sZWN1bGFyIGJpb2xvZ3k8L2FiYnItMT48L2FsdC1wZXJpb2RpY2FsPjxwYWdlcz4zNjYt
Mzc3PC9wYWdlcz48dm9sdW1lPjU4PC92b2x1bWU+PG51bWJlcj4zPC9udW1iZXI+PGVkaXRpb24+
MjAxNy8wOS8zMDwvZWRpdGlvbj48a2V5d29yZHM+PGtleXdvcmQ+ZS1jaWdhcmV0dGU8L2tleXdv
cmQ+PGtleXdvcmQ+ZS1mbHVpZDwva2V5d29yZD48a2V5d29yZD5pbmZsYW1tYXRvcnkgY3l0b2tp
bmU8L2tleXdvcmQ+PGtleXdvcmQ+bWF0ZXJuYWwgcHJvZ3JhbW1pbmc8L2tleXdvcmQ+PC9rZXl3
b3Jkcz48ZGF0ZXM+PHllYXI+MjAxODwveWVhcj48cHViLWRhdGVzPjxkYXRlPk1hcjwvZGF0ZT48
L3B1Yi1kYXRlcz48L2RhdGVzPjxpc2JuPjEwNDQtMTU0OTwvaXNibj48YWNjZXNzaW9uLW51bT4y
ODk2MDA4NjwvYWNjZXNzaW9uLW51bT48dXJscz48L3VybHM+PGVsZWN0cm9uaWMtcmVzb3VyY2Ut
bnVtPjEwLjExNjUvcmNtYi4yMDE3LTAyMDZSQzwvZWxlY3Ryb25pYy1yZXNvdXJjZS1udW0+PHJl
bW90ZS1kYXRhYmFzZS1wcm92aWRlcj5OTE08L3JlbW90ZS1kYXRhYmFzZS1wcm92aWRlcj48bGFu
Z3VhZ2U+ZW5nPC9sYW5ndWFnZT48L3JlY29yZD48L0NpdGU+PC9FbmROb3RlPgB=
</w:fldData>
            </w:fldChar>
          </w:r>
          <w:r>
            <w:instrText xml:space="preserve"> ADDIN EN.CITE </w:instrText>
          </w:r>
          <w:r>
            <w:fldChar w:fldCharType="begin">
              <w:fldData xml:space="preserve">PEVuZE5vdGU+PENpdGU+PEF1dGhvcj5DaGVuPC9BdXRob3I+PFllYXI+MjAxODwvWWVhcj48UmVj
TnVtPjg4ODwvUmVjTnVtPjxEaXNwbGF5VGV4dD4oQ2hlbiwgTGkgZXQgYWwuIDIwMTgpPC9EaXNw
bGF5VGV4dD48cmVjb3JkPjxyZWMtbnVtYmVyPjg4ODwvcmVjLW51bWJlcj48Zm9yZWlnbi1rZXlz
PjxrZXkgYXBwPSJFTiIgZGItaWQ9Ijl6MDVkejBwcmFhZGZ1ZWUwem94emVkazl6ZmU1Znh4NTB6
NSIgdGltZXN0YW1wPSIxNTIxNTA2OTUwIj44ODg8L2tleT48a2V5IGFwcD0iRU5XZWIiIGRiLWlk
PSIiPjA8L2tleT48L2ZvcmVpZ24ta2V5cz48cmVmLXR5cGUgbmFtZT0iSm91cm5hbCBBcnRpY2xl
Ij4xNzwvcmVmLXR5cGU+PGNvbnRyaWJ1dG9ycz48YXV0aG9ycz48YXV0aG9yPkNoZW4sIEguPC9h
dXRob3I+PGF1dGhvcj5MaSwgRy48L2F1dGhvcj48YXV0aG9yPkNoYW4sIFkuIEwuPC9hdXRob3I+
PGF1dGhvcj5DaGFwbWFuLCBELiBHLjwvYXV0aG9yPjxhdXRob3I+U3VramFtbm9uZywgUy48L2F1
dGhvcj48YXV0aG9yPk5ndXllbiwgVC48L2F1dGhvcj48YXV0aG9yPkFubmlzc2EsIFQuPC9hdXRo
b3I+PGF1dGhvcj5NY0dyYXRoLCBLLiBDLjwvYXV0aG9yPjxhdXRob3I+U2hhcm1hLCBQLjwvYXV0
aG9yPjxhdXRob3I+T2xpdmVyLCBCLiBHLjwvYXV0aG9yPjwvYXV0aG9ycz48L2NvbnRyaWJ1dG9y
cz48YXV0aC1hZGRyZXNzPjEgQ2VudHJlIGZvciBIZWFsdGggVGVjaG5vbG9naWVzIGFuZCBTY2hv
b2wgb2YgTGlmZSBTY2llbmNlcywgVW5pdmVyc2l0eSBvZiBUZWNobm9sb2d5IFN5ZG5leSwgU3lk
bmV5LCBOZXcgU291dGggV2FsZXMsIEF1c3RyYWxpYS4mI3hEOzIgRmFjdWx0eSBvZiBCYXNpYyBN
ZWRpY2FsIFNjaWVuY2VzLCBDaGVuZ2R1IFVuaXZlcnNpdHkgb2YgVHJhZGl0aW9uYWwgQ2hpbmVz
ZSBNZWRpY2luZSwgQ2hlbmdkdSwgU2ljaHVhbiwgQ2hpbmE7IGFuZC4mI3hEOzMgUmVzcGlyYXRv
cnkgQ2VsbHVsYXIgYW5kIE1vbGVjdWxhciBCaW9sb2d5LCBXb29sY29jayBJbnN0aXR1dGUgb2Yg
TWVkaWNhbCBSZXNlYXJjaCwgVW5pdmVyc2l0eSBvZiBTeWRuZXksIFN5ZG5leSwgTmV3IFNvdXRo
IFdhbGVzLCBBdXN0cmFsaWEuPC9hdXRoLWFkZHJlc3M+PHRpdGxlcz48dGl0bGU+TWF0ZXJuYWwg
RS1DaWdhcmV0dGUgRXhwb3N1cmUgaW4gTWljZSBBbHRlcnMgRE5BIE1ldGh5bGF0aW9uIGFuZCBM
dW5nIEN5dG9raW5lIEV4cHJlc3Npb24gaW4gT2Zmc3ByaW5nPC90aXRsZT48c2Vjb25kYXJ5LXRp
dGxlPkFtIEogUmVzcGlyIENlbGwgTW9sIEJpb2w8L3NlY29uZGFyeS10aXRsZT48YWx0LXRpdGxl
PkFtZXJpY2FuIGpvdXJuYWwgb2YgcmVzcGlyYXRvcnkgY2VsbCBhbmQgbW9sZWN1bGFyIGJpb2xv
Z3k8L2FsdC10aXRsZT48L3RpdGxlcz48cGVyaW9kaWNhbD48ZnVsbC10aXRsZT5BbSBKIFJlc3Bp
ciBDZWxsIE1vbCBCaW9sPC9mdWxsLXRpdGxlPjxhYmJyLTE+QW1lcmljYW4gam91cm5hbCBvZiBy
ZXNwaXJhdG9yeSBjZWxsIGFuZCBtb2xlY3VsYXIgYmlvbG9neTwvYWJici0xPjwvcGVyaW9kaWNh
bD48YWx0LXBlcmlvZGljYWw+PGZ1bGwtdGl0bGU+QW0gSiBSZXNwaXIgQ2VsbCBNb2wgQmlvbDwv
ZnVsbC10aXRsZT48YWJici0xPkFtZXJpY2FuIGpvdXJuYWwgb2YgcmVzcGlyYXRvcnkgY2VsbCBh
bmQgbW9sZWN1bGFyIGJpb2xvZ3k8L2FiYnItMT48L2FsdC1wZXJpb2RpY2FsPjxwYWdlcz4zNjYt
Mzc3PC9wYWdlcz48dm9sdW1lPjU4PC92b2x1bWU+PG51bWJlcj4zPC9udW1iZXI+PGVkaXRpb24+
MjAxNy8wOS8zMDwvZWRpdGlvbj48a2V5d29yZHM+PGtleXdvcmQ+ZS1jaWdhcmV0dGU8L2tleXdv
cmQ+PGtleXdvcmQ+ZS1mbHVpZDwva2V5d29yZD48a2V5d29yZD5pbmZsYW1tYXRvcnkgY3l0b2tp
bmU8L2tleXdvcmQ+PGtleXdvcmQ+bWF0ZXJuYWwgcHJvZ3JhbW1pbmc8L2tleXdvcmQ+PC9rZXl3
b3Jkcz48ZGF0ZXM+PHllYXI+MjAxODwveWVhcj48cHViLWRhdGVzPjxkYXRlPk1hcjwvZGF0ZT48
L3B1Yi1kYXRlcz48L2RhdGVzPjxpc2JuPjEwNDQtMTU0OTwvaXNibj48YWNjZXNzaW9uLW51bT4y
ODk2MDA4NjwvYWNjZXNzaW9uLW51bT48dXJscz48L3VybHM+PGVsZWN0cm9uaWMtcmVzb3VyY2Ut
bnVtPjEwLjExNjUvcmNtYi4yMDE3LTAyMDZSQzwvZWxlY3Ryb25pYy1yZXNvdXJjZS1udW0+PHJl
bW90ZS1kYXRhYmFzZS1wcm92aWRlcj5OTE08L3JlbW90ZS1kYXRhYmFzZS1wcm92aWRlcj48bGFu
Z3VhZ2U+ZW5nPC9sYW5ndWFnZT48L3JlY29yZD48L0NpdGU+PC9FbmROb3RlPgB=
</w:fldData>
            </w:fldChar>
          </w:r>
          <w:r>
            <w:instrText xml:space="preserve"> ADDIN EN.CITE.DATA </w:instrText>
          </w:r>
          <w:r>
            <w:fldChar w:fldCharType="end"/>
          </w:r>
          <w:r>
            <w:fldChar w:fldCharType="separate"/>
          </w:r>
          <w:r>
            <w:rPr>
              <w:noProof/>
            </w:rPr>
            <w:t>(Chen, Li et al. 2018)</w:t>
          </w:r>
          <w:r>
            <w:fldChar w:fldCharType="end"/>
          </w:r>
          <w:r>
            <w:t xml:space="preserve">. Thus, different signalling pathways may be altered in mothers and offspring, and epigenetic modifications are likely to contribute in the offspring. The authors state that their findings indicate that exposure to e-cigarettes can lead to immune dysregulation in the lung </w:t>
          </w:r>
          <w:r>
            <w:fldChar w:fldCharType="begin">
              <w:fldData xml:space="preserve">PEVuZE5vdGU+PENpdGU+PEF1dGhvcj5DaGVuPC9BdXRob3I+PFllYXI+MjAxODwvWWVhcj48UmVj
TnVtPjg4ODwvUmVjTnVtPjxEaXNwbGF5VGV4dD4oQ2hlbiwgTGkgZXQgYWwuIDIwMTgpPC9EaXNw
bGF5VGV4dD48cmVjb3JkPjxyZWMtbnVtYmVyPjg4ODwvcmVjLW51bWJlcj48Zm9yZWlnbi1rZXlz
PjxrZXkgYXBwPSJFTiIgZGItaWQ9Ijl6MDVkejBwcmFhZGZ1ZWUwem94emVkazl6ZmU1Znh4NTB6
NSIgdGltZXN0YW1wPSIxNTIxNTA2OTUwIj44ODg8L2tleT48a2V5IGFwcD0iRU5XZWIiIGRiLWlk
PSIiPjA8L2tleT48L2ZvcmVpZ24ta2V5cz48cmVmLXR5cGUgbmFtZT0iSm91cm5hbCBBcnRpY2xl
Ij4xNzwvcmVmLXR5cGU+PGNvbnRyaWJ1dG9ycz48YXV0aG9ycz48YXV0aG9yPkNoZW4sIEguPC9h
dXRob3I+PGF1dGhvcj5MaSwgRy48L2F1dGhvcj48YXV0aG9yPkNoYW4sIFkuIEwuPC9hdXRob3I+
PGF1dGhvcj5DaGFwbWFuLCBELiBHLjwvYXV0aG9yPjxhdXRob3I+U3VramFtbm9uZywgUy48L2F1
dGhvcj48YXV0aG9yPk5ndXllbiwgVC48L2F1dGhvcj48YXV0aG9yPkFubmlzc2EsIFQuPC9hdXRo
b3I+PGF1dGhvcj5NY0dyYXRoLCBLLiBDLjwvYXV0aG9yPjxhdXRob3I+U2hhcm1hLCBQLjwvYXV0
aG9yPjxhdXRob3I+T2xpdmVyLCBCLiBHLjwvYXV0aG9yPjwvYXV0aG9ycz48L2NvbnRyaWJ1dG9y
cz48YXV0aC1hZGRyZXNzPjEgQ2VudHJlIGZvciBIZWFsdGggVGVjaG5vbG9naWVzIGFuZCBTY2hv
b2wgb2YgTGlmZSBTY2llbmNlcywgVW5pdmVyc2l0eSBvZiBUZWNobm9sb2d5IFN5ZG5leSwgU3lk
bmV5LCBOZXcgU291dGggV2FsZXMsIEF1c3RyYWxpYS4mI3hEOzIgRmFjdWx0eSBvZiBCYXNpYyBN
ZWRpY2FsIFNjaWVuY2VzLCBDaGVuZ2R1IFVuaXZlcnNpdHkgb2YgVHJhZGl0aW9uYWwgQ2hpbmVz
ZSBNZWRpY2luZSwgQ2hlbmdkdSwgU2ljaHVhbiwgQ2hpbmE7IGFuZC4mI3hEOzMgUmVzcGlyYXRv
cnkgQ2VsbHVsYXIgYW5kIE1vbGVjdWxhciBCaW9sb2d5LCBXb29sY29jayBJbnN0aXR1dGUgb2Yg
TWVkaWNhbCBSZXNlYXJjaCwgVW5pdmVyc2l0eSBvZiBTeWRuZXksIFN5ZG5leSwgTmV3IFNvdXRo
IFdhbGVzLCBBdXN0cmFsaWEuPC9hdXRoLWFkZHJlc3M+PHRpdGxlcz48dGl0bGU+TWF0ZXJuYWwg
RS1DaWdhcmV0dGUgRXhwb3N1cmUgaW4gTWljZSBBbHRlcnMgRE5BIE1ldGh5bGF0aW9uIGFuZCBM
dW5nIEN5dG9raW5lIEV4cHJlc3Npb24gaW4gT2Zmc3ByaW5nPC90aXRsZT48c2Vjb25kYXJ5LXRp
dGxlPkFtIEogUmVzcGlyIENlbGwgTW9sIEJpb2w8L3NlY29uZGFyeS10aXRsZT48YWx0LXRpdGxl
PkFtZXJpY2FuIGpvdXJuYWwgb2YgcmVzcGlyYXRvcnkgY2VsbCBhbmQgbW9sZWN1bGFyIGJpb2xv
Z3k8L2FsdC10aXRsZT48L3RpdGxlcz48cGVyaW9kaWNhbD48ZnVsbC10aXRsZT5BbSBKIFJlc3Bp
ciBDZWxsIE1vbCBCaW9sPC9mdWxsLXRpdGxlPjxhYmJyLTE+QW1lcmljYW4gam91cm5hbCBvZiBy
ZXNwaXJhdG9yeSBjZWxsIGFuZCBtb2xlY3VsYXIgYmlvbG9neTwvYWJici0xPjwvcGVyaW9kaWNh
bD48YWx0LXBlcmlvZGljYWw+PGZ1bGwtdGl0bGU+QW0gSiBSZXNwaXIgQ2VsbCBNb2wgQmlvbDwv
ZnVsbC10aXRsZT48YWJici0xPkFtZXJpY2FuIGpvdXJuYWwgb2YgcmVzcGlyYXRvcnkgY2VsbCBh
bmQgbW9sZWN1bGFyIGJpb2xvZ3k8L2FiYnItMT48L2FsdC1wZXJpb2RpY2FsPjxwYWdlcz4zNjYt
Mzc3PC9wYWdlcz48dm9sdW1lPjU4PC92b2x1bWU+PG51bWJlcj4zPC9udW1iZXI+PGVkaXRpb24+
MjAxNy8wOS8zMDwvZWRpdGlvbj48a2V5d29yZHM+PGtleXdvcmQ+ZS1jaWdhcmV0dGU8L2tleXdv
cmQ+PGtleXdvcmQ+ZS1mbHVpZDwva2V5d29yZD48a2V5d29yZD5pbmZsYW1tYXRvcnkgY3l0b2tp
bmU8L2tleXdvcmQ+PGtleXdvcmQ+bWF0ZXJuYWwgcHJvZ3JhbW1pbmc8L2tleXdvcmQ+PC9rZXl3
b3Jkcz48ZGF0ZXM+PHllYXI+MjAxODwveWVhcj48cHViLWRhdGVzPjxkYXRlPk1hcjwvZGF0ZT48
L3B1Yi1kYXRlcz48L2RhdGVzPjxpc2JuPjEwNDQtMTU0OTwvaXNibj48YWNjZXNzaW9uLW51bT4y
ODk2MDA4NjwvYWNjZXNzaW9uLW51bT48dXJscz48L3VybHM+PGVsZWN0cm9uaWMtcmVzb3VyY2Ut
bnVtPjEwLjExNjUvcmNtYi4yMDE3LTAyMDZSQzwvZWxlY3Ryb25pYy1yZXNvdXJjZS1udW0+PHJl
bW90ZS1kYXRhYmFzZS1wcm92aWRlcj5OTE08L3JlbW90ZS1kYXRhYmFzZS1wcm92aWRlcj48bGFu
Z3VhZ2U+ZW5nPC9sYW5ndWFnZT48L3JlY29yZD48L0NpdGU+PC9FbmROb3RlPgB=
</w:fldData>
            </w:fldChar>
          </w:r>
          <w:r>
            <w:instrText xml:space="preserve"> ADDIN EN.CITE </w:instrText>
          </w:r>
          <w:r>
            <w:fldChar w:fldCharType="begin">
              <w:fldData xml:space="preserve">PEVuZE5vdGU+PENpdGU+PEF1dGhvcj5DaGVuPC9BdXRob3I+PFllYXI+MjAxODwvWWVhcj48UmVj
TnVtPjg4ODwvUmVjTnVtPjxEaXNwbGF5VGV4dD4oQ2hlbiwgTGkgZXQgYWwuIDIwMTgpPC9EaXNw
bGF5VGV4dD48cmVjb3JkPjxyZWMtbnVtYmVyPjg4ODwvcmVjLW51bWJlcj48Zm9yZWlnbi1rZXlz
PjxrZXkgYXBwPSJFTiIgZGItaWQ9Ijl6MDVkejBwcmFhZGZ1ZWUwem94emVkazl6ZmU1Znh4NTB6
NSIgdGltZXN0YW1wPSIxNTIxNTA2OTUwIj44ODg8L2tleT48a2V5IGFwcD0iRU5XZWIiIGRiLWlk
PSIiPjA8L2tleT48L2ZvcmVpZ24ta2V5cz48cmVmLXR5cGUgbmFtZT0iSm91cm5hbCBBcnRpY2xl
Ij4xNzwvcmVmLXR5cGU+PGNvbnRyaWJ1dG9ycz48YXV0aG9ycz48YXV0aG9yPkNoZW4sIEguPC9h
dXRob3I+PGF1dGhvcj5MaSwgRy48L2F1dGhvcj48YXV0aG9yPkNoYW4sIFkuIEwuPC9hdXRob3I+
PGF1dGhvcj5DaGFwbWFuLCBELiBHLjwvYXV0aG9yPjxhdXRob3I+U3VramFtbm9uZywgUy48L2F1
dGhvcj48YXV0aG9yPk5ndXllbiwgVC48L2F1dGhvcj48YXV0aG9yPkFubmlzc2EsIFQuPC9hdXRo
b3I+PGF1dGhvcj5NY0dyYXRoLCBLLiBDLjwvYXV0aG9yPjxhdXRob3I+U2hhcm1hLCBQLjwvYXV0
aG9yPjxhdXRob3I+T2xpdmVyLCBCLiBHLjwvYXV0aG9yPjwvYXV0aG9ycz48L2NvbnRyaWJ1dG9y
cz48YXV0aC1hZGRyZXNzPjEgQ2VudHJlIGZvciBIZWFsdGggVGVjaG5vbG9naWVzIGFuZCBTY2hv
b2wgb2YgTGlmZSBTY2llbmNlcywgVW5pdmVyc2l0eSBvZiBUZWNobm9sb2d5IFN5ZG5leSwgU3lk
bmV5LCBOZXcgU291dGggV2FsZXMsIEF1c3RyYWxpYS4mI3hEOzIgRmFjdWx0eSBvZiBCYXNpYyBN
ZWRpY2FsIFNjaWVuY2VzLCBDaGVuZ2R1IFVuaXZlcnNpdHkgb2YgVHJhZGl0aW9uYWwgQ2hpbmVz
ZSBNZWRpY2luZSwgQ2hlbmdkdSwgU2ljaHVhbiwgQ2hpbmE7IGFuZC4mI3hEOzMgUmVzcGlyYXRv
cnkgQ2VsbHVsYXIgYW5kIE1vbGVjdWxhciBCaW9sb2d5LCBXb29sY29jayBJbnN0aXR1dGUgb2Yg
TWVkaWNhbCBSZXNlYXJjaCwgVW5pdmVyc2l0eSBvZiBTeWRuZXksIFN5ZG5leSwgTmV3IFNvdXRo
IFdhbGVzLCBBdXN0cmFsaWEuPC9hdXRoLWFkZHJlc3M+PHRpdGxlcz48dGl0bGU+TWF0ZXJuYWwg
RS1DaWdhcmV0dGUgRXhwb3N1cmUgaW4gTWljZSBBbHRlcnMgRE5BIE1ldGh5bGF0aW9uIGFuZCBM
dW5nIEN5dG9raW5lIEV4cHJlc3Npb24gaW4gT2Zmc3ByaW5nPC90aXRsZT48c2Vjb25kYXJ5LXRp
dGxlPkFtIEogUmVzcGlyIENlbGwgTW9sIEJpb2w8L3NlY29uZGFyeS10aXRsZT48YWx0LXRpdGxl
PkFtZXJpY2FuIGpvdXJuYWwgb2YgcmVzcGlyYXRvcnkgY2VsbCBhbmQgbW9sZWN1bGFyIGJpb2xv
Z3k8L2FsdC10aXRsZT48L3RpdGxlcz48cGVyaW9kaWNhbD48ZnVsbC10aXRsZT5BbSBKIFJlc3Bp
ciBDZWxsIE1vbCBCaW9sPC9mdWxsLXRpdGxlPjxhYmJyLTE+QW1lcmljYW4gam91cm5hbCBvZiBy
ZXNwaXJhdG9yeSBjZWxsIGFuZCBtb2xlY3VsYXIgYmlvbG9neTwvYWJici0xPjwvcGVyaW9kaWNh
bD48YWx0LXBlcmlvZGljYWw+PGZ1bGwtdGl0bGU+QW0gSiBSZXNwaXIgQ2VsbCBNb2wgQmlvbDwv
ZnVsbC10aXRsZT48YWJici0xPkFtZXJpY2FuIGpvdXJuYWwgb2YgcmVzcGlyYXRvcnkgY2VsbCBh
bmQgbW9sZWN1bGFyIGJpb2xvZ3k8L2FiYnItMT48L2FsdC1wZXJpb2RpY2FsPjxwYWdlcz4zNjYt
Mzc3PC9wYWdlcz48dm9sdW1lPjU4PC92b2x1bWU+PG51bWJlcj4zPC9udW1iZXI+PGVkaXRpb24+
MjAxNy8wOS8zMDwvZWRpdGlvbj48a2V5d29yZHM+PGtleXdvcmQ+ZS1jaWdhcmV0dGU8L2tleXdv
cmQ+PGtleXdvcmQ+ZS1mbHVpZDwva2V5d29yZD48a2V5d29yZD5pbmZsYW1tYXRvcnkgY3l0b2tp
bmU8L2tleXdvcmQ+PGtleXdvcmQ+bWF0ZXJuYWwgcHJvZ3JhbW1pbmc8L2tleXdvcmQ+PC9rZXl3
b3Jkcz48ZGF0ZXM+PHllYXI+MjAxODwveWVhcj48cHViLWRhdGVzPjxkYXRlPk1hcjwvZGF0ZT48
L3B1Yi1kYXRlcz48L2RhdGVzPjxpc2JuPjEwNDQtMTU0OTwvaXNibj48YWNjZXNzaW9uLW51bT4y
ODk2MDA4NjwvYWNjZXNzaW9uLW51bT48dXJscz48L3VybHM+PGVsZWN0cm9uaWMtcmVzb3VyY2Ut
bnVtPjEwLjExNjUvcmNtYi4yMDE3LTAyMDZSQzwvZWxlY3Ryb25pYy1yZXNvdXJjZS1udW0+PHJl
bW90ZS1kYXRhYmFzZS1wcm92aWRlcj5OTE08L3JlbW90ZS1kYXRhYmFzZS1wcm92aWRlcj48bGFu
Z3VhZ2U+ZW5nPC9sYW5ndWFnZT48L3JlY29yZD48L0NpdGU+PC9FbmROb3RlPgB=
</w:fldData>
            </w:fldChar>
          </w:r>
          <w:r>
            <w:instrText xml:space="preserve"> ADDIN EN.CITE.DATA </w:instrText>
          </w:r>
          <w:r>
            <w:fldChar w:fldCharType="end"/>
          </w:r>
          <w:r>
            <w:fldChar w:fldCharType="separate"/>
          </w:r>
          <w:r>
            <w:rPr>
              <w:noProof/>
            </w:rPr>
            <w:t>(Chen, Li et al. 2018)</w:t>
          </w:r>
          <w:r>
            <w:fldChar w:fldCharType="end"/>
          </w:r>
          <w:r>
            <w:t>.</w:t>
          </w:r>
          <w:r w:rsidRPr="00894DE7">
            <w:t xml:space="preserve"> </w:t>
          </w:r>
        </w:p>
        <w:p w14:paraId="75BEE816" w14:textId="77777777" w:rsidR="00EA2246" w:rsidRDefault="00EA2246" w:rsidP="00EA2246">
          <w:pPr>
            <w:pStyle w:val="BodyText"/>
          </w:pPr>
          <w:r>
            <w:t xml:space="preserve">Kennedy et al. added varying flavours of e-cigarette liquids to petri dishes containing frog embryos in a controlled trial </w:t>
          </w:r>
          <w:r>
            <w:fldChar w:fldCharType="begin">
              <w:fldData xml:space="preserve">PEVuZE5vdGU+PENpdGU+PEF1dGhvcj5LZW5uZWR5PC9BdXRob3I+PFllYXI+MjAxNzwvWWVhcj48
UmVjTnVtPjg5MDwvUmVjTnVtPjxEaXNwbGF5VGV4dD4oS2VubmVkeSwgS2FuZGFsYW0gZXQgYWwu
IDIwMTcpPC9EaXNwbGF5VGV4dD48cmVjb3JkPjxyZWMtbnVtYmVyPjg5MDwvcmVjLW51bWJlcj48
Zm9yZWlnbi1rZXlzPjxrZXkgYXBwPSJFTiIgZGItaWQ9Ijl6MDVkejBwcmFhZGZ1ZWUwem94emVk
azl6ZmU1Znh4NTB6NSIgdGltZXN0YW1wPSIxNTIxNTA2OTUxIj44OTA8L2tleT48a2V5IGFwcD0i
RU5XZWIiIGRiLWlkPSIiPjA8L2tleT48L2ZvcmVpZ24ta2V5cz48cmVmLXR5cGUgbmFtZT0iSm91
cm5hbCBBcnRpY2xlIj4xNzwvcmVmLXR5cGU+PGNvbnRyaWJ1dG9ycz48YXV0aG9ycz48YXV0aG9y
Pktlbm5lZHksIEEuIEUuPC9hdXRob3I+PGF1dGhvcj5LYW5kYWxhbSwgUy48L2F1dGhvcj48YXV0
aG9yPk9saXZhcmVzLU5hdmFycmV0ZSwgUi48L2F1dGhvcj48YXV0aG9yPkRpY2tpbnNvbiwgQS4g
Si4gRy48L2F1dGhvcj48L2F1dGhvcnM+PC9jb250cmlidXRvcnM+PGF1dGgtYWRkcmVzcz5WaXJn
aW5pYSBDb21tb253ZWFsdGggVW5pdmVyc2l0eSwgRGVwYXJ0bWVudCBvZiBCaW9sb2d5LCBSaWNo
bW9uZCwgVkEsIFVuaXRlZCBTdGF0ZXMgb2YgQW1lcmljYS4mI3hEO1ZpcmdpbmlhIENvbW1vbndl
YWx0aCBVbml2ZXJzaXR5LCBEZXBhcnRtZW50IG9mIEJpb21lZGljYWwgRW5naW5lZXJpbmcsIFJp
Y2htb25kLCBWQSwgVW5pdGVkIFN0YXRlcyBvZiBBbWVyaWNhLjwvYXV0aC1hZGRyZXNzPjx0aXRs
ZXM+PHRpdGxlPkUtY2lnYXJldHRlIGFlcm9zb2wgZXhwb3N1cmUgY2FuIGNhdXNlIGNyYW5pb2Zh
Y2lhbCBkZWZlY3RzIGluIFhlbm9wdXMgbGFldmlzIGVtYnJ5b3MgYW5kIG1hbW1hbGlhbiBuZXVy
YWwgY3Jlc3QgY2VsbHM8L3RpdGxlPjxzZWNvbmRhcnktdGl0bGU+UExvUyBPbmU8L3NlY29uZGFy
eS10aXRsZT48YWx0LXRpdGxlPlBsb1Mgb25lPC9hbHQtdGl0bGU+PC90aXRsZXM+PHBlcmlvZGlj
YWw+PGZ1bGwtdGl0bGU+UGxvcyBPbmU8L2Z1bGwtdGl0bGU+PC9wZXJpb2RpY2FsPjxhbHQtcGVy
aW9kaWNhbD48ZnVsbC10aXRsZT5QbG9zIE9uZTwvZnVsbC10aXRsZT48L2FsdC1wZXJpb2RpY2Fs
PjxwYWdlcz5lMDE4NTcyOTwvcGFnZXM+PHZvbHVtZT4xMjwvdm9sdW1lPjxudW1iZXI+OTwvbnVt
YmVyPjxlZGl0aW9uPjIwMTcvMDkvMjk8L2VkaXRpb24+PGtleXdvcmRzPjxrZXl3b3JkPkFlcm9z
b2xzLyp0b3hpY2l0eTwva2V5d29yZD48a2V5d29yZD5BbmltYWxzPC9rZXl3b3JkPjxrZXl3b3Jk
PkNyYW5pb2ZhY2lhbCBBYm5vcm1hbGl0aWVzLypjaGVtaWNhbGx5IGluZHVjZWQ8L2tleXdvcmQ+
PGtleXdvcmQ+KkVsZWN0cm9uaWMgTmljb3RpbmUgRGVsaXZlcnkgU3lzdGVtczwva2V5d29yZD48
a2V5d29yZD5HZW5lIEV4cHJlc3Npb24gUmVndWxhdGlvbiwgRGV2ZWxvcG1lbnRhbC9kcnVnIGVm
ZmVjdHM8L2tleXdvcmQ+PGtleXdvcmQ+R2x5Y2Vyb2wvdG94aWNpdHk8L2tleXdvcmQ+PGtleXdv
cmQ+TWFtbWFsczwva2V5d29yZD48a2V5d29yZD5OZXVyYWwgQ3Jlc3QvY3l0b2xvZ3kvKmRydWcg
ZWZmZWN0czwva2V5d29yZD48a2V5d29yZD5OaWNvdGluZS90b3hpY2l0eTwva2V5d29yZD48a2V5
d29yZD5Qcm9weWxlbmUgR2x5Y29sL3RveGljaXR5PC9rZXl3b3JkPjxrZXl3b3JkPlhlbm9wdXMg
bGFldmlzLyplbWJyeW9sb2d5PC9rZXl3b3JkPjwva2V5d29yZHM+PGRhdGVzPjx5ZWFyPjIwMTc8
L3llYXI+PC9kYXRlcz48aXNibj4xOTMyLTYyMDM8L2lzYm4+PGFjY2Vzc2lvbi1udW0+Mjg5NTc0
Mzg8L2FjY2Vzc2lvbi1udW0+PHVybHM+PHJlbGF0ZWQtdXJscz48dXJsPmh0dHBzOi8vd3d3Lm5j
YmkubmxtLm5paC5nb3YvcG1jL2FydGljbGVzL1BNQzU2MTk4MjYvcGRmL3BvbmUuMDE4NTcyOS5w
ZGY8L3VybD48L3JlbGF0ZWQtdXJscz48L3VybHM+PGN1c3RvbTI+UE1DNTYxOTgyNjwvY3VzdG9t
Mj48ZWxlY3Ryb25pYy1yZXNvdXJjZS1udW0+MTAuMTM3MS9qb3VybmFsLnBvbmUuMDE4NTcyOTwv
ZWxlY3Ryb25pYy1yZXNvdXJjZS1udW0+PHJlbW90ZS1kYXRhYmFzZS1wcm92aWRlcj5OTE08L3Jl
bW90ZS1kYXRhYmFzZS1wcm92aWRlcj48bGFuZ3VhZ2U+ZW5nPC9sYW5ndWFnZT48L3JlY29yZD48
L0NpdGU+PC9FbmROb3RlPn==
</w:fldData>
            </w:fldChar>
          </w:r>
          <w:r>
            <w:instrText xml:space="preserve"> ADDIN EN.CITE </w:instrText>
          </w:r>
          <w:r>
            <w:fldChar w:fldCharType="begin">
              <w:fldData xml:space="preserve">PEVuZE5vdGU+PENpdGU+PEF1dGhvcj5LZW5uZWR5PC9BdXRob3I+PFllYXI+MjAxNzwvWWVhcj48
UmVjTnVtPjg5MDwvUmVjTnVtPjxEaXNwbGF5VGV4dD4oS2VubmVkeSwgS2FuZGFsYW0gZXQgYWwu
IDIwMTcpPC9EaXNwbGF5VGV4dD48cmVjb3JkPjxyZWMtbnVtYmVyPjg5MDwvcmVjLW51bWJlcj48
Zm9yZWlnbi1rZXlzPjxrZXkgYXBwPSJFTiIgZGItaWQ9Ijl6MDVkejBwcmFhZGZ1ZWUwem94emVk
azl6ZmU1Znh4NTB6NSIgdGltZXN0YW1wPSIxNTIxNTA2OTUxIj44OTA8L2tleT48a2V5IGFwcD0i
RU5XZWIiIGRiLWlkPSIiPjA8L2tleT48L2ZvcmVpZ24ta2V5cz48cmVmLXR5cGUgbmFtZT0iSm91
cm5hbCBBcnRpY2xlIj4xNzwvcmVmLXR5cGU+PGNvbnRyaWJ1dG9ycz48YXV0aG9ycz48YXV0aG9y
Pktlbm5lZHksIEEuIEUuPC9hdXRob3I+PGF1dGhvcj5LYW5kYWxhbSwgUy48L2F1dGhvcj48YXV0
aG9yPk9saXZhcmVzLU5hdmFycmV0ZSwgUi48L2F1dGhvcj48YXV0aG9yPkRpY2tpbnNvbiwgQS4g
Si4gRy48L2F1dGhvcj48L2F1dGhvcnM+PC9jb250cmlidXRvcnM+PGF1dGgtYWRkcmVzcz5WaXJn
aW5pYSBDb21tb253ZWFsdGggVW5pdmVyc2l0eSwgRGVwYXJ0bWVudCBvZiBCaW9sb2d5LCBSaWNo
bW9uZCwgVkEsIFVuaXRlZCBTdGF0ZXMgb2YgQW1lcmljYS4mI3hEO1ZpcmdpbmlhIENvbW1vbndl
YWx0aCBVbml2ZXJzaXR5LCBEZXBhcnRtZW50IG9mIEJpb21lZGljYWwgRW5naW5lZXJpbmcsIFJp
Y2htb25kLCBWQSwgVW5pdGVkIFN0YXRlcyBvZiBBbWVyaWNhLjwvYXV0aC1hZGRyZXNzPjx0aXRs
ZXM+PHRpdGxlPkUtY2lnYXJldHRlIGFlcm9zb2wgZXhwb3N1cmUgY2FuIGNhdXNlIGNyYW5pb2Zh
Y2lhbCBkZWZlY3RzIGluIFhlbm9wdXMgbGFldmlzIGVtYnJ5b3MgYW5kIG1hbW1hbGlhbiBuZXVy
YWwgY3Jlc3QgY2VsbHM8L3RpdGxlPjxzZWNvbmRhcnktdGl0bGU+UExvUyBPbmU8L3NlY29uZGFy
eS10aXRsZT48YWx0LXRpdGxlPlBsb1Mgb25lPC9hbHQtdGl0bGU+PC90aXRsZXM+PHBlcmlvZGlj
YWw+PGZ1bGwtdGl0bGU+UGxvcyBPbmU8L2Z1bGwtdGl0bGU+PC9wZXJpb2RpY2FsPjxhbHQtcGVy
aW9kaWNhbD48ZnVsbC10aXRsZT5QbG9zIE9uZTwvZnVsbC10aXRsZT48L2FsdC1wZXJpb2RpY2Fs
PjxwYWdlcz5lMDE4NTcyOTwvcGFnZXM+PHZvbHVtZT4xMjwvdm9sdW1lPjxudW1iZXI+OTwvbnVt
YmVyPjxlZGl0aW9uPjIwMTcvMDkvMjk8L2VkaXRpb24+PGtleXdvcmRzPjxrZXl3b3JkPkFlcm9z
b2xzLyp0b3hpY2l0eTwva2V5d29yZD48a2V5d29yZD5BbmltYWxzPC9rZXl3b3JkPjxrZXl3b3Jk
PkNyYW5pb2ZhY2lhbCBBYm5vcm1hbGl0aWVzLypjaGVtaWNhbGx5IGluZHVjZWQ8L2tleXdvcmQ+
PGtleXdvcmQ+KkVsZWN0cm9uaWMgTmljb3RpbmUgRGVsaXZlcnkgU3lzdGVtczwva2V5d29yZD48
a2V5d29yZD5HZW5lIEV4cHJlc3Npb24gUmVndWxhdGlvbiwgRGV2ZWxvcG1lbnRhbC9kcnVnIGVm
ZmVjdHM8L2tleXdvcmQ+PGtleXdvcmQ+R2x5Y2Vyb2wvdG94aWNpdHk8L2tleXdvcmQ+PGtleXdv
cmQ+TWFtbWFsczwva2V5d29yZD48a2V5d29yZD5OZXVyYWwgQ3Jlc3QvY3l0b2xvZ3kvKmRydWcg
ZWZmZWN0czwva2V5d29yZD48a2V5d29yZD5OaWNvdGluZS90b3hpY2l0eTwva2V5d29yZD48a2V5
d29yZD5Qcm9weWxlbmUgR2x5Y29sL3RveGljaXR5PC9rZXl3b3JkPjxrZXl3b3JkPlhlbm9wdXMg
bGFldmlzLyplbWJyeW9sb2d5PC9rZXl3b3JkPjwva2V5d29yZHM+PGRhdGVzPjx5ZWFyPjIwMTc8
L3llYXI+PC9kYXRlcz48aXNibj4xOTMyLTYyMDM8L2lzYm4+PGFjY2Vzc2lvbi1udW0+Mjg5NTc0
Mzg8L2FjY2Vzc2lvbi1udW0+PHVybHM+PHJlbGF0ZWQtdXJscz48dXJsPmh0dHBzOi8vd3d3Lm5j
YmkubmxtLm5paC5nb3YvcG1jL2FydGljbGVzL1BNQzU2MTk4MjYvcGRmL3BvbmUuMDE4NTcyOS5w
ZGY8L3VybD48L3JlbGF0ZWQtdXJscz48L3VybHM+PGN1c3RvbTI+UE1DNTYxOTgyNjwvY3VzdG9t
Mj48ZWxlY3Ryb25pYy1yZXNvdXJjZS1udW0+MTAuMTM3MS9qb3VybmFsLnBvbmUuMDE4NTcyOTwv
ZWxlY3Ryb25pYy1yZXNvdXJjZS1udW0+PHJlbW90ZS1kYXRhYmFzZS1wcm92aWRlcj5OTE08L3Jl
bW90ZS1kYXRhYmFzZS1wcm92aWRlcj48bGFuZ3VhZ2U+ZW5nPC9sYW5ndWFnZT48L3JlY29yZD48
L0NpdGU+PC9FbmROb3RlPn==
</w:fldData>
            </w:fldChar>
          </w:r>
          <w:r>
            <w:instrText xml:space="preserve"> ADDIN EN.CITE.DATA </w:instrText>
          </w:r>
          <w:r>
            <w:fldChar w:fldCharType="end"/>
          </w:r>
          <w:r>
            <w:fldChar w:fldCharType="separate"/>
          </w:r>
          <w:r>
            <w:rPr>
              <w:noProof/>
            </w:rPr>
            <w:t>(Kennedy, Kandalam et al. 2017)</w:t>
          </w:r>
          <w:r>
            <w:fldChar w:fldCharType="end"/>
          </w:r>
          <w:r>
            <w:t>. They found that frog embryos exposed to e</w:t>
          </w:r>
          <w:r>
            <w:noBreakHyphen/>
            <w:t xml:space="preserve">cigarette liquid had craniofacial defects, including </w:t>
          </w:r>
          <w:r w:rsidRPr="00BD0D22">
            <w:t>median facial clefts and midface hypoplasia</w:t>
          </w:r>
          <w:r>
            <w:t xml:space="preserve">, reduced blood supply to the face and muscle defects </w:t>
          </w:r>
          <w:r>
            <w:fldChar w:fldCharType="begin">
              <w:fldData xml:space="preserve">PEVuZE5vdGU+PENpdGU+PEF1dGhvcj5LZW5uZWR5PC9BdXRob3I+PFllYXI+MjAxNzwvWWVhcj48
UmVjTnVtPjg5MDwvUmVjTnVtPjxEaXNwbGF5VGV4dD4oS2VubmVkeSwgS2FuZGFsYW0gZXQgYWwu
IDIwMTcpPC9EaXNwbGF5VGV4dD48cmVjb3JkPjxyZWMtbnVtYmVyPjg5MDwvcmVjLW51bWJlcj48
Zm9yZWlnbi1rZXlzPjxrZXkgYXBwPSJFTiIgZGItaWQ9Ijl6MDVkejBwcmFhZGZ1ZWUwem94emVk
azl6ZmU1Znh4NTB6NSIgdGltZXN0YW1wPSIxNTIxNTA2OTUxIj44OTA8L2tleT48a2V5IGFwcD0i
RU5XZWIiIGRiLWlkPSIiPjA8L2tleT48L2ZvcmVpZ24ta2V5cz48cmVmLXR5cGUgbmFtZT0iSm91
cm5hbCBBcnRpY2xlIj4xNzwvcmVmLXR5cGU+PGNvbnRyaWJ1dG9ycz48YXV0aG9ycz48YXV0aG9y
Pktlbm5lZHksIEEuIEUuPC9hdXRob3I+PGF1dGhvcj5LYW5kYWxhbSwgUy48L2F1dGhvcj48YXV0
aG9yPk9saXZhcmVzLU5hdmFycmV0ZSwgUi48L2F1dGhvcj48YXV0aG9yPkRpY2tpbnNvbiwgQS4g
Si4gRy48L2F1dGhvcj48L2F1dGhvcnM+PC9jb250cmlidXRvcnM+PGF1dGgtYWRkcmVzcz5WaXJn
aW5pYSBDb21tb253ZWFsdGggVW5pdmVyc2l0eSwgRGVwYXJ0bWVudCBvZiBCaW9sb2d5LCBSaWNo
bW9uZCwgVkEsIFVuaXRlZCBTdGF0ZXMgb2YgQW1lcmljYS4mI3hEO1ZpcmdpbmlhIENvbW1vbndl
YWx0aCBVbml2ZXJzaXR5LCBEZXBhcnRtZW50IG9mIEJpb21lZGljYWwgRW5naW5lZXJpbmcsIFJp
Y2htb25kLCBWQSwgVW5pdGVkIFN0YXRlcyBvZiBBbWVyaWNhLjwvYXV0aC1hZGRyZXNzPjx0aXRs
ZXM+PHRpdGxlPkUtY2lnYXJldHRlIGFlcm9zb2wgZXhwb3N1cmUgY2FuIGNhdXNlIGNyYW5pb2Zh
Y2lhbCBkZWZlY3RzIGluIFhlbm9wdXMgbGFldmlzIGVtYnJ5b3MgYW5kIG1hbW1hbGlhbiBuZXVy
YWwgY3Jlc3QgY2VsbHM8L3RpdGxlPjxzZWNvbmRhcnktdGl0bGU+UExvUyBPbmU8L3NlY29uZGFy
eS10aXRsZT48YWx0LXRpdGxlPlBsb1Mgb25lPC9hbHQtdGl0bGU+PC90aXRsZXM+PHBlcmlvZGlj
YWw+PGZ1bGwtdGl0bGU+UGxvcyBPbmU8L2Z1bGwtdGl0bGU+PC9wZXJpb2RpY2FsPjxhbHQtcGVy
aW9kaWNhbD48ZnVsbC10aXRsZT5QbG9zIE9uZTwvZnVsbC10aXRsZT48L2FsdC1wZXJpb2RpY2Fs
PjxwYWdlcz5lMDE4NTcyOTwvcGFnZXM+PHZvbHVtZT4xMjwvdm9sdW1lPjxudW1iZXI+OTwvbnVt
YmVyPjxlZGl0aW9uPjIwMTcvMDkvMjk8L2VkaXRpb24+PGtleXdvcmRzPjxrZXl3b3JkPkFlcm9z
b2xzLyp0b3hpY2l0eTwva2V5d29yZD48a2V5d29yZD5BbmltYWxzPC9rZXl3b3JkPjxrZXl3b3Jk
PkNyYW5pb2ZhY2lhbCBBYm5vcm1hbGl0aWVzLypjaGVtaWNhbGx5IGluZHVjZWQ8L2tleXdvcmQ+
PGtleXdvcmQ+KkVsZWN0cm9uaWMgTmljb3RpbmUgRGVsaXZlcnkgU3lzdGVtczwva2V5d29yZD48
a2V5d29yZD5HZW5lIEV4cHJlc3Npb24gUmVndWxhdGlvbiwgRGV2ZWxvcG1lbnRhbC9kcnVnIGVm
ZmVjdHM8L2tleXdvcmQ+PGtleXdvcmQ+R2x5Y2Vyb2wvdG94aWNpdHk8L2tleXdvcmQ+PGtleXdv
cmQ+TWFtbWFsczwva2V5d29yZD48a2V5d29yZD5OZXVyYWwgQ3Jlc3QvY3l0b2xvZ3kvKmRydWcg
ZWZmZWN0czwva2V5d29yZD48a2V5d29yZD5OaWNvdGluZS90b3hpY2l0eTwva2V5d29yZD48a2V5
d29yZD5Qcm9weWxlbmUgR2x5Y29sL3RveGljaXR5PC9rZXl3b3JkPjxrZXl3b3JkPlhlbm9wdXMg
bGFldmlzLyplbWJyeW9sb2d5PC9rZXl3b3JkPjwva2V5d29yZHM+PGRhdGVzPjx5ZWFyPjIwMTc8
L3llYXI+PC9kYXRlcz48aXNibj4xOTMyLTYyMDM8L2lzYm4+PGFjY2Vzc2lvbi1udW0+Mjg5NTc0
Mzg8L2FjY2Vzc2lvbi1udW0+PHVybHM+PHJlbGF0ZWQtdXJscz48dXJsPmh0dHBzOi8vd3d3Lm5j
YmkubmxtLm5paC5nb3YvcG1jL2FydGljbGVzL1BNQzU2MTk4MjYvcGRmL3BvbmUuMDE4NTcyOS5w
ZGY8L3VybD48L3JlbGF0ZWQtdXJscz48L3VybHM+PGN1c3RvbTI+UE1DNTYxOTgyNjwvY3VzdG9t
Mj48ZWxlY3Ryb25pYy1yZXNvdXJjZS1udW0+MTAuMTM3MS9qb3VybmFsLnBvbmUuMDE4NTcyOTwv
ZWxlY3Ryb25pYy1yZXNvdXJjZS1udW0+PHJlbW90ZS1kYXRhYmFzZS1wcm92aWRlcj5OTE08L3Jl
bW90ZS1kYXRhYmFzZS1wcm92aWRlcj48bGFuZ3VhZ2U+ZW5nPC9sYW5ndWFnZT48L3JlY29yZD48
L0NpdGU+PC9FbmROb3RlPn==
</w:fldData>
            </w:fldChar>
          </w:r>
          <w:r>
            <w:instrText xml:space="preserve"> ADDIN EN.CITE </w:instrText>
          </w:r>
          <w:r>
            <w:fldChar w:fldCharType="begin">
              <w:fldData xml:space="preserve">PEVuZE5vdGU+PENpdGU+PEF1dGhvcj5LZW5uZWR5PC9BdXRob3I+PFllYXI+MjAxNzwvWWVhcj48
UmVjTnVtPjg5MDwvUmVjTnVtPjxEaXNwbGF5VGV4dD4oS2VubmVkeSwgS2FuZGFsYW0gZXQgYWwu
IDIwMTcpPC9EaXNwbGF5VGV4dD48cmVjb3JkPjxyZWMtbnVtYmVyPjg5MDwvcmVjLW51bWJlcj48
Zm9yZWlnbi1rZXlzPjxrZXkgYXBwPSJFTiIgZGItaWQ9Ijl6MDVkejBwcmFhZGZ1ZWUwem94emVk
azl6ZmU1Znh4NTB6NSIgdGltZXN0YW1wPSIxNTIxNTA2OTUxIj44OTA8L2tleT48a2V5IGFwcD0i
RU5XZWIiIGRiLWlkPSIiPjA8L2tleT48L2ZvcmVpZ24ta2V5cz48cmVmLXR5cGUgbmFtZT0iSm91
cm5hbCBBcnRpY2xlIj4xNzwvcmVmLXR5cGU+PGNvbnRyaWJ1dG9ycz48YXV0aG9ycz48YXV0aG9y
Pktlbm5lZHksIEEuIEUuPC9hdXRob3I+PGF1dGhvcj5LYW5kYWxhbSwgUy48L2F1dGhvcj48YXV0
aG9yPk9saXZhcmVzLU5hdmFycmV0ZSwgUi48L2F1dGhvcj48YXV0aG9yPkRpY2tpbnNvbiwgQS4g
Si4gRy48L2F1dGhvcj48L2F1dGhvcnM+PC9jb250cmlidXRvcnM+PGF1dGgtYWRkcmVzcz5WaXJn
aW5pYSBDb21tb253ZWFsdGggVW5pdmVyc2l0eSwgRGVwYXJ0bWVudCBvZiBCaW9sb2d5LCBSaWNo
bW9uZCwgVkEsIFVuaXRlZCBTdGF0ZXMgb2YgQW1lcmljYS4mI3hEO1ZpcmdpbmlhIENvbW1vbndl
YWx0aCBVbml2ZXJzaXR5LCBEZXBhcnRtZW50IG9mIEJpb21lZGljYWwgRW5naW5lZXJpbmcsIFJp
Y2htb25kLCBWQSwgVW5pdGVkIFN0YXRlcyBvZiBBbWVyaWNhLjwvYXV0aC1hZGRyZXNzPjx0aXRs
ZXM+PHRpdGxlPkUtY2lnYXJldHRlIGFlcm9zb2wgZXhwb3N1cmUgY2FuIGNhdXNlIGNyYW5pb2Zh
Y2lhbCBkZWZlY3RzIGluIFhlbm9wdXMgbGFldmlzIGVtYnJ5b3MgYW5kIG1hbW1hbGlhbiBuZXVy
YWwgY3Jlc3QgY2VsbHM8L3RpdGxlPjxzZWNvbmRhcnktdGl0bGU+UExvUyBPbmU8L3NlY29uZGFy
eS10aXRsZT48YWx0LXRpdGxlPlBsb1Mgb25lPC9hbHQtdGl0bGU+PC90aXRsZXM+PHBlcmlvZGlj
YWw+PGZ1bGwtdGl0bGU+UGxvcyBPbmU8L2Z1bGwtdGl0bGU+PC9wZXJpb2RpY2FsPjxhbHQtcGVy
aW9kaWNhbD48ZnVsbC10aXRsZT5QbG9zIE9uZTwvZnVsbC10aXRsZT48L2FsdC1wZXJpb2RpY2Fs
PjxwYWdlcz5lMDE4NTcyOTwvcGFnZXM+PHZvbHVtZT4xMjwvdm9sdW1lPjxudW1iZXI+OTwvbnVt
YmVyPjxlZGl0aW9uPjIwMTcvMDkvMjk8L2VkaXRpb24+PGtleXdvcmRzPjxrZXl3b3JkPkFlcm9z
b2xzLyp0b3hpY2l0eTwva2V5d29yZD48a2V5d29yZD5BbmltYWxzPC9rZXl3b3JkPjxrZXl3b3Jk
PkNyYW5pb2ZhY2lhbCBBYm5vcm1hbGl0aWVzLypjaGVtaWNhbGx5IGluZHVjZWQ8L2tleXdvcmQ+
PGtleXdvcmQ+KkVsZWN0cm9uaWMgTmljb3RpbmUgRGVsaXZlcnkgU3lzdGVtczwva2V5d29yZD48
a2V5d29yZD5HZW5lIEV4cHJlc3Npb24gUmVndWxhdGlvbiwgRGV2ZWxvcG1lbnRhbC9kcnVnIGVm
ZmVjdHM8L2tleXdvcmQ+PGtleXdvcmQ+R2x5Y2Vyb2wvdG94aWNpdHk8L2tleXdvcmQ+PGtleXdv
cmQ+TWFtbWFsczwva2V5d29yZD48a2V5d29yZD5OZXVyYWwgQ3Jlc3QvY3l0b2xvZ3kvKmRydWcg
ZWZmZWN0czwva2V5d29yZD48a2V5d29yZD5OaWNvdGluZS90b3hpY2l0eTwva2V5d29yZD48a2V5
d29yZD5Qcm9weWxlbmUgR2x5Y29sL3RveGljaXR5PC9rZXl3b3JkPjxrZXl3b3JkPlhlbm9wdXMg
bGFldmlzLyplbWJyeW9sb2d5PC9rZXl3b3JkPjwva2V5d29yZHM+PGRhdGVzPjx5ZWFyPjIwMTc8
L3llYXI+PC9kYXRlcz48aXNibj4xOTMyLTYyMDM8L2lzYm4+PGFjY2Vzc2lvbi1udW0+Mjg5NTc0
Mzg8L2FjY2Vzc2lvbi1udW0+PHVybHM+PHJlbGF0ZWQtdXJscz48dXJsPmh0dHBzOi8vd3d3Lm5j
YmkubmxtLm5paC5nb3YvcG1jL2FydGljbGVzL1BNQzU2MTk4MjYvcGRmL3BvbmUuMDE4NTcyOS5w
ZGY8L3VybD48L3JlbGF0ZWQtdXJscz48L3VybHM+PGN1c3RvbTI+UE1DNTYxOTgyNjwvY3VzdG9t
Mj48ZWxlY3Ryb25pYy1yZXNvdXJjZS1udW0+MTAuMTM3MS9qb3VybmFsLnBvbmUuMDE4NTcyOTwv
ZWxlY3Ryb25pYy1yZXNvdXJjZS1udW0+PHJlbW90ZS1kYXRhYmFzZS1wcm92aWRlcj5OTE08L3Jl
bW90ZS1kYXRhYmFzZS1wcm92aWRlcj48bGFuZ3VhZ2U+ZW5nPC9sYW5ndWFnZT48L3JlY29yZD48
L0NpdGU+PC9FbmROb3RlPn==
</w:fldData>
            </w:fldChar>
          </w:r>
          <w:r>
            <w:instrText xml:space="preserve"> ADDIN EN.CITE.DATA </w:instrText>
          </w:r>
          <w:r>
            <w:fldChar w:fldCharType="end"/>
          </w:r>
          <w:r>
            <w:fldChar w:fldCharType="separate"/>
          </w:r>
          <w:r>
            <w:rPr>
              <w:noProof/>
            </w:rPr>
            <w:t>(Kennedy, Kandalam et al. 2017)</w:t>
          </w:r>
          <w:r>
            <w:fldChar w:fldCharType="end"/>
          </w:r>
          <w:r>
            <w:t xml:space="preserve">. They compared craniofacial defects resulting from both nicotine-containing e-cigarette liquids and nicotine-free e-cigarette liquids and found similar craniofacial defects in both </w:t>
          </w:r>
          <w:r>
            <w:fldChar w:fldCharType="begin">
              <w:fldData xml:space="preserve">PEVuZE5vdGU+PENpdGU+PEF1dGhvcj5LZW5uZWR5PC9BdXRob3I+PFllYXI+MjAxNzwvWWVhcj48
UmVjTnVtPjg5MDwvUmVjTnVtPjxEaXNwbGF5VGV4dD4oS2VubmVkeSwgS2FuZGFsYW0gZXQgYWwu
IDIwMTcpPC9EaXNwbGF5VGV4dD48cmVjb3JkPjxyZWMtbnVtYmVyPjg5MDwvcmVjLW51bWJlcj48
Zm9yZWlnbi1rZXlzPjxrZXkgYXBwPSJFTiIgZGItaWQ9Ijl6MDVkejBwcmFhZGZ1ZWUwem94emVk
azl6ZmU1Znh4NTB6NSIgdGltZXN0YW1wPSIxNTIxNTA2OTUxIj44OTA8L2tleT48a2V5IGFwcD0i
RU5XZWIiIGRiLWlkPSIiPjA8L2tleT48L2ZvcmVpZ24ta2V5cz48cmVmLXR5cGUgbmFtZT0iSm91
cm5hbCBBcnRpY2xlIj4xNzwvcmVmLXR5cGU+PGNvbnRyaWJ1dG9ycz48YXV0aG9ycz48YXV0aG9y
Pktlbm5lZHksIEEuIEUuPC9hdXRob3I+PGF1dGhvcj5LYW5kYWxhbSwgUy48L2F1dGhvcj48YXV0
aG9yPk9saXZhcmVzLU5hdmFycmV0ZSwgUi48L2F1dGhvcj48YXV0aG9yPkRpY2tpbnNvbiwgQS4g
Si4gRy48L2F1dGhvcj48L2F1dGhvcnM+PC9jb250cmlidXRvcnM+PGF1dGgtYWRkcmVzcz5WaXJn
aW5pYSBDb21tb253ZWFsdGggVW5pdmVyc2l0eSwgRGVwYXJ0bWVudCBvZiBCaW9sb2d5LCBSaWNo
bW9uZCwgVkEsIFVuaXRlZCBTdGF0ZXMgb2YgQW1lcmljYS4mI3hEO1ZpcmdpbmlhIENvbW1vbndl
YWx0aCBVbml2ZXJzaXR5LCBEZXBhcnRtZW50IG9mIEJpb21lZGljYWwgRW5naW5lZXJpbmcsIFJp
Y2htb25kLCBWQSwgVW5pdGVkIFN0YXRlcyBvZiBBbWVyaWNhLjwvYXV0aC1hZGRyZXNzPjx0aXRs
ZXM+PHRpdGxlPkUtY2lnYXJldHRlIGFlcm9zb2wgZXhwb3N1cmUgY2FuIGNhdXNlIGNyYW5pb2Zh
Y2lhbCBkZWZlY3RzIGluIFhlbm9wdXMgbGFldmlzIGVtYnJ5b3MgYW5kIG1hbW1hbGlhbiBuZXVy
YWwgY3Jlc3QgY2VsbHM8L3RpdGxlPjxzZWNvbmRhcnktdGl0bGU+UExvUyBPbmU8L3NlY29uZGFy
eS10aXRsZT48YWx0LXRpdGxlPlBsb1Mgb25lPC9hbHQtdGl0bGU+PC90aXRsZXM+PHBlcmlvZGlj
YWw+PGZ1bGwtdGl0bGU+UGxvcyBPbmU8L2Z1bGwtdGl0bGU+PC9wZXJpb2RpY2FsPjxhbHQtcGVy
aW9kaWNhbD48ZnVsbC10aXRsZT5QbG9zIE9uZTwvZnVsbC10aXRsZT48L2FsdC1wZXJpb2RpY2Fs
PjxwYWdlcz5lMDE4NTcyOTwvcGFnZXM+PHZvbHVtZT4xMjwvdm9sdW1lPjxudW1iZXI+OTwvbnVt
YmVyPjxlZGl0aW9uPjIwMTcvMDkvMjk8L2VkaXRpb24+PGtleXdvcmRzPjxrZXl3b3JkPkFlcm9z
b2xzLyp0b3hpY2l0eTwva2V5d29yZD48a2V5d29yZD5BbmltYWxzPC9rZXl3b3JkPjxrZXl3b3Jk
PkNyYW5pb2ZhY2lhbCBBYm5vcm1hbGl0aWVzLypjaGVtaWNhbGx5IGluZHVjZWQ8L2tleXdvcmQ+
PGtleXdvcmQ+KkVsZWN0cm9uaWMgTmljb3RpbmUgRGVsaXZlcnkgU3lzdGVtczwva2V5d29yZD48
a2V5d29yZD5HZW5lIEV4cHJlc3Npb24gUmVndWxhdGlvbiwgRGV2ZWxvcG1lbnRhbC9kcnVnIGVm
ZmVjdHM8L2tleXdvcmQ+PGtleXdvcmQ+R2x5Y2Vyb2wvdG94aWNpdHk8L2tleXdvcmQ+PGtleXdv
cmQ+TWFtbWFsczwva2V5d29yZD48a2V5d29yZD5OZXVyYWwgQ3Jlc3QvY3l0b2xvZ3kvKmRydWcg
ZWZmZWN0czwva2V5d29yZD48a2V5d29yZD5OaWNvdGluZS90b3hpY2l0eTwva2V5d29yZD48a2V5
d29yZD5Qcm9weWxlbmUgR2x5Y29sL3RveGljaXR5PC9rZXl3b3JkPjxrZXl3b3JkPlhlbm9wdXMg
bGFldmlzLyplbWJyeW9sb2d5PC9rZXl3b3JkPjwva2V5d29yZHM+PGRhdGVzPjx5ZWFyPjIwMTc8
L3llYXI+PC9kYXRlcz48aXNibj4xOTMyLTYyMDM8L2lzYm4+PGFjY2Vzc2lvbi1udW0+Mjg5NTc0
Mzg8L2FjY2Vzc2lvbi1udW0+PHVybHM+PHJlbGF0ZWQtdXJscz48dXJsPmh0dHBzOi8vd3d3Lm5j
YmkubmxtLm5paC5nb3YvcG1jL2FydGljbGVzL1BNQzU2MTk4MjYvcGRmL3BvbmUuMDE4NTcyOS5w
ZGY8L3VybD48L3JlbGF0ZWQtdXJscz48L3VybHM+PGN1c3RvbTI+UE1DNTYxOTgyNjwvY3VzdG9t
Mj48ZWxlY3Ryb25pYy1yZXNvdXJjZS1udW0+MTAuMTM3MS9qb3VybmFsLnBvbmUuMDE4NTcyOTwv
ZWxlY3Ryb25pYy1yZXNvdXJjZS1udW0+PHJlbW90ZS1kYXRhYmFzZS1wcm92aWRlcj5OTE08L3Jl
bW90ZS1kYXRhYmFzZS1wcm92aWRlcj48bGFuZ3VhZ2U+ZW5nPC9sYW5ndWFnZT48L3JlY29yZD48
L0NpdGU+PC9FbmROb3RlPn==
</w:fldData>
            </w:fldChar>
          </w:r>
          <w:r>
            <w:instrText xml:space="preserve"> ADDIN EN.CITE </w:instrText>
          </w:r>
          <w:r>
            <w:fldChar w:fldCharType="begin">
              <w:fldData xml:space="preserve">PEVuZE5vdGU+PENpdGU+PEF1dGhvcj5LZW5uZWR5PC9BdXRob3I+PFllYXI+MjAxNzwvWWVhcj48
UmVjTnVtPjg5MDwvUmVjTnVtPjxEaXNwbGF5VGV4dD4oS2VubmVkeSwgS2FuZGFsYW0gZXQgYWwu
IDIwMTcpPC9EaXNwbGF5VGV4dD48cmVjb3JkPjxyZWMtbnVtYmVyPjg5MDwvcmVjLW51bWJlcj48
Zm9yZWlnbi1rZXlzPjxrZXkgYXBwPSJFTiIgZGItaWQ9Ijl6MDVkejBwcmFhZGZ1ZWUwem94emVk
azl6ZmU1Znh4NTB6NSIgdGltZXN0YW1wPSIxNTIxNTA2OTUxIj44OTA8L2tleT48a2V5IGFwcD0i
RU5XZWIiIGRiLWlkPSIiPjA8L2tleT48L2ZvcmVpZ24ta2V5cz48cmVmLXR5cGUgbmFtZT0iSm91
cm5hbCBBcnRpY2xlIj4xNzwvcmVmLXR5cGU+PGNvbnRyaWJ1dG9ycz48YXV0aG9ycz48YXV0aG9y
Pktlbm5lZHksIEEuIEUuPC9hdXRob3I+PGF1dGhvcj5LYW5kYWxhbSwgUy48L2F1dGhvcj48YXV0
aG9yPk9saXZhcmVzLU5hdmFycmV0ZSwgUi48L2F1dGhvcj48YXV0aG9yPkRpY2tpbnNvbiwgQS4g
Si4gRy48L2F1dGhvcj48L2F1dGhvcnM+PC9jb250cmlidXRvcnM+PGF1dGgtYWRkcmVzcz5WaXJn
aW5pYSBDb21tb253ZWFsdGggVW5pdmVyc2l0eSwgRGVwYXJ0bWVudCBvZiBCaW9sb2d5LCBSaWNo
bW9uZCwgVkEsIFVuaXRlZCBTdGF0ZXMgb2YgQW1lcmljYS4mI3hEO1ZpcmdpbmlhIENvbW1vbndl
YWx0aCBVbml2ZXJzaXR5LCBEZXBhcnRtZW50IG9mIEJpb21lZGljYWwgRW5naW5lZXJpbmcsIFJp
Y2htb25kLCBWQSwgVW5pdGVkIFN0YXRlcyBvZiBBbWVyaWNhLjwvYXV0aC1hZGRyZXNzPjx0aXRs
ZXM+PHRpdGxlPkUtY2lnYXJldHRlIGFlcm9zb2wgZXhwb3N1cmUgY2FuIGNhdXNlIGNyYW5pb2Zh
Y2lhbCBkZWZlY3RzIGluIFhlbm9wdXMgbGFldmlzIGVtYnJ5b3MgYW5kIG1hbW1hbGlhbiBuZXVy
YWwgY3Jlc3QgY2VsbHM8L3RpdGxlPjxzZWNvbmRhcnktdGl0bGU+UExvUyBPbmU8L3NlY29uZGFy
eS10aXRsZT48YWx0LXRpdGxlPlBsb1Mgb25lPC9hbHQtdGl0bGU+PC90aXRsZXM+PHBlcmlvZGlj
YWw+PGZ1bGwtdGl0bGU+UGxvcyBPbmU8L2Z1bGwtdGl0bGU+PC9wZXJpb2RpY2FsPjxhbHQtcGVy
aW9kaWNhbD48ZnVsbC10aXRsZT5QbG9zIE9uZTwvZnVsbC10aXRsZT48L2FsdC1wZXJpb2RpY2Fs
PjxwYWdlcz5lMDE4NTcyOTwvcGFnZXM+PHZvbHVtZT4xMjwvdm9sdW1lPjxudW1iZXI+OTwvbnVt
YmVyPjxlZGl0aW9uPjIwMTcvMDkvMjk8L2VkaXRpb24+PGtleXdvcmRzPjxrZXl3b3JkPkFlcm9z
b2xzLyp0b3hpY2l0eTwva2V5d29yZD48a2V5d29yZD5BbmltYWxzPC9rZXl3b3JkPjxrZXl3b3Jk
PkNyYW5pb2ZhY2lhbCBBYm5vcm1hbGl0aWVzLypjaGVtaWNhbGx5IGluZHVjZWQ8L2tleXdvcmQ+
PGtleXdvcmQ+KkVsZWN0cm9uaWMgTmljb3RpbmUgRGVsaXZlcnkgU3lzdGVtczwva2V5d29yZD48
a2V5d29yZD5HZW5lIEV4cHJlc3Npb24gUmVndWxhdGlvbiwgRGV2ZWxvcG1lbnRhbC9kcnVnIGVm
ZmVjdHM8L2tleXdvcmQ+PGtleXdvcmQ+R2x5Y2Vyb2wvdG94aWNpdHk8L2tleXdvcmQ+PGtleXdv
cmQ+TWFtbWFsczwva2V5d29yZD48a2V5d29yZD5OZXVyYWwgQ3Jlc3QvY3l0b2xvZ3kvKmRydWcg
ZWZmZWN0czwva2V5d29yZD48a2V5d29yZD5OaWNvdGluZS90b3hpY2l0eTwva2V5d29yZD48a2V5
d29yZD5Qcm9weWxlbmUgR2x5Y29sL3RveGljaXR5PC9rZXl3b3JkPjxrZXl3b3JkPlhlbm9wdXMg
bGFldmlzLyplbWJyeW9sb2d5PC9rZXl3b3JkPjwva2V5d29yZHM+PGRhdGVzPjx5ZWFyPjIwMTc8
L3llYXI+PC9kYXRlcz48aXNibj4xOTMyLTYyMDM8L2lzYm4+PGFjY2Vzc2lvbi1udW0+Mjg5NTc0
Mzg8L2FjY2Vzc2lvbi1udW0+PHVybHM+PHJlbGF0ZWQtdXJscz48dXJsPmh0dHBzOi8vd3d3Lm5j
YmkubmxtLm5paC5nb3YvcG1jL2FydGljbGVzL1BNQzU2MTk4MjYvcGRmL3BvbmUuMDE4NTcyOS5w
ZGY8L3VybD48L3JlbGF0ZWQtdXJscz48L3VybHM+PGN1c3RvbTI+UE1DNTYxOTgyNjwvY3VzdG9t
Mj48ZWxlY3Ryb25pYy1yZXNvdXJjZS1udW0+MTAuMTM3MS9qb3VybmFsLnBvbmUuMDE4NTcyOTwv
ZWxlY3Ryb25pYy1yZXNvdXJjZS1udW0+PHJlbW90ZS1kYXRhYmFzZS1wcm92aWRlcj5OTE08L3Jl
bW90ZS1kYXRhYmFzZS1wcm92aWRlcj48bGFuZ3VhZ2U+ZW5nPC9sYW5ndWFnZT48L3JlY29yZD48
L0NpdGU+PC9FbmROb3RlPn==
</w:fldData>
            </w:fldChar>
          </w:r>
          <w:r>
            <w:instrText xml:space="preserve"> ADDIN EN.CITE.DATA </w:instrText>
          </w:r>
          <w:r>
            <w:fldChar w:fldCharType="end"/>
          </w:r>
          <w:r>
            <w:fldChar w:fldCharType="separate"/>
          </w:r>
          <w:r>
            <w:rPr>
              <w:noProof/>
            </w:rPr>
            <w:t>(Kennedy, Kandalam et al. 2017)</w:t>
          </w:r>
          <w:r>
            <w:fldChar w:fldCharType="end"/>
          </w:r>
          <w:r>
            <w:t>. As a result, the authors attributed the craniofacial defects to components found in e</w:t>
          </w:r>
          <w:r>
            <w:noBreakHyphen/>
            <w:t>cigarettes</w:t>
          </w:r>
          <w:r w:rsidRPr="009E780A">
            <w:t xml:space="preserve"> </w:t>
          </w:r>
          <w:r>
            <w:t xml:space="preserve">other than nicotine </w:t>
          </w:r>
          <w:r>
            <w:fldChar w:fldCharType="begin">
              <w:fldData xml:space="preserve">PEVuZE5vdGU+PENpdGU+PEF1dGhvcj5LZW5uZWR5PC9BdXRob3I+PFllYXI+MjAxNzwvWWVhcj48
UmVjTnVtPjg5MDwvUmVjTnVtPjxEaXNwbGF5VGV4dD4oS2VubmVkeSwgS2FuZGFsYW0gZXQgYWwu
IDIwMTcpPC9EaXNwbGF5VGV4dD48cmVjb3JkPjxyZWMtbnVtYmVyPjg5MDwvcmVjLW51bWJlcj48
Zm9yZWlnbi1rZXlzPjxrZXkgYXBwPSJFTiIgZGItaWQ9Ijl6MDVkejBwcmFhZGZ1ZWUwem94emVk
azl6ZmU1Znh4NTB6NSIgdGltZXN0YW1wPSIxNTIxNTA2OTUxIj44OTA8L2tleT48a2V5IGFwcD0i
RU5XZWIiIGRiLWlkPSIiPjA8L2tleT48L2ZvcmVpZ24ta2V5cz48cmVmLXR5cGUgbmFtZT0iSm91
cm5hbCBBcnRpY2xlIj4xNzwvcmVmLXR5cGU+PGNvbnRyaWJ1dG9ycz48YXV0aG9ycz48YXV0aG9y
Pktlbm5lZHksIEEuIEUuPC9hdXRob3I+PGF1dGhvcj5LYW5kYWxhbSwgUy48L2F1dGhvcj48YXV0
aG9yPk9saXZhcmVzLU5hdmFycmV0ZSwgUi48L2F1dGhvcj48YXV0aG9yPkRpY2tpbnNvbiwgQS4g
Si4gRy48L2F1dGhvcj48L2F1dGhvcnM+PC9jb250cmlidXRvcnM+PGF1dGgtYWRkcmVzcz5WaXJn
aW5pYSBDb21tb253ZWFsdGggVW5pdmVyc2l0eSwgRGVwYXJ0bWVudCBvZiBCaW9sb2d5LCBSaWNo
bW9uZCwgVkEsIFVuaXRlZCBTdGF0ZXMgb2YgQW1lcmljYS4mI3hEO1ZpcmdpbmlhIENvbW1vbndl
YWx0aCBVbml2ZXJzaXR5LCBEZXBhcnRtZW50IG9mIEJpb21lZGljYWwgRW5naW5lZXJpbmcsIFJp
Y2htb25kLCBWQSwgVW5pdGVkIFN0YXRlcyBvZiBBbWVyaWNhLjwvYXV0aC1hZGRyZXNzPjx0aXRs
ZXM+PHRpdGxlPkUtY2lnYXJldHRlIGFlcm9zb2wgZXhwb3N1cmUgY2FuIGNhdXNlIGNyYW5pb2Zh
Y2lhbCBkZWZlY3RzIGluIFhlbm9wdXMgbGFldmlzIGVtYnJ5b3MgYW5kIG1hbW1hbGlhbiBuZXVy
YWwgY3Jlc3QgY2VsbHM8L3RpdGxlPjxzZWNvbmRhcnktdGl0bGU+UExvUyBPbmU8L3NlY29uZGFy
eS10aXRsZT48YWx0LXRpdGxlPlBsb1Mgb25lPC9hbHQtdGl0bGU+PC90aXRsZXM+PHBlcmlvZGlj
YWw+PGZ1bGwtdGl0bGU+UGxvcyBPbmU8L2Z1bGwtdGl0bGU+PC9wZXJpb2RpY2FsPjxhbHQtcGVy
aW9kaWNhbD48ZnVsbC10aXRsZT5QbG9zIE9uZTwvZnVsbC10aXRsZT48L2FsdC1wZXJpb2RpY2Fs
PjxwYWdlcz5lMDE4NTcyOTwvcGFnZXM+PHZvbHVtZT4xMjwvdm9sdW1lPjxudW1iZXI+OTwvbnVt
YmVyPjxlZGl0aW9uPjIwMTcvMDkvMjk8L2VkaXRpb24+PGtleXdvcmRzPjxrZXl3b3JkPkFlcm9z
b2xzLyp0b3hpY2l0eTwva2V5d29yZD48a2V5d29yZD5BbmltYWxzPC9rZXl3b3JkPjxrZXl3b3Jk
PkNyYW5pb2ZhY2lhbCBBYm5vcm1hbGl0aWVzLypjaGVtaWNhbGx5IGluZHVjZWQ8L2tleXdvcmQ+
PGtleXdvcmQ+KkVsZWN0cm9uaWMgTmljb3RpbmUgRGVsaXZlcnkgU3lzdGVtczwva2V5d29yZD48
a2V5d29yZD5HZW5lIEV4cHJlc3Npb24gUmVndWxhdGlvbiwgRGV2ZWxvcG1lbnRhbC9kcnVnIGVm
ZmVjdHM8L2tleXdvcmQ+PGtleXdvcmQ+R2x5Y2Vyb2wvdG94aWNpdHk8L2tleXdvcmQ+PGtleXdv
cmQ+TWFtbWFsczwva2V5d29yZD48a2V5d29yZD5OZXVyYWwgQ3Jlc3QvY3l0b2xvZ3kvKmRydWcg
ZWZmZWN0czwva2V5d29yZD48a2V5d29yZD5OaWNvdGluZS90b3hpY2l0eTwva2V5d29yZD48a2V5
d29yZD5Qcm9weWxlbmUgR2x5Y29sL3RveGljaXR5PC9rZXl3b3JkPjxrZXl3b3JkPlhlbm9wdXMg
bGFldmlzLyplbWJyeW9sb2d5PC9rZXl3b3JkPjwva2V5d29yZHM+PGRhdGVzPjx5ZWFyPjIwMTc8
L3llYXI+PC9kYXRlcz48aXNibj4xOTMyLTYyMDM8L2lzYm4+PGFjY2Vzc2lvbi1udW0+Mjg5NTc0
Mzg8L2FjY2Vzc2lvbi1udW0+PHVybHM+PHJlbGF0ZWQtdXJscz48dXJsPmh0dHBzOi8vd3d3Lm5j
YmkubmxtLm5paC5nb3YvcG1jL2FydGljbGVzL1BNQzU2MTk4MjYvcGRmL3BvbmUuMDE4NTcyOS5w
ZGY8L3VybD48L3JlbGF0ZWQtdXJscz48L3VybHM+PGN1c3RvbTI+UE1DNTYxOTgyNjwvY3VzdG9t
Mj48ZWxlY3Ryb25pYy1yZXNvdXJjZS1udW0+MTAuMTM3MS9qb3VybmFsLnBvbmUuMDE4NTcyOTwv
ZWxlY3Ryb25pYy1yZXNvdXJjZS1udW0+PHJlbW90ZS1kYXRhYmFzZS1wcm92aWRlcj5OTE08L3Jl
bW90ZS1kYXRhYmFzZS1wcm92aWRlcj48bGFuZ3VhZ2U+ZW5nPC9sYW5ndWFnZT48L3JlY29yZD48
L0NpdGU+PC9FbmROb3RlPn==
</w:fldData>
            </w:fldChar>
          </w:r>
          <w:r>
            <w:instrText xml:space="preserve"> ADDIN EN.CITE </w:instrText>
          </w:r>
          <w:r>
            <w:fldChar w:fldCharType="begin">
              <w:fldData xml:space="preserve">PEVuZE5vdGU+PENpdGU+PEF1dGhvcj5LZW5uZWR5PC9BdXRob3I+PFllYXI+MjAxNzwvWWVhcj48
UmVjTnVtPjg5MDwvUmVjTnVtPjxEaXNwbGF5VGV4dD4oS2VubmVkeSwgS2FuZGFsYW0gZXQgYWwu
IDIwMTcpPC9EaXNwbGF5VGV4dD48cmVjb3JkPjxyZWMtbnVtYmVyPjg5MDwvcmVjLW51bWJlcj48
Zm9yZWlnbi1rZXlzPjxrZXkgYXBwPSJFTiIgZGItaWQ9Ijl6MDVkejBwcmFhZGZ1ZWUwem94emVk
azl6ZmU1Znh4NTB6NSIgdGltZXN0YW1wPSIxNTIxNTA2OTUxIj44OTA8L2tleT48a2V5IGFwcD0i
RU5XZWIiIGRiLWlkPSIiPjA8L2tleT48L2ZvcmVpZ24ta2V5cz48cmVmLXR5cGUgbmFtZT0iSm91
cm5hbCBBcnRpY2xlIj4xNzwvcmVmLXR5cGU+PGNvbnRyaWJ1dG9ycz48YXV0aG9ycz48YXV0aG9y
Pktlbm5lZHksIEEuIEUuPC9hdXRob3I+PGF1dGhvcj5LYW5kYWxhbSwgUy48L2F1dGhvcj48YXV0
aG9yPk9saXZhcmVzLU5hdmFycmV0ZSwgUi48L2F1dGhvcj48YXV0aG9yPkRpY2tpbnNvbiwgQS4g
Si4gRy48L2F1dGhvcj48L2F1dGhvcnM+PC9jb250cmlidXRvcnM+PGF1dGgtYWRkcmVzcz5WaXJn
aW5pYSBDb21tb253ZWFsdGggVW5pdmVyc2l0eSwgRGVwYXJ0bWVudCBvZiBCaW9sb2d5LCBSaWNo
bW9uZCwgVkEsIFVuaXRlZCBTdGF0ZXMgb2YgQW1lcmljYS4mI3hEO1ZpcmdpbmlhIENvbW1vbndl
YWx0aCBVbml2ZXJzaXR5LCBEZXBhcnRtZW50IG9mIEJpb21lZGljYWwgRW5naW5lZXJpbmcsIFJp
Y2htb25kLCBWQSwgVW5pdGVkIFN0YXRlcyBvZiBBbWVyaWNhLjwvYXV0aC1hZGRyZXNzPjx0aXRs
ZXM+PHRpdGxlPkUtY2lnYXJldHRlIGFlcm9zb2wgZXhwb3N1cmUgY2FuIGNhdXNlIGNyYW5pb2Zh
Y2lhbCBkZWZlY3RzIGluIFhlbm9wdXMgbGFldmlzIGVtYnJ5b3MgYW5kIG1hbW1hbGlhbiBuZXVy
YWwgY3Jlc3QgY2VsbHM8L3RpdGxlPjxzZWNvbmRhcnktdGl0bGU+UExvUyBPbmU8L3NlY29uZGFy
eS10aXRsZT48YWx0LXRpdGxlPlBsb1Mgb25lPC9hbHQtdGl0bGU+PC90aXRsZXM+PHBlcmlvZGlj
YWw+PGZ1bGwtdGl0bGU+UGxvcyBPbmU8L2Z1bGwtdGl0bGU+PC9wZXJpb2RpY2FsPjxhbHQtcGVy
aW9kaWNhbD48ZnVsbC10aXRsZT5QbG9zIE9uZTwvZnVsbC10aXRsZT48L2FsdC1wZXJpb2RpY2Fs
PjxwYWdlcz5lMDE4NTcyOTwvcGFnZXM+PHZvbHVtZT4xMjwvdm9sdW1lPjxudW1iZXI+OTwvbnVt
YmVyPjxlZGl0aW9uPjIwMTcvMDkvMjk8L2VkaXRpb24+PGtleXdvcmRzPjxrZXl3b3JkPkFlcm9z
b2xzLyp0b3hpY2l0eTwva2V5d29yZD48a2V5d29yZD5BbmltYWxzPC9rZXl3b3JkPjxrZXl3b3Jk
PkNyYW5pb2ZhY2lhbCBBYm5vcm1hbGl0aWVzLypjaGVtaWNhbGx5IGluZHVjZWQ8L2tleXdvcmQ+
PGtleXdvcmQ+KkVsZWN0cm9uaWMgTmljb3RpbmUgRGVsaXZlcnkgU3lzdGVtczwva2V5d29yZD48
a2V5d29yZD5HZW5lIEV4cHJlc3Npb24gUmVndWxhdGlvbiwgRGV2ZWxvcG1lbnRhbC9kcnVnIGVm
ZmVjdHM8L2tleXdvcmQ+PGtleXdvcmQ+R2x5Y2Vyb2wvdG94aWNpdHk8L2tleXdvcmQ+PGtleXdv
cmQ+TWFtbWFsczwva2V5d29yZD48a2V5d29yZD5OZXVyYWwgQ3Jlc3QvY3l0b2xvZ3kvKmRydWcg
ZWZmZWN0czwva2V5d29yZD48a2V5d29yZD5OaWNvdGluZS90b3hpY2l0eTwva2V5d29yZD48a2V5
d29yZD5Qcm9weWxlbmUgR2x5Y29sL3RveGljaXR5PC9rZXl3b3JkPjxrZXl3b3JkPlhlbm9wdXMg
bGFldmlzLyplbWJyeW9sb2d5PC9rZXl3b3JkPjwva2V5d29yZHM+PGRhdGVzPjx5ZWFyPjIwMTc8
L3llYXI+PC9kYXRlcz48aXNibj4xOTMyLTYyMDM8L2lzYm4+PGFjY2Vzc2lvbi1udW0+Mjg5NTc0
Mzg8L2FjY2Vzc2lvbi1udW0+PHVybHM+PHJlbGF0ZWQtdXJscz48dXJsPmh0dHBzOi8vd3d3Lm5j
YmkubmxtLm5paC5nb3YvcG1jL2FydGljbGVzL1BNQzU2MTk4MjYvcGRmL3BvbmUuMDE4NTcyOS5w
ZGY8L3VybD48L3JlbGF0ZWQtdXJscz48L3VybHM+PGN1c3RvbTI+UE1DNTYxOTgyNjwvY3VzdG9t
Mj48ZWxlY3Ryb25pYy1yZXNvdXJjZS1udW0+MTAuMTM3MS9qb3VybmFsLnBvbmUuMDE4NTcyOTwv
ZWxlY3Ryb25pYy1yZXNvdXJjZS1udW0+PHJlbW90ZS1kYXRhYmFzZS1wcm92aWRlcj5OTE08L3Jl
bW90ZS1kYXRhYmFzZS1wcm92aWRlcj48bGFuZ3VhZ2U+ZW5nPC9sYW5ndWFnZT48L3JlY29yZD48
L0NpdGU+PC9FbmROb3RlPn==
</w:fldData>
            </w:fldChar>
          </w:r>
          <w:r>
            <w:instrText xml:space="preserve"> ADDIN EN.CITE.DATA </w:instrText>
          </w:r>
          <w:r>
            <w:fldChar w:fldCharType="end"/>
          </w:r>
          <w:r>
            <w:fldChar w:fldCharType="separate"/>
          </w:r>
          <w:r>
            <w:rPr>
              <w:noProof/>
            </w:rPr>
            <w:t>(Kennedy, Kandalam et al. 2017)</w:t>
          </w:r>
          <w:r>
            <w:fldChar w:fldCharType="end"/>
          </w:r>
          <w:r>
            <w:t xml:space="preserve">. </w:t>
          </w:r>
        </w:p>
        <w:p w14:paraId="57E42EF1" w14:textId="77777777" w:rsidR="00EA2246" w:rsidRDefault="00EA2246" w:rsidP="00EA2246">
          <w:pPr>
            <w:pStyle w:val="BodyText"/>
          </w:pPr>
          <w:r>
            <w:t>Thus, results from these studies indicate that maternal e-cigarette exposure during pregnancy, whether nicotine containing or not, is linked to poorer health outcomes in both the mother and the offspring in animals.</w:t>
          </w:r>
        </w:p>
        <w:p w14:paraId="67E9B39B" w14:textId="77777777" w:rsidR="00EA2246" w:rsidRPr="00EA2246" w:rsidRDefault="00EA2246" w:rsidP="00EA2246">
          <w:pPr>
            <w:pStyle w:val="BodyText"/>
          </w:pPr>
        </w:p>
        <w:p w14:paraId="0B9C3C45" w14:textId="77777777" w:rsidR="000F0E2F" w:rsidRDefault="000F0E2F" w:rsidP="000F0E2F">
          <w:pPr>
            <w:pStyle w:val="Heading2"/>
          </w:pPr>
          <w:bookmarkStart w:id="57" w:name="_Toc513214365"/>
          <w:bookmarkStart w:id="58" w:name="_Toc517706652"/>
          <w:r>
            <w:t>Environmental impacts</w:t>
          </w:r>
          <w:bookmarkEnd w:id="57"/>
          <w:bookmarkEnd w:id="58"/>
        </w:p>
        <w:p w14:paraId="03C0D952" w14:textId="77777777" w:rsidR="00EA2246" w:rsidRDefault="00EA2246" w:rsidP="00EA2246">
          <w:pPr>
            <w:pStyle w:val="BodyText"/>
          </w:pPr>
          <w:r>
            <w:t xml:space="preserve">Responding to concerns about the environmental impact of e-cigarettes, a study investigated the impact of cigarette and e-cigarette leachates on frog embryos </w:t>
          </w:r>
          <w:r>
            <w:fldChar w:fldCharType="begin"/>
          </w:r>
          <w:r>
            <w:instrText xml:space="preserve"> ADDIN EN.CITE &lt;EndNote&gt;&lt;Cite&gt;&lt;Author&gt;Parker&lt;/Author&gt;&lt;Year&gt;2017&lt;/Year&gt;&lt;RecNum&gt;889&lt;/RecNum&gt;&lt;DisplayText&gt;(Parker and Rayburn 2017)&lt;/DisplayText&gt;&lt;record&gt;&lt;rec-number&gt;889&lt;/rec-number&gt;&lt;foreign-keys&gt;&lt;key app="EN" db-id="9z05dz0praadfuee0zoxzedk9zfe5fxx50z5" timestamp="1521506951"&gt;889&lt;/key&gt;&lt;/foreign-keys&gt;&lt;ref-type name="Journal Article"&gt;17&lt;/ref-type&gt;&lt;contributors&gt;&lt;authors&gt;&lt;author&gt;Parker, T. T.&lt;/author&gt;&lt;author&gt;Rayburn, J.&lt;/author&gt;&lt;/authors&gt;&lt;/contributors&gt;&lt;auth-address&gt;Department of Biological Sciences, Saint Xavier University, 3700 West 103 St., Chicago, IL, 60655, United States.&amp;#xD;Department of Biology, Jacksonville State University, 700 Pelham Rd. N, Jacksonville, AL, 36265, United States.&lt;/auth-address&gt;&lt;titles&gt;&lt;title&gt;A comparison of electronic and traditional cigarette butt leachate on the development of Xenopus laevis embryos&lt;/title&gt;&lt;secondary-title&gt;Toxicol Rep&lt;/secondary-title&gt;&lt;alt-title&gt;Toxicology reports&lt;/alt-title&gt;&lt;/titles&gt;&lt;periodical&gt;&lt;full-title&gt;Toxicol Rep&lt;/full-title&gt;&lt;abbr-1&gt;Toxicology reports&lt;/abbr-1&gt;&lt;/periodical&gt;&lt;alt-periodical&gt;&lt;full-title&gt;Toxicol Rep&lt;/full-title&gt;&lt;abbr-1&gt;Toxicology reports&lt;/abbr-1&gt;&lt;/alt-periodical&gt;&lt;pages&gt;77-82&lt;/pages&gt;&lt;volume&gt;4&lt;/volume&gt;&lt;edition&gt;2017/09/30&lt;/edition&gt;&lt;keywords&gt;&lt;keyword&gt;Cigarette butt leachate&lt;/keyword&gt;&lt;keyword&gt;Development&lt;/keyword&gt;&lt;keyword&gt;Xenopus laevis&lt;/keyword&gt;&lt;/keywords&gt;&lt;dates&gt;&lt;year&gt;2017&lt;/year&gt;&lt;/dates&gt;&lt;isbn&gt;2214-7500 (Print)&amp;#xD;2214-7500&lt;/isbn&gt;&lt;accession-num&gt;28959628&lt;/accession-num&gt;&lt;urls&gt;&lt;related-urls&gt;&lt;url&gt;https://www.ncbi.nlm.nih.gov/pmc/articles/PMC5615096/pdf/main.pdf&lt;/url&gt;&lt;/related-urls&gt;&lt;/urls&gt;&lt;custom2&gt;PMC5615096&lt;/custom2&gt;&lt;electronic-resource-num&gt;10.1016/j.toxrep.2017.01.003&lt;/electronic-resource-num&gt;&lt;remote-database-provider&gt;NLM&lt;/remote-database-provider&gt;&lt;language&gt;eng&lt;/language&gt;&lt;/record&gt;&lt;/Cite&gt;&lt;/EndNote&gt;</w:instrText>
          </w:r>
          <w:r>
            <w:fldChar w:fldCharType="separate"/>
          </w:r>
          <w:r>
            <w:rPr>
              <w:noProof/>
            </w:rPr>
            <w:t>(Parker and Rayburn 2017)</w:t>
          </w:r>
          <w:r>
            <w:fldChar w:fldCharType="end"/>
          </w:r>
          <w:r>
            <w:t xml:space="preserve">. In this study, researchers exposed frog embryos to either regular cigarette butt leachate, menthol cigarette butt </w:t>
          </w:r>
          <w:r w:rsidRPr="00EA2246">
            <w:t>leachate</w:t>
          </w:r>
          <w:r>
            <w:t xml:space="preserve"> or e-cigarette leachates to determine the median concentrations for </w:t>
          </w:r>
          <w:r w:rsidRPr="00BD0D22">
            <w:t>non</w:t>
          </w:r>
          <w:r>
            <w:noBreakHyphen/>
          </w:r>
          <w:r w:rsidRPr="00BD0D22">
            <w:t>observed adverse effect</w:t>
          </w:r>
          <w:r>
            <w:t>s</w:t>
          </w:r>
          <w:r w:rsidRPr="00BD0D22">
            <w:t xml:space="preserve">, </w:t>
          </w:r>
          <w:r>
            <w:t xml:space="preserve">lowest observed adverse effects, malformations and </w:t>
          </w:r>
          <w:r w:rsidRPr="00BD0D22">
            <w:t>median lethal concentration</w:t>
          </w:r>
          <w:r>
            <w:t xml:space="preserve">s </w:t>
          </w:r>
          <w:r>
            <w:fldChar w:fldCharType="begin"/>
          </w:r>
          <w:r>
            <w:instrText xml:space="preserve"> ADDIN EN.CITE &lt;EndNote&gt;&lt;Cite&gt;&lt;Author&gt;Parker&lt;/Author&gt;&lt;Year&gt;2017&lt;/Year&gt;&lt;RecNum&gt;889&lt;/RecNum&gt;&lt;DisplayText&gt;(Parker and Rayburn 2017)&lt;/DisplayText&gt;&lt;record&gt;&lt;rec-number&gt;889&lt;/rec-number&gt;&lt;foreign-keys&gt;&lt;key app="EN" db-id="9z05dz0praadfuee0zoxzedk9zfe5fxx50z5" timestamp="1521506951"&gt;889&lt;/key&gt;&lt;/foreign-keys&gt;&lt;ref-type name="Journal Article"&gt;17&lt;/ref-type&gt;&lt;contributors&gt;&lt;authors&gt;&lt;author&gt;Parker, T. T.&lt;/author&gt;&lt;author&gt;Rayburn, J.&lt;/author&gt;&lt;/authors&gt;&lt;/contributors&gt;&lt;auth-address&gt;Department of Biological Sciences, Saint Xavier University, 3700 West 103 St., Chicago, IL, 60655, United States.&amp;#xD;Department of Biology, Jacksonville State University, 700 Pelham Rd. N, Jacksonville, AL, 36265, United States.&lt;/auth-address&gt;&lt;titles&gt;&lt;title&gt;A comparison of electronic and traditional cigarette butt leachate on the development of Xenopus laevis embryos&lt;/title&gt;&lt;secondary-title&gt;Toxicol Rep&lt;/secondary-title&gt;&lt;alt-title&gt;Toxicology reports&lt;/alt-title&gt;&lt;/titles&gt;&lt;periodical&gt;&lt;full-title&gt;Toxicol Rep&lt;/full-title&gt;&lt;abbr-1&gt;Toxicology reports&lt;/abbr-1&gt;&lt;/periodical&gt;&lt;alt-periodical&gt;&lt;full-title&gt;Toxicol Rep&lt;/full-title&gt;&lt;abbr-1&gt;Toxicology reports&lt;/abbr-1&gt;&lt;/alt-periodical&gt;&lt;pages&gt;77-82&lt;/pages&gt;&lt;volume&gt;4&lt;/volume&gt;&lt;edition&gt;2017/09/30&lt;/edition&gt;&lt;keywords&gt;&lt;keyword&gt;Cigarette butt leachate&lt;/keyword&gt;&lt;keyword&gt;Development&lt;/keyword&gt;&lt;keyword&gt;Xenopus laevis&lt;/keyword&gt;&lt;/keywords&gt;&lt;dates&gt;&lt;year&gt;2017&lt;/year&gt;&lt;/dates&gt;&lt;isbn&gt;2214-7500 (Print)&amp;#xD;2214-7500&lt;/isbn&gt;&lt;accession-num&gt;28959628&lt;/accession-num&gt;&lt;urls&gt;&lt;related-urls&gt;&lt;url&gt;https://www.ncbi.nlm.nih.gov/pmc/articles/PMC5615096/pdf/main.pdf&lt;/url&gt;&lt;/related-urls&gt;&lt;/urls&gt;&lt;custom2&gt;PMC5615096&lt;/custom2&gt;&lt;electronic-resource-num&gt;10.1016/j.toxrep.2017.01.003&lt;/electronic-resource-num&gt;&lt;remote-database-provider&gt;NLM&lt;/remote-database-provider&gt;&lt;language&gt;eng&lt;/language&gt;&lt;/record&gt;&lt;/Cite&gt;&lt;/EndNote&gt;</w:instrText>
          </w:r>
          <w:r>
            <w:fldChar w:fldCharType="separate"/>
          </w:r>
          <w:r>
            <w:rPr>
              <w:noProof/>
            </w:rPr>
            <w:t>(Parker and Rayburn 2017)</w:t>
          </w:r>
          <w:r>
            <w:fldChar w:fldCharType="end"/>
          </w:r>
          <w:r w:rsidRPr="00BD0D22">
            <w:t>.</w:t>
          </w:r>
          <w:r>
            <w:t xml:space="preserve"> The researchers found toxic effects from all three compounds, however e-cigarettes displayed the lowest toxic and </w:t>
          </w:r>
          <w:r w:rsidRPr="009932E6">
            <w:t>teratogenic</w:t>
          </w:r>
          <w:r>
            <w:t xml:space="preserve"> effects </w:t>
          </w:r>
          <w:r>
            <w:fldChar w:fldCharType="begin"/>
          </w:r>
          <w:r>
            <w:instrText xml:space="preserve"> ADDIN EN.CITE &lt;EndNote&gt;&lt;Cite&gt;&lt;Author&gt;Parker&lt;/Author&gt;&lt;Year&gt;2017&lt;/Year&gt;&lt;RecNum&gt;889&lt;/RecNum&gt;&lt;DisplayText&gt;(Parker and Rayburn 2017)&lt;/DisplayText&gt;&lt;record&gt;&lt;rec-number&gt;889&lt;/rec-number&gt;&lt;foreign-keys&gt;&lt;key app="EN" db-id="9z05dz0praadfuee0zoxzedk9zfe5fxx50z5" timestamp="1521506951"&gt;889&lt;/key&gt;&lt;/foreign-keys&gt;&lt;ref-type name="Journal Article"&gt;17&lt;/ref-type&gt;&lt;contributors&gt;&lt;authors&gt;&lt;author&gt;Parker, T. T.&lt;/author&gt;&lt;author&gt;Rayburn, J.&lt;/author&gt;&lt;/authors&gt;&lt;/contributors&gt;&lt;auth-address&gt;Department of Biological Sciences, Saint Xavier University, 3700 West 103 St., Chicago, IL, 60655, United States.&amp;#xD;Department of Biology, Jacksonville State University, 700 Pelham Rd. N, Jacksonville, AL, 36265, United States.&lt;/auth-address&gt;&lt;titles&gt;&lt;title&gt;A comparison of electronic and traditional cigarette butt leachate on the development of Xenopus laevis embryos&lt;/title&gt;&lt;secondary-title&gt;Toxicol Rep&lt;/secondary-title&gt;&lt;alt-title&gt;Toxicology reports&lt;/alt-title&gt;&lt;/titles&gt;&lt;periodical&gt;&lt;full-title&gt;Toxicol Rep&lt;/full-title&gt;&lt;abbr-1&gt;Toxicology reports&lt;/abbr-1&gt;&lt;/periodical&gt;&lt;alt-periodical&gt;&lt;full-title&gt;Toxicol Rep&lt;/full-title&gt;&lt;abbr-1&gt;Toxicology reports&lt;/abbr-1&gt;&lt;/alt-periodical&gt;&lt;pages&gt;77-82&lt;/pages&gt;&lt;volume&gt;4&lt;/volume&gt;&lt;edition&gt;2017/09/30&lt;/edition&gt;&lt;keywords&gt;&lt;keyword&gt;Cigarette butt leachate&lt;/keyword&gt;&lt;keyword&gt;Development&lt;/keyword&gt;&lt;keyword&gt;Xenopus laevis&lt;/keyword&gt;&lt;/keywords&gt;&lt;dates&gt;&lt;year&gt;2017&lt;/year&gt;&lt;/dates&gt;&lt;isbn&gt;2214-7500 (Print)&amp;#xD;2214-7500&lt;/isbn&gt;&lt;accession-num&gt;28959628&lt;/accession-num&gt;&lt;urls&gt;&lt;related-urls&gt;&lt;url&gt;https://www.ncbi.nlm.nih.gov/pmc/articles/PMC5615096/pdf/main.pdf&lt;/url&gt;&lt;/related-urls&gt;&lt;/urls&gt;&lt;custom2&gt;PMC5615096&lt;/custom2&gt;&lt;electronic-resource-num&gt;10.1016/j.toxrep.2017.01.003&lt;/electronic-resource-num&gt;&lt;remote-database-provider&gt;NLM&lt;/remote-database-provider&gt;&lt;language&gt;eng&lt;/language&gt;&lt;/record&gt;&lt;/Cite&gt;&lt;/EndNote&gt;</w:instrText>
          </w:r>
          <w:r>
            <w:fldChar w:fldCharType="separate"/>
          </w:r>
          <w:r>
            <w:rPr>
              <w:noProof/>
            </w:rPr>
            <w:t>(Parker and Rayburn 2017)</w:t>
          </w:r>
          <w:r>
            <w:fldChar w:fldCharType="end"/>
          </w:r>
          <w:r>
            <w:t>.</w:t>
          </w:r>
        </w:p>
        <w:p w14:paraId="185DBF63" w14:textId="77777777" w:rsidR="00EA2246" w:rsidRPr="00EA2246" w:rsidRDefault="00EA2246" w:rsidP="00EA2246">
          <w:pPr>
            <w:pStyle w:val="BodyText"/>
          </w:pPr>
        </w:p>
        <w:p w14:paraId="5F83ECF7" w14:textId="77777777" w:rsidR="000F0E2F" w:rsidRDefault="000F0E2F" w:rsidP="000F0E2F">
          <w:pPr>
            <w:pStyle w:val="Heading2"/>
          </w:pPr>
          <w:bookmarkStart w:id="59" w:name="_Toc513214366"/>
          <w:bookmarkStart w:id="60" w:name="_Toc517706653"/>
          <w:r w:rsidRPr="003B718A">
            <w:t>Lungs and airway function</w:t>
          </w:r>
          <w:bookmarkEnd w:id="59"/>
          <w:bookmarkEnd w:id="60"/>
        </w:p>
        <w:p w14:paraId="63269BD1" w14:textId="77777777" w:rsidR="00EA2246" w:rsidRDefault="00EA2246" w:rsidP="00EA2246">
          <w:pPr>
            <w:pStyle w:val="BodyText"/>
          </w:pPr>
          <w:bookmarkStart w:id="61" w:name="_Toc513214368"/>
          <w:r>
            <w:t xml:space="preserve">Five studies used mice (n=3) or rats (n=2) to investigate lung function after exposure to e-cigarette components </w:t>
          </w:r>
          <w:r>
            <w:fldChar w:fldCharType="begin">
              <w:fldData xml:space="preserve">PEVuZE5vdGU+PENpdGU+PEF1dGhvcj5Dcm90dHkgQWxleGFuZGVyPC9BdXRob3I+PFllYXI+MjAx
ODwvWWVhcj48UmVjTnVtPjUyNzwvUmVjTnVtPjxEaXNwbGF5VGV4dD4oTGF1YmUsIEFmc2hhci1N
b2hhamVyIGV0IGFsLiAyMDE3LCBQaGlsbGlwcywgVGl0eiBldCBhbC4gMjAxNywgQ3JvdHR5IEFs
ZXhhbmRlciwgRHJ1bW1vbmQgZXQgYWwuIDIwMTgsIExlZSwgUGFyayBldCBhbC4gMjAxOCwgUmVp
bmlrb3ZhaXRlLCBSb2RyaWd1ZXogZXQgYWwuIDIwMTgpPC9EaXNwbGF5VGV4dD48cmVjb3JkPjxy
ZWMtbnVtYmVyPjUyNzwvcmVjLW51bWJlcj48Zm9yZWlnbi1rZXlzPjxrZXkgYXBwPSJFTiIgZGIt
aWQ9Ijl6MDVkejBwcmFhZGZ1ZWUwem94emVkazl6ZmU1Znh4NTB6NSIgdGltZXN0YW1wPSIxNTIx
NTA2ODUwIj41Mjc8L2tleT48a2V5IGFwcD0iRU5XZWIiIGRiLWlkPSIiPjA8L2tleT48L2ZvcmVp
Z24ta2V5cz48cmVmLXR5cGUgbmFtZT0iSm91cm5hbCBBcnRpY2xlIj4xNzwvcmVmLXR5cGU+PGNv
bnRyaWJ1dG9ycz48YXV0aG9ycz48YXV0aG9yPkNyb3R0eSBBbGV4YW5kZXIsIEwuIEUuPC9hdXRo
b3I+PGF1dGhvcj5EcnVtbW9uZCwgQy4gQS48L2F1dGhvcj48YXV0aG9yPkhlcG9rb3NraSwgTS48
L2F1dGhvcj48YXV0aG9yPk1hdGhldywgRC4gUC48L2F1dGhvcj48YXV0aG9yPk1vc2hlbnNreSwg
QS48L2F1dGhvcj48YXV0aG9yPldpbGxlZm9yZCwgQS48L2F1dGhvcj48YXV0aG9yPkRhcywgUy48
L2F1dGhvcj48YXV0aG9yPlNpbmdoLCBQLjwvYXV0aG9yPjxhdXRob3I+WW9uZywgWi48L2F1dGhv
cj48YXV0aG9yPkxlZSwgSi4gSC48L2F1dGhvcj48YXV0aG9yPlZlZ2EsIEsuPC9hdXRob3I+PGF1
dGhvcj5EdSwgQS48L2F1dGhvcj48YXV0aG9yPlNoaW4sIEouPC9hdXRob3I+PGF1dGhvcj5KYXZp
ZXIsIEMuPC9hdXRob3I+PGF1dGhvcj5UaWFuLCBKLjwvYXV0aG9yPjxhdXRob3I+QnJvd24sIEou
IEguPC9hdXRob3I+PGF1dGhvcj5CcmVlbiwgRS4gQy48L2F1dGhvcj48L2F1dGhvcnM+PC9jb250
cmlidXRvcnM+PGF1dGgtYWRkcmVzcz5NZWRpY2luZSwgVUMgU2FuIERpZWdvIGFuZCBWQVNESFMs
IFVuaXRlZCBTdGF0ZXMuJiN4RDtTdXJnZXJ5IGFuZCBNZWRpY2FsIERldmljZSBlZmZpY2FjeSwg
TVBJIFJlc2VhcmNoLCBVbml0ZWQgU3RhdGVzLiYjeEQ7TWVkaWNpbmUsIERpdmlzaW9uIG9mIFB1
bG1vbmFyeSBhbmQgQ3JpdGljYWwgQ2FyZSwgbWhlcG9rb3NraUB1Y3NkLmVkdSwgVW5pdGVkIFN0
YXRlcy4mI3hEO01lZGljaW5lLCBVQyBTYW4gRGllZ28gU2Nob29sIG9mIE1lZGljaW5lLiYjeEQ7
TWVkaWNpbmUsIFVDIFNhbiBEaWVnbyBhbmQgVkFTREhTLiYjeEQ7UGhhcm1hY29sb2d5LCBVQ1NE
LiYjeEQ7UGF0aG9sb2d5LCBVQ1NELiYjeEQ7TWVkaWNpbmUtTmVwaHJvbG9neSwgVUMgU2FuIERp
ZWdvIGFuZCBWQVNESFMsIFVuaXRlZCBTdGF0ZXMuJiN4RDtNZWRpY2luZSwgVUNTRC4mI3hEO01l
ZGljaW5lLCBVbml2ZXJzaXR5IG9mIFRvbGVkbyBIZWFsdGggU2NpZW5jZSBDYW1wdXMsIFVuaXRl
ZCBTdGF0ZXMuJiN4RDtEZXBhcnRtZW50IG9mIFBoYXJtYWNvbG9neSAwNjM2LCBVbml2ZXJzaXR5
IG9mIENhbGlmb3JuaWEsIFNhbiBEaWVnbywgVW5pdGVkIFN0YXRlcy4mI3hEO01lZGljaW5lLCBV
bml2ZXJzaXR5IG9mIENhbGlmb3JuaWEsIFNhbiBEaWVnbywgVW5pdGVkIFN0YXRlcy48L2F1dGgt
YWRkcmVzcz48dGl0bGVzPjx0aXRsZT5DaHJvbmljIEluaGFsYXRpb24gb2YgRS1DaWdhcmV0dGUg
VmFwb3IgQ29udGFpbmluZyBOaWNvdGluZSBEaXNydXB0cyBBaXJ3YXkgQmFycmllciBGdW5jdGlv
biBhbmQgSW5kdWNlcyBTeXN0ZW1pYyBJbmZsYW1tYXRpb24gYW5kIE11bHRpLU9yZ2FuIEZpYnJv
c2lzIGluIE1pY2U8L3RpdGxlPjxzZWNvbmRhcnktdGl0bGU+QW0gSiBQaHlzaW9sIFJlZ3VsIElu
dGVnciBDb21wIFBoeXNpb2w8L3NlY29uZGFyeS10aXRsZT48YWx0LXRpdGxlPkFtZXJpY2FuIGpv
dXJuYWwgb2YgcGh5c2lvbG9neS4gUmVndWxhdG9yeSwgaW50ZWdyYXRpdmUgYW5kIGNvbXBhcmF0
aXZlIHBoeXNpb2xvZ3k8L2FsdC10aXRsZT48L3RpdGxlcz48cGVyaW9kaWNhbD48ZnVsbC10aXRs
ZT5BbSBKIFBoeXNpb2wgUmVndWwgSW50ZWdyIENvbXAgUGh5c2lvbDwvZnVsbC10aXRsZT48YWJi
ci0xPkFtZXJpY2FuIGpvdXJuYWwgb2YgcGh5c2lvbG9neS4gUmVndWxhdG9yeSwgaW50ZWdyYXRp
dmUgYW5kIGNvbXBhcmF0aXZlIHBoeXNpb2xvZ3k8L2FiYnItMT48L3BlcmlvZGljYWw+PGFsdC1w
ZXJpb2RpY2FsPjxmdWxsLXRpdGxlPkFtIEogUGh5c2lvbCBSZWd1bCBJbnRlZ3IgQ29tcCBQaHlz
aW9sPC9mdWxsLXRpdGxlPjxhYmJyLTE+QW1lcmljYW4gam91cm5hbCBvZiBwaHlzaW9sb2d5LiBS
ZWd1bGF0b3J5LCBpbnRlZ3JhdGl2ZSBhbmQgY29tcGFyYXRpdmUgcGh5c2lvbG9neTwvYWJici0x
PjwvYWx0LXBlcmlvZGljYWw+PGVkaXRpb24+MjAxOC8wMi8wMTwvZWRpdGlvbj48a2V5d29yZHM+
PGtleXdvcmQ+Y2FyZGlvcmVuYWwgZHlzZnVuY3Rpb248L2tleXdvcmQ+PGtleXdvcmQ+ZWxlY3Ry
b25pYyBjaWdhcmV0dGU8L2tleXdvcmQ+PGtleXdvcmQ+Zmlicm9zaXM8L2tleXdvcmQ+PGtleXdv
cmQ+aW5mbGFtbWF0aW9uPC9rZXl3b3JkPjxrZXl3b3JkPm5pY290aW5lPC9rZXl3b3JkPjwva2V5
d29yZHM+PGRhdGVzPjx5ZWFyPjIwMTg8L3llYXI+PHB1Yi1kYXRlcz48ZGF0ZT5KYW4gMzE8L2Rh
dGU+PC9wdWItZGF0ZXM+PC9kYXRlcz48aXNibj4wMzYzLTYxMTk8L2lzYm4+PGFjY2Vzc2lvbi1u
dW0+MjkzODQ3MDA8L2FjY2Vzc2lvbi1udW0+PHVybHM+PC91cmxzPjxlbGVjdHJvbmljLXJlc291
cmNlLW51bT4xMC4xMTUyL2FqcHJlZ3UuMDAyNzAuMjAxNzwvZWxlY3Ryb25pYy1yZXNvdXJjZS1u
dW0+PHJlbW90ZS1kYXRhYmFzZS1wcm92aWRlcj5OTE08L3JlbW90ZS1kYXRhYmFzZS1wcm92aWRl
cj48bGFuZ3VhZ2U+ZW5nPC9sYW5ndWFnZT48L3JlY29yZD48L0NpdGU+PENpdGU+PEF1dGhvcj5M
YXViZTwvQXV0aG9yPjxZZWFyPjIwMTc8L1llYXI+PFJlY051bT4xMDYwPC9SZWNOdW0+PHJlY29y
ZD48cmVjLW51bWJlcj4xMDYwPC9yZWMtbnVtYmVyPjxmb3JlaWduLWtleXM+PGtleSBhcHA9IkVO
IiBkYi1pZD0iOXowNWR6MHByYWFkZnVlZTB6b3h6ZWRrOXpmZTVmeHg1MHo1IiB0aW1lc3RhbXA9
IjE1MjE1MDY5OTEiPjEwNjA8L2tleT48L2ZvcmVpZ24ta2V5cz48cmVmLXR5cGUgbmFtZT0iSm91
cm5hbCBBcnRpY2xlIj4xNzwvcmVmLXR5cGU+PGNvbnRyaWJ1dG9ycz48YXV0aG9ycz48YXV0aG9y
PkxhdWJlLCBCLiBMLjwvYXV0aG9yPjxhdXRob3I+QWZzaGFyLU1vaGFqZXIsIE4uPC9hdXRob3I+
PGF1dGhvcj5Lb2VobGVyLCBLLjwvYXV0aG9yPjxhdXRob3I+Q2hlbiwgRy48L2F1dGhvcj48YXV0
aG9yPkxhemFydXMsIFAuPC9hdXRob3I+PGF1dGhvcj5Db2xsYWNvLCBKLiBNLjwvYXV0aG9yPjxh
dXRob3I+TWNHcmF0aC1Nb3Jyb3csIFMuIEEuPC9hdXRob3I+PC9hdXRob3JzPjwvY29udHJpYnV0
b3JzPjxhdXRoLWFkZHJlc3M+YSBEZXBhcnRtZW50IG9mIFBlZGlhdHJpY3MgLCBKb2hucyBIb3Br
aW5zIFVuaXZlcnNpdHkgU2Nob29sIG9mIE1lZGljaW5lICwgQmFsdGltb3JlICwgTUQgLCBVU0Eu
JiN4RDtiIERlcGFydG1lbnQgb2YgRW52aXJvbm1lbnRhbCBIZWFsdGggU2NpZW5jZXMgLCBKb2hu
cyBIb3BraW5zIFVuaXZlcnNpdHkgQmxvb21iZXJnIFNjaG9vbCBvZiBQdWJsaWMgSGVhbHRoICwg
QmFsdGltb3JlICwgTUQgLCBVU0EuJiN4RDtjIERlcGFydG1lbnQgb2YgUGhhcm1hY2V1dGljYWwg
U2NpZW5jZSAsIFdhc2hpbmd0b24gU3RhdGUgVW5pdmVyc2l0eSAsIFNwb2thbmUgLCBXQSAsIFVT
QS48L2F1dGgtYWRkcmVzcz48dGl0bGVzPjx0aXRsZT5BY3V0ZSBhbmQgY2hyb25pYyBpbiB2aXZv
IGVmZmVjdHMgb2YgZXhwb3N1cmUgdG8gbmljb3RpbmUgYW5kIHByb3B5bGVuZSBnbHljb2wgZnJv
bSBhbiBFLWNpZ2FyZXR0ZSBvbiBtdWNvY2lsaWFyeSBjbGVhcmFuY2UgaW4gYSBtdXJpbmUgbW9k
ZWw8L3RpdGxlPjxzZWNvbmRhcnktdGl0bGU+SW5oYWwgVG94aWNvbDwvc2Vjb25kYXJ5LXRpdGxl
PjxhbHQtdGl0bGU+SW5oYWxhdGlvbiB0b3hpY29sb2d5PC9hbHQtdGl0bGU+PC90aXRsZXM+PHBl
cmlvZGljYWw+PGZ1bGwtdGl0bGU+SW5oYWwgVG94aWNvbDwvZnVsbC10aXRsZT48YWJici0xPklu
aGFsYXRpb24gdG94aWNvbG9neTwvYWJici0xPjwvcGVyaW9kaWNhbD48YWx0LXBlcmlvZGljYWw+
PGZ1bGwtdGl0bGU+SW5oYWwgVG94aWNvbDwvZnVsbC10aXRsZT48YWJici0xPkluaGFsYXRpb24g
dG94aWNvbG9neTwvYWJici0xPjwvYWx0LXBlcmlvZGljYWw+PHBhZ2VzPjE5Ny0yMDU8L3BhZ2Vz
Pjx2b2x1bWU+Mjk8L3ZvbHVtZT48bnVtYmVyPjU8L251bWJlcj48ZWRpdGlvbj4yMDE3LzA2LzI4
PC9lZGl0aW9uPjxrZXl3b3Jkcz48a2V5d29yZD5FLWNpZ2FyZXR0ZSBlbWlzc2lvbnM8L2tleXdv
cmQ+PGtleXdvcmQ+YWN1dGUgZXhwb3N1cmU8L2tleXdvcmQ+PGtleXdvcmQ+Y2hyb25pYyBleHBv
c3VyZTwva2V5d29yZD48a2V5d29yZD5tdWNvY2lsaWFyeSBjbGVhcmFuY2U8L2tleXdvcmQ+PGtl
eXdvcmQ+bXVyaW5lIG1vZGVsPC9rZXl3b3JkPjwva2V5d29yZHM+PGRhdGVzPjx5ZWFyPjIwMTc8
L3llYXI+PHB1Yi1kYXRlcz48ZGF0ZT5BcHI8L2RhdGU+PC9wdWItZGF0ZXM+PC9kYXRlcz48aXNi
bj4wODk1LTgzNzg8L2lzYm4+PGFjY2Vzc2lvbi1udW0+Mjg2NTE0NDY8L2FjY2Vzc2lvbi1udW0+
PHVybHM+PHJlbGF0ZWQtdXJscz48dXJsPmh0dHBzOi8vd3d3LnRhbmRmb25saW5lLmNvbS9kb2kv
cGRmLzEwLjEwODAvMDg5NTgzNzguMjAxNy4xMzM2NTg1P25lZWRBY2Nlc3M9dHJ1ZTwvdXJsPjwv
cmVsYXRlZC11cmxzPjwvdXJscz48Y3VzdG9tMj5QTUM1NTUzNjE0PC9jdXN0b20yPjxjdXN0b202
Pk5JSE1TODkyNzk1PC9jdXN0b202PjxlbGVjdHJvbmljLXJlc291cmNlLW51bT4xMC4xMDgwLzA4
OTU4Mzc4LjIwMTcuMTMzNjU4NTwvZWxlY3Ryb25pYy1yZXNvdXJjZS1udW0+PHJlbW90ZS1kYXRh
YmFzZS1wcm92aWRlcj5OTE08L3JlbW90ZS1kYXRhYmFzZS1wcm92aWRlcj48bGFuZ3VhZ2U+ZW5n
PC9sYW5ndWFnZT48L3JlY29yZD48L0NpdGU+PENpdGU+PEF1dGhvcj5SZWluaWtvdmFpdGU8L0F1
dGhvcj48WWVhcj4yMDE4PC9ZZWFyPjxSZWNOdW0+NTY5PC9SZWNOdW0+PHJlY29yZD48cmVjLW51
bWJlcj41Njk8L3JlYy1udW1iZXI+PGZvcmVpZ24ta2V5cz48a2V5IGFwcD0iRU4iIGRiLWlkPSI5
ejA1ZHowcHJhYWRmdWVlMHpveHplZGs5emZlNWZ4eDUwejUiIHRpbWVzdGFtcD0iMTUyMTUwNjg2
MCI+NTY5PC9rZXk+PGtleSBhcHA9IkVOV2ViIiBkYi1pZD0iIj4wPC9rZXk+PC9mb3JlaWduLWtl
eXM+PHJlZi10eXBlIG5hbWU9IkpvdXJuYWwgQXJ0aWNsZSI+MTc8L3JlZi10eXBlPjxjb250cmli
dXRvcnM+PGF1dGhvcnM+PGF1dGhvcj5SZWluaWtvdmFpdGUsIFYuPC9hdXRob3I+PGF1dGhvcj5S
b2RyaWd1ZXosIEkuIEUuPC9hdXRob3I+PGF1dGhvcj5LYXJvb3IsIFYuPC9hdXRob3I+PGF1dGhv
cj5SYXUsIEEuPC9hdXRob3I+PGF1dGhvcj5UcmluaCwgQi4gQi48L2F1dGhvcj48YXV0aG9yPkRl
bGV5aWFubmlzLCBGLiBXLjwvYXV0aG9yPjxhdXRob3I+VGFyYXNldmljaWVuZS1TdGV3YXJ0LCBM
LjwvYXV0aG9yPjwvYXV0aG9ycz48L2NvbnRyaWJ1dG9ycz48YXV0aC1hZGRyZXNzPkRlcGFydG1l
bnQgb2YgU3VyZ2VyeSwgQXVyb3JhLCBDb2xvcmFkby48L2F1dGgtYWRkcmVzcz48dGl0bGVzPjx0
aXRsZT5UaGUgZWZmZWN0cyBvZiBlbGVjdHJvbmljIGNpZ2FyZXR0ZSB2YXBvdXIgb24gdGhlIGx1
bmc6IGRpcmVjdCBjb21wYXJpc29uIHRvIHRvYmFjY28gc21va2U8L3RpdGxlPjxzZWNvbmRhcnkt
dGl0bGU+RXVyIFJlc3BpciBKPC9zZWNvbmRhcnktdGl0bGU+PGFsdC10aXRsZT5UaGUgRXVyb3Bl
YW4gcmVzcGlyYXRvcnkgam91cm5hbDwvYWx0LXRpdGxlPjwvdGl0bGVzPjxwZXJpb2RpY2FsPjxm
dWxsLXRpdGxlPkV1ciBSZXNwaXIgSjwvZnVsbC10aXRsZT48YWJici0xPlRoZSBFdXJvcGVhbiBy
ZXNwaXJhdG9yeSBqb3VybmFsPC9hYmJyLTE+PC9wZXJpb2RpY2FsPjxhbHQtcGVyaW9kaWNhbD48
ZnVsbC10aXRsZT5FdXIgUmVzcGlyIEo8L2Z1bGwtdGl0bGU+PGFiYnItMT5UaGUgRXVyb3BlYW4g
cmVzcGlyYXRvcnkgam91cm5hbDwvYWJici0xPjwvYWx0LXBlcmlvZGljYWw+PGVkaXRpb24+MjAx
OC8wMi8xNzwvZWRpdGlvbj48ZGF0ZXM+PHllYXI+MjAxODwveWVhcj48cHViLWRhdGVzPjxkYXRl
PkZlYiAxNTwvZGF0ZT48L3B1Yi1kYXRlcz48L2RhdGVzPjxpc2JuPjA5MDMtMTkzNjwvaXNibj48
YWNjZXNzaW9uLW51bT4yOTQ0OTQyMzwvYWNjZXNzaW9uLW51bT48dXJscz48L3VybHM+PGVsZWN0
cm9uaWMtcmVzb3VyY2UtbnVtPjEwLjExODMvMTM5OTMwMDMuMDE2NjEtMjAxNzwvZWxlY3Ryb25p
Yy1yZXNvdXJjZS1udW0+PHJlbW90ZS1kYXRhYmFzZS1wcm92aWRlcj5OTE08L3JlbW90ZS1kYXRh
YmFzZS1wcm92aWRlcj48bGFuZ3VhZ2U+ZW5nPC9sYW5ndWFnZT48L3JlY29yZD48L0NpdGU+PENp
dGU+PEF1dGhvcj5MZWU8L0F1dGhvcj48WWVhcj4yMDE4PC9ZZWFyPjxSZWNOdW0+NjI3PC9SZWNO
dW0+PHJlY29yZD48cmVjLW51bWJlcj42Mjc8L3JlYy1udW1iZXI+PGZvcmVpZ24ta2V5cz48a2V5
IGFwcD0iRU4iIGRiLWlkPSI5ejA1ZHowcHJhYWRmdWVlMHpveHplZGs5emZlNWZ4eDUwejUiIHRp
bWVzdGFtcD0iMTUyMTUwNjg3MyI+NjI3PC9rZXk+PC9mb3JlaWduLWtleXM+PHJlZi10eXBlIG5h
bWU9IkpvdXJuYWwgQXJ0aWNsZSI+MTc8L3JlZi10eXBlPjxjb250cmlidXRvcnM+PGF1dGhvcnM+
PGF1dGhvcj5MZWUsIEguIFcuPC9hdXRob3I+PGF1dGhvcj5QYXJrLCBTLiBILjwvYXV0aG9yPjxh
dXRob3I+V2VuZywgTS4gVy48L2F1dGhvcj48YXV0aG9yPldhbmcsIEguIFQuPC9hdXRob3I+PGF1
dGhvcj5IdWFuZywgVy4gQy48L2F1dGhvcj48YXV0aG9yPkxlcG9yLCBILjwvYXV0aG9yPjxhdXRo
b3I+V3UsIFguIFIuPC9hdXRob3I+PGF1dGhvcj5DaGVuLCBMLiBDLjwvYXV0aG9yPjxhdXRob3I+
VGFuZywgTS4gUy48L2F1dGhvcj48L2F1dGhvcnM+PC9jb250cmlidXRvcnM+PGF1dGgtYWRkcmVz
cz5EZXBhcnRtZW50IG9mIEVudmlyb25tZW50YWwgTWVkaWNpbmUsIE5ldyBZb3JrIFVuaXZlcnNp
dHkgU2Nob29sIG9mIE1lZGljaW5lLCBUdXhlZG8gUGFyaywgTlkgMTA5ODcuJiN4RDtEZXBhcnRt
ZW50IG9mIFVyb2xvZ3ksIE5ldyBZb3JrIFVuaXZlcnNpdHkgU2Nob29sIG9mIE1lZGljaW5lLCBO
ZXcgWW9yaywgTlkgMTAwMTYuJiN4RDtEZXBhcnRtZW50IG9mIEVudmlyb25tZW50YWwgTWVkaWNp
bmUsIE5ldyBZb3JrIFVuaXZlcnNpdHkgU2Nob29sIG9mIE1lZGljaW5lLCBUdXhlZG8gUGFyaywg
TlkgMTA5ODc7IG1vb24tc2hvbmcudGFuZ0BueXVtYy5vcmcuPC9hdXRoLWFkZHJlc3M+PHRpdGxl
cz48dGl0bGU+RS1jaWdhcmV0dGUgc21va2UgZGFtYWdlcyBETkEgYW5kIHJlZHVjZXMgcmVwYWly
IGFjdGl2aXR5IGluIG1vdXNlIGx1bmcsIGhlYXJ0LCBhbmQgYmxhZGRlciBhcyB3ZWxsIGFzIGlu
IGh1bWFuIGx1bmcgYW5kIGJsYWRkZXIgY2VsbHM8L3RpdGxlPjxzZWNvbmRhcnktdGl0bGU+UHJv
YyBOYXRsIEFjYWQgU2NpIFUgUyBBPC9zZWNvbmRhcnktdGl0bGU+PGFsdC10aXRsZT5Qcm9jZWVk
aW5ncyBvZiB0aGUgTmF0aW9uYWwgQWNhZGVteSBvZiBTY2llbmNlcyBvZiB0aGUgVW5pdGVkIFN0
YXRlcyBvZiBBbWVyaWNhPC9hbHQtdGl0bGU+PC90aXRsZXM+PHBlcmlvZGljYWw+PGZ1bGwtdGl0
bGU+UHJvYyBOYXRsIEFjYWQgU2NpIFUgUyBBPC9mdWxsLXRpdGxlPjxhYmJyLTE+UHJvY2VlZGlu
Z3Mgb2YgdGhlIE5hdGlvbmFsIEFjYWRlbXkgb2YgU2NpZW5jZXMgb2YgdGhlIFVuaXRlZCBTdGF0
ZXMgb2YgQW1lcmljYTwvYWJici0xPjwvcGVyaW9kaWNhbD48YWx0LXBlcmlvZGljYWw+PGZ1bGwt
dGl0bGU+UHJvYyBOYXRsIEFjYWQgU2NpIFUgUyBBPC9mdWxsLXRpdGxlPjxhYmJyLTE+UHJvY2Vl
ZGluZ3Mgb2YgdGhlIE5hdGlvbmFsIEFjYWRlbXkgb2YgU2NpZW5jZXMgb2YgdGhlIFVuaXRlZCBT
dGF0ZXMgb2YgQW1lcmljYTwvYWJici0xPjwvYWx0LXBlcmlvZGljYWw+PHBhZ2VzPkUxNTYwLWUx
NTY5PC9wYWdlcz48dm9sdW1lPjExNTwvdm9sdW1lPjxudW1iZXI+NzwvbnVtYmVyPjxlZGl0aW9u
PjIwMTgvMDEvMzE8L2VkaXRpb24+PGtleXdvcmRzPjxrZXl3b3JkPkROQSBkYW1hZ2U8L2tleXdv
cmQ+PGtleXdvcmQ+RE5BIHJlcGFpcjwva2V5d29yZD48a2V5d29yZD5FLWNpZ2FyZXR0ZXM8L2tl
eXdvcmQ+PGtleXdvcmQ+Y2FuY2VyPC9rZXl3b3JkPjxrZXl3b3JkPmx1bmctYmxhZGRlci1oZWFy
dDwva2V5d29yZD48L2tleXdvcmRzPjxkYXRlcz48eWVhcj4yMDE4PC95ZWFyPjxwdWItZGF0ZXM+
PGRhdGU+RmViIDEzPC9kYXRlPjwvcHViLWRhdGVzPjwvZGF0ZXM+PGlzYm4+MDAyNy04NDI0PC9p
c2JuPjxhY2Nlc3Npb24tbnVtPjI5Mzc4OTQzPC9hY2Nlc3Npb24tbnVtPjx1cmxzPjxyZWxhdGVk
LXVybHM+PHVybD5odHRwOi8vd3d3LnBuYXMub3JnL2NvbnRlbnQvcG5hcy8xMTUvNy9FMTU2MC5m
dWxsLnBkZjwvdXJsPjwvcmVsYXRlZC11cmxzPjwvdXJscz48Y3VzdG9tMj5QTUM1ODE2MTkxPC9j
dXN0b20yPjxlbGVjdHJvbmljLXJlc291cmNlLW51bT4xMC4xMDczL3BuYXMuMTcxODE4NTExNTwv
ZWxlY3Ryb25pYy1yZXNvdXJjZS1udW0+PHJlbW90ZS1kYXRhYmFzZS1wcm92aWRlcj5OTE08L3Jl
bW90ZS1kYXRhYmFzZS1wcm92aWRlcj48bGFuZ3VhZ2U+ZW5nPC9sYW5ndWFnZT48L3JlY29yZD48
L0NpdGU+PENpdGU+PEF1dGhvcj5QaGlsbGlwczwvQXV0aG9yPjxZZWFyPjIwMTc8L1llYXI+PFJl
Y051bT45Mjg8L1JlY051bT48cmVjb3JkPjxyZWMtbnVtYmVyPjkyODwvcmVjLW51bWJlcj48Zm9y
ZWlnbi1rZXlzPjxrZXkgYXBwPSJFTiIgZGItaWQ9Ijl6MDVkejBwcmFhZGZ1ZWUwem94emVkazl6
ZmU1Znh4NTB6NSIgdGltZXN0YW1wPSIxNTIxNTA2OTYwIj45Mjg8L2tleT48L2ZvcmVpZ24ta2V5
cz48cmVmLXR5cGUgbmFtZT0iSm91cm5hbCBBcnRpY2xlIj4xNzwvcmVmLXR5cGU+PGNvbnRyaWJ1
dG9ycz48YXV0aG9ycz48YXV0aG9yPlBoaWxsaXBzLCBCLjwvYXV0aG9yPjxhdXRob3I+VGl0eiwg
Qi48L2F1dGhvcj48YXV0aG9yPktvZ2VsLCBVLjwvYXV0aG9yPjxhdXRob3I+U2hhcm1hLCBELjwv
YXV0aG9yPjxhdXRob3I+TGVyb3ksIFAuPC9hdXRob3I+PGF1dGhvcj5YaWFuZywgWS48L2F1dGhv
cj48YXV0aG9yPlZ1aWxsYXVtZSwgRy48L2F1dGhvcj48YXV0aG9yPkxlYnJ1biwgUy48L2F1dGhv
cj48YXV0aG9yPlNjaXVzY2lvLCBELjwvYXV0aG9yPjxhdXRob3I+SG8sIEouPC9hdXRob3I+PGF1
dGhvcj5OdXJ5LCBDLjwvYXV0aG9yPjxhdXRob3I+R3VlZGosIEUuPC9hdXRob3I+PGF1dGhvcj5F
bGFtaW4sIEEuPC9hdXRob3I+PGF1dGhvcj5Fc3Bvc2l0bywgTS48L2F1dGhvcj48YXV0aG9yPkty
aXNobmFuLCBTLjwvYXV0aG9yPjxhdXRob3I+U2NobGFnZSwgVy4gSy48L2F1dGhvcj48YXV0aG9y
PlZlbGprb3ZpYywgRS48L2F1dGhvcj48YXV0aG9yPkl2YW5vdiwgTi4gVi48L2F1dGhvcj48YXV0
aG9yPk1hcnRpbiwgRi48L2F1dGhvcj48YXV0aG9yPlBlaXRzY2gsIE0uIEMuPC9hdXRob3I+PGF1
dGhvcj5Ib2VuZywgSi48L2F1dGhvcj48YXV0aG9yPlZhbnNjaGVldXdpamNrLCBQLjwvYXV0aG9y
PjwvYXV0aG9ycz48L2NvbnRyaWJ1dG9ycz48YXV0aC1hZGRyZXNzPlBoaWxpcCBNb3JyaXMgSW50
ZXJuYXRpb25hbCBSZXNlYXJjaCBMYWJvcmF0b3JpZXMgUHRlLiBMdGQuIChwYXJ0IG9mIFBoaWxp
cCBNb3JyaXMgSW50ZXJuYXRpb25hbCBHcm91cCBvZiBDb21wYW5pZXMpLCA1MCBTY2llbmNlIFBh
cmsgUm9hZCwgU2luZ2Fwb3JlIDExNzQwNiwgU2luZ2Fwb3JlLiYjeEQ7UGhpbGlwIE1vcnJpcyBJ
bnRlcm5hdGlvbmFsIFJlc2VhcmNoIGFuZCBEZXZlbG9wbWVudCAocGFydCBvZiBQaGlsaXAgTW9y
cmlzIEludGVybmF0aW9uYWwgR3JvdXAgb2YgQ29tcGFuaWVzKSwgUGhpbGlwIE1vcnJpcyBQcm9k
dWN0cyBTLkEuLCBRdWFpIEplYW5yZW5hdWQgNSwgMjAwMCBOZXVjaGF0ZWwsIFN3aXR6ZXJsYW5k
LiYjeEQ7QmlvbG9neSBDb25zdWx0YW50LCBNYXgtQmFlcm1hbm4tU3RyLiAyMSwgNTE0MjkgQmVy
Z2lzY2ggR2xhZGJhY2gsIEdlcm1hbnkuJiN4RDtQaGlsaXAgTW9ycmlzIEludGVybmF0aW9uYWwg
UmVzZWFyY2ggYW5kIERldmVsb3BtZW50IChwYXJ0IG9mIFBoaWxpcCBNb3JyaXMgSW50ZXJuYXRp
b25hbCBHcm91cCBvZiBDb21wYW5pZXMpLCBQaGlsaXAgTW9ycmlzIFByb2R1Y3RzIFMuQS4sIFF1
YWkgSmVhbnJlbmF1ZCA1LCAyMDAwIE5ldWNoYXRlbCwgU3dpdHplcmxhbmQuIEVsZWN0cm9uaWMg
YWRkcmVzczogUGF0cmljay52YW5zY2hlZXV3aWpja0BwbWkuY29tLjwvYXV0aC1hZGRyZXNzPjx0
aXRsZXM+PHRpdGxlPlRveGljaXR5IG9mIHRoZSBtYWluIGVsZWN0cm9uaWMgY2lnYXJldHRlIGNv
bXBvbmVudHMsIHByb3B5bGVuZSBnbHljb2wsIGdseWNlcmluLCBhbmQgbmljb3RpbmUsIGluIFNw
cmFndWUtRGF3bGV5IHJhdHMgaW4gYSA5MC1kYXkgT0VDRCBpbmhhbGF0aW9uIHN0dWR5IGNvbXBs
ZW1lbnRlZCBieSBtb2xlY3VsYXIgZW5kcG9pbnRzPC90aXRsZT48c2Vjb25kYXJ5LXRpdGxlPkZv
b2QgQ2hlbSBUb3hpY29sPC9zZWNvbmRhcnktdGl0bGU+PGFsdC10aXRsZT5Gb29kIGFuZCBjaGVt
aWNhbCB0b3hpY29sb2d5IDogYW4gaW50ZXJuYXRpb25hbCBqb3VybmFsIHB1Ymxpc2hlZCBmb3Ig
dGhlIEJyaXRpc2ggSW5kdXN0cmlhbCBCaW9sb2dpY2FsIFJlc2VhcmNoIEFzc29jaWF0aW9uPC9h
bHQtdGl0bGU+PC90aXRsZXM+PHBlcmlvZGljYWw+PGZ1bGwtdGl0bGU+Rm9vZCBDaGVtIFRveGlj
b2w8L2Z1bGwtdGl0bGU+PGFiYnItMT5Gb29kIGFuZCBjaGVtaWNhbCB0b3hpY29sb2d5IDogYW4g
aW50ZXJuYXRpb25hbCBqb3VybmFsIHB1Ymxpc2hlZCBmb3IgdGhlIEJyaXRpc2ggSW5kdXN0cmlh
bCBCaW9sb2dpY2FsIFJlc2VhcmNoIEFzc29jaWF0aW9uPC9hYmJyLTE+PC9wZXJpb2RpY2FsPjxh
bHQtcGVyaW9kaWNhbD48ZnVsbC10aXRsZT5Gb29kIENoZW0gVG94aWNvbDwvZnVsbC10aXRsZT48
YWJici0xPkZvb2QgYW5kIGNoZW1pY2FsIHRveGljb2xvZ3kgOiBhbiBpbnRlcm5hdGlvbmFsIGpv
dXJuYWwgcHVibGlzaGVkIGZvciB0aGUgQnJpdGlzaCBJbmR1c3RyaWFsIEJpb2xvZ2ljYWwgUmVz
ZWFyY2ggQXNzb2NpYXRpb248L2FiYnItMT48L2FsdC1wZXJpb2RpY2FsPjxwYWdlcz4zMTUtMzMy
PC9wYWdlcz48dm9sdW1lPjEwOTwvdm9sdW1lPjxudW1iZXI+UHQgMTwvbnVtYmVyPjxlZGl0aW9u
PjIwMTcvMDkvMDk8L2VkaXRpb24+PGtleXdvcmRzPjxrZXl3b3JkPkVsZWN0cm9uaWMgY2lnYXJl
dHRlPC9rZXl3b3JkPjxrZXl3b3JkPkdseWNlcmluPC9rZXl3b3JkPjxrZXl3b3JkPkluaGFsYXRp
b24gdG94aWNpdHk8L2tleXdvcmQ+PGtleXdvcmQ+Tmljb3RpbmU8L2tleXdvcmQ+PGtleXdvcmQ+
T3JnYW5pemF0aW9uIGZvciBFY29ub21pYyBDb29wZXJhdGlvbiBhbmQgRGV2ZWxvcG1lbnQgKE9F
Q0QpIDQxMyBndWlkZWxpbmU8L2tleXdvcmQ+PGtleXdvcmQ+UHJvcHlsZW5lIGdseWNvbDwva2V5
d29yZD48a2V5d29yZD5TeXN0ZW1zIHRveGljb2xvZ3k8L2tleXdvcmQ+PC9rZXl3b3Jkcz48ZGF0
ZXM+PHllYXI+MjAxNzwveWVhcj48cHViLWRhdGVzPjxkYXRlPk5vdjwvZGF0ZT48L3B1Yi1kYXRl
cz48L2RhdGVzPjxpc2JuPjAyNzgtNjkxNTwvaXNibj48YWNjZXNzaW9uLW51bT4yODg4MjY0MDwv
YWNjZXNzaW9uLW51bT48dXJscz48cmVsYXRlZC11cmxzPjx1cmw+aHR0cHM6Ly93d3cuc2NpZW5j
ZWRpcmVjdC5jb20vc2NpZW5jZS9hcnRpY2xlL3BpaS9TMDI3ODY5MTUxNzMwNTExMj92aWElM0Rp
aHViPC91cmw+PC9yZWxhdGVkLXVybHM+PC91cmxzPjxlbGVjdHJvbmljLXJlc291cmNlLW51bT4x
MC4xMDE2L2ouZmN0LjIwMTcuMDkuMDAxPC9lbGVjdHJvbmljLXJlc291cmNlLW51bT48cmVtb3Rl
LWRhdGFiYXNlLXByb3ZpZGVyPk5MTTwvcmVtb3RlLWRhdGFiYXNlLXByb3ZpZGVyPjxsYW5ndWFn
ZT5lbmc8L2xhbmd1YWdlPjwvcmVjb3JkPjwvQ2l0ZT48L0VuZE5vdGU+
</w:fldData>
            </w:fldChar>
          </w:r>
          <w:r>
            <w:instrText xml:space="preserve"> ADDIN EN.CITE </w:instrText>
          </w:r>
          <w:r>
            <w:fldChar w:fldCharType="begin">
              <w:fldData xml:space="preserve">PEVuZE5vdGU+PENpdGU+PEF1dGhvcj5Dcm90dHkgQWxleGFuZGVyPC9BdXRob3I+PFllYXI+MjAx
ODwvWWVhcj48UmVjTnVtPjUyNzwvUmVjTnVtPjxEaXNwbGF5VGV4dD4oTGF1YmUsIEFmc2hhci1N
b2hhamVyIGV0IGFsLiAyMDE3LCBQaGlsbGlwcywgVGl0eiBldCBhbC4gMjAxNywgQ3JvdHR5IEFs
ZXhhbmRlciwgRHJ1bW1vbmQgZXQgYWwuIDIwMTgsIExlZSwgUGFyayBldCBhbC4gMjAxOCwgUmVp
bmlrb3ZhaXRlLCBSb2RyaWd1ZXogZXQgYWwuIDIwMTgpPC9EaXNwbGF5VGV4dD48cmVjb3JkPjxy
ZWMtbnVtYmVyPjUyNzwvcmVjLW51bWJlcj48Zm9yZWlnbi1rZXlzPjxrZXkgYXBwPSJFTiIgZGIt
aWQ9Ijl6MDVkejBwcmFhZGZ1ZWUwem94emVkazl6ZmU1Znh4NTB6NSIgdGltZXN0YW1wPSIxNTIx
NTA2ODUwIj41Mjc8L2tleT48a2V5IGFwcD0iRU5XZWIiIGRiLWlkPSIiPjA8L2tleT48L2ZvcmVp
Z24ta2V5cz48cmVmLXR5cGUgbmFtZT0iSm91cm5hbCBBcnRpY2xlIj4xNzwvcmVmLXR5cGU+PGNv
bnRyaWJ1dG9ycz48YXV0aG9ycz48YXV0aG9yPkNyb3R0eSBBbGV4YW5kZXIsIEwuIEUuPC9hdXRo
b3I+PGF1dGhvcj5EcnVtbW9uZCwgQy4gQS48L2F1dGhvcj48YXV0aG9yPkhlcG9rb3NraSwgTS48
L2F1dGhvcj48YXV0aG9yPk1hdGhldywgRC4gUC48L2F1dGhvcj48YXV0aG9yPk1vc2hlbnNreSwg
QS48L2F1dGhvcj48YXV0aG9yPldpbGxlZm9yZCwgQS48L2F1dGhvcj48YXV0aG9yPkRhcywgUy48
L2F1dGhvcj48YXV0aG9yPlNpbmdoLCBQLjwvYXV0aG9yPjxhdXRob3I+WW9uZywgWi48L2F1dGhv
cj48YXV0aG9yPkxlZSwgSi4gSC48L2F1dGhvcj48YXV0aG9yPlZlZ2EsIEsuPC9hdXRob3I+PGF1
dGhvcj5EdSwgQS48L2F1dGhvcj48YXV0aG9yPlNoaW4sIEouPC9hdXRob3I+PGF1dGhvcj5KYXZp
ZXIsIEMuPC9hdXRob3I+PGF1dGhvcj5UaWFuLCBKLjwvYXV0aG9yPjxhdXRob3I+QnJvd24sIEou
IEguPC9hdXRob3I+PGF1dGhvcj5CcmVlbiwgRS4gQy48L2F1dGhvcj48L2F1dGhvcnM+PC9jb250
cmlidXRvcnM+PGF1dGgtYWRkcmVzcz5NZWRpY2luZSwgVUMgU2FuIERpZWdvIGFuZCBWQVNESFMs
IFVuaXRlZCBTdGF0ZXMuJiN4RDtTdXJnZXJ5IGFuZCBNZWRpY2FsIERldmljZSBlZmZpY2FjeSwg
TVBJIFJlc2VhcmNoLCBVbml0ZWQgU3RhdGVzLiYjeEQ7TWVkaWNpbmUsIERpdmlzaW9uIG9mIFB1
bG1vbmFyeSBhbmQgQ3JpdGljYWwgQ2FyZSwgbWhlcG9rb3NraUB1Y3NkLmVkdSwgVW5pdGVkIFN0
YXRlcy4mI3hEO01lZGljaW5lLCBVQyBTYW4gRGllZ28gU2Nob29sIG9mIE1lZGljaW5lLiYjeEQ7
TWVkaWNpbmUsIFVDIFNhbiBEaWVnbyBhbmQgVkFTREhTLiYjeEQ7UGhhcm1hY29sb2d5LCBVQ1NE
LiYjeEQ7UGF0aG9sb2d5LCBVQ1NELiYjeEQ7TWVkaWNpbmUtTmVwaHJvbG9neSwgVUMgU2FuIERp
ZWdvIGFuZCBWQVNESFMsIFVuaXRlZCBTdGF0ZXMuJiN4RDtNZWRpY2luZSwgVUNTRC4mI3hEO01l
ZGljaW5lLCBVbml2ZXJzaXR5IG9mIFRvbGVkbyBIZWFsdGggU2NpZW5jZSBDYW1wdXMsIFVuaXRl
ZCBTdGF0ZXMuJiN4RDtEZXBhcnRtZW50IG9mIFBoYXJtYWNvbG9neSAwNjM2LCBVbml2ZXJzaXR5
IG9mIENhbGlmb3JuaWEsIFNhbiBEaWVnbywgVW5pdGVkIFN0YXRlcy4mI3hEO01lZGljaW5lLCBV
bml2ZXJzaXR5IG9mIENhbGlmb3JuaWEsIFNhbiBEaWVnbywgVW5pdGVkIFN0YXRlcy48L2F1dGgt
YWRkcmVzcz48dGl0bGVzPjx0aXRsZT5DaHJvbmljIEluaGFsYXRpb24gb2YgRS1DaWdhcmV0dGUg
VmFwb3IgQ29udGFpbmluZyBOaWNvdGluZSBEaXNydXB0cyBBaXJ3YXkgQmFycmllciBGdW5jdGlv
biBhbmQgSW5kdWNlcyBTeXN0ZW1pYyBJbmZsYW1tYXRpb24gYW5kIE11bHRpLU9yZ2FuIEZpYnJv
c2lzIGluIE1pY2U8L3RpdGxlPjxzZWNvbmRhcnktdGl0bGU+QW0gSiBQaHlzaW9sIFJlZ3VsIElu
dGVnciBDb21wIFBoeXNpb2w8L3NlY29uZGFyeS10aXRsZT48YWx0LXRpdGxlPkFtZXJpY2FuIGpv
dXJuYWwgb2YgcGh5c2lvbG9neS4gUmVndWxhdG9yeSwgaW50ZWdyYXRpdmUgYW5kIGNvbXBhcmF0
aXZlIHBoeXNpb2xvZ3k8L2FsdC10aXRsZT48L3RpdGxlcz48cGVyaW9kaWNhbD48ZnVsbC10aXRs
ZT5BbSBKIFBoeXNpb2wgUmVndWwgSW50ZWdyIENvbXAgUGh5c2lvbDwvZnVsbC10aXRsZT48YWJi
ci0xPkFtZXJpY2FuIGpvdXJuYWwgb2YgcGh5c2lvbG9neS4gUmVndWxhdG9yeSwgaW50ZWdyYXRp
dmUgYW5kIGNvbXBhcmF0aXZlIHBoeXNpb2xvZ3k8L2FiYnItMT48L3BlcmlvZGljYWw+PGFsdC1w
ZXJpb2RpY2FsPjxmdWxsLXRpdGxlPkFtIEogUGh5c2lvbCBSZWd1bCBJbnRlZ3IgQ29tcCBQaHlz
aW9sPC9mdWxsLXRpdGxlPjxhYmJyLTE+QW1lcmljYW4gam91cm5hbCBvZiBwaHlzaW9sb2d5LiBS
ZWd1bGF0b3J5LCBpbnRlZ3JhdGl2ZSBhbmQgY29tcGFyYXRpdmUgcGh5c2lvbG9neTwvYWJici0x
PjwvYWx0LXBlcmlvZGljYWw+PGVkaXRpb24+MjAxOC8wMi8wMTwvZWRpdGlvbj48a2V5d29yZHM+
PGtleXdvcmQ+Y2FyZGlvcmVuYWwgZHlzZnVuY3Rpb248L2tleXdvcmQ+PGtleXdvcmQ+ZWxlY3Ry
b25pYyBjaWdhcmV0dGU8L2tleXdvcmQ+PGtleXdvcmQ+Zmlicm9zaXM8L2tleXdvcmQ+PGtleXdv
cmQ+aW5mbGFtbWF0aW9uPC9rZXl3b3JkPjxrZXl3b3JkPm5pY290aW5lPC9rZXl3b3JkPjwva2V5
d29yZHM+PGRhdGVzPjx5ZWFyPjIwMTg8L3llYXI+PHB1Yi1kYXRlcz48ZGF0ZT5KYW4gMzE8L2Rh
dGU+PC9wdWItZGF0ZXM+PC9kYXRlcz48aXNibj4wMzYzLTYxMTk8L2lzYm4+PGFjY2Vzc2lvbi1u
dW0+MjkzODQ3MDA8L2FjY2Vzc2lvbi1udW0+PHVybHM+PC91cmxzPjxlbGVjdHJvbmljLXJlc291
cmNlLW51bT4xMC4xMTUyL2FqcHJlZ3UuMDAyNzAuMjAxNzwvZWxlY3Ryb25pYy1yZXNvdXJjZS1u
dW0+PHJlbW90ZS1kYXRhYmFzZS1wcm92aWRlcj5OTE08L3JlbW90ZS1kYXRhYmFzZS1wcm92aWRl
cj48bGFuZ3VhZ2U+ZW5nPC9sYW5ndWFnZT48L3JlY29yZD48L0NpdGU+PENpdGU+PEF1dGhvcj5M
YXViZTwvQXV0aG9yPjxZZWFyPjIwMTc8L1llYXI+PFJlY051bT4xMDYwPC9SZWNOdW0+PHJlY29y
ZD48cmVjLW51bWJlcj4xMDYwPC9yZWMtbnVtYmVyPjxmb3JlaWduLWtleXM+PGtleSBhcHA9IkVO
IiBkYi1pZD0iOXowNWR6MHByYWFkZnVlZTB6b3h6ZWRrOXpmZTVmeHg1MHo1IiB0aW1lc3RhbXA9
IjE1MjE1MDY5OTEiPjEwNjA8L2tleT48L2ZvcmVpZ24ta2V5cz48cmVmLXR5cGUgbmFtZT0iSm91
cm5hbCBBcnRpY2xlIj4xNzwvcmVmLXR5cGU+PGNvbnRyaWJ1dG9ycz48YXV0aG9ycz48YXV0aG9y
PkxhdWJlLCBCLiBMLjwvYXV0aG9yPjxhdXRob3I+QWZzaGFyLU1vaGFqZXIsIE4uPC9hdXRob3I+
PGF1dGhvcj5Lb2VobGVyLCBLLjwvYXV0aG9yPjxhdXRob3I+Q2hlbiwgRy48L2F1dGhvcj48YXV0
aG9yPkxhemFydXMsIFAuPC9hdXRob3I+PGF1dGhvcj5Db2xsYWNvLCBKLiBNLjwvYXV0aG9yPjxh
dXRob3I+TWNHcmF0aC1Nb3Jyb3csIFMuIEEuPC9hdXRob3I+PC9hdXRob3JzPjwvY29udHJpYnV0
b3JzPjxhdXRoLWFkZHJlc3M+YSBEZXBhcnRtZW50IG9mIFBlZGlhdHJpY3MgLCBKb2hucyBIb3Br
aW5zIFVuaXZlcnNpdHkgU2Nob29sIG9mIE1lZGljaW5lICwgQmFsdGltb3JlICwgTUQgLCBVU0Eu
JiN4RDtiIERlcGFydG1lbnQgb2YgRW52aXJvbm1lbnRhbCBIZWFsdGggU2NpZW5jZXMgLCBKb2hu
cyBIb3BraW5zIFVuaXZlcnNpdHkgQmxvb21iZXJnIFNjaG9vbCBvZiBQdWJsaWMgSGVhbHRoICwg
QmFsdGltb3JlICwgTUQgLCBVU0EuJiN4RDtjIERlcGFydG1lbnQgb2YgUGhhcm1hY2V1dGljYWwg
U2NpZW5jZSAsIFdhc2hpbmd0b24gU3RhdGUgVW5pdmVyc2l0eSAsIFNwb2thbmUgLCBXQSAsIFVT
QS48L2F1dGgtYWRkcmVzcz48dGl0bGVzPjx0aXRsZT5BY3V0ZSBhbmQgY2hyb25pYyBpbiB2aXZv
IGVmZmVjdHMgb2YgZXhwb3N1cmUgdG8gbmljb3RpbmUgYW5kIHByb3B5bGVuZSBnbHljb2wgZnJv
bSBhbiBFLWNpZ2FyZXR0ZSBvbiBtdWNvY2lsaWFyeSBjbGVhcmFuY2UgaW4gYSBtdXJpbmUgbW9k
ZWw8L3RpdGxlPjxzZWNvbmRhcnktdGl0bGU+SW5oYWwgVG94aWNvbDwvc2Vjb25kYXJ5LXRpdGxl
PjxhbHQtdGl0bGU+SW5oYWxhdGlvbiB0b3hpY29sb2d5PC9hbHQtdGl0bGU+PC90aXRsZXM+PHBl
cmlvZGljYWw+PGZ1bGwtdGl0bGU+SW5oYWwgVG94aWNvbDwvZnVsbC10aXRsZT48YWJici0xPklu
aGFsYXRpb24gdG94aWNvbG9neTwvYWJici0xPjwvcGVyaW9kaWNhbD48YWx0LXBlcmlvZGljYWw+
PGZ1bGwtdGl0bGU+SW5oYWwgVG94aWNvbDwvZnVsbC10aXRsZT48YWJici0xPkluaGFsYXRpb24g
dG94aWNvbG9neTwvYWJici0xPjwvYWx0LXBlcmlvZGljYWw+PHBhZ2VzPjE5Ny0yMDU8L3BhZ2Vz
Pjx2b2x1bWU+Mjk8L3ZvbHVtZT48bnVtYmVyPjU8L251bWJlcj48ZWRpdGlvbj4yMDE3LzA2LzI4
PC9lZGl0aW9uPjxrZXl3b3Jkcz48a2V5d29yZD5FLWNpZ2FyZXR0ZSBlbWlzc2lvbnM8L2tleXdv
cmQ+PGtleXdvcmQ+YWN1dGUgZXhwb3N1cmU8L2tleXdvcmQ+PGtleXdvcmQ+Y2hyb25pYyBleHBv
c3VyZTwva2V5d29yZD48a2V5d29yZD5tdWNvY2lsaWFyeSBjbGVhcmFuY2U8L2tleXdvcmQ+PGtl
eXdvcmQ+bXVyaW5lIG1vZGVsPC9rZXl3b3JkPjwva2V5d29yZHM+PGRhdGVzPjx5ZWFyPjIwMTc8
L3llYXI+PHB1Yi1kYXRlcz48ZGF0ZT5BcHI8L2RhdGU+PC9wdWItZGF0ZXM+PC9kYXRlcz48aXNi
bj4wODk1LTgzNzg8L2lzYm4+PGFjY2Vzc2lvbi1udW0+Mjg2NTE0NDY8L2FjY2Vzc2lvbi1udW0+
PHVybHM+PHJlbGF0ZWQtdXJscz48dXJsPmh0dHBzOi8vd3d3LnRhbmRmb25saW5lLmNvbS9kb2kv
cGRmLzEwLjEwODAvMDg5NTgzNzguMjAxNy4xMzM2NTg1P25lZWRBY2Nlc3M9dHJ1ZTwvdXJsPjwv
cmVsYXRlZC11cmxzPjwvdXJscz48Y3VzdG9tMj5QTUM1NTUzNjE0PC9jdXN0b20yPjxjdXN0b202
Pk5JSE1TODkyNzk1PC9jdXN0b202PjxlbGVjdHJvbmljLXJlc291cmNlLW51bT4xMC4xMDgwLzA4
OTU4Mzc4LjIwMTcuMTMzNjU4NTwvZWxlY3Ryb25pYy1yZXNvdXJjZS1udW0+PHJlbW90ZS1kYXRh
YmFzZS1wcm92aWRlcj5OTE08L3JlbW90ZS1kYXRhYmFzZS1wcm92aWRlcj48bGFuZ3VhZ2U+ZW5n
PC9sYW5ndWFnZT48L3JlY29yZD48L0NpdGU+PENpdGU+PEF1dGhvcj5SZWluaWtvdmFpdGU8L0F1
dGhvcj48WWVhcj4yMDE4PC9ZZWFyPjxSZWNOdW0+NTY5PC9SZWNOdW0+PHJlY29yZD48cmVjLW51
bWJlcj41Njk8L3JlYy1udW1iZXI+PGZvcmVpZ24ta2V5cz48a2V5IGFwcD0iRU4iIGRiLWlkPSI5
ejA1ZHowcHJhYWRmdWVlMHpveHplZGs5emZlNWZ4eDUwejUiIHRpbWVzdGFtcD0iMTUyMTUwNjg2
MCI+NTY5PC9rZXk+PGtleSBhcHA9IkVOV2ViIiBkYi1pZD0iIj4wPC9rZXk+PC9mb3JlaWduLWtl
eXM+PHJlZi10eXBlIG5hbWU9IkpvdXJuYWwgQXJ0aWNsZSI+MTc8L3JlZi10eXBlPjxjb250cmli
dXRvcnM+PGF1dGhvcnM+PGF1dGhvcj5SZWluaWtvdmFpdGUsIFYuPC9hdXRob3I+PGF1dGhvcj5S
b2RyaWd1ZXosIEkuIEUuPC9hdXRob3I+PGF1dGhvcj5LYXJvb3IsIFYuPC9hdXRob3I+PGF1dGhv
cj5SYXUsIEEuPC9hdXRob3I+PGF1dGhvcj5UcmluaCwgQi4gQi48L2F1dGhvcj48YXV0aG9yPkRl
bGV5aWFubmlzLCBGLiBXLjwvYXV0aG9yPjxhdXRob3I+VGFyYXNldmljaWVuZS1TdGV3YXJ0LCBM
LjwvYXV0aG9yPjwvYXV0aG9ycz48L2NvbnRyaWJ1dG9ycz48YXV0aC1hZGRyZXNzPkRlcGFydG1l
bnQgb2YgU3VyZ2VyeSwgQXVyb3JhLCBDb2xvcmFkby48L2F1dGgtYWRkcmVzcz48dGl0bGVzPjx0
aXRsZT5UaGUgZWZmZWN0cyBvZiBlbGVjdHJvbmljIGNpZ2FyZXR0ZSB2YXBvdXIgb24gdGhlIGx1
bmc6IGRpcmVjdCBjb21wYXJpc29uIHRvIHRvYmFjY28gc21va2U8L3RpdGxlPjxzZWNvbmRhcnkt
dGl0bGU+RXVyIFJlc3BpciBKPC9zZWNvbmRhcnktdGl0bGU+PGFsdC10aXRsZT5UaGUgRXVyb3Bl
YW4gcmVzcGlyYXRvcnkgam91cm5hbDwvYWx0LXRpdGxlPjwvdGl0bGVzPjxwZXJpb2RpY2FsPjxm
dWxsLXRpdGxlPkV1ciBSZXNwaXIgSjwvZnVsbC10aXRsZT48YWJici0xPlRoZSBFdXJvcGVhbiBy
ZXNwaXJhdG9yeSBqb3VybmFsPC9hYmJyLTE+PC9wZXJpb2RpY2FsPjxhbHQtcGVyaW9kaWNhbD48
ZnVsbC10aXRsZT5FdXIgUmVzcGlyIEo8L2Z1bGwtdGl0bGU+PGFiYnItMT5UaGUgRXVyb3BlYW4g
cmVzcGlyYXRvcnkgam91cm5hbDwvYWJici0xPjwvYWx0LXBlcmlvZGljYWw+PGVkaXRpb24+MjAx
OC8wMi8xNzwvZWRpdGlvbj48ZGF0ZXM+PHllYXI+MjAxODwveWVhcj48cHViLWRhdGVzPjxkYXRl
PkZlYiAxNTwvZGF0ZT48L3B1Yi1kYXRlcz48L2RhdGVzPjxpc2JuPjA5MDMtMTkzNjwvaXNibj48
YWNjZXNzaW9uLW51bT4yOTQ0OTQyMzwvYWNjZXNzaW9uLW51bT48dXJscz48L3VybHM+PGVsZWN0
cm9uaWMtcmVzb3VyY2UtbnVtPjEwLjExODMvMTM5OTMwMDMuMDE2NjEtMjAxNzwvZWxlY3Ryb25p
Yy1yZXNvdXJjZS1udW0+PHJlbW90ZS1kYXRhYmFzZS1wcm92aWRlcj5OTE08L3JlbW90ZS1kYXRh
YmFzZS1wcm92aWRlcj48bGFuZ3VhZ2U+ZW5nPC9sYW5ndWFnZT48L3JlY29yZD48L0NpdGU+PENp
dGU+PEF1dGhvcj5MZWU8L0F1dGhvcj48WWVhcj4yMDE4PC9ZZWFyPjxSZWNOdW0+NjI3PC9SZWNO
dW0+PHJlY29yZD48cmVjLW51bWJlcj42Mjc8L3JlYy1udW1iZXI+PGZvcmVpZ24ta2V5cz48a2V5
IGFwcD0iRU4iIGRiLWlkPSI5ejA1ZHowcHJhYWRmdWVlMHpveHplZGs5emZlNWZ4eDUwejUiIHRp
bWVzdGFtcD0iMTUyMTUwNjg3MyI+NjI3PC9rZXk+PC9mb3JlaWduLWtleXM+PHJlZi10eXBlIG5h
bWU9IkpvdXJuYWwgQXJ0aWNsZSI+MTc8L3JlZi10eXBlPjxjb250cmlidXRvcnM+PGF1dGhvcnM+
PGF1dGhvcj5MZWUsIEguIFcuPC9hdXRob3I+PGF1dGhvcj5QYXJrLCBTLiBILjwvYXV0aG9yPjxh
dXRob3I+V2VuZywgTS4gVy48L2F1dGhvcj48YXV0aG9yPldhbmcsIEguIFQuPC9hdXRob3I+PGF1
dGhvcj5IdWFuZywgVy4gQy48L2F1dGhvcj48YXV0aG9yPkxlcG9yLCBILjwvYXV0aG9yPjxhdXRo
b3I+V3UsIFguIFIuPC9hdXRob3I+PGF1dGhvcj5DaGVuLCBMLiBDLjwvYXV0aG9yPjxhdXRob3I+
VGFuZywgTS4gUy48L2F1dGhvcj48L2F1dGhvcnM+PC9jb250cmlidXRvcnM+PGF1dGgtYWRkcmVz
cz5EZXBhcnRtZW50IG9mIEVudmlyb25tZW50YWwgTWVkaWNpbmUsIE5ldyBZb3JrIFVuaXZlcnNp
dHkgU2Nob29sIG9mIE1lZGljaW5lLCBUdXhlZG8gUGFyaywgTlkgMTA5ODcuJiN4RDtEZXBhcnRt
ZW50IG9mIFVyb2xvZ3ksIE5ldyBZb3JrIFVuaXZlcnNpdHkgU2Nob29sIG9mIE1lZGljaW5lLCBO
ZXcgWW9yaywgTlkgMTAwMTYuJiN4RDtEZXBhcnRtZW50IG9mIEVudmlyb25tZW50YWwgTWVkaWNp
bmUsIE5ldyBZb3JrIFVuaXZlcnNpdHkgU2Nob29sIG9mIE1lZGljaW5lLCBUdXhlZG8gUGFyaywg
TlkgMTA5ODc7IG1vb24tc2hvbmcudGFuZ0BueXVtYy5vcmcuPC9hdXRoLWFkZHJlc3M+PHRpdGxl
cz48dGl0bGU+RS1jaWdhcmV0dGUgc21va2UgZGFtYWdlcyBETkEgYW5kIHJlZHVjZXMgcmVwYWly
IGFjdGl2aXR5IGluIG1vdXNlIGx1bmcsIGhlYXJ0LCBhbmQgYmxhZGRlciBhcyB3ZWxsIGFzIGlu
IGh1bWFuIGx1bmcgYW5kIGJsYWRkZXIgY2VsbHM8L3RpdGxlPjxzZWNvbmRhcnktdGl0bGU+UHJv
YyBOYXRsIEFjYWQgU2NpIFUgUyBBPC9zZWNvbmRhcnktdGl0bGU+PGFsdC10aXRsZT5Qcm9jZWVk
aW5ncyBvZiB0aGUgTmF0aW9uYWwgQWNhZGVteSBvZiBTY2llbmNlcyBvZiB0aGUgVW5pdGVkIFN0
YXRlcyBvZiBBbWVyaWNhPC9hbHQtdGl0bGU+PC90aXRsZXM+PHBlcmlvZGljYWw+PGZ1bGwtdGl0
bGU+UHJvYyBOYXRsIEFjYWQgU2NpIFUgUyBBPC9mdWxsLXRpdGxlPjxhYmJyLTE+UHJvY2VlZGlu
Z3Mgb2YgdGhlIE5hdGlvbmFsIEFjYWRlbXkgb2YgU2NpZW5jZXMgb2YgdGhlIFVuaXRlZCBTdGF0
ZXMgb2YgQW1lcmljYTwvYWJici0xPjwvcGVyaW9kaWNhbD48YWx0LXBlcmlvZGljYWw+PGZ1bGwt
dGl0bGU+UHJvYyBOYXRsIEFjYWQgU2NpIFUgUyBBPC9mdWxsLXRpdGxlPjxhYmJyLTE+UHJvY2Vl
ZGluZ3Mgb2YgdGhlIE5hdGlvbmFsIEFjYWRlbXkgb2YgU2NpZW5jZXMgb2YgdGhlIFVuaXRlZCBT
dGF0ZXMgb2YgQW1lcmljYTwvYWJici0xPjwvYWx0LXBlcmlvZGljYWw+PHBhZ2VzPkUxNTYwLWUx
NTY5PC9wYWdlcz48dm9sdW1lPjExNTwvdm9sdW1lPjxudW1iZXI+NzwvbnVtYmVyPjxlZGl0aW9u
PjIwMTgvMDEvMzE8L2VkaXRpb24+PGtleXdvcmRzPjxrZXl3b3JkPkROQSBkYW1hZ2U8L2tleXdv
cmQ+PGtleXdvcmQ+RE5BIHJlcGFpcjwva2V5d29yZD48a2V5d29yZD5FLWNpZ2FyZXR0ZXM8L2tl
eXdvcmQ+PGtleXdvcmQ+Y2FuY2VyPC9rZXl3b3JkPjxrZXl3b3JkPmx1bmctYmxhZGRlci1oZWFy
dDwva2V5d29yZD48L2tleXdvcmRzPjxkYXRlcz48eWVhcj4yMDE4PC95ZWFyPjxwdWItZGF0ZXM+
PGRhdGU+RmViIDEzPC9kYXRlPjwvcHViLWRhdGVzPjwvZGF0ZXM+PGlzYm4+MDAyNy04NDI0PC9p
c2JuPjxhY2Nlc3Npb24tbnVtPjI5Mzc4OTQzPC9hY2Nlc3Npb24tbnVtPjx1cmxzPjxyZWxhdGVk
LXVybHM+PHVybD5odHRwOi8vd3d3LnBuYXMub3JnL2NvbnRlbnQvcG5hcy8xMTUvNy9FMTU2MC5m
dWxsLnBkZjwvdXJsPjwvcmVsYXRlZC11cmxzPjwvdXJscz48Y3VzdG9tMj5QTUM1ODE2MTkxPC9j
dXN0b20yPjxlbGVjdHJvbmljLXJlc291cmNlLW51bT4xMC4xMDczL3BuYXMuMTcxODE4NTExNTwv
ZWxlY3Ryb25pYy1yZXNvdXJjZS1udW0+PHJlbW90ZS1kYXRhYmFzZS1wcm92aWRlcj5OTE08L3Jl
bW90ZS1kYXRhYmFzZS1wcm92aWRlcj48bGFuZ3VhZ2U+ZW5nPC9sYW5ndWFnZT48L3JlY29yZD48
L0NpdGU+PENpdGU+PEF1dGhvcj5QaGlsbGlwczwvQXV0aG9yPjxZZWFyPjIwMTc8L1llYXI+PFJl
Y051bT45Mjg8L1JlY051bT48cmVjb3JkPjxyZWMtbnVtYmVyPjkyODwvcmVjLW51bWJlcj48Zm9y
ZWlnbi1rZXlzPjxrZXkgYXBwPSJFTiIgZGItaWQ9Ijl6MDVkejBwcmFhZGZ1ZWUwem94emVkazl6
ZmU1Znh4NTB6NSIgdGltZXN0YW1wPSIxNTIxNTA2OTYwIj45Mjg8L2tleT48L2ZvcmVpZ24ta2V5
cz48cmVmLXR5cGUgbmFtZT0iSm91cm5hbCBBcnRpY2xlIj4xNzwvcmVmLXR5cGU+PGNvbnRyaWJ1
dG9ycz48YXV0aG9ycz48YXV0aG9yPlBoaWxsaXBzLCBCLjwvYXV0aG9yPjxhdXRob3I+VGl0eiwg
Qi48L2F1dGhvcj48YXV0aG9yPktvZ2VsLCBVLjwvYXV0aG9yPjxhdXRob3I+U2hhcm1hLCBELjwv
YXV0aG9yPjxhdXRob3I+TGVyb3ksIFAuPC9hdXRob3I+PGF1dGhvcj5YaWFuZywgWS48L2F1dGhv
cj48YXV0aG9yPlZ1aWxsYXVtZSwgRy48L2F1dGhvcj48YXV0aG9yPkxlYnJ1biwgUy48L2F1dGhv
cj48YXV0aG9yPlNjaXVzY2lvLCBELjwvYXV0aG9yPjxhdXRob3I+SG8sIEouPC9hdXRob3I+PGF1
dGhvcj5OdXJ5LCBDLjwvYXV0aG9yPjxhdXRob3I+R3VlZGosIEUuPC9hdXRob3I+PGF1dGhvcj5F
bGFtaW4sIEEuPC9hdXRob3I+PGF1dGhvcj5Fc3Bvc2l0bywgTS48L2F1dGhvcj48YXV0aG9yPkty
aXNobmFuLCBTLjwvYXV0aG9yPjxhdXRob3I+U2NobGFnZSwgVy4gSy48L2F1dGhvcj48YXV0aG9y
PlZlbGprb3ZpYywgRS48L2F1dGhvcj48YXV0aG9yPkl2YW5vdiwgTi4gVi48L2F1dGhvcj48YXV0
aG9yPk1hcnRpbiwgRi48L2F1dGhvcj48YXV0aG9yPlBlaXRzY2gsIE0uIEMuPC9hdXRob3I+PGF1
dGhvcj5Ib2VuZywgSi48L2F1dGhvcj48YXV0aG9yPlZhbnNjaGVldXdpamNrLCBQLjwvYXV0aG9y
PjwvYXV0aG9ycz48L2NvbnRyaWJ1dG9ycz48YXV0aC1hZGRyZXNzPlBoaWxpcCBNb3JyaXMgSW50
ZXJuYXRpb25hbCBSZXNlYXJjaCBMYWJvcmF0b3JpZXMgUHRlLiBMdGQuIChwYXJ0IG9mIFBoaWxp
cCBNb3JyaXMgSW50ZXJuYXRpb25hbCBHcm91cCBvZiBDb21wYW5pZXMpLCA1MCBTY2llbmNlIFBh
cmsgUm9hZCwgU2luZ2Fwb3JlIDExNzQwNiwgU2luZ2Fwb3JlLiYjeEQ7UGhpbGlwIE1vcnJpcyBJ
bnRlcm5hdGlvbmFsIFJlc2VhcmNoIGFuZCBEZXZlbG9wbWVudCAocGFydCBvZiBQaGlsaXAgTW9y
cmlzIEludGVybmF0aW9uYWwgR3JvdXAgb2YgQ29tcGFuaWVzKSwgUGhpbGlwIE1vcnJpcyBQcm9k
dWN0cyBTLkEuLCBRdWFpIEplYW5yZW5hdWQgNSwgMjAwMCBOZXVjaGF0ZWwsIFN3aXR6ZXJsYW5k
LiYjeEQ7QmlvbG9neSBDb25zdWx0YW50LCBNYXgtQmFlcm1hbm4tU3RyLiAyMSwgNTE0MjkgQmVy
Z2lzY2ggR2xhZGJhY2gsIEdlcm1hbnkuJiN4RDtQaGlsaXAgTW9ycmlzIEludGVybmF0aW9uYWwg
UmVzZWFyY2ggYW5kIERldmVsb3BtZW50IChwYXJ0IG9mIFBoaWxpcCBNb3JyaXMgSW50ZXJuYXRp
b25hbCBHcm91cCBvZiBDb21wYW5pZXMpLCBQaGlsaXAgTW9ycmlzIFByb2R1Y3RzIFMuQS4sIFF1
YWkgSmVhbnJlbmF1ZCA1LCAyMDAwIE5ldWNoYXRlbCwgU3dpdHplcmxhbmQuIEVsZWN0cm9uaWMg
YWRkcmVzczogUGF0cmljay52YW5zY2hlZXV3aWpja0BwbWkuY29tLjwvYXV0aC1hZGRyZXNzPjx0
aXRsZXM+PHRpdGxlPlRveGljaXR5IG9mIHRoZSBtYWluIGVsZWN0cm9uaWMgY2lnYXJldHRlIGNv
bXBvbmVudHMsIHByb3B5bGVuZSBnbHljb2wsIGdseWNlcmluLCBhbmQgbmljb3RpbmUsIGluIFNw
cmFndWUtRGF3bGV5IHJhdHMgaW4gYSA5MC1kYXkgT0VDRCBpbmhhbGF0aW9uIHN0dWR5IGNvbXBs
ZW1lbnRlZCBieSBtb2xlY3VsYXIgZW5kcG9pbnRzPC90aXRsZT48c2Vjb25kYXJ5LXRpdGxlPkZv
b2QgQ2hlbSBUb3hpY29sPC9zZWNvbmRhcnktdGl0bGU+PGFsdC10aXRsZT5Gb29kIGFuZCBjaGVt
aWNhbCB0b3hpY29sb2d5IDogYW4gaW50ZXJuYXRpb25hbCBqb3VybmFsIHB1Ymxpc2hlZCBmb3Ig
dGhlIEJyaXRpc2ggSW5kdXN0cmlhbCBCaW9sb2dpY2FsIFJlc2VhcmNoIEFzc29jaWF0aW9uPC9h
bHQtdGl0bGU+PC90aXRsZXM+PHBlcmlvZGljYWw+PGZ1bGwtdGl0bGU+Rm9vZCBDaGVtIFRveGlj
b2w8L2Z1bGwtdGl0bGU+PGFiYnItMT5Gb29kIGFuZCBjaGVtaWNhbCB0b3hpY29sb2d5IDogYW4g
aW50ZXJuYXRpb25hbCBqb3VybmFsIHB1Ymxpc2hlZCBmb3IgdGhlIEJyaXRpc2ggSW5kdXN0cmlh
bCBCaW9sb2dpY2FsIFJlc2VhcmNoIEFzc29jaWF0aW9uPC9hYmJyLTE+PC9wZXJpb2RpY2FsPjxh
bHQtcGVyaW9kaWNhbD48ZnVsbC10aXRsZT5Gb29kIENoZW0gVG94aWNvbDwvZnVsbC10aXRsZT48
YWJici0xPkZvb2QgYW5kIGNoZW1pY2FsIHRveGljb2xvZ3kgOiBhbiBpbnRlcm5hdGlvbmFsIGpv
dXJuYWwgcHVibGlzaGVkIGZvciB0aGUgQnJpdGlzaCBJbmR1c3RyaWFsIEJpb2xvZ2ljYWwgUmVz
ZWFyY2ggQXNzb2NpYXRpb248L2FiYnItMT48L2FsdC1wZXJpb2RpY2FsPjxwYWdlcz4zMTUtMzMy
PC9wYWdlcz48dm9sdW1lPjEwOTwvdm9sdW1lPjxudW1iZXI+UHQgMTwvbnVtYmVyPjxlZGl0aW9u
PjIwMTcvMDkvMDk8L2VkaXRpb24+PGtleXdvcmRzPjxrZXl3b3JkPkVsZWN0cm9uaWMgY2lnYXJl
dHRlPC9rZXl3b3JkPjxrZXl3b3JkPkdseWNlcmluPC9rZXl3b3JkPjxrZXl3b3JkPkluaGFsYXRp
b24gdG94aWNpdHk8L2tleXdvcmQ+PGtleXdvcmQ+Tmljb3RpbmU8L2tleXdvcmQ+PGtleXdvcmQ+
T3JnYW5pemF0aW9uIGZvciBFY29ub21pYyBDb29wZXJhdGlvbiBhbmQgRGV2ZWxvcG1lbnQgKE9F
Q0QpIDQxMyBndWlkZWxpbmU8L2tleXdvcmQ+PGtleXdvcmQ+UHJvcHlsZW5lIGdseWNvbDwva2V5
d29yZD48a2V5d29yZD5TeXN0ZW1zIHRveGljb2xvZ3k8L2tleXdvcmQ+PC9rZXl3b3Jkcz48ZGF0
ZXM+PHllYXI+MjAxNzwveWVhcj48cHViLWRhdGVzPjxkYXRlPk5vdjwvZGF0ZT48L3B1Yi1kYXRl
cz48L2RhdGVzPjxpc2JuPjAyNzgtNjkxNTwvaXNibj48YWNjZXNzaW9uLW51bT4yODg4MjY0MDwv
YWNjZXNzaW9uLW51bT48dXJscz48cmVsYXRlZC11cmxzPjx1cmw+aHR0cHM6Ly93d3cuc2NpZW5j
ZWRpcmVjdC5jb20vc2NpZW5jZS9hcnRpY2xlL3BpaS9TMDI3ODY5MTUxNzMwNTExMj92aWElM0Rp
aHViPC91cmw+PC9yZWxhdGVkLXVybHM+PC91cmxzPjxlbGVjdHJvbmljLXJlc291cmNlLW51bT4x
MC4xMDE2L2ouZmN0LjIwMTcuMDkuMDAxPC9lbGVjdHJvbmljLXJlc291cmNlLW51bT48cmVtb3Rl
LWRhdGFiYXNlLXByb3ZpZGVyPk5MTTwvcmVtb3RlLWRhdGFiYXNlLXByb3ZpZGVyPjxsYW5ndWFn
ZT5lbmc8L2xhbmd1YWdlPjwvcmVjb3JkPjwvQ2l0ZT48L0VuZE5vdGU+
</w:fldData>
            </w:fldChar>
          </w:r>
          <w:r>
            <w:instrText xml:space="preserve"> ADDIN EN.CITE.DATA </w:instrText>
          </w:r>
          <w:r>
            <w:fldChar w:fldCharType="end"/>
          </w:r>
          <w:r>
            <w:fldChar w:fldCharType="separate"/>
          </w:r>
          <w:r>
            <w:rPr>
              <w:noProof/>
            </w:rPr>
            <w:t>(Laube, Afshar-Mohajer et al. 2017, Phillips, Titz et al. 2017, Crotty Alexander, Drummond et al. 2018, Lee, Park et al. 2018, Reinikovaite, Rodriguez et al. 2018)</w:t>
          </w:r>
          <w:r>
            <w:fldChar w:fldCharType="end"/>
          </w:r>
          <w:r>
            <w:t xml:space="preserve">. Studies exposed mice or rats daily to either e-cigarette vapour or room air, with three studies providing doses equivalent to human usage </w:t>
          </w:r>
          <w:r>
            <w:fldChar w:fldCharType="begin">
              <w:fldData xml:space="preserve">PEVuZE5vdGU+PENpdGU+PEF1dGhvcj5Dcm90dHkgQWxleGFuZGVyPC9BdXRob3I+PFllYXI+MjAx
ODwvWWVhcj48UmVjTnVtPjUyNzwvUmVjTnVtPjxEaXNwbGF5VGV4dD4oQ3JvdHR5IEFsZXhhbmRl
ciwgRHJ1bW1vbmQgZXQgYWwuIDIwMTgsIExlZSwgUGFyayBldCBhbC4gMjAxOCwgUmVpbmlrb3Zh
aXRlLCBSb2RyaWd1ZXogZXQgYWwuIDIwMTgpPC9EaXNwbGF5VGV4dD48cmVjb3JkPjxyZWMtbnVt
YmVyPjUyNzwvcmVjLW51bWJlcj48Zm9yZWlnbi1rZXlzPjxrZXkgYXBwPSJFTiIgZGItaWQ9Ijl6
MDVkejBwcmFhZGZ1ZWUwem94emVkazl6ZmU1Znh4NTB6NSIgdGltZXN0YW1wPSIxNTIxNTA2ODUw
Ij41Mjc8L2tleT48a2V5IGFwcD0iRU5XZWIiIGRiLWlkPSIiPjA8L2tleT48L2ZvcmVpZ24ta2V5
cz48cmVmLXR5cGUgbmFtZT0iSm91cm5hbCBBcnRpY2xlIj4xNzwvcmVmLXR5cGU+PGNvbnRyaWJ1
dG9ycz48YXV0aG9ycz48YXV0aG9yPkNyb3R0eSBBbGV4YW5kZXIsIEwuIEUuPC9hdXRob3I+PGF1
dGhvcj5EcnVtbW9uZCwgQy4gQS48L2F1dGhvcj48YXV0aG9yPkhlcG9rb3NraSwgTS48L2F1dGhv
cj48YXV0aG9yPk1hdGhldywgRC4gUC48L2F1dGhvcj48YXV0aG9yPk1vc2hlbnNreSwgQS48L2F1
dGhvcj48YXV0aG9yPldpbGxlZm9yZCwgQS48L2F1dGhvcj48YXV0aG9yPkRhcywgUy48L2F1dGhv
cj48YXV0aG9yPlNpbmdoLCBQLjwvYXV0aG9yPjxhdXRob3I+WW9uZywgWi48L2F1dGhvcj48YXV0
aG9yPkxlZSwgSi4gSC48L2F1dGhvcj48YXV0aG9yPlZlZ2EsIEsuPC9hdXRob3I+PGF1dGhvcj5E
dSwgQS48L2F1dGhvcj48YXV0aG9yPlNoaW4sIEouPC9hdXRob3I+PGF1dGhvcj5KYXZpZXIsIEMu
PC9hdXRob3I+PGF1dGhvcj5UaWFuLCBKLjwvYXV0aG9yPjxhdXRob3I+QnJvd24sIEouIEguPC9h
dXRob3I+PGF1dGhvcj5CcmVlbiwgRS4gQy48L2F1dGhvcj48L2F1dGhvcnM+PC9jb250cmlidXRv
cnM+PGF1dGgtYWRkcmVzcz5NZWRpY2luZSwgVUMgU2FuIERpZWdvIGFuZCBWQVNESFMsIFVuaXRl
ZCBTdGF0ZXMuJiN4RDtTdXJnZXJ5IGFuZCBNZWRpY2FsIERldmljZSBlZmZpY2FjeSwgTVBJIFJl
c2VhcmNoLCBVbml0ZWQgU3RhdGVzLiYjeEQ7TWVkaWNpbmUsIERpdmlzaW9uIG9mIFB1bG1vbmFy
eSBhbmQgQ3JpdGljYWwgQ2FyZSwgbWhlcG9rb3NraUB1Y3NkLmVkdSwgVW5pdGVkIFN0YXRlcy4m
I3hEO01lZGljaW5lLCBVQyBTYW4gRGllZ28gU2Nob29sIG9mIE1lZGljaW5lLiYjeEQ7TWVkaWNp
bmUsIFVDIFNhbiBEaWVnbyBhbmQgVkFTREhTLiYjeEQ7UGhhcm1hY29sb2d5LCBVQ1NELiYjeEQ7
UGF0aG9sb2d5LCBVQ1NELiYjeEQ7TWVkaWNpbmUtTmVwaHJvbG9neSwgVUMgU2FuIERpZWdvIGFu
ZCBWQVNESFMsIFVuaXRlZCBTdGF0ZXMuJiN4RDtNZWRpY2luZSwgVUNTRC4mI3hEO01lZGljaW5l
LCBVbml2ZXJzaXR5IG9mIFRvbGVkbyBIZWFsdGggU2NpZW5jZSBDYW1wdXMsIFVuaXRlZCBTdGF0
ZXMuJiN4RDtEZXBhcnRtZW50IG9mIFBoYXJtYWNvbG9neSAwNjM2LCBVbml2ZXJzaXR5IG9mIENh
bGlmb3JuaWEsIFNhbiBEaWVnbywgVW5pdGVkIFN0YXRlcy4mI3hEO01lZGljaW5lLCBVbml2ZXJz
aXR5IG9mIENhbGlmb3JuaWEsIFNhbiBEaWVnbywgVW5pdGVkIFN0YXRlcy48L2F1dGgtYWRkcmVz
cz48dGl0bGVzPjx0aXRsZT5DaHJvbmljIEluaGFsYXRpb24gb2YgRS1DaWdhcmV0dGUgVmFwb3Ig
Q29udGFpbmluZyBOaWNvdGluZSBEaXNydXB0cyBBaXJ3YXkgQmFycmllciBGdW5jdGlvbiBhbmQg
SW5kdWNlcyBTeXN0ZW1pYyBJbmZsYW1tYXRpb24gYW5kIE11bHRpLU9yZ2FuIEZpYnJvc2lzIGlu
IE1pY2U8L3RpdGxlPjxzZWNvbmRhcnktdGl0bGU+QW0gSiBQaHlzaW9sIFJlZ3VsIEludGVnciBD
b21wIFBoeXNpb2w8L3NlY29uZGFyeS10aXRsZT48YWx0LXRpdGxlPkFtZXJpY2FuIGpvdXJuYWwg
b2YgcGh5c2lvbG9neS4gUmVndWxhdG9yeSwgaW50ZWdyYXRpdmUgYW5kIGNvbXBhcmF0aXZlIHBo
eXNpb2xvZ3k8L2FsdC10aXRsZT48L3RpdGxlcz48cGVyaW9kaWNhbD48ZnVsbC10aXRsZT5BbSBK
IFBoeXNpb2wgUmVndWwgSW50ZWdyIENvbXAgUGh5c2lvbDwvZnVsbC10aXRsZT48YWJici0xPkFt
ZXJpY2FuIGpvdXJuYWwgb2YgcGh5c2lvbG9neS4gUmVndWxhdG9yeSwgaW50ZWdyYXRpdmUgYW5k
IGNvbXBhcmF0aXZlIHBoeXNpb2xvZ3k8L2FiYnItMT48L3BlcmlvZGljYWw+PGFsdC1wZXJpb2Rp
Y2FsPjxmdWxsLXRpdGxlPkFtIEogUGh5c2lvbCBSZWd1bCBJbnRlZ3IgQ29tcCBQaHlzaW9sPC9m
dWxsLXRpdGxlPjxhYmJyLTE+QW1lcmljYW4gam91cm5hbCBvZiBwaHlzaW9sb2d5LiBSZWd1bGF0
b3J5LCBpbnRlZ3JhdGl2ZSBhbmQgY29tcGFyYXRpdmUgcGh5c2lvbG9neTwvYWJici0xPjwvYWx0
LXBlcmlvZGljYWw+PGVkaXRpb24+MjAxOC8wMi8wMTwvZWRpdGlvbj48a2V5d29yZHM+PGtleXdv
cmQ+Y2FyZGlvcmVuYWwgZHlzZnVuY3Rpb248L2tleXdvcmQ+PGtleXdvcmQ+ZWxlY3Ryb25pYyBj
aWdhcmV0dGU8L2tleXdvcmQ+PGtleXdvcmQ+Zmlicm9zaXM8L2tleXdvcmQ+PGtleXdvcmQ+aW5m
bGFtbWF0aW9uPC9rZXl3b3JkPjxrZXl3b3JkPm5pY290aW5lPC9rZXl3b3JkPjwva2V5d29yZHM+
PGRhdGVzPjx5ZWFyPjIwMTg8L3llYXI+PHB1Yi1kYXRlcz48ZGF0ZT5KYW4gMzE8L2RhdGU+PC9w
dWItZGF0ZXM+PC9kYXRlcz48aXNibj4wMzYzLTYxMTk8L2lzYm4+PGFjY2Vzc2lvbi1udW0+Mjkz
ODQ3MDA8L2FjY2Vzc2lvbi1udW0+PHVybHM+PC91cmxzPjxlbGVjdHJvbmljLXJlc291cmNlLW51
bT4xMC4xMTUyL2FqcHJlZ3UuMDAyNzAuMjAxNzwvZWxlY3Ryb25pYy1yZXNvdXJjZS1udW0+PHJl
bW90ZS1kYXRhYmFzZS1wcm92aWRlcj5OTE08L3JlbW90ZS1kYXRhYmFzZS1wcm92aWRlcj48bGFu
Z3VhZ2U+ZW5nPC9sYW5ndWFnZT48L3JlY29yZD48L0NpdGU+PENpdGU+PEF1dGhvcj5MZWU8L0F1
dGhvcj48WWVhcj4yMDE4PC9ZZWFyPjxSZWNOdW0+NjI3PC9SZWNOdW0+PHJlY29yZD48cmVjLW51
bWJlcj42Mjc8L3JlYy1udW1iZXI+PGZvcmVpZ24ta2V5cz48a2V5IGFwcD0iRU4iIGRiLWlkPSI5
ejA1ZHowcHJhYWRmdWVlMHpveHplZGs5emZlNWZ4eDUwejUiIHRpbWVzdGFtcD0iMTUyMTUwNjg3
MyI+NjI3PC9rZXk+PC9mb3JlaWduLWtleXM+PHJlZi10eXBlIG5hbWU9IkpvdXJuYWwgQXJ0aWNs
ZSI+MTc8L3JlZi10eXBlPjxjb250cmlidXRvcnM+PGF1dGhvcnM+PGF1dGhvcj5MZWUsIEguIFcu
PC9hdXRob3I+PGF1dGhvcj5QYXJrLCBTLiBILjwvYXV0aG9yPjxhdXRob3I+V2VuZywgTS4gVy48
L2F1dGhvcj48YXV0aG9yPldhbmcsIEguIFQuPC9hdXRob3I+PGF1dGhvcj5IdWFuZywgVy4gQy48
L2F1dGhvcj48YXV0aG9yPkxlcG9yLCBILjwvYXV0aG9yPjxhdXRob3I+V3UsIFguIFIuPC9hdXRo
b3I+PGF1dGhvcj5DaGVuLCBMLiBDLjwvYXV0aG9yPjxhdXRob3I+VGFuZywgTS4gUy48L2F1dGhv
cj48L2F1dGhvcnM+PC9jb250cmlidXRvcnM+PGF1dGgtYWRkcmVzcz5EZXBhcnRtZW50IG9mIEVu
dmlyb25tZW50YWwgTWVkaWNpbmUsIE5ldyBZb3JrIFVuaXZlcnNpdHkgU2Nob29sIG9mIE1lZGlj
aW5lLCBUdXhlZG8gUGFyaywgTlkgMTA5ODcuJiN4RDtEZXBhcnRtZW50IG9mIFVyb2xvZ3ksIE5l
dyBZb3JrIFVuaXZlcnNpdHkgU2Nob29sIG9mIE1lZGljaW5lLCBOZXcgWW9yaywgTlkgMTAwMTYu
JiN4RDtEZXBhcnRtZW50IG9mIEVudmlyb25tZW50YWwgTWVkaWNpbmUsIE5ldyBZb3JrIFVuaXZl
cnNpdHkgU2Nob29sIG9mIE1lZGljaW5lLCBUdXhlZG8gUGFyaywgTlkgMTA5ODc7IG1vb24tc2hv
bmcudGFuZ0BueXVtYy5vcmcuPC9hdXRoLWFkZHJlc3M+PHRpdGxlcz48dGl0bGU+RS1jaWdhcmV0
dGUgc21va2UgZGFtYWdlcyBETkEgYW5kIHJlZHVjZXMgcmVwYWlyIGFjdGl2aXR5IGluIG1vdXNl
IGx1bmcsIGhlYXJ0LCBhbmQgYmxhZGRlciBhcyB3ZWxsIGFzIGluIGh1bWFuIGx1bmcgYW5kIGJs
YWRkZXIgY2VsbHM8L3RpdGxlPjxzZWNvbmRhcnktdGl0bGU+UHJvYyBOYXRsIEFjYWQgU2NpIFUg
UyBBPC9zZWNvbmRhcnktdGl0bGU+PGFsdC10aXRsZT5Qcm9jZWVkaW5ncyBvZiB0aGUgTmF0aW9u
YWwgQWNhZGVteSBvZiBTY2llbmNlcyBvZiB0aGUgVW5pdGVkIFN0YXRlcyBvZiBBbWVyaWNhPC9h
bHQtdGl0bGU+PC90aXRsZXM+PHBlcmlvZGljYWw+PGZ1bGwtdGl0bGU+UHJvYyBOYXRsIEFjYWQg
U2NpIFUgUyBBPC9mdWxsLXRpdGxlPjxhYmJyLTE+UHJvY2VlZGluZ3Mgb2YgdGhlIE5hdGlvbmFs
IEFjYWRlbXkgb2YgU2NpZW5jZXMgb2YgdGhlIFVuaXRlZCBTdGF0ZXMgb2YgQW1lcmljYTwvYWJi
ci0xPjwvcGVyaW9kaWNhbD48YWx0LXBlcmlvZGljYWw+PGZ1bGwtdGl0bGU+UHJvYyBOYXRsIEFj
YWQgU2NpIFUgUyBBPC9mdWxsLXRpdGxlPjxhYmJyLTE+UHJvY2VlZGluZ3Mgb2YgdGhlIE5hdGlv
bmFsIEFjYWRlbXkgb2YgU2NpZW5jZXMgb2YgdGhlIFVuaXRlZCBTdGF0ZXMgb2YgQW1lcmljYTwv
YWJici0xPjwvYWx0LXBlcmlvZGljYWw+PHBhZ2VzPkUxNTYwLWUxNTY5PC9wYWdlcz48dm9sdW1l
PjExNTwvdm9sdW1lPjxudW1iZXI+NzwvbnVtYmVyPjxlZGl0aW9uPjIwMTgvMDEvMzE8L2VkaXRp
b24+PGtleXdvcmRzPjxrZXl3b3JkPkROQSBkYW1hZ2U8L2tleXdvcmQ+PGtleXdvcmQ+RE5BIHJl
cGFpcjwva2V5d29yZD48a2V5d29yZD5FLWNpZ2FyZXR0ZXM8L2tleXdvcmQ+PGtleXdvcmQ+Y2Fu
Y2VyPC9rZXl3b3JkPjxrZXl3b3JkPmx1bmctYmxhZGRlci1oZWFydDwva2V5d29yZD48L2tleXdv
cmRzPjxkYXRlcz48eWVhcj4yMDE4PC95ZWFyPjxwdWItZGF0ZXM+PGRhdGU+RmViIDEzPC9kYXRl
PjwvcHViLWRhdGVzPjwvZGF0ZXM+PGlzYm4+MDAyNy04NDI0PC9pc2JuPjxhY2Nlc3Npb24tbnVt
PjI5Mzc4OTQzPC9hY2Nlc3Npb24tbnVtPjx1cmxzPjxyZWxhdGVkLXVybHM+PHVybD5odHRwOi8v
d3d3LnBuYXMub3JnL2NvbnRlbnQvcG5hcy8xMTUvNy9FMTU2MC5mdWxsLnBkZjwvdXJsPjwvcmVs
YXRlZC11cmxzPjwvdXJscz48Y3VzdG9tMj5QTUM1ODE2MTkxPC9jdXN0b20yPjxlbGVjdHJvbmlj
LXJlc291cmNlLW51bT4xMC4xMDczL3BuYXMuMTcxODE4NTExNTwvZWxlY3Ryb25pYy1yZXNvdXJj
ZS1udW0+PHJlbW90ZS1kYXRhYmFzZS1wcm92aWRlcj5OTE08L3JlbW90ZS1kYXRhYmFzZS1wcm92
aWRlcj48bGFuZ3VhZ2U+ZW5nPC9sYW5ndWFnZT48L3JlY29yZD48L0NpdGU+PENpdGU+PEF1dGhv
cj5SZWluaWtvdmFpdGU8L0F1dGhvcj48WWVhcj4yMDE4PC9ZZWFyPjxSZWNOdW0+NTY5PC9SZWNO
dW0+PHJlY29yZD48cmVjLW51bWJlcj41Njk8L3JlYy1udW1iZXI+PGZvcmVpZ24ta2V5cz48a2V5
IGFwcD0iRU4iIGRiLWlkPSI5ejA1ZHowcHJhYWRmdWVlMHpveHplZGs5emZlNWZ4eDUwejUiIHRp
bWVzdGFtcD0iMTUyMTUwNjg2MCI+NTY5PC9rZXk+PGtleSBhcHA9IkVOV2ViIiBkYi1pZD0iIj4w
PC9rZXk+PC9mb3JlaWduLWtleXM+PHJlZi10eXBlIG5hbWU9IkpvdXJuYWwgQXJ0aWNsZSI+MTc8
L3JlZi10eXBlPjxjb250cmlidXRvcnM+PGF1dGhvcnM+PGF1dGhvcj5SZWluaWtvdmFpdGUsIFYu
PC9hdXRob3I+PGF1dGhvcj5Sb2RyaWd1ZXosIEkuIEUuPC9hdXRob3I+PGF1dGhvcj5LYXJvb3Is
IFYuPC9hdXRob3I+PGF1dGhvcj5SYXUsIEEuPC9hdXRob3I+PGF1dGhvcj5UcmluaCwgQi4gQi48
L2F1dGhvcj48YXV0aG9yPkRlbGV5aWFubmlzLCBGLiBXLjwvYXV0aG9yPjxhdXRob3I+VGFyYXNl
dmljaWVuZS1TdGV3YXJ0LCBMLjwvYXV0aG9yPjwvYXV0aG9ycz48L2NvbnRyaWJ1dG9ycz48YXV0
aC1hZGRyZXNzPkRlcGFydG1lbnQgb2YgU3VyZ2VyeSwgQXVyb3JhLCBDb2xvcmFkby48L2F1dGgt
YWRkcmVzcz48dGl0bGVzPjx0aXRsZT5UaGUgZWZmZWN0cyBvZiBlbGVjdHJvbmljIGNpZ2FyZXR0
ZSB2YXBvdXIgb24gdGhlIGx1bmc6IGRpcmVjdCBjb21wYXJpc29uIHRvIHRvYmFjY28gc21va2U8
L3RpdGxlPjxzZWNvbmRhcnktdGl0bGU+RXVyIFJlc3BpciBKPC9zZWNvbmRhcnktdGl0bGU+PGFs
dC10aXRsZT5UaGUgRXVyb3BlYW4gcmVzcGlyYXRvcnkgam91cm5hbDwvYWx0LXRpdGxlPjwvdGl0
bGVzPjxwZXJpb2RpY2FsPjxmdWxsLXRpdGxlPkV1ciBSZXNwaXIgSjwvZnVsbC10aXRsZT48YWJi
ci0xPlRoZSBFdXJvcGVhbiByZXNwaXJhdG9yeSBqb3VybmFsPC9hYmJyLTE+PC9wZXJpb2RpY2Fs
PjxhbHQtcGVyaW9kaWNhbD48ZnVsbC10aXRsZT5FdXIgUmVzcGlyIEo8L2Z1bGwtdGl0bGU+PGFi
YnItMT5UaGUgRXVyb3BlYW4gcmVzcGlyYXRvcnkgam91cm5hbDwvYWJici0xPjwvYWx0LXBlcmlv
ZGljYWw+PGVkaXRpb24+MjAxOC8wMi8xNzwvZWRpdGlvbj48ZGF0ZXM+PHllYXI+MjAxODwveWVh
cj48cHViLWRhdGVzPjxkYXRlPkZlYiAxNTwvZGF0ZT48L3B1Yi1kYXRlcz48L2RhdGVzPjxpc2Ju
PjA5MDMtMTkzNjwvaXNibj48YWNjZXNzaW9uLW51bT4yOTQ0OTQyMzwvYWNjZXNzaW9uLW51bT48
dXJscz48L3VybHM+PGVsZWN0cm9uaWMtcmVzb3VyY2UtbnVtPjEwLjExODMvMTM5OTMwMDMuMDE2
NjEtMjAxNzwvZWxlY3Ryb25pYy1yZXNvdXJjZS1udW0+PHJlbW90ZS1kYXRhYmFzZS1wcm92aWRl
cj5OTE08L3JlbW90ZS1kYXRhYmFzZS1wcm92aWRlcj48bGFuZ3VhZ2U+ZW5nPC9sYW5ndWFnZT48
L3JlY29yZD48L0NpdGU+PC9FbmROb3RlPn==
</w:fldData>
            </w:fldChar>
          </w:r>
          <w:r>
            <w:instrText xml:space="preserve"> ADDIN EN.CITE </w:instrText>
          </w:r>
          <w:r>
            <w:fldChar w:fldCharType="begin">
              <w:fldData xml:space="preserve">PEVuZE5vdGU+PENpdGU+PEF1dGhvcj5Dcm90dHkgQWxleGFuZGVyPC9BdXRob3I+PFllYXI+MjAx
ODwvWWVhcj48UmVjTnVtPjUyNzwvUmVjTnVtPjxEaXNwbGF5VGV4dD4oQ3JvdHR5IEFsZXhhbmRl
ciwgRHJ1bW1vbmQgZXQgYWwuIDIwMTgsIExlZSwgUGFyayBldCBhbC4gMjAxOCwgUmVpbmlrb3Zh
aXRlLCBSb2RyaWd1ZXogZXQgYWwuIDIwMTgpPC9EaXNwbGF5VGV4dD48cmVjb3JkPjxyZWMtbnVt
YmVyPjUyNzwvcmVjLW51bWJlcj48Zm9yZWlnbi1rZXlzPjxrZXkgYXBwPSJFTiIgZGItaWQ9Ijl6
MDVkejBwcmFhZGZ1ZWUwem94emVkazl6ZmU1Znh4NTB6NSIgdGltZXN0YW1wPSIxNTIxNTA2ODUw
Ij41Mjc8L2tleT48a2V5IGFwcD0iRU5XZWIiIGRiLWlkPSIiPjA8L2tleT48L2ZvcmVpZ24ta2V5
cz48cmVmLXR5cGUgbmFtZT0iSm91cm5hbCBBcnRpY2xlIj4xNzwvcmVmLXR5cGU+PGNvbnRyaWJ1
dG9ycz48YXV0aG9ycz48YXV0aG9yPkNyb3R0eSBBbGV4YW5kZXIsIEwuIEUuPC9hdXRob3I+PGF1
dGhvcj5EcnVtbW9uZCwgQy4gQS48L2F1dGhvcj48YXV0aG9yPkhlcG9rb3NraSwgTS48L2F1dGhv
cj48YXV0aG9yPk1hdGhldywgRC4gUC48L2F1dGhvcj48YXV0aG9yPk1vc2hlbnNreSwgQS48L2F1
dGhvcj48YXV0aG9yPldpbGxlZm9yZCwgQS48L2F1dGhvcj48YXV0aG9yPkRhcywgUy48L2F1dGhv
cj48YXV0aG9yPlNpbmdoLCBQLjwvYXV0aG9yPjxhdXRob3I+WW9uZywgWi48L2F1dGhvcj48YXV0
aG9yPkxlZSwgSi4gSC48L2F1dGhvcj48YXV0aG9yPlZlZ2EsIEsuPC9hdXRob3I+PGF1dGhvcj5E
dSwgQS48L2F1dGhvcj48YXV0aG9yPlNoaW4sIEouPC9hdXRob3I+PGF1dGhvcj5KYXZpZXIsIEMu
PC9hdXRob3I+PGF1dGhvcj5UaWFuLCBKLjwvYXV0aG9yPjxhdXRob3I+QnJvd24sIEouIEguPC9h
dXRob3I+PGF1dGhvcj5CcmVlbiwgRS4gQy48L2F1dGhvcj48L2F1dGhvcnM+PC9jb250cmlidXRv
cnM+PGF1dGgtYWRkcmVzcz5NZWRpY2luZSwgVUMgU2FuIERpZWdvIGFuZCBWQVNESFMsIFVuaXRl
ZCBTdGF0ZXMuJiN4RDtTdXJnZXJ5IGFuZCBNZWRpY2FsIERldmljZSBlZmZpY2FjeSwgTVBJIFJl
c2VhcmNoLCBVbml0ZWQgU3RhdGVzLiYjeEQ7TWVkaWNpbmUsIERpdmlzaW9uIG9mIFB1bG1vbmFy
eSBhbmQgQ3JpdGljYWwgQ2FyZSwgbWhlcG9rb3NraUB1Y3NkLmVkdSwgVW5pdGVkIFN0YXRlcy4m
I3hEO01lZGljaW5lLCBVQyBTYW4gRGllZ28gU2Nob29sIG9mIE1lZGljaW5lLiYjeEQ7TWVkaWNp
bmUsIFVDIFNhbiBEaWVnbyBhbmQgVkFTREhTLiYjeEQ7UGhhcm1hY29sb2d5LCBVQ1NELiYjeEQ7
UGF0aG9sb2d5LCBVQ1NELiYjeEQ7TWVkaWNpbmUtTmVwaHJvbG9neSwgVUMgU2FuIERpZWdvIGFu
ZCBWQVNESFMsIFVuaXRlZCBTdGF0ZXMuJiN4RDtNZWRpY2luZSwgVUNTRC4mI3hEO01lZGljaW5l
LCBVbml2ZXJzaXR5IG9mIFRvbGVkbyBIZWFsdGggU2NpZW5jZSBDYW1wdXMsIFVuaXRlZCBTdGF0
ZXMuJiN4RDtEZXBhcnRtZW50IG9mIFBoYXJtYWNvbG9neSAwNjM2LCBVbml2ZXJzaXR5IG9mIENh
bGlmb3JuaWEsIFNhbiBEaWVnbywgVW5pdGVkIFN0YXRlcy4mI3hEO01lZGljaW5lLCBVbml2ZXJz
aXR5IG9mIENhbGlmb3JuaWEsIFNhbiBEaWVnbywgVW5pdGVkIFN0YXRlcy48L2F1dGgtYWRkcmVz
cz48dGl0bGVzPjx0aXRsZT5DaHJvbmljIEluaGFsYXRpb24gb2YgRS1DaWdhcmV0dGUgVmFwb3Ig
Q29udGFpbmluZyBOaWNvdGluZSBEaXNydXB0cyBBaXJ3YXkgQmFycmllciBGdW5jdGlvbiBhbmQg
SW5kdWNlcyBTeXN0ZW1pYyBJbmZsYW1tYXRpb24gYW5kIE11bHRpLU9yZ2FuIEZpYnJvc2lzIGlu
IE1pY2U8L3RpdGxlPjxzZWNvbmRhcnktdGl0bGU+QW0gSiBQaHlzaW9sIFJlZ3VsIEludGVnciBD
b21wIFBoeXNpb2w8L3NlY29uZGFyeS10aXRsZT48YWx0LXRpdGxlPkFtZXJpY2FuIGpvdXJuYWwg
b2YgcGh5c2lvbG9neS4gUmVndWxhdG9yeSwgaW50ZWdyYXRpdmUgYW5kIGNvbXBhcmF0aXZlIHBo
eXNpb2xvZ3k8L2FsdC10aXRsZT48L3RpdGxlcz48cGVyaW9kaWNhbD48ZnVsbC10aXRsZT5BbSBK
IFBoeXNpb2wgUmVndWwgSW50ZWdyIENvbXAgUGh5c2lvbDwvZnVsbC10aXRsZT48YWJici0xPkFt
ZXJpY2FuIGpvdXJuYWwgb2YgcGh5c2lvbG9neS4gUmVndWxhdG9yeSwgaW50ZWdyYXRpdmUgYW5k
IGNvbXBhcmF0aXZlIHBoeXNpb2xvZ3k8L2FiYnItMT48L3BlcmlvZGljYWw+PGFsdC1wZXJpb2Rp
Y2FsPjxmdWxsLXRpdGxlPkFtIEogUGh5c2lvbCBSZWd1bCBJbnRlZ3IgQ29tcCBQaHlzaW9sPC9m
dWxsLXRpdGxlPjxhYmJyLTE+QW1lcmljYW4gam91cm5hbCBvZiBwaHlzaW9sb2d5LiBSZWd1bGF0
b3J5LCBpbnRlZ3JhdGl2ZSBhbmQgY29tcGFyYXRpdmUgcGh5c2lvbG9neTwvYWJici0xPjwvYWx0
LXBlcmlvZGljYWw+PGVkaXRpb24+MjAxOC8wMi8wMTwvZWRpdGlvbj48a2V5d29yZHM+PGtleXdv
cmQ+Y2FyZGlvcmVuYWwgZHlzZnVuY3Rpb248L2tleXdvcmQ+PGtleXdvcmQ+ZWxlY3Ryb25pYyBj
aWdhcmV0dGU8L2tleXdvcmQ+PGtleXdvcmQ+Zmlicm9zaXM8L2tleXdvcmQ+PGtleXdvcmQ+aW5m
bGFtbWF0aW9uPC9rZXl3b3JkPjxrZXl3b3JkPm5pY290aW5lPC9rZXl3b3JkPjwva2V5d29yZHM+
PGRhdGVzPjx5ZWFyPjIwMTg8L3llYXI+PHB1Yi1kYXRlcz48ZGF0ZT5KYW4gMzE8L2RhdGU+PC9w
dWItZGF0ZXM+PC9kYXRlcz48aXNibj4wMzYzLTYxMTk8L2lzYm4+PGFjY2Vzc2lvbi1udW0+Mjkz
ODQ3MDA8L2FjY2Vzc2lvbi1udW0+PHVybHM+PC91cmxzPjxlbGVjdHJvbmljLXJlc291cmNlLW51
bT4xMC4xMTUyL2FqcHJlZ3UuMDAyNzAuMjAxNzwvZWxlY3Ryb25pYy1yZXNvdXJjZS1udW0+PHJl
bW90ZS1kYXRhYmFzZS1wcm92aWRlcj5OTE08L3JlbW90ZS1kYXRhYmFzZS1wcm92aWRlcj48bGFu
Z3VhZ2U+ZW5nPC9sYW5ndWFnZT48L3JlY29yZD48L0NpdGU+PENpdGU+PEF1dGhvcj5MZWU8L0F1
dGhvcj48WWVhcj4yMDE4PC9ZZWFyPjxSZWNOdW0+NjI3PC9SZWNOdW0+PHJlY29yZD48cmVjLW51
bWJlcj42Mjc8L3JlYy1udW1iZXI+PGZvcmVpZ24ta2V5cz48a2V5IGFwcD0iRU4iIGRiLWlkPSI5
ejA1ZHowcHJhYWRmdWVlMHpveHplZGs5emZlNWZ4eDUwejUiIHRpbWVzdGFtcD0iMTUyMTUwNjg3
MyI+NjI3PC9rZXk+PC9mb3JlaWduLWtleXM+PHJlZi10eXBlIG5hbWU9IkpvdXJuYWwgQXJ0aWNs
ZSI+MTc8L3JlZi10eXBlPjxjb250cmlidXRvcnM+PGF1dGhvcnM+PGF1dGhvcj5MZWUsIEguIFcu
PC9hdXRob3I+PGF1dGhvcj5QYXJrLCBTLiBILjwvYXV0aG9yPjxhdXRob3I+V2VuZywgTS4gVy48
L2F1dGhvcj48YXV0aG9yPldhbmcsIEguIFQuPC9hdXRob3I+PGF1dGhvcj5IdWFuZywgVy4gQy48
L2F1dGhvcj48YXV0aG9yPkxlcG9yLCBILjwvYXV0aG9yPjxhdXRob3I+V3UsIFguIFIuPC9hdXRo
b3I+PGF1dGhvcj5DaGVuLCBMLiBDLjwvYXV0aG9yPjxhdXRob3I+VGFuZywgTS4gUy48L2F1dGhv
cj48L2F1dGhvcnM+PC9jb250cmlidXRvcnM+PGF1dGgtYWRkcmVzcz5EZXBhcnRtZW50IG9mIEVu
dmlyb25tZW50YWwgTWVkaWNpbmUsIE5ldyBZb3JrIFVuaXZlcnNpdHkgU2Nob29sIG9mIE1lZGlj
aW5lLCBUdXhlZG8gUGFyaywgTlkgMTA5ODcuJiN4RDtEZXBhcnRtZW50IG9mIFVyb2xvZ3ksIE5l
dyBZb3JrIFVuaXZlcnNpdHkgU2Nob29sIG9mIE1lZGljaW5lLCBOZXcgWW9yaywgTlkgMTAwMTYu
JiN4RDtEZXBhcnRtZW50IG9mIEVudmlyb25tZW50YWwgTWVkaWNpbmUsIE5ldyBZb3JrIFVuaXZl
cnNpdHkgU2Nob29sIG9mIE1lZGljaW5lLCBUdXhlZG8gUGFyaywgTlkgMTA5ODc7IG1vb24tc2hv
bmcudGFuZ0BueXVtYy5vcmcuPC9hdXRoLWFkZHJlc3M+PHRpdGxlcz48dGl0bGU+RS1jaWdhcmV0
dGUgc21va2UgZGFtYWdlcyBETkEgYW5kIHJlZHVjZXMgcmVwYWlyIGFjdGl2aXR5IGluIG1vdXNl
IGx1bmcsIGhlYXJ0LCBhbmQgYmxhZGRlciBhcyB3ZWxsIGFzIGluIGh1bWFuIGx1bmcgYW5kIGJs
YWRkZXIgY2VsbHM8L3RpdGxlPjxzZWNvbmRhcnktdGl0bGU+UHJvYyBOYXRsIEFjYWQgU2NpIFUg
UyBBPC9zZWNvbmRhcnktdGl0bGU+PGFsdC10aXRsZT5Qcm9jZWVkaW5ncyBvZiB0aGUgTmF0aW9u
YWwgQWNhZGVteSBvZiBTY2llbmNlcyBvZiB0aGUgVW5pdGVkIFN0YXRlcyBvZiBBbWVyaWNhPC9h
bHQtdGl0bGU+PC90aXRsZXM+PHBlcmlvZGljYWw+PGZ1bGwtdGl0bGU+UHJvYyBOYXRsIEFjYWQg
U2NpIFUgUyBBPC9mdWxsLXRpdGxlPjxhYmJyLTE+UHJvY2VlZGluZ3Mgb2YgdGhlIE5hdGlvbmFs
IEFjYWRlbXkgb2YgU2NpZW5jZXMgb2YgdGhlIFVuaXRlZCBTdGF0ZXMgb2YgQW1lcmljYTwvYWJi
ci0xPjwvcGVyaW9kaWNhbD48YWx0LXBlcmlvZGljYWw+PGZ1bGwtdGl0bGU+UHJvYyBOYXRsIEFj
YWQgU2NpIFUgUyBBPC9mdWxsLXRpdGxlPjxhYmJyLTE+UHJvY2VlZGluZ3Mgb2YgdGhlIE5hdGlv
bmFsIEFjYWRlbXkgb2YgU2NpZW5jZXMgb2YgdGhlIFVuaXRlZCBTdGF0ZXMgb2YgQW1lcmljYTwv
YWJici0xPjwvYWx0LXBlcmlvZGljYWw+PHBhZ2VzPkUxNTYwLWUxNTY5PC9wYWdlcz48dm9sdW1l
PjExNTwvdm9sdW1lPjxudW1iZXI+NzwvbnVtYmVyPjxlZGl0aW9uPjIwMTgvMDEvMzE8L2VkaXRp
b24+PGtleXdvcmRzPjxrZXl3b3JkPkROQSBkYW1hZ2U8L2tleXdvcmQ+PGtleXdvcmQ+RE5BIHJl
cGFpcjwva2V5d29yZD48a2V5d29yZD5FLWNpZ2FyZXR0ZXM8L2tleXdvcmQ+PGtleXdvcmQ+Y2Fu
Y2VyPC9rZXl3b3JkPjxrZXl3b3JkPmx1bmctYmxhZGRlci1oZWFydDwva2V5d29yZD48L2tleXdv
cmRzPjxkYXRlcz48eWVhcj4yMDE4PC95ZWFyPjxwdWItZGF0ZXM+PGRhdGU+RmViIDEzPC9kYXRl
PjwvcHViLWRhdGVzPjwvZGF0ZXM+PGlzYm4+MDAyNy04NDI0PC9pc2JuPjxhY2Nlc3Npb24tbnVt
PjI5Mzc4OTQzPC9hY2Nlc3Npb24tbnVtPjx1cmxzPjxyZWxhdGVkLXVybHM+PHVybD5odHRwOi8v
d3d3LnBuYXMub3JnL2NvbnRlbnQvcG5hcy8xMTUvNy9FMTU2MC5mdWxsLnBkZjwvdXJsPjwvcmVs
YXRlZC11cmxzPjwvdXJscz48Y3VzdG9tMj5QTUM1ODE2MTkxPC9jdXN0b20yPjxlbGVjdHJvbmlj
LXJlc291cmNlLW51bT4xMC4xMDczL3BuYXMuMTcxODE4NTExNTwvZWxlY3Ryb25pYy1yZXNvdXJj
ZS1udW0+PHJlbW90ZS1kYXRhYmFzZS1wcm92aWRlcj5OTE08L3JlbW90ZS1kYXRhYmFzZS1wcm92
aWRlcj48bGFuZ3VhZ2U+ZW5nPC9sYW5ndWFnZT48L3JlY29yZD48L0NpdGU+PENpdGU+PEF1dGhv
cj5SZWluaWtvdmFpdGU8L0F1dGhvcj48WWVhcj4yMDE4PC9ZZWFyPjxSZWNOdW0+NTY5PC9SZWNO
dW0+PHJlY29yZD48cmVjLW51bWJlcj41Njk8L3JlYy1udW1iZXI+PGZvcmVpZ24ta2V5cz48a2V5
IGFwcD0iRU4iIGRiLWlkPSI5ejA1ZHowcHJhYWRmdWVlMHpveHplZGs5emZlNWZ4eDUwejUiIHRp
bWVzdGFtcD0iMTUyMTUwNjg2MCI+NTY5PC9rZXk+PGtleSBhcHA9IkVOV2ViIiBkYi1pZD0iIj4w
PC9rZXk+PC9mb3JlaWduLWtleXM+PHJlZi10eXBlIG5hbWU9IkpvdXJuYWwgQXJ0aWNsZSI+MTc8
L3JlZi10eXBlPjxjb250cmlidXRvcnM+PGF1dGhvcnM+PGF1dGhvcj5SZWluaWtvdmFpdGUsIFYu
PC9hdXRob3I+PGF1dGhvcj5Sb2RyaWd1ZXosIEkuIEUuPC9hdXRob3I+PGF1dGhvcj5LYXJvb3Is
IFYuPC9hdXRob3I+PGF1dGhvcj5SYXUsIEEuPC9hdXRob3I+PGF1dGhvcj5UcmluaCwgQi4gQi48
L2F1dGhvcj48YXV0aG9yPkRlbGV5aWFubmlzLCBGLiBXLjwvYXV0aG9yPjxhdXRob3I+VGFyYXNl
dmljaWVuZS1TdGV3YXJ0LCBMLjwvYXV0aG9yPjwvYXV0aG9ycz48L2NvbnRyaWJ1dG9ycz48YXV0
aC1hZGRyZXNzPkRlcGFydG1lbnQgb2YgU3VyZ2VyeSwgQXVyb3JhLCBDb2xvcmFkby48L2F1dGgt
YWRkcmVzcz48dGl0bGVzPjx0aXRsZT5UaGUgZWZmZWN0cyBvZiBlbGVjdHJvbmljIGNpZ2FyZXR0
ZSB2YXBvdXIgb24gdGhlIGx1bmc6IGRpcmVjdCBjb21wYXJpc29uIHRvIHRvYmFjY28gc21va2U8
L3RpdGxlPjxzZWNvbmRhcnktdGl0bGU+RXVyIFJlc3BpciBKPC9zZWNvbmRhcnktdGl0bGU+PGFs
dC10aXRsZT5UaGUgRXVyb3BlYW4gcmVzcGlyYXRvcnkgam91cm5hbDwvYWx0LXRpdGxlPjwvdGl0
bGVzPjxwZXJpb2RpY2FsPjxmdWxsLXRpdGxlPkV1ciBSZXNwaXIgSjwvZnVsbC10aXRsZT48YWJi
ci0xPlRoZSBFdXJvcGVhbiByZXNwaXJhdG9yeSBqb3VybmFsPC9hYmJyLTE+PC9wZXJpb2RpY2Fs
PjxhbHQtcGVyaW9kaWNhbD48ZnVsbC10aXRsZT5FdXIgUmVzcGlyIEo8L2Z1bGwtdGl0bGU+PGFi
YnItMT5UaGUgRXVyb3BlYW4gcmVzcGlyYXRvcnkgam91cm5hbDwvYWJici0xPjwvYWx0LXBlcmlv
ZGljYWw+PGVkaXRpb24+MjAxOC8wMi8xNzwvZWRpdGlvbj48ZGF0ZXM+PHllYXI+MjAxODwveWVh
cj48cHViLWRhdGVzPjxkYXRlPkZlYiAxNTwvZGF0ZT48L3B1Yi1kYXRlcz48L2RhdGVzPjxpc2Ju
PjA5MDMtMTkzNjwvaXNibj48YWNjZXNzaW9uLW51bT4yOTQ0OTQyMzwvYWNjZXNzaW9uLW51bT48
dXJscz48L3VybHM+PGVsZWN0cm9uaWMtcmVzb3VyY2UtbnVtPjEwLjExODMvMTM5OTMwMDMuMDE2
NjEtMjAxNzwvZWxlY3Ryb25pYy1yZXNvdXJjZS1udW0+PHJlbW90ZS1kYXRhYmFzZS1wcm92aWRl
cj5OTE08L3JlbW90ZS1kYXRhYmFzZS1wcm92aWRlcj48bGFuZ3VhZ2U+ZW5nPC9sYW5ndWFnZT48
L3JlY29yZD48L0NpdGU+PC9FbmROb3RlPn==
</w:fldData>
            </w:fldChar>
          </w:r>
          <w:r>
            <w:instrText xml:space="preserve"> ADDIN EN.CITE.DATA </w:instrText>
          </w:r>
          <w:r>
            <w:fldChar w:fldCharType="end"/>
          </w:r>
          <w:r>
            <w:fldChar w:fldCharType="separate"/>
          </w:r>
          <w:r>
            <w:rPr>
              <w:noProof/>
            </w:rPr>
            <w:t>(Crotty Alexander, Drummond et al. 2018, Lee, Park et al. 2018, Reinikovaite, Rodriguez et al. 2018)</w:t>
          </w:r>
          <w:r>
            <w:fldChar w:fldCharType="end"/>
          </w:r>
          <w:r>
            <w:t xml:space="preserve">. </w:t>
          </w:r>
        </w:p>
        <w:p w14:paraId="5B3483D4" w14:textId="77777777" w:rsidR="00EA2246" w:rsidRDefault="00EA2246" w:rsidP="00EA2246">
          <w:pPr>
            <w:pStyle w:val="BodyText"/>
          </w:pPr>
          <w:r>
            <w:lastRenderedPageBreak/>
            <w:t>One study found that e</w:t>
          </w:r>
          <w:r w:rsidRPr="00207549">
            <w:t xml:space="preserve">-cigarette vapour inhalation increased the levels of circulating inflammatory cytokines in the lungs, including elevated </w:t>
          </w:r>
          <w:r w:rsidRPr="00B20627">
            <w:t>dipeptidyl peptidase-4</w:t>
          </w:r>
          <w:r>
            <w:t xml:space="preserve"> (</w:t>
          </w:r>
          <w:r w:rsidRPr="00207549">
            <w:t>DPPIV</w:t>
          </w:r>
          <w:r>
            <w:t xml:space="preserve">) </w:t>
          </w:r>
          <w:r w:rsidRPr="00DE2F03">
            <w:fldChar w:fldCharType="begin">
              <w:fldData xml:space="preserve">PEVuZE5vdGU+PENpdGU+PEF1dGhvcj5Dcm90dHkgQWxleGFuZGVyPC9BdXRob3I+PFllYXI+MjAx
ODwvWWVhcj48UmVjTnVtPjUyNzwvUmVjTnVtPjxEaXNwbGF5VGV4dD4oQ3JvdHR5IEFsZXhhbmRl
ciwgRHJ1bW1vbmQgZXQgYWwuIDIwMTgpPC9EaXNwbGF5VGV4dD48cmVjb3JkPjxyZWMtbnVtYmVy
PjUyNzwvcmVjLW51bWJlcj48Zm9yZWlnbi1rZXlzPjxrZXkgYXBwPSJFTiIgZGItaWQ9Ijl6MDVk
ejBwcmFhZGZ1ZWUwem94emVkazl6ZmU1Znh4NTB6NSIgdGltZXN0YW1wPSIxNTIxNTA2ODUwIj41
Mjc8L2tleT48a2V5IGFwcD0iRU5XZWIiIGRiLWlkPSIiPjA8L2tleT48L2ZvcmVpZ24ta2V5cz48
cmVmLXR5cGUgbmFtZT0iSm91cm5hbCBBcnRpY2xlIj4xNzwvcmVmLXR5cGU+PGNvbnRyaWJ1dG9y
cz48YXV0aG9ycz48YXV0aG9yPkNyb3R0eSBBbGV4YW5kZXIsIEwuIEUuPC9hdXRob3I+PGF1dGhv
cj5EcnVtbW9uZCwgQy4gQS48L2F1dGhvcj48YXV0aG9yPkhlcG9rb3NraSwgTS48L2F1dGhvcj48
YXV0aG9yPk1hdGhldywgRC4gUC48L2F1dGhvcj48YXV0aG9yPk1vc2hlbnNreSwgQS48L2F1dGhv
cj48YXV0aG9yPldpbGxlZm9yZCwgQS48L2F1dGhvcj48YXV0aG9yPkRhcywgUy48L2F1dGhvcj48
YXV0aG9yPlNpbmdoLCBQLjwvYXV0aG9yPjxhdXRob3I+WW9uZywgWi48L2F1dGhvcj48YXV0aG9y
PkxlZSwgSi4gSC48L2F1dGhvcj48YXV0aG9yPlZlZ2EsIEsuPC9hdXRob3I+PGF1dGhvcj5EdSwg
QS48L2F1dGhvcj48YXV0aG9yPlNoaW4sIEouPC9hdXRob3I+PGF1dGhvcj5KYXZpZXIsIEMuPC9h
dXRob3I+PGF1dGhvcj5UaWFuLCBKLjwvYXV0aG9yPjxhdXRob3I+QnJvd24sIEouIEguPC9hdXRo
b3I+PGF1dGhvcj5CcmVlbiwgRS4gQy48L2F1dGhvcj48L2F1dGhvcnM+PC9jb250cmlidXRvcnM+
PGF1dGgtYWRkcmVzcz5NZWRpY2luZSwgVUMgU2FuIERpZWdvIGFuZCBWQVNESFMsIFVuaXRlZCBT
dGF0ZXMuJiN4RDtTdXJnZXJ5IGFuZCBNZWRpY2FsIERldmljZSBlZmZpY2FjeSwgTVBJIFJlc2Vh
cmNoLCBVbml0ZWQgU3RhdGVzLiYjeEQ7TWVkaWNpbmUsIERpdmlzaW9uIG9mIFB1bG1vbmFyeSBh
bmQgQ3JpdGljYWwgQ2FyZSwgbWhlcG9rb3NraUB1Y3NkLmVkdSwgVW5pdGVkIFN0YXRlcy4mI3hE
O01lZGljaW5lLCBVQyBTYW4gRGllZ28gU2Nob29sIG9mIE1lZGljaW5lLiYjeEQ7TWVkaWNpbmUs
IFVDIFNhbiBEaWVnbyBhbmQgVkFTREhTLiYjeEQ7UGhhcm1hY29sb2d5LCBVQ1NELiYjeEQ7UGF0
aG9sb2d5LCBVQ1NELiYjeEQ7TWVkaWNpbmUtTmVwaHJvbG9neSwgVUMgU2FuIERpZWdvIGFuZCBW
QVNESFMsIFVuaXRlZCBTdGF0ZXMuJiN4RDtNZWRpY2luZSwgVUNTRC4mI3hEO01lZGljaW5lLCBV
bml2ZXJzaXR5IG9mIFRvbGVkbyBIZWFsdGggU2NpZW5jZSBDYW1wdXMsIFVuaXRlZCBTdGF0ZXMu
JiN4RDtEZXBhcnRtZW50IG9mIFBoYXJtYWNvbG9neSAwNjM2LCBVbml2ZXJzaXR5IG9mIENhbGlm
b3JuaWEsIFNhbiBEaWVnbywgVW5pdGVkIFN0YXRlcy4mI3hEO01lZGljaW5lLCBVbml2ZXJzaXR5
IG9mIENhbGlmb3JuaWEsIFNhbiBEaWVnbywgVW5pdGVkIFN0YXRlcy48L2F1dGgtYWRkcmVzcz48
dGl0bGVzPjx0aXRsZT5DaHJvbmljIEluaGFsYXRpb24gb2YgRS1DaWdhcmV0dGUgVmFwb3IgQ29u
dGFpbmluZyBOaWNvdGluZSBEaXNydXB0cyBBaXJ3YXkgQmFycmllciBGdW5jdGlvbiBhbmQgSW5k
dWNlcyBTeXN0ZW1pYyBJbmZsYW1tYXRpb24gYW5kIE11bHRpLU9yZ2FuIEZpYnJvc2lzIGluIE1p
Y2U8L3RpdGxlPjxzZWNvbmRhcnktdGl0bGU+QW0gSiBQaHlzaW9sIFJlZ3VsIEludGVnciBDb21w
IFBoeXNpb2w8L3NlY29uZGFyeS10aXRsZT48YWx0LXRpdGxlPkFtZXJpY2FuIGpvdXJuYWwgb2Yg
cGh5c2lvbG9neS4gUmVndWxhdG9yeSwgaW50ZWdyYXRpdmUgYW5kIGNvbXBhcmF0aXZlIHBoeXNp
b2xvZ3k8L2FsdC10aXRsZT48L3RpdGxlcz48cGVyaW9kaWNhbD48ZnVsbC10aXRsZT5BbSBKIFBo
eXNpb2wgUmVndWwgSW50ZWdyIENvbXAgUGh5c2lvbDwvZnVsbC10aXRsZT48YWJici0xPkFtZXJp
Y2FuIGpvdXJuYWwgb2YgcGh5c2lvbG9neS4gUmVndWxhdG9yeSwgaW50ZWdyYXRpdmUgYW5kIGNv
bXBhcmF0aXZlIHBoeXNpb2xvZ3k8L2FiYnItMT48L3BlcmlvZGljYWw+PGFsdC1wZXJpb2RpY2Fs
PjxmdWxsLXRpdGxlPkFtIEogUGh5c2lvbCBSZWd1bCBJbnRlZ3IgQ29tcCBQaHlzaW9sPC9mdWxs
LXRpdGxlPjxhYmJyLTE+QW1lcmljYW4gam91cm5hbCBvZiBwaHlzaW9sb2d5LiBSZWd1bGF0b3J5
LCBpbnRlZ3JhdGl2ZSBhbmQgY29tcGFyYXRpdmUgcGh5c2lvbG9neTwvYWJici0xPjwvYWx0LXBl
cmlvZGljYWw+PGVkaXRpb24+MjAxOC8wMi8wMTwvZWRpdGlvbj48a2V5d29yZHM+PGtleXdvcmQ+
Y2FyZGlvcmVuYWwgZHlzZnVuY3Rpb248L2tleXdvcmQ+PGtleXdvcmQ+ZWxlY3Ryb25pYyBjaWdh
cmV0dGU8L2tleXdvcmQ+PGtleXdvcmQ+Zmlicm9zaXM8L2tleXdvcmQ+PGtleXdvcmQ+aW5mbGFt
bWF0aW9uPC9rZXl3b3JkPjxrZXl3b3JkPm5pY290aW5lPC9rZXl3b3JkPjwva2V5d29yZHM+PGRh
dGVzPjx5ZWFyPjIwMTg8L3llYXI+PHB1Yi1kYXRlcz48ZGF0ZT5KYW4gMzE8L2RhdGU+PC9wdWIt
ZGF0ZXM+PC9kYXRlcz48aXNibj4wMzYzLTYxMTk8L2lzYm4+PGFjY2Vzc2lvbi1udW0+MjkzODQ3
MDA8L2FjY2Vzc2lvbi1udW0+PHVybHM+PC91cmxzPjxlbGVjdHJvbmljLXJlc291cmNlLW51bT4x
MC4xMTUyL2FqcHJlZ3UuMDAyNzAuMjAxNzwvZWxlY3Ryb25pYy1yZXNvdXJjZS1udW0+PHJlbW90
ZS1kYXRhYmFzZS1wcm92aWRlcj5OTE08L3JlbW90ZS1kYXRhYmFzZS1wcm92aWRlcj48bGFuZ3Vh
Z2U+ZW5nPC9sYW5ndWFnZT48L3JlY29yZD48L0NpdGU+PC9FbmROb3RlPgB=
</w:fldData>
            </w:fldChar>
          </w:r>
          <w:r>
            <w:instrText xml:space="preserve"> ADDIN EN.CITE </w:instrText>
          </w:r>
          <w:r>
            <w:fldChar w:fldCharType="begin">
              <w:fldData xml:space="preserve">PEVuZE5vdGU+PENpdGU+PEF1dGhvcj5Dcm90dHkgQWxleGFuZGVyPC9BdXRob3I+PFllYXI+MjAx
ODwvWWVhcj48UmVjTnVtPjUyNzwvUmVjTnVtPjxEaXNwbGF5VGV4dD4oQ3JvdHR5IEFsZXhhbmRl
ciwgRHJ1bW1vbmQgZXQgYWwuIDIwMTgpPC9EaXNwbGF5VGV4dD48cmVjb3JkPjxyZWMtbnVtYmVy
PjUyNzwvcmVjLW51bWJlcj48Zm9yZWlnbi1rZXlzPjxrZXkgYXBwPSJFTiIgZGItaWQ9Ijl6MDVk
ejBwcmFhZGZ1ZWUwem94emVkazl6ZmU1Znh4NTB6NSIgdGltZXN0YW1wPSIxNTIxNTA2ODUwIj41
Mjc8L2tleT48a2V5IGFwcD0iRU5XZWIiIGRiLWlkPSIiPjA8L2tleT48L2ZvcmVpZ24ta2V5cz48
cmVmLXR5cGUgbmFtZT0iSm91cm5hbCBBcnRpY2xlIj4xNzwvcmVmLXR5cGU+PGNvbnRyaWJ1dG9y
cz48YXV0aG9ycz48YXV0aG9yPkNyb3R0eSBBbGV4YW5kZXIsIEwuIEUuPC9hdXRob3I+PGF1dGhv
cj5EcnVtbW9uZCwgQy4gQS48L2F1dGhvcj48YXV0aG9yPkhlcG9rb3NraSwgTS48L2F1dGhvcj48
YXV0aG9yPk1hdGhldywgRC4gUC48L2F1dGhvcj48YXV0aG9yPk1vc2hlbnNreSwgQS48L2F1dGhv
cj48YXV0aG9yPldpbGxlZm9yZCwgQS48L2F1dGhvcj48YXV0aG9yPkRhcywgUy48L2F1dGhvcj48
YXV0aG9yPlNpbmdoLCBQLjwvYXV0aG9yPjxhdXRob3I+WW9uZywgWi48L2F1dGhvcj48YXV0aG9y
PkxlZSwgSi4gSC48L2F1dGhvcj48YXV0aG9yPlZlZ2EsIEsuPC9hdXRob3I+PGF1dGhvcj5EdSwg
QS48L2F1dGhvcj48YXV0aG9yPlNoaW4sIEouPC9hdXRob3I+PGF1dGhvcj5KYXZpZXIsIEMuPC9h
dXRob3I+PGF1dGhvcj5UaWFuLCBKLjwvYXV0aG9yPjxhdXRob3I+QnJvd24sIEouIEguPC9hdXRo
b3I+PGF1dGhvcj5CcmVlbiwgRS4gQy48L2F1dGhvcj48L2F1dGhvcnM+PC9jb250cmlidXRvcnM+
PGF1dGgtYWRkcmVzcz5NZWRpY2luZSwgVUMgU2FuIERpZWdvIGFuZCBWQVNESFMsIFVuaXRlZCBT
dGF0ZXMuJiN4RDtTdXJnZXJ5IGFuZCBNZWRpY2FsIERldmljZSBlZmZpY2FjeSwgTVBJIFJlc2Vh
cmNoLCBVbml0ZWQgU3RhdGVzLiYjeEQ7TWVkaWNpbmUsIERpdmlzaW9uIG9mIFB1bG1vbmFyeSBh
bmQgQ3JpdGljYWwgQ2FyZSwgbWhlcG9rb3NraUB1Y3NkLmVkdSwgVW5pdGVkIFN0YXRlcy4mI3hE
O01lZGljaW5lLCBVQyBTYW4gRGllZ28gU2Nob29sIG9mIE1lZGljaW5lLiYjeEQ7TWVkaWNpbmUs
IFVDIFNhbiBEaWVnbyBhbmQgVkFTREhTLiYjeEQ7UGhhcm1hY29sb2d5LCBVQ1NELiYjeEQ7UGF0
aG9sb2d5LCBVQ1NELiYjeEQ7TWVkaWNpbmUtTmVwaHJvbG9neSwgVUMgU2FuIERpZWdvIGFuZCBW
QVNESFMsIFVuaXRlZCBTdGF0ZXMuJiN4RDtNZWRpY2luZSwgVUNTRC4mI3hEO01lZGljaW5lLCBV
bml2ZXJzaXR5IG9mIFRvbGVkbyBIZWFsdGggU2NpZW5jZSBDYW1wdXMsIFVuaXRlZCBTdGF0ZXMu
JiN4RDtEZXBhcnRtZW50IG9mIFBoYXJtYWNvbG9neSAwNjM2LCBVbml2ZXJzaXR5IG9mIENhbGlm
b3JuaWEsIFNhbiBEaWVnbywgVW5pdGVkIFN0YXRlcy4mI3hEO01lZGljaW5lLCBVbml2ZXJzaXR5
IG9mIENhbGlmb3JuaWEsIFNhbiBEaWVnbywgVW5pdGVkIFN0YXRlcy48L2F1dGgtYWRkcmVzcz48
dGl0bGVzPjx0aXRsZT5DaHJvbmljIEluaGFsYXRpb24gb2YgRS1DaWdhcmV0dGUgVmFwb3IgQ29u
dGFpbmluZyBOaWNvdGluZSBEaXNydXB0cyBBaXJ3YXkgQmFycmllciBGdW5jdGlvbiBhbmQgSW5k
dWNlcyBTeXN0ZW1pYyBJbmZsYW1tYXRpb24gYW5kIE11bHRpLU9yZ2FuIEZpYnJvc2lzIGluIE1p
Y2U8L3RpdGxlPjxzZWNvbmRhcnktdGl0bGU+QW0gSiBQaHlzaW9sIFJlZ3VsIEludGVnciBDb21w
IFBoeXNpb2w8L3NlY29uZGFyeS10aXRsZT48YWx0LXRpdGxlPkFtZXJpY2FuIGpvdXJuYWwgb2Yg
cGh5c2lvbG9neS4gUmVndWxhdG9yeSwgaW50ZWdyYXRpdmUgYW5kIGNvbXBhcmF0aXZlIHBoeXNp
b2xvZ3k8L2FsdC10aXRsZT48L3RpdGxlcz48cGVyaW9kaWNhbD48ZnVsbC10aXRsZT5BbSBKIFBo
eXNpb2wgUmVndWwgSW50ZWdyIENvbXAgUGh5c2lvbDwvZnVsbC10aXRsZT48YWJici0xPkFtZXJp
Y2FuIGpvdXJuYWwgb2YgcGh5c2lvbG9neS4gUmVndWxhdG9yeSwgaW50ZWdyYXRpdmUgYW5kIGNv
bXBhcmF0aXZlIHBoeXNpb2xvZ3k8L2FiYnItMT48L3BlcmlvZGljYWw+PGFsdC1wZXJpb2RpY2Fs
PjxmdWxsLXRpdGxlPkFtIEogUGh5c2lvbCBSZWd1bCBJbnRlZ3IgQ29tcCBQaHlzaW9sPC9mdWxs
LXRpdGxlPjxhYmJyLTE+QW1lcmljYW4gam91cm5hbCBvZiBwaHlzaW9sb2d5LiBSZWd1bGF0b3J5
LCBpbnRlZ3JhdGl2ZSBhbmQgY29tcGFyYXRpdmUgcGh5c2lvbG9neTwvYWJici0xPjwvYWx0LXBl
cmlvZGljYWw+PGVkaXRpb24+MjAxOC8wMi8wMTwvZWRpdGlvbj48a2V5d29yZHM+PGtleXdvcmQ+
Y2FyZGlvcmVuYWwgZHlzZnVuY3Rpb248L2tleXdvcmQ+PGtleXdvcmQ+ZWxlY3Ryb25pYyBjaWdh
cmV0dGU8L2tleXdvcmQ+PGtleXdvcmQ+Zmlicm9zaXM8L2tleXdvcmQ+PGtleXdvcmQ+aW5mbGFt
bWF0aW9uPC9rZXl3b3JkPjxrZXl3b3JkPm5pY290aW5lPC9rZXl3b3JkPjwva2V5d29yZHM+PGRh
dGVzPjx5ZWFyPjIwMTg8L3llYXI+PHB1Yi1kYXRlcz48ZGF0ZT5KYW4gMzE8L2RhdGU+PC9wdWIt
ZGF0ZXM+PC9kYXRlcz48aXNibj4wMzYzLTYxMTk8L2lzYm4+PGFjY2Vzc2lvbi1udW0+MjkzODQ3
MDA8L2FjY2Vzc2lvbi1udW0+PHVybHM+PC91cmxzPjxlbGVjdHJvbmljLXJlc291cmNlLW51bT4x
MC4xMTUyL2FqcHJlZ3UuMDAyNzAuMjAxNzwvZWxlY3Ryb25pYy1yZXNvdXJjZS1udW0+PHJlbW90
ZS1kYXRhYmFzZS1wcm92aWRlcj5OTE08L3JlbW90ZS1kYXRhYmFzZS1wcm92aWRlcj48bGFuZ3Vh
Z2U+ZW5nPC9sYW5ndWFnZT48L3JlY29yZD48L0NpdGU+PC9FbmROb3RlPgB=
</w:fldData>
            </w:fldChar>
          </w:r>
          <w:r>
            <w:instrText xml:space="preserve"> ADDIN EN.CITE.DATA </w:instrText>
          </w:r>
          <w:r>
            <w:fldChar w:fldCharType="end"/>
          </w:r>
          <w:r w:rsidRPr="00DE2F03">
            <w:fldChar w:fldCharType="separate"/>
          </w:r>
          <w:r>
            <w:rPr>
              <w:noProof/>
            </w:rPr>
            <w:t>(Crotty Alexander, Drummond et al. 2018)</w:t>
          </w:r>
          <w:r w:rsidRPr="00DE2F03">
            <w:fldChar w:fldCharType="end"/>
          </w:r>
          <w:r w:rsidRPr="00207549">
            <w:t>.</w:t>
          </w:r>
          <w:r>
            <w:t xml:space="preserve"> DPPIV is </w:t>
          </w:r>
          <w:r w:rsidRPr="00207549">
            <w:t>thought to be involved in the development of liver, cardiac and kidney fibrosis</w:t>
          </w:r>
          <w:r>
            <w:t xml:space="preserve"> </w:t>
          </w:r>
          <w:r>
            <w:fldChar w:fldCharType="begin">
              <w:fldData xml:space="preserve">PEVuZE5vdGU+PENpdGU+PEF1dGhvcj5Dcm90dHkgQWxleGFuZGVyPC9BdXRob3I+PFllYXI+MjAx
ODwvWWVhcj48UmVjTnVtPjUyNzwvUmVjTnVtPjxEaXNwbGF5VGV4dD4oQ3JvdHR5IEFsZXhhbmRl
ciwgRHJ1bW1vbmQgZXQgYWwuIDIwMTgpPC9EaXNwbGF5VGV4dD48cmVjb3JkPjxyZWMtbnVtYmVy
PjUyNzwvcmVjLW51bWJlcj48Zm9yZWlnbi1rZXlzPjxrZXkgYXBwPSJFTiIgZGItaWQ9Ijl6MDVk
ejBwcmFhZGZ1ZWUwem94emVkazl6ZmU1Znh4NTB6NSIgdGltZXN0YW1wPSIxNTIxNTA2ODUwIj41
Mjc8L2tleT48a2V5IGFwcD0iRU5XZWIiIGRiLWlkPSIiPjA8L2tleT48L2ZvcmVpZ24ta2V5cz48
cmVmLXR5cGUgbmFtZT0iSm91cm5hbCBBcnRpY2xlIj4xNzwvcmVmLXR5cGU+PGNvbnRyaWJ1dG9y
cz48YXV0aG9ycz48YXV0aG9yPkNyb3R0eSBBbGV4YW5kZXIsIEwuIEUuPC9hdXRob3I+PGF1dGhv
cj5EcnVtbW9uZCwgQy4gQS48L2F1dGhvcj48YXV0aG9yPkhlcG9rb3NraSwgTS48L2F1dGhvcj48
YXV0aG9yPk1hdGhldywgRC4gUC48L2F1dGhvcj48YXV0aG9yPk1vc2hlbnNreSwgQS48L2F1dGhv
cj48YXV0aG9yPldpbGxlZm9yZCwgQS48L2F1dGhvcj48YXV0aG9yPkRhcywgUy48L2F1dGhvcj48
YXV0aG9yPlNpbmdoLCBQLjwvYXV0aG9yPjxhdXRob3I+WW9uZywgWi48L2F1dGhvcj48YXV0aG9y
PkxlZSwgSi4gSC48L2F1dGhvcj48YXV0aG9yPlZlZ2EsIEsuPC9hdXRob3I+PGF1dGhvcj5EdSwg
QS48L2F1dGhvcj48YXV0aG9yPlNoaW4sIEouPC9hdXRob3I+PGF1dGhvcj5KYXZpZXIsIEMuPC9h
dXRob3I+PGF1dGhvcj5UaWFuLCBKLjwvYXV0aG9yPjxhdXRob3I+QnJvd24sIEouIEguPC9hdXRo
b3I+PGF1dGhvcj5CcmVlbiwgRS4gQy48L2F1dGhvcj48L2F1dGhvcnM+PC9jb250cmlidXRvcnM+
PGF1dGgtYWRkcmVzcz5NZWRpY2luZSwgVUMgU2FuIERpZWdvIGFuZCBWQVNESFMsIFVuaXRlZCBT
dGF0ZXMuJiN4RDtTdXJnZXJ5IGFuZCBNZWRpY2FsIERldmljZSBlZmZpY2FjeSwgTVBJIFJlc2Vh
cmNoLCBVbml0ZWQgU3RhdGVzLiYjeEQ7TWVkaWNpbmUsIERpdmlzaW9uIG9mIFB1bG1vbmFyeSBh
bmQgQ3JpdGljYWwgQ2FyZSwgbWhlcG9rb3NraUB1Y3NkLmVkdSwgVW5pdGVkIFN0YXRlcy4mI3hE
O01lZGljaW5lLCBVQyBTYW4gRGllZ28gU2Nob29sIG9mIE1lZGljaW5lLiYjeEQ7TWVkaWNpbmUs
IFVDIFNhbiBEaWVnbyBhbmQgVkFTREhTLiYjeEQ7UGhhcm1hY29sb2d5LCBVQ1NELiYjeEQ7UGF0
aG9sb2d5LCBVQ1NELiYjeEQ7TWVkaWNpbmUtTmVwaHJvbG9neSwgVUMgU2FuIERpZWdvIGFuZCBW
QVNESFMsIFVuaXRlZCBTdGF0ZXMuJiN4RDtNZWRpY2luZSwgVUNTRC4mI3hEO01lZGljaW5lLCBV
bml2ZXJzaXR5IG9mIFRvbGVkbyBIZWFsdGggU2NpZW5jZSBDYW1wdXMsIFVuaXRlZCBTdGF0ZXMu
JiN4RDtEZXBhcnRtZW50IG9mIFBoYXJtYWNvbG9neSAwNjM2LCBVbml2ZXJzaXR5IG9mIENhbGlm
b3JuaWEsIFNhbiBEaWVnbywgVW5pdGVkIFN0YXRlcy4mI3hEO01lZGljaW5lLCBVbml2ZXJzaXR5
IG9mIENhbGlmb3JuaWEsIFNhbiBEaWVnbywgVW5pdGVkIFN0YXRlcy48L2F1dGgtYWRkcmVzcz48
dGl0bGVzPjx0aXRsZT5DaHJvbmljIEluaGFsYXRpb24gb2YgRS1DaWdhcmV0dGUgVmFwb3IgQ29u
dGFpbmluZyBOaWNvdGluZSBEaXNydXB0cyBBaXJ3YXkgQmFycmllciBGdW5jdGlvbiBhbmQgSW5k
dWNlcyBTeXN0ZW1pYyBJbmZsYW1tYXRpb24gYW5kIE11bHRpLU9yZ2FuIEZpYnJvc2lzIGluIE1p
Y2U8L3RpdGxlPjxzZWNvbmRhcnktdGl0bGU+QW0gSiBQaHlzaW9sIFJlZ3VsIEludGVnciBDb21w
IFBoeXNpb2w8L3NlY29uZGFyeS10aXRsZT48YWx0LXRpdGxlPkFtZXJpY2FuIGpvdXJuYWwgb2Yg
cGh5c2lvbG9neS4gUmVndWxhdG9yeSwgaW50ZWdyYXRpdmUgYW5kIGNvbXBhcmF0aXZlIHBoeXNp
b2xvZ3k8L2FsdC10aXRsZT48L3RpdGxlcz48cGVyaW9kaWNhbD48ZnVsbC10aXRsZT5BbSBKIFBo
eXNpb2wgUmVndWwgSW50ZWdyIENvbXAgUGh5c2lvbDwvZnVsbC10aXRsZT48YWJici0xPkFtZXJp
Y2FuIGpvdXJuYWwgb2YgcGh5c2lvbG9neS4gUmVndWxhdG9yeSwgaW50ZWdyYXRpdmUgYW5kIGNv
bXBhcmF0aXZlIHBoeXNpb2xvZ3k8L2FiYnItMT48L3BlcmlvZGljYWw+PGFsdC1wZXJpb2RpY2Fs
PjxmdWxsLXRpdGxlPkFtIEogUGh5c2lvbCBSZWd1bCBJbnRlZ3IgQ29tcCBQaHlzaW9sPC9mdWxs
LXRpdGxlPjxhYmJyLTE+QW1lcmljYW4gam91cm5hbCBvZiBwaHlzaW9sb2d5LiBSZWd1bGF0b3J5
LCBpbnRlZ3JhdGl2ZSBhbmQgY29tcGFyYXRpdmUgcGh5c2lvbG9neTwvYWJici0xPjwvYWx0LXBl
cmlvZGljYWw+PGVkaXRpb24+MjAxOC8wMi8wMTwvZWRpdGlvbj48a2V5d29yZHM+PGtleXdvcmQ+
Y2FyZGlvcmVuYWwgZHlzZnVuY3Rpb248L2tleXdvcmQ+PGtleXdvcmQ+ZWxlY3Ryb25pYyBjaWdh
cmV0dGU8L2tleXdvcmQ+PGtleXdvcmQ+Zmlicm9zaXM8L2tleXdvcmQ+PGtleXdvcmQ+aW5mbGFt
bWF0aW9uPC9rZXl3b3JkPjxrZXl3b3JkPm5pY290aW5lPC9rZXl3b3JkPjwva2V5d29yZHM+PGRh
dGVzPjx5ZWFyPjIwMTg8L3llYXI+PHB1Yi1kYXRlcz48ZGF0ZT5KYW4gMzE8L2RhdGU+PC9wdWIt
ZGF0ZXM+PC9kYXRlcz48aXNibj4wMzYzLTYxMTk8L2lzYm4+PGFjY2Vzc2lvbi1udW0+MjkzODQ3
MDA8L2FjY2Vzc2lvbi1udW0+PHVybHM+PC91cmxzPjxlbGVjdHJvbmljLXJlc291cmNlLW51bT4x
MC4xMTUyL2FqcHJlZ3UuMDAyNzAuMjAxNzwvZWxlY3Ryb25pYy1yZXNvdXJjZS1udW0+PHJlbW90
ZS1kYXRhYmFzZS1wcm92aWRlcj5OTE08L3JlbW90ZS1kYXRhYmFzZS1wcm92aWRlcj48bGFuZ3Vh
Z2U+ZW5nPC9sYW5ndWFnZT48L3JlY29yZD48L0NpdGU+PC9FbmROb3RlPgB=
</w:fldData>
            </w:fldChar>
          </w:r>
          <w:r>
            <w:instrText xml:space="preserve"> ADDIN EN.CITE </w:instrText>
          </w:r>
          <w:r>
            <w:fldChar w:fldCharType="begin">
              <w:fldData xml:space="preserve">PEVuZE5vdGU+PENpdGU+PEF1dGhvcj5Dcm90dHkgQWxleGFuZGVyPC9BdXRob3I+PFllYXI+MjAx
ODwvWWVhcj48UmVjTnVtPjUyNzwvUmVjTnVtPjxEaXNwbGF5VGV4dD4oQ3JvdHR5IEFsZXhhbmRl
ciwgRHJ1bW1vbmQgZXQgYWwuIDIwMTgpPC9EaXNwbGF5VGV4dD48cmVjb3JkPjxyZWMtbnVtYmVy
PjUyNzwvcmVjLW51bWJlcj48Zm9yZWlnbi1rZXlzPjxrZXkgYXBwPSJFTiIgZGItaWQ9Ijl6MDVk
ejBwcmFhZGZ1ZWUwem94emVkazl6ZmU1Znh4NTB6NSIgdGltZXN0YW1wPSIxNTIxNTA2ODUwIj41
Mjc8L2tleT48a2V5IGFwcD0iRU5XZWIiIGRiLWlkPSIiPjA8L2tleT48L2ZvcmVpZ24ta2V5cz48
cmVmLXR5cGUgbmFtZT0iSm91cm5hbCBBcnRpY2xlIj4xNzwvcmVmLXR5cGU+PGNvbnRyaWJ1dG9y
cz48YXV0aG9ycz48YXV0aG9yPkNyb3R0eSBBbGV4YW5kZXIsIEwuIEUuPC9hdXRob3I+PGF1dGhv
cj5EcnVtbW9uZCwgQy4gQS48L2F1dGhvcj48YXV0aG9yPkhlcG9rb3NraSwgTS48L2F1dGhvcj48
YXV0aG9yPk1hdGhldywgRC4gUC48L2F1dGhvcj48YXV0aG9yPk1vc2hlbnNreSwgQS48L2F1dGhv
cj48YXV0aG9yPldpbGxlZm9yZCwgQS48L2F1dGhvcj48YXV0aG9yPkRhcywgUy48L2F1dGhvcj48
YXV0aG9yPlNpbmdoLCBQLjwvYXV0aG9yPjxhdXRob3I+WW9uZywgWi48L2F1dGhvcj48YXV0aG9y
PkxlZSwgSi4gSC48L2F1dGhvcj48YXV0aG9yPlZlZ2EsIEsuPC9hdXRob3I+PGF1dGhvcj5EdSwg
QS48L2F1dGhvcj48YXV0aG9yPlNoaW4sIEouPC9hdXRob3I+PGF1dGhvcj5KYXZpZXIsIEMuPC9h
dXRob3I+PGF1dGhvcj5UaWFuLCBKLjwvYXV0aG9yPjxhdXRob3I+QnJvd24sIEouIEguPC9hdXRo
b3I+PGF1dGhvcj5CcmVlbiwgRS4gQy48L2F1dGhvcj48L2F1dGhvcnM+PC9jb250cmlidXRvcnM+
PGF1dGgtYWRkcmVzcz5NZWRpY2luZSwgVUMgU2FuIERpZWdvIGFuZCBWQVNESFMsIFVuaXRlZCBT
dGF0ZXMuJiN4RDtTdXJnZXJ5IGFuZCBNZWRpY2FsIERldmljZSBlZmZpY2FjeSwgTVBJIFJlc2Vh
cmNoLCBVbml0ZWQgU3RhdGVzLiYjeEQ7TWVkaWNpbmUsIERpdmlzaW9uIG9mIFB1bG1vbmFyeSBh
bmQgQ3JpdGljYWwgQ2FyZSwgbWhlcG9rb3NraUB1Y3NkLmVkdSwgVW5pdGVkIFN0YXRlcy4mI3hE
O01lZGljaW5lLCBVQyBTYW4gRGllZ28gU2Nob29sIG9mIE1lZGljaW5lLiYjeEQ7TWVkaWNpbmUs
IFVDIFNhbiBEaWVnbyBhbmQgVkFTREhTLiYjeEQ7UGhhcm1hY29sb2d5LCBVQ1NELiYjeEQ7UGF0
aG9sb2d5LCBVQ1NELiYjeEQ7TWVkaWNpbmUtTmVwaHJvbG9neSwgVUMgU2FuIERpZWdvIGFuZCBW
QVNESFMsIFVuaXRlZCBTdGF0ZXMuJiN4RDtNZWRpY2luZSwgVUNTRC4mI3hEO01lZGljaW5lLCBV
bml2ZXJzaXR5IG9mIFRvbGVkbyBIZWFsdGggU2NpZW5jZSBDYW1wdXMsIFVuaXRlZCBTdGF0ZXMu
JiN4RDtEZXBhcnRtZW50IG9mIFBoYXJtYWNvbG9neSAwNjM2LCBVbml2ZXJzaXR5IG9mIENhbGlm
b3JuaWEsIFNhbiBEaWVnbywgVW5pdGVkIFN0YXRlcy4mI3hEO01lZGljaW5lLCBVbml2ZXJzaXR5
IG9mIENhbGlmb3JuaWEsIFNhbiBEaWVnbywgVW5pdGVkIFN0YXRlcy48L2F1dGgtYWRkcmVzcz48
dGl0bGVzPjx0aXRsZT5DaHJvbmljIEluaGFsYXRpb24gb2YgRS1DaWdhcmV0dGUgVmFwb3IgQ29u
dGFpbmluZyBOaWNvdGluZSBEaXNydXB0cyBBaXJ3YXkgQmFycmllciBGdW5jdGlvbiBhbmQgSW5k
dWNlcyBTeXN0ZW1pYyBJbmZsYW1tYXRpb24gYW5kIE11bHRpLU9yZ2FuIEZpYnJvc2lzIGluIE1p
Y2U8L3RpdGxlPjxzZWNvbmRhcnktdGl0bGU+QW0gSiBQaHlzaW9sIFJlZ3VsIEludGVnciBDb21w
IFBoeXNpb2w8L3NlY29uZGFyeS10aXRsZT48YWx0LXRpdGxlPkFtZXJpY2FuIGpvdXJuYWwgb2Yg
cGh5c2lvbG9neS4gUmVndWxhdG9yeSwgaW50ZWdyYXRpdmUgYW5kIGNvbXBhcmF0aXZlIHBoeXNp
b2xvZ3k8L2FsdC10aXRsZT48L3RpdGxlcz48cGVyaW9kaWNhbD48ZnVsbC10aXRsZT5BbSBKIFBo
eXNpb2wgUmVndWwgSW50ZWdyIENvbXAgUGh5c2lvbDwvZnVsbC10aXRsZT48YWJici0xPkFtZXJp
Y2FuIGpvdXJuYWwgb2YgcGh5c2lvbG9neS4gUmVndWxhdG9yeSwgaW50ZWdyYXRpdmUgYW5kIGNv
bXBhcmF0aXZlIHBoeXNpb2xvZ3k8L2FiYnItMT48L3BlcmlvZGljYWw+PGFsdC1wZXJpb2RpY2Fs
PjxmdWxsLXRpdGxlPkFtIEogUGh5c2lvbCBSZWd1bCBJbnRlZ3IgQ29tcCBQaHlzaW9sPC9mdWxs
LXRpdGxlPjxhYmJyLTE+QW1lcmljYW4gam91cm5hbCBvZiBwaHlzaW9sb2d5LiBSZWd1bGF0b3J5
LCBpbnRlZ3JhdGl2ZSBhbmQgY29tcGFyYXRpdmUgcGh5c2lvbG9neTwvYWJici0xPjwvYWx0LXBl
cmlvZGljYWw+PGVkaXRpb24+MjAxOC8wMi8wMTwvZWRpdGlvbj48a2V5d29yZHM+PGtleXdvcmQ+
Y2FyZGlvcmVuYWwgZHlzZnVuY3Rpb248L2tleXdvcmQ+PGtleXdvcmQ+ZWxlY3Ryb25pYyBjaWdh
cmV0dGU8L2tleXdvcmQ+PGtleXdvcmQ+Zmlicm9zaXM8L2tleXdvcmQ+PGtleXdvcmQ+aW5mbGFt
bWF0aW9uPC9rZXl3b3JkPjxrZXl3b3JkPm5pY290aW5lPC9rZXl3b3JkPjwva2V5d29yZHM+PGRh
dGVzPjx5ZWFyPjIwMTg8L3llYXI+PHB1Yi1kYXRlcz48ZGF0ZT5KYW4gMzE8L2RhdGU+PC9wdWIt
ZGF0ZXM+PC9kYXRlcz48aXNibj4wMzYzLTYxMTk8L2lzYm4+PGFjY2Vzc2lvbi1udW0+MjkzODQ3
MDA8L2FjY2Vzc2lvbi1udW0+PHVybHM+PC91cmxzPjxlbGVjdHJvbmljLXJlc291cmNlLW51bT4x
MC4xMTUyL2FqcHJlZ3UuMDAyNzAuMjAxNzwvZWxlY3Ryb25pYy1yZXNvdXJjZS1udW0+PHJlbW90
ZS1kYXRhYmFzZS1wcm92aWRlcj5OTE08L3JlbW90ZS1kYXRhYmFzZS1wcm92aWRlcj48bGFuZ3Vh
Z2U+ZW5nPC9sYW5ndWFnZT48L3JlY29yZD48L0NpdGU+PC9FbmROb3RlPgB=
</w:fldData>
            </w:fldChar>
          </w:r>
          <w:r>
            <w:instrText xml:space="preserve"> ADDIN EN.CITE.DATA </w:instrText>
          </w:r>
          <w:r>
            <w:fldChar w:fldCharType="end"/>
          </w:r>
          <w:r>
            <w:fldChar w:fldCharType="separate"/>
          </w:r>
          <w:r>
            <w:rPr>
              <w:noProof/>
            </w:rPr>
            <w:t>(Crotty Alexander, Drummond et al. 2018)</w:t>
          </w:r>
          <w:r>
            <w:fldChar w:fldCharType="end"/>
          </w:r>
          <w:r w:rsidRPr="00207549">
            <w:t>.</w:t>
          </w:r>
          <w:r>
            <w:t xml:space="preserve"> </w:t>
          </w:r>
        </w:p>
        <w:p w14:paraId="3C2FB189" w14:textId="77777777" w:rsidR="00EA2246" w:rsidRDefault="00EA2246" w:rsidP="00EA2246">
          <w:pPr>
            <w:pStyle w:val="BodyText"/>
          </w:pPr>
          <w:r>
            <w:t xml:space="preserve">In another study, </w:t>
          </w:r>
          <w:r w:rsidRPr="00B76221">
            <w:t xml:space="preserve">e-cigarette </w:t>
          </w:r>
          <w:r>
            <w:t>vapour</w:t>
          </w:r>
          <w:r w:rsidRPr="00B76221">
            <w:t xml:space="preserve"> without nicotine led to stimulation of mucociliary clearance</w:t>
          </w:r>
          <w:r>
            <w:t xml:space="preserve"> whereas e-cigarette vapour with nicotine slowed mucociliary clearance </w:t>
          </w:r>
          <w:r>
            <w:fldChar w:fldCharType="begin">
              <w:fldData xml:space="preserve">PEVuZE5vdGU+PENpdGU+PEF1dGhvcj5MYXViZTwvQXV0aG9yPjxZZWFyPjIwMTc8L1llYXI+PFJl
Y051bT4xMDYwPC9SZWNOdW0+PERpc3BsYXlUZXh0PihMYXViZSwgQWZzaGFyLU1vaGFqZXIgZXQg
YWwuIDIwMTcpPC9EaXNwbGF5VGV4dD48cmVjb3JkPjxyZWMtbnVtYmVyPjEwNjA8L3JlYy1udW1i
ZXI+PGZvcmVpZ24ta2V5cz48a2V5IGFwcD0iRU4iIGRiLWlkPSI5ejA1ZHowcHJhYWRmdWVlMHpv
eHplZGs5emZlNWZ4eDUwejUiIHRpbWVzdGFtcD0iMTUyMTUwNjk5MSI+MTA2MDwva2V5PjwvZm9y
ZWlnbi1rZXlzPjxyZWYtdHlwZSBuYW1lPSJKb3VybmFsIEFydGljbGUiPjE3PC9yZWYtdHlwZT48
Y29udHJpYnV0b3JzPjxhdXRob3JzPjxhdXRob3I+TGF1YmUsIEIuIEwuPC9hdXRob3I+PGF1dGhv
cj5BZnNoYXItTW9oYWplciwgTi48L2F1dGhvcj48YXV0aG9yPktvZWhsZXIsIEsuPC9hdXRob3I+
PGF1dGhvcj5DaGVuLCBHLjwvYXV0aG9yPjxhdXRob3I+TGF6YXJ1cywgUC48L2F1dGhvcj48YXV0
aG9yPkNvbGxhY28sIEouIE0uPC9hdXRob3I+PGF1dGhvcj5NY0dyYXRoLU1vcnJvdywgUy4gQS48
L2F1dGhvcj48L2F1dGhvcnM+PC9jb250cmlidXRvcnM+PGF1dGgtYWRkcmVzcz5hIERlcGFydG1l
bnQgb2YgUGVkaWF0cmljcyAsIEpvaG5zIEhvcGtpbnMgVW5pdmVyc2l0eSBTY2hvb2wgb2YgTWVk
aWNpbmUgLCBCYWx0aW1vcmUgLCBNRCAsIFVTQS4mI3hEO2IgRGVwYXJ0bWVudCBvZiBFbnZpcm9u
bWVudGFsIEhlYWx0aCBTY2llbmNlcyAsIEpvaG5zIEhvcGtpbnMgVW5pdmVyc2l0eSBCbG9vbWJl
cmcgU2Nob29sIG9mIFB1YmxpYyBIZWFsdGggLCBCYWx0aW1vcmUgLCBNRCAsIFVTQS4mI3hEO2Mg
RGVwYXJ0bWVudCBvZiBQaGFybWFjZXV0aWNhbCBTY2llbmNlICwgV2FzaGluZ3RvbiBTdGF0ZSBV
bml2ZXJzaXR5ICwgU3Bva2FuZSAsIFdBICwgVVNBLjwvYXV0aC1hZGRyZXNzPjx0aXRsZXM+PHRp
dGxlPkFjdXRlIGFuZCBjaHJvbmljIGluIHZpdm8gZWZmZWN0cyBvZiBleHBvc3VyZSB0byBuaWNv
dGluZSBhbmQgcHJvcHlsZW5lIGdseWNvbCBmcm9tIGFuIEUtY2lnYXJldHRlIG9uIG11Y29jaWxp
YXJ5IGNsZWFyYW5jZSBpbiBhIG11cmluZSBtb2RlbDwvdGl0bGU+PHNlY29uZGFyeS10aXRsZT5J
bmhhbCBUb3hpY29sPC9zZWNvbmRhcnktdGl0bGU+PGFsdC10aXRsZT5JbmhhbGF0aW9uIHRveGlj
b2xvZ3k8L2FsdC10aXRsZT48L3RpdGxlcz48cGVyaW9kaWNhbD48ZnVsbC10aXRsZT5JbmhhbCBU
b3hpY29sPC9mdWxsLXRpdGxlPjxhYmJyLTE+SW5oYWxhdGlvbiB0b3hpY29sb2d5PC9hYmJyLTE+
PC9wZXJpb2RpY2FsPjxhbHQtcGVyaW9kaWNhbD48ZnVsbC10aXRsZT5JbmhhbCBUb3hpY29sPC9m
dWxsLXRpdGxlPjxhYmJyLTE+SW5oYWxhdGlvbiB0b3hpY29sb2d5PC9hYmJyLTE+PC9hbHQtcGVy
aW9kaWNhbD48cGFnZXM+MTk3LTIwNTwvcGFnZXM+PHZvbHVtZT4yOTwvdm9sdW1lPjxudW1iZXI+
NTwvbnVtYmVyPjxlZGl0aW9uPjIwMTcvMDYvMjg8L2VkaXRpb24+PGtleXdvcmRzPjxrZXl3b3Jk
PkUtY2lnYXJldHRlIGVtaXNzaW9uczwva2V5d29yZD48a2V5d29yZD5hY3V0ZSBleHBvc3VyZTwv
a2V5d29yZD48a2V5d29yZD5jaHJvbmljIGV4cG9zdXJlPC9rZXl3b3JkPjxrZXl3b3JkPm11Y29j
aWxpYXJ5IGNsZWFyYW5jZTwva2V5d29yZD48a2V5d29yZD5tdXJpbmUgbW9kZWw8L2tleXdvcmQ+
PC9rZXl3b3Jkcz48ZGF0ZXM+PHllYXI+MjAxNzwveWVhcj48cHViLWRhdGVzPjxkYXRlPkFwcjwv
ZGF0ZT48L3B1Yi1kYXRlcz48L2RhdGVzPjxpc2JuPjA4OTUtODM3ODwvaXNibj48YWNjZXNzaW9u
LW51bT4yODY1MTQ0NjwvYWNjZXNzaW9uLW51bT48dXJscz48cmVsYXRlZC11cmxzPjx1cmw+aHR0
cHM6Ly93d3cudGFuZGZvbmxpbmUuY29tL2RvaS9wZGYvMTAuMTA4MC8wODk1ODM3OC4yMDE3LjEz
MzY1ODU/bmVlZEFjY2Vzcz10cnVlPC91cmw+PC9yZWxhdGVkLXVybHM+PC91cmxzPjxjdXN0b20y
PlBNQzU1NTM2MTQ8L2N1c3RvbTI+PGN1c3RvbTY+TklITVM4OTI3OTU8L2N1c3RvbTY+PGVsZWN0
cm9uaWMtcmVzb3VyY2UtbnVtPjEwLjEwODAvMDg5NTgzNzguMjAxNy4xMzM2NTg1PC9lbGVjdHJv
bmljLXJlc291cmNlLW51bT48cmVtb3RlLWRhdGFiYXNlLXByb3ZpZGVyPk5MTTwvcmVtb3RlLWRh
dGFiYXNlLXByb3ZpZGVyPjxsYW5ndWFnZT5lbmc8L2xhbmd1YWdlPjwvcmVjb3JkPjwvQ2l0ZT48
L0VuZE5vdGU+
</w:fldData>
            </w:fldChar>
          </w:r>
          <w:r>
            <w:instrText xml:space="preserve"> ADDIN EN.CITE </w:instrText>
          </w:r>
          <w:r>
            <w:fldChar w:fldCharType="begin">
              <w:fldData xml:space="preserve">PEVuZE5vdGU+PENpdGU+PEF1dGhvcj5MYXViZTwvQXV0aG9yPjxZZWFyPjIwMTc8L1llYXI+PFJl
Y051bT4xMDYwPC9SZWNOdW0+PERpc3BsYXlUZXh0PihMYXViZSwgQWZzaGFyLU1vaGFqZXIgZXQg
YWwuIDIwMTcpPC9EaXNwbGF5VGV4dD48cmVjb3JkPjxyZWMtbnVtYmVyPjEwNjA8L3JlYy1udW1i
ZXI+PGZvcmVpZ24ta2V5cz48a2V5IGFwcD0iRU4iIGRiLWlkPSI5ejA1ZHowcHJhYWRmdWVlMHpv
eHplZGs5emZlNWZ4eDUwejUiIHRpbWVzdGFtcD0iMTUyMTUwNjk5MSI+MTA2MDwva2V5PjwvZm9y
ZWlnbi1rZXlzPjxyZWYtdHlwZSBuYW1lPSJKb3VybmFsIEFydGljbGUiPjE3PC9yZWYtdHlwZT48
Y29udHJpYnV0b3JzPjxhdXRob3JzPjxhdXRob3I+TGF1YmUsIEIuIEwuPC9hdXRob3I+PGF1dGhv
cj5BZnNoYXItTW9oYWplciwgTi48L2F1dGhvcj48YXV0aG9yPktvZWhsZXIsIEsuPC9hdXRob3I+
PGF1dGhvcj5DaGVuLCBHLjwvYXV0aG9yPjxhdXRob3I+TGF6YXJ1cywgUC48L2F1dGhvcj48YXV0
aG9yPkNvbGxhY28sIEouIE0uPC9hdXRob3I+PGF1dGhvcj5NY0dyYXRoLU1vcnJvdywgUy4gQS48
L2F1dGhvcj48L2F1dGhvcnM+PC9jb250cmlidXRvcnM+PGF1dGgtYWRkcmVzcz5hIERlcGFydG1l
bnQgb2YgUGVkaWF0cmljcyAsIEpvaG5zIEhvcGtpbnMgVW5pdmVyc2l0eSBTY2hvb2wgb2YgTWVk
aWNpbmUgLCBCYWx0aW1vcmUgLCBNRCAsIFVTQS4mI3hEO2IgRGVwYXJ0bWVudCBvZiBFbnZpcm9u
bWVudGFsIEhlYWx0aCBTY2llbmNlcyAsIEpvaG5zIEhvcGtpbnMgVW5pdmVyc2l0eSBCbG9vbWJl
cmcgU2Nob29sIG9mIFB1YmxpYyBIZWFsdGggLCBCYWx0aW1vcmUgLCBNRCAsIFVTQS4mI3hEO2Mg
RGVwYXJ0bWVudCBvZiBQaGFybWFjZXV0aWNhbCBTY2llbmNlICwgV2FzaGluZ3RvbiBTdGF0ZSBV
bml2ZXJzaXR5ICwgU3Bva2FuZSAsIFdBICwgVVNBLjwvYXV0aC1hZGRyZXNzPjx0aXRsZXM+PHRp
dGxlPkFjdXRlIGFuZCBjaHJvbmljIGluIHZpdm8gZWZmZWN0cyBvZiBleHBvc3VyZSB0byBuaWNv
dGluZSBhbmQgcHJvcHlsZW5lIGdseWNvbCBmcm9tIGFuIEUtY2lnYXJldHRlIG9uIG11Y29jaWxp
YXJ5IGNsZWFyYW5jZSBpbiBhIG11cmluZSBtb2RlbDwvdGl0bGU+PHNlY29uZGFyeS10aXRsZT5J
bmhhbCBUb3hpY29sPC9zZWNvbmRhcnktdGl0bGU+PGFsdC10aXRsZT5JbmhhbGF0aW9uIHRveGlj
b2xvZ3k8L2FsdC10aXRsZT48L3RpdGxlcz48cGVyaW9kaWNhbD48ZnVsbC10aXRsZT5JbmhhbCBU
b3hpY29sPC9mdWxsLXRpdGxlPjxhYmJyLTE+SW5oYWxhdGlvbiB0b3hpY29sb2d5PC9hYmJyLTE+
PC9wZXJpb2RpY2FsPjxhbHQtcGVyaW9kaWNhbD48ZnVsbC10aXRsZT5JbmhhbCBUb3hpY29sPC9m
dWxsLXRpdGxlPjxhYmJyLTE+SW5oYWxhdGlvbiB0b3hpY29sb2d5PC9hYmJyLTE+PC9hbHQtcGVy
aW9kaWNhbD48cGFnZXM+MTk3LTIwNTwvcGFnZXM+PHZvbHVtZT4yOTwvdm9sdW1lPjxudW1iZXI+
NTwvbnVtYmVyPjxlZGl0aW9uPjIwMTcvMDYvMjg8L2VkaXRpb24+PGtleXdvcmRzPjxrZXl3b3Jk
PkUtY2lnYXJldHRlIGVtaXNzaW9uczwva2V5d29yZD48a2V5d29yZD5hY3V0ZSBleHBvc3VyZTwv
a2V5d29yZD48a2V5d29yZD5jaHJvbmljIGV4cG9zdXJlPC9rZXl3b3JkPjxrZXl3b3JkPm11Y29j
aWxpYXJ5IGNsZWFyYW5jZTwva2V5d29yZD48a2V5d29yZD5tdXJpbmUgbW9kZWw8L2tleXdvcmQ+
PC9rZXl3b3Jkcz48ZGF0ZXM+PHllYXI+MjAxNzwveWVhcj48cHViLWRhdGVzPjxkYXRlPkFwcjwv
ZGF0ZT48L3B1Yi1kYXRlcz48L2RhdGVzPjxpc2JuPjA4OTUtODM3ODwvaXNibj48YWNjZXNzaW9u
LW51bT4yODY1MTQ0NjwvYWNjZXNzaW9uLW51bT48dXJscz48cmVsYXRlZC11cmxzPjx1cmw+aHR0
cHM6Ly93d3cudGFuZGZvbmxpbmUuY29tL2RvaS9wZGYvMTAuMTA4MC8wODk1ODM3OC4yMDE3LjEz
MzY1ODU/bmVlZEFjY2Vzcz10cnVlPC91cmw+PC9yZWxhdGVkLXVybHM+PC91cmxzPjxjdXN0b20y
PlBNQzU1NTM2MTQ8L2N1c3RvbTI+PGN1c3RvbTY+TklITVM4OTI3OTU8L2N1c3RvbTY+PGVsZWN0
cm9uaWMtcmVzb3VyY2UtbnVtPjEwLjEwODAvMDg5NTgzNzguMjAxNy4xMzM2NTg1PC9lbGVjdHJv
bmljLXJlc291cmNlLW51bT48cmVtb3RlLWRhdGFiYXNlLXByb3ZpZGVyPk5MTTwvcmVtb3RlLWRh
dGFiYXNlLXByb3ZpZGVyPjxsYW5ndWFnZT5lbmc8L2xhbmd1YWdlPjwvcmVjb3JkPjwvQ2l0ZT48
L0VuZE5vdGU+
</w:fldData>
            </w:fldChar>
          </w:r>
          <w:r>
            <w:instrText xml:space="preserve"> ADDIN EN.CITE.DATA </w:instrText>
          </w:r>
          <w:r>
            <w:fldChar w:fldCharType="end"/>
          </w:r>
          <w:r>
            <w:fldChar w:fldCharType="separate"/>
          </w:r>
          <w:r>
            <w:rPr>
              <w:noProof/>
            </w:rPr>
            <w:t>(Laube, Afshar-Mohajer et al. 2017)</w:t>
          </w:r>
          <w:r>
            <w:fldChar w:fldCharType="end"/>
          </w:r>
          <w:r>
            <w:t xml:space="preserve">. Slowed mucociliary clearance may reduce the ability of an animal to protect its airways from pollutants, allergens and pathogens </w:t>
          </w:r>
          <w:r>
            <w:fldChar w:fldCharType="begin">
              <w:fldData xml:space="preserve">PEVuZE5vdGU+PENpdGU+PEF1dGhvcj5MYXViZTwvQXV0aG9yPjxZZWFyPjIwMTc8L1llYXI+PFJl
Y051bT4xMDYwPC9SZWNOdW0+PERpc3BsYXlUZXh0PihMYXViZSwgQWZzaGFyLU1vaGFqZXIgZXQg
YWwuIDIwMTcpPC9EaXNwbGF5VGV4dD48cmVjb3JkPjxyZWMtbnVtYmVyPjEwNjA8L3JlYy1udW1i
ZXI+PGZvcmVpZ24ta2V5cz48a2V5IGFwcD0iRU4iIGRiLWlkPSI5ejA1ZHowcHJhYWRmdWVlMHpv
eHplZGs5emZlNWZ4eDUwejUiIHRpbWVzdGFtcD0iMTUyMTUwNjk5MSI+MTA2MDwva2V5PjwvZm9y
ZWlnbi1rZXlzPjxyZWYtdHlwZSBuYW1lPSJKb3VybmFsIEFydGljbGUiPjE3PC9yZWYtdHlwZT48
Y29udHJpYnV0b3JzPjxhdXRob3JzPjxhdXRob3I+TGF1YmUsIEIuIEwuPC9hdXRob3I+PGF1dGhv
cj5BZnNoYXItTW9oYWplciwgTi48L2F1dGhvcj48YXV0aG9yPktvZWhsZXIsIEsuPC9hdXRob3I+
PGF1dGhvcj5DaGVuLCBHLjwvYXV0aG9yPjxhdXRob3I+TGF6YXJ1cywgUC48L2F1dGhvcj48YXV0
aG9yPkNvbGxhY28sIEouIE0uPC9hdXRob3I+PGF1dGhvcj5NY0dyYXRoLU1vcnJvdywgUy4gQS48
L2F1dGhvcj48L2F1dGhvcnM+PC9jb250cmlidXRvcnM+PGF1dGgtYWRkcmVzcz5hIERlcGFydG1l
bnQgb2YgUGVkaWF0cmljcyAsIEpvaG5zIEhvcGtpbnMgVW5pdmVyc2l0eSBTY2hvb2wgb2YgTWVk
aWNpbmUgLCBCYWx0aW1vcmUgLCBNRCAsIFVTQS4mI3hEO2IgRGVwYXJ0bWVudCBvZiBFbnZpcm9u
bWVudGFsIEhlYWx0aCBTY2llbmNlcyAsIEpvaG5zIEhvcGtpbnMgVW5pdmVyc2l0eSBCbG9vbWJl
cmcgU2Nob29sIG9mIFB1YmxpYyBIZWFsdGggLCBCYWx0aW1vcmUgLCBNRCAsIFVTQS4mI3hEO2Mg
RGVwYXJ0bWVudCBvZiBQaGFybWFjZXV0aWNhbCBTY2llbmNlICwgV2FzaGluZ3RvbiBTdGF0ZSBV
bml2ZXJzaXR5ICwgU3Bva2FuZSAsIFdBICwgVVNBLjwvYXV0aC1hZGRyZXNzPjx0aXRsZXM+PHRp
dGxlPkFjdXRlIGFuZCBjaHJvbmljIGluIHZpdm8gZWZmZWN0cyBvZiBleHBvc3VyZSB0byBuaWNv
dGluZSBhbmQgcHJvcHlsZW5lIGdseWNvbCBmcm9tIGFuIEUtY2lnYXJldHRlIG9uIG11Y29jaWxp
YXJ5IGNsZWFyYW5jZSBpbiBhIG11cmluZSBtb2RlbDwvdGl0bGU+PHNlY29uZGFyeS10aXRsZT5J
bmhhbCBUb3hpY29sPC9zZWNvbmRhcnktdGl0bGU+PGFsdC10aXRsZT5JbmhhbGF0aW9uIHRveGlj
b2xvZ3k8L2FsdC10aXRsZT48L3RpdGxlcz48cGVyaW9kaWNhbD48ZnVsbC10aXRsZT5JbmhhbCBU
b3hpY29sPC9mdWxsLXRpdGxlPjxhYmJyLTE+SW5oYWxhdGlvbiB0b3hpY29sb2d5PC9hYmJyLTE+
PC9wZXJpb2RpY2FsPjxhbHQtcGVyaW9kaWNhbD48ZnVsbC10aXRsZT5JbmhhbCBUb3hpY29sPC9m
dWxsLXRpdGxlPjxhYmJyLTE+SW5oYWxhdGlvbiB0b3hpY29sb2d5PC9hYmJyLTE+PC9hbHQtcGVy
aW9kaWNhbD48cGFnZXM+MTk3LTIwNTwvcGFnZXM+PHZvbHVtZT4yOTwvdm9sdW1lPjxudW1iZXI+
NTwvbnVtYmVyPjxlZGl0aW9uPjIwMTcvMDYvMjg8L2VkaXRpb24+PGtleXdvcmRzPjxrZXl3b3Jk
PkUtY2lnYXJldHRlIGVtaXNzaW9uczwva2V5d29yZD48a2V5d29yZD5hY3V0ZSBleHBvc3VyZTwv
a2V5d29yZD48a2V5d29yZD5jaHJvbmljIGV4cG9zdXJlPC9rZXl3b3JkPjxrZXl3b3JkPm11Y29j
aWxpYXJ5IGNsZWFyYW5jZTwva2V5d29yZD48a2V5d29yZD5tdXJpbmUgbW9kZWw8L2tleXdvcmQ+
PC9rZXl3b3Jkcz48ZGF0ZXM+PHllYXI+MjAxNzwveWVhcj48cHViLWRhdGVzPjxkYXRlPkFwcjwv
ZGF0ZT48L3B1Yi1kYXRlcz48L2RhdGVzPjxpc2JuPjA4OTUtODM3ODwvaXNibj48YWNjZXNzaW9u
LW51bT4yODY1MTQ0NjwvYWNjZXNzaW9uLW51bT48dXJscz48cmVsYXRlZC11cmxzPjx1cmw+aHR0
cHM6Ly93d3cudGFuZGZvbmxpbmUuY29tL2RvaS9wZGYvMTAuMTA4MC8wODk1ODM3OC4yMDE3LjEz
MzY1ODU/bmVlZEFjY2Vzcz10cnVlPC91cmw+PC9yZWxhdGVkLXVybHM+PC91cmxzPjxjdXN0b20y
PlBNQzU1NTM2MTQ8L2N1c3RvbTI+PGN1c3RvbTY+TklITVM4OTI3OTU8L2N1c3RvbTY+PGVsZWN0
cm9uaWMtcmVzb3VyY2UtbnVtPjEwLjEwODAvMDg5NTgzNzguMjAxNy4xMzM2NTg1PC9lbGVjdHJv
bmljLXJlc291cmNlLW51bT48cmVtb3RlLWRhdGFiYXNlLXByb3ZpZGVyPk5MTTwvcmVtb3RlLWRh
dGFiYXNlLXByb3ZpZGVyPjxsYW5ndWFnZT5lbmc8L2xhbmd1YWdlPjwvcmVjb3JkPjwvQ2l0ZT48
L0VuZE5vdGU+
</w:fldData>
            </w:fldChar>
          </w:r>
          <w:r>
            <w:instrText xml:space="preserve"> ADDIN EN.CITE </w:instrText>
          </w:r>
          <w:r>
            <w:fldChar w:fldCharType="begin">
              <w:fldData xml:space="preserve">PEVuZE5vdGU+PENpdGU+PEF1dGhvcj5MYXViZTwvQXV0aG9yPjxZZWFyPjIwMTc8L1llYXI+PFJl
Y051bT4xMDYwPC9SZWNOdW0+PERpc3BsYXlUZXh0PihMYXViZSwgQWZzaGFyLU1vaGFqZXIgZXQg
YWwuIDIwMTcpPC9EaXNwbGF5VGV4dD48cmVjb3JkPjxyZWMtbnVtYmVyPjEwNjA8L3JlYy1udW1i
ZXI+PGZvcmVpZ24ta2V5cz48a2V5IGFwcD0iRU4iIGRiLWlkPSI5ejA1ZHowcHJhYWRmdWVlMHpv
eHplZGs5emZlNWZ4eDUwejUiIHRpbWVzdGFtcD0iMTUyMTUwNjk5MSI+MTA2MDwva2V5PjwvZm9y
ZWlnbi1rZXlzPjxyZWYtdHlwZSBuYW1lPSJKb3VybmFsIEFydGljbGUiPjE3PC9yZWYtdHlwZT48
Y29udHJpYnV0b3JzPjxhdXRob3JzPjxhdXRob3I+TGF1YmUsIEIuIEwuPC9hdXRob3I+PGF1dGhv
cj5BZnNoYXItTW9oYWplciwgTi48L2F1dGhvcj48YXV0aG9yPktvZWhsZXIsIEsuPC9hdXRob3I+
PGF1dGhvcj5DaGVuLCBHLjwvYXV0aG9yPjxhdXRob3I+TGF6YXJ1cywgUC48L2F1dGhvcj48YXV0
aG9yPkNvbGxhY28sIEouIE0uPC9hdXRob3I+PGF1dGhvcj5NY0dyYXRoLU1vcnJvdywgUy4gQS48
L2F1dGhvcj48L2F1dGhvcnM+PC9jb250cmlidXRvcnM+PGF1dGgtYWRkcmVzcz5hIERlcGFydG1l
bnQgb2YgUGVkaWF0cmljcyAsIEpvaG5zIEhvcGtpbnMgVW5pdmVyc2l0eSBTY2hvb2wgb2YgTWVk
aWNpbmUgLCBCYWx0aW1vcmUgLCBNRCAsIFVTQS4mI3hEO2IgRGVwYXJ0bWVudCBvZiBFbnZpcm9u
bWVudGFsIEhlYWx0aCBTY2llbmNlcyAsIEpvaG5zIEhvcGtpbnMgVW5pdmVyc2l0eSBCbG9vbWJl
cmcgU2Nob29sIG9mIFB1YmxpYyBIZWFsdGggLCBCYWx0aW1vcmUgLCBNRCAsIFVTQS4mI3hEO2Mg
RGVwYXJ0bWVudCBvZiBQaGFybWFjZXV0aWNhbCBTY2llbmNlICwgV2FzaGluZ3RvbiBTdGF0ZSBV
bml2ZXJzaXR5ICwgU3Bva2FuZSAsIFdBICwgVVNBLjwvYXV0aC1hZGRyZXNzPjx0aXRsZXM+PHRp
dGxlPkFjdXRlIGFuZCBjaHJvbmljIGluIHZpdm8gZWZmZWN0cyBvZiBleHBvc3VyZSB0byBuaWNv
dGluZSBhbmQgcHJvcHlsZW5lIGdseWNvbCBmcm9tIGFuIEUtY2lnYXJldHRlIG9uIG11Y29jaWxp
YXJ5IGNsZWFyYW5jZSBpbiBhIG11cmluZSBtb2RlbDwvdGl0bGU+PHNlY29uZGFyeS10aXRsZT5J
bmhhbCBUb3hpY29sPC9zZWNvbmRhcnktdGl0bGU+PGFsdC10aXRsZT5JbmhhbGF0aW9uIHRveGlj
b2xvZ3k8L2FsdC10aXRsZT48L3RpdGxlcz48cGVyaW9kaWNhbD48ZnVsbC10aXRsZT5JbmhhbCBU
b3hpY29sPC9mdWxsLXRpdGxlPjxhYmJyLTE+SW5oYWxhdGlvbiB0b3hpY29sb2d5PC9hYmJyLTE+
PC9wZXJpb2RpY2FsPjxhbHQtcGVyaW9kaWNhbD48ZnVsbC10aXRsZT5JbmhhbCBUb3hpY29sPC9m
dWxsLXRpdGxlPjxhYmJyLTE+SW5oYWxhdGlvbiB0b3hpY29sb2d5PC9hYmJyLTE+PC9hbHQtcGVy
aW9kaWNhbD48cGFnZXM+MTk3LTIwNTwvcGFnZXM+PHZvbHVtZT4yOTwvdm9sdW1lPjxudW1iZXI+
NTwvbnVtYmVyPjxlZGl0aW9uPjIwMTcvMDYvMjg8L2VkaXRpb24+PGtleXdvcmRzPjxrZXl3b3Jk
PkUtY2lnYXJldHRlIGVtaXNzaW9uczwva2V5d29yZD48a2V5d29yZD5hY3V0ZSBleHBvc3VyZTwv
a2V5d29yZD48a2V5d29yZD5jaHJvbmljIGV4cG9zdXJlPC9rZXl3b3JkPjxrZXl3b3JkPm11Y29j
aWxpYXJ5IGNsZWFyYW5jZTwva2V5d29yZD48a2V5d29yZD5tdXJpbmUgbW9kZWw8L2tleXdvcmQ+
PC9rZXl3b3Jkcz48ZGF0ZXM+PHllYXI+MjAxNzwveWVhcj48cHViLWRhdGVzPjxkYXRlPkFwcjwv
ZGF0ZT48L3B1Yi1kYXRlcz48L2RhdGVzPjxpc2JuPjA4OTUtODM3ODwvaXNibj48YWNjZXNzaW9u
LW51bT4yODY1MTQ0NjwvYWNjZXNzaW9uLW51bT48dXJscz48cmVsYXRlZC11cmxzPjx1cmw+aHR0
cHM6Ly93d3cudGFuZGZvbmxpbmUuY29tL2RvaS9wZGYvMTAuMTA4MC8wODk1ODM3OC4yMDE3LjEz
MzY1ODU/bmVlZEFjY2Vzcz10cnVlPC91cmw+PC9yZWxhdGVkLXVybHM+PC91cmxzPjxjdXN0b20y
PlBNQzU1NTM2MTQ8L2N1c3RvbTI+PGN1c3RvbTY+TklITVM4OTI3OTU8L2N1c3RvbTY+PGVsZWN0
cm9uaWMtcmVzb3VyY2UtbnVtPjEwLjEwODAvMDg5NTgzNzguMjAxNy4xMzM2NTg1PC9lbGVjdHJv
bmljLXJlc291cmNlLW51bT48cmVtb3RlLWRhdGFiYXNlLXByb3ZpZGVyPk5MTTwvcmVtb3RlLWRh
dGFiYXNlLXByb3ZpZGVyPjxsYW5ndWFnZT5lbmc8L2xhbmd1YWdlPjwvcmVjb3JkPjwvQ2l0ZT48
L0VuZE5vdGU+
</w:fldData>
            </w:fldChar>
          </w:r>
          <w:r>
            <w:instrText xml:space="preserve"> ADDIN EN.CITE.DATA </w:instrText>
          </w:r>
          <w:r>
            <w:fldChar w:fldCharType="end"/>
          </w:r>
          <w:r>
            <w:fldChar w:fldCharType="separate"/>
          </w:r>
          <w:r>
            <w:rPr>
              <w:noProof/>
            </w:rPr>
            <w:t>(Laube, Afshar-Mohajer et al. 2017)</w:t>
          </w:r>
          <w:r>
            <w:fldChar w:fldCharType="end"/>
          </w:r>
          <w:r>
            <w:t xml:space="preserve">. </w:t>
          </w:r>
        </w:p>
        <w:p w14:paraId="7017305C" w14:textId="77777777" w:rsidR="00EA2246" w:rsidRDefault="00EA2246" w:rsidP="00EA2246">
          <w:pPr>
            <w:pStyle w:val="BodyText"/>
          </w:pPr>
          <w:r>
            <w:t>Another study exposed mice to e-cigarette vapour and found increased</w:t>
          </w:r>
          <w:r w:rsidRPr="005F3F92">
            <w:t xml:space="preserve"> DNA adducts in their lungs</w:t>
          </w:r>
          <w:r>
            <w:t xml:space="preserve"> and decreased DNA repair proteins compared to room air </w:t>
          </w:r>
          <w:r>
            <w:fldChar w:fldCharType="begin">
              <w:fldData xml:space="preserve">PEVuZE5vdGU+PENpdGU+PEF1dGhvcj5MZWU8L0F1dGhvcj48WWVhcj4yMDE4PC9ZZWFyPjxSZWNO
dW0+NjI3PC9SZWNOdW0+PERpc3BsYXlUZXh0PihMZWUsIFBhcmsgZXQgYWwuIDIwMTgpPC9EaXNw
bGF5VGV4dD48cmVjb3JkPjxyZWMtbnVtYmVyPjYyNzwvcmVjLW51bWJlcj48Zm9yZWlnbi1rZXlz
PjxrZXkgYXBwPSJFTiIgZGItaWQ9Ijl6MDVkejBwcmFhZGZ1ZWUwem94emVkazl6ZmU1Znh4NTB6
NSIgdGltZXN0YW1wPSIxNTIxNTA2ODczIj42Mjc8L2tleT48L2ZvcmVpZ24ta2V5cz48cmVmLXR5
cGUgbmFtZT0iSm91cm5hbCBBcnRpY2xlIj4xNzwvcmVmLXR5cGU+PGNvbnRyaWJ1dG9ycz48YXV0
aG9ycz48YXV0aG9yPkxlZSwgSC4gVy48L2F1dGhvcj48YXV0aG9yPlBhcmssIFMuIEguPC9hdXRo
b3I+PGF1dGhvcj5XZW5nLCBNLiBXLjwvYXV0aG9yPjxhdXRob3I+V2FuZywgSC4gVC48L2F1dGhv
cj48YXV0aG9yPkh1YW5nLCBXLiBDLjwvYXV0aG9yPjxhdXRob3I+TGVwb3IsIEguPC9hdXRob3I+
PGF1dGhvcj5XdSwgWC4gUi48L2F1dGhvcj48YXV0aG9yPkNoZW4sIEwuIEMuPC9hdXRob3I+PGF1
dGhvcj5UYW5nLCBNLiBTLjwvYXV0aG9yPjwvYXV0aG9ycz48L2NvbnRyaWJ1dG9ycz48YXV0aC1h
ZGRyZXNzPkRlcGFydG1lbnQgb2YgRW52aXJvbm1lbnRhbCBNZWRpY2luZSwgTmV3IFlvcmsgVW5p
dmVyc2l0eSBTY2hvb2wgb2YgTWVkaWNpbmUsIFR1eGVkbyBQYXJrLCBOWSAxMDk4Ny4mI3hEO0Rl
cGFydG1lbnQgb2YgVXJvbG9neSwgTmV3IFlvcmsgVW5pdmVyc2l0eSBTY2hvb2wgb2YgTWVkaWNp
bmUsIE5ldyBZb3JrLCBOWSAxMDAxNi4mI3hEO0RlcGFydG1lbnQgb2YgRW52aXJvbm1lbnRhbCBN
ZWRpY2luZSwgTmV3IFlvcmsgVW5pdmVyc2l0eSBTY2hvb2wgb2YgTWVkaWNpbmUsIFR1eGVkbyBQ
YXJrLCBOWSAxMDk4NzsgbW9vbi1zaG9uZy50YW5nQG55dW1jLm9yZy48L2F1dGgtYWRkcmVzcz48
dGl0bGVzPjx0aXRsZT5FLWNpZ2FyZXR0ZSBzbW9rZSBkYW1hZ2VzIEROQSBhbmQgcmVkdWNlcyBy
ZXBhaXIgYWN0aXZpdHkgaW4gbW91c2UgbHVuZywgaGVhcnQsIGFuZCBibGFkZGVyIGFzIHdlbGwg
YXMgaW4gaHVtYW4gbHVuZyBhbmQgYmxhZGRlciBjZWxsczwvdGl0bGU+PHNlY29uZGFyeS10aXRs
ZT5Qcm9jIE5hdGwgQWNhZCBTY2kgVSBTIEE8L3NlY29uZGFyeS10aXRsZT48YWx0LXRpdGxlPlBy
b2NlZWRpbmdzIG9mIHRoZSBOYXRpb25hbCBBY2FkZW15IG9mIFNjaWVuY2VzIG9mIHRoZSBVbml0
ZWQgU3RhdGVzIG9mIEFtZXJpY2E8L2FsdC10aXRsZT48L3RpdGxlcz48cGVyaW9kaWNhbD48ZnVs
bC10aXRsZT5Qcm9jIE5hdGwgQWNhZCBTY2kgVSBTIEE8L2Z1bGwtdGl0bGU+PGFiYnItMT5Qcm9j
ZWVkaW5ncyBvZiB0aGUgTmF0aW9uYWwgQWNhZGVteSBvZiBTY2llbmNlcyBvZiB0aGUgVW5pdGVk
IFN0YXRlcyBvZiBBbWVyaWNhPC9hYmJyLTE+PC9wZXJpb2RpY2FsPjxhbHQtcGVyaW9kaWNhbD48
ZnVsbC10aXRsZT5Qcm9jIE5hdGwgQWNhZCBTY2kgVSBTIEE8L2Z1bGwtdGl0bGU+PGFiYnItMT5Q
cm9jZWVkaW5ncyBvZiB0aGUgTmF0aW9uYWwgQWNhZGVteSBvZiBTY2llbmNlcyBvZiB0aGUgVW5p
dGVkIFN0YXRlcyBvZiBBbWVyaWNhPC9hYmJyLTE+PC9hbHQtcGVyaW9kaWNhbD48cGFnZXM+RTE1
NjAtZTE1Njk8L3BhZ2VzPjx2b2x1bWU+MTE1PC92b2x1bWU+PG51bWJlcj43PC9udW1iZXI+PGVk
aXRpb24+MjAxOC8wMS8zMTwvZWRpdGlvbj48a2V5d29yZHM+PGtleXdvcmQ+RE5BIGRhbWFnZTwv
a2V5d29yZD48a2V5d29yZD5ETkEgcmVwYWlyPC9rZXl3b3JkPjxrZXl3b3JkPkUtY2lnYXJldHRl
czwva2V5d29yZD48a2V5d29yZD5jYW5jZXI8L2tleXdvcmQ+PGtleXdvcmQ+bHVuZy1ibGFkZGVy
LWhlYXJ0PC9rZXl3b3JkPjwva2V5d29yZHM+PGRhdGVzPjx5ZWFyPjIwMTg8L3llYXI+PHB1Yi1k
YXRlcz48ZGF0ZT5GZWIgMTM8L2RhdGU+PC9wdWItZGF0ZXM+PC9kYXRlcz48aXNibj4wMDI3LTg0
MjQ8L2lzYm4+PGFjY2Vzc2lvbi1udW0+MjkzNzg5NDM8L2FjY2Vzc2lvbi1udW0+PHVybHM+PHJl
bGF0ZWQtdXJscz48dXJsPmh0dHA6Ly93d3cucG5hcy5vcmcvY29udGVudC9wbmFzLzExNS83L0Ux
NTYwLmZ1bGwucGRmPC91cmw+PC9yZWxhdGVkLXVybHM+PC91cmxzPjxjdXN0b20yPlBNQzU4MTYx
OTE8L2N1c3RvbTI+PGVsZWN0cm9uaWMtcmVzb3VyY2UtbnVtPjEwLjEwNzMvcG5hcy4xNzE4MTg1
MTE1PC9lbGVjdHJvbmljLXJlc291cmNlLW51bT48cmVtb3RlLWRhdGFiYXNlLXByb3ZpZGVyPk5M
TTwvcmVtb3RlLWRhdGFiYXNlLXByb3ZpZGVyPjxsYW5ndWFnZT5lbmc8L2xhbmd1YWdlPjwvcmVj
b3JkPjwvQ2l0ZT48L0VuZE5vdGU+
</w:fldData>
            </w:fldChar>
          </w:r>
          <w:r>
            <w:instrText xml:space="preserve"> ADDIN EN.CITE </w:instrText>
          </w:r>
          <w:r>
            <w:fldChar w:fldCharType="begin">
              <w:fldData xml:space="preserve">PEVuZE5vdGU+PENpdGU+PEF1dGhvcj5MZWU8L0F1dGhvcj48WWVhcj4yMDE4PC9ZZWFyPjxSZWNO
dW0+NjI3PC9SZWNOdW0+PERpc3BsYXlUZXh0PihMZWUsIFBhcmsgZXQgYWwuIDIwMTgpPC9EaXNw
bGF5VGV4dD48cmVjb3JkPjxyZWMtbnVtYmVyPjYyNzwvcmVjLW51bWJlcj48Zm9yZWlnbi1rZXlz
PjxrZXkgYXBwPSJFTiIgZGItaWQ9Ijl6MDVkejBwcmFhZGZ1ZWUwem94emVkazl6ZmU1Znh4NTB6
NSIgdGltZXN0YW1wPSIxNTIxNTA2ODczIj42Mjc8L2tleT48L2ZvcmVpZ24ta2V5cz48cmVmLXR5
cGUgbmFtZT0iSm91cm5hbCBBcnRpY2xlIj4xNzwvcmVmLXR5cGU+PGNvbnRyaWJ1dG9ycz48YXV0
aG9ycz48YXV0aG9yPkxlZSwgSC4gVy48L2F1dGhvcj48YXV0aG9yPlBhcmssIFMuIEguPC9hdXRo
b3I+PGF1dGhvcj5XZW5nLCBNLiBXLjwvYXV0aG9yPjxhdXRob3I+V2FuZywgSC4gVC48L2F1dGhv
cj48YXV0aG9yPkh1YW5nLCBXLiBDLjwvYXV0aG9yPjxhdXRob3I+TGVwb3IsIEguPC9hdXRob3I+
PGF1dGhvcj5XdSwgWC4gUi48L2F1dGhvcj48YXV0aG9yPkNoZW4sIEwuIEMuPC9hdXRob3I+PGF1
dGhvcj5UYW5nLCBNLiBTLjwvYXV0aG9yPjwvYXV0aG9ycz48L2NvbnRyaWJ1dG9ycz48YXV0aC1h
ZGRyZXNzPkRlcGFydG1lbnQgb2YgRW52aXJvbm1lbnRhbCBNZWRpY2luZSwgTmV3IFlvcmsgVW5p
dmVyc2l0eSBTY2hvb2wgb2YgTWVkaWNpbmUsIFR1eGVkbyBQYXJrLCBOWSAxMDk4Ny4mI3hEO0Rl
cGFydG1lbnQgb2YgVXJvbG9neSwgTmV3IFlvcmsgVW5pdmVyc2l0eSBTY2hvb2wgb2YgTWVkaWNp
bmUsIE5ldyBZb3JrLCBOWSAxMDAxNi4mI3hEO0RlcGFydG1lbnQgb2YgRW52aXJvbm1lbnRhbCBN
ZWRpY2luZSwgTmV3IFlvcmsgVW5pdmVyc2l0eSBTY2hvb2wgb2YgTWVkaWNpbmUsIFR1eGVkbyBQ
YXJrLCBOWSAxMDk4NzsgbW9vbi1zaG9uZy50YW5nQG55dW1jLm9yZy48L2F1dGgtYWRkcmVzcz48
dGl0bGVzPjx0aXRsZT5FLWNpZ2FyZXR0ZSBzbW9rZSBkYW1hZ2VzIEROQSBhbmQgcmVkdWNlcyBy
ZXBhaXIgYWN0aXZpdHkgaW4gbW91c2UgbHVuZywgaGVhcnQsIGFuZCBibGFkZGVyIGFzIHdlbGwg
YXMgaW4gaHVtYW4gbHVuZyBhbmQgYmxhZGRlciBjZWxsczwvdGl0bGU+PHNlY29uZGFyeS10aXRs
ZT5Qcm9jIE5hdGwgQWNhZCBTY2kgVSBTIEE8L3NlY29uZGFyeS10aXRsZT48YWx0LXRpdGxlPlBy
b2NlZWRpbmdzIG9mIHRoZSBOYXRpb25hbCBBY2FkZW15IG9mIFNjaWVuY2VzIG9mIHRoZSBVbml0
ZWQgU3RhdGVzIG9mIEFtZXJpY2E8L2FsdC10aXRsZT48L3RpdGxlcz48cGVyaW9kaWNhbD48ZnVs
bC10aXRsZT5Qcm9jIE5hdGwgQWNhZCBTY2kgVSBTIEE8L2Z1bGwtdGl0bGU+PGFiYnItMT5Qcm9j
ZWVkaW5ncyBvZiB0aGUgTmF0aW9uYWwgQWNhZGVteSBvZiBTY2llbmNlcyBvZiB0aGUgVW5pdGVk
IFN0YXRlcyBvZiBBbWVyaWNhPC9hYmJyLTE+PC9wZXJpb2RpY2FsPjxhbHQtcGVyaW9kaWNhbD48
ZnVsbC10aXRsZT5Qcm9jIE5hdGwgQWNhZCBTY2kgVSBTIEE8L2Z1bGwtdGl0bGU+PGFiYnItMT5Q
cm9jZWVkaW5ncyBvZiB0aGUgTmF0aW9uYWwgQWNhZGVteSBvZiBTY2llbmNlcyBvZiB0aGUgVW5p
dGVkIFN0YXRlcyBvZiBBbWVyaWNhPC9hYmJyLTE+PC9hbHQtcGVyaW9kaWNhbD48cGFnZXM+RTE1
NjAtZTE1Njk8L3BhZ2VzPjx2b2x1bWU+MTE1PC92b2x1bWU+PG51bWJlcj43PC9udW1iZXI+PGVk
aXRpb24+MjAxOC8wMS8zMTwvZWRpdGlvbj48a2V5d29yZHM+PGtleXdvcmQ+RE5BIGRhbWFnZTwv
a2V5d29yZD48a2V5d29yZD5ETkEgcmVwYWlyPC9rZXl3b3JkPjxrZXl3b3JkPkUtY2lnYXJldHRl
czwva2V5d29yZD48a2V5d29yZD5jYW5jZXI8L2tleXdvcmQ+PGtleXdvcmQ+bHVuZy1ibGFkZGVy
LWhlYXJ0PC9rZXl3b3JkPjwva2V5d29yZHM+PGRhdGVzPjx5ZWFyPjIwMTg8L3llYXI+PHB1Yi1k
YXRlcz48ZGF0ZT5GZWIgMTM8L2RhdGU+PC9wdWItZGF0ZXM+PC9kYXRlcz48aXNibj4wMDI3LTg0
MjQ8L2lzYm4+PGFjY2Vzc2lvbi1udW0+MjkzNzg5NDM8L2FjY2Vzc2lvbi1udW0+PHVybHM+PHJl
bGF0ZWQtdXJscz48dXJsPmh0dHA6Ly93d3cucG5hcy5vcmcvY29udGVudC9wbmFzLzExNS83L0Ux
NTYwLmZ1bGwucGRmPC91cmw+PC9yZWxhdGVkLXVybHM+PC91cmxzPjxjdXN0b20yPlBNQzU4MTYx
OTE8L2N1c3RvbTI+PGVsZWN0cm9uaWMtcmVzb3VyY2UtbnVtPjEwLjEwNzMvcG5hcy4xNzE4MTg1
MTE1PC9lbGVjdHJvbmljLXJlc291cmNlLW51bT48cmVtb3RlLWRhdGFiYXNlLXByb3ZpZGVyPk5M
TTwvcmVtb3RlLWRhdGFiYXNlLXByb3ZpZGVyPjxsYW5ndWFnZT5lbmc8L2xhbmd1YWdlPjwvcmVj
b3JkPjwvQ2l0ZT48L0VuZE5vdGU+
</w:fldData>
            </w:fldChar>
          </w:r>
          <w:r>
            <w:instrText xml:space="preserve"> ADDIN EN.CITE.DATA </w:instrText>
          </w:r>
          <w:r>
            <w:fldChar w:fldCharType="end"/>
          </w:r>
          <w:r>
            <w:fldChar w:fldCharType="separate"/>
          </w:r>
          <w:r>
            <w:rPr>
              <w:noProof/>
            </w:rPr>
            <w:t>(Lee, Park et al. 2018)</w:t>
          </w:r>
          <w:r>
            <w:fldChar w:fldCharType="end"/>
          </w:r>
          <w:r>
            <w:t xml:space="preserve">. In this study, higher </w:t>
          </w:r>
          <w:r w:rsidRPr="005F3F92">
            <w:t>quantities of DNA adducts were found in the lungs</w:t>
          </w:r>
          <w:r>
            <w:t xml:space="preserve"> compared with the bladder, liver and heart </w:t>
          </w:r>
          <w:r>
            <w:fldChar w:fldCharType="begin">
              <w:fldData xml:space="preserve">PEVuZE5vdGU+PENpdGU+PEF1dGhvcj5MZWU8L0F1dGhvcj48WWVhcj4yMDE4PC9ZZWFyPjxSZWNO
dW0+NjI3PC9SZWNOdW0+PERpc3BsYXlUZXh0PihMZWUsIFBhcmsgZXQgYWwuIDIwMTgpPC9EaXNw
bGF5VGV4dD48cmVjb3JkPjxyZWMtbnVtYmVyPjYyNzwvcmVjLW51bWJlcj48Zm9yZWlnbi1rZXlz
PjxrZXkgYXBwPSJFTiIgZGItaWQ9Ijl6MDVkejBwcmFhZGZ1ZWUwem94emVkazl6ZmU1Znh4NTB6
NSIgdGltZXN0YW1wPSIxNTIxNTA2ODczIj42Mjc8L2tleT48L2ZvcmVpZ24ta2V5cz48cmVmLXR5
cGUgbmFtZT0iSm91cm5hbCBBcnRpY2xlIj4xNzwvcmVmLXR5cGU+PGNvbnRyaWJ1dG9ycz48YXV0
aG9ycz48YXV0aG9yPkxlZSwgSC4gVy48L2F1dGhvcj48YXV0aG9yPlBhcmssIFMuIEguPC9hdXRo
b3I+PGF1dGhvcj5XZW5nLCBNLiBXLjwvYXV0aG9yPjxhdXRob3I+V2FuZywgSC4gVC48L2F1dGhv
cj48YXV0aG9yPkh1YW5nLCBXLiBDLjwvYXV0aG9yPjxhdXRob3I+TGVwb3IsIEguPC9hdXRob3I+
PGF1dGhvcj5XdSwgWC4gUi48L2F1dGhvcj48YXV0aG9yPkNoZW4sIEwuIEMuPC9hdXRob3I+PGF1
dGhvcj5UYW5nLCBNLiBTLjwvYXV0aG9yPjwvYXV0aG9ycz48L2NvbnRyaWJ1dG9ycz48YXV0aC1h
ZGRyZXNzPkRlcGFydG1lbnQgb2YgRW52aXJvbm1lbnRhbCBNZWRpY2luZSwgTmV3IFlvcmsgVW5p
dmVyc2l0eSBTY2hvb2wgb2YgTWVkaWNpbmUsIFR1eGVkbyBQYXJrLCBOWSAxMDk4Ny4mI3hEO0Rl
cGFydG1lbnQgb2YgVXJvbG9neSwgTmV3IFlvcmsgVW5pdmVyc2l0eSBTY2hvb2wgb2YgTWVkaWNp
bmUsIE5ldyBZb3JrLCBOWSAxMDAxNi4mI3hEO0RlcGFydG1lbnQgb2YgRW52aXJvbm1lbnRhbCBN
ZWRpY2luZSwgTmV3IFlvcmsgVW5pdmVyc2l0eSBTY2hvb2wgb2YgTWVkaWNpbmUsIFR1eGVkbyBQ
YXJrLCBOWSAxMDk4NzsgbW9vbi1zaG9uZy50YW5nQG55dW1jLm9yZy48L2F1dGgtYWRkcmVzcz48
dGl0bGVzPjx0aXRsZT5FLWNpZ2FyZXR0ZSBzbW9rZSBkYW1hZ2VzIEROQSBhbmQgcmVkdWNlcyBy
ZXBhaXIgYWN0aXZpdHkgaW4gbW91c2UgbHVuZywgaGVhcnQsIGFuZCBibGFkZGVyIGFzIHdlbGwg
YXMgaW4gaHVtYW4gbHVuZyBhbmQgYmxhZGRlciBjZWxsczwvdGl0bGU+PHNlY29uZGFyeS10aXRs
ZT5Qcm9jIE5hdGwgQWNhZCBTY2kgVSBTIEE8L3NlY29uZGFyeS10aXRsZT48YWx0LXRpdGxlPlBy
b2NlZWRpbmdzIG9mIHRoZSBOYXRpb25hbCBBY2FkZW15IG9mIFNjaWVuY2VzIG9mIHRoZSBVbml0
ZWQgU3RhdGVzIG9mIEFtZXJpY2E8L2FsdC10aXRsZT48L3RpdGxlcz48cGVyaW9kaWNhbD48ZnVs
bC10aXRsZT5Qcm9jIE5hdGwgQWNhZCBTY2kgVSBTIEE8L2Z1bGwtdGl0bGU+PGFiYnItMT5Qcm9j
ZWVkaW5ncyBvZiB0aGUgTmF0aW9uYWwgQWNhZGVteSBvZiBTY2llbmNlcyBvZiB0aGUgVW5pdGVk
IFN0YXRlcyBvZiBBbWVyaWNhPC9hYmJyLTE+PC9wZXJpb2RpY2FsPjxhbHQtcGVyaW9kaWNhbD48
ZnVsbC10aXRsZT5Qcm9jIE5hdGwgQWNhZCBTY2kgVSBTIEE8L2Z1bGwtdGl0bGU+PGFiYnItMT5Q
cm9jZWVkaW5ncyBvZiB0aGUgTmF0aW9uYWwgQWNhZGVteSBvZiBTY2llbmNlcyBvZiB0aGUgVW5p
dGVkIFN0YXRlcyBvZiBBbWVyaWNhPC9hYmJyLTE+PC9hbHQtcGVyaW9kaWNhbD48cGFnZXM+RTE1
NjAtZTE1Njk8L3BhZ2VzPjx2b2x1bWU+MTE1PC92b2x1bWU+PG51bWJlcj43PC9udW1iZXI+PGVk
aXRpb24+MjAxOC8wMS8zMTwvZWRpdGlvbj48a2V5d29yZHM+PGtleXdvcmQ+RE5BIGRhbWFnZTwv
a2V5d29yZD48a2V5d29yZD5ETkEgcmVwYWlyPC9rZXl3b3JkPjxrZXl3b3JkPkUtY2lnYXJldHRl
czwva2V5d29yZD48a2V5d29yZD5jYW5jZXI8L2tleXdvcmQ+PGtleXdvcmQ+bHVuZy1ibGFkZGVy
LWhlYXJ0PC9rZXl3b3JkPjwva2V5d29yZHM+PGRhdGVzPjx5ZWFyPjIwMTg8L3llYXI+PHB1Yi1k
YXRlcz48ZGF0ZT5GZWIgMTM8L2RhdGU+PC9wdWItZGF0ZXM+PC9kYXRlcz48aXNibj4wMDI3LTg0
MjQ8L2lzYm4+PGFjY2Vzc2lvbi1udW0+MjkzNzg5NDM8L2FjY2Vzc2lvbi1udW0+PHVybHM+PHJl
bGF0ZWQtdXJscz48dXJsPmh0dHA6Ly93d3cucG5hcy5vcmcvY29udGVudC9wbmFzLzExNS83L0Ux
NTYwLmZ1bGwucGRmPC91cmw+PC9yZWxhdGVkLXVybHM+PC91cmxzPjxjdXN0b20yPlBNQzU4MTYx
OTE8L2N1c3RvbTI+PGVsZWN0cm9uaWMtcmVzb3VyY2UtbnVtPjEwLjEwNzMvcG5hcy4xNzE4MTg1
MTE1PC9lbGVjdHJvbmljLXJlc291cmNlLW51bT48cmVtb3RlLWRhdGFiYXNlLXByb3ZpZGVyPk5M
TTwvcmVtb3RlLWRhdGFiYXNlLXByb3ZpZGVyPjxsYW5ndWFnZT5lbmc8L2xhbmd1YWdlPjwvcmVj
b3JkPjwvQ2l0ZT48L0VuZE5vdGU+
</w:fldData>
            </w:fldChar>
          </w:r>
          <w:r>
            <w:instrText xml:space="preserve"> ADDIN EN.CITE </w:instrText>
          </w:r>
          <w:r>
            <w:fldChar w:fldCharType="begin">
              <w:fldData xml:space="preserve">PEVuZE5vdGU+PENpdGU+PEF1dGhvcj5MZWU8L0F1dGhvcj48WWVhcj4yMDE4PC9ZZWFyPjxSZWNO
dW0+NjI3PC9SZWNOdW0+PERpc3BsYXlUZXh0PihMZWUsIFBhcmsgZXQgYWwuIDIwMTgpPC9EaXNw
bGF5VGV4dD48cmVjb3JkPjxyZWMtbnVtYmVyPjYyNzwvcmVjLW51bWJlcj48Zm9yZWlnbi1rZXlz
PjxrZXkgYXBwPSJFTiIgZGItaWQ9Ijl6MDVkejBwcmFhZGZ1ZWUwem94emVkazl6ZmU1Znh4NTB6
NSIgdGltZXN0YW1wPSIxNTIxNTA2ODczIj42Mjc8L2tleT48L2ZvcmVpZ24ta2V5cz48cmVmLXR5
cGUgbmFtZT0iSm91cm5hbCBBcnRpY2xlIj4xNzwvcmVmLXR5cGU+PGNvbnRyaWJ1dG9ycz48YXV0
aG9ycz48YXV0aG9yPkxlZSwgSC4gVy48L2F1dGhvcj48YXV0aG9yPlBhcmssIFMuIEguPC9hdXRo
b3I+PGF1dGhvcj5XZW5nLCBNLiBXLjwvYXV0aG9yPjxhdXRob3I+V2FuZywgSC4gVC48L2F1dGhv
cj48YXV0aG9yPkh1YW5nLCBXLiBDLjwvYXV0aG9yPjxhdXRob3I+TGVwb3IsIEguPC9hdXRob3I+
PGF1dGhvcj5XdSwgWC4gUi48L2F1dGhvcj48YXV0aG9yPkNoZW4sIEwuIEMuPC9hdXRob3I+PGF1
dGhvcj5UYW5nLCBNLiBTLjwvYXV0aG9yPjwvYXV0aG9ycz48L2NvbnRyaWJ1dG9ycz48YXV0aC1h
ZGRyZXNzPkRlcGFydG1lbnQgb2YgRW52aXJvbm1lbnRhbCBNZWRpY2luZSwgTmV3IFlvcmsgVW5p
dmVyc2l0eSBTY2hvb2wgb2YgTWVkaWNpbmUsIFR1eGVkbyBQYXJrLCBOWSAxMDk4Ny4mI3hEO0Rl
cGFydG1lbnQgb2YgVXJvbG9neSwgTmV3IFlvcmsgVW5pdmVyc2l0eSBTY2hvb2wgb2YgTWVkaWNp
bmUsIE5ldyBZb3JrLCBOWSAxMDAxNi4mI3hEO0RlcGFydG1lbnQgb2YgRW52aXJvbm1lbnRhbCBN
ZWRpY2luZSwgTmV3IFlvcmsgVW5pdmVyc2l0eSBTY2hvb2wgb2YgTWVkaWNpbmUsIFR1eGVkbyBQ
YXJrLCBOWSAxMDk4NzsgbW9vbi1zaG9uZy50YW5nQG55dW1jLm9yZy48L2F1dGgtYWRkcmVzcz48
dGl0bGVzPjx0aXRsZT5FLWNpZ2FyZXR0ZSBzbW9rZSBkYW1hZ2VzIEROQSBhbmQgcmVkdWNlcyBy
ZXBhaXIgYWN0aXZpdHkgaW4gbW91c2UgbHVuZywgaGVhcnQsIGFuZCBibGFkZGVyIGFzIHdlbGwg
YXMgaW4gaHVtYW4gbHVuZyBhbmQgYmxhZGRlciBjZWxsczwvdGl0bGU+PHNlY29uZGFyeS10aXRs
ZT5Qcm9jIE5hdGwgQWNhZCBTY2kgVSBTIEE8L3NlY29uZGFyeS10aXRsZT48YWx0LXRpdGxlPlBy
b2NlZWRpbmdzIG9mIHRoZSBOYXRpb25hbCBBY2FkZW15IG9mIFNjaWVuY2VzIG9mIHRoZSBVbml0
ZWQgU3RhdGVzIG9mIEFtZXJpY2E8L2FsdC10aXRsZT48L3RpdGxlcz48cGVyaW9kaWNhbD48ZnVs
bC10aXRsZT5Qcm9jIE5hdGwgQWNhZCBTY2kgVSBTIEE8L2Z1bGwtdGl0bGU+PGFiYnItMT5Qcm9j
ZWVkaW5ncyBvZiB0aGUgTmF0aW9uYWwgQWNhZGVteSBvZiBTY2llbmNlcyBvZiB0aGUgVW5pdGVk
IFN0YXRlcyBvZiBBbWVyaWNhPC9hYmJyLTE+PC9wZXJpb2RpY2FsPjxhbHQtcGVyaW9kaWNhbD48
ZnVsbC10aXRsZT5Qcm9jIE5hdGwgQWNhZCBTY2kgVSBTIEE8L2Z1bGwtdGl0bGU+PGFiYnItMT5Q
cm9jZWVkaW5ncyBvZiB0aGUgTmF0aW9uYWwgQWNhZGVteSBvZiBTY2llbmNlcyBvZiB0aGUgVW5p
dGVkIFN0YXRlcyBvZiBBbWVyaWNhPC9hYmJyLTE+PC9hbHQtcGVyaW9kaWNhbD48cGFnZXM+RTE1
NjAtZTE1Njk8L3BhZ2VzPjx2b2x1bWU+MTE1PC92b2x1bWU+PG51bWJlcj43PC9udW1iZXI+PGVk
aXRpb24+MjAxOC8wMS8zMTwvZWRpdGlvbj48a2V5d29yZHM+PGtleXdvcmQ+RE5BIGRhbWFnZTwv
a2V5d29yZD48a2V5d29yZD5ETkEgcmVwYWlyPC9rZXl3b3JkPjxrZXl3b3JkPkUtY2lnYXJldHRl
czwva2V5d29yZD48a2V5d29yZD5jYW5jZXI8L2tleXdvcmQ+PGtleXdvcmQ+bHVuZy1ibGFkZGVy
LWhlYXJ0PC9rZXl3b3JkPjwva2V5d29yZHM+PGRhdGVzPjx5ZWFyPjIwMTg8L3llYXI+PHB1Yi1k
YXRlcz48ZGF0ZT5GZWIgMTM8L2RhdGU+PC9wdWItZGF0ZXM+PC9kYXRlcz48aXNibj4wMDI3LTg0
MjQ8L2lzYm4+PGFjY2Vzc2lvbi1udW0+MjkzNzg5NDM8L2FjY2Vzc2lvbi1udW0+PHVybHM+PHJl
bGF0ZWQtdXJscz48dXJsPmh0dHA6Ly93d3cucG5hcy5vcmcvY29udGVudC9wbmFzLzExNS83L0Ux
NTYwLmZ1bGwucGRmPC91cmw+PC9yZWxhdGVkLXVybHM+PC91cmxzPjxjdXN0b20yPlBNQzU4MTYx
OTE8L2N1c3RvbTI+PGVsZWN0cm9uaWMtcmVzb3VyY2UtbnVtPjEwLjEwNzMvcG5hcy4xNzE4MTg1
MTE1PC9lbGVjdHJvbmljLXJlc291cmNlLW51bT48cmVtb3RlLWRhdGFiYXNlLXByb3ZpZGVyPk5M
TTwvcmVtb3RlLWRhdGFiYXNlLXByb3ZpZGVyPjxsYW5ndWFnZT5lbmc8L2xhbmd1YWdlPjwvcmVj
b3JkPjwvQ2l0ZT48L0VuZE5vdGU+
</w:fldData>
            </w:fldChar>
          </w:r>
          <w:r>
            <w:instrText xml:space="preserve"> ADDIN EN.CITE.DATA </w:instrText>
          </w:r>
          <w:r>
            <w:fldChar w:fldCharType="end"/>
          </w:r>
          <w:r>
            <w:fldChar w:fldCharType="separate"/>
          </w:r>
          <w:r>
            <w:rPr>
              <w:noProof/>
            </w:rPr>
            <w:t>(Lee, Park et al. 2018)</w:t>
          </w:r>
          <w:r>
            <w:fldChar w:fldCharType="end"/>
          </w:r>
          <w:r w:rsidRPr="005F3F92">
            <w:t>.</w:t>
          </w:r>
          <w:r>
            <w:t xml:space="preserve"> </w:t>
          </w:r>
        </w:p>
        <w:p w14:paraId="5C551826" w14:textId="77777777" w:rsidR="00EA2246" w:rsidRDefault="00EA2246" w:rsidP="00EA2246">
          <w:pPr>
            <w:pStyle w:val="BodyText"/>
          </w:pPr>
          <w:r>
            <w:t xml:space="preserve">In a study by Phillips and collegues, female rats exposed to nicotine-containing e-cigarette vapour had slightly higher inflammation indicators in the lungs (macrophage and total cell counts) </w:t>
          </w:r>
          <w:r>
            <w:fldChar w:fldCharType="begin">
              <w:fldData xml:space="preserve">PEVuZE5vdGU+PENpdGU+PEF1dGhvcj5QaGlsbGlwczwvQXV0aG9yPjxZZWFyPjIwMTc8L1llYXI+
PFJlY051bT45Mjg8L1JlY051bT48RGlzcGxheVRleHQ+KFBoaWxsaXBzLCBUaXR6IGV0IGFsLiAy
MDE3KTwvRGlzcGxheVRleHQ+PHJlY29yZD48cmVjLW51bWJlcj45Mjg8L3JlYy1udW1iZXI+PGZv
cmVpZ24ta2V5cz48a2V5IGFwcD0iRU4iIGRiLWlkPSI5ejA1ZHowcHJhYWRmdWVlMHpveHplZGs5
emZlNWZ4eDUwejUiIHRpbWVzdGFtcD0iMTUyMTUwNjk2MCI+OTI4PC9rZXk+PC9mb3JlaWduLWtl
eXM+PHJlZi10eXBlIG5hbWU9IkpvdXJuYWwgQXJ0aWNsZSI+MTc8L3JlZi10eXBlPjxjb250cmli
dXRvcnM+PGF1dGhvcnM+PGF1dGhvcj5QaGlsbGlwcywgQi48L2F1dGhvcj48YXV0aG9yPlRpdHos
IEIuPC9hdXRob3I+PGF1dGhvcj5Lb2dlbCwgVS48L2F1dGhvcj48YXV0aG9yPlNoYXJtYSwgRC48
L2F1dGhvcj48YXV0aG9yPkxlcm95LCBQLjwvYXV0aG9yPjxhdXRob3I+WGlhbmcsIFkuPC9hdXRo
b3I+PGF1dGhvcj5WdWlsbGF1bWUsIEcuPC9hdXRob3I+PGF1dGhvcj5MZWJydW4sIFMuPC9hdXRo
b3I+PGF1dGhvcj5TY2l1c2NpbywgRC48L2F1dGhvcj48YXV0aG9yPkhvLCBKLjwvYXV0aG9yPjxh
dXRob3I+TnVyeSwgQy48L2F1dGhvcj48YXV0aG9yPkd1ZWRqLCBFLjwvYXV0aG9yPjxhdXRob3I+
RWxhbWluLCBBLjwvYXV0aG9yPjxhdXRob3I+RXNwb3NpdG8sIE0uPC9hdXRob3I+PGF1dGhvcj5L
cmlzaG5hbiwgUy48L2F1dGhvcj48YXV0aG9yPlNjaGxhZ2UsIFcuIEsuPC9hdXRob3I+PGF1dGhv
cj5WZWxqa292aWMsIEUuPC9hdXRob3I+PGF1dGhvcj5JdmFub3YsIE4uIFYuPC9hdXRob3I+PGF1
dGhvcj5NYXJ0aW4sIEYuPC9hdXRob3I+PGF1dGhvcj5QZWl0c2NoLCBNLiBDLjwvYXV0aG9yPjxh
dXRob3I+SG9lbmcsIEouPC9hdXRob3I+PGF1dGhvcj5WYW5zY2hlZXV3aWpjaywgUC48L2F1dGhv
cj48L2F1dGhvcnM+PC9jb250cmlidXRvcnM+PGF1dGgtYWRkcmVzcz5QaGlsaXAgTW9ycmlzIElu
dGVybmF0aW9uYWwgUmVzZWFyY2ggTGFib3JhdG9yaWVzIFB0ZS4gTHRkLiAocGFydCBvZiBQaGls
aXAgTW9ycmlzIEludGVybmF0aW9uYWwgR3JvdXAgb2YgQ29tcGFuaWVzKSwgNTAgU2NpZW5jZSBQ
YXJrIFJvYWQsIFNpbmdhcG9yZSAxMTc0MDYsIFNpbmdhcG9yZS4mI3hEO1BoaWxpcCBNb3JyaXMg
SW50ZXJuYXRpb25hbCBSZXNlYXJjaCBhbmQgRGV2ZWxvcG1lbnQgKHBhcnQgb2YgUGhpbGlwIE1v
cnJpcyBJbnRlcm5hdGlvbmFsIEdyb3VwIG9mIENvbXBhbmllcyksIFBoaWxpcCBNb3JyaXMgUHJv
ZHVjdHMgUy5BLiwgUXVhaSBKZWFucmVuYXVkIDUsIDIwMDAgTmV1Y2hhdGVsLCBTd2l0emVybGFu
ZC4mI3hEO0Jpb2xvZ3kgQ29uc3VsdGFudCwgTWF4LUJhZXJtYW5uLVN0ci4gMjEsIDUxNDI5IEJl
cmdpc2NoIEdsYWRiYWNoLCBHZXJtYW55LiYjeEQ7UGhpbGlwIE1vcnJpcyBJbnRlcm5hdGlvbmFs
IFJlc2VhcmNoIGFuZCBEZXZlbG9wbWVudCAocGFydCBvZiBQaGlsaXAgTW9ycmlzIEludGVybmF0
aW9uYWwgR3JvdXAgb2YgQ29tcGFuaWVzKSwgUGhpbGlwIE1vcnJpcyBQcm9kdWN0cyBTLkEuLCBR
dWFpIEplYW5yZW5hdWQgNSwgMjAwMCBOZXVjaGF0ZWwsIFN3aXR6ZXJsYW5kLiBFbGVjdHJvbmlj
IGFkZHJlc3M6IFBhdHJpY2sudmFuc2NoZWV1d2lqY2tAcG1pLmNvbS48L2F1dGgtYWRkcmVzcz48
dGl0bGVzPjx0aXRsZT5Ub3hpY2l0eSBvZiB0aGUgbWFpbiBlbGVjdHJvbmljIGNpZ2FyZXR0ZSBj
b21wb25lbnRzLCBwcm9weWxlbmUgZ2x5Y29sLCBnbHljZXJpbiwgYW5kIG5pY290aW5lLCBpbiBT
cHJhZ3VlLURhd2xleSByYXRzIGluIGEgOTAtZGF5IE9FQ0QgaW5oYWxhdGlvbiBzdHVkeSBjb21w
bGVtZW50ZWQgYnkgbW9sZWN1bGFyIGVuZHBvaW50czwvdGl0bGU+PHNlY29uZGFyeS10aXRsZT5G
b29kIENoZW0gVG94aWNvbDwvc2Vjb25kYXJ5LXRpdGxlPjxhbHQtdGl0bGU+Rm9vZCBhbmQgY2hl
bWljYWwgdG94aWNvbG9neSA6IGFuIGludGVybmF0aW9uYWwgam91cm5hbCBwdWJsaXNoZWQgZm9y
IHRoZSBCcml0aXNoIEluZHVzdHJpYWwgQmlvbG9naWNhbCBSZXNlYXJjaCBBc3NvY2lhdGlvbjwv
YWx0LXRpdGxlPjwvdGl0bGVzPjxwZXJpb2RpY2FsPjxmdWxsLXRpdGxlPkZvb2QgQ2hlbSBUb3hp
Y29sPC9mdWxsLXRpdGxlPjxhYmJyLTE+Rm9vZCBhbmQgY2hlbWljYWwgdG94aWNvbG9neSA6IGFu
IGludGVybmF0aW9uYWwgam91cm5hbCBwdWJsaXNoZWQgZm9yIHRoZSBCcml0aXNoIEluZHVzdHJp
YWwgQmlvbG9naWNhbCBSZXNlYXJjaCBBc3NvY2lhdGlvbjwvYWJici0xPjwvcGVyaW9kaWNhbD48
YWx0LXBlcmlvZGljYWw+PGZ1bGwtdGl0bGU+Rm9vZCBDaGVtIFRveGljb2w8L2Z1bGwtdGl0bGU+
PGFiYnItMT5Gb29kIGFuZCBjaGVtaWNhbCB0b3hpY29sb2d5IDogYW4gaW50ZXJuYXRpb25hbCBq
b3VybmFsIHB1Ymxpc2hlZCBmb3IgdGhlIEJyaXRpc2ggSW5kdXN0cmlhbCBCaW9sb2dpY2FsIFJl
c2VhcmNoIEFzc29jaWF0aW9uPC9hYmJyLTE+PC9hbHQtcGVyaW9kaWNhbD48cGFnZXM+MzE1LTMz
MjwvcGFnZXM+PHZvbHVtZT4xMDk8L3ZvbHVtZT48bnVtYmVyPlB0IDE8L251bWJlcj48ZWRpdGlv
bj4yMDE3LzA5LzA5PC9lZGl0aW9uPjxrZXl3b3Jkcz48a2V5d29yZD5FbGVjdHJvbmljIGNpZ2Fy
ZXR0ZTwva2V5d29yZD48a2V5d29yZD5HbHljZXJpbjwva2V5d29yZD48a2V5d29yZD5JbmhhbGF0
aW9uIHRveGljaXR5PC9rZXl3b3JkPjxrZXl3b3JkPk5pY290aW5lPC9rZXl3b3JkPjxrZXl3b3Jk
Pk9yZ2FuaXphdGlvbiBmb3IgRWNvbm9taWMgQ29vcGVyYXRpb24gYW5kIERldmVsb3BtZW50IChP
RUNEKSA0MTMgZ3VpZGVsaW5lPC9rZXl3b3JkPjxrZXl3b3JkPlByb3B5bGVuZSBnbHljb2w8L2tl
eXdvcmQ+PGtleXdvcmQ+U3lzdGVtcyB0b3hpY29sb2d5PC9rZXl3b3JkPjwva2V5d29yZHM+PGRh
dGVzPjx5ZWFyPjIwMTc8L3llYXI+PHB1Yi1kYXRlcz48ZGF0ZT5Ob3Y8L2RhdGU+PC9wdWItZGF0
ZXM+PC9kYXRlcz48aXNibj4wMjc4LTY5MTU8L2lzYm4+PGFjY2Vzc2lvbi1udW0+Mjg4ODI2NDA8
L2FjY2Vzc2lvbi1udW0+PHVybHM+PHJlbGF0ZWQtdXJscz48dXJsPmh0dHBzOi8vd3d3LnNjaWVu
Y2VkaXJlY3QuY29tL3NjaWVuY2UvYXJ0aWNsZS9waWkvUzAyNzg2OTE1MTczMDUxMTI/dmlhJTNE
aWh1YjwvdXJsPjwvcmVsYXRlZC11cmxzPjwvdXJscz48ZWxlY3Ryb25pYy1yZXNvdXJjZS1udW0+
MTAuMTAxNi9qLmZjdC4yMDE3LjA5LjAwMTwvZWxlY3Ryb25pYy1yZXNvdXJjZS1udW0+PHJlbW90
ZS1kYXRhYmFzZS1wcm92aWRlcj5OTE08L3JlbW90ZS1kYXRhYmFzZS1wcm92aWRlcj48bGFuZ3Vh
Z2U+ZW5nPC9sYW5ndWFnZT48L3JlY29yZD48L0NpdGU+PC9FbmROb3RlPn==
</w:fldData>
            </w:fldChar>
          </w:r>
          <w:r>
            <w:instrText xml:space="preserve"> ADDIN EN.CITE </w:instrText>
          </w:r>
          <w:r>
            <w:fldChar w:fldCharType="begin">
              <w:fldData xml:space="preserve">PEVuZE5vdGU+PENpdGU+PEF1dGhvcj5QaGlsbGlwczwvQXV0aG9yPjxZZWFyPjIwMTc8L1llYXI+
PFJlY051bT45Mjg8L1JlY051bT48RGlzcGxheVRleHQ+KFBoaWxsaXBzLCBUaXR6IGV0IGFsLiAy
MDE3KTwvRGlzcGxheVRleHQ+PHJlY29yZD48cmVjLW51bWJlcj45Mjg8L3JlYy1udW1iZXI+PGZv
cmVpZ24ta2V5cz48a2V5IGFwcD0iRU4iIGRiLWlkPSI5ejA1ZHowcHJhYWRmdWVlMHpveHplZGs5
emZlNWZ4eDUwejUiIHRpbWVzdGFtcD0iMTUyMTUwNjk2MCI+OTI4PC9rZXk+PC9mb3JlaWduLWtl
eXM+PHJlZi10eXBlIG5hbWU9IkpvdXJuYWwgQXJ0aWNsZSI+MTc8L3JlZi10eXBlPjxjb250cmli
dXRvcnM+PGF1dGhvcnM+PGF1dGhvcj5QaGlsbGlwcywgQi48L2F1dGhvcj48YXV0aG9yPlRpdHos
IEIuPC9hdXRob3I+PGF1dGhvcj5Lb2dlbCwgVS48L2F1dGhvcj48YXV0aG9yPlNoYXJtYSwgRC48
L2F1dGhvcj48YXV0aG9yPkxlcm95LCBQLjwvYXV0aG9yPjxhdXRob3I+WGlhbmcsIFkuPC9hdXRo
b3I+PGF1dGhvcj5WdWlsbGF1bWUsIEcuPC9hdXRob3I+PGF1dGhvcj5MZWJydW4sIFMuPC9hdXRo
b3I+PGF1dGhvcj5TY2l1c2NpbywgRC48L2F1dGhvcj48YXV0aG9yPkhvLCBKLjwvYXV0aG9yPjxh
dXRob3I+TnVyeSwgQy48L2F1dGhvcj48YXV0aG9yPkd1ZWRqLCBFLjwvYXV0aG9yPjxhdXRob3I+
RWxhbWluLCBBLjwvYXV0aG9yPjxhdXRob3I+RXNwb3NpdG8sIE0uPC9hdXRob3I+PGF1dGhvcj5L
cmlzaG5hbiwgUy48L2F1dGhvcj48YXV0aG9yPlNjaGxhZ2UsIFcuIEsuPC9hdXRob3I+PGF1dGhv
cj5WZWxqa292aWMsIEUuPC9hdXRob3I+PGF1dGhvcj5JdmFub3YsIE4uIFYuPC9hdXRob3I+PGF1
dGhvcj5NYXJ0aW4sIEYuPC9hdXRob3I+PGF1dGhvcj5QZWl0c2NoLCBNLiBDLjwvYXV0aG9yPjxh
dXRob3I+SG9lbmcsIEouPC9hdXRob3I+PGF1dGhvcj5WYW5zY2hlZXV3aWpjaywgUC48L2F1dGhv
cj48L2F1dGhvcnM+PC9jb250cmlidXRvcnM+PGF1dGgtYWRkcmVzcz5QaGlsaXAgTW9ycmlzIElu
dGVybmF0aW9uYWwgUmVzZWFyY2ggTGFib3JhdG9yaWVzIFB0ZS4gTHRkLiAocGFydCBvZiBQaGls
aXAgTW9ycmlzIEludGVybmF0aW9uYWwgR3JvdXAgb2YgQ29tcGFuaWVzKSwgNTAgU2NpZW5jZSBQ
YXJrIFJvYWQsIFNpbmdhcG9yZSAxMTc0MDYsIFNpbmdhcG9yZS4mI3hEO1BoaWxpcCBNb3JyaXMg
SW50ZXJuYXRpb25hbCBSZXNlYXJjaCBhbmQgRGV2ZWxvcG1lbnQgKHBhcnQgb2YgUGhpbGlwIE1v
cnJpcyBJbnRlcm5hdGlvbmFsIEdyb3VwIG9mIENvbXBhbmllcyksIFBoaWxpcCBNb3JyaXMgUHJv
ZHVjdHMgUy5BLiwgUXVhaSBKZWFucmVuYXVkIDUsIDIwMDAgTmV1Y2hhdGVsLCBTd2l0emVybGFu
ZC4mI3hEO0Jpb2xvZ3kgQ29uc3VsdGFudCwgTWF4LUJhZXJtYW5uLVN0ci4gMjEsIDUxNDI5IEJl
cmdpc2NoIEdsYWRiYWNoLCBHZXJtYW55LiYjeEQ7UGhpbGlwIE1vcnJpcyBJbnRlcm5hdGlvbmFs
IFJlc2VhcmNoIGFuZCBEZXZlbG9wbWVudCAocGFydCBvZiBQaGlsaXAgTW9ycmlzIEludGVybmF0
aW9uYWwgR3JvdXAgb2YgQ29tcGFuaWVzKSwgUGhpbGlwIE1vcnJpcyBQcm9kdWN0cyBTLkEuLCBR
dWFpIEplYW5yZW5hdWQgNSwgMjAwMCBOZXVjaGF0ZWwsIFN3aXR6ZXJsYW5kLiBFbGVjdHJvbmlj
IGFkZHJlc3M6IFBhdHJpY2sudmFuc2NoZWV1d2lqY2tAcG1pLmNvbS48L2F1dGgtYWRkcmVzcz48
dGl0bGVzPjx0aXRsZT5Ub3hpY2l0eSBvZiB0aGUgbWFpbiBlbGVjdHJvbmljIGNpZ2FyZXR0ZSBj
b21wb25lbnRzLCBwcm9weWxlbmUgZ2x5Y29sLCBnbHljZXJpbiwgYW5kIG5pY290aW5lLCBpbiBT
cHJhZ3VlLURhd2xleSByYXRzIGluIGEgOTAtZGF5IE9FQ0QgaW5oYWxhdGlvbiBzdHVkeSBjb21w
bGVtZW50ZWQgYnkgbW9sZWN1bGFyIGVuZHBvaW50czwvdGl0bGU+PHNlY29uZGFyeS10aXRsZT5G
b29kIENoZW0gVG94aWNvbDwvc2Vjb25kYXJ5LXRpdGxlPjxhbHQtdGl0bGU+Rm9vZCBhbmQgY2hl
bWljYWwgdG94aWNvbG9neSA6IGFuIGludGVybmF0aW9uYWwgam91cm5hbCBwdWJsaXNoZWQgZm9y
IHRoZSBCcml0aXNoIEluZHVzdHJpYWwgQmlvbG9naWNhbCBSZXNlYXJjaCBBc3NvY2lhdGlvbjwv
YWx0LXRpdGxlPjwvdGl0bGVzPjxwZXJpb2RpY2FsPjxmdWxsLXRpdGxlPkZvb2QgQ2hlbSBUb3hp
Y29sPC9mdWxsLXRpdGxlPjxhYmJyLTE+Rm9vZCBhbmQgY2hlbWljYWwgdG94aWNvbG9neSA6IGFu
IGludGVybmF0aW9uYWwgam91cm5hbCBwdWJsaXNoZWQgZm9yIHRoZSBCcml0aXNoIEluZHVzdHJp
YWwgQmlvbG9naWNhbCBSZXNlYXJjaCBBc3NvY2lhdGlvbjwvYWJici0xPjwvcGVyaW9kaWNhbD48
YWx0LXBlcmlvZGljYWw+PGZ1bGwtdGl0bGU+Rm9vZCBDaGVtIFRveGljb2w8L2Z1bGwtdGl0bGU+
PGFiYnItMT5Gb29kIGFuZCBjaGVtaWNhbCB0b3hpY29sb2d5IDogYW4gaW50ZXJuYXRpb25hbCBq
b3VybmFsIHB1Ymxpc2hlZCBmb3IgdGhlIEJyaXRpc2ggSW5kdXN0cmlhbCBCaW9sb2dpY2FsIFJl
c2VhcmNoIEFzc29jaWF0aW9uPC9hYmJyLTE+PC9hbHQtcGVyaW9kaWNhbD48cGFnZXM+MzE1LTMz
MjwvcGFnZXM+PHZvbHVtZT4xMDk8L3ZvbHVtZT48bnVtYmVyPlB0IDE8L251bWJlcj48ZWRpdGlv
bj4yMDE3LzA5LzA5PC9lZGl0aW9uPjxrZXl3b3Jkcz48a2V5d29yZD5FbGVjdHJvbmljIGNpZ2Fy
ZXR0ZTwva2V5d29yZD48a2V5d29yZD5HbHljZXJpbjwva2V5d29yZD48a2V5d29yZD5JbmhhbGF0
aW9uIHRveGljaXR5PC9rZXl3b3JkPjxrZXl3b3JkPk5pY290aW5lPC9rZXl3b3JkPjxrZXl3b3Jk
Pk9yZ2FuaXphdGlvbiBmb3IgRWNvbm9taWMgQ29vcGVyYXRpb24gYW5kIERldmVsb3BtZW50IChP
RUNEKSA0MTMgZ3VpZGVsaW5lPC9rZXl3b3JkPjxrZXl3b3JkPlByb3B5bGVuZSBnbHljb2w8L2tl
eXdvcmQ+PGtleXdvcmQ+U3lzdGVtcyB0b3hpY29sb2d5PC9rZXl3b3JkPjwva2V5d29yZHM+PGRh
dGVzPjx5ZWFyPjIwMTc8L3llYXI+PHB1Yi1kYXRlcz48ZGF0ZT5Ob3Y8L2RhdGU+PC9wdWItZGF0
ZXM+PC9kYXRlcz48aXNibj4wMjc4LTY5MTU8L2lzYm4+PGFjY2Vzc2lvbi1udW0+Mjg4ODI2NDA8
L2FjY2Vzc2lvbi1udW0+PHVybHM+PHJlbGF0ZWQtdXJscz48dXJsPmh0dHBzOi8vd3d3LnNjaWVu
Y2VkaXJlY3QuY29tL3NjaWVuY2UvYXJ0aWNsZS9waWkvUzAyNzg2OTE1MTczMDUxMTI/dmlhJTNE
aWh1YjwvdXJsPjwvcmVsYXRlZC11cmxzPjwvdXJscz48ZWxlY3Ryb25pYy1yZXNvdXJjZS1udW0+
MTAuMTAxNi9qLmZjdC4yMDE3LjA5LjAwMTwvZWxlY3Ryb25pYy1yZXNvdXJjZS1udW0+PHJlbW90
ZS1kYXRhYmFzZS1wcm92aWRlcj5OTE08L3JlbW90ZS1kYXRhYmFzZS1wcm92aWRlcj48bGFuZ3Vh
Z2U+ZW5nPC9sYW5ndWFnZT48L3JlY29yZD48L0NpdGU+PC9FbmROb3RlPn==
</w:fldData>
            </w:fldChar>
          </w:r>
          <w:r>
            <w:instrText xml:space="preserve"> ADDIN EN.CITE.DATA </w:instrText>
          </w:r>
          <w:r>
            <w:fldChar w:fldCharType="end"/>
          </w:r>
          <w:r>
            <w:fldChar w:fldCharType="separate"/>
          </w:r>
          <w:r>
            <w:rPr>
              <w:noProof/>
            </w:rPr>
            <w:t>(Phillips, Titz et al. 2017)</w:t>
          </w:r>
          <w:r>
            <w:fldChar w:fldCharType="end"/>
          </w:r>
          <w:r>
            <w:t xml:space="preserve">. </w:t>
          </w:r>
        </w:p>
        <w:p w14:paraId="6DF4611E" w14:textId="475FBD9B" w:rsidR="00EA2246" w:rsidRDefault="00EA2246" w:rsidP="00EA2246">
          <w:pPr>
            <w:pStyle w:val="BodyText"/>
          </w:pPr>
          <w:r>
            <w:t xml:space="preserve">The final study found that all of the experimental conditions (e-cigarette vapour, cigarette smoke and subcutaneous nicotine injections) led to </w:t>
          </w:r>
          <w:r w:rsidRPr="005D1E4F">
            <w:t>emphysematous lung destruction</w:t>
          </w:r>
          <w:r>
            <w:t xml:space="preserve"> and decreased capillary counts</w:t>
          </w:r>
          <w:r w:rsidRPr="00C9531A">
            <w:t xml:space="preserve"> </w:t>
          </w:r>
          <w:r>
            <w:t xml:space="preserve">in rats </w:t>
          </w:r>
          <w:r>
            <w:fldChar w:fldCharType="begin"/>
          </w:r>
          <w:r>
            <w:instrText xml:space="preserve"> ADDIN EN.CITE &lt;EndNote&gt;&lt;Cite&gt;&lt;Author&gt;Reinikovaite&lt;/Author&gt;&lt;Year&gt;2018&lt;/Year&gt;&lt;RecNum&gt;569&lt;/RecNum&gt;&lt;DisplayText&gt;(Reinikovaite, Rodriguez et al. 2018)&lt;/DisplayText&gt;&lt;record&gt;&lt;rec-number&gt;569&lt;/rec-number&gt;&lt;foreign-keys&gt;&lt;key app="EN" db-id="9z05dz0praadfuee0zoxzedk9zfe5fxx50z5" timestamp="1521506860"&gt;569&lt;/key&gt;&lt;key app="ENWeb" db-id=""&gt;0&lt;/key&gt;&lt;/foreign-keys&gt;&lt;ref-type name="Journal Article"&gt;17&lt;/ref-type&gt;&lt;contributors&gt;&lt;authors&gt;&lt;author&gt;Reinikovaite, V.&lt;/author&gt;&lt;author&gt;Rodriguez, I. E.&lt;/author&gt;&lt;author&gt;Karoor, V.&lt;/author&gt;&lt;author&gt;Rau, A.&lt;/author&gt;&lt;author&gt;Trinh, B. B.&lt;/author&gt;&lt;author&gt;Deleyiannis, F. W.&lt;/author&gt;&lt;author&gt;Taraseviciene-Stewart, L.&lt;/author&gt;&lt;/authors&gt;&lt;/contributors&gt;&lt;auth-address&gt;Department of Surgery, Aurora, Colorado.&lt;/auth-address&gt;&lt;titles&gt;&lt;title&gt;The effects of electronic cigarette vapour on the lung: direct comparison to tobacco smoke&lt;/title&gt;&lt;secondary-title&gt;Eur Respir J&lt;/secondary-title&gt;&lt;alt-title&gt;The European respiratory journal&lt;/alt-title&gt;&lt;/titles&gt;&lt;periodical&gt;&lt;full-title&gt;Eur Respir J&lt;/full-title&gt;&lt;abbr-1&gt;The European respiratory journal&lt;/abbr-1&gt;&lt;/periodical&gt;&lt;alt-periodical&gt;&lt;full-title&gt;Eur Respir J&lt;/full-title&gt;&lt;abbr-1&gt;The European respiratory journal&lt;/abbr-1&gt;&lt;/alt-periodical&gt;&lt;edition&gt;2018/02/17&lt;/edition&gt;&lt;dates&gt;&lt;year&gt;2018&lt;/year&gt;&lt;pub-dates&gt;&lt;date&gt;Feb 15&lt;/date&gt;&lt;/pub-dates&gt;&lt;/dates&gt;&lt;isbn&gt;0903-1936&lt;/isbn&gt;&lt;accession-num&gt;29449423&lt;/accession-num&gt;&lt;urls&gt;&lt;/urls&gt;&lt;electronic-resource-num&gt;10.1183/13993003.01661-2017&lt;/electronic-resource-num&gt;&lt;remote-database-provider&gt;NLM&lt;/remote-database-provider&gt;&lt;language&gt;eng&lt;/language&gt;&lt;/record&gt;&lt;/Cite&gt;&lt;/EndNote&gt;</w:instrText>
          </w:r>
          <w:r>
            <w:fldChar w:fldCharType="separate"/>
          </w:r>
          <w:r>
            <w:rPr>
              <w:noProof/>
            </w:rPr>
            <w:t>(Reinikovaite, Rodriguez et al. 2018)</w:t>
          </w:r>
          <w:r>
            <w:fldChar w:fldCharType="end"/>
          </w:r>
          <w:r>
            <w:t>. In this study, capillary counts were significantly lower in the groups exposed to e-cigarette vapour and to cigarette smoke when compared with the group receiving</w:t>
          </w:r>
          <w:r w:rsidR="008146F9">
            <w:t xml:space="preserve"> </w:t>
          </w:r>
          <w:r>
            <w:t xml:space="preserve">IV nicotine </w:t>
          </w:r>
          <w:r>
            <w:fldChar w:fldCharType="begin"/>
          </w:r>
          <w:r>
            <w:instrText xml:space="preserve"> ADDIN EN.CITE &lt;EndNote&gt;&lt;Cite&gt;&lt;Author&gt;Reinikovaite&lt;/Author&gt;&lt;Year&gt;2018&lt;/Year&gt;&lt;RecNum&gt;569&lt;/RecNum&gt;&lt;DisplayText&gt;(Reinikovaite, Rodriguez et al. 2018)&lt;/DisplayText&gt;&lt;record&gt;&lt;rec-number&gt;569&lt;/rec-number&gt;&lt;foreign-keys&gt;&lt;key app="EN" db-id="9z05dz0praadfuee0zoxzedk9zfe5fxx50z5" timestamp="1521506860"&gt;569&lt;/key&gt;&lt;key app="ENWeb" db-id=""&gt;0&lt;/key&gt;&lt;/foreign-keys&gt;&lt;ref-type name="Journal Article"&gt;17&lt;/ref-type&gt;&lt;contributors&gt;&lt;authors&gt;&lt;author&gt;Reinikovaite, V.&lt;/author&gt;&lt;author&gt;Rodriguez, I. E.&lt;/author&gt;&lt;author&gt;Karoor, V.&lt;/author&gt;&lt;author&gt;Rau, A.&lt;/author&gt;&lt;author&gt;Trinh, B. B.&lt;/author&gt;&lt;author&gt;Deleyiannis, F. W.&lt;/author&gt;&lt;author&gt;Taraseviciene-Stewart, L.&lt;/author&gt;&lt;/authors&gt;&lt;/contributors&gt;&lt;auth-address&gt;Department of Surgery, Aurora, Colorado.&lt;/auth-address&gt;&lt;titles&gt;&lt;title&gt;The effects of electronic cigarette vapour on the lung: direct comparison to tobacco smoke&lt;/title&gt;&lt;secondary-title&gt;Eur Respir J&lt;/secondary-title&gt;&lt;alt-title&gt;The European respiratory journal&lt;/alt-title&gt;&lt;/titles&gt;&lt;periodical&gt;&lt;full-title&gt;Eur Respir J&lt;/full-title&gt;&lt;abbr-1&gt;The European respiratory journal&lt;/abbr-1&gt;&lt;/periodical&gt;&lt;alt-periodical&gt;&lt;full-title&gt;Eur Respir J&lt;/full-title&gt;&lt;abbr-1&gt;The European respiratory journal&lt;/abbr-1&gt;&lt;/alt-periodical&gt;&lt;edition&gt;2018/02/17&lt;/edition&gt;&lt;dates&gt;&lt;year&gt;2018&lt;/year&gt;&lt;pub-dates&gt;&lt;date&gt;Feb 15&lt;/date&gt;&lt;/pub-dates&gt;&lt;/dates&gt;&lt;isbn&gt;0903-1936&lt;/isbn&gt;&lt;accession-num&gt;29449423&lt;/accession-num&gt;&lt;urls&gt;&lt;/urls&gt;&lt;electronic-resource-num&gt;10.1183/13993003.01661-2017&lt;/electronic-resource-num&gt;&lt;remote-database-provider&gt;NLM&lt;/remote-database-provider&gt;&lt;language&gt;eng&lt;/language&gt;&lt;/record&gt;&lt;/Cite&gt;&lt;/EndNote&gt;</w:instrText>
          </w:r>
          <w:r>
            <w:fldChar w:fldCharType="separate"/>
          </w:r>
          <w:r>
            <w:rPr>
              <w:noProof/>
            </w:rPr>
            <w:t>(Reinikovaite, Rodriguez et al. 2018)</w:t>
          </w:r>
          <w:r>
            <w:fldChar w:fldCharType="end"/>
          </w:r>
          <w:r>
            <w:t xml:space="preserve">, highlighting the independent deleterious effects of e-cigarette vapour and tobacco smoke on lung health. </w:t>
          </w:r>
        </w:p>
        <w:p w14:paraId="23F79A57" w14:textId="77777777" w:rsidR="00EA2246" w:rsidRDefault="00EA2246" w:rsidP="00EA2246">
          <w:pPr>
            <w:pStyle w:val="BodyText"/>
          </w:pPr>
          <w:r>
            <w:t>Thus, all five studies found that rodents exposed to e-cigarette vapour had worsened lung health in comparison to the control condition of room air only.</w:t>
          </w:r>
        </w:p>
        <w:p w14:paraId="6CE8CFF9" w14:textId="77777777" w:rsidR="00EA2246" w:rsidRDefault="00EA2246" w:rsidP="00EA2246">
          <w:pPr>
            <w:pStyle w:val="BodyText"/>
          </w:pPr>
        </w:p>
        <w:p w14:paraId="3A7F7187" w14:textId="77777777" w:rsidR="000F0E2F" w:rsidRDefault="00A74D41" w:rsidP="000F0E2F">
          <w:pPr>
            <w:pStyle w:val="Heading2"/>
          </w:pPr>
          <w:bookmarkStart w:id="62" w:name="_Toc517706654"/>
          <w:bookmarkEnd w:id="61"/>
          <w:r>
            <w:t>Other organs</w:t>
          </w:r>
          <w:bookmarkEnd w:id="62"/>
        </w:p>
        <w:p w14:paraId="46331B70" w14:textId="77777777" w:rsidR="00F10DA9" w:rsidRPr="000B663F" w:rsidRDefault="00F10DA9" w:rsidP="00F10DA9">
          <w:pPr>
            <w:pStyle w:val="Heading3"/>
          </w:pPr>
          <w:r>
            <w:t>Adrenal glands</w:t>
          </w:r>
        </w:p>
        <w:p w14:paraId="31B077E6" w14:textId="77777777" w:rsidR="00F10DA9" w:rsidRDefault="00F10DA9" w:rsidP="00F10DA9">
          <w:pPr>
            <w:pStyle w:val="BodyText"/>
          </w:pPr>
          <w:r>
            <w:t xml:space="preserve">Adrenal gland weight significantly increased among rats exposed to nicotine-containing e-cigarette vapour, reflecting a possible stress-response to the nicotine </w:t>
          </w:r>
          <w:r>
            <w:fldChar w:fldCharType="begin">
              <w:fldData xml:space="preserve">PEVuZE5vdGU+PENpdGU+PEF1dGhvcj5QaGlsbGlwczwvQXV0aG9yPjxZZWFyPjIwMTc8L1llYXI+
PFJlY051bT45Mjg8L1JlY051bT48RGlzcGxheVRleHQ+KFBoaWxsaXBzLCBUaXR6IGV0IGFsLiAy
MDE3KTwvRGlzcGxheVRleHQ+PHJlY29yZD48cmVjLW51bWJlcj45Mjg8L3JlYy1udW1iZXI+PGZv
cmVpZ24ta2V5cz48a2V5IGFwcD0iRU4iIGRiLWlkPSI5ejA1ZHowcHJhYWRmdWVlMHpveHplZGs5
emZlNWZ4eDUwejUiIHRpbWVzdGFtcD0iMTUyMTUwNjk2MCI+OTI4PC9rZXk+PC9mb3JlaWduLWtl
eXM+PHJlZi10eXBlIG5hbWU9IkpvdXJuYWwgQXJ0aWNsZSI+MTc8L3JlZi10eXBlPjxjb250cmli
dXRvcnM+PGF1dGhvcnM+PGF1dGhvcj5QaGlsbGlwcywgQi48L2F1dGhvcj48YXV0aG9yPlRpdHos
IEIuPC9hdXRob3I+PGF1dGhvcj5Lb2dlbCwgVS48L2F1dGhvcj48YXV0aG9yPlNoYXJtYSwgRC48
L2F1dGhvcj48YXV0aG9yPkxlcm95LCBQLjwvYXV0aG9yPjxhdXRob3I+WGlhbmcsIFkuPC9hdXRo
b3I+PGF1dGhvcj5WdWlsbGF1bWUsIEcuPC9hdXRob3I+PGF1dGhvcj5MZWJydW4sIFMuPC9hdXRo
b3I+PGF1dGhvcj5TY2l1c2NpbywgRC48L2F1dGhvcj48YXV0aG9yPkhvLCBKLjwvYXV0aG9yPjxh
dXRob3I+TnVyeSwgQy48L2F1dGhvcj48YXV0aG9yPkd1ZWRqLCBFLjwvYXV0aG9yPjxhdXRob3I+
RWxhbWluLCBBLjwvYXV0aG9yPjxhdXRob3I+RXNwb3NpdG8sIE0uPC9hdXRob3I+PGF1dGhvcj5L
cmlzaG5hbiwgUy48L2F1dGhvcj48YXV0aG9yPlNjaGxhZ2UsIFcuIEsuPC9hdXRob3I+PGF1dGhv
cj5WZWxqa292aWMsIEUuPC9hdXRob3I+PGF1dGhvcj5JdmFub3YsIE4uIFYuPC9hdXRob3I+PGF1
dGhvcj5NYXJ0aW4sIEYuPC9hdXRob3I+PGF1dGhvcj5QZWl0c2NoLCBNLiBDLjwvYXV0aG9yPjxh
dXRob3I+SG9lbmcsIEouPC9hdXRob3I+PGF1dGhvcj5WYW5zY2hlZXV3aWpjaywgUC48L2F1dGhv
cj48L2F1dGhvcnM+PC9jb250cmlidXRvcnM+PGF1dGgtYWRkcmVzcz5QaGlsaXAgTW9ycmlzIElu
dGVybmF0aW9uYWwgUmVzZWFyY2ggTGFib3JhdG9yaWVzIFB0ZS4gTHRkLiAocGFydCBvZiBQaGls
aXAgTW9ycmlzIEludGVybmF0aW9uYWwgR3JvdXAgb2YgQ29tcGFuaWVzKSwgNTAgU2NpZW5jZSBQ
YXJrIFJvYWQsIFNpbmdhcG9yZSAxMTc0MDYsIFNpbmdhcG9yZS4mI3hEO1BoaWxpcCBNb3JyaXMg
SW50ZXJuYXRpb25hbCBSZXNlYXJjaCBhbmQgRGV2ZWxvcG1lbnQgKHBhcnQgb2YgUGhpbGlwIE1v
cnJpcyBJbnRlcm5hdGlvbmFsIEdyb3VwIG9mIENvbXBhbmllcyksIFBoaWxpcCBNb3JyaXMgUHJv
ZHVjdHMgUy5BLiwgUXVhaSBKZWFucmVuYXVkIDUsIDIwMDAgTmV1Y2hhdGVsLCBTd2l0emVybGFu
ZC4mI3hEO0Jpb2xvZ3kgQ29uc3VsdGFudCwgTWF4LUJhZXJtYW5uLVN0ci4gMjEsIDUxNDI5IEJl
cmdpc2NoIEdsYWRiYWNoLCBHZXJtYW55LiYjeEQ7UGhpbGlwIE1vcnJpcyBJbnRlcm5hdGlvbmFs
IFJlc2VhcmNoIGFuZCBEZXZlbG9wbWVudCAocGFydCBvZiBQaGlsaXAgTW9ycmlzIEludGVybmF0
aW9uYWwgR3JvdXAgb2YgQ29tcGFuaWVzKSwgUGhpbGlwIE1vcnJpcyBQcm9kdWN0cyBTLkEuLCBR
dWFpIEplYW5yZW5hdWQgNSwgMjAwMCBOZXVjaGF0ZWwsIFN3aXR6ZXJsYW5kLiBFbGVjdHJvbmlj
IGFkZHJlc3M6IFBhdHJpY2sudmFuc2NoZWV1d2lqY2tAcG1pLmNvbS48L2F1dGgtYWRkcmVzcz48
dGl0bGVzPjx0aXRsZT5Ub3hpY2l0eSBvZiB0aGUgbWFpbiBlbGVjdHJvbmljIGNpZ2FyZXR0ZSBj
b21wb25lbnRzLCBwcm9weWxlbmUgZ2x5Y29sLCBnbHljZXJpbiwgYW5kIG5pY290aW5lLCBpbiBT
cHJhZ3VlLURhd2xleSByYXRzIGluIGEgOTAtZGF5IE9FQ0QgaW5oYWxhdGlvbiBzdHVkeSBjb21w
bGVtZW50ZWQgYnkgbW9sZWN1bGFyIGVuZHBvaW50czwvdGl0bGU+PHNlY29uZGFyeS10aXRsZT5G
b29kIENoZW0gVG94aWNvbDwvc2Vjb25kYXJ5LXRpdGxlPjxhbHQtdGl0bGU+Rm9vZCBhbmQgY2hl
bWljYWwgdG94aWNvbG9neSA6IGFuIGludGVybmF0aW9uYWwgam91cm5hbCBwdWJsaXNoZWQgZm9y
IHRoZSBCcml0aXNoIEluZHVzdHJpYWwgQmlvbG9naWNhbCBSZXNlYXJjaCBBc3NvY2lhdGlvbjwv
YWx0LXRpdGxlPjwvdGl0bGVzPjxwZXJpb2RpY2FsPjxmdWxsLXRpdGxlPkZvb2QgQ2hlbSBUb3hp
Y29sPC9mdWxsLXRpdGxlPjxhYmJyLTE+Rm9vZCBhbmQgY2hlbWljYWwgdG94aWNvbG9neSA6IGFu
IGludGVybmF0aW9uYWwgam91cm5hbCBwdWJsaXNoZWQgZm9yIHRoZSBCcml0aXNoIEluZHVzdHJp
YWwgQmlvbG9naWNhbCBSZXNlYXJjaCBBc3NvY2lhdGlvbjwvYWJici0xPjwvcGVyaW9kaWNhbD48
YWx0LXBlcmlvZGljYWw+PGZ1bGwtdGl0bGU+Rm9vZCBDaGVtIFRveGljb2w8L2Z1bGwtdGl0bGU+
PGFiYnItMT5Gb29kIGFuZCBjaGVtaWNhbCB0b3hpY29sb2d5IDogYW4gaW50ZXJuYXRpb25hbCBq
b3VybmFsIHB1Ymxpc2hlZCBmb3IgdGhlIEJyaXRpc2ggSW5kdXN0cmlhbCBCaW9sb2dpY2FsIFJl
c2VhcmNoIEFzc29jaWF0aW9uPC9hYmJyLTE+PC9hbHQtcGVyaW9kaWNhbD48cGFnZXM+MzE1LTMz
MjwvcGFnZXM+PHZvbHVtZT4xMDk8L3ZvbHVtZT48bnVtYmVyPlB0IDE8L251bWJlcj48ZWRpdGlv
bj4yMDE3LzA5LzA5PC9lZGl0aW9uPjxrZXl3b3Jkcz48a2V5d29yZD5FbGVjdHJvbmljIGNpZ2Fy
ZXR0ZTwva2V5d29yZD48a2V5d29yZD5HbHljZXJpbjwva2V5d29yZD48a2V5d29yZD5JbmhhbGF0
aW9uIHRveGljaXR5PC9rZXl3b3JkPjxrZXl3b3JkPk5pY290aW5lPC9rZXl3b3JkPjxrZXl3b3Jk
Pk9yZ2FuaXphdGlvbiBmb3IgRWNvbm9taWMgQ29vcGVyYXRpb24gYW5kIERldmVsb3BtZW50IChP
RUNEKSA0MTMgZ3VpZGVsaW5lPC9rZXl3b3JkPjxrZXl3b3JkPlByb3B5bGVuZSBnbHljb2w8L2tl
eXdvcmQ+PGtleXdvcmQ+U3lzdGVtcyB0b3hpY29sb2d5PC9rZXl3b3JkPjwva2V5d29yZHM+PGRh
dGVzPjx5ZWFyPjIwMTc8L3llYXI+PHB1Yi1kYXRlcz48ZGF0ZT5Ob3Y8L2RhdGU+PC9wdWItZGF0
ZXM+PC9kYXRlcz48aXNibj4wMjc4LTY5MTU8L2lzYm4+PGFjY2Vzc2lvbi1udW0+Mjg4ODI2NDA8
L2FjY2Vzc2lvbi1udW0+PHVybHM+PHJlbGF0ZWQtdXJscz48dXJsPmh0dHBzOi8vd3d3LnNjaWVu
Y2VkaXJlY3QuY29tL3NjaWVuY2UvYXJ0aWNsZS9waWkvUzAyNzg2OTE1MTczMDUxMTI/dmlhJTNE
aWh1YjwvdXJsPjwvcmVsYXRlZC11cmxzPjwvdXJscz48ZWxlY3Ryb25pYy1yZXNvdXJjZS1udW0+
MTAuMTAxNi9qLmZjdC4yMDE3LjA5LjAwMTwvZWxlY3Ryb25pYy1yZXNvdXJjZS1udW0+PHJlbW90
ZS1kYXRhYmFzZS1wcm92aWRlcj5OTE08L3JlbW90ZS1kYXRhYmFzZS1wcm92aWRlcj48bGFuZ3Vh
Z2U+ZW5nPC9sYW5ndWFnZT48L3JlY29yZD48L0NpdGU+PC9FbmROb3RlPn==
</w:fldData>
            </w:fldChar>
          </w:r>
          <w:r>
            <w:instrText xml:space="preserve"> ADDIN EN.CITE </w:instrText>
          </w:r>
          <w:r>
            <w:fldChar w:fldCharType="begin">
              <w:fldData xml:space="preserve">PEVuZE5vdGU+PENpdGU+PEF1dGhvcj5QaGlsbGlwczwvQXV0aG9yPjxZZWFyPjIwMTc8L1llYXI+
PFJlY051bT45Mjg8L1JlY051bT48RGlzcGxheVRleHQ+KFBoaWxsaXBzLCBUaXR6IGV0IGFsLiAy
MDE3KTwvRGlzcGxheVRleHQ+PHJlY29yZD48cmVjLW51bWJlcj45Mjg8L3JlYy1udW1iZXI+PGZv
cmVpZ24ta2V5cz48a2V5IGFwcD0iRU4iIGRiLWlkPSI5ejA1ZHowcHJhYWRmdWVlMHpveHplZGs5
emZlNWZ4eDUwejUiIHRpbWVzdGFtcD0iMTUyMTUwNjk2MCI+OTI4PC9rZXk+PC9mb3JlaWduLWtl
eXM+PHJlZi10eXBlIG5hbWU9IkpvdXJuYWwgQXJ0aWNsZSI+MTc8L3JlZi10eXBlPjxjb250cmli
dXRvcnM+PGF1dGhvcnM+PGF1dGhvcj5QaGlsbGlwcywgQi48L2F1dGhvcj48YXV0aG9yPlRpdHos
IEIuPC9hdXRob3I+PGF1dGhvcj5Lb2dlbCwgVS48L2F1dGhvcj48YXV0aG9yPlNoYXJtYSwgRC48
L2F1dGhvcj48YXV0aG9yPkxlcm95LCBQLjwvYXV0aG9yPjxhdXRob3I+WGlhbmcsIFkuPC9hdXRo
b3I+PGF1dGhvcj5WdWlsbGF1bWUsIEcuPC9hdXRob3I+PGF1dGhvcj5MZWJydW4sIFMuPC9hdXRo
b3I+PGF1dGhvcj5TY2l1c2NpbywgRC48L2F1dGhvcj48YXV0aG9yPkhvLCBKLjwvYXV0aG9yPjxh
dXRob3I+TnVyeSwgQy48L2F1dGhvcj48YXV0aG9yPkd1ZWRqLCBFLjwvYXV0aG9yPjxhdXRob3I+
RWxhbWluLCBBLjwvYXV0aG9yPjxhdXRob3I+RXNwb3NpdG8sIE0uPC9hdXRob3I+PGF1dGhvcj5L
cmlzaG5hbiwgUy48L2F1dGhvcj48YXV0aG9yPlNjaGxhZ2UsIFcuIEsuPC9hdXRob3I+PGF1dGhv
cj5WZWxqa292aWMsIEUuPC9hdXRob3I+PGF1dGhvcj5JdmFub3YsIE4uIFYuPC9hdXRob3I+PGF1
dGhvcj5NYXJ0aW4sIEYuPC9hdXRob3I+PGF1dGhvcj5QZWl0c2NoLCBNLiBDLjwvYXV0aG9yPjxh
dXRob3I+SG9lbmcsIEouPC9hdXRob3I+PGF1dGhvcj5WYW5zY2hlZXV3aWpjaywgUC48L2F1dGhv
cj48L2F1dGhvcnM+PC9jb250cmlidXRvcnM+PGF1dGgtYWRkcmVzcz5QaGlsaXAgTW9ycmlzIElu
dGVybmF0aW9uYWwgUmVzZWFyY2ggTGFib3JhdG9yaWVzIFB0ZS4gTHRkLiAocGFydCBvZiBQaGls
aXAgTW9ycmlzIEludGVybmF0aW9uYWwgR3JvdXAgb2YgQ29tcGFuaWVzKSwgNTAgU2NpZW5jZSBQ
YXJrIFJvYWQsIFNpbmdhcG9yZSAxMTc0MDYsIFNpbmdhcG9yZS4mI3hEO1BoaWxpcCBNb3JyaXMg
SW50ZXJuYXRpb25hbCBSZXNlYXJjaCBhbmQgRGV2ZWxvcG1lbnQgKHBhcnQgb2YgUGhpbGlwIE1v
cnJpcyBJbnRlcm5hdGlvbmFsIEdyb3VwIG9mIENvbXBhbmllcyksIFBoaWxpcCBNb3JyaXMgUHJv
ZHVjdHMgUy5BLiwgUXVhaSBKZWFucmVuYXVkIDUsIDIwMDAgTmV1Y2hhdGVsLCBTd2l0emVybGFu
ZC4mI3hEO0Jpb2xvZ3kgQ29uc3VsdGFudCwgTWF4LUJhZXJtYW5uLVN0ci4gMjEsIDUxNDI5IEJl
cmdpc2NoIEdsYWRiYWNoLCBHZXJtYW55LiYjeEQ7UGhpbGlwIE1vcnJpcyBJbnRlcm5hdGlvbmFs
IFJlc2VhcmNoIGFuZCBEZXZlbG9wbWVudCAocGFydCBvZiBQaGlsaXAgTW9ycmlzIEludGVybmF0
aW9uYWwgR3JvdXAgb2YgQ29tcGFuaWVzKSwgUGhpbGlwIE1vcnJpcyBQcm9kdWN0cyBTLkEuLCBR
dWFpIEplYW5yZW5hdWQgNSwgMjAwMCBOZXVjaGF0ZWwsIFN3aXR6ZXJsYW5kLiBFbGVjdHJvbmlj
IGFkZHJlc3M6IFBhdHJpY2sudmFuc2NoZWV1d2lqY2tAcG1pLmNvbS48L2F1dGgtYWRkcmVzcz48
dGl0bGVzPjx0aXRsZT5Ub3hpY2l0eSBvZiB0aGUgbWFpbiBlbGVjdHJvbmljIGNpZ2FyZXR0ZSBj
b21wb25lbnRzLCBwcm9weWxlbmUgZ2x5Y29sLCBnbHljZXJpbiwgYW5kIG5pY290aW5lLCBpbiBT
cHJhZ3VlLURhd2xleSByYXRzIGluIGEgOTAtZGF5IE9FQ0QgaW5oYWxhdGlvbiBzdHVkeSBjb21w
bGVtZW50ZWQgYnkgbW9sZWN1bGFyIGVuZHBvaW50czwvdGl0bGU+PHNlY29uZGFyeS10aXRsZT5G
b29kIENoZW0gVG94aWNvbDwvc2Vjb25kYXJ5LXRpdGxlPjxhbHQtdGl0bGU+Rm9vZCBhbmQgY2hl
bWljYWwgdG94aWNvbG9neSA6IGFuIGludGVybmF0aW9uYWwgam91cm5hbCBwdWJsaXNoZWQgZm9y
IHRoZSBCcml0aXNoIEluZHVzdHJpYWwgQmlvbG9naWNhbCBSZXNlYXJjaCBBc3NvY2lhdGlvbjwv
YWx0LXRpdGxlPjwvdGl0bGVzPjxwZXJpb2RpY2FsPjxmdWxsLXRpdGxlPkZvb2QgQ2hlbSBUb3hp
Y29sPC9mdWxsLXRpdGxlPjxhYmJyLTE+Rm9vZCBhbmQgY2hlbWljYWwgdG94aWNvbG9neSA6IGFu
IGludGVybmF0aW9uYWwgam91cm5hbCBwdWJsaXNoZWQgZm9yIHRoZSBCcml0aXNoIEluZHVzdHJp
YWwgQmlvbG9naWNhbCBSZXNlYXJjaCBBc3NvY2lhdGlvbjwvYWJici0xPjwvcGVyaW9kaWNhbD48
YWx0LXBlcmlvZGljYWw+PGZ1bGwtdGl0bGU+Rm9vZCBDaGVtIFRveGljb2w8L2Z1bGwtdGl0bGU+
PGFiYnItMT5Gb29kIGFuZCBjaGVtaWNhbCB0b3hpY29sb2d5IDogYW4gaW50ZXJuYXRpb25hbCBq
b3VybmFsIHB1Ymxpc2hlZCBmb3IgdGhlIEJyaXRpc2ggSW5kdXN0cmlhbCBCaW9sb2dpY2FsIFJl
c2VhcmNoIEFzc29jaWF0aW9uPC9hYmJyLTE+PC9hbHQtcGVyaW9kaWNhbD48cGFnZXM+MzE1LTMz
MjwvcGFnZXM+PHZvbHVtZT4xMDk8L3ZvbHVtZT48bnVtYmVyPlB0IDE8L251bWJlcj48ZWRpdGlv
bj4yMDE3LzA5LzA5PC9lZGl0aW9uPjxrZXl3b3Jkcz48a2V5d29yZD5FbGVjdHJvbmljIGNpZ2Fy
ZXR0ZTwva2V5d29yZD48a2V5d29yZD5HbHljZXJpbjwva2V5d29yZD48a2V5d29yZD5JbmhhbGF0
aW9uIHRveGljaXR5PC9rZXl3b3JkPjxrZXl3b3JkPk5pY290aW5lPC9rZXl3b3JkPjxrZXl3b3Jk
Pk9yZ2FuaXphdGlvbiBmb3IgRWNvbm9taWMgQ29vcGVyYXRpb24gYW5kIERldmVsb3BtZW50IChP
RUNEKSA0MTMgZ3VpZGVsaW5lPC9rZXl3b3JkPjxrZXl3b3JkPlByb3B5bGVuZSBnbHljb2w8L2tl
eXdvcmQ+PGtleXdvcmQ+U3lzdGVtcyB0b3hpY29sb2d5PC9rZXl3b3JkPjwva2V5d29yZHM+PGRh
dGVzPjx5ZWFyPjIwMTc8L3llYXI+PHB1Yi1kYXRlcz48ZGF0ZT5Ob3Y8L2RhdGU+PC9wdWItZGF0
ZXM+PC9kYXRlcz48aXNibj4wMjc4LTY5MTU8L2lzYm4+PGFjY2Vzc2lvbi1udW0+Mjg4ODI2NDA8
L2FjY2Vzc2lvbi1udW0+PHVybHM+PHJlbGF0ZWQtdXJscz48dXJsPmh0dHBzOi8vd3d3LnNjaWVu
Y2VkaXJlY3QuY29tL3NjaWVuY2UvYXJ0aWNsZS9waWkvUzAyNzg2OTE1MTczMDUxMTI/dmlhJTNE
aWh1YjwvdXJsPjwvcmVsYXRlZC11cmxzPjwvdXJscz48ZWxlY3Ryb25pYy1yZXNvdXJjZS1udW0+
MTAuMTAxNi9qLmZjdC4yMDE3LjA5LjAwMTwvZWxlY3Ryb25pYy1yZXNvdXJjZS1udW0+PHJlbW90
ZS1kYXRhYmFzZS1wcm92aWRlcj5OTE08L3JlbW90ZS1kYXRhYmFzZS1wcm92aWRlcj48bGFuZ3Vh
Z2U+ZW5nPC9sYW5ndWFnZT48L3JlY29yZD48L0NpdGU+PC9FbmROb3RlPn==
</w:fldData>
            </w:fldChar>
          </w:r>
          <w:r>
            <w:instrText xml:space="preserve"> ADDIN EN.CITE.DATA </w:instrText>
          </w:r>
          <w:r>
            <w:fldChar w:fldCharType="end"/>
          </w:r>
          <w:r>
            <w:fldChar w:fldCharType="separate"/>
          </w:r>
          <w:r>
            <w:rPr>
              <w:noProof/>
            </w:rPr>
            <w:t>(Phillips, Titz et al. 2017)</w:t>
          </w:r>
          <w:r>
            <w:fldChar w:fldCharType="end"/>
          </w:r>
          <w:r>
            <w:t>.</w:t>
          </w:r>
          <w:r w:rsidRPr="00980D2B">
            <w:t xml:space="preserve"> </w:t>
          </w:r>
          <w:r>
            <w:t>In this study, the dose of e-cigarettes given to rats marginally exceeded the equivalent usual human dose.</w:t>
          </w:r>
        </w:p>
        <w:p w14:paraId="59F46EB9" w14:textId="77777777" w:rsidR="00F10DA9" w:rsidRDefault="00F10DA9" w:rsidP="00F10DA9">
          <w:pPr>
            <w:pStyle w:val="BodyText"/>
          </w:pPr>
        </w:p>
        <w:p w14:paraId="11488394" w14:textId="77777777" w:rsidR="00F10DA9" w:rsidRPr="00F221AD" w:rsidRDefault="00F10DA9" w:rsidP="00F10DA9">
          <w:pPr>
            <w:pStyle w:val="Heading3"/>
          </w:pPr>
          <w:r w:rsidRPr="00F221AD">
            <w:t>Bladder</w:t>
          </w:r>
          <w:r>
            <w:t xml:space="preserve"> </w:t>
          </w:r>
        </w:p>
        <w:p w14:paraId="25EC8C79" w14:textId="77777777" w:rsidR="00F10DA9" w:rsidRDefault="00F10DA9" w:rsidP="00F10DA9">
          <w:pPr>
            <w:pStyle w:val="BodyText"/>
          </w:pPr>
          <w:r w:rsidRPr="005F3F92">
            <w:t>Mice exposed to e-cigarette</w:t>
          </w:r>
          <w:r>
            <w:t xml:space="preserve"> vapour, at levels equivalent to human use,</w:t>
          </w:r>
          <w:r w:rsidRPr="00207549">
            <w:t xml:space="preserve"> </w:t>
          </w:r>
          <w:r w:rsidRPr="005F3F92">
            <w:t>had more DNA adducts in</w:t>
          </w:r>
          <w:r>
            <w:t xml:space="preserve"> their</w:t>
          </w:r>
          <w:r w:rsidRPr="005F3F92">
            <w:t xml:space="preserve"> </w:t>
          </w:r>
          <w:r>
            <w:t xml:space="preserve">bladder and </w:t>
          </w:r>
          <w:r w:rsidRPr="005F3F92">
            <w:t>had lower amounts of DNA repair proteins compared to the control</w:t>
          </w:r>
          <w:r>
            <w:t xml:space="preserve"> mice </w:t>
          </w:r>
          <w:r>
            <w:fldChar w:fldCharType="begin">
              <w:fldData xml:space="preserve">PEVuZE5vdGU+PENpdGU+PEF1dGhvcj5MZWU8L0F1dGhvcj48WWVhcj4yMDE4PC9ZZWFyPjxSZWNO
dW0+NjI3PC9SZWNOdW0+PERpc3BsYXlUZXh0PihMZWUsIFBhcmsgZXQgYWwuIDIwMTgpPC9EaXNw
bGF5VGV4dD48cmVjb3JkPjxyZWMtbnVtYmVyPjYyNzwvcmVjLW51bWJlcj48Zm9yZWlnbi1rZXlz
PjxrZXkgYXBwPSJFTiIgZGItaWQ9Ijl6MDVkejBwcmFhZGZ1ZWUwem94emVkazl6ZmU1Znh4NTB6
NSIgdGltZXN0YW1wPSIxNTIxNTA2ODczIj42Mjc8L2tleT48L2ZvcmVpZ24ta2V5cz48cmVmLXR5
cGUgbmFtZT0iSm91cm5hbCBBcnRpY2xlIj4xNzwvcmVmLXR5cGU+PGNvbnRyaWJ1dG9ycz48YXV0
aG9ycz48YXV0aG9yPkxlZSwgSC4gVy48L2F1dGhvcj48YXV0aG9yPlBhcmssIFMuIEguPC9hdXRo
b3I+PGF1dGhvcj5XZW5nLCBNLiBXLjwvYXV0aG9yPjxhdXRob3I+V2FuZywgSC4gVC48L2F1dGhv
cj48YXV0aG9yPkh1YW5nLCBXLiBDLjwvYXV0aG9yPjxhdXRob3I+TGVwb3IsIEguPC9hdXRob3I+
PGF1dGhvcj5XdSwgWC4gUi48L2F1dGhvcj48YXV0aG9yPkNoZW4sIEwuIEMuPC9hdXRob3I+PGF1
dGhvcj5UYW5nLCBNLiBTLjwvYXV0aG9yPjwvYXV0aG9ycz48L2NvbnRyaWJ1dG9ycz48YXV0aC1h
ZGRyZXNzPkRlcGFydG1lbnQgb2YgRW52aXJvbm1lbnRhbCBNZWRpY2luZSwgTmV3IFlvcmsgVW5p
dmVyc2l0eSBTY2hvb2wgb2YgTWVkaWNpbmUsIFR1eGVkbyBQYXJrLCBOWSAxMDk4Ny4mI3hEO0Rl
cGFydG1lbnQgb2YgVXJvbG9neSwgTmV3IFlvcmsgVW5pdmVyc2l0eSBTY2hvb2wgb2YgTWVkaWNp
bmUsIE5ldyBZb3JrLCBOWSAxMDAxNi4mI3hEO0RlcGFydG1lbnQgb2YgRW52aXJvbm1lbnRhbCBN
ZWRpY2luZSwgTmV3IFlvcmsgVW5pdmVyc2l0eSBTY2hvb2wgb2YgTWVkaWNpbmUsIFR1eGVkbyBQ
YXJrLCBOWSAxMDk4NzsgbW9vbi1zaG9uZy50YW5nQG55dW1jLm9yZy48L2F1dGgtYWRkcmVzcz48
dGl0bGVzPjx0aXRsZT5FLWNpZ2FyZXR0ZSBzbW9rZSBkYW1hZ2VzIEROQSBhbmQgcmVkdWNlcyBy
ZXBhaXIgYWN0aXZpdHkgaW4gbW91c2UgbHVuZywgaGVhcnQsIGFuZCBibGFkZGVyIGFzIHdlbGwg
YXMgaW4gaHVtYW4gbHVuZyBhbmQgYmxhZGRlciBjZWxsczwvdGl0bGU+PHNlY29uZGFyeS10aXRs
ZT5Qcm9jIE5hdGwgQWNhZCBTY2kgVSBTIEE8L3NlY29uZGFyeS10aXRsZT48YWx0LXRpdGxlPlBy
b2NlZWRpbmdzIG9mIHRoZSBOYXRpb25hbCBBY2FkZW15IG9mIFNjaWVuY2VzIG9mIHRoZSBVbml0
ZWQgU3RhdGVzIG9mIEFtZXJpY2E8L2FsdC10aXRsZT48L3RpdGxlcz48cGVyaW9kaWNhbD48ZnVs
bC10aXRsZT5Qcm9jIE5hdGwgQWNhZCBTY2kgVSBTIEE8L2Z1bGwtdGl0bGU+PGFiYnItMT5Qcm9j
ZWVkaW5ncyBvZiB0aGUgTmF0aW9uYWwgQWNhZGVteSBvZiBTY2llbmNlcyBvZiB0aGUgVW5pdGVk
IFN0YXRlcyBvZiBBbWVyaWNhPC9hYmJyLTE+PC9wZXJpb2RpY2FsPjxhbHQtcGVyaW9kaWNhbD48
ZnVsbC10aXRsZT5Qcm9jIE5hdGwgQWNhZCBTY2kgVSBTIEE8L2Z1bGwtdGl0bGU+PGFiYnItMT5Q
cm9jZWVkaW5ncyBvZiB0aGUgTmF0aW9uYWwgQWNhZGVteSBvZiBTY2llbmNlcyBvZiB0aGUgVW5p
dGVkIFN0YXRlcyBvZiBBbWVyaWNhPC9hYmJyLTE+PC9hbHQtcGVyaW9kaWNhbD48cGFnZXM+RTE1
NjAtZTE1Njk8L3BhZ2VzPjx2b2x1bWU+MTE1PC92b2x1bWU+PG51bWJlcj43PC9udW1iZXI+PGVk
aXRpb24+MjAxOC8wMS8zMTwvZWRpdGlvbj48a2V5d29yZHM+PGtleXdvcmQ+RE5BIGRhbWFnZTwv
a2V5d29yZD48a2V5d29yZD5ETkEgcmVwYWlyPC9rZXl3b3JkPjxrZXl3b3JkPkUtY2lnYXJldHRl
czwva2V5d29yZD48a2V5d29yZD5jYW5jZXI8L2tleXdvcmQ+PGtleXdvcmQ+bHVuZy1ibGFkZGVy
LWhlYXJ0PC9rZXl3b3JkPjwva2V5d29yZHM+PGRhdGVzPjx5ZWFyPjIwMTg8L3llYXI+PHB1Yi1k
YXRlcz48ZGF0ZT5GZWIgMTM8L2RhdGU+PC9wdWItZGF0ZXM+PC9kYXRlcz48aXNibj4wMDI3LTg0
MjQ8L2lzYm4+PGFjY2Vzc2lvbi1udW0+MjkzNzg5NDM8L2FjY2Vzc2lvbi1udW0+PHVybHM+PHJl
bGF0ZWQtdXJscz48dXJsPmh0dHA6Ly93d3cucG5hcy5vcmcvY29udGVudC9wbmFzLzExNS83L0Ux
NTYwLmZ1bGwucGRmPC91cmw+PC9yZWxhdGVkLXVybHM+PC91cmxzPjxjdXN0b20yPlBNQzU4MTYx
OTE8L2N1c3RvbTI+PGVsZWN0cm9uaWMtcmVzb3VyY2UtbnVtPjEwLjEwNzMvcG5hcy4xNzE4MTg1
MTE1PC9lbGVjdHJvbmljLXJlc291cmNlLW51bT48cmVtb3RlLWRhdGFiYXNlLXByb3ZpZGVyPk5M
TTwvcmVtb3RlLWRhdGFiYXNlLXByb3ZpZGVyPjxsYW5ndWFnZT5lbmc8L2xhbmd1YWdlPjwvcmVj
b3JkPjwvQ2l0ZT48L0VuZE5vdGU+
</w:fldData>
            </w:fldChar>
          </w:r>
          <w:r>
            <w:instrText xml:space="preserve"> ADDIN EN.CITE </w:instrText>
          </w:r>
          <w:r>
            <w:fldChar w:fldCharType="begin">
              <w:fldData xml:space="preserve">PEVuZE5vdGU+PENpdGU+PEF1dGhvcj5MZWU8L0F1dGhvcj48WWVhcj4yMDE4PC9ZZWFyPjxSZWNO
dW0+NjI3PC9SZWNOdW0+PERpc3BsYXlUZXh0PihMZWUsIFBhcmsgZXQgYWwuIDIwMTgpPC9EaXNw
bGF5VGV4dD48cmVjb3JkPjxyZWMtbnVtYmVyPjYyNzwvcmVjLW51bWJlcj48Zm9yZWlnbi1rZXlz
PjxrZXkgYXBwPSJFTiIgZGItaWQ9Ijl6MDVkejBwcmFhZGZ1ZWUwem94emVkazl6ZmU1Znh4NTB6
NSIgdGltZXN0YW1wPSIxNTIxNTA2ODczIj42Mjc8L2tleT48L2ZvcmVpZ24ta2V5cz48cmVmLXR5
cGUgbmFtZT0iSm91cm5hbCBBcnRpY2xlIj4xNzwvcmVmLXR5cGU+PGNvbnRyaWJ1dG9ycz48YXV0
aG9ycz48YXV0aG9yPkxlZSwgSC4gVy48L2F1dGhvcj48YXV0aG9yPlBhcmssIFMuIEguPC9hdXRo
b3I+PGF1dGhvcj5XZW5nLCBNLiBXLjwvYXV0aG9yPjxhdXRob3I+V2FuZywgSC4gVC48L2F1dGhv
cj48YXV0aG9yPkh1YW5nLCBXLiBDLjwvYXV0aG9yPjxhdXRob3I+TGVwb3IsIEguPC9hdXRob3I+
PGF1dGhvcj5XdSwgWC4gUi48L2F1dGhvcj48YXV0aG9yPkNoZW4sIEwuIEMuPC9hdXRob3I+PGF1
dGhvcj5UYW5nLCBNLiBTLjwvYXV0aG9yPjwvYXV0aG9ycz48L2NvbnRyaWJ1dG9ycz48YXV0aC1h
ZGRyZXNzPkRlcGFydG1lbnQgb2YgRW52aXJvbm1lbnRhbCBNZWRpY2luZSwgTmV3IFlvcmsgVW5p
dmVyc2l0eSBTY2hvb2wgb2YgTWVkaWNpbmUsIFR1eGVkbyBQYXJrLCBOWSAxMDk4Ny4mI3hEO0Rl
cGFydG1lbnQgb2YgVXJvbG9neSwgTmV3IFlvcmsgVW5pdmVyc2l0eSBTY2hvb2wgb2YgTWVkaWNp
bmUsIE5ldyBZb3JrLCBOWSAxMDAxNi4mI3hEO0RlcGFydG1lbnQgb2YgRW52aXJvbm1lbnRhbCBN
ZWRpY2luZSwgTmV3IFlvcmsgVW5pdmVyc2l0eSBTY2hvb2wgb2YgTWVkaWNpbmUsIFR1eGVkbyBQ
YXJrLCBOWSAxMDk4NzsgbW9vbi1zaG9uZy50YW5nQG55dW1jLm9yZy48L2F1dGgtYWRkcmVzcz48
dGl0bGVzPjx0aXRsZT5FLWNpZ2FyZXR0ZSBzbW9rZSBkYW1hZ2VzIEROQSBhbmQgcmVkdWNlcyBy
ZXBhaXIgYWN0aXZpdHkgaW4gbW91c2UgbHVuZywgaGVhcnQsIGFuZCBibGFkZGVyIGFzIHdlbGwg
YXMgaW4gaHVtYW4gbHVuZyBhbmQgYmxhZGRlciBjZWxsczwvdGl0bGU+PHNlY29uZGFyeS10aXRs
ZT5Qcm9jIE5hdGwgQWNhZCBTY2kgVSBTIEE8L3NlY29uZGFyeS10aXRsZT48YWx0LXRpdGxlPlBy
b2NlZWRpbmdzIG9mIHRoZSBOYXRpb25hbCBBY2FkZW15IG9mIFNjaWVuY2VzIG9mIHRoZSBVbml0
ZWQgU3RhdGVzIG9mIEFtZXJpY2E8L2FsdC10aXRsZT48L3RpdGxlcz48cGVyaW9kaWNhbD48ZnVs
bC10aXRsZT5Qcm9jIE5hdGwgQWNhZCBTY2kgVSBTIEE8L2Z1bGwtdGl0bGU+PGFiYnItMT5Qcm9j
ZWVkaW5ncyBvZiB0aGUgTmF0aW9uYWwgQWNhZGVteSBvZiBTY2llbmNlcyBvZiB0aGUgVW5pdGVk
IFN0YXRlcyBvZiBBbWVyaWNhPC9hYmJyLTE+PC9wZXJpb2RpY2FsPjxhbHQtcGVyaW9kaWNhbD48
ZnVsbC10aXRsZT5Qcm9jIE5hdGwgQWNhZCBTY2kgVSBTIEE8L2Z1bGwtdGl0bGU+PGFiYnItMT5Q
cm9jZWVkaW5ncyBvZiB0aGUgTmF0aW9uYWwgQWNhZGVteSBvZiBTY2llbmNlcyBvZiB0aGUgVW5p
dGVkIFN0YXRlcyBvZiBBbWVyaWNhPC9hYmJyLTE+PC9hbHQtcGVyaW9kaWNhbD48cGFnZXM+RTE1
NjAtZTE1Njk8L3BhZ2VzPjx2b2x1bWU+MTE1PC92b2x1bWU+PG51bWJlcj43PC9udW1iZXI+PGVk
aXRpb24+MjAxOC8wMS8zMTwvZWRpdGlvbj48a2V5d29yZHM+PGtleXdvcmQ+RE5BIGRhbWFnZTwv
a2V5d29yZD48a2V5d29yZD5ETkEgcmVwYWlyPC9rZXl3b3JkPjxrZXl3b3JkPkUtY2lnYXJldHRl
czwva2V5d29yZD48a2V5d29yZD5jYW5jZXI8L2tleXdvcmQ+PGtleXdvcmQ+bHVuZy1ibGFkZGVy
LWhlYXJ0PC9rZXl3b3JkPjwva2V5d29yZHM+PGRhdGVzPjx5ZWFyPjIwMTg8L3llYXI+PHB1Yi1k
YXRlcz48ZGF0ZT5GZWIgMTM8L2RhdGU+PC9wdWItZGF0ZXM+PC9kYXRlcz48aXNibj4wMDI3LTg0
MjQ8L2lzYm4+PGFjY2Vzc2lvbi1udW0+MjkzNzg5NDM8L2FjY2Vzc2lvbi1udW0+PHVybHM+PHJl
bGF0ZWQtdXJscz48dXJsPmh0dHA6Ly93d3cucG5hcy5vcmcvY29udGVudC9wbmFzLzExNS83L0Ux
NTYwLmZ1bGwucGRmPC91cmw+PC9yZWxhdGVkLXVybHM+PC91cmxzPjxjdXN0b20yPlBNQzU4MTYx
OTE8L2N1c3RvbTI+PGVsZWN0cm9uaWMtcmVzb3VyY2UtbnVtPjEwLjEwNzMvcG5hcy4xNzE4MTg1
MTE1PC9lbGVjdHJvbmljLXJlc291cmNlLW51bT48cmVtb3RlLWRhdGFiYXNlLXByb3ZpZGVyPk5M
TTwvcmVtb3RlLWRhdGFiYXNlLXByb3ZpZGVyPjxsYW5ndWFnZT5lbmc8L2xhbmd1YWdlPjwvcmVj
b3JkPjwvQ2l0ZT48L0VuZE5vdGU+
</w:fldData>
            </w:fldChar>
          </w:r>
          <w:r>
            <w:instrText xml:space="preserve"> ADDIN EN.CITE.DATA </w:instrText>
          </w:r>
          <w:r>
            <w:fldChar w:fldCharType="end"/>
          </w:r>
          <w:r>
            <w:fldChar w:fldCharType="separate"/>
          </w:r>
          <w:r>
            <w:rPr>
              <w:noProof/>
            </w:rPr>
            <w:t>(Lee, Park et al. 2018)</w:t>
          </w:r>
          <w:r>
            <w:fldChar w:fldCharType="end"/>
          </w:r>
          <w:r w:rsidRPr="005F3F92">
            <w:t>.</w:t>
          </w:r>
        </w:p>
        <w:p w14:paraId="7ED5D146" w14:textId="77777777" w:rsidR="00F10DA9" w:rsidRDefault="00F10DA9" w:rsidP="00F10DA9">
          <w:pPr>
            <w:pStyle w:val="BodyText"/>
          </w:pPr>
        </w:p>
        <w:p w14:paraId="6BCA6A08" w14:textId="77777777" w:rsidR="00F10DA9" w:rsidRPr="000D3F95" w:rsidRDefault="00F10DA9" w:rsidP="00F10DA9">
          <w:pPr>
            <w:pStyle w:val="Heading3"/>
          </w:pPr>
          <w:r w:rsidRPr="000D3F95">
            <w:lastRenderedPageBreak/>
            <w:t xml:space="preserve">Brain </w:t>
          </w:r>
        </w:p>
        <w:p w14:paraId="4F529BA2" w14:textId="77777777" w:rsidR="00F10DA9" w:rsidRDefault="00F10DA9" w:rsidP="00F10DA9">
          <w:pPr>
            <w:pStyle w:val="BodyText"/>
          </w:pPr>
          <w:r>
            <w:t>In a study on mice, c</w:t>
          </w:r>
          <w:r w:rsidRPr="000D3F95">
            <w:t>igarette and e-cigarette exposure led to downregulation of thrombomodulin (</w:t>
          </w:r>
          <w:r>
            <w:t xml:space="preserve">an </w:t>
          </w:r>
          <w:r w:rsidRPr="000D3F95">
            <w:t>anti-coagulant), which indicated an increased risk of stroke due to increa</w:t>
          </w:r>
          <w:r>
            <w:t xml:space="preserve">sed coagulation parameters </w:t>
          </w:r>
          <w:r>
            <w:fldChar w:fldCharType="begin">
              <w:fldData xml:space="preserve">PEVuZE5vdGU+PENpdGU+PEF1dGhvcj5LYWlzYXI8L0F1dGhvcj48WWVhcj4yMDE3PC9ZZWFyPjxS
ZWNOdW0+MTA2MzwvUmVjTnVtPjxEaXNwbGF5VGV4dD4oS2Fpc2FyLCBWaWxsYWxiYSBldCBhbC4g
MjAxNyk8L0Rpc3BsYXlUZXh0PjxyZWNvcmQ+PHJlYy1udW1iZXI+MTA2MzwvcmVjLW51bWJlcj48
Zm9yZWlnbi1rZXlzPjxrZXkgYXBwPSJFTiIgZGItaWQ9Ijl6MDVkejBwcmFhZGZ1ZWUwem94emVk
azl6ZmU1Znh4NTB6NSIgdGltZXN0YW1wPSIxNTIxNTA2OTkyIj4xMDYzPC9rZXk+PGtleSBhcHA9
IkVOV2ViIiBkYi1pZD0iIj4wPC9rZXk+PC9mb3JlaWduLWtleXM+PHJlZi10eXBlIG5hbWU9Ikpv
dXJuYWwgQXJ0aWNsZSI+MTc8L3JlZi10eXBlPjxjb250cmlidXRvcnM+PGF1dGhvcnM+PGF1dGhv
cj5LYWlzYXIsIE0uIEEuPC9hdXRob3I+PGF1dGhvcj5WaWxsYWxiYSwgSC48L2F1dGhvcj48YXV0
aG9yPlByYXNhZCwgUy48L2F1dGhvcj48YXV0aG9yPkxpbGVzLCBULjwvYXV0aG9yPjxhdXRob3I+
U2lmYXQsIEEuIEUuPC9hdXRob3I+PGF1dGhvcj5TYWpqYSwgUi4gSy48L2F1dGhvcj48YXV0aG9y
PkFiYnJ1c2NhdG8sIFQuIEouPC9hdXRob3I+PGF1dGhvcj5DdWN1bGxvLCBMLjwvYXV0aG9yPjwv
YXV0aG9ycz48L2NvbnRyaWJ1dG9ycz48YXV0aC1hZGRyZXNzPkRlcGFydG1lbnQgb2YgUGhhcm1h
Y2V1dGljYWwgU2NpZW5jZXMsIFRleGFzIFRlY2ggVW5pdmVyc2l0eSBIZWFsdGggU2NpZW5jZXMg
Q2VudGVyLCBBbWFyaWxsbywgVFggNzkxMDYsIFVTQS4gRWxlY3Ryb25pYyBhZGRyZXNzOiBtZC5h
LmthaXNhckB0dHVoc2MuZWR1LiYjeEQ7RGVwYXJ0bWVudCBvZiBQaGFybWFjZXV0aWNhbCBTY2ll
bmNlcywgVGV4YXMgVGVjaCBVbml2ZXJzaXR5IEhlYWx0aCBTY2llbmNlcyBDZW50ZXIsIEFtYXJp
bGxvLCBUWCA3OTEwNiwgVVNBLiBFbGVjdHJvbmljIGFkZHJlc3M6IGhlaWRpLnZpbGxhbGJhQHR0
dWhzYy5lZHUuJiN4RDtEZXBhcnRtZW50IG9mIE5ldXJvbG9neSwgTm9ydGh3ZXN0ZXJuIFVuaXZl
cnNpdHkgRmVpbmJlcmcgU2Nob29sIG9mIE1lZGljaW5lLCBDaGljYWdvLCBJTCA2MDYxMSwgVVNB
LiBFbGVjdHJvbmljIGFkZHJlc3M6IHByYXNhZC5zaGlraGFAdHR1aHNjLmVkdS4mI3hEO0RlcGFy
dG1lbnQgb2YgUGhhcm1hY2V1dGljYWwgU2NpZW5jZXMsIFRleGFzIFRlY2ggVW5pdmVyc2l0eSBI
ZWFsdGggU2NpZW5jZXMgQ2VudGVyLCBBbWFyaWxsbywgVFggNzkxMDYsIFVTQS4gRWxlY3Ryb25p
YyBhZGRyZXNzOiB0YXlsb3IubGlsZXNAdHR1aHNjLmVkdS4mI3hEO0RlcGFydG1lbnQgb2YgUGhh
cm1hY2V1dGljYWwgU2NpZW5jZXMsIFRleGFzIFRlY2ggVW5pdmVyc2l0eSBIZWFsdGggU2NpZW5j
ZXMgQ2VudGVyLCBBbWFyaWxsbywgVFggNzkxMDYsIFVTQS4gRWxlY3Ryb25pYyBhZGRyZXNzOiBh
bGkuc2lmYXRAdHR1aHNjLmVkdS4mI3hEO0RlcGFydG1lbnQgb2YgUGhhcm1hY2V1dGljYWwgU2Np
ZW5jZXMsIFRleGFzIFRlY2ggVW5pdmVyc2l0eSBIZWFsdGggU2NpZW5jZXMgQ2VudGVyLCBBbWFy
aWxsbywgVFggNzkxMDYsIFVTQS4gRWxlY3Ryb25pYyBhZGRyZXNzOiByYXZpLnNhamphQHR0dWhz
Yy5lZHUuJiN4RDtEZXBhcnRtZW50IG9mIFBoYXJtYWNldXRpY2FsIFNjaWVuY2VzLCBUZXhhcyBU
ZWNoIFVuaXZlcnNpdHkgSGVhbHRoIFNjaWVuY2VzIENlbnRlciwgQW1hcmlsbG8sIFRYIDc5MTA2
LCBVU0E7IENlbnRlciBmb3IgQmxvb2QgQnJhaW4gQmFycmllciBSZXNlYXJjaCwgVGV4YXMgVGVj
aCBVbml2ZXJzaXR5IEhlYWx0aCBTY2llbmNlcyBDZW50ZXIsIEFtYXJpbGxvLCBUWCA3OTEwNiwg
VVNBLiBFbGVjdHJvbmljIGFkZHJlc3M6IFRob21hcy5BYmJydXNjYXRvQHR0dWhzYy5lZHUuJiN4
RDtEZXBhcnRtZW50IG9mIFBoYXJtYWNldXRpY2FsIFNjaWVuY2VzLCBUZXhhcyBUZWNoIFVuaXZl
cnNpdHkgSGVhbHRoIFNjaWVuY2VzIENlbnRlciwgQW1hcmlsbG8sIFRYIDc5MTA2LCBVU0E7IENl
bnRlciBmb3IgQmxvb2QgQnJhaW4gQmFycmllciBSZXNlYXJjaCwgVGV4YXMgVGVjaCBVbml2ZXJz
aXR5IEhlYWx0aCBTY2llbmNlcyBDZW50ZXIsIEFtYXJpbGxvLCBUWCA3OTEwNiwgVVNBLiBFbGVj
dHJvbmljIGFkZHJlc3M6IGx1Y2EuY3VjdWxsb0B0dHVoc2MuZWR1LjwvYXV0aC1hZGRyZXNzPjx0
aXRsZXM+PHRpdGxlPk9mZnNldHRpbmcgdGhlIGltcGFjdCBvZiBzbW9raW5nIGFuZCBlLWNpZ2Fy
ZXR0ZSB2YXBpbmcgb24gdGhlIGNlcmVicm92YXNjdWxhciBzeXN0ZW0gYW5kIHN0cm9rZSBpbmp1
cnk6IElzIE1ldGZvcm1pbiBhIHZpYWJsZSBjb3VudGVybWVhc3VyZT88L3RpdGxlPjxzZWNvbmRh
cnktdGl0bGU+UmVkb3ggQmlvbDwvc2Vjb25kYXJ5LXRpdGxlPjxhbHQtdGl0bGU+UmVkb3ggYmlv
bG9neTwvYWx0LXRpdGxlPjwvdGl0bGVzPjxhbHQtcGVyaW9kaWNhbD48ZnVsbC10aXRsZT5SZWRv
eCBCaW9sb2d5PC9mdWxsLXRpdGxlPjwvYWx0LXBlcmlvZGljYWw+PHBhZ2VzPjM1My0zNjI8L3Bh
Z2VzPjx2b2x1bWU+MTM8L3ZvbHVtZT48ZWRpdGlvbj4yMDE3LzA2LzI1PC9lZGl0aW9uPjxrZXl3
b3Jkcz48a2V5d29yZD5CbG9vZC1icmFpbiBiYXJyaWVyPC9rZXl3b3JkPjxrZXl3b3JkPkNpZ2Fy
ZXR0ZSBzbW9rZTwva2V5d29yZD48a2V5d29yZD5JbmZsYW1tYXRpb248L2tleXdvcmQ+PGtleXdv
cmQ+SXNjaGVtaWEsIEJsb29kIEhlbW9zdGFzaXM8L2tleXdvcmQ+PGtleXdvcmQ+TWV0Zm9ybWlu
PC9rZXl3b3JkPjxrZXl3b3JkPk5yZjI8L2tleXdvcmQ+PGtleXdvcmQ+T3hpZGF0aXZlIHN0cmVz
czwva2V5d29yZD48a2V5d29yZD5WYXBpbmc8L2tleXdvcmQ+PC9rZXl3b3Jkcz48ZGF0ZXM+PHll
YXI+MjAxNzwveWVhcj48cHViLWRhdGVzPjxkYXRlPk9jdDwvZGF0ZT48L3B1Yi1kYXRlcz48L2Rh
dGVzPjxpc2JuPjIyMTMtMjMxNzwvaXNibj48YWNjZXNzaW9uLW51bT4yODY0Njc5NTwvYWNjZXNz
aW9uLW51bT48dXJscz48L3VybHM+PGN1c3RvbTI+UE1DNTQ4MDk4NTwvY3VzdG9tMj48ZWxlY3Ry
b25pYy1yZXNvdXJjZS1udW0+MTAuMTAxNi9qLnJlZG94LjIwMTcuMDYuMDA2PC9lbGVjdHJvbmlj
LXJlc291cmNlLW51bT48cmVtb3RlLWRhdGFiYXNlLXByb3ZpZGVyPk5MTTwvcmVtb3RlLWRhdGFi
YXNlLXByb3ZpZGVyPjxyZXNlYXJjaC1ub3Rlcz5IT0lfS0I6IEV4Y2x1ZGVkIC0gYW5pbWFsIHN0
dWR5PC9yZXNlYXJjaC1ub3Rlcz48bGFuZ3VhZ2U+ZW5nPC9sYW5ndWFnZT48L3JlY29yZD48L0Np
dGU+PC9FbmROb3RlPn==
</w:fldData>
            </w:fldChar>
          </w:r>
          <w:r>
            <w:instrText xml:space="preserve"> ADDIN EN.CITE </w:instrText>
          </w:r>
          <w:r>
            <w:fldChar w:fldCharType="begin">
              <w:fldData xml:space="preserve">PEVuZE5vdGU+PENpdGU+PEF1dGhvcj5LYWlzYXI8L0F1dGhvcj48WWVhcj4yMDE3PC9ZZWFyPjxS
ZWNOdW0+MTA2MzwvUmVjTnVtPjxEaXNwbGF5VGV4dD4oS2Fpc2FyLCBWaWxsYWxiYSBldCBhbC4g
MjAxNyk8L0Rpc3BsYXlUZXh0PjxyZWNvcmQ+PHJlYy1udW1iZXI+MTA2MzwvcmVjLW51bWJlcj48
Zm9yZWlnbi1rZXlzPjxrZXkgYXBwPSJFTiIgZGItaWQ9Ijl6MDVkejBwcmFhZGZ1ZWUwem94emVk
azl6ZmU1Znh4NTB6NSIgdGltZXN0YW1wPSIxNTIxNTA2OTkyIj4xMDYzPC9rZXk+PGtleSBhcHA9
IkVOV2ViIiBkYi1pZD0iIj4wPC9rZXk+PC9mb3JlaWduLWtleXM+PHJlZi10eXBlIG5hbWU9Ikpv
dXJuYWwgQXJ0aWNsZSI+MTc8L3JlZi10eXBlPjxjb250cmlidXRvcnM+PGF1dGhvcnM+PGF1dGhv
cj5LYWlzYXIsIE0uIEEuPC9hdXRob3I+PGF1dGhvcj5WaWxsYWxiYSwgSC48L2F1dGhvcj48YXV0
aG9yPlByYXNhZCwgUy48L2F1dGhvcj48YXV0aG9yPkxpbGVzLCBULjwvYXV0aG9yPjxhdXRob3I+
U2lmYXQsIEEuIEUuPC9hdXRob3I+PGF1dGhvcj5TYWpqYSwgUi4gSy48L2F1dGhvcj48YXV0aG9y
PkFiYnJ1c2NhdG8sIFQuIEouPC9hdXRob3I+PGF1dGhvcj5DdWN1bGxvLCBMLjwvYXV0aG9yPjwv
YXV0aG9ycz48L2NvbnRyaWJ1dG9ycz48YXV0aC1hZGRyZXNzPkRlcGFydG1lbnQgb2YgUGhhcm1h
Y2V1dGljYWwgU2NpZW5jZXMsIFRleGFzIFRlY2ggVW5pdmVyc2l0eSBIZWFsdGggU2NpZW5jZXMg
Q2VudGVyLCBBbWFyaWxsbywgVFggNzkxMDYsIFVTQS4gRWxlY3Ryb25pYyBhZGRyZXNzOiBtZC5h
LmthaXNhckB0dHVoc2MuZWR1LiYjeEQ7RGVwYXJ0bWVudCBvZiBQaGFybWFjZXV0aWNhbCBTY2ll
bmNlcywgVGV4YXMgVGVjaCBVbml2ZXJzaXR5IEhlYWx0aCBTY2llbmNlcyBDZW50ZXIsIEFtYXJp
bGxvLCBUWCA3OTEwNiwgVVNBLiBFbGVjdHJvbmljIGFkZHJlc3M6IGhlaWRpLnZpbGxhbGJhQHR0
dWhzYy5lZHUuJiN4RDtEZXBhcnRtZW50IG9mIE5ldXJvbG9neSwgTm9ydGh3ZXN0ZXJuIFVuaXZl
cnNpdHkgRmVpbmJlcmcgU2Nob29sIG9mIE1lZGljaW5lLCBDaGljYWdvLCBJTCA2MDYxMSwgVVNB
LiBFbGVjdHJvbmljIGFkZHJlc3M6IHByYXNhZC5zaGlraGFAdHR1aHNjLmVkdS4mI3hEO0RlcGFy
dG1lbnQgb2YgUGhhcm1hY2V1dGljYWwgU2NpZW5jZXMsIFRleGFzIFRlY2ggVW5pdmVyc2l0eSBI
ZWFsdGggU2NpZW5jZXMgQ2VudGVyLCBBbWFyaWxsbywgVFggNzkxMDYsIFVTQS4gRWxlY3Ryb25p
YyBhZGRyZXNzOiB0YXlsb3IubGlsZXNAdHR1aHNjLmVkdS4mI3hEO0RlcGFydG1lbnQgb2YgUGhh
cm1hY2V1dGljYWwgU2NpZW5jZXMsIFRleGFzIFRlY2ggVW5pdmVyc2l0eSBIZWFsdGggU2NpZW5j
ZXMgQ2VudGVyLCBBbWFyaWxsbywgVFggNzkxMDYsIFVTQS4gRWxlY3Ryb25pYyBhZGRyZXNzOiBh
bGkuc2lmYXRAdHR1aHNjLmVkdS4mI3hEO0RlcGFydG1lbnQgb2YgUGhhcm1hY2V1dGljYWwgU2Np
ZW5jZXMsIFRleGFzIFRlY2ggVW5pdmVyc2l0eSBIZWFsdGggU2NpZW5jZXMgQ2VudGVyLCBBbWFy
aWxsbywgVFggNzkxMDYsIFVTQS4gRWxlY3Ryb25pYyBhZGRyZXNzOiByYXZpLnNhamphQHR0dWhz
Yy5lZHUuJiN4RDtEZXBhcnRtZW50IG9mIFBoYXJtYWNldXRpY2FsIFNjaWVuY2VzLCBUZXhhcyBU
ZWNoIFVuaXZlcnNpdHkgSGVhbHRoIFNjaWVuY2VzIENlbnRlciwgQW1hcmlsbG8sIFRYIDc5MTA2
LCBVU0E7IENlbnRlciBmb3IgQmxvb2QgQnJhaW4gQmFycmllciBSZXNlYXJjaCwgVGV4YXMgVGVj
aCBVbml2ZXJzaXR5IEhlYWx0aCBTY2llbmNlcyBDZW50ZXIsIEFtYXJpbGxvLCBUWCA3OTEwNiwg
VVNBLiBFbGVjdHJvbmljIGFkZHJlc3M6IFRob21hcy5BYmJydXNjYXRvQHR0dWhzYy5lZHUuJiN4
RDtEZXBhcnRtZW50IG9mIFBoYXJtYWNldXRpY2FsIFNjaWVuY2VzLCBUZXhhcyBUZWNoIFVuaXZl
cnNpdHkgSGVhbHRoIFNjaWVuY2VzIENlbnRlciwgQW1hcmlsbG8sIFRYIDc5MTA2LCBVU0E7IENl
bnRlciBmb3IgQmxvb2QgQnJhaW4gQmFycmllciBSZXNlYXJjaCwgVGV4YXMgVGVjaCBVbml2ZXJz
aXR5IEhlYWx0aCBTY2llbmNlcyBDZW50ZXIsIEFtYXJpbGxvLCBUWCA3OTEwNiwgVVNBLiBFbGVj
dHJvbmljIGFkZHJlc3M6IGx1Y2EuY3VjdWxsb0B0dHVoc2MuZWR1LjwvYXV0aC1hZGRyZXNzPjx0
aXRsZXM+PHRpdGxlPk9mZnNldHRpbmcgdGhlIGltcGFjdCBvZiBzbW9raW5nIGFuZCBlLWNpZ2Fy
ZXR0ZSB2YXBpbmcgb24gdGhlIGNlcmVicm92YXNjdWxhciBzeXN0ZW0gYW5kIHN0cm9rZSBpbmp1
cnk6IElzIE1ldGZvcm1pbiBhIHZpYWJsZSBjb3VudGVybWVhc3VyZT88L3RpdGxlPjxzZWNvbmRh
cnktdGl0bGU+UmVkb3ggQmlvbDwvc2Vjb25kYXJ5LXRpdGxlPjxhbHQtdGl0bGU+UmVkb3ggYmlv
bG9neTwvYWx0LXRpdGxlPjwvdGl0bGVzPjxhbHQtcGVyaW9kaWNhbD48ZnVsbC10aXRsZT5SZWRv
eCBCaW9sb2d5PC9mdWxsLXRpdGxlPjwvYWx0LXBlcmlvZGljYWw+PHBhZ2VzPjM1My0zNjI8L3Bh
Z2VzPjx2b2x1bWU+MTM8L3ZvbHVtZT48ZWRpdGlvbj4yMDE3LzA2LzI1PC9lZGl0aW9uPjxrZXl3
b3Jkcz48a2V5d29yZD5CbG9vZC1icmFpbiBiYXJyaWVyPC9rZXl3b3JkPjxrZXl3b3JkPkNpZ2Fy
ZXR0ZSBzbW9rZTwva2V5d29yZD48a2V5d29yZD5JbmZsYW1tYXRpb248L2tleXdvcmQ+PGtleXdv
cmQ+SXNjaGVtaWEsIEJsb29kIEhlbW9zdGFzaXM8L2tleXdvcmQ+PGtleXdvcmQ+TWV0Zm9ybWlu
PC9rZXl3b3JkPjxrZXl3b3JkPk5yZjI8L2tleXdvcmQ+PGtleXdvcmQ+T3hpZGF0aXZlIHN0cmVz
czwva2V5d29yZD48a2V5d29yZD5WYXBpbmc8L2tleXdvcmQ+PC9rZXl3b3Jkcz48ZGF0ZXM+PHll
YXI+MjAxNzwveWVhcj48cHViLWRhdGVzPjxkYXRlPk9jdDwvZGF0ZT48L3B1Yi1kYXRlcz48L2Rh
dGVzPjxpc2JuPjIyMTMtMjMxNzwvaXNibj48YWNjZXNzaW9uLW51bT4yODY0Njc5NTwvYWNjZXNz
aW9uLW51bT48dXJscz48L3VybHM+PGN1c3RvbTI+UE1DNTQ4MDk4NTwvY3VzdG9tMj48ZWxlY3Ry
b25pYy1yZXNvdXJjZS1udW0+MTAuMTAxNi9qLnJlZG94LjIwMTcuMDYuMDA2PC9lbGVjdHJvbmlj
LXJlc291cmNlLW51bT48cmVtb3RlLWRhdGFiYXNlLXByb3ZpZGVyPk5MTTwvcmVtb3RlLWRhdGFi
YXNlLXByb3ZpZGVyPjxyZXNlYXJjaC1ub3Rlcz5IT0lfS0I6IEV4Y2x1ZGVkIC0gYW5pbWFsIHN0
dWR5PC9yZXNlYXJjaC1ub3Rlcz48bGFuZ3VhZ2U+ZW5nPC9sYW5ndWFnZT48L3JlY29yZD48L0Np
dGU+PC9FbmROb3RlPn==
</w:fldData>
            </w:fldChar>
          </w:r>
          <w:r>
            <w:instrText xml:space="preserve"> ADDIN EN.CITE.DATA </w:instrText>
          </w:r>
          <w:r>
            <w:fldChar w:fldCharType="end"/>
          </w:r>
          <w:r>
            <w:fldChar w:fldCharType="separate"/>
          </w:r>
          <w:r>
            <w:rPr>
              <w:noProof/>
            </w:rPr>
            <w:t>(Kaisar, Villalba et al. 2017)</w:t>
          </w:r>
          <w:r>
            <w:fldChar w:fldCharType="end"/>
          </w:r>
          <w:r>
            <w:t>. Cigarette and e-cigarette exposure both</w:t>
          </w:r>
          <w:r w:rsidRPr="000D3F95">
            <w:t xml:space="preserve"> led to downregulation of Nrf2 expression</w:t>
          </w:r>
          <w:r>
            <w:t xml:space="preserve"> (</w:t>
          </w:r>
          <w:r w:rsidRPr="00DD12ED">
            <w:t>nuclear factor erythroid 2-related factor</w:t>
          </w:r>
          <w:r>
            <w:t xml:space="preserve">) </w:t>
          </w:r>
          <w:r>
            <w:fldChar w:fldCharType="begin">
              <w:fldData xml:space="preserve">PEVuZE5vdGU+PENpdGU+PEF1dGhvcj5LYWlzYXI8L0F1dGhvcj48WWVhcj4yMDE3PC9ZZWFyPjxS
ZWNOdW0+MTA2MzwvUmVjTnVtPjxEaXNwbGF5VGV4dD4oS2Fpc2FyLCBWaWxsYWxiYSBldCBhbC4g
MjAxNyk8L0Rpc3BsYXlUZXh0PjxyZWNvcmQ+PHJlYy1udW1iZXI+MTA2MzwvcmVjLW51bWJlcj48
Zm9yZWlnbi1rZXlzPjxrZXkgYXBwPSJFTiIgZGItaWQ9Ijl6MDVkejBwcmFhZGZ1ZWUwem94emVk
azl6ZmU1Znh4NTB6NSIgdGltZXN0YW1wPSIxNTIxNTA2OTkyIj4xMDYzPC9rZXk+PGtleSBhcHA9
IkVOV2ViIiBkYi1pZD0iIj4wPC9rZXk+PC9mb3JlaWduLWtleXM+PHJlZi10eXBlIG5hbWU9Ikpv
dXJuYWwgQXJ0aWNsZSI+MTc8L3JlZi10eXBlPjxjb250cmlidXRvcnM+PGF1dGhvcnM+PGF1dGhv
cj5LYWlzYXIsIE0uIEEuPC9hdXRob3I+PGF1dGhvcj5WaWxsYWxiYSwgSC48L2F1dGhvcj48YXV0
aG9yPlByYXNhZCwgUy48L2F1dGhvcj48YXV0aG9yPkxpbGVzLCBULjwvYXV0aG9yPjxhdXRob3I+
U2lmYXQsIEEuIEUuPC9hdXRob3I+PGF1dGhvcj5TYWpqYSwgUi4gSy48L2F1dGhvcj48YXV0aG9y
PkFiYnJ1c2NhdG8sIFQuIEouPC9hdXRob3I+PGF1dGhvcj5DdWN1bGxvLCBMLjwvYXV0aG9yPjwv
YXV0aG9ycz48L2NvbnRyaWJ1dG9ycz48YXV0aC1hZGRyZXNzPkRlcGFydG1lbnQgb2YgUGhhcm1h
Y2V1dGljYWwgU2NpZW5jZXMsIFRleGFzIFRlY2ggVW5pdmVyc2l0eSBIZWFsdGggU2NpZW5jZXMg
Q2VudGVyLCBBbWFyaWxsbywgVFggNzkxMDYsIFVTQS4gRWxlY3Ryb25pYyBhZGRyZXNzOiBtZC5h
LmthaXNhckB0dHVoc2MuZWR1LiYjeEQ7RGVwYXJ0bWVudCBvZiBQaGFybWFjZXV0aWNhbCBTY2ll
bmNlcywgVGV4YXMgVGVjaCBVbml2ZXJzaXR5IEhlYWx0aCBTY2llbmNlcyBDZW50ZXIsIEFtYXJp
bGxvLCBUWCA3OTEwNiwgVVNBLiBFbGVjdHJvbmljIGFkZHJlc3M6IGhlaWRpLnZpbGxhbGJhQHR0
dWhzYy5lZHUuJiN4RDtEZXBhcnRtZW50IG9mIE5ldXJvbG9neSwgTm9ydGh3ZXN0ZXJuIFVuaXZl
cnNpdHkgRmVpbmJlcmcgU2Nob29sIG9mIE1lZGljaW5lLCBDaGljYWdvLCBJTCA2MDYxMSwgVVNB
LiBFbGVjdHJvbmljIGFkZHJlc3M6IHByYXNhZC5zaGlraGFAdHR1aHNjLmVkdS4mI3hEO0RlcGFy
dG1lbnQgb2YgUGhhcm1hY2V1dGljYWwgU2NpZW5jZXMsIFRleGFzIFRlY2ggVW5pdmVyc2l0eSBI
ZWFsdGggU2NpZW5jZXMgQ2VudGVyLCBBbWFyaWxsbywgVFggNzkxMDYsIFVTQS4gRWxlY3Ryb25p
YyBhZGRyZXNzOiB0YXlsb3IubGlsZXNAdHR1aHNjLmVkdS4mI3hEO0RlcGFydG1lbnQgb2YgUGhh
cm1hY2V1dGljYWwgU2NpZW5jZXMsIFRleGFzIFRlY2ggVW5pdmVyc2l0eSBIZWFsdGggU2NpZW5j
ZXMgQ2VudGVyLCBBbWFyaWxsbywgVFggNzkxMDYsIFVTQS4gRWxlY3Ryb25pYyBhZGRyZXNzOiBh
bGkuc2lmYXRAdHR1aHNjLmVkdS4mI3hEO0RlcGFydG1lbnQgb2YgUGhhcm1hY2V1dGljYWwgU2Np
ZW5jZXMsIFRleGFzIFRlY2ggVW5pdmVyc2l0eSBIZWFsdGggU2NpZW5jZXMgQ2VudGVyLCBBbWFy
aWxsbywgVFggNzkxMDYsIFVTQS4gRWxlY3Ryb25pYyBhZGRyZXNzOiByYXZpLnNhamphQHR0dWhz
Yy5lZHUuJiN4RDtEZXBhcnRtZW50IG9mIFBoYXJtYWNldXRpY2FsIFNjaWVuY2VzLCBUZXhhcyBU
ZWNoIFVuaXZlcnNpdHkgSGVhbHRoIFNjaWVuY2VzIENlbnRlciwgQW1hcmlsbG8sIFRYIDc5MTA2
LCBVU0E7IENlbnRlciBmb3IgQmxvb2QgQnJhaW4gQmFycmllciBSZXNlYXJjaCwgVGV4YXMgVGVj
aCBVbml2ZXJzaXR5IEhlYWx0aCBTY2llbmNlcyBDZW50ZXIsIEFtYXJpbGxvLCBUWCA3OTEwNiwg
VVNBLiBFbGVjdHJvbmljIGFkZHJlc3M6IFRob21hcy5BYmJydXNjYXRvQHR0dWhzYy5lZHUuJiN4
RDtEZXBhcnRtZW50IG9mIFBoYXJtYWNldXRpY2FsIFNjaWVuY2VzLCBUZXhhcyBUZWNoIFVuaXZl
cnNpdHkgSGVhbHRoIFNjaWVuY2VzIENlbnRlciwgQW1hcmlsbG8sIFRYIDc5MTA2LCBVU0E7IENl
bnRlciBmb3IgQmxvb2QgQnJhaW4gQmFycmllciBSZXNlYXJjaCwgVGV4YXMgVGVjaCBVbml2ZXJz
aXR5IEhlYWx0aCBTY2llbmNlcyBDZW50ZXIsIEFtYXJpbGxvLCBUWCA3OTEwNiwgVVNBLiBFbGVj
dHJvbmljIGFkZHJlc3M6IGx1Y2EuY3VjdWxsb0B0dHVoc2MuZWR1LjwvYXV0aC1hZGRyZXNzPjx0
aXRsZXM+PHRpdGxlPk9mZnNldHRpbmcgdGhlIGltcGFjdCBvZiBzbW9raW5nIGFuZCBlLWNpZ2Fy
ZXR0ZSB2YXBpbmcgb24gdGhlIGNlcmVicm92YXNjdWxhciBzeXN0ZW0gYW5kIHN0cm9rZSBpbmp1
cnk6IElzIE1ldGZvcm1pbiBhIHZpYWJsZSBjb3VudGVybWVhc3VyZT88L3RpdGxlPjxzZWNvbmRh
cnktdGl0bGU+UmVkb3ggQmlvbDwvc2Vjb25kYXJ5LXRpdGxlPjxhbHQtdGl0bGU+UmVkb3ggYmlv
bG9neTwvYWx0LXRpdGxlPjwvdGl0bGVzPjxhbHQtcGVyaW9kaWNhbD48ZnVsbC10aXRsZT5SZWRv
eCBCaW9sb2d5PC9mdWxsLXRpdGxlPjwvYWx0LXBlcmlvZGljYWw+PHBhZ2VzPjM1My0zNjI8L3Bh
Z2VzPjx2b2x1bWU+MTM8L3ZvbHVtZT48ZWRpdGlvbj4yMDE3LzA2LzI1PC9lZGl0aW9uPjxrZXl3
b3Jkcz48a2V5d29yZD5CbG9vZC1icmFpbiBiYXJyaWVyPC9rZXl3b3JkPjxrZXl3b3JkPkNpZ2Fy
ZXR0ZSBzbW9rZTwva2V5d29yZD48a2V5d29yZD5JbmZsYW1tYXRpb248L2tleXdvcmQ+PGtleXdv
cmQ+SXNjaGVtaWEsIEJsb29kIEhlbW9zdGFzaXM8L2tleXdvcmQ+PGtleXdvcmQ+TWV0Zm9ybWlu
PC9rZXl3b3JkPjxrZXl3b3JkPk5yZjI8L2tleXdvcmQ+PGtleXdvcmQ+T3hpZGF0aXZlIHN0cmVz
czwva2V5d29yZD48a2V5d29yZD5WYXBpbmc8L2tleXdvcmQ+PC9rZXl3b3Jkcz48ZGF0ZXM+PHll
YXI+MjAxNzwveWVhcj48cHViLWRhdGVzPjxkYXRlPk9jdDwvZGF0ZT48L3B1Yi1kYXRlcz48L2Rh
dGVzPjxpc2JuPjIyMTMtMjMxNzwvaXNibj48YWNjZXNzaW9uLW51bT4yODY0Njc5NTwvYWNjZXNz
aW9uLW51bT48dXJscz48L3VybHM+PGN1c3RvbTI+UE1DNTQ4MDk4NTwvY3VzdG9tMj48ZWxlY3Ry
b25pYy1yZXNvdXJjZS1udW0+MTAuMTAxNi9qLnJlZG94LjIwMTcuMDYuMDA2PC9lbGVjdHJvbmlj
LXJlc291cmNlLW51bT48cmVtb3RlLWRhdGFiYXNlLXByb3ZpZGVyPk5MTTwvcmVtb3RlLWRhdGFi
YXNlLXByb3ZpZGVyPjxyZXNlYXJjaC1ub3Rlcz5IT0lfS0I6IEV4Y2x1ZGVkIC0gYW5pbWFsIHN0
dWR5PC9yZXNlYXJjaC1ub3Rlcz48bGFuZ3VhZ2U+ZW5nPC9sYW5ndWFnZT48L3JlY29yZD48L0Np
dGU+PC9FbmROb3RlPn==
</w:fldData>
            </w:fldChar>
          </w:r>
          <w:r>
            <w:instrText xml:space="preserve"> ADDIN EN.CITE </w:instrText>
          </w:r>
          <w:r>
            <w:fldChar w:fldCharType="begin">
              <w:fldData xml:space="preserve">PEVuZE5vdGU+PENpdGU+PEF1dGhvcj5LYWlzYXI8L0F1dGhvcj48WWVhcj4yMDE3PC9ZZWFyPjxS
ZWNOdW0+MTA2MzwvUmVjTnVtPjxEaXNwbGF5VGV4dD4oS2Fpc2FyLCBWaWxsYWxiYSBldCBhbC4g
MjAxNyk8L0Rpc3BsYXlUZXh0PjxyZWNvcmQ+PHJlYy1udW1iZXI+MTA2MzwvcmVjLW51bWJlcj48
Zm9yZWlnbi1rZXlzPjxrZXkgYXBwPSJFTiIgZGItaWQ9Ijl6MDVkejBwcmFhZGZ1ZWUwem94emVk
azl6ZmU1Znh4NTB6NSIgdGltZXN0YW1wPSIxNTIxNTA2OTkyIj4xMDYzPC9rZXk+PGtleSBhcHA9
IkVOV2ViIiBkYi1pZD0iIj4wPC9rZXk+PC9mb3JlaWduLWtleXM+PHJlZi10eXBlIG5hbWU9Ikpv
dXJuYWwgQXJ0aWNsZSI+MTc8L3JlZi10eXBlPjxjb250cmlidXRvcnM+PGF1dGhvcnM+PGF1dGhv
cj5LYWlzYXIsIE0uIEEuPC9hdXRob3I+PGF1dGhvcj5WaWxsYWxiYSwgSC48L2F1dGhvcj48YXV0
aG9yPlByYXNhZCwgUy48L2F1dGhvcj48YXV0aG9yPkxpbGVzLCBULjwvYXV0aG9yPjxhdXRob3I+
U2lmYXQsIEEuIEUuPC9hdXRob3I+PGF1dGhvcj5TYWpqYSwgUi4gSy48L2F1dGhvcj48YXV0aG9y
PkFiYnJ1c2NhdG8sIFQuIEouPC9hdXRob3I+PGF1dGhvcj5DdWN1bGxvLCBMLjwvYXV0aG9yPjwv
YXV0aG9ycz48L2NvbnRyaWJ1dG9ycz48YXV0aC1hZGRyZXNzPkRlcGFydG1lbnQgb2YgUGhhcm1h
Y2V1dGljYWwgU2NpZW5jZXMsIFRleGFzIFRlY2ggVW5pdmVyc2l0eSBIZWFsdGggU2NpZW5jZXMg
Q2VudGVyLCBBbWFyaWxsbywgVFggNzkxMDYsIFVTQS4gRWxlY3Ryb25pYyBhZGRyZXNzOiBtZC5h
LmthaXNhckB0dHVoc2MuZWR1LiYjeEQ7RGVwYXJ0bWVudCBvZiBQaGFybWFjZXV0aWNhbCBTY2ll
bmNlcywgVGV4YXMgVGVjaCBVbml2ZXJzaXR5IEhlYWx0aCBTY2llbmNlcyBDZW50ZXIsIEFtYXJp
bGxvLCBUWCA3OTEwNiwgVVNBLiBFbGVjdHJvbmljIGFkZHJlc3M6IGhlaWRpLnZpbGxhbGJhQHR0
dWhzYy5lZHUuJiN4RDtEZXBhcnRtZW50IG9mIE5ldXJvbG9neSwgTm9ydGh3ZXN0ZXJuIFVuaXZl
cnNpdHkgRmVpbmJlcmcgU2Nob29sIG9mIE1lZGljaW5lLCBDaGljYWdvLCBJTCA2MDYxMSwgVVNB
LiBFbGVjdHJvbmljIGFkZHJlc3M6IHByYXNhZC5zaGlraGFAdHR1aHNjLmVkdS4mI3hEO0RlcGFy
dG1lbnQgb2YgUGhhcm1hY2V1dGljYWwgU2NpZW5jZXMsIFRleGFzIFRlY2ggVW5pdmVyc2l0eSBI
ZWFsdGggU2NpZW5jZXMgQ2VudGVyLCBBbWFyaWxsbywgVFggNzkxMDYsIFVTQS4gRWxlY3Ryb25p
YyBhZGRyZXNzOiB0YXlsb3IubGlsZXNAdHR1aHNjLmVkdS4mI3hEO0RlcGFydG1lbnQgb2YgUGhh
cm1hY2V1dGljYWwgU2NpZW5jZXMsIFRleGFzIFRlY2ggVW5pdmVyc2l0eSBIZWFsdGggU2NpZW5j
ZXMgQ2VudGVyLCBBbWFyaWxsbywgVFggNzkxMDYsIFVTQS4gRWxlY3Ryb25pYyBhZGRyZXNzOiBh
bGkuc2lmYXRAdHR1aHNjLmVkdS4mI3hEO0RlcGFydG1lbnQgb2YgUGhhcm1hY2V1dGljYWwgU2Np
ZW5jZXMsIFRleGFzIFRlY2ggVW5pdmVyc2l0eSBIZWFsdGggU2NpZW5jZXMgQ2VudGVyLCBBbWFy
aWxsbywgVFggNzkxMDYsIFVTQS4gRWxlY3Ryb25pYyBhZGRyZXNzOiByYXZpLnNhamphQHR0dWhz
Yy5lZHUuJiN4RDtEZXBhcnRtZW50IG9mIFBoYXJtYWNldXRpY2FsIFNjaWVuY2VzLCBUZXhhcyBU
ZWNoIFVuaXZlcnNpdHkgSGVhbHRoIFNjaWVuY2VzIENlbnRlciwgQW1hcmlsbG8sIFRYIDc5MTA2
LCBVU0E7IENlbnRlciBmb3IgQmxvb2QgQnJhaW4gQmFycmllciBSZXNlYXJjaCwgVGV4YXMgVGVj
aCBVbml2ZXJzaXR5IEhlYWx0aCBTY2llbmNlcyBDZW50ZXIsIEFtYXJpbGxvLCBUWCA3OTEwNiwg
VVNBLiBFbGVjdHJvbmljIGFkZHJlc3M6IFRob21hcy5BYmJydXNjYXRvQHR0dWhzYy5lZHUuJiN4
RDtEZXBhcnRtZW50IG9mIFBoYXJtYWNldXRpY2FsIFNjaWVuY2VzLCBUZXhhcyBUZWNoIFVuaXZl
cnNpdHkgSGVhbHRoIFNjaWVuY2VzIENlbnRlciwgQW1hcmlsbG8sIFRYIDc5MTA2LCBVU0E7IENl
bnRlciBmb3IgQmxvb2QgQnJhaW4gQmFycmllciBSZXNlYXJjaCwgVGV4YXMgVGVjaCBVbml2ZXJz
aXR5IEhlYWx0aCBTY2llbmNlcyBDZW50ZXIsIEFtYXJpbGxvLCBUWCA3OTEwNiwgVVNBLiBFbGVj
dHJvbmljIGFkZHJlc3M6IGx1Y2EuY3VjdWxsb0B0dHVoc2MuZWR1LjwvYXV0aC1hZGRyZXNzPjx0
aXRsZXM+PHRpdGxlPk9mZnNldHRpbmcgdGhlIGltcGFjdCBvZiBzbW9raW5nIGFuZCBlLWNpZ2Fy
ZXR0ZSB2YXBpbmcgb24gdGhlIGNlcmVicm92YXNjdWxhciBzeXN0ZW0gYW5kIHN0cm9rZSBpbmp1
cnk6IElzIE1ldGZvcm1pbiBhIHZpYWJsZSBjb3VudGVybWVhc3VyZT88L3RpdGxlPjxzZWNvbmRh
cnktdGl0bGU+UmVkb3ggQmlvbDwvc2Vjb25kYXJ5LXRpdGxlPjxhbHQtdGl0bGU+UmVkb3ggYmlv
bG9neTwvYWx0LXRpdGxlPjwvdGl0bGVzPjxhbHQtcGVyaW9kaWNhbD48ZnVsbC10aXRsZT5SZWRv
eCBCaW9sb2d5PC9mdWxsLXRpdGxlPjwvYWx0LXBlcmlvZGljYWw+PHBhZ2VzPjM1My0zNjI8L3Bh
Z2VzPjx2b2x1bWU+MTM8L3ZvbHVtZT48ZWRpdGlvbj4yMDE3LzA2LzI1PC9lZGl0aW9uPjxrZXl3
b3Jkcz48a2V5d29yZD5CbG9vZC1icmFpbiBiYXJyaWVyPC9rZXl3b3JkPjxrZXl3b3JkPkNpZ2Fy
ZXR0ZSBzbW9rZTwva2V5d29yZD48a2V5d29yZD5JbmZsYW1tYXRpb248L2tleXdvcmQ+PGtleXdv
cmQ+SXNjaGVtaWEsIEJsb29kIEhlbW9zdGFzaXM8L2tleXdvcmQ+PGtleXdvcmQ+TWV0Zm9ybWlu
PC9rZXl3b3JkPjxrZXl3b3JkPk5yZjI8L2tleXdvcmQ+PGtleXdvcmQ+T3hpZGF0aXZlIHN0cmVz
czwva2V5d29yZD48a2V5d29yZD5WYXBpbmc8L2tleXdvcmQ+PC9rZXl3b3Jkcz48ZGF0ZXM+PHll
YXI+MjAxNzwveWVhcj48cHViLWRhdGVzPjxkYXRlPk9jdDwvZGF0ZT48L3B1Yi1kYXRlcz48L2Rh
dGVzPjxpc2JuPjIyMTMtMjMxNzwvaXNibj48YWNjZXNzaW9uLW51bT4yODY0Njc5NTwvYWNjZXNz
aW9uLW51bT48dXJscz48L3VybHM+PGN1c3RvbTI+UE1DNTQ4MDk4NTwvY3VzdG9tMj48ZWxlY3Ry
b25pYy1yZXNvdXJjZS1udW0+MTAuMTAxNi9qLnJlZG94LjIwMTcuMDYuMDA2PC9lbGVjdHJvbmlj
LXJlc291cmNlLW51bT48cmVtb3RlLWRhdGFiYXNlLXByb3ZpZGVyPk5MTTwvcmVtb3RlLWRhdGFi
YXNlLXByb3ZpZGVyPjxyZXNlYXJjaC1ub3Rlcz5IT0lfS0I6IEV4Y2x1ZGVkIC0gYW5pbWFsIHN0
dWR5PC9yZXNlYXJjaC1ub3Rlcz48bGFuZ3VhZ2U+ZW5nPC9sYW5ndWFnZT48L3JlY29yZD48L0Np
dGU+PC9FbmROb3RlPn==
</w:fldData>
            </w:fldChar>
          </w:r>
          <w:r>
            <w:instrText xml:space="preserve"> ADDIN EN.CITE.DATA </w:instrText>
          </w:r>
          <w:r>
            <w:fldChar w:fldCharType="end"/>
          </w:r>
          <w:r>
            <w:fldChar w:fldCharType="separate"/>
          </w:r>
          <w:r>
            <w:rPr>
              <w:noProof/>
            </w:rPr>
            <w:t>(Kaisar, Villalba et al. 2017)</w:t>
          </w:r>
          <w:r>
            <w:fldChar w:fldCharType="end"/>
          </w:r>
          <w:r w:rsidRPr="000D3F95">
            <w:t>. After both exposures, the brain infarct area increased</w:t>
          </w:r>
          <w:r>
            <w:t xml:space="preserve"> (after t</w:t>
          </w:r>
          <w:r w:rsidRPr="005328B0">
            <w:t>ransient middle carotid artery occlusion</w:t>
          </w:r>
          <w:r>
            <w:t>)</w:t>
          </w:r>
          <w:r w:rsidRPr="000D3F95">
            <w:t xml:space="preserve"> and there w</w:t>
          </w:r>
          <w:r>
            <w:t>ere</w:t>
          </w:r>
          <w:r w:rsidRPr="000D3F95">
            <w:t xml:space="preserve"> worse neurological deficits compared to control mice</w:t>
          </w:r>
          <w:r>
            <w:t xml:space="preserve"> </w:t>
          </w:r>
          <w:r>
            <w:fldChar w:fldCharType="begin">
              <w:fldData xml:space="preserve">PEVuZE5vdGU+PENpdGU+PEF1dGhvcj5LYWlzYXI8L0F1dGhvcj48WWVhcj4yMDE3PC9ZZWFyPjxS
ZWNOdW0+MTA2MzwvUmVjTnVtPjxEaXNwbGF5VGV4dD4oS2Fpc2FyLCBWaWxsYWxiYSBldCBhbC4g
MjAxNyk8L0Rpc3BsYXlUZXh0PjxyZWNvcmQ+PHJlYy1udW1iZXI+MTA2MzwvcmVjLW51bWJlcj48
Zm9yZWlnbi1rZXlzPjxrZXkgYXBwPSJFTiIgZGItaWQ9Ijl6MDVkejBwcmFhZGZ1ZWUwem94emVk
azl6ZmU1Znh4NTB6NSIgdGltZXN0YW1wPSIxNTIxNTA2OTkyIj4xMDYzPC9rZXk+PGtleSBhcHA9
IkVOV2ViIiBkYi1pZD0iIj4wPC9rZXk+PC9mb3JlaWduLWtleXM+PHJlZi10eXBlIG5hbWU9Ikpv
dXJuYWwgQXJ0aWNsZSI+MTc8L3JlZi10eXBlPjxjb250cmlidXRvcnM+PGF1dGhvcnM+PGF1dGhv
cj5LYWlzYXIsIE0uIEEuPC9hdXRob3I+PGF1dGhvcj5WaWxsYWxiYSwgSC48L2F1dGhvcj48YXV0
aG9yPlByYXNhZCwgUy48L2F1dGhvcj48YXV0aG9yPkxpbGVzLCBULjwvYXV0aG9yPjxhdXRob3I+
U2lmYXQsIEEuIEUuPC9hdXRob3I+PGF1dGhvcj5TYWpqYSwgUi4gSy48L2F1dGhvcj48YXV0aG9y
PkFiYnJ1c2NhdG8sIFQuIEouPC9hdXRob3I+PGF1dGhvcj5DdWN1bGxvLCBMLjwvYXV0aG9yPjwv
YXV0aG9ycz48L2NvbnRyaWJ1dG9ycz48YXV0aC1hZGRyZXNzPkRlcGFydG1lbnQgb2YgUGhhcm1h
Y2V1dGljYWwgU2NpZW5jZXMsIFRleGFzIFRlY2ggVW5pdmVyc2l0eSBIZWFsdGggU2NpZW5jZXMg
Q2VudGVyLCBBbWFyaWxsbywgVFggNzkxMDYsIFVTQS4gRWxlY3Ryb25pYyBhZGRyZXNzOiBtZC5h
LmthaXNhckB0dHVoc2MuZWR1LiYjeEQ7RGVwYXJ0bWVudCBvZiBQaGFybWFjZXV0aWNhbCBTY2ll
bmNlcywgVGV4YXMgVGVjaCBVbml2ZXJzaXR5IEhlYWx0aCBTY2llbmNlcyBDZW50ZXIsIEFtYXJp
bGxvLCBUWCA3OTEwNiwgVVNBLiBFbGVjdHJvbmljIGFkZHJlc3M6IGhlaWRpLnZpbGxhbGJhQHR0
dWhzYy5lZHUuJiN4RDtEZXBhcnRtZW50IG9mIE5ldXJvbG9neSwgTm9ydGh3ZXN0ZXJuIFVuaXZl
cnNpdHkgRmVpbmJlcmcgU2Nob29sIG9mIE1lZGljaW5lLCBDaGljYWdvLCBJTCA2MDYxMSwgVVNB
LiBFbGVjdHJvbmljIGFkZHJlc3M6IHByYXNhZC5zaGlraGFAdHR1aHNjLmVkdS4mI3hEO0RlcGFy
dG1lbnQgb2YgUGhhcm1hY2V1dGljYWwgU2NpZW5jZXMsIFRleGFzIFRlY2ggVW5pdmVyc2l0eSBI
ZWFsdGggU2NpZW5jZXMgQ2VudGVyLCBBbWFyaWxsbywgVFggNzkxMDYsIFVTQS4gRWxlY3Ryb25p
YyBhZGRyZXNzOiB0YXlsb3IubGlsZXNAdHR1aHNjLmVkdS4mI3hEO0RlcGFydG1lbnQgb2YgUGhh
cm1hY2V1dGljYWwgU2NpZW5jZXMsIFRleGFzIFRlY2ggVW5pdmVyc2l0eSBIZWFsdGggU2NpZW5j
ZXMgQ2VudGVyLCBBbWFyaWxsbywgVFggNzkxMDYsIFVTQS4gRWxlY3Ryb25pYyBhZGRyZXNzOiBh
bGkuc2lmYXRAdHR1aHNjLmVkdS4mI3hEO0RlcGFydG1lbnQgb2YgUGhhcm1hY2V1dGljYWwgU2Np
ZW5jZXMsIFRleGFzIFRlY2ggVW5pdmVyc2l0eSBIZWFsdGggU2NpZW5jZXMgQ2VudGVyLCBBbWFy
aWxsbywgVFggNzkxMDYsIFVTQS4gRWxlY3Ryb25pYyBhZGRyZXNzOiByYXZpLnNhamphQHR0dWhz
Yy5lZHUuJiN4RDtEZXBhcnRtZW50IG9mIFBoYXJtYWNldXRpY2FsIFNjaWVuY2VzLCBUZXhhcyBU
ZWNoIFVuaXZlcnNpdHkgSGVhbHRoIFNjaWVuY2VzIENlbnRlciwgQW1hcmlsbG8sIFRYIDc5MTA2
LCBVU0E7IENlbnRlciBmb3IgQmxvb2QgQnJhaW4gQmFycmllciBSZXNlYXJjaCwgVGV4YXMgVGVj
aCBVbml2ZXJzaXR5IEhlYWx0aCBTY2llbmNlcyBDZW50ZXIsIEFtYXJpbGxvLCBUWCA3OTEwNiwg
VVNBLiBFbGVjdHJvbmljIGFkZHJlc3M6IFRob21hcy5BYmJydXNjYXRvQHR0dWhzYy5lZHUuJiN4
RDtEZXBhcnRtZW50IG9mIFBoYXJtYWNldXRpY2FsIFNjaWVuY2VzLCBUZXhhcyBUZWNoIFVuaXZl
cnNpdHkgSGVhbHRoIFNjaWVuY2VzIENlbnRlciwgQW1hcmlsbG8sIFRYIDc5MTA2LCBVU0E7IENl
bnRlciBmb3IgQmxvb2QgQnJhaW4gQmFycmllciBSZXNlYXJjaCwgVGV4YXMgVGVjaCBVbml2ZXJz
aXR5IEhlYWx0aCBTY2llbmNlcyBDZW50ZXIsIEFtYXJpbGxvLCBUWCA3OTEwNiwgVVNBLiBFbGVj
dHJvbmljIGFkZHJlc3M6IGx1Y2EuY3VjdWxsb0B0dHVoc2MuZWR1LjwvYXV0aC1hZGRyZXNzPjx0
aXRsZXM+PHRpdGxlPk9mZnNldHRpbmcgdGhlIGltcGFjdCBvZiBzbW9raW5nIGFuZCBlLWNpZ2Fy
ZXR0ZSB2YXBpbmcgb24gdGhlIGNlcmVicm92YXNjdWxhciBzeXN0ZW0gYW5kIHN0cm9rZSBpbmp1
cnk6IElzIE1ldGZvcm1pbiBhIHZpYWJsZSBjb3VudGVybWVhc3VyZT88L3RpdGxlPjxzZWNvbmRh
cnktdGl0bGU+UmVkb3ggQmlvbDwvc2Vjb25kYXJ5LXRpdGxlPjxhbHQtdGl0bGU+UmVkb3ggYmlv
bG9neTwvYWx0LXRpdGxlPjwvdGl0bGVzPjxhbHQtcGVyaW9kaWNhbD48ZnVsbC10aXRsZT5SZWRv
eCBCaW9sb2d5PC9mdWxsLXRpdGxlPjwvYWx0LXBlcmlvZGljYWw+PHBhZ2VzPjM1My0zNjI8L3Bh
Z2VzPjx2b2x1bWU+MTM8L3ZvbHVtZT48ZWRpdGlvbj4yMDE3LzA2LzI1PC9lZGl0aW9uPjxrZXl3
b3Jkcz48a2V5d29yZD5CbG9vZC1icmFpbiBiYXJyaWVyPC9rZXl3b3JkPjxrZXl3b3JkPkNpZ2Fy
ZXR0ZSBzbW9rZTwva2V5d29yZD48a2V5d29yZD5JbmZsYW1tYXRpb248L2tleXdvcmQ+PGtleXdv
cmQ+SXNjaGVtaWEsIEJsb29kIEhlbW9zdGFzaXM8L2tleXdvcmQ+PGtleXdvcmQ+TWV0Zm9ybWlu
PC9rZXl3b3JkPjxrZXl3b3JkPk5yZjI8L2tleXdvcmQ+PGtleXdvcmQ+T3hpZGF0aXZlIHN0cmVz
czwva2V5d29yZD48a2V5d29yZD5WYXBpbmc8L2tleXdvcmQ+PC9rZXl3b3Jkcz48ZGF0ZXM+PHll
YXI+MjAxNzwveWVhcj48cHViLWRhdGVzPjxkYXRlPk9jdDwvZGF0ZT48L3B1Yi1kYXRlcz48L2Rh
dGVzPjxpc2JuPjIyMTMtMjMxNzwvaXNibj48YWNjZXNzaW9uLW51bT4yODY0Njc5NTwvYWNjZXNz
aW9uLW51bT48dXJscz48L3VybHM+PGN1c3RvbTI+UE1DNTQ4MDk4NTwvY3VzdG9tMj48ZWxlY3Ry
b25pYy1yZXNvdXJjZS1udW0+MTAuMTAxNi9qLnJlZG94LjIwMTcuMDYuMDA2PC9lbGVjdHJvbmlj
LXJlc291cmNlLW51bT48cmVtb3RlLWRhdGFiYXNlLXByb3ZpZGVyPk5MTTwvcmVtb3RlLWRhdGFi
YXNlLXByb3ZpZGVyPjxyZXNlYXJjaC1ub3Rlcz5IT0lfS0I6IEV4Y2x1ZGVkIC0gYW5pbWFsIHN0
dWR5PC9yZXNlYXJjaC1ub3Rlcz48bGFuZ3VhZ2U+ZW5nPC9sYW5ndWFnZT48L3JlY29yZD48L0Np
dGU+PC9FbmROb3RlPn==
</w:fldData>
            </w:fldChar>
          </w:r>
          <w:r>
            <w:instrText xml:space="preserve"> ADDIN EN.CITE </w:instrText>
          </w:r>
          <w:r>
            <w:fldChar w:fldCharType="begin">
              <w:fldData xml:space="preserve">PEVuZE5vdGU+PENpdGU+PEF1dGhvcj5LYWlzYXI8L0F1dGhvcj48WWVhcj4yMDE3PC9ZZWFyPjxS
ZWNOdW0+MTA2MzwvUmVjTnVtPjxEaXNwbGF5VGV4dD4oS2Fpc2FyLCBWaWxsYWxiYSBldCBhbC4g
MjAxNyk8L0Rpc3BsYXlUZXh0PjxyZWNvcmQ+PHJlYy1udW1iZXI+MTA2MzwvcmVjLW51bWJlcj48
Zm9yZWlnbi1rZXlzPjxrZXkgYXBwPSJFTiIgZGItaWQ9Ijl6MDVkejBwcmFhZGZ1ZWUwem94emVk
azl6ZmU1Znh4NTB6NSIgdGltZXN0YW1wPSIxNTIxNTA2OTkyIj4xMDYzPC9rZXk+PGtleSBhcHA9
IkVOV2ViIiBkYi1pZD0iIj4wPC9rZXk+PC9mb3JlaWduLWtleXM+PHJlZi10eXBlIG5hbWU9Ikpv
dXJuYWwgQXJ0aWNsZSI+MTc8L3JlZi10eXBlPjxjb250cmlidXRvcnM+PGF1dGhvcnM+PGF1dGhv
cj5LYWlzYXIsIE0uIEEuPC9hdXRob3I+PGF1dGhvcj5WaWxsYWxiYSwgSC48L2F1dGhvcj48YXV0
aG9yPlByYXNhZCwgUy48L2F1dGhvcj48YXV0aG9yPkxpbGVzLCBULjwvYXV0aG9yPjxhdXRob3I+
U2lmYXQsIEEuIEUuPC9hdXRob3I+PGF1dGhvcj5TYWpqYSwgUi4gSy48L2F1dGhvcj48YXV0aG9y
PkFiYnJ1c2NhdG8sIFQuIEouPC9hdXRob3I+PGF1dGhvcj5DdWN1bGxvLCBMLjwvYXV0aG9yPjwv
YXV0aG9ycz48L2NvbnRyaWJ1dG9ycz48YXV0aC1hZGRyZXNzPkRlcGFydG1lbnQgb2YgUGhhcm1h
Y2V1dGljYWwgU2NpZW5jZXMsIFRleGFzIFRlY2ggVW5pdmVyc2l0eSBIZWFsdGggU2NpZW5jZXMg
Q2VudGVyLCBBbWFyaWxsbywgVFggNzkxMDYsIFVTQS4gRWxlY3Ryb25pYyBhZGRyZXNzOiBtZC5h
LmthaXNhckB0dHVoc2MuZWR1LiYjeEQ7RGVwYXJ0bWVudCBvZiBQaGFybWFjZXV0aWNhbCBTY2ll
bmNlcywgVGV4YXMgVGVjaCBVbml2ZXJzaXR5IEhlYWx0aCBTY2llbmNlcyBDZW50ZXIsIEFtYXJp
bGxvLCBUWCA3OTEwNiwgVVNBLiBFbGVjdHJvbmljIGFkZHJlc3M6IGhlaWRpLnZpbGxhbGJhQHR0
dWhzYy5lZHUuJiN4RDtEZXBhcnRtZW50IG9mIE5ldXJvbG9neSwgTm9ydGh3ZXN0ZXJuIFVuaXZl
cnNpdHkgRmVpbmJlcmcgU2Nob29sIG9mIE1lZGljaW5lLCBDaGljYWdvLCBJTCA2MDYxMSwgVVNB
LiBFbGVjdHJvbmljIGFkZHJlc3M6IHByYXNhZC5zaGlraGFAdHR1aHNjLmVkdS4mI3hEO0RlcGFy
dG1lbnQgb2YgUGhhcm1hY2V1dGljYWwgU2NpZW5jZXMsIFRleGFzIFRlY2ggVW5pdmVyc2l0eSBI
ZWFsdGggU2NpZW5jZXMgQ2VudGVyLCBBbWFyaWxsbywgVFggNzkxMDYsIFVTQS4gRWxlY3Ryb25p
YyBhZGRyZXNzOiB0YXlsb3IubGlsZXNAdHR1aHNjLmVkdS4mI3hEO0RlcGFydG1lbnQgb2YgUGhh
cm1hY2V1dGljYWwgU2NpZW5jZXMsIFRleGFzIFRlY2ggVW5pdmVyc2l0eSBIZWFsdGggU2NpZW5j
ZXMgQ2VudGVyLCBBbWFyaWxsbywgVFggNzkxMDYsIFVTQS4gRWxlY3Ryb25pYyBhZGRyZXNzOiBh
bGkuc2lmYXRAdHR1aHNjLmVkdS4mI3hEO0RlcGFydG1lbnQgb2YgUGhhcm1hY2V1dGljYWwgU2Np
ZW5jZXMsIFRleGFzIFRlY2ggVW5pdmVyc2l0eSBIZWFsdGggU2NpZW5jZXMgQ2VudGVyLCBBbWFy
aWxsbywgVFggNzkxMDYsIFVTQS4gRWxlY3Ryb25pYyBhZGRyZXNzOiByYXZpLnNhamphQHR0dWhz
Yy5lZHUuJiN4RDtEZXBhcnRtZW50IG9mIFBoYXJtYWNldXRpY2FsIFNjaWVuY2VzLCBUZXhhcyBU
ZWNoIFVuaXZlcnNpdHkgSGVhbHRoIFNjaWVuY2VzIENlbnRlciwgQW1hcmlsbG8sIFRYIDc5MTA2
LCBVU0E7IENlbnRlciBmb3IgQmxvb2QgQnJhaW4gQmFycmllciBSZXNlYXJjaCwgVGV4YXMgVGVj
aCBVbml2ZXJzaXR5IEhlYWx0aCBTY2llbmNlcyBDZW50ZXIsIEFtYXJpbGxvLCBUWCA3OTEwNiwg
VVNBLiBFbGVjdHJvbmljIGFkZHJlc3M6IFRob21hcy5BYmJydXNjYXRvQHR0dWhzYy5lZHUuJiN4
RDtEZXBhcnRtZW50IG9mIFBoYXJtYWNldXRpY2FsIFNjaWVuY2VzLCBUZXhhcyBUZWNoIFVuaXZl
cnNpdHkgSGVhbHRoIFNjaWVuY2VzIENlbnRlciwgQW1hcmlsbG8sIFRYIDc5MTA2LCBVU0E7IENl
bnRlciBmb3IgQmxvb2QgQnJhaW4gQmFycmllciBSZXNlYXJjaCwgVGV4YXMgVGVjaCBVbml2ZXJz
aXR5IEhlYWx0aCBTY2llbmNlcyBDZW50ZXIsIEFtYXJpbGxvLCBUWCA3OTEwNiwgVVNBLiBFbGVj
dHJvbmljIGFkZHJlc3M6IGx1Y2EuY3VjdWxsb0B0dHVoc2MuZWR1LjwvYXV0aC1hZGRyZXNzPjx0
aXRsZXM+PHRpdGxlPk9mZnNldHRpbmcgdGhlIGltcGFjdCBvZiBzbW9raW5nIGFuZCBlLWNpZ2Fy
ZXR0ZSB2YXBpbmcgb24gdGhlIGNlcmVicm92YXNjdWxhciBzeXN0ZW0gYW5kIHN0cm9rZSBpbmp1
cnk6IElzIE1ldGZvcm1pbiBhIHZpYWJsZSBjb3VudGVybWVhc3VyZT88L3RpdGxlPjxzZWNvbmRh
cnktdGl0bGU+UmVkb3ggQmlvbDwvc2Vjb25kYXJ5LXRpdGxlPjxhbHQtdGl0bGU+UmVkb3ggYmlv
bG9neTwvYWx0LXRpdGxlPjwvdGl0bGVzPjxhbHQtcGVyaW9kaWNhbD48ZnVsbC10aXRsZT5SZWRv
eCBCaW9sb2d5PC9mdWxsLXRpdGxlPjwvYWx0LXBlcmlvZGljYWw+PHBhZ2VzPjM1My0zNjI8L3Bh
Z2VzPjx2b2x1bWU+MTM8L3ZvbHVtZT48ZWRpdGlvbj4yMDE3LzA2LzI1PC9lZGl0aW9uPjxrZXl3
b3Jkcz48a2V5d29yZD5CbG9vZC1icmFpbiBiYXJyaWVyPC9rZXl3b3JkPjxrZXl3b3JkPkNpZ2Fy
ZXR0ZSBzbW9rZTwva2V5d29yZD48a2V5d29yZD5JbmZsYW1tYXRpb248L2tleXdvcmQ+PGtleXdv
cmQ+SXNjaGVtaWEsIEJsb29kIEhlbW9zdGFzaXM8L2tleXdvcmQ+PGtleXdvcmQ+TWV0Zm9ybWlu
PC9rZXl3b3JkPjxrZXl3b3JkPk5yZjI8L2tleXdvcmQ+PGtleXdvcmQ+T3hpZGF0aXZlIHN0cmVz
czwva2V5d29yZD48a2V5d29yZD5WYXBpbmc8L2tleXdvcmQ+PC9rZXl3b3Jkcz48ZGF0ZXM+PHll
YXI+MjAxNzwveWVhcj48cHViLWRhdGVzPjxkYXRlPk9jdDwvZGF0ZT48L3B1Yi1kYXRlcz48L2Rh
dGVzPjxpc2JuPjIyMTMtMjMxNzwvaXNibj48YWNjZXNzaW9uLW51bT4yODY0Njc5NTwvYWNjZXNz
aW9uLW51bT48dXJscz48L3VybHM+PGN1c3RvbTI+UE1DNTQ4MDk4NTwvY3VzdG9tMj48ZWxlY3Ry
b25pYy1yZXNvdXJjZS1udW0+MTAuMTAxNi9qLnJlZG94LjIwMTcuMDYuMDA2PC9lbGVjdHJvbmlj
LXJlc291cmNlLW51bT48cmVtb3RlLWRhdGFiYXNlLXByb3ZpZGVyPk5MTTwvcmVtb3RlLWRhdGFi
YXNlLXByb3ZpZGVyPjxyZXNlYXJjaC1ub3Rlcz5IT0lfS0I6IEV4Y2x1ZGVkIC0gYW5pbWFsIHN0
dWR5PC9yZXNlYXJjaC1ub3Rlcz48bGFuZ3VhZ2U+ZW5nPC9sYW5ndWFnZT48L3JlY29yZD48L0Np
dGU+PC9FbmROb3RlPn==
</w:fldData>
            </w:fldChar>
          </w:r>
          <w:r>
            <w:instrText xml:space="preserve"> ADDIN EN.CITE.DATA </w:instrText>
          </w:r>
          <w:r>
            <w:fldChar w:fldCharType="end"/>
          </w:r>
          <w:r>
            <w:fldChar w:fldCharType="separate"/>
          </w:r>
          <w:r>
            <w:rPr>
              <w:noProof/>
            </w:rPr>
            <w:t>(Kaisar, Villalba et al. 2017)</w:t>
          </w:r>
          <w:r>
            <w:fldChar w:fldCharType="end"/>
          </w:r>
          <w:r w:rsidRPr="000D3F95">
            <w:t>.</w:t>
          </w:r>
          <w:r>
            <w:t xml:space="preserve"> Thus, the use of e-cigarettes may increase indicators of stroke risk, however studies which provide doses equivalent to human use and studies in humans are required to confirm this. </w:t>
          </w:r>
        </w:p>
        <w:p w14:paraId="63DCA8E7" w14:textId="77777777" w:rsidR="00F10DA9" w:rsidRDefault="00F10DA9" w:rsidP="00F10DA9">
          <w:pPr>
            <w:pStyle w:val="BodyText"/>
          </w:pPr>
          <w:r>
            <w:t xml:space="preserve">Furthermore, in this study, measures of oxidative stress and its impact on the blood-brain-barrier were investigated </w:t>
          </w:r>
          <w:r>
            <w:fldChar w:fldCharType="begin">
              <w:fldData xml:space="preserve">PEVuZE5vdGU+PENpdGU+PEF1dGhvcj5LYWlzYXI8L0F1dGhvcj48WWVhcj4yMDE3PC9ZZWFyPjxS
ZWNOdW0+MTA2MzwvUmVjTnVtPjxEaXNwbGF5VGV4dD4oS2Fpc2FyLCBWaWxsYWxiYSBldCBhbC4g
MjAxNyk8L0Rpc3BsYXlUZXh0PjxyZWNvcmQ+PHJlYy1udW1iZXI+MTA2MzwvcmVjLW51bWJlcj48
Zm9yZWlnbi1rZXlzPjxrZXkgYXBwPSJFTiIgZGItaWQ9Ijl6MDVkejBwcmFhZGZ1ZWUwem94emVk
azl6ZmU1Znh4NTB6NSIgdGltZXN0YW1wPSIxNTIxNTA2OTkyIj4xMDYzPC9rZXk+PGtleSBhcHA9
IkVOV2ViIiBkYi1pZD0iIj4wPC9rZXk+PC9mb3JlaWduLWtleXM+PHJlZi10eXBlIG5hbWU9Ikpv
dXJuYWwgQXJ0aWNsZSI+MTc8L3JlZi10eXBlPjxjb250cmlidXRvcnM+PGF1dGhvcnM+PGF1dGhv
cj5LYWlzYXIsIE0uIEEuPC9hdXRob3I+PGF1dGhvcj5WaWxsYWxiYSwgSC48L2F1dGhvcj48YXV0
aG9yPlByYXNhZCwgUy48L2F1dGhvcj48YXV0aG9yPkxpbGVzLCBULjwvYXV0aG9yPjxhdXRob3I+
U2lmYXQsIEEuIEUuPC9hdXRob3I+PGF1dGhvcj5TYWpqYSwgUi4gSy48L2F1dGhvcj48YXV0aG9y
PkFiYnJ1c2NhdG8sIFQuIEouPC9hdXRob3I+PGF1dGhvcj5DdWN1bGxvLCBMLjwvYXV0aG9yPjwv
YXV0aG9ycz48L2NvbnRyaWJ1dG9ycz48YXV0aC1hZGRyZXNzPkRlcGFydG1lbnQgb2YgUGhhcm1h
Y2V1dGljYWwgU2NpZW5jZXMsIFRleGFzIFRlY2ggVW5pdmVyc2l0eSBIZWFsdGggU2NpZW5jZXMg
Q2VudGVyLCBBbWFyaWxsbywgVFggNzkxMDYsIFVTQS4gRWxlY3Ryb25pYyBhZGRyZXNzOiBtZC5h
LmthaXNhckB0dHVoc2MuZWR1LiYjeEQ7RGVwYXJ0bWVudCBvZiBQaGFybWFjZXV0aWNhbCBTY2ll
bmNlcywgVGV4YXMgVGVjaCBVbml2ZXJzaXR5IEhlYWx0aCBTY2llbmNlcyBDZW50ZXIsIEFtYXJp
bGxvLCBUWCA3OTEwNiwgVVNBLiBFbGVjdHJvbmljIGFkZHJlc3M6IGhlaWRpLnZpbGxhbGJhQHR0
dWhzYy5lZHUuJiN4RDtEZXBhcnRtZW50IG9mIE5ldXJvbG9neSwgTm9ydGh3ZXN0ZXJuIFVuaXZl
cnNpdHkgRmVpbmJlcmcgU2Nob29sIG9mIE1lZGljaW5lLCBDaGljYWdvLCBJTCA2MDYxMSwgVVNB
LiBFbGVjdHJvbmljIGFkZHJlc3M6IHByYXNhZC5zaGlraGFAdHR1aHNjLmVkdS4mI3hEO0RlcGFy
dG1lbnQgb2YgUGhhcm1hY2V1dGljYWwgU2NpZW5jZXMsIFRleGFzIFRlY2ggVW5pdmVyc2l0eSBI
ZWFsdGggU2NpZW5jZXMgQ2VudGVyLCBBbWFyaWxsbywgVFggNzkxMDYsIFVTQS4gRWxlY3Ryb25p
YyBhZGRyZXNzOiB0YXlsb3IubGlsZXNAdHR1aHNjLmVkdS4mI3hEO0RlcGFydG1lbnQgb2YgUGhh
cm1hY2V1dGljYWwgU2NpZW5jZXMsIFRleGFzIFRlY2ggVW5pdmVyc2l0eSBIZWFsdGggU2NpZW5j
ZXMgQ2VudGVyLCBBbWFyaWxsbywgVFggNzkxMDYsIFVTQS4gRWxlY3Ryb25pYyBhZGRyZXNzOiBh
bGkuc2lmYXRAdHR1aHNjLmVkdS4mI3hEO0RlcGFydG1lbnQgb2YgUGhhcm1hY2V1dGljYWwgU2Np
ZW5jZXMsIFRleGFzIFRlY2ggVW5pdmVyc2l0eSBIZWFsdGggU2NpZW5jZXMgQ2VudGVyLCBBbWFy
aWxsbywgVFggNzkxMDYsIFVTQS4gRWxlY3Ryb25pYyBhZGRyZXNzOiByYXZpLnNhamphQHR0dWhz
Yy5lZHUuJiN4RDtEZXBhcnRtZW50IG9mIFBoYXJtYWNldXRpY2FsIFNjaWVuY2VzLCBUZXhhcyBU
ZWNoIFVuaXZlcnNpdHkgSGVhbHRoIFNjaWVuY2VzIENlbnRlciwgQW1hcmlsbG8sIFRYIDc5MTA2
LCBVU0E7IENlbnRlciBmb3IgQmxvb2QgQnJhaW4gQmFycmllciBSZXNlYXJjaCwgVGV4YXMgVGVj
aCBVbml2ZXJzaXR5IEhlYWx0aCBTY2llbmNlcyBDZW50ZXIsIEFtYXJpbGxvLCBUWCA3OTEwNiwg
VVNBLiBFbGVjdHJvbmljIGFkZHJlc3M6IFRob21hcy5BYmJydXNjYXRvQHR0dWhzYy5lZHUuJiN4
RDtEZXBhcnRtZW50IG9mIFBoYXJtYWNldXRpY2FsIFNjaWVuY2VzLCBUZXhhcyBUZWNoIFVuaXZl
cnNpdHkgSGVhbHRoIFNjaWVuY2VzIENlbnRlciwgQW1hcmlsbG8sIFRYIDc5MTA2LCBVU0E7IENl
bnRlciBmb3IgQmxvb2QgQnJhaW4gQmFycmllciBSZXNlYXJjaCwgVGV4YXMgVGVjaCBVbml2ZXJz
aXR5IEhlYWx0aCBTY2llbmNlcyBDZW50ZXIsIEFtYXJpbGxvLCBUWCA3OTEwNiwgVVNBLiBFbGVj
dHJvbmljIGFkZHJlc3M6IGx1Y2EuY3VjdWxsb0B0dHVoc2MuZWR1LjwvYXV0aC1hZGRyZXNzPjx0
aXRsZXM+PHRpdGxlPk9mZnNldHRpbmcgdGhlIGltcGFjdCBvZiBzbW9raW5nIGFuZCBlLWNpZ2Fy
ZXR0ZSB2YXBpbmcgb24gdGhlIGNlcmVicm92YXNjdWxhciBzeXN0ZW0gYW5kIHN0cm9rZSBpbmp1
cnk6IElzIE1ldGZvcm1pbiBhIHZpYWJsZSBjb3VudGVybWVhc3VyZT88L3RpdGxlPjxzZWNvbmRh
cnktdGl0bGU+UmVkb3ggQmlvbDwvc2Vjb25kYXJ5LXRpdGxlPjxhbHQtdGl0bGU+UmVkb3ggYmlv
bG9neTwvYWx0LXRpdGxlPjwvdGl0bGVzPjxhbHQtcGVyaW9kaWNhbD48ZnVsbC10aXRsZT5SZWRv
eCBCaW9sb2d5PC9mdWxsLXRpdGxlPjwvYWx0LXBlcmlvZGljYWw+PHBhZ2VzPjM1My0zNjI8L3Bh
Z2VzPjx2b2x1bWU+MTM8L3ZvbHVtZT48ZWRpdGlvbj4yMDE3LzA2LzI1PC9lZGl0aW9uPjxrZXl3
b3Jkcz48a2V5d29yZD5CbG9vZC1icmFpbiBiYXJyaWVyPC9rZXl3b3JkPjxrZXl3b3JkPkNpZ2Fy
ZXR0ZSBzbW9rZTwva2V5d29yZD48a2V5d29yZD5JbmZsYW1tYXRpb248L2tleXdvcmQ+PGtleXdv
cmQ+SXNjaGVtaWEsIEJsb29kIEhlbW9zdGFzaXM8L2tleXdvcmQ+PGtleXdvcmQ+TWV0Zm9ybWlu
PC9rZXl3b3JkPjxrZXl3b3JkPk5yZjI8L2tleXdvcmQ+PGtleXdvcmQ+T3hpZGF0aXZlIHN0cmVz
czwva2V5d29yZD48a2V5d29yZD5WYXBpbmc8L2tleXdvcmQ+PC9rZXl3b3Jkcz48ZGF0ZXM+PHll
YXI+MjAxNzwveWVhcj48cHViLWRhdGVzPjxkYXRlPk9jdDwvZGF0ZT48L3B1Yi1kYXRlcz48L2Rh
dGVzPjxpc2JuPjIyMTMtMjMxNzwvaXNibj48YWNjZXNzaW9uLW51bT4yODY0Njc5NTwvYWNjZXNz
aW9uLW51bT48dXJscz48L3VybHM+PGN1c3RvbTI+UE1DNTQ4MDk4NTwvY3VzdG9tMj48ZWxlY3Ry
b25pYy1yZXNvdXJjZS1udW0+MTAuMTAxNi9qLnJlZG94LjIwMTcuMDYuMDA2PC9lbGVjdHJvbmlj
LXJlc291cmNlLW51bT48cmVtb3RlLWRhdGFiYXNlLXByb3ZpZGVyPk5MTTwvcmVtb3RlLWRhdGFi
YXNlLXByb3ZpZGVyPjxyZXNlYXJjaC1ub3Rlcz5IT0lfS0I6IEV4Y2x1ZGVkIC0gYW5pbWFsIHN0
dWR5PC9yZXNlYXJjaC1ub3Rlcz48bGFuZ3VhZ2U+ZW5nPC9sYW5ndWFnZT48L3JlY29yZD48L0Np
dGU+PC9FbmROb3RlPn==
</w:fldData>
            </w:fldChar>
          </w:r>
          <w:r>
            <w:instrText xml:space="preserve"> ADDIN EN.CITE </w:instrText>
          </w:r>
          <w:r>
            <w:fldChar w:fldCharType="begin">
              <w:fldData xml:space="preserve">PEVuZE5vdGU+PENpdGU+PEF1dGhvcj5LYWlzYXI8L0F1dGhvcj48WWVhcj4yMDE3PC9ZZWFyPjxS
ZWNOdW0+MTA2MzwvUmVjTnVtPjxEaXNwbGF5VGV4dD4oS2Fpc2FyLCBWaWxsYWxiYSBldCBhbC4g
MjAxNyk8L0Rpc3BsYXlUZXh0PjxyZWNvcmQ+PHJlYy1udW1iZXI+MTA2MzwvcmVjLW51bWJlcj48
Zm9yZWlnbi1rZXlzPjxrZXkgYXBwPSJFTiIgZGItaWQ9Ijl6MDVkejBwcmFhZGZ1ZWUwem94emVk
azl6ZmU1Znh4NTB6NSIgdGltZXN0YW1wPSIxNTIxNTA2OTkyIj4xMDYzPC9rZXk+PGtleSBhcHA9
IkVOV2ViIiBkYi1pZD0iIj4wPC9rZXk+PC9mb3JlaWduLWtleXM+PHJlZi10eXBlIG5hbWU9Ikpv
dXJuYWwgQXJ0aWNsZSI+MTc8L3JlZi10eXBlPjxjb250cmlidXRvcnM+PGF1dGhvcnM+PGF1dGhv
cj5LYWlzYXIsIE0uIEEuPC9hdXRob3I+PGF1dGhvcj5WaWxsYWxiYSwgSC48L2F1dGhvcj48YXV0
aG9yPlByYXNhZCwgUy48L2F1dGhvcj48YXV0aG9yPkxpbGVzLCBULjwvYXV0aG9yPjxhdXRob3I+
U2lmYXQsIEEuIEUuPC9hdXRob3I+PGF1dGhvcj5TYWpqYSwgUi4gSy48L2F1dGhvcj48YXV0aG9y
PkFiYnJ1c2NhdG8sIFQuIEouPC9hdXRob3I+PGF1dGhvcj5DdWN1bGxvLCBMLjwvYXV0aG9yPjwv
YXV0aG9ycz48L2NvbnRyaWJ1dG9ycz48YXV0aC1hZGRyZXNzPkRlcGFydG1lbnQgb2YgUGhhcm1h
Y2V1dGljYWwgU2NpZW5jZXMsIFRleGFzIFRlY2ggVW5pdmVyc2l0eSBIZWFsdGggU2NpZW5jZXMg
Q2VudGVyLCBBbWFyaWxsbywgVFggNzkxMDYsIFVTQS4gRWxlY3Ryb25pYyBhZGRyZXNzOiBtZC5h
LmthaXNhckB0dHVoc2MuZWR1LiYjeEQ7RGVwYXJ0bWVudCBvZiBQaGFybWFjZXV0aWNhbCBTY2ll
bmNlcywgVGV4YXMgVGVjaCBVbml2ZXJzaXR5IEhlYWx0aCBTY2llbmNlcyBDZW50ZXIsIEFtYXJp
bGxvLCBUWCA3OTEwNiwgVVNBLiBFbGVjdHJvbmljIGFkZHJlc3M6IGhlaWRpLnZpbGxhbGJhQHR0
dWhzYy5lZHUuJiN4RDtEZXBhcnRtZW50IG9mIE5ldXJvbG9neSwgTm9ydGh3ZXN0ZXJuIFVuaXZl
cnNpdHkgRmVpbmJlcmcgU2Nob29sIG9mIE1lZGljaW5lLCBDaGljYWdvLCBJTCA2MDYxMSwgVVNB
LiBFbGVjdHJvbmljIGFkZHJlc3M6IHByYXNhZC5zaGlraGFAdHR1aHNjLmVkdS4mI3hEO0RlcGFy
dG1lbnQgb2YgUGhhcm1hY2V1dGljYWwgU2NpZW5jZXMsIFRleGFzIFRlY2ggVW5pdmVyc2l0eSBI
ZWFsdGggU2NpZW5jZXMgQ2VudGVyLCBBbWFyaWxsbywgVFggNzkxMDYsIFVTQS4gRWxlY3Ryb25p
YyBhZGRyZXNzOiB0YXlsb3IubGlsZXNAdHR1aHNjLmVkdS4mI3hEO0RlcGFydG1lbnQgb2YgUGhh
cm1hY2V1dGljYWwgU2NpZW5jZXMsIFRleGFzIFRlY2ggVW5pdmVyc2l0eSBIZWFsdGggU2NpZW5j
ZXMgQ2VudGVyLCBBbWFyaWxsbywgVFggNzkxMDYsIFVTQS4gRWxlY3Ryb25pYyBhZGRyZXNzOiBh
bGkuc2lmYXRAdHR1aHNjLmVkdS4mI3hEO0RlcGFydG1lbnQgb2YgUGhhcm1hY2V1dGljYWwgU2Np
ZW5jZXMsIFRleGFzIFRlY2ggVW5pdmVyc2l0eSBIZWFsdGggU2NpZW5jZXMgQ2VudGVyLCBBbWFy
aWxsbywgVFggNzkxMDYsIFVTQS4gRWxlY3Ryb25pYyBhZGRyZXNzOiByYXZpLnNhamphQHR0dWhz
Yy5lZHUuJiN4RDtEZXBhcnRtZW50IG9mIFBoYXJtYWNldXRpY2FsIFNjaWVuY2VzLCBUZXhhcyBU
ZWNoIFVuaXZlcnNpdHkgSGVhbHRoIFNjaWVuY2VzIENlbnRlciwgQW1hcmlsbG8sIFRYIDc5MTA2
LCBVU0E7IENlbnRlciBmb3IgQmxvb2QgQnJhaW4gQmFycmllciBSZXNlYXJjaCwgVGV4YXMgVGVj
aCBVbml2ZXJzaXR5IEhlYWx0aCBTY2llbmNlcyBDZW50ZXIsIEFtYXJpbGxvLCBUWCA3OTEwNiwg
VVNBLiBFbGVjdHJvbmljIGFkZHJlc3M6IFRob21hcy5BYmJydXNjYXRvQHR0dWhzYy5lZHUuJiN4
RDtEZXBhcnRtZW50IG9mIFBoYXJtYWNldXRpY2FsIFNjaWVuY2VzLCBUZXhhcyBUZWNoIFVuaXZl
cnNpdHkgSGVhbHRoIFNjaWVuY2VzIENlbnRlciwgQW1hcmlsbG8sIFRYIDc5MTA2LCBVU0E7IENl
bnRlciBmb3IgQmxvb2QgQnJhaW4gQmFycmllciBSZXNlYXJjaCwgVGV4YXMgVGVjaCBVbml2ZXJz
aXR5IEhlYWx0aCBTY2llbmNlcyBDZW50ZXIsIEFtYXJpbGxvLCBUWCA3OTEwNiwgVVNBLiBFbGVj
dHJvbmljIGFkZHJlc3M6IGx1Y2EuY3VjdWxsb0B0dHVoc2MuZWR1LjwvYXV0aC1hZGRyZXNzPjx0
aXRsZXM+PHRpdGxlPk9mZnNldHRpbmcgdGhlIGltcGFjdCBvZiBzbW9raW5nIGFuZCBlLWNpZ2Fy
ZXR0ZSB2YXBpbmcgb24gdGhlIGNlcmVicm92YXNjdWxhciBzeXN0ZW0gYW5kIHN0cm9rZSBpbmp1
cnk6IElzIE1ldGZvcm1pbiBhIHZpYWJsZSBjb3VudGVybWVhc3VyZT88L3RpdGxlPjxzZWNvbmRh
cnktdGl0bGU+UmVkb3ggQmlvbDwvc2Vjb25kYXJ5LXRpdGxlPjxhbHQtdGl0bGU+UmVkb3ggYmlv
bG9neTwvYWx0LXRpdGxlPjwvdGl0bGVzPjxhbHQtcGVyaW9kaWNhbD48ZnVsbC10aXRsZT5SZWRv
eCBCaW9sb2d5PC9mdWxsLXRpdGxlPjwvYWx0LXBlcmlvZGljYWw+PHBhZ2VzPjM1My0zNjI8L3Bh
Z2VzPjx2b2x1bWU+MTM8L3ZvbHVtZT48ZWRpdGlvbj4yMDE3LzA2LzI1PC9lZGl0aW9uPjxrZXl3
b3Jkcz48a2V5d29yZD5CbG9vZC1icmFpbiBiYXJyaWVyPC9rZXl3b3JkPjxrZXl3b3JkPkNpZ2Fy
ZXR0ZSBzbW9rZTwva2V5d29yZD48a2V5d29yZD5JbmZsYW1tYXRpb248L2tleXdvcmQ+PGtleXdv
cmQ+SXNjaGVtaWEsIEJsb29kIEhlbW9zdGFzaXM8L2tleXdvcmQ+PGtleXdvcmQ+TWV0Zm9ybWlu
PC9rZXl3b3JkPjxrZXl3b3JkPk5yZjI8L2tleXdvcmQ+PGtleXdvcmQ+T3hpZGF0aXZlIHN0cmVz
czwva2V5d29yZD48a2V5d29yZD5WYXBpbmc8L2tleXdvcmQ+PC9rZXl3b3Jkcz48ZGF0ZXM+PHll
YXI+MjAxNzwveWVhcj48cHViLWRhdGVzPjxkYXRlPk9jdDwvZGF0ZT48L3B1Yi1kYXRlcz48L2Rh
dGVzPjxpc2JuPjIyMTMtMjMxNzwvaXNibj48YWNjZXNzaW9uLW51bT4yODY0Njc5NTwvYWNjZXNz
aW9uLW51bT48dXJscz48L3VybHM+PGN1c3RvbTI+UE1DNTQ4MDk4NTwvY3VzdG9tMj48ZWxlY3Ry
b25pYy1yZXNvdXJjZS1udW0+MTAuMTAxNi9qLnJlZG94LjIwMTcuMDYuMDA2PC9lbGVjdHJvbmlj
LXJlc291cmNlLW51bT48cmVtb3RlLWRhdGFiYXNlLXByb3ZpZGVyPk5MTTwvcmVtb3RlLWRhdGFi
YXNlLXByb3ZpZGVyPjxyZXNlYXJjaC1ub3Rlcz5IT0lfS0I6IEV4Y2x1ZGVkIC0gYW5pbWFsIHN0
dWR5PC9yZXNlYXJjaC1ub3Rlcz48bGFuZ3VhZ2U+ZW5nPC9sYW5ndWFnZT48L3JlY29yZD48L0Np
dGU+PC9FbmROb3RlPn==
</w:fldData>
            </w:fldChar>
          </w:r>
          <w:r>
            <w:instrText xml:space="preserve"> ADDIN EN.CITE.DATA </w:instrText>
          </w:r>
          <w:r>
            <w:fldChar w:fldCharType="end"/>
          </w:r>
          <w:r>
            <w:fldChar w:fldCharType="separate"/>
          </w:r>
          <w:r>
            <w:rPr>
              <w:noProof/>
            </w:rPr>
            <w:t>(Kaisar, Villalba et al. 2017)</w:t>
          </w:r>
          <w:r>
            <w:fldChar w:fldCharType="end"/>
          </w:r>
          <w:r>
            <w:t>. O</w:t>
          </w:r>
          <w:r w:rsidRPr="000D3F95">
            <w:t>xidative stress</w:t>
          </w:r>
          <w:r>
            <w:t xml:space="preserve"> (assessed using a fluorogenic probe)</w:t>
          </w:r>
          <w:r w:rsidRPr="000D3F95">
            <w:t xml:space="preserve"> </w:t>
          </w:r>
          <w:r>
            <w:t xml:space="preserve">was </w:t>
          </w:r>
          <w:r w:rsidRPr="000D3F95">
            <w:t xml:space="preserve">induced </w:t>
          </w:r>
          <w:r>
            <w:t>in</w:t>
          </w:r>
          <w:r w:rsidRPr="000D3F95">
            <w:t xml:space="preserve"> both </w:t>
          </w:r>
          <w:r>
            <w:t xml:space="preserve">the </w:t>
          </w:r>
          <w:r w:rsidRPr="000D3F95">
            <w:t xml:space="preserve">e-cigarette group and </w:t>
          </w:r>
          <w:r>
            <w:t xml:space="preserve">the </w:t>
          </w:r>
          <w:r w:rsidRPr="000D3F95">
            <w:t>cigarette group</w:t>
          </w:r>
          <w:r>
            <w:t>,</w:t>
          </w:r>
          <w:r w:rsidRPr="000D3F95">
            <w:t xml:space="preserve"> </w:t>
          </w:r>
          <w:r>
            <w:t xml:space="preserve">at a </w:t>
          </w:r>
          <w:r w:rsidRPr="000D3F95">
            <w:t xml:space="preserve">higher </w:t>
          </w:r>
          <w:r>
            <w:t xml:space="preserve">level </w:t>
          </w:r>
          <w:r w:rsidRPr="000D3F95">
            <w:t xml:space="preserve">than </w:t>
          </w:r>
          <w:r>
            <w:t xml:space="preserve">in </w:t>
          </w:r>
          <w:r w:rsidRPr="000D3F95">
            <w:t>the control</w:t>
          </w:r>
          <w:r>
            <w:t xml:space="preserve"> group</w:t>
          </w:r>
          <w:r w:rsidRPr="000D3F95">
            <w:t xml:space="preserve">. </w:t>
          </w:r>
          <w:r>
            <w:t>E</w:t>
          </w:r>
          <w:r w:rsidRPr="000D3F95">
            <w:t>-cigarettes and cigarettes elicited a similar inflammatory response (downregulated tight junction protein ZO-1, decreased trans-endothelial electrical resistance (both indicat</w:t>
          </w:r>
          <w:r>
            <w:t>ing</w:t>
          </w:r>
          <w:r w:rsidRPr="000D3F95">
            <w:t xml:space="preserve"> blood-brain-barrier impairment) and upregulated PECAM-1, ICAM-1 and VCAM-1 (indicators of inflammation)) and were equally harmful</w:t>
          </w:r>
          <w:r>
            <w:t xml:space="preserve"> </w:t>
          </w:r>
          <w:r>
            <w:fldChar w:fldCharType="begin">
              <w:fldData xml:space="preserve">PEVuZE5vdGU+PENpdGU+PEF1dGhvcj5LYWlzYXI8L0F1dGhvcj48WWVhcj4yMDE3PC9ZZWFyPjxS
ZWNOdW0+MTA2MzwvUmVjTnVtPjxEaXNwbGF5VGV4dD4oS2Fpc2FyLCBWaWxsYWxiYSBldCBhbC4g
MjAxNyk8L0Rpc3BsYXlUZXh0PjxyZWNvcmQ+PHJlYy1udW1iZXI+MTA2MzwvcmVjLW51bWJlcj48
Zm9yZWlnbi1rZXlzPjxrZXkgYXBwPSJFTiIgZGItaWQ9Ijl6MDVkejBwcmFhZGZ1ZWUwem94emVk
azl6ZmU1Znh4NTB6NSIgdGltZXN0YW1wPSIxNTIxNTA2OTkyIj4xMDYzPC9rZXk+PGtleSBhcHA9
IkVOV2ViIiBkYi1pZD0iIj4wPC9rZXk+PC9mb3JlaWduLWtleXM+PHJlZi10eXBlIG5hbWU9Ikpv
dXJuYWwgQXJ0aWNsZSI+MTc8L3JlZi10eXBlPjxjb250cmlidXRvcnM+PGF1dGhvcnM+PGF1dGhv
cj5LYWlzYXIsIE0uIEEuPC9hdXRob3I+PGF1dGhvcj5WaWxsYWxiYSwgSC48L2F1dGhvcj48YXV0
aG9yPlByYXNhZCwgUy48L2F1dGhvcj48YXV0aG9yPkxpbGVzLCBULjwvYXV0aG9yPjxhdXRob3I+
U2lmYXQsIEEuIEUuPC9hdXRob3I+PGF1dGhvcj5TYWpqYSwgUi4gSy48L2F1dGhvcj48YXV0aG9y
PkFiYnJ1c2NhdG8sIFQuIEouPC9hdXRob3I+PGF1dGhvcj5DdWN1bGxvLCBMLjwvYXV0aG9yPjwv
YXV0aG9ycz48L2NvbnRyaWJ1dG9ycz48YXV0aC1hZGRyZXNzPkRlcGFydG1lbnQgb2YgUGhhcm1h
Y2V1dGljYWwgU2NpZW5jZXMsIFRleGFzIFRlY2ggVW5pdmVyc2l0eSBIZWFsdGggU2NpZW5jZXMg
Q2VudGVyLCBBbWFyaWxsbywgVFggNzkxMDYsIFVTQS4gRWxlY3Ryb25pYyBhZGRyZXNzOiBtZC5h
LmthaXNhckB0dHVoc2MuZWR1LiYjeEQ7RGVwYXJ0bWVudCBvZiBQaGFybWFjZXV0aWNhbCBTY2ll
bmNlcywgVGV4YXMgVGVjaCBVbml2ZXJzaXR5IEhlYWx0aCBTY2llbmNlcyBDZW50ZXIsIEFtYXJp
bGxvLCBUWCA3OTEwNiwgVVNBLiBFbGVjdHJvbmljIGFkZHJlc3M6IGhlaWRpLnZpbGxhbGJhQHR0
dWhzYy5lZHUuJiN4RDtEZXBhcnRtZW50IG9mIE5ldXJvbG9neSwgTm9ydGh3ZXN0ZXJuIFVuaXZl
cnNpdHkgRmVpbmJlcmcgU2Nob29sIG9mIE1lZGljaW5lLCBDaGljYWdvLCBJTCA2MDYxMSwgVVNB
LiBFbGVjdHJvbmljIGFkZHJlc3M6IHByYXNhZC5zaGlraGFAdHR1aHNjLmVkdS4mI3hEO0RlcGFy
dG1lbnQgb2YgUGhhcm1hY2V1dGljYWwgU2NpZW5jZXMsIFRleGFzIFRlY2ggVW5pdmVyc2l0eSBI
ZWFsdGggU2NpZW5jZXMgQ2VudGVyLCBBbWFyaWxsbywgVFggNzkxMDYsIFVTQS4gRWxlY3Ryb25p
YyBhZGRyZXNzOiB0YXlsb3IubGlsZXNAdHR1aHNjLmVkdS4mI3hEO0RlcGFydG1lbnQgb2YgUGhh
cm1hY2V1dGljYWwgU2NpZW5jZXMsIFRleGFzIFRlY2ggVW5pdmVyc2l0eSBIZWFsdGggU2NpZW5j
ZXMgQ2VudGVyLCBBbWFyaWxsbywgVFggNzkxMDYsIFVTQS4gRWxlY3Ryb25pYyBhZGRyZXNzOiBh
bGkuc2lmYXRAdHR1aHNjLmVkdS4mI3hEO0RlcGFydG1lbnQgb2YgUGhhcm1hY2V1dGljYWwgU2Np
ZW5jZXMsIFRleGFzIFRlY2ggVW5pdmVyc2l0eSBIZWFsdGggU2NpZW5jZXMgQ2VudGVyLCBBbWFy
aWxsbywgVFggNzkxMDYsIFVTQS4gRWxlY3Ryb25pYyBhZGRyZXNzOiByYXZpLnNhamphQHR0dWhz
Yy5lZHUuJiN4RDtEZXBhcnRtZW50IG9mIFBoYXJtYWNldXRpY2FsIFNjaWVuY2VzLCBUZXhhcyBU
ZWNoIFVuaXZlcnNpdHkgSGVhbHRoIFNjaWVuY2VzIENlbnRlciwgQW1hcmlsbG8sIFRYIDc5MTA2
LCBVU0E7IENlbnRlciBmb3IgQmxvb2QgQnJhaW4gQmFycmllciBSZXNlYXJjaCwgVGV4YXMgVGVj
aCBVbml2ZXJzaXR5IEhlYWx0aCBTY2llbmNlcyBDZW50ZXIsIEFtYXJpbGxvLCBUWCA3OTEwNiwg
VVNBLiBFbGVjdHJvbmljIGFkZHJlc3M6IFRob21hcy5BYmJydXNjYXRvQHR0dWhzYy5lZHUuJiN4
RDtEZXBhcnRtZW50IG9mIFBoYXJtYWNldXRpY2FsIFNjaWVuY2VzLCBUZXhhcyBUZWNoIFVuaXZl
cnNpdHkgSGVhbHRoIFNjaWVuY2VzIENlbnRlciwgQW1hcmlsbG8sIFRYIDc5MTA2LCBVU0E7IENl
bnRlciBmb3IgQmxvb2QgQnJhaW4gQmFycmllciBSZXNlYXJjaCwgVGV4YXMgVGVjaCBVbml2ZXJz
aXR5IEhlYWx0aCBTY2llbmNlcyBDZW50ZXIsIEFtYXJpbGxvLCBUWCA3OTEwNiwgVVNBLiBFbGVj
dHJvbmljIGFkZHJlc3M6IGx1Y2EuY3VjdWxsb0B0dHVoc2MuZWR1LjwvYXV0aC1hZGRyZXNzPjx0
aXRsZXM+PHRpdGxlPk9mZnNldHRpbmcgdGhlIGltcGFjdCBvZiBzbW9raW5nIGFuZCBlLWNpZ2Fy
ZXR0ZSB2YXBpbmcgb24gdGhlIGNlcmVicm92YXNjdWxhciBzeXN0ZW0gYW5kIHN0cm9rZSBpbmp1
cnk6IElzIE1ldGZvcm1pbiBhIHZpYWJsZSBjb3VudGVybWVhc3VyZT88L3RpdGxlPjxzZWNvbmRh
cnktdGl0bGU+UmVkb3ggQmlvbDwvc2Vjb25kYXJ5LXRpdGxlPjxhbHQtdGl0bGU+UmVkb3ggYmlv
bG9neTwvYWx0LXRpdGxlPjwvdGl0bGVzPjxhbHQtcGVyaW9kaWNhbD48ZnVsbC10aXRsZT5SZWRv
eCBCaW9sb2d5PC9mdWxsLXRpdGxlPjwvYWx0LXBlcmlvZGljYWw+PHBhZ2VzPjM1My0zNjI8L3Bh
Z2VzPjx2b2x1bWU+MTM8L3ZvbHVtZT48ZWRpdGlvbj4yMDE3LzA2LzI1PC9lZGl0aW9uPjxrZXl3
b3Jkcz48a2V5d29yZD5CbG9vZC1icmFpbiBiYXJyaWVyPC9rZXl3b3JkPjxrZXl3b3JkPkNpZ2Fy
ZXR0ZSBzbW9rZTwva2V5d29yZD48a2V5d29yZD5JbmZsYW1tYXRpb248L2tleXdvcmQ+PGtleXdv
cmQ+SXNjaGVtaWEsIEJsb29kIEhlbW9zdGFzaXM8L2tleXdvcmQ+PGtleXdvcmQ+TWV0Zm9ybWlu
PC9rZXl3b3JkPjxrZXl3b3JkPk5yZjI8L2tleXdvcmQ+PGtleXdvcmQ+T3hpZGF0aXZlIHN0cmVz
czwva2V5d29yZD48a2V5d29yZD5WYXBpbmc8L2tleXdvcmQ+PC9rZXl3b3Jkcz48ZGF0ZXM+PHll
YXI+MjAxNzwveWVhcj48cHViLWRhdGVzPjxkYXRlPk9jdDwvZGF0ZT48L3B1Yi1kYXRlcz48L2Rh
dGVzPjxpc2JuPjIyMTMtMjMxNzwvaXNibj48YWNjZXNzaW9uLW51bT4yODY0Njc5NTwvYWNjZXNz
aW9uLW51bT48dXJscz48L3VybHM+PGN1c3RvbTI+UE1DNTQ4MDk4NTwvY3VzdG9tMj48ZWxlY3Ry
b25pYy1yZXNvdXJjZS1udW0+MTAuMTAxNi9qLnJlZG94LjIwMTcuMDYuMDA2PC9lbGVjdHJvbmlj
LXJlc291cmNlLW51bT48cmVtb3RlLWRhdGFiYXNlLXByb3ZpZGVyPk5MTTwvcmVtb3RlLWRhdGFi
YXNlLXByb3ZpZGVyPjxyZXNlYXJjaC1ub3Rlcz5IT0lfS0I6IEV4Y2x1ZGVkIC0gYW5pbWFsIHN0
dWR5PC9yZXNlYXJjaC1ub3Rlcz48bGFuZ3VhZ2U+ZW5nPC9sYW5ndWFnZT48L3JlY29yZD48L0Np
dGU+PC9FbmROb3RlPn==
</w:fldData>
            </w:fldChar>
          </w:r>
          <w:r>
            <w:instrText xml:space="preserve"> ADDIN EN.CITE </w:instrText>
          </w:r>
          <w:r>
            <w:fldChar w:fldCharType="begin">
              <w:fldData xml:space="preserve">PEVuZE5vdGU+PENpdGU+PEF1dGhvcj5LYWlzYXI8L0F1dGhvcj48WWVhcj4yMDE3PC9ZZWFyPjxS
ZWNOdW0+MTA2MzwvUmVjTnVtPjxEaXNwbGF5VGV4dD4oS2Fpc2FyLCBWaWxsYWxiYSBldCBhbC4g
MjAxNyk8L0Rpc3BsYXlUZXh0PjxyZWNvcmQ+PHJlYy1udW1iZXI+MTA2MzwvcmVjLW51bWJlcj48
Zm9yZWlnbi1rZXlzPjxrZXkgYXBwPSJFTiIgZGItaWQ9Ijl6MDVkejBwcmFhZGZ1ZWUwem94emVk
azl6ZmU1Znh4NTB6NSIgdGltZXN0YW1wPSIxNTIxNTA2OTkyIj4xMDYzPC9rZXk+PGtleSBhcHA9
IkVOV2ViIiBkYi1pZD0iIj4wPC9rZXk+PC9mb3JlaWduLWtleXM+PHJlZi10eXBlIG5hbWU9Ikpv
dXJuYWwgQXJ0aWNsZSI+MTc8L3JlZi10eXBlPjxjb250cmlidXRvcnM+PGF1dGhvcnM+PGF1dGhv
cj5LYWlzYXIsIE0uIEEuPC9hdXRob3I+PGF1dGhvcj5WaWxsYWxiYSwgSC48L2F1dGhvcj48YXV0
aG9yPlByYXNhZCwgUy48L2F1dGhvcj48YXV0aG9yPkxpbGVzLCBULjwvYXV0aG9yPjxhdXRob3I+
U2lmYXQsIEEuIEUuPC9hdXRob3I+PGF1dGhvcj5TYWpqYSwgUi4gSy48L2F1dGhvcj48YXV0aG9y
PkFiYnJ1c2NhdG8sIFQuIEouPC9hdXRob3I+PGF1dGhvcj5DdWN1bGxvLCBMLjwvYXV0aG9yPjwv
YXV0aG9ycz48L2NvbnRyaWJ1dG9ycz48YXV0aC1hZGRyZXNzPkRlcGFydG1lbnQgb2YgUGhhcm1h
Y2V1dGljYWwgU2NpZW5jZXMsIFRleGFzIFRlY2ggVW5pdmVyc2l0eSBIZWFsdGggU2NpZW5jZXMg
Q2VudGVyLCBBbWFyaWxsbywgVFggNzkxMDYsIFVTQS4gRWxlY3Ryb25pYyBhZGRyZXNzOiBtZC5h
LmthaXNhckB0dHVoc2MuZWR1LiYjeEQ7RGVwYXJ0bWVudCBvZiBQaGFybWFjZXV0aWNhbCBTY2ll
bmNlcywgVGV4YXMgVGVjaCBVbml2ZXJzaXR5IEhlYWx0aCBTY2llbmNlcyBDZW50ZXIsIEFtYXJp
bGxvLCBUWCA3OTEwNiwgVVNBLiBFbGVjdHJvbmljIGFkZHJlc3M6IGhlaWRpLnZpbGxhbGJhQHR0
dWhzYy5lZHUuJiN4RDtEZXBhcnRtZW50IG9mIE5ldXJvbG9neSwgTm9ydGh3ZXN0ZXJuIFVuaXZl
cnNpdHkgRmVpbmJlcmcgU2Nob29sIG9mIE1lZGljaW5lLCBDaGljYWdvLCBJTCA2MDYxMSwgVVNB
LiBFbGVjdHJvbmljIGFkZHJlc3M6IHByYXNhZC5zaGlraGFAdHR1aHNjLmVkdS4mI3hEO0RlcGFy
dG1lbnQgb2YgUGhhcm1hY2V1dGljYWwgU2NpZW5jZXMsIFRleGFzIFRlY2ggVW5pdmVyc2l0eSBI
ZWFsdGggU2NpZW5jZXMgQ2VudGVyLCBBbWFyaWxsbywgVFggNzkxMDYsIFVTQS4gRWxlY3Ryb25p
YyBhZGRyZXNzOiB0YXlsb3IubGlsZXNAdHR1aHNjLmVkdS4mI3hEO0RlcGFydG1lbnQgb2YgUGhh
cm1hY2V1dGljYWwgU2NpZW5jZXMsIFRleGFzIFRlY2ggVW5pdmVyc2l0eSBIZWFsdGggU2NpZW5j
ZXMgQ2VudGVyLCBBbWFyaWxsbywgVFggNzkxMDYsIFVTQS4gRWxlY3Ryb25pYyBhZGRyZXNzOiBh
bGkuc2lmYXRAdHR1aHNjLmVkdS4mI3hEO0RlcGFydG1lbnQgb2YgUGhhcm1hY2V1dGljYWwgU2Np
ZW5jZXMsIFRleGFzIFRlY2ggVW5pdmVyc2l0eSBIZWFsdGggU2NpZW5jZXMgQ2VudGVyLCBBbWFy
aWxsbywgVFggNzkxMDYsIFVTQS4gRWxlY3Ryb25pYyBhZGRyZXNzOiByYXZpLnNhamphQHR0dWhz
Yy5lZHUuJiN4RDtEZXBhcnRtZW50IG9mIFBoYXJtYWNldXRpY2FsIFNjaWVuY2VzLCBUZXhhcyBU
ZWNoIFVuaXZlcnNpdHkgSGVhbHRoIFNjaWVuY2VzIENlbnRlciwgQW1hcmlsbG8sIFRYIDc5MTA2
LCBVU0E7IENlbnRlciBmb3IgQmxvb2QgQnJhaW4gQmFycmllciBSZXNlYXJjaCwgVGV4YXMgVGVj
aCBVbml2ZXJzaXR5IEhlYWx0aCBTY2llbmNlcyBDZW50ZXIsIEFtYXJpbGxvLCBUWCA3OTEwNiwg
VVNBLiBFbGVjdHJvbmljIGFkZHJlc3M6IFRob21hcy5BYmJydXNjYXRvQHR0dWhzYy5lZHUuJiN4
RDtEZXBhcnRtZW50IG9mIFBoYXJtYWNldXRpY2FsIFNjaWVuY2VzLCBUZXhhcyBUZWNoIFVuaXZl
cnNpdHkgSGVhbHRoIFNjaWVuY2VzIENlbnRlciwgQW1hcmlsbG8sIFRYIDc5MTA2LCBVU0E7IENl
bnRlciBmb3IgQmxvb2QgQnJhaW4gQmFycmllciBSZXNlYXJjaCwgVGV4YXMgVGVjaCBVbml2ZXJz
aXR5IEhlYWx0aCBTY2llbmNlcyBDZW50ZXIsIEFtYXJpbGxvLCBUWCA3OTEwNiwgVVNBLiBFbGVj
dHJvbmljIGFkZHJlc3M6IGx1Y2EuY3VjdWxsb0B0dHVoc2MuZWR1LjwvYXV0aC1hZGRyZXNzPjx0
aXRsZXM+PHRpdGxlPk9mZnNldHRpbmcgdGhlIGltcGFjdCBvZiBzbW9raW5nIGFuZCBlLWNpZ2Fy
ZXR0ZSB2YXBpbmcgb24gdGhlIGNlcmVicm92YXNjdWxhciBzeXN0ZW0gYW5kIHN0cm9rZSBpbmp1
cnk6IElzIE1ldGZvcm1pbiBhIHZpYWJsZSBjb3VudGVybWVhc3VyZT88L3RpdGxlPjxzZWNvbmRh
cnktdGl0bGU+UmVkb3ggQmlvbDwvc2Vjb25kYXJ5LXRpdGxlPjxhbHQtdGl0bGU+UmVkb3ggYmlv
bG9neTwvYWx0LXRpdGxlPjwvdGl0bGVzPjxhbHQtcGVyaW9kaWNhbD48ZnVsbC10aXRsZT5SZWRv
eCBCaW9sb2d5PC9mdWxsLXRpdGxlPjwvYWx0LXBlcmlvZGljYWw+PHBhZ2VzPjM1My0zNjI8L3Bh
Z2VzPjx2b2x1bWU+MTM8L3ZvbHVtZT48ZWRpdGlvbj4yMDE3LzA2LzI1PC9lZGl0aW9uPjxrZXl3
b3Jkcz48a2V5d29yZD5CbG9vZC1icmFpbiBiYXJyaWVyPC9rZXl3b3JkPjxrZXl3b3JkPkNpZ2Fy
ZXR0ZSBzbW9rZTwva2V5d29yZD48a2V5d29yZD5JbmZsYW1tYXRpb248L2tleXdvcmQ+PGtleXdv
cmQ+SXNjaGVtaWEsIEJsb29kIEhlbW9zdGFzaXM8L2tleXdvcmQ+PGtleXdvcmQ+TWV0Zm9ybWlu
PC9rZXl3b3JkPjxrZXl3b3JkPk5yZjI8L2tleXdvcmQ+PGtleXdvcmQ+T3hpZGF0aXZlIHN0cmVz
czwva2V5d29yZD48a2V5d29yZD5WYXBpbmc8L2tleXdvcmQ+PC9rZXl3b3Jkcz48ZGF0ZXM+PHll
YXI+MjAxNzwveWVhcj48cHViLWRhdGVzPjxkYXRlPk9jdDwvZGF0ZT48L3B1Yi1kYXRlcz48L2Rh
dGVzPjxpc2JuPjIyMTMtMjMxNzwvaXNibj48YWNjZXNzaW9uLW51bT4yODY0Njc5NTwvYWNjZXNz
aW9uLW51bT48dXJscz48L3VybHM+PGN1c3RvbTI+UE1DNTQ4MDk4NTwvY3VzdG9tMj48ZWxlY3Ry
b25pYy1yZXNvdXJjZS1udW0+MTAuMTAxNi9qLnJlZG94LjIwMTcuMDYuMDA2PC9lbGVjdHJvbmlj
LXJlc291cmNlLW51bT48cmVtb3RlLWRhdGFiYXNlLXByb3ZpZGVyPk5MTTwvcmVtb3RlLWRhdGFi
YXNlLXByb3ZpZGVyPjxyZXNlYXJjaC1ub3Rlcz5IT0lfS0I6IEV4Y2x1ZGVkIC0gYW5pbWFsIHN0
dWR5PC9yZXNlYXJjaC1ub3Rlcz48bGFuZ3VhZ2U+ZW5nPC9sYW5ndWFnZT48L3JlY29yZD48L0Np
dGU+PC9FbmROb3RlPn==
</w:fldData>
            </w:fldChar>
          </w:r>
          <w:r>
            <w:instrText xml:space="preserve"> ADDIN EN.CITE.DATA </w:instrText>
          </w:r>
          <w:r>
            <w:fldChar w:fldCharType="end"/>
          </w:r>
          <w:r>
            <w:fldChar w:fldCharType="separate"/>
          </w:r>
          <w:r>
            <w:rPr>
              <w:noProof/>
            </w:rPr>
            <w:t>(Kaisar, Villalba et al. 2017)</w:t>
          </w:r>
          <w:r>
            <w:fldChar w:fldCharType="end"/>
          </w:r>
          <w:r w:rsidRPr="000D3F95">
            <w:t xml:space="preserve">. </w:t>
          </w:r>
          <w:r>
            <w:t xml:space="preserve">These results indicate that both e-cigarettes and cigarettes have the ability to induce oxidative stress which can reduce function of the blood-brain-barrier </w:t>
          </w:r>
          <w:r>
            <w:fldChar w:fldCharType="begin">
              <w:fldData xml:space="preserve">PEVuZE5vdGU+PENpdGU+PEF1dGhvcj5LYWlzYXI8L0F1dGhvcj48WWVhcj4yMDE3PC9ZZWFyPjxS
ZWNOdW0+MTA2MzwvUmVjTnVtPjxEaXNwbGF5VGV4dD4oS2Fpc2FyLCBWaWxsYWxiYSBldCBhbC4g
MjAxNyk8L0Rpc3BsYXlUZXh0PjxyZWNvcmQ+PHJlYy1udW1iZXI+MTA2MzwvcmVjLW51bWJlcj48
Zm9yZWlnbi1rZXlzPjxrZXkgYXBwPSJFTiIgZGItaWQ9Ijl6MDVkejBwcmFhZGZ1ZWUwem94emVk
azl6ZmU1Znh4NTB6NSIgdGltZXN0YW1wPSIxNTIxNTA2OTkyIj4xMDYzPC9rZXk+PGtleSBhcHA9
IkVOV2ViIiBkYi1pZD0iIj4wPC9rZXk+PC9mb3JlaWduLWtleXM+PHJlZi10eXBlIG5hbWU9Ikpv
dXJuYWwgQXJ0aWNsZSI+MTc8L3JlZi10eXBlPjxjb250cmlidXRvcnM+PGF1dGhvcnM+PGF1dGhv
cj5LYWlzYXIsIE0uIEEuPC9hdXRob3I+PGF1dGhvcj5WaWxsYWxiYSwgSC48L2F1dGhvcj48YXV0
aG9yPlByYXNhZCwgUy48L2F1dGhvcj48YXV0aG9yPkxpbGVzLCBULjwvYXV0aG9yPjxhdXRob3I+
U2lmYXQsIEEuIEUuPC9hdXRob3I+PGF1dGhvcj5TYWpqYSwgUi4gSy48L2F1dGhvcj48YXV0aG9y
PkFiYnJ1c2NhdG8sIFQuIEouPC9hdXRob3I+PGF1dGhvcj5DdWN1bGxvLCBMLjwvYXV0aG9yPjwv
YXV0aG9ycz48L2NvbnRyaWJ1dG9ycz48YXV0aC1hZGRyZXNzPkRlcGFydG1lbnQgb2YgUGhhcm1h
Y2V1dGljYWwgU2NpZW5jZXMsIFRleGFzIFRlY2ggVW5pdmVyc2l0eSBIZWFsdGggU2NpZW5jZXMg
Q2VudGVyLCBBbWFyaWxsbywgVFggNzkxMDYsIFVTQS4gRWxlY3Ryb25pYyBhZGRyZXNzOiBtZC5h
LmthaXNhckB0dHVoc2MuZWR1LiYjeEQ7RGVwYXJ0bWVudCBvZiBQaGFybWFjZXV0aWNhbCBTY2ll
bmNlcywgVGV4YXMgVGVjaCBVbml2ZXJzaXR5IEhlYWx0aCBTY2llbmNlcyBDZW50ZXIsIEFtYXJp
bGxvLCBUWCA3OTEwNiwgVVNBLiBFbGVjdHJvbmljIGFkZHJlc3M6IGhlaWRpLnZpbGxhbGJhQHR0
dWhzYy5lZHUuJiN4RDtEZXBhcnRtZW50IG9mIE5ldXJvbG9neSwgTm9ydGh3ZXN0ZXJuIFVuaXZl
cnNpdHkgRmVpbmJlcmcgU2Nob29sIG9mIE1lZGljaW5lLCBDaGljYWdvLCBJTCA2MDYxMSwgVVNB
LiBFbGVjdHJvbmljIGFkZHJlc3M6IHByYXNhZC5zaGlraGFAdHR1aHNjLmVkdS4mI3hEO0RlcGFy
dG1lbnQgb2YgUGhhcm1hY2V1dGljYWwgU2NpZW5jZXMsIFRleGFzIFRlY2ggVW5pdmVyc2l0eSBI
ZWFsdGggU2NpZW5jZXMgQ2VudGVyLCBBbWFyaWxsbywgVFggNzkxMDYsIFVTQS4gRWxlY3Ryb25p
YyBhZGRyZXNzOiB0YXlsb3IubGlsZXNAdHR1aHNjLmVkdS4mI3hEO0RlcGFydG1lbnQgb2YgUGhh
cm1hY2V1dGljYWwgU2NpZW5jZXMsIFRleGFzIFRlY2ggVW5pdmVyc2l0eSBIZWFsdGggU2NpZW5j
ZXMgQ2VudGVyLCBBbWFyaWxsbywgVFggNzkxMDYsIFVTQS4gRWxlY3Ryb25pYyBhZGRyZXNzOiBh
bGkuc2lmYXRAdHR1aHNjLmVkdS4mI3hEO0RlcGFydG1lbnQgb2YgUGhhcm1hY2V1dGljYWwgU2Np
ZW5jZXMsIFRleGFzIFRlY2ggVW5pdmVyc2l0eSBIZWFsdGggU2NpZW5jZXMgQ2VudGVyLCBBbWFy
aWxsbywgVFggNzkxMDYsIFVTQS4gRWxlY3Ryb25pYyBhZGRyZXNzOiByYXZpLnNhamphQHR0dWhz
Yy5lZHUuJiN4RDtEZXBhcnRtZW50IG9mIFBoYXJtYWNldXRpY2FsIFNjaWVuY2VzLCBUZXhhcyBU
ZWNoIFVuaXZlcnNpdHkgSGVhbHRoIFNjaWVuY2VzIENlbnRlciwgQW1hcmlsbG8sIFRYIDc5MTA2
LCBVU0E7IENlbnRlciBmb3IgQmxvb2QgQnJhaW4gQmFycmllciBSZXNlYXJjaCwgVGV4YXMgVGVj
aCBVbml2ZXJzaXR5IEhlYWx0aCBTY2llbmNlcyBDZW50ZXIsIEFtYXJpbGxvLCBUWCA3OTEwNiwg
VVNBLiBFbGVjdHJvbmljIGFkZHJlc3M6IFRob21hcy5BYmJydXNjYXRvQHR0dWhzYy5lZHUuJiN4
RDtEZXBhcnRtZW50IG9mIFBoYXJtYWNldXRpY2FsIFNjaWVuY2VzLCBUZXhhcyBUZWNoIFVuaXZl
cnNpdHkgSGVhbHRoIFNjaWVuY2VzIENlbnRlciwgQW1hcmlsbG8sIFRYIDc5MTA2LCBVU0E7IENl
bnRlciBmb3IgQmxvb2QgQnJhaW4gQmFycmllciBSZXNlYXJjaCwgVGV4YXMgVGVjaCBVbml2ZXJz
aXR5IEhlYWx0aCBTY2llbmNlcyBDZW50ZXIsIEFtYXJpbGxvLCBUWCA3OTEwNiwgVVNBLiBFbGVj
dHJvbmljIGFkZHJlc3M6IGx1Y2EuY3VjdWxsb0B0dHVoc2MuZWR1LjwvYXV0aC1hZGRyZXNzPjx0
aXRsZXM+PHRpdGxlPk9mZnNldHRpbmcgdGhlIGltcGFjdCBvZiBzbW9raW5nIGFuZCBlLWNpZ2Fy
ZXR0ZSB2YXBpbmcgb24gdGhlIGNlcmVicm92YXNjdWxhciBzeXN0ZW0gYW5kIHN0cm9rZSBpbmp1
cnk6IElzIE1ldGZvcm1pbiBhIHZpYWJsZSBjb3VudGVybWVhc3VyZT88L3RpdGxlPjxzZWNvbmRh
cnktdGl0bGU+UmVkb3ggQmlvbDwvc2Vjb25kYXJ5LXRpdGxlPjxhbHQtdGl0bGU+UmVkb3ggYmlv
bG9neTwvYWx0LXRpdGxlPjwvdGl0bGVzPjxhbHQtcGVyaW9kaWNhbD48ZnVsbC10aXRsZT5SZWRv
eCBCaW9sb2d5PC9mdWxsLXRpdGxlPjwvYWx0LXBlcmlvZGljYWw+PHBhZ2VzPjM1My0zNjI8L3Bh
Z2VzPjx2b2x1bWU+MTM8L3ZvbHVtZT48ZWRpdGlvbj4yMDE3LzA2LzI1PC9lZGl0aW9uPjxrZXl3
b3Jkcz48a2V5d29yZD5CbG9vZC1icmFpbiBiYXJyaWVyPC9rZXl3b3JkPjxrZXl3b3JkPkNpZ2Fy
ZXR0ZSBzbW9rZTwva2V5d29yZD48a2V5d29yZD5JbmZsYW1tYXRpb248L2tleXdvcmQ+PGtleXdv
cmQ+SXNjaGVtaWEsIEJsb29kIEhlbW9zdGFzaXM8L2tleXdvcmQ+PGtleXdvcmQ+TWV0Zm9ybWlu
PC9rZXl3b3JkPjxrZXl3b3JkPk5yZjI8L2tleXdvcmQ+PGtleXdvcmQ+T3hpZGF0aXZlIHN0cmVz
czwva2V5d29yZD48a2V5d29yZD5WYXBpbmc8L2tleXdvcmQ+PC9rZXl3b3Jkcz48ZGF0ZXM+PHll
YXI+MjAxNzwveWVhcj48cHViLWRhdGVzPjxkYXRlPk9jdDwvZGF0ZT48L3B1Yi1kYXRlcz48L2Rh
dGVzPjxpc2JuPjIyMTMtMjMxNzwvaXNibj48YWNjZXNzaW9uLW51bT4yODY0Njc5NTwvYWNjZXNz
aW9uLW51bT48dXJscz48L3VybHM+PGN1c3RvbTI+UE1DNTQ4MDk4NTwvY3VzdG9tMj48ZWxlY3Ry
b25pYy1yZXNvdXJjZS1udW0+MTAuMTAxNi9qLnJlZG94LjIwMTcuMDYuMDA2PC9lbGVjdHJvbmlj
LXJlc291cmNlLW51bT48cmVtb3RlLWRhdGFiYXNlLXByb3ZpZGVyPk5MTTwvcmVtb3RlLWRhdGFi
YXNlLXByb3ZpZGVyPjxyZXNlYXJjaC1ub3Rlcz5IT0lfS0I6IEV4Y2x1ZGVkIC0gYW5pbWFsIHN0
dWR5PC9yZXNlYXJjaC1ub3Rlcz48bGFuZ3VhZ2U+ZW5nPC9sYW5ndWFnZT48L3JlY29yZD48L0Np
dGU+PC9FbmROb3RlPn==
</w:fldData>
            </w:fldChar>
          </w:r>
          <w:r>
            <w:instrText xml:space="preserve"> ADDIN EN.CITE </w:instrText>
          </w:r>
          <w:r>
            <w:fldChar w:fldCharType="begin">
              <w:fldData xml:space="preserve">PEVuZE5vdGU+PENpdGU+PEF1dGhvcj5LYWlzYXI8L0F1dGhvcj48WWVhcj4yMDE3PC9ZZWFyPjxS
ZWNOdW0+MTA2MzwvUmVjTnVtPjxEaXNwbGF5VGV4dD4oS2Fpc2FyLCBWaWxsYWxiYSBldCBhbC4g
MjAxNyk8L0Rpc3BsYXlUZXh0PjxyZWNvcmQ+PHJlYy1udW1iZXI+MTA2MzwvcmVjLW51bWJlcj48
Zm9yZWlnbi1rZXlzPjxrZXkgYXBwPSJFTiIgZGItaWQ9Ijl6MDVkejBwcmFhZGZ1ZWUwem94emVk
azl6ZmU1Znh4NTB6NSIgdGltZXN0YW1wPSIxNTIxNTA2OTkyIj4xMDYzPC9rZXk+PGtleSBhcHA9
IkVOV2ViIiBkYi1pZD0iIj4wPC9rZXk+PC9mb3JlaWduLWtleXM+PHJlZi10eXBlIG5hbWU9Ikpv
dXJuYWwgQXJ0aWNsZSI+MTc8L3JlZi10eXBlPjxjb250cmlidXRvcnM+PGF1dGhvcnM+PGF1dGhv
cj5LYWlzYXIsIE0uIEEuPC9hdXRob3I+PGF1dGhvcj5WaWxsYWxiYSwgSC48L2F1dGhvcj48YXV0
aG9yPlByYXNhZCwgUy48L2F1dGhvcj48YXV0aG9yPkxpbGVzLCBULjwvYXV0aG9yPjxhdXRob3I+
U2lmYXQsIEEuIEUuPC9hdXRob3I+PGF1dGhvcj5TYWpqYSwgUi4gSy48L2F1dGhvcj48YXV0aG9y
PkFiYnJ1c2NhdG8sIFQuIEouPC9hdXRob3I+PGF1dGhvcj5DdWN1bGxvLCBMLjwvYXV0aG9yPjwv
YXV0aG9ycz48L2NvbnRyaWJ1dG9ycz48YXV0aC1hZGRyZXNzPkRlcGFydG1lbnQgb2YgUGhhcm1h
Y2V1dGljYWwgU2NpZW5jZXMsIFRleGFzIFRlY2ggVW5pdmVyc2l0eSBIZWFsdGggU2NpZW5jZXMg
Q2VudGVyLCBBbWFyaWxsbywgVFggNzkxMDYsIFVTQS4gRWxlY3Ryb25pYyBhZGRyZXNzOiBtZC5h
LmthaXNhckB0dHVoc2MuZWR1LiYjeEQ7RGVwYXJ0bWVudCBvZiBQaGFybWFjZXV0aWNhbCBTY2ll
bmNlcywgVGV4YXMgVGVjaCBVbml2ZXJzaXR5IEhlYWx0aCBTY2llbmNlcyBDZW50ZXIsIEFtYXJp
bGxvLCBUWCA3OTEwNiwgVVNBLiBFbGVjdHJvbmljIGFkZHJlc3M6IGhlaWRpLnZpbGxhbGJhQHR0
dWhzYy5lZHUuJiN4RDtEZXBhcnRtZW50IG9mIE5ldXJvbG9neSwgTm9ydGh3ZXN0ZXJuIFVuaXZl
cnNpdHkgRmVpbmJlcmcgU2Nob29sIG9mIE1lZGljaW5lLCBDaGljYWdvLCBJTCA2MDYxMSwgVVNB
LiBFbGVjdHJvbmljIGFkZHJlc3M6IHByYXNhZC5zaGlraGFAdHR1aHNjLmVkdS4mI3hEO0RlcGFy
dG1lbnQgb2YgUGhhcm1hY2V1dGljYWwgU2NpZW5jZXMsIFRleGFzIFRlY2ggVW5pdmVyc2l0eSBI
ZWFsdGggU2NpZW5jZXMgQ2VudGVyLCBBbWFyaWxsbywgVFggNzkxMDYsIFVTQS4gRWxlY3Ryb25p
YyBhZGRyZXNzOiB0YXlsb3IubGlsZXNAdHR1aHNjLmVkdS4mI3hEO0RlcGFydG1lbnQgb2YgUGhh
cm1hY2V1dGljYWwgU2NpZW5jZXMsIFRleGFzIFRlY2ggVW5pdmVyc2l0eSBIZWFsdGggU2NpZW5j
ZXMgQ2VudGVyLCBBbWFyaWxsbywgVFggNzkxMDYsIFVTQS4gRWxlY3Ryb25pYyBhZGRyZXNzOiBh
bGkuc2lmYXRAdHR1aHNjLmVkdS4mI3hEO0RlcGFydG1lbnQgb2YgUGhhcm1hY2V1dGljYWwgU2Np
ZW5jZXMsIFRleGFzIFRlY2ggVW5pdmVyc2l0eSBIZWFsdGggU2NpZW5jZXMgQ2VudGVyLCBBbWFy
aWxsbywgVFggNzkxMDYsIFVTQS4gRWxlY3Ryb25pYyBhZGRyZXNzOiByYXZpLnNhamphQHR0dWhz
Yy5lZHUuJiN4RDtEZXBhcnRtZW50IG9mIFBoYXJtYWNldXRpY2FsIFNjaWVuY2VzLCBUZXhhcyBU
ZWNoIFVuaXZlcnNpdHkgSGVhbHRoIFNjaWVuY2VzIENlbnRlciwgQW1hcmlsbG8sIFRYIDc5MTA2
LCBVU0E7IENlbnRlciBmb3IgQmxvb2QgQnJhaW4gQmFycmllciBSZXNlYXJjaCwgVGV4YXMgVGVj
aCBVbml2ZXJzaXR5IEhlYWx0aCBTY2llbmNlcyBDZW50ZXIsIEFtYXJpbGxvLCBUWCA3OTEwNiwg
VVNBLiBFbGVjdHJvbmljIGFkZHJlc3M6IFRob21hcy5BYmJydXNjYXRvQHR0dWhzYy5lZHUuJiN4
RDtEZXBhcnRtZW50IG9mIFBoYXJtYWNldXRpY2FsIFNjaWVuY2VzLCBUZXhhcyBUZWNoIFVuaXZl
cnNpdHkgSGVhbHRoIFNjaWVuY2VzIENlbnRlciwgQW1hcmlsbG8sIFRYIDc5MTA2LCBVU0E7IENl
bnRlciBmb3IgQmxvb2QgQnJhaW4gQmFycmllciBSZXNlYXJjaCwgVGV4YXMgVGVjaCBVbml2ZXJz
aXR5IEhlYWx0aCBTY2llbmNlcyBDZW50ZXIsIEFtYXJpbGxvLCBUWCA3OTEwNiwgVVNBLiBFbGVj
dHJvbmljIGFkZHJlc3M6IGx1Y2EuY3VjdWxsb0B0dHVoc2MuZWR1LjwvYXV0aC1hZGRyZXNzPjx0
aXRsZXM+PHRpdGxlPk9mZnNldHRpbmcgdGhlIGltcGFjdCBvZiBzbW9raW5nIGFuZCBlLWNpZ2Fy
ZXR0ZSB2YXBpbmcgb24gdGhlIGNlcmVicm92YXNjdWxhciBzeXN0ZW0gYW5kIHN0cm9rZSBpbmp1
cnk6IElzIE1ldGZvcm1pbiBhIHZpYWJsZSBjb3VudGVybWVhc3VyZT88L3RpdGxlPjxzZWNvbmRh
cnktdGl0bGU+UmVkb3ggQmlvbDwvc2Vjb25kYXJ5LXRpdGxlPjxhbHQtdGl0bGU+UmVkb3ggYmlv
bG9neTwvYWx0LXRpdGxlPjwvdGl0bGVzPjxhbHQtcGVyaW9kaWNhbD48ZnVsbC10aXRsZT5SZWRv
eCBCaW9sb2d5PC9mdWxsLXRpdGxlPjwvYWx0LXBlcmlvZGljYWw+PHBhZ2VzPjM1My0zNjI8L3Bh
Z2VzPjx2b2x1bWU+MTM8L3ZvbHVtZT48ZWRpdGlvbj4yMDE3LzA2LzI1PC9lZGl0aW9uPjxrZXl3
b3Jkcz48a2V5d29yZD5CbG9vZC1icmFpbiBiYXJyaWVyPC9rZXl3b3JkPjxrZXl3b3JkPkNpZ2Fy
ZXR0ZSBzbW9rZTwva2V5d29yZD48a2V5d29yZD5JbmZsYW1tYXRpb248L2tleXdvcmQ+PGtleXdv
cmQ+SXNjaGVtaWEsIEJsb29kIEhlbW9zdGFzaXM8L2tleXdvcmQ+PGtleXdvcmQ+TWV0Zm9ybWlu
PC9rZXl3b3JkPjxrZXl3b3JkPk5yZjI8L2tleXdvcmQ+PGtleXdvcmQ+T3hpZGF0aXZlIHN0cmVz
czwva2V5d29yZD48a2V5d29yZD5WYXBpbmc8L2tleXdvcmQ+PC9rZXl3b3Jkcz48ZGF0ZXM+PHll
YXI+MjAxNzwveWVhcj48cHViLWRhdGVzPjxkYXRlPk9jdDwvZGF0ZT48L3B1Yi1kYXRlcz48L2Rh
dGVzPjxpc2JuPjIyMTMtMjMxNzwvaXNibj48YWNjZXNzaW9uLW51bT4yODY0Njc5NTwvYWNjZXNz
aW9uLW51bT48dXJscz48L3VybHM+PGN1c3RvbTI+UE1DNTQ4MDk4NTwvY3VzdG9tMj48ZWxlY3Ry
b25pYy1yZXNvdXJjZS1udW0+MTAuMTAxNi9qLnJlZG94LjIwMTcuMDYuMDA2PC9lbGVjdHJvbmlj
LXJlc291cmNlLW51bT48cmVtb3RlLWRhdGFiYXNlLXByb3ZpZGVyPk5MTTwvcmVtb3RlLWRhdGFi
YXNlLXByb3ZpZGVyPjxyZXNlYXJjaC1ub3Rlcz5IT0lfS0I6IEV4Y2x1ZGVkIC0gYW5pbWFsIHN0
dWR5PC9yZXNlYXJjaC1ub3Rlcz48bGFuZ3VhZ2U+ZW5nPC9sYW5ndWFnZT48L3JlY29yZD48L0Np
dGU+PC9FbmROb3RlPn==
</w:fldData>
            </w:fldChar>
          </w:r>
          <w:r>
            <w:instrText xml:space="preserve"> ADDIN EN.CITE.DATA </w:instrText>
          </w:r>
          <w:r>
            <w:fldChar w:fldCharType="end"/>
          </w:r>
          <w:r>
            <w:fldChar w:fldCharType="separate"/>
          </w:r>
          <w:r>
            <w:rPr>
              <w:noProof/>
            </w:rPr>
            <w:t>(Kaisar, Villalba et al. 2017)</w:t>
          </w:r>
          <w:r>
            <w:fldChar w:fldCharType="end"/>
          </w:r>
          <w:r>
            <w:t>.</w:t>
          </w:r>
        </w:p>
        <w:p w14:paraId="23488A19" w14:textId="6A76CF29" w:rsidR="00F10DA9" w:rsidRPr="000D3F95" w:rsidRDefault="00F10DA9" w:rsidP="00F10DA9">
          <w:pPr>
            <w:pStyle w:val="BodyText"/>
          </w:pPr>
        </w:p>
        <w:p w14:paraId="30E6B54D" w14:textId="77777777" w:rsidR="00F10DA9" w:rsidRPr="00F221AD" w:rsidRDefault="00F10DA9" w:rsidP="00F10DA9">
          <w:pPr>
            <w:pStyle w:val="Heading3"/>
          </w:pPr>
          <w:r>
            <w:t>Heart</w:t>
          </w:r>
        </w:p>
        <w:p w14:paraId="1DC62B1C" w14:textId="77777777" w:rsidR="00F10DA9" w:rsidRDefault="00F10DA9" w:rsidP="00F10DA9">
          <w:pPr>
            <w:pStyle w:val="BodyText"/>
          </w:pPr>
          <w:r w:rsidRPr="00207549">
            <w:t xml:space="preserve">E-cigarette </w:t>
          </w:r>
          <w:r>
            <w:t xml:space="preserve">vapour </w:t>
          </w:r>
          <w:r w:rsidRPr="00207549">
            <w:t>exposure</w:t>
          </w:r>
          <w:r>
            <w:t>, at levels equivalent to human use,</w:t>
          </w:r>
          <w:r w:rsidRPr="00207549">
            <w:t xml:space="preserve"> was associated with fibrosis of the heart and increased blood pressure</w:t>
          </w:r>
          <w:r>
            <w:t xml:space="preserve"> in mice </w:t>
          </w:r>
          <w:r>
            <w:fldChar w:fldCharType="begin">
              <w:fldData xml:space="preserve">PEVuZE5vdGU+PENpdGU+PEF1dGhvcj5Dcm90dHkgQWxleGFuZGVyPC9BdXRob3I+PFllYXI+MjAx
ODwvWWVhcj48UmVjTnVtPjUyNzwvUmVjTnVtPjxEaXNwbGF5VGV4dD4oQ3JvdHR5IEFsZXhhbmRl
ciwgRHJ1bW1vbmQgZXQgYWwuIDIwMTgpPC9EaXNwbGF5VGV4dD48cmVjb3JkPjxyZWMtbnVtYmVy
PjUyNzwvcmVjLW51bWJlcj48Zm9yZWlnbi1rZXlzPjxrZXkgYXBwPSJFTiIgZGItaWQ9Ijl6MDVk
ejBwcmFhZGZ1ZWUwem94emVkazl6ZmU1Znh4NTB6NSIgdGltZXN0YW1wPSIxNTIxNTA2ODUwIj41
Mjc8L2tleT48a2V5IGFwcD0iRU5XZWIiIGRiLWlkPSIiPjA8L2tleT48L2ZvcmVpZ24ta2V5cz48
cmVmLXR5cGUgbmFtZT0iSm91cm5hbCBBcnRpY2xlIj4xNzwvcmVmLXR5cGU+PGNvbnRyaWJ1dG9y
cz48YXV0aG9ycz48YXV0aG9yPkNyb3R0eSBBbGV4YW5kZXIsIEwuIEUuPC9hdXRob3I+PGF1dGhv
cj5EcnVtbW9uZCwgQy4gQS48L2F1dGhvcj48YXV0aG9yPkhlcG9rb3NraSwgTS48L2F1dGhvcj48
YXV0aG9yPk1hdGhldywgRC4gUC48L2F1dGhvcj48YXV0aG9yPk1vc2hlbnNreSwgQS48L2F1dGhv
cj48YXV0aG9yPldpbGxlZm9yZCwgQS48L2F1dGhvcj48YXV0aG9yPkRhcywgUy48L2F1dGhvcj48
YXV0aG9yPlNpbmdoLCBQLjwvYXV0aG9yPjxhdXRob3I+WW9uZywgWi48L2F1dGhvcj48YXV0aG9y
PkxlZSwgSi4gSC48L2F1dGhvcj48YXV0aG9yPlZlZ2EsIEsuPC9hdXRob3I+PGF1dGhvcj5EdSwg
QS48L2F1dGhvcj48YXV0aG9yPlNoaW4sIEouPC9hdXRob3I+PGF1dGhvcj5KYXZpZXIsIEMuPC9h
dXRob3I+PGF1dGhvcj5UaWFuLCBKLjwvYXV0aG9yPjxhdXRob3I+QnJvd24sIEouIEguPC9hdXRo
b3I+PGF1dGhvcj5CcmVlbiwgRS4gQy48L2F1dGhvcj48L2F1dGhvcnM+PC9jb250cmlidXRvcnM+
PGF1dGgtYWRkcmVzcz5NZWRpY2luZSwgVUMgU2FuIERpZWdvIGFuZCBWQVNESFMsIFVuaXRlZCBT
dGF0ZXMuJiN4RDtTdXJnZXJ5IGFuZCBNZWRpY2FsIERldmljZSBlZmZpY2FjeSwgTVBJIFJlc2Vh
cmNoLCBVbml0ZWQgU3RhdGVzLiYjeEQ7TWVkaWNpbmUsIERpdmlzaW9uIG9mIFB1bG1vbmFyeSBh
bmQgQ3JpdGljYWwgQ2FyZSwgbWhlcG9rb3NraUB1Y3NkLmVkdSwgVW5pdGVkIFN0YXRlcy4mI3hE
O01lZGljaW5lLCBVQyBTYW4gRGllZ28gU2Nob29sIG9mIE1lZGljaW5lLiYjeEQ7TWVkaWNpbmUs
IFVDIFNhbiBEaWVnbyBhbmQgVkFTREhTLiYjeEQ7UGhhcm1hY29sb2d5LCBVQ1NELiYjeEQ7UGF0
aG9sb2d5LCBVQ1NELiYjeEQ7TWVkaWNpbmUtTmVwaHJvbG9neSwgVUMgU2FuIERpZWdvIGFuZCBW
QVNESFMsIFVuaXRlZCBTdGF0ZXMuJiN4RDtNZWRpY2luZSwgVUNTRC4mI3hEO01lZGljaW5lLCBV
bml2ZXJzaXR5IG9mIFRvbGVkbyBIZWFsdGggU2NpZW5jZSBDYW1wdXMsIFVuaXRlZCBTdGF0ZXMu
JiN4RDtEZXBhcnRtZW50IG9mIFBoYXJtYWNvbG9neSAwNjM2LCBVbml2ZXJzaXR5IG9mIENhbGlm
b3JuaWEsIFNhbiBEaWVnbywgVW5pdGVkIFN0YXRlcy4mI3hEO01lZGljaW5lLCBVbml2ZXJzaXR5
IG9mIENhbGlmb3JuaWEsIFNhbiBEaWVnbywgVW5pdGVkIFN0YXRlcy48L2F1dGgtYWRkcmVzcz48
dGl0bGVzPjx0aXRsZT5DaHJvbmljIEluaGFsYXRpb24gb2YgRS1DaWdhcmV0dGUgVmFwb3IgQ29u
dGFpbmluZyBOaWNvdGluZSBEaXNydXB0cyBBaXJ3YXkgQmFycmllciBGdW5jdGlvbiBhbmQgSW5k
dWNlcyBTeXN0ZW1pYyBJbmZsYW1tYXRpb24gYW5kIE11bHRpLU9yZ2FuIEZpYnJvc2lzIGluIE1p
Y2U8L3RpdGxlPjxzZWNvbmRhcnktdGl0bGU+QW0gSiBQaHlzaW9sIFJlZ3VsIEludGVnciBDb21w
IFBoeXNpb2w8L3NlY29uZGFyeS10aXRsZT48YWx0LXRpdGxlPkFtZXJpY2FuIGpvdXJuYWwgb2Yg
cGh5c2lvbG9neS4gUmVndWxhdG9yeSwgaW50ZWdyYXRpdmUgYW5kIGNvbXBhcmF0aXZlIHBoeXNp
b2xvZ3k8L2FsdC10aXRsZT48L3RpdGxlcz48cGVyaW9kaWNhbD48ZnVsbC10aXRsZT5BbSBKIFBo
eXNpb2wgUmVndWwgSW50ZWdyIENvbXAgUGh5c2lvbDwvZnVsbC10aXRsZT48YWJici0xPkFtZXJp
Y2FuIGpvdXJuYWwgb2YgcGh5c2lvbG9neS4gUmVndWxhdG9yeSwgaW50ZWdyYXRpdmUgYW5kIGNv
bXBhcmF0aXZlIHBoeXNpb2xvZ3k8L2FiYnItMT48L3BlcmlvZGljYWw+PGFsdC1wZXJpb2RpY2Fs
PjxmdWxsLXRpdGxlPkFtIEogUGh5c2lvbCBSZWd1bCBJbnRlZ3IgQ29tcCBQaHlzaW9sPC9mdWxs
LXRpdGxlPjxhYmJyLTE+QW1lcmljYW4gam91cm5hbCBvZiBwaHlzaW9sb2d5LiBSZWd1bGF0b3J5
LCBpbnRlZ3JhdGl2ZSBhbmQgY29tcGFyYXRpdmUgcGh5c2lvbG9neTwvYWJici0xPjwvYWx0LXBl
cmlvZGljYWw+PGVkaXRpb24+MjAxOC8wMi8wMTwvZWRpdGlvbj48a2V5d29yZHM+PGtleXdvcmQ+
Y2FyZGlvcmVuYWwgZHlzZnVuY3Rpb248L2tleXdvcmQ+PGtleXdvcmQ+ZWxlY3Ryb25pYyBjaWdh
cmV0dGU8L2tleXdvcmQ+PGtleXdvcmQ+Zmlicm9zaXM8L2tleXdvcmQ+PGtleXdvcmQ+aW5mbGFt
bWF0aW9uPC9rZXl3b3JkPjxrZXl3b3JkPm5pY290aW5lPC9rZXl3b3JkPjwva2V5d29yZHM+PGRh
dGVzPjx5ZWFyPjIwMTg8L3llYXI+PHB1Yi1kYXRlcz48ZGF0ZT5KYW4gMzE8L2RhdGU+PC9wdWIt
ZGF0ZXM+PC9kYXRlcz48aXNibj4wMzYzLTYxMTk8L2lzYm4+PGFjY2Vzc2lvbi1udW0+MjkzODQ3
MDA8L2FjY2Vzc2lvbi1udW0+PHVybHM+PC91cmxzPjxlbGVjdHJvbmljLXJlc291cmNlLW51bT4x
MC4xMTUyL2FqcHJlZ3UuMDAyNzAuMjAxNzwvZWxlY3Ryb25pYy1yZXNvdXJjZS1udW0+PHJlbW90
ZS1kYXRhYmFzZS1wcm92aWRlcj5OTE08L3JlbW90ZS1kYXRhYmFzZS1wcm92aWRlcj48bGFuZ3Vh
Z2U+ZW5nPC9sYW5ndWFnZT48L3JlY29yZD48L0NpdGU+PC9FbmROb3RlPgB=
</w:fldData>
            </w:fldChar>
          </w:r>
          <w:r>
            <w:instrText xml:space="preserve"> ADDIN EN.CITE </w:instrText>
          </w:r>
          <w:r>
            <w:fldChar w:fldCharType="begin">
              <w:fldData xml:space="preserve">PEVuZE5vdGU+PENpdGU+PEF1dGhvcj5Dcm90dHkgQWxleGFuZGVyPC9BdXRob3I+PFllYXI+MjAx
ODwvWWVhcj48UmVjTnVtPjUyNzwvUmVjTnVtPjxEaXNwbGF5VGV4dD4oQ3JvdHR5IEFsZXhhbmRl
ciwgRHJ1bW1vbmQgZXQgYWwuIDIwMTgpPC9EaXNwbGF5VGV4dD48cmVjb3JkPjxyZWMtbnVtYmVy
PjUyNzwvcmVjLW51bWJlcj48Zm9yZWlnbi1rZXlzPjxrZXkgYXBwPSJFTiIgZGItaWQ9Ijl6MDVk
ejBwcmFhZGZ1ZWUwem94emVkazl6ZmU1Znh4NTB6NSIgdGltZXN0YW1wPSIxNTIxNTA2ODUwIj41
Mjc8L2tleT48a2V5IGFwcD0iRU5XZWIiIGRiLWlkPSIiPjA8L2tleT48L2ZvcmVpZ24ta2V5cz48
cmVmLXR5cGUgbmFtZT0iSm91cm5hbCBBcnRpY2xlIj4xNzwvcmVmLXR5cGU+PGNvbnRyaWJ1dG9y
cz48YXV0aG9ycz48YXV0aG9yPkNyb3R0eSBBbGV4YW5kZXIsIEwuIEUuPC9hdXRob3I+PGF1dGhv
cj5EcnVtbW9uZCwgQy4gQS48L2F1dGhvcj48YXV0aG9yPkhlcG9rb3NraSwgTS48L2F1dGhvcj48
YXV0aG9yPk1hdGhldywgRC4gUC48L2F1dGhvcj48YXV0aG9yPk1vc2hlbnNreSwgQS48L2F1dGhv
cj48YXV0aG9yPldpbGxlZm9yZCwgQS48L2F1dGhvcj48YXV0aG9yPkRhcywgUy48L2F1dGhvcj48
YXV0aG9yPlNpbmdoLCBQLjwvYXV0aG9yPjxhdXRob3I+WW9uZywgWi48L2F1dGhvcj48YXV0aG9y
PkxlZSwgSi4gSC48L2F1dGhvcj48YXV0aG9yPlZlZ2EsIEsuPC9hdXRob3I+PGF1dGhvcj5EdSwg
QS48L2F1dGhvcj48YXV0aG9yPlNoaW4sIEouPC9hdXRob3I+PGF1dGhvcj5KYXZpZXIsIEMuPC9h
dXRob3I+PGF1dGhvcj5UaWFuLCBKLjwvYXV0aG9yPjxhdXRob3I+QnJvd24sIEouIEguPC9hdXRo
b3I+PGF1dGhvcj5CcmVlbiwgRS4gQy48L2F1dGhvcj48L2F1dGhvcnM+PC9jb250cmlidXRvcnM+
PGF1dGgtYWRkcmVzcz5NZWRpY2luZSwgVUMgU2FuIERpZWdvIGFuZCBWQVNESFMsIFVuaXRlZCBT
dGF0ZXMuJiN4RDtTdXJnZXJ5IGFuZCBNZWRpY2FsIERldmljZSBlZmZpY2FjeSwgTVBJIFJlc2Vh
cmNoLCBVbml0ZWQgU3RhdGVzLiYjeEQ7TWVkaWNpbmUsIERpdmlzaW9uIG9mIFB1bG1vbmFyeSBh
bmQgQ3JpdGljYWwgQ2FyZSwgbWhlcG9rb3NraUB1Y3NkLmVkdSwgVW5pdGVkIFN0YXRlcy4mI3hE
O01lZGljaW5lLCBVQyBTYW4gRGllZ28gU2Nob29sIG9mIE1lZGljaW5lLiYjeEQ7TWVkaWNpbmUs
IFVDIFNhbiBEaWVnbyBhbmQgVkFTREhTLiYjeEQ7UGhhcm1hY29sb2d5LCBVQ1NELiYjeEQ7UGF0
aG9sb2d5LCBVQ1NELiYjeEQ7TWVkaWNpbmUtTmVwaHJvbG9neSwgVUMgU2FuIERpZWdvIGFuZCBW
QVNESFMsIFVuaXRlZCBTdGF0ZXMuJiN4RDtNZWRpY2luZSwgVUNTRC4mI3hEO01lZGljaW5lLCBV
bml2ZXJzaXR5IG9mIFRvbGVkbyBIZWFsdGggU2NpZW5jZSBDYW1wdXMsIFVuaXRlZCBTdGF0ZXMu
JiN4RDtEZXBhcnRtZW50IG9mIFBoYXJtYWNvbG9neSAwNjM2LCBVbml2ZXJzaXR5IG9mIENhbGlm
b3JuaWEsIFNhbiBEaWVnbywgVW5pdGVkIFN0YXRlcy4mI3hEO01lZGljaW5lLCBVbml2ZXJzaXR5
IG9mIENhbGlmb3JuaWEsIFNhbiBEaWVnbywgVW5pdGVkIFN0YXRlcy48L2F1dGgtYWRkcmVzcz48
dGl0bGVzPjx0aXRsZT5DaHJvbmljIEluaGFsYXRpb24gb2YgRS1DaWdhcmV0dGUgVmFwb3IgQ29u
dGFpbmluZyBOaWNvdGluZSBEaXNydXB0cyBBaXJ3YXkgQmFycmllciBGdW5jdGlvbiBhbmQgSW5k
dWNlcyBTeXN0ZW1pYyBJbmZsYW1tYXRpb24gYW5kIE11bHRpLU9yZ2FuIEZpYnJvc2lzIGluIE1p
Y2U8L3RpdGxlPjxzZWNvbmRhcnktdGl0bGU+QW0gSiBQaHlzaW9sIFJlZ3VsIEludGVnciBDb21w
IFBoeXNpb2w8L3NlY29uZGFyeS10aXRsZT48YWx0LXRpdGxlPkFtZXJpY2FuIGpvdXJuYWwgb2Yg
cGh5c2lvbG9neS4gUmVndWxhdG9yeSwgaW50ZWdyYXRpdmUgYW5kIGNvbXBhcmF0aXZlIHBoeXNp
b2xvZ3k8L2FsdC10aXRsZT48L3RpdGxlcz48cGVyaW9kaWNhbD48ZnVsbC10aXRsZT5BbSBKIFBo
eXNpb2wgUmVndWwgSW50ZWdyIENvbXAgUGh5c2lvbDwvZnVsbC10aXRsZT48YWJici0xPkFtZXJp
Y2FuIGpvdXJuYWwgb2YgcGh5c2lvbG9neS4gUmVndWxhdG9yeSwgaW50ZWdyYXRpdmUgYW5kIGNv
bXBhcmF0aXZlIHBoeXNpb2xvZ3k8L2FiYnItMT48L3BlcmlvZGljYWw+PGFsdC1wZXJpb2RpY2Fs
PjxmdWxsLXRpdGxlPkFtIEogUGh5c2lvbCBSZWd1bCBJbnRlZ3IgQ29tcCBQaHlzaW9sPC9mdWxs
LXRpdGxlPjxhYmJyLTE+QW1lcmljYW4gam91cm5hbCBvZiBwaHlzaW9sb2d5LiBSZWd1bGF0b3J5
LCBpbnRlZ3JhdGl2ZSBhbmQgY29tcGFyYXRpdmUgcGh5c2lvbG9neTwvYWJici0xPjwvYWx0LXBl
cmlvZGljYWw+PGVkaXRpb24+MjAxOC8wMi8wMTwvZWRpdGlvbj48a2V5d29yZHM+PGtleXdvcmQ+
Y2FyZGlvcmVuYWwgZHlzZnVuY3Rpb248L2tleXdvcmQ+PGtleXdvcmQ+ZWxlY3Ryb25pYyBjaWdh
cmV0dGU8L2tleXdvcmQ+PGtleXdvcmQ+Zmlicm9zaXM8L2tleXdvcmQ+PGtleXdvcmQ+aW5mbGFt
bWF0aW9uPC9rZXl3b3JkPjxrZXl3b3JkPm5pY290aW5lPC9rZXl3b3JkPjwva2V5d29yZHM+PGRh
dGVzPjx5ZWFyPjIwMTg8L3llYXI+PHB1Yi1kYXRlcz48ZGF0ZT5KYW4gMzE8L2RhdGU+PC9wdWIt
ZGF0ZXM+PC9kYXRlcz48aXNibj4wMzYzLTYxMTk8L2lzYm4+PGFjY2Vzc2lvbi1udW0+MjkzODQ3
MDA8L2FjY2Vzc2lvbi1udW0+PHVybHM+PC91cmxzPjxlbGVjdHJvbmljLXJlc291cmNlLW51bT4x
MC4xMTUyL2FqcHJlZ3UuMDAyNzAuMjAxNzwvZWxlY3Ryb25pYy1yZXNvdXJjZS1udW0+PHJlbW90
ZS1kYXRhYmFzZS1wcm92aWRlcj5OTE08L3JlbW90ZS1kYXRhYmFzZS1wcm92aWRlcj48bGFuZ3Vh
Z2U+ZW5nPC9sYW5ndWFnZT48L3JlY29yZD48L0NpdGU+PC9FbmROb3RlPgB=
</w:fldData>
            </w:fldChar>
          </w:r>
          <w:r>
            <w:instrText xml:space="preserve"> ADDIN EN.CITE.DATA </w:instrText>
          </w:r>
          <w:r>
            <w:fldChar w:fldCharType="end"/>
          </w:r>
          <w:r>
            <w:fldChar w:fldCharType="separate"/>
          </w:r>
          <w:r>
            <w:rPr>
              <w:noProof/>
            </w:rPr>
            <w:t>(Crotty Alexander, Drummond et al. 2018)</w:t>
          </w:r>
          <w:r>
            <w:fldChar w:fldCharType="end"/>
          </w:r>
          <w:r w:rsidRPr="00207549">
            <w:t>.</w:t>
          </w:r>
          <w:r>
            <w:t xml:space="preserve"> Additionally, m</w:t>
          </w:r>
          <w:r w:rsidRPr="005F3F92">
            <w:t>ice exposed to e-cigarettes</w:t>
          </w:r>
          <w:r>
            <w:t>, at levels equivalent to human use,</w:t>
          </w:r>
          <w:r w:rsidRPr="005F3F92">
            <w:t xml:space="preserve"> had more DNA adducts in</w:t>
          </w:r>
          <w:r>
            <w:t xml:space="preserve"> their</w:t>
          </w:r>
          <w:r w:rsidRPr="005F3F92">
            <w:t xml:space="preserve"> heart</w:t>
          </w:r>
          <w:r>
            <w:t xml:space="preserve"> and </w:t>
          </w:r>
          <w:r w:rsidRPr="005F3F92">
            <w:t>had lower amounts of DNA repair proteins compared to the control</w:t>
          </w:r>
          <w:r>
            <w:t xml:space="preserve"> </w:t>
          </w:r>
          <w:r>
            <w:fldChar w:fldCharType="begin">
              <w:fldData xml:space="preserve">PEVuZE5vdGU+PENpdGU+PEF1dGhvcj5MZWU8L0F1dGhvcj48WWVhcj4yMDE4PC9ZZWFyPjxSZWNO
dW0+NjI3PC9SZWNOdW0+PERpc3BsYXlUZXh0PihMZWUsIFBhcmsgZXQgYWwuIDIwMTgpPC9EaXNw
bGF5VGV4dD48cmVjb3JkPjxyZWMtbnVtYmVyPjYyNzwvcmVjLW51bWJlcj48Zm9yZWlnbi1rZXlz
PjxrZXkgYXBwPSJFTiIgZGItaWQ9Ijl6MDVkejBwcmFhZGZ1ZWUwem94emVkazl6ZmU1Znh4NTB6
NSIgdGltZXN0YW1wPSIxNTIxNTA2ODczIj42Mjc8L2tleT48L2ZvcmVpZ24ta2V5cz48cmVmLXR5
cGUgbmFtZT0iSm91cm5hbCBBcnRpY2xlIj4xNzwvcmVmLXR5cGU+PGNvbnRyaWJ1dG9ycz48YXV0
aG9ycz48YXV0aG9yPkxlZSwgSC4gVy48L2F1dGhvcj48YXV0aG9yPlBhcmssIFMuIEguPC9hdXRo
b3I+PGF1dGhvcj5XZW5nLCBNLiBXLjwvYXV0aG9yPjxhdXRob3I+V2FuZywgSC4gVC48L2F1dGhv
cj48YXV0aG9yPkh1YW5nLCBXLiBDLjwvYXV0aG9yPjxhdXRob3I+TGVwb3IsIEguPC9hdXRob3I+
PGF1dGhvcj5XdSwgWC4gUi48L2F1dGhvcj48YXV0aG9yPkNoZW4sIEwuIEMuPC9hdXRob3I+PGF1
dGhvcj5UYW5nLCBNLiBTLjwvYXV0aG9yPjwvYXV0aG9ycz48L2NvbnRyaWJ1dG9ycz48YXV0aC1h
ZGRyZXNzPkRlcGFydG1lbnQgb2YgRW52aXJvbm1lbnRhbCBNZWRpY2luZSwgTmV3IFlvcmsgVW5p
dmVyc2l0eSBTY2hvb2wgb2YgTWVkaWNpbmUsIFR1eGVkbyBQYXJrLCBOWSAxMDk4Ny4mI3hEO0Rl
cGFydG1lbnQgb2YgVXJvbG9neSwgTmV3IFlvcmsgVW5pdmVyc2l0eSBTY2hvb2wgb2YgTWVkaWNp
bmUsIE5ldyBZb3JrLCBOWSAxMDAxNi4mI3hEO0RlcGFydG1lbnQgb2YgRW52aXJvbm1lbnRhbCBN
ZWRpY2luZSwgTmV3IFlvcmsgVW5pdmVyc2l0eSBTY2hvb2wgb2YgTWVkaWNpbmUsIFR1eGVkbyBQ
YXJrLCBOWSAxMDk4NzsgbW9vbi1zaG9uZy50YW5nQG55dW1jLm9yZy48L2F1dGgtYWRkcmVzcz48
dGl0bGVzPjx0aXRsZT5FLWNpZ2FyZXR0ZSBzbW9rZSBkYW1hZ2VzIEROQSBhbmQgcmVkdWNlcyBy
ZXBhaXIgYWN0aXZpdHkgaW4gbW91c2UgbHVuZywgaGVhcnQsIGFuZCBibGFkZGVyIGFzIHdlbGwg
YXMgaW4gaHVtYW4gbHVuZyBhbmQgYmxhZGRlciBjZWxsczwvdGl0bGU+PHNlY29uZGFyeS10aXRs
ZT5Qcm9jIE5hdGwgQWNhZCBTY2kgVSBTIEE8L3NlY29uZGFyeS10aXRsZT48YWx0LXRpdGxlPlBy
b2NlZWRpbmdzIG9mIHRoZSBOYXRpb25hbCBBY2FkZW15IG9mIFNjaWVuY2VzIG9mIHRoZSBVbml0
ZWQgU3RhdGVzIG9mIEFtZXJpY2E8L2FsdC10aXRsZT48L3RpdGxlcz48cGVyaW9kaWNhbD48ZnVs
bC10aXRsZT5Qcm9jIE5hdGwgQWNhZCBTY2kgVSBTIEE8L2Z1bGwtdGl0bGU+PGFiYnItMT5Qcm9j
ZWVkaW5ncyBvZiB0aGUgTmF0aW9uYWwgQWNhZGVteSBvZiBTY2llbmNlcyBvZiB0aGUgVW5pdGVk
IFN0YXRlcyBvZiBBbWVyaWNhPC9hYmJyLTE+PC9wZXJpb2RpY2FsPjxhbHQtcGVyaW9kaWNhbD48
ZnVsbC10aXRsZT5Qcm9jIE5hdGwgQWNhZCBTY2kgVSBTIEE8L2Z1bGwtdGl0bGU+PGFiYnItMT5Q
cm9jZWVkaW5ncyBvZiB0aGUgTmF0aW9uYWwgQWNhZGVteSBvZiBTY2llbmNlcyBvZiB0aGUgVW5p
dGVkIFN0YXRlcyBvZiBBbWVyaWNhPC9hYmJyLTE+PC9hbHQtcGVyaW9kaWNhbD48cGFnZXM+RTE1
NjAtZTE1Njk8L3BhZ2VzPjx2b2x1bWU+MTE1PC92b2x1bWU+PG51bWJlcj43PC9udW1iZXI+PGVk
aXRpb24+MjAxOC8wMS8zMTwvZWRpdGlvbj48a2V5d29yZHM+PGtleXdvcmQ+RE5BIGRhbWFnZTwv
a2V5d29yZD48a2V5d29yZD5ETkEgcmVwYWlyPC9rZXl3b3JkPjxrZXl3b3JkPkUtY2lnYXJldHRl
czwva2V5d29yZD48a2V5d29yZD5jYW5jZXI8L2tleXdvcmQ+PGtleXdvcmQ+bHVuZy1ibGFkZGVy
LWhlYXJ0PC9rZXl3b3JkPjwva2V5d29yZHM+PGRhdGVzPjx5ZWFyPjIwMTg8L3llYXI+PHB1Yi1k
YXRlcz48ZGF0ZT5GZWIgMTM8L2RhdGU+PC9wdWItZGF0ZXM+PC9kYXRlcz48aXNibj4wMDI3LTg0
MjQ8L2lzYm4+PGFjY2Vzc2lvbi1udW0+MjkzNzg5NDM8L2FjY2Vzc2lvbi1udW0+PHVybHM+PHJl
bGF0ZWQtdXJscz48dXJsPmh0dHA6Ly93d3cucG5hcy5vcmcvY29udGVudC9wbmFzLzExNS83L0Ux
NTYwLmZ1bGwucGRmPC91cmw+PC9yZWxhdGVkLXVybHM+PC91cmxzPjxjdXN0b20yPlBNQzU4MTYx
OTE8L2N1c3RvbTI+PGVsZWN0cm9uaWMtcmVzb3VyY2UtbnVtPjEwLjEwNzMvcG5hcy4xNzE4MTg1
MTE1PC9lbGVjdHJvbmljLXJlc291cmNlLW51bT48cmVtb3RlLWRhdGFiYXNlLXByb3ZpZGVyPk5M
TTwvcmVtb3RlLWRhdGFiYXNlLXByb3ZpZGVyPjxsYW5ndWFnZT5lbmc8L2xhbmd1YWdlPjwvcmVj
b3JkPjwvQ2l0ZT48L0VuZE5vdGU+
</w:fldData>
            </w:fldChar>
          </w:r>
          <w:r>
            <w:instrText xml:space="preserve"> ADDIN EN.CITE </w:instrText>
          </w:r>
          <w:r>
            <w:fldChar w:fldCharType="begin">
              <w:fldData xml:space="preserve">PEVuZE5vdGU+PENpdGU+PEF1dGhvcj5MZWU8L0F1dGhvcj48WWVhcj4yMDE4PC9ZZWFyPjxSZWNO
dW0+NjI3PC9SZWNOdW0+PERpc3BsYXlUZXh0PihMZWUsIFBhcmsgZXQgYWwuIDIwMTgpPC9EaXNw
bGF5VGV4dD48cmVjb3JkPjxyZWMtbnVtYmVyPjYyNzwvcmVjLW51bWJlcj48Zm9yZWlnbi1rZXlz
PjxrZXkgYXBwPSJFTiIgZGItaWQ9Ijl6MDVkejBwcmFhZGZ1ZWUwem94emVkazl6ZmU1Znh4NTB6
NSIgdGltZXN0YW1wPSIxNTIxNTA2ODczIj42Mjc8L2tleT48L2ZvcmVpZ24ta2V5cz48cmVmLXR5
cGUgbmFtZT0iSm91cm5hbCBBcnRpY2xlIj4xNzwvcmVmLXR5cGU+PGNvbnRyaWJ1dG9ycz48YXV0
aG9ycz48YXV0aG9yPkxlZSwgSC4gVy48L2F1dGhvcj48YXV0aG9yPlBhcmssIFMuIEguPC9hdXRo
b3I+PGF1dGhvcj5XZW5nLCBNLiBXLjwvYXV0aG9yPjxhdXRob3I+V2FuZywgSC4gVC48L2F1dGhv
cj48YXV0aG9yPkh1YW5nLCBXLiBDLjwvYXV0aG9yPjxhdXRob3I+TGVwb3IsIEguPC9hdXRob3I+
PGF1dGhvcj5XdSwgWC4gUi48L2F1dGhvcj48YXV0aG9yPkNoZW4sIEwuIEMuPC9hdXRob3I+PGF1
dGhvcj5UYW5nLCBNLiBTLjwvYXV0aG9yPjwvYXV0aG9ycz48L2NvbnRyaWJ1dG9ycz48YXV0aC1h
ZGRyZXNzPkRlcGFydG1lbnQgb2YgRW52aXJvbm1lbnRhbCBNZWRpY2luZSwgTmV3IFlvcmsgVW5p
dmVyc2l0eSBTY2hvb2wgb2YgTWVkaWNpbmUsIFR1eGVkbyBQYXJrLCBOWSAxMDk4Ny4mI3hEO0Rl
cGFydG1lbnQgb2YgVXJvbG9neSwgTmV3IFlvcmsgVW5pdmVyc2l0eSBTY2hvb2wgb2YgTWVkaWNp
bmUsIE5ldyBZb3JrLCBOWSAxMDAxNi4mI3hEO0RlcGFydG1lbnQgb2YgRW52aXJvbm1lbnRhbCBN
ZWRpY2luZSwgTmV3IFlvcmsgVW5pdmVyc2l0eSBTY2hvb2wgb2YgTWVkaWNpbmUsIFR1eGVkbyBQ
YXJrLCBOWSAxMDk4NzsgbW9vbi1zaG9uZy50YW5nQG55dW1jLm9yZy48L2F1dGgtYWRkcmVzcz48
dGl0bGVzPjx0aXRsZT5FLWNpZ2FyZXR0ZSBzbW9rZSBkYW1hZ2VzIEROQSBhbmQgcmVkdWNlcyBy
ZXBhaXIgYWN0aXZpdHkgaW4gbW91c2UgbHVuZywgaGVhcnQsIGFuZCBibGFkZGVyIGFzIHdlbGwg
YXMgaW4gaHVtYW4gbHVuZyBhbmQgYmxhZGRlciBjZWxsczwvdGl0bGU+PHNlY29uZGFyeS10aXRs
ZT5Qcm9jIE5hdGwgQWNhZCBTY2kgVSBTIEE8L3NlY29uZGFyeS10aXRsZT48YWx0LXRpdGxlPlBy
b2NlZWRpbmdzIG9mIHRoZSBOYXRpb25hbCBBY2FkZW15IG9mIFNjaWVuY2VzIG9mIHRoZSBVbml0
ZWQgU3RhdGVzIG9mIEFtZXJpY2E8L2FsdC10aXRsZT48L3RpdGxlcz48cGVyaW9kaWNhbD48ZnVs
bC10aXRsZT5Qcm9jIE5hdGwgQWNhZCBTY2kgVSBTIEE8L2Z1bGwtdGl0bGU+PGFiYnItMT5Qcm9j
ZWVkaW5ncyBvZiB0aGUgTmF0aW9uYWwgQWNhZGVteSBvZiBTY2llbmNlcyBvZiB0aGUgVW5pdGVk
IFN0YXRlcyBvZiBBbWVyaWNhPC9hYmJyLTE+PC9wZXJpb2RpY2FsPjxhbHQtcGVyaW9kaWNhbD48
ZnVsbC10aXRsZT5Qcm9jIE5hdGwgQWNhZCBTY2kgVSBTIEE8L2Z1bGwtdGl0bGU+PGFiYnItMT5Q
cm9jZWVkaW5ncyBvZiB0aGUgTmF0aW9uYWwgQWNhZGVteSBvZiBTY2llbmNlcyBvZiB0aGUgVW5p
dGVkIFN0YXRlcyBvZiBBbWVyaWNhPC9hYmJyLTE+PC9hbHQtcGVyaW9kaWNhbD48cGFnZXM+RTE1
NjAtZTE1Njk8L3BhZ2VzPjx2b2x1bWU+MTE1PC92b2x1bWU+PG51bWJlcj43PC9udW1iZXI+PGVk
aXRpb24+MjAxOC8wMS8zMTwvZWRpdGlvbj48a2V5d29yZHM+PGtleXdvcmQ+RE5BIGRhbWFnZTwv
a2V5d29yZD48a2V5d29yZD5ETkEgcmVwYWlyPC9rZXl3b3JkPjxrZXl3b3JkPkUtY2lnYXJldHRl
czwva2V5d29yZD48a2V5d29yZD5jYW5jZXI8L2tleXdvcmQ+PGtleXdvcmQ+bHVuZy1ibGFkZGVy
LWhlYXJ0PC9rZXl3b3JkPjwva2V5d29yZHM+PGRhdGVzPjx5ZWFyPjIwMTg8L3llYXI+PHB1Yi1k
YXRlcz48ZGF0ZT5GZWIgMTM8L2RhdGU+PC9wdWItZGF0ZXM+PC9kYXRlcz48aXNibj4wMDI3LTg0
MjQ8L2lzYm4+PGFjY2Vzc2lvbi1udW0+MjkzNzg5NDM8L2FjY2Vzc2lvbi1udW0+PHVybHM+PHJl
bGF0ZWQtdXJscz48dXJsPmh0dHA6Ly93d3cucG5hcy5vcmcvY29udGVudC9wbmFzLzExNS83L0Ux
NTYwLmZ1bGwucGRmPC91cmw+PC9yZWxhdGVkLXVybHM+PC91cmxzPjxjdXN0b20yPlBNQzU4MTYx
OTE8L2N1c3RvbTI+PGVsZWN0cm9uaWMtcmVzb3VyY2UtbnVtPjEwLjEwNzMvcG5hcy4xNzE4MTg1
MTE1PC9lbGVjdHJvbmljLXJlc291cmNlLW51bT48cmVtb3RlLWRhdGFiYXNlLXByb3ZpZGVyPk5M
TTwvcmVtb3RlLWRhdGFiYXNlLXByb3ZpZGVyPjxsYW5ndWFnZT5lbmc8L2xhbmd1YWdlPjwvcmVj
b3JkPjwvQ2l0ZT48L0VuZE5vdGU+
</w:fldData>
            </w:fldChar>
          </w:r>
          <w:r>
            <w:instrText xml:space="preserve"> ADDIN EN.CITE.DATA </w:instrText>
          </w:r>
          <w:r>
            <w:fldChar w:fldCharType="end"/>
          </w:r>
          <w:r>
            <w:fldChar w:fldCharType="separate"/>
          </w:r>
          <w:r>
            <w:rPr>
              <w:noProof/>
            </w:rPr>
            <w:t>(Lee, Park et al. 2018)</w:t>
          </w:r>
          <w:r>
            <w:fldChar w:fldCharType="end"/>
          </w:r>
          <w:r w:rsidRPr="005F3F92">
            <w:t>.</w:t>
          </w:r>
        </w:p>
        <w:p w14:paraId="5670865F" w14:textId="77777777" w:rsidR="00F10DA9" w:rsidRDefault="00F10DA9" w:rsidP="00F10DA9">
          <w:pPr>
            <w:pStyle w:val="BodyText"/>
          </w:pPr>
        </w:p>
        <w:p w14:paraId="35DFC301" w14:textId="77777777" w:rsidR="00F10DA9" w:rsidRDefault="00F10DA9" w:rsidP="00F10DA9">
          <w:pPr>
            <w:pStyle w:val="Heading3"/>
          </w:pPr>
          <w:r>
            <w:t>Kidneys</w:t>
          </w:r>
        </w:p>
        <w:p w14:paraId="6448C4B1" w14:textId="77777777" w:rsidR="00F10DA9" w:rsidRDefault="00F10DA9" w:rsidP="00F10DA9">
          <w:pPr>
            <w:pStyle w:val="BodyText"/>
          </w:pPr>
          <w:r>
            <w:t xml:space="preserve">Chronic inhalation of e-cigarette vapour in mice, at a dose equivalent to human use, led to </w:t>
          </w:r>
          <w:r w:rsidRPr="00207549">
            <w:t>renal dysfunction</w:t>
          </w:r>
          <w:r>
            <w:t>,</w:t>
          </w:r>
          <w:r w:rsidRPr="00207549">
            <w:t xml:space="preserve"> fibrosis</w:t>
          </w:r>
          <w:r>
            <w:t xml:space="preserve"> and</w:t>
          </w:r>
          <w:r w:rsidRPr="00207549">
            <w:t xml:space="preserve"> increased expression of pro-fibrotic factors</w:t>
          </w:r>
          <w:r>
            <w:t xml:space="preserve"> </w:t>
          </w:r>
          <w:r>
            <w:fldChar w:fldCharType="begin">
              <w:fldData xml:space="preserve">PEVuZE5vdGU+PENpdGU+PEF1dGhvcj5Dcm90dHkgQWxleGFuZGVyPC9BdXRob3I+PFllYXI+MjAx
ODwvWWVhcj48UmVjTnVtPjUyNzwvUmVjTnVtPjxEaXNwbGF5VGV4dD4oQ3JvdHR5IEFsZXhhbmRl
ciwgRHJ1bW1vbmQgZXQgYWwuIDIwMTgpPC9EaXNwbGF5VGV4dD48cmVjb3JkPjxyZWMtbnVtYmVy
PjUyNzwvcmVjLW51bWJlcj48Zm9yZWlnbi1rZXlzPjxrZXkgYXBwPSJFTiIgZGItaWQ9Ijl6MDVk
ejBwcmFhZGZ1ZWUwem94emVkazl6ZmU1Znh4NTB6NSIgdGltZXN0YW1wPSIxNTIxNTA2ODUwIj41
Mjc8L2tleT48a2V5IGFwcD0iRU5XZWIiIGRiLWlkPSIiPjA8L2tleT48L2ZvcmVpZ24ta2V5cz48
cmVmLXR5cGUgbmFtZT0iSm91cm5hbCBBcnRpY2xlIj4xNzwvcmVmLXR5cGU+PGNvbnRyaWJ1dG9y
cz48YXV0aG9ycz48YXV0aG9yPkNyb3R0eSBBbGV4YW5kZXIsIEwuIEUuPC9hdXRob3I+PGF1dGhv
cj5EcnVtbW9uZCwgQy4gQS48L2F1dGhvcj48YXV0aG9yPkhlcG9rb3NraSwgTS48L2F1dGhvcj48
YXV0aG9yPk1hdGhldywgRC4gUC48L2F1dGhvcj48YXV0aG9yPk1vc2hlbnNreSwgQS48L2F1dGhv
cj48YXV0aG9yPldpbGxlZm9yZCwgQS48L2F1dGhvcj48YXV0aG9yPkRhcywgUy48L2F1dGhvcj48
YXV0aG9yPlNpbmdoLCBQLjwvYXV0aG9yPjxhdXRob3I+WW9uZywgWi48L2F1dGhvcj48YXV0aG9y
PkxlZSwgSi4gSC48L2F1dGhvcj48YXV0aG9yPlZlZ2EsIEsuPC9hdXRob3I+PGF1dGhvcj5EdSwg
QS48L2F1dGhvcj48YXV0aG9yPlNoaW4sIEouPC9hdXRob3I+PGF1dGhvcj5KYXZpZXIsIEMuPC9h
dXRob3I+PGF1dGhvcj5UaWFuLCBKLjwvYXV0aG9yPjxhdXRob3I+QnJvd24sIEouIEguPC9hdXRo
b3I+PGF1dGhvcj5CcmVlbiwgRS4gQy48L2F1dGhvcj48L2F1dGhvcnM+PC9jb250cmlidXRvcnM+
PGF1dGgtYWRkcmVzcz5NZWRpY2luZSwgVUMgU2FuIERpZWdvIGFuZCBWQVNESFMsIFVuaXRlZCBT
dGF0ZXMuJiN4RDtTdXJnZXJ5IGFuZCBNZWRpY2FsIERldmljZSBlZmZpY2FjeSwgTVBJIFJlc2Vh
cmNoLCBVbml0ZWQgU3RhdGVzLiYjeEQ7TWVkaWNpbmUsIERpdmlzaW9uIG9mIFB1bG1vbmFyeSBh
bmQgQ3JpdGljYWwgQ2FyZSwgbWhlcG9rb3NraUB1Y3NkLmVkdSwgVW5pdGVkIFN0YXRlcy4mI3hE
O01lZGljaW5lLCBVQyBTYW4gRGllZ28gU2Nob29sIG9mIE1lZGljaW5lLiYjeEQ7TWVkaWNpbmUs
IFVDIFNhbiBEaWVnbyBhbmQgVkFTREhTLiYjeEQ7UGhhcm1hY29sb2d5LCBVQ1NELiYjeEQ7UGF0
aG9sb2d5LCBVQ1NELiYjeEQ7TWVkaWNpbmUtTmVwaHJvbG9neSwgVUMgU2FuIERpZWdvIGFuZCBW
QVNESFMsIFVuaXRlZCBTdGF0ZXMuJiN4RDtNZWRpY2luZSwgVUNTRC4mI3hEO01lZGljaW5lLCBV
bml2ZXJzaXR5IG9mIFRvbGVkbyBIZWFsdGggU2NpZW5jZSBDYW1wdXMsIFVuaXRlZCBTdGF0ZXMu
JiN4RDtEZXBhcnRtZW50IG9mIFBoYXJtYWNvbG9neSAwNjM2LCBVbml2ZXJzaXR5IG9mIENhbGlm
b3JuaWEsIFNhbiBEaWVnbywgVW5pdGVkIFN0YXRlcy4mI3hEO01lZGljaW5lLCBVbml2ZXJzaXR5
IG9mIENhbGlmb3JuaWEsIFNhbiBEaWVnbywgVW5pdGVkIFN0YXRlcy48L2F1dGgtYWRkcmVzcz48
dGl0bGVzPjx0aXRsZT5DaHJvbmljIEluaGFsYXRpb24gb2YgRS1DaWdhcmV0dGUgVmFwb3IgQ29u
dGFpbmluZyBOaWNvdGluZSBEaXNydXB0cyBBaXJ3YXkgQmFycmllciBGdW5jdGlvbiBhbmQgSW5k
dWNlcyBTeXN0ZW1pYyBJbmZsYW1tYXRpb24gYW5kIE11bHRpLU9yZ2FuIEZpYnJvc2lzIGluIE1p
Y2U8L3RpdGxlPjxzZWNvbmRhcnktdGl0bGU+QW0gSiBQaHlzaW9sIFJlZ3VsIEludGVnciBDb21w
IFBoeXNpb2w8L3NlY29uZGFyeS10aXRsZT48YWx0LXRpdGxlPkFtZXJpY2FuIGpvdXJuYWwgb2Yg
cGh5c2lvbG9neS4gUmVndWxhdG9yeSwgaW50ZWdyYXRpdmUgYW5kIGNvbXBhcmF0aXZlIHBoeXNp
b2xvZ3k8L2FsdC10aXRsZT48L3RpdGxlcz48cGVyaW9kaWNhbD48ZnVsbC10aXRsZT5BbSBKIFBo
eXNpb2wgUmVndWwgSW50ZWdyIENvbXAgUGh5c2lvbDwvZnVsbC10aXRsZT48YWJici0xPkFtZXJp
Y2FuIGpvdXJuYWwgb2YgcGh5c2lvbG9neS4gUmVndWxhdG9yeSwgaW50ZWdyYXRpdmUgYW5kIGNv
bXBhcmF0aXZlIHBoeXNpb2xvZ3k8L2FiYnItMT48L3BlcmlvZGljYWw+PGFsdC1wZXJpb2RpY2Fs
PjxmdWxsLXRpdGxlPkFtIEogUGh5c2lvbCBSZWd1bCBJbnRlZ3IgQ29tcCBQaHlzaW9sPC9mdWxs
LXRpdGxlPjxhYmJyLTE+QW1lcmljYW4gam91cm5hbCBvZiBwaHlzaW9sb2d5LiBSZWd1bGF0b3J5
LCBpbnRlZ3JhdGl2ZSBhbmQgY29tcGFyYXRpdmUgcGh5c2lvbG9neTwvYWJici0xPjwvYWx0LXBl
cmlvZGljYWw+PGVkaXRpb24+MjAxOC8wMi8wMTwvZWRpdGlvbj48a2V5d29yZHM+PGtleXdvcmQ+
Y2FyZGlvcmVuYWwgZHlzZnVuY3Rpb248L2tleXdvcmQ+PGtleXdvcmQ+ZWxlY3Ryb25pYyBjaWdh
cmV0dGU8L2tleXdvcmQ+PGtleXdvcmQ+Zmlicm9zaXM8L2tleXdvcmQ+PGtleXdvcmQ+aW5mbGFt
bWF0aW9uPC9rZXl3b3JkPjxrZXl3b3JkPm5pY290aW5lPC9rZXl3b3JkPjwva2V5d29yZHM+PGRh
dGVzPjx5ZWFyPjIwMTg8L3llYXI+PHB1Yi1kYXRlcz48ZGF0ZT5KYW4gMzE8L2RhdGU+PC9wdWIt
ZGF0ZXM+PC9kYXRlcz48aXNibj4wMzYzLTYxMTk8L2lzYm4+PGFjY2Vzc2lvbi1udW0+MjkzODQ3
MDA8L2FjY2Vzc2lvbi1udW0+PHVybHM+PC91cmxzPjxlbGVjdHJvbmljLXJlc291cmNlLW51bT4x
MC4xMTUyL2FqcHJlZ3UuMDAyNzAuMjAxNzwvZWxlY3Ryb25pYy1yZXNvdXJjZS1udW0+PHJlbW90
ZS1kYXRhYmFzZS1wcm92aWRlcj5OTE08L3JlbW90ZS1kYXRhYmFzZS1wcm92aWRlcj48bGFuZ3Vh
Z2U+ZW5nPC9sYW5ndWFnZT48L3JlY29yZD48L0NpdGU+PC9FbmROb3RlPgB=
</w:fldData>
            </w:fldChar>
          </w:r>
          <w:r>
            <w:instrText xml:space="preserve"> ADDIN EN.CITE </w:instrText>
          </w:r>
          <w:r>
            <w:fldChar w:fldCharType="begin">
              <w:fldData xml:space="preserve">PEVuZE5vdGU+PENpdGU+PEF1dGhvcj5Dcm90dHkgQWxleGFuZGVyPC9BdXRob3I+PFllYXI+MjAx
ODwvWWVhcj48UmVjTnVtPjUyNzwvUmVjTnVtPjxEaXNwbGF5VGV4dD4oQ3JvdHR5IEFsZXhhbmRl
ciwgRHJ1bW1vbmQgZXQgYWwuIDIwMTgpPC9EaXNwbGF5VGV4dD48cmVjb3JkPjxyZWMtbnVtYmVy
PjUyNzwvcmVjLW51bWJlcj48Zm9yZWlnbi1rZXlzPjxrZXkgYXBwPSJFTiIgZGItaWQ9Ijl6MDVk
ejBwcmFhZGZ1ZWUwem94emVkazl6ZmU1Znh4NTB6NSIgdGltZXN0YW1wPSIxNTIxNTA2ODUwIj41
Mjc8L2tleT48a2V5IGFwcD0iRU5XZWIiIGRiLWlkPSIiPjA8L2tleT48L2ZvcmVpZ24ta2V5cz48
cmVmLXR5cGUgbmFtZT0iSm91cm5hbCBBcnRpY2xlIj4xNzwvcmVmLXR5cGU+PGNvbnRyaWJ1dG9y
cz48YXV0aG9ycz48YXV0aG9yPkNyb3R0eSBBbGV4YW5kZXIsIEwuIEUuPC9hdXRob3I+PGF1dGhv
cj5EcnVtbW9uZCwgQy4gQS48L2F1dGhvcj48YXV0aG9yPkhlcG9rb3NraSwgTS48L2F1dGhvcj48
YXV0aG9yPk1hdGhldywgRC4gUC48L2F1dGhvcj48YXV0aG9yPk1vc2hlbnNreSwgQS48L2F1dGhv
cj48YXV0aG9yPldpbGxlZm9yZCwgQS48L2F1dGhvcj48YXV0aG9yPkRhcywgUy48L2F1dGhvcj48
YXV0aG9yPlNpbmdoLCBQLjwvYXV0aG9yPjxhdXRob3I+WW9uZywgWi48L2F1dGhvcj48YXV0aG9y
PkxlZSwgSi4gSC48L2F1dGhvcj48YXV0aG9yPlZlZ2EsIEsuPC9hdXRob3I+PGF1dGhvcj5EdSwg
QS48L2F1dGhvcj48YXV0aG9yPlNoaW4sIEouPC9hdXRob3I+PGF1dGhvcj5KYXZpZXIsIEMuPC9h
dXRob3I+PGF1dGhvcj5UaWFuLCBKLjwvYXV0aG9yPjxhdXRob3I+QnJvd24sIEouIEguPC9hdXRo
b3I+PGF1dGhvcj5CcmVlbiwgRS4gQy48L2F1dGhvcj48L2F1dGhvcnM+PC9jb250cmlidXRvcnM+
PGF1dGgtYWRkcmVzcz5NZWRpY2luZSwgVUMgU2FuIERpZWdvIGFuZCBWQVNESFMsIFVuaXRlZCBT
dGF0ZXMuJiN4RDtTdXJnZXJ5IGFuZCBNZWRpY2FsIERldmljZSBlZmZpY2FjeSwgTVBJIFJlc2Vh
cmNoLCBVbml0ZWQgU3RhdGVzLiYjeEQ7TWVkaWNpbmUsIERpdmlzaW9uIG9mIFB1bG1vbmFyeSBh
bmQgQ3JpdGljYWwgQ2FyZSwgbWhlcG9rb3NraUB1Y3NkLmVkdSwgVW5pdGVkIFN0YXRlcy4mI3hE
O01lZGljaW5lLCBVQyBTYW4gRGllZ28gU2Nob29sIG9mIE1lZGljaW5lLiYjeEQ7TWVkaWNpbmUs
IFVDIFNhbiBEaWVnbyBhbmQgVkFTREhTLiYjeEQ7UGhhcm1hY29sb2d5LCBVQ1NELiYjeEQ7UGF0
aG9sb2d5LCBVQ1NELiYjeEQ7TWVkaWNpbmUtTmVwaHJvbG9neSwgVUMgU2FuIERpZWdvIGFuZCBW
QVNESFMsIFVuaXRlZCBTdGF0ZXMuJiN4RDtNZWRpY2luZSwgVUNTRC4mI3hEO01lZGljaW5lLCBV
bml2ZXJzaXR5IG9mIFRvbGVkbyBIZWFsdGggU2NpZW5jZSBDYW1wdXMsIFVuaXRlZCBTdGF0ZXMu
JiN4RDtEZXBhcnRtZW50IG9mIFBoYXJtYWNvbG9neSAwNjM2LCBVbml2ZXJzaXR5IG9mIENhbGlm
b3JuaWEsIFNhbiBEaWVnbywgVW5pdGVkIFN0YXRlcy4mI3hEO01lZGljaW5lLCBVbml2ZXJzaXR5
IG9mIENhbGlmb3JuaWEsIFNhbiBEaWVnbywgVW5pdGVkIFN0YXRlcy48L2F1dGgtYWRkcmVzcz48
dGl0bGVzPjx0aXRsZT5DaHJvbmljIEluaGFsYXRpb24gb2YgRS1DaWdhcmV0dGUgVmFwb3IgQ29u
dGFpbmluZyBOaWNvdGluZSBEaXNydXB0cyBBaXJ3YXkgQmFycmllciBGdW5jdGlvbiBhbmQgSW5k
dWNlcyBTeXN0ZW1pYyBJbmZsYW1tYXRpb24gYW5kIE11bHRpLU9yZ2FuIEZpYnJvc2lzIGluIE1p
Y2U8L3RpdGxlPjxzZWNvbmRhcnktdGl0bGU+QW0gSiBQaHlzaW9sIFJlZ3VsIEludGVnciBDb21w
IFBoeXNpb2w8L3NlY29uZGFyeS10aXRsZT48YWx0LXRpdGxlPkFtZXJpY2FuIGpvdXJuYWwgb2Yg
cGh5c2lvbG9neS4gUmVndWxhdG9yeSwgaW50ZWdyYXRpdmUgYW5kIGNvbXBhcmF0aXZlIHBoeXNp
b2xvZ3k8L2FsdC10aXRsZT48L3RpdGxlcz48cGVyaW9kaWNhbD48ZnVsbC10aXRsZT5BbSBKIFBo
eXNpb2wgUmVndWwgSW50ZWdyIENvbXAgUGh5c2lvbDwvZnVsbC10aXRsZT48YWJici0xPkFtZXJp
Y2FuIGpvdXJuYWwgb2YgcGh5c2lvbG9neS4gUmVndWxhdG9yeSwgaW50ZWdyYXRpdmUgYW5kIGNv
bXBhcmF0aXZlIHBoeXNpb2xvZ3k8L2FiYnItMT48L3BlcmlvZGljYWw+PGFsdC1wZXJpb2RpY2Fs
PjxmdWxsLXRpdGxlPkFtIEogUGh5c2lvbCBSZWd1bCBJbnRlZ3IgQ29tcCBQaHlzaW9sPC9mdWxs
LXRpdGxlPjxhYmJyLTE+QW1lcmljYW4gam91cm5hbCBvZiBwaHlzaW9sb2d5LiBSZWd1bGF0b3J5
LCBpbnRlZ3JhdGl2ZSBhbmQgY29tcGFyYXRpdmUgcGh5c2lvbG9neTwvYWJici0xPjwvYWx0LXBl
cmlvZGljYWw+PGVkaXRpb24+MjAxOC8wMi8wMTwvZWRpdGlvbj48a2V5d29yZHM+PGtleXdvcmQ+
Y2FyZGlvcmVuYWwgZHlzZnVuY3Rpb248L2tleXdvcmQ+PGtleXdvcmQ+ZWxlY3Ryb25pYyBjaWdh
cmV0dGU8L2tleXdvcmQ+PGtleXdvcmQ+Zmlicm9zaXM8L2tleXdvcmQ+PGtleXdvcmQ+aW5mbGFt
bWF0aW9uPC9rZXl3b3JkPjxrZXl3b3JkPm5pY290aW5lPC9rZXl3b3JkPjwva2V5d29yZHM+PGRh
dGVzPjx5ZWFyPjIwMTg8L3llYXI+PHB1Yi1kYXRlcz48ZGF0ZT5KYW4gMzE8L2RhdGU+PC9wdWIt
ZGF0ZXM+PC9kYXRlcz48aXNibj4wMzYzLTYxMTk8L2lzYm4+PGFjY2Vzc2lvbi1udW0+MjkzODQ3
MDA8L2FjY2Vzc2lvbi1udW0+PHVybHM+PC91cmxzPjxlbGVjdHJvbmljLXJlc291cmNlLW51bT4x
MC4xMTUyL2FqcHJlZ3UuMDAyNzAuMjAxNzwvZWxlY3Ryb25pYy1yZXNvdXJjZS1udW0+PHJlbW90
ZS1kYXRhYmFzZS1wcm92aWRlcj5OTE08L3JlbW90ZS1kYXRhYmFzZS1wcm92aWRlcj48bGFuZ3Vh
Z2U+ZW5nPC9sYW5ndWFnZT48L3JlY29yZD48L0NpdGU+PC9FbmROb3RlPgB=
</w:fldData>
            </w:fldChar>
          </w:r>
          <w:r>
            <w:instrText xml:space="preserve"> ADDIN EN.CITE.DATA </w:instrText>
          </w:r>
          <w:r>
            <w:fldChar w:fldCharType="end"/>
          </w:r>
          <w:r>
            <w:fldChar w:fldCharType="separate"/>
          </w:r>
          <w:r>
            <w:rPr>
              <w:noProof/>
            </w:rPr>
            <w:t>(Crotty Alexander, Drummond et al. 2018)</w:t>
          </w:r>
          <w:r>
            <w:fldChar w:fldCharType="end"/>
          </w:r>
          <w:r w:rsidRPr="00207549">
            <w:t>.</w:t>
          </w:r>
        </w:p>
        <w:p w14:paraId="56AEB781" w14:textId="77777777" w:rsidR="00F10DA9" w:rsidRPr="00F221AD" w:rsidRDefault="00F10DA9" w:rsidP="00F10DA9">
          <w:pPr>
            <w:pStyle w:val="BodyText"/>
          </w:pPr>
        </w:p>
        <w:p w14:paraId="07C2BDB6" w14:textId="77777777" w:rsidR="00F10DA9" w:rsidRPr="00F221AD" w:rsidRDefault="00F10DA9" w:rsidP="00F10DA9">
          <w:pPr>
            <w:pStyle w:val="Heading3"/>
          </w:pPr>
          <w:r>
            <w:lastRenderedPageBreak/>
            <w:t>Liver</w:t>
          </w:r>
        </w:p>
        <w:p w14:paraId="54F4AD88" w14:textId="77777777" w:rsidR="00F10DA9" w:rsidRDefault="00F10DA9" w:rsidP="00F10DA9">
          <w:pPr>
            <w:pStyle w:val="BodyText"/>
          </w:pPr>
          <w:r>
            <w:t xml:space="preserve">Studies in rats and mice found that exposure to e-cigarette vapour led to increased levels of hepatic fibrosis (at a dose equivalent to human use) </w:t>
          </w:r>
          <w:r>
            <w:fldChar w:fldCharType="begin">
              <w:fldData xml:space="preserve">PEVuZE5vdGU+PENpdGU+PEF1dGhvcj5Dcm90dHkgQWxleGFuZGVyPC9BdXRob3I+PFllYXI+MjAx
ODwvWWVhcj48UmVjTnVtPjUyNzwvUmVjTnVtPjxEaXNwbGF5VGV4dD4oQ3JvdHR5IEFsZXhhbmRl
ciwgRHJ1bW1vbmQgZXQgYWwuIDIwMTgpPC9EaXNwbGF5VGV4dD48cmVjb3JkPjxyZWMtbnVtYmVy
PjUyNzwvcmVjLW51bWJlcj48Zm9yZWlnbi1rZXlzPjxrZXkgYXBwPSJFTiIgZGItaWQ9Ijl6MDVk
ejBwcmFhZGZ1ZWUwem94emVkazl6ZmU1Znh4NTB6NSIgdGltZXN0YW1wPSIxNTIxNTA2ODUwIj41
Mjc8L2tleT48a2V5IGFwcD0iRU5XZWIiIGRiLWlkPSIiPjA8L2tleT48L2ZvcmVpZ24ta2V5cz48
cmVmLXR5cGUgbmFtZT0iSm91cm5hbCBBcnRpY2xlIj4xNzwvcmVmLXR5cGU+PGNvbnRyaWJ1dG9y
cz48YXV0aG9ycz48YXV0aG9yPkNyb3R0eSBBbGV4YW5kZXIsIEwuIEUuPC9hdXRob3I+PGF1dGhv
cj5EcnVtbW9uZCwgQy4gQS48L2F1dGhvcj48YXV0aG9yPkhlcG9rb3NraSwgTS48L2F1dGhvcj48
YXV0aG9yPk1hdGhldywgRC4gUC48L2F1dGhvcj48YXV0aG9yPk1vc2hlbnNreSwgQS48L2F1dGhv
cj48YXV0aG9yPldpbGxlZm9yZCwgQS48L2F1dGhvcj48YXV0aG9yPkRhcywgUy48L2F1dGhvcj48
YXV0aG9yPlNpbmdoLCBQLjwvYXV0aG9yPjxhdXRob3I+WW9uZywgWi48L2F1dGhvcj48YXV0aG9y
PkxlZSwgSi4gSC48L2F1dGhvcj48YXV0aG9yPlZlZ2EsIEsuPC9hdXRob3I+PGF1dGhvcj5EdSwg
QS48L2F1dGhvcj48YXV0aG9yPlNoaW4sIEouPC9hdXRob3I+PGF1dGhvcj5KYXZpZXIsIEMuPC9h
dXRob3I+PGF1dGhvcj5UaWFuLCBKLjwvYXV0aG9yPjxhdXRob3I+QnJvd24sIEouIEguPC9hdXRo
b3I+PGF1dGhvcj5CcmVlbiwgRS4gQy48L2F1dGhvcj48L2F1dGhvcnM+PC9jb250cmlidXRvcnM+
PGF1dGgtYWRkcmVzcz5NZWRpY2luZSwgVUMgU2FuIERpZWdvIGFuZCBWQVNESFMsIFVuaXRlZCBT
dGF0ZXMuJiN4RDtTdXJnZXJ5IGFuZCBNZWRpY2FsIERldmljZSBlZmZpY2FjeSwgTVBJIFJlc2Vh
cmNoLCBVbml0ZWQgU3RhdGVzLiYjeEQ7TWVkaWNpbmUsIERpdmlzaW9uIG9mIFB1bG1vbmFyeSBh
bmQgQ3JpdGljYWwgQ2FyZSwgbWhlcG9rb3NraUB1Y3NkLmVkdSwgVW5pdGVkIFN0YXRlcy4mI3hE
O01lZGljaW5lLCBVQyBTYW4gRGllZ28gU2Nob29sIG9mIE1lZGljaW5lLiYjeEQ7TWVkaWNpbmUs
IFVDIFNhbiBEaWVnbyBhbmQgVkFTREhTLiYjeEQ7UGhhcm1hY29sb2d5LCBVQ1NELiYjeEQ7UGF0
aG9sb2d5LCBVQ1NELiYjeEQ7TWVkaWNpbmUtTmVwaHJvbG9neSwgVUMgU2FuIERpZWdvIGFuZCBW
QVNESFMsIFVuaXRlZCBTdGF0ZXMuJiN4RDtNZWRpY2luZSwgVUNTRC4mI3hEO01lZGljaW5lLCBV
bml2ZXJzaXR5IG9mIFRvbGVkbyBIZWFsdGggU2NpZW5jZSBDYW1wdXMsIFVuaXRlZCBTdGF0ZXMu
JiN4RDtEZXBhcnRtZW50IG9mIFBoYXJtYWNvbG9neSAwNjM2LCBVbml2ZXJzaXR5IG9mIENhbGlm
b3JuaWEsIFNhbiBEaWVnbywgVW5pdGVkIFN0YXRlcy4mI3hEO01lZGljaW5lLCBVbml2ZXJzaXR5
IG9mIENhbGlmb3JuaWEsIFNhbiBEaWVnbywgVW5pdGVkIFN0YXRlcy48L2F1dGgtYWRkcmVzcz48
dGl0bGVzPjx0aXRsZT5DaHJvbmljIEluaGFsYXRpb24gb2YgRS1DaWdhcmV0dGUgVmFwb3IgQ29u
dGFpbmluZyBOaWNvdGluZSBEaXNydXB0cyBBaXJ3YXkgQmFycmllciBGdW5jdGlvbiBhbmQgSW5k
dWNlcyBTeXN0ZW1pYyBJbmZsYW1tYXRpb24gYW5kIE11bHRpLU9yZ2FuIEZpYnJvc2lzIGluIE1p
Y2U8L3RpdGxlPjxzZWNvbmRhcnktdGl0bGU+QW0gSiBQaHlzaW9sIFJlZ3VsIEludGVnciBDb21w
IFBoeXNpb2w8L3NlY29uZGFyeS10aXRsZT48YWx0LXRpdGxlPkFtZXJpY2FuIGpvdXJuYWwgb2Yg
cGh5c2lvbG9neS4gUmVndWxhdG9yeSwgaW50ZWdyYXRpdmUgYW5kIGNvbXBhcmF0aXZlIHBoeXNp
b2xvZ3k8L2FsdC10aXRsZT48L3RpdGxlcz48cGVyaW9kaWNhbD48ZnVsbC10aXRsZT5BbSBKIFBo
eXNpb2wgUmVndWwgSW50ZWdyIENvbXAgUGh5c2lvbDwvZnVsbC10aXRsZT48YWJici0xPkFtZXJp
Y2FuIGpvdXJuYWwgb2YgcGh5c2lvbG9neS4gUmVndWxhdG9yeSwgaW50ZWdyYXRpdmUgYW5kIGNv
bXBhcmF0aXZlIHBoeXNpb2xvZ3k8L2FiYnItMT48L3BlcmlvZGljYWw+PGFsdC1wZXJpb2RpY2Fs
PjxmdWxsLXRpdGxlPkFtIEogUGh5c2lvbCBSZWd1bCBJbnRlZ3IgQ29tcCBQaHlzaW9sPC9mdWxs
LXRpdGxlPjxhYmJyLTE+QW1lcmljYW4gam91cm5hbCBvZiBwaHlzaW9sb2d5LiBSZWd1bGF0b3J5
LCBpbnRlZ3JhdGl2ZSBhbmQgY29tcGFyYXRpdmUgcGh5c2lvbG9neTwvYWJici0xPjwvYWx0LXBl
cmlvZGljYWw+PGVkaXRpb24+MjAxOC8wMi8wMTwvZWRpdGlvbj48a2V5d29yZHM+PGtleXdvcmQ+
Y2FyZGlvcmVuYWwgZHlzZnVuY3Rpb248L2tleXdvcmQ+PGtleXdvcmQ+ZWxlY3Ryb25pYyBjaWdh
cmV0dGU8L2tleXdvcmQ+PGtleXdvcmQ+Zmlicm9zaXM8L2tleXdvcmQ+PGtleXdvcmQ+aW5mbGFt
bWF0aW9uPC9rZXl3b3JkPjxrZXl3b3JkPm5pY290aW5lPC9rZXl3b3JkPjwva2V5d29yZHM+PGRh
dGVzPjx5ZWFyPjIwMTg8L3llYXI+PHB1Yi1kYXRlcz48ZGF0ZT5KYW4gMzE8L2RhdGU+PC9wdWIt
ZGF0ZXM+PC9kYXRlcz48aXNibj4wMzYzLTYxMTk8L2lzYm4+PGFjY2Vzc2lvbi1udW0+MjkzODQ3
MDA8L2FjY2Vzc2lvbi1udW0+PHVybHM+PC91cmxzPjxlbGVjdHJvbmljLXJlc291cmNlLW51bT4x
MC4xMTUyL2FqcHJlZ3UuMDAyNzAuMjAxNzwvZWxlY3Ryb25pYy1yZXNvdXJjZS1udW0+PHJlbW90
ZS1kYXRhYmFzZS1wcm92aWRlcj5OTE08L3JlbW90ZS1kYXRhYmFzZS1wcm92aWRlcj48bGFuZ3Vh
Z2U+ZW5nPC9sYW5ndWFnZT48L3JlY29yZD48L0NpdGU+PC9FbmROb3RlPgB=
</w:fldData>
            </w:fldChar>
          </w:r>
          <w:r>
            <w:instrText xml:space="preserve"> ADDIN EN.CITE </w:instrText>
          </w:r>
          <w:r>
            <w:fldChar w:fldCharType="begin">
              <w:fldData xml:space="preserve">PEVuZE5vdGU+PENpdGU+PEF1dGhvcj5Dcm90dHkgQWxleGFuZGVyPC9BdXRob3I+PFllYXI+MjAx
ODwvWWVhcj48UmVjTnVtPjUyNzwvUmVjTnVtPjxEaXNwbGF5VGV4dD4oQ3JvdHR5IEFsZXhhbmRl
ciwgRHJ1bW1vbmQgZXQgYWwuIDIwMTgpPC9EaXNwbGF5VGV4dD48cmVjb3JkPjxyZWMtbnVtYmVy
PjUyNzwvcmVjLW51bWJlcj48Zm9yZWlnbi1rZXlzPjxrZXkgYXBwPSJFTiIgZGItaWQ9Ijl6MDVk
ejBwcmFhZGZ1ZWUwem94emVkazl6ZmU1Znh4NTB6NSIgdGltZXN0YW1wPSIxNTIxNTA2ODUwIj41
Mjc8L2tleT48a2V5IGFwcD0iRU5XZWIiIGRiLWlkPSIiPjA8L2tleT48L2ZvcmVpZ24ta2V5cz48
cmVmLXR5cGUgbmFtZT0iSm91cm5hbCBBcnRpY2xlIj4xNzwvcmVmLXR5cGU+PGNvbnRyaWJ1dG9y
cz48YXV0aG9ycz48YXV0aG9yPkNyb3R0eSBBbGV4YW5kZXIsIEwuIEUuPC9hdXRob3I+PGF1dGhv
cj5EcnVtbW9uZCwgQy4gQS48L2F1dGhvcj48YXV0aG9yPkhlcG9rb3NraSwgTS48L2F1dGhvcj48
YXV0aG9yPk1hdGhldywgRC4gUC48L2F1dGhvcj48YXV0aG9yPk1vc2hlbnNreSwgQS48L2F1dGhv
cj48YXV0aG9yPldpbGxlZm9yZCwgQS48L2F1dGhvcj48YXV0aG9yPkRhcywgUy48L2F1dGhvcj48
YXV0aG9yPlNpbmdoLCBQLjwvYXV0aG9yPjxhdXRob3I+WW9uZywgWi48L2F1dGhvcj48YXV0aG9y
PkxlZSwgSi4gSC48L2F1dGhvcj48YXV0aG9yPlZlZ2EsIEsuPC9hdXRob3I+PGF1dGhvcj5EdSwg
QS48L2F1dGhvcj48YXV0aG9yPlNoaW4sIEouPC9hdXRob3I+PGF1dGhvcj5KYXZpZXIsIEMuPC9h
dXRob3I+PGF1dGhvcj5UaWFuLCBKLjwvYXV0aG9yPjxhdXRob3I+QnJvd24sIEouIEguPC9hdXRo
b3I+PGF1dGhvcj5CcmVlbiwgRS4gQy48L2F1dGhvcj48L2F1dGhvcnM+PC9jb250cmlidXRvcnM+
PGF1dGgtYWRkcmVzcz5NZWRpY2luZSwgVUMgU2FuIERpZWdvIGFuZCBWQVNESFMsIFVuaXRlZCBT
dGF0ZXMuJiN4RDtTdXJnZXJ5IGFuZCBNZWRpY2FsIERldmljZSBlZmZpY2FjeSwgTVBJIFJlc2Vh
cmNoLCBVbml0ZWQgU3RhdGVzLiYjeEQ7TWVkaWNpbmUsIERpdmlzaW9uIG9mIFB1bG1vbmFyeSBh
bmQgQ3JpdGljYWwgQ2FyZSwgbWhlcG9rb3NraUB1Y3NkLmVkdSwgVW5pdGVkIFN0YXRlcy4mI3hE
O01lZGljaW5lLCBVQyBTYW4gRGllZ28gU2Nob29sIG9mIE1lZGljaW5lLiYjeEQ7TWVkaWNpbmUs
IFVDIFNhbiBEaWVnbyBhbmQgVkFTREhTLiYjeEQ7UGhhcm1hY29sb2d5LCBVQ1NELiYjeEQ7UGF0
aG9sb2d5LCBVQ1NELiYjeEQ7TWVkaWNpbmUtTmVwaHJvbG9neSwgVUMgU2FuIERpZWdvIGFuZCBW
QVNESFMsIFVuaXRlZCBTdGF0ZXMuJiN4RDtNZWRpY2luZSwgVUNTRC4mI3hEO01lZGljaW5lLCBV
bml2ZXJzaXR5IG9mIFRvbGVkbyBIZWFsdGggU2NpZW5jZSBDYW1wdXMsIFVuaXRlZCBTdGF0ZXMu
JiN4RDtEZXBhcnRtZW50IG9mIFBoYXJtYWNvbG9neSAwNjM2LCBVbml2ZXJzaXR5IG9mIENhbGlm
b3JuaWEsIFNhbiBEaWVnbywgVW5pdGVkIFN0YXRlcy4mI3hEO01lZGljaW5lLCBVbml2ZXJzaXR5
IG9mIENhbGlmb3JuaWEsIFNhbiBEaWVnbywgVW5pdGVkIFN0YXRlcy48L2F1dGgtYWRkcmVzcz48
dGl0bGVzPjx0aXRsZT5DaHJvbmljIEluaGFsYXRpb24gb2YgRS1DaWdhcmV0dGUgVmFwb3IgQ29u
dGFpbmluZyBOaWNvdGluZSBEaXNydXB0cyBBaXJ3YXkgQmFycmllciBGdW5jdGlvbiBhbmQgSW5k
dWNlcyBTeXN0ZW1pYyBJbmZsYW1tYXRpb24gYW5kIE11bHRpLU9yZ2FuIEZpYnJvc2lzIGluIE1p
Y2U8L3RpdGxlPjxzZWNvbmRhcnktdGl0bGU+QW0gSiBQaHlzaW9sIFJlZ3VsIEludGVnciBDb21w
IFBoeXNpb2w8L3NlY29uZGFyeS10aXRsZT48YWx0LXRpdGxlPkFtZXJpY2FuIGpvdXJuYWwgb2Yg
cGh5c2lvbG9neS4gUmVndWxhdG9yeSwgaW50ZWdyYXRpdmUgYW5kIGNvbXBhcmF0aXZlIHBoeXNp
b2xvZ3k8L2FsdC10aXRsZT48L3RpdGxlcz48cGVyaW9kaWNhbD48ZnVsbC10aXRsZT5BbSBKIFBo
eXNpb2wgUmVndWwgSW50ZWdyIENvbXAgUGh5c2lvbDwvZnVsbC10aXRsZT48YWJici0xPkFtZXJp
Y2FuIGpvdXJuYWwgb2YgcGh5c2lvbG9neS4gUmVndWxhdG9yeSwgaW50ZWdyYXRpdmUgYW5kIGNv
bXBhcmF0aXZlIHBoeXNpb2xvZ3k8L2FiYnItMT48L3BlcmlvZGljYWw+PGFsdC1wZXJpb2RpY2Fs
PjxmdWxsLXRpdGxlPkFtIEogUGh5c2lvbCBSZWd1bCBJbnRlZ3IgQ29tcCBQaHlzaW9sPC9mdWxs
LXRpdGxlPjxhYmJyLTE+QW1lcmljYW4gam91cm5hbCBvZiBwaHlzaW9sb2d5LiBSZWd1bGF0b3J5
LCBpbnRlZ3JhdGl2ZSBhbmQgY29tcGFyYXRpdmUgcGh5c2lvbG9neTwvYWJici0xPjwvYWx0LXBl
cmlvZGljYWw+PGVkaXRpb24+MjAxOC8wMi8wMTwvZWRpdGlvbj48a2V5d29yZHM+PGtleXdvcmQ+
Y2FyZGlvcmVuYWwgZHlzZnVuY3Rpb248L2tleXdvcmQ+PGtleXdvcmQ+ZWxlY3Ryb25pYyBjaWdh
cmV0dGU8L2tleXdvcmQ+PGtleXdvcmQ+Zmlicm9zaXM8L2tleXdvcmQ+PGtleXdvcmQ+aW5mbGFt
bWF0aW9uPC9rZXl3b3JkPjxrZXl3b3JkPm5pY290aW5lPC9rZXl3b3JkPjwva2V5d29yZHM+PGRh
dGVzPjx5ZWFyPjIwMTg8L3llYXI+PHB1Yi1kYXRlcz48ZGF0ZT5KYW4gMzE8L2RhdGU+PC9wdWIt
ZGF0ZXM+PC9kYXRlcz48aXNibj4wMzYzLTYxMTk8L2lzYm4+PGFjY2Vzc2lvbi1udW0+MjkzODQ3
MDA8L2FjY2Vzc2lvbi1udW0+PHVybHM+PC91cmxzPjxlbGVjdHJvbmljLXJlc291cmNlLW51bT4x
MC4xMTUyL2FqcHJlZ3UuMDAyNzAuMjAxNzwvZWxlY3Ryb25pYy1yZXNvdXJjZS1udW0+PHJlbW90
ZS1kYXRhYmFzZS1wcm92aWRlcj5OTE08L3JlbW90ZS1kYXRhYmFzZS1wcm92aWRlcj48bGFuZ3Vh
Z2U+ZW5nPC9sYW5ndWFnZT48L3JlY29yZD48L0NpdGU+PC9FbmROb3RlPgB=
</w:fldData>
            </w:fldChar>
          </w:r>
          <w:r>
            <w:instrText xml:space="preserve"> ADDIN EN.CITE.DATA </w:instrText>
          </w:r>
          <w:r>
            <w:fldChar w:fldCharType="end"/>
          </w:r>
          <w:r>
            <w:fldChar w:fldCharType="separate"/>
          </w:r>
          <w:r>
            <w:rPr>
              <w:noProof/>
            </w:rPr>
            <w:t>(Crotty Alexander, Drummond et al. 2018)</w:t>
          </w:r>
          <w:r>
            <w:fldChar w:fldCharType="end"/>
          </w:r>
          <w:r>
            <w:t xml:space="preserve">, reduced serum lipid concentrations </w:t>
          </w:r>
          <w:r>
            <w:fldChar w:fldCharType="begin">
              <w:fldData xml:space="preserve">PEVuZE5vdGU+PENpdGU+PEF1dGhvcj5QaGlsbGlwczwvQXV0aG9yPjxZZWFyPjIwMTc8L1llYXI+
PFJlY051bT45Mjg8L1JlY051bT48RGlzcGxheVRleHQ+KFBoaWxsaXBzLCBUaXR6IGV0IGFsLiAy
MDE3KTwvRGlzcGxheVRleHQ+PHJlY29yZD48cmVjLW51bWJlcj45Mjg8L3JlYy1udW1iZXI+PGZv
cmVpZ24ta2V5cz48a2V5IGFwcD0iRU4iIGRiLWlkPSI5ejA1ZHowcHJhYWRmdWVlMHpveHplZGs5
emZlNWZ4eDUwejUiIHRpbWVzdGFtcD0iMTUyMTUwNjk2MCI+OTI4PC9rZXk+PC9mb3JlaWduLWtl
eXM+PHJlZi10eXBlIG5hbWU9IkpvdXJuYWwgQXJ0aWNsZSI+MTc8L3JlZi10eXBlPjxjb250cmli
dXRvcnM+PGF1dGhvcnM+PGF1dGhvcj5QaGlsbGlwcywgQi48L2F1dGhvcj48YXV0aG9yPlRpdHos
IEIuPC9hdXRob3I+PGF1dGhvcj5Lb2dlbCwgVS48L2F1dGhvcj48YXV0aG9yPlNoYXJtYSwgRC48
L2F1dGhvcj48YXV0aG9yPkxlcm95LCBQLjwvYXV0aG9yPjxhdXRob3I+WGlhbmcsIFkuPC9hdXRo
b3I+PGF1dGhvcj5WdWlsbGF1bWUsIEcuPC9hdXRob3I+PGF1dGhvcj5MZWJydW4sIFMuPC9hdXRo
b3I+PGF1dGhvcj5TY2l1c2NpbywgRC48L2F1dGhvcj48YXV0aG9yPkhvLCBKLjwvYXV0aG9yPjxh
dXRob3I+TnVyeSwgQy48L2F1dGhvcj48YXV0aG9yPkd1ZWRqLCBFLjwvYXV0aG9yPjxhdXRob3I+
RWxhbWluLCBBLjwvYXV0aG9yPjxhdXRob3I+RXNwb3NpdG8sIE0uPC9hdXRob3I+PGF1dGhvcj5L
cmlzaG5hbiwgUy48L2F1dGhvcj48YXV0aG9yPlNjaGxhZ2UsIFcuIEsuPC9hdXRob3I+PGF1dGhv
cj5WZWxqa292aWMsIEUuPC9hdXRob3I+PGF1dGhvcj5JdmFub3YsIE4uIFYuPC9hdXRob3I+PGF1
dGhvcj5NYXJ0aW4sIEYuPC9hdXRob3I+PGF1dGhvcj5QZWl0c2NoLCBNLiBDLjwvYXV0aG9yPjxh
dXRob3I+SG9lbmcsIEouPC9hdXRob3I+PGF1dGhvcj5WYW5zY2hlZXV3aWpjaywgUC48L2F1dGhv
cj48L2F1dGhvcnM+PC9jb250cmlidXRvcnM+PGF1dGgtYWRkcmVzcz5QaGlsaXAgTW9ycmlzIElu
dGVybmF0aW9uYWwgUmVzZWFyY2ggTGFib3JhdG9yaWVzIFB0ZS4gTHRkLiAocGFydCBvZiBQaGls
aXAgTW9ycmlzIEludGVybmF0aW9uYWwgR3JvdXAgb2YgQ29tcGFuaWVzKSwgNTAgU2NpZW5jZSBQ
YXJrIFJvYWQsIFNpbmdhcG9yZSAxMTc0MDYsIFNpbmdhcG9yZS4mI3hEO1BoaWxpcCBNb3JyaXMg
SW50ZXJuYXRpb25hbCBSZXNlYXJjaCBhbmQgRGV2ZWxvcG1lbnQgKHBhcnQgb2YgUGhpbGlwIE1v
cnJpcyBJbnRlcm5hdGlvbmFsIEdyb3VwIG9mIENvbXBhbmllcyksIFBoaWxpcCBNb3JyaXMgUHJv
ZHVjdHMgUy5BLiwgUXVhaSBKZWFucmVuYXVkIDUsIDIwMDAgTmV1Y2hhdGVsLCBTd2l0emVybGFu
ZC4mI3hEO0Jpb2xvZ3kgQ29uc3VsdGFudCwgTWF4LUJhZXJtYW5uLVN0ci4gMjEsIDUxNDI5IEJl
cmdpc2NoIEdsYWRiYWNoLCBHZXJtYW55LiYjeEQ7UGhpbGlwIE1vcnJpcyBJbnRlcm5hdGlvbmFs
IFJlc2VhcmNoIGFuZCBEZXZlbG9wbWVudCAocGFydCBvZiBQaGlsaXAgTW9ycmlzIEludGVybmF0
aW9uYWwgR3JvdXAgb2YgQ29tcGFuaWVzKSwgUGhpbGlwIE1vcnJpcyBQcm9kdWN0cyBTLkEuLCBR
dWFpIEplYW5yZW5hdWQgNSwgMjAwMCBOZXVjaGF0ZWwsIFN3aXR6ZXJsYW5kLiBFbGVjdHJvbmlj
IGFkZHJlc3M6IFBhdHJpY2sudmFuc2NoZWV1d2lqY2tAcG1pLmNvbS48L2F1dGgtYWRkcmVzcz48
dGl0bGVzPjx0aXRsZT5Ub3hpY2l0eSBvZiB0aGUgbWFpbiBlbGVjdHJvbmljIGNpZ2FyZXR0ZSBj
b21wb25lbnRzLCBwcm9weWxlbmUgZ2x5Y29sLCBnbHljZXJpbiwgYW5kIG5pY290aW5lLCBpbiBT
cHJhZ3VlLURhd2xleSByYXRzIGluIGEgOTAtZGF5IE9FQ0QgaW5oYWxhdGlvbiBzdHVkeSBjb21w
bGVtZW50ZWQgYnkgbW9sZWN1bGFyIGVuZHBvaW50czwvdGl0bGU+PHNlY29uZGFyeS10aXRsZT5G
b29kIENoZW0gVG94aWNvbDwvc2Vjb25kYXJ5LXRpdGxlPjxhbHQtdGl0bGU+Rm9vZCBhbmQgY2hl
bWljYWwgdG94aWNvbG9neSA6IGFuIGludGVybmF0aW9uYWwgam91cm5hbCBwdWJsaXNoZWQgZm9y
IHRoZSBCcml0aXNoIEluZHVzdHJpYWwgQmlvbG9naWNhbCBSZXNlYXJjaCBBc3NvY2lhdGlvbjwv
YWx0LXRpdGxlPjwvdGl0bGVzPjxwZXJpb2RpY2FsPjxmdWxsLXRpdGxlPkZvb2QgQ2hlbSBUb3hp
Y29sPC9mdWxsLXRpdGxlPjxhYmJyLTE+Rm9vZCBhbmQgY2hlbWljYWwgdG94aWNvbG9neSA6IGFu
IGludGVybmF0aW9uYWwgam91cm5hbCBwdWJsaXNoZWQgZm9yIHRoZSBCcml0aXNoIEluZHVzdHJp
YWwgQmlvbG9naWNhbCBSZXNlYXJjaCBBc3NvY2lhdGlvbjwvYWJici0xPjwvcGVyaW9kaWNhbD48
YWx0LXBlcmlvZGljYWw+PGZ1bGwtdGl0bGU+Rm9vZCBDaGVtIFRveGljb2w8L2Z1bGwtdGl0bGU+
PGFiYnItMT5Gb29kIGFuZCBjaGVtaWNhbCB0b3hpY29sb2d5IDogYW4gaW50ZXJuYXRpb25hbCBq
b3VybmFsIHB1Ymxpc2hlZCBmb3IgdGhlIEJyaXRpc2ggSW5kdXN0cmlhbCBCaW9sb2dpY2FsIFJl
c2VhcmNoIEFzc29jaWF0aW9uPC9hYmJyLTE+PC9hbHQtcGVyaW9kaWNhbD48cGFnZXM+MzE1LTMz
MjwvcGFnZXM+PHZvbHVtZT4xMDk8L3ZvbHVtZT48bnVtYmVyPlB0IDE8L251bWJlcj48ZWRpdGlv
bj4yMDE3LzA5LzA5PC9lZGl0aW9uPjxrZXl3b3Jkcz48a2V5d29yZD5FbGVjdHJvbmljIGNpZ2Fy
ZXR0ZTwva2V5d29yZD48a2V5d29yZD5HbHljZXJpbjwva2V5d29yZD48a2V5d29yZD5JbmhhbGF0
aW9uIHRveGljaXR5PC9rZXl3b3JkPjxrZXl3b3JkPk5pY290aW5lPC9rZXl3b3JkPjxrZXl3b3Jk
Pk9yZ2FuaXphdGlvbiBmb3IgRWNvbm9taWMgQ29vcGVyYXRpb24gYW5kIERldmVsb3BtZW50IChP
RUNEKSA0MTMgZ3VpZGVsaW5lPC9rZXl3b3JkPjxrZXl3b3JkPlByb3B5bGVuZSBnbHljb2w8L2tl
eXdvcmQ+PGtleXdvcmQ+U3lzdGVtcyB0b3hpY29sb2d5PC9rZXl3b3JkPjwva2V5d29yZHM+PGRh
dGVzPjx5ZWFyPjIwMTc8L3llYXI+PHB1Yi1kYXRlcz48ZGF0ZT5Ob3Y8L2RhdGU+PC9wdWItZGF0
ZXM+PC9kYXRlcz48aXNibj4wMjc4LTY5MTU8L2lzYm4+PGFjY2Vzc2lvbi1udW0+Mjg4ODI2NDA8
L2FjY2Vzc2lvbi1udW0+PHVybHM+PHJlbGF0ZWQtdXJscz48dXJsPmh0dHBzOi8vd3d3LnNjaWVu
Y2VkaXJlY3QuY29tL3NjaWVuY2UvYXJ0aWNsZS9waWkvUzAyNzg2OTE1MTczMDUxMTI/dmlhJTNE
aWh1YjwvdXJsPjwvcmVsYXRlZC11cmxzPjwvdXJscz48ZWxlY3Ryb25pYy1yZXNvdXJjZS1udW0+
MTAuMTAxNi9qLmZjdC4yMDE3LjA5LjAwMTwvZWxlY3Ryb25pYy1yZXNvdXJjZS1udW0+PHJlbW90
ZS1kYXRhYmFzZS1wcm92aWRlcj5OTE08L3JlbW90ZS1kYXRhYmFzZS1wcm92aWRlcj48bGFuZ3Vh
Z2U+ZW5nPC9sYW5ndWFnZT48L3JlY29yZD48L0NpdGU+PC9FbmROb3RlPn==
</w:fldData>
            </w:fldChar>
          </w:r>
          <w:r>
            <w:instrText xml:space="preserve"> ADDIN EN.CITE </w:instrText>
          </w:r>
          <w:r>
            <w:fldChar w:fldCharType="begin">
              <w:fldData xml:space="preserve">PEVuZE5vdGU+PENpdGU+PEF1dGhvcj5QaGlsbGlwczwvQXV0aG9yPjxZZWFyPjIwMTc8L1llYXI+
PFJlY051bT45Mjg8L1JlY051bT48RGlzcGxheVRleHQ+KFBoaWxsaXBzLCBUaXR6IGV0IGFsLiAy
MDE3KTwvRGlzcGxheVRleHQ+PHJlY29yZD48cmVjLW51bWJlcj45Mjg8L3JlYy1udW1iZXI+PGZv
cmVpZ24ta2V5cz48a2V5IGFwcD0iRU4iIGRiLWlkPSI5ejA1ZHowcHJhYWRmdWVlMHpveHplZGs5
emZlNWZ4eDUwejUiIHRpbWVzdGFtcD0iMTUyMTUwNjk2MCI+OTI4PC9rZXk+PC9mb3JlaWduLWtl
eXM+PHJlZi10eXBlIG5hbWU9IkpvdXJuYWwgQXJ0aWNsZSI+MTc8L3JlZi10eXBlPjxjb250cmli
dXRvcnM+PGF1dGhvcnM+PGF1dGhvcj5QaGlsbGlwcywgQi48L2F1dGhvcj48YXV0aG9yPlRpdHos
IEIuPC9hdXRob3I+PGF1dGhvcj5Lb2dlbCwgVS48L2F1dGhvcj48YXV0aG9yPlNoYXJtYSwgRC48
L2F1dGhvcj48YXV0aG9yPkxlcm95LCBQLjwvYXV0aG9yPjxhdXRob3I+WGlhbmcsIFkuPC9hdXRo
b3I+PGF1dGhvcj5WdWlsbGF1bWUsIEcuPC9hdXRob3I+PGF1dGhvcj5MZWJydW4sIFMuPC9hdXRo
b3I+PGF1dGhvcj5TY2l1c2NpbywgRC48L2F1dGhvcj48YXV0aG9yPkhvLCBKLjwvYXV0aG9yPjxh
dXRob3I+TnVyeSwgQy48L2F1dGhvcj48YXV0aG9yPkd1ZWRqLCBFLjwvYXV0aG9yPjxhdXRob3I+
RWxhbWluLCBBLjwvYXV0aG9yPjxhdXRob3I+RXNwb3NpdG8sIE0uPC9hdXRob3I+PGF1dGhvcj5L
cmlzaG5hbiwgUy48L2F1dGhvcj48YXV0aG9yPlNjaGxhZ2UsIFcuIEsuPC9hdXRob3I+PGF1dGhv
cj5WZWxqa292aWMsIEUuPC9hdXRob3I+PGF1dGhvcj5JdmFub3YsIE4uIFYuPC9hdXRob3I+PGF1
dGhvcj5NYXJ0aW4sIEYuPC9hdXRob3I+PGF1dGhvcj5QZWl0c2NoLCBNLiBDLjwvYXV0aG9yPjxh
dXRob3I+SG9lbmcsIEouPC9hdXRob3I+PGF1dGhvcj5WYW5zY2hlZXV3aWpjaywgUC48L2F1dGhv
cj48L2F1dGhvcnM+PC9jb250cmlidXRvcnM+PGF1dGgtYWRkcmVzcz5QaGlsaXAgTW9ycmlzIElu
dGVybmF0aW9uYWwgUmVzZWFyY2ggTGFib3JhdG9yaWVzIFB0ZS4gTHRkLiAocGFydCBvZiBQaGls
aXAgTW9ycmlzIEludGVybmF0aW9uYWwgR3JvdXAgb2YgQ29tcGFuaWVzKSwgNTAgU2NpZW5jZSBQ
YXJrIFJvYWQsIFNpbmdhcG9yZSAxMTc0MDYsIFNpbmdhcG9yZS4mI3hEO1BoaWxpcCBNb3JyaXMg
SW50ZXJuYXRpb25hbCBSZXNlYXJjaCBhbmQgRGV2ZWxvcG1lbnQgKHBhcnQgb2YgUGhpbGlwIE1v
cnJpcyBJbnRlcm5hdGlvbmFsIEdyb3VwIG9mIENvbXBhbmllcyksIFBoaWxpcCBNb3JyaXMgUHJv
ZHVjdHMgUy5BLiwgUXVhaSBKZWFucmVuYXVkIDUsIDIwMDAgTmV1Y2hhdGVsLCBTd2l0emVybGFu
ZC4mI3hEO0Jpb2xvZ3kgQ29uc3VsdGFudCwgTWF4LUJhZXJtYW5uLVN0ci4gMjEsIDUxNDI5IEJl
cmdpc2NoIEdsYWRiYWNoLCBHZXJtYW55LiYjeEQ7UGhpbGlwIE1vcnJpcyBJbnRlcm5hdGlvbmFs
IFJlc2VhcmNoIGFuZCBEZXZlbG9wbWVudCAocGFydCBvZiBQaGlsaXAgTW9ycmlzIEludGVybmF0
aW9uYWwgR3JvdXAgb2YgQ29tcGFuaWVzKSwgUGhpbGlwIE1vcnJpcyBQcm9kdWN0cyBTLkEuLCBR
dWFpIEplYW5yZW5hdWQgNSwgMjAwMCBOZXVjaGF0ZWwsIFN3aXR6ZXJsYW5kLiBFbGVjdHJvbmlj
IGFkZHJlc3M6IFBhdHJpY2sudmFuc2NoZWV1d2lqY2tAcG1pLmNvbS48L2F1dGgtYWRkcmVzcz48
dGl0bGVzPjx0aXRsZT5Ub3hpY2l0eSBvZiB0aGUgbWFpbiBlbGVjdHJvbmljIGNpZ2FyZXR0ZSBj
b21wb25lbnRzLCBwcm9weWxlbmUgZ2x5Y29sLCBnbHljZXJpbiwgYW5kIG5pY290aW5lLCBpbiBT
cHJhZ3VlLURhd2xleSByYXRzIGluIGEgOTAtZGF5IE9FQ0QgaW5oYWxhdGlvbiBzdHVkeSBjb21w
bGVtZW50ZWQgYnkgbW9sZWN1bGFyIGVuZHBvaW50czwvdGl0bGU+PHNlY29uZGFyeS10aXRsZT5G
b29kIENoZW0gVG94aWNvbDwvc2Vjb25kYXJ5LXRpdGxlPjxhbHQtdGl0bGU+Rm9vZCBhbmQgY2hl
bWljYWwgdG94aWNvbG9neSA6IGFuIGludGVybmF0aW9uYWwgam91cm5hbCBwdWJsaXNoZWQgZm9y
IHRoZSBCcml0aXNoIEluZHVzdHJpYWwgQmlvbG9naWNhbCBSZXNlYXJjaCBBc3NvY2lhdGlvbjwv
YWx0LXRpdGxlPjwvdGl0bGVzPjxwZXJpb2RpY2FsPjxmdWxsLXRpdGxlPkZvb2QgQ2hlbSBUb3hp
Y29sPC9mdWxsLXRpdGxlPjxhYmJyLTE+Rm9vZCBhbmQgY2hlbWljYWwgdG94aWNvbG9neSA6IGFu
IGludGVybmF0aW9uYWwgam91cm5hbCBwdWJsaXNoZWQgZm9yIHRoZSBCcml0aXNoIEluZHVzdHJp
YWwgQmlvbG9naWNhbCBSZXNlYXJjaCBBc3NvY2lhdGlvbjwvYWJici0xPjwvcGVyaW9kaWNhbD48
YWx0LXBlcmlvZGljYWw+PGZ1bGwtdGl0bGU+Rm9vZCBDaGVtIFRveGljb2w8L2Z1bGwtdGl0bGU+
PGFiYnItMT5Gb29kIGFuZCBjaGVtaWNhbCB0b3hpY29sb2d5IDogYW4gaW50ZXJuYXRpb25hbCBq
b3VybmFsIHB1Ymxpc2hlZCBmb3IgdGhlIEJyaXRpc2ggSW5kdXN0cmlhbCBCaW9sb2dpY2FsIFJl
c2VhcmNoIEFzc29jaWF0aW9uPC9hYmJyLTE+PC9hbHQtcGVyaW9kaWNhbD48cGFnZXM+MzE1LTMz
MjwvcGFnZXM+PHZvbHVtZT4xMDk8L3ZvbHVtZT48bnVtYmVyPlB0IDE8L251bWJlcj48ZWRpdGlv
bj4yMDE3LzA5LzA5PC9lZGl0aW9uPjxrZXl3b3Jkcz48a2V5d29yZD5FbGVjdHJvbmljIGNpZ2Fy
ZXR0ZTwva2V5d29yZD48a2V5d29yZD5HbHljZXJpbjwva2V5d29yZD48a2V5d29yZD5JbmhhbGF0
aW9uIHRveGljaXR5PC9rZXl3b3JkPjxrZXl3b3JkPk5pY290aW5lPC9rZXl3b3JkPjxrZXl3b3Jk
Pk9yZ2FuaXphdGlvbiBmb3IgRWNvbm9taWMgQ29vcGVyYXRpb24gYW5kIERldmVsb3BtZW50IChP
RUNEKSA0MTMgZ3VpZGVsaW5lPC9rZXl3b3JkPjxrZXl3b3JkPlByb3B5bGVuZSBnbHljb2w8L2tl
eXdvcmQ+PGtleXdvcmQ+U3lzdGVtcyB0b3hpY29sb2d5PC9rZXl3b3JkPjwva2V5d29yZHM+PGRh
dGVzPjx5ZWFyPjIwMTc8L3llYXI+PHB1Yi1kYXRlcz48ZGF0ZT5Ob3Y8L2RhdGU+PC9wdWItZGF0
ZXM+PC9kYXRlcz48aXNibj4wMjc4LTY5MTU8L2lzYm4+PGFjY2Vzc2lvbi1udW0+Mjg4ODI2NDA8
L2FjY2Vzc2lvbi1udW0+PHVybHM+PHJlbGF0ZWQtdXJscz48dXJsPmh0dHBzOi8vd3d3LnNjaWVu
Y2VkaXJlY3QuY29tL3NjaWVuY2UvYXJ0aWNsZS9waWkvUzAyNzg2OTE1MTczMDUxMTI/dmlhJTNE
aWh1YjwvdXJsPjwvcmVsYXRlZC11cmxzPjwvdXJscz48ZWxlY3Ryb25pYy1yZXNvdXJjZS1udW0+
MTAuMTAxNi9qLmZjdC4yMDE3LjA5LjAwMTwvZWxlY3Ryb25pYy1yZXNvdXJjZS1udW0+PHJlbW90
ZS1kYXRhYmFzZS1wcm92aWRlcj5OTE08L3JlbW90ZS1kYXRhYmFzZS1wcm92aWRlcj48bGFuZ3Vh
Z2U+ZW5nPC9sYW5ndWFnZT48L3JlY29yZD48L0NpdGU+PC9FbmROb3RlPn==
</w:fldData>
            </w:fldChar>
          </w:r>
          <w:r>
            <w:instrText xml:space="preserve"> ADDIN EN.CITE.DATA </w:instrText>
          </w:r>
          <w:r>
            <w:fldChar w:fldCharType="end"/>
          </w:r>
          <w:r>
            <w:fldChar w:fldCharType="separate"/>
          </w:r>
          <w:r>
            <w:rPr>
              <w:noProof/>
            </w:rPr>
            <w:t>(Phillips, Titz et al. 2017)</w:t>
          </w:r>
          <w:r>
            <w:fldChar w:fldCharType="end"/>
          </w:r>
          <w:r>
            <w:t xml:space="preserve"> and increased the weight of the liver </w:t>
          </w:r>
          <w:r>
            <w:fldChar w:fldCharType="begin">
              <w:fldData xml:space="preserve">PEVuZE5vdGU+PENpdGU+PEF1dGhvcj5QaGlsbGlwczwvQXV0aG9yPjxZZWFyPjIwMTc8L1llYXI+
PFJlY051bT45Mjg8L1JlY051bT48RGlzcGxheVRleHQ+KFBoaWxsaXBzLCBUaXR6IGV0IGFsLiAy
MDE3KTwvRGlzcGxheVRleHQ+PHJlY29yZD48cmVjLW51bWJlcj45Mjg8L3JlYy1udW1iZXI+PGZv
cmVpZ24ta2V5cz48a2V5IGFwcD0iRU4iIGRiLWlkPSI5ejA1ZHowcHJhYWRmdWVlMHpveHplZGs5
emZlNWZ4eDUwejUiIHRpbWVzdGFtcD0iMTUyMTUwNjk2MCI+OTI4PC9rZXk+PC9mb3JlaWduLWtl
eXM+PHJlZi10eXBlIG5hbWU9IkpvdXJuYWwgQXJ0aWNsZSI+MTc8L3JlZi10eXBlPjxjb250cmli
dXRvcnM+PGF1dGhvcnM+PGF1dGhvcj5QaGlsbGlwcywgQi48L2F1dGhvcj48YXV0aG9yPlRpdHos
IEIuPC9hdXRob3I+PGF1dGhvcj5Lb2dlbCwgVS48L2F1dGhvcj48YXV0aG9yPlNoYXJtYSwgRC48
L2F1dGhvcj48YXV0aG9yPkxlcm95LCBQLjwvYXV0aG9yPjxhdXRob3I+WGlhbmcsIFkuPC9hdXRo
b3I+PGF1dGhvcj5WdWlsbGF1bWUsIEcuPC9hdXRob3I+PGF1dGhvcj5MZWJydW4sIFMuPC9hdXRo
b3I+PGF1dGhvcj5TY2l1c2NpbywgRC48L2F1dGhvcj48YXV0aG9yPkhvLCBKLjwvYXV0aG9yPjxh
dXRob3I+TnVyeSwgQy48L2F1dGhvcj48YXV0aG9yPkd1ZWRqLCBFLjwvYXV0aG9yPjxhdXRob3I+
RWxhbWluLCBBLjwvYXV0aG9yPjxhdXRob3I+RXNwb3NpdG8sIE0uPC9hdXRob3I+PGF1dGhvcj5L
cmlzaG5hbiwgUy48L2F1dGhvcj48YXV0aG9yPlNjaGxhZ2UsIFcuIEsuPC9hdXRob3I+PGF1dGhv
cj5WZWxqa292aWMsIEUuPC9hdXRob3I+PGF1dGhvcj5JdmFub3YsIE4uIFYuPC9hdXRob3I+PGF1
dGhvcj5NYXJ0aW4sIEYuPC9hdXRob3I+PGF1dGhvcj5QZWl0c2NoLCBNLiBDLjwvYXV0aG9yPjxh
dXRob3I+SG9lbmcsIEouPC9hdXRob3I+PGF1dGhvcj5WYW5zY2hlZXV3aWpjaywgUC48L2F1dGhv
cj48L2F1dGhvcnM+PC9jb250cmlidXRvcnM+PGF1dGgtYWRkcmVzcz5QaGlsaXAgTW9ycmlzIElu
dGVybmF0aW9uYWwgUmVzZWFyY2ggTGFib3JhdG9yaWVzIFB0ZS4gTHRkLiAocGFydCBvZiBQaGls
aXAgTW9ycmlzIEludGVybmF0aW9uYWwgR3JvdXAgb2YgQ29tcGFuaWVzKSwgNTAgU2NpZW5jZSBQ
YXJrIFJvYWQsIFNpbmdhcG9yZSAxMTc0MDYsIFNpbmdhcG9yZS4mI3hEO1BoaWxpcCBNb3JyaXMg
SW50ZXJuYXRpb25hbCBSZXNlYXJjaCBhbmQgRGV2ZWxvcG1lbnQgKHBhcnQgb2YgUGhpbGlwIE1v
cnJpcyBJbnRlcm5hdGlvbmFsIEdyb3VwIG9mIENvbXBhbmllcyksIFBoaWxpcCBNb3JyaXMgUHJv
ZHVjdHMgUy5BLiwgUXVhaSBKZWFucmVuYXVkIDUsIDIwMDAgTmV1Y2hhdGVsLCBTd2l0emVybGFu
ZC4mI3hEO0Jpb2xvZ3kgQ29uc3VsdGFudCwgTWF4LUJhZXJtYW5uLVN0ci4gMjEsIDUxNDI5IEJl
cmdpc2NoIEdsYWRiYWNoLCBHZXJtYW55LiYjeEQ7UGhpbGlwIE1vcnJpcyBJbnRlcm5hdGlvbmFs
IFJlc2VhcmNoIGFuZCBEZXZlbG9wbWVudCAocGFydCBvZiBQaGlsaXAgTW9ycmlzIEludGVybmF0
aW9uYWwgR3JvdXAgb2YgQ29tcGFuaWVzKSwgUGhpbGlwIE1vcnJpcyBQcm9kdWN0cyBTLkEuLCBR
dWFpIEplYW5yZW5hdWQgNSwgMjAwMCBOZXVjaGF0ZWwsIFN3aXR6ZXJsYW5kLiBFbGVjdHJvbmlj
IGFkZHJlc3M6IFBhdHJpY2sudmFuc2NoZWV1d2lqY2tAcG1pLmNvbS48L2F1dGgtYWRkcmVzcz48
dGl0bGVzPjx0aXRsZT5Ub3hpY2l0eSBvZiB0aGUgbWFpbiBlbGVjdHJvbmljIGNpZ2FyZXR0ZSBj
b21wb25lbnRzLCBwcm9weWxlbmUgZ2x5Y29sLCBnbHljZXJpbiwgYW5kIG5pY290aW5lLCBpbiBT
cHJhZ3VlLURhd2xleSByYXRzIGluIGEgOTAtZGF5IE9FQ0QgaW5oYWxhdGlvbiBzdHVkeSBjb21w
bGVtZW50ZWQgYnkgbW9sZWN1bGFyIGVuZHBvaW50czwvdGl0bGU+PHNlY29uZGFyeS10aXRsZT5G
b29kIENoZW0gVG94aWNvbDwvc2Vjb25kYXJ5LXRpdGxlPjxhbHQtdGl0bGU+Rm9vZCBhbmQgY2hl
bWljYWwgdG94aWNvbG9neSA6IGFuIGludGVybmF0aW9uYWwgam91cm5hbCBwdWJsaXNoZWQgZm9y
IHRoZSBCcml0aXNoIEluZHVzdHJpYWwgQmlvbG9naWNhbCBSZXNlYXJjaCBBc3NvY2lhdGlvbjwv
YWx0LXRpdGxlPjwvdGl0bGVzPjxwZXJpb2RpY2FsPjxmdWxsLXRpdGxlPkZvb2QgQ2hlbSBUb3hp
Y29sPC9mdWxsLXRpdGxlPjxhYmJyLTE+Rm9vZCBhbmQgY2hlbWljYWwgdG94aWNvbG9neSA6IGFu
IGludGVybmF0aW9uYWwgam91cm5hbCBwdWJsaXNoZWQgZm9yIHRoZSBCcml0aXNoIEluZHVzdHJp
YWwgQmlvbG9naWNhbCBSZXNlYXJjaCBBc3NvY2lhdGlvbjwvYWJici0xPjwvcGVyaW9kaWNhbD48
YWx0LXBlcmlvZGljYWw+PGZ1bGwtdGl0bGU+Rm9vZCBDaGVtIFRveGljb2w8L2Z1bGwtdGl0bGU+
PGFiYnItMT5Gb29kIGFuZCBjaGVtaWNhbCB0b3hpY29sb2d5IDogYW4gaW50ZXJuYXRpb25hbCBq
b3VybmFsIHB1Ymxpc2hlZCBmb3IgdGhlIEJyaXRpc2ggSW5kdXN0cmlhbCBCaW9sb2dpY2FsIFJl
c2VhcmNoIEFzc29jaWF0aW9uPC9hYmJyLTE+PC9hbHQtcGVyaW9kaWNhbD48cGFnZXM+MzE1LTMz
MjwvcGFnZXM+PHZvbHVtZT4xMDk8L3ZvbHVtZT48bnVtYmVyPlB0IDE8L251bWJlcj48ZWRpdGlv
bj4yMDE3LzA5LzA5PC9lZGl0aW9uPjxrZXl3b3Jkcz48a2V5d29yZD5FbGVjdHJvbmljIGNpZ2Fy
ZXR0ZTwva2V5d29yZD48a2V5d29yZD5HbHljZXJpbjwva2V5d29yZD48a2V5d29yZD5JbmhhbGF0
aW9uIHRveGljaXR5PC9rZXl3b3JkPjxrZXl3b3JkPk5pY290aW5lPC9rZXl3b3JkPjxrZXl3b3Jk
Pk9yZ2FuaXphdGlvbiBmb3IgRWNvbm9taWMgQ29vcGVyYXRpb24gYW5kIERldmVsb3BtZW50IChP
RUNEKSA0MTMgZ3VpZGVsaW5lPC9rZXl3b3JkPjxrZXl3b3JkPlByb3B5bGVuZSBnbHljb2w8L2tl
eXdvcmQ+PGtleXdvcmQ+U3lzdGVtcyB0b3hpY29sb2d5PC9rZXl3b3JkPjwva2V5d29yZHM+PGRh
dGVzPjx5ZWFyPjIwMTc8L3llYXI+PHB1Yi1kYXRlcz48ZGF0ZT5Ob3Y8L2RhdGU+PC9wdWItZGF0
ZXM+PC9kYXRlcz48aXNibj4wMjc4LTY5MTU8L2lzYm4+PGFjY2Vzc2lvbi1udW0+Mjg4ODI2NDA8
L2FjY2Vzc2lvbi1udW0+PHVybHM+PHJlbGF0ZWQtdXJscz48dXJsPmh0dHBzOi8vd3d3LnNjaWVu
Y2VkaXJlY3QuY29tL3NjaWVuY2UvYXJ0aWNsZS9waWkvUzAyNzg2OTE1MTczMDUxMTI/dmlhJTNE
aWh1YjwvdXJsPjwvcmVsYXRlZC11cmxzPjwvdXJscz48ZWxlY3Ryb25pYy1yZXNvdXJjZS1udW0+
MTAuMTAxNi9qLmZjdC4yMDE3LjA5LjAwMTwvZWxlY3Ryb25pYy1yZXNvdXJjZS1udW0+PHJlbW90
ZS1kYXRhYmFzZS1wcm92aWRlcj5OTE08L3JlbW90ZS1kYXRhYmFzZS1wcm92aWRlcj48bGFuZ3Vh
Z2U+ZW5nPC9sYW5ndWFnZT48L3JlY29yZD48L0NpdGU+PC9FbmROb3RlPn==
</w:fldData>
            </w:fldChar>
          </w:r>
          <w:r>
            <w:instrText xml:space="preserve"> ADDIN EN.CITE </w:instrText>
          </w:r>
          <w:r>
            <w:fldChar w:fldCharType="begin">
              <w:fldData xml:space="preserve">PEVuZE5vdGU+PENpdGU+PEF1dGhvcj5QaGlsbGlwczwvQXV0aG9yPjxZZWFyPjIwMTc8L1llYXI+
PFJlY051bT45Mjg8L1JlY051bT48RGlzcGxheVRleHQ+KFBoaWxsaXBzLCBUaXR6IGV0IGFsLiAy
MDE3KTwvRGlzcGxheVRleHQ+PHJlY29yZD48cmVjLW51bWJlcj45Mjg8L3JlYy1udW1iZXI+PGZv
cmVpZ24ta2V5cz48a2V5IGFwcD0iRU4iIGRiLWlkPSI5ejA1ZHowcHJhYWRmdWVlMHpveHplZGs5
emZlNWZ4eDUwejUiIHRpbWVzdGFtcD0iMTUyMTUwNjk2MCI+OTI4PC9rZXk+PC9mb3JlaWduLWtl
eXM+PHJlZi10eXBlIG5hbWU9IkpvdXJuYWwgQXJ0aWNsZSI+MTc8L3JlZi10eXBlPjxjb250cmli
dXRvcnM+PGF1dGhvcnM+PGF1dGhvcj5QaGlsbGlwcywgQi48L2F1dGhvcj48YXV0aG9yPlRpdHos
IEIuPC9hdXRob3I+PGF1dGhvcj5Lb2dlbCwgVS48L2F1dGhvcj48YXV0aG9yPlNoYXJtYSwgRC48
L2F1dGhvcj48YXV0aG9yPkxlcm95LCBQLjwvYXV0aG9yPjxhdXRob3I+WGlhbmcsIFkuPC9hdXRo
b3I+PGF1dGhvcj5WdWlsbGF1bWUsIEcuPC9hdXRob3I+PGF1dGhvcj5MZWJydW4sIFMuPC9hdXRo
b3I+PGF1dGhvcj5TY2l1c2NpbywgRC48L2F1dGhvcj48YXV0aG9yPkhvLCBKLjwvYXV0aG9yPjxh
dXRob3I+TnVyeSwgQy48L2F1dGhvcj48YXV0aG9yPkd1ZWRqLCBFLjwvYXV0aG9yPjxhdXRob3I+
RWxhbWluLCBBLjwvYXV0aG9yPjxhdXRob3I+RXNwb3NpdG8sIE0uPC9hdXRob3I+PGF1dGhvcj5L
cmlzaG5hbiwgUy48L2F1dGhvcj48YXV0aG9yPlNjaGxhZ2UsIFcuIEsuPC9hdXRob3I+PGF1dGhv
cj5WZWxqa292aWMsIEUuPC9hdXRob3I+PGF1dGhvcj5JdmFub3YsIE4uIFYuPC9hdXRob3I+PGF1
dGhvcj5NYXJ0aW4sIEYuPC9hdXRob3I+PGF1dGhvcj5QZWl0c2NoLCBNLiBDLjwvYXV0aG9yPjxh
dXRob3I+SG9lbmcsIEouPC9hdXRob3I+PGF1dGhvcj5WYW5zY2hlZXV3aWpjaywgUC48L2F1dGhv
cj48L2F1dGhvcnM+PC9jb250cmlidXRvcnM+PGF1dGgtYWRkcmVzcz5QaGlsaXAgTW9ycmlzIElu
dGVybmF0aW9uYWwgUmVzZWFyY2ggTGFib3JhdG9yaWVzIFB0ZS4gTHRkLiAocGFydCBvZiBQaGls
aXAgTW9ycmlzIEludGVybmF0aW9uYWwgR3JvdXAgb2YgQ29tcGFuaWVzKSwgNTAgU2NpZW5jZSBQ
YXJrIFJvYWQsIFNpbmdhcG9yZSAxMTc0MDYsIFNpbmdhcG9yZS4mI3hEO1BoaWxpcCBNb3JyaXMg
SW50ZXJuYXRpb25hbCBSZXNlYXJjaCBhbmQgRGV2ZWxvcG1lbnQgKHBhcnQgb2YgUGhpbGlwIE1v
cnJpcyBJbnRlcm5hdGlvbmFsIEdyb3VwIG9mIENvbXBhbmllcyksIFBoaWxpcCBNb3JyaXMgUHJv
ZHVjdHMgUy5BLiwgUXVhaSBKZWFucmVuYXVkIDUsIDIwMDAgTmV1Y2hhdGVsLCBTd2l0emVybGFu
ZC4mI3hEO0Jpb2xvZ3kgQ29uc3VsdGFudCwgTWF4LUJhZXJtYW5uLVN0ci4gMjEsIDUxNDI5IEJl
cmdpc2NoIEdsYWRiYWNoLCBHZXJtYW55LiYjeEQ7UGhpbGlwIE1vcnJpcyBJbnRlcm5hdGlvbmFs
IFJlc2VhcmNoIGFuZCBEZXZlbG9wbWVudCAocGFydCBvZiBQaGlsaXAgTW9ycmlzIEludGVybmF0
aW9uYWwgR3JvdXAgb2YgQ29tcGFuaWVzKSwgUGhpbGlwIE1vcnJpcyBQcm9kdWN0cyBTLkEuLCBR
dWFpIEplYW5yZW5hdWQgNSwgMjAwMCBOZXVjaGF0ZWwsIFN3aXR6ZXJsYW5kLiBFbGVjdHJvbmlj
IGFkZHJlc3M6IFBhdHJpY2sudmFuc2NoZWV1d2lqY2tAcG1pLmNvbS48L2F1dGgtYWRkcmVzcz48
dGl0bGVzPjx0aXRsZT5Ub3hpY2l0eSBvZiB0aGUgbWFpbiBlbGVjdHJvbmljIGNpZ2FyZXR0ZSBj
b21wb25lbnRzLCBwcm9weWxlbmUgZ2x5Y29sLCBnbHljZXJpbiwgYW5kIG5pY290aW5lLCBpbiBT
cHJhZ3VlLURhd2xleSByYXRzIGluIGEgOTAtZGF5IE9FQ0QgaW5oYWxhdGlvbiBzdHVkeSBjb21w
bGVtZW50ZWQgYnkgbW9sZWN1bGFyIGVuZHBvaW50czwvdGl0bGU+PHNlY29uZGFyeS10aXRsZT5G
b29kIENoZW0gVG94aWNvbDwvc2Vjb25kYXJ5LXRpdGxlPjxhbHQtdGl0bGU+Rm9vZCBhbmQgY2hl
bWljYWwgdG94aWNvbG9neSA6IGFuIGludGVybmF0aW9uYWwgam91cm5hbCBwdWJsaXNoZWQgZm9y
IHRoZSBCcml0aXNoIEluZHVzdHJpYWwgQmlvbG9naWNhbCBSZXNlYXJjaCBBc3NvY2lhdGlvbjwv
YWx0LXRpdGxlPjwvdGl0bGVzPjxwZXJpb2RpY2FsPjxmdWxsLXRpdGxlPkZvb2QgQ2hlbSBUb3hp
Y29sPC9mdWxsLXRpdGxlPjxhYmJyLTE+Rm9vZCBhbmQgY2hlbWljYWwgdG94aWNvbG9neSA6IGFu
IGludGVybmF0aW9uYWwgam91cm5hbCBwdWJsaXNoZWQgZm9yIHRoZSBCcml0aXNoIEluZHVzdHJp
YWwgQmlvbG9naWNhbCBSZXNlYXJjaCBBc3NvY2lhdGlvbjwvYWJici0xPjwvcGVyaW9kaWNhbD48
YWx0LXBlcmlvZGljYWw+PGZ1bGwtdGl0bGU+Rm9vZCBDaGVtIFRveGljb2w8L2Z1bGwtdGl0bGU+
PGFiYnItMT5Gb29kIGFuZCBjaGVtaWNhbCB0b3hpY29sb2d5IDogYW4gaW50ZXJuYXRpb25hbCBq
b3VybmFsIHB1Ymxpc2hlZCBmb3IgdGhlIEJyaXRpc2ggSW5kdXN0cmlhbCBCaW9sb2dpY2FsIFJl
c2VhcmNoIEFzc29jaWF0aW9uPC9hYmJyLTE+PC9hbHQtcGVyaW9kaWNhbD48cGFnZXM+MzE1LTMz
MjwvcGFnZXM+PHZvbHVtZT4xMDk8L3ZvbHVtZT48bnVtYmVyPlB0IDE8L251bWJlcj48ZWRpdGlv
bj4yMDE3LzA5LzA5PC9lZGl0aW9uPjxrZXl3b3Jkcz48a2V5d29yZD5FbGVjdHJvbmljIGNpZ2Fy
ZXR0ZTwva2V5d29yZD48a2V5d29yZD5HbHljZXJpbjwva2V5d29yZD48a2V5d29yZD5JbmhhbGF0
aW9uIHRveGljaXR5PC9rZXl3b3JkPjxrZXl3b3JkPk5pY290aW5lPC9rZXl3b3JkPjxrZXl3b3Jk
Pk9yZ2FuaXphdGlvbiBmb3IgRWNvbm9taWMgQ29vcGVyYXRpb24gYW5kIERldmVsb3BtZW50IChP
RUNEKSA0MTMgZ3VpZGVsaW5lPC9rZXl3b3JkPjxrZXl3b3JkPlByb3B5bGVuZSBnbHljb2w8L2tl
eXdvcmQ+PGtleXdvcmQ+U3lzdGVtcyB0b3hpY29sb2d5PC9rZXl3b3JkPjwva2V5d29yZHM+PGRh
dGVzPjx5ZWFyPjIwMTc8L3llYXI+PHB1Yi1kYXRlcz48ZGF0ZT5Ob3Y8L2RhdGU+PC9wdWItZGF0
ZXM+PC9kYXRlcz48aXNibj4wMjc4LTY5MTU8L2lzYm4+PGFjY2Vzc2lvbi1udW0+Mjg4ODI2NDA8
L2FjY2Vzc2lvbi1udW0+PHVybHM+PHJlbGF0ZWQtdXJscz48dXJsPmh0dHBzOi8vd3d3LnNjaWVu
Y2VkaXJlY3QuY29tL3NjaWVuY2UvYXJ0aWNsZS9waWkvUzAyNzg2OTE1MTczMDUxMTI/dmlhJTNE
aWh1YjwvdXJsPjwvcmVsYXRlZC11cmxzPjwvdXJscz48ZWxlY3Ryb25pYy1yZXNvdXJjZS1udW0+
MTAuMTAxNi9qLmZjdC4yMDE3LjA5LjAwMTwvZWxlY3Ryb25pYy1yZXNvdXJjZS1udW0+PHJlbW90
ZS1kYXRhYmFzZS1wcm92aWRlcj5OTE08L3JlbW90ZS1kYXRhYmFzZS1wcm92aWRlcj48bGFuZ3Vh
Z2U+ZW5nPC9sYW5ndWFnZT48L3JlY29yZD48L0NpdGU+PC9FbmROb3RlPn==
</w:fldData>
            </w:fldChar>
          </w:r>
          <w:r>
            <w:instrText xml:space="preserve"> ADDIN EN.CITE.DATA </w:instrText>
          </w:r>
          <w:r>
            <w:fldChar w:fldCharType="end"/>
          </w:r>
          <w:r>
            <w:fldChar w:fldCharType="separate"/>
          </w:r>
          <w:r>
            <w:rPr>
              <w:noProof/>
            </w:rPr>
            <w:t>(Phillips, Titz et al. 2017)</w:t>
          </w:r>
          <w:r>
            <w:fldChar w:fldCharType="end"/>
          </w:r>
          <w:r>
            <w:t>.</w:t>
          </w:r>
          <w:r w:rsidRPr="00D851E2">
            <w:t xml:space="preserve"> </w:t>
          </w:r>
          <w:r>
            <w:t xml:space="preserve">In female rats exposed to nicotine-containing e-cigarette vapour, alanine aminotransferase and alkaline phosphatase (liver enzymes) increased in activity </w:t>
          </w:r>
          <w:r>
            <w:fldChar w:fldCharType="begin">
              <w:fldData xml:space="preserve">PEVuZE5vdGU+PENpdGU+PEF1dGhvcj5QaGlsbGlwczwvQXV0aG9yPjxZZWFyPjIwMTc8L1llYXI+
PFJlY051bT45Mjg8L1JlY051bT48RGlzcGxheVRleHQ+KFBoaWxsaXBzLCBUaXR6IGV0IGFsLiAy
MDE3KTwvRGlzcGxheVRleHQ+PHJlY29yZD48cmVjLW51bWJlcj45Mjg8L3JlYy1udW1iZXI+PGZv
cmVpZ24ta2V5cz48a2V5IGFwcD0iRU4iIGRiLWlkPSI5ejA1ZHowcHJhYWRmdWVlMHpveHplZGs5
emZlNWZ4eDUwejUiIHRpbWVzdGFtcD0iMTUyMTUwNjk2MCI+OTI4PC9rZXk+PC9mb3JlaWduLWtl
eXM+PHJlZi10eXBlIG5hbWU9IkpvdXJuYWwgQXJ0aWNsZSI+MTc8L3JlZi10eXBlPjxjb250cmli
dXRvcnM+PGF1dGhvcnM+PGF1dGhvcj5QaGlsbGlwcywgQi48L2F1dGhvcj48YXV0aG9yPlRpdHos
IEIuPC9hdXRob3I+PGF1dGhvcj5Lb2dlbCwgVS48L2F1dGhvcj48YXV0aG9yPlNoYXJtYSwgRC48
L2F1dGhvcj48YXV0aG9yPkxlcm95LCBQLjwvYXV0aG9yPjxhdXRob3I+WGlhbmcsIFkuPC9hdXRo
b3I+PGF1dGhvcj5WdWlsbGF1bWUsIEcuPC9hdXRob3I+PGF1dGhvcj5MZWJydW4sIFMuPC9hdXRo
b3I+PGF1dGhvcj5TY2l1c2NpbywgRC48L2F1dGhvcj48YXV0aG9yPkhvLCBKLjwvYXV0aG9yPjxh
dXRob3I+TnVyeSwgQy48L2F1dGhvcj48YXV0aG9yPkd1ZWRqLCBFLjwvYXV0aG9yPjxhdXRob3I+
RWxhbWluLCBBLjwvYXV0aG9yPjxhdXRob3I+RXNwb3NpdG8sIE0uPC9hdXRob3I+PGF1dGhvcj5L
cmlzaG5hbiwgUy48L2F1dGhvcj48YXV0aG9yPlNjaGxhZ2UsIFcuIEsuPC9hdXRob3I+PGF1dGhv
cj5WZWxqa292aWMsIEUuPC9hdXRob3I+PGF1dGhvcj5JdmFub3YsIE4uIFYuPC9hdXRob3I+PGF1
dGhvcj5NYXJ0aW4sIEYuPC9hdXRob3I+PGF1dGhvcj5QZWl0c2NoLCBNLiBDLjwvYXV0aG9yPjxh
dXRob3I+SG9lbmcsIEouPC9hdXRob3I+PGF1dGhvcj5WYW5zY2hlZXV3aWpjaywgUC48L2F1dGhv
cj48L2F1dGhvcnM+PC9jb250cmlidXRvcnM+PGF1dGgtYWRkcmVzcz5QaGlsaXAgTW9ycmlzIElu
dGVybmF0aW9uYWwgUmVzZWFyY2ggTGFib3JhdG9yaWVzIFB0ZS4gTHRkLiAocGFydCBvZiBQaGls
aXAgTW9ycmlzIEludGVybmF0aW9uYWwgR3JvdXAgb2YgQ29tcGFuaWVzKSwgNTAgU2NpZW5jZSBQ
YXJrIFJvYWQsIFNpbmdhcG9yZSAxMTc0MDYsIFNpbmdhcG9yZS4mI3hEO1BoaWxpcCBNb3JyaXMg
SW50ZXJuYXRpb25hbCBSZXNlYXJjaCBhbmQgRGV2ZWxvcG1lbnQgKHBhcnQgb2YgUGhpbGlwIE1v
cnJpcyBJbnRlcm5hdGlvbmFsIEdyb3VwIG9mIENvbXBhbmllcyksIFBoaWxpcCBNb3JyaXMgUHJv
ZHVjdHMgUy5BLiwgUXVhaSBKZWFucmVuYXVkIDUsIDIwMDAgTmV1Y2hhdGVsLCBTd2l0emVybGFu
ZC4mI3hEO0Jpb2xvZ3kgQ29uc3VsdGFudCwgTWF4LUJhZXJtYW5uLVN0ci4gMjEsIDUxNDI5IEJl
cmdpc2NoIEdsYWRiYWNoLCBHZXJtYW55LiYjeEQ7UGhpbGlwIE1vcnJpcyBJbnRlcm5hdGlvbmFs
IFJlc2VhcmNoIGFuZCBEZXZlbG9wbWVudCAocGFydCBvZiBQaGlsaXAgTW9ycmlzIEludGVybmF0
aW9uYWwgR3JvdXAgb2YgQ29tcGFuaWVzKSwgUGhpbGlwIE1vcnJpcyBQcm9kdWN0cyBTLkEuLCBR
dWFpIEplYW5yZW5hdWQgNSwgMjAwMCBOZXVjaGF0ZWwsIFN3aXR6ZXJsYW5kLiBFbGVjdHJvbmlj
IGFkZHJlc3M6IFBhdHJpY2sudmFuc2NoZWV1d2lqY2tAcG1pLmNvbS48L2F1dGgtYWRkcmVzcz48
dGl0bGVzPjx0aXRsZT5Ub3hpY2l0eSBvZiB0aGUgbWFpbiBlbGVjdHJvbmljIGNpZ2FyZXR0ZSBj
b21wb25lbnRzLCBwcm9weWxlbmUgZ2x5Y29sLCBnbHljZXJpbiwgYW5kIG5pY290aW5lLCBpbiBT
cHJhZ3VlLURhd2xleSByYXRzIGluIGEgOTAtZGF5IE9FQ0QgaW5oYWxhdGlvbiBzdHVkeSBjb21w
bGVtZW50ZWQgYnkgbW9sZWN1bGFyIGVuZHBvaW50czwvdGl0bGU+PHNlY29uZGFyeS10aXRsZT5G
b29kIENoZW0gVG94aWNvbDwvc2Vjb25kYXJ5LXRpdGxlPjxhbHQtdGl0bGU+Rm9vZCBhbmQgY2hl
bWljYWwgdG94aWNvbG9neSA6IGFuIGludGVybmF0aW9uYWwgam91cm5hbCBwdWJsaXNoZWQgZm9y
IHRoZSBCcml0aXNoIEluZHVzdHJpYWwgQmlvbG9naWNhbCBSZXNlYXJjaCBBc3NvY2lhdGlvbjwv
YWx0LXRpdGxlPjwvdGl0bGVzPjxwZXJpb2RpY2FsPjxmdWxsLXRpdGxlPkZvb2QgQ2hlbSBUb3hp
Y29sPC9mdWxsLXRpdGxlPjxhYmJyLTE+Rm9vZCBhbmQgY2hlbWljYWwgdG94aWNvbG9neSA6IGFu
IGludGVybmF0aW9uYWwgam91cm5hbCBwdWJsaXNoZWQgZm9yIHRoZSBCcml0aXNoIEluZHVzdHJp
YWwgQmlvbG9naWNhbCBSZXNlYXJjaCBBc3NvY2lhdGlvbjwvYWJici0xPjwvcGVyaW9kaWNhbD48
YWx0LXBlcmlvZGljYWw+PGZ1bGwtdGl0bGU+Rm9vZCBDaGVtIFRveGljb2w8L2Z1bGwtdGl0bGU+
PGFiYnItMT5Gb29kIGFuZCBjaGVtaWNhbCB0b3hpY29sb2d5IDogYW4gaW50ZXJuYXRpb25hbCBq
b3VybmFsIHB1Ymxpc2hlZCBmb3IgdGhlIEJyaXRpc2ggSW5kdXN0cmlhbCBCaW9sb2dpY2FsIFJl
c2VhcmNoIEFzc29jaWF0aW9uPC9hYmJyLTE+PC9hbHQtcGVyaW9kaWNhbD48cGFnZXM+MzE1LTMz
MjwvcGFnZXM+PHZvbHVtZT4xMDk8L3ZvbHVtZT48bnVtYmVyPlB0IDE8L251bWJlcj48ZWRpdGlv
bj4yMDE3LzA5LzA5PC9lZGl0aW9uPjxrZXl3b3Jkcz48a2V5d29yZD5FbGVjdHJvbmljIGNpZ2Fy
ZXR0ZTwva2V5d29yZD48a2V5d29yZD5HbHljZXJpbjwva2V5d29yZD48a2V5d29yZD5JbmhhbGF0
aW9uIHRveGljaXR5PC9rZXl3b3JkPjxrZXl3b3JkPk5pY290aW5lPC9rZXl3b3JkPjxrZXl3b3Jk
Pk9yZ2FuaXphdGlvbiBmb3IgRWNvbm9taWMgQ29vcGVyYXRpb24gYW5kIERldmVsb3BtZW50IChP
RUNEKSA0MTMgZ3VpZGVsaW5lPC9rZXl3b3JkPjxrZXl3b3JkPlByb3B5bGVuZSBnbHljb2w8L2tl
eXdvcmQ+PGtleXdvcmQ+U3lzdGVtcyB0b3hpY29sb2d5PC9rZXl3b3JkPjwva2V5d29yZHM+PGRh
dGVzPjx5ZWFyPjIwMTc8L3llYXI+PHB1Yi1kYXRlcz48ZGF0ZT5Ob3Y8L2RhdGU+PC9wdWItZGF0
ZXM+PC9kYXRlcz48aXNibj4wMjc4LTY5MTU8L2lzYm4+PGFjY2Vzc2lvbi1udW0+Mjg4ODI2NDA8
L2FjY2Vzc2lvbi1udW0+PHVybHM+PHJlbGF0ZWQtdXJscz48dXJsPmh0dHBzOi8vd3d3LnNjaWVu
Y2VkaXJlY3QuY29tL3NjaWVuY2UvYXJ0aWNsZS9waWkvUzAyNzg2OTE1MTczMDUxMTI/dmlhJTNE
aWh1YjwvdXJsPjwvcmVsYXRlZC11cmxzPjwvdXJscz48ZWxlY3Ryb25pYy1yZXNvdXJjZS1udW0+
MTAuMTAxNi9qLmZjdC4yMDE3LjA5LjAwMTwvZWxlY3Ryb25pYy1yZXNvdXJjZS1udW0+PHJlbW90
ZS1kYXRhYmFzZS1wcm92aWRlcj5OTE08L3JlbW90ZS1kYXRhYmFzZS1wcm92aWRlcj48bGFuZ3Vh
Z2U+ZW5nPC9sYW5ndWFnZT48L3JlY29yZD48L0NpdGU+PC9FbmROb3RlPn==
</w:fldData>
            </w:fldChar>
          </w:r>
          <w:r>
            <w:instrText xml:space="preserve"> ADDIN EN.CITE </w:instrText>
          </w:r>
          <w:r>
            <w:fldChar w:fldCharType="begin">
              <w:fldData xml:space="preserve">PEVuZE5vdGU+PENpdGU+PEF1dGhvcj5QaGlsbGlwczwvQXV0aG9yPjxZZWFyPjIwMTc8L1llYXI+
PFJlY051bT45Mjg8L1JlY051bT48RGlzcGxheVRleHQ+KFBoaWxsaXBzLCBUaXR6IGV0IGFsLiAy
MDE3KTwvRGlzcGxheVRleHQ+PHJlY29yZD48cmVjLW51bWJlcj45Mjg8L3JlYy1udW1iZXI+PGZv
cmVpZ24ta2V5cz48a2V5IGFwcD0iRU4iIGRiLWlkPSI5ejA1ZHowcHJhYWRmdWVlMHpveHplZGs5
emZlNWZ4eDUwejUiIHRpbWVzdGFtcD0iMTUyMTUwNjk2MCI+OTI4PC9rZXk+PC9mb3JlaWduLWtl
eXM+PHJlZi10eXBlIG5hbWU9IkpvdXJuYWwgQXJ0aWNsZSI+MTc8L3JlZi10eXBlPjxjb250cmli
dXRvcnM+PGF1dGhvcnM+PGF1dGhvcj5QaGlsbGlwcywgQi48L2F1dGhvcj48YXV0aG9yPlRpdHos
IEIuPC9hdXRob3I+PGF1dGhvcj5Lb2dlbCwgVS48L2F1dGhvcj48YXV0aG9yPlNoYXJtYSwgRC48
L2F1dGhvcj48YXV0aG9yPkxlcm95LCBQLjwvYXV0aG9yPjxhdXRob3I+WGlhbmcsIFkuPC9hdXRo
b3I+PGF1dGhvcj5WdWlsbGF1bWUsIEcuPC9hdXRob3I+PGF1dGhvcj5MZWJydW4sIFMuPC9hdXRo
b3I+PGF1dGhvcj5TY2l1c2NpbywgRC48L2F1dGhvcj48YXV0aG9yPkhvLCBKLjwvYXV0aG9yPjxh
dXRob3I+TnVyeSwgQy48L2F1dGhvcj48YXV0aG9yPkd1ZWRqLCBFLjwvYXV0aG9yPjxhdXRob3I+
RWxhbWluLCBBLjwvYXV0aG9yPjxhdXRob3I+RXNwb3NpdG8sIE0uPC9hdXRob3I+PGF1dGhvcj5L
cmlzaG5hbiwgUy48L2F1dGhvcj48YXV0aG9yPlNjaGxhZ2UsIFcuIEsuPC9hdXRob3I+PGF1dGhv
cj5WZWxqa292aWMsIEUuPC9hdXRob3I+PGF1dGhvcj5JdmFub3YsIE4uIFYuPC9hdXRob3I+PGF1
dGhvcj5NYXJ0aW4sIEYuPC9hdXRob3I+PGF1dGhvcj5QZWl0c2NoLCBNLiBDLjwvYXV0aG9yPjxh
dXRob3I+SG9lbmcsIEouPC9hdXRob3I+PGF1dGhvcj5WYW5zY2hlZXV3aWpjaywgUC48L2F1dGhv
cj48L2F1dGhvcnM+PC9jb250cmlidXRvcnM+PGF1dGgtYWRkcmVzcz5QaGlsaXAgTW9ycmlzIElu
dGVybmF0aW9uYWwgUmVzZWFyY2ggTGFib3JhdG9yaWVzIFB0ZS4gTHRkLiAocGFydCBvZiBQaGls
aXAgTW9ycmlzIEludGVybmF0aW9uYWwgR3JvdXAgb2YgQ29tcGFuaWVzKSwgNTAgU2NpZW5jZSBQ
YXJrIFJvYWQsIFNpbmdhcG9yZSAxMTc0MDYsIFNpbmdhcG9yZS4mI3hEO1BoaWxpcCBNb3JyaXMg
SW50ZXJuYXRpb25hbCBSZXNlYXJjaCBhbmQgRGV2ZWxvcG1lbnQgKHBhcnQgb2YgUGhpbGlwIE1v
cnJpcyBJbnRlcm5hdGlvbmFsIEdyb3VwIG9mIENvbXBhbmllcyksIFBoaWxpcCBNb3JyaXMgUHJv
ZHVjdHMgUy5BLiwgUXVhaSBKZWFucmVuYXVkIDUsIDIwMDAgTmV1Y2hhdGVsLCBTd2l0emVybGFu
ZC4mI3hEO0Jpb2xvZ3kgQ29uc3VsdGFudCwgTWF4LUJhZXJtYW5uLVN0ci4gMjEsIDUxNDI5IEJl
cmdpc2NoIEdsYWRiYWNoLCBHZXJtYW55LiYjeEQ7UGhpbGlwIE1vcnJpcyBJbnRlcm5hdGlvbmFs
IFJlc2VhcmNoIGFuZCBEZXZlbG9wbWVudCAocGFydCBvZiBQaGlsaXAgTW9ycmlzIEludGVybmF0
aW9uYWwgR3JvdXAgb2YgQ29tcGFuaWVzKSwgUGhpbGlwIE1vcnJpcyBQcm9kdWN0cyBTLkEuLCBR
dWFpIEplYW5yZW5hdWQgNSwgMjAwMCBOZXVjaGF0ZWwsIFN3aXR6ZXJsYW5kLiBFbGVjdHJvbmlj
IGFkZHJlc3M6IFBhdHJpY2sudmFuc2NoZWV1d2lqY2tAcG1pLmNvbS48L2F1dGgtYWRkcmVzcz48
dGl0bGVzPjx0aXRsZT5Ub3hpY2l0eSBvZiB0aGUgbWFpbiBlbGVjdHJvbmljIGNpZ2FyZXR0ZSBj
b21wb25lbnRzLCBwcm9weWxlbmUgZ2x5Y29sLCBnbHljZXJpbiwgYW5kIG5pY290aW5lLCBpbiBT
cHJhZ3VlLURhd2xleSByYXRzIGluIGEgOTAtZGF5IE9FQ0QgaW5oYWxhdGlvbiBzdHVkeSBjb21w
bGVtZW50ZWQgYnkgbW9sZWN1bGFyIGVuZHBvaW50czwvdGl0bGU+PHNlY29uZGFyeS10aXRsZT5G
b29kIENoZW0gVG94aWNvbDwvc2Vjb25kYXJ5LXRpdGxlPjxhbHQtdGl0bGU+Rm9vZCBhbmQgY2hl
bWljYWwgdG94aWNvbG9neSA6IGFuIGludGVybmF0aW9uYWwgam91cm5hbCBwdWJsaXNoZWQgZm9y
IHRoZSBCcml0aXNoIEluZHVzdHJpYWwgQmlvbG9naWNhbCBSZXNlYXJjaCBBc3NvY2lhdGlvbjwv
YWx0LXRpdGxlPjwvdGl0bGVzPjxwZXJpb2RpY2FsPjxmdWxsLXRpdGxlPkZvb2QgQ2hlbSBUb3hp
Y29sPC9mdWxsLXRpdGxlPjxhYmJyLTE+Rm9vZCBhbmQgY2hlbWljYWwgdG94aWNvbG9neSA6IGFu
IGludGVybmF0aW9uYWwgam91cm5hbCBwdWJsaXNoZWQgZm9yIHRoZSBCcml0aXNoIEluZHVzdHJp
YWwgQmlvbG9naWNhbCBSZXNlYXJjaCBBc3NvY2lhdGlvbjwvYWJici0xPjwvcGVyaW9kaWNhbD48
YWx0LXBlcmlvZGljYWw+PGZ1bGwtdGl0bGU+Rm9vZCBDaGVtIFRveGljb2w8L2Z1bGwtdGl0bGU+
PGFiYnItMT5Gb29kIGFuZCBjaGVtaWNhbCB0b3hpY29sb2d5IDogYW4gaW50ZXJuYXRpb25hbCBq
b3VybmFsIHB1Ymxpc2hlZCBmb3IgdGhlIEJyaXRpc2ggSW5kdXN0cmlhbCBCaW9sb2dpY2FsIFJl
c2VhcmNoIEFzc29jaWF0aW9uPC9hYmJyLTE+PC9hbHQtcGVyaW9kaWNhbD48cGFnZXM+MzE1LTMz
MjwvcGFnZXM+PHZvbHVtZT4xMDk8L3ZvbHVtZT48bnVtYmVyPlB0IDE8L251bWJlcj48ZWRpdGlv
bj4yMDE3LzA5LzA5PC9lZGl0aW9uPjxrZXl3b3Jkcz48a2V5d29yZD5FbGVjdHJvbmljIGNpZ2Fy
ZXR0ZTwva2V5d29yZD48a2V5d29yZD5HbHljZXJpbjwva2V5d29yZD48a2V5d29yZD5JbmhhbGF0
aW9uIHRveGljaXR5PC9rZXl3b3JkPjxrZXl3b3JkPk5pY290aW5lPC9rZXl3b3JkPjxrZXl3b3Jk
Pk9yZ2FuaXphdGlvbiBmb3IgRWNvbm9taWMgQ29vcGVyYXRpb24gYW5kIERldmVsb3BtZW50IChP
RUNEKSA0MTMgZ3VpZGVsaW5lPC9rZXl3b3JkPjxrZXl3b3JkPlByb3B5bGVuZSBnbHljb2w8L2tl
eXdvcmQ+PGtleXdvcmQ+U3lzdGVtcyB0b3hpY29sb2d5PC9rZXl3b3JkPjwva2V5d29yZHM+PGRh
dGVzPjx5ZWFyPjIwMTc8L3llYXI+PHB1Yi1kYXRlcz48ZGF0ZT5Ob3Y8L2RhdGU+PC9wdWItZGF0
ZXM+PC9kYXRlcz48aXNibj4wMjc4LTY5MTU8L2lzYm4+PGFjY2Vzc2lvbi1udW0+Mjg4ODI2NDA8
L2FjY2Vzc2lvbi1udW0+PHVybHM+PHJlbGF0ZWQtdXJscz48dXJsPmh0dHBzOi8vd3d3LnNjaWVu
Y2VkaXJlY3QuY29tL3NjaWVuY2UvYXJ0aWNsZS9waWkvUzAyNzg2OTE1MTczMDUxMTI/dmlhJTNE
aWh1YjwvdXJsPjwvcmVsYXRlZC11cmxzPjwvdXJscz48ZWxlY3Ryb25pYy1yZXNvdXJjZS1udW0+
MTAuMTAxNi9qLmZjdC4yMDE3LjA5LjAwMTwvZWxlY3Ryb25pYy1yZXNvdXJjZS1udW0+PHJlbW90
ZS1kYXRhYmFzZS1wcm92aWRlcj5OTE08L3JlbW90ZS1kYXRhYmFzZS1wcm92aWRlcj48bGFuZ3Vh
Z2U+ZW5nPC9sYW5ndWFnZT48L3JlY29yZD48L0NpdGU+PC9FbmROb3RlPn==
</w:fldData>
            </w:fldChar>
          </w:r>
          <w:r>
            <w:instrText xml:space="preserve"> ADDIN EN.CITE.DATA </w:instrText>
          </w:r>
          <w:r>
            <w:fldChar w:fldCharType="end"/>
          </w:r>
          <w:r>
            <w:fldChar w:fldCharType="separate"/>
          </w:r>
          <w:r>
            <w:rPr>
              <w:noProof/>
            </w:rPr>
            <w:t>(Phillips, Titz et al. 2017)</w:t>
          </w:r>
          <w:r>
            <w:fldChar w:fldCharType="end"/>
          </w:r>
          <w:r>
            <w:t xml:space="preserve">. Hepatocyte vacuolation was observed more frequently in the liver of nicotine-exposed rats </w:t>
          </w:r>
          <w:r>
            <w:fldChar w:fldCharType="begin">
              <w:fldData xml:space="preserve">PEVuZE5vdGU+PENpdGU+PEF1dGhvcj5QaGlsbGlwczwvQXV0aG9yPjxZZWFyPjIwMTc8L1llYXI+
PFJlY051bT45Mjg8L1JlY051bT48RGlzcGxheVRleHQ+KFBoaWxsaXBzLCBUaXR6IGV0IGFsLiAy
MDE3KTwvRGlzcGxheVRleHQ+PHJlY29yZD48cmVjLW51bWJlcj45Mjg8L3JlYy1udW1iZXI+PGZv
cmVpZ24ta2V5cz48a2V5IGFwcD0iRU4iIGRiLWlkPSI5ejA1ZHowcHJhYWRmdWVlMHpveHplZGs5
emZlNWZ4eDUwejUiIHRpbWVzdGFtcD0iMTUyMTUwNjk2MCI+OTI4PC9rZXk+PC9mb3JlaWduLWtl
eXM+PHJlZi10eXBlIG5hbWU9IkpvdXJuYWwgQXJ0aWNsZSI+MTc8L3JlZi10eXBlPjxjb250cmli
dXRvcnM+PGF1dGhvcnM+PGF1dGhvcj5QaGlsbGlwcywgQi48L2F1dGhvcj48YXV0aG9yPlRpdHos
IEIuPC9hdXRob3I+PGF1dGhvcj5Lb2dlbCwgVS48L2F1dGhvcj48YXV0aG9yPlNoYXJtYSwgRC48
L2F1dGhvcj48YXV0aG9yPkxlcm95LCBQLjwvYXV0aG9yPjxhdXRob3I+WGlhbmcsIFkuPC9hdXRo
b3I+PGF1dGhvcj5WdWlsbGF1bWUsIEcuPC9hdXRob3I+PGF1dGhvcj5MZWJydW4sIFMuPC9hdXRo
b3I+PGF1dGhvcj5TY2l1c2NpbywgRC48L2F1dGhvcj48YXV0aG9yPkhvLCBKLjwvYXV0aG9yPjxh
dXRob3I+TnVyeSwgQy48L2F1dGhvcj48YXV0aG9yPkd1ZWRqLCBFLjwvYXV0aG9yPjxhdXRob3I+
RWxhbWluLCBBLjwvYXV0aG9yPjxhdXRob3I+RXNwb3NpdG8sIE0uPC9hdXRob3I+PGF1dGhvcj5L
cmlzaG5hbiwgUy48L2F1dGhvcj48YXV0aG9yPlNjaGxhZ2UsIFcuIEsuPC9hdXRob3I+PGF1dGhv
cj5WZWxqa292aWMsIEUuPC9hdXRob3I+PGF1dGhvcj5JdmFub3YsIE4uIFYuPC9hdXRob3I+PGF1
dGhvcj5NYXJ0aW4sIEYuPC9hdXRob3I+PGF1dGhvcj5QZWl0c2NoLCBNLiBDLjwvYXV0aG9yPjxh
dXRob3I+SG9lbmcsIEouPC9hdXRob3I+PGF1dGhvcj5WYW5zY2hlZXV3aWpjaywgUC48L2F1dGhv
cj48L2F1dGhvcnM+PC9jb250cmlidXRvcnM+PGF1dGgtYWRkcmVzcz5QaGlsaXAgTW9ycmlzIElu
dGVybmF0aW9uYWwgUmVzZWFyY2ggTGFib3JhdG9yaWVzIFB0ZS4gTHRkLiAocGFydCBvZiBQaGls
aXAgTW9ycmlzIEludGVybmF0aW9uYWwgR3JvdXAgb2YgQ29tcGFuaWVzKSwgNTAgU2NpZW5jZSBQ
YXJrIFJvYWQsIFNpbmdhcG9yZSAxMTc0MDYsIFNpbmdhcG9yZS4mI3hEO1BoaWxpcCBNb3JyaXMg
SW50ZXJuYXRpb25hbCBSZXNlYXJjaCBhbmQgRGV2ZWxvcG1lbnQgKHBhcnQgb2YgUGhpbGlwIE1v
cnJpcyBJbnRlcm5hdGlvbmFsIEdyb3VwIG9mIENvbXBhbmllcyksIFBoaWxpcCBNb3JyaXMgUHJv
ZHVjdHMgUy5BLiwgUXVhaSBKZWFucmVuYXVkIDUsIDIwMDAgTmV1Y2hhdGVsLCBTd2l0emVybGFu
ZC4mI3hEO0Jpb2xvZ3kgQ29uc3VsdGFudCwgTWF4LUJhZXJtYW5uLVN0ci4gMjEsIDUxNDI5IEJl
cmdpc2NoIEdsYWRiYWNoLCBHZXJtYW55LiYjeEQ7UGhpbGlwIE1vcnJpcyBJbnRlcm5hdGlvbmFs
IFJlc2VhcmNoIGFuZCBEZXZlbG9wbWVudCAocGFydCBvZiBQaGlsaXAgTW9ycmlzIEludGVybmF0
aW9uYWwgR3JvdXAgb2YgQ29tcGFuaWVzKSwgUGhpbGlwIE1vcnJpcyBQcm9kdWN0cyBTLkEuLCBR
dWFpIEplYW5yZW5hdWQgNSwgMjAwMCBOZXVjaGF0ZWwsIFN3aXR6ZXJsYW5kLiBFbGVjdHJvbmlj
IGFkZHJlc3M6IFBhdHJpY2sudmFuc2NoZWV1d2lqY2tAcG1pLmNvbS48L2F1dGgtYWRkcmVzcz48
dGl0bGVzPjx0aXRsZT5Ub3hpY2l0eSBvZiB0aGUgbWFpbiBlbGVjdHJvbmljIGNpZ2FyZXR0ZSBj
b21wb25lbnRzLCBwcm9weWxlbmUgZ2x5Y29sLCBnbHljZXJpbiwgYW5kIG5pY290aW5lLCBpbiBT
cHJhZ3VlLURhd2xleSByYXRzIGluIGEgOTAtZGF5IE9FQ0QgaW5oYWxhdGlvbiBzdHVkeSBjb21w
bGVtZW50ZWQgYnkgbW9sZWN1bGFyIGVuZHBvaW50czwvdGl0bGU+PHNlY29uZGFyeS10aXRsZT5G
b29kIENoZW0gVG94aWNvbDwvc2Vjb25kYXJ5LXRpdGxlPjxhbHQtdGl0bGU+Rm9vZCBhbmQgY2hl
bWljYWwgdG94aWNvbG9neSA6IGFuIGludGVybmF0aW9uYWwgam91cm5hbCBwdWJsaXNoZWQgZm9y
IHRoZSBCcml0aXNoIEluZHVzdHJpYWwgQmlvbG9naWNhbCBSZXNlYXJjaCBBc3NvY2lhdGlvbjwv
YWx0LXRpdGxlPjwvdGl0bGVzPjxwZXJpb2RpY2FsPjxmdWxsLXRpdGxlPkZvb2QgQ2hlbSBUb3hp
Y29sPC9mdWxsLXRpdGxlPjxhYmJyLTE+Rm9vZCBhbmQgY2hlbWljYWwgdG94aWNvbG9neSA6IGFu
IGludGVybmF0aW9uYWwgam91cm5hbCBwdWJsaXNoZWQgZm9yIHRoZSBCcml0aXNoIEluZHVzdHJp
YWwgQmlvbG9naWNhbCBSZXNlYXJjaCBBc3NvY2lhdGlvbjwvYWJici0xPjwvcGVyaW9kaWNhbD48
YWx0LXBlcmlvZGljYWw+PGZ1bGwtdGl0bGU+Rm9vZCBDaGVtIFRveGljb2w8L2Z1bGwtdGl0bGU+
PGFiYnItMT5Gb29kIGFuZCBjaGVtaWNhbCB0b3hpY29sb2d5IDogYW4gaW50ZXJuYXRpb25hbCBq
b3VybmFsIHB1Ymxpc2hlZCBmb3IgdGhlIEJyaXRpc2ggSW5kdXN0cmlhbCBCaW9sb2dpY2FsIFJl
c2VhcmNoIEFzc29jaWF0aW9uPC9hYmJyLTE+PC9hbHQtcGVyaW9kaWNhbD48cGFnZXM+MzE1LTMz
MjwvcGFnZXM+PHZvbHVtZT4xMDk8L3ZvbHVtZT48bnVtYmVyPlB0IDE8L251bWJlcj48ZWRpdGlv
bj4yMDE3LzA5LzA5PC9lZGl0aW9uPjxrZXl3b3Jkcz48a2V5d29yZD5FbGVjdHJvbmljIGNpZ2Fy
ZXR0ZTwva2V5d29yZD48a2V5d29yZD5HbHljZXJpbjwva2V5d29yZD48a2V5d29yZD5JbmhhbGF0
aW9uIHRveGljaXR5PC9rZXl3b3JkPjxrZXl3b3JkPk5pY290aW5lPC9rZXl3b3JkPjxrZXl3b3Jk
Pk9yZ2FuaXphdGlvbiBmb3IgRWNvbm9taWMgQ29vcGVyYXRpb24gYW5kIERldmVsb3BtZW50IChP
RUNEKSA0MTMgZ3VpZGVsaW5lPC9rZXl3b3JkPjxrZXl3b3JkPlByb3B5bGVuZSBnbHljb2w8L2tl
eXdvcmQ+PGtleXdvcmQ+U3lzdGVtcyB0b3hpY29sb2d5PC9rZXl3b3JkPjwva2V5d29yZHM+PGRh
dGVzPjx5ZWFyPjIwMTc8L3llYXI+PHB1Yi1kYXRlcz48ZGF0ZT5Ob3Y8L2RhdGU+PC9wdWItZGF0
ZXM+PC9kYXRlcz48aXNibj4wMjc4LTY5MTU8L2lzYm4+PGFjY2Vzc2lvbi1udW0+Mjg4ODI2NDA8
L2FjY2Vzc2lvbi1udW0+PHVybHM+PHJlbGF0ZWQtdXJscz48dXJsPmh0dHBzOi8vd3d3LnNjaWVu
Y2VkaXJlY3QuY29tL3NjaWVuY2UvYXJ0aWNsZS9waWkvUzAyNzg2OTE1MTczMDUxMTI/dmlhJTNE
aWh1YjwvdXJsPjwvcmVsYXRlZC11cmxzPjwvdXJscz48ZWxlY3Ryb25pYy1yZXNvdXJjZS1udW0+
MTAuMTAxNi9qLmZjdC4yMDE3LjA5LjAwMTwvZWxlY3Ryb25pYy1yZXNvdXJjZS1udW0+PHJlbW90
ZS1kYXRhYmFzZS1wcm92aWRlcj5OTE08L3JlbW90ZS1kYXRhYmFzZS1wcm92aWRlcj48bGFuZ3Vh
Z2U+ZW5nPC9sYW5ndWFnZT48L3JlY29yZD48L0NpdGU+PC9FbmROb3RlPn==
</w:fldData>
            </w:fldChar>
          </w:r>
          <w:r>
            <w:instrText xml:space="preserve"> ADDIN EN.CITE </w:instrText>
          </w:r>
          <w:r>
            <w:fldChar w:fldCharType="begin">
              <w:fldData xml:space="preserve">PEVuZE5vdGU+PENpdGU+PEF1dGhvcj5QaGlsbGlwczwvQXV0aG9yPjxZZWFyPjIwMTc8L1llYXI+
PFJlY051bT45Mjg8L1JlY051bT48RGlzcGxheVRleHQ+KFBoaWxsaXBzLCBUaXR6IGV0IGFsLiAy
MDE3KTwvRGlzcGxheVRleHQ+PHJlY29yZD48cmVjLW51bWJlcj45Mjg8L3JlYy1udW1iZXI+PGZv
cmVpZ24ta2V5cz48a2V5IGFwcD0iRU4iIGRiLWlkPSI5ejA1ZHowcHJhYWRmdWVlMHpveHplZGs5
emZlNWZ4eDUwejUiIHRpbWVzdGFtcD0iMTUyMTUwNjk2MCI+OTI4PC9rZXk+PC9mb3JlaWduLWtl
eXM+PHJlZi10eXBlIG5hbWU9IkpvdXJuYWwgQXJ0aWNsZSI+MTc8L3JlZi10eXBlPjxjb250cmli
dXRvcnM+PGF1dGhvcnM+PGF1dGhvcj5QaGlsbGlwcywgQi48L2F1dGhvcj48YXV0aG9yPlRpdHos
IEIuPC9hdXRob3I+PGF1dGhvcj5Lb2dlbCwgVS48L2F1dGhvcj48YXV0aG9yPlNoYXJtYSwgRC48
L2F1dGhvcj48YXV0aG9yPkxlcm95LCBQLjwvYXV0aG9yPjxhdXRob3I+WGlhbmcsIFkuPC9hdXRo
b3I+PGF1dGhvcj5WdWlsbGF1bWUsIEcuPC9hdXRob3I+PGF1dGhvcj5MZWJydW4sIFMuPC9hdXRo
b3I+PGF1dGhvcj5TY2l1c2NpbywgRC48L2F1dGhvcj48YXV0aG9yPkhvLCBKLjwvYXV0aG9yPjxh
dXRob3I+TnVyeSwgQy48L2F1dGhvcj48YXV0aG9yPkd1ZWRqLCBFLjwvYXV0aG9yPjxhdXRob3I+
RWxhbWluLCBBLjwvYXV0aG9yPjxhdXRob3I+RXNwb3NpdG8sIE0uPC9hdXRob3I+PGF1dGhvcj5L
cmlzaG5hbiwgUy48L2F1dGhvcj48YXV0aG9yPlNjaGxhZ2UsIFcuIEsuPC9hdXRob3I+PGF1dGhv
cj5WZWxqa292aWMsIEUuPC9hdXRob3I+PGF1dGhvcj5JdmFub3YsIE4uIFYuPC9hdXRob3I+PGF1
dGhvcj5NYXJ0aW4sIEYuPC9hdXRob3I+PGF1dGhvcj5QZWl0c2NoLCBNLiBDLjwvYXV0aG9yPjxh
dXRob3I+SG9lbmcsIEouPC9hdXRob3I+PGF1dGhvcj5WYW5zY2hlZXV3aWpjaywgUC48L2F1dGhv
cj48L2F1dGhvcnM+PC9jb250cmlidXRvcnM+PGF1dGgtYWRkcmVzcz5QaGlsaXAgTW9ycmlzIElu
dGVybmF0aW9uYWwgUmVzZWFyY2ggTGFib3JhdG9yaWVzIFB0ZS4gTHRkLiAocGFydCBvZiBQaGls
aXAgTW9ycmlzIEludGVybmF0aW9uYWwgR3JvdXAgb2YgQ29tcGFuaWVzKSwgNTAgU2NpZW5jZSBQ
YXJrIFJvYWQsIFNpbmdhcG9yZSAxMTc0MDYsIFNpbmdhcG9yZS4mI3hEO1BoaWxpcCBNb3JyaXMg
SW50ZXJuYXRpb25hbCBSZXNlYXJjaCBhbmQgRGV2ZWxvcG1lbnQgKHBhcnQgb2YgUGhpbGlwIE1v
cnJpcyBJbnRlcm5hdGlvbmFsIEdyb3VwIG9mIENvbXBhbmllcyksIFBoaWxpcCBNb3JyaXMgUHJv
ZHVjdHMgUy5BLiwgUXVhaSBKZWFucmVuYXVkIDUsIDIwMDAgTmV1Y2hhdGVsLCBTd2l0emVybGFu
ZC4mI3hEO0Jpb2xvZ3kgQ29uc3VsdGFudCwgTWF4LUJhZXJtYW5uLVN0ci4gMjEsIDUxNDI5IEJl
cmdpc2NoIEdsYWRiYWNoLCBHZXJtYW55LiYjeEQ7UGhpbGlwIE1vcnJpcyBJbnRlcm5hdGlvbmFs
IFJlc2VhcmNoIGFuZCBEZXZlbG9wbWVudCAocGFydCBvZiBQaGlsaXAgTW9ycmlzIEludGVybmF0
aW9uYWwgR3JvdXAgb2YgQ29tcGFuaWVzKSwgUGhpbGlwIE1vcnJpcyBQcm9kdWN0cyBTLkEuLCBR
dWFpIEplYW5yZW5hdWQgNSwgMjAwMCBOZXVjaGF0ZWwsIFN3aXR6ZXJsYW5kLiBFbGVjdHJvbmlj
IGFkZHJlc3M6IFBhdHJpY2sudmFuc2NoZWV1d2lqY2tAcG1pLmNvbS48L2F1dGgtYWRkcmVzcz48
dGl0bGVzPjx0aXRsZT5Ub3hpY2l0eSBvZiB0aGUgbWFpbiBlbGVjdHJvbmljIGNpZ2FyZXR0ZSBj
b21wb25lbnRzLCBwcm9weWxlbmUgZ2x5Y29sLCBnbHljZXJpbiwgYW5kIG5pY290aW5lLCBpbiBT
cHJhZ3VlLURhd2xleSByYXRzIGluIGEgOTAtZGF5IE9FQ0QgaW5oYWxhdGlvbiBzdHVkeSBjb21w
bGVtZW50ZWQgYnkgbW9sZWN1bGFyIGVuZHBvaW50czwvdGl0bGU+PHNlY29uZGFyeS10aXRsZT5G
b29kIENoZW0gVG94aWNvbDwvc2Vjb25kYXJ5LXRpdGxlPjxhbHQtdGl0bGU+Rm9vZCBhbmQgY2hl
bWljYWwgdG94aWNvbG9neSA6IGFuIGludGVybmF0aW9uYWwgam91cm5hbCBwdWJsaXNoZWQgZm9y
IHRoZSBCcml0aXNoIEluZHVzdHJpYWwgQmlvbG9naWNhbCBSZXNlYXJjaCBBc3NvY2lhdGlvbjwv
YWx0LXRpdGxlPjwvdGl0bGVzPjxwZXJpb2RpY2FsPjxmdWxsLXRpdGxlPkZvb2QgQ2hlbSBUb3hp
Y29sPC9mdWxsLXRpdGxlPjxhYmJyLTE+Rm9vZCBhbmQgY2hlbWljYWwgdG94aWNvbG9neSA6IGFu
IGludGVybmF0aW9uYWwgam91cm5hbCBwdWJsaXNoZWQgZm9yIHRoZSBCcml0aXNoIEluZHVzdHJp
YWwgQmlvbG9naWNhbCBSZXNlYXJjaCBBc3NvY2lhdGlvbjwvYWJici0xPjwvcGVyaW9kaWNhbD48
YWx0LXBlcmlvZGljYWw+PGZ1bGwtdGl0bGU+Rm9vZCBDaGVtIFRveGljb2w8L2Z1bGwtdGl0bGU+
PGFiYnItMT5Gb29kIGFuZCBjaGVtaWNhbCB0b3hpY29sb2d5IDogYW4gaW50ZXJuYXRpb25hbCBq
b3VybmFsIHB1Ymxpc2hlZCBmb3IgdGhlIEJyaXRpc2ggSW5kdXN0cmlhbCBCaW9sb2dpY2FsIFJl
c2VhcmNoIEFzc29jaWF0aW9uPC9hYmJyLTE+PC9hbHQtcGVyaW9kaWNhbD48cGFnZXM+MzE1LTMz
MjwvcGFnZXM+PHZvbHVtZT4xMDk8L3ZvbHVtZT48bnVtYmVyPlB0IDE8L251bWJlcj48ZWRpdGlv
bj4yMDE3LzA5LzA5PC9lZGl0aW9uPjxrZXl3b3Jkcz48a2V5d29yZD5FbGVjdHJvbmljIGNpZ2Fy
ZXR0ZTwva2V5d29yZD48a2V5d29yZD5HbHljZXJpbjwva2V5d29yZD48a2V5d29yZD5JbmhhbGF0
aW9uIHRveGljaXR5PC9rZXl3b3JkPjxrZXl3b3JkPk5pY290aW5lPC9rZXl3b3JkPjxrZXl3b3Jk
Pk9yZ2FuaXphdGlvbiBmb3IgRWNvbm9taWMgQ29vcGVyYXRpb24gYW5kIERldmVsb3BtZW50IChP
RUNEKSA0MTMgZ3VpZGVsaW5lPC9rZXl3b3JkPjxrZXl3b3JkPlByb3B5bGVuZSBnbHljb2w8L2tl
eXdvcmQ+PGtleXdvcmQ+U3lzdGVtcyB0b3hpY29sb2d5PC9rZXl3b3JkPjwva2V5d29yZHM+PGRh
dGVzPjx5ZWFyPjIwMTc8L3llYXI+PHB1Yi1kYXRlcz48ZGF0ZT5Ob3Y8L2RhdGU+PC9wdWItZGF0
ZXM+PC9kYXRlcz48aXNibj4wMjc4LTY5MTU8L2lzYm4+PGFjY2Vzc2lvbi1udW0+Mjg4ODI2NDA8
L2FjY2Vzc2lvbi1udW0+PHVybHM+PHJlbGF0ZWQtdXJscz48dXJsPmh0dHBzOi8vd3d3LnNjaWVu
Y2VkaXJlY3QuY29tL3NjaWVuY2UvYXJ0aWNsZS9waWkvUzAyNzg2OTE1MTczMDUxMTI/dmlhJTNE
aWh1YjwvdXJsPjwvcmVsYXRlZC11cmxzPjwvdXJscz48ZWxlY3Ryb25pYy1yZXNvdXJjZS1udW0+
MTAuMTAxNi9qLmZjdC4yMDE3LjA5LjAwMTwvZWxlY3Ryb25pYy1yZXNvdXJjZS1udW0+PHJlbW90
ZS1kYXRhYmFzZS1wcm92aWRlcj5OTE08L3JlbW90ZS1kYXRhYmFzZS1wcm92aWRlcj48bGFuZ3Vh
Z2U+ZW5nPC9sYW5ndWFnZT48L3JlY29yZD48L0NpdGU+PC9FbmROb3RlPn==
</w:fldData>
            </w:fldChar>
          </w:r>
          <w:r>
            <w:instrText xml:space="preserve"> ADDIN EN.CITE.DATA </w:instrText>
          </w:r>
          <w:r>
            <w:fldChar w:fldCharType="end"/>
          </w:r>
          <w:r>
            <w:fldChar w:fldCharType="separate"/>
          </w:r>
          <w:r>
            <w:rPr>
              <w:noProof/>
            </w:rPr>
            <w:t>(Phillips, Titz et al. 2017)</w:t>
          </w:r>
          <w:r>
            <w:fldChar w:fldCharType="end"/>
          </w:r>
          <w:r>
            <w:t xml:space="preserve">. However, the doses of e-cigarettes given to rats in this study marginally exceeded the equivalent usual human dose </w:t>
          </w:r>
          <w:r>
            <w:fldChar w:fldCharType="begin">
              <w:fldData xml:space="preserve">PEVuZE5vdGU+PENpdGU+PEF1dGhvcj5QaGlsbGlwczwvQXV0aG9yPjxZZWFyPjIwMTc8L1llYXI+
PFJlY051bT45Mjg8L1JlY051bT48RGlzcGxheVRleHQ+KFBoaWxsaXBzLCBUaXR6IGV0IGFsLiAy
MDE3KTwvRGlzcGxheVRleHQ+PHJlY29yZD48cmVjLW51bWJlcj45Mjg8L3JlYy1udW1iZXI+PGZv
cmVpZ24ta2V5cz48a2V5IGFwcD0iRU4iIGRiLWlkPSI5ejA1ZHowcHJhYWRmdWVlMHpveHplZGs5
emZlNWZ4eDUwejUiIHRpbWVzdGFtcD0iMTUyMTUwNjk2MCI+OTI4PC9rZXk+PC9mb3JlaWduLWtl
eXM+PHJlZi10eXBlIG5hbWU9IkpvdXJuYWwgQXJ0aWNsZSI+MTc8L3JlZi10eXBlPjxjb250cmli
dXRvcnM+PGF1dGhvcnM+PGF1dGhvcj5QaGlsbGlwcywgQi48L2F1dGhvcj48YXV0aG9yPlRpdHos
IEIuPC9hdXRob3I+PGF1dGhvcj5Lb2dlbCwgVS48L2F1dGhvcj48YXV0aG9yPlNoYXJtYSwgRC48
L2F1dGhvcj48YXV0aG9yPkxlcm95LCBQLjwvYXV0aG9yPjxhdXRob3I+WGlhbmcsIFkuPC9hdXRo
b3I+PGF1dGhvcj5WdWlsbGF1bWUsIEcuPC9hdXRob3I+PGF1dGhvcj5MZWJydW4sIFMuPC9hdXRo
b3I+PGF1dGhvcj5TY2l1c2NpbywgRC48L2F1dGhvcj48YXV0aG9yPkhvLCBKLjwvYXV0aG9yPjxh
dXRob3I+TnVyeSwgQy48L2F1dGhvcj48YXV0aG9yPkd1ZWRqLCBFLjwvYXV0aG9yPjxhdXRob3I+
RWxhbWluLCBBLjwvYXV0aG9yPjxhdXRob3I+RXNwb3NpdG8sIE0uPC9hdXRob3I+PGF1dGhvcj5L
cmlzaG5hbiwgUy48L2F1dGhvcj48YXV0aG9yPlNjaGxhZ2UsIFcuIEsuPC9hdXRob3I+PGF1dGhv
cj5WZWxqa292aWMsIEUuPC9hdXRob3I+PGF1dGhvcj5JdmFub3YsIE4uIFYuPC9hdXRob3I+PGF1
dGhvcj5NYXJ0aW4sIEYuPC9hdXRob3I+PGF1dGhvcj5QZWl0c2NoLCBNLiBDLjwvYXV0aG9yPjxh
dXRob3I+SG9lbmcsIEouPC9hdXRob3I+PGF1dGhvcj5WYW5zY2hlZXV3aWpjaywgUC48L2F1dGhv
cj48L2F1dGhvcnM+PC9jb250cmlidXRvcnM+PGF1dGgtYWRkcmVzcz5QaGlsaXAgTW9ycmlzIElu
dGVybmF0aW9uYWwgUmVzZWFyY2ggTGFib3JhdG9yaWVzIFB0ZS4gTHRkLiAocGFydCBvZiBQaGls
aXAgTW9ycmlzIEludGVybmF0aW9uYWwgR3JvdXAgb2YgQ29tcGFuaWVzKSwgNTAgU2NpZW5jZSBQ
YXJrIFJvYWQsIFNpbmdhcG9yZSAxMTc0MDYsIFNpbmdhcG9yZS4mI3hEO1BoaWxpcCBNb3JyaXMg
SW50ZXJuYXRpb25hbCBSZXNlYXJjaCBhbmQgRGV2ZWxvcG1lbnQgKHBhcnQgb2YgUGhpbGlwIE1v
cnJpcyBJbnRlcm5hdGlvbmFsIEdyb3VwIG9mIENvbXBhbmllcyksIFBoaWxpcCBNb3JyaXMgUHJv
ZHVjdHMgUy5BLiwgUXVhaSBKZWFucmVuYXVkIDUsIDIwMDAgTmV1Y2hhdGVsLCBTd2l0emVybGFu
ZC4mI3hEO0Jpb2xvZ3kgQ29uc3VsdGFudCwgTWF4LUJhZXJtYW5uLVN0ci4gMjEsIDUxNDI5IEJl
cmdpc2NoIEdsYWRiYWNoLCBHZXJtYW55LiYjeEQ7UGhpbGlwIE1vcnJpcyBJbnRlcm5hdGlvbmFs
IFJlc2VhcmNoIGFuZCBEZXZlbG9wbWVudCAocGFydCBvZiBQaGlsaXAgTW9ycmlzIEludGVybmF0
aW9uYWwgR3JvdXAgb2YgQ29tcGFuaWVzKSwgUGhpbGlwIE1vcnJpcyBQcm9kdWN0cyBTLkEuLCBR
dWFpIEplYW5yZW5hdWQgNSwgMjAwMCBOZXVjaGF0ZWwsIFN3aXR6ZXJsYW5kLiBFbGVjdHJvbmlj
IGFkZHJlc3M6IFBhdHJpY2sudmFuc2NoZWV1d2lqY2tAcG1pLmNvbS48L2F1dGgtYWRkcmVzcz48
dGl0bGVzPjx0aXRsZT5Ub3hpY2l0eSBvZiB0aGUgbWFpbiBlbGVjdHJvbmljIGNpZ2FyZXR0ZSBj
b21wb25lbnRzLCBwcm9weWxlbmUgZ2x5Y29sLCBnbHljZXJpbiwgYW5kIG5pY290aW5lLCBpbiBT
cHJhZ3VlLURhd2xleSByYXRzIGluIGEgOTAtZGF5IE9FQ0QgaW5oYWxhdGlvbiBzdHVkeSBjb21w
bGVtZW50ZWQgYnkgbW9sZWN1bGFyIGVuZHBvaW50czwvdGl0bGU+PHNlY29uZGFyeS10aXRsZT5G
b29kIENoZW0gVG94aWNvbDwvc2Vjb25kYXJ5LXRpdGxlPjxhbHQtdGl0bGU+Rm9vZCBhbmQgY2hl
bWljYWwgdG94aWNvbG9neSA6IGFuIGludGVybmF0aW9uYWwgam91cm5hbCBwdWJsaXNoZWQgZm9y
IHRoZSBCcml0aXNoIEluZHVzdHJpYWwgQmlvbG9naWNhbCBSZXNlYXJjaCBBc3NvY2lhdGlvbjwv
YWx0LXRpdGxlPjwvdGl0bGVzPjxwZXJpb2RpY2FsPjxmdWxsLXRpdGxlPkZvb2QgQ2hlbSBUb3hp
Y29sPC9mdWxsLXRpdGxlPjxhYmJyLTE+Rm9vZCBhbmQgY2hlbWljYWwgdG94aWNvbG9neSA6IGFu
IGludGVybmF0aW9uYWwgam91cm5hbCBwdWJsaXNoZWQgZm9yIHRoZSBCcml0aXNoIEluZHVzdHJp
YWwgQmlvbG9naWNhbCBSZXNlYXJjaCBBc3NvY2lhdGlvbjwvYWJici0xPjwvcGVyaW9kaWNhbD48
YWx0LXBlcmlvZGljYWw+PGZ1bGwtdGl0bGU+Rm9vZCBDaGVtIFRveGljb2w8L2Z1bGwtdGl0bGU+
PGFiYnItMT5Gb29kIGFuZCBjaGVtaWNhbCB0b3hpY29sb2d5IDogYW4gaW50ZXJuYXRpb25hbCBq
b3VybmFsIHB1Ymxpc2hlZCBmb3IgdGhlIEJyaXRpc2ggSW5kdXN0cmlhbCBCaW9sb2dpY2FsIFJl
c2VhcmNoIEFzc29jaWF0aW9uPC9hYmJyLTE+PC9hbHQtcGVyaW9kaWNhbD48cGFnZXM+MzE1LTMz
MjwvcGFnZXM+PHZvbHVtZT4xMDk8L3ZvbHVtZT48bnVtYmVyPlB0IDE8L251bWJlcj48ZWRpdGlv
bj4yMDE3LzA5LzA5PC9lZGl0aW9uPjxrZXl3b3Jkcz48a2V5d29yZD5FbGVjdHJvbmljIGNpZ2Fy
ZXR0ZTwva2V5d29yZD48a2V5d29yZD5HbHljZXJpbjwva2V5d29yZD48a2V5d29yZD5JbmhhbGF0
aW9uIHRveGljaXR5PC9rZXl3b3JkPjxrZXl3b3JkPk5pY290aW5lPC9rZXl3b3JkPjxrZXl3b3Jk
Pk9yZ2FuaXphdGlvbiBmb3IgRWNvbm9taWMgQ29vcGVyYXRpb24gYW5kIERldmVsb3BtZW50IChP
RUNEKSA0MTMgZ3VpZGVsaW5lPC9rZXl3b3JkPjxrZXl3b3JkPlByb3B5bGVuZSBnbHljb2w8L2tl
eXdvcmQ+PGtleXdvcmQ+U3lzdGVtcyB0b3hpY29sb2d5PC9rZXl3b3JkPjwva2V5d29yZHM+PGRh
dGVzPjx5ZWFyPjIwMTc8L3llYXI+PHB1Yi1kYXRlcz48ZGF0ZT5Ob3Y8L2RhdGU+PC9wdWItZGF0
ZXM+PC9kYXRlcz48aXNibj4wMjc4LTY5MTU8L2lzYm4+PGFjY2Vzc2lvbi1udW0+Mjg4ODI2NDA8
L2FjY2Vzc2lvbi1udW0+PHVybHM+PHJlbGF0ZWQtdXJscz48dXJsPmh0dHBzOi8vd3d3LnNjaWVu
Y2VkaXJlY3QuY29tL3NjaWVuY2UvYXJ0aWNsZS9waWkvUzAyNzg2OTE1MTczMDUxMTI/dmlhJTNE
aWh1YjwvdXJsPjwvcmVsYXRlZC11cmxzPjwvdXJscz48ZWxlY3Ryb25pYy1yZXNvdXJjZS1udW0+
MTAuMTAxNi9qLmZjdC4yMDE3LjA5LjAwMTwvZWxlY3Ryb25pYy1yZXNvdXJjZS1udW0+PHJlbW90
ZS1kYXRhYmFzZS1wcm92aWRlcj5OTE08L3JlbW90ZS1kYXRhYmFzZS1wcm92aWRlcj48bGFuZ3Vh
Z2U+ZW5nPC9sYW5ndWFnZT48L3JlY29yZD48L0NpdGU+PC9FbmROb3RlPn==
</w:fldData>
            </w:fldChar>
          </w:r>
          <w:r>
            <w:instrText xml:space="preserve"> ADDIN EN.CITE </w:instrText>
          </w:r>
          <w:r>
            <w:fldChar w:fldCharType="begin">
              <w:fldData xml:space="preserve">PEVuZE5vdGU+PENpdGU+PEF1dGhvcj5QaGlsbGlwczwvQXV0aG9yPjxZZWFyPjIwMTc8L1llYXI+
PFJlY051bT45Mjg8L1JlY051bT48RGlzcGxheVRleHQ+KFBoaWxsaXBzLCBUaXR6IGV0IGFsLiAy
MDE3KTwvRGlzcGxheVRleHQ+PHJlY29yZD48cmVjLW51bWJlcj45Mjg8L3JlYy1udW1iZXI+PGZv
cmVpZ24ta2V5cz48a2V5IGFwcD0iRU4iIGRiLWlkPSI5ejA1ZHowcHJhYWRmdWVlMHpveHplZGs5
emZlNWZ4eDUwejUiIHRpbWVzdGFtcD0iMTUyMTUwNjk2MCI+OTI4PC9rZXk+PC9mb3JlaWduLWtl
eXM+PHJlZi10eXBlIG5hbWU9IkpvdXJuYWwgQXJ0aWNsZSI+MTc8L3JlZi10eXBlPjxjb250cmli
dXRvcnM+PGF1dGhvcnM+PGF1dGhvcj5QaGlsbGlwcywgQi48L2F1dGhvcj48YXV0aG9yPlRpdHos
IEIuPC9hdXRob3I+PGF1dGhvcj5Lb2dlbCwgVS48L2F1dGhvcj48YXV0aG9yPlNoYXJtYSwgRC48
L2F1dGhvcj48YXV0aG9yPkxlcm95LCBQLjwvYXV0aG9yPjxhdXRob3I+WGlhbmcsIFkuPC9hdXRo
b3I+PGF1dGhvcj5WdWlsbGF1bWUsIEcuPC9hdXRob3I+PGF1dGhvcj5MZWJydW4sIFMuPC9hdXRo
b3I+PGF1dGhvcj5TY2l1c2NpbywgRC48L2F1dGhvcj48YXV0aG9yPkhvLCBKLjwvYXV0aG9yPjxh
dXRob3I+TnVyeSwgQy48L2F1dGhvcj48YXV0aG9yPkd1ZWRqLCBFLjwvYXV0aG9yPjxhdXRob3I+
RWxhbWluLCBBLjwvYXV0aG9yPjxhdXRob3I+RXNwb3NpdG8sIE0uPC9hdXRob3I+PGF1dGhvcj5L
cmlzaG5hbiwgUy48L2F1dGhvcj48YXV0aG9yPlNjaGxhZ2UsIFcuIEsuPC9hdXRob3I+PGF1dGhv
cj5WZWxqa292aWMsIEUuPC9hdXRob3I+PGF1dGhvcj5JdmFub3YsIE4uIFYuPC9hdXRob3I+PGF1
dGhvcj5NYXJ0aW4sIEYuPC9hdXRob3I+PGF1dGhvcj5QZWl0c2NoLCBNLiBDLjwvYXV0aG9yPjxh
dXRob3I+SG9lbmcsIEouPC9hdXRob3I+PGF1dGhvcj5WYW5zY2hlZXV3aWpjaywgUC48L2F1dGhv
cj48L2F1dGhvcnM+PC9jb250cmlidXRvcnM+PGF1dGgtYWRkcmVzcz5QaGlsaXAgTW9ycmlzIElu
dGVybmF0aW9uYWwgUmVzZWFyY2ggTGFib3JhdG9yaWVzIFB0ZS4gTHRkLiAocGFydCBvZiBQaGls
aXAgTW9ycmlzIEludGVybmF0aW9uYWwgR3JvdXAgb2YgQ29tcGFuaWVzKSwgNTAgU2NpZW5jZSBQ
YXJrIFJvYWQsIFNpbmdhcG9yZSAxMTc0MDYsIFNpbmdhcG9yZS4mI3hEO1BoaWxpcCBNb3JyaXMg
SW50ZXJuYXRpb25hbCBSZXNlYXJjaCBhbmQgRGV2ZWxvcG1lbnQgKHBhcnQgb2YgUGhpbGlwIE1v
cnJpcyBJbnRlcm5hdGlvbmFsIEdyb3VwIG9mIENvbXBhbmllcyksIFBoaWxpcCBNb3JyaXMgUHJv
ZHVjdHMgUy5BLiwgUXVhaSBKZWFucmVuYXVkIDUsIDIwMDAgTmV1Y2hhdGVsLCBTd2l0emVybGFu
ZC4mI3hEO0Jpb2xvZ3kgQ29uc3VsdGFudCwgTWF4LUJhZXJtYW5uLVN0ci4gMjEsIDUxNDI5IEJl
cmdpc2NoIEdsYWRiYWNoLCBHZXJtYW55LiYjeEQ7UGhpbGlwIE1vcnJpcyBJbnRlcm5hdGlvbmFs
IFJlc2VhcmNoIGFuZCBEZXZlbG9wbWVudCAocGFydCBvZiBQaGlsaXAgTW9ycmlzIEludGVybmF0
aW9uYWwgR3JvdXAgb2YgQ29tcGFuaWVzKSwgUGhpbGlwIE1vcnJpcyBQcm9kdWN0cyBTLkEuLCBR
dWFpIEplYW5yZW5hdWQgNSwgMjAwMCBOZXVjaGF0ZWwsIFN3aXR6ZXJsYW5kLiBFbGVjdHJvbmlj
IGFkZHJlc3M6IFBhdHJpY2sudmFuc2NoZWV1d2lqY2tAcG1pLmNvbS48L2F1dGgtYWRkcmVzcz48
dGl0bGVzPjx0aXRsZT5Ub3hpY2l0eSBvZiB0aGUgbWFpbiBlbGVjdHJvbmljIGNpZ2FyZXR0ZSBj
b21wb25lbnRzLCBwcm9weWxlbmUgZ2x5Y29sLCBnbHljZXJpbiwgYW5kIG5pY290aW5lLCBpbiBT
cHJhZ3VlLURhd2xleSByYXRzIGluIGEgOTAtZGF5IE9FQ0QgaW5oYWxhdGlvbiBzdHVkeSBjb21w
bGVtZW50ZWQgYnkgbW9sZWN1bGFyIGVuZHBvaW50czwvdGl0bGU+PHNlY29uZGFyeS10aXRsZT5G
b29kIENoZW0gVG94aWNvbDwvc2Vjb25kYXJ5LXRpdGxlPjxhbHQtdGl0bGU+Rm9vZCBhbmQgY2hl
bWljYWwgdG94aWNvbG9neSA6IGFuIGludGVybmF0aW9uYWwgam91cm5hbCBwdWJsaXNoZWQgZm9y
IHRoZSBCcml0aXNoIEluZHVzdHJpYWwgQmlvbG9naWNhbCBSZXNlYXJjaCBBc3NvY2lhdGlvbjwv
YWx0LXRpdGxlPjwvdGl0bGVzPjxwZXJpb2RpY2FsPjxmdWxsLXRpdGxlPkZvb2QgQ2hlbSBUb3hp
Y29sPC9mdWxsLXRpdGxlPjxhYmJyLTE+Rm9vZCBhbmQgY2hlbWljYWwgdG94aWNvbG9neSA6IGFu
IGludGVybmF0aW9uYWwgam91cm5hbCBwdWJsaXNoZWQgZm9yIHRoZSBCcml0aXNoIEluZHVzdHJp
YWwgQmlvbG9naWNhbCBSZXNlYXJjaCBBc3NvY2lhdGlvbjwvYWJici0xPjwvcGVyaW9kaWNhbD48
YWx0LXBlcmlvZGljYWw+PGZ1bGwtdGl0bGU+Rm9vZCBDaGVtIFRveGljb2w8L2Z1bGwtdGl0bGU+
PGFiYnItMT5Gb29kIGFuZCBjaGVtaWNhbCB0b3hpY29sb2d5IDogYW4gaW50ZXJuYXRpb25hbCBq
b3VybmFsIHB1Ymxpc2hlZCBmb3IgdGhlIEJyaXRpc2ggSW5kdXN0cmlhbCBCaW9sb2dpY2FsIFJl
c2VhcmNoIEFzc29jaWF0aW9uPC9hYmJyLTE+PC9hbHQtcGVyaW9kaWNhbD48cGFnZXM+MzE1LTMz
MjwvcGFnZXM+PHZvbHVtZT4xMDk8L3ZvbHVtZT48bnVtYmVyPlB0IDE8L251bWJlcj48ZWRpdGlv
bj4yMDE3LzA5LzA5PC9lZGl0aW9uPjxrZXl3b3Jkcz48a2V5d29yZD5FbGVjdHJvbmljIGNpZ2Fy
ZXR0ZTwva2V5d29yZD48a2V5d29yZD5HbHljZXJpbjwva2V5d29yZD48a2V5d29yZD5JbmhhbGF0
aW9uIHRveGljaXR5PC9rZXl3b3JkPjxrZXl3b3JkPk5pY290aW5lPC9rZXl3b3JkPjxrZXl3b3Jk
Pk9yZ2FuaXphdGlvbiBmb3IgRWNvbm9taWMgQ29vcGVyYXRpb24gYW5kIERldmVsb3BtZW50IChP
RUNEKSA0MTMgZ3VpZGVsaW5lPC9rZXl3b3JkPjxrZXl3b3JkPlByb3B5bGVuZSBnbHljb2w8L2tl
eXdvcmQ+PGtleXdvcmQ+U3lzdGVtcyB0b3hpY29sb2d5PC9rZXl3b3JkPjwva2V5d29yZHM+PGRh
dGVzPjx5ZWFyPjIwMTc8L3llYXI+PHB1Yi1kYXRlcz48ZGF0ZT5Ob3Y8L2RhdGU+PC9wdWItZGF0
ZXM+PC9kYXRlcz48aXNibj4wMjc4LTY5MTU8L2lzYm4+PGFjY2Vzc2lvbi1udW0+Mjg4ODI2NDA8
L2FjY2Vzc2lvbi1udW0+PHVybHM+PHJlbGF0ZWQtdXJscz48dXJsPmh0dHBzOi8vd3d3LnNjaWVu
Y2VkaXJlY3QuY29tL3NjaWVuY2UvYXJ0aWNsZS9waWkvUzAyNzg2OTE1MTczMDUxMTI/dmlhJTNE
aWh1YjwvdXJsPjwvcmVsYXRlZC11cmxzPjwvdXJscz48ZWxlY3Ryb25pYy1yZXNvdXJjZS1udW0+
MTAuMTAxNi9qLmZjdC4yMDE3LjA5LjAwMTwvZWxlY3Ryb25pYy1yZXNvdXJjZS1udW0+PHJlbW90
ZS1kYXRhYmFzZS1wcm92aWRlcj5OTE08L3JlbW90ZS1kYXRhYmFzZS1wcm92aWRlcj48bGFuZ3Vh
Z2U+ZW5nPC9sYW5ndWFnZT48L3JlY29yZD48L0NpdGU+PC9FbmROb3RlPn==
</w:fldData>
            </w:fldChar>
          </w:r>
          <w:r>
            <w:instrText xml:space="preserve"> ADDIN EN.CITE.DATA </w:instrText>
          </w:r>
          <w:r>
            <w:fldChar w:fldCharType="end"/>
          </w:r>
          <w:r>
            <w:fldChar w:fldCharType="separate"/>
          </w:r>
          <w:r>
            <w:rPr>
              <w:noProof/>
            </w:rPr>
            <w:t>(Phillips, Titz et al. 2017)</w:t>
          </w:r>
          <w:r>
            <w:fldChar w:fldCharType="end"/>
          </w:r>
          <w:r>
            <w:t>.</w:t>
          </w:r>
        </w:p>
        <w:p w14:paraId="49B22002" w14:textId="77777777" w:rsidR="00F10DA9" w:rsidRDefault="00F10DA9" w:rsidP="00F10DA9">
          <w:pPr>
            <w:pStyle w:val="BodyText"/>
          </w:pPr>
        </w:p>
        <w:p w14:paraId="5182D241" w14:textId="77777777" w:rsidR="00F10DA9" w:rsidRDefault="00F10DA9" w:rsidP="00F10DA9">
          <w:pPr>
            <w:pStyle w:val="Heading3"/>
          </w:pPr>
          <w:r>
            <w:t>Reproductive system</w:t>
          </w:r>
        </w:p>
        <w:p w14:paraId="22C8E62D" w14:textId="169B7466" w:rsidR="00F10DA9" w:rsidRDefault="00F10DA9" w:rsidP="00F10DA9">
          <w:pPr>
            <w:pStyle w:val="BodyText"/>
          </w:pPr>
          <w:r>
            <w:t xml:space="preserve">One study in male rats investigated the impact of e-liquids on the epididymis </w:t>
          </w:r>
          <w:r>
            <w:fldChar w:fldCharType="begin"/>
          </w:r>
          <w:r>
            <w:instrText xml:space="preserve"> ADDIN EN.CITE &lt;EndNote&gt;&lt;Cite&gt;&lt;Author&gt;Rahali&lt;/Author&gt;&lt;Year&gt;2018&lt;/Year&gt;&lt;RecNum&gt;10797&lt;/RecNum&gt;&lt;DisplayText&gt;(Rahali, Jrad-Lamine et al. 2018)&lt;/DisplayText&gt;&lt;record&gt;&lt;rec-number&gt;10797&lt;/rec-number&gt;&lt;foreign-keys&gt;&lt;key app="EN" db-id="9z05dz0praadfuee0zoxzedk9zfe5fxx50z5" timestamp="1526869880"&gt;10797&lt;/key&gt;&lt;key app="ENWeb" db-id=""&gt;0&lt;/key&gt;&lt;/foreign-keys&gt;&lt;ref-type name="Journal Article"&gt;17&lt;/ref-type&gt;&lt;contributors&gt;&lt;authors&gt;&lt;author&gt;Rahali, Dalila&lt;/author&gt;&lt;author&gt;Jrad-Lamine, Aicha&lt;/author&gt;&lt;author&gt;Dallagi, Yosra&lt;/author&gt;&lt;author&gt;Bdiri, Yassine&lt;/author&gt;&lt;author&gt;Ba, Nathalie&lt;/author&gt;&lt;author&gt;El May, Michele&lt;/author&gt;&lt;author&gt;El Fazaa, Saloua&lt;/author&gt;&lt;author&gt;El Golli, Narges&lt;/author&gt;&lt;/authors&gt;&lt;/contributors&gt;&lt;titles&gt;&lt;title&gt;Semen Parameter Alteration, Histological Changes and Role of Oxidative Stress in Adult Rat Epididymis on Exposure to Electronic Cigarette Refill Liquid&lt;/title&gt;&lt;secondary-title&gt;The Chinese journal of physiology&lt;/secondary-title&gt;&lt;/titles&gt;&lt;periodical&gt;&lt;full-title&gt;The Chinese journal of physiology&lt;/full-title&gt;&lt;/periodical&gt;&lt;pages&gt;75-84&lt;/pages&gt;&lt;volume&gt;61&lt;/volume&gt;&lt;number&gt;2&lt;/number&gt;&lt;dates&gt;&lt;year&gt;2018&lt;/year&gt;&lt;pub-dates&gt;&lt;date&gt;2018-04-30&lt;/date&gt;&lt;/pub-dates&gt;&lt;/dates&gt;&lt;isbn&gt;0304-4920&lt;/isbn&gt;&lt;accession-num&gt;MEDLINE:29526076&lt;/accession-num&gt;&lt;urls&gt;&lt;related-urls&gt;&lt;url&gt;&amp;lt;Go to ISI&amp;gt;://MEDLINE:29526076&lt;/url&gt;&lt;/related-urls&gt;&lt;/urls&gt;&lt;electronic-resource-num&gt;10.4077/cjp.2018.Bag521&lt;/electronic-resource-num&gt;&lt;/record&gt;&lt;/Cite&gt;&lt;/EndNote&gt;</w:instrText>
          </w:r>
          <w:r>
            <w:fldChar w:fldCharType="separate"/>
          </w:r>
          <w:r>
            <w:rPr>
              <w:noProof/>
            </w:rPr>
            <w:t>(Rahali, Jrad-Lamine et al. 2018)</w:t>
          </w:r>
          <w:r>
            <w:fldChar w:fldCharType="end"/>
          </w:r>
          <w:r>
            <w:t>. The researchers gave the rats injections of either sodium chloride (control), sodium chloride mixed with nicotine-containing e-liquid or sodium chloride mixed with nicotine-free e</w:t>
          </w:r>
          <w:r>
            <w:noBreakHyphen/>
            <w:t xml:space="preserve">liquid. The doses were lower than the equivalent human dose and doses were </w:t>
          </w:r>
          <w:r w:rsidR="006726B9">
            <w:t>one</w:t>
          </w:r>
          <w:r>
            <w:t xml:space="preserve"> injection per day, which does not represent the method of exposure in humans. Rats were injected daily for </w:t>
          </w:r>
          <w:r w:rsidRPr="004C2600">
            <w:rPr>
              <w:color w:val="auto"/>
            </w:rPr>
            <w:t>28</w:t>
          </w:r>
          <w:r w:rsidR="0023709D" w:rsidRPr="004C2600">
            <w:rPr>
              <w:color w:val="auto"/>
            </w:rPr>
            <w:t> </w:t>
          </w:r>
          <w:r w:rsidRPr="004C2600">
            <w:rPr>
              <w:color w:val="auto"/>
            </w:rPr>
            <w:t xml:space="preserve">days. </w:t>
          </w:r>
          <w:r>
            <w:t xml:space="preserve">After 100 days they were sacrificed and sperm count assessed. </w:t>
          </w:r>
          <w:r w:rsidRPr="00303B2E">
            <w:t xml:space="preserve">E-liquid exposure induced a significant decrease in the epididymal spermatozoa number. </w:t>
          </w:r>
          <w:r>
            <w:t>The s</w:t>
          </w:r>
          <w:r w:rsidRPr="00303B2E">
            <w:t xml:space="preserve">perm number was 32.3 ± 3.0 million/ml in the </w:t>
          </w:r>
          <w:r>
            <w:t>nicotine-free e-liquid</w:t>
          </w:r>
          <w:r w:rsidRPr="00303B2E">
            <w:t xml:space="preserve"> rats and 38.4 ± 0.9 million/ml in the</w:t>
          </w:r>
          <w:r>
            <w:t xml:space="preserve"> nicotine-containing</w:t>
          </w:r>
          <w:r w:rsidRPr="00303B2E">
            <w:t xml:space="preserve"> </w:t>
          </w:r>
          <w:r>
            <w:t>e</w:t>
          </w:r>
          <w:r>
            <w:noBreakHyphen/>
          </w:r>
          <w:r w:rsidRPr="00303B2E">
            <w:t xml:space="preserve">liquid rats, </w:t>
          </w:r>
          <w:r>
            <w:t xml:space="preserve">while </w:t>
          </w:r>
          <w:r w:rsidRPr="00303B2E">
            <w:t>the sperm count reached 42.5 ± 2 million/ml in the control rats. Results showed a significant decr</w:t>
          </w:r>
          <w:r>
            <w:t>ease in the percentage of viable cells after</w:t>
          </w:r>
          <w:r w:rsidRPr="00303B2E">
            <w:t xml:space="preserve"> </w:t>
          </w:r>
          <w:r w:rsidRPr="002E339E">
            <w:t>nicotine-free e-liquid and nicotine</w:t>
          </w:r>
          <w:r>
            <w:noBreakHyphen/>
          </w:r>
          <w:r w:rsidRPr="002E339E">
            <w:t xml:space="preserve">containing e-liquid </w:t>
          </w:r>
          <w:r>
            <w:t>exposure</w:t>
          </w:r>
          <w:r w:rsidRPr="00303B2E">
            <w:t xml:space="preserve"> in comparison to the control group</w:t>
          </w:r>
          <w:r>
            <w:t>. Thus, e-cigarettes may also negatively affect reproductive health.</w:t>
          </w:r>
        </w:p>
        <w:p w14:paraId="103308AB" w14:textId="77777777" w:rsidR="00EA2246" w:rsidRDefault="00EA2246" w:rsidP="00EA2246">
          <w:pPr>
            <w:pStyle w:val="BodyText"/>
          </w:pPr>
        </w:p>
        <w:p w14:paraId="10E04411" w14:textId="77777777" w:rsidR="00F10DA9" w:rsidRPr="00D851E2" w:rsidRDefault="00F10DA9" w:rsidP="00F10DA9">
          <w:pPr>
            <w:pStyle w:val="Heading2"/>
          </w:pPr>
          <w:bookmarkStart w:id="63" w:name="_Toc516428094"/>
          <w:bookmarkStart w:id="64" w:name="_Toc517706655"/>
          <w:r>
            <w:t>Serum lipids and glucose concentrations</w:t>
          </w:r>
          <w:bookmarkEnd w:id="63"/>
          <w:bookmarkEnd w:id="64"/>
        </w:p>
        <w:p w14:paraId="069FFFA5" w14:textId="77777777" w:rsidR="00F10DA9" w:rsidRDefault="00F10DA9" w:rsidP="00F10DA9">
          <w:pPr>
            <w:pStyle w:val="BodyText"/>
          </w:pPr>
          <w:r>
            <w:t xml:space="preserve">Rats exposed to nicotine-containing e-cigarettes, at doses marginally exceeding the equivalent human dose, had lower total blood protein concentrations (females only), total blood cholesterol and blood glucose concentrations compared to rats which were not exposed to nicotine </w:t>
          </w:r>
          <w:r>
            <w:fldChar w:fldCharType="begin">
              <w:fldData xml:space="preserve">PEVuZE5vdGU+PENpdGU+PEF1dGhvcj5QaGlsbGlwczwvQXV0aG9yPjxZZWFyPjIwMTc8L1llYXI+
PFJlY051bT45Mjg8L1JlY051bT48RGlzcGxheVRleHQ+KFBoaWxsaXBzLCBUaXR6IGV0IGFsLiAy
MDE3KTwvRGlzcGxheVRleHQ+PHJlY29yZD48cmVjLW51bWJlcj45Mjg8L3JlYy1udW1iZXI+PGZv
cmVpZ24ta2V5cz48a2V5IGFwcD0iRU4iIGRiLWlkPSI5ejA1ZHowcHJhYWRmdWVlMHpveHplZGs5
emZlNWZ4eDUwejUiIHRpbWVzdGFtcD0iMTUyMTUwNjk2MCI+OTI4PC9rZXk+PC9mb3JlaWduLWtl
eXM+PHJlZi10eXBlIG5hbWU9IkpvdXJuYWwgQXJ0aWNsZSI+MTc8L3JlZi10eXBlPjxjb250cmli
dXRvcnM+PGF1dGhvcnM+PGF1dGhvcj5QaGlsbGlwcywgQi48L2F1dGhvcj48YXV0aG9yPlRpdHos
IEIuPC9hdXRob3I+PGF1dGhvcj5Lb2dlbCwgVS48L2F1dGhvcj48YXV0aG9yPlNoYXJtYSwgRC48
L2F1dGhvcj48YXV0aG9yPkxlcm95LCBQLjwvYXV0aG9yPjxhdXRob3I+WGlhbmcsIFkuPC9hdXRo
b3I+PGF1dGhvcj5WdWlsbGF1bWUsIEcuPC9hdXRob3I+PGF1dGhvcj5MZWJydW4sIFMuPC9hdXRo
b3I+PGF1dGhvcj5TY2l1c2NpbywgRC48L2F1dGhvcj48YXV0aG9yPkhvLCBKLjwvYXV0aG9yPjxh
dXRob3I+TnVyeSwgQy48L2F1dGhvcj48YXV0aG9yPkd1ZWRqLCBFLjwvYXV0aG9yPjxhdXRob3I+
RWxhbWluLCBBLjwvYXV0aG9yPjxhdXRob3I+RXNwb3NpdG8sIE0uPC9hdXRob3I+PGF1dGhvcj5L
cmlzaG5hbiwgUy48L2F1dGhvcj48YXV0aG9yPlNjaGxhZ2UsIFcuIEsuPC9hdXRob3I+PGF1dGhv
cj5WZWxqa292aWMsIEUuPC9hdXRob3I+PGF1dGhvcj5JdmFub3YsIE4uIFYuPC9hdXRob3I+PGF1
dGhvcj5NYXJ0aW4sIEYuPC9hdXRob3I+PGF1dGhvcj5QZWl0c2NoLCBNLiBDLjwvYXV0aG9yPjxh
dXRob3I+SG9lbmcsIEouPC9hdXRob3I+PGF1dGhvcj5WYW5zY2hlZXV3aWpjaywgUC48L2F1dGhv
cj48L2F1dGhvcnM+PC9jb250cmlidXRvcnM+PGF1dGgtYWRkcmVzcz5QaGlsaXAgTW9ycmlzIElu
dGVybmF0aW9uYWwgUmVzZWFyY2ggTGFib3JhdG9yaWVzIFB0ZS4gTHRkLiAocGFydCBvZiBQaGls
aXAgTW9ycmlzIEludGVybmF0aW9uYWwgR3JvdXAgb2YgQ29tcGFuaWVzKSwgNTAgU2NpZW5jZSBQ
YXJrIFJvYWQsIFNpbmdhcG9yZSAxMTc0MDYsIFNpbmdhcG9yZS4mI3hEO1BoaWxpcCBNb3JyaXMg
SW50ZXJuYXRpb25hbCBSZXNlYXJjaCBhbmQgRGV2ZWxvcG1lbnQgKHBhcnQgb2YgUGhpbGlwIE1v
cnJpcyBJbnRlcm5hdGlvbmFsIEdyb3VwIG9mIENvbXBhbmllcyksIFBoaWxpcCBNb3JyaXMgUHJv
ZHVjdHMgUy5BLiwgUXVhaSBKZWFucmVuYXVkIDUsIDIwMDAgTmV1Y2hhdGVsLCBTd2l0emVybGFu
ZC4mI3hEO0Jpb2xvZ3kgQ29uc3VsdGFudCwgTWF4LUJhZXJtYW5uLVN0ci4gMjEsIDUxNDI5IEJl
cmdpc2NoIEdsYWRiYWNoLCBHZXJtYW55LiYjeEQ7UGhpbGlwIE1vcnJpcyBJbnRlcm5hdGlvbmFs
IFJlc2VhcmNoIGFuZCBEZXZlbG9wbWVudCAocGFydCBvZiBQaGlsaXAgTW9ycmlzIEludGVybmF0
aW9uYWwgR3JvdXAgb2YgQ29tcGFuaWVzKSwgUGhpbGlwIE1vcnJpcyBQcm9kdWN0cyBTLkEuLCBR
dWFpIEplYW5yZW5hdWQgNSwgMjAwMCBOZXVjaGF0ZWwsIFN3aXR6ZXJsYW5kLiBFbGVjdHJvbmlj
IGFkZHJlc3M6IFBhdHJpY2sudmFuc2NoZWV1d2lqY2tAcG1pLmNvbS48L2F1dGgtYWRkcmVzcz48
dGl0bGVzPjx0aXRsZT5Ub3hpY2l0eSBvZiB0aGUgbWFpbiBlbGVjdHJvbmljIGNpZ2FyZXR0ZSBj
b21wb25lbnRzLCBwcm9weWxlbmUgZ2x5Y29sLCBnbHljZXJpbiwgYW5kIG5pY290aW5lLCBpbiBT
cHJhZ3VlLURhd2xleSByYXRzIGluIGEgOTAtZGF5IE9FQ0QgaW5oYWxhdGlvbiBzdHVkeSBjb21w
bGVtZW50ZWQgYnkgbW9sZWN1bGFyIGVuZHBvaW50czwvdGl0bGU+PHNlY29uZGFyeS10aXRsZT5G
b29kIENoZW0gVG94aWNvbDwvc2Vjb25kYXJ5LXRpdGxlPjxhbHQtdGl0bGU+Rm9vZCBhbmQgY2hl
bWljYWwgdG94aWNvbG9neSA6IGFuIGludGVybmF0aW9uYWwgam91cm5hbCBwdWJsaXNoZWQgZm9y
IHRoZSBCcml0aXNoIEluZHVzdHJpYWwgQmlvbG9naWNhbCBSZXNlYXJjaCBBc3NvY2lhdGlvbjwv
YWx0LXRpdGxlPjwvdGl0bGVzPjxwZXJpb2RpY2FsPjxmdWxsLXRpdGxlPkZvb2QgQ2hlbSBUb3hp
Y29sPC9mdWxsLXRpdGxlPjxhYmJyLTE+Rm9vZCBhbmQgY2hlbWljYWwgdG94aWNvbG9neSA6IGFu
IGludGVybmF0aW9uYWwgam91cm5hbCBwdWJsaXNoZWQgZm9yIHRoZSBCcml0aXNoIEluZHVzdHJp
YWwgQmlvbG9naWNhbCBSZXNlYXJjaCBBc3NvY2lhdGlvbjwvYWJici0xPjwvcGVyaW9kaWNhbD48
YWx0LXBlcmlvZGljYWw+PGZ1bGwtdGl0bGU+Rm9vZCBDaGVtIFRveGljb2w8L2Z1bGwtdGl0bGU+
PGFiYnItMT5Gb29kIGFuZCBjaGVtaWNhbCB0b3hpY29sb2d5IDogYW4gaW50ZXJuYXRpb25hbCBq
b3VybmFsIHB1Ymxpc2hlZCBmb3IgdGhlIEJyaXRpc2ggSW5kdXN0cmlhbCBCaW9sb2dpY2FsIFJl
c2VhcmNoIEFzc29jaWF0aW9uPC9hYmJyLTE+PC9hbHQtcGVyaW9kaWNhbD48cGFnZXM+MzE1LTMz
MjwvcGFnZXM+PHZvbHVtZT4xMDk8L3ZvbHVtZT48bnVtYmVyPlB0IDE8L251bWJlcj48ZWRpdGlv
bj4yMDE3LzA5LzA5PC9lZGl0aW9uPjxrZXl3b3Jkcz48a2V5d29yZD5FbGVjdHJvbmljIGNpZ2Fy
ZXR0ZTwva2V5d29yZD48a2V5d29yZD5HbHljZXJpbjwva2V5d29yZD48a2V5d29yZD5JbmhhbGF0
aW9uIHRveGljaXR5PC9rZXl3b3JkPjxrZXl3b3JkPk5pY290aW5lPC9rZXl3b3JkPjxrZXl3b3Jk
Pk9yZ2FuaXphdGlvbiBmb3IgRWNvbm9taWMgQ29vcGVyYXRpb24gYW5kIERldmVsb3BtZW50IChP
RUNEKSA0MTMgZ3VpZGVsaW5lPC9rZXl3b3JkPjxrZXl3b3JkPlByb3B5bGVuZSBnbHljb2w8L2tl
eXdvcmQ+PGtleXdvcmQ+U3lzdGVtcyB0b3hpY29sb2d5PC9rZXl3b3JkPjwva2V5d29yZHM+PGRh
dGVzPjx5ZWFyPjIwMTc8L3llYXI+PHB1Yi1kYXRlcz48ZGF0ZT5Ob3Y8L2RhdGU+PC9wdWItZGF0
ZXM+PC9kYXRlcz48aXNibj4wMjc4LTY5MTU8L2lzYm4+PGFjY2Vzc2lvbi1udW0+Mjg4ODI2NDA8
L2FjY2Vzc2lvbi1udW0+PHVybHM+PHJlbGF0ZWQtdXJscz48dXJsPmh0dHBzOi8vd3d3LnNjaWVu
Y2VkaXJlY3QuY29tL3NjaWVuY2UvYXJ0aWNsZS9waWkvUzAyNzg2OTE1MTczMDUxMTI/dmlhJTNE
aWh1YjwvdXJsPjwvcmVsYXRlZC11cmxzPjwvdXJscz48ZWxlY3Ryb25pYy1yZXNvdXJjZS1udW0+
MTAuMTAxNi9qLmZjdC4yMDE3LjA5LjAwMTwvZWxlY3Ryb25pYy1yZXNvdXJjZS1udW0+PHJlbW90
ZS1kYXRhYmFzZS1wcm92aWRlcj5OTE08L3JlbW90ZS1kYXRhYmFzZS1wcm92aWRlcj48bGFuZ3Vh
Z2U+ZW5nPC9sYW5ndWFnZT48L3JlY29yZD48L0NpdGU+PC9FbmROb3RlPn==
</w:fldData>
            </w:fldChar>
          </w:r>
          <w:r>
            <w:instrText xml:space="preserve"> ADDIN EN.CITE </w:instrText>
          </w:r>
          <w:r>
            <w:fldChar w:fldCharType="begin">
              <w:fldData xml:space="preserve">PEVuZE5vdGU+PENpdGU+PEF1dGhvcj5QaGlsbGlwczwvQXV0aG9yPjxZZWFyPjIwMTc8L1llYXI+
PFJlY051bT45Mjg8L1JlY051bT48RGlzcGxheVRleHQ+KFBoaWxsaXBzLCBUaXR6IGV0IGFsLiAy
MDE3KTwvRGlzcGxheVRleHQ+PHJlY29yZD48cmVjLW51bWJlcj45Mjg8L3JlYy1udW1iZXI+PGZv
cmVpZ24ta2V5cz48a2V5IGFwcD0iRU4iIGRiLWlkPSI5ejA1ZHowcHJhYWRmdWVlMHpveHplZGs5
emZlNWZ4eDUwejUiIHRpbWVzdGFtcD0iMTUyMTUwNjk2MCI+OTI4PC9rZXk+PC9mb3JlaWduLWtl
eXM+PHJlZi10eXBlIG5hbWU9IkpvdXJuYWwgQXJ0aWNsZSI+MTc8L3JlZi10eXBlPjxjb250cmli
dXRvcnM+PGF1dGhvcnM+PGF1dGhvcj5QaGlsbGlwcywgQi48L2F1dGhvcj48YXV0aG9yPlRpdHos
IEIuPC9hdXRob3I+PGF1dGhvcj5Lb2dlbCwgVS48L2F1dGhvcj48YXV0aG9yPlNoYXJtYSwgRC48
L2F1dGhvcj48YXV0aG9yPkxlcm95LCBQLjwvYXV0aG9yPjxhdXRob3I+WGlhbmcsIFkuPC9hdXRo
b3I+PGF1dGhvcj5WdWlsbGF1bWUsIEcuPC9hdXRob3I+PGF1dGhvcj5MZWJydW4sIFMuPC9hdXRo
b3I+PGF1dGhvcj5TY2l1c2NpbywgRC48L2F1dGhvcj48YXV0aG9yPkhvLCBKLjwvYXV0aG9yPjxh
dXRob3I+TnVyeSwgQy48L2F1dGhvcj48YXV0aG9yPkd1ZWRqLCBFLjwvYXV0aG9yPjxhdXRob3I+
RWxhbWluLCBBLjwvYXV0aG9yPjxhdXRob3I+RXNwb3NpdG8sIE0uPC9hdXRob3I+PGF1dGhvcj5L
cmlzaG5hbiwgUy48L2F1dGhvcj48YXV0aG9yPlNjaGxhZ2UsIFcuIEsuPC9hdXRob3I+PGF1dGhv
cj5WZWxqa292aWMsIEUuPC9hdXRob3I+PGF1dGhvcj5JdmFub3YsIE4uIFYuPC9hdXRob3I+PGF1
dGhvcj5NYXJ0aW4sIEYuPC9hdXRob3I+PGF1dGhvcj5QZWl0c2NoLCBNLiBDLjwvYXV0aG9yPjxh
dXRob3I+SG9lbmcsIEouPC9hdXRob3I+PGF1dGhvcj5WYW5zY2hlZXV3aWpjaywgUC48L2F1dGhv
cj48L2F1dGhvcnM+PC9jb250cmlidXRvcnM+PGF1dGgtYWRkcmVzcz5QaGlsaXAgTW9ycmlzIElu
dGVybmF0aW9uYWwgUmVzZWFyY2ggTGFib3JhdG9yaWVzIFB0ZS4gTHRkLiAocGFydCBvZiBQaGls
aXAgTW9ycmlzIEludGVybmF0aW9uYWwgR3JvdXAgb2YgQ29tcGFuaWVzKSwgNTAgU2NpZW5jZSBQ
YXJrIFJvYWQsIFNpbmdhcG9yZSAxMTc0MDYsIFNpbmdhcG9yZS4mI3hEO1BoaWxpcCBNb3JyaXMg
SW50ZXJuYXRpb25hbCBSZXNlYXJjaCBhbmQgRGV2ZWxvcG1lbnQgKHBhcnQgb2YgUGhpbGlwIE1v
cnJpcyBJbnRlcm5hdGlvbmFsIEdyb3VwIG9mIENvbXBhbmllcyksIFBoaWxpcCBNb3JyaXMgUHJv
ZHVjdHMgUy5BLiwgUXVhaSBKZWFucmVuYXVkIDUsIDIwMDAgTmV1Y2hhdGVsLCBTd2l0emVybGFu
ZC4mI3hEO0Jpb2xvZ3kgQ29uc3VsdGFudCwgTWF4LUJhZXJtYW5uLVN0ci4gMjEsIDUxNDI5IEJl
cmdpc2NoIEdsYWRiYWNoLCBHZXJtYW55LiYjeEQ7UGhpbGlwIE1vcnJpcyBJbnRlcm5hdGlvbmFs
IFJlc2VhcmNoIGFuZCBEZXZlbG9wbWVudCAocGFydCBvZiBQaGlsaXAgTW9ycmlzIEludGVybmF0
aW9uYWwgR3JvdXAgb2YgQ29tcGFuaWVzKSwgUGhpbGlwIE1vcnJpcyBQcm9kdWN0cyBTLkEuLCBR
dWFpIEplYW5yZW5hdWQgNSwgMjAwMCBOZXVjaGF0ZWwsIFN3aXR6ZXJsYW5kLiBFbGVjdHJvbmlj
IGFkZHJlc3M6IFBhdHJpY2sudmFuc2NoZWV1d2lqY2tAcG1pLmNvbS48L2F1dGgtYWRkcmVzcz48
dGl0bGVzPjx0aXRsZT5Ub3hpY2l0eSBvZiB0aGUgbWFpbiBlbGVjdHJvbmljIGNpZ2FyZXR0ZSBj
b21wb25lbnRzLCBwcm9weWxlbmUgZ2x5Y29sLCBnbHljZXJpbiwgYW5kIG5pY290aW5lLCBpbiBT
cHJhZ3VlLURhd2xleSByYXRzIGluIGEgOTAtZGF5IE9FQ0QgaW5oYWxhdGlvbiBzdHVkeSBjb21w
bGVtZW50ZWQgYnkgbW9sZWN1bGFyIGVuZHBvaW50czwvdGl0bGU+PHNlY29uZGFyeS10aXRsZT5G
b29kIENoZW0gVG94aWNvbDwvc2Vjb25kYXJ5LXRpdGxlPjxhbHQtdGl0bGU+Rm9vZCBhbmQgY2hl
bWljYWwgdG94aWNvbG9neSA6IGFuIGludGVybmF0aW9uYWwgam91cm5hbCBwdWJsaXNoZWQgZm9y
IHRoZSBCcml0aXNoIEluZHVzdHJpYWwgQmlvbG9naWNhbCBSZXNlYXJjaCBBc3NvY2lhdGlvbjwv
YWx0LXRpdGxlPjwvdGl0bGVzPjxwZXJpb2RpY2FsPjxmdWxsLXRpdGxlPkZvb2QgQ2hlbSBUb3hp
Y29sPC9mdWxsLXRpdGxlPjxhYmJyLTE+Rm9vZCBhbmQgY2hlbWljYWwgdG94aWNvbG9neSA6IGFu
IGludGVybmF0aW9uYWwgam91cm5hbCBwdWJsaXNoZWQgZm9yIHRoZSBCcml0aXNoIEluZHVzdHJp
YWwgQmlvbG9naWNhbCBSZXNlYXJjaCBBc3NvY2lhdGlvbjwvYWJici0xPjwvcGVyaW9kaWNhbD48
YWx0LXBlcmlvZGljYWw+PGZ1bGwtdGl0bGU+Rm9vZCBDaGVtIFRveGljb2w8L2Z1bGwtdGl0bGU+
PGFiYnItMT5Gb29kIGFuZCBjaGVtaWNhbCB0b3hpY29sb2d5IDogYW4gaW50ZXJuYXRpb25hbCBq
b3VybmFsIHB1Ymxpc2hlZCBmb3IgdGhlIEJyaXRpc2ggSW5kdXN0cmlhbCBCaW9sb2dpY2FsIFJl
c2VhcmNoIEFzc29jaWF0aW9uPC9hYmJyLTE+PC9hbHQtcGVyaW9kaWNhbD48cGFnZXM+MzE1LTMz
MjwvcGFnZXM+PHZvbHVtZT4xMDk8L3ZvbHVtZT48bnVtYmVyPlB0IDE8L251bWJlcj48ZWRpdGlv
bj4yMDE3LzA5LzA5PC9lZGl0aW9uPjxrZXl3b3Jkcz48a2V5d29yZD5FbGVjdHJvbmljIGNpZ2Fy
ZXR0ZTwva2V5d29yZD48a2V5d29yZD5HbHljZXJpbjwva2V5d29yZD48a2V5d29yZD5JbmhhbGF0
aW9uIHRveGljaXR5PC9rZXl3b3JkPjxrZXl3b3JkPk5pY290aW5lPC9rZXl3b3JkPjxrZXl3b3Jk
Pk9yZ2FuaXphdGlvbiBmb3IgRWNvbm9taWMgQ29vcGVyYXRpb24gYW5kIERldmVsb3BtZW50IChP
RUNEKSA0MTMgZ3VpZGVsaW5lPC9rZXl3b3JkPjxrZXl3b3JkPlByb3B5bGVuZSBnbHljb2w8L2tl
eXdvcmQ+PGtleXdvcmQ+U3lzdGVtcyB0b3hpY29sb2d5PC9rZXl3b3JkPjwva2V5d29yZHM+PGRh
dGVzPjx5ZWFyPjIwMTc8L3llYXI+PHB1Yi1kYXRlcz48ZGF0ZT5Ob3Y8L2RhdGU+PC9wdWItZGF0
ZXM+PC9kYXRlcz48aXNibj4wMjc4LTY5MTU8L2lzYm4+PGFjY2Vzc2lvbi1udW0+Mjg4ODI2NDA8
L2FjY2Vzc2lvbi1udW0+PHVybHM+PHJlbGF0ZWQtdXJscz48dXJsPmh0dHBzOi8vd3d3LnNjaWVu
Y2VkaXJlY3QuY29tL3NjaWVuY2UvYXJ0aWNsZS9waWkvUzAyNzg2OTE1MTczMDUxMTI/dmlhJTNE
aWh1YjwvdXJsPjwvcmVsYXRlZC11cmxzPjwvdXJscz48ZWxlY3Ryb25pYy1yZXNvdXJjZS1udW0+
MTAuMTAxNi9qLmZjdC4yMDE3LjA5LjAwMTwvZWxlY3Ryb25pYy1yZXNvdXJjZS1udW0+PHJlbW90
ZS1kYXRhYmFzZS1wcm92aWRlcj5OTE08L3JlbW90ZS1kYXRhYmFzZS1wcm92aWRlcj48bGFuZ3Vh
Z2U+ZW5nPC9sYW5ndWFnZT48L3JlY29yZD48L0NpdGU+PC9FbmROb3RlPn==
</w:fldData>
            </w:fldChar>
          </w:r>
          <w:r>
            <w:instrText xml:space="preserve"> ADDIN EN.CITE.DATA </w:instrText>
          </w:r>
          <w:r>
            <w:fldChar w:fldCharType="end"/>
          </w:r>
          <w:r>
            <w:fldChar w:fldCharType="separate"/>
          </w:r>
          <w:r>
            <w:rPr>
              <w:noProof/>
            </w:rPr>
            <w:t>(Phillips, Titz et al. 2017)</w:t>
          </w:r>
          <w:r>
            <w:fldChar w:fldCharType="end"/>
          </w:r>
          <w:r>
            <w:t>.</w:t>
          </w:r>
          <w:r w:rsidRPr="00980D2B">
            <w:t xml:space="preserve"> </w:t>
          </w:r>
        </w:p>
        <w:p w14:paraId="431F0AA6" w14:textId="77777777" w:rsidR="00F10DA9" w:rsidRPr="00EA2246" w:rsidRDefault="00F10DA9" w:rsidP="00EA2246">
          <w:pPr>
            <w:pStyle w:val="BodyText"/>
          </w:pPr>
        </w:p>
        <w:p w14:paraId="18E85481" w14:textId="77777777" w:rsidR="000F0E2F" w:rsidRDefault="000F0E2F" w:rsidP="000F0E2F">
          <w:pPr>
            <w:pStyle w:val="Heading2"/>
          </w:pPr>
          <w:bookmarkStart w:id="65" w:name="_Toc513214369"/>
          <w:bookmarkStart w:id="66" w:name="_Toc517706656"/>
          <w:r>
            <w:t>Skin flap</w:t>
          </w:r>
          <w:bookmarkEnd w:id="65"/>
          <w:bookmarkEnd w:id="66"/>
        </w:p>
        <w:p w14:paraId="23FE964E" w14:textId="77777777" w:rsidR="00A74D41" w:rsidRDefault="00A74D41" w:rsidP="00A74D41">
          <w:pPr>
            <w:pStyle w:val="BodyText"/>
          </w:pPr>
          <w:r>
            <w:t xml:space="preserve">Rats exposed to e-cigarette vapour or regular cigarette smoke had higher necrosis in dorsal skin flaps than those exposed to room air </w:t>
          </w:r>
          <w:r>
            <w:fldChar w:fldCharType="begin"/>
          </w:r>
          <w:r>
            <w:instrText xml:space="preserve"> ADDIN EN.CITE &lt;EndNote&gt;&lt;Cite&gt;&lt;Author&gt;Rau&lt;/Author&gt;&lt;Year&gt;2017&lt;/Year&gt;&lt;RecNum&gt;1295&lt;/RecNum&gt;&lt;DisplayText&gt;(Rau, Reinikovaite et al. 2017)&lt;/DisplayText&gt;&lt;record&gt;&lt;rec-number&gt;1295&lt;/rec-number&gt;&lt;foreign-keys&gt;&lt;key app="EN" db-id="9z05dz0praadfuee0zoxzedk9zfe5fxx50z5" timestamp="1521507045"&gt;1295&lt;/key&gt;&lt;key app="ENWeb" db-id=""&gt;0&lt;/key&gt;&lt;/foreign-keys&gt;&lt;ref-type name="Journal Article"&gt;17&lt;/ref-type&gt;&lt;contributors&gt;&lt;authors&gt;&lt;author&gt;Rau, A. S.&lt;/author&gt;&lt;author&gt;Reinikovaite, V.&lt;/author&gt;&lt;author&gt;Schmidt, E. P.&lt;/author&gt;&lt;author&gt;Taraseviciene-Stewart, L.&lt;/author&gt;&lt;author&gt;Deleyiannis, F. W.&lt;/author&gt;&lt;/authors&gt;&lt;/contributors&gt;&lt;auth-address&gt;From the *Division of Plastic and Reconstructive Surgery, and daggerDivision of Pulmonary and Critical Care Medicine, University of Colorado, Aurora, CO.&lt;/auth-address&gt;&lt;titles&gt;&lt;title&gt;Electronic Cigarettes Are as Toxic to Skin Flap Survival as Tobacco Cigarettes&lt;/title&gt;&lt;secondary-title&gt;Ann Plast Surg&lt;/secondary-title&gt;&lt;alt-title&gt;Annals of plastic surgery&lt;/alt-title&gt;&lt;/titles&gt;&lt;periodical&gt;&lt;full-title&gt;Ann Plast Surg&lt;/full-title&gt;&lt;abbr-1&gt;Annals of plastic surgery&lt;/abbr-1&gt;&lt;/periodical&gt;&lt;alt-periodical&gt;&lt;full-title&gt;Ann Plast Surg&lt;/full-title&gt;&lt;abbr-1&gt;Annals of plastic surgery&lt;/abbr-1&gt;&lt;/alt-periodical&gt;&lt;pages&gt;86-91&lt;/pages&gt;&lt;volume&gt;79&lt;/volume&gt;&lt;number&gt;1&lt;/number&gt;&lt;edition&gt;2017/03/03&lt;/edition&gt;&lt;dates&gt;&lt;year&gt;2017&lt;/year&gt;&lt;pub-dates&gt;&lt;date&gt;Jul&lt;/date&gt;&lt;/pub-dates&gt;&lt;/dates&gt;&lt;isbn&gt;0148-7043&lt;/isbn&gt;&lt;accession-num&gt;28252546&lt;/accession-num&gt;&lt;urls&gt;&lt;/urls&gt;&lt;electronic-resource-num&gt;10.1097/sap.0000000000000998&lt;/electronic-resource-num&gt;&lt;remote-database-provider&gt;NLM&lt;/remote-database-provider&gt;&lt;language&gt;eng&lt;/language&gt;&lt;/record&gt;&lt;/Cite&gt;&lt;/EndNote&gt;</w:instrText>
          </w:r>
          <w:r>
            <w:fldChar w:fldCharType="separate"/>
          </w:r>
          <w:r>
            <w:rPr>
              <w:noProof/>
            </w:rPr>
            <w:t>(Rau, Reinikovaite et al. 2017)</w:t>
          </w:r>
          <w:r>
            <w:fldChar w:fldCharType="end"/>
          </w:r>
          <w:r>
            <w:t>.</w:t>
          </w:r>
          <w:r w:rsidRPr="00B06B5D">
            <w:t xml:space="preserve"> </w:t>
          </w:r>
          <w:r>
            <w:t xml:space="preserve">There was no correlation between serum cotinine levels and skin flap necrosis </w:t>
          </w:r>
          <w:r>
            <w:fldChar w:fldCharType="begin"/>
          </w:r>
          <w:r>
            <w:instrText xml:space="preserve"> ADDIN EN.CITE &lt;EndNote&gt;&lt;Cite&gt;&lt;Author&gt;Rau&lt;/Author&gt;&lt;Year&gt;2017&lt;/Year&gt;&lt;RecNum&gt;1295&lt;/RecNum&gt;&lt;DisplayText&gt;(Rau, Reinikovaite et al. 2017)&lt;/DisplayText&gt;&lt;record&gt;&lt;rec-number&gt;1295&lt;/rec-number&gt;&lt;foreign-keys&gt;&lt;key app="EN" db-id="9z05dz0praadfuee0zoxzedk9zfe5fxx50z5" timestamp="1521507045"&gt;1295&lt;/key&gt;&lt;key app="ENWeb" db-id=""&gt;0&lt;/key&gt;&lt;/foreign-keys&gt;&lt;ref-type name="Journal Article"&gt;17&lt;/ref-type&gt;&lt;contributors&gt;&lt;authors&gt;&lt;author&gt;Rau, A. S.&lt;/author&gt;&lt;author&gt;Reinikovaite, V.&lt;/author&gt;&lt;author&gt;Schmidt, E. P.&lt;/author&gt;&lt;author&gt;Taraseviciene-Stewart, L.&lt;/author&gt;&lt;author&gt;Deleyiannis, F. W.&lt;/author&gt;&lt;/authors&gt;&lt;/contributors&gt;&lt;auth-address&gt;From the *Division of Plastic and Reconstructive Surgery, and daggerDivision of Pulmonary and Critical Care Medicine, University of Colorado, Aurora, CO.&lt;/auth-address&gt;&lt;titles&gt;&lt;title&gt;Electronic Cigarettes Are as Toxic to Skin Flap Survival as Tobacco Cigarettes&lt;/title&gt;&lt;secondary-title&gt;Ann Plast Surg&lt;/secondary-title&gt;&lt;alt-title&gt;Annals of plastic surgery&lt;/alt-title&gt;&lt;/titles&gt;&lt;periodical&gt;&lt;full-title&gt;Ann Plast Surg&lt;/full-title&gt;&lt;abbr-1&gt;Annals of plastic surgery&lt;/abbr-1&gt;&lt;/periodical&gt;&lt;alt-periodical&gt;&lt;full-title&gt;Ann Plast Surg&lt;/full-title&gt;&lt;abbr-1&gt;Annals of plastic surgery&lt;/abbr-1&gt;&lt;/alt-periodical&gt;&lt;pages&gt;86-91&lt;/pages&gt;&lt;volume&gt;79&lt;/volume&gt;&lt;number&gt;1&lt;/number&gt;&lt;edition&gt;2017/03/03&lt;/edition&gt;&lt;dates&gt;&lt;year&gt;2017&lt;/year&gt;&lt;pub-dates&gt;&lt;date&gt;Jul&lt;/date&gt;&lt;/pub-dates&gt;&lt;/dates&gt;&lt;isbn&gt;0148-7043&lt;/isbn&gt;&lt;accession-num&gt;28252546&lt;/accession-num&gt;&lt;urls&gt;&lt;/urls&gt;&lt;electronic-resource-num&gt;10.1097/sap.0000000000000998&lt;/electronic-resource-num&gt;&lt;remote-database-provider&gt;NLM&lt;/remote-database-provider&gt;&lt;language&gt;eng&lt;/language&gt;&lt;/record&gt;&lt;/Cite&gt;&lt;/EndNote&gt;</w:instrText>
          </w:r>
          <w:r>
            <w:fldChar w:fldCharType="separate"/>
          </w:r>
          <w:r>
            <w:rPr>
              <w:noProof/>
            </w:rPr>
            <w:t>(Rau, Reinikovaite et al. 2017)</w:t>
          </w:r>
          <w:r>
            <w:fldChar w:fldCharType="end"/>
          </w:r>
          <w:r>
            <w:t xml:space="preserve">. While this study did not explicitly state that e-cigarette exposures were modelled to imitate human exposure, nicotine and cotinine levels of the rats indicate that levels were consistent with levels seen in human e-cigarette users. </w:t>
          </w:r>
        </w:p>
        <w:p w14:paraId="78D90613" w14:textId="77777777" w:rsidR="00EA2246" w:rsidRPr="00EA2246" w:rsidRDefault="00EA2246" w:rsidP="00EA2246">
          <w:pPr>
            <w:pStyle w:val="BodyText"/>
          </w:pPr>
        </w:p>
        <w:p w14:paraId="38CAFBA4" w14:textId="77777777" w:rsidR="000F0E2F" w:rsidRDefault="000F0E2F" w:rsidP="000F0E2F">
          <w:pPr>
            <w:pStyle w:val="Heading2"/>
          </w:pPr>
          <w:bookmarkStart w:id="67" w:name="_Toc513214370"/>
          <w:bookmarkStart w:id="68" w:name="_Toc517706657"/>
          <w:r>
            <w:t>Toxicology</w:t>
          </w:r>
          <w:bookmarkEnd w:id="67"/>
          <w:r>
            <w:t xml:space="preserve"> and oxidative stress</w:t>
          </w:r>
          <w:bookmarkEnd w:id="68"/>
        </w:p>
        <w:p w14:paraId="5E249C6A" w14:textId="77777777" w:rsidR="00A74D41" w:rsidRDefault="00A74D41" w:rsidP="00A74D41">
          <w:pPr>
            <w:pStyle w:val="BodyText"/>
          </w:pPr>
          <w:r>
            <w:t xml:space="preserve">Three studies reported on toxicological effects of e-cigarettes. </w:t>
          </w:r>
        </w:p>
        <w:p w14:paraId="3D91868B" w14:textId="77777777" w:rsidR="00A74D41" w:rsidRDefault="00A74D41" w:rsidP="00A74D41">
          <w:pPr>
            <w:pStyle w:val="BodyText"/>
          </w:pPr>
          <w:r>
            <w:t xml:space="preserve">The first study investigated rats exposed to differing concentrations of e-cigarette vapour with and without nicotine. The researchers did not find any toxicologically relevant effects of e-cigarettes at the concentrations given, which marginally exceeded usual human doses </w:t>
          </w:r>
          <w:r>
            <w:fldChar w:fldCharType="begin">
              <w:fldData xml:space="preserve">PEVuZE5vdGU+PENpdGU+PEF1dGhvcj5QaGlsbGlwczwvQXV0aG9yPjxZZWFyPjIwMTc8L1llYXI+
PFJlY051bT45Mjg8L1JlY051bT48RGlzcGxheVRleHQ+KFBoaWxsaXBzLCBUaXR6IGV0IGFsLiAy
MDE3KTwvRGlzcGxheVRleHQ+PHJlY29yZD48cmVjLW51bWJlcj45Mjg8L3JlYy1udW1iZXI+PGZv
cmVpZ24ta2V5cz48a2V5IGFwcD0iRU4iIGRiLWlkPSI5ejA1ZHowcHJhYWRmdWVlMHpveHplZGs5
emZlNWZ4eDUwejUiIHRpbWVzdGFtcD0iMTUyMTUwNjk2MCI+OTI4PC9rZXk+PC9mb3JlaWduLWtl
eXM+PHJlZi10eXBlIG5hbWU9IkpvdXJuYWwgQXJ0aWNsZSI+MTc8L3JlZi10eXBlPjxjb250cmli
dXRvcnM+PGF1dGhvcnM+PGF1dGhvcj5QaGlsbGlwcywgQi48L2F1dGhvcj48YXV0aG9yPlRpdHos
IEIuPC9hdXRob3I+PGF1dGhvcj5Lb2dlbCwgVS48L2F1dGhvcj48YXV0aG9yPlNoYXJtYSwgRC48
L2F1dGhvcj48YXV0aG9yPkxlcm95LCBQLjwvYXV0aG9yPjxhdXRob3I+WGlhbmcsIFkuPC9hdXRo
b3I+PGF1dGhvcj5WdWlsbGF1bWUsIEcuPC9hdXRob3I+PGF1dGhvcj5MZWJydW4sIFMuPC9hdXRo
b3I+PGF1dGhvcj5TY2l1c2NpbywgRC48L2F1dGhvcj48YXV0aG9yPkhvLCBKLjwvYXV0aG9yPjxh
dXRob3I+TnVyeSwgQy48L2F1dGhvcj48YXV0aG9yPkd1ZWRqLCBFLjwvYXV0aG9yPjxhdXRob3I+
RWxhbWluLCBBLjwvYXV0aG9yPjxhdXRob3I+RXNwb3NpdG8sIE0uPC9hdXRob3I+PGF1dGhvcj5L
cmlzaG5hbiwgUy48L2F1dGhvcj48YXV0aG9yPlNjaGxhZ2UsIFcuIEsuPC9hdXRob3I+PGF1dGhv
cj5WZWxqa292aWMsIEUuPC9hdXRob3I+PGF1dGhvcj5JdmFub3YsIE4uIFYuPC9hdXRob3I+PGF1
dGhvcj5NYXJ0aW4sIEYuPC9hdXRob3I+PGF1dGhvcj5QZWl0c2NoLCBNLiBDLjwvYXV0aG9yPjxh
dXRob3I+SG9lbmcsIEouPC9hdXRob3I+PGF1dGhvcj5WYW5zY2hlZXV3aWpjaywgUC48L2F1dGhv
cj48L2F1dGhvcnM+PC9jb250cmlidXRvcnM+PGF1dGgtYWRkcmVzcz5QaGlsaXAgTW9ycmlzIElu
dGVybmF0aW9uYWwgUmVzZWFyY2ggTGFib3JhdG9yaWVzIFB0ZS4gTHRkLiAocGFydCBvZiBQaGls
aXAgTW9ycmlzIEludGVybmF0aW9uYWwgR3JvdXAgb2YgQ29tcGFuaWVzKSwgNTAgU2NpZW5jZSBQ
YXJrIFJvYWQsIFNpbmdhcG9yZSAxMTc0MDYsIFNpbmdhcG9yZS4mI3hEO1BoaWxpcCBNb3JyaXMg
SW50ZXJuYXRpb25hbCBSZXNlYXJjaCBhbmQgRGV2ZWxvcG1lbnQgKHBhcnQgb2YgUGhpbGlwIE1v
cnJpcyBJbnRlcm5hdGlvbmFsIEdyb3VwIG9mIENvbXBhbmllcyksIFBoaWxpcCBNb3JyaXMgUHJv
ZHVjdHMgUy5BLiwgUXVhaSBKZWFucmVuYXVkIDUsIDIwMDAgTmV1Y2hhdGVsLCBTd2l0emVybGFu
ZC4mI3hEO0Jpb2xvZ3kgQ29uc3VsdGFudCwgTWF4LUJhZXJtYW5uLVN0ci4gMjEsIDUxNDI5IEJl
cmdpc2NoIEdsYWRiYWNoLCBHZXJtYW55LiYjeEQ7UGhpbGlwIE1vcnJpcyBJbnRlcm5hdGlvbmFs
IFJlc2VhcmNoIGFuZCBEZXZlbG9wbWVudCAocGFydCBvZiBQaGlsaXAgTW9ycmlzIEludGVybmF0
aW9uYWwgR3JvdXAgb2YgQ29tcGFuaWVzKSwgUGhpbGlwIE1vcnJpcyBQcm9kdWN0cyBTLkEuLCBR
dWFpIEplYW5yZW5hdWQgNSwgMjAwMCBOZXVjaGF0ZWwsIFN3aXR6ZXJsYW5kLiBFbGVjdHJvbmlj
IGFkZHJlc3M6IFBhdHJpY2sudmFuc2NoZWV1d2lqY2tAcG1pLmNvbS48L2F1dGgtYWRkcmVzcz48
dGl0bGVzPjx0aXRsZT5Ub3hpY2l0eSBvZiB0aGUgbWFpbiBlbGVjdHJvbmljIGNpZ2FyZXR0ZSBj
b21wb25lbnRzLCBwcm9weWxlbmUgZ2x5Y29sLCBnbHljZXJpbiwgYW5kIG5pY290aW5lLCBpbiBT
cHJhZ3VlLURhd2xleSByYXRzIGluIGEgOTAtZGF5IE9FQ0QgaW5oYWxhdGlvbiBzdHVkeSBjb21w
bGVtZW50ZWQgYnkgbW9sZWN1bGFyIGVuZHBvaW50czwvdGl0bGU+PHNlY29uZGFyeS10aXRsZT5G
b29kIENoZW0gVG94aWNvbDwvc2Vjb25kYXJ5LXRpdGxlPjxhbHQtdGl0bGU+Rm9vZCBhbmQgY2hl
bWljYWwgdG94aWNvbG9neSA6IGFuIGludGVybmF0aW9uYWwgam91cm5hbCBwdWJsaXNoZWQgZm9y
IHRoZSBCcml0aXNoIEluZHVzdHJpYWwgQmlvbG9naWNhbCBSZXNlYXJjaCBBc3NvY2lhdGlvbjwv
YWx0LXRpdGxlPjwvdGl0bGVzPjxwZXJpb2RpY2FsPjxmdWxsLXRpdGxlPkZvb2QgQ2hlbSBUb3hp
Y29sPC9mdWxsLXRpdGxlPjxhYmJyLTE+Rm9vZCBhbmQgY2hlbWljYWwgdG94aWNvbG9neSA6IGFu
IGludGVybmF0aW9uYWwgam91cm5hbCBwdWJsaXNoZWQgZm9yIHRoZSBCcml0aXNoIEluZHVzdHJp
YWwgQmlvbG9naWNhbCBSZXNlYXJjaCBBc3NvY2lhdGlvbjwvYWJici0xPjwvcGVyaW9kaWNhbD48
YWx0LXBlcmlvZGljYWw+PGZ1bGwtdGl0bGU+Rm9vZCBDaGVtIFRveGljb2w8L2Z1bGwtdGl0bGU+
PGFiYnItMT5Gb29kIGFuZCBjaGVtaWNhbCB0b3hpY29sb2d5IDogYW4gaW50ZXJuYXRpb25hbCBq
b3VybmFsIHB1Ymxpc2hlZCBmb3IgdGhlIEJyaXRpc2ggSW5kdXN0cmlhbCBCaW9sb2dpY2FsIFJl
c2VhcmNoIEFzc29jaWF0aW9uPC9hYmJyLTE+PC9hbHQtcGVyaW9kaWNhbD48cGFnZXM+MzE1LTMz
MjwvcGFnZXM+PHZvbHVtZT4xMDk8L3ZvbHVtZT48bnVtYmVyPlB0IDE8L251bWJlcj48ZWRpdGlv
bj4yMDE3LzA5LzA5PC9lZGl0aW9uPjxrZXl3b3Jkcz48a2V5d29yZD5FbGVjdHJvbmljIGNpZ2Fy
ZXR0ZTwva2V5d29yZD48a2V5d29yZD5HbHljZXJpbjwva2V5d29yZD48a2V5d29yZD5JbmhhbGF0
aW9uIHRveGljaXR5PC9rZXl3b3JkPjxrZXl3b3JkPk5pY290aW5lPC9rZXl3b3JkPjxrZXl3b3Jk
Pk9yZ2FuaXphdGlvbiBmb3IgRWNvbm9taWMgQ29vcGVyYXRpb24gYW5kIERldmVsb3BtZW50IChP
RUNEKSA0MTMgZ3VpZGVsaW5lPC9rZXl3b3JkPjxrZXl3b3JkPlByb3B5bGVuZSBnbHljb2w8L2tl
eXdvcmQ+PGtleXdvcmQ+U3lzdGVtcyB0b3hpY29sb2d5PC9rZXl3b3JkPjwva2V5d29yZHM+PGRh
dGVzPjx5ZWFyPjIwMTc8L3llYXI+PHB1Yi1kYXRlcz48ZGF0ZT5Ob3Y8L2RhdGU+PC9wdWItZGF0
ZXM+PC9kYXRlcz48aXNibj4wMjc4LTY5MTU8L2lzYm4+PGFjY2Vzc2lvbi1udW0+Mjg4ODI2NDA8
L2FjY2Vzc2lvbi1udW0+PHVybHM+PHJlbGF0ZWQtdXJscz48dXJsPmh0dHBzOi8vd3d3LnNjaWVu
Y2VkaXJlY3QuY29tL3NjaWVuY2UvYXJ0aWNsZS9waWkvUzAyNzg2OTE1MTczMDUxMTI/dmlhJTNE
aWh1YjwvdXJsPjwvcmVsYXRlZC11cmxzPjwvdXJscz48ZWxlY3Ryb25pYy1yZXNvdXJjZS1udW0+
MTAuMTAxNi9qLmZjdC4yMDE3LjA5LjAwMTwvZWxlY3Ryb25pYy1yZXNvdXJjZS1udW0+PHJlbW90
ZS1kYXRhYmFzZS1wcm92aWRlcj5OTE08L3JlbW90ZS1kYXRhYmFzZS1wcm92aWRlcj48bGFuZ3Vh
Z2U+ZW5nPC9sYW5ndWFnZT48L3JlY29yZD48L0NpdGU+PC9FbmROb3RlPn==
</w:fldData>
            </w:fldChar>
          </w:r>
          <w:r>
            <w:instrText xml:space="preserve"> ADDIN EN.CITE </w:instrText>
          </w:r>
          <w:r>
            <w:fldChar w:fldCharType="begin">
              <w:fldData xml:space="preserve">PEVuZE5vdGU+PENpdGU+PEF1dGhvcj5QaGlsbGlwczwvQXV0aG9yPjxZZWFyPjIwMTc8L1llYXI+
PFJlY051bT45Mjg8L1JlY051bT48RGlzcGxheVRleHQ+KFBoaWxsaXBzLCBUaXR6IGV0IGFsLiAy
MDE3KTwvRGlzcGxheVRleHQ+PHJlY29yZD48cmVjLW51bWJlcj45Mjg8L3JlYy1udW1iZXI+PGZv
cmVpZ24ta2V5cz48a2V5IGFwcD0iRU4iIGRiLWlkPSI5ejA1ZHowcHJhYWRmdWVlMHpveHplZGs5
emZlNWZ4eDUwejUiIHRpbWVzdGFtcD0iMTUyMTUwNjk2MCI+OTI4PC9rZXk+PC9mb3JlaWduLWtl
eXM+PHJlZi10eXBlIG5hbWU9IkpvdXJuYWwgQXJ0aWNsZSI+MTc8L3JlZi10eXBlPjxjb250cmli
dXRvcnM+PGF1dGhvcnM+PGF1dGhvcj5QaGlsbGlwcywgQi48L2F1dGhvcj48YXV0aG9yPlRpdHos
IEIuPC9hdXRob3I+PGF1dGhvcj5Lb2dlbCwgVS48L2F1dGhvcj48YXV0aG9yPlNoYXJtYSwgRC48
L2F1dGhvcj48YXV0aG9yPkxlcm95LCBQLjwvYXV0aG9yPjxhdXRob3I+WGlhbmcsIFkuPC9hdXRo
b3I+PGF1dGhvcj5WdWlsbGF1bWUsIEcuPC9hdXRob3I+PGF1dGhvcj5MZWJydW4sIFMuPC9hdXRo
b3I+PGF1dGhvcj5TY2l1c2NpbywgRC48L2F1dGhvcj48YXV0aG9yPkhvLCBKLjwvYXV0aG9yPjxh
dXRob3I+TnVyeSwgQy48L2F1dGhvcj48YXV0aG9yPkd1ZWRqLCBFLjwvYXV0aG9yPjxhdXRob3I+
RWxhbWluLCBBLjwvYXV0aG9yPjxhdXRob3I+RXNwb3NpdG8sIE0uPC9hdXRob3I+PGF1dGhvcj5L
cmlzaG5hbiwgUy48L2F1dGhvcj48YXV0aG9yPlNjaGxhZ2UsIFcuIEsuPC9hdXRob3I+PGF1dGhv
cj5WZWxqa292aWMsIEUuPC9hdXRob3I+PGF1dGhvcj5JdmFub3YsIE4uIFYuPC9hdXRob3I+PGF1
dGhvcj5NYXJ0aW4sIEYuPC9hdXRob3I+PGF1dGhvcj5QZWl0c2NoLCBNLiBDLjwvYXV0aG9yPjxh
dXRob3I+SG9lbmcsIEouPC9hdXRob3I+PGF1dGhvcj5WYW5zY2hlZXV3aWpjaywgUC48L2F1dGhv
cj48L2F1dGhvcnM+PC9jb250cmlidXRvcnM+PGF1dGgtYWRkcmVzcz5QaGlsaXAgTW9ycmlzIElu
dGVybmF0aW9uYWwgUmVzZWFyY2ggTGFib3JhdG9yaWVzIFB0ZS4gTHRkLiAocGFydCBvZiBQaGls
aXAgTW9ycmlzIEludGVybmF0aW9uYWwgR3JvdXAgb2YgQ29tcGFuaWVzKSwgNTAgU2NpZW5jZSBQ
YXJrIFJvYWQsIFNpbmdhcG9yZSAxMTc0MDYsIFNpbmdhcG9yZS4mI3hEO1BoaWxpcCBNb3JyaXMg
SW50ZXJuYXRpb25hbCBSZXNlYXJjaCBhbmQgRGV2ZWxvcG1lbnQgKHBhcnQgb2YgUGhpbGlwIE1v
cnJpcyBJbnRlcm5hdGlvbmFsIEdyb3VwIG9mIENvbXBhbmllcyksIFBoaWxpcCBNb3JyaXMgUHJv
ZHVjdHMgUy5BLiwgUXVhaSBKZWFucmVuYXVkIDUsIDIwMDAgTmV1Y2hhdGVsLCBTd2l0emVybGFu
ZC4mI3hEO0Jpb2xvZ3kgQ29uc3VsdGFudCwgTWF4LUJhZXJtYW5uLVN0ci4gMjEsIDUxNDI5IEJl
cmdpc2NoIEdsYWRiYWNoLCBHZXJtYW55LiYjeEQ7UGhpbGlwIE1vcnJpcyBJbnRlcm5hdGlvbmFs
IFJlc2VhcmNoIGFuZCBEZXZlbG9wbWVudCAocGFydCBvZiBQaGlsaXAgTW9ycmlzIEludGVybmF0
aW9uYWwgR3JvdXAgb2YgQ29tcGFuaWVzKSwgUGhpbGlwIE1vcnJpcyBQcm9kdWN0cyBTLkEuLCBR
dWFpIEplYW5yZW5hdWQgNSwgMjAwMCBOZXVjaGF0ZWwsIFN3aXR6ZXJsYW5kLiBFbGVjdHJvbmlj
IGFkZHJlc3M6IFBhdHJpY2sudmFuc2NoZWV1d2lqY2tAcG1pLmNvbS48L2F1dGgtYWRkcmVzcz48
dGl0bGVzPjx0aXRsZT5Ub3hpY2l0eSBvZiB0aGUgbWFpbiBlbGVjdHJvbmljIGNpZ2FyZXR0ZSBj
b21wb25lbnRzLCBwcm9weWxlbmUgZ2x5Y29sLCBnbHljZXJpbiwgYW5kIG5pY290aW5lLCBpbiBT
cHJhZ3VlLURhd2xleSByYXRzIGluIGEgOTAtZGF5IE9FQ0QgaW5oYWxhdGlvbiBzdHVkeSBjb21w
bGVtZW50ZWQgYnkgbW9sZWN1bGFyIGVuZHBvaW50czwvdGl0bGU+PHNlY29uZGFyeS10aXRsZT5G
b29kIENoZW0gVG94aWNvbDwvc2Vjb25kYXJ5LXRpdGxlPjxhbHQtdGl0bGU+Rm9vZCBhbmQgY2hl
bWljYWwgdG94aWNvbG9neSA6IGFuIGludGVybmF0aW9uYWwgam91cm5hbCBwdWJsaXNoZWQgZm9y
IHRoZSBCcml0aXNoIEluZHVzdHJpYWwgQmlvbG9naWNhbCBSZXNlYXJjaCBBc3NvY2lhdGlvbjwv
YWx0LXRpdGxlPjwvdGl0bGVzPjxwZXJpb2RpY2FsPjxmdWxsLXRpdGxlPkZvb2QgQ2hlbSBUb3hp
Y29sPC9mdWxsLXRpdGxlPjxhYmJyLTE+Rm9vZCBhbmQgY2hlbWljYWwgdG94aWNvbG9neSA6IGFu
IGludGVybmF0aW9uYWwgam91cm5hbCBwdWJsaXNoZWQgZm9yIHRoZSBCcml0aXNoIEluZHVzdHJp
YWwgQmlvbG9naWNhbCBSZXNlYXJjaCBBc3NvY2lhdGlvbjwvYWJici0xPjwvcGVyaW9kaWNhbD48
YWx0LXBlcmlvZGljYWw+PGZ1bGwtdGl0bGU+Rm9vZCBDaGVtIFRveGljb2w8L2Z1bGwtdGl0bGU+
PGFiYnItMT5Gb29kIGFuZCBjaGVtaWNhbCB0b3hpY29sb2d5IDogYW4gaW50ZXJuYXRpb25hbCBq
b3VybmFsIHB1Ymxpc2hlZCBmb3IgdGhlIEJyaXRpc2ggSW5kdXN0cmlhbCBCaW9sb2dpY2FsIFJl
c2VhcmNoIEFzc29jaWF0aW9uPC9hYmJyLTE+PC9hbHQtcGVyaW9kaWNhbD48cGFnZXM+MzE1LTMz
MjwvcGFnZXM+PHZvbHVtZT4xMDk8L3ZvbHVtZT48bnVtYmVyPlB0IDE8L251bWJlcj48ZWRpdGlv
bj4yMDE3LzA5LzA5PC9lZGl0aW9uPjxrZXl3b3Jkcz48a2V5d29yZD5FbGVjdHJvbmljIGNpZ2Fy
ZXR0ZTwva2V5d29yZD48a2V5d29yZD5HbHljZXJpbjwva2V5d29yZD48a2V5d29yZD5JbmhhbGF0
aW9uIHRveGljaXR5PC9rZXl3b3JkPjxrZXl3b3JkPk5pY290aW5lPC9rZXl3b3JkPjxrZXl3b3Jk
Pk9yZ2FuaXphdGlvbiBmb3IgRWNvbm9taWMgQ29vcGVyYXRpb24gYW5kIERldmVsb3BtZW50IChP
RUNEKSA0MTMgZ3VpZGVsaW5lPC9rZXl3b3JkPjxrZXl3b3JkPlByb3B5bGVuZSBnbHljb2w8L2tl
eXdvcmQ+PGtleXdvcmQ+U3lzdGVtcyB0b3hpY29sb2d5PC9rZXl3b3JkPjwva2V5d29yZHM+PGRh
dGVzPjx5ZWFyPjIwMTc8L3llYXI+PHB1Yi1kYXRlcz48ZGF0ZT5Ob3Y8L2RhdGU+PC9wdWItZGF0
ZXM+PC9kYXRlcz48aXNibj4wMjc4LTY5MTU8L2lzYm4+PGFjY2Vzc2lvbi1udW0+Mjg4ODI2NDA8
L2FjY2Vzc2lvbi1udW0+PHVybHM+PHJlbGF0ZWQtdXJscz48dXJsPmh0dHBzOi8vd3d3LnNjaWVu
Y2VkaXJlY3QuY29tL3NjaWVuY2UvYXJ0aWNsZS9waWkvUzAyNzg2OTE1MTczMDUxMTI/dmlhJTNE
aWh1YjwvdXJsPjwvcmVsYXRlZC11cmxzPjwvdXJscz48ZWxlY3Ryb25pYy1yZXNvdXJjZS1udW0+
MTAuMTAxNi9qLmZjdC4yMDE3LjA5LjAwMTwvZWxlY3Ryb25pYy1yZXNvdXJjZS1udW0+PHJlbW90
ZS1kYXRhYmFzZS1wcm92aWRlcj5OTE08L3JlbW90ZS1kYXRhYmFzZS1wcm92aWRlcj48bGFuZ3Vh
Z2U+ZW5nPC9sYW5ndWFnZT48L3JlY29yZD48L0NpdGU+PC9FbmROb3RlPn==
</w:fldData>
            </w:fldChar>
          </w:r>
          <w:r>
            <w:instrText xml:space="preserve"> ADDIN EN.CITE.DATA </w:instrText>
          </w:r>
          <w:r>
            <w:fldChar w:fldCharType="end"/>
          </w:r>
          <w:r>
            <w:fldChar w:fldCharType="separate"/>
          </w:r>
          <w:r>
            <w:rPr>
              <w:noProof/>
            </w:rPr>
            <w:t>(Phillips, Titz et al. 2017)</w:t>
          </w:r>
          <w:r>
            <w:fldChar w:fldCharType="end"/>
          </w:r>
          <w:r>
            <w:t xml:space="preserve">. </w:t>
          </w:r>
        </w:p>
        <w:p w14:paraId="3748E1B1" w14:textId="77777777" w:rsidR="00A74D41" w:rsidRDefault="00A74D41" w:rsidP="00A74D41">
          <w:pPr>
            <w:pStyle w:val="BodyText"/>
          </w:pPr>
          <w:r>
            <w:t xml:space="preserve">The second study, also in rats, did not aim to replicate human e-cigarette exposure </w:t>
          </w:r>
          <w:r>
            <w:fldChar w:fldCharType="begin">
              <w:fldData xml:space="preserve">PEVuZE5vdGU+PENpdGU+PEF1dGhvcj5DYW5pc3RybzwvQXV0aG9yPjxZZWFyPjIwMTc8L1llYXI+
PFJlY051bT4xMTQ4PC9SZWNOdW0+PERpc3BsYXlUZXh0PihDYW5pc3RybywgVml2YXJlbGxpIGV0
IGFsLiAyMDE3KTwvRGlzcGxheVRleHQ+PHJlY29yZD48cmVjLW51bWJlcj4xMTQ4PC9yZWMtbnVt
YmVyPjxmb3JlaWduLWtleXM+PGtleSBhcHA9IkVOIiBkYi1pZD0iOXowNWR6MHByYWFkZnVlZTB6
b3h6ZWRrOXpmZTVmeHg1MHo1IiB0aW1lc3RhbXA9IjE1MjE1MDcwMTIiPjExNDg8L2tleT48a2V5
IGFwcD0iRU5XZWIiIGRiLWlkPSIiPjA8L2tleT48L2ZvcmVpZ24ta2V5cz48cmVmLXR5cGUgbmFt
ZT0iSm91cm5hbCBBcnRpY2xlIj4xNzwvcmVmLXR5cGU+PGNvbnRyaWJ1dG9ycz48YXV0aG9ycz48
YXV0aG9yPkNhbmlzdHJvLCBELjwvYXV0aG9yPjxhdXRob3I+Vml2YXJlbGxpLCBGLjwvYXV0aG9y
PjxhdXRob3I+Q2lyaWxsbywgUy48L2F1dGhvcj48YXV0aG9yPkJhYm90IE1hcnF1aWxsYXMsIEMu
PC9hdXRob3I+PGF1dGhvcj5CdXNjaGluaSwgQS48L2F1dGhvcj48YXV0aG9yPkxhenphcmV0dGks
IE0uPC9hdXRob3I+PGF1dGhvcj5NYXJjaGksIEwuPC9hdXRob3I+PGF1dGhvcj5DYXJkZW5pYSwg
Vi48L2F1dGhvcj48YXV0aG9yPlJvZHJpZ3Vlei1Fc3RyYWRhLCBNLiBULjwvYXV0aG9yPjxhdXRo
b3I+TG9kb3ZpY2ksIE0uPC9hdXRob3I+PGF1dGhvcj5DaXByaWFuaSwgQy48L2F1dGhvcj48YXV0
aG9yPkxvcmVuemluaSwgQS48L2F1dGhvcj48YXV0aG9yPkNyb2NvLCBFLjwvYXV0aG9yPjxhdXRo
b3I+TWFyY2hpb25uaSwgUy48L2F1dGhvcj48YXV0aG9yPkZyYW5jaGksIFAuPC9hdXRob3I+PGF1
dGhvcj5MdWNhcmluaSwgTS48L2F1dGhvcj48YXV0aG9yPkxvbmdvLCBWLjwvYXV0aG9yPjxhdXRo
b3I+RGVsbGEgQ3JvY2UsIEMuIE0uPC9hdXRob3I+PGF1dGhvcj5Wb3Jub2xpLCBBLjwvYXV0aG9y
PjxhdXRob3I+Q29sYWNjaSwgQS48L2F1dGhvcj48YXV0aG9yPlZhY2NhcmksIE0uPC9hdXRob3I+
PGF1dGhvcj5TYXBvbmUsIEEuPC9hdXRob3I+PGF1dGhvcj5QYW9saW5pLCBNLjwvYXV0aG9yPjwv
YXV0aG9ycz48L2NvbnRyaWJ1dG9ycz48YXV0aC1hZGRyZXNzPkRlcGFydG1lbnQgb2YgUGhhcm1h
Y3kgYW5kIEJpb3RlY2hub2xvZ3ksIEFsbWEgTWF0ZXIgU3R1ZGlvcnVtLVVuaXZlcnNpdHkgb2Yg
Qm9sb2duYSwgVmlhIElybmVyaW8gNDgsIDQwMTI2LCBCb2xvZ25hLCBJdGFseS4gZG9uYXRlbGxh
LmNhbmlzdHJvQHVuaWJvLml0LiYjeEQ7RGVwYXJ0bWVudCBvZiBQaGFybWFjeSBhbmQgQmlvdGVj
aG5vbG9neSwgQWxtYSBNYXRlciBTdHVkaW9ydW0tVW5pdmVyc2l0eSBvZiBCb2xvZ25hLCBWaWEg
SXJuZXJpbyA0OCwgNDAxMjYsIEJvbG9nbmEsIEl0YWx5LiYjeEQ7RGVwYXJ0bWVudCBvZiBMaWZl
IFNjaWVuY2VzLCBVbml2ZXJzaXR5IG9mIFBhcm1hLCBQYXJjbyBBcmVhIGRlbGxlIFNjaWVuemUg
MTFBLCA0MzEyNCwgUGFybWEsIEl0YWx5LiYjeEQ7SW50ZXItRGVwYXJ0bWVudGFsIENlbnRyZSBm
b3IgQWdyaS1Gb29kIEluZHVzdHJpYWwgUmVzZWFyY2gsIEFsbWEgTWF0ZXIgU3R1ZGlvcnVtLVVu
aXZlcnNpdHkgb2YgQm9sb2duYSwgVmlhIFF1aW50byBCdWNjaSAzMzYsIDQ3NTIxLCBDZXNlbmEs
IEl0YWx5LiYjeEQ7RGVwYXJ0bWVudCBvZiBBZ3JpY3VsdHVyYWwgYW5kIEZvb2QgU2NpZW5jZXMs
IEFsbWEgTWF0ZXIgU3R1ZGlvcnVtLVVuaXZlcnNpdGEgZGkgQm9sb2duYSwgVmlhbGUgRmFuaW4g
NDAsIDQwMTI3LCBCb2xvZ25hLCBJdGFseS4mI3hEO0RlcGFydG1lbnQgb2YgTmV1cm9mYXJiYSwg
U2VjdGlvbiBvZiBQaGFybWFjb2xvZ3kgYW5kIFRveGljb2xvZ3ksIFVuaXZlcnNpdHkgb2YgRmxv
cmVuY2UsIEZsb3JlbmNlLCBJdGFseS4mI3hEO0RlcGFydG1lbnQgb2YgQmlvbWVkaWNhbCBhbmQg
TmV1cm9tb3RvciBTY2llbmNlcywgQWxtYSBNYXRlciBTdHVkaW9ydW0tVW5pdmVyc2l0eSBvZiBC
b2xvZ25hLCBWaWEgSXJuZXJpbyA0OCwgNDAxMjYsIEJvbG9nbmEsIEl0YWx5LiYjeEQ7RGVwYXJ0
bWVudCBvZiBDaGVtaXN0cnkgJnF1b3Q7Ry4gQ2lhbWljaWFuJnF1b3Q7LCBBbG1hIE1hdGVyIFN0
dWRpb3J1bS1Vbml2ZXJzaXR5IG9mIEJvbG9nbmEsIFZpYSBTLiBHaWFjb21vIDExLCA0MDEyNiwg
Qm9sb2duYSwgSXRhbHkuJiN4RDtEZXBhcnRtZW50IG9mIEFncmljdWx0dXJhbCBCaW9sb2d5IGFu
ZCBCaW90ZWNobm9sb2d5LCBDTlIsIFZpYSBNb3J1enppIDEsIDU2MTI0LCBQaXNhLCBJdGFseS4m
I3hEO0NlbnRlciBmb3IgRW52aXJvbm1lbnRhbCBUb3hpY29sb2d5LCBFbnZpcm9ubWVudGFsIFBy
b3RlY3Rpb24gYW5kIEhlYWx0aCBQcmV2ZW50aW9uIEFnZW5jeSBFbWlsaWEtUm9tYWduYSBSZWdp
b24gKEVSLUVQQSksIEJvbG9nbmEsIEl0YWx5LjwvYXV0aC1hZGRyZXNzPjx0aXRsZXM+PHRpdGxl
PkUtY2lnYXJldHRlcyBpbmR1Y2UgdG94aWNvbG9naWNhbCBlZmZlY3RzIHRoYXQgY2FuIHJhaXNl
IHRoZSBjYW5jZXIgcmlzazwvdGl0bGU+PHNlY29uZGFyeS10aXRsZT5TY2kgUmVwPC9zZWNvbmRh
cnktdGl0bGU+PGFsdC10aXRsZT5TY2llbnRpZmljIHJlcG9ydHM8L2FsdC10aXRsZT48L3RpdGxl
cz48YWx0LXBlcmlvZGljYWw+PGZ1bGwtdGl0bGU+U2NpZW50aWZpYyBSZXBvcnRzPC9mdWxsLXRp
dGxlPjwvYWx0LXBlcmlvZGljYWw+PHBhZ2VzPjIwMjg8L3BhZ2VzPjx2b2x1bWU+Nzwvdm9sdW1l
PjxudW1iZXI+MTwvbnVtYmVyPjxlZGl0aW9uPjIwMTcvMDUvMTk8L2VkaXRpb24+PGRhdGVzPjx5
ZWFyPjIwMTc8L3llYXI+PHB1Yi1kYXRlcz48ZGF0ZT5NYXkgMTc8L2RhdGU+PC9wdWItZGF0ZXM+
PC9kYXRlcz48aXNibj4yMDQ1LTIzMjI8L2lzYm4+PGFjY2Vzc2lvbi1udW0+Mjg1MTU0ODU8L2Fj
Y2Vzc2lvbi1udW0+PHVybHM+PHJlbGF0ZWQtdXJscz48dXJsPmh0dHBzOi8vd3d3Lm5jYmkubmxt
Lm5paC5nb3YvcG1jL2FydGljbGVzL1BNQzU0MzU2OTkvcGRmLzQxNTk4XzIwMTdfQXJ0aWNsZV8y
MzE3LnBkZjwvdXJsPjwvcmVsYXRlZC11cmxzPjwvdXJscz48Y3VzdG9tMj5QTUM1NDM1Njk5PC9j
dXN0b20yPjxlbGVjdHJvbmljLXJlc291cmNlLW51bT4xMC4xMDM4L3M0MTU5OC0wMTctMDIzMTct
ODwvZWxlY3Ryb25pYy1yZXNvdXJjZS1udW0+PHJlbW90ZS1kYXRhYmFzZS1wcm92aWRlcj5OTE08
L3JlbW90ZS1kYXRhYmFzZS1wcm92aWRlcj48bGFuZ3VhZ2U+ZW5nPC9sYW5ndWFnZT48L3JlY29y
ZD48L0NpdGU+PC9FbmROb3RlPn==
</w:fldData>
            </w:fldChar>
          </w:r>
          <w:r>
            <w:instrText xml:space="preserve"> ADDIN EN.CITE </w:instrText>
          </w:r>
          <w:r>
            <w:fldChar w:fldCharType="begin">
              <w:fldData xml:space="preserve">PEVuZE5vdGU+PENpdGU+PEF1dGhvcj5DYW5pc3RybzwvQXV0aG9yPjxZZWFyPjIwMTc8L1llYXI+
PFJlY051bT4xMTQ4PC9SZWNOdW0+PERpc3BsYXlUZXh0PihDYW5pc3RybywgVml2YXJlbGxpIGV0
IGFsLiAyMDE3KTwvRGlzcGxheVRleHQ+PHJlY29yZD48cmVjLW51bWJlcj4xMTQ4PC9yZWMtbnVt
YmVyPjxmb3JlaWduLWtleXM+PGtleSBhcHA9IkVOIiBkYi1pZD0iOXowNWR6MHByYWFkZnVlZTB6
b3h6ZWRrOXpmZTVmeHg1MHo1IiB0aW1lc3RhbXA9IjE1MjE1MDcwMTIiPjExNDg8L2tleT48a2V5
IGFwcD0iRU5XZWIiIGRiLWlkPSIiPjA8L2tleT48L2ZvcmVpZ24ta2V5cz48cmVmLXR5cGUgbmFt
ZT0iSm91cm5hbCBBcnRpY2xlIj4xNzwvcmVmLXR5cGU+PGNvbnRyaWJ1dG9ycz48YXV0aG9ycz48
YXV0aG9yPkNhbmlzdHJvLCBELjwvYXV0aG9yPjxhdXRob3I+Vml2YXJlbGxpLCBGLjwvYXV0aG9y
PjxhdXRob3I+Q2lyaWxsbywgUy48L2F1dGhvcj48YXV0aG9yPkJhYm90IE1hcnF1aWxsYXMsIEMu
PC9hdXRob3I+PGF1dGhvcj5CdXNjaGluaSwgQS48L2F1dGhvcj48YXV0aG9yPkxhenphcmV0dGks
IE0uPC9hdXRob3I+PGF1dGhvcj5NYXJjaGksIEwuPC9hdXRob3I+PGF1dGhvcj5DYXJkZW5pYSwg
Vi48L2F1dGhvcj48YXV0aG9yPlJvZHJpZ3Vlei1Fc3RyYWRhLCBNLiBULjwvYXV0aG9yPjxhdXRo
b3I+TG9kb3ZpY2ksIE0uPC9hdXRob3I+PGF1dGhvcj5DaXByaWFuaSwgQy48L2F1dGhvcj48YXV0
aG9yPkxvcmVuemluaSwgQS48L2F1dGhvcj48YXV0aG9yPkNyb2NvLCBFLjwvYXV0aG9yPjxhdXRo
b3I+TWFyY2hpb25uaSwgUy48L2F1dGhvcj48YXV0aG9yPkZyYW5jaGksIFAuPC9hdXRob3I+PGF1
dGhvcj5MdWNhcmluaSwgTS48L2F1dGhvcj48YXV0aG9yPkxvbmdvLCBWLjwvYXV0aG9yPjxhdXRo
b3I+RGVsbGEgQ3JvY2UsIEMuIE0uPC9hdXRob3I+PGF1dGhvcj5Wb3Jub2xpLCBBLjwvYXV0aG9y
PjxhdXRob3I+Q29sYWNjaSwgQS48L2F1dGhvcj48YXV0aG9yPlZhY2NhcmksIE0uPC9hdXRob3I+
PGF1dGhvcj5TYXBvbmUsIEEuPC9hdXRob3I+PGF1dGhvcj5QYW9saW5pLCBNLjwvYXV0aG9yPjwv
YXV0aG9ycz48L2NvbnRyaWJ1dG9ycz48YXV0aC1hZGRyZXNzPkRlcGFydG1lbnQgb2YgUGhhcm1h
Y3kgYW5kIEJpb3RlY2hub2xvZ3ksIEFsbWEgTWF0ZXIgU3R1ZGlvcnVtLVVuaXZlcnNpdHkgb2Yg
Qm9sb2duYSwgVmlhIElybmVyaW8gNDgsIDQwMTI2LCBCb2xvZ25hLCBJdGFseS4gZG9uYXRlbGxh
LmNhbmlzdHJvQHVuaWJvLml0LiYjeEQ7RGVwYXJ0bWVudCBvZiBQaGFybWFjeSBhbmQgQmlvdGVj
aG5vbG9neSwgQWxtYSBNYXRlciBTdHVkaW9ydW0tVW5pdmVyc2l0eSBvZiBCb2xvZ25hLCBWaWEg
SXJuZXJpbyA0OCwgNDAxMjYsIEJvbG9nbmEsIEl0YWx5LiYjeEQ7RGVwYXJ0bWVudCBvZiBMaWZl
IFNjaWVuY2VzLCBVbml2ZXJzaXR5IG9mIFBhcm1hLCBQYXJjbyBBcmVhIGRlbGxlIFNjaWVuemUg
MTFBLCA0MzEyNCwgUGFybWEsIEl0YWx5LiYjeEQ7SW50ZXItRGVwYXJ0bWVudGFsIENlbnRyZSBm
b3IgQWdyaS1Gb29kIEluZHVzdHJpYWwgUmVzZWFyY2gsIEFsbWEgTWF0ZXIgU3R1ZGlvcnVtLVVu
aXZlcnNpdHkgb2YgQm9sb2duYSwgVmlhIFF1aW50byBCdWNjaSAzMzYsIDQ3NTIxLCBDZXNlbmEs
IEl0YWx5LiYjeEQ7RGVwYXJ0bWVudCBvZiBBZ3JpY3VsdHVyYWwgYW5kIEZvb2QgU2NpZW5jZXMs
IEFsbWEgTWF0ZXIgU3R1ZGlvcnVtLVVuaXZlcnNpdGEgZGkgQm9sb2duYSwgVmlhbGUgRmFuaW4g
NDAsIDQwMTI3LCBCb2xvZ25hLCBJdGFseS4mI3hEO0RlcGFydG1lbnQgb2YgTmV1cm9mYXJiYSwg
U2VjdGlvbiBvZiBQaGFybWFjb2xvZ3kgYW5kIFRveGljb2xvZ3ksIFVuaXZlcnNpdHkgb2YgRmxv
cmVuY2UsIEZsb3JlbmNlLCBJdGFseS4mI3hEO0RlcGFydG1lbnQgb2YgQmlvbWVkaWNhbCBhbmQg
TmV1cm9tb3RvciBTY2llbmNlcywgQWxtYSBNYXRlciBTdHVkaW9ydW0tVW5pdmVyc2l0eSBvZiBC
b2xvZ25hLCBWaWEgSXJuZXJpbyA0OCwgNDAxMjYsIEJvbG9nbmEsIEl0YWx5LiYjeEQ7RGVwYXJ0
bWVudCBvZiBDaGVtaXN0cnkgJnF1b3Q7Ry4gQ2lhbWljaWFuJnF1b3Q7LCBBbG1hIE1hdGVyIFN0
dWRpb3J1bS1Vbml2ZXJzaXR5IG9mIEJvbG9nbmEsIFZpYSBTLiBHaWFjb21vIDExLCA0MDEyNiwg
Qm9sb2duYSwgSXRhbHkuJiN4RDtEZXBhcnRtZW50IG9mIEFncmljdWx0dXJhbCBCaW9sb2d5IGFu
ZCBCaW90ZWNobm9sb2d5LCBDTlIsIFZpYSBNb3J1enppIDEsIDU2MTI0LCBQaXNhLCBJdGFseS4m
I3hEO0NlbnRlciBmb3IgRW52aXJvbm1lbnRhbCBUb3hpY29sb2d5LCBFbnZpcm9ubWVudGFsIFBy
b3RlY3Rpb24gYW5kIEhlYWx0aCBQcmV2ZW50aW9uIEFnZW5jeSBFbWlsaWEtUm9tYWduYSBSZWdp
b24gKEVSLUVQQSksIEJvbG9nbmEsIEl0YWx5LjwvYXV0aC1hZGRyZXNzPjx0aXRsZXM+PHRpdGxl
PkUtY2lnYXJldHRlcyBpbmR1Y2UgdG94aWNvbG9naWNhbCBlZmZlY3RzIHRoYXQgY2FuIHJhaXNl
IHRoZSBjYW5jZXIgcmlzazwvdGl0bGU+PHNlY29uZGFyeS10aXRsZT5TY2kgUmVwPC9zZWNvbmRh
cnktdGl0bGU+PGFsdC10aXRsZT5TY2llbnRpZmljIHJlcG9ydHM8L2FsdC10aXRsZT48L3RpdGxl
cz48YWx0LXBlcmlvZGljYWw+PGZ1bGwtdGl0bGU+U2NpZW50aWZpYyBSZXBvcnRzPC9mdWxsLXRp
dGxlPjwvYWx0LXBlcmlvZGljYWw+PHBhZ2VzPjIwMjg8L3BhZ2VzPjx2b2x1bWU+Nzwvdm9sdW1l
PjxudW1iZXI+MTwvbnVtYmVyPjxlZGl0aW9uPjIwMTcvMDUvMTk8L2VkaXRpb24+PGRhdGVzPjx5
ZWFyPjIwMTc8L3llYXI+PHB1Yi1kYXRlcz48ZGF0ZT5NYXkgMTc8L2RhdGU+PC9wdWItZGF0ZXM+
PC9kYXRlcz48aXNibj4yMDQ1LTIzMjI8L2lzYm4+PGFjY2Vzc2lvbi1udW0+Mjg1MTU0ODU8L2Fj
Y2Vzc2lvbi1udW0+PHVybHM+PHJlbGF0ZWQtdXJscz48dXJsPmh0dHBzOi8vd3d3Lm5jYmkubmxt
Lm5paC5nb3YvcG1jL2FydGljbGVzL1BNQzU0MzU2OTkvcGRmLzQxNTk4XzIwMTdfQXJ0aWNsZV8y
MzE3LnBkZjwvdXJsPjwvcmVsYXRlZC11cmxzPjwvdXJscz48Y3VzdG9tMj5QTUM1NDM1Njk5PC9j
dXN0b20yPjxlbGVjdHJvbmljLXJlc291cmNlLW51bT4xMC4xMDM4L3M0MTU5OC0wMTctMDIzMTct
ODwvZWxlY3Ryb25pYy1yZXNvdXJjZS1udW0+PHJlbW90ZS1kYXRhYmFzZS1wcm92aWRlcj5OTE08
L3JlbW90ZS1kYXRhYmFzZS1wcm92aWRlcj48bGFuZ3VhZ2U+ZW5nPC9sYW5ndWFnZT48L3JlY29y
ZD48L0NpdGU+PC9FbmROb3RlPn==
</w:fldData>
            </w:fldChar>
          </w:r>
          <w:r>
            <w:instrText xml:space="preserve"> ADDIN EN.CITE.DATA </w:instrText>
          </w:r>
          <w:r>
            <w:fldChar w:fldCharType="end"/>
          </w:r>
          <w:r>
            <w:fldChar w:fldCharType="separate"/>
          </w:r>
          <w:r>
            <w:rPr>
              <w:noProof/>
            </w:rPr>
            <w:t>(Canistro, Vivarelli et al. 2017)</w:t>
          </w:r>
          <w:r>
            <w:fldChar w:fldCharType="end"/>
          </w:r>
          <w:r>
            <w:t xml:space="preserve">. In this study, rats exposed to high levels of e-cigarette vapour had changes in Cytochrome P450 which were related to increased risk of cancer </w:t>
          </w:r>
          <w:r>
            <w:fldChar w:fldCharType="begin">
              <w:fldData xml:space="preserve">PEVuZE5vdGU+PENpdGU+PEF1dGhvcj5DYW5pc3RybzwvQXV0aG9yPjxZZWFyPjIwMTc8L1llYXI+
PFJlY051bT4xMTQ4PC9SZWNOdW0+PERpc3BsYXlUZXh0PihDYW5pc3RybywgVml2YXJlbGxpIGV0
IGFsLiAyMDE3KTwvRGlzcGxheVRleHQ+PHJlY29yZD48cmVjLW51bWJlcj4xMTQ4PC9yZWMtbnVt
YmVyPjxmb3JlaWduLWtleXM+PGtleSBhcHA9IkVOIiBkYi1pZD0iOXowNWR6MHByYWFkZnVlZTB6
b3h6ZWRrOXpmZTVmeHg1MHo1IiB0aW1lc3RhbXA9IjE1MjE1MDcwMTIiPjExNDg8L2tleT48a2V5
IGFwcD0iRU5XZWIiIGRiLWlkPSIiPjA8L2tleT48L2ZvcmVpZ24ta2V5cz48cmVmLXR5cGUgbmFt
ZT0iSm91cm5hbCBBcnRpY2xlIj4xNzwvcmVmLXR5cGU+PGNvbnRyaWJ1dG9ycz48YXV0aG9ycz48
YXV0aG9yPkNhbmlzdHJvLCBELjwvYXV0aG9yPjxhdXRob3I+Vml2YXJlbGxpLCBGLjwvYXV0aG9y
PjxhdXRob3I+Q2lyaWxsbywgUy48L2F1dGhvcj48YXV0aG9yPkJhYm90IE1hcnF1aWxsYXMsIEMu
PC9hdXRob3I+PGF1dGhvcj5CdXNjaGluaSwgQS48L2F1dGhvcj48YXV0aG9yPkxhenphcmV0dGks
IE0uPC9hdXRob3I+PGF1dGhvcj5NYXJjaGksIEwuPC9hdXRob3I+PGF1dGhvcj5DYXJkZW5pYSwg
Vi48L2F1dGhvcj48YXV0aG9yPlJvZHJpZ3Vlei1Fc3RyYWRhLCBNLiBULjwvYXV0aG9yPjxhdXRo
b3I+TG9kb3ZpY2ksIE0uPC9hdXRob3I+PGF1dGhvcj5DaXByaWFuaSwgQy48L2F1dGhvcj48YXV0
aG9yPkxvcmVuemluaSwgQS48L2F1dGhvcj48YXV0aG9yPkNyb2NvLCBFLjwvYXV0aG9yPjxhdXRo
b3I+TWFyY2hpb25uaSwgUy48L2F1dGhvcj48YXV0aG9yPkZyYW5jaGksIFAuPC9hdXRob3I+PGF1
dGhvcj5MdWNhcmluaSwgTS48L2F1dGhvcj48YXV0aG9yPkxvbmdvLCBWLjwvYXV0aG9yPjxhdXRo
b3I+RGVsbGEgQ3JvY2UsIEMuIE0uPC9hdXRob3I+PGF1dGhvcj5Wb3Jub2xpLCBBLjwvYXV0aG9y
PjxhdXRob3I+Q29sYWNjaSwgQS48L2F1dGhvcj48YXV0aG9yPlZhY2NhcmksIE0uPC9hdXRob3I+
PGF1dGhvcj5TYXBvbmUsIEEuPC9hdXRob3I+PGF1dGhvcj5QYW9saW5pLCBNLjwvYXV0aG9yPjwv
YXV0aG9ycz48L2NvbnRyaWJ1dG9ycz48YXV0aC1hZGRyZXNzPkRlcGFydG1lbnQgb2YgUGhhcm1h
Y3kgYW5kIEJpb3RlY2hub2xvZ3ksIEFsbWEgTWF0ZXIgU3R1ZGlvcnVtLVVuaXZlcnNpdHkgb2Yg
Qm9sb2duYSwgVmlhIElybmVyaW8gNDgsIDQwMTI2LCBCb2xvZ25hLCBJdGFseS4gZG9uYXRlbGxh
LmNhbmlzdHJvQHVuaWJvLml0LiYjeEQ7RGVwYXJ0bWVudCBvZiBQaGFybWFjeSBhbmQgQmlvdGVj
aG5vbG9neSwgQWxtYSBNYXRlciBTdHVkaW9ydW0tVW5pdmVyc2l0eSBvZiBCb2xvZ25hLCBWaWEg
SXJuZXJpbyA0OCwgNDAxMjYsIEJvbG9nbmEsIEl0YWx5LiYjeEQ7RGVwYXJ0bWVudCBvZiBMaWZl
IFNjaWVuY2VzLCBVbml2ZXJzaXR5IG9mIFBhcm1hLCBQYXJjbyBBcmVhIGRlbGxlIFNjaWVuemUg
MTFBLCA0MzEyNCwgUGFybWEsIEl0YWx5LiYjeEQ7SW50ZXItRGVwYXJ0bWVudGFsIENlbnRyZSBm
b3IgQWdyaS1Gb29kIEluZHVzdHJpYWwgUmVzZWFyY2gsIEFsbWEgTWF0ZXIgU3R1ZGlvcnVtLVVu
aXZlcnNpdHkgb2YgQm9sb2duYSwgVmlhIFF1aW50byBCdWNjaSAzMzYsIDQ3NTIxLCBDZXNlbmEs
IEl0YWx5LiYjeEQ7RGVwYXJ0bWVudCBvZiBBZ3JpY3VsdHVyYWwgYW5kIEZvb2QgU2NpZW5jZXMs
IEFsbWEgTWF0ZXIgU3R1ZGlvcnVtLVVuaXZlcnNpdGEgZGkgQm9sb2duYSwgVmlhbGUgRmFuaW4g
NDAsIDQwMTI3LCBCb2xvZ25hLCBJdGFseS4mI3hEO0RlcGFydG1lbnQgb2YgTmV1cm9mYXJiYSwg
U2VjdGlvbiBvZiBQaGFybWFjb2xvZ3kgYW5kIFRveGljb2xvZ3ksIFVuaXZlcnNpdHkgb2YgRmxv
cmVuY2UsIEZsb3JlbmNlLCBJdGFseS4mI3hEO0RlcGFydG1lbnQgb2YgQmlvbWVkaWNhbCBhbmQg
TmV1cm9tb3RvciBTY2llbmNlcywgQWxtYSBNYXRlciBTdHVkaW9ydW0tVW5pdmVyc2l0eSBvZiBC
b2xvZ25hLCBWaWEgSXJuZXJpbyA0OCwgNDAxMjYsIEJvbG9nbmEsIEl0YWx5LiYjeEQ7RGVwYXJ0
bWVudCBvZiBDaGVtaXN0cnkgJnF1b3Q7Ry4gQ2lhbWljaWFuJnF1b3Q7LCBBbG1hIE1hdGVyIFN0
dWRpb3J1bS1Vbml2ZXJzaXR5IG9mIEJvbG9nbmEsIFZpYSBTLiBHaWFjb21vIDExLCA0MDEyNiwg
Qm9sb2duYSwgSXRhbHkuJiN4RDtEZXBhcnRtZW50IG9mIEFncmljdWx0dXJhbCBCaW9sb2d5IGFu
ZCBCaW90ZWNobm9sb2d5LCBDTlIsIFZpYSBNb3J1enppIDEsIDU2MTI0LCBQaXNhLCBJdGFseS4m
I3hEO0NlbnRlciBmb3IgRW52aXJvbm1lbnRhbCBUb3hpY29sb2d5LCBFbnZpcm9ubWVudGFsIFBy
b3RlY3Rpb24gYW5kIEhlYWx0aCBQcmV2ZW50aW9uIEFnZW5jeSBFbWlsaWEtUm9tYWduYSBSZWdp
b24gKEVSLUVQQSksIEJvbG9nbmEsIEl0YWx5LjwvYXV0aC1hZGRyZXNzPjx0aXRsZXM+PHRpdGxl
PkUtY2lnYXJldHRlcyBpbmR1Y2UgdG94aWNvbG9naWNhbCBlZmZlY3RzIHRoYXQgY2FuIHJhaXNl
IHRoZSBjYW5jZXIgcmlzazwvdGl0bGU+PHNlY29uZGFyeS10aXRsZT5TY2kgUmVwPC9zZWNvbmRh
cnktdGl0bGU+PGFsdC10aXRsZT5TY2llbnRpZmljIHJlcG9ydHM8L2FsdC10aXRsZT48L3RpdGxl
cz48YWx0LXBlcmlvZGljYWw+PGZ1bGwtdGl0bGU+U2NpZW50aWZpYyBSZXBvcnRzPC9mdWxsLXRp
dGxlPjwvYWx0LXBlcmlvZGljYWw+PHBhZ2VzPjIwMjg8L3BhZ2VzPjx2b2x1bWU+Nzwvdm9sdW1l
PjxudW1iZXI+MTwvbnVtYmVyPjxlZGl0aW9uPjIwMTcvMDUvMTk8L2VkaXRpb24+PGRhdGVzPjx5
ZWFyPjIwMTc8L3llYXI+PHB1Yi1kYXRlcz48ZGF0ZT5NYXkgMTc8L2RhdGU+PC9wdWItZGF0ZXM+
PC9kYXRlcz48aXNibj4yMDQ1LTIzMjI8L2lzYm4+PGFjY2Vzc2lvbi1udW0+Mjg1MTU0ODU8L2Fj
Y2Vzc2lvbi1udW0+PHVybHM+PHJlbGF0ZWQtdXJscz48dXJsPmh0dHBzOi8vd3d3Lm5jYmkubmxt
Lm5paC5nb3YvcG1jL2FydGljbGVzL1BNQzU0MzU2OTkvcGRmLzQxNTk4XzIwMTdfQXJ0aWNsZV8y
MzE3LnBkZjwvdXJsPjwvcmVsYXRlZC11cmxzPjwvdXJscz48Y3VzdG9tMj5QTUM1NDM1Njk5PC9j
dXN0b20yPjxlbGVjdHJvbmljLXJlc291cmNlLW51bT4xMC4xMDM4L3M0MTU5OC0wMTctMDIzMTct
ODwvZWxlY3Ryb25pYy1yZXNvdXJjZS1udW0+PHJlbW90ZS1kYXRhYmFzZS1wcm92aWRlcj5OTE08
L3JlbW90ZS1kYXRhYmFzZS1wcm92aWRlcj48bGFuZ3VhZ2U+ZW5nPC9sYW5ndWFnZT48L3JlY29y
ZD48L0NpdGU+PC9FbmROb3RlPn==
</w:fldData>
            </w:fldChar>
          </w:r>
          <w:r>
            <w:instrText xml:space="preserve"> ADDIN EN.CITE </w:instrText>
          </w:r>
          <w:r>
            <w:fldChar w:fldCharType="begin">
              <w:fldData xml:space="preserve">PEVuZE5vdGU+PENpdGU+PEF1dGhvcj5DYW5pc3RybzwvQXV0aG9yPjxZZWFyPjIwMTc8L1llYXI+
PFJlY051bT4xMTQ4PC9SZWNOdW0+PERpc3BsYXlUZXh0PihDYW5pc3RybywgVml2YXJlbGxpIGV0
IGFsLiAyMDE3KTwvRGlzcGxheVRleHQ+PHJlY29yZD48cmVjLW51bWJlcj4xMTQ4PC9yZWMtbnVt
YmVyPjxmb3JlaWduLWtleXM+PGtleSBhcHA9IkVOIiBkYi1pZD0iOXowNWR6MHByYWFkZnVlZTB6
b3h6ZWRrOXpmZTVmeHg1MHo1IiB0aW1lc3RhbXA9IjE1MjE1MDcwMTIiPjExNDg8L2tleT48a2V5
IGFwcD0iRU5XZWIiIGRiLWlkPSIiPjA8L2tleT48L2ZvcmVpZ24ta2V5cz48cmVmLXR5cGUgbmFt
ZT0iSm91cm5hbCBBcnRpY2xlIj4xNzwvcmVmLXR5cGU+PGNvbnRyaWJ1dG9ycz48YXV0aG9ycz48
YXV0aG9yPkNhbmlzdHJvLCBELjwvYXV0aG9yPjxhdXRob3I+Vml2YXJlbGxpLCBGLjwvYXV0aG9y
PjxhdXRob3I+Q2lyaWxsbywgUy48L2F1dGhvcj48YXV0aG9yPkJhYm90IE1hcnF1aWxsYXMsIEMu
PC9hdXRob3I+PGF1dGhvcj5CdXNjaGluaSwgQS48L2F1dGhvcj48YXV0aG9yPkxhenphcmV0dGks
IE0uPC9hdXRob3I+PGF1dGhvcj5NYXJjaGksIEwuPC9hdXRob3I+PGF1dGhvcj5DYXJkZW5pYSwg
Vi48L2F1dGhvcj48YXV0aG9yPlJvZHJpZ3Vlei1Fc3RyYWRhLCBNLiBULjwvYXV0aG9yPjxhdXRo
b3I+TG9kb3ZpY2ksIE0uPC9hdXRob3I+PGF1dGhvcj5DaXByaWFuaSwgQy48L2F1dGhvcj48YXV0
aG9yPkxvcmVuemluaSwgQS48L2F1dGhvcj48YXV0aG9yPkNyb2NvLCBFLjwvYXV0aG9yPjxhdXRo
b3I+TWFyY2hpb25uaSwgUy48L2F1dGhvcj48YXV0aG9yPkZyYW5jaGksIFAuPC9hdXRob3I+PGF1
dGhvcj5MdWNhcmluaSwgTS48L2F1dGhvcj48YXV0aG9yPkxvbmdvLCBWLjwvYXV0aG9yPjxhdXRo
b3I+RGVsbGEgQ3JvY2UsIEMuIE0uPC9hdXRob3I+PGF1dGhvcj5Wb3Jub2xpLCBBLjwvYXV0aG9y
PjxhdXRob3I+Q29sYWNjaSwgQS48L2F1dGhvcj48YXV0aG9yPlZhY2NhcmksIE0uPC9hdXRob3I+
PGF1dGhvcj5TYXBvbmUsIEEuPC9hdXRob3I+PGF1dGhvcj5QYW9saW5pLCBNLjwvYXV0aG9yPjwv
YXV0aG9ycz48L2NvbnRyaWJ1dG9ycz48YXV0aC1hZGRyZXNzPkRlcGFydG1lbnQgb2YgUGhhcm1h
Y3kgYW5kIEJpb3RlY2hub2xvZ3ksIEFsbWEgTWF0ZXIgU3R1ZGlvcnVtLVVuaXZlcnNpdHkgb2Yg
Qm9sb2duYSwgVmlhIElybmVyaW8gNDgsIDQwMTI2LCBCb2xvZ25hLCBJdGFseS4gZG9uYXRlbGxh
LmNhbmlzdHJvQHVuaWJvLml0LiYjeEQ7RGVwYXJ0bWVudCBvZiBQaGFybWFjeSBhbmQgQmlvdGVj
aG5vbG9neSwgQWxtYSBNYXRlciBTdHVkaW9ydW0tVW5pdmVyc2l0eSBvZiBCb2xvZ25hLCBWaWEg
SXJuZXJpbyA0OCwgNDAxMjYsIEJvbG9nbmEsIEl0YWx5LiYjeEQ7RGVwYXJ0bWVudCBvZiBMaWZl
IFNjaWVuY2VzLCBVbml2ZXJzaXR5IG9mIFBhcm1hLCBQYXJjbyBBcmVhIGRlbGxlIFNjaWVuemUg
MTFBLCA0MzEyNCwgUGFybWEsIEl0YWx5LiYjeEQ7SW50ZXItRGVwYXJ0bWVudGFsIENlbnRyZSBm
b3IgQWdyaS1Gb29kIEluZHVzdHJpYWwgUmVzZWFyY2gsIEFsbWEgTWF0ZXIgU3R1ZGlvcnVtLVVu
aXZlcnNpdHkgb2YgQm9sb2duYSwgVmlhIFF1aW50byBCdWNjaSAzMzYsIDQ3NTIxLCBDZXNlbmEs
IEl0YWx5LiYjeEQ7RGVwYXJ0bWVudCBvZiBBZ3JpY3VsdHVyYWwgYW5kIEZvb2QgU2NpZW5jZXMs
IEFsbWEgTWF0ZXIgU3R1ZGlvcnVtLVVuaXZlcnNpdGEgZGkgQm9sb2duYSwgVmlhbGUgRmFuaW4g
NDAsIDQwMTI3LCBCb2xvZ25hLCBJdGFseS4mI3hEO0RlcGFydG1lbnQgb2YgTmV1cm9mYXJiYSwg
U2VjdGlvbiBvZiBQaGFybWFjb2xvZ3kgYW5kIFRveGljb2xvZ3ksIFVuaXZlcnNpdHkgb2YgRmxv
cmVuY2UsIEZsb3JlbmNlLCBJdGFseS4mI3hEO0RlcGFydG1lbnQgb2YgQmlvbWVkaWNhbCBhbmQg
TmV1cm9tb3RvciBTY2llbmNlcywgQWxtYSBNYXRlciBTdHVkaW9ydW0tVW5pdmVyc2l0eSBvZiBC
b2xvZ25hLCBWaWEgSXJuZXJpbyA0OCwgNDAxMjYsIEJvbG9nbmEsIEl0YWx5LiYjeEQ7RGVwYXJ0
bWVudCBvZiBDaGVtaXN0cnkgJnF1b3Q7Ry4gQ2lhbWljaWFuJnF1b3Q7LCBBbG1hIE1hdGVyIFN0
dWRpb3J1bS1Vbml2ZXJzaXR5IG9mIEJvbG9nbmEsIFZpYSBTLiBHaWFjb21vIDExLCA0MDEyNiwg
Qm9sb2duYSwgSXRhbHkuJiN4RDtEZXBhcnRtZW50IG9mIEFncmljdWx0dXJhbCBCaW9sb2d5IGFu
ZCBCaW90ZWNobm9sb2d5LCBDTlIsIFZpYSBNb3J1enppIDEsIDU2MTI0LCBQaXNhLCBJdGFseS4m
I3hEO0NlbnRlciBmb3IgRW52aXJvbm1lbnRhbCBUb3hpY29sb2d5LCBFbnZpcm9ubWVudGFsIFBy
b3RlY3Rpb24gYW5kIEhlYWx0aCBQcmV2ZW50aW9uIEFnZW5jeSBFbWlsaWEtUm9tYWduYSBSZWdp
b24gKEVSLUVQQSksIEJvbG9nbmEsIEl0YWx5LjwvYXV0aC1hZGRyZXNzPjx0aXRsZXM+PHRpdGxl
PkUtY2lnYXJldHRlcyBpbmR1Y2UgdG94aWNvbG9naWNhbCBlZmZlY3RzIHRoYXQgY2FuIHJhaXNl
IHRoZSBjYW5jZXIgcmlzazwvdGl0bGU+PHNlY29uZGFyeS10aXRsZT5TY2kgUmVwPC9zZWNvbmRh
cnktdGl0bGU+PGFsdC10aXRsZT5TY2llbnRpZmljIHJlcG9ydHM8L2FsdC10aXRsZT48L3RpdGxl
cz48YWx0LXBlcmlvZGljYWw+PGZ1bGwtdGl0bGU+U2NpZW50aWZpYyBSZXBvcnRzPC9mdWxsLXRp
dGxlPjwvYWx0LXBlcmlvZGljYWw+PHBhZ2VzPjIwMjg8L3BhZ2VzPjx2b2x1bWU+Nzwvdm9sdW1l
PjxudW1iZXI+MTwvbnVtYmVyPjxlZGl0aW9uPjIwMTcvMDUvMTk8L2VkaXRpb24+PGRhdGVzPjx5
ZWFyPjIwMTc8L3llYXI+PHB1Yi1kYXRlcz48ZGF0ZT5NYXkgMTc8L2RhdGU+PC9wdWItZGF0ZXM+
PC9kYXRlcz48aXNibj4yMDQ1LTIzMjI8L2lzYm4+PGFjY2Vzc2lvbi1udW0+Mjg1MTU0ODU8L2Fj
Y2Vzc2lvbi1udW0+PHVybHM+PHJlbGF0ZWQtdXJscz48dXJsPmh0dHBzOi8vd3d3Lm5jYmkubmxt
Lm5paC5nb3YvcG1jL2FydGljbGVzL1BNQzU0MzU2OTkvcGRmLzQxNTk4XzIwMTdfQXJ0aWNsZV8y
MzE3LnBkZjwvdXJsPjwvcmVsYXRlZC11cmxzPjwvdXJscz48Y3VzdG9tMj5QTUM1NDM1Njk5PC9j
dXN0b20yPjxlbGVjdHJvbmljLXJlc291cmNlLW51bT4xMC4xMDM4L3M0MTU5OC0wMTctMDIzMTct
ODwvZWxlY3Ryb25pYy1yZXNvdXJjZS1udW0+PHJlbW90ZS1kYXRhYmFzZS1wcm92aWRlcj5OTE08
L3JlbW90ZS1kYXRhYmFzZS1wcm92aWRlcj48bGFuZ3VhZ2U+ZW5nPC9sYW5ndWFnZT48L3JlY29y
ZD48L0NpdGU+PC9FbmROb3RlPn==
</w:fldData>
            </w:fldChar>
          </w:r>
          <w:r>
            <w:instrText xml:space="preserve"> ADDIN EN.CITE.DATA </w:instrText>
          </w:r>
          <w:r>
            <w:fldChar w:fldCharType="end"/>
          </w:r>
          <w:r>
            <w:fldChar w:fldCharType="separate"/>
          </w:r>
          <w:r>
            <w:rPr>
              <w:noProof/>
            </w:rPr>
            <w:t>(Canistro, Vivarelli et al. 2017)</w:t>
          </w:r>
          <w:r>
            <w:fldChar w:fldCharType="end"/>
          </w:r>
          <w:r>
            <w:t xml:space="preserve">. Rats also had higher plasma levels of reactive oxygen species, reduced antioxidant abilities (measured by ferric reducing antioxidant power, aka FRAP) and more DNA fragmentation than the control group (which was exposed to room air) </w:t>
          </w:r>
          <w:r>
            <w:fldChar w:fldCharType="begin">
              <w:fldData xml:space="preserve">PEVuZE5vdGU+PENpdGU+PEF1dGhvcj5DYW5pc3RybzwvQXV0aG9yPjxZZWFyPjIwMTc8L1llYXI+
PFJlY051bT4xMTQ4PC9SZWNOdW0+PERpc3BsYXlUZXh0PihDYW5pc3RybywgVml2YXJlbGxpIGV0
IGFsLiAyMDE3KTwvRGlzcGxheVRleHQ+PHJlY29yZD48cmVjLW51bWJlcj4xMTQ4PC9yZWMtbnVt
YmVyPjxmb3JlaWduLWtleXM+PGtleSBhcHA9IkVOIiBkYi1pZD0iOXowNWR6MHByYWFkZnVlZTB6
b3h6ZWRrOXpmZTVmeHg1MHo1IiB0aW1lc3RhbXA9IjE1MjE1MDcwMTIiPjExNDg8L2tleT48a2V5
IGFwcD0iRU5XZWIiIGRiLWlkPSIiPjA8L2tleT48L2ZvcmVpZ24ta2V5cz48cmVmLXR5cGUgbmFt
ZT0iSm91cm5hbCBBcnRpY2xlIj4xNzwvcmVmLXR5cGU+PGNvbnRyaWJ1dG9ycz48YXV0aG9ycz48
YXV0aG9yPkNhbmlzdHJvLCBELjwvYXV0aG9yPjxhdXRob3I+Vml2YXJlbGxpLCBGLjwvYXV0aG9y
PjxhdXRob3I+Q2lyaWxsbywgUy48L2F1dGhvcj48YXV0aG9yPkJhYm90IE1hcnF1aWxsYXMsIEMu
PC9hdXRob3I+PGF1dGhvcj5CdXNjaGluaSwgQS48L2F1dGhvcj48YXV0aG9yPkxhenphcmV0dGks
IE0uPC9hdXRob3I+PGF1dGhvcj5NYXJjaGksIEwuPC9hdXRob3I+PGF1dGhvcj5DYXJkZW5pYSwg
Vi48L2F1dGhvcj48YXV0aG9yPlJvZHJpZ3Vlei1Fc3RyYWRhLCBNLiBULjwvYXV0aG9yPjxhdXRo
b3I+TG9kb3ZpY2ksIE0uPC9hdXRob3I+PGF1dGhvcj5DaXByaWFuaSwgQy48L2F1dGhvcj48YXV0
aG9yPkxvcmVuemluaSwgQS48L2F1dGhvcj48YXV0aG9yPkNyb2NvLCBFLjwvYXV0aG9yPjxhdXRo
b3I+TWFyY2hpb25uaSwgUy48L2F1dGhvcj48YXV0aG9yPkZyYW5jaGksIFAuPC9hdXRob3I+PGF1
dGhvcj5MdWNhcmluaSwgTS48L2F1dGhvcj48YXV0aG9yPkxvbmdvLCBWLjwvYXV0aG9yPjxhdXRo
b3I+RGVsbGEgQ3JvY2UsIEMuIE0uPC9hdXRob3I+PGF1dGhvcj5Wb3Jub2xpLCBBLjwvYXV0aG9y
PjxhdXRob3I+Q29sYWNjaSwgQS48L2F1dGhvcj48YXV0aG9yPlZhY2NhcmksIE0uPC9hdXRob3I+
PGF1dGhvcj5TYXBvbmUsIEEuPC9hdXRob3I+PGF1dGhvcj5QYW9saW5pLCBNLjwvYXV0aG9yPjwv
YXV0aG9ycz48L2NvbnRyaWJ1dG9ycz48YXV0aC1hZGRyZXNzPkRlcGFydG1lbnQgb2YgUGhhcm1h
Y3kgYW5kIEJpb3RlY2hub2xvZ3ksIEFsbWEgTWF0ZXIgU3R1ZGlvcnVtLVVuaXZlcnNpdHkgb2Yg
Qm9sb2duYSwgVmlhIElybmVyaW8gNDgsIDQwMTI2LCBCb2xvZ25hLCBJdGFseS4gZG9uYXRlbGxh
LmNhbmlzdHJvQHVuaWJvLml0LiYjeEQ7RGVwYXJ0bWVudCBvZiBQaGFybWFjeSBhbmQgQmlvdGVj
aG5vbG9neSwgQWxtYSBNYXRlciBTdHVkaW9ydW0tVW5pdmVyc2l0eSBvZiBCb2xvZ25hLCBWaWEg
SXJuZXJpbyA0OCwgNDAxMjYsIEJvbG9nbmEsIEl0YWx5LiYjeEQ7RGVwYXJ0bWVudCBvZiBMaWZl
IFNjaWVuY2VzLCBVbml2ZXJzaXR5IG9mIFBhcm1hLCBQYXJjbyBBcmVhIGRlbGxlIFNjaWVuemUg
MTFBLCA0MzEyNCwgUGFybWEsIEl0YWx5LiYjeEQ7SW50ZXItRGVwYXJ0bWVudGFsIENlbnRyZSBm
b3IgQWdyaS1Gb29kIEluZHVzdHJpYWwgUmVzZWFyY2gsIEFsbWEgTWF0ZXIgU3R1ZGlvcnVtLVVu
aXZlcnNpdHkgb2YgQm9sb2duYSwgVmlhIFF1aW50byBCdWNjaSAzMzYsIDQ3NTIxLCBDZXNlbmEs
IEl0YWx5LiYjeEQ7RGVwYXJ0bWVudCBvZiBBZ3JpY3VsdHVyYWwgYW5kIEZvb2QgU2NpZW5jZXMs
IEFsbWEgTWF0ZXIgU3R1ZGlvcnVtLVVuaXZlcnNpdGEgZGkgQm9sb2duYSwgVmlhbGUgRmFuaW4g
NDAsIDQwMTI3LCBCb2xvZ25hLCBJdGFseS4mI3hEO0RlcGFydG1lbnQgb2YgTmV1cm9mYXJiYSwg
U2VjdGlvbiBvZiBQaGFybWFjb2xvZ3kgYW5kIFRveGljb2xvZ3ksIFVuaXZlcnNpdHkgb2YgRmxv
cmVuY2UsIEZsb3JlbmNlLCBJdGFseS4mI3hEO0RlcGFydG1lbnQgb2YgQmlvbWVkaWNhbCBhbmQg
TmV1cm9tb3RvciBTY2llbmNlcywgQWxtYSBNYXRlciBTdHVkaW9ydW0tVW5pdmVyc2l0eSBvZiBC
b2xvZ25hLCBWaWEgSXJuZXJpbyA0OCwgNDAxMjYsIEJvbG9nbmEsIEl0YWx5LiYjeEQ7RGVwYXJ0
bWVudCBvZiBDaGVtaXN0cnkgJnF1b3Q7Ry4gQ2lhbWljaWFuJnF1b3Q7LCBBbG1hIE1hdGVyIFN0
dWRpb3J1bS1Vbml2ZXJzaXR5IG9mIEJvbG9nbmEsIFZpYSBTLiBHaWFjb21vIDExLCA0MDEyNiwg
Qm9sb2duYSwgSXRhbHkuJiN4RDtEZXBhcnRtZW50IG9mIEFncmljdWx0dXJhbCBCaW9sb2d5IGFu
ZCBCaW90ZWNobm9sb2d5LCBDTlIsIFZpYSBNb3J1enppIDEsIDU2MTI0LCBQaXNhLCBJdGFseS4m
I3hEO0NlbnRlciBmb3IgRW52aXJvbm1lbnRhbCBUb3hpY29sb2d5LCBFbnZpcm9ubWVudGFsIFBy
b3RlY3Rpb24gYW5kIEhlYWx0aCBQcmV2ZW50aW9uIEFnZW5jeSBFbWlsaWEtUm9tYWduYSBSZWdp
b24gKEVSLUVQQSksIEJvbG9nbmEsIEl0YWx5LjwvYXV0aC1hZGRyZXNzPjx0aXRsZXM+PHRpdGxl
PkUtY2lnYXJldHRlcyBpbmR1Y2UgdG94aWNvbG9naWNhbCBlZmZlY3RzIHRoYXQgY2FuIHJhaXNl
IHRoZSBjYW5jZXIgcmlzazwvdGl0bGU+PHNlY29uZGFyeS10aXRsZT5TY2kgUmVwPC9zZWNvbmRh
cnktdGl0bGU+PGFsdC10aXRsZT5TY2llbnRpZmljIHJlcG9ydHM8L2FsdC10aXRsZT48L3RpdGxl
cz48YWx0LXBlcmlvZGljYWw+PGZ1bGwtdGl0bGU+U2NpZW50aWZpYyBSZXBvcnRzPC9mdWxsLXRp
dGxlPjwvYWx0LXBlcmlvZGljYWw+PHBhZ2VzPjIwMjg8L3BhZ2VzPjx2b2x1bWU+Nzwvdm9sdW1l
PjxudW1iZXI+MTwvbnVtYmVyPjxlZGl0aW9uPjIwMTcvMDUvMTk8L2VkaXRpb24+PGRhdGVzPjx5
ZWFyPjIwMTc8L3llYXI+PHB1Yi1kYXRlcz48ZGF0ZT5NYXkgMTc8L2RhdGU+PC9wdWItZGF0ZXM+
PC9kYXRlcz48aXNibj4yMDQ1LTIzMjI8L2lzYm4+PGFjY2Vzc2lvbi1udW0+Mjg1MTU0ODU8L2Fj
Y2Vzc2lvbi1udW0+PHVybHM+PHJlbGF0ZWQtdXJscz48dXJsPmh0dHBzOi8vd3d3Lm5jYmkubmxt
Lm5paC5nb3YvcG1jL2FydGljbGVzL1BNQzU0MzU2OTkvcGRmLzQxNTk4XzIwMTdfQXJ0aWNsZV8y
MzE3LnBkZjwvdXJsPjwvcmVsYXRlZC11cmxzPjwvdXJscz48Y3VzdG9tMj5QTUM1NDM1Njk5PC9j
dXN0b20yPjxlbGVjdHJvbmljLXJlc291cmNlLW51bT4xMC4xMDM4L3M0MTU5OC0wMTctMDIzMTct
ODwvZWxlY3Ryb25pYy1yZXNvdXJjZS1udW0+PHJlbW90ZS1kYXRhYmFzZS1wcm92aWRlcj5OTE08
L3JlbW90ZS1kYXRhYmFzZS1wcm92aWRlcj48bGFuZ3VhZ2U+ZW5nPC9sYW5ndWFnZT48L3JlY29y
ZD48L0NpdGU+PC9FbmROb3RlPn==
</w:fldData>
            </w:fldChar>
          </w:r>
          <w:r>
            <w:instrText xml:space="preserve"> ADDIN EN.CITE </w:instrText>
          </w:r>
          <w:r>
            <w:fldChar w:fldCharType="begin">
              <w:fldData xml:space="preserve">PEVuZE5vdGU+PENpdGU+PEF1dGhvcj5DYW5pc3RybzwvQXV0aG9yPjxZZWFyPjIwMTc8L1llYXI+
PFJlY051bT4xMTQ4PC9SZWNOdW0+PERpc3BsYXlUZXh0PihDYW5pc3RybywgVml2YXJlbGxpIGV0
IGFsLiAyMDE3KTwvRGlzcGxheVRleHQ+PHJlY29yZD48cmVjLW51bWJlcj4xMTQ4PC9yZWMtbnVt
YmVyPjxmb3JlaWduLWtleXM+PGtleSBhcHA9IkVOIiBkYi1pZD0iOXowNWR6MHByYWFkZnVlZTB6
b3h6ZWRrOXpmZTVmeHg1MHo1IiB0aW1lc3RhbXA9IjE1MjE1MDcwMTIiPjExNDg8L2tleT48a2V5
IGFwcD0iRU5XZWIiIGRiLWlkPSIiPjA8L2tleT48L2ZvcmVpZ24ta2V5cz48cmVmLXR5cGUgbmFt
ZT0iSm91cm5hbCBBcnRpY2xlIj4xNzwvcmVmLXR5cGU+PGNvbnRyaWJ1dG9ycz48YXV0aG9ycz48
YXV0aG9yPkNhbmlzdHJvLCBELjwvYXV0aG9yPjxhdXRob3I+Vml2YXJlbGxpLCBGLjwvYXV0aG9y
PjxhdXRob3I+Q2lyaWxsbywgUy48L2F1dGhvcj48YXV0aG9yPkJhYm90IE1hcnF1aWxsYXMsIEMu
PC9hdXRob3I+PGF1dGhvcj5CdXNjaGluaSwgQS48L2F1dGhvcj48YXV0aG9yPkxhenphcmV0dGks
IE0uPC9hdXRob3I+PGF1dGhvcj5NYXJjaGksIEwuPC9hdXRob3I+PGF1dGhvcj5DYXJkZW5pYSwg
Vi48L2F1dGhvcj48YXV0aG9yPlJvZHJpZ3Vlei1Fc3RyYWRhLCBNLiBULjwvYXV0aG9yPjxhdXRo
b3I+TG9kb3ZpY2ksIE0uPC9hdXRob3I+PGF1dGhvcj5DaXByaWFuaSwgQy48L2F1dGhvcj48YXV0
aG9yPkxvcmVuemluaSwgQS48L2F1dGhvcj48YXV0aG9yPkNyb2NvLCBFLjwvYXV0aG9yPjxhdXRo
b3I+TWFyY2hpb25uaSwgUy48L2F1dGhvcj48YXV0aG9yPkZyYW5jaGksIFAuPC9hdXRob3I+PGF1
dGhvcj5MdWNhcmluaSwgTS48L2F1dGhvcj48YXV0aG9yPkxvbmdvLCBWLjwvYXV0aG9yPjxhdXRo
b3I+RGVsbGEgQ3JvY2UsIEMuIE0uPC9hdXRob3I+PGF1dGhvcj5Wb3Jub2xpLCBBLjwvYXV0aG9y
PjxhdXRob3I+Q29sYWNjaSwgQS48L2F1dGhvcj48YXV0aG9yPlZhY2NhcmksIE0uPC9hdXRob3I+
PGF1dGhvcj5TYXBvbmUsIEEuPC9hdXRob3I+PGF1dGhvcj5QYW9saW5pLCBNLjwvYXV0aG9yPjwv
YXV0aG9ycz48L2NvbnRyaWJ1dG9ycz48YXV0aC1hZGRyZXNzPkRlcGFydG1lbnQgb2YgUGhhcm1h
Y3kgYW5kIEJpb3RlY2hub2xvZ3ksIEFsbWEgTWF0ZXIgU3R1ZGlvcnVtLVVuaXZlcnNpdHkgb2Yg
Qm9sb2duYSwgVmlhIElybmVyaW8gNDgsIDQwMTI2LCBCb2xvZ25hLCBJdGFseS4gZG9uYXRlbGxh
LmNhbmlzdHJvQHVuaWJvLml0LiYjeEQ7RGVwYXJ0bWVudCBvZiBQaGFybWFjeSBhbmQgQmlvdGVj
aG5vbG9neSwgQWxtYSBNYXRlciBTdHVkaW9ydW0tVW5pdmVyc2l0eSBvZiBCb2xvZ25hLCBWaWEg
SXJuZXJpbyA0OCwgNDAxMjYsIEJvbG9nbmEsIEl0YWx5LiYjeEQ7RGVwYXJ0bWVudCBvZiBMaWZl
IFNjaWVuY2VzLCBVbml2ZXJzaXR5IG9mIFBhcm1hLCBQYXJjbyBBcmVhIGRlbGxlIFNjaWVuemUg
MTFBLCA0MzEyNCwgUGFybWEsIEl0YWx5LiYjeEQ7SW50ZXItRGVwYXJ0bWVudGFsIENlbnRyZSBm
b3IgQWdyaS1Gb29kIEluZHVzdHJpYWwgUmVzZWFyY2gsIEFsbWEgTWF0ZXIgU3R1ZGlvcnVtLVVu
aXZlcnNpdHkgb2YgQm9sb2duYSwgVmlhIFF1aW50byBCdWNjaSAzMzYsIDQ3NTIxLCBDZXNlbmEs
IEl0YWx5LiYjeEQ7RGVwYXJ0bWVudCBvZiBBZ3JpY3VsdHVyYWwgYW5kIEZvb2QgU2NpZW5jZXMs
IEFsbWEgTWF0ZXIgU3R1ZGlvcnVtLVVuaXZlcnNpdGEgZGkgQm9sb2duYSwgVmlhbGUgRmFuaW4g
NDAsIDQwMTI3LCBCb2xvZ25hLCBJdGFseS4mI3hEO0RlcGFydG1lbnQgb2YgTmV1cm9mYXJiYSwg
U2VjdGlvbiBvZiBQaGFybWFjb2xvZ3kgYW5kIFRveGljb2xvZ3ksIFVuaXZlcnNpdHkgb2YgRmxv
cmVuY2UsIEZsb3JlbmNlLCBJdGFseS4mI3hEO0RlcGFydG1lbnQgb2YgQmlvbWVkaWNhbCBhbmQg
TmV1cm9tb3RvciBTY2llbmNlcywgQWxtYSBNYXRlciBTdHVkaW9ydW0tVW5pdmVyc2l0eSBvZiBC
b2xvZ25hLCBWaWEgSXJuZXJpbyA0OCwgNDAxMjYsIEJvbG9nbmEsIEl0YWx5LiYjeEQ7RGVwYXJ0
bWVudCBvZiBDaGVtaXN0cnkgJnF1b3Q7Ry4gQ2lhbWljaWFuJnF1b3Q7LCBBbG1hIE1hdGVyIFN0
dWRpb3J1bS1Vbml2ZXJzaXR5IG9mIEJvbG9nbmEsIFZpYSBTLiBHaWFjb21vIDExLCA0MDEyNiwg
Qm9sb2duYSwgSXRhbHkuJiN4RDtEZXBhcnRtZW50IG9mIEFncmljdWx0dXJhbCBCaW9sb2d5IGFu
ZCBCaW90ZWNobm9sb2d5LCBDTlIsIFZpYSBNb3J1enppIDEsIDU2MTI0LCBQaXNhLCBJdGFseS4m
I3hEO0NlbnRlciBmb3IgRW52aXJvbm1lbnRhbCBUb3hpY29sb2d5LCBFbnZpcm9ubWVudGFsIFBy
b3RlY3Rpb24gYW5kIEhlYWx0aCBQcmV2ZW50aW9uIEFnZW5jeSBFbWlsaWEtUm9tYWduYSBSZWdp
b24gKEVSLUVQQSksIEJvbG9nbmEsIEl0YWx5LjwvYXV0aC1hZGRyZXNzPjx0aXRsZXM+PHRpdGxl
PkUtY2lnYXJldHRlcyBpbmR1Y2UgdG94aWNvbG9naWNhbCBlZmZlY3RzIHRoYXQgY2FuIHJhaXNl
IHRoZSBjYW5jZXIgcmlzazwvdGl0bGU+PHNlY29uZGFyeS10aXRsZT5TY2kgUmVwPC9zZWNvbmRh
cnktdGl0bGU+PGFsdC10aXRsZT5TY2llbnRpZmljIHJlcG9ydHM8L2FsdC10aXRsZT48L3RpdGxl
cz48YWx0LXBlcmlvZGljYWw+PGZ1bGwtdGl0bGU+U2NpZW50aWZpYyBSZXBvcnRzPC9mdWxsLXRp
dGxlPjwvYWx0LXBlcmlvZGljYWw+PHBhZ2VzPjIwMjg8L3BhZ2VzPjx2b2x1bWU+Nzwvdm9sdW1l
PjxudW1iZXI+MTwvbnVtYmVyPjxlZGl0aW9uPjIwMTcvMDUvMTk8L2VkaXRpb24+PGRhdGVzPjx5
ZWFyPjIwMTc8L3llYXI+PHB1Yi1kYXRlcz48ZGF0ZT5NYXkgMTc8L2RhdGU+PC9wdWItZGF0ZXM+
PC9kYXRlcz48aXNibj4yMDQ1LTIzMjI8L2lzYm4+PGFjY2Vzc2lvbi1udW0+Mjg1MTU0ODU8L2Fj
Y2Vzc2lvbi1udW0+PHVybHM+PHJlbGF0ZWQtdXJscz48dXJsPmh0dHBzOi8vd3d3Lm5jYmkubmxt
Lm5paC5nb3YvcG1jL2FydGljbGVzL1BNQzU0MzU2OTkvcGRmLzQxNTk4XzIwMTdfQXJ0aWNsZV8y
MzE3LnBkZjwvdXJsPjwvcmVsYXRlZC11cmxzPjwvdXJscz48Y3VzdG9tMj5QTUM1NDM1Njk5PC9j
dXN0b20yPjxlbGVjdHJvbmljLXJlc291cmNlLW51bT4xMC4xMDM4L3M0MTU5OC0wMTctMDIzMTct
ODwvZWxlY3Ryb25pYy1yZXNvdXJjZS1udW0+PHJlbW90ZS1kYXRhYmFzZS1wcm92aWRlcj5OTE08
L3JlbW90ZS1kYXRhYmFzZS1wcm92aWRlcj48bGFuZ3VhZ2U+ZW5nPC9sYW5ndWFnZT48L3JlY29y
ZD48L0NpdGU+PC9FbmROb3RlPn==
</w:fldData>
            </w:fldChar>
          </w:r>
          <w:r>
            <w:instrText xml:space="preserve"> ADDIN EN.CITE.DATA </w:instrText>
          </w:r>
          <w:r>
            <w:fldChar w:fldCharType="end"/>
          </w:r>
          <w:r>
            <w:fldChar w:fldCharType="separate"/>
          </w:r>
          <w:r>
            <w:rPr>
              <w:noProof/>
            </w:rPr>
            <w:t>(Canistro, Vivarelli et al. 2017)</w:t>
          </w:r>
          <w:r>
            <w:fldChar w:fldCharType="end"/>
          </w:r>
          <w:r>
            <w:t xml:space="preserve">. </w:t>
          </w:r>
        </w:p>
        <w:p w14:paraId="63D95810" w14:textId="77777777" w:rsidR="00A74D41" w:rsidRDefault="00A74D41" w:rsidP="00A74D41">
          <w:pPr>
            <w:pStyle w:val="BodyText"/>
          </w:pPr>
          <w:r>
            <w:t xml:space="preserve">The final study was conducted by Cobb et al. and compared the effects of e-cigarette vapour and cigarette smoke on stress-induced sleep and metallothioneins (MTs) </w:t>
          </w:r>
          <w:r>
            <w:fldChar w:fldCharType="begin"/>
          </w:r>
          <w:r>
            <w:instrText xml:space="preserve"> ADDIN EN.CITE &lt;EndNote&gt;&lt;Cite&gt;&lt;Author&gt;Cobb&lt;/Author&gt;&lt;Year&gt;2018&lt;/Year&gt;&lt;RecNum&gt;10430&lt;/RecNum&gt;&lt;DisplayText&gt;(Cobb, Hall et al. 2018)&lt;/DisplayText&gt;&lt;record&gt;&lt;rec-number&gt;10430&lt;/rec-number&gt;&lt;foreign-keys&gt;&lt;key app="EN" db-id="9z05dz0praadfuee0zoxzedk9zfe5fxx50z5" timestamp="1526869878"&gt;10430&lt;/key&gt;&lt;key app="ENWeb" db-id=""&gt;0&lt;/key&gt;&lt;/foreign-keys&gt;&lt;ref-type name="Journal Article"&gt;17&lt;/ref-type&gt;&lt;contributors&gt;&lt;authors&gt;&lt;author&gt;Cobb, Eric&lt;/author&gt;&lt;author&gt;Hall, Julie&lt;/author&gt;&lt;author&gt;Palazzolo, Dominic L.&lt;/author&gt;&lt;/authors&gt;&lt;/contributors&gt;&lt;titles&gt;&lt;title&gt;Induction of Metallothionein Expression After Exposure to Conventional Cigarette Smoke but Not Electronic Cigarette (ECIG)-Generated Aerosol in Caenorhabditis elegans&lt;/title&gt;&lt;secondary-title&gt;Frontiers in Physiology&lt;/secondary-title&gt;&lt;/titles&gt;&lt;periodical&gt;&lt;full-title&gt;Frontiers in physiology&lt;/full-title&gt;&lt;/periodical&gt;&lt;volume&gt;9&lt;/volume&gt;&lt;dates&gt;&lt;year&gt;2018&lt;/year&gt;&lt;pub-dates&gt;&lt;date&gt;Apr 23&lt;/date&gt;&lt;/pub-dates&gt;&lt;/dates&gt;&lt;isbn&gt;1664-042X&lt;/isbn&gt;&lt;accession-num&gt;WOS:000430577900002&lt;/accession-num&gt;&lt;urls&gt;&lt;related-urls&gt;&lt;url&gt;&amp;lt;Go to ISI&amp;gt;://WOS:000430577900002&lt;/url&gt;&lt;url&gt;https://fjfsdata01prod.blob.core.windows.net/articles/files/341017/pubmed-zip/.versions/1/.package-entries/fphys-09-00426/fphys-09-00426.pdf?sv=2015-12-11&amp;amp;sr=b&amp;amp;sig=ofIT8lmlagjA0AhyBAVDJyvnCWgw%2Fylt7odS5rbvEwQ%3D&amp;amp;se=2018-05-21T04%3A07%3A33Z&amp;amp;sp=r&amp;amp;rscd=attachment%3B%20filename%2A%3DUTF-8%27%27fphys-09-00426.pdf&lt;/url&gt;&lt;url&gt;https://fjfsdata01prod.blob.core.windows.net/articles/files/341017/pubmed-zip/.versions/1/.package-entries/fphys-09-00426/fphys-09-00426.pdf?sv=2015-12-11&amp;amp;sr=b&amp;amp;sig=lQbXu3wyMZh7p3SNHrFt3YMavPRF5uEtdKlV9sWauHk%3D&amp;amp;se=2018-05-21T04%3A43%3A41Z&amp;amp;sp=r&amp;amp;rscd=attachment%3B%20filename%2A%3DUTF-8%27%27fphys-09-00426.pdf&lt;/url&gt;&lt;/related-urls&gt;&lt;/urls&gt;&lt;custom7&gt;426&lt;/custom7&gt;&lt;electronic-resource-num&gt;10.3389/fphys.2018.00426&lt;/electronic-resource-num&gt;&lt;/record&gt;&lt;/Cite&gt;&lt;/EndNote&gt;</w:instrText>
          </w:r>
          <w:r>
            <w:fldChar w:fldCharType="separate"/>
          </w:r>
          <w:r>
            <w:rPr>
              <w:noProof/>
            </w:rPr>
            <w:t>(Cobb, Hall et al. 2018)</w:t>
          </w:r>
          <w:r>
            <w:fldChar w:fldCharType="end"/>
          </w:r>
          <w:r>
            <w:t xml:space="preserve">. MTs indicate the presence of reactive oxygen species, induced by toxic substances and include </w:t>
          </w:r>
          <w:r w:rsidRPr="00C364F8">
            <w:rPr>
              <w:i/>
            </w:rPr>
            <w:t>mtl-1</w:t>
          </w:r>
          <w:r>
            <w:t xml:space="preserve"> and </w:t>
          </w:r>
          <w:r w:rsidRPr="00C364F8">
            <w:rPr>
              <w:i/>
            </w:rPr>
            <w:t>mtl-2</w:t>
          </w:r>
          <w:r>
            <w:t xml:space="preserve">. </w:t>
          </w:r>
          <w:r>
            <w:rPr>
              <w:i/>
            </w:rPr>
            <w:t>C. elegans</w:t>
          </w:r>
          <w:r>
            <w:t xml:space="preserve"> larvae (nematodes) were incubated and exposed to cigarette smoke, e</w:t>
          </w:r>
          <w:r>
            <w:noBreakHyphen/>
            <w:t xml:space="preserve">cigarette vapour or fresh air in varying quantities (15, 30 or 45 puffs). </w:t>
          </w:r>
          <w:r w:rsidRPr="00C364F8">
            <w:t>Exposure to cigarette smoke resulted in dose-dependent increases in stress-induced sleep in the nematodes,</w:t>
          </w:r>
          <w:r>
            <w:t xml:space="preserve"> whereas</w:t>
          </w:r>
          <w:r w:rsidRPr="00C364F8">
            <w:t xml:space="preserve"> e</w:t>
          </w:r>
          <w:r>
            <w:noBreakHyphen/>
          </w:r>
          <w:r w:rsidRPr="00C364F8">
            <w:t>cigarette vapour and the control did not. Cigarette smoke</w:t>
          </w:r>
          <w:r>
            <w:t>, but not e-cigarette vapour,</w:t>
          </w:r>
          <w:r w:rsidRPr="00C364F8">
            <w:t xml:space="preserve"> induced </w:t>
          </w:r>
          <w:r w:rsidRPr="006E1CFE">
            <w:rPr>
              <w:i/>
            </w:rPr>
            <w:t>mtl-1</w:t>
          </w:r>
          <w:r w:rsidRPr="00C364F8">
            <w:t xml:space="preserve"> expression. No condition induced </w:t>
          </w:r>
          <w:r w:rsidRPr="006E1CFE">
            <w:rPr>
              <w:i/>
            </w:rPr>
            <w:t>mtl-2</w:t>
          </w:r>
          <w:r w:rsidRPr="00C364F8">
            <w:t xml:space="preserve"> expression. This indicates increased </w:t>
          </w:r>
          <w:r>
            <w:t>reactive oxygen species</w:t>
          </w:r>
          <w:r w:rsidRPr="00C364F8">
            <w:t xml:space="preserve"> presence after exposure to cigarette smoke but not e-cigarettes.</w:t>
          </w:r>
          <w:r>
            <w:t xml:space="preserve"> Thus, this study found that e-cigarettes had a minimal toxic impact on the nematodes, whereas cigarettes did. </w:t>
          </w:r>
        </w:p>
        <w:p w14:paraId="37B61E30" w14:textId="77777777" w:rsidR="00A74D41" w:rsidRDefault="00A74D41" w:rsidP="00A74D41">
          <w:pPr>
            <w:pStyle w:val="BodyText"/>
          </w:pPr>
          <w:r>
            <w:t xml:space="preserve">These three studies indicate that while e-cigarettes may increase oxidative stress, they likely have lower levels than cigarette smoke and do not elicit toxic responses. </w:t>
          </w:r>
        </w:p>
        <w:p w14:paraId="60B0E403" w14:textId="77777777" w:rsidR="00EA2246" w:rsidRPr="00EA2246" w:rsidRDefault="00EA2246" w:rsidP="00EA2246">
          <w:pPr>
            <w:pStyle w:val="BodyText"/>
          </w:pPr>
        </w:p>
        <w:p w14:paraId="7D28395A" w14:textId="531016B5" w:rsidR="000F0E2F" w:rsidRDefault="006B0EFF" w:rsidP="000F0E2F">
          <w:pPr>
            <w:pStyle w:val="Heading2"/>
          </w:pPr>
          <w:bookmarkStart w:id="69" w:name="_Toc513214371"/>
          <w:r>
            <w:t xml:space="preserve"> </w:t>
          </w:r>
          <w:bookmarkStart w:id="70" w:name="_Toc517706658"/>
          <w:r w:rsidR="000F0E2F">
            <w:t>Infection</w:t>
          </w:r>
          <w:bookmarkEnd w:id="69"/>
          <w:bookmarkEnd w:id="70"/>
        </w:p>
        <w:p w14:paraId="0B2D31FA" w14:textId="2DD66C27" w:rsidR="00A74D41" w:rsidRDefault="00A74D41" w:rsidP="00A74D41">
          <w:pPr>
            <w:pStyle w:val="BodyText"/>
          </w:pPr>
          <w:r>
            <w:t>One study investigated the effect of e-cigarette vapour on infection by exposing mice to e</w:t>
          </w:r>
          <w:r>
            <w:noBreakHyphen/>
            <w:t xml:space="preserve">cigarette vapour after nasopharyngeal pneumococcal colonisation </w:t>
          </w:r>
          <w:r>
            <w:fldChar w:fldCharType="begin">
              <w:fldData xml:space="preserve">PEVuZE5vdGU+PENpdGU+PEF1dGhvcj5NaXlhc2hpdGE8L0F1dGhvcj48WWVhcj4yMDE4PC9ZZWFy
PjxSZWNOdW0+NTgyPC9SZWNOdW0+PERpc3BsYXlUZXh0PihNaXlhc2hpdGEsIFN1cmkgZXQgYWwu
IDIwMTgpPC9EaXNwbGF5VGV4dD48cmVjb3JkPjxyZWMtbnVtYmVyPjU4MjwvcmVjLW51bWJlcj48
Zm9yZWlnbi1rZXlzPjxrZXkgYXBwPSJFTiIgZGItaWQ9Ijl6MDVkejBwcmFhZGZ1ZWUwem94emVk
azl6ZmU1Znh4NTB6NSIgdGltZXN0YW1wPSIxNTIxNTA2ODYzIj41ODI8L2tleT48a2V5IGFwcD0i
RU5XZWIiIGRiLWlkPSIiPjA8L2tleT48L2ZvcmVpZ24ta2V5cz48cmVmLXR5cGUgbmFtZT0iSm91
cm5hbCBBcnRpY2xlIj4xNzwvcmVmLXR5cGU+PGNvbnRyaWJ1dG9ycz48YXV0aG9ycz48YXV0aG9y
Pk1peWFzaGl0YSwgTC48L2F1dGhvcj48YXV0aG9yPlN1cmksIFIuPC9hdXRob3I+PGF1dGhvcj5E
ZWFyaW5nLCBFLjwvYXV0aG9yPjxhdXRob3I+TXVkd2F5LCBJLjwvYXV0aG9yPjxhdXRob3I+RG92
ZSwgUi4gRS48L2F1dGhvcj48YXV0aG9yPk5laWxsLCBELiBSLjwvYXV0aG9yPjxhdXRob3I+VmFu
IFp5bC1TbWl0LCBSLjwvYXV0aG9yPjxhdXRob3I+S2FkaW9nbHUsIEEuPC9hdXRob3I+PGF1dGhv
cj5HcmlnZywgSi48L2F1dGhvcj48L2F1dGhvcnM+PC9jb250cmlidXRvcnM+PGF1dGgtYWRkcmVz
cz5DZW50cmUgZm9yIEdlbm9taWNzIGFuZCBDaGlsZCBIZWFsdGgsIEJsaXphcmQgSW5zdGl0dXRl
LCBRdWVlbiBNYXJ5IFVuaXZlcnNpdHkgb2YgTG9uZG9uLCBMb25kb24sIFVLLiYjeEQ7VGhlIERl
cHQgb2YgQ2xpbmljYWwgSW5mZWN0aW9uLCBNaWNyb2Jpb2xvZ3kgYW5kIEltbXVub2xvZ3ksIElu
c3RpdHV0ZSBvZiBJbmZlY3Rpb24gYW5kIEdsb2JhbCBIZWFsdGgsIFVuaXZlcnNpdHkgb2YgTGl2
ZXJwb29sLCBMaXZlcnBvb2wsIFVLLiYjeEQ7TVJDLVBIRSBDZW50cmUgZm9yIEVudmlyb25tZW50
IGFuZCBIZWFsdGgsIEtpbmcmYXBvcztzIENvbGxlZ2UgTG9uZG9uLCBMb25kb24sIFVLLiYjeEQ7
TklIUiBIZWFsdGggUHJvdGVjdGlvbiBSZXNlYXJjaCBVbml0IG9uIEhlYWx0aCBJbXBhY3RzIG9m
IEVudmlyb25tZW50YWwgSGF6YXJkcywgS2luZyZhcG9zO3MgQ29sbGVnZSBMb25kb24sIExvbmRv
biwgVUsuJiN4RDtEaXZpc2lvbiBvZiBQdWxtb25vbG9neSwgRGVwdCBvZiBNZWRpY2luZSwgVW5p
dmVyc2l0eSBvZiBDYXBlIFRvd24gYW5kIFVDVCBMdW5nIEluc3RpdHV0ZSwgQ2FwZSBUb3duLCBT
b3V0aCBBZnJpY2EuJiN4RDtDZW50cmUgZm9yIEdlbm9taWNzIGFuZCBDaGlsZCBIZWFsdGgsIEJs
aXphcmQgSW5zdGl0dXRlLCBRdWVlbiBNYXJ5IFVuaXZlcnNpdHkgb2YgTG9uZG9uLCBMb25kb24s
IFVLIGouZ3JpZ2dAcW11bC5hYy51ay48L2F1dGgtYWRkcmVzcz48dGl0bGVzPjx0aXRsZT5FLWNp
Z2FyZXR0ZSB2YXBvdXIgZW5oYW5jZXMgcG5ldW1vY29jY2FsIGFkaGVyZW5jZSB0byBhaXJ3YXkg
ZXBpdGhlbGlhbCBjZWxsczwvdGl0bGU+PHNlY29uZGFyeS10aXRsZT5FdXIgUmVzcGlyIEo8L3Nl
Y29uZGFyeS10aXRsZT48YWx0LXRpdGxlPlRoZSBFdXJvcGVhbiByZXNwaXJhdG9yeSBqb3VybmFs
PC9hbHQtdGl0bGU+PC90aXRsZXM+PHBlcmlvZGljYWw+PGZ1bGwtdGl0bGU+RXVyIFJlc3BpciBK
PC9mdWxsLXRpdGxlPjxhYmJyLTE+VGhlIEV1cm9wZWFuIHJlc3BpcmF0b3J5IGpvdXJuYWw8L2Fi
YnItMT48L3BlcmlvZGljYWw+PGFsdC1wZXJpb2RpY2FsPjxmdWxsLXRpdGxlPkV1ciBSZXNwaXIg
SjwvZnVsbC10aXRsZT48YWJici0xPlRoZSBFdXJvcGVhbiByZXNwaXJhdG9yeSBqb3VybmFsPC9h
YmJyLTE+PC9hbHQtcGVyaW9kaWNhbD48dm9sdW1lPjUxPC92b2x1bWU+PG51bWJlcj4yPC9udW1i
ZXI+PGVkaXRpb24+MjAxOC8wMi8xNDwvZWRpdGlvbj48ZGF0ZXM+PHllYXI+MjAxODwveWVhcj48
cHViLWRhdGVzPjxkYXRlPkZlYjwvZGF0ZT48L3B1Yi1kYXRlcz48L2RhdGVzPjxpc2JuPjA5MDMt
MTkzNjwvaXNibj48YWNjZXNzaW9uLW51bT4yOTQzNzk0MjwvYWNjZXNzaW9uLW51bT48dXJscz48
cmVsYXRlZC11cmxzPjx1cmw+aHR0cDovL2Vyai5lcnNqb3VybmFscy5jb20vY29udGVudC9lcmov
NTEvMi8xNzAxNTkyLmZ1bGwucGRmPC91cmw+PC9yZWxhdGVkLXVybHM+PC91cmxzPjxlbGVjdHJv
bmljLXJlc291cmNlLW51bT4xMC4xMTgzLzEzOTkzMDAzLjAxNTkyLTIwMTc8L2VsZWN0cm9uaWMt
cmVzb3VyY2UtbnVtPjxyZW1vdGUtZGF0YWJhc2UtcHJvdmlkZXI+TkxNPC9yZW1vdGUtZGF0YWJh
c2UtcHJvdmlkZXI+PGxhbmd1YWdlPmVuZzwvbGFuZ3VhZ2U+PC9yZWNvcmQ+PC9DaXRlPjwvRW5k
Tm90ZT5=
</w:fldData>
            </w:fldChar>
          </w:r>
          <w:r>
            <w:instrText xml:space="preserve"> ADDIN EN.CITE </w:instrText>
          </w:r>
          <w:r>
            <w:fldChar w:fldCharType="begin">
              <w:fldData xml:space="preserve">PEVuZE5vdGU+PENpdGU+PEF1dGhvcj5NaXlhc2hpdGE8L0F1dGhvcj48WWVhcj4yMDE4PC9ZZWFy
PjxSZWNOdW0+NTgyPC9SZWNOdW0+PERpc3BsYXlUZXh0PihNaXlhc2hpdGEsIFN1cmkgZXQgYWwu
IDIwMTgpPC9EaXNwbGF5VGV4dD48cmVjb3JkPjxyZWMtbnVtYmVyPjU4MjwvcmVjLW51bWJlcj48
Zm9yZWlnbi1rZXlzPjxrZXkgYXBwPSJFTiIgZGItaWQ9Ijl6MDVkejBwcmFhZGZ1ZWUwem94emVk
azl6ZmU1Znh4NTB6NSIgdGltZXN0YW1wPSIxNTIxNTA2ODYzIj41ODI8L2tleT48a2V5IGFwcD0i
RU5XZWIiIGRiLWlkPSIiPjA8L2tleT48L2ZvcmVpZ24ta2V5cz48cmVmLXR5cGUgbmFtZT0iSm91
cm5hbCBBcnRpY2xlIj4xNzwvcmVmLXR5cGU+PGNvbnRyaWJ1dG9ycz48YXV0aG9ycz48YXV0aG9y
Pk1peWFzaGl0YSwgTC48L2F1dGhvcj48YXV0aG9yPlN1cmksIFIuPC9hdXRob3I+PGF1dGhvcj5E
ZWFyaW5nLCBFLjwvYXV0aG9yPjxhdXRob3I+TXVkd2F5LCBJLjwvYXV0aG9yPjxhdXRob3I+RG92
ZSwgUi4gRS48L2F1dGhvcj48YXV0aG9yPk5laWxsLCBELiBSLjwvYXV0aG9yPjxhdXRob3I+VmFu
IFp5bC1TbWl0LCBSLjwvYXV0aG9yPjxhdXRob3I+S2FkaW9nbHUsIEEuPC9hdXRob3I+PGF1dGhv
cj5HcmlnZywgSi48L2F1dGhvcj48L2F1dGhvcnM+PC9jb250cmlidXRvcnM+PGF1dGgtYWRkcmVz
cz5DZW50cmUgZm9yIEdlbm9taWNzIGFuZCBDaGlsZCBIZWFsdGgsIEJsaXphcmQgSW5zdGl0dXRl
LCBRdWVlbiBNYXJ5IFVuaXZlcnNpdHkgb2YgTG9uZG9uLCBMb25kb24sIFVLLiYjeEQ7VGhlIERl
cHQgb2YgQ2xpbmljYWwgSW5mZWN0aW9uLCBNaWNyb2Jpb2xvZ3kgYW5kIEltbXVub2xvZ3ksIElu
c3RpdHV0ZSBvZiBJbmZlY3Rpb24gYW5kIEdsb2JhbCBIZWFsdGgsIFVuaXZlcnNpdHkgb2YgTGl2
ZXJwb29sLCBMaXZlcnBvb2wsIFVLLiYjeEQ7TVJDLVBIRSBDZW50cmUgZm9yIEVudmlyb25tZW50
IGFuZCBIZWFsdGgsIEtpbmcmYXBvcztzIENvbGxlZ2UgTG9uZG9uLCBMb25kb24sIFVLLiYjeEQ7
TklIUiBIZWFsdGggUHJvdGVjdGlvbiBSZXNlYXJjaCBVbml0IG9uIEhlYWx0aCBJbXBhY3RzIG9m
IEVudmlyb25tZW50YWwgSGF6YXJkcywgS2luZyZhcG9zO3MgQ29sbGVnZSBMb25kb24sIExvbmRv
biwgVUsuJiN4RDtEaXZpc2lvbiBvZiBQdWxtb25vbG9neSwgRGVwdCBvZiBNZWRpY2luZSwgVW5p
dmVyc2l0eSBvZiBDYXBlIFRvd24gYW5kIFVDVCBMdW5nIEluc3RpdHV0ZSwgQ2FwZSBUb3duLCBT
b3V0aCBBZnJpY2EuJiN4RDtDZW50cmUgZm9yIEdlbm9taWNzIGFuZCBDaGlsZCBIZWFsdGgsIEJs
aXphcmQgSW5zdGl0dXRlLCBRdWVlbiBNYXJ5IFVuaXZlcnNpdHkgb2YgTG9uZG9uLCBMb25kb24s
IFVLIGouZ3JpZ2dAcW11bC5hYy51ay48L2F1dGgtYWRkcmVzcz48dGl0bGVzPjx0aXRsZT5FLWNp
Z2FyZXR0ZSB2YXBvdXIgZW5oYW5jZXMgcG5ldW1vY29jY2FsIGFkaGVyZW5jZSB0byBhaXJ3YXkg
ZXBpdGhlbGlhbCBjZWxsczwvdGl0bGU+PHNlY29uZGFyeS10aXRsZT5FdXIgUmVzcGlyIEo8L3Nl
Y29uZGFyeS10aXRsZT48YWx0LXRpdGxlPlRoZSBFdXJvcGVhbiByZXNwaXJhdG9yeSBqb3VybmFs
PC9hbHQtdGl0bGU+PC90aXRsZXM+PHBlcmlvZGljYWw+PGZ1bGwtdGl0bGU+RXVyIFJlc3BpciBK
PC9mdWxsLXRpdGxlPjxhYmJyLTE+VGhlIEV1cm9wZWFuIHJlc3BpcmF0b3J5IGpvdXJuYWw8L2Fi
YnItMT48L3BlcmlvZGljYWw+PGFsdC1wZXJpb2RpY2FsPjxmdWxsLXRpdGxlPkV1ciBSZXNwaXIg
SjwvZnVsbC10aXRsZT48YWJici0xPlRoZSBFdXJvcGVhbiByZXNwaXJhdG9yeSBqb3VybmFsPC9h
YmJyLTE+PC9hbHQtcGVyaW9kaWNhbD48dm9sdW1lPjUxPC92b2x1bWU+PG51bWJlcj4yPC9udW1i
ZXI+PGVkaXRpb24+MjAxOC8wMi8xNDwvZWRpdGlvbj48ZGF0ZXM+PHllYXI+MjAxODwveWVhcj48
cHViLWRhdGVzPjxkYXRlPkZlYjwvZGF0ZT48L3B1Yi1kYXRlcz48L2RhdGVzPjxpc2JuPjA5MDMt
MTkzNjwvaXNibj48YWNjZXNzaW9uLW51bT4yOTQzNzk0MjwvYWNjZXNzaW9uLW51bT48dXJscz48
cmVsYXRlZC11cmxzPjx1cmw+aHR0cDovL2Vyai5lcnNqb3VybmFscy5jb20vY29udGVudC9lcmov
NTEvMi8xNzAxNTkyLmZ1bGwucGRmPC91cmw+PC9yZWxhdGVkLXVybHM+PC91cmxzPjxlbGVjdHJv
bmljLXJlc291cmNlLW51bT4xMC4xMTgzLzEzOTkzMDAzLjAxNTkyLTIwMTc8L2VsZWN0cm9uaWMt
cmVzb3VyY2UtbnVtPjxyZW1vdGUtZGF0YWJhc2UtcHJvdmlkZXI+TkxNPC9yZW1vdGUtZGF0YWJh
c2UtcHJvdmlkZXI+PGxhbmd1YWdlPmVuZzwvbGFuZ3VhZ2U+PC9yZWNvcmQ+PC9DaXRlPjwvRW5k
Tm90ZT5=
</w:fldData>
            </w:fldChar>
          </w:r>
          <w:r>
            <w:instrText xml:space="preserve"> ADDIN EN.CITE.DATA </w:instrText>
          </w:r>
          <w:r>
            <w:fldChar w:fldCharType="end"/>
          </w:r>
          <w:r>
            <w:fldChar w:fldCharType="separate"/>
          </w:r>
          <w:r>
            <w:rPr>
              <w:noProof/>
            </w:rPr>
            <w:t>(Miyashita, Suri et al. 2018)</w:t>
          </w:r>
          <w:r>
            <w:fldChar w:fldCharType="end"/>
          </w:r>
          <w:r>
            <w:t xml:space="preserve">. </w:t>
          </w:r>
          <w:r w:rsidRPr="007B7F01">
            <w:t xml:space="preserve">The nicotine-free e-cigarette </w:t>
          </w:r>
          <w:r>
            <w:t xml:space="preserve">vapour </w:t>
          </w:r>
          <w:r w:rsidRPr="007B7F01">
            <w:t xml:space="preserve">did not increase nasopharyngeal pneumococcal </w:t>
          </w:r>
          <w:r>
            <w:t>colony forming units (</w:t>
          </w:r>
          <w:r w:rsidRPr="007B7F01">
            <w:t>CFU</w:t>
          </w:r>
          <w:r>
            <w:t>)</w:t>
          </w:r>
          <w:r w:rsidRPr="007B7F01">
            <w:t xml:space="preserve"> or nasal epithelial </w:t>
          </w:r>
          <w:r>
            <w:t>platelet activating factor receptor (</w:t>
          </w:r>
          <w:r w:rsidRPr="007B7F01">
            <w:t>PAFR</w:t>
          </w:r>
          <w:r>
            <w:t>)</w:t>
          </w:r>
          <w:r w:rsidRPr="007B7F01">
            <w:t xml:space="preserve"> expression at </w:t>
          </w:r>
          <w:r w:rsidR="003126D1">
            <w:rPr>
              <w:color w:val="auto"/>
            </w:rPr>
            <w:t>four</w:t>
          </w:r>
          <w:r w:rsidR="0023709D" w:rsidRPr="004C2600">
            <w:rPr>
              <w:color w:val="auto"/>
            </w:rPr>
            <w:t> </w:t>
          </w:r>
          <w:r w:rsidRPr="004C2600">
            <w:rPr>
              <w:color w:val="auto"/>
            </w:rPr>
            <w:t xml:space="preserve">days post </w:t>
          </w:r>
          <w:r w:rsidRPr="007B7F01">
            <w:t xml:space="preserve">intranasal instillation of bacteria, but the nicotine-containing e-cigarette </w:t>
          </w:r>
          <w:r>
            <w:t xml:space="preserve">vapour </w:t>
          </w:r>
          <w:r w:rsidRPr="007B7F01">
            <w:t>did</w:t>
          </w:r>
          <w:r>
            <w:t xml:space="preserve"> </w:t>
          </w:r>
          <w:r>
            <w:fldChar w:fldCharType="begin">
              <w:fldData xml:space="preserve">PEVuZE5vdGU+PENpdGU+PEF1dGhvcj5NaXlhc2hpdGE8L0F1dGhvcj48WWVhcj4yMDE4PC9ZZWFy
PjxSZWNOdW0+NTgyPC9SZWNOdW0+PERpc3BsYXlUZXh0PihNaXlhc2hpdGEsIFN1cmkgZXQgYWwu
IDIwMTgpPC9EaXNwbGF5VGV4dD48cmVjb3JkPjxyZWMtbnVtYmVyPjU4MjwvcmVjLW51bWJlcj48
Zm9yZWlnbi1rZXlzPjxrZXkgYXBwPSJFTiIgZGItaWQ9Ijl6MDVkejBwcmFhZGZ1ZWUwem94emVk
azl6ZmU1Znh4NTB6NSIgdGltZXN0YW1wPSIxNTIxNTA2ODYzIj41ODI8L2tleT48a2V5IGFwcD0i
RU5XZWIiIGRiLWlkPSIiPjA8L2tleT48L2ZvcmVpZ24ta2V5cz48cmVmLXR5cGUgbmFtZT0iSm91
cm5hbCBBcnRpY2xlIj4xNzwvcmVmLXR5cGU+PGNvbnRyaWJ1dG9ycz48YXV0aG9ycz48YXV0aG9y
Pk1peWFzaGl0YSwgTC48L2F1dGhvcj48YXV0aG9yPlN1cmksIFIuPC9hdXRob3I+PGF1dGhvcj5E
ZWFyaW5nLCBFLjwvYXV0aG9yPjxhdXRob3I+TXVkd2F5LCBJLjwvYXV0aG9yPjxhdXRob3I+RG92
ZSwgUi4gRS48L2F1dGhvcj48YXV0aG9yPk5laWxsLCBELiBSLjwvYXV0aG9yPjxhdXRob3I+VmFu
IFp5bC1TbWl0LCBSLjwvYXV0aG9yPjxhdXRob3I+S2FkaW9nbHUsIEEuPC9hdXRob3I+PGF1dGhv
cj5HcmlnZywgSi48L2F1dGhvcj48L2F1dGhvcnM+PC9jb250cmlidXRvcnM+PGF1dGgtYWRkcmVz
cz5DZW50cmUgZm9yIEdlbm9taWNzIGFuZCBDaGlsZCBIZWFsdGgsIEJsaXphcmQgSW5zdGl0dXRl
LCBRdWVlbiBNYXJ5IFVuaXZlcnNpdHkgb2YgTG9uZG9uLCBMb25kb24sIFVLLiYjeEQ7VGhlIERl
cHQgb2YgQ2xpbmljYWwgSW5mZWN0aW9uLCBNaWNyb2Jpb2xvZ3kgYW5kIEltbXVub2xvZ3ksIElu
c3RpdHV0ZSBvZiBJbmZlY3Rpb24gYW5kIEdsb2JhbCBIZWFsdGgsIFVuaXZlcnNpdHkgb2YgTGl2
ZXJwb29sLCBMaXZlcnBvb2wsIFVLLiYjeEQ7TVJDLVBIRSBDZW50cmUgZm9yIEVudmlyb25tZW50
IGFuZCBIZWFsdGgsIEtpbmcmYXBvcztzIENvbGxlZ2UgTG9uZG9uLCBMb25kb24sIFVLLiYjeEQ7
TklIUiBIZWFsdGggUHJvdGVjdGlvbiBSZXNlYXJjaCBVbml0IG9uIEhlYWx0aCBJbXBhY3RzIG9m
IEVudmlyb25tZW50YWwgSGF6YXJkcywgS2luZyZhcG9zO3MgQ29sbGVnZSBMb25kb24sIExvbmRv
biwgVUsuJiN4RDtEaXZpc2lvbiBvZiBQdWxtb25vbG9neSwgRGVwdCBvZiBNZWRpY2luZSwgVW5p
dmVyc2l0eSBvZiBDYXBlIFRvd24gYW5kIFVDVCBMdW5nIEluc3RpdHV0ZSwgQ2FwZSBUb3duLCBT
b3V0aCBBZnJpY2EuJiN4RDtDZW50cmUgZm9yIEdlbm9taWNzIGFuZCBDaGlsZCBIZWFsdGgsIEJs
aXphcmQgSW5zdGl0dXRlLCBRdWVlbiBNYXJ5IFVuaXZlcnNpdHkgb2YgTG9uZG9uLCBMb25kb24s
IFVLIGouZ3JpZ2dAcW11bC5hYy51ay48L2F1dGgtYWRkcmVzcz48dGl0bGVzPjx0aXRsZT5FLWNp
Z2FyZXR0ZSB2YXBvdXIgZW5oYW5jZXMgcG5ldW1vY29jY2FsIGFkaGVyZW5jZSB0byBhaXJ3YXkg
ZXBpdGhlbGlhbCBjZWxsczwvdGl0bGU+PHNlY29uZGFyeS10aXRsZT5FdXIgUmVzcGlyIEo8L3Nl
Y29uZGFyeS10aXRsZT48YWx0LXRpdGxlPlRoZSBFdXJvcGVhbiByZXNwaXJhdG9yeSBqb3VybmFs
PC9hbHQtdGl0bGU+PC90aXRsZXM+PHBlcmlvZGljYWw+PGZ1bGwtdGl0bGU+RXVyIFJlc3BpciBK
PC9mdWxsLXRpdGxlPjxhYmJyLTE+VGhlIEV1cm9wZWFuIHJlc3BpcmF0b3J5IGpvdXJuYWw8L2Fi
YnItMT48L3BlcmlvZGljYWw+PGFsdC1wZXJpb2RpY2FsPjxmdWxsLXRpdGxlPkV1ciBSZXNwaXIg
SjwvZnVsbC10aXRsZT48YWJici0xPlRoZSBFdXJvcGVhbiByZXNwaXJhdG9yeSBqb3VybmFsPC9h
YmJyLTE+PC9hbHQtcGVyaW9kaWNhbD48dm9sdW1lPjUxPC92b2x1bWU+PG51bWJlcj4yPC9udW1i
ZXI+PGVkaXRpb24+MjAxOC8wMi8xNDwvZWRpdGlvbj48ZGF0ZXM+PHllYXI+MjAxODwveWVhcj48
cHViLWRhdGVzPjxkYXRlPkZlYjwvZGF0ZT48L3B1Yi1kYXRlcz48L2RhdGVzPjxpc2JuPjA5MDMt
MTkzNjwvaXNibj48YWNjZXNzaW9uLW51bT4yOTQzNzk0MjwvYWNjZXNzaW9uLW51bT48dXJscz48
cmVsYXRlZC11cmxzPjx1cmw+aHR0cDovL2Vyai5lcnNqb3VybmFscy5jb20vY29udGVudC9lcmov
NTEvMi8xNzAxNTkyLmZ1bGwucGRmPC91cmw+PC9yZWxhdGVkLXVybHM+PC91cmxzPjxlbGVjdHJv
bmljLXJlc291cmNlLW51bT4xMC4xMTgzLzEzOTkzMDAzLjAxNTkyLTIwMTc8L2VsZWN0cm9uaWMt
cmVzb3VyY2UtbnVtPjxyZW1vdGUtZGF0YWJhc2UtcHJvdmlkZXI+TkxNPC9yZW1vdGUtZGF0YWJh
c2UtcHJvdmlkZXI+PGxhbmd1YWdlPmVuZzwvbGFuZ3VhZ2U+PC9yZWNvcmQ+PC9DaXRlPjwvRW5k
Tm90ZT5=
</w:fldData>
            </w:fldChar>
          </w:r>
          <w:r>
            <w:instrText xml:space="preserve"> ADDIN EN.CITE </w:instrText>
          </w:r>
          <w:r>
            <w:fldChar w:fldCharType="begin">
              <w:fldData xml:space="preserve">PEVuZE5vdGU+PENpdGU+PEF1dGhvcj5NaXlhc2hpdGE8L0F1dGhvcj48WWVhcj4yMDE4PC9ZZWFy
PjxSZWNOdW0+NTgyPC9SZWNOdW0+PERpc3BsYXlUZXh0PihNaXlhc2hpdGEsIFN1cmkgZXQgYWwu
IDIwMTgpPC9EaXNwbGF5VGV4dD48cmVjb3JkPjxyZWMtbnVtYmVyPjU4MjwvcmVjLW51bWJlcj48
Zm9yZWlnbi1rZXlzPjxrZXkgYXBwPSJFTiIgZGItaWQ9Ijl6MDVkejBwcmFhZGZ1ZWUwem94emVk
azl6ZmU1Znh4NTB6NSIgdGltZXN0YW1wPSIxNTIxNTA2ODYzIj41ODI8L2tleT48a2V5IGFwcD0i
RU5XZWIiIGRiLWlkPSIiPjA8L2tleT48L2ZvcmVpZ24ta2V5cz48cmVmLXR5cGUgbmFtZT0iSm91
cm5hbCBBcnRpY2xlIj4xNzwvcmVmLXR5cGU+PGNvbnRyaWJ1dG9ycz48YXV0aG9ycz48YXV0aG9y
Pk1peWFzaGl0YSwgTC48L2F1dGhvcj48YXV0aG9yPlN1cmksIFIuPC9hdXRob3I+PGF1dGhvcj5E
ZWFyaW5nLCBFLjwvYXV0aG9yPjxhdXRob3I+TXVkd2F5LCBJLjwvYXV0aG9yPjxhdXRob3I+RG92
ZSwgUi4gRS48L2F1dGhvcj48YXV0aG9yPk5laWxsLCBELiBSLjwvYXV0aG9yPjxhdXRob3I+VmFu
IFp5bC1TbWl0LCBSLjwvYXV0aG9yPjxhdXRob3I+S2FkaW9nbHUsIEEuPC9hdXRob3I+PGF1dGhv
cj5HcmlnZywgSi48L2F1dGhvcj48L2F1dGhvcnM+PC9jb250cmlidXRvcnM+PGF1dGgtYWRkcmVz
cz5DZW50cmUgZm9yIEdlbm9taWNzIGFuZCBDaGlsZCBIZWFsdGgsIEJsaXphcmQgSW5zdGl0dXRl
LCBRdWVlbiBNYXJ5IFVuaXZlcnNpdHkgb2YgTG9uZG9uLCBMb25kb24sIFVLLiYjeEQ7VGhlIERl
cHQgb2YgQ2xpbmljYWwgSW5mZWN0aW9uLCBNaWNyb2Jpb2xvZ3kgYW5kIEltbXVub2xvZ3ksIElu
c3RpdHV0ZSBvZiBJbmZlY3Rpb24gYW5kIEdsb2JhbCBIZWFsdGgsIFVuaXZlcnNpdHkgb2YgTGl2
ZXJwb29sLCBMaXZlcnBvb2wsIFVLLiYjeEQ7TVJDLVBIRSBDZW50cmUgZm9yIEVudmlyb25tZW50
IGFuZCBIZWFsdGgsIEtpbmcmYXBvcztzIENvbGxlZ2UgTG9uZG9uLCBMb25kb24sIFVLLiYjeEQ7
TklIUiBIZWFsdGggUHJvdGVjdGlvbiBSZXNlYXJjaCBVbml0IG9uIEhlYWx0aCBJbXBhY3RzIG9m
IEVudmlyb25tZW50YWwgSGF6YXJkcywgS2luZyZhcG9zO3MgQ29sbGVnZSBMb25kb24sIExvbmRv
biwgVUsuJiN4RDtEaXZpc2lvbiBvZiBQdWxtb25vbG9neSwgRGVwdCBvZiBNZWRpY2luZSwgVW5p
dmVyc2l0eSBvZiBDYXBlIFRvd24gYW5kIFVDVCBMdW5nIEluc3RpdHV0ZSwgQ2FwZSBUb3duLCBT
b3V0aCBBZnJpY2EuJiN4RDtDZW50cmUgZm9yIEdlbm9taWNzIGFuZCBDaGlsZCBIZWFsdGgsIEJs
aXphcmQgSW5zdGl0dXRlLCBRdWVlbiBNYXJ5IFVuaXZlcnNpdHkgb2YgTG9uZG9uLCBMb25kb24s
IFVLIGouZ3JpZ2dAcW11bC5hYy51ay48L2F1dGgtYWRkcmVzcz48dGl0bGVzPjx0aXRsZT5FLWNp
Z2FyZXR0ZSB2YXBvdXIgZW5oYW5jZXMgcG5ldW1vY29jY2FsIGFkaGVyZW5jZSB0byBhaXJ3YXkg
ZXBpdGhlbGlhbCBjZWxsczwvdGl0bGU+PHNlY29uZGFyeS10aXRsZT5FdXIgUmVzcGlyIEo8L3Nl
Y29uZGFyeS10aXRsZT48YWx0LXRpdGxlPlRoZSBFdXJvcGVhbiByZXNwaXJhdG9yeSBqb3VybmFs
PC9hbHQtdGl0bGU+PC90aXRsZXM+PHBlcmlvZGljYWw+PGZ1bGwtdGl0bGU+RXVyIFJlc3BpciBK
PC9mdWxsLXRpdGxlPjxhYmJyLTE+VGhlIEV1cm9wZWFuIHJlc3BpcmF0b3J5IGpvdXJuYWw8L2Fi
YnItMT48L3BlcmlvZGljYWw+PGFsdC1wZXJpb2RpY2FsPjxmdWxsLXRpdGxlPkV1ciBSZXNwaXIg
SjwvZnVsbC10aXRsZT48YWJici0xPlRoZSBFdXJvcGVhbiByZXNwaXJhdG9yeSBqb3VybmFsPC9h
YmJyLTE+PC9hbHQtcGVyaW9kaWNhbD48dm9sdW1lPjUxPC92b2x1bWU+PG51bWJlcj4yPC9udW1i
ZXI+PGVkaXRpb24+MjAxOC8wMi8xNDwvZWRpdGlvbj48ZGF0ZXM+PHllYXI+MjAxODwveWVhcj48
cHViLWRhdGVzPjxkYXRlPkZlYjwvZGF0ZT48L3B1Yi1kYXRlcz48L2RhdGVzPjxpc2JuPjA5MDMt
MTkzNjwvaXNibj48YWNjZXNzaW9uLW51bT4yOTQzNzk0MjwvYWNjZXNzaW9uLW51bT48dXJscz48
cmVsYXRlZC11cmxzPjx1cmw+aHR0cDovL2Vyai5lcnNqb3VybmFscy5jb20vY29udGVudC9lcmov
NTEvMi8xNzAxNTkyLmZ1bGwucGRmPC91cmw+PC9yZWxhdGVkLXVybHM+PC91cmxzPjxlbGVjdHJv
bmljLXJlc291cmNlLW51bT4xMC4xMTgzLzEzOTkzMDAzLjAxNTkyLTIwMTc8L2VsZWN0cm9uaWMt
cmVzb3VyY2UtbnVtPjxyZW1vdGUtZGF0YWJhc2UtcHJvdmlkZXI+TkxNPC9yZW1vdGUtZGF0YWJh
c2UtcHJvdmlkZXI+PGxhbmd1YWdlPmVuZzwvbGFuZ3VhZ2U+PC9yZWNvcmQ+PC9DaXRlPjwvRW5k
Tm90ZT5=
</w:fldData>
            </w:fldChar>
          </w:r>
          <w:r>
            <w:instrText xml:space="preserve"> ADDIN EN.CITE.DATA </w:instrText>
          </w:r>
          <w:r>
            <w:fldChar w:fldCharType="end"/>
          </w:r>
          <w:r>
            <w:fldChar w:fldCharType="separate"/>
          </w:r>
          <w:r>
            <w:rPr>
              <w:noProof/>
            </w:rPr>
            <w:t>(Miyashita, Suri et al. 2018)</w:t>
          </w:r>
          <w:r>
            <w:fldChar w:fldCharType="end"/>
          </w:r>
          <w:r w:rsidRPr="007B7F01">
            <w:t>.</w:t>
          </w:r>
          <w:r>
            <w:t xml:space="preserve"> Vulnerability to invasive pneumococcal disease is associated with exposure to tobacco smoke.</w:t>
          </w:r>
        </w:p>
        <w:p w14:paraId="5FE2F618" w14:textId="77777777" w:rsidR="00EA2246" w:rsidRPr="00EA2246" w:rsidRDefault="00EA2246" w:rsidP="00EA2246">
          <w:pPr>
            <w:pStyle w:val="BodyText"/>
          </w:pPr>
        </w:p>
        <w:p w14:paraId="2107F25A" w14:textId="18BEAFE0" w:rsidR="000F0E2F" w:rsidRDefault="006B0EFF" w:rsidP="000F0E2F">
          <w:pPr>
            <w:pStyle w:val="Heading2"/>
          </w:pPr>
          <w:r>
            <w:lastRenderedPageBreak/>
            <w:t xml:space="preserve"> </w:t>
          </w:r>
          <w:bookmarkStart w:id="71" w:name="_Toc517706659"/>
          <w:r w:rsidR="000D0A02">
            <w:t>Conclusions</w:t>
          </w:r>
          <w:bookmarkEnd w:id="71"/>
        </w:p>
        <w:p w14:paraId="48E9354B" w14:textId="77777777" w:rsidR="00A74D41" w:rsidRDefault="00A74D41" w:rsidP="00A74D41">
          <w:pPr>
            <w:pStyle w:val="BodyText"/>
          </w:pPr>
          <w:r>
            <w:t>Recent studies indicate that e-cigarette vapour can cause significant damage to frog embryos, rats and mice. Adverse outcomes include increased release of pro-inflammatory cytokines, emphysematous lung destruction, renal, hepatic and heart fibrosis among rodents exposed to e</w:t>
          </w:r>
          <w:r>
            <w:noBreakHyphen/>
            <w:t xml:space="preserve">cigarettes vapours or IV e-cigarette liquids compared with those exposed to room air. E-cigarette vapour exposure also had significant effects on offspring of exposed pregnant mice and frog embryos including increased release of pro-inflammatory cytokines, sleep disturbances and craniofacial defects. </w:t>
          </w:r>
        </w:p>
        <w:p w14:paraId="35AE6CD7" w14:textId="77777777" w:rsidR="00A74D41" w:rsidRDefault="00A74D41" w:rsidP="00A74D41">
          <w:pPr>
            <w:pStyle w:val="BodyText"/>
          </w:pPr>
        </w:p>
        <w:p w14:paraId="7F9251D6" w14:textId="04063B4A" w:rsidR="00A74D41" w:rsidRDefault="006B0EFF" w:rsidP="00A74D41">
          <w:pPr>
            <w:pStyle w:val="Heading2"/>
          </w:pPr>
          <w:r>
            <w:t xml:space="preserve"> </w:t>
          </w:r>
          <w:bookmarkStart w:id="72" w:name="_Toc517706660"/>
          <w:r w:rsidR="00A74D41">
            <w:t>Key findings</w:t>
          </w:r>
          <w:bookmarkEnd w:id="72"/>
        </w:p>
        <w:p w14:paraId="2B5A87DD" w14:textId="77777777" w:rsidR="00A74D41" w:rsidRPr="002A59E2" w:rsidRDefault="00A74D41" w:rsidP="00A74D41">
          <w:pPr>
            <w:pStyle w:val="BodyText"/>
            <w:numPr>
              <w:ilvl w:val="0"/>
              <w:numId w:val="36"/>
            </w:numPr>
            <w:rPr>
              <w:bCs/>
            </w:rPr>
          </w:pPr>
          <w:r>
            <w:t xml:space="preserve">Recent studies indicate that e-cigarette vapour can cause significant damage to frog embryos, rats and mice. </w:t>
          </w:r>
        </w:p>
        <w:p w14:paraId="4B1AEC58" w14:textId="7E0B5DB4" w:rsidR="00A74D41" w:rsidRPr="002A59E2" w:rsidRDefault="00A74D41" w:rsidP="00A74D41">
          <w:pPr>
            <w:pStyle w:val="BodyText"/>
            <w:numPr>
              <w:ilvl w:val="0"/>
              <w:numId w:val="36"/>
            </w:numPr>
            <w:rPr>
              <w:bCs/>
            </w:rPr>
          </w:pPr>
          <w:r>
            <w:t>Adverse outcomes include increased release of pro-inflammatory cytokines, emphysematous lung destruction, renal, hepatic and heart fibrosis among rodents exposed to e</w:t>
          </w:r>
          <w:r>
            <w:noBreakHyphen/>
            <w:t xml:space="preserve">cigarettes vapours or </w:t>
          </w:r>
          <w:r w:rsidR="004C2600">
            <w:t xml:space="preserve">intravenous </w:t>
          </w:r>
          <w:r>
            <w:t xml:space="preserve">e-cigarette liquids compared with those exposed to room air. </w:t>
          </w:r>
        </w:p>
        <w:p w14:paraId="62E9DB9C" w14:textId="77777777" w:rsidR="00A74D41" w:rsidRPr="002A59E2" w:rsidRDefault="00A74D41" w:rsidP="00A74D41">
          <w:pPr>
            <w:pStyle w:val="BodyText"/>
            <w:numPr>
              <w:ilvl w:val="0"/>
              <w:numId w:val="36"/>
            </w:numPr>
            <w:rPr>
              <w:bCs/>
            </w:rPr>
          </w:pPr>
          <w:r>
            <w:t>E-cigarette vapour exposure also had significant effects on offspring of exposed pregnant mice and frog embryos including increased release of pro-inflammatory cytokines, sleep disturbances and craniofacial defects.</w:t>
          </w:r>
        </w:p>
        <w:p w14:paraId="409AE23D" w14:textId="77777777" w:rsidR="00EA2246" w:rsidRPr="00EA2246" w:rsidRDefault="00EA2246" w:rsidP="00EA2246">
          <w:pPr>
            <w:pStyle w:val="BodyText"/>
          </w:pPr>
        </w:p>
        <w:p w14:paraId="10E60D96" w14:textId="77777777" w:rsidR="000F0E2F" w:rsidRDefault="000F0E2F" w:rsidP="000F0E2F">
          <w:pPr>
            <w:spacing w:after="0"/>
          </w:pPr>
          <w:r>
            <w:br w:type="page"/>
          </w:r>
        </w:p>
        <w:p w14:paraId="64A3FBA5" w14:textId="77777777" w:rsidR="000F0E2F" w:rsidRPr="003B079D" w:rsidRDefault="000F0E2F" w:rsidP="000F0E2F">
          <w:pPr>
            <w:pStyle w:val="Heading1"/>
            <w:pageBreakBefore w:val="0"/>
            <w:spacing w:before="480" w:after="360" w:line="240" w:lineRule="auto"/>
          </w:pPr>
          <w:bookmarkStart w:id="73" w:name="_Toc513214373"/>
          <w:bookmarkStart w:id="74" w:name="_Toc517706661"/>
          <w:r>
            <w:lastRenderedPageBreak/>
            <w:t xml:space="preserve">In </w:t>
          </w:r>
          <w:r w:rsidRPr="003B079D">
            <w:t>Vitro Studies</w:t>
          </w:r>
          <w:bookmarkEnd w:id="73"/>
          <w:bookmarkEnd w:id="74"/>
          <w:r w:rsidRPr="003B079D">
            <w:t xml:space="preserve"> </w:t>
          </w:r>
        </w:p>
        <w:p w14:paraId="01F9E613" w14:textId="77777777" w:rsidR="00A74D41" w:rsidRDefault="00A74D41" w:rsidP="00A74D41">
          <w:pPr>
            <w:pStyle w:val="Heading2"/>
          </w:pPr>
          <w:bookmarkStart w:id="75" w:name="_Toc517706662"/>
          <w:bookmarkStart w:id="76" w:name="_Toc513214374"/>
          <w:r>
            <w:t>Introduction</w:t>
          </w:r>
          <w:bookmarkEnd w:id="75"/>
        </w:p>
        <w:p w14:paraId="6AFC276A" w14:textId="77777777" w:rsidR="008A1D78" w:rsidRDefault="008A1D78" w:rsidP="00A74D41">
          <w:pPr>
            <w:pStyle w:val="BodyText"/>
          </w:pPr>
          <w:r>
            <w:t xml:space="preserve">This section reviews in vitro studies relevant to the health effects of e-cigarettes. In vitro studies refer to studies of isolated tissue or samples – excluding studies of living humans or animals. </w:t>
          </w:r>
          <w:r w:rsidRPr="005E42EE">
            <w:t>Th</w:t>
          </w:r>
          <w:r>
            <w:t>is</w:t>
          </w:r>
          <w:r w:rsidRPr="005E42EE">
            <w:t xml:space="preserve"> section</w:t>
          </w:r>
          <w:r>
            <w:t xml:space="preserve"> addresses part of the assigned task to ‘</w:t>
          </w:r>
          <w:r>
            <w:rPr>
              <w:rFonts w:cs="Calibri"/>
              <w:szCs w:val="24"/>
            </w:rPr>
            <w:t>r</w:t>
          </w:r>
          <w:r w:rsidRPr="001022DF">
            <w:rPr>
              <w:rFonts w:cs="Calibri"/>
              <w:szCs w:val="24"/>
            </w:rPr>
            <w:t>eview all available evidence applicable to the impacts of the use of e-cigarettes, personal vaporisers and nicotine on individual and population health</w:t>
          </w:r>
          <w:r>
            <w:rPr>
              <w:rFonts w:cs="Calibri"/>
              <w:szCs w:val="24"/>
            </w:rPr>
            <w:t>.’</w:t>
          </w:r>
        </w:p>
        <w:p w14:paraId="4146D448" w14:textId="77777777" w:rsidR="00602AD8" w:rsidRDefault="00A74D41" w:rsidP="00A74D41">
          <w:pPr>
            <w:pStyle w:val="BodyText"/>
          </w:pPr>
          <w:r>
            <w:t xml:space="preserve">Fifty-five studies were classified as </w:t>
          </w:r>
          <w:r>
            <w:rPr>
              <w:i/>
            </w:rPr>
            <w:t>in vitro</w:t>
          </w:r>
          <w:r>
            <w:t xml:space="preserve"> after title and abstract review of the </w:t>
          </w:r>
          <w:r w:rsidR="008A1D78">
            <w:t>combined literature search results</w:t>
          </w:r>
          <w:r>
            <w:t xml:space="preserve">. Twenty-seven studies were excluded at full-text review due to being a </w:t>
          </w:r>
        </w:p>
        <w:p w14:paraId="200737A7" w14:textId="77777777" w:rsidR="00602AD8" w:rsidRDefault="00A74D41" w:rsidP="004C2600">
          <w:pPr>
            <w:pStyle w:val="BodyText"/>
            <w:numPr>
              <w:ilvl w:val="0"/>
              <w:numId w:val="87"/>
            </w:numPr>
            <w:spacing w:before="0" w:after="0"/>
          </w:pPr>
          <w:r>
            <w:t xml:space="preserve">conference abstract (n=14), </w:t>
          </w:r>
        </w:p>
        <w:p w14:paraId="177C5204" w14:textId="77777777" w:rsidR="00602AD8" w:rsidRDefault="00A74D41" w:rsidP="004C2600">
          <w:pPr>
            <w:pStyle w:val="BodyText"/>
            <w:numPr>
              <w:ilvl w:val="0"/>
              <w:numId w:val="87"/>
            </w:numPr>
            <w:spacing w:before="0" w:after="0"/>
          </w:pPr>
          <w:r>
            <w:t xml:space="preserve">not classified as in vitro (n=7), </w:t>
          </w:r>
        </w:p>
        <w:p w14:paraId="51818277" w14:textId="77777777" w:rsidR="00602AD8" w:rsidRDefault="00A74D41" w:rsidP="004C2600">
          <w:pPr>
            <w:pStyle w:val="BodyText"/>
            <w:numPr>
              <w:ilvl w:val="0"/>
              <w:numId w:val="87"/>
            </w:numPr>
            <w:spacing w:before="0" w:after="0"/>
          </w:pPr>
          <w:r>
            <w:t xml:space="preserve">letter to the editor or review (n=2), </w:t>
          </w:r>
        </w:p>
        <w:p w14:paraId="1EBDF35B" w14:textId="77777777" w:rsidR="00602AD8" w:rsidRDefault="00A74D41" w:rsidP="004C2600">
          <w:pPr>
            <w:pStyle w:val="BodyText"/>
            <w:numPr>
              <w:ilvl w:val="0"/>
              <w:numId w:val="87"/>
            </w:numPr>
            <w:spacing w:before="0" w:after="0"/>
          </w:pPr>
          <w:r>
            <w:t xml:space="preserve">not studying e-cigarettes (n=3) </w:t>
          </w:r>
        </w:p>
        <w:p w14:paraId="0DCFAB18" w14:textId="77777777" w:rsidR="00602AD8" w:rsidRDefault="00A74D41" w:rsidP="004C2600">
          <w:pPr>
            <w:pStyle w:val="BodyText"/>
            <w:numPr>
              <w:ilvl w:val="0"/>
              <w:numId w:val="87"/>
            </w:numPr>
            <w:spacing w:before="0" w:after="0"/>
          </w:pPr>
          <w:r>
            <w:t xml:space="preserve">or not being within the date range of 2017-18 (n=1). </w:t>
          </w:r>
        </w:p>
        <w:p w14:paraId="6680F668" w14:textId="72E36BCB" w:rsidR="00A74D41" w:rsidRDefault="00A74D41" w:rsidP="00602AD8">
          <w:pPr>
            <w:pStyle w:val="BodyText"/>
          </w:pPr>
          <w:r>
            <w:t xml:space="preserve">Thus, 28 studies are included in the following summary of findings. </w:t>
          </w:r>
        </w:p>
        <w:p w14:paraId="7C79F015" w14:textId="77777777" w:rsidR="00A74D41" w:rsidRDefault="008A1D78" w:rsidP="00A74D41">
          <w:pPr>
            <w:pStyle w:val="BodyText"/>
          </w:pPr>
          <w:r>
            <w:t>The i</w:t>
          </w:r>
          <w:r w:rsidR="00A74D41">
            <w:t>n vitro studies</w:t>
          </w:r>
          <w:r>
            <w:t xml:space="preserve"> reviewed</w:t>
          </w:r>
          <w:r w:rsidR="00A74D41">
            <w:t xml:space="preserve"> included studies investigating toxicology, lung function, oxidative stress, inflammatory and infectious response, gene alterations and disease risk. </w:t>
          </w:r>
        </w:p>
        <w:p w14:paraId="6CFC62F1" w14:textId="77777777" w:rsidR="00A74D41" w:rsidRDefault="00A74D41" w:rsidP="00A74D41">
          <w:pPr>
            <w:pStyle w:val="BodyText"/>
          </w:pPr>
        </w:p>
        <w:p w14:paraId="296CA792" w14:textId="77777777" w:rsidR="000F0E2F" w:rsidRDefault="000F0E2F" w:rsidP="000F0E2F">
          <w:pPr>
            <w:pStyle w:val="Heading2"/>
          </w:pPr>
          <w:bookmarkStart w:id="77" w:name="_Toc517706663"/>
          <w:r>
            <w:t>Toxicology</w:t>
          </w:r>
          <w:bookmarkEnd w:id="76"/>
          <w:bookmarkEnd w:id="77"/>
        </w:p>
        <w:p w14:paraId="486554CB" w14:textId="77777777" w:rsidR="00A74D41" w:rsidRDefault="00A74D41" w:rsidP="00A74D41">
          <w:pPr>
            <w:pStyle w:val="BodyText"/>
          </w:pPr>
          <w:bookmarkStart w:id="78" w:name="_Toc513214375"/>
          <w:r>
            <w:t xml:space="preserve">Many studies aimed to investigate viability of cells in vitro after exposure to e-cigarette liquids or vapours. Cell viability describes the number of living or dead cells, while toxicity describes the ability of a substance to kill a certain percentage of cells (usually 70-80%). Studies investigating toxicology used human lung cells. Control conditions were fresh air, no exposure, exposure to cigarette smoke or exposure to cigarette extracts. </w:t>
          </w:r>
        </w:p>
        <w:p w14:paraId="3AD15877" w14:textId="77777777" w:rsidR="00A74D41" w:rsidRDefault="00A74D41" w:rsidP="00A74D41">
          <w:pPr>
            <w:pStyle w:val="BodyText"/>
            <w:rPr>
              <w:rFonts w:eastAsia="Times New Roman" w:cs="Calibri"/>
            </w:rPr>
          </w:pPr>
          <w:r>
            <w:t xml:space="preserve">Studies which compared cells exposed to e-cigarette vapour or liquids to cells exposed to air did not find consistent results. </w:t>
          </w:r>
          <w:r>
            <w:rPr>
              <w:rFonts w:eastAsia="Times New Roman" w:cs="Calibri"/>
            </w:rPr>
            <w:t>In two studies, e</w:t>
          </w:r>
          <w:r w:rsidRPr="000A145F">
            <w:rPr>
              <w:rFonts w:eastAsia="Times New Roman" w:cs="Calibri"/>
            </w:rPr>
            <w:t xml:space="preserve">xposure of </w:t>
          </w:r>
          <w:r>
            <w:t xml:space="preserve">lung epithelial </w:t>
          </w:r>
          <w:r>
            <w:rPr>
              <w:rFonts w:eastAsia="Times New Roman" w:cs="Calibri"/>
            </w:rPr>
            <w:t xml:space="preserve">cells to </w:t>
          </w:r>
          <w:r w:rsidRPr="000A145F">
            <w:rPr>
              <w:rFonts w:eastAsia="Times New Roman" w:cs="Calibri"/>
            </w:rPr>
            <w:t>e-cigarette liquid</w:t>
          </w:r>
          <w:r>
            <w:rPr>
              <w:rFonts w:eastAsia="Times New Roman" w:cs="Calibri"/>
            </w:rPr>
            <w:t xml:space="preserve">s, vapour or condensate, </w:t>
          </w:r>
          <w:r w:rsidRPr="000A145F">
            <w:rPr>
              <w:rFonts w:eastAsia="Times New Roman" w:cs="Calibri"/>
            </w:rPr>
            <w:t>with or without nicotine</w:t>
          </w:r>
          <w:r>
            <w:rPr>
              <w:rFonts w:eastAsia="Times New Roman" w:cs="Calibri"/>
            </w:rPr>
            <w:t xml:space="preserve">, did not impact on lung epithelial cell viability or fibroblast cell viability or cytotoxicity </w:t>
          </w:r>
          <w:r>
            <w:rPr>
              <w:rFonts w:eastAsia="Times New Roman" w:cs="Calibri"/>
            </w:rPr>
            <w:fldChar w:fldCharType="begin">
              <w:fldData xml:space="preserve">PEVuZE5vdGU+PENpdGU+PEF1dGhvcj5Tb2xsZXRpPC9BdXRob3I+PFllYXI+MjAxNzwvWWVhcj48
UmVjTnVtPjExOTA8L1JlY051bT48RGlzcGxheVRleHQ+KEdlcmxvZmYsIFN1bmRhciBldCBhbC4g
MjAxNywgU29sbGV0aSwgQmhhdHRhY2hhcnlhIGV0IGFsLiAyMDE3KTwvRGlzcGxheVRleHQ+PHJl
Y29yZD48cmVjLW51bWJlcj4xMTkwPC9yZWMtbnVtYmVyPjxmb3JlaWduLWtleXM+PGtleSBhcHA9
IkVOIiBkYi1pZD0iOXowNWR6MHByYWFkZnVlZTB6b3h6ZWRrOXpmZTVmeHg1MHo1IiB0aW1lc3Rh
bXA9IjE1MjE1MDcwMjEiPjExOTA8L2tleT48a2V5IGFwcD0iRU5XZWIiIGRiLWlkPSIiPjA8L2tl
eT48L2ZvcmVpZ24ta2V5cz48cmVmLXR5cGUgbmFtZT0iSm91cm5hbCBBcnRpY2xlIj4xNzwvcmVm
LXR5cGU+PGNvbnRyaWJ1dG9ycz48YXV0aG9ycz48YXV0aG9yPlNvbGxldGksIFMuIEsuPC9hdXRo
b3I+PGF1dGhvcj5CaGF0dGFjaGFyeWEsIFMuPC9hdXRob3I+PGF1dGhvcj5BaG1hZCwgQS48L2F1
dGhvcj48YXV0aG9yPldhbmcsIFEuPC9hdXRob3I+PGF1dGhvcj5NZXJlbmVzcywgSi48L2F1dGhv
cj48YXV0aG9yPlJhbmdhc2FteSwgVC48L2F1dGhvcj48YXV0aG9yPk1hcmlhbmksIFQuIEouPC9h
dXRob3I+PC9hdXRob3JzPjwvY29udHJpYnV0b3JzPjxhdXRoLWFkZHJlc3M+RGl2aXNpb24gb2Yg
TmVvbmF0b2xvZ3kgYW5kIFByb2dyYW0gaW4gUGVkaWF0cmljIE1vbGVjdWxhciBhbmQgUGVyc29u
YWxpemVkIE1lZGljaW5lLCBEZXBhcnRtZW50IG9mIFBlZGlhdHJpY3MsIFVuaXZlcnNpdHkgb2Yg
Um9jaGVzdGVyIE1lZGljYWwgQ2VudGVyLCBSb2NoZXN0ZXIsIE5ZLCBVU0EuJiN4RDtEZXBhcnRt
ZW50IG9mIEJpb21lZGljYWwgR2VuZXRpY3MsIFVuaXZlcnNpdHkgb2YgUm9jaGVzdGVyIE1lZGlj
YWwgQ2VudGVyLCBSb2NoZXN0ZXIsIE5ZLCBVU0EuJiN4RDtTY2hvb2wgb2YgVmV0ZXJpbmFyeSBN
ZWRpY2luZSwgTG91aXNpYW5hIFN0YXRlIFVuaXZlcnNpdHksIEJhdG9uIFJvdWdlLCBMQSwgVVNB
LiYjeEQ7RGl2aXNpb24gb2YgTmVvbmF0b2xvZ3kgYW5kIFByb2dyYW0gaW4gUGVkaWF0cmljIE1v
bGVjdWxhciBhbmQgUGVyc29uYWxpemVkIE1lZGljaW5lLCBEZXBhcnRtZW50IG9mIFBlZGlhdHJp
Y3MsIFVuaXZlcnNpdHkgb2YgUm9jaGVzdGVyIE1lZGljYWwgQ2VudGVyLCBSb2NoZXN0ZXIsIE5Z
LCBVU0EuIFRvbV9NYXJpYW5pQHVybWMucm9jaGVzdGVyLmVkdS4mI3hEO0RlcGFydG1lbnQgb2Yg
QmlvbWVkaWNhbCBHZW5ldGljcywgVW5pdmVyc2l0eSBvZiBSb2NoZXN0ZXIgTWVkaWNhbCBDZW50
ZXIsIFJvY2hlc3RlciwgTlksIFVTQS4gVG9tX01hcmlhbmlAdXJtYy5yb2NoZXN0ZXIuZWR1LiYj
eEQ7RGVwYXJ0bWVudCBvZiBFbnZpcm9ubWVudGFsIE1lZGljaW5lLCBVbml2ZXJzaXR5IG9mIFJv
Y2hlc3RlciBNZWRpY2FsIENlbnRlciwgUm9jaGVzdGVyLCBOWSwgVVNBLiBUb21fTWFyaWFuaUB1
cm1jLnJvY2hlc3Rlci5lZHUuPC9hdXRoLWFkZHJlc3M+PHRpdGxlcz48dGl0bGU+TWljcm9STkEg
ZXhwcmVzc2lvbiBwcm9maWxpbmcgZGVmaW5lcyB0aGUgaW1wYWN0IG9mIGVsZWN0cm9uaWMgY2ln
YXJldHRlcyBvbiBodW1hbiBhaXJ3YXkgZXBpdGhlbGlhbCBjZWxsczwvdGl0bGU+PHNlY29uZGFy
eS10aXRsZT5TY2kgUmVwPC9zZWNvbmRhcnktdGl0bGU+PGFsdC10aXRsZT5TY2llbnRpZmljIHJl
cG9ydHM8L2FsdC10aXRsZT48L3RpdGxlcz48YWx0LXBlcmlvZGljYWw+PGZ1bGwtdGl0bGU+U2Np
ZW50aWZpYyBSZXBvcnRzPC9mdWxsLXRpdGxlPjwvYWx0LXBlcmlvZGljYWw+PHBhZ2VzPjEwODE8
L3BhZ2VzPjx2b2x1bWU+Nzwvdm9sdW1lPjxudW1iZXI+MTwvbnVtYmVyPjxlZGl0aW9uPjIwMTcv
MDQvMjY8L2VkaXRpb24+PGRhdGVzPjx5ZWFyPjIwMTc8L3llYXI+PHB1Yi1kYXRlcz48ZGF0ZT5B
cHIgMjQ8L2RhdGU+PC9wdWItZGF0ZXM+PC9kYXRlcz48aXNibj4yMDQ1LTIzMjI8L2lzYm4+PGFj
Y2Vzc2lvbi1udW0+Mjg0MzkxMTM8L2FjY2Vzc2lvbi1udW0+PHVybHM+PHJlbGF0ZWQtdXJscz48
dXJsPmh0dHBzOi8vd3d3Lm5jYmkubmxtLm5paC5nb3YvcG1jL2FydGljbGVzL1BNQzU0MzA4MjYv
cGRmLzQxNTk4XzIwMTdfQXJ0aWNsZV8xMTY3LnBkZjwvdXJsPjwvcmVsYXRlZC11cmxzPjwvdXJs
cz48Y3VzdG9tMj5QTUM1NDMwODI2PC9jdXN0b20yPjxlbGVjdHJvbmljLXJlc291cmNlLW51bT4x
MC4xMDM4L3M0MTU5OC0wMTctMDExNjctODwvZWxlY3Ryb25pYy1yZXNvdXJjZS1udW0+PHJlbW90
ZS1kYXRhYmFzZS1wcm92aWRlcj5OTE08L3JlbW90ZS1kYXRhYmFzZS1wcm92aWRlcj48bGFuZ3Vh
Z2U+ZW5nPC9sYW5ndWFnZT48L3JlY29yZD48L0NpdGU+PENpdGU+PEF1dGhvcj5HZXJsb2ZmPC9B
dXRob3I+PFllYXI+MjAxNzwvWWVhcj48UmVjTnVtPjEyNjA8L1JlY051bT48cmVjb3JkPjxyZWMt
bnVtYmVyPjEyNjA8L3JlYy1udW1iZXI+PGZvcmVpZ24ta2V5cz48a2V5IGFwcD0iRU4iIGRiLWlk
PSI5ejA1ZHowcHJhYWRmdWVlMHpveHplZGs5emZlNWZ4eDUwejUiIHRpbWVzdGFtcD0iMTUyMTUw
NzAzNyI+MTI2MDwva2V5PjxrZXkgYXBwPSJFTldlYiIgZGItaWQ9IiI+MDwva2V5PjwvZm9yZWln
bi1rZXlzPjxyZWYtdHlwZSBuYW1lPSJKb3VybmFsIEFydGljbGUiPjE3PC9yZWYtdHlwZT48Y29u
dHJpYnV0b3JzPjxhdXRob3JzPjxhdXRob3I+R2VybG9mZiwgSi48L2F1dGhvcj48YXV0aG9yPlN1
bmRhciwgSS4gSy48L2F1dGhvcj48YXV0aG9yPkZyZXRlciwgUi48L2F1dGhvcj48YXV0aG9yPlNl
a2VyYSwgRS4gUi48L2F1dGhvcj48YXV0aG9yPkZyaWVkbWFuLCBBLiBFLjwvYXV0aG9yPjxhdXRo
b3I+Um9iaW5zb24sIFIuPC9hdXRob3I+PGF1dGhvcj5QYWdhbm8sIFQuPC9hdXRob3I+PGF1dGhv
cj5SYWhtYW4sIEkuPC9hdXRob3I+PC9hdXRob3JzPjwvY29udHJpYnV0b3JzPjxhdXRoLWFkZHJl
c3M+RGVwYXJ0bWVudCBvZiBFbnZpcm9ubWVudGFsIE1lZGljaW5lLCBVbml2ZXJzaXR5IG9mIFJv
Y2hlc3RlciBNZWRpY2FsIENlbnRlciAsIFJvY2hlc3RlciwgTmV3IFlvcmsuJiN4RDtEZXBhcnRt
ZW50IG9mIENoZW1pc3RyeSwgVW5pdmVyc2l0eSBvZiBCdWZmYWxvICwgQnVmZmFsbywgTmV3IFlv
cmsuJiN4RDtEZXBhcnRtZW50IG9mIE1lY2hhbmljYWwgRW5naW5lZXJpbmcsIFJvY2hlc3RlciBJ
bnN0aXR1dGUgb2YgVGVjaG5vbG9neS9OYXRpb25hbCBUZWNobmljYWwgSW5zdGl0dXRlIGZvciB0
aGUgRGVhZiAsIFJvY2hlc3RlciwgTmV3IFlvcmsuJiN4RDtEZXBhcnRtZW50IG9mIFNjaWVuY2Ug
JmFtcDsgTWF0aGVtYXRpY3MsIFJvY2hlc3RlciBJbnN0aXR1dGUgb2YgVGVjaG5vbG9neS9OYXRp
b25hbCBUZWNobmljYWwgSW5zdGl0dXRlIGZvciB0aGUgRGVhZiAsIFJvY2hlc3RlciwgTmV3IFlv
cmsuPC9hdXRoLWFkZHJlc3M+PHRpdGxlcz48dGl0bGU+SW5mbGFtbWF0b3J5IFJlc3BvbnNlIGFu
ZCBCYXJyaWVyIER5c2Z1bmN0aW9uIGJ5IERpZmZlcmVudCBlLUNpZ2FyZXR0ZSBGbGF2b3Jpbmcg
Q2hlbWljYWxzIElkZW50aWZpZWQgYnkgR2FzIENocm9tYXRvZ3JhcGh5LU1hc3MgU3BlY3Ryb21l
dHJ5IGluIGUtTGlxdWlkcyBhbmQgZS1WYXBvcnMgb24gSHVtYW4gTHVuZyBFcGl0aGVsaWFsIENl
bGxzIGFuZCBGaWJyb2JsYXN0czwvdGl0bGU+PHNlY29uZGFyeS10aXRsZT5BcHBsIEluIFZpdHJv
IFRveGljb2w8L3NlY29uZGFyeS10aXRsZT48YWx0LXRpdGxlPkFwcGxpZWQgaW4gdml0cm8gdG94
aWNvbG9neTwvYWx0LXRpdGxlPjwvdGl0bGVzPjxwZXJpb2RpY2FsPjxmdWxsLXRpdGxlPkFwcGwg
SW4gVml0cm8gVG94aWNvbDwvZnVsbC10aXRsZT48YWJici0xPkFwcGxpZWQgaW4gdml0cm8gdG94
aWNvbG9neTwvYWJici0xPjwvcGVyaW9kaWNhbD48YWx0LXBlcmlvZGljYWw+PGZ1bGwtdGl0bGU+
QXBwbCBJbiBWaXRybyBUb3hpY29sPC9mdWxsLXRpdGxlPjxhYmJyLTE+QXBwbGllZCBpbiB2aXRy
byB0b3hpY29sb2d5PC9hYmJyLTE+PC9hbHQtcGVyaW9kaWNhbD48cGFnZXM+MjgtNDA8L3BhZ2Vz
Pjx2b2x1bWU+Mzwvdm9sdW1lPjxudW1iZXI+MTwvbnVtYmVyPjxlZGl0aW9uPjIwMTcvMDMvMjU8
L2VkaXRpb24+PGtleXdvcmRzPjxrZXl3b3JkPmJhcnJpZXIgZnVuY3Rpb248L2tleXdvcmQ+PGtl
eXdvcmQ+ZGlhY2V0eWw8L2tleXdvcmQ+PGtleXdvcmQ+ZWxlY3Ryb25pYyBjaWdhcmV0dGVzPC9r
ZXl3b3JkPjxrZXl3b3JkPmZsYXZvcnM8L2tleXdvcmQ+PGtleXdvcmQ+aW5mbGFtbWF0aW9uPC9r
ZXl3b3JkPjxrZXl3b3JkPmludGVybGV1a2luLTg8L2tleXdvcmQ+PC9rZXl3b3Jkcz48ZGF0ZXM+
PHllYXI+MjAxNzwveWVhcj48cHViLWRhdGVzPjxkYXRlPk1hciAxPC9kYXRlPjwvcHViLWRhdGVz
PjwvZGF0ZXM+PGlzYm4+MjMzMi0xNTEyIChQcmludCkmI3hEOzIzMzItMTUxMjwvaXNibj48YWNj
ZXNzaW9uLW51bT4yODMzNzQ2NTwvYWNjZXNzaW9uLW51bT48dXJscz48L3VybHM+PGN1c3RvbTI+
UE1DNTMzODA3NTwvY3VzdG9tMj48ZWxlY3Ryb25pYy1yZXNvdXJjZS1udW0+MTAuMTA4OS9haXZ0
LjIwMTYuMDAzMDwvZWxlY3Ryb25pYy1yZXNvdXJjZS1udW0+PHJlbW90ZS1kYXRhYmFzZS1wcm92
aWRlcj5OTE08L3JlbW90ZS1kYXRhYmFzZS1wcm92aWRlcj48bGFuZ3VhZ2U+ZW5nPC9sYW5ndWFn
ZT48L3JlY29yZD48L0NpdGU+PC9FbmROb3RlPn==
</w:fldData>
            </w:fldChar>
          </w:r>
          <w:r>
            <w:rPr>
              <w:rFonts w:eastAsia="Times New Roman" w:cs="Calibri"/>
            </w:rPr>
            <w:instrText xml:space="preserve"> ADDIN EN.CITE </w:instrText>
          </w:r>
          <w:r>
            <w:rPr>
              <w:rFonts w:eastAsia="Times New Roman" w:cs="Calibri"/>
            </w:rPr>
            <w:fldChar w:fldCharType="begin">
              <w:fldData xml:space="preserve">PEVuZE5vdGU+PENpdGU+PEF1dGhvcj5Tb2xsZXRpPC9BdXRob3I+PFllYXI+MjAxNzwvWWVhcj48
UmVjTnVtPjExOTA8L1JlY051bT48RGlzcGxheVRleHQ+KEdlcmxvZmYsIFN1bmRhciBldCBhbC4g
MjAxNywgU29sbGV0aSwgQmhhdHRhY2hhcnlhIGV0IGFsLiAyMDE3KTwvRGlzcGxheVRleHQ+PHJl
Y29yZD48cmVjLW51bWJlcj4xMTkwPC9yZWMtbnVtYmVyPjxmb3JlaWduLWtleXM+PGtleSBhcHA9
IkVOIiBkYi1pZD0iOXowNWR6MHByYWFkZnVlZTB6b3h6ZWRrOXpmZTVmeHg1MHo1IiB0aW1lc3Rh
bXA9IjE1MjE1MDcwMjEiPjExOTA8L2tleT48a2V5IGFwcD0iRU5XZWIiIGRiLWlkPSIiPjA8L2tl
eT48L2ZvcmVpZ24ta2V5cz48cmVmLXR5cGUgbmFtZT0iSm91cm5hbCBBcnRpY2xlIj4xNzwvcmVm
LXR5cGU+PGNvbnRyaWJ1dG9ycz48YXV0aG9ycz48YXV0aG9yPlNvbGxldGksIFMuIEsuPC9hdXRo
b3I+PGF1dGhvcj5CaGF0dGFjaGFyeWEsIFMuPC9hdXRob3I+PGF1dGhvcj5BaG1hZCwgQS48L2F1
dGhvcj48YXV0aG9yPldhbmcsIFEuPC9hdXRob3I+PGF1dGhvcj5NZXJlbmVzcywgSi48L2F1dGhv
cj48YXV0aG9yPlJhbmdhc2FteSwgVC48L2F1dGhvcj48YXV0aG9yPk1hcmlhbmksIFQuIEouPC9h
dXRob3I+PC9hdXRob3JzPjwvY29udHJpYnV0b3JzPjxhdXRoLWFkZHJlc3M+RGl2aXNpb24gb2Yg
TmVvbmF0b2xvZ3kgYW5kIFByb2dyYW0gaW4gUGVkaWF0cmljIE1vbGVjdWxhciBhbmQgUGVyc29u
YWxpemVkIE1lZGljaW5lLCBEZXBhcnRtZW50IG9mIFBlZGlhdHJpY3MsIFVuaXZlcnNpdHkgb2Yg
Um9jaGVzdGVyIE1lZGljYWwgQ2VudGVyLCBSb2NoZXN0ZXIsIE5ZLCBVU0EuJiN4RDtEZXBhcnRt
ZW50IG9mIEJpb21lZGljYWwgR2VuZXRpY3MsIFVuaXZlcnNpdHkgb2YgUm9jaGVzdGVyIE1lZGlj
YWwgQ2VudGVyLCBSb2NoZXN0ZXIsIE5ZLCBVU0EuJiN4RDtTY2hvb2wgb2YgVmV0ZXJpbmFyeSBN
ZWRpY2luZSwgTG91aXNpYW5hIFN0YXRlIFVuaXZlcnNpdHksIEJhdG9uIFJvdWdlLCBMQSwgVVNB
LiYjeEQ7RGl2aXNpb24gb2YgTmVvbmF0b2xvZ3kgYW5kIFByb2dyYW0gaW4gUGVkaWF0cmljIE1v
bGVjdWxhciBhbmQgUGVyc29uYWxpemVkIE1lZGljaW5lLCBEZXBhcnRtZW50IG9mIFBlZGlhdHJp
Y3MsIFVuaXZlcnNpdHkgb2YgUm9jaGVzdGVyIE1lZGljYWwgQ2VudGVyLCBSb2NoZXN0ZXIsIE5Z
LCBVU0EuIFRvbV9NYXJpYW5pQHVybWMucm9jaGVzdGVyLmVkdS4mI3hEO0RlcGFydG1lbnQgb2Yg
QmlvbWVkaWNhbCBHZW5ldGljcywgVW5pdmVyc2l0eSBvZiBSb2NoZXN0ZXIgTWVkaWNhbCBDZW50
ZXIsIFJvY2hlc3RlciwgTlksIFVTQS4gVG9tX01hcmlhbmlAdXJtYy5yb2NoZXN0ZXIuZWR1LiYj
eEQ7RGVwYXJ0bWVudCBvZiBFbnZpcm9ubWVudGFsIE1lZGljaW5lLCBVbml2ZXJzaXR5IG9mIFJv
Y2hlc3RlciBNZWRpY2FsIENlbnRlciwgUm9jaGVzdGVyLCBOWSwgVVNBLiBUb21fTWFyaWFuaUB1
cm1jLnJvY2hlc3Rlci5lZHUuPC9hdXRoLWFkZHJlc3M+PHRpdGxlcz48dGl0bGU+TWljcm9STkEg
ZXhwcmVzc2lvbiBwcm9maWxpbmcgZGVmaW5lcyB0aGUgaW1wYWN0IG9mIGVsZWN0cm9uaWMgY2ln
YXJldHRlcyBvbiBodW1hbiBhaXJ3YXkgZXBpdGhlbGlhbCBjZWxsczwvdGl0bGU+PHNlY29uZGFy
eS10aXRsZT5TY2kgUmVwPC9zZWNvbmRhcnktdGl0bGU+PGFsdC10aXRsZT5TY2llbnRpZmljIHJl
cG9ydHM8L2FsdC10aXRsZT48L3RpdGxlcz48YWx0LXBlcmlvZGljYWw+PGZ1bGwtdGl0bGU+U2Np
ZW50aWZpYyBSZXBvcnRzPC9mdWxsLXRpdGxlPjwvYWx0LXBlcmlvZGljYWw+PHBhZ2VzPjEwODE8
L3BhZ2VzPjx2b2x1bWU+Nzwvdm9sdW1lPjxudW1iZXI+MTwvbnVtYmVyPjxlZGl0aW9uPjIwMTcv
MDQvMjY8L2VkaXRpb24+PGRhdGVzPjx5ZWFyPjIwMTc8L3llYXI+PHB1Yi1kYXRlcz48ZGF0ZT5B
cHIgMjQ8L2RhdGU+PC9wdWItZGF0ZXM+PC9kYXRlcz48aXNibj4yMDQ1LTIzMjI8L2lzYm4+PGFj
Y2Vzc2lvbi1udW0+Mjg0MzkxMTM8L2FjY2Vzc2lvbi1udW0+PHVybHM+PHJlbGF0ZWQtdXJscz48
dXJsPmh0dHBzOi8vd3d3Lm5jYmkubmxtLm5paC5nb3YvcG1jL2FydGljbGVzL1BNQzU0MzA4MjYv
cGRmLzQxNTk4XzIwMTdfQXJ0aWNsZV8xMTY3LnBkZjwvdXJsPjwvcmVsYXRlZC11cmxzPjwvdXJs
cz48Y3VzdG9tMj5QTUM1NDMwODI2PC9jdXN0b20yPjxlbGVjdHJvbmljLXJlc291cmNlLW51bT4x
MC4xMDM4L3M0MTU5OC0wMTctMDExNjctODwvZWxlY3Ryb25pYy1yZXNvdXJjZS1udW0+PHJlbW90
ZS1kYXRhYmFzZS1wcm92aWRlcj5OTE08L3JlbW90ZS1kYXRhYmFzZS1wcm92aWRlcj48bGFuZ3Vh
Z2U+ZW5nPC9sYW5ndWFnZT48L3JlY29yZD48L0NpdGU+PENpdGU+PEF1dGhvcj5HZXJsb2ZmPC9B
dXRob3I+PFllYXI+MjAxNzwvWWVhcj48UmVjTnVtPjEyNjA8L1JlY051bT48cmVjb3JkPjxyZWMt
bnVtYmVyPjEyNjA8L3JlYy1udW1iZXI+PGZvcmVpZ24ta2V5cz48a2V5IGFwcD0iRU4iIGRiLWlk
PSI5ejA1ZHowcHJhYWRmdWVlMHpveHplZGs5emZlNWZ4eDUwejUiIHRpbWVzdGFtcD0iMTUyMTUw
NzAzNyI+MTI2MDwva2V5PjxrZXkgYXBwPSJFTldlYiIgZGItaWQ9IiI+MDwva2V5PjwvZm9yZWln
bi1rZXlzPjxyZWYtdHlwZSBuYW1lPSJKb3VybmFsIEFydGljbGUiPjE3PC9yZWYtdHlwZT48Y29u
dHJpYnV0b3JzPjxhdXRob3JzPjxhdXRob3I+R2VybG9mZiwgSi48L2F1dGhvcj48YXV0aG9yPlN1
bmRhciwgSS4gSy48L2F1dGhvcj48YXV0aG9yPkZyZXRlciwgUi48L2F1dGhvcj48YXV0aG9yPlNl
a2VyYSwgRS4gUi48L2F1dGhvcj48YXV0aG9yPkZyaWVkbWFuLCBBLiBFLjwvYXV0aG9yPjxhdXRo
b3I+Um9iaW5zb24sIFIuPC9hdXRob3I+PGF1dGhvcj5QYWdhbm8sIFQuPC9hdXRob3I+PGF1dGhv
cj5SYWhtYW4sIEkuPC9hdXRob3I+PC9hdXRob3JzPjwvY29udHJpYnV0b3JzPjxhdXRoLWFkZHJl
c3M+RGVwYXJ0bWVudCBvZiBFbnZpcm9ubWVudGFsIE1lZGljaW5lLCBVbml2ZXJzaXR5IG9mIFJv
Y2hlc3RlciBNZWRpY2FsIENlbnRlciAsIFJvY2hlc3RlciwgTmV3IFlvcmsuJiN4RDtEZXBhcnRt
ZW50IG9mIENoZW1pc3RyeSwgVW5pdmVyc2l0eSBvZiBCdWZmYWxvICwgQnVmZmFsbywgTmV3IFlv
cmsuJiN4RDtEZXBhcnRtZW50IG9mIE1lY2hhbmljYWwgRW5naW5lZXJpbmcsIFJvY2hlc3RlciBJ
bnN0aXR1dGUgb2YgVGVjaG5vbG9neS9OYXRpb25hbCBUZWNobmljYWwgSW5zdGl0dXRlIGZvciB0
aGUgRGVhZiAsIFJvY2hlc3RlciwgTmV3IFlvcmsuJiN4RDtEZXBhcnRtZW50IG9mIFNjaWVuY2Ug
JmFtcDsgTWF0aGVtYXRpY3MsIFJvY2hlc3RlciBJbnN0aXR1dGUgb2YgVGVjaG5vbG9neS9OYXRp
b25hbCBUZWNobmljYWwgSW5zdGl0dXRlIGZvciB0aGUgRGVhZiAsIFJvY2hlc3RlciwgTmV3IFlv
cmsuPC9hdXRoLWFkZHJlc3M+PHRpdGxlcz48dGl0bGU+SW5mbGFtbWF0b3J5IFJlc3BvbnNlIGFu
ZCBCYXJyaWVyIER5c2Z1bmN0aW9uIGJ5IERpZmZlcmVudCBlLUNpZ2FyZXR0ZSBGbGF2b3Jpbmcg
Q2hlbWljYWxzIElkZW50aWZpZWQgYnkgR2FzIENocm9tYXRvZ3JhcGh5LU1hc3MgU3BlY3Ryb21l
dHJ5IGluIGUtTGlxdWlkcyBhbmQgZS1WYXBvcnMgb24gSHVtYW4gTHVuZyBFcGl0aGVsaWFsIENl
bGxzIGFuZCBGaWJyb2JsYXN0czwvdGl0bGU+PHNlY29uZGFyeS10aXRsZT5BcHBsIEluIFZpdHJv
IFRveGljb2w8L3NlY29uZGFyeS10aXRsZT48YWx0LXRpdGxlPkFwcGxpZWQgaW4gdml0cm8gdG94
aWNvbG9neTwvYWx0LXRpdGxlPjwvdGl0bGVzPjxwZXJpb2RpY2FsPjxmdWxsLXRpdGxlPkFwcGwg
SW4gVml0cm8gVG94aWNvbDwvZnVsbC10aXRsZT48YWJici0xPkFwcGxpZWQgaW4gdml0cm8gdG94
aWNvbG9neTwvYWJici0xPjwvcGVyaW9kaWNhbD48YWx0LXBlcmlvZGljYWw+PGZ1bGwtdGl0bGU+
QXBwbCBJbiBWaXRybyBUb3hpY29sPC9mdWxsLXRpdGxlPjxhYmJyLTE+QXBwbGllZCBpbiB2aXRy
byB0b3hpY29sb2d5PC9hYmJyLTE+PC9hbHQtcGVyaW9kaWNhbD48cGFnZXM+MjgtNDA8L3BhZ2Vz
Pjx2b2x1bWU+Mzwvdm9sdW1lPjxudW1iZXI+MTwvbnVtYmVyPjxlZGl0aW9uPjIwMTcvMDMvMjU8
L2VkaXRpb24+PGtleXdvcmRzPjxrZXl3b3JkPmJhcnJpZXIgZnVuY3Rpb248L2tleXdvcmQ+PGtl
eXdvcmQ+ZGlhY2V0eWw8L2tleXdvcmQ+PGtleXdvcmQ+ZWxlY3Ryb25pYyBjaWdhcmV0dGVzPC9r
ZXl3b3JkPjxrZXl3b3JkPmZsYXZvcnM8L2tleXdvcmQ+PGtleXdvcmQ+aW5mbGFtbWF0aW9uPC9r
ZXl3b3JkPjxrZXl3b3JkPmludGVybGV1a2luLTg8L2tleXdvcmQ+PC9rZXl3b3Jkcz48ZGF0ZXM+
PHllYXI+MjAxNzwveWVhcj48cHViLWRhdGVzPjxkYXRlPk1hciAxPC9kYXRlPjwvcHViLWRhdGVz
PjwvZGF0ZXM+PGlzYm4+MjMzMi0xNTEyIChQcmludCkmI3hEOzIzMzItMTUxMjwvaXNibj48YWNj
ZXNzaW9uLW51bT4yODMzNzQ2NTwvYWNjZXNzaW9uLW51bT48dXJscz48L3VybHM+PGN1c3RvbTI+
UE1DNTMzODA3NTwvY3VzdG9tMj48ZWxlY3Ryb25pYy1yZXNvdXJjZS1udW0+MTAuMTA4OS9haXZ0
LjIwMTYuMDAzMDwvZWxlY3Ryb25pYy1yZXNvdXJjZS1udW0+PHJlbW90ZS1kYXRhYmFzZS1wcm92
aWRlcj5OTE08L3JlbW90ZS1kYXRhYmFzZS1wcm92aWRlcj48bGFuZ3VhZ2U+ZW5nPC9sYW5ndWFn
ZT48L3JlY29yZD48L0NpdGU+PC9FbmROb3RlPn==
</w:fldData>
            </w:fldChar>
          </w:r>
          <w:r>
            <w:rPr>
              <w:rFonts w:eastAsia="Times New Roman" w:cs="Calibri"/>
            </w:rPr>
            <w:instrText xml:space="preserve"> ADDIN EN.CITE.DATA </w:instrText>
          </w:r>
          <w:r>
            <w:rPr>
              <w:rFonts w:eastAsia="Times New Roman" w:cs="Calibri"/>
            </w:rPr>
          </w:r>
          <w:r>
            <w:rPr>
              <w:rFonts w:eastAsia="Times New Roman" w:cs="Calibri"/>
            </w:rPr>
            <w:fldChar w:fldCharType="end"/>
          </w:r>
          <w:r>
            <w:rPr>
              <w:rFonts w:eastAsia="Times New Roman" w:cs="Calibri"/>
            </w:rPr>
          </w:r>
          <w:r>
            <w:rPr>
              <w:rFonts w:eastAsia="Times New Roman" w:cs="Calibri"/>
            </w:rPr>
            <w:fldChar w:fldCharType="separate"/>
          </w:r>
          <w:r>
            <w:rPr>
              <w:rFonts w:eastAsia="Times New Roman" w:cs="Calibri"/>
              <w:noProof/>
            </w:rPr>
            <w:t>(Gerloff, Sundar et al. 2017, Solleti, Bhattacharya et al. 2017)</w:t>
          </w:r>
          <w:r>
            <w:rPr>
              <w:rFonts w:eastAsia="Times New Roman" w:cs="Calibri"/>
            </w:rPr>
            <w:fldChar w:fldCharType="end"/>
          </w:r>
          <w:r w:rsidRPr="000A145F">
            <w:rPr>
              <w:rFonts w:eastAsia="Times New Roman" w:cs="Calibri"/>
            </w:rPr>
            <w:t xml:space="preserve">. </w:t>
          </w:r>
          <w:r>
            <w:rPr>
              <w:rFonts w:eastAsia="Times New Roman" w:cs="Calibri"/>
            </w:rPr>
            <w:t>However, in another study, c</w:t>
          </w:r>
          <w:r w:rsidRPr="00AE1199">
            <w:rPr>
              <w:rFonts w:eastAsia="Times New Roman" w:cs="Calibri"/>
            </w:rPr>
            <w:t>ell viability significantly decreased in the</w:t>
          </w:r>
          <w:r>
            <w:rPr>
              <w:rFonts w:eastAsia="Times New Roman" w:cs="Calibri"/>
            </w:rPr>
            <w:t xml:space="preserve"> plasmid and bacteria</w:t>
          </w:r>
          <w:r w:rsidRPr="00AE1199">
            <w:rPr>
              <w:rFonts w:eastAsia="Times New Roman" w:cs="Calibri"/>
            </w:rPr>
            <w:t xml:space="preserve"> cells exposed</w:t>
          </w:r>
          <w:r>
            <w:rPr>
              <w:rFonts w:eastAsia="Times New Roman" w:cs="Calibri"/>
            </w:rPr>
            <w:t xml:space="preserve"> to</w:t>
          </w:r>
          <w:r w:rsidRPr="00AE1199">
            <w:rPr>
              <w:rFonts w:eastAsia="Times New Roman" w:cs="Calibri"/>
            </w:rPr>
            <w:t xml:space="preserve"> e-cigarette </w:t>
          </w:r>
          <w:r>
            <w:rPr>
              <w:rFonts w:eastAsia="Times New Roman" w:cs="Calibri"/>
            </w:rPr>
            <w:t xml:space="preserve">liquid </w:t>
          </w:r>
          <w:r w:rsidRPr="00AE1199">
            <w:rPr>
              <w:rFonts w:eastAsia="Times New Roman" w:cs="Calibri"/>
            </w:rPr>
            <w:t xml:space="preserve">compared with the </w:t>
          </w:r>
          <w:r>
            <w:rPr>
              <w:rFonts w:eastAsia="Times New Roman" w:cs="Calibri"/>
            </w:rPr>
            <w:t xml:space="preserve">room air </w:t>
          </w:r>
          <w:r w:rsidRPr="00AE1199">
            <w:rPr>
              <w:rFonts w:eastAsia="Times New Roman" w:cs="Calibri"/>
            </w:rPr>
            <w:t>control</w:t>
          </w:r>
          <w:r>
            <w:rPr>
              <w:rFonts w:eastAsia="Times New Roman" w:cs="Calibri"/>
            </w:rPr>
            <w:t xml:space="preserve"> </w:t>
          </w:r>
          <w:r>
            <w:rPr>
              <w:rFonts w:eastAsia="Times New Roman" w:cs="Calibri"/>
            </w:rPr>
            <w:fldChar w:fldCharType="begin">
              <w:fldData xml:space="preserve">PEVuZE5vdGU+PENpdGU+PEF1dGhvcj5CaGFyYWR3YWo8L0F1dGhvcj48WWVhcj4yMDE3PC9ZZWFy
PjxSZWNOdW0+MTQ2NTwvUmVjTnVtPjxEaXNwbGF5VGV4dD4oQmhhcmFkd2FqLCBNaXRjaGVsbCBl
dCBhbC4gMjAxNyk8L0Rpc3BsYXlUZXh0PjxyZWNvcmQ+PHJlYy1udW1iZXI+MTQ2NTwvcmVjLW51
bWJlcj48Zm9yZWlnbi1rZXlzPjxrZXkgYXBwPSJFTiIgZGItaWQ9Ijl6MDVkejBwcmFhZGZ1ZWUw
em94emVkazl6ZmU1Znh4NTB6NSIgdGltZXN0YW1wPSIxNTIxNTA3MDg1Ij4xNDY1PC9rZXk+PGtl
eSBhcHA9IkVOV2ViIiBkYi1pZD0iIj4wPC9rZXk+PC9mb3JlaWduLWtleXM+PHJlZi10eXBlIG5h
bWU9IkpvdXJuYWwgQXJ0aWNsZSI+MTc8L3JlZi10eXBlPjxjb250cmlidXRvcnM+PGF1dGhvcnM+
PGF1dGhvcj5CaGFyYWR3YWosIFMuPC9hdXRob3I+PGF1dGhvcj5NaXRjaGVsbCwgUi4gSi48L2F1
dGhvcj48YXV0aG9yPlF1cmVzaGksIEEuPC9hdXRob3I+PGF1dGhvcj5OaWF6aSwgSi4gSC48L2F1
dGhvcj48L2F1dGhvcnM+PC9jb250cmlidXRvcnM+PGF1dGgtYWRkcmVzcz5TYWJhbmNpIFVuaXZl
cnNpdHkgTmFub3RlY2hub2xvZ3kgUmVzZWFyY2ggYW5kIEFwcGxpY2F0aW9uIENlbnRlciwgT3J0
YSBNYWhhbGxlIDM0OTU2LCBUdXpsYSwgSXN0YW5idWwsIFR1cmtleS4mI3hEO1NjaG9vbCBvZiBM
aWZlIFNjaWVuY2VzLCBVbHNhbiBOYXRpb25hbCBJbnN0aXR1dGUgb2YgU2NpZW5jZSBhbmQgVGVj
aG5vbG9neSwgVWxzYW4gNjg5LTc5OCwgUmVwdWJsaWMgb2YgS29yZWEuJiN4RDtTYWJhbmNpIFVu
aXZlcnNpdHkgTmFub3RlY2hub2xvZ3kgUmVzZWFyY2ggYW5kIEFwcGxpY2F0aW9uIENlbnRlciwg
T3J0YSBNYWhhbGxlIDM0OTU2LCBUdXpsYSwgSXN0YW5idWwsIFR1cmtleS4gRWxlY3Ryb25pYyBh
ZGRyZXNzOiBqYXZlZEBzYWJhbmNpdW5pdi5lZHUuPC9hdXRoLWFkZHJlc3M+PHRpdGxlcz48dGl0
bGU+VG94aWNpdHkgZXZhbHVhdGlvbiBvZiBlLWp1aWNlIGFuZCBpdHMgc29sdWJsZSBhZXJvc29s
cyBnZW5lcmF0ZWQgYnkgZWxlY3Ryb25pYyBjaWdhcmV0dGVzIHVzaW5nIHJlY29tYmluYW50IGJp
b2x1bWluZXNjZW50IGJhY3RlcmlhIHJlc3BvbnNpdmUgdG8gc3BlY2lmaWMgY2VsbHVsYXIgZGFt
YWdlczwvdGl0bGU+PHNlY29uZGFyeS10aXRsZT5CaW9zZW5zIEJpb2VsZWN0cm9uPC9zZWNvbmRh
cnktdGl0bGU+PGFsdC10aXRsZT5CaW9zZW5zb3JzICZhbXA7IGJpb2VsZWN0cm9uaWNzPC9hbHQt
dGl0bGU+PC90aXRsZXM+PHBlcmlvZGljYWw+PGZ1bGwtdGl0bGU+Qmlvc2VucyBCaW9lbGVjdHJv
bjwvZnVsbC10aXRsZT48YWJici0xPkJpb3NlbnNvcnMgJmFtcDsgYmlvZWxlY3Ryb25pY3M8L2Fi
YnItMT48L3BlcmlvZGljYWw+PGFsdC1wZXJpb2RpY2FsPjxmdWxsLXRpdGxlPkJpb3NlbnMgQmlv
ZWxlY3Ryb248L2Z1bGwtdGl0bGU+PGFiYnItMT5CaW9zZW5zb3JzICZhbXA7IGJpb2VsZWN0cm9u
aWNzPC9hYmJyLTE+PC9hbHQtcGVyaW9kaWNhbD48cGFnZXM+NTMtNjA8L3BhZ2VzPjx2b2x1bWU+
OTA8L3ZvbHVtZT48ZWRpdGlvbj4yMDE2LzExLzIzPC9lZGl0aW9uPjxrZXl3b3Jkcz48a2V5d29y
ZD5BZXJvc29scy9jaGVtaXN0cnk8L2tleXdvcmQ+PGtleXdvcmQ+QmFjdGVyaWEvKmRydWcgZWZm
ZWN0cy9nZW5ldGljczwva2V5d29yZD48a2V5d29yZD5CYWN0ZXJpYWwgUHJvdGVpbnMvZ2VuZXRp
Y3M8L2tleXdvcmQ+PGtleXdvcmQ+KkJpb3NlbnNpbmcgVGVjaG5pcXVlczwva2V5d29yZD48a2V5
d29yZD5ETkEgRGFtYWdlLypkcnVnIGVmZmVjdHM8L2tleXdvcmQ+PGtleXdvcmQ+RE5BLCBSZWNv
bWJpbmFudC9jaGVtaXN0cnkvZ2VuZXRpY3M8L2tleXdvcmQ+PGtleXdvcmQ+RWxlY3Ryb25pYyBO
aWNvdGluZSBEZWxpdmVyeSBTeXN0ZW1zLyphZHZlcnNlIGVmZmVjdHM8L2tleXdvcmQ+PGtleXdv
cmQ+SHVtYW5zPC9rZXl3b3JkPjxrZXl3b3JkPk94aWRvcmVkdWN0YXNlcy9nZW5ldGljczwva2V5
d29yZD48a2V5d29yZD5SZWMgQSBSZWNvbWJpbmFzZXMvZ2VuZXRpY3M8L2tleXdvcmQ+PGtleXdv
cmQ+KkJpb2x1bWluZXNjZW5jZTwva2V5d29yZD48a2V5d29yZD4qQmlvc2Vuc29yPC9rZXl3b3Jk
PjxrZXl3b3JkPipFLWNpZ2FyZXR0ZTwva2V5d29yZD48a2V5d29yZD4qRS1qdWljZTwva2V5d29y
ZD48a2V5d29yZD4qVG94aWNpdHk8L2tleXdvcmQ+PGtleXdvcmQ+Kmx1eDwva2V5d29yZD48L2tl
eXdvcmRzPjxkYXRlcz48eWVhcj4yMDE3PC95ZWFyPjxwdWItZGF0ZXM+PGRhdGU+QXByIDE1PC9k
YXRlPjwvcHViLWRhdGVzPjwvZGF0ZXM+PGlzYm4+MDk1Ni01NjYzPC9pc2JuPjxhY2Nlc3Npb24t
bnVtPjI3ODc1NzUyPC9hY2Nlc3Npb24tbnVtPjx1cmxzPjxyZWxhdGVkLXVybHM+PHVybD5odHRw
czovL3d3dy5zY2llbmNlZGlyZWN0LmNvbS9zY2llbmNlL2FydGljbGUvcGlpL1MwOTU2NTY2MzE2
MzExNjc4P3ZpYSUzRGlodWI8L3VybD48L3JlbGF0ZWQtdXJscz48L3VybHM+PGVsZWN0cm9uaWMt
cmVzb3VyY2UtbnVtPjEwLjEwMTYvai5iaW9zLjIwMTYuMTEuMDI2PC9lbGVjdHJvbmljLXJlc291
cmNlLW51bT48cmVtb3RlLWRhdGFiYXNlLXByb3ZpZGVyPk5MTTwvcmVtb3RlLWRhdGFiYXNlLXBy
b3ZpZGVyPjxsYW5ndWFnZT5lbmc8L2xhbmd1YWdlPjwvcmVjb3JkPjwvQ2l0ZT48L0VuZE5vdGU+
AG==
</w:fldData>
            </w:fldChar>
          </w:r>
          <w:r>
            <w:rPr>
              <w:rFonts w:eastAsia="Times New Roman" w:cs="Calibri"/>
            </w:rPr>
            <w:instrText xml:space="preserve"> ADDIN EN.CITE </w:instrText>
          </w:r>
          <w:r>
            <w:rPr>
              <w:rFonts w:eastAsia="Times New Roman" w:cs="Calibri"/>
            </w:rPr>
            <w:fldChar w:fldCharType="begin">
              <w:fldData xml:space="preserve">PEVuZE5vdGU+PENpdGU+PEF1dGhvcj5CaGFyYWR3YWo8L0F1dGhvcj48WWVhcj4yMDE3PC9ZZWFy
PjxSZWNOdW0+MTQ2NTwvUmVjTnVtPjxEaXNwbGF5VGV4dD4oQmhhcmFkd2FqLCBNaXRjaGVsbCBl
dCBhbC4gMjAxNyk8L0Rpc3BsYXlUZXh0PjxyZWNvcmQ+PHJlYy1udW1iZXI+MTQ2NTwvcmVjLW51
bWJlcj48Zm9yZWlnbi1rZXlzPjxrZXkgYXBwPSJFTiIgZGItaWQ9Ijl6MDVkejBwcmFhZGZ1ZWUw
em94emVkazl6ZmU1Znh4NTB6NSIgdGltZXN0YW1wPSIxNTIxNTA3MDg1Ij4xNDY1PC9rZXk+PGtl
eSBhcHA9IkVOV2ViIiBkYi1pZD0iIj4wPC9rZXk+PC9mb3JlaWduLWtleXM+PHJlZi10eXBlIG5h
bWU9IkpvdXJuYWwgQXJ0aWNsZSI+MTc8L3JlZi10eXBlPjxjb250cmlidXRvcnM+PGF1dGhvcnM+
PGF1dGhvcj5CaGFyYWR3YWosIFMuPC9hdXRob3I+PGF1dGhvcj5NaXRjaGVsbCwgUi4gSi48L2F1
dGhvcj48YXV0aG9yPlF1cmVzaGksIEEuPC9hdXRob3I+PGF1dGhvcj5OaWF6aSwgSi4gSC48L2F1
dGhvcj48L2F1dGhvcnM+PC9jb250cmlidXRvcnM+PGF1dGgtYWRkcmVzcz5TYWJhbmNpIFVuaXZl
cnNpdHkgTmFub3RlY2hub2xvZ3kgUmVzZWFyY2ggYW5kIEFwcGxpY2F0aW9uIENlbnRlciwgT3J0
YSBNYWhhbGxlIDM0OTU2LCBUdXpsYSwgSXN0YW5idWwsIFR1cmtleS4mI3hEO1NjaG9vbCBvZiBM
aWZlIFNjaWVuY2VzLCBVbHNhbiBOYXRpb25hbCBJbnN0aXR1dGUgb2YgU2NpZW5jZSBhbmQgVGVj
aG5vbG9neSwgVWxzYW4gNjg5LTc5OCwgUmVwdWJsaWMgb2YgS29yZWEuJiN4RDtTYWJhbmNpIFVu
aXZlcnNpdHkgTmFub3RlY2hub2xvZ3kgUmVzZWFyY2ggYW5kIEFwcGxpY2F0aW9uIENlbnRlciwg
T3J0YSBNYWhhbGxlIDM0OTU2LCBUdXpsYSwgSXN0YW5idWwsIFR1cmtleS4gRWxlY3Ryb25pYyBh
ZGRyZXNzOiBqYXZlZEBzYWJhbmNpdW5pdi5lZHUuPC9hdXRoLWFkZHJlc3M+PHRpdGxlcz48dGl0
bGU+VG94aWNpdHkgZXZhbHVhdGlvbiBvZiBlLWp1aWNlIGFuZCBpdHMgc29sdWJsZSBhZXJvc29s
cyBnZW5lcmF0ZWQgYnkgZWxlY3Ryb25pYyBjaWdhcmV0dGVzIHVzaW5nIHJlY29tYmluYW50IGJp
b2x1bWluZXNjZW50IGJhY3RlcmlhIHJlc3BvbnNpdmUgdG8gc3BlY2lmaWMgY2VsbHVsYXIgZGFt
YWdlczwvdGl0bGU+PHNlY29uZGFyeS10aXRsZT5CaW9zZW5zIEJpb2VsZWN0cm9uPC9zZWNvbmRh
cnktdGl0bGU+PGFsdC10aXRsZT5CaW9zZW5zb3JzICZhbXA7IGJpb2VsZWN0cm9uaWNzPC9hbHQt
dGl0bGU+PC90aXRsZXM+PHBlcmlvZGljYWw+PGZ1bGwtdGl0bGU+Qmlvc2VucyBCaW9lbGVjdHJv
bjwvZnVsbC10aXRsZT48YWJici0xPkJpb3NlbnNvcnMgJmFtcDsgYmlvZWxlY3Ryb25pY3M8L2Fi
YnItMT48L3BlcmlvZGljYWw+PGFsdC1wZXJpb2RpY2FsPjxmdWxsLXRpdGxlPkJpb3NlbnMgQmlv
ZWxlY3Ryb248L2Z1bGwtdGl0bGU+PGFiYnItMT5CaW9zZW5zb3JzICZhbXA7IGJpb2VsZWN0cm9u
aWNzPC9hYmJyLTE+PC9hbHQtcGVyaW9kaWNhbD48cGFnZXM+NTMtNjA8L3BhZ2VzPjx2b2x1bWU+
OTA8L3ZvbHVtZT48ZWRpdGlvbj4yMDE2LzExLzIzPC9lZGl0aW9uPjxrZXl3b3Jkcz48a2V5d29y
ZD5BZXJvc29scy9jaGVtaXN0cnk8L2tleXdvcmQ+PGtleXdvcmQ+QmFjdGVyaWEvKmRydWcgZWZm
ZWN0cy9nZW5ldGljczwva2V5d29yZD48a2V5d29yZD5CYWN0ZXJpYWwgUHJvdGVpbnMvZ2VuZXRp
Y3M8L2tleXdvcmQ+PGtleXdvcmQ+KkJpb3NlbnNpbmcgVGVjaG5pcXVlczwva2V5d29yZD48a2V5
d29yZD5ETkEgRGFtYWdlLypkcnVnIGVmZmVjdHM8L2tleXdvcmQ+PGtleXdvcmQ+RE5BLCBSZWNv
bWJpbmFudC9jaGVtaXN0cnkvZ2VuZXRpY3M8L2tleXdvcmQ+PGtleXdvcmQ+RWxlY3Ryb25pYyBO
aWNvdGluZSBEZWxpdmVyeSBTeXN0ZW1zLyphZHZlcnNlIGVmZmVjdHM8L2tleXdvcmQ+PGtleXdv
cmQ+SHVtYW5zPC9rZXl3b3JkPjxrZXl3b3JkPk94aWRvcmVkdWN0YXNlcy9nZW5ldGljczwva2V5
d29yZD48a2V5d29yZD5SZWMgQSBSZWNvbWJpbmFzZXMvZ2VuZXRpY3M8L2tleXdvcmQ+PGtleXdv
cmQ+KkJpb2x1bWluZXNjZW5jZTwva2V5d29yZD48a2V5d29yZD4qQmlvc2Vuc29yPC9rZXl3b3Jk
PjxrZXl3b3JkPipFLWNpZ2FyZXR0ZTwva2V5d29yZD48a2V5d29yZD4qRS1qdWljZTwva2V5d29y
ZD48a2V5d29yZD4qVG94aWNpdHk8L2tleXdvcmQ+PGtleXdvcmQ+Kmx1eDwva2V5d29yZD48L2tl
eXdvcmRzPjxkYXRlcz48eWVhcj4yMDE3PC95ZWFyPjxwdWItZGF0ZXM+PGRhdGU+QXByIDE1PC9k
YXRlPjwvcHViLWRhdGVzPjwvZGF0ZXM+PGlzYm4+MDk1Ni01NjYzPC9pc2JuPjxhY2Nlc3Npb24t
bnVtPjI3ODc1NzUyPC9hY2Nlc3Npb24tbnVtPjx1cmxzPjxyZWxhdGVkLXVybHM+PHVybD5odHRw
czovL3d3dy5zY2llbmNlZGlyZWN0LmNvbS9zY2llbmNlL2FydGljbGUvcGlpL1MwOTU2NTY2MzE2
MzExNjc4P3ZpYSUzRGlodWI8L3VybD48L3JlbGF0ZWQtdXJscz48L3VybHM+PGVsZWN0cm9uaWMt
cmVzb3VyY2UtbnVtPjEwLjEwMTYvai5iaW9zLjIwMTYuMTEuMDI2PC9lbGVjdHJvbmljLXJlc291
cmNlLW51bT48cmVtb3RlLWRhdGFiYXNlLXByb3ZpZGVyPk5MTTwvcmVtb3RlLWRhdGFiYXNlLXBy
b3ZpZGVyPjxsYW5ndWFnZT5lbmc8L2xhbmd1YWdlPjwvcmVjb3JkPjwvQ2l0ZT48L0VuZE5vdGU+
AG==
</w:fldData>
            </w:fldChar>
          </w:r>
          <w:r>
            <w:rPr>
              <w:rFonts w:eastAsia="Times New Roman" w:cs="Calibri"/>
            </w:rPr>
            <w:instrText xml:space="preserve"> ADDIN EN.CITE.DATA </w:instrText>
          </w:r>
          <w:r>
            <w:rPr>
              <w:rFonts w:eastAsia="Times New Roman" w:cs="Calibri"/>
            </w:rPr>
          </w:r>
          <w:r>
            <w:rPr>
              <w:rFonts w:eastAsia="Times New Roman" w:cs="Calibri"/>
            </w:rPr>
            <w:fldChar w:fldCharType="end"/>
          </w:r>
          <w:r>
            <w:rPr>
              <w:rFonts w:eastAsia="Times New Roman" w:cs="Calibri"/>
            </w:rPr>
          </w:r>
          <w:r>
            <w:rPr>
              <w:rFonts w:eastAsia="Times New Roman" w:cs="Calibri"/>
            </w:rPr>
            <w:fldChar w:fldCharType="separate"/>
          </w:r>
          <w:r>
            <w:rPr>
              <w:rFonts w:eastAsia="Times New Roman" w:cs="Calibri"/>
              <w:noProof/>
            </w:rPr>
            <w:t>(Bharadwaj, Mitchell et al. 2017)</w:t>
          </w:r>
          <w:r>
            <w:rPr>
              <w:rFonts w:eastAsia="Times New Roman" w:cs="Calibri"/>
            </w:rPr>
            <w:fldChar w:fldCharType="end"/>
          </w:r>
          <w:r w:rsidRPr="00AE1199">
            <w:rPr>
              <w:rFonts w:eastAsia="Times New Roman" w:cs="Calibri"/>
            </w:rPr>
            <w:t>.</w:t>
          </w:r>
          <w:r>
            <w:rPr>
              <w:rFonts w:eastAsia="Times New Roman" w:cs="Calibri"/>
            </w:rPr>
            <w:t xml:space="preserve"> The dose of e-cigarettes play a key role in determining cytotoxicity, with higher doses showing higher toxicity </w:t>
          </w:r>
          <w:r>
            <w:rPr>
              <w:rFonts w:eastAsia="Times New Roman" w:cs="Calibri"/>
            </w:rPr>
            <w:fldChar w:fldCharType="begin">
              <w:fldData xml:space="preserve">PEVuZE5vdGU+PENpdGU+PEF1dGhvcj5PdHJlYmE8L0F1dGhvcj48WWVhcj4yMDE4PC9ZZWFyPjxS
ZWNOdW0+MTA0NTA8L1JlY051bT48RGlzcGxheVRleHQ+KEJyZWhlbnksIEFkYW1zb24gZXQgYWwu
IDIwMTcsIENsYXBwLCBQYXdsYWsgZXQgYWwuIDIwMTcsIE11dGh1bWFsYWdlLCBQcmlueiBldCBh
bC4gMjAxNywgQmlzaG9wLCBIYXN3ZWxsIGV0IGFsLiAyMDE4LCBPdHJlYmEsIEtvc21pZGVyIGV0
IGFsLiAyMDE4KTwvRGlzcGxheVRleHQ+PHJlY29yZD48cmVjLW51bWJlcj4xMDQ1MDwvcmVjLW51
bWJlcj48Zm9yZWlnbi1rZXlzPjxrZXkgYXBwPSJFTiIgZGItaWQ9Ijl6MDVkejBwcmFhZGZ1ZWUw
em94emVkazl6ZmU1Znh4NTB6NSIgdGltZXN0YW1wPSIxNTI2ODY5ODc4Ij4xMDQ1MDwva2V5Pjxr
ZXkgYXBwPSJFTldlYiIgZGItaWQ9IiI+MDwva2V5PjwvZm9yZWlnbi1rZXlzPjxyZWYtdHlwZSBu
YW1lPSJKb3VybmFsIEFydGljbGUiPjE3PC9yZWYtdHlwZT48Y29udHJpYnV0b3JzPjxhdXRob3Jz
PjxhdXRob3I+T3RyZWJhLCBNaWNoYWw8L2F1dGhvcj48YXV0aG9yPktvc21pZGVyLCBMZW9uPC9h
dXRob3I+PGF1dGhvcj5LbnlzYWssIEpha3ViPC9hdXRob3I+PGF1dGhvcj5XYXJuY2tlLCBKYXJl
ZCBELjwvYXV0aG9yPjxhdXRob3I+U29iY3phaywgQW5kcnplajwvYXV0aG9yPjwvYXV0aG9ycz48
L2NvbnRyaWJ1dG9ycz48dGl0bGVzPjx0aXRsZT5FLWNpZ2FyZXR0ZXM6IHZvbHRhZ2UtIGFuZCBj
b25jZW50cmF0aW9uLWRlcGVuZGVudCBsb3NzIGluIGh1bWFuIGx1bmcgYWRlbm9jYXJjaW5vbWEg
dmlhYmlsaXR5PC90aXRsZT48c2Vjb25kYXJ5LXRpdGxlPkpvdXJuYWwgb2YgYXBwbGllZCB0b3hp
Y29sb2d5IDogSkFUPC9zZWNvbmRhcnktdGl0bGU+PC90aXRsZXM+PHBlcmlvZGljYWw+PGZ1bGwt
dGl0bGU+Sm91cm5hbCBvZiBhcHBsaWVkIHRveGljb2xvZ3kgOiBKQVQ8L2Z1bGwtdGl0bGU+PC9w
ZXJpb2RpY2FsPjxkYXRlcz48eWVhcj4yMDE4PC95ZWFyPjxwdWItZGF0ZXM+PGRhdGU+MjAxOC1B
cHItMTc8L2RhdGU+PC9wdWItZGF0ZXM+PC9kYXRlcz48YWNjZXNzaW9uLW51bT5NRURMSU5FOjI5
NjY1MDgyPC9hY2Nlc3Npb24tbnVtPjx1cmxzPjxyZWxhdGVkLXVybHM+PHVybD4mbHQ7R28gdG8g
SVNJJmd0OzovL01FRExJTkU6Mjk2NjUwODI8L3VybD48dXJsPmh0dHBzOi8vb25saW5lbGlicmFy
eS53aWxleS5jb20vZG9pL3BkZi8xMC4xMDAyL2phdC4zNjI1PC91cmw+PC9yZWxhdGVkLXVybHM+
PC91cmxzPjxlbGVjdHJvbmljLXJlc291cmNlLW51bT4xMC4xMDAyL2phdC4zNjI1PC9lbGVjdHJv
bmljLXJlc291cmNlLW51bT48L3JlY29yZD48L0NpdGU+PENpdGU+PEF1dGhvcj5CaXNob3A8L0F1
dGhvcj48WWVhcj4yMDE4PC9ZZWFyPjxSZWNOdW0+NjQzPC9SZWNOdW0+PHJlY29yZD48cmVjLW51
bWJlcj42NDM8L3JlYy1udW1iZXI+PGZvcmVpZ24ta2V5cz48a2V5IGFwcD0iRU4iIGRiLWlkPSI5
ejA1ZHowcHJhYWRmdWVlMHpveHplZGs5emZlNWZ4eDUwejUiIHRpbWVzdGFtcD0iMTUyMTUwNjg3
OSI+NjQzPC9rZXk+PGtleSBhcHA9IkVOV2ViIiBkYi1pZD0iIj4wPC9rZXk+PC9mb3JlaWduLWtl
eXM+PHJlZi10eXBlIG5hbWU9IkpvdXJuYWwgQXJ0aWNsZSI+MTc8L3JlZi10eXBlPjxjb250cmli
dXRvcnM+PGF1dGhvcnM+PGF1dGhvcj5CaXNob3AsIEUuPC9hdXRob3I+PGF1dGhvcj5IYXN3ZWxs
LCBMLjwvYXV0aG9yPjxhdXRob3I+QWRhbXNvbiwgSi48L2F1dGhvcj48YXV0aG9yPkNvc3RpZ2Fu
LCBTLjwvYXV0aG9yPjxhdXRob3I+VGhvcm5lLCBELjwvYXV0aG9yPjxhdXRob3I+R2FjYSwgTS48
L2F1dGhvcj48L2F1dGhvcnM+PC9jb250cmlidXRvcnM+PGF1dGgtYWRkcmVzcz5Ccml0aXNoIEFt
ZXJpY2FuIFRvYmFjY28sIFImYW1wO0QsIFNvdXRoYW1wdG9uLCBIYW1wc2hpcmUgU08xNSA4VEws
IFVLLiYjeEQ7QnJpdGlzaCBBbWVyaWNhbiBUb2JhY2NvLCBSJmFtcDtELCBTb3V0aGFtcHRvbiwg
SGFtcHNoaXJlIFNPMTUgOFRMLCBVSy4gRWxlY3Ryb25pYyBhZGRyZXNzOiBEYXZpZF9UaG9ybmVA
YmF0LmNvbS48L2F1dGgtYWRkcmVzcz48dGl0bGVzPjx0aXRsZT5URU1QT1JBUlkgUkVNT1ZBTDog
QW4gYXBwcm9hY2ggdG8gdGVzdGluZyB1bmRpbHV0ZWQgZS1jaWdhcmV0dGUgYWVyb3NvbCBpbiB2
aXRybyB1c2luZyAzRCByZWNvbnN0aXR1dGVkIGh1bWFuIGFpcndheSBlcGl0aGVsaXVtPC90aXRs
ZT48c2Vjb25kYXJ5LXRpdGxlPlRveGljb2wgSW4gVml0cm88L3NlY29uZGFyeS10aXRsZT48YWx0
LXRpdGxlPlRveGljb2xvZ3kgaW4gdml0cm8gOiBhbiBpbnRlcm5hdGlvbmFsIGpvdXJuYWwgcHVi
bGlzaGVkIGluIGFzc29jaWF0aW9uIHdpdGggQklCUkE8L2FsdC10aXRsZT48L3RpdGxlcz48cGVy
aW9kaWNhbD48ZnVsbC10aXRsZT5Ub3hpY29sIEluIFZpdHJvPC9mdWxsLXRpdGxlPjxhYmJyLTE+
VG94aWNvbG9neSBpbiB2aXRybyA6IGFuIGludGVybmF0aW9uYWwgam91cm5hbCBwdWJsaXNoZWQg
aW4gYXNzb2NpYXRpb24gd2l0aCBCSUJSQTwvYWJici0xPjwvcGVyaW9kaWNhbD48YWx0LXBlcmlv
ZGljYWw+PGZ1bGwtdGl0bGU+VG94aWNvbCBJbiBWaXRybzwvZnVsbC10aXRsZT48YWJici0xPlRv
eGljb2xvZ3kgaW4gdml0cm8gOiBhbiBpbnRlcm5hdGlvbmFsIGpvdXJuYWwgcHVibGlzaGVkIGlu
IGFzc29jaWF0aW9uIHdpdGggQklCUkE8L2FiYnItMT48L2FsdC1wZXJpb2RpY2FsPjxlZGl0aW9u
PjIwMTgvMDEvMjM8L2VkaXRpb24+PGRhdGVzPjx5ZWFyPjIwMTg8L3llYXI+PHB1Yi1kYXRlcz48
ZGF0ZT5KYW4gMzE8L2RhdGU+PC9wdWItZGF0ZXM+PC9kYXRlcz48aXNibj4wODg3LTIzMzM8L2lz
Ym4+PGFjY2Vzc2lvbi1udW0+MjkzNTU1OTM8L2FjY2Vzc2lvbi1udW0+PHVybHM+PHJlbGF0ZWQt
dXJscz48dXJsPmh0dHBzOi8vd3d3LnNjaWVuY2VkaXJlY3QuY29tL3NjaWVuY2UvYXJ0aWNsZS9w
aWkvUzA4ODcyMzMzMTgzMDAxMTA/dmlhJTNEaWh1YjwvdXJsPjwvcmVsYXRlZC11cmxzPjwvdXJs
cz48ZWxlY3Ryb25pYy1yZXNvdXJjZS1udW0+MTAuMTAxNi9qLnRpdi4yMDE4LjAxLjAxMDwvZWxl
Y3Ryb25pYy1yZXNvdXJjZS1udW0+PHJlbW90ZS1kYXRhYmFzZS1wcm92aWRlcj5OTE08L3JlbW90
ZS1kYXRhYmFzZS1wcm92aWRlcj48bGFuZ3VhZ2U+ZW5nPC9sYW5ndWFnZT48L3JlY29yZD48L0Np
dGU+PENpdGU+PEF1dGhvcj5CcmVoZW55PC9BdXRob3I+PFllYXI+MjAxNzwvWWVhcj48UmVjTnVt
PjEwOTc8L1JlY051bT48cmVjb3JkPjxyZWMtbnVtYmVyPjEwOTc8L3JlYy1udW1iZXI+PGZvcmVp
Z24ta2V5cz48a2V5IGFwcD0iRU4iIGRiLWlkPSI5ejA1ZHowcHJhYWRmdWVlMHpveHplZGs5emZl
NWZ4eDUwejUiIHRpbWVzdGFtcD0iMTUyMTUwNjk5OSI+MTA5Nzwva2V5PjxrZXkgYXBwPSJFTldl
YiIgZGItaWQ9IiI+MDwva2V5PjwvZm9yZWlnbi1rZXlzPjxyZWYtdHlwZSBuYW1lPSJKb3VybmFs
IEFydGljbGUiPjE3PC9yZWYtdHlwZT48Y29udHJpYnV0b3JzPjxhdXRob3JzPjxhdXRob3I+QnJl
aGVueSwgRC48L2F1dGhvcj48YXV0aG9yPkFkYW1zb24sIEouPC9hdXRob3I+PGF1dGhvcj5Benpv
cGFyZGksIEQuPC9hdXRob3I+PGF1dGhvcj5CYXh0ZXIsIEEuPC9hdXRob3I+PGF1dGhvcj5CaXNo
b3AsIEUuPC9hdXRob3I+PGF1dGhvcj5DYXJyLCBULjwvYXV0aG9yPjxhdXRob3I+Q3Jvb2tzLCBJ
LjwvYXV0aG9yPjxhdXRob3I+SGV3aXR0LCBLLjwvYXV0aG9yPjxhdXRob3I+SmF1bmt5LCBULjwv
YXV0aG9yPjxhdXRob3I+TGFyYXJkLCBTLjwvYXV0aG9yPjxhdXRob3I+TG93ZSwgRi48L2F1dGhv
cj48YXV0aG9yPk9rZSwgTy48L2F1dGhvcj48YXV0aG9yPlRheWxvciwgTS48L2F1dGhvcj48YXV0
aG9yPlNhbnRvcGlldHJvLCBTLjwvYXV0aG9yPjxhdXRob3I+VGhvcm5lLCBELjwvYXV0aG9yPjxh
dXRob3I+WmFpbnVkZGluLCBCLjwvYXV0aG9yPjxhdXRob3I+R2FjYSwgTS48L2F1dGhvcj48YXV0
aG9yPkxpdSwgQy48L2F1dGhvcj48YXV0aG9yPk11cnBoeSwgSi48L2F1dGhvcj48YXV0aG9yPlBy
b2N0b3IsIEMuPC9hdXRob3I+PC9hdXRob3JzPjwvY29udHJpYnV0b3JzPjxhdXRoLWFkZHJlc3M+
UmVzZWFyY2ggYW5kIERldmVsb3BtZW50LCBCcml0aXNoIEFtZXJpY2FuIFRvYmFjY28gSW52ZXN0
bWVudHMgTHRkLCBSZWdlbnRzIFBhcmsgUm9hZCwgU291dGhhbXB0b24sIEhhbXBzaGlyZSBTTzE1
IDhUTCwgVUsuIEVsZWN0cm9uaWMgYWRkcmVzczogZGFtaWVuX2JyZWhlbnlAYmF0LmNvbS4mI3hE
O1Jlc2VhcmNoIGFuZCBEZXZlbG9wbWVudCwgQnJpdGlzaCBBbWVyaWNhbiBUb2JhY2NvIEludmVz
dG1lbnRzIEx0ZCwgUmVnZW50cyBQYXJrIFJvYWQsIFNvdXRoYW1wdG9uLCBIYW1wc2hpcmUgU08x
NSA4VEwsIFVLLjwvYXV0aC1hZGRyZXNzPjx0aXRsZXM+PHRpdGxlPkEgbm92ZWwgaHlicmlkIHRv
YmFjY28gcHJvZHVjdCB0aGF0IGRlbGl2ZXJzIGEgdG9iYWNjbyBmbGF2b3VyIG5vdGUgd2l0aCB2
YXBvdXIgYWVyb3NvbCAoUGFydCAyKTogSW4gdml0cm8gYmlvbG9naWNhbCBhc3Nlc3NtZW50IGFu
ZCBjb21wYXJpc29uIHdpdGggZGlmZmVyZW50IHRvYmFjY28taGVhdGluZyBwcm9kdWN0czwvdGl0
bGU+PHNlY29uZGFyeS10aXRsZT5Gb29kIENoZW0gVG94aWNvbDwvc2Vjb25kYXJ5LXRpdGxlPjxh
bHQtdGl0bGU+Rm9vZCBhbmQgY2hlbWljYWwgdG94aWNvbG9neSA6IGFuIGludGVybmF0aW9uYWwg
am91cm5hbCBwdWJsaXNoZWQgZm9yIHRoZSBCcml0aXNoIEluZHVzdHJpYWwgQmlvbG9naWNhbCBS
ZXNlYXJjaCBBc3NvY2lhdGlvbjwvYWx0LXRpdGxlPjwvdGl0bGVzPjxwZXJpb2RpY2FsPjxmdWxs
LXRpdGxlPkZvb2QgQ2hlbSBUb3hpY29sPC9mdWxsLXRpdGxlPjxhYmJyLTE+Rm9vZCBhbmQgY2hl
bWljYWwgdG94aWNvbG9neSA6IGFuIGludGVybmF0aW9uYWwgam91cm5hbCBwdWJsaXNoZWQgZm9y
IHRoZSBCcml0aXNoIEluZHVzdHJpYWwgQmlvbG9naWNhbCBSZXNlYXJjaCBBc3NvY2lhdGlvbjwv
YWJici0xPjwvcGVyaW9kaWNhbD48YWx0LXBlcmlvZGljYWw+PGZ1bGwtdGl0bGU+Rm9vZCBDaGVt
IFRveGljb2w8L2Z1bGwtdGl0bGU+PGFiYnItMT5Gb29kIGFuZCBjaGVtaWNhbCB0b3hpY29sb2d5
IDogYW4gaW50ZXJuYXRpb25hbCBqb3VybmFsIHB1Ymxpc2hlZCBmb3IgdGhlIEJyaXRpc2ggSW5k
dXN0cmlhbCBCaW9sb2dpY2FsIFJlc2VhcmNoIEFzc29jaWF0aW9uPC9hYmJyLTE+PC9hbHQtcGVy
aW9kaWNhbD48cGFnZXM+NTMzLTU0NjwvcGFnZXM+PHZvbHVtZT4xMDY8L3ZvbHVtZT48bnVtYmVy
PlB0IEE8L251bWJlcj48ZWRpdGlvbj4yMDE3LzA2LzEwPC9lZGl0aW9uPjxrZXl3b3Jkcz48a2V5
d29yZD5BZHVsdDwva2V5d29yZD48a2V5d29yZD5BZXJvc29scy8qY2hlbWlzdHJ5PC9rZXl3b3Jk
PjxrZXl3b3JkPkNvbnN1bWVyIFByb2R1Y3QgU2FmZXR5PC9rZXl3b3JkPjxrZXl3b3JkPkVsZWN0
cm9uaWMgTmljb3RpbmUgRGVsaXZlcnkgU3lzdGVtcy8qaW5zdHJ1bWVudGF0aW9uL21ldGhvZHMv
c3RhbmRhcmRzPC9rZXl3b3JkPjxrZXl3b3JkPkZlbWFsZTwva2V5d29yZD48a2V5d29yZD5GbGF2
b3JpbmcgQWdlbnRzLypjaGVtaXN0cnk8L2tleXdvcmQ+PGtleXdvcmQ+SG90IFRlbXBlcmF0dXJl
PC9rZXl3b3JkPjxrZXl3b3JkPkh1bWFuczwva2V5d29yZD48a2V5d29yZD5NYWxlPC9rZXl3b3Jk
PjxrZXl3b3JkPk11dGFnZW5lc2lzPC9rZXl3b3JkPjxrZXl3b3JkPlBhcnRpY3VsYXRlIE1hdHRl
cjwva2V5d29yZD48a2V5d29yZD5TbW9raW5nPC9rZXl3b3JkPjxrZXl3b3JkPlRvYmFjY28vKmNo
ZW1pc3RyeTwva2V5d29yZD48a2V5d29yZD5IeWJyaWQgdG9iYWNjbyBwcm9kdWN0PC9rZXl3b3Jk
PjxrZXl3b3JkPkluIHZpdHJvPC9rZXl3b3JkPjxrZXl3b3JkPlRvYmFjY28taGVhdGluZyBwcm9k
dWN0czwva2V5d29yZD48a2V5d29yZD5Ub3hpY29sb2d5PC9rZXl3b3JkPjwva2V5d29yZHM+PGRh
dGVzPjx5ZWFyPjIwMTc8L3llYXI+PHB1Yi1kYXRlcz48ZGF0ZT5BdWc8L2RhdGU+PC9wdWItZGF0
ZXM+PC9kYXRlcz48aXNibj4wMjc4LTY5MTU8L2lzYm4+PGFjY2Vzc2lvbi1udW0+Mjg1OTU5MzA8
L2FjY2Vzc2lvbi1udW0+PHVybHM+PHJlbGF0ZWQtdXJscz48dXJsPmh0dHBzOi8vd3d3LnNjaWVu
Y2VkaXJlY3QuY29tL3NjaWVuY2UvYXJ0aWNsZS9waWkvUzAyNzg2OTE1MTczMDI1MVg/dmlhJTNE
aWh1YjwvdXJsPjwvcmVsYXRlZC11cmxzPjwvdXJscz48ZWxlY3Ryb25pYy1yZXNvdXJjZS1udW0+
MTAuMTAxNi9qLmZjdC4yMDE3LjA1LjAyMzwvZWxlY3Ryb25pYy1yZXNvdXJjZS1udW0+PHJlbW90
ZS1kYXRhYmFzZS1wcm92aWRlcj5OTE08L3JlbW90ZS1kYXRhYmFzZS1wcm92aWRlcj48bGFuZ3Vh
Z2U+ZW5nPC9sYW5ndWFnZT48L3JlY29yZD48L0NpdGU+PENpdGU+PEF1dGhvcj5DbGFwcDwvQXV0
aG9yPjxZZWFyPjIwMTc8L1llYXI+PFJlY051bT4xMTU1PC9SZWNOdW0+PHJlY29yZD48cmVjLW51
bWJlcj4xMTU1PC9yZWMtbnVtYmVyPjxmb3JlaWduLWtleXM+PGtleSBhcHA9IkVOIiBkYi1pZD0i
OXowNWR6MHByYWFkZnVlZTB6b3h6ZWRrOXpmZTVmeHg1MHo1IiB0aW1lc3RhbXA9IjE1MjE1MDcw
MTMiPjExNTU8L2tleT48a2V5IGFwcD0iRU5XZWIiIGRiLWlkPSIiPjA8L2tleT48L2ZvcmVpZ24t
a2V5cz48cmVmLXR5cGUgbmFtZT0iSm91cm5hbCBBcnRpY2xlIj4xNzwvcmVmLXR5cGU+PGNvbnRy
aWJ1dG9ycz48YXV0aG9ycz48YXV0aG9yPkNsYXBwLCBQLiBXLjwvYXV0aG9yPjxhdXRob3I+UGF3
bGFrLCBFLiBBLjwvYXV0aG9yPjxhdXRob3I+TGFja2V5LCBKLiBULjwvYXV0aG9yPjxhdXRob3I+
S2VhdGluZywgSi4gRS48L2F1dGhvcj48YXV0aG9yPlJlZWJlciwgUy4gTC48L2F1dGhvcj48YXV0
aG9yPkdsaXNoLCBHLiBMLjwvYXV0aG9yPjxhdXRob3I+SmFzcGVycywgSS48L2F1dGhvcj48L2F1
dGhvcnM+PC9jb250cmlidXRvcnM+PGF1dGgtYWRkcmVzcz5DdXJyaWN1bHVtIGluIFRveGljb2xv
Z3ksIFNjaG9vbCBvZiBNZWRpY2luZSwgVW5pdmVyc2l0eSBvZiBOb3J0aCBDYXJvbGluYSwgQ2hh
cGVsIEhpbGwsIE5vcnRoIENhcm9saW5hLiYjeEQ7Q2VudGVyIGZvciBFbnZpcm9ubWVudGFsIE1l
ZGljaW5lLCBBc3RobWEsIGFuZCBMdW5nIEJpb2xvZ3ksIFNjaG9vbCBvZiBNZWRpY2luZSwgVW5p
dmVyc2l0eSBvZiBOb3J0aCBDYXJvbGluYSwgQ2hhcGVsIEhpbGwsIE5vcnRoIENhcm9saW5hOyBh
bmQuJiN4RDtEZXBhcnRtZW50IG9mIENoZW1pc3RyeSwgVW5pdmVyc2l0eSBvZiBOb3J0aCBDYXJv
bGluYSwgQ2hhcGVsIEhpbGwsIE5vcnRoIENhcm9saW5hLiYjeEQ7Q3VycmljdWx1bSBpbiBUb3hp
Y29sb2d5LCBTY2hvb2wgb2YgTWVkaWNpbmUsIFVuaXZlcnNpdHkgb2YgTm9ydGggQ2Fyb2xpbmEs
IENoYXBlbCBIaWxsLCBOb3J0aCBDYXJvbGluYTsgaWxvbmFfamFzcGVyc0BtZWQudW5jLmVkdS48
L2F1dGgtYWRkcmVzcz48dGl0bGVzPjx0aXRsZT5GbGF2b3JlZCBlLWNpZ2FyZXR0ZSBsaXF1aWRz
IGFuZCBjaW5uYW1hbGRlaHlkZSBpbXBhaXIgcmVzcGlyYXRvcnkgaW5uYXRlIGltbXVuZSBjZWxs
IGZ1bmN0aW9uPC90aXRsZT48c2Vjb25kYXJ5LXRpdGxlPkFtIEogUGh5c2lvbCBMdW5nIENlbGwg
TW9sIFBoeXNpb2w8L3NlY29uZGFyeS10aXRsZT48YWx0LXRpdGxlPkFtZXJpY2FuIGpvdXJuYWwg
b2YgcGh5c2lvbG9neS4gTHVuZyBjZWxsdWxhciBhbmQgbW9sZWN1bGFyIHBoeXNpb2xvZ3k8L2Fs
dC10aXRsZT48L3RpdGxlcz48cGVyaW9kaWNhbD48ZnVsbC10aXRsZT5BbSBKIFBoeXNpb2wgTHVu
ZyBDZWxsIE1vbCBQaHlzaW9sPC9mdWxsLXRpdGxlPjxhYmJyLTE+QW1lcmljYW4gam91cm5hbCBv
ZiBwaHlzaW9sb2d5LiBMdW5nIGNlbGx1bGFyIGFuZCBtb2xlY3VsYXIgcGh5c2lvbG9neTwvYWJi
ci0xPjwvcGVyaW9kaWNhbD48YWx0LXBlcmlvZGljYWw+PGZ1bGwtdGl0bGU+QW0gSiBQaHlzaW9s
IEx1bmcgQ2VsbCBNb2wgUGh5c2lvbDwvZnVsbC10aXRsZT48YWJici0xPkFtZXJpY2FuIGpvdXJu
YWwgb2YgcGh5c2lvbG9neS4gTHVuZyBjZWxsdWxhciBhbmQgbW9sZWN1bGFyIHBoeXNpb2xvZ3k8
L2FiYnItMT48L2FsdC1wZXJpb2RpY2FsPjxwYWdlcz5MMjc4LWwyOTI8L3BhZ2VzPjx2b2x1bWU+
MzEzPC92b2x1bWU+PG51bWJlcj4yPC9udW1iZXI+PGVkaXRpb24+MjAxNy8wNS8xMzwvZWRpdGlv
bj48a2V5d29yZHM+PGtleXdvcmQ+QWNyb2xlaW4vYWR2ZXJzZSBlZmZlY3RzLyphbmFsb2dzICZh
bXA7IGRlcml2YXRpdmVzPC9rZXl3b3JkPjxrZXl3b3JkPkFkb2xlc2NlbnQ8L2tleXdvcmQ+PGtl
eXdvcmQ+QWR1bHQ8L2tleXdvcmQ+PGtleXdvcmQ+RWxlY3Ryb25pYyBOaWNvdGluZSBEZWxpdmVy
eSBTeXN0ZW1zLyphZHZlcnNlIGVmZmVjdHM8L2tleXdvcmQ+PGtleXdvcmQ+RmVtYWxlPC9rZXl3
b3JkPjxrZXl3b3JkPkh1bWFuczwva2V5d29yZD48a2V5d29yZD5JbW11bml0eSwgSW5uYXRlLypk
cnVnIGVmZmVjdHM8L2tleXdvcmQ+PGtleXdvcmQ+SW5mbGFtbWF0aW9uL2NoZW1pY2FsbHkgaW5k
dWNlZDwva2V5d29yZD48a2V5d29yZD5LaWxsZXIgQ2VsbHMsIE5hdHVyYWwvZHJ1ZyBlZmZlY3Rz
PC9rZXl3b3JkPjxrZXl3b3JkPk1hY3JvcGhhZ2VzL2RydWcgZWZmZWN0czwva2V5d29yZD48a2V5
d29yZD5NYWxlPC9rZXl3b3JkPjxrZXl3b3JkPk1pZGRsZSBBZ2VkPC9rZXl3b3JkPjxrZXl3b3Jk
Pk5ldXRyb3BoaWxzL2RydWcgZWZmZWN0czwva2V5d29yZD48a2V5d29yZD5OaWNvdGluZS9hZHZl
cnNlIGVmZmVjdHM8L2tleXdvcmQ+PGtleXdvcmQ+UGhhZ29jeXRvc2lzL2RydWcgZWZmZWN0czwv
a2V5d29yZD48a2V5d29yZD5Zb3VuZyBBZHVsdDwva2V5d29yZD48a2V5d29yZD5jaW5uYW1hbGRl
aHlkZTwva2V5d29yZD48a2V5d29yZD5lLWNpZ2FyZXR0ZTwva2V5d29yZD48a2V5d29yZD5lLWxp
cXVpZDwva2V5d29yZD48a2V5d29yZD5pbm5hdGUgaW1tdW5lIGNlbGwgZnVuY3Rpb248L2tleXdv
cmQ+PC9rZXl3b3Jkcz48ZGF0ZXM+PHllYXI+MjAxNzwveWVhcj48cHViLWRhdGVzPjxkYXRlPkF1
ZyAxPC9kYXRlPjwvcHViLWRhdGVzPjwvZGF0ZXM+PGlzYm4+MTA0MC0wNjA1PC9pc2JuPjxhY2Nl
c3Npb24tbnVtPjI4NDk1ODU2PC9hY2Nlc3Npb24tbnVtPjx1cmxzPjwvdXJscz48Y3VzdG9tMj5Q
TUM1NTgyOTI5PC9jdXN0b20yPjxlbGVjdHJvbmljLXJlc291cmNlLW51bT4xMC4xMTUyL2FqcGx1
bmcuMDA0NTIuMjAxNjwvZWxlY3Ryb25pYy1yZXNvdXJjZS1udW0+PHJlbW90ZS1kYXRhYmFzZS1w
cm92aWRlcj5OTE08L3JlbW90ZS1kYXRhYmFzZS1wcm92aWRlcj48bGFuZ3VhZ2U+ZW5nPC9sYW5n
dWFnZT48L3JlY29yZD48L0NpdGU+PENpdGU+PEF1dGhvcj5NdXRodW1hbGFnZTwvQXV0aG9yPjxZ
ZWFyPjIwMTc8L1llYXI+PFJlY051bT42Mjg8L1JlY051bT48cmVjb3JkPjxyZWMtbnVtYmVyPjYy
ODwvcmVjLW51bWJlcj48Zm9yZWlnbi1rZXlzPjxrZXkgYXBwPSJFTiIgZGItaWQ9Ijl6MDVkejBw
cmFhZGZ1ZWUwem94emVkazl6ZmU1Znh4NTB6NSIgdGltZXN0YW1wPSIxNTIxNTA2ODczIj42Mjg8
L2tleT48a2V5IGFwcD0iRU5XZWIiIGRiLWlkPSIiPjA8L2tleT48L2ZvcmVpZ24ta2V5cz48cmVm
LXR5cGUgbmFtZT0iSm91cm5hbCBBcnRpY2xlIj4xNzwvcmVmLXR5cGU+PGNvbnRyaWJ1dG9ycz48
YXV0aG9ycz48YXV0aG9yPk11dGh1bWFsYWdlLCBULjwvYXV0aG9yPjxhdXRob3I+UHJpbnosIE0u
PC9hdXRob3I+PGF1dGhvcj5BbnNhaCwgSy4gTy48L2F1dGhvcj48YXV0aG9yPkdlcmxvZmYsIEou
PC9hdXRob3I+PGF1dGhvcj5TdW5kYXIsIEkuIEsuPC9hdXRob3I+PGF1dGhvcj5SYWhtYW4sIEku
PC9hdXRob3I+PC9hdXRob3JzPjwvY29udHJpYnV0b3JzPjxhdXRoLWFkZHJlc3M+RGVwYXJ0bWVu
dCBvZiBFbnZpcm9ubWVudGFsIE1lZGljaW5lLCBVbml2ZXJzaXR5IG9mIFJvY2hlc3RlciBNZWRp
Y2FsIENlbnRlciwgUm9jaGVzdGVyLCBOWSwgVW5pdGVkIFN0YXRlcy48L2F1dGgtYWRkcmVzcz48
dGl0bGVzPjx0aXRsZT5JbmZsYW1tYXRvcnkgYW5kIE94aWRhdGl2ZSBSZXNwb25zZXMgSW5kdWNl
ZCBieSBFeHBvc3VyZSB0byBDb21tb25seSBVc2VkIGUtQ2lnYXJldHRlIEZsYXZvcmluZyBDaGVt
aWNhbHMgYW5kIEZsYXZvcmVkIGUtTGlxdWlkcyB3aXRob3V0IE5pY290aW5lPC90aXRsZT48c2Vj
b25kYXJ5LXRpdGxlPkZyb250IFBoeXNpb2w8L3NlY29uZGFyeS10aXRsZT48YWx0LXRpdGxlPkZy
b250aWVycyBpbiBwaHlzaW9sb2d5PC9hbHQtdGl0bGU+PC90aXRsZXM+PGFsdC1wZXJpb2RpY2Fs
PjxmdWxsLXRpdGxlPkZyb250aWVycyBpbiBwaHlzaW9sb2d5PC9mdWxsLXRpdGxlPjwvYWx0LXBl
cmlvZGljYWw+PHBhZ2VzPjExMzA8L3BhZ2VzPjx2b2x1bWU+ODwvdm9sdW1lPjxlZGl0aW9uPjIw
MTgvMDEvMzA8L2VkaXRpb24+PGtleXdvcmRzPjxrZXl3b3JkPmNpZ2FyZXR0ZXM8L2tleXdvcmQ+
PGtleXdvcmQ+ZS1saXF1aWRzPC9rZXl3b3JkPjxrZXl3b3JkPmZsYXZvcnM8L2tleXdvcmQ+PGtl
eXdvcmQ+aW5mbGFtbWF0aW9uPC9rZXl3b3JkPjxrZXl3b3JkPmludGVybGV1a2luLTg8L2tleXdv
cmQ+PGtleXdvcmQ+bW9ub2N5dGVzPC9rZXl3b3JkPjxrZXl3b3JkPm94aWRhdGl2ZSBzdHJlc3M8
L2tleXdvcmQ+PC9rZXl3b3Jkcz48ZGF0ZXM+PHllYXI+MjAxNzwveWVhcj48L2RhdGVzPjxpc2Ju
PjE2NjQtMDQyWCAoUHJpbnQpJiN4RDsxNjY0LTA0Mng8L2lzYm4+PGFjY2Vzc2lvbi1udW0+Mjkz
NzUzOTk8L2FjY2Vzc2lvbi1udW0+PHVybHM+PC91cmxzPjxjdXN0b20yPlBNQzU3Njg2MDg8L2N1
c3RvbTI+PGVsZWN0cm9uaWMtcmVzb3VyY2UtbnVtPjEwLjMzODkvZnBoeXMuMjAxNy4wMTEzMDwv
ZWxlY3Ryb25pYy1yZXNvdXJjZS1udW0+PHJlbW90ZS1kYXRhYmFzZS1wcm92aWRlcj5OTE08L3Jl
bW90ZS1kYXRhYmFzZS1wcm92aWRlcj48bGFuZ3VhZ2U+ZW5nPC9sYW5ndWFnZT48L3JlY29yZD48
L0NpdGU+PC9FbmROb3RlPgB=
</w:fldData>
            </w:fldChar>
          </w:r>
          <w:r>
            <w:rPr>
              <w:rFonts w:eastAsia="Times New Roman" w:cs="Calibri"/>
            </w:rPr>
            <w:instrText xml:space="preserve"> ADDIN EN.CITE </w:instrText>
          </w:r>
          <w:r>
            <w:rPr>
              <w:rFonts w:eastAsia="Times New Roman" w:cs="Calibri"/>
            </w:rPr>
            <w:fldChar w:fldCharType="begin">
              <w:fldData xml:space="preserve">PEVuZE5vdGU+PENpdGU+PEF1dGhvcj5PdHJlYmE8L0F1dGhvcj48WWVhcj4yMDE4PC9ZZWFyPjxS
ZWNOdW0+MTA0NTA8L1JlY051bT48RGlzcGxheVRleHQ+KEJyZWhlbnksIEFkYW1zb24gZXQgYWwu
IDIwMTcsIENsYXBwLCBQYXdsYWsgZXQgYWwuIDIwMTcsIE11dGh1bWFsYWdlLCBQcmlueiBldCBh
bC4gMjAxNywgQmlzaG9wLCBIYXN3ZWxsIGV0IGFsLiAyMDE4LCBPdHJlYmEsIEtvc21pZGVyIGV0
IGFsLiAyMDE4KTwvRGlzcGxheVRleHQ+PHJlY29yZD48cmVjLW51bWJlcj4xMDQ1MDwvcmVjLW51
bWJlcj48Zm9yZWlnbi1rZXlzPjxrZXkgYXBwPSJFTiIgZGItaWQ9Ijl6MDVkejBwcmFhZGZ1ZWUw
em94emVkazl6ZmU1Znh4NTB6NSIgdGltZXN0YW1wPSIxNTI2ODY5ODc4Ij4xMDQ1MDwva2V5Pjxr
ZXkgYXBwPSJFTldlYiIgZGItaWQ9IiI+MDwva2V5PjwvZm9yZWlnbi1rZXlzPjxyZWYtdHlwZSBu
YW1lPSJKb3VybmFsIEFydGljbGUiPjE3PC9yZWYtdHlwZT48Y29udHJpYnV0b3JzPjxhdXRob3Jz
PjxhdXRob3I+T3RyZWJhLCBNaWNoYWw8L2F1dGhvcj48YXV0aG9yPktvc21pZGVyLCBMZW9uPC9h
dXRob3I+PGF1dGhvcj5LbnlzYWssIEpha3ViPC9hdXRob3I+PGF1dGhvcj5XYXJuY2tlLCBKYXJl
ZCBELjwvYXV0aG9yPjxhdXRob3I+U29iY3phaywgQW5kcnplajwvYXV0aG9yPjwvYXV0aG9ycz48
L2NvbnRyaWJ1dG9ycz48dGl0bGVzPjx0aXRsZT5FLWNpZ2FyZXR0ZXM6IHZvbHRhZ2UtIGFuZCBj
b25jZW50cmF0aW9uLWRlcGVuZGVudCBsb3NzIGluIGh1bWFuIGx1bmcgYWRlbm9jYXJjaW5vbWEg
dmlhYmlsaXR5PC90aXRsZT48c2Vjb25kYXJ5LXRpdGxlPkpvdXJuYWwgb2YgYXBwbGllZCB0b3hp
Y29sb2d5IDogSkFUPC9zZWNvbmRhcnktdGl0bGU+PC90aXRsZXM+PHBlcmlvZGljYWw+PGZ1bGwt
dGl0bGU+Sm91cm5hbCBvZiBhcHBsaWVkIHRveGljb2xvZ3kgOiBKQVQ8L2Z1bGwtdGl0bGU+PC9w
ZXJpb2RpY2FsPjxkYXRlcz48eWVhcj4yMDE4PC95ZWFyPjxwdWItZGF0ZXM+PGRhdGU+MjAxOC1B
cHItMTc8L2RhdGU+PC9wdWItZGF0ZXM+PC9kYXRlcz48YWNjZXNzaW9uLW51bT5NRURMSU5FOjI5
NjY1MDgyPC9hY2Nlc3Npb24tbnVtPjx1cmxzPjxyZWxhdGVkLXVybHM+PHVybD4mbHQ7R28gdG8g
SVNJJmd0OzovL01FRExJTkU6Mjk2NjUwODI8L3VybD48dXJsPmh0dHBzOi8vb25saW5lbGlicmFy
eS53aWxleS5jb20vZG9pL3BkZi8xMC4xMDAyL2phdC4zNjI1PC91cmw+PC9yZWxhdGVkLXVybHM+
PC91cmxzPjxlbGVjdHJvbmljLXJlc291cmNlLW51bT4xMC4xMDAyL2phdC4zNjI1PC9lbGVjdHJv
bmljLXJlc291cmNlLW51bT48L3JlY29yZD48L0NpdGU+PENpdGU+PEF1dGhvcj5CaXNob3A8L0F1
dGhvcj48WWVhcj4yMDE4PC9ZZWFyPjxSZWNOdW0+NjQzPC9SZWNOdW0+PHJlY29yZD48cmVjLW51
bWJlcj42NDM8L3JlYy1udW1iZXI+PGZvcmVpZ24ta2V5cz48a2V5IGFwcD0iRU4iIGRiLWlkPSI5
ejA1ZHowcHJhYWRmdWVlMHpveHplZGs5emZlNWZ4eDUwejUiIHRpbWVzdGFtcD0iMTUyMTUwNjg3
OSI+NjQzPC9rZXk+PGtleSBhcHA9IkVOV2ViIiBkYi1pZD0iIj4wPC9rZXk+PC9mb3JlaWduLWtl
eXM+PHJlZi10eXBlIG5hbWU9IkpvdXJuYWwgQXJ0aWNsZSI+MTc8L3JlZi10eXBlPjxjb250cmli
dXRvcnM+PGF1dGhvcnM+PGF1dGhvcj5CaXNob3AsIEUuPC9hdXRob3I+PGF1dGhvcj5IYXN3ZWxs
LCBMLjwvYXV0aG9yPjxhdXRob3I+QWRhbXNvbiwgSi48L2F1dGhvcj48YXV0aG9yPkNvc3RpZ2Fu
LCBTLjwvYXV0aG9yPjxhdXRob3I+VGhvcm5lLCBELjwvYXV0aG9yPjxhdXRob3I+R2FjYSwgTS48
L2F1dGhvcj48L2F1dGhvcnM+PC9jb250cmlidXRvcnM+PGF1dGgtYWRkcmVzcz5Ccml0aXNoIEFt
ZXJpY2FuIFRvYmFjY28sIFImYW1wO0QsIFNvdXRoYW1wdG9uLCBIYW1wc2hpcmUgU08xNSA4VEws
IFVLLiYjeEQ7QnJpdGlzaCBBbWVyaWNhbiBUb2JhY2NvLCBSJmFtcDtELCBTb3V0aGFtcHRvbiwg
SGFtcHNoaXJlIFNPMTUgOFRMLCBVSy4gRWxlY3Ryb25pYyBhZGRyZXNzOiBEYXZpZF9UaG9ybmVA
YmF0LmNvbS48L2F1dGgtYWRkcmVzcz48dGl0bGVzPjx0aXRsZT5URU1QT1JBUlkgUkVNT1ZBTDog
QW4gYXBwcm9hY2ggdG8gdGVzdGluZyB1bmRpbHV0ZWQgZS1jaWdhcmV0dGUgYWVyb3NvbCBpbiB2
aXRybyB1c2luZyAzRCByZWNvbnN0aXR1dGVkIGh1bWFuIGFpcndheSBlcGl0aGVsaXVtPC90aXRs
ZT48c2Vjb25kYXJ5LXRpdGxlPlRveGljb2wgSW4gVml0cm88L3NlY29uZGFyeS10aXRsZT48YWx0
LXRpdGxlPlRveGljb2xvZ3kgaW4gdml0cm8gOiBhbiBpbnRlcm5hdGlvbmFsIGpvdXJuYWwgcHVi
bGlzaGVkIGluIGFzc29jaWF0aW9uIHdpdGggQklCUkE8L2FsdC10aXRsZT48L3RpdGxlcz48cGVy
aW9kaWNhbD48ZnVsbC10aXRsZT5Ub3hpY29sIEluIFZpdHJvPC9mdWxsLXRpdGxlPjxhYmJyLTE+
VG94aWNvbG9neSBpbiB2aXRybyA6IGFuIGludGVybmF0aW9uYWwgam91cm5hbCBwdWJsaXNoZWQg
aW4gYXNzb2NpYXRpb24gd2l0aCBCSUJSQTwvYWJici0xPjwvcGVyaW9kaWNhbD48YWx0LXBlcmlv
ZGljYWw+PGZ1bGwtdGl0bGU+VG94aWNvbCBJbiBWaXRybzwvZnVsbC10aXRsZT48YWJici0xPlRv
eGljb2xvZ3kgaW4gdml0cm8gOiBhbiBpbnRlcm5hdGlvbmFsIGpvdXJuYWwgcHVibGlzaGVkIGlu
IGFzc29jaWF0aW9uIHdpdGggQklCUkE8L2FiYnItMT48L2FsdC1wZXJpb2RpY2FsPjxlZGl0aW9u
PjIwMTgvMDEvMjM8L2VkaXRpb24+PGRhdGVzPjx5ZWFyPjIwMTg8L3llYXI+PHB1Yi1kYXRlcz48
ZGF0ZT5KYW4gMzE8L2RhdGU+PC9wdWItZGF0ZXM+PC9kYXRlcz48aXNibj4wODg3LTIzMzM8L2lz
Ym4+PGFjY2Vzc2lvbi1udW0+MjkzNTU1OTM8L2FjY2Vzc2lvbi1udW0+PHVybHM+PHJlbGF0ZWQt
dXJscz48dXJsPmh0dHBzOi8vd3d3LnNjaWVuY2VkaXJlY3QuY29tL3NjaWVuY2UvYXJ0aWNsZS9w
aWkvUzA4ODcyMzMzMTgzMDAxMTA/dmlhJTNEaWh1YjwvdXJsPjwvcmVsYXRlZC11cmxzPjwvdXJs
cz48ZWxlY3Ryb25pYy1yZXNvdXJjZS1udW0+MTAuMTAxNi9qLnRpdi4yMDE4LjAxLjAxMDwvZWxl
Y3Ryb25pYy1yZXNvdXJjZS1udW0+PHJlbW90ZS1kYXRhYmFzZS1wcm92aWRlcj5OTE08L3JlbW90
ZS1kYXRhYmFzZS1wcm92aWRlcj48bGFuZ3VhZ2U+ZW5nPC9sYW5ndWFnZT48L3JlY29yZD48L0Np
dGU+PENpdGU+PEF1dGhvcj5CcmVoZW55PC9BdXRob3I+PFllYXI+MjAxNzwvWWVhcj48UmVjTnVt
PjEwOTc8L1JlY051bT48cmVjb3JkPjxyZWMtbnVtYmVyPjEwOTc8L3JlYy1udW1iZXI+PGZvcmVp
Z24ta2V5cz48a2V5IGFwcD0iRU4iIGRiLWlkPSI5ejA1ZHowcHJhYWRmdWVlMHpveHplZGs5emZl
NWZ4eDUwejUiIHRpbWVzdGFtcD0iMTUyMTUwNjk5OSI+MTA5Nzwva2V5PjxrZXkgYXBwPSJFTldl
YiIgZGItaWQ9IiI+MDwva2V5PjwvZm9yZWlnbi1rZXlzPjxyZWYtdHlwZSBuYW1lPSJKb3VybmFs
IEFydGljbGUiPjE3PC9yZWYtdHlwZT48Y29udHJpYnV0b3JzPjxhdXRob3JzPjxhdXRob3I+QnJl
aGVueSwgRC48L2F1dGhvcj48YXV0aG9yPkFkYW1zb24sIEouPC9hdXRob3I+PGF1dGhvcj5Benpv
cGFyZGksIEQuPC9hdXRob3I+PGF1dGhvcj5CYXh0ZXIsIEEuPC9hdXRob3I+PGF1dGhvcj5CaXNo
b3AsIEUuPC9hdXRob3I+PGF1dGhvcj5DYXJyLCBULjwvYXV0aG9yPjxhdXRob3I+Q3Jvb2tzLCBJ
LjwvYXV0aG9yPjxhdXRob3I+SGV3aXR0LCBLLjwvYXV0aG9yPjxhdXRob3I+SmF1bmt5LCBULjwv
YXV0aG9yPjxhdXRob3I+TGFyYXJkLCBTLjwvYXV0aG9yPjxhdXRob3I+TG93ZSwgRi48L2F1dGhv
cj48YXV0aG9yPk9rZSwgTy48L2F1dGhvcj48YXV0aG9yPlRheWxvciwgTS48L2F1dGhvcj48YXV0
aG9yPlNhbnRvcGlldHJvLCBTLjwvYXV0aG9yPjxhdXRob3I+VGhvcm5lLCBELjwvYXV0aG9yPjxh
dXRob3I+WmFpbnVkZGluLCBCLjwvYXV0aG9yPjxhdXRob3I+R2FjYSwgTS48L2F1dGhvcj48YXV0
aG9yPkxpdSwgQy48L2F1dGhvcj48YXV0aG9yPk11cnBoeSwgSi48L2F1dGhvcj48YXV0aG9yPlBy
b2N0b3IsIEMuPC9hdXRob3I+PC9hdXRob3JzPjwvY29udHJpYnV0b3JzPjxhdXRoLWFkZHJlc3M+
UmVzZWFyY2ggYW5kIERldmVsb3BtZW50LCBCcml0aXNoIEFtZXJpY2FuIFRvYmFjY28gSW52ZXN0
bWVudHMgTHRkLCBSZWdlbnRzIFBhcmsgUm9hZCwgU291dGhhbXB0b24sIEhhbXBzaGlyZSBTTzE1
IDhUTCwgVUsuIEVsZWN0cm9uaWMgYWRkcmVzczogZGFtaWVuX2JyZWhlbnlAYmF0LmNvbS4mI3hE
O1Jlc2VhcmNoIGFuZCBEZXZlbG9wbWVudCwgQnJpdGlzaCBBbWVyaWNhbiBUb2JhY2NvIEludmVz
dG1lbnRzIEx0ZCwgUmVnZW50cyBQYXJrIFJvYWQsIFNvdXRoYW1wdG9uLCBIYW1wc2hpcmUgU08x
NSA4VEwsIFVLLjwvYXV0aC1hZGRyZXNzPjx0aXRsZXM+PHRpdGxlPkEgbm92ZWwgaHlicmlkIHRv
YmFjY28gcHJvZHVjdCB0aGF0IGRlbGl2ZXJzIGEgdG9iYWNjbyBmbGF2b3VyIG5vdGUgd2l0aCB2
YXBvdXIgYWVyb3NvbCAoUGFydCAyKTogSW4gdml0cm8gYmlvbG9naWNhbCBhc3Nlc3NtZW50IGFu
ZCBjb21wYXJpc29uIHdpdGggZGlmZmVyZW50IHRvYmFjY28taGVhdGluZyBwcm9kdWN0czwvdGl0
bGU+PHNlY29uZGFyeS10aXRsZT5Gb29kIENoZW0gVG94aWNvbDwvc2Vjb25kYXJ5LXRpdGxlPjxh
bHQtdGl0bGU+Rm9vZCBhbmQgY2hlbWljYWwgdG94aWNvbG9neSA6IGFuIGludGVybmF0aW9uYWwg
am91cm5hbCBwdWJsaXNoZWQgZm9yIHRoZSBCcml0aXNoIEluZHVzdHJpYWwgQmlvbG9naWNhbCBS
ZXNlYXJjaCBBc3NvY2lhdGlvbjwvYWx0LXRpdGxlPjwvdGl0bGVzPjxwZXJpb2RpY2FsPjxmdWxs
LXRpdGxlPkZvb2QgQ2hlbSBUb3hpY29sPC9mdWxsLXRpdGxlPjxhYmJyLTE+Rm9vZCBhbmQgY2hl
bWljYWwgdG94aWNvbG9neSA6IGFuIGludGVybmF0aW9uYWwgam91cm5hbCBwdWJsaXNoZWQgZm9y
IHRoZSBCcml0aXNoIEluZHVzdHJpYWwgQmlvbG9naWNhbCBSZXNlYXJjaCBBc3NvY2lhdGlvbjwv
YWJici0xPjwvcGVyaW9kaWNhbD48YWx0LXBlcmlvZGljYWw+PGZ1bGwtdGl0bGU+Rm9vZCBDaGVt
IFRveGljb2w8L2Z1bGwtdGl0bGU+PGFiYnItMT5Gb29kIGFuZCBjaGVtaWNhbCB0b3hpY29sb2d5
IDogYW4gaW50ZXJuYXRpb25hbCBqb3VybmFsIHB1Ymxpc2hlZCBmb3IgdGhlIEJyaXRpc2ggSW5k
dXN0cmlhbCBCaW9sb2dpY2FsIFJlc2VhcmNoIEFzc29jaWF0aW9uPC9hYmJyLTE+PC9hbHQtcGVy
aW9kaWNhbD48cGFnZXM+NTMzLTU0NjwvcGFnZXM+PHZvbHVtZT4xMDY8L3ZvbHVtZT48bnVtYmVy
PlB0IEE8L251bWJlcj48ZWRpdGlvbj4yMDE3LzA2LzEwPC9lZGl0aW9uPjxrZXl3b3Jkcz48a2V5
d29yZD5BZHVsdDwva2V5d29yZD48a2V5d29yZD5BZXJvc29scy8qY2hlbWlzdHJ5PC9rZXl3b3Jk
PjxrZXl3b3JkPkNvbnN1bWVyIFByb2R1Y3QgU2FmZXR5PC9rZXl3b3JkPjxrZXl3b3JkPkVsZWN0
cm9uaWMgTmljb3RpbmUgRGVsaXZlcnkgU3lzdGVtcy8qaW5zdHJ1bWVudGF0aW9uL21ldGhvZHMv
c3RhbmRhcmRzPC9rZXl3b3JkPjxrZXl3b3JkPkZlbWFsZTwva2V5d29yZD48a2V5d29yZD5GbGF2
b3JpbmcgQWdlbnRzLypjaGVtaXN0cnk8L2tleXdvcmQ+PGtleXdvcmQ+SG90IFRlbXBlcmF0dXJl
PC9rZXl3b3JkPjxrZXl3b3JkPkh1bWFuczwva2V5d29yZD48a2V5d29yZD5NYWxlPC9rZXl3b3Jk
PjxrZXl3b3JkPk11dGFnZW5lc2lzPC9rZXl3b3JkPjxrZXl3b3JkPlBhcnRpY3VsYXRlIE1hdHRl
cjwva2V5d29yZD48a2V5d29yZD5TbW9raW5nPC9rZXl3b3JkPjxrZXl3b3JkPlRvYmFjY28vKmNo
ZW1pc3RyeTwva2V5d29yZD48a2V5d29yZD5IeWJyaWQgdG9iYWNjbyBwcm9kdWN0PC9rZXl3b3Jk
PjxrZXl3b3JkPkluIHZpdHJvPC9rZXl3b3JkPjxrZXl3b3JkPlRvYmFjY28taGVhdGluZyBwcm9k
dWN0czwva2V5d29yZD48a2V5d29yZD5Ub3hpY29sb2d5PC9rZXl3b3JkPjwva2V5d29yZHM+PGRh
dGVzPjx5ZWFyPjIwMTc8L3llYXI+PHB1Yi1kYXRlcz48ZGF0ZT5BdWc8L2RhdGU+PC9wdWItZGF0
ZXM+PC9kYXRlcz48aXNibj4wMjc4LTY5MTU8L2lzYm4+PGFjY2Vzc2lvbi1udW0+Mjg1OTU5MzA8
L2FjY2Vzc2lvbi1udW0+PHVybHM+PHJlbGF0ZWQtdXJscz48dXJsPmh0dHBzOi8vd3d3LnNjaWVu
Y2VkaXJlY3QuY29tL3NjaWVuY2UvYXJ0aWNsZS9waWkvUzAyNzg2OTE1MTczMDI1MVg/dmlhJTNE
aWh1YjwvdXJsPjwvcmVsYXRlZC11cmxzPjwvdXJscz48ZWxlY3Ryb25pYy1yZXNvdXJjZS1udW0+
MTAuMTAxNi9qLmZjdC4yMDE3LjA1LjAyMzwvZWxlY3Ryb25pYy1yZXNvdXJjZS1udW0+PHJlbW90
ZS1kYXRhYmFzZS1wcm92aWRlcj5OTE08L3JlbW90ZS1kYXRhYmFzZS1wcm92aWRlcj48bGFuZ3Vh
Z2U+ZW5nPC9sYW5ndWFnZT48L3JlY29yZD48L0NpdGU+PENpdGU+PEF1dGhvcj5DbGFwcDwvQXV0
aG9yPjxZZWFyPjIwMTc8L1llYXI+PFJlY051bT4xMTU1PC9SZWNOdW0+PHJlY29yZD48cmVjLW51
bWJlcj4xMTU1PC9yZWMtbnVtYmVyPjxmb3JlaWduLWtleXM+PGtleSBhcHA9IkVOIiBkYi1pZD0i
OXowNWR6MHByYWFkZnVlZTB6b3h6ZWRrOXpmZTVmeHg1MHo1IiB0aW1lc3RhbXA9IjE1MjE1MDcw
MTMiPjExNTU8L2tleT48a2V5IGFwcD0iRU5XZWIiIGRiLWlkPSIiPjA8L2tleT48L2ZvcmVpZ24t
a2V5cz48cmVmLXR5cGUgbmFtZT0iSm91cm5hbCBBcnRpY2xlIj4xNzwvcmVmLXR5cGU+PGNvbnRy
aWJ1dG9ycz48YXV0aG9ycz48YXV0aG9yPkNsYXBwLCBQLiBXLjwvYXV0aG9yPjxhdXRob3I+UGF3
bGFrLCBFLiBBLjwvYXV0aG9yPjxhdXRob3I+TGFja2V5LCBKLiBULjwvYXV0aG9yPjxhdXRob3I+
S2VhdGluZywgSi4gRS48L2F1dGhvcj48YXV0aG9yPlJlZWJlciwgUy4gTC48L2F1dGhvcj48YXV0
aG9yPkdsaXNoLCBHLiBMLjwvYXV0aG9yPjxhdXRob3I+SmFzcGVycywgSS48L2F1dGhvcj48L2F1
dGhvcnM+PC9jb250cmlidXRvcnM+PGF1dGgtYWRkcmVzcz5DdXJyaWN1bHVtIGluIFRveGljb2xv
Z3ksIFNjaG9vbCBvZiBNZWRpY2luZSwgVW5pdmVyc2l0eSBvZiBOb3J0aCBDYXJvbGluYSwgQ2hh
cGVsIEhpbGwsIE5vcnRoIENhcm9saW5hLiYjeEQ7Q2VudGVyIGZvciBFbnZpcm9ubWVudGFsIE1l
ZGljaW5lLCBBc3RobWEsIGFuZCBMdW5nIEJpb2xvZ3ksIFNjaG9vbCBvZiBNZWRpY2luZSwgVW5p
dmVyc2l0eSBvZiBOb3J0aCBDYXJvbGluYSwgQ2hhcGVsIEhpbGwsIE5vcnRoIENhcm9saW5hOyBh
bmQuJiN4RDtEZXBhcnRtZW50IG9mIENoZW1pc3RyeSwgVW5pdmVyc2l0eSBvZiBOb3J0aCBDYXJv
bGluYSwgQ2hhcGVsIEhpbGwsIE5vcnRoIENhcm9saW5hLiYjeEQ7Q3VycmljdWx1bSBpbiBUb3hp
Y29sb2d5LCBTY2hvb2wgb2YgTWVkaWNpbmUsIFVuaXZlcnNpdHkgb2YgTm9ydGggQ2Fyb2xpbmEs
IENoYXBlbCBIaWxsLCBOb3J0aCBDYXJvbGluYTsgaWxvbmFfamFzcGVyc0BtZWQudW5jLmVkdS48
L2F1dGgtYWRkcmVzcz48dGl0bGVzPjx0aXRsZT5GbGF2b3JlZCBlLWNpZ2FyZXR0ZSBsaXF1aWRz
IGFuZCBjaW5uYW1hbGRlaHlkZSBpbXBhaXIgcmVzcGlyYXRvcnkgaW5uYXRlIGltbXVuZSBjZWxs
IGZ1bmN0aW9uPC90aXRsZT48c2Vjb25kYXJ5LXRpdGxlPkFtIEogUGh5c2lvbCBMdW5nIENlbGwg
TW9sIFBoeXNpb2w8L3NlY29uZGFyeS10aXRsZT48YWx0LXRpdGxlPkFtZXJpY2FuIGpvdXJuYWwg
b2YgcGh5c2lvbG9neS4gTHVuZyBjZWxsdWxhciBhbmQgbW9sZWN1bGFyIHBoeXNpb2xvZ3k8L2Fs
dC10aXRsZT48L3RpdGxlcz48cGVyaW9kaWNhbD48ZnVsbC10aXRsZT5BbSBKIFBoeXNpb2wgTHVu
ZyBDZWxsIE1vbCBQaHlzaW9sPC9mdWxsLXRpdGxlPjxhYmJyLTE+QW1lcmljYW4gam91cm5hbCBv
ZiBwaHlzaW9sb2d5LiBMdW5nIGNlbGx1bGFyIGFuZCBtb2xlY3VsYXIgcGh5c2lvbG9neTwvYWJi
ci0xPjwvcGVyaW9kaWNhbD48YWx0LXBlcmlvZGljYWw+PGZ1bGwtdGl0bGU+QW0gSiBQaHlzaW9s
IEx1bmcgQ2VsbCBNb2wgUGh5c2lvbDwvZnVsbC10aXRsZT48YWJici0xPkFtZXJpY2FuIGpvdXJu
YWwgb2YgcGh5c2lvbG9neS4gTHVuZyBjZWxsdWxhciBhbmQgbW9sZWN1bGFyIHBoeXNpb2xvZ3k8
L2FiYnItMT48L2FsdC1wZXJpb2RpY2FsPjxwYWdlcz5MMjc4LWwyOTI8L3BhZ2VzPjx2b2x1bWU+
MzEzPC92b2x1bWU+PG51bWJlcj4yPC9udW1iZXI+PGVkaXRpb24+MjAxNy8wNS8xMzwvZWRpdGlv
bj48a2V5d29yZHM+PGtleXdvcmQ+QWNyb2xlaW4vYWR2ZXJzZSBlZmZlY3RzLyphbmFsb2dzICZh
bXA7IGRlcml2YXRpdmVzPC9rZXl3b3JkPjxrZXl3b3JkPkFkb2xlc2NlbnQ8L2tleXdvcmQ+PGtl
eXdvcmQ+QWR1bHQ8L2tleXdvcmQ+PGtleXdvcmQ+RWxlY3Ryb25pYyBOaWNvdGluZSBEZWxpdmVy
eSBTeXN0ZW1zLyphZHZlcnNlIGVmZmVjdHM8L2tleXdvcmQ+PGtleXdvcmQ+RmVtYWxlPC9rZXl3
b3JkPjxrZXl3b3JkPkh1bWFuczwva2V5d29yZD48a2V5d29yZD5JbW11bml0eSwgSW5uYXRlLypk
cnVnIGVmZmVjdHM8L2tleXdvcmQ+PGtleXdvcmQ+SW5mbGFtbWF0aW9uL2NoZW1pY2FsbHkgaW5k
dWNlZDwva2V5d29yZD48a2V5d29yZD5LaWxsZXIgQ2VsbHMsIE5hdHVyYWwvZHJ1ZyBlZmZlY3Rz
PC9rZXl3b3JkPjxrZXl3b3JkPk1hY3JvcGhhZ2VzL2RydWcgZWZmZWN0czwva2V5d29yZD48a2V5
d29yZD5NYWxlPC9rZXl3b3JkPjxrZXl3b3JkPk1pZGRsZSBBZ2VkPC9rZXl3b3JkPjxrZXl3b3Jk
Pk5ldXRyb3BoaWxzL2RydWcgZWZmZWN0czwva2V5d29yZD48a2V5d29yZD5OaWNvdGluZS9hZHZl
cnNlIGVmZmVjdHM8L2tleXdvcmQ+PGtleXdvcmQ+UGhhZ29jeXRvc2lzL2RydWcgZWZmZWN0czwv
a2V5d29yZD48a2V5d29yZD5Zb3VuZyBBZHVsdDwva2V5d29yZD48a2V5d29yZD5jaW5uYW1hbGRl
aHlkZTwva2V5d29yZD48a2V5d29yZD5lLWNpZ2FyZXR0ZTwva2V5d29yZD48a2V5d29yZD5lLWxp
cXVpZDwva2V5d29yZD48a2V5d29yZD5pbm5hdGUgaW1tdW5lIGNlbGwgZnVuY3Rpb248L2tleXdv
cmQ+PC9rZXl3b3Jkcz48ZGF0ZXM+PHllYXI+MjAxNzwveWVhcj48cHViLWRhdGVzPjxkYXRlPkF1
ZyAxPC9kYXRlPjwvcHViLWRhdGVzPjwvZGF0ZXM+PGlzYm4+MTA0MC0wNjA1PC9pc2JuPjxhY2Nl
c3Npb24tbnVtPjI4NDk1ODU2PC9hY2Nlc3Npb24tbnVtPjx1cmxzPjwvdXJscz48Y3VzdG9tMj5Q
TUM1NTgyOTI5PC9jdXN0b20yPjxlbGVjdHJvbmljLXJlc291cmNlLW51bT4xMC4xMTUyL2FqcGx1
bmcuMDA0NTIuMjAxNjwvZWxlY3Ryb25pYy1yZXNvdXJjZS1udW0+PHJlbW90ZS1kYXRhYmFzZS1w
cm92aWRlcj5OTE08L3JlbW90ZS1kYXRhYmFzZS1wcm92aWRlcj48bGFuZ3VhZ2U+ZW5nPC9sYW5n
dWFnZT48L3JlY29yZD48L0NpdGU+PENpdGU+PEF1dGhvcj5NdXRodW1hbGFnZTwvQXV0aG9yPjxZ
ZWFyPjIwMTc8L1llYXI+PFJlY051bT42Mjg8L1JlY051bT48cmVjb3JkPjxyZWMtbnVtYmVyPjYy
ODwvcmVjLW51bWJlcj48Zm9yZWlnbi1rZXlzPjxrZXkgYXBwPSJFTiIgZGItaWQ9Ijl6MDVkejBw
cmFhZGZ1ZWUwem94emVkazl6ZmU1Znh4NTB6NSIgdGltZXN0YW1wPSIxNTIxNTA2ODczIj42Mjg8
L2tleT48a2V5IGFwcD0iRU5XZWIiIGRiLWlkPSIiPjA8L2tleT48L2ZvcmVpZ24ta2V5cz48cmVm
LXR5cGUgbmFtZT0iSm91cm5hbCBBcnRpY2xlIj4xNzwvcmVmLXR5cGU+PGNvbnRyaWJ1dG9ycz48
YXV0aG9ycz48YXV0aG9yPk11dGh1bWFsYWdlLCBULjwvYXV0aG9yPjxhdXRob3I+UHJpbnosIE0u
PC9hdXRob3I+PGF1dGhvcj5BbnNhaCwgSy4gTy48L2F1dGhvcj48YXV0aG9yPkdlcmxvZmYsIEou
PC9hdXRob3I+PGF1dGhvcj5TdW5kYXIsIEkuIEsuPC9hdXRob3I+PGF1dGhvcj5SYWhtYW4sIEku
PC9hdXRob3I+PC9hdXRob3JzPjwvY29udHJpYnV0b3JzPjxhdXRoLWFkZHJlc3M+RGVwYXJ0bWVu
dCBvZiBFbnZpcm9ubWVudGFsIE1lZGljaW5lLCBVbml2ZXJzaXR5IG9mIFJvY2hlc3RlciBNZWRp
Y2FsIENlbnRlciwgUm9jaGVzdGVyLCBOWSwgVW5pdGVkIFN0YXRlcy48L2F1dGgtYWRkcmVzcz48
dGl0bGVzPjx0aXRsZT5JbmZsYW1tYXRvcnkgYW5kIE94aWRhdGl2ZSBSZXNwb25zZXMgSW5kdWNl
ZCBieSBFeHBvc3VyZSB0byBDb21tb25seSBVc2VkIGUtQ2lnYXJldHRlIEZsYXZvcmluZyBDaGVt
aWNhbHMgYW5kIEZsYXZvcmVkIGUtTGlxdWlkcyB3aXRob3V0IE5pY290aW5lPC90aXRsZT48c2Vj
b25kYXJ5LXRpdGxlPkZyb250IFBoeXNpb2w8L3NlY29uZGFyeS10aXRsZT48YWx0LXRpdGxlPkZy
b250aWVycyBpbiBwaHlzaW9sb2d5PC9hbHQtdGl0bGU+PC90aXRsZXM+PGFsdC1wZXJpb2RpY2Fs
PjxmdWxsLXRpdGxlPkZyb250aWVycyBpbiBwaHlzaW9sb2d5PC9mdWxsLXRpdGxlPjwvYWx0LXBl
cmlvZGljYWw+PHBhZ2VzPjExMzA8L3BhZ2VzPjx2b2x1bWU+ODwvdm9sdW1lPjxlZGl0aW9uPjIw
MTgvMDEvMzA8L2VkaXRpb24+PGtleXdvcmRzPjxrZXl3b3JkPmNpZ2FyZXR0ZXM8L2tleXdvcmQ+
PGtleXdvcmQ+ZS1saXF1aWRzPC9rZXl3b3JkPjxrZXl3b3JkPmZsYXZvcnM8L2tleXdvcmQ+PGtl
eXdvcmQ+aW5mbGFtbWF0aW9uPC9rZXl3b3JkPjxrZXl3b3JkPmludGVybGV1a2luLTg8L2tleXdv
cmQ+PGtleXdvcmQ+bW9ub2N5dGVzPC9rZXl3b3JkPjxrZXl3b3JkPm94aWRhdGl2ZSBzdHJlc3M8
L2tleXdvcmQ+PC9rZXl3b3Jkcz48ZGF0ZXM+PHllYXI+MjAxNzwveWVhcj48L2RhdGVzPjxpc2Ju
PjE2NjQtMDQyWCAoUHJpbnQpJiN4RDsxNjY0LTA0Mng8L2lzYm4+PGFjY2Vzc2lvbi1udW0+Mjkz
NzUzOTk8L2FjY2Vzc2lvbi1udW0+PHVybHM+PC91cmxzPjxjdXN0b20yPlBNQzU3Njg2MDg8L2N1
c3RvbTI+PGVsZWN0cm9uaWMtcmVzb3VyY2UtbnVtPjEwLjMzODkvZnBoeXMuMjAxNy4wMTEzMDwv
ZWxlY3Ryb25pYy1yZXNvdXJjZS1udW0+PHJlbW90ZS1kYXRhYmFzZS1wcm92aWRlcj5OTE08L3Jl
bW90ZS1kYXRhYmFzZS1wcm92aWRlcj48bGFuZ3VhZ2U+ZW5nPC9sYW5ndWFnZT48L3JlY29yZD48
L0NpdGU+PC9FbmROb3RlPgB=
</w:fldData>
            </w:fldChar>
          </w:r>
          <w:r>
            <w:rPr>
              <w:rFonts w:eastAsia="Times New Roman" w:cs="Calibri"/>
            </w:rPr>
            <w:instrText xml:space="preserve"> ADDIN EN.CITE.DATA </w:instrText>
          </w:r>
          <w:r>
            <w:rPr>
              <w:rFonts w:eastAsia="Times New Roman" w:cs="Calibri"/>
            </w:rPr>
          </w:r>
          <w:r>
            <w:rPr>
              <w:rFonts w:eastAsia="Times New Roman" w:cs="Calibri"/>
            </w:rPr>
            <w:fldChar w:fldCharType="end"/>
          </w:r>
          <w:r>
            <w:rPr>
              <w:rFonts w:eastAsia="Times New Roman" w:cs="Calibri"/>
            </w:rPr>
          </w:r>
          <w:r>
            <w:rPr>
              <w:rFonts w:eastAsia="Times New Roman" w:cs="Calibri"/>
            </w:rPr>
            <w:fldChar w:fldCharType="separate"/>
          </w:r>
          <w:r>
            <w:rPr>
              <w:rFonts w:eastAsia="Times New Roman" w:cs="Calibri"/>
              <w:noProof/>
            </w:rPr>
            <w:t>(Breheny, Adamson et al. 2017, Clapp, Pawlak et al. 2017, Muthumalage, Prinz et al. 2017, Bishop, Haswell et al. 2018, Otreba, Kosmider et al. 2018)</w:t>
          </w:r>
          <w:r>
            <w:rPr>
              <w:rFonts w:eastAsia="Times New Roman" w:cs="Calibri"/>
            </w:rPr>
            <w:fldChar w:fldCharType="end"/>
          </w:r>
          <w:r>
            <w:rPr>
              <w:rFonts w:eastAsia="Times New Roman" w:cs="Calibri"/>
            </w:rPr>
            <w:t xml:space="preserve">. One study tested this by altering the voltage of the e-cigarettes in the study </w:t>
          </w:r>
          <w:r>
            <w:rPr>
              <w:rFonts w:eastAsia="Times New Roman" w:cs="Calibri"/>
            </w:rPr>
            <w:fldChar w:fldCharType="begin"/>
          </w:r>
          <w:r>
            <w:rPr>
              <w:rFonts w:eastAsia="Times New Roman" w:cs="Calibri"/>
            </w:rPr>
            <w:instrText xml:space="preserve"> ADDIN EN.CITE &lt;EndNote&gt;&lt;Cite&gt;&lt;Author&gt;Otreba&lt;/Author&gt;&lt;Year&gt;2018&lt;/Year&gt;&lt;RecNum&gt;10450&lt;/RecNum&gt;&lt;DisplayText&gt;(Otreba, Kosmider et al. 2018)&lt;/DisplayText&gt;&lt;record&gt;&lt;rec-number&gt;10450&lt;/rec-number&gt;&lt;foreign-keys&gt;&lt;key app="EN" db-id="9z05dz0praadfuee0zoxzedk9zfe5fxx50z5" timestamp="1526869878"&gt;10450&lt;/key&gt;&lt;key app="ENWeb" db-id=""&gt;0&lt;/key&gt;&lt;/foreign-keys&gt;&lt;ref-type name="Journal Article"&gt;17&lt;/ref-type&gt;&lt;contributors&gt;&lt;authors&gt;&lt;author&gt;Otreba, Michal&lt;/author&gt;&lt;author&gt;Kosmider, Leon&lt;/author&gt;&lt;author&gt;Knysak, Jakub&lt;/author&gt;&lt;author&gt;Warncke, Jared D.&lt;/author&gt;&lt;author&gt;Sobczak, Andrzej&lt;/author&gt;&lt;/authors&gt;&lt;/contributors&gt;&lt;titles&gt;&lt;title&gt;E-cigarettes: voltage- and concentration-dependent loss in human lung adenocarcinoma viability&lt;/title&gt;&lt;secondary-title&gt;Journal of applied toxicology : JAT&lt;/secondary-title&gt;&lt;/titles&gt;&lt;periodical&gt;&lt;full-title&gt;Journal of applied toxicology : JAT&lt;/full-title&gt;&lt;/periodical&gt;&lt;dates&gt;&lt;year&gt;2018&lt;/year&gt;&lt;pub-dates&gt;&lt;date&gt;2018-Apr-17&lt;/date&gt;&lt;/pub-dates&gt;&lt;/dates&gt;&lt;accession-num&gt;MEDLINE:29665082&lt;/accession-num&gt;&lt;urls&gt;&lt;related-urls&gt;&lt;url&gt;&amp;lt;Go to ISI&amp;gt;://MEDLINE:29665082&lt;/url&gt;&lt;url&gt;https://onlinelibrary.wiley.com/doi/pdf/10.1002/jat.3625&lt;/url&gt;&lt;/related-urls&gt;&lt;/urls&gt;&lt;electronic-resource-num&gt;10.1002/jat.3625&lt;/electronic-resource-num&gt;&lt;/record&gt;&lt;/Cite&gt;&lt;/EndNote&gt;</w:instrText>
          </w:r>
          <w:r>
            <w:rPr>
              <w:rFonts w:eastAsia="Times New Roman" w:cs="Calibri"/>
            </w:rPr>
            <w:fldChar w:fldCharType="separate"/>
          </w:r>
          <w:r>
            <w:rPr>
              <w:rFonts w:eastAsia="Times New Roman" w:cs="Calibri"/>
              <w:noProof/>
            </w:rPr>
            <w:t>(Otreba, Kosmider et al. 2018)</w:t>
          </w:r>
          <w:r>
            <w:rPr>
              <w:rFonts w:eastAsia="Times New Roman" w:cs="Calibri"/>
            </w:rPr>
            <w:fldChar w:fldCharType="end"/>
          </w:r>
          <w:r>
            <w:rPr>
              <w:rFonts w:eastAsia="Times New Roman" w:cs="Calibri"/>
            </w:rPr>
            <w:t xml:space="preserve">. The researchers </w:t>
          </w:r>
          <w:r w:rsidRPr="002A7928">
            <w:t>found</w:t>
          </w:r>
          <w:r>
            <w:rPr>
              <w:rFonts w:eastAsia="Times New Roman" w:cs="Calibri"/>
            </w:rPr>
            <w:t xml:space="preserve"> that as voltage increased, cell viability of the human lung carcinoma cells decreased.</w:t>
          </w:r>
        </w:p>
        <w:p w14:paraId="647D1221" w14:textId="77777777" w:rsidR="00A74D41" w:rsidRDefault="00A74D41" w:rsidP="00A74D41">
          <w:pPr>
            <w:pStyle w:val="BodyText"/>
            <w:rPr>
              <w:rStyle w:val="BodyTextChar"/>
            </w:rPr>
          </w:pPr>
          <w:r w:rsidRPr="001C3631">
            <w:rPr>
              <w:rStyle w:val="BodyTextChar"/>
            </w:rPr>
            <w:lastRenderedPageBreak/>
            <w:t>Three studies which investigated the toxic effects of e-cigarette vapour in the lungs, found that e</w:t>
          </w:r>
          <w:r>
            <w:rPr>
              <w:rStyle w:val="BodyTextChar"/>
            </w:rPr>
            <w:noBreakHyphen/>
          </w:r>
          <w:r w:rsidRPr="001C3631">
            <w:rPr>
              <w:rStyle w:val="BodyTextChar"/>
            </w:rPr>
            <w:t xml:space="preserve">cigarette vapour had less toxic effects than cigarette smoke </w:t>
          </w:r>
          <w:r w:rsidRPr="001C3631">
            <w:rPr>
              <w:rStyle w:val="BodyTextChar"/>
            </w:rPr>
            <w:fldChar w:fldCharType="begin">
              <w:fldData xml:space="preserve">PEVuZE5vdGU+PENpdGU+PEF1dGhvcj5BbnRoZXJpZXU8L0F1dGhvcj48WWVhcj4yMDE3PC9ZZWFy
PjxSZWNOdW0+MTM5NTwvUmVjTnVtPjxEaXNwbGF5VGV4dD4oQW50aGVyaWV1LCBHYXJhdCBldCBh
bC4gMjAxNywgQnJlaGVueSwgT2tlIGV0IGFsLiAyMDE3LCBMZXNsaWUsIFZhc2FudGhpIEJhdGhy
aW5hcmF5YW5hbiBldCBhbC4gMjAxNyk8L0Rpc3BsYXlUZXh0PjxyZWNvcmQ+PHJlYy1udW1iZXI+
MTM5NTwvcmVjLW51bWJlcj48Zm9yZWlnbi1rZXlzPjxrZXkgYXBwPSJFTiIgZGItaWQ9Ijl6MDVk
ejBwcmFhZGZ1ZWUwem94emVkazl6ZmU1Znh4NTB6NSIgdGltZXN0YW1wPSIxNTIxNTA3MDY5Ij4x
Mzk1PC9rZXk+PGtleSBhcHA9IkVOV2ViIiBkYi1pZD0iIj4wPC9rZXk+PC9mb3JlaWduLWtleXM+
PHJlZi10eXBlIG5hbWU9IkpvdXJuYWwgQXJ0aWNsZSI+MTc8L3JlZi10eXBlPjxjb250cmlidXRv
cnM+PGF1dGhvcnM+PGF1dGhvcj5BbnRoZXJpZXUsIFMuPC9hdXRob3I+PGF1dGhvcj5HYXJhdCwg
QS48L2F1dGhvcj48YXV0aG9yPkJlYXV2YWwsIE4uPC9hdXRob3I+PGF1dGhvcj5Tb3lleiwgTS48
L2F1dGhvcj48YXV0aG9yPkFsbG9yZ2UsIEQuPC9hdXRob3I+PGF1dGhvcj5HYXJjb24sIEcuPC9h
dXRob3I+PGF1dGhvcj5Mby1HdWlkaWNlLCBKLiBNLjwvYXV0aG9yPjwvYXV0aG9ycz48L2NvbnRy
aWJ1dG9ycz48YXV0aC1hZGRyZXNzPlVuaXYuIExpbGxlLCBDSFUgTGlsbGUsIEluc3RpdHV0IFBh
c3RldXIgZGUgTGlsbGUsIEVBIDQ0ODMsIElNUEVDUyAtIElNUGFjdCBvZiBFbnZpcm9ubWVudGFs
IENoZW1pY2FsUyBvbiBodW1hbiBoZWFsdGgsIEYtNTkwMDAgTGlsbGUsIEZyYW5jZS4gRWxlY3Ry
b25pYyBhZGRyZXNzOiBzZWJhc3RpZW4uYW50aGVyaWV1QHVuaXYtbGlsbGUyLmZyLiYjeEQ7VW5p
di4gTGlsbGUsIENIVSBMaWxsZSwgSW5zdGl0dXQgUGFzdGV1ciBkZSBMaWxsZSwgRUEgNDQ4Mywg
SU1QRUNTIC0gSU1QYWN0IG9mIEVudmlyb25tZW50YWwgQ2hlbWljYWxTIG9uIGh1bWFuIGhlYWx0
aCwgRi01OTAwMCBMaWxsZSwgRnJhbmNlLiYjeEQ7VW5pdi4gTGlsbGUsIENIVSBMaWxsZSwgSW5z
dGl0dXQgUGFzdGV1ciBkZSBMaWxsZSwgRUEgNDQ4MywgSU1QRUNTIC0gSU1QYWN0IG9mIEVudmly
b25tZW50YWwgQ2hlbWljYWxTIG9uIGh1bWFuIGhlYWx0aCwgRi01OTAwMCBMaWxsZSwgRnJhbmNl
OyBNaW5lcyBEb3VhaSwgU0FHRSwgRi01OTUwOCBEb3VhaSwgRnJhbmNlLjwvYXV0aC1hZGRyZXNz
Pjx0aXRsZXM+PHRpdGxlPkNvbXBhcmlzb24gb2YgY2VsbHVsYXIgYW5kIHRyYW5zY3JpcHRvbWlj
IGVmZmVjdHMgYmV0d2VlbiBlbGVjdHJvbmljIGNpZ2FyZXR0ZSB2YXBvciBhbmQgY2lnYXJldHRl
IHNtb2tlIGluIGh1bWFuIGJyb25jaGlhbCBlcGl0aGVsaWFsIGNlbGxzPC90aXRsZT48c2Vjb25k
YXJ5LXRpdGxlPlRveGljb2wgSW4gVml0cm88L3NlY29uZGFyeS10aXRsZT48YWx0LXRpdGxlPlRv
eGljb2xvZ3kgaW4gdml0cm8gOiBhbiBpbnRlcm5hdGlvbmFsIGpvdXJuYWwgcHVibGlzaGVkIGlu
IGFzc29jaWF0aW9uIHdpdGggQklCUkE8L2FsdC10aXRsZT48L3RpdGxlcz48cGVyaW9kaWNhbD48
ZnVsbC10aXRsZT5Ub3hpY29sIEluIFZpdHJvPC9mdWxsLXRpdGxlPjxhYmJyLTE+VG94aWNvbG9n
eSBpbiB2aXRybyA6IGFuIGludGVybmF0aW9uYWwgam91cm5hbCBwdWJsaXNoZWQgaW4gYXNzb2Np
YXRpb24gd2l0aCBCSUJSQTwvYWJici0xPjwvcGVyaW9kaWNhbD48YWx0LXBlcmlvZGljYWw+PGZ1
bGwtdGl0bGU+VG94aWNvbCBJbiBWaXRybzwvZnVsbC10aXRsZT48YWJici0xPlRveGljb2xvZ3kg
aW4gdml0cm8gOiBhbiBpbnRlcm5hdGlvbmFsIGpvdXJuYWwgcHVibGlzaGVkIGluIGFzc29jaWF0
aW9uIHdpdGggQklCUkE8L2FiYnItMT48L2FsdC1wZXJpb2RpY2FsPjxwYWdlcz40MTctNDI1PC9w
YWdlcz48dm9sdW1lPjQ1PC92b2x1bWU+PG51bWJlcj5QdCAzPC9udW1iZXI+PGVkaXRpb24+MjAx
Ny8wMS8xMDwvZWRpdGlvbj48a2V5d29yZHM+PGtleXdvcmQ+QkVBUy0yQiBjZWxsIGxpbmU8L2tl
eXdvcmQ+PGtleXdvcmQ+RS1jaWdhcmV0dGU8L2tleXdvcmQ+PGtleXdvcmQ+VG94aWNpdHk8L2tl
eXdvcmQ+PGtleXdvcmQ+VHJhbnNjcmlwdG9taWM8L2tleXdvcmQ+PGtleXdvcmQ+VmFwb3JzPC9r
ZXl3b3JkPjwva2V5d29yZHM+PGRhdGVzPjx5ZWFyPjIwMTc8L3llYXI+PHB1Yi1kYXRlcz48ZGF0
ZT5EZWM8L2RhdGU+PC9wdWItZGF0ZXM+PC9kYXRlcz48aXNibj4wODg3LTIzMzM8L2lzYm4+PGFj
Y2Vzc2lvbi1udW0+MjgwNjU3OTA8L2FjY2Vzc2lvbi1udW0+PHVybHM+PHJlbGF0ZWQtdXJscz48
dXJsPmh0dHBzOi8vd3d3LnNjaWVuY2VkaXJlY3QuY29tL3NjaWVuY2UvYXJ0aWNsZS9waWkvUzA4
ODcyMzMzMTYzMDI3MTU/dmlhJTNEaWh1YjwvdXJsPjwvcmVsYXRlZC11cmxzPjwvdXJscz48ZWxl
Y3Ryb25pYy1yZXNvdXJjZS1udW0+MTAuMTAxNi9qLnRpdi4yMDE2LjEyLjAxNTwvZWxlY3Ryb25p
Yy1yZXNvdXJjZS1udW0+PHJlbW90ZS1kYXRhYmFzZS1wcm92aWRlcj5OTE08L3JlbW90ZS1kYXRh
YmFzZS1wcm92aWRlcj48bGFuZ3VhZ2U+ZW5nPC9sYW5ndWFnZT48L3JlY29yZD48L0NpdGU+PENp
dGU+PEF1dGhvcj5CcmVoZW55PC9BdXRob3I+PFllYXI+MjAxNzwvWWVhcj48UmVjTnVtPjQ3Mzwv
UmVjTnVtPjxyZWNvcmQ+PHJlYy1udW1iZXI+NDczPC9yZWMtbnVtYmVyPjxmb3JlaWduLWtleXM+
PGtleSBhcHA9IkVOIiBkYi1pZD0iOXowNWR6MHByYWFkZnVlZTB6b3h6ZWRrOXpmZTVmeHg1MHo1
IiB0aW1lc3RhbXA9IjE1MjE1MDY4MzEiPjQ3Mzwva2V5PjxrZXkgYXBwPSJFTldlYiIgZGItaWQ9
IiI+MDwva2V5PjwvZm9yZWlnbi1rZXlzPjxyZWYtdHlwZSBuYW1lPSJKb3VybmFsIEFydGljbGUi
PjE3PC9yZWYtdHlwZT48Y29udHJpYnV0b3JzPjxhdXRob3JzPjxhdXRob3I+QnJlaGVueSwgRC48
L2F1dGhvcj48YXV0aG9yPk9rZSwgTy48L2F1dGhvcj48YXV0aG9yPlBhbnQsIEsuPC9hdXRob3I+
PGF1dGhvcj5HYWNhLCBNLjwvYXV0aG9yPjwvYXV0aG9ycz48L2NvbnRyaWJ1dG9ycz48dGl0bGVz
Pjx0aXRsZT5Db21wYXJhdGl2ZSBUdW1vciBQcm9tb3Rpb24gQXNzZXNzbWVudCBvZiBlLUNpZ2Fy
ZXR0ZSBhbmQgQ2lnYXJldHRlcyBVc2luZyB0aGUgSW4gVml0cm8gQmhhcyA0MiBDZWxsIFRyYW5z
Zm9ybWF0aW9uIEFzc2F5PC90aXRsZT48c2Vjb25kYXJ5LXRpdGxlPkVudmlyb25tZW50YWwgYW5k
IE1vbGVjdWxhciBNdXRhZ2VuZXNpczwvc2Vjb25kYXJ5LXRpdGxlPjwvdGl0bGVzPjxwZXJpb2Rp
Y2FsPjxmdWxsLXRpdGxlPkVudmlyb25tZW50YWwgYW5kIE1vbGVjdWxhciBNdXRhZ2VuZXNpczwv
ZnVsbC10aXRsZT48L3BlcmlvZGljYWw+PHBhZ2VzPjE5MC0xOTg8L3BhZ2VzPjx2b2x1bWU+NTg8
L3ZvbHVtZT48bnVtYmVyPjQ8L251bWJlcj48ZGF0ZXM+PHllYXI+MjAxNzwveWVhcj48cHViLWRh
dGVzPjxkYXRlPk1heTwvZGF0ZT48L3B1Yi1kYXRlcz48L2RhdGVzPjxpc2JuPjA4OTMtNjY5Mjwv
aXNibj48YWNjZXNzaW9uLW51bT5XT1M6MDAwNDAyMTc2MTAwMDAyPC9hY2Nlc3Npb24tbnVtPjx1
cmxzPjxyZWxhdGVkLXVybHM+PHVybD4mbHQ7R28gdG8gSVNJJmd0OzovL1dPUzowMDA0MDIxNzYx
MDAwMDI8L3VybD48dXJsPmh0dHBzOi8vd3d3Lm5jYmkubmxtLm5paC5nb3YvcG1jL2FydGljbGVz
L1BNQzU0MzU5MjEvcGRmL0VNLTU4LTE5MC5wZGY8L3VybD48L3JlbGF0ZWQtdXJscz48L3VybHM+
PGVsZWN0cm9uaWMtcmVzb3VyY2UtbnVtPjEwLjEwMDIvZW0uMjIwOTE8L2VsZWN0cm9uaWMtcmVz
b3VyY2UtbnVtPjwvcmVjb3JkPjwvQ2l0ZT48Q2l0ZT48QXV0aG9yPkxlc2xpZTwvQXV0aG9yPjxZ
ZWFyPjIwMTc8L1llYXI+PFJlY051bT4xMTcyPC9SZWNOdW0+PHJlY29yZD48cmVjLW51bWJlcj4x
MTcyPC9yZWMtbnVtYmVyPjxmb3JlaWduLWtleXM+PGtleSBhcHA9IkVOIiBkYi1pZD0iOXowNWR6
MHByYWFkZnVlZTB6b3h6ZWRrOXpmZTVmeHg1MHo1IiB0aW1lc3RhbXA9IjE1MjE1MDcwMTciPjEx
NzI8L2tleT48a2V5IGFwcD0iRU5XZWIiIGRiLWlkPSIiPjA8L2tleT48L2ZvcmVpZ24ta2V5cz48
cmVmLXR5cGUgbmFtZT0iSm91cm5hbCBBcnRpY2xlIj4xNzwvcmVmLXR5cGU+PGNvbnRyaWJ1dG9y
cz48YXV0aG9ycz48YXV0aG9yPkxlc2xpZSwgTC4gSi48L2F1dGhvcj48YXV0aG9yPlZhc2FudGhp
IEJhdGhyaW5hcmF5YW5hbiwgUC48L2F1dGhvcj48YXV0aG9yPkphY2tzb24sIFAuPC9hdXRob3I+
PGF1dGhvcj5NYWJpYWxhIE1hIE11YW5kYSwgSi4gQS48L2F1dGhvcj48YXV0aG9yPlBhbGxldHQs
IFIuPC9hdXRob3I+PGF1dGhvcj5TdGlsbG1hbiwgQy4gSi4gUC48L2F1dGhvcj48YXV0aG9yPk1h
cnNoYWxsLCBMLiBKLjwvYXV0aG9yPjwvYXV0aG9ycz48L2NvbnRyaWJ1dG9ycz48YXV0aC1hZGRy
ZXNzPmEgU2Nob29sIG9mIEVuZ2luZWVyaW5nIGFuZCBBcHBsaWVkIFNjaWVuY2UgLCBBc3RvbiBV
bml2ZXJzaXR5ICwgQmlybWluZ2hhbSAsIFVLLiYjeEQ7YiBTY2hvb2wgb2YgTGlmZSBhbmQgSGVh
bHRoIFNjaWVuY2VzICwgQXN0b24gVW5pdmVyc2l0eSAsIEJpcm1pbmdoYW0gLCBVSy48L2F1dGgt
YWRkcmVzcz48dGl0bGVzPjx0aXRsZT5BIGNvbXBhcmF0aXZlIHN0dWR5IG9mIGVsZWN0cm9uaWMg
Y2lnYXJldHRlIHZhcG9yIGV4dHJhY3RzIG9uIGFpcndheS1yZWxhdGVkIGNlbGwgbGluZXMgaW4g
dml0cm88L3RpdGxlPjxzZWNvbmRhcnktdGl0bGU+SW5oYWwgVG94aWNvbDwvc2Vjb25kYXJ5LXRp
dGxlPjxhbHQtdGl0bGU+SW5oYWxhdGlvbiB0b3hpY29sb2d5PC9hbHQtdGl0bGU+PC90aXRsZXM+
PHBlcmlvZGljYWw+PGZ1bGwtdGl0bGU+SW5oYWwgVG94aWNvbDwvZnVsbC10aXRsZT48YWJici0x
PkluaGFsYXRpb24gdG94aWNvbG9neTwvYWJici0xPjwvcGVyaW9kaWNhbD48YWx0LXBlcmlvZGlj
YWw+PGZ1bGwtdGl0bGU+SW5oYWwgVG94aWNvbDwvZnVsbC10aXRsZT48YWJici0xPkluaGFsYXRp
b24gdG94aWNvbG9neTwvYWJici0xPjwvYWx0LXBlcmlvZGljYWw+PHBhZ2VzPjEyNi0xMzY8L3Bh
Z2VzPjx2b2x1bWU+Mjk8L3ZvbHVtZT48bnVtYmVyPjM8L251bWJlcj48ZWRpdGlvbj4yMDE3LzA1
LzA1PC9lZGl0aW9uPjxrZXl3b3Jkcz48a2V5d29yZD5Ccm9uY2hpL2N5dG9sb2d5PC9rZXl3b3Jk
PjxrZXl3b3JkPkNlbGwgTGluZTwva2V5d29yZD48a2V5d29yZD5DZWxsIFN1cnZpdmFsL2RydWcg
ZWZmZWN0czwva2V5d29yZD48a2V5d29yZD5Db21wbGV4IE1peHR1cmVzLyp0b3hpY2l0eTwva2V5
d29yZD48a2V5d29yZD4qRWxlY3Ryb25pYyBOaWNvdGluZSBEZWxpdmVyeSBTeXN0ZW1zPC9rZXl3
b3JkPjxrZXl3b3JkPkZsYXZvcmluZyBBZ2VudHMvKnRveGljaXR5PC9rZXl3b3JkPjxrZXl3b3Jk
Pkh1bWFuczwva2V5d29yZD48a2V5d29yZD5NYWNyb3BoYWdlcy9kcnVnIGVmZmVjdHM8L2tleXdv
cmQ+PGtleXdvcmQ+Tmljb3RpbmUvdG94aWNpdHk8L2tleXdvcmQ+PGtleXdvcmQ+KlNtb2tlPC9r
ZXl3b3JkPjxrZXl3b3JkPlRvYmFjY288L2tleXdvcmQ+PGtleXdvcmQ+KkVsZWN0cm9uaWMgY2ln
YXJldHRlczwva2V5d29yZD48a2V5d29yZD4qYWlyd2F5czwva2V5d29yZD48a2V5d29yZD4qY3l0
b3RveGljaXR5PC9rZXl3b3JkPjxrZXl3b3JkPiplcGl0aGVsaWFsczwva2V5d29yZD48a2V5d29y
ZD4qaW4gdml0cm8gbW9kZWxzPC9rZXl3b3JkPjwva2V5d29yZHM+PGRhdGVzPjx5ZWFyPjIwMTc8
L3llYXI+PHB1Yi1kYXRlcz48ZGF0ZT5GZWI8L2RhdGU+PC9wdWItZGF0ZXM+PC9kYXRlcz48aXNi
bj4wODk1LTgzNzg8L2lzYm4+PGFjY2Vzc2lvbi1udW0+Mjg0NzAxNDE8L2FjY2Vzc2lvbi1udW0+
PHVybHM+PHJlbGF0ZWQtdXJscz48dXJsPmh0dHBzOi8vd3d3LnRhbmRmb25saW5lLmNvbS9kb2kv
cGRmLzEwLjEwODAvMDg5NTgzNzguMjAxNy4xMzE4MTkzP25lZWRBY2Nlc3M9dHJ1ZTwvdXJsPjwv
cmVsYXRlZC11cmxzPjwvdXJscz48ZWxlY3Ryb25pYy1yZXNvdXJjZS1udW0+MTAuMTA4MC8wODk1
ODM3OC4yMDE3LjEzMTgxOTM8L2VsZWN0cm9uaWMtcmVzb3VyY2UtbnVtPjxyZW1vdGUtZGF0YWJh
c2UtcHJvdmlkZXI+TkxNPC9yZW1vdGUtZGF0YWJhc2UtcHJvdmlkZXI+PGxhbmd1YWdlPmVuZzwv
bGFuZ3VhZ2U+PC9yZWNvcmQ+PC9DaXRlPjwvRW5kTm90ZT4A
</w:fldData>
            </w:fldChar>
          </w:r>
          <w:r w:rsidRPr="001C3631">
            <w:rPr>
              <w:rStyle w:val="BodyTextChar"/>
            </w:rPr>
            <w:instrText xml:space="preserve"> ADDIN EN.CITE </w:instrText>
          </w:r>
          <w:r w:rsidRPr="001C3631">
            <w:rPr>
              <w:rStyle w:val="BodyTextChar"/>
            </w:rPr>
            <w:fldChar w:fldCharType="begin">
              <w:fldData xml:space="preserve">PEVuZE5vdGU+PENpdGU+PEF1dGhvcj5BbnRoZXJpZXU8L0F1dGhvcj48WWVhcj4yMDE3PC9ZZWFy
PjxSZWNOdW0+MTM5NTwvUmVjTnVtPjxEaXNwbGF5VGV4dD4oQW50aGVyaWV1LCBHYXJhdCBldCBh
bC4gMjAxNywgQnJlaGVueSwgT2tlIGV0IGFsLiAyMDE3LCBMZXNsaWUsIFZhc2FudGhpIEJhdGhy
aW5hcmF5YW5hbiBldCBhbC4gMjAxNyk8L0Rpc3BsYXlUZXh0PjxyZWNvcmQ+PHJlYy1udW1iZXI+
MTM5NTwvcmVjLW51bWJlcj48Zm9yZWlnbi1rZXlzPjxrZXkgYXBwPSJFTiIgZGItaWQ9Ijl6MDVk
ejBwcmFhZGZ1ZWUwem94emVkazl6ZmU1Znh4NTB6NSIgdGltZXN0YW1wPSIxNTIxNTA3MDY5Ij4x
Mzk1PC9rZXk+PGtleSBhcHA9IkVOV2ViIiBkYi1pZD0iIj4wPC9rZXk+PC9mb3JlaWduLWtleXM+
PHJlZi10eXBlIG5hbWU9IkpvdXJuYWwgQXJ0aWNsZSI+MTc8L3JlZi10eXBlPjxjb250cmlidXRv
cnM+PGF1dGhvcnM+PGF1dGhvcj5BbnRoZXJpZXUsIFMuPC9hdXRob3I+PGF1dGhvcj5HYXJhdCwg
QS48L2F1dGhvcj48YXV0aG9yPkJlYXV2YWwsIE4uPC9hdXRob3I+PGF1dGhvcj5Tb3lleiwgTS48
L2F1dGhvcj48YXV0aG9yPkFsbG9yZ2UsIEQuPC9hdXRob3I+PGF1dGhvcj5HYXJjb24sIEcuPC9h
dXRob3I+PGF1dGhvcj5Mby1HdWlkaWNlLCBKLiBNLjwvYXV0aG9yPjwvYXV0aG9ycz48L2NvbnRy
aWJ1dG9ycz48YXV0aC1hZGRyZXNzPlVuaXYuIExpbGxlLCBDSFUgTGlsbGUsIEluc3RpdHV0IFBh
c3RldXIgZGUgTGlsbGUsIEVBIDQ0ODMsIElNUEVDUyAtIElNUGFjdCBvZiBFbnZpcm9ubWVudGFs
IENoZW1pY2FsUyBvbiBodW1hbiBoZWFsdGgsIEYtNTkwMDAgTGlsbGUsIEZyYW5jZS4gRWxlY3Ry
b25pYyBhZGRyZXNzOiBzZWJhc3RpZW4uYW50aGVyaWV1QHVuaXYtbGlsbGUyLmZyLiYjeEQ7VW5p
di4gTGlsbGUsIENIVSBMaWxsZSwgSW5zdGl0dXQgUGFzdGV1ciBkZSBMaWxsZSwgRUEgNDQ4Mywg
SU1QRUNTIC0gSU1QYWN0IG9mIEVudmlyb25tZW50YWwgQ2hlbWljYWxTIG9uIGh1bWFuIGhlYWx0
aCwgRi01OTAwMCBMaWxsZSwgRnJhbmNlLiYjeEQ7VW5pdi4gTGlsbGUsIENIVSBMaWxsZSwgSW5z
dGl0dXQgUGFzdGV1ciBkZSBMaWxsZSwgRUEgNDQ4MywgSU1QRUNTIC0gSU1QYWN0IG9mIEVudmly
b25tZW50YWwgQ2hlbWljYWxTIG9uIGh1bWFuIGhlYWx0aCwgRi01OTAwMCBMaWxsZSwgRnJhbmNl
OyBNaW5lcyBEb3VhaSwgU0FHRSwgRi01OTUwOCBEb3VhaSwgRnJhbmNlLjwvYXV0aC1hZGRyZXNz
Pjx0aXRsZXM+PHRpdGxlPkNvbXBhcmlzb24gb2YgY2VsbHVsYXIgYW5kIHRyYW5zY3JpcHRvbWlj
IGVmZmVjdHMgYmV0d2VlbiBlbGVjdHJvbmljIGNpZ2FyZXR0ZSB2YXBvciBhbmQgY2lnYXJldHRl
IHNtb2tlIGluIGh1bWFuIGJyb25jaGlhbCBlcGl0aGVsaWFsIGNlbGxzPC90aXRsZT48c2Vjb25k
YXJ5LXRpdGxlPlRveGljb2wgSW4gVml0cm88L3NlY29uZGFyeS10aXRsZT48YWx0LXRpdGxlPlRv
eGljb2xvZ3kgaW4gdml0cm8gOiBhbiBpbnRlcm5hdGlvbmFsIGpvdXJuYWwgcHVibGlzaGVkIGlu
IGFzc29jaWF0aW9uIHdpdGggQklCUkE8L2FsdC10aXRsZT48L3RpdGxlcz48cGVyaW9kaWNhbD48
ZnVsbC10aXRsZT5Ub3hpY29sIEluIFZpdHJvPC9mdWxsLXRpdGxlPjxhYmJyLTE+VG94aWNvbG9n
eSBpbiB2aXRybyA6IGFuIGludGVybmF0aW9uYWwgam91cm5hbCBwdWJsaXNoZWQgaW4gYXNzb2Np
YXRpb24gd2l0aCBCSUJSQTwvYWJici0xPjwvcGVyaW9kaWNhbD48YWx0LXBlcmlvZGljYWw+PGZ1
bGwtdGl0bGU+VG94aWNvbCBJbiBWaXRybzwvZnVsbC10aXRsZT48YWJici0xPlRveGljb2xvZ3kg
aW4gdml0cm8gOiBhbiBpbnRlcm5hdGlvbmFsIGpvdXJuYWwgcHVibGlzaGVkIGluIGFzc29jaWF0
aW9uIHdpdGggQklCUkE8L2FiYnItMT48L2FsdC1wZXJpb2RpY2FsPjxwYWdlcz40MTctNDI1PC9w
YWdlcz48dm9sdW1lPjQ1PC92b2x1bWU+PG51bWJlcj5QdCAzPC9udW1iZXI+PGVkaXRpb24+MjAx
Ny8wMS8xMDwvZWRpdGlvbj48a2V5d29yZHM+PGtleXdvcmQ+QkVBUy0yQiBjZWxsIGxpbmU8L2tl
eXdvcmQ+PGtleXdvcmQ+RS1jaWdhcmV0dGU8L2tleXdvcmQ+PGtleXdvcmQ+VG94aWNpdHk8L2tl
eXdvcmQ+PGtleXdvcmQ+VHJhbnNjcmlwdG9taWM8L2tleXdvcmQ+PGtleXdvcmQ+VmFwb3JzPC9r
ZXl3b3JkPjwva2V5d29yZHM+PGRhdGVzPjx5ZWFyPjIwMTc8L3llYXI+PHB1Yi1kYXRlcz48ZGF0
ZT5EZWM8L2RhdGU+PC9wdWItZGF0ZXM+PC9kYXRlcz48aXNibj4wODg3LTIzMzM8L2lzYm4+PGFj
Y2Vzc2lvbi1udW0+MjgwNjU3OTA8L2FjY2Vzc2lvbi1udW0+PHVybHM+PHJlbGF0ZWQtdXJscz48
dXJsPmh0dHBzOi8vd3d3LnNjaWVuY2VkaXJlY3QuY29tL3NjaWVuY2UvYXJ0aWNsZS9waWkvUzA4
ODcyMzMzMTYzMDI3MTU/dmlhJTNEaWh1YjwvdXJsPjwvcmVsYXRlZC11cmxzPjwvdXJscz48ZWxl
Y3Ryb25pYy1yZXNvdXJjZS1udW0+MTAuMTAxNi9qLnRpdi4yMDE2LjEyLjAxNTwvZWxlY3Ryb25p
Yy1yZXNvdXJjZS1udW0+PHJlbW90ZS1kYXRhYmFzZS1wcm92aWRlcj5OTE08L3JlbW90ZS1kYXRh
YmFzZS1wcm92aWRlcj48bGFuZ3VhZ2U+ZW5nPC9sYW5ndWFnZT48L3JlY29yZD48L0NpdGU+PENp
dGU+PEF1dGhvcj5CcmVoZW55PC9BdXRob3I+PFllYXI+MjAxNzwvWWVhcj48UmVjTnVtPjQ3Mzwv
UmVjTnVtPjxyZWNvcmQ+PHJlYy1udW1iZXI+NDczPC9yZWMtbnVtYmVyPjxmb3JlaWduLWtleXM+
PGtleSBhcHA9IkVOIiBkYi1pZD0iOXowNWR6MHByYWFkZnVlZTB6b3h6ZWRrOXpmZTVmeHg1MHo1
IiB0aW1lc3RhbXA9IjE1MjE1MDY4MzEiPjQ3Mzwva2V5PjxrZXkgYXBwPSJFTldlYiIgZGItaWQ9
IiI+MDwva2V5PjwvZm9yZWlnbi1rZXlzPjxyZWYtdHlwZSBuYW1lPSJKb3VybmFsIEFydGljbGUi
PjE3PC9yZWYtdHlwZT48Y29udHJpYnV0b3JzPjxhdXRob3JzPjxhdXRob3I+QnJlaGVueSwgRC48
L2F1dGhvcj48YXV0aG9yPk9rZSwgTy48L2F1dGhvcj48YXV0aG9yPlBhbnQsIEsuPC9hdXRob3I+
PGF1dGhvcj5HYWNhLCBNLjwvYXV0aG9yPjwvYXV0aG9ycz48L2NvbnRyaWJ1dG9ycz48dGl0bGVz
Pjx0aXRsZT5Db21wYXJhdGl2ZSBUdW1vciBQcm9tb3Rpb24gQXNzZXNzbWVudCBvZiBlLUNpZ2Fy
ZXR0ZSBhbmQgQ2lnYXJldHRlcyBVc2luZyB0aGUgSW4gVml0cm8gQmhhcyA0MiBDZWxsIFRyYW5z
Zm9ybWF0aW9uIEFzc2F5PC90aXRsZT48c2Vjb25kYXJ5LXRpdGxlPkVudmlyb25tZW50YWwgYW5k
IE1vbGVjdWxhciBNdXRhZ2VuZXNpczwvc2Vjb25kYXJ5LXRpdGxlPjwvdGl0bGVzPjxwZXJpb2Rp
Y2FsPjxmdWxsLXRpdGxlPkVudmlyb25tZW50YWwgYW5kIE1vbGVjdWxhciBNdXRhZ2VuZXNpczwv
ZnVsbC10aXRsZT48L3BlcmlvZGljYWw+PHBhZ2VzPjE5MC0xOTg8L3BhZ2VzPjx2b2x1bWU+NTg8
L3ZvbHVtZT48bnVtYmVyPjQ8L251bWJlcj48ZGF0ZXM+PHllYXI+MjAxNzwveWVhcj48cHViLWRh
dGVzPjxkYXRlPk1heTwvZGF0ZT48L3B1Yi1kYXRlcz48L2RhdGVzPjxpc2JuPjA4OTMtNjY5Mjwv
aXNibj48YWNjZXNzaW9uLW51bT5XT1M6MDAwNDAyMTc2MTAwMDAyPC9hY2Nlc3Npb24tbnVtPjx1
cmxzPjxyZWxhdGVkLXVybHM+PHVybD4mbHQ7R28gdG8gSVNJJmd0OzovL1dPUzowMDA0MDIxNzYx
MDAwMDI8L3VybD48dXJsPmh0dHBzOi8vd3d3Lm5jYmkubmxtLm5paC5nb3YvcG1jL2FydGljbGVz
L1BNQzU0MzU5MjEvcGRmL0VNLTU4LTE5MC5wZGY8L3VybD48L3JlbGF0ZWQtdXJscz48L3VybHM+
PGVsZWN0cm9uaWMtcmVzb3VyY2UtbnVtPjEwLjEwMDIvZW0uMjIwOTE8L2VsZWN0cm9uaWMtcmVz
b3VyY2UtbnVtPjwvcmVjb3JkPjwvQ2l0ZT48Q2l0ZT48QXV0aG9yPkxlc2xpZTwvQXV0aG9yPjxZ
ZWFyPjIwMTc8L1llYXI+PFJlY051bT4xMTcyPC9SZWNOdW0+PHJlY29yZD48cmVjLW51bWJlcj4x
MTcyPC9yZWMtbnVtYmVyPjxmb3JlaWduLWtleXM+PGtleSBhcHA9IkVOIiBkYi1pZD0iOXowNWR6
MHByYWFkZnVlZTB6b3h6ZWRrOXpmZTVmeHg1MHo1IiB0aW1lc3RhbXA9IjE1MjE1MDcwMTciPjEx
NzI8L2tleT48a2V5IGFwcD0iRU5XZWIiIGRiLWlkPSIiPjA8L2tleT48L2ZvcmVpZ24ta2V5cz48
cmVmLXR5cGUgbmFtZT0iSm91cm5hbCBBcnRpY2xlIj4xNzwvcmVmLXR5cGU+PGNvbnRyaWJ1dG9y
cz48YXV0aG9ycz48YXV0aG9yPkxlc2xpZSwgTC4gSi48L2F1dGhvcj48YXV0aG9yPlZhc2FudGhp
IEJhdGhyaW5hcmF5YW5hbiwgUC48L2F1dGhvcj48YXV0aG9yPkphY2tzb24sIFAuPC9hdXRob3I+
PGF1dGhvcj5NYWJpYWxhIE1hIE11YW5kYSwgSi4gQS48L2F1dGhvcj48YXV0aG9yPlBhbGxldHQs
IFIuPC9hdXRob3I+PGF1dGhvcj5TdGlsbG1hbiwgQy4gSi4gUC48L2F1dGhvcj48YXV0aG9yPk1h
cnNoYWxsLCBMLiBKLjwvYXV0aG9yPjwvYXV0aG9ycz48L2NvbnRyaWJ1dG9ycz48YXV0aC1hZGRy
ZXNzPmEgU2Nob29sIG9mIEVuZ2luZWVyaW5nIGFuZCBBcHBsaWVkIFNjaWVuY2UgLCBBc3RvbiBV
bml2ZXJzaXR5ICwgQmlybWluZ2hhbSAsIFVLLiYjeEQ7YiBTY2hvb2wgb2YgTGlmZSBhbmQgSGVh
bHRoIFNjaWVuY2VzICwgQXN0b24gVW5pdmVyc2l0eSAsIEJpcm1pbmdoYW0gLCBVSy48L2F1dGgt
YWRkcmVzcz48dGl0bGVzPjx0aXRsZT5BIGNvbXBhcmF0aXZlIHN0dWR5IG9mIGVsZWN0cm9uaWMg
Y2lnYXJldHRlIHZhcG9yIGV4dHJhY3RzIG9uIGFpcndheS1yZWxhdGVkIGNlbGwgbGluZXMgaW4g
dml0cm88L3RpdGxlPjxzZWNvbmRhcnktdGl0bGU+SW5oYWwgVG94aWNvbDwvc2Vjb25kYXJ5LXRp
dGxlPjxhbHQtdGl0bGU+SW5oYWxhdGlvbiB0b3hpY29sb2d5PC9hbHQtdGl0bGU+PC90aXRsZXM+
PHBlcmlvZGljYWw+PGZ1bGwtdGl0bGU+SW5oYWwgVG94aWNvbDwvZnVsbC10aXRsZT48YWJici0x
PkluaGFsYXRpb24gdG94aWNvbG9neTwvYWJici0xPjwvcGVyaW9kaWNhbD48YWx0LXBlcmlvZGlj
YWw+PGZ1bGwtdGl0bGU+SW5oYWwgVG94aWNvbDwvZnVsbC10aXRsZT48YWJici0xPkluaGFsYXRp
b24gdG94aWNvbG9neTwvYWJici0xPjwvYWx0LXBlcmlvZGljYWw+PHBhZ2VzPjEyNi0xMzY8L3Bh
Z2VzPjx2b2x1bWU+Mjk8L3ZvbHVtZT48bnVtYmVyPjM8L251bWJlcj48ZWRpdGlvbj4yMDE3LzA1
LzA1PC9lZGl0aW9uPjxrZXl3b3Jkcz48a2V5d29yZD5Ccm9uY2hpL2N5dG9sb2d5PC9rZXl3b3Jk
PjxrZXl3b3JkPkNlbGwgTGluZTwva2V5d29yZD48a2V5d29yZD5DZWxsIFN1cnZpdmFsL2RydWcg
ZWZmZWN0czwva2V5d29yZD48a2V5d29yZD5Db21wbGV4IE1peHR1cmVzLyp0b3hpY2l0eTwva2V5
d29yZD48a2V5d29yZD4qRWxlY3Ryb25pYyBOaWNvdGluZSBEZWxpdmVyeSBTeXN0ZW1zPC9rZXl3
b3JkPjxrZXl3b3JkPkZsYXZvcmluZyBBZ2VudHMvKnRveGljaXR5PC9rZXl3b3JkPjxrZXl3b3Jk
Pkh1bWFuczwva2V5d29yZD48a2V5d29yZD5NYWNyb3BoYWdlcy9kcnVnIGVmZmVjdHM8L2tleXdv
cmQ+PGtleXdvcmQ+Tmljb3RpbmUvdG94aWNpdHk8L2tleXdvcmQ+PGtleXdvcmQ+KlNtb2tlPC9r
ZXl3b3JkPjxrZXl3b3JkPlRvYmFjY288L2tleXdvcmQ+PGtleXdvcmQ+KkVsZWN0cm9uaWMgY2ln
YXJldHRlczwva2V5d29yZD48a2V5d29yZD4qYWlyd2F5czwva2V5d29yZD48a2V5d29yZD4qY3l0
b3RveGljaXR5PC9rZXl3b3JkPjxrZXl3b3JkPiplcGl0aGVsaWFsczwva2V5d29yZD48a2V5d29y
ZD4qaW4gdml0cm8gbW9kZWxzPC9rZXl3b3JkPjwva2V5d29yZHM+PGRhdGVzPjx5ZWFyPjIwMTc8
L3llYXI+PHB1Yi1kYXRlcz48ZGF0ZT5GZWI8L2RhdGU+PC9wdWItZGF0ZXM+PC9kYXRlcz48aXNi
bj4wODk1LTgzNzg8L2lzYm4+PGFjY2Vzc2lvbi1udW0+Mjg0NzAxNDE8L2FjY2Vzc2lvbi1udW0+
PHVybHM+PHJlbGF0ZWQtdXJscz48dXJsPmh0dHBzOi8vd3d3LnRhbmRmb25saW5lLmNvbS9kb2kv
cGRmLzEwLjEwODAvMDg5NTgzNzguMjAxNy4xMzE4MTkzP25lZWRBY2Nlc3M9dHJ1ZTwvdXJsPjwv
cmVsYXRlZC11cmxzPjwvdXJscz48ZWxlY3Ryb25pYy1yZXNvdXJjZS1udW0+MTAuMTA4MC8wODk1
ODM3OC4yMDE3LjEzMTgxOTM8L2VsZWN0cm9uaWMtcmVzb3VyY2UtbnVtPjxyZW1vdGUtZGF0YWJh
c2UtcHJvdmlkZXI+TkxNPC9yZW1vdGUtZGF0YWJhc2UtcHJvdmlkZXI+PGxhbmd1YWdlPmVuZzwv
bGFuZ3VhZ2U+PC9yZWNvcmQ+PC9DaXRlPjwvRW5kTm90ZT4A
</w:fldData>
            </w:fldChar>
          </w:r>
          <w:r w:rsidRPr="001C3631">
            <w:rPr>
              <w:rStyle w:val="BodyTextChar"/>
            </w:rPr>
            <w:instrText xml:space="preserve"> ADDIN EN.CITE.DATA </w:instrText>
          </w:r>
          <w:r w:rsidRPr="001C3631">
            <w:rPr>
              <w:rStyle w:val="BodyTextChar"/>
            </w:rPr>
          </w:r>
          <w:r w:rsidRPr="001C3631">
            <w:rPr>
              <w:rStyle w:val="BodyTextChar"/>
            </w:rPr>
            <w:fldChar w:fldCharType="end"/>
          </w:r>
          <w:r w:rsidRPr="001C3631">
            <w:rPr>
              <w:rStyle w:val="BodyTextChar"/>
            </w:rPr>
          </w:r>
          <w:r w:rsidRPr="001C3631">
            <w:rPr>
              <w:rStyle w:val="BodyTextChar"/>
            </w:rPr>
            <w:fldChar w:fldCharType="separate"/>
          </w:r>
          <w:r w:rsidRPr="001C3631">
            <w:rPr>
              <w:rStyle w:val="BodyTextChar"/>
            </w:rPr>
            <w:t>(Antherieu, Garat et al. 2017, Breheny, Oke et al. 2017, Leslie, Vasanthi Bathrinarayanan et al. 2017)</w:t>
          </w:r>
          <w:r w:rsidRPr="001C3631">
            <w:rPr>
              <w:rStyle w:val="BodyTextChar"/>
            </w:rPr>
            <w:fldChar w:fldCharType="end"/>
          </w:r>
          <w:r w:rsidRPr="001C3631">
            <w:rPr>
              <w:rStyle w:val="BodyTextChar"/>
            </w:rPr>
            <w:t>. More specifically, e</w:t>
          </w:r>
          <w:r>
            <w:rPr>
              <w:rStyle w:val="BodyTextChar"/>
            </w:rPr>
            <w:noBreakHyphen/>
          </w:r>
          <w:r w:rsidRPr="001C3631">
            <w:rPr>
              <w:rStyle w:val="BodyTextChar"/>
            </w:rPr>
            <w:t xml:space="preserve">cigarette vapour did not elicit any significant cytotoxic effects on bronchial epithelial cells while cigarette smoke reduced cell viability </w:t>
          </w:r>
          <w:r w:rsidRPr="001C3631">
            <w:rPr>
              <w:rStyle w:val="BodyTextChar"/>
            </w:rPr>
            <w:fldChar w:fldCharType="begin">
              <w:fldData xml:space="preserve">PEVuZE5vdGU+PENpdGU+PEF1dGhvcj5BbnRoZXJpZXU8L0F1dGhvcj48WWVhcj4yMDE3PC9ZZWFy
PjxSZWNOdW0+MTM5NTwvUmVjTnVtPjxEaXNwbGF5VGV4dD4oQW50aGVyaWV1LCBHYXJhdCBldCBh
bC4gMjAxNyk8L0Rpc3BsYXlUZXh0PjxyZWNvcmQ+PHJlYy1udW1iZXI+MTM5NTwvcmVjLW51bWJl
cj48Zm9yZWlnbi1rZXlzPjxrZXkgYXBwPSJFTiIgZGItaWQ9Ijl6MDVkejBwcmFhZGZ1ZWUwem94
emVkazl6ZmU1Znh4NTB6NSIgdGltZXN0YW1wPSIxNTIxNTA3MDY5Ij4xMzk1PC9rZXk+PGtleSBh
cHA9IkVOV2ViIiBkYi1pZD0iIj4wPC9rZXk+PC9mb3JlaWduLWtleXM+PHJlZi10eXBlIG5hbWU9
IkpvdXJuYWwgQXJ0aWNsZSI+MTc8L3JlZi10eXBlPjxjb250cmlidXRvcnM+PGF1dGhvcnM+PGF1
dGhvcj5BbnRoZXJpZXUsIFMuPC9hdXRob3I+PGF1dGhvcj5HYXJhdCwgQS48L2F1dGhvcj48YXV0
aG9yPkJlYXV2YWwsIE4uPC9hdXRob3I+PGF1dGhvcj5Tb3lleiwgTS48L2F1dGhvcj48YXV0aG9y
PkFsbG9yZ2UsIEQuPC9hdXRob3I+PGF1dGhvcj5HYXJjb24sIEcuPC9hdXRob3I+PGF1dGhvcj5M
by1HdWlkaWNlLCBKLiBNLjwvYXV0aG9yPjwvYXV0aG9ycz48L2NvbnRyaWJ1dG9ycz48YXV0aC1h
ZGRyZXNzPlVuaXYuIExpbGxlLCBDSFUgTGlsbGUsIEluc3RpdHV0IFBhc3RldXIgZGUgTGlsbGUs
IEVBIDQ0ODMsIElNUEVDUyAtIElNUGFjdCBvZiBFbnZpcm9ubWVudGFsIENoZW1pY2FsUyBvbiBo
dW1hbiBoZWFsdGgsIEYtNTkwMDAgTGlsbGUsIEZyYW5jZS4gRWxlY3Ryb25pYyBhZGRyZXNzOiBz
ZWJhc3RpZW4uYW50aGVyaWV1QHVuaXYtbGlsbGUyLmZyLiYjeEQ7VW5pdi4gTGlsbGUsIENIVSBM
aWxsZSwgSW5zdGl0dXQgUGFzdGV1ciBkZSBMaWxsZSwgRUEgNDQ4MywgSU1QRUNTIC0gSU1QYWN0
IG9mIEVudmlyb25tZW50YWwgQ2hlbWljYWxTIG9uIGh1bWFuIGhlYWx0aCwgRi01OTAwMCBMaWxs
ZSwgRnJhbmNlLiYjeEQ7VW5pdi4gTGlsbGUsIENIVSBMaWxsZSwgSW5zdGl0dXQgUGFzdGV1ciBk
ZSBMaWxsZSwgRUEgNDQ4MywgSU1QRUNTIC0gSU1QYWN0IG9mIEVudmlyb25tZW50YWwgQ2hlbWlj
YWxTIG9uIGh1bWFuIGhlYWx0aCwgRi01OTAwMCBMaWxsZSwgRnJhbmNlOyBNaW5lcyBEb3VhaSwg
U0FHRSwgRi01OTUwOCBEb3VhaSwgRnJhbmNlLjwvYXV0aC1hZGRyZXNzPjx0aXRsZXM+PHRpdGxl
PkNvbXBhcmlzb24gb2YgY2VsbHVsYXIgYW5kIHRyYW5zY3JpcHRvbWljIGVmZmVjdHMgYmV0d2Vl
biBlbGVjdHJvbmljIGNpZ2FyZXR0ZSB2YXBvciBhbmQgY2lnYXJldHRlIHNtb2tlIGluIGh1bWFu
IGJyb25jaGlhbCBlcGl0aGVsaWFsIGNlbGxzPC90aXRsZT48c2Vjb25kYXJ5LXRpdGxlPlRveGlj
b2wgSW4gVml0cm88L3NlY29uZGFyeS10aXRsZT48YWx0LXRpdGxlPlRveGljb2xvZ3kgaW4gdml0
cm8gOiBhbiBpbnRlcm5hdGlvbmFsIGpvdXJuYWwgcHVibGlzaGVkIGluIGFzc29jaWF0aW9uIHdp
dGggQklCUkE8L2FsdC10aXRsZT48L3RpdGxlcz48cGVyaW9kaWNhbD48ZnVsbC10aXRsZT5Ub3hp
Y29sIEluIFZpdHJvPC9mdWxsLXRpdGxlPjxhYmJyLTE+VG94aWNvbG9neSBpbiB2aXRybyA6IGFu
IGludGVybmF0aW9uYWwgam91cm5hbCBwdWJsaXNoZWQgaW4gYXNzb2NpYXRpb24gd2l0aCBCSUJS
QTwvYWJici0xPjwvcGVyaW9kaWNhbD48YWx0LXBlcmlvZGljYWw+PGZ1bGwtdGl0bGU+VG94aWNv
bCBJbiBWaXRybzwvZnVsbC10aXRsZT48YWJici0xPlRveGljb2xvZ3kgaW4gdml0cm8gOiBhbiBp
bnRlcm5hdGlvbmFsIGpvdXJuYWwgcHVibGlzaGVkIGluIGFzc29jaWF0aW9uIHdpdGggQklCUkE8
L2FiYnItMT48L2FsdC1wZXJpb2RpY2FsPjxwYWdlcz40MTctNDI1PC9wYWdlcz48dm9sdW1lPjQ1
PC92b2x1bWU+PG51bWJlcj5QdCAzPC9udW1iZXI+PGVkaXRpb24+MjAxNy8wMS8xMDwvZWRpdGlv
bj48a2V5d29yZHM+PGtleXdvcmQ+QkVBUy0yQiBjZWxsIGxpbmU8L2tleXdvcmQ+PGtleXdvcmQ+
RS1jaWdhcmV0dGU8L2tleXdvcmQ+PGtleXdvcmQ+VG94aWNpdHk8L2tleXdvcmQ+PGtleXdvcmQ+
VHJhbnNjcmlwdG9taWM8L2tleXdvcmQ+PGtleXdvcmQ+VmFwb3JzPC9rZXl3b3JkPjwva2V5d29y
ZHM+PGRhdGVzPjx5ZWFyPjIwMTc8L3llYXI+PHB1Yi1kYXRlcz48ZGF0ZT5EZWM8L2RhdGU+PC9w
dWItZGF0ZXM+PC9kYXRlcz48aXNibj4wODg3LTIzMzM8L2lzYm4+PGFjY2Vzc2lvbi1udW0+Mjgw
NjU3OTA8L2FjY2Vzc2lvbi1udW0+PHVybHM+PHJlbGF0ZWQtdXJscz48dXJsPmh0dHBzOi8vd3d3
LnNjaWVuY2VkaXJlY3QuY29tL3NjaWVuY2UvYXJ0aWNsZS9waWkvUzA4ODcyMzMzMTYzMDI3MTU/
dmlhJTNEaWh1YjwvdXJsPjwvcmVsYXRlZC11cmxzPjwvdXJscz48ZWxlY3Ryb25pYy1yZXNvdXJj
ZS1udW0+MTAuMTAxNi9qLnRpdi4yMDE2LjEyLjAxNTwvZWxlY3Ryb25pYy1yZXNvdXJjZS1udW0+
PHJlbW90ZS1kYXRhYmFzZS1wcm92aWRlcj5OTE08L3JlbW90ZS1kYXRhYmFzZS1wcm92aWRlcj48
bGFuZ3VhZ2U+ZW5nPC9sYW5ndWFnZT48L3JlY29yZD48L0NpdGU+PC9FbmROb3RlPgB=
</w:fldData>
            </w:fldChar>
          </w:r>
          <w:r w:rsidRPr="001C3631">
            <w:rPr>
              <w:rStyle w:val="BodyTextChar"/>
            </w:rPr>
            <w:instrText xml:space="preserve"> ADDIN EN.CITE </w:instrText>
          </w:r>
          <w:r w:rsidRPr="001C3631">
            <w:rPr>
              <w:rStyle w:val="BodyTextChar"/>
            </w:rPr>
            <w:fldChar w:fldCharType="begin">
              <w:fldData xml:space="preserve">PEVuZE5vdGU+PENpdGU+PEF1dGhvcj5BbnRoZXJpZXU8L0F1dGhvcj48WWVhcj4yMDE3PC9ZZWFy
PjxSZWNOdW0+MTM5NTwvUmVjTnVtPjxEaXNwbGF5VGV4dD4oQW50aGVyaWV1LCBHYXJhdCBldCBh
bC4gMjAxNyk8L0Rpc3BsYXlUZXh0PjxyZWNvcmQ+PHJlYy1udW1iZXI+MTM5NTwvcmVjLW51bWJl
cj48Zm9yZWlnbi1rZXlzPjxrZXkgYXBwPSJFTiIgZGItaWQ9Ijl6MDVkejBwcmFhZGZ1ZWUwem94
emVkazl6ZmU1Znh4NTB6NSIgdGltZXN0YW1wPSIxNTIxNTA3MDY5Ij4xMzk1PC9rZXk+PGtleSBh
cHA9IkVOV2ViIiBkYi1pZD0iIj4wPC9rZXk+PC9mb3JlaWduLWtleXM+PHJlZi10eXBlIG5hbWU9
IkpvdXJuYWwgQXJ0aWNsZSI+MTc8L3JlZi10eXBlPjxjb250cmlidXRvcnM+PGF1dGhvcnM+PGF1
dGhvcj5BbnRoZXJpZXUsIFMuPC9hdXRob3I+PGF1dGhvcj5HYXJhdCwgQS48L2F1dGhvcj48YXV0
aG9yPkJlYXV2YWwsIE4uPC9hdXRob3I+PGF1dGhvcj5Tb3lleiwgTS48L2F1dGhvcj48YXV0aG9y
PkFsbG9yZ2UsIEQuPC9hdXRob3I+PGF1dGhvcj5HYXJjb24sIEcuPC9hdXRob3I+PGF1dGhvcj5M
by1HdWlkaWNlLCBKLiBNLjwvYXV0aG9yPjwvYXV0aG9ycz48L2NvbnRyaWJ1dG9ycz48YXV0aC1h
ZGRyZXNzPlVuaXYuIExpbGxlLCBDSFUgTGlsbGUsIEluc3RpdHV0IFBhc3RldXIgZGUgTGlsbGUs
IEVBIDQ0ODMsIElNUEVDUyAtIElNUGFjdCBvZiBFbnZpcm9ubWVudGFsIENoZW1pY2FsUyBvbiBo
dW1hbiBoZWFsdGgsIEYtNTkwMDAgTGlsbGUsIEZyYW5jZS4gRWxlY3Ryb25pYyBhZGRyZXNzOiBz
ZWJhc3RpZW4uYW50aGVyaWV1QHVuaXYtbGlsbGUyLmZyLiYjeEQ7VW5pdi4gTGlsbGUsIENIVSBM
aWxsZSwgSW5zdGl0dXQgUGFzdGV1ciBkZSBMaWxsZSwgRUEgNDQ4MywgSU1QRUNTIC0gSU1QYWN0
IG9mIEVudmlyb25tZW50YWwgQ2hlbWljYWxTIG9uIGh1bWFuIGhlYWx0aCwgRi01OTAwMCBMaWxs
ZSwgRnJhbmNlLiYjeEQ7VW5pdi4gTGlsbGUsIENIVSBMaWxsZSwgSW5zdGl0dXQgUGFzdGV1ciBk
ZSBMaWxsZSwgRUEgNDQ4MywgSU1QRUNTIC0gSU1QYWN0IG9mIEVudmlyb25tZW50YWwgQ2hlbWlj
YWxTIG9uIGh1bWFuIGhlYWx0aCwgRi01OTAwMCBMaWxsZSwgRnJhbmNlOyBNaW5lcyBEb3VhaSwg
U0FHRSwgRi01OTUwOCBEb3VhaSwgRnJhbmNlLjwvYXV0aC1hZGRyZXNzPjx0aXRsZXM+PHRpdGxl
PkNvbXBhcmlzb24gb2YgY2VsbHVsYXIgYW5kIHRyYW5zY3JpcHRvbWljIGVmZmVjdHMgYmV0d2Vl
biBlbGVjdHJvbmljIGNpZ2FyZXR0ZSB2YXBvciBhbmQgY2lnYXJldHRlIHNtb2tlIGluIGh1bWFu
IGJyb25jaGlhbCBlcGl0aGVsaWFsIGNlbGxzPC90aXRsZT48c2Vjb25kYXJ5LXRpdGxlPlRveGlj
b2wgSW4gVml0cm88L3NlY29uZGFyeS10aXRsZT48YWx0LXRpdGxlPlRveGljb2xvZ3kgaW4gdml0
cm8gOiBhbiBpbnRlcm5hdGlvbmFsIGpvdXJuYWwgcHVibGlzaGVkIGluIGFzc29jaWF0aW9uIHdp
dGggQklCUkE8L2FsdC10aXRsZT48L3RpdGxlcz48cGVyaW9kaWNhbD48ZnVsbC10aXRsZT5Ub3hp
Y29sIEluIFZpdHJvPC9mdWxsLXRpdGxlPjxhYmJyLTE+VG94aWNvbG9neSBpbiB2aXRybyA6IGFu
IGludGVybmF0aW9uYWwgam91cm5hbCBwdWJsaXNoZWQgaW4gYXNzb2NpYXRpb24gd2l0aCBCSUJS
QTwvYWJici0xPjwvcGVyaW9kaWNhbD48YWx0LXBlcmlvZGljYWw+PGZ1bGwtdGl0bGU+VG94aWNv
bCBJbiBWaXRybzwvZnVsbC10aXRsZT48YWJici0xPlRveGljb2xvZ3kgaW4gdml0cm8gOiBhbiBp
bnRlcm5hdGlvbmFsIGpvdXJuYWwgcHVibGlzaGVkIGluIGFzc29jaWF0aW9uIHdpdGggQklCUkE8
L2FiYnItMT48L2FsdC1wZXJpb2RpY2FsPjxwYWdlcz40MTctNDI1PC9wYWdlcz48dm9sdW1lPjQ1
PC92b2x1bWU+PG51bWJlcj5QdCAzPC9udW1iZXI+PGVkaXRpb24+MjAxNy8wMS8xMDwvZWRpdGlv
bj48a2V5d29yZHM+PGtleXdvcmQ+QkVBUy0yQiBjZWxsIGxpbmU8L2tleXdvcmQ+PGtleXdvcmQ+
RS1jaWdhcmV0dGU8L2tleXdvcmQ+PGtleXdvcmQ+VG94aWNpdHk8L2tleXdvcmQ+PGtleXdvcmQ+
VHJhbnNjcmlwdG9taWM8L2tleXdvcmQ+PGtleXdvcmQ+VmFwb3JzPC9rZXl3b3JkPjwva2V5d29y
ZHM+PGRhdGVzPjx5ZWFyPjIwMTc8L3llYXI+PHB1Yi1kYXRlcz48ZGF0ZT5EZWM8L2RhdGU+PC9w
dWItZGF0ZXM+PC9kYXRlcz48aXNibj4wODg3LTIzMzM8L2lzYm4+PGFjY2Vzc2lvbi1udW0+Mjgw
NjU3OTA8L2FjY2Vzc2lvbi1udW0+PHVybHM+PHJlbGF0ZWQtdXJscz48dXJsPmh0dHBzOi8vd3d3
LnNjaWVuY2VkaXJlY3QuY29tL3NjaWVuY2UvYXJ0aWNsZS9waWkvUzA4ODcyMzMzMTYzMDI3MTU/
dmlhJTNEaWh1YjwvdXJsPjwvcmVsYXRlZC11cmxzPjwvdXJscz48ZWxlY3Ryb25pYy1yZXNvdXJj
ZS1udW0+MTAuMTAxNi9qLnRpdi4yMDE2LjEyLjAxNTwvZWxlY3Ryb25pYy1yZXNvdXJjZS1udW0+
PHJlbW90ZS1kYXRhYmFzZS1wcm92aWRlcj5OTE08L3JlbW90ZS1kYXRhYmFzZS1wcm92aWRlcj48
bGFuZ3VhZ2U+ZW5nPC9sYW5ndWFnZT48L3JlY29yZD48L0NpdGU+PC9FbmROb3RlPgB=
</w:fldData>
            </w:fldChar>
          </w:r>
          <w:r w:rsidRPr="001C3631">
            <w:rPr>
              <w:rStyle w:val="BodyTextChar"/>
            </w:rPr>
            <w:instrText xml:space="preserve"> ADDIN EN.CITE.DATA </w:instrText>
          </w:r>
          <w:r w:rsidRPr="001C3631">
            <w:rPr>
              <w:rStyle w:val="BodyTextChar"/>
            </w:rPr>
          </w:r>
          <w:r w:rsidRPr="001C3631">
            <w:rPr>
              <w:rStyle w:val="BodyTextChar"/>
            </w:rPr>
            <w:fldChar w:fldCharType="end"/>
          </w:r>
          <w:r w:rsidRPr="001C3631">
            <w:rPr>
              <w:rStyle w:val="BodyTextChar"/>
            </w:rPr>
          </w:r>
          <w:r w:rsidRPr="001C3631">
            <w:rPr>
              <w:rStyle w:val="BodyTextChar"/>
            </w:rPr>
            <w:fldChar w:fldCharType="separate"/>
          </w:r>
          <w:r w:rsidRPr="001C3631">
            <w:rPr>
              <w:rStyle w:val="BodyTextChar"/>
            </w:rPr>
            <w:t>(Antherieu, Garat et al. 2017)</w:t>
          </w:r>
          <w:r w:rsidRPr="001C3631">
            <w:rPr>
              <w:rStyle w:val="BodyTextChar"/>
            </w:rPr>
            <w:fldChar w:fldCharType="end"/>
          </w:r>
          <w:r w:rsidRPr="001C3631">
            <w:rPr>
              <w:rStyle w:val="BodyTextChar"/>
            </w:rPr>
            <w:t xml:space="preserve">. Similarly, aqueous extracts of e-cigarette vapour were not toxic for fibroblast cells (even when tested undiluted), but aqueous extracts of cigarette smoke led to toxicity at concentrations &gt;15% </w:t>
          </w:r>
          <w:r w:rsidRPr="001C3631">
            <w:rPr>
              <w:rStyle w:val="BodyTextChar"/>
            </w:rPr>
            <w:fldChar w:fldCharType="begin"/>
          </w:r>
          <w:r w:rsidRPr="001C3631">
            <w:rPr>
              <w:rStyle w:val="BodyTextChar"/>
            </w:rPr>
            <w:instrText xml:space="preserve"> ADDIN EN.CITE &lt;EndNote&gt;&lt;Cite&gt;&lt;Author&gt;Breheny&lt;/Author&gt;&lt;Year&gt;2017&lt;/Year&gt;&lt;RecNum&gt;473&lt;/RecNum&gt;&lt;DisplayText&gt;(Breheny, Oke et al. 2017)&lt;/DisplayText&gt;&lt;record&gt;&lt;rec-number&gt;473&lt;/rec-number&gt;&lt;foreign-keys&gt;&lt;key app="EN" db-id="9z05dz0praadfuee0zoxzedk9zfe5fxx50z5" timestamp="1521506831"&gt;473&lt;/key&gt;&lt;key app="ENWeb" db-id=""&gt;0&lt;/key&gt;&lt;/foreign-keys&gt;&lt;ref-type name="Journal Article"&gt;17&lt;/ref-type&gt;&lt;contributors&gt;&lt;authors&gt;&lt;author&gt;Breheny, D.&lt;/author&gt;&lt;author&gt;Oke, O.&lt;/author&gt;&lt;author&gt;Pant, K.&lt;/author&gt;&lt;author&gt;Gaca, M.&lt;/author&gt;&lt;/authors&gt;&lt;/contributors&gt;&lt;titles&gt;&lt;title&gt;Comparative Tumor Promotion Assessment of e-Cigarette and Cigarettes Using the In Vitro Bhas 42 Cell Transformation Assay&lt;/title&gt;&lt;secondary-title&gt;Environmental and Molecular Mutagenesis&lt;/secondary-title&gt;&lt;/titles&gt;&lt;periodical&gt;&lt;full-title&gt;Environmental and Molecular Mutagenesis&lt;/full-title&gt;&lt;/periodical&gt;&lt;pages&gt;190-198&lt;/pages&gt;&lt;volume&gt;58&lt;/volume&gt;&lt;number&gt;4&lt;/number&gt;&lt;dates&gt;&lt;year&gt;2017&lt;/year&gt;&lt;pub-dates&gt;&lt;date&gt;May&lt;/date&gt;&lt;/pub-dates&gt;&lt;/dates&gt;&lt;isbn&gt;0893-6692&lt;/isbn&gt;&lt;accession-num&gt;WOS:000402176100002&lt;/accession-num&gt;&lt;urls&gt;&lt;related-urls&gt;&lt;url&gt;&amp;lt;Go to ISI&amp;gt;://WOS:000402176100002&lt;/url&gt;&lt;url&gt;https://www.ncbi.nlm.nih.gov/pmc/articles/PMC5435921/pdf/EM-58-190.pdf&lt;/url&gt;&lt;/related-urls&gt;&lt;/urls&gt;&lt;electronic-resource-num&gt;10.1002/em.22091&lt;/electronic-resource-num&gt;&lt;/record&gt;&lt;/Cite&gt;&lt;/EndNote&gt;</w:instrText>
          </w:r>
          <w:r w:rsidRPr="001C3631">
            <w:rPr>
              <w:rStyle w:val="BodyTextChar"/>
            </w:rPr>
            <w:fldChar w:fldCharType="separate"/>
          </w:r>
          <w:r w:rsidRPr="001C3631">
            <w:rPr>
              <w:rStyle w:val="BodyTextChar"/>
            </w:rPr>
            <w:t>(Breheny, Oke et al. 2017)</w:t>
          </w:r>
          <w:r w:rsidRPr="001C3631">
            <w:rPr>
              <w:rStyle w:val="BodyTextChar"/>
            </w:rPr>
            <w:fldChar w:fldCharType="end"/>
          </w:r>
          <w:r w:rsidRPr="001C3631">
            <w:rPr>
              <w:rStyle w:val="BodyTextChar"/>
            </w:rPr>
            <w:t xml:space="preserve">. While e-cigarette extracts also decreased cell viability, the amount of reduction varied for different cell types (bronchial epithelial, fibroblast and macrophage cells) </w:t>
          </w:r>
          <w:r w:rsidRPr="001C3631">
            <w:rPr>
              <w:rStyle w:val="BodyTextChar"/>
            </w:rPr>
            <w:fldChar w:fldCharType="begin">
              <w:fldData xml:space="preserve">PEVuZE5vdGU+PENpdGU+PEF1dGhvcj5MZXNsaWU8L0F1dGhvcj48WWVhcj4yMDE3PC9ZZWFyPjxS
ZWNOdW0+MTE3MjwvUmVjTnVtPjxEaXNwbGF5VGV4dD4oTGVzbGllLCBWYXNhbnRoaSBCYXRocmlu
YXJheWFuYW4gZXQgYWwuIDIwMTcpPC9EaXNwbGF5VGV4dD48cmVjb3JkPjxyZWMtbnVtYmVyPjEx
NzI8L3JlYy1udW1iZXI+PGZvcmVpZ24ta2V5cz48a2V5IGFwcD0iRU4iIGRiLWlkPSI5ejA1ZHow
cHJhYWRmdWVlMHpveHplZGs5emZlNWZ4eDUwejUiIHRpbWVzdGFtcD0iMTUyMTUwNzAxNyI+MTE3
Mjwva2V5PjxrZXkgYXBwPSJFTldlYiIgZGItaWQ9IiI+MDwva2V5PjwvZm9yZWlnbi1rZXlzPjxy
ZWYtdHlwZSBuYW1lPSJKb3VybmFsIEFydGljbGUiPjE3PC9yZWYtdHlwZT48Y29udHJpYnV0b3Jz
PjxhdXRob3JzPjxhdXRob3I+TGVzbGllLCBMLiBKLjwvYXV0aG9yPjxhdXRob3I+VmFzYW50aGkg
QmF0aHJpbmFyYXlhbmFuLCBQLjwvYXV0aG9yPjxhdXRob3I+SmFja3NvbiwgUC48L2F1dGhvcj48
YXV0aG9yPk1hYmlhbGEgTWEgTXVhbmRhLCBKLiBBLjwvYXV0aG9yPjxhdXRob3I+UGFsbGV0dCwg
Ui48L2F1dGhvcj48YXV0aG9yPlN0aWxsbWFuLCBDLiBKLiBQLjwvYXV0aG9yPjxhdXRob3I+TWFy
c2hhbGwsIEwuIEouPC9hdXRob3I+PC9hdXRob3JzPjwvY29udHJpYnV0b3JzPjxhdXRoLWFkZHJl
c3M+YSBTY2hvb2wgb2YgRW5naW5lZXJpbmcgYW5kIEFwcGxpZWQgU2NpZW5jZSAsIEFzdG9uIFVu
aXZlcnNpdHkgLCBCaXJtaW5naGFtICwgVUsuJiN4RDtiIFNjaG9vbCBvZiBMaWZlIGFuZCBIZWFs
dGggU2NpZW5jZXMgLCBBc3RvbiBVbml2ZXJzaXR5ICwgQmlybWluZ2hhbSAsIFVLLjwvYXV0aC1h
ZGRyZXNzPjx0aXRsZXM+PHRpdGxlPkEgY29tcGFyYXRpdmUgc3R1ZHkgb2YgZWxlY3Ryb25pYyBj
aWdhcmV0dGUgdmFwb3IgZXh0cmFjdHMgb24gYWlyd2F5LXJlbGF0ZWQgY2VsbCBsaW5lcyBpbiB2
aXRybzwvdGl0bGU+PHNlY29uZGFyeS10aXRsZT5JbmhhbCBUb3hpY29sPC9zZWNvbmRhcnktdGl0
bGU+PGFsdC10aXRsZT5JbmhhbGF0aW9uIHRveGljb2xvZ3k8L2FsdC10aXRsZT48L3RpdGxlcz48
cGVyaW9kaWNhbD48ZnVsbC10aXRsZT5JbmhhbCBUb3hpY29sPC9mdWxsLXRpdGxlPjxhYmJyLTE+
SW5oYWxhdGlvbiB0b3hpY29sb2d5PC9hYmJyLTE+PC9wZXJpb2RpY2FsPjxhbHQtcGVyaW9kaWNh
bD48ZnVsbC10aXRsZT5JbmhhbCBUb3hpY29sPC9mdWxsLXRpdGxlPjxhYmJyLTE+SW5oYWxhdGlv
biB0b3hpY29sb2d5PC9hYmJyLTE+PC9hbHQtcGVyaW9kaWNhbD48cGFnZXM+MTI2LTEzNjwvcGFn
ZXM+PHZvbHVtZT4yOTwvdm9sdW1lPjxudW1iZXI+MzwvbnVtYmVyPjxlZGl0aW9uPjIwMTcvMDUv
MDU8L2VkaXRpb24+PGtleXdvcmRzPjxrZXl3b3JkPkJyb25jaGkvY3l0b2xvZ3k8L2tleXdvcmQ+
PGtleXdvcmQ+Q2VsbCBMaW5lPC9rZXl3b3JkPjxrZXl3b3JkPkNlbGwgU3Vydml2YWwvZHJ1ZyBl
ZmZlY3RzPC9rZXl3b3JkPjxrZXl3b3JkPkNvbXBsZXggTWl4dHVyZXMvKnRveGljaXR5PC9rZXl3
b3JkPjxrZXl3b3JkPipFbGVjdHJvbmljIE5pY290aW5lIERlbGl2ZXJ5IFN5c3RlbXM8L2tleXdv
cmQ+PGtleXdvcmQ+Rmxhdm9yaW5nIEFnZW50cy8qdG94aWNpdHk8L2tleXdvcmQ+PGtleXdvcmQ+
SHVtYW5zPC9rZXl3b3JkPjxrZXl3b3JkPk1hY3JvcGhhZ2VzL2RydWcgZWZmZWN0czwva2V5d29y
ZD48a2V5d29yZD5OaWNvdGluZS90b3hpY2l0eTwva2V5d29yZD48a2V5d29yZD4qU21va2U8L2tl
eXdvcmQ+PGtleXdvcmQ+VG9iYWNjbzwva2V5d29yZD48a2V5d29yZD4qRWxlY3Ryb25pYyBjaWdh
cmV0dGVzPC9rZXl3b3JkPjxrZXl3b3JkPiphaXJ3YXlzPC9rZXl3b3JkPjxrZXl3b3JkPipjeXRv
dG94aWNpdHk8L2tleXdvcmQ+PGtleXdvcmQ+KmVwaXRoZWxpYWxzPC9rZXl3b3JkPjxrZXl3b3Jk
PippbiB2aXRybyBtb2RlbHM8L2tleXdvcmQ+PC9rZXl3b3Jkcz48ZGF0ZXM+PHllYXI+MjAxNzwv
eWVhcj48cHViLWRhdGVzPjxkYXRlPkZlYjwvZGF0ZT48L3B1Yi1kYXRlcz48L2RhdGVzPjxpc2Ju
PjA4OTUtODM3ODwvaXNibj48YWNjZXNzaW9uLW51bT4yODQ3MDE0MTwvYWNjZXNzaW9uLW51bT48
dXJscz48cmVsYXRlZC11cmxzPjx1cmw+aHR0cHM6Ly93d3cudGFuZGZvbmxpbmUuY29tL2RvaS9w
ZGYvMTAuMTA4MC8wODk1ODM3OC4yMDE3LjEzMTgxOTM/bmVlZEFjY2Vzcz10cnVlPC91cmw+PC9y
ZWxhdGVkLXVybHM+PC91cmxzPjxlbGVjdHJvbmljLXJlc291cmNlLW51bT4xMC4xMDgwLzA4OTU4
Mzc4LjIwMTcuMTMxODE5MzwvZWxlY3Ryb25pYy1yZXNvdXJjZS1udW0+PHJlbW90ZS1kYXRhYmFz
ZS1wcm92aWRlcj5OTE08L3JlbW90ZS1kYXRhYmFzZS1wcm92aWRlcj48bGFuZ3VhZ2U+ZW5nPC9s
YW5ndWFnZT48L3JlY29yZD48L0NpdGU+PC9FbmROb3RlPn==
</w:fldData>
            </w:fldChar>
          </w:r>
          <w:r w:rsidRPr="001C3631">
            <w:rPr>
              <w:rStyle w:val="BodyTextChar"/>
            </w:rPr>
            <w:instrText xml:space="preserve"> ADDIN EN.CITE </w:instrText>
          </w:r>
          <w:r w:rsidRPr="001C3631">
            <w:rPr>
              <w:rStyle w:val="BodyTextChar"/>
            </w:rPr>
            <w:fldChar w:fldCharType="begin">
              <w:fldData xml:space="preserve">PEVuZE5vdGU+PENpdGU+PEF1dGhvcj5MZXNsaWU8L0F1dGhvcj48WWVhcj4yMDE3PC9ZZWFyPjxS
ZWNOdW0+MTE3MjwvUmVjTnVtPjxEaXNwbGF5VGV4dD4oTGVzbGllLCBWYXNhbnRoaSBCYXRocmlu
YXJheWFuYW4gZXQgYWwuIDIwMTcpPC9EaXNwbGF5VGV4dD48cmVjb3JkPjxyZWMtbnVtYmVyPjEx
NzI8L3JlYy1udW1iZXI+PGZvcmVpZ24ta2V5cz48a2V5IGFwcD0iRU4iIGRiLWlkPSI5ejA1ZHow
cHJhYWRmdWVlMHpveHplZGs5emZlNWZ4eDUwejUiIHRpbWVzdGFtcD0iMTUyMTUwNzAxNyI+MTE3
Mjwva2V5PjxrZXkgYXBwPSJFTldlYiIgZGItaWQ9IiI+MDwva2V5PjwvZm9yZWlnbi1rZXlzPjxy
ZWYtdHlwZSBuYW1lPSJKb3VybmFsIEFydGljbGUiPjE3PC9yZWYtdHlwZT48Y29udHJpYnV0b3Jz
PjxhdXRob3JzPjxhdXRob3I+TGVzbGllLCBMLiBKLjwvYXV0aG9yPjxhdXRob3I+VmFzYW50aGkg
QmF0aHJpbmFyYXlhbmFuLCBQLjwvYXV0aG9yPjxhdXRob3I+SmFja3NvbiwgUC48L2F1dGhvcj48
YXV0aG9yPk1hYmlhbGEgTWEgTXVhbmRhLCBKLiBBLjwvYXV0aG9yPjxhdXRob3I+UGFsbGV0dCwg
Ui48L2F1dGhvcj48YXV0aG9yPlN0aWxsbWFuLCBDLiBKLiBQLjwvYXV0aG9yPjxhdXRob3I+TWFy
c2hhbGwsIEwuIEouPC9hdXRob3I+PC9hdXRob3JzPjwvY29udHJpYnV0b3JzPjxhdXRoLWFkZHJl
c3M+YSBTY2hvb2wgb2YgRW5naW5lZXJpbmcgYW5kIEFwcGxpZWQgU2NpZW5jZSAsIEFzdG9uIFVu
aXZlcnNpdHkgLCBCaXJtaW5naGFtICwgVUsuJiN4RDtiIFNjaG9vbCBvZiBMaWZlIGFuZCBIZWFs
dGggU2NpZW5jZXMgLCBBc3RvbiBVbml2ZXJzaXR5ICwgQmlybWluZ2hhbSAsIFVLLjwvYXV0aC1h
ZGRyZXNzPjx0aXRsZXM+PHRpdGxlPkEgY29tcGFyYXRpdmUgc3R1ZHkgb2YgZWxlY3Ryb25pYyBj
aWdhcmV0dGUgdmFwb3IgZXh0cmFjdHMgb24gYWlyd2F5LXJlbGF0ZWQgY2VsbCBsaW5lcyBpbiB2
aXRybzwvdGl0bGU+PHNlY29uZGFyeS10aXRsZT5JbmhhbCBUb3hpY29sPC9zZWNvbmRhcnktdGl0
bGU+PGFsdC10aXRsZT5JbmhhbGF0aW9uIHRveGljb2xvZ3k8L2FsdC10aXRsZT48L3RpdGxlcz48
cGVyaW9kaWNhbD48ZnVsbC10aXRsZT5JbmhhbCBUb3hpY29sPC9mdWxsLXRpdGxlPjxhYmJyLTE+
SW5oYWxhdGlvbiB0b3hpY29sb2d5PC9hYmJyLTE+PC9wZXJpb2RpY2FsPjxhbHQtcGVyaW9kaWNh
bD48ZnVsbC10aXRsZT5JbmhhbCBUb3hpY29sPC9mdWxsLXRpdGxlPjxhYmJyLTE+SW5oYWxhdGlv
biB0b3hpY29sb2d5PC9hYmJyLTE+PC9hbHQtcGVyaW9kaWNhbD48cGFnZXM+MTI2LTEzNjwvcGFn
ZXM+PHZvbHVtZT4yOTwvdm9sdW1lPjxudW1iZXI+MzwvbnVtYmVyPjxlZGl0aW9uPjIwMTcvMDUv
MDU8L2VkaXRpb24+PGtleXdvcmRzPjxrZXl3b3JkPkJyb25jaGkvY3l0b2xvZ3k8L2tleXdvcmQ+
PGtleXdvcmQ+Q2VsbCBMaW5lPC9rZXl3b3JkPjxrZXl3b3JkPkNlbGwgU3Vydml2YWwvZHJ1ZyBl
ZmZlY3RzPC9rZXl3b3JkPjxrZXl3b3JkPkNvbXBsZXggTWl4dHVyZXMvKnRveGljaXR5PC9rZXl3
b3JkPjxrZXl3b3JkPipFbGVjdHJvbmljIE5pY290aW5lIERlbGl2ZXJ5IFN5c3RlbXM8L2tleXdv
cmQ+PGtleXdvcmQ+Rmxhdm9yaW5nIEFnZW50cy8qdG94aWNpdHk8L2tleXdvcmQ+PGtleXdvcmQ+
SHVtYW5zPC9rZXl3b3JkPjxrZXl3b3JkPk1hY3JvcGhhZ2VzL2RydWcgZWZmZWN0czwva2V5d29y
ZD48a2V5d29yZD5OaWNvdGluZS90b3hpY2l0eTwva2V5d29yZD48a2V5d29yZD4qU21va2U8L2tl
eXdvcmQ+PGtleXdvcmQ+VG9iYWNjbzwva2V5d29yZD48a2V5d29yZD4qRWxlY3Ryb25pYyBjaWdh
cmV0dGVzPC9rZXl3b3JkPjxrZXl3b3JkPiphaXJ3YXlzPC9rZXl3b3JkPjxrZXl3b3JkPipjeXRv
dG94aWNpdHk8L2tleXdvcmQ+PGtleXdvcmQ+KmVwaXRoZWxpYWxzPC9rZXl3b3JkPjxrZXl3b3Jk
PippbiB2aXRybyBtb2RlbHM8L2tleXdvcmQ+PC9rZXl3b3Jkcz48ZGF0ZXM+PHllYXI+MjAxNzwv
eWVhcj48cHViLWRhdGVzPjxkYXRlPkZlYjwvZGF0ZT48L3B1Yi1kYXRlcz48L2RhdGVzPjxpc2Ju
PjA4OTUtODM3ODwvaXNibj48YWNjZXNzaW9uLW51bT4yODQ3MDE0MTwvYWNjZXNzaW9uLW51bT48
dXJscz48cmVsYXRlZC11cmxzPjx1cmw+aHR0cHM6Ly93d3cudGFuZGZvbmxpbmUuY29tL2RvaS9w
ZGYvMTAuMTA4MC8wODk1ODM3OC4yMDE3LjEzMTgxOTM/bmVlZEFjY2Vzcz10cnVlPC91cmw+PC9y
ZWxhdGVkLXVybHM+PC91cmxzPjxlbGVjdHJvbmljLXJlc291cmNlLW51bT4xMC4xMDgwLzA4OTU4
Mzc4LjIwMTcuMTMxODE5MzwvZWxlY3Ryb25pYy1yZXNvdXJjZS1udW0+PHJlbW90ZS1kYXRhYmFz
ZS1wcm92aWRlcj5OTE08L3JlbW90ZS1kYXRhYmFzZS1wcm92aWRlcj48bGFuZ3VhZ2U+ZW5nPC9s
YW5ndWFnZT48L3JlY29yZD48L0NpdGU+PC9FbmROb3RlPn==
</w:fldData>
            </w:fldChar>
          </w:r>
          <w:r w:rsidRPr="001C3631">
            <w:rPr>
              <w:rStyle w:val="BodyTextChar"/>
            </w:rPr>
            <w:instrText xml:space="preserve"> ADDIN EN.CITE.DATA </w:instrText>
          </w:r>
          <w:r w:rsidRPr="001C3631">
            <w:rPr>
              <w:rStyle w:val="BodyTextChar"/>
            </w:rPr>
          </w:r>
          <w:r w:rsidRPr="001C3631">
            <w:rPr>
              <w:rStyle w:val="BodyTextChar"/>
            </w:rPr>
            <w:fldChar w:fldCharType="end"/>
          </w:r>
          <w:r w:rsidRPr="001C3631">
            <w:rPr>
              <w:rStyle w:val="BodyTextChar"/>
            </w:rPr>
          </w:r>
          <w:r w:rsidRPr="001C3631">
            <w:rPr>
              <w:rStyle w:val="BodyTextChar"/>
            </w:rPr>
            <w:fldChar w:fldCharType="separate"/>
          </w:r>
          <w:r w:rsidRPr="001C3631">
            <w:rPr>
              <w:rStyle w:val="BodyTextChar"/>
            </w:rPr>
            <w:t>(Leslie, Vasanthi Bathrinarayanan et al. 2017)</w:t>
          </w:r>
          <w:r w:rsidRPr="001C3631">
            <w:rPr>
              <w:rStyle w:val="BodyTextChar"/>
            </w:rPr>
            <w:fldChar w:fldCharType="end"/>
          </w:r>
          <w:r w:rsidRPr="001C3631">
            <w:rPr>
              <w:rStyle w:val="BodyTextChar"/>
            </w:rPr>
            <w:t xml:space="preserve">. </w:t>
          </w:r>
        </w:p>
        <w:p w14:paraId="2D2D5587" w14:textId="77777777" w:rsidR="00A74D41" w:rsidRDefault="00A74D41" w:rsidP="00A74D41">
          <w:pPr>
            <w:pStyle w:val="BodyText"/>
            <w:rPr>
              <w:rStyle w:val="BodyTextChar"/>
            </w:rPr>
          </w:pPr>
          <w:r w:rsidRPr="001C3631">
            <w:rPr>
              <w:rStyle w:val="BodyTextChar"/>
            </w:rPr>
            <w:t xml:space="preserve">Another study found that cell viability was higher in human lung carcinoma cells after exposure to e-cigarette vapour compared with cigarette smoke </w:t>
          </w:r>
          <w:r w:rsidRPr="001C3631">
            <w:rPr>
              <w:rStyle w:val="BodyTextChar"/>
            </w:rPr>
            <w:fldChar w:fldCharType="begin"/>
          </w:r>
          <w:r>
            <w:rPr>
              <w:rStyle w:val="BodyTextChar"/>
            </w:rPr>
            <w:instrText xml:space="preserve"> ADDIN EN.CITE &lt;EndNote&gt;&lt;Cite&gt;&lt;Author&gt;Otreba&lt;/Author&gt;&lt;Year&gt;2018&lt;/Year&gt;&lt;RecNum&gt;10450&lt;/RecNum&gt;&lt;DisplayText&gt;(Otreba, Kosmider et al. 2018)&lt;/DisplayText&gt;&lt;record&gt;&lt;rec-number&gt;10450&lt;/rec-number&gt;&lt;foreign-keys&gt;&lt;key app="EN" db-id="9z05dz0praadfuee0zoxzedk9zfe5fxx50z5" timestamp="1526869878"&gt;10450&lt;/key&gt;&lt;key app="ENWeb" db-id=""&gt;0&lt;/key&gt;&lt;/foreign-keys&gt;&lt;ref-type name="Journal Article"&gt;17&lt;/ref-type&gt;&lt;contributors&gt;&lt;authors&gt;&lt;author&gt;Otreba, Michal&lt;/author&gt;&lt;author&gt;Kosmider, Leon&lt;/author&gt;&lt;author&gt;Knysak, Jakub&lt;/author&gt;&lt;author&gt;Warncke, Jared D.&lt;/author&gt;&lt;author&gt;Sobczak, Andrzej&lt;/author&gt;&lt;/authors&gt;&lt;/contributors&gt;&lt;titles&gt;&lt;title&gt;E-cigarettes: voltage- and concentration-dependent loss in human lung adenocarcinoma viability&lt;/title&gt;&lt;secondary-title&gt;Journal of applied toxicology : JAT&lt;/secondary-title&gt;&lt;/titles&gt;&lt;periodical&gt;&lt;full-title&gt;Journal of applied toxicology : JAT&lt;/full-title&gt;&lt;/periodical&gt;&lt;dates&gt;&lt;year&gt;2018&lt;/year&gt;&lt;pub-dates&gt;&lt;date&gt;2018-Apr-17&lt;/date&gt;&lt;/pub-dates&gt;&lt;/dates&gt;&lt;accession-num&gt;MEDLINE:29665082&lt;/accession-num&gt;&lt;urls&gt;&lt;related-urls&gt;&lt;url&gt;&amp;lt;Go to ISI&amp;gt;://MEDLINE:29665082&lt;/url&gt;&lt;url&gt;https://onlinelibrary.wiley.com/doi/pdf/10.1002/jat.3625&lt;/url&gt;&lt;/related-urls&gt;&lt;/urls&gt;&lt;electronic-resource-num&gt;10.1002/jat.3625&lt;/electronic-resource-num&gt;&lt;/record&gt;&lt;/Cite&gt;&lt;/EndNote&gt;</w:instrText>
          </w:r>
          <w:r w:rsidRPr="001C3631">
            <w:rPr>
              <w:rStyle w:val="BodyTextChar"/>
            </w:rPr>
            <w:fldChar w:fldCharType="separate"/>
          </w:r>
          <w:r w:rsidRPr="001C3631">
            <w:rPr>
              <w:rStyle w:val="BodyTextChar"/>
              <w:noProof/>
            </w:rPr>
            <w:t>(Otreba, Kosmider et al. 2018)</w:t>
          </w:r>
          <w:r w:rsidRPr="001C3631">
            <w:rPr>
              <w:rStyle w:val="BodyTextChar"/>
            </w:rPr>
            <w:fldChar w:fldCharType="end"/>
          </w:r>
          <w:r w:rsidRPr="001C3631">
            <w:rPr>
              <w:rStyle w:val="BodyTextChar"/>
            </w:rPr>
            <w:t xml:space="preserve">. However, other studies have found that e-cigarettes elicited similar toxic responses to cigarettes. Barber et al. found that endothelial cell viability was decreased after exposure to both e-cigarette vapour extract and tobacco smoke extract </w:t>
          </w:r>
          <w:r w:rsidRPr="001C3631">
            <w:rPr>
              <w:rStyle w:val="BodyTextChar"/>
            </w:rPr>
            <w:fldChar w:fldCharType="begin">
              <w:fldData xml:space="preserve">PEVuZE5vdGU+PENpdGU+PEF1dGhvcj5CYXJiZXI8L0F1dGhvcj48WWVhcj4yMDE3PC9ZZWFyPjxS
ZWNOdW0+MTYyNjwvUmVjTnVtPjxEaXNwbGF5VGV4dD4oQmFyYmVyLCBHaGVicmVoaXdldCBldCBh
bC4gMjAxNyk8L0Rpc3BsYXlUZXh0PjxyZWNvcmQ+PHJlYy1udW1iZXI+MTYyNjwvcmVjLW51bWJl
cj48Zm9yZWlnbi1rZXlzPjxrZXkgYXBwPSJFTiIgZGItaWQ9Ijl6MDVkejBwcmFhZGZ1ZWUwem94
emVkazl6ZmU1Znh4NTB6NSIgdGltZXN0YW1wPSIxNTIxNTA3MTI4Ij4xNjI2PC9rZXk+PGtleSBh
cHA9IkVOV2ViIiBkYi1pZD0iIj4wPC9rZXk+PC9mb3JlaWduLWtleXM+PHJlZi10eXBlIG5hbWU9
IkpvdXJuYWwgQXJ0aWNsZSI+MTc8L3JlZi10eXBlPjxjb250cmlidXRvcnM+PGF1dGhvcnM+PGF1
dGhvcj5CYXJiZXIsIEsuIEUuPC9hdXRob3I+PGF1dGhvcj5HaGVicmVoaXdldCwgQi48L2F1dGhv
cj48YXV0aG9yPllpbiwgVy48L2F1dGhvcj48YXV0aG9yPlJ1YmVuc3RlaW4sIEQuIEEuPC9hdXRo
b3I+PC9hdXRob3JzPjwvY29udHJpYnV0b3JzPjx0aXRsZXM+PHRpdGxlPkVuZG90aGVsaWFsIENl
bGwgSW5mbGFtbWF0b3J5IFJlYWN0aW9ucyBBcmUgQWx0ZXJlZCBpbiB0aGUgUHJlc2VuY2Ugb2Yg
RS1DaWdhcmV0dGUgRXh0cmFjdHMgb2YgVmFyaWFibGUgTmljb3RpbmU8L3RpdGxlPjxzZWNvbmRh
cnktdGl0bGU+Q2VsbHVsYXIgYW5kIE1vbGVjdWxhciBCaW9lbmdpbmVlcmluZzwvc2Vjb25kYXJ5
LXRpdGxlPjwvdGl0bGVzPjxwZXJpb2RpY2FsPjxmdWxsLXRpdGxlPkNlbGx1bGFyIGFuZCBNb2xl
Y3VsYXIgQmlvZW5naW5lZXJpbmc8L2Z1bGwtdGl0bGU+PC9wZXJpb2RpY2FsPjxwYWdlcz4xMjQt
MTMzPC9wYWdlcz48dm9sdW1lPjEwPC92b2x1bWU+PG51bWJlcj4xPC9udW1iZXI+PGtleXdvcmRz
PjxrZXl3b3JkPmNvbXBsZW1lbnQgY29tcG9uZW50IEMxcTwva2V5d29yZD48a2V5d29yZD5uaWNv
dGluZTwva2V5d29yZD48a2V5d29yZD50b2JhY2NvIHNtb2tlPC9rZXl3b3JkPjxrZXl3b3JkPkFy
dGljbGU8L2tleXdvcmQ+PGtleXdvcmQ+Y2FyZGlvdmFzY3VsYXIgZGlzZWFzZTwva2V5d29yZD48
a2V5d29yZD5jZWxsIGRlbnNpdHk8L2tleXdvcmQ+PGtleXdvcmQ+Y2VsbCBwcm9saWZlcmF0aW9u
PC9rZXl3b3JkPjxrZXl3b3JkPmNlbGwgdmlhYmlsaXR5PC9rZXl3b3JkPjxrZXl3b3JkPmNvbXBs
ZW1lbnQgYWN0aXZhdGlvbjwva2V5d29yZD48a2V5d29yZD5jb21wbGVtZW50IGRlcG9zaXRpb248
L2tleXdvcmQ+PGtleXdvcmQ+Y29udHJvbGxlZCBzdHVkeTwva2V5d29yZD48a2V5d29yZD5lbGVj
dHJvbmljIGNpZ2FyZXR0ZTwva2V5d29yZD48a2V5d29yZD5lbmRvdGhlbGl1bSBjZWxsPC9rZXl3
b3JkPjxrZXl3b3JkPmh1bWFuPC9rZXl3b3JkPjxrZXl3b3JkPmh1bWFuIGNlbGw8L2tleXdvcmQ+
PGtleXdvcmQ+aW5mbGFtbWF0aW9uPC9rZXl3b3JkPjxrZXl3b3JkPm1ldGFib2xpYyBhY3RpdmF0
aW9uPC9rZXl3b3JkPjxrZXl3b3JkPnBhcnRpY3VsYXRlIG1hdHRlcjwva2V5d29yZD48a2V5d29y
ZD5wcm90ZWluIGV4cHJlc3Npb248L2tleXdvcmQ+PGtleXdvcmQ+cmlzayBmYWN0b3I8L2tleXdv
cmQ+PGtleXdvcmQ+dG9iYWNjbzwva2V5d29yZD48a2V5d29yZD52YXNjdWxpdGlzPC9rZXl3b3Jk
Pjwva2V5d29yZHM+PGRhdGVzPjx5ZWFyPjIwMTc8L3llYXI+PC9kYXRlcz48dXJscz48cmVsYXRl
ZC11cmxzPjx1cmw+aHR0cHM6Ly93d3cuc2NvcHVzLmNvbS9pbndhcmQvcmVjb3JkLnVyaT9laWQ9
Mi1zMi4wLTg0OTgzNDE0MTY3JmFtcDtkb2k9MTAuMTAwNyUyZnMxMjE5NS0wMTYtMDQ2NS00JmFt
cDtwYXJ0bmVySUQ9NDAmYW1wO21kNT1jODJiMzZjNzM4MjI2NTdhODdjMjg2MmEwZTlkMTgzMTwv
dXJsPjx1cmw+aHR0cHM6Ly9saW5rLnNwcmluZ2VyLmNvbS9jb250ZW50L3BkZi8xMC4xMDA3JTJG
czEyMTk1LTAxNi0wNDY1LTQucGRmPC91cmw+PC9yZWxhdGVkLXVybHM+PC91cmxzPjxlbGVjdHJv
bmljLXJlc291cmNlLW51bT4xMC4xMDA3L3MxMjE5NS0wMTYtMDQ2NS00PC9lbGVjdHJvbmljLXJl
c291cmNlLW51bT48cmVtb3RlLWRhdGFiYXNlLW5hbWU+U2NvcHVzPC9yZW1vdGUtZGF0YWJhc2Ut
bmFtZT48L3JlY29yZD48L0NpdGU+PC9FbmROb3RlPn==
</w:fldData>
            </w:fldChar>
          </w:r>
          <w:r w:rsidRPr="001C3631">
            <w:rPr>
              <w:rStyle w:val="BodyTextChar"/>
            </w:rPr>
            <w:instrText xml:space="preserve"> ADDIN EN.CITE </w:instrText>
          </w:r>
          <w:r w:rsidRPr="001C3631">
            <w:rPr>
              <w:rStyle w:val="BodyTextChar"/>
            </w:rPr>
            <w:fldChar w:fldCharType="begin">
              <w:fldData xml:space="preserve">PEVuZE5vdGU+PENpdGU+PEF1dGhvcj5CYXJiZXI8L0F1dGhvcj48WWVhcj4yMDE3PC9ZZWFyPjxS
ZWNOdW0+MTYyNjwvUmVjTnVtPjxEaXNwbGF5VGV4dD4oQmFyYmVyLCBHaGVicmVoaXdldCBldCBh
bC4gMjAxNyk8L0Rpc3BsYXlUZXh0PjxyZWNvcmQ+PHJlYy1udW1iZXI+MTYyNjwvcmVjLW51bWJl
cj48Zm9yZWlnbi1rZXlzPjxrZXkgYXBwPSJFTiIgZGItaWQ9Ijl6MDVkejBwcmFhZGZ1ZWUwem94
emVkazl6ZmU1Znh4NTB6NSIgdGltZXN0YW1wPSIxNTIxNTA3MTI4Ij4xNjI2PC9rZXk+PGtleSBh
cHA9IkVOV2ViIiBkYi1pZD0iIj4wPC9rZXk+PC9mb3JlaWduLWtleXM+PHJlZi10eXBlIG5hbWU9
IkpvdXJuYWwgQXJ0aWNsZSI+MTc8L3JlZi10eXBlPjxjb250cmlidXRvcnM+PGF1dGhvcnM+PGF1
dGhvcj5CYXJiZXIsIEsuIEUuPC9hdXRob3I+PGF1dGhvcj5HaGVicmVoaXdldCwgQi48L2F1dGhv
cj48YXV0aG9yPllpbiwgVy48L2F1dGhvcj48YXV0aG9yPlJ1YmVuc3RlaW4sIEQuIEEuPC9hdXRo
b3I+PC9hdXRob3JzPjwvY29udHJpYnV0b3JzPjx0aXRsZXM+PHRpdGxlPkVuZG90aGVsaWFsIENl
bGwgSW5mbGFtbWF0b3J5IFJlYWN0aW9ucyBBcmUgQWx0ZXJlZCBpbiB0aGUgUHJlc2VuY2Ugb2Yg
RS1DaWdhcmV0dGUgRXh0cmFjdHMgb2YgVmFyaWFibGUgTmljb3RpbmU8L3RpdGxlPjxzZWNvbmRh
cnktdGl0bGU+Q2VsbHVsYXIgYW5kIE1vbGVjdWxhciBCaW9lbmdpbmVlcmluZzwvc2Vjb25kYXJ5
LXRpdGxlPjwvdGl0bGVzPjxwZXJpb2RpY2FsPjxmdWxsLXRpdGxlPkNlbGx1bGFyIGFuZCBNb2xl
Y3VsYXIgQmlvZW5naW5lZXJpbmc8L2Z1bGwtdGl0bGU+PC9wZXJpb2RpY2FsPjxwYWdlcz4xMjQt
MTMzPC9wYWdlcz48dm9sdW1lPjEwPC92b2x1bWU+PG51bWJlcj4xPC9udW1iZXI+PGtleXdvcmRz
PjxrZXl3b3JkPmNvbXBsZW1lbnQgY29tcG9uZW50IEMxcTwva2V5d29yZD48a2V5d29yZD5uaWNv
dGluZTwva2V5d29yZD48a2V5d29yZD50b2JhY2NvIHNtb2tlPC9rZXl3b3JkPjxrZXl3b3JkPkFy
dGljbGU8L2tleXdvcmQ+PGtleXdvcmQ+Y2FyZGlvdmFzY3VsYXIgZGlzZWFzZTwva2V5d29yZD48
a2V5d29yZD5jZWxsIGRlbnNpdHk8L2tleXdvcmQ+PGtleXdvcmQ+Y2VsbCBwcm9saWZlcmF0aW9u
PC9rZXl3b3JkPjxrZXl3b3JkPmNlbGwgdmlhYmlsaXR5PC9rZXl3b3JkPjxrZXl3b3JkPmNvbXBs
ZW1lbnQgYWN0aXZhdGlvbjwva2V5d29yZD48a2V5d29yZD5jb21wbGVtZW50IGRlcG9zaXRpb248
L2tleXdvcmQ+PGtleXdvcmQ+Y29udHJvbGxlZCBzdHVkeTwva2V5d29yZD48a2V5d29yZD5lbGVj
dHJvbmljIGNpZ2FyZXR0ZTwva2V5d29yZD48a2V5d29yZD5lbmRvdGhlbGl1bSBjZWxsPC9rZXl3
b3JkPjxrZXl3b3JkPmh1bWFuPC9rZXl3b3JkPjxrZXl3b3JkPmh1bWFuIGNlbGw8L2tleXdvcmQ+
PGtleXdvcmQ+aW5mbGFtbWF0aW9uPC9rZXl3b3JkPjxrZXl3b3JkPm1ldGFib2xpYyBhY3RpdmF0
aW9uPC9rZXl3b3JkPjxrZXl3b3JkPnBhcnRpY3VsYXRlIG1hdHRlcjwva2V5d29yZD48a2V5d29y
ZD5wcm90ZWluIGV4cHJlc3Npb248L2tleXdvcmQ+PGtleXdvcmQ+cmlzayBmYWN0b3I8L2tleXdv
cmQ+PGtleXdvcmQ+dG9iYWNjbzwva2V5d29yZD48a2V5d29yZD52YXNjdWxpdGlzPC9rZXl3b3Jk
Pjwva2V5d29yZHM+PGRhdGVzPjx5ZWFyPjIwMTc8L3llYXI+PC9kYXRlcz48dXJscz48cmVsYXRl
ZC11cmxzPjx1cmw+aHR0cHM6Ly93d3cuc2NvcHVzLmNvbS9pbndhcmQvcmVjb3JkLnVyaT9laWQ9
Mi1zMi4wLTg0OTgzNDE0MTY3JmFtcDtkb2k9MTAuMTAwNyUyZnMxMjE5NS0wMTYtMDQ2NS00JmFt
cDtwYXJ0bmVySUQ9NDAmYW1wO21kNT1jODJiMzZjNzM4MjI2NTdhODdjMjg2MmEwZTlkMTgzMTwv
dXJsPjx1cmw+aHR0cHM6Ly9saW5rLnNwcmluZ2VyLmNvbS9jb250ZW50L3BkZi8xMC4xMDA3JTJG
czEyMTk1LTAxNi0wNDY1LTQucGRmPC91cmw+PC9yZWxhdGVkLXVybHM+PC91cmxzPjxlbGVjdHJv
bmljLXJlc291cmNlLW51bT4xMC4xMDA3L3MxMjE5NS0wMTYtMDQ2NS00PC9lbGVjdHJvbmljLXJl
c291cmNlLW51bT48cmVtb3RlLWRhdGFiYXNlLW5hbWU+U2NvcHVzPC9yZW1vdGUtZGF0YWJhc2Ut
bmFtZT48L3JlY29yZD48L0NpdGU+PC9FbmROb3RlPn==
</w:fldData>
            </w:fldChar>
          </w:r>
          <w:r w:rsidRPr="001C3631">
            <w:rPr>
              <w:rStyle w:val="BodyTextChar"/>
            </w:rPr>
            <w:instrText xml:space="preserve"> ADDIN EN.CITE.DATA </w:instrText>
          </w:r>
          <w:r w:rsidRPr="001C3631">
            <w:rPr>
              <w:rStyle w:val="BodyTextChar"/>
            </w:rPr>
          </w:r>
          <w:r w:rsidRPr="001C3631">
            <w:rPr>
              <w:rStyle w:val="BodyTextChar"/>
            </w:rPr>
            <w:fldChar w:fldCharType="end"/>
          </w:r>
          <w:r w:rsidRPr="001C3631">
            <w:rPr>
              <w:rStyle w:val="BodyTextChar"/>
            </w:rPr>
          </w:r>
          <w:r w:rsidRPr="001C3631">
            <w:rPr>
              <w:rStyle w:val="BodyTextChar"/>
            </w:rPr>
            <w:fldChar w:fldCharType="separate"/>
          </w:r>
          <w:r w:rsidRPr="001C3631">
            <w:rPr>
              <w:rStyle w:val="BodyTextChar"/>
            </w:rPr>
            <w:t>(Barber, Ghebrehiwet et al. 2017)</w:t>
          </w:r>
          <w:r w:rsidRPr="001C3631">
            <w:rPr>
              <w:rStyle w:val="BodyTextChar"/>
            </w:rPr>
            <w:fldChar w:fldCharType="end"/>
          </w:r>
          <w:r w:rsidRPr="001C3631">
            <w:rPr>
              <w:rStyle w:val="BodyTextChar"/>
            </w:rPr>
            <w:t xml:space="preserve">. </w:t>
          </w:r>
        </w:p>
        <w:p w14:paraId="3F36F835" w14:textId="77777777" w:rsidR="00A74D41" w:rsidRDefault="00A74D41" w:rsidP="00A74D41">
          <w:pPr>
            <w:pStyle w:val="BodyText"/>
            <w:rPr>
              <w:rStyle w:val="BodyTextChar"/>
            </w:rPr>
          </w:pPr>
          <w:r w:rsidRPr="001C3631">
            <w:rPr>
              <w:rStyle w:val="BodyTextChar"/>
            </w:rPr>
            <w:t xml:space="preserve">In a similar study in epithelial airway cells, undiluted e-cigarette vapour (with and without cinnamaldehyde flavouring) and cigarette smoke all led to dose-dependent cytotoxicity, however concentrations were significantly higher than </w:t>
          </w:r>
          <w:r w:rsidRPr="002A7928">
            <w:rPr>
              <w:rStyle w:val="BodyTextChar"/>
            </w:rPr>
            <w:t>normal</w:t>
          </w:r>
          <w:r w:rsidRPr="001C3631">
            <w:rPr>
              <w:rStyle w:val="BodyTextChar"/>
            </w:rPr>
            <w:t xml:space="preserve"> human consumption </w:t>
          </w:r>
          <w:r w:rsidRPr="001C3631">
            <w:rPr>
              <w:rStyle w:val="BodyTextChar"/>
            </w:rPr>
            <w:fldChar w:fldCharType="begin"/>
          </w:r>
          <w:r w:rsidRPr="001C3631">
            <w:rPr>
              <w:rStyle w:val="BodyTextChar"/>
            </w:rPr>
            <w:instrText xml:space="preserve"> ADDIN EN.CITE &lt;EndNote&gt;&lt;Cite&gt;&lt;Author&gt;Bishop&lt;/Author&gt;&lt;Year&gt;2018&lt;/Year&gt;&lt;RecNum&gt;643&lt;/RecNum&gt;&lt;DisplayText&gt;(Bishop, Haswell et al. 2018)&lt;/DisplayText&gt;&lt;record&gt;&lt;rec-number&gt;643&lt;/rec-number&gt;&lt;foreign-keys&gt;&lt;key app="EN" db-id="9z05dz0praadfuee0zoxzedk9zfe5fxx50z5" timestamp="1521506879"&gt;643&lt;/key&gt;&lt;key app="ENWeb" db-id=""&gt;0&lt;/key&gt;&lt;/foreign-keys&gt;&lt;ref-type name="Journal Article"&gt;17&lt;/ref-type&gt;&lt;contributors&gt;&lt;authors&gt;&lt;author&gt;Bishop, E.&lt;/author&gt;&lt;author&gt;Haswell, L.&lt;/author&gt;&lt;author&gt;Adamson, J.&lt;/author&gt;&lt;author&gt;Costigan, S.&lt;/author&gt;&lt;author&gt;Thorne, D.&lt;/author&gt;&lt;author&gt;Gaca, M.&lt;/author&gt;&lt;/authors&gt;&lt;/contributors&gt;&lt;auth-address&gt;British American Tobacco, R&amp;amp;D, Southampton, Hampshire SO15 8TL, UK.&amp;#xD;British American Tobacco, R&amp;amp;D, Southampton, Hampshire SO15 8TL, UK. Electronic address: David_Thorne@bat.com.&lt;/auth-address&gt;&lt;titles&gt;&lt;title&gt;TEMPORARY REMOVAL: An approach to testing undiluted e-cigarette aerosol in vitro using 3D reconstituted human airway epithelium&lt;/title&gt;&lt;secondary-title&gt;Toxicol In Vitro&lt;/secondary-title&gt;&lt;alt-title&gt;Toxicology in vitro : an international journal published in association with BIBRA&lt;/alt-title&gt;&lt;/titles&gt;&lt;periodical&gt;&lt;full-title&gt;Toxicol In Vitro&lt;/full-title&gt;&lt;abbr-1&gt;Toxicology in vitro : an international journal published in association with BIBRA&lt;/abbr-1&gt;&lt;/periodical&gt;&lt;alt-periodical&gt;&lt;full-title&gt;Toxicol In Vitro&lt;/full-title&gt;&lt;abbr-1&gt;Toxicology in vitro : an international journal published in association with BIBRA&lt;/abbr-1&gt;&lt;/alt-periodical&gt;&lt;edition&gt;2018/01/23&lt;/edition&gt;&lt;dates&gt;&lt;year&gt;2018&lt;/year&gt;&lt;pub-dates&gt;&lt;date&gt;Jan 31&lt;/date&gt;&lt;/pub-dates&gt;&lt;/dates&gt;&lt;isbn&gt;0887-2333&lt;/isbn&gt;&lt;accession-num&gt;29355593&lt;/accession-num&gt;&lt;urls&gt;&lt;related-urls&gt;&lt;url&gt;https://www.sciencedirect.com/science/article/pii/S0887233318300110?via%3Dihub&lt;/url&gt;&lt;/related-urls&gt;&lt;/urls&gt;&lt;electronic-resource-num&gt;10.1016/j.tiv.2018.01.010&lt;/electronic-resource-num&gt;&lt;remote-database-provider&gt;NLM&lt;/remote-database-provider&gt;&lt;language&gt;eng&lt;/language&gt;&lt;/record&gt;&lt;/Cite&gt;&lt;/EndNote&gt;</w:instrText>
          </w:r>
          <w:r w:rsidRPr="001C3631">
            <w:rPr>
              <w:rStyle w:val="BodyTextChar"/>
            </w:rPr>
            <w:fldChar w:fldCharType="separate"/>
          </w:r>
          <w:r w:rsidRPr="001C3631">
            <w:rPr>
              <w:rStyle w:val="BodyTextChar"/>
            </w:rPr>
            <w:t>(Bishop, Haswell et al. 2018)</w:t>
          </w:r>
          <w:r w:rsidRPr="001C3631">
            <w:rPr>
              <w:rStyle w:val="BodyTextChar"/>
            </w:rPr>
            <w:fldChar w:fldCharType="end"/>
          </w:r>
          <w:r w:rsidRPr="001C3631">
            <w:rPr>
              <w:rStyle w:val="BodyTextChar"/>
            </w:rPr>
            <w:t xml:space="preserve">. Additionally, these studies did not expose cells to e-cigarettes or cigarettes in a way which reflects human use. This includes exposure for a longer duration than a normal vaping or smoking session, exposing cells to extracts or concentrations of e-cigarettes and cigarettes which are higher than that of commercial products. This is highlighted in a study which investigated the cytotoxicity of 32 different e-cigarette flavours (liquid and vapour) and </w:t>
          </w:r>
          <w:r>
            <w:rPr>
              <w:rStyle w:val="BodyTextChar"/>
            </w:rPr>
            <w:t>three</w:t>
          </w:r>
          <w:r w:rsidRPr="001C3631">
            <w:rPr>
              <w:rStyle w:val="BodyTextChar"/>
            </w:rPr>
            <w:t xml:space="preserve"> components of e-cigarettes (vegetable glycerine, pure nicotine liquid and propylene glycol) and found that cytotoxicity of human pulmonary fibroblasts, lung epithelial cells and human embryonic stem cells of the e</w:t>
          </w:r>
          <w:r>
            <w:rPr>
              <w:rStyle w:val="BodyTextChar"/>
            </w:rPr>
            <w:noBreakHyphen/>
          </w:r>
          <w:r w:rsidRPr="001C3631">
            <w:rPr>
              <w:rStyle w:val="BodyTextChar"/>
            </w:rPr>
            <w:t xml:space="preserve">cigarettes was not consistent between the vapour and liquid forms </w:t>
          </w:r>
          <w:r w:rsidRPr="001C3631">
            <w:rPr>
              <w:rStyle w:val="BodyTextChar"/>
            </w:rPr>
            <w:fldChar w:fldCharType="begin"/>
          </w:r>
          <w:r w:rsidRPr="001C3631">
            <w:rPr>
              <w:rStyle w:val="BodyTextChar"/>
            </w:rPr>
            <w:instrText xml:space="preserve"> ADDIN EN.CITE &lt;EndNote&gt;&lt;Cite&gt;&lt;Author&gt;Behar&lt;/Author&gt;&lt;Year&gt;2017&lt;/Year&gt;&lt;RecNum&gt;1095&lt;/RecNum&gt;&lt;DisplayText&gt;(Behar, Wang et al. 2017)&lt;/DisplayText&gt;&lt;record&gt;&lt;rec-number&gt;1095&lt;/rec-number&gt;&lt;foreign-keys&gt;&lt;key app="EN" db-id="9z05dz0praadfuee0zoxzedk9zfe5fxx50z5" timestamp="1521506999"&gt;1095&lt;/key&gt;&lt;key app="ENWeb" db-id=""&gt;0&lt;/key&gt;&lt;/foreign-keys&gt;&lt;ref-type name="Journal Article"&gt;17&lt;/ref-type&gt;&lt;contributors&gt;&lt;authors&gt;&lt;author&gt;Behar, R. Z.&lt;/author&gt;&lt;author&gt;Wang, Y.&lt;/author&gt;&lt;author&gt;Talbot, P.&lt;/author&gt;&lt;/authors&gt;&lt;/contributors&gt;&lt;auth-address&gt;Cell Molecular and Developmental Biology Graduate Program, University of California, Riverside, California, USA.&amp;#xD;Department of Cell Biology and Neuroscience, University of California, Riverside, California, USA.&lt;/auth-address&gt;&lt;titles&gt;&lt;title&gt;Comparing the cytotoxicity of electronic cigarette fluids, aerosols and solvents&lt;/title&gt;&lt;secondary-title&gt;Tob Control&lt;/secondary-title&gt;&lt;alt-title&gt;Tobacco control&lt;/alt-title&gt;&lt;/titles&gt;&lt;alt-periodical&gt;&lt;full-title&gt;Tobacco Control&lt;/full-title&gt;&lt;/alt-periodical&gt;&lt;edition&gt;2017/06/10&lt;/edition&gt;&lt;keywords&gt;&lt;keyword&gt;aerosol&lt;/keyword&gt;&lt;keyword&gt;cytotoxicity&lt;/keyword&gt;&lt;keyword&gt;electronic cigarettes&lt;/keyword&gt;&lt;keyword&gt;flavors&lt;/keyword&gt;&lt;keyword&gt;refill fluid&lt;/keyword&gt;&lt;keyword&gt;vegetable glycerin&lt;/keyword&gt;&lt;/keywords&gt;&lt;dates&gt;&lt;year&gt;2017&lt;/year&gt;&lt;pub-dates&gt;&lt;date&gt;Jun 8&lt;/date&gt;&lt;/pub-dates&gt;&lt;/dates&gt;&lt;isbn&gt;0964-4563&lt;/isbn&gt;&lt;accession-num&gt;28596276&lt;/accession-num&gt;&lt;urls&gt;&lt;related-urls&gt;&lt;url&gt;http://tobaccocontrol.bmj.com/content/early/2017/06/08/tobaccocontrol-2016-053472&lt;/url&gt;&lt;/related-urls&gt;&lt;/urls&gt;&lt;electronic-resource-num&gt;10.1136/tobaccocontrol-2016-053472&lt;/electronic-resource-num&gt;&lt;remote-database-provider&gt;NLM&lt;/remote-database-provider&gt;&lt;language&gt;eng&lt;/language&gt;&lt;/record&gt;&lt;/Cite&gt;&lt;/EndNote&gt;</w:instrText>
          </w:r>
          <w:r w:rsidRPr="001C3631">
            <w:rPr>
              <w:rStyle w:val="BodyTextChar"/>
            </w:rPr>
            <w:fldChar w:fldCharType="separate"/>
          </w:r>
          <w:r w:rsidRPr="001C3631">
            <w:rPr>
              <w:rStyle w:val="BodyTextChar"/>
            </w:rPr>
            <w:t>(Behar, Wang et al. 2017)</w:t>
          </w:r>
          <w:r w:rsidRPr="001C3631">
            <w:rPr>
              <w:rStyle w:val="BodyTextChar"/>
            </w:rPr>
            <w:fldChar w:fldCharType="end"/>
          </w:r>
          <w:r w:rsidRPr="001C3631">
            <w:rPr>
              <w:rStyle w:val="BodyTextChar"/>
            </w:rPr>
            <w:t xml:space="preserve">. </w:t>
          </w:r>
        </w:p>
        <w:p w14:paraId="3ADCCCC4" w14:textId="77777777" w:rsidR="00A74D41" w:rsidRDefault="00A74D41" w:rsidP="00A74D41">
          <w:pPr>
            <w:pStyle w:val="BodyText"/>
            <w:rPr>
              <w:rStyle w:val="BodyTextChar"/>
            </w:rPr>
          </w:pPr>
          <w:r w:rsidRPr="001C3631">
            <w:rPr>
              <w:rStyle w:val="BodyTextChar"/>
            </w:rPr>
            <w:t xml:space="preserve">Thus, the study completed by Moses </w:t>
          </w:r>
          <w:r>
            <w:rPr>
              <w:rStyle w:val="BodyTextChar"/>
            </w:rPr>
            <w:t>and colleagues</w:t>
          </w:r>
          <w:r w:rsidRPr="001C3631">
            <w:rPr>
              <w:rStyle w:val="BodyTextChar"/>
            </w:rPr>
            <w:t xml:space="preserve"> provides useful information on cytotoxicity at exposures which reflect normal human use </w:t>
          </w:r>
          <w:r w:rsidRPr="001C3631">
            <w:rPr>
              <w:rStyle w:val="BodyTextChar"/>
            </w:rPr>
            <w:fldChar w:fldCharType="begin">
              <w:fldData xml:space="preserve">PEVuZE5vdGU+PENpdGU+PEF1dGhvcj5Nb3NlczwvQXV0aG9yPjxZZWFyPjIwMTc8L1llYXI+PFJl
Y051bT4xNTA0PC9SZWNOdW0+PERpc3BsYXlUZXh0PihNb3NlcywgV2FuZyBldCBhbC4gMjAxNyk8
L0Rpc3BsYXlUZXh0PjxyZWNvcmQ+PHJlYy1udW1iZXI+MTUwNDwvcmVjLW51bWJlcj48Zm9yZWln
bi1rZXlzPjxrZXkgYXBwPSJFTiIgZGItaWQ9Ijl6MDVkejBwcmFhZGZ1ZWUwem94emVkazl6ZmU1
Znh4NTB6NSIgdGltZXN0YW1wPSIxNTIxNTA3MDk0Ij4xNTA0PC9rZXk+PGtleSBhcHA9IkVOV2Vi
IiBkYi1pZD0iIj4wPC9rZXk+PC9mb3JlaWduLWtleXM+PHJlZi10eXBlIG5hbWU9IkpvdXJuYWwg
QXJ0aWNsZSI+MTc8L3JlZi10eXBlPjxjb250cmlidXRvcnM+PGF1dGhvcnM+PGF1dGhvcj5Nb3Nl
cywgRS48L2F1dGhvcj48YXV0aG9yPldhbmcsIFQuPC9hdXRob3I+PGF1dGhvcj5Db3JiZXR0LCBT
LjwvYXV0aG9yPjxhdXRob3I+SmFja3NvbiwgRy4gUi48L2F1dGhvcj48YXV0aG9yPkRyaXppaywg
RS48L2F1dGhvcj48YXV0aG9yPlBlcmRvbW8sIEMuPC9hdXRob3I+PGF1dGhvcj5QZXJkb21vLCBD
LjwvYXV0aG9yPjxhdXRob3I+S2xlZXJ1cCwgRS48L2F1dGhvcj48YXV0aG9yPkJyb29rcywgRC48
L2F1dGhvcj48YXV0aG9yPk8mYXBvcztDb25ub3IsIEcuPC9hdXRob3I+PGF1dGhvcj5EdWJpbmV0
dCwgUy48L2F1dGhvcj48YXV0aG9yPkhheWRlbiwgUC48L2F1dGhvcj48YXV0aG9yPkxlbmJ1cmcs
IE0uIEUuPC9hdXRob3I+PGF1dGhvcj5TcGlyYSwgQS48L2F1dGhvcj48L2F1dGhvcnM+PC9jb250
cmlidXRvcnM+PGF1dGgtYWRkcmVzcz5TZWN0aW9uIG9mIENvbXB1dGF0aW9uYWwgQmlvbWVkaWNp
bmUsIERlcGFydG1lbnQgb2YgTWVkaWNpbmUgQm9zdG9uIFVuaXZlcnNpdHkgU2Nob29sIG9mIE1l
ZGljaW5lLCBCb3N0b24sIE1hc3NhY2h1c2V0dHMgMDIxMTguJiN4RDtNYXRUZWsgQ29ycG9yYXRp
b24sIEFzaGxhbmQsIE1hc3NhY2h1c2V0dHMgMDE3MjEuJiN4RDtVbml2ZXJzaXR5IG9mIENhbGlm
b3JuaWEgTG9zIEFuZ2VsZXMsIExvcyBBbmdlbGVzLCBDYWxpZm9ybmlhIDkwMDk1LiYjeEQ7RGVw
YXJ0bWVudCBvZiBFcGlkZW1pb2xvZ3ksIEJvc3RvbiBVbml2ZXJzaXR5IFNjaG9vbCBvZiBQdWJs
aWMgSGVhbHRoLCBCb3N0b24sIE1hc3NhY2h1c2V0dHMgMDIxMTguJiN4RDtQdWxtb25hcnkgQ2Vu
dGVyLCBCb3N0b24gVW5pdmVyc2l0eSBTY2hvb2wgb2YgTWVkaWNpbmUsIEJvc3RvbiwgTWFzc2Fj
aHVzZXR0cyAwMjExOC4mI3hEO1NlY3Rpb24gb2YgQ29tcHV0YXRpb25hbCBCaW9tZWRpY2luZSwg
RGVwYXJ0bWVudCBvZiBNZWRpY2luZSBCb3N0b24gVW5pdmVyc2l0eSBTY2hvb2wgb2YgTWVkaWNp
bmUsIEJvc3RvbiwgTWFzc2FjaHVzZXR0cyAwMjExODsgbWxlbmJ1cmdAYnUuZWR1LjwvYXV0aC1h
ZGRyZXNzPjx0aXRsZXM+PHRpdGxlPk1vbGVjdWxhciBJbXBhY3Qgb2YgRWxlY3Ryb25pYyBDaWdh
cmV0dGUgQWVyb3NvbCBFeHBvc3VyZSBpbiBIdW1hbiBCcm9uY2hpYWwgRXBpdGhlbGl1bTwvdGl0
bGU+PHNlY29uZGFyeS10aXRsZT5Ub3hpY29sIFNjaTwvc2Vjb25kYXJ5LXRpdGxlPjxhbHQtdGl0
bGU+VG94aWNvbG9naWNhbCBzY2llbmNlcyA6IGFuIG9mZmljaWFsIGpvdXJuYWwgb2YgdGhlIFNv
Y2lldHkgb2YgVG94aWNvbG9neTwvYWx0LXRpdGxlPjwvdGl0bGVzPjxwZXJpb2RpY2FsPjxmdWxs
LXRpdGxlPlRveGljb2wgU2NpPC9mdWxsLXRpdGxlPjxhYmJyLTE+VG94aWNvbG9naWNhbCBzY2ll
bmNlcyA6IGFuIG9mZmljaWFsIGpvdXJuYWwgb2YgdGhlIFNvY2lldHkgb2YgVG94aWNvbG9neTwv
YWJici0xPjwvcGVyaW9kaWNhbD48YWx0LXBlcmlvZGljYWw+PGZ1bGwtdGl0bGU+VG94aWNvbCBT
Y2k8L2Z1bGwtdGl0bGU+PGFiYnItMT5Ub3hpY29sb2dpY2FsIHNjaWVuY2VzIDogYW4gb2ZmaWNp
YWwgam91cm5hbCBvZiB0aGUgU29jaWV0eSBvZiBUb3hpY29sb2d5PC9hYmJyLTE+PC9hbHQtcGVy
aW9kaWNhbD48cGFnZXM+MjQ4LTI1NzwvcGFnZXM+PHZvbHVtZT4xNTU8L3ZvbHVtZT48bnVtYmVy
PjE8L251bWJlcj48ZWRpdGlvbj4yMDE2LzEwLzA1PC9lZGl0aW9uPjxrZXl3b3Jkcz48a2V5d29y
ZD5lbGVjdHJvbmljIGNpZ2FyZXR0ZS48L2tleXdvcmQ+PGtleXdvcmQ+Z2VuZSBleHByZXNzaW9u
PC9rZXl3b3JkPjxrZXl3b3JkPnNtb2tlPC9rZXl3b3JkPjxrZXl3b3JkPnRvYmFjY288L2tleXdv
cmQ+PC9rZXl3b3Jkcz48ZGF0ZXM+PHllYXI+MjAxNzwveWVhcj48cHViLWRhdGVzPjxkYXRlPkph
bjwvZGF0ZT48L3B1Yi1kYXRlcz48L2RhdGVzPjxpc2JuPjEwOTYtMDkyOTwvaXNibj48YWNjZXNz
aW9uLW51bT4yNzcwMTExOTwvYWNjZXNzaW9uLW51bT48dXJscz48L3VybHM+PGN1c3RvbTI+UE1D
NTIxNjY1NTwvY3VzdG9tMj48ZWxlY3Ryb25pYy1yZXNvdXJjZS1udW0+MTAuMTA5My90b3hzY2kv
a2Z3MTk4PC9lbGVjdHJvbmljLXJlc291cmNlLW51bT48cmVtb3RlLWRhdGFiYXNlLXByb3ZpZGVy
Pk5MTTwvcmVtb3RlLWRhdGFiYXNlLXByb3ZpZGVyPjxsYW5ndWFnZT5lbmc8L2xhbmd1YWdlPjwv
cmVjb3JkPjwvQ2l0ZT48L0VuZE5vdGU+AG==
</w:fldData>
            </w:fldChar>
          </w:r>
          <w:r w:rsidRPr="001C3631">
            <w:rPr>
              <w:rStyle w:val="BodyTextChar"/>
            </w:rPr>
            <w:instrText xml:space="preserve"> ADDIN EN.CITE </w:instrText>
          </w:r>
          <w:r w:rsidRPr="001C3631">
            <w:rPr>
              <w:rStyle w:val="BodyTextChar"/>
            </w:rPr>
            <w:fldChar w:fldCharType="begin">
              <w:fldData xml:space="preserve">PEVuZE5vdGU+PENpdGU+PEF1dGhvcj5Nb3NlczwvQXV0aG9yPjxZZWFyPjIwMTc8L1llYXI+PFJl
Y051bT4xNTA0PC9SZWNOdW0+PERpc3BsYXlUZXh0PihNb3NlcywgV2FuZyBldCBhbC4gMjAxNyk8
L0Rpc3BsYXlUZXh0PjxyZWNvcmQ+PHJlYy1udW1iZXI+MTUwNDwvcmVjLW51bWJlcj48Zm9yZWln
bi1rZXlzPjxrZXkgYXBwPSJFTiIgZGItaWQ9Ijl6MDVkejBwcmFhZGZ1ZWUwem94emVkazl6ZmU1
Znh4NTB6NSIgdGltZXN0YW1wPSIxNTIxNTA3MDk0Ij4xNTA0PC9rZXk+PGtleSBhcHA9IkVOV2Vi
IiBkYi1pZD0iIj4wPC9rZXk+PC9mb3JlaWduLWtleXM+PHJlZi10eXBlIG5hbWU9IkpvdXJuYWwg
QXJ0aWNsZSI+MTc8L3JlZi10eXBlPjxjb250cmlidXRvcnM+PGF1dGhvcnM+PGF1dGhvcj5Nb3Nl
cywgRS48L2F1dGhvcj48YXV0aG9yPldhbmcsIFQuPC9hdXRob3I+PGF1dGhvcj5Db3JiZXR0LCBT
LjwvYXV0aG9yPjxhdXRob3I+SmFja3NvbiwgRy4gUi48L2F1dGhvcj48YXV0aG9yPkRyaXppaywg
RS48L2F1dGhvcj48YXV0aG9yPlBlcmRvbW8sIEMuPC9hdXRob3I+PGF1dGhvcj5QZXJkb21vLCBD
LjwvYXV0aG9yPjxhdXRob3I+S2xlZXJ1cCwgRS48L2F1dGhvcj48YXV0aG9yPkJyb29rcywgRC48
L2F1dGhvcj48YXV0aG9yPk8mYXBvcztDb25ub3IsIEcuPC9hdXRob3I+PGF1dGhvcj5EdWJpbmV0
dCwgUy48L2F1dGhvcj48YXV0aG9yPkhheWRlbiwgUC48L2F1dGhvcj48YXV0aG9yPkxlbmJ1cmcs
IE0uIEUuPC9hdXRob3I+PGF1dGhvcj5TcGlyYSwgQS48L2F1dGhvcj48L2F1dGhvcnM+PC9jb250
cmlidXRvcnM+PGF1dGgtYWRkcmVzcz5TZWN0aW9uIG9mIENvbXB1dGF0aW9uYWwgQmlvbWVkaWNp
bmUsIERlcGFydG1lbnQgb2YgTWVkaWNpbmUgQm9zdG9uIFVuaXZlcnNpdHkgU2Nob29sIG9mIE1l
ZGljaW5lLCBCb3N0b24sIE1hc3NhY2h1c2V0dHMgMDIxMTguJiN4RDtNYXRUZWsgQ29ycG9yYXRp
b24sIEFzaGxhbmQsIE1hc3NhY2h1c2V0dHMgMDE3MjEuJiN4RDtVbml2ZXJzaXR5IG9mIENhbGlm
b3JuaWEgTG9zIEFuZ2VsZXMsIExvcyBBbmdlbGVzLCBDYWxpZm9ybmlhIDkwMDk1LiYjeEQ7RGVw
YXJ0bWVudCBvZiBFcGlkZW1pb2xvZ3ksIEJvc3RvbiBVbml2ZXJzaXR5IFNjaG9vbCBvZiBQdWJs
aWMgSGVhbHRoLCBCb3N0b24sIE1hc3NhY2h1c2V0dHMgMDIxMTguJiN4RDtQdWxtb25hcnkgQ2Vu
dGVyLCBCb3N0b24gVW5pdmVyc2l0eSBTY2hvb2wgb2YgTWVkaWNpbmUsIEJvc3RvbiwgTWFzc2Fj
aHVzZXR0cyAwMjExOC4mI3hEO1NlY3Rpb24gb2YgQ29tcHV0YXRpb25hbCBCaW9tZWRpY2luZSwg
RGVwYXJ0bWVudCBvZiBNZWRpY2luZSBCb3N0b24gVW5pdmVyc2l0eSBTY2hvb2wgb2YgTWVkaWNp
bmUsIEJvc3RvbiwgTWFzc2FjaHVzZXR0cyAwMjExODsgbWxlbmJ1cmdAYnUuZWR1LjwvYXV0aC1h
ZGRyZXNzPjx0aXRsZXM+PHRpdGxlPk1vbGVjdWxhciBJbXBhY3Qgb2YgRWxlY3Ryb25pYyBDaWdh
cmV0dGUgQWVyb3NvbCBFeHBvc3VyZSBpbiBIdW1hbiBCcm9uY2hpYWwgRXBpdGhlbGl1bTwvdGl0
bGU+PHNlY29uZGFyeS10aXRsZT5Ub3hpY29sIFNjaTwvc2Vjb25kYXJ5LXRpdGxlPjxhbHQtdGl0
bGU+VG94aWNvbG9naWNhbCBzY2llbmNlcyA6IGFuIG9mZmljaWFsIGpvdXJuYWwgb2YgdGhlIFNv
Y2lldHkgb2YgVG94aWNvbG9neTwvYWx0LXRpdGxlPjwvdGl0bGVzPjxwZXJpb2RpY2FsPjxmdWxs
LXRpdGxlPlRveGljb2wgU2NpPC9mdWxsLXRpdGxlPjxhYmJyLTE+VG94aWNvbG9naWNhbCBzY2ll
bmNlcyA6IGFuIG9mZmljaWFsIGpvdXJuYWwgb2YgdGhlIFNvY2lldHkgb2YgVG94aWNvbG9neTwv
YWJici0xPjwvcGVyaW9kaWNhbD48YWx0LXBlcmlvZGljYWw+PGZ1bGwtdGl0bGU+VG94aWNvbCBT
Y2k8L2Z1bGwtdGl0bGU+PGFiYnItMT5Ub3hpY29sb2dpY2FsIHNjaWVuY2VzIDogYW4gb2ZmaWNp
YWwgam91cm5hbCBvZiB0aGUgU29jaWV0eSBvZiBUb3hpY29sb2d5PC9hYmJyLTE+PC9hbHQtcGVy
aW9kaWNhbD48cGFnZXM+MjQ4LTI1NzwvcGFnZXM+PHZvbHVtZT4xNTU8L3ZvbHVtZT48bnVtYmVy
PjE8L251bWJlcj48ZWRpdGlvbj4yMDE2LzEwLzA1PC9lZGl0aW9uPjxrZXl3b3Jkcz48a2V5d29y
ZD5lbGVjdHJvbmljIGNpZ2FyZXR0ZS48L2tleXdvcmQ+PGtleXdvcmQ+Z2VuZSBleHByZXNzaW9u
PC9rZXl3b3JkPjxrZXl3b3JkPnNtb2tlPC9rZXl3b3JkPjxrZXl3b3JkPnRvYmFjY288L2tleXdv
cmQ+PC9rZXl3b3Jkcz48ZGF0ZXM+PHllYXI+MjAxNzwveWVhcj48cHViLWRhdGVzPjxkYXRlPkph
bjwvZGF0ZT48L3B1Yi1kYXRlcz48L2RhdGVzPjxpc2JuPjEwOTYtMDkyOTwvaXNibj48YWNjZXNz
aW9uLW51bT4yNzcwMTExOTwvYWNjZXNzaW9uLW51bT48dXJscz48L3VybHM+PGN1c3RvbTI+UE1D
NTIxNjY1NTwvY3VzdG9tMj48ZWxlY3Ryb25pYy1yZXNvdXJjZS1udW0+MTAuMTA5My90b3hzY2kv
a2Z3MTk4PC9lbGVjdHJvbmljLXJlc291cmNlLW51bT48cmVtb3RlLWRhdGFiYXNlLXByb3ZpZGVy
Pk5MTTwvcmVtb3RlLWRhdGFiYXNlLXByb3ZpZGVyPjxsYW5ndWFnZT5lbmc8L2xhbmd1YWdlPjwv
cmVjb3JkPjwvQ2l0ZT48L0VuZE5vdGU+AG==
</w:fldData>
            </w:fldChar>
          </w:r>
          <w:r w:rsidRPr="001C3631">
            <w:rPr>
              <w:rStyle w:val="BodyTextChar"/>
            </w:rPr>
            <w:instrText xml:space="preserve"> ADDIN EN.CITE.DATA </w:instrText>
          </w:r>
          <w:r w:rsidRPr="001C3631">
            <w:rPr>
              <w:rStyle w:val="BodyTextChar"/>
            </w:rPr>
          </w:r>
          <w:r w:rsidRPr="001C3631">
            <w:rPr>
              <w:rStyle w:val="BodyTextChar"/>
            </w:rPr>
            <w:fldChar w:fldCharType="end"/>
          </w:r>
          <w:r w:rsidRPr="001C3631">
            <w:rPr>
              <w:rStyle w:val="BodyTextChar"/>
            </w:rPr>
          </w:r>
          <w:r w:rsidRPr="001C3631">
            <w:rPr>
              <w:rStyle w:val="BodyTextChar"/>
            </w:rPr>
            <w:fldChar w:fldCharType="separate"/>
          </w:r>
          <w:r w:rsidRPr="001C3631">
            <w:rPr>
              <w:rStyle w:val="BodyTextChar"/>
            </w:rPr>
            <w:t>(Moses, Wang et al. 2017)</w:t>
          </w:r>
          <w:r w:rsidRPr="001C3631">
            <w:rPr>
              <w:rStyle w:val="BodyTextChar"/>
            </w:rPr>
            <w:fldChar w:fldCharType="end"/>
          </w:r>
          <w:r w:rsidRPr="001C3631">
            <w:rPr>
              <w:rStyle w:val="BodyTextChar"/>
            </w:rPr>
            <w:t xml:space="preserve">. In this study they found that cigarette smoke showed cytotoxicity but there was no significant cytotoxicity of menthol or tobacco flavoured e-cigarette vapours (only two flavours tested) with or without nicotine in human bronchial epithelial cells </w:t>
          </w:r>
          <w:r w:rsidRPr="001C3631">
            <w:rPr>
              <w:rStyle w:val="BodyTextChar"/>
            </w:rPr>
            <w:fldChar w:fldCharType="begin">
              <w:fldData xml:space="preserve">PEVuZE5vdGU+PENpdGU+PEF1dGhvcj5Nb3NlczwvQXV0aG9yPjxZZWFyPjIwMTc8L1llYXI+PFJl
Y051bT4xNTA0PC9SZWNOdW0+PERpc3BsYXlUZXh0PihNb3NlcywgV2FuZyBldCBhbC4gMjAxNyk8
L0Rpc3BsYXlUZXh0PjxyZWNvcmQ+PHJlYy1udW1iZXI+MTUwNDwvcmVjLW51bWJlcj48Zm9yZWln
bi1rZXlzPjxrZXkgYXBwPSJFTiIgZGItaWQ9Ijl6MDVkejBwcmFhZGZ1ZWUwem94emVkazl6ZmU1
Znh4NTB6NSIgdGltZXN0YW1wPSIxNTIxNTA3MDk0Ij4xNTA0PC9rZXk+PGtleSBhcHA9IkVOV2Vi
IiBkYi1pZD0iIj4wPC9rZXk+PC9mb3JlaWduLWtleXM+PHJlZi10eXBlIG5hbWU9IkpvdXJuYWwg
QXJ0aWNsZSI+MTc8L3JlZi10eXBlPjxjb250cmlidXRvcnM+PGF1dGhvcnM+PGF1dGhvcj5Nb3Nl
cywgRS48L2F1dGhvcj48YXV0aG9yPldhbmcsIFQuPC9hdXRob3I+PGF1dGhvcj5Db3JiZXR0LCBT
LjwvYXV0aG9yPjxhdXRob3I+SmFja3NvbiwgRy4gUi48L2F1dGhvcj48YXV0aG9yPkRyaXppaywg
RS48L2F1dGhvcj48YXV0aG9yPlBlcmRvbW8sIEMuPC9hdXRob3I+PGF1dGhvcj5QZXJkb21vLCBD
LjwvYXV0aG9yPjxhdXRob3I+S2xlZXJ1cCwgRS48L2F1dGhvcj48YXV0aG9yPkJyb29rcywgRC48
L2F1dGhvcj48YXV0aG9yPk8mYXBvcztDb25ub3IsIEcuPC9hdXRob3I+PGF1dGhvcj5EdWJpbmV0
dCwgUy48L2F1dGhvcj48YXV0aG9yPkhheWRlbiwgUC48L2F1dGhvcj48YXV0aG9yPkxlbmJ1cmcs
IE0uIEUuPC9hdXRob3I+PGF1dGhvcj5TcGlyYSwgQS48L2F1dGhvcj48L2F1dGhvcnM+PC9jb250
cmlidXRvcnM+PGF1dGgtYWRkcmVzcz5TZWN0aW9uIG9mIENvbXB1dGF0aW9uYWwgQmlvbWVkaWNp
bmUsIERlcGFydG1lbnQgb2YgTWVkaWNpbmUgQm9zdG9uIFVuaXZlcnNpdHkgU2Nob29sIG9mIE1l
ZGljaW5lLCBCb3N0b24sIE1hc3NhY2h1c2V0dHMgMDIxMTguJiN4RDtNYXRUZWsgQ29ycG9yYXRp
b24sIEFzaGxhbmQsIE1hc3NhY2h1c2V0dHMgMDE3MjEuJiN4RDtVbml2ZXJzaXR5IG9mIENhbGlm
b3JuaWEgTG9zIEFuZ2VsZXMsIExvcyBBbmdlbGVzLCBDYWxpZm9ybmlhIDkwMDk1LiYjeEQ7RGVw
YXJ0bWVudCBvZiBFcGlkZW1pb2xvZ3ksIEJvc3RvbiBVbml2ZXJzaXR5IFNjaG9vbCBvZiBQdWJs
aWMgSGVhbHRoLCBCb3N0b24sIE1hc3NhY2h1c2V0dHMgMDIxMTguJiN4RDtQdWxtb25hcnkgQ2Vu
dGVyLCBCb3N0b24gVW5pdmVyc2l0eSBTY2hvb2wgb2YgTWVkaWNpbmUsIEJvc3RvbiwgTWFzc2Fj
aHVzZXR0cyAwMjExOC4mI3hEO1NlY3Rpb24gb2YgQ29tcHV0YXRpb25hbCBCaW9tZWRpY2luZSwg
RGVwYXJ0bWVudCBvZiBNZWRpY2luZSBCb3N0b24gVW5pdmVyc2l0eSBTY2hvb2wgb2YgTWVkaWNp
bmUsIEJvc3RvbiwgTWFzc2FjaHVzZXR0cyAwMjExODsgbWxlbmJ1cmdAYnUuZWR1LjwvYXV0aC1h
ZGRyZXNzPjx0aXRsZXM+PHRpdGxlPk1vbGVjdWxhciBJbXBhY3Qgb2YgRWxlY3Ryb25pYyBDaWdh
cmV0dGUgQWVyb3NvbCBFeHBvc3VyZSBpbiBIdW1hbiBCcm9uY2hpYWwgRXBpdGhlbGl1bTwvdGl0
bGU+PHNlY29uZGFyeS10aXRsZT5Ub3hpY29sIFNjaTwvc2Vjb25kYXJ5LXRpdGxlPjxhbHQtdGl0
bGU+VG94aWNvbG9naWNhbCBzY2llbmNlcyA6IGFuIG9mZmljaWFsIGpvdXJuYWwgb2YgdGhlIFNv
Y2lldHkgb2YgVG94aWNvbG9neTwvYWx0LXRpdGxlPjwvdGl0bGVzPjxwZXJpb2RpY2FsPjxmdWxs
LXRpdGxlPlRveGljb2wgU2NpPC9mdWxsLXRpdGxlPjxhYmJyLTE+VG94aWNvbG9naWNhbCBzY2ll
bmNlcyA6IGFuIG9mZmljaWFsIGpvdXJuYWwgb2YgdGhlIFNvY2lldHkgb2YgVG94aWNvbG9neTwv
YWJici0xPjwvcGVyaW9kaWNhbD48YWx0LXBlcmlvZGljYWw+PGZ1bGwtdGl0bGU+VG94aWNvbCBT
Y2k8L2Z1bGwtdGl0bGU+PGFiYnItMT5Ub3hpY29sb2dpY2FsIHNjaWVuY2VzIDogYW4gb2ZmaWNp
YWwgam91cm5hbCBvZiB0aGUgU29jaWV0eSBvZiBUb3hpY29sb2d5PC9hYmJyLTE+PC9hbHQtcGVy
aW9kaWNhbD48cGFnZXM+MjQ4LTI1NzwvcGFnZXM+PHZvbHVtZT4xNTU8L3ZvbHVtZT48bnVtYmVy
PjE8L251bWJlcj48ZWRpdGlvbj4yMDE2LzEwLzA1PC9lZGl0aW9uPjxrZXl3b3Jkcz48a2V5d29y
ZD5lbGVjdHJvbmljIGNpZ2FyZXR0ZS48L2tleXdvcmQ+PGtleXdvcmQ+Z2VuZSBleHByZXNzaW9u
PC9rZXl3b3JkPjxrZXl3b3JkPnNtb2tlPC9rZXl3b3JkPjxrZXl3b3JkPnRvYmFjY288L2tleXdv
cmQ+PC9rZXl3b3Jkcz48ZGF0ZXM+PHllYXI+MjAxNzwveWVhcj48cHViLWRhdGVzPjxkYXRlPkph
bjwvZGF0ZT48L3B1Yi1kYXRlcz48L2RhdGVzPjxpc2JuPjEwOTYtMDkyOTwvaXNibj48YWNjZXNz
aW9uLW51bT4yNzcwMTExOTwvYWNjZXNzaW9uLW51bT48dXJscz48L3VybHM+PGN1c3RvbTI+UE1D
NTIxNjY1NTwvY3VzdG9tMj48ZWxlY3Ryb25pYy1yZXNvdXJjZS1udW0+MTAuMTA5My90b3hzY2kv
a2Z3MTk4PC9lbGVjdHJvbmljLXJlc291cmNlLW51bT48cmVtb3RlLWRhdGFiYXNlLXByb3ZpZGVy
Pk5MTTwvcmVtb3RlLWRhdGFiYXNlLXByb3ZpZGVyPjxsYW5ndWFnZT5lbmc8L2xhbmd1YWdlPjwv
cmVjb3JkPjwvQ2l0ZT48L0VuZE5vdGU+AG==
</w:fldData>
            </w:fldChar>
          </w:r>
          <w:r w:rsidRPr="001C3631">
            <w:rPr>
              <w:rStyle w:val="BodyTextChar"/>
            </w:rPr>
            <w:instrText xml:space="preserve"> ADDIN EN.CITE </w:instrText>
          </w:r>
          <w:r w:rsidRPr="001C3631">
            <w:rPr>
              <w:rStyle w:val="BodyTextChar"/>
            </w:rPr>
            <w:fldChar w:fldCharType="begin">
              <w:fldData xml:space="preserve">PEVuZE5vdGU+PENpdGU+PEF1dGhvcj5Nb3NlczwvQXV0aG9yPjxZZWFyPjIwMTc8L1llYXI+PFJl
Y051bT4xNTA0PC9SZWNOdW0+PERpc3BsYXlUZXh0PihNb3NlcywgV2FuZyBldCBhbC4gMjAxNyk8
L0Rpc3BsYXlUZXh0PjxyZWNvcmQ+PHJlYy1udW1iZXI+MTUwNDwvcmVjLW51bWJlcj48Zm9yZWln
bi1rZXlzPjxrZXkgYXBwPSJFTiIgZGItaWQ9Ijl6MDVkejBwcmFhZGZ1ZWUwem94emVkazl6ZmU1
Znh4NTB6NSIgdGltZXN0YW1wPSIxNTIxNTA3MDk0Ij4xNTA0PC9rZXk+PGtleSBhcHA9IkVOV2Vi
IiBkYi1pZD0iIj4wPC9rZXk+PC9mb3JlaWduLWtleXM+PHJlZi10eXBlIG5hbWU9IkpvdXJuYWwg
QXJ0aWNsZSI+MTc8L3JlZi10eXBlPjxjb250cmlidXRvcnM+PGF1dGhvcnM+PGF1dGhvcj5Nb3Nl
cywgRS48L2F1dGhvcj48YXV0aG9yPldhbmcsIFQuPC9hdXRob3I+PGF1dGhvcj5Db3JiZXR0LCBT
LjwvYXV0aG9yPjxhdXRob3I+SmFja3NvbiwgRy4gUi48L2F1dGhvcj48YXV0aG9yPkRyaXppaywg
RS48L2F1dGhvcj48YXV0aG9yPlBlcmRvbW8sIEMuPC9hdXRob3I+PGF1dGhvcj5QZXJkb21vLCBD
LjwvYXV0aG9yPjxhdXRob3I+S2xlZXJ1cCwgRS48L2F1dGhvcj48YXV0aG9yPkJyb29rcywgRC48
L2F1dGhvcj48YXV0aG9yPk8mYXBvcztDb25ub3IsIEcuPC9hdXRob3I+PGF1dGhvcj5EdWJpbmV0
dCwgUy48L2F1dGhvcj48YXV0aG9yPkhheWRlbiwgUC48L2F1dGhvcj48YXV0aG9yPkxlbmJ1cmcs
IE0uIEUuPC9hdXRob3I+PGF1dGhvcj5TcGlyYSwgQS48L2F1dGhvcj48L2F1dGhvcnM+PC9jb250
cmlidXRvcnM+PGF1dGgtYWRkcmVzcz5TZWN0aW9uIG9mIENvbXB1dGF0aW9uYWwgQmlvbWVkaWNp
bmUsIERlcGFydG1lbnQgb2YgTWVkaWNpbmUgQm9zdG9uIFVuaXZlcnNpdHkgU2Nob29sIG9mIE1l
ZGljaW5lLCBCb3N0b24sIE1hc3NhY2h1c2V0dHMgMDIxMTguJiN4RDtNYXRUZWsgQ29ycG9yYXRp
b24sIEFzaGxhbmQsIE1hc3NhY2h1c2V0dHMgMDE3MjEuJiN4RDtVbml2ZXJzaXR5IG9mIENhbGlm
b3JuaWEgTG9zIEFuZ2VsZXMsIExvcyBBbmdlbGVzLCBDYWxpZm9ybmlhIDkwMDk1LiYjeEQ7RGVw
YXJ0bWVudCBvZiBFcGlkZW1pb2xvZ3ksIEJvc3RvbiBVbml2ZXJzaXR5IFNjaG9vbCBvZiBQdWJs
aWMgSGVhbHRoLCBCb3N0b24sIE1hc3NhY2h1c2V0dHMgMDIxMTguJiN4RDtQdWxtb25hcnkgQ2Vu
dGVyLCBCb3N0b24gVW5pdmVyc2l0eSBTY2hvb2wgb2YgTWVkaWNpbmUsIEJvc3RvbiwgTWFzc2Fj
aHVzZXR0cyAwMjExOC4mI3hEO1NlY3Rpb24gb2YgQ29tcHV0YXRpb25hbCBCaW9tZWRpY2luZSwg
RGVwYXJ0bWVudCBvZiBNZWRpY2luZSBCb3N0b24gVW5pdmVyc2l0eSBTY2hvb2wgb2YgTWVkaWNp
bmUsIEJvc3RvbiwgTWFzc2FjaHVzZXR0cyAwMjExODsgbWxlbmJ1cmdAYnUuZWR1LjwvYXV0aC1h
ZGRyZXNzPjx0aXRsZXM+PHRpdGxlPk1vbGVjdWxhciBJbXBhY3Qgb2YgRWxlY3Ryb25pYyBDaWdh
cmV0dGUgQWVyb3NvbCBFeHBvc3VyZSBpbiBIdW1hbiBCcm9uY2hpYWwgRXBpdGhlbGl1bTwvdGl0
bGU+PHNlY29uZGFyeS10aXRsZT5Ub3hpY29sIFNjaTwvc2Vjb25kYXJ5LXRpdGxlPjxhbHQtdGl0
bGU+VG94aWNvbG9naWNhbCBzY2llbmNlcyA6IGFuIG9mZmljaWFsIGpvdXJuYWwgb2YgdGhlIFNv
Y2lldHkgb2YgVG94aWNvbG9neTwvYWx0LXRpdGxlPjwvdGl0bGVzPjxwZXJpb2RpY2FsPjxmdWxs
LXRpdGxlPlRveGljb2wgU2NpPC9mdWxsLXRpdGxlPjxhYmJyLTE+VG94aWNvbG9naWNhbCBzY2ll
bmNlcyA6IGFuIG9mZmljaWFsIGpvdXJuYWwgb2YgdGhlIFNvY2lldHkgb2YgVG94aWNvbG9neTwv
YWJici0xPjwvcGVyaW9kaWNhbD48YWx0LXBlcmlvZGljYWw+PGZ1bGwtdGl0bGU+VG94aWNvbCBT
Y2k8L2Z1bGwtdGl0bGU+PGFiYnItMT5Ub3hpY29sb2dpY2FsIHNjaWVuY2VzIDogYW4gb2ZmaWNp
YWwgam91cm5hbCBvZiB0aGUgU29jaWV0eSBvZiBUb3hpY29sb2d5PC9hYmJyLTE+PC9hbHQtcGVy
aW9kaWNhbD48cGFnZXM+MjQ4LTI1NzwvcGFnZXM+PHZvbHVtZT4xNTU8L3ZvbHVtZT48bnVtYmVy
PjE8L251bWJlcj48ZWRpdGlvbj4yMDE2LzEwLzA1PC9lZGl0aW9uPjxrZXl3b3Jkcz48a2V5d29y
ZD5lbGVjdHJvbmljIGNpZ2FyZXR0ZS48L2tleXdvcmQ+PGtleXdvcmQ+Z2VuZSBleHByZXNzaW9u
PC9rZXl3b3JkPjxrZXl3b3JkPnNtb2tlPC9rZXl3b3JkPjxrZXl3b3JkPnRvYmFjY288L2tleXdv
cmQ+PC9rZXl3b3Jkcz48ZGF0ZXM+PHllYXI+MjAxNzwveWVhcj48cHViLWRhdGVzPjxkYXRlPkph
bjwvZGF0ZT48L3B1Yi1kYXRlcz48L2RhdGVzPjxpc2JuPjEwOTYtMDkyOTwvaXNibj48YWNjZXNz
aW9uLW51bT4yNzcwMTExOTwvYWNjZXNzaW9uLW51bT48dXJscz48L3VybHM+PGN1c3RvbTI+UE1D
NTIxNjY1NTwvY3VzdG9tMj48ZWxlY3Ryb25pYy1yZXNvdXJjZS1udW0+MTAuMTA5My90b3hzY2kv
a2Z3MTk4PC9lbGVjdHJvbmljLXJlc291cmNlLW51bT48cmVtb3RlLWRhdGFiYXNlLXByb3ZpZGVy
Pk5MTTwvcmVtb3RlLWRhdGFiYXNlLXByb3ZpZGVyPjxsYW5ndWFnZT5lbmc8L2xhbmd1YWdlPjwv
cmVjb3JkPjwvQ2l0ZT48L0VuZE5vdGU+AG==
</w:fldData>
            </w:fldChar>
          </w:r>
          <w:r w:rsidRPr="001C3631">
            <w:rPr>
              <w:rStyle w:val="BodyTextChar"/>
            </w:rPr>
            <w:instrText xml:space="preserve"> ADDIN EN.CITE.DATA </w:instrText>
          </w:r>
          <w:r w:rsidRPr="001C3631">
            <w:rPr>
              <w:rStyle w:val="BodyTextChar"/>
            </w:rPr>
          </w:r>
          <w:r w:rsidRPr="001C3631">
            <w:rPr>
              <w:rStyle w:val="BodyTextChar"/>
            </w:rPr>
            <w:fldChar w:fldCharType="end"/>
          </w:r>
          <w:r w:rsidRPr="001C3631">
            <w:rPr>
              <w:rStyle w:val="BodyTextChar"/>
            </w:rPr>
          </w:r>
          <w:r w:rsidRPr="001C3631">
            <w:rPr>
              <w:rStyle w:val="BodyTextChar"/>
            </w:rPr>
            <w:fldChar w:fldCharType="separate"/>
          </w:r>
          <w:r w:rsidRPr="001C3631">
            <w:rPr>
              <w:rStyle w:val="BodyTextChar"/>
            </w:rPr>
            <w:t>(Moses, Wang et al. 2017)</w:t>
          </w:r>
          <w:r w:rsidRPr="001C3631">
            <w:rPr>
              <w:rStyle w:val="BodyTextChar"/>
            </w:rPr>
            <w:fldChar w:fldCharType="end"/>
          </w:r>
          <w:r w:rsidRPr="001C3631">
            <w:rPr>
              <w:rStyle w:val="BodyTextChar"/>
            </w:rPr>
            <w:t>. Thus, while e-cigarettes can elicit a cytotoxic response, they may not be as toxic as traditional cigarettes.</w:t>
          </w:r>
        </w:p>
        <w:p w14:paraId="43A847EE" w14:textId="77777777" w:rsidR="00A74D41" w:rsidRPr="001C3631" w:rsidRDefault="00A74D41" w:rsidP="00A74D41">
          <w:pPr>
            <w:pStyle w:val="BodyText"/>
            <w:rPr>
              <w:rStyle w:val="BodyTextChar"/>
            </w:rPr>
          </w:pPr>
        </w:p>
        <w:p w14:paraId="29DC4F4D" w14:textId="77777777" w:rsidR="00A74D41" w:rsidRPr="00D4044D" w:rsidRDefault="00A74D41" w:rsidP="00A74D41">
          <w:pPr>
            <w:pStyle w:val="Heading3"/>
          </w:pPr>
          <w:r w:rsidRPr="00D4044D">
            <w:lastRenderedPageBreak/>
            <w:t>Toxicity of e-cigarette components and flavours</w:t>
          </w:r>
        </w:p>
        <w:p w14:paraId="03DB0EA6" w14:textId="7D3EFB44" w:rsidR="00A74D41" w:rsidRDefault="00A74D41" w:rsidP="00A74D41">
          <w:pPr>
            <w:pStyle w:val="BodyText"/>
          </w:pPr>
          <w:r>
            <w:t>It is likely that the toxicological response of cells to e-cigarette vapour is dependent on its constituents</w:t>
          </w:r>
          <w:r w:rsidRPr="005C43E5">
            <w:t xml:space="preserve"> </w:t>
          </w:r>
          <w:r>
            <w:t xml:space="preserve">as different brands and flavours of e-cigarettes contain different chemicals. One study investigated different brands and flavours of e-cigarettes and found </w:t>
          </w:r>
          <w:r w:rsidRPr="00EA4971">
            <w:t>91%</w:t>
          </w:r>
          <w:r>
            <w:t xml:space="preserve"> of</w:t>
          </w:r>
          <w:r w:rsidRPr="00EA4971">
            <w:t xml:space="preserve"> glycerin-based fluids were cytotoxic</w:t>
          </w:r>
          <w:r>
            <w:t xml:space="preserve"> to endothelial cells</w:t>
          </w:r>
          <w:r w:rsidRPr="00EA4971">
            <w:t xml:space="preserve"> when </w:t>
          </w:r>
          <w:r>
            <w:t xml:space="preserve">vaporised </w:t>
          </w:r>
          <w:r>
            <w:fldChar w:fldCharType="begin">
              <w:fldData xml:space="preserve">PEVuZE5vdGU+PENpdGU+PEF1dGhvcj5CYXJiZXI8L0F1dGhvcj48WWVhcj4yMDE3PC9ZZWFyPjxS
ZWNOdW0+MTYyNjwvUmVjTnVtPjxEaXNwbGF5VGV4dD4oQmFyYmVyLCBHaGVicmVoaXdldCBldCBh
bC4gMjAxNyk8L0Rpc3BsYXlUZXh0PjxyZWNvcmQ+PHJlYy1udW1iZXI+MTYyNjwvcmVjLW51bWJl
cj48Zm9yZWlnbi1rZXlzPjxrZXkgYXBwPSJFTiIgZGItaWQ9Ijl6MDVkejBwcmFhZGZ1ZWUwem94
emVkazl6ZmU1Znh4NTB6NSIgdGltZXN0YW1wPSIxNTIxNTA3MTI4Ij4xNjI2PC9rZXk+PGtleSBh
cHA9IkVOV2ViIiBkYi1pZD0iIj4wPC9rZXk+PC9mb3JlaWduLWtleXM+PHJlZi10eXBlIG5hbWU9
IkpvdXJuYWwgQXJ0aWNsZSI+MTc8L3JlZi10eXBlPjxjb250cmlidXRvcnM+PGF1dGhvcnM+PGF1
dGhvcj5CYXJiZXIsIEsuIEUuPC9hdXRob3I+PGF1dGhvcj5HaGVicmVoaXdldCwgQi48L2F1dGhv
cj48YXV0aG9yPllpbiwgVy48L2F1dGhvcj48YXV0aG9yPlJ1YmVuc3RlaW4sIEQuIEEuPC9hdXRo
b3I+PC9hdXRob3JzPjwvY29udHJpYnV0b3JzPjx0aXRsZXM+PHRpdGxlPkVuZG90aGVsaWFsIENl
bGwgSW5mbGFtbWF0b3J5IFJlYWN0aW9ucyBBcmUgQWx0ZXJlZCBpbiB0aGUgUHJlc2VuY2Ugb2Yg
RS1DaWdhcmV0dGUgRXh0cmFjdHMgb2YgVmFyaWFibGUgTmljb3RpbmU8L3RpdGxlPjxzZWNvbmRh
cnktdGl0bGU+Q2VsbHVsYXIgYW5kIE1vbGVjdWxhciBCaW9lbmdpbmVlcmluZzwvc2Vjb25kYXJ5
LXRpdGxlPjwvdGl0bGVzPjxwZXJpb2RpY2FsPjxmdWxsLXRpdGxlPkNlbGx1bGFyIGFuZCBNb2xl
Y3VsYXIgQmlvZW5naW5lZXJpbmc8L2Z1bGwtdGl0bGU+PC9wZXJpb2RpY2FsPjxwYWdlcz4xMjQt
MTMzPC9wYWdlcz48dm9sdW1lPjEwPC92b2x1bWU+PG51bWJlcj4xPC9udW1iZXI+PGtleXdvcmRz
PjxrZXl3b3JkPmNvbXBsZW1lbnQgY29tcG9uZW50IEMxcTwva2V5d29yZD48a2V5d29yZD5uaWNv
dGluZTwva2V5d29yZD48a2V5d29yZD50b2JhY2NvIHNtb2tlPC9rZXl3b3JkPjxrZXl3b3JkPkFy
dGljbGU8L2tleXdvcmQ+PGtleXdvcmQ+Y2FyZGlvdmFzY3VsYXIgZGlzZWFzZTwva2V5d29yZD48
a2V5d29yZD5jZWxsIGRlbnNpdHk8L2tleXdvcmQ+PGtleXdvcmQ+Y2VsbCBwcm9saWZlcmF0aW9u
PC9rZXl3b3JkPjxrZXl3b3JkPmNlbGwgdmlhYmlsaXR5PC9rZXl3b3JkPjxrZXl3b3JkPmNvbXBs
ZW1lbnQgYWN0aXZhdGlvbjwva2V5d29yZD48a2V5d29yZD5jb21wbGVtZW50IGRlcG9zaXRpb248
L2tleXdvcmQ+PGtleXdvcmQ+Y29udHJvbGxlZCBzdHVkeTwva2V5d29yZD48a2V5d29yZD5lbGVj
dHJvbmljIGNpZ2FyZXR0ZTwva2V5d29yZD48a2V5d29yZD5lbmRvdGhlbGl1bSBjZWxsPC9rZXl3
b3JkPjxrZXl3b3JkPmh1bWFuPC9rZXl3b3JkPjxrZXl3b3JkPmh1bWFuIGNlbGw8L2tleXdvcmQ+
PGtleXdvcmQ+aW5mbGFtbWF0aW9uPC9rZXl3b3JkPjxrZXl3b3JkPm1ldGFib2xpYyBhY3RpdmF0
aW9uPC9rZXl3b3JkPjxrZXl3b3JkPnBhcnRpY3VsYXRlIG1hdHRlcjwva2V5d29yZD48a2V5d29y
ZD5wcm90ZWluIGV4cHJlc3Npb248L2tleXdvcmQ+PGtleXdvcmQ+cmlzayBmYWN0b3I8L2tleXdv
cmQ+PGtleXdvcmQ+dG9iYWNjbzwva2V5d29yZD48a2V5d29yZD52YXNjdWxpdGlzPC9rZXl3b3Jk
Pjwva2V5d29yZHM+PGRhdGVzPjx5ZWFyPjIwMTc8L3llYXI+PC9kYXRlcz48dXJscz48cmVsYXRl
ZC11cmxzPjx1cmw+aHR0cHM6Ly93d3cuc2NvcHVzLmNvbS9pbndhcmQvcmVjb3JkLnVyaT9laWQ9
Mi1zMi4wLTg0OTgzNDE0MTY3JmFtcDtkb2k9MTAuMTAwNyUyZnMxMjE5NS0wMTYtMDQ2NS00JmFt
cDtwYXJ0bmVySUQ9NDAmYW1wO21kNT1jODJiMzZjNzM4MjI2NTdhODdjMjg2MmEwZTlkMTgzMTwv
dXJsPjx1cmw+aHR0cHM6Ly9saW5rLnNwcmluZ2VyLmNvbS9jb250ZW50L3BkZi8xMC4xMDA3JTJG
czEyMTk1LTAxNi0wNDY1LTQucGRmPC91cmw+PC9yZWxhdGVkLXVybHM+PC91cmxzPjxlbGVjdHJv
bmljLXJlc291cmNlLW51bT4xMC4xMDA3L3MxMjE5NS0wMTYtMDQ2NS00PC9lbGVjdHJvbmljLXJl
c291cmNlLW51bT48cmVtb3RlLWRhdGFiYXNlLW5hbWU+U2NvcHVzPC9yZW1vdGUtZGF0YWJhc2Ut
bmFtZT48L3JlY29yZD48L0NpdGU+PC9FbmROb3RlPn==
</w:fldData>
            </w:fldChar>
          </w:r>
          <w:r>
            <w:instrText xml:space="preserve"> ADDIN EN.CITE </w:instrText>
          </w:r>
          <w:r>
            <w:fldChar w:fldCharType="begin">
              <w:fldData xml:space="preserve">PEVuZE5vdGU+PENpdGU+PEF1dGhvcj5CYXJiZXI8L0F1dGhvcj48WWVhcj4yMDE3PC9ZZWFyPjxS
ZWNOdW0+MTYyNjwvUmVjTnVtPjxEaXNwbGF5VGV4dD4oQmFyYmVyLCBHaGVicmVoaXdldCBldCBh
bC4gMjAxNyk8L0Rpc3BsYXlUZXh0PjxyZWNvcmQ+PHJlYy1udW1iZXI+MTYyNjwvcmVjLW51bWJl
cj48Zm9yZWlnbi1rZXlzPjxrZXkgYXBwPSJFTiIgZGItaWQ9Ijl6MDVkejBwcmFhZGZ1ZWUwem94
emVkazl6ZmU1Znh4NTB6NSIgdGltZXN0YW1wPSIxNTIxNTA3MTI4Ij4xNjI2PC9rZXk+PGtleSBh
cHA9IkVOV2ViIiBkYi1pZD0iIj4wPC9rZXk+PC9mb3JlaWduLWtleXM+PHJlZi10eXBlIG5hbWU9
IkpvdXJuYWwgQXJ0aWNsZSI+MTc8L3JlZi10eXBlPjxjb250cmlidXRvcnM+PGF1dGhvcnM+PGF1
dGhvcj5CYXJiZXIsIEsuIEUuPC9hdXRob3I+PGF1dGhvcj5HaGVicmVoaXdldCwgQi48L2F1dGhv
cj48YXV0aG9yPllpbiwgVy48L2F1dGhvcj48YXV0aG9yPlJ1YmVuc3RlaW4sIEQuIEEuPC9hdXRo
b3I+PC9hdXRob3JzPjwvY29udHJpYnV0b3JzPjx0aXRsZXM+PHRpdGxlPkVuZG90aGVsaWFsIENl
bGwgSW5mbGFtbWF0b3J5IFJlYWN0aW9ucyBBcmUgQWx0ZXJlZCBpbiB0aGUgUHJlc2VuY2Ugb2Yg
RS1DaWdhcmV0dGUgRXh0cmFjdHMgb2YgVmFyaWFibGUgTmljb3RpbmU8L3RpdGxlPjxzZWNvbmRh
cnktdGl0bGU+Q2VsbHVsYXIgYW5kIE1vbGVjdWxhciBCaW9lbmdpbmVlcmluZzwvc2Vjb25kYXJ5
LXRpdGxlPjwvdGl0bGVzPjxwZXJpb2RpY2FsPjxmdWxsLXRpdGxlPkNlbGx1bGFyIGFuZCBNb2xl
Y3VsYXIgQmlvZW5naW5lZXJpbmc8L2Z1bGwtdGl0bGU+PC9wZXJpb2RpY2FsPjxwYWdlcz4xMjQt
MTMzPC9wYWdlcz48dm9sdW1lPjEwPC92b2x1bWU+PG51bWJlcj4xPC9udW1iZXI+PGtleXdvcmRz
PjxrZXl3b3JkPmNvbXBsZW1lbnQgY29tcG9uZW50IEMxcTwva2V5d29yZD48a2V5d29yZD5uaWNv
dGluZTwva2V5d29yZD48a2V5d29yZD50b2JhY2NvIHNtb2tlPC9rZXl3b3JkPjxrZXl3b3JkPkFy
dGljbGU8L2tleXdvcmQ+PGtleXdvcmQ+Y2FyZGlvdmFzY3VsYXIgZGlzZWFzZTwva2V5d29yZD48
a2V5d29yZD5jZWxsIGRlbnNpdHk8L2tleXdvcmQ+PGtleXdvcmQ+Y2VsbCBwcm9saWZlcmF0aW9u
PC9rZXl3b3JkPjxrZXl3b3JkPmNlbGwgdmlhYmlsaXR5PC9rZXl3b3JkPjxrZXl3b3JkPmNvbXBs
ZW1lbnQgYWN0aXZhdGlvbjwva2V5d29yZD48a2V5d29yZD5jb21wbGVtZW50IGRlcG9zaXRpb248
L2tleXdvcmQ+PGtleXdvcmQ+Y29udHJvbGxlZCBzdHVkeTwva2V5d29yZD48a2V5d29yZD5lbGVj
dHJvbmljIGNpZ2FyZXR0ZTwva2V5d29yZD48a2V5d29yZD5lbmRvdGhlbGl1bSBjZWxsPC9rZXl3
b3JkPjxrZXl3b3JkPmh1bWFuPC9rZXl3b3JkPjxrZXl3b3JkPmh1bWFuIGNlbGw8L2tleXdvcmQ+
PGtleXdvcmQ+aW5mbGFtbWF0aW9uPC9rZXl3b3JkPjxrZXl3b3JkPm1ldGFib2xpYyBhY3RpdmF0
aW9uPC9rZXl3b3JkPjxrZXl3b3JkPnBhcnRpY3VsYXRlIG1hdHRlcjwva2V5d29yZD48a2V5d29y
ZD5wcm90ZWluIGV4cHJlc3Npb248L2tleXdvcmQ+PGtleXdvcmQ+cmlzayBmYWN0b3I8L2tleXdv
cmQ+PGtleXdvcmQ+dG9iYWNjbzwva2V5d29yZD48a2V5d29yZD52YXNjdWxpdGlzPC9rZXl3b3Jk
Pjwva2V5d29yZHM+PGRhdGVzPjx5ZWFyPjIwMTc8L3llYXI+PC9kYXRlcz48dXJscz48cmVsYXRl
ZC11cmxzPjx1cmw+aHR0cHM6Ly93d3cuc2NvcHVzLmNvbS9pbndhcmQvcmVjb3JkLnVyaT9laWQ9
Mi1zMi4wLTg0OTgzNDE0MTY3JmFtcDtkb2k9MTAuMTAwNyUyZnMxMjE5NS0wMTYtMDQ2NS00JmFt
cDtwYXJ0bmVySUQ9NDAmYW1wO21kNT1jODJiMzZjNzM4MjI2NTdhODdjMjg2MmEwZTlkMTgzMTwv
dXJsPjx1cmw+aHR0cHM6Ly9saW5rLnNwcmluZ2VyLmNvbS9jb250ZW50L3BkZi8xMC4xMDA3JTJG
czEyMTk1LTAxNi0wNDY1LTQucGRmPC91cmw+PC9yZWxhdGVkLXVybHM+PC91cmxzPjxlbGVjdHJv
bmljLXJlc291cmNlLW51bT4xMC4xMDA3L3MxMjE5NS0wMTYtMDQ2NS00PC9lbGVjdHJvbmljLXJl
c291cmNlLW51bT48cmVtb3RlLWRhdGFiYXNlLW5hbWU+U2NvcHVzPC9yZW1vdGUtZGF0YWJhc2Ut
bmFtZT48L3JlY29yZD48L0NpdGU+PC9FbmROb3RlPn==
</w:fldData>
            </w:fldChar>
          </w:r>
          <w:r>
            <w:instrText xml:space="preserve"> ADDIN EN.CITE.DATA </w:instrText>
          </w:r>
          <w:r>
            <w:fldChar w:fldCharType="end"/>
          </w:r>
          <w:r>
            <w:fldChar w:fldCharType="separate"/>
          </w:r>
          <w:r>
            <w:rPr>
              <w:noProof/>
            </w:rPr>
            <w:t>(Barber, Ghebrehiwet et al. 2017)</w:t>
          </w:r>
          <w:r>
            <w:fldChar w:fldCharType="end"/>
          </w:r>
          <w:r w:rsidRPr="00EA4971">
            <w:t>.</w:t>
          </w:r>
          <w:r>
            <w:t xml:space="preserve"> However, it is unlikely that cytotoxicity is the result of just one component of e-cigarette vapour. Chemicals found to be cytotoxic or reduce cell viability in lung cells, include nicotine and flavouring components (menthol, Sini-cide, strawberry, cherry, </w:t>
          </w:r>
          <w:r w:rsidRPr="000846C7">
            <w:t>Pentanedione</w:t>
          </w:r>
          <w:r>
            <w:t>,</w:t>
          </w:r>
          <w:r w:rsidRPr="000846C7">
            <w:t xml:space="preserve"> Cinnamaldehyde, O</w:t>
          </w:r>
          <w:r>
            <w:noBreakHyphen/>
          </w:r>
          <w:r w:rsidRPr="000846C7">
            <w:t>vanillin</w:t>
          </w:r>
          <w:r>
            <w:t>, acetoin, diacetyl</w:t>
          </w:r>
          <w:r w:rsidRPr="000846C7">
            <w:t>, maltol, coumarin</w:t>
          </w:r>
          <w:r>
            <w:t xml:space="preserve">, Banana </w:t>
          </w:r>
          <w:r w:rsidRPr="00B270B9">
            <w:rPr>
              <w:color w:val="auto"/>
            </w:rPr>
            <w:t xml:space="preserve">Pudding, Kola, </w:t>
          </w:r>
          <w:r>
            <w:t xml:space="preserve">Hot Cinnamon Candies and Menthol Tobacco) </w:t>
          </w:r>
          <w:r>
            <w:fldChar w:fldCharType="begin">
              <w:fldData xml:space="preserve">PEVuZE5vdGU+PENpdGU+PEF1dGhvcj5CZW5nYWxsaTwvQXV0aG9yPjxZZWFyPjIwMTc8L1llYXI+
PFJlY051bT44NDg8L1JlY051bT48RGlzcGxheVRleHQ+KEJlbmdhbGxpLCBGZXJyaSBldCBhbC4g
MjAxNywgTGVzbGllLCBWYXNhbnRoaSBCYXRocmluYXJheWFuYW4gZXQgYWwuIDIwMTcsIE11dGh1
bWFsYWdlLCBQcmlueiBldCBhbC4gMjAxNywgV2VlbiwgV2hpdHRhbGwgZXQgYWwuIDIwMTcsIE90
cmViYSwgS29zbWlkZXIgZXQgYWwuIDIwMTgpPC9EaXNwbGF5VGV4dD48cmVjb3JkPjxyZWMtbnVt
YmVyPjg0ODwvcmVjLW51bWJlcj48Zm9yZWlnbi1rZXlzPjxrZXkgYXBwPSJFTiIgZGItaWQ9Ijl6
MDVkejBwcmFhZGZ1ZWUwem94emVkazl6ZmU1Znh4NTB6NSIgdGltZXN0YW1wPSIxNTIxNTA2OTQy
Ij44NDg8L2tleT48a2V5IGFwcD0iRU5XZWIiIGRiLWlkPSIiPjA8L2tleT48L2ZvcmVpZ24ta2V5
cz48cmVmLXR5cGUgbmFtZT0iSm91cm5hbCBBcnRpY2xlIj4xNzwvcmVmLXR5cGU+PGNvbnRyaWJ1
dG9ycz48YXV0aG9ycz48YXV0aG9yPkJlbmdhbGxpLCBSLjwvYXV0aG9yPjxhdXRob3I+RmVycmks
IEUuPC9hdXRob3I+PGF1dGhvcj5MYWJyYSwgTS48L2F1dGhvcj48YXV0aG9yPk1hbnRlY2NhLCBQ
LjwvYXV0aG9yPjwvYXV0aG9ycz48L2NvbnRyaWJ1dG9ycz48YXV0aC1hZGRyZXNzPkRlcGFydG1l
bnQgb2YgRWFydGggYW5kIEVudmlyb25tZW50YWwgU2NpZW5jZXMsIFJlc2VhcmNoIENlbnRlciBQ
T0xBUklTIChQYXJ0aWN1bGF0ZSBNYXR0ZXIgYW5kIEhlYWx0aCBSaXNrKSwgMSBQaWF6emEgZGVs
bGEgU2NpZW56YSwgVW5pdmVyc2l0eSBvZiBNaWxhbm8gQmljb2NjYSwgMjAxMjYgTWlsYW4sIEl0
YWx5LiByb3NzZWxsYS5iZW5nYWxsaUB1bmltaWIuaXQuJiN4RDtUUlVTVElDRVJUIFNSTCwgdmlh
IE1henppbmkgMTgvQywgMjIwMzYgRXJiYSwgSXRhbHkuIGVtYW51ZWxlLmZlcnJpQHRydXN0aWNl
cnQuY29tLiYjeEQ7RGVwYXJ0bWVudCBvZiBCaW90ZWNobm9sb2d5IGFuZCBCaW9zY2llbmNlcywg
MiBQaWF6emEgZGVsbGEgU2NpZW56YSwgVW5pdmVyc2l0eSBvZiBNaWxhbm8gQmljb2NjYSwgMjAx
MjYgTWlsYW4sIEl0YWx5LiBtYXNzaW1vLmxhYnJhQHVuaW1pYi5pdC4mI3hEO0RlcGFydG1lbnQg
b2YgRWFydGggYW5kIEVudmlyb25tZW50YWwgU2NpZW5jZXMsIFJlc2VhcmNoIENlbnRlciBQT0xB
UklTIChQYXJ0aWN1bGF0ZSBNYXR0ZXIgYW5kIEhlYWx0aCBSaXNrKSwgMSBQaWF6emEgZGVsbGEg
U2NpZW56YSwgVW5pdmVyc2l0eSBvZiBNaWxhbm8gQmljb2NjYSwgMjAxMjYgTWlsYW4sIEl0YWx5
LiBwYXJpZGUubWFudGVjY2FAdW5pbWliLml0LjwvYXV0aC1hZGRyZXNzPjx0aXRsZXM+PHRpdGxl
Pkx1bmcgVG94aWNpdHkgb2YgQ29uZGVuc2VkIEFlcm9zb2wgZnJvbSBFLUNJRyBMaXF1aWRzOiBJ
bmZsdWVuY2Ugb2YgdGhlIEZsYXZvciBhbmQgdGhlIEluIFZpdHJvIE1vZGVsIFVzZWQ8L3RpdGxl
PjxzZWNvbmRhcnktdGl0bGU+SW50IEogRW52aXJvbiBSZXMgUHVibGljIEhlYWx0aDwvc2Vjb25k
YXJ5LXRpdGxlPjxhbHQtdGl0bGU+SW50ZXJuYXRpb25hbCBqb3VybmFsIG9mIGVudmlyb25tZW50
YWwgcmVzZWFyY2ggYW5kIHB1YmxpYyBoZWFsdGg8L2FsdC10aXRsZT48L3RpdGxlcz48YWx0LXBl
cmlvZGljYWw+PGZ1bGwtdGl0bGU+SW50ZXJuYXRpb25hbCBKb3VybmFsIG9mIEVudmlyb25tZW50
YWwgUmVzZWFyY2ggYW5kIFB1YmxpYyBIZWFsdGg8L2Z1bGwtdGl0bGU+PC9hbHQtcGVyaW9kaWNh
bD48dm9sdW1lPjE0PC92b2x1bWU+PG51bWJlcj4xMDwvbnVtYmVyPjxlZGl0aW9uPjIwMTcvMTAv
MjE8L2VkaXRpb24+PGtleXdvcmRzPjxrZXl3b3JkPmNvbmRlbnNlZCBhZXJvc29sPC9rZXl3b3Jk
PjxrZXl3b3JkPmUtY2lnYXJldHRlPC9rZXl3b3JkPjxrZXl3b3JkPmUtbGlxdWlkPC9rZXl3b3Jk
PjxrZXl3b3JkPmluIHZpdHJvIHN5c3RlbXM8L2tleXdvcmQ+PGtleXdvcmQ+aW5oYWxhdGlvbiB0
b3hpY29sb2d5PC9rZXl3b3JkPjwva2V5d29yZHM+PGRhdGVzPjx5ZWFyPjIwMTc8L3llYXI+PHB1
Yi1kYXRlcz48ZGF0ZT5PY3QgMjA8L2RhdGU+PC9wdWItZGF0ZXM+PC9kYXRlcz48aXNibj4xNjYw
LTQ2MDE8L2lzYm4+PGFjY2Vzc2lvbi1udW0+MjkwNTM2MDY8L2FjY2Vzc2lvbi1udW0+PHVybHM+
PHJlbGF0ZWQtdXJscz48dXJsPmh0dHA6Ly93d3cubWRwaS5jb20vMTY2MC00NjAxLzE0LzEwLzEy
NTQvcGRmPC91cmw+PC9yZWxhdGVkLXVybHM+PC91cmxzPjxjdXN0b20yPlBNQzU2NjQ3NTU8L2N1
c3RvbTI+PGVsZWN0cm9uaWMtcmVzb3VyY2UtbnVtPjEwLjMzOTAvaWplcnBoMTQxMDEyNTQ8L2Vs
ZWN0cm9uaWMtcmVzb3VyY2UtbnVtPjxyZW1vdGUtZGF0YWJhc2UtcHJvdmlkZXI+TkxNPC9yZW1v
dGUtZGF0YWJhc2UtcHJvdmlkZXI+PGxhbmd1YWdlPmVuZzwvbGFuZ3VhZ2U+PC9yZWNvcmQ+PC9D
aXRlPjxDaXRlPjxBdXRob3I+TGVzbGllPC9BdXRob3I+PFllYXI+MjAxNzwvWWVhcj48UmVjTnVt
PjExNzI8L1JlY051bT48cmVjb3JkPjxyZWMtbnVtYmVyPjExNzI8L3JlYy1udW1iZXI+PGZvcmVp
Z24ta2V5cz48a2V5IGFwcD0iRU4iIGRiLWlkPSI5ejA1ZHowcHJhYWRmdWVlMHpveHplZGs5emZl
NWZ4eDUwejUiIHRpbWVzdGFtcD0iMTUyMTUwNzAxNyI+MTE3Mjwva2V5PjxrZXkgYXBwPSJFTldl
YiIgZGItaWQ9IiI+MDwva2V5PjwvZm9yZWlnbi1rZXlzPjxyZWYtdHlwZSBuYW1lPSJKb3VybmFs
IEFydGljbGUiPjE3PC9yZWYtdHlwZT48Y29udHJpYnV0b3JzPjxhdXRob3JzPjxhdXRob3I+TGVz
bGllLCBMLiBKLjwvYXV0aG9yPjxhdXRob3I+VmFzYW50aGkgQmF0aHJpbmFyYXlhbmFuLCBQLjwv
YXV0aG9yPjxhdXRob3I+SmFja3NvbiwgUC48L2F1dGhvcj48YXV0aG9yPk1hYmlhbGEgTWEgTXVh
bmRhLCBKLiBBLjwvYXV0aG9yPjxhdXRob3I+UGFsbGV0dCwgUi48L2F1dGhvcj48YXV0aG9yPlN0
aWxsbWFuLCBDLiBKLiBQLjwvYXV0aG9yPjxhdXRob3I+TWFyc2hhbGwsIEwuIEouPC9hdXRob3I+
PC9hdXRob3JzPjwvY29udHJpYnV0b3JzPjxhdXRoLWFkZHJlc3M+YSBTY2hvb2wgb2YgRW5naW5l
ZXJpbmcgYW5kIEFwcGxpZWQgU2NpZW5jZSAsIEFzdG9uIFVuaXZlcnNpdHkgLCBCaXJtaW5naGFt
ICwgVUsuJiN4RDtiIFNjaG9vbCBvZiBMaWZlIGFuZCBIZWFsdGggU2NpZW5jZXMgLCBBc3RvbiBV
bml2ZXJzaXR5ICwgQmlybWluZ2hhbSAsIFVLLjwvYXV0aC1hZGRyZXNzPjx0aXRsZXM+PHRpdGxl
PkEgY29tcGFyYXRpdmUgc3R1ZHkgb2YgZWxlY3Ryb25pYyBjaWdhcmV0dGUgdmFwb3IgZXh0cmFj
dHMgb24gYWlyd2F5LXJlbGF0ZWQgY2VsbCBsaW5lcyBpbiB2aXRybzwvdGl0bGU+PHNlY29uZGFy
eS10aXRsZT5JbmhhbCBUb3hpY29sPC9zZWNvbmRhcnktdGl0bGU+PGFsdC10aXRsZT5JbmhhbGF0
aW9uIHRveGljb2xvZ3k8L2FsdC10aXRsZT48L3RpdGxlcz48cGVyaW9kaWNhbD48ZnVsbC10aXRs
ZT5JbmhhbCBUb3hpY29sPC9mdWxsLXRpdGxlPjxhYmJyLTE+SW5oYWxhdGlvbiB0b3hpY29sb2d5
PC9hYmJyLTE+PC9wZXJpb2RpY2FsPjxhbHQtcGVyaW9kaWNhbD48ZnVsbC10aXRsZT5JbmhhbCBU
b3hpY29sPC9mdWxsLXRpdGxlPjxhYmJyLTE+SW5oYWxhdGlvbiB0b3hpY29sb2d5PC9hYmJyLTE+
PC9hbHQtcGVyaW9kaWNhbD48cGFnZXM+MTI2LTEzNjwvcGFnZXM+PHZvbHVtZT4yOTwvdm9sdW1l
PjxudW1iZXI+MzwvbnVtYmVyPjxlZGl0aW9uPjIwMTcvMDUvMDU8L2VkaXRpb24+PGtleXdvcmRz
PjxrZXl3b3JkPkJyb25jaGkvY3l0b2xvZ3k8L2tleXdvcmQ+PGtleXdvcmQ+Q2VsbCBMaW5lPC9r
ZXl3b3JkPjxrZXl3b3JkPkNlbGwgU3Vydml2YWwvZHJ1ZyBlZmZlY3RzPC9rZXl3b3JkPjxrZXl3
b3JkPkNvbXBsZXggTWl4dHVyZXMvKnRveGljaXR5PC9rZXl3b3JkPjxrZXl3b3JkPipFbGVjdHJv
bmljIE5pY290aW5lIERlbGl2ZXJ5IFN5c3RlbXM8L2tleXdvcmQ+PGtleXdvcmQ+Rmxhdm9yaW5n
IEFnZW50cy8qdG94aWNpdHk8L2tleXdvcmQ+PGtleXdvcmQ+SHVtYW5zPC9rZXl3b3JkPjxrZXl3
b3JkPk1hY3JvcGhhZ2VzL2RydWcgZWZmZWN0czwva2V5d29yZD48a2V5d29yZD5OaWNvdGluZS90
b3hpY2l0eTwva2V5d29yZD48a2V5d29yZD4qU21va2U8L2tleXdvcmQ+PGtleXdvcmQ+VG9iYWNj
bzwva2V5d29yZD48a2V5d29yZD4qRWxlY3Ryb25pYyBjaWdhcmV0dGVzPC9rZXl3b3JkPjxrZXl3
b3JkPiphaXJ3YXlzPC9rZXl3b3JkPjxrZXl3b3JkPipjeXRvdG94aWNpdHk8L2tleXdvcmQ+PGtl
eXdvcmQ+KmVwaXRoZWxpYWxzPC9rZXl3b3JkPjxrZXl3b3JkPippbiB2aXRybyBtb2RlbHM8L2tl
eXdvcmQ+PC9rZXl3b3Jkcz48ZGF0ZXM+PHllYXI+MjAxNzwveWVhcj48cHViLWRhdGVzPjxkYXRl
PkZlYjwvZGF0ZT48L3B1Yi1kYXRlcz48L2RhdGVzPjxpc2JuPjA4OTUtODM3ODwvaXNibj48YWNj
ZXNzaW9uLW51bT4yODQ3MDE0MTwvYWNjZXNzaW9uLW51bT48dXJscz48cmVsYXRlZC11cmxzPjx1
cmw+aHR0cHM6Ly93d3cudGFuZGZvbmxpbmUuY29tL2RvaS9wZGYvMTAuMTA4MC8wODk1ODM3OC4y
MDE3LjEzMTgxOTM/bmVlZEFjY2Vzcz10cnVlPC91cmw+PC9yZWxhdGVkLXVybHM+PC91cmxzPjxl
bGVjdHJvbmljLXJlc291cmNlLW51bT4xMC4xMDgwLzA4OTU4Mzc4LjIwMTcuMTMxODE5MzwvZWxl
Y3Ryb25pYy1yZXNvdXJjZS1udW0+PHJlbW90ZS1kYXRhYmFzZS1wcm92aWRlcj5OTE08L3JlbW90
ZS1kYXRhYmFzZS1wcm92aWRlcj48bGFuZ3VhZ2U+ZW5nPC9sYW5ndWFnZT48L3JlY29yZD48L0Np
dGU+PENpdGU+PEF1dGhvcj5XZWVuPC9BdXRob3I+PFllYXI+MjAxNzwvWWVhcj48UmVjTnVtPjEy
MjQ1PC9SZWNOdW0+PHJlY29yZD48cmVjLW51bWJlcj4xMjI0NTwvcmVjLW51bWJlcj48Zm9yZWln
bi1rZXlzPjxrZXkgYXBwPSJFTiIgZGItaWQ9IjV4djV3NXQyYmR4dHhmZXp4MDJ4dHhkZnQ1cno1
cHR2dnQyOSIgdGltZXN0YW1wPSIxNTIzODY3OTI1Ij4xMjI0NTwva2V5PjxrZXkgYXBwPSJFTldl
YiIgZGItaWQ9IiI+MDwva2V5PjwvZm9yZWlnbi1rZXlzPjxyZWYtdHlwZSBuYW1lPSJKb3VybmFs
IEFydGljbGUiPjE3PC9yZWYtdHlwZT48Y29udHJpYnV0b3JzPjxhdXRob3JzPjxhdXRob3I+V2Vl
biwgTS4gUC48L2F1dGhvcj48YXV0aG9yPldoaXR0YWxsLCBKLiBKLjwvYXV0aG9yPjxhdXRob3I+
SGFtb24sIFIuPC9hdXRob3I+PGF1dGhvcj5SZXlub2xkcywgUC4gTi48L2F1dGhvcj48YXV0aG9y
PkhvZGdlLCBTLiBKLjwvYXV0aG9yPjwvYXV0aG9ycz48L2NvbnRyaWJ1dG9ycz48YXV0aC1hZGRy
ZXNzPkRlcGFydG1lbnQgb2YgVGhvcmFjaWMgTWVkaWNpbmUsIFJveWFsIEFkZWxhaWRlIEhvc3Bp
dGFsLCBBZGVsYWlkZSwgQXVzdHJhbGlhIE1pcmFuZGEud2VlbkBhZGVsYWlkZS5lZHUuYXUuJiN4
RDtTY2hvb2wgb2YgTWVkaWNpbmUsIFVuaXZlcnNpdHkgb2YgQWRlbGFpZGUsIEFkZWxhaWRlLCBB
dXN0cmFsaWEuJiN4RDtEZXBhcnRtZW50IG9mIFRob3JhY2ljIE1lZGljaW5lLCBSb3lhbCBBZGVs
YWlkZSBIb3NwaXRhbCwgQWRlbGFpZGUsIEF1c3RyYWxpYS48L2F1dGgtYWRkcmVzcz48dGl0bGVz
Pjx0aXRsZT5QaGFnb2N5dG9zaXMgYW5kIEluZmxhbW1hdGlvbjogRXhwbG9yaW5nIHRoZSBlZmZl
Y3RzIG9mIHRoZSBjb21wb25lbnRzIG9mIEUtY2lnYXJldHRlIHZhcG9yIG9uIG1hY3JvcGhhZ2Vz
PC90aXRsZT48c2Vjb25kYXJ5LXRpdGxlPlBoeXNpb2wgUmVwPC9zZWNvbmRhcnktdGl0bGU+PGFs
dC10aXRsZT5QaHlzaW9sb2dpY2FsIHJlcG9ydHM8L2FsdC10aXRsZT48L3RpdGxlcz48cGVyaW9k
aWNhbD48ZnVsbC10aXRsZT5QaHlzaW9sIFJlcDwvZnVsbC10aXRsZT48YWJici0xPlBoeXNpb2xv
Z2ljYWwgcmVwb3J0czwvYWJici0xPjwvcGVyaW9kaWNhbD48YWx0LXBlcmlvZGljYWw+PGZ1bGwt
dGl0bGU+UGh5c2lvbCBSZXA8L2Z1bGwtdGl0bGU+PGFiYnItMT5QaHlzaW9sb2dpY2FsIHJlcG9y
dHM8L2FiYnItMT48L2FsdC1wZXJpb2RpY2FsPjx2b2x1bWU+NTwvdm9sdW1lPjxudW1iZXI+MTY8
L251bWJlcj48ZWRpdGlvbj4yMDE3LzA5LzA1PC9lZGl0aW9uPjxrZXl3b3Jkcz48a2V5d29yZD5F
LWNpZ2FyZXR0ZXM8L2tleXdvcmQ+PGtleXdvcmQ+Y3l0b2tpbmVzPC9rZXl3b3JkPjxrZXl3b3Jk
PmluZmxhbW1hdGlvbjwva2V5d29yZD48a2V5d29yZD5tYWNyb3BoYWdlczwva2V5d29yZD48a2V5
d29yZD5waGFnb2N5dG9zaXM8L2tleXdvcmQ+PC9rZXl3b3Jkcz48ZGF0ZXM+PHllYXI+MjAxNzwv
eWVhcj48cHViLWRhdGVzPjxkYXRlPkF1ZzwvZGF0ZT48L3B1Yi1kYXRlcz48L2RhdGVzPjxpc2Ju
PjIwNTEtODE3eDwvaXNibj48YWNjZXNzaW9uLW51bT4yODg2NzY3MjwvYWNjZXNzaW9uLW51bT48
dXJscz48cmVsYXRlZC11cmxzPjx1cmw+aHR0cHM6Ly9waHlzb2Mub25saW5lbGlicmFyeS53aWxl
eS5jb20vZG9pL3BkZi8xMC4xNDgxNC9waHkyLjEzMzcwPC91cmw+PC9yZWxhdGVkLXVybHM+PC91
cmxzPjxjdXN0b20yPlBNQzU1ODIyNjE8L2N1c3RvbTI+PGVsZWN0cm9uaWMtcmVzb3VyY2UtbnVt
PjEwLjE0ODE0L3BoeTIuMTMzNzA8L2VsZWN0cm9uaWMtcmVzb3VyY2UtbnVtPjxyZW1vdGUtZGF0
YWJhc2UtcHJvdmlkZXI+TkxNPC9yZW1vdGUtZGF0YWJhc2UtcHJvdmlkZXI+PGxhbmd1YWdlPmVu
ZzwvbGFuZ3VhZ2U+PC9yZWNvcmQ+PC9DaXRlPjxDaXRlPjxBdXRob3I+TXV0aHVtYWxhZ2U8L0F1
dGhvcj48WWVhcj4yMDE3PC9ZZWFyPjxSZWNOdW0+NjI4PC9SZWNOdW0+PHJlY29yZD48cmVjLW51
bWJlcj42Mjg8L3JlYy1udW1iZXI+PGZvcmVpZ24ta2V5cz48a2V5IGFwcD0iRU4iIGRiLWlkPSI5
ejA1ZHowcHJhYWRmdWVlMHpveHplZGs5emZlNWZ4eDUwejUiIHRpbWVzdGFtcD0iMTUyMTUwNjg3
MyI+NjI4PC9rZXk+PGtleSBhcHA9IkVOV2ViIiBkYi1pZD0iIj4wPC9rZXk+PC9mb3JlaWduLWtl
eXM+PHJlZi10eXBlIG5hbWU9IkpvdXJuYWwgQXJ0aWNsZSI+MTc8L3JlZi10eXBlPjxjb250cmli
dXRvcnM+PGF1dGhvcnM+PGF1dGhvcj5NdXRodW1hbGFnZSwgVC48L2F1dGhvcj48YXV0aG9yPlBy
aW56LCBNLjwvYXV0aG9yPjxhdXRob3I+QW5zYWgsIEsuIE8uPC9hdXRob3I+PGF1dGhvcj5HZXJs
b2ZmLCBKLjwvYXV0aG9yPjxhdXRob3I+U3VuZGFyLCBJLiBLLjwvYXV0aG9yPjxhdXRob3I+UmFo
bWFuLCBJLjwvYXV0aG9yPjwvYXV0aG9ycz48L2NvbnRyaWJ1dG9ycz48YXV0aC1hZGRyZXNzPkRl
cGFydG1lbnQgb2YgRW52aXJvbm1lbnRhbCBNZWRpY2luZSwgVW5pdmVyc2l0eSBvZiBSb2NoZXN0
ZXIgTWVkaWNhbCBDZW50ZXIsIFJvY2hlc3RlciwgTlksIFVuaXRlZCBTdGF0ZXMuPC9hdXRoLWFk
ZHJlc3M+PHRpdGxlcz48dGl0bGU+SW5mbGFtbWF0b3J5IGFuZCBPeGlkYXRpdmUgUmVzcG9uc2Vz
IEluZHVjZWQgYnkgRXhwb3N1cmUgdG8gQ29tbW9ubHkgVXNlZCBlLUNpZ2FyZXR0ZSBGbGF2b3Jp
bmcgQ2hlbWljYWxzIGFuZCBGbGF2b3JlZCBlLUxpcXVpZHMgd2l0aG91dCBOaWNvdGluZTwvdGl0
bGU+PHNlY29uZGFyeS10aXRsZT5Gcm9udCBQaHlzaW9sPC9zZWNvbmRhcnktdGl0bGU+PGFsdC10
aXRsZT5Gcm9udGllcnMgaW4gcGh5c2lvbG9neTwvYWx0LXRpdGxlPjwvdGl0bGVzPjxhbHQtcGVy
aW9kaWNhbD48ZnVsbC10aXRsZT5Gcm9udGllcnMgaW4gcGh5c2lvbG9neTwvZnVsbC10aXRsZT48
L2FsdC1wZXJpb2RpY2FsPjxwYWdlcz4xMTMwPC9wYWdlcz48dm9sdW1lPjg8L3ZvbHVtZT48ZWRp
dGlvbj4yMDE4LzAxLzMwPC9lZGl0aW9uPjxrZXl3b3Jkcz48a2V5d29yZD5jaWdhcmV0dGVzPC9r
ZXl3b3JkPjxrZXl3b3JkPmUtbGlxdWlkczwva2V5d29yZD48a2V5d29yZD5mbGF2b3JzPC9rZXl3
b3JkPjxrZXl3b3JkPmluZmxhbW1hdGlvbjwva2V5d29yZD48a2V5d29yZD5pbnRlcmxldWtpbi04
PC9rZXl3b3JkPjxrZXl3b3JkPm1vbm9jeXRlczwva2V5d29yZD48a2V5d29yZD5veGlkYXRpdmUg
c3RyZXNzPC9rZXl3b3JkPjwva2V5d29yZHM+PGRhdGVzPjx5ZWFyPjIwMTc8L3llYXI+PC9kYXRl
cz48aXNibj4xNjY0LTA0MlggKFByaW50KSYjeEQ7MTY2NC0wNDJ4PC9pc2JuPjxhY2Nlc3Npb24t
bnVtPjI5Mzc1Mzk5PC9hY2Nlc3Npb24tbnVtPjx1cmxzPjwvdXJscz48Y3VzdG9tMj5QTUM1NzY4
NjA4PC9jdXN0b20yPjxlbGVjdHJvbmljLXJlc291cmNlLW51bT4xMC4zMzg5L2ZwaHlzLjIwMTcu
MDExMzA8L2VsZWN0cm9uaWMtcmVzb3VyY2UtbnVtPjxyZW1vdGUtZGF0YWJhc2UtcHJvdmlkZXI+
TkxNPC9yZW1vdGUtZGF0YWJhc2UtcHJvdmlkZXI+PGxhbmd1YWdlPmVuZzwvbGFuZ3VhZ2U+PC9y
ZWNvcmQ+PC9DaXRlPjxDaXRlPjxBdXRob3I+T3RyZWJhPC9BdXRob3I+PFllYXI+MjAxODwvWWVh
cj48UmVjTnVtPjEwNDUwPC9SZWNOdW0+PHJlY29yZD48cmVjLW51bWJlcj4xMDQ1MDwvcmVjLW51
bWJlcj48Zm9yZWlnbi1rZXlzPjxrZXkgYXBwPSJFTiIgZGItaWQ9Ijl6MDVkejBwcmFhZGZ1ZWUw
em94emVkazl6ZmU1Znh4NTB6NSIgdGltZXN0YW1wPSIxNTI2ODY5ODc4Ij4xMDQ1MDwva2V5Pjxr
ZXkgYXBwPSJFTldlYiIgZGItaWQ9IiI+MDwva2V5PjwvZm9yZWlnbi1rZXlzPjxyZWYtdHlwZSBu
YW1lPSJKb3VybmFsIEFydGljbGUiPjE3PC9yZWYtdHlwZT48Y29udHJpYnV0b3JzPjxhdXRob3Jz
PjxhdXRob3I+T3RyZWJhLCBNaWNoYWw8L2F1dGhvcj48YXV0aG9yPktvc21pZGVyLCBMZW9uPC9h
dXRob3I+PGF1dGhvcj5LbnlzYWssIEpha3ViPC9hdXRob3I+PGF1dGhvcj5XYXJuY2tlLCBKYXJl
ZCBELjwvYXV0aG9yPjxhdXRob3I+U29iY3phaywgQW5kcnplajwvYXV0aG9yPjwvYXV0aG9ycz48
L2NvbnRyaWJ1dG9ycz48dGl0bGVzPjx0aXRsZT5FLWNpZ2FyZXR0ZXM6IHZvbHRhZ2UtIGFuZCBj
b25jZW50cmF0aW9uLWRlcGVuZGVudCBsb3NzIGluIGh1bWFuIGx1bmcgYWRlbm9jYXJjaW5vbWEg
dmlhYmlsaXR5PC90aXRsZT48c2Vjb25kYXJ5LXRpdGxlPkpvdXJuYWwgb2YgYXBwbGllZCB0b3hp
Y29sb2d5IDogSkFUPC9zZWNvbmRhcnktdGl0bGU+PC90aXRsZXM+PHBlcmlvZGljYWw+PGZ1bGwt
dGl0bGU+Sm91cm5hbCBvZiBhcHBsaWVkIHRveGljb2xvZ3kgOiBKQVQ8L2Z1bGwtdGl0bGU+PC9w
ZXJpb2RpY2FsPjxkYXRlcz48eWVhcj4yMDE4PC95ZWFyPjxwdWItZGF0ZXM+PGRhdGU+MjAxOC1B
cHItMTc8L2RhdGU+PC9wdWItZGF0ZXM+PC9kYXRlcz48YWNjZXNzaW9uLW51bT5NRURMSU5FOjI5
NjY1MDgyPC9hY2Nlc3Npb24tbnVtPjx1cmxzPjxyZWxhdGVkLXVybHM+PHVybD4mbHQ7R28gdG8g
SVNJJmd0OzovL01FRExJTkU6Mjk2NjUwODI8L3VybD48dXJsPmh0dHBzOi8vb25saW5lbGlicmFy
eS53aWxleS5jb20vZG9pL3BkZi8xMC4xMDAyL2phdC4zNjI1PC91cmw+PC9yZWxhdGVkLXVybHM+
PC91cmxzPjxlbGVjdHJvbmljLXJlc291cmNlLW51bT4xMC4xMDAyL2phdC4zNjI1PC9lbGVjdHJv
bmljLXJlc291cmNlLW51bT48L3JlY29yZD48L0NpdGU+PC9FbmROb3RlPgB=
</w:fldData>
            </w:fldChar>
          </w:r>
          <w:r w:rsidR="00903735">
            <w:instrText xml:space="preserve"> ADDIN EN.CITE </w:instrText>
          </w:r>
          <w:r w:rsidR="00903735">
            <w:fldChar w:fldCharType="begin">
              <w:fldData xml:space="preserve">PEVuZE5vdGU+PENpdGU+PEF1dGhvcj5CZW5nYWxsaTwvQXV0aG9yPjxZZWFyPjIwMTc8L1llYXI+
PFJlY051bT44NDg8L1JlY051bT48RGlzcGxheVRleHQ+KEJlbmdhbGxpLCBGZXJyaSBldCBhbC4g
MjAxNywgTGVzbGllLCBWYXNhbnRoaSBCYXRocmluYXJheWFuYW4gZXQgYWwuIDIwMTcsIE11dGh1
bWFsYWdlLCBQcmlueiBldCBhbC4gMjAxNywgV2VlbiwgV2hpdHRhbGwgZXQgYWwuIDIwMTcsIE90
cmViYSwgS29zbWlkZXIgZXQgYWwuIDIwMTgpPC9EaXNwbGF5VGV4dD48cmVjb3JkPjxyZWMtbnVt
YmVyPjg0ODwvcmVjLW51bWJlcj48Zm9yZWlnbi1rZXlzPjxrZXkgYXBwPSJFTiIgZGItaWQ9Ijl6
MDVkejBwcmFhZGZ1ZWUwem94emVkazl6ZmU1Znh4NTB6NSIgdGltZXN0YW1wPSIxNTIxNTA2OTQy
Ij44NDg8L2tleT48a2V5IGFwcD0iRU5XZWIiIGRiLWlkPSIiPjA8L2tleT48L2ZvcmVpZ24ta2V5
cz48cmVmLXR5cGUgbmFtZT0iSm91cm5hbCBBcnRpY2xlIj4xNzwvcmVmLXR5cGU+PGNvbnRyaWJ1
dG9ycz48YXV0aG9ycz48YXV0aG9yPkJlbmdhbGxpLCBSLjwvYXV0aG9yPjxhdXRob3I+RmVycmks
IEUuPC9hdXRob3I+PGF1dGhvcj5MYWJyYSwgTS48L2F1dGhvcj48YXV0aG9yPk1hbnRlY2NhLCBQ
LjwvYXV0aG9yPjwvYXV0aG9ycz48L2NvbnRyaWJ1dG9ycz48YXV0aC1hZGRyZXNzPkRlcGFydG1l
bnQgb2YgRWFydGggYW5kIEVudmlyb25tZW50YWwgU2NpZW5jZXMsIFJlc2VhcmNoIENlbnRlciBQ
T0xBUklTIChQYXJ0aWN1bGF0ZSBNYXR0ZXIgYW5kIEhlYWx0aCBSaXNrKSwgMSBQaWF6emEgZGVs
bGEgU2NpZW56YSwgVW5pdmVyc2l0eSBvZiBNaWxhbm8gQmljb2NjYSwgMjAxMjYgTWlsYW4sIEl0
YWx5LiByb3NzZWxsYS5iZW5nYWxsaUB1bmltaWIuaXQuJiN4RDtUUlVTVElDRVJUIFNSTCwgdmlh
IE1henppbmkgMTgvQywgMjIwMzYgRXJiYSwgSXRhbHkuIGVtYW51ZWxlLmZlcnJpQHRydXN0aWNl
cnQuY29tLiYjeEQ7RGVwYXJ0bWVudCBvZiBCaW90ZWNobm9sb2d5IGFuZCBCaW9zY2llbmNlcywg
MiBQaWF6emEgZGVsbGEgU2NpZW56YSwgVW5pdmVyc2l0eSBvZiBNaWxhbm8gQmljb2NjYSwgMjAx
MjYgTWlsYW4sIEl0YWx5LiBtYXNzaW1vLmxhYnJhQHVuaW1pYi5pdC4mI3hEO0RlcGFydG1lbnQg
b2YgRWFydGggYW5kIEVudmlyb25tZW50YWwgU2NpZW5jZXMsIFJlc2VhcmNoIENlbnRlciBQT0xB
UklTIChQYXJ0aWN1bGF0ZSBNYXR0ZXIgYW5kIEhlYWx0aCBSaXNrKSwgMSBQaWF6emEgZGVsbGEg
U2NpZW56YSwgVW5pdmVyc2l0eSBvZiBNaWxhbm8gQmljb2NjYSwgMjAxMjYgTWlsYW4sIEl0YWx5
LiBwYXJpZGUubWFudGVjY2FAdW5pbWliLml0LjwvYXV0aC1hZGRyZXNzPjx0aXRsZXM+PHRpdGxl
Pkx1bmcgVG94aWNpdHkgb2YgQ29uZGVuc2VkIEFlcm9zb2wgZnJvbSBFLUNJRyBMaXF1aWRzOiBJ
bmZsdWVuY2Ugb2YgdGhlIEZsYXZvciBhbmQgdGhlIEluIFZpdHJvIE1vZGVsIFVzZWQ8L3RpdGxl
PjxzZWNvbmRhcnktdGl0bGU+SW50IEogRW52aXJvbiBSZXMgUHVibGljIEhlYWx0aDwvc2Vjb25k
YXJ5LXRpdGxlPjxhbHQtdGl0bGU+SW50ZXJuYXRpb25hbCBqb3VybmFsIG9mIGVudmlyb25tZW50
YWwgcmVzZWFyY2ggYW5kIHB1YmxpYyBoZWFsdGg8L2FsdC10aXRsZT48L3RpdGxlcz48YWx0LXBl
cmlvZGljYWw+PGZ1bGwtdGl0bGU+SW50ZXJuYXRpb25hbCBKb3VybmFsIG9mIEVudmlyb25tZW50
YWwgUmVzZWFyY2ggYW5kIFB1YmxpYyBIZWFsdGg8L2Z1bGwtdGl0bGU+PC9hbHQtcGVyaW9kaWNh
bD48dm9sdW1lPjE0PC92b2x1bWU+PG51bWJlcj4xMDwvbnVtYmVyPjxlZGl0aW9uPjIwMTcvMTAv
MjE8L2VkaXRpb24+PGtleXdvcmRzPjxrZXl3b3JkPmNvbmRlbnNlZCBhZXJvc29sPC9rZXl3b3Jk
PjxrZXl3b3JkPmUtY2lnYXJldHRlPC9rZXl3b3JkPjxrZXl3b3JkPmUtbGlxdWlkPC9rZXl3b3Jk
PjxrZXl3b3JkPmluIHZpdHJvIHN5c3RlbXM8L2tleXdvcmQ+PGtleXdvcmQ+aW5oYWxhdGlvbiB0
b3hpY29sb2d5PC9rZXl3b3JkPjwva2V5d29yZHM+PGRhdGVzPjx5ZWFyPjIwMTc8L3llYXI+PHB1
Yi1kYXRlcz48ZGF0ZT5PY3QgMjA8L2RhdGU+PC9wdWItZGF0ZXM+PC9kYXRlcz48aXNibj4xNjYw
LTQ2MDE8L2lzYm4+PGFjY2Vzc2lvbi1udW0+MjkwNTM2MDY8L2FjY2Vzc2lvbi1udW0+PHVybHM+
PHJlbGF0ZWQtdXJscz48dXJsPmh0dHA6Ly93d3cubWRwaS5jb20vMTY2MC00NjAxLzE0LzEwLzEy
NTQvcGRmPC91cmw+PC9yZWxhdGVkLXVybHM+PC91cmxzPjxjdXN0b20yPlBNQzU2NjQ3NTU8L2N1
c3RvbTI+PGVsZWN0cm9uaWMtcmVzb3VyY2UtbnVtPjEwLjMzOTAvaWplcnBoMTQxMDEyNTQ8L2Vs
ZWN0cm9uaWMtcmVzb3VyY2UtbnVtPjxyZW1vdGUtZGF0YWJhc2UtcHJvdmlkZXI+TkxNPC9yZW1v
dGUtZGF0YWJhc2UtcHJvdmlkZXI+PGxhbmd1YWdlPmVuZzwvbGFuZ3VhZ2U+PC9yZWNvcmQ+PC9D
aXRlPjxDaXRlPjxBdXRob3I+TGVzbGllPC9BdXRob3I+PFllYXI+MjAxNzwvWWVhcj48UmVjTnVt
PjExNzI8L1JlY051bT48cmVjb3JkPjxyZWMtbnVtYmVyPjExNzI8L3JlYy1udW1iZXI+PGZvcmVp
Z24ta2V5cz48a2V5IGFwcD0iRU4iIGRiLWlkPSI5ejA1ZHowcHJhYWRmdWVlMHpveHplZGs5emZl
NWZ4eDUwejUiIHRpbWVzdGFtcD0iMTUyMTUwNzAxNyI+MTE3Mjwva2V5PjxrZXkgYXBwPSJFTldl
YiIgZGItaWQ9IiI+MDwva2V5PjwvZm9yZWlnbi1rZXlzPjxyZWYtdHlwZSBuYW1lPSJKb3VybmFs
IEFydGljbGUiPjE3PC9yZWYtdHlwZT48Y29udHJpYnV0b3JzPjxhdXRob3JzPjxhdXRob3I+TGVz
bGllLCBMLiBKLjwvYXV0aG9yPjxhdXRob3I+VmFzYW50aGkgQmF0aHJpbmFyYXlhbmFuLCBQLjwv
YXV0aG9yPjxhdXRob3I+SmFja3NvbiwgUC48L2F1dGhvcj48YXV0aG9yPk1hYmlhbGEgTWEgTXVh
bmRhLCBKLiBBLjwvYXV0aG9yPjxhdXRob3I+UGFsbGV0dCwgUi48L2F1dGhvcj48YXV0aG9yPlN0
aWxsbWFuLCBDLiBKLiBQLjwvYXV0aG9yPjxhdXRob3I+TWFyc2hhbGwsIEwuIEouPC9hdXRob3I+
PC9hdXRob3JzPjwvY29udHJpYnV0b3JzPjxhdXRoLWFkZHJlc3M+YSBTY2hvb2wgb2YgRW5naW5l
ZXJpbmcgYW5kIEFwcGxpZWQgU2NpZW5jZSAsIEFzdG9uIFVuaXZlcnNpdHkgLCBCaXJtaW5naGFt
ICwgVUsuJiN4RDtiIFNjaG9vbCBvZiBMaWZlIGFuZCBIZWFsdGggU2NpZW5jZXMgLCBBc3RvbiBV
bml2ZXJzaXR5ICwgQmlybWluZ2hhbSAsIFVLLjwvYXV0aC1hZGRyZXNzPjx0aXRsZXM+PHRpdGxl
PkEgY29tcGFyYXRpdmUgc3R1ZHkgb2YgZWxlY3Ryb25pYyBjaWdhcmV0dGUgdmFwb3IgZXh0cmFj
dHMgb24gYWlyd2F5LXJlbGF0ZWQgY2VsbCBsaW5lcyBpbiB2aXRybzwvdGl0bGU+PHNlY29uZGFy
eS10aXRsZT5JbmhhbCBUb3hpY29sPC9zZWNvbmRhcnktdGl0bGU+PGFsdC10aXRsZT5JbmhhbGF0
aW9uIHRveGljb2xvZ3k8L2FsdC10aXRsZT48L3RpdGxlcz48cGVyaW9kaWNhbD48ZnVsbC10aXRs
ZT5JbmhhbCBUb3hpY29sPC9mdWxsLXRpdGxlPjxhYmJyLTE+SW5oYWxhdGlvbiB0b3hpY29sb2d5
PC9hYmJyLTE+PC9wZXJpb2RpY2FsPjxhbHQtcGVyaW9kaWNhbD48ZnVsbC10aXRsZT5JbmhhbCBU
b3hpY29sPC9mdWxsLXRpdGxlPjxhYmJyLTE+SW5oYWxhdGlvbiB0b3hpY29sb2d5PC9hYmJyLTE+
PC9hbHQtcGVyaW9kaWNhbD48cGFnZXM+MTI2LTEzNjwvcGFnZXM+PHZvbHVtZT4yOTwvdm9sdW1l
PjxudW1iZXI+MzwvbnVtYmVyPjxlZGl0aW9uPjIwMTcvMDUvMDU8L2VkaXRpb24+PGtleXdvcmRz
PjxrZXl3b3JkPkJyb25jaGkvY3l0b2xvZ3k8L2tleXdvcmQ+PGtleXdvcmQ+Q2VsbCBMaW5lPC9r
ZXl3b3JkPjxrZXl3b3JkPkNlbGwgU3Vydml2YWwvZHJ1ZyBlZmZlY3RzPC9rZXl3b3JkPjxrZXl3
b3JkPkNvbXBsZXggTWl4dHVyZXMvKnRveGljaXR5PC9rZXl3b3JkPjxrZXl3b3JkPipFbGVjdHJv
bmljIE5pY290aW5lIERlbGl2ZXJ5IFN5c3RlbXM8L2tleXdvcmQ+PGtleXdvcmQ+Rmxhdm9yaW5n
IEFnZW50cy8qdG94aWNpdHk8L2tleXdvcmQ+PGtleXdvcmQ+SHVtYW5zPC9rZXl3b3JkPjxrZXl3
b3JkPk1hY3JvcGhhZ2VzL2RydWcgZWZmZWN0czwva2V5d29yZD48a2V5d29yZD5OaWNvdGluZS90
b3hpY2l0eTwva2V5d29yZD48a2V5d29yZD4qU21va2U8L2tleXdvcmQ+PGtleXdvcmQ+VG9iYWNj
bzwva2V5d29yZD48a2V5d29yZD4qRWxlY3Ryb25pYyBjaWdhcmV0dGVzPC9rZXl3b3JkPjxrZXl3
b3JkPiphaXJ3YXlzPC9rZXl3b3JkPjxrZXl3b3JkPipjeXRvdG94aWNpdHk8L2tleXdvcmQ+PGtl
eXdvcmQ+KmVwaXRoZWxpYWxzPC9rZXl3b3JkPjxrZXl3b3JkPippbiB2aXRybyBtb2RlbHM8L2tl
eXdvcmQ+PC9rZXl3b3Jkcz48ZGF0ZXM+PHllYXI+MjAxNzwveWVhcj48cHViLWRhdGVzPjxkYXRl
PkZlYjwvZGF0ZT48L3B1Yi1kYXRlcz48L2RhdGVzPjxpc2JuPjA4OTUtODM3ODwvaXNibj48YWNj
ZXNzaW9uLW51bT4yODQ3MDE0MTwvYWNjZXNzaW9uLW51bT48dXJscz48cmVsYXRlZC11cmxzPjx1
cmw+aHR0cHM6Ly93d3cudGFuZGZvbmxpbmUuY29tL2RvaS9wZGYvMTAuMTA4MC8wODk1ODM3OC4y
MDE3LjEzMTgxOTM/bmVlZEFjY2Vzcz10cnVlPC91cmw+PC9yZWxhdGVkLXVybHM+PC91cmxzPjxl
bGVjdHJvbmljLXJlc291cmNlLW51bT4xMC4xMDgwLzA4OTU4Mzc4LjIwMTcuMTMxODE5MzwvZWxl
Y3Ryb25pYy1yZXNvdXJjZS1udW0+PHJlbW90ZS1kYXRhYmFzZS1wcm92aWRlcj5OTE08L3JlbW90
ZS1kYXRhYmFzZS1wcm92aWRlcj48bGFuZ3VhZ2U+ZW5nPC9sYW5ndWFnZT48L3JlY29yZD48L0Np
dGU+PENpdGU+PEF1dGhvcj5XZWVuPC9BdXRob3I+PFllYXI+MjAxNzwvWWVhcj48UmVjTnVtPjEy
MjQ1PC9SZWNOdW0+PHJlY29yZD48cmVjLW51bWJlcj4xMjI0NTwvcmVjLW51bWJlcj48Zm9yZWln
bi1rZXlzPjxrZXkgYXBwPSJFTiIgZGItaWQ9IjV4djV3NXQyYmR4dHhmZXp4MDJ4dHhkZnQ1cno1
cHR2dnQyOSIgdGltZXN0YW1wPSIxNTIzODY3OTI1Ij4xMjI0NTwva2V5PjxrZXkgYXBwPSJFTldl
YiIgZGItaWQ9IiI+MDwva2V5PjwvZm9yZWlnbi1rZXlzPjxyZWYtdHlwZSBuYW1lPSJKb3VybmFs
IEFydGljbGUiPjE3PC9yZWYtdHlwZT48Y29udHJpYnV0b3JzPjxhdXRob3JzPjxhdXRob3I+V2Vl
biwgTS4gUC48L2F1dGhvcj48YXV0aG9yPldoaXR0YWxsLCBKLiBKLjwvYXV0aG9yPjxhdXRob3I+
SGFtb24sIFIuPC9hdXRob3I+PGF1dGhvcj5SZXlub2xkcywgUC4gTi48L2F1dGhvcj48YXV0aG9y
PkhvZGdlLCBTLiBKLjwvYXV0aG9yPjwvYXV0aG9ycz48L2NvbnRyaWJ1dG9ycz48YXV0aC1hZGRy
ZXNzPkRlcGFydG1lbnQgb2YgVGhvcmFjaWMgTWVkaWNpbmUsIFJveWFsIEFkZWxhaWRlIEhvc3Bp
dGFsLCBBZGVsYWlkZSwgQXVzdHJhbGlhIE1pcmFuZGEud2VlbkBhZGVsYWlkZS5lZHUuYXUuJiN4
RDtTY2hvb2wgb2YgTWVkaWNpbmUsIFVuaXZlcnNpdHkgb2YgQWRlbGFpZGUsIEFkZWxhaWRlLCBB
dXN0cmFsaWEuJiN4RDtEZXBhcnRtZW50IG9mIFRob3JhY2ljIE1lZGljaW5lLCBSb3lhbCBBZGVs
YWlkZSBIb3NwaXRhbCwgQWRlbGFpZGUsIEF1c3RyYWxpYS48L2F1dGgtYWRkcmVzcz48dGl0bGVz
Pjx0aXRsZT5QaGFnb2N5dG9zaXMgYW5kIEluZmxhbW1hdGlvbjogRXhwbG9yaW5nIHRoZSBlZmZl
Y3RzIG9mIHRoZSBjb21wb25lbnRzIG9mIEUtY2lnYXJldHRlIHZhcG9yIG9uIG1hY3JvcGhhZ2Vz
PC90aXRsZT48c2Vjb25kYXJ5LXRpdGxlPlBoeXNpb2wgUmVwPC9zZWNvbmRhcnktdGl0bGU+PGFs
dC10aXRsZT5QaHlzaW9sb2dpY2FsIHJlcG9ydHM8L2FsdC10aXRsZT48L3RpdGxlcz48cGVyaW9k
aWNhbD48ZnVsbC10aXRsZT5QaHlzaW9sIFJlcDwvZnVsbC10aXRsZT48YWJici0xPlBoeXNpb2xv
Z2ljYWwgcmVwb3J0czwvYWJici0xPjwvcGVyaW9kaWNhbD48YWx0LXBlcmlvZGljYWw+PGZ1bGwt
dGl0bGU+UGh5c2lvbCBSZXA8L2Z1bGwtdGl0bGU+PGFiYnItMT5QaHlzaW9sb2dpY2FsIHJlcG9y
dHM8L2FiYnItMT48L2FsdC1wZXJpb2RpY2FsPjx2b2x1bWU+NTwvdm9sdW1lPjxudW1iZXI+MTY8
L251bWJlcj48ZWRpdGlvbj4yMDE3LzA5LzA1PC9lZGl0aW9uPjxrZXl3b3Jkcz48a2V5d29yZD5F
LWNpZ2FyZXR0ZXM8L2tleXdvcmQ+PGtleXdvcmQ+Y3l0b2tpbmVzPC9rZXl3b3JkPjxrZXl3b3Jk
PmluZmxhbW1hdGlvbjwva2V5d29yZD48a2V5d29yZD5tYWNyb3BoYWdlczwva2V5d29yZD48a2V5
d29yZD5waGFnb2N5dG9zaXM8L2tleXdvcmQ+PC9rZXl3b3Jkcz48ZGF0ZXM+PHllYXI+MjAxNzwv
eWVhcj48cHViLWRhdGVzPjxkYXRlPkF1ZzwvZGF0ZT48L3B1Yi1kYXRlcz48L2RhdGVzPjxpc2Ju
PjIwNTEtODE3eDwvaXNibj48YWNjZXNzaW9uLW51bT4yODg2NzY3MjwvYWNjZXNzaW9uLW51bT48
dXJscz48cmVsYXRlZC11cmxzPjx1cmw+aHR0cHM6Ly9waHlzb2Mub25saW5lbGlicmFyeS53aWxl
eS5jb20vZG9pL3BkZi8xMC4xNDgxNC9waHkyLjEzMzcwPC91cmw+PC9yZWxhdGVkLXVybHM+PC91
cmxzPjxjdXN0b20yPlBNQzU1ODIyNjE8L2N1c3RvbTI+PGVsZWN0cm9uaWMtcmVzb3VyY2UtbnVt
PjEwLjE0ODE0L3BoeTIuMTMzNzA8L2VsZWN0cm9uaWMtcmVzb3VyY2UtbnVtPjxyZW1vdGUtZGF0
YWJhc2UtcHJvdmlkZXI+TkxNPC9yZW1vdGUtZGF0YWJhc2UtcHJvdmlkZXI+PGxhbmd1YWdlPmVu
ZzwvbGFuZ3VhZ2U+PC9yZWNvcmQ+PC9DaXRlPjxDaXRlPjxBdXRob3I+TXV0aHVtYWxhZ2U8L0F1
dGhvcj48WWVhcj4yMDE3PC9ZZWFyPjxSZWNOdW0+NjI4PC9SZWNOdW0+PHJlY29yZD48cmVjLW51
bWJlcj42Mjg8L3JlYy1udW1iZXI+PGZvcmVpZ24ta2V5cz48a2V5IGFwcD0iRU4iIGRiLWlkPSI5
ejA1ZHowcHJhYWRmdWVlMHpveHplZGs5emZlNWZ4eDUwejUiIHRpbWVzdGFtcD0iMTUyMTUwNjg3
MyI+NjI4PC9rZXk+PGtleSBhcHA9IkVOV2ViIiBkYi1pZD0iIj4wPC9rZXk+PC9mb3JlaWduLWtl
eXM+PHJlZi10eXBlIG5hbWU9IkpvdXJuYWwgQXJ0aWNsZSI+MTc8L3JlZi10eXBlPjxjb250cmli
dXRvcnM+PGF1dGhvcnM+PGF1dGhvcj5NdXRodW1hbGFnZSwgVC48L2F1dGhvcj48YXV0aG9yPlBy
aW56LCBNLjwvYXV0aG9yPjxhdXRob3I+QW5zYWgsIEsuIE8uPC9hdXRob3I+PGF1dGhvcj5HZXJs
b2ZmLCBKLjwvYXV0aG9yPjxhdXRob3I+U3VuZGFyLCBJLiBLLjwvYXV0aG9yPjxhdXRob3I+UmFo
bWFuLCBJLjwvYXV0aG9yPjwvYXV0aG9ycz48L2NvbnRyaWJ1dG9ycz48YXV0aC1hZGRyZXNzPkRl
cGFydG1lbnQgb2YgRW52aXJvbm1lbnRhbCBNZWRpY2luZSwgVW5pdmVyc2l0eSBvZiBSb2NoZXN0
ZXIgTWVkaWNhbCBDZW50ZXIsIFJvY2hlc3RlciwgTlksIFVuaXRlZCBTdGF0ZXMuPC9hdXRoLWFk
ZHJlc3M+PHRpdGxlcz48dGl0bGU+SW5mbGFtbWF0b3J5IGFuZCBPeGlkYXRpdmUgUmVzcG9uc2Vz
IEluZHVjZWQgYnkgRXhwb3N1cmUgdG8gQ29tbW9ubHkgVXNlZCBlLUNpZ2FyZXR0ZSBGbGF2b3Jp
bmcgQ2hlbWljYWxzIGFuZCBGbGF2b3JlZCBlLUxpcXVpZHMgd2l0aG91dCBOaWNvdGluZTwvdGl0
bGU+PHNlY29uZGFyeS10aXRsZT5Gcm9udCBQaHlzaW9sPC9zZWNvbmRhcnktdGl0bGU+PGFsdC10
aXRsZT5Gcm9udGllcnMgaW4gcGh5c2lvbG9neTwvYWx0LXRpdGxlPjwvdGl0bGVzPjxhbHQtcGVy
aW9kaWNhbD48ZnVsbC10aXRsZT5Gcm9udGllcnMgaW4gcGh5c2lvbG9neTwvZnVsbC10aXRsZT48
L2FsdC1wZXJpb2RpY2FsPjxwYWdlcz4xMTMwPC9wYWdlcz48dm9sdW1lPjg8L3ZvbHVtZT48ZWRp
dGlvbj4yMDE4LzAxLzMwPC9lZGl0aW9uPjxrZXl3b3Jkcz48a2V5d29yZD5jaWdhcmV0dGVzPC9r
ZXl3b3JkPjxrZXl3b3JkPmUtbGlxdWlkczwva2V5d29yZD48a2V5d29yZD5mbGF2b3JzPC9rZXl3
b3JkPjxrZXl3b3JkPmluZmxhbW1hdGlvbjwva2V5d29yZD48a2V5d29yZD5pbnRlcmxldWtpbi04
PC9rZXl3b3JkPjxrZXl3b3JkPm1vbm9jeXRlczwva2V5d29yZD48a2V5d29yZD5veGlkYXRpdmUg
c3RyZXNzPC9rZXl3b3JkPjwva2V5d29yZHM+PGRhdGVzPjx5ZWFyPjIwMTc8L3llYXI+PC9kYXRl
cz48aXNibj4xNjY0LTA0MlggKFByaW50KSYjeEQ7MTY2NC0wNDJ4PC9pc2JuPjxhY2Nlc3Npb24t
bnVtPjI5Mzc1Mzk5PC9hY2Nlc3Npb24tbnVtPjx1cmxzPjwvdXJscz48Y3VzdG9tMj5QTUM1NzY4
NjA4PC9jdXN0b20yPjxlbGVjdHJvbmljLXJlc291cmNlLW51bT4xMC4zMzg5L2ZwaHlzLjIwMTcu
MDExMzA8L2VsZWN0cm9uaWMtcmVzb3VyY2UtbnVtPjxyZW1vdGUtZGF0YWJhc2UtcHJvdmlkZXI+
TkxNPC9yZW1vdGUtZGF0YWJhc2UtcHJvdmlkZXI+PGxhbmd1YWdlPmVuZzwvbGFuZ3VhZ2U+PC9y
ZWNvcmQ+PC9DaXRlPjxDaXRlPjxBdXRob3I+T3RyZWJhPC9BdXRob3I+PFllYXI+MjAxODwvWWVh
cj48UmVjTnVtPjEwNDUwPC9SZWNOdW0+PHJlY29yZD48cmVjLW51bWJlcj4xMDQ1MDwvcmVjLW51
bWJlcj48Zm9yZWlnbi1rZXlzPjxrZXkgYXBwPSJFTiIgZGItaWQ9Ijl6MDVkejBwcmFhZGZ1ZWUw
em94emVkazl6ZmU1Znh4NTB6NSIgdGltZXN0YW1wPSIxNTI2ODY5ODc4Ij4xMDQ1MDwva2V5Pjxr
ZXkgYXBwPSJFTldlYiIgZGItaWQ9IiI+MDwva2V5PjwvZm9yZWlnbi1rZXlzPjxyZWYtdHlwZSBu
YW1lPSJKb3VybmFsIEFydGljbGUiPjE3PC9yZWYtdHlwZT48Y29udHJpYnV0b3JzPjxhdXRob3Jz
PjxhdXRob3I+T3RyZWJhLCBNaWNoYWw8L2F1dGhvcj48YXV0aG9yPktvc21pZGVyLCBMZW9uPC9h
dXRob3I+PGF1dGhvcj5LbnlzYWssIEpha3ViPC9hdXRob3I+PGF1dGhvcj5XYXJuY2tlLCBKYXJl
ZCBELjwvYXV0aG9yPjxhdXRob3I+U29iY3phaywgQW5kcnplajwvYXV0aG9yPjwvYXV0aG9ycz48
L2NvbnRyaWJ1dG9ycz48dGl0bGVzPjx0aXRsZT5FLWNpZ2FyZXR0ZXM6IHZvbHRhZ2UtIGFuZCBj
b25jZW50cmF0aW9uLWRlcGVuZGVudCBsb3NzIGluIGh1bWFuIGx1bmcgYWRlbm9jYXJjaW5vbWEg
dmlhYmlsaXR5PC90aXRsZT48c2Vjb25kYXJ5LXRpdGxlPkpvdXJuYWwgb2YgYXBwbGllZCB0b3hp
Y29sb2d5IDogSkFUPC9zZWNvbmRhcnktdGl0bGU+PC90aXRsZXM+PHBlcmlvZGljYWw+PGZ1bGwt
dGl0bGU+Sm91cm5hbCBvZiBhcHBsaWVkIHRveGljb2xvZ3kgOiBKQVQ8L2Z1bGwtdGl0bGU+PC9w
ZXJpb2RpY2FsPjxkYXRlcz48eWVhcj4yMDE4PC95ZWFyPjxwdWItZGF0ZXM+PGRhdGU+MjAxOC1B
cHItMTc8L2RhdGU+PC9wdWItZGF0ZXM+PC9kYXRlcz48YWNjZXNzaW9uLW51bT5NRURMSU5FOjI5
NjY1MDgyPC9hY2Nlc3Npb24tbnVtPjx1cmxzPjxyZWxhdGVkLXVybHM+PHVybD4mbHQ7R28gdG8g
SVNJJmd0OzovL01FRExJTkU6Mjk2NjUwODI8L3VybD48dXJsPmh0dHBzOi8vb25saW5lbGlicmFy
eS53aWxleS5jb20vZG9pL3BkZi8xMC4xMDAyL2phdC4zNjI1PC91cmw+PC9yZWxhdGVkLXVybHM+
PC91cmxzPjxlbGVjdHJvbmljLXJlc291cmNlLW51bT4xMC4xMDAyL2phdC4zNjI1PC9lbGVjdHJv
bmljLXJlc291cmNlLW51bT48L3JlY29yZD48L0NpdGU+PC9FbmROb3RlPgB=
</w:fldData>
            </w:fldChar>
          </w:r>
          <w:r w:rsidR="00903735">
            <w:instrText xml:space="preserve"> ADDIN EN.CITE.DATA </w:instrText>
          </w:r>
          <w:r w:rsidR="00903735">
            <w:fldChar w:fldCharType="end"/>
          </w:r>
          <w:r>
            <w:fldChar w:fldCharType="separate"/>
          </w:r>
          <w:r>
            <w:rPr>
              <w:noProof/>
            </w:rPr>
            <w:t>(Bengalli, Ferri et al. 2017, Leslie, Vasanthi Bathrinarayanan et al. 2017, Muthumalage, Prinz et al. 2017, Ween, Whittall et al. 2017, Otreba, Kosmider et al. 2018)</w:t>
          </w:r>
          <w:r>
            <w:fldChar w:fldCharType="end"/>
          </w:r>
          <w:r>
            <w:t xml:space="preserve">. </w:t>
          </w:r>
        </w:p>
        <w:p w14:paraId="05CDA956" w14:textId="77777777" w:rsidR="00A74D41" w:rsidRDefault="00A74D41" w:rsidP="00A74D41">
          <w:pPr>
            <w:pStyle w:val="BodyText"/>
          </w:pPr>
          <w:r>
            <w:rPr>
              <w:rFonts w:eastAsia="Times New Roman" w:cs="Calibri"/>
            </w:rPr>
            <w:t xml:space="preserve">Another study investigated nicotine-containing versus nicotine-free e-cigarette liquids on gingival fibroblast cells and found that nicotine-containing cells elicited significant toxicity </w:t>
          </w:r>
          <w:r>
            <w:rPr>
              <w:rFonts w:eastAsia="Times New Roman" w:cs="Calibri"/>
            </w:rPr>
            <w:fldChar w:fldCharType="begin"/>
          </w:r>
          <w:r>
            <w:rPr>
              <w:rFonts w:eastAsia="Times New Roman" w:cs="Calibri"/>
            </w:rPr>
            <w:instrText xml:space="preserve"> ADDIN EN.CITE &lt;EndNote&gt;&lt;Cite&gt;&lt;Author&gt;Sancilio&lt;/Author&gt;&lt;Year&gt;2017&lt;/Year&gt;&lt;RecNum&gt;1259&lt;/RecNum&gt;&lt;DisplayText&gt;(Sancilio, Gallorini et al. 2017)&lt;/DisplayText&gt;&lt;record&gt;&lt;rec-number&gt;1259&lt;/rec-number&gt;&lt;foreign-keys&gt;&lt;key app="EN" db-id="9z05dz0praadfuee0zoxzedk9zfe5fxx50z5" timestamp="1521507037"&gt;1259&lt;/key&gt;&lt;key app="ENWeb" db-id=""&gt;0&lt;/key&gt;&lt;/foreign-keys&gt;&lt;ref-type name="Journal Article"&gt;17&lt;/ref-type&gt;&lt;contributors&gt;&lt;authors&gt;&lt;author&gt;Sancilio, S.&lt;/author&gt;&lt;author&gt;Gallorini, M.&lt;/author&gt;&lt;author&gt;Cataldi, A.&lt;/author&gt;&lt;author&gt;Sancillo, L.&lt;/author&gt;&lt;author&gt;Rana, R. A.&lt;/author&gt;&lt;author&gt;di Giacomo, V.&lt;/author&gt;&lt;/authors&gt;&lt;/contributors&gt;&lt;auth-address&gt;Department of Pharmacy, University G. d&amp;apos;Annunzio, Chieti-Pescara, Italy.&amp;#xD;Department of Medicine and Aging Sciences, University G. d&amp;apos;Annunzio.&lt;/auth-address&gt;&lt;titles&gt;&lt;title&gt;Modifications in Human Oral Fibroblast Ultrastructure, Collagen Production, and Lysosomal Compartment in Response to Electronic Cigarette Fluids&lt;/title&gt;&lt;secondary-title&gt;J Periodontol&lt;/secondary-title&gt;&lt;alt-title&gt;Journal of periodontology&lt;/alt-title&gt;&lt;/titles&gt;&lt;periodical&gt;&lt;full-title&gt;J Periodontol&lt;/full-title&gt;&lt;abbr-1&gt;Journal of periodontology&lt;/abbr-1&gt;&lt;/periodical&gt;&lt;alt-periodical&gt;&lt;full-title&gt;J Periodontol&lt;/full-title&gt;&lt;abbr-1&gt;Journal of periodontology&lt;/abbr-1&gt;&lt;/alt-periodical&gt;&lt;pages&gt;673-680&lt;/pages&gt;&lt;volume&gt;88&lt;/volume&gt;&lt;number&gt;7&lt;/number&gt;&lt;edition&gt;2017/03/25&lt;/edition&gt;&lt;keywords&gt;&lt;keyword&gt;Electronic cigarettes&lt;/keyword&gt;&lt;keyword&gt;fibroblasts&lt;/keyword&gt;&lt;keyword&gt;lysosomes&lt;/keyword&gt;&lt;keyword&gt;microscopy, electron&lt;/keyword&gt;&lt;keyword&gt;nicotine&lt;/keyword&gt;&lt;/keywords&gt;&lt;dates&gt;&lt;year&gt;2017&lt;/year&gt;&lt;pub-dates&gt;&lt;date&gt;Jul&lt;/date&gt;&lt;/pub-dates&gt;&lt;/dates&gt;&lt;isbn&gt;0022-3492&lt;/isbn&gt;&lt;accession-num&gt;28338391&lt;/accession-num&gt;&lt;urls&gt;&lt;related-urls&gt;&lt;url&gt;https://onlinelibrary.wiley.com/doi/pdf/10.1902/jop.2017.160629&lt;/url&gt;&lt;/related-urls&gt;&lt;/urls&gt;&lt;electronic-resource-num&gt;10.1902/jop.2017.160629&lt;/electronic-resource-num&gt;&lt;remote-database-provider&gt;NLM&lt;/remote-database-provider&gt;&lt;language&gt;eng&lt;/language&gt;&lt;/record&gt;&lt;/Cite&gt;&lt;/EndNote&gt;</w:instrText>
          </w:r>
          <w:r>
            <w:rPr>
              <w:rFonts w:eastAsia="Times New Roman" w:cs="Calibri"/>
            </w:rPr>
            <w:fldChar w:fldCharType="separate"/>
          </w:r>
          <w:r>
            <w:rPr>
              <w:rFonts w:eastAsia="Times New Roman" w:cs="Calibri"/>
              <w:noProof/>
            </w:rPr>
            <w:t>(Sancilio, Gallorini et al. 2017)</w:t>
          </w:r>
          <w:r>
            <w:rPr>
              <w:rFonts w:eastAsia="Times New Roman" w:cs="Calibri"/>
            </w:rPr>
            <w:fldChar w:fldCharType="end"/>
          </w:r>
          <w:r>
            <w:rPr>
              <w:rFonts w:eastAsia="Times New Roman" w:cs="Calibri"/>
            </w:rPr>
            <w:t xml:space="preserve">. The authors of this paper suggested that nicotine-free liquids were able to counteract toxicity by activation of the lysosome compartment of cells </w:t>
          </w:r>
          <w:r>
            <w:rPr>
              <w:rFonts w:eastAsia="Times New Roman" w:cs="Calibri"/>
            </w:rPr>
            <w:fldChar w:fldCharType="begin"/>
          </w:r>
          <w:r>
            <w:rPr>
              <w:rFonts w:eastAsia="Times New Roman" w:cs="Calibri"/>
            </w:rPr>
            <w:instrText xml:space="preserve"> ADDIN EN.CITE &lt;EndNote&gt;&lt;Cite&gt;&lt;Author&gt;Sancilio&lt;/Author&gt;&lt;Year&gt;2017&lt;/Year&gt;&lt;RecNum&gt;1259&lt;/RecNum&gt;&lt;DisplayText&gt;(Sancilio, Gallorini et al. 2017)&lt;/DisplayText&gt;&lt;record&gt;&lt;rec-number&gt;1259&lt;/rec-number&gt;&lt;foreign-keys&gt;&lt;key app="EN" db-id="9z05dz0praadfuee0zoxzedk9zfe5fxx50z5" timestamp="1521507037"&gt;1259&lt;/key&gt;&lt;key app="ENWeb" db-id=""&gt;0&lt;/key&gt;&lt;/foreign-keys&gt;&lt;ref-type name="Journal Article"&gt;17&lt;/ref-type&gt;&lt;contributors&gt;&lt;authors&gt;&lt;author&gt;Sancilio, S.&lt;/author&gt;&lt;author&gt;Gallorini, M.&lt;/author&gt;&lt;author&gt;Cataldi, A.&lt;/author&gt;&lt;author&gt;Sancillo, L.&lt;/author&gt;&lt;author&gt;Rana, R. A.&lt;/author&gt;&lt;author&gt;di Giacomo, V.&lt;/author&gt;&lt;/authors&gt;&lt;/contributors&gt;&lt;auth-address&gt;Department of Pharmacy, University G. d&amp;apos;Annunzio, Chieti-Pescara, Italy.&amp;#xD;Department of Medicine and Aging Sciences, University G. d&amp;apos;Annunzio.&lt;/auth-address&gt;&lt;titles&gt;&lt;title&gt;Modifications in Human Oral Fibroblast Ultrastructure, Collagen Production, and Lysosomal Compartment in Response to Electronic Cigarette Fluids&lt;/title&gt;&lt;secondary-title&gt;J Periodontol&lt;/secondary-title&gt;&lt;alt-title&gt;Journal of periodontology&lt;/alt-title&gt;&lt;/titles&gt;&lt;periodical&gt;&lt;full-title&gt;J Periodontol&lt;/full-title&gt;&lt;abbr-1&gt;Journal of periodontology&lt;/abbr-1&gt;&lt;/periodical&gt;&lt;alt-periodical&gt;&lt;full-title&gt;J Periodontol&lt;/full-title&gt;&lt;abbr-1&gt;Journal of periodontology&lt;/abbr-1&gt;&lt;/alt-periodical&gt;&lt;pages&gt;673-680&lt;/pages&gt;&lt;volume&gt;88&lt;/volume&gt;&lt;number&gt;7&lt;/number&gt;&lt;edition&gt;2017/03/25&lt;/edition&gt;&lt;keywords&gt;&lt;keyword&gt;Electronic cigarettes&lt;/keyword&gt;&lt;keyword&gt;fibroblasts&lt;/keyword&gt;&lt;keyword&gt;lysosomes&lt;/keyword&gt;&lt;keyword&gt;microscopy, electron&lt;/keyword&gt;&lt;keyword&gt;nicotine&lt;/keyword&gt;&lt;/keywords&gt;&lt;dates&gt;&lt;year&gt;2017&lt;/year&gt;&lt;pub-dates&gt;&lt;date&gt;Jul&lt;/date&gt;&lt;/pub-dates&gt;&lt;/dates&gt;&lt;isbn&gt;0022-3492&lt;/isbn&gt;&lt;accession-num&gt;28338391&lt;/accession-num&gt;&lt;urls&gt;&lt;related-urls&gt;&lt;url&gt;https://onlinelibrary.wiley.com/doi/pdf/10.1902/jop.2017.160629&lt;/url&gt;&lt;/related-urls&gt;&lt;/urls&gt;&lt;electronic-resource-num&gt;10.1902/jop.2017.160629&lt;/electronic-resource-num&gt;&lt;remote-database-provider&gt;NLM&lt;/remote-database-provider&gt;&lt;language&gt;eng&lt;/language&gt;&lt;/record&gt;&lt;/Cite&gt;&lt;/EndNote&gt;</w:instrText>
          </w:r>
          <w:r>
            <w:rPr>
              <w:rFonts w:eastAsia="Times New Roman" w:cs="Calibri"/>
            </w:rPr>
            <w:fldChar w:fldCharType="separate"/>
          </w:r>
          <w:r>
            <w:rPr>
              <w:rFonts w:eastAsia="Times New Roman" w:cs="Calibri"/>
              <w:noProof/>
            </w:rPr>
            <w:t>(Sancilio, Gallorini et al. 2017)</w:t>
          </w:r>
          <w:r>
            <w:rPr>
              <w:rFonts w:eastAsia="Times New Roman" w:cs="Calibri"/>
            </w:rPr>
            <w:fldChar w:fldCharType="end"/>
          </w:r>
          <w:r>
            <w:rPr>
              <w:rFonts w:eastAsia="Times New Roman" w:cs="Calibri"/>
            </w:rPr>
            <w:t xml:space="preserve">. </w:t>
          </w:r>
          <w:r>
            <w:t xml:space="preserve">Conversely, some studies found that cytotoxicity was not induced by nicotine in e-cigarette vapour </w:t>
          </w:r>
          <w:r>
            <w:fldChar w:fldCharType="begin">
              <w:fldData xml:space="preserve">PEVuZE5vdGU+PENpdGU+PEF1dGhvcj5Sb3dlbGw8L0F1dGhvcj48WWVhcj4yMDE3PC9ZZWFyPjxS
ZWNOdW0+MTE5MjwvUmVjTnVtPjxEaXNwbGF5VGV4dD4oUm93ZWxsLCBSZWViZXIgZXQgYWwuIDIw
MTcsIFdlZW4sIFdoaXR0YWxsIGV0IGFsLiAyMDE3KTwvRGlzcGxheVRleHQ+PHJlY29yZD48cmVj
LW51bWJlcj4xMTkyPC9yZWMtbnVtYmVyPjxmb3JlaWduLWtleXM+PGtleSBhcHA9IkVOIiBkYi1p
ZD0iOXowNWR6MHByYWFkZnVlZTB6b3h6ZWRrOXpmZTVmeHg1MHo1IiB0aW1lc3RhbXA9IjE1MjE1
MDcwMjIiPjExOTI8L2tleT48a2V5IGFwcD0iRU5XZWIiIGRiLWlkPSIiPjA8L2tleT48L2ZvcmVp
Z24ta2V5cz48cmVmLXR5cGUgbmFtZT0iSm91cm5hbCBBcnRpY2xlIj4xNzwvcmVmLXR5cGU+PGNv
bnRyaWJ1dG9ycz48YXV0aG9ycz48YXV0aG9yPlJvd2VsbCwgVC4gUi48L2F1dGhvcj48YXV0aG9y
PlJlZWJlciwgUy4gTC48L2F1dGhvcj48YXV0aG9yPkxlZSwgUy4gTC48L2F1dGhvcj48YXV0aG9y
PkhhcnJpcywgUi4gQS48L2F1dGhvcj48YXV0aG9yPk5ldGhlcnksIFIuIEMuPC9hdXRob3I+PGF1
dGhvcj5IZXJyaW5nLCBBLiBILjwvYXV0aG9yPjxhdXRob3I+R2xpc2gsIEcuIEwuPC9hdXRob3I+
PGF1dGhvcj5UYXJyYW4sIFIuPC9hdXRob3I+PC9hdXRob3JzPjwvY29udHJpYnV0b3JzPjxhdXRo
LWFkZHJlc3M+TWFyc2ljbyBMdW5nIEluc3RpdHV0ZSwgVGhlIFVuaXZlcnNpdHkgb2YgTm9ydGgg
Q2Fyb2xpbmEsIENoYXBlbCBIaWxsLCBOb3J0aCBDYXJvbGluYS4mI3hEO0RlcGFydG1lbnQgb2Yg
Q2VsbCBCaW9sb2d5IGFuZCBQaHlzaW9sb2d5LCBUaGUgVW5pdmVyc2l0eSBvZiBOb3J0aCBDYXJv
bGluYSwgQ2hhcGVsIEhpbGwsIE5vcnRoIENhcm9saW5hLiYjeEQ7RGVwYXJ0bWVudCBvZiBDaGVt
aXN0cnksIFRoZSBVbml2ZXJzaXR5IG9mIE5vcnRoIENhcm9saW5hLCBDaGFwZWwgSGlsbCwgTm9y
dGggQ2Fyb2xpbmE7IGFuZC4mI3hEO0RlcGFydG1lbnQgb2YgQmlvc3RhdGlzdGljcy1HaWxsaW5n
cyBTY2hvb2wgb2YgR2xvYmFsIFB1YmxpYyBIZWFsdGgsIFRoZSBVbml2ZXJzaXR5IG9mIE5vcnRo
IENhcm9saW5hLCBDaGFwZWwgSGlsbCwgTm9ydGggQ2Fyb2xpbmEuJiN4RDtNYXJzaWNvIEx1bmcg
SW5zdGl0dXRlLCBUaGUgVW5pdmVyc2l0eSBvZiBOb3J0aCBDYXJvbGluYSwgQ2hhcGVsIEhpbGws
IE5vcnRoIENhcm9saW5hOyByb2JlcnRfdGFycmFuQG1lZC51bmMuZWR1LjwvYXV0aC1hZGRyZXNz
Pjx0aXRsZXM+PHRpdGxlPkZsYXZvcmVkIGUtY2lnYXJldHRlIGxpcXVpZHMgcmVkdWNlIHByb2xp
ZmVyYXRpb24gYW5kIHZpYWJpbGl0eSBpbiB0aGUgQ0FMVTMgYWlyd2F5IGVwaXRoZWxpYWwgY2Vs
bCBsaW5lPC90aXRsZT48c2Vjb25kYXJ5LXRpdGxlPkFtIEogUGh5c2lvbCBMdW5nIENlbGwgTW9s
IFBoeXNpb2w8L3NlY29uZGFyeS10aXRsZT48YWx0LXRpdGxlPkFtZXJpY2FuIGpvdXJuYWwgb2Yg
cGh5c2lvbG9neS4gTHVuZyBjZWxsdWxhciBhbmQgbW9sZWN1bGFyIHBoeXNpb2xvZ3k8L2FsdC10
aXRsZT48L3RpdGxlcz48cGVyaW9kaWNhbD48ZnVsbC10aXRsZT5BbSBKIFBoeXNpb2wgTHVuZyBD
ZWxsIE1vbCBQaHlzaW9sPC9mdWxsLXRpdGxlPjxhYmJyLTE+QW1lcmljYW4gam91cm5hbCBvZiBw
aHlzaW9sb2d5LiBMdW5nIGNlbGx1bGFyIGFuZCBtb2xlY3VsYXIgcGh5c2lvbG9neTwvYWJici0x
PjwvcGVyaW9kaWNhbD48YWx0LXBlcmlvZGljYWw+PGZ1bGwtdGl0bGU+QW0gSiBQaHlzaW9sIEx1
bmcgQ2VsbCBNb2wgUGh5c2lvbDwvZnVsbC10aXRsZT48YWJici0xPkFtZXJpY2FuIGpvdXJuYWwg
b2YgcGh5c2lvbG9neS4gTHVuZyBjZWxsdWxhciBhbmQgbW9sZWN1bGFyIHBoeXNpb2xvZ3k8L2Fi
YnItMT48L2FsdC1wZXJpb2RpY2FsPjxwYWdlcz5MNTItbDY2PC9wYWdlcz48dm9sdW1lPjMxMzwv
dm9sdW1lPjxudW1iZXI+MTwvbnVtYmVyPjxlZGl0aW9uPjIwMTcvMDQvMjI8L2VkaXRpb24+PGtl
eXdvcmRzPjxrZXl3b3JkPkFlcm9zb2xzPC9rZXl3b3JkPjxrZXl3b3JkPkNlbGwgRGVhdGgvZHJ1
ZyBlZmZlY3RzPC9rZXl3b3JkPjxrZXl3b3JkPkNlbGwgTGluZTwva2V5d29yZD48a2V5d29yZD5D
ZWxsIFByb2xpZmVyYXRpb24vZHJ1ZyBlZmZlY3RzPC9rZXl3b3JkPjxrZXl3b3JkPkNlbGwgU3Vy
dml2YWwvZHJ1ZyBlZmZlY3RzPC9rZXl3b3JkPjxrZXl3b3JkPkNpbm5hbW9tdW0gYXJvbWF0aWN1
bS9jaGVtaXN0cnk8L2tleXdvcmQ+PGtleXdvcmQ+KkVsZWN0cm9uaWMgTmljb3RpbmUgRGVsaXZl
cnkgU3lzdGVtczwva2V5d29yZD48a2V5d29yZD5FcGl0aGVsaWFsIENlbGxzLypjeXRvbG9neS9k
cnVnIGVmZmVjdHMvbWV0YWJvbGlzbTwva2V5d29yZD48a2V5d29yZD5HYXMgQ2hyb21hdG9ncmFw
aHktTWFzcyBTcGVjdHJvbWV0cnk8L2tleXdvcmQ+PGtleXdvcmQ+SHVtYW5zPC9rZXl3b3JkPjxr
ZXl3b3JkPkluaGliaXRvcnkgQ29uY2VudHJhdGlvbiA1MDwva2V5d29yZD48a2V5d29yZD5MdW5n
LypjeXRvbG9neTwva2V5d29yZD48a2V5d29yZD5NZW50aG9sL3BoYXJtYWNvbG9neTwva2V5d29y
ZD48a2V5d29yZD5OaWNvdGluZS9waGFybWFjb2xvZ3k8L2tleXdvcmQ+PGtleXdvcmQ+Q29wZDwv
a2V5d29yZD48a2V5d29yZD5jYW5jZXI8L2tleXdvcmQ+PGtleXdvcmQ+bmljb3RpbmU8L2tleXdv
cmQ+PGtleXdvcmQ+dG9iYWNjbzwva2V5d29yZD48L2tleXdvcmRzPjxkYXRlcz48eWVhcj4yMDE3
PC95ZWFyPjxwdWItZGF0ZXM+PGRhdGU+SnVsIDE8L2RhdGU+PC9wdWItZGF0ZXM+PC9kYXRlcz48
aXNibj4xMDQwLTA2MDU8L2lzYm4+PGFjY2Vzc2lvbi1udW0+Mjg0MjgxNzU8L2FjY2Vzc2lvbi1u
dW0+PHVybHM+PC91cmxzPjxjdXN0b20yPlBNQzU1Mzg4NzI8L2N1c3RvbTI+PGVsZWN0cm9uaWMt
cmVzb3VyY2UtbnVtPjEwLjExNTIvYWpwbHVuZy4wMDM5Mi4yMDE2PC9lbGVjdHJvbmljLXJlc291
cmNlLW51bT48cmVtb3RlLWRhdGFiYXNlLXByb3ZpZGVyPk5MTTwvcmVtb3RlLWRhdGFiYXNlLXBy
b3ZpZGVyPjxsYW5ndWFnZT5lbmc8L2xhbmd1YWdlPjwvcmVjb3JkPjwvQ2l0ZT48Q2l0ZT48QXV0
aG9yPldlZW48L0F1dGhvcj48WWVhcj4yMDE3PC9ZZWFyPjxSZWNOdW0+MTIyNDU8L1JlY051bT48
cmVjb3JkPjxyZWMtbnVtYmVyPjEyMjQ1PC9yZWMtbnVtYmVyPjxmb3JlaWduLWtleXM+PGtleSBh
cHA9IkVOIiBkYi1pZD0iNXh2NXc1dDJiZHh0eGZlengwMnh0eGRmdDVyejVwdHZ2dDI5IiB0aW1l
c3RhbXA9IjE1MjM4Njc5MjUiPjEyMjQ1PC9rZXk+PGtleSBhcHA9IkVOV2ViIiBkYi1pZD0iIj4w
PC9rZXk+PC9mb3JlaWduLWtleXM+PHJlZi10eXBlIG5hbWU9IkpvdXJuYWwgQXJ0aWNsZSI+MTc8
L3JlZi10eXBlPjxjb250cmlidXRvcnM+PGF1dGhvcnM+PGF1dGhvcj5XZWVuLCBNLiBQLjwvYXV0
aG9yPjxhdXRob3I+V2hpdHRhbGwsIEouIEouPC9hdXRob3I+PGF1dGhvcj5IYW1vbiwgUi48L2F1
dGhvcj48YXV0aG9yPlJleW5vbGRzLCBQLiBOLjwvYXV0aG9yPjxhdXRob3I+SG9kZ2UsIFMuIEou
PC9hdXRob3I+PC9hdXRob3JzPjwvY29udHJpYnV0b3JzPjxhdXRoLWFkZHJlc3M+RGVwYXJ0bWVu
dCBvZiBUaG9yYWNpYyBNZWRpY2luZSwgUm95YWwgQWRlbGFpZGUgSG9zcGl0YWwsIEFkZWxhaWRl
LCBBdXN0cmFsaWEgTWlyYW5kYS53ZWVuQGFkZWxhaWRlLmVkdS5hdS4mI3hEO1NjaG9vbCBvZiBN
ZWRpY2luZSwgVW5pdmVyc2l0eSBvZiBBZGVsYWlkZSwgQWRlbGFpZGUsIEF1c3RyYWxpYS4mI3hE
O0RlcGFydG1lbnQgb2YgVGhvcmFjaWMgTWVkaWNpbmUsIFJveWFsIEFkZWxhaWRlIEhvc3BpdGFs
LCBBZGVsYWlkZSwgQXVzdHJhbGlhLjwvYXV0aC1hZGRyZXNzPjx0aXRsZXM+PHRpdGxlPlBoYWdv
Y3l0b3NpcyBhbmQgSW5mbGFtbWF0aW9uOiBFeHBsb3JpbmcgdGhlIGVmZmVjdHMgb2YgdGhlIGNv
bXBvbmVudHMgb2YgRS1jaWdhcmV0dGUgdmFwb3Igb24gbWFjcm9waGFnZXM8L3RpdGxlPjxzZWNv
bmRhcnktdGl0bGU+UGh5c2lvbCBSZXA8L3NlY29uZGFyeS10aXRsZT48YWx0LXRpdGxlPlBoeXNp
b2xvZ2ljYWwgcmVwb3J0czwvYWx0LXRpdGxlPjwvdGl0bGVzPjxwZXJpb2RpY2FsPjxmdWxsLXRp
dGxlPlBoeXNpb2wgUmVwPC9mdWxsLXRpdGxlPjxhYmJyLTE+UGh5c2lvbG9naWNhbCByZXBvcnRz
PC9hYmJyLTE+PC9wZXJpb2RpY2FsPjxhbHQtcGVyaW9kaWNhbD48ZnVsbC10aXRsZT5QaHlzaW9s
IFJlcDwvZnVsbC10aXRsZT48YWJici0xPlBoeXNpb2xvZ2ljYWwgcmVwb3J0czwvYWJici0xPjwv
YWx0LXBlcmlvZGljYWw+PHZvbHVtZT41PC92b2x1bWU+PG51bWJlcj4xNjwvbnVtYmVyPjxlZGl0
aW9uPjIwMTcvMDkvMDU8L2VkaXRpb24+PGtleXdvcmRzPjxrZXl3b3JkPkUtY2lnYXJldHRlczwv
a2V5d29yZD48a2V5d29yZD5jeXRva2luZXM8L2tleXdvcmQ+PGtleXdvcmQ+aW5mbGFtbWF0aW9u
PC9rZXl3b3JkPjxrZXl3b3JkPm1hY3JvcGhhZ2VzPC9rZXl3b3JkPjxrZXl3b3JkPnBoYWdvY3l0
b3Npczwva2V5d29yZD48L2tleXdvcmRzPjxkYXRlcz48eWVhcj4yMDE3PC95ZWFyPjxwdWItZGF0
ZXM+PGRhdGU+QXVnPC9kYXRlPjwvcHViLWRhdGVzPjwvZGF0ZXM+PGlzYm4+MjA1MS04MTd4PC9p
c2JuPjxhY2Nlc3Npb24tbnVtPjI4ODY3NjcyPC9hY2Nlc3Npb24tbnVtPjx1cmxzPjxyZWxhdGVk
LXVybHM+PHVybD5odHRwczovL3BoeXNvYy5vbmxpbmVsaWJyYXJ5LndpbGV5LmNvbS9kb2kvcGRm
LzEwLjE0ODE0L3BoeTIuMTMzNzA8L3VybD48L3JlbGF0ZWQtdXJscz48L3VybHM+PGN1c3RvbTI+
UE1DNTU4MjI2MTwvY3VzdG9tMj48ZWxlY3Ryb25pYy1yZXNvdXJjZS1udW0+MTAuMTQ4MTQvcGh5
Mi4xMzM3MDwvZWxlY3Ryb25pYy1yZXNvdXJjZS1udW0+PHJlbW90ZS1kYXRhYmFzZS1wcm92aWRl
cj5OTE08L3JlbW90ZS1kYXRhYmFzZS1wcm92aWRlcj48bGFuZ3VhZ2U+ZW5nPC9sYW5ndWFnZT48
L3JlY29yZD48L0NpdGU+PC9FbmROb3RlPn==
</w:fldData>
            </w:fldChar>
          </w:r>
          <w:r w:rsidR="00903735">
            <w:instrText xml:space="preserve"> ADDIN EN.CITE </w:instrText>
          </w:r>
          <w:r w:rsidR="00903735">
            <w:fldChar w:fldCharType="begin">
              <w:fldData xml:space="preserve">PEVuZE5vdGU+PENpdGU+PEF1dGhvcj5Sb3dlbGw8L0F1dGhvcj48WWVhcj4yMDE3PC9ZZWFyPjxS
ZWNOdW0+MTE5MjwvUmVjTnVtPjxEaXNwbGF5VGV4dD4oUm93ZWxsLCBSZWViZXIgZXQgYWwuIDIw
MTcsIFdlZW4sIFdoaXR0YWxsIGV0IGFsLiAyMDE3KTwvRGlzcGxheVRleHQ+PHJlY29yZD48cmVj
LW51bWJlcj4xMTkyPC9yZWMtbnVtYmVyPjxmb3JlaWduLWtleXM+PGtleSBhcHA9IkVOIiBkYi1p
ZD0iOXowNWR6MHByYWFkZnVlZTB6b3h6ZWRrOXpmZTVmeHg1MHo1IiB0aW1lc3RhbXA9IjE1MjE1
MDcwMjIiPjExOTI8L2tleT48a2V5IGFwcD0iRU5XZWIiIGRiLWlkPSIiPjA8L2tleT48L2ZvcmVp
Z24ta2V5cz48cmVmLXR5cGUgbmFtZT0iSm91cm5hbCBBcnRpY2xlIj4xNzwvcmVmLXR5cGU+PGNv
bnRyaWJ1dG9ycz48YXV0aG9ycz48YXV0aG9yPlJvd2VsbCwgVC4gUi48L2F1dGhvcj48YXV0aG9y
PlJlZWJlciwgUy4gTC48L2F1dGhvcj48YXV0aG9yPkxlZSwgUy4gTC48L2F1dGhvcj48YXV0aG9y
PkhhcnJpcywgUi4gQS48L2F1dGhvcj48YXV0aG9yPk5ldGhlcnksIFIuIEMuPC9hdXRob3I+PGF1
dGhvcj5IZXJyaW5nLCBBLiBILjwvYXV0aG9yPjxhdXRob3I+R2xpc2gsIEcuIEwuPC9hdXRob3I+
PGF1dGhvcj5UYXJyYW4sIFIuPC9hdXRob3I+PC9hdXRob3JzPjwvY29udHJpYnV0b3JzPjxhdXRo
LWFkZHJlc3M+TWFyc2ljbyBMdW5nIEluc3RpdHV0ZSwgVGhlIFVuaXZlcnNpdHkgb2YgTm9ydGgg
Q2Fyb2xpbmEsIENoYXBlbCBIaWxsLCBOb3J0aCBDYXJvbGluYS4mI3hEO0RlcGFydG1lbnQgb2Yg
Q2VsbCBCaW9sb2d5IGFuZCBQaHlzaW9sb2d5LCBUaGUgVW5pdmVyc2l0eSBvZiBOb3J0aCBDYXJv
bGluYSwgQ2hhcGVsIEhpbGwsIE5vcnRoIENhcm9saW5hLiYjeEQ7RGVwYXJ0bWVudCBvZiBDaGVt
aXN0cnksIFRoZSBVbml2ZXJzaXR5IG9mIE5vcnRoIENhcm9saW5hLCBDaGFwZWwgSGlsbCwgTm9y
dGggQ2Fyb2xpbmE7IGFuZC4mI3hEO0RlcGFydG1lbnQgb2YgQmlvc3RhdGlzdGljcy1HaWxsaW5n
cyBTY2hvb2wgb2YgR2xvYmFsIFB1YmxpYyBIZWFsdGgsIFRoZSBVbml2ZXJzaXR5IG9mIE5vcnRo
IENhcm9saW5hLCBDaGFwZWwgSGlsbCwgTm9ydGggQ2Fyb2xpbmEuJiN4RDtNYXJzaWNvIEx1bmcg
SW5zdGl0dXRlLCBUaGUgVW5pdmVyc2l0eSBvZiBOb3J0aCBDYXJvbGluYSwgQ2hhcGVsIEhpbGws
IE5vcnRoIENhcm9saW5hOyByb2JlcnRfdGFycmFuQG1lZC51bmMuZWR1LjwvYXV0aC1hZGRyZXNz
Pjx0aXRsZXM+PHRpdGxlPkZsYXZvcmVkIGUtY2lnYXJldHRlIGxpcXVpZHMgcmVkdWNlIHByb2xp
ZmVyYXRpb24gYW5kIHZpYWJpbGl0eSBpbiB0aGUgQ0FMVTMgYWlyd2F5IGVwaXRoZWxpYWwgY2Vs
bCBsaW5lPC90aXRsZT48c2Vjb25kYXJ5LXRpdGxlPkFtIEogUGh5c2lvbCBMdW5nIENlbGwgTW9s
IFBoeXNpb2w8L3NlY29uZGFyeS10aXRsZT48YWx0LXRpdGxlPkFtZXJpY2FuIGpvdXJuYWwgb2Yg
cGh5c2lvbG9neS4gTHVuZyBjZWxsdWxhciBhbmQgbW9sZWN1bGFyIHBoeXNpb2xvZ3k8L2FsdC10
aXRsZT48L3RpdGxlcz48cGVyaW9kaWNhbD48ZnVsbC10aXRsZT5BbSBKIFBoeXNpb2wgTHVuZyBD
ZWxsIE1vbCBQaHlzaW9sPC9mdWxsLXRpdGxlPjxhYmJyLTE+QW1lcmljYW4gam91cm5hbCBvZiBw
aHlzaW9sb2d5LiBMdW5nIGNlbGx1bGFyIGFuZCBtb2xlY3VsYXIgcGh5c2lvbG9neTwvYWJici0x
PjwvcGVyaW9kaWNhbD48YWx0LXBlcmlvZGljYWw+PGZ1bGwtdGl0bGU+QW0gSiBQaHlzaW9sIEx1
bmcgQ2VsbCBNb2wgUGh5c2lvbDwvZnVsbC10aXRsZT48YWJici0xPkFtZXJpY2FuIGpvdXJuYWwg
b2YgcGh5c2lvbG9neS4gTHVuZyBjZWxsdWxhciBhbmQgbW9sZWN1bGFyIHBoeXNpb2xvZ3k8L2Fi
YnItMT48L2FsdC1wZXJpb2RpY2FsPjxwYWdlcz5MNTItbDY2PC9wYWdlcz48dm9sdW1lPjMxMzwv
dm9sdW1lPjxudW1iZXI+MTwvbnVtYmVyPjxlZGl0aW9uPjIwMTcvMDQvMjI8L2VkaXRpb24+PGtl
eXdvcmRzPjxrZXl3b3JkPkFlcm9zb2xzPC9rZXl3b3JkPjxrZXl3b3JkPkNlbGwgRGVhdGgvZHJ1
ZyBlZmZlY3RzPC9rZXl3b3JkPjxrZXl3b3JkPkNlbGwgTGluZTwva2V5d29yZD48a2V5d29yZD5D
ZWxsIFByb2xpZmVyYXRpb24vZHJ1ZyBlZmZlY3RzPC9rZXl3b3JkPjxrZXl3b3JkPkNlbGwgU3Vy
dml2YWwvZHJ1ZyBlZmZlY3RzPC9rZXl3b3JkPjxrZXl3b3JkPkNpbm5hbW9tdW0gYXJvbWF0aWN1
bS9jaGVtaXN0cnk8L2tleXdvcmQ+PGtleXdvcmQ+KkVsZWN0cm9uaWMgTmljb3RpbmUgRGVsaXZl
cnkgU3lzdGVtczwva2V5d29yZD48a2V5d29yZD5FcGl0aGVsaWFsIENlbGxzLypjeXRvbG9neS9k
cnVnIGVmZmVjdHMvbWV0YWJvbGlzbTwva2V5d29yZD48a2V5d29yZD5HYXMgQ2hyb21hdG9ncmFw
aHktTWFzcyBTcGVjdHJvbWV0cnk8L2tleXdvcmQ+PGtleXdvcmQ+SHVtYW5zPC9rZXl3b3JkPjxr
ZXl3b3JkPkluaGliaXRvcnkgQ29uY2VudHJhdGlvbiA1MDwva2V5d29yZD48a2V5d29yZD5MdW5n
LypjeXRvbG9neTwva2V5d29yZD48a2V5d29yZD5NZW50aG9sL3BoYXJtYWNvbG9neTwva2V5d29y
ZD48a2V5d29yZD5OaWNvdGluZS9waGFybWFjb2xvZ3k8L2tleXdvcmQ+PGtleXdvcmQ+Q29wZDwv
a2V5d29yZD48a2V5d29yZD5jYW5jZXI8L2tleXdvcmQ+PGtleXdvcmQ+bmljb3RpbmU8L2tleXdv
cmQ+PGtleXdvcmQ+dG9iYWNjbzwva2V5d29yZD48L2tleXdvcmRzPjxkYXRlcz48eWVhcj4yMDE3
PC95ZWFyPjxwdWItZGF0ZXM+PGRhdGU+SnVsIDE8L2RhdGU+PC9wdWItZGF0ZXM+PC9kYXRlcz48
aXNibj4xMDQwLTA2MDU8L2lzYm4+PGFjY2Vzc2lvbi1udW0+Mjg0MjgxNzU8L2FjY2Vzc2lvbi1u
dW0+PHVybHM+PC91cmxzPjxjdXN0b20yPlBNQzU1Mzg4NzI8L2N1c3RvbTI+PGVsZWN0cm9uaWMt
cmVzb3VyY2UtbnVtPjEwLjExNTIvYWpwbHVuZy4wMDM5Mi4yMDE2PC9lbGVjdHJvbmljLXJlc291
cmNlLW51bT48cmVtb3RlLWRhdGFiYXNlLXByb3ZpZGVyPk5MTTwvcmVtb3RlLWRhdGFiYXNlLXBy
b3ZpZGVyPjxsYW5ndWFnZT5lbmc8L2xhbmd1YWdlPjwvcmVjb3JkPjwvQ2l0ZT48Q2l0ZT48QXV0
aG9yPldlZW48L0F1dGhvcj48WWVhcj4yMDE3PC9ZZWFyPjxSZWNOdW0+MTIyNDU8L1JlY051bT48
cmVjb3JkPjxyZWMtbnVtYmVyPjEyMjQ1PC9yZWMtbnVtYmVyPjxmb3JlaWduLWtleXM+PGtleSBh
cHA9IkVOIiBkYi1pZD0iNXh2NXc1dDJiZHh0eGZlengwMnh0eGRmdDVyejVwdHZ2dDI5IiB0aW1l
c3RhbXA9IjE1MjM4Njc5MjUiPjEyMjQ1PC9rZXk+PGtleSBhcHA9IkVOV2ViIiBkYi1pZD0iIj4w
PC9rZXk+PC9mb3JlaWduLWtleXM+PHJlZi10eXBlIG5hbWU9IkpvdXJuYWwgQXJ0aWNsZSI+MTc8
L3JlZi10eXBlPjxjb250cmlidXRvcnM+PGF1dGhvcnM+PGF1dGhvcj5XZWVuLCBNLiBQLjwvYXV0
aG9yPjxhdXRob3I+V2hpdHRhbGwsIEouIEouPC9hdXRob3I+PGF1dGhvcj5IYW1vbiwgUi48L2F1
dGhvcj48YXV0aG9yPlJleW5vbGRzLCBQLiBOLjwvYXV0aG9yPjxhdXRob3I+SG9kZ2UsIFMuIEou
PC9hdXRob3I+PC9hdXRob3JzPjwvY29udHJpYnV0b3JzPjxhdXRoLWFkZHJlc3M+RGVwYXJ0bWVu
dCBvZiBUaG9yYWNpYyBNZWRpY2luZSwgUm95YWwgQWRlbGFpZGUgSG9zcGl0YWwsIEFkZWxhaWRl
LCBBdXN0cmFsaWEgTWlyYW5kYS53ZWVuQGFkZWxhaWRlLmVkdS5hdS4mI3hEO1NjaG9vbCBvZiBN
ZWRpY2luZSwgVW5pdmVyc2l0eSBvZiBBZGVsYWlkZSwgQWRlbGFpZGUsIEF1c3RyYWxpYS4mI3hE
O0RlcGFydG1lbnQgb2YgVGhvcmFjaWMgTWVkaWNpbmUsIFJveWFsIEFkZWxhaWRlIEhvc3BpdGFs
LCBBZGVsYWlkZSwgQXVzdHJhbGlhLjwvYXV0aC1hZGRyZXNzPjx0aXRsZXM+PHRpdGxlPlBoYWdv
Y3l0b3NpcyBhbmQgSW5mbGFtbWF0aW9uOiBFeHBsb3JpbmcgdGhlIGVmZmVjdHMgb2YgdGhlIGNv
bXBvbmVudHMgb2YgRS1jaWdhcmV0dGUgdmFwb3Igb24gbWFjcm9waGFnZXM8L3RpdGxlPjxzZWNv
bmRhcnktdGl0bGU+UGh5c2lvbCBSZXA8L3NlY29uZGFyeS10aXRsZT48YWx0LXRpdGxlPlBoeXNp
b2xvZ2ljYWwgcmVwb3J0czwvYWx0LXRpdGxlPjwvdGl0bGVzPjxwZXJpb2RpY2FsPjxmdWxsLXRp
dGxlPlBoeXNpb2wgUmVwPC9mdWxsLXRpdGxlPjxhYmJyLTE+UGh5c2lvbG9naWNhbCByZXBvcnRz
PC9hYmJyLTE+PC9wZXJpb2RpY2FsPjxhbHQtcGVyaW9kaWNhbD48ZnVsbC10aXRsZT5QaHlzaW9s
IFJlcDwvZnVsbC10aXRsZT48YWJici0xPlBoeXNpb2xvZ2ljYWwgcmVwb3J0czwvYWJici0xPjwv
YWx0LXBlcmlvZGljYWw+PHZvbHVtZT41PC92b2x1bWU+PG51bWJlcj4xNjwvbnVtYmVyPjxlZGl0
aW9uPjIwMTcvMDkvMDU8L2VkaXRpb24+PGtleXdvcmRzPjxrZXl3b3JkPkUtY2lnYXJldHRlczwv
a2V5d29yZD48a2V5d29yZD5jeXRva2luZXM8L2tleXdvcmQ+PGtleXdvcmQ+aW5mbGFtbWF0aW9u
PC9rZXl3b3JkPjxrZXl3b3JkPm1hY3JvcGhhZ2VzPC9rZXl3b3JkPjxrZXl3b3JkPnBoYWdvY3l0
b3Npczwva2V5d29yZD48L2tleXdvcmRzPjxkYXRlcz48eWVhcj4yMDE3PC95ZWFyPjxwdWItZGF0
ZXM+PGRhdGU+QXVnPC9kYXRlPjwvcHViLWRhdGVzPjwvZGF0ZXM+PGlzYm4+MjA1MS04MTd4PC9p
c2JuPjxhY2Nlc3Npb24tbnVtPjI4ODY3NjcyPC9hY2Nlc3Npb24tbnVtPjx1cmxzPjxyZWxhdGVk
LXVybHM+PHVybD5odHRwczovL3BoeXNvYy5vbmxpbmVsaWJyYXJ5LndpbGV5LmNvbS9kb2kvcGRm
LzEwLjE0ODE0L3BoeTIuMTMzNzA8L3VybD48L3JlbGF0ZWQtdXJscz48L3VybHM+PGN1c3RvbTI+
UE1DNTU4MjI2MTwvY3VzdG9tMj48ZWxlY3Ryb25pYy1yZXNvdXJjZS1udW0+MTAuMTQ4MTQvcGh5
Mi4xMzM3MDwvZWxlY3Ryb25pYy1yZXNvdXJjZS1udW0+PHJlbW90ZS1kYXRhYmFzZS1wcm92aWRl
cj5OTE08L3JlbW90ZS1kYXRhYmFzZS1wcm92aWRlcj48bGFuZ3VhZ2U+ZW5nPC9sYW5ndWFnZT48
L3JlY29yZD48L0NpdGU+PC9FbmROb3RlPn==
</w:fldData>
            </w:fldChar>
          </w:r>
          <w:r w:rsidR="00903735">
            <w:instrText xml:space="preserve"> ADDIN EN.CITE.DATA </w:instrText>
          </w:r>
          <w:r w:rsidR="00903735">
            <w:fldChar w:fldCharType="end"/>
          </w:r>
          <w:r>
            <w:fldChar w:fldCharType="separate"/>
          </w:r>
          <w:r>
            <w:rPr>
              <w:noProof/>
            </w:rPr>
            <w:t>(Rowell, Reeber et al. 2017, Ween, Whittall et al. 2017)</w:t>
          </w:r>
          <w:r>
            <w:fldChar w:fldCharType="end"/>
          </w:r>
          <w:r>
            <w:t xml:space="preserve"> and another found that it did not lead to cytotoxicity but did reduce cell viability </w:t>
          </w:r>
          <w:r>
            <w:fldChar w:fldCharType="begin">
              <w:fldData xml:space="preserve">PEVuZE5vdGU+PENpdGU+PEF1dGhvcj5MZXNsaWU8L0F1dGhvcj48WWVhcj4yMDE3PC9ZZWFyPjxS
ZWNOdW0+MTE3MjwvUmVjTnVtPjxEaXNwbGF5VGV4dD4oTGVzbGllLCBWYXNhbnRoaSBCYXRocmlu
YXJheWFuYW4gZXQgYWwuIDIwMTcpPC9EaXNwbGF5VGV4dD48cmVjb3JkPjxyZWMtbnVtYmVyPjEx
NzI8L3JlYy1udW1iZXI+PGZvcmVpZ24ta2V5cz48a2V5IGFwcD0iRU4iIGRiLWlkPSI5ejA1ZHow
cHJhYWRmdWVlMHpveHplZGs5emZlNWZ4eDUwejUiIHRpbWVzdGFtcD0iMTUyMTUwNzAxNyI+MTE3
Mjwva2V5PjxrZXkgYXBwPSJFTldlYiIgZGItaWQ9IiI+MDwva2V5PjwvZm9yZWlnbi1rZXlzPjxy
ZWYtdHlwZSBuYW1lPSJKb3VybmFsIEFydGljbGUiPjE3PC9yZWYtdHlwZT48Y29udHJpYnV0b3Jz
PjxhdXRob3JzPjxhdXRob3I+TGVzbGllLCBMLiBKLjwvYXV0aG9yPjxhdXRob3I+VmFzYW50aGkg
QmF0aHJpbmFyYXlhbmFuLCBQLjwvYXV0aG9yPjxhdXRob3I+SmFja3NvbiwgUC48L2F1dGhvcj48
YXV0aG9yPk1hYmlhbGEgTWEgTXVhbmRhLCBKLiBBLjwvYXV0aG9yPjxhdXRob3I+UGFsbGV0dCwg
Ui48L2F1dGhvcj48YXV0aG9yPlN0aWxsbWFuLCBDLiBKLiBQLjwvYXV0aG9yPjxhdXRob3I+TWFy
c2hhbGwsIEwuIEouPC9hdXRob3I+PC9hdXRob3JzPjwvY29udHJpYnV0b3JzPjxhdXRoLWFkZHJl
c3M+YSBTY2hvb2wgb2YgRW5naW5lZXJpbmcgYW5kIEFwcGxpZWQgU2NpZW5jZSAsIEFzdG9uIFVu
aXZlcnNpdHkgLCBCaXJtaW5naGFtICwgVUsuJiN4RDtiIFNjaG9vbCBvZiBMaWZlIGFuZCBIZWFs
dGggU2NpZW5jZXMgLCBBc3RvbiBVbml2ZXJzaXR5ICwgQmlybWluZ2hhbSAsIFVLLjwvYXV0aC1h
ZGRyZXNzPjx0aXRsZXM+PHRpdGxlPkEgY29tcGFyYXRpdmUgc3R1ZHkgb2YgZWxlY3Ryb25pYyBj
aWdhcmV0dGUgdmFwb3IgZXh0cmFjdHMgb24gYWlyd2F5LXJlbGF0ZWQgY2VsbCBsaW5lcyBpbiB2
aXRybzwvdGl0bGU+PHNlY29uZGFyeS10aXRsZT5JbmhhbCBUb3hpY29sPC9zZWNvbmRhcnktdGl0
bGU+PGFsdC10aXRsZT5JbmhhbGF0aW9uIHRveGljb2xvZ3k8L2FsdC10aXRsZT48L3RpdGxlcz48
cGVyaW9kaWNhbD48ZnVsbC10aXRsZT5JbmhhbCBUb3hpY29sPC9mdWxsLXRpdGxlPjxhYmJyLTE+
SW5oYWxhdGlvbiB0b3hpY29sb2d5PC9hYmJyLTE+PC9wZXJpb2RpY2FsPjxhbHQtcGVyaW9kaWNh
bD48ZnVsbC10aXRsZT5JbmhhbCBUb3hpY29sPC9mdWxsLXRpdGxlPjxhYmJyLTE+SW5oYWxhdGlv
biB0b3hpY29sb2d5PC9hYmJyLTE+PC9hbHQtcGVyaW9kaWNhbD48cGFnZXM+MTI2LTEzNjwvcGFn
ZXM+PHZvbHVtZT4yOTwvdm9sdW1lPjxudW1iZXI+MzwvbnVtYmVyPjxlZGl0aW9uPjIwMTcvMDUv
MDU8L2VkaXRpb24+PGtleXdvcmRzPjxrZXl3b3JkPkJyb25jaGkvY3l0b2xvZ3k8L2tleXdvcmQ+
PGtleXdvcmQ+Q2VsbCBMaW5lPC9rZXl3b3JkPjxrZXl3b3JkPkNlbGwgU3Vydml2YWwvZHJ1ZyBl
ZmZlY3RzPC9rZXl3b3JkPjxrZXl3b3JkPkNvbXBsZXggTWl4dHVyZXMvKnRveGljaXR5PC9rZXl3
b3JkPjxrZXl3b3JkPipFbGVjdHJvbmljIE5pY290aW5lIERlbGl2ZXJ5IFN5c3RlbXM8L2tleXdv
cmQ+PGtleXdvcmQ+Rmxhdm9yaW5nIEFnZW50cy8qdG94aWNpdHk8L2tleXdvcmQ+PGtleXdvcmQ+
SHVtYW5zPC9rZXl3b3JkPjxrZXl3b3JkPk1hY3JvcGhhZ2VzL2RydWcgZWZmZWN0czwva2V5d29y
ZD48a2V5d29yZD5OaWNvdGluZS90b3hpY2l0eTwva2V5d29yZD48a2V5d29yZD4qU21va2U8L2tl
eXdvcmQ+PGtleXdvcmQ+VG9iYWNjbzwva2V5d29yZD48a2V5d29yZD4qRWxlY3Ryb25pYyBjaWdh
cmV0dGVzPC9rZXl3b3JkPjxrZXl3b3JkPiphaXJ3YXlzPC9rZXl3b3JkPjxrZXl3b3JkPipjeXRv
dG94aWNpdHk8L2tleXdvcmQ+PGtleXdvcmQ+KmVwaXRoZWxpYWxzPC9rZXl3b3JkPjxrZXl3b3Jk
PippbiB2aXRybyBtb2RlbHM8L2tleXdvcmQ+PC9rZXl3b3Jkcz48ZGF0ZXM+PHllYXI+MjAxNzwv
eWVhcj48cHViLWRhdGVzPjxkYXRlPkZlYjwvZGF0ZT48L3B1Yi1kYXRlcz48L2RhdGVzPjxpc2Ju
PjA4OTUtODM3ODwvaXNibj48YWNjZXNzaW9uLW51bT4yODQ3MDE0MTwvYWNjZXNzaW9uLW51bT48
dXJscz48cmVsYXRlZC11cmxzPjx1cmw+aHR0cHM6Ly93d3cudGFuZGZvbmxpbmUuY29tL2RvaS9w
ZGYvMTAuMTA4MC8wODk1ODM3OC4yMDE3LjEzMTgxOTM/bmVlZEFjY2Vzcz10cnVlPC91cmw+PC9y
ZWxhdGVkLXVybHM+PC91cmxzPjxlbGVjdHJvbmljLXJlc291cmNlLW51bT4xMC4xMDgwLzA4OTU4
Mzc4LjIwMTcuMTMxODE5MzwvZWxlY3Ryb25pYy1yZXNvdXJjZS1udW0+PHJlbW90ZS1kYXRhYmFz
ZS1wcm92aWRlcj5OTE08L3JlbW90ZS1kYXRhYmFzZS1wcm92aWRlcj48bGFuZ3VhZ2U+ZW5nPC9s
YW5ndWFnZT48L3JlY29yZD48L0NpdGU+PC9FbmROb3RlPn==
</w:fldData>
            </w:fldChar>
          </w:r>
          <w:r>
            <w:instrText xml:space="preserve"> ADDIN EN.CITE </w:instrText>
          </w:r>
          <w:r>
            <w:fldChar w:fldCharType="begin">
              <w:fldData xml:space="preserve">PEVuZE5vdGU+PENpdGU+PEF1dGhvcj5MZXNsaWU8L0F1dGhvcj48WWVhcj4yMDE3PC9ZZWFyPjxS
ZWNOdW0+MTE3MjwvUmVjTnVtPjxEaXNwbGF5VGV4dD4oTGVzbGllLCBWYXNhbnRoaSBCYXRocmlu
YXJheWFuYW4gZXQgYWwuIDIwMTcpPC9EaXNwbGF5VGV4dD48cmVjb3JkPjxyZWMtbnVtYmVyPjEx
NzI8L3JlYy1udW1iZXI+PGZvcmVpZ24ta2V5cz48a2V5IGFwcD0iRU4iIGRiLWlkPSI5ejA1ZHow
cHJhYWRmdWVlMHpveHplZGs5emZlNWZ4eDUwejUiIHRpbWVzdGFtcD0iMTUyMTUwNzAxNyI+MTE3
Mjwva2V5PjxrZXkgYXBwPSJFTldlYiIgZGItaWQ9IiI+MDwva2V5PjwvZm9yZWlnbi1rZXlzPjxy
ZWYtdHlwZSBuYW1lPSJKb3VybmFsIEFydGljbGUiPjE3PC9yZWYtdHlwZT48Y29udHJpYnV0b3Jz
PjxhdXRob3JzPjxhdXRob3I+TGVzbGllLCBMLiBKLjwvYXV0aG9yPjxhdXRob3I+VmFzYW50aGkg
QmF0aHJpbmFyYXlhbmFuLCBQLjwvYXV0aG9yPjxhdXRob3I+SmFja3NvbiwgUC48L2F1dGhvcj48
YXV0aG9yPk1hYmlhbGEgTWEgTXVhbmRhLCBKLiBBLjwvYXV0aG9yPjxhdXRob3I+UGFsbGV0dCwg
Ui48L2F1dGhvcj48YXV0aG9yPlN0aWxsbWFuLCBDLiBKLiBQLjwvYXV0aG9yPjxhdXRob3I+TWFy
c2hhbGwsIEwuIEouPC9hdXRob3I+PC9hdXRob3JzPjwvY29udHJpYnV0b3JzPjxhdXRoLWFkZHJl
c3M+YSBTY2hvb2wgb2YgRW5naW5lZXJpbmcgYW5kIEFwcGxpZWQgU2NpZW5jZSAsIEFzdG9uIFVu
aXZlcnNpdHkgLCBCaXJtaW5naGFtICwgVUsuJiN4RDtiIFNjaG9vbCBvZiBMaWZlIGFuZCBIZWFs
dGggU2NpZW5jZXMgLCBBc3RvbiBVbml2ZXJzaXR5ICwgQmlybWluZ2hhbSAsIFVLLjwvYXV0aC1h
ZGRyZXNzPjx0aXRsZXM+PHRpdGxlPkEgY29tcGFyYXRpdmUgc3R1ZHkgb2YgZWxlY3Ryb25pYyBj
aWdhcmV0dGUgdmFwb3IgZXh0cmFjdHMgb24gYWlyd2F5LXJlbGF0ZWQgY2VsbCBsaW5lcyBpbiB2
aXRybzwvdGl0bGU+PHNlY29uZGFyeS10aXRsZT5JbmhhbCBUb3hpY29sPC9zZWNvbmRhcnktdGl0
bGU+PGFsdC10aXRsZT5JbmhhbGF0aW9uIHRveGljb2xvZ3k8L2FsdC10aXRsZT48L3RpdGxlcz48
cGVyaW9kaWNhbD48ZnVsbC10aXRsZT5JbmhhbCBUb3hpY29sPC9mdWxsLXRpdGxlPjxhYmJyLTE+
SW5oYWxhdGlvbiB0b3hpY29sb2d5PC9hYmJyLTE+PC9wZXJpb2RpY2FsPjxhbHQtcGVyaW9kaWNh
bD48ZnVsbC10aXRsZT5JbmhhbCBUb3hpY29sPC9mdWxsLXRpdGxlPjxhYmJyLTE+SW5oYWxhdGlv
biB0b3hpY29sb2d5PC9hYmJyLTE+PC9hbHQtcGVyaW9kaWNhbD48cGFnZXM+MTI2LTEzNjwvcGFn
ZXM+PHZvbHVtZT4yOTwvdm9sdW1lPjxudW1iZXI+MzwvbnVtYmVyPjxlZGl0aW9uPjIwMTcvMDUv
MDU8L2VkaXRpb24+PGtleXdvcmRzPjxrZXl3b3JkPkJyb25jaGkvY3l0b2xvZ3k8L2tleXdvcmQ+
PGtleXdvcmQ+Q2VsbCBMaW5lPC9rZXl3b3JkPjxrZXl3b3JkPkNlbGwgU3Vydml2YWwvZHJ1ZyBl
ZmZlY3RzPC9rZXl3b3JkPjxrZXl3b3JkPkNvbXBsZXggTWl4dHVyZXMvKnRveGljaXR5PC9rZXl3
b3JkPjxrZXl3b3JkPipFbGVjdHJvbmljIE5pY290aW5lIERlbGl2ZXJ5IFN5c3RlbXM8L2tleXdv
cmQ+PGtleXdvcmQ+Rmxhdm9yaW5nIEFnZW50cy8qdG94aWNpdHk8L2tleXdvcmQ+PGtleXdvcmQ+
SHVtYW5zPC9rZXl3b3JkPjxrZXl3b3JkPk1hY3JvcGhhZ2VzL2RydWcgZWZmZWN0czwva2V5d29y
ZD48a2V5d29yZD5OaWNvdGluZS90b3hpY2l0eTwva2V5d29yZD48a2V5d29yZD4qU21va2U8L2tl
eXdvcmQ+PGtleXdvcmQ+VG9iYWNjbzwva2V5d29yZD48a2V5d29yZD4qRWxlY3Ryb25pYyBjaWdh
cmV0dGVzPC9rZXl3b3JkPjxrZXl3b3JkPiphaXJ3YXlzPC9rZXl3b3JkPjxrZXl3b3JkPipjeXRv
dG94aWNpdHk8L2tleXdvcmQ+PGtleXdvcmQ+KmVwaXRoZWxpYWxzPC9rZXl3b3JkPjxrZXl3b3Jk
PippbiB2aXRybyBtb2RlbHM8L2tleXdvcmQ+PC9rZXl3b3Jkcz48ZGF0ZXM+PHllYXI+MjAxNzwv
eWVhcj48cHViLWRhdGVzPjxkYXRlPkZlYjwvZGF0ZT48L3B1Yi1kYXRlcz48L2RhdGVzPjxpc2Ju
PjA4OTUtODM3ODwvaXNibj48YWNjZXNzaW9uLW51bT4yODQ3MDE0MTwvYWNjZXNzaW9uLW51bT48
dXJscz48cmVsYXRlZC11cmxzPjx1cmw+aHR0cHM6Ly93d3cudGFuZGZvbmxpbmUuY29tL2RvaS9w
ZGYvMTAuMTA4MC8wODk1ODM3OC4yMDE3LjEzMTgxOTM/bmVlZEFjY2Vzcz10cnVlPC91cmw+PC9y
ZWxhdGVkLXVybHM+PC91cmxzPjxlbGVjdHJvbmljLXJlc291cmNlLW51bT4xMC4xMDgwLzA4OTU4
Mzc4LjIwMTcuMTMxODE5MzwvZWxlY3Ryb25pYy1yZXNvdXJjZS1udW0+PHJlbW90ZS1kYXRhYmFz
ZS1wcm92aWRlcj5OTE08L3JlbW90ZS1kYXRhYmFzZS1wcm92aWRlcj48bGFuZ3VhZ2U+ZW5nPC9s
YW5ndWFnZT48L3JlY29yZD48L0NpdGU+PC9FbmROb3RlPn==
</w:fldData>
            </w:fldChar>
          </w:r>
          <w:r>
            <w:instrText xml:space="preserve"> ADDIN EN.CITE.DATA </w:instrText>
          </w:r>
          <w:r>
            <w:fldChar w:fldCharType="end"/>
          </w:r>
          <w:r>
            <w:fldChar w:fldCharType="separate"/>
          </w:r>
          <w:r>
            <w:rPr>
              <w:noProof/>
            </w:rPr>
            <w:t>(Leslie, Vasanthi Bathrinarayanan et al. 2017)</w:t>
          </w:r>
          <w:r>
            <w:fldChar w:fldCharType="end"/>
          </w:r>
          <w:r>
            <w:t xml:space="preserve">. Additionally, strawberry, cherry, </w:t>
          </w:r>
          <w:r w:rsidRPr="000846C7">
            <w:t xml:space="preserve">diacetyl, maltol, and coumarin </w:t>
          </w:r>
          <w:r>
            <w:t>flavours not only reduced cell</w:t>
          </w:r>
          <w:r>
            <w:noBreakHyphen/>
            <w:t xml:space="preserve">viability but also led to cytotoxicity in some cell-types (bronchial epithelial cells and pleural cell tissue) </w:t>
          </w:r>
          <w:r>
            <w:fldChar w:fldCharType="begin">
              <w:fldData xml:space="preserve">PEVuZE5vdGU+PENpdGU+PEF1dGhvcj5NdXRodW1hbGFnZTwvQXV0aG9yPjxZZWFyPjIwMTc8L1ll
YXI+PFJlY051bT42Mjg8L1JlY051bT48RGlzcGxheVRleHQ+KExlc2xpZSwgVmFzYW50aGkgQmF0
aHJpbmFyYXlhbmFuIGV0IGFsLiAyMDE3LCBNdXRodW1hbGFnZSwgUHJpbnogZXQgYWwuIDIwMTcp
PC9EaXNwbGF5VGV4dD48cmVjb3JkPjxyZWMtbnVtYmVyPjYyODwvcmVjLW51bWJlcj48Zm9yZWln
bi1rZXlzPjxrZXkgYXBwPSJFTiIgZGItaWQ9Ijl6MDVkejBwcmFhZGZ1ZWUwem94emVkazl6ZmU1
Znh4NTB6NSIgdGltZXN0YW1wPSIxNTIxNTA2ODczIj42Mjg8L2tleT48a2V5IGFwcD0iRU5XZWIi
IGRiLWlkPSIiPjA8L2tleT48L2ZvcmVpZ24ta2V5cz48cmVmLXR5cGUgbmFtZT0iSm91cm5hbCBB
cnRpY2xlIj4xNzwvcmVmLXR5cGU+PGNvbnRyaWJ1dG9ycz48YXV0aG9ycz48YXV0aG9yPk11dGh1
bWFsYWdlLCBULjwvYXV0aG9yPjxhdXRob3I+UHJpbnosIE0uPC9hdXRob3I+PGF1dGhvcj5BbnNh
aCwgSy4gTy48L2F1dGhvcj48YXV0aG9yPkdlcmxvZmYsIEouPC9hdXRob3I+PGF1dGhvcj5TdW5k
YXIsIEkuIEsuPC9hdXRob3I+PGF1dGhvcj5SYWhtYW4sIEkuPC9hdXRob3I+PC9hdXRob3JzPjwv
Y29udHJpYnV0b3JzPjxhdXRoLWFkZHJlc3M+RGVwYXJ0bWVudCBvZiBFbnZpcm9ubWVudGFsIE1l
ZGljaW5lLCBVbml2ZXJzaXR5IG9mIFJvY2hlc3RlciBNZWRpY2FsIENlbnRlciwgUm9jaGVzdGVy
LCBOWSwgVW5pdGVkIFN0YXRlcy48L2F1dGgtYWRkcmVzcz48dGl0bGVzPjx0aXRsZT5JbmZsYW1t
YXRvcnkgYW5kIE94aWRhdGl2ZSBSZXNwb25zZXMgSW5kdWNlZCBieSBFeHBvc3VyZSB0byBDb21t
b25seSBVc2VkIGUtQ2lnYXJldHRlIEZsYXZvcmluZyBDaGVtaWNhbHMgYW5kIEZsYXZvcmVkIGUt
TGlxdWlkcyB3aXRob3V0IE5pY290aW5lPC90aXRsZT48c2Vjb25kYXJ5LXRpdGxlPkZyb250IFBo
eXNpb2w8L3NlY29uZGFyeS10aXRsZT48YWx0LXRpdGxlPkZyb250aWVycyBpbiBwaHlzaW9sb2d5
PC9hbHQtdGl0bGU+PC90aXRsZXM+PGFsdC1wZXJpb2RpY2FsPjxmdWxsLXRpdGxlPkZyb250aWVy
cyBpbiBwaHlzaW9sb2d5PC9mdWxsLXRpdGxlPjwvYWx0LXBlcmlvZGljYWw+PHBhZ2VzPjExMzA8
L3BhZ2VzPjx2b2x1bWU+ODwvdm9sdW1lPjxlZGl0aW9uPjIwMTgvMDEvMzA8L2VkaXRpb24+PGtl
eXdvcmRzPjxrZXl3b3JkPmNpZ2FyZXR0ZXM8L2tleXdvcmQ+PGtleXdvcmQ+ZS1saXF1aWRzPC9r
ZXl3b3JkPjxrZXl3b3JkPmZsYXZvcnM8L2tleXdvcmQ+PGtleXdvcmQ+aW5mbGFtbWF0aW9uPC9r
ZXl3b3JkPjxrZXl3b3JkPmludGVybGV1a2luLTg8L2tleXdvcmQ+PGtleXdvcmQ+bW9ub2N5dGVz
PC9rZXl3b3JkPjxrZXl3b3JkPm94aWRhdGl2ZSBzdHJlc3M8L2tleXdvcmQ+PC9rZXl3b3Jkcz48
ZGF0ZXM+PHllYXI+MjAxNzwveWVhcj48L2RhdGVzPjxpc2JuPjE2NjQtMDQyWCAoUHJpbnQpJiN4
RDsxNjY0LTA0Mng8L2lzYm4+PGFjY2Vzc2lvbi1udW0+MjkzNzUzOTk8L2FjY2Vzc2lvbi1udW0+
PHVybHM+PC91cmxzPjxjdXN0b20yPlBNQzU3Njg2MDg8L2N1c3RvbTI+PGVsZWN0cm9uaWMtcmVz
b3VyY2UtbnVtPjEwLjMzODkvZnBoeXMuMjAxNy4wMTEzMDwvZWxlY3Ryb25pYy1yZXNvdXJjZS1u
dW0+PHJlbW90ZS1kYXRhYmFzZS1wcm92aWRlcj5OTE08L3JlbW90ZS1kYXRhYmFzZS1wcm92aWRl
cj48bGFuZ3VhZ2U+ZW5nPC9sYW5ndWFnZT48L3JlY29yZD48L0NpdGU+PENpdGU+PEF1dGhvcj5M
ZXNsaWU8L0F1dGhvcj48WWVhcj4yMDE3PC9ZZWFyPjxSZWNOdW0+MTE3MjwvUmVjTnVtPjxyZWNv
cmQ+PHJlYy1udW1iZXI+MTE3MjwvcmVjLW51bWJlcj48Zm9yZWlnbi1rZXlzPjxrZXkgYXBwPSJF
TiIgZGItaWQ9Ijl6MDVkejBwcmFhZGZ1ZWUwem94emVkazl6ZmU1Znh4NTB6NSIgdGltZXN0YW1w
PSIxNTIxNTA3MDE3Ij4xMTcyPC9rZXk+PGtleSBhcHA9IkVOV2ViIiBkYi1pZD0iIj4wPC9rZXk+
PC9mb3JlaWduLWtleXM+PHJlZi10eXBlIG5hbWU9IkpvdXJuYWwgQXJ0aWNsZSI+MTc8L3JlZi10
eXBlPjxjb250cmlidXRvcnM+PGF1dGhvcnM+PGF1dGhvcj5MZXNsaWUsIEwuIEouPC9hdXRob3I+
PGF1dGhvcj5WYXNhbnRoaSBCYXRocmluYXJheWFuYW4sIFAuPC9hdXRob3I+PGF1dGhvcj5KYWNr
c29uLCBQLjwvYXV0aG9yPjxhdXRob3I+TWFiaWFsYSBNYSBNdWFuZGEsIEouIEEuPC9hdXRob3I+
PGF1dGhvcj5QYWxsZXR0LCBSLjwvYXV0aG9yPjxhdXRob3I+U3RpbGxtYW4sIEMuIEouIFAuPC9h
dXRob3I+PGF1dGhvcj5NYXJzaGFsbCwgTC4gSi48L2F1dGhvcj48L2F1dGhvcnM+PC9jb250cmli
dXRvcnM+PGF1dGgtYWRkcmVzcz5hIFNjaG9vbCBvZiBFbmdpbmVlcmluZyBhbmQgQXBwbGllZCBT
Y2llbmNlICwgQXN0b24gVW5pdmVyc2l0eSAsIEJpcm1pbmdoYW0gLCBVSy4mI3hEO2IgU2Nob29s
IG9mIExpZmUgYW5kIEhlYWx0aCBTY2llbmNlcyAsIEFzdG9uIFVuaXZlcnNpdHkgLCBCaXJtaW5n
aGFtICwgVUsuPC9hdXRoLWFkZHJlc3M+PHRpdGxlcz48dGl0bGU+QSBjb21wYXJhdGl2ZSBzdHVk
eSBvZiBlbGVjdHJvbmljIGNpZ2FyZXR0ZSB2YXBvciBleHRyYWN0cyBvbiBhaXJ3YXktcmVsYXRl
ZCBjZWxsIGxpbmVzIGluIHZpdHJvPC90aXRsZT48c2Vjb25kYXJ5LXRpdGxlPkluaGFsIFRveGlj
b2w8L3NlY29uZGFyeS10aXRsZT48YWx0LXRpdGxlPkluaGFsYXRpb24gdG94aWNvbG9neTwvYWx0
LXRpdGxlPjwvdGl0bGVzPjxwZXJpb2RpY2FsPjxmdWxsLXRpdGxlPkluaGFsIFRveGljb2w8L2Z1
bGwtdGl0bGU+PGFiYnItMT5JbmhhbGF0aW9uIHRveGljb2xvZ3k8L2FiYnItMT48L3BlcmlvZGlj
YWw+PGFsdC1wZXJpb2RpY2FsPjxmdWxsLXRpdGxlPkluaGFsIFRveGljb2w8L2Z1bGwtdGl0bGU+
PGFiYnItMT5JbmhhbGF0aW9uIHRveGljb2xvZ3k8L2FiYnItMT48L2FsdC1wZXJpb2RpY2FsPjxw
YWdlcz4xMjYtMTM2PC9wYWdlcz48dm9sdW1lPjI5PC92b2x1bWU+PG51bWJlcj4zPC9udW1iZXI+
PGVkaXRpb24+MjAxNy8wNS8wNTwvZWRpdGlvbj48a2V5d29yZHM+PGtleXdvcmQ+QnJvbmNoaS9j
eXRvbG9neTwva2V5d29yZD48a2V5d29yZD5DZWxsIExpbmU8L2tleXdvcmQ+PGtleXdvcmQ+Q2Vs
bCBTdXJ2aXZhbC9kcnVnIGVmZmVjdHM8L2tleXdvcmQ+PGtleXdvcmQ+Q29tcGxleCBNaXh0dXJl
cy8qdG94aWNpdHk8L2tleXdvcmQ+PGtleXdvcmQ+KkVsZWN0cm9uaWMgTmljb3RpbmUgRGVsaXZl
cnkgU3lzdGVtczwva2V5d29yZD48a2V5d29yZD5GbGF2b3JpbmcgQWdlbnRzLyp0b3hpY2l0eTwv
a2V5d29yZD48a2V5d29yZD5IdW1hbnM8L2tleXdvcmQ+PGtleXdvcmQ+TWFjcm9waGFnZXMvZHJ1
ZyBlZmZlY3RzPC9rZXl3b3JkPjxrZXl3b3JkPk5pY290aW5lL3RveGljaXR5PC9rZXl3b3JkPjxr
ZXl3b3JkPipTbW9rZTwva2V5d29yZD48a2V5d29yZD5Ub2JhY2NvPC9rZXl3b3JkPjxrZXl3b3Jk
PipFbGVjdHJvbmljIGNpZ2FyZXR0ZXM8L2tleXdvcmQ+PGtleXdvcmQ+KmFpcndheXM8L2tleXdv
cmQ+PGtleXdvcmQ+KmN5dG90b3hpY2l0eTwva2V5d29yZD48a2V5d29yZD4qZXBpdGhlbGlhbHM8
L2tleXdvcmQ+PGtleXdvcmQ+KmluIHZpdHJvIG1vZGVsczwva2V5d29yZD48L2tleXdvcmRzPjxk
YXRlcz48eWVhcj4yMDE3PC95ZWFyPjxwdWItZGF0ZXM+PGRhdGU+RmViPC9kYXRlPjwvcHViLWRh
dGVzPjwvZGF0ZXM+PGlzYm4+MDg5NS04Mzc4PC9pc2JuPjxhY2Nlc3Npb24tbnVtPjI4NDcwMTQx
PC9hY2Nlc3Npb24tbnVtPjx1cmxzPjxyZWxhdGVkLXVybHM+PHVybD5odHRwczovL3d3dy50YW5k
Zm9ubGluZS5jb20vZG9pL3BkZi8xMC4xMDgwLzA4OTU4Mzc4LjIwMTcuMTMxODE5Mz9uZWVkQWNj
ZXNzPXRydWU8L3VybD48L3JlbGF0ZWQtdXJscz48L3VybHM+PGVsZWN0cm9uaWMtcmVzb3VyY2Ut
bnVtPjEwLjEwODAvMDg5NTgzNzguMjAxNy4xMzE4MTkzPC9lbGVjdHJvbmljLXJlc291cmNlLW51
bT48cmVtb3RlLWRhdGFiYXNlLXByb3ZpZGVyPk5MTTwvcmVtb3RlLWRhdGFiYXNlLXByb3ZpZGVy
PjxsYW5ndWFnZT5lbmc8L2xhbmd1YWdlPjwvcmVjb3JkPjwvQ2l0ZT48L0VuZE5vdGU+
</w:fldData>
            </w:fldChar>
          </w:r>
          <w:r>
            <w:instrText xml:space="preserve"> ADDIN EN.CITE </w:instrText>
          </w:r>
          <w:r>
            <w:fldChar w:fldCharType="begin">
              <w:fldData xml:space="preserve">PEVuZE5vdGU+PENpdGU+PEF1dGhvcj5NdXRodW1hbGFnZTwvQXV0aG9yPjxZZWFyPjIwMTc8L1ll
YXI+PFJlY051bT42Mjg8L1JlY051bT48RGlzcGxheVRleHQ+KExlc2xpZSwgVmFzYW50aGkgQmF0
aHJpbmFyYXlhbmFuIGV0IGFsLiAyMDE3LCBNdXRodW1hbGFnZSwgUHJpbnogZXQgYWwuIDIwMTcp
PC9EaXNwbGF5VGV4dD48cmVjb3JkPjxyZWMtbnVtYmVyPjYyODwvcmVjLW51bWJlcj48Zm9yZWln
bi1rZXlzPjxrZXkgYXBwPSJFTiIgZGItaWQ9Ijl6MDVkejBwcmFhZGZ1ZWUwem94emVkazl6ZmU1
Znh4NTB6NSIgdGltZXN0YW1wPSIxNTIxNTA2ODczIj42Mjg8L2tleT48a2V5IGFwcD0iRU5XZWIi
IGRiLWlkPSIiPjA8L2tleT48L2ZvcmVpZ24ta2V5cz48cmVmLXR5cGUgbmFtZT0iSm91cm5hbCBB
cnRpY2xlIj4xNzwvcmVmLXR5cGU+PGNvbnRyaWJ1dG9ycz48YXV0aG9ycz48YXV0aG9yPk11dGh1
bWFsYWdlLCBULjwvYXV0aG9yPjxhdXRob3I+UHJpbnosIE0uPC9hdXRob3I+PGF1dGhvcj5BbnNh
aCwgSy4gTy48L2F1dGhvcj48YXV0aG9yPkdlcmxvZmYsIEouPC9hdXRob3I+PGF1dGhvcj5TdW5k
YXIsIEkuIEsuPC9hdXRob3I+PGF1dGhvcj5SYWhtYW4sIEkuPC9hdXRob3I+PC9hdXRob3JzPjwv
Y29udHJpYnV0b3JzPjxhdXRoLWFkZHJlc3M+RGVwYXJ0bWVudCBvZiBFbnZpcm9ubWVudGFsIE1l
ZGljaW5lLCBVbml2ZXJzaXR5IG9mIFJvY2hlc3RlciBNZWRpY2FsIENlbnRlciwgUm9jaGVzdGVy
LCBOWSwgVW5pdGVkIFN0YXRlcy48L2F1dGgtYWRkcmVzcz48dGl0bGVzPjx0aXRsZT5JbmZsYW1t
YXRvcnkgYW5kIE94aWRhdGl2ZSBSZXNwb25zZXMgSW5kdWNlZCBieSBFeHBvc3VyZSB0byBDb21t
b25seSBVc2VkIGUtQ2lnYXJldHRlIEZsYXZvcmluZyBDaGVtaWNhbHMgYW5kIEZsYXZvcmVkIGUt
TGlxdWlkcyB3aXRob3V0IE5pY290aW5lPC90aXRsZT48c2Vjb25kYXJ5LXRpdGxlPkZyb250IFBo
eXNpb2w8L3NlY29uZGFyeS10aXRsZT48YWx0LXRpdGxlPkZyb250aWVycyBpbiBwaHlzaW9sb2d5
PC9hbHQtdGl0bGU+PC90aXRsZXM+PGFsdC1wZXJpb2RpY2FsPjxmdWxsLXRpdGxlPkZyb250aWVy
cyBpbiBwaHlzaW9sb2d5PC9mdWxsLXRpdGxlPjwvYWx0LXBlcmlvZGljYWw+PHBhZ2VzPjExMzA8
L3BhZ2VzPjx2b2x1bWU+ODwvdm9sdW1lPjxlZGl0aW9uPjIwMTgvMDEvMzA8L2VkaXRpb24+PGtl
eXdvcmRzPjxrZXl3b3JkPmNpZ2FyZXR0ZXM8L2tleXdvcmQ+PGtleXdvcmQ+ZS1saXF1aWRzPC9r
ZXl3b3JkPjxrZXl3b3JkPmZsYXZvcnM8L2tleXdvcmQ+PGtleXdvcmQ+aW5mbGFtbWF0aW9uPC9r
ZXl3b3JkPjxrZXl3b3JkPmludGVybGV1a2luLTg8L2tleXdvcmQ+PGtleXdvcmQ+bW9ub2N5dGVz
PC9rZXl3b3JkPjxrZXl3b3JkPm94aWRhdGl2ZSBzdHJlc3M8L2tleXdvcmQ+PC9rZXl3b3Jkcz48
ZGF0ZXM+PHllYXI+MjAxNzwveWVhcj48L2RhdGVzPjxpc2JuPjE2NjQtMDQyWCAoUHJpbnQpJiN4
RDsxNjY0LTA0Mng8L2lzYm4+PGFjY2Vzc2lvbi1udW0+MjkzNzUzOTk8L2FjY2Vzc2lvbi1udW0+
PHVybHM+PC91cmxzPjxjdXN0b20yPlBNQzU3Njg2MDg8L2N1c3RvbTI+PGVsZWN0cm9uaWMtcmVz
b3VyY2UtbnVtPjEwLjMzODkvZnBoeXMuMjAxNy4wMTEzMDwvZWxlY3Ryb25pYy1yZXNvdXJjZS1u
dW0+PHJlbW90ZS1kYXRhYmFzZS1wcm92aWRlcj5OTE08L3JlbW90ZS1kYXRhYmFzZS1wcm92aWRl
cj48bGFuZ3VhZ2U+ZW5nPC9sYW5ndWFnZT48L3JlY29yZD48L0NpdGU+PENpdGU+PEF1dGhvcj5M
ZXNsaWU8L0F1dGhvcj48WWVhcj4yMDE3PC9ZZWFyPjxSZWNOdW0+MTE3MjwvUmVjTnVtPjxyZWNv
cmQ+PHJlYy1udW1iZXI+MTE3MjwvcmVjLW51bWJlcj48Zm9yZWlnbi1rZXlzPjxrZXkgYXBwPSJF
TiIgZGItaWQ9Ijl6MDVkejBwcmFhZGZ1ZWUwem94emVkazl6ZmU1Znh4NTB6NSIgdGltZXN0YW1w
PSIxNTIxNTA3MDE3Ij4xMTcyPC9rZXk+PGtleSBhcHA9IkVOV2ViIiBkYi1pZD0iIj4wPC9rZXk+
PC9mb3JlaWduLWtleXM+PHJlZi10eXBlIG5hbWU9IkpvdXJuYWwgQXJ0aWNsZSI+MTc8L3JlZi10
eXBlPjxjb250cmlidXRvcnM+PGF1dGhvcnM+PGF1dGhvcj5MZXNsaWUsIEwuIEouPC9hdXRob3I+
PGF1dGhvcj5WYXNhbnRoaSBCYXRocmluYXJheWFuYW4sIFAuPC9hdXRob3I+PGF1dGhvcj5KYWNr
c29uLCBQLjwvYXV0aG9yPjxhdXRob3I+TWFiaWFsYSBNYSBNdWFuZGEsIEouIEEuPC9hdXRob3I+
PGF1dGhvcj5QYWxsZXR0LCBSLjwvYXV0aG9yPjxhdXRob3I+U3RpbGxtYW4sIEMuIEouIFAuPC9h
dXRob3I+PGF1dGhvcj5NYXJzaGFsbCwgTC4gSi48L2F1dGhvcj48L2F1dGhvcnM+PC9jb250cmli
dXRvcnM+PGF1dGgtYWRkcmVzcz5hIFNjaG9vbCBvZiBFbmdpbmVlcmluZyBhbmQgQXBwbGllZCBT
Y2llbmNlICwgQXN0b24gVW5pdmVyc2l0eSAsIEJpcm1pbmdoYW0gLCBVSy4mI3hEO2IgU2Nob29s
IG9mIExpZmUgYW5kIEhlYWx0aCBTY2llbmNlcyAsIEFzdG9uIFVuaXZlcnNpdHkgLCBCaXJtaW5n
aGFtICwgVUsuPC9hdXRoLWFkZHJlc3M+PHRpdGxlcz48dGl0bGU+QSBjb21wYXJhdGl2ZSBzdHVk
eSBvZiBlbGVjdHJvbmljIGNpZ2FyZXR0ZSB2YXBvciBleHRyYWN0cyBvbiBhaXJ3YXktcmVsYXRl
ZCBjZWxsIGxpbmVzIGluIHZpdHJvPC90aXRsZT48c2Vjb25kYXJ5LXRpdGxlPkluaGFsIFRveGlj
b2w8L3NlY29uZGFyeS10aXRsZT48YWx0LXRpdGxlPkluaGFsYXRpb24gdG94aWNvbG9neTwvYWx0
LXRpdGxlPjwvdGl0bGVzPjxwZXJpb2RpY2FsPjxmdWxsLXRpdGxlPkluaGFsIFRveGljb2w8L2Z1
bGwtdGl0bGU+PGFiYnItMT5JbmhhbGF0aW9uIHRveGljb2xvZ3k8L2FiYnItMT48L3BlcmlvZGlj
YWw+PGFsdC1wZXJpb2RpY2FsPjxmdWxsLXRpdGxlPkluaGFsIFRveGljb2w8L2Z1bGwtdGl0bGU+
PGFiYnItMT5JbmhhbGF0aW9uIHRveGljb2xvZ3k8L2FiYnItMT48L2FsdC1wZXJpb2RpY2FsPjxw
YWdlcz4xMjYtMTM2PC9wYWdlcz48dm9sdW1lPjI5PC92b2x1bWU+PG51bWJlcj4zPC9udW1iZXI+
PGVkaXRpb24+MjAxNy8wNS8wNTwvZWRpdGlvbj48a2V5d29yZHM+PGtleXdvcmQ+QnJvbmNoaS9j
eXRvbG9neTwva2V5d29yZD48a2V5d29yZD5DZWxsIExpbmU8L2tleXdvcmQ+PGtleXdvcmQ+Q2Vs
bCBTdXJ2aXZhbC9kcnVnIGVmZmVjdHM8L2tleXdvcmQ+PGtleXdvcmQ+Q29tcGxleCBNaXh0dXJl
cy8qdG94aWNpdHk8L2tleXdvcmQ+PGtleXdvcmQ+KkVsZWN0cm9uaWMgTmljb3RpbmUgRGVsaXZl
cnkgU3lzdGVtczwva2V5d29yZD48a2V5d29yZD5GbGF2b3JpbmcgQWdlbnRzLyp0b3hpY2l0eTwv
a2V5d29yZD48a2V5d29yZD5IdW1hbnM8L2tleXdvcmQ+PGtleXdvcmQ+TWFjcm9waGFnZXMvZHJ1
ZyBlZmZlY3RzPC9rZXl3b3JkPjxrZXl3b3JkPk5pY290aW5lL3RveGljaXR5PC9rZXl3b3JkPjxr
ZXl3b3JkPipTbW9rZTwva2V5d29yZD48a2V5d29yZD5Ub2JhY2NvPC9rZXl3b3JkPjxrZXl3b3Jk
PipFbGVjdHJvbmljIGNpZ2FyZXR0ZXM8L2tleXdvcmQ+PGtleXdvcmQ+KmFpcndheXM8L2tleXdv
cmQ+PGtleXdvcmQ+KmN5dG90b3hpY2l0eTwva2V5d29yZD48a2V5d29yZD4qZXBpdGhlbGlhbHM8
L2tleXdvcmQ+PGtleXdvcmQ+KmluIHZpdHJvIG1vZGVsczwva2V5d29yZD48L2tleXdvcmRzPjxk
YXRlcz48eWVhcj4yMDE3PC95ZWFyPjxwdWItZGF0ZXM+PGRhdGU+RmViPC9kYXRlPjwvcHViLWRh
dGVzPjwvZGF0ZXM+PGlzYm4+MDg5NS04Mzc4PC9pc2JuPjxhY2Nlc3Npb24tbnVtPjI4NDcwMTQx
PC9hY2Nlc3Npb24tbnVtPjx1cmxzPjxyZWxhdGVkLXVybHM+PHVybD5odHRwczovL3d3dy50YW5k
Zm9ubGluZS5jb20vZG9pL3BkZi8xMC4xMDgwLzA4OTU4Mzc4LjIwMTcuMTMxODE5Mz9uZWVkQWNj
ZXNzPXRydWU8L3VybD48L3JlbGF0ZWQtdXJscz48L3VybHM+PGVsZWN0cm9uaWMtcmVzb3VyY2Ut
bnVtPjEwLjEwODAvMDg5NTgzNzguMjAxNy4xMzE4MTkzPC9lbGVjdHJvbmljLXJlc291cmNlLW51
bT48cmVtb3RlLWRhdGFiYXNlLXByb3ZpZGVyPk5MTTwvcmVtb3RlLWRhdGFiYXNlLXByb3ZpZGVy
PjxsYW5ndWFnZT5lbmc8L2xhbmd1YWdlPjwvcmVjb3JkPjwvQ2l0ZT48L0VuZE5vdGU+
</w:fldData>
            </w:fldChar>
          </w:r>
          <w:r>
            <w:instrText xml:space="preserve"> ADDIN EN.CITE.DATA </w:instrText>
          </w:r>
          <w:r>
            <w:fldChar w:fldCharType="end"/>
          </w:r>
          <w:r>
            <w:fldChar w:fldCharType="separate"/>
          </w:r>
          <w:r>
            <w:rPr>
              <w:noProof/>
            </w:rPr>
            <w:t>(Leslie, Vasanthi Bathrinarayanan et al. 2017, Muthumalage, Prinz et al. 2017)</w:t>
          </w:r>
          <w:r>
            <w:fldChar w:fldCharType="end"/>
          </w:r>
          <w:r>
            <w:t>. Finally</w:t>
          </w:r>
          <w:r>
            <w:rPr>
              <w:rFonts w:eastAsia="Times New Roman" w:cs="Calibri"/>
            </w:rPr>
            <w:t xml:space="preserve">, one study compared different e-cigarette </w:t>
          </w:r>
          <w:r w:rsidRPr="00B224EE">
            <w:rPr>
              <w:rFonts w:eastAsia="Times New Roman" w:cs="Calibri"/>
            </w:rPr>
            <w:t>brands and found that results varied depending on the brand</w:t>
          </w:r>
          <w:r>
            <w:rPr>
              <w:rFonts w:eastAsia="Times New Roman" w:cs="Calibri"/>
            </w:rPr>
            <w:t xml:space="preserve"> </w:t>
          </w:r>
          <w:r>
            <w:rPr>
              <w:rFonts w:eastAsia="Times New Roman" w:cs="Calibri"/>
            </w:rPr>
            <w:fldChar w:fldCharType="begin">
              <w:fldData xml:space="preserve">PEVuZE5vdGU+PENpdGU+PEF1dGhvcj5MZXNsaWU8L0F1dGhvcj48WWVhcj4yMDE3PC9ZZWFyPjxS
ZWNOdW0+MTE3MjwvUmVjTnVtPjxEaXNwbGF5VGV4dD4oTGVzbGllLCBWYXNhbnRoaSBCYXRocmlu
YXJheWFuYW4gZXQgYWwuIDIwMTcpPC9EaXNwbGF5VGV4dD48cmVjb3JkPjxyZWMtbnVtYmVyPjEx
NzI8L3JlYy1udW1iZXI+PGZvcmVpZ24ta2V5cz48a2V5IGFwcD0iRU4iIGRiLWlkPSI5ejA1ZHow
cHJhYWRmdWVlMHpveHplZGs5emZlNWZ4eDUwejUiIHRpbWVzdGFtcD0iMTUyMTUwNzAxNyI+MTE3
Mjwva2V5PjxrZXkgYXBwPSJFTldlYiIgZGItaWQ9IiI+MDwva2V5PjwvZm9yZWlnbi1rZXlzPjxy
ZWYtdHlwZSBuYW1lPSJKb3VybmFsIEFydGljbGUiPjE3PC9yZWYtdHlwZT48Y29udHJpYnV0b3Jz
PjxhdXRob3JzPjxhdXRob3I+TGVzbGllLCBMLiBKLjwvYXV0aG9yPjxhdXRob3I+VmFzYW50aGkg
QmF0aHJpbmFyYXlhbmFuLCBQLjwvYXV0aG9yPjxhdXRob3I+SmFja3NvbiwgUC48L2F1dGhvcj48
YXV0aG9yPk1hYmlhbGEgTWEgTXVhbmRhLCBKLiBBLjwvYXV0aG9yPjxhdXRob3I+UGFsbGV0dCwg
Ui48L2F1dGhvcj48YXV0aG9yPlN0aWxsbWFuLCBDLiBKLiBQLjwvYXV0aG9yPjxhdXRob3I+TWFy
c2hhbGwsIEwuIEouPC9hdXRob3I+PC9hdXRob3JzPjwvY29udHJpYnV0b3JzPjxhdXRoLWFkZHJl
c3M+YSBTY2hvb2wgb2YgRW5naW5lZXJpbmcgYW5kIEFwcGxpZWQgU2NpZW5jZSAsIEFzdG9uIFVu
aXZlcnNpdHkgLCBCaXJtaW5naGFtICwgVUsuJiN4RDtiIFNjaG9vbCBvZiBMaWZlIGFuZCBIZWFs
dGggU2NpZW5jZXMgLCBBc3RvbiBVbml2ZXJzaXR5ICwgQmlybWluZ2hhbSAsIFVLLjwvYXV0aC1h
ZGRyZXNzPjx0aXRsZXM+PHRpdGxlPkEgY29tcGFyYXRpdmUgc3R1ZHkgb2YgZWxlY3Ryb25pYyBj
aWdhcmV0dGUgdmFwb3IgZXh0cmFjdHMgb24gYWlyd2F5LXJlbGF0ZWQgY2VsbCBsaW5lcyBpbiB2
aXRybzwvdGl0bGU+PHNlY29uZGFyeS10aXRsZT5JbmhhbCBUb3hpY29sPC9zZWNvbmRhcnktdGl0
bGU+PGFsdC10aXRsZT5JbmhhbGF0aW9uIHRveGljb2xvZ3k8L2FsdC10aXRsZT48L3RpdGxlcz48
cGVyaW9kaWNhbD48ZnVsbC10aXRsZT5JbmhhbCBUb3hpY29sPC9mdWxsLXRpdGxlPjxhYmJyLTE+
SW5oYWxhdGlvbiB0b3hpY29sb2d5PC9hYmJyLTE+PC9wZXJpb2RpY2FsPjxhbHQtcGVyaW9kaWNh
bD48ZnVsbC10aXRsZT5JbmhhbCBUb3hpY29sPC9mdWxsLXRpdGxlPjxhYmJyLTE+SW5oYWxhdGlv
biB0b3hpY29sb2d5PC9hYmJyLTE+PC9hbHQtcGVyaW9kaWNhbD48cGFnZXM+MTI2LTEzNjwvcGFn
ZXM+PHZvbHVtZT4yOTwvdm9sdW1lPjxudW1iZXI+MzwvbnVtYmVyPjxlZGl0aW9uPjIwMTcvMDUv
MDU8L2VkaXRpb24+PGtleXdvcmRzPjxrZXl3b3JkPkJyb25jaGkvY3l0b2xvZ3k8L2tleXdvcmQ+
PGtleXdvcmQ+Q2VsbCBMaW5lPC9rZXl3b3JkPjxrZXl3b3JkPkNlbGwgU3Vydml2YWwvZHJ1ZyBl
ZmZlY3RzPC9rZXl3b3JkPjxrZXl3b3JkPkNvbXBsZXggTWl4dHVyZXMvKnRveGljaXR5PC9rZXl3
b3JkPjxrZXl3b3JkPipFbGVjdHJvbmljIE5pY290aW5lIERlbGl2ZXJ5IFN5c3RlbXM8L2tleXdv
cmQ+PGtleXdvcmQ+Rmxhdm9yaW5nIEFnZW50cy8qdG94aWNpdHk8L2tleXdvcmQ+PGtleXdvcmQ+
SHVtYW5zPC9rZXl3b3JkPjxrZXl3b3JkPk1hY3JvcGhhZ2VzL2RydWcgZWZmZWN0czwva2V5d29y
ZD48a2V5d29yZD5OaWNvdGluZS90b3hpY2l0eTwva2V5d29yZD48a2V5d29yZD4qU21va2U8L2tl
eXdvcmQ+PGtleXdvcmQ+VG9iYWNjbzwva2V5d29yZD48a2V5d29yZD4qRWxlY3Ryb25pYyBjaWdh
cmV0dGVzPC9rZXl3b3JkPjxrZXl3b3JkPiphaXJ3YXlzPC9rZXl3b3JkPjxrZXl3b3JkPipjeXRv
dG94aWNpdHk8L2tleXdvcmQ+PGtleXdvcmQ+KmVwaXRoZWxpYWxzPC9rZXl3b3JkPjxrZXl3b3Jk
PippbiB2aXRybyBtb2RlbHM8L2tleXdvcmQ+PC9rZXl3b3Jkcz48ZGF0ZXM+PHllYXI+MjAxNzwv
eWVhcj48cHViLWRhdGVzPjxkYXRlPkZlYjwvZGF0ZT48L3B1Yi1kYXRlcz48L2RhdGVzPjxpc2Ju
PjA4OTUtODM3ODwvaXNibj48YWNjZXNzaW9uLW51bT4yODQ3MDE0MTwvYWNjZXNzaW9uLW51bT48
dXJscz48cmVsYXRlZC11cmxzPjx1cmw+aHR0cHM6Ly93d3cudGFuZGZvbmxpbmUuY29tL2RvaS9w
ZGYvMTAuMTA4MC8wODk1ODM3OC4yMDE3LjEzMTgxOTM/bmVlZEFjY2Vzcz10cnVlPC91cmw+PC9y
ZWxhdGVkLXVybHM+PC91cmxzPjxlbGVjdHJvbmljLXJlc291cmNlLW51bT4xMC4xMDgwLzA4OTU4
Mzc4LjIwMTcuMTMxODE5MzwvZWxlY3Ryb25pYy1yZXNvdXJjZS1udW0+PHJlbW90ZS1kYXRhYmFz
ZS1wcm92aWRlcj5OTE08L3JlbW90ZS1kYXRhYmFzZS1wcm92aWRlcj48bGFuZ3VhZ2U+ZW5nPC9s
YW5ndWFnZT48L3JlY29yZD48L0NpdGU+PC9FbmROb3RlPn==
</w:fldData>
            </w:fldChar>
          </w:r>
          <w:r>
            <w:rPr>
              <w:rFonts w:eastAsia="Times New Roman" w:cs="Calibri"/>
            </w:rPr>
            <w:instrText xml:space="preserve"> ADDIN EN.CITE </w:instrText>
          </w:r>
          <w:r>
            <w:rPr>
              <w:rFonts w:eastAsia="Times New Roman" w:cs="Calibri"/>
            </w:rPr>
            <w:fldChar w:fldCharType="begin">
              <w:fldData xml:space="preserve">PEVuZE5vdGU+PENpdGU+PEF1dGhvcj5MZXNsaWU8L0F1dGhvcj48WWVhcj4yMDE3PC9ZZWFyPjxS
ZWNOdW0+MTE3MjwvUmVjTnVtPjxEaXNwbGF5VGV4dD4oTGVzbGllLCBWYXNhbnRoaSBCYXRocmlu
YXJheWFuYW4gZXQgYWwuIDIwMTcpPC9EaXNwbGF5VGV4dD48cmVjb3JkPjxyZWMtbnVtYmVyPjEx
NzI8L3JlYy1udW1iZXI+PGZvcmVpZ24ta2V5cz48a2V5IGFwcD0iRU4iIGRiLWlkPSI5ejA1ZHow
cHJhYWRmdWVlMHpveHplZGs5emZlNWZ4eDUwejUiIHRpbWVzdGFtcD0iMTUyMTUwNzAxNyI+MTE3
Mjwva2V5PjxrZXkgYXBwPSJFTldlYiIgZGItaWQ9IiI+MDwva2V5PjwvZm9yZWlnbi1rZXlzPjxy
ZWYtdHlwZSBuYW1lPSJKb3VybmFsIEFydGljbGUiPjE3PC9yZWYtdHlwZT48Y29udHJpYnV0b3Jz
PjxhdXRob3JzPjxhdXRob3I+TGVzbGllLCBMLiBKLjwvYXV0aG9yPjxhdXRob3I+VmFzYW50aGkg
QmF0aHJpbmFyYXlhbmFuLCBQLjwvYXV0aG9yPjxhdXRob3I+SmFja3NvbiwgUC48L2F1dGhvcj48
YXV0aG9yPk1hYmlhbGEgTWEgTXVhbmRhLCBKLiBBLjwvYXV0aG9yPjxhdXRob3I+UGFsbGV0dCwg
Ui48L2F1dGhvcj48YXV0aG9yPlN0aWxsbWFuLCBDLiBKLiBQLjwvYXV0aG9yPjxhdXRob3I+TWFy
c2hhbGwsIEwuIEouPC9hdXRob3I+PC9hdXRob3JzPjwvY29udHJpYnV0b3JzPjxhdXRoLWFkZHJl
c3M+YSBTY2hvb2wgb2YgRW5naW5lZXJpbmcgYW5kIEFwcGxpZWQgU2NpZW5jZSAsIEFzdG9uIFVu
aXZlcnNpdHkgLCBCaXJtaW5naGFtICwgVUsuJiN4RDtiIFNjaG9vbCBvZiBMaWZlIGFuZCBIZWFs
dGggU2NpZW5jZXMgLCBBc3RvbiBVbml2ZXJzaXR5ICwgQmlybWluZ2hhbSAsIFVLLjwvYXV0aC1h
ZGRyZXNzPjx0aXRsZXM+PHRpdGxlPkEgY29tcGFyYXRpdmUgc3R1ZHkgb2YgZWxlY3Ryb25pYyBj
aWdhcmV0dGUgdmFwb3IgZXh0cmFjdHMgb24gYWlyd2F5LXJlbGF0ZWQgY2VsbCBsaW5lcyBpbiB2
aXRybzwvdGl0bGU+PHNlY29uZGFyeS10aXRsZT5JbmhhbCBUb3hpY29sPC9zZWNvbmRhcnktdGl0
bGU+PGFsdC10aXRsZT5JbmhhbGF0aW9uIHRveGljb2xvZ3k8L2FsdC10aXRsZT48L3RpdGxlcz48
cGVyaW9kaWNhbD48ZnVsbC10aXRsZT5JbmhhbCBUb3hpY29sPC9mdWxsLXRpdGxlPjxhYmJyLTE+
SW5oYWxhdGlvbiB0b3hpY29sb2d5PC9hYmJyLTE+PC9wZXJpb2RpY2FsPjxhbHQtcGVyaW9kaWNh
bD48ZnVsbC10aXRsZT5JbmhhbCBUb3hpY29sPC9mdWxsLXRpdGxlPjxhYmJyLTE+SW5oYWxhdGlv
biB0b3hpY29sb2d5PC9hYmJyLTE+PC9hbHQtcGVyaW9kaWNhbD48cGFnZXM+MTI2LTEzNjwvcGFn
ZXM+PHZvbHVtZT4yOTwvdm9sdW1lPjxudW1iZXI+MzwvbnVtYmVyPjxlZGl0aW9uPjIwMTcvMDUv
MDU8L2VkaXRpb24+PGtleXdvcmRzPjxrZXl3b3JkPkJyb25jaGkvY3l0b2xvZ3k8L2tleXdvcmQ+
PGtleXdvcmQ+Q2VsbCBMaW5lPC9rZXl3b3JkPjxrZXl3b3JkPkNlbGwgU3Vydml2YWwvZHJ1ZyBl
ZmZlY3RzPC9rZXl3b3JkPjxrZXl3b3JkPkNvbXBsZXggTWl4dHVyZXMvKnRveGljaXR5PC9rZXl3
b3JkPjxrZXl3b3JkPipFbGVjdHJvbmljIE5pY290aW5lIERlbGl2ZXJ5IFN5c3RlbXM8L2tleXdv
cmQ+PGtleXdvcmQ+Rmxhdm9yaW5nIEFnZW50cy8qdG94aWNpdHk8L2tleXdvcmQ+PGtleXdvcmQ+
SHVtYW5zPC9rZXl3b3JkPjxrZXl3b3JkPk1hY3JvcGhhZ2VzL2RydWcgZWZmZWN0czwva2V5d29y
ZD48a2V5d29yZD5OaWNvdGluZS90b3hpY2l0eTwva2V5d29yZD48a2V5d29yZD4qU21va2U8L2tl
eXdvcmQ+PGtleXdvcmQ+VG9iYWNjbzwva2V5d29yZD48a2V5d29yZD4qRWxlY3Ryb25pYyBjaWdh
cmV0dGVzPC9rZXl3b3JkPjxrZXl3b3JkPiphaXJ3YXlzPC9rZXl3b3JkPjxrZXl3b3JkPipjeXRv
dG94aWNpdHk8L2tleXdvcmQ+PGtleXdvcmQ+KmVwaXRoZWxpYWxzPC9rZXl3b3JkPjxrZXl3b3Jk
PippbiB2aXRybyBtb2RlbHM8L2tleXdvcmQ+PC9rZXl3b3Jkcz48ZGF0ZXM+PHllYXI+MjAxNzwv
eWVhcj48cHViLWRhdGVzPjxkYXRlPkZlYjwvZGF0ZT48L3B1Yi1kYXRlcz48L2RhdGVzPjxpc2Ju
PjA4OTUtODM3ODwvaXNibj48YWNjZXNzaW9uLW51bT4yODQ3MDE0MTwvYWNjZXNzaW9uLW51bT48
dXJscz48cmVsYXRlZC11cmxzPjx1cmw+aHR0cHM6Ly93d3cudGFuZGZvbmxpbmUuY29tL2RvaS9w
ZGYvMTAuMTA4MC8wODk1ODM3OC4yMDE3LjEzMTgxOTM/bmVlZEFjY2Vzcz10cnVlPC91cmw+PC9y
ZWxhdGVkLXVybHM+PC91cmxzPjxlbGVjdHJvbmljLXJlc291cmNlLW51bT4xMC4xMDgwLzA4OTU4
Mzc4LjIwMTcuMTMxODE5MzwvZWxlY3Ryb25pYy1yZXNvdXJjZS1udW0+PHJlbW90ZS1kYXRhYmFz
ZS1wcm92aWRlcj5OTE08L3JlbW90ZS1kYXRhYmFzZS1wcm92aWRlcj48bGFuZ3VhZ2U+ZW5nPC9s
YW5ndWFnZT48L3JlY29yZD48L0NpdGU+PC9FbmROb3RlPn==
</w:fldData>
            </w:fldChar>
          </w:r>
          <w:r>
            <w:rPr>
              <w:rFonts w:eastAsia="Times New Roman" w:cs="Calibri"/>
            </w:rPr>
            <w:instrText xml:space="preserve"> ADDIN EN.CITE.DATA </w:instrText>
          </w:r>
          <w:r>
            <w:rPr>
              <w:rFonts w:eastAsia="Times New Roman" w:cs="Calibri"/>
            </w:rPr>
          </w:r>
          <w:r>
            <w:rPr>
              <w:rFonts w:eastAsia="Times New Roman" w:cs="Calibri"/>
            </w:rPr>
            <w:fldChar w:fldCharType="end"/>
          </w:r>
          <w:r>
            <w:rPr>
              <w:rFonts w:eastAsia="Times New Roman" w:cs="Calibri"/>
            </w:rPr>
          </w:r>
          <w:r>
            <w:rPr>
              <w:rFonts w:eastAsia="Times New Roman" w:cs="Calibri"/>
            </w:rPr>
            <w:fldChar w:fldCharType="separate"/>
          </w:r>
          <w:r>
            <w:rPr>
              <w:rFonts w:eastAsia="Times New Roman" w:cs="Calibri"/>
              <w:noProof/>
            </w:rPr>
            <w:t>(Leslie, Vasanthi Bathrinarayanan et al. 2017)</w:t>
          </w:r>
          <w:r>
            <w:rPr>
              <w:rFonts w:eastAsia="Times New Roman" w:cs="Calibri"/>
            </w:rPr>
            <w:fldChar w:fldCharType="end"/>
          </w:r>
          <w:r w:rsidRPr="00B224EE">
            <w:rPr>
              <w:rFonts w:eastAsia="Times New Roman" w:cs="Calibri"/>
            </w:rPr>
            <w:t>.</w:t>
          </w:r>
          <w:r>
            <w:rPr>
              <w:rFonts w:eastAsia="Times New Roman" w:cs="Calibri"/>
            </w:rPr>
            <w:t xml:space="preserve"> </w:t>
          </w:r>
          <w:r>
            <w:t>Thus, e-cigarette vapours cannot be assumed to all have the same toxicity.</w:t>
          </w:r>
        </w:p>
        <w:p w14:paraId="3DE5F01B" w14:textId="77777777" w:rsidR="00A74D41" w:rsidRPr="00010708" w:rsidRDefault="00A74D41" w:rsidP="00A74D41">
          <w:pPr>
            <w:pStyle w:val="BodyText"/>
            <w:rPr>
              <w:rFonts w:eastAsia="Times New Roman" w:cs="Calibri"/>
            </w:rPr>
          </w:pPr>
        </w:p>
        <w:p w14:paraId="39390790" w14:textId="77777777" w:rsidR="000F0E2F" w:rsidRDefault="000F0E2F" w:rsidP="000F0E2F">
          <w:pPr>
            <w:pStyle w:val="Heading2"/>
          </w:pPr>
          <w:bookmarkStart w:id="79" w:name="_Toc517706664"/>
          <w:r w:rsidRPr="00E56A6A">
            <w:t>Oxidative stress</w:t>
          </w:r>
          <w:bookmarkEnd w:id="78"/>
          <w:bookmarkEnd w:id="79"/>
        </w:p>
        <w:p w14:paraId="5BE3EB4A" w14:textId="77777777" w:rsidR="00A74D41" w:rsidRDefault="00A74D41" w:rsidP="00A74D41">
          <w:pPr>
            <w:pStyle w:val="BodyText"/>
          </w:pPr>
          <w:r>
            <w:t xml:space="preserve">Four studies investigated oxidative stress or production of reactive oxygen species (ROS) in </w:t>
          </w:r>
          <w:r w:rsidRPr="001774EB">
            <w:t xml:space="preserve">cells </w:t>
          </w:r>
          <w:r w:rsidRPr="00ED6C2D">
            <w:rPr>
              <w:i/>
            </w:rPr>
            <w:t>in vitro</w:t>
          </w:r>
          <w:r w:rsidRPr="001774EB">
            <w:t xml:space="preserve"> </w:t>
          </w:r>
          <w:r>
            <w:t xml:space="preserve">after exposure to e-cigarette liquids or vapour. </w:t>
          </w:r>
        </w:p>
        <w:p w14:paraId="51C656C4" w14:textId="77777777" w:rsidR="00A74D41" w:rsidRDefault="00A74D41" w:rsidP="00A74D41">
          <w:pPr>
            <w:pStyle w:val="BodyText"/>
          </w:pPr>
          <w:r>
            <w:t>In a study by Antherieu et. al, a</w:t>
          </w:r>
          <w:r w:rsidRPr="00E56A6A">
            <w:t>cute</w:t>
          </w:r>
          <w:r>
            <w:t xml:space="preserve"> (8-48 minutes)</w:t>
          </w:r>
          <w:r w:rsidRPr="00E56A6A">
            <w:t xml:space="preserve"> e-cigarette</w:t>
          </w:r>
          <w:r>
            <w:t xml:space="preserve"> vapour</w:t>
          </w:r>
          <w:r w:rsidRPr="00E56A6A">
            <w:t xml:space="preserve"> </w:t>
          </w:r>
          <w:r>
            <w:t>and</w:t>
          </w:r>
          <w:r w:rsidRPr="00E56A6A">
            <w:t xml:space="preserve"> regular cigarette </w:t>
          </w:r>
          <w:r>
            <w:t>smoke exposure</w:t>
          </w:r>
          <w:r w:rsidRPr="00E56A6A">
            <w:t xml:space="preserve"> </w:t>
          </w:r>
          <w:r>
            <w:t xml:space="preserve">both </w:t>
          </w:r>
          <w:r w:rsidRPr="00E56A6A">
            <w:t xml:space="preserve">led to </w:t>
          </w:r>
          <w:r>
            <w:t xml:space="preserve">similar acute levels of </w:t>
          </w:r>
          <w:r w:rsidRPr="00E56A6A">
            <w:t xml:space="preserve">oxidative stress </w:t>
          </w:r>
          <w:r>
            <w:t xml:space="preserve">in bronchial epithelial cells </w:t>
          </w:r>
          <w:r w:rsidRPr="00E56A6A">
            <w:t>(</w:t>
          </w:r>
          <w:r>
            <w:t xml:space="preserve">as measured by </w:t>
          </w:r>
          <w:r w:rsidRPr="00E56A6A">
            <w:t xml:space="preserve">elevated intracellular </w:t>
          </w:r>
          <w:r w:rsidRPr="00791F3D">
            <w:t xml:space="preserve">glutathione and </w:t>
          </w:r>
          <w:r>
            <w:t>glutathione disulphide</w:t>
          </w:r>
          <w:r w:rsidRPr="00E56A6A">
            <w:t>)</w:t>
          </w:r>
          <w:r>
            <w:t xml:space="preserve"> </w:t>
          </w:r>
          <w:r>
            <w:fldChar w:fldCharType="begin">
              <w:fldData xml:space="preserve">PEVuZE5vdGU+PENpdGU+PEF1dGhvcj5BbnRoZXJpZXU8L0F1dGhvcj48WWVhcj4yMDE3PC9ZZWFy
PjxSZWNOdW0+MTM5NTwvUmVjTnVtPjxEaXNwbGF5VGV4dD4oQW50aGVyaWV1LCBHYXJhdCBldCBh
bC4gMjAxNyk8L0Rpc3BsYXlUZXh0PjxyZWNvcmQ+PHJlYy1udW1iZXI+MTM5NTwvcmVjLW51bWJl
cj48Zm9yZWlnbi1rZXlzPjxrZXkgYXBwPSJFTiIgZGItaWQ9Ijl6MDVkejBwcmFhZGZ1ZWUwem94
emVkazl6ZmU1Znh4NTB6NSIgdGltZXN0YW1wPSIxNTIxNTA3MDY5Ij4xMzk1PC9rZXk+PGtleSBh
cHA9IkVOV2ViIiBkYi1pZD0iIj4wPC9rZXk+PC9mb3JlaWduLWtleXM+PHJlZi10eXBlIG5hbWU9
IkpvdXJuYWwgQXJ0aWNsZSI+MTc8L3JlZi10eXBlPjxjb250cmlidXRvcnM+PGF1dGhvcnM+PGF1
dGhvcj5BbnRoZXJpZXUsIFMuPC9hdXRob3I+PGF1dGhvcj5HYXJhdCwgQS48L2F1dGhvcj48YXV0
aG9yPkJlYXV2YWwsIE4uPC9hdXRob3I+PGF1dGhvcj5Tb3lleiwgTS48L2F1dGhvcj48YXV0aG9y
PkFsbG9yZ2UsIEQuPC9hdXRob3I+PGF1dGhvcj5HYXJjb24sIEcuPC9hdXRob3I+PGF1dGhvcj5M
by1HdWlkaWNlLCBKLiBNLjwvYXV0aG9yPjwvYXV0aG9ycz48L2NvbnRyaWJ1dG9ycz48YXV0aC1h
ZGRyZXNzPlVuaXYuIExpbGxlLCBDSFUgTGlsbGUsIEluc3RpdHV0IFBhc3RldXIgZGUgTGlsbGUs
IEVBIDQ0ODMsIElNUEVDUyAtIElNUGFjdCBvZiBFbnZpcm9ubWVudGFsIENoZW1pY2FsUyBvbiBo
dW1hbiBoZWFsdGgsIEYtNTkwMDAgTGlsbGUsIEZyYW5jZS4gRWxlY3Ryb25pYyBhZGRyZXNzOiBz
ZWJhc3RpZW4uYW50aGVyaWV1QHVuaXYtbGlsbGUyLmZyLiYjeEQ7VW5pdi4gTGlsbGUsIENIVSBM
aWxsZSwgSW5zdGl0dXQgUGFzdGV1ciBkZSBMaWxsZSwgRUEgNDQ4MywgSU1QRUNTIC0gSU1QYWN0
IG9mIEVudmlyb25tZW50YWwgQ2hlbWljYWxTIG9uIGh1bWFuIGhlYWx0aCwgRi01OTAwMCBMaWxs
ZSwgRnJhbmNlLiYjeEQ7VW5pdi4gTGlsbGUsIENIVSBMaWxsZSwgSW5zdGl0dXQgUGFzdGV1ciBk
ZSBMaWxsZSwgRUEgNDQ4MywgSU1QRUNTIC0gSU1QYWN0IG9mIEVudmlyb25tZW50YWwgQ2hlbWlj
YWxTIG9uIGh1bWFuIGhlYWx0aCwgRi01OTAwMCBMaWxsZSwgRnJhbmNlOyBNaW5lcyBEb3VhaSwg
U0FHRSwgRi01OTUwOCBEb3VhaSwgRnJhbmNlLjwvYXV0aC1hZGRyZXNzPjx0aXRsZXM+PHRpdGxl
PkNvbXBhcmlzb24gb2YgY2VsbHVsYXIgYW5kIHRyYW5zY3JpcHRvbWljIGVmZmVjdHMgYmV0d2Vl
biBlbGVjdHJvbmljIGNpZ2FyZXR0ZSB2YXBvciBhbmQgY2lnYXJldHRlIHNtb2tlIGluIGh1bWFu
IGJyb25jaGlhbCBlcGl0aGVsaWFsIGNlbGxzPC90aXRsZT48c2Vjb25kYXJ5LXRpdGxlPlRveGlj
b2wgSW4gVml0cm88L3NlY29uZGFyeS10aXRsZT48YWx0LXRpdGxlPlRveGljb2xvZ3kgaW4gdml0
cm8gOiBhbiBpbnRlcm5hdGlvbmFsIGpvdXJuYWwgcHVibGlzaGVkIGluIGFzc29jaWF0aW9uIHdp
dGggQklCUkE8L2FsdC10aXRsZT48L3RpdGxlcz48cGVyaW9kaWNhbD48ZnVsbC10aXRsZT5Ub3hp
Y29sIEluIFZpdHJvPC9mdWxsLXRpdGxlPjxhYmJyLTE+VG94aWNvbG9neSBpbiB2aXRybyA6IGFu
IGludGVybmF0aW9uYWwgam91cm5hbCBwdWJsaXNoZWQgaW4gYXNzb2NpYXRpb24gd2l0aCBCSUJS
QTwvYWJici0xPjwvcGVyaW9kaWNhbD48YWx0LXBlcmlvZGljYWw+PGZ1bGwtdGl0bGU+VG94aWNv
bCBJbiBWaXRybzwvZnVsbC10aXRsZT48YWJici0xPlRveGljb2xvZ3kgaW4gdml0cm8gOiBhbiBp
bnRlcm5hdGlvbmFsIGpvdXJuYWwgcHVibGlzaGVkIGluIGFzc29jaWF0aW9uIHdpdGggQklCUkE8
L2FiYnItMT48L2FsdC1wZXJpb2RpY2FsPjxwYWdlcz40MTctNDI1PC9wYWdlcz48dm9sdW1lPjQ1
PC92b2x1bWU+PG51bWJlcj5QdCAzPC9udW1iZXI+PGVkaXRpb24+MjAxNy8wMS8xMDwvZWRpdGlv
bj48a2V5d29yZHM+PGtleXdvcmQ+QkVBUy0yQiBjZWxsIGxpbmU8L2tleXdvcmQ+PGtleXdvcmQ+
RS1jaWdhcmV0dGU8L2tleXdvcmQ+PGtleXdvcmQ+VG94aWNpdHk8L2tleXdvcmQ+PGtleXdvcmQ+
VHJhbnNjcmlwdG9taWM8L2tleXdvcmQ+PGtleXdvcmQ+VmFwb3JzPC9rZXl3b3JkPjwva2V5d29y
ZHM+PGRhdGVzPjx5ZWFyPjIwMTc8L3llYXI+PHB1Yi1kYXRlcz48ZGF0ZT5EZWM8L2RhdGU+PC9w
dWItZGF0ZXM+PC9kYXRlcz48aXNibj4wODg3LTIzMzM8L2lzYm4+PGFjY2Vzc2lvbi1udW0+Mjgw
NjU3OTA8L2FjY2Vzc2lvbi1udW0+PHVybHM+PHJlbGF0ZWQtdXJscz48dXJsPmh0dHBzOi8vd3d3
LnNjaWVuY2VkaXJlY3QuY29tL3NjaWVuY2UvYXJ0aWNsZS9waWkvUzA4ODcyMzMzMTYzMDI3MTU/
dmlhJTNEaWh1YjwvdXJsPjwvcmVsYXRlZC11cmxzPjwvdXJscz48ZWxlY3Ryb25pYy1yZXNvdXJj
ZS1udW0+MTAuMTAxNi9qLnRpdi4yMDE2LjEyLjAxNTwvZWxlY3Ryb25pYy1yZXNvdXJjZS1udW0+
PHJlbW90ZS1kYXRhYmFzZS1wcm92aWRlcj5OTE08L3JlbW90ZS1kYXRhYmFzZS1wcm92aWRlcj48
bGFuZ3VhZ2U+ZW5nPC9sYW5ndWFnZT48L3JlY29yZD48L0NpdGU+PC9FbmROb3RlPgB=
</w:fldData>
            </w:fldChar>
          </w:r>
          <w:r>
            <w:instrText xml:space="preserve"> ADDIN EN.CITE </w:instrText>
          </w:r>
          <w:r>
            <w:fldChar w:fldCharType="begin">
              <w:fldData xml:space="preserve">PEVuZE5vdGU+PENpdGU+PEF1dGhvcj5BbnRoZXJpZXU8L0F1dGhvcj48WWVhcj4yMDE3PC9ZZWFy
PjxSZWNOdW0+MTM5NTwvUmVjTnVtPjxEaXNwbGF5VGV4dD4oQW50aGVyaWV1LCBHYXJhdCBldCBh
bC4gMjAxNyk8L0Rpc3BsYXlUZXh0PjxyZWNvcmQ+PHJlYy1udW1iZXI+MTM5NTwvcmVjLW51bWJl
cj48Zm9yZWlnbi1rZXlzPjxrZXkgYXBwPSJFTiIgZGItaWQ9Ijl6MDVkejBwcmFhZGZ1ZWUwem94
emVkazl6ZmU1Znh4NTB6NSIgdGltZXN0YW1wPSIxNTIxNTA3MDY5Ij4xMzk1PC9rZXk+PGtleSBh
cHA9IkVOV2ViIiBkYi1pZD0iIj4wPC9rZXk+PC9mb3JlaWduLWtleXM+PHJlZi10eXBlIG5hbWU9
IkpvdXJuYWwgQXJ0aWNsZSI+MTc8L3JlZi10eXBlPjxjb250cmlidXRvcnM+PGF1dGhvcnM+PGF1
dGhvcj5BbnRoZXJpZXUsIFMuPC9hdXRob3I+PGF1dGhvcj5HYXJhdCwgQS48L2F1dGhvcj48YXV0
aG9yPkJlYXV2YWwsIE4uPC9hdXRob3I+PGF1dGhvcj5Tb3lleiwgTS48L2F1dGhvcj48YXV0aG9y
PkFsbG9yZ2UsIEQuPC9hdXRob3I+PGF1dGhvcj5HYXJjb24sIEcuPC9hdXRob3I+PGF1dGhvcj5M
by1HdWlkaWNlLCBKLiBNLjwvYXV0aG9yPjwvYXV0aG9ycz48L2NvbnRyaWJ1dG9ycz48YXV0aC1h
ZGRyZXNzPlVuaXYuIExpbGxlLCBDSFUgTGlsbGUsIEluc3RpdHV0IFBhc3RldXIgZGUgTGlsbGUs
IEVBIDQ0ODMsIElNUEVDUyAtIElNUGFjdCBvZiBFbnZpcm9ubWVudGFsIENoZW1pY2FsUyBvbiBo
dW1hbiBoZWFsdGgsIEYtNTkwMDAgTGlsbGUsIEZyYW5jZS4gRWxlY3Ryb25pYyBhZGRyZXNzOiBz
ZWJhc3RpZW4uYW50aGVyaWV1QHVuaXYtbGlsbGUyLmZyLiYjeEQ7VW5pdi4gTGlsbGUsIENIVSBM
aWxsZSwgSW5zdGl0dXQgUGFzdGV1ciBkZSBMaWxsZSwgRUEgNDQ4MywgSU1QRUNTIC0gSU1QYWN0
IG9mIEVudmlyb25tZW50YWwgQ2hlbWljYWxTIG9uIGh1bWFuIGhlYWx0aCwgRi01OTAwMCBMaWxs
ZSwgRnJhbmNlLiYjeEQ7VW5pdi4gTGlsbGUsIENIVSBMaWxsZSwgSW5zdGl0dXQgUGFzdGV1ciBk
ZSBMaWxsZSwgRUEgNDQ4MywgSU1QRUNTIC0gSU1QYWN0IG9mIEVudmlyb25tZW50YWwgQ2hlbWlj
YWxTIG9uIGh1bWFuIGhlYWx0aCwgRi01OTAwMCBMaWxsZSwgRnJhbmNlOyBNaW5lcyBEb3VhaSwg
U0FHRSwgRi01OTUwOCBEb3VhaSwgRnJhbmNlLjwvYXV0aC1hZGRyZXNzPjx0aXRsZXM+PHRpdGxl
PkNvbXBhcmlzb24gb2YgY2VsbHVsYXIgYW5kIHRyYW5zY3JpcHRvbWljIGVmZmVjdHMgYmV0d2Vl
biBlbGVjdHJvbmljIGNpZ2FyZXR0ZSB2YXBvciBhbmQgY2lnYXJldHRlIHNtb2tlIGluIGh1bWFu
IGJyb25jaGlhbCBlcGl0aGVsaWFsIGNlbGxzPC90aXRsZT48c2Vjb25kYXJ5LXRpdGxlPlRveGlj
b2wgSW4gVml0cm88L3NlY29uZGFyeS10aXRsZT48YWx0LXRpdGxlPlRveGljb2xvZ3kgaW4gdml0
cm8gOiBhbiBpbnRlcm5hdGlvbmFsIGpvdXJuYWwgcHVibGlzaGVkIGluIGFzc29jaWF0aW9uIHdp
dGggQklCUkE8L2FsdC10aXRsZT48L3RpdGxlcz48cGVyaW9kaWNhbD48ZnVsbC10aXRsZT5Ub3hp
Y29sIEluIFZpdHJvPC9mdWxsLXRpdGxlPjxhYmJyLTE+VG94aWNvbG9neSBpbiB2aXRybyA6IGFu
IGludGVybmF0aW9uYWwgam91cm5hbCBwdWJsaXNoZWQgaW4gYXNzb2NpYXRpb24gd2l0aCBCSUJS
QTwvYWJici0xPjwvcGVyaW9kaWNhbD48YWx0LXBlcmlvZGljYWw+PGZ1bGwtdGl0bGU+VG94aWNv
bCBJbiBWaXRybzwvZnVsbC10aXRsZT48YWJici0xPlRveGljb2xvZ3kgaW4gdml0cm8gOiBhbiBp
bnRlcm5hdGlvbmFsIGpvdXJuYWwgcHVibGlzaGVkIGluIGFzc29jaWF0aW9uIHdpdGggQklCUkE8
L2FiYnItMT48L2FsdC1wZXJpb2RpY2FsPjxwYWdlcz40MTctNDI1PC9wYWdlcz48dm9sdW1lPjQ1
PC92b2x1bWU+PG51bWJlcj5QdCAzPC9udW1iZXI+PGVkaXRpb24+MjAxNy8wMS8xMDwvZWRpdGlv
bj48a2V5d29yZHM+PGtleXdvcmQ+QkVBUy0yQiBjZWxsIGxpbmU8L2tleXdvcmQ+PGtleXdvcmQ+
RS1jaWdhcmV0dGU8L2tleXdvcmQ+PGtleXdvcmQ+VG94aWNpdHk8L2tleXdvcmQ+PGtleXdvcmQ+
VHJhbnNjcmlwdG9taWM8L2tleXdvcmQ+PGtleXdvcmQ+VmFwb3JzPC9rZXl3b3JkPjwva2V5d29y
ZHM+PGRhdGVzPjx5ZWFyPjIwMTc8L3llYXI+PHB1Yi1kYXRlcz48ZGF0ZT5EZWM8L2RhdGU+PC9w
dWItZGF0ZXM+PC9kYXRlcz48aXNibj4wODg3LTIzMzM8L2lzYm4+PGFjY2Vzc2lvbi1udW0+Mjgw
NjU3OTA8L2FjY2Vzc2lvbi1udW0+PHVybHM+PHJlbGF0ZWQtdXJscz48dXJsPmh0dHBzOi8vd3d3
LnNjaWVuY2VkaXJlY3QuY29tL3NjaWVuY2UvYXJ0aWNsZS9waWkvUzA4ODcyMzMzMTYzMDI3MTU/
dmlhJTNEaWh1YjwvdXJsPjwvcmVsYXRlZC11cmxzPjwvdXJscz48ZWxlY3Ryb25pYy1yZXNvdXJj
ZS1udW0+MTAuMTAxNi9qLnRpdi4yMDE2LjEyLjAxNTwvZWxlY3Ryb25pYy1yZXNvdXJjZS1udW0+
PHJlbW90ZS1kYXRhYmFzZS1wcm92aWRlcj5OTE08L3JlbW90ZS1kYXRhYmFzZS1wcm92aWRlcj48
bGFuZ3VhZ2U+ZW5nPC9sYW5ndWFnZT48L3JlY29yZD48L0NpdGU+PC9FbmROb3RlPgB=
</w:fldData>
            </w:fldChar>
          </w:r>
          <w:r>
            <w:instrText xml:space="preserve"> ADDIN EN.CITE.DATA </w:instrText>
          </w:r>
          <w:r>
            <w:fldChar w:fldCharType="end"/>
          </w:r>
          <w:r>
            <w:fldChar w:fldCharType="separate"/>
          </w:r>
          <w:r>
            <w:rPr>
              <w:noProof/>
            </w:rPr>
            <w:t>(Antherieu, Garat et al. 2017)</w:t>
          </w:r>
          <w:r>
            <w:fldChar w:fldCharType="end"/>
          </w:r>
          <w:r w:rsidRPr="00E56A6A">
            <w:t xml:space="preserve">. </w:t>
          </w:r>
        </w:p>
        <w:p w14:paraId="09469BDB" w14:textId="77777777" w:rsidR="00A74D41" w:rsidRDefault="00A74D41" w:rsidP="00A74D41">
          <w:pPr>
            <w:pStyle w:val="BodyText"/>
          </w:pPr>
          <w:r>
            <w:t>Exposure to e</w:t>
          </w:r>
          <w:r w:rsidRPr="000A145F">
            <w:t xml:space="preserve">-cigarette liquid led to </w:t>
          </w:r>
          <w:r>
            <w:t xml:space="preserve">an </w:t>
          </w:r>
          <w:r w:rsidRPr="000A145F">
            <w:t>oxidative stress response</w:t>
          </w:r>
          <w:r>
            <w:t xml:space="preserve"> in lung epithelial cells </w:t>
          </w:r>
          <w:r>
            <w:fldChar w:fldCharType="begin">
              <w:fldData xml:space="preserve">PEVuZE5vdGU+PENpdGU+PEF1dGhvcj5Tb2xsZXRpPC9BdXRob3I+PFllYXI+MjAxNzwvWWVhcj48
UmVjTnVtPjExOTA8L1JlY051bT48RGlzcGxheVRleHQ+KFNvbGxldGksIEJoYXR0YWNoYXJ5YSBl
dCBhbC4gMjAxNyk8L0Rpc3BsYXlUZXh0PjxyZWNvcmQ+PHJlYy1udW1iZXI+MTE5MDwvcmVjLW51
bWJlcj48Zm9yZWlnbi1rZXlzPjxrZXkgYXBwPSJFTiIgZGItaWQ9Ijl6MDVkejBwcmFhZGZ1ZWUw
em94emVkazl6ZmU1Znh4NTB6NSIgdGltZXN0YW1wPSIxNTIxNTA3MDIxIj4xMTkwPC9rZXk+PGtl
eSBhcHA9IkVOV2ViIiBkYi1pZD0iIj4wPC9rZXk+PC9mb3JlaWduLWtleXM+PHJlZi10eXBlIG5h
bWU9IkpvdXJuYWwgQXJ0aWNsZSI+MTc8L3JlZi10eXBlPjxjb250cmlidXRvcnM+PGF1dGhvcnM+
PGF1dGhvcj5Tb2xsZXRpLCBTLiBLLjwvYXV0aG9yPjxhdXRob3I+QmhhdHRhY2hhcnlhLCBTLjwv
YXV0aG9yPjxhdXRob3I+QWhtYWQsIEEuPC9hdXRob3I+PGF1dGhvcj5XYW5nLCBRLjwvYXV0aG9y
PjxhdXRob3I+TWVyZW5lc3MsIEouPC9hdXRob3I+PGF1dGhvcj5SYW5nYXNhbXksIFQuPC9hdXRo
b3I+PGF1dGhvcj5NYXJpYW5pLCBULiBKLjwvYXV0aG9yPjwvYXV0aG9ycz48L2NvbnRyaWJ1dG9y
cz48YXV0aC1hZGRyZXNzPkRpdmlzaW9uIG9mIE5lb25hdG9sb2d5IGFuZCBQcm9ncmFtIGluIFBl
ZGlhdHJpYyBNb2xlY3VsYXIgYW5kIFBlcnNvbmFsaXplZCBNZWRpY2luZSwgRGVwYXJ0bWVudCBv
ZiBQZWRpYXRyaWNzLCBVbml2ZXJzaXR5IG9mIFJvY2hlc3RlciBNZWRpY2FsIENlbnRlciwgUm9j
aGVzdGVyLCBOWSwgVVNBLiYjeEQ7RGVwYXJ0bWVudCBvZiBCaW9tZWRpY2FsIEdlbmV0aWNzLCBV
bml2ZXJzaXR5IG9mIFJvY2hlc3RlciBNZWRpY2FsIENlbnRlciwgUm9jaGVzdGVyLCBOWSwgVVNB
LiYjeEQ7U2Nob29sIG9mIFZldGVyaW5hcnkgTWVkaWNpbmUsIExvdWlzaWFuYSBTdGF0ZSBVbml2
ZXJzaXR5LCBCYXRvbiBSb3VnZSwgTEEsIFVTQS4mI3hEO0RpdmlzaW9uIG9mIE5lb25hdG9sb2d5
IGFuZCBQcm9ncmFtIGluIFBlZGlhdHJpYyBNb2xlY3VsYXIgYW5kIFBlcnNvbmFsaXplZCBNZWRp
Y2luZSwgRGVwYXJ0bWVudCBvZiBQZWRpYXRyaWNzLCBVbml2ZXJzaXR5IG9mIFJvY2hlc3RlciBN
ZWRpY2FsIENlbnRlciwgUm9jaGVzdGVyLCBOWSwgVVNBLiBUb21fTWFyaWFuaUB1cm1jLnJvY2hl
c3Rlci5lZHUuJiN4RDtEZXBhcnRtZW50IG9mIEJpb21lZGljYWwgR2VuZXRpY3MsIFVuaXZlcnNp
dHkgb2YgUm9jaGVzdGVyIE1lZGljYWwgQ2VudGVyLCBSb2NoZXN0ZXIsIE5ZLCBVU0EuIFRvbV9N
YXJpYW5pQHVybWMucm9jaGVzdGVyLmVkdS4mI3hEO0RlcGFydG1lbnQgb2YgRW52aXJvbm1lbnRh
bCBNZWRpY2luZSwgVW5pdmVyc2l0eSBvZiBSb2NoZXN0ZXIgTWVkaWNhbCBDZW50ZXIsIFJvY2hl
c3RlciwgTlksIFVTQS4gVG9tX01hcmlhbmlAdXJtYy5yb2NoZXN0ZXIuZWR1LjwvYXV0aC1hZGRy
ZXNzPjx0aXRsZXM+PHRpdGxlPk1pY3JvUk5BIGV4cHJlc3Npb24gcHJvZmlsaW5nIGRlZmluZXMg
dGhlIGltcGFjdCBvZiBlbGVjdHJvbmljIGNpZ2FyZXR0ZXMgb24gaHVtYW4gYWlyd2F5IGVwaXRo
ZWxpYWwgY2VsbHM8L3RpdGxlPjxzZWNvbmRhcnktdGl0bGU+U2NpIFJlcDwvc2Vjb25kYXJ5LXRp
dGxlPjxhbHQtdGl0bGU+U2NpZW50aWZpYyByZXBvcnRzPC9hbHQtdGl0bGU+PC90aXRsZXM+PGFs
dC1wZXJpb2RpY2FsPjxmdWxsLXRpdGxlPlNjaWVudGlmaWMgUmVwb3J0czwvZnVsbC10aXRsZT48
L2FsdC1wZXJpb2RpY2FsPjxwYWdlcz4xMDgxPC9wYWdlcz48dm9sdW1lPjc8L3ZvbHVtZT48bnVt
YmVyPjE8L251bWJlcj48ZWRpdGlvbj4yMDE3LzA0LzI2PC9lZGl0aW9uPjxkYXRlcz48eWVhcj4y
MDE3PC95ZWFyPjxwdWItZGF0ZXM+PGRhdGU+QXByIDI0PC9kYXRlPjwvcHViLWRhdGVzPjwvZGF0
ZXM+PGlzYm4+MjA0NS0yMzIyPC9pc2JuPjxhY2Nlc3Npb24tbnVtPjI4NDM5MTEzPC9hY2Nlc3Np
b24tbnVtPjx1cmxzPjxyZWxhdGVkLXVybHM+PHVybD5odHRwczovL3d3dy5uY2JpLm5sbS5uaWgu
Z292L3BtYy9hcnRpY2xlcy9QTUM1NDMwODI2L3BkZi80MTU5OF8yMDE3X0FydGljbGVfMTE2Ny5w
ZGY8L3VybD48L3JlbGF0ZWQtdXJscz48L3VybHM+PGN1c3RvbTI+UE1DNTQzMDgyNjwvY3VzdG9t
Mj48ZWxlY3Ryb25pYy1yZXNvdXJjZS1udW0+MTAuMTAzOC9zNDE1OTgtMDE3LTAxMTY3LTg8L2Vs
ZWN0cm9uaWMtcmVzb3VyY2UtbnVtPjxyZW1vdGUtZGF0YWJhc2UtcHJvdmlkZXI+TkxNPC9yZW1v
dGUtZGF0YWJhc2UtcHJvdmlkZXI+PGxhbmd1YWdlPmVuZzwvbGFuZ3VhZ2U+PC9yZWNvcmQ+PC9D
aXRlPjwvRW5kTm90ZT4A
</w:fldData>
            </w:fldChar>
          </w:r>
          <w:r>
            <w:instrText xml:space="preserve"> ADDIN EN.CITE </w:instrText>
          </w:r>
          <w:r>
            <w:fldChar w:fldCharType="begin">
              <w:fldData xml:space="preserve">PEVuZE5vdGU+PENpdGU+PEF1dGhvcj5Tb2xsZXRpPC9BdXRob3I+PFllYXI+MjAxNzwvWWVhcj48
UmVjTnVtPjExOTA8L1JlY051bT48RGlzcGxheVRleHQ+KFNvbGxldGksIEJoYXR0YWNoYXJ5YSBl
dCBhbC4gMjAxNyk8L0Rpc3BsYXlUZXh0PjxyZWNvcmQ+PHJlYy1udW1iZXI+MTE5MDwvcmVjLW51
bWJlcj48Zm9yZWlnbi1rZXlzPjxrZXkgYXBwPSJFTiIgZGItaWQ9Ijl6MDVkejBwcmFhZGZ1ZWUw
em94emVkazl6ZmU1Znh4NTB6NSIgdGltZXN0YW1wPSIxNTIxNTA3MDIxIj4xMTkwPC9rZXk+PGtl
eSBhcHA9IkVOV2ViIiBkYi1pZD0iIj4wPC9rZXk+PC9mb3JlaWduLWtleXM+PHJlZi10eXBlIG5h
bWU9IkpvdXJuYWwgQXJ0aWNsZSI+MTc8L3JlZi10eXBlPjxjb250cmlidXRvcnM+PGF1dGhvcnM+
PGF1dGhvcj5Tb2xsZXRpLCBTLiBLLjwvYXV0aG9yPjxhdXRob3I+QmhhdHRhY2hhcnlhLCBTLjwv
YXV0aG9yPjxhdXRob3I+QWhtYWQsIEEuPC9hdXRob3I+PGF1dGhvcj5XYW5nLCBRLjwvYXV0aG9y
PjxhdXRob3I+TWVyZW5lc3MsIEouPC9hdXRob3I+PGF1dGhvcj5SYW5nYXNhbXksIFQuPC9hdXRo
b3I+PGF1dGhvcj5NYXJpYW5pLCBULiBKLjwvYXV0aG9yPjwvYXV0aG9ycz48L2NvbnRyaWJ1dG9y
cz48YXV0aC1hZGRyZXNzPkRpdmlzaW9uIG9mIE5lb25hdG9sb2d5IGFuZCBQcm9ncmFtIGluIFBl
ZGlhdHJpYyBNb2xlY3VsYXIgYW5kIFBlcnNvbmFsaXplZCBNZWRpY2luZSwgRGVwYXJ0bWVudCBv
ZiBQZWRpYXRyaWNzLCBVbml2ZXJzaXR5IG9mIFJvY2hlc3RlciBNZWRpY2FsIENlbnRlciwgUm9j
aGVzdGVyLCBOWSwgVVNBLiYjeEQ7RGVwYXJ0bWVudCBvZiBCaW9tZWRpY2FsIEdlbmV0aWNzLCBV
bml2ZXJzaXR5IG9mIFJvY2hlc3RlciBNZWRpY2FsIENlbnRlciwgUm9jaGVzdGVyLCBOWSwgVVNB
LiYjeEQ7U2Nob29sIG9mIFZldGVyaW5hcnkgTWVkaWNpbmUsIExvdWlzaWFuYSBTdGF0ZSBVbml2
ZXJzaXR5LCBCYXRvbiBSb3VnZSwgTEEsIFVTQS4mI3hEO0RpdmlzaW9uIG9mIE5lb25hdG9sb2d5
IGFuZCBQcm9ncmFtIGluIFBlZGlhdHJpYyBNb2xlY3VsYXIgYW5kIFBlcnNvbmFsaXplZCBNZWRp
Y2luZSwgRGVwYXJ0bWVudCBvZiBQZWRpYXRyaWNzLCBVbml2ZXJzaXR5IG9mIFJvY2hlc3RlciBN
ZWRpY2FsIENlbnRlciwgUm9jaGVzdGVyLCBOWSwgVVNBLiBUb21fTWFyaWFuaUB1cm1jLnJvY2hl
c3Rlci5lZHUuJiN4RDtEZXBhcnRtZW50IG9mIEJpb21lZGljYWwgR2VuZXRpY3MsIFVuaXZlcnNp
dHkgb2YgUm9jaGVzdGVyIE1lZGljYWwgQ2VudGVyLCBSb2NoZXN0ZXIsIE5ZLCBVU0EuIFRvbV9N
YXJpYW5pQHVybWMucm9jaGVzdGVyLmVkdS4mI3hEO0RlcGFydG1lbnQgb2YgRW52aXJvbm1lbnRh
bCBNZWRpY2luZSwgVW5pdmVyc2l0eSBvZiBSb2NoZXN0ZXIgTWVkaWNhbCBDZW50ZXIsIFJvY2hl
c3RlciwgTlksIFVTQS4gVG9tX01hcmlhbmlAdXJtYy5yb2NoZXN0ZXIuZWR1LjwvYXV0aC1hZGRy
ZXNzPjx0aXRsZXM+PHRpdGxlPk1pY3JvUk5BIGV4cHJlc3Npb24gcHJvZmlsaW5nIGRlZmluZXMg
dGhlIGltcGFjdCBvZiBlbGVjdHJvbmljIGNpZ2FyZXR0ZXMgb24gaHVtYW4gYWlyd2F5IGVwaXRo
ZWxpYWwgY2VsbHM8L3RpdGxlPjxzZWNvbmRhcnktdGl0bGU+U2NpIFJlcDwvc2Vjb25kYXJ5LXRp
dGxlPjxhbHQtdGl0bGU+U2NpZW50aWZpYyByZXBvcnRzPC9hbHQtdGl0bGU+PC90aXRsZXM+PGFs
dC1wZXJpb2RpY2FsPjxmdWxsLXRpdGxlPlNjaWVudGlmaWMgUmVwb3J0czwvZnVsbC10aXRsZT48
L2FsdC1wZXJpb2RpY2FsPjxwYWdlcz4xMDgxPC9wYWdlcz48dm9sdW1lPjc8L3ZvbHVtZT48bnVt
YmVyPjE8L251bWJlcj48ZWRpdGlvbj4yMDE3LzA0LzI2PC9lZGl0aW9uPjxkYXRlcz48eWVhcj4y
MDE3PC95ZWFyPjxwdWItZGF0ZXM+PGRhdGU+QXByIDI0PC9kYXRlPjwvcHViLWRhdGVzPjwvZGF0
ZXM+PGlzYm4+MjA0NS0yMzIyPC9pc2JuPjxhY2Nlc3Npb24tbnVtPjI4NDM5MTEzPC9hY2Nlc3Np
b24tbnVtPjx1cmxzPjxyZWxhdGVkLXVybHM+PHVybD5odHRwczovL3d3dy5uY2JpLm5sbS5uaWgu
Z292L3BtYy9hcnRpY2xlcy9QTUM1NDMwODI2L3BkZi80MTU5OF8yMDE3X0FydGljbGVfMTE2Ny5w
ZGY8L3VybD48L3JlbGF0ZWQtdXJscz48L3VybHM+PGN1c3RvbTI+UE1DNTQzMDgyNjwvY3VzdG9t
Mj48ZWxlY3Ryb25pYy1yZXNvdXJjZS1udW0+MTAuMTAzOC9zNDE1OTgtMDE3LTAxMTY3LTg8L2Vs
ZWN0cm9uaWMtcmVzb3VyY2UtbnVtPjxyZW1vdGUtZGF0YWJhc2UtcHJvdmlkZXI+TkxNPC9yZW1v
dGUtZGF0YWJhc2UtcHJvdmlkZXI+PGxhbmd1YWdlPmVuZzwvbGFuZ3VhZ2U+PC9yZWNvcmQ+PC9D
aXRlPjwvRW5kTm90ZT4A
</w:fldData>
            </w:fldChar>
          </w:r>
          <w:r>
            <w:instrText xml:space="preserve"> ADDIN EN.CITE.DATA </w:instrText>
          </w:r>
          <w:r>
            <w:fldChar w:fldCharType="end"/>
          </w:r>
          <w:r>
            <w:fldChar w:fldCharType="separate"/>
          </w:r>
          <w:r>
            <w:rPr>
              <w:noProof/>
            </w:rPr>
            <w:t>(Solleti, Bhattacharya et al. 2017)</w:t>
          </w:r>
          <w:r>
            <w:fldChar w:fldCharType="end"/>
          </w:r>
          <w:r w:rsidRPr="000A145F">
            <w:t>. E-cigarette liquid or vapour</w:t>
          </w:r>
          <w:r>
            <w:t>,</w:t>
          </w:r>
          <w:r w:rsidRPr="000A145F">
            <w:t xml:space="preserve"> with or without nicotine</w:t>
          </w:r>
          <w:r>
            <w:t>,</w:t>
          </w:r>
          <w:r w:rsidRPr="000A145F">
            <w:t xml:space="preserve"> led to increased expression of</w:t>
          </w:r>
          <w:r>
            <w:t xml:space="preserve"> four indicators of oxidative stress (</w:t>
          </w:r>
          <w:r w:rsidRPr="00B2683F">
            <w:t xml:space="preserve">glutamate-cysteine ligase </w:t>
          </w:r>
          <w:r>
            <w:t>(</w:t>
          </w:r>
          <w:r w:rsidRPr="00B2683F">
            <w:t>GCLC</w:t>
          </w:r>
          <w:r>
            <w:t>),</w:t>
          </w:r>
          <w:r w:rsidRPr="00B2683F">
            <w:t xml:space="preserve"> NAD(P)H Quinone dehydrogenase 1 </w:t>
          </w:r>
          <w:r>
            <w:t>(</w:t>
          </w:r>
          <w:r w:rsidRPr="00B2683F">
            <w:t>NQO1</w:t>
          </w:r>
          <w:r>
            <w:t>),</w:t>
          </w:r>
          <w:r w:rsidRPr="00B2683F">
            <w:t xml:space="preserve"> heme oxygenase 1 </w:t>
          </w:r>
          <w:r>
            <w:t>(</w:t>
          </w:r>
          <w:r w:rsidRPr="00B2683F">
            <w:t>HO1</w:t>
          </w:r>
          <w:r>
            <w:t xml:space="preserve">) and </w:t>
          </w:r>
          <w:r w:rsidRPr="00B2683F">
            <w:t>glutathione peroxidase</w:t>
          </w:r>
          <w:r>
            <w:t xml:space="preserve"> (</w:t>
          </w:r>
          <w:r w:rsidRPr="000A145F">
            <w:t>GPX2</w:t>
          </w:r>
          <w:r>
            <w:t xml:space="preserve">)) </w:t>
          </w:r>
          <w:r>
            <w:fldChar w:fldCharType="begin">
              <w:fldData xml:space="preserve">PEVuZE5vdGU+PENpdGU+PEF1dGhvcj5Tb2xsZXRpPC9BdXRob3I+PFllYXI+MjAxNzwvWWVhcj48
UmVjTnVtPjExOTA8L1JlY051bT48RGlzcGxheVRleHQ+KFNvbGxldGksIEJoYXR0YWNoYXJ5YSBl
dCBhbC4gMjAxNyk8L0Rpc3BsYXlUZXh0PjxyZWNvcmQ+PHJlYy1udW1iZXI+MTE5MDwvcmVjLW51
bWJlcj48Zm9yZWlnbi1rZXlzPjxrZXkgYXBwPSJFTiIgZGItaWQ9Ijl6MDVkejBwcmFhZGZ1ZWUw
em94emVkazl6ZmU1Znh4NTB6NSIgdGltZXN0YW1wPSIxNTIxNTA3MDIxIj4xMTkwPC9rZXk+PGtl
eSBhcHA9IkVOV2ViIiBkYi1pZD0iIj4wPC9rZXk+PC9mb3JlaWduLWtleXM+PHJlZi10eXBlIG5h
bWU9IkpvdXJuYWwgQXJ0aWNsZSI+MTc8L3JlZi10eXBlPjxjb250cmlidXRvcnM+PGF1dGhvcnM+
PGF1dGhvcj5Tb2xsZXRpLCBTLiBLLjwvYXV0aG9yPjxhdXRob3I+QmhhdHRhY2hhcnlhLCBTLjwv
YXV0aG9yPjxhdXRob3I+QWhtYWQsIEEuPC9hdXRob3I+PGF1dGhvcj5XYW5nLCBRLjwvYXV0aG9y
PjxhdXRob3I+TWVyZW5lc3MsIEouPC9hdXRob3I+PGF1dGhvcj5SYW5nYXNhbXksIFQuPC9hdXRo
b3I+PGF1dGhvcj5NYXJpYW5pLCBULiBKLjwvYXV0aG9yPjwvYXV0aG9ycz48L2NvbnRyaWJ1dG9y
cz48YXV0aC1hZGRyZXNzPkRpdmlzaW9uIG9mIE5lb25hdG9sb2d5IGFuZCBQcm9ncmFtIGluIFBl
ZGlhdHJpYyBNb2xlY3VsYXIgYW5kIFBlcnNvbmFsaXplZCBNZWRpY2luZSwgRGVwYXJ0bWVudCBv
ZiBQZWRpYXRyaWNzLCBVbml2ZXJzaXR5IG9mIFJvY2hlc3RlciBNZWRpY2FsIENlbnRlciwgUm9j
aGVzdGVyLCBOWSwgVVNBLiYjeEQ7RGVwYXJ0bWVudCBvZiBCaW9tZWRpY2FsIEdlbmV0aWNzLCBV
bml2ZXJzaXR5IG9mIFJvY2hlc3RlciBNZWRpY2FsIENlbnRlciwgUm9jaGVzdGVyLCBOWSwgVVNB
LiYjeEQ7U2Nob29sIG9mIFZldGVyaW5hcnkgTWVkaWNpbmUsIExvdWlzaWFuYSBTdGF0ZSBVbml2
ZXJzaXR5LCBCYXRvbiBSb3VnZSwgTEEsIFVTQS4mI3hEO0RpdmlzaW9uIG9mIE5lb25hdG9sb2d5
IGFuZCBQcm9ncmFtIGluIFBlZGlhdHJpYyBNb2xlY3VsYXIgYW5kIFBlcnNvbmFsaXplZCBNZWRp
Y2luZSwgRGVwYXJ0bWVudCBvZiBQZWRpYXRyaWNzLCBVbml2ZXJzaXR5IG9mIFJvY2hlc3RlciBN
ZWRpY2FsIENlbnRlciwgUm9jaGVzdGVyLCBOWSwgVVNBLiBUb21fTWFyaWFuaUB1cm1jLnJvY2hl
c3Rlci5lZHUuJiN4RDtEZXBhcnRtZW50IG9mIEJpb21lZGljYWwgR2VuZXRpY3MsIFVuaXZlcnNp
dHkgb2YgUm9jaGVzdGVyIE1lZGljYWwgQ2VudGVyLCBSb2NoZXN0ZXIsIE5ZLCBVU0EuIFRvbV9N
YXJpYW5pQHVybWMucm9jaGVzdGVyLmVkdS4mI3hEO0RlcGFydG1lbnQgb2YgRW52aXJvbm1lbnRh
bCBNZWRpY2luZSwgVW5pdmVyc2l0eSBvZiBSb2NoZXN0ZXIgTWVkaWNhbCBDZW50ZXIsIFJvY2hl
c3RlciwgTlksIFVTQS4gVG9tX01hcmlhbmlAdXJtYy5yb2NoZXN0ZXIuZWR1LjwvYXV0aC1hZGRy
ZXNzPjx0aXRsZXM+PHRpdGxlPk1pY3JvUk5BIGV4cHJlc3Npb24gcHJvZmlsaW5nIGRlZmluZXMg
dGhlIGltcGFjdCBvZiBlbGVjdHJvbmljIGNpZ2FyZXR0ZXMgb24gaHVtYW4gYWlyd2F5IGVwaXRo
ZWxpYWwgY2VsbHM8L3RpdGxlPjxzZWNvbmRhcnktdGl0bGU+U2NpIFJlcDwvc2Vjb25kYXJ5LXRp
dGxlPjxhbHQtdGl0bGU+U2NpZW50aWZpYyByZXBvcnRzPC9hbHQtdGl0bGU+PC90aXRsZXM+PGFs
dC1wZXJpb2RpY2FsPjxmdWxsLXRpdGxlPlNjaWVudGlmaWMgUmVwb3J0czwvZnVsbC10aXRsZT48
L2FsdC1wZXJpb2RpY2FsPjxwYWdlcz4xMDgxPC9wYWdlcz48dm9sdW1lPjc8L3ZvbHVtZT48bnVt
YmVyPjE8L251bWJlcj48ZWRpdGlvbj4yMDE3LzA0LzI2PC9lZGl0aW9uPjxkYXRlcz48eWVhcj4y
MDE3PC95ZWFyPjxwdWItZGF0ZXM+PGRhdGU+QXByIDI0PC9kYXRlPjwvcHViLWRhdGVzPjwvZGF0
ZXM+PGlzYm4+MjA0NS0yMzIyPC9pc2JuPjxhY2Nlc3Npb24tbnVtPjI4NDM5MTEzPC9hY2Nlc3Np
b24tbnVtPjx1cmxzPjxyZWxhdGVkLXVybHM+PHVybD5odHRwczovL3d3dy5uY2JpLm5sbS5uaWgu
Z292L3BtYy9hcnRpY2xlcy9QTUM1NDMwODI2L3BkZi80MTU5OF8yMDE3X0FydGljbGVfMTE2Ny5w
ZGY8L3VybD48L3JlbGF0ZWQtdXJscz48L3VybHM+PGN1c3RvbTI+UE1DNTQzMDgyNjwvY3VzdG9t
Mj48ZWxlY3Ryb25pYy1yZXNvdXJjZS1udW0+MTAuMTAzOC9zNDE1OTgtMDE3LTAxMTY3LTg8L2Vs
ZWN0cm9uaWMtcmVzb3VyY2UtbnVtPjxyZW1vdGUtZGF0YWJhc2UtcHJvdmlkZXI+TkxNPC9yZW1v
dGUtZGF0YWJhc2UtcHJvdmlkZXI+PGxhbmd1YWdlPmVuZzwvbGFuZ3VhZ2U+PC9yZWNvcmQ+PC9D
aXRlPjwvRW5kTm90ZT4A
</w:fldData>
            </w:fldChar>
          </w:r>
          <w:r>
            <w:instrText xml:space="preserve"> ADDIN EN.CITE </w:instrText>
          </w:r>
          <w:r>
            <w:fldChar w:fldCharType="begin">
              <w:fldData xml:space="preserve">PEVuZE5vdGU+PENpdGU+PEF1dGhvcj5Tb2xsZXRpPC9BdXRob3I+PFllYXI+MjAxNzwvWWVhcj48
UmVjTnVtPjExOTA8L1JlY051bT48RGlzcGxheVRleHQ+KFNvbGxldGksIEJoYXR0YWNoYXJ5YSBl
dCBhbC4gMjAxNyk8L0Rpc3BsYXlUZXh0PjxyZWNvcmQ+PHJlYy1udW1iZXI+MTE5MDwvcmVjLW51
bWJlcj48Zm9yZWlnbi1rZXlzPjxrZXkgYXBwPSJFTiIgZGItaWQ9Ijl6MDVkejBwcmFhZGZ1ZWUw
em94emVkazl6ZmU1Znh4NTB6NSIgdGltZXN0YW1wPSIxNTIxNTA3MDIxIj4xMTkwPC9rZXk+PGtl
eSBhcHA9IkVOV2ViIiBkYi1pZD0iIj4wPC9rZXk+PC9mb3JlaWduLWtleXM+PHJlZi10eXBlIG5h
bWU9IkpvdXJuYWwgQXJ0aWNsZSI+MTc8L3JlZi10eXBlPjxjb250cmlidXRvcnM+PGF1dGhvcnM+
PGF1dGhvcj5Tb2xsZXRpLCBTLiBLLjwvYXV0aG9yPjxhdXRob3I+QmhhdHRhY2hhcnlhLCBTLjwv
YXV0aG9yPjxhdXRob3I+QWhtYWQsIEEuPC9hdXRob3I+PGF1dGhvcj5XYW5nLCBRLjwvYXV0aG9y
PjxhdXRob3I+TWVyZW5lc3MsIEouPC9hdXRob3I+PGF1dGhvcj5SYW5nYXNhbXksIFQuPC9hdXRo
b3I+PGF1dGhvcj5NYXJpYW5pLCBULiBKLjwvYXV0aG9yPjwvYXV0aG9ycz48L2NvbnRyaWJ1dG9y
cz48YXV0aC1hZGRyZXNzPkRpdmlzaW9uIG9mIE5lb25hdG9sb2d5IGFuZCBQcm9ncmFtIGluIFBl
ZGlhdHJpYyBNb2xlY3VsYXIgYW5kIFBlcnNvbmFsaXplZCBNZWRpY2luZSwgRGVwYXJ0bWVudCBv
ZiBQZWRpYXRyaWNzLCBVbml2ZXJzaXR5IG9mIFJvY2hlc3RlciBNZWRpY2FsIENlbnRlciwgUm9j
aGVzdGVyLCBOWSwgVVNBLiYjeEQ7RGVwYXJ0bWVudCBvZiBCaW9tZWRpY2FsIEdlbmV0aWNzLCBV
bml2ZXJzaXR5IG9mIFJvY2hlc3RlciBNZWRpY2FsIENlbnRlciwgUm9jaGVzdGVyLCBOWSwgVVNB
LiYjeEQ7U2Nob29sIG9mIFZldGVyaW5hcnkgTWVkaWNpbmUsIExvdWlzaWFuYSBTdGF0ZSBVbml2
ZXJzaXR5LCBCYXRvbiBSb3VnZSwgTEEsIFVTQS4mI3hEO0RpdmlzaW9uIG9mIE5lb25hdG9sb2d5
IGFuZCBQcm9ncmFtIGluIFBlZGlhdHJpYyBNb2xlY3VsYXIgYW5kIFBlcnNvbmFsaXplZCBNZWRp
Y2luZSwgRGVwYXJ0bWVudCBvZiBQZWRpYXRyaWNzLCBVbml2ZXJzaXR5IG9mIFJvY2hlc3RlciBN
ZWRpY2FsIENlbnRlciwgUm9jaGVzdGVyLCBOWSwgVVNBLiBUb21fTWFyaWFuaUB1cm1jLnJvY2hl
c3Rlci5lZHUuJiN4RDtEZXBhcnRtZW50IG9mIEJpb21lZGljYWwgR2VuZXRpY3MsIFVuaXZlcnNp
dHkgb2YgUm9jaGVzdGVyIE1lZGljYWwgQ2VudGVyLCBSb2NoZXN0ZXIsIE5ZLCBVU0EuIFRvbV9N
YXJpYW5pQHVybWMucm9jaGVzdGVyLmVkdS4mI3hEO0RlcGFydG1lbnQgb2YgRW52aXJvbm1lbnRh
bCBNZWRpY2luZSwgVW5pdmVyc2l0eSBvZiBSb2NoZXN0ZXIgTWVkaWNhbCBDZW50ZXIsIFJvY2hl
c3RlciwgTlksIFVTQS4gVG9tX01hcmlhbmlAdXJtYy5yb2NoZXN0ZXIuZWR1LjwvYXV0aC1hZGRy
ZXNzPjx0aXRsZXM+PHRpdGxlPk1pY3JvUk5BIGV4cHJlc3Npb24gcHJvZmlsaW5nIGRlZmluZXMg
dGhlIGltcGFjdCBvZiBlbGVjdHJvbmljIGNpZ2FyZXR0ZXMgb24gaHVtYW4gYWlyd2F5IGVwaXRo
ZWxpYWwgY2VsbHM8L3RpdGxlPjxzZWNvbmRhcnktdGl0bGU+U2NpIFJlcDwvc2Vjb25kYXJ5LXRp
dGxlPjxhbHQtdGl0bGU+U2NpZW50aWZpYyByZXBvcnRzPC9hbHQtdGl0bGU+PC90aXRsZXM+PGFs
dC1wZXJpb2RpY2FsPjxmdWxsLXRpdGxlPlNjaWVudGlmaWMgUmVwb3J0czwvZnVsbC10aXRsZT48
L2FsdC1wZXJpb2RpY2FsPjxwYWdlcz4xMDgxPC9wYWdlcz48dm9sdW1lPjc8L3ZvbHVtZT48bnVt
YmVyPjE8L251bWJlcj48ZWRpdGlvbj4yMDE3LzA0LzI2PC9lZGl0aW9uPjxkYXRlcz48eWVhcj4y
MDE3PC95ZWFyPjxwdWItZGF0ZXM+PGRhdGU+QXByIDI0PC9kYXRlPjwvcHViLWRhdGVzPjwvZGF0
ZXM+PGlzYm4+MjA0NS0yMzIyPC9pc2JuPjxhY2Nlc3Npb24tbnVtPjI4NDM5MTEzPC9hY2Nlc3Np
b24tbnVtPjx1cmxzPjxyZWxhdGVkLXVybHM+PHVybD5odHRwczovL3d3dy5uY2JpLm5sbS5uaWgu
Z292L3BtYy9hcnRpY2xlcy9QTUM1NDMwODI2L3BkZi80MTU5OF8yMDE3X0FydGljbGVfMTE2Ny5w
ZGY8L3VybD48L3JlbGF0ZWQtdXJscz48L3VybHM+PGN1c3RvbTI+UE1DNTQzMDgyNjwvY3VzdG9t
Mj48ZWxlY3Ryb25pYy1yZXNvdXJjZS1udW0+MTAuMTAzOC9zNDE1OTgtMDE3LTAxMTY3LTg8L2Vs
ZWN0cm9uaWMtcmVzb3VyY2UtbnVtPjxyZW1vdGUtZGF0YWJhc2UtcHJvdmlkZXI+TkxNPC9yZW1v
dGUtZGF0YWJhc2UtcHJvdmlkZXI+PGxhbmd1YWdlPmVuZzwvbGFuZ3VhZ2U+PC9yZWNvcmQ+PC9D
aXRlPjwvRW5kTm90ZT4A
</w:fldData>
            </w:fldChar>
          </w:r>
          <w:r>
            <w:instrText xml:space="preserve"> ADDIN EN.CITE.DATA </w:instrText>
          </w:r>
          <w:r>
            <w:fldChar w:fldCharType="end"/>
          </w:r>
          <w:r>
            <w:fldChar w:fldCharType="separate"/>
          </w:r>
          <w:r>
            <w:rPr>
              <w:noProof/>
            </w:rPr>
            <w:t>(Solleti, Bhattacharya et al. 2017)</w:t>
          </w:r>
          <w:r>
            <w:fldChar w:fldCharType="end"/>
          </w:r>
          <w:r>
            <w:t>,</w:t>
          </w:r>
          <w:r w:rsidRPr="000A145F">
            <w:t xml:space="preserve"> </w:t>
          </w:r>
          <w:r>
            <w:t>whereas c</w:t>
          </w:r>
          <w:r w:rsidRPr="000A145F">
            <w:t xml:space="preserve">igarette smoke exposure only led to increased expression of </w:t>
          </w:r>
          <w:r>
            <w:t>three indicators of oxidative stress (</w:t>
          </w:r>
          <w:r w:rsidRPr="000A145F">
            <w:t>GCLC, GPX2 an</w:t>
          </w:r>
          <w:r>
            <w:t>d</w:t>
          </w:r>
          <w:r w:rsidRPr="000A145F">
            <w:t xml:space="preserve"> NQO1</w:t>
          </w:r>
          <w:r>
            <w:t xml:space="preserve">) in lung epithelial cells </w:t>
          </w:r>
          <w:r>
            <w:fldChar w:fldCharType="begin">
              <w:fldData xml:space="preserve">PEVuZE5vdGU+PENpdGU+PEF1dGhvcj5Tb2xsZXRpPC9BdXRob3I+PFllYXI+MjAxNzwvWWVhcj48
UmVjTnVtPjExOTA8L1JlY051bT48RGlzcGxheVRleHQ+KFNvbGxldGksIEJoYXR0YWNoYXJ5YSBl
dCBhbC4gMjAxNyk8L0Rpc3BsYXlUZXh0PjxyZWNvcmQ+PHJlYy1udW1iZXI+MTE5MDwvcmVjLW51
bWJlcj48Zm9yZWlnbi1rZXlzPjxrZXkgYXBwPSJFTiIgZGItaWQ9Ijl6MDVkejBwcmFhZGZ1ZWUw
em94emVkazl6ZmU1Znh4NTB6NSIgdGltZXN0YW1wPSIxNTIxNTA3MDIxIj4xMTkwPC9rZXk+PGtl
eSBhcHA9IkVOV2ViIiBkYi1pZD0iIj4wPC9rZXk+PC9mb3JlaWduLWtleXM+PHJlZi10eXBlIG5h
bWU9IkpvdXJuYWwgQXJ0aWNsZSI+MTc8L3JlZi10eXBlPjxjb250cmlidXRvcnM+PGF1dGhvcnM+
PGF1dGhvcj5Tb2xsZXRpLCBTLiBLLjwvYXV0aG9yPjxhdXRob3I+QmhhdHRhY2hhcnlhLCBTLjwv
YXV0aG9yPjxhdXRob3I+QWhtYWQsIEEuPC9hdXRob3I+PGF1dGhvcj5XYW5nLCBRLjwvYXV0aG9y
PjxhdXRob3I+TWVyZW5lc3MsIEouPC9hdXRob3I+PGF1dGhvcj5SYW5nYXNhbXksIFQuPC9hdXRo
b3I+PGF1dGhvcj5NYXJpYW5pLCBULiBKLjwvYXV0aG9yPjwvYXV0aG9ycz48L2NvbnRyaWJ1dG9y
cz48YXV0aC1hZGRyZXNzPkRpdmlzaW9uIG9mIE5lb25hdG9sb2d5IGFuZCBQcm9ncmFtIGluIFBl
ZGlhdHJpYyBNb2xlY3VsYXIgYW5kIFBlcnNvbmFsaXplZCBNZWRpY2luZSwgRGVwYXJ0bWVudCBv
ZiBQZWRpYXRyaWNzLCBVbml2ZXJzaXR5IG9mIFJvY2hlc3RlciBNZWRpY2FsIENlbnRlciwgUm9j
aGVzdGVyLCBOWSwgVVNBLiYjeEQ7RGVwYXJ0bWVudCBvZiBCaW9tZWRpY2FsIEdlbmV0aWNzLCBV
bml2ZXJzaXR5IG9mIFJvY2hlc3RlciBNZWRpY2FsIENlbnRlciwgUm9jaGVzdGVyLCBOWSwgVVNB
LiYjeEQ7U2Nob29sIG9mIFZldGVyaW5hcnkgTWVkaWNpbmUsIExvdWlzaWFuYSBTdGF0ZSBVbml2
ZXJzaXR5LCBCYXRvbiBSb3VnZSwgTEEsIFVTQS4mI3hEO0RpdmlzaW9uIG9mIE5lb25hdG9sb2d5
IGFuZCBQcm9ncmFtIGluIFBlZGlhdHJpYyBNb2xlY3VsYXIgYW5kIFBlcnNvbmFsaXplZCBNZWRp
Y2luZSwgRGVwYXJ0bWVudCBvZiBQZWRpYXRyaWNzLCBVbml2ZXJzaXR5IG9mIFJvY2hlc3RlciBN
ZWRpY2FsIENlbnRlciwgUm9jaGVzdGVyLCBOWSwgVVNBLiBUb21fTWFyaWFuaUB1cm1jLnJvY2hl
c3Rlci5lZHUuJiN4RDtEZXBhcnRtZW50IG9mIEJpb21lZGljYWwgR2VuZXRpY3MsIFVuaXZlcnNp
dHkgb2YgUm9jaGVzdGVyIE1lZGljYWwgQ2VudGVyLCBSb2NoZXN0ZXIsIE5ZLCBVU0EuIFRvbV9N
YXJpYW5pQHVybWMucm9jaGVzdGVyLmVkdS4mI3hEO0RlcGFydG1lbnQgb2YgRW52aXJvbm1lbnRh
bCBNZWRpY2luZSwgVW5pdmVyc2l0eSBvZiBSb2NoZXN0ZXIgTWVkaWNhbCBDZW50ZXIsIFJvY2hl
c3RlciwgTlksIFVTQS4gVG9tX01hcmlhbmlAdXJtYy5yb2NoZXN0ZXIuZWR1LjwvYXV0aC1hZGRy
ZXNzPjx0aXRsZXM+PHRpdGxlPk1pY3JvUk5BIGV4cHJlc3Npb24gcHJvZmlsaW5nIGRlZmluZXMg
dGhlIGltcGFjdCBvZiBlbGVjdHJvbmljIGNpZ2FyZXR0ZXMgb24gaHVtYW4gYWlyd2F5IGVwaXRo
ZWxpYWwgY2VsbHM8L3RpdGxlPjxzZWNvbmRhcnktdGl0bGU+U2NpIFJlcDwvc2Vjb25kYXJ5LXRp
dGxlPjxhbHQtdGl0bGU+U2NpZW50aWZpYyByZXBvcnRzPC9hbHQtdGl0bGU+PC90aXRsZXM+PGFs
dC1wZXJpb2RpY2FsPjxmdWxsLXRpdGxlPlNjaWVudGlmaWMgUmVwb3J0czwvZnVsbC10aXRsZT48
L2FsdC1wZXJpb2RpY2FsPjxwYWdlcz4xMDgxPC9wYWdlcz48dm9sdW1lPjc8L3ZvbHVtZT48bnVt
YmVyPjE8L251bWJlcj48ZWRpdGlvbj4yMDE3LzA0LzI2PC9lZGl0aW9uPjxkYXRlcz48eWVhcj4y
MDE3PC95ZWFyPjxwdWItZGF0ZXM+PGRhdGU+QXByIDI0PC9kYXRlPjwvcHViLWRhdGVzPjwvZGF0
ZXM+PGlzYm4+MjA0NS0yMzIyPC9pc2JuPjxhY2Nlc3Npb24tbnVtPjI4NDM5MTEzPC9hY2Nlc3Np
b24tbnVtPjx1cmxzPjxyZWxhdGVkLXVybHM+PHVybD5odHRwczovL3d3dy5uY2JpLm5sbS5uaWgu
Z292L3BtYy9hcnRpY2xlcy9QTUM1NDMwODI2L3BkZi80MTU5OF8yMDE3X0FydGljbGVfMTE2Ny5w
ZGY8L3VybD48L3JlbGF0ZWQtdXJscz48L3VybHM+PGN1c3RvbTI+UE1DNTQzMDgyNjwvY3VzdG9t
Mj48ZWxlY3Ryb25pYy1yZXNvdXJjZS1udW0+MTAuMTAzOC9zNDE1OTgtMDE3LTAxMTY3LTg8L2Vs
ZWN0cm9uaWMtcmVzb3VyY2UtbnVtPjxyZW1vdGUtZGF0YWJhc2UtcHJvdmlkZXI+TkxNPC9yZW1v
dGUtZGF0YWJhc2UtcHJvdmlkZXI+PGxhbmd1YWdlPmVuZzwvbGFuZ3VhZ2U+PC9yZWNvcmQ+PC9D
aXRlPjwvRW5kTm90ZT4A
</w:fldData>
            </w:fldChar>
          </w:r>
          <w:r>
            <w:instrText xml:space="preserve"> ADDIN EN.CITE </w:instrText>
          </w:r>
          <w:r>
            <w:fldChar w:fldCharType="begin">
              <w:fldData xml:space="preserve">PEVuZE5vdGU+PENpdGU+PEF1dGhvcj5Tb2xsZXRpPC9BdXRob3I+PFllYXI+MjAxNzwvWWVhcj48
UmVjTnVtPjExOTA8L1JlY051bT48RGlzcGxheVRleHQ+KFNvbGxldGksIEJoYXR0YWNoYXJ5YSBl
dCBhbC4gMjAxNyk8L0Rpc3BsYXlUZXh0PjxyZWNvcmQ+PHJlYy1udW1iZXI+MTE5MDwvcmVjLW51
bWJlcj48Zm9yZWlnbi1rZXlzPjxrZXkgYXBwPSJFTiIgZGItaWQ9Ijl6MDVkejBwcmFhZGZ1ZWUw
em94emVkazl6ZmU1Znh4NTB6NSIgdGltZXN0YW1wPSIxNTIxNTA3MDIxIj4xMTkwPC9rZXk+PGtl
eSBhcHA9IkVOV2ViIiBkYi1pZD0iIj4wPC9rZXk+PC9mb3JlaWduLWtleXM+PHJlZi10eXBlIG5h
bWU9IkpvdXJuYWwgQXJ0aWNsZSI+MTc8L3JlZi10eXBlPjxjb250cmlidXRvcnM+PGF1dGhvcnM+
PGF1dGhvcj5Tb2xsZXRpLCBTLiBLLjwvYXV0aG9yPjxhdXRob3I+QmhhdHRhY2hhcnlhLCBTLjwv
YXV0aG9yPjxhdXRob3I+QWhtYWQsIEEuPC9hdXRob3I+PGF1dGhvcj5XYW5nLCBRLjwvYXV0aG9y
PjxhdXRob3I+TWVyZW5lc3MsIEouPC9hdXRob3I+PGF1dGhvcj5SYW5nYXNhbXksIFQuPC9hdXRo
b3I+PGF1dGhvcj5NYXJpYW5pLCBULiBKLjwvYXV0aG9yPjwvYXV0aG9ycz48L2NvbnRyaWJ1dG9y
cz48YXV0aC1hZGRyZXNzPkRpdmlzaW9uIG9mIE5lb25hdG9sb2d5IGFuZCBQcm9ncmFtIGluIFBl
ZGlhdHJpYyBNb2xlY3VsYXIgYW5kIFBlcnNvbmFsaXplZCBNZWRpY2luZSwgRGVwYXJ0bWVudCBv
ZiBQZWRpYXRyaWNzLCBVbml2ZXJzaXR5IG9mIFJvY2hlc3RlciBNZWRpY2FsIENlbnRlciwgUm9j
aGVzdGVyLCBOWSwgVVNBLiYjeEQ7RGVwYXJ0bWVudCBvZiBCaW9tZWRpY2FsIEdlbmV0aWNzLCBV
bml2ZXJzaXR5IG9mIFJvY2hlc3RlciBNZWRpY2FsIENlbnRlciwgUm9jaGVzdGVyLCBOWSwgVVNB
LiYjeEQ7U2Nob29sIG9mIFZldGVyaW5hcnkgTWVkaWNpbmUsIExvdWlzaWFuYSBTdGF0ZSBVbml2
ZXJzaXR5LCBCYXRvbiBSb3VnZSwgTEEsIFVTQS4mI3hEO0RpdmlzaW9uIG9mIE5lb25hdG9sb2d5
IGFuZCBQcm9ncmFtIGluIFBlZGlhdHJpYyBNb2xlY3VsYXIgYW5kIFBlcnNvbmFsaXplZCBNZWRp
Y2luZSwgRGVwYXJ0bWVudCBvZiBQZWRpYXRyaWNzLCBVbml2ZXJzaXR5IG9mIFJvY2hlc3RlciBN
ZWRpY2FsIENlbnRlciwgUm9jaGVzdGVyLCBOWSwgVVNBLiBUb21fTWFyaWFuaUB1cm1jLnJvY2hl
c3Rlci5lZHUuJiN4RDtEZXBhcnRtZW50IG9mIEJpb21lZGljYWwgR2VuZXRpY3MsIFVuaXZlcnNp
dHkgb2YgUm9jaGVzdGVyIE1lZGljYWwgQ2VudGVyLCBSb2NoZXN0ZXIsIE5ZLCBVU0EuIFRvbV9N
YXJpYW5pQHVybWMucm9jaGVzdGVyLmVkdS4mI3hEO0RlcGFydG1lbnQgb2YgRW52aXJvbm1lbnRh
bCBNZWRpY2luZSwgVW5pdmVyc2l0eSBvZiBSb2NoZXN0ZXIgTWVkaWNhbCBDZW50ZXIsIFJvY2hl
c3RlciwgTlksIFVTQS4gVG9tX01hcmlhbmlAdXJtYy5yb2NoZXN0ZXIuZWR1LjwvYXV0aC1hZGRy
ZXNzPjx0aXRsZXM+PHRpdGxlPk1pY3JvUk5BIGV4cHJlc3Npb24gcHJvZmlsaW5nIGRlZmluZXMg
dGhlIGltcGFjdCBvZiBlbGVjdHJvbmljIGNpZ2FyZXR0ZXMgb24gaHVtYW4gYWlyd2F5IGVwaXRo
ZWxpYWwgY2VsbHM8L3RpdGxlPjxzZWNvbmRhcnktdGl0bGU+U2NpIFJlcDwvc2Vjb25kYXJ5LXRp
dGxlPjxhbHQtdGl0bGU+U2NpZW50aWZpYyByZXBvcnRzPC9hbHQtdGl0bGU+PC90aXRsZXM+PGFs
dC1wZXJpb2RpY2FsPjxmdWxsLXRpdGxlPlNjaWVudGlmaWMgUmVwb3J0czwvZnVsbC10aXRsZT48
L2FsdC1wZXJpb2RpY2FsPjxwYWdlcz4xMDgxPC9wYWdlcz48dm9sdW1lPjc8L3ZvbHVtZT48bnVt
YmVyPjE8L251bWJlcj48ZWRpdGlvbj4yMDE3LzA0LzI2PC9lZGl0aW9uPjxkYXRlcz48eWVhcj4y
MDE3PC95ZWFyPjxwdWItZGF0ZXM+PGRhdGU+QXByIDI0PC9kYXRlPjwvcHViLWRhdGVzPjwvZGF0
ZXM+PGlzYm4+MjA0NS0yMzIyPC9pc2JuPjxhY2Nlc3Npb24tbnVtPjI4NDM5MTEzPC9hY2Nlc3Np
b24tbnVtPjx1cmxzPjxyZWxhdGVkLXVybHM+PHVybD5odHRwczovL3d3dy5uY2JpLm5sbS5uaWgu
Z292L3BtYy9hcnRpY2xlcy9QTUM1NDMwODI2L3BkZi80MTU5OF8yMDE3X0FydGljbGVfMTE2Ny5w
ZGY8L3VybD48L3JlbGF0ZWQtdXJscz48L3VybHM+PGN1c3RvbTI+UE1DNTQzMDgyNjwvY3VzdG9t
Mj48ZWxlY3Ryb25pYy1yZXNvdXJjZS1udW0+MTAuMTAzOC9zNDE1OTgtMDE3LTAxMTY3LTg8L2Vs
ZWN0cm9uaWMtcmVzb3VyY2UtbnVtPjxyZW1vdGUtZGF0YWJhc2UtcHJvdmlkZXI+TkxNPC9yZW1v
dGUtZGF0YWJhc2UtcHJvdmlkZXI+PGxhbmd1YWdlPmVuZzwvbGFuZ3VhZ2U+PC9yZWNvcmQ+PC9D
aXRlPjwvRW5kTm90ZT4A
</w:fldData>
            </w:fldChar>
          </w:r>
          <w:r>
            <w:instrText xml:space="preserve"> ADDIN EN.CITE.DATA </w:instrText>
          </w:r>
          <w:r>
            <w:fldChar w:fldCharType="end"/>
          </w:r>
          <w:r>
            <w:fldChar w:fldCharType="separate"/>
          </w:r>
          <w:r>
            <w:rPr>
              <w:noProof/>
            </w:rPr>
            <w:t>(Solleti, Bhattacharya et al. 2017)</w:t>
          </w:r>
          <w:r>
            <w:fldChar w:fldCharType="end"/>
          </w:r>
          <w:r w:rsidRPr="000A145F">
            <w:t>. Nicotine-containing e-cigarette vapour elicited the highest oxidative respons</w:t>
          </w:r>
          <w:r>
            <w:t xml:space="preserve">e out of all tested substances </w:t>
          </w:r>
          <w:r>
            <w:fldChar w:fldCharType="begin">
              <w:fldData xml:space="preserve">PEVuZE5vdGU+PENpdGU+PEF1dGhvcj5Tb2xsZXRpPC9BdXRob3I+PFllYXI+MjAxNzwvWWVhcj48
UmVjTnVtPjExOTA8L1JlY051bT48RGlzcGxheVRleHQ+KFNvbGxldGksIEJoYXR0YWNoYXJ5YSBl
dCBhbC4gMjAxNyk8L0Rpc3BsYXlUZXh0PjxyZWNvcmQ+PHJlYy1udW1iZXI+MTE5MDwvcmVjLW51
bWJlcj48Zm9yZWlnbi1rZXlzPjxrZXkgYXBwPSJFTiIgZGItaWQ9Ijl6MDVkejBwcmFhZGZ1ZWUw
em94emVkazl6ZmU1Znh4NTB6NSIgdGltZXN0YW1wPSIxNTIxNTA3MDIxIj4xMTkwPC9rZXk+PGtl
eSBhcHA9IkVOV2ViIiBkYi1pZD0iIj4wPC9rZXk+PC9mb3JlaWduLWtleXM+PHJlZi10eXBlIG5h
bWU9IkpvdXJuYWwgQXJ0aWNsZSI+MTc8L3JlZi10eXBlPjxjb250cmlidXRvcnM+PGF1dGhvcnM+
PGF1dGhvcj5Tb2xsZXRpLCBTLiBLLjwvYXV0aG9yPjxhdXRob3I+QmhhdHRhY2hhcnlhLCBTLjwv
YXV0aG9yPjxhdXRob3I+QWhtYWQsIEEuPC9hdXRob3I+PGF1dGhvcj5XYW5nLCBRLjwvYXV0aG9y
PjxhdXRob3I+TWVyZW5lc3MsIEouPC9hdXRob3I+PGF1dGhvcj5SYW5nYXNhbXksIFQuPC9hdXRo
b3I+PGF1dGhvcj5NYXJpYW5pLCBULiBKLjwvYXV0aG9yPjwvYXV0aG9ycz48L2NvbnRyaWJ1dG9y
cz48YXV0aC1hZGRyZXNzPkRpdmlzaW9uIG9mIE5lb25hdG9sb2d5IGFuZCBQcm9ncmFtIGluIFBl
ZGlhdHJpYyBNb2xlY3VsYXIgYW5kIFBlcnNvbmFsaXplZCBNZWRpY2luZSwgRGVwYXJ0bWVudCBv
ZiBQZWRpYXRyaWNzLCBVbml2ZXJzaXR5IG9mIFJvY2hlc3RlciBNZWRpY2FsIENlbnRlciwgUm9j
aGVzdGVyLCBOWSwgVVNBLiYjeEQ7RGVwYXJ0bWVudCBvZiBCaW9tZWRpY2FsIEdlbmV0aWNzLCBV
bml2ZXJzaXR5IG9mIFJvY2hlc3RlciBNZWRpY2FsIENlbnRlciwgUm9jaGVzdGVyLCBOWSwgVVNB
LiYjeEQ7U2Nob29sIG9mIFZldGVyaW5hcnkgTWVkaWNpbmUsIExvdWlzaWFuYSBTdGF0ZSBVbml2
ZXJzaXR5LCBCYXRvbiBSb3VnZSwgTEEsIFVTQS4mI3hEO0RpdmlzaW9uIG9mIE5lb25hdG9sb2d5
IGFuZCBQcm9ncmFtIGluIFBlZGlhdHJpYyBNb2xlY3VsYXIgYW5kIFBlcnNvbmFsaXplZCBNZWRp
Y2luZSwgRGVwYXJ0bWVudCBvZiBQZWRpYXRyaWNzLCBVbml2ZXJzaXR5IG9mIFJvY2hlc3RlciBN
ZWRpY2FsIENlbnRlciwgUm9jaGVzdGVyLCBOWSwgVVNBLiBUb21fTWFyaWFuaUB1cm1jLnJvY2hl
c3Rlci5lZHUuJiN4RDtEZXBhcnRtZW50IG9mIEJpb21lZGljYWwgR2VuZXRpY3MsIFVuaXZlcnNp
dHkgb2YgUm9jaGVzdGVyIE1lZGljYWwgQ2VudGVyLCBSb2NoZXN0ZXIsIE5ZLCBVU0EuIFRvbV9N
YXJpYW5pQHVybWMucm9jaGVzdGVyLmVkdS4mI3hEO0RlcGFydG1lbnQgb2YgRW52aXJvbm1lbnRh
bCBNZWRpY2luZSwgVW5pdmVyc2l0eSBvZiBSb2NoZXN0ZXIgTWVkaWNhbCBDZW50ZXIsIFJvY2hl
c3RlciwgTlksIFVTQS4gVG9tX01hcmlhbmlAdXJtYy5yb2NoZXN0ZXIuZWR1LjwvYXV0aC1hZGRy
ZXNzPjx0aXRsZXM+PHRpdGxlPk1pY3JvUk5BIGV4cHJlc3Npb24gcHJvZmlsaW5nIGRlZmluZXMg
dGhlIGltcGFjdCBvZiBlbGVjdHJvbmljIGNpZ2FyZXR0ZXMgb24gaHVtYW4gYWlyd2F5IGVwaXRo
ZWxpYWwgY2VsbHM8L3RpdGxlPjxzZWNvbmRhcnktdGl0bGU+U2NpIFJlcDwvc2Vjb25kYXJ5LXRp
dGxlPjxhbHQtdGl0bGU+U2NpZW50aWZpYyByZXBvcnRzPC9hbHQtdGl0bGU+PC90aXRsZXM+PGFs
dC1wZXJpb2RpY2FsPjxmdWxsLXRpdGxlPlNjaWVudGlmaWMgUmVwb3J0czwvZnVsbC10aXRsZT48
L2FsdC1wZXJpb2RpY2FsPjxwYWdlcz4xMDgxPC9wYWdlcz48dm9sdW1lPjc8L3ZvbHVtZT48bnVt
YmVyPjE8L251bWJlcj48ZWRpdGlvbj4yMDE3LzA0LzI2PC9lZGl0aW9uPjxkYXRlcz48eWVhcj4y
MDE3PC95ZWFyPjxwdWItZGF0ZXM+PGRhdGU+QXByIDI0PC9kYXRlPjwvcHViLWRhdGVzPjwvZGF0
ZXM+PGlzYm4+MjA0NS0yMzIyPC9pc2JuPjxhY2Nlc3Npb24tbnVtPjI4NDM5MTEzPC9hY2Nlc3Np
b24tbnVtPjx1cmxzPjxyZWxhdGVkLXVybHM+PHVybD5odHRwczovL3d3dy5uY2JpLm5sbS5uaWgu
Z292L3BtYy9hcnRpY2xlcy9QTUM1NDMwODI2L3BkZi80MTU5OF8yMDE3X0FydGljbGVfMTE2Ny5w
ZGY8L3VybD48L3JlbGF0ZWQtdXJscz48L3VybHM+PGN1c3RvbTI+UE1DNTQzMDgyNjwvY3VzdG9t
Mj48ZWxlY3Ryb25pYy1yZXNvdXJjZS1udW0+MTAuMTAzOC9zNDE1OTgtMDE3LTAxMTY3LTg8L2Vs
ZWN0cm9uaWMtcmVzb3VyY2UtbnVtPjxyZW1vdGUtZGF0YWJhc2UtcHJvdmlkZXI+TkxNPC9yZW1v
dGUtZGF0YWJhc2UtcHJvdmlkZXI+PGxhbmd1YWdlPmVuZzwvbGFuZ3VhZ2U+PC9yZWNvcmQ+PC9D
aXRlPjwvRW5kTm90ZT4A
</w:fldData>
            </w:fldChar>
          </w:r>
          <w:r>
            <w:instrText xml:space="preserve"> ADDIN EN.CITE </w:instrText>
          </w:r>
          <w:r>
            <w:fldChar w:fldCharType="begin">
              <w:fldData xml:space="preserve">PEVuZE5vdGU+PENpdGU+PEF1dGhvcj5Tb2xsZXRpPC9BdXRob3I+PFllYXI+MjAxNzwvWWVhcj48
UmVjTnVtPjExOTA8L1JlY051bT48RGlzcGxheVRleHQ+KFNvbGxldGksIEJoYXR0YWNoYXJ5YSBl
dCBhbC4gMjAxNyk8L0Rpc3BsYXlUZXh0PjxyZWNvcmQ+PHJlYy1udW1iZXI+MTE5MDwvcmVjLW51
bWJlcj48Zm9yZWlnbi1rZXlzPjxrZXkgYXBwPSJFTiIgZGItaWQ9Ijl6MDVkejBwcmFhZGZ1ZWUw
em94emVkazl6ZmU1Znh4NTB6NSIgdGltZXN0YW1wPSIxNTIxNTA3MDIxIj4xMTkwPC9rZXk+PGtl
eSBhcHA9IkVOV2ViIiBkYi1pZD0iIj4wPC9rZXk+PC9mb3JlaWduLWtleXM+PHJlZi10eXBlIG5h
bWU9IkpvdXJuYWwgQXJ0aWNsZSI+MTc8L3JlZi10eXBlPjxjb250cmlidXRvcnM+PGF1dGhvcnM+
PGF1dGhvcj5Tb2xsZXRpLCBTLiBLLjwvYXV0aG9yPjxhdXRob3I+QmhhdHRhY2hhcnlhLCBTLjwv
YXV0aG9yPjxhdXRob3I+QWhtYWQsIEEuPC9hdXRob3I+PGF1dGhvcj5XYW5nLCBRLjwvYXV0aG9y
PjxhdXRob3I+TWVyZW5lc3MsIEouPC9hdXRob3I+PGF1dGhvcj5SYW5nYXNhbXksIFQuPC9hdXRo
b3I+PGF1dGhvcj5NYXJpYW5pLCBULiBKLjwvYXV0aG9yPjwvYXV0aG9ycz48L2NvbnRyaWJ1dG9y
cz48YXV0aC1hZGRyZXNzPkRpdmlzaW9uIG9mIE5lb25hdG9sb2d5IGFuZCBQcm9ncmFtIGluIFBl
ZGlhdHJpYyBNb2xlY3VsYXIgYW5kIFBlcnNvbmFsaXplZCBNZWRpY2luZSwgRGVwYXJ0bWVudCBv
ZiBQZWRpYXRyaWNzLCBVbml2ZXJzaXR5IG9mIFJvY2hlc3RlciBNZWRpY2FsIENlbnRlciwgUm9j
aGVzdGVyLCBOWSwgVVNBLiYjeEQ7RGVwYXJ0bWVudCBvZiBCaW9tZWRpY2FsIEdlbmV0aWNzLCBV
bml2ZXJzaXR5IG9mIFJvY2hlc3RlciBNZWRpY2FsIENlbnRlciwgUm9jaGVzdGVyLCBOWSwgVVNB
LiYjeEQ7U2Nob29sIG9mIFZldGVyaW5hcnkgTWVkaWNpbmUsIExvdWlzaWFuYSBTdGF0ZSBVbml2
ZXJzaXR5LCBCYXRvbiBSb3VnZSwgTEEsIFVTQS4mI3hEO0RpdmlzaW9uIG9mIE5lb25hdG9sb2d5
IGFuZCBQcm9ncmFtIGluIFBlZGlhdHJpYyBNb2xlY3VsYXIgYW5kIFBlcnNvbmFsaXplZCBNZWRp
Y2luZSwgRGVwYXJ0bWVudCBvZiBQZWRpYXRyaWNzLCBVbml2ZXJzaXR5IG9mIFJvY2hlc3RlciBN
ZWRpY2FsIENlbnRlciwgUm9jaGVzdGVyLCBOWSwgVVNBLiBUb21fTWFyaWFuaUB1cm1jLnJvY2hl
c3Rlci5lZHUuJiN4RDtEZXBhcnRtZW50IG9mIEJpb21lZGljYWwgR2VuZXRpY3MsIFVuaXZlcnNp
dHkgb2YgUm9jaGVzdGVyIE1lZGljYWwgQ2VudGVyLCBSb2NoZXN0ZXIsIE5ZLCBVU0EuIFRvbV9N
YXJpYW5pQHVybWMucm9jaGVzdGVyLmVkdS4mI3hEO0RlcGFydG1lbnQgb2YgRW52aXJvbm1lbnRh
bCBNZWRpY2luZSwgVW5pdmVyc2l0eSBvZiBSb2NoZXN0ZXIgTWVkaWNhbCBDZW50ZXIsIFJvY2hl
c3RlciwgTlksIFVTQS4gVG9tX01hcmlhbmlAdXJtYy5yb2NoZXN0ZXIuZWR1LjwvYXV0aC1hZGRy
ZXNzPjx0aXRsZXM+PHRpdGxlPk1pY3JvUk5BIGV4cHJlc3Npb24gcHJvZmlsaW5nIGRlZmluZXMg
dGhlIGltcGFjdCBvZiBlbGVjdHJvbmljIGNpZ2FyZXR0ZXMgb24gaHVtYW4gYWlyd2F5IGVwaXRo
ZWxpYWwgY2VsbHM8L3RpdGxlPjxzZWNvbmRhcnktdGl0bGU+U2NpIFJlcDwvc2Vjb25kYXJ5LXRp
dGxlPjxhbHQtdGl0bGU+U2NpZW50aWZpYyByZXBvcnRzPC9hbHQtdGl0bGU+PC90aXRsZXM+PGFs
dC1wZXJpb2RpY2FsPjxmdWxsLXRpdGxlPlNjaWVudGlmaWMgUmVwb3J0czwvZnVsbC10aXRsZT48
L2FsdC1wZXJpb2RpY2FsPjxwYWdlcz4xMDgxPC9wYWdlcz48dm9sdW1lPjc8L3ZvbHVtZT48bnVt
YmVyPjE8L251bWJlcj48ZWRpdGlvbj4yMDE3LzA0LzI2PC9lZGl0aW9uPjxkYXRlcz48eWVhcj4y
MDE3PC95ZWFyPjxwdWItZGF0ZXM+PGRhdGU+QXByIDI0PC9kYXRlPjwvcHViLWRhdGVzPjwvZGF0
ZXM+PGlzYm4+MjA0NS0yMzIyPC9pc2JuPjxhY2Nlc3Npb24tbnVtPjI4NDM5MTEzPC9hY2Nlc3Np
b24tbnVtPjx1cmxzPjxyZWxhdGVkLXVybHM+PHVybD5odHRwczovL3d3dy5uY2JpLm5sbS5uaWgu
Z292L3BtYy9hcnRpY2xlcy9QTUM1NDMwODI2L3BkZi80MTU5OF8yMDE3X0FydGljbGVfMTE2Ny5w
ZGY8L3VybD48L3JlbGF0ZWQtdXJscz48L3VybHM+PGN1c3RvbTI+UE1DNTQzMDgyNjwvY3VzdG9t
Mj48ZWxlY3Ryb25pYy1yZXNvdXJjZS1udW0+MTAuMTAzOC9zNDE1OTgtMDE3LTAxMTY3LTg8L2Vs
ZWN0cm9uaWMtcmVzb3VyY2UtbnVtPjxyZW1vdGUtZGF0YWJhc2UtcHJvdmlkZXI+TkxNPC9yZW1v
dGUtZGF0YWJhc2UtcHJvdmlkZXI+PGxhbmd1YWdlPmVuZzwvbGFuZ3VhZ2U+PC9yZWNvcmQ+PC9D
aXRlPjwvRW5kTm90ZT4A
</w:fldData>
            </w:fldChar>
          </w:r>
          <w:r>
            <w:instrText xml:space="preserve"> ADDIN EN.CITE.DATA </w:instrText>
          </w:r>
          <w:r>
            <w:fldChar w:fldCharType="end"/>
          </w:r>
          <w:r>
            <w:fldChar w:fldCharType="separate"/>
          </w:r>
          <w:r>
            <w:rPr>
              <w:noProof/>
            </w:rPr>
            <w:t>(Solleti, Bhattacharya et al. 2017)</w:t>
          </w:r>
          <w:r>
            <w:fldChar w:fldCharType="end"/>
          </w:r>
          <w:r w:rsidRPr="000A145F">
            <w:t xml:space="preserve">. </w:t>
          </w:r>
        </w:p>
        <w:p w14:paraId="47FDE86B" w14:textId="77777777" w:rsidR="00A74D41" w:rsidRDefault="00A74D41" w:rsidP="00A74D41">
          <w:pPr>
            <w:pStyle w:val="BodyText"/>
          </w:pPr>
          <w:r>
            <w:lastRenderedPageBreak/>
            <w:t>In a study investigating ROS (</w:t>
          </w:r>
          <w:r w:rsidRPr="000846C7">
            <w:t>H</w:t>
          </w:r>
          <w:r w:rsidRPr="000248E3">
            <w:rPr>
              <w:vertAlign w:val="subscript"/>
            </w:rPr>
            <w:t>2</w:t>
          </w:r>
          <w:r>
            <w:t>O</w:t>
          </w:r>
          <w:r w:rsidRPr="000248E3">
            <w:rPr>
              <w:vertAlign w:val="subscript"/>
            </w:rPr>
            <w:t>2</w:t>
          </w:r>
          <w:r>
            <w:t xml:space="preserve">) in different </w:t>
          </w:r>
          <w:r w:rsidRPr="000846C7">
            <w:t>e-cigarette</w:t>
          </w:r>
          <w:r>
            <w:t xml:space="preserve"> flavouring chemical</w:t>
          </w:r>
          <w:r w:rsidRPr="000846C7">
            <w:t>s</w:t>
          </w:r>
          <w:r>
            <w:t>, all flavours elicited</w:t>
          </w:r>
          <w:r w:rsidRPr="000846C7">
            <w:t xml:space="preserve"> extremely low levels of H</w:t>
          </w:r>
          <w:r w:rsidRPr="000248E3">
            <w:rPr>
              <w:vertAlign w:val="subscript"/>
            </w:rPr>
            <w:t>2</w:t>
          </w:r>
          <w:r>
            <w:t>O</w:t>
          </w:r>
          <w:r w:rsidRPr="000248E3">
            <w:rPr>
              <w:vertAlign w:val="subscript"/>
            </w:rPr>
            <w:t>2</w:t>
          </w:r>
          <w:r w:rsidRPr="000D7FF5">
            <w:t xml:space="preserve"> in human pleural tissue</w:t>
          </w:r>
          <w:r>
            <w:t xml:space="preserve">, indicating limited oxidative stress </w:t>
          </w:r>
          <w:r>
            <w:fldChar w:fldCharType="begin"/>
          </w:r>
          <w:r>
            <w:instrText xml:space="preserve"> ADDIN EN.CITE &lt;EndNote&gt;&lt;Cite&gt;&lt;Author&gt;Muthumalage&lt;/Author&gt;&lt;Year&gt;2017&lt;/Year&gt;&lt;RecNum&gt;628&lt;/RecNum&gt;&lt;DisplayText&gt;(Muthumalage, Prinz et al. 2017)&lt;/DisplayText&gt;&lt;record&gt;&lt;rec-number&gt;628&lt;/rec-number&gt;&lt;foreign-keys&gt;&lt;key app="EN" db-id="9z05dz0praadfuee0zoxzedk9zfe5fxx50z5" timestamp="1521506873"&gt;628&lt;/key&gt;&lt;key app="ENWeb" db-id=""&gt;0&lt;/key&gt;&lt;/foreign-keys&gt;&lt;ref-type name="Journal Article"&gt;17&lt;/ref-type&gt;&lt;contributors&gt;&lt;authors&gt;&lt;author&gt;Muthumalage, T.&lt;/author&gt;&lt;author&gt;Prinz, M.&lt;/author&gt;&lt;author&gt;Ansah, K. O.&lt;/author&gt;&lt;author&gt;Gerloff, J.&lt;/author&gt;&lt;author&gt;Sundar, I. K.&lt;/author&gt;&lt;author&gt;Rahman, I.&lt;/author&gt;&lt;/authors&gt;&lt;/contributors&gt;&lt;auth-address&gt;Department of Environmental Medicine, University of Rochester Medical Center, Rochester, NY, United States.&lt;/auth-address&gt;&lt;titles&gt;&lt;title&gt;Inflammatory and Oxidative Responses Induced by Exposure to Commonly Used e-Cigarette Flavoring Chemicals and Flavored e-Liquids without Nicotine&lt;/title&gt;&lt;secondary-title&gt;Front Physiol&lt;/secondary-title&gt;&lt;alt-title&gt;Frontiers in physiology&lt;/alt-title&gt;&lt;/titles&gt;&lt;alt-periodical&gt;&lt;full-title&gt;Frontiers in physiology&lt;/full-title&gt;&lt;/alt-periodical&gt;&lt;pages&gt;1130&lt;/pages&gt;&lt;volume&gt;8&lt;/volume&gt;&lt;edition&gt;2018/01/30&lt;/edition&gt;&lt;keywords&gt;&lt;keyword&gt;cigarettes&lt;/keyword&gt;&lt;keyword&gt;e-liquids&lt;/keyword&gt;&lt;keyword&gt;flavors&lt;/keyword&gt;&lt;keyword&gt;inflammation&lt;/keyword&gt;&lt;keyword&gt;interleukin-8&lt;/keyword&gt;&lt;keyword&gt;monocytes&lt;/keyword&gt;&lt;keyword&gt;oxidative stress&lt;/keyword&gt;&lt;/keywords&gt;&lt;dates&gt;&lt;year&gt;2017&lt;/year&gt;&lt;/dates&gt;&lt;isbn&gt;1664-042X (Print)&amp;#xD;1664-042x&lt;/isbn&gt;&lt;accession-num&gt;29375399&lt;/accession-num&gt;&lt;urls&gt;&lt;/urls&gt;&lt;custom2&gt;PMC5768608&lt;/custom2&gt;&lt;electronic-resource-num&gt;10.3389/fphys.2017.01130&lt;/electronic-resource-num&gt;&lt;remote-database-provider&gt;NLM&lt;/remote-database-provider&gt;&lt;language&gt;eng&lt;/language&gt;&lt;/record&gt;&lt;/Cite&gt;&lt;/EndNote&gt;</w:instrText>
          </w:r>
          <w:r>
            <w:fldChar w:fldCharType="separate"/>
          </w:r>
          <w:r>
            <w:rPr>
              <w:noProof/>
            </w:rPr>
            <w:t>(Muthumalage, Prinz et al. 2017)</w:t>
          </w:r>
          <w:r>
            <w:fldChar w:fldCharType="end"/>
          </w:r>
          <w:r w:rsidRPr="000846C7">
            <w:t>. However, mixing flavours together</w:t>
          </w:r>
          <w:r>
            <w:t xml:space="preserve"> (which replicates vaping different flavours using one device)</w:t>
          </w:r>
          <w:r w:rsidRPr="000846C7">
            <w:t xml:space="preserve"> </w:t>
          </w:r>
          <w:r>
            <w:t>and flavoured e-cigarette vapours</w:t>
          </w:r>
          <w:r w:rsidRPr="0089453F">
            <w:t xml:space="preserve"> </w:t>
          </w:r>
          <w:r>
            <w:t xml:space="preserve">led to </w:t>
          </w:r>
          <w:r w:rsidRPr="000846C7">
            <w:t xml:space="preserve">elevated </w:t>
          </w:r>
          <w:r>
            <w:t xml:space="preserve">ROS </w:t>
          </w:r>
          <w:r>
            <w:fldChar w:fldCharType="begin"/>
          </w:r>
          <w:r>
            <w:instrText xml:space="preserve"> ADDIN EN.CITE &lt;EndNote&gt;&lt;Cite&gt;&lt;Author&gt;Muthumalage&lt;/Author&gt;&lt;Year&gt;2017&lt;/Year&gt;&lt;RecNum&gt;628&lt;/RecNum&gt;&lt;DisplayText&gt;(Muthumalage, Prinz et al. 2017)&lt;/DisplayText&gt;&lt;record&gt;&lt;rec-number&gt;628&lt;/rec-number&gt;&lt;foreign-keys&gt;&lt;key app="EN" db-id="9z05dz0praadfuee0zoxzedk9zfe5fxx50z5" timestamp="1521506873"&gt;628&lt;/key&gt;&lt;key app="ENWeb" db-id=""&gt;0&lt;/key&gt;&lt;/foreign-keys&gt;&lt;ref-type name="Journal Article"&gt;17&lt;/ref-type&gt;&lt;contributors&gt;&lt;authors&gt;&lt;author&gt;Muthumalage, T.&lt;/author&gt;&lt;author&gt;Prinz, M.&lt;/author&gt;&lt;author&gt;Ansah, K. O.&lt;/author&gt;&lt;author&gt;Gerloff, J.&lt;/author&gt;&lt;author&gt;Sundar, I. K.&lt;/author&gt;&lt;author&gt;Rahman, I.&lt;/author&gt;&lt;/authors&gt;&lt;/contributors&gt;&lt;auth-address&gt;Department of Environmental Medicine, University of Rochester Medical Center, Rochester, NY, United States.&lt;/auth-address&gt;&lt;titles&gt;&lt;title&gt;Inflammatory and Oxidative Responses Induced by Exposure to Commonly Used e-Cigarette Flavoring Chemicals and Flavored e-Liquids without Nicotine&lt;/title&gt;&lt;secondary-title&gt;Front Physiol&lt;/secondary-title&gt;&lt;alt-title&gt;Frontiers in physiology&lt;/alt-title&gt;&lt;/titles&gt;&lt;alt-periodical&gt;&lt;full-title&gt;Frontiers in physiology&lt;/full-title&gt;&lt;/alt-periodical&gt;&lt;pages&gt;1130&lt;/pages&gt;&lt;volume&gt;8&lt;/volume&gt;&lt;edition&gt;2018/01/30&lt;/edition&gt;&lt;keywords&gt;&lt;keyword&gt;cigarettes&lt;/keyword&gt;&lt;keyword&gt;e-liquids&lt;/keyword&gt;&lt;keyword&gt;flavors&lt;/keyword&gt;&lt;keyword&gt;inflammation&lt;/keyword&gt;&lt;keyword&gt;interleukin-8&lt;/keyword&gt;&lt;keyword&gt;monocytes&lt;/keyword&gt;&lt;keyword&gt;oxidative stress&lt;/keyword&gt;&lt;/keywords&gt;&lt;dates&gt;&lt;year&gt;2017&lt;/year&gt;&lt;/dates&gt;&lt;isbn&gt;1664-042X (Print)&amp;#xD;1664-042x&lt;/isbn&gt;&lt;accession-num&gt;29375399&lt;/accession-num&gt;&lt;urls&gt;&lt;/urls&gt;&lt;custom2&gt;PMC5768608&lt;/custom2&gt;&lt;electronic-resource-num&gt;10.3389/fphys.2017.01130&lt;/electronic-resource-num&gt;&lt;remote-database-provider&gt;NLM&lt;/remote-database-provider&gt;&lt;language&gt;eng&lt;/language&gt;&lt;/record&gt;&lt;/Cite&gt;&lt;/EndNote&gt;</w:instrText>
          </w:r>
          <w:r>
            <w:fldChar w:fldCharType="separate"/>
          </w:r>
          <w:r>
            <w:rPr>
              <w:noProof/>
            </w:rPr>
            <w:t>(Muthumalage, Prinz et al. 2017)</w:t>
          </w:r>
          <w:r>
            <w:fldChar w:fldCharType="end"/>
          </w:r>
          <w:r w:rsidRPr="000846C7">
            <w:t xml:space="preserve">. </w:t>
          </w:r>
        </w:p>
        <w:p w14:paraId="51B58FB3" w14:textId="77777777" w:rsidR="00A74D41" w:rsidRDefault="00A74D41" w:rsidP="00A74D41">
          <w:pPr>
            <w:pStyle w:val="BodyText"/>
          </w:pPr>
          <w:r>
            <w:t>The final study aimed to determine the impact of e-cigarettes on infection following oxidative stress. In this study, a</w:t>
          </w:r>
          <w:r w:rsidRPr="001F7B92">
            <w:t xml:space="preserve">lveolar epithelial cells, bronchial epithelial cells, </w:t>
          </w:r>
          <w:r>
            <w:t>and</w:t>
          </w:r>
          <w:r w:rsidRPr="001F7B92">
            <w:t xml:space="preserve"> nasal epithelial cells</w:t>
          </w:r>
          <w:r>
            <w:t xml:space="preserve"> were exposed to pure nicotine or to e-cigarette vapour extracts with and without nicotine. All cells were incubated with N-acetylcysteine to induce oxidative stress and were then penetrated </w:t>
          </w:r>
          <w:r w:rsidRPr="00647C79">
            <w:rPr>
              <w:color w:val="auto"/>
            </w:rPr>
            <w:t xml:space="preserve">with </w:t>
          </w:r>
          <w:r w:rsidRPr="00647C79">
            <w:rPr>
              <w:i/>
              <w:color w:val="auto"/>
            </w:rPr>
            <w:t>Streptococcus pneumoniae</w:t>
          </w:r>
          <w:r>
            <w:t>. Researchers found that b</w:t>
          </w:r>
          <w:r w:rsidRPr="001F7B92">
            <w:t>oth nicotine-containing and nicotine-free e</w:t>
          </w:r>
          <w:r>
            <w:noBreakHyphen/>
          </w:r>
          <w:r w:rsidRPr="001F7B92">
            <w:t>cigarette vapours led to increased pneumococcal cell penetration</w:t>
          </w:r>
          <w:r>
            <w:t xml:space="preserve"> and</w:t>
          </w:r>
          <w:r w:rsidRPr="001F7B92">
            <w:t xml:space="preserve"> increased PAFR expression</w:t>
          </w:r>
          <w:r>
            <w:t xml:space="preserve">, indicating </w:t>
          </w:r>
          <w:r w:rsidRPr="004272EC">
            <w:t>increase</w:t>
          </w:r>
          <w:r>
            <w:t>d</w:t>
          </w:r>
          <w:r w:rsidRPr="004272EC">
            <w:t xml:space="preserve"> susceptib</w:t>
          </w:r>
          <w:r>
            <w:t xml:space="preserve">ility to pneumococcal infection </w:t>
          </w:r>
          <w:r>
            <w:fldChar w:fldCharType="begin">
              <w:fldData xml:space="preserve">PEVuZE5vdGU+PENpdGU+PEF1dGhvcj5NaXlhc2hpdGE8L0F1dGhvcj48WWVhcj4yMDE4PC9ZZWFy
PjxSZWNOdW0+NTgyPC9SZWNOdW0+PERpc3BsYXlUZXh0PihNaXlhc2hpdGEsIFN1cmkgZXQgYWwu
IDIwMTgpPC9EaXNwbGF5VGV4dD48cmVjb3JkPjxyZWMtbnVtYmVyPjU4MjwvcmVjLW51bWJlcj48
Zm9yZWlnbi1rZXlzPjxrZXkgYXBwPSJFTiIgZGItaWQ9Ijl6MDVkejBwcmFhZGZ1ZWUwem94emVk
azl6ZmU1Znh4NTB6NSIgdGltZXN0YW1wPSIxNTIxNTA2ODYzIj41ODI8L2tleT48a2V5IGFwcD0i
RU5XZWIiIGRiLWlkPSIiPjA8L2tleT48L2ZvcmVpZ24ta2V5cz48cmVmLXR5cGUgbmFtZT0iSm91
cm5hbCBBcnRpY2xlIj4xNzwvcmVmLXR5cGU+PGNvbnRyaWJ1dG9ycz48YXV0aG9ycz48YXV0aG9y
Pk1peWFzaGl0YSwgTC48L2F1dGhvcj48YXV0aG9yPlN1cmksIFIuPC9hdXRob3I+PGF1dGhvcj5E
ZWFyaW5nLCBFLjwvYXV0aG9yPjxhdXRob3I+TXVkd2F5LCBJLjwvYXV0aG9yPjxhdXRob3I+RG92
ZSwgUi4gRS48L2F1dGhvcj48YXV0aG9yPk5laWxsLCBELiBSLjwvYXV0aG9yPjxhdXRob3I+VmFu
IFp5bC1TbWl0LCBSLjwvYXV0aG9yPjxhdXRob3I+S2FkaW9nbHUsIEEuPC9hdXRob3I+PGF1dGhv
cj5HcmlnZywgSi48L2F1dGhvcj48L2F1dGhvcnM+PC9jb250cmlidXRvcnM+PGF1dGgtYWRkcmVz
cz5DZW50cmUgZm9yIEdlbm9taWNzIGFuZCBDaGlsZCBIZWFsdGgsIEJsaXphcmQgSW5zdGl0dXRl
LCBRdWVlbiBNYXJ5IFVuaXZlcnNpdHkgb2YgTG9uZG9uLCBMb25kb24sIFVLLiYjeEQ7VGhlIERl
cHQgb2YgQ2xpbmljYWwgSW5mZWN0aW9uLCBNaWNyb2Jpb2xvZ3kgYW5kIEltbXVub2xvZ3ksIElu
c3RpdHV0ZSBvZiBJbmZlY3Rpb24gYW5kIEdsb2JhbCBIZWFsdGgsIFVuaXZlcnNpdHkgb2YgTGl2
ZXJwb29sLCBMaXZlcnBvb2wsIFVLLiYjeEQ7TVJDLVBIRSBDZW50cmUgZm9yIEVudmlyb25tZW50
IGFuZCBIZWFsdGgsIEtpbmcmYXBvcztzIENvbGxlZ2UgTG9uZG9uLCBMb25kb24sIFVLLiYjeEQ7
TklIUiBIZWFsdGggUHJvdGVjdGlvbiBSZXNlYXJjaCBVbml0IG9uIEhlYWx0aCBJbXBhY3RzIG9m
IEVudmlyb25tZW50YWwgSGF6YXJkcywgS2luZyZhcG9zO3MgQ29sbGVnZSBMb25kb24sIExvbmRv
biwgVUsuJiN4RDtEaXZpc2lvbiBvZiBQdWxtb25vbG9neSwgRGVwdCBvZiBNZWRpY2luZSwgVW5p
dmVyc2l0eSBvZiBDYXBlIFRvd24gYW5kIFVDVCBMdW5nIEluc3RpdHV0ZSwgQ2FwZSBUb3duLCBT
b3V0aCBBZnJpY2EuJiN4RDtDZW50cmUgZm9yIEdlbm9taWNzIGFuZCBDaGlsZCBIZWFsdGgsIEJs
aXphcmQgSW5zdGl0dXRlLCBRdWVlbiBNYXJ5IFVuaXZlcnNpdHkgb2YgTG9uZG9uLCBMb25kb24s
IFVLIGouZ3JpZ2dAcW11bC5hYy51ay48L2F1dGgtYWRkcmVzcz48dGl0bGVzPjx0aXRsZT5FLWNp
Z2FyZXR0ZSB2YXBvdXIgZW5oYW5jZXMgcG5ldW1vY29jY2FsIGFkaGVyZW5jZSB0byBhaXJ3YXkg
ZXBpdGhlbGlhbCBjZWxsczwvdGl0bGU+PHNlY29uZGFyeS10aXRsZT5FdXIgUmVzcGlyIEo8L3Nl
Y29uZGFyeS10aXRsZT48YWx0LXRpdGxlPlRoZSBFdXJvcGVhbiByZXNwaXJhdG9yeSBqb3VybmFs
PC9hbHQtdGl0bGU+PC90aXRsZXM+PHBlcmlvZGljYWw+PGZ1bGwtdGl0bGU+RXVyIFJlc3BpciBK
PC9mdWxsLXRpdGxlPjxhYmJyLTE+VGhlIEV1cm9wZWFuIHJlc3BpcmF0b3J5IGpvdXJuYWw8L2Fi
YnItMT48L3BlcmlvZGljYWw+PGFsdC1wZXJpb2RpY2FsPjxmdWxsLXRpdGxlPkV1ciBSZXNwaXIg
SjwvZnVsbC10aXRsZT48YWJici0xPlRoZSBFdXJvcGVhbiByZXNwaXJhdG9yeSBqb3VybmFsPC9h
YmJyLTE+PC9hbHQtcGVyaW9kaWNhbD48dm9sdW1lPjUxPC92b2x1bWU+PG51bWJlcj4yPC9udW1i
ZXI+PGVkaXRpb24+MjAxOC8wMi8xNDwvZWRpdGlvbj48ZGF0ZXM+PHllYXI+MjAxODwveWVhcj48
cHViLWRhdGVzPjxkYXRlPkZlYjwvZGF0ZT48L3B1Yi1kYXRlcz48L2RhdGVzPjxpc2JuPjA5MDMt
MTkzNjwvaXNibj48YWNjZXNzaW9uLW51bT4yOTQzNzk0MjwvYWNjZXNzaW9uLW51bT48dXJscz48
cmVsYXRlZC11cmxzPjx1cmw+aHR0cDovL2Vyai5lcnNqb3VybmFscy5jb20vY29udGVudC9lcmov
NTEvMi8xNzAxNTkyLmZ1bGwucGRmPC91cmw+PC9yZWxhdGVkLXVybHM+PC91cmxzPjxlbGVjdHJv
bmljLXJlc291cmNlLW51bT4xMC4xMTgzLzEzOTkzMDAzLjAxNTkyLTIwMTc8L2VsZWN0cm9uaWMt
cmVzb3VyY2UtbnVtPjxyZW1vdGUtZGF0YWJhc2UtcHJvdmlkZXI+TkxNPC9yZW1vdGUtZGF0YWJh
c2UtcHJvdmlkZXI+PGxhbmd1YWdlPmVuZzwvbGFuZ3VhZ2U+PC9yZWNvcmQ+PC9DaXRlPjwvRW5k
Tm90ZT5=
</w:fldData>
            </w:fldChar>
          </w:r>
          <w:r>
            <w:instrText xml:space="preserve"> ADDIN EN.CITE </w:instrText>
          </w:r>
          <w:r>
            <w:fldChar w:fldCharType="begin">
              <w:fldData xml:space="preserve">PEVuZE5vdGU+PENpdGU+PEF1dGhvcj5NaXlhc2hpdGE8L0F1dGhvcj48WWVhcj4yMDE4PC9ZZWFy
PjxSZWNOdW0+NTgyPC9SZWNOdW0+PERpc3BsYXlUZXh0PihNaXlhc2hpdGEsIFN1cmkgZXQgYWwu
IDIwMTgpPC9EaXNwbGF5VGV4dD48cmVjb3JkPjxyZWMtbnVtYmVyPjU4MjwvcmVjLW51bWJlcj48
Zm9yZWlnbi1rZXlzPjxrZXkgYXBwPSJFTiIgZGItaWQ9Ijl6MDVkejBwcmFhZGZ1ZWUwem94emVk
azl6ZmU1Znh4NTB6NSIgdGltZXN0YW1wPSIxNTIxNTA2ODYzIj41ODI8L2tleT48a2V5IGFwcD0i
RU5XZWIiIGRiLWlkPSIiPjA8L2tleT48L2ZvcmVpZ24ta2V5cz48cmVmLXR5cGUgbmFtZT0iSm91
cm5hbCBBcnRpY2xlIj4xNzwvcmVmLXR5cGU+PGNvbnRyaWJ1dG9ycz48YXV0aG9ycz48YXV0aG9y
Pk1peWFzaGl0YSwgTC48L2F1dGhvcj48YXV0aG9yPlN1cmksIFIuPC9hdXRob3I+PGF1dGhvcj5E
ZWFyaW5nLCBFLjwvYXV0aG9yPjxhdXRob3I+TXVkd2F5LCBJLjwvYXV0aG9yPjxhdXRob3I+RG92
ZSwgUi4gRS48L2F1dGhvcj48YXV0aG9yPk5laWxsLCBELiBSLjwvYXV0aG9yPjxhdXRob3I+VmFu
IFp5bC1TbWl0LCBSLjwvYXV0aG9yPjxhdXRob3I+S2FkaW9nbHUsIEEuPC9hdXRob3I+PGF1dGhv
cj5HcmlnZywgSi48L2F1dGhvcj48L2F1dGhvcnM+PC9jb250cmlidXRvcnM+PGF1dGgtYWRkcmVz
cz5DZW50cmUgZm9yIEdlbm9taWNzIGFuZCBDaGlsZCBIZWFsdGgsIEJsaXphcmQgSW5zdGl0dXRl
LCBRdWVlbiBNYXJ5IFVuaXZlcnNpdHkgb2YgTG9uZG9uLCBMb25kb24sIFVLLiYjeEQ7VGhlIERl
cHQgb2YgQ2xpbmljYWwgSW5mZWN0aW9uLCBNaWNyb2Jpb2xvZ3kgYW5kIEltbXVub2xvZ3ksIElu
c3RpdHV0ZSBvZiBJbmZlY3Rpb24gYW5kIEdsb2JhbCBIZWFsdGgsIFVuaXZlcnNpdHkgb2YgTGl2
ZXJwb29sLCBMaXZlcnBvb2wsIFVLLiYjeEQ7TVJDLVBIRSBDZW50cmUgZm9yIEVudmlyb25tZW50
IGFuZCBIZWFsdGgsIEtpbmcmYXBvcztzIENvbGxlZ2UgTG9uZG9uLCBMb25kb24sIFVLLiYjeEQ7
TklIUiBIZWFsdGggUHJvdGVjdGlvbiBSZXNlYXJjaCBVbml0IG9uIEhlYWx0aCBJbXBhY3RzIG9m
IEVudmlyb25tZW50YWwgSGF6YXJkcywgS2luZyZhcG9zO3MgQ29sbGVnZSBMb25kb24sIExvbmRv
biwgVUsuJiN4RDtEaXZpc2lvbiBvZiBQdWxtb25vbG9neSwgRGVwdCBvZiBNZWRpY2luZSwgVW5p
dmVyc2l0eSBvZiBDYXBlIFRvd24gYW5kIFVDVCBMdW5nIEluc3RpdHV0ZSwgQ2FwZSBUb3duLCBT
b3V0aCBBZnJpY2EuJiN4RDtDZW50cmUgZm9yIEdlbm9taWNzIGFuZCBDaGlsZCBIZWFsdGgsIEJs
aXphcmQgSW5zdGl0dXRlLCBRdWVlbiBNYXJ5IFVuaXZlcnNpdHkgb2YgTG9uZG9uLCBMb25kb24s
IFVLIGouZ3JpZ2dAcW11bC5hYy51ay48L2F1dGgtYWRkcmVzcz48dGl0bGVzPjx0aXRsZT5FLWNp
Z2FyZXR0ZSB2YXBvdXIgZW5oYW5jZXMgcG5ldW1vY29jY2FsIGFkaGVyZW5jZSB0byBhaXJ3YXkg
ZXBpdGhlbGlhbCBjZWxsczwvdGl0bGU+PHNlY29uZGFyeS10aXRsZT5FdXIgUmVzcGlyIEo8L3Nl
Y29uZGFyeS10aXRsZT48YWx0LXRpdGxlPlRoZSBFdXJvcGVhbiByZXNwaXJhdG9yeSBqb3VybmFs
PC9hbHQtdGl0bGU+PC90aXRsZXM+PHBlcmlvZGljYWw+PGZ1bGwtdGl0bGU+RXVyIFJlc3BpciBK
PC9mdWxsLXRpdGxlPjxhYmJyLTE+VGhlIEV1cm9wZWFuIHJlc3BpcmF0b3J5IGpvdXJuYWw8L2Fi
YnItMT48L3BlcmlvZGljYWw+PGFsdC1wZXJpb2RpY2FsPjxmdWxsLXRpdGxlPkV1ciBSZXNwaXIg
SjwvZnVsbC10aXRsZT48YWJici0xPlRoZSBFdXJvcGVhbiByZXNwaXJhdG9yeSBqb3VybmFsPC9h
YmJyLTE+PC9hbHQtcGVyaW9kaWNhbD48dm9sdW1lPjUxPC92b2x1bWU+PG51bWJlcj4yPC9udW1i
ZXI+PGVkaXRpb24+MjAxOC8wMi8xNDwvZWRpdGlvbj48ZGF0ZXM+PHllYXI+MjAxODwveWVhcj48
cHViLWRhdGVzPjxkYXRlPkZlYjwvZGF0ZT48L3B1Yi1kYXRlcz48L2RhdGVzPjxpc2JuPjA5MDMt
MTkzNjwvaXNibj48YWNjZXNzaW9uLW51bT4yOTQzNzk0MjwvYWNjZXNzaW9uLW51bT48dXJscz48
cmVsYXRlZC11cmxzPjx1cmw+aHR0cDovL2Vyai5lcnNqb3VybmFscy5jb20vY29udGVudC9lcmov
NTEvMi8xNzAxNTkyLmZ1bGwucGRmPC91cmw+PC9yZWxhdGVkLXVybHM+PC91cmxzPjxlbGVjdHJv
bmljLXJlc291cmNlLW51bT4xMC4xMTgzLzEzOTkzMDAzLjAxNTkyLTIwMTc8L2VsZWN0cm9uaWMt
cmVzb3VyY2UtbnVtPjxyZW1vdGUtZGF0YWJhc2UtcHJvdmlkZXI+TkxNPC9yZW1vdGUtZGF0YWJh
c2UtcHJvdmlkZXI+PGxhbmd1YWdlPmVuZzwvbGFuZ3VhZ2U+PC9yZWNvcmQ+PC9DaXRlPjwvRW5k
Tm90ZT5=
</w:fldData>
            </w:fldChar>
          </w:r>
          <w:r>
            <w:instrText xml:space="preserve"> ADDIN EN.CITE.DATA </w:instrText>
          </w:r>
          <w:r>
            <w:fldChar w:fldCharType="end"/>
          </w:r>
          <w:r>
            <w:fldChar w:fldCharType="separate"/>
          </w:r>
          <w:r>
            <w:rPr>
              <w:noProof/>
            </w:rPr>
            <w:t>(Miyashita, Suri et al. 2018)</w:t>
          </w:r>
          <w:r>
            <w:fldChar w:fldCharType="end"/>
          </w:r>
          <w:r w:rsidRPr="001F7B92">
            <w:t>.</w:t>
          </w:r>
        </w:p>
        <w:p w14:paraId="42C0B0F9" w14:textId="77777777" w:rsidR="00A74D41" w:rsidRDefault="00A74D41" w:rsidP="00A74D41">
          <w:pPr>
            <w:pStyle w:val="BodyText"/>
          </w:pPr>
          <w:r>
            <w:t xml:space="preserve">In summary, two out of four studies found that e-cigarettes elicited more oxidative stress than traditional cigarettes and all studies found increased oxidative stress following e-cigarette exposure. This may indicate an increased health risk for e-cigarette users, above that for cigarette smokers. </w:t>
          </w:r>
        </w:p>
        <w:p w14:paraId="75520610" w14:textId="77777777" w:rsidR="00A74D41" w:rsidRPr="00A74D41" w:rsidRDefault="00A74D41" w:rsidP="00A74D41">
          <w:pPr>
            <w:pStyle w:val="BodyText"/>
          </w:pPr>
        </w:p>
        <w:p w14:paraId="66BF8A32" w14:textId="77777777" w:rsidR="000F0E2F" w:rsidRDefault="000F0E2F" w:rsidP="000F0E2F">
          <w:pPr>
            <w:pStyle w:val="Heading2"/>
          </w:pPr>
          <w:bookmarkStart w:id="80" w:name="_Toc513214376"/>
          <w:bookmarkStart w:id="81" w:name="_Toc517706665"/>
          <w:r w:rsidRPr="00E56A6A">
            <w:t>Inflammatory</w:t>
          </w:r>
          <w:r>
            <w:t xml:space="preserve"> and infectious</w:t>
          </w:r>
          <w:r w:rsidRPr="00E56A6A">
            <w:t xml:space="preserve"> response</w:t>
          </w:r>
          <w:bookmarkEnd w:id="80"/>
          <w:bookmarkEnd w:id="81"/>
        </w:p>
        <w:p w14:paraId="5D25A011" w14:textId="27F17481" w:rsidR="00A74D41" w:rsidRDefault="00A74D41" w:rsidP="00A74D41">
          <w:pPr>
            <w:pStyle w:val="BodyText"/>
          </w:pPr>
          <w:bookmarkStart w:id="82" w:name="_Toc513214377"/>
          <w:r>
            <w:t xml:space="preserve">Inflammatory and/or infectious response resulting from e-cigarette vapour, liquids and flavour extract exposure was investigated in lung cells in </w:t>
          </w:r>
          <w:r w:rsidR="000E5C99">
            <w:t>six</w:t>
          </w:r>
          <w:r>
            <w:t xml:space="preserve"> studies </w:t>
          </w:r>
          <w:r>
            <w:fldChar w:fldCharType="begin">
              <w:fldData xml:space="preserve">PEVuZE5vdGU+PENpdGU+PEF1dGhvcj5BbnRoZXJpZXU8L0F1dGhvcj48WWVhcj4yMDE3PC9ZZWFy
PjxSZWNOdW0+MTM5NTwvUmVjTnVtPjxEaXNwbGF5VGV4dD4oQW50aGVyaWV1LCBHYXJhdCBldCBh
bC4gMjAxNywgQmVuZ2FsbGksIEZlcnJpIGV0IGFsLiAyMDE3LCBDbGFwcCwgUGF3bGFrIGV0IGFs
LiAyMDE3LCBHZXJsb2ZmLCBTdW5kYXIgZXQgYWwuIDIwMTcsIE11dGh1bWFsYWdlLCBQcmlueiBl
dCBhbC4gMjAxNywgV2VlbiwgV2hpdHRhbGwgZXQgYWwuIDIwMTcsIENyb3R0eSBBbGV4YW5kZXIs
IERydW1tb25kIGV0IGFsLiAyMDE4KTwvRGlzcGxheVRleHQ+PHJlY29yZD48cmVjLW51bWJlcj4x
Mzk1PC9yZWMtbnVtYmVyPjxmb3JlaWduLWtleXM+PGtleSBhcHA9IkVOIiBkYi1pZD0iOXowNWR6
MHByYWFkZnVlZTB6b3h6ZWRrOXpmZTVmeHg1MHo1IiB0aW1lc3RhbXA9IjE1MjE1MDcwNjkiPjEz
OTU8L2tleT48a2V5IGFwcD0iRU5XZWIiIGRiLWlkPSIiPjA8L2tleT48L2ZvcmVpZ24ta2V5cz48
cmVmLXR5cGUgbmFtZT0iSm91cm5hbCBBcnRpY2xlIj4xNzwvcmVmLXR5cGU+PGNvbnRyaWJ1dG9y
cz48YXV0aG9ycz48YXV0aG9yPkFudGhlcmlldSwgUy48L2F1dGhvcj48YXV0aG9yPkdhcmF0LCBB
LjwvYXV0aG9yPjxhdXRob3I+QmVhdXZhbCwgTi48L2F1dGhvcj48YXV0aG9yPlNveWV6LCBNLjwv
YXV0aG9yPjxhdXRob3I+QWxsb3JnZSwgRC48L2F1dGhvcj48YXV0aG9yPkdhcmNvbiwgRy48L2F1
dGhvcj48YXV0aG9yPkxvLUd1aWRpY2UsIEouIE0uPC9hdXRob3I+PC9hdXRob3JzPjwvY29udHJp
YnV0b3JzPjxhdXRoLWFkZHJlc3M+VW5pdi4gTGlsbGUsIENIVSBMaWxsZSwgSW5zdGl0dXQgUGFz
dGV1ciBkZSBMaWxsZSwgRUEgNDQ4MywgSU1QRUNTIC0gSU1QYWN0IG9mIEVudmlyb25tZW50YWwg
Q2hlbWljYWxTIG9uIGh1bWFuIGhlYWx0aCwgRi01OTAwMCBMaWxsZSwgRnJhbmNlLiBFbGVjdHJv
bmljIGFkZHJlc3M6IHNlYmFzdGllbi5hbnRoZXJpZXVAdW5pdi1saWxsZTIuZnIuJiN4RDtVbml2
LiBMaWxsZSwgQ0hVIExpbGxlLCBJbnN0aXR1dCBQYXN0ZXVyIGRlIExpbGxlLCBFQSA0NDgzLCBJ
TVBFQ1MgLSBJTVBhY3Qgb2YgRW52aXJvbm1lbnRhbCBDaGVtaWNhbFMgb24gaHVtYW4gaGVhbHRo
LCBGLTU5MDAwIExpbGxlLCBGcmFuY2UuJiN4RDtVbml2LiBMaWxsZSwgQ0hVIExpbGxlLCBJbnN0
aXR1dCBQYXN0ZXVyIGRlIExpbGxlLCBFQSA0NDgzLCBJTVBFQ1MgLSBJTVBhY3Qgb2YgRW52aXJv
bm1lbnRhbCBDaGVtaWNhbFMgb24gaHVtYW4gaGVhbHRoLCBGLTU5MDAwIExpbGxlLCBGcmFuY2U7
IE1pbmVzIERvdWFpLCBTQUdFLCBGLTU5NTA4IERvdWFpLCBGcmFuY2UuPC9hdXRoLWFkZHJlc3M+
PHRpdGxlcz48dGl0bGU+Q29tcGFyaXNvbiBvZiBjZWxsdWxhciBhbmQgdHJhbnNjcmlwdG9taWMg
ZWZmZWN0cyBiZXR3ZWVuIGVsZWN0cm9uaWMgY2lnYXJldHRlIHZhcG9yIGFuZCBjaWdhcmV0dGUg
c21va2UgaW4gaHVtYW4gYnJvbmNoaWFsIGVwaXRoZWxpYWwgY2VsbHM8L3RpdGxlPjxzZWNvbmRh
cnktdGl0bGU+VG94aWNvbCBJbiBWaXRybzwvc2Vjb25kYXJ5LXRpdGxlPjxhbHQtdGl0bGU+VG94
aWNvbG9neSBpbiB2aXRybyA6IGFuIGludGVybmF0aW9uYWwgam91cm5hbCBwdWJsaXNoZWQgaW4g
YXNzb2NpYXRpb24gd2l0aCBCSUJSQTwvYWx0LXRpdGxlPjwvdGl0bGVzPjxwZXJpb2RpY2FsPjxm
dWxsLXRpdGxlPlRveGljb2wgSW4gVml0cm88L2Z1bGwtdGl0bGU+PGFiYnItMT5Ub3hpY29sb2d5
IGluIHZpdHJvIDogYW4gaW50ZXJuYXRpb25hbCBqb3VybmFsIHB1Ymxpc2hlZCBpbiBhc3NvY2lh
dGlvbiB3aXRoIEJJQlJBPC9hYmJyLTE+PC9wZXJpb2RpY2FsPjxhbHQtcGVyaW9kaWNhbD48ZnVs
bC10aXRsZT5Ub3hpY29sIEluIFZpdHJvPC9mdWxsLXRpdGxlPjxhYmJyLTE+VG94aWNvbG9neSBp
biB2aXRybyA6IGFuIGludGVybmF0aW9uYWwgam91cm5hbCBwdWJsaXNoZWQgaW4gYXNzb2NpYXRp
b24gd2l0aCBCSUJSQTwvYWJici0xPjwvYWx0LXBlcmlvZGljYWw+PHBhZ2VzPjQxNy00MjU8L3Bh
Z2VzPjx2b2x1bWU+NDU8L3ZvbHVtZT48bnVtYmVyPlB0IDM8L251bWJlcj48ZWRpdGlvbj4yMDE3
LzAxLzEwPC9lZGl0aW9uPjxrZXl3b3Jkcz48a2V5d29yZD5CRUFTLTJCIGNlbGwgbGluZTwva2V5
d29yZD48a2V5d29yZD5FLWNpZ2FyZXR0ZTwva2V5d29yZD48a2V5d29yZD5Ub3hpY2l0eTwva2V5
d29yZD48a2V5d29yZD5UcmFuc2NyaXB0b21pYzwva2V5d29yZD48a2V5d29yZD5WYXBvcnM8L2tl
eXdvcmQ+PC9rZXl3b3Jkcz48ZGF0ZXM+PHllYXI+MjAxNzwveWVhcj48cHViLWRhdGVzPjxkYXRl
PkRlYzwvZGF0ZT48L3B1Yi1kYXRlcz48L2RhdGVzPjxpc2JuPjA4ODctMjMzMzwvaXNibj48YWNj
ZXNzaW9uLW51bT4yODA2NTc5MDwvYWNjZXNzaW9uLW51bT48dXJscz48cmVsYXRlZC11cmxzPjx1
cmw+aHR0cHM6Ly93d3cuc2NpZW5jZWRpcmVjdC5jb20vc2NpZW5jZS9hcnRpY2xlL3BpaS9TMDg4
NzIzMzMxNjMwMjcxNT92aWElM0RpaHViPC91cmw+PC9yZWxhdGVkLXVybHM+PC91cmxzPjxlbGVj
dHJvbmljLXJlc291cmNlLW51bT4xMC4xMDE2L2oudGl2LjIwMTYuMTIuMDE1PC9lbGVjdHJvbmlj
LXJlc291cmNlLW51bT48cmVtb3RlLWRhdGFiYXNlLXByb3ZpZGVyPk5MTTwvcmVtb3RlLWRhdGFi
YXNlLXByb3ZpZGVyPjxsYW5ndWFnZT5lbmc8L2xhbmd1YWdlPjwvcmVjb3JkPjwvQ2l0ZT48Q2l0
ZT48QXV0aG9yPkJlbmdhbGxpPC9BdXRob3I+PFllYXI+MjAxNzwvWWVhcj48UmVjTnVtPjg0ODwv
UmVjTnVtPjxyZWNvcmQ+PHJlYy1udW1iZXI+ODQ4PC9yZWMtbnVtYmVyPjxmb3JlaWduLWtleXM+
PGtleSBhcHA9IkVOIiBkYi1pZD0iOXowNWR6MHByYWFkZnVlZTB6b3h6ZWRrOXpmZTVmeHg1MHo1
IiB0aW1lc3RhbXA9IjE1MjE1MDY5NDIiPjg0ODwva2V5PjxrZXkgYXBwPSJFTldlYiIgZGItaWQ9
IiI+MDwva2V5PjwvZm9yZWlnbi1rZXlzPjxyZWYtdHlwZSBuYW1lPSJKb3VybmFsIEFydGljbGUi
PjE3PC9yZWYtdHlwZT48Y29udHJpYnV0b3JzPjxhdXRob3JzPjxhdXRob3I+QmVuZ2FsbGksIFIu
PC9hdXRob3I+PGF1dGhvcj5GZXJyaSwgRS48L2F1dGhvcj48YXV0aG9yPkxhYnJhLCBNLjwvYXV0
aG9yPjxhdXRob3I+TWFudGVjY2EsIFAuPC9hdXRob3I+PC9hdXRob3JzPjwvY29udHJpYnV0b3Jz
PjxhdXRoLWFkZHJlc3M+RGVwYXJ0bWVudCBvZiBFYXJ0aCBhbmQgRW52aXJvbm1lbnRhbCBTY2ll
bmNlcywgUmVzZWFyY2ggQ2VudGVyIFBPTEFSSVMgKFBhcnRpY3VsYXRlIE1hdHRlciBhbmQgSGVh
bHRoIFJpc2spLCAxIFBpYXp6YSBkZWxsYSBTY2llbnphLCBVbml2ZXJzaXR5IG9mIE1pbGFubyBC
aWNvY2NhLCAyMDEyNiBNaWxhbiwgSXRhbHkuIHJvc3NlbGxhLmJlbmdhbGxpQHVuaW1pYi5pdC4m
I3hEO1RSVVNUSUNFUlQgU1JMLCB2aWEgTWF6emluaSAxOC9DLCAyMjAzNiBFcmJhLCBJdGFseS4g
ZW1hbnVlbGUuZmVycmlAdHJ1c3RpY2VydC5jb20uJiN4RDtEZXBhcnRtZW50IG9mIEJpb3RlY2hu
b2xvZ3kgYW5kIEJpb3NjaWVuY2VzLCAyIFBpYXp6YSBkZWxsYSBTY2llbnphLCBVbml2ZXJzaXR5
IG9mIE1pbGFubyBCaWNvY2NhLCAyMDEyNiBNaWxhbiwgSXRhbHkuIG1hc3NpbW8ubGFicmFAdW5p
bWliLml0LiYjeEQ7RGVwYXJ0bWVudCBvZiBFYXJ0aCBhbmQgRW52aXJvbm1lbnRhbCBTY2llbmNl
cywgUmVzZWFyY2ggQ2VudGVyIFBPTEFSSVMgKFBhcnRpY3VsYXRlIE1hdHRlciBhbmQgSGVhbHRo
IFJpc2spLCAxIFBpYXp6YSBkZWxsYSBTY2llbnphLCBVbml2ZXJzaXR5IG9mIE1pbGFubyBCaWNv
Y2NhLCAyMDEyNiBNaWxhbiwgSXRhbHkuIHBhcmlkZS5tYW50ZWNjYUB1bmltaWIuaXQuPC9hdXRo
LWFkZHJlc3M+PHRpdGxlcz48dGl0bGU+THVuZyBUb3hpY2l0eSBvZiBDb25kZW5zZWQgQWVyb3Nv
bCBmcm9tIEUtQ0lHIExpcXVpZHM6IEluZmx1ZW5jZSBvZiB0aGUgRmxhdm9yIGFuZCB0aGUgSW4g
Vml0cm8gTW9kZWwgVXNlZDwvdGl0bGU+PHNlY29uZGFyeS10aXRsZT5JbnQgSiBFbnZpcm9uIFJl
cyBQdWJsaWMgSGVhbHRoPC9zZWNvbmRhcnktdGl0bGU+PGFsdC10aXRsZT5JbnRlcm5hdGlvbmFs
IGpvdXJuYWwgb2YgZW52aXJvbm1lbnRhbCByZXNlYXJjaCBhbmQgcHVibGljIGhlYWx0aDwvYWx0
LXRpdGxlPjwvdGl0bGVzPjxhbHQtcGVyaW9kaWNhbD48ZnVsbC10aXRsZT5JbnRlcm5hdGlvbmFs
IEpvdXJuYWwgb2YgRW52aXJvbm1lbnRhbCBSZXNlYXJjaCBhbmQgUHVibGljIEhlYWx0aDwvZnVs
bC10aXRsZT48L2FsdC1wZXJpb2RpY2FsPjx2b2x1bWU+MTQ8L3ZvbHVtZT48bnVtYmVyPjEwPC9u
dW1iZXI+PGVkaXRpb24+MjAxNy8xMC8yMTwvZWRpdGlvbj48a2V5d29yZHM+PGtleXdvcmQ+Y29u
ZGVuc2VkIGFlcm9zb2w8L2tleXdvcmQ+PGtleXdvcmQ+ZS1jaWdhcmV0dGU8L2tleXdvcmQ+PGtl
eXdvcmQ+ZS1saXF1aWQ8L2tleXdvcmQ+PGtleXdvcmQ+aW4gdml0cm8gc3lzdGVtczwva2V5d29y
ZD48a2V5d29yZD5pbmhhbGF0aW9uIHRveGljb2xvZ3k8L2tleXdvcmQ+PC9rZXl3b3Jkcz48ZGF0
ZXM+PHllYXI+MjAxNzwveWVhcj48cHViLWRhdGVzPjxkYXRlPk9jdCAyMDwvZGF0ZT48L3B1Yi1k
YXRlcz48L2RhdGVzPjxpc2JuPjE2NjAtNDYwMTwvaXNibj48YWNjZXNzaW9uLW51bT4yOTA1MzYw
NjwvYWNjZXNzaW9uLW51bT48dXJscz48cmVsYXRlZC11cmxzPjx1cmw+aHR0cDovL3d3dy5tZHBp
LmNvbS8xNjYwLTQ2MDEvMTQvMTAvMTI1NC9wZGY8L3VybD48L3JlbGF0ZWQtdXJscz48L3VybHM+
PGN1c3RvbTI+UE1DNTY2NDc1NTwvY3VzdG9tMj48ZWxlY3Ryb25pYy1yZXNvdXJjZS1udW0+MTAu
MzM5MC9pamVycGgxNDEwMTI1NDwvZWxlY3Ryb25pYy1yZXNvdXJjZS1udW0+PHJlbW90ZS1kYXRh
YmFzZS1wcm92aWRlcj5OTE08L3JlbW90ZS1kYXRhYmFzZS1wcm92aWRlcj48bGFuZ3VhZ2U+ZW5n
PC9sYW5ndWFnZT48L3JlY29yZD48L0NpdGU+PENpdGU+PEF1dGhvcj5DbGFwcDwvQXV0aG9yPjxZ
ZWFyPjIwMTc8L1llYXI+PFJlY051bT4xMTU1PC9SZWNOdW0+PHJlY29yZD48cmVjLW51bWJlcj4x
MTU1PC9yZWMtbnVtYmVyPjxmb3JlaWduLWtleXM+PGtleSBhcHA9IkVOIiBkYi1pZD0iOXowNWR6
MHByYWFkZnVlZTB6b3h6ZWRrOXpmZTVmeHg1MHo1IiB0aW1lc3RhbXA9IjE1MjE1MDcwMTMiPjEx
NTU8L2tleT48a2V5IGFwcD0iRU5XZWIiIGRiLWlkPSIiPjA8L2tleT48L2ZvcmVpZ24ta2V5cz48
cmVmLXR5cGUgbmFtZT0iSm91cm5hbCBBcnRpY2xlIj4xNzwvcmVmLXR5cGU+PGNvbnRyaWJ1dG9y
cz48YXV0aG9ycz48YXV0aG9yPkNsYXBwLCBQLiBXLjwvYXV0aG9yPjxhdXRob3I+UGF3bGFrLCBF
LiBBLjwvYXV0aG9yPjxhdXRob3I+TGFja2V5LCBKLiBULjwvYXV0aG9yPjxhdXRob3I+S2VhdGlu
ZywgSi4gRS48L2F1dGhvcj48YXV0aG9yPlJlZWJlciwgUy4gTC48L2F1dGhvcj48YXV0aG9yPkds
aXNoLCBHLiBMLjwvYXV0aG9yPjxhdXRob3I+SmFzcGVycywgSS48L2F1dGhvcj48L2F1dGhvcnM+
PC9jb250cmlidXRvcnM+PGF1dGgtYWRkcmVzcz5DdXJyaWN1bHVtIGluIFRveGljb2xvZ3ksIFNj
aG9vbCBvZiBNZWRpY2luZSwgVW5pdmVyc2l0eSBvZiBOb3J0aCBDYXJvbGluYSwgQ2hhcGVsIEhp
bGwsIE5vcnRoIENhcm9saW5hLiYjeEQ7Q2VudGVyIGZvciBFbnZpcm9ubWVudGFsIE1lZGljaW5l
LCBBc3RobWEsIGFuZCBMdW5nIEJpb2xvZ3ksIFNjaG9vbCBvZiBNZWRpY2luZSwgVW5pdmVyc2l0
eSBvZiBOb3J0aCBDYXJvbGluYSwgQ2hhcGVsIEhpbGwsIE5vcnRoIENhcm9saW5hOyBhbmQuJiN4
RDtEZXBhcnRtZW50IG9mIENoZW1pc3RyeSwgVW5pdmVyc2l0eSBvZiBOb3J0aCBDYXJvbGluYSwg
Q2hhcGVsIEhpbGwsIE5vcnRoIENhcm9saW5hLiYjeEQ7Q3VycmljdWx1bSBpbiBUb3hpY29sb2d5
LCBTY2hvb2wgb2YgTWVkaWNpbmUsIFVuaXZlcnNpdHkgb2YgTm9ydGggQ2Fyb2xpbmEsIENoYXBl
bCBIaWxsLCBOb3J0aCBDYXJvbGluYTsgaWxvbmFfamFzcGVyc0BtZWQudW5jLmVkdS48L2F1dGgt
YWRkcmVzcz48dGl0bGVzPjx0aXRsZT5GbGF2b3JlZCBlLWNpZ2FyZXR0ZSBsaXF1aWRzIGFuZCBj
aW5uYW1hbGRlaHlkZSBpbXBhaXIgcmVzcGlyYXRvcnkgaW5uYXRlIGltbXVuZSBjZWxsIGZ1bmN0
aW9uPC90aXRsZT48c2Vjb25kYXJ5LXRpdGxlPkFtIEogUGh5c2lvbCBMdW5nIENlbGwgTW9sIFBo
eXNpb2w8L3NlY29uZGFyeS10aXRsZT48YWx0LXRpdGxlPkFtZXJpY2FuIGpvdXJuYWwgb2YgcGh5
c2lvbG9neS4gTHVuZyBjZWxsdWxhciBhbmQgbW9sZWN1bGFyIHBoeXNpb2xvZ3k8L2FsdC10aXRs
ZT48L3RpdGxlcz48cGVyaW9kaWNhbD48ZnVsbC10aXRsZT5BbSBKIFBoeXNpb2wgTHVuZyBDZWxs
IE1vbCBQaHlzaW9sPC9mdWxsLXRpdGxlPjxhYmJyLTE+QW1lcmljYW4gam91cm5hbCBvZiBwaHlz
aW9sb2d5LiBMdW5nIGNlbGx1bGFyIGFuZCBtb2xlY3VsYXIgcGh5c2lvbG9neTwvYWJici0xPjwv
cGVyaW9kaWNhbD48YWx0LXBlcmlvZGljYWw+PGZ1bGwtdGl0bGU+QW0gSiBQaHlzaW9sIEx1bmcg
Q2VsbCBNb2wgUGh5c2lvbDwvZnVsbC10aXRsZT48YWJici0xPkFtZXJpY2FuIGpvdXJuYWwgb2Yg
cGh5c2lvbG9neS4gTHVuZyBjZWxsdWxhciBhbmQgbW9sZWN1bGFyIHBoeXNpb2xvZ3k8L2FiYnIt
MT48L2FsdC1wZXJpb2RpY2FsPjxwYWdlcz5MMjc4LWwyOTI8L3BhZ2VzPjx2b2x1bWU+MzEzPC92
b2x1bWU+PG51bWJlcj4yPC9udW1iZXI+PGVkaXRpb24+MjAxNy8wNS8xMzwvZWRpdGlvbj48a2V5
d29yZHM+PGtleXdvcmQ+QWNyb2xlaW4vYWR2ZXJzZSBlZmZlY3RzLyphbmFsb2dzICZhbXA7IGRl
cml2YXRpdmVzPC9rZXl3b3JkPjxrZXl3b3JkPkFkb2xlc2NlbnQ8L2tleXdvcmQ+PGtleXdvcmQ+
QWR1bHQ8L2tleXdvcmQ+PGtleXdvcmQ+RWxlY3Ryb25pYyBOaWNvdGluZSBEZWxpdmVyeSBTeXN0
ZW1zLyphZHZlcnNlIGVmZmVjdHM8L2tleXdvcmQ+PGtleXdvcmQ+RmVtYWxlPC9rZXl3b3JkPjxr
ZXl3b3JkPkh1bWFuczwva2V5d29yZD48a2V5d29yZD5JbW11bml0eSwgSW5uYXRlLypkcnVnIGVm
ZmVjdHM8L2tleXdvcmQ+PGtleXdvcmQ+SW5mbGFtbWF0aW9uL2NoZW1pY2FsbHkgaW5kdWNlZDwv
a2V5d29yZD48a2V5d29yZD5LaWxsZXIgQ2VsbHMsIE5hdHVyYWwvZHJ1ZyBlZmZlY3RzPC9rZXl3
b3JkPjxrZXl3b3JkPk1hY3JvcGhhZ2VzL2RydWcgZWZmZWN0czwva2V5d29yZD48a2V5d29yZD5N
YWxlPC9rZXl3b3JkPjxrZXl3b3JkPk1pZGRsZSBBZ2VkPC9rZXl3b3JkPjxrZXl3b3JkPk5ldXRy
b3BoaWxzL2RydWcgZWZmZWN0czwva2V5d29yZD48a2V5d29yZD5OaWNvdGluZS9hZHZlcnNlIGVm
ZmVjdHM8L2tleXdvcmQ+PGtleXdvcmQ+UGhhZ29jeXRvc2lzL2RydWcgZWZmZWN0czwva2V5d29y
ZD48a2V5d29yZD5Zb3VuZyBBZHVsdDwva2V5d29yZD48a2V5d29yZD5jaW5uYW1hbGRlaHlkZTwv
a2V5d29yZD48a2V5d29yZD5lLWNpZ2FyZXR0ZTwva2V5d29yZD48a2V5d29yZD5lLWxpcXVpZDwv
a2V5d29yZD48a2V5d29yZD5pbm5hdGUgaW1tdW5lIGNlbGwgZnVuY3Rpb248L2tleXdvcmQ+PC9r
ZXl3b3Jkcz48ZGF0ZXM+PHllYXI+MjAxNzwveWVhcj48cHViLWRhdGVzPjxkYXRlPkF1ZyAxPC9k
YXRlPjwvcHViLWRhdGVzPjwvZGF0ZXM+PGlzYm4+MTA0MC0wNjA1PC9pc2JuPjxhY2Nlc3Npb24t
bnVtPjI4NDk1ODU2PC9hY2Nlc3Npb24tbnVtPjx1cmxzPjwvdXJscz48Y3VzdG9tMj5QTUM1NTgy
OTI5PC9jdXN0b20yPjxlbGVjdHJvbmljLXJlc291cmNlLW51bT4xMC4xMTUyL2FqcGx1bmcuMDA0
NTIuMjAxNjwvZWxlY3Ryb25pYy1yZXNvdXJjZS1udW0+PHJlbW90ZS1kYXRhYmFzZS1wcm92aWRl
cj5OTE08L3JlbW90ZS1kYXRhYmFzZS1wcm92aWRlcj48bGFuZ3VhZ2U+ZW5nPC9sYW5ndWFnZT48
L3JlY29yZD48L0NpdGU+PENpdGU+PEF1dGhvcj5Dcm90dHkgQWxleGFuZGVyPC9BdXRob3I+PFll
YXI+MjAxODwvWWVhcj48UmVjTnVtPjUyNzwvUmVjTnVtPjxyZWNvcmQ+PHJlYy1udW1iZXI+NTI3
PC9yZWMtbnVtYmVyPjxmb3JlaWduLWtleXM+PGtleSBhcHA9IkVOIiBkYi1pZD0iOXowNWR6MHBy
YWFkZnVlZTB6b3h6ZWRrOXpmZTVmeHg1MHo1IiB0aW1lc3RhbXA9IjE1MjE1MDY4NTAiPjUyNzwv
a2V5PjxrZXkgYXBwPSJFTldlYiIgZGItaWQ9IiI+MDwva2V5PjwvZm9yZWlnbi1rZXlzPjxyZWYt
dHlwZSBuYW1lPSJKb3VybmFsIEFydGljbGUiPjE3PC9yZWYtdHlwZT48Y29udHJpYnV0b3JzPjxh
dXRob3JzPjxhdXRob3I+Q3JvdHR5IEFsZXhhbmRlciwgTC4gRS48L2F1dGhvcj48YXV0aG9yPkRy
dW1tb25kLCBDLiBBLjwvYXV0aG9yPjxhdXRob3I+SGVwb2tvc2tpLCBNLjwvYXV0aG9yPjxhdXRo
b3I+TWF0aGV3LCBELiBQLjwvYXV0aG9yPjxhdXRob3I+TW9zaGVuc2t5LCBBLjwvYXV0aG9yPjxh
dXRob3I+V2lsbGVmb3JkLCBBLjwvYXV0aG9yPjxhdXRob3I+RGFzLCBTLjwvYXV0aG9yPjxhdXRo
b3I+U2luZ2gsIFAuPC9hdXRob3I+PGF1dGhvcj5Zb25nLCBaLjwvYXV0aG9yPjxhdXRob3I+TGVl
LCBKLiBILjwvYXV0aG9yPjxhdXRob3I+VmVnYSwgSy48L2F1dGhvcj48YXV0aG9yPkR1LCBBLjwv
YXV0aG9yPjxhdXRob3I+U2hpbiwgSi48L2F1dGhvcj48YXV0aG9yPkphdmllciwgQy48L2F1dGhv
cj48YXV0aG9yPlRpYW4sIEouPC9hdXRob3I+PGF1dGhvcj5Ccm93biwgSi4gSC48L2F1dGhvcj48
YXV0aG9yPkJyZWVuLCBFLiBDLjwvYXV0aG9yPjwvYXV0aG9ycz48L2NvbnRyaWJ1dG9ycz48YXV0
aC1hZGRyZXNzPk1lZGljaW5lLCBVQyBTYW4gRGllZ28gYW5kIFZBU0RIUywgVW5pdGVkIFN0YXRl
cy4mI3hEO1N1cmdlcnkgYW5kIE1lZGljYWwgRGV2aWNlIGVmZmljYWN5LCBNUEkgUmVzZWFyY2gs
IFVuaXRlZCBTdGF0ZXMuJiN4RDtNZWRpY2luZSwgRGl2aXNpb24gb2YgUHVsbW9uYXJ5IGFuZCBD
cml0aWNhbCBDYXJlLCBtaGVwb2tvc2tpQHVjc2QuZWR1LCBVbml0ZWQgU3RhdGVzLiYjeEQ7TWVk
aWNpbmUsIFVDIFNhbiBEaWVnbyBTY2hvb2wgb2YgTWVkaWNpbmUuJiN4RDtNZWRpY2luZSwgVUMg
U2FuIERpZWdvIGFuZCBWQVNESFMuJiN4RDtQaGFybWFjb2xvZ3ksIFVDU0QuJiN4RDtQYXRob2xv
Z3ksIFVDU0QuJiN4RDtNZWRpY2luZS1OZXBocm9sb2d5LCBVQyBTYW4gRGllZ28gYW5kIFZBU0RI
UywgVW5pdGVkIFN0YXRlcy4mI3hEO01lZGljaW5lLCBVQ1NELiYjeEQ7TWVkaWNpbmUsIFVuaXZl
cnNpdHkgb2YgVG9sZWRvIEhlYWx0aCBTY2llbmNlIENhbXB1cywgVW5pdGVkIFN0YXRlcy4mI3hE
O0RlcGFydG1lbnQgb2YgUGhhcm1hY29sb2d5IDA2MzYsIFVuaXZlcnNpdHkgb2YgQ2FsaWZvcm5p
YSwgU2FuIERpZWdvLCBVbml0ZWQgU3RhdGVzLiYjeEQ7TWVkaWNpbmUsIFVuaXZlcnNpdHkgb2Yg
Q2FsaWZvcm5pYSwgU2FuIERpZWdvLCBVbml0ZWQgU3RhdGVzLjwvYXV0aC1hZGRyZXNzPjx0aXRs
ZXM+PHRpdGxlPkNocm9uaWMgSW5oYWxhdGlvbiBvZiBFLUNpZ2FyZXR0ZSBWYXBvciBDb250YWlu
aW5nIE5pY290aW5lIERpc3J1cHRzIEFpcndheSBCYXJyaWVyIEZ1bmN0aW9uIGFuZCBJbmR1Y2Vz
IFN5c3RlbWljIEluZmxhbW1hdGlvbiBhbmQgTXVsdGktT3JnYW4gRmlicm9zaXMgaW4gTWljZTwv
dGl0bGU+PHNlY29uZGFyeS10aXRsZT5BbSBKIFBoeXNpb2wgUmVndWwgSW50ZWdyIENvbXAgUGh5
c2lvbDwvc2Vjb25kYXJ5LXRpdGxlPjxhbHQtdGl0bGU+QW1lcmljYW4gam91cm5hbCBvZiBwaHlz
aW9sb2d5LiBSZWd1bGF0b3J5LCBpbnRlZ3JhdGl2ZSBhbmQgY29tcGFyYXRpdmUgcGh5c2lvbG9n
eTwvYWx0LXRpdGxlPjwvdGl0bGVzPjxwZXJpb2RpY2FsPjxmdWxsLXRpdGxlPkFtIEogUGh5c2lv
bCBSZWd1bCBJbnRlZ3IgQ29tcCBQaHlzaW9sPC9mdWxsLXRpdGxlPjxhYmJyLTE+QW1lcmljYW4g
am91cm5hbCBvZiBwaHlzaW9sb2d5LiBSZWd1bGF0b3J5LCBpbnRlZ3JhdGl2ZSBhbmQgY29tcGFy
YXRpdmUgcGh5c2lvbG9neTwvYWJici0xPjwvcGVyaW9kaWNhbD48YWx0LXBlcmlvZGljYWw+PGZ1
bGwtdGl0bGU+QW0gSiBQaHlzaW9sIFJlZ3VsIEludGVnciBDb21wIFBoeXNpb2w8L2Z1bGwtdGl0
bGU+PGFiYnItMT5BbWVyaWNhbiBqb3VybmFsIG9mIHBoeXNpb2xvZ3kuIFJlZ3VsYXRvcnksIGlu
dGVncmF0aXZlIGFuZCBjb21wYXJhdGl2ZSBwaHlzaW9sb2d5PC9hYmJyLTE+PC9hbHQtcGVyaW9k
aWNhbD48ZWRpdGlvbj4yMDE4LzAyLzAxPC9lZGl0aW9uPjxrZXl3b3Jkcz48a2V5d29yZD5jYXJk
aW9yZW5hbCBkeXNmdW5jdGlvbjwva2V5d29yZD48a2V5d29yZD5lbGVjdHJvbmljIGNpZ2FyZXR0
ZTwva2V5d29yZD48a2V5d29yZD5maWJyb3Npczwva2V5d29yZD48a2V5d29yZD5pbmZsYW1tYXRp
b248L2tleXdvcmQ+PGtleXdvcmQ+bmljb3RpbmU8L2tleXdvcmQ+PC9rZXl3b3Jkcz48ZGF0ZXM+
PHllYXI+MjAxODwveWVhcj48cHViLWRhdGVzPjxkYXRlPkphbiAzMTwvZGF0ZT48L3B1Yi1kYXRl
cz48L2RhdGVzPjxpc2JuPjAzNjMtNjExOTwvaXNibj48YWNjZXNzaW9uLW51bT4yOTM4NDcwMDwv
YWNjZXNzaW9uLW51bT48dXJscz48L3VybHM+PGVsZWN0cm9uaWMtcmVzb3VyY2UtbnVtPjEwLjEx
NTIvYWpwcmVndS4wMDI3MC4yMDE3PC9lbGVjdHJvbmljLXJlc291cmNlLW51bT48cmVtb3RlLWRh
dGFiYXNlLXByb3ZpZGVyPk5MTTwvcmVtb3RlLWRhdGFiYXNlLXByb3ZpZGVyPjxsYW5ndWFnZT5l
bmc8L2xhbmd1YWdlPjwvcmVjb3JkPjwvQ2l0ZT48Q2l0ZT48QXV0aG9yPk11dGh1bWFsYWdlPC9B
dXRob3I+PFllYXI+MjAxNzwvWWVhcj48UmVjTnVtPjYyODwvUmVjTnVtPjxyZWNvcmQ+PHJlYy1u
dW1iZXI+NjI4PC9yZWMtbnVtYmVyPjxmb3JlaWduLWtleXM+PGtleSBhcHA9IkVOIiBkYi1pZD0i
OXowNWR6MHByYWFkZnVlZTB6b3h6ZWRrOXpmZTVmeHg1MHo1IiB0aW1lc3RhbXA9IjE1MjE1MDY4
NzMiPjYyODwva2V5PjxrZXkgYXBwPSJFTldlYiIgZGItaWQ9IiI+MDwva2V5PjwvZm9yZWlnbi1r
ZXlzPjxyZWYtdHlwZSBuYW1lPSJKb3VybmFsIEFydGljbGUiPjE3PC9yZWYtdHlwZT48Y29udHJp
YnV0b3JzPjxhdXRob3JzPjxhdXRob3I+TXV0aHVtYWxhZ2UsIFQuPC9hdXRob3I+PGF1dGhvcj5Q
cmlueiwgTS48L2F1dGhvcj48YXV0aG9yPkFuc2FoLCBLLiBPLjwvYXV0aG9yPjxhdXRob3I+R2Vy
bG9mZiwgSi48L2F1dGhvcj48YXV0aG9yPlN1bmRhciwgSS4gSy48L2F1dGhvcj48YXV0aG9yPlJh
aG1hbiwgSS48L2F1dGhvcj48L2F1dGhvcnM+PC9jb250cmlidXRvcnM+PGF1dGgtYWRkcmVzcz5E
ZXBhcnRtZW50IG9mIEVudmlyb25tZW50YWwgTWVkaWNpbmUsIFVuaXZlcnNpdHkgb2YgUm9jaGVz
dGVyIE1lZGljYWwgQ2VudGVyLCBSb2NoZXN0ZXIsIE5ZLCBVbml0ZWQgU3RhdGVzLjwvYXV0aC1h
ZGRyZXNzPjx0aXRsZXM+PHRpdGxlPkluZmxhbW1hdG9yeSBhbmQgT3hpZGF0aXZlIFJlc3BvbnNl
cyBJbmR1Y2VkIGJ5IEV4cG9zdXJlIHRvIENvbW1vbmx5IFVzZWQgZS1DaWdhcmV0dGUgRmxhdm9y
aW5nIENoZW1pY2FscyBhbmQgRmxhdm9yZWQgZS1MaXF1aWRzIHdpdGhvdXQgTmljb3RpbmU8L3Rp
dGxlPjxzZWNvbmRhcnktdGl0bGU+RnJvbnQgUGh5c2lvbDwvc2Vjb25kYXJ5LXRpdGxlPjxhbHQt
dGl0bGU+RnJvbnRpZXJzIGluIHBoeXNpb2xvZ3k8L2FsdC10aXRsZT48L3RpdGxlcz48YWx0LXBl
cmlvZGljYWw+PGZ1bGwtdGl0bGU+RnJvbnRpZXJzIGluIHBoeXNpb2xvZ3k8L2Z1bGwtdGl0bGU+
PC9hbHQtcGVyaW9kaWNhbD48cGFnZXM+MTEzMDwvcGFnZXM+PHZvbHVtZT44PC92b2x1bWU+PGVk
aXRpb24+MjAxOC8wMS8zMDwvZWRpdGlvbj48a2V5d29yZHM+PGtleXdvcmQ+Y2lnYXJldHRlczwv
a2V5d29yZD48a2V5d29yZD5lLWxpcXVpZHM8L2tleXdvcmQ+PGtleXdvcmQ+Zmxhdm9yczwva2V5
d29yZD48a2V5d29yZD5pbmZsYW1tYXRpb248L2tleXdvcmQ+PGtleXdvcmQ+aW50ZXJsZXVraW4t
ODwva2V5d29yZD48a2V5d29yZD5tb25vY3l0ZXM8L2tleXdvcmQ+PGtleXdvcmQ+b3hpZGF0aXZl
IHN0cmVzczwva2V5d29yZD48L2tleXdvcmRzPjxkYXRlcz48eWVhcj4yMDE3PC95ZWFyPjwvZGF0
ZXM+PGlzYm4+MTY2NC0wNDJYIChQcmludCkmI3hEOzE2NjQtMDQyeDwvaXNibj48YWNjZXNzaW9u
LW51bT4yOTM3NTM5OTwvYWNjZXNzaW9uLW51bT48dXJscz48L3VybHM+PGN1c3RvbTI+UE1DNTc2
ODYwODwvY3VzdG9tMj48ZWxlY3Ryb25pYy1yZXNvdXJjZS1udW0+MTAuMzM4OS9mcGh5cy4yMDE3
LjAxMTMwPC9lbGVjdHJvbmljLXJlc291cmNlLW51bT48cmVtb3RlLWRhdGFiYXNlLXByb3ZpZGVy
Pk5MTTwvcmVtb3RlLWRhdGFiYXNlLXByb3ZpZGVyPjxsYW5ndWFnZT5lbmc8L2xhbmd1YWdlPjwv
cmVjb3JkPjwvQ2l0ZT48Q2l0ZT48QXV0aG9yPldlZW48L0F1dGhvcj48WWVhcj4yMDE3PC9ZZWFy
PjxSZWNOdW0+MTIyNDU8L1JlY051bT48cmVjb3JkPjxyZWMtbnVtYmVyPjEyMjQ1PC9yZWMtbnVt
YmVyPjxmb3JlaWduLWtleXM+PGtleSBhcHA9IkVOIiBkYi1pZD0iNXh2NXc1dDJiZHh0eGZlengw
Mnh0eGRmdDVyejVwdHZ2dDI5IiB0aW1lc3RhbXA9IjE1MjM4Njc5MjUiPjEyMjQ1PC9rZXk+PGtl
eSBhcHA9IkVOV2ViIiBkYi1pZD0iIj4wPC9rZXk+PC9mb3JlaWduLWtleXM+PHJlZi10eXBlIG5h
bWU9IkpvdXJuYWwgQXJ0aWNsZSI+MTc8L3JlZi10eXBlPjxjb250cmlidXRvcnM+PGF1dGhvcnM+
PGF1dGhvcj5XZWVuLCBNLiBQLjwvYXV0aG9yPjxhdXRob3I+V2hpdHRhbGwsIEouIEouPC9hdXRo
b3I+PGF1dGhvcj5IYW1vbiwgUi48L2F1dGhvcj48YXV0aG9yPlJleW5vbGRzLCBQLiBOLjwvYXV0
aG9yPjxhdXRob3I+SG9kZ2UsIFMuIEouPC9hdXRob3I+PC9hdXRob3JzPjwvY29udHJpYnV0b3Jz
PjxhdXRoLWFkZHJlc3M+RGVwYXJ0bWVudCBvZiBUaG9yYWNpYyBNZWRpY2luZSwgUm95YWwgQWRl
bGFpZGUgSG9zcGl0YWwsIEFkZWxhaWRlLCBBdXN0cmFsaWEgTWlyYW5kYS53ZWVuQGFkZWxhaWRl
LmVkdS5hdS4mI3hEO1NjaG9vbCBvZiBNZWRpY2luZSwgVW5pdmVyc2l0eSBvZiBBZGVsYWlkZSwg
QWRlbGFpZGUsIEF1c3RyYWxpYS4mI3hEO0RlcGFydG1lbnQgb2YgVGhvcmFjaWMgTWVkaWNpbmUs
IFJveWFsIEFkZWxhaWRlIEhvc3BpdGFsLCBBZGVsYWlkZSwgQXVzdHJhbGlhLjwvYXV0aC1hZGRy
ZXNzPjx0aXRsZXM+PHRpdGxlPlBoYWdvY3l0b3NpcyBhbmQgSW5mbGFtbWF0aW9uOiBFeHBsb3Jp
bmcgdGhlIGVmZmVjdHMgb2YgdGhlIGNvbXBvbmVudHMgb2YgRS1jaWdhcmV0dGUgdmFwb3Igb24g
bWFjcm9waGFnZXM8L3RpdGxlPjxzZWNvbmRhcnktdGl0bGU+UGh5c2lvbCBSZXA8L3NlY29uZGFy
eS10aXRsZT48YWx0LXRpdGxlPlBoeXNpb2xvZ2ljYWwgcmVwb3J0czwvYWx0LXRpdGxlPjwvdGl0
bGVzPjxwZXJpb2RpY2FsPjxmdWxsLXRpdGxlPlBoeXNpb2wgUmVwPC9mdWxsLXRpdGxlPjxhYmJy
LTE+UGh5c2lvbG9naWNhbCByZXBvcnRzPC9hYmJyLTE+PC9wZXJpb2RpY2FsPjxhbHQtcGVyaW9k
aWNhbD48ZnVsbC10aXRsZT5QaHlzaW9sIFJlcDwvZnVsbC10aXRsZT48YWJici0xPlBoeXNpb2xv
Z2ljYWwgcmVwb3J0czwvYWJici0xPjwvYWx0LXBlcmlvZGljYWw+PHZvbHVtZT41PC92b2x1bWU+
PG51bWJlcj4xNjwvbnVtYmVyPjxlZGl0aW9uPjIwMTcvMDkvMDU8L2VkaXRpb24+PGtleXdvcmRz
PjxrZXl3b3JkPkUtY2lnYXJldHRlczwva2V5d29yZD48a2V5d29yZD5jeXRva2luZXM8L2tleXdv
cmQ+PGtleXdvcmQ+aW5mbGFtbWF0aW9uPC9rZXl3b3JkPjxrZXl3b3JkPm1hY3JvcGhhZ2VzPC9r
ZXl3b3JkPjxrZXl3b3JkPnBoYWdvY3l0b3Npczwva2V5d29yZD48L2tleXdvcmRzPjxkYXRlcz48
eWVhcj4yMDE3PC95ZWFyPjxwdWItZGF0ZXM+PGRhdGU+QXVnPC9kYXRlPjwvcHViLWRhdGVzPjwv
ZGF0ZXM+PGlzYm4+MjA1MS04MTd4PC9pc2JuPjxhY2Nlc3Npb24tbnVtPjI4ODY3NjcyPC9hY2Nl
c3Npb24tbnVtPjx1cmxzPjxyZWxhdGVkLXVybHM+PHVybD5odHRwczovL3BoeXNvYy5vbmxpbmVs
aWJyYXJ5LndpbGV5LmNvbS9kb2kvcGRmLzEwLjE0ODE0L3BoeTIuMTMzNzA8L3VybD48L3JlbGF0
ZWQtdXJscz48L3VybHM+PGN1c3RvbTI+UE1DNTU4MjI2MTwvY3VzdG9tMj48ZWxlY3Ryb25pYy1y
ZXNvdXJjZS1udW0+MTAuMTQ4MTQvcGh5Mi4xMzM3MDwvZWxlY3Ryb25pYy1yZXNvdXJjZS1udW0+
PHJlbW90ZS1kYXRhYmFzZS1wcm92aWRlcj5OTE08L3JlbW90ZS1kYXRhYmFzZS1wcm92aWRlcj48
bGFuZ3VhZ2U+ZW5nPC9sYW5ndWFnZT48L3JlY29yZD48L0NpdGU+PENpdGU+PEF1dGhvcj5HZXJs
b2ZmPC9BdXRob3I+PFllYXI+MjAxNzwvWWVhcj48UmVjTnVtPjEyNjA8L1JlY051bT48cmVjb3Jk
PjxyZWMtbnVtYmVyPjEyNjA8L3JlYy1udW1iZXI+PGZvcmVpZ24ta2V5cz48a2V5IGFwcD0iRU4i
IGRiLWlkPSI5ejA1ZHowcHJhYWRmdWVlMHpveHplZGs5emZlNWZ4eDUwejUiIHRpbWVzdGFtcD0i
MTUyMTUwNzAzNyI+MTI2MDwva2V5PjxrZXkgYXBwPSJFTldlYiIgZGItaWQ9IiI+MDwva2V5Pjwv
Zm9yZWlnbi1rZXlzPjxyZWYtdHlwZSBuYW1lPSJKb3VybmFsIEFydGljbGUiPjE3PC9yZWYtdHlw
ZT48Y29udHJpYnV0b3JzPjxhdXRob3JzPjxhdXRob3I+R2VybG9mZiwgSi48L2F1dGhvcj48YXV0
aG9yPlN1bmRhciwgSS4gSy48L2F1dGhvcj48YXV0aG9yPkZyZXRlciwgUi48L2F1dGhvcj48YXV0
aG9yPlNla2VyYSwgRS4gUi48L2F1dGhvcj48YXV0aG9yPkZyaWVkbWFuLCBBLiBFLjwvYXV0aG9y
PjxhdXRob3I+Um9iaW5zb24sIFIuPC9hdXRob3I+PGF1dGhvcj5QYWdhbm8sIFQuPC9hdXRob3I+
PGF1dGhvcj5SYWhtYW4sIEkuPC9hdXRob3I+PC9hdXRob3JzPjwvY29udHJpYnV0b3JzPjxhdXRo
LWFkZHJlc3M+RGVwYXJ0bWVudCBvZiBFbnZpcm9ubWVudGFsIE1lZGljaW5lLCBVbml2ZXJzaXR5
IG9mIFJvY2hlc3RlciBNZWRpY2FsIENlbnRlciAsIFJvY2hlc3RlciwgTmV3IFlvcmsuJiN4RDtE
ZXBhcnRtZW50IG9mIENoZW1pc3RyeSwgVW5pdmVyc2l0eSBvZiBCdWZmYWxvICwgQnVmZmFsbywg
TmV3IFlvcmsuJiN4RDtEZXBhcnRtZW50IG9mIE1lY2hhbmljYWwgRW5naW5lZXJpbmcsIFJvY2hl
c3RlciBJbnN0aXR1dGUgb2YgVGVjaG5vbG9neS9OYXRpb25hbCBUZWNobmljYWwgSW5zdGl0dXRl
IGZvciB0aGUgRGVhZiAsIFJvY2hlc3RlciwgTmV3IFlvcmsuJiN4RDtEZXBhcnRtZW50IG9mIFNj
aWVuY2UgJmFtcDsgTWF0aGVtYXRpY3MsIFJvY2hlc3RlciBJbnN0aXR1dGUgb2YgVGVjaG5vbG9n
eS9OYXRpb25hbCBUZWNobmljYWwgSW5zdGl0dXRlIGZvciB0aGUgRGVhZiAsIFJvY2hlc3Rlciwg
TmV3IFlvcmsuPC9hdXRoLWFkZHJlc3M+PHRpdGxlcz48dGl0bGU+SW5mbGFtbWF0b3J5IFJlc3Bv
bnNlIGFuZCBCYXJyaWVyIER5c2Z1bmN0aW9uIGJ5IERpZmZlcmVudCBlLUNpZ2FyZXR0ZSBGbGF2
b3JpbmcgQ2hlbWljYWxzIElkZW50aWZpZWQgYnkgR2FzIENocm9tYXRvZ3JhcGh5LU1hc3MgU3Bl
Y3Ryb21ldHJ5IGluIGUtTGlxdWlkcyBhbmQgZS1WYXBvcnMgb24gSHVtYW4gTHVuZyBFcGl0aGVs
aWFsIENlbGxzIGFuZCBGaWJyb2JsYXN0czwvdGl0bGU+PHNlY29uZGFyeS10aXRsZT5BcHBsIElu
IFZpdHJvIFRveGljb2w8L3NlY29uZGFyeS10aXRsZT48YWx0LXRpdGxlPkFwcGxpZWQgaW4gdml0
cm8gdG94aWNvbG9neTwvYWx0LXRpdGxlPjwvdGl0bGVzPjxwZXJpb2RpY2FsPjxmdWxsLXRpdGxl
PkFwcGwgSW4gVml0cm8gVG94aWNvbDwvZnVsbC10aXRsZT48YWJici0xPkFwcGxpZWQgaW4gdml0
cm8gdG94aWNvbG9neTwvYWJici0xPjwvcGVyaW9kaWNhbD48YWx0LXBlcmlvZGljYWw+PGZ1bGwt
dGl0bGU+QXBwbCBJbiBWaXRybyBUb3hpY29sPC9mdWxsLXRpdGxlPjxhYmJyLTE+QXBwbGllZCBp
biB2aXRybyB0b3hpY29sb2d5PC9hYmJyLTE+PC9hbHQtcGVyaW9kaWNhbD48cGFnZXM+MjgtNDA8
L3BhZ2VzPjx2b2x1bWU+Mzwvdm9sdW1lPjxudW1iZXI+MTwvbnVtYmVyPjxlZGl0aW9uPjIwMTcv
MDMvMjU8L2VkaXRpb24+PGtleXdvcmRzPjxrZXl3b3JkPmJhcnJpZXIgZnVuY3Rpb248L2tleXdv
cmQ+PGtleXdvcmQ+ZGlhY2V0eWw8L2tleXdvcmQ+PGtleXdvcmQ+ZWxlY3Ryb25pYyBjaWdhcmV0
dGVzPC9rZXl3b3JkPjxrZXl3b3JkPmZsYXZvcnM8L2tleXdvcmQ+PGtleXdvcmQ+aW5mbGFtbWF0
aW9uPC9rZXl3b3JkPjxrZXl3b3JkPmludGVybGV1a2luLTg8L2tleXdvcmQ+PC9rZXl3b3Jkcz48
ZGF0ZXM+PHllYXI+MjAxNzwveWVhcj48cHViLWRhdGVzPjxkYXRlPk1hciAxPC9kYXRlPjwvcHVi
LWRhdGVzPjwvZGF0ZXM+PGlzYm4+MjMzMi0xNTEyIChQcmludCkmI3hEOzIzMzItMTUxMjwvaXNi
bj48YWNjZXNzaW9uLW51bT4yODMzNzQ2NTwvYWNjZXNzaW9uLW51bT48dXJscz48L3VybHM+PGN1
c3RvbTI+UE1DNTMzODA3NTwvY3VzdG9tMj48ZWxlY3Ryb25pYy1yZXNvdXJjZS1udW0+MTAuMTA4
OS9haXZ0LjIwMTYuMDAzMDwvZWxlY3Ryb25pYy1yZXNvdXJjZS1udW0+PHJlbW90ZS1kYXRhYmFz
ZS1wcm92aWRlcj5OTE08L3JlbW90ZS1kYXRhYmFzZS1wcm92aWRlcj48bGFuZ3VhZ2U+ZW5nPC9s
YW5ndWFnZT48L3JlY29yZD48L0NpdGU+PC9FbmROb3RlPgB=
</w:fldData>
            </w:fldChar>
          </w:r>
          <w:r w:rsidR="00903735">
            <w:instrText xml:space="preserve"> ADDIN EN.CITE </w:instrText>
          </w:r>
          <w:r w:rsidR="00903735">
            <w:fldChar w:fldCharType="begin">
              <w:fldData xml:space="preserve">PEVuZE5vdGU+PENpdGU+PEF1dGhvcj5BbnRoZXJpZXU8L0F1dGhvcj48WWVhcj4yMDE3PC9ZZWFy
PjxSZWNOdW0+MTM5NTwvUmVjTnVtPjxEaXNwbGF5VGV4dD4oQW50aGVyaWV1LCBHYXJhdCBldCBh
bC4gMjAxNywgQmVuZ2FsbGksIEZlcnJpIGV0IGFsLiAyMDE3LCBDbGFwcCwgUGF3bGFrIGV0IGFs
LiAyMDE3LCBHZXJsb2ZmLCBTdW5kYXIgZXQgYWwuIDIwMTcsIE11dGh1bWFsYWdlLCBQcmlueiBl
dCBhbC4gMjAxNywgV2VlbiwgV2hpdHRhbGwgZXQgYWwuIDIwMTcsIENyb3R0eSBBbGV4YW5kZXIs
IERydW1tb25kIGV0IGFsLiAyMDE4KTwvRGlzcGxheVRleHQ+PHJlY29yZD48cmVjLW51bWJlcj4x
Mzk1PC9yZWMtbnVtYmVyPjxmb3JlaWduLWtleXM+PGtleSBhcHA9IkVOIiBkYi1pZD0iOXowNWR6
MHByYWFkZnVlZTB6b3h6ZWRrOXpmZTVmeHg1MHo1IiB0aW1lc3RhbXA9IjE1MjE1MDcwNjkiPjEz
OTU8L2tleT48a2V5IGFwcD0iRU5XZWIiIGRiLWlkPSIiPjA8L2tleT48L2ZvcmVpZ24ta2V5cz48
cmVmLXR5cGUgbmFtZT0iSm91cm5hbCBBcnRpY2xlIj4xNzwvcmVmLXR5cGU+PGNvbnRyaWJ1dG9y
cz48YXV0aG9ycz48YXV0aG9yPkFudGhlcmlldSwgUy48L2F1dGhvcj48YXV0aG9yPkdhcmF0LCBB
LjwvYXV0aG9yPjxhdXRob3I+QmVhdXZhbCwgTi48L2F1dGhvcj48YXV0aG9yPlNveWV6LCBNLjwv
YXV0aG9yPjxhdXRob3I+QWxsb3JnZSwgRC48L2F1dGhvcj48YXV0aG9yPkdhcmNvbiwgRy48L2F1
dGhvcj48YXV0aG9yPkxvLUd1aWRpY2UsIEouIE0uPC9hdXRob3I+PC9hdXRob3JzPjwvY29udHJp
YnV0b3JzPjxhdXRoLWFkZHJlc3M+VW5pdi4gTGlsbGUsIENIVSBMaWxsZSwgSW5zdGl0dXQgUGFz
dGV1ciBkZSBMaWxsZSwgRUEgNDQ4MywgSU1QRUNTIC0gSU1QYWN0IG9mIEVudmlyb25tZW50YWwg
Q2hlbWljYWxTIG9uIGh1bWFuIGhlYWx0aCwgRi01OTAwMCBMaWxsZSwgRnJhbmNlLiBFbGVjdHJv
bmljIGFkZHJlc3M6IHNlYmFzdGllbi5hbnRoZXJpZXVAdW5pdi1saWxsZTIuZnIuJiN4RDtVbml2
LiBMaWxsZSwgQ0hVIExpbGxlLCBJbnN0aXR1dCBQYXN0ZXVyIGRlIExpbGxlLCBFQSA0NDgzLCBJ
TVBFQ1MgLSBJTVBhY3Qgb2YgRW52aXJvbm1lbnRhbCBDaGVtaWNhbFMgb24gaHVtYW4gaGVhbHRo
LCBGLTU5MDAwIExpbGxlLCBGcmFuY2UuJiN4RDtVbml2LiBMaWxsZSwgQ0hVIExpbGxlLCBJbnN0
aXR1dCBQYXN0ZXVyIGRlIExpbGxlLCBFQSA0NDgzLCBJTVBFQ1MgLSBJTVBhY3Qgb2YgRW52aXJv
bm1lbnRhbCBDaGVtaWNhbFMgb24gaHVtYW4gaGVhbHRoLCBGLTU5MDAwIExpbGxlLCBGcmFuY2U7
IE1pbmVzIERvdWFpLCBTQUdFLCBGLTU5NTA4IERvdWFpLCBGcmFuY2UuPC9hdXRoLWFkZHJlc3M+
PHRpdGxlcz48dGl0bGU+Q29tcGFyaXNvbiBvZiBjZWxsdWxhciBhbmQgdHJhbnNjcmlwdG9taWMg
ZWZmZWN0cyBiZXR3ZWVuIGVsZWN0cm9uaWMgY2lnYXJldHRlIHZhcG9yIGFuZCBjaWdhcmV0dGUg
c21va2UgaW4gaHVtYW4gYnJvbmNoaWFsIGVwaXRoZWxpYWwgY2VsbHM8L3RpdGxlPjxzZWNvbmRh
cnktdGl0bGU+VG94aWNvbCBJbiBWaXRybzwvc2Vjb25kYXJ5LXRpdGxlPjxhbHQtdGl0bGU+VG94
aWNvbG9neSBpbiB2aXRybyA6IGFuIGludGVybmF0aW9uYWwgam91cm5hbCBwdWJsaXNoZWQgaW4g
YXNzb2NpYXRpb24gd2l0aCBCSUJSQTwvYWx0LXRpdGxlPjwvdGl0bGVzPjxwZXJpb2RpY2FsPjxm
dWxsLXRpdGxlPlRveGljb2wgSW4gVml0cm88L2Z1bGwtdGl0bGU+PGFiYnItMT5Ub3hpY29sb2d5
IGluIHZpdHJvIDogYW4gaW50ZXJuYXRpb25hbCBqb3VybmFsIHB1Ymxpc2hlZCBpbiBhc3NvY2lh
dGlvbiB3aXRoIEJJQlJBPC9hYmJyLTE+PC9wZXJpb2RpY2FsPjxhbHQtcGVyaW9kaWNhbD48ZnVs
bC10aXRsZT5Ub3hpY29sIEluIFZpdHJvPC9mdWxsLXRpdGxlPjxhYmJyLTE+VG94aWNvbG9neSBp
biB2aXRybyA6IGFuIGludGVybmF0aW9uYWwgam91cm5hbCBwdWJsaXNoZWQgaW4gYXNzb2NpYXRp
b24gd2l0aCBCSUJSQTwvYWJici0xPjwvYWx0LXBlcmlvZGljYWw+PHBhZ2VzPjQxNy00MjU8L3Bh
Z2VzPjx2b2x1bWU+NDU8L3ZvbHVtZT48bnVtYmVyPlB0IDM8L251bWJlcj48ZWRpdGlvbj4yMDE3
LzAxLzEwPC9lZGl0aW9uPjxrZXl3b3Jkcz48a2V5d29yZD5CRUFTLTJCIGNlbGwgbGluZTwva2V5
d29yZD48a2V5d29yZD5FLWNpZ2FyZXR0ZTwva2V5d29yZD48a2V5d29yZD5Ub3hpY2l0eTwva2V5
d29yZD48a2V5d29yZD5UcmFuc2NyaXB0b21pYzwva2V5d29yZD48a2V5d29yZD5WYXBvcnM8L2tl
eXdvcmQ+PC9rZXl3b3Jkcz48ZGF0ZXM+PHllYXI+MjAxNzwveWVhcj48cHViLWRhdGVzPjxkYXRl
PkRlYzwvZGF0ZT48L3B1Yi1kYXRlcz48L2RhdGVzPjxpc2JuPjA4ODctMjMzMzwvaXNibj48YWNj
ZXNzaW9uLW51bT4yODA2NTc5MDwvYWNjZXNzaW9uLW51bT48dXJscz48cmVsYXRlZC11cmxzPjx1
cmw+aHR0cHM6Ly93d3cuc2NpZW5jZWRpcmVjdC5jb20vc2NpZW5jZS9hcnRpY2xlL3BpaS9TMDg4
NzIzMzMxNjMwMjcxNT92aWElM0RpaHViPC91cmw+PC9yZWxhdGVkLXVybHM+PC91cmxzPjxlbGVj
dHJvbmljLXJlc291cmNlLW51bT4xMC4xMDE2L2oudGl2LjIwMTYuMTIuMDE1PC9lbGVjdHJvbmlj
LXJlc291cmNlLW51bT48cmVtb3RlLWRhdGFiYXNlLXByb3ZpZGVyPk5MTTwvcmVtb3RlLWRhdGFi
YXNlLXByb3ZpZGVyPjxsYW5ndWFnZT5lbmc8L2xhbmd1YWdlPjwvcmVjb3JkPjwvQ2l0ZT48Q2l0
ZT48QXV0aG9yPkJlbmdhbGxpPC9BdXRob3I+PFllYXI+MjAxNzwvWWVhcj48UmVjTnVtPjg0ODwv
UmVjTnVtPjxyZWNvcmQ+PHJlYy1udW1iZXI+ODQ4PC9yZWMtbnVtYmVyPjxmb3JlaWduLWtleXM+
PGtleSBhcHA9IkVOIiBkYi1pZD0iOXowNWR6MHByYWFkZnVlZTB6b3h6ZWRrOXpmZTVmeHg1MHo1
IiB0aW1lc3RhbXA9IjE1MjE1MDY5NDIiPjg0ODwva2V5PjxrZXkgYXBwPSJFTldlYiIgZGItaWQ9
IiI+MDwva2V5PjwvZm9yZWlnbi1rZXlzPjxyZWYtdHlwZSBuYW1lPSJKb3VybmFsIEFydGljbGUi
PjE3PC9yZWYtdHlwZT48Y29udHJpYnV0b3JzPjxhdXRob3JzPjxhdXRob3I+QmVuZ2FsbGksIFIu
PC9hdXRob3I+PGF1dGhvcj5GZXJyaSwgRS48L2F1dGhvcj48YXV0aG9yPkxhYnJhLCBNLjwvYXV0
aG9yPjxhdXRob3I+TWFudGVjY2EsIFAuPC9hdXRob3I+PC9hdXRob3JzPjwvY29udHJpYnV0b3Jz
PjxhdXRoLWFkZHJlc3M+RGVwYXJ0bWVudCBvZiBFYXJ0aCBhbmQgRW52aXJvbm1lbnRhbCBTY2ll
bmNlcywgUmVzZWFyY2ggQ2VudGVyIFBPTEFSSVMgKFBhcnRpY3VsYXRlIE1hdHRlciBhbmQgSGVh
bHRoIFJpc2spLCAxIFBpYXp6YSBkZWxsYSBTY2llbnphLCBVbml2ZXJzaXR5IG9mIE1pbGFubyBC
aWNvY2NhLCAyMDEyNiBNaWxhbiwgSXRhbHkuIHJvc3NlbGxhLmJlbmdhbGxpQHVuaW1pYi5pdC4m
I3hEO1RSVVNUSUNFUlQgU1JMLCB2aWEgTWF6emluaSAxOC9DLCAyMjAzNiBFcmJhLCBJdGFseS4g
ZW1hbnVlbGUuZmVycmlAdHJ1c3RpY2VydC5jb20uJiN4RDtEZXBhcnRtZW50IG9mIEJpb3RlY2hu
b2xvZ3kgYW5kIEJpb3NjaWVuY2VzLCAyIFBpYXp6YSBkZWxsYSBTY2llbnphLCBVbml2ZXJzaXR5
IG9mIE1pbGFubyBCaWNvY2NhLCAyMDEyNiBNaWxhbiwgSXRhbHkuIG1hc3NpbW8ubGFicmFAdW5p
bWliLml0LiYjeEQ7RGVwYXJ0bWVudCBvZiBFYXJ0aCBhbmQgRW52aXJvbm1lbnRhbCBTY2llbmNl
cywgUmVzZWFyY2ggQ2VudGVyIFBPTEFSSVMgKFBhcnRpY3VsYXRlIE1hdHRlciBhbmQgSGVhbHRo
IFJpc2spLCAxIFBpYXp6YSBkZWxsYSBTY2llbnphLCBVbml2ZXJzaXR5IG9mIE1pbGFubyBCaWNv
Y2NhLCAyMDEyNiBNaWxhbiwgSXRhbHkuIHBhcmlkZS5tYW50ZWNjYUB1bmltaWIuaXQuPC9hdXRo
LWFkZHJlc3M+PHRpdGxlcz48dGl0bGU+THVuZyBUb3hpY2l0eSBvZiBDb25kZW5zZWQgQWVyb3Nv
bCBmcm9tIEUtQ0lHIExpcXVpZHM6IEluZmx1ZW5jZSBvZiB0aGUgRmxhdm9yIGFuZCB0aGUgSW4g
Vml0cm8gTW9kZWwgVXNlZDwvdGl0bGU+PHNlY29uZGFyeS10aXRsZT5JbnQgSiBFbnZpcm9uIFJl
cyBQdWJsaWMgSGVhbHRoPC9zZWNvbmRhcnktdGl0bGU+PGFsdC10aXRsZT5JbnRlcm5hdGlvbmFs
IGpvdXJuYWwgb2YgZW52aXJvbm1lbnRhbCByZXNlYXJjaCBhbmQgcHVibGljIGhlYWx0aDwvYWx0
LXRpdGxlPjwvdGl0bGVzPjxhbHQtcGVyaW9kaWNhbD48ZnVsbC10aXRsZT5JbnRlcm5hdGlvbmFs
IEpvdXJuYWwgb2YgRW52aXJvbm1lbnRhbCBSZXNlYXJjaCBhbmQgUHVibGljIEhlYWx0aDwvZnVs
bC10aXRsZT48L2FsdC1wZXJpb2RpY2FsPjx2b2x1bWU+MTQ8L3ZvbHVtZT48bnVtYmVyPjEwPC9u
dW1iZXI+PGVkaXRpb24+MjAxNy8xMC8yMTwvZWRpdGlvbj48a2V5d29yZHM+PGtleXdvcmQ+Y29u
ZGVuc2VkIGFlcm9zb2w8L2tleXdvcmQ+PGtleXdvcmQ+ZS1jaWdhcmV0dGU8L2tleXdvcmQ+PGtl
eXdvcmQ+ZS1saXF1aWQ8L2tleXdvcmQ+PGtleXdvcmQ+aW4gdml0cm8gc3lzdGVtczwva2V5d29y
ZD48a2V5d29yZD5pbmhhbGF0aW9uIHRveGljb2xvZ3k8L2tleXdvcmQ+PC9rZXl3b3Jkcz48ZGF0
ZXM+PHllYXI+MjAxNzwveWVhcj48cHViLWRhdGVzPjxkYXRlPk9jdCAyMDwvZGF0ZT48L3B1Yi1k
YXRlcz48L2RhdGVzPjxpc2JuPjE2NjAtNDYwMTwvaXNibj48YWNjZXNzaW9uLW51bT4yOTA1MzYw
NjwvYWNjZXNzaW9uLW51bT48dXJscz48cmVsYXRlZC11cmxzPjx1cmw+aHR0cDovL3d3dy5tZHBp
LmNvbS8xNjYwLTQ2MDEvMTQvMTAvMTI1NC9wZGY8L3VybD48L3JlbGF0ZWQtdXJscz48L3VybHM+
PGN1c3RvbTI+UE1DNTY2NDc1NTwvY3VzdG9tMj48ZWxlY3Ryb25pYy1yZXNvdXJjZS1udW0+MTAu
MzM5MC9pamVycGgxNDEwMTI1NDwvZWxlY3Ryb25pYy1yZXNvdXJjZS1udW0+PHJlbW90ZS1kYXRh
YmFzZS1wcm92aWRlcj5OTE08L3JlbW90ZS1kYXRhYmFzZS1wcm92aWRlcj48bGFuZ3VhZ2U+ZW5n
PC9sYW5ndWFnZT48L3JlY29yZD48L0NpdGU+PENpdGU+PEF1dGhvcj5DbGFwcDwvQXV0aG9yPjxZ
ZWFyPjIwMTc8L1llYXI+PFJlY051bT4xMTU1PC9SZWNOdW0+PHJlY29yZD48cmVjLW51bWJlcj4x
MTU1PC9yZWMtbnVtYmVyPjxmb3JlaWduLWtleXM+PGtleSBhcHA9IkVOIiBkYi1pZD0iOXowNWR6
MHByYWFkZnVlZTB6b3h6ZWRrOXpmZTVmeHg1MHo1IiB0aW1lc3RhbXA9IjE1MjE1MDcwMTMiPjEx
NTU8L2tleT48a2V5IGFwcD0iRU5XZWIiIGRiLWlkPSIiPjA8L2tleT48L2ZvcmVpZ24ta2V5cz48
cmVmLXR5cGUgbmFtZT0iSm91cm5hbCBBcnRpY2xlIj4xNzwvcmVmLXR5cGU+PGNvbnRyaWJ1dG9y
cz48YXV0aG9ycz48YXV0aG9yPkNsYXBwLCBQLiBXLjwvYXV0aG9yPjxhdXRob3I+UGF3bGFrLCBF
LiBBLjwvYXV0aG9yPjxhdXRob3I+TGFja2V5LCBKLiBULjwvYXV0aG9yPjxhdXRob3I+S2VhdGlu
ZywgSi4gRS48L2F1dGhvcj48YXV0aG9yPlJlZWJlciwgUy4gTC48L2F1dGhvcj48YXV0aG9yPkds
aXNoLCBHLiBMLjwvYXV0aG9yPjxhdXRob3I+SmFzcGVycywgSS48L2F1dGhvcj48L2F1dGhvcnM+
PC9jb250cmlidXRvcnM+PGF1dGgtYWRkcmVzcz5DdXJyaWN1bHVtIGluIFRveGljb2xvZ3ksIFNj
aG9vbCBvZiBNZWRpY2luZSwgVW5pdmVyc2l0eSBvZiBOb3J0aCBDYXJvbGluYSwgQ2hhcGVsIEhp
bGwsIE5vcnRoIENhcm9saW5hLiYjeEQ7Q2VudGVyIGZvciBFbnZpcm9ubWVudGFsIE1lZGljaW5l
LCBBc3RobWEsIGFuZCBMdW5nIEJpb2xvZ3ksIFNjaG9vbCBvZiBNZWRpY2luZSwgVW5pdmVyc2l0
eSBvZiBOb3J0aCBDYXJvbGluYSwgQ2hhcGVsIEhpbGwsIE5vcnRoIENhcm9saW5hOyBhbmQuJiN4
RDtEZXBhcnRtZW50IG9mIENoZW1pc3RyeSwgVW5pdmVyc2l0eSBvZiBOb3J0aCBDYXJvbGluYSwg
Q2hhcGVsIEhpbGwsIE5vcnRoIENhcm9saW5hLiYjeEQ7Q3VycmljdWx1bSBpbiBUb3hpY29sb2d5
LCBTY2hvb2wgb2YgTWVkaWNpbmUsIFVuaXZlcnNpdHkgb2YgTm9ydGggQ2Fyb2xpbmEsIENoYXBl
bCBIaWxsLCBOb3J0aCBDYXJvbGluYTsgaWxvbmFfamFzcGVyc0BtZWQudW5jLmVkdS48L2F1dGgt
YWRkcmVzcz48dGl0bGVzPjx0aXRsZT5GbGF2b3JlZCBlLWNpZ2FyZXR0ZSBsaXF1aWRzIGFuZCBj
aW5uYW1hbGRlaHlkZSBpbXBhaXIgcmVzcGlyYXRvcnkgaW5uYXRlIGltbXVuZSBjZWxsIGZ1bmN0
aW9uPC90aXRsZT48c2Vjb25kYXJ5LXRpdGxlPkFtIEogUGh5c2lvbCBMdW5nIENlbGwgTW9sIFBo
eXNpb2w8L3NlY29uZGFyeS10aXRsZT48YWx0LXRpdGxlPkFtZXJpY2FuIGpvdXJuYWwgb2YgcGh5
c2lvbG9neS4gTHVuZyBjZWxsdWxhciBhbmQgbW9sZWN1bGFyIHBoeXNpb2xvZ3k8L2FsdC10aXRs
ZT48L3RpdGxlcz48cGVyaW9kaWNhbD48ZnVsbC10aXRsZT5BbSBKIFBoeXNpb2wgTHVuZyBDZWxs
IE1vbCBQaHlzaW9sPC9mdWxsLXRpdGxlPjxhYmJyLTE+QW1lcmljYW4gam91cm5hbCBvZiBwaHlz
aW9sb2d5LiBMdW5nIGNlbGx1bGFyIGFuZCBtb2xlY3VsYXIgcGh5c2lvbG9neTwvYWJici0xPjwv
cGVyaW9kaWNhbD48YWx0LXBlcmlvZGljYWw+PGZ1bGwtdGl0bGU+QW0gSiBQaHlzaW9sIEx1bmcg
Q2VsbCBNb2wgUGh5c2lvbDwvZnVsbC10aXRsZT48YWJici0xPkFtZXJpY2FuIGpvdXJuYWwgb2Yg
cGh5c2lvbG9neS4gTHVuZyBjZWxsdWxhciBhbmQgbW9sZWN1bGFyIHBoeXNpb2xvZ3k8L2FiYnIt
MT48L2FsdC1wZXJpb2RpY2FsPjxwYWdlcz5MMjc4LWwyOTI8L3BhZ2VzPjx2b2x1bWU+MzEzPC92
b2x1bWU+PG51bWJlcj4yPC9udW1iZXI+PGVkaXRpb24+MjAxNy8wNS8xMzwvZWRpdGlvbj48a2V5
d29yZHM+PGtleXdvcmQ+QWNyb2xlaW4vYWR2ZXJzZSBlZmZlY3RzLyphbmFsb2dzICZhbXA7IGRl
cml2YXRpdmVzPC9rZXl3b3JkPjxrZXl3b3JkPkFkb2xlc2NlbnQ8L2tleXdvcmQ+PGtleXdvcmQ+
QWR1bHQ8L2tleXdvcmQ+PGtleXdvcmQ+RWxlY3Ryb25pYyBOaWNvdGluZSBEZWxpdmVyeSBTeXN0
ZW1zLyphZHZlcnNlIGVmZmVjdHM8L2tleXdvcmQ+PGtleXdvcmQ+RmVtYWxlPC9rZXl3b3JkPjxr
ZXl3b3JkPkh1bWFuczwva2V5d29yZD48a2V5d29yZD5JbW11bml0eSwgSW5uYXRlLypkcnVnIGVm
ZmVjdHM8L2tleXdvcmQ+PGtleXdvcmQ+SW5mbGFtbWF0aW9uL2NoZW1pY2FsbHkgaW5kdWNlZDwv
a2V5d29yZD48a2V5d29yZD5LaWxsZXIgQ2VsbHMsIE5hdHVyYWwvZHJ1ZyBlZmZlY3RzPC9rZXl3
b3JkPjxrZXl3b3JkPk1hY3JvcGhhZ2VzL2RydWcgZWZmZWN0czwva2V5d29yZD48a2V5d29yZD5N
YWxlPC9rZXl3b3JkPjxrZXl3b3JkPk1pZGRsZSBBZ2VkPC9rZXl3b3JkPjxrZXl3b3JkPk5ldXRy
b3BoaWxzL2RydWcgZWZmZWN0czwva2V5d29yZD48a2V5d29yZD5OaWNvdGluZS9hZHZlcnNlIGVm
ZmVjdHM8L2tleXdvcmQ+PGtleXdvcmQ+UGhhZ29jeXRvc2lzL2RydWcgZWZmZWN0czwva2V5d29y
ZD48a2V5d29yZD5Zb3VuZyBBZHVsdDwva2V5d29yZD48a2V5d29yZD5jaW5uYW1hbGRlaHlkZTwv
a2V5d29yZD48a2V5d29yZD5lLWNpZ2FyZXR0ZTwva2V5d29yZD48a2V5d29yZD5lLWxpcXVpZDwv
a2V5d29yZD48a2V5d29yZD5pbm5hdGUgaW1tdW5lIGNlbGwgZnVuY3Rpb248L2tleXdvcmQ+PC9r
ZXl3b3Jkcz48ZGF0ZXM+PHllYXI+MjAxNzwveWVhcj48cHViLWRhdGVzPjxkYXRlPkF1ZyAxPC9k
YXRlPjwvcHViLWRhdGVzPjwvZGF0ZXM+PGlzYm4+MTA0MC0wNjA1PC9pc2JuPjxhY2Nlc3Npb24t
bnVtPjI4NDk1ODU2PC9hY2Nlc3Npb24tbnVtPjx1cmxzPjwvdXJscz48Y3VzdG9tMj5QTUM1NTgy
OTI5PC9jdXN0b20yPjxlbGVjdHJvbmljLXJlc291cmNlLW51bT4xMC4xMTUyL2FqcGx1bmcuMDA0
NTIuMjAxNjwvZWxlY3Ryb25pYy1yZXNvdXJjZS1udW0+PHJlbW90ZS1kYXRhYmFzZS1wcm92aWRl
cj5OTE08L3JlbW90ZS1kYXRhYmFzZS1wcm92aWRlcj48bGFuZ3VhZ2U+ZW5nPC9sYW5ndWFnZT48
L3JlY29yZD48L0NpdGU+PENpdGU+PEF1dGhvcj5Dcm90dHkgQWxleGFuZGVyPC9BdXRob3I+PFll
YXI+MjAxODwvWWVhcj48UmVjTnVtPjUyNzwvUmVjTnVtPjxyZWNvcmQ+PHJlYy1udW1iZXI+NTI3
PC9yZWMtbnVtYmVyPjxmb3JlaWduLWtleXM+PGtleSBhcHA9IkVOIiBkYi1pZD0iOXowNWR6MHBy
YWFkZnVlZTB6b3h6ZWRrOXpmZTVmeHg1MHo1IiB0aW1lc3RhbXA9IjE1MjE1MDY4NTAiPjUyNzwv
a2V5PjxrZXkgYXBwPSJFTldlYiIgZGItaWQ9IiI+MDwva2V5PjwvZm9yZWlnbi1rZXlzPjxyZWYt
dHlwZSBuYW1lPSJKb3VybmFsIEFydGljbGUiPjE3PC9yZWYtdHlwZT48Y29udHJpYnV0b3JzPjxh
dXRob3JzPjxhdXRob3I+Q3JvdHR5IEFsZXhhbmRlciwgTC4gRS48L2F1dGhvcj48YXV0aG9yPkRy
dW1tb25kLCBDLiBBLjwvYXV0aG9yPjxhdXRob3I+SGVwb2tvc2tpLCBNLjwvYXV0aG9yPjxhdXRo
b3I+TWF0aGV3LCBELiBQLjwvYXV0aG9yPjxhdXRob3I+TW9zaGVuc2t5LCBBLjwvYXV0aG9yPjxh
dXRob3I+V2lsbGVmb3JkLCBBLjwvYXV0aG9yPjxhdXRob3I+RGFzLCBTLjwvYXV0aG9yPjxhdXRo
b3I+U2luZ2gsIFAuPC9hdXRob3I+PGF1dGhvcj5Zb25nLCBaLjwvYXV0aG9yPjxhdXRob3I+TGVl
LCBKLiBILjwvYXV0aG9yPjxhdXRob3I+VmVnYSwgSy48L2F1dGhvcj48YXV0aG9yPkR1LCBBLjwv
YXV0aG9yPjxhdXRob3I+U2hpbiwgSi48L2F1dGhvcj48YXV0aG9yPkphdmllciwgQy48L2F1dGhv
cj48YXV0aG9yPlRpYW4sIEouPC9hdXRob3I+PGF1dGhvcj5Ccm93biwgSi4gSC48L2F1dGhvcj48
YXV0aG9yPkJyZWVuLCBFLiBDLjwvYXV0aG9yPjwvYXV0aG9ycz48L2NvbnRyaWJ1dG9ycz48YXV0
aC1hZGRyZXNzPk1lZGljaW5lLCBVQyBTYW4gRGllZ28gYW5kIFZBU0RIUywgVW5pdGVkIFN0YXRl
cy4mI3hEO1N1cmdlcnkgYW5kIE1lZGljYWwgRGV2aWNlIGVmZmljYWN5LCBNUEkgUmVzZWFyY2gs
IFVuaXRlZCBTdGF0ZXMuJiN4RDtNZWRpY2luZSwgRGl2aXNpb24gb2YgUHVsbW9uYXJ5IGFuZCBD
cml0aWNhbCBDYXJlLCBtaGVwb2tvc2tpQHVjc2QuZWR1LCBVbml0ZWQgU3RhdGVzLiYjeEQ7TWVk
aWNpbmUsIFVDIFNhbiBEaWVnbyBTY2hvb2wgb2YgTWVkaWNpbmUuJiN4RDtNZWRpY2luZSwgVUMg
U2FuIERpZWdvIGFuZCBWQVNESFMuJiN4RDtQaGFybWFjb2xvZ3ksIFVDU0QuJiN4RDtQYXRob2xv
Z3ksIFVDU0QuJiN4RDtNZWRpY2luZS1OZXBocm9sb2d5LCBVQyBTYW4gRGllZ28gYW5kIFZBU0RI
UywgVW5pdGVkIFN0YXRlcy4mI3hEO01lZGljaW5lLCBVQ1NELiYjeEQ7TWVkaWNpbmUsIFVuaXZl
cnNpdHkgb2YgVG9sZWRvIEhlYWx0aCBTY2llbmNlIENhbXB1cywgVW5pdGVkIFN0YXRlcy4mI3hE
O0RlcGFydG1lbnQgb2YgUGhhcm1hY29sb2d5IDA2MzYsIFVuaXZlcnNpdHkgb2YgQ2FsaWZvcm5p
YSwgU2FuIERpZWdvLCBVbml0ZWQgU3RhdGVzLiYjeEQ7TWVkaWNpbmUsIFVuaXZlcnNpdHkgb2Yg
Q2FsaWZvcm5pYSwgU2FuIERpZWdvLCBVbml0ZWQgU3RhdGVzLjwvYXV0aC1hZGRyZXNzPjx0aXRs
ZXM+PHRpdGxlPkNocm9uaWMgSW5oYWxhdGlvbiBvZiBFLUNpZ2FyZXR0ZSBWYXBvciBDb250YWlu
aW5nIE5pY290aW5lIERpc3J1cHRzIEFpcndheSBCYXJyaWVyIEZ1bmN0aW9uIGFuZCBJbmR1Y2Vz
IFN5c3RlbWljIEluZmxhbW1hdGlvbiBhbmQgTXVsdGktT3JnYW4gRmlicm9zaXMgaW4gTWljZTwv
dGl0bGU+PHNlY29uZGFyeS10aXRsZT5BbSBKIFBoeXNpb2wgUmVndWwgSW50ZWdyIENvbXAgUGh5
c2lvbDwvc2Vjb25kYXJ5LXRpdGxlPjxhbHQtdGl0bGU+QW1lcmljYW4gam91cm5hbCBvZiBwaHlz
aW9sb2d5LiBSZWd1bGF0b3J5LCBpbnRlZ3JhdGl2ZSBhbmQgY29tcGFyYXRpdmUgcGh5c2lvbG9n
eTwvYWx0LXRpdGxlPjwvdGl0bGVzPjxwZXJpb2RpY2FsPjxmdWxsLXRpdGxlPkFtIEogUGh5c2lv
bCBSZWd1bCBJbnRlZ3IgQ29tcCBQaHlzaW9sPC9mdWxsLXRpdGxlPjxhYmJyLTE+QW1lcmljYW4g
am91cm5hbCBvZiBwaHlzaW9sb2d5LiBSZWd1bGF0b3J5LCBpbnRlZ3JhdGl2ZSBhbmQgY29tcGFy
YXRpdmUgcGh5c2lvbG9neTwvYWJici0xPjwvcGVyaW9kaWNhbD48YWx0LXBlcmlvZGljYWw+PGZ1
bGwtdGl0bGU+QW0gSiBQaHlzaW9sIFJlZ3VsIEludGVnciBDb21wIFBoeXNpb2w8L2Z1bGwtdGl0
bGU+PGFiYnItMT5BbWVyaWNhbiBqb3VybmFsIG9mIHBoeXNpb2xvZ3kuIFJlZ3VsYXRvcnksIGlu
dGVncmF0aXZlIGFuZCBjb21wYXJhdGl2ZSBwaHlzaW9sb2d5PC9hYmJyLTE+PC9hbHQtcGVyaW9k
aWNhbD48ZWRpdGlvbj4yMDE4LzAyLzAxPC9lZGl0aW9uPjxrZXl3b3Jkcz48a2V5d29yZD5jYXJk
aW9yZW5hbCBkeXNmdW5jdGlvbjwva2V5d29yZD48a2V5d29yZD5lbGVjdHJvbmljIGNpZ2FyZXR0
ZTwva2V5d29yZD48a2V5d29yZD5maWJyb3Npczwva2V5d29yZD48a2V5d29yZD5pbmZsYW1tYXRp
b248L2tleXdvcmQ+PGtleXdvcmQ+bmljb3RpbmU8L2tleXdvcmQ+PC9rZXl3b3Jkcz48ZGF0ZXM+
PHllYXI+MjAxODwveWVhcj48cHViLWRhdGVzPjxkYXRlPkphbiAzMTwvZGF0ZT48L3B1Yi1kYXRl
cz48L2RhdGVzPjxpc2JuPjAzNjMtNjExOTwvaXNibj48YWNjZXNzaW9uLW51bT4yOTM4NDcwMDwv
YWNjZXNzaW9uLW51bT48dXJscz48L3VybHM+PGVsZWN0cm9uaWMtcmVzb3VyY2UtbnVtPjEwLjEx
NTIvYWpwcmVndS4wMDI3MC4yMDE3PC9lbGVjdHJvbmljLXJlc291cmNlLW51bT48cmVtb3RlLWRh
dGFiYXNlLXByb3ZpZGVyPk5MTTwvcmVtb3RlLWRhdGFiYXNlLXByb3ZpZGVyPjxsYW5ndWFnZT5l
bmc8L2xhbmd1YWdlPjwvcmVjb3JkPjwvQ2l0ZT48Q2l0ZT48QXV0aG9yPk11dGh1bWFsYWdlPC9B
dXRob3I+PFllYXI+MjAxNzwvWWVhcj48UmVjTnVtPjYyODwvUmVjTnVtPjxyZWNvcmQ+PHJlYy1u
dW1iZXI+NjI4PC9yZWMtbnVtYmVyPjxmb3JlaWduLWtleXM+PGtleSBhcHA9IkVOIiBkYi1pZD0i
OXowNWR6MHByYWFkZnVlZTB6b3h6ZWRrOXpmZTVmeHg1MHo1IiB0aW1lc3RhbXA9IjE1MjE1MDY4
NzMiPjYyODwva2V5PjxrZXkgYXBwPSJFTldlYiIgZGItaWQ9IiI+MDwva2V5PjwvZm9yZWlnbi1r
ZXlzPjxyZWYtdHlwZSBuYW1lPSJKb3VybmFsIEFydGljbGUiPjE3PC9yZWYtdHlwZT48Y29udHJp
YnV0b3JzPjxhdXRob3JzPjxhdXRob3I+TXV0aHVtYWxhZ2UsIFQuPC9hdXRob3I+PGF1dGhvcj5Q
cmlueiwgTS48L2F1dGhvcj48YXV0aG9yPkFuc2FoLCBLLiBPLjwvYXV0aG9yPjxhdXRob3I+R2Vy
bG9mZiwgSi48L2F1dGhvcj48YXV0aG9yPlN1bmRhciwgSS4gSy48L2F1dGhvcj48YXV0aG9yPlJh
aG1hbiwgSS48L2F1dGhvcj48L2F1dGhvcnM+PC9jb250cmlidXRvcnM+PGF1dGgtYWRkcmVzcz5E
ZXBhcnRtZW50IG9mIEVudmlyb25tZW50YWwgTWVkaWNpbmUsIFVuaXZlcnNpdHkgb2YgUm9jaGVz
dGVyIE1lZGljYWwgQ2VudGVyLCBSb2NoZXN0ZXIsIE5ZLCBVbml0ZWQgU3RhdGVzLjwvYXV0aC1h
ZGRyZXNzPjx0aXRsZXM+PHRpdGxlPkluZmxhbW1hdG9yeSBhbmQgT3hpZGF0aXZlIFJlc3BvbnNl
cyBJbmR1Y2VkIGJ5IEV4cG9zdXJlIHRvIENvbW1vbmx5IFVzZWQgZS1DaWdhcmV0dGUgRmxhdm9y
aW5nIENoZW1pY2FscyBhbmQgRmxhdm9yZWQgZS1MaXF1aWRzIHdpdGhvdXQgTmljb3RpbmU8L3Rp
dGxlPjxzZWNvbmRhcnktdGl0bGU+RnJvbnQgUGh5c2lvbDwvc2Vjb25kYXJ5LXRpdGxlPjxhbHQt
dGl0bGU+RnJvbnRpZXJzIGluIHBoeXNpb2xvZ3k8L2FsdC10aXRsZT48L3RpdGxlcz48YWx0LXBl
cmlvZGljYWw+PGZ1bGwtdGl0bGU+RnJvbnRpZXJzIGluIHBoeXNpb2xvZ3k8L2Z1bGwtdGl0bGU+
PC9hbHQtcGVyaW9kaWNhbD48cGFnZXM+MTEzMDwvcGFnZXM+PHZvbHVtZT44PC92b2x1bWU+PGVk
aXRpb24+MjAxOC8wMS8zMDwvZWRpdGlvbj48a2V5d29yZHM+PGtleXdvcmQ+Y2lnYXJldHRlczwv
a2V5d29yZD48a2V5d29yZD5lLWxpcXVpZHM8L2tleXdvcmQ+PGtleXdvcmQ+Zmxhdm9yczwva2V5
d29yZD48a2V5d29yZD5pbmZsYW1tYXRpb248L2tleXdvcmQ+PGtleXdvcmQ+aW50ZXJsZXVraW4t
ODwva2V5d29yZD48a2V5d29yZD5tb25vY3l0ZXM8L2tleXdvcmQ+PGtleXdvcmQ+b3hpZGF0aXZl
IHN0cmVzczwva2V5d29yZD48L2tleXdvcmRzPjxkYXRlcz48eWVhcj4yMDE3PC95ZWFyPjwvZGF0
ZXM+PGlzYm4+MTY2NC0wNDJYIChQcmludCkmI3hEOzE2NjQtMDQyeDwvaXNibj48YWNjZXNzaW9u
LW51bT4yOTM3NTM5OTwvYWNjZXNzaW9uLW51bT48dXJscz48L3VybHM+PGN1c3RvbTI+UE1DNTc2
ODYwODwvY3VzdG9tMj48ZWxlY3Ryb25pYy1yZXNvdXJjZS1udW0+MTAuMzM4OS9mcGh5cy4yMDE3
LjAxMTMwPC9lbGVjdHJvbmljLXJlc291cmNlLW51bT48cmVtb3RlLWRhdGFiYXNlLXByb3ZpZGVy
Pk5MTTwvcmVtb3RlLWRhdGFiYXNlLXByb3ZpZGVyPjxsYW5ndWFnZT5lbmc8L2xhbmd1YWdlPjwv
cmVjb3JkPjwvQ2l0ZT48Q2l0ZT48QXV0aG9yPldlZW48L0F1dGhvcj48WWVhcj4yMDE3PC9ZZWFy
PjxSZWNOdW0+MTIyNDU8L1JlY051bT48cmVjb3JkPjxyZWMtbnVtYmVyPjEyMjQ1PC9yZWMtbnVt
YmVyPjxmb3JlaWduLWtleXM+PGtleSBhcHA9IkVOIiBkYi1pZD0iNXh2NXc1dDJiZHh0eGZlengw
Mnh0eGRmdDVyejVwdHZ2dDI5IiB0aW1lc3RhbXA9IjE1MjM4Njc5MjUiPjEyMjQ1PC9rZXk+PGtl
eSBhcHA9IkVOV2ViIiBkYi1pZD0iIj4wPC9rZXk+PC9mb3JlaWduLWtleXM+PHJlZi10eXBlIG5h
bWU9IkpvdXJuYWwgQXJ0aWNsZSI+MTc8L3JlZi10eXBlPjxjb250cmlidXRvcnM+PGF1dGhvcnM+
PGF1dGhvcj5XZWVuLCBNLiBQLjwvYXV0aG9yPjxhdXRob3I+V2hpdHRhbGwsIEouIEouPC9hdXRo
b3I+PGF1dGhvcj5IYW1vbiwgUi48L2F1dGhvcj48YXV0aG9yPlJleW5vbGRzLCBQLiBOLjwvYXV0
aG9yPjxhdXRob3I+SG9kZ2UsIFMuIEouPC9hdXRob3I+PC9hdXRob3JzPjwvY29udHJpYnV0b3Jz
PjxhdXRoLWFkZHJlc3M+RGVwYXJ0bWVudCBvZiBUaG9yYWNpYyBNZWRpY2luZSwgUm95YWwgQWRl
bGFpZGUgSG9zcGl0YWwsIEFkZWxhaWRlLCBBdXN0cmFsaWEgTWlyYW5kYS53ZWVuQGFkZWxhaWRl
LmVkdS5hdS4mI3hEO1NjaG9vbCBvZiBNZWRpY2luZSwgVW5pdmVyc2l0eSBvZiBBZGVsYWlkZSwg
QWRlbGFpZGUsIEF1c3RyYWxpYS4mI3hEO0RlcGFydG1lbnQgb2YgVGhvcmFjaWMgTWVkaWNpbmUs
IFJveWFsIEFkZWxhaWRlIEhvc3BpdGFsLCBBZGVsYWlkZSwgQXVzdHJhbGlhLjwvYXV0aC1hZGRy
ZXNzPjx0aXRsZXM+PHRpdGxlPlBoYWdvY3l0b3NpcyBhbmQgSW5mbGFtbWF0aW9uOiBFeHBsb3Jp
bmcgdGhlIGVmZmVjdHMgb2YgdGhlIGNvbXBvbmVudHMgb2YgRS1jaWdhcmV0dGUgdmFwb3Igb24g
bWFjcm9waGFnZXM8L3RpdGxlPjxzZWNvbmRhcnktdGl0bGU+UGh5c2lvbCBSZXA8L3NlY29uZGFy
eS10aXRsZT48YWx0LXRpdGxlPlBoeXNpb2xvZ2ljYWwgcmVwb3J0czwvYWx0LXRpdGxlPjwvdGl0
bGVzPjxwZXJpb2RpY2FsPjxmdWxsLXRpdGxlPlBoeXNpb2wgUmVwPC9mdWxsLXRpdGxlPjxhYmJy
LTE+UGh5c2lvbG9naWNhbCByZXBvcnRzPC9hYmJyLTE+PC9wZXJpb2RpY2FsPjxhbHQtcGVyaW9k
aWNhbD48ZnVsbC10aXRsZT5QaHlzaW9sIFJlcDwvZnVsbC10aXRsZT48YWJici0xPlBoeXNpb2xv
Z2ljYWwgcmVwb3J0czwvYWJici0xPjwvYWx0LXBlcmlvZGljYWw+PHZvbHVtZT41PC92b2x1bWU+
PG51bWJlcj4xNjwvbnVtYmVyPjxlZGl0aW9uPjIwMTcvMDkvMDU8L2VkaXRpb24+PGtleXdvcmRz
PjxrZXl3b3JkPkUtY2lnYXJldHRlczwva2V5d29yZD48a2V5d29yZD5jeXRva2luZXM8L2tleXdv
cmQ+PGtleXdvcmQ+aW5mbGFtbWF0aW9uPC9rZXl3b3JkPjxrZXl3b3JkPm1hY3JvcGhhZ2VzPC9r
ZXl3b3JkPjxrZXl3b3JkPnBoYWdvY3l0b3Npczwva2V5d29yZD48L2tleXdvcmRzPjxkYXRlcz48
eWVhcj4yMDE3PC95ZWFyPjxwdWItZGF0ZXM+PGRhdGU+QXVnPC9kYXRlPjwvcHViLWRhdGVzPjwv
ZGF0ZXM+PGlzYm4+MjA1MS04MTd4PC9pc2JuPjxhY2Nlc3Npb24tbnVtPjI4ODY3NjcyPC9hY2Nl
c3Npb24tbnVtPjx1cmxzPjxyZWxhdGVkLXVybHM+PHVybD5odHRwczovL3BoeXNvYy5vbmxpbmVs
aWJyYXJ5LndpbGV5LmNvbS9kb2kvcGRmLzEwLjE0ODE0L3BoeTIuMTMzNzA8L3VybD48L3JlbGF0
ZWQtdXJscz48L3VybHM+PGN1c3RvbTI+UE1DNTU4MjI2MTwvY3VzdG9tMj48ZWxlY3Ryb25pYy1y
ZXNvdXJjZS1udW0+MTAuMTQ4MTQvcGh5Mi4xMzM3MDwvZWxlY3Ryb25pYy1yZXNvdXJjZS1udW0+
PHJlbW90ZS1kYXRhYmFzZS1wcm92aWRlcj5OTE08L3JlbW90ZS1kYXRhYmFzZS1wcm92aWRlcj48
bGFuZ3VhZ2U+ZW5nPC9sYW5ndWFnZT48L3JlY29yZD48L0NpdGU+PENpdGU+PEF1dGhvcj5HZXJs
b2ZmPC9BdXRob3I+PFllYXI+MjAxNzwvWWVhcj48UmVjTnVtPjEyNjA8L1JlY051bT48cmVjb3Jk
PjxyZWMtbnVtYmVyPjEyNjA8L3JlYy1udW1iZXI+PGZvcmVpZ24ta2V5cz48a2V5IGFwcD0iRU4i
IGRiLWlkPSI5ejA1ZHowcHJhYWRmdWVlMHpveHplZGs5emZlNWZ4eDUwejUiIHRpbWVzdGFtcD0i
MTUyMTUwNzAzNyI+MTI2MDwva2V5PjxrZXkgYXBwPSJFTldlYiIgZGItaWQ9IiI+MDwva2V5Pjwv
Zm9yZWlnbi1rZXlzPjxyZWYtdHlwZSBuYW1lPSJKb3VybmFsIEFydGljbGUiPjE3PC9yZWYtdHlw
ZT48Y29udHJpYnV0b3JzPjxhdXRob3JzPjxhdXRob3I+R2VybG9mZiwgSi48L2F1dGhvcj48YXV0
aG9yPlN1bmRhciwgSS4gSy48L2F1dGhvcj48YXV0aG9yPkZyZXRlciwgUi48L2F1dGhvcj48YXV0
aG9yPlNla2VyYSwgRS4gUi48L2F1dGhvcj48YXV0aG9yPkZyaWVkbWFuLCBBLiBFLjwvYXV0aG9y
PjxhdXRob3I+Um9iaW5zb24sIFIuPC9hdXRob3I+PGF1dGhvcj5QYWdhbm8sIFQuPC9hdXRob3I+
PGF1dGhvcj5SYWhtYW4sIEkuPC9hdXRob3I+PC9hdXRob3JzPjwvY29udHJpYnV0b3JzPjxhdXRo
LWFkZHJlc3M+RGVwYXJ0bWVudCBvZiBFbnZpcm9ubWVudGFsIE1lZGljaW5lLCBVbml2ZXJzaXR5
IG9mIFJvY2hlc3RlciBNZWRpY2FsIENlbnRlciAsIFJvY2hlc3RlciwgTmV3IFlvcmsuJiN4RDtE
ZXBhcnRtZW50IG9mIENoZW1pc3RyeSwgVW5pdmVyc2l0eSBvZiBCdWZmYWxvICwgQnVmZmFsbywg
TmV3IFlvcmsuJiN4RDtEZXBhcnRtZW50IG9mIE1lY2hhbmljYWwgRW5naW5lZXJpbmcsIFJvY2hl
c3RlciBJbnN0aXR1dGUgb2YgVGVjaG5vbG9neS9OYXRpb25hbCBUZWNobmljYWwgSW5zdGl0dXRl
IGZvciB0aGUgRGVhZiAsIFJvY2hlc3RlciwgTmV3IFlvcmsuJiN4RDtEZXBhcnRtZW50IG9mIFNj
aWVuY2UgJmFtcDsgTWF0aGVtYXRpY3MsIFJvY2hlc3RlciBJbnN0aXR1dGUgb2YgVGVjaG5vbG9n
eS9OYXRpb25hbCBUZWNobmljYWwgSW5zdGl0dXRlIGZvciB0aGUgRGVhZiAsIFJvY2hlc3Rlciwg
TmV3IFlvcmsuPC9hdXRoLWFkZHJlc3M+PHRpdGxlcz48dGl0bGU+SW5mbGFtbWF0b3J5IFJlc3Bv
bnNlIGFuZCBCYXJyaWVyIER5c2Z1bmN0aW9uIGJ5IERpZmZlcmVudCBlLUNpZ2FyZXR0ZSBGbGF2
b3JpbmcgQ2hlbWljYWxzIElkZW50aWZpZWQgYnkgR2FzIENocm9tYXRvZ3JhcGh5LU1hc3MgU3Bl
Y3Ryb21ldHJ5IGluIGUtTGlxdWlkcyBhbmQgZS1WYXBvcnMgb24gSHVtYW4gTHVuZyBFcGl0aGVs
aWFsIENlbGxzIGFuZCBGaWJyb2JsYXN0czwvdGl0bGU+PHNlY29uZGFyeS10aXRsZT5BcHBsIElu
IFZpdHJvIFRveGljb2w8L3NlY29uZGFyeS10aXRsZT48YWx0LXRpdGxlPkFwcGxpZWQgaW4gdml0
cm8gdG94aWNvbG9neTwvYWx0LXRpdGxlPjwvdGl0bGVzPjxwZXJpb2RpY2FsPjxmdWxsLXRpdGxl
PkFwcGwgSW4gVml0cm8gVG94aWNvbDwvZnVsbC10aXRsZT48YWJici0xPkFwcGxpZWQgaW4gdml0
cm8gdG94aWNvbG9neTwvYWJici0xPjwvcGVyaW9kaWNhbD48YWx0LXBlcmlvZGljYWw+PGZ1bGwt
dGl0bGU+QXBwbCBJbiBWaXRybyBUb3hpY29sPC9mdWxsLXRpdGxlPjxhYmJyLTE+QXBwbGllZCBp
biB2aXRybyB0b3hpY29sb2d5PC9hYmJyLTE+PC9hbHQtcGVyaW9kaWNhbD48cGFnZXM+MjgtNDA8
L3BhZ2VzPjx2b2x1bWU+Mzwvdm9sdW1lPjxudW1iZXI+MTwvbnVtYmVyPjxlZGl0aW9uPjIwMTcv
MDMvMjU8L2VkaXRpb24+PGtleXdvcmRzPjxrZXl3b3JkPmJhcnJpZXIgZnVuY3Rpb248L2tleXdv
cmQ+PGtleXdvcmQ+ZGlhY2V0eWw8L2tleXdvcmQ+PGtleXdvcmQ+ZWxlY3Ryb25pYyBjaWdhcmV0
dGVzPC9rZXl3b3JkPjxrZXl3b3JkPmZsYXZvcnM8L2tleXdvcmQ+PGtleXdvcmQ+aW5mbGFtbWF0
aW9uPC9rZXl3b3JkPjxrZXl3b3JkPmludGVybGV1a2luLTg8L2tleXdvcmQ+PC9rZXl3b3Jkcz48
ZGF0ZXM+PHllYXI+MjAxNzwveWVhcj48cHViLWRhdGVzPjxkYXRlPk1hciAxPC9kYXRlPjwvcHVi
LWRhdGVzPjwvZGF0ZXM+PGlzYm4+MjMzMi0xNTEyIChQcmludCkmI3hEOzIzMzItMTUxMjwvaXNi
bj48YWNjZXNzaW9uLW51bT4yODMzNzQ2NTwvYWNjZXNzaW9uLW51bT48dXJscz48L3VybHM+PGN1
c3RvbTI+UE1DNTMzODA3NTwvY3VzdG9tMj48ZWxlY3Ryb25pYy1yZXNvdXJjZS1udW0+MTAuMTA4
OS9haXZ0LjIwMTYuMDAzMDwvZWxlY3Ryb25pYy1yZXNvdXJjZS1udW0+PHJlbW90ZS1kYXRhYmFz
ZS1wcm92aWRlcj5OTE08L3JlbW90ZS1kYXRhYmFzZS1wcm92aWRlcj48bGFuZ3VhZ2U+ZW5nPC9s
YW5ndWFnZT48L3JlY29yZD48L0NpdGU+PC9FbmROb3RlPgB=
</w:fldData>
            </w:fldChar>
          </w:r>
          <w:r w:rsidR="00903735">
            <w:instrText xml:space="preserve"> ADDIN EN.CITE.DATA </w:instrText>
          </w:r>
          <w:r w:rsidR="00903735">
            <w:fldChar w:fldCharType="end"/>
          </w:r>
          <w:r>
            <w:fldChar w:fldCharType="separate"/>
          </w:r>
          <w:r>
            <w:rPr>
              <w:noProof/>
            </w:rPr>
            <w:t>(Antherieu, Garat et al. 2017, Bengalli, Ferri et al. 2017, Clapp, Pawlak et al. 2017, Gerloff, Sundar et al. 2017, Muthumalage, Prinz et al. 2017, Ween, Whittall et al. 2017, Crotty Alexander, Drummond et al. 2018)</w:t>
          </w:r>
          <w:r>
            <w:fldChar w:fldCharType="end"/>
          </w:r>
          <w:r>
            <w:t>. Measurements of inflammatory and/or infectious response were identified by increased secretion of pro</w:t>
          </w:r>
          <w:r>
            <w:noBreakHyphen/>
            <w:t xml:space="preserve">inflammatory cytokines, measuring phagocytosis, neutrophil extracellular trap formation and natural killer cells. </w:t>
          </w:r>
        </w:p>
        <w:p w14:paraId="077A8857" w14:textId="77777777" w:rsidR="00A74D41" w:rsidRDefault="00A74D41" w:rsidP="00A74D41">
          <w:pPr>
            <w:pStyle w:val="BodyText"/>
          </w:pPr>
        </w:p>
        <w:p w14:paraId="02CD351F" w14:textId="77777777" w:rsidR="00A74D41" w:rsidRPr="0001347A" w:rsidRDefault="00A74D41" w:rsidP="00A74D41">
          <w:pPr>
            <w:pStyle w:val="Heading3"/>
          </w:pPr>
          <w:r>
            <w:t>Pro-inflammatory cytokines</w:t>
          </w:r>
        </w:p>
        <w:p w14:paraId="157B8CA1" w14:textId="77777777" w:rsidR="00A74D41" w:rsidRDefault="00A74D41" w:rsidP="00A74D41">
          <w:pPr>
            <w:pStyle w:val="BodyText"/>
          </w:pPr>
          <w:r>
            <w:t xml:space="preserve">The most commonly investigated pro-inflammatory cytokine was IL-8. Interestingly, depending on the study IL-8 either increased </w:t>
          </w:r>
          <w:r>
            <w:fldChar w:fldCharType="begin">
              <w:fldData xml:space="preserve">PEVuZE5vdGU+PENpdGU+PEF1dGhvcj5CZW5nYWxsaTwvQXV0aG9yPjxZZWFyPjIwMTc8L1llYXI+
PFJlY051bT44NDg8L1JlY051bT48RGlzcGxheVRleHQ+KEJlbmdhbGxpLCBGZXJyaSBldCBhbC4g
MjAxNywgQ2xhcHAsIFBhd2xhayBldCBhbC4gMjAxNywgV2VlbiwgV2hpdHRhbGwgZXQgYWwuIDIw
MTcsIENyb3R0eSBBbGV4YW5kZXIsIERydW1tb25kIGV0IGFsLiAyMDE4KTwvRGlzcGxheVRleHQ+
PHJlY29yZD48cmVjLW51bWJlcj44NDg8L3JlYy1udW1iZXI+PGZvcmVpZ24ta2V5cz48a2V5IGFw
cD0iRU4iIGRiLWlkPSI5ejA1ZHowcHJhYWRmdWVlMHpveHplZGs5emZlNWZ4eDUwejUiIHRpbWVz
dGFtcD0iMTUyMTUwNjk0MiI+ODQ4PC9rZXk+PGtleSBhcHA9IkVOV2ViIiBkYi1pZD0iIj4wPC9r
ZXk+PC9mb3JlaWduLWtleXM+PHJlZi10eXBlIG5hbWU9IkpvdXJuYWwgQXJ0aWNsZSI+MTc8L3Jl
Zi10eXBlPjxjb250cmlidXRvcnM+PGF1dGhvcnM+PGF1dGhvcj5CZW5nYWxsaSwgUi48L2F1dGhv
cj48YXV0aG9yPkZlcnJpLCBFLjwvYXV0aG9yPjxhdXRob3I+TGFicmEsIE0uPC9hdXRob3I+PGF1
dGhvcj5NYW50ZWNjYSwgUC48L2F1dGhvcj48L2F1dGhvcnM+PC9jb250cmlidXRvcnM+PGF1dGgt
YWRkcmVzcz5EZXBhcnRtZW50IG9mIEVhcnRoIGFuZCBFbnZpcm9ubWVudGFsIFNjaWVuY2VzLCBS
ZXNlYXJjaCBDZW50ZXIgUE9MQVJJUyAoUGFydGljdWxhdGUgTWF0dGVyIGFuZCBIZWFsdGggUmlz
ayksIDEgUGlhenphIGRlbGxhIFNjaWVuemEsIFVuaXZlcnNpdHkgb2YgTWlsYW5vIEJpY29jY2Es
IDIwMTI2IE1pbGFuLCBJdGFseS4gcm9zc2VsbGEuYmVuZ2FsbGlAdW5pbWliLml0LiYjeEQ7VFJV
U1RJQ0VSVCBTUkwsIHZpYSBNYXp6aW5pIDE4L0MsIDIyMDM2IEVyYmEsIEl0YWx5LiBlbWFudWVs
ZS5mZXJyaUB0cnVzdGljZXJ0LmNvbS4mI3hEO0RlcGFydG1lbnQgb2YgQmlvdGVjaG5vbG9neSBh
bmQgQmlvc2NpZW5jZXMsIDIgUGlhenphIGRlbGxhIFNjaWVuemEsIFVuaXZlcnNpdHkgb2YgTWls
YW5vIEJpY29jY2EsIDIwMTI2IE1pbGFuLCBJdGFseS4gbWFzc2ltby5sYWJyYUB1bmltaWIuaXQu
JiN4RDtEZXBhcnRtZW50IG9mIEVhcnRoIGFuZCBFbnZpcm9ubWVudGFsIFNjaWVuY2VzLCBSZXNl
YXJjaCBDZW50ZXIgUE9MQVJJUyAoUGFydGljdWxhdGUgTWF0dGVyIGFuZCBIZWFsdGggUmlzayks
IDEgUGlhenphIGRlbGxhIFNjaWVuemEsIFVuaXZlcnNpdHkgb2YgTWlsYW5vIEJpY29jY2EsIDIw
MTI2IE1pbGFuLCBJdGFseS4gcGFyaWRlLm1hbnRlY2NhQHVuaW1pYi5pdC48L2F1dGgtYWRkcmVz
cz48dGl0bGVzPjx0aXRsZT5MdW5nIFRveGljaXR5IG9mIENvbmRlbnNlZCBBZXJvc29sIGZyb20g
RS1DSUcgTGlxdWlkczogSW5mbHVlbmNlIG9mIHRoZSBGbGF2b3IgYW5kIHRoZSBJbiBWaXRybyBN
b2RlbCBVc2VkPC90aXRsZT48c2Vjb25kYXJ5LXRpdGxlPkludCBKIEVudmlyb24gUmVzIFB1Ymxp
YyBIZWFsdGg8L3NlY29uZGFyeS10aXRsZT48YWx0LXRpdGxlPkludGVybmF0aW9uYWwgam91cm5h
bCBvZiBlbnZpcm9ubWVudGFsIHJlc2VhcmNoIGFuZCBwdWJsaWMgaGVhbHRoPC9hbHQtdGl0bGU+
PC90aXRsZXM+PGFsdC1wZXJpb2RpY2FsPjxmdWxsLXRpdGxlPkludGVybmF0aW9uYWwgSm91cm5h
bCBvZiBFbnZpcm9ubWVudGFsIFJlc2VhcmNoIGFuZCBQdWJsaWMgSGVhbHRoPC9mdWxsLXRpdGxl
PjwvYWx0LXBlcmlvZGljYWw+PHZvbHVtZT4xNDwvdm9sdW1lPjxudW1iZXI+MTA8L251bWJlcj48
ZWRpdGlvbj4yMDE3LzEwLzIxPC9lZGl0aW9uPjxrZXl3b3Jkcz48a2V5d29yZD5jb25kZW5zZWQg
YWVyb3NvbDwva2V5d29yZD48a2V5d29yZD5lLWNpZ2FyZXR0ZTwva2V5d29yZD48a2V5d29yZD5l
LWxpcXVpZDwva2V5d29yZD48a2V5d29yZD5pbiB2aXRybyBzeXN0ZW1zPC9rZXl3b3JkPjxrZXl3
b3JkPmluaGFsYXRpb24gdG94aWNvbG9neTwva2V5d29yZD48L2tleXdvcmRzPjxkYXRlcz48eWVh
cj4yMDE3PC95ZWFyPjxwdWItZGF0ZXM+PGRhdGU+T2N0IDIwPC9kYXRlPjwvcHViLWRhdGVzPjwv
ZGF0ZXM+PGlzYm4+MTY2MC00NjAxPC9pc2JuPjxhY2Nlc3Npb24tbnVtPjI5MDUzNjA2PC9hY2Nl
c3Npb24tbnVtPjx1cmxzPjxyZWxhdGVkLXVybHM+PHVybD5odHRwOi8vd3d3Lm1kcGkuY29tLzE2
NjAtNDYwMS8xNC8xMC8xMjU0L3BkZjwvdXJsPjwvcmVsYXRlZC11cmxzPjwvdXJscz48Y3VzdG9t
Mj5QTUM1NjY0NzU1PC9jdXN0b20yPjxlbGVjdHJvbmljLXJlc291cmNlLW51bT4xMC4zMzkwL2lq
ZXJwaDE0MTAxMjU0PC9lbGVjdHJvbmljLXJlc291cmNlLW51bT48cmVtb3RlLWRhdGFiYXNlLXBy
b3ZpZGVyPk5MTTwvcmVtb3RlLWRhdGFiYXNlLXByb3ZpZGVyPjxsYW5ndWFnZT5lbmc8L2xhbmd1
YWdlPjwvcmVjb3JkPjwvQ2l0ZT48Q2l0ZT48QXV0aG9yPkNyb3R0eSBBbGV4YW5kZXI8L0F1dGhv
cj48WWVhcj4yMDE4PC9ZZWFyPjxSZWNOdW0+NTI3PC9SZWNOdW0+PHJlY29yZD48cmVjLW51bWJl
cj41Mjc8L3JlYy1udW1iZXI+PGZvcmVpZ24ta2V5cz48a2V5IGFwcD0iRU4iIGRiLWlkPSI5ejA1
ZHowcHJhYWRmdWVlMHpveHplZGs5emZlNWZ4eDUwejUiIHRpbWVzdGFtcD0iMTUyMTUwNjg1MCI+
NTI3PC9rZXk+PGtleSBhcHA9IkVOV2ViIiBkYi1pZD0iIj4wPC9rZXk+PC9mb3JlaWduLWtleXM+
PHJlZi10eXBlIG5hbWU9IkpvdXJuYWwgQXJ0aWNsZSI+MTc8L3JlZi10eXBlPjxjb250cmlidXRv
cnM+PGF1dGhvcnM+PGF1dGhvcj5Dcm90dHkgQWxleGFuZGVyLCBMLiBFLjwvYXV0aG9yPjxhdXRo
b3I+RHJ1bW1vbmQsIEMuIEEuPC9hdXRob3I+PGF1dGhvcj5IZXBva29za2ksIE0uPC9hdXRob3I+
PGF1dGhvcj5NYXRoZXcsIEQuIFAuPC9hdXRob3I+PGF1dGhvcj5Nb3NoZW5za3ksIEEuPC9hdXRo
b3I+PGF1dGhvcj5XaWxsZWZvcmQsIEEuPC9hdXRob3I+PGF1dGhvcj5EYXMsIFMuPC9hdXRob3I+
PGF1dGhvcj5TaW5naCwgUC48L2F1dGhvcj48YXV0aG9yPllvbmcsIFouPC9hdXRob3I+PGF1dGhv
cj5MZWUsIEouIEguPC9hdXRob3I+PGF1dGhvcj5WZWdhLCBLLjwvYXV0aG9yPjxhdXRob3I+RHUs
IEEuPC9hdXRob3I+PGF1dGhvcj5TaGluLCBKLjwvYXV0aG9yPjxhdXRob3I+SmF2aWVyLCBDLjwv
YXV0aG9yPjxhdXRob3I+VGlhbiwgSi48L2F1dGhvcj48YXV0aG9yPkJyb3duLCBKLiBILjwvYXV0
aG9yPjxhdXRob3I+QnJlZW4sIEUuIEMuPC9hdXRob3I+PC9hdXRob3JzPjwvY29udHJpYnV0b3Jz
PjxhdXRoLWFkZHJlc3M+TWVkaWNpbmUsIFVDIFNhbiBEaWVnbyBhbmQgVkFTREhTLCBVbml0ZWQg
U3RhdGVzLiYjeEQ7U3VyZ2VyeSBhbmQgTWVkaWNhbCBEZXZpY2UgZWZmaWNhY3ksIE1QSSBSZXNl
YXJjaCwgVW5pdGVkIFN0YXRlcy4mI3hEO01lZGljaW5lLCBEaXZpc2lvbiBvZiBQdWxtb25hcnkg
YW5kIENyaXRpY2FsIENhcmUsIG1oZXBva29za2lAdWNzZC5lZHUsIFVuaXRlZCBTdGF0ZXMuJiN4
RDtNZWRpY2luZSwgVUMgU2FuIERpZWdvIFNjaG9vbCBvZiBNZWRpY2luZS4mI3hEO01lZGljaW5l
LCBVQyBTYW4gRGllZ28gYW5kIFZBU0RIUy4mI3hEO1BoYXJtYWNvbG9neSwgVUNTRC4mI3hEO1Bh
dGhvbG9neSwgVUNTRC4mI3hEO01lZGljaW5lLU5lcGhyb2xvZ3ksIFVDIFNhbiBEaWVnbyBhbmQg
VkFTREhTLCBVbml0ZWQgU3RhdGVzLiYjeEQ7TWVkaWNpbmUsIFVDU0QuJiN4RDtNZWRpY2luZSwg
VW5pdmVyc2l0eSBvZiBUb2xlZG8gSGVhbHRoIFNjaWVuY2UgQ2FtcHVzLCBVbml0ZWQgU3RhdGVz
LiYjeEQ7RGVwYXJ0bWVudCBvZiBQaGFybWFjb2xvZ3kgMDYzNiwgVW5pdmVyc2l0eSBvZiBDYWxp
Zm9ybmlhLCBTYW4gRGllZ28sIFVuaXRlZCBTdGF0ZXMuJiN4RDtNZWRpY2luZSwgVW5pdmVyc2l0
eSBvZiBDYWxpZm9ybmlhLCBTYW4gRGllZ28sIFVuaXRlZCBTdGF0ZXMuPC9hdXRoLWFkZHJlc3M+
PHRpdGxlcz48dGl0bGU+Q2hyb25pYyBJbmhhbGF0aW9uIG9mIEUtQ2lnYXJldHRlIFZhcG9yIENv
bnRhaW5pbmcgTmljb3RpbmUgRGlzcnVwdHMgQWlyd2F5IEJhcnJpZXIgRnVuY3Rpb24gYW5kIElu
ZHVjZXMgU3lzdGVtaWMgSW5mbGFtbWF0aW9uIGFuZCBNdWx0aS1PcmdhbiBGaWJyb3NpcyBpbiBN
aWNlPC90aXRsZT48c2Vjb25kYXJ5LXRpdGxlPkFtIEogUGh5c2lvbCBSZWd1bCBJbnRlZ3IgQ29t
cCBQaHlzaW9sPC9zZWNvbmRhcnktdGl0bGU+PGFsdC10aXRsZT5BbWVyaWNhbiBqb3VybmFsIG9m
IHBoeXNpb2xvZ3kuIFJlZ3VsYXRvcnksIGludGVncmF0aXZlIGFuZCBjb21wYXJhdGl2ZSBwaHlz
aW9sb2d5PC9hbHQtdGl0bGU+PC90aXRsZXM+PHBlcmlvZGljYWw+PGZ1bGwtdGl0bGU+QW0gSiBQ
aHlzaW9sIFJlZ3VsIEludGVnciBDb21wIFBoeXNpb2w8L2Z1bGwtdGl0bGU+PGFiYnItMT5BbWVy
aWNhbiBqb3VybmFsIG9mIHBoeXNpb2xvZ3kuIFJlZ3VsYXRvcnksIGludGVncmF0aXZlIGFuZCBj
b21wYXJhdGl2ZSBwaHlzaW9sb2d5PC9hYmJyLTE+PC9wZXJpb2RpY2FsPjxhbHQtcGVyaW9kaWNh
bD48ZnVsbC10aXRsZT5BbSBKIFBoeXNpb2wgUmVndWwgSW50ZWdyIENvbXAgUGh5c2lvbDwvZnVs
bC10aXRsZT48YWJici0xPkFtZXJpY2FuIGpvdXJuYWwgb2YgcGh5c2lvbG9neS4gUmVndWxhdG9y
eSwgaW50ZWdyYXRpdmUgYW5kIGNvbXBhcmF0aXZlIHBoeXNpb2xvZ3k8L2FiYnItMT48L2FsdC1w
ZXJpb2RpY2FsPjxlZGl0aW9uPjIwMTgvMDIvMDE8L2VkaXRpb24+PGtleXdvcmRzPjxrZXl3b3Jk
PmNhcmRpb3JlbmFsIGR5c2Z1bmN0aW9uPC9rZXl3b3JkPjxrZXl3b3JkPmVsZWN0cm9uaWMgY2ln
YXJldHRlPC9rZXl3b3JkPjxrZXl3b3JkPmZpYnJvc2lzPC9rZXl3b3JkPjxrZXl3b3JkPmluZmxh
bW1hdGlvbjwva2V5d29yZD48a2V5d29yZD5uaWNvdGluZTwva2V5d29yZD48L2tleXdvcmRzPjxk
YXRlcz48eWVhcj4yMDE4PC95ZWFyPjxwdWItZGF0ZXM+PGRhdGU+SmFuIDMxPC9kYXRlPjwvcHVi
LWRhdGVzPjwvZGF0ZXM+PGlzYm4+MDM2My02MTE5PC9pc2JuPjxhY2Nlc3Npb24tbnVtPjI5Mzg0
NzAwPC9hY2Nlc3Npb24tbnVtPjx1cmxzPjwvdXJscz48ZWxlY3Ryb25pYy1yZXNvdXJjZS1udW0+
MTAuMTE1Mi9hanByZWd1LjAwMjcwLjIwMTc8L2VsZWN0cm9uaWMtcmVzb3VyY2UtbnVtPjxyZW1v
dGUtZGF0YWJhc2UtcHJvdmlkZXI+TkxNPC9yZW1vdGUtZGF0YWJhc2UtcHJvdmlkZXI+PGxhbmd1
YWdlPmVuZzwvbGFuZ3VhZ2U+PC9yZWNvcmQ+PC9DaXRlPjxDaXRlPjxBdXRob3I+V2VlbjwvQXV0
aG9yPjxZZWFyPjIwMTc8L1llYXI+PFJlY051bT4xMjI0NTwvUmVjTnVtPjxyZWNvcmQ+PHJlYy1u
dW1iZXI+MTIyNDU8L3JlYy1udW1iZXI+PGZvcmVpZ24ta2V5cz48a2V5IGFwcD0iRU4iIGRiLWlk
PSI1eHY1dzV0MmJkeHR4ZmV6eDAyeHR4ZGZ0NXJ6NXB0dnZ0MjkiIHRpbWVzdGFtcD0iMTUyMzg2
NzkyNSI+MTIyNDU8L2tleT48a2V5IGFwcD0iRU5XZWIiIGRiLWlkPSIiPjA8L2tleT48L2ZvcmVp
Z24ta2V5cz48cmVmLXR5cGUgbmFtZT0iSm91cm5hbCBBcnRpY2xlIj4xNzwvcmVmLXR5cGU+PGNv
bnRyaWJ1dG9ycz48YXV0aG9ycz48YXV0aG9yPldlZW4sIE0uIFAuPC9hdXRob3I+PGF1dGhvcj5X
aGl0dGFsbCwgSi4gSi48L2F1dGhvcj48YXV0aG9yPkhhbW9uLCBSLjwvYXV0aG9yPjxhdXRob3I+
UmV5bm9sZHMsIFAuIE4uPC9hdXRob3I+PGF1dGhvcj5Ib2RnZSwgUy4gSi48L2F1dGhvcj48L2F1
dGhvcnM+PC9jb250cmlidXRvcnM+PGF1dGgtYWRkcmVzcz5EZXBhcnRtZW50IG9mIFRob3JhY2lj
IE1lZGljaW5lLCBSb3lhbCBBZGVsYWlkZSBIb3NwaXRhbCwgQWRlbGFpZGUsIEF1c3RyYWxpYSBN
aXJhbmRhLndlZW5AYWRlbGFpZGUuZWR1LmF1LiYjeEQ7U2Nob29sIG9mIE1lZGljaW5lLCBVbml2
ZXJzaXR5IG9mIEFkZWxhaWRlLCBBZGVsYWlkZSwgQXVzdHJhbGlhLiYjeEQ7RGVwYXJ0bWVudCBv
ZiBUaG9yYWNpYyBNZWRpY2luZSwgUm95YWwgQWRlbGFpZGUgSG9zcGl0YWwsIEFkZWxhaWRlLCBB
dXN0cmFsaWEuPC9hdXRoLWFkZHJlc3M+PHRpdGxlcz48dGl0bGU+UGhhZ29jeXRvc2lzIGFuZCBJ
bmZsYW1tYXRpb246IEV4cGxvcmluZyB0aGUgZWZmZWN0cyBvZiB0aGUgY29tcG9uZW50cyBvZiBF
LWNpZ2FyZXR0ZSB2YXBvciBvbiBtYWNyb3BoYWdlczwvdGl0bGU+PHNlY29uZGFyeS10aXRsZT5Q
aHlzaW9sIFJlcDwvc2Vjb25kYXJ5LXRpdGxlPjxhbHQtdGl0bGU+UGh5c2lvbG9naWNhbCByZXBv
cnRzPC9hbHQtdGl0bGU+PC90aXRsZXM+PHBlcmlvZGljYWw+PGZ1bGwtdGl0bGU+UGh5c2lvbCBS
ZXA8L2Z1bGwtdGl0bGU+PGFiYnItMT5QaHlzaW9sb2dpY2FsIHJlcG9ydHM8L2FiYnItMT48L3Bl
cmlvZGljYWw+PGFsdC1wZXJpb2RpY2FsPjxmdWxsLXRpdGxlPlBoeXNpb2wgUmVwPC9mdWxsLXRp
dGxlPjxhYmJyLTE+UGh5c2lvbG9naWNhbCByZXBvcnRzPC9hYmJyLTE+PC9hbHQtcGVyaW9kaWNh
bD48dm9sdW1lPjU8L3ZvbHVtZT48bnVtYmVyPjE2PC9udW1iZXI+PGVkaXRpb24+MjAxNy8wOS8w
NTwvZWRpdGlvbj48a2V5d29yZHM+PGtleXdvcmQ+RS1jaWdhcmV0dGVzPC9rZXl3b3JkPjxrZXl3
b3JkPmN5dG9raW5lczwva2V5d29yZD48a2V5d29yZD5pbmZsYW1tYXRpb248L2tleXdvcmQ+PGtl
eXdvcmQ+bWFjcm9waGFnZXM8L2tleXdvcmQ+PGtleXdvcmQ+cGhhZ29jeXRvc2lzPC9rZXl3b3Jk
Pjwva2V5d29yZHM+PGRhdGVzPjx5ZWFyPjIwMTc8L3llYXI+PHB1Yi1kYXRlcz48ZGF0ZT5BdWc8
L2RhdGU+PC9wdWItZGF0ZXM+PC9kYXRlcz48aXNibj4yMDUxLTgxN3g8L2lzYm4+PGFjY2Vzc2lv
bi1udW0+Mjg4Njc2NzI8L2FjY2Vzc2lvbi1udW0+PHVybHM+PHJlbGF0ZWQtdXJscz48dXJsPmh0
dHBzOi8vcGh5c29jLm9ubGluZWxpYnJhcnkud2lsZXkuY29tL2RvaS9wZGYvMTAuMTQ4MTQvcGh5
Mi4xMzM3MDwvdXJsPjwvcmVsYXRlZC11cmxzPjwvdXJscz48Y3VzdG9tMj5QTUM1NTgyMjYxPC9j
dXN0b20yPjxlbGVjdHJvbmljLXJlc291cmNlLW51bT4xMC4xNDgxNC9waHkyLjEzMzcwPC9lbGVj
dHJvbmljLXJlc291cmNlLW51bT48cmVtb3RlLWRhdGFiYXNlLXByb3ZpZGVyPk5MTTwvcmVtb3Rl
LWRhdGFiYXNlLXByb3ZpZGVyPjxsYW5ndWFnZT5lbmc8L2xhbmd1YWdlPjwvcmVjb3JkPjwvQ2l0
ZT48Q2l0ZT48QXV0aG9yPkNsYXBwPC9BdXRob3I+PFllYXI+MjAxNzwvWWVhcj48UmVjTnVtPjEx
NTU8L1JlY051bT48cmVjb3JkPjxyZWMtbnVtYmVyPjExNTU8L3JlYy1udW1iZXI+PGZvcmVpZ24t
a2V5cz48a2V5IGFwcD0iRU4iIGRiLWlkPSI5ejA1ZHowcHJhYWRmdWVlMHpveHplZGs5emZlNWZ4
eDUwejUiIHRpbWVzdGFtcD0iMTUyMTUwNzAxMyI+MTE1NTwva2V5PjxrZXkgYXBwPSJFTldlYiIg
ZGItaWQ9IiI+MDwva2V5PjwvZm9yZWlnbi1rZXlzPjxyZWYtdHlwZSBuYW1lPSJKb3VybmFsIEFy
dGljbGUiPjE3PC9yZWYtdHlwZT48Y29udHJpYnV0b3JzPjxhdXRob3JzPjxhdXRob3I+Q2xhcHAs
IFAuIFcuPC9hdXRob3I+PGF1dGhvcj5QYXdsYWssIEUuIEEuPC9hdXRob3I+PGF1dGhvcj5MYWNr
ZXksIEouIFQuPC9hdXRob3I+PGF1dGhvcj5LZWF0aW5nLCBKLiBFLjwvYXV0aG9yPjxhdXRob3I+
UmVlYmVyLCBTLiBMLjwvYXV0aG9yPjxhdXRob3I+R2xpc2gsIEcuIEwuPC9hdXRob3I+PGF1dGhv
cj5KYXNwZXJzLCBJLjwvYXV0aG9yPjwvYXV0aG9ycz48L2NvbnRyaWJ1dG9ycz48YXV0aC1hZGRy
ZXNzPkN1cnJpY3VsdW0gaW4gVG94aWNvbG9neSwgU2Nob29sIG9mIE1lZGljaW5lLCBVbml2ZXJz
aXR5IG9mIE5vcnRoIENhcm9saW5hLCBDaGFwZWwgSGlsbCwgTm9ydGggQ2Fyb2xpbmEuJiN4RDtD
ZW50ZXIgZm9yIEVudmlyb25tZW50YWwgTWVkaWNpbmUsIEFzdGhtYSwgYW5kIEx1bmcgQmlvbG9n
eSwgU2Nob29sIG9mIE1lZGljaW5lLCBVbml2ZXJzaXR5IG9mIE5vcnRoIENhcm9saW5hLCBDaGFw
ZWwgSGlsbCwgTm9ydGggQ2Fyb2xpbmE7IGFuZC4mI3hEO0RlcGFydG1lbnQgb2YgQ2hlbWlzdHJ5
LCBVbml2ZXJzaXR5IG9mIE5vcnRoIENhcm9saW5hLCBDaGFwZWwgSGlsbCwgTm9ydGggQ2Fyb2xp
bmEuJiN4RDtDdXJyaWN1bHVtIGluIFRveGljb2xvZ3ksIFNjaG9vbCBvZiBNZWRpY2luZSwgVW5p
dmVyc2l0eSBvZiBOb3J0aCBDYXJvbGluYSwgQ2hhcGVsIEhpbGwsIE5vcnRoIENhcm9saW5hOyBp
bG9uYV9qYXNwZXJzQG1lZC51bmMuZWR1LjwvYXV0aC1hZGRyZXNzPjx0aXRsZXM+PHRpdGxlPkZs
YXZvcmVkIGUtY2lnYXJldHRlIGxpcXVpZHMgYW5kIGNpbm5hbWFsZGVoeWRlIGltcGFpciByZXNw
aXJhdG9yeSBpbm5hdGUgaW1tdW5lIGNlbGwgZnVuY3Rpb248L3RpdGxlPjxzZWNvbmRhcnktdGl0
bGU+QW0gSiBQaHlzaW9sIEx1bmcgQ2VsbCBNb2wgUGh5c2lvbDwvc2Vjb25kYXJ5LXRpdGxlPjxh
bHQtdGl0bGU+QW1lcmljYW4gam91cm5hbCBvZiBwaHlzaW9sb2d5LiBMdW5nIGNlbGx1bGFyIGFu
ZCBtb2xlY3VsYXIgcGh5c2lvbG9neTwvYWx0LXRpdGxlPjwvdGl0bGVzPjxwZXJpb2RpY2FsPjxm
dWxsLXRpdGxlPkFtIEogUGh5c2lvbCBMdW5nIENlbGwgTW9sIFBoeXNpb2w8L2Z1bGwtdGl0bGU+
PGFiYnItMT5BbWVyaWNhbiBqb3VybmFsIG9mIHBoeXNpb2xvZ3kuIEx1bmcgY2VsbHVsYXIgYW5k
IG1vbGVjdWxhciBwaHlzaW9sb2d5PC9hYmJyLTE+PC9wZXJpb2RpY2FsPjxhbHQtcGVyaW9kaWNh
bD48ZnVsbC10aXRsZT5BbSBKIFBoeXNpb2wgTHVuZyBDZWxsIE1vbCBQaHlzaW9sPC9mdWxsLXRp
dGxlPjxhYmJyLTE+QW1lcmljYW4gam91cm5hbCBvZiBwaHlzaW9sb2d5LiBMdW5nIGNlbGx1bGFy
IGFuZCBtb2xlY3VsYXIgcGh5c2lvbG9neTwvYWJici0xPjwvYWx0LXBlcmlvZGljYWw+PHBhZ2Vz
PkwyNzgtbDI5MjwvcGFnZXM+PHZvbHVtZT4zMTM8L3ZvbHVtZT48bnVtYmVyPjI8L251bWJlcj48
ZWRpdGlvbj4yMDE3LzA1LzEzPC9lZGl0aW9uPjxrZXl3b3Jkcz48a2V5d29yZD5BY3JvbGVpbi9h
ZHZlcnNlIGVmZmVjdHMvKmFuYWxvZ3MgJmFtcDsgZGVyaXZhdGl2ZXM8L2tleXdvcmQ+PGtleXdv
cmQ+QWRvbGVzY2VudDwva2V5d29yZD48a2V5d29yZD5BZHVsdDwva2V5d29yZD48a2V5d29yZD5F
bGVjdHJvbmljIE5pY290aW5lIERlbGl2ZXJ5IFN5c3RlbXMvKmFkdmVyc2UgZWZmZWN0czwva2V5
d29yZD48a2V5d29yZD5GZW1hbGU8L2tleXdvcmQ+PGtleXdvcmQ+SHVtYW5zPC9rZXl3b3JkPjxr
ZXl3b3JkPkltbXVuaXR5LCBJbm5hdGUvKmRydWcgZWZmZWN0czwva2V5d29yZD48a2V5d29yZD5J
bmZsYW1tYXRpb24vY2hlbWljYWxseSBpbmR1Y2VkPC9rZXl3b3JkPjxrZXl3b3JkPktpbGxlciBD
ZWxscywgTmF0dXJhbC9kcnVnIGVmZmVjdHM8L2tleXdvcmQ+PGtleXdvcmQ+TWFjcm9waGFnZXMv
ZHJ1ZyBlZmZlY3RzPC9rZXl3b3JkPjxrZXl3b3JkPk1hbGU8L2tleXdvcmQ+PGtleXdvcmQ+TWlk
ZGxlIEFnZWQ8L2tleXdvcmQ+PGtleXdvcmQ+TmV1dHJvcGhpbHMvZHJ1ZyBlZmZlY3RzPC9rZXl3
b3JkPjxrZXl3b3JkPk5pY290aW5lL2FkdmVyc2UgZWZmZWN0czwva2V5d29yZD48a2V5d29yZD5Q
aGFnb2N5dG9zaXMvZHJ1ZyBlZmZlY3RzPC9rZXl3b3JkPjxrZXl3b3JkPllvdW5nIEFkdWx0PC9r
ZXl3b3JkPjxrZXl3b3JkPmNpbm5hbWFsZGVoeWRlPC9rZXl3b3JkPjxrZXl3b3JkPmUtY2lnYXJl
dHRlPC9rZXl3b3JkPjxrZXl3b3JkPmUtbGlxdWlkPC9rZXl3b3JkPjxrZXl3b3JkPmlubmF0ZSBp
bW11bmUgY2VsbCBmdW5jdGlvbjwva2V5d29yZD48L2tleXdvcmRzPjxkYXRlcz48eWVhcj4yMDE3
PC95ZWFyPjxwdWItZGF0ZXM+PGRhdGU+QXVnIDE8L2RhdGU+PC9wdWItZGF0ZXM+PC9kYXRlcz48
aXNibj4xMDQwLTA2MDU8L2lzYm4+PGFjY2Vzc2lvbi1udW0+Mjg0OTU4NTY8L2FjY2Vzc2lvbi1u
dW0+PHVybHM+PC91cmxzPjxjdXN0b20yPlBNQzU1ODI5Mjk8L2N1c3RvbTI+PGVsZWN0cm9uaWMt
cmVzb3VyY2UtbnVtPjEwLjExNTIvYWpwbHVuZy4wMDQ1Mi4yMDE2PC9lbGVjdHJvbmljLXJlc291
cmNlLW51bT48cmVtb3RlLWRhdGFiYXNlLXByb3ZpZGVyPk5MTTwvcmVtb3RlLWRhdGFiYXNlLXBy
b3ZpZGVyPjxsYW5ndWFnZT5lbmc8L2xhbmd1YWdlPjwvcmVjb3JkPjwvQ2l0ZT48L0VuZE5vdGU+
AG==
</w:fldData>
            </w:fldChar>
          </w:r>
          <w:r w:rsidR="00903735">
            <w:instrText xml:space="preserve"> ADDIN EN.CITE </w:instrText>
          </w:r>
          <w:r w:rsidR="00903735">
            <w:fldChar w:fldCharType="begin">
              <w:fldData xml:space="preserve">PEVuZE5vdGU+PENpdGU+PEF1dGhvcj5CZW5nYWxsaTwvQXV0aG9yPjxZZWFyPjIwMTc8L1llYXI+
PFJlY051bT44NDg8L1JlY051bT48RGlzcGxheVRleHQ+KEJlbmdhbGxpLCBGZXJyaSBldCBhbC4g
MjAxNywgQ2xhcHAsIFBhd2xhayBldCBhbC4gMjAxNywgV2VlbiwgV2hpdHRhbGwgZXQgYWwuIDIw
MTcsIENyb3R0eSBBbGV4YW5kZXIsIERydW1tb25kIGV0IGFsLiAyMDE4KTwvRGlzcGxheVRleHQ+
PHJlY29yZD48cmVjLW51bWJlcj44NDg8L3JlYy1udW1iZXI+PGZvcmVpZ24ta2V5cz48a2V5IGFw
cD0iRU4iIGRiLWlkPSI5ejA1ZHowcHJhYWRmdWVlMHpveHplZGs5emZlNWZ4eDUwejUiIHRpbWVz
dGFtcD0iMTUyMTUwNjk0MiI+ODQ4PC9rZXk+PGtleSBhcHA9IkVOV2ViIiBkYi1pZD0iIj4wPC9r
ZXk+PC9mb3JlaWduLWtleXM+PHJlZi10eXBlIG5hbWU9IkpvdXJuYWwgQXJ0aWNsZSI+MTc8L3Jl
Zi10eXBlPjxjb250cmlidXRvcnM+PGF1dGhvcnM+PGF1dGhvcj5CZW5nYWxsaSwgUi48L2F1dGhv
cj48YXV0aG9yPkZlcnJpLCBFLjwvYXV0aG9yPjxhdXRob3I+TGFicmEsIE0uPC9hdXRob3I+PGF1
dGhvcj5NYW50ZWNjYSwgUC48L2F1dGhvcj48L2F1dGhvcnM+PC9jb250cmlidXRvcnM+PGF1dGgt
YWRkcmVzcz5EZXBhcnRtZW50IG9mIEVhcnRoIGFuZCBFbnZpcm9ubWVudGFsIFNjaWVuY2VzLCBS
ZXNlYXJjaCBDZW50ZXIgUE9MQVJJUyAoUGFydGljdWxhdGUgTWF0dGVyIGFuZCBIZWFsdGggUmlz
ayksIDEgUGlhenphIGRlbGxhIFNjaWVuemEsIFVuaXZlcnNpdHkgb2YgTWlsYW5vIEJpY29jY2Es
IDIwMTI2IE1pbGFuLCBJdGFseS4gcm9zc2VsbGEuYmVuZ2FsbGlAdW5pbWliLml0LiYjeEQ7VFJV
U1RJQ0VSVCBTUkwsIHZpYSBNYXp6aW5pIDE4L0MsIDIyMDM2IEVyYmEsIEl0YWx5LiBlbWFudWVs
ZS5mZXJyaUB0cnVzdGljZXJ0LmNvbS4mI3hEO0RlcGFydG1lbnQgb2YgQmlvdGVjaG5vbG9neSBh
bmQgQmlvc2NpZW5jZXMsIDIgUGlhenphIGRlbGxhIFNjaWVuemEsIFVuaXZlcnNpdHkgb2YgTWls
YW5vIEJpY29jY2EsIDIwMTI2IE1pbGFuLCBJdGFseS4gbWFzc2ltby5sYWJyYUB1bmltaWIuaXQu
JiN4RDtEZXBhcnRtZW50IG9mIEVhcnRoIGFuZCBFbnZpcm9ubWVudGFsIFNjaWVuY2VzLCBSZXNl
YXJjaCBDZW50ZXIgUE9MQVJJUyAoUGFydGljdWxhdGUgTWF0dGVyIGFuZCBIZWFsdGggUmlzayks
IDEgUGlhenphIGRlbGxhIFNjaWVuemEsIFVuaXZlcnNpdHkgb2YgTWlsYW5vIEJpY29jY2EsIDIw
MTI2IE1pbGFuLCBJdGFseS4gcGFyaWRlLm1hbnRlY2NhQHVuaW1pYi5pdC48L2F1dGgtYWRkcmVz
cz48dGl0bGVzPjx0aXRsZT5MdW5nIFRveGljaXR5IG9mIENvbmRlbnNlZCBBZXJvc29sIGZyb20g
RS1DSUcgTGlxdWlkczogSW5mbHVlbmNlIG9mIHRoZSBGbGF2b3IgYW5kIHRoZSBJbiBWaXRybyBN
b2RlbCBVc2VkPC90aXRsZT48c2Vjb25kYXJ5LXRpdGxlPkludCBKIEVudmlyb24gUmVzIFB1Ymxp
YyBIZWFsdGg8L3NlY29uZGFyeS10aXRsZT48YWx0LXRpdGxlPkludGVybmF0aW9uYWwgam91cm5h
bCBvZiBlbnZpcm9ubWVudGFsIHJlc2VhcmNoIGFuZCBwdWJsaWMgaGVhbHRoPC9hbHQtdGl0bGU+
PC90aXRsZXM+PGFsdC1wZXJpb2RpY2FsPjxmdWxsLXRpdGxlPkludGVybmF0aW9uYWwgSm91cm5h
bCBvZiBFbnZpcm9ubWVudGFsIFJlc2VhcmNoIGFuZCBQdWJsaWMgSGVhbHRoPC9mdWxsLXRpdGxl
PjwvYWx0LXBlcmlvZGljYWw+PHZvbHVtZT4xNDwvdm9sdW1lPjxudW1iZXI+MTA8L251bWJlcj48
ZWRpdGlvbj4yMDE3LzEwLzIxPC9lZGl0aW9uPjxrZXl3b3Jkcz48a2V5d29yZD5jb25kZW5zZWQg
YWVyb3NvbDwva2V5d29yZD48a2V5d29yZD5lLWNpZ2FyZXR0ZTwva2V5d29yZD48a2V5d29yZD5l
LWxpcXVpZDwva2V5d29yZD48a2V5d29yZD5pbiB2aXRybyBzeXN0ZW1zPC9rZXl3b3JkPjxrZXl3
b3JkPmluaGFsYXRpb24gdG94aWNvbG9neTwva2V5d29yZD48L2tleXdvcmRzPjxkYXRlcz48eWVh
cj4yMDE3PC95ZWFyPjxwdWItZGF0ZXM+PGRhdGU+T2N0IDIwPC9kYXRlPjwvcHViLWRhdGVzPjwv
ZGF0ZXM+PGlzYm4+MTY2MC00NjAxPC9pc2JuPjxhY2Nlc3Npb24tbnVtPjI5MDUzNjA2PC9hY2Nl
c3Npb24tbnVtPjx1cmxzPjxyZWxhdGVkLXVybHM+PHVybD5odHRwOi8vd3d3Lm1kcGkuY29tLzE2
NjAtNDYwMS8xNC8xMC8xMjU0L3BkZjwvdXJsPjwvcmVsYXRlZC11cmxzPjwvdXJscz48Y3VzdG9t
Mj5QTUM1NjY0NzU1PC9jdXN0b20yPjxlbGVjdHJvbmljLXJlc291cmNlLW51bT4xMC4zMzkwL2lq
ZXJwaDE0MTAxMjU0PC9lbGVjdHJvbmljLXJlc291cmNlLW51bT48cmVtb3RlLWRhdGFiYXNlLXBy
b3ZpZGVyPk5MTTwvcmVtb3RlLWRhdGFiYXNlLXByb3ZpZGVyPjxsYW5ndWFnZT5lbmc8L2xhbmd1
YWdlPjwvcmVjb3JkPjwvQ2l0ZT48Q2l0ZT48QXV0aG9yPkNyb3R0eSBBbGV4YW5kZXI8L0F1dGhv
cj48WWVhcj4yMDE4PC9ZZWFyPjxSZWNOdW0+NTI3PC9SZWNOdW0+PHJlY29yZD48cmVjLW51bWJl
cj41Mjc8L3JlYy1udW1iZXI+PGZvcmVpZ24ta2V5cz48a2V5IGFwcD0iRU4iIGRiLWlkPSI5ejA1
ZHowcHJhYWRmdWVlMHpveHplZGs5emZlNWZ4eDUwejUiIHRpbWVzdGFtcD0iMTUyMTUwNjg1MCI+
NTI3PC9rZXk+PGtleSBhcHA9IkVOV2ViIiBkYi1pZD0iIj4wPC9rZXk+PC9mb3JlaWduLWtleXM+
PHJlZi10eXBlIG5hbWU9IkpvdXJuYWwgQXJ0aWNsZSI+MTc8L3JlZi10eXBlPjxjb250cmlidXRv
cnM+PGF1dGhvcnM+PGF1dGhvcj5Dcm90dHkgQWxleGFuZGVyLCBMLiBFLjwvYXV0aG9yPjxhdXRo
b3I+RHJ1bW1vbmQsIEMuIEEuPC9hdXRob3I+PGF1dGhvcj5IZXBva29za2ksIE0uPC9hdXRob3I+
PGF1dGhvcj5NYXRoZXcsIEQuIFAuPC9hdXRob3I+PGF1dGhvcj5Nb3NoZW5za3ksIEEuPC9hdXRo
b3I+PGF1dGhvcj5XaWxsZWZvcmQsIEEuPC9hdXRob3I+PGF1dGhvcj5EYXMsIFMuPC9hdXRob3I+
PGF1dGhvcj5TaW5naCwgUC48L2F1dGhvcj48YXV0aG9yPllvbmcsIFouPC9hdXRob3I+PGF1dGhv
cj5MZWUsIEouIEguPC9hdXRob3I+PGF1dGhvcj5WZWdhLCBLLjwvYXV0aG9yPjxhdXRob3I+RHUs
IEEuPC9hdXRob3I+PGF1dGhvcj5TaGluLCBKLjwvYXV0aG9yPjxhdXRob3I+SmF2aWVyLCBDLjwv
YXV0aG9yPjxhdXRob3I+VGlhbiwgSi48L2F1dGhvcj48YXV0aG9yPkJyb3duLCBKLiBILjwvYXV0
aG9yPjxhdXRob3I+QnJlZW4sIEUuIEMuPC9hdXRob3I+PC9hdXRob3JzPjwvY29udHJpYnV0b3Jz
PjxhdXRoLWFkZHJlc3M+TWVkaWNpbmUsIFVDIFNhbiBEaWVnbyBhbmQgVkFTREhTLCBVbml0ZWQg
U3RhdGVzLiYjeEQ7U3VyZ2VyeSBhbmQgTWVkaWNhbCBEZXZpY2UgZWZmaWNhY3ksIE1QSSBSZXNl
YXJjaCwgVW5pdGVkIFN0YXRlcy4mI3hEO01lZGljaW5lLCBEaXZpc2lvbiBvZiBQdWxtb25hcnkg
YW5kIENyaXRpY2FsIENhcmUsIG1oZXBva29za2lAdWNzZC5lZHUsIFVuaXRlZCBTdGF0ZXMuJiN4
RDtNZWRpY2luZSwgVUMgU2FuIERpZWdvIFNjaG9vbCBvZiBNZWRpY2luZS4mI3hEO01lZGljaW5l
LCBVQyBTYW4gRGllZ28gYW5kIFZBU0RIUy4mI3hEO1BoYXJtYWNvbG9neSwgVUNTRC4mI3hEO1Bh
dGhvbG9neSwgVUNTRC4mI3hEO01lZGljaW5lLU5lcGhyb2xvZ3ksIFVDIFNhbiBEaWVnbyBhbmQg
VkFTREhTLCBVbml0ZWQgU3RhdGVzLiYjeEQ7TWVkaWNpbmUsIFVDU0QuJiN4RDtNZWRpY2luZSwg
VW5pdmVyc2l0eSBvZiBUb2xlZG8gSGVhbHRoIFNjaWVuY2UgQ2FtcHVzLCBVbml0ZWQgU3RhdGVz
LiYjeEQ7RGVwYXJ0bWVudCBvZiBQaGFybWFjb2xvZ3kgMDYzNiwgVW5pdmVyc2l0eSBvZiBDYWxp
Zm9ybmlhLCBTYW4gRGllZ28sIFVuaXRlZCBTdGF0ZXMuJiN4RDtNZWRpY2luZSwgVW5pdmVyc2l0
eSBvZiBDYWxpZm9ybmlhLCBTYW4gRGllZ28sIFVuaXRlZCBTdGF0ZXMuPC9hdXRoLWFkZHJlc3M+
PHRpdGxlcz48dGl0bGU+Q2hyb25pYyBJbmhhbGF0aW9uIG9mIEUtQ2lnYXJldHRlIFZhcG9yIENv
bnRhaW5pbmcgTmljb3RpbmUgRGlzcnVwdHMgQWlyd2F5IEJhcnJpZXIgRnVuY3Rpb24gYW5kIElu
ZHVjZXMgU3lzdGVtaWMgSW5mbGFtbWF0aW9uIGFuZCBNdWx0aS1PcmdhbiBGaWJyb3NpcyBpbiBN
aWNlPC90aXRsZT48c2Vjb25kYXJ5LXRpdGxlPkFtIEogUGh5c2lvbCBSZWd1bCBJbnRlZ3IgQ29t
cCBQaHlzaW9sPC9zZWNvbmRhcnktdGl0bGU+PGFsdC10aXRsZT5BbWVyaWNhbiBqb3VybmFsIG9m
IHBoeXNpb2xvZ3kuIFJlZ3VsYXRvcnksIGludGVncmF0aXZlIGFuZCBjb21wYXJhdGl2ZSBwaHlz
aW9sb2d5PC9hbHQtdGl0bGU+PC90aXRsZXM+PHBlcmlvZGljYWw+PGZ1bGwtdGl0bGU+QW0gSiBQ
aHlzaW9sIFJlZ3VsIEludGVnciBDb21wIFBoeXNpb2w8L2Z1bGwtdGl0bGU+PGFiYnItMT5BbWVy
aWNhbiBqb3VybmFsIG9mIHBoeXNpb2xvZ3kuIFJlZ3VsYXRvcnksIGludGVncmF0aXZlIGFuZCBj
b21wYXJhdGl2ZSBwaHlzaW9sb2d5PC9hYmJyLTE+PC9wZXJpb2RpY2FsPjxhbHQtcGVyaW9kaWNh
bD48ZnVsbC10aXRsZT5BbSBKIFBoeXNpb2wgUmVndWwgSW50ZWdyIENvbXAgUGh5c2lvbDwvZnVs
bC10aXRsZT48YWJici0xPkFtZXJpY2FuIGpvdXJuYWwgb2YgcGh5c2lvbG9neS4gUmVndWxhdG9y
eSwgaW50ZWdyYXRpdmUgYW5kIGNvbXBhcmF0aXZlIHBoeXNpb2xvZ3k8L2FiYnItMT48L2FsdC1w
ZXJpb2RpY2FsPjxlZGl0aW9uPjIwMTgvMDIvMDE8L2VkaXRpb24+PGtleXdvcmRzPjxrZXl3b3Jk
PmNhcmRpb3JlbmFsIGR5c2Z1bmN0aW9uPC9rZXl3b3JkPjxrZXl3b3JkPmVsZWN0cm9uaWMgY2ln
YXJldHRlPC9rZXl3b3JkPjxrZXl3b3JkPmZpYnJvc2lzPC9rZXl3b3JkPjxrZXl3b3JkPmluZmxh
bW1hdGlvbjwva2V5d29yZD48a2V5d29yZD5uaWNvdGluZTwva2V5d29yZD48L2tleXdvcmRzPjxk
YXRlcz48eWVhcj4yMDE4PC95ZWFyPjxwdWItZGF0ZXM+PGRhdGU+SmFuIDMxPC9kYXRlPjwvcHVi
LWRhdGVzPjwvZGF0ZXM+PGlzYm4+MDM2My02MTE5PC9pc2JuPjxhY2Nlc3Npb24tbnVtPjI5Mzg0
NzAwPC9hY2Nlc3Npb24tbnVtPjx1cmxzPjwvdXJscz48ZWxlY3Ryb25pYy1yZXNvdXJjZS1udW0+
MTAuMTE1Mi9hanByZWd1LjAwMjcwLjIwMTc8L2VsZWN0cm9uaWMtcmVzb3VyY2UtbnVtPjxyZW1v
dGUtZGF0YWJhc2UtcHJvdmlkZXI+TkxNPC9yZW1vdGUtZGF0YWJhc2UtcHJvdmlkZXI+PGxhbmd1
YWdlPmVuZzwvbGFuZ3VhZ2U+PC9yZWNvcmQ+PC9DaXRlPjxDaXRlPjxBdXRob3I+V2VlbjwvQXV0
aG9yPjxZZWFyPjIwMTc8L1llYXI+PFJlY051bT4xMjI0NTwvUmVjTnVtPjxyZWNvcmQ+PHJlYy1u
dW1iZXI+MTIyNDU8L3JlYy1udW1iZXI+PGZvcmVpZ24ta2V5cz48a2V5IGFwcD0iRU4iIGRiLWlk
PSI1eHY1dzV0MmJkeHR4ZmV6eDAyeHR4ZGZ0NXJ6NXB0dnZ0MjkiIHRpbWVzdGFtcD0iMTUyMzg2
NzkyNSI+MTIyNDU8L2tleT48a2V5IGFwcD0iRU5XZWIiIGRiLWlkPSIiPjA8L2tleT48L2ZvcmVp
Z24ta2V5cz48cmVmLXR5cGUgbmFtZT0iSm91cm5hbCBBcnRpY2xlIj4xNzwvcmVmLXR5cGU+PGNv
bnRyaWJ1dG9ycz48YXV0aG9ycz48YXV0aG9yPldlZW4sIE0uIFAuPC9hdXRob3I+PGF1dGhvcj5X
aGl0dGFsbCwgSi4gSi48L2F1dGhvcj48YXV0aG9yPkhhbW9uLCBSLjwvYXV0aG9yPjxhdXRob3I+
UmV5bm9sZHMsIFAuIE4uPC9hdXRob3I+PGF1dGhvcj5Ib2RnZSwgUy4gSi48L2F1dGhvcj48L2F1
dGhvcnM+PC9jb250cmlidXRvcnM+PGF1dGgtYWRkcmVzcz5EZXBhcnRtZW50IG9mIFRob3JhY2lj
IE1lZGljaW5lLCBSb3lhbCBBZGVsYWlkZSBIb3NwaXRhbCwgQWRlbGFpZGUsIEF1c3RyYWxpYSBN
aXJhbmRhLndlZW5AYWRlbGFpZGUuZWR1LmF1LiYjeEQ7U2Nob29sIG9mIE1lZGljaW5lLCBVbml2
ZXJzaXR5IG9mIEFkZWxhaWRlLCBBZGVsYWlkZSwgQXVzdHJhbGlhLiYjeEQ7RGVwYXJ0bWVudCBv
ZiBUaG9yYWNpYyBNZWRpY2luZSwgUm95YWwgQWRlbGFpZGUgSG9zcGl0YWwsIEFkZWxhaWRlLCBB
dXN0cmFsaWEuPC9hdXRoLWFkZHJlc3M+PHRpdGxlcz48dGl0bGU+UGhhZ29jeXRvc2lzIGFuZCBJ
bmZsYW1tYXRpb246IEV4cGxvcmluZyB0aGUgZWZmZWN0cyBvZiB0aGUgY29tcG9uZW50cyBvZiBF
LWNpZ2FyZXR0ZSB2YXBvciBvbiBtYWNyb3BoYWdlczwvdGl0bGU+PHNlY29uZGFyeS10aXRsZT5Q
aHlzaW9sIFJlcDwvc2Vjb25kYXJ5LXRpdGxlPjxhbHQtdGl0bGU+UGh5c2lvbG9naWNhbCByZXBv
cnRzPC9hbHQtdGl0bGU+PC90aXRsZXM+PHBlcmlvZGljYWw+PGZ1bGwtdGl0bGU+UGh5c2lvbCBS
ZXA8L2Z1bGwtdGl0bGU+PGFiYnItMT5QaHlzaW9sb2dpY2FsIHJlcG9ydHM8L2FiYnItMT48L3Bl
cmlvZGljYWw+PGFsdC1wZXJpb2RpY2FsPjxmdWxsLXRpdGxlPlBoeXNpb2wgUmVwPC9mdWxsLXRp
dGxlPjxhYmJyLTE+UGh5c2lvbG9naWNhbCByZXBvcnRzPC9hYmJyLTE+PC9hbHQtcGVyaW9kaWNh
bD48dm9sdW1lPjU8L3ZvbHVtZT48bnVtYmVyPjE2PC9udW1iZXI+PGVkaXRpb24+MjAxNy8wOS8w
NTwvZWRpdGlvbj48a2V5d29yZHM+PGtleXdvcmQ+RS1jaWdhcmV0dGVzPC9rZXl3b3JkPjxrZXl3
b3JkPmN5dG9raW5lczwva2V5d29yZD48a2V5d29yZD5pbmZsYW1tYXRpb248L2tleXdvcmQ+PGtl
eXdvcmQ+bWFjcm9waGFnZXM8L2tleXdvcmQ+PGtleXdvcmQ+cGhhZ29jeXRvc2lzPC9rZXl3b3Jk
Pjwva2V5d29yZHM+PGRhdGVzPjx5ZWFyPjIwMTc8L3llYXI+PHB1Yi1kYXRlcz48ZGF0ZT5BdWc8
L2RhdGU+PC9wdWItZGF0ZXM+PC9kYXRlcz48aXNibj4yMDUxLTgxN3g8L2lzYm4+PGFjY2Vzc2lv
bi1udW0+Mjg4Njc2NzI8L2FjY2Vzc2lvbi1udW0+PHVybHM+PHJlbGF0ZWQtdXJscz48dXJsPmh0
dHBzOi8vcGh5c29jLm9ubGluZWxpYnJhcnkud2lsZXkuY29tL2RvaS9wZGYvMTAuMTQ4MTQvcGh5
Mi4xMzM3MDwvdXJsPjwvcmVsYXRlZC11cmxzPjwvdXJscz48Y3VzdG9tMj5QTUM1NTgyMjYxPC9j
dXN0b20yPjxlbGVjdHJvbmljLXJlc291cmNlLW51bT4xMC4xNDgxNC9waHkyLjEzMzcwPC9lbGVj
dHJvbmljLXJlc291cmNlLW51bT48cmVtb3RlLWRhdGFiYXNlLXByb3ZpZGVyPk5MTTwvcmVtb3Rl
LWRhdGFiYXNlLXByb3ZpZGVyPjxsYW5ndWFnZT5lbmc8L2xhbmd1YWdlPjwvcmVjb3JkPjwvQ2l0
ZT48Q2l0ZT48QXV0aG9yPkNsYXBwPC9BdXRob3I+PFllYXI+MjAxNzwvWWVhcj48UmVjTnVtPjEx
NTU8L1JlY051bT48cmVjb3JkPjxyZWMtbnVtYmVyPjExNTU8L3JlYy1udW1iZXI+PGZvcmVpZ24t
a2V5cz48a2V5IGFwcD0iRU4iIGRiLWlkPSI5ejA1ZHowcHJhYWRmdWVlMHpveHplZGs5emZlNWZ4
eDUwejUiIHRpbWVzdGFtcD0iMTUyMTUwNzAxMyI+MTE1NTwva2V5PjxrZXkgYXBwPSJFTldlYiIg
ZGItaWQ9IiI+MDwva2V5PjwvZm9yZWlnbi1rZXlzPjxyZWYtdHlwZSBuYW1lPSJKb3VybmFsIEFy
dGljbGUiPjE3PC9yZWYtdHlwZT48Y29udHJpYnV0b3JzPjxhdXRob3JzPjxhdXRob3I+Q2xhcHAs
IFAuIFcuPC9hdXRob3I+PGF1dGhvcj5QYXdsYWssIEUuIEEuPC9hdXRob3I+PGF1dGhvcj5MYWNr
ZXksIEouIFQuPC9hdXRob3I+PGF1dGhvcj5LZWF0aW5nLCBKLiBFLjwvYXV0aG9yPjxhdXRob3I+
UmVlYmVyLCBTLiBMLjwvYXV0aG9yPjxhdXRob3I+R2xpc2gsIEcuIEwuPC9hdXRob3I+PGF1dGhv
cj5KYXNwZXJzLCBJLjwvYXV0aG9yPjwvYXV0aG9ycz48L2NvbnRyaWJ1dG9ycz48YXV0aC1hZGRy
ZXNzPkN1cnJpY3VsdW0gaW4gVG94aWNvbG9neSwgU2Nob29sIG9mIE1lZGljaW5lLCBVbml2ZXJz
aXR5IG9mIE5vcnRoIENhcm9saW5hLCBDaGFwZWwgSGlsbCwgTm9ydGggQ2Fyb2xpbmEuJiN4RDtD
ZW50ZXIgZm9yIEVudmlyb25tZW50YWwgTWVkaWNpbmUsIEFzdGhtYSwgYW5kIEx1bmcgQmlvbG9n
eSwgU2Nob29sIG9mIE1lZGljaW5lLCBVbml2ZXJzaXR5IG9mIE5vcnRoIENhcm9saW5hLCBDaGFw
ZWwgSGlsbCwgTm9ydGggQ2Fyb2xpbmE7IGFuZC4mI3hEO0RlcGFydG1lbnQgb2YgQ2hlbWlzdHJ5
LCBVbml2ZXJzaXR5IG9mIE5vcnRoIENhcm9saW5hLCBDaGFwZWwgSGlsbCwgTm9ydGggQ2Fyb2xp
bmEuJiN4RDtDdXJyaWN1bHVtIGluIFRveGljb2xvZ3ksIFNjaG9vbCBvZiBNZWRpY2luZSwgVW5p
dmVyc2l0eSBvZiBOb3J0aCBDYXJvbGluYSwgQ2hhcGVsIEhpbGwsIE5vcnRoIENhcm9saW5hOyBp
bG9uYV9qYXNwZXJzQG1lZC51bmMuZWR1LjwvYXV0aC1hZGRyZXNzPjx0aXRsZXM+PHRpdGxlPkZs
YXZvcmVkIGUtY2lnYXJldHRlIGxpcXVpZHMgYW5kIGNpbm5hbWFsZGVoeWRlIGltcGFpciByZXNw
aXJhdG9yeSBpbm5hdGUgaW1tdW5lIGNlbGwgZnVuY3Rpb248L3RpdGxlPjxzZWNvbmRhcnktdGl0
bGU+QW0gSiBQaHlzaW9sIEx1bmcgQ2VsbCBNb2wgUGh5c2lvbDwvc2Vjb25kYXJ5LXRpdGxlPjxh
bHQtdGl0bGU+QW1lcmljYW4gam91cm5hbCBvZiBwaHlzaW9sb2d5LiBMdW5nIGNlbGx1bGFyIGFu
ZCBtb2xlY3VsYXIgcGh5c2lvbG9neTwvYWx0LXRpdGxlPjwvdGl0bGVzPjxwZXJpb2RpY2FsPjxm
dWxsLXRpdGxlPkFtIEogUGh5c2lvbCBMdW5nIENlbGwgTW9sIFBoeXNpb2w8L2Z1bGwtdGl0bGU+
PGFiYnItMT5BbWVyaWNhbiBqb3VybmFsIG9mIHBoeXNpb2xvZ3kuIEx1bmcgY2VsbHVsYXIgYW5k
IG1vbGVjdWxhciBwaHlzaW9sb2d5PC9hYmJyLTE+PC9wZXJpb2RpY2FsPjxhbHQtcGVyaW9kaWNh
bD48ZnVsbC10aXRsZT5BbSBKIFBoeXNpb2wgTHVuZyBDZWxsIE1vbCBQaHlzaW9sPC9mdWxsLXRp
dGxlPjxhYmJyLTE+QW1lcmljYW4gam91cm5hbCBvZiBwaHlzaW9sb2d5LiBMdW5nIGNlbGx1bGFy
IGFuZCBtb2xlY3VsYXIgcGh5c2lvbG9neTwvYWJici0xPjwvYWx0LXBlcmlvZGljYWw+PHBhZ2Vz
PkwyNzgtbDI5MjwvcGFnZXM+PHZvbHVtZT4zMTM8L3ZvbHVtZT48bnVtYmVyPjI8L251bWJlcj48
ZWRpdGlvbj4yMDE3LzA1LzEzPC9lZGl0aW9uPjxrZXl3b3Jkcz48a2V5d29yZD5BY3JvbGVpbi9h
ZHZlcnNlIGVmZmVjdHMvKmFuYWxvZ3MgJmFtcDsgZGVyaXZhdGl2ZXM8L2tleXdvcmQ+PGtleXdv
cmQ+QWRvbGVzY2VudDwva2V5d29yZD48a2V5d29yZD5BZHVsdDwva2V5d29yZD48a2V5d29yZD5F
bGVjdHJvbmljIE5pY290aW5lIERlbGl2ZXJ5IFN5c3RlbXMvKmFkdmVyc2UgZWZmZWN0czwva2V5
d29yZD48a2V5d29yZD5GZW1hbGU8L2tleXdvcmQ+PGtleXdvcmQ+SHVtYW5zPC9rZXl3b3JkPjxr
ZXl3b3JkPkltbXVuaXR5LCBJbm5hdGUvKmRydWcgZWZmZWN0czwva2V5d29yZD48a2V5d29yZD5J
bmZsYW1tYXRpb24vY2hlbWljYWxseSBpbmR1Y2VkPC9rZXl3b3JkPjxrZXl3b3JkPktpbGxlciBD
ZWxscywgTmF0dXJhbC9kcnVnIGVmZmVjdHM8L2tleXdvcmQ+PGtleXdvcmQ+TWFjcm9waGFnZXMv
ZHJ1ZyBlZmZlY3RzPC9rZXl3b3JkPjxrZXl3b3JkPk1hbGU8L2tleXdvcmQ+PGtleXdvcmQ+TWlk
ZGxlIEFnZWQ8L2tleXdvcmQ+PGtleXdvcmQ+TmV1dHJvcGhpbHMvZHJ1ZyBlZmZlY3RzPC9rZXl3
b3JkPjxrZXl3b3JkPk5pY290aW5lL2FkdmVyc2UgZWZmZWN0czwva2V5d29yZD48a2V5d29yZD5Q
aGFnb2N5dG9zaXMvZHJ1ZyBlZmZlY3RzPC9rZXl3b3JkPjxrZXl3b3JkPllvdW5nIEFkdWx0PC9r
ZXl3b3JkPjxrZXl3b3JkPmNpbm5hbWFsZGVoeWRlPC9rZXl3b3JkPjxrZXl3b3JkPmUtY2lnYXJl
dHRlPC9rZXl3b3JkPjxrZXl3b3JkPmUtbGlxdWlkPC9rZXl3b3JkPjxrZXl3b3JkPmlubmF0ZSBp
bW11bmUgY2VsbCBmdW5jdGlvbjwva2V5d29yZD48L2tleXdvcmRzPjxkYXRlcz48eWVhcj4yMDE3
PC95ZWFyPjxwdWItZGF0ZXM+PGRhdGU+QXVnIDE8L2RhdGU+PC9wdWItZGF0ZXM+PC9kYXRlcz48
aXNibj4xMDQwLTA2MDU8L2lzYm4+PGFjY2Vzc2lvbi1udW0+Mjg0OTU4NTY8L2FjY2Vzc2lvbi1u
dW0+PHVybHM+PC91cmxzPjxjdXN0b20yPlBNQzU1ODI5Mjk8L2N1c3RvbTI+PGVsZWN0cm9uaWMt
cmVzb3VyY2UtbnVtPjEwLjExNTIvYWpwbHVuZy4wMDQ1Mi4yMDE2PC9lbGVjdHJvbmljLXJlc291
cmNlLW51bT48cmVtb3RlLWRhdGFiYXNlLXByb3ZpZGVyPk5MTTwvcmVtb3RlLWRhdGFiYXNlLXBy
b3ZpZGVyPjxsYW5ndWFnZT5lbmc8L2xhbmd1YWdlPjwvcmVjb3JkPjwvQ2l0ZT48L0VuZE5vdGU+
AG==
</w:fldData>
            </w:fldChar>
          </w:r>
          <w:r w:rsidR="00903735">
            <w:instrText xml:space="preserve"> ADDIN EN.CITE.DATA </w:instrText>
          </w:r>
          <w:r w:rsidR="00903735">
            <w:fldChar w:fldCharType="end"/>
          </w:r>
          <w:r>
            <w:fldChar w:fldCharType="separate"/>
          </w:r>
          <w:r>
            <w:rPr>
              <w:noProof/>
            </w:rPr>
            <w:t>(Bengalli, Ferri et al. 2017, Clapp, Pawlak et al. 2017, Ween, Whittall et al. 2017, Crotty Alexander, Drummond et al. 2018)</w:t>
          </w:r>
          <w:r>
            <w:fldChar w:fldCharType="end"/>
          </w:r>
          <w:r>
            <w:t xml:space="preserve">, decreased </w:t>
          </w:r>
          <w:r>
            <w:fldChar w:fldCharType="begin">
              <w:fldData xml:space="preserve">PEVuZE5vdGU+PENpdGU+PEF1dGhvcj5DbGFwcDwvQXV0aG9yPjxZZWFyPjIwMTc8L1llYXI+PFJl
Y051bT4xMTU1PC9SZWNOdW0+PERpc3BsYXlUZXh0PihDbGFwcCwgUGF3bGFrIGV0IGFsLiAyMDE3
KTwvRGlzcGxheVRleHQ+PHJlY29yZD48cmVjLW51bWJlcj4xMTU1PC9yZWMtbnVtYmVyPjxmb3Jl
aWduLWtleXM+PGtleSBhcHA9IkVOIiBkYi1pZD0iOXowNWR6MHByYWFkZnVlZTB6b3h6ZWRrOXpm
ZTVmeHg1MHo1IiB0aW1lc3RhbXA9IjE1MjE1MDcwMTMiPjExNTU8L2tleT48a2V5IGFwcD0iRU5X
ZWIiIGRiLWlkPSIiPjA8L2tleT48L2ZvcmVpZ24ta2V5cz48cmVmLXR5cGUgbmFtZT0iSm91cm5h
bCBBcnRpY2xlIj4xNzwvcmVmLXR5cGU+PGNvbnRyaWJ1dG9ycz48YXV0aG9ycz48YXV0aG9yPkNs
YXBwLCBQLiBXLjwvYXV0aG9yPjxhdXRob3I+UGF3bGFrLCBFLiBBLjwvYXV0aG9yPjxhdXRob3I+
TGFja2V5LCBKLiBULjwvYXV0aG9yPjxhdXRob3I+S2VhdGluZywgSi4gRS48L2F1dGhvcj48YXV0
aG9yPlJlZWJlciwgUy4gTC48L2F1dGhvcj48YXV0aG9yPkdsaXNoLCBHLiBMLjwvYXV0aG9yPjxh
dXRob3I+SmFzcGVycywgSS48L2F1dGhvcj48L2F1dGhvcnM+PC9jb250cmlidXRvcnM+PGF1dGgt
YWRkcmVzcz5DdXJyaWN1bHVtIGluIFRveGljb2xvZ3ksIFNjaG9vbCBvZiBNZWRpY2luZSwgVW5p
dmVyc2l0eSBvZiBOb3J0aCBDYXJvbGluYSwgQ2hhcGVsIEhpbGwsIE5vcnRoIENhcm9saW5hLiYj
eEQ7Q2VudGVyIGZvciBFbnZpcm9ubWVudGFsIE1lZGljaW5lLCBBc3RobWEsIGFuZCBMdW5nIEJp
b2xvZ3ksIFNjaG9vbCBvZiBNZWRpY2luZSwgVW5pdmVyc2l0eSBvZiBOb3J0aCBDYXJvbGluYSwg
Q2hhcGVsIEhpbGwsIE5vcnRoIENhcm9saW5hOyBhbmQuJiN4RDtEZXBhcnRtZW50IG9mIENoZW1p
c3RyeSwgVW5pdmVyc2l0eSBvZiBOb3J0aCBDYXJvbGluYSwgQ2hhcGVsIEhpbGwsIE5vcnRoIENh
cm9saW5hLiYjeEQ7Q3VycmljdWx1bSBpbiBUb3hpY29sb2d5LCBTY2hvb2wgb2YgTWVkaWNpbmUs
IFVuaXZlcnNpdHkgb2YgTm9ydGggQ2Fyb2xpbmEsIENoYXBlbCBIaWxsLCBOb3J0aCBDYXJvbGlu
YTsgaWxvbmFfamFzcGVyc0BtZWQudW5jLmVkdS48L2F1dGgtYWRkcmVzcz48dGl0bGVzPjx0aXRs
ZT5GbGF2b3JlZCBlLWNpZ2FyZXR0ZSBsaXF1aWRzIGFuZCBjaW5uYW1hbGRlaHlkZSBpbXBhaXIg
cmVzcGlyYXRvcnkgaW5uYXRlIGltbXVuZSBjZWxsIGZ1bmN0aW9uPC90aXRsZT48c2Vjb25kYXJ5
LXRpdGxlPkFtIEogUGh5c2lvbCBMdW5nIENlbGwgTW9sIFBoeXNpb2w8L3NlY29uZGFyeS10aXRs
ZT48YWx0LXRpdGxlPkFtZXJpY2FuIGpvdXJuYWwgb2YgcGh5c2lvbG9neS4gTHVuZyBjZWxsdWxh
ciBhbmQgbW9sZWN1bGFyIHBoeXNpb2xvZ3k8L2FsdC10aXRsZT48L3RpdGxlcz48cGVyaW9kaWNh
bD48ZnVsbC10aXRsZT5BbSBKIFBoeXNpb2wgTHVuZyBDZWxsIE1vbCBQaHlzaW9sPC9mdWxsLXRp
dGxlPjxhYmJyLTE+QW1lcmljYW4gam91cm5hbCBvZiBwaHlzaW9sb2d5LiBMdW5nIGNlbGx1bGFy
IGFuZCBtb2xlY3VsYXIgcGh5c2lvbG9neTwvYWJici0xPjwvcGVyaW9kaWNhbD48YWx0LXBlcmlv
ZGljYWw+PGZ1bGwtdGl0bGU+QW0gSiBQaHlzaW9sIEx1bmcgQ2VsbCBNb2wgUGh5c2lvbDwvZnVs
bC10aXRsZT48YWJici0xPkFtZXJpY2FuIGpvdXJuYWwgb2YgcGh5c2lvbG9neS4gTHVuZyBjZWxs
dWxhciBhbmQgbW9sZWN1bGFyIHBoeXNpb2xvZ3k8L2FiYnItMT48L2FsdC1wZXJpb2RpY2FsPjxw
YWdlcz5MMjc4LWwyOTI8L3BhZ2VzPjx2b2x1bWU+MzEzPC92b2x1bWU+PG51bWJlcj4yPC9udW1i
ZXI+PGVkaXRpb24+MjAxNy8wNS8xMzwvZWRpdGlvbj48a2V5d29yZHM+PGtleXdvcmQ+QWNyb2xl
aW4vYWR2ZXJzZSBlZmZlY3RzLyphbmFsb2dzICZhbXA7IGRlcml2YXRpdmVzPC9rZXl3b3JkPjxr
ZXl3b3JkPkFkb2xlc2NlbnQ8L2tleXdvcmQ+PGtleXdvcmQ+QWR1bHQ8L2tleXdvcmQ+PGtleXdv
cmQ+RWxlY3Ryb25pYyBOaWNvdGluZSBEZWxpdmVyeSBTeXN0ZW1zLyphZHZlcnNlIGVmZmVjdHM8
L2tleXdvcmQ+PGtleXdvcmQ+RmVtYWxlPC9rZXl3b3JkPjxrZXl3b3JkPkh1bWFuczwva2V5d29y
ZD48a2V5d29yZD5JbW11bml0eSwgSW5uYXRlLypkcnVnIGVmZmVjdHM8L2tleXdvcmQ+PGtleXdv
cmQ+SW5mbGFtbWF0aW9uL2NoZW1pY2FsbHkgaW5kdWNlZDwva2V5d29yZD48a2V5d29yZD5LaWxs
ZXIgQ2VsbHMsIE5hdHVyYWwvZHJ1ZyBlZmZlY3RzPC9rZXl3b3JkPjxrZXl3b3JkPk1hY3JvcGhh
Z2VzL2RydWcgZWZmZWN0czwva2V5d29yZD48a2V5d29yZD5NYWxlPC9rZXl3b3JkPjxrZXl3b3Jk
Pk1pZGRsZSBBZ2VkPC9rZXl3b3JkPjxrZXl3b3JkPk5ldXRyb3BoaWxzL2RydWcgZWZmZWN0czwv
a2V5d29yZD48a2V5d29yZD5OaWNvdGluZS9hZHZlcnNlIGVmZmVjdHM8L2tleXdvcmQ+PGtleXdv
cmQ+UGhhZ29jeXRvc2lzL2RydWcgZWZmZWN0czwva2V5d29yZD48a2V5d29yZD5Zb3VuZyBBZHVs
dDwva2V5d29yZD48a2V5d29yZD5jaW5uYW1hbGRlaHlkZTwva2V5d29yZD48a2V5d29yZD5lLWNp
Z2FyZXR0ZTwva2V5d29yZD48a2V5d29yZD5lLWxpcXVpZDwva2V5d29yZD48a2V5d29yZD5pbm5h
dGUgaW1tdW5lIGNlbGwgZnVuY3Rpb248L2tleXdvcmQ+PC9rZXl3b3Jkcz48ZGF0ZXM+PHllYXI+
MjAxNzwveWVhcj48cHViLWRhdGVzPjxkYXRlPkF1ZyAxPC9kYXRlPjwvcHViLWRhdGVzPjwvZGF0
ZXM+PGlzYm4+MTA0MC0wNjA1PC9pc2JuPjxhY2Nlc3Npb24tbnVtPjI4NDk1ODU2PC9hY2Nlc3Np
b24tbnVtPjx1cmxzPjwvdXJscz48Y3VzdG9tMj5QTUM1NTgyOTI5PC9jdXN0b20yPjxlbGVjdHJv
bmljLXJlc291cmNlLW51bT4xMC4xMTUyL2FqcGx1bmcuMDA0NTIuMjAxNjwvZWxlY3Ryb25pYy1y
ZXNvdXJjZS1udW0+PHJlbW90ZS1kYXRhYmFzZS1wcm92aWRlcj5OTE08L3JlbW90ZS1kYXRhYmFz
ZS1wcm92aWRlcj48bGFuZ3VhZ2U+ZW5nPC9sYW5ndWFnZT48L3JlY29yZD48L0NpdGU+PC9FbmRO
b3RlPgB=
</w:fldData>
            </w:fldChar>
          </w:r>
          <w:r>
            <w:instrText xml:space="preserve"> ADDIN EN.CITE </w:instrText>
          </w:r>
          <w:r>
            <w:fldChar w:fldCharType="begin">
              <w:fldData xml:space="preserve">PEVuZE5vdGU+PENpdGU+PEF1dGhvcj5DbGFwcDwvQXV0aG9yPjxZZWFyPjIwMTc8L1llYXI+PFJl
Y051bT4xMTU1PC9SZWNOdW0+PERpc3BsYXlUZXh0PihDbGFwcCwgUGF3bGFrIGV0IGFsLiAyMDE3
KTwvRGlzcGxheVRleHQ+PHJlY29yZD48cmVjLW51bWJlcj4xMTU1PC9yZWMtbnVtYmVyPjxmb3Jl
aWduLWtleXM+PGtleSBhcHA9IkVOIiBkYi1pZD0iOXowNWR6MHByYWFkZnVlZTB6b3h6ZWRrOXpm
ZTVmeHg1MHo1IiB0aW1lc3RhbXA9IjE1MjE1MDcwMTMiPjExNTU8L2tleT48a2V5IGFwcD0iRU5X
ZWIiIGRiLWlkPSIiPjA8L2tleT48L2ZvcmVpZ24ta2V5cz48cmVmLXR5cGUgbmFtZT0iSm91cm5h
bCBBcnRpY2xlIj4xNzwvcmVmLXR5cGU+PGNvbnRyaWJ1dG9ycz48YXV0aG9ycz48YXV0aG9yPkNs
YXBwLCBQLiBXLjwvYXV0aG9yPjxhdXRob3I+UGF3bGFrLCBFLiBBLjwvYXV0aG9yPjxhdXRob3I+
TGFja2V5LCBKLiBULjwvYXV0aG9yPjxhdXRob3I+S2VhdGluZywgSi4gRS48L2F1dGhvcj48YXV0
aG9yPlJlZWJlciwgUy4gTC48L2F1dGhvcj48YXV0aG9yPkdsaXNoLCBHLiBMLjwvYXV0aG9yPjxh
dXRob3I+SmFzcGVycywgSS48L2F1dGhvcj48L2F1dGhvcnM+PC9jb250cmlidXRvcnM+PGF1dGgt
YWRkcmVzcz5DdXJyaWN1bHVtIGluIFRveGljb2xvZ3ksIFNjaG9vbCBvZiBNZWRpY2luZSwgVW5p
dmVyc2l0eSBvZiBOb3J0aCBDYXJvbGluYSwgQ2hhcGVsIEhpbGwsIE5vcnRoIENhcm9saW5hLiYj
eEQ7Q2VudGVyIGZvciBFbnZpcm9ubWVudGFsIE1lZGljaW5lLCBBc3RobWEsIGFuZCBMdW5nIEJp
b2xvZ3ksIFNjaG9vbCBvZiBNZWRpY2luZSwgVW5pdmVyc2l0eSBvZiBOb3J0aCBDYXJvbGluYSwg
Q2hhcGVsIEhpbGwsIE5vcnRoIENhcm9saW5hOyBhbmQuJiN4RDtEZXBhcnRtZW50IG9mIENoZW1p
c3RyeSwgVW5pdmVyc2l0eSBvZiBOb3J0aCBDYXJvbGluYSwgQ2hhcGVsIEhpbGwsIE5vcnRoIENh
cm9saW5hLiYjeEQ7Q3VycmljdWx1bSBpbiBUb3hpY29sb2d5LCBTY2hvb2wgb2YgTWVkaWNpbmUs
IFVuaXZlcnNpdHkgb2YgTm9ydGggQ2Fyb2xpbmEsIENoYXBlbCBIaWxsLCBOb3J0aCBDYXJvbGlu
YTsgaWxvbmFfamFzcGVyc0BtZWQudW5jLmVkdS48L2F1dGgtYWRkcmVzcz48dGl0bGVzPjx0aXRs
ZT5GbGF2b3JlZCBlLWNpZ2FyZXR0ZSBsaXF1aWRzIGFuZCBjaW5uYW1hbGRlaHlkZSBpbXBhaXIg
cmVzcGlyYXRvcnkgaW5uYXRlIGltbXVuZSBjZWxsIGZ1bmN0aW9uPC90aXRsZT48c2Vjb25kYXJ5
LXRpdGxlPkFtIEogUGh5c2lvbCBMdW5nIENlbGwgTW9sIFBoeXNpb2w8L3NlY29uZGFyeS10aXRs
ZT48YWx0LXRpdGxlPkFtZXJpY2FuIGpvdXJuYWwgb2YgcGh5c2lvbG9neS4gTHVuZyBjZWxsdWxh
ciBhbmQgbW9sZWN1bGFyIHBoeXNpb2xvZ3k8L2FsdC10aXRsZT48L3RpdGxlcz48cGVyaW9kaWNh
bD48ZnVsbC10aXRsZT5BbSBKIFBoeXNpb2wgTHVuZyBDZWxsIE1vbCBQaHlzaW9sPC9mdWxsLXRp
dGxlPjxhYmJyLTE+QW1lcmljYW4gam91cm5hbCBvZiBwaHlzaW9sb2d5LiBMdW5nIGNlbGx1bGFy
IGFuZCBtb2xlY3VsYXIgcGh5c2lvbG9neTwvYWJici0xPjwvcGVyaW9kaWNhbD48YWx0LXBlcmlv
ZGljYWw+PGZ1bGwtdGl0bGU+QW0gSiBQaHlzaW9sIEx1bmcgQ2VsbCBNb2wgUGh5c2lvbDwvZnVs
bC10aXRsZT48YWJici0xPkFtZXJpY2FuIGpvdXJuYWwgb2YgcGh5c2lvbG9neS4gTHVuZyBjZWxs
dWxhciBhbmQgbW9sZWN1bGFyIHBoeXNpb2xvZ3k8L2FiYnItMT48L2FsdC1wZXJpb2RpY2FsPjxw
YWdlcz5MMjc4LWwyOTI8L3BhZ2VzPjx2b2x1bWU+MzEzPC92b2x1bWU+PG51bWJlcj4yPC9udW1i
ZXI+PGVkaXRpb24+MjAxNy8wNS8xMzwvZWRpdGlvbj48a2V5d29yZHM+PGtleXdvcmQ+QWNyb2xl
aW4vYWR2ZXJzZSBlZmZlY3RzLyphbmFsb2dzICZhbXA7IGRlcml2YXRpdmVzPC9rZXl3b3JkPjxr
ZXl3b3JkPkFkb2xlc2NlbnQ8L2tleXdvcmQ+PGtleXdvcmQ+QWR1bHQ8L2tleXdvcmQ+PGtleXdv
cmQ+RWxlY3Ryb25pYyBOaWNvdGluZSBEZWxpdmVyeSBTeXN0ZW1zLyphZHZlcnNlIGVmZmVjdHM8
L2tleXdvcmQ+PGtleXdvcmQ+RmVtYWxlPC9rZXl3b3JkPjxrZXl3b3JkPkh1bWFuczwva2V5d29y
ZD48a2V5d29yZD5JbW11bml0eSwgSW5uYXRlLypkcnVnIGVmZmVjdHM8L2tleXdvcmQ+PGtleXdv
cmQ+SW5mbGFtbWF0aW9uL2NoZW1pY2FsbHkgaW5kdWNlZDwva2V5d29yZD48a2V5d29yZD5LaWxs
ZXIgQ2VsbHMsIE5hdHVyYWwvZHJ1ZyBlZmZlY3RzPC9rZXl3b3JkPjxrZXl3b3JkPk1hY3JvcGhh
Z2VzL2RydWcgZWZmZWN0czwva2V5d29yZD48a2V5d29yZD5NYWxlPC9rZXl3b3JkPjxrZXl3b3Jk
Pk1pZGRsZSBBZ2VkPC9rZXl3b3JkPjxrZXl3b3JkPk5ldXRyb3BoaWxzL2RydWcgZWZmZWN0czwv
a2V5d29yZD48a2V5d29yZD5OaWNvdGluZS9hZHZlcnNlIGVmZmVjdHM8L2tleXdvcmQ+PGtleXdv
cmQ+UGhhZ29jeXRvc2lzL2RydWcgZWZmZWN0czwva2V5d29yZD48a2V5d29yZD5Zb3VuZyBBZHVs
dDwva2V5d29yZD48a2V5d29yZD5jaW5uYW1hbGRlaHlkZTwva2V5d29yZD48a2V5d29yZD5lLWNp
Z2FyZXR0ZTwva2V5d29yZD48a2V5d29yZD5lLWxpcXVpZDwva2V5d29yZD48a2V5d29yZD5pbm5h
dGUgaW1tdW5lIGNlbGwgZnVuY3Rpb248L2tleXdvcmQ+PC9rZXl3b3Jkcz48ZGF0ZXM+PHllYXI+
MjAxNzwveWVhcj48cHViLWRhdGVzPjxkYXRlPkF1ZyAxPC9kYXRlPjwvcHViLWRhdGVzPjwvZGF0
ZXM+PGlzYm4+MTA0MC0wNjA1PC9pc2JuPjxhY2Nlc3Npb24tbnVtPjI4NDk1ODU2PC9hY2Nlc3Np
b24tbnVtPjx1cmxzPjwvdXJscz48Y3VzdG9tMj5QTUM1NTgyOTI5PC9jdXN0b20yPjxlbGVjdHJv
bmljLXJlc291cmNlLW51bT4xMC4xMTUyL2FqcGx1bmcuMDA0NTIuMjAxNjwvZWxlY3Ryb25pYy1y
ZXNvdXJjZS1udW0+PHJlbW90ZS1kYXRhYmFzZS1wcm92aWRlcj5OTE08L3JlbW90ZS1kYXRhYmFz
ZS1wcm92aWRlcj48bGFuZ3VhZ2U+ZW5nPC9sYW5ndWFnZT48L3JlY29yZD48L0NpdGU+PC9FbmRO
b3RlPgB=
</w:fldData>
            </w:fldChar>
          </w:r>
          <w:r>
            <w:instrText xml:space="preserve"> ADDIN EN.CITE.DATA </w:instrText>
          </w:r>
          <w:r>
            <w:fldChar w:fldCharType="end"/>
          </w:r>
          <w:r>
            <w:fldChar w:fldCharType="separate"/>
          </w:r>
          <w:r>
            <w:rPr>
              <w:noProof/>
            </w:rPr>
            <w:t>(Clapp, Pawlak et al. 2017)</w:t>
          </w:r>
          <w:r>
            <w:fldChar w:fldCharType="end"/>
          </w:r>
          <w:r>
            <w:t xml:space="preserve"> or did not change significantly </w:t>
          </w:r>
          <w:r>
            <w:fldChar w:fldCharType="begin">
              <w:fldData xml:space="preserve">PEVuZE5vdGU+PENpdGU+PEF1dGhvcj5BbnRoZXJpZXU8L0F1dGhvcj48WWVhcj4yMDE3PC9ZZWFy
PjxSZWNOdW0+MTM5NTwvUmVjTnVtPjxEaXNwbGF5VGV4dD4oQW50aGVyaWV1LCBHYXJhdCBldCBh
bC4gMjAxNyk8L0Rpc3BsYXlUZXh0PjxyZWNvcmQ+PHJlYy1udW1iZXI+MTM5NTwvcmVjLW51bWJl
cj48Zm9yZWlnbi1rZXlzPjxrZXkgYXBwPSJFTiIgZGItaWQ9Ijl6MDVkejBwcmFhZGZ1ZWUwem94
emVkazl6ZmU1Znh4NTB6NSIgdGltZXN0YW1wPSIxNTIxNTA3MDY5Ij4xMzk1PC9rZXk+PGtleSBh
cHA9IkVOV2ViIiBkYi1pZD0iIj4wPC9rZXk+PC9mb3JlaWduLWtleXM+PHJlZi10eXBlIG5hbWU9
IkpvdXJuYWwgQXJ0aWNsZSI+MTc8L3JlZi10eXBlPjxjb250cmlidXRvcnM+PGF1dGhvcnM+PGF1
dGhvcj5BbnRoZXJpZXUsIFMuPC9hdXRob3I+PGF1dGhvcj5HYXJhdCwgQS48L2F1dGhvcj48YXV0
aG9yPkJlYXV2YWwsIE4uPC9hdXRob3I+PGF1dGhvcj5Tb3lleiwgTS48L2F1dGhvcj48YXV0aG9y
PkFsbG9yZ2UsIEQuPC9hdXRob3I+PGF1dGhvcj5HYXJjb24sIEcuPC9hdXRob3I+PGF1dGhvcj5M
by1HdWlkaWNlLCBKLiBNLjwvYXV0aG9yPjwvYXV0aG9ycz48L2NvbnRyaWJ1dG9ycz48YXV0aC1h
ZGRyZXNzPlVuaXYuIExpbGxlLCBDSFUgTGlsbGUsIEluc3RpdHV0IFBhc3RldXIgZGUgTGlsbGUs
IEVBIDQ0ODMsIElNUEVDUyAtIElNUGFjdCBvZiBFbnZpcm9ubWVudGFsIENoZW1pY2FsUyBvbiBo
dW1hbiBoZWFsdGgsIEYtNTkwMDAgTGlsbGUsIEZyYW5jZS4gRWxlY3Ryb25pYyBhZGRyZXNzOiBz
ZWJhc3RpZW4uYW50aGVyaWV1QHVuaXYtbGlsbGUyLmZyLiYjeEQ7VW5pdi4gTGlsbGUsIENIVSBM
aWxsZSwgSW5zdGl0dXQgUGFzdGV1ciBkZSBMaWxsZSwgRUEgNDQ4MywgSU1QRUNTIC0gSU1QYWN0
IG9mIEVudmlyb25tZW50YWwgQ2hlbWljYWxTIG9uIGh1bWFuIGhlYWx0aCwgRi01OTAwMCBMaWxs
ZSwgRnJhbmNlLiYjeEQ7VW5pdi4gTGlsbGUsIENIVSBMaWxsZSwgSW5zdGl0dXQgUGFzdGV1ciBk
ZSBMaWxsZSwgRUEgNDQ4MywgSU1QRUNTIC0gSU1QYWN0IG9mIEVudmlyb25tZW50YWwgQ2hlbWlj
YWxTIG9uIGh1bWFuIGhlYWx0aCwgRi01OTAwMCBMaWxsZSwgRnJhbmNlOyBNaW5lcyBEb3VhaSwg
U0FHRSwgRi01OTUwOCBEb3VhaSwgRnJhbmNlLjwvYXV0aC1hZGRyZXNzPjx0aXRsZXM+PHRpdGxl
PkNvbXBhcmlzb24gb2YgY2VsbHVsYXIgYW5kIHRyYW5zY3JpcHRvbWljIGVmZmVjdHMgYmV0d2Vl
biBlbGVjdHJvbmljIGNpZ2FyZXR0ZSB2YXBvciBhbmQgY2lnYXJldHRlIHNtb2tlIGluIGh1bWFu
IGJyb25jaGlhbCBlcGl0aGVsaWFsIGNlbGxzPC90aXRsZT48c2Vjb25kYXJ5LXRpdGxlPlRveGlj
b2wgSW4gVml0cm88L3NlY29uZGFyeS10aXRsZT48YWx0LXRpdGxlPlRveGljb2xvZ3kgaW4gdml0
cm8gOiBhbiBpbnRlcm5hdGlvbmFsIGpvdXJuYWwgcHVibGlzaGVkIGluIGFzc29jaWF0aW9uIHdp
dGggQklCUkE8L2FsdC10aXRsZT48L3RpdGxlcz48cGVyaW9kaWNhbD48ZnVsbC10aXRsZT5Ub3hp
Y29sIEluIFZpdHJvPC9mdWxsLXRpdGxlPjxhYmJyLTE+VG94aWNvbG9neSBpbiB2aXRybyA6IGFu
IGludGVybmF0aW9uYWwgam91cm5hbCBwdWJsaXNoZWQgaW4gYXNzb2NpYXRpb24gd2l0aCBCSUJS
QTwvYWJici0xPjwvcGVyaW9kaWNhbD48YWx0LXBlcmlvZGljYWw+PGZ1bGwtdGl0bGU+VG94aWNv
bCBJbiBWaXRybzwvZnVsbC10aXRsZT48YWJici0xPlRveGljb2xvZ3kgaW4gdml0cm8gOiBhbiBp
bnRlcm5hdGlvbmFsIGpvdXJuYWwgcHVibGlzaGVkIGluIGFzc29jaWF0aW9uIHdpdGggQklCUkE8
L2FiYnItMT48L2FsdC1wZXJpb2RpY2FsPjxwYWdlcz40MTctNDI1PC9wYWdlcz48dm9sdW1lPjQ1
PC92b2x1bWU+PG51bWJlcj5QdCAzPC9udW1iZXI+PGVkaXRpb24+MjAxNy8wMS8xMDwvZWRpdGlv
bj48a2V5d29yZHM+PGtleXdvcmQ+QkVBUy0yQiBjZWxsIGxpbmU8L2tleXdvcmQ+PGtleXdvcmQ+
RS1jaWdhcmV0dGU8L2tleXdvcmQ+PGtleXdvcmQ+VG94aWNpdHk8L2tleXdvcmQ+PGtleXdvcmQ+
VHJhbnNjcmlwdG9taWM8L2tleXdvcmQ+PGtleXdvcmQ+VmFwb3JzPC9rZXl3b3JkPjwva2V5d29y
ZHM+PGRhdGVzPjx5ZWFyPjIwMTc8L3llYXI+PHB1Yi1kYXRlcz48ZGF0ZT5EZWM8L2RhdGU+PC9w
dWItZGF0ZXM+PC9kYXRlcz48aXNibj4wODg3LTIzMzM8L2lzYm4+PGFjY2Vzc2lvbi1udW0+Mjgw
NjU3OTA8L2FjY2Vzc2lvbi1udW0+PHVybHM+PHJlbGF0ZWQtdXJscz48dXJsPmh0dHBzOi8vd3d3
LnNjaWVuY2VkaXJlY3QuY29tL3NjaWVuY2UvYXJ0aWNsZS9waWkvUzA4ODcyMzMzMTYzMDI3MTU/
dmlhJTNEaWh1YjwvdXJsPjwvcmVsYXRlZC11cmxzPjwvdXJscz48ZWxlY3Ryb25pYy1yZXNvdXJj
ZS1udW0+MTAuMTAxNi9qLnRpdi4yMDE2LjEyLjAxNTwvZWxlY3Ryb25pYy1yZXNvdXJjZS1udW0+
PHJlbW90ZS1kYXRhYmFzZS1wcm92aWRlcj5OTE08L3JlbW90ZS1kYXRhYmFzZS1wcm92aWRlcj48
bGFuZ3VhZ2U+ZW5nPC9sYW5ndWFnZT48L3JlY29yZD48L0NpdGU+PC9FbmROb3RlPgB=
</w:fldData>
            </w:fldChar>
          </w:r>
          <w:r>
            <w:instrText xml:space="preserve"> ADDIN EN.CITE </w:instrText>
          </w:r>
          <w:r>
            <w:fldChar w:fldCharType="begin">
              <w:fldData xml:space="preserve">PEVuZE5vdGU+PENpdGU+PEF1dGhvcj5BbnRoZXJpZXU8L0F1dGhvcj48WWVhcj4yMDE3PC9ZZWFy
PjxSZWNOdW0+MTM5NTwvUmVjTnVtPjxEaXNwbGF5VGV4dD4oQW50aGVyaWV1LCBHYXJhdCBldCBh
bC4gMjAxNyk8L0Rpc3BsYXlUZXh0PjxyZWNvcmQ+PHJlYy1udW1iZXI+MTM5NTwvcmVjLW51bWJl
cj48Zm9yZWlnbi1rZXlzPjxrZXkgYXBwPSJFTiIgZGItaWQ9Ijl6MDVkejBwcmFhZGZ1ZWUwem94
emVkazl6ZmU1Znh4NTB6NSIgdGltZXN0YW1wPSIxNTIxNTA3MDY5Ij4xMzk1PC9rZXk+PGtleSBh
cHA9IkVOV2ViIiBkYi1pZD0iIj4wPC9rZXk+PC9mb3JlaWduLWtleXM+PHJlZi10eXBlIG5hbWU9
IkpvdXJuYWwgQXJ0aWNsZSI+MTc8L3JlZi10eXBlPjxjb250cmlidXRvcnM+PGF1dGhvcnM+PGF1
dGhvcj5BbnRoZXJpZXUsIFMuPC9hdXRob3I+PGF1dGhvcj5HYXJhdCwgQS48L2F1dGhvcj48YXV0
aG9yPkJlYXV2YWwsIE4uPC9hdXRob3I+PGF1dGhvcj5Tb3lleiwgTS48L2F1dGhvcj48YXV0aG9y
PkFsbG9yZ2UsIEQuPC9hdXRob3I+PGF1dGhvcj5HYXJjb24sIEcuPC9hdXRob3I+PGF1dGhvcj5M
by1HdWlkaWNlLCBKLiBNLjwvYXV0aG9yPjwvYXV0aG9ycz48L2NvbnRyaWJ1dG9ycz48YXV0aC1h
ZGRyZXNzPlVuaXYuIExpbGxlLCBDSFUgTGlsbGUsIEluc3RpdHV0IFBhc3RldXIgZGUgTGlsbGUs
IEVBIDQ0ODMsIElNUEVDUyAtIElNUGFjdCBvZiBFbnZpcm9ubWVudGFsIENoZW1pY2FsUyBvbiBo
dW1hbiBoZWFsdGgsIEYtNTkwMDAgTGlsbGUsIEZyYW5jZS4gRWxlY3Ryb25pYyBhZGRyZXNzOiBz
ZWJhc3RpZW4uYW50aGVyaWV1QHVuaXYtbGlsbGUyLmZyLiYjeEQ7VW5pdi4gTGlsbGUsIENIVSBM
aWxsZSwgSW5zdGl0dXQgUGFzdGV1ciBkZSBMaWxsZSwgRUEgNDQ4MywgSU1QRUNTIC0gSU1QYWN0
IG9mIEVudmlyb25tZW50YWwgQ2hlbWljYWxTIG9uIGh1bWFuIGhlYWx0aCwgRi01OTAwMCBMaWxs
ZSwgRnJhbmNlLiYjeEQ7VW5pdi4gTGlsbGUsIENIVSBMaWxsZSwgSW5zdGl0dXQgUGFzdGV1ciBk
ZSBMaWxsZSwgRUEgNDQ4MywgSU1QRUNTIC0gSU1QYWN0IG9mIEVudmlyb25tZW50YWwgQ2hlbWlj
YWxTIG9uIGh1bWFuIGhlYWx0aCwgRi01OTAwMCBMaWxsZSwgRnJhbmNlOyBNaW5lcyBEb3VhaSwg
U0FHRSwgRi01OTUwOCBEb3VhaSwgRnJhbmNlLjwvYXV0aC1hZGRyZXNzPjx0aXRsZXM+PHRpdGxl
PkNvbXBhcmlzb24gb2YgY2VsbHVsYXIgYW5kIHRyYW5zY3JpcHRvbWljIGVmZmVjdHMgYmV0d2Vl
biBlbGVjdHJvbmljIGNpZ2FyZXR0ZSB2YXBvciBhbmQgY2lnYXJldHRlIHNtb2tlIGluIGh1bWFu
IGJyb25jaGlhbCBlcGl0aGVsaWFsIGNlbGxzPC90aXRsZT48c2Vjb25kYXJ5LXRpdGxlPlRveGlj
b2wgSW4gVml0cm88L3NlY29uZGFyeS10aXRsZT48YWx0LXRpdGxlPlRveGljb2xvZ3kgaW4gdml0
cm8gOiBhbiBpbnRlcm5hdGlvbmFsIGpvdXJuYWwgcHVibGlzaGVkIGluIGFzc29jaWF0aW9uIHdp
dGggQklCUkE8L2FsdC10aXRsZT48L3RpdGxlcz48cGVyaW9kaWNhbD48ZnVsbC10aXRsZT5Ub3hp
Y29sIEluIFZpdHJvPC9mdWxsLXRpdGxlPjxhYmJyLTE+VG94aWNvbG9neSBpbiB2aXRybyA6IGFu
IGludGVybmF0aW9uYWwgam91cm5hbCBwdWJsaXNoZWQgaW4gYXNzb2NpYXRpb24gd2l0aCBCSUJS
QTwvYWJici0xPjwvcGVyaW9kaWNhbD48YWx0LXBlcmlvZGljYWw+PGZ1bGwtdGl0bGU+VG94aWNv
bCBJbiBWaXRybzwvZnVsbC10aXRsZT48YWJici0xPlRveGljb2xvZ3kgaW4gdml0cm8gOiBhbiBp
bnRlcm5hdGlvbmFsIGpvdXJuYWwgcHVibGlzaGVkIGluIGFzc29jaWF0aW9uIHdpdGggQklCUkE8
L2FiYnItMT48L2FsdC1wZXJpb2RpY2FsPjxwYWdlcz40MTctNDI1PC9wYWdlcz48dm9sdW1lPjQ1
PC92b2x1bWU+PG51bWJlcj5QdCAzPC9udW1iZXI+PGVkaXRpb24+MjAxNy8wMS8xMDwvZWRpdGlv
bj48a2V5d29yZHM+PGtleXdvcmQ+QkVBUy0yQiBjZWxsIGxpbmU8L2tleXdvcmQ+PGtleXdvcmQ+
RS1jaWdhcmV0dGU8L2tleXdvcmQ+PGtleXdvcmQ+VG94aWNpdHk8L2tleXdvcmQ+PGtleXdvcmQ+
VHJhbnNjcmlwdG9taWM8L2tleXdvcmQ+PGtleXdvcmQ+VmFwb3JzPC9rZXl3b3JkPjwva2V5d29y
ZHM+PGRhdGVzPjx5ZWFyPjIwMTc8L3llYXI+PHB1Yi1kYXRlcz48ZGF0ZT5EZWM8L2RhdGU+PC9w
dWItZGF0ZXM+PC9kYXRlcz48aXNibj4wODg3LTIzMzM8L2lzYm4+PGFjY2Vzc2lvbi1udW0+Mjgw
NjU3OTA8L2FjY2Vzc2lvbi1udW0+PHVybHM+PHJlbGF0ZWQtdXJscz48dXJsPmh0dHBzOi8vd3d3
LnNjaWVuY2VkaXJlY3QuY29tL3NjaWVuY2UvYXJ0aWNsZS9waWkvUzA4ODcyMzMzMTYzMDI3MTU/
dmlhJTNEaWh1YjwvdXJsPjwvcmVsYXRlZC11cmxzPjwvdXJscz48ZWxlY3Ryb25pYy1yZXNvdXJj
ZS1udW0+MTAuMTAxNi9qLnRpdi4yMDE2LjEyLjAxNTwvZWxlY3Ryb25pYy1yZXNvdXJjZS1udW0+
PHJlbW90ZS1kYXRhYmFzZS1wcm92aWRlcj5OTE08L3JlbW90ZS1kYXRhYmFzZS1wcm92aWRlcj48
bGFuZ3VhZ2U+ZW5nPC9sYW5ndWFnZT48L3JlY29yZD48L0NpdGU+PC9FbmROb3RlPgB=
</w:fldData>
            </w:fldChar>
          </w:r>
          <w:r>
            <w:instrText xml:space="preserve"> ADDIN EN.CITE.DATA </w:instrText>
          </w:r>
          <w:r>
            <w:fldChar w:fldCharType="end"/>
          </w:r>
          <w:r>
            <w:fldChar w:fldCharType="separate"/>
          </w:r>
          <w:r>
            <w:rPr>
              <w:noProof/>
            </w:rPr>
            <w:t>(Antherieu, Garat et al. 2017)</w:t>
          </w:r>
          <w:r>
            <w:fldChar w:fldCharType="end"/>
          </w:r>
          <w:r>
            <w:t xml:space="preserve"> </w:t>
          </w:r>
          <w:r w:rsidRPr="0007461F">
            <w:t xml:space="preserve">following </w:t>
          </w:r>
          <w:r>
            <w:t>human lung cell or macrophage exposure to e-cigarette liquid or vapour. C</w:t>
          </w:r>
          <w:r w:rsidRPr="00E56A6A">
            <w:t xml:space="preserve">igarette smoke </w:t>
          </w:r>
          <w:r>
            <w:t>was also found to</w:t>
          </w:r>
          <w:r w:rsidRPr="00E56A6A">
            <w:t xml:space="preserve"> increase</w:t>
          </w:r>
          <w:r>
            <w:t xml:space="preserve"> IL-8 in bronchial epithelial cells </w:t>
          </w:r>
          <w:r>
            <w:fldChar w:fldCharType="begin">
              <w:fldData xml:space="preserve">PEVuZE5vdGU+PENpdGU+PEF1dGhvcj5BbnRoZXJpZXU8L0F1dGhvcj48WWVhcj4yMDE3PC9ZZWFy
PjxSZWNOdW0+MTM5NTwvUmVjTnVtPjxEaXNwbGF5VGV4dD4oQW50aGVyaWV1LCBHYXJhdCBldCBh
bC4gMjAxNyk8L0Rpc3BsYXlUZXh0PjxyZWNvcmQ+PHJlYy1udW1iZXI+MTM5NTwvcmVjLW51bWJl
cj48Zm9yZWlnbi1rZXlzPjxrZXkgYXBwPSJFTiIgZGItaWQ9Ijl6MDVkejBwcmFhZGZ1ZWUwem94
emVkazl6ZmU1Znh4NTB6NSIgdGltZXN0YW1wPSIxNTIxNTA3MDY5Ij4xMzk1PC9rZXk+PGtleSBh
cHA9IkVOV2ViIiBkYi1pZD0iIj4wPC9rZXk+PC9mb3JlaWduLWtleXM+PHJlZi10eXBlIG5hbWU9
IkpvdXJuYWwgQXJ0aWNsZSI+MTc8L3JlZi10eXBlPjxjb250cmlidXRvcnM+PGF1dGhvcnM+PGF1
dGhvcj5BbnRoZXJpZXUsIFMuPC9hdXRob3I+PGF1dGhvcj5HYXJhdCwgQS48L2F1dGhvcj48YXV0
aG9yPkJlYXV2YWwsIE4uPC9hdXRob3I+PGF1dGhvcj5Tb3lleiwgTS48L2F1dGhvcj48YXV0aG9y
PkFsbG9yZ2UsIEQuPC9hdXRob3I+PGF1dGhvcj5HYXJjb24sIEcuPC9hdXRob3I+PGF1dGhvcj5M
by1HdWlkaWNlLCBKLiBNLjwvYXV0aG9yPjwvYXV0aG9ycz48L2NvbnRyaWJ1dG9ycz48YXV0aC1h
ZGRyZXNzPlVuaXYuIExpbGxlLCBDSFUgTGlsbGUsIEluc3RpdHV0IFBhc3RldXIgZGUgTGlsbGUs
IEVBIDQ0ODMsIElNUEVDUyAtIElNUGFjdCBvZiBFbnZpcm9ubWVudGFsIENoZW1pY2FsUyBvbiBo
dW1hbiBoZWFsdGgsIEYtNTkwMDAgTGlsbGUsIEZyYW5jZS4gRWxlY3Ryb25pYyBhZGRyZXNzOiBz
ZWJhc3RpZW4uYW50aGVyaWV1QHVuaXYtbGlsbGUyLmZyLiYjeEQ7VW5pdi4gTGlsbGUsIENIVSBM
aWxsZSwgSW5zdGl0dXQgUGFzdGV1ciBkZSBMaWxsZSwgRUEgNDQ4MywgSU1QRUNTIC0gSU1QYWN0
IG9mIEVudmlyb25tZW50YWwgQ2hlbWljYWxTIG9uIGh1bWFuIGhlYWx0aCwgRi01OTAwMCBMaWxs
ZSwgRnJhbmNlLiYjeEQ7VW5pdi4gTGlsbGUsIENIVSBMaWxsZSwgSW5zdGl0dXQgUGFzdGV1ciBk
ZSBMaWxsZSwgRUEgNDQ4MywgSU1QRUNTIC0gSU1QYWN0IG9mIEVudmlyb25tZW50YWwgQ2hlbWlj
YWxTIG9uIGh1bWFuIGhlYWx0aCwgRi01OTAwMCBMaWxsZSwgRnJhbmNlOyBNaW5lcyBEb3VhaSwg
U0FHRSwgRi01OTUwOCBEb3VhaSwgRnJhbmNlLjwvYXV0aC1hZGRyZXNzPjx0aXRsZXM+PHRpdGxl
PkNvbXBhcmlzb24gb2YgY2VsbHVsYXIgYW5kIHRyYW5zY3JpcHRvbWljIGVmZmVjdHMgYmV0d2Vl
biBlbGVjdHJvbmljIGNpZ2FyZXR0ZSB2YXBvciBhbmQgY2lnYXJldHRlIHNtb2tlIGluIGh1bWFu
IGJyb25jaGlhbCBlcGl0aGVsaWFsIGNlbGxzPC90aXRsZT48c2Vjb25kYXJ5LXRpdGxlPlRveGlj
b2wgSW4gVml0cm88L3NlY29uZGFyeS10aXRsZT48YWx0LXRpdGxlPlRveGljb2xvZ3kgaW4gdml0
cm8gOiBhbiBpbnRlcm5hdGlvbmFsIGpvdXJuYWwgcHVibGlzaGVkIGluIGFzc29jaWF0aW9uIHdp
dGggQklCUkE8L2FsdC10aXRsZT48L3RpdGxlcz48cGVyaW9kaWNhbD48ZnVsbC10aXRsZT5Ub3hp
Y29sIEluIFZpdHJvPC9mdWxsLXRpdGxlPjxhYmJyLTE+VG94aWNvbG9neSBpbiB2aXRybyA6IGFu
IGludGVybmF0aW9uYWwgam91cm5hbCBwdWJsaXNoZWQgaW4gYXNzb2NpYXRpb24gd2l0aCBCSUJS
QTwvYWJici0xPjwvcGVyaW9kaWNhbD48YWx0LXBlcmlvZGljYWw+PGZ1bGwtdGl0bGU+VG94aWNv
bCBJbiBWaXRybzwvZnVsbC10aXRsZT48YWJici0xPlRveGljb2xvZ3kgaW4gdml0cm8gOiBhbiBp
bnRlcm5hdGlvbmFsIGpvdXJuYWwgcHVibGlzaGVkIGluIGFzc29jaWF0aW9uIHdpdGggQklCUkE8
L2FiYnItMT48L2FsdC1wZXJpb2RpY2FsPjxwYWdlcz40MTctNDI1PC9wYWdlcz48dm9sdW1lPjQ1
PC92b2x1bWU+PG51bWJlcj5QdCAzPC9udW1iZXI+PGVkaXRpb24+MjAxNy8wMS8xMDwvZWRpdGlv
bj48a2V5d29yZHM+PGtleXdvcmQ+QkVBUy0yQiBjZWxsIGxpbmU8L2tleXdvcmQ+PGtleXdvcmQ+
RS1jaWdhcmV0dGU8L2tleXdvcmQ+PGtleXdvcmQ+VG94aWNpdHk8L2tleXdvcmQ+PGtleXdvcmQ+
VHJhbnNjcmlwdG9taWM8L2tleXdvcmQ+PGtleXdvcmQ+VmFwb3JzPC9rZXl3b3JkPjwva2V5d29y
ZHM+PGRhdGVzPjx5ZWFyPjIwMTc8L3llYXI+PHB1Yi1kYXRlcz48ZGF0ZT5EZWM8L2RhdGU+PC9w
dWItZGF0ZXM+PC9kYXRlcz48aXNibj4wODg3LTIzMzM8L2lzYm4+PGFjY2Vzc2lvbi1udW0+Mjgw
NjU3OTA8L2FjY2Vzc2lvbi1udW0+PHVybHM+PHJlbGF0ZWQtdXJscz48dXJsPmh0dHBzOi8vd3d3
LnNjaWVuY2VkaXJlY3QuY29tL3NjaWVuY2UvYXJ0aWNsZS9waWkvUzA4ODcyMzMzMTYzMDI3MTU/
dmlhJTNEaWh1YjwvdXJsPjwvcmVsYXRlZC11cmxzPjwvdXJscz48ZWxlY3Ryb25pYy1yZXNvdXJj
ZS1udW0+MTAuMTAxNi9qLnRpdi4yMDE2LjEyLjAxNTwvZWxlY3Ryb25pYy1yZXNvdXJjZS1udW0+
PHJlbW90ZS1kYXRhYmFzZS1wcm92aWRlcj5OTE08L3JlbW90ZS1kYXRhYmFzZS1wcm92aWRlcj48
bGFuZ3VhZ2U+ZW5nPC9sYW5ndWFnZT48L3JlY29yZD48L0NpdGU+PC9FbmROb3RlPgB=
</w:fldData>
            </w:fldChar>
          </w:r>
          <w:r>
            <w:instrText xml:space="preserve"> ADDIN EN.CITE </w:instrText>
          </w:r>
          <w:r>
            <w:fldChar w:fldCharType="begin">
              <w:fldData xml:space="preserve">PEVuZE5vdGU+PENpdGU+PEF1dGhvcj5BbnRoZXJpZXU8L0F1dGhvcj48WWVhcj4yMDE3PC9ZZWFy
PjxSZWNOdW0+MTM5NTwvUmVjTnVtPjxEaXNwbGF5VGV4dD4oQW50aGVyaWV1LCBHYXJhdCBldCBh
bC4gMjAxNyk8L0Rpc3BsYXlUZXh0PjxyZWNvcmQ+PHJlYy1udW1iZXI+MTM5NTwvcmVjLW51bWJl
cj48Zm9yZWlnbi1rZXlzPjxrZXkgYXBwPSJFTiIgZGItaWQ9Ijl6MDVkejBwcmFhZGZ1ZWUwem94
emVkazl6ZmU1Znh4NTB6NSIgdGltZXN0YW1wPSIxNTIxNTA3MDY5Ij4xMzk1PC9rZXk+PGtleSBh
cHA9IkVOV2ViIiBkYi1pZD0iIj4wPC9rZXk+PC9mb3JlaWduLWtleXM+PHJlZi10eXBlIG5hbWU9
IkpvdXJuYWwgQXJ0aWNsZSI+MTc8L3JlZi10eXBlPjxjb250cmlidXRvcnM+PGF1dGhvcnM+PGF1
dGhvcj5BbnRoZXJpZXUsIFMuPC9hdXRob3I+PGF1dGhvcj5HYXJhdCwgQS48L2F1dGhvcj48YXV0
aG9yPkJlYXV2YWwsIE4uPC9hdXRob3I+PGF1dGhvcj5Tb3lleiwgTS48L2F1dGhvcj48YXV0aG9y
PkFsbG9yZ2UsIEQuPC9hdXRob3I+PGF1dGhvcj5HYXJjb24sIEcuPC9hdXRob3I+PGF1dGhvcj5M
by1HdWlkaWNlLCBKLiBNLjwvYXV0aG9yPjwvYXV0aG9ycz48L2NvbnRyaWJ1dG9ycz48YXV0aC1h
ZGRyZXNzPlVuaXYuIExpbGxlLCBDSFUgTGlsbGUsIEluc3RpdHV0IFBhc3RldXIgZGUgTGlsbGUs
IEVBIDQ0ODMsIElNUEVDUyAtIElNUGFjdCBvZiBFbnZpcm9ubWVudGFsIENoZW1pY2FsUyBvbiBo
dW1hbiBoZWFsdGgsIEYtNTkwMDAgTGlsbGUsIEZyYW5jZS4gRWxlY3Ryb25pYyBhZGRyZXNzOiBz
ZWJhc3RpZW4uYW50aGVyaWV1QHVuaXYtbGlsbGUyLmZyLiYjeEQ7VW5pdi4gTGlsbGUsIENIVSBM
aWxsZSwgSW5zdGl0dXQgUGFzdGV1ciBkZSBMaWxsZSwgRUEgNDQ4MywgSU1QRUNTIC0gSU1QYWN0
IG9mIEVudmlyb25tZW50YWwgQ2hlbWljYWxTIG9uIGh1bWFuIGhlYWx0aCwgRi01OTAwMCBMaWxs
ZSwgRnJhbmNlLiYjeEQ7VW5pdi4gTGlsbGUsIENIVSBMaWxsZSwgSW5zdGl0dXQgUGFzdGV1ciBk
ZSBMaWxsZSwgRUEgNDQ4MywgSU1QRUNTIC0gSU1QYWN0IG9mIEVudmlyb25tZW50YWwgQ2hlbWlj
YWxTIG9uIGh1bWFuIGhlYWx0aCwgRi01OTAwMCBMaWxsZSwgRnJhbmNlOyBNaW5lcyBEb3VhaSwg
U0FHRSwgRi01OTUwOCBEb3VhaSwgRnJhbmNlLjwvYXV0aC1hZGRyZXNzPjx0aXRsZXM+PHRpdGxl
PkNvbXBhcmlzb24gb2YgY2VsbHVsYXIgYW5kIHRyYW5zY3JpcHRvbWljIGVmZmVjdHMgYmV0d2Vl
biBlbGVjdHJvbmljIGNpZ2FyZXR0ZSB2YXBvciBhbmQgY2lnYXJldHRlIHNtb2tlIGluIGh1bWFu
IGJyb25jaGlhbCBlcGl0aGVsaWFsIGNlbGxzPC90aXRsZT48c2Vjb25kYXJ5LXRpdGxlPlRveGlj
b2wgSW4gVml0cm88L3NlY29uZGFyeS10aXRsZT48YWx0LXRpdGxlPlRveGljb2xvZ3kgaW4gdml0
cm8gOiBhbiBpbnRlcm5hdGlvbmFsIGpvdXJuYWwgcHVibGlzaGVkIGluIGFzc29jaWF0aW9uIHdp
dGggQklCUkE8L2FsdC10aXRsZT48L3RpdGxlcz48cGVyaW9kaWNhbD48ZnVsbC10aXRsZT5Ub3hp
Y29sIEluIFZpdHJvPC9mdWxsLXRpdGxlPjxhYmJyLTE+VG94aWNvbG9neSBpbiB2aXRybyA6IGFu
IGludGVybmF0aW9uYWwgam91cm5hbCBwdWJsaXNoZWQgaW4gYXNzb2NpYXRpb24gd2l0aCBCSUJS
QTwvYWJici0xPjwvcGVyaW9kaWNhbD48YWx0LXBlcmlvZGljYWw+PGZ1bGwtdGl0bGU+VG94aWNv
bCBJbiBWaXRybzwvZnVsbC10aXRsZT48YWJici0xPlRveGljb2xvZ3kgaW4gdml0cm8gOiBhbiBp
bnRlcm5hdGlvbmFsIGpvdXJuYWwgcHVibGlzaGVkIGluIGFzc29jaWF0aW9uIHdpdGggQklCUkE8
L2FiYnItMT48L2FsdC1wZXJpb2RpY2FsPjxwYWdlcz40MTctNDI1PC9wYWdlcz48dm9sdW1lPjQ1
PC92b2x1bWU+PG51bWJlcj5QdCAzPC9udW1iZXI+PGVkaXRpb24+MjAxNy8wMS8xMDwvZWRpdGlv
bj48a2V5d29yZHM+PGtleXdvcmQ+QkVBUy0yQiBjZWxsIGxpbmU8L2tleXdvcmQ+PGtleXdvcmQ+
RS1jaWdhcmV0dGU8L2tleXdvcmQ+PGtleXdvcmQ+VG94aWNpdHk8L2tleXdvcmQ+PGtleXdvcmQ+
VHJhbnNjcmlwdG9taWM8L2tleXdvcmQ+PGtleXdvcmQ+VmFwb3JzPC9rZXl3b3JkPjwva2V5d29y
ZHM+PGRhdGVzPjx5ZWFyPjIwMTc8L3llYXI+PHB1Yi1kYXRlcz48ZGF0ZT5EZWM8L2RhdGU+PC9w
dWItZGF0ZXM+PC9kYXRlcz48aXNibj4wODg3LTIzMzM8L2lzYm4+PGFjY2Vzc2lvbi1udW0+Mjgw
NjU3OTA8L2FjY2Vzc2lvbi1udW0+PHVybHM+PHJlbGF0ZWQtdXJscz48dXJsPmh0dHBzOi8vd3d3
LnNjaWVuY2VkaXJlY3QuY29tL3NjaWVuY2UvYXJ0aWNsZS9waWkvUzA4ODcyMzMzMTYzMDI3MTU/
dmlhJTNEaWh1YjwvdXJsPjwvcmVsYXRlZC11cmxzPjwvdXJscz48ZWxlY3Ryb25pYy1yZXNvdXJj
ZS1udW0+MTAuMTAxNi9qLnRpdi4yMDE2LjEyLjAxNTwvZWxlY3Ryb25pYy1yZXNvdXJjZS1udW0+
PHJlbW90ZS1kYXRhYmFzZS1wcm92aWRlcj5OTE08L3JlbW90ZS1kYXRhYmFzZS1wcm92aWRlcj48
bGFuZ3VhZ2U+ZW5nPC9sYW5ndWFnZT48L3JlY29yZD48L0NpdGU+PC9FbmROb3RlPgB=
</w:fldData>
            </w:fldChar>
          </w:r>
          <w:r>
            <w:instrText xml:space="preserve"> ADDIN EN.CITE.DATA </w:instrText>
          </w:r>
          <w:r>
            <w:fldChar w:fldCharType="end"/>
          </w:r>
          <w:r>
            <w:fldChar w:fldCharType="separate"/>
          </w:r>
          <w:r>
            <w:rPr>
              <w:noProof/>
            </w:rPr>
            <w:t>(Antherieu, Garat et al. 2017)</w:t>
          </w:r>
          <w:r>
            <w:fldChar w:fldCharType="end"/>
          </w:r>
          <w:r>
            <w:t xml:space="preserve">, indicating a similar detrimental effect from both e-cigarettes and cigarettes on inflammatory response. </w:t>
          </w:r>
        </w:p>
        <w:p w14:paraId="77417F67" w14:textId="77777777" w:rsidR="00A74D41" w:rsidRDefault="00A74D41" w:rsidP="00A74D41">
          <w:pPr>
            <w:pStyle w:val="BodyText"/>
          </w:pPr>
          <w:r>
            <w:lastRenderedPageBreak/>
            <w:t>Results of studies varied depending on the cell exposure model used and different flavours of e</w:t>
          </w:r>
          <w:r>
            <w:noBreakHyphen/>
            <w:t xml:space="preserve">cigarettes </w:t>
          </w:r>
          <w:r>
            <w:fldChar w:fldCharType="begin">
              <w:fldData xml:space="preserve">PEVuZE5vdGU+PENpdGU+PEF1dGhvcj5CZW5nYWxsaTwvQXV0aG9yPjxZZWFyPjIwMTc8L1llYXI+
PFJlY051bT44NDg8L1JlY051bT48RGlzcGxheVRleHQ+KEJlbmdhbGxpLCBGZXJyaSBldCBhbC4g
MjAxNywgQ2xhcHAsIFBhd2xhayBldCBhbC4gMjAxNyk8L0Rpc3BsYXlUZXh0PjxyZWNvcmQ+PHJl
Yy1udW1iZXI+ODQ4PC9yZWMtbnVtYmVyPjxmb3JlaWduLWtleXM+PGtleSBhcHA9IkVOIiBkYi1p
ZD0iOXowNWR6MHByYWFkZnVlZTB6b3h6ZWRrOXpmZTVmeHg1MHo1IiB0aW1lc3RhbXA9IjE1MjE1
MDY5NDIiPjg0ODwva2V5PjxrZXkgYXBwPSJFTldlYiIgZGItaWQ9IiI+MDwva2V5PjwvZm9yZWln
bi1rZXlzPjxyZWYtdHlwZSBuYW1lPSJKb3VybmFsIEFydGljbGUiPjE3PC9yZWYtdHlwZT48Y29u
dHJpYnV0b3JzPjxhdXRob3JzPjxhdXRob3I+QmVuZ2FsbGksIFIuPC9hdXRob3I+PGF1dGhvcj5G
ZXJyaSwgRS48L2F1dGhvcj48YXV0aG9yPkxhYnJhLCBNLjwvYXV0aG9yPjxhdXRob3I+TWFudGVj
Y2EsIFAuPC9hdXRob3I+PC9hdXRob3JzPjwvY29udHJpYnV0b3JzPjxhdXRoLWFkZHJlc3M+RGVw
YXJ0bWVudCBvZiBFYXJ0aCBhbmQgRW52aXJvbm1lbnRhbCBTY2llbmNlcywgUmVzZWFyY2ggQ2Vu
dGVyIFBPTEFSSVMgKFBhcnRpY3VsYXRlIE1hdHRlciBhbmQgSGVhbHRoIFJpc2spLCAxIFBpYXp6
YSBkZWxsYSBTY2llbnphLCBVbml2ZXJzaXR5IG9mIE1pbGFubyBCaWNvY2NhLCAyMDEyNiBNaWxh
biwgSXRhbHkuIHJvc3NlbGxhLmJlbmdhbGxpQHVuaW1pYi5pdC4mI3hEO1RSVVNUSUNFUlQgU1JM
LCB2aWEgTWF6emluaSAxOC9DLCAyMjAzNiBFcmJhLCBJdGFseS4gZW1hbnVlbGUuZmVycmlAdHJ1
c3RpY2VydC5jb20uJiN4RDtEZXBhcnRtZW50IG9mIEJpb3RlY2hub2xvZ3kgYW5kIEJpb3NjaWVu
Y2VzLCAyIFBpYXp6YSBkZWxsYSBTY2llbnphLCBVbml2ZXJzaXR5IG9mIE1pbGFubyBCaWNvY2Nh
LCAyMDEyNiBNaWxhbiwgSXRhbHkuIG1hc3NpbW8ubGFicmFAdW5pbWliLml0LiYjeEQ7RGVwYXJ0
bWVudCBvZiBFYXJ0aCBhbmQgRW52aXJvbm1lbnRhbCBTY2llbmNlcywgUmVzZWFyY2ggQ2VudGVy
IFBPTEFSSVMgKFBhcnRpY3VsYXRlIE1hdHRlciBhbmQgSGVhbHRoIFJpc2spLCAxIFBpYXp6YSBk
ZWxsYSBTY2llbnphLCBVbml2ZXJzaXR5IG9mIE1pbGFubyBCaWNvY2NhLCAyMDEyNiBNaWxhbiwg
SXRhbHkuIHBhcmlkZS5tYW50ZWNjYUB1bmltaWIuaXQuPC9hdXRoLWFkZHJlc3M+PHRpdGxlcz48
dGl0bGU+THVuZyBUb3hpY2l0eSBvZiBDb25kZW5zZWQgQWVyb3NvbCBmcm9tIEUtQ0lHIExpcXVp
ZHM6IEluZmx1ZW5jZSBvZiB0aGUgRmxhdm9yIGFuZCB0aGUgSW4gVml0cm8gTW9kZWwgVXNlZDwv
dGl0bGU+PHNlY29uZGFyeS10aXRsZT5JbnQgSiBFbnZpcm9uIFJlcyBQdWJsaWMgSGVhbHRoPC9z
ZWNvbmRhcnktdGl0bGU+PGFsdC10aXRsZT5JbnRlcm5hdGlvbmFsIGpvdXJuYWwgb2YgZW52aXJv
bm1lbnRhbCByZXNlYXJjaCBhbmQgcHVibGljIGhlYWx0aDwvYWx0LXRpdGxlPjwvdGl0bGVzPjxh
bHQtcGVyaW9kaWNhbD48ZnVsbC10aXRsZT5JbnRlcm5hdGlvbmFsIEpvdXJuYWwgb2YgRW52aXJv
bm1lbnRhbCBSZXNlYXJjaCBhbmQgUHVibGljIEhlYWx0aDwvZnVsbC10aXRsZT48L2FsdC1wZXJp
b2RpY2FsPjx2b2x1bWU+MTQ8L3ZvbHVtZT48bnVtYmVyPjEwPC9udW1iZXI+PGVkaXRpb24+MjAx
Ny8xMC8yMTwvZWRpdGlvbj48a2V5d29yZHM+PGtleXdvcmQ+Y29uZGVuc2VkIGFlcm9zb2w8L2tl
eXdvcmQ+PGtleXdvcmQ+ZS1jaWdhcmV0dGU8L2tleXdvcmQ+PGtleXdvcmQ+ZS1saXF1aWQ8L2tl
eXdvcmQ+PGtleXdvcmQ+aW4gdml0cm8gc3lzdGVtczwva2V5d29yZD48a2V5d29yZD5pbmhhbGF0
aW9uIHRveGljb2xvZ3k8L2tleXdvcmQ+PC9rZXl3b3Jkcz48ZGF0ZXM+PHllYXI+MjAxNzwveWVh
cj48cHViLWRhdGVzPjxkYXRlPk9jdCAyMDwvZGF0ZT48L3B1Yi1kYXRlcz48L2RhdGVzPjxpc2Ju
PjE2NjAtNDYwMTwvaXNibj48YWNjZXNzaW9uLW51bT4yOTA1MzYwNjwvYWNjZXNzaW9uLW51bT48
dXJscz48cmVsYXRlZC11cmxzPjx1cmw+aHR0cDovL3d3dy5tZHBpLmNvbS8xNjYwLTQ2MDEvMTQv
MTAvMTI1NC9wZGY8L3VybD48L3JlbGF0ZWQtdXJscz48L3VybHM+PGN1c3RvbTI+UE1DNTY2NDc1
NTwvY3VzdG9tMj48ZWxlY3Ryb25pYy1yZXNvdXJjZS1udW0+MTAuMzM5MC9pamVycGgxNDEwMTI1
NDwvZWxlY3Ryb25pYy1yZXNvdXJjZS1udW0+PHJlbW90ZS1kYXRhYmFzZS1wcm92aWRlcj5OTE08
L3JlbW90ZS1kYXRhYmFzZS1wcm92aWRlcj48bGFuZ3VhZ2U+ZW5nPC9sYW5ndWFnZT48L3JlY29y
ZD48L0NpdGU+PENpdGU+PEF1dGhvcj5DbGFwcDwvQXV0aG9yPjxZZWFyPjIwMTc8L1llYXI+PFJl
Y051bT4xMTU1PC9SZWNOdW0+PHJlY29yZD48cmVjLW51bWJlcj4xMTU1PC9yZWMtbnVtYmVyPjxm
b3JlaWduLWtleXM+PGtleSBhcHA9IkVOIiBkYi1pZD0iOXowNWR6MHByYWFkZnVlZTB6b3h6ZWRr
OXpmZTVmeHg1MHo1IiB0aW1lc3RhbXA9IjE1MjE1MDcwMTMiPjExNTU8L2tleT48a2V5IGFwcD0i
RU5XZWIiIGRiLWlkPSIiPjA8L2tleT48L2ZvcmVpZ24ta2V5cz48cmVmLXR5cGUgbmFtZT0iSm91
cm5hbCBBcnRpY2xlIj4xNzwvcmVmLXR5cGU+PGNvbnRyaWJ1dG9ycz48YXV0aG9ycz48YXV0aG9y
PkNsYXBwLCBQLiBXLjwvYXV0aG9yPjxhdXRob3I+UGF3bGFrLCBFLiBBLjwvYXV0aG9yPjxhdXRo
b3I+TGFja2V5LCBKLiBULjwvYXV0aG9yPjxhdXRob3I+S2VhdGluZywgSi4gRS48L2F1dGhvcj48
YXV0aG9yPlJlZWJlciwgUy4gTC48L2F1dGhvcj48YXV0aG9yPkdsaXNoLCBHLiBMLjwvYXV0aG9y
PjxhdXRob3I+SmFzcGVycywgSS48L2F1dGhvcj48L2F1dGhvcnM+PC9jb250cmlidXRvcnM+PGF1
dGgtYWRkcmVzcz5DdXJyaWN1bHVtIGluIFRveGljb2xvZ3ksIFNjaG9vbCBvZiBNZWRpY2luZSwg
VW5pdmVyc2l0eSBvZiBOb3J0aCBDYXJvbGluYSwgQ2hhcGVsIEhpbGwsIE5vcnRoIENhcm9saW5h
LiYjeEQ7Q2VudGVyIGZvciBFbnZpcm9ubWVudGFsIE1lZGljaW5lLCBBc3RobWEsIGFuZCBMdW5n
IEJpb2xvZ3ksIFNjaG9vbCBvZiBNZWRpY2luZSwgVW5pdmVyc2l0eSBvZiBOb3J0aCBDYXJvbGlu
YSwgQ2hhcGVsIEhpbGwsIE5vcnRoIENhcm9saW5hOyBhbmQuJiN4RDtEZXBhcnRtZW50IG9mIENo
ZW1pc3RyeSwgVW5pdmVyc2l0eSBvZiBOb3J0aCBDYXJvbGluYSwgQ2hhcGVsIEhpbGwsIE5vcnRo
IENhcm9saW5hLiYjeEQ7Q3VycmljdWx1bSBpbiBUb3hpY29sb2d5LCBTY2hvb2wgb2YgTWVkaWNp
bmUsIFVuaXZlcnNpdHkgb2YgTm9ydGggQ2Fyb2xpbmEsIENoYXBlbCBIaWxsLCBOb3J0aCBDYXJv
bGluYTsgaWxvbmFfamFzcGVyc0BtZWQudW5jLmVkdS48L2F1dGgtYWRkcmVzcz48dGl0bGVzPjx0
aXRsZT5GbGF2b3JlZCBlLWNpZ2FyZXR0ZSBsaXF1aWRzIGFuZCBjaW5uYW1hbGRlaHlkZSBpbXBh
aXIgcmVzcGlyYXRvcnkgaW5uYXRlIGltbXVuZSBjZWxsIGZ1bmN0aW9uPC90aXRsZT48c2Vjb25k
YXJ5LXRpdGxlPkFtIEogUGh5c2lvbCBMdW5nIENlbGwgTW9sIFBoeXNpb2w8L3NlY29uZGFyeS10
aXRsZT48YWx0LXRpdGxlPkFtZXJpY2FuIGpvdXJuYWwgb2YgcGh5c2lvbG9neS4gTHVuZyBjZWxs
dWxhciBhbmQgbW9sZWN1bGFyIHBoeXNpb2xvZ3k8L2FsdC10aXRsZT48L3RpdGxlcz48cGVyaW9k
aWNhbD48ZnVsbC10aXRsZT5BbSBKIFBoeXNpb2wgTHVuZyBDZWxsIE1vbCBQaHlzaW9sPC9mdWxs
LXRpdGxlPjxhYmJyLTE+QW1lcmljYW4gam91cm5hbCBvZiBwaHlzaW9sb2d5LiBMdW5nIGNlbGx1
bGFyIGFuZCBtb2xlY3VsYXIgcGh5c2lvbG9neTwvYWJici0xPjwvcGVyaW9kaWNhbD48YWx0LXBl
cmlvZGljYWw+PGZ1bGwtdGl0bGU+QW0gSiBQaHlzaW9sIEx1bmcgQ2VsbCBNb2wgUGh5c2lvbDwv
ZnVsbC10aXRsZT48YWJici0xPkFtZXJpY2FuIGpvdXJuYWwgb2YgcGh5c2lvbG9neS4gTHVuZyBj
ZWxsdWxhciBhbmQgbW9sZWN1bGFyIHBoeXNpb2xvZ3k8L2FiYnItMT48L2FsdC1wZXJpb2RpY2Fs
PjxwYWdlcz5MMjc4LWwyOTI8L3BhZ2VzPjx2b2x1bWU+MzEzPC92b2x1bWU+PG51bWJlcj4yPC9u
dW1iZXI+PGVkaXRpb24+MjAxNy8wNS8xMzwvZWRpdGlvbj48a2V5d29yZHM+PGtleXdvcmQ+QWNy
b2xlaW4vYWR2ZXJzZSBlZmZlY3RzLyphbmFsb2dzICZhbXA7IGRlcml2YXRpdmVzPC9rZXl3b3Jk
PjxrZXl3b3JkPkFkb2xlc2NlbnQ8L2tleXdvcmQ+PGtleXdvcmQ+QWR1bHQ8L2tleXdvcmQ+PGtl
eXdvcmQ+RWxlY3Ryb25pYyBOaWNvdGluZSBEZWxpdmVyeSBTeXN0ZW1zLyphZHZlcnNlIGVmZmVj
dHM8L2tleXdvcmQ+PGtleXdvcmQ+RmVtYWxlPC9rZXl3b3JkPjxrZXl3b3JkPkh1bWFuczwva2V5
d29yZD48a2V5d29yZD5JbW11bml0eSwgSW5uYXRlLypkcnVnIGVmZmVjdHM8L2tleXdvcmQ+PGtl
eXdvcmQ+SW5mbGFtbWF0aW9uL2NoZW1pY2FsbHkgaW5kdWNlZDwva2V5d29yZD48a2V5d29yZD5L
aWxsZXIgQ2VsbHMsIE5hdHVyYWwvZHJ1ZyBlZmZlY3RzPC9rZXl3b3JkPjxrZXl3b3JkPk1hY3Jv
cGhhZ2VzL2RydWcgZWZmZWN0czwva2V5d29yZD48a2V5d29yZD5NYWxlPC9rZXl3b3JkPjxrZXl3
b3JkPk1pZGRsZSBBZ2VkPC9rZXl3b3JkPjxrZXl3b3JkPk5ldXRyb3BoaWxzL2RydWcgZWZmZWN0
czwva2V5d29yZD48a2V5d29yZD5OaWNvdGluZS9hZHZlcnNlIGVmZmVjdHM8L2tleXdvcmQ+PGtl
eXdvcmQ+UGhhZ29jeXRvc2lzL2RydWcgZWZmZWN0czwva2V5d29yZD48a2V5d29yZD5Zb3VuZyBB
ZHVsdDwva2V5d29yZD48a2V5d29yZD5jaW5uYW1hbGRlaHlkZTwva2V5d29yZD48a2V5d29yZD5l
LWNpZ2FyZXR0ZTwva2V5d29yZD48a2V5d29yZD5lLWxpcXVpZDwva2V5d29yZD48a2V5d29yZD5p
bm5hdGUgaW1tdW5lIGNlbGwgZnVuY3Rpb248L2tleXdvcmQ+PC9rZXl3b3Jkcz48ZGF0ZXM+PHll
YXI+MjAxNzwveWVhcj48cHViLWRhdGVzPjxkYXRlPkF1ZyAxPC9kYXRlPjwvcHViLWRhdGVzPjwv
ZGF0ZXM+PGlzYm4+MTA0MC0wNjA1PC9pc2JuPjxhY2Nlc3Npb24tbnVtPjI4NDk1ODU2PC9hY2Nl
c3Npb24tbnVtPjx1cmxzPjwvdXJscz48Y3VzdG9tMj5QTUM1NTgyOTI5PC9jdXN0b20yPjxlbGVj
dHJvbmljLXJlc291cmNlLW51bT4xMC4xMTUyL2FqcGx1bmcuMDA0NTIuMjAxNjwvZWxlY3Ryb25p
Yy1yZXNvdXJjZS1udW0+PHJlbW90ZS1kYXRhYmFzZS1wcm92aWRlcj5OTE08L3JlbW90ZS1kYXRh
YmFzZS1wcm92aWRlcj48bGFuZ3VhZ2U+ZW5nPC9sYW5ndWFnZT48L3JlY29yZD48L0NpdGU+PC9F
bmROb3RlPn==
</w:fldData>
            </w:fldChar>
          </w:r>
          <w:r>
            <w:instrText xml:space="preserve"> ADDIN EN.CITE </w:instrText>
          </w:r>
          <w:r>
            <w:fldChar w:fldCharType="begin">
              <w:fldData xml:space="preserve">PEVuZE5vdGU+PENpdGU+PEF1dGhvcj5CZW5nYWxsaTwvQXV0aG9yPjxZZWFyPjIwMTc8L1llYXI+
PFJlY051bT44NDg8L1JlY051bT48RGlzcGxheVRleHQ+KEJlbmdhbGxpLCBGZXJyaSBldCBhbC4g
MjAxNywgQ2xhcHAsIFBhd2xhayBldCBhbC4gMjAxNyk8L0Rpc3BsYXlUZXh0PjxyZWNvcmQ+PHJl
Yy1udW1iZXI+ODQ4PC9yZWMtbnVtYmVyPjxmb3JlaWduLWtleXM+PGtleSBhcHA9IkVOIiBkYi1p
ZD0iOXowNWR6MHByYWFkZnVlZTB6b3h6ZWRrOXpmZTVmeHg1MHo1IiB0aW1lc3RhbXA9IjE1MjE1
MDY5NDIiPjg0ODwva2V5PjxrZXkgYXBwPSJFTldlYiIgZGItaWQ9IiI+MDwva2V5PjwvZm9yZWln
bi1rZXlzPjxyZWYtdHlwZSBuYW1lPSJKb3VybmFsIEFydGljbGUiPjE3PC9yZWYtdHlwZT48Y29u
dHJpYnV0b3JzPjxhdXRob3JzPjxhdXRob3I+QmVuZ2FsbGksIFIuPC9hdXRob3I+PGF1dGhvcj5G
ZXJyaSwgRS48L2F1dGhvcj48YXV0aG9yPkxhYnJhLCBNLjwvYXV0aG9yPjxhdXRob3I+TWFudGVj
Y2EsIFAuPC9hdXRob3I+PC9hdXRob3JzPjwvY29udHJpYnV0b3JzPjxhdXRoLWFkZHJlc3M+RGVw
YXJ0bWVudCBvZiBFYXJ0aCBhbmQgRW52aXJvbm1lbnRhbCBTY2llbmNlcywgUmVzZWFyY2ggQ2Vu
dGVyIFBPTEFSSVMgKFBhcnRpY3VsYXRlIE1hdHRlciBhbmQgSGVhbHRoIFJpc2spLCAxIFBpYXp6
YSBkZWxsYSBTY2llbnphLCBVbml2ZXJzaXR5IG9mIE1pbGFubyBCaWNvY2NhLCAyMDEyNiBNaWxh
biwgSXRhbHkuIHJvc3NlbGxhLmJlbmdhbGxpQHVuaW1pYi5pdC4mI3hEO1RSVVNUSUNFUlQgU1JM
LCB2aWEgTWF6emluaSAxOC9DLCAyMjAzNiBFcmJhLCBJdGFseS4gZW1hbnVlbGUuZmVycmlAdHJ1
c3RpY2VydC5jb20uJiN4RDtEZXBhcnRtZW50IG9mIEJpb3RlY2hub2xvZ3kgYW5kIEJpb3NjaWVu
Y2VzLCAyIFBpYXp6YSBkZWxsYSBTY2llbnphLCBVbml2ZXJzaXR5IG9mIE1pbGFubyBCaWNvY2Nh
LCAyMDEyNiBNaWxhbiwgSXRhbHkuIG1hc3NpbW8ubGFicmFAdW5pbWliLml0LiYjeEQ7RGVwYXJ0
bWVudCBvZiBFYXJ0aCBhbmQgRW52aXJvbm1lbnRhbCBTY2llbmNlcywgUmVzZWFyY2ggQ2VudGVy
IFBPTEFSSVMgKFBhcnRpY3VsYXRlIE1hdHRlciBhbmQgSGVhbHRoIFJpc2spLCAxIFBpYXp6YSBk
ZWxsYSBTY2llbnphLCBVbml2ZXJzaXR5IG9mIE1pbGFubyBCaWNvY2NhLCAyMDEyNiBNaWxhbiwg
SXRhbHkuIHBhcmlkZS5tYW50ZWNjYUB1bmltaWIuaXQuPC9hdXRoLWFkZHJlc3M+PHRpdGxlcz48
dGl0bGU+THVuZyBUb3hpY2l0eSBvZiBDb25kZW5zZWQgQWVyb3NvbCBmcm9tIEUtQ0lHIExpcXVp
ZHM6IEluZmx1ZW5jZSBvZiB0aGUgRmxhdm9yIGFuZCB0aGUgSW4gVml0cm8gTW9kZWwgVXNlZDwv
dGl0bGU+PHNlY29uZGFyeS10aXRsZT5JbnQgSiBFbnZpcm9uIFJlcyBQdWJsaWMgSGVhbHRoPC9z
ZWNvbmRhcnktdGl0bGU+PGFsdC10aXRsZT5JbnRlcm5hdGlvbmFsIGpvdXJuYWwgb2YgZW52aXJv
bm1lbnRhbCByZXNlYXJjaCBhbmQgcHVibGljIGhlYWx0aDwvYWx0LXRpdGxlPjwvdGl0bGVzPjxh
bHQtcGVyaW9kaWNhbD48ZnVsbC10aXRsZT5JbnRlcm5hdGlvbmFsIEpvdXJuYWwgb2YgRW52aXJv
bm1lbnRhbCBSZXNlYXJjaCBhbmQgUHVibGljIEhlYWx0aDwvZnVsbC10aXRsZT48L2FsdC1wZXJp
b2RpY2FsPjx2b2x1bWU+MTQ8L3ZvbHVtZT48bnVtYmVyPjEwPC9udW1iZXI+PGVkaXRpb24+MjAx
Ny8xMC8yMTwvZWRpdGlvbj48a2V5d29yZHM+PGtleXdvcmQ+Y29uZGVuc2VkIGFlcm9zb2w8L2tl
eXdvcmQ+PGtleXdvcmQ+ZS1jaWdhcmV0dGU8L2tleXdvcmQ+PGtleXdvcmQ+ZS1saXF1aWQ8L2tl
eXdvcmQ+PGtleXdvcmQ+aW4gdml0cm8gc3lzdGVtczwva2V5d29yZD48a2V5d29yZD5pbmhhbGF0
aW9uIHRveGljb2xvZ3k8L2tleXdvcmQ+PC9rZXl3b3Jkcz48ZGF0ZXM+PHllYXI+MjAxNzwveWVh
cj48cHViLWRhdGVzPjxkYXRlPk9jdCAyMDwvZGF0ZT48L3B1Yi1kYXRlcz48L2RhdGVzPjxpc2Ju
PjE2NjAtNDYwMTwvaXNibj48YWNjZXNzaW9uLW51bT4yOTA1MzYwNjwvYWNjZXNzaW9uLW51bT48
dXJscz48cmVsYXRlZC11cmxzPjx1cmw+aHR0cDovL3d3dy5tZHBpLmNvbS8xNjYwLTQ2MDEvMTQv
MTAvMTI1NC9wZGY8L3VybD48L3JlbGF0ZWQtdXJscz48L3VybHM+PGN1c3RvbTI+UE1DNTY2NDc1
NTwvY3VzdG9tMj48ZWxlY3Ryb25pYy1yZXNvdXJjZS1udW0+MTAuMzM5MC9pamVycGgxNDEwMTI1
NDwvZWxlY3Ryb25pYy1yZXNvdXJjZS1udW0+PHJlbW90ZS1kYXRhYmFzZS1wcm92aWRlcj5OTE08
L3JlbW90ZS1kYXRhYmFzZS1wcm92aWRlcj48bGFuZ3VhZ2U+ZW5nPC9sYW5ndWFnZT48L3JlY29y
ZD48L0NpdGU+PENpdGU+PEF1dGhvcj5DbGFwcDwvQXV0aG9yPjxZZWFyPjIwMTc8L1llYXI+PFJl
Y051bT4xMTU1PC9SZWNOdW0+PHJlY29yZD48cmVjLW51bWJlcj4xMTU1PC9yZWMtbnVtYmVyPjxm
b3JlaWduLWtleXM+PGtleSBhcHA9IkVOIiBkYi1pZD0iOXowNWR6MHByYWFkZnVlZTB6b3h6ZWRr
OXpmZTVmeHg1MHo1IiB0aW1lc3RhbXA9IjE1MjE1MDcwMTMiPjExNTU8L2tleT48a2V5IGFwcD0i
RU5XZWIiIGRiLWlkPSIiPjA8L2tleT48L2ZvcmVpZ24ta2V5cz48cmVmLXR5cGUgbmFtZT0iSm91
cm5hbCBBcnRpY2xlIj4xNzwvcmVmLXR5cGU+PGNvbnRyaWJ1dG9ycz48YXV0aG9ycz48YXV0aG9y
PkNsYXBwLCBQLiBXLjwvYXV0aG9yPjxhdXRob3I+UGF3bGFrLCBFLiBBLjwvYXV0aG9yPjxhdXRo
b3I+TGFja2V5LCBKLiBULjwvYXV0aG9yPjxhdXRob3I+S2VhdGluZywgSi4gRS48L2F1dGhvcj48
YXV0aG9yPlJlZWJlciwgUy4gTC48L2F1dGhvcj48YXV0aG9yPkdsaXNoLCBHLiBMLjwvYXV0aG9y
PjxhdXRob3I+SmFzcGVycywgSS48L2F1dGhvcj48L2F1dGhvcnM+PC9jb250cmlidXRvcnM+PGF1
dGgtYWRkcmVzcz5DdXJyaWN1bHVtIGluIFRveGljb2xvZ3ksIFNjaG9vbCBvZiBNZWRpY2luZSwg
VW5pdmVyc2l0eSBvZiBOb3J0aCBDYXJvbGluYSwgQ2hhcGVsIEhpbGwsIE5vcnRoIENhcm9saW5h
LiYjeEQ7Q2VudGVyIGZvciBFbnZpcm9ubWVudGFsIE1lZGljaW5lLCBBc3RobWEsIGFuZCBMdW5n
IEJpb2xvZ3ksIFNjaG9vbCBvZiBNZWRpY2luZSwgVW5pdmVyc2l0eSBvZiBOb3J0aCBDYXJvbGlu
YSwgQ2hhcGVsIEhpbGwsIE5vcnRoIENhcm9saW5hOyBhbmQuJiN4RDtEZXBhcnRtZW50IG9mIENo
ZW1pc3RyeSwgVW5pdmVyc2l0eSBvZiBOb3J0aCBDYXJvbGluYSwgQ2hhcGVsIEhpbGwsIE5vcnRo
IENhcm9saW5hLiYjeEQ7Q3VycmljdWx1bSBpbiBUb3hpY29sb2d5LCBTY2hvb2wgb2YgTWVkaWNp
bmUsIFVuaXZlcnNpdHkgb2YgTm9ydGggQ2Fyb2xpbmEsIENoYXBlbCBIaWxsLCBOb3J0aCBDYXJv
bGluYTsgaWxvbmFfamFzcGVyc0BtZWQudW5jLmVkdS48L2F1dGgtYWRkcmVzcz48dGl0bGVzPjx0
aXRsZT5GbGF2b3JlZCBlLWNpZ2FyZXR0ZSBsaXF1aWRzIGFuZCBjaW5uYW1hbGRlaHlkZSBpbXBh
aXIgcmVzcGlyYXRvcnkgaW5uYXRlIGltbXVuZSBjZWxsIGZ1bmN0aW9uPC90aXRsZT48c2Vjb25k
YXJ5LXRpdGxlPkFtIEogUGh5c2lvbCBMdW5nIENlbGwgTW9sIFBoeXNpb2w8L3NlY29uZGFyeS10
aXRsZT48YWx0LXRpdGxlPkFtZXJpY2FuIGpvdXJuYWwgb2YgcGh5c2lvbG9neS4gTHVuZyBjZWxs
dWxhciBhbmQgbW9sZWN1bGFyIHBoeXNpb2xvZ3k8L2FsdC10aXRsZT48L3RpdGxlcz48cGVyaW9k
aWNhbD48ZnVsbC10aXRsZT5BbSBKIFBoeXNpb2wgTHVuZyBDZWxsIE1vbCBQaHlzaW9sPC9mdWxs
LXRpdGxlPjxhYmJyLTE+QW1lcmljYW4gam91cm5hbCBvZiBwaHlzaW9sb2d5LiBMdW5nIGNlbGx1
bGFyIGFuZCBtb2xlY3VsYXIgcGh5c2lvbG9neTwvYWJici0xPjwvcGVyaW9kaWNhbD48YWx0LXBl
cmlvZGljYWw+PGZ1bGwtdGl0bGU+QW0gSiBQaHlzaW9sIEx1bmcgQ2VsbCBNb2wgUGh5c2lvbDwv
ZnVsbC10aXRsZT48YWJici0xPkFtZXJpY2FuIGpvdXJuYWwgb2YgcGh5c2lvbG9neS4gTHVuZyBj
ZWxsdWxhciBhbmQgbW9sZWN1bGFyIHBoeXNpb2xvZ3k8L2FiYnItMT48L2FsdC1wZXJpb2RpY2Fs
PjxwYWdlcz5MMjc4LWwyOTI8L3BhZ2VzPjx2b2x1bWU+MzEzPC92b2x1bWU+PG51bWJlcj4yPC9u
dW1iZXI+PGVkaXRpb24+MjAxNy8wNS8xMzwvZWRpdGlvbj48a2V5d29yZHM+PGtleXdvcmQ+QWNy
b2xlaW4vYWR2ZXJzZSBlZmZlY3RzLyphbmFsb2dzICZhbXA7IGRlcml2YXRpdmVzPC9rZXl3b3Jk
PjxrZXl3b3JkPkFkb2xlc2NlbnQ8L2tleXdvcmQ+PGtleXdvcmQ+QWR1bHQ8L2tleXdvcmQ+PGtl
eXdvcmQ+RWxlY3Ryb25pYyBOaWNvdGluZSBEZWxpdmVyeSBTeXN0ZW1zLyphZHZlcnNlIGVmZmVj
dHM8L2tleXdvcmQ+PGtleXdvcmQ+RmVtYWxlPC9rZXl3b3JkPjxrZXl3b3JkPkh1bWFuczwva2V5
d29yZD48a2V5d29yZD5JbW11bml0eSwgSW5uYXRlLypkcnVnIGVmZmVjdHM8L2tleXdvcmQ+PGtl
eXdvcmQ+SW5mbGFtbWF0aW9uL2NoZW1pY2FsbHkgaW5kdWNlZDwva2V5d29yZD48a2V5d29yZD5L
aWxsZXIgQ2VsbHMsIE5hdHVyYWwvZHJ1ZyBlZmZlY3RzPC9rZXl3b3JkPjxrZXl3b3JkPk1hY3Jv
cGhhZ2VzL2RydWcgZWZmZWN0czwva2V5d29yZD48a2V5d29yZD5NYWxlPC9rZXl3b3JkPjxrZXl3
b3JkPk1pZGRsZSBBZ2VkPC9rZXl3b3JkPjxrZXl3b3JkPk5ldXRyb3BoaWxzL2RydWcgZWZmZWN0
czwva2V5d29yZD48a2V5d29yZD5OaWNvdGluZS9hZHZlcnNlIGVmZmVjdHM8L2tleXdvcmQ+PGtl
eXdvcmQ+UGhhZ29jeXRvc2lzL2RydWcgZWZmZWN0czwva2V5d29yZD48a2V5d29yZD5Zb3VuZyBB
ZHVsdDwva2V5d29yZD48a2V5d29yZD5jaW5uYW1hbGRlaHlkZTwva2V5d29yZD48a2V5d29yZD5l
LWNpZ2FyZXR0ZTwva2V5d29yZD48a2V5d29yZD5lLWxpcXVpZDwva2V5d29yZD48a2V5d29yZD5p
bm5hdGUgaW1tdW5lIGNlbGwgZnVuY3Rpb248L2tleXdvcmQ+PC9rZXl3b3Jkcz48ZGF0ZXM+PHll
YXI+MjAxNzwveWVhcj48cHViLWRhdGVzPjxkYXRlPkF1ZyAxPC9kYXRlPjwvcHViLWRhdGVzPjwv
ZGF0ZXM+PGlzYm4+MTA0MC0wNjA1PC9pc2JuPjxhY2Nlc3Npb24tbnVtPjI4NDk1ODU2PC9hY2Nl
c3Npb24tbnVtPjx1cmxzPjwvdXJscz48Y3VzdG9tMj5QTUM1NTgyOTI5PC9jdXN0b20yPjxlbGVj
dHJvbmljLXJlc291cmNlLW51bT4xMC4xMTUyL2FqcGx1bmcuMDA0NTIuMjAxNjwvZWxlY3Ryb25p
Yy1yZXNvdXJjZS1udW0+PHJlbW90ZS1kYXRhYmFzZS1wcm92aWRlcj5OTE08L3JlbW90ZS1kYXRh
YmFzZS1wcm92aWRlcj48bGFuZ3VhZ2U+ZW5nPC9sYW5ndWFnZT48L3JlY29yZD48L0NpdGU+PC9F
bmROb3RlPn==
</w:fldData>
            </w:fldChar>
          </w:r>
          <w:r>
            <w:instrText xml:space="preserve"> ADDIN EN.CITE.DATA </w:instrText>
          </w:r>
          <w:r>
            <w:fldChar w:fldCharType="end"/>
          </w:r>
          <w:r>
            <w:fldChar w:fldCharType="separate"/>
          </w:r>
          <w:r>
            <w:rPr>
              <w:noProof/>
            </w:rPr>
            <w:t>(Bengalli, Ferri et al. 2017, Clapp, Pawlak et al. 2017)</w:t>
          </w:r>
          <w:r>
            <w:fldChar w:fldCharType="end"/>
          </w:r>
          <w:r>
            <w:t xml:space="preserve">. For example, when </w:t>
          </w:r>
          <w:r w:rsidRPr="00464D34">
            <w:t>epithelial alveolar cells</w:t>
          </w:r>
          <w:r>
            <w:t xml:space="preserve"> and</w:t>
          </w:r>
          <w:r w:rsidRPr="00464D34">
            <w:t xml:space="preserve"> lung microvascular endothelial cells</w:t>
          </w:r>
          <w:r>
            <w:t xml:space="preserve"> were exposed to e-cigarette vapour in a cell monoculture model e-cigarette exposure led to increased IL-8 secretion, whereas when the cells were trialled using an alveolar blood barrier model, there was no increase in IL-</w:t>
          </w:r>
          <w:r w:rsidRPr="009E401C">
            <w:rPr>
              <w:color w:val="000000" w:themeColor="text1"/>
            </w:rPr>
            <w:t xml:space="preserve">8 </w:t>
          </w:r>
          <w:r w:rsidRPr="009E401C">
            <w:rPr>
              <w:color w:val="000000" w:themeColor="text1"/>
            </w:rPr>
            <w:fldChar w:fldCharType="begin">
              <w:fldData xml:space="preserve">PEVuZE5vdGU+PENpdGU+PEF1dGhvcj5CZW5nYWxsaTwvQXV0aG9yPjxZZWFyPjIwMTc8L1llYXI+
PFJlY051bT44NDg8L1JlY051bT48RGlzcGxheVRleHQ+KEJlbmdhbGxpLCBGZXJyaSBldCBhbC4g
MjAxNyk8L0Rpc3BsYXlUZXh0PjxyZWNvcmQ+PHJlYy1udW1iZXI+ODQ4PC9yZWMtbnVtYmVyPjxm
b3JlaWduLWtleXM+PGtleSBhcHA9IkVOIiBkYi1pZD0iOXowNWR6MHByYWFkZnVlZTB6b3h6ZWRr
OXpmZTVmeHg1MHo1IiB0aW1lc3RhbXA9IjE1MjE1MDY5NDIiPjg0ODwva2V5PjxrZXkgYXBwPSJF
TldlYiIgZGItaWQ9IiI+MDwva2V5PjwvZm9yZWlnbi1rZXlzPjxyZWYtdHlwZSBuYW1lPSJKb3Vy
bmFsIEFydGljbGUiPjE3PC9yZWYtdHlwZT48Y29udHJpYnV0b3JzPjxhdXRob3JzPjxhdXRob3I+
QmVuZ2FsbGksIFIuPC9hdXRob3I+PGF1dGhvcj5GZXJyaSwgRS48L2F1dGhvcj48YXV0aG9yPkxh
YnJhLCBNLjwvYXV0aG9yPjxhdXRob3I+TWFudGVjY2EsIFAuPC9hdXRob3I+PC9hdXRob3JzPjwv
Y29udHJpYnV0b3JzPjxhdXRoLWFkZHJlc3M+RGVwYXJ0bWVudCBvZiBFYXJ0aCBhbmQgRW52aXJv
bm1lbnRhbCBTY2llbmNlcywgUmVzZWFyY2ggQ2VudGVyIFBPTEFSSVMgKFBhcnRpY3VsYXRlIE1h
dHRlciBhbmQgSGVhbHRoIFJpc2spLCAxIFBpYXp6YSBkZWxsYSBTY2llbnphLCBVbml2ZXJzaXR5
IG9mIE1pbGFubyBCaWNvY2NhLCAyMDEyNiBNaWxhbiwgSXRhbHkuIHJvc3NlbGxhLmJlbmdhbGxp
QHVuaW1pYi5pdC4mI3hEO1RSVVNUSUNFUlQgU1JMLCB2aWEgTWF6emluaSAxOC9DLCAyMjAzNiBF
cmJhLCBJdGFseS4gZW1hbnVlbGUuZmVycmlAdHJ1c3RpY2VydC5jb20uJiN4RDtEZXBhcnRtZW50
IG9mIEJpb3RlY2hub2xvZ3kgYW5kIEJpb3NjaWVuY2VzLCAyIFBpYXp6YSBkZWxsYSBTY2llbnph
LCBVbml2ZXJzaXR5IG9mIE1pbGFubyBCaWNvY2NhLCAyMDEyNiBNaWxhbiwgSXRhbHkuIG1hc3Np
bW8ubGFicmFAdW5pbWliLml0LiYjeEQ7RGVwYXJ0bWVudCBvZiBFYXJ0aCBhbmQgRW52aXJvbm1l
bnRhbCBTY2llbmNlcywgUmVzZWFyY2ggQ2VudGVyIFBPTEFSSVMgKFBhcnRpY3VsYXRlIE1hdHRl
ciBhbmQgSGVhbHRoIFJpc2spLCAxIFBpYXp6YSBkZWxsYSBTY2llbnphLCBVbml2ZXJzaXR5IG9m
IE1pbGFubyBCaWNvY2NhLCAyMDEyNiBNaWxhbiwgSXRhbHkuIHBhcmlkZS5tYW50ZWNjYUB1bmlt
aWIuaXQuPC9hdXRoLWFkZHJlc3M+PHRpdGxlcz48dGl0bGU+THVuZyBUb3hpY2l0eSBvZiBDb25k
ZW5zZWQgQWVyb3NvbCBmcm9tIEUtQ0lHIExpcXVpZHM6IEluZmx1ZW5jZSBvZiB0aGUgRmxhdm9y
IGFuZCB0aGUgSW4gVml0cm8gTW9kZWwgVXNlZDwvdGl0bGU+PHNlY29uZGFyeS10aXRsZT5JbnQg
SiBFbnZpcm9uIFJlcyBQdWJsaWMgSGVhbHRoPC9zZWNvbmRhcnktdGl0bGU+PGFsdC10aXRsZT5J
bnRlcm5hdGlvbmFsIGpvdXJuYWwgb2YgZW52aXJvbm1lbnRhbCByZXNlYXJjaCBhbmQgcHVibGlj
IGhlYWx0aDwvYWx0LXRpdGxlPjwvdGl0bGVzPjxhbHQtcGVyaW9kaWNhbD48ZnVsbC10aXRsZT5J
bnRlcm5hdGlvbmFsIEpvdXJuYWwgb2YgRW52aXJvbm1lbnRhbCBSZXNlYXJjaCBhbmQgUHVibGlj
IEhlYWx0aDwvZnVsbC10aXRsZT48L2FsdC1wZXJpb2RpY2FsPjx2b2x1bWU+MTQ8L3ZvbHVtZT48
bnVtYmVyPjEwPC9udW1iZXI+PGVkaXRpb24+MjAxNy8xMC8yMTwvZWRpdGlvbj48a2V5d29yZHM+
PGtleXdvcmQ+Y29uZGVuc2VkIGFlcm9zb2w8L2tleXdvcmQ+PGtleXdvcmQ+ZS1jaWdhcmV0dGU8
L2tleXdvcmQ+PGtleXdvcmQ+ZS1saXF1aWQ8L2tleXdvcmQ+PGtleXdvcmQ+aW4gdml0cm8gc3lz
dGVtczwva2V5d29yZD48a2V5d29yZD5pbmhhbGF0aW9uIHRveGljb2xvZ3k8L2tleXdvcmQ+PC9r
ZXl3b3Jkcz48ZGF0ZXM+PHllYXI+MjAxNzwveWVhcj48cHViLWRhdGVzPjxkYXRlPk9jdCAyMDwv
ZGF0ZT48L3B1Yi1kYXRlcz48L2RhdGVzPjxpc2JuPjE2NjAtNDYwMTwvaXNibj48YWNjZXNzaW9u
LW51bT4yOTA1MzYwNjwvYWNjZXNzaW9uLW51bT48dXJscz48cmVsYXRlZC11cmxzPjx1cmw+aHR0
cDovL3d3dy5tZHBpLmNvbS8xNjYwLTQ2MDEvMTQvMTAvMTI1NC9wZGY8L3VybD48L3JlbGF0ZWQt
dXJscz48L3VybHM+PGN1c3RvbTI+UE1DNTY2NDc1NTwvY3VzdG9tMj48ZWxlY3Ryb25pYy1yZXNv
dXJjZS1udW0+MTAuMzM5MC9pamVycGgxNDEwMTI1NDwvZWxlY3Ryb25pYy1yZXNvdXJjZS1udW0+
PHJlbW90ZS1kYXRhYmFzZS1wcm92aWRlcj5OTE08L3JlbW90ZS1kYXRhYmFzZS1wcm92aWRlcj48
bGFuZ3VhZ2U+ZW5nPC9sYW5ndWFnZT48L3JlY29yZD48L0NpdGU+PC9FbmROb3RlPgB=
</w:fldData>
            </w:fldChar>
          </w:r>
          <w:r w:rsidRPr="009E401C">
            <w:rPr>
              <w:color w:val="000000" w:themeColor="text1"/>
            </w:rPr>
            <w:instrText xml:space="preserve"> ADDIN EN.CITE </w:instrText>
          </w:r>
          <w:r w:rsidRPr="009E401C">
            <w:rPr>
              <w:color w:val="000000" w:themeColor="text1"/>
            </w:rPr>
            <w:fldChar w:fldCharType="begin">
              <w:fldData xml:space="preserve">PEVuZE5vdGU+PENpdGU+PEF1dGhvcj5CZW5nYWxsaTwvQXV0aG9yPjxZZWFyPjIwMTc8L1llYXI+
PFJlY051bT44NDg8L1JlY051bT48RGlzcGxheVRleHQ+KEJlbmdhbGxpLCBGZXJyaSBldCBhbC4g
MjAxNyk8L0Rpc3BsYXlUZXh0PjxyZWNvcmQ+PHJlYy1udW1iZXI+ODQ4PC9yZWMtbnVtYmVyPjxm
b3JlaWduLWtleXM+PGtleSBhcHA9IkVOIiBkYi1pZD0iOXowNWR6MHByYWFkZnVlZTB6b3h6ZWRr
OXpmZTVmeHg1MHo1IiB0aW1lc3RhbXA9IjE1MjE1MDY5NDIiPjg0ODwva2V5PjxrZXkgYXBwPSJF
TldlYiIgZGItaWQ9IiI+MDwva2V5PjwvZm9yZWlnbi1rZXlzPjxyZWYtdHlwZSBuYW1lPSJKb3Vy
bmFsIEFydGljbGUiPjE3PC9yZWYtdHlwZT48Y29udHJpYnV0b3JzPjxhdXRob3JzPjxhdXRob3I+
QmVuZ2FsbGksIFIuPC9hdXRob3I+PGF1dGhvcj5GZXJyaSwgRS48L2F1dGhvcj48YXV0aG9yPkxh
YnJhLCBNLjwvYXV0aG9yPjxhdXRob3I+TWFudGVjY2EsIFAuPC9hdXRob3I+PC9hdXRob3JzPjwv
Y29udHJpYnV0b3JzPjxhdXRoLWFkZHJlc3M+RGVwYXJ0bWVudCBvZiBFYXJ0aCBhbmQgRW52aXJv
bm1lbnRhbCBTY2llbmNlcywgUmVzZWFyY2ggQ2VudGVyIFBPTEFSSVMgKFBhcnRpY3VsYXRlIE1h
dHRlciBhbmQgSGVhbHRoIFJpc2spLCAxIFBpYXp6YSBkZWxsYSBTY2llbnphLCBVbml2ZXJzaXR5
IG9mIE1pbGFubyBCaWNvY2NhLCAyMDEyNiBNaWxhbiwgSXRhbHkuIHJvc3NlbGxhLmJlbmdhbGxp
QHVuaW1pYi5pdC4mI3hEO1RSVVNUSUNFUlQgU1JMLCB2aWEgTWF6emluaSAxOC9DLCAyMjAzNiBF
cmJhLCBJdGFseS4gZW1hbnVlbGUuZmVycmlAdHJ1c3RpY2VydC5jb20uJiN4RDtEZXBhcnRtZW50
IG9mIEJpb3RlY2hub2xvZ3kgYW5kIEJpb3NjaWVuY2VzLCAyIFBpYXp6YSBkZWxsYSBTY2llbnph
LCBVbml2ZXJzaXR5IG9mIE1pbGFubyBCaWNvY2NhLCAyMDEyNiBNaWxhbiwgSXRhbHkuIG1hc3Np
bW8ubGFicmFAdW5pbWliLml0LiYjeEQ7RGVwYXJ0bWVudCBvZiBFYXJ0aCBhbmQgRW52aXJvbm1l
bnRhbCBTY2llbmNlcywgUmVzZWFyY2ggQ2VudGVyIFBPTEFSSVMgKFBhcnRpY3VsYXRlIE1hdHRl
ciBhbmQgSGVhbHRoIFJpc2spLCAxIFBpYXp6YSBkZWxsYSBTY2llbnphLCBVbml2ZXJzaXR5IG9m
IE1pbGFubyBCaWNvY2NhLCAyMDEyNiBNaWxhbiwgSXRhbHkuIHBhcmlkZS5tYW50ZWNjYUB1bmlt
aWIuaXQuPC9hdXRoLWFkZHJlc3M+PHRpdGxlcz48dGl0bGU+THVuZyBUb3hpY2l0eSBvZiBDb25k
ZW5zZWQgQWVyb3NvbCBmcm9tIEUtQ0lHIExpcXVpZHM6IEluZmx1ZW5jZSBvZiB0aGUgRmxhdm9y
IGFuZCB0aGUgSW4gVml0cm8gTW9kZWwgVXNlZDwvdGl0bGU+PHNlY29uZGFyeS10aXRsZT5JbnQg
SiBFbnZpcm9uIFJlcyBQdWJsaWMgSGVhbHRoPC9zZWNvbmRhcnktdGl0bGU+PGFsdC10aXRsZT5J
bnRlcm5hdGlvbmFsIGpvdXJuYWwgb2YgZW52aXJvbm1lbnRhbCByZXNlYXJjaCBhbmQgcHVibGlj
IGhlYWx0aDwvYWx0LXRpdGxlPjwvdGl0bGVzPjxhbHQtcGVyaW9kaWNhbD48ZnVsbC10aXRsZT5J
bnRlcm5hdGlvbmFsIEpvdXJuYWwgb2YgRW52aXJvbm1lbnRhbCBSZXNlYXJjaCBhbmQgUHVibGlj
IEhlYWx0aDwvZnVsbC10aXRsZT48L2FsdC1wZXJpb2RpY2FsPjx2b2x1bWU+MTQ8L3ZvbHVtZT48
bnVtYmVyPjEwPC9udW1iZXI+PGVkaXRpb24+MjAxNy8xMC8yMTwvZWRpdGlvbj48a2V5d29yZHM+
PGtleXdvcmQ+Y29uZGVuc2VkIGFlcm9zb2w8L2tleXdvcmQ+PGtleXdvcmQ+ZS1jaWdhcmV0dGU8
L2tleXdvcmQ+PGtleXdvcmQ+ZS1saXF1aWQ8L2tleXdvcmQ+PGtleXdvcmQ+aW4gdml0cm8gc3lz
dGVtczwva2V5d29yZD48a2V5d29yZD5pbmhhbGF0aW9uIHRveGljb2xvZ3k8L2tleXdvcmQ+PC9r
ZXl3b3Jkcz48ZGF0ZXM+PHllYXI+MjAxNzwveWVhcj48cHViLWRhdGVzPjxkYXRlPk9jdCAyMDwv
ZGF0ZT48L3B1Yi1kYXRlcz48L2RhdGVzPjxpc2JuPjE2NjAtNDYwMTwvaXNibj48YWNjZXNzaW9u
LW51bT4yOTA1MzYwNjwvYWNjZXNzaW9uLW51bT48dXJscz48cmVsYXRlZC11cmxzPjx1cmw+aHR0
cDovL3d3dy5tZHBpLmNvbS8xNjYwLTQ2MDEvMTQvMTAvMTI1NC9wZGY8L3VybD48L3JlbGF0ZWQt
dXJscz48L3VybHM+PGN1c3RvbTI+UE1DNTY2NDc1NTwvY3VzdG9tMj48ZWxlY3Ryb25pYy1yZXNv
dXJjZS1udW0+MTAuMzM5MC9pamVycGgxNDEwMTI1NDwvZWxlY3Ryb25pYy1yZXNvdXJjZS1udW0+
PHJlbW90ZS1kYXRhYmFzZS1wcm92aWRlcj5OTE08L3JlbW90ZS1kYXRhYmFzZS1wcm92aWRlcj48
bGFuZ3VhZ2U+ZW5nPC9sYW5ndWFnZT48L3JlY29yZD48L0NpdGU+PC9FbmROb3RlPgB=
</w:fldData>
            </w:fldChar>
          </w:r>
          <w:r w:rsidRPr="009E401C">
            <w:rPr>
              <w:color w:val="000000" w:themeColor="text1"/>
            </w:rPr>
            <w:instrText xml:space="preserve"> ADDIN EN.CITE.DATA </w:instrText>
          </w:r>
          <w:r w:rsidRPr="009E401C">
            <w:rPr>
              <w:color w:val="000000" w:themeColor="text1"/>
            </w:rPr>
          </w:r>
          <w:r w:rsidRPr="009E401C">
            <w:rPr>
              <w:color w:val="000000" w:themeColor="text1"/>
            </w:rPr>
            <w:fldChar w:fldCharType="end"/>
          </w:r>
          <w:r w:rsidRPr="009E401C">
            <w:rPr>
              <w:color w:val="000000" w:themeColor="text1"/>
            </w:rPr>
          </w:r>
          <w:r w:rsidRPr="009E401C">
            <w:rPr>
              <w:color w:val="000000" w:themeColor="text1"/>
            </w:rPr>
            <w:fldChar w:fldCharType="separate"/>
          </w:r>
          <w:r w:rsidRPr="009E401C">
            <w:rPr>
              <w:noProof/>
              <w:color w:val="000000" w:themeColor="text1"/>
            </w:rPr>
            <w:t>(Bengalli, Ferri et al. 2017)</w:t>
          </w:r>
          <w:r w:rsidRPr="009E401C">
            <w:rPr>
              <w:color w:val="000000" w:themeColor="text1"/>
            </w:rPr>
            <w:fldChar w:fldCharType="end"/>
          </w:r>
          <w:r w:rsidRPr="009E401C">
            <w:rPr>
              <w:color w:val="000000" w:themeColor="text1"/>
            </w:rPr>
            <w:t>. The impact of different flavours of e-cigarettes on IL-8 secretion was in</w:t>
          </w:r>
          <w:r>
            <w:t xml:space="preserve">vestigated in more detail in other studies. </w:t>
          </w:r>
        </w:p>
        <w:p w14:paraId="26C1891B" w14:textId="77777777" w:rsidR="00A74D41" w:rsidRDefault="00A74D41" w:rsidP="00A74D41">
          <w:pPr>
            <w:pStyle w:val="BodyText"/>
            <w:rPr>
              <w:rFonts w:eastAsia="Times New Roman" w:cs="Calibri"/>
            </w:rPr>
          </w:pPr>
          <w:r>
            <w:t>In a study investigating lung adenocarcinoma cells, nicotine-containing cinnamon flavoured e</w:t>
          </w:r>
          <w:r>
            <w:noBreakHyphen/>
            <w:t>cigarette vapour increased IL-8</w:t>
          </w:r>
          <w:r w:rsidRPr="008E59CD">
            <w:t xml:space="preserve"> </w:t>
          </w:r>
          <w:r>
            <w:t xml:space="preserve">but IL-8 did not increase after exposure to other flavours or the cinnamon flavour without nicotine </w:t>
          </w:r>
          <w:r>
            <w:fldChar w:fldCharType="begin">
              <w:fldData xml:space="preserve">PEVuZE5vdGU+PENpdGU+PEF1dGhvcj5CZW5nYWxsaTwvQXV0aG9yPjxZZWFyPjIwMTc8L1llYXI+
PFJlY051bT44NDg8L1JlY051bT48RGlzcGxheVRleHQ+KEJlbmdhbGxpLCBGZXJyaSBldCBhbC4g
MjAxNyk8L0Rpc3BsYXlUZXh0PjxyZWNvcmQ+PHJlYy1udW1iZXI+ODQ4PC9yZWMtbnVtYmVyPjxm
b3JlaWduLWtleXM+PGtleSBhcHA9IkVOIiBkYi1pZD0iOXowNWR6MHByYWFkZnVlZTB6b3h6ZWRr
OXpmZTVmeHg1MHo1IiB0aW1lc3RhbXA9IjE1MjE1MDY5NDIiPjg0ODwva2V5PjxrZXkgYXBwPSJF
TldlYiIgZGItaWQ9IiI+MDwva2V5PjwvZm9yZWlnbi1rZXlzPjxyZWYtdHlwZSBuYW1lPSJKb3Vy
bmFsIEFydGljbGUiPjE3PC9yZWYtdHlwZT48Y29udHJpYnV0b3JzPjxhdXRob3JzPjxhdXRob3I+
QmVuZ2FsbGksIFIuPC9hdXRob3I+PGF1dGhvcj5GZXJyaSwgRS48L2F1dGhvcj48YXV0aG9yPkxh
YnJhLCBNLjwvYXV0aG9yPjxhdXRob3I+TWFudGVjY2EsIFAuPC9hdXRob3I+PC9hdXRob3JzPjwv
Y29udHJpYnV0b3JzPjxhdXRoLWFkZHJlc3M+RGVwYXJ0bWVudCBvZiBFYXJ0aCBhbmQgRW52aXJv
bm1lbnRhbCBTY2llbmNlcywgUmVzZWFyY2ggQ2VudGVyIFBPTEFSSVMgKFBhcnRpY3VsYXRlIE1h
dHRlciBhbmQgSGVhbHRoIFJpc2spLCAxIFBpYXp6YSBkZWxsYSBTY2llbnphLCBVbml2ZXJzaXR5
IG9mIE1pbGFubyBCaWNvY2NhLCAyMDEyNiBNaWxhbiwgSXRhbHkuIHJvc3NlbGxhLmJlbmdhbGxp
QHVuaW1pYi5pdC4mI3hEO1RSVVNUSUNFUlQgU1JMLCB2aWEgTWF6emluaSAxOC9DLCAyMjAzNiBF
cmJhLCBJdGFseS4gZW1hbnVlbGUuZmVycmlAdHJ1c3RpY2VydC5jb20uJiN4RDtEZXBhcnRtZW50
IG9mIEJpb3RlY2hub2xvZ3kgYW5kIEJpb3NjaWVuY2VzLCAyIFBpYXp6YSBkZWxsYSBTY2llbnph
LCBVbml2ZXJzaXR5IG9mIE1pbGFubyBCaWNvY2NhLCAyMDEyNiBNaWxhbiwgSXRhbHkuIG1hc3Np
bW8ubGFicmFAdW5pbWliLml0LiYjeEQ7RGVwYXJ0bWVudCBvZiBFYXJ0aCBhbmQgRW52aXJvbm1l
bnRhbCBTY2llbmNlcywgUmVzZWFyY2ggQ2VudGVyIFBPTEFSSVMgKFBhcnRpY3VsYXRlIE1hdHRl
ciBhbmQgSGVhbHRoIFJpc2spLCAxIFBpYXp6YSBkZWxsYSBTY2llbnphLCBVbml2ZXJzaXR5IG9m
IE1pbGFubyBCaWNvY2NhLCAyMDEyNiBNaWxhbiwgSXRhbHkuIHBhcmlkZS5tYW50ZWNjYUB1bmlt
aWIuaXQuPC9hdXRoLWFkZHJlc3M+PHRpdGxlcz48dGl0bGU+THVuZyBUb3hpY2l0eSBvZiBDb25k
ZW5zZWQgQWVyb3NvbCBmcm9tIEUtQ0lHIExpcXVpZHM6IEluZmx1ZW5jZSBvZiB0aGUgRmxhdm9y
IGFuZCB0aGUgSW4gVml0cm8gTW9kZWwgVXNlZDwvdGl0bGU+PHNlY29uZGFyeS10aXRsZT5JbnQg
SiBFbnZpcm9uIFJlcyBQdWJsaWMgSGVhbHRoPC9zZWNvbmRhcnktdGl0bGU+PGFsdC10aXRsZT5J
bnRlcm5hdGlvbmFsIGpvdXJuYWwgb2YgZW52aXJvbm1lbnRhbCByZXNlYXJjaCBhbmQgcHVibGlj
IGhlYWx0aDwvYWx0LXRpdGxlPjwvdGl0bGVzPjxhbHQtcGVyaW9kaWNhbD48ZnVsbC10aXRsZT5J
bnRlcm5hdGlvbmFsIEpvdXJuYWwgb2YgRW52aXJvbm1lbnRhbCBSZXNlYXJjaCBhbmQgUHVibGlj
IEhlYWx0aDwvZnVsbC10aXRsZT48L2FsdC1wZXJpb2RpY2FsPjx2b2x1bWU+MTQ8L3ZvbHVtZT48
bnVtYmVyPjEwPC9udW1iZXI+PGVkaXRpb24+MjAxNy8xMC8yMTwvZWRpdGlvbj48a2V5d29yZHM+
PGtleXdvcmQ+Y29uZGVuc2VkIGFlcm9zb2w8L2tleXdvcmQ+PGtleXdvcmQ+ZS1jaWdhcmV0dGU8
L2tleXdvcmQ+PGtleXdvcmQ+ZS1saXF1aWQ8L2tleXdvcmQ+PGtleXdvcmQ+aW4gdml0cm8gc3lz
dGVtczwva2V5d29yZD48a2V5d29yZD5pbmhhbGF0aW9uIHRveGljb2xvZ3k8L2tleXdvcmQ+PC9r
ZXl3b3Jkcz48ZGF0ZXM+PHllYXI+MjAxNzwveWVhcj48cHViLWRhdGVzPjxkYXRlPk9jdCAyMDwv
ZGF0ZT48L3B1Yi1kYXRlcz48L2RhdGVzPjxpc2JuPjE2NjAtNDYwMTwvaXNibj48YWNjZXNzaW9u
LW51bT4yOTA1MzYwNjwvYWNjZXNzaW9uLW51bT48dXJscz48cmVsYXRlZC11cmxzPjx1cmw+aHR0
cDovL3d3dy5tZHBpLmNvbS8xNjYwLTQ2MDEvMTQvMTAvMTI1NC9wZGY8L3VybD48L3JlbGF0ZWQt
dXJscz48L3VybHM+PGN1c3RvbTI+UE1DNTY2NDc1NTwvY3VzdG9tMj48ZWxlY3Ryb25pYy1yZXNv
dXJjZS1udW0+MTAuMzM5MC9pamVycGgxNDEwMTI1NDwvZWxlY3Ryb25pYy1yZXNvdXJjZS1udW0+
PHJlbW90ZS1kYXRhYmFzZS1wcm92aWRlcj5OTE08L3JlbW90ZS1kYXRhYmFzZS1wcm92aWRlcj48
bGFuZ3VhZ2U+ZW5nPC9sYW5ndWFnZT48L3JlY29yZD48L0NpdGU+PC9FbmROb3RlPgB=
</w:fldData>
            </w:fldChar>
          </w:r>
          <w:r>
            <w:instrText xml:space="preserve"> ADDIN EN.CITE </w:instrText>
          </w:r>
          <w:r>
            <w:fldChar w:fldCharType="begin">
              <w:fldData xml:space="preserve">PEVuZE5vdGU+PENpdGU+PEF1dGhvcj5CZW5nYWxsaTwvQXV0aG9yPjxZZWFyPjIwMTc8L1llYXI+
PFJlY051bT44NDg8L1JlY051bT48RGlzcGxheVRleHQ+KEJlbmdhbGxpLCBGZXJyaSBldCBhbC4g
MjAxNyk8L0Rpc3BsYXlUZXh0PjxyZWNvcmQ+PHJlYy1udW1iZXI+ODQ4PC9yZWMtbnVtYmVyPjxm
b3JlaWduLWtleXM+PGtleSBhcHA9IkVOIiBkYi1pZD0iOXowNWR6MHByYWFkZnVlZTB6b3h6ZWRr
OXpmZTVmeHg1MHo1IiB0aW1lc3RhbXA9IjE1MjE1MDY5NDIiPjg0ODwva2V5PjxrZXkgYXBwPSJF
TldlYiIgZGItaWQ9IiI+MDwva2V5PjwvZm9yZWlnbi1rZXlzPjxyZWYtdHlwZSBuYW1lPSJKb3Vy
bmFsIEFydGljbGUiPjE3PC9yZWYtdHlwZT48Y29udHJpYnV0b3JzPjxhdXRob3JzPjxhdXRob3I+
QmVuZ2FsbGksIFIuPC9hdXRob3I+PGF1dGhvcj5GZXJyaSwgRS48L2F1dGhvcj48YXV0aG9yPkxh
YnJhLCBNLjwvYXV0aG9yPjxhdXRob3I+TWFudGVjY2EsIFAuPC9hdXRob3I+PC9hdXRob3JzPjwv
Y29udHJpYnV0b3JzPjxhdXRoLWFkZHJlc3M+RGVwYXJ0bWVudCBvZiBFYXJ0aCBhbmQgRW52aXJv
bm1lbnRhbCBTY2llbmNlcywgUmVzZWFyY2ggQ2VudGVyIFBPTEFSSVMgKFBhcnRpY3VsYXRlIE1h
dHRlciBhbmQgSGVhbHRoIFJpc2spLCAxIFBpYXp6YSBkZWxsYSBTY2llbnphLCBVbml2ZXJzaXR5
IG9mIE1pbGFubyBCaWNvY2NhLCAyMDEyNiBNaWxhbiwgSXRhbHkuIHJvc3NlbGxhLmJlbmdhbGxp
QHVuaW1pYi5pdC4mI3hEO1RSVVNUSUNFUlQgU1JMLCB2aWEgTWF6emluaSAxOC9DLCAyMjAzNiBF
cmJhLCBJdGFseS4gZW1hbnVlbGUuZmVycmlAdHJ1c3RpY2VydC5jb20uJiN4RDtEZXBhcnRtZW50
IG9mIEJpb3RlY2hub2xvZ3kgYW5kIEJpb3NjaWVuY2VzLCAyIFBpYXp6YSBkZWxsYSBTY2llbnph
LCBVbml2ZXJzaXR5IG9mIE1pbGFubyBCaWNvY2NhLCAyMDEyNiBNaWxhbiwgSXRhbHkuIG1hc3Np
bW8ubGFicmFAdW5pbWliLml0LiYjeEQ7RGVwYXJ0bWVudCBvZiBFYXJ0aCBhbmQgRW52aXJvbm1l
bnRhbCBTY2llbmNlcywgUmVzZWFyY2ggQ2VudGVyIFBPTEFSSVMgKFBhcnRpY3VsYXRlIE1hdHRl
ciBhbmQgSGVhbHRoIFJpc2spLCAxIFBpYXp6YSBkZWxsYSBTY2llbnphLCBVbml2ZXJzaXR5IG9m
IE1pbGFubyBCaWNvY2NhLCAyMDEyNiBNaWxhbiwgSXRhbHkuIHBhcmlkZS5tYW50ZWNjYUB1bmlt
aWIuaXQuPC9hdXRoLWFkZHJlc3M+PHRpdGxlcz48dGl0bGU+THVuZyBUb3hpY2l0eSBvZiBDb25k
ZW5zZWQgQWVyb3NvbCBmcm9tIEUtQ0lHIExpcXVpZHM6IEluZmx1ZW5jZSBvZiB0aGUgRmxhdm9y
IGFuZCB0aGUgSW4gVml0cm8gTW9kZWwgVXNlZDwvdGl0bGU+PHNlY29uZGFyeS10aXRsZT5JbnQg
SiBFbnZpcm9uIFJlcyBQdWJsaWMgSGVhbHRoPC9zZWNvbmRhcnktdGl0bGU+PGFsdC10aXRsZT5J
bnRlcm5hdGlvbmFsIGpvdXJuYWwgb2YgZW52aXJvbm1lbnRhbCByZXNlYXJjaCBhbmQgcHVibGlj
IGhlYWx0aDwvYWx0LXRpdGxlPjwvdGl0bGVzPjxhbHQtcGVyaW9kaWNhbD48ZnVsbC10aXRsZT5J
bnRlcm5hdGlvbmFsIEpvdXJuYWwgb2YgRW52aXJvbm1lbnRhbCBSZXNlYXJjaCBhbmQgUHVibGlj
IEhlYWx0aDwvZnVsbC10aXRsZT48L2FsdC1wZXJpb2RpY2FsPjx2b2x1bWU+MTQ8L3ZvbHVtZT48
bnVtYmVyPjEwPC9udW1iZXI+PGVkaXRpb24+MjAxNy8xMC8yMTwvZWRpdGlvbj48a2V5d29yZHM+
PGtleXdvcmQ+Y29uZGVuc2VkIGFlcm9zb2w8L2tleXdvcmQ+PGtleXdvcmQ+ZS1jaWdhcmV0dGU8
L2tleXdvcmQ+PGtleXdvcmQ+ZS1saXF1aWQ8L2tleXdvcmQ+PGtleXdvcmQ+aW4gdml0cm8gc3lz
dGVtczwva2V5d29yZD48a2V5d29yZD5pbmhhbGF0aW9uIHRveGljb2xvZ3k8L2tleXdvcmQ+PC9r
ZXl3b3Jkcz48ZGF0ZXM+PHllYXI+MjAxNzwveWVhcj48cHViLWRhdGVzPjxkYXRlPk9jdCAyMDwv
ZGF0ZT48L3B1Yi1kYXRlcz48L2RhdGVzPjxpc2JuPjE2NjAtNDYwMTwvaXNibj48YWNjZXNzaW9u
LW51bT4yOTA1MzYwNjwvYWNjZXNzaW9uLW51bT48dXJscz48cmVsYXRlZC11cmxzPjx1cmw+aHR0
cDovL3d3dy5tZHBpLmNvbS8xNjYwLTQ2MDEvMTQvMTAvMTI1NC9wZGY8L3VybD48L3JlbGF0ZWQt
dXJscz48L3VybHM+PGN1c3RvbTI+UE1DNTY2NDc1NTwvY3VzdG9tMj48ZWxlY3Ryb25pYy1yZXNv
dXJjZS1udW0+MTAuMzM5MC9pamVycGgxNDEwMTI1NDwvZWxlY3Ryb25pYy1yZXNvdXJjZS1udW0+
PHJlbW90ZS1kYXRhYmFzZS1wcm92aWRlcj5OTE08L3JlbW90ZS1kYXRhYmFzZS1wcm92aWRlcj48
bGFuZ3VhZ2U+ZW5nPC9sYW5ndWFnZT48L3JlY29yZD48L0NpdGU+PC9FbmROb3RlPgB=
</w:fldData>
            </w:fldChar>
          </w:r>
          <w:r>
            <w:instrText xml:space="preserve"> ADDIN EN.CITE.DATA </w:instrText>
          </w:r>
          <w:r>
            <w:fldChar w:fldCharType="end"/>
          </w:r>
          <w:r>
            <w:fldChar w:fldCharType="separate"/>
          </w:r>
          <w:r>
            <w:rPr>
              <w:noProof/>
            </w:rPr>
            <w:t>(Bengalli, Ferri et al. 2017)</w:t>
          </w:r>
          <w:r>
            <w:fldChar w:fldCharType="end"/>
          </w:r>
          <w:r>
            <w:t>.</w:t>
          </w:r>
          <w:r w:rsidRPr="004C1BB2">
            <w:t xml:space="preserve"> </w:t>
          </w:r>
          <w:r>
            <w:t>Three more studies investigated more e-cigarette flavours. The first investigated seven e-cigarette liquid flavours on neutrophils. The researchers found that f</w:t>
          </w:r>
          <w:r>
            <w:rPr>
              <w:rFonts w:eastAsia="Times New Roman" w:cs="Calibri"/>
            </w:rPr>
            <w:t>ive e-cigarette liquid flavours (Menthol Tobacco, Hot Cinnamon Candies, Kola, Banana Pudding</w:t>
          </w:r>
          <w:r w:rsidR="009E401C" w:rsidRPr="00B270B9">
            <w:rPr>
              <w:rFonts w:eastAsia="Times New Roman" w:cs="Calibri"/>
              <w:color w:val="auto"/>
            </w:rPr>
            <w:t xml:space="preserve"> and</w:t>
          </w:r>
          <w:r w:rsidRPr="00B270B9">
            <w:rPr>
              <w:rFonts w:eastAsia="Times New Roman" w:cs="Calibri"/>
              <w:color w:val="auto"/>
            </w:rPr>
            <w:t xml:space="preserve"> </w:t>
          </w:r>
          <w:r>
            <w:rPr>
              <w:rFonts w:eastAsia="Times New Roman" w:cs="Calibri"/>
            </w:rPr>
            <w:t xml:space="preserve">Banana) </w:t>
          </w:r>
          <w:r w:rsidRPr="006721C0">
            <w:rPr>
              <w:rFonts w:eastAsia="Times New Roman" w:cs="Calibri"/>
            </w:rPr>
            <w:t>led to increased IL-8 secretion</w:t>
          </w:r>
          <w:r>
            <w:rPr>
              <w:rFonts w:eastAsia="Times New Roman" w:cs="Calibri"/>
            </w:rPr>
            <w:t xml:space="preserve"> among neutrophils, one flavour did not increase IL-8 (Solid Menthol) and the results from the last flavour were likely inaccurate due to cytotoxicity</w:t>
          </w:r>
          <w:r w:rsidRPr="00A64554">
            <w:rPr>
              <w:rFonts w:eastAsia="Times New Roman" w:cs="Calibri"/>
            </w:rPr>
            <w:t xml:space="preserve"> </w:t>
          </w:r>
          <w:r>
            <w:rPr>
              <w:rFonts w:eastAsia="Times New Roman" w:cs="Calibri"/>
            </w:rPr>
            <w:t xml:space="preserve">(Sini-cide) </w:t>
          </w:r>
          <w:r>
            <w:rPr>
              <w:rFonts w:eastAsia="Times New Roman" w:cs="Calibri"/>
            </w:rPr>
            <w:fldChar w:fldCharType="begin">
              <w:fldData xml:space="preserve">PEVuZE5vdGU+PENpdGU+PEF1dGhvcj5DbGFwcDwvQXV0aG9yPjxZZWFyPjIwMTc8L1llYXI+PFJl
Y051bT4xMTU1PC9SZWNOdW0+PERpc3BsYXlUZXh0PihDbGFwcCwgUGF3bGFrIGV0IGFsLiAyMDE3
KTwvRGlzcGxheVRleHQ+PHJlY29yZD48cmVjLW51bWJlcj4xMTU1PC9yZWMtbnVtYmVyPjxmb3Jl
aWduLWtleXM+PGtleSBhcHA9IkVOIiBkYi1pZD0iOXowNWR6MHByYWFkZnVlZTB6b3h6ZWRrOXpm
ZTVmeHg1MHo1IiB0aW1lc3RhbXA9IjE1MjE1MDcwMTMiPjExNTU8L2tleT48a2V5IGFwcD0iRU5X
ZWIiIGRiLWlkPSIiPjA8L2tleT48L2ZvcmVpZ24ta2V5cz48cmVmLXR5cGUgbmFtZT0iSm91cm5h
bCBBcnRpY2xlIj4xNzwvcmVmLXR5cGU+PGNvbnRyaWJ1dG9ycz48YXV0aG9ycz48YXV0aG9yPkNs
YXBwLCBQLiBXLjwvYXV0aG9yPjxhdXRob3I+UGF3bGFrLCBFLiBBLjwvYXV0aG9yPjxhdXRob3I+
TGFja2V5LCBKLiBULjwvYXV0aG9yPjxhdXRob3I+S2VhdGluZywgSi4gRS48L2F1dGhvcj48YXV0
aG9yPlJlZWJlciwgUy4gTC48L2F1dGhvcj48YXV0aG9yPkdsaXNoLCBHLiBMLjwvYXV0aG9yPjxh
dXRob3I+SmFzcGVycywgSS48L2F1dGhvcj48L2F1dGhvcnM+PC9jb250cmlidXRvcnM+PGF1dGgt
YWRkcmVzcz5DdXJyaWN1bHVtIGluIFRveGljb2xvZ3ksIFNjaG9vbCBvZiBNZWRpY2luZSwgVW5p
dmVyc2l0eSBvZiBOb3J0aCBDYXJvbGluYSwgQ2hhcGVsIEhpbGwsIE5vcnRoIENhcm9saW5hLiYj
eEQ7Q2VudGVyIGZvciBFbnZpcm9ubWVudGFsIE1lZGljaW5lLCBBc3RobWEsIGFuZCBMdW5nIEJp
b2xvZ3ksIFNjaG9vbCBvZiBNZWRpY2luZSwgVW5pdmVyc2l0eSBvZiBOb3J0aCBDYXJvbGluYSwg
Q2hhcGVsIEhpbGwsIE5vcnRoIENhcm9saW5hOyBhbmQuJiN4RDtEZXBhcnRtZW50IG9mIENoZW1p
c3RyeSwgVW5pdmVyc2l0eSBvZiBOb3J0aCBDYXJvbGluYSwgQ2hhcGVsIEhpbGwsIE5vcnRoIENh
cm9saW5hLiYjeEQ7Q3VycmljdWx1bSBpbiBUb3hpY29sb2d5LCBTY2hvb2wgb2YgTWVkaWNpbmUs
IFVuaXZlcnNpdHkgb2YgTm9ydGggQ2Fyb2xpbmEsIENoYXBlbCBIaWxsLCBOb3J0aCBDYXJvbGlu
YTsgaWxvbmFfamFzcGVyc0BtZWQudW5jLmVkdS48L2F1dGgtYWRkcmVzcz48dGl0bGVzPjx0aXRs
ZT5GbGF2b3JlZCBlLWNpZ2FyZXR0ZSBsaXF1aWRzIGFuZCBjaW5uYW1hbGRlaHlkZSBpbXBhaXIg
cmVzcGlyYXRvcnkgaW5uYXRlIGltbXVuZSBjZWxsIGZ1bmN0aW9uPC90aXRsZT48c2Vjb25kYXJ5
LXRpdGxlPkFtIEogUGh5c2lvbCBMdW5nIENlbGwgTW9sIFBoeXNpb2w8L3NlY29uZGFyeS10aXRs
ZT48YWx0LXRpdGxlPkFtZXJpY2FuIGpvdXJuYWwgb2YgcGh5c2lvbG9neS4gTHVuZyBjZWxsdWxh
ciBhbmQgbW9sZWN1bGFyIHBoeXNpb2xvZ3k8L2FsdC10aXRsZT48L3RpdGxlcz48cGVyaW9kaWNh
bD48ZnVsbC10aXRsZT5BbSBKIFBoeXNpb2wgTHVuZyBDZWxsIE1vbCBQaHlzaW9sPC9mdWxsLXRp
dGxlPjxhYmJyLTE+QW1lcmljYW4gam91cm5hbCBvZiBwaHlzaW9sb2d5LiBMdW5nIGNlbGx1bGFy
IGFuZCBtb2xlY3VsYXIgcGh5c2lvbG9neTwvYWJici0xPjwvcGVyaW9kaWNhbD48YWx0LXBlcmlv
ZGljYWw+PGZ1bGwtdGl0bGU+QW0gSiBQaHlzaW9sIEx1bmcgQ2VsbCBNb2wgUGh5c2lvbDwvZnVs
bC10aXRsZT48YWJici0xPkFtZXJpY2FuIGpvdXJuYWwgb2YgcGh5c2lvbG9neS4gTHVuZyBjZWxs
dWxhciBhbmQgbW9sZWN1bGFyIHBoeXNpb2xvZ3k8L2FiYnItMT48L2FsdC1wZXJpb2RpY2FsPjxw
YWdlcz5MMjc4LWwyOTI8L3BhZ2VzPjx2b2x1bWU+MzEzPC92b2x1bWU+PG51bWJlcj4yPC9udW1i
ZXI+PGVkaXRpb24+MjAxNy8wNS8xMzwvZWRpdGlvbj48a2V5d29yZHM+PGtleXdvcmQ+QWNyb2xl
aW4vYWR2ZXJzZSBlZmZlY3RzLyphbmFsb2dzICZhbXA7IGRlcml2YXRpdmVzPC9rZXl3b3JkPjxr
ZXl3b3JkPkFkb2xlc2NlbnQ8L2tleXdvcmQ+PGtleXdvcmQ+QWR1bHQ8L2tleXdvcmQ+PGtleXdv
cmQ+RWxlY3Ryb25pYyBOaWNvdGluZSBEZWxpdmVyeSBTeXN0ZW1zLyphZHZlcnNlIGVmZmVjdHM8
L2tleXdvcmQ+PGtleXdvcmQ+RmVtYWxlPC9rZXl3b3JkPjxrZXl3b3JkPkh1bWFuczwva2V5d29y
ZD48a2V5d29yZD5JbW11bml0eSwgSW5uYXRlLypkcnVnIGVmZmVjdHM8L2tleXdvcmQ+PGtleXdv
cmQ+SW5mbGFtbWF0aW9uL2NoZW1pY2FsbHkgaW5kdWNlZDwva2V5d29yZD48a2V5d29yZD5LaWxs
ZXIgQ2VsbHMsIE5hdHVyYWwvZHJ1ZyBlZmZlY3RzPC9rZXl3b3JkPjxrZXl3b3JkPk1hY3JvcGhh
Z2VzL2RydWcgZWZmZWN0czwva2V5d29yZD48a2V5d29yZD5NYWxlPC9rZXl3b3JkPjxrZXl3b3Jk
Pk1pZGRsZSBBZ2VkPC9rZXl3b3JkPjxrZXl3b3JkPk5ldXRyb3BoaWxzL2RydWcgZWZmZWN0czwv
a2V5d29yZD48a2V5d29yZD5OaWNvdGluZS9hZHZlcnNlIGVmZmVjdHM8L2tleXdvcmQ+PGtleXdv
cmQ+UGhhZ29jeXRvc2lzL2RydWcgZWZmZWN0czwva2V5d29yZD48a2V5d29yZD5Zb3VuZyBBZHVs
dDwva2V5d29yZD48a2V5d29yZD5jaW5uYW1hbGRlaHlkZTwva2V5d29yZD48a2V5d29yZD5lLWNp
Z2FyZXR0ZTwva2V5d29yZD48a2V5d29yZD5lLWxpcXVpZDwva2V5d29yZD48a2V5d29yZD5pbm5h
dGUgaW1tdW5lIGNlbGwgZnVuY3Rpb248L2tleXdvcmQ+PC9rZXl3b3Jkcz48ZGF0ZXM+PHllYXI+
MjAxNzwveWVhcj48cHViLWRhdGVzPjxkYXRlPkF1ZyAxPC9kYXRlPjwvcHViLWRhdGVzPjwvZGF0
ZXM+PGlzYm4+MTA0MC0wNjA1PC9pc2JuPjxhY2Nlc3Npb24tbnVtPjI4NDk1ODU2PC9hY2Nlc3Np
b24tbnVtPjx1cmxzPjwvdXJscz48Y3VzdG9tMj5QTUM1NTgyOTI5PC9jdXN0b20yPjxlbGVjdHJv
bmljLXJlc291cmNlLW51bT4xMC4xMTUyL2FqcGx1bmcuMDA0NTIuMjAxNjwvZWxlY3Ryb25pYy1y
ZXNvdXJjZS1udW0+PHJlbW90ZS1kYXRhYmFzZS1wcm92aWRlcj5OTE08L3JlbW90ZS1kYXRhYmFz
ZS1wcm92aWRlcj48bGFuZ3VhZ2U+ZW5nPC9sYW5ndWFnZT48L3JlY29yZD48L0NpdGU+PC9FbmRO
b3RlPgB=
</w:fldData>
            </w:fldChar>
          </w:r>
          <w:r>
            <w:rPr>
              <w:rFonts w:eastAsia="Times New Roman" w:cs="Calibri"/>
            </w:rPr>
            <w:instrText xml:space="preserve"> ADDIN EN.CITE </w:instrText>
          </w:r>
          <w:r>
            <w:rPr>
              <w:rFonts w:eastAsia="Times New Roman" w:cs="Calibri"/>
            </w:rPr>
            <w:fldChar w:fldCharType="begin">
              <w:fldData xml:space="preserve">PEVuZE5vdGU+PENpdGU+PEF1dGhvcj5DbGFwcDwvQXV0aG9yPjxZZWFyPjIwMTc8L1llYXI+PFJl
Y051bT4xMTU1PC9SZWNOdW0+PERpc3BsYXlUZXh0PihDbGFwcCwgUGF3bGFrIGV0IGFsLiAyMDE3
KTwvRGlzcGxheVRleHQ+PHJlY29yZD48cmVjLW51bWJlcj4xMTU1PC9yZWMtbnVtYmVyPjxmb3Jl
aWduLWtleXM+PGtleSBhcHA9IkVOIiBkYi1pZD0iOXowNWR6MHByYWFkZnVlZTB6b3h6ZWRrOXpm
ZTVmeHg1MHo1IiB0aW1lc3RhbXA9IjE1MjE1MDcwMTMiPjExNTU8L2tleT48a2V5IGFwcD0iRU5X
ZWIiIGRiLWlkPSIiPjA8L2tleT48L2ZvcmVpZ24ta2V5cz48cmVmLXR5cGUgbmFtZT0iSm91cm5h
bCBBcnRpY2xlIj4xNzwvcmVmLXR5cGU+PGNvbnRyaWJ1dG9ycz48YXV0aG9ycz48YXV0aG9yPkNs
YXBwLCBQLiBXLjwvYXV0aG9yPjxhdXRob3I+UGF3bGFrLCBFLiBBLjwvYXV0aG9yPjxhdXRob3I+
TGFja2V5LCBKLiBULjwvYXV0aG9yPjxhdXRob3I+S2VhdGluZywgSi4gRS48L2F1dGhvcj48YXV0
aG9yPlJlZWJlciwgUy4gTC48L2F1dGhvcj48YXV0aG9yPkdsaXNoLCBHLiBMLjwvYXV0aG9yPjxh
dXRob3I+SmFzcGVycywgSS48L2F1dGhvcj48L2F1dGhvcnM+PC9jb250cmlidXRvcnM+PGF1dGgt
YWRkcmVzcz5DdXJyaWN1bHVtIGluIFRveGljb2xvZ3ksIFNjaG9vbCBvZiBNZWRpY2luZSwgVW5p
dmVyc2l0eSBvZiBOb3J0aCBDYXJvbGluYSwgQ2hhcGVsIEhpbGwsIE5vcnRoIENhcm9saW5hLiYj
eEQ7Q2VudGVyIGZvciBFbnZpcm9ubWVudGFsIE1lZGljaW5lLCBBc3RobWEsIGFuZCBMdW5nIEJp
b2xvZ3ksIFNjaG9vbCBvZiBNZWRpY2luZSwgVW5pdmVyc2l0eSBvZiBOb3J0aCBDYXJvbGluYSwg
Q2hhcGVsIEhpbGwsIE5vcnRoIENhcm9saW5hOyBhbmQuJiN4RDtEZXBhcnRtZW50IG9mIENoZW1p
c3RyeSwgVW5pdmVyc2l0eSBvZiBOb3J0aCBDYXJvbGluYSwgQ2hhcGVsIEhpbGwsIE5vcnRoIENh
cm9saW5hLiYjeEQ7Q3VycmljdWx1bSBpbiBUb3hpY29sb2d5LCBTY2hvb2wgb2YgTWVkaWNpbmUs
IFVuaXZlcnNpdHkgb2YgTm9ydGggQ2Fyb2xpbmEsIENoYXBlbCBIaWxsLCBOb3J0aCBDYXJvbGlu
YTsgaWxvbmFfamFzcGVyc0BtZWQudW5jLmVkdS48L2F1dGgtYWRkcmVzcz48dGl0bGVzPjx0aXRs
ZT5GbGF2b3JlZCBlLWNpZ2FyZXR0ZSBsaXF1aWRzIGFuZCBjaW5uYW1hbGRlaHlkZSBpbXBhaXIg
cmVzcGlyYXRvcnkgaW5uYXRlIGltbXVuZSBjZWxsIGZ1bmN0aW9uPC90aXRsZT48c2Vjb25kYXJ5
LXRpdGxlPkFtIEogUGh5c2lvbCBMdW5nIENlbGwgTW9sIFBoeXNpb2w8L3NlY29uZGFyeS10aXRs
ZT48YWx0LXRpdGxlPkFtZXJpY2FuIGpvdXJuYWwgb2YgcGh5c2lvbG9neS4gTHVuZyBjZWxsdWxh
ciBhbmQgbW9sZWN1bGFyIHBoeXNpb2xvZ3k8L2FsdC10aXRsZT48L3RpdGxlcz48cGVyaW9kaWNh
bD48ZnVsbC10aXRsZT5BbSBKIFBoeXNpb2wgTHVuZyBDZWxsIE1vbCBQaHlzaW9sPC9mdWxsLXRp
dGxlPjxhYmJyLTE+QW1lcmljYW4gam91cm5hbCBvZiBwaHlzaW9sb2d5LiBMdW5nIGNlbGx1bGFy
IGFuZCBtb2xlY3VsYXIgcGh5c2lvbG9neTwvYWJici0xPjwvcGVyaW9kaWNhbD48YWx0LXBlcmlv
ZGljYWw+PGZ1bGwtdGl0bGU+QW0gSiBQaHlzaW9sIEx1bmcgQ2VsbCBNb2wgUGh5c2lvbDwvZnVs
bC10aXRsZT48YWJici0xPkFtZXJpY2FuIGpvdXJuYWwgb2YgcGh5c2lvbG9neS4gTHVuZyBjZWxs
dWxhciBhbmQgbW9sZWN1bGFyIHBoeXNpb2xvZ3k8L2FiYnItMT48L2FsdC1wZXJpb2RpY2FsPjxw
YWdlcz5MMjc4LWwyOTI8L3BhZ2VzPjx2b2x1bWU+MzEzPC92b2x1bWU+PG51bWJlcj4yPC9udW1i
ZXI+PGVkaXRpb24+MjAxNy8wNS8xMzwvZWRpdGlvbj48a2V5d29yZHM+PGtleXdvcmQ+QWNyb2xl
aW4vYWR2ZXJzZSBlZmZlY3RzLyphbmFsb2dzICZhbXA7IGRlcml2YXRpdmVzPC9rZXl3b3JkPjxr
ZXl3b3JkPkFkb2xlc2NlbnQ8L2tleXdvcmQ+PGtleXdvcmQ+QWR1bHQ8L2tleXdvcmQ+PGtleXdv
cmQ+RWxlY3Ryb25pYyBOaWNvdGluZSBEZWxpdmVyeSBTeXN0ZW1zLyphZHZlcnNlIGVmZmVjdHM8
L2tleXdvcmQ+PGtleXdvcmQ+RmVtYWxlPC9rZXl3b3JkPjxrZXl3b3JkPkh1bWFuczwva2V5d29y
ZD48a2V5d29yZD5JbW11bml0eSwgSW5uYXRlLypkcnVnIGVmZmVjdHM8L2tleXdvcmQ+PGtleXdv
cmQ+SW5mbGFtbWF0aW9uL2NoZW1pY2FsbHkgaW5kdWNlZDwva2V5d29yZD48a2V5d29yZD5LaWxs
ZXIgQ2VsbHMsIE5hdHVyYWwvZHJ1ZyBlZmZlY3RzPC9rZXl3b3JkPjxrZXl3b3JkPk1hY3JvcGhh
Z2VzL2RydWcgZWZmZWN0czwva2V5d29yZD48a2V5d29yZD5NYWxlPC9rZXl3b3JkPjxrZXl3b3Jk
Pk1pZGRsZSBBZ2VkPC9rZXl3b3JkPjxrZXl3b3JkPk5ldXRyb3BoaWxzL2RydWcgZWZmZWN0czwv
a2V5d29yZD48a2V5d29yZD5OaWNvdGluZS9hZHZlcnNlIGVmZmVjdHM8L2tleXdvcmQ+PGtleXdv
cmQ+UGhhZ29jeXRvc2lzL2RydWcgZWZmZWN0czwva2V5d29yZD48a2V5d29yZD5Zb3VuZyBBZHVs
dDwva2V5d29yZD48a2V5d29yZD5jaW5uYW1hbGRlaHlkZTwva2V5d29yZD48a2V5d29yZD5lLWNp
Z2FyZXR0ZTwva2V5d29yZD48a2V5d29yZD5lLWxpcXVpZDwva2V5d29yZD48a2V5d29yZD5pbm5h
dGUgaW1tdW5lIGNlbGwgZnVuY3Rpb248L2tleXdvcmQ+PC9rZXl3b3Jkcz48ZGF0ZXM+PHllYXI+
MjAxNzwveWVhcj48cHViLWRhdGVzPjxkYXRlPkF1ZyAxPC9kYXRlPjwvcHViLWRhdGVzPjwvZGF0
ZXM+PGlzYm4+MTA0MC0wNjA1PC9pc2JuPjxhY2Nlc3Npb24tbnVtPjI4NDk1ODU2PC9hY2Nlc3Np
b24tbnVtPjx1cmxzPjwvdXJscz48Y3VzdG9tMj5QTUM1NTgyOTI5PC9jdXN0b20yPjxlbGVjdHJv
bmljLXJlc291cmNlLW51bT4xMC4xMTUyL2FqcGx1bmcuMDA0NTIuMjAxNjwvZWxlY3Ryb25pYy1y
ZXNvdXJjZS1udW0+PHJlbW90ZS1kYXRhYmFzZS1wcm92aWRlcj5OTE08L3JlbW90ZS1kYXRhYmFz
ZS1wcm92aWRlcj48bGFuZ3VhZ2U+ZW5nPC9sYW5ndWFnZT48L3JlY29yZD48L0NpdGU+PC9FbmRO
b3RlPgB=
</w:fldData>
            </w:fldChar>
          </w:r>
          <w:r>
            <w:rPr>
              <w:rFonts w:eastAsia="Times New Roman" w:cs="Calibri"/>
            </w:rPr>
            <w:instrText xml:space="preserve"> ADDIN EN.CITE.DATA </w:instrText>
          </w:r>
          <w:r>
            <w:rPr>
              <w:rFonts w:eastAsia="Times New Roman" w:cs="Calibri"/>
            </w:rPr>
          </w:r>
          <w:r>
            <w:rPr>
              <w:rFonts w:eastAsia="Times New Roman" w:cs="Calibri"/>
            </w:rPr>
            <w:fldChar w:fldCharType="end"/>
          </w:r>
          <w:r>
            <w:rPr>
              <w:rFonts w:eastAsia="Times New Roman" w:cs="Calibri"/>
            </w:rPr>
          </w:r>
          <w:r>
            <w:rPr>
              <w:rFonts w:eastAsia="Times New Roman" w:cs="Calibri"/>
            </w:rPr>
            <w:fldChar w:fldCharType="separate"/>
          </w:r>
          <w:r>
            <w:rPr>
              <w:rFonts w:eastAsia="Times New Roman" w:cs="Calibri"/>
              <w:noProof/>
            </w:rPr>
            <w:t>(Clapp, Pawlak et al. 2017)</w:t>
          </w:r>
          <w:r>
            <w:rPr>
              <w:rFonts w:eastAsia="Times New Roman" w:cs="Calibri"/>
            </w:rPr>
            <w:fldChar w:fldCharType="end"/>
          </w:r>
          <w:r w:rsidRPr="006721C0">
            <w:rPr>
              <w:rFonts w:eastAsia="Times New Roman" w:cs="Calibri"/>
            </w:rPr>
            <w:t xml:space="preserve">. </w:t>
          </w:r>
        </w:p>
        <w:p w14:paraId="69B59FDB" w14:textId="77777777" w:rsidR="00A74D41" w:rsidRDefault="00A74D41" w:rsidP="00A74D41">
          <w:pPr>
            <w:pStyle w:val="BodyText"/>
          </w:pPr>
          <w:r>
            <w:t xml:space="preserve">Another study found that </w:t>
          </w:r>
          <w:r>
            <w:rPr>
              <w:rFonts w:eastAsia="Times New Roman" w:cs="Calibri"/>
            </w:rPr>
            <w:t>a</w:t>
          </w:r>
          <w:r w:rsidRPr="00520F3B">
            <w:rPr>
              <w:rFonts w:eastAsia="Times New Roman" w:cs="Calibri"/>
            </w:rPr>
            <w:t>cetoin, diacetyl, maltol and ortho-vanillin</w:t>
          </w:r>
          <w:r>
            <w:rPr>
              <w:rFonts w:eastAsia="Times New Roman" w:cs="Calibri"/>
            </w:rPr>
            <w:t xml:space="preserve"> (flavouring chemicals)</w:t>
          </w:r>
          <w:r w:rsidRPr="00520F3B">
            <w:rPr>
              <w:rFonts w:eastAsia="Times New Roman" w:cs="Calibri"/>
            </w:rPr>
            <w:t xml:space="preserve"> all led to release of IL-8</w:t>
          </w:r>
          <w:r>
            <w:rPr>
              <w:rFonts w:eastAsia="Times New Roman" w:cs="Calibri"/>
            </w:rPr>
            <w:t xml:space="preserve"> in Beas2B cells, HFL-1 cells, l</w:t>
          </w:r>
          <w:r w:rsidRPr="00520F3B">
            <w:rPr>
              <w:rFonts w:eastAsia="Times New Roman" w:cs="Calibri"/>
            </w:rPr>
            <w:t>ung epithelial cells and fibroblasts</w:t>
          </w:r>
          <w:r>
            <w:rPr>
              <w:rFonts w:eastAsia="Times New Roman" w:cs="Calibri"/>
            </w:rPr>
            <w:t xml:space="preserve"> </w:t>
          </w:r>
          <w:r>
            <w:rPr>
              <w:rFonts w:eastAsia="Times New Roman" w:cs="Calibri"/>
            </w:rPr>
            <w:fldChar w:fldCharType="begin">
              <w:fldData xml:space="preserve">PEVuZE5vdGU+PENpdGU+PEF1dGhvcj5HZXJsb2ZmPC9BdXRob3I+PFllYXI+MjAxNzwvWWVhcj48
UmVjTnVtPjEyNjA8L1JlY051bT48RGlzcGxheVRleHQ+KEdlcmxvZmYsIFN1bmRhciBldCBhbC4g
MjAxNyk8L0Rpc3BsYXlUZXh0PjxyZWNvcmQ+PHJlYy1udW1iZXI+MTI2MDwvcmVjLW51bWJlcj48
Zm9yZWlnbi1rZXlzPjxrZXkgYXBwPSJFTiIgZGItaWQ9Ijl6MDVkejBwcmFhZGZ1ZWUwem94emVk
azl6ZmU1Znh4NTB6NSIgdGltZXN0YW1wPSIxNTIxNTA3MDM3Ij4xMjYwPC9rZXk+PGtleSBhcHA9
IkVOV2ViIiBkYi1pZD0iIj4wPC9rZXk+PC9mb3JlaWduLWtleXM+PHJlZi10eXBlIG5hbWU9Ikpv
dXJuYWwgQXJ0aWNsZSI+MTc8L3JlZi10eXBlPjxjb250cmlidXRvcnM+PGF1dGhvcnM+PGF1dGhv
cj5HZXJsb2ZmLCBKLjwvYXV0aG9yPjxhdXRob3I+U3VuZGFyLCBJLiBLLjwvYXV0aG9yPjxhdXRo
b3I+RnJldGVyLCBSLjwvYXV0aG9yPjxhdXRob3I+U2VrZXJhLCBFLiBSLjwvYXV0aG9yPjxhdXRo
b3I+RnJpZWRtYW4sIEEuIEUuPC9hdXRob3I+PGF1dGhvcj5Sb2JpbnNvbiwgUi48L2F1dGhvcj48
YXV0aG9yPlBhZ2FubywgVC48L2F1dGhvcj48YXV0aG9yPlJhaG1hbiwgSS48L2F1dGhvcj48L2F1
dGhvcnM+PC9jb250cmlidXRvcnM+PGF1dGgtYWRkcmVzcz5EZXBhcnRtZW50IG9mIEVudmlyb25t
ZW50YWwgTWVkaWNpbmUsIFVuaXZlcnNpdHkgb2YgUm9jaGVzdGVyIE1lZGljYWwgQ2VudGVyICwg
Um9jaGVzdGVyLCBOZXcgWW9yay4mI3hEO0RlcGFydG1lbnQgb2YgQ2hlbWlzdHJ5LCBVbml2ZXJz
aXR5IG9mIEJ1ZmZhbG8gLCBCdWZmYWxvLCBOZXcgWW9yay4mI3hEO0RlcGFydG1lbnQgb2YgTWVj
aGFuaWNhbCBFbmdpbmVlcmluZywgUm9jaGVzdGVyIEluc3RpdHV0ZSBvZiBUZWNobm9sb2d5L05h
dGlvbmFsIFRlY2huaWNhbCBJbnN0aXR1dGUgZm9yIHRoZSBEZWFmICwgUm9jaGVzdGVyLCBOZXcg
WW9yay4mI3hEO0RlcGFydG1lbnQgb2YgU2NpZW5jZSAmYW1wOyBNYXRoZW1hdGljcywgUm9jaGVz
dGVyIEluc3RpdHV0ZSBvZiBUZWNobm9sb2d5L05hdGlvbmFsIFRlY2huaWNhbCBJbnN0aXR1dGUg
Zm9yIHRoZSBEZWFmICwgUm9jaGVzdGVyLCBOZXcgWW9yay48L2F1dGgtYWRkcmVzcz48dGl0bGVz
Pjx0aXRsZT5JbmZsYW1tYXRvcnkgUmVzcG9uc2UgYW5kIEJhcnJpZXIgRHlzZnVuY3Rpb24gYnkg
RGlmZmVyZW50IGUtQ2lnYXJldHRlIEZsYXZvcmluZyBDaGVtaWNhbHMgSWRlbnRpZmllZCBieSBH
YXMgQ2hyb21hdG9ncmFwaHktTWFzcyBTcGVjdHJvbWV0cnkgaW4gZS1MaXF1aWRzIGFuZCBlLVZh
cG9ycyBvbiBIdW1hbiBMdW5nIEVwaXRoZWxpYWwgQ2VsbHMgYW5kIEZpYnJvYmxhc3RzPC90aXRs
ZT48c2Vjb25kYXJ5LXRpdGxlPkFwcGwgSW4gVml0cm8gVG94aWNvbDwvc2Vjb25kYXJ5LXRpdGxl
PjxhbHQtdGl0bGU+QXBwbGllZCBpbiB2aXRybyB0b3hpY29sb2d5PC9hbHQtdGl0bGU+PC90aXRs
ZXM+PHBlcmlvZGljYWw+PGZ1bGwtdGl0bGU+QXBwbCBJbiBWaXRybyBUb3hpY29sPC9mdWxsLXRp
dGxlPjxhYmJyLTE+QXBwbGllZCBpbiB2aXRybyB0b3hpY29sb2d5PC9hYmJyLTE+PC9wZXJpb2Rp
Y2FsPjxhbHQtcGVyaW9kaWNhbD48ZnVsbC10aXRsZT5BcHBsIEluIFZpdHJvIFRveGljb2w8L2Z1
bGwtdGl0bGU+PGFiYnItMT5BcHBsaWVkIGluIHZpdHJvIHRveGljb2xvZ3k8L2FiYnItMT48L2Fs
dC1wZXJpb2RpY2FsPjxwYWdlcz4yOC00MDwvcGFnZXM+PHZvbHVtZT4zPC92b2x1bWU+PG51bWJl
cj4xPC9udW1iZXI+PGVkaXRpb24+MjAxNy8wMy8yNTwvZWRpdGlvbj48a2V5d29yZHM+PGtleXdv
cmQ+YmFycmllciBmdW5jdGlvbjwva2V5d29yZD48a2V5d29yZD5kaWFjZXR5bDwva2V5d29yZD48
a2V5d29yZD5lbGVjdHJvbmljIGNpZ2FyZXR0ZXM8L2tleXdvcmQ+PGtleXdvcmQ+Zmxhdm9yczwv
a2V5d29yZD48a2V5d29yZD5pbmZsYW1tYXRpb248L2tleXdvcmQ+PGtleXdvcmQ+aW50ZXJsZXVr
aW4tODwva2V5d29yZD48L2tleXdvcmRzPjxkYXRlcz48eWVhcj4yMDE3PC95ZWFyPjxwdWItZGF0
ZXM+PGRhdGU+TWFyIDE8L2RhdGU+PC9wdWItZGF0ZXM+PC9kYXRlcz48aXNibj4yMzMyLTE1MTIg
KFByaW50KSYjeEQ7MjMzMi0xNTEyPC9pc2JuPjxhY2Nlc3Npb24tbnVtPjI4MzM3NDY1PC9hY2Nl
c3Npb24tbnVtPjx1cmxzPjwvdXJscz48Y3VzdG9tMj5QTUM1MzM4MDc1PC9jdXN0b20yPjxlbGVj
dHJvbmljLXJlc291cmNlLW51bT4xMC4xMDg5L2FpdnQuMjAxNi4wMDMwPC9lbGVjdHJvbmljLXJl
c291cmNlLW51bT48cmVtb3RlLWRhdGFiYXNlLXByb3ZpZGVyPk5MTTwvcmVtb3RlLWRhdGFiYXNl
LXByb3ZpZGVyPjxsYW5ndWFnZT5lbmc8L2xhbmd1YWdlPjwvcmVjb3JkPjwvQ2l0ZT48L0VuZE5v
dGU+AG==
</w:fldData>
            </w:fldChar>
          </w:r>
          <w:r>
            <w:rPr>
              <w:rFonts w:eastAsia="Times New Roman" w:cs="Calibri"/>
            </w:rPr>
            <w:instrText xml:space="preserve"> ADDIN EN.CITE </w:instrText>
          </w:r>
          <w:r>
            <w:rPr>
              <w:rFonts w:eastAsia="Times New Roman" w:cs="Calibri"/>
            </w:rPr>
            <w:fldChar w:fldCharType="begin">
              <w:fldData xml:space="preserve">PEVuZE5vdGU+PENpdGU+PEF1dGhvcj5HZXJsb2ZmPC9BdXRob3I+PFllYXI+MjAxNzwvWWVhcj48
UmVjTnVtPjEyNjA8L1JlY051bT48RGlzcGxheVRleHQ+KEdlcmxvZmYsIFN1bmRhciBldCBhbC4g
MjAxNyk8L0Rpc3BsYXlUZXh0PjxyZWNvcmQ+PHJlYy1udW1iZXI+MTI2MDwvcmVjLW51bWJlcj48
Zm9yZWlnbi1rZXlzPjxrZXkgYXBwPSJFTiIgZGItaWQ9Ijl6MDVkejBwcmFhZGZ1ZWUwem94emVk
azl6ZmU1Znh4NTB6NSIgdGltZXN0YW1wPSIxNTIxNTA3MDM3Ij4xMjYwPC9rZXk+PGtleSBhcHA9
IkVOV2ViIiBkYi1pZD0iIj4wPC9rZXk+PC9mb3JlaWduLWtleXM+PHJlZi10eXBlIG5hbWU9Ikpv
dXJuYWwgQXJ0aWNsZSI+MTc8L3JlZi10eXBlPjxjb250cmlidXRvcnM+PGF1dGhvcnM+PGF1dGhv
cj5HZXJsb2ZmLCBKLjwvYXV0aG9yPjxhdXRob3I+U3VuZGFyLCBJLiBLLjwvYXV0aG9yPjxhdXRo
b3I+RnJldGVyLCBSLjwvYXV0aG9yPjxhdXRob3I+U2VrZXJhLCBFLiBSLjwvYXV0aG9yPjxhdXRo
b3I+RnJpZWRtYW4sIEEuIEUuPC9hdXRob3I+PGF1dGhvcj5Sb2JpbnNvbiwgUi48L2F1dGhvcj48
YXV0aG9yPlBhZ2FubywgVC48L2F1dGhvcj48YXV0aG9yPlJhaG1hbiwgSS48L2F1dGhvcj48L2F1
dGhvcnM+PC9jb250cmlidXRvcnM+PGF1dGgtYWRkcmVzcz5EZXBhcnRtZW50IG9mIEVudmlyb25t
ZW50YWwgTWVkaWNpbmUsIFVuaXZlcnNpdHkgb2YgUm9jaGVzdGVyIE1lZGljYWwgQ2VudGVyICwg
Um9jaGVzdGVyLCBOZXcgWW9yay4mI3hEO0RlcGFydG1lbnQgb2YgQ2hlbWlzdHJ5LCBVbml2ZXJz
aXR5IG9mIEJ1ZmZhbG8gLCBCdWZmYWxvLCBOZXcgWW9yay4mI3hEO0RlcGFydG1lbnQgb2YgTWVj
aGFuaWNhbCBFbmdpbmVlcmluZywgUm9jaGVzdGVyIEluc3RpdHV0ZSBvZiBUZWNobm9sb2d5L05h
dGlvbmFsIFRlY2huaWNhbCBJbnN0aXR1dGUgZm9yIHRoZSBEZWFmICwgUm9jaGVzdGVyLCBOZXcg
WW9yay4mI3hEO0RlcGFydG1lbnQgb2YgU2NpZW5jZSAmYW1wOyBNYXRoZW1hdGljcywgUm9jaGVz
dGVyIEluc3RpdHV0ZSBvZiBUZWNobm9sb2d5L05hdGlvbmFsIFRlY2huaWNhbCBJbnN0aXR1dGUg
Zm9yIHRoZSBEZWFmICwgUm9jaGVzdGVyLCBOZXcgWW9yay48L2F1dGgtYWRkcmVzcz48dGl0bGVz
Pjx0aXRsZT5JbmZsYW1tYXRvcnkgUmVzcG9uc2UgYW5kIEJhcnJpZXIgRHlzZnVuY3Rpb24gYnkg
RGlmZmVyZW50IGUtQ2lnYXJldHRlIEZsYXZvcmluZyBDaGVtaWNhbHMgSWRlbnRpZmllZCBieSBH
YXMgQ2hyb21hdG9ncmFwaHktTWFzcyBTcGVjdHJvbWV0cnkgaW4gZS1MaXF1aWRzIGFuZCBlLVZh
cG9ycyBvbiBIdW1hbiBMdW5nIEVwaXRoZWxpYWwgQ2VsbHMgYW5kIEZpYnJvYmxhc3RzPC90aXRs
ZT48c2Vjb25kYXJ5LXRpdGxlPkFwcGwgSW4gVml0cm8gVG94aWNvbDwvc2Vjb25kYXJ5LXRpdGxl
PjxhbHQtdGl0bGU+QXBwbGllZCBpbiB2aXRybyB0b3hpY29sb2d5PC9hbHQtdGl0bGU+PC90aXRs
ZXM+PHBlcmlvZGljYWw+PGZ1bGwtdGl0bGU+QXBwbCBJbiBWaXRybyBUb3hpY29sPC9mdWxsLXRp
dGxlPjxhYmJyLTE+QXBwbGllZCBpbiB2aXRybyB0b3hpY29sb2d5PC9hYmJyLTE+PC9wZXJpb2Rp
Y2FsPjxhbHQtcGVyaW9kaWNhbD48ZnVsbC10aXRsZT5BcHBsIEluIFZpdHJvIFRveGljb2w8L2Z1
bGwtdGl0bGU+PGFiYnItMT5BcHBsaWVkIGluIHZpdHJvIHRveGljb2xvZ3k8L2FiYnItMT48L2Fs
dC1wZXJpb2RpY2FsPjxwYWdlcz4yOC00MDwvcGFnZXM+PHZvbHVtZT4zPC92b2x1bWU+PG51bWJl
cj4xPC9udW1iZXI+PGVkaXRpb24+MjAxNy8wMy8yNTwvZWRpdGlvbj48a2V5d29yZHM+PGtleXdv
cmQ+YmFycmllciBmdW5jdGlvbjwva2V5d29yZD48a2V5d29yZD5kaWFjZXR5bDwva2V5d29yZD48
a2V5d29yZD5lbGVjdHJvbmljIGNpZ2FyZXR0ZXM8L2tleXdvcmQ+PGtleXdvcmQ+Zmxhdm9yczwv
a2V5d29yZD48a2V5d29yZD5pbmZsYW1tYXRpb248L2tleXdvcmQ+PGtleXdvcmQ+aW50ZXJsZXVr
aW4tODwva2V5d29yZD48L2tleXdvcmRzPjxkYXRlcz48eWVhcj4yMDE3PC95ZWFyPjxwdWItZGF0
ZXM+PGRhdGU+TWFyIDE8L2RhdGU+PC9wdWItZGF0ZXM+PC9kYXRlcz48aXNibj4yMzMyLTE1MTIg
KFByaW50KSYjeEQ7MjMzMi0xNTEyPC9pc2JuPjxhY2Nlc3Npb24tbnVtPjI4MzM3NDY1PC9hY2Nl
c3Npb24tbnVtPjx1cmxzPjwvdXJscz48Y3VzdG9tMj5QTUM1MzM4MDc1PC9jdXN0b20yPjxlbGVj
dHJvbmljLXJlc291cmNlLW51bT4xMC4xMDg5L2FpdnQuMjAxNi4wMDMwPC9lbGVjdHJvbmljLXJl
c291cmNlLW51bT48cmVtb3RlLWRhdGFiYXNlLXByb3ZpZGVyPk5MTTwvcmVtb3RlLWRhdGFiYXNl
LXByb3ZpZGVyPjxsYW5ndWFnZT5lbmc8L2xhbmd1YWdlPjwvcmVjb3JkPjwvQ2l0ZT48L0VuZE5v
dGU+AG==
</w:fldData>
            </w:fldChar>
          </w:r>
          <w:r>
            <w:rPr>
              <w:rFonts w:eastAsia="Times New Roman" w:cs="Calibri"/>
            </w:rPr>
            <w:instrText xml:space="preserve"> ADDIN EN.CITE.DATA </w:instrText>
          </w:r>
          <w:r>
            <w:rPr>
              <w:rFonts w:eastAsia="Times New Roman" w:cs="Calibri"/>
            </w:rPr>
          </w:r>
          <w:r>
            <w:rPr>
              <w:rFonts w:eastAsia="Times New Roman" w:cs="Calibri"/>
            </w:rPr>
            <w:fldChar w:fldCharType="end"/>
          </w:r>
          <w:r>
            <w:rPr>
              <w:rFonts w:eastAsia="Times New Roman" w:cs="Calibri"/>
            </w:rPr>
          </w:r>
          <w:r>
            <w:rPr>
              <w:rFonts w:eastAsia="Times New Roman" w:cs="Calibri"/>
            </w:rPr>
            <w:fldChar w:fldCharType="separate"/>
          </w:r>
          <w:r>
            <w:rPr>
              <w:rFonts w:eastAsia="Times New Roman" w:cs="Calibri"/>
              <w:noProof/>
            </w:rPr>
            <w:t>(Gerloff, Sundar et al. 2017)</w:t>
          </w:r>
          <w:r>
            <w:rPr>
              <w:rFonts w:eastAsia="Times New Roman" w:cs="Calibri"/>
            </w:rPr>
            <w:fldChar w:fldCharType="end"/>
          </w:r>
          <w:r>
            <w:rPr>
              <w:rFonts w:eastAsia="Times New Roman" w:cs="Calibri"/>
            </w:rPr>
            <w:t>. However, two flavours (</w:t>
          </w:r>
          <w:r w:rsidRPr="009758F2">
            <w:rPr>
              <w:rFonts w:eastAsia="Times New Roman" w:cs="Calibri"/>
            </w:rPr>
            <w:t>cinnamaldehyde and coumarin</w:t>
          </w:r>
          <w:r>
            <w:rPr>
              <w:rFonts w:eastAsia="Times New Roman" w:cs="Calibri"/>
            </w:rPr>
            <w:t xml:space="preserve">) </w:t>
          </w:r>
          <w:r w:rsidRPr="00520F3B">
            <w:rPr>
              <w:rFonts w:eastAsia="Times New Roman" w:cs="Calibri"/>
            </w:rPr>
            <w:t>suppressed IL-</w:t>
          </w:r>
          <w:r>
            <w:rPr>
              <w:rFonts w:eastAsia="Times New Roman" w:cs="Calibri"/>
            </w:rPr>
            <w:t>8 in B</w:t>
          </w:r>
          <w:r w:rsidRPr="00520F3B">
            <w:rPr>
              <w:rFonts w:eastAsia="Times New Roman" w:cs="Calibri"/>
            </w:rPr>
            <w:t>eas2B and HFL-1 cells</w:t>
          </w:r>
          <w:r>
            <w:rPr>
              <w:rFonts w:eastAsia="Times New Roman" w:cs="Calibri"/>
            </w:rPr>
            <w:t xml:space="preserve"> and t</w:t>
          </w:r>
          <w:r w:rsidRPr="00520F3B">
            <w:rPr>
              <w:rFonts w:eastAsia="Times New Roman" w:cs="Calibri"/>
            </w:rPr>
            <w:t>here was no effect on H292 cells</w:t>
          </w:r>
          <w:r>
            <w:rPr>
              <w:rFonts w:eastAsia="Times New Roman" w:cs="Calibri"/>
            </w:rPr>
            <w:t xml:space="preserve"> </w:t>
          </w:r>
          <w:r>
            <w:rPr>
              <w:rFonts w:eastAsia="Times New Roman" w:cs="Calibri"/>
            </w:rPr>
            <w:fldChar w:fldCharType="begin">
              <w:fldData xml:space="preserve">PEVuZE5vdGU+PENpdGU+PEF1dGhvcj5HZXJsb2ZmPC9BdXRob3I+PFllYXI+MjAxNzwvWWVhcj48
UmVjTnVtPjEyNjA8L1JlY051bT48RGlzcGxheVRleHQ+KEdlcmxvZmYsIFN1bmRhciBldCBhbC4g
MjAxNyk8L0Rpc3BsYXlUZXh0PjxyZWNvcmQ+PHJlYy1udW1iZXI+MTI2MDwvcmVjLW51bWJlcj48
Zm9yZWlnbi1rZXlzPjxrZXkgYXBwPSJFTiIgZGItaWQ9Ijl6MDVkejBwcmFhZGZ1ZWUwem94emVk
azl6ZmU1Znh4NTB6NSIgdGltZXN0YW1wPSIxNTIxNTA3MDM3Ij4xMjYwPC9rZXk+PGtleSBhcHA9
IkVOV2ViIiBkYi1pZD0iIj4wPC9rZXk+PC9mb3JlaWduLWtleXM+PHJlZi10eXBlIG5hbWU9Ikpv
dXJuYWwgQXJ0aWNsZSI+MTc8L3JlZi10eXBlPjxjb250cmlidXRvcnM+PGF1dGhvcnM+PGF1dGhv
cj5HZXJsb2ZmLCBKLjwvYXV0aG9yPjxhdXRob3I+U3VuZGFyLCBJLiBLLjwvYXV0aG9yPjxhdXRo
b3I+RnJldGVyLCBSLjwvYXV0aG9yPjxhdXRob3I+U2VrZXJhLCBFLiBSLjwvYXV0aG9yPjxhdXRo
b3I+RnJpZWRtYW4sIEEuIEUuPC9hdXRob3I+PGF1dGhvcj5Sb2JpbnNvbiwgUi48L2F1dGhvcj48
YXV0aG9yPlBhZ2FubywgVC48L2F1dGhvcj48YXV0aG9yPlJhaG1hbiwgSS48L2F1dGhvcj48L2F1
dGhvcnM+PC9jb250cmlidXRvcnM+PGF1dGgtYWRkcmVzcz5EZXBhcnRtZW50IG9mIEVudmlyb25t
ZW50YWwgTWVkaWNpbmUsIFVuaXZlcnNpdHkgb2YgUm9jaGVzdGVyIE1lZGljYWwgQ2VudGVyICwg
Um9jaGVzdGVyLCBOZXcgWW9yay4mI3hEO0RlcGFydG1lbnQgb2YgQ2hlbWlzdHJ5LCBVbml2ZXJz
aXR5IG9mIEJ1ZmZhbG8gLCBCdWZmYWxvLCBOZXcgWW9yay4mI3hEO0RlcGFydG1lbnQgb2YgTWVj
aGFuaWNhbCBFbmdpbmVlcmluZywgUm9jaGVzdGVyIEluc3RpdHV0ZSBvZiBUZWNobm9sb2d5L05h
dGlvbmFsIFRlY2huaWNhbCBJbnN0aXR1dGUgZm9yIHRoZSBEZWFmICwgUm9jaGVzdGVyLCBOZXcg
WW9yay4mI3hEO0RlcGFydG1lbnQgb2YgU2NpZW5jZSAmYW1wOyBNYXRoZW1hdGljcywgUm9jaGVz
dGVyIEluc3RpdHV0ZSBvZiBUZWNobm9sb2d5L05hdGlvbmFsIFRlY2huaWNhbCBJbnN0aXR1dGUg
Zm9yIHRoZSBEZWFmICwgUm9jaGVzdGVyLCBOZXcgWW9yay48L2F1dGgtYWRkcmVzcz48dGl0bGVz
Pjx0aXRsZT5JbmZsYW1tYXRvcnkgUmVzcG9uc2UgYW5kIEJhcnJpZXIgRHlzZnVuY3Rpb24gYnkg
RGlmZmVyZW50IGUtQ2lnYXJldHRlIEZsYXZvcmluZyBDaGVtaWNhbHMgSWRlbnRpZmllZCBieSBH
YXMgQ2hyb21hdG9ncmFwaHktTWFzcyBTcGVjdHJvbWV0cnkgaW4gZS1MaXF1aWRzIGFuZCBlLVZh
cG9ycyBvbiBIdW1hbiBMdW5nIEVwaXRoZWxpYWwgQ2VsbHMgYW5kIEZpYnJvYmxhc3RzPC90aXRs
ZT48c2Vjb25kYXJ5LXRpdGxlPkFwcGwgSW4gVml0cm8gVG94aWNvbDwvc2Vjb25kYXJ5LXRpdGxl
PjxhbHQtdGl0bGU+QXBwbGllZCBpbiB2aXRybyB0b3hpY29sb2d5PC9hbHQtdGl0bGU+PC90aXRs
ZXM+PHBlcmlvZGljYWw+PGZ1bGwtdGl0bGU+QXBwbCBJbiBWaXRybyBUb3hpY29sPC9mdWxsLXRp
dGxlPjxhYmJyLTE+QXBwbGllZCBpbiB2aXRybyB0b3hpY29sb2d5PC9hYmJyLTE+PC9wZXJpb2Rp
Y2FsPjxhbHQtcGVyaW9kaWNhbD48ZnVsbC10aXRsZT5BcHBsIEluIFZpdHJvIFRveGljb2w8L2Z1
bGwtdGl0bGU+PGFiYnItMT5BcHBsaWVkIGluIHZpdHJvIHRveGljb2xvZ3k8L2FiYnItMT48L2Fs
dC1wZXJpb2RpY2FsPjxwYWdlcz4yOC00MDwvcGFnZXM+PHZvbHVtZT4zPC92b2x1bWU+PG51bWJl
cj4xPC9udW1iZXI+PGVkaXRpb24+MjAxNy8wMy8yNTwvZWRpdGlvbj48a2V5d29yZHM+PGtleXdv
cmQ+YmFycmllciBmdW5jdGlvbjwva2V5d29yZD48a2V5d29yZD5kaWFjZXR5bDwva2V5d29yZD48
a2V5d29yZD5lbGVjdHJvbmljIGNpZ2FyZXR0ZXM8L2tleXdvcmQ+PGtleXdvcmQ+Zmxhdm9yczwv
a2V5d29yZD48a2V5d29yZD5pbmZsYW1tYXRpb248L2tleXdvcmQ+PGtleXdvcmQ+aW50ZXJsZXVr
aW4tODwva2V5d29yZD48L2tleXdvcmRzPjxkYXRlcz48eWVhcj4yMDE3PC95ZWFyPjxwdWItZGF0
ZXM+PGRhdGU+TWFyIDE8L2RhdGU+PC9wdWItZGF0ZXM+PC9kYXRlcz48aXNibj4yMzMyLTE1MTIg
KFByaW50KSYjeEQ7MjMzMi0xNTEyPC9pc2JuPjxhY2Nlc3Npb24tbnVtPjI4MzM3NDY1PC9hY2Nl
c3Npb24tbnVtPjx1cmxzPjwvdXJscz48Y3VzdG9tMj5QTUM1MzM4MDc1PC9jdXN0b20yPjxlbGVj
dHJvbmljLXJlc291cmNlLW51bT4xMC4xMDg5L2FpdnQuMjAxNi4wMDMwPC9lbGVjdHJvbmljLXJl
c291cmNlLW51bT48cmVtb3RlLWRhdGFiYXNlLXByb3ZpZGVyPk5MTTwvcmVtb3RlLWRhdGFiYXNl
LXByb3ZpZGVyPjxsYW5ndWFnZT5lbmc8L2xhbmd1YWdlPjwvcmVjb3JkPjwvQ2l0ZT48L0VuZE5v
dGU+AG==
</w:fldData>
            </w:fldChar>
          </w:r>
          <w:r>
            <w:rPr>
              <w:rFonts w:eastAsia="Times New Roman" w:cs="Calibri"/>
            </w:rPr>
            <w:instrText xml:space="preserve"> ADDIN EN.CITE </w:instrText>
          </w:r>
          <w:r>
            <w:rPr>
              <w:rFonts w:eastAsia="Times New Roman" w:cs="Calibri"/>
            </w:rPr>
            <w:fldChar w:fldCharType="begin">
              <w:fldData xml:space="preserve">PEVuZE5vdGU+PENpdGU+PEF1dGhvcj5HZXJsb2ZmPC9BdXRob3I+PFllYXI+MjAxNzwvWWVhcj48
UmVjTnVtPjEyNjA8L1JlY051bT48RGlzcGxheVRleHQ+KEdlcmxvZmYsIFN1bmRhciBldCBhbC4g
MjAxNyk8L0Rpc3BsYXlUZXh0PjxyZWNvcmQ+PHJlYy1udW1iZXI+MTI2MDwvcmVjLW51bWJlcj48
Zm9yZWlnbi1rZXlzPjxrZXkgYXBwPSJFTiIgZGItaWQ9Ijl6MDVkejBwcmFhZGZ1ZWUwem94emVk
azl6ZmU1Znh4NTB6NSIgdGltZXN0YW1wPSIxNTIxNTA3MDM3Ij4xMjYwPC9rZXk+PGtleSBhcHA9
IkVOV2ViIiBkYi1pZD0iIj4wPC9rZXk+PC9mb3JlaWduLWtleXM+PHJlZi10eXBlIG5hbWU9Ikpv
dXJuYWwgQXJ0aWNsZSI+MTc8L3JlZi10eXBlPjxjb250cmlidXRvcnM+PGF1dGhvcnM+PGF1dGhv
cj5HZXJsb2ZmLCBKLjwvYXV0aG9yPjxhdXRob3I+U3VuZGFyLCBJLiBLLjwvYXV0aG9yPjxhdXRo
b3I+RnJldGVyLCBSLjwvYXV0aG9yPjxhdXRob3I+U2VrZXJhLCBFLiBSLjwvYXV0aG9yPjxhdXRo
b3I+RnJpZWRtYW4sIEEuIEUuPC9hdXRob3I+PGF1dGhvcj5Sb2JpbnNvbiwgUi48L2F1dGhvcj48
YXV0aG9yPlBhZ2FubywgVC48L2F1dGhvcj48YXV0aG9yPlJhaG1hbiwgSS48L2F1dGhvcj48L2F1
dGhvcnM+PC9jb250cmlidXRvcnM+PGF1dGgtYWRkcmVzcz5EZXBhcnRtZW50IG9mIEVudmlyb25t
ZW50YWwgTWVkaWNpbmUsIFVuaXZlcnNpdHkgb2YgUm9jaGVzdGVyIE1lZGljYWwgQ2VudGVyICwg
Um9jaGVzdGVyLCBOZXcgWW9yay4mI3hEO0RlcGFydG1lbnQgb2YgQ2hlbWlzdHJ5LCBVbml2ZXJz
aXR5IG9mIEJ1ZmZhbG8gLCBCdWZmYWxvLCBOZXcgWW9yay4mI3hEO0RlcGFydG1lbnQgb2YgTWVj
aGFuaWNhbCBFbmdpbmVlcmluZywgUm9jaGVzdGVyIEluc3RpdHV0ZSBvZiBUZWNobm9sb2d5L05h
dGlvbmFsIFRlY2huaWNhbCBJbnN0aXR1dGUgZm9yIHRoZSBEZWFmICwgUm9jaGVzdGVyLCBOZXcg
WW9yay4mI3hEO0RlcGFydG1lbnQgb2YgU2NpZW5jZSAmYW1wOyBNYXRoZW1hdGljcywgUm9jaGVz
dGVyIEluc3RpdHV0ZSBvZiBUZWNobm9sb2d5L05hdGlvbmFsIFRlY2huaWNhbCBJbnN0aXR1dGUg
Zm9yIHRoZSBEZWFmICwgUm9jaGVzdGVyLCBOZXcgWW9yay48L2F1dGgtYWRkcmVzcz48dGl0bGVz
Pjx0aXRsZT5JbmZsYW1tYXRvcnkgUmVzcG9uc2UgYW5kIEJhcnJpZXIgRHlzZnVuY3Rpb24gYnkg
RGlmZmVyZW50IGUtQ2lnYXJldHRlIEZsYXZvcmluZyBDaGVtaWNhbHMgSWRlbnRpZmllZCBieSBH
YXMgQ2hyb21hdG9ncmFwaHktTWFzcyBTcGVjdHJvbWV0cnkgaW4gZS1MaXF1aWRzIGFuZCBlLVZh
cG9ycyBvbiBIdW1hbiBMdW5nIEVwaXRoZWxpYWwgQ2VsbHMgYW5kIEZpYnJvYmxhc3RzPC90aXRs
ZT48c2Vjb25kYXJ5LXRpdGxlPkFwcGwgSW4gVml0cm8gVG94aWNvbDwvc2Vjb25kYXJ5LXRpdGxl
PjxhbHQtdGl0bGU+QXBwbGllZCBpbiB2aXRybyB0b3hpY29sb2d5PC9hbHQtdGl0bGU+PC90aXRs
ZXM+PHBlcmlvZGljYWw+PGZ1bGwtdGl0bGU+QXBwbCBJbiBWaXRybyBUb3hpY29sPC9mdWxsLXRp
dGxlPjxhYmJyLTE+QXBwbGllZCBpbiB2aXRybyB0b3hpY29sb2d5PC9hYmJyLTE+PC9wZXJpb2Rp
Y2FsPjxhbHQtcGVyaW9kaWNhbD48ZnVsbC10aXRsZT5BcHBsIEluIFZpdHJvIFRveGljb2w8L2Z1
bGwtdGl0bGU+PGFiYnItMT5BcHBsaWVkIGluIHZpdHJvIHRveGljb2xvZ3k8L2FiYnItMT48L2Fs
dC1wZXJpb2RpY2FsPjxwYWdlcz4yOC00MDwvcGFnZXM+PHZvbHVtZT4zPC92b2x1bWU+PG51bWJl
cj4xPC9udW1iZXI+PGVkaXRpb24+MjAxNy8wMy8yNTwvZWRpdGlvbj48a2V5d29yZHM+PGtleXdv
cmQ+YmFycmllciBmdW5jdGlvbjwva2V5d29yZD48a2V5d29yZD5kaWFjZXR5bDwva2V5d29yZD48
a2V5d29yZD5lbGVjdHJvbmljIGNpZ2FyZXR0ZXM8L2tleXdvcmQ+PGtleXdvcmQ+Zmxhdm9yczwv
a2V5d29yZD48a2V5d29yZD5pbmZsYW1tYXRpb248L2tleXdvcmQ+PGtleXdvcmQ+aW50ZXJsZXVr
aW4tODwva2V5d29yZD48L2tleXdvcmRzPjxkYXRlcz48eWVhcj4yMDE3PC95ZWFyPjxwdWItZGF0
ZXM+PGRhdGU+TWFyIDE8L2RhdGU+PC9wdWItZGF0ZXM+PC9kYXRlcz48aXNibj4yMzMyLTE1MTIg
KFByaW50KSYjeEQ7MjMzMi0xNTEyPC9pc2JuPjxhY2Nlc3Npb24tbnVtPjI4MzM3NDY1PC9hY2Nl
c3Npb24tbnVtPjx1cmxzPjwvdXJscz48Y3VzdG9tMj5QTUM1MzM4MDc1PC9jdXN0b20yPjxlbGVj
dHJvbmljLXJlc291cmNlLW51bT4xMC4xMDg5L2FpdnQuMjAxNi4wMDMwPC9lbGVjdHJvbmljLXJl
c291cmNlLW51bT48cmVtb3RlLWRhdGFiYXNlLXByb3ZpZGVyPk5MTTwvcmVtb3RlLWRhdGFiYXNl
LXByb3ZpZGVyPjxsYW5ndWFnZT5lbmc8L2xhbmd1YWdlPjwvcmVjb3JkPjwvQ2l0ZT48L0VuZE5v
dGU+AG==
</w:fldData>
            </w:fldChar>
          </w:r>
          <w:r>
            <w:rPr>
              <w:rFonts w:eastAsia="Times New Roman" w:cs="Calibri"/>
            </w:rPr>
            <w:instrText xml:space="preserve"> ADDIN EN.CITE.DATA </w:instrText>
          </w:r>
          <w:r>
            <w:rPr>
              <w:rFonts w:eastAsia="Times New Roman" w:cs="Calibri"/>
            </w:rPr>
          </w:r>
          <w:r>
            <w:rPr>
              <w:rFonts w:eastAsia="Times New Roman" w:cs="Calibri"/>
            </w:rPr>
            <w:fldChar w:fldCharType="end"/>
          </w:r>
          <w:r>
            <w:rPr>
              <w:rFonts w:eastAsia="Times New Roman" w:cs="Calibri"/>
            </w:rPr>
          </w:r>
          <w:r>
            <w:rPr>
              <w:rFonts w:eastAsia="Times New Roman" w:cs="Calibri"/>
            </w:rPr>
            <w:fldChar w:fldCharType="separate"/>
          </w:r>
          <w:r>
            <w:rPr>
              <w:rFonts w:eastAsia="Times New Roman" w:cs="Calibri"/>
              <w:noProof/>
            </w:rPr>
            <w:t>(Gerloff, Sundar et al. 2017)</w:t>
          </w:r>
          <w:r>
            <w:rPr>
              <w:rFonts w:eastAsia="Times New Roman" w:cs="Calibri"/>
            </w:rPr>
            <w:fldChar w:fldCharType="end"/>
          </w:r>
          <w:r w:rsidRPr="00520F3B">
            <w:rPr>
              <w:rFonts w:eastAsia="Times New Roman" w:cs="Calibri"/>
            </w:rPr>
            <w:t xml:space="preserve">. </w:t>
          </w:r>
          <w:r>
            <w:rPr>
              <w:rFonts w:eastAsia="Times New Roman" w:cs="Calibri"/>
            </w:rPr>
            <w:t>The final study investigated both the vaporised flavoured e-cigarettes and the flavour extracts in two different pleural cell types. In the first pleural cell type (U</w:t>
          </w:r>
          <w:r w:rsidRPr="000846C7">
            <w:t>937</w:t>
          </w:r>
          <w:r>
            <w:t>),</w:t>
          </w:r>
          <w:r w:rsidRPr="000846C7">
            <w:t xml:space="preserve"> diacetyl, 2, 3-pentanedione</w:t>
          </w:r>
          <w:r>
            <w:t>,</w:t>
          </w:r>
          <w:r w:rsidRPr="000846C7">
            <w:t xml:space="preserve"> o-vanillin</w:t>
          </w:r>
          <w:r>
            <w:t>,</w:t>
          </w:r>
          <w:r w:rsidRPr="000846C7">
            <w:t xml:space="preserve"> maltol and coumarin </w:t>
          </w:r>
          <w:r>
            <w:t xml:space="preserve">all </w:t>
          </w:r>
          <w:r w:rsidRPr="000846C7">
            <w:t xml:space="preserve">increased </w:t>
          </w:r>
          <w:r>
            <w:t>IL-8 secretion</w:t>
          </w:r>
          <w:r w:rsidRPr="000846C7">
            <w:t xml:space="preserve">. </w:t>
          </w:r>
          <w:r>
            <w:t>However a</w:t>
          </w:r>
          <w:r w:rsidRPr="000846C7">
            <w:t xml:space="preserve">cetoin decreased </w:t>
          </w:r>
          <w:r>
            <w:t xml:space="preserve">IL-8 </w:t>
          </w:r>
          <w:r w:rsidRPr="000846C7">
            <w:t>in a dose-dependent manner</w:t>
          </w:r>
          <w:r>
            <w:t xml:space="preserve">. A small concentration of </w:t>
          </w:r>
          <w:r w:rsidRPr="000846C7">
            <w:t xml:space="preserve">cinnamaldehyde </w:t>
          </w:r>
          <w:r>
            <w:t>(</w:t>
          </w:r>
          <w:r w:rsidRPr="000846C7">
            <w:t>10µM</w:t>
          </w:r>
          <w:r>
            <w:t>)</w:t>
          </w:r>
          <w:r w:rsidRPr="000846C7">
            <w:t xml:space="preserve"> increased IL-8 </w:t>
          </w:r>
          <w:r>
            <w:t xml:space="preserve">secretion, </w:t>
          </w:r>
          <w:r w:rsidRPr="000846C7">
            <w:t>but</w:t>
          </w:r>
          <w:r>
            <w:t xml:space="preserve"> at a high concentration</w:t>
          </w:r>
          <w:r w:rsidRPr="000846C7">
            <w:t xml:space="preserve"> </w:t>
          </w:r>
          <w:r>
            <w:t>(</w:t>
          </w:r>
          <w:r w:rsidRPr="000846C7">
            <w:t>1000µM</w:t>
          </w:r>
          <w:r>
            <w:t xml:space="preserve">) IL-8 decreased </w:t>
          </w:r>
          <w:r w:rsidRPr="000846C7">
            <w:t xml:space="preserve">likely </w:t>
          </w:r>
          <w:r>
            <w:t>due to</w:t>
          </w:r>
          <w:r w:rsidRPr="000846C7">
            <w:t xml:space="preserve"> cytotoxicity</w:t>
          </w:r>
          <w:r>
            <w:t xml:space="preserve"> </w:t>
          </w:r>
          <w:r>
            <w:fldChar w:fldCharType="begin"/>
          </w:r>
          <w:r>
            <w:instrText xml:space="preserve"> ADDIN EN.CITE &lt;EndNote&gt;&lt;Cite&gt;&lt;Author&gt;Muthumalage&lt;/Author&gt;&lt;Year&gt;2017&lt;/Year&gt;&lt;RecNum&gt;628&lt;/RecNum&gt;&lt;DisplayText&gt;(Muthumalage, Prinz et al. 2017)&lt;/DisplayText&gt;&lt;record&gt;&lt;rec-number&gt;628&lt;/rec-number&gt;&lt;foreign-keys&gt;&lt;key app="EN" db-id="9z05dz0praadfuee0zoxzedk9zfe5fxx50z5" timestamp="1521506873"&gt;628&lt;/key&gt;&lt;key app="ENWeb" db-id=""&gt;0&lt;/key&gt;&lt;/foreign-keys&gt;&lt;ref-type name="Journal Article"&gt;17&lt;/ref-type&gt;&lt;contributors&gt;&lt;authors&gt;&lt;author&gt;Muthumalage, T.&lt;/author&gt;&lt;author&gt;Prinz, M.&lt;/author&gt;&lt;author&gt;Ansah, K. O.&lt;/author&gt;&lt;author&gt;Gerloff, J.&lt;/author&gt;&lt;author&gt;Sundar, I. K.&lt;/author&gt;&lt;author&gt;Rahman, I.&lt;/author&gt;&lt;/authors&gt;&lt;/contributors&gt;&lt;auth-address&gt;Department of Environmental Medicine, University of Rochester Medical Center, Rochester, NY, United States.&lt;/auth-address&gt;&lt;titles&gt;&lt;title&gt;Inflammatory and Oxidative Responses Induced by Exposure to Commonly Used e-Cigarette Flavoring Chemicals and Flavored e-Liquids without Nicotine&lt;/title&gt;&lt;secondary-title&gt;Front Physiol&lt;/secondary-title&gt;&lt;alt-title&gt;Frontiers in physiology&lt;/alt-title&gt;&lt;/titles&gt;&lt;alt-periodical&gt;&lt;full-title&gt;Frontiers in physiology&lt;/full-title&gt;&lt;/alt-periodical&gt;&lt;pages&gt;1130&lt;/pages&gt;&lt;volume&gt;8&lt;/volume&gt;&lt;edition&gt;2018/01/30&lt;/edition&gt;&lt;keywords&gt;&lt;keyword&gt;cigarettes&lt;/keyword&gt;&lt;keyword&gt;e-liquids&lt;/keyword&gt;&lt;keyword&gt;flavors&lt;/keyword&gt;&lt;keyword&gt;inflammation&lt;/keyword&gt;&lt;keyword&gt;interleukin-8&lt;/keyword&gt;&lt;keyword&gt;monocytes&lt;/keyword&gt;&lt;keyword&gt;oxidative stress&lt;/keyword&gt;&lt;/keywords&gt;&lt;dates&gt;&lt;year&gt;2017&lt;/year&gt;&lt;/dates&gt;&lt;isbn&gt;1664-042X (Print)&amp;#xD;1664-042x&lt;/isbn&gt;&lt;accession-num&gt;29375399&lt;/accession-num&gt;&lt;urls&gt;&lt;/urls&gt;&lt;custom2&gt;PMC5768608&lt;/custom2&gt;&lt;electronic-resource-num&gt;10.3389/fphys.2017.01130&lt;/electronic-resource-num&gt;&lt;remote-database-provider&gt;NLM&lt;/remote-database-provider&gt;&lt;language&gt;eng&lt;/language&gt;&lt;/record&gt;&lt;/Cite&gt;&lt;/EndNote&gt;</w:instrText>
          </w:r>
          <w:r>
            <w:fldChar w:fldCharType="separate"/>
          </w:r>
          <w:r>
            <w:rPr>
              <w:noProof/>
            </w:rPr>
            <w:t>(Muthumalage, Prinz et al. 2017)</w:t>
          </w:r>
          <w:r>
            <w:fldChar w:fldCharType="end"/>
          </w:r>
          <w:r w:rsidRPr="000846C7">
            <w:t xml:space="preserve">. </w:t>
          </w:r>
          <w:r>
            <w:t>In the second cell type (M</w:t>
          </w:r>
          <w:r w:rsidRPr="000846C7">
            <w:t>M6</w:t>
          </w:r>
          <w:r>
            <w:t>), IL-8 secretion</w:t>
          </w:r>
          <w:r w:rsidRPr="000846C7">
            <w:t xml:space="preserve"> increased after acetoin, cinnamaldehyde</w:t>
          </w:r>
          <w:r>
            <w:t xml:space="preserve"> and </w:t>
          </w:r>
          <w:r w:rsidRPr="000846C7">
            <w:t>vanillin</w:t>
          </w:r>
          <w:r>
            <w:t xml:space="preserve"> exposure while d</w:t>
          </w:r>
          <w:r w:rsidRPr="000846C7">
            <w:t>iacetyl</w:t>
          </w:r>
          <w:r>
            <w:t xml:space="preserve"> and</w:t>
          </w:r>
          <w:r w:rsidRPr="000846C7">
            <w:t xml:space="preserve"> coumarin did not increase </w:t>
          </w:r>
          <w:r>
            <w:t xml:space="preserve">IL-8 </w:t>
          </w:r>
          <w:r w:rsidRPr="000846C7">
            <w:t>significantly</w:t>
          </w:r>
          <w:r>
            <w:t xml:space="preserve"> </w:t>
          </w:r>
          <w:r>
            <w:fldChar w:fldCharType="begin"/>
          </w:r>
          <w:r>
            <w:instrText xml:space="preserve"> ADDIN EN.CITE &lt;EndNote&gt;&lt;Cite&gt;&lt;Author&gt;Muthumalage&lt;/Author&gt;&lt;Year&gt;2017&lt;/Year&gt;&lt;RecNum&gt;628&lt;/RecNum&gt;&lt;DisplayText&gt;(Muthumalage, Prinz et al. 2017)&lt;/DisplayText&gt;&lt;record&gt;&lt;rec-number&gt;628&lt;/rec-number&gt;&lt;foreign-keys&gt;&lt;key app="EN" db-id="9z05dz0praadfuee0zoxzedk9zfe5fxx50z5" timestamp="1521506873"&gt;628&lt;/key&gt;&lt;key app="ENWeb" db-id=""&gt;0&lt;/key&gt;&lt;/foreign-keys&gt;&lt;ref-type name="Journal Article"&gt;17&lt;/ref-type&gt;&lt;contributors&gt;&lt;authors&gt;&lt;author&gt;Muthumalage, T.&lt;/author&gt;&lt;author&gt;Prinz, M.&lt;/author&gt;&lt;author&gt;Ansah, K. O.&lt;/author&gt;&lt;author&gt;Gerloff, J.&lt;/author&gt;&lt;author&gt;Sundar, I. K.&lt;/author&gt;&lt;author&gt;Rahman, I.&lt;/author&gt;&lt;/authors&gt;&lt;/contributors&gt;&lt;auth-address&gt;Department of Environmental Medicine, University of Rochester Medical Center, Rochester, NY, United States.&lt;/auth-address&gt;&lt;titles&gt;&lt;title&gt;Inflammatory and Oxidative Responses Induced by Exposure to Commonly Used e-Cigarette Flavoring Chemicals and Flavored e-Liquids without Nicotine&lt;/title&gt;&lt;secondary-title&gt;Front Physiol&lt;/secondary-title&gt;&lt;alt-title&gt;Frontiers in physiology&lt;/alt-title&gt;&lt;/titles&gt;&lt;alt-periodical&gt;&lt;full-title&gt;Frontiers in physiology&lt;/full-title&gt;&lt;/alt-periodical&gt;&lt;pages&gt;1130&lt;/pages&gt;&lt;volume&gt;8&lt;/volume&gt;&lt;edition&gt;2018/01/30&lt;/edition&gt;&lt;keywords&gt;&lt;keyword&gt;cigarettes&lt;/keyword&gt;&lt;keyword&gt;e-liquids&lt;/keyword&gt;&lt;keyword&gt;flavors&lt;/keyword&gt;&lt;keyword&gt;inflammation&lt;/keyword&gt;&lt;keyword&gt;interleukin-8&lt;/keyword&gt;&lt;keyword&gt;monocytes&lt;/keyword&gt;&lt;keyword&gt;oxidative stress&lt;/keyword&gt;&lt;/keywords&gt;&lt;dates&gt;&lt;year&gt;2017&lt;/year&gt;&lt;/dates&gt;&lt;isbn&gt;1664-042X (Print)&amp;#xD;1664-042x&lt;/isbn&gt;&lt;accession-num&gt;29375399&lt;/accession-num&gt;&lt;urls&gt;&lt;/urls&gt;&lt;custom2&gt;PMC5768608&lt;/custom2&gt;&lt;electronic-resource-num&gt;10.3389/fphys.2017.01130&lt;/electronic-resource-num&gt;&lt;remote-database-provider&gt;NLM&lt;/remote-database-provider&gt;&lt;language&gt;eng&lt;/language&gt;&lt;/record&gt;&lt;/Cite&gt;&lt;/EndNote&gt;</w:instrText>
          </w:r>
          <w:r>
            <w:fldChar w:fldCharType="separate"/>
          </w:r>
          <w:r>
            <w:rPr>
              <w:noProof/>
            </w:rPr>
            <w:t>(Muthumalage, Prinz et al. 2017)</w:t>
          </w:r>
          <w:r>
            <w:fldChar w:fldCharType="end"/>
          </w:r>
          <w:r w:rsidRPr="000846C7">
            <w:t xml:space="preserve">. </w:t>
          </w:r>
        </w:p>
        <w:p w14:paraId="77C28699" w14:textId="77777777" w:rsidR="00A74D41" w:rsidRDefault="00A74D41" w:rsidP="00A74D41">
          <w:pPr>
            <w:pStyle w:val="BodyText"/>
          </w:pPr>
          <w:r>
            <w:t xml:space="preserve">Finally, the same study also investigated the vaporised flavours on pleural cells and found that while the flavours Cinnamon Roll, Mystery Mix, </w:t>
          </w:r>
          <w:r w:rsidRPr="000846C7">
            <w:t>Cafe Latte and</w:t>
          </w:r>
          <w:r>
            <w:t xml:space="preserve"> m</w:t>
          </w:r>
          <w:r w:rsidRPr="000846C7">
            <w:t>ixed flavours</w:t>
          </w:r>
          <w:r>
            <w:t xml:space="preserve"> (combining all of the flavours, to replicate use of e-cigarettes where the same device is used for different flavours)</w:t>
          </w:r>
          <w:r w:rsidRPr="000846C7">
            <w:t xml:space="preserve"> increased</w:t>
          </w:r>
          <w:r>
            <w:t xml:space="preserve"> IL-8</w:t>
          </w:r>
          <w:r w:rsidRPr="000846C7">
            <w:t xml:space="preserve">, Mega Melons, Grape </w:t>
          </w:r>
          <w:r>
            <w:t xml:space="preserve">Vape, </w:t>
          </w:r>
          <w:r w:rsidRPr="000846C7">
            <w:t xml:space="preserve">Pineapple </w:t>
          </w:r>
          <w:r>
            <w:t>C</w:t>
          </w:r>
          <w:r w:rsidRPr="000846C7">
            <w:t xml:space="preserve">oconut, American Tobacco and Very Berry decreased </w:t>
          </w:r>
          <w:r>
            <w:t>IL-8</w:t>
          </w:r>
          <w:r w:rsidRPr="000846C7">
            <w:t xml:space="preserve">. </w:t>
          </w:r>
          <w:r>
            <w:t>The remaining two flavours (</w:t>
          </w:r>
          <w:r w:rsidRPr="000846C7">
            <w:t>Fruit Swirl and Strawberry Zing</w:t>
          </w:r>
          <w:r>
            <w:t>)</w:t>
          </w:r>
          <w:r w:rsidRPr="000846C7">
            <w:t xml:space="preserve"> </w:t>
          </w:r>
          <w:r>
            <w:t xml:space="preserve">did not influence </w:t>
          </w:r>
          <w:r w:rsidRPr="000846C7">
            <w:t>IL-8 levels</w:t>
          </w:r>
          <w:r>
            <w:t xml:space="preserve"> as they</w:t>
          </w:r>
          <w:r w:rsidRPr="000846C7">
            <w:t xml:space="preserve"> did not differ from the control</w:t>
          </w:r>
          <w:r>
            <w:t xml:space="preserve"> </w:t>
          </w:r>
          <w:r>
            <w:fldChar w:fldCharType="begin"/>
          </w:r>
          <w:r>
            <w:instrText xml:space="preserve"> ADDIN EN.CITE &lt;EndNote&gt;&lt;Cite&gt;&lt;Author&gt;Muthumalage&lt;/Author&gt;&lt;Year&gt;2017&lt;/Year&gt;&lt;RecNum&gt;628&lt;/RecNum&gt;&lt;DisplayText&gt;(Muthumalage, Prinz et al. 2017)&lt;/DisplayText&gt;&lt;record&gt;&lt;rec-number&gt;628&lt;/rec-number&gt;&lt;foreign-keys&gt;&lt;key app="EN" db-id="9z05dz0praadfuee0zoxzedk9zfe5fxx50z5" timestamp="1521506873"&gt;628&lt;/key&gt;&lt;key app="ENWeb" db-id=""&gt;0&lt;/key&gt;&lt;/foreign-keys&gt;&lt;ref-type name="Journal Article"&gt;17&lt;/ref-type&gt;&lt;contributors&gt;&lt;authors&gt;&lt;author&gt;Muthumalage, T.&lt;/author&gt;&lt;author&gt;Prinz, M.&lt;/author&gt;&lt;author&gt;Ansah, K. O.&lt;/author&gt;&lt;author&gt;Gerloff, J.&lt;/author&gt;&lt;author&gt;Sundar, I. K.&lt;/author&gt;&lt;author&gt;Rahman, I.&lt;/author&gt;&lt;/authors&gt;&lt;/contributors&gt;&lt;auth-address&gt;Department of Environmental Medicine, University of Rochester Medical Center, Rochester, NY, United States.&lt;/auth-address&gt;&lt;titles&gt;&lt;title&gt;Inflammatory and Oxidative Responses Induced by Exposure to Commonly Used e-Cigarette Flavoring Chemicals and Flavored e-Liquids without Nicotine&lt;/title&gt;&lt;secondary-title&gt;Front Physiol&lt;/secondary-title&gt;&lt;alt-title&gt;Frontiers in physiology&lt;/alt-title&gt;&lt;/titles&gt;&lt;alt-periodical&gt;&lt;full-title&gt;Frontiers in physiology&lt;/full-title&gt;&lt;/alt-periodical&gt;&lt;pages&gt;1130&lt;/pages&gt;&lt;volume&gt;8&lt;/volume&gt;&lt;edition&gt;2018/01/30&lt;/edition&gt;&lt;keywords&gt;&lt;keyword&gt;cigarettes&lt;/keyword&gt;&lt;keyword&gt;e-liquids&lt;/keyword&gt;&lt;keyword&gt;flavors&lt;/keyword&gt;&lt;keyword&gt;inflammation&lt;/keyword&gt;&lt;keyword&gt;interleukin-8&lt;/keyword&gt;&lt;keyword&gt;monocytes&lt;/keyword&gt;&lt;keyword&gt;oxidative stress&lt;/keyword&gt;&lt;/keywords&gt;&lt;dates&gt;&lt;year&gt;2017&lt;/year&gt;&lt;/dates&gt;&lt;isbn&gt;1664-042X (Print)&amp;#xD;1664-042x&lt;/isbn&gt;&lt;accession-num&gt;29375399&lt;/accession-num&gt;&lt;urls&gt;&lt;/urls&gt;&lt;custom2&gt;PMC5768608&lt;/custom2&gt;&lt;electronic-resource-num&gt;10.3389/fphys.2017.01130&lt;/electronic-resource-num&gt;&lt;remote-database-provider&gt;NLM&lt;/remote-database-provider&gt;&lt;language&gt;eng&lt;/language&gt;&lt;/record&gt;&lt;/Cite&gt;&lt;/EndNote&gt;</w:instrText>
          </w:r>
          <w:r>
            <w:fldChar w:fldCharType="separate"/>
          </w:r>
          <w:r>
            <w:rPr>
              <w:noProof/>
            </w:rPr>
            <w:t>(Muthumalage, Prinz et al. 2017)</w:t>
          </w:r>
          <w:r>
            <w:fldChar w:fldCharType="end"/>
          </w:r>
          <w:r>
            <w:t xml:space="preserve">. The authors of one study hypothesised that some differences in effects were due to the synergistic action between flavour molecules and nicotine, as nicotine alone did not lead to a pro-inflammatory response </w:t>
          </w:r>
          <w:r>
            <w:fldChar w:fldCharType="begin">
              <w:fldData xml:space="preserve">PEVuZE5vdGU+PENpdGU+PEF1dGhvcj5CZW5nYWxsaTwvQXV0aG9yPjxZZWFyPjIwMTc8L1llYXI+
PFJlY051bT44NDg8L1JlY051bT48RGlzcGxheVRleHQ+KEJlbmdhbGxpLCBGZXJyaSBldCBhbC4g
MjAxNyk8L0Rpc3BsYXlUZXh0PjxyZWNvcmQ+PHJlYy1udW1iZXI+ODQ4PC9yZWMtbnVtYmVyPjxm
b3JlaWduLWtleXM+PGtleSBhcHA9IkVOIiBkYi1pZD0iOXowNWR6MHByYWFkZnVlZTB6b3h6ZWRr
OXpmZTVmeHg1MHo1IiB0aW1lc3RhbXA9IjE1MjE1MDY5NDIiPjg0ODwva2V5PjxrZXkgYXBwPSJF
TldlYiIgZGItaWQ9IiI+MDwva2V5PjwvZm9yZWlnbi1rZXlzPjxyZWYtdHlwZSBuYW1lPSJKb3Vy
bmFsIEFydGljbGUiPjE3PC9yZWYtdHlwZT48Y29udHJpYnV0b3JzPjxhdXRob3JzPjxhdXRob3I+
QmVuZ2FsbGksIFIuPC9hdXRob3I+PGF1dGhvcj5GZXJyaSwgRS48L2F1dGhvcj48YXV0aG9yPkxh
YnJhLCBNLjwvYXV0aG9yPjxhdXRob3I+TWFudGVjY2EsIFAuPC9hdXRob3I+PC9hdXRob3JzPjwv
Y29udHJpYnV0b3JzPjxhdXRoLWFkZHJlc3M+RGVwYXJ0bWVudCBvZiBFYXJ0aCBhbmQgRW52aXJv
bm1lbnRhbCBTY2llbmNlcywgUmVzZWFyY2ggQ2VudGVyIFBPTEFSSVMgKFBhcnRpY3VsYXRlIE1h
dHRlciBhbmQgSGVhbHRoIFJpc2spLCAxIFBpYXp6YSBkZWxsYSBTY2llbnphLCBVbml2ZXJzaXR5
IG9mIE1pbGFubyBCaWNvY2NhLCAyMDEyNiBNaWxhbiwgSXRhbHkuIHJvc3NlbGxhLmJlbmdhbGxp
QHVuaW1pYi5pdC4mI3hEO1RSVVNUSUNFUlQgU1JMLCB2aWEgTWF6emluaSAxOC9DLCAyMjAzNiBF
cmJhLCBJdGFseS4gZW1hbnVlbGUuZmVycmlAdHJ1c3RpY2VydC5jb20uJiN4RDtEZXBhcnRtZW50
IG9mIEJpb3RlY2hub2xvZ3kgYW5kIEJpb3NjaWVuY2VzLCAyIFBpYXp6YSBkZWxsYSBTY2llbnph
LCBVbml2ZXJzaXR5IG9mIE1pbGFubyBCaWNvY2NhLCAyMDEyNiBNaWxhbiwgSXRhbHkuIG1hc3Np
bW8ubGFicmFAdW5pbWliLml0LiYjeEQ7RGVwYXJ0bWVudCBvZiBFYXJ0aCBhbmQgRW52aXJvbm1l
bnRhbCBTY2llbmNlcywgUmVzZWFyY2ggQ2VudGVyIFBPTEFSSVMgKFBhcnRpY3VsYXRlIE1hdHRl
ciBhbmQgSGVhbHRoIFJpc2spLCAxIFBpYXp6YSBkZWxsYSBTY2llbnphLCBVbml2ZXJzaXR5IG9m
IE1pbGFubyBCaWNvY2NhLCAyMDEyNiBNaWxhbiwgSXRhbHkuIHBhcmlkZS5tYW50ZWNjYUB1bmlt
aWIuaXQuPC9hdXRoLWFkZHJlc3M+PHRpdGxlcz48dGl0bGU+THVuZyBUb3hpY2l0eSBvZiBDb25k
ZW5zZWQgQWVyb3NvbCBmcm9tIEUtQ0lHIExpcXVpZHM6IEluZmx1ZW5jZSBvZiB0aGUgRmxhdm9y
IGFuZCB0aGUgSW4gVml0cm8gTW9kZWwgVXNlZDwvdGl0bGU+PHNlY29uZGFyeS10aXRsZT5JbnQg
SiBFbnZpcm9uIFJlcyBQdWJsaWMgSGVhbHRoPC9zZWNvbmRhcnktdGl0bGU+PGFsdC10aXRsZT5J
bnRlcm5hdGlvbmFsIGpvdXJuYWwgb2YgZW52aXJvbm1lbnRhbCByZXNlYXJjaCBhbmQgcHVibGlj
IGhlYWx0aDwvYWx0LXRpdGxlPjwvdGl0bGVzPjxhbHQtcGVyaW9kaWNhbD48ZnVsbC10aXRsZT5J
bnRlcm5hdGlvbmFsIEpvdXJuYWwgb2YgRW52aXJvbm1lbnRhbCBSZXNlYXJjaCBhbmQgUHVibGlj
IEhlYWx0aDwvZnVsbC10aXRsZT48L2FsdC1wZXJpb2RpY2FsPjx2b2x1bWU+MTQ8L3ZvbHVtZT48
bnVtYmVyPjEwPC9udW1iZXI+PGVkaXRpb24+MjAxNy8xMC8yMTwvZWRpdGlvbj48a2V5d29yZHM+
PGtleXdvcmQ+Y29uZGVuc2VkIGFlcm9zb2w8L2tleXdvcmQ+PGtleXdvcmQ+ZS1jaWdhcmV0dGU8
L2tleXdvcmQ+PGtleXdvcmQ+ZS1saXF1aWQ8L2tleXdvcmQ+PGtleXdvcmQ+aW4gdml0cm8gc3lz
dGVtczwva2V5d29yZD48a2V5d29yZD5pbmhhbGF0aW9uIHRveGljb2xvZ3k8L2tleXdvcmQ+PC9r
ZXl3b3Jkcz48ZGF0ZXM+PHllYXI+MjAxNzwveWVhcj48cHViLWRhdGVzPjxkYXRlPk9jdCAyMDwv
ZGF0ZT48L3B1Yi1kYXRlcz48L2RhdGVzPjxpc2JuPjE2NjAtNDYwMTwvaXNibj48YWNjZXNzaW9u
LW51bT4yOTA1MzYwNjwvYWNjZXNzaW9uLW51bT48dXJscz48cmVsYXRlZC11cmxzPjx1cmw+aHR0
cDovL3d3dy5tZHBpLmNvbS8xNjYwLTQ2MDEvMTQvMTAvMTI1NC9wZGY8L3VybD48L3JlbGF0ZWQt
dXJscz48L3VybHM+PGN1c3RvbTI+UE1DNTY2NDc1NTwvY3VzdG9tMj48ZWxlY3Ryb25pYy1yZXNv
dXJjZS1udW0+MTAuMzM5MC9pamVycGgxNDEwMTI1NDwvZWxlY3Ryb25pYy1yZXNvdXJjZS1udW0+
PHJlbW90ZS1kYXRhYmFzZS1wcm92aWRlcj5OTE08L3JlbW90ZS1kYXRhYmFzZS1wcm92aWRlcj48
bGFuZ3VhZ2U+ZW5nPC9sYW5ndWFnZT48L3JlY29yZD48L0NpdGU+PC9FbmROb3RlPgB=
</w:fldData>
            </w:fldChar>
          </w:r>
          <w:r>
            <w:instrText xml:space="preserve"> ADDIN EN.CITE </w:instrText>
          </w:r>
          <w:r>
            <w:fldChar w:fldCharType="begin">
              <w:fldData xml:space="preserve">PEVuZE5vdGU+PENpdGU+PEF1dGhvcj5CZW5nYWxsaTwvQXV0aG9yPjxZZWFyPjIwMTc8L1llYXI+
PFJlY051bT44NDg8L1JlY051bT48RGlzcGxheVRleHQ+KEJlbmdhbGxpLCBGZXJyaSBldCBhbC4g
MjAxNyk8L0Rpc3BsYXlUZXh0PjxyZWNvcmQ+PHJlYy1udW1iZXI+ODQ4PC9yZWMtbnVtYmVyPjxm
b3JlaWduLWtleXM+PGtleSBhcHA9IkVOIiBkYi1pZD0iOXowNWR6MHByYWFkZnVlZTB6b3h6ZWRr
OXpmZTVmeHg1MHo1IiB0aW1lc3RhbXA9IjE1MjE1MDY5NDIiPjg0ODwva2V5PjxrZXkgYXBwPSJF
TldlYiIgZGItaWQ9IiI+MDwva2V5PjwvZm9yZWlnbi1rZXlzPjxyZWYtdHlwZSBuYW1lPSJKb3Vy
bmFsIEFydGljbGUiPjE3PC9yZWYtdHlwZT48Y29udHJpYnV0b3JzPjxhdXRob3JzPjxhdXRob3I+
QmVuZ2FsbGksIFIuPC9hdXRob3I+PGF1dGhvcj5GZXJyaSwgRS48L2F1dGhvcj48YXV0aG9yPkxh
YnJhLCBNLjwvYXV0aG9yPjxhdXRob3I+TWFudGVjY2EsIFAuPC9hdXRob3I+PC9hdXRob3JzPjwv
Y29udHJpYnV0b3JzPjxhdXRoLWFkZHJlc3M+RGVwYXJ0bWVudCBvZiBFYXJ0aCBhbmQgRW52aXJv
bm1lbnRhbCBTY2llbmNlcywgUmVzZWFyY2ggQ2VudGVyIFBPTEFSSVMgKFBhcnRpY3VsYXRlIE1h
dHRlciBhbmQgSGVhbHRoIFJpc2spLCAxIFBpYXp6YSBkZWxsYSBTY2llbnphLCBVbml2ZXJzaXR5
IG9mIE1pbGFubyBCaWNvY2NhLCAyMDEyNiBNaWxhbiwgSXRhbHkuIHJvc3NlbGxhLmJlbmdhbGxp
QHVuaW1pYi5pdC4mI3hEO1RSVVNUSUNFUlQgU1JMLCB2aWEgTWF6emluaSAxOC9DLCAyMjAzNiBF
cmJhLCBJdGFseS4gZW1hbnVlbGUuZmVycmlAdHJ1c3RpY2VydC5jb20uJiN4RDtEZXBhcnRtZW50
IG9mIEJpb3RlY2hub2xvZ3kgYW5kIEJpb3NjaWVuY2VzLCAyIFBpYXp6YSBkZWxsYSBTY2llbnph
LCBVbml2ZXJzaXR5IG9mIE1pbGFubyBCaWNvY2NhLCAyMDEyNiBNaWxhbiwgSXRhbHkuIG1hc3Np
bW8ubGFicmFAdW5pbWliLml0LiYjeEQ7RGVwYXJ0bWVudCBvZiBFYXJ0aCBhbmQgRW52aXJvbm1l
bnRhbCBTY2llbmNlcywgUmVzZWFyY2ggQ2VudGVyIFBPTEFSSVMgKFBhcnRpY3VsYXRlIE1hdHRl
ciBhbmQgSGVhbHRoIFJpc2spLCAxIFBpYXp6YSBkZWxsYSBTY2llbnphLCBVbml2ZXJzaXR5IG9m
IE1pbGFubyBCaWNvY2NhLCAyMDEyNiBNaWxhbiwgSXRhbHkuIHBhcmlkZS5tYW50ZWNjYUB1bmlt
aWIuaXQuPC9hdXRoLWFkZHJlc3M+PHRpdGxlcz48dGl0bGU+THVuZyBUb3hpY2l0eSBvZiBDb25k
ZW5zZWQgQWVyb3NvbCBmcm9tIEUtQ0lHIExpcXVpZHM6IEluZmx1ZW5jZSBvZiB0aGUgRmxhdm9y
IGFuZCB0aGUgSW4gVml0cm8gTW9kZWwgVXNlZDwvdGl0bGU+PHNlY29uZGFyeS10aXRsZT5JbnQg
SiBFbnZpcm9uIFJlcyBQdWJsaWMgSGVhbHRoPC9zZWNvbmRhcnktdGl0bGU+PGFsdC10aXRsZT5J
bnRlcm5hdGlvbmFsIGpvdXJuYWwgb2YgZW52aXJvbm1lbnRhbCByZXNlYXJjaCBhbmQgcHVibGlj
IGhlYWx0aDwvYWx0LXRpdGxlPjwvdGl0bGVzPjxhbHQtcGVyaW9kaWNhbD48ZnVsbC10aXRsZT5J
bnRlcm5hdGlvbmFsIEpvdXJuYWwgb2YgRW52aXJvbm1lbnRhbCBSZXNlYXJjaCBhbmQgUHVibGlj
IEhlYWx0aDwvZnVsbC10aXRsZT48L2FsdC1wZXJpb2RpY2FsPjx2b2x1bWU+MTQ8L3ZvbHVtZT48
bnVtYmVyPjEwPC9udW1iZXI+PGVkaXRpb24+MjAxNy8xMC8yMTwvZWRpdGlvbj48a2V5d29yZHM+
PGtleXdvcmQ+Y29uZGVuc2VkIGFlcm9zb2w8L2tleXdvcmQ+PGtleXdvcmQ+ZS1jaWdhcmV0dGU8
L2tleXdvcmQ+PGtleXdvcmQ+ZS1saXF1aWQ8L2tleXdvcmQ+PGtleXdvcmQ+aW4gdml0cm8gc3lz
dGVtczwva2V5d29yZD48a2V5d29yZD5pbmhhbGF0aW9uIHRveGljb2xvZ3k8L2tleXdvcmQ+PC9r
ZXl3b3Jkcz48ZGF0ZXM+PHllYXI+MjAxNzwveWVhcj48cHViLWRhdGVzPjxkYXRlPk9jdCAyMDwv
ZGF0ZT48L3B1Yi1kYXRlcz48L2RhdGVzPjxpc2JuPjE2NjAtNDYwMTwvaXNibj48YWNjZXNzaW9u
LW51bT4yOTA1MzYwNjwvYWNjZXNzaW9uLW51bT48dXJscz48cmVsYXRlZC11cmxzPjx1cmw+aHR0
cDovL3d3dy5tZHBpLmNvbS8xNjYwLTQ2MDEvMTQvMTAvMTI1NC9wZGY8L3VybD48L3JlbGF0ZWQt
dXJscz48L3VybHM+PGN1c3RvbTI+UE1DNTY2NDc1NTwvY3VzdG9tMj48ZWxlY3Ryb25pYy1yZXNv
dXJjZS1udW0+MTAuMzM5MC9pamVycGgxNDEwMTI1NDwvZWxlY3Ryb25pYy1yZXNvdXJjZS1udW0+
PHJlbW90ZS1kYXRhYmFzZS1wcm92aWRlcj5OTE08L3JlbW90ZS1kYXRhYmFzZS1wcm92aWRlcj48
bGFuZ3VhZ2U+ZW5nPC9sYW5ndWFnZT48L3JlY29yZD48L0NpdGU+PC9FbmROb3RlPgB=
</w:fldData>
            </w:fldChar>
          </w:r>
          <w:r>
            <w:instrText xml:space="preserve"> ADDIN EN.CITE.DATA </w:instrText>
          </w:r>
          <w:r>
            <w:fldChar w:fldCharType="end"/>
          </w:r>
          <w:r>
            <w:fldChar w:fldCharType="separate"/>
          </w:r>
          <w:r>
            <w:rPr>
              <w:noProof/>
            </w:rPr>
            <w:t>(Bengalli, Ferri et al. 2017)</w:t>
          </w:r>
          <w:r>
            <w:fldChar w:fldCharType="end"/>
          </w:r>
          <w:r>
            <w:t xml:space="preserve">. </w:t>
          </w:r>
        </w:p>
        <w:p w14:paraId="67F023B7" w14:textId="77777777" w:rsidR="00A74D41" w:rsidRDefault="00A74D41" w:rsidP="00A74D41">
          <w:pPr>
            <w:pStyle w:val="BodyText"/>
          </w:pPr>
          <w:r>
            <w:t xml:space="preserve">Three studies investigated other inflammatory cytokines. While one study found that exposure to e-cigarette vapours led to increased IL-6 in bronchial epithelial cells </w:t>
          </w:r>
          <w:r>
            <w:fldChar w:fldCharType="begin">
              <w:fldData xml:space="preserve">PEVuZE5vdGU+PENpdGU+PEF1dGhvcj5BbnRoZXJpZXU8L0F1dGhvcj48WWVhcj4yMDE3PC9ZZWFy
PjxSZWNOdW0+MTM5NTwvUmVjTnVtPjxEaXNwbGF5VGV4dD4oQW50aGVyaWV1LCBHYXJhdCBldCBh
bC4gMjAxNyk8L0Rpc3BsYXlUZXh0PjxyZWNvcmQ+PHJlYy1udW1iZXI+MTM5NTwvcmVjLW51bWJl
cj48Zm9yZWlnbi1rZXlzPjxrZXkgYXBwPSJFTiIgZGItaWQ9Ijl6MDVkejBwcmFhZGZ1ZWUwem94
emVkazl6ZmU1Znh4NTB6NSIgdGltZXN0YW1wPSIxNTIxNTA3MDY5Ij4xMzk1PC9rZXk+PGtleSBh
cHA9IkVOV2ViIiBkYi1pZD0iIj4wPC9rZXk+PC9mb3JlaWduLWtleXM+PHJlZi10eXBlIG5hbWU9
IkpvdXJuYWwgQXJ0aWNsZSI+MTc8L3JlZi10eXBlPjxjb250cmlidXRvcnM+PGF1dGhvcnM+PGF1
dGhvcj5BbnRoZXJpZXUsIFMuPC9hdXRob3I+PGF1dGhvcj5HYXJhdCwgQS48L2F1dGhvcj48YXV0
aG9yPkJlYXV2YWwsIE4uPC9hdXRob3I+PGF1dGhvcj5Tb3lleiwgTS48L2F1dGhvcj48YXV0aG9y
PkFsbG9yZ2UsIEQuPC9hdXRob3I+PGF1dGhvcj5HYXJjb24sIEcuPC9hdXRob3I+PGF1dGhvcj5M
by1HdWlkaWNlLCBKLiBNLjwvYXV0aG9yPjwvYXV0aG9ycz48L2NvbnRyaWJ1dG9ycz48YXV0aC1h
ZGRyZXNzPlVuaXYuIExpbGxlLCBDSFUgTGlsbGUsIEluc3RpdHV0IFBhc3RldXIgZGUgTGlsbGUs
IEVBIDQ0ODMsIElNUEVDUyAtIElNUGFjdCBvZiBFbnZpcm9ubWVudGFsIENoZW1pY2FsUyBvbiBo
dW1hbiBoZWFsdGgsIEYtNTkwMDAgTGlsbGUsIEZyYW5jZS4gRWxlY3Ryb25pYyBhZGRyZXNzOiBz
ZWJhc3RpZW4uYW50aGVyaWV1QHVuaXYtbGlsbGUyLmZyLiYjeEQ7VW5pdi4gTGlsbGUsIENIVSBM
aWxsZSwgSW5zdGl0dXQgUGFzdGV1ciBkZSBMaWxsZSwgRUEgNDQ4MywgSU1QRUNTIC0gSU1QYWN0
IG9mIEVudmlyb25tZW50YWwgQ2hlbWljYWxTIG9uIGh1bWFuIGhlYWx0aCwgRi01OTAwMCBMaWxs
ZSwgRnJhbmNlLiYjeEQ7VW5pdi4gTGlsbGUsIENIVSBMaWxsZSwgSW5zdGl0dXQgUGFzdGV1ciBk
ZSBMaWxsZSwgRUEgNDQ4MywgSU1QRUNTIC0gSU1QYWN0IG9mIEVudmlyb25tZW50YWwgQ2hlbWlj
YWxTIG9uIGh1bWFuIGhlYWx0aCwgRi01OTAwMCBMaWxsZSwgRnJhbmNlOyBNaW5lcyBEb3VhaSwg
U0FHRSwgRi01OTUwOCBEb3VhaSwgRnJhbmNlLjwvYXV0aC1hZGRyZXNzPjx0aXRsZXM+PHRpdGxl
PkNvbXBhcmlzb24gb2YgY2VsbHVsYXIgYW5kIHRyYW5zY3JpcHRvbWljIGVmZmVjdHMgYmV0d2Vl
biBlbGVjdHJvbmljIGNpZ2FyZXR0ZSB2YXBvciBhbmQgY2lnYXJldHRlIHNtb2tlIGluIGh1bWFu
IGJyb25jaGlhbCBlcGl0aGVsaWFsIGNlbGxzPC90aXRsZT48c2Vjb25kYXJ5LXRpdGxlPlRveGlj
b2wgSW4gVml0cm88L3NlY29uZGFyeS10aXRsZT48YWx0LXRpdGxlPlRveGljb2xvZ3kgaW4gdml0
cm8gOiBhbiBpbnRlcm5hdGlvbmFsIGpvdXJuYWwgcHVibGlzaGVkIGluIGFzc29jaWF0aW9uIHdp
dGggQklCUkE8L2FsdC10aXRsZT48L3RpdGxlcz48cGVyaW9kaWNhbD48ZnVsbC10aXRsZT5Ub3hp
Y29sIEluIFZpdHJvPC9mdWxsLXRpdGxlPjxhYmJyLTE+VG94aWNvbG9neSBpbiB2aXRybyA6IGFu
IGludGVybmF0aW9uYWwgam91cm5hbCBwdWJsaXNoZWQgaW4gYXNzb2NpYXRpb24gd2l0aCBCSUJS
QTwvYWJici0xPjwvcGVyaW9kaWNhbD48YWx0LXBlcmlvZGljYWw+PGZ1bGwtdGl0bGU+VG94aWNv
bCBJbiBWaXRybzwvZnVsbC10aXRsZT48YWJici0xPlRveGljb2xvZ3kgaW4gdml0cm8gOiBhbiBp
bnRlcm5hdGlvbmFsIGpvdXJuYWwgcHVibGlzaGVkIGluIGFzc29jaWF0aW9uIHdpdGggQklCUkE8
L2FiYnItMT48L2FsdC1wZXJpb2RpY2FsPjxwYWdlcz40MTctNDI1PC9wYWdlcz48dm9sdW1lPjQ1
PC92b2x1bWU+PG51bWJlcj5QdCAzPC9udW1iZXI+PGVkaXRpb24+MjAxNy8wMS8xMDwvZWRpdGlv
bj48a2V5d29yZHM+PGtleXdvcmQ+QkVBUy0yQiBjZWxsIGxpbmU8L2tleXdvcmQ+PGtleXdvcmQ+
RS1jaWdhcmV0dGU8L2tleXdvcmQ+PGtleXdvcmQ+VG94aWNpdHk8L2tleXdvcmQ+PGtleXdvcmQ+
VHJhbnNjcmlwdG9taWM8L2tleXdvcmQ+PGtleXdvcmQ+VmFwb3JzPC9rZXl3b3JkPjwva2V5d29y
ZHM+PGRhdGVzPjx5ZWFyPjIwMTc8L3llYXI+PHB1Yi1kYXRlcz48ZGF0ZT5EZWM8L2RhdGU+PC9w
dWItZGF0ZXM+PC9kYXRlcz48aXNibj4wODg3LTIzMzM8L2lzYm4+PGFjY2Vzc2lvbi1udW0+Mjgw
NjU3OTA8L2FjY2Vzc2lvbi1udW0+PHVybHM+PHJlbGF0ZWQtdXJscz48dXJsPmh0dHBzOi8vd3d3
LnNjaWVuY2VkaXJlY3QuY29tL3NjaWVuY2UvYXJ0aWNsZS9waWkvUzA4ODcyMzMzMTYzMDI3MTU/
dmlhJTNEaWh1YjwvdXJsPjwvcmVsYXRlZC11cmxzPjwvdXJscz48ZWxlY3Ryb25pYy1yZXNvdXJj
ZS1udW0+MTAuMTAxNi9qLnRpdi4yMDE2LjEyLjAxNTwvZWxlY3Ryb25pYy1yZXNvdXJjZS1udW0+
PHJlbW90ZS1kYXRhYmFzZS1wcm92aWRlcj5OTE08L3JlbW90ZS1kYXRhYmFzZS1wcm92aWRlcj48
bGFuZ3VhZ2U+ZW5nPC9sYW5ndWFnZT48L3JlY29yZD48L0NpdGU+PC9FbmROb3RlPgB=
</w:fldData>
            </w:fldChar>
          </w:r>
          <w:r>
            <w:instrText xml:space="preserve"> ADDIN EN.CITE </w:instrText>
          </w:r>
          <w:r>
            <w:fldChar w:fldCharType="begin">
              <w:fldData xml:space="preserve">PEVuZE5vdGU+PENpdGU+PEF1dGhvcj5BbnRoZXJpZXU8L0F1dGhvcj48WWVhcj4yMDE3PC9ZZWFy
PjxSZWNOdW0+MTM5NTwvUmVjTnVtPjxEaXNwbGF5VGV4dD4oQW50aGVyaWV1LCBHYXJhdCBldCBh
bC4gMjAxNyk8L0Rpc3BsYXlUZXh0PjxyZWNvcmQ+PHJlYy1udW1iZXI+MTM5NTwvcmVjLW51bWJl
cj48Zm9yZWlnbi1rZXlzPjxrZXkgYXBwPSJFTiIgZGItaWQ9Ijl6MDVkejBwcmFhZGZ1ZWUwem94
emVkazl6ZmU1Znh4NTB6NSIgdGltZXN0YW1wPSIxNTIxNTA3MDY5Ij4xMzk1PC9rZXk+PGtleSBh
cHA9IkVOV2ViIiBkYi1pZD0iIj4wPC9rZXk+PC9mb3JlaWduLWtleXM+PHJlZi10eXBlIG5hbWU9
IkpvdXJuYWwgQXJ0aWNsZSI+MTc8L3JlZi10eXBlPjxjb250cmlidXRvcnM+PGF1dGhvcnM+PGF1
dGhvcj5BbnRoZXJpZXUsIFMuPC9hdXRob3I+PGF1dGhvcj5HYXJhdCwgQS48L2F1dGhvcj48YXV0
aG9yPkJlYXV2YWwsIE4uPC9hdXRob3I+PGF1dGhvcj5Tb3lleiwgTS48L2F1dGhvcj48YXV0aG9y
PkFsbG9yZ2UsIEQuPC9hdXRob3I+PGF1dGhvcj5HYXJjb24sIEcuPC9hdXRob3I+PGF1dGhvcj5M
by1HdWlkaWNlLCBKLiBNLjwvYXV0aG9yPjwvYXV0aG9ycz48L2NvbnRyaWJ1dG9ycz48YXV0aC1h
ZGRyZXNzPlVuaXYuIExpbGxlLCBDSFUgTGlsbGUsIEluc3RpdHV0IFBhc3RldXIgZGUgTGlsbGUs
IEVBIDQ0ODMsIElNUEVDUyAtIElNUGFjdCBvZiBFbnZpcm9ubWVudGFsIENoZW1pY2FsUyBvbiBo
dW1hbiBoZWFsdGgsIEYtNTkwMDAgTGlsbGUsIEZyYW5jZS4gRWxlY3Ryb25pYyBhZGRyZXNzOiBz
ZWJhc3RpZW4uYW50aGVyaWV1QHVuaXYtbGlsbGUyLmZyLiYjeEQ7VW5pdi4gTGlsbGUsIENIVSBM
aWxsZSwgSW5zdGl0dXQgUGFzdGV1ciBkZSBMaWxsZSwgRUEgNDQ4MywgSU1QRUNTIC0gSU1QYWN0
IG9mIEVudmlyb25tZW50YWwgQ2hlbWljYWxTIG9uIGh1bWFuIGhlYWx0aCwgRi01OTAwMCBMaWxs
ZSwgRnJhbmNlLiYjeEQ7VW5pdi4gTGlsbGUsIENIVSBMaWxsZSwgSW5zdGl0dXQgUGFzdGV1ciBk
ZSBMaWxsZSwgRUEgNDQ4MywgSU1QRUNTIC0gSU1QYWN0IG9mIEVudmlyb25tZW50YWwgQ2hlbWlj
YWxTIG9uIGh1bWFuIGhlYWx0aCwgRi01OTAwMCBMaWxsZSwgRnJhbmNlOyBNaW5lcyBEb3VhaSwg
U0FHRSwgRi01OTUwOCBEb3VhaSwgRnJhbmNlLjwvYXV0aC1hZGRyZXNzPjx0aXRsZXM+PHRpdGxl
PkNvbXBhcmlzb24gb2YgY2VsbHVsYXIgYW5kIHRyYW5zY3JpcHRvbWljIGVmZmVjdHMgYmV0d2Vl
biBlbGVjdHJvbmljIGNpZ2FyZXR0ZSB2YXBvciBhbmQgY2lnYXJldHRlIHNtb2tlIGluIGh1bWFu
IGJyb25jaGlhbCBlcGl0aGVsaWFsIGNlbGxzPC90aXRsZT48c2Vjb25kYXJ5LXRpdGxlPlRveGlj
b2wgSW4gVml0cm88L3NlY29uZGFyeS10aXRsZT48YWx0LXRpdGxlPlRveGljb2xvZ3kgaW4gdml0
cm8gOiBhbiBpbnRlcm5hdGlvbmFsIGpvdXJuYWwgcHVibGlzaGVkIGluIGFzc29jaWF0aW9uIHdp
dGggQklCUkE8L2FsdC10aXRsZT48L3RpdGxlcz48cGVyaW9kaWNhbD48ZnVsbC10aXRsZT5Ub3hp
Y29sIEluIFZpdHJvPC9mdWxsLXRpdGxlPjxhYmJyLTE+VG94aWNvbG9neSBpbiB2aXRybyA6IGFu
IGludGVybmF0aW9uYWwgam91cm5hbCBwdWJsaXNoZWQgaW4gYXNzb2NpYXRpb24gd2l0aCBCSUJS
QTwvYWJici0xPjwvcGVyaW9kaWNhbD48YWx0LXBlcmlvZGljYWw+PGZ1bGwtdGl0bGU+VG94aWNv
bCBJbiBWaXRybzwvZnVsbC10aXRsZT48YWJici0xPlRveGljb2xvZ3kgaW4gdml0cm8gOiBhbiBp
bnRlcm5hdGlvbmFsIGpvdXJuYWwgcHVibGlzaGVkIGluIGFzc29jaWF0aW9uIHdpdGggQklCUkE8
L2FiYnItMT48L2FsdC1wZXJpb2RpY2FsPjxwYWdlcz40MTctNDI1PC9wYWdlcz48dm9sdW1lPjQ1
PC92b2x1bWU+PG51bWJlcj5QdCAzPC9udW1iZXI+PGVkaXRpb24+MjAxNy8wMS8xMDwvZWRpdGlv
bj48a2V5d29yZHM+PGtleXdvcmQ+QkVBUy0yQiBjZWxsIGxpbmU8L2tleXdvcmQ+PGtleXdvcmQ+
RS1jaWdhcmV0dGU8L2tleXdvcmQ+PGtleXdvcmQ+VG94aWNpdHk8L2tleXdvcmQ+PGtleXdvcmQ+
VHJhbnNjcmlwdG9taWM8L2tleXdvcmQ+PGtleXdvcmQ+VmFwb3JzPC9rZXl3b3JkPjwva2V5d29y
ZHM+PGRhdGVzPjx5ZWFyPjIwMTc8L3llYXI+PHB1Yi1kYXRlcz48ZGF0ZT5EZWM8L2RhdGU+PC9w
dWItZGF0ZXM+PC9kYXRlcz48aXNibj4wODg3LTIzMzM8L2lzYm4+PGFjY2Vzc2lvbi1udW0+Mjgw
NjU3OTA8L2FjY2Vzc2lvbi1udW0+PHVybHM+PHJlbGF0ZWQtdXJscz48dXJsPmh0dHBzOi8vd3d3
LnNjaWVuY2VkaXJlY3QuY29tL3NjaWVuY2UvYXJ0aWNsZS9waWkvUzA4ODcyMzMzMTYzMDI3MTU/
dmlhJTNEaWh1YjwvdXJsPjwvcmVsYXRlZC11cmxzPjwvdXJscz48ZWxlY3Ryb25pYy1yZXNvdXJj
ZS1udW0+MTAuMTAxNi9qLnRpdi4yMDE2LjEyLjAxNTwvZWxlY3Ryb25pYy1yZXNvdXJjZS1udW0+
PHJlbW90ZS1kYXRhYmFzZS1wcm92aWRlcj5OTE08L3JlbW90ZS1kYXRhYmFzZS1wcm92aWRlcj48
bGFuZ3VhZ2U+ZW5nPC9sYW5ndWFnZT48L3JlY29yZD48L0NpdGU+PC9FbmROb3RlPgB=
</w:fldData>
            </w:fldChar>
          </w:r>
          <w:r>
            <w:instrText xml:space="preserve"> ADDIN EN.CITE.DATA </w:instrText>
          </w:r>
          <w:r>
            <w:fldChar w:fldCharType="end"/>
          </w:r>
          <w:r>
            <w:fldChar w:fldCharType="separate"/>
          </w:r>
          <w:r>
            <w:rPr>
              <w:noProof/>
            </w:rPr>
            <w:t>(Antherieu, Garat et al. 2017)</w:t>
          </w:r>
          <w:r>
            <w:fldChar w:fldCharType="end"/>
          </w:r>
          <w:r>
            <w:t xml:space="preserve">, another found that the inflammatory response was dependent on the e-cigarette liquids flavour </w:t>
          </w:r>
          <w:r>
            <w:fldChar w:fldCharType="begin">
              <w:fldData xml:space="preserve">PEVuZE5vdGU+PENpdGU+PEF1dGhvcj5DbGFwcDwvQXV0aG9yPjxZZWFyPjIwMTc8L1llYXI+PFJl
Y051bT4xMTU1PC9SZWNOdW0+PERpc3BsYXlUZXh0PihDbGFwcCwgUGF3bGFrIGV0IGFsLiAyMDE3
KTwvRGlzcGxheVRleHQ+PHJlY29yZD48cmVjLW51bWJlcj4xMTU1PC9yZWMtbnVtYmVyPjxmb3Jl
aWduLWtleXM+PGtleSBhcHA9IkVOIiBkYi1pZD0iOXowNWR6MHByYWFkZnVlZTB6b3h6ZWRrOXpm
ZTVmeHg1MHo1IiB0aW1lc3RhbXA9IjE1MjE1MDcwMTMiPjExNTU8L2tleT48a2V5IGFwcD0iRU5X
ZWIiIGRiLWlkPSIiPjA8L2tleT48L2ZvcmVpZ24ta2V5cz48cmVmLXR5cGUgbmFtZT0iSm91cm5h
bCBBcnRpY2xlIj4xNzwvcmVmLXR5cGU+PGNvbnRyaWJ1dG9ycz48YXV0aG9ycz48YXV0aG9yPkNs
YXBwLCBQLiBXLjwvYXV0aG9yPjxhdXRob3I+UGF3bGFrLCBFLiBBLjwvYXV0aG9yPjxhdXRob3I+
TGFja2V5LCBKLiBULjwvYXV0aG9yPjxhdXRob3I+S2VhdGluZywgSi4gRS48L2F1dGhvcj48YXV0
aG9yPlJlZWJlciwgUy4gTC48L2F1dGhvcj48YXV0aG9yPkdsaXNoLCBHLiBMLjwvYXV0aG9yPjxh
dXRob3I+SmFzcGVycywgSS48L2F1dGhvcj48L2F1dGhvcnM+PC9jb250cmlidXRvcnM+PGF1dGgt
YWRkcmVzcz5DdXJyaWN1bHVtIGluIFRveGljb2xvZ3ksIFNjaG9vbCBvZiBNZWRpY2luZSwgVW5p
dmVyc2l0eSBvZiBOb3J0aCBDYXJvbGluYSwgQ2hhcGVsIEhpbGwsIE5vcnRoIENhcm9saW5hLiYj
eEQ7Q2VudGVyIGZvciBFbnZpcm9ubWVudGFsIE1lZGljaW5lLCBBc3RobWEsIGFuZCBMdW5nIEJp
b2xvZ3ksIFNjaG9vbCBvZiBNZWRpY2luZSwgVW5pdmVyc2l0eSBvZiBOb3J0aCBDYXJvbGluYSwg
Q2hhcGVsIEhpbGwsIE5vcnRoIENhcm9saW5hOyBhbmQuJiN4RDtEZXBhcnRtZW50IG9mIENoZW1p
c3RyeSwgVW5pdmVyc2l0eSBvZiBOb3J0aCBDYXJvbGluYSwgQ2hhcGVsIEhpbGwsIE5vcnRoIENh
cm9saW5hLiYjeEQ7Q3VycmljdWx1bSBpbiBUb3hpY29sb2d5LCBTY2hvb2wgb2YgTWVkaWNpbmUs
IFVuaXZlcnNpdHkgb2YgTm9ydGggQ2Fyb2xpbmEsIENoYXBlbCBIaWxsLCBOb3J0aCBDYXJvbGlu
YTsgaWxvbmFfamFzcGVyc0BtZWQudW5jLmVkdS48L2F1dGgtYWRkcmVzcz48dGl0bGVzPjx0aXRs
ZT5GbGF2b3JlZCBlLWNpZ2FyZXR0ZSBsaXF1aWRzIGFuZCBjaW5uYW1hbGRlaHlkZSBpbXBhaXIg
cmVzcGlyYXRvcnkgaW5uYXRlIGltbXVuZSBjZWxsIGZ1bmN0aW9uPC90aXRsZT48c2Vjb25kYXJ5
LXRpdGxlPkFtIEogUGh5c2lvbCBMdW5nIENlbGwgTW9sIFBoeXNpb2w8L3NlY29uZGFyeS10aXRs
ZT48YWx0LXRpdGxlPkFtZXJpY2FuIGpvdXJuYWwgb2YgcGh5c2lvbG9neS4gTHVuZyBjZWxsdWxh
ciBhbmQgbW9sZWN1bGFyIHBoeXNpb2xvZ3k8L2FsdC10aXRsZT48L3RpdGxlcz48cGVyaW9kaWNh
bD48ZnVsbC10aXRsZT5BbSBKIFBoeXNpb2wgTHVuZyBDZWxsIE1vbCBQaHlzaW9sPC9mdWxsLXRp
dGxlPjxhYmJyLTE+QW1lcmljYW4gam91cm5hbCBvZiBwaHlzaW9sb2d5LiBMdW5nIGNlbGx1bGFy
IGFuZCBtb2xlY3VsYXIgcGh5c2lvbG9neTwvYWJici0xPjwvcGVyaW9kaWNhbD48YWx0LXBlcmlv
ZGljYWw+PGZ1bGwtdGl0bGU+QW0gSiBQaHlzaW9sIEx1bmcgQ2VsbCBNb2wgUGh5c2lvbDwvZnVs
bC10aXRsZT48YWJici0xPkFtZXJpY2FuIGpvdXJuYWwgb2YgcGh5c2lvbG9neS4gTHVuZyBjZWxs
dWxhciBhbmQgbW9sZWN1bGFyIHBoeXNpb2xvZ3k8L2FiYnItMT48L2FsdC1wZXJpb2RpY2FsPjxw
YWdlcz5MMjc4LWwyOTI8L3BhZ2VzPjx2b2x1bWU+MzEzPC92b2x1bWU+PG51bWJlcj4yPC9udW1i
ZXI+PGVkaXRpb24+MjAxNy8wNS8xMzwvZWRpdGlvbj48a2V5d29yZHM+PGtleXdvcmQ+QWNyb2xl
aW4vYWR2ZXJzZSBlZmZlY3RzLyphbmFsb2dzICZhbXA7IGRlcml2YXRpdmVzPC9rZXl3b3JkPjxr
ZXl3b3JkPkFkb2xlc2NlbnQ8L2tleXdvcmQ+PGtleXdvcmQ+QWR1bHQ8L2tleXdvcmQ+PGtleXdv
cmQ+RWxlY3Ryb25pYyBOaWNvdGluZSBEZWxpdmVyeSBTeXN0ZW1zLyphZHZlcnNlIGVmZmVjdHM8
L2tleXdvcmQ+PGtleXdvcmQ+RmVtYWxlPC9rZXl3b3JkPjxrZXl3b3JkPkh1bWFuczwva2V5d29y
ZD48a2V5d29yZD5JbW11bml0eSwgSW5uYXRlLypkcnVnIGVmZmVjdHM8L2tleXdvcmQ+PGtleXdv
cmQ+SW5mbGFtbWF0aW9uL2NoZW1pY2FsbHkgaW5kdWNlZDwva2V5d29yZD48a2V5d29yZD5LaWxs
ZXIgQ2VsbHMsIE5hdHVyYWwvZHJ1ZyBlZmZlY3RzPC9rZXl3b3JkPjxrZXl3b3JkPk1hY3JvcGhh
Z2VzL2RydWcgZWZmZWN0czwva2V5d29yZD48a2V5d29yZD5NYWxlPC9rZXl3b3JkPjxrZXl3b3Jk
Pk1pZGRsZSBBZ2VkPC9rZXl3b3JkPjxrZXl3b3JkPk5ldXRyb3BoaWxzL2RydWcgZWZmZWN0czwv
a2V5d29yZD48a2V5d29yZD5OaWNvdGluZS9hZHZlcnNlIGVmZmVjdHM8L2tleXdvcmQ+PGtleXdv
cmQ+UGhhZ29jeXRvc2lzL2RydWcgZWZmZWN0czwva2V5d29yZD48a2V5d29yZD5Zb3VuZyBBZHVs
dDwva2V5d29yZD48a2V5d29yZD5jaW5uYW1hbGRlaHlkZTwva2V5d29yZD48a2V5d29yZD5lLWNp
Z2FyZXR0ZTwva2V5d29yZD48a2V5d29yZD5lLWxpcXVpZDwva2V5d29yZD48a2V5d29yZD5pbm5h
dGUgaW1tdW5lIGNlbGwgZnVuY3Rpb248L2tleXdvcmQ+PC9rZXl3b3Jkcz48ZGF0ZXM+PHllYXI+
MjAxNzwveWVhcj48cHViLWRhdGVzPjxkYXRlPkF1ZyAxPC9kYXRlPjwvcHViLWRhdGVzPjwvZGF0
ZXM+PGlzYm4+MTA0MC0wNjA1PC9pc2JuPjxhY2Nlc3Npb24tbnVtPjI4NDk1ODU2PC9hY2Nlc3Np
b24tbnVtPjx1cmxzPjwvdXJscz48Y3VzdG9tMj5QTUM1NTgyOTI5PC9jdXN0b20yPjxlbGVjdHJv
bmljLXJlc291cmNlLW51bT4xMC4xMTUyL2FqcGx1bmcuMDA0NTIuMjAxNjwvZWxlY3Ryb25pYy1y
ZXNvdXJjZS1udW0+PHJlbW90ZS1kYXRhYmFzZS1wcm92aWRlcj5OTE08L3JlbW90ZS1kYXRhYmFz
ZS1wcm92aWRlcj48bGFuZ3VhZ2U+ZW5nPC9sYW5ndWFnZT48L3JlY29yZD48L0NpdGU+PC9FbmRO
b3RlPgB=
</w:fldData>
            </w:fldChar>
          </w:r>
          <w:r>
            <w:instrText xml:space="preserve"> ADDIN EN.CITE </w:instrText>
          </w:r>
          <w:r>
            <w:fldChar w:fldCharType="begin">
              <w:fldData xml:space="preserve">PEVuZE5vdGU+PENpdGU+PEF1dGhvcj5DbGFwcDwvQXV0aG9yPjxZZWFyPjIwMTc8L1llYXI+PFJl
Y051bT4xMTU1PC9SZWNOdW0+PERpc3BsYXlUZXh0PihDbGFwcCwgUGF3bGFrIGV0IGFsLiAyMDE3
KTwvRGlzcGxheVRleHQ+PHJlY29yZD48cmVjLW51bWJlcj4xMTU1PC9yZWMtbnVtYmVyPjxmb3Jl
aWduLWtleXM+PGtleSBhcHA9IkVOIiBkYi1pZD0iOXowNWR6MHByYWFkZnVlZTB6b3h6ZWRrOXpm
ZTVmeHg1MHo1IiB0aW1lc3RhbXA9IjE1MjE1MDcwMTMiPjExNTU8L2tleT48a2V5IGFwcD0iRU5X
ZWIiIGRiLWlkPSIiPjA8L2tleT48L2ZvcmVpZ24ta2V5cz48cmVmLXR5cGUgbmFtZT0iSm91cm5h
bCBBcnRpY2xlIj4xNzwvcmVmLXR5cGU+PGNvbnRyaWJ1dG9ycz48YXV0aG9ycz48YXV0aG9yPkNs
YXBwLCBQLiBXLjwvYXV0aG9yPjxhdXRob3I+UGF3bGFrLCBFLiBBLjwvYXV0aG9yPjxhdXRob3I+
TGFja2V5LCBKLiBULjwvYXV0aG9yPjxhdXRob3I+S2VhdGluZywgSi4gRS48L2F1dGhvcj48YXV0
aG9yPlJlZWJlciwgUy4gTC48L2F1dGhvcj48YXV0aG9yPkdsaXNoLCBHLiBMLjwvYXV0aG9yPjxh
dXRob3I+SmFzcGVycywgSS48L2F1dGhvcj48L2F1dGhvcnM+PC9jb250cmlidXRvcnM+PGF1dGgt
YWRkcmVzcz5DdXJyaWN1bHVtIGluIFRveGljb2xvZ3ksIFNjaG9vbCBvZiBNZWRpY2luZSwgVW5p
dmVyc2l0eSBvZiBOb3J0aCBDYXJvbGluYSwgQ2hhcGVsIEhpbGwsIE5vcnRoIENhcm9saW5hLiYj
eEQ7Q2VudGVyIGZvciBFbnZpcm9ubWVudGFsIE1lZGljaW5lLCBBc3RobWEsIGFuZCBMdW5nIEJp
b2xvZ3ksIFNjaG9vbCBvZiBNZWRpY2luZSwgVW5pdmVyc2l0eSBvZiBOb3J0aCBDYXJvbGluYSwg
Q2hhcGVsIEhpbGwsIE5vcnRoIENhcm9saW5hOyBhbmQuJiN4RDtEZXBhcnRtZW50IG9mIENoZW1p
c3RyeSwgVW5pdmVyc2l0eSBvZiBOb3J0aCBDYXJvbGluYSwgQ2hhcGVsIEhpbGwsIE5vcnRoIENh
cm9saW5hLiYjeEQ7Q3VycmljdWx1bSBpbiBUb3hpY29sb2d5LCBTY2hvb2wgb2YgTWVkaWNpbmUs
IFVuaXZlcnNpdHkgb2YgTm9ydGggQ2Fyb2xpbmEsIENoYXBlbCBIaWxsLCBOb3J0aCBDYXJvbGlu
YTsgaWxvbmFfamFzcGVyc0BtZWQudW5jLmVkdS48L2F1dGgtYWRkcmVzcz48dGl0bGVzPjx0aXRs
ZT5GbGF2b3JlZCBlLWNpZ2FyZXR0ZSBsaXF1aWRzIGFuZCBjaW5uYW1hbGRlaHlkZSBpbXBhaXIg
cmVzcGlyYXRvcnkgaW5uYXRlIGltbXVuZSBjZWxsIGZ1bmN0aW9uPC90aXRsZT48c2Vjb25kYXJ5
LXRpdGxlPkFtIEogUGh5c2lvbCBMdW5nIENlbGwgTW9sIFBoeXNpb2w8L3NlY29uZGFyeS10aXRs
ZT48YWx0LXRpdGxlPkFtZXJpY2FuIGpvdXJuYWwgb2YgcGh5c2lvbG9neS4gTHVuZyBjZWxsdWxh
ciBhbmQgbW9sZWN1bGFyIHBoeXNpb2xvZ3k8L2FsdC10aXRsZT48L3RpdGxlcz48cGVyaW9kaWNh
bD48ZnVsbC10aXRsZT5BbSBKIFBoeXNpb2wgTHVuZyBDZWxsIE1vbCBQaHlzaW9sPC9mdWxsLXRp
dGxlPjxhYmJyLTE+QW1lcmljYW4gam91cm5hbCBvZiBwaHlzaW9sb2d5LiBMdW5nIGNlbGx1bGFy
IGFuZCBtb2xlY3VsYXIgcGh5c2lvbG9neTwvYWJici0xPjwvcGVyaW9kaWNhbD48YWx0LXBlcmlv
ZGljYWw+PGZ1bGwtdGl0bGU+QW0gSiBQaHlzaW9sIEx1bmcgQ2VsbCBNb2wgUGh5c2lvbDwvZnVs
bC10aXRsZT48YWJici0xPkFtZXJpY2FuIGpvdXJuYWwgb2YgcGh5c2lvbG9neS4gTHVuZyBjZWxs
dWxhciBhbmQgbW9sZWN1bGFyIHBoeXNpb2xvZ3k8L2FiYnItMT48L2FsdC1wZXJpb2RpY2FsPjxw
YWdlcz5MMjc4LWwyOTI8L3BhZ2VzPjx2b2x1bWU+MzEzPC92b2x1bWU+PG51bWJlcj4yPC9udW1i
ZXI+PGVkaXRpb24+MjAxNy8wNS8xMzwvZWRpdGlvbj48a2V5d29yZHM+PGtleXdvcmQ+QWNyb2xl
aW4vYWR2ZXJzZSBlZmZlY3RzLyphbmFsb2dzICZhbXA7IGRlcml2YXRpdmVzPC9rZXl3b3JkPjxr
ZXl3b3JkPkFkb2xlc2NlbnQ8L2tleXdvcmQ+PGtleXdvcmQ+QWR1bHQ8L2tleXdvcmQ+PGtleXdv
cmQ+RWxlY3Ryb25pYyBOaWNvdGluZSBEZWxpdmVyeSBTeXN0ZW1zLyphZHZlcnNlIGVmZmVjdHM8
L2tleXdvcmQ+PGtleXdvcmQ+RmVtYWxlPC9rZXl3b3JkPjxrZXl3b3JkPkh1bWFuczwva2V5d29y
ZD48a2V5d29yZD5JbW11bml0eSwgSW5uYXRlLypkcnVnIGVmZmVjdHM8L2tleXdvcmQ+PGtleXdv
cmQ+SW5mbGFtbWF0aW9uL2NoZW1pY2FsbHkgaW5kdWNlZDwva2V5d29yZD48a2V5d29yZD5LaWxs
ZXIgQ2VsbHMsIE5hdHVyYWwvZHJ1ZyBlZmZlY3RzPC9rZXl3b3JkPjxrZXl3b3JkPk1hY3JvcGhh
Z2VzL2RydWcgZWZmZWN0czwva2V5d29yZD48a2V5d29yZD5NYWxlPC9rZXl3b3JkPjxrZXl3b3Jk
Pk1pZGRsZSBBZ2VkPC9rZXl3b3JkPjxrZXl3b3JkPk5ldXRyb3BoaWxzL2RydWcgZWZmZWN0czwv
a2V5d29yZD48a2V5d29yZD5OaWNvdGluZS9hZHZlcnNlIGVmZmVjdHM8L2tleXdvcmQ+PGtleXdv
cmQ+UGhhZ29jeXRvc2lzL2RydWcgZWZmZWN0czwva2V5d29yZD48a2V5d29yZD5Zb3VuZyBBZHVs
dDwva2V5d29yZD48a2V5d29yZD5jaW5uYW1hbGRlaHlkZTwva2V5d29yZD48a2V5d29yZD5lLWNp
Z2FyZXR0ZTwva2V5d29yZD48a2V5d29yZD5lLWxpcXVpZDwva2V5d29yZD48a2V5d29yZD5pbm5h
dGUgaW1tdW5lIGNlbGwgZnVuY3Rpb248L2tleXdvcmQ+PC9rZXl3b3Jkcz48ZGF0ZXM+PHllYXI+
MjAxNzwveWVhcj48cHViLWRhdGVzPjxkYXRlPkF1ZyAxPC9kYXRlPjwvcHViLWRhdGVzPjwvZGF0
ZXM+PGlzYm4+MTA0MC0wNjA1PC9pc2JuPjxhY2Nlc3Npb24tbnVtPjI4NDk1ODU2PC9hY2Nlc3Np
b24tbnVtPjx1cmxzPjwvdXJscz48Y3VzdG9tMj5QTUM1NTgyOTI5PC9jdXN0b20yPjxlbGVjdHJv
bmljLXJlc291cmNlLW51bT4xMC4xMTUyL2FqcGx1bmcuMDA0NTIuMjAxNjwvZWxlY3Ryb25pYy1y
ZXNvdXJjZS1udW0+PHJlbW90ZS1kYXRhYmFzZS1wcm92aWRlcj5OTE08L3JlbW90ZS1kYXRhYmFz
ZS1wcm92aWRlcj48bGFuZ3VhZ2U+ZW5nPC9sYW5ndWFnZT48L3JlY29yZD48L0NpdGU+PC9FbmRO
b3RlPgB=
</w:fldData>
            </w:fldChar>
          </w:r>
          <w:r>
            <w:instrText xml:space="preserve"> ADDIN EN.CITE.DATA </w:instrText>
          </w:r>
          <w:r>
            <w:fldChar w:fldCharType="end"/>
          </w:r>
          <w:r>
            <w:fldChar w:fldCharType="separate"/>
          </w:r>
          <w:r>
            <w:rPr>
              <w:noProof/>
            </w:rPr>
            <w:t>(Clapp, Pawlak et al. 2017)</w:t>
          </w:r>
          <w:r>
            <w:fldChar w:fldCharType="end"/>
          </w:r>
          <w:r>
            <w:t xml:space="preserve">. </w:t>
          </w:r>
        </w:p>
        <w:p w14:paraId="02972509" w14:textId="77777777" w:rsidR="00A74D41" w:rsidRDefault="00A74D41" w:rsidP="00A74D41">
          <w:pPr>
            <w:pStyle w:val="BodyText"/>
            <w:rPr>
              <w:rFonts w:eastAsia="Times New Roman" w:cs="Calibri"/>
            </w:rPr>
          </w:pPr>
          <w:r>
            <w:lastRenderedPageBreak/>
            <w:t xml:space="preserve">In the second study, investigating alveolar macrophages, </w:t>
          </w:r>
          <w:r w:rsidRPr="006721C0">
            <w:rPr>
              <w:rFonts w:eastAsia="Times New Roman" w:cs="Calibri"/>
            </w:rPr>
            <w:t>Kola e-liquid exposure led to increased IL</w:t>
          </w:r>
          <w:r>
            <w:rPr>
              <w:rFonts w:eastAsia="Times New Roman" w:cs="Calibri"/>
            </w:rPr>
            <w:noBreakHyphen/>
          </w:r>
          <w:r w:rsidRPr="006721C0">
            <w:rPr>
              <w:rFonts w:eastAsia="Times New Roman" w:cs="Calibri"/>
            </w:rPr>
            <w:t>6 secretion but S</w:t>
          </w:r>
          <w:r>
            <w:rPr>
              <w:rFonts w:eastAsia="Times New Roman" w:cs="Calibri"/>
            </w:rPr>
            <w:t xml:space="preserve">ini-cide led to suppressed IL-6 </w:t>
          </w:r>
          <w:r w:rsidRPr="006721C0">
            <w:rPr>
              <w:rFonts w:eastAsia="Times New Roman" w:cs="Calibri"/>
            </w:rPr>
            <w:t>secretion</w:t>
          </w:r>
          <w:r>
            <w:rPr>
              <w:rFonts w:eastAsia="Times New Roman" w:cs="Calibri"/>
            </w:rPr>
            <w:t xml:space="preserve"> </w:t>
          </w:r>
          <w:r>
            <w:rPr>
              <w:rFonts w:eastAsia="Times New Roman" w:cs="Calibri"/>
            </w:rPr>
            <w:fldChar w:fldCharType="begin">
              <w:fldData xml:space="preserve">PEVuZE5vdGU+PENpdGU+PEF1dGhvcj5DbGFwcDwvQXV0aG9yPjxZZWFyPjIwMTc8L1llYXI+PFJl
Y051bT4xMTU1PC9SZWNOdW0+PERpc3BsYXlUZXh0PihDbGFwcCwgUGF3bGFrIGV0IGFsLiAyMDE3
KTwvRGlzcGxheVRleHQ+PHJlY29yZD48cmVjLW51bWJlcj4xMTU1PC9yZWMtbnVtYmVyPjxmb3Jl
aWduLWtleXM+PGtleSBhcHA9IkVOIiBkYi1pZD0iOXowNWR6MHByYWFkZnVlZTB6b3h6ZWRrOXpm
ZTVmeHg1MHo1IiB0aW1lc3RhbXA9IjE1MjE1MDcwMTMiPjExNTU8L2tleT48a2V5IGFwcD0iRU5X
ZWIiIGRiLWlkPSIiPjA8L2tleT48L2ZvcmVpZ24ta2V5cz48cmVmLXR5cGUgbmFtZT0iSm91cm5h
bCBBcnRpY2xlIj4xNzwvcmVmLXR5cGU+PGNvbnRyaWJ1dG9ycz48YXV0aG9ycz48YXV0aG9yPkNs
YXBwLCBQLiBXLjwvYXV0aG9yPjxhdXRob3I+UGF3bGFrLCBFLiBBLjwvYXV0aG9yPjxhdXRob3I+
TGFja2V5LCBKLiBULjwvYXV0aG9yPjxhdXRob3I+S2VhdGluZywgSi4gRS48L2F1dGhvcj48YXV0
aG9yPlJlZWJlciwgUy4gTC48L2F1dGhvcj48YXV0aG9yPkdsaXNoLCBHLiBMLjwvYXV0aG9yPjxh
dXRob3I+SmFzcGVycywgSS48L2F1dGhvcj48L2F1dGhvcnM+PC9jb250cmlidXRvcnM+PGF1dGgt
YWRkcmVzcz5DdXJyaWN1bHVtIGluIFRveGljb2xvZ3ksIFNjaG9vbCBvZiBNZWRpY2luZSwgVW5p
dmVyc2l0eSBvZiBOb3J0aCBDYXJvbGluYSwgQ2hhcGVsIEhpbGwsIE5vcnRoIENhcm9saW5hLiYj
eEQ7Q2VudGVyIGZvciBFbnZpcm9ubWVudGFsIE1lZGljaW5lLCBBc3RobWEsIGFuZCBMdW5nIEJp
b2xvZ3ksIFNjaG9vbCBvZiBNZWRpY2luZSwgVW5pdmVyc2l0eSBvZiBOb3J0aCBDYXJvbGluYSwg
Q2hhcGVsIEhpbGwsIE5vcnRoIENhcm9saW5hOyBhbmQuJiN4RDtEZXBhcnRtZW50IG9mIENoZW1p
c3RyeSwgVW5pdmVyc2l0eSBvZiBOb3J0aCBDYXJvbGluYSwgQ2hhcGVsIEhpbGwsIE5vcnRoIENh
cm9saW5hLiYjeEQ7Q3VycmljdWx1bSBpbiBUb3hpY29sb2d5LCBTY2hvb2wgb2YgTWVkaWNpbmUs
IFVuaXZlcnNpdHkgb2YgTm9ydGggQ2Fyb2xpbmEsIENoYXBlbCBIaWxsLCBOb3J0aCBDYXJvbGlu
YTsgaWxvbmFfamFzcGVyc0BtZWQudW5jLmVkdS48L2F1dGgtYWRkcmVzcz48dGl0bGVzPjx0aXRs
ZT5GbGF2b3JlZCBlLWNpZ2FyZXR0ZSBsaXF1aWRzIGFuZCBjaW5uYW1hbGRlaHlkZSBpbXBhaXIg
cmVzcGlyYXRvcnkgaW5uYXRlIGltbXVuZSBjZWxsIGZ1bmN0aW9uPC90aXRsZT48c2Vjb25kYXJ5
LXRpdGxlPkFtIEogUGh5c2lvbCBMdW5nIENlbGwgTW9sIFBoeXNpb2w8L3NlY29uZGFyeS10aXRs
ZT48YWx0LXRpdGxlPkFtZXJpY2FuIGpvdXJuYWwgb2YgcGh5c2lvbG9neS4gTHVuZyBjZWxsdWxh
ciBhbmQgbW9sZWN1bGFyIHBoeXNpb2xvZ3k8L2FsdC10aXRsZT48L3RpdGxlcz48cGVyaW9kaWNh
bD48ZnVsbC10aXRsZT5BbSBKIFBoeXNpb2wgTHVuZyBDZWxsIE1vbCBQaHlzaW9sPC9mdWxsLXRp
dGxlPjxhYmJyLTE+QW1lcmljYW4gam91cm5hbCBvZiBwaHlzaW9sb2d5LiBMdW5nIGNlbGx1bGFy
IGFuZCBtb2xlY3VsYXIgcGh5c2lvbG9neTwvYWJici0xPjwvcGVyaW9kaWNhbD48YWx0LXBlcmlv
ZGljYWw+PGZ1bGwtdGl0bGU+QW0gSiBQaHlzaW9sIEx1bmcgQ2VsbCBNb2wgUGh5c2lvbDwvZnVs
bC10aXRsZT48YWJici0xPkFtZXJpY2FuIGpvdXJuYWwgb2YgcGh5c2lvbG9neS4gTHVuZyBjZWxs
dWxhciBhbmQgbW9sZWN1bGFyIHBoeXNpb2xvZ3k8L2FiYnItMT48L2FsdC1wZXJpb2RpY2FsPjxw
YWdlcz5MMjc4LWwyOTI8L3BhZ2VzPjx2b2x1bWU+MzEzPC92b2x1bWU+PG51bWJlcj4yPC9udW1i
ZXI+PGVkaXRpb24+MjAxNy8wNS8xMzwvZWRpdGlvbj48a2V5d29yZHM+PGtleXdvcmQ+QWNyb2xl
aW4vYWR2ZXJzZSBlZmZlY3RzLyphbmFsb2dzICZhbXA7IGRlcml2YXRpdmVzPC9rZXl3b3JkPjxr
ZXl3b3JkPkFkb2xlc2NlbnQ8L2tleXdvcmQ+PGtleXdvcmQ+QWR1bHQ8L2tleXdvcmQ+PGtleXdv
cmQ+RWxlY3Ryb25pYyBOaWNvdGluZSBEZWxpdmVyeSBTeXN0ZW1zLyphZHZlcnNlIGVmZmVjdHM8
L2tleXdvcmQ+PGtleXdvcmQ+RmVtYWxlPC9rZXl3b3JkPjxrZXl3b3JkPkh1bWFuczwva2V5d29y
ZD48a2V5d29yZD5JbW11bml0eSwgSW5uYXRlLypkcnVnIGVmZmVjdHM8L2tleXdvcmQ+PGtleXdv
cmQ+SW5mbGFtbWF0aW9uL2NoZW1pY2FsbHkgaW5kdWNlZDwva2V5d29yZD48a2V5d29yZD5LaWxs
ZXIgQ2VsbHMsIE5hdHVyYWwvZHJ1ZyBlZmZlY3RzPC9rZXl3b3JkPjxrZXl3b3JkPk1hY3JvcGhh
Z2VzL2RydWcgZWZmZWN0czwva2V5d29yZD48a2V5d29yZD5NYWxlPC9rZXl3b3JkPjxrZXl3b3Jk
Pk1pZGRsZSBBZ2VkPC9rZXl3b3JkPjxrZXl3b3JkPk5ldXRyb3BoaWxzL2RydWcgZWZmZWN0czwv
a2V5d29yZD48a2V5d29yZD5OaWNvdGluZS9hZHZlcnNlIGVmZmVjdHM8L2tleXdvcmQ+PGtleXdv
cmQ+UGhhZ29jeXRvc2lzL2RydWcgZWZmZWN0czwva2V5d29yZD48a2V5d29yZD5Zb3VuZyBBZHVs
dDwva2V5d29yZD48a2V5d29yZD5jaW5uYW1hbGRlaHlkZTwva2V5d29yZD48a2V5d29yZD5lLWNp
Z2FyZXR0ZTwva2V5d29yZD48a2V5d29yZD5lLWxpcXVpZDwva2V5d29yZD48a2V5d29yZD5pbm5h
dGUgaW1tdW5lIGNlbGwgZnVuY3Rpb248L2tleXdvcmQ+PC9rZXl3b3Jkcz48ZGF0ZXM+PHllYXI+
MjAxNzwveWVhcj48cHViLWRhdGVzPjxkYXRlPkF1ZyAxPC9kYXRlPjwvcHViLWRhdGVzPjwvZGF0
ZXM+PGlzYm4+MTA0MC0wNjA1PC9pc2JuPjxhY2Nlc3Npb24tbnVtPjI4NDk1ODU2PC9hY2Nlc3Np
b24tbnVtPjx1cmxzPjwvdXJscz48Y3VzdG9tMj5QTUM1NTgyOTI5PC9jdXN0b20yPjxlbGVjdHJv
bmljLXJlc291cmNlLW51bT4xMC4xMTUyL2FqcGx1bmcuMDA0NTIuMjAxNjwvZWxlY3Ryb25pYy1y
ZXNvdXJjZS1udW0+PHJlbW90ZS1kYXRhYmFzZS1wcm92aWRlcj5OTE08L3JlbW90ZS1kYXRhYmFz
ZS1wcm92aWRlcj48bGFuZ3VhZ2U+ZW5nPC9sYW5ndWFnZT48L3JlY29yZD48L0NpdGU+PC9FbmRO
b3RlPgB=
</w:fldData>
            </w:fldChar>
          </w:r>
          <w:r>
            <w:rPr>
              <w:rFonts w:eastAsia="Times New Roman" w:cs="Calibri"/>
            </w:rPr>
            <w:instrText xml:space="preserve"> ADDIN EN.CITE </w:instrText>
          </w:r>
          <w:r>
            <w:rPr>
              <w:rFonts w:eastAsia="Times New Roman" w:cs="Calibri"/>
            </w:rPr>
            <w:fldChar w:fldCharType="begin">
              <w:fldData xml:space="preserve">PEVuZE5vdGU+PENpdGU+PEF1dGhvcj5DbGFwcDwvQXV0aG9yPjxZZWFyPjIwMTc8L1llYXI+PFJl
Y051bT4xMTU1PC9SZWNOdW0+PERpc3BsYXlUZXh0PihDbGFwcCwgUGF3bGFrIGV0IGFsLiAyMDE3
KTwvRGlzcGxheVRleHQ+PHJlY29yZD48cmVjLW51bWJlcj4xMTU1PC9yZWMtbnVtYmVyPjxmb3Jl
aWduLWtleXM+PGtleSBhcHA9IkVOIiBkYi1pZD0iOXowNWR6MHByYWFkZnVlZTB6b3h6ZWRrOXpm
ZTVmeHg1MHo1IiB0aW1lc3RhbXA9IjE1MjE1MDcwMTMiPjExNTU8L2tleT48a2V5IGFwcD0iRU5X
ZWIiIGRiLWlkPSIiPjA8L2tleT48L2ZvcmVpZ24ta2V5cz48cmVmLXR5cGUgbmFtZT0iSm91cm5h
bCBBcnRpY2xlIj4xNzwvcmVmLXR5cGU+PGNvbnRyaWJ1dG9ycz48YXV0aG9ycz48YXV0aG9yPkNs
YXBwLCBQLiBXLjwvYXV0aG9yPjxhdXRob3I+UGF3bGFrLCBFLiBBLjwvYXV0aG9yPjxhdXRob3I+
TGFja2V5LCBKLiBULjwvYXV0aG9yPjxhdXRob3I+S2VhdGluZywgSi4gRS48L2F1dGhvcj48YXV0
aG9yPlJlZWJlciwgUy4gTC48L2F1dGhvcj48YXV0aG9yPkdsaXNoLCBHLiBMLjwvYXV0aG9yPjxh
dXRob3I+SmFzcGVycywgSS48L2F1dGhvcj48L2F1dGhvcnM+PC9jb250cmlidXRvcnM+PGF1dGgt
YWRkcmVzcz5DdXJyaWN1bHVtIGluIFRveGljb2xvZ3ksIFNjaG9vbCBvZiBNZWRpY2luZSwgVW5p
dmVyc2l0eSBvZiBOb3J0aCBDYXJvbGluYSwgQ2hhcGVsIEhpbGwsIE5vcnRoIENhcm9saW5hLiYj
eEQ7Q2VudGVyIGZvciBFbnZpcm9ubWVudGFsIE1lZGljaW5lLCBBc3RobWEsIGFuZCBMdW5nIEJp
b2xvZ3ksIFNjaG9vbCBvZiBNZWRpY2luZSwgVW5pdmVyc2l0eSBvZiBOb3J0aCBDYXJvbGluYSwg
Q2hhcGVsIEhpbGwsIE5vcnRoIENhcm9saW5hOyBhbmQuJiN4RDtEZXBhcnRtZW50IG9mIENoZW1p
c3RyeSwgVW5pdmVyc2l0eSBvZiBOb3J0aCBDYXJvbGluYSwgQ2hhcGVsIEhpbGwsIE5vcnRoIENh
cm9saW5hLiYjeEQ7Q3VycmljdWx1bSBpbiBUb3hpY29sb2d5LCBTY2hvb2wgb2YgTWVkaWNpbmUs
IFVuaXZlcnNpdHkgb2YgTm9ydGggQ2Fyb2xpbmEsIENoYXBlbCBIaWxsLCBOb3J0aCBDYXJvbGlu
YTsgaWxvbmFfamFzcGVyc0BtZWQudW5jLmVkdS48L2F1dGgtYWRkcmVzcz48dGl0bGVzPjx0aXRs
ZT5GbGF2b3JlZCBlLWNpZ2FyZXR0ZSBsaXF1aWRzIGFuZCBjaW5uYW1hbGRlaHlkZSBpbXBhaXIg
cmVzcGlyYXRvcnkgaW5uYXRlIGltbXVuZSBjZWxsIGZ1bmN0aW9uPC90aXRsZT48c2Vjb25kYXJ5
LXRpdGxlPkFtIEogUGh5c2lvbCBMdW5nIENlbGwgTW9sIFBoeXNpb2w8L3NlY29uZGFyeS10aXRs
ZT48YWx0LXRpdGxlPkFtZXJpY2FuIGpvdXJuYWwgb2YgcGh5c2lvbG9neS4gTHVuZyBjZWxsdWxh
ciBhbmQgbW9sZWN1bGFyIHBoeXNpb2xvZ3k8L2FsdC10aXRsZT48L3RpdGxlcz48cGVyaW9kaWNh
bD48ZnVsbC10aXRsZT5BbSBKIFBoeXNpb2wgTHVuZyBDZWxsIE1vbCBQaHlzaW9sPC9mdWxsLXRp
dGxlPjxhYmJyLTE+QW1lcmljYW4gam91cm5hbCBvZiBwaHlzaW9sb2d5LiBMdW5nIGNlbGx1bGFy
IGFuZCBtb2xlY3VsYXIgcGh5c2lvbG9neTwvYWJici0xPjwvcGVyaW9kaWNhbD48YWx0LXBlcmlv
ZGljYWw+PGZ1bGwtdGl0bGU+QW0gSiBQaHlzaW9sIEx1bmcgQ2VsbCBNb2wgUGh5c2lvbDwvZnVs
bC10aXRsZT48YWJici0xPkFtZXJpY2FuIGpvdXJuYWwgb2YgcGh5c2lvbG9neS4gTHVuZyBjZWxs
dWxhciBhbmQgbW9sZWN1bGFyIHBoeXNpb2xvZ3k8L2FiYnItMT48L2FsdC1wZXJpb2RpY2FsPjxw
YWdlcz5MMjc4LWwyOTI8L3BhZ2VzPjx2b2x1bWU+MzEzPC92b2x1bWU+PG51bWJlcj4yPC9udW1i
ZXI+PGVkaXRpb24+MjAxNy8wNS8xMzwvZWRpdGlvbj48a2V5d29yZHM+PGtleXdvcmQ+QWNyb2xl
aW4vYWR2ZXJzZSBlZmZlY3RzLyphbmFsb2dzICZhbXA7IGRlcml2YXRpdmVzPC9rZXl3b3JkPjxr
ZXl3b3JkPkFkb2xlc2NlbnQ8L2tleXdvcmQ+PGtleXdvcmQ+QWR1bHQ8L2tleXdvcmQ+PGtleXdv
cmQ+RWxlY3Ryb25pYyBOaWNvdGluZSBEZWxpdmVyeSBTeXN0ZW1zLyphZHZlcnNlIGVmZmVjdHM8
L2tleXdvcmQ+PGtleXdvcmQ+RmVtYWxlPC9rZXl3b3JkPjxrZXl3b3JkPkh1bWFuczwva2V5d29y
ZD48a2V5d29yZD5JbW11bml0eSwgSW5uYXRlLypkcnVnIGVmZmVjdHM8L2tleXdvcmQ+PGtleXdv
cmQ+SW5mbGFtbWF0aW9uL2NoZW1pY2FsbHkgaW5kdWNlZDwva2V5d29yZD48a2V5d29yZD5LaWxs
ZXIgQ2VsbHMsIE5hdHVyYWwvZHJ1ZyBlZmZlY3RzPC9rZXl3b3JkPjxrZXl3b3JkPk1hY3JvcGhh
Z2VzL2RydWcgZWZmZWN0czwva2V5d29yZD48a2V5d29yZD5NYWxlPC9rZXl3b3JkPjxrZXl3b3Jk
Pk1pZGRsZSBBZ2VkPC9rZXl3b3JkPjxrZXl3b3JkPk5ldXRyb3BoaWxzL2RydWcgZWZmZWN0czwv
a2V5d29yZD48a2V5d29yZD5OaWNvdGluZS9hZHZlcnNlIGVmZmVjdHM8L2tleXdvcmQ+PGtleXdv
cmQ+UGhhZ29jeXRvc2lzL2RydWcgZWZmZWN0czwva2V5d29yZD48a2V5d29yZD5Zb3VuZyBBZHVs
dDwva2V5d29yZD48a2V5d29yZD5jaW5uYW1hbGRlaHlkZTwva2V5d29yZD48a2V5d29yZD5lLWNp
Z2FyZXR0ZTwva2V5d29yZD48a2V5d29yZD5lLWxpcXVpZDwva2V5d29yZD48a2V5d29yZD5pbm5h
dGUgaW1tdW5lIGNlbGwgZnVuY3Rpb248L2tleXdvcmQ+PC9rZXl3b3Jkcz48ZGF0ZXM+PHllYXI+
MjAxNzwveWVhcj48cHViLWRhdGVzPjxkYXRlPkF1ZyAxPC9kYXRlPjwvcHViLWRhdGVzPjwvZGF0
ZXM+PGlzYm4+MTA0MC0wNjA1PC9pc2JuPjxhY2Nlc3Npb24tbnVtPjI4NDk1ODU2PC9hY2Nlc3Np
b24tbnVtPjx1cmxzPjwvdXJscz48Y3VzdG9tMj5QTUM1NTgyOTI5PC9jdXN0b20yPjxlbGVjdHJv
bmljLXJlc291cmNlLW51bT4xMC4xMTUyL2FqcGx1bmcuMDA0NTIuMjAxNjwvZWxlY3Ryb25pYy1y
ZXNvdXJjZS1udW0+PHJlbW90ZS1kYXRhYmFzZS1wcm92aWRlcj5OTE08L3JlbW90ZS1kYXRhYmFz
ZS1wcm92aWRlcj48bGFuZ3VhZ2U+ZW5nPC9sYW5ndWFnZT48L3JlY29yZD48L0NpdGU+PC9FbmRO
b3RlPgB=
</w:fldData>
            </w:fldChar>
          </w:r>
          <w:r>
            <w:rPr>
              <w:rFonts w:eastAsia="Times New Roman" w:cs="Calibri"/>
            </w:rPr>
            <w:instrText xml:space="preserve"> ADDIN EN.CITE.DATA </w:instrText>
          </w:r>
          <w:r>
            <w:rPr>
              <w:rFonts w:eastAsia="Times New Roman" w:cs="Calibri"/>
            </w:rPr>
          </w:r>
          <w:r>
            <w:rPr>
              <w:rFonts w:eastAsia="Times New Roman" w:cs="Calibri"/>
            </w:rPr>
            <w:fldChar w:fldCharType="end"/>
          </w:r>
          <w:r>
            <w:rPr>
              <w:rFonts w:eastAsia="Times New Roman" w:cs="Calibri"/>
            </w:rPr>
          </w:r>
          <w:r>
            <w:rPr>
              <w:rFonts w:eastAsia="Times New Roman" w:cs="Calibri"/>
            </w:rPr>
            <w:fldChar w:fldCharType="separate"/>
          </w:r>
          <w:r>
            <w:rPr>
              <w:rFonts w:eastAsia="Times New Roman" w:cs="Calibri"/>
              <w:noProof/>
            </w:rPr>
            <w:t>(Clapp, Pawlak et al. 2017)</w:t>
          </w:r>
          <w:r>
            <w:rPr>
              <w:rFonts w:eastAsia="Times New Roman" w:cs="Calibri"/>
            </w:rPr>
            <w:fldChar w:fldCharType="end"/>
          </w:r>
          <w:r w:rsidRPr="006721C0">
            <w:rPr>
              <w:rFonts w:eastAsia="Times New Roman" w:cs="Calibri"/>
            </w:rPr>
            <w:t>.</w:t>
          </w:r>
          <w:r>
            <w:rPr>
              <w:rFonts w:eastAsia="Times New Roman" w:cs="Calibri"/>
            </w:rPr>
            <w:t xml:space="preserve"> Cigarette smoke led to a similar elevation of IL-6 in bronchial epithelial cells as e-cigarette vapour </w:t>
          </w:r>
          <w:r>
            <w:rPr>
              <w:rFonts w:eastAsia="Times New Roman" w:cs="Calibri"/>
            </w:rPr>
            <w:fldChar w:fldCharType="begin">
              <w:fldData xml:space="preserve">PEVuZE5vdGU+PENpdGU+PEF1dGhvcj5BbnRoZXJpZXU8L0F1dGhvcj48WWVhcj4yMDE3PC9ZZWFy
PjxSZWNOdW0+MTM5NTwvUmVjTnVtPjxEaXNwbGF5VGV4dD4oQW50aGVyaWV1LCBHYXJhdCBldCBh
bC4gMjAxNyk8L0Rpc3BsYXlUZXh0PjxyZWNvcmQ+PHJlYy1udW1iZXI+MTM5NTwvcmVjLW51bWJl
cj48Zm9yZWlnbi1rZXlzPjxrZXkgYXBwPSJFTiIgZGItaWQ9Ijl6MDVkejBwcmFhZGZ1ZWUwem94
emVkazl6ZmU1Znh4NTB6NSIgdGltZXN0YW1wPSIxNTIxNTA3MDY5Ij4xMzk1PC9rZXk+PGtleSBh
cHA9IkVOV2ViIiBkYi1pZD0iIj4wPC9rZXk+PC9mb3JlaWduLWtleXM+PHJlZi10eXBlIG5hbWU9
IkpvdXJuYWwgQXJ0aWNsZSI+MTc8L3JlZi10eXBlPjxjb250cmlidXRvcnM+PGF1dGhvcnM+PGF1
dGhvcj5BbnRoZXJpZXUsIFMuPC9hdXRob3I+PGF1dGhvcj5HYXJhdCwgQS48L2F1dGhvcj48YXV0
aG9yPkJlYXV2YWwsIE4uPC9hdXRob3I+PGF1dGhvcj5Tb3lleiwgTS48L2F1dGhvcj48YXV0aG9y
PkFsbG9yZ2UsIEQuPC9hdXRob3I+PGF1dGhvcj5HYXJjb24sIEcuPC9hdXRob3I+PGF1dGhvcj5M
by1HdWlkaWNlLCBKLiBNLjwvYXV0aG9yPjwvYXV0aG9ycz48L2NvbnRyaWJ1dG9ycz48YXV0aC1h
ZGRyZXNzPlVuaXYuIExpbGxlLCBDSFUgTGlsbGUsIEluc3RpdHV0IFBhc3RldXIgZGUgTGlsbGUs
IEVBIDQ0ODMsIElNUEVDUyAtIElNUGFjdCBvZiBFbnZpcm9ubWVudGFsIENoZW1pY2FsUyBvbiBo
dW1hbiBoZWFsdGgsIEYtNTkwMDAgTGlsbGUsIEZyYW5jZS4gRWxlY3Ryb25pYyBhZGRyZXNzOiBz
ZWJhc3RpZW4uYW50aGVyaWV1QHVuaXYtbGlsbGUyLmZyLiYjeEQ7VW5pdi4gTGlsbGUsIENIVSBM
aWxsZSwgSW5zdGl0dXQgUGFzdGV1ciBkZSBMaWxsZSwgRUEgNDQ4MywgSU1QRUNTIC0gSU1QYWN0
IG9mIEVudmlyb25tZW50YWwgQ2hlbWljYWxTIG9uIGh1bWFuIGhlYWx0aCwgRi01OTAwMCBMaWxs
ZSwgRnJhbmNlLiYjeEQ7VW5pdi4gTGlsbGUsIENIVSBMaWxsZSwgSW5zdGl0dXQgUGFzdGV1ciBk
ZSBMaWxsZSwgRUEgNDQ4MywgSU1QRUNTIC0gSU1QYWN0IG9mIEVudmlyb25tZW50YWwgQ2hlbWlj
YWxTIG9uIGh1bWFuIGhlYWx0aCwgRi01OTAwMCBMaWxsZSwgRnJhbmNlOyBNaW5lcyBEb3VhaSwg
U0FHRSwgRi01OTUwOCBEb3VhaSwgRnJhbmNlLjwvYXV0aC1hZGRyZXNzPjx0aXRsZXM+PHRpdGxl
PkNvbXBhcmlzb24gb2YgY2VsbHVsYXIgYW5kIHRyYW5zY3JpcHRvbWljIGVmZmVjdHMgYmV0d2Vl
biBlbGVjdHJvbmljIGNpZ2FyZXR0ZSB2YXBvciBhbmQgY2lnYXJldHRlIHNtb2tlIGluIGh1bWFu
IGJyb25jaGlhbCBlcGl0aGVsaWFsIGNlbGxzPC90aXRsZT48c2Vjb25kYXJ5LXRpdGxlPlRveGlj
b2wgSW4gVml0cm88L3NlY29uZGFyeS10aXRsZT48YWx0LXRpdGxlPlRveGljb2xvZ3kgaW4gdml0
cm8gOiBhbiBpbnRlcm5hdGlvbmFsIGpvdXJuYWwgcHVibGlzaGVkIGluIGFzc29jaWF0aW9uIHdp
dGggQklCUkE8L2FsdC10aXRsZT48L3RpdGxlcz48cGVyaW9kaWNhbD48ZnVsbC10aXRsZT5Ub3hp
Y29sIEluIFZpdHJvPC9mdWxsLXRpdGxlPjxhYmJyLTE+VG94aWNvbG9neSBpbiB2aXRybyA6IGFu
IGludGVybmF0aW9uYWwgam91cm5hbCBwdWJsaXNoZWQgaW4gYXNzb2NpYXRpb24gd2l0aCBCSUJS
QTwvYWJici0xPjwvcGVyaW9kaWNhbD48YWx0LXBlcmlvZGljYWw+PGZ1bGwtdGl0bGU+VG94aWNv
bCBJbiBWaXRybzwvZnVsbC10aXRsZT48YWJici0xPlRveGljb2xvZ3kgaW4gdml0cm8gOiBhbiBp
bnRlcm5hdGlvbmFsIGpvdXJuYWwgcHVibGlzaGVkIGluIGFzc29jaWF0aW9uIHdpdGggQklCUkE8
L2FiYnItMT48L2FsdC1wZXJpb2RpY2FsPjxwYWdlcz40MTctNDI1PC9wYWdlcz48dm9sdW1lPjQ1
PC92b2x1bWU+PG51bWJlcj5QdCAzPC9udW1iZXI+PGVkaXRpb24+MjAxNy8wMS8xMDwvZWRpdGlv
bj48a2V5d29yZHM+PGtleXdvcmQ+QkVBUy0yQiBjZWxsIGxpbmU8L2tleXdvcmQ+PGtleXdvcmQ+
RS1jaWdhcmV0dGU8L2tleXdvcmQ+PGtleXdvcmQ+VG94aWNpdHk8L2tleXdvcmQ+PGtleXdvcmQ+
VHJhbnNjcmlwdG9taWM8L2tleXdvcmQ+PGtleXdvcmQ+VmFwb3JzPC9rZXl3b3JkPjwva2V5d29y
ZHM+PGRhdGVzPjx5ZWFyPjIwMTc8L3llYXI+PHB1Yi1kYXRlcz48ZGF0ZT5EZWM8L2RhdGU+PC9w
dWItZGF0ZXM+PC9kYXRlcz48aXNibj4wODg3LTIzMzM8L2lzYm4+PGFjY2Vzc2lvbi1udW0+Mjgw
NjU3OTA8L2FjY2Vzc2lvbi1udW0+PHVybHM+PHJlbGF0ZWQtdXJscz48dXJsPmh0dHBzOi8vd3d3
LnNjaWVuY2VkaXJlY3QuY29tL3NjaWVuY2UvYXJ0aWNsZS9waWkvUzA4ODcyMzMzMTYzMDI3MTU/
dmlhJTNEaWh1YjwvdXJsPjwvcmVsYXRlZC11cmxzPjwvdXJscz48ZWxlY3Ryb25pYy1yZXNvdXJj
ZS1udW0+MTAuMTAxNi9qLnRpdi4yMDE2LjEyLjAxNTwvZWxlY3Ryb25pYy1yZXNvdXJjZS1udW0+
PHJlbW90ZS1kYXRhYmFzZS1wcm92aWRlcj5OTE08L3JlbW90ZS1kYXRhYmFzZS1wcm92aWRlcj48
bGFuZ3VhZ2U+ZW5nPC9sYW5ndWFnZT48L3JlY29yZD48L0NpdGU+PC9FbmROb3RlPgB=
</w:fldData>
            </w:fldChar>
          </w:r>
          <w:r>
            <w:rPr>
              <w:rFonts w:eastAsia="Times New Roman" w:cs="Calibri"/>
            </w:rPr>
            <w:instrText xml:space="preserve"> ADDIN EN.CITE </w:instrText>
          </w:r>
          <w:r>
            <w:rPr>
              <w:rFonts w:eastAsia="Times New Roman" w:cs="Calibri"/>
            </w:rPr>
            <w:fldChar w:fldCharType="begin">
              <w:fldData xml:space="preserve">PEVuZE5vdGU+PENpdGU+PEF1dGhvcj5BbnRoZXJpZXU8L0F1dGhvcj48WWVhcj4yMDE3PC9ZZWFy
PjxSZWNOdW0+MTM5NTwvUmVjTnVtPjxEaXNwbGF5VGV4dD4oQW50aGVyaWV1LCBHYXJhdCBldCBh
bC4gMjAxNyk8L0Rpc3BsYXlUZXh0PjxyZWNvcmQ+PHJlYy1udW1iZXI+MTM5NTwvcmVjLW51bWJl
cj48Zm9yZWlnbi1rZXlzPjxrZXkgYXBwPSJFTiIgZGItaWQ9Ijl6MDVkejBwcmFhZGZ1ZWUwem94
emVkazl6ZmU1Znh4NTB6NSIgdGltZXN0YW1wPSIxNTIxNTA3MDY5Ij4xMzk1PC9rZXk+PGtleSBh
cHA9IkVOV2ViIiBkYi1pZD0iIj4wPC9rZXk+PC9mb3JlaWduLWtleXM+PHJlZi10eXBlIG5hbWU9
IkpvdXJuYWwgQXJ0aWNsZSI+MTc8L3JlZi10eXBlPjxjb250cmlidXRvcnM+PGF1dGhvcnM+PGF1
dGhvcj5BbnRoZXJpZXUsIFMuPC9hdXRob3I+PGF1dGhvcj5HYXJhdCwgQS48L2F1dGhvcj48YXV0
aG9yPkJlYXV2YWwsIE4uPC9hdXRob3I+PGF1dGhvcj5Tb3lleiwgTS48L2F1dGhvcj48YXV0aG9y
PkFsbG9yZ2UsIEQuPC9hdXRob3I+PGF1dGhvcj5HYXJjb24sIEcuPC9hdXRob3I+PGF1dGhvcj5M
by1HdWlkaWNlLCBKLiBNLjwvYXV0aG9yPjwvYXV0aG9ycz48L2NvbnRyaWJ1dG9ycz48YXV0aC1h
ZGRyZXNzPlVuaXYuIExpbGxlLCBDSFUgTGlsbGUsIEluc3RpdHV0IFBhc3RldXIgZGUgTGlsbGUs
IEVBIDQ0ODMsIElNUEVDUyAtIElNUGFjdCBvZiBFbnZpcm9ubWVudGFsIENoZW1pY2FsUyBvbiBo
dW1hbiBoZWFsdGgsIEYtNTkwMDAgTGlsbGUsIEZyYW5jZS4gRWxlY3Ryb25pYyBhZGRyZXNzOiBz
ZWJhc3RpZW4uYW50aGVyaWV1QHVuaXYtbGlsbGUyLmZyLiYjeEQ7VW5pdi4gTGlsbGUsIENIVSBM
aWxsZSwgSW5zdGl0dXQgUGFzdGV1ciBkZSBMaWxsZSwgRUEgNDQ4MywgSU1QRUNTIC0gSU1QYWN0
IG9mIEVudmlyb25tZW50YWwgQ2hlbWljYWxTIG9uIGh1bWFuIGhlYWx0aCwgRi01OTAwMCBMaWxs
ZSwgRnJhbmNlLiYjeEQ7VW5pdi4gTGlsbGUsIENIVSBMaWxsZSwgSW5zdGl0dXQgUGFzdGV1ciBk
ZSBMaWxsZSwgRUEgNDQ4MywgSU1QRUNTIC0gSU1QYWN0IG9mIEVudmlyb25tZW50YWwgQ2hlbWlj
YWxTIG9uIGh1bWFuIGhlYWx0aCwgRi01OTAwMCBMaWxsZSwgRnJhbmNlOyBNaW5lcyBEb3VhaSwg
U0FHRSwgRi01OTUwOCBEb3VhaSwgRnJhbmNlLjwvYXV0aC1hZGRyZXNzPjx0aXRsZXM+PHRpdGxl
PkNvbXBhcmlzb24gb2YgY2VsbHVsYXIgYW5kIHRyYW5zY3JpcHRvbWljIGVmZmVjdHMgYmV0d2Vl
biBlbGVjdHJvbmljIGNpZ2FyZXR0ZSB2YXBvciBhbmQgY2lnYXJldHRlIHNtb2tlIGluIGh1bWFu
IGJyb25jaGlhbCBlcGl0aGVsaWFsIGNlbGxzPC90aXRsZT48c2Vjb25kYXJ5LXRpdGxlPlRveGlj
b2wgSW4gVml0cm88L3NlY29uZGFyeS10aXRsZT48YWx0LXRpdGxlPlRveGljb2xvZ3kgaW4gdml0
cm8gOiBhbiBpbnRlcm5hdGlvbmFsIGpvdXJuYWwgcHVibGlzaGVkIGluIGFzc29jaWF0aW9uIHdp
dGggQklCUkE8L2FsdC10aXRsZT48L3RpdGxlcz48cGVyaW9kaWNhbD48ZnVsbC10aXRsZT5Ub3hp
Y29sIEluIFZpdHJvPC9mdWxsLXRpdGxlPjxhYmJyLTE+VG94aWNvbG9neSBpbiB2aXRybyA6IGFu
IGludGVybmF0aW9uYWwgam91cm5hbCBwdWJsaXNoZWQgaW4gYXNzb2NpYXRpb24gd2l0aCBCSUJS
QTwvYWJici0xPjwvcGVyaW9kaWNhbD48YWx0LXBlcmlvZGljYWw+PGZ1bGwtdGl0bGU+VG94aWNv
bCBJbiBWaXRybzwvZnVsbC10aXRsZT48YWJici0xPlRveGljb2xvZ3kgaW4gdml0cm8gOiBhbiBp
bnRlcm5hdGlvbmFsIGpvdXJuYWwgcHVibGlzaGVkIGluIGFzc29jaWF0aW9uIHdpdGggQklCUkE8
L2FiYnItMT48L2FsdC1wZXJpb2RpY2FsPjxwYWdlcz40MTctNDI1PC9wYWdlcz48dm9sdW1lPjQ1
PC92b2x1bWU+PG51bWJlcj5QdCAzPC9udW1iZXI+PGVkaXRpb24+MjAxNy8wMS8xMDwvZWRpdGlv
bj48a2V5d29yZHM+PGtleXdvcmQ+QkVBUy0yQiBjZWxsIGxpbmU8L2tleXdvcmQ+PGtleXdvcmQ+
RS1jaWdhcmV0dGU8L2tleXdvcmQ+PGtleXdvcmQ+VG94aWNpdHk8L2tleXdvcmQ+PGtleXdvcmQ+
VHJhbnNjcmlwdG9taWM8L2tleXdvcmQ+PGtleXdvcmQ+VmFwb3JzPC9rZXl3b3JkPjwva2V5d29y
ZHM+PGRhdGVzPjx5ZWFyPjIwMTc8L3llYXI+PHB1Yi1kYXRlcz48ZGF0ZT5EZWM8L2RhdGU+PC9w
dWItZGF0ZXM+PC9kYXRlcz48aXNibj4wODg3LTIzMzM8L2lzYm4+PGFjY2Vzc2lvbi1udW0+Mjgw
NjU3OTA8L2FjY2Vzc2lvbi1udW0+PHVybHM+PHJlbGF0ZWQtdXJscz48dXJsPmh0dHBzOi8vd3d3
LnNjaWVuY2VkaXJlY3QuY29tL3NjaWVuY2UvYXJ0aWNsZS9waWkvUzA4ODcyMzMzMTYzMDI3MTU/
dmlhJTNEaWh1YjwvdXJsPjwvcmVsYXRlZC11cmxzPjwvdXJscz48ZWxlY3Ryb25pYy1yZXNvdXJj
ZS1udW0+MTAuMTAxNi9qLnRpdi4yMDE2LjEyLjAxNTwvZWxlY3Ryb25pYy1yZXNvdXJjZS1udW0+
PHJlbW90ZS1kYXRhYmFzZS1wcm92aWRlcj5OTE08L3JlbW90ZS1kYXRhYmFzZS1wcm92aWRlcj48
bGFuZ3VhZ2U+ZW5nPC9sYW5ndWFnZT48L3JlY29yZD48L0NpdGU+PC9FbmROb3RlPgB=
</w:fldData>
            </w:fldChar>
          </w:r>
          <w:r>
            <w:rPr>
              <w:rFonts w:eastAsia="Times New Roman" w:cs="Calibri"/>
            </w:rPr>
            <w:instrText xml:space="preserve"> ADDIN EN.CITE.DATA </w:instrText>
          </w:r>
          <w:r>
            <w:rPr>
              <w:rFonts w:eastAsia="Times New Roman" w:cs="Calibri"/>
            </w:rPr>
          </w:r>
          <w:r>
            <w:rPr>
              <w:rFonts w:eastAsia="Times New Roman" w:cs="Calibri"/>
            </w:rPr>
            <w:fldChar w:fldCharType="end"/>
          </w:r>
          <w:r>
            <w:rPr>
              <w:rFonts w:eastAsia="Times New Roman" w:cs="Calibri"/>
            </w:rPr>
          </w:r>
          <w:r>
            <w:rPr>
              <w:rFonts w:eastAsia="Times New Roman" w:cs="Calibri"/>
            </w:rPr>
            <w:fldChar w:fldCharType="separate"/>
          </w:r>
          <w:r>
            <w:rPr>
              <w:rFonts w:eastAsia="Times New Roman" w:cs="Calibri"/>
              <w:noProof/>
            </w:rPr>
            <w:t>(Antherieu, Garat et al. 2017)</w:t>
          </w:r>
          <w:r>
            <w:rPr>
              <w:rFonts w:eastAsia="Times New Roman" w:cs="Calibri"/>
            </w:rPr>
            <w:fldChar w:fldCharType="end"/>
          </w:r>
          <w:r>
            <w:rPr>
              <w:rFonts w:eastAsia="Times New Roman" w:cs="Calibri"/>
            </w:rPr>
            <w:t xml:space="preserve">. </w:t>
          </w:r>
        </w:p>
        <w:p w14:paraId="7B747FEA" w14:textId="77777777" w:rsidR="00A74D41" w:rsidRDefault="00A74D41" w:rsidP="00A74D41">
          <w:pPr>
            <w:pStyle w:val="BodyText"/>
            <w:rPr>
              <w:rFonts w:eastAsia="Times New Roman" w:cs="Calibri"/>
            </w:rPr>
          </w:pPr>
          <w:r>
            <w:rPr>
              <w:rFonts w:eastAsia="Times New Roman" w:cs="Calibri"/>
            </w:rPr>
            <w:t xml:space="preserve">Another study investigated </w:t>
          </w:r>
          <w:r>
            <w:t>THP-1 macrophages and found that a</w:t>
          </w:r>
          <w:r w:rsidRPr="00E82402">
            <w:rPr>
              <w:rFonts w:eastAsia="Times New Roman" w:cs="Calibri"/>
            </w:rPr>
            <w:t xml:space="preserve">fter exposure to cigarette smoke extract, nicotine and </w:t>
          </w:r>
          <w:r>
            <w:rPr>
              <w:rFonts w:eastAsia="Times New Roman" w:cs="Calibri"/>
            </w:rPr>
            <w:t>two</w:t>
          </w:r>
          <w:r w:rsidRPr="00E82402">
            <w:rPr>
              <w:rFonts w:eastAsia="Times New Roman" w:cs="Calibri"/>
            </w:rPr>
            <w:t xml:space="preserve"> out of </w:t>
          </w:r>
          <w:r>
            <w:rPr>
              <w:rFonts w:eastAsia="Times New Roman" w:cs="Calibri"/>
            </w:rPr>
            <w:t>three</w:t>
          </w:r>
          <w:r w:rsidRPr="00E82402">
            <w:rPr>
              <w:rFonts w:eastAsia="Times New Roman" w:cs="Calibri"/>
            </w:rPr>
            <w:t xml:space="preserve"> e-cigarette</w:t>
          </w:r>
          <w:r>
            <w:rPr>
              <w:rFonts w:eastAsia="Times New Roman" w:cs="Calibri"/>
            </w:rPr>
            <w:t xml:space="preserve"> flavour</w:t>
          </w:r>
          <w:r w:rsidRPr="00E82402">
            <w:rPr>
              <w:rFonts w:eastAsia="Times New Roman" w:cs="Calibri"/>
            </w:rPr>
            <w:t>s</w:t>
          </w:r>
          <w:r>
            <w:rPr>
              <w:rFonts w:eastAsia="Times New Roman" w:cs="Calibri"/>
            </w:rPr>
            <w:t>,</w:t>
          </w:r>
          <w:r w:rsidRPr="00E82402">
            <w:rPr>
              <w:rFonts w:eastAsia="Times New Roman" w:cs="Calibri"/>
            </w:rPr>
            <w:t xml:space="preserve"> IL-1β, MIP-1α, MIP-1β and TNFα all decreased</w:t>
          </w:r>
          <w:r>
            <w:rPr>
              <w:rFonts w:eastAsia="Times New Roman" w:cs="Calibri"/>
            </w:rPr>
            <w:t xml:space="preserve"> </w:t>
          </w:r>
          <w:r>
            <w:rPr>
              <w:rFonts w:eastAsia="Times New Roman" w:cs="Calibri"/>
            </w:rPr>
            <w:fldChar w:fldCharType="begin"/>
          </w:r>
          <w:r w:rsidR="00903735">
            <w:rPr>
              <w:rFonts w:eastAsia="Times New Roman" w:cs="Calibri"/>
            </w:rPr>
            <w:instrText xml:space="preserve"> ADDIN EN.CITE &lt;EndNote&gt;&lt;Cite&gt;&lt;Author&gt;Ween&lt;/Author&gt;&lt;Year&gt;2017&lt;/Year&gt;&lt;RecNum&gt;12245&lt;/RecNum&gt;&lt;DisplayText&gt;(Ween, Whittall et al. 2017)&lt;/DisplayText&gt;&lt;record&gt;&lt;rec-number&gt;12245&lt;/rec-number&gt;&lt;foreign-keys&gt;&lt;key app="EN" db-id="5xv5w5t2bdxtxfezx02xtxdft5rz5ptvvt29" timestamp="1523867925"&gt;12245&lt;/key&gt;&lt;key app="ENWeb" db-id=""&gt;0&lt;/key&gt;&lt;/foreign-keys&gt;&lt;ref-type name="Journal Article"&gt;17&lt;/ref-type&gt;&lt;contributors&gt;&lt;authors&gt;&lt;author&gt;Ween, M. P.&lt;/author&gt;&lt;author&gt;Whittall, J. J.&lt;/author&gt;&lt;author&gt;Hamon, R.&lt;/author&gt;&lt;author&gt;Reynolds, P. N.&lt;/author&gt;&lt;author&gt;Hodge, S. J.&lt;/author&gt;&lt;/authors&gt;&lt;/contributors&gt;&lt;auth-address&gt;Department of Thoracic Medicine, Royal Adelaide Hospital, Adelaide, Australia Miranda.ween@adelaide.edu.au.&amp;#xD;School of Medicine, University of Adelaide, Adelaide, Australia.&amp;#xD;Department of Thoracic Medicine, Royal Adelaide Hospital, Adelaide, Australia.&lt;/auth-address&gt;&lt;titles&gt;&lt;title&gt;Phagocytosis and Inflammation: Exploring the effects of the components of E-cigarette vapor on macrophages&lt;/title&gt;&lt;secondary-title&gt;Physiol Rep&lt;/secondary-title&gt;&lt;alt-title&gt;Physiological reports&lt;/alt-title&gt;&lt;/titles&gt;&lt;periodical&gt;&lt;full-title&gt;Physiol Rep&lt;/full-title&gt;&lt;abbr-1&gt;Physiological reports&lt;/abbr-1&gt;&lt;/periodical&gt;&lt;alt-periodical&gt;&lt;full-title&gt;Physiol Rep&lt;/full-title&gt;&lt;abbr-1&gt;Physiological reports&lt;/abbr-1&gt;&lt;/alt-periodical&gt;&lt;volume&gt;5&lt;/volume&gt;&lt;number&gt;16&lt;/number&gt;&lt;edition&gt;2017/09/05&lt;/edition&gt;&lt;keywords&gt;&lt;keyword&gt;E-cigarettes&lt;/keyword&gt;&lt;keyword&gt;cytokines&lt;/keyword&gt;&lt;keyword&gt;inflammation&lt;/keyword&gt;&lt;keyword&gt;macrophages&lt;/keyword&gt;&lt;keyword&gt;phagocytosis&lt;/keyword&gt;&lt;/keywords&gt;&lt;dates&gt;&lt;year&gt;2017&lt;/year&gt;&lt;pub-dates&gt;&lt;date&gt;Aug&lt;/date&gt;&lt;/pub-dates&gt;&lt;/dates&gt;&lt;isbn&gt;2051-817x&lt;/isbn&gt;&lt;accession-num&gt;28867672&lt;/accession-num&gt;&lt;urls&gt;&lt;related-urls&gt;&lt;url&gt;https://physoc.onlinelibrary.wiley.com/doi/pdf/10.14814/phy2.13370&lt;/url&gt;&lt;/related-urls&gt;&lt;/urls&gt;&lt;custom2&gt;PMC5582261&lt;/custom2&gt;&lt;electronic-resource-num&gt;10.14814/phy2.13370&lt;/electronic-resource-num&gt;&lt;remote-database-provider&gt;NLM&lt;/remote-database-provider&gt;&lt;language&gt;eng&lt;/language&gt;&lt;/record&gt;&lt;/Cite&gt;&lt;/EndNote&gt;</w:instrText>
          </w:r>
          <w:r>
            <w:rPr>
              <w:rFonts w:eastAsia="Times New Roman" w:cs="Calibri"/>
            </w:rPr>
            <w:fldChar w:fldCharType="separate"/>
          </w:r>
          <w:r>
            <w:rPr>
              <w:rFonts w:eastAsia="Times New Roman" w:cs="Calibri"/>
              <w:noProof/>
            </w:rPr>
            <w:t>(Ween, Whittall et al. 2017)</w:t>
          </w:r>
          <w:r>
            <w:rPr>
              <w:rFonts w:eastAsia="Times New Roman" w:cs="Calibri"/>
            </w:rPr>
            <w:fldChar w:fldCharType="end"/>
          </w:r>
          <w:r w:rsidRPr="00E82402">
            <w:rPr>
              <w:rFonts w:eastAsia="Times New Roman" w:cs="Calibri"/>
            </w:rPr>
            <w:t>. After exposure to all e-cigarettes, cigarette smoke extract, nicotine IL-6, MCP-1 decreased</w:t>
          </w:r>
          <w:r>
            <w:rPr>
              <w:rFonts w:eastAsia="Times New Roman" w:cs="Calibri"/>
            </w:rPr>
            <w:t xml:space="preserve"> </w:t>
          </w:r>
          <w:r>
            <w:rPr>
              <w:rFonts w:eastAsia="Times New Roman" w:cs="Calibri"/>
            </w:rPr>
            <w:fldChar w:fldCharType="begin"/>
          </w:r>
          <w:r w:rsidR="00903735">
            <w:rPr>
              <w:rFonts w:eastAsia="Times New Roman" w:cs="Calibri"/>
            </w:rPr>
            <w:instrText xml:space="preserve"> ADDIN EN.CITE &lt;EndNote&gt;&lt;Cite&gt;&lt;Author&gt;Ween&lt;/Author&gt;&lt;Year&gt;2017&lt;/Year&gt;&lt;RecNum&gt;12245&lt;/RecNum&gt;&lt;DisplayText&gt;(Ween, Whittall et al. 2017)&lt;/DisplayText&gt;&lt;record&gt;&lt;rec-number&gt;12245&lt;/rec-number&gt;&lt;foreign-keys&gt;&lt;key app="EN" db-id="5xv5w5t2bdxtxfezx02xtxdft5rz5ptvvt29" timestamp="1523867925"&gt;12245&lt;/key&gt;&lt;key app="ENWeb" db-id=""&gt;0&lt;/key&gt;&lt;/foreign-keys&gt;&lt;ref-type name="Journal Article"&gt;17&lt;/ref-type&gt;&lt;contributors&gt;&lt;authors&gt;&lt;author&gt;Ween, M. P.&lt;/author&gt;&lt;author&gt;Whittall, J. J.&lt;/author&gt;&lt;author&gt;Hamon, R.&lt;/author&gt;&lt;author&gt;Reynolds, P. N.&lt;/author&gt;&lt;author&gt;Hodge, S. J.&lt;/author&gt;&lt;/authors&gt;&lt;/contributors&gt;&lt;auth-address&gt;Department of Thoracic Medicine, Royal Adelaide Hospital, Adelaide, Australia Miranda.ween@adelaide.edu.au.&amp;#xD;School of Medicine, University of Adelaide, Adelaide, Australia.&amp;#xD;Department of Thoracic Medicine, Royal Adelaide Hospital, Adelaide, Australia.&lt;/auth-address&gt;&lt;titles&gt;&lt;title&gt;Phagocytosis and Inflammation: Exploring the effects of the components of E-cigarette vapor on macrophages&lt;/title&gt;&lt;secondary-title&gt;Physiol Rep&lt;/secondary-title&gt;&lt;alt-title&gt;Physiological reports&lt;/alt-title&gt;&lt;/titles&gt;&lt;periodical&gt;&lt;full-title&gt;Physiol Rep&lt;/full-title&gt;&lt;abbr-1&gt;Physiological reports&lt;/abbr-1&gt;&lt;/periodical&gt;&lt;alt-periodical&gt;&lt;full-title&gt;Physiol Rep&lt;/full-title&gt;&lt;abbr-1&gt;Physiological reports&lt;/abbr-1&gt;&lt;/alt-periodical&gt;&lt;volume&gt;5&lt;/volume&gt;&lt;number&gt;16&lt;/number&gt;&lt;edition&gt;2017/09/05&lt;/edition&gt;&lt;keywords&gt;&lt;keyword&gt;E-cigarettes&lt;/keyword&gt;&lt;keyword&gt;cytokines&lt;/keyword&gt;&lt;keyword&gt;inflammation&lt;/keyword&gt;&lt;keyword&gt;macrophages&lt;/keyword&gt;&lt;keyword&gt;phagocytosis&lt;/keyword&gt;&lt;/keywords&gt;&lt;dates&gt;&lt;year&gt;2017&lt;/year&gt;&lt;pub-dates&gt;&lt;date&gt;Aug&lt;/date&gt;&lt;/pub-dates&gt;&lt;/dates&gt;&lt;isbn&gt;2051-817x&lt;/isbn&gt;&lt;accession-num&gt;28867672&lt;/accession-num&gt;&lt;urls&gt;&lt;related-urls&gt;&lt;url&gt;https://physoc.onlinelibrary.wiley.com/doi/pdf/10.14814/phy2.13370&lt;/url&gt;&lt;/related-urls&gt;&lt;/urls&gt;&lt;custom2&gt;PMC5582261&lt;/custom2&gt;&lt;electronic-resource-num&gt;10.14814/phy2.13370&lt;/electronic-resource-num&gt;&lt;remote-database-provider&gt;NLM&lt;/remote-database-provider&gt;&lt;language&gt;eng&lt;/language&gt;&lt;/record&gt;&lt;/Cite&gt;&lt;/EndNote&gt;</w:instrText>
          </w:r>
          <w:r>
            <w:rPr>
              <w:rFonts w:eastAsia="Times New Roman" w:cs="Calibri"/>
            </w:rPr>
            <w:fldChar w:fldCharType="separate"/>
          </w:r>
          <w:r>
            <w:rPr>
              <w:rFonts w:eastAsia="Times New Roman" w:cs="Calibri"/>
              <w:noProof/>
            </w:rPr>
            <w:t>(Ween, Whittall et al. 2017)</w:t>
          </w:r>
          <w:r>
            <w:rPr>
              <w:rFonts w:eastAsia="Times New Roman" w:cs="Calibri"/>
            </w:rPr>
            <w:fldChar w:fldCharType="end"/>
          </w:r>
          <w:r w:rsidRPr="00E82402">
            <w:rPr>
              <w:rFonts w:eastAsia="Times New Roman" w:cs="Calibri"/>
            </w:rPr>
            <w:t>. P</w:t>
          </w:r>
          <w:r>
            <w:rPr>
              <w:rFonts w:eastAsia="Times New Roman" w:cs="Calibri"/>
            </w:rPr>
            <w:t>roplyene glycol</w:t>
          </w:r>
          <w:r w:rsidRPr="00E82402">
            <w:rPr>
              <w:rFonts w:eastAsia="Times New Roman" w:cs="Calibri"/>
            </w:rPr>
            <w:t xml:space="preserve"> also decreased IL-1β, MIP-1α, TNFα</w:t>
          </w:r>
          <w:r>
            <w:rPr>
              <w:rFonts w:eastAsia="Times New Roman" w:cs="Calibri"/>
            </w:rPr>
            <w:t xml:space="preserve"> </w:t>
          </w:r>
          <w:r>
            <w:rPr>
              <w:rFonts w:eastAsia="Times New Roman" w:cs="Calibri"/>
            </w:rPr>
            <w:fldChar w:fldCharType="begin"/>
          </w:r>
          <w:r w:rsidR="00903735">
            <w:rPr>
              <w:rFonts w:eastAsia="Times New Roman" w:cs="Calibri"/>
            </w:rPr>
            <w:instrText xml:space="preserve"> ADDIN EN.CITE &lt;EndNote&gt;&lt;Cite&gt;&lt;Author&gt;Ween&lt;/Author&gt;&lt;Year&gt;2017&lt;/Year&gt;&lt;RecNum&gt;12245&lt;/RecNum&gt;&lt;DisplayText&gt;(Ween, Whittall et al. 2017)&lt;/DisplayText&gt;&lt;record&gt;&lt;rec-number&gt;12245&lt;/rec-number&gt;&lt;foreign-keys&gt;&lt;key app="EN" db-id="5xv5w5t2bdxtxfezx02xtxdft5rz5ptvvt29" timestamp="1523867925"&gt;12245&lt;/key&gt;&lt;key app="ENWeb" db-id=""&gt;0&lt;/key&gt;&lt;/foreign-keys&gt;&lt;ref-type name="Journal Article"&gt;17&lt;/ref-type&gt;&lt;contributors&gt;&lt;authors&gt;&lt;author&gt;Ween, M. P.&lt;/author&gt;&lt;author&gt;Whittall, J. J.&lt;/author&gt;&lt;author&gt;Hamon, R.&lt;/author&gt;&lt;author&gt;Reynolds, P. N.&lt;/author&gt;&lt;author&gt;Hodge, S. J.&lt;/author&gt;&lt;/authors&gt;&lt;/contributors&gt;&lt;auth-address&gt;Department of Thoracic Medicine, Royal Adelaide Hospital, Adelaide, Australia Miranda.ween@adelaide.edu.au.&amp;#xD;School of Medicine, University of Adelaide, Adelaide, Australia.&amp;#xD;Department of Thoracic Medicine, Royal Adelaide Hospital, Adelaide, Australia.&lt;/auth-address&gt;&lt;titles&gt;&lt;title&gt;Phagocytosis and Inflammation: Exploring the effects of the components of E-cigarette vapor on macrophages&lt;/title&gt;&lt;secondary-title&gt;Physiol Rep&lt;/secondary-title&gt;&lt;alt-title&gt;Physiological reports&lt;/alt-title&gt;&lt;/titles&gt;&lt;periodical&gt;&lt;full-title&gt;Physiol Rep&lt;/full-title&gt;&lt;abbr-1&gt;Physiological reports&lt;/abbr-1&gt;&lt;/periodical&gt;&lt;alt-periodical&gt;&lt;full-title&gt;Physiol Rep&lt;/full-title&gt;&lt;abbr-1&gt;Physiological reports&lt;/abbr-1&gt;&lt;/alt-periodical&gt;&lt;volume&gt;5&lt;/volume&gt;&lt;number&gt;16&lt;/number&gt;&lt;edition&gt;2017/09/05&lt;/edition&gt;&lt;keywords&gt;&lt;keyword&gt;E-cigarettes&lt;/keyword&gt;&lt;keyword&gt;cytokines&lt;/keyword&gt;&lt;keyword&gt;inflammation&lt;/keyword&gt;&lt;keyword&gt;macrophages&lt;/keyword&gt;&lt;keyword&gt;phagocytosis&lt;/keyword&gt;&lt;/keywords&gt;&lt;dates&gt;&lt;year&gt;2017&lt;/year&gt;&lt;pub-dates&gt;&lt;date&gt;Aug&lt;/date&gt;&lt;/pub-dates&gt;&lt;/dates&gt;&lt;isbn&gt;2051-817x&lt;/isbn&gt;&lt;accession-num&gt;28867672&lt;/accession-num&gt;&lt;urls&gt;&lt;related-urls&gt;&lt;url&gt;https://physoc.onlinelibrary.wiley.com/doi/pdf/10.14814/phy2.13370&lt;/url&gt;&lt;/related-urls&gt;&lt;/urls&gt;&lt;custom2&gt;PMC5582261&lt;/custom2&gt;&lt;electronic-resource-num&gt;10.14814/phy2.13370&lt;/electronic-resource-num&gt;&lt;remote-database-provider&gt;NLM&lt;/remote-database-provider&gt;&lt;language&gt;eng&lt;/language&gt;&lt;/record&gt;&lt;/Cite&gt;&lt;/EndNote&gt;</w:instrText>
          </w:r>
          <w:r>
            <w:rPr>
              <w:rFonts w:eastAsia="Times New Roman" w:cs="Calibri"/>
            </w:rPr>
            <w:fldChar w:fldCharType="separate"/>
          </w:r>
          <w:r>
            <w:rPr>
              <w:rFonts w:eastAsia="Times New Roman" w:cs="Calibri"/>
              <w:noProof/>
            </w:rPr>
            <w:t>(Ween, Whittall et al. 2017)</w:t>
          </w:r>
          <w:r>
            <w:rPr>
              <w:rFonts w:eastAsia="Times New Roman" w:cs="Calibri"/>
            </w:rPr>
            <w:fldChar w:fldCharType="end"/>
          </w:r>
          <w:r w:rsidRPr="00E82402">
            <w:rPr>
              <w:rFonts w:eastAsia="Times New Roman" w:cs="Calibri"/>
            </w:rPr>
            <w:t>.</w:t>
          </w:r>
        </w:p>
        <w:p w14:paraId="4F9C60AC" w14:textId="77777777" w:rsidR="00A74D41" w:rsidRDefault="00A74D41" w:rsidP="00A74D41">
          <w:pPr>
            <w:pStyle w:val="BodyText"/>
          </w:pPr>
          <w:r>
            <w:t>These studies show that e-cigarette flavours have different effects on inflammatory response. This highlights the difficulty of generalisation of the impact of e-cigarettes on specific inflammatory response.</w:t>
          </w:r>
        </w:p>
        <w:p w14:paraId="3D357682" w14:textId="77777777" w:rsidR="00A74D41" w:rsidRDefault="00A74D41" w:rsidP="00A74D41">
          <w:pPr>
            <w:pStyle w:val="BodyText"/>
            <w:rPr>
              <w:rFonts w:eastAsia="Times New Roman" w:cs="Calibri"/>
            </w:rPr>
          </w:pPr>
        </w:p>
        <w:p w14:paraId="471032C4" w14:textId="77777777" w:rsidR="00A74D41" w:rsidRPr="005A0F85" w:rsidRDefault="00A74D41" w:rsidP="00A74D41">
          <w:pPr>
            <w:pStyle w:val="Heading3"/>
          </w:pPr>
          <w:r w:rsidRPr="005A0F85">
            <w:t>Phagocytosis</w:t>
          </w:r>
        </w:p>
        <w:p w14:paraId="5378655D" w14:textId="77777777" w:rsidR="00A74D41" w:rsidRDefault="00A74D41" w:rsidP="00A74D41">
          <w:pPr>
            <w:pStyle w:val="BodyText"/>
          </w:pPr>
          <w:r>
            <w:t xml:space="preserve">Phagocytosis is the process by which cells ingest bacteria or other material. In one in vitro study, </w:t>
          </w:r>
          <w:r w:rsidRPr="00E82402">
            <w:t xml:space="preserve">exposure to </w:t>
          </w:r>
          <w:r>
            <w:t>a</w:t>
          </w:r>
          <w:r w:rsidRPr="00E82402">
            <w:t>pple-flavoured e-cigarette</w:t>
          </w:r>
          <w:r>
            <w:t xml:space="preserve"> liquids</w:t>
          </w:r>
          <w:r w:rsidRPr="00E82402">
            <w:t xml:space="preserve"> (with and without nicotine) and cigarette smoke extracts led to decreased phagocytosis</w:t>
          </w:r>
          <w:r>
            <w:t xml:space="preserve"> by THP-1 macrophages </w:t>
          </w:r>
          <w:r>
            <w:fldChar w:fldCharType="begin"/>
          </w:r>
          <w:r w:rsidR="00903735">
            <w:instrText xml:space="preserve"> ADDIN EN.CITE &lt;EndNote&gt;&lt;Cite&gt;&lt;Author&gt;Ween&lt;/Author&gt;&lt;Year&gt;2017&lt;/Year&gt;&lt;RecNum&gt;12245&lt;/RecNum&gt;&lt;DisplayText&gt;(Ween, Whittall et al. 2017)&lt;/DisplayText&gt;&lt;record&gt;&lt;rec-number&gt;12245&lt;/rec-number&gt;&lt;foreign-keys&gt;&lt;key app="EN" db-id="5xv5w5t2bdxtxfezx02xtxdft5rz5ptvvt29" timestamp="1523867925"&gt;12245&lt;/key&gt;&lt;key app="ENWeb" db-id=""&gt;0&lt;/key&gt;&lt;/foreign-keys&gt;&lt;ref-type name="Journal Article"&gt;17&lt;/ref-type&gt;&lt;contributors&gt;&lt;authors&gt;&lt;author&gt;Ween, M. P.&lt;/author&gt;&lt;author&gt;Whittall, J. J.&lt;/author&gt;&lt;author&gt;Hamon, R.&lt;/author&gt;&lt;author&gt;Reynolds, P. N.&lt;/author&gt;&lt;author&gt;Hodge, S. J.&lt;/author&gt;&lt;/authors&gt;&lt;/contributors&gt;&lt;auth-address&gt;Department of Thoracic Medicine, Royal Adelaide Hospital, Adelaide, Australia Miranda.ween@adelaide.edu.au.&amp;#xD;School of Medicine, University of Adelaide, Adelaide, Australia.&amp;#xD;Department of Thoracic Medicine, Royal Adelaide Hospital, Adelaide, Australia.&lt;/auth-address&gt;&lt;titles&gt;&lt;title&gt;Phagocytosis and Inflammation: Exploring the effects of the components of E-cigarette vapor on macrophages&lt;/title&gt;&lt;secondary-title&gt;Physiol Rep&lt;/secondary-title&gt;&lt;alt-title&gt;Physiological reports&lt;/alt-title&gt;&lt;/titles&gt;&lt;periodical&gt;&lt;full-title&gt;Physiol Rep&lt;/full-title&gt;&lt;abbr-1&gt;Physiological reports&lt;/abbr-1&gt;&lt;/periodical&gt;&lt;alt-periodical&gt;&lt;full-title&gt;Physiol Rep&lt;/full-title&gt;&lt;abbr-1&gt;Physiological reports&lt;/abbr-1&gt;&lt;/alt-periodical&gt;&lt;volume&gt;5&lt;/volume&gt;&lt;number&gt;16&lt;/number&gt;&lt;edition&gt;2017/09/05&lt;/edition&gt;&lt;keywords&gt;&lt;keyword&gt;E-cigarettes&lt;/keyword&gt;&lt;keyword&gt;cytokines&lt;/keyword&gt;&lt;keyword&gt;inflammation&lt;/keyword&gt;&lt;keyword&gt;macrophages&lt;/keyword&gt;&lt;keyword&gt;phagocytosis&lt;/keyword&gt;&lt;/keywords&gt;&lt;dates&gt;&lt;year&gt;2017&lt;/year&gt;&lt;pub-dates&gt;&lt;date&gt;Aug&lt;/date&gt;&lt;/pub-dates&gt;&lt;/dates&gt;&lt;isbn&gt;2051-817x&lt;/isbn&gt;&lt;accession-num&gt;28867672&lt;/accession-num&gt;&lt;urls&gt;&lt;related-urls&gt;&lt;url&gt;https://physoc.onlinelibrary.wiley.com/doi/pdf/10.14814/phy2.13370&lt;/url&gt;&lt;/related-urls&gt;&lt;/urls&gt;&lt;custom2&gt;PMC5582261&lt;/custom2&gt;&lt;electronic-resource-num&gt;10.14814/phy2.13370&lt;/electronic-resource-num&gt;&lt;remote-database-provider&gt;NLM&lt;/remote-database-provider&gt;&lt;language&gt;eng&lt;/language&gt;&lt;/record&gt;&lt;/Cite&gt;&lt;/EndNote&gt;</w:instrText>
          </w:r>
          <w:r>
            <w:fldChar w:fldCharType="separate"/>
          </w:r>
          <w:r>
            <w:rPr>
              <w:noProof/>
            </w:rPr>
            <w:t>(Ween, Whittall et al. 2017)</w:t>
          </w:r>
          <w:r>
            <w:fldChar w:fldCharType="end"/>
          </w:r>
          <w:r w:rsidRPr="00E82402">
            <w:t>.</w:t>
          </w:r>
          <w:r>
            <w:t xml:space="preserve"> Additionally, flavoured e-cigarette liquids and nicotine</w:t>
          </w:r>
          <w:r w:rsidRPr="00E82402">
            <w:t xml:space="preserve"> reduced expression of </w:t>
          </w:r>
          <w:r>
            <w:t>a</w:t>
          </w:r>
          <w:r w:rsidRPr="00E82402">
            <w:t xml:space="preserve"> phagocytosis receptor</w:t>
          </w:r>
          <w:r>
            <w:t xml:space="preserve"> </w:t>
          </w:r>
          <w:r>
            <w:fldChar w:fldCharType="begin"/>
          </w:r>
          <w:r w:rsidR="00903735">
            <w:instrText xml:space="preserve"> ADDIN EN.CITE &lt;EndNote&gt;&lt;Cite&gt;&lt;Author&gt;Ween&lt;/Author&gt;&lt;Year&gt;2017&lt;/Year&gt;&lt;RecNum&gt;12245&lt;/RecNum&gt;&lt;DisplayText&gt;(Ween, Whittall et al. 2017)&lt;/DisplayText&gt;&lt;record&gt;&lt;rec-number&gt;12245&lt;/rec-number&gt;&lt;foreign-keys&gt;&lt;key app="EN" db-id="5xv5w5t2bdxtxfezx02xtxdft5rz5ptvvt29" timestamp="1523867925"&gt;12245&lt;/key&gt;&lt;key app="ENWeb" db-id=""&gt;0&lt;/key&gt;&lt;/foreign-keys&gt;&lt;ref-type name="Journal Article"&gt;17&lt;/ref-type&gt;&lt;contributors&gt;&lt;authors&gt;&lt;author&gt;Ween, M. P.&lt;/author&gt;&lt;author&gt;Whittall, J. J.&lt;/author&gt;&lt;author&gt;Hamon, R.&lt;/author&gt;&lt;author&gt;Reynolds, P. N.&lt;/author&gt;&lt;author&gt;Hodge, S. J.&lt;/author&gt;&lt;/authors&gt;&lt;/contributors&gt;&lt;auth-address&gt;Department of Thoracic Medicine, Royal Adelaide Hospital, Adelaide, Australia Miranda.ween@adelaide.edu.au.&amp;#xD;School of Medicine, University of Adelaide, Adelaide, Australia.&amp;#xD;Department of Thoracic Medicine, Royal Adelaide Hospital, Adelaide, Australia.&lt;/auth-address&gt;&lt;titles&gt;&lt;title&gt;Phagocytosis and Inflammation: Exploring the effects of the components of E-cigarette vapor on macrophages&lt;/title&gt;&lt;secondary-title&gt;Physiol Rep&lt;/secondary-title&gt;&lt;alt-title&gt;Physiological reports&lt;/alt-title&gt;&lt;/titles&gt;&lt;periodical&gt;&lt;full-title&gt;Physiol Rep&lt;/full-title&gt;&lt;abbr-1&gt;Physiological reports&lt;/abbr-1&gt;&lt;/periodical&gt;&lt;alt-periodical&gt;&lt;full-title&gt;Physiol Rep&lt;/full-title&gt;&lt;abbr-1&gt;Physiological reports&lt;/abbr-1&gt;&lt;/alt-periodical&gt;&lt;volume&gt;5&lt;/volume&gt;&lt;number&gt;16&lt;/number&gt;&lt;edition&gt;2017/09/05&lt;/edition&gt;&lt;keywords&gt;&lt;keyword&gt;E-cigarettes&lt;/keyword&gt;&lt;keyword&gt;cytokines&lt;/keyword&gt;&lt;keyword&gt;inflammation&lt;/keyword&gt;&lt;keyword&gt;macrophages&lt;/keyword&gt;&lt;keyword&gt;phagocytosis&lt;/keyword&gt;&lt;/keywords&gt;&lt;dates&gt;&lt;year&gt;2017&lt;/year&gt;&lt;pub-dates&gt;&lt;date&gt;Aug&lt;/date&gt;&lt;/pub-dates&gt;&lt;/dates&gt;&lt;isbn&gt;2051-817x&lt;/isbn&gt;&lt;accession-num&gt;28867672&lt;/accession-num&gt;&lt;urls&gt;&lt;related-urls&gt;&lt;url&gt;https://physoc.onlinelibrary.wiley.com/doi/pdf/10.14814/phy2.13370&lt;/url&gt;&lt;/related-urls&gt;&lt;/urls&gt;&lt;custom2&gt;PMC5582261&lt;/custom2&gt;&lt;electronic-resource-num&gt;10.14814/phy2.13370&lt;/electronic-resource-num&gt;&lt;remote-database-provider&gt;NLM&lt;/remote-database-provider&gt;&lt;language&gt;eng&lt;/language&gt;&lt;/record&gt;&lt;/Cite&gt;&lt;/EndNote&gt;</w:instrText>
          </w:r>
          <w:r>
            <w:fldChar w:fldCharType="separate"/>
          </w:r>
          <w:r>
            <w:rPr>
              <w:noProof/>
            </w:rPr>
            <w:t>(Ween, Whittall et al. 2017)</w:t>
          </w:r>
          <w:r>
            <w:fldChar w:fldCharType="end"/>
          </w:r>
          <w:r w:rsidRPr="00E82402">
            <w:t xml:space="preserve">. </w:t>
          </w:r>
        </w:p>
        <w:p w14:paraId="3735421F" w14:textId="77777777" w:rsidR="00A74D41" w:rsidRDefault="00A74D41" w:rsidP="00A74D41">
          <w:pPr>
            <w:pStyle w:val="BodyText"/>
          </w:pPr>
          <w:r>
            <w:t xml:space="preserve">Another study investigated the impact of different e-cigarette flavours on alveolar macrophages, neutrophils and natural killer (NK) cells </w:t>
          </w:r>
          <w:r>
            <w:fldChar w:fldCharType="begin">
              <w:fldData xml:space="preserve">PEVuZE5vdGU+PENpdGU+PEF1dGhvcj5DbGFwcDwvQXV0aG9yPjxZZWFyPjIwMTc8L1llYXI+PFJl
Y051bT4xMTU1PC9SZWNOdW0+PERpc3BsYXlUZXh0PihDbGFwcCwgUGF3bGFrIGV0IGFsLiAyMDE3
KTwvRGlzcGxheVRleHQ+PHJlY29yZD48cmVjLW51bWJlcj4xMTU1PC9yZWMtbnVtYmVyPjxmb3Jl
aWduLWtleXM+PGtleSBhcHA9IkVOIiBkYi1pZD0iOXowNWR6MHByYWFkZnVlZTB6b3h6ZWRrOXpm
ZTVmeHg1MHo1IiB0aW1lc3RhbXA9IjE1MjE1MDcwMTMiPjExNTU8L2tleT48a2V5IGFwcD0iRU5X
ZWIiIGRiLWlkPSIiPjA8L2tleT48L2ZvcmVpZ24ta2V5cz48cmVmLXR5cGUgbmFtZT0iSm91cm5h
bCBBcnRpY2xlIj4xNzwvcmVmLXR5cGU+PGNvbnRyaWJ1dG9ycz48YXV0aG9ycz48YXV0aG9yPkNs
YXBwLCBQLiBXLjwvYXV0aG9yPjxhdXRob3I+UGF3bGFrLCBFLiBBLjwvYXV0aG9yPjxhdXRob3I+
TGFja2V5LCBKLiBULjwvYXV0aG9yPjxhdXRob3I+S2VhdGluZywgSi4gRS48L2F1dGhvcj48YXV0
aG9yPlJlZWJlciwgUy4gTC48L2F1dGhvcj48YXV0aG9yPkdsaXNoLCBHLiBMLjwvYXV0aG9yPjxh
dXRob3I+SmFzcGVycywgSS48L2F1dGhvcj48L2F1dGhvcnM+PC9jb250cmlidXRvcnM+PGF1dGgt
YWRkcmVzcz5DdXJyaWN1bHVtIGluIFRveGljb2xvZ3ksIFNjaG9vbCBvZiBNZWRpY2luZSwgVW5p
dmVyc2l0eSBvZiBOb3J0aCBDYXJvbGluYSwgQ2hhcGVsIEhpbGwsIE5vcnRoIENhcm9saW5hLiYj
eEQ7Q2VudGVyIGZvciBFbnZpcm9ubWVudGFsIE1lZGljaW5lLCBBc3RobWEsIGFuZCBMdW5nIEJp
b2xvZ3ksIFNjaG9vbCBvZiBNZWRpY2luZSwgVW5pdmVyc2l0eSBvZiBOb3J0aCBDYXJvbGluYSwg
Q2hhcGVsIEhpbGwsIE5vcnRoIENhcm9saW5hOyBhbmQuJiN4RDtEZXBhcnRtZW50IG9mIENoZW1p
c3RyeSwgVW5pdmVyc2l0eSBvZiBOb3J0aCBDYXJvbGluYSwgQ2hhcGVsIEhpbGwsIE5vcnRoIENh
cm9saW5hLiYjeEQ7Q3VycmljdWx1bSBpbiBUb3hpY29sb2d5LCBTY2hvb2wgb2YgTWVkaWNpbmUs
IFVuaXZlcnNpdHkgb2YgTm9ydGggQ2Fyb2xpbmEsIENoYXBlbCBIaWxsLCBOb3J0aCBDYXJvbGlu
YTsgaWxvbmFfamFzcGVyc0BtZWQudW5jLmVkdS48L2F1dGgtYWRkcmVzcz48dGl0bGVzPjx0aXRs
ZT5GbGF2b3JlZCBlLWNpZ2FyZXR0ZSBsaXF1aWRzIGFuZCBjaW5uYW1hbGRlaHlkZSBpbXBhaXIg
cmVzcGlyYXRvcnkgaW5uYXRlIGltbXVuZSBjZWxsIGZ1bmN0aW9uPC90aXRsZT48c2Vjb25kYXJ5
LXRpdGxlPkFtIEogUGh5c2lvbCBMdW5nIENlbGwgTW9sIFBoeXNpb2w8L3NlY29uZGFyeS10aXRs
ZT48YWx0LXRpdGxlPkFtZXJpY2FuIGpvdXJuYWwgb2YgcGh5c2lvbG9neS4gTHVuZyBjZWxsdWxh
ciBhbmQgbW9sZWN1bGFyIHBoeXNpb2xvZ3k8L2FsdC10aXRsZT48L3RpdGxlcz48cGVyaW9kaWNh
bD48ZnVsbC10aXRsZT5BbSBKIFBoeXNpb2wgTHVuZyBDZWxsIE1vbCBQaHlzaW9sPC9mdWxsLXRp
dGxlPjxhYmJyLTE+QW1lcmljYW4gam91cm5hbCBvZiBwaHlzaW9sb2d5LiBMdW5nIGNlbGx1bGFy
IGFuZCBtb2xlY3VsYXIgcGh5c2lvbG9neTwvYWJici0xPjwvcGVyaW9kaWNhbD48YWx0LXBlcmlv
ZGljYWw+PGZ1bGwtdGl0bGU+QW0gSiBQaHlzaW9sIEx1bmcgQ2VsbCBNb2wgUGh5c2lvbDwvZnVs
bC10aXRsZT48YWJici0xPkFtZXJpY2FuIGpvdXJuYWwgb2YgcGh5c2lvbG9neS4gTHVuZyBjZWxs
dWxhciBhbmQgbW9sZWN1bGFyIHBoeXNpb2xvZ3k8L2FiYnItMT48L2FsdC1wZXJpb2RpY2FsPjxw
YWdlcz5MMjc4LWwyOTI8L3BhZ2VzPjx2b2x1bWU+MzEzPC92b2x1bWU+PG51bWJlcj4yPC9udW1i
ZXI+PGVkaXRpb24+MjAxNy8wNS8xMzwvZWRpdGlvbj48a2V5d29yZHM+PGtleXdvcmQ+QWNyb2xl
aW4vYWR2ZXJzZSBlZmZlY3RzLyphbmFsb2dzICZhbXA7IGRlcml2YXRpdmVzPC9rZXl3b3JkPjxr
ZXl3b3JkPkFkb2xlc2NlbnQ8L2tleXdvcmQ+PGtleXdvcmQ+QWR1bHQ8L2tleXdvcmQ+PGtleXdv
cmQ+RWxlY3Ryb25pYyBOaWNvdGluZSBEZWxpdmVyeSBTeXN0ZW1zLyphZHZlcnNlIGVmZmVjdHM8
L2tleXdvcmQ+PGtleXdvcmQ+RmVtYWxlPC9rZXl3b3JkPjxrZXl3b3JkPkh1bWFuczwva2V5d29y
ZD48a2V5d29yZD5JbW11bml0eSwgSW5uYXRlLypkcnVnIGVmZmVjdHM8L2tleXdvcmQ+PGtleXdv
cmQ+SW5mbGFtbWF0aW9uL2NoZW1pY2FsbHkgaW5kdWNlZDwva2V5d29yZD48a2V5d29yZD5LaWxs
ZXIgQ2VsbHMsIE5hdHVyYWwvZHJ1ZyBlZmZlY3RzPC9rZXl3b3JkPjxrZXl3b3JkPk1hY3JvcGhh
Z2VzL2RydWcgZWZmZWN0czwva2V5d29yZD48a2V5d29yZD5NYWxlPC9rZXl3b3JkPjxrZXl3b3Jk
Pk1pZGRsZSBBZ2VkPC9rZXl3b3JkPjxrZXl3b3JkPk5ldXRyb3BoaWxzL2RydWcgZWZmZWN0czwv
a2V5d29yZD48a2V5d29yZD5OaWNvdGluZS9hZHZlcnNlIGVmZmVjdHM8L2tleXdvcmQ+PGtleXdv
cmQ+UGhhZ29jeXRvc2lzL2RydWcgZWZmZWN0czwva2V5d29yZD48a2V5d29yZD5Zb3VuZyBBZHVs
dDwva2V5d29yZD48a2V5d29yZD5jaW5uYW1hbGRlaHlkZTwva2V5d29yZD48a2V5d29yZD5lLWNp
Z2FyZXR0ZTwva2V5d29yZD48a2V5d29yZD5lLWxpcXVpZDwva2V5d29yZD48a2V5d29yZD5pbm5h
dGUgaW1tdW5lIGNlbGwgZnVuY3Rpb248L2tleXdvcmQ+PC9rZXl3b3Jkcz48ZGF0ZXM+PHllYXI+
MjAxNzwveWVhcj48cHViLWRhdGVzPjxkYXRlPkF1ZyAxPC9kYXRlPjwvcHViLWRhdGVzPjwvZGF0
ZXM+PGlzYm4+MTA0MC0wNjA1PC9pc2JuPjxhY2Nlc3Npb24tbnVtPjI4NDk1ODU2PC9hY2Nlc3Np
b24tbnVtPjx1cmxzPjwvdXJscz48Y3VzdG9tMj5QTUM1NTgyOTI5PC9jdXN0b20yPjxlbGVjdHJv
bmljLXJlc291cmNlLW51bT4xMC4xMTUyL2FqcGx1bmcuMDA0NTIuMjAxNjwvZWxlY3Ryb25pYy1y
ZXNvdXJjZS1udW0+PHJlbW90ZS1kYXRhYmFzZS1wcm92aWRlcj5OTE08L3JlbW90ZS1kYXRhYmFz
ZS1wcm92aWRlcj48bGFuZ3VhZ2U+ZW5nPC9sYW5ndWFnZT48L3JlY29yZD48L0NpdGU+PC9FbmRO
b3RlPgB=
</w:fldData>
            </w:fldChar>
          </w:r>
          <w:r>
            <w:instrText xml:space="preserve"> ADDIN EN.CITE </w:instrText>
          </w:r>
          <w:r>
            <w:fldChar w:fldCharType="begin">
              <w:fldData xml:space="preserve">PEVuZE5vdGU+PENpdGU+PEF1dGhvcj5DbGFwcDwvQXV0aG9yPjxZZWFyPjIwMTc8L1llYXI+PFJl
Y051bT4xMTU1PC9SZWNOdW0+PERpc3BsYXlUZXh0PihDbGFwcCwgUGF3bGFrIGV0IGFsLiAyMDE3
KTwvRGlzcGxheVRleHQ+PHJlY29yZD48cmVjLW51bWJlcj4xMTU1PC9yZWMtbnVtYmVyPjxmb3Jl
aWduLWtleXM+PGtleSBhcHA9IkVOIiBkYi1pZD0iOXowNWR6MHByYWFkZnVlZTB6b3h6ZWRrOXpm
ZTVmeHg1MHo1IiB0aW1lc3RhbXA9IjE1MjE1MDcwMTMiPjExNTU8L2tleT48a2V5IGFwcD0iRU5X
ZWIiIGRiLWlkPSIiPjA8L2tleT48L2ZvcmVpZ24ta2V5cz48cmVmLXR5cGUgbmFtZT0iSm91cm5h
bCBBcnRpY2xlIj4xNzwvcmVmLXR5cGU+PGNvbnRyaWJ1dG9ycz48YXV0aG9ycz48YXV0aG9yPkNs
YXBwLCBQLiBXLjwvYXV0aG9yPjxhdXRob3I+UGF3bGFrLCBFLiBBLjwvYXV0aG9yPjxhdXRob3I+
TGFja2V5LCBKLiBULjwvYXV0aG9yPjxhdXRob3I+S2VhdGluZywgSi4gRS48L2F1dGhvcj48YXV0
aG9yPlJlZWJlciwgUy4gTC48L2F1dGhvcj48YXV0aG9yPkdsaXNoLCBHLiBMLjwvYXV0aG9yPjxh
dXRob3I+SmFzcGVycywgSS48L2F1dGhvcj48L2F1dGhvcnM+PC9jb250cmlidXRvcnM+PGF1dGgt
YWRkcmVzcz5DdXJyaWN1bHVtIGluIFRveGljb2xvZ3ksIFNjaG9vbCBvZiBNZWRpY2luZSwgVW5p
dmVyc2l0eSBvZiBOb3J0aCBDYXJvbGluYSwgQ2hhcGVsIEhpbGwsIE5vcnRoIENhcm9saW5hLiYj
eEQ7Q2VudGVyIGZvciBFbnZpcm9ubWVudGFsIE1lZGljaW5lLCBBc3RobWEsIGFuZCBMdW5nIEJp
b2xvZ3ksIFNjaG9vbCBvZiBNZWRpY2luZSwgVW5pdmVyc2l0eSBvZiBOb3J0aCBDYXJvbGluYSwg
Q2hhcGVsIEhpbGwsIE5vcnRoIENhcm9saW5hOyBhbmQuJiN4RDtEZXBhcnRtZW50IG9mIENoZW1p
c3RyeSwgVW5pdmVyc2l0eSBvZiBOb3J0aCBDYXJvbGluYSwgQ2hhcGVsIEhpbGwsIE5vcnRoIENh
cm9saW5hLiYjeEQ7Q3VycmljdWx1bSBpbiBUb3hpY29sb2d5LCBTY2hvb2wgb2YgTWVkaWNpbmUs
IFVuaXZlcnNpdHkgb2YgTm9ydGggQ2Fyb2xpbmEsIENoYXBlbCBIaWxsLCBOb3J0aCBDYXJvbGlu
YTsgaWxvbmFfamFzcGVyc0BtZWQudW5jLmVkdS48L2F1dGgtYWRkcmVzcz48dGl0bGVzPjx0aXRs
ZT5GbGF2b3JlZCBlLWNpZ2FyZXR0ZSBsaXF1aWRzIGFuZCBjaW5uYW1hbGRlaHlkZSBpbXBhaXIg
cmVzcGlyYXRvcnkgaW5uYXRlIGltbXVuZSBjZWxsIGZ1bmN0aW9uPC90aXRsZT48c2Vjb25kYXJ5
LXRpdGxlPkFtIEogUGh5c2lvbCBMdW5nIENlbGwgTW9sIFBoeXNpb2w8L3NlY29uZGFyeS10aXRs
ZT48YWx0LXRpdGxlPkFtZXJpY2FuIGpvdXJuYWwgb2YgcGh5c2lvbG9neS4gTHVuZyBjZWxsdWxh
ciBhbmQgbW9sZWN1bGFyIHBoeXNpb2xvZ3k8L2FsdC10aXRsZT48L3RpdGxlcz48cGVyaW9kaWNh
bD48ZnVsbC10aXRsZT5BbSBKIFBoeXNpb2wgTHVuZyBDZWxsIE1vbCBQaHlzaW9sPC9mdWxsLXRp
dGxlPjxhYmJyLTE+QW1lcmljYW4gam91cm5hbCBvZiBwaHlzaW9sb2d5LiBMdW5nIGNlbGx1bGFy
IGFuZCBtb2xlY3VsYXIgcGh5c2lvbG9neTwvYWJici0xPjwvcGVyaW9kaWNhbD48YWx0LXBlcmlv
ZGljYWw+PGZ1bGwtdGl0bGU+QW0gSiBQaHlzaW9sIEx1bmcgQ2VsbCBNb2wgUGh5c2lvbDwvZnVs
bC10aXRsZT48YWJici0xPkFtZXJpY2FuIGpvdXJuYWwgb2YgcGh5c2lvbG9neS4gTHVuZyBjZWxs
dWxhciBhbmQgbW9sZWN1bGFyIHBoeXNpb2xvZ3k8L2FiYnItMT48L2FsdC1wZXJpb2RpY2FsPjxw
YWdlcz5MMjc4LWwyOTI8L3BhZ2VzPjx2b2x1bWU+MzEzPC92b2x1bWU+PG51bWJlcj4yPC9udW1i
ZXI+PGVkaXRpb24+MjAxNy8wNS8xMzwvZWRpdGlvbj48a2V5d29yZHM+PGtleXdvcmQ+QWNyb2xl
aW4vYWR2ZXJzZSBlZmZlY3RzLyphbmFsb2dzICZhbXA7IGRlcml2YXRpdmVzPC9rZXl3b3JkPjxr
ZXl3b3JkPkFkb2xlc2NlbnQ8L2tleXdvcmQ+PGtleXdvcmQ+QWR1bHQ8L2tleXdvcmQ+PGtleXdv
cmQ+RWxlY3Ryb25pYyBOaWNvdGluZSBEZWxpdmVyeSBTeXN0ZW1zLyphZHZlcnNlIGVmZmVjdHM8
L2tleXdvcmQ+PGtleXdvcmQ+RmVtYWxlPC9rZXl3b3JkPjxrZXl3b3JkPkh1bWFuczwva2V5d29y
ZD48a2V5d29yZD5JbW11bml0eSwgSW5uYXRlLypkcnVnIGVmZmVjdHM8L2tleXdvcmQ+PGtleXdv
cmQ+SW5mbGFtbWF0aW9uL2NoZW1pY2FsbHkgaW5kdWNlZDwva2V5d29yZD48a2V5d29yZD5LaWxs
ZXIgQ2VsbHMsIE5hdHVyYWwvZHJ1ZyBlZmZlY3RzPC9rZXl3b3JkPjxrZXl3b3JkPk1hY3JvcGhh
Z2VzL2RydWcgZWZmZWN0czwva2V5d29yZD48a2V5d29yZD5NYWxlPC9rZXl3b3JkPjxrZXl3b3Jk
Pk1pZGRsZSBBZ2VkPC9rZXl3b3JkPjxrZXl3b3JkPk5ldXRyb3BoaWxzL2RydWcgZWZmZWN0czwv
a2V5d29yZD48a2V5d29yZD5OaWNvdGluZS9hZHZlcnNlIGVmZmVjdHM8L2tleXdvcmQ+PGtleXdv
cmQ+UGhhZ29jeXRvc2lzL2RydWcgZWZmZWN0czwva2V5d29yZD48a2V5d29yZD5Zb3VuZyBBZHVs
dDwva2V5d29yZD48a2V5d29yZD5jaW5uYW1hbGRlaHlkZTwva2V5d29yZD48a2V5d29yZD5lLWNp
Z2FyZXR0ZTwva2V5d29yZD48a2V5d29yZD5lLWxpcXVpZDwva2V5d29yZD48a2V5d29yZD5pbm5h
dGUgaW1tdW5lIGNlbGwgZnVuY3Rpb248L2tleXdvcmQ+PC9rZXl3b3Jkcz48ZGF0ZXM+PHllYXI+
MjAxNzwveWVhcj48cHViLWRhdGVzPjxkYXRlPkF1ZyAxPC9kYXRlPjwvcHViLWRhdGVzPjwvZGF0
ZXM+PGlzYm4+MTA0MC0wNjA1PC9pc2JuPjxhY2Nlc3Npb24tbnVtPjI4NDk1ODU2PC9hY2Nlc3Np
b24tbnVtPjx1cmxzPjwvdXJscz48Y3VzdG9tMj5QTUM1NTgyOTI5PC9jdXN0b20yPjxlbGVjdHJv
bmljLXJlc291cmNlLW51bT4xMC4xMTUyL2FqcGx1bmcuMDA0NTIuMjAxNjwvZWxlY3Ryb25pYy1y
ZXNvdXJjZS1udW0+PHJlbW90ZS1kYXRhYmFzZS1wcm92aWRlcj5OTE08L3JlbW90ZS1kYXRhYmFz
ZS1wcm92aWRlcj48bGFuZ3VhZ2U+ZW5nPC9sYW5ndWFnZT48L3JlY29yZD48L0NpdGU+PC9FbmRO
b3RlPgB=
</w:fldData>
            </w:fldChar>
          </w:r>
          <w:r>
            <w:instrText xml:space="preserve"> ADDIN EN.CITE.DATA </w:instrText>
          </w:r>
          <w:r>
            <w:fldChar w:fldCharType="end"/>
          </w:r>
          <w:r>
            <w:fldChar w:fldCharType="separate"/>
          </w:r>
          <w:r>
            <w:rPr>
              <w:noProof/>
            </w:rPr>
            <w:t>(Clapp, Pawlak et al. 2017)</w:t>
          </w:r>
          <w:r>
            <w:fldChar w:fldCharType="end"/>
          </w:r>
          <w:r>
            <w:t>. Out of seven e-cigarette flavours, o</w:t>
          </w:r>
          <w:r w:rsidRPr="006721C0">
            <w:t xml:space="preserve">nly </w:t>
          </w:r>
          <w:r>
            <w:t xml:space="preserve">kola </w:t>
          </w:r>
          <w:r w:rsidRPr="006721C0">
            <w:t xml:space="preserve">and sini-cide led to significant phagocytosis suppression compared with </w:t>
          </w:r>
          <w:r>
            <w:t>propylene glycol</w:t>
          </w:r>
          <w:r w:rsidRPr="005F4525">
            <w:t>/ vegetable glycerin</w:t>
          </w:r>
          <w:r w:rsidRPr="005F4525" w:rsidDel="005F4525">
            <w:t xml:space="preserve"> </w:t>
          </w:r>
          <w:r w:rsidRPr="006721C0">
            <w:t>controls in alveolar macrophages</w:t>
          </w:r>
          <w:r>
            <w:t xml:space="preserve">, which may be due to their cinnamaldehyde component </w:t>
          </w:r>
          <w:r>
            <w:fldChar w:fldCharType="begin">
              <w:fldData xml:space="preserve">PEVuZE5vdGU+PENpdGU+PEF1dGhvcj5DbGFwcDwvQXV0aG9yPjxZZWFyPjIwMTc8L1llYXI+PFJl
Y051bT4xMTU1PC9SZWNOdW0+PERpc3BsYXlUZXh0PihDbGFwcCwgUGF3bGFrIGV0IGFsLiAyMDE3
KTwvRGlzcGxheVRleHQ+PHJlY29yZD48cmVjLW51bWJlcj4xMTU1PC9yZWMtbnVtYmVyPjxmb3Jl
aWduLWtleXM+PGtleSBhcHA9IkVOIiBkYi1pZD0iOXowNWR6MHByYWFkZnVlZTB6b3h6ZWRrOXpm
ZTVmeHg1MHo1IiB0aW1lc3RhbXA9IjE1MjE1MDcwMTMiPjExNTU8L2tleT48a2V5IGFwcD0iRU5X
ZWIiIGRiLWlkPSIiPjA8L2tleT48L2ZvcmVpZ24ta2V5cz48cmVmLXR5cGUgbmFtZT0iSm91cm5h
bCBBcnRpY2xlIj4xNzwvcmVmLXR5cGU+PGNvbnRyaWJ1dG9ycz48YXV0aG9ycz48YXV0aG9yPkNs
YXBwLCBQLiBXLjwvYXV0aG9yPjxhdXRob3I+UGF3bGFrLCBFLiBBLjwvYXV0aG9yPjxhdXRob3I+
TGFja2V5LCBKLiBULjwvYXV0aG9yPjxhdXRob3I+S2VhdGluZywgSi4gRS48L2F1dGhvcj48YXV0
aG9yPlJlZWJlciwgUy4gTC48L2F1dGhvcj48YXV0aG9yPkdsaXNoLCBHLiBMLjwvYXV0aG9yPjxh
dXRob3I+SmFzcGVycywgSS48L2F1dGhvcj48L2F1dGhvcnM+PC9jb250cmlidXRvcnM+PGF1dGgt
YWRkcmVzcz5DdXJyaWN1bHVtIGluIFRveGljb2xvZ3ksIFNjaG9vbCBvZiBNZWRpY2luZSwgVW5p
dmVyc2l0eSBvZiBOb3J0aCBDYXJvbGluYSwgQ2hhcGVsIEhpbGwsIE5vcnRoIENhcm9saW5hLiYj
eEQ7Q2VudGVyIGZvciBFbnZpcm9ubWVudGFsIE1lZGljaW5lLCBBc3RobWEsIGFuZCBMdW5nIEJp
b2xvZ3ksIFNjaG9vbCBvZiBNZWRpY2luZSwgVW5pdmVyc2l0eSBvZiBOb3J0aCBDYXJvbGluYSwg
Q2hhcGVsIEhpbGwsIE5vcnRoIENhcm9saW5hOyBhbmQuJiN4RDtEZXBhcnRtZW50IG9mIENoZW1p
c3RyeSwgVW5pdmVyc2l0eSBvZiBOb3J0aCBDYXJvbGluYSwgQ2hhcGVsIEhpbGwsIE5vcnRoIENh
cm9saW5hLiYjeEQ7Q3VycmljdWx1bSBpbiBUb3hpY29sb2d5LCBTY2hvb2wgb2YgTWVkaWNpbmUs
IFVuaXZlcnNpdHkgb2YgTm9ydGggQ2Fyb2xpbmEsIENoYXBlbCBIaWxsLCBOb3J0aCBDYXJvbGlu
YTsgaWxvbmFfamFzcGVyc0BtZWQudW5jLmVkdS48L2F1dGgtYWRkcmVzcz48dGl0bGVzPjx0aXRs
ZT5GbGF2b3JlZCBlLWNpZ2FyZXR0ZSBsaXF1aWRzIGFuZCBjaW5uYW1hbGRlaHlkZSBpbXBhaXIg
cmVzcGlyYXRvcnkgaW5uYXRlIGltbXVuZSBjZWxsIGZ1bmN0aW9uPC90aXRsZT48c2Vjb25kYXJ5
LXRpdGxlPkFtIEogUGh5c2lvbCBMdW5nIENlbGwgTW9sIFBoeXNpb2w8L3NlY29uZGFyeS10aXRs
ZT48YWx0LXRpdGxlPkFtZXJpY2FuIGpvdXJuYWwgb2YgcGh5c2lvbG9neS4gTHVuZyBjZWxsdWxh
ciBhbmQgbW9sZWN1bGFyIHBoeXNpb2xvZ3k8L2FsdC10aXRsZT48L3RpdGxlcz48cGVyaW9kaWNh
bD48ZnVsbC10aXRsZT5BbSBKIFBoeXNpb2wgTHVuZyBDZWxsIE1vbCBQaHlzaW9sPC9mdWxsLXRp
dGxlPjxhYmJyLTE+QW1lcmljYW4gam91cm5hbCBvZiBwaHlzaW9sb2d5LiBMdW5nIGNlbGx1bGFy
IGFuZCBtb2xlY3VsYXIgcGh5c2lvbG9neTwvYWJici0xPjwvcGVyaW9kaWNhbD48YWx0LXBlcmlv
ZGljYWw+PGZ1bGwtdGl0bGU+QW0gSiBQaHlzaW9sIEx1bmcgQ2VsbCBNb2wgUGh5c2lvbDwvZnVs
bC10aXRsZT48YWJici0xPkFtZXJpY2FuIGpvdXJuYWwgb2YgcGh5c2lvbG9neS4gTHVuZyBjZWxs
dWxhciBhbmQgbW9sZWN1bGFyIHBoeXNpb2xvZ3k8L2FiYnItMT48L2FsdC1wZXJpb2RpY2FsPjxw
YWdlcz5MMjc4LWwyOTI8L3BhZ2VzPjx2b2x1bWU+MzEzPC92b2x1bWU+PG51bWJlcj4yPC9udW1i
ZXI+PGVkaXRpb24+MjAxNy8wNS8xMzwvZWRpdGlvbj48a2V5d29yZHM+PGtleXdvcmQ+QWNyb2xl
aW4vYWR2ZXJzZSBlZmZlY3RzLyphbmFsb2dzICZhbXA7IGRlcml2YXRpdmVzPC9rZXl3b3JkPjxr
ZXl3b3JkPkFkb2xlc2NlbnQ8L2tleXdvcmQ+PGtleXdvcmQ+QWR1bHQ8L2tleXdvcmQ+PGtleXdv
cmQ+RWxlY3Ryb25pYyBOaWNvdGluZSBEZWxpdmVyeSBTeXN0ZW1zLyphZHZlcnNlIGVmZmVjdHM8
L2tleXdvcmQ+PGtleXdvcmQ+RmVtYWxlPC9rZXl3b3JkPjxrZXl3b3JkPkh1bWFuczwva2V5d29y
ZD48a2V5d29yZD5JbW11bml0eSwgSW5uYXRlLypkcnVnIGVmZmVjdHM8L2tleXdvcmQ+PGtleXdv
cmQ+SW5mbGFtbWF0aW9uL2NoZW1pY2FsbHkgaW5kdWNlZDwva2V5d29yZD48a2V5d29yZD5LaWxs
ZXIgQ2VsbHMsIE5hdHVyYWwvZHJ1ZyBlZmZlY3RzPC9rZXl3b3JkPjxrZXl3b3JkPk1hY3JvcGhh
Z2VzL2RydWcgZWZmZWN0czwva2V5d29yZD48a2V5d29yZD5NYWxlPC9rZXl3b3JkPjxrZXl3b3Jk
Pk1pZGRsZSBBZ2VkPC9rZXl3b3JkPjxrZXl3b3JkPk5ldXRyb3BoaWxzL2RydWcgZWZmZWN0czwv
a2V5d29yZD48a2V5d29yZD5OaWNvdGluZS9hZHZlcnNlIGVmZmVjdHM8L2tleXdvcmQ+PGtleXdv
cmQ+UGhhZ29jeXRvc2lzL2RydWcgZWZmZWN0czwva2V5d29yZD48a2V5d29yZD5Zb3VuZyBBZHVs
dDwva2V5d29yZD48a2V5d29yZD5jaW5uYW1hbGRlaHlkZTwva2V5d29yZD48a2V5d29yZD5lLWNp
Z2FyZXR0ZTwva2V5d29yZD48a2V5d29yZD5lLWxpcXVpZDwva2V5d29yZD48a2V5d29yZD5pbm5h
dGUgaW1tdW5lIGNlbGwgZnVuY3Rpb248L2tleXdvcmQ+PC9rZXl3b3Jkcz48ZGF0ZXM+PHllYXI+
MjAxNzwveWVhcj48cHViLWRhdGVzPjxkYXRlPkF1ZyAxPC9kYXRlPjwvcHViLWRhdGVzPjwvZGF0
ZXM+PGlzYm4+MTA0MC0wNjA1PC9pc2JuPjxhY2Nlc3Npb24tbnVtPjI4NDk1ODU2PC9hY2Nlc3Np
b24tbnVtPjx1cmxzPjwvdXJscz48Y3VzdG9tMj5QTUM1NTgyOTI5PC9jdXN0b20yPjxlbGVjdHJv
bmljLXJlc291cmNlLW51bT4xMC4xMTUyL2FqcGx1bmcuMDA0NTIuMjAxNjwvZWxlY3Ryb25pYy1y
ZXNvdXJjZS1udW0+PHJlbW90ZS1kYXRhYmFzZS1wcm92aWRlcj5OTE08L3JlbW90ZS1kYXRhYmFz
ZS1wcm92aWRlcj48bGFuZ3VhZ2U+ZW5nPC9sYW5ndWFnZT48L3JlY29yZD48L0NpdGU+PC9FbmRO
b3RlPgB=
</w:fldData>
            </w:fldChar>
          </w:r>
          <w:r>
            <w:instrText xml:space="preserve"> ADDIN EN.CITE </w:instrText>
          </w:r>
          <w:r>
            <w:fldChar w:fldCharType="begin">
              <w:fldData xml:space="preserve">PEVuZE5vdGU+PENpdGU+PEF1dGhvcj5DbGFwcDwvQXV0aG9yPjxZZWFyPjIwMTc8L1llYXI+PFJl
Y051bT4xMTU1PC9SZWNOdW0+PERpc3BsYXlUZXh0PihDbGFwcCwgUGF3bGFrIGV0IGFsLiAyMDE3
KTwvRGlzcGxheVRleHQ+PHJlY29yZD48cmVjLW51bWJlcj4xMTU1PC9yZWMtbnVtYmVyPjxmb3Jl
aWduLWtleXM+PGtleSBhcHA9IkVOIiBkYi1pZD0iOXowNWR6MHByYWFkZnVlZTB6b3h6ZWRrOXpm
ZTVmeHg1MHo1IiB0aW1lc3RhbXA9IjE1MjE1MDcwMTMiPjExNTU8L2tleT48a2V5IGFwcD0iRU5X
ZWIiIGRiLWlkPSIiPjA8L2tleT48L2ZvcmVpZ24ta2V5cz48cmVmLXR5cGUgbmFtZT0iSm91cm5h
bCBBcnRpY2xlIj4xNzwvcmVmLXR5cGU+PGNvbnRyaWJ1dG9ycz48YXV0aG9ycz48YXV0aG9yPkNs
YXBwLCBQLiBXLjwvYXV0aG9yPjxhdXRob3I+UGF3bGFrLCBFLiBBLjwvYXV0aG9yPjxhdXRob3I+
TGFja2V5LCBKLiBULjwvYXV0aG9yPjxhdXRob3I+S2VhdGluZywgSi4gRS48L2F1dGhvcj48YXV0
aG9yPlJlZWJlciwgUy4gTC48L2F1dGhvcj48YXV0aG9yPkdsaXNoLCBHLiBMLjwvYXV0aG9yPjxh
dXRob3I+SmFzcGVycywgSS48L2F1dGhvcj48L2F1dGhvcnM+PC9jb250cmlidXRvcnM+PGF1dGgt
YWRkcmVzcz5DdXJyaWN1bHVtIGluIFRveGljb2xvZ3ksIFNjaG9vbCBvZiBNZWRpY2luZSwgVW5p
dmVyc2l0eSBvZiBOb3J0aCBDYXJvbGluYSwgQ2hhcGVsIEhpbGwsIE5vcnRoIENhcm9saW5hLiYj
eEQ7Q2VudGVyIGZvciBFbnZpcm9ubWVudGFsIE1lZGljaW5lLCBBc3RobWEsIGFuZCBMdW5nIEJp
b2xvZ3ksIFNjaG9vbCBvZiBNZWRpY2luZSwgVW5pdmVyc2l0eSBvZiBOb3J0aCBDYXJvbGluYSwg
Q2hhcGVsIEhpbGwsIE5vcnRoIENhcm9saW5hOyBhbmQuJiN4RDtEZXBhcnRtZW50IG9mIENoZW1p
c3RyeSwgVW5pdmVyc2l0eSBvZiBOb3J0aCBDYXJvbGluYSwgQ2hhcGVsIEhpbGwsIE5vcnRoIENh
cm9saW5hLiYjeEQ7Q3VycmljdWx1bSBpbiBUb3hpY29sb2d5LCBTY2hvb2wgb2YgTWVkaWNpbmUs
IFVuaXZlcnNpdHkgb2YgTm9ydGggQ2Fyb2xpbmEsIENoYXBlbCBIaWxsLCBOb3J0aCBDYXJvbGlu
YTsgaWxvbmFfamFzcGVyc0BtZWQudW5jLmVkdS48L2F1dGgtYWRkcmVzcz48dGl0bGVzPjx0aXRs
ZT5GbGF2b3JlZCBlLWNpZ2FyZXR0ZSBsaXF1aWRzIGFuZCBjaW5uYW1hbGRlaHlkZSBpbXBhaXIg
cmVzcGlyYXRvcnkgaW5uYXRlIGltbXVuZSBjZWxsIGZ1bmN0aW9uPC90aXRsZT48c2Vjb25kYXJ5
LXRpdGxlPkFtIEogUGh5c2lvbCBMdW5nIENlbGwgTW9sIFBoeXNpb2w8L3NlY29uZGFyeS10aXRs
ZT48YWx0LXRpdGxlPkFtZXJpY2FuIGpvdXJuYWwgb2YgcGh5c2lvbG9neS4gTHVuZyBjZWxsdWxh
ciBhbmQgbW9sZWN1bGFyIHBoeXNpb2xvZ3k8L2FsdC10aXRsZT48L3RpdGxlcz48cGVyaW9kaWNh
bD48ZnVsbC10aXRsZT5BbSBKIFBoeXNpb2wgTHVuZyBDZWxsIE1vbCBQaHlzaW9sPC9mdWxsLXRp
dGxlPjxhYmJyLTE+QW1lcmljYW4gam91cm5hbCBvZiBwaHlzaW9sb2d5LiBMdW5nIGNlbGx1bGFy
IGFuZCBtb2xlY3VsYXIgcGh5c2lvbG9neTwvYWJici0xPjwvcGVyaW9kaWNhbD48YWx0LXBlcmlv
ZGljYWw+PGZ1bGwtdGl0bGU+QW0gSiBQaHlzaW9sIEx1bmcgQ2VsbCBNb2wgUGh5c2lvbDwvZnVs
bC10aXRsZT48YWJici0xPkFtZXJpY2FuIGpvdXJuYWwgb2YgcGh5c2lvbG9neS4gTHVuZyBjZWxs
dWxhciBhbmQgbW9sZWN1bGFyIHBoeXNpb2xvZ3k8L2FiYnItMT48L2FsdC1wZXJpb2RpY2FsPjxw
YWdlcz5MMjc4LWwyOTI8L3BhZ2VzPjx2b2x1bWU+MzEzPC92b2x1bWU+PG51bWJlcj4yPC9udW1i
ZXI+PGVkaXRpb24+MjAxNy8wNS8xMzwvZWRpdGlvbj48a2V5d29yZHM+PGtleXdvcmQ+QWNyb2xl
aW4vYWR2ZXJzZSBlZmZlY3RzLyphbmFsb2dzICZhbXA7IGRlcml2YXRpdmVzPC9rZXl3b3JkPjxr
ZXl3b3JkPkFkb2xlc2NlbnQ8L2tleXdvcmQ+PGtleXdvcmQ+QWR1bHQ8L2tleXdvcmQ+PGtleXdv
cmQ+RWxlY3Ryb25pYyBOaWNvdGluZSBEZWxpdmVyeSBTeXN0ZW1zLyphZHZlcnNlIGVmZmVjdHM8
L2tleXdvcmQ+PGtleXdvcmQ+RmVtYWxlPC9rZXl3b3JkPjxrZXl3b3JkPkh1bWFuczwva2V5d29y
ZD48a2V5d29yZD5JbW11bml0eSwgSW5uYXRlLypkcnVnIGVmZmVjdHM8L2tleXdvcmQ+PGtleXdv
cmQ+SW5mbGFtbWF0aW9uL2NoZW1pY2FsbHkgaW5kdWNlZDwva2V5d29yZD48a2V5d29yZD5LaWxs
ZXIgQ2VsbHMsIE5hdHVyYWwvZHJ1ZyBlZmZlY3RzPC9rZXl3b3JkPjxrZXl3b3JkPk1hY3JvcGhh
Z2VzL2RydWcgZWZmZWN0czwva2V5d29yZD48a2V5d29yZD5NYWxlPC9rZXl3b3JkPjxrZXl3b3Jk
Pk1pZGRsZSBBZ2VkPC9rZXl3b3JkPjxrZXl3b3JkPk5ldXRyb3BoaWxzL2RydWcgZWZmZWN0czwv
a2V5d29yZD48a2V5d29yZD5OaWNvdGluZS9hZHZlcnNlIGVmZmVjdHM8L2tleXdvcmQ+PGtleXdv
cmQ+UGhhZ29jeXRvc2lzL2RydWcgZWZmZWN0czwva2V5d29yZD48a2V5d29yZD5Zb3VuZyBBZHVs
dDwva2V5d29yZD48a2V5d29yZD5jaW5uYW1hbGRlaHlkZTwva2V5d29yZD48a2V5d29yZD5lLWNp
Z2FyZXR0ZTwva2V5d29yZD48a2V5d29yZD5lLWxpcXVpZDwva2V5d29yZD48a2V5d29yZD5pbm5h
dGUgaW1tdW5lIGNlbGwgZnVuY3Rpb248L2tleXdvcmQ+PC9rZXl3b3Jkcz48ZGF0ZXM+PHllYXI+
MjAxNzwveWVhcj48cHViLWRhdGVzPjxkYXRlPkF1ZyAxPC9kYXRlPjwvcHViLWRhdGVzPjwvZGF0
ZXM+PGlzYm4+MTA0MC0wNjA1PC9pc2JuPjxhY2Nlc3Npb24tbnVtPjI4NDk1ODU2PC9hY2Nlc3Np
b24tbnVtPjx1cmxzPjwvdXJscz48Y3VzdG9tMj5QTUM1NTgyOTI5PC9jdXN0b20yPjxlbGVjdHJv
bmljLXJlc291cmNlLW51bT4xMC4xMTUyL2FqcGx1bmcuMDA0NTIuMjAxNjwvZWxlY3Ryb25pYy1y
ZXNvdXJjZS1udW0+PHJlbW90ZS1kYXRhYmFzZS1wcm92aWRlcj5OTE08L3JlbW90ZS1kYXRhYmFz
ZS1wcm92aWRlcj48bGFuZ3VhZ2U+ZW5nPC9sYW5ndWFnZT48L3JlY29yZD48L0NpdGU+PC9FbmRO
b3RlPgB=
</w:fldData>
            </w:fldChar>
          </w:r>
          <w:r>
            <w:instrText xml:space="preserve"> ADDIN EN.CITE.DATA </w:instrText>
          </w:r>
          <w:r>
            <w:fldChar w:fldCharType="end"/>
          </w:r>
          <w:r>
            <w:fldChar w:fldCharType="separate"/>
          </w:r>
          <w:r>
            <w:rPr>
              <w:noProof/>
            </w:rPr>
            <w:t>(Clapp, Pawlak et al. 2017)</w:t>
          </w:r>
          <w:r>
            <w:fldChar w:fldCharType="end"/>
          </w:r>
          <w:r w:rsidRPr="006721C0">
            <w:t xml:space="preserve">. </w:t>
          </w:r>
          <w:r>
            <w:t>In neutrophil cells, the propylene glycol</w:t>
          </w:r>
          <w:r w:rsidRPr="005F4525">
            <w:t>/ vegetable glycerin</w:t>
          </w:r>
          <w:r w:rsidRPr="006721C0">
            <w:t xml:space="preserve"> and </w:t>
          </w:r>
          <w:r>
            <w:t xml:space="preserve">five </w:t>
          </w:r>
          <w:r w:rsidRPr="006721C0">
            <w:t>of the</w:t>
          </w:r>
          <w:r>
            <w:t xml:space="preserve"> seven</w:t>
          </w:r>
          <w:r w:rsidRPr="006721C0">
            <w:t xml:space="preserve"> experimenta</w:t>
          </w:r>
          <w:r>
            <w:t>l flavours reduced phagocytosis</w:t>
          </w:r>
          <w:r w:rsidRPr="006721C0">
            <w:t xml:space="preserve"> in a dose</w:t>
          </w:r>
          <w:r>
            <w:noBreakHyphen/>
          </w:r>
          <w:r w:rsidRPr="006721C0">
            <w:t>dependent manner</w:t>
          </w:r>
          <w:r>
            <w:t xml:space="preserve"> </w:t>
          </w:r>
          <w:r>
            <w:fldChar w:fldCharType="begin">
              <w:fldData xml:space="preserve">PEVuZE5vdGU+PENpdGU+PEF1dGhvcj5DbGFwcDwvQXV0aG9yPjxZZWFyPjIwMTc8L1llYXI+PFJl
Y051bT4xMTU1PC9SZWNOdW0+PERpc3BsYXlUZXh0PihDbGFwcCwgUGF3bGFrIGV0IGFsLiAyMDE3
KTwvRGlzcGxheVRleHQ+PHJlY29yZD48cmVjLW51bWJlcj4xMTU1PC9yZWMtbnVtYmVyPjxmb3Jl
aWduLWtleXM+PGtleSBhcHA9IkVOIiBkYi1pZD0iOXowNWR6MHByYWFkZnVlZTB6b3h6ZWRrOXpm
ZTVmeHg1MHo1IiB0aW1lc3RhbXA9IjE1MjE1MDcwMTMiPjExNTU8L2tleT48a2V5IGFwcD0iRU5X
ZWIiIGRiLWlkPSIiPjA8L2tleT48L2ZvcmVpZ24ta2V5cz48cmVmLXR5cGUgbmFtZT0iSm91cm5h
bCBBcnRpY2xlIj4xNzwvcmVmLXR5cGU+PGNvbnRyaWJ1dG9ycz48YXV0aG9ycz48YXV0aG9yPkNs
YXBwLCBQLiBXLjwvYXV0aG9yPjxhdXRob3I+UGF3bGFrLCBFLiBBLjwvYXV0aG9yPjxhdXRob3I+
TGFja2V5LCBKLiBULjwvYXV0aG9yPjxhdXRob3I+S2VhdGluZywgSi4gRS48L2F1dGhvcj48YXV0
aG9yPlJlZWJlciwgUy4gTC48L2F1dGhvcj48YXV0aG9yPkdsaXNoLCBHLiBMLjwvYXV0aG9yPjxh
dXRob3I+SmFzcGVycywgSS48L2F1dGhvcj48L2F1dGhvcnM+PC9jb250cmlidXRvcnM+PGF1dGgt
YWRkcmVzcz5DdXJyaWN1bHVtIGluIFRveGljb2xvZ3ksIFNjaG9vbCBvZiBNZWRpY2luZSwgVW5p
dmVyc2l0eSBvZiBOb3J0aCBDYXJvbGluYSwgQ2hhcGVsIEhpbGwsIE5vcnRoIENhcm9saW5hLiYj
eEQ7Q2VudGVyIGZvciBFbnZpcm9ubWVudGFsIE1lZGljaW5lLCBBc3RobWEsIGFuZCBMdW5nIEJp
b2xvZ3ksIFNjaG9vbCBvZiBNZWRpY2luZSwgVW5pdmVyc2l0eSBvZiBOb3J0aCBDYXJvbGluYSwg
Q2hhcGVsIEhpbGwsIE5vcnRoIENhcm9saW5hOyBhbmQuJiN4RDtEZXBhcnRtZW50IG9mIENoZW1p
c3RyeSwgVW5pdmVyc2l0eSBvZiBOb3J0aCBDYXJvbGluYSwgQ2hhcGVsIEhpbGwsIE5vcnRoIENh
cm9saW5hLiYjeEQ7Q3VycmljdWx1bSBpbiBUb3hpY29sb2d5LCBTY2hvb2wgb2YgTWVkaWNpbmUs
IFVuaXZlcnNpdHkgb2YgTm9ydGggQ2Fyb2xpbmEsIENoYXBlbCBIaWxsLCBOb3J0aCBDYXJvbGlu
YTsgaWxvbmFfamFzcGVyc0BtZWQudW5jLmVkdS48L2F1dGgtYWRkcmVzcz48dGl0bGVzPjx0aXRs
ZT5GbGF2b3JlZCBlLWNpZ2FyZXR0ZSBsaXF1aWRzIGFuZCBjaW5uYW1hbGRlaHlkZSBpbXBhaXIg
cmVzcGlyYXRvcnkgaW5uYXRlIGltbXVuZSBjZWxsIGZ1bmN0aW9uPC90aXRsZT48c2Vjb25kYXJ5
LXRpdGxlPkFtIEogUGh5c2lvbCBMdW5nIENlbGwgTW9sIFBoeXNpb2w8L3NlY29uZGFyeS10aXRs
ZT48YWx0LXRpdGxlPkFtZXJpY2FuIGpvdXJuYWwgb2YgcGh5c2lvbG9neS4gTHVuZyBjZWxsdWxh
ciBhbmQgbW9sZWN1bGFyIHBoeXNpb2xvZ3k8L2FsdC10aXRsZT48L3RpdGxlcz48cGVyaW9kaWNh
bD48ZnVsbC10aXRsZT5BbSBKIFBoeXNpb2wgTHVuZyBDZWxsIE1vbCBQaHlzaW9sPC9mdWxsLXRp
dGxlPjxhYmJyLTE+QW1lcmljYW4gam91cm5hbCBvZiBwaHlzaW9sb2d5LiBMdW5nIGNlbGx1bGFy
IGFuZCBtb2xlY3VsYXIgcGh5c2lvbG9neTwvYWJici0xPjwvcGVyaW9kaWNhbD48YWx0LXBlcmlv
ZGljYWw+PGZ1bGwtdGl0bGU+QW0gSiBQaHlzaW9sIEx1bmcgQ2VsbCBNb2wgUGh5c2lvbDwvZnVs
bC10aXRsZT48YWJici0xPkFtZXJpY2FuIGpvdXJuYWwgb2YgcGh5c2lvbG9neS4gTHVuZyBjZWxs
dWxhciBhbmQgbW9sZWN1bGFyIHBoeXNpb2xvZ3k8L2FiYnItMT48L2FsdC1wZXJpb2RpY2FsPjxw
YWdlcz5MMjc4LWwyOTI8L3BhZ2VzPjx2b2x1bWU+MzEzPC92b2x1bWU+PG51bWJlcj4yPC9udW1i
ZXI+PGVkaXRpb24+MjAxNy8wNS8xMzwvZWRpdGlvbj48a2V5d29yZHM+PGtleXdvcmQ+QWNyb2xl
aW4vYWR2ZXJzZSBlZmZlY3RzLyphbmFsb2dzICZhbXA7IGRlcml2YXRpdmVzPC9rZXl3b3JkPjxr
ZXl3b3JkPkFkb2xlc2NlbnQ8L2tleXdvcmQ+PGtleXdvcmQ+QWR1bHQ8L2tleXdvcmQ+PGtleXdv
cmQ+RWxlY3Ryb25pYyBOaWNvdGluZSBEZWxpdmVyeSBTeXN0ZW1zLyphZHZlcnNlIGVmZmVjdHM8
L2tleXdvcmQ+PGtleXdvcmQ+RmVtYWxlPC9rZXl3b3JkPjxrZXl3b3JkPkh1bWFuczwva2V5d29y
ZD48a2V5d29yZD5JbW11bml0eSwgSW5uYXRlLypkcnVnIGVmZmVjdHM8L2tleXdvcmQ+PGtleXdv
cmQ+SW5mbGFtbWF0aW9uL2NoZW1pY2FsbHkgaW5kdWNlZDwva2V5d29yZD48a2V5d29yZD5LaWxs
ZXIgQ2VsbHMsIE5hdHVyYWwvZHJ1ZyBlZmZlY3RzPC9rZXl3b3JkPjxrZXl3b3JkPk1hY3JvcGhh
Z2VzL2RydWcgZWZmZWN0czwva2V5d29yZD48a2V5d29yZD5NYWxlPC9rZXl3b3JkPjxrZXl3b3Jk
Pk1pZGRsZSBBZ2VkPC9rZXl3b3JkPjxrZXl3b3JkPk5ldXRyb3BoaWxzL2RydWcgZWZmZWN0czwv
a2V5d29yZD48a2V5d29yZD5OaWNvdGluZS9hZHZlcnNlIGVmZmVjdHM8L2tleXdvcmQ+PGtleXdv
cmQ+UGhhZ29jeXRvc2lzL2RydWcgZWZmZWN0czwva2V5d29yZD48a2V5d29yZD5Zb3VuZyBBZHVs
dDwva2V5d29yZD48a2V5d29yZD5jaW5uYW1hbGRlaHlkZTwva2V5d29yZD48a2V5d29yZD5lLWNp
Z2FyZXR0ZTwva2V5d29yZD48a2V5d29yZD5lLWxpcXVpZDwva2V5d29yZD48a2V5d29yZD5pbm5h
dGUgaW1tdW5lIGNlbGwgZnVuY3Rpb248L2tleXdvcmQ+PC9rZXl3b3Jkcz48ZGF0ZXM+PHllYXI+
MjAxNzwveWVhcj48cHViLWRhdGVzPjxkYXRlPkF1ZyAxPC9kYXRlPjwvcHViLWRhdGVzPjwvZGF0
ZXM+PGlzYm4+MTA0MC0wNjA1PC9pc2JuPjxhY2Nlc3Npb24tbnVtPjI4NDk1ODU2PC9hY2Nlc3Np
b24tbnVtPjx1cmxzPjwvdXJscz48Y3VzdG9tMj5QTUM1NTgyOTI5PC9jdXN0b20yPjxlbGVjdHJv
bmljLXJlc291cmNlLW51bT4xMC4xMTUyL2FqcGx1bmcuMDA0NTIuMjAxNjwvZWxlY3Ryb25pYy1y
ZXNvdXJjZS1udW0+PHJlbW90ZS1kYXRhYmFzZS1wcm92aWRlcj5OTE08L3JlbW90ZS1kYXRhYmFz
ZS1wcm92aWRlcj48bGFuZ3VhZ2U+ZW5nPC9sYW5ndWFnZT48L3JlY29yZD48L0NpdGU+PC9FbmRO
b3RlPgB=
</w:fldData>
            </w:fldChar>
          </w:r>
          <w:r>
            <w:instrText xml:space="preserve"> ADDIN EN.CITE </w:instrText>
          </w:r>
          <w:r>
            <w:fldChar w:fldCharType="begin">
              <w:fldData xml:space="preserve">PEVuZE5vdGU+PENpdGU+PEF1dGhvcj5DbGFwcDwvQXV0aG9yPjxZZWFyPjIwMTc8L1llYXI+PFJl
Y051bT4xMTU1PC9SZWNOdW0+PERpc3BsYXlUZXh0PihDbGFwcCwgUGF3bGFrIGV0IGFsLiAyMDE3
KTwvRGlzcGxheVRleHQ+PHJlY29yZD48cmVjLW51bWJlcj4xMTU1PC9yZWMtbnVtYmVyPjxmb3Jl
aWduLWtleXM+PGtleSBhcHA9IkVOIiBkYi1pZD0iOXowNWR6MHByYWFkZnVlZTB6b3h6ZWRrOXpm
ZTVmeHg1MHo1IiB0aW1lc3RhbXA9IjE1MjE1MDcwMTMiPjExNTU8L2tleT48a2V5IGFwcD0iRU5X
ZWIiIGRiLWlkPSIiPjA8L2tleT48L2ZvcmVpZ24ta2V5cz48cmVmLXR5cGUgbmFtZT0iSm91cm5h
bCBBcnRpY2xlIj4xNzwvcmVmLXR5cGU+PGNvbnRyaWJ1dG9ycz48YXV0aG9ycz48YXV0aG9yPkNs
YXBwLCBQLiBXLjwvYXV0aG9yPjxhdXRob3I+UGF3bGFrLCBFLiBBLjwvYXV0aG9yPjxhdXRob3I+
TGFja2V5LCBKLiBULjwvYXV0aG9yPjxhdXRob3I+S2VhdGluZywgSi4gRS48L2F1dGhvcj48YXV0
aG9yPlJlZWJlciwgUy4gTC48L2F1dGhvcj48YXV0aG9yPkdsaXNoLCBHLiBMLjwvYXV0aG9yPjxh
dXRob3I+SmFzcGVycywgSS48L2F1dGhvcj48L2F1dGhvcnM+PC9jb250cmlidXRvcnM+PGF1dGgt
YWRkcmVzcz5DdXJyaWN1bHVtIGluIFRveGljb2xvZ3ksIFNjaG9vbCBvZiBNZWRpY2luZSwgVW5p
dmVyc2l0eSBvZiBOb3J0aCBDYXJvbGluYSwgQ2hhcGVsIEhpbGwsIE5vcnRoIENhcm9saW5hLiYj
eEQ7Q2VudGVyIGZvciBFbnZpcm9ubWVudGFsIE1lZGljaW5lLCBBc3RobWEsIGFuZCBMdW5nIEJp
b2xvZ3ksIFNjaG9vbCBvZiBNZWRpY2luZSwgVW5pdmVyc2l0eSBvZiBOb3J0aCBDYXJvbGluYSwg
Q2hhcGVsIEhpbGwsIE5vcnRoIENhcm9saW5hOyBhbmQuJiN4RDtEZXBhcnRtZW50IG9mIENoZW1p
c3RyeSwgVW5pdmVyc2l0eSBvZiBOb3J0aCBDYXJvbGluYSwgQ2hhcGVsIEhpbGwsIE5vcnRoIENh
cm9saW5hLiYjeEQ7Q3VycmljdWx1bSBpbiBUb3hpY29sb2d5LCBTY2hvb2wgb2YgTWVkaWNpbmUs
IFVuaXZlcnNpdHkgb2YgTm9ydGggQ2Fyb2xpbmEsIENoYXBlbCBIaWxsLCBOb3J0aCBDYXJvbGlu
YTsgaWxvbmFfamFzcGVyc0BtZWQudW5jLmVkdS48L2F1dGgtYWRkcmVzcz48dGl0bGVzPjx0aXRs
ZT5GbGF2b3JlZCBlLWNpZ2FyZXR0ZSBsaXF1aWRzIGFuZCBjaW5uYW1hbGRlaHlkZSBpbXBhaXIg
cmVzcGlyYXRvcnkgaW5uYXRlIGltbXVuZSBjZWxsIGZ1bmN0aW9uPC90aXRsZT48c2Vjb25kYXJ5
LXRpdGxlPkFtIEogUGh5c2lvbCBMdW5nIENlbGwgTW9sIFBoeXNpb2w8L3NlY29uZGFyeS10aXRs
ZT48YWx0LXRpdGxlPkFtZXJpY2FuIGpvdXJuYWwgb2YgcGh5c2lvbG9neS4gTHVuZyBjZWxsdWxh
ciBhbmQgbW9sZWN1bGFyIHBoeXNpb2xvZ3k8L2FsdC10aXRsZT48L3RpdGxlcz48cGVyaW9kaWNh
bD48ZnVsbC10aXRsZT5BbSBKIFBoeXNpb2wgTHVuZyBDZWxsIE1vbCBQaHlzaW9sPC9mdWxsLXRp
dGxlPjxhYmJyLTE+QW1lcmljYW4gam91cm5hbCBvZiBwaHlzaW9sb2d5LiBMdW5nIGNlbGx1bGFy
IGFuZCBtb2xlY3VsYXIgcGh5c2lvbG9neTwvYWJici0xPjwvcGVyaW9kaWNhbD48YWx0LXBlcmlv
ZGljYWw+PGZ1bGwtdGl0bGU+QW0gSiBQaHlzaW9sIEx1bmcgQ2VsbCBNb2wgUGh5c2lvbDwvZnVs
bC10aXRsZT48YWJici0xPkFtZXJpY2FuIGpvdXJuYWwgb2YgcGh5c2lvbG9neS4gTHVuZyBjZWxs
dWxhciBhbmQgbW9sZWN1bGFyIHBoeXNpb2xvZ3k8L2FiYnItMT48L2FsdC1wZXJpb2RpY2FsPjxw
YWdlcz5MMjc4LWwyOTI8L3BhZ2VzPjx2b2x1bWU+MzEzPC92b2x1bWU+PG51bWJlcj4yPC9udW1i
ZXI+PGVkaXRpb24+MjAxNy8wNS8xMzwvZWRpdGlvbj48a2V5d29yZHM+PGtleXdvcmQ+QWNyb2xl
aW4vYWR2ZXJzZSBlZmZlY3RzLyphbmFsb2dzICZhbXA7IGRlcml2YXRpdmVzPC9rZXl3b3JkPjxr
ZXl3b3JkPkFkb2xlc2NlbnQ8L2tleXdvcmQ+PGtleXdvcmQ+QWR1bHQ8L2tleXdvcmQ+PGtleXdv
cmQ+RWxlY3Ryb25pYyBOaWNvdGluZSBEZWxpdmVyeSBTeXN0ZW1zLyphZHZlcnNlIGVmZmVjdHM8
L2tleXdvcmQ+PGtleXdvcmQ+RmVtYWxlPC9rZXl3b3JkPjxrZXl3b3JkPkh1bWFuczwva2V5d29y
ZD48a2V5d29yZD5JbW11bml0eSwgSW5uYXRlLypkcnVnIGVmZmVjdHM8L2tleXdvcmQ+PGtleXdv
cmQ+SW5mbGFtbWF0aW9uL2NoZW1pY2FsbHkgaW5kdWNlZDwva2V5d29yZD48a2V5d29yZD5LaWxs
ZXIgQ2VsbHMsIE5hdHVyYWwvZHJ1ZyBlZmZlY3RzPC9rZXl3b3JkPjxrZXl3b3JkPk1hY3JvcGhh
Z2VzL2RydWcgZWZmZWN0czwva2V5d29yZD48a2V5d29yZD5NYWxlPC9rZXl3b3JkPjxrZXl3b3Jk
Pk1pZGRsZSBBZ2VkPC9rZXl3b3JkPjxrZXl3b3JkPk5ldXRyb3BoaWxzL2RydWcgZWZmZWN0czwv
a2V5d29yZD48a2V5d29yZD5OaWNvdGluZS9hZHZlcnNlIGVmZmVjdHM8L2tleXdvcmQ+PGtleXdv
cmQ+UGhhZ29jeXRvc2lzL2RydWcgZWZmZWN0czwva2V5d29yZD48a2V5d29yZD5Zb3VuZyBBZHVs
dDwva2V5d29yZD48a2V5d29yZD5jaW5uYW1hbGRlaHlkZTwva2V5d29yZD48a2V5d29yZD5lLWNp
Z2FyZXR0ZTwva2V5d29yZD48a2V5d29yZD5lLWxpcXVpZDwva2V5d29yZD48a2V5d29yZD5pbm5h
dGUgaW1tdW5lIGNlbGwgZnVuY3Rpb248L2tleXdvcmQ+PC9rZXl3b3Jkcz48ZGF0ZXM+PHllYXI+
MjAxNzwveWVhcj48cHViLWRhdGVzPjxkYXRlPkF1ZyAxPC9kYXRlPjwvcHViLWRhdGVzPjwvZGF0
ZXM+PGlzYm4+MTA0MC0wNjA1PC9pc2JuPjxhY2Nlc3Npb24tbnVtPjI4NDk1ODU2PC9hY2Nlc3Np
b24tbnVtPjx1cmxzPjwvdXJscz48Y3VzdG9tMj5QTUM1NTgyOTI5PC9jdXN0b20yPjxlbGVjdHJv
bmljLXJlc291cmNlLW51bT4xMC4xMTUyL2FqcGx1bmcuMDA0NTIuMjAxNjwvZWxlY3Ryb25pYy1y
ZXNvdXJjZS1udW0+PHJlbW90ZS1kYXRhYmFzZS1wcm92aWRlcj5OTE08L3JlbW90ZS1kYXRhYmFz
ZS1wcm92aWRlcj48bGFuZ3VhZ2U+ZW5nPC9sYW5ndWFnZT48L3JlY29yZD48L0NpdGU+PC9FbmRO
b3RlPgB=
</w:fldData>
            </w:fldChar>
          </w:r>
          <w:r>
            <w:instrText xml:space="preserve"> ADDIN EN.CITE.DATA </w:instrText>
          </w:r>
          <w:r>
            <w:fldChar w:fldCharType="end"/>
          </w:r>
          <w:r>
            <w:fldChar w:fldCharType="separate"/>
          </w:r>
          <w:r>
            <w:rPr>
              <w:noProof/>
            </w:rPr>
            <w:t>(Clapp, Pawlak et al. 2017)</w:t>
          </w:r>
          <w:r>
            <w:fldChar w:fldCharType="end"/>
          </w:r>
          <w:r w:rsidRPr="006721C0">
            <w:t xml:space="preserve">. </w:t>
          </w:r>
          <w:r>
            <w:t>Thus, e-cigarettes have the potential to reduce phagocytosis and therefore limit the body’s ability to respond to infection.</w:t>
          </w:r>
        </w:p>
        <w:p w14:paraId="1136791B" w14:textId="77777777" w:rsidR="00A74D41" w:rsidRDefault="00A74D41" w:rsidP="00A74D41">
          <w:pPr>
            <w:pStyle w:val="BodyText"/>
          </w:pPr>
        </w:p>
        <w:p w14:paraId="71D0AC1D" w14:textId="77777777" w:rsidR="00A74D41" w:rsidRPr="0001347A" w:rsidRDefault="00A74D41" w:rsidP="00A74D41">
          <w:pPr>
            <w:pStyle w:val="Heading3"/>
          </w:pPr>
          <w:r w:rsidRPr="0001347A">
            <w:t>Infections</w:t>
          </w:r>
        </w:p>
        <w:p w14:paraId="6D67D449" w14:textId="77777777" w:rsidR="00A74D41" w:rsidRDefault="00A74D41" w:rsidP="00A74D41">
          <w:pPr>
            <w:pStyle w:val="BodyText"/>
          </w:pPr>
          <w:r>
            <w:t>Neutrophil extracellular traps (</w:t>
          </w:r>
          <w:r w:rsidRPr="006721C0">
            <w:t>NET</w:t>
          </w:r>
          <w:r>
            <w:t>) are generated by neutrophils to help control microbial infections. One study examined NET formation and natural killer (NK) cells in neutrophils after exposure to a liquid e-cigarette base (propylene glycol</w:t>
          </w:r>
          <w:r w:rsidRPr="005F4525">
            <w:t>/ vegetable glycerin</w:t>
          </w:r>
          <w:r>
            <w:t>) and liquid flavoured e</w:t>
          </w:r>
          <w:r>
            <w:noBreakHyphen/>
            <w:t>cigarettes. In this study, propylene glycol</w:t>
          </w:r>
          <w:r w:rsidRPr="005F4525">
            <w:t>/ vegetable glycerin</w:t>
          </w:r>
          <w:r w:rsidRPr="005F4525" w:rsidDel="005F4525">
            <w:t xml:space="preserve"> </w:t>
          </w:r>
          <w:r>
            <w:t>(e-cigarette liquid base)</w:t>
          </w:r>
          <w:r w:rsidRPr="006721C0">
            <w:t xml:space="preserve"> did not induce NET formation</w:t>
          </w:r>
          <w:r>
            <w:t xml:space="preserve"> in neutrophils, while</w:t>
          </w:r>
          <w:r w:rsidRPr="006721C0">
            <w:t xml:space="preserve"> Hot Cinnamon Candies suppressed NET formation</w:t>
          </w:r>
          <w:r>
            <w:t xml:space="preserve"> and</w:t>
          </w:r>
          <w:r w:rsidRPr="006721C0">
            <w:t xml:space="preserve"> Kola increased NET formation</w:t>
          </w:r>
          <w:r>
            <w:t xml:space="preserve"> </w:t>
          </w:r>
          <w:r>
            <w:fldChar w:fldCharType="begin">
              <w:fldData xml:space="preserve">PEVuZE5vdGU+PENpdGU+PEF1dGhvcj5DbGFwcDwvQXV0aG9yPjxZZWFyPjIwMTc8L1llYXI+PFJl
Y051bT4xMTU1PC9SZWNOdW0+PERpc3BsYXlUZXh0PihDbGFwcCwgUGF3bGFrIGV0IGFsLiAyMDE3
KTwvRGlzcGxheVRleHQ+PHJlY29yZD48cmVjLW51bWJlcj4xMTU1PC9yZWMtbnVtYmVyPjxmb3Jl
aWduLWtleXM+PGtleSBhcHA9IkVOIiBkYi1pZD0iOXowNWR6MHByYWFkZnVlZTB6b3h6ZWRrOXpm
ZTVmeHg1MHo1IiB0aW1lc3RhbXA9IjE1MjE1MDcwMTMiPjExNTU8L2tleT48a2V5IGFwcD0iRU5X
ZWIiIGRiLWlkPSIiPjA8L2tleT48L2ZvcmVpZ24ta2V5cz48cmVmLXR5cGUgbmFtZT0iSm91cm5h
bCBBcnRpY2xlIj4xNzwvcmVmLXR5cGU+PGNvbnRyaWJ1dG9ycz48YXV0aG9ycz48YXV0aG9yPkNs
YXBwLCBQLiBXLjwvYXV0aG9yPjxhdXRob3I+UGF3bGFrLCBFLiBBLjwvYXV0aG9yPjxhdXRob3I+
TGFja2V5LCBKLiBULjwvYXV0aG9yPjxhdXRob3I+S2VhdGluZywgSi4gRS48L2F1dGhvcj48YXV0
aG9yPlJlZWJlciwgUy4gTC48L2F1dGhvcj48YXV0aG9yPkdsaXNoLCBHLiBMLjwvYXV0aG9yPjxh
dXRob3I+SmFzcGVycywgSS48L2F1dGhvcj48L2F1dGhvcnM+PC9jb250cmlidXRvcnM+PGF1dGgt
YWRkcmVzcz5DdXJyaWN1bHVtIGluIFRveGljb2xvZ3ksIFNjaG9vbCBvZiBNZWRpY2luZSwgVW5p
dmVyc2l0eSBvZiBOb3J0aCBDYXJvbGluYSwgQ2hhcGVsIEhpbGwsIE5vcnRoIENhcm9saW5hLiYj
eEQ7Q2VudGVyIGZvciBFbnZpcm9ubWVudGFsIE1lZGljaW5lLCBBc3RobWEsIGFuZCBMdW5nIEJp
b2xvZ3ksIFNjaG9vbCBvZiBNZWRpY2luZSwgVW5pdmVyc2l0eSBvZiBOb3J0aCBDYXJvbGluYSwg
Q2hhcGVsIEhpbGwsIE5vcnRoIENhcm9saW5hOyBhbmQuJiN4RDtEZXBhcnRtZW50IG9mIENoZW1p
c3RyeSwgVW5pdmVyc2l0eSBvZiBOb3J0aCBDYXJvbGluYSwgQ2hhcGVsIEhpbGwsIE5vcnRoIENh
cm9saW5hLiYjeEQ7Q3VycmljdWx1bSBpbiBUb3hpY29sb2d5LCBTY2hvb2wgb2YgTWVkaWNpbmUs
IFVuaXZlcnNpdHkgb2YgTm9ydGggQ2Fyb2xpbmEsIENoYXBlbCBIaWxsLCBOb3J0aCBDYXJvbGlu
YTsgaWxvbmFfamFzcGVyc0BtZWQudW5jLmVkdS48L2F1dGgtYWRkcmVzcz48dGl0bGVzPjx0aXRs
ZT5GbGF2b3JlZCBlLWNpZ2FyZXR0ZSBsaXF1aWRzIGFuZCBjaW5uYW1hbGRlaHlkZSBpbXBhaXIg
cmVzcGlyYXRvcnkgaW5uYXRlIGltbXVuZSBjZWxsIGZ1bmN0aW9uPC90aXRsZT48c2Vjb25kYXJ5
LXRpdGxlPkFtIEogUGh5c2lvbCBMdW5nIENlbGwgTW9sIFBoeXNpb2w8L3NlY29uZGFyeS10aXRs
ZT48YWx0LXRpdGxlPkFtZXJpY2FuIGpvdXJuYWwgb2YgcGh5c2lvbG9neS4gTHVuZyBjZWxsdWxh
ciBhbmQgbW9sZWN1bGFyIHBoeXNpb2xvZ3k8L2FsdC10aXRsZT48L3RpdGxlcz48cGVyaW9kaWNh
bD48ZnVsbC10aXRsZT5BbSBKIFBoeXNpb2wgTHVuZyBDZWxsIE1vbCBQaHlzaW9sPC9mdWxsLXRp
dGxlPjxhYmJyLTE+QW1lcmljYW4gam91cm5hbCBvZiBwaHlzaW9sb2d5LiBMdW5nIGNlbGx1bGFy
IGFuZCBtb2xlY3VsYXIgcGh5c2lvbG9neTwvYWJici0xPjwvcGVyaW9kaWNhbD48YWx0LXBlcmlv
ZGljYWw+PGZ1bGwtdGl0bGU+QW0gSiBQaHlzaW9sIEx1bmcgQ2VsbCBNb2wgUGh5c2lvbDwvZnVs
bC10aXRsZT48YWJici0xPkFtZXJpY2FuIGpvdXJuYWwgb2YgcGh5c2lvbG9neS4gTHVuZyBjZWxs
dWxhciBhbmQgbW9sZWN1bGFyIHBoeXNpb2xvZ3k8L2FiYnItMT48L2FsdC1wZXJpb2RpY2FsPjxw
YWdlcz5MMjc4LWwyOTI8L3BhZ2VzPjx2b2x1bWU+MzEzPC92b2x1bWU+PG51bWJlcj4yPC9udW1i
ZXI+PGVkaXRpb24+MjAxNy8wNS8xMzwvZWRpdGlvbj48a2V5d29yZHM+PGtleXdvcmQ+QWNyb2xl
aW4vYWR2ZXJzZSBlZmZlY3RzLyphbmFsb2dzICZhbXA7IGRlcml2YXRpdmVzPC9rZXl3b3JkPjxr
ZXl3b3JkPkFkb2xlc2NlbnQ8L2tleXdvcmQ+PGtleXdvcmQ+QWR1bHQ8L2tleXdvcmQ+PGtleXdv
cmQ+RWxlY3Ryb25pYyBOaWNvdGluZSBEZWxpdmVyeSBTeXN0ZW1zLyphZHZlcnNlIGVmZmVjdHM8
L2tleXdvcmQ+PGtleXdvcmQ+RmVtYWxlPC9rZXl3b3JkPjxrZXl3b3JkPkh1bWFuczwva2V5d29y
ZD48a2V5d29yZD5JbW11bml0eSwgSW5uYXRlLypkcnVnIGVmZmVjdHM8L2tleXdvcmQ+PGtleXdv
cmQ+SW5mbGFtbWF0aW9uL2NoZW1pY2FsbHkgaW5kdWNlZDwva2V5d29yZD48a2V5d29yZD5LaWxs
ZXIgQ2VsbHMsIE5hdHVyYWwvZHJ1ZyBlZmZlY3RzPC9rZXl3b3JkPjxrZXl3b3JkPk1hY3JvcGhh
Z2VzL2RydWcgZWZmZWN0czwva2V5d29yZD48a2V5d29yZD5NYWxlPC9rZXl3b3JkPjxrZXl3b3Jk
Pk1pZGRsZSBBZ2VkPC9rZXl3b3JkPjxrZXl3b3JkPk5ldXRyb3BoaWxzL2RydWcgZWZmZWN0czwv
a2V5d29yZD48a2V5d29yZD5OaWNvdGluZS9hZHZlcnNlIGVmZmVjdHM8L2tleXdvcmQ+PGtleXdv
cmQ+UGhhZ29jeXRvc2lzL2RydWcgZWZmZWN0czwva2V5d29yZD48a2V5d29yZD5Zb3VuZyBBZHVs
dDwva2V5d29yZD48a2V5d29yZD5jaW5uYW1hbGRlaHlkZTwva2V5d29yZD48a2V5d29yZD5lLWNp
Z2FyZXR0ZTwva2V5d29yZD48a2V5d29yZD5lLWxpcXVpZDwva2V5d29yZD48a2V5d29yZD5pbm5h
dGUgaW1tdW5lIGNlbGwgZnVuY3Rpb248L2tleXdvcmQ+PC9rZXl3b3Jkcz48ZGF0ZXM+PHllYXI+
MjAxNzwveWVhcj48cHViLWRhdGVzPjxkYXRlPkF1ZyAxPC9kYXRlPjwvcHViLWRhdGVzPjwvZGF0
ZXM+PGlzYm4+MTA0MC0wNjA1PC9pc2JuPjxhY2Nlc3Npb24tbnVtPjI4NDk1ODU2PC9hY2Nlc3Np
b24tbnVtPjx1cmxzPjwvdXJscz48Y3VzdG9tMj5QTUM1NTgyOTI5PC9jdXN0b20yPjxlbGVjdHJv
bmljLXJlc291cmNlLW51bT4xMC4xMTUyL2FqcGx1bmcuMDA0NTIuMjAxNjwvZWxlY3Ryb25pYy1y
ZXNvdXJjZS1udW0+PHJlbW90ZS1kYXRhYmFzZS1wcm92aWRlcj5OTE08L3JlbW90ZS1kYXRhYmFz
ZS1wcm92aWRlcj48bGFuZ3VhZ2U+ZW5nPC9sYW5ndWFnZT48L3JlY29yZD48L0NpdGU+PC9FbmRO
b3RlPgB=
</w:fldData>
            </w:fldChar>
          </w:r>
          <w:r>
            <w:instrText xml:space="preserve"> ADDIN EN.CITE </w:instrText>
          </w:r>
          <w:r>
            <w:fldChar w:fldCharType="begin">
              <w:fldData xml:space="preserve">PEVuZE5vdGU+PENpdGU+PEF1dGhvcj5DbGFwcDwvQXV0aG9yPjxZZWFyPjIwMTc8L1llYXI+PFJl
Y051bT4xMTU1PC9SZWNOdW0+PERpc3BsYXlUZXh0PihDbGFwcCwgUGF3bGFrIGV0IGFsLiAyMDE3
KTwvRGlzcGxheVRleHQ+PHJlY29yZD48cmVjLW51bWJlcj4xMTU1PC9yZWMtbnVtYmVyPjxmb3Jl
aWduLWtleXM+PGtleSBhcHA9IkVOIiBkYi1pZD0iOXowNWR6MHByYWFkZnVlZTB6b3h6ZWRrOXpm
ZTVmeHg1MHo1IiB0aW1lc3RhbXA9IjE1MjE1MDcwMTMiPjExNTU8L2tleT48a2V5IGFwcD0iRU5X
ZWIiIGRiLWlkPSIiPjA8L2tleT48L2ZvcmVpZ24ta2V5cz48cmVmLXR5cGUgbmFtZT0iSm91cm5h
bCBBcnRpY2xlIj4xNzwvcmVmLXR5cGU+PGNvbnRyaWJ1dG9ycz48YXV0aG9ycz48YXV0aG9yPkNs
YXBwLCBQLiBXLjwvYXV0aG9yPjxhdXRob3I+UGF3bGFrLCBFLiBBLjwvYXV0aG9yPjxhdXRob3I+
TGFja2V5LCBKLiBULjwvYXV0aG9yPjxhdXRob3I+S2VhdGluZywgSi4gRS48L2F1dGhvcj48YXV0
aG9yPlJlZWJlciwgUy4gTC48L2F1dGhvcj48YXV0aG9yPkdsaXNoLCBHLiBMLjwvYXV0aG9yPjxh
dXRob3I+SmFzcGVycywgSS48L2F1dGhvcj48L2F1dGhvcnM+PC9jb250cmlidXRvcnM+PGF1dGgt
YWRkcmVzcz5DdXJyaWN1bHVtIGluIFRveGljb2xvZ3ksIFNjaG9vbCBvZiBNZWRpY2luZSwgVW5p
dmVyc2l0eSBvZiBOb3J0aCBDYXJvbGluYSwgQ2hhcGVsIEhpbGwsIE5vcnRoIENhcm9saW5hLiYj
eEQ7Q2VudGVyIGZvciBFbnZpcm9ubWVudGFsIE1lZGljaW5lLCBBc3RobWEsIGFuZCBMdW5nIEJp
b2xvZ3ksIFNjaG9vbCBvZiBNZWRpY2luZSwgVW5pdmVyc2l0eSBvZiBOb3J0aCBDYXJvbGluYSwg
Q2hhcGVsIEhpbGwsIE5vcnRoIENhcm9saW5hOyBhbmQuJiN4RDtEZXBhcnRtZW50IG9mIENoZW1p
c3RyeSwgVW5pdmVyc2l0eSBvZiBOb3J0aCBDYXJvbGluYSwgQ2hhcGVsIEhpbGwsIE5vcnRoIENh
cm9saW5hLiYjeEQ7Q3VycmljdWx1bSBpbiBUb3hpY29sb2d5LCBTY2hvb2wgb2YgTWVkaWNpbmUs
IFVuaXZlcnNpdHkgb2YgTm9ydGggQ2Fyb2xpbmEsIENoYXBlbCBIaWxsLCBOb3J0aCBDYXJvbGlu
YTsgaWxvbmFfamFzcGVyc0BtZWQudW5jLmVkdS48L2F1dGgtYWRkcmVzcz48dGl0bGVzPjx0aXRs
ZT5GbGF2b3JlZCBlLWNpZ2FyZXR0ZSBsaXF1aWRzIGFuZCBjaW5uYW1hbGRlaHlkZSBpbXBhaXIg
cmVzcGlyYXRvcnkgaW5uYXRlIGltbXVuZSBjZWxsIGZ1bmN0aW9uPC90aXRsZT48c2Vjb25kYXJ5
LXRpdGxlPkFtIEogUGh5c2lvbCBMdW5nIENlbGwgTW9sIFBoeXNpb2w8L3NlY29uZGFyeS10aXRs
ZT48YWx0LXRpdGxlPkFtZXJpY2FuIGpvdXJuYWwgb2YgcGh5c2lvbG9neS4gTHVuZyBjZWxsdWxh
ciBhbmQgbW9sZWN1bGFyIHBoeXNpb2xvZ3k8L2FsdC10aXRsZT48L3RpdGxlcz48cGVyaW9kaWNh
bD48ZnVsbC10aXRsZT5BbSBKIFBoeXNpb2wgTHVuZyBDZWxsIE1vbCBQaHlzaW9sPC9mdWxsLXRp
dGxlPjxhYmJyLTE+QW1lcmljYW4gam91cm5hbCBvZiBwaHlzaW9sb2d5LiBMdW5nIGNlbGx1bGFy
IGFuZCBtb2xlY3VsYXIgcGh5c2lvbG9neTwvYWJici0xPjwvcGVyaW9kaWNhbD48YWx0LXBlcmlv
ZGljYWw+PGZ1bGwtdGl0bGU+QW0gSiBQaHlzaW9sIEx1bmcgQ2VsbCBNb2wgUGh5c2lvbDwvZnVs
bC10aXRsZT48YWJici0xPkFtZXJpY2FuIGpvdXJuYWwgb2YgcGh5c2lvbG9neS4gTHVuZyBjZWxs
dWxhciBhbmQgbW9sZWN1bGFyIHBoeXNpb2xvZ3k8L2FiYnItMT48L2FsdC1wZXJpb2RpY2FsPjxw
YWdlcz5MMjc4LWwyOTI8L3BhZ2VzPjx2b2x1bWU+MzEzPC92b2x1bWU+PG51bWJlcj4yPC9udW1i
ZXI+PGVkaXRpb24+MjAxNy8wNS8xMzwvZWRpdGlvbj48a2V5d29yZHM+PGtleXdvcmQ+QWNyb2xl
aW4vYWR2ZXJzZSBlZmZlY3RzLyphbmFsb2dzICZhbXA7IGRlcml2YXRpdmVzPC9rZXl3b3JkPjxr
ZXl3b3JkPkFkb2xlc2NlbnQ8L2tleXdvcmQ+PGtleXdvcmQ+QWR1bHQ8L2tleXdvcmQ+PGtleXdv
cmQ+RWxlY3Ryb25pYyBOaWNvdGluZSBEZWxpdmVyeSBTeXN0ZW1zLyphZHZlcnNlIGVmZmVjdHM8
L2tleXdvcmQ+PGtleXdvcmQ+RmVtYWxlPC9rZXl3b3JkPjxrZXl3b3JkPkh1bWFuczwva2V5d29y
ZD48a2V5d29yZD5JbW11bml0eSwgSW5uYXRlLypkcnVnIGVmZmVjdHM8L2tleXdvcmQ+PGtleXdv
cmQ+SW5mbGFtbWF0aW9uL2NoZW1pY2FsbHkgaW5kdWNlZDwva2V5d29yZD48a2V5d29yZD5LaWxs
ZXIgQ2VsbHMsIE5hdHVyYWwvZHJ1ZyBlZmZlY3RzPC9rZXl3b3JkPjxrZXl3b3JkPk1hY3JvcGhh
Z2VzL2RydWcgZWZmZWN0czwva2V5d29yZD48a2V5d29yZD5NYWxlPC9rZXl3b3JkPjxrZXl3b3Jk
Pk1pZGRsZSBBZ2VkPC9rZXl3b3JkPjxrZXl3b3JkPk5ldXRyb3BoaWxzL2RydWcgZWZmZWN0czwv
a2V5d29yZD48a2V5d29yZD5OaWNvdGluZS9hZHZlcnNlIGVmZmVjdHM8L2tleXdvcmQ+PGtleXdv
cmQ+UGhhZ29jeXRvc2lzL2RydWcgZWZmZWN0czwva2V5d29yZD48a2V5d29yZD5Zb3VuZyBBZHVs
dDwva2V5d29yZD48a2V5d29yZD5jaW5uYW1hbGRlaHlkZTwva2V5d29yZD48a2V5d29yZD5lLWNp
Z2FyZXR0ZTwva2V5d29yZD48a2V5d29yZD5lLWxpcXVpZDwva2V5d29yZD48a2V5d29yZD5pbm5h
dGUgaW1tdW5lIGNlbGwgZnVuY3Rpb248L2tleXdvcmQ+PC9rZXl3b3Jkcz48ZGF0ZXM+PHllYXI+
MjAxNzwveWVhcj48cHViLWRhdGVzPjxkYXRlPkF1ZyAxPC9kYXRlPjwvcHViLWRhdGVzPjwvZGF0
ZXM+PGlzYm4+MTA0MC0wNjA1PC9pc2JuPjxhY2Nlc3Npb24tbnVtPjI4NDk1ODU2PC9hY2Nlc3Np
b24tbnVtPjx1cmxzPjwvdXJscz48Y3VzdG9tMj5QTUM1NTgyOTI5PC9jdXN0b20yPjxlbGVjdHJv
bmljLXJlc291cmNlLW51bT4xMC4xMTUyL2FqcGx1bmcuMDA0NTIuMjAxNjwvZWxlY3Ryb25pYy1y
ZXNvdXJjZS1udW0+PHJlbW90ZS1kYXRhYmFzZS1wcm92aWRlcj5OTE08L3JlbW90ZS1kYXRhYmFz
ZS1wcm92aWRlcj48bGFuZ3VhZ2U+ZW5nPC9sYW5ndWFnZT48L3JlY29yZD48L0NpdGU+PC9FbmRO
b3RlPgB=
</w:fldData>
            </w:fldChar>
          </w:r>
          <w:r>
            <w:instrText xml:space="preserve"> ADDIN EN.CITE.DATA </w:instrText>
          </w:r>
          <w:r>
            <w:fldChar w:fldCharType="end"/>
          </w:r>
          <w:r>
            <w:fldChar w:fldCharType="separate"/>
          </w:r>
          <w:r>
            <w:rPr>
              <w:noProof/>
            </w:rPr>
            <w:t>(Clapp, Pawlak et al. 2017)</w:t>
          </w:r>
          <w:r>
            <w:fldChar w:fldCharType="end"/>
          </w:r>
          <w:r>
            <w:t>.</w:t>
          </w:r>
          <w:r w:rsidRPr="006721C0">
            <w:t xml:space="preserve"> Sini-cide was cytotoxic which meant NET</w:t>
          </w:r>
          <w:r>
            <w:t xml:space="preserve"> formation could not be studied </w:t>
          </w:r>
          <w:r>
            <w:fldChar w:fldCharType="begin">
              <w:fldData xml:space="preserve">PEVuZE5vdGU+PENpdGU+PEF1dGhvcj5DbGFwcDwvQXV0aG9yPjxZZWFyPjIwMTc8L1llYXI+PFJl
Y051bT4xMTU1PC9SZWNOdW0+PERpc3BsYXlUZXh0PihDbGFwcCwgUGF3bGFrIGV0IGFsLiAyMDE3
KTwvRGlzcGxheVRleHQ+PHJlY29yZD48cmVjLW51bWJlcj4xMTU1PC9yZWMtbnVtYmVyPjxmb3Jl
aWduLWtleXM+PGtleSBhcHA9IkVOIiBkYi1pZD0iOXowNWR6MHByYWFkZnVlZTB6b3h6ZWRrOXpm
ZTVmeHg1MHo1IiB0aW1lc3RhbXA9IjE1MjE1MDcwMTMiPjExNTU8L2tleT48a2V5IGFwcD0iRU5X
ZWIiIGRiLWlkPSIiPjA8L2tleT48L2ZvcmVpZ24ta2V5cz48cmVmLXR5cGUgbmFtZT0iSm91cm5h
bCBBcnRpY2xlIj4xNzwvcmVmLXR5cGU+PGNvbnRyaWJ1dG9ycz48YXV0aG9ycz48YXV0aG9yPkNs
YXBwLCBQLiBXLjwvYXV0aG9yPjxhdXRob3I+UGF3bGFrLCBFLiBBLjwvYXV0aG9yPjxhdXRob3I+
TGFja2V5LCBKLiBULjwvYXV0aG9yPjxhdXRob3I+S2VhdGluZywgSi4gRS48L2F1dGhvcj48YXV0
aG9yPlJlZWJlciwgUy4gTC48L2F1dGhvcj48YXV0aG9yPkdsaXNoLCBHLiBMLjwvYXV0aG9yPjxh
dXRob3I+SmFzcGVycywgSS48L2F1dGhvcj48L2F1dGhvcnM+PC9jb250cmlidXRvcnM+PGF1dGgt
YWRkcmVzcz5DdXJyaWN1bHVtIGluIFRveGljb2xvZ3ksIFNjaG9vbCBvZiBNZWRpY2luZSwgVW5p
dmVyc2l0eSBvZiBOb3J0aCBDYXJvbGluYSwgQ2hhcGVsIEhpbGwsIE5vcnRoIENhcm9saW5hLiYj
eEQ7Q2VudGVyIGZvciBFbnZpcm9ubWVudGFsIE1lZGljaW5lLCBBc3RobWEsIGFuZCBMdW5nIEJp
b2xvZ3ksIFNjaG9vbCBvZiBNZWRpY2luZSwgVW5pdmVyc2l0eSBvZiBOb3J0aCBDYXJvbGluYSwg
Q2hhcGVsIEhpbGwsIE5vcnRoIENhcm9saW5hOyBhbmQuJiN4RDtEZXBhcnRtZW50IG9mIENoZW1p
c3RyeSwgVW5pdmVyc2l0eSBvZiBOb3J0aCBDYXJvbGluYSwgQ2hhcGVsIEhpbGwsIE5vcnRoIENh
cm9saW5hLiYjeEQ7Q3VycmljdWx1bSBpbiBUb3hpY29sb2d5LCBTY2hvb2wgb2YgTWVkaWNpbmUs
IFVuaXZlcnNpdHkgb2YgTm9ydGggQ2Fyb2xpbmEsIENoYXBlbCBIaWxsLCBOb3J0aCBDYXJvbGlu
YTsgaWxvbmFfamFzcGVyc0BtZWQudW5jLmVkdS48L2F1dGgtYWRkcmVzcz48dGl0bGVzPjx0aXRs
ZT5GbGF2b3JlZCBlLWNpZ2FyZXR0ZSBsaXF1aWRzIGFuZCBjaW5uYW1hbGRlaHlkZSBpbXBhaXIg
cmVzcGlyYXRvcnkgaW5uYXRlIGltbXVuZSBjZWxsIGZ1bmN0aW9uPC90aXRsZT48c2Vjb25kYXJ5
LXRpdGxlPkFtIEogUGh5c2lvbCBMdW5nIENlbGwgTW9sIFBoeXNpb2w8L3NlY29uZGFyeS10aXRs
ZT48YWx0LXRpdGxlPkFtZXJpY2FuIGpvdXJuYWwgb2YgcGh5c2lvbG9neS4gTHVuZyBjZWxsdWxh
ciBhbmQgbW9sZWN1bGFyIHBoeXNpb2xvZ3k8L2FsdC10aXRsZT48L3RpdGxlcz48cGVyaW9kaWNh
bD48ZnVsbC10aXRsZT5BbSBKIFBoeXNpb2wgTHVuZyBDZWxsIE1vbCBQaHlzaW9sPC9mdWxsLXRp
dGxlPjxhYmJyLTE+QW1lcmljYW4gam91cm5hbCBvZiBwaHlzaW9sb2d5LiBMdW5nIGNlbGx1bGFy
IGFuZCBtb2xlY3VsYXIgcGh5c2lvbG9neTwvYWJici0xPjwvcGVyaW9kaWNhbD48YWx0LXBlcmlv
ZGljYWw+PGZ1bGwtdGl0bGU+QW0gSiBQaHlzaW9sIEx1bmcgQ2VsbCBNb2wgUGh5c2lvbDwvZnVs
bC10aXRsZT48YWJici0xPkFtZXJpY2FuIGpvdXJuYWwgb2YgcGh5c2lvbG9neS4gTHVuZyBjZWxs
dWxhciBhbmQgbW9sZWN1bGFyIHBoeXNpb2xvZ3k8L2FiYnItMT48L2FsdC1wZXJpb2RpY2FsPjxw
YWdlcz5MMjc4LWwyOTI8L3BhZ2VzPjx2b2x1bWU+MzEzPC92b2x1bWU+PG51bWJlcj4yPC9udW1i
ZXI+PGVkaXRpb24+MjAxNy8wNS8xMzwvZWRpdGlvbj48a2V5d29yZHM+PGtleXdvcmQ+QWNyb2xl
aW4vYWR2ZXJzZSBlZmZlY3RzLyphbmFsb2dzICZhbXA7IGRlcml2YXRpdmVzPC9rZXl3b3JkPjxr
ZXl3b3JkPkFkb2xlc2NlbnQ8L2tleXdvcmQ+PGtleXdvcmQ+QWR1bHQ8L2tleXdvcmQ+PGtleXdv
cmQ+RWxlY3Ryb25pYyBOaWNvdGluZSBEZWxpdmVyeSBTeXN0ZW1zLyphZHZlcnNlIGVmZmVjdHM8
L2tleXdvcmQ+PGtleXdvcmQ+RmVtYWxlPC9rZXl3b3JkPjxrZXl3b3JkPkh1bWFuczwva2V5d29y
ZD48a2V5d29yZD5JbW11bml0eSwgSW5uYXRlLypkcnVnIGVmZmVjdHM8L2tleXdvcmQ+PGtleXdv
cmQ+SW5mbGFtbWF0aW9uL2NoZW1pY2FsbHkgaW5kdWNlZDwva2V5d29yZD48a2V5d29yZD5LaWxs
ZXIgQ2VsbHMsIE5hdHVyYWwvZHJ1ZyBlZmZlY3RzPC9rZXl3b3JkPjxrZXl3b3JkPk1hY3JvcGhh
Z2VzL2RydWcgZWZmZWN0czwva2V5d29yZD48a2V5d29yZD5NYWxlPC9rZXl3b3JkPjxrZXl3b3Jk
Pk1pZGRsZSBBZ2VkPC9rZXl3b3JkPjxrZXl3b3JkPk5ldXRyb3BoaWxzL2RydWcgZWZmZWN0czwv
a2V5d29yZD48a2V5d29yZD5OaWNvdGluZS9hZHZlcnNlIGVmZmVjdHM8L2tleXdvcmQ+PGtleXdv
cmQ+UGhhZ29jeXRvc2lzL2RydWcgZWZmZWN0czwva2V5d29yZD48a2V5d29yZD5Zb3VuZyBBZHVs
dDwva2V5d29yZD48a2V5d29yZD5jaW5uYW1hbGRlaHlkZTwva2V5d29yZD48a2V5d29yZD5lLWNp
Z2FyZXR0ZTwva2V5d29yZD48a2V5d29yZD5lLWxpcXVpZDwva2V5d29yZD48a2V5d29yZD5pbm5h
dGUgaW1tdW5lIGNlbGwgZnVuY3Rpb248L2tleXdvcmQ+PC9rZXl3b3Jkcz48ZGF0ZXM+PHllYXI+
MjAxNzwveWVhcj48cHViLWRhdGVzPjxkYXRlPkF1ZyAxPC9kYXRlPjwvcHViLWRhdGVzPjwvZGF0
ZXM+PGlzYm4+MTA0MC0wNjA1PC9pc2JuPjxhY2Nlc3Npb24tbnVtPjI4NDk1ODU2PC9hY2Nlc3Np
b24tbnVtPjx1cmxzPjwvdXJscz48Y3VzdG9tMj5QTUM1NTgyOTI5PC9jdXN0b20yPjxlbGVjdHJv
bmljLXJlc291cmNlLW51bT4xMC4xMTUyL2FqcGx1bmcuMDA0NTIuMjAxNjwvZWxlY3Ryb25pYy1y
ZXNvdXJjZS1udW0+PHJlbW90ZS1kYXRhYmFzZS1wcm92aWRlcj5OTE08L3JlbW90ZS1kYXRhYmFz
ZS1wcm92aWRlcj48bGFuZ3VhZ2U+ZW5nPC9sYW5ndWFnZT48L3JlY29yZD48L0NpdGU+PC9FbmRO
b3RlPgB=
</w:fldData>
            </w:fldChar>
          </w:r>
          <w:r>
            <w:instrText xml:space="preserve"> ADDIN EN.CITE </w:instrText>
          </w:r>
          <w:r>
            <w:fldChar w:fldCharType="begin">
              <w:fldData xml:space="preserve">PEVuZE5vdGU+PENpdGU+PEF1dGhvcj5DbGFwcDwvQXV0aG9yPjxZZWFyPjIwMTc8L1llYXI+PFJl
Y051bT4xMTU1PC9SZWNOdW0+PERpc3BsYXlUZXh0PihDbGFwcCwgUGF3bGFrIGV0IGFsLiAyMDE3
KTwvRGlzcGxheVRleHQ+PHJlY29yZD48cmVjLW51bWJlcj4xMTU1PC9yZWMtbnVtYmVyPjxmb3Jl
aWduLWtleXM+PGtleSBhcHA9IkVOIiBkYi1pZD0iOXowNWR6MHByYWFkZnVlZTB6b3h6ZWRrOXpm
ZTVmeHg1MHo1IiB0aW1lc3RhbXA9IjE1MjE1MDcwMTMiPjExNTU8L2tleT48a2V5IGFwcD0iRU5X
ZWIiIGRiLWlkPSIiPjA8L2tleT48L2ZvcmVpZ24ta2V5cz48cmVmLXR5cGUgbmFtZT0iSm91cm5h
bCBBcnRpY2xlIj4xNzwvcmVmLXR5cGU+PGNvbnRyaWJ1dG9ycz48YXV0aG9ycz48YXV0aG9yPkNs
YXBwLCBQLiBXLjwvYXV0aG9yPjxhdXRob3I+UGF3bGFrLCBFLiBBLjwvYXV0aG9yPjxhdXRob3I+
TGFja2V5LCBKLiBULjwvYXV0aG9yPjxhdXRob3I+S2VhdGluZywgSi4gRS48L2F1dGhvcj48YXV0
aG9yPlJlZWJlciwgUy4gTC48L2F1dGhvcj48YXV0aG9yPkdsaXNoLCBHLiBMLjwvYXV0aG9yPjxh
dXRob3I+SmFzcGVycywgSS48L2F1dGhvcj48L2F1dGhvcnM+PC9jb250cmlidXRvcnM+PGF1dGgt
YWRkcmVzcz5DdXJyaWN1bHVtIGluIFRveGljb2xvZ3ksIFNjaG9vbCBvZiBNZWRpY2luZSwgVW5p
dmVyc2l0eSBvZiBOb3J0aCBDYXJvbGluYSwgQ2hhcGVsIEhpbGwsIE5vcnRoIENhcm9saW5hLiYj
eEQ7Q2VudGVyIGZvciBFbnZpcm9ubWVudGFsIE1lZGljaW5lLCBBc3RobWEsIGFuZCBMdW5nIEJp
b2xvZ3ksIFNjaG9vbCBvZiBNZWRpY2luZSwgVW5pdmVyc2l0eSBvZiBOb3J0aCBDYXJvbGluYSwg
Q2hhcGVsIEhpbGwsIE5vcnRoIENhcm9saW5hOyBhbmQuJiN4RDtEZXBhcnRtZW50IG9mIENoZW1p
c3RyeSwgVW5pdmVyc2l0eSBvZiBOb3J0aCBDYXJvbGluYSwgQ2hhcGVsIEhpbGwsIE5vcnRoIENh
cm9saW5hLiYjeEQ7Q3VycmljdWx1bSBpbiBUb3hpY29sb2d5LCBTY2hvb2wgb2YgTWVkaWNpbmUs
IFVuaXZlcnNpdHkgb2YgTm9ydGggQ2Fyb2xpbmEsIENoYXBlbCBIaWxsLCBOb3J0aCBDYXJvbGlu
YTsgaWxvbmFfamFzcGVyc0BtZWQudW5jLmVkdS48L2F1dGgtYWRkcmVzcz48dGl0bGVzPjx0aXRs
ZT5GbGF2b3JlZCBlLWNpZ2FyZXR0ZSBsaXF1aWRzIGFuZCBjaW5uYW1hbGRlaHlkZSBpbXBhaXIg
cmVzcGlyYXRvcnkgaW5uYXRlIGltbXVuZSBjZWxsIGZ1bmN0aW9uPC90aXRsZT48c2Vjb25kYXJ5
LXRpdGxlPkFtIEogUGh5c2lvbCBMdW5nIENlbGwgTW9sIFBoeXNpb2w8L3NlY29uZGFyeS10aXRs
ZT48YWx0LXRpdGxlPkFtZXJpY2FuIGpvdXJuYWwgb2YgcGh5c2lvbG9neS4gTHVuZyBjZWxsdWxh
ciBhbmQgbW9sZWN1bGFyIHBoeXNpb2xvZ3k8L2FsdC10aXRsZT48L3RpdGxlcz48cGVyaW9kaWNh
bD48ZnVsbC10aXRsZT5BbSBKIFBoeXNpb2wgTHVuZyBDZWxsIE1vbCBQaHlzaW9sPC9mdWxsLXRp
dGxlPjxhYmJyLTE+QW1lcmljYW4gam91cm5hbCBvZiBwaHlzaW9sb2d5LiBMdW5nIGNlbGx1bGFy
IGFuZCBtb2xlY3VsYXIgcGh5c2lvbG9neTwvYWJici0xPjwvcGVyaW9kaWNhbD48YWx0LXBlcmlv
ZGljYWw+PGZ1bGwtdGl0bGU+QW0gSiBQaHlzaW9sIEx1bmcgQ2VsbCBNb2wgUGh5c2lvbDwvZnVs
bC10aXRsZT48YWJici0xPkFtZXJpY2FuIGpvdXJuYWwgb2YgcGh5c2lvbG9neS4gTHVuZyBjZWxs
dWxhciBhbmQgbW9sZWN1bGFyIHBoeXNpb2xvZ3k8L2FiYnItMT48L2FsdC1wZXJpb2RpY2FsPjxw
YWdlcz5MMjc4LWwyOTI8L3BhZ2VzPjx2b2x1bWU+MzEzPC92b2x1bWU+PG51bWJlcj4yPC9udW1i
ZXI+PGVkaXRpb24+MjAxNy8wNS8xMzwvZWRpdGlvbj48a2V5d29yZHM+PGtleXdvcmQ+QWNyb2xl
aW4vYWR2ZXJzZSBlZmZlY3RzLyphbmFsb2dzICZhbXA7IGRlcml2YXRpdmVzPC9rZXl3b3JkPjxr
ZXl3b3JkPkFkb2xlc2NlbnQ8L2tleXdvcmQ+PGtleXdvcmQ+QWR1bHQ8L2tleXdvcmQ+PGtleXdv
cmQ+RWxlY3Ryb25pYyBOaWNvdGluZSBEZWxpdmVyeSBTeXN0ZW1zLyphZHZlcnNlIGVmZmVjdHM8
L2tleXdvcmQ+PGtleXdvcmQ+RmVtYWxlPC9rZXl3b3JkPjxrZXl3b3JkPkh1bWFuczwva2V5d29y
ZD48a2V5d29yZD5JbW11bml0eSwgSW5uYXRlLypkcnVnIGVmZmVjdHM8L2tleXdvcmQ+PGtleXdv
cmQ+SW5mbGFtbWF0aW9uL2NoZW1pY2FsbHkgaW5kdWNlZDwva2V5d29yZD48a2V5d29yZD5LaWxs
ZXIgQ2VsbHMsIE5hdHVyYWwvZHJ1ZyBlZmZlY3RzPC9rZXl3b3JkPjxrZXl3b3JkPk1hY3JvcGhh
Z2VzL2RydWcgZWZmZWN0czwva2V5d29yZD48a2V5d29yZD5NYWxlPC9rZXl3b3JkPjxrZXl3b3Jk
Pk1pZGRsZSBBZ2VkPC9rZXl3b3JkPjxrZXl3b3JkPk5ldXRyb3BoaWxzL2RydWcgZWZmZWN0czwv
a2V5d29yZD48a2V5d29yZD5OaWNvdGluZS9hZHZlcnNlIGVmZmVjdHM8L2tleXdvcmQ+PGtleXdv
cmQ+UGhhZ29jeXRvc2lzL2RydWcgZWZmZWN0czwva2V5d29yZD48a2V5d29yZD5Zb3VuZyBBZHVs
dDwva2V5d29yZD48a2V5d29yZD5jaW5uYW1hbGRlaHlkZTwva2V5d29yZD48a2V5d29yZD5lLWNp
Z2FyZXR0ZTwva2V5d29yZD48a2V5d29yZD5lLWxpcXVpZDwva2V5d29yZD48a2V5d29yZD5pbm5h
dGUgaW1tdW5lIGNlbGwgZnVuY3Rpb248L2tleXdvcmQ+PC9rZXl3b3Jkcz48ZGF0ZXM+PHllYXI+
MjAxNzwveWVhcj48cHViLWRhdGVzPjxkYXRlPkF1ZyAxPC9kYXRlPjwvcHViLWRhdGVzPjwvZGF0
ZXM+PGlzYm4+MTA0MC0wNjA1PC9pc2JuPjxhY2Nlc3Npb24tbnVtPjI4NDk1ODU2PC9hY2Nlc3Np
b24tbnVtPjx1cmxzPjwvdXJscz48Y3VzdG9tMj5QTUM1NTgyOTI5PC9jdXN0b20yPjxlbGVjdHJv
bmljLXJlc291cmNlLW51bT4xMC4xMTUyL2FqcGx1bmcuMDA0NTIuMjAxNjwvZWxlY3Ryb25pYy1y
ZXNvdXJjZS1udW0+PHJlbW90ZS1kYXRhYmFzZS1wcm92aWRlcj5OTE08L3JlbW90ZS1kYXRhYmFz
ZS1wcm92aWRlcj48bGFuZ3VhZ2U+ZW5nPC9sYW5ndWFnZT48L3JlY29yZD48L0NpdGU+PC9FbmRO
b3RlPgB=
</w:fldData>
            </w:fldChar>
          </w:r>
          <w:r>
            <w:instrText xml:space="preserve"> ADDIN EN.CITE.DATA </w:instrText>
          </w:r>
          <w:r>
            <w:fldChar w:fldCharType="end"/>
          </w:r>
          <w:r>
            <w:fldChar w:fldCharType="separate"/>
          </w:r>
          <w:r>
            <w:rPr>
              <w:noProof/>
            </w:rPr>
            <w:t>(Clapp, Pawlak et al. 2017)</w:t>
          </w:r>
          <w:r>
            <w:fldChar w:fldCharType="end"/>
          </w:r>
          <w:r w:rsidRPr="006721C0">
            <w:t>.</w:t>
          </w:r>
          <w:r w:rsidRPr="009D4E0A">
            <w:t xml:space="preserve"> </w:t>
          </w:r>
          <w:r>
            <w:t>NK cells killing efficiency was</w:t>
          </w:r>
          <w:r w:rsidRPr="006721C0">
            <w:t xml:space="preserve"> reduced after </w:t>
          </w:r>
          <w:r>
            <w:t xml:space="preserve">alveolar cells were </w:t>
          </w:r>
          <w:r w:rsidRPr="006721C0">
            <w:t>expose</w:t>
          </w:r>
          <w:r>
            <w:t>d</w:t>
          </w:r>
          <w:r w:rsidRPr="006721C0">
            <w:t xml:space="preserve"> to cinnamon-flavoured e-liquids</w:t>
          </w:r>
          <w:r>
            <w:t xml:space="preserve"> </w:t>
          </w:r>
          <w:r>
            <w:fldChar w:fldCharType="begin">
              <w:fldData xml:space="preserve">PEVuZE5vdGU+PENpdGU+PEF1dGhvcj5DbGFwcDwvQXV0aG9yPjxZZWFyPjIwMTc8L1llYXI+PFJl
Y051bT4xMTU1PC9SZWNOdW0+PERpc3BsYXlUZXh0PihDbGFwcCwgUGF3bGFrIGV0IGFsLiAyMDE3
KTwvRGlzcGxheVRleHQ+PHJlY29yZD48cmVjLW51bWJlcj4xMTU1PC9yZWMtbnVtYmVyPjxmb3Jl
aWduLWtleXM+PGtleSBhcHA9IkVOIiBkYi1pZD0iOXowNWR6MHByYWFkZnVlZTB6b3h6ZWRrOXpm
ZTVmeHg1MHo1IiB0aW1lc3RhbXA9IjE1MjE1MDcwMTMiPjExNTU8L2tleT48a2V5IGFwcD0iRU5X
ZWIiIGRiLWlkPSIiPjA8L2tleT48L2ZvcmVpZ24ta2V5cz48cmVmLXR5cGUgbmFtZT0iSm91cm5h
bCBBcnRpY2xlIj4xNzwvcmVmLXR5cGU+PGNvbnRyaWJ1dG9ycz48YXV0aG9ycz48YXV0aG9yPkNs
YXBwLCBQLiBXLjwvYXV0aG9yPjxhdXRob3I+UGF3bGFrLCBFLiBBLjwvYXV0aG9yPjxhdXRob3I+
TGFja2V5LCBKLiBULjwvYXV0aG9yPjxhdXRob3I+S2VhdGluZywgSi4gRS48L2F1dGhvcj48YXV0
aG9yPlJlZWJlciwgUy4gTC48L2F1dGhvcj48YXV0aG9yPkdsaXNoLCBHLiBMLjwvYXV0aG9yPjxh
dXRob3I+SmFzcGVycywgSS48L2F1dGhvcj48L2F1dGhvcnM+PC9jb250cmlidXRvcnM+PGF1dGgt
YWRkcmVzcz5DdXJyaWN1bHVtIGluIFRveGljb2xvZ3ksIFNjaG9vbCBvZiBNZWRpY2luZSwgVW5p
dmVyc2l0eSBvZiBOb3J0aCBDYXJvbGluYSwgQ2hhcGVsIEhpbGwsIE5vcnRoIENhcm9saW5hLiYj
eEQ7Q2VudGVyIGZvciBFbnZpcm9ubWVudGFsIE1lZGljaW5lLCBBc3RobWEsIGFuZCBMdW5nIEJp
b2xvZ3ksIFNjaG9vbCBvZiBNZWRpY2luZSwgVW5pdmVyc2l0eSBvZiBOb3J0aCBDYXJvbGluYSwg
Q2hhcGVsIEhpbGwsIE5vcnRoIENhcm9saW5hOyBhbmQuJiN4RDtEZXBhcnRtZW50IG9mIENoZW1p
c3RyeSwgVW5pdmVyc2l0eSBvZiBOb3J0aCBDYXJvbGluYSwgQ2hhcGVsIEhpbGwsIE5vcnRoIENh
cm9saW5hLiYjeEQ7Q3VycmljdWx1bSBpbiBUb3hpY29sb2d5LCBTY2hvb2wgb2YgTWVkaWNpbmUs
IFVuaXZlcnNpdHkgb2YgTm9ydGggQ2Fyb2xpbmEsIENoYXBlbCBIaWxsLCBOb3J0aCBDYXJvbGlu
YTsgaWxvbmFfamFzcGVyc0BtZWQudW5jLmVkdS48L2F1dGgtYWRkcmVzcz48dGl0bGVzPjx0aXRs
ZT5GbGF2b3JlZCBlLWNpZ2FyZXR0ZSBsaXF1aWRzIGFuZCBjaW5uYW1hbGRlaHlkZSBpbXBhaXIg
cmVzcGlyYXRvcnkgaW5uYXRlIGltbXVuZSBjZWxsIGZ1bmN0aW9uPC90aXRsZT48c2Vjb25kYXJ5
LXRpdGxlPkFtIEogUGh5c2lvbCBMdW5nIENlbGwgTW9sIFBoeXNpb2w8L3NlY29uZGFyeS10aXRs
ZT48YWx0LXRpdGxlPkFtZXJpY2FuIGpvdXJuYWwgb2YgcGh5c2lvbG9neS4gTHVuZyBjZWxsdWxh
ciBhbmQgbW9sZWN1bGFyIHBoeXNpb2xvZ3k8L2FsdC10aXRsZT48L3RpdGxlcz48cGVyaW9kaWNh
bD48ZnVsbC10aXRsZT5BbSBKIFBoeXNpb2wgTHVuZyBDZWxsIE1vbCBQaHlzaW9sPC9mdWxsLXRp
dGxlPjxhYmJyLTE+QW1lcmljYW4gam91cm5hbCBvZiBwaHlzaW9sb2d5LiBMdW5nIGNlbGx1bGFy
IGFuZCBtb2xlY3VsYXIgcGh5c2lvbG9neTwvYWJici0xPjwvcGVyaW9kaWNhbD48YWx0LXBlcmlv
ZGljYWw+PGZ1bGwtdGl0bGU+QW0gSiBQaHlzaW9sIEx1bmcgQ2VsbCBNb2wgUGh5c2lvbDwvZnVs
bC10aXRsZT48YWJici0xPkFtZXJpY2FuIGpvdXJuYWwgb2YgcGh5c2lvbG9neS4gTHVuZyBjZWxs
dWxhciBhbmQgbW9sZWN1bGFyIHBoeXNpb2xvZ3k8L2FiYnItMT48L2FsdC1wZXJpb2RpY2FsPjxw
YWdlcz5MMjc4LWwyOTI8L3BhZ2VzPjx2b2x1bWU+MzEzPC92b2x1bWU+PG51bWJlcj4yPC9udW1i
ZXI+PGVkaXRpb24+MjAxNy8wNS8xMzwvZWRpdGlvbj48a2V5d29yZHM+PGtleXdvcmQ+QWNyb2xl
aW4vYWR2ZXJzZSBlZmZlY3RzLyphbmFsb2dzICZhbXA7IGRlcml2YXRpdmVzPC9rZXl3b3JkPjxr
ZXl3b3JkPkFkb2xlc2NlbnQ8L2tleXdvcmQ+PGtleXdvcmQ+QWR1bHQ8L2tleXdvcmQ+PGtleXdv
cmQ+RWxlY3Ryb25pYyBOaWNvdGluZSBEZWxpdmVyeSBTeXN0ZW1zLyphZHZlcnNlIGVmZmVjdHM8
L2tleXdvcmQ+PGtleXdvcmQ+RmVtYWxlPC9rZXl3b3JkPjxrZXl3b3JkPkh1bWFuczwva2V5d29y
ZD48a2V5d29yZD5JbW11bml0eSwgSW5uYXRlLypkcnVnIGVmZmVjdHM8L2tleXdvcmQ+PGtleXdv
cmQ+SW5mbGFtbWF0aW9uL2NoZW1pY2FsbHkgaW5kdWNlZDwva2V5d29yZD48a2V5d29yZD5LaWxs
ZXIgQ2VsbHMsIE5hdHVyYWwvZHJ1ZyBlZmZlY3RzPC9rZXl3b3JkPjxrZXl3b3JkPk1hY3JvcGhh
Z2VzL2RydWcgZWZmZWN0czwva2V5d29yZD48a2V5d29yZD5NYWxlPC9rZXl3b3JkPjxrZXl3b3Jk
Pk1pZGRsZSBBZ2VkPC9rZXl3b3JkPjxrZXl3b3JkPk5ldXRyb3BoaWxzL2RydWcgZWZmZWN0czwv
a2V5d29yZD48a2V5d29yZD5OaWNvdGluZS9hZHZlcnNlIGVmZmVjdHM8L2tleXdvcmQ+PGtleXdv
cmQ+UGhhZ29jeXRvc2lzL2RydWcgZWZmZWN0czwva2V5d29yZD48a2V5d29yZD5Zb3VuZyBBZHVs
dDwva2V5d29yZD48a2V5d29yZD5jaW5uYW1hbGRlaHlkZTwva2V5d29yZD48a2V5d29yZD5lLWNp
Z2FyZXR0ZTwva2V5d29yZD48a2V5d29yZD5lLWxpcXVpZDwva2V5d29yZD48a2V5d29yZD5pbm5h
dGUgaW1tdW5lIGNlbGwgZnVuY3Rpb248L2tleXdvcmQ+PC9rZXl3b3Jkcz48ZGF0ZXM+PHllYXI+
MjAxNzwveWVhcj48cHViLWRhdGVzPjxkYXRlPkF1ZyAxPC9kYXRlPjwvcHViLWRhdGVzPjwvZGF0
ZXM+PGlzYm4+MTA0MC0wNjA1PC9pc2JuPjxhY2Nlc3Npb24tbnVtPjI4NDk1ODU2PC9hY2Nlc3Np
b24tbnVtPjx1cmxzPjwvdXJscz48Y3VzdG9tMj5QTUM1NTgyOTI5PC9jdXN0b20yPjxlbGVjdHJv
bmljLXJlc291cmNlLW51bT4xMC4xMTUyL2FqcGx1bmcuMDA0NTIuMjAxNjwvZWxlY3Ryb25pYy1y
ZXNvdXJjZS1udW0+PHJlbW90ZS1kYXRhYmFzZS1wcm92aWRlcj5OTE08L3JlbW90ZS1kYXRhYmFz
ZS1wcm92aWRlcj48bGFuZ3VhZ2U+ZW5nPC9sYW5ndWFnZT48L3JlY29yZD48L0NpdGU+PC9FbmRO
b3RlPgB=
</w:fldData>
            </w:fldChar>
          </w:r>
          <w:r>
            <w:instrText xml:space="preserve"> ADDIN EN.CITE </w:instrText>
          </w:r>
          <w:r>
            <w:fldChar w:fldCharType="begin">
              <w:fldData xml:space="preserve">PEVuZE5vdGU+PENpdGU+PEF1dGhvcj5DbGFwcDwvQXV0aG9yPjxZZWFyPjIwMTc8L1llYXI+PFJl
Y051bT4xMTU1PC9SZWNOdW0+PERpc3BsYXlUZXh0PihDbGFwcCwgUGF3bGFrIGV0IGFsLiAyMDE3
KTwvRGlzcGxheVRleHQ+PHJlY29yZD48cmVjLW51bWJlcj4xMTU1PC9yZWMtbnVtYmVyPjxmb3Jl
aWduLWtleXM+PGtleSBhcHA9IkVOIiBkYi1pZD0iOXowNWR6MHByYWFkZnVlZTB6b3h6ZWRrOXpm
ZTVmeHg1MHo1IiB0aW1lc3RhbXA9IjE1MjE1MDcwMTMiPjExNTU8L2tleT48a2V5IGFwcD0iRU5X
ZWIiIGRiLWlkPSIiPjA8L2tleT48L2ZvcmVpZ24ta2V5cz48cmVmLXR5cGUgbmFtZT0iSm91cm5h
bCBBcnRpY2xlIj4xNzwvcmVmLXR5cGU+PGNvbnRyaWJ1dG9ycz48YXV0aG9ycz48YXV0aG9yPkNs
YXBwLCBQLiBXLjwvYXV0aG9yPjxhdXRob3I+UGF3bGFrLCBFLiBBLjwvYXV0aG9yPjxhdXRob3I+
TGFja2V5LCBKLiBULjwvYXV0aG9yPjxhdXRob3I+S2VhdGluZywgSi4gRS48L2F1dGhvcj48YXV0
aG9yPlJlZWJlciwgUy4gTC48L2F1dGhvcj48YXV0aG9yPkdsaXNoLCBHLiBMLjwvYXV0aG9yPjxh
dXRob3I+SmFzcGVycywgSS48L2F1dGhvcj48L2F1dGhvcnM+PC9jb250cmlidXRvcnM+PGF1dGgt
YWRkcmVzcz5DdXJyaWN1bHVtIGluIFRveGljb2xvZ3ksIFNjaG9vbCBvZiBNZWRpY2luZSwgVW5p
dmVyc2l0eSBvZiBOb3J0aCBDYXJvbGluYSwgQ2hhcGVsIEhpbGwsIE5vcnRoIENhcm9saW5hLiYj
eEQ7Q2VudGVyIGZvciBFbnZpcm9ubWVudGFsIE1lZGljaW5lLCBBc3RobWEsIGFuZCBMdW5nIEJp
b2xvZ3ksIFNjaG9vbCBvZiBNZWRpY2luZSwgVW5pdmVyc2l0eSBvZiBOb3J0aCBDYXJvbGluYSwg
Q2hhcGVsIEhpbGwsIE5vcnRoIENhcm9saW5hOyBhbmQuJiN4RDtEZXBhcnRtZW50IG9mIENoZW1p
c3RyeSwgVW5pdmVyc2l0eSBvZiBOb3J0aCBDYXJvbGluYSwgQ2hhcGVsIEhpbGwsIE5vcnRoIENh
cm9saW5hLiYjeEQ7Q3VycmljdWx1bSBpbiBUb3hpY29sb2d5LCBTY2hvb2wgb2YgTWVkaWNpbmUs
IFVuaXZlcnNpdHkgb2YgTm9ydGggQ2Fyb2xpbmEsIENoYXBlbCBIaWxsLCBOb3J0aCBDYXJvbGlu
YTsgaWxvbmFfamFzcGVyc0BtZWQudW5jLmVkdS48L2F1dGgtYWRkcmVzcz48dGl0bGVzPjx0aXRs
ZT5GbGF2b3JlZCBlLWNpZ2FyZXR0ZSBsaXF1aWRzIGFuZCBjaW5uYW1hbGRlaHlkZSBpbXBhaXIg
cmVzcGlyYXRvcnkgaW5uYXRlIGltbXVuZSBjZWxsIGZ1bmN0aW9uPC90aXRsZT48c2Vjb25kYXJ5
LXRpdGxlPkFtIEogUGh5c2lvbCBMdW5nIENlbGwgTW9sIFBoeXNpb2w8L3NlY29uZGFyeS10aXRs
ZT48YWx0LXRpdGxlPkFtZXJpY2FuIGpvdXJuYWwgb2YgcGh5c2lvbG9neS4gTHVuZyBjZWxsdWxh
ciBhbmQgbW9sZWN1bGFyIHBoeXNpb2xvZ3k8L2FsdC10aXRsZT48L3RpdGxlcz48cGVyaW9kaWNh
bD48ZnVsbC10aXRsZT5BbSBKIFBoeXNpb2wgTHVuZyBDZWxsIE1vbCBQaHlzaW9sPC9mdWxsLXRp
dGxlPjxhYmJyLTE+QW1lcmljYW4gam91cm5hbCBvZiBwaHlzaW9sb2d5LiBMdW5nIGNlbGx1bGFy
IGFuZCBtb2xlY3VsYXIgcGh5c2lvbG9neTwvYWJici0xPjwvcGVyaW9kaWNhbD48YWx0LXBlcmlv
ZGljYWw+PGZ1bGwtdGl0bGU+QW0gSiBQaHlzaW9sIEx1bmcgQ2VsbCBNb2wgUGh5c2lvbDwvZnVs
bC10aXRsZT48YWJici0xPkFtZXJpY2FuIGpvdXJuYWwgb2YgcGh5c2lvbG9neS4gTHVuZyBjZWxs
dWxhciBhbmQgbW9sZWN1bGFyIHBoeXNpb2xvZ3k8L2FiYnItMT48L2FsdC1wZXJpb2RpY2FsPjxw
YWdlcz5MMjc4LWwyOTI8L3BhZ2VzPjx2b2x1bWU+MzEzPC92b2x1bWU+PG51bWJlcj4yPC9udW1i
ZXI+PGVkaXRpb24+MjAxNy8wNS8xMzwvZWRpdGlvbj48a2V5d29yZHM+PGtleXdvcmQ+QWNyb2xl
aW4vYWR2ZXJzZSBlZmZlY3RzLyphbmFsb2dzICZhbXA7IGRlcml2YXRpdmVzPC9rZXl3b3JkPjxr
ZXl3b3JkPkFkb2xlc2NlbnQ8L2tleXdvcmQ+PGtleXdvcmQ+QWR1bHQ8L2tleXdvcmQ+PGtleXdv
cmQ+RWxlY3Ryb25pYyBOaWNvdGluZSBEZWxpdmVyeSBTeXN0ZW1zLyphZHZlcnNlIGVmZmVjdHM8
L2tleXdvcmQ+PGtleXdvcmQ+RmVtYWxlPC9rZXl3b3JkPjxrZXl3b3JkPkh1bWFuczwva2V5d29y
ZD48a2V5d29yZD5JbW11bml0eSwgSW5uYXRlLypkcnVnIGVmZmVjdHM8L2tleXdvcmQ+PGtleXdv
cmQ+SW5mbGFtbWF0aW9uL2NoZW1pY2FsbHkgaW5kdWNlZDwva2V5d29yZD48a2V5d29yZD5LaWxs
ZXIgQ2VsbHMsIE5hdHVyYWwvZHJ1ZyBlZmZlY3RzPC9rZXl3b3JkPjxrZXl3b3JkPk1hY3JvcGhh
Z2VzL2RydWcgZWZmZWN0czwva2V5d29yZD48a2V5d29yZD5NYWxlPC9rZXl3b3JkPjxrZXl3b3Jk
Pk1pZGRsZSBBZ2VkPC9rZXl3b3JkPjxrZXl3b3JkPk5ldXRyb3BoaWxzL2RydWcgZWZmZWN0czwv
a2V5d29yZD48a2V5d29yZD5OaWNvdGluZS9hZHZlcnNlIGVmZmVjdHM8L2tleXdvcmQ+PGtleXdv
cmQ+UGhhZ29jeXRvc2lzL2RydWcgZWZmZWN0czwva2V5d29yZD48a2V5d29yZD5Zb3VuZyBBZHVs
dDwva2V5d29yZD48a2V5d29yZD5jaW5uYW1hbGRlaHlkZTwva2V5d29yZD48a2V5d29yZD5lLWNp
Z2FyZXR0ZTwva2V5d29yZD48a2V5d29yZD5lLWxpcXVpZDwva2V5d29yZD48a2V5d29yZD5pbm5h
dGUgaW1tdW5lIGNlbGwgZnVuY3Rpb248L2tleXdvcmQ+PC9rZXl3b3Jkcz48ZGF0ZXM+PHllYXI+
MjAxNzwveWVhcj48cHViLWRhdGVzPjxkYXRlPkF1ZyAxPC9kYXRlPjwvcHViLWRhdGVzPjwvZGF0
ZXM+PGlzYm4+MTA0MC0wNjA1PC9pc2JuPjxhY2Nlc3Npb24tbnVtPjI4NDk1ODU2PC9hY2Nlc3Np
b24tbnVtPjx1cmxzPjwvdXJscz48Y3VzdG9tMj5QTUM1NTgyOTI5PC9jdXN0b20yPjxlbGVjdHJv
bmljLXJlc291cmNlLW51bT4xMC4xMTUyL2FqcGx1bmcuMDA0NTIuMjAxNjwvZWxlY3Ryb25pYy1y
ZXNvdXJjZS1udW0+PHJlbW90ZS1kYXRhYmFzZS1wcm92aWRlcj5OTE08L3JlbW90ZS1kYXRhYmFz
ZS1wcm92aWRlcj48bGFuZ3VhZ2U+ZW5nPC9sYW5ndWFnZT48L3JlY29yZD48L0NpdGU+PC9FbmRO
b3RlPgB=
</w:fldData>
            </w:fldChar>
          </w:r>
          <w:r>
            <w:instrText xml:space="preserve"> ADDIN EN.CITE.DATA </w:instrText>
          </w:r>
          <w:r>
            <w:fldChar w:fldCharType="end"/>
          </w:r>
          <w:r>
            <w:fldChar w:fldCharType="separate"/>
          </w:r>
          <w:r>
            <w:rPr>
              <w:noProof/>
            </w:rPr>
            <w:t>(Clapp, Pawlak et al. 2017)</w:t>
          </w:r>
          <w:r>
            <w:fldChar w:fldCharType="end"/>
          </w:r>
          <w:r w:rsidRPr="006721C0">
            <w:t>.</w:t>
          </w:r>
          <w:r>
            <w:t xml:space="preserve"> Once again, different flavoured e-cigarettes elicited different responses. </w:t>
          </w:r>
        </w:p>
        <w:p w14:paraId="4347E92F" w14:textId="77777777" w:rsidR="00A74D41" w:rsidRDefault="00A74D41" w:rsidP="00A74D41">
          <w:pPr>
            <w:pStyle w:val="BodyText"/>
          </w:pPr>
        </w:p>
        <w:p w14:paraId="38C982DF" w14:textId="77777777" w:rsidR="000F0E2F" w:rsidRDefault="000F0E2F" w:rsidP="000F0E2F">
          <w:pPr>
            <w:pStyle w:val="Heading2"/>
          </w:pPr>
          <w:bookmarkStart w:id="83" w:name="_Toc517706666"/>
          <w:r>
            <w:lastRenderedPageBreak/>
            <w:t>Gene alterations</w:t>
          </w:r>
          <w:bookmarkEnd w:id="82"/>
          <w:bookmarkEnd w:id="83"/>
        </w:p>
        <w:p w14:paraId="25AE73D7" w14:textId="77777777" w:rsidR="00A74D41" w:rsidRPr="000D6962" w:rsidRDefault="00A74D41" w:rsidP="00A74D41">
          <w:pPr>
            <w:pStyle w:val="Heading3"/>
          </w:pPr>
          <w:bookmarkStart w:id="84" w:name="_Toc513214378"/>
          <w:r>
            <w:t>Damage</w:t>
          </w:r>
        </w:p>
        <w:p w14:paraId="309EB5E1" w14:textId="77777777" w:rsidR="00A74D41" w:rsidRDefault="00A74D41" w:rsidP="00A74D41">
          <w:pPr>
            <w:pStyle w:val="BodyText"/>
          </w:pPr>
          <w:r>
            <w:t xml:space="preserve">While </w:t>
          </w:r>
          <w:r w:rsidRPr="00520F3B">
            <w:t>e-ciga</w:t>
          </w:r>
          <w:r>
            <w:t xml:space="preserve">rette vapour extracts led to </w:t>
          </w:r>
          <w:r w:rsidRPr="00520F3B">
            <w:t>DNA damage</w:t>
          </w:r>
          <w:r>
            <w:t xml:space="preserve"> </w:t>
          </w:r>
          <w:r>
            <w:fldChar w:fldCharType="begin">
              <w:fldData xml:space="preserve">PEVuZE5vdGU+PENpdGU+PEF1dGhvcj5CaGFyYWR3YWo8L0F1dGhvcj48WWVhcj4yMDE3PC9ZZWFy
PjxSZWNOdW0+MTQ2NTwvUmVjTnVtPjxEaXNwbGF5VGV4dD4oQmhhcmFkd2FqLCBNaXRjaGVsbCBl
dCBhbC4gMjAxNywgR2FuYXBhdGh5LCBNYW55YW5nYSBldCBhbC4gMjAxNyk8L0Rpc3BsYXlUZXh0
PjxyZWNvcmQ+PHJlYy1udW1iZXI+MTQ2NTwvcmVjLW51bWJlcj48Zm9yZWlnbi1rZXlzPjxrZXkg
YXBwPSJFTiIgZGItaWQ9Ijl6MDVkejBwcmFhZGZ1ZWUwem94emVkazl6ZmU1Znh4NTB6NSIgdGlt
ZXN0YW1wPSIxNTIxNTA3MDg1Ij4xNDY1PC9rZXk+PGtleSBhcHA9IkVOV2ViIiBkYi1pZD0iIj4w
PC9rZXk+PC9mb3JlaWduLWtleXM+PHJlZi10eXBlIG5hbWU9IkpvdXJuYWwgQXJ0aWNsZSI+MTc8
L3JlZi10eXBlPjxjb250cmlidXRvcnM+PGF1dGhvcnM+PGF1dGhvcj5CaGFyYWR3YWosIFMuPC9h
dXRob3I+PGF1dGhvcj5NaXRjaGVsbCwgUi4gSi48L2F1dGhvcj48YXV0aG9yPlF1cmVzaGksIEEu
PC9hdXRob3I+PGF1dGhvcj5OaWF6aSwgSi4gSC48L2F1dGhvcj48L2F1dGhvcnM+PC9jb250cmli
dXRvcnM+PGF1dGgtYWRkcmVzcz5TYWJhbmNpIFVuaXZlcnNpdHkgTmFub3RlY2hub2xvZ3kgUmVz
ZWFyY2ggYW5kIEFwcGxpY2F0aW9uIENlbnRlciwgT3J0YSBNYWhhbGxlIDM0OTU2LCBUdXpsYSwg
SXN0YW5idWwsIFR1cmtleS4mI3hEO1NjaG9vbCBvZiBMaWZlIFNjaWVuY2VzLCBVbHNhbiBOYXRp
b25hbCBJbnN0aXR1dGUgb2YgU2NpZW5jZSBhbmQgVGVjaG5vbG9neSwgVWxzYW4gNjg5LTc5OCwg
UmVwdWJsaWMgb2YgS29yZWEuJiN4RDtTYWJhbmNpIFVuaXZlcnNpdHkgTmFub3RlY2hub2xvZ3kg
UmVzZWFyY2ggYW5kIEFwcGxpY2F0aW9uIENlbnRlciwgT3J0YSBNYWhhbGxlIDM0OTU2LCBUdXps
YSwgSXN0YW5idWwsIFR1cmtleS4gRWxlY3Ryb25pYyBhZGRyZXNzOiBqYXZlZEBzYWJhbmNpdW5p
di5lZHUuPC9hdXRoLWFkZHJlc3M+PHRpdGxlcz48dGl0bGU+VG94aWNpdHkgZXZhbHVhdGlvbiBv
ZiBlLWp1aWNlIGFuZCBpdHMgc29sdWJsZSBhZXJvc29scyBnZW5lcmF0ZWQgYnkgZWxlY3Ryb25p
YyBjaWdhcmV0dGVzIHVzaW5nIHJlY29tYmluYW50IGJpb2x1bWluZXNjZW50IGJhY3RlcmlhIHJl
c3BvbnNpdmUgdG8gc3BlY2lmaWMgY2VsbHVsYXIgZGFtYWdlczwvdGl0bGU+PHNlY29uZGFyeS10
aXRsZT5CaW9zZW5zIEJpb2VsZWN0cm9uPC9zZWNvbmRhcnktdGl0bGU+PGFsdC10aXRsZT5CaW9z
ZW5zb3JzICZhbXA7IGJpb2VsZWN0cm9uaWNzPC9hbHQtdGl0bGU+PC90aXRsZXM+PHBlcmlvZGlj
YWw+PGZ1bGwtdGl0bGU+Qmlvc2VucyBCaW9lbGVjdHJvbjwvZnVsbC10aXRsZT48YWJici0xPkJp
b3NlbnNvcnMgJmFtcDsgYmlvZWxlY3Ryb25pY3M8L2FiYnItMT48L3BlcmlvZGljYWw+PGFsdC1w
ZXJpb2RpY2FsPjxmdWxsLXRpdGxlPkJpb3NlbnMgQmlvZWxlY3Ryb248L2Z1bGwtdGl0bGU+PGFi
YnItMT5CaW9zZW5zb3JzICZhbXA7IGJpb2VsZWN0cm9uaWNzPC9hYmJyLTE+PC9hbHQtcGVyaW9k
aWNhbD48cGFnZXM+NTMtNjA8L3BhZ2VzPjx2b2x1bWU+OTA8L3ZvbHVtZT48ZWRpdGlvbj4yMDE2
LzExLzIzPC9lZGl0aW9uPjxrZXl3b3Jkcz48a2V5d29yZD5BZXJvc29scy9jaGVtaXN0cnk8L2tl
eXdvcmQ+PGtleXdvcmQ+QmFjdGVyaWEvKmRydWcgZWZmZWN0cy9nZW5ldGljczwva2V5d29yZD48
a2V5d29yZD5CYWN0ZXJpYWwgUHJvdGVpbnMvZ2VuZXRpY3M8L2tleXdvcmQ+PGtleXdvcmQ+KkJp
b3NlbnNpbmcgVGVjaG5pcXVlczwva2V5d29yZD48a2V5d29yZD5ETkEgRGFtYWdlLypkcnVnIGVm
ZmVjdHM8L2tleXdvcmQ+PGtleXdvcmQ+RE5BLCBSZWNvbWJpbmFudC9jaGVtaXN0cnkvZ2VuZXRp
Y3M8L2tleXdvcmQ+PGtleXdvcmQ+RWxlY3Ryb25pYyBOaWNvdGluZSBEZWxpdmVyeSBTeXN0ZW1z
LyphZHZlcnNlIGVmZmVjdHM8L2tleXdvcmQ+PGtleXdvcmQ+SHVtYW5zPC9rZXl3b3JkPjxrZXl3
b3JkPk94aWRvcmVkdWN0YXNlcy9nZW5ldGljczwva2V5d29yZD48a2V5d29yZD5SZWMgQSBSZWNv
bWJpbmFzZXMvZ2VuZXRpY3M8L2tleXdvcmQ+PGtleXdvcmQ+KkJpb2x1bWluZXNjZW5jZTwva2V5
d29yZD48a2V5d29yZD4qQmlvc2Vuc29yPC9rZXl3b3JkPjxrZXl3b3JkPipFLWNpZ2FyZXR0ZTwv
a2V5d29yZD48a2V5d29yZD4qRS1qdWljZTwva2V5d29yZD48a2V5d29yZD4qVG94aWNpdHk8L2tl
eXdvcmQ+PGtleXdvcmQ+Kmx1eDwva2V5d29yZD48L2tleXdvcmRzPjxkYXRlcz48eWVhcj4yMDE3
PC95ZWFyPjxwdWItZGF0ZXM+PGRhdGU+QXByIDE1PC9kYXRlPjwvcHViLWRhdGVzPjwvZGF0ZXM+
PGlzYm4+MDk1Ni01NjYzPC9pc2JuPjxhY2Nlc3Npb24tbnVtPjI3ODc1NzUyPC9hY2Nlc3Npb24t
bnVtPjx1cmxzPjxyZWxhdGVkLXVybHM+PHVybD5odHRwczovL3d3dy5zY2llbmNlZGlyZWN0LmNv
bS9zY2llbmNlL2FydGljbGUvcGlpL1MwOTU2NTY2MzE2MzExNjc4P3ZpYSUzRGlodWI8L3VybD48
L3JlbGF0ZWQtdXJscz48L3VybHM+PGVsZWN0cm9uaWMtcmVzb3VyY2UtbnVtPjEwLjEwMTYvai5i
aW9zLjIwMTYuMTEuMDI2PC9lbGVjdHJvbmljLXJlc291cmNlLW51bT48cmVtb3RlLWRhdGFiYXNl
LXByb3ZpZGVyPk5MTTwvcmVtb3RlLWRhdGFiYXNlLXByb3ZpZGVyPjxsYW5ndWFnZT5lbmc8L2xh
bmd1YWdlPjwvcmVjb3JkPjwvQ2l0ZT48Q2l0ZT48QXV0aG9yPkdhbmFwYXRoeTwvQXV0aG9yPjxZ
ZWFyPjIwMTc8L1llYXI+PFJlY051bT4xMTMwPC9SZWNOdW0+PHJlY29yZD48cmVjLW51bWJlcj4x
MTMwPC9yZWMtbnVtYmVyPjxmb3JlaWduLWtleXM+PGtleSBhcHA9IkVOIiBkYi1pZD0iOXowNWR6
MHByYWFkZnVlZTB6b3h6ZWRrOXpmZTVmeHg1MHo1IiB0aW1lc3RhbXA9IjE1MjE1MDcwMDciPjEx
MzA8L2tleT48a2V5IGFwcD0iRU5XZWIiIGRiLWlkPSIiPjA8L2tleT48L2ZvcmVpZ24ta2V5cz48
cmVmLXR5cGUgbmFtZT0iSm91cm5hbCBBcnRpY2xlIj4xNzwvcmVmLXR5cGU+PGNvbnRyaWJ1dG9y
cz48YXV0aG9ycz48YXV0aG9yPkdhbmFwYXRoeSwgVi48L2F1dGhvcj48YXV0aG9yPk1hbnlhbmdh
LCBKLjwvYXV0aG9yPjxhdXRob3I+QnJhbWUsIEwuPC9hdXRob3I+PGF1dGhvcj5NY0d1aXJlLCBE
LjwvYXV0aG9yPjxhdXRob3I+U2FkaGFzaXZhbSwgQi48L2F1dGhvcj48YXV0aG9yPkZsb3lkLCBF
LjwvYXV0aG9yPjxhdXRob3I+UnViZW5zdGVpbiwgRC4gQS48L2F1dGhvcj48YXV0aG9yPlJhbWFj
aGFuZHJhbiwgSS48L2F1dGhvcj48YXV0aG9yPldhZ2VuZXIsIFQuPC9hdXRob3I+PGF1dGhvcj5R
dWVpbWFkbywgTC48L2F1dGhvcj48L2F1dGhvcnM+PC9jb250cmlidXRvcnM+PGF1dGgtYWRkcmVz
cz5EZXBhcnRtZW50IG9mIE90b3JoaW5vbGFyeW5nb2xvZ3ksIFRoZSBVbml2ZXJzaXR5IG9mIE9r
bGFob21hIEhlYWx0aCBTY2llbmNlcyBDZW50ZXIsIE9rbGFob21hIENpdHksIE9rbGFob21hLCBV
bml0ZWQgU3RhdGVzIG9mIEFtZXJpY2EuJiN4RDtEZXBhcnRtZW50IG9mIENlbGwgQmlvbG9neSwg
VGhlIFVuaXZlcnNpdHkgb2YgT2tsYWhvbWEgSGVhbHRoIFNjaWVuY2VzIENlbnRlciwgT2tsYWhv
bWEgQ2l0eSwgT2tsYWhvbWEsIFVuaXRlZCBTdGF0ZXMgb2YgQW1lcmljYS4mI3hEO0RlcGFydG1l
bnQgb2YgT2NjdXBhdGlvbmFsIGFuZCBFbnZpcm9ubWVudGFsIEhlYWx0aCwgVGhlIFVuaXZlcnNp
dHkgb2YgT2tsYWhvbWEgSGVhbHRoIFNjaWVuY2VzIENlbnRlciwgT2tsYWhvbWEgQ2l0eSwgT2ts
YWhvbWEsIFVuaXRlZCBTdGF0ZXMgb2YgQW1lcmljYS4mI3hEO0RlcGFydG1lbnQgb2YgQmlvbWVk
aWNhbCBFbmdpbmVlcmluZywgU3RvbnkgQnJvb2sgVW5pdmVyc2l0eSwgTmV3IFlvcmssIE5ldyBZ
b3JrLCBVbml0ZWQgU3RhdGVzIG9mIEFtZXJpY2EuJiN4RDtEZXBhcnRtZW50IG9mIEVuZG9jcmlu
b2xvZ3ksIERyLiBBTE0gUG9zdCBHcmFkdWF0ZSBJbnN0aXR1dGUgb2YgQmFzaWMgTWVkaWNhbCBT
Y2llbmNlcywgVW5pdmVyc2l0eSBvZiBNYWRyYXMsIFRhcmFtYW5pIENhbXB1cywgQ2hlbm5haSwg
VGFtaWwgTmFkdSwgSW5kaWEuJiN4RDtEZXBhcnRtZW50IG9mIFBlZGlhdHJpY3MsIFRoZSBVbml2
ZXJzaXR5IG9mIE9rbGFob21hIEhlYWx0aCBTY2llbmNlcyBDZW50ZXIsIE9rbGFob21hIENpdHks
IE9rbGFob21hLCBVbml0ZWQgU3RhdGVzIG9mIEFtZXJpY2EuJiN4RDtPa2xhaG9tYSBUb2JhY2Nv
IFJlc2VhcmNoIENlbnRlciwgVGhlIFVuaXZlcnNpdHkgb2YgT2tsYWhvbWEgSGVhbHRoIFNjaWVu
Y2VzIENlbnRlciwgT2tsYWhvbWEgQ2l0eSwgT2tsYWhvbWEsIFVuaXRlZCBTdGF0ZXMgb2YgQW1l
cmljYS4mI3hEO1RoZSBQZWdneSBhbmQgQ2hhcmxlcyBTdGVwaGVuc29uIENhbmNlciBDZW50ZXIs
IFRoZSBVbml2ZXJzaXR5IG9mIE9rbGFob21hIEhlYWx0aCBTY2llbmNlcyBDZW50ZXIsIE9rbGFo
b21hIENpdHksIE9rbGFob21hLCBVbml0ZWQgU3RhdGVzIG9mIEFtZXJpY2EuPC9hdXRoLWFkZHJl
c3M+PHRpdGxlcz48dGl0bGU+RWxlY3Ryb25pYyBjaWdhcmV0dGUgYWVyb3NvbHMgc3VwcHJlc3Mg
Y2VsbHVsYXIgYW50aW94aWRhbnQgZGVmZW5zZXMgYW5kIGluZHVjZSBzaWduaWZpY2FudCBveGlk
YXRpdmUgRE5BIGRhbWFnZTwvdGl0bGU+PHNlY29uZGFyeS10aXRsZT5QTG9TIE9uZTwvc2Vjb25k
YXJ5LXRpdGxlPjxhbHQtdGl0bGU+UGxvUyBvbmU8L2FsdC10aXRsZT48L3RpdGxlcz48cGVyaW9k
aWNhbD48ZnVsbC10aXRsZT5QbG9zIE9uZTwvZnVsbC10aXRsZT48L3BlcmlvZGljYWw+PGFsdC1w
ZXJpb2RpY2FsPjxmdWxsLXRpdGxlPlBsb3MgT25lPC9mdWxsLXRpdGxlPjwvYWx0LXBlcmlvZGlj
YWw+PHBhZ2VzPmUwMTc3NzgwPC9wYWdlcz48dm9sdW1lPjEyPC92b2x1bWU+PG51bWJlcj41PC9u
dW1iZXI+PGVkaXRpb24+MjAxNy8wNS8yNjwvZWRpdGlvbj48a2V5d29yZHM+PGtleXdvcmQ+QWVy
b3NvbHM8L2tleXdvcmQ+PGtleXdvcmQ+QW50aW94aWRhbnRzLyptZXRhYm9saXNtPC9rZXl3b3Jk
PjxrZXl3b3JkPkNlbGwgTGluZTwva2V5d29yZD48a2V5d29yZD4qRE5BIERhbWFnZTwva2V5d29y
ZD48a2V5d29yZD5Eb3NlLVJlc3BvbnNlIFJlbGF0aW9uc2hpcCwgRHJ1Zzwva2V5d29yZD48a2V5
d29yZD5FbGVjdHJvbmljIE5pY290aW5lIERlbGl2ZXJ5IFN5c3RlbXMvKmFkdmVyc2UgZWZmZWN0
czwva2V5d29yZD48a2V5d29yZD5IdW1hbnM8L2tleXdvcmQ+PGtleXdvcmQ+T3hpZGF0aXZlIFN0
cmVzcy8qZHJ1ZyBlZmZlY3RzLypnZW5ldGljczwva2V5d29yZD48a2V5d29yZD5TbW9rZS9hZHZl
cnNlIGVmZmVjdHM8L2tleXdvcmQ+PGtleXdvcmQ+VGltZSBGYWN0b3JzPC9rZXl3b3JkPjwva2V5
d29yZHM+PGRhdGVzPjx5ZWFyPjIwMTc8L3llYXI+PC9kYXRlcz48aXNibj4xOTMyLTYyMDM8L2lz
Ym4+PGFjY2Vzc2lvbi1udW0+Mjg1NDIzMDE8L2FjY2Vzc2lvbi1udW0+PHVybHM+PC91cmxzPjxj
dXN0b20yPlBNQzU0MzY4OTk8L2N1c3RvbTI+PGVsZWN0cm9uaWMtcmVzb3VyY2UtbnVtPjEwLjEz
NzEvam91cm5hbC5wb25lLjAxNzc3ODA8L2VsZWN0cm9uaWMtcmVzb3VyY2UtbnVtPjxyZW1vdGUt
ZGF0YWJhc2UtcHJvdmlkZXI+TkxNPC9yZW1vdGUtZGF0YWJhc2UtcHJvdmlkZXI+PGxhbmd1YWdl
PmVuZzwvbGFuZ3VhZ2U+PC9yZWNvcmQ+PC9DaXRlPjwvRW5kTm90ZT5=
</w:fldData>
            </w:fldChar>
          </w:r>
          <w:r>
            <w:instrText xml:space="preserve"> ADDIN EN.CITE </w:instrText>
          </w:r>
          <w:r>
            <w:fldChar w:fldCharType="begin">
              <w:fldData xml:space="preserve">PEVuZE5vdGU+PENpdGU+PEF1dGhvcj5CaGFyYWR3YWo8L0F1dGhvcj48WWVhcj4yMDE3PC9ZZWFy
PjxSZWNOdW0+MTQ2NTwvUmVjTnVtPjxEaXNwbGF5VGV4dD4oQmhhcmFkd2FqLCBNaXRjaGVsbCBl
dCBhbC4gMjAxNywgR2FuYXBhdGh5LCBNYW55YW5nYSBldCBhbC4gMjAxNyk8L0Rpc3BsYXlUZXh0
PjxyZWNvcmQ+PHJlYy1udW1iZXI+MTQ2NTwvcmVjLW51bWJlcj48Zm9yZWlnbi1rZXlzPjxrZXkg
YXBwPSJFTiIgZGItaWQ9Ijl6MDVkejBwcmFhZGZ1ZWUwem94emVkazl6ZmU1Znh4NTB6NSIgdGlt
ZXN0YW1wPSIxNTIxNTA3MDg1Ij4xNDY1PC9rZXk+PGtleSBhcHA9IkVOV2ViIiBkYi1pZD0iIj4w
PC9rZXk+PC9mb3JlaWduLWtleXM+PHJlZi10eXBlIG5hbWU9IkpvdXJuYWwgQXJ0aWNsZSI+MTc8
L3JlZi10eXBlPjxjb250cmlidXRvcnM+PGF1dGhvcnM+PGF1dGhvcj5CaGFyYWR3YWosIFMuPC9h
dXRob3I+PGF1dGhvcj5NaXRjaGVsbCwgUi4gSi48L2F1dGhvcj48YXV0aG9yPlF1cmVzaGksIEEu
PC9hdXRob3I+PGF1dGhvcj5OaWF6aSwgSi4gSC48L2F1dGhvcj48L2F1dGhvcnM+PC9jb250cmli
dXRvcnM+PGF1dGgtYWRkcmVzcz5TYWJhbmNpIFVuaXZlcnNpdHkgTmFub3RlY2hub2xvZ3kgUmVz
ZWFyY2ggYW5kIEFwcGxpY2F0aW9uIENlbnRlciwgT3J0YSBNYWhhbGxlIDM0OTU2LCBUdXpsYSwg
SXN0YW5idWwsIFR1cmtleS4mI3hEO1NjaG9vbCBvZiBMaWZlIFNjaWVuY2VzLCBVbHNhbiBOYXRp
b25hbCBJbnN0aXR1dGUgb2YgU2NpZW5jZSBhbmQgVGVjaG5vbG9neSwgVWxzYW4gNjg5LTc5OCwg
UmVwdWJsaWMgb2YgS29yZWEuJiN4RDtTYWJhbmNpIFVuaXZlcnNpdHkgTmFub3RlY2hub2xvZ3kg
UmVzZWFyY2ggYW5kIEFwcGxpY2F0aW9uIENlbnRlciwgT3J0YSBNYWhhbGxlIDM0OTU2LCBUdXps
YSwgSXN0YW5idWwsIFR1cmtleS4gRWxlY3Ryb25pYyBhZGRyZXNzOiBqYXZlZEBzYWJhbmNpdW5p
di5lZHUuPC9hdXRoLWFkZHJlc3M+PHRpdGxlcz48dGl0bGU+VG94aWNpdHkgZXZhbHVhdGlvbiBv
ZiBlLWp1aWNlIGFuZCBpdHMgc29sdWJsZSBhZXJvc29scyBnZW5lcmF0ZWQgYnkgZWxlY3Ryb25p
YyBjaWdhcmV0dGVzIHVzaW5nIHJlY29tYmluYW50IGJpb2x1bWluZXNjZW50IGJhY3RlcmlhIHJl
c3BvbnNpdmUgdG8gc3BlY2lmaWMgY2VsbHVsYXIgZGFtYWdlczwvdGl0bGU+PHNlY29uZGFyeS10
aXRsZT5CaW9zZW5zIEJpb2VsZWN0cm9uPC9zZWNvbmRhcnktdGl0bGU+PGFsdC10aXRsZT5CaW9z
ZW5zb3JzICZhbXA7IGJpb2VsZWN0cm9uaWNzPC9hbHQtdGl0bGU+PC90aXRsZXM+PHBlcmlvZGlj
YWw+PGZ1bGwtdGl0bGU+Qmlvc2VucyBCaW9lbGVjdHJvbjwvZnVsbC10aXRsZT48YWJici0xPkJp
b3NlbnNvcnMgJmFtcDsgYmlvZWxlY3Ryb25pY3M8L2FiYnItMT48L3BlcmlvZGljYWw+PGFsdC1w
ZXJpb2RpY2FsPjxmdWxsLXRpdGxlPkJpb3NlbnMgQmlvZWxlY3Ryb248L2Z1bGwtdGl0bGU+PGFi
YnItMT5CaW9zZW5zb3JzICZhbXA7IGJpb2VsZWN0cm9uaWNzPC9hYmJyLTE+PC9hbHQtcGVyaW9k
aWNhbD48cGFnZXM+NTMtNjA8L3BhZ2VzPjx2b2x1bWU+OTA8L3ZvbHVtZT48ZWRpdGlvbj4yMDE2
LzExLzIzPC9lZGl0aW9uPjxrZXl3b3Jkcz48a2V5d29yZD5BZXJvc29scy9jaGVtaXN0cnk8L2tl
eXdvcmQ+PGtleXdvcmQ+QmFjdGVyaWEvKmRydWcgZWZmZWN0cy9nZW5ldGljczwva2V5d29yZD48
a2V5d29yZD5CYWN0ZXJpYWwgUHJvdGVpbnMvZ2VuZXRpY3M8L2tleXdvcmQ+PGtleXdvcmQ+KkJp
b3NlbnNpbmcgVGVjaG5pcXVlczwva2V5d29yZD48a2V5d29yZD5ETkEgRGFtYWdlLypkcnVnIGVm
ZmVjdHM8L2tleXdvcmQ+PGtleXdvcmQ+RE5BLCBSZWNvbWJpbmFudC9jaGVtaXN0cnkvZ2VuZXRp
Y3M8L2tleXdvcmQ+PGtleXdvcmQ+RWxlY3Ryb25pYyBOaWNvdGluZSBEZWxpdmVyeSBTeXN0ZW1z
LyphZHZlcnNlIGVmZmVjdHM8L2tleXdvcmQ+PGtleXdvcmQ+SHVtYW5zPC9rZXl3b3JkPjxrZXl3
b3JkPk94aWRvcmVkdWN0YXNlcy9nZW5ldGljczwva2V5d29yZD48a2V5d29yZD5SZWMgQSBSZWNv
bWJpbmFzZXMvZ2VuZXRpY3M8L2tleXdvcmQ+PGtleXdvcmQ+KkJpb2x1bWluZXNjZW5jZTwva2V5
d29yZD48a2V5d29yZD4qQmlvc2Vuc29yPC9rZXl3b3JkPjxrZXl3b3JkPipFLWNpZ2FyZXR0ZTwv
a2V5d29yZD48a2V5d29yZD4qRS1qdWljZTwva2V5d29yZD48a2V5d29yZD4qVG94aWNpdHk8L2tl
eXdvcmQ+PGtleXdvcmQ+Kmx1eDwva2V5d29yZD48L2tleXdvcmRzPjxkYXRlcz48eWVhcj4yMDE3
PC95ZWFyPjxwdWItZGF0ZXM+PGRhdGU+QXByIDE1PC9kYXRlPjwvcHViLWRhdGVzPjwvZGF0ZXM+
PGlzYm4+MDk1Ni01NjYzPC9pc2JuPjxhY2Nlc3Npb24tbnVtPjI3ODc1NzUyPC9hY2Nlc3Npb24t
bnVtPjx1cmxzPjxyZWxhdGVkLXVybHM+PHVybD5odHRwczovL3d3dy5zY2llbmNlZGlyZWN0LmNv
bS9zY2llbmNlL2FydGljbGUvcGlpL1MwOTU2NTY2MzE2MzExNjc4P3ZpYSUzRGlodWI8L3VybD48
L3JlbGF0ZWQtdXJscz48L3VybHM+PGVsZWN0cm9uaWMtcmVzb3VyY2UtbnVtPjEwLjEwMTYvai5i
aW9zLjIwMTYuMTEuMDI2PC9lbGVjdHJvbmljLXJlc291cmNlLW51bT48cmVtb3RlLWRhdGFiYXNl
LXByb3ZpZGVyPk5MTTwvcmVtb3RlLWRhdGFiYXNlLXByb3ZpZGVyPjxsYW5ndWFnZT5lbmc8L2xh
bmd1YWdlPjwvcmVjb3JkPjwvQ2l0ZT48Q2l0ZT48QXV0aG9yPkdhbmFwYXRoeTwvQXV0aG9yPjxZ
ZWFyPjIwMTc8L1llYXI+PFJlY051bT4xMTMwPC9SZWNOdW0+PHJlY29yZD48cmVjLW51bWJlcj4x
MTMwPC9yZWMtbnVtYmVyPjxmb3JlaWduLWtleXM+PGtleSBhcHA9IkVOIiBkYi1pZD0iOXowNWR6
MHByYWFkZnVlZTB6b3h6ZWRrOXpmZTVmeHg1MHo1IiB0aW1lc3RhbXA9IjE1MjE1MDcwMDciPjEx
MzA8L2tleT48a2V5IGFwcD0iRU5XZWIiIGRiLWlkPSIiPjA8L2tleT48L2ZvcmVpZ24ta2V5cz48
cmVmLXR5cGUgbmFtZT0iSm91cm5hbCBBcnRpY2xlIj4xNzwvcmVmLXR5cGU+PGNvbnRyaWJ1dG9y
cz48YXV0aG9ycz48YXV0aG9yPkdhbmFwYXRoeSwgVi48L2F1dGhvcj48YXV0aG9yPk1hbnlhbmdh
LCBKLjwvYXV0aG9yPjxhdXRob3I+QnJhbWUsIEwuPC9hdXRob3I+PGF1dGhvcj5NY0d1aXJlLCBE
LjwvYXV0aG9yPjxhdXRob3I+U2FkaGFzaXZhbSwgQi48L2F1dGhvcj48YXV0aG9yPkZsb3lkLCBF
LjwvYXV0aG9yPjxhdXRob3I+UnViZW5zdGVpbiwgRC4gQS48L2F1dGhvcj48YXV0aG9yPlJhbWFj
aGFuZHJhbiwgSS48L2F1dGhvcj48YXV0aG9yPldhZ2VuZXIsIFQuPC9hdXRob3I+PGF1dGhvcj5R
dWVpbWFkbywgTC48L2F1dGhvcj48L2F1dGhvcnM+PC9jb250cmlidXRvcnM+PGF1dGgtYWRkcmVz
cz5EZXBhcnRtZW50IG9mIE90b3JoaW5vbGFyeW5nb2xvZ3ksIFRoZSBVbml2ZXJzaXR5IG9mIE9r
bGFob21hIEhlYWx0aCBTY2llbmNlcyBDZW50ZXIsIE9rbGFob21hIENpdHksIE9rbGFob21hLCBV
bml0ZWQgU3RhdGVzIG9mIEFtZXJpY2EuJiN4RDtEZXBhcnRtZW50IG9mIENlbGwgQmlvbG9neSwg
VGhlIFVuaXZlcnNpdHkgb2YgT2tsYWhvbWEgSGVhbHRoIFNjaWVuY2VzIENlbnRlciwgT2tsYWhv
bWEgQ2l0eSwgT2tsYWhvbWEsIFVuaXRlZCBTdGF0ZXMgb2YgQW1lcmljYS4mI3hEO0RlcGFydG1l
bnQgb2YgT2NjdXBhdGlvbmFsIGFuZCBFbnZpcm9ubWVudGFsIEhlYWx0aCwgVGhlIFVuaXZlcnNp
dHkgb2YgT2tsYWhvbWEgSGVhbHRoIFNjaWVuY2VzIENlbnRlciwgT2tsYWhvbWEgQ2l0eSwgT2ts
YWhvbWEsIFVuaXRlZCBTdGF0ZXMgb2YgQW1lcmljYS4mI3hEO0RlcGFydG1lbnQgb2YgQmlvbWVk
aWNhbCBFbmdpbmVlcmluZywgU3RvbnkgQnJvb2sgVW5pdmVyc2l0eSwgTmV3IFlvcmssIE5ldyBZ
b3JrLCBVbml0ZWQgU3RhdGVzIG9mIEFtZXJpY2EuJiN4RDtEZXBhcnRtZW50IG9mIEVuZG9jcmlu
b2xvZ3ksIERyLiBBTE0gUG9zdCBHcmFkdWF0ZSBJbnN0aXR1dGUgb2YgQmFzaWMgTWVkaWNhbCBT
Y2llbmNlcywgVW5pdmVyc2l0eSBvZiBNYWRyYXMsIFRhcmFtYW5pIENhbXB1cywgQ2hlbm5haSwg
VGFtaWwgTmFkdSwgSW5kaWEuJiN4RDtEZXBhcnRtZW50IG9mIFBlZGlhdHJpY3MsIFRoZSBVbml2
ZXJzaXR5IG9mIE9rbGFob21hIEhlYWx0aCBTY2llbmNlcyBDZW50ZXIsIE9rbGFob21hIENpdHks
IE9rbGFob21hLCBVbml0ZWQgU3RhdGVzIG9mIEFtZXJpY2EuJiN4RDtPa2xhaG9tYSBUb2JhY2Nv
IFJlc2VhcmNoIENlbnRlciwgVGhlIFVuaXZlcnNpdHkgb2YgT2tsYWhvbWEgSGVhbHRoIFNjaWVu
Y2VzIENlbnRlciwgT2tsYWhvbWEgQ2l0eSwgT2tsYWhvbWEsIFVuaXRlZCBTdGF0ZXMgb2YgQW1l
cmljYS4mI3hEO1RoZSBQZWdneSBhbmQgQ2hhcmxlcyBTdGVwaGVuc29uIENhbmNlciBDZW50ZXIs
IFRoZSBVbml2ZXJzaXR5IG9mIE9rbGFob21hIEhlYWx0aCBTY2llbmNlcyBDZW50ZXIsIE9rbGFo
b21hIENpdHksIE9rbGFob21hLCBVbml0ZWQgU3RhdGVzIG9mIEFtZXJpY2EuPC9hdXRoLWFkZHJl
c3M+PHRpdGxlcz48dGl0bGU+RWxlY3Ryb25pYyBjaWdhcmV0dGUgYWVyb3NvbHMgc3VwcHJlc3Mg
Y2VsbHVsYXIgYW50aW94aWRhbnQgZGVmZW5zZXMgYW5kIGluZHVjZSBzaWduaWZpY2FudCBveGlk
YXRpdmUgRE5BIGRhbWFnZTwvdGl0bGU+PHNlY29uZGFyeS10aXRsZT5QTG9TIE9uZTwvc2Vjb25k
YXJ5LXRpdGxlPjxhbHQtdGl0bGU+UGxvUyBvbmU8L2FsdC10aXRsZT48L3RpdGxlcz48cGVyaW9k
aWNhbD48ZnVsbC10aXRsZT5QbG9zIE9uZTwvZnVsbC10aXRsZT48L3BlcmlvZGljYWw+PGFsdC1w
ZXJpb2RpY2FsPjxmdWxsLXRpdGxlPlBsb3MgT25lPC9mdWxsLXRpdGxlPjwvYWx0LXBlcmlvZGlj
YWw+PHBhZ2VzPmUwMTc3NzgwPC9wYWdlcz48dm9sdW1lPjEyPC92b2x1bWU+PG51bWJlcj41PC9u
dW1iZXI+PGVkaXRpb24+MjAxNy8wNS8yNjwvZWRpdGlvbj48a2V5d29yZHM+PGtleXdvcmQ+QWVy
b3NvbHM8L2tleXdvcmQ+PGtleXdvcmQ+QW50aW94aWRhbnRzLyptZXRhYm9saXNtPC9rZXl3b3Jk
PjxrZXl3b3JkPkNlbGwgTGluZTwva2V5d29yZD48a2V5d29yZD4qRE5BIERhbWFnZTwva2V5d29y
ZD48a2V5d29yZD5Eb3NlLVJlc3BvbnNlIFJlbGF0aW9uc2hpcCwgRHJ1Zzwva2V5d29yZD48a2V5
d29yZD5FbGVjdHJvbmljIE5pY290aW5lIERlbGl2ZXJ5IFN5c3RlbXMvKmFkdmVyc2UgZWZmZWN0
czwva2V5d29yZD48a2V5d29yZD5IdW1hbnM8L2tleXdvcmQ+PGtleXdvcmQ+T3hpZGF0aXZlIFN0
cmVzcy8qZHJ1ZyBlZmZlY3RzLypnZW5ldGljczwva2V5d29yZD48a2V5d29yZD5TbW9rZS9hZHZl
cnNlIGVmZmVjdHM8L2tleXdvcmQ+PGtleXdvcmQ+VGltZSBGYWN0b3JzPC9rZXl3b3JkPjwva2V5
d29yZHM+PGRhdGVzPjx5ZWFyPjIwMTc8L3llYXI+PC9kYXRlcz48aXNibj4xOTMyLTYyMDM8L2lz
Ym4+PGFjY2Vzc2lvbi1udW0+Mjg1NDIzMDE8L2FjY2Vzc2lvbi1udW0+PHVybHM+PC91cmxzPjxj
dXN0b20yPlBNQzU0MzY4OTk8L2N1c3RvbTI+PGVsZWN0cm9uaWMtcmVzb3VyY2UtbnVtPjEwLjEz
NzEvam91cm5hbC5wb25lLjAxNzc3ODA8L2VsZWN0cm9uaWMtcmVzb3VyY2UtbnVtPjxyZW1vdGUt
ZGF0YWJhc2UtcHJvdmlkZXI+TkxNPC9yZW1vdGUtZGF0YWJhc2UtcHJvdmlkZXI+PGxhbmd1YWdl
PmVuZzwvbGFuZ3VhZ2U+PC9yZWNvcmQ+PC9DaXRlPjwvRW5kTm90ZT5=
</w:fldData>
            </w:fldChar>
          </w:r>
          <w:r>
            <w:instrText xml:space="preserve"> ADDIN EN.CITE.DATA </w:instrText>
          </w:r>
          <w:r>
            <w:fldChar w:fldCharType="end"/>
          </w:r>
          <w:r>
            <w:fldChar w:fldCharType="separate"/>
          </w:r>
          <w:r>
            <w:rPr>
              <w:noProof/>
            </w:rPr>
            <w:t>(Bharadwaj, Mitchell et al. 2017, Ganapathy, Manyanga et al. 2017)</w:t>
          </w:r>
          <w:r>
            <w:fldChar w:fldCharType="end"/>
          </w:r>
          <w:r>
            <w:t xml:space="preserve">, cigarette smoke extracts were more damaging to DNA found in oral and lung epithelial cells </w:t>
          </w:r>
          <w:r>
            <w:fldChar w:fldCharType="begin">
              <w:fldData xml:space="preserve">PEVuZE5vdGU+PENpdGU+PEF1dGhvcj5HYW5hcGF0aHk8L0F1dGhvcj48WWVhcj4yMDE3PC9ZZWFy
PjxSZWNOdW0+MTEzMDwvUmVjTnVtPjxEaXNwbGF5VGV4dD4oR2FuYXBhdGh5LCBNYW55YW5nYSBl
dCBhbC4gMjAxNyk8L0Rpc3BsYXlUZXh0PjxyZWNvcmQ+PHJlYy1udW1iZXI+MTEzMDwvcmVjLW51
bWJlcj48Zm9yZWlnbi1rZXlzPjxrZXkgYXBwPSJFTiIgZGItaWQ9Ijl6MDVkejBwcmFhZGZ1ZWUw
em94emVkazl6ZmU1Znh4NTB6NSIgdGltZXN0YW1wPSIxNTIxNTA3MDA3Ij4xMTMwPC9rZXk+PGtl
eSBhcHA9IkVOV2ViIiBkYi1pZD0iIj4wPC9rZXk+PC9mb3JlaWduLWtleXM+PHJlZi10eXBlIG5h
bWU9IkpvdXJuYWwgQXJ0aWNsZSI+MTc8L3JlZi10eXBlPjxjb250cmlidXRvcnM+PGF1dGhvcnM+
PGF1dGhvcj5HYW5hcGF0aHksIFYuPC9hdXRob3I+PGF1dGhvcj5NYW55YW5nYSwgSi48L2F1dGhv
cj48YXV0aG9yPkJyYW1lLCBMLjwvYXV0aG9yPjxhdXRob3I+TWNHdWlyZSwgRC48L2F1dGhvcj48
YXV0aG9yPlNhZGhhc2l2YW0sIEIuPC9hdXRob3I+PGF1dGhvcj5GbG95ZCwgRS48L2F1dGhvcj48
YXV0aG9yPlJ1YmVuc3RlaW4sIEQuIEEuPC9hdXRob3I+PGF1dGhvcj5SYW1hY2hhbmRyYW4sIEku
PC9hdXRob3I+PGF1dGhvcj5XYWdlbmVyLCBULjwvYXV0aG9yPjxhdXRob3I+UXVlaW1hZG8sIEwu
PC9hdXRob3I+PC9hdXRob3JzPjwvY29udHJpYnV0b3JzPjxhdXRoLWFkZHJlc3M+RGVwYXJ0bWVu
dCBvZiBPdG9yaGlub2xhcnluZ29sb2d5LCBUaGUgVW5pdmVyc2l0eSBvZiBPa2xhaG9tYSBIZWFs
dGggU2NpZW5jZXMgQ2VudGVyLCBPa2xhaG9tYSBDaXR5LCBPa2xhaG9tYSwgVW5pdGVkIFN0YXRl
cyBvZiBBbWVyaWNhLiYjeEQ7RGVwYXJ0bWVudCBvZiBDZWxsIEJpb2xvZ3ksIFRoZSBVbml2ZXJz
aXR5IG9mIE9rbGFob21hIEhlYWx0aCBTY2llbmNlcyBDZW50ZXIsIE9rbGFob21hIENpdHksIE9r
bGFob21hLCBVbml0ZWQgU3RhdGVzIG9mIEFtZXJpY2EuJiN4RDtEZXBhcnRtZW50IG9mIE9jY3Vw
YXRpb25hbCBhbmQgRW52aXJvbm1lbnRhbCBIZWFsdGgsIFRoZSBVbml2ZXJzaXR5IG9mIE9rbGFo
b21hIEhlYWx0aCBTY2llbmNlcyBDZW50ZXIsIE9rbGFob21hIENpdHksIE9rbGFob21hLCBVbml0
ZWQgU3RhdGVzIG9mIEFtZXJpY2EuJiN4RDtEZXBhcnRtZW50IG9mIEJpb21lZGljYWwgRW5naW5l
ZXJpbmcsIFN0b255IEJyb29rIFVuaXZlcnNpdHksIE5ldyBZb3JrLCBOZXcgWW9yaywgVW5pdGVk
IFN0YXRlcyBvZiBBbWVyaWNhLiYjeEQ7RGVwYXJ0bWVudCBvZiBFbmRvY3Jpbm9sb2d5LCBEci4g
QUxNIFBvc3QgR3JhZHVhdGUgSW5zdGl0dXRlIG9mIEJhc2ljIE1lZGljYWwgU2NpZW5jZXMsIFVu
aXZlcnNpdHkgb2YgTWFkcmFzLCBUYXJhbWFuaSBDYW1wdXMsIENoZW5uYWksIFRhbWlsIE5hZHUs
IEluZGlhLiYjeEQ7RGVwYXJ0bWVudCBvZiBQZWRpYXRyaWNzLCBUaGUgVW5pdmVyc2l0eSBvZiBP
a2xhaG9tYSBIZWFsdGggU2NpZW5jZXMgQ2VudGVyLCBPa2xhaG9tYSBDaXR5LCBPa2xhaG9tYSwg
VW5pdGVkIFN0YXRlcyBvZiBBbWVyaWNhLiYjeEQ7T2tsYWhvbWEgVG9iYWNjbyBSZXNlYXJjaCBD
ZW50ZXIsIFRoZSBVbml2ZXJzaXR5IG9mIE9rbGFob21hIEhlYWx0aCBTY2llbmNlcyBDZW50ZXIs
IE9rbGFob21hIENpdHksIE9rbGFob21hLCBVbml0ZWQgU3RhdGVzIG9mIEFtZXJpY2EuJiN4RDtU
aGUgUGVnZ3kgYW5kIENoYXJsZXMgU3RlcGhlbnNvbiBDYW5jZXIgQ2VudGVyLCBUaGUgVW5pdmVy
c2l0eSBvZiBPa2xhaG9tYSBIZWFsdGggU2NpZW5jZXMgQ2VudGVyLCBPa2xhaG9tYSBDaXR5LCBP
a2xhaG9tYSwgVW5pdGVkIFN0YXRlcyBvZiBBbWVyaWNhLjwvYXV0aC1hZGRyZXNzPjx0aXRsZXM+
PHRpdGxlPkVsZWN0cm9uaWMgY2lnYXJldHRlIGFlcm9zb2xzIHN1cHByZXNzIGNlbGx1bGFyIGFu
dGlveGlkYW50IGRlZmVuc2VzIGFuZCBpbmR1Y2Ugc2lnbmlmaWNhbnQgb3hpZGF0aXZlIEROQSBk
YW1hZ2U8L3RpdGxlPjxzZWNvbmRhcnktdGl0bGU+UExvUyBPbmU8L3NlY29uZGFyeS10aXRsZT48
YWx0LXRpdGxlPlBsb1Mgb25lPC9hbHQtdGl0bGU+PC90aXRsZXM+PHBlcmlvZGljYWw+PGZ1bGwt
dGl0bGU+UGxvcyBPbmU8L2Z1bGwtdGl0bGU+PC9wZXJpb2RpY2FsPjxhbHQtcGVyaW9kaWNhbD48
ZnVsbC10aXRsZT5QbG9zIE9uZTwvZnVsbC10aXRsZT48L2FsdC1wZXJpb2RpY2FsPjxwYWdlcz5l
MDE3Nzc4MDwvcGFnZXM+PHZvbHVtZT4xMjwvdm9sdW1lPjxudW1iZXI+NTwvbnVtYmVyPjxlZGl0
aW9uPjIwMTcvMDUvMjY8L2VkaXRpb24+PGtleXdvcmRzPjxrZXl3b3JkPkFlcm9zb2xzPC9rZXl3
b3JkPjxrZXl3b3JkPkFudGlveGlkYW50cy8qbWV0YWJvbGlzbTwva2V5d29yZD48a2V5d29yZD5D
ZWxsIExpbmU8L2tleXdvcmQ+PGtleXdvcmQ+KkROQSBEYW1hZ2U8L2tleXdvcmQ+PGtleXdvcmQ+
RG9zZS1SZXNwb25zZSBSZWxhdGlvbnNoaXAsIERydWc8L2tleXdvcmQ+PGtleXdvcmQ+RWxlY3Ry
b25pYyBOaWNvdGluZSBEZWxpdmVyeSBTeXN0ZW1zLyphZHZlcnNlIGVmZmVjdHM8L2tleXdvcmQ+
PGtleXdvcmQ+SHVtYW5zPC9rZXl3b3JkPjxrZXl3b3JkPk94aWRhdGl2ZSBTdHJlc3MvKmRydWcg
ZWZmZWN0cy8qZ2VuZXRpY3M8L2tleXdvcmQ+PGtleXdvcmQ+U21va2UvYWR2ZXJzZSBlZmZlY3Rz
PC9rZXl3b3JkPjxrZXl3b3JkPlRpbWUgRmFjdG9yczwva2V5d29yZD48L2tleXdvcmRzPjxkYXRl
cz48eWVhcj4yMDE3PC95ZWFyPjwvZGF0ZXM+PGlzYm4+MTkzMi02MjAzPC9pc2JuPjxhY2Nlc3Np
b24tbnVtPjI4NTQyMzAxPC9hY2Nlc3Npb24tbnVtPjx1cmxzPjwvdXJscz48Y3VzdG9tMj5QTUM1
NDM2ODk5PC9jdXN0b20yPjxlbGVjdHJvbmljLXJlc291cmNlLW51bT4xMC4xMzcxL2pvdXJuYWwu
cG9uZS4wMTc3NzgwPC9lbGVjdHJvbmljLXJlc291cmNlLW51bT48cmVtb3RlLWRhdGFiYXNlLXBy
b3ZpZGVyPk5MTTwvcmVtb3RlLWRhdGFiYXNlLXByb3ZpZGVyPjxsYW5ndWFnZT5lbmc8L2xhbmd1
YWdlPjwvcmVjb3JkPjwvQ2l0ZT48L0VuZE5vdGU+AG==
</w:fldData>
            </w:fldChar>
          </w:r>
          <w:r>
            <w:instrText xml:space="preserve"> ADDIN EN.CITE </w:instrText>
          </w:r>
          <w:r>
            <w:fldChar w:fldCharType="begin">
              <w:fldData xml:space="preserve">PEVuZE5vdGU+PENpdGU+PEF1dGhvcj5HYW5hcGF0aHk8L0F1dGhvcj48WWVhcj4yMDE3PC9ZZWFy
PjxSZWNOdW0+MTEzMDwvUmVjTnVtPjxEaXNwbGF5VGV4dD4oR2FuYXBhdGh5LCBNYW55YW5nYSBl
dCBhbC4gMjAxNyk8L0Rpc3BsYXlUZXh0PjxyZWNvcmQ+PHJlYy1udW1iZXI+MTEzMDwvcmVjLW51
bWJlcj48Zm9yZWlnbi1rZXlzPjxrZXkgYXBwPSJFTiIgZGItaWQ9Ijl6MDVkejBwcmFhZGZ1ZWUw
em94emVkazl6ZmU1Znh4NTB6NSIgdGltZXN0YW1wPSIxNTIxNTA3MDA3Ij4xMTMwPC9rZXk+PGtl
eSBhcHA9IkVOV2ViIiBkYi1pZD0iIj4wPC9rZXk+PC9mb3JlaWduLWtleXM+PHJlZi10eXBlIG5h
bWU9IkpvdXJuYWwgQXJ0aWNsZSI+MTc8L3JlZi10eXBlPjxjb250cmlidXRvcnM+PGF1dGhvcnM+
PGF1dGhvcj5HYW5hcGF0aHksIFYuPC9hdXRob3I+PGF1dGhvcj5NYW55YW5nYSwgSi48L2F1dGhv
cj48YXV0aG9yPkJyYW1lLCBMLjwvYXV0aG9yPjxhdXRob3I+TWNHdWlyZSwgRC48L2F1dGhvcj48
YXV0aG9yPlNhZGhhc2l2YW0sIEIuPC9hdXRob3I+PGF1dGhvcj5GbG95ZCwgRS48L2F1dGhvcj48
YXV0aG9yPlJ1YmVuc3RlaW4sIEQuIEEuPC9hdXRob3I+PGF1dGhvcj5SYW1hY2hhbmRyYW4sIEku
PC9hdXRob3I+PGF1dGhvcj5XYWdlbmVyLCBULjwvYXV0aG9yPjxhdXRob3I+UXVlaW1hZG8sIEwu
PC9hdXRob3I+PC9hdXRob3JzPjwvY29udHJpYnV0b3JzPjxhdXRoLWFkZHJlc3M+RGVwYXJ0bWVu
dCBvZiBPdG9yaGlub2xhcnluZ29sb2d5LCBUaGUgVW5pdmVyc2l0eSBvZiBPa2xhaG9tYSBIZWFs
dGggU2NpZW5jZXMgQ2VudGVyLCBPa2xhaG9tYSBDaXR5LCBPa2xhaG9tYSwgVW5pdGVkIFN0YXRl
cyBvZiBBbWVyaWNhLiYjeEQ7RGVwYXJ0bWVudCBvZiBDZWxsIEJpb2xvZ3ksIFRoZSBVbml2ZXJz
aXR5IG9mIE9rbGFob21hIEhlYWx0aCBTY2llbmNlcyBDZW50ZXIsIE9rbGFob21hIENpdHksIE9r
bGFob21hLCBVbml0ZWQgU3RhdGVzIG9mIEFtZXJpY2EuJiN4RDtEZXBhcnRtZW50IG9mIE9jY3Vw
YXRpb25hbCBhbmQgRW52aXJvbm1lbnRhbCBIZWFsdGgsIFRoZSBVbml2ZXJzaXR5IG9mIE9rbGFo
b21hIEhlYWx0aCBTY2llbmNlcyBDZW50ZXIsIE9rbGFob21hIENpdHksIE9rbGFob21hLCBVbml0
ZWQgU3RhdGVzIG9mIEFtZXJpY2EuJiN4RDtEZXBhcnRtZW50IG9mIEJpb21lZGljYWwgRW5naW5l
ZXJpbmcsIFN0b255IEJyb29rIFVuaXZlcnNpdHksIE5ldyBZb3JrLCBOZXcgWW9yaywgVW5pdGVk
IFN0YXRlcyBvZiBBbWVyaWNhLiYjeEQ7RGVwYXJ0bWVudCBvZiBFbmRvY3Jpbm9sb2d5LCBEci4g
QUxNIFBvc3QgR3JhZHVhdGUgSW5zdGl0dXRlIG9mIEJhc2ljIE1lZGljYWwgU2NpZW5jZXMsIFVu
aXZlcnNpdHkgb2YgTWFkcmFzLCBUYXJhbWFuaSBDYW1wdXMsIENoZW5uYWksIFRhbWlsIE5hZHUs
IEluZGlhLiYjeEQ7RGVwYXJ0bWVudCBvZiBQZWRpYXRyaWNzLCBUaGUgVW5pdmVyc2l0eSBvZiBP
a2xhaG9tYSBIZWFsdGggU2NpZW5jZXMgQ2VudGVyLCBPa2xhaG9tYSBDaXR5LCBPa2xhaG9tYSwg
VW5pdGVkIFN0YXRlcyBvZiBBbWVyaWNhLiYjeEQ7T2tsYWhvbWEgVG9iYWNjbyBSZXNlYXJjaCBD
ZW50ZXIsIFRoZSBVbml2ZXJzaXR5IG9mIE9rbGFob21hIEhlYWx0aCBTY2llbmNlcyBDZW50ZXIs
IE9rbGFob21hIENpdHksIE9rbGFob21hLCBVbml0ZWQgU3RhdGVzIG9mIEFtZXJpY2EuJiN4RDtU
aGUgUGVnZ3kgYW5kIENoYXJsZXMgU3RlcGhlbnNvbiBDYW5jZXIgQ2VudGVyLCBUaGUgVW5pdmVy
c2l0eSBvZiBPa2xhaG9tYSBIZWFsdGggU2NpZW5jZXMgQ2VudGVyLCBPa2xhaG9tYSBDaXR5LCBP
a2xhaG9tYSwgVW5pdGVkIFN0YXRlcyBvZiBBbWVyaWNhLjwvYXV0aC1hZGRyZXNzPjx0aXRsZXM+
PHRpdGxlPkVsZWN0cm9uaWMgY2lnYXJldHRlIGFlcm9zb2xzIHN1cHByZXNzIGNlbGx1bGFyIGFu
dGlveGlkYW50IGRlZmVuc2VzIGFuZCBpbmR1Y2Ugc2lnbmlmaWNhbnQgb3hpZGF0aXZlIEROQSBk
YW1hZ2U8L3RpdGxlPjxzZWNvbmRhcnktdGl0bGU+UExvUyBPbmU8L3NlY29uZGFyeS10aXRsZT48
YWx0LXRpdGxlPlBsb1Mgb25lPC9hbHQtdGl0bGU+PC90aXRsZXM+PHBlcmlvZGljYWw+PGZ1bGwt
dGl0bGU+UGxvcyBPbmU8L2Z1bGwtdGl0bGU+PC9wZXJpb2RpY2FsPjxhbHQtcGVyaW9kaWNhbD48
ZnVsbC10aXRsZT5QbG9zIE9uZTwvZnVsbC10aXRsZT48L2FsdC1wZXJpb2RpY2FsPjxwYWdlcz5l
MDE3Nzc4MDwvcGFnZXM+PHZvbHVtZT4xMjwvdm9sdW1lPjxudW1iZXI+NTwvbnVtYmVyPjxlZGl0
aW9uPjIwMTcvMDUvMjY8L2VkaXRpb24+PGtleXdvcmRzPjxrZXl3b3JkPkFlcm9zb2xzPC9rZXl3
b3JkPjxrZXl3b3JkPkFudGlveGlkYW50cy8qbWV0YWJvbGlzbTwva2V5d29yZD48a2V5d29yZD5D
ZWxsIExpbmU8L2tleXdvcmQ+PGtleXdvcmQ+KkROQSBEYW1hZ2U8L2tleXdvcmQ+PGtleXdvcmQ+
RG9zZS1SZXNwb25zZSBSZWxhdGlvbnNoaXAsIERydWc8L2tleXdvcmQ+PGtleXdvcmQ+RWxlY3Ry
b25pYyBOaWNvdGluZSBEZWxpdmVyeSBTeXN0ZW1zLyphZHZlcnNlIGVmZmVjdHM8L2tleXdvcmQ+
PGtleXdvcmQ+SHVtYW5zPC9rZXl3b3JkPjxrZXl3b3JkPk94aWRhdGl2ZSBTdHJlc3MvKmRydWcg
ZWZmZWN0cy8qZ2VuZXRpY3M8L2tleXdvcmQ+PGtleXdvcmQ+U21va2UvYWR2ZXJzZSBlZmZlY3Rz
PC9rZXl3b3JkPjxrZXl3b3JkPlRpbWUgRmFjdG9yczwva2V5d29yZD48L2tleXdvcmRzPjxkYXRl
cz48eWVhcj4yMDE3PC95ZWFyPjwvZGF0ZXM+PGlzYm4+MTkzMi02MjAzPC9pc2JuPjxhY2Nlc3Np
b24tbnVtPjI4NTQyMzAxPC9hY2Nlc3Npb24tbnVtPjx1cmxzPjwvdXJscz48Y3VzdG9tMj5QTUM1
NDM2ODk5PC9jdXN0b20yPjxlbGVjdHJvbmljLXJlc291cmNlLW51bT4xMC4xMzcxL2pvdXJuYWwu
cG9uZS4wMTc3NzgwPC9lbGVjdHJvbmljLXJlc291cmNlLW51bT48cmVtb3RlLWRhdGFiYXNlLXBy
b3ZpZGVyPk5MTTwvcmVtb3RlLWRhdGFiYXNlLXByb3ZpZGVyPjxsYW5ndWFnZT5lbmc8L2xhbmd1
YWdlPjwvcmVjb3JkPjwvQ2l0ZT48L0VuZE5vdGU+AG==
</w:fldData>
            </w:fldChar>
          </w:r>
          <w:r>
            <w:instrText xml:space="preserve"> ADDIN EN.CITE.DATA </w:instrText>
          </w:r>
          <w:r>
            <w:fldChar w:fldCharType="end"/>
          </w:r>
          <w:r>
            <w:fldChar w:fldCharType="separate"/>
          </w:r>
          <w:r>
            <w:rPr>
              <w:noProof/>
            </w:rPr>
            <w:t>(Ganapathy, Manyanga et al. 2017)</w:t>
          </w:r>
          <w:r>
            <w:fldChar w:fldCharType="end"/>
          </w:r>
          <w:r>
            <w:t xml:space="preserve">. </w:t>
          </w:r>
          <w:r w:rsidRPr="00520F3B">
            <w:t>A reduction in proteins associated with DNA damage removal was also found in some cells exposed to e-cigarettes and all cells exposed to cigarette smoke</w:t>
          </w:r>
          <w:r>
            <w:t xml:space="preserve"> </w:t>
          </w:r>
          <w:r>
            <w:fldChar w:fldCharType="begin">
              <w:fldData xml:space="preserve">PEVuZE5vdGU+PENpdGU+PEF1dGhvcj5HYW5hcGF0aHk8L0F1dGhvcj48WWVhcj4yMDE3PC9ZZWFy
PjxSZWNOdW0+MTEzMDwvUmVjTnVtPjxEaXNwbGF5VGV4dD4oR2FuYXBhdGh5LCBNYW55YW5nYSBl
dCBhbC4gMjAxNyk8L0Rpc3BsYXlUZXh0PjxyZWNvcmQ+PHJlYy1udW1iZXI+MTEzMDwvcmVjLW51
bWJlcj48Zm9yZWlnbi1rZXlzPjxrZXkgYXBwPSJFTiIgZGItaWQ9Ijl6MDVkejBwcmFhZGZ1ZWUw
em94emVkazl6ZmU1Znh4NTB6NSIgdGltZXN0YW1wPSIxNTIxNTA3MDA3Ij4xMTMwPC9rZXk+PGtl
eSBhcHA9IkVOV2ViIiBkYi1pZD0iIj4wPC9rZXk+PC9mb3JlaWduLWtleXM+PHJlZi10eXBlIG5h
bWU9IkpvdXJuYWwgQXJ0aWNsZSI+MTc8L3JlZi10eXBlPjxjb250cmlidXRvcnM+PGF1dGhvcnM+
PGF1dGhvcj5HYW5hcGF0aHksIFYuPC9hdXRob3I+PGF1dGhvcj5NYW55YW5nYSwgSi48L2F1dGhv
cj48YXV0aG9yPkJyYW1lLCBMLjwvYXV0aG9yPjxhdXRob3I+TWNHdWlyZSwgRC48L2F1dGhvcj48
YXV0aG9yPlNhZGhhc2l2YW0sIEIuPC9hdXRob3I+PGF1dGhvcj5GbG95ZCwgRS48L2F1dGhvcj48
YXV0aG9yPlJ1YmVuc3RlaW4sIEQuIEEuPC9hdXRob3I+PGF1dGhvcj5SYW1hY2hhbmRyYW4sIEku
PC9hdXRob3I+PGF1dGhvcj5XYWdlbmVyLCBULjwvYXV0aG9yPjxhdXRob3I+UXVlaW1hZG8sIEwu
PC9hdXRob3I+PC9hdXRob3JzPjwvY29udHJpYnV0b3JzPjxhdXRoLWFkZHJlc3M+RGVwYXJ0bWVu
dCBvZiBPdG9yaGlub2xhcnluZ29sb2d5LCBUaGUgVW5pdmVyc2l0eSBvZiBPa2xhaG9tYSBIZWFs
dGggU2NpZW5jZXMgQ2VudGVyLCBPa2xhaG9tYSBDaXR5LCBPa2xhaG9tYSwgVW5pdGVkIFN0YXRl
cyBvZiBBbWVyaWNhLiYjeEQ7RGVwYXJ0bWVudCBvZiBDZWxsIEJpb2xvZ3ksIFRoZSBVbml2ZXJz
aXR5IG9mIE9rbGFob21hIEhlYWx0aCBTY2llbmNlcyBDZW50ZXIsIE9rbGFob21hIENpdHksIE9r
bGFob21hLCBVbml0ZWQgU3RhdGVzIG9mIEFtZXJpY2EuJiN4RDtEZXBhcnRtZW50IG9mIE9jY3Vw
YXRpb25hbCBhbmQgRW52aXJvbm1lbnRhbCBIZWFsdGgsIFRoZSBVbml2ZXJzaXR5IG9mIE9rbGFo
b21hIEhlYWx0aCBTY2llbmNlcyBDZW50ZXIsIE9rbGFob21hIENpdHksIE9rbGFob21hLCBVbml0
ZWQgU3RhdGVzIG9mIEFtZXJpY2EuJiN4RDtEZXBhcnRtZW50IG9mIEJpb21lZGljYWwgRW5naW5l
ZXJpbmcsIFN0b255IEJyb29rIFVuaXZlcnNpdHksIE5ldyBZb3JrLCBOZXcgWW9yaywgVW5pdGVk
IFN0YXRlcyBvZiBBbWVyaWNhLiYjeEQ7RGVwYXJ0bWVudCBvZiBFbmRvY3Jpbm9sb2d5LCBEci4g
QUxNIFBvc3QgR3JhZHVhdGUgSW5zdGl0dXRlIG9mIEJhc2ljIE1lZGljYWwgU2NpZW5jZXMsIFVu
aXZlcnNpdHkgb2YgTWFkcmFzLCBUYXJhbWFuaSBDYW1wdXMsIENoZW5uYWksIFRhbWlsIE5hZHUs
IEluZGlhLiYjeEQ7RGVwYXJ0bWVudCBvZiBQZWRpYXRyaWNzLCBUaGUgVW5pdmVyc2l0eSBvZiBP
a2xhaG9tYSBIZWFsdGggU2NpZW5jZXMgQ2VudGVyLCBPa2xhaG9tYSBDaXR5LCBPa2xhaG9tYSwg
VW5pdGVkIFN0YXRlcyBvZiBBbWVyaWNhLiYjeEQ7T2tsYWhvbWEgVG9iYWNjbyBSZXNlYXJjaCBD
ZW50ZXIsIFRoZSBVbml2ZXJzaXR5IG9mIE9rbGFob21hIEhlYWx0aCBTY2llbmNlcyBDZW50ZXIs
IE9rbGFob21hIENpdHksIE9rbGFob21hLCBVbml0ZWQgU3RhdGVzIG9mIEFtZXJpY2EuJiN4RDtU
aGUgUGVnZ3kgYW5kIENoYXJsZXMgU3RlcGhlbnNvbiBDYW5jZXIgQ2VudGVyLCBUaGUgVW5pdmVy
c2l0eSBvZiBPa2xhaG9tYSBIZWFsdGggU2NpZW5jZXMgQ2VudGVyLCBPa2xhaG9tYSBDaXR5LCBP
a2xhaG9tYSwgVW5pdGVkIFN0YXRlcyBvZiBBbWVyaWNhLjwvYXV0aC1hZGRyZXNzPjx0aXRsZXM+
PHRpdGxlPkVsZWN0cm9uaWMgY2lnYXJldHRlIGFlcm9zb2xzIHN1cHByZXNzIGNlbGx1bGFyIGFu
dGlveGlkYW50IGRlZmVuc2VzIGFuZCBpbmR1Y2Ugc2lnbmlmaWNhbnQgb3hpZGF0aXZlIEROQSBk
YW1hZ2U8L3RpdGxlPjxzZWNvbmRhcnktdGl0bGU+UExvUyBPbmU8L3NlY29uZGFyeS10aXRsZT48
YWx0LXRpdGxlPlBsb1Mgb25lPC9hbHQtdGl0bGU+PC90aXRsZXM+PHBlcmlvZGljYWw+PGZ1bGwt
dGl0bGU+UGxvcyBPbmU8L2Z1bGwtdGl0bGU+PC9wZXJpb2RpY2FsPjxhbHQtcGVyaW9kaWNhbD48
ZnVsbC10aXRsZT5QbG9zIE9uZTwvZnVsbC10aXRsZT48L2FsdC1wZXJpb2RpY2FsPjxwYWdlcz5l
MDE3Nzc4MDwvcGFnZXM+PHZvbHVtZT4xMjwvdm9sdW1lPjxudW1iZXI+NTwvbnVtYmVyPjxlZGl0
aW9uPjIwMTcvMDUvMjY8L2VkaXRpb24+PGtleXdvcmRzPjxrZXl3b3JkPkFlcm9zb2xzPC9rZXl3
b3JkPjxrZXl3b3JkPkFudGlveGlkYW50cy8qbWV0YWJvbGlzbTwva2V5d29yZD48a2V5d29yZD5D
ZWxsIExpbmU8L2tleXdvcmQ+PGtleXdvcmQ+KkROQSBEYW1hZ2U8L2tleXdvcmQ+PGtleXdvcmQ+
RG9zZS1SZXNwb25zZSBSZWxhdGlvbnNoaXAsIERydWc8L2tleXdvcmQ+PGtleXdvcmQ+RWxlY3Ry
b25pYyBOaWNvdGluZSBEZWxpdmVyeSBTeXN0ZW1zLyphZHZlcnNlIGVmZmVjdHM8L2tleXdvcmQ+
PGtleXdvcmQ+SHVtYW5zPC9rZXl3b3JkPjxrZXl3b3JkPk94aWRhdGl2ZSBTdHJlc3MvKmRydWcg
ZWZmZWN0cy8qZ2VuZXRpY3M8L2tleXdvcmQ+PGtleXdvcmQ+U21va2UvYWR2ZXJzZSBlZmZlY3Rz
PC9rZXl3b3JkPjxrZXl3b3JkPlRpbWUgRmFjdG9yczwva2V5d29yZD48L2tleXdvcmRzPjxkYXRl
cz48eWVhcj4yMDE3PC95ZWFyPjwvZGF0ZXM+PGlzYm4+MTkzMi02MjAzPC9pc2JuPjxhY2Nlc3Np
b24tbnVtPjI4NTQyMzAxPC9hY2Nlc3Npb24tbnVtPjx1cmxzPjwvdXJscz48Y3VzdG9tMj5QTUM1
NDM2ODk5PC9jdXN0b20yPjxlbGVjdHJvbmljLXJlc291cmNlLW51bT4xMC4xMzcxL2pvdXJuYWwu
cG9uZS4wMTc3NzgwPC9lbGVjdHJvbmljLXJlc291cmNlLW51bT48cmVtb3RlLWRhdGFiYXNlLXBy
b3ZpZGVyPk5MTTwvcmVtb3RlLWRhdGFiYXNlLXByb3ZpZGVyPjxsYW5ndWFnZT5lbmc8L2xhbmd1
YWdlPjwvcmVjb3JkPjwvQ2l0ZT48L0VuZE5vdGU+AG==
</w:fldData>
            </w:fldChar>
          </w:r>
          <w:r>
            <w:instrText xml:space="preserve"> ADDIN EN.CITE </w:instrText>
          </w:r>
          <w:r>
            <w:fldChar w:fldCharType="begin">
              <w:fldData xml:space="preserve">PEVuZE5vdGU+PENpdGU+PEF1dGhvcj5HYW5hcGF0aHk8L0F1dGhvcj48WWVhcj4yMDE3PC9ZZWFy
PjxSZWNOdW0+MTEzMDwvUmVjTnVtPjxEaXNwbGF5VGV4dD4oR2FuYXBhdGh5LCBNYW55YW5nYSBl
dCBhbC4gMjAxNyk8L0Rpc3BsYXlUZXh0PjxyZWNvcmQ+PHJlYy1udW1iZXI+MTEzMDwvcmVjLW51
bWJlcj48Zm9yZWlnbi1rZXlzPjxrZXkgYXBwPSJFTiIgZGItaWQ9Ijl6MDVkejBwcmFhZGZ1ZWUw
em94emVkazl6ZmU1Znh4NTB6NSIgdGltZXN0YW1wPSIxNTIxNTA3MDA3Ij4xMTMwPC9rZXk+PGtl
eSBhcHA9IkVOV2ViIiBkYi1pZD0iIj4wPC9rZXk+PC9mb3JlaWduLWtleXM+PHJlZi10eXBlIG5h
bWU9IkpvdXJuYWwgQXJ0aWNsZSI+MTc8L3JlZi10eXBlPjxjb250cmlidXRvcnM+PGF1dGhvcnM+
PGF1dGhvcj5HYW5hcGF0aHksIFYuPC9hdXRob3I+PGF1dGhvcj5NYW55YW5nYSwgSi48L2F1dGhv
cj48YXV0aG9yPkJyYW1lLCBMLjwvYXV0aG9yPjxhdXRob3I+TWNHdWlyZSwgRC48L2F1dGhvcj48
YXV0aG9yPlNhZGhhc2l2YW0sIEIuPC9hdXRob3I+PGF1dGhvcj5GbG95ZCwgRS48L2F1dGhvcj48
YXV0aG9yPlJ1YmVuc3RlaW4sIEQuIEEuPC9hdXRob3I+PGF1dGhvcj5SYW1hY2hhbmRyYW4sIEku
PC9hdXRob3I+PGF1dGhvcj5XYWdlbmVyLCBULjwvYXV0aG9yPjxhdXRob3I+UXVlaW1hZG8sIEwu
PC9hdXRob3I+PC9hdXRob3JzPjwvY29udHJpYnV0b3JzPjxhdXRoLWFkZHJlc3M+RGVwYXJ0bWVu
dCBvZiBPdG9yaGlub2xhcnluZ29sb2d5LCBUaGUgVW5pdmVyc2l0eSBvZiBPa2xhaG9tYSBIZWFs
dGggU2NpZW5jZXMgQ2VudGVyLCBPa2xhaG9tYSBDaXR5LCBPa2xhaG9tYSwgVW5pdGVkIFN0YXRl
cyBvZiBBbWVyaWNhLiYjeEQ7RGVwYXJ0bWVudCBvZiBDZWxsIEJpb2xvZ3ksIFRoZSBVbml2ZXJz
aXR5IG9mIE9rbGFob21hIEhlYWx0aCBTY2llbmNlcyBDZW50ZXIsIE9rbGFob21hIENpdHksIE9r
bGFob21hLCBVbml0ZWQgU3RhdGVzIG9mIEFtZXJpY2EuJiN4RDtEZXBhcnRtZW50IG9mIE9jY3Vw
YXRpb25hbCBhbmQgRW52aXJvbm1lbnRhbCBIZWFsdGgsIFRoZSBVbml2ZXJzaXR5IG9mIE9rbGFo
b21hIEhlYWx0aCBTY2llbmNlcyBDZW50ZXIsIE9rbGFob21hIENpdHksIE9rbGFob21hLCBVbml0
ZWQgU3RhdGVzIG9mIEFtZXJpY2EuJiN4RDtEZXBhcnRtZW50IG9mIEJpb21lZGljYWwgRW5naW5l
ZXJpbmcsIFN0b255IEJyb29rIFVuaXZlcnNpdHksIE5ldyBZb3JrLCBOZXcgWW9yaywgVW5pdGVk
IFN0YXRlcyBvZiBBbWVyaWNhLiYjeEQ7RGVwYXJ0bWVudCBvZiBFbmRvY3Jpbm9sb2d5LCBEci4g
QUxNIFBvc3QgR3JhZHVhdGUgSW5zdGl0dXRlIG9mIEJhc2ljIE1lZGljYWwgU2NpZW5jZXMsIFVu
aXZlcnNpdHkgb2YgTWFkcmFzLCBUYXJhbWFuaSBDYW1wdXMsIENoZW5uYWksIFRhbWlsIE5hZHUs
IEluZGlhLiYjeEQ7RGVwYXJ0bWVudCBvZiBQZWRpYXRyaWNzLCBUaGUgVW5pdmVyc2l0eSBvZiBP
a2xhaG9tYSBIZWFsdGggU2NpZW5jZXMgQ2VudGVyLCBPa2xhaG9tYSBDaXR5LCBPa2xhaG9tYSwg
VW5pdGVkIFN0YXRlcyBvZiBBbWVyaWNhLiYjeEQ7T2tsYWhvbWEgVG9iYWNjbyBSZXNlYXJjaCBD
ZW50ZXIsIFRoZSBVbml2ZXJzaXR5IG9mIE9rbGFob21hIEhlYWx0aCBTY2llbmNlcyBDZW50ZXIs
IE9rbGFob21hIENpdHksIE9rbGFob21hLCBVbml0ZWQgU3RhdGVzIG9mIEFtZXJpY2EuJiN4RDtU
aGUgUGVnZ3kgYW5kIENoYXJsZXMgU3RlcGhlbnNvbiBDYW5jZXIgQ2VudGVyLCBUaGUgVW5pdmVy
c2l0eSBvZiBPa2xhaG9tYSBIZWFsdGggU2NpZW5jZXMgQ2VudGVyLCBPa2xhaG9tYSBDaXR5LCBP
a2xhaG9tYSwgVW5pdGVkIFN0YXRlcyBvZiBBbWVyaWNhLjwvYXV0aC1hZGRyZXNzPjx0aXRsZXM+
PHRpdGxlPkVsZWN0cm9uaWMgY2lnYXJldHRlIGFlcm9zb2xzIHN1cHByZXNzIGNlbGx1bGFyIGFu
dGlveGlkYW50IGRlZmVuc2VzIGFuZCBpbmR1Y2Ugc2lnbmlmaWNhbnQgb3hpZGF0aXZlIEROQSBk
YW1hZ2U8L3RpdGxlPjxzZWNvbmRhcnktdGl0bGU+UExvUyBPbmU8L3NlY29uZGFyeS10aXRsZT48
YWx0LXRpdGxlPlBsb1Mgb25lPC9hbHQtdGl0bGU+PC90aXRsZXM+PHBlcmlvZGljYWw+PGZ1bGwt
dGl0bGU+UGxvcyBPbmU8L2Z1bGwtdGl0bGU+PC9wZXJpb2RpY2FsPjxhbHQtcGVyaW9kaWNhbD48
ZnVsbC10aXRsZT5QbG9zIE9uZTwvZnVsbC10aXRsZT48L2FsdC1wZXJpb2RpY2FsPjxwYWdlcz5l
MDE3Nzc4MDwvcGFnZXM+PHZvbHVtZT4xMjwvdm9sdW1lPjxudW1iZXI+NTwvbnVtYmVyPjxlZGl0
aW9uPjIwMTcvMDUvMjY8L2VkaXRpb24+PGtleXdvcmRzPjxrZXl3b3JkPkFlcm9zb2xzPC9rZXl3
b3JkPjxrZXl3b3JkPkFudGlveGlkYW50cy8qbWV0YWJvbGlzbTwva2V5d29yZD48a2V5d29yZD5D
ZWxsIExpbmU8L2tleXdvcmQ+PGtleXdvcmQ+KkROQSBEYW1hZ2U8L2tleXdvcmQ+PGtleXdvcmQ+
RG9zZS1SZXNwb25zZSBSZWxhdGlvbnNoaXAsIERydWc8L2tleXdvcmQ+PGtleXdvcmQ+RWxlY3Ry
b25pYyBOaWNvdGluZSBEZWxpdmVyeSBTeXN0ZW1zLyphZHZlcnNlIGVmZmVjdHM8L2tleXdvcmQ+
PGtleXdvcmQ+SHVtYW5zPC9rZXl3b3JkPjxrZXl3b3JkPk94aWRhdGl2ZSBTdHJlc3MvKmRydWcg
ZWZmZWN0cy8qZ2VuZXRpY3M8L2tleXdvcmQ+PGtleXdvcmQ+U21va2UvYWR2ZXJzZSBlZmZlY3Rz
PC9rZXl3b3JkPjxrZXl3b3JkPlRpbWUgRmFjdG9yczwva2V5d29yZD48L2tleXdvcmRzPjxkYXRl
cz48eWVhcj4yMDE3PC95ZWFyPjwvZGF0ZXM+PGlzYm4+MTkzMi02MjAzPC9pc2JuPjxhY2Nlc3Np
b24tbnVtPjI4NTQyMzAxPC9hY2Nlc3Npb24tbnVtPjx1cmxzPjwvdXJscz48Y3VzdG9tMj5QTUM1
NDM2ODk5PC9jdXN0b20yPjxlbGVjdHJvbmljLXJlc291cmNlLW51bT4xMC4xMzcxL2pvdXJuYWwu
cG9uZS4wMTc3NzgwPC9lbGVjdHJvbmljLXJlc291cmNlLW51bT48cmVtb3RlLWRhdGFiYXNlLXBy
b3ZpZGVyPk5MTTwvcmVtb3RlLWRhdGFiYXNlLXByb3ZpZGVyPjxsYW5ndWFnZT5lbmc8L2xhbmd1
YWdlPjwvcmVjb3JkPjwvQ2l0ZT48L0VuZE5vdGU+AG==
</w:fldData>
            </w:fldChar>
          </w:r>
          <w:r>
            <w:instrText xml:space="preserve"> ADDIN EN.CITE.DATA </w:instrText>
          </w:r>
          <w:r>
            <w:fldChar w:fldCharType="end"/>
          </w:r>
          <w:r>
            <w:fldChar w:fldCharType="separate"/>
          </w:r>
          <w:r>
            <w:rPr>
              <w:noProof/>
            </w:rPr>
            <w:t>(Ganapathy, Manyanga et al. 2017)</w:t>
          </w:r>
          <w:r>
            <w:fldChar w:fldCharType="end"/>
          </w:r>
          <w:r w:rsidRPr="00520F3B">
            <w:t>.</w:t>
          </w:r>
          <w:r w:rsidRPr="000D6962">
            <w:t xml:space="preserve"> </w:t>
          </w:r>
        </w:p>
        <w:p w14:paraId="53B44A1C" w14:textId="77777777" w:rsidR="00A74D41" w:rsidRDefault="00A74D41" w:rsidP="00A74D41">
          <w:pPr>
            <w:pStyle w:val="BodyText"/>
          </w:pPr>
        </w:p>
        <w:p w14:paraId="468BF80D" w14:textId="77777777" w:rsidR="00A74D41" w:rsidRDefault="00A74D41" w:rsidP="00A74D41">
          <w:pPr>
            <w:pStyle w:val="Heading3"/>
            <w:rPr>
              <w:rFonts w:eastAsia="Times New Roman"/>
            </w:rPr>
          </w:pPr>
          <w:r>
            <w:rPr>
              <w:rFonts w:eastAsia="Times New Roman"/>
            </w:rPr>
            <w:t>Mutation</w:t>
          </w:r>
        </w:p>
        <w:p w14:paraId="02B7E970" w14:textId="77777777" w:rsidR="00A74D41" w:rsidRDefault="00A74D41" w:rsidP="00A74D41">
          <w:pPr>
            <w:pStyle w:val="BodyText"/>
          </w:pPr>
          <w:r>
            <w:t xml:space="preserve">There was no increase in </w:t>
          </w:r>
          <w:r w:rsidRPr="00704A0D">
            <w:t xml:space="preserve">mutation frequency (supF) </w:t>
          </w:r>
          <w:r>
            <w:t>after human plasmid cells were exposed to e</w:t>
          </w:r>
          <w:r>
            <w:noBreakHyphen/>
            <w:t>cigarette vapour extracts but there was a significant increase in supF mutation frequency after cells were exposed to the positive control (</w:t>
          </w:r>
          <w:r w:rsidRPr="00704A0D">
            <w:t>UV-irradiation</w:t>
          </w:r>
          <w:r>
            <w:t xml:space="preserve">) </w:t>
          </w:r>
          <w:r>
            <w:fldChar w:fldCharType="begin">
              <w:fldData xml:space="preserve">PEVuZE5vdGU+PENpdGU+PEF1dGhvcj5Ub21tYXNpPC9BdXRob3I+PFllYXI+MjAxNzwvWWVhcj48
UmVjTnVtPjc0NTwvUmVjTnVtPjxEaXNwbGF5VGV4dD4oVG9tbWFzaSwgQmF0ZXMgZXQgYWwuIDIw
MTcpPC9EaXNwbGF5VGV4dD48cmVjb3JkPjxyZWMtbnVtYmVyPjc0NTwvcmVjLW51bWJlcj48Zm9y
ZWlnbi1rZXlzPjxrZXkgYXBwPSJFTiIgZGItaWQ9Ijl6MDVkejBwcmFhZGZ1ZWUwem94emVkazl6
ZmU1Znh4NTB6NSIgdGltZXN0YW1wPSIxNTIxNTA2OTAxIj43NDU8L2tleT48L2ZvcmVpZ24ta2V5
cz48cmVmLXR5cGUgbmFtZT0iSm91cm5hbCBBcnRpY2xlIj4xNzwvcmVmLXR5cGU+PGNvbnRyaWJ1
dG9ycz48YXV0aG9ycz48YXV0aG9yPlRvbW1hc2ksIFMuPC9hdXRob3I+PGF1dGhvcj5CYXRlcywg
Uy4gRS48L2F1dGhvcj48YXV0aG9yPkJlaGFyLCBSLiBaLjwvYXV0aG9yPjxhdXRob3I+VGFsYm90
LCBQLjwvYXV0aG9yPjxhdXRob3I+QmVzYXJhdGluaWEsIEEuPC9hdXRob3I+PC9hdXRob3JzPjwv
Y29udHJpYnV0b3JzPjxhdXRoLWFkZHJlc3M+RGVwYXJ0bWVudCBvZiBQcmV2ZW50aXZlIE1lZGlj
aW5lLCBVU0MgS2VjayBTY2hvb2wgb2YgTWVkaWNpbmUsIFVuaXZlcnNpdHkgb2YgU291dGhlcm4g
Q2FsaWZvcm5pYSwgTS9DIDk2MDMsIExvcyBBbmdlbGVzLCBDQSA5MDAzMywgVVNBLiYjeEQ7RGVw
YXJ0bWVudCBvZiBDYW5jZXIgQmlvbG9neSwgQmVja21hbiBSZXNlYXJjaCBJbnN0aXR1dGUgYXQg
Q2l0eSBvZiBIb3BlICwgRHVhcnRlLCBDQSwgOTEwMTAsIFVTQS4mI3hEO0RlcGFydG1lbnQgb2Yg
Q2VsbCBCaW9sb2d5IGFuZCBOZXVyb3NjaWVuY2UsIFVuaXZlcnNpdHkgb2YgQ2FsaWZvcm5pYSwg
Uml2ZXJzaWRlLCBDQSA5MjUyMSwgVVNBLiYjeEQ7RGVwYXJ0bWVudCBvZiBQcmV2ZW50aXZlIE1l
ZGljaW5lLCBVU0MgS2VjayBTY2hvb2wgb2YgTWVkaWNpbmUsIFVuaXZlcnNpdHkgb2YgU291dGhl
cm4gQ2FsaWZvcm5pYSwgTS9DIDk2MDMsIExvcyBBbmdlbGVzLCBDQSA5MDAzMywgVVNBLiBFbGVj
dHJvbmljIGFkZHJlc3M6IGJlc2FyYXRpQG1lZC51c2MuZWR1LjwvYXV0aC1hZGRyZXNzPjx0aXRs
ZXM+PHRpdGxlPkxpbWl0ZWQgbXV0YWdlbmljaXR5IG9mIGVsZWN0cm9uaWMgY2lnYXJldHRlcyBp
biBtb3VzZSBvciBodW1hbiBjZWxscyBpbiB2aXRybzwvdGl0bGU+PHNlY29uZGFyeS10aXRsZT5M
dW5nIENhbmNlcjwvc2Vjb25kYXJ5LXRpdGxlPjxhbHQtdGl0bGU+THVuZyBjYW5jZXIgKEFtc3Rl
cmRhbSwgTmV0aGVybGFuZHMpPC9hbHQtdGl0bGU+PC90aXRsZXM+PHBlcmlvZGljYWw+PGZ1bGwt
dGl0bGU+THVuZyBDYW5jZXI8L2Z1bGwtdGl0bGU+PC9wZXJpb2RpY2FsPjxwYWdlcz40MS00Njwv
cGFnZXM+PHZvbHVtZT4xMTI8L3ZvbHVtZT48ZWRpdGlvbj4yMDE3LzEyLzAyPC9lZGl0aW9uPjxr
ZXl3b3Jkcz48a2V5d29yZD5Nb3VzZSBlbWJyeW9uaWMgZmlicm9ibGFzdHM8L2tleXdvcmQ+PGtl
eXdvcmQ+TXV0YXRpb248L2tleXdvcmQ+PGtleXdvcmQ+VmFwaW5nPC9rZXl3b3JkPjxrZXl3b3Jk
PmNJSSB0cmFuc2dlbmU8L2tleXdvcmQ+PGtleXdvcmQ+c3VwRiBhc3NheTwva2V5d29yZD48L2tl
eXdvcmRzPjxkYXRlcz48eWVhcj4yMDE3PC95ZWFyPjxwdWItZGF0ZXM+PGRhdGU+T2N0PC9kYXRl
PjwvcHViLWRhdGVzPjwvZGF0ZXM+PGlzYm4+MDE2OS01MDAyPC9pc2JuPjxhY2Nlc3Npb24tbnVt
PjI5MTkxNTk5PC9hY2Nlc3Npb24tbnVtPjx1cmxzPjxyZWxhdGVkLXVybHM+PHVybD5odHRwOi8v
d3d3Lmx1bmdjYW5jZXJqb3VybmFsLmluZm8vYXJ0aWNsZS9TMDE2OS01MDAyKDE3KTMwNDM0LTgv
cGRmPC91cmw+PC9yZWxhdGVkLXVybHM+PC91cmxzPjxjdXN0b20yPlBNQzU3MjY0MjY8L2N1c3Rv
bTI+PGN1c3RvbTY+TklITVM4OTkyMTk8L2N1c3RvbTY+PGVsZWN0cm9uaWMtcmVzb3VyY2UtbnVt
PjEwLjEwMTYvai5sdW5nY2FuLjIwMTcuMDcuMDM1PC9lbGVjdHJvbmljLXJlc291cmNlLW51bT48
cmVtb3RlLWRhdGFiYXNlLXByb3ZpZGVyPk5MTTwvcmVtb3RlLWRhdGFiYXNlLXByb3ZpZGVyPjxs
YW5ndWFnZT5lbmc8L2xhbmd1YWdlPjwvcmVjb3JkPjwvQ2l0ZT48L0VuZE5vdGU+
</w:fldData>
            </w:fldChar>
          </w:r>
          <w:r>
            <w:instrText xml:space="preserve"> ADDIN EN.CITE </w:instrText>
          </w:r>
          <w:r>
            <w:fldChar w:fldCharType="begin">
              <w:fldData xml:space="preserve">PEVuZE5vdGU+PENpdGU+PEF1dGhvcj5Ub21tYXNpPC9BdXRob3I+PFllYXI+MjAxNzwvWWVhcj48
UmVjTnVtPjc0NTwvUmVjTnVtPjxEaXNwbGF5VGV4dD4oVG9tbWFzaSwgQmF0ZXMgZXQgYWwuIDIw
MTcpPC9EaXNwbGF5VGV4dD48cmVjb3JkPjxyZWMtbnVtYmVyPjc0NTwvcmVjLW51bWJlcj48Zm9y
ZWlnbi1rZXlzPjxrZXkgYXBwPSJFTiIgZGItaWQ9Ijl6MDVkejBwcmFhZGZ1ZWUwem94emVkazl6
ZmU1Znh4NTB6NSIgdGltZXN0YW1wPSIxNTIxNTA2OTAxIj43NDU8L2tleT48L2ZvcmVpZ24ta2V5
cz48cmVmLXR5cGUgbmFtZT0iSm91cm5hbCBBcnRpY2xlIj4xNzwvcmVmLXR5cGU+PGNvbnRyaWJ1
dG9ycz48YXV0aG9ycz48YXV0aG9yPlRvbW1hc2ksIFMuPC9hdXRob3I+PGF1dGhvcj5CYXRlcywg
Uy4gRS48L2F1dGhvcj48YXV0aG9yPkJlaGFyLCBSLiBaLjwvYXV0aG9yPjxhdXRob3I+VGFsYm90
LCBQLjwvYXV0aG9yPjxhdXRob3I+QmVzYXJhdGluaWEsIEEuPC9hdXRob3I+PC9hdXRob3JzPjwv
Y29udHJpYnV0b3JzPjxhdXRoLWFkZHJlc3M+RGVwYXJ0bWVudCBvZiBQcmV2ZW50aXZlIE1lZGlj
aW5lLCBVU0MgS2VjayBTY2hvb2wgb2YgTWVkaWNpbmUsIFVuaXZlcnNpdHkgb2YgU291dGhlcm4g
Q2FsaWZvcm5pYSwgTS9DIDk2MDMsIExvcyBBbmdlbGVzLCBDQSA5MDAzMywgVVNBLiYjeEQ7RGVw
YXJ0bWVudCBvZiBDYW5jZXIgQmlvbG9neSwgQmVja21hbiBSZXNlYXJjaCBJbnN0aXR1dGUgYXQg
Q2l0eSBvZiBIb3BlICwgRHVhcnRlLCBDQSwgOTEwMTAsIFVTQS4mI3hEO0RlcGFydG1lbnQgb2Yg
Q2VsbCBCaW9sb2d5IGFuZCBOZXVyb3NjaWVuY2UsIFVuaXZlcnNpdHkgb2YgQ2FsaWZvcm5pYSwg
Uml2ZXJzaWRlLCBDQSA5MjUyMSwgVVNBLiYjeEQ7RGVwYXJ0bWVudCBvZiBQcmV2ZW50aXZlIE1l
ZGljaW5lLCBVU0MgS2VjayBTY2hvb2wgb2YgTWVkaWNpbmUsIFVuaXZlcnNpdHkgb2YgU291dGhl
cm4gQ2FsaWZvcm5pYSwgTS9DIDk2MDMsIExvcyBBbmdlbGVzLCBDQSA5MDAzMywgVVNBLiBFbGVj
dHJvbmljIGFkZHJlc3M6IGJlc2FyYXRpQG1lZC51c2MuZWR1LjwvYXV0aC1hZGRyZXNzPjx0aXRs
ZXM+PHRpdGxlPkxpbWl0ZWQgbXV0YWdlbmljaXR5IG9mIGVsZWN0cm9uaWMgY2lnYXJldHRlcyBp
biBtb3VzZSBvciBodW1hbiBjZWxscyBpbiB2aXRybzwvdGl0bGU+PHNlY29uZGFyeS10aXRsZT5M
dW5nIENhbmNlcjwvc2Vjb25kYXJ5LXRpdGxlPjxhbHQtdGl0bGU+THVuZyBjYW5jZXIgKEFtc3Rl
cmRhbSwgTmV0aGVybGFuZHMpPC9hbHQtdGl0bGU+PC90aXRsZXM+PHBlcmlvZGljYWw+PGZ1bGwt
dGl0bGU+THVuZyBDYW5jZXI8L2Z1bGwtdGl0bGU+PC9wZXJpb2RpY2FsPjxwYWdlcz40MS00Njwv
cGFnZXM+PHZvbHVtZT4xMTI8L3ZvbHVtZT48ZWRpdGlvbj4yMDE3LzEyLzAyPC9lZGl0aW9uPjxr
ZXl3b3Jkcz48a2V5d29yZD5Nb3VzZSBlbWJyeW9uaWMgZmlicm9ibGFzdHM8L2tleXdvcmQ+PGtl
eXdvcmQ+TXV0YXRpb248L2tleXdvcmQ+PGtleXdvcmQ+VmFwaW5nPC9rZXl3b3JkPjxrZXl3b3Jk
PmNJSSB0cmFuc2dlbmU8L2tleXdvcmQ+PGtleXdvcmQ+c3VwRiBhc3NheTwva2V5d29yZD48L2tl
eXdvcmRzPjxkYXRlcz48eWVhcj4yMDE3PC95ZWFyPjxwdWItZGF0ZXM+PGRhdGU+T2N0PC9kYXRl
PjwvcHViLWRhdGVzPjwvZGF0ZXM+PGlzYm4+MDE2OS01MDAyPC9pc2JuPjxhY2Nlc3Npb24tbnVt
PjI5MTkxNTk5PC9hY2Nlc3Npb24tbnVtPjx1cmxzPjxyZWxhdGVkLXVybHM+PHVybD5odHRwOi8v
d3d3Lmx1bmdjYW5jZXJqb3VybmFsLmluZm8vYXJ0aWNsZS9TMDE2OS01MDAyKDE3KTMwNDM0LTgv
cGRmPC91cmw+PC9yZWxhdGVkLXVybHM+PC91cmxzPjxjdXN0b20yPlBNQzU3MjY0MjY8L2N1c3Rv
bTI+PGN1c3RvbTY+TklITVM4OTkyMTk8L2N1c3RvbTY+PGVsZWN0cm9uaWMtcmVzb3VyY2UtbnVt
PjEwLjEwMTYvai5sdW5nY2FuLjIwMTcuMDcuMDM1PC9lbGVjdHJvbmljLXJlc291cmNlLW51bT48
cmVtb3RlLWRhdGFiYXNlLXByb3ZpZGVyPk5MTTwvcmVtb3RlLWRhdGFiYXNlLXByb3ZpZGVyPjxs
YW5ndWFnZT5lbmc8L2xhbmd1YWdlPjwvcmVjb3JkPjwvQ2l0ZT48L0VuZE5vdGU+
</w:fldData>
            </w:fldChar>
          </w:r>
          <w:r>
            <w:instrText xml:space="preserve"> ADDIN EN.CITE.DATA </w:instrText>
          </w:r>
          <w:r>
            <w:fldChar w:fldCharType="end"/>
          </w:r>
          <w:r>
            <w:fldChar w:fldCharType="separate"/>
          </w:r>
          <w:r>
            <w:rPr>
              <w:noProof/>
            </w:rPr>
            <w:t>(Tommasi, Bates et al. 2017)</w:t>
          </w:r>
          <w:r>
            <w:fldChar w:fldCharType="end"/>
          </w:r>
          <w:r w:rsidRPr="00704A0D">
            <w:t>.</w:t>
          </w:r>
          <w:r>
            <w:t xml:space="preserve"> Additionally, e</w:t>
          </w:r>
          <w:r w:rsidRPr="00704A0D">
            <w:t>xposure to tobacco carcinogens (benzoαpyrene and 4-aminobiphenyl</w:t>
          </w:r>
          <w:r>
            <w:t>), but not e</w:t>
          </w:r>
          <w:r>
            <w:noBreakHyphen/>
            <w:t>cigarette vapour extracts,</w:t>
          </w:r>
          <w:r w:rsidRPr="00704A0D">
            <w:t xml:space="preserve"> led to increased CII mutan</w:t>
          </w:r>
          <w:r>
            <w:t xml:space="preserve">t frequency, indicating mutation in mouse fibroblasts </w:t>
          </w:r>
          <w:r>
            <w:fldChar w:fldCharType="begin">
              <w:fldData xml:space="preserve">PEVuZE5vdGU+PENpdGU+PEF1dGhvcj5Ub21tYXNpPC9BdXRob3I+PFllYXI+MjAxNzwvWWVhcj48
UmVjTnVtPjc0NTwvUmVjTnVtPjxEaXNwbGF5VGV4dD4oVG9tbWFzaSwgQmF0ZXMgZXQgYWwuIDIw
MTcpPC9EaXNwbGF5VGV4dD48cmVjb3JkPjxyZWMtbnVtYmVyPjc0NTwvcmVjLW51bWJlcj48Zm9y
ZWlnbi1rZXlzPjxrZXkgYXBwPSJFTiIgZGItaWQ9Ijl6MDVkejBwcmFhZGZ1ZWUwem94emVkazl6
ZmU1Znh4NTB6NSIgdGltZXN0YW1wPSIxNTIxNTA2OTAxIj43NDU8L2tleT48L2ZvcmVpZ24ta2V5
cz48cmVmLXR5cGUgbmFtZT0iSm91cm5hbCBBcnRpY2xlIj4xNzwvcmVmLXR5cGU+PGNvbnRyaWJ1
dG9ycz48YXV0aG9ycz48YXV0aG9yPlRvbW1hc2ksIFMuPC9hdXRob3I+PGF1dGhvcj5CYXRlcywg
Uy4gRS48L2F1dGhvcj48YXV0aG9yPkJlaGFyLCBSLiBaLjwvYXV0aG9yPjxhdXRob3I+VGFsYm90
LCBQLjwvYXV0aG9yPjxhdXRob3I+QmVzYXJhdGluaWEsIEEuPC9hdXRob3I+PC9hdXRob3JzPjwv
Y29udHJpYnV0b3JzPjxhdXRoLWFkZHJlc3M+RGVwYXJ0bWVudCBvZiBQcmV2ZW50aXZlIE1lZGlj
aW5lLCBVU0MgS2VjayBTY2hvb2wgb2YgTWVkaWNpbmUsIFVuaXZlcnNpdHkgb2YgU291dGhlcm4g
Q2FsaWZvcm5pYSwgTS9DIDk2MDMsIExvcyBBbmdlbGVzLCBDQSA5MDAzMywgVVNBLiYjeEQ7RGVw
YXJ0bWVudCBvZiBDYW5jZXIgQmlvbG9neSwgQmVja21hbiBSZXNlYXJjaCBJbnN0aXR1dGUgYXQg
Q2l0eSBvZiBIb3BlICwgRHVhcnRlLCBDQSwgOTEwMTAsIFVTQS4mI3hEO0RlcGFydG1lbnQgb2Yg
Q2VsbCBCaW9sb2d5IGFuZCBOZXVyb3NjaWVuY2UsIFVuaXZlcnNpdHkgb2YgQ2FsaWZvcm5pYSwg
Uml2ZXJzaWRlLCBDQSA5MjUyMSwgVVNBLiYjeEQ7RGVwYXJ0bWVudCBvZiBQcmV2ZW50aXZlIE1l
ZGljaW5lLCBVU0MgS2VjayBTY2hvb2wgb2YgTWVkaWNpbmUsIFVuaXZlcnNpdHkgb2YgU291dGhl
cm4gQ2FsaWZvcm5pYSwgTS9DIDk2MDMsIExvcyBBbmdlbGVzLCBDQSA5MDAzMywgVVNBLiBFbGVj
dHJvbmljIGFkZHJlc3M6IGJlc2FyYXRpQG1lZC51c2MuZWR1LjwvYXV0aC1hZGRyZXNzPjx0aXRs
ZXM+PHRpdGxlPkxpbWl0ZWQgbXV0YWdlbmljaXR5IG9mIGVsZWN0cm9uaWMgY2lnYXJldHRlcyBp
biBtb3VzZSBvciBodW1hbiBjZWxscyBpbiB2aXRybzwvdGl0bGU+PHNlY29uZGFyeS10aXRsZT5M
dW5nIENhbmNlcjwvc2Vjb25kYXJ5LXRpdGxlPjxhbHQtdGl0bGU+THVuZyBjYW5jZXIgKEFtc3Rl
cmRhbSwgTmV0aGVybGFuZHMpPC9hbHQtdGl0bGU+PC90aXRsZXM+PHBlcmlvZGljYWw+PGZ1bGwt
dGl0bGU+THVuZyBDYW5jZXI8L2Z1bGwtdGl0bGU+PC9wZXJpb2RpY2FsPjxwYWdlcz40MS00Njwv
cGFnZXM+PHZvbHVtZT4xMTI8L3ZvbHVtZT48ZWRpdGlvbj4yMDE3LzEyLzAyPC9lZGl0aW9uPjxr
ZXl3b3Jkcz48a2V5d29yZD5Nb3VzZSBlbWJyeW9uaWMgZmlicm9ibGFzdHM8L2tleXdvcmQ+PGtl
eXdvcmQ+TXV0YXRpb248L2tleXdvcmQ+PGtleXdvcmQ+VmFwaW5nPC9rZXl3b3JkPjxrZXl3b3Jk
PmNJSSB0cmFuc2dlbmU8L2tleXdvcmQ+PGtleXdvcmQ+c3VwRiBhc3NheTwva2V5d29yZD48L2tl
eXdvcmRzPjxkYXRlcz48eWVhcj4yMDE3PC95ZWFyPjxwdWItZGF0ZXM+PGRhdGU+T2N0PC9kYXRl
PjwvcHViLWRhdGVzPjwvZGF0ZXM+PGlzYm4+MDE2OS01MDAyPC9pc2JuPjxhY2Nlc3Npb24tbnVt
PjI5MTkxNTk5PC9hY2Nlc3Npb24tbnVtPjx1cmxzPjxyZWxhdGVkLXVybHM+PHVybD5odHRwOi8v
d3d3Lmx1bmdjYW5jZXJqb3VybmFsLmluZm8vYXJ0aWNsZS9TMDE2OS01MDAyKDE3KTMwNDM0LTgv
cGRmPC91cmw+PC9yZWxhdGVkLXVybHM+PC91cmxzPjxjdXN0b20yPlBNQzU3MjY0MjY8L2N1c3Rv
bTI+PGN1c3RvbTY+TklITVM4OTkyMTk8L2N1c3RvbTY+PGVsZWN0cm9uaWMtcmVzb3VyY2UtbnVt
PjEwLjEwMTYvai5sdW5nY2FuLjIwMTcuMDcuMDM1PC9lbGVjdHJvbmljLXJlc291cmNlLW51bT48
cmVtb3RlLWRhdGFiYXNlLXByb3ZpZGVyPk5MTTwvcmVtb3RlLWRhdGFiYXNlLXByb3ZpZGVyPjxs
YW5ndWFnZT5lbmc8L2xhbmd1YWdlPjwvcmVjb3JkPjwvQ2l0ZT48L0VuZE5vdGU+
</w:fldData>
            </w:fldChar>
          </w:r>
          <w:r>
            <w:instrText xml:space="preserve"> ADDIN EN.CITE </w:instrText>
          </w:r>
          <w:r>
            <w:fldChar w:fldCharType="begin">
              <w:fldData xml:space="preserve">PEVuZE5vdGU+PENpdGU+PEF1dGhvcj5Ub21tYXNpPC9BdXRob3I+PFllYXI+MjAxNzwvWWVhcj48
UmVjTnVtPjc0NTwvUmVjTnVtPjxEaXNwbGF5VGV4dD4oVG9tbWFzaSwgQmF0ZXMgZXQgYWwuIDIw
MTcpPC9EaXNwbGF5VGV4dD48cmVjb3JkPjxyZWMtbnVtYmVyPjc0NTwvcmVjLW51bWJlcj48Zm9y
ZWlnbi1rZXlzPjxrZXkgYXBwPSJFTiIgZGItaWQ9Ijl6MDVkejBwcmFhZGZ1ZWUwem94emVkazl6
ZmU1Znh4NTB6NSIgdGltZXN0YW1wPSIxNTIxNTA2OTAxIj43NDU8L2tleT48L2ZvcmVpZ24ta2V5
cz48cmVmLXR5cGUgbmFtZT0iSm91cm5hbCBBcnRpY2xlIj4xNzwvcmVmLXR5cGU+PGNvbnRyaWJ1
dG9ycz48YXV0aG9ycz48YXV0aG9yPlRvbW1hc2ksIFMuPC9hdXRob3I+PGF1dGhvcj5CYXRlcywg
Uy4gRS48L2F1dGhvcj48YXV0aG9yPkJlaGFyLCBSLiBaLjwvYXV0aG9yPjxhdXRob3I+VGFsYm90
LCBQLjwvYXV0aG9yPjxhdXRob3I+QmVzYXJhdGluaWEsIEEuPC9hdXRob3I+PC9hdXRob3JzPjwv
Y29udHJpYnV0b3JzPjxhdXRoLWFkZHJlc3M+RGVwYXJ0bWVudCBvZiBQcmV2ZW50aXZlIE1lZGlj
aW5lLCBVU0MgS2VjayBTY2hvb2wgb2YgTWVkaWNpbmUsIFVuaXZlcnNpdHkgb2YgU291dGhlcm4g
Q2FsaWZvcm5pYSwgTS9DIDk2MDMsIExvcyBBbmdlbGVzLCBDQSA5MDAzMywgVVNBLiYjeEQ7RGVw
YXJ0bWVudCBvZiBDYW5jZXIgQmlvbG9neSwgQmVja21hbiBSZXNlYXJjaCBJbnN0aXR1dGUgYXQg
Q2l0eSBvZiBIb3BlICwgRHVhcnRlLCBDQSwgOTEwMTAsIFVTQS4mI3hEO0RlcGFydG1lbnQgb2Yg
Q2VsbCBCaW9sb2d5IGFuZCBOZXVyb3NjaWVuY2UsIFVuaXZlcnNpdHkgb2YgQ2FsaWZvcm5pYSwg
Uml2ZXJzaWRlLCBDQSA5MjUyMSwgVVNBLiYjeEQ7RGVwYXJ0bWVudCBvZiBQcmV2ZW50aXZlIE1l
ZGljaW5lLCBVU0MgS2VjayBTY2hvb2wgb2YgTWVkaWNpbmUsIFVuaXZlcnNpdHkgb2YgU291dGhl
cm4gQ2FsaWZvcm5pYSwgTS9DIDk2MDMsIExvcyBBbmdlbGVzLCBDQSA5MDAzMywgVVNBLiBFbGVj
dHJvbmljIGFkZHJlc3M6IGJlc2FyYXRpQG1lZC51c2MuZWR1LjwvYXV0aC1hZGRyZXNzPjx0aXRs
ZXM+PHRpdGxlPkxpbWl0ZWQgbXV0YWdlbmljaXR5IG9mIGVsZWN0cm9uaWMgY2lnYXJldHRlcyBp
biBtb3VzZSBvciBodW1hbiBjZWxscyBpbiB2aXRybzwvdGl0bGU+PHNlY29uZGFyeS10aXRsZT5M
dW5nIENhbmNlcjwvc2Vjb25kYXJ5LXRpdGxlPjxhbHQtdGl0bGU+THVuZyBjYW5jZXIgKEFtc3Rl
cmRhbSwgTmV0aGVybGFuZHMpPC9hbHQtdGl0bGU+PC90aXRsZXM+PHBlcmlvZGljYWw+PGZ1bGwt
dGl0bGU+THVuZyBDYW5jZXI8L2Z1bGwtdGl0bGU+PC9wZXJpb2RpY2FsPjxwYWdlcz40MS00Njwv
cGFnZXM+PHZvbHVtZT4xMTI8L3ZvbHVtZT48ZWRpdGlvbj4yMDE3LzEyLzAyPC9lZGl0aW9uPjxr
ZXl3b3Jkcz48a2V5d29yZD5Nb3VzZSBlbWJyeW9uaWMgZmlicm9ibGFzdHM8L2tleXdvcmQ+PGtl
eXdvcmQ+TXV0YXRpb248L2tleXdvcmQ+PGtleXdvcmQ+VmFwaW5nPC9rZXl3b3JkPjxrZXl3b3Jk
PmNJSSB0cmFuc2dlbmU8L2tleXdvcmQ+PGtleXdvcmQ+c3VwRiBhc3NheTwva2V5d29yZD48L2tl
eXdvcmRzPjxkYXRlcz48eWVhcj4yMDE3PC95ZWFyPjxwdWItZGF0ZXM+PGRhdGU+T2N0PC9kYXRl
PjwvcHViLWRhdGVzPjwvZGF0ZXM+PGlzYm4+MDE2OS01MDAyPC9pc2JuPjxhY2Nlc3Npb24tbnVt
PjI5MTkxNTk5PC9hY2Nlc3Npb24tbnVtPjx1cmxzPjxyZWxhdGVkLXVybHM+PHVybD5odHRwOi8v
d3d3Lmx1bmdjYW5jZXJqb3VybmFsLmluZm8vYXJ0aWNsZS9TMDE2OS01MDAyKDE3KTMwNDM0LTgv
cGRmPC91cmw+PC9yZWxhdGVkLXVybHM+PC91cmxzPjxjdXN0b20yPlBNQzU3MjY0MjY8L2N1c3Rv
bTI+PGN1c3RvbTY+TklITVM4OTkyMTk8L2N1c3RvbTY+PGVsZWN0cm9uaWMtcmVzb3VyY2UtbnVt
PjEwLjEwMTYvai5sdW5nY2FuLjIwMTcuMDcuMDM1PC9lbGVjdHJvbmljLXJlc291cmNlLW51bT48
cmVtb3RlLWRhdGFiYXNlLXByb3ZpZGVyPk5MTTwvcmVtb3RlLWRhdGFiYXNlLXByb3ZpZGVyPjxs
YW5ndWFnZT5lbmc8L2xhbmd1YWdlPjwvcmVjb3JkPjwvQ2l0ZT48L0VuZE5vdGU+
</w:fldData>
            </w:fldChar>
          </w:r>
          <w:r>
            <w:instrText xml:space="preserve"> ADDIN EN.CITE.DATA </w:instrText>
          </w:r>
          <w:r>
            <w:fldChar w:fldCharType="end"/>
          </w:r>
          <w:r>
            <w:fldChar w:fldCharType="separate"/>
          </w:r>
          <w:r>
            <w:rPr>
              <w:noProof/>
            </w:rPr>
            <w:t>(Tommasi, Bates et al. 2017)</w:t>
          </w:r>
          <w:r>
            <w:fldChar w:fldCharType="end"/>
          </w:r>
          <w:r w:rsidRPr="00704A0D">
            <w:t>.</w:t>
          </w:r>
          <w:r>
            <w:t xml:space="preserve"> This study indicates that the three e-cigarette extracts tested did not lead to mutations, however further testing with more types of e-cigarette liquids on different cell-types is warranted. </w:t>
          </w:r>
        </w:p>
        <w:p w14:paraId="64831194" w14:textId="77777777" w:rsidR="00A74D41" w:rsidRPr="00F11B83" w:rsidRDefault="00A74D41" w:rsidP="00A74D41">
          <w:pPr>
            <w:pStyle w:val="BodyText"/>
          </w:pPr>
        </w:p>
        <w:p w14:paraId="134634D6" w14:textId="77777777" w:rsidR="00A74D41" w:rsidRPr="000D6962" w:rsidRDefault="00A74D41" w:rsidP="00A74D41">
          <w:pPr>
            <w:pStyle w:val="Heading3"/>
            <w:rPr>
              <w:rFonts w:eastAsia="Times New Roman"/>
            </w:rPr>
          </w:pPr>
          <w:r>
            <w:rPr>
              <w:rFonts w:eastAsia="Times New Roman"/>
            </w:rPr>
            <w:t>RNA Expression</w:t>
          </w:r>
        </w:p>
        <w:p w14:paraId="0765A699" w14:textId="77777777" w:rsidR="00A74D41" w:rsidRDefault="00A74D41" w:rsidP="00A74D41">
          <w:pPr>
            <w:pStyle w:val="BodyText"/>
          </w:pPr>
          <w:r>
            <w:t xml:space="preserve">Expression of many RNA and microRNA differed after e-cigarette exposure. In one study, </w:t>
          </w:r>
          <w:r w:rsidRPr="000A145F">
            <w:t>578 microRNA</w:t>
          </w:r>
          <w:r>
            <w:t xml:space="preserve"> from lung epithelial cells</w:t>
          </w:r>
          <w:r w:rsidRPr="000A145F">
            <w:t xml:space="preserve"> were</w:t>
          </w:r>
          <w:r>
            <w:t xml:space="preserve"> expressed differently</w:t>
          </w:r>
          <w:r w:rsidRPr="000A145F">
            <w:t xml:space="preserve"> after e-cigarette liquid exposure</w:t>
          </w:r>
          <w:r>
            <w:t xml:space="preserve"> </w:t>
          </w:r>
          <w:r>
            <w:fldChar w:fldCharType="begin">
              <w:fldData xml:space="preserve">PEVuZE5vdGU+PENpdGU+PEF1dGhvcj5Tb2xsZXRpPC9BdXRob3I+PFllYXI+MjAxNzwvWWVhcj48
UmVjTnVtPjExOTA8L1JlY051bT48RGlzcGxheVRleHQ+KFNvbGxldGksIEJoYXR0YWNoYXJ5YSBl
dCBhbC4gMjAxNyk8L0Rpc3BsYXlUZXh0PjxyZWNvcmQ+PHJlYy1udW1iZXI+MTE5MDwvcmVjLW51
bWJlcj48Zm9yZWlnbi1rZXlzPjxrZXkgYXBwPSJFTiIgZGItaWQ9Ijl6MDVkejBwcmFhZGZ1ZWUw
em94emVkazl6ZmU1Znh4NTB6NSIgdGltZXN0YW1wPSIxNTIxNTA3MDIxIj4xMTkwPC9rZXk+PGtl
eSBhcHA9IkVOV2ViIiBkYi1pZD0iIj4wPC9rZXk+PC9mb3JlaWduLWtleXM+PHJlZi10eXBlIG5h
bWU9IkpvdXJuYWwgQXJ0aWNsZSI+MTc8L3JlZi10eXBlPjxjb250cmlidXRvcnM+PGF1dGhvcnM+
PGF1dGhvcj5Tb2xsZXRpLCBTLiBLLjwvYXV0aG9yPjxhdXRob3I+QmhhdHRhY2hhcnlhLCBTLjwv
YXV0aG9yPjxhdXRob3I+QWhtYWQsIEEuPC9hdXRob3I+PGF1dGhvcj5XYW5nLCBRLjwvYXV0aG9y
PjxhdXRob3I+TWVyZW5lc3MsIEouPC9hdXRob3I+PGF1dGhvcj5SYW5nYXNhbXksIFQuPC9hdXRo
b3I+PGF1dGhvcj5NYXJpYW5pLCBULiBKLjwvYXV0aG9yPjwvYXV0aG9ycz48L2NvbnRyaWJ1dG9y
cz48YXV0aC1hZGRyZXNzPkRpdmlzaW9uIG9mIE5lb25hdG9sb2d5IGFuZCBQcm9ncmFtIGluIFBl
ZGlhdHJpYyBNb2xlY3VsYXIgYW5kIFBlcnNvbmFsaXplZCBNZWRpY2luZSwgRGVwYXJ0bWVudCBv
ZiBQZWRpYXRyaWNzLCBVbml2ZXJzaXR5IG9mIFJvY2hlc3RlciBNZWRpY2FsIENlbnRlciwgUm9j
aGVzdGVyLCBOWSwgVVNBLiYjeEQ7RGVwYXJ0bWVudCBvZiBCaW9tZWRpY2FsIEdlbmV0aWNzLCBV
bml2ZXJzaXR5IG9mIFJvY2hlc3RlciBNZWRpY2FsIENlbnRlciwgUm9jaGVzdGVyLCBOWSwgVVNB
LiYjeEQ7U2Nob29sIG9mIFZldGVyaW5hcnkgTWVkaWNpbmUsIExvdWlzaWFuYSBTdGF0ZSBVbml2
ZXJzaXR5LCBCYXRvbiBSb3VnZSwgTEEsIFVTQS4mI3hEO0RpdmlzaW9uIG9mIE5lb25hdG9sb2d5
IGFuZCBQcm9ncmFtIGluIFBlZGlhdHJpYyBNb2xlY3VsYXIgYW5kIFBlcnNvbmFsaXplZCBNZWRp
Y2luZSwgRGVwYXJ0bWVudCBvZiBQZWRpYXRyaWNzLCBVbml2ZXJzaXR5IG9mIFJvY2hlc3RlciBN
ZWRpY2FsIENlbnRlciwgUm9jaGVzdGVyLCBOWSwgVVNBLiBUb21fTWFyaWFuaUB1cm1jLnJvY2hl
c3Rlci5lZHUuJiN4RDtEZXBhcnRtZW50IG9mIEJpb21lZGljYWwgR2VuZXRpY3MsIFVuaXZlcnNp
dHkgb2YgUm9jaGVzdGVyIE1lZGljYWwgQ2VudGVyLCBSb2NoZXN0ZXIsIE5ZLCBVU0EuIFRvbV9N
YXJpYW5pQHVybWMucm9jaGVzdGVyLmVkdS4mI3hEO0RlcGFydG1lbnQgb2YgRW52aXJvbm1lbnRh
bCBNZWRpY2luZSwgVW5pdmVyc2l0eSBvZiBSb2NoZXN0ZXIgTWVkaWNhbCBDZW50ZXIsIFJvY2hl
c3RlciwgTlksIFVTQS4gVG9tX01hcmlhbmlAdXJtYy5yb2NoZXN0ZXIuZWR1LjwvYXV0aC1hZGRy
ZXNzPjx0aXRsZXM+PHRpdGxlPk1pY3JvUk5BIGV4cHJlc3Npb24gcHJvZmlsaW5nIGRlZmluZXMg
dGhlIGltcGFjdCBvZiBlbGVjdHJvbmljIGNpZ2FyZXR0ZXMgb24gaHVtYW4gYWlyd2F5IGVwaXRo
ZWxpYWwgY2VsbHM8L3RpdGxlPjxzZWNvbmRhcnktdGl0bGU+U2NpIFJlcDwvc2Vjb25kYXJ5LXRp
dGxlPjxhbHQtdGl0bGU+U2NpZW50aWZpYyByZXBvcnRzPC9hbHQtdGl0bGU+PC90aXRsZXM+PGFs
dC1wZXJpb2RpY2FsPjxmdWxsLXRpdGxlPlNjaWVudGlmaWMgUmVwb3J0czwvZnVsbC10aXRsZT48
L2FsdC1wZXJpb2RpY2FsPjxwYWdlcz4xMDgxPC9wYWdlcz48dm9sdW1lPjc8L3ZvbHVtZT48bnVt
YmVyPjE8L251bWJlcj48ZWRpdGlvbj4yMDE3LzA0LzI2PC9lZGl0aW9uPjxkYXRlcz48eWVhcj4y
MDE3PC95ZWFyPjxwdWItZGF0ZXM+PGRhdGU+QXByIDI0PC9kYXRlPjwvcHViLWRhdGVzPjwvZGF0
ZXM+PGlzYm4+MjA0NS0yMzIyPC9pc2JuPjxhY2Nlc3Npb24tbnVtPjI4NDM5MTEzPC9hY2Nlc3Np
b24tbnVtPjx1cmxzPjxyZWxhdGVkLXVybHM+PHVybD5odHRwczovL3d3dy5uY2JpLm5sbS5uaWgu
Z292L3BtYy9hcnRpY2xlcy9QTUM1NDMwODI2L3BkZi80MTU5OF8yMDE3X0FydGljbGVfMTE2Ny5w
ZGY8L3VybD48L3JlbGF0ZWQtdXJscz48L3VybHM+PGN1c3RvbTI+UE1DNTQzMDgyNjwvY3VzdG9t
Mj48ZWxlY3Ryb25pYy1yZXNvdXJjZS1udW0+MTAuMTAzOC9zNDE1OTgtMDE3LTAxMTY3LTg8L2Vs
ZWN0cm9uaWMtcmVzb3VyY2UtbnVtPjxyZW1vdGUtZGF0YWJhc2UtcHJvdmlkZXI+TkxNPC9yZW1v
dGUtZGF0YWJhc2UtcHJvdmlkZXI+PGxhbmd1YWdlPmVuZzwvbGFuZ3VhZ2U+PC9yZWNvcmQ+PC9D
aXRlPjwvRW5kTm90ZT4A
</w:fldData>
            </w:fldChar>
          </w:r>
          <w:r>
            <w:instrText xml:space="preserve"> ADDIN EN.CITE </w:instrText>
          </w:r>
          <w:r>
            <w:fldChar w:fldCharType="begin">
              <w:fldData xml:space="preserve">PEVuZE5vdGU+PENpdGU+PEF1dGhvcj5Tb2xsZXRpPC9BdXRob3I+PFllYXI+MjAxNzwvWWVhcj48
UmVjTnVtPjExOTA8L1JlY051bT48RGlzcGxheVRleHQ+KFNvbGxldGksIEJoYXR0YWNoYXJ5YSBl
dCBhbC4gMjAxNyk8L0Rpc3BsYXlUZXh0PjxyZWNvcmQ+PHJlYy1udW1iZXI+MTE5MDwvcmVjLW51
bWJlcj48Zm9yZWlnbi1rZXlzPjxrZXkgYXBwPSJFTiIgZGItaWQ9Ijl6MDVkejBwcmFhZGZ1ZWUw
em94emVkazl6ZmU1Znh4NTB6NSIgdGltZXN0YW1wPSIxNTIxNTA3MDIxIj4xMTkwPC9rZXk+PGtl
eSBhcHA9IkVOV2ViIiBkYi1pZD0iIj4wPC9rZXk+PC9mb3JlaWduLWtleXM+PHJlZi10eXBlIG5h
bWU9IkpvdXJuYWwgQXJ0aWNsZSI+MTc8L3JlZi10eXBlPjxjb250cmlidXRvcnM+PGF1dGhvcnM+
PGF1dGhvcj5Tb2xsZXRpLCBTLiBLLjwvYXV0aG9yPjxhdXRob3I+QmhhdHRhY2hhcnlhLCBTLjwv
YXV0aG9yPjxhdXRob3I+QWhtYWQsIEEuPC9hdXRob3I+PGF1dGhvcj5XYW5nLCBRLjwvYXV0aG9y
PjxhdXRob3I+TWVyZW5lc3MsIEouPC9hdXRob3I+PGF1dGhvcj5SYW5nYXNhbXksIFQuPC9hdXRo
b3I+PGF1dGhvcj5NYXJpYW5pLCBULiBKLjwvYXV0aG9yPjwvYXV0aG9ycz48L2NvbnRyaWJ1dG9y
cz48YXV0aC1hZGRyZXNzPkRpdmlzaW9uIG9mIE5lb25hdG9sb2d5IGFuZCBQcm9ncmFtIGluIFBl
ZGlhdHJpYyBNb2xlY3VsYXIgYW5kIFBlcnNvbmFsaXplZCBNZWRpY2luZSwgRGVwYXJ0bWVudCBv
ZiBQZWRpYXRyaWNzLCBVbml2ZXJzaXR5IG9mIFJvY2hlc3RlciBNZWRpY2FsIENlbnRlciwgUm9j
aGVzdGVyLCBOWSwgVVNBLiYjeEQ7RGVwYXJ0bWVudCBvZiBCaW9tZWRpY2FsIEdlbmV0aWNzLCBV
bml2ZXJzaXR5IG9mIFJvY2hlc3RlciBNZWRpY2FsIENlbnRlciwgUm9jaGVzdGVyLCBOWSwgVVNB
LiYjeEQ7U2Nob29sIG9mIFZldGVyaW5hcnkgTWVkaWNpbmUsIExvdWlzaWFuYSBTdGF0ZSBVbml2
ZXJzaXR5LCBCYXRvbiBSb3VnZSwgTEEsIFVTQS4mI3hEO0RpdmlzaW9uIG9mIE5lb25hdG9sb2d5
IGFuZCBQcm9ncmFtIGluIFBlZGlhdHJpYyBNb2xlY3VsYXIgYW5kIFBlcnNvbmFsaXplZCBNZWRp
Y2luZSwgRGVwYXJ0bWVudCBvZiBQZWRpYXRyaWNzLCBVbml2ZXJzaXR5IG9mIFJvY2hlc3RlciBN
ZWRpY2FsIENlbnRlciwgUm9jaGVzdGVyLCBOWSwgVVNBLiBUb21fTWFyaWFuaUB1cm1jLnJvY2hl
c3Rlci5lZHUuJiN4RDtEZXBhcnRtZW50IG9mIEJpb21lZGljYWwgR2VuZXRpY3MsIFVuaXZlcnNp
dHkgb2YgUm9jaGVzdGVyIE1lZGljYWwgQ2VudGVyLCBSb2NoZXN0ZXIsIE5ZLCBVU0EuIFRvbV9N
YXJpYW5pQHVybWMucm9jaGVzdGVyLmVkdS4mI3hEO0RlcGFydG1lbnQgb2YgRW52aXJvbm1lbnRh
bCBNZWRpY2luZSwgVW5pdmVyc2l0eSBvZiBSb2NoZXN0ZXIgTWVkaWNhbCBDZW50ZXIsIFJvY2hl
c3RlciwgTlksIFVTQS4gVG9tX01hcmlhbmlAdXJtYy5yb2NoZXN0ZXIuZWR1LjwvYXV0aC1hZGRy
ZXNzPjx0aXRsZXM+PHRpdGxlPk1pY3JvUk5BIGV4cHJlc3Npb24gcHJvZmlsaW5nIGRlZmluZXMg
dGhlIGltcGFjdCBvZiBlbGVjdHJvbmljIGNpZ2FyZXR0ZXMgb24gaHVtYW4gYWlyd2F5IGVwaXRo
ZWxpYWwgY2VsbHM8L3RpdGxlPjxzZWNvbmRhcnktdGl0bGU+U2NpIFJlcDwvc2Vjb25kYXJ5LXRp
dGxlPjxhbHQtdGl0bGU+U2NpZW50aWZpYyByZXBvcnRzPC9hbHQtdGl0bGU+PC90aXRsZXM+PGFs
dC1wZXJpb2RpY2FsPjxmdWxsLXRpdGxlPlNjaWVudGlmaWMgUmVwb3J0czwvZnVsbC10aXRsZT48
L2FsdC1wZXJpb2RpY2FsPjxwYWdlcz4xMDgxPC9wYWdlcz48dm9sdW1lPjc8L3ZvbHVtZT48bnVt
YmVyPjE8L251bWJlcj48ZWRpdGlvbj4yMDE3LzA0LzI2PC9lZGl0aW9uPjxkYXRlcz48eWVhcj4y
MDE3PC95ZWFyPjxwdWItZGF0ZXM+PGRhdGU+QXByIDI0PC9kYXRlPjwvcHViLWRhdGVzPjwvZGF0
ZXM+PGlzYm4+MjA0NS0yMzIyPC9pc2JuPjxhY2Nlc3Npb24tbnVtPjI4NDM5MTEzPC9hY2Nlc3Np
b24tbnVtPjx1cmxzPjxyZWxhdGVkLXVybHM+PHVybD5odHRwczovL3d3dy5uY2JpLm5sbS5uaWgu
Z292L3BtYy9hcnRpY2xlcy9QTUM1NDMwODI2L3BkZi80MTU5OF8yMDE3X0FydGljbGVfMTE2Ny5w
ZGY8L3VybD48L3JlbGF0ZWQtdXJscz48L3VybHM+PGN1c3RvbTI+UE1DNTQzMDgyNjwvY3VzdG9t
Mj48ZWxlY3Ryb25pYy1yZXNvdXJjZS1udW0+MTAuMTAzOC9zNDE1OTgtMDE3LTAxMTY3LTg8L2Vs
ZWN0cm9uaWMtcmVzb3VyY2UtbnVtPjxyZW1vdGUtZGF0YWJhc2UtcHJvdmlkZXI+TkxNPC9yZW1v
dGUtZGF0YWJhc2UtcHJvdmlkZXI+PGxhbmd1YWdlPmVuZzwvbGFuZ3VhZ2U+PC9yZWNvcmQ+PC9D
aXRlPjwvRW5kTm90ZT4A
</w:fldData>
            </w:fldChar>
          </w:r>
          <w:r>
            <w:instrText xml:space="preserve"> ADDIN EN.CITE.DATA </w:instrText>
          </w:r>
          <w:r>
            <w:fldChar w:fldCharType="end"/>
          </w:r>
          <w:r>
            <w:fldChar w:fldCharType="separate"/>
          </w:r>
          <w:r>
            <w:rPr>
              <w:noProof/>
            </w:rPr>
            <w:t>(Solleti, Bhattacharya et al. 2017)</w:t>
          </w:r>
          <w:r>
            <w:fldChar w:fldCharType="end"/>
          </w:r>
          <w:r w:rsidRPr="000A145F">
            <w:t xml:space="preserve">. </w:t>
          </w:r>
          <w:r>
            <w:t xml:space="preserve">In another study, </w:t>
          </w:r>
          <w:r w:rsidRPr="002E28E0">
            <w:t>493 genes had different expressions after exposure to menthol v</w:t>
          </w:r>
          <w:r>
            <w:t>ersu</w:t>
          </w:r>
          <w:r w:rsidRPr="002E28E0">
            <w:t xml:space="preserve">s tobacco </w:t>
          </w:r>
          <w:r>
            <w:t xml:space="preserve">flavoured </w:t>
          </w:r>
          <w:r w:rsidRPr="002E28E0">
            <w:t>e-cigarettes</w:t>
          </w:r>
          <w:r>
            <w:t xml:space="preserve"> </w:t>
          </w:r>
          <w:r>
            <w:fldChar w:fldCharType="begin">
              <w:fldData xml:space="preserve">PEVuZE5vdGU+PENpdGU+PEF1dGhvcj5Nb3NlczwvQXV0aG9yPjxZZWFyPjIwMTc8L1llYXI+PFJl
Y051bT4xNTA0PC9SZWNOdW0+PERpc3BsYXlUZXh0PihNb3NlcywgV2FuZyBldCBhbC4gMjAxNyk8
L0Rpc3BsYXlUZXh0PjxyZWNvcmQ+PHJlYy1udW1iZXI+MTUwNDwvcmVjLW51bWJlcj48Zm9yZWln
bi1rZXlzPjxrZXkgYXBwPSJFTiIgZGItaWQ9Ijl6MDVkejBwcmFhZGZ1ZWUwem94emVkazl6ZmU1
Znh4NTB6NSIgdGltZXN0YW1wPSIxNTIxNTA3MDk0Ij4xNTA0PC9rZXk+PGtleSBhcHA9IkVOV2Vi
IiBkYi1pZD0iIj4wPC9rZXk+PC9mb3JlaWduLWtleXM+PHJlZi10eXBlIG5hbWU9IkpvdXJuYWwg
QXJ0aWNsZSI+MTc8L3JlZi10eXBlPjxjb250cmlidXRvcnM+PGF1dGhvcnM+PGF1dGhvcj5Nb3Nl
cywgRS48L2F1dGhvcj48YXV0aG9yPldhbmcsIFQuPC9hdXRob3I+PGF1dGhvcj5Db3JiZXR0LCBT
LjwvYXV0aG9yPjxhdXRob3I+SmFja3NvbiwgRy4gUi48L2F1dGhvcj48YXV0aG9yPkRyaXppaywg
RS48L2F1dGhvcj48YXV0aG9yPlBlcmRvbW8sIEMuPC9hdXRob3I+PGF1dGhvcj5QZXJkb21vLCBD
LjwvYXV0aG9yPjxhdXRob3I+S2xlZXJ1cCwgRS48L2F1dGhvcj48YXV0aG9yPkJyb29rcywgRC48
L2F1dGhvcj48YXV0aG9yPk8mYXBvcztDb25ub3IsIEcuPC9hdXRob3I+PGF1dGhvcj5EdWJpbmV0
dCwgUy48L2F1dGhvcj48YXV0aG9yPkhheWRlbiwgUC48L2F1dGhvcj48YXV0aG9yPkxlbmJ1cmcs
IE0uIEUuPC9hdXRob3I+PGF1dGhvcj5TcGlyYSwgQS48L2F1dGhvcj48L2F1dGhvcnM+PC9jb250
cmlidXRvcnM+PGF1dGgtYWRkcmVzcz5TZWN0aW9uIG9mIENvbXB1dGF0aW9uYWwgQmlvbWVkaWNp
bmUsIERlcGFydG1lbnQgb2YgTWVkaWNpbmUgQm9zdG9uIFVuaXZlcnNpdHkgU2Nob29sIG9mIE1l
ZGljaW5lLCBCb3N0b24sIE1hc3NhY2h1c2V0dHMgMDIxMTguJiN4RDtNYXRUZWsgQ29ycG9yYXRp
b24sIEFzaGxhbmQsIE1hc3NhY2h1c2V0dHMgMDE3MjEuJiN4RDtVbml2ZXJzaXR5IG9mIENhbGlm
b3JuaWEgTG9zIEFuZ2VsZXMsIExvcyBBbmdlbGVzLCBDYWxpZm9ybmlhIDkwMDk1LiYjeEQ7RGVw
YXJ0bWVudCBvZiBFcGlkZW1pb2xvZ3ksIEJvc3RvbiBVbml2ZXJzaXR5IFNjaG9vbCBvZiBQdWJs
aWMgSGVhbHRoLCBCb3N0b24sIE1hc3NhY2h1c2V0dHMgMDIxMTguJiN4RDtQdWxtb25hcnkgQ2Vu
dGVyLCBCb3N0b24gVW5pdmVyc2l0eSBTY2hvb2wgb2YgTWVkaWNpbmUsIEJvc3RvbiwgTWFzc2Fj
aHVzZXR0cyAwMjExOC4mI3hEO1NlY3Rpb24gb2YgQ29tcHV0YXRpb25hbCBCaW9tZWRpY2luZSwg
RGVwYXJ0bWVudCBvZiBNZWRpY2luZSBCb3N0b24gVW5pdmVyc2l0eSBTY2hvb2wgb2YgTWVkaWNp
bmUsIEJvc3RvbiwgTWFzc2FjaHVzZXR0cyAwMjExODsgbWxlbmJ1cmdAYnUuZWR1LjwvYXV0aC1h
ZGRyZXNzPjx0aXRsZXM+PHRpdGxlPk1vbGVjdWxhciBJbXBhY3Qgb2YgRWxlY3Ryb25pYyBDaWdh
cmV0dGUgQWVyb3NvbCBFeHBvc3VyZSBpbiBIdW1hbiBCcm9uY2hpYWwgRXBpdGhlbGl1bTwvdGl0
bGU+PHNlY29uZGFyeS10aXRsZT5Ub3hpY29sIFNjaTwvc2Vjb25kYXJ5LXRpdGxlPjxhbHQtdGl0
bGU+VG94aWNvbG9naWNhbCBzY2llbmNlcyA6IGFuIG9mZmljaWFsIGpvdXJuYWwgb2YgdGhlIFNv
Y2lldHkgb2YgVG94aWNvbG9neTwvYWx0LXRpdGxlPjwvdGl0bGVzPjxwZXJpb2RpY2FsPjxmdWxs
LXRpdGxlPlRveGljb2wgU2NpPC9mdWxsLXRpdGxlPjxhYmJyLTE+VG94aWNvbG9naWNhbCBzY2ll
bmNlcyA6IGFuIG9mZmljaWFsIGpvdXJuYWwgb2YgdGhlIFNvY2lldHkgb2YgVG94aWNvbG9neTwv
YWJici0xPjwvcGVyaW9kaWNhbD48YWx0LXBlcmlvZGljYWw+PGZ1bGwtdGl0bGU+VG94aWNvbCBT
Y2k8L2Z1bGwtdGl0bGU+PGFiYnItMT5Ub3hpY29sb2dpY2FsIHNjaWVuY2VzIDogYW4gb2ZmaWNp
YWwgam91cm5hbCBvZiB0aGUgU29jaWV0eSBvZiBUb3hpY29sb2d5PC9hYmJyLTE+PC9hbHQtcGVy
aW9kaWNhbD48cGFnZXM+MjQ4LTI1NzwvcGFnZXM+PHZvbHVtZT4xNTU8L3ZvbHVtZT48bnVtYmVy
PjE8L251bWJlcj48ZWRpdGlvbj4yMDE2LzEwLzA1PC9lZGl0aW9uPjxrZXl3b3Jkcz48a2V5d29y
ZD5lbGVjdHJvbmljIGNpZ2FyZXR0ZS48L2tleXdvcmQ+PGtleXdvcmQ+Z2VuZSBleHByZXNzaW9u
PC9rZXl3b3JkPjxrZXl3b3JkPnNtb2tlPC9rZXl3b3JkPjxrZXl3b3JkPnRvYmFjY288L2tleXdv
cmQ+PC9rZXl3b3Jkcz48ZGF0ZXM+PHllYXI+MjAxNzwveWVhcj48cHViLWRhdGVzPjxkYXRlPkph
bjwvZGF0ZT48L3B1Yi1kYXRlcz48L2RhdGVzPjxpc2JuPjEwOTYtMDkyOTwvaXNibj48YWNjZXNz
aW9uLW51bT4yNzcwMTExOTwvYWNjZXNzaW9uLW51bT48dXJscz48L3VybHM+PGN1c3RvbTI+UE1D
NTIxNjY1NTwvY3VzdG9tMj48ZWxlY3Ryb25pYy1yZXNvdXJjZS1udW0+MTAuMTA5My90b3hzY2kv
a2Z3MTk4PC9lbGVjdHJvbmljLXJlc291cmNlLW51bT48cmVtb3RlLWRhdGFiYXNlLXByb3ZpZGVy
Pk5MTTwvcmVtb3RlLWRhdGFiYXNlLXByb3ZpZGVyPjxsYW5ndWFnZT5lbmc8L2xhbmd1YWdlPjwv
cmVjb3JkPjwvQ2l0ZT48L0VuZE5vdGU+AG==
</w:fldData>
            </w:fldChar>
          </w:r>
          <w:r>
            <w:instrText xml:space="preserve"> ADDIN EN.CITE </w:instrText>
          </w:r>
          <w:r>
            <w:fldChar w:fldCharType="begin">
              <w:fldData xml:space="preserve">PEVuZE5vdGU+PENpdGU+PEF1dGhvcj5Nb3NlczwvQXV0aG9yPjxZZWFyPjIwMTc8L1llYXI+PFJl
Y051bT4xNTA0PC9SZWNOdW0+PERpc3BsYXlUZXh0PihNb3NlcywgV2FuZyBldCBhbC4gMjAxNyk8
L0Rpc3BsYXlUZXh0PjxyZWNvcmQ+PHJlYy1udW1iZXI+MTUwNDwvcmVjLW51bWJlcj48Zm9yZWln
bi1rZXlzPjxrZXkgYXBwPSJFTiIgZGItaWQ9Ijl6MDVkejBwcmFhZGZ1ZWUwem94emVkazl6ZmU1
Znh4NTB6NSIgdGltZXN0YW1wPSIxNTIxNTA3MDk0Ij4xNTA0PC9rZXk+PGtleSBhcHA9IkVOV2Vi
IiBkYi1pZD0iIj4wPC9rZXk+PC9mb3JlaWduLWtleXM+PHJlZi10eXBlIG5hbWU9IkpvdXJuYWwg
QXJ0aWNsZSI+MTc8L3JlZi10eXBlPjxjb250cmlidXRvcnM+PGF1dGhvcnM+PGF1dGhvcj5Nb3Nl
cywgRS48L2F1dGhvcj48YXV0aG9yPldhbmcsIFQuPC9hdXRob3I+PGF1dGhvcj5Db3JiZXR0LCBT
LjwvYXV0aG9yPjxhdXRob3I+SmFja3NvbiwgRy4gUi48L2F1dGhvcj48YXV0aG9yPkRyaXppaywg
RS48L2F1dGhvcj48YXV0aG9yPlBlcmRvbW8sIEMuPC9hdXRob3I+PGF1dGhvcj5QZXJkb21vLCBD
LjwvYXV0aG9yPjxhdXRob3I+S2xlZXJ1cCwgRS48L2F1dGhvcj48YXV0aG9yPkJyb29rcywgRC48
L2F1dGhvcj48YXV0aG9yPk8mYXBvcztDb25ub3IsIEcuPC9hdXRob3I+PGF1dGhvcj5EdWJpbmV0
dCwgUy48L2F1dGhvcj48YXV0aG9yPkhheWRlbiwgUC48L2F1dGhvcj48YXV0aG9yPkxlbmJ1cmcs
IE0uIEUuPC9hdXRob3I+PGF1dGhvcj5TcGlyYSwgQS48L2F1dGhvcj48L2F1dGhvcnM+PC9jb250
cmlidXRvcnM+PGF1dGgtYWRkcmVzcz5TZWN0aW9uIG9mIENvbXB1dGF0aW9uYWwgQmlvbWVkaWNp
bmUsIERlcGFydG1lbnQgb2YgTWVkaWNpbmUgQm9zdG9uIFVuaXZlcnNpdHkgU2Nob29sIG9mIE1l
ZGljaW5lLCBCb3N0b24sIE1hc3NhY2h1c2V0dHMgMDIxMTguJiN4RDtNYXRUZWsgQ29ycG9yYXRp
b24sIEFzaGxhbmQsIE1hc3NhY2h1c2V0dHMgMDE3MjEuJiN4RDtVbml2ZXJzaXR5IG9mIENhbGlm
b3JuaWEgTG9zIEFuZ2VsZXMsIExvcyBBbmdlbGVzLCBDYWxpZm9ybmlhIDkwMDk1LiYjeEQ7RGVw
YXJ0bWVudCBvZiBFcGlkZW1pb2xvZ3ksIEJvc3RvbiBVbml2ZXJzaXR5IFNjaG9vbCBvZiBQdWJs
aWMgSGVhbHRoLCBCb3N0b24sIE1hc3NhY2h1c2V0dHMgMDIxMTguJiN4RDtQdWxtb25hcnkgQ2Vu
dGVyLCBCb3N0b24gVW5pdmVyc2l0eSBTY2hvb2wgb2YgTWVkaWNpbmUsIEJvc3RvbiwgTWFzc2Fj
aHVzZXR0cyAwMjExOC4mI3hEO1NlY3Rpb24gb2YgQ29tcHV0YXRpb25hbCBCaW9tZWRpY2luZSwg
RGVwYXJ0bWVudCBvZiBNZWRpY2luZSBCb3N0b24gVW5pdmVyc2l0eSBTY2hvb2wgb2YgTWVkaWNp
bmUsIEJvc3RvbiwgTWFzc2FjaHVzZXR0cyAwMjExODsgbWxlbmJ1cmdAYnUuZWR1LjwvYXV0aC1h
ZGRyZXNzPjx0aXRsZXM+PHRpdGxlPk1vbGVjdWxhciBJbXBhY3Qgb2YgRWxlY3Ryb25pYyBDaWdh
cmV0dGUgQWVyb3NvbCBFeHBvc3VyZSBpbiBIdW1hbiBCcm9uY2hpYWwgRXBpdGhlbGl1bTwvdGl0
bGU+PHNlY29uZGFyeS10aXRsZT5Ub3hpY29sIFNjaTwvc2Vjb25kYXJ5LXRpdGxlPjxhbHQtdGl0
bGU+VG94aWNvbG9naWNhbCBzY2llbmNlcyA6IGFuIG9mZmljaWFsIGpvdXJuYWwgb2YgdGhlIFNv
Y2lldHkgb2YgVG94aWNvbG9neTwvYWx0LXRpdGxlPjwvdGl0bGVzPjxwZXJpb2RpY2FsPjxmdWxs
LXRpdGxlPlRveGljb2wgU2NpPC9mdWxsLXRpdGxlPjxhYmJyLTE+VG94aWNvbG9naWNhbCBzY2ll
bmNlcyA6IGFuIG9mZmljaWFsIGpvdXJuYWwgb2YgdGhlIFNvY2lldHkgb2YgVG94aWNvbG9neTwv
YWJici0xPjwvcGVyaW9kaWNhbD48YWx0LXBlcmlvZGljYWw+PGZ1bGwtdGl0bGU+VG94aWNvbCBT
Y2k8L2Z1bGwtdGl0bGU+PGFiYnItMT5Ub3hpY29sb2dpY2FsIHNjaWVuY2VzIDogYW4gb2ZmaWNp
YWwgam91cm5hbCBvZiB0aGUgU29jaWV0eSBvZiBUb3hpY29sb2d5PC9hYmJyLTE+PC9hbHQtcGVy
aW9kaWNhbD48cGFnZXM+MjQ4LTI1NzwvcGFnZXM+PHZvbHVtZT4xNTU8L3ZvbHVtZT48bnVtYmVy
PjE8L251bWJlcj48ZWRpdGlvbj4yMDE2LzEwLzA1PC9lZGl0aW9uPjxrZXl3b3Jkcz48a2V5d29y
ZD5lbGVjdHJvbmljIGNpZ2FyZXR0ZS48L2tleXdvcmQ+PGtleXdvcmQ+Z2VuZSBleHByZXNzaW9u
PC9rZXl3b3JkPjxrZXl3b3JkPnNtb2tlPC9rZXl3b3JkPjxrZXl3b3JkPnRvYmFjY288L2tleXdv
cmQ+PC9rZXl3b3Jkcz48ZGF0ZXM+PHllYXI+MjAxNzwveWVhcj48cHViLWRhdGVzPjxkYXRlPkph
bjwvZGF0ZT48L3B1Yi1kYXRlcz48L2RhdGVzPjxpc2JuPjEwOTYtMDkyOTwvaXNibj48YWNjZXNz
aW9uLW51bT4yNzcwMTExOTwvYWNjZXNzaW9uLW51bT48dXJscz48L3VybHM+PGN1c3RvbTI+UE1D
NTIxNjY1NTwvY3VzdG9tMj48ZWxlY3Ryb25pYy1yZXNvdXJjZS1udW0+MTAuMTA5My90b3hzY2kv
a2Z3MTk4PC9lbGVjdHJvbmljLXJlc291cmNlLW51bT48cmVtb3RlLWRhdGFiYXNlLXByb3ZpZGVy
Pk5MTTwvcmVtb3RlLWRhdGFiYXNlLXByb3ZpZGVyPjxsYW5ndWFnZT5lbmc8L2xhbmd1YWdlPjwv
cmVjb3JkPjwvQ2l0ZT48L0VuZE5vdGU+AG==
</w:fldData>
            </w:fldChar>
          </w:r>
          <w:r>
            <w:instrText xml:space="preserve"> ADDIN EN.CITE.DATA </w:instrText>
          </w:r>
          <w:r>
            <w:fldChar w:fldCharType="end"/>
          </w:r>
          <w:r>
            <w:fldChar w:fldCharType="separate"/>
          </w:r>
          <w:r>
            <w:rPr>
              <w:noProof/>
            </w:rPr>
            <w:t>(Moses, Wang et al. 2017)</w:t>
          </w:r>
          <w:r>
            <w:fldChar w:fldCharType="end"/>
          </w:r>
          <w:r w:rsidRPr="002E28E0">
            <w:t>.</w:t>
          </w:r>
          <w:r>
            <w:t xml:space="preserve"> Despite this, a few studies found that f</w:t>
          </w:r>
          <w:r w:rsidRPr="00E56A6A">
            <w:t>ewer genes</w:t>
          </w:r>
          <w:r>
            <w:t xml:space="preserve"> in bronchial epithelial BEAS-2B cells</w:t>
          </w:r>
          <w:r w:rsidRPr="00E56A6A">
            <w:t xml:space="preserve"> were up- or down</w:t>
          </w:r>
          <w:r>
            <w:noBreakHyphen/>
          </w:r>
          <w:r w:rsidRPr="00E56A6A">
            <w:t>regulated by e-cigarette</w:t>
          </w:r>
          <w:r>
            <w:t xml:space="preserve"> vapour</w:t>
          </w:r>
          <w:r w:rsidRPr="00E56A6A">
            <w:t xml:space="preserve"> </w:t>
          </w:r>
          <w:r>
            <w:t xml:space="preserve">than cigarette smoke </w:t>
          </w:r>
          <w:r>
            <w:fldChar w:fldCharType="begin">
              <w:fldData xml:space="preserve">PEVuZE5vdGU+PENpdGU+PEF1dGhvcj5BbnRoZXJpZXU8L0F1dGhvcj48WWVhcj4yMDE3PC9ZZWFy
PjxSZWNOdW0+MTM5NTwvUmVjTnVtPjxEaXNwbGF5VGV4dD4oQW50aGVyaWV1LCBHYXJhdCBldCBh
bC4gMjAxNywgSGFzd2VsbCwgQmF4dGVyIGV0IGFsLiAyMDE3KTwvRGlzcGxheVRleHQ+PHJlY29y
ZD48cmVjLW51bWJlcj4xMzk1PC9yZWMtbnVtYmVyPjxmb3JlaWduLWtleXM+PGtleSBhcHA9IkVO
IiBkYi1pZD0iOXowNWR6MHByYWFkZnVlZTB6b3h6ZWRrOXpmZTVmeHg1MHo1IiB0aW1lc3RhbXA9
IjE1MjE1MDcwNjkiPjEzOTU8L2tleT48a2V5IGFwcD0iRU5XZWIiIGRiLWlkPSIiPjA8L2tleT48
L2ZvcmVpZ24ta2V5cz48cmVmLXR5cGUgbmFtZT0iSm91cm5hbCBBcnRpY2xlIj4xNzwvcmVmLXR5
cGU+PGNvbnRyaWJ1dG9ycz48YXV0aG9ycz48YXV0aG9yPkFudGhlcmlldSwgUy48L2F1dGhvcj48
YXV0aG9yPkdhcmF0LCBBLjwvYXV0aG9yPjxhdXRob3I+QmVhdXZhbCwgTi48L2F1dGhvcj48YXV0
aG9yPlNveWV6LCBNLjwvYXV0aG9yPjxhdXRob3I+QWxsb3JnZSwgRC48L2F1dGhvcj48YXV0aG9y
PkdhcmNvbiwgRy48L2F1dGhvcj48YXV0aG9yPkxvLUd1aWRpY2UsIEouIE0uPC9hdXRob3I+PC9h
dXRob3JzPjwvY29udHJpYnV0b3JzPjxhdXRoLWFkZHJlc3M+VW5pdi4gTGlsbGUsIENIVSBMaWxs
ZSwgSW5zdGl0dXQgUGFzdGV1ciBkZSBMaWxsZSwgRUEgNDQ4MywgSU1QRUNTIC0gSU1QYWN0IG9m
IEVudmlyb25tZW50YWwgQ2hlbWljYWxTIG9uIGh1bWFuIGhlYWx0aCwgRi01OTAwMCBMaWxsZSwg
RnJhbmNlLiBFbGVjdHJvbmljIGFkZHJlc3M6IHNlYmFzdGllbi5hbnRoZXJpZXVAdW5pdi1saWxs
ZTIuZnIuJiN4RDtVbml2LiBMaWxsZSwgQ0hVIExpbGxlLCBJbnN0aXR1dCBQYXN0ZXVyIGRlIExp
bGxlLCBFQSA0NDgzLCBJTVBFQ1MgLSBJTVBhY3Qgb2YgRW52aXJvbm1lbnRhbCBDaGVtaWNhbFMg
b24gaHVtYW4gaGVhbHRoLCBGLTU5MDAwIExpbGxlLCBGcmFuY2UuJiN4RDtVbml2LiBMaWxsZSwg
Q0hVIExpbGxlLCBJbnN0aXR1dCBQYXN0ZXVyIGRlIExpbGxlLCBFQSA0NDgzLCBJTVBFQ1MgLSBJ
TVBhY3Qgb2YgRW52aXJvbm1lbnRhbCBDaGVtaWNhbFMgb24gaHVtYW4gaGVhbHRoLCBGLTU5MDAw
IExpbGxlLCBGcmFuY2U7IE1pbmVzIERvdWFpLCBTQUdFLCBGLTU5NTA4IERvdWFpLCBGcmFuY2Uu
PC9hdXRoLWFkZHJlc3M+PHRpdGxlcz48dGl0bGU+Q29tcGFyaXNvbiBvZiBjZWxsdWxhciBhbmQg
dHJhbnNjcmlwdG9taWMgZWZmZWN0cyBiZXR3ZWVuIGVsZWN0cm9uaWMgY2lnYXJldHRlIHZhcG9y
IGFuZCBjaWdhcmV0dGUgc21va2UgaW4gaHVtYW4gYnJvbmNoaWFsIGVwaXRoZWxpYWwgY2VsbHM8
L3RpdGxlPjxzZWNvbmRhcnktdGl0bGU+VG94aWNvbCBJbiBWaXRybzwvc2Vjb25kYXJ5LXRpdGxl
PjxhbHQtdGl0bGU+VG94aWNvbG9neSBpbiB2aXRybyA6IGFuIGludGVybmF0aW9uYWwgam91cm5h
bCBwdWJsaXNoZWQgaW4gYXNzb2NpYXRpb24gd2l0aCBCSUJSQTwvYWx0LXRpdGxlPjwvdGl0bGVz
PjxwZXJpb2RpY2FsPjxmdWxsLXRpdGxlPlRveGljb2wgSW4gVml0cm88L2Z1bGwtdGl0bGU+PGFi
YnItMT5Ub3hpY29sb2d5IGluIHZpdHJvIDogYW4gaW50ZXJuYXRpb25hbCBqb3VybmFsIHB1Ymxp
c2hlZCBpbiBhc3NvY2lhdGlvbiB3aXRoIEJJQlJBPC9hYmJyLTE+PC9wZXJpb2RpY2FsPjxhbHQt
cGVyaW9kaWNhbD48ZnVsbC10aXRsZT5Ub3hpY29sIEluIFZpdHJvPC9mdWxsLXRpdGxlPjxhYmJy
LTE+VG94aWNvbG9neSBpbiB2aXRybyA6IGFuIGludGVybmF0aW9uYWwgam91cm5hbCBwdWJsaXNo
ZWQgaW4gYXNzb2NpYXRpb24gd2l0aCBCSUJSQTwvYWJici0xPjwvYWx0LXBlcmlvZGljYWw+PHBh
Z2VzPjQxNy00MjU8L3BhZ2VzPjx2b2x1bWU+NDU8L3ZvbHVtZT48bnVtYmVyPlB0IDM8L251bWJl
cj48ZWRpdGlvbj4yMDE3LzAxLzEwPC9lZGl0aW9uPjxrZXl3b3Jkcz48a2V5d29yZD5CRUFTLTJC
IGNlbGwgbGluZTwva2V5d29yZD48a2V5d29yZD5FLWNpZ2FyZXR0ZTwva2V5d29yZD48a2V5d29y
ZD5Ub3hpY2l0eTwva2V5d29yZD48a2V5d29yZD5UcmFuc2NyaXB0b21pYzwva2V5d29yZD48a2V5
d29yZD5WYXBvcnM8L2tleXdvcmQ+PC9rZXl3b3Jkcz48ZGF0ZXM+PHllYXI+MjAxNzwveWVhcj48
cHViLWRhdGVzPjxkYXRlPkRlYzwvZGF0ZT48L3B1Yi1kYXRlcz48L2RhdGVzPjxpc2JuPjA4ODct
MjMzMzwvaXNibj48YWNjZXNzaW9uLW51bT4yODA2NTc5MDwvYWNjZXNzaW9uLW51bT48dXJscz48
cmVsYXRlZC11cmxzPjx1cmw+aHR0cHM6Ly93d3cuc2NpZW5jZWRpcmVjdC5jb20vc2NpZW5jZS9h
cnRpY2xlL3BpaS9TMDg4NzIzMzMxNjMwMjcxNT92aWElM0RpaHViPC91cmw+PC9yZWxhdGVkLXVy
bHM+PC91cmxzPjxlbGVjdHJvbmljLXJlc291cmNlLW51bT4xMC4xMDE2L2oudGl2LjIwMTYuMTIu
MDE1PC9lbGVjdHJvbmljLXJlc291cmNlLW51bT48cmVtb3RlLWRhdGFiYXNlLXByb3ZpZGVyPk5M
TTwvcmVtb3RlLWRhdGFiYXNlLXByb3ZpZGVyPjxsYW5ndWFnZT5lbmc8L2xhbmd1YWdlPjwvcmVj
b3JkPjwvQ2l0ZT48Q2l0ZT48QXV0aG9yPkhhc3dlbGw8L0F1dGhvcj48WWVhcj4yMDE3PC9ZZWFy
PjxSZWNOdW0+MTE5MzwvUmVjTnVtPjxyZWNvcmQ+PHJlYy1udW1iZXI+MTE5MzwvcmVjLW51bWJl
cj48Zm9yZWlnbi1rZXlzPjxrZXkgYXBwPSJFTiIgZGItaWQ9Ijl6MDVkejBwcmFhZGZ1ZWUwem94
emVkazl6ZmU1Znh4NTB6NSIgdGltZXN0YW1wPSIxNTIxNTA3MDIyIj4xMTkzPC9rZXk+PGtleSBh
cHA9IkVOV2ViIiBkYi1pZD0iIj4wPC9rZXk+PC9mb3JlaWduLWtleXM+PHJlZi10eXBlIG5hbWU9
IkpvdXJuYWwgQXJ0aWNsZSI+MTc8L3JlZi10eXBlPjxjb250cmlidXRvcnM+PGF1dGhvcnM+PGF1
dGhvcj5IYXN3ZWxsLCBMLiBFLjwvYXV0aG9yPjxhdXRob3I+QmF4dGVyLCBBLjwvYXV0aG9yPjxh
dXRob3I+QmFuZXJqZWUsIEEuPC9hdXRob3I+PGF1dGhvcj5WZXJyYXN0cm8sIEkuPC9hdXRob3I+
PGF1dGhvcj5NdXNob25nYW5vbm8sIEouPC9hdXRob3I+PGF1dGhvcj5BZGFtc29uLCBKLjwvYXV0
aG9yPjxhdXRob3I+VGhvcm5lLCBELjwvYXV0aG9yPjxhdXRob3I+R2FjYSwgTS48L2F1dGhvcj48
YXV0aG9yPk1pbmV0LCBFLjwvYXV0aG9yPjwvYXV0aG9ycz48L2NvbnRyaWJ1dG9ycz48YXV0aC1h
ZGRyZXNzPkJyaXRpc2ggQW1lcmljYW4gVG9iYWNjbyBSJmFtcDtEIENlbnRyZSwgUmVnZW50cyBQ
YXJrIFJvYWQsIFNvdXRoYW1wdG9uLCBTTzE1IDhUTCwgVUsuJiN4RDtCcml0aXNoIEFtZXJpY2Fu
IFRvYmFjY28gUiZhbXA7RCBDZW50cmUsIFJlZ2VudHMgUGFyayBSb2FkLCBTb3V0aGFtcHRvbiwg
U08xNSA4VEwsIFVLLiBlbW1hbnVlbF9taW5ldEBCQVQuY29tLjwvYXV0aC1hZGRyZXNzPjx0aXRs
ZXM+PHRpdGxlPlJlZHVjZWQgYmlvbG9naWNhbCBlZmZlY3Qgb2YgZS1jaWdhcmV0dGUgYWVyb3Nv
bCBjb21wYXJlZCB0byBjaWdhcmV0dGUgc21va2UgZXZhbHVhdGVkIGluIHZpdHJvIHVzaW5nIG5v
cm1hbGl6ZWQgbmljb3RpbmUgZG9zZSBhbmQgUk5BLXNlcS1iYXNlZCB0b3hpY29nZW5vbWljczwv
dGl0bGU+PHNlY29uZGFyeS10aXRsZT5TY2kgUmVwPC9zZWNvbmRhcnktdGl0bGU+PGFsdC10aXRs
ZT5TY2llbnRpZmljIHJlcG9ydHM8L2FsdC10aXRsZT48L3RpdGxlcz48YWx0LXBlcmlvZGljYWw+
PGZ1bGwtdGl0bGU+U2NpZW50aWZpYyBSZXBvcnRzPC9mdWxsLXRpdGxlPjwvYWx0LXBlcmlvZGlj
YWw+PHBhZ2VzPjg4ODwvcGFnZXM+PHZvbHVtZT43PC92b2x1bWU+PG51bWJlcj4xPC9udW1iZXI+
PGVkaXRpb24+MjAxNy8wNC8yMDwvZWRpdGlvbj48ZGF0ZXM+PHllYXI+MjAxNzwveWVhcj48cHVi
LWRhdGVzPjxkYXRlPkFwciAxODwvZGF0ZT48L3B1Yi1kYXRlcz48L2RhdGVzPjxpc2JuPjIwNDUt
MjMyMjwvaXNibj48YWNjZXNzaW9uLW51bT4yODQyMDg4MTwvYWNjZXNzaW9uLW51bT48dXJscz48
cmVsYXRlZC11cmxzPjx1cmw+aHR0cHM6Ly93d3cubmNiaS5ubG0ubmloLmdvdi9wbWMvYXJ0aWNs
ZXMvUE1DNTQyOTg1NC9wZGYvNDE1OThfMjAxN19BcnRpY2xlXzg1Mi5wZGY8L3VybD48L3JlbGF0
ZWQtdXJscz48L3VybHM+PGN1c3RvbTI+UE1DNTQyOTg1NDwvY3VzdG9tMj48ZWxlY3Ryb25pYy1y
ZXNvdXJjZS1udW0+MTAuMTAzOC9zNDE1OTgtMDE3LTAwODUyLXk8L2VsZWN0cm9uaWMtcmVzb3Vy
Y2UtbnVtPjxyZW1vdGUtZGF0YWJhc2UtcHJvdmlkZXI+TkxNPC9yZW1vdGUtZGF0YWJhc2UtcHJv
dmlkZXI+PGxhbmd1YWdlPmVuZzwvbGFuZ3VhZ2U+PC9yZWNvcmQ+PC9DaXRlPjwvRW5kTm90ZT4A
</w:fldData>
            </w:fldChar>
          </w:r>
          <w:r>
            <w:instrText xml:space="preserve"> ADDIN EN.CITE </w:instrText>
          </w:r>
          <w:r>
            <w:fldChar w:fldCharType="begin">
              <w:fldData xml:space="preserve">PEVuZE5vdGU+PENpdGU+PEF1dGhvcj5BbnRoZXJpZXU8L0F1dGhvcj48WWVhcj4yMDE3PC9ZZWFy
PjxSZWNOdW0+MTM5NTwvUmVjTnVtPjxEaXNwbGF5VGV4dD4oQW50aGVyaWV1LCBHYXJhdCBldCBh
bC4gMjAxNywgSGFzd2VsbCwgQmF4dGVyIGV0IGFsLiAyMDE3KTwvRGlzcGxheVRleHQ+PHJlY29y
ZD48cmVjLW51bWJlcj4xMzk1PC9yZWMtbnVtYmVyPjxmb3JlaWduLWtleXM+PGtleSBhcHA9IkVO
IiBkYi1pZD0iOXowNWR6MHByYWFkZnVlZTB6b3h6ZWRrOXpmZTVmeHg1MHo1IiB0aW1lc3RhbXA9
IjE1MjE1MDcwNjkiPjEzOTU8L2tleT48a2V5IGFwcD0iRU5XZWIiIGRiLWlkPSIiPjA8L2tleT48
L2ZvcmVpZ24ta2V5cz48cmVmLXR5cGUgbmFtZT0iSm91cm5hbCBBcnRpY2xlIj4xNzwvcmVmLXR5
cGU+PGNvbnRyaWJ1dG9ycz48YXV0aG9ycz48YXV0aG9yPkFudGhlcmlldSwgUy48L2F1dGhvcj48
YXV0aG9yPkdhcmF0LCBBLjwvYXV0aG9yPjxhdXRob3I+QmVhdXZhbCwgTi48L2F1dGhvcj48YXV0
aG9yPlNveWV6LCBNLjwvYXV0aG9yPjxhdXRob3I+QWxsb3JnZSwgRC48L2F1dGhvcj48YXV0aG9y
PkdhcmNvbiwgRy48L2F1dGhvcj48YXV0aG9yPkxvLUd1aWRpY2UsIEouIE0uPC9hdXRob3I+PC9h
dXRob3JzPjwvY29udHJpYnV0b3JzPjxhdXRoLWFkZHJlc3M+VW5pdi4gTGlsbGUsIENIVSBMaWxs
ZSwgSW5zdGl0dXQgUGFzdGV1ciBkZSBMaWxsZSwgRUEgNDQ4MywgSU1QRUNTIC0gSU1QYWN0IG9m
IEVudmlyb25tZW50YWwgQ2hlbWljYWxTIG9uIGh1bWFuIGhlYWx0aCwgRi01OTAwMCBMaWxsZSwg
RnJhbmNlLiBFbGVjdHJvbmljIGFkZHJlc3M6IHNlYmFzdGllbi5hbnRoZXJpZXVAdW5pdi1saWxs
ZTIuZnIuJiN4RDtVbml2LiBMaWxsZSwgQ0hVIExpbGxlLCBJbnN0aXR1dCBQYXN0ZXVyIGRlIExp
bGxlLCBFQSA0NDgzLCBJTVBFQ1MgLSBJTVBhY3Qgb2YgRW52aXJvbm1lbnRhbCBDaGVtaWNhbFMg
b24gaHVtYW4gaGVhbHRoLCBGLTU5MDAwIExpbGxlLCBGcmFuY2UuJiN4RDtVbml2LiBMaWxsZSwg
Q0hVIExpbGxlLCBJbnN0aXR1dCBQYXN0ZXVyIGRlIExpbGxlLCBFQSA0NDgzLCBJTVBFQ1MgLSBJ
TVBhY3Qgb2YgRW52aXJvbm1lbnRhbCBDaGVtaWNhbFMgb24gaHVtYW4gaGVhbHRoLCBGLTU5MDAw
IExpbGxlLCBGcmFuY2U7IE1pbmVzIERvdWFpLCBTQUdFLCBGLTU5NTA4IERvdWFpLCBGcmFuY2Uu
PC9hdXRoLWFkZHJlc3M+PHRpdGxlcz48dGl0bGU+Q29tcGFyaXNvbiBvZiBjZWxsdWxhciBhbmQg
dHJhbnNjcmlwdG9taWMgZWZmZWN0cyBiZXR3ZWVuIGVsZWN0cm9uaWMgY2lnYXJldHRlIHZhcG9y
IGFuZCBjaWdhcmV0dGUgc21va2UgaW4gaHVtYW4gYnJvbmNoaWFsIGVwaXRoZWxpYWwgY2VsbHM8
L3RpdGxlPjxzZWNvbmRhcnktdGl0bGU+VG94aWNvbCBJbiBWaXRybzwvc2Vjb25kYXJ5LXRpdGxl
PjxhbHQtdGl0bGU+VG94aWNvbG9neSBpbiB2aXRybyA6IGFuIGludGVybmF0aW9uYWwgam91cm5h
bCBwdWJsaXNoZWQgaW4gYXNzb2NpYXRpb24gd2l0aCBCSUJSQTwvYWx0LXRpdGxlPjwvdGl0bGVz
PjxwZXJpb2RpY2FsPjxmdWxsLXRpdGxlPlRveGljb2wgSW4gVml0cm88L2Z1bGwtdGl0bGU+PGFi
YnItMT5Ub3hpY29sb2d5IGluIHZpdHJvIDogYW4gaW50ZXJuYXRpb25hbCBqb3VybmFsIHB1Ymxp
c2hlZCBpbiBhc3NvY2lhdGlvbiB3aXRoIEJJQlJBPC9hYmJyLTE+PC9wZXJpb2RpY2FsPjxhbHQt
cGVyaW9kaWNhbD48ZnVsbC10aXRsZT5Ub3hpY29sIEluIFZpdHJvPC9mdWxsLXRpdGxlPjxhYmJy
LTE+VG94aWNvbG9neSBpbiB2aXRybyA6IGFuIGludGVybmF0aW9uYWwgam91cm5hbCBwdWJsaXNo
ZWQgaW4gYXNzb2NpYXRpb24gd2l0aCBCSUJSQTwvYWJici0xPjwvYWx0LXBlcmlvZGljYWw+PHBh
Z2VzPjQxNy00MjU8L3BhZ2VzPjx2b2x1bWU+NDU8L3ZvbHVtZT48bnVtYmVyPlB0IDM8L251bWJl
cj48ZWRpdGlvbj4yMDE3LzAxLzEwPC9lZGl0aW9uPjxrZXl3b3Jkcz48a2V5d29yZD5CRUFTLTJC
IGNlbGwgbGluZTwva2V5d29yZD48a2V5d29yZD5FLWNpZ2FyZXR0ZTwva2V5d29yZD48a2V5d29y
ZD5Ub3hpY2l0eTwva2V5d29yZD48a2V5d29yZD5UcmFuc2NyaXB0b21pYzwva2V5d29yZD48a2V5
d29yZD5WYXBvcnM8L2tleXdvcmQ+PC9rZXl3b3Jkcz48ZGF0ZXM+PHllYXI+MjAxNzwveWVhcj48
cHViLWRhdGVzPjxkYXRlPkRlYzwvZGF0ZT48L3B1Yi1kYXRlcz48L2RhdGVzPjxpc2JuPjA4ODct
MjMzMzwvaXNibj48YWNjZXNzaW9uLW51bT4yODA2NTc5MDwvYWNjZXNzaW9uLW51bT48dXJscz48
cmVsYXRlZC11cmxzPjx1cmw+aHR0cHM6Ly93d3cuc2NpZW5jZWRpcmVjdC5jb20vc2NpZW5jZS9h
cnRpY2xlL3BpaS9TMDg4NzIzMzMxNjMwMjcxNT92aWElM0RpaHViPC91cmw+PC9yZWxhdGVkLXVy
bHM+PC91cmxzPjxlbGVjdHJvbmljLXJlc291cmNlLW51bT4xMC4xMDE2L2oudGl2LjIwMTYuMTIu
MDE1PC9lbGVjdHJvbmljLXJlc291cmNlLW51bT48cmVtb3RlLWRhdGFiYXNlLXByb3ZpZGVyPk5M
TTwvcmVtb3RlLWRhdGFiYXNlLXByb3ZpZGVyPjxsYW5ndWFnZT5lbmc8L2xhbmd1YWdlPjwvcmVj
b3JkPjwvQ2l0ZT48Q2l0ZT48QXV0aG9yPkhhc3dlbGw8L0F1dGhvcj48WWVhcj4yMDE3PC9ZZWFy
PjxSZWNOdW0+MTE5MzwvUmVjTnVtPjxyZWNvcmQ+PHJlYy1udW1iZXI+MTE5MzwvcmVjLW51bWJl
cj48Zm9yZWlnbi1rZXlzPjxrZXkgYXBwPSJFTiIgZGItaWQ9Ijl6MDVkejBwcmFhZGZ1ZWUwem94
emVkazl6ZmU1Znh4NTB6NSIgdGltZXN0YW1wPSIxNTIxNTA3MDIyIj4xMTkzPC9rZXk+PGtleSBh
cHA9IkVOV2ViIiBkYi1pZD0iIj4wPC9rZXk+PC9mb3JlaWduLWtleXM+PHJlZi10eXBlIG5hbWU9
IkpvdXJuYWwgQXJ0aWNsZSI+MTc8L3JlZi10eXBlPjxjb250cmlidXRvcnM+PGF1dGhvcnM+PGF1
dGhvcj5IYXN3ZWxsLCBMLiBFLjwvYXV0aG9yPjxhdXRob3I+QmF4dGVyLCBBLjwvYXV0aG9yPjxh
dXRob3I+QmFuZXJqZWUsIEEuPC9hdXRob3I+PGF1dGhvcj5WZXJyYXN0cm8sIEkuPC9hdXRob3I+
PGF1dGhvcj5NdXNob25nYW5vbm8sIEouPC9hdXRob3I+PGF1dGhvcj5BZGFtc29uLCBKLjwvYXV0
aG9yPjxhdXRob3I+VGhvcm5lLCBELjwvYXV0aG9yPjxhdXRob3I+R2FjYSwgTS48L2F1dGhvcj48
YXV0aG9yPk1pbmV0LCBFLjwvYXV0aG9yPjwvYXV0aG9ycz48L2NvbnRyaWJ1dG9ycz48YXV0aC1h
ZGRyZXNzPkJyaXRpc2ggQW1lcmljYW4gVG9iYWNjbyBSJmFtcDtEIENlbnRyZSwgUmVnZW50cyBQ
YXJrIFJvYWQsIFNvdXRoYW1wdG9uLCBTTzE1IDhUTCwgVUsuJiN4RDtCcml0aXNoIEFtZXJpY2Fu
IFRvYmFjY28gUiZhbXA7RCBDZW50cmUsIFJlZ2VudHMgUGFyayBSb2FkLCBTb3V0aGFtcHRvbiwg
U08xNSA4VEwsIFVLLiBlbW1hbnVlbF9taW5ldEBCQVQuY29tLjwvYXV0aC1hZGRyZXNzPjx0aXRs
ZXM+PHRpdGxlPlJlZHVjZWQgYmlvbG9naWNhbCBlZmZlY3Qgb2YgZS1jaWdhcmV0dGUgYWVyb3Nv
bCBjb21wYXJlZCB0byBjaWdhcmV0dGUgc21va2UgZXZhbHVhdGVkIGluIHZpdHJvIHVzaW5nIG5v
cm1hbGl6ZWQgbmljb3RpbmUgZG9zZSBhbmQgUk5BLXNlcS1iYXNlZCB0b3hpY29nZW5vbWljczwv
dGl0bGU+PHNlY29uZGFyeS10aXRsZT5TY2kgUmVwPC9zZWNvbmRhcnktdGl0bGU+PGFsdC10aXRs
ZT5TY2llbnRpZmljIHJlcG9ydHM8L2FsdC10aXRsZT48L3RpdGxlcz48YWx0LXBlcmlvZGljYWw+
PGZ1bGwtdGl0bGU+U2NpZW50aWZpYyBSZXBvcnRzPC9mdWxsLXRpdGxlPjwvYWx0LXBlcmlvZGlj
YWw+PHBhZ2VzPjg4ODwvcGFnZXM+PHZvbHVtZT43PC92b2x1bWU+PG51bWJlcj4xPC9udW1iZXI+
PGVkaXRpb24+MjAxNy8wNC8yMDwvZWRpdGlvbj48ZGF0ZXM+PHllYXI+MjAxNzwveWVhcj48cHVi
LWRhdGVzPjxkYXRlPkFwciAxODwvZGF0ZT48L3B1Yi1kYXRlcz48L2RhdGVzPjxpc2JuPjIwNDUt
MjMyMjwvaXNibj48YWNjZXNzaW9uLW51bT4yODQyMDg4MTwvYWNjZXNzaW9uLW51bT48dXJscz48
cmVsYXRlZC11cmxzPjx1cmw+aHR0cHM6Ly93d3cubmNiaS5ubG0ubmloLmdvdi9wbWMvYXJ0aWNs
ZXMvUE1DNTQyOTg1NC9wZGYvNDE1OThfMjAxN19BcnRpY2xlXzg1Mi5wZGY8L3VybD48L3JlbGF0
ZWQtdXJscz48L3VybHM+PGN1c3RvbTI+UE1DNTQyOTg1NDwvY3VzdG9tMj48ZWxlY3Ryb25pYy1y
ZXNvdXJjZS1udW0+MTAuMTAzOC9zNDE1OTgtMDE3LTAwODUyLXk8L2VsZWN0cm9uaWMtcmVzb3Vy
Y2UtbnVtPjxyZW1vdGUtZGF0YWJhc2UtcHJvdmlkZXI+TkxNPC9yZW1vdGUtZGF0YWJhc2UtcHJv
dmlkZXI+PGxhbmd1YWdlPmVuZzwvbGFuZ3VhZ2U+PC9yZWNvcmQ+PC9DaXRlPjwvRW5kTm90ZT4A
</w:fldData>
            </w:fldChar>
          </w:r>
          <w:r>
            <w:instrText xml:space="preserve"> ADDIN EN.CITE.DATA </w:instrText>
          </w:r>
          <w:r>
            <w:fldChar w:fldCharType="end"/>
          </w:r>
          <w:r>
            <w:fldChar w:fldCharType="separate"/>
          </w:r>
          <w:r>
            <w:rPr>
              <w:noProof/>
            </w:rPr>
            <w:t>(Antherieu, Garat et al. 2017, Haswell, Baxter et al. 2017)</w:t>
          </w:r>
          <w:r>
            <w:fldChar w:fldCharType="end"/>
          </w:r>
          <w:r w:rsidRPr="002A0FAF">
            <w:t xml:space="preserve">. </w:t>
          </w:r>
        </w:p>
        <w:p w14:paraId="77BC47AB" w14:textId="77777777" w:rsidR="00A74D41" w:rsidRDefault="00A74D41" w:rsidP="00A74D41">
          <w:pPr>
            <w:pStyle w:val="BodyText"/>
          </w:pPr>
          <w:r>
            <w:t xml:space="preserve">A more comprehensive study identified both the gene effected and the effect on the cell, at exposures replicating human exposures </w:t>
          </w:r>
          <w:r>
            <w:fldChar w:fldCharType="begin">
              <w:fldData xml:space="preserve">PEVuZE5vdGU+PENpdGU+PEF1dGhvcj5Nb3NlczwvQXV0aG9yPjxZZWFyPjIwMTc8L1llYXI+PFJl
Y051bT4xNTA0PC9SZWNOdW0+PERpc3BsYXlUZXh0PihNb3NlcywgV2FuZyBldCBhbC4gMjAxNyk8
L0Rpc3BsYXlUZXh0PjxyZWNvcmQ+PHJlYy1udW1iZXI+MTUwNDwvcmVjLW51bWJlcj48Zm9yZWln
bi1rZXlzPjxrZXkgYXBwPSJFTiIgZGItaWQ9Ijl6MDVkejBwcmFhZGZ1ZWUwem94emVkazl6ZmU1
Znh4NTB6NSIgdGltZXN0YW1wPSIxNTIxNTA3MDk0Ij4xNTA0PC9rZXk+PGtleSBhcHA9IkVOV2Vi
IiBkYi1pZD0iIj4wPC9rZXk+PC9mb3JlaWduLWtleXM+PHJlZi10eXBlIG5hbWU9IkpvdXJuYWwg
QXJ0aWNsZSI+MTc8L3JlZi10eXBlPjxjb250cmlidXRvcnM+PGF1dGhvcnM+PGF1dGhvcj5Nb3Nl
cywgRS48L2F1dGhvcj48YXV0aG9yPldhbmcsIFQuPC9hdXRob3I+PGF1dGhvcj5Db3JiZXR0LCBT
LjwvYXV0aG9yPjxhdXRob3I+SmFja3NvbiwgRy4gUi48L2F1dGhvcj48YXV0aG9yPkRyaXppaywg
RS48L2F1dGhvcj48YXV0aG9yPlBlcmRvbW8sIEMuPC9hdXRob3I+PGF1dGhvcj5QZXJkb21vLCBD
LjwvYXV0aG9yPjxhdXRob3I+S2xlZXJ1cCwgRS48L2F1dGhvcj48YXV0aG9yPkJyb29rcywgRC48
L2F1dGhvcj48YXV0aG9yPk8mYXBvcztDb25ub3IsIEcuPC9hdXRob3I+PGF1dGhvcj5EdWJpbmV0
dCwgUy48L2F1dGhvcj48YXV0aG9yPkhheWRlbiwgUC48L2F1dGhvcj48YXV0aG9yPkxlbmJ1cmcs
IE0uIEUuPC9hdXRob3I+PGF1dGhvcj5TcGlyYSwgQS48L2F1dGhvcj48L2F1dGhvcnM+PC9jb250
cmlidXRvcnM+PGF1dGgtYWRkcmVzcz5TZWN0aW9uIG9mIENvbXB1dGF0aW9uYWwgQmlvbWVkaWNp
bmUsIERlcGFydG1lbnQgb2YgTWVkaWNpbmUgQm9zdG9uIFVuaXZlcnNpdHkgU2Nob29sIG9mIE1l
ZGljaW5lLCBCb3N0b24sIE1hc3NhY2h1c2V0dHMgMDIxMTguJiN4RDtNYXRUZWsgQ29ycG9yYXRp
b24sIEFzaGxhbmQsIE1hc3NhY2h1c2V0dHMgMDE3MjEuJiN4RDtVbml2ZXJzaXR5IG9mIENhbGlm
b3JuaWEgTG9zIEFuZ2VsZXMsIExvcyBBbmdlbGVzLCBDYWxpZm9ybmlhIDkwMDk1LiYjeEQ7RGVw
YXJ0bWVudCBvZiBFcGlkZW1pb2xvZ3ksIEJvc3RvbiBVbml2ZXJzaXR5IFNjaG9vbCBvZiBQdWJs
aWMgSGVhbHRoLCBCb3N0b24sIE1hc3NhY2h1c2V0dHMgMDIxMTguJiN4RDtQdWxtb25hcnkgQ2Vu
dGVyLCBCb3N0b24gVW5pdmVyc2l0eSBTY2hvb2wgb2YgTWVkaWNpbmUsIEJvc3RvbiwgTWFzc2Fj
aHVzZXR0cyAwMjExOC4mI3hEO1NlY3Rpb24gb2YgQ29tcHV0YXRpb25hbCBCaW9tZWRpY2luZSwg
RGVwYXJ0bWVudCBvZiBNZWRpY2luZSBCb3N0b24gVW5pdmVyc2l0eSBTY2hvb2wgb2YgTWVkaWNp
bmUsIEJvc3RvbiwgTWFzc2FjaHVzZXR0cyAwMjExODsgbWxlbmJ1cmdAYnUuZWR1LjwvYXV0aC1h
ZGRyZXNzPjx0aXRsZXM+PHRpdGxlPk1vbGVjdWxhciBJbXBhY3Qgb2YgRWxlY3Ryb25pYyBDaWdh
cmV0dGUgQWVyb3NvbCBFeHBvc3VyZSBpbiBIdW1hbiBCcm9uY2hpYWwgRXBpdGhlbGl1bTwvdGl0
bGU+PHNlY29uZGFyeS10aXRsZT5Ub3hpY29sIFNjaTwvc2Vjb25kYXJ5LXRpdGxlPjxhbHQtdGl0
bGU+VG94aWNvbG9naWNhbCBzY2llbmNlcyA6IGFuIG9mZmljaWFsIGpvdXJuYWwgb2YgdGhlIFNv
Y2lldHkgb2YgVG94aWNvbG9neTwvYWx0LXRpdGxlPjwvdGl0bGVzPjxwZXJpb2RpY2FsPjxmdWxs
LXRpdGxlPlRveGljb2wgU2NpPC9mdWxsLXRpdGxlPjxhYmJyLTE+VG94aWNvbG9naWNhbCBzY2ll
bmNlcyA6IGFuIG9mZmljaWFsIGpvdXJuYWwgb2YgdGhlIFNvY2lldHkgb2YgVG94aWNvbG9neTwv
YWJici0xPjwvcGVyaW9kaWNhbD48YWx0LXBlcmlvZGljYWw+PGZ1bGwtdGl0bGU+VG94aWNvbCBT
Y2k8L2Z1bGwtdGl0bGU+PGFiYnItMT5Ub3hpY29sb2dpY2FsIHNjaWVuY2VzIDogYW4gb2ZmaWNp
YWwgam91cm5hbCBvZiB0aGUgU29jaWV0eSBvZiBUb3hpY29sb2d5PC9hYmJyLTE+PC9hbHQtcGVy
aW9kaWNhbD48cGFnZXM+MjQ4LTI1NzwvcGFnZXM+PHZvbHVtZT4xNTU8L3ZvbHVtZT48bnVtYmVy
PjE8L251bWJlcj48ZWRpdGlvbj4yMDE2LzEwLzA1PC9lZGl0aW9uPjxrZXl3b3Jkcz48a2V5d29y
ZD5lbGVjdHJvbmljIGNpZ2FyZXR0ZS48L2tleXdvcmQ+PGtleXdvcmQ+Z2VuZSBleHByZXNzaW9u
PC9rZXl3b3JkPjxrZXl3b3JkPnNtb2tlPC9rZXl3b3JkPjxrZXl3b3JkPnRvYmFjY288L2tleXdv
cmQ+PC9rZXl3b3Jkcz48ZGF0ZXM+PHllYXI+MjAxNzwveWVhcj48cHViLWRhdGVzPjxkYXRlPkph
bjwvZGF0ZT48L3B1Yi1kYXRlcz48L2RhdGVzPjxpc2JuPjEwOTYtMDkyOTwvaXNibj48YWNjZXNz
aW9uLW51bT4yNzcwMTExOTwvYWNjZXNzaW9uLW51bT48dXJscz48L3VybHM+PGN1c3RvbTI+UE1D
NTIxNjY1NTwvY3VzdG9tMj48ZWxlY3Ryb25pYy1yZXNvdXJjZS1udW0+MTAuMTA5My90b3hzY2kv
a2Z3MTk4PC9lbGVjdHJvbmljLXJlc291cmNlLW51bT48cmVtb3RlLWRhdGFiYXNlLXByb3ZpZGVy
Pk5MTTwvcmVtb3RlLWRhdGFiYXNlLXByb3ZpZGVyPjxsYW5ndWFnZT5lbmc8L2xhbmd1YWdlPjwv
cmVjb3JkPjwvQ2l0ZT48L0VuZE5vdGU+AG==
</w:fldData>
            </w:fldChar>
          </w:r>
          <w:r>
            <w:instrText xml:space="preserve"> ADDIN EN.CITE </w:instrText>
          </w:r>
          <w:r>
            <w:fldChar w:fldCharType="begin">
              <w:fldData xml:space="preserve">PEVuZE5vdGU+PENpdGU+PEF1dGhvcj5Nb3NlczwvQXV0aG9yPjxZZWFyPjIwMTc8L1llYXI+PFJl
Y051bT4xNTA0PC9SZWNOdW0+PERpc3BsYXlUZXh0PihNb3NlcywgV2FuZyBldCBhbC4gMjAxNyk8
L0Rpc3BsYXlUZXh0PjxyZWNvcmQ+PHJlYy1udW1iZXI+MTUwNDwvcmVjLW51bWJlcj48Zm9yZWln
bi1rZXlzPjxrZXkgYXBwPSJFTiIgZGItaWQ9Ijl6MDVkejBwcmFhZGZ1ZWUwem94emVkazl6ZmU1
Znh4NTB6NSIgdGltZXN0YW1wPSIxNTIxNTA3MDk0Ij4xNTA0PC9rZXk+PGtleSBhcHA9IkVOV2Vi
IiBkYi1pZD0iIj4wPC9rZXk+PC9mb3JlaWduLWtleXM+PHJlZi10eXBlIG5hbWU9IkpvdXJuYWwg
QXJ0aWNsZSI+MTc8L3JlZi10eXBlPjxjb250cmlidXRvcnM+PGF1dGhvcnM+PGF1dGhvcj5Nb3Nl
cywgRS48L2F1dGhvcj48YXV0aG9yPldhbmcsIFQuPC9hdXRob3I+PGF1dGhvcj5Db3JiZXR0LCBT
LjwvYXV0aG9yPjxhdXRob3I+SmFja3NvbiwgRy4gUi48L2F1dGhvcj48YXV0aG9yPkRyaXppaywg
RS48L2F1dGhvcj48YXV0aG9yPlBlcmRvbW8sIEMuPC9hdXRob3I+PGF1dGhvcj5QZXJkb21vLCBD
LjwvYXV0aG9yPjxhdXRob3I+S2xlZXJ1cCwgRS48L2F1dGhvcj48YXV0aG9yPkJyb29rcywgRC48
L2F1dGhvcj48YXV0aG9yPk8mYXBvcztDb25ub3IsIEcuPC9hdXRob3I+PGF1dGhvcj5EdWJpbmV0
dCwgUy48L2F1dGhvcj48YXV0aG9yPkhheWRlbiwgUC48L2F1dGhvcj48YXV0aG9yPkxlbmJ1cmcs
IE0uIEUuPC9hdXRob3I+PGF1dGhvcj5TcGlyYSwgQS48L2F1dGhvcj48L2F1dGhvcnM+PC9jb250
cmlidXRvcnM+PGF1dGgtYWRkcmVzcz5TZWN0aW9uIG9mIENvbXB1dGF0aW9uYWwgQmlvbWVkaWNp
bmUsIERlcGFydG1lbnQgb2YgTWVkaWNpbmUgQm9zdG9uIFVuaXZlcnNpdHkgU2Nob29sIG9mIE1l
ZGljaW5lLCBCb3N0b24sIE1hc3NhY2h1c2V0dHMgMDIxMTguJiN4RDtNYXRUZWsgQ29ycG9yYXRp
b24sIEFzaGxhbmQsIE1hc3NhY2h1c2V0dHMgMDE3MjEuJiN4RDtVbml2ZXJzaXR5IG9mIENhbGlm
b3JuaWEgTG9zIEFuZ2VsZXMsIExvcyBBbmdlbGVzLCBDYWxpZm9ybmlhIDkwMDk1LiYjeEQ7RGVw
YXJ0bWVudCBvZiBFcGlkZW1pb2xvZ3ksIEJvc3RvbiBVbml2ZXJzaXR5IFNjaG9vbCBvZiBQdWJs
aWMgSGVhbHRoLCBCb3N0b24sIE1hc3NhY2h1c2V0dHMgMDIxMTguJiN4RDtQdWxtb25hcnkgQ2Vu
dGVyLCBCb3N0b24gVW5pdmVyc2l0eSBTY2hvb2wgb2YgTWVkaWNpbmUsIEJvc3RvbiwgTWFzc2Fj
aHVzZXR0cyAwMjExOC4mI3hEO1NlY3Rpb24gb2YgQ29tcHV0YXRpb25hbCBCaW9tZWRpY2luZSwg
RGVwYXJ0bWVudCBvZiBNZWRpY2luZSBCb3N0b24gVW5pdmVyc2l0eSBTY2hvb2wgb2YgTWVkaWNp
bmUsIEJvc3RvbiwgTWFzc2FjaHVzZXR0cyAwMjExODsgbWxlbmJ1cmdAYnUuZWR1LjwvYXV0aC1h
ZGRyZXNzPjx0aXRsZXM+PHRpdGxlPk1vbGVjdWxhciBJbXBhY3Qgb2YgRWxlY3Ryb25pYyBDaWdh
cmV0dGUgQWVyb3NvbCBFeHBvc3VyZSBpbiBIdW1hbiBCcm9uY2hpYWwgRXBpdGhlbGl1bTwvdGl0
bGU+PHNlY29uZGFyeS10aXRsZT5Ub3hpY29sIFNjaTwvc2Vjb25kYXJ5LXRpdGxlPjxhbHQtdGl0
bGU+VG94aWNvbG9naWNhbCBzY2llbmNlcyA6IGFuIG9mZmljaWFsIGpvdXJuYWwgb2YgdGhlIFNv
Y2lldHkgb2YgVG94aWNvbG9neTwvYWx0LXRpdGxlPjwvdGl0bGVzPjxwZXJpb2RpY2FsPjxmdWxs
LXRpdGxlPlRveGljb2wgU2NpPC9mdWxsLXRpdGxlPjxhYmJyLTE+VG94aWNvbG9naWNhbCBzY2ll
bmNlcyA6IGFuIG9mZmljaWFsIGpvdXJuYWwgb2YgdGhlIFNvY2lldHkgb2YgVG94aWNvbG9neTwv
YWJici0xPjwvcGVyaW9kaWNhbD48YWx0LXBlcmlvZGljYWw+PGZ1bGwtdGl0bGU+VG94aWNvbCBT
Y2k8L2Z1bGwtdGl0bGU+PGFiYnItMT5Ub3hpY29sb2dpY2FsIHNjaWVuY2VzIDogYW4gb2ZmaWNp
YWwgam91cm5hbCBvZiB0aGUgU29jaWV0eSBvZiBUb3hpY29sb2d5PC9hYmJyLTE+PC9hbHQtcGVy
aW9kaWNhbD48cGFnZXM+MjQ4LTI1NzwvcGFnZXM+PHZvbHVtZT4xNTU8L3ZvbHVtZT48bnVtYmVy
PjE8L251bWJlcj48ZWRpdGlvbj4yMDE2LzEwLzA1PC9lZGl0aW9uPjxrZXl3b3Jkcz48a2V5d29y
ZD5lbGVjdHJvbmljIGNpZ2FyZXR0ZS48L2tleXdvcmQ+PGtleXdvcmQ+Z2VuZSBleHByZXNzaW9u
PC9rZXl3b3JkPjxrZXl3b3JkPnNtb2tlPC9rZXl3b3JkPjxrZXl3b3JkPnRvYmFjY288L2tleXdv
cmQ+PC9rZXl3b3Jkcz48ZGF0ZXM+PHllYXI+MjAxNzwveWVhcj48cHViLWRhdGVzPjxkYXRlPkph
bjwvZGF0ZT48L3B1Yi1kYXRlcz48L2RhdGVzPjxpc2JuPjEwOTYtMDkyOTwvaXNibj48YWNjZXNz
aW9uLW51bT4yNzcwMTExOTwvYWNjZXNzaW9uLW51bT48dXJscz48L3VybHM+PGN1c3RvbTI+UE1D
NTIxNjY1NTwvY3VzdG9tMj48ZWxlY3Ryb25pYy1yZXNvdXJjZS1udW0+MTAuMTA5My90b3hzY2kv
a2Z3MTk4PC9lbGVjdHJvbmljLXJlc291cmNlLW51bT48cmVtb3RlLWRhdGFiYXNlLXByb3ZpZGVy
Pk5MTTwvcmVtb3RlLWRhdGFiYXNlLXByb3ZpZGVyPjxsYW5ndWFnZT5lbmc8L2xhbmd1YWdlPjwv
cmVjb3JkPjwvQ2l0ZT48L0VuZE5vdGU+AG==
</w:fldData>
            </w:fldChar>
          </w:r>
          <w:r>
            <w:instrText xml:space="preserve"> ADDIN EN.CITE.DATA </w:instrText>
          </w:r>
          <w:r>
            <w:fldChar w:fldCharType="end"/>
          </w:r>
          <w:r>
            <w:fldChar w:fldCharType="separate"/>
          </w:r>
          <w:r>
            <w:rPr>
              <w:noProof/>
            </w:rPr>
            <w:t>(Moses, Wang et al. 2017)</w:t>
          </w:r>
          <w:r>
            <w:fldChar w:fldCharType="end"/>
          </w:r>
          <w:r>
            <w:t xml:space="preserve">. In this study, bronchial epithelial cells were exposed to fresh air (control), menthol and tobacco flavoured e-cigarette vapour with and without nicotine, or cigarette smoke. </w:t>
          </w:r>
        </w:p>
        <w:p w14:paraId="0D16529A" w14:textId="77777777" w:rsidR="00A74D41" w:rsidRDefault="00A74D41" w:rsidP="00A74D41">
          <w:pPr>
            <w:pStyle w:val="BodyText"/>
          </w:pPr>
          <w:r w:rsidRPr="002E28E0">
            <w:lastRenderedPageBreak/>
            <w:t xml:space="preserve">Gene expression analysis revealed that expression </w:t>
          </w:r>
          <w:r>
            <w:t>was</w:t>
          </w:r>
          <w:r w:rsidRPr="002E28E0">
            <w:t xml:space="preserve"> downregulated after exposure to e</w:t>
          </w:r>
          <w:r>
            <w:noBreakHyphen/>
          </w:r>
          <w:r w:rsidRPr="002E28E0">
            <w:t>cigarettes or cigarettes</w:t>
          </w:r>
          <w:r>
            <w:t xml:space="preserve"> in</w:t>
          </w:r>
          <w:r w:rsidRPr="002E28E0">
            <w:t xml:space="preserve"> genes related to cilium assembly and movement. Genes which were upregulated by exposure to e-cigarettes or cigarettes were involved in apoptosis, xenobiotic stress, oxidative stress and DNA damage. Genes expressed more by e-cigarettes than cigarettes were related to cell cycle regulation and cell division (nuclear division, cytokinesis)</w:t>
          </w:r>
          <w:r>
            <w:t>.</w:t>
          </w:r>
          <w:r w:rsidRPr="002E28E0">
            <w:t xml:space="preserve"> </w:t>
          </w:r>
          <w:r>
            <w:t>Exposure to</w:t>
          </w:r>
          <w:r w:rsidRPr="002E28E0">
            <w:t xml:space="preserve"> menthol e-cigarette</w:t>
          </w:r>
          <w:r>
            <w:t>s</w:t>
          </w:r>
          <w:r w:rsidRPr="002E28E0">
            <w:t xml:space="preserve"> was associated with increased DNA expression related to cell adhesion and protein polymerisation. Tobacco-flavoured e-cigarette</w:t>
          </w:r>
          <w:r>
            <w:t>s</w:t>
          </w:r>
          <w:r w:rsidRPr="002E28E0">
            <w:t xml:space="preserve"> w</w:t>
          </w:r>
          <w:r>
            <w:t>ere</w:t>
          </w:r>
          <w:r w:rsidRPr="002E28E0">
            <w:t xml:space="preserve"> associated with increased expression of genes associated with cell cycle and superoxide response. Nicotine-containing e-cigarettes led to alteration in 162 genes, including upregulation of genes associated with ROS, epithelium differentiation and cytochrome P450 pathway and downregulation of genes associated with response to inorganic substances. </w:t>
          </w:r>
        </w:p>
        <w:p w14:paraId="2C6B8B94" w14:textId="77777777" w:rsidR="00A74D41" w:rsidRDefault="00A74D41" w:rsidP="00A74D41">
          <w:pPr>
            <w:pStyle w:val="BodyText"/>
          </w:pPr>
          <w:r w:rsidRPr="002E28E0">
            <w:t xml:space="preserve">Researchers also identified that e-cigarettes were able to downregulate the structural cilia dynein gene DNAH10 and ciliated cell marker FOXJ1 (previously identified as a key reason that cigarettes interfere with ciliated cells). </w:t>
          </w:r>
          <w:r>
            <w:t xml:space="preserve">This indicates that the pathway by which e-cigarettes reduce cilia function is the same pathway found when cigarettes reduce cilia function. </w:t>
          </w:r>
          <w:r w:rsidRPr="002E28E0">
            <w:t xml:space="preserve">Both e-cigarette and cigarettes </w:t>
          </w:r>
          <w:r>
            <w:t>activat</w:t>
          </w:r>
          <w:r w:rsidRPr="002E28E0">
            <w:t>ed genes associated with the cytochrome P450 pathway,</w:t>
          </w:r>
          <w:r>
            <w:t xml:space="preserve"> which is associated with</w:t>
          </w:r>
          <w:r w:rsidRPr="002E28E0">
            <w:t xml:space="preserve"> xenobiotic stress and oxidative stress, these were even more enhanced by e-cigarettes with nicotine.</w:t>
          </w:r>
          <w:r>
            <w:t xml:space="preserve"> </w:t>
          </w:r>
        </w:p>
        <w:p w14:paraId="34D677FF" w14:textId="77777777" w:rsidR="00A74D41" w:rsidRPr="002E28E0" w:rsidRDefault="00A74D41" w:rsidP="00A74D41">
          <w:pPr>
            <w:pStyle w:val="BodyText"/>
          </w:pPr>
        </w:p>
        <w:p w14:paraId="22C63333" w14:textId="77777777" w:rsidR="000F0E2F" w:rsidRDefault="000F0E2F" w:rsidP="000F0E2F">
          <w:pPr>
            <w:pStyle w:val="Heading2"/>
          </w:pPr>
          <w:bookmarkStart w:id="85" w:name="_Toc517706667"/>
          <w:r>
            <w:t>Lung function</w:t>
          </w:r>
          <w:bookmarkEnd w:id="84"/>
          <w:bookmarkEnd w:id="85"/>
        </w:p>
        <w:p w14:paraId="28A702E5" w14:textId="77777777" w:rsidR="00A74D41" w:rsidRDefault="00A74D41" w:rsidP="00A74D41">
          <w:pPr>
            <w:pStyle w:val="BodyText"/>
          </w:pPr>
          <w:r>
            <w:t xml:space="preserve">Studies investigated the impact of e-cigarettes on cilia function, mucous production and transport, barrier function and lung surfactant. </w:t>
          </w:r>
        </w:p>
        <w:p w14:paraId="2A26DD17" w14:textId="77777777" w:rsidR="00A74D41" w:rsidRPr="00190D05" w:rsidRDefault="00A74D41" w:rsidP="00A74D41">
          <w:pPr>
            <w:pStyle w:val="Heading3"/>
          </w:pPr>
          <w:r>
            <w:t>Cilia function</w:t>
          </w:r>
        </w:p>
        <w:p w14:paraId="2FFC834A" w14:textId="7AD27247" w:rsidR="00A74D41" w:rsidRDefault="00A74D41" w:rsidP="00A74D41">
          <w:pPr>
            <w:pStyle w:val="BodyText"/>
          </w:pPr>
          <w:r>
            <w:t xml:space="preserve">Two studies compared cilia function in airway epithelial cells after exposure to cigarette smoke or e-cigarette vapour. One found that cigarette smoke elicited a greater reduction in </w:t>
          </w:r>
          <w:r w:rsidRPr="0001077C">
            <w:t>mucous production and cilia bearing</w:t>
          </w:r>
          <w:r>
            <w:t xml:space="preserve"> than e-cigarette vapour </w:t>
          </w:r>
          <w:r>
            <w:fldChar w:fldCharType="begin">
              <w:fldData xml:space="preserve">PEVuZE5vdGU+PENpdGU+PEF1dGhvcj5BdWZkZXJoZWlkZTwvQXV0aG9yPjxZZWFyPjIwMTc8L1ll
YXI+PFJlY051bT4xMjI4PC9SZWNOdW0+PERpc3BsYXlUZXh0PihBdWZkZXJoZWlkZSBhbmQgRW11
cmEgMjAxNyk8L0Rpc3BsYXlUZXh0PjxyZWNvcmQ+PHJlYy1udW1iZXI+MTIyODwvcmVjLW51bWJl
cj48Zm9yZWlnbi1rZXlzPjxrZXkgYXBwPSJFTiIgZGItaWQ9Ijl6MDVkejBwcmFhZGZ1ZWUwem94
emVkazl6ZmU1Znh4NTB6NSIgdGltZXN0YW1wPSIxNTIxNTA3MDMwIj4xMjI4PC9rZXk+PGtleSBh
cHA9IkVOV2ViIiBkYi1pZD0iIj4wPC9rZXk+PC9mb3JlaWduLWtleXM+PHJlZi10eXBlIG5hbWU9
IkpvdXJuYWwgQXJ0aWNsZSI+MTc8L3JlZi10eXBlPjxjb250cmlidXRvcnM+PGF1dGhvcnM+PGF1
dGhvcj5BdWZkZXJoZWlkZSwgTS48L2F1dGhvcj48YXV0aG9yPkVtdXJhLCBNLjwvYXV0aG9yPjwv
YXV0aG9ycz48L2NvbnRyaWJ1dG9ycz48YXV0aC1hZGRyZXNzPkN1bHRleCBMYWJvcmF0b3JpZXMg
R21iSCwgRmVvZG9yLUx5bmVuLVN0ci4gMjEsIDMwNjI1IEhhbm5vdmVyLCBHZXJtYW55LiBFbGVj
dHJvbmljIGFkZHJlc3M6IG0uYXVmZGVyaGVpZGVAY3VsdGV4LWxhYm9yYXRvcmllcy5jb20uJiN4
RDtDdWx0ZXggTGFib3JhdG9yaWVzIEdtYkgsIEZlb2Rvci1MeW5lbi1TdHIuIDIxLCAzMDYyNSBI
YW5ub3ZlciwgR2VybWFueS48L2F1dGgtYWRkcmVzcz48dGl0bGVzPjx0aXRsZT5QaGVub3R5cGlj
YWwgY2hhbmdlcyBpbiBhIGRpZmZlcmVudGlhdGluZyBpbW1vcnRhbGl6ZWQgYnJvbmNoaWFsIGVw
aXRoZWxpYWwgY2VsbCBsaW5lIGFmdGVyIGV4cG9zdXJlIHRvIG1haW5zdHJlYW0gY2lnYXJldHRl
IHNtb2tlIGFuZCBlLWNpZ2FyZXR0ZSB2YXBvcjwvdGl0bGU+PHNlY29uZGFyeS10aXRsZT5FeHAg
VG94aWNvbCBQYXRob2w8L3NlY29uZGFyeS10aXRsZT48YWx0LXRpdGxlPkV4cGVyaW1lbnRhbCBh
bmQgdG94aWNvbG9naWMgcGF0aG9sb2d5IDogb2ZmaWNpYWwgam91cm5hbCBvZiB0aGUgR2VzZWxs
c2NoYWZ0IGZ1ciBUb3hpa29sb2dpc2NoZSBQYXRob2xvZ2llPC9hbHQtdGl0bGU+PC90aXRsZXM+
PHBlcmlvZGljYWw+PGZ1bGwtdGl0bGU+RXhwIFRveGljb2wgUGF0aG9sPC9mdWxsLXRpdGxlPjxh
YmJyLTE+RXhwZXJpbWVudGFsIGFuZCB0b3hpY29sb2dpYyBwYXRob2xvZ3kgOiBvZmZpY2lhbCBq
b3VybmFsIG9mIHRoZSBHZXNlbGxzY2hhZnQgZnVyIFRveGlrb2xvZ2lzY2hlIFBhdGhvbG9naWU8
L2FiYnItMT48L3BlcmlvZGljYWw+PGFsdC1wZXJpb2RpY2FsPjxmdWxsLXRpdGxlPkV4cCBUb3hp
Y29sIFBhdGhvbDwvZnVsbC10aXRsZT48YWJici0xPkV4cGVyaW1lbnRhbCBhbmQgdG94aWNvbG9n
aWMgcGF0aG9sb2d5IDogb2ZmaWNpYWwgam91cm5hbCBvZiB0aGUgR2VzZWxsc2NoYWZ0IGZ1ciBU
b3hpa29sb2dpc2NoZSBQYXRob2xvZ2llPC9hYmJyLTE+PC9hbHQtcGVyaW9kaWNhbD48cGFnZXM+
MzkzLTQwMTwvcGFnZXM+PHZvbHVtZT42OTwvdm9sdW1lPjxudW1iZXI+NjwvbnVtYmVyPjxlZGl0
aW9uPjIwMTcvMDQvMDU8L2VkaXRpb24+PGtleXdvcmRzPjxrZXl3b3JkPkFlcm9zb2xzL2FkdmVy
c2UgZWZmZWN0czwva2V5d29yZD48a2V5d29yZD5Ccm9uY2hpPC9rZXl3b3JkPjxrZXl3b3JkPkNl
bGwgRGlmZmVyZW50aWF0aW9uL2RydWcgZWZmZWN0czwva2V5d29yZD48a2V5d29yZD5DZWxsIExp
bmU8L2tleXdvcmQ+PGtleXdvcmQ+KkVsZWN0cm9uaWMgTmljb3RpbmUgRGVsaXZlcnkgU3lzdGVt
czwva2V5d29yZD48a2V5d29yZD5FcGl0aGVsaWFsIENlbGxzL2RydWcgZWZmZWN0czwva2V5d29y
ZD48a2V5d29yZD5IdW1hbnM8L2tleXdvcmQ+PGtleXdvcmQ+UGhlbm90eXBlPC9rZXl3b3JkPjxr
ZXl3b3JkPlJlc3BpcmF0b3J5IE11Y29zYS8qZHJ1ZyBlZmZlY3RzPC9rZXl3b3JkPjxrZXl3b3Jk
PlNtb2tlLyphZHZlcnNlIGVmZmVjdHM8L2tleXdvcmQ+PGtleXdvcmQ+U21va2luZy9hZHZlcnNl
IGVmZmVjdHM8L2tleXdvcmQ+PGtleXdvcmQ+VG9iYWNjbyBQcm9kdWN0cy9hZHZlcnNlIGVmZmVj
dHM8L2tleXdvcmQ+PGtleXdvcmQ+QWlyLWxpcXVpZCBpbnRlcmZhY2UgKEFMSSkgZXhwb3N1cmU8
L2tleXdvcmQ+PGtleXdvcmQ+Q3VsdGV4KChyKSlyZnM8L2tleXdvcmQ+PGtleXdvcmQ+SW1tb3J0
YWxpemVkIG5vcm1hbCBodW1hbiBicm9uY2hpYWwgZXBpdGhlbGlhbCBjZWxsczwva2V5d29yZD48
a2V5d29yZD5NZXRhcGxhc3RpYyBjaGFuZ2VzPC9rZXl3b3JkPjxrZXl3b3JkPlBoZW5vdHlwaWNh
bCBhbHRlcmF0aW9uczwva2V5d29yZD48L2tleXdvcmRzPjxkYXRlcz48eWVhcj4yMDE3PC95ZWFy
PjxwdWItZGF0ZXM+PGRhdGU+SnVsIDU8L2RhdGU+PC9wdWItZGF0ZXM+PC9kYXRlcz48aXNibj4w
OTQwLTI5OTM8L2lzYm4+PGFjY2Vzc2lvbi1udW0+MjgzNzI5Mjg8L2FjY2Vzc2lvbi1udW0+PHVy
bHM+PHJlbGF0ZWQtdXJscz48dXJsPmh0dHBzOi8vd3d3LnNjaWVuY2VkaXJlY3QuY29tL3NjaWVu
Y2UvYXJ0aWNsZS9waWkvUzA5NDAyOTkzMTczMDE0NTg/dmlhJTNEaWh1YjwvdXJsPjwvcmVsYXRl
ZC11cmxzPjwvdXJscz48ZWxlY3Ryb25pYy1yZXNvdXJjZS1udW0+MTAuMTAxNi9qLmV0cC4yMDE3
LjAzLjAwNDwvZWxlY3Ryb25pYy1yZXNvdXJjZS1udW0+PHJlbW90ZS1kYXRhYmFzZS1wcm92aWRl
cj5OTE08L3JlbW90ZS1kYXRhYmFzZS1wcm92aWRlcj48bGFuZ3VhZ2U+ZW5nPC9sYW5ndWFnZT48
L3JlY29yZD48L0NpdGU+PC9FbmROb3RlPgB=
</w:fldData>
            </w:fldChar>
          </w:r>
          <w:r>
            <w:instrText xml:space="preserve"> ADDIN EN.CITE </w:instrText>
          </w:r>
          <w:r>
            <w:fldChar w:fldCharType="begin">
              <w:fldData xml:space="preserve">PEVuZE5vdGU+PENpdGU+PEF1dGhvcj5BdWZkZXJoZWlkZTwvQXV0aG9yPjxZZWFyPjIwMTc8L1ll
YXI+PFJlY051bT4xMjI4PC9SZWNOdW0+PERpc3BsYXlUZXh0PihBdWZkZXJoZWlkZSBhbmQgRW11
cmEgMjAxNyk8L0Rpc3BsYXlUZXh0PjxyZWNvcmQ+PHJlYy1udW1iZXI+MTIyODwvcmVjLW51bWJl
cj48Zm9yZWlnbi1rZXlzPjxrZXkgYXBwPSJFTiIgZGItaWQ9Ijl6MDVkejBwcmFhZGZ1ZWUwem94
emVkazl6ZmU1Znh4NTB6NSIgdGltZXN0YW1wPSIxNTIxNTA3MDMwIj4xMjI4PC9rZXk+PGtleSBh
cHA9IkVOV2ViIiBkYi1pZD0iIj4wPC9rZXk+PC9mb3JlaWduLWtleXM+PHJlZi10eXBlIG5hbWU9
IkpvdXJuYWwgQXJ0aWNsZSI+MTc8L3JlZi10eXBlPjxjb250cmlidXRvcnM+PGF1dGhvcnM+PGF1
dGhvcj5BdWZkZXJoZWlkZSwgTS48L2F1dGhvcj48YXV0aG9yPkVtdXJhLCBNLjwvYXV0aG9yPjwv
YXV0aG9ycz48L2NvbnRyaWJ1dG9ycz48YXV0aC1hZGRyZXNzPkN1bHRleCBMYWJvcmF0b3JpZXMg
R21iSCwgRmVvZG9yLUx5bmVuLVN0ci4gMjEsIDMwNjI1IEhhbm5vdmVyLCBHZXJtYW55LiBFbGVj
dHJvbmljIGFkZHJlc3M6IG0uYXVmZGVyaGVpZGVAY3VsdGV4LWxhYm9yYXRvcmllcy5jb20uJiN4
RDtDdWx0ZXggTGFib3JhdG9yaWVzIEdtYkgsIEZlb2Rvci1MeW5lbi1TdHIuIDIxLCAzMDYyNSBI
YW5ub3ZlciwgR2VybWFueS48L2F1dGgtYWRkcmVzcz48dGl0bGVzPjx0aXRsZT5QaGVub3R5cGlj
YWwgY2hhbmdlcyBpbiBhIGRpZmZlcmVudGlhdGluZyBpbW1vcnRhbGl6ZWQgYnJvbmNoaWFsIGVw
aXRoZWxpYWwgY2VsbCBsaW5lIGFmdGVyIGV4cG9zdXJlIHRvIG1haW5zdHJlYW0gY2lnYXJldHRl
IHNtb2tlIGFuZCBlLWNpZ2FyZXR0ZSB2YXBvcjwvdGl0bGU+PHNlY29uZGFyeS10aXRsZT5FeHAg
VG94aWNvbCBQYXRob2w8L3NlY29uZGFyeS10aXRsZT48YWx0LXRpdGxlPkV4cGVyaW1lbnRhbCBh
bmQgdG94aWNvbG9naWMgcGF0aG9sb2d5IDogb2ZmaWNpYWwgam91cm5hbCBvZiB0aGUgR2VzZWxs
c2NoYWZ0IGZ1ciBUb3hpa29sb2dpc2NoZSBQYXRob2xvZ2llPC9hbHQtdGl0bGU+PC90aXRsZXM+
PHBlcmlvZGljYWw+PGZ1bGwtdGl0bGU+RXhwIFRveGljb2wgUGF0aG9sPC9mdWxsLXRpdGxlPjxh
YmJyLTE+RXhwZXJpbWVudGFsIGFuZCB0b3hpY29sb2dpYyBwYXRob2xvZ3kgOiBvZmZpY2lhbCBq
b3VybmFsIG9mIHRoZSBHZXNlbGxzY2hhZnQgZnVyIFRveGlrb2xvZ2lzY2hlIFBhdGhvbG9naWU8
L2FiYnItMT48L3BlcmlvZGljYWw+PGFsdC1wZXJpb2RpY2FsPjxmdWxsLXRpdGxlPkV4cCBUb3hp
Y29sIFBhdGhvbDwvZnVsbC10aXRsZT48YWJici0xPkV4cGVyaW1lbnRhbCBhbmQgdG94aWNvbG9n
aWMgcGF0aG9sb2d5IDogb2ZmaWNpYWwgam91cm5hbCBvZiB0aGUgR2VzZWxsc2NoYWZ0IGZ1ciBU
b3hpa29sb2dpc2NoZSBQYXRob2xvZ2llPC9hYmJyLTE+PC9hbHQtcGVyaW9kaWNhbD48cGFnZXM+
MzkzLTQwMTwvcGFnZXM+PHZvbHVtZT42OTwvdm9sdW1lPjxudW1iZXI+NjwvbnVtYmVyPjxlZGl0
aW9uPjIwMTcvMDQvMDU8L2VkaXRpb24+PGtleXdvcmRzPjxrZXl3b3JkPkFlcm9zb2xzL2FkdmVy
c2UgZWZmZWN0czwva2V5d29yZD48a2V5d29yZD5Ccm9uY2hpPC9rZXl3b3JkPjxrZXl3b3JkPkNl
bGwgRGlmZmVyZW50aWF0aW9uL2RydWcgZWZmZWN0czwva2V5d29yZD48a2V5d29yZD5DZWxsIExp
bmU8L2tleXdvcmQ+PGtleXdvcmQ+KkVsZWN0cm9uaWMgTmljb3RpbmUgRGVsaXZlcnkgU3lzdGVt
czwva2V5d29yZD48a2V5d29yZD5FcGl0aGVsaWFsIENlbGxzL2RydWcgZWZmZWN0czwva2V5d29y
ZD48a2V5d29yZD5IdW1hbnM8L2tleXdvcmQ+PGtleXdvcmQ+UGhlbm90eXBlPC9rZXl3b3JkPjxr
ZXl3b3JkPlJlc3BpcmF0b3J5IE11Y29zYS8qZHJ1ZyBlZmZlY3RzPC9rZXl3b3JkPjxrZXl3b3Jk
PlNtb2tlLyphZHZlcnNlIGVmZmVjdHM8L2tleXdvcmQ+PGtleXdvcmQ+U21va2luZy9hZHZlcnNl
IGVmZmVjdHM8L2tleXdvcmQ+PGtleXdvcmQ+VG9iYWNjbyBQcm9kdWN0cy9hZHZlcnNlIGVmZmVj
dHM8L2tleXdvcmQ+PGtleXdvcmQ+QWlyLWxpcXVpZCBpbnRlcmZhY2UgKEFMSSkgZXhwb3N1cmU8
L2tleXdvcmQ+PGtleXdvcmQ+Q3VsdGV4KChyKSlyZnM8L2tleXdvcmQ+PGtleXdvcmQ+SW1tb3J0
YWxpemVkIG5vcm1hbCBodW1hbiBicm9uY2hpYWwgZXBpdGhlbGlhbCBjZWxsczwva2V5d29yZD48
a2V5d29yZD5NZXRhcGxhc3RpYyBjaGFuZ2VzPC9rZXl3b3JkPjxrZXl3b3JkPlBoZW5vdHlwaWNh
bCBhbHRlcmF0aW9uczwva2V5d29yZD48L2tleXdvcmRzPjxkYXRlcz48eWVhcj4yMDE3PC95ZWFy
PjxwdWItZGF0ZXM+PGRhdGU+SnVsIDU8L2RhdGU+PC9wdWItZGF0ZXM+PC9kYXRlcz48aXNibj4w
OTQwLTI5OTM8L2lzYm4+PGFjY2Vzc2lvbi1udW0+MjgzNzI5Mjg8L2FjY2Vzc2lvbi1udW0+PHVy
bHM+PHJlbGF0ZWQtdXJscz48dXJsPmh0dHBzOi8vd3d3LnNjaWVuY2VkaXJlY3QuY29tL3NjaWVu
Y2UvYXJ0aWNsZS9waWkvUzA5NDAyOTkzMTczMDE0NTg/dmlhJTNEaWh1YjwvdXJsPjwvcmVsYXRl
ZC11cmxzPjwvdXJscz48ZWxlY3Ryb25pYy1yZXNvdXJjZS1udW0+MTAuMTAxNi9qLmV0cC4yMDE3
LjAzLjAwNDwvZWxlY3Ryb25pYy1yZXNvdXJjZS1udW0+PHJlbW90ZS1kYXRhYmFzZS1wcm92aWRl
cj5OTE08L3JlbW90ZS1kYXRhYmFzZS1wcm92aWRlcj48bGFuZ3VhZ2U+ZW5nPC9sYW5ndWFnZT48
L3JlY29yZD48L0NpdGU+PC9FbmROb3RlPgB=
</w:fldData>
            </w:fldChar>
          </w:r>
          <w:r>
            <w:instrText xml:space="preserve"> ADDIN EN.CITE.DATA </w:instrText>
          </w:r>
          <w:r>
            <w:fldChar w:fldCharType="end"/>
          </w:r>
          <w:r>
            <w:fldChar w:fldCharType="separate"/>
          </w:r>
          <w:r>
            <w:rPr>
              <w:noProof/>
            </w:rPr>
            <w:t>(Aufderheide and Emura 2017)</w:t>
          </w:r>
          <w:r>
            <w:fldChar w:fldCharType="end"/>
          </w:r>
          <w:r w:rsidRPr="0001077C">
            <w:t xml:space="preserve">. </w:t>
          </w:r>
          <w:r>
            <w:t xml:space="preserve">The other found that both e-cigarette vapour and cigarette smoke led to reduced ciliary motility and ciliary beat frequency in epithelial airway cells </w:t>
          </w:r>
          <w:r>
            <w:fldChar w:fldCharType="begin">
              <w:fldData xml:space="preserve">PEVuZE5vdGU+PENpdGU+PEF1dGhvcj5DYXJzb248L0F1dGhvcj48WWVhcj4yMDE3PC9ZZWFyPjxS
ZWNOdW0+MTE3MzwvUmVjTnVtPjxEaXNwbGF5VGV4dD4oQ2Fyc29uLCBaaG91IGV0IGFsLiAyMDE3
KTwvRGlzcGxheVRleHQ+PHJlY29yZD48cmVjLW51bWJlcj4xMTczPC9yZWMtbnVtYmVyPjxmb3Jl
aWduLWtleXM+PGtleSBhcHA9IkVOIiBkYi1pZD0iOXowNWR6MHByYWFkZnVlZTB6b3h6ZWRrOXpm
ZTVmeHg1MHo1IiB0aW1lc3RhbXA9IjE1MjE1MDcwMTciPjExNzM8L2tleT48a2V5IGFwcD0iRU5X
ZWIiIGRiLWlkPSIiPjA8L2tleT48L2ZvcmVpZ24ta2V5cz48cmVmLXR5cGUgbmFtZT0iSm91cm5h
bCBBcnRpY2xlIj4xNzwvcmVmLXR5cGU+PGNvbnRyaWJ1dG9ycz48YXV0aG9ycz48YXV0aG9yPkNh
cnNvbiwgSi4gTC48L2F1dGhvcj48YXV0aG9yPlpob3UsIEwuPC9hdXRob3I+PGF1dGhvcj5Ccmln
aHRvbiwgTC48L2F1dGhvcj48YXV0aG9yPk1pbGxzLCBLLiBILjwvYXV0aG9yPjxhdXRob3I+Wmhv
dSwgSC48L2F1dGhvcj48YXV0aG9yPkphc3BlcnMsIEkuPC9hdXRob3I+PGF1dGhvcj5IYXp1Y2hh
LCBNLjwvYXV0aG9yPjwvYXV0aG9ycz48L2NvbnRyaWJ1dG9ycz48YXV0aC1hZGRyZXNzPmEgVGhl
IENlbnRlciBmb3IgRW52aXJvbm1lbnRhbCBNZWRpY2luZSwgQXN0aG1hLCBhbmQgTHVuZyBCaW9s
b2d5ICwgVGhlIFVuaXZlcnNpdHkgb2YgTm9ydGggQ2Fyb2xpbmEgYXQgQ2hhcGVsIEhpbGwgLCBD
aGFwZWwgSGlsbCAsIE5DICwgVVNBLiYjeEQ7YiBUaGUgRGVwYXJ0bWVudCBvZiBQZWRpYXRyaWNz
ICwgVGhlIFVuaXZlcnNpdHkgb2YgTm9ydGggQ2Fyb2xpbmEgYXQgQ2hhcGVsIEhpbGwgLCBDaGFw
ZWwgSGlsbCAsIE5DICwgVVNBLiYjeEQ7YyBUaGUgRGVwYXJ0bWVudCBvZiBCaW9zdGF0aXN0aWNz
ICwgVGhlIFVuaXZlcnNpdHkgb2YgTm9ydGggQ2Fyb2xpbmEgYXQgQ2hhcGVsIEhpbGwgLCBDaGFw
ZWwgSGlsbCAsIE5DICwgVVNBLiYjeEQ7ZCBUaGUgRGVwYXJ0bWVudCBvZiBNZWRpY2luZSAsIFRo
ZSBVbml2ZXJzaXR5IG9mIE5vcnRoIENhcm9saW5hIGF0IENoYXBlbCBIaWxsICwgQ2hhcGVsIEhp
bGwgLCBOQyAsIFVTQS48L2F1dGgtYWRkcmVzcz48dGl0bGVzPjx0aXRsZT5UZW1wb3JhbCBzdHJ1
Y3R1cmUvZnVuY3Rpb24gdmFyaWF0aW9uIGluIGN1bHR1cmVkIGRpZmZlcmVudGlhdGVkIGh1bWFu
IG5hc2FsIGVwaXRoZWxpdW0gYXNzb2NpYXRlZCB3aXRoIGFjdXRlIHNpbmdsZSBleHBvc3VyZSB0
byB0b2JhY2NvIHNtb2tlIG9yIEUtY2lnYXJldHRlIHZhcG9yPC90aXRsZT48c2Vjb25kYXJ5LXRp
dGxlPkluaGFsIFRveGljb2w8L3NlY29uZGFyeS10aXRsZT48YWx0LXRpdGxlPkluaGFsYXRpb24g
dG94aWNvbG9neTwvYWx0LXRpdGxlPjwvdGl0bGVzPjxwZXJpb2RpY2FsPjxmdWxsLXRpdGxlPklu
aGFsIFRveGljb2w8L2Z1bGwtdGl0bGU+PGFiYnItMT5JbmhhbGF0aW9uIHRveGljb2xvZ3k8L2Fi
YnItMT48L3BlcmlvZGljYWw+PGFsdC1wZXJpb2RpY2FsPjxmdWxsLXRpdGxlPkluaGFsIFRveGlj
b2w8L2Z1bGwtdGl0bGU+PGFiYnItMT5JbmhhbGF0aW9uIHRveGljb2xvZ3k8L2FiYnItMT48L2Fs
dC1wZXJpb2RpY2FsPjxwYWdlcz4xMzctMTQ0PC9wYWdlcz48dm9sdW1lPjI5PC92b2x1bWU+PG51
bWJlcj4zPC9udW1iZXI+PGVkaXRpb24+MjAxNy8wNS8wNTwvZWRpdGlvbj48a2V5d29yZHM+PGtl
eXdvcmQ+Q2VsbCBEaWZmZXJlbnRpYXRpb248L2tleXdvcmQ+PGtleXdvcmQ+Q2VsbHMsIEN1bHR1
cmVkPC9rZXl3b3JkPjxrZXl3b3JkPkNpbGlhL2RydWcgZWZmZWN0cy9waHlzaW9sb2d5PC9rZXl3
b3JkPjxrZXl3b3JkPipFbGVjdHJvbmljIE5pY290aW5lIERlbGl2ZXJ5IFN5c3RlbXM8L2tleXdv
cmQ+PGtleXdvcmQ+SHVtYW5zPC9rZXl3b3JkPjxrZXl3b3JkPk1pY3Jvc2NvcHksIEVsZWN0cm9u
LCBTY2FubmluZzwva2V5d29yZD48a2V5d29yZD5NdWNvY2lsaWFyeSBDbGVhcmFuY2U8L2tleXdv
cmQ+PGtleXdvcmQ+TmFzYWwgTXVjb3NhL2N5dG9sb2d5LypkcnVnIGVmZmVjdHMvbWV0YWJvbGlz
bS91bHRyYXN0cnVjdHVyZTwva2V5d29yZD48a2V5d29yZD5OaXRyaWMgT3hpZGUvbWV0YWJvbGlz
bTwva2V5d29yZD48a2V5d29yZD5TbW9rZS8qYWR2ZXJzZSBlZmZlY3RzPC9rZXl3b3JkPjxrZXl3
b3JkPipUb2JhY2NvPC9rZXl3b3JkPjxrZXl3b3JkPipDaWxpYTwva2V5d29yZD48a2V5d29yZD4q
YWlyd2F5IGVwaXRoZWxpdW08L2tleXdvcmQ+PGtleXdvcmQ+KmNpbGlhcnkgYmVhdCBmcmVxdWVu
Y3k8L2tleXdvcmQ+PGtleXdvcmQ+KmUtY2lnYXJldHRlPC9rZXl3b3JkPjxrZXl3b3JkPip0b2Jh
Y2NvIGNpZ2FyZXR0ZSBzbW9rZTwva2V5d29yZD48L2tleXdvcmRzPjxkYXRlcz48eWVhcj4yMDE3
PC95ZWFyPjxwdWItZGF0ZXM+PGRhdGU+RmViPC9kYXRlPjwvcHViLWRhdGVzPjwvZGF0ZXM+PGlz
Ym4+MDg5NS04Mzc4PC9pc2JuPjxhY2Nlc3Npb24tbnVtPjI4NDcwMTQwPC9hY2Nlc3Npb24tbnVt
Pjx1cmxzPjxyZWxhdGVkLXVybHM+PHVybD5odHRwczovL3d3dy50YW5kZm9ubGluZS5jb20vZG9p
L3BkZi8xMC4xMDgwLzA4OTU4Mzc4LjIwMTcuMTMxODk4NT9uZWVkQWNjZXNzPXRydWU8L3VybD48
L3JlbGF0ZWQtdXJscz48L3VybHM+PGN1c3RvbTI+UE1DNTU0NTExMTwvY3VzdG9tMj48Y3VzdG9t
Nj5OSUhNUzg3ODcwNDwvY3VzdG9tNj48ZWxlY3Ryb25pYy1yZXNvdXJjZS1udW0+MTAuMTA4MC8w
ODk1ODM3OC4yMDE3LjEzMTg5ODU8L2VsZWN0cm9uaWMtcmVzb3VyY2UtbnVtPjxyZW1vdGUtZGF0
YWJhc2UtcHJvdmlkZXI+TkxNPC9yZW1vdGUtZGF0YWJhc2UtcHJvdmlkZXI+PGxhbmd1YWdlPmVu
ZzwvbGFuZ3VhZ2U+PC9yZWNvcmQ+PC9DaXRlPjwvRW5kTm90ZT5=
</w:fldData>
            </w:fldChar>
          </w:r>
          <w:r>
            <w:instrText xml:space="preserve"> ADDIN EN.CITE </w:instrText>
          </w:r>
          <w:r>
            <w:fldChar w:fldCharType="begin">
              <w:fldData xml:space="preserve">PEVuZE5vdGU+PENpdGU+PEF1dGhvcj5DYXJzb248L0F1dGhvcj48WWVhcj4yMDE3PC9ZZWFyPjxS
ZWNOdW0+MTE3MzwvUmVjTnVtPjxEaXNwbGF5VGV4dD4oQ2Fyc29uLCBaaG91IGV0IGFsLiAyMDE3
KTwvRGlzcGxheVRleHQ+PHJlY29yZD48cmVjLW51bWJlcj4xMTczPC9yZWMtbnVtYmVyPjxmb3Jl
aWduLWtleXM+PGtleSBhcHA9IkVOIiBkYi1pZD0iOXowNWR6MHByYWFkZnVlZTB6b3h6ZWRrOXpm
ZTVmeHg1MHo1IiB0aW1lc3RhbXA9IjE1MjE1MDcwMTciPjExNzM8L2tleT48a2V5IGFwcD0iRU5X
ZWIiIGRiLWlkPSIiPjA8L2tleT48L2ZvcmVpZ24ta2V5cz48cmVmLXR5cGUgbmFtZT0iSm91cm5h
bCBBcnRpY2xlIj4xNzwvcmVmLXR5cGU+PGNvbnRyaWJ1dG9ycz48YXV0aG9ycz48YXV0aG9yPkNh
cnNvbiwgSi4gTC48L2F1dGhvcj48YXV0aG9yPlpob3UsIEwuPC9hdXRob3I+PGF1dGhvcj5Ccmln
aHRvbiwgTC48L2F1dGhvcj48YXV0aG9yPk1pbGxzLCBLLiBILjwvYXV0aG9yPjxhdXRob3I+Wmhv
dSwgSC48L2F1dGhvcj48YXV0aG9yPkphc3BlcnMsIEkuPC9hdXRob3I+PGF1dGhvcj5IYXp1Y2hh
LCBNLjwvYXV0aG9yPjwvYXV0aG9ycz48L2NvbnRyaWJ1dG9ycz48YXV0aC1hZGRyZXNzPmEgVGhl
IENlbnRlciBmb3IgRW52aXJvbm1lbnRhbCBNZWRpY2luZSwgQXN0aG1hLCBhbmQgTHVuZyBCaW9s
b2d5ICwgVGhlIFVuaXZlcnNpdHkgb2YgTm9ydGggQ2Fyb2xpbmEgYXQgQ2hhcGVsIEhpbGwgLCBD
aGFwZWwgSGlsbCAsIE5DICwgVVNBLiYjeEQ7YiBUaGUgRGVwYXJ0bWVudCBvZiBQZWRpYXRyaWNz
ICwgVGhlIFVuaXZlcnNpdHkgb2YgTm9ydGggQ2Fyb2xpbmEgYXQgQ2hhcGVsIEhpbGwgLCBDaGFw
ZWwgSGlsbCAsIE5DICwgVVNBLiYjeEQ7YyBUaGUgRGVwYXJ0bWVudCBvZiBCaW9zdGF0aXN0aWNz
ICwgVGhlIFVuaXZlcnNpdHkgb2YgTm9ydGggQ2Fyb2xpbmEgYXQgQ2hhcGVsIEhpbGwgLCBDaGFw
ZWwgSGlsbCAsIE5DICwgVVNBLiYjeEQ7ZCBUaGUgRGVwYXJ0bWVudCBvZiBNZWRpY2luZSAsIFRo
ZSBVbml2ZXJzaXR5IG9mIE5vcnRoIENhcm9saW5hIGF0IENoYXBlbCBIaWxsICwgQ2hhcGVsIEhp
bGwgLCBOQyAsIFVTQS48L2F1dGgtYWRkcmVzcz48dGl0bGVzPjx0aXRsZT5UZW1wb3JhbCBzdHJ1
Y3R1cmUvZnVuY3Rpb24gdmFyaWF0aW9uIGluIGN1bHR1cmVkIGRpZmZlcmVudGlhdGVkIGh1bWFu
IG5hc2FsIGVwaXRoZWxpdW0gYXNzb2NpYXRlZCB3aXRoIGFjdXRlIHNpbmdsZSBleHBvc3VyZSB0
byB0b2JhY2NvIHNtb2tlIG9yIEUtY2lnYXJldHRlIHZhcG9yPC90aXRsZT48c2Vjb25kYXJ5LXRp
dGxlPkluaGFsIFRveGljb2w8L3NlY29uZGFyeS10aXRsZT48YWx0LXRpdGxlPkluaGFsYXRpb24g
dG94aWNvbG9neTwvYWx0LXRpdGxlPjwvdGl0bGVzPjxwZXJpb2RpY2FsPjxmdWxsLXRpdGxlPklu
aGFsIFRveGljb2w8L2Z1bGwtdGl0bGU+PGFiYnItMT5JbmhhbGF0aW9uIHRveGljb2xvZ3k8L2Fi
YnItMT48L3BlcmlvZGljYWw+PGFsdC1wZXJpb2RpY2FsPjxmdWxsLXRpdGxlPkluaGFsIFRveGlj
b2w8L2Z1bGwtdGl0bGU+PGFiYnItMT5JbmhhbGF0aW9uIHRveGljb2xvZ3k8L2FiYnItMT48L2Fs
dC1wZXJpb2RpY2FsPjxwYWdlcz4xMzctMTQ0PC9wYWdlcz48dm9sdW1lPjI5PC92b2x1bWU+PG51
bWJlcj4zPC9udW1iZXI+PGVkaXRpb24+MjAxNy8wNS8wNTwvZWRpdGlvbj48a2V5d29yZHM+PGtl
eXdvcmQ+Q2VsbCBEaWZmZXJlbnRpYXRpb248L2tleXdvcmQ+PGtleXdvcmQ+Q2VsbHMsIEN1bHR1
cmVkPC9rZXl3b3JkPjxrZXl3b3JkPkNpbGlhL2RydWcgZWZmZWN0cy9waHlzaW9sb2d5PC9rZXl3
b3JkPjxrZXl3b3JkPipFbGVjdHJvbmljIE5pY290aW5lIERlbGl2ZXJ5IFN5c3RlbXM8L2tleXdv
cmQ+PGtleXdvcmQ+SHVtYW5zPC9rZXl3b3JkPjxrZXl3b3JkPk1pY3Jvc2NvcHksIEVsZWN0cm9u
LCBTY2FubmluZzwva2V5d29yZD48a2V5d29yZD5NdWNvY2lsaWFyeSBDbGVhcmFuY2U8L2tleXdv
cmQ+PGtleXdvcmQ+TmFzYWwgTXVjb3NhL2N5dG9sb2d5LypkcnVnIGVmZmVjdHMvbWV0YWJvbGlz
bS91bHRyYXN0cnVjdHVyZTwva2V5d29yZD48a2V5d29yZD5OaXRyaWMgT3hpZGUvbWV0YWJvbGlz
bTwva2V5d29yZD48a2V5d29yZD5TbW9rZS8qYWR2ZXJzZSBlZmZlY3RzPC9rZXl3b3JkPjxrZXl3
b3JkPipUb2JhY2NvPC9rZXl3b3JkPjxrZXl3b3JkPipDaWxpYTwva2V5d29yZD48a2V5d29yZD4q
YWlyd2F5IGVwaXRoZWxpdW08L2tleXdvcmQ+PGtleXdvcmQ+KmNpbGlhcnkgYmVhdCBmcmVxdWVu
Y3k8L2tleXdvcmQ+PGtleXdvcmQ+KmUtY2lnYXJldHRlPC9rZXl3b3JkPjxrZXl3b3JkPip0b2Jh
Y2NvIGNpZ2FyZXR0ZSBzbW9rZTwva2V5d29yZD48L2tleXdvcmRzPjxkYXRlcz48eWVhcj4yMDE3
PC95ZWFyPjxwdWItZGF0ZXM+PGRhdGU+RmViPC9kYXRlPjwvcHViLWRhdGVzPjwvZGF0ZXM+PGlz
Ym4+MDg5NS04Mzc4PC9pc2JuPjxhY2Nlc3Npb24tbnVtPjI4NDcwMTQwPC9hY2Nlc3Npb24tbnVt
Pjx1cmxzPjxyZWxhdGVkLXVybHM+PHVybD5odHRwczovL3d3dy50YW5kZm9ubGluZS5jb20vZG9p
L3BkZi8xMC4xMDgwLzA4OTU4Mzc4LjIwMTcuMTMxODk4NT9uZWVkQWNjZXNzPXRydWU8L3VybD48
L3JlbGF0ZWQtdXJscz48L3VybHM+PGN1c3RvbTI+UE1DNTU0NTExMTwvY3VzdG9tMj48Y3VzdG9t
Nj5OSUhNUzg3ODcwNDwvY3VzdG9tNj48ZWxlY3Ryb25pYy1yZXNvdXJjZS1udW0+MTAuMTA4MC8w
ODk1ODM3OC4yMDE3LjEzMTg5ODU8L2VsZWN0cm9uaWMtcmVzb3VyY2UtbnVtPjxyZW1vdGUtZGF0
YWJhc2UtcHJvdmlkZXI+TkxNPC9yZW1vdGUtZGF0YWJhc2UtcHJvdmlkZXI+PGxhbmd1YWdlPmVu
ZzwvbGFuZ3VhZ2U+PC9yZWNvcmQ+PC9DaXRlPjwvRW5kTm90ZT5=
</w:fldData>
            </w:fldChar>
          </w:r>
          <w:r>
            <w:instrText xml:space="preserve"> ADDIN EN.CITE.DATA </w:instrText>
          </w:r>
          <w:r>
            <w:fldChar w:fldCharType="end"/>
          </w:r>
          <w:r>
            <w:fldChar w:fldCharType="separate"/>
          </w:r>
          <w:r>
            <w:rPr>
              <w:noProof/>
            </w:rPr>
            <w:t>(Carson, Zhou et al. 2017)</w:t>
          </w:r>
          <w:r>
            <w:fldChar w:fldCharType="end"/>
          </w:r>
          <w:r>
            <w:t>. A study comparing cilia beat frequency in</w:t>
          </w:r>
          <w:r w:rsidRPr="007058D5">
            <w:t xml:space="preserve"> </w:t>
          </w:r>
          <w:r>
            <w:t xml:space="preserve">airway epithelial cells after exposure to room air or e-cigarette vapour found no difference between groups </w:t>
          </w:r>
          <w:r>
            <w:fldChar w:fldCharType="begin"/>
          </w:r>
          <w:r>
            <w:instrText xml:space="preserve"> ADDIN EN.CITE &lt;EndNote&gt;&lt;Cite&gt;&lt;Author&gt;Haswell&lt;/Author&gt;&lt;Year&gt;2017&lt;/Year&gt;&lt;RecNum&gt;1193&lt;/RecNum&gt;&lt;DisplayText&gt;(Haswell, Baxter et al. 2017)&lt;/DisplayText&gt;&lt;record&gt;&lt;rec-number&gt;1193&lt;/rec-number&gt;&lt;foreign-keys&gt;&lt;key app="EN" db-id="9z05dz0praadfuee0zoxzedk9zfe5fxx50z5" timestamp="1521507022"&gt;1193&lt;/key&gt;&lt;key app="ENWeb" db-id=""&gt;0&lt;/key&gt;&lt;/foreign-keys&gt;&lt;ref-type name="Journal Article"&gt;17&lt;/ref-type&gt;&lt;contributors&gt;&lt;authors&gt;&lt;author&gt;Haswell, L. E.&lt;/author&gt;&lt;author&gt;Baxter, A.&lt;/author&gt;&lt;author&gt;Banerjee, A.&lt;/author&gt;&lt;author&gt;Verrastro, I.&lt;/author&gt;&lt;author&gt;Mushonganono, J.&lt;/author&gt;&lt;author&gt;Adamson, J.&lt;/author&gt;&lt;author&gt;Thorne, D.&lt;/author&gt;&lt;author&gt;Gaca, M.&lt;/author&gt;&lt;author&gt;Minet, E.&lt;/author&gt;&lt;/authors&gt;&lt;/contributors&gt;&lt;auth-address&gt;British American Tobacco R&amp;amp;D Centre, Regents Park Road, Southampton, SO15 8TL, UK.&amp;#xD;British American Tobacco R&amp;amp;D Centre, Regents Park Road, Southampton, SO15 8TL, UK. emmanuel_minet@BAT.com.&lt;/auth-address&gt;&lt;titles&gt;&lt;title&gt;Reduced biological effect of e-cigarette aerosol compared to cigarette smoke evaluated in vitro using normalized nicotine dose and RNA-seq-based toxicogenomics&lt;/title&gt;&lt;secondary-title&gt;Sci Rep&lt;/secondary-title&gt;&lt;alt-title&gt;Scientific reports&lt;/alt-title&gt;&lt;/titles&gt;&lt;alt-periodical&gt;&lt;full-title&gt;Scientific Reports&lt;/full-title&gt;&lt;/alt-periodical&gt;&lt;pages&gt;888&lt;/pages&gt;&lt;volume&gt;7&lt;/volume&gt;&lt;number&gt;1&lt;/number&gt;&lt;edition&gt;2017/04/20&lt;/edition&gt;&lt;dates&gt;&lt;year&gt;2017&lt;/year&gt;&lt;pub-dates&gt;&lt;date&gt;Apr 18&lt;/date&gt;&lt;/pub-dates&gt;&lt;/dates&gt;&lt;isbn&gt;2045-2322&lt;/isbn&gt;&lt;accession-num&gt;28420881&lt;/accession-num&gt;&lt;urls&gt;&lt;related-urls&gt;&lt;url&gt;https://www.ncbi.nlm.nih.gov/pmc/articles/PMC5429854/pdf/41598_2017_Article_852.pdf&lt;/url&gt;&lt;/related-urls&gt;&lt;/urls&gt;&lt;custom2&gt;PMC5429854&lt;/custom2&gt;&lt;electronic-resource-num&gt;10.1038/s41598-017-00852-y&lt;/electronic-resource-num&gt;&lt;remote-database-provider&gt;NLM&lt;/remote-database-provider&gt;&lt;language&gt;eng&lt;/language&gt;&lt;/record&gt;&lt;/Cite&gt;&lt;/EndNote&gt;</w:instrText>
          </w:r>
          <w:r>
            <w:fldChar w:fldCharType="separate"/>
          </w:r>
          <w:r>
            <w:rPr>
              <w:noProof/>
            </w:rPr>
            <w:t>(Haswell, Baxter et al. 2017)</w:t>
          </w:r>
          <w:r>
            <w:fldChar w:fldCharType="end"/>
          </w:r>
          <w:r>
            <w:t>. Differences between results may be due to brand of e-cigarette used, duration of exposure (</w:t>
          </w:r>
          <w:r w:rsidR="000E5C99">
            <w:t>eight</w:t>
          </w:r>
          <w:r>
            <w:t xml:space="preserve"> days versus </w:t>
          </w:r>
          <w:r w:rsidR="000E5C99">
            <w:t xml:space="preserve">one </w:t>
          </w:r>
          <w:r>
            <w:t xml:space="preserve">hour versus </w:t>
          </w:r>
          <w:r w:rsidR="000E5C99">
            <w:t>three</w:t>
          </w:r>
          <w:r>
            <w:t xml:space="preserve"> minutes), flavour (tobacco flavour versus no flavour), nicotine content (ranged from 0-24mg/mL) or differences in cells from different donors.</w:t>
          </w:r>
        </w:p>
        <w:p w14:paraId="05456FC0" w14:textId="77777777" w:rsidR="00A74D41" w:rsidRDefault="00A74D41" w:rsidP="00A74D41">
          <w:pPr>
            <w:pStyle w:val="BodyText"/>
          </w:pPr>
        </w:p>
        <w:p w14:paraId="53DCBF43" w14:textId="77777777" w:rsidR="00A74D41" w:rsidRPr="00190D05" w:rsidRDefault="00A74D41" w:rsidP="00A74D41">
          <w:pPr>
            <w:pStyle w:val="Heading3"/>
          </w:pPr>
          <w:r>
            <w:lastRenderedPageBreak/>
            <w:t>Mucous production and transport</w:t>
          </w:r>
        </w:p>
        <w:p w14:paraId="56A2551D" w14:textId="77777777" w:rsidR="00A74D41" w:rsidRDefault="00A74D41" w:rsidP="00A74D41">
          <w:pPr>
            <w:pStyle w:val="BodyText"/>
          </w:pPr>
          <w:r>
            <w:t>Mucous secretions were reduced after</w:t>
          </w:r>
          <w:r w:rsidRPr="0001077C">
            <w:t xml:space="preserve"> </w:t>
          </w:r>
          <w:r>
            <w:t xml:space="preserve">bronchial epithelial </w:t>
          </w:r>
          <w:r w:rsidRPr="0001077C">
            <w:t>cells</w:t>
          </w:r>
          <w:r>
            <w:t xml:space="preserve"> were exposed to both</w:t>
          </w:r>
          <w:r w:rsidRPr="0001077C">
            <w:t xml:space="preserve"> </w:t>
          </w:r>
          <w:r>
            <w:t>nicotine</w:t>
          </w:r>
          <w:r>
            <w:noBreakHyphen/>
            <w:t xml:space="preserve">free unflavoured </w:t>
          </w:r>
          <w:r w:rsidRPr="0001077C">
            <w:t xml:space="preserve">e-cigarette vapour </w:t>
          </w:r>
          <w:r>
            <w:t>and</w:t>
          </w:r>
          <w:r w:rsidRPr="0001077C">
            <w:t xml:space="preserve"> cigarette smoke</w:t>
          </w:r>
          <w:r>
            <w:t xml:space="preserve"> </w:t>
          </w:r>
          <w:r>
            <w:fldChar w:fldCharType="begin">
              <w:fldData xml:space="preserve">PEVuZE5vdGU+PENpdGU+PEF1dGhvcj5BdWZkZXJoZWlkZTwvQXV0aG9yPjxZZWFyPjIwMTc8L1ll
YXI+PFJlY051bT4xMjI4PC9SZWNOdW0+PERpc3BsYXlUZXh0PihBdWZkZXJoZWlkZSBhbmQgRW11
cmEgMjAxNyk8L0Rpc3BsYXlUZXh0PjxyZWNvcmQ+PHJlYy1udW1iZXI+MTIyODwvcmVjLW51bWJl
cj48Zm9yZWlnbi1rZXlzPjxrZXkgYXBwPSJFTiIgZGItaWQ9Ijl6MDVkejBwcmFhZGZ1ZWUwem94
emVkazl6ZmU1Znh4NTB6NSIgdGltZXN0YW1wPSIxNTIxNTA3MDMwIj4xMjI4PC9rZXk+PGtleSBh
cHA9IkVOV2ViIiBkYi1pZD0iIj4wPC9rZXk+PC9mb3JlaWduLWtleXM+PHJlZi10eXBlIG5hbWU9
IkpvdXJuYWwgQXJ0aWNsZSI+MTc8L3JlZi10eXBlPjxjb250cmlidXRvcnM+PGF1dGhvcnM+PGF1
dGhvcj5BdWZkZXJoZWlkZSwgTS48L2F1dGhvcj48YXV0aG9yPkVtdXJhLCBNLjwvYXV0aG9yPjwv
YXV0aG9ycz48L2NvbnRyaWJ1dG9ycz48YXV0aC1hZGRyZXNzPkN1bHRleCBMYWJvcmF0b3JpZXMg
R21iSCwgRmVvZG9yLUx5bmVuLVN0ci4gMjEsIDMwNjI1IEhhbm5vdmVyLCBHZXJtYW55LiBFbGVj
dHJvbmljIGFkZHJlc3M6IG0uYXVmZGVyaGVpZGVAY3VsdGV4LWxhYm9yYXRvcmllcy5jb20uJiN4
RDtDdWx0ZXggTGFib3JhdG9yaWVzIEdtYkgsIEZlb2Rvci1MeW5lbi1TdHIuIDIxLCAzMDYyNSBI
YW5ub3ZlciwgR2VybWFueS48L2F1dGgtYWRkcmVzcz48dGl0bGVzPjx0aXRsZT5QaGVub3R5cGlj
YWwgY2hhbmdlcyBpbiBhIGRpZmZlcmVudGlhdGluZyBpbW1vcnRhbGl6ZWQgYnJvbmNoaWFsIGVw
aXRoZWxpYWwgY2VsbCBsaW5lIGFmdGVyIGV4cG9zdXJlIHRvIG1haW5zdHJlYW0gY2lnYXJldHRl
IHNtb2tlIGFuZCBlLWNpZ2FyZXR0ZSB2YXBvcjwvdGl0bGU+PHNlY29uZGFyeS10aXRsZT5FeHAg
VG94aWNvbCBQYXRob2w8L3NlY29uZGFyeS10aXRsZT48YWx0LXRpdGxlPkV4cGVyaW1lbnRhbCBh
bmQgdG94aWNvbG9naWMgcGF0aG9sb2d5IDogb2ZmaWNpYWwgam91cm5hbCBvZiB0aGUgR2VzZWxs
c2NoYWZ0IGZ1ciBUb3hpa29sb2dpc2NoZSBQYXRob2xvZ2llPC9hbHQtdGl0bGU+PC90aXRsZXM+
PHBlcmlvZGljYWw+PGZ1bGwtdGl0bGU+RXhwIFRveGljb2wgUGF0aG9sPC9mdWxsLXRpdGxlPjxh
YmJyLTE+RXhwZXJpbWVudGFsIGFuZCB0b3hpY29sb2dpYyBwYXRob2xvZ3kgOiBvZmZpY2lhbCBq
b3VybmFsIG9mIHRoZSBHZXNlbGxzY2hhZnQgZnVyIFRveGlrb2xvZ2lzY2hlIFBhdGhvbG9naWU8
L2FiYnItMT48L3BlcmlvZGljYWw+PGFsdC1wZXJpb2RpY2FsPjxmdWxsLXRpdGxlPkV4cCBUb3hp
Y29sIFBhdGhvbDwvZnVsbC10aXRsZT48YWJici0xPkV4cGVyaW1lbnRhbCBhbmQgdG94aWNvbG9n
aWMgcGF0aG9sb2d5IDogb2ZmaWNpYWwgam91cm5hbCBvZiB0aGUgR2VzZWxsc2NoYWZ0IGZ1ciBU
b3hpa29sb2dpc2NoZSBQYXRob2xvZ2llPC9hYmJyLTE+PC9hbHQtcGVyaW9kaWNhbD48cGFnZXM+
MzkzLTQwMTwvcGFnZXM+PHZvbHVtZT42OTwvdm9sdW1lPjxudW1iZXI+NjwvbnVtYmVyPjxlZGl0
aW9uPjIwMTcvMDQvMDU8L2VkaXRpb24+PGtleXdvcmRzPjxrZXl3b3JkPkFlcm9zb2xzL2FkdmVy
c2UgZWZmZWN0czwva2V5d29yZD48a2V5d29yZD5Ccm9uY2hpPC9rZXl3b3JkPjxrZXl3b3JkPkNl
bGwgRGlmZmVyZW50aWF0aW9uL2RydWcgZWZmZWN0czwva2V5d29yZD48a2V5d29yZD5DZWxsIExp
bmU8L2tleXdvcmQ+PGtleXdvcmQ+KkVsZWN0cm9uaWMgTmljb3RpbmUgRGVsaXZlcnkgU3lzdGVt
czwva2V5d29yZD48a2V5d29yZD5FcGl0aGVsaWFsIENlbGxzL2RydWcgZWZmZWN0czwva2V5d29y
ZD48a2V5d29yZD5IdW1hbnM8L2tleXdvcmQ+PGtleXdvcmQ+UGhlbm90eXBlPC9rZXl3b3JkPjxr
ZXl3b3JkPlJlc3BpcmF0b3J5IE11Y29zYS8qZHJ1ZyBlZmZlY3RzPC9rZXl3b3JkPjxrZXl3b3Jk
PlNtb2tlLyphZHZlcnNlIGVmZmVjdHM8L2tleXdvcmQ+PGtleXdvcmQ+U21va2luZy9hZHZlcnNl
IGVmZmVjdHM8L2tleXdvcmQ+PGtleXdvcmQ+VG9iYWNjbyBQcm9kdWN0cy9hZHZlcnNlIGVmZmVj
dHM8L2tleXdvcmQ+PGtleXdvcmQ+QWlyLWxpcXVpZCBpbnRlcmZhY2UgKEFMSSkgZXhwb3N1cmU8
L2tleXdvcmQ+PGtleXdvcmQ+Q3VsdGV4KChyKSlyZnM8L2tleXdvcmQ+PGtleXdvcmQ+SW1tb3J0
YWxpemVkIG5vcm1hbCBodW1hbiBicm9uY2hpYWwgZXBpdGhlbGlhbCBjZWxsczwva2V5d29yZD48
a2V5d29yZD5NZXRhcGxhc3RpYyBjaGFuZ2VzPC9rZXl3b3JkPjxrZXl3b3JkPlBoZW5vdHlwaWNh
bCBhbHRlcmF0aW9uczwva2V5d29yZD48L2tleXdvcmRzPjxkYXRlcz48eWVhcj4yMDE3PC95ZWFy
PjxwdWItZGF0ZXM+PGRhdGU+SnVsIDU8L2RhdGU+PC9wdWItZGF0ZXM+PC9kYXRlcz48aXNibj4w
OTQwLTI5OTM8L2lzYm4+PGFjY2Vzc2lvbi1udW0+MjgzNzI5Mjg8L2FjY2Vzc2lvbi1udW0+PHVy
bHM+PHJlbGF0ZWQtdXJscz48dXJsPmh0dHBzOi8vd3d3LnNjaWVuY2VkaXJlY3QuY29tL3NjaWVu
Y2UvYXJ0aWNsZS9waWkvUzA5NDAyOTkzMTczMDE0NTg/dmlhJTNEaWh1YjwvdXJsPjwvcmVsYXRl
ZC11cmxzPjwvdXJscz48ZWxlY3Ryb25pYy1yZXNvdXJjZS1udW0+MTAuMTAxNi9qLmV0cC4yMDE3
LjAzLjAwNDwvZWxlY3Ryb25pYy1yZXNvdXJjZS1udW0+PHJlbW90ZS1kYXRhYmFzZS1wcm92aWRl
cj5OTE08L3JlbW90ZS1kYXRhYmFzZS1wcm92aWRlcj48bGFuZ3VhZ2U+ZW5nPC9sYW5ndWFnZT48
L3JlY29yZD48L0NpdGU+PC9FbmROb3RlPgB=
</w:fldData>
            </w:fldChar>
          </w:r>
          <w:r>
            <w:instrText xml:space="preserve"> ADDIN EN.CITE </w:instrText>
          </w:r>
          <w:r>
            <w:fldChar w:fldCharType="begin">
              <w:fldData xml:space="preserve">PEVuZE5vdGU+PENpdGU+PEF1dGhvcj5BdWZkZXJoZWlkZTwvQXV0aG9yPjxZZWFyPjIwMTc8L1ll
YXI+PFJlY051bT4xMjI4PC9SZWNOdW0+PERpc3BsYXlUZXh0PihBdWZkZXJoZWlkZSBhbmQgRW11
cmEgMjAxNyk8L0Rpc3BsYXlUZXh0PjxyZWNvcmQ+PHJlYy1udW1iZXI+MTIyODwvcmVjLW51bWJl
cj48Zm9yZWlnbi1rZXlzPjxrZXkgYXBwPSJFTiIgZGItaWQ9Ijl6MDVkejBwcmFhZGZ1ZWUwem94
emVkazl6ZmU1Znh4NTB6NSIgdGltZXN0YW1wPSIxNTIxNTA3MDMwIj4xMjI4PC9rZXk+PGtleSBh
cHA9IkVOV2ViIiBkYi1pZD0iIj4wPC9rZXk+PC9mb3JlaWduLWtleXM+PHJlZi10eXBlIG5hbWU9
IkpvdXJuYWwgQXJ0aWNsZSI+MTc8L3JlZi10eXBlPjxjb250cmlidXRvcnM+PGF1dGhvcnM+PGF1
dGhvcj5BdWZkZXJoZWlkZSwgTS48L2F1dGhvcj48YXV0aG9yPkVtdXJhLCBNLjwvYXV0aG9yPjwv
YXV0aG9ycz48L2NvbnRyaWJ1dG9ycz48YXV0aC1hZGRyZXNzPkN1bHRleCBMYWJvcmF0b3JpZXMg
R21iSCwgRmVvZG9yLUx5bmVuLVN0ci4gMjEsIDMwNjI1IEhhbm5vdmVyLCBHZXJtYW55LiBFbGVj
dHJvbmljIGFkZHJlc3M6IG0uYXVmZGVyaGVpZGVAY3VsdGV4LWxhYm9yYXRvcmllcy5jb20uJiN4
RDtDdWx0ZXggTGFib3JhdG9yaWVzIEdtYkgsIEZlb2Rvci1MeW5lbi1TdHIuIDIxLCAzMDYyNSBI
YW5ub3ZlciwgR2VybWFueS48L2F1dGgtYWRkcmVzcz48dGl0bGVzPjx0aXRsZT5QaGVub3R5cGlj
YWwgY2hhbmdlcyBpbiBhIGRpZmZlcmVudGlhdGluZyBpbW1vcnRhbGl6ZWQgYnJvbmNoaWFsIGVw
aXRoZWxpYWwgY2VsbCBsaW5lIGFmdGVyIGV4cG9zdXJlIHRvIG1haW5zdHJlYW0gY2lnYXJldHRl
IHNtb2tlIGFuZCBlLWNpZ2FyZXR0ZSB2YXBvcjwvdGl0bGU+PHNlY29uZGFyeS10aXRsZT5FeHAg
VG94aWNvbCBQYXRob2w8L3NlY29uZGFyeS10aXRsZT48YWx0LXRpdGxlPkV4cGVyaW1lbnRhbCBh
bmQgdG94aWNvbG9naWMgcGF0aG9sb2d5IDogb2ZmaWNpYWwgam91cm5hbCBvZiB0aGUgR2VzZWxs
c2NoYWZ0IGZ1ciBUb3hpa29sb2dpc2NoZSBQYXRob2xvZ2llPC9hbHQtdGl0bGU+PC90aXRsZXM+
PHBlcmlvZGljYWw+PGZ1bGwtdGl0bGU+RXhwIFRveGljb2wgUGF0aG9sPC9mdWxsLXRpdGxlPjxh
YmJyLTE+RXhwZXJpbWVudGFsIGFuZCB0b3hpY29sb2dpYyBwYXRob2xvZ3kgOiBvZmZpY2lhbCBq
b3VybmFsIG9mIHRoZSBHZXNlbGxzY2hhZnQgZnVyIFRveGlrb2xvZ2lzY2hlIFBhdGhvbG9naWU8
L2FiYnItMT48L3BlcmlvZGljYWw+PGFsdC1wZXJpb2RpY2FsPjxmdWxsLXRpdGxlPkV4cCBUb3hp
Y29sIFBhdGhvbDwvZnVsbC10aXRsZT48YWJici0xPkV4cGVyaW1lbnRhbCBhbmQgdG94aWNvbG9n
aWMgcGF0aG9sb2d5IDogb2ZmaWNpYWwgam91cm5hbCBvZiB0aGUgR2VzZWxsc2NoYWZ0IGZ1ciBU
b3hpa29sb2dpc2NoZSBQYXRob2xvZ2llPC9hYmJyLTE+PC9hbHQtcGVyaW9kaWNhbD48cGFnZXM+
MzkzLTQwMTwvcGFnZXM+PHZvbHVtZT42OTwvdm9sdW1lPjxudW1iZXI+NjwvbnVtYmVyPjxlZGl0
aW9uPjIwMTcvMDQvMDU8L2VkaXRpb24+PGtleXdvcmRzPjxrZXl3b3JkPkFlcm9zb2xzL2FkdmVy
c2UgZWZmZWN0czwva2V5d29yZD48a2V5d29yZD5Ccm9uY2hpPC9rZXl3b3JkPjxrZXl3b3JkPkNl
bGwgRGlmZmVyZW50aWF0aW9uL2RydWcgZWZmZWN0czwva2V5d29yZD48a2V5d29yZD5DZWxsIExp
bmU8L2tleXdvcmQ+PGtleXdvcmQ+KkVsZWN0cm9uaWMgTmljb3RpbmUgRGVsaXZlcnkgU3lzdGVt
czwva2V5d29yZD48a2V5d29yZD5FcGl0aGVsaWFsIENlbGxzL2RydWcgZWZmZWN0czwva2V5d29y
ZD48a2V5d29yZD5IdW1hbnM8L2tleXdvcmQ+PGtleXdvcmQ+UGhlbm90eXBlPC9rZXl3b3JkPjxr
ZXl3b3JkPlJlc3BpcmF0b3J5IE11Y29zYS8qZHJ1ZyBlZmZlY3RzPC9rZXl3b3JkPjxrZXl3b3Jk
PlNtb2tlLyphZHZlcnNlIGVmZmVjdHM8L2tleXdvcmQ+PGtleXdvcmQ+U21va2luZy9hZHZlcnNl
IGVmZmVjdHM8L2tleXdvcmQ+PGtleXdvcmQ+VG9iYWNjbyBQcm9kdWN0cy9hZHZlcnNlIGVmZmVj
dHM8L2tleXdvcmQ+PGtleXdvcmQ+QWlyLWxpcXVpZCBpbnRlcmZhY2UgKEFMSSkgZXhwb3N1cmU8
L2tleXdvcmQ+PGtleXdvcmQ+Q3VsdGV4KChyKSlyZnM8L2tleXdvcmQ+PGtleXdvcmQ+SW1tb3J0
YWxpemVkIG5vcm1hbCBodW1hbiBicm9uY2hpYWwgZXBpdGhlbGlhbCBjZWxsczwva2V5d29yZD48
a2V5d29yZD5NZXRhcGxhc3RpYyBjaGFuZ2VzPC9rZXl3b3JkPjxrZXl3b3JkPlBoZW5vdHlwaWNh
bCBhbHRlcmF0aW9uczwva2V5d29yZD48L2tleXdvcmRzPjxkYXRlcz48eWVhcj4yMDE3PC95ZWFy
PjxwdWItZGF0ZXM+PGRhdGU+SnVsIDU8L2RhdGU+PC9wdWItZGF0ZXM+PC9kYXRlcz48aXNibj4w
OTQwLTI5OTM8L2lzYm4+PGFjY2Vzc2lvbi1udW0+MjgzNzI5Mjg8L2FjY2Vzc2lvbi1udW0+PHVy
bHM+PHJlbGF0ZWQtdXJscz48dXJsPmh0dHBzOi8vd3d3LnNjaWVuY2VkaXJlY3QuY29tL3NjaWVu
Y2UvYXJ0aWNsZS9waWkvUzA5NDAyOTkzMTczMDE0NTg/dmlhJTNEaWh1YjwvdXJsPjwvcmVsYXRl
ZC11cmxzPjwvdXJscz48ZWxlY3Ryb25pYy1yZXNvdXJjZS1udW0+MTAuMTAxNi9qLmV0cC4yMDE3
LjAzLjAwNDwvZWxlY3Ryb25pYy1yZXNvdXJjZS1udW0+PHJlbW90ZS1kYXRhYmFzZS1wcm92aWRl
cj5OTE08L3JlbW90ZS1kYXRhYmFzZS1wcm92aWRlcj48bGFuZ3VhZ2U+ZW5nPC9sYW5ndWFnZT48
L3JlY29yZD48L0NpdGU+PC9FbmROb3RlPgB=
</w:fldData>
            </w:fldChar>
          </w:r>
          <w:r>
            <w:instrText xml:space="preserve"> ADDIN EN.CITE.DATA </w:instrText>
          </w:r>
          <w:r>
            <w:fldChar w:fldCharType="end"/>
          </w:r>
          <w:r>
            <w:fldChar w:fldCharType="separate"/>
          </w:r>
          <w:r>
            <w:rPr>
              <w:noProof/>
            </w:rPr>
            <w:t>(Aufderheide and Emura 2017)</w:t>
          </w:r>
          <w:r>
            <w:fldChar w:fldCharType="end"/>
          </w:r>
          <w:r w:rsidRPr="0001077C">
            <w:t xml:space="preserve">. </w:t>
          </w:r>
          <w:r>
            <w:t xml:space="preserve">Both e-cigarette and tobacco smoke led to increased epithelial airway cell secretions, however tobacco smoke elicited a greater response than tobacco flavoured, nicotine-containing e-cigarette vapour </w:t>
          </w:r>
          <w:r>
            <w:fldChar w:fldCharType="begin">
              <w:fldData xml:space="preserve">PEVuZE5vdGU+PENpdGU+PEF1dGhvcj5DYXJzb248L0F1dGhvcj48WWVhcj4yMDE3PC9ZZWFyPjxS
ZWNOdW0+MTE3MzwvUmVjTnVtPjxEaXNwbGF5VGV4dD4oQ2Fyc29uLCBaaG91IGV0IGFsLiAyMDE3
KTwvRGlzcGxheVRleHQ+PHJlY29yZD48cmVjLW51bWJlcj4xMTczPC9yZWMtbnVtYmVyPjxmb3Jl
aWduLWtleXM+PGtleSBhcHA9IkVOIiBkYi1pZD0iOXowNWR6MHByYWFkZnVlZTB6b3h6ZWRrOXpm
ZTVmeHg1MHo1IiB0aW1lc3RhbXA9IjE1MjE1MDcwMTciPjExNzM8L2tleT48a2V5IGFwcD0iRU5X
ZWIiIGRiLWlkPSIiPjA8L2tleT48L2ZvcmVpZ24ta2V5cz48cmVmLXR5cGUgbmFtZT0iSm91cm5h
bCBBcnRpY2xlIj4xNzwvcmVmLXR5cGU+PGNvbnRyaWJ1dG9ycz48YXV0aG9ycz48YXV0aG9yPkNh
cnNvbiwgSi4gTC48L2F1dGhvcj48YXV0aG9yPlpob3UsIEwuPC9hdXRob3I+PGF1dGhvcj5Ccmln
aHRvbiwgTC48L2F1dGhvcj48YXV0aG9yPk1pbGxzLCBLLiBILjwvYXV0aG9yPjxhdXRob3I+Wmhv
dSwgSC48L2F1dGhvcj48YXV0aG9yPkphc3BlcnMsIEkuPC9hdXRob3I+PGF1dGhvcj5IYXp1Y2hh
LCBNLjwvYXV0aG9yPjwvYXV0aG9ycz48L2NvbnRyaWJ1dG9ycz48YXV0aC1hZGRyZXNzPmEgVGhl
IENlbnRlciBmb3IgRW52aXJvbm1lbnRhbCBNZWRpY2luZSwgQXN0aG1hLCBhbmQgTHVuZyBCaW9s
b2d5ICwgVGhlIFVuaXZlcnNpdHkgb2YgTm9ydGggQ2Fyb2xpbmEgYXQgQ2hhcGVsIEhpbGwgLCBD
aGFwZWwgSGlsbCAsIE5DICwgVVNBLiYjeEQ7YiBUaGUgRGVwYXJ0bWVudCBvZiBQZWRpYXRyaWNz
ICwgVGhlIFVuaXZlcnNpdHkgb2YgTm9ydGggQ2Fyb2xpbmEgYXQgQ2hhcGVsIEhpbGwgLCBDaGFw
ZWwgSGlsbCAsIE5DICwgVVNBLiYjeEQ7YyBUaGUgRGVwYXJ0bWVudCBvZiBCaW9zdGF0aXN0aWNz
ICwgVGhlIFVuaXZlcnNpdHkgb2YgTm9ydGggQ2Fyb2xpbmEgYXQgQ2hhcGVsIEhpbGwgLCBDaGFw
ZWwgSGlsbCAsIE5DICwgVVNBLiYjeEQ7ZCBUaGUgRGVwYXJ0bWVudCBvZiBNZWRpY2luZSAsIFRo
ZSBVbml2ZXJzaXR5IG9mIE5vcnRoIENhcm9saW5hIGF0IENoYXBlbCBIaWxsICwgQ2hhcGVsIEhp
bGwgLCBOQyAsIFVTQS48L2F1dGgtYWRkcmVzcz48dGl0bGVzPjx0aXRsZT5UZW1wb3JhbCBzdHJ1
Y3R1cmUvZnVuY3Rpb24gdmFyaWF0aW9uIGluIGN1bHR1cmVkIGRpZmZlcmVudGlhdGVkIGh1bWFu
IG5hc2FsIGVwaXRoZWxpdW0gYXNzb2NpYXRlZCB3aXRoIGFjdXRlIHNpbmdsZSBleHBvc3VyZSB0
byB0b2JhY2NvIHNtb2tlIG9yIEUtY2lnYXJldHRlIHZhcG9yPC90aXRsZT48c2Vjb25kYXJ5LXRp
dGxlPkluaGFsIFRveGljb2w8L3NlY29uZGFyeS10aXRsZT48YWx0LXRpdGxlPkluaGFsYXRpb24g
dG94aWNvbG9neTwvYWx0LXRpdGxlPjwvdGl0bGVzPjxwZXJpb2RpY2FsPjxmdWxsLXRpdGxlPklu
aGFsIFRveGljb2w8L2Z1bGwtdGl0bGU+PGFiYnItMT5JbmhhbGF0aW9uIHRveGljb2xvZ3k8L2Fi
YnItMT48L3BlcmlvZGljYWw+PGFsdC1wZXJpb2RpY2FsPjxmdWxsLXRpdGxlPkluaGFsIFRveGlj
b2w8L2Z1bGwtdGl0bGU+PGFiYnItMT5JbmhhbGF0aW9uIHRveGljb2xvZ3k8L2FiYnItMT48L2Fs
dC1wZXJpb2RpY2FsPjxwYWdlcz4xMzctMTQ0PC9wYWdlcz48dm9sdW1lPjI5PC92b2x1bWU+PG51
bWJlcj4zPC9udW1iZXI+PGVkaXRpb24+MjAxNy8wNS8wNTwvZWRpdGlvbj48a2V5d29yZHM+PGtl
eXdvcmQ+Q2VsbCBEaWZmZXJlbnRpYXRpb248L2tleXdvcmQ+PGtleXdvcmQ+Q2VsbHMsIEN1bHR1
cmVkPC9rZXl3b3JkPjxrZXl3b3JkPkNpbGlhL2RydWcgZWZmZWN0cy9waHlzaW9sb2d5PC9rZXl3
b3JkPjxrZXl3b3JkPipFbGVjdHJvbmljIE5pY290aW5lIERlbGl2ZXJ5IFN5c3RlbXM8L2tleXdv
cmQ+PGtleXdvcmQ+SHVtYW5zPC9rZXl3b3JkPjxrZXl3b3JkPk1pY3Jvc2NvcHksIEVsZWN0cm9u
LCBTY2FubmluZzwva2V5d29yZD48a2V5d29yZD5NdWNvY2lsaWFyeSBDbGVhcmFuY2U8L2tleXdv
cmQ+PGtleXdvcmQ+TmFzYWwgTXVjb3NhL2N5dG9sb2d5LypkcnVnIGVmZmVjdHMvbWV0YWJvbGlz
bS91bHRyYXN0cnVjdHVyZTwva2V5d29yZD48a2V5d29yZD5OaXRyaWMgT3hpZGUvbWV0YWJvbGlz
bTwva2V5d29yZD48a2V5d29yZD5TbW9rZS8qYWR2ZXJzZSBlZmZlY3RzPC9rZXl3b3JkPjxrZXl3
b3JkPipUb2JhY2NvPC9rZXl3b3JkPjxrZXl3b3JkPipDaWxpYTwva2V5d29yZD48a2V5d29yZD4q
YWlyd2F5IGVwaXRoZWxpdW08L2tleXdvcmQ+PGtleXdvcmQ+KmNpbGlhcnkgYmVhdCBmcmVxdWVu
Y3k8L2tleXdvcmQ+PGtleXdvcmQ+KmUtY2lnYXJldHRlPC9rZXl3b3JkPjxrZXl3b3JkPip0b2Jh
Y2NvIGNpZ2FyZXR0ZSBzbW9rZTwva2V5d29yZD48L2tleXdvcmRzPjxkYXRlcz48eWVhcj4yMDE3
PC95ZWFyPjxwdWItZGF0ZXM+PGRhdGU+RmViPC9kYXRlPjwvcHViLWRhdGVzPjwvZGF0ZXM+PGlz
Ym4+MDg5NS04Mzc4PC9pc2JuPjxhY2Nlc3Npb24tbnVtPjI4NDcwMTQwPC9hY2Nlc3Npb24tbnVt
Pjx1cmxzPjxyZWxhdGVkLXVybHM+PHVybD5odHRwczovL3d3dy50YW5kZm9ubGluZS5jb20vZG9p
L3BkZi8xMC4xMDgwLzA4OTU4Mzc4LjIwMTcuMTMxODk4NT9uZWVkQWNjZXNzPXRydWU8L3VybD48
L3JlbGF0ZWQtdXJscz48L3VybHM+PGN1c3RvbTI+UE1DNTU0NTExMTwvY3VzdG9tMj48Y3VzdG9t
Nj5OSUhNUzg3ODcwNDwvY3VzdG9tNj48ZWxlY3Ryb25pYy1yZXNvdXJjZS1udW0+MTAuMTA4MC8w
ODk1ODM3OC4yMDE3LjEzMTg5ODU8L2VsZWN0cm9uaWMtcmVzb3VyY2UtbnVtPjxyZW1vdGUtZGF0
YWJhc2UtcHJvdmlkZXI+TkxNPC9yZW1vdGUtZGF0YWJhc2UtcHJvdmlkZXI+PGxhbmd1YWdlPmVu
ZzwvbGFuZ3VhZ2U+PC9yZWNvcmQ+PC9DaXRlPjwvRW5kTm90ZT5=
</w:fldData>
            </w:fldChar>
          </w:r>
          <w:r>
            <w:instrText xml:space="preserve"> ADDIN EN.CITE </w:instrText>
          </w:r>
          <w:r>
            <w:fldChar w:fldCharType="begin">
              <w:fldData xml:space="preserve">PEVuZE5vdGU+PENpdGU+PEF1dGhvcj5DYXJzb248L0F1dGhvcj48WWVhcj4yMDE3PC9ZZWFyPjxS
ZWNOdW0+MTE3MzwvUmVjTnVtPjxEaXNwbGF5VGV4dD4oQ2Fyc29uLCBaaG91IGV0IGFsLiAyMDE3
KTwvRGlzcGxheVRleHQ+PHJlY29yZD48cmVjLW51bWJlcj4xMTczPC9yZWMtbnVtYmVyPjxmb3Jl
aWduLWtleXM+PGtleSBhcHA9IkVOIiBkYi1pZD0iOXowNWR6MHByYWFkZnVlZTB6b3h6ZWRrOXpm
ZTVmeHg1MHo1IiB0aW1lc3RhbXA9IjE1MjE1MDcwMTciPjExNzM8L2tleT48a2V5IGFwcD0iRU5X
ZWIiIGRiLWlkPSIiPjA8L2tleT48L2ZvcmVpZ24ta2V5cz48cmVmLXR5cGUgbmFtZT0iSm91cm5h
bCBBcnRpY2xlIj4xNzwvcmVmLXR5cGU+PGNvbnRyaWJ1dG9ycz48YXV0aG9ycz48YXV0aG9yPkNh
cnNvbiwgSi4gTC48L2F1dGhvcj48YXV0aG9yPlpob3UsIEwuPC9hdXRob3I+PGF1dGhvcj5Ccmln
aHRvbiwgTC48L2F1dGhvcj48YXV0aG9yPk1pbGxzLCBLLiBILjwvYXV0aG9yPjxhdXRob3I+Wmhv
dSwgSC48L2F1dGhvcj48YXV0aG9yPkphc3BlcnMsIEkuPC9hdXRob3I+PGF1dGhvcj5IYXp1Y2hh
LCBNLjwvYXV0aG9yPjwvYXV0aG9ycz48L2NvbnRyaWJ1dG9ycz48YXV0aC1hZGRyZXNzPmEgVGhl
IENlbnRlciBmb3IgRW52aXJvbm1lbnRhbCBNZWRpY2luZSwgQXN0aG1hLCBhbmQgTHVuZyBCaW9s
b2d5ICwgVGhlIFVuaXZlcnNpdHkgb2YgTm9ydGggQ2Fyb2xpbmEgYXQgQ2hhcGVsIEhpbGwgLCBD
aGFwZWwgSGlsbCAsIE5DICwgVVNBLiYjeEQ7YiBUaGUgRGVwYXJ0bWVudCBvZiBQZWRpYXRyaWNz
ICwgVGhlIFVuaXZlcnNpdHkgb2YgTm9ydGggQ2Fyb2xpbmEgYXQgQ2hhcGVsIEhpbGwgLCBDaGFw
ZWwgSGlsbCAsIE5DICwgVVNBLiYjeEQ7YyBUaGUgRGVwYXJ0bWVudCBvZiBCaW9zdGF0aXN0aWNz
ICwgVGhlIFVuaXZlcnNpdHkgb2YgTm9ydGggQ2Fyb2xpbmEgYXQgQ2hhcGVsIEhpbGwgLCBDaGFw
ZWwgSGlsbCAsIE5DICwgVVNBLiYjeEQ7ZCBUaGUgRGVwYXJ0bWVudCBvZiBNZWRpY2luZSAsIFRo
ZSBVbml2ZXJzaXR5IG9mIE5vcnRoIENhcm9saW5hIGF0IENoYXBlbCBIaWxsICwgQ2hhcGVsIEhp
bGwgLCBOQyAsIFVTQS48L2F1dGgtYWRkcmVzcz48dGl0bGVzPjx0aXRsZT5UZW1wb3JhbCBzdHJ1
Y3R1cmUvZnVuY3Rpb24gdmFyaWF0aW9uIGluIGN1bHR1cmVkIGRpZmZlcmVudGlhdGVkIGh1bWFu
IG5hc2FsIGVwaXRoZWxpdW0gYXNzb2NpYXRlZCB3aXRoIGFjdXRlIHNpbmdsZSBleHBvc3VyZSB0
byB0b2JhY2NvIHNtb2tlIG9yIEUtY2lnYXJldHRlIHZhcG9yPC90aXRsZT48c2Vjb25kYXJ5LXRp
dGxlPkluaGFsIFRveGljb2w8L3NlY29uZGFyeS10aXRsZT48YWx0LXRpdGxlPkluaGFsYXRpb24g
dG94aWNvbG9neTwvYWx0LXRpdGxlPjwvdGl0bGVzPjxwZXJpb2RpY2FsPjxmdWxsLXRpdGxlPklu
aGFsIFRveGljb2w8L2Z1bGwtdGl0bGU+PGFiYnItMT5JbmhhbGF0aW9uIHRveGljb2xvZ3k8L2Fi
YnItMT48L3BlcmlvZGljYWw+PGFsdC1wZXJpb2RpY2FsPjxmdWxsLXRpdGxlPkluaGFsIFRveGlj
b2w8L2Z1bGwtdGl0bGU+PGFiYnItMT5JbmhhbGF0aW9uIHRveGljb2xvZ3k8L2FiYnItMT48L2Fs
dC1wZXJpb2RpY2FsPjxwYWdlcz4xMzctMTQ0PC9wYWdlcz48dm9sdW1lPjI5PC92b2x1bWU+PG51
bWJlcj4zPC9udW1iZXI+PGVkaXRpb24+MjAxNy8wNS8wNTwvZWRpdGlvbj48a2V5d29yZHM+PGtl
eXdvcmQ+Q2VsbCBEaWZmZXJlbnRpYXRpb248L2tleXdvcmQ+PGtleXdvcmQ+Q2VsbHMsIEN1bHR1
cmVkPC9rZXl3b3JkPjxrZXl3b3JkPkNpbGlhL2RydWcgZWZmZWN0cy9waHlzaW9sb2d5PC9rZXl3
b3JkPjxrZXl3b3JkPipFbGVjdHJvbmljIE5pY290aW5lIERlbGl2ZXJ5IFN5c3RlbXM8L2tleXdv
cmQ+PGtleXdvcmQ+SHVtYW5zPC9rZXl3b3JkPjxrZXl3b3JkPk1pY3Jvc2NvcHksIEVsZWN0cm9u
LCBTY2FubmluZzwva2V5d29yZD48a2V5d29yZD5NdWNvY2lsaWFyeSBDbGVhcmFuY2U8L2tleXdv
cmQ+PGtleXdvcmQ+TmFzYWwgTXVjb3NhL2N5dG9sb2d5LypkcnVnIGVmZmVjdHMvbWV0YWJvbGlz
bS91bHRyYXN0cnVjdHVyZTwva2V5d29yZD48a2V5d29yZD5OaXRyaWMgT3hpZGUvbWV0YWJvbGlz
bTwva2V5d29yZD48a2V5d29yZD5TbW9rZS8qYWR2ZXJzZSBlZmZlY3RzPC9rZXl3b3JkPjxrZXl3
b3JkPipUb2JhY2NvPC9rZXl3b3JkPjxrZXl3b3JkPipDaWxpYTwva2V5d29yZD48a2V5d29yZD4q
YWlyd2F5IGVwaXRoZWxpdW08L2tleXdvcmQ+PGtleXdvcmQ+KmNpbGlhcnkgYmVhdCBmcmVxdWVu
Y3k8L2tleXdvcmQ+PGtleXdvcmQ+KmUtY2lnYXJldHRlPC9rZXl3b3JkPjxrZXl3b3JkPip0b2Jh
Y2NvIGNpZ2FyZXR0ZSBzbW9rZTwva2V5d29yZD48L2tleXdvcmRzPjxkYXRlcz48eWVhcj4yMDE3
PC95ZWFyPjxwdWItZGF0ZXM+PGRhdGU+RmViPC9kYXRlPjwvcHViLWRhdGVzPjwvZGF0ZXM+PGlz
Ym4+MDg5NS04Mzc4PC9pc2JuPjxhY2Nlc3Npb24tbnVtPjI4NDcwMTQwPC9hY2Nlc3Npb24tbnVt
Pjx1cmxzPjxyZWxhdGVkLXVybHM+PHVybD5odHRwczovL3d3dy50YW5kZm9ubGluZS5jb20vZG9p
L3BkZi8xMC4xMDgwLzA4OTU4Mzc4LjIwMTcuMTMxODk4NT9uZWVkQWNjZXNzPXRydWU8L3VybD48
L3JlbGF0ZWQtdXJscz48L3VybHM+PGN1c3RvbTI+UE1DNTU0NTExMTwvY3VzdG9tMj48Y3VzdG9t
Nj5OSUhNUzg3ODcwNDwvY3VzdG9tNj48ZWxlY3Ryb25pYy1yZXNvdXJjZS1udW0+MTAuMTA4MC8w
ODk1ODM3OC4yMDE3LjEzMTg5ODU8L2VsZWN0cm9uaWMtcmVzb3VyY2UtbnVtPjxyZW1vdGUtZGF0
YWJhc2UtcHJvdmlkZXI+TkxNPC9yZW1vdGUtZGF0YWJhc2UtcHJvdmlkZXI+PGxhbmd1YWdlPmVu
ZzwvbGFuZ3VhZ2U+PC9yZWNvcmQ+PC9DaXRlPjwvRW5kTm90ZT5=
</w:fldData>
            </w:fldChar>
          </w:r>
          <w:r>
            <w:instrText xml:space="preserve"> ADDIN EN.CITE.DATA </w:instrText>
          </w:r>
          <w:r>
            <w:fldChar w:fldCharType="end"/>
          </w:r>
          <w:r>
            <w:fldChar w:fldCharType="separate"/>
          </w:r>
          <w:r>
            <w:rPr>
              <w:noProof/>
            </w:rPr>
            <w:t>(Carson, Zhou et al. 2017)</w:t>
          </w:r>
          <w:r>
            <w:fldChar w:fldCharType="end"/>
          </w:r>
          <w:r>
            <w:t>. Differences may be due to differences in flavour, nicotine content and/ or length of exposure (8 days versus approximately 3 minutes).</w:t>
          </w:r>
        </w:p>
        <w:p w14:paraId="4A4655A7" w14:textId="77777777" w:rsidR="00A74D41" w:rsidRDefault="00A74D41" w:rsidP="00A74D41">
          <w:pPr>
            <w:pStyle w:val="BodyText"/>
            <w:rPr>
              <w:rFonts w:eastAsia="Times New Roman" w:cs="Calibri"/>
            </w:rPr>
          </w:pPr>
          <w:r>
            <w:rPr>
              <w:rFonts w:eastAsia="Times New Roman" w:cs="Calibri"/>
            </w:rPr>
            <w:t>Excised bullfrog palates exposed to</w:t>
          </w:r>
          <w:r w:rsidRPr="00B55CCA">
            <w:rPr>
              <w:rFonts w:eastAsia="Times New Roman" w:cs="Calibri"/>
            </w:rPr>
            <w:t xml:space="preserve"> e-cigarettes showed a modest inhibitory effect </w:t>
          </w:r>
          <w:r>
            <w:rPr>
              <w:rFonts w:eastAsia="Times New Roman" w:cs="Calibri"/>
            </w:rPr>
            <w:t>on</w:t>
          </w:r>
          <w:r w:rsidRPr="00B55CCA">
            <w:rPr>
              <w:rFonts w:eastAsia="Times New Roman" w:cs="Calibri"/>
            </w:rPr>
            <w:t xml:space="preserve"> mucous transport velocity</w:t>
          </w:r>
          <w:r>
            <w:rPr>
              <w:rFonts w:eastAsia="Times New Roman" w:cs="Calibri"/>
            </w:rPr>
            <w:t xml:space="preserve"> compared with an air exposure </w:t>
          </w:r>
          <w:r>
            <w:rPr>
              <w:rFonts w:eastAsia="Times New Roman" w:cs="Calibri"/>
            </w:rPr>
            <w:fldChar w:fldCharType="begin"/>
          </w:r>
          <w:r>
            <w:rPr>
              <w:rFonts w:eastAsia="Times New Roman" w:cs="Calibri"/>
            </w:rPr>
            <w:instrText xml:space="preserve"> ADDIN EN.CITE &lt;EndNote&gt;&lt;Cite&gt;&lt;Author&gt;Palazzolo&lt;/Author&gt;&lt;Year&gt;2017&lt;/Year&gt;&lt;RecNum&gt;666&lt;/RecNum&gt;&lt;DisplayText&gt;(Palazzolo, Nelson et al. 2017)&lt;/DisplayText&gt;&lt;record&gt;&lt;rec-number&gt;666&lt;/rec-number&gt;&lt;foreign-keys&gt;&lt;key app="EN" db-id="9z05dz0praadfuee0zoxzedk9zfe5fxx50z5" timestamp="1521506885"&gt;666&lt;/key&gt;&lt;/foreign-keys&gt;&lt;ref-type name="Journal Article"&gt;17&lt;/ref-type&gt;&lt;contributors&gt;&lt;authors&gt;&lt;author&gt;Palazzolo, D. L.&lt;/author&gt;&lt;author&gt;Nelson, J. M.&lt;/author&gt;&lt;author&gt;Ely, E. A.&lt;/author&gt;&lt;author&gt;Crow, A. P.&lt;/author&gt;&lt;author&gt;Distin, J.&lt;/author&gt;&lt;author&gt;Kunigelis, S. C.&lt;/author&gt;&lt;/authors&gt;&lt;/contributors&gt;&lt;auth-address&gt;Department of Physiology, DeBusk College of Osteopathic Medicine, Lincoln Memorial University, Harrogate, TN, United States.&lt;/auth-address&gt;&lt;titles&gt;&lt;title&gt;The Effects of Electronic Cigarette (ECIG)-Generated Aerosol and Conventional Cigarette Smoke on the Mucociliary Transport Velocity (MTV) Using the Bullfrog (R. catesbiana) Palate Paradigm&lt;/title&gt;&lt;secondary-title&gt;Front Physiol&lt;/secondary-title&gt;&lt;alt-title&gt;Frontiers in physiology&lt;/alt-title&gt;&lt;/titles&gt;&lt;alt-periodical&gt;&lt;full-title&gt;Frontiers in physiology&lt;/full-title&gt;&lt;/alt-periodical&gt;&lt;pages&gt;1023&lt;/pages&gt;&lt;volume&gt;8&lt;/volume&gt;&lt;edition&gt;2018/01/13&lt;/edition&gt;&lt;keywords&gt;&lt;keyword&gt;E-liquid&lt;/keyword&gt;&lt;keyword&gt;Ecig&lt;/keyword&gt;&lt;keyword&gt;Mtv&lt;/keyword&gt;&lt;keyword&gt;Sem&lt;/keyword&gt;&lt;keyword&gt;aerosol&lt;/keyword&gt;&lt;keyword&gt;frog palate&lt;/keyword&gt;&lt;keyword&gt;smoking&lt;/keyword&gt;&lt;keyword&gt;vaping&lt;/keyword&gt;&lt;/keywords&gt;&lt;dates&gt;&lt;year&gt;2017&lt;/year&gt;&lt;/dates&gt;&lt;isbn&gt;1664-042X (Print)&amp;#xD;1664-042x&lt;/isbn&gt;&lt;accession-num&gt;29321743&lt;/accession-num&gt;&lt;urls&gt;&lt;related-urls&gt;&lt;url&gt;https://www.ncbi.nlm.nih.gov/pmc/articles/PMC5732188/pdf/fphys-08-01023.pdf&lt;/url&gt;&lt;/related-urls&gt;&lt;/urls&gt;&lt;custom2&gt;PMC5732188&lt;/custom2&gt;&lt;electronic-resource-num&gt;10.3389/fphys.2017.01023&lt;/electronic-resource-num&gt;&lt;remote-database-provider&gt;NLM&lt;/remote-database-provider&gt;&lt;language&gt;eng&lt;/language&gt;&lt;/record&gt;&lt;/Cite&gt;&lt;/EndNote&gt;</w:instrText>
          </w:r>
          <w:r>
            <w:rPr>
              <w:rFonts w:eastAsia="Times New Roman" w:cs="Calibri"/>
            </w:rPr>
            <w:fldChar w:fldCharType="separate"/>
          </w:r>
          <w:r>
            <w:rPr>
              <w:rFonts w:eastAsia="Times New Roman" w:cs="Calibri"/>
              <w:noProof/>
            </w:rPr>
            <w:t>(Palazzolo, Nelson et al. 2017)</w:t>
          </w:r>
          <w:r>
            <w:rPr>
              <w:rFonts w:eastAsia="Times New Roman" w:cs="Calibri"/>
            </w:rPr>
            <w:fldChar w:fldCharType="end"/>
          </w:r>
          <w:r w:rsidRPr="00B55CCA">
            <w:rPr>
              <w:rFonts w:eastAsia="Times New Roman" w:cs="Calibri"/>
            </w:rPr>
            <w:t>. However,</w:t>
          </w:r>
          <w:r>
            <w:rPr>
              <w:rFonts w:eastAsia="Times New Roman" w:cs="Calibri"/>
            </w:rPr>
            <w:t xml:space="preserve"> exposure to cigarette</w:t>
          </w:r>
          <w:r w:rsidRPr="00B55CCA">
            <w:rPr>
              <w:rFonts w:eastAsia="Times New Roman" w:cs="Calibri"/>
            </w:rPr>
            <w:t xml:space="preserve"> smoke completely inhibited mucous transport velocity during exposure and 24hr after exposure</w:t>
          </w:r>
          <w:r>
            <w:rPr>
              <w:rFonts w:eastAsia="Times New Roman" w:cs="Calibri"/>
            </w:rPr>
            <w:t xml:space="preserve"> </w:t>
          </w:r>
          <w:r>
            <w:rPr>
              <w:rFonts w:eastAsia="Times New Roman" w:cs="Calibri"/>
            </w:rPr>
            <w:fldChar w:fldCharType="begin"/>
          </w:r>
          <w:r>
            <w:rPr>
              <w:rFonts w:eastAsia="Times New Roman" w:cs="Calibri"/>
            </w:rPr>
            <w:instrText xml:space="preserve"> ADDIN EN.CITE &lt;EndNote&gt;&lt;Cite&gt;&lt;Author&gt;Palazzolo&lt;/Author&gt;&lt;Year&gt;2017&lt;/Year&gt;&lt;RecNum&gt;666&lt;/RecNum&gt;&lt;DisplayText&gt;(Palazzolo, Nelson et al. 2017)&lt;/DisplayText&gt;&lt;record&gt;&lt;rec-number&gt;666&lt;/rec-number&gt;&lt;foreign-keys&gt;&lt;key app="EN" db-id="9z05dz0praadfuee0zoxzedk9zfe5fxx50z5" timestamp="1521506885"&gt;666&lt;/key&gt;&lt;/foreign-keys&gt;&lt;ref-type name="Journal Article"&gt;17&lt;/ref-type&gt;&lt;contributors&gt;&lt;authors&gt;&lt;author&gt;Palazzolo, D. L.&lt;/author&gt;&lt;author&gt;Nelson, J. M.&lt;/author&gt;&lt;author&gt;Ely, E. A.&lt;/author&gt;&lt;author&gt;Crow, A. P.&lt;/author&gt;&lt;author&gt;Distin, J.&lt;/author&gt;&lt;author&gt;Kunigelis, S. C.&lt;/author&gt;&lt;/authors&gt;&lt;/contributors&gt;&lt;auth-address&gt;Department of Physiology, DeBusk College of Osteopathic Medicine, Lincoln Memorial University, Harrogate, TN, United States.&lt;/auth-address&gt;&lt;titles&gt;&lt;title&gt;The Effects of Electronic Cigarette (ECIG)-Generated Aerosol and Conventional Cigarette Smoke on the Mucociliary Transport Velocity (MTV) Using the Bullfrog (R. catesbiana) Palate Paradigm&lt;/title&gt;&lt;secondary-title&gt;Front Physiol&lt;/secondary-title&gt;&lt;alt-title&gt;Frontiers in physiology&lt;/alt-title&gt;&lt;/titles&gt;&lt;alt-periodical&gt;&lt;full-title&gt;Frontiers in physiology&lt;/full-title&gt;&lt;/alt-periodical&gt;&lt;pages&gt;1023&lt;/pages&gt;&lt;volume&gt;8&lt;/volume&gt;&lt;edition&gt;2018/01/13&lt;/edition&gt;&lt;keywords&gt;&lt;keyword&gt;E-liquid&lt;/keyword&gt;&lt;keyword&gt;Ecig&lt;/keyword&gt;&lt;keyword&gt;Mtv&lt;/keyword&gt;&lt;keyword&gt;Sem&lt;/keyword&gt;&lt;keyword&gt;aerosol&lt;/keyword&gt;&lt;keyword&gt;frog palate&lt;/keyword&gt;&lt;keyword&gt;smoking&lt;/keyword&gt;&lt;keyword&gt;vaping&lt;/keyword&gt;&lt;/keywords&gt;&lt;dates&gt;&lt;year&gt;2017&lt;/year&gt;&lt;/dates&gt;&lt;isbn&gt;1664-042X (Print)&amp;#xD;1664-042x&lt;/isbn&gt;&lt;accession-num&gt;29321743&lt;/accession-num&gt;&lt;urls&gt;&lt;related-urls&gt;&lt;url&gt;https://www.ncbi.nlm.nih.gov/pmc/articles/PMC5732188/pdf/fphys-08-01023.pdf&lt;/url&gt;&lt;/related-urls&gt;&lt;/urls&gt;&lt;custom2&gt;PMC5732188&lt;/custom2&gt;&lt;electronic-resource-num&gt;10.3389/fphys.2017.01023&lt;/electronic-resource-num&gt;&lt;remote-database-provider&gt;NLM&lt;/remote-database-provider&gt;&lt;language&gt;eng&lt;/language&gt;&lt;/record&gt;&lt;/Cite&gt;&lt;/EndNote&gt;</w:instrText>
          </w:r>
          <w:r>
            <w:rPr>
              <w:rFonts w:eastAsia="Times New Roman" w:cs="Calibri"/>
            </w:rPr>
            <w:fldChar w:fldCharType="separate"/>
          </w:r>
          <w:r>
            <w:rPr>
              <w:rFonts w:eastAsia="Times New Roman" w:cs="Calibri"/>
              <w:noProof/>
            </w:rPr>
            <w:t>(Palazzolo, Nelson et al. 2017)</w:t>
          </w:r>
          <w:r>
            <w:rPr>
              <w:rFonts w:eastAsia="Times New Roman" w:cs="Calibri"/>
            </w:rPr>
            <w:fldChar w:fldCharType="end"/>
          </w:r>
          <w:r w:rsidRPr="00B55CCA">
            <w:rPr>
              <w:rFonts w:eastAsia="Times New Roman" w:cs="Calibri"/>
            </w:rPr>
            <w:t xml:space="preserve">. </w:t>
          </w:r>
          <w:r>
            <w:rPr>
              <w:rFonts w:eastAsia="Times New Roman" w:cs="Calibri"/>
            </w:rPr>
            <w:t xml:space="preserve">While visual assessment of the palates showed no </w:t>
          </w:r>
          <w:r w:rsidRPr="00B55CCA">
            <w:rPr>
              <w:rFonts w:eastAsia="Times New Roman" w:cs="Calibri"/>
            </w:rPr>
            <w:t>effect of cigarette or e-cigarette exposure on submucosal architecture (collagen was unaffected</w:t>
          </w:r>
          <w:r>
            <w:rPr>
              <w:rFonts w:eastAsia="Times New Roman" w:cs="Calibri"/>
            </w:rPr>
            <w:t>)</w:t>
          </w:r>
          <w:r w:rsidRPr="00B55CCA">
            <w:rPr>
              <w:rFonts w:eastAsia="Times New Roman" w:cs="Calibri"/>
            </w:rPr>
            <w:t xml:space="preserve">, </w:t>
          </w:r>
          <w:r>
            <w:rPr>
              <w:rFonts w:eastAsia="Times New Roman" w:cs="Calibri"/>
            </w:rPr>
            <w:t>s</w:t>
          </w:r>
          <w:r w:rsidRPr="00B55CCA">
            <w:rPr>
              <w:rFonts w:eastAsia="Times New Roman" w:cs="Calibri"/>
            </w:rPr>
            <w:t>moke-exposed palates appeared to be thinner due to epithelial disruption</w:t>
          </w:r>
          <w:r>
            <w:rPr>
              <w:rFonts w:eastAsia="Times New Roman" w:cs="Calibri"/>
            </w:rPr>
            <w:t xml:space="preserve"> </w:t>
          </w:r>
          <w:r>
            <w:rPr>
              <w:rFonts w:eastAsia="Times New Roman" w:cs="Calibri"/>
            </w:rPr>
            <w:fldChar w:fldCharType="begin"/>
          </w:r>
          <w:r>
            <w:rPr>
              <w:rFonts w:eastAsia="Times New Roman" w:cs="Calibri"/>
            </w:rPr>
            <w:instrText xml:space="preserve"> ADDIN EN.CITE &lt;EndNote&gt;&lt;Cite&gt;&lt;Author&gt;Palazzolo&lt;/Author&gt;&lt;Year&gt;2017&lt;/Year&gt;&lt;RecNum&gt;666&lt;/RecNum&gt;&lt;DisplayText&gt;(Palazzolo, Nelson et al. 2017)&lt;/DisplayText&gt;&lt;record&gt;&lt;rec-number&gt;666&lt;/rec-number&gt;&lt;foreign-keys&gt;&lt;key app="EN" db-id="9z05dz0praadfuee0zoxzedk9zfe5fxx50z5" timestamp="1521506885"&gt;666&lt;/key&gt;&lt;/foreign-keys&gt;&lt;ref-type name="Journal Article"&gt;17&lt;/ref-type&gt;&lt;contributors&gt;&lt;authors&gt;&lt;author&gt;Palazzolo, D. L.&lt;/author&gt;&lt;author&gt;Nelson, J. M.&lt;/author&gt;&lt;author&gt;Ely, E. A.&lt;/author&gt;&lt;author&gt;Crow, A. P.&lt;/author&gt;&lt;author&gt;Distin, J.&lt;/author&gt;&lt;author&gt;Kunigelis, S. C.&lt;/author&gt;&lt;/authors&gt;&lt;/contributors&gt;&lt;auth-address&gt;Department of Physiology, DeBusk College of Osteopathic Medicine, Lincoln Memorial University, Harrogate, TN, United States.&lt;/auth-address&gt;&lt;titles&gt;&lt;title&gt;The Effects of Electronic Cigarette (ECIG)-Generated Aerosol and Conventional Cigarette Smoke on the Mucociliary Transport Velocity (MTV) Using the Bullfrog (R. catesbiana) Palate Paradigm&lt;/title&gt;&lt;secondary-title&gt;Front Physiol&lt;/secondary-title&gt;&lt;alt-title&gt;Frontiers in physiology&lt;/alt-title&gt;&lt;/titles&gt;&lt;alt-periodical&gt;&lt;full-title&gt;Frontiers in physiology&lt;/full-title&gt;&lt;/alt-periodical&gt;&lt;pages&gt;1023&lt;/pages&gt;&lt;volume&gt;8&lt;/volume&gt;&lt;edition&gt;2018/01/13&lt;/edition&gt;&lt;keywords&gt;&lt;keyword&gt;E-liquid&lt;/keyword&gt;&lt;keyword&gt;Ecig&lt;/keyword&gt;&lt;keyword&gt;Mtv&lt;/keyword&gt;&lt;keyword&gt;Sem&lt;/keyword&gt;&lt;keyword&gt;aerosol&lt;/keyword&gt;&lt;keyword&gt;frog palate&lt;/keyword&gt;&lt;keyword&gt;smoking&lt;/keyword&gt;&lt;keyword&gt;vaping&lt;/keyword&gt;&lt;/keywords&gt;&lt;dates&gt;&lt;year&gt;2017&lt;/year&gt;&lt;/dates&gt;&lt;isbn&gt;1664-042X (Print)&amp;#xD;1664-042x&lt;/isbn&gt;&lt;accession-num&gt;29321743&lt;/accession-num&gt;&lt;urls&gt;&lt;related-urls&gt;&lt;url&gt;https://www.ncbi.nlm.nih.gov/pmc/articles/PMC5732188/pdf/fphys-08-01023.pdf&lt;/url&gt;&lt;/related-urls&gt;&lt;/urls&gt;&lt;custom2&gt;PMC5732188&lt;/custom2&gt;&lt;electronic-resource-num&gt;10.3389/fphys.2017.01023&lt;/electronic-resource-num&gt;&lt;remote-database-provider&gt;NLM&lt;/remote-database-provider&gt;&lt;language&gt;eng&lt;/language&gt;&lt;/record&gt;&lt;/Cite&gt;&lt;/EndNote&gt;</w:instrText>
          </w:r>
          <w:r>
            <w:rPr>
              <w:rFonts w:eastAsia="Times New Roman" w:cs="Calibri"/>
            </w:rPr>
            <w:fldChar w:fldCharType="separate"/>
          </w:r>
          <w:r>
            <w:rPr>
              <w:rFonts w:eastAsia="Times New Roman" w:cs="Calibri"/>
              <w:noProof/>
            </w:rPr>
            <w:t>(Palazzolo, Nelson et al. 2017)</w:t>
          </w:r>
          <w:r>
            <w:rPr>
              <w:rFonts w:eastAsia="Times New Roman" w:cs="Calibri"/>
            </w:rPr>
            <w:fldChar w:fldCharType="end"/>
          </w:r>
          <w:r w:rsidRPr="00B55CCA">
            <w:rPr>
              <w:rFonts w:eastAsia="Times New Roman" w:cs="Calibri"/>
            </w:rPr>
            <w:t>.</w:t>
          </w:r>
          <w:r>
            <w:rPr>
              <w:rFonts w:eastAsia="Times New Roman" w:cs="Calibri"/>
            </w:rPr>
            <w:t xml:space="preserve"> Thus, cigarette smoke appears to have a more detrimental effect on mucosal production and transport than e-cigarettes </w:t>
          </w:r>
          <w:r>
            <w:rPr>
              <w:rFonts w:eastAsia="Times New Roman" w:cs="Calibri"/>
            </w:rPr>
            <w:fldChar w:fldCharType="begin">
              <w:fldData xml:space="preserve">PEVuZE5vdGU+PENpdGU+PEF1dGhvcj5MYXViZTwvQXV0aG9yPjxZZWFyPjIwMTc8L1llYXI+PFJl
Y051bT4xMDYwPC9SZWNOdW0+PERpc3BsYXlUZXh0PihDYXJzb24sIFpob3UgZXQgYWwuIDIwMTcs
IExhdWJlLCBBZnNoYXItTW9oYWplciBldCBhbC4gMjAxNywgUGFsYXp6b2xvLCBOZWxzb24gZXQg
YWwuIDIwMTcsIFJlaW5pa292YWl0ZSwgUm9kcmlndWV6IGV0IGFsLiAyMDE4KTwvRGlzcGxheVRl
eHQ+PHJlY29yZD48cmVjLW51bWJlcj4xMDYwPC9yZWMtbnVtYmVyPjxmb3JlaWduLWtleXM+PGtl
eSBhcHA9IkVOIiBkYi1pZD0iOXowNWR6MHByYWFkZnVlZTB6b3h6ZWRrOXpmZTVmeHg1MHo1IiB0
aW1lc3RhbXA9IjE1MjE1MDY5OTEiPjEwNjA8L2tleT48L2ZvcmVpZ24ta2V5cz48cmVmLXR5cGUg
bmFtZT0iSm91cm5hbCBBcnRpY2xlIj4xNzwvcmVmLXR5cGU+PGNvbnRyaWJ1dG9ycz48YXV0aG9y
cz48YXV0aG9yPkxhdWJlLCBCLiBMLjwvYXV0aG9yPjxhdXRob3I+QWZzaGFyLU1vaGFqZXIsIE4u
PC9hdXRob3I+PGF1dGhvcj5Lb2VobGVyLCBLLjwvYXV0aG9yPjxhdXRob3I+Q2hlbiwgRy48L2F1
dGhvcj48YXV0aG9yPkxhemFydXMsIFAuPC9hdXRob3I+PGF1dGhvcj5Db2xsYWNvLCBKLiBNLjwv
YXV0aG9yPjxhdXRob3I+TWNHcmF0aC1Nb3Jyb3csIFMuIEEuPC9hdXRob3I+PC9hdXRob3JzPjwv
Y29udHJpYnV0b3JzPjxhdXRoLWFkZHJlc3M+YSBEZXBhcnRtZW50IG9mIFBlZGlhdHJpY3MgLCBK
b2hucyBIb3BraW5zIFVuaXZlcnNpdHkgU2Nob29sIG9mIE1lZGljaW5lICwgQmFsdGltb3JlICwg
TUQgLCBVU0EuJiN4RDtiIERlcGFydG1lbnQgb2YgRW52aXJvbm1lbnRhbCBIZWFsdGggU2NpZW5j
ZXMgLCBKb2hucyBIb3BraW5zIFVuaXZlcnNpdHkgQmxvb21iZXJnIFNjaG9vbCBvZiBQdWJsaWMg
SGVhbHRoICwgQmFsdGltb3JlICwgTUQgLCBVU0EuJiN4RDtjIERlcGFydG1lbnQgb2YgUGhhcm1h
Y2V1dGljYWwgU2NpZW5jZSAsIFdhc2hpbmd0b24gU3RhdGUgVW5pdmVyc2l0eSAsIFNwb2thbmUg
LCBXQSAsIFVTQS48L2F1dGgtYWRkcmVzcz48dGl0bGVzPjx0aXRsZT5BY3V0ZSBhbmQgY2hyb25p
YyBpbiB2aXZvIGVmZmVjdHMgb2YgZXhwb3N1cmUgdG8gbmljb3RpbmUgYW5kIHByb3B5bGVuZSBn
bHljb2wgZnJvbSBhbiBFLWNpZ2FyZXR0ZSBvbiBtdWNvY2lsaWFyeSBjbGVhcmFuY2UgaW4gYSBt
dXJpbmUgbW9kZWw8L3RpdGxlPjxzZWNvbmRhcnktdGl0bGU+SW5oYWwgVG94aWNvbDwvc2Vjb25k
YXJ5LXRpdGxlPjxhbHQtdGl0bGU+SW5oYWxhdGlvbiB0b3hpY29sb2d5PC9hbHQtdGl0bGU+PC90
aXRsZXM+PHBlcmlvZGljYWw+PGZ1bGwtdGl0bGU+SW5oYWwgVG94aWNvbDwvZnVsbC10aXRsZT48
YWJici0xPkluaGFsYXRpb24gdG94aWNvbG9neTwvYWJici0xPjwvcGVyaW9kaWNhbD48YWx0LXBl
cmlvZGljYWw+PGZ1bGwtdGl0bGU+SW5oYWwgVG94aWNvbDwvZnVsbC10aXRsZT48YWJici0xPklu
aGFsYXRpb24gdG94aWNvbG9neTwvYWJici0xPjwvYWx0LXBlcmlvZGljYWw+PHBhZ2VzPjE5Ny0y
MDU8L3BhZ2VzPjx2b2x1bWU+Mjk8L3ZvbHVtZT48bnVtYmVyPjU8L251bWJlcj48ZWRpdGlvbj4y
MDE3LzA2LzI4PC9lZGl0aW9uPjxrZXl3b3Jkcz48a2V5d29yZD5FLWNpZ2FyZXR0ZSBlbWlzc2lv
bnM8L2tleXdvcmQ+PGtleXdvcmQ+YWN1dGUgZXhwb3N1cmU8L2tleXdvcmQ+PGtleXdvcmQ+Y2hy
b25pYyBleHBvc3VyZTwva2V5d29yZD48a2V5d29yZD5tdWNvY2lsaWFyeSBjbGVhcmFuY2U8L2tl
eXdvcmQ+PGtleXdvcmQ+bXVyaW5lIG1vZGVsPC9rZXl3b3JkPjwva2V5d29yZHM+PGRhdGVzPjx5
ZWFyPjIwMTc8L3llYXI+PHB1Yi1kYXRlcz48ZGF0ZT5BcHI8L2RhdGU+PC9wdWItZGF0ZXM+PC9k
YXRlcz48aXNibj4wODk1LTgzNzg8L2lzYm4+PGFjY2Vzc2lvbi1udW0+Mjg2NTE0NDY8L2FjY2Vz
c2lvbi1udW0+PHVybHM+PHJlbGF0ZWQtdXJscz48dXJsPmh0dHBzOi8vd3d3LnRhbmRmb25saW5l
LmNvbS9kb2kvcGRmLzEwLjEwODAvMDg5NTgzNzguMjAxNy4xMzM2NTg1P25lZWRBY2Nlc3M9dHJ1
ZTwvdXJsPjwvcmVsYXRlZC11cmxzPjwvdXJscz48Y3VzdG9tMj5QTUM1NTUzNjE0PC9jdXN0b20y
PjxjdXN0b202Pk5JSE1TODkyNzk1PC9jdXN0b202PjxlbGVjdHJvbmljLXJlc291cmNlLW51bT4x
MC4xMDgwLzA4OTU4Mzc4LjIwMTcuMTMzNjU4NTwvZWxlY3Ryb25pYy1yZXNvdXJjZS1udW0+PHJl
bW90ZS1kYXRhYmFzZS1wcm92aWRlcj5OTE08L3JlbW90ZS1kYXRhYmFzZS1wcm92aWRlcj48bGFu
Z3VhZ2U+ZW5nPC9sYW5ndWFnZT48L3JlY29yZD48L0NpdGU+PENpdGU+PEF1dGhvcj5QYWxhenpv
bG88L0F1dGhvcj48WWVhcj4yMDE3PC9ZZWFyPjxSZWNOdW0+NjY2PC9SZWNOdW0+PHJlY29yZD48
cmVjLW51bWJlcj42NjY8L3JlYy1udW1iZXI+PGZvcmVpZ24ta2V5cz48a2V5IGFwcD0iRU4iIGRi
LWlkPSI5ejA1ZHowcHJhYWRmdWVlMHpveHplZGs5emZlNWZ4eDUwejUiIHRpbWVzdGFtcD0iMTUy
MTUwNjg4NSI+NjY2PC9rZXk+PC9mb3JlaWduLWtleXM+PHJlZi10eXBlIG5hbWU9IkpvdXJuYWwg
QXJ0aWNsZSI+MTc8L3JlZi10eXBlPjxjb250cmlidXRvcnM+PGF1dGhvcnM+PGF1dGhvcj5QYWxh
enpvbG8sIEQuIEwuPC9hdXRob3I+PGF1dGhvcj5OZWxzb24sIEouIE0uPC9hdXRob3I+PGF1dGhv
cj5FbHksIEUuIEEuPC9hdXRob3I+PGF1dGhvcj5Dcm93LCBBLiBQLjwvYXV0aG9yPjxhdXRob3I+
RGlzdGluLCBKLjwvYXV0aG9yPjxhdXRob3I+S3VuaWdlbGlzLCBTLiBDLjwvYXV0aG9yPjwvYXV0
aG9ycz48L2NvbnRyaWJ1dG9ycz48YXV0aC1hZGRyZXNzPkRlcGFydG1lbnQgb2YgUGh5c2lvbG9n
eSwgRGVCdXNrIENvbGxlZ2Ugb2YgT3N0ZW9wYXRoaWMgTWVkaWNpbmUsIExpbmNvbG4gTWVtb3Jp
YWwgVW5pdmVyc2l0eSwgSGFycm9nYXRlLCBUTiwgVW5pdGVkIFN0YXRlcy48L2F1dGgtYWRkcmVz
cz48dGl0bGVzPjx0aXRsZT5UaGUgRWZmZWN0cyBvZiBFbGVjdHJvbmljIENpZ2FyZXR0ZSAoRUNJ
RyktR2VuZXJhdGVkIEFlcm9zb2wgYW5kIENvbnZlbnRpb25hbCBDaWdhcmV0dGUgU21va2Ugb24g
dGhlIE11Y29jaWxpYXJ5IFRyYW5zcG9ydCBWZWxvY2l0eSAoTVRWKSBVc2luZyB0aGUgQnVsbGZy
b2cgKFIuIGNhdGVzYmlhbmEpIFBhbGF0ZSBQYXJhZGlnbTwvdGl0bGU+PHNlY29uZGFyeS10aXRs
ZT5Gcm9udCBQaHlzaW9sPC9zZWNvbmRhcnktdGl0bGU+PGFsdC10aXRsZT5Gcm9udGllcnMgaW4g
cGh5c2lvbG9neTwvYWx0LXRpdGxlPjwvdGl0bGVzPjxhbHQtcGVyaW9kaWNhbD48ZnVsbC10aXRs
ZT5Gcm9udGllcnMgaW4gcGh5c2lvbG9neTwvZnVsbC10aXRsZT48L2FsdC1wZXJpb2RpY2FsPjxw
YWdlcz4xMDIzPC9wYWdlcz48dm9sdW1lPjg8L3ZvbHVtZT48ZWRpdGlvbj4yMDE4LzAxLzEzPC9l
ZGl0aW9uPjxrZXl3b3Jkcz48a2V5d29yZD5FLWxpcXVpZDwva2V5d29yZD48a2V5d29yZD5FY2ln
PC9rZXl3b3JkPjxrZXl3b3JkPk10djwva2V5d29yZD48a2V5d29yZD5TZW08L2tleXdvcmQ+PGtl
eXdvcmQ+YWVyb3NvbDwva2V5d29yZD48a2V5d29yZD5mcm9nIHBhbGF0ZTwva2V5d29yZD48a2V5
d29yZD5zbW9raW5nPC9rZXl3b3JkPjxrZXl3b3JkPnZhcGluZzwva2V5d29yZD48L2tleXdvcmRz
PjxkYXRlcz48eWVhcj4yMDE3PC95ZWFyPjwvZGF0ZXM+PGlzYm4+MTY2NC0wNDJYIChQcmludCkm
I3hEOzE2NjQtMDQyeDwvaXNibj48YWNjZXNzaW9uLW51bT4yOTMyMTc0MzwvYWNjZXNzaW9uLW51
bT48dXJscz48cmVsYXRlZC11cmxzPjx1cmw+aHR0cHM6Ly93d3cubmNiaS5ubG0ubmloLmdvdi9w
bWMvYXJ0aWNsZXMvUE1DNTczMjE4OC9wZGYvZnBoeXMtMDgtMDEwMjMucGRmPC91cmw+PC9yZWxh
dGVkLXVybHM+PC91cmxzPjxjdXN0b20yPlBNQzU3MzIxODg8L2N1c3RvbTI+PGVsZWN0cm9uaWMt
cmVzb3VyY2UtbnVtPjEwLjMzODkvZnBoeXMuMjAxNy4wMTAyMzwvZWxlY3Ryb25pYy1yZXNvdXJj
ZS1udW0+PHJlbW90ZS1kYXRhYmFzZS1wcm92aWRlcj5OTE08L3JlbW90ZS1kYXRhYmFzZS1wcm92
aWRlcj48bGFuZ3VhZ2U+ZW5nPC9sYW5ndWFnZT48L3JlY29yZD48L0NpdGU+PENpdGU+PEF1dGhv
cj5SZWluaWtvdmFpdGU8L0F1dGhvcj48WWVhcj4yMDE4PC9ZZWFyPjxSZWNOdW0+NTY5PC9SZWNO
dW0+PHJlY29yZD48cmVjLW51bWJlcj41Njk8L3JlYy1udW1iZXI+PGZvcmVpZ24ta2V5cz48a2V5
IGFwcD0iRU4iIGRiLWlkPSI5ejA1ZHowcHJhYWRmdWVlMHpveHplZGs5emZlNWZ4eDUwejUiIHRp
bWVzdGFtcD0iMTUyMTUwNjg2MCI+NTY5PC9rZXk+PGtleSBhcHA9IkVOV2ViIiBkYi1pZD0iIj4w
PC9rZXk+PC9mb3JlaWduLWtleXM+PHJlZi10eXBlIG5hbWU9IkpvdXJuYWwgQXJ0aWNsZSI+MTc8
L3JlZi10eXBlPjxjb250cmlidXRvcnM+PGF1dGhvcnM+PGF1dGhvcj5SZWluaWtvdmFpdGUsIFYu
PC9hdXRob3I+PGF1dGhvcj5Sb2RyaWd1ZXosIEkuIEUuPC9hdXRob3I+PGF1dGhvcj5LYXJvb3Is
IFYuPC9hdXRob3I+PGF1dGhvcj5SYXUsIEEuPC9hdXRob3I+PGF1dGhvcj5UcmluaCwgQi4gQi48
L2F1dGhvcj48YXV0aG9yPkRlbGV5aWFubmlzLCBGLiBXLjwvYXV0aG9yPjxhdXRob3I+VGFyYXNl
dmljaWVuZS1TdGV3YXJ0LCBMLjwvYXV0aG9yPjwvYXV0aG9ycz48L2NvbnRyaWJ1dG9ycz48YXV0
aC1hZGRyZXNzPkRlcGFydG1lbnQgb2YgU3VyZ2VyeSwgQXVyb3JhLCBDb2xvcmFkby48L2F1dGgt
YWRkcmVzcz48dGl0bGVzPjx0aXRsZT5UaGUgZWZmZWN0cyBvZiBlbGVjdHJvbmljIGNpZ2FyZXR0
ZSB2YXBvdXIgb24gdGhlIGx1bmc6IGRpcmVjdCBjb21wYXJpc29uIHRvIHRvYmFjY28gc21va2U8
L3RpdGxlPjxzZWNvbmRhcnktdGl0bGU+RXVyIFJlc3BpciBKPC9zZWNvbmRhcnktdGl0bGU+PGFs
dC10aXRsZT5UaGUgRXVyb3BlYW4gcmVzcGlyYXRvcnkgam91cm5hbDwvYWx0LXRpdGxlPjwvdGl0
bGVzPjxwZXJpb2RpY2FsPjxmdWxsLXRpdGxlPkV1ciBSZXNwaXIgSjwvZnVsbC10aXRsZT48YWJi
ci0xPlRoZSBFdXJvcGVhbiByZXNwaXJhdG9yeSBqb3VybmFsPC9hYmJyLTE+PC9wZXJpb2RpY2Fs
PjxhbHQtcGVyaW9kaWNhbD48ZnVsbC10aXRsZT5FdXIgUmVzcGlyIEo8L2Z1bGwtdGl0bGU+PGFi
YnItMT5UaGUgRXVyb3BlYW4gcmVzcGlyYXRvcnkgam91cm5hbDwvYWJici0xPjwvYWx0LXBlcmlv
ZGljYWw+PGVkaXRpb24+MjAxOC8wMi8xNzwvZWRpdGlvbj48ZGF0ZXM+PHllYXI+MjAxODwveWVh
cj48cHViLWRhdGVzPjxkYXRlPkZlYiAxNTwvZGF0ZT48L3B1Yi1kYXRlcz48L2RhdGVzPjxpc2Ju
PjA5MDMtMTkzNjwvaXNibj48YWNjZXNzaW9uLW51bT4yOTQ0OTQyMzwvYWNjZXNzaW9uLW51bT48
dXJscz48L3VybHM+PGVsZWN0cm9uaWMtcmVzb3VyY2UtbnVtPjEwLjExODMvMTM5OTMwMDMuMDE2
NjEtMjAxNzwvZWxlY3Ryb25pYy1yZXNvdXJjZS1udW0+PHJlbW90ZS1kYXRhYmFzZS1wcm92aWRl
cj5OTE08L3JlbW90ZS1kYXRhYmFzZS1wcm92aWRlcj48bGFuZ3VhZ2U+ZW5nPC9sYW5ndWFnZT48
L3JlY29yZD48L0NpdGU+PENpdGU+PEF1dGhvcj5DYXJzb248L0F1dGhvcj48WWVhcj4yMDE3PC9Z
ZWFyPjxSZWNOdW0+MTE3MzwvUmVjTnVtPjxyZWNvcmQ+PHJlYy1udW1iZXI+MTE3MzwvcmVjLW51
bWJlcj48Zm9yZWlnbi1rZXlzPjxrZXkgYXBwPSJFTiIgZGItaWQ9Ijl6MDVkejBwcmFhZGZ1ZWUw
em94emVkazl6ZmU1Znh4NTB6NSIgdGltZXN0YW1wPSIxNTIxNTA3MDE3Ij4xMTczPC9rZXk+PGtl
eSBhcHA9IkVOV2ViIiBkYi1pZD0iIj4wPC9rZXk+PC9mb3JlaWduLWtleXM+PHJlZi10eXBlIG5h
bWU9IkpvdXJuYWwgQXJ0aWNsZSI+MTc8L3JlZi10eXBlPjxjb250cmlidXRvcnM+PGF1dGhvcnM+
PGF1dGhvcj5DYXJzb24sIEouIEwuPC9hdXRob3I+PGF1dGhvcj5aaG91LCBMLjwvYXV0aG9yPjxh
dXRob3I+QnJpZ2h0b24sIEwuPC9hdXRob3I+PGF1dGhvcj5NaWxscywgSy4gSC48L2F1dGhvcj48
YXV0aG9yPlpob3UsIEguPC9hdXRob3I+PGF1dGhvcj5KYXNwZXJzLCBJLjwvYXV0aG9yPjxhdXRo
b3I+SGF6dWNoYSwgTS48L2F1dGhvcj48L2F1dGhvcnM+PC9jb250cmlidXRvcnM+PGF1dGgtYWRk
cmVzcz5hIFRoZSBDZW50ZXIgZm9yIEVudmlyb25tZW50YWwgTWVkaWNpbmUsIEFzdGhtYSwgYW5k
IEx1bmcgQmlvbG9neSAsIFRoZSBVbml2ZXJzaXR5IG9mIE5vcnRoIENhcm9saW5hIGF0IENoYXBl
bCBIaWxsICwgQ2hhcGVsIEhpbGwgLCBOQyAsIFVTQS4mI3hEO2IgVGhlIERlcGFydG1lbnQgb2Yg
UGVkaWF0cmljcyAsIFRoZSBVbml2ZXJzaXR5IG9mIE5vcnRoIENhcm9saW5hIGF0IENoYXBlbCBI
aWxsICwgQ2hhcGVsIEhpbGwgLCBOQyAsIFVTQS4mI3hEO2MgVGhlIERlcGFydG1lbnQgb2YgQmlv
c3RhdGlzdGljcyAsIFRoZSBVbml2ZXJzaXR5IG9mIE5vcnRoIENhcm9saW5hIGF0IENoYXBlbCBI
aWxsICwgQ2hhcGVsIEhpbGwgLCBOQyAsIFVTQS4mI3hEO2QgVGhlIERlcGFydG1lbnQgb2YgTWVk
aWNpbmUgLCBUaGUgVW5pdmVyc2l0eSBvZiBOb3J0aCBDYXJvbGluYSBhdCBDaGFwZWwgSGlsbCAs
IENoYXBlbCBIaWxsICwgTkMgLCBVU0EuPC9hdXRoLWFkZHJlc3M+PHRpdGxlcz48dGl0bGU+VGVt
cG9yYWwgc3RydWN0dXJlL2Z1bmN0aW9uIHZhcmlhdGlvbiBpbiBjdWx0dXJlZCBkaWZmZXJlbnRp
YXRlZCBodW1hbiBuYXNhbCBlcGl0aGVsaXVtIGFzc29jaWF0ZWQgd2l0aCBhY3V0ZSBzaW5nbGUg
ZXhwb3N1cmUgdG8gdG9iYWNjbyBzbW9rZSBvciBFLWNpZ2FyZXR0ZSB2YXBvcjwvdGl0bGU+PHNl
Y29uZGFyeS10aXRsZT5JbmhhbCBUb3hpY29sPC9zZWNvbmRhcnktdGl0bGU+PGFsdC10aXRsZT5J
bmhhbGF0aW9uIHRveGljb2xvZ3k8L2FsdC10aXRsZT48L3RpdGxlcz48cGVyaW9kaWNhbD48ZnVs
bC10aXRsZT5JbmhhbCBUb3hpY29sPC9mdWxsLXRpdGxlPjxhYmJyLTE+SW5oYWxhdGlvbiB0b3hp
Y29sb2d5PC9hYmJyLTE+PC9wZXJpb2RpY2FsPjxhbHQtcGVyaW9kaWNhbD48ZnVsbC10aXRsZT5J
bmhhbCBUb3hpY29sPC9mdWxsLXRpdGxlPjxhYmJyLTE+SW5oYWxhdGlvbiB0b3hpY29sb2d5PC9h
YmJyLTE+PC9hbHQtcGVyaW9kaWNhbD48cGFnZXM+MTM3LTE0NDwvcGFnZXM+PHZvbHVtZT4yOTwv
dm9sdW1lPjxudW1iZXI+MzwvbnVtYmVyPjxlZGl0aW9uPjIwMTcvMDUvMDU8L2VkaXRpb24+PGtl
eXdvcmRzPjxrZXl3b3JkPkNlbGwgRGlmZmVyZW50aWF0aW9uPC9rZXl3b3JkPjxrZXl3b3JkPkNl
bGxzLCBDdWx0dXJlZDwva2V5d29yZD48a2V5d29yZD5DaWxpYS9kcnVnIGVmZmVjdHMvcGh5c2lv
bG9neTwva2V5d29yZD48a2V5d29yZD4qRWxlY3Ryb25pYyBOaWNvdGluZSBEZWxpdmVyeSBTeXN0
ZW1zPC9rZXl3b3JkPjxrZXl3b3JkPkh1bWFuczwva2V5d29yZD48a2V5d29yZD5NaWNyb3Njb3B5
LCBFbGVjdHJvbiwgU2Nhbm5pbmc8L2tleXdvcmQ+PGtleXdvcmQ+TXVjb2NpbGlhcnkgQ2xlYXJh
bmNlPC9rZXl3b3JkPjxrZXl3b3JkPk5hc2FsIE11Y29zYS9jeXRvbG9neS8qZHJ1ZyBlZmZlY3Rz
L21ldGFib2xpc20vdWx0cmFzdHJ1Y3R1cmU8L2tleXdvcmQ+PGtleXdvcmQ+Tml0cmljIE94aWRl
L21ldGFib2xpc208L2tleXdvcmQ+PGtleXdvcmQ+U21va2UvKmFkdmVyc2UgZWZmZWN0czwva2V5
d29yZD48a2V5d29yZD4qVG9iYWNjbzwva2V5d29yZD48a2V5d29yZD4qQ2lsaWE8L2tleXdvcmQ+
PGtleXdvcmQ+KmFpcndheSBlcGl0aGVsaXVtPC9rZXl3b3JkPjxrZXl3b3JkPipjaWxpYXJ5IGJl
YXQgZnJlcXVlbmN5PC9rZXl3b3JkPjxrZXl3b3JkPiplLWNpZ2FyZXR0ZTwva2V5d29yZD48a2V5
d29yZD4qdG9iYWNjbyBjaWdhcmV0dGUgc21va2U8L2tleXdvcmQ+PC9rZXl3b3Jkcz48ZGF0ZXM+
PHllYXI+MjAxNzwveWVhcj48cHViLWRhdGVzPjxkYXRlPkZlYjwvZGF0ZT48L3B1Yi1kYXRlcz48
L2RhdGVzPjxpc2JuPjA4OTUtODM3ODwvaXNibj48YWNjZXNzaW9uLW51bT4yODQ3MDE0MDwvYWNj
ZXNzaW9uLW51bT48dXJscz48cmVsYXRlZC11cmxzPjx1cmw+aHR0cHM6Ly93d3cudGFuZGZvbmxp
bmUuY29tL2RvaS9wZGYvMTAuMTA4MC8wODk1ODM3OC4yMDE3LjEzMTg5ODU/bmVlZEFjY2Vzcz10
cnVlPC91cmw+PC9yZWxhdGVkLXVybHM+PC91cmxzPjxjdXN0b20yPlBNQzU1NDUxMTE8L2N1c3Rv
bTI+PGN1c3RvbTY+TklITVM4Nzg3MDQ8L2N1c3RvbTY+PGVsZWN0cm9uaWMtcmVzb3VyY2UtbnVt
PjEwLjEwODAvMDg5NTgzNzguMjAxNy4xMzE4OTg1PC9lbGVjdHJvbmljLXJlc291cmNlLW51bT48
cmVtb3RlLWRhdGFiYXNlLXByb3ZpZGVyPk5MTTwvcmVtb3RlLWRhdGFiYXNlLXByb3ZpZGVyPjxs
YW5ndWFnZT5lbmc8L2xhbmd1YWdlPjwvcmVjb3JkPjwvQ2l0ZT48L0VuZE5vdGU+
</w:fldData>
            </w:fldChar>
          </w:r>
          <w:r>
            <w:rPr>
              <w:rFonts w:eastAsia="Times New Roman" w:cs="Calibri"/>
            </w:rPr>
            <w:instrText xml:space="preserve"> ADDIN EN.CITE </w:instrText>
          </w:r>
          <w:r>
            <w:rPr>
              <w:rFonts w:eastAsia="Times New Roman" w:cs="Calibri"/>
            </w:rPr>
            <w:fldChar w:fldCharType="begin">
              <w:fldData xml:space="preserve">PEVuZE5vdGU+PENpdGU+PEF1dGhvcj5MYXViZTwvQXV0aG9yPjxZZWFyPjIwMTc8L1llYXI+PFJl
Y051bT4xMDYwPC9SZWNOdW0+PERpc3BsYXlUZXh0PihDYXJzb24sIFpob3UgZXQgYWwuIDIwMTcs
IExhdWJlLCBBZnNoYXItTW9oYWplciBldCBhbC4gMjAxNywgUGFsYXp6b2xvLCBOZWxzb24gZXQg
YWwuIDIwMTcsIFJlaW5pa292YWl0ZSwgUm9kcmlndWV6IGV0IGFsLiAyMDE4KTwvRGlzcGxheVRl
eHQ+PHJlY29yZD48cmVjLW51bWJlcj4xMDYwPC9yZWMtbnVtYmVyPjxmb3JlaWduLWtleXM+PGtl
eSBhcHA9IkVOIiBkYi1pZD0iOXowNWR6MHByYWFkZnVlZTB6b3h6ZWRrOXpmZTVmeHg1MHo1IiB0
aW1lc3RhbXA9IjE1MjE1MDY5OTEiPjEwNjA8L2tleT48L2ZvcmVpZ24ta2V5cz48cmVmLXR5cGUg
bmFtZT0iSm91cm5hbCBBcnRpY2xlIj4xNzwvcmVmLXR5cGU+PGNvbnRyaWJ1dG9ycz48YXV0aG9y
cz48YXV0aG9yPkxhdWJlLCBCLiBMLjwvYXV0aG9yPjxhdXRob3I+QWZzaGFyLU1vaGFqZXIsIE4u
PC9hdXRob3I+PGF1dGhvcj5Lb2VobGVyLCBLLjwvYXV0aG9yPjxhdXRob3I+Q2hlbiwgRy48L2F1
dGhvcj48YXV0aG9yPkxhemFydXMsIFAuPC9hdXRob3I+PGF1dGhvcj5Db2xsYWNvLCBKLiBNLjwv
YXV0aG9yPjxhdXRob3I+TWNHcmF0aC1Nb3Jyb3csIFMuIEEuPC9hdXRob3I+PC9hdXRob3JzPjwv
Y29udHJpYnV0b3JzPjxhdXRoLWFkZHJlc3M+YSBEZXBhcnRtZW50IG9mIFBlZGlhdHJpY3MgLCBK
b2hucyBIb3BraW5zIFVuaXZlcnNpdHkgU2Nob29sIG9mIE1lZGljaW5lICwgQmFsdGltb3JlICwg
TUQgLCBVU0EuJiN4RDtiIERlcGFydG1lbnQgb2YgRW52aXJvbm1lbnRhbCBIZWFsdGggU2NpZW5j
ZXMgLCBKb2hucyBIb3BraW5zIFVuaXZlcnNpdHkgQmxvb21iZXJnIFNjaG9vbCBvZiBQdWJsaWMg
SGVhbHRoICwgQmFsdGltb3JlICwgTUQgLCBVU0EuJiN4RDtjIERlcGFydG1lbnQgb2YgUGhhcm1h
Y2V1dGljYWwgU2NpZW5jZSAsIFdhc2hpbmd0b24gU3RhdGUgVW5pdmVyc2l0eSAsIFNwb2thbmUg
LCBXQSAsIFVTQS48L2F1dGgtYWRkcmVzcz48dGl0bGVzPjx0aXRsZT5BY3V0ZSBhbmQgY2hyb25p
YyBpbiB2aXZvIGVmZmVjdHMgb2YgZXhwb3N1cmUgdG8gbmljb3RpbmUgYW5kIHByb3B5bGVuZSBn
bHljb2wgZnJvbSBhbiBFLWNpZ2FyZXR0ZSBvbiBtdWNvY2lsaWFyeSBjbGVhcmFuY2UgaW4gYSBt
dXJpbmUgbW9kZWw8L3RpdGxlPjxzZWNvbmRhcnktdGl0bGU+SW5oYWwgVG94aWNvbDwvc2Vjb25k
YXJ5LXRpdGxlPjxhbHQtdGl0bGU+SW5oYWxhdGlvbiB0b3hpY29sb2d5PC9hbHQtdGl0bGU+PC90
aXRsZXM+PHBlcmlvZGljYWw+PGZ1bGwtdGl0bGU+SW5oYWwgVG94aWNvbDwvZnVsbC10aXRsZT48
YWJici0xPkluaGFsYXRpb24gdG94aWNvbG9neTwvYWJici0xPjwvcGVyaW9kaWNhbD48YWx0LXBl
cmlvZGljYWw+PGZ1bGwtdGl0bGU+SW5oYWwgVG94aWNvbDwvZnVsbC10aXRsZT48YWJici0xPklu
aGFsYXRpb24gdG94aWNvbG9neTwvYWJici0xPjwvYWx0LXBlcmlvZGljYWw+PHBhZ2VzPjE5Ny0y
MDU8L3BhZ2VzPjx2b2x1bWU+Mjk8L3ZvbHVtZT48bnVtYmVyPjU8L251bWJlcj48ZWRpdGlvbj4y
MDE3LzA2LzI4PC9lZGl0aW9uPjxrZXl3b3Jkcz48a2V5d29yZD5FLWNpZ2FyZXR0ZSBlbWlzc2lv
bnM8L2tleXdvcmQ+PGtleXdvcmQ+YWN1dGUgZXhwb3N1cmU8L2tleXdvcmQ+PGtleXdvcmQ+Y2hy
b25pYyBleHBvc3VyZTwva2V5d29yZD48a2V5d29yZD5tdWNvY2lsaWFyeSBjbGVhcmFuY2U8L2tl
eXdvcmQ+PGtleXdvcmQ+bXVyaW5lIG1vZGVsPC9rZXl3b3JkPjwva2V5d29yZHM+PGRhdGVzPjx5
ZWFyPjIwMTc8L3llYXI+PHB1Yi1kYXRlcz48ZGF0ZT5BcHI8L2RhdGU+PC9wdWItZGF0ZXM+PC9k
YXRlcz48aXNibj4wODk1LTgzNzg8L2lzYm4+PGFjY2Vzc2lvbi1udW0+Mjg2NTE0NDY8L2FjY2Vz
c2lvbi1udW0+PHVybHM+PHJlbGF0ZWQtdXJscz48dXJsPmh0dHBzOi8vd3d3LnRhbmRmb25saW5l
LmNvbS9kb2kvcGRmLzEwLjEwODAvMDg5NTgzNzguMjAxNy4xMzM2NTg1P25lZWRBY2Nlc3M9dHJ1
ZTwvdXJsPjwvcmVsYXRlZC11cmxzPjwvdXJscz48Y3VzdG9tMj5QTUM1NTUzNjE0PC9jdXN0b20y
PjxjdXN0b202Pk5JSE1TODkyNzk1PC9jdXN0b202PjxlbGVjdHJvbmljLXJlc291cmNlLW51bT4x
MC4xMDgwLzA4OTU4Mzc4LjIwMTcuMTMzNjU4NTwvZWxlY3Ryb25pYy1yZXNvdXJjZS1udW0+PHJl
bW90ZS1kYXRhYmFzZS1wcm92aWRlcj5OTE08L3JlbW90ZS1kYXRhYmFzZS1wcm92aWRlcj48bGFu
Z3VhZ2U+ZW5nPC9sYW5ndWFnZT48L3JlY29yZD48L0NpdGU+PENpdGU+PEF1dGhvcj5QYWxhenpv
bG88L0F1dGhvcj48WWVhcj4yMDE3PC9ZZWFyPjxSZWNOdW0+NjY2PC9SZWNOdW0+PHJlY29yZD48
cmVjLW51bWJlcj42NjY8L3JlYy1udW1iZXI+PGZvcmVpZ24ta2V5cz48a2V5IGFwcD0iRU4iIGRi
LWlkPSI5ejA1ZHowcHJhYWRmdWVlMHpveHplZGs5emZlNWZ4eDUwejUiIHRpbWVzdGFtcD0iMTUy
MTUwNjg4NSI+NjY2PC9rZXk+PC9mb3JlaWduLWtleXM+PHJlZi10eXBlIG5hbWU9IkpvdXJuYWwg
QXJ0aWNsZSI+MTc8L3JlZi10eXBlPjxjb250cmlidXRvcnM+PGF1dGhvcnM+PGF1dGhvcj5QYWxh
enpvbG8sIEQuIEwuPC9hdXRob3I+PGF1dGhvcj5OZWxzb24sIEouIE0uPC9hdXRob3I+PGF1dGhv
cj5FbHksIEUuIEEuPC9hdXRob3I+PGF1dGhvcj5Dcm93LCBBLiBQLjwvYXV0aG9yPjxhdXRob3I+
RGlzdGluLCBKLjwvYXV0aG9yPjxhdXRob3I+S3VuaWdlbGlzLCBTLiBDLjwvYXV0aG9yPjwvYXV0
aG9ycz48L2NvbnRyaWJ1dG9ycz48YXV0aC1hZGRyZXNzPkRlcGFydG1lbnQgb2YgUGh5c2lvbG9n
eSwgRGVCdXNrIENvbGxlZ2Ugb2YgT3N0ZW9wYXRoaWMgTWVkaWNpbmUsIExpbmNvbG4gTWVtb3Jp
YWwgVW5pdmVyc2l0eSwgSGFycm9nYXRlLCBUTiwgVW5pdGVkIFN0YXRlcy48L2F1dGgtYWRkcmVz
cz48dGl0bGVzPjx0aXRsZT5UaGUgRWZmZWN0cyBvZiBFbGVjdHJvbmljIENpZ2FyZXR0ZSAoRUNJ
RyktR2VuZXJhdGVkIEFlcm9zb2wgYW5kIENvbnZlbnRpb25hbCBDaWdhcmV0dGUgU21va2Ugb24g
dGhlIE11Y29jaWxpYXJ5IFRyYW5zcG9ydCBWZWxvY2l0eSAoTVRWKSBVc2luZyB0aGUgQnVsbGZy
b2cgKFIuIGNhdGVzYmlhbmEpIFBhbGF0ZSBQYXJhZGlnbTwvdGl0bGU+PHNlY29uZGFyeS10aXRs
ZT5Gcm9udCBQaHlzaW9sPC9zZWNvbmRhcnktdGl0bGU+PGFsdC10aXRsZT5Gcm9udGllcnMgaW4g
cGh5c2lvbG9neTwvYWx0LXRpdGxlPjwvdGl0bGVzPjxhbHQtcGVyaW9kaWNhbD48ZnVsbC10aXRs
ZT5Gcm9udGllcnMgaW4gcGh5c2lvbG9neTwvZnVsbC10aXRsZT48L2FsdC1wZXJpb2RpY2FsPjxw
YWdlcz4xMDIzPC9wYWdlcz48dm9sdW1lPjg8L3ZvbHVtZT48ZWRpdGlvbj4yMDE4LzAxLzEzPC9l
ZGl0aW9uPjxrZXl3b3Jkcz48a2V5d29yZD5FLWxpcXVpZDwva2V5d29yZD48a2V5d29yZD5FY2ln
PC9rZXl3b3JkPjxrZXl3b3JkPk10djwva2V5d29yZD48a2V5d29yZD5TZW08L2tleXdvcmQ+PGtl
eXdvcmQ+YWVyb3NvbDwva2V5d29yZD48a2V5d29yZD5mcm9nIHBhbGF0ZTwva2V5d29yZD48a2V5
d29yZD5zbW9raW5nPC9rZXl3b3JkPjxrZXl3b3JkPnZhcGluZzwva2V5d29yZD48L2tleXdvcmRz
PjxkYXRlcz48eWVhcj4yMDE3PC95ZWFyPjwvZGF0ZXM+PGlzYm4+MTY2NC0wNDJYIChQcmludCkm
I3hEOzE2NjQtMDQyeDwvaXNibj48YWNjZXNzaW9uLW51bT4yOTMyMTc0MzwvYWNjZXNzaW9uLW51
bT48dXJscz48cmVsYXRlZC11cmxzPjx1cmw+aHR0cHM6Ly93d3cubmNiaS5ubG0ubmloLmdvdi9w
bWMvYXJ0aWNsZXMvUE1DNTczMjE4OC9wZGYvZnBoeXMtMDgtMDEwMjMucGRmPC91cmw+PC9yZWxh
dGVkLXVybHM+PC91cmxzPjxjdXN0b20yPlBNQzU3MzIxODg8L2N1c3RvbTI+PGVsZWN0cm9uaWMt
cmVzb3VyY2UtbnVtPjEwLjMzODkvZnBoeXMuMjAxNy4wMTAyMzwvZWxlY3Ryb25pYy1yZXNvdXJj
ZS1udW0+PHJlbW90ZS1kYXRhYmFzZS1wcm92aWRlcj5OTE08L3JlbW90ZS1kYXRhYmFzZS1wcm92
aWRlcj48bGFuZ3VhZ2U+ZW5nPC9sYW5ndWFnZT48L3JlY29yZD48L0NpdGU+PENpdGU+PEF1dGhv
cj5SZWluaWtvdmFpdGU8L0F1dGhvcj48WWVhcj4yMDE4PC9ZZWFyPjxSZWNOdW0+NTY5PC9SZWNO
dW0+PHJlY29yZD48cmVjLW51bWJlcj41Njk8L3JlYy1udW1iZXI+PGZvcmVpZ24ta2V5cz48a2V5
IGFwcD0iRU4iIGRiLWlkPSI5ejA1ZHowcHJhYWRmdWVlMHpveHplZGs5emZlNWZ4eDUwejUiIHRp
bWVzdGFtcD0iMTUyMTUwNjg2MCI+NTY5PC9rZXk+PGtleSBhcHA9IkVOV2ViIiBkYi1pZD0iIj4w
PC9rZXk+PC9mb3JlaWduLWtleXM+PHJlZi10eXBlIG5hbWU9IkpvdXJuYWwgQXJ0aWNsZSI+MTc8
L3JlZi10eXBlPjxjb250cmlidXRvcnM+PGF1dGhvcnM+PGF1dGhvcj5SZWluaWtvdmFpdGUsIFYu
PC9hdXRob3I+PGF1dGhvcj5Sb2RyaWd1ZXosIEkuIEUuPC9hdXRob3I+PGF1dGhvcj5LYXJvb3Is
IFYuPC9hdXRob3I+PGF1dGhvcj5SYXUsIEEuPC9hdXRob3I+PGF1dGhvcj5UcmluaCwgQi4gQi48
L2F1dGhvcj48YXV0aG9yPkRlbGV5aWFubmlzLCBGLiBXLjwvYXV0aG9yPjxhdXRob3I+VGFyYXNl
dmljaWVuZS1TdGV3YXJ0LCBMLjwvYXV0aG9yPjwvYXV0aG9ycz48L2NvbnRyaWJ1dG9ycz48YXV0
aC1hZGRyZXNzPkRlcGFydG1lbnQgb2YgU3VyZ2VyeSwgQXVyb3JhLCBDb2xvcmFkby48L2F1dGgt
YWRkcmVzcz48dGl0bGVzPjx0aXRsZT5UaGUgZWZmZWN0cyBvZiBlbGVjdHJvbmljIGNpZ2FyZXR0
ZSB2YXBvdXIgb24gdGhlIGx1bmc6IGRpcmVjdCBjb21wYXJpc29uIHRvIHRvYmFjY28gc21va2U8
L3RpdGxlPjxzZWNvbmRhcnktdGl0bGU+RXVyIFJlc3BpciBKPC9zZWNvbmRhcnktdGl0bGU+PGFs
dC10aXRsZT5UaGUgRXVyb3BlYW4gcmVzcGlyYXRvcnkgam91cm5hbDwvYWx0LXRpdGxlPjwvdGl0
bGVzPjxwZXJpb2RpY2FsPjxmdWxsLXRpdGxlPkV1ciBSZXNwaXIgSjwvZnVsbC10aXRsZT48YWJi
ci0xPlRoZSBFdXJvcGVhbiByZXNwaXJhdG9yeSBqb3VybmFsPC9hYmJyLTE+PC9wZXJpb2RpY2Fs
PjxhbHQtcGVyaW9kaWNhbD48ZnVsbC10aXRsZT5FdXIgUmVzcGlyIEo8L2Z1bGwtdGl0bGU+PGFi
YnItMT5UaGUgRXVyb3BlYW4gcmVzcGlyYXRvcnkgam91cm5hbDwvYWJici0xPjwvYWx0LXBlcmlv
ZGljYWw+PGVkaXRpb24+MjAxOC8wMi8xNzwvZWRpdGlvbj48ZGF0ZXM+PHllYXI+MjAxODwveWVh
cj48cHViLWRhdGVzPjxkYXRlPkZlYiAxNTwvZGF0ZT48L3B1Yi1kYXRlcz48L2RhdGVzPjxpc2Ju
PjA5MDMtMTkzNjwvaXNibj48YWNjZXNzaW9uLW51bT4yOTQ0OTQyMzwvYWNjZXNzaW9uLW51bT48
dXJscz48L3VybHM+PGVsZWN0cm9uaWMtcmVzb3VyY2UtbnVtPjEwLjExODMvMTM5OTMwMDMuMDE2
NjEtMjAxNzwvZWxlY3Ryb25pYy1yZXNvdXJjZS1udW0+PHJlbW90ZS1kYXRhYmFzZS1wcm92aWRl
cj5OTE08L3JlbW90ZS1kYXRhYmFzZS1wcm92aWRlcj48bGFuZ3VhZ2U+ZW5nPC9sYW5ndWFnZT48
L3JlY29yZD48L0NpdGU+PENpdGU+PEF1dGhvcj5DYXJzb248L0F1dGhvcj48WWVhcj4yMDE3PC9Z
ZWFyPjxSZWNOdW0+MTE3MzwvUmVjTnVtPjxyZWNvcmQ+PHJlYy1udW1iZXI+MTE3MzwvcmVjLW51
bWJlcj48Zm9yZWlnbi1rZXlzPjxrZXkgYXBwPSJFTiIgZGItaWQ9Ijl6MDVkejBwcmFhZGZ1ZWUw
em94emVkazl6ZmU1Znh4NTB6NSIgdGltZXN0YW1wPSIxNTIxNTA3MDE3Ij4xMTczPC9rZXk+PGtl
eSBhcHA9IkVOV2ViIiBkYi1pZD0iIj4wPC9rZXk+PC9mb3JlaWduLWtleXM+PHJlZi10eXBlIG5h
bWU9IkpvdXJuYWwgQXJ0aWNsZSI+MTc8L3JlZi10eXBlPjxjb250cmlidXRvcnM+PGF1dGhvcnM+
PGF1dGhvcj5DYXJzb24sIEouIEwuPC9hdXRob3I+PGF1dGhvcj5aaG91LCBMLjwvYXV0aG9yPjxh
dXRob3I+QnJpZ2h0b24sIEwuPC9hdXRob3I+PGF1dGhvcj5NaWxscywgSy4gSC48L2F1dGhvcj48
YXV0aG9yPlpob3UsIEguPC9hdXRob3I+PGF1dGhvcj5KYXNwZXJzLCBJLjwvYXV0aG9yPjxhdXRo
b3I+SGF6dWNoYSwgTS48L2F1dGhvcj48L2F1dGhvcnM+PC9jb250cmlidXRvcnM+PGF1dGgtYWRk
cmVzcz5hIFRoZSBDZW50ZXIgZm9yIEVudmlyb25tZW50YWwgTWVkaWNpbmUsIEFzdGhtYSwgYW5k
IEx1bmcgQmlvbG9neSAsIFRoZSBVbml2ZXJzaXR5IG9mIE5vcnRoIENhcm9saW5hIGF0IENoYXBl
bCBIaWxsICwgQ2hhcGVsIEhpbGwgLCBOQyAsIFVTQS4mI3hEO2IgVGhlIERlcGFydG1lbnQgb2Yg
UGVkaWF0cmljcyAsIFRoZSBVbml2ZXJzaXR5IG9mIE5vcnRoIENhcm9saW5hIGF0IENoYXBlbCBI
aWxsICwgQ2hhcGVsIEhpbGwgLCBOQyAsIFVTQS4mI3hEO2MgVGhlIERlcGFydG1lbnQgb2YgQmlv
c3RhdGlzdGljcyAsIFRoZSBVbml2ZXJzaXR5IG9mIE5vcnRoIENhcm9saW5hIGF0IENoYXBlbCBI
aWxsICwgQ2hhcGVsIEhpbGwgLCBOQyAsIFVTQS4mI3hEO2QgVGhlIERlcGFydG1lbnQgb2YgTWVk
aWNpbmUgLCBUaGUgVW5pdmVyc2l0eSBvZiBOb3J0aCBDYXJvbGluYSBhdCBDaGFwZWwgSGlsbCAs
IENoYXBlbCBIaWxsICwgTkMgLCBVU0EuPC9hdXRoLWFkZHJlc3M+PHRpdGxlcz48dGl0bGU+VGVt
cG9yYWwgc3RydWN0dXJlL2Z1bmN0aW9uIHZhcmlhdGlvbiBpbiBjdWx0dXJlZCBkaWZmZXJlbnRp
YXRlZCBodW1hbiBuYXNhbCBlcGl0aGVsaXVtIGFzc29jaWF0ZWQgd2l0aCBhY3V0ZSBzaW5nbGUg
ZXhwb3N1cmUgdG8gdG9iYWNjbyBzbW9rZSBvciBFLWNpZ2FyZXR0ZSB2YXBvcjwvdGl0bGU+PHNl
Y29uZGFyeS10aXRsZT5JbmhhbCBUb3hpY29sPC9zZWNvbmRhcnktdGl0bGU+PGFsdC10aXRsZT5J
bmhhbGF0aW9uIHRveGljb2xvZ3k8L2FsdC10aXRsZT48L3RpdGxlcz48cGVyaW9kaWNhbD48ZnVs
bC10aXRsZT5JbmhhbCBUb3hpY29sPC9mdWxsLXRpdGxlPjxhYmJyLTE+SW5oYWxhdGlvbiB0b3hp
Y29sb2d5PC9hYmJyLTE+PC9wZXJpb2RpY2FsPjxhbHQtcGVyaW9kaWNhbD48ZnVsbC10aXRsZT5J
bmhhbCBUb3hpY29sPC9mdWxsLXRpdGxlPjxhYmJyLTE+SW5oYWxhdGlvbiB0b3hpY29sb2d5PC9h
YmJyLTE+PC9hbHQtcGVyaW9kaWNhbD48cGFnZXM+MTM3LTE0NDwvcGFnZXM+PHZvbHVtZT4yOTwv
dm9sdW1lPjxudW1iZXI+MzwvbnVtYmVyPjxlZGl0aW9uPjIwMTcvMDUvMDU8L2VkaXRpb24+PGtl
eXdvcmRzPjxrZXl3b3JkPkNlbGwgRGlmZmVyZW50aWF0aW9uPC9rZXl3b3JkPjxrZXl3b3JkPkNl
bGxzLCBDdWx0dXJlZDwva2V5d29yZD48a2V5d29yZD5DaWxpYS9kcnVnIGVmZmVjdHMvcGh5c2lv
bG9neTwva2V5d29yZD48a2V5d29yZD4qRWxlY3Ryb25pYyBOaWNvdGluZSBEZWxpdmVyeSBTeXN0
ZW1zPC9rZXl3b3JkPjxrZXl3b3JkPkh1bWFuczwva2V5d29yZD48a2V5d29yZD5NaWNyb3Njb3B5
LCBFbGVjdHJvbiwgU2Nhbm5pbmc8L2tleXdvcmQ+PGtleXdvcmQ+TXVjb2NpbGlhcnkgQ2xlYXJh
bmNlPC9rZXl3b3JkPjxrZXl3b3JkPk5hc2FsIE11Y29zYS9jeXRvbG9neS8qZHJ1ZyBlZmZlY3Rz
L21ldGFib2xpc20vdWx0cmFzdHJ1Y3R1cmU8L2tleXdvcmQ+PGtleXdvcmQ+Tml0cmljIE94aWRl
L21ldGFib2xpc208L2tleXdvcmQ+PGtleXdvcmQ+U21va2UvKmFkdmVyc2UgZWZmZWN0czwva2V5
d29yZD48a2V5d29yZD4qVG9iYWNjbzwva2V5d29yZD48a2V5d29yZD4qQ2lsaWE8L2tleXdvcmQ+
PGtleXdvcmQ+KmFpcndheSBlcGl0aGVsaXVtPC9rZXl3b3JkPjxrZXl3b3JkPipjaWxpYXJ5IGJl
YXQgZnJlcXVlbmN5PC9rZXl3b3JkPjxrZXl3b3JkPiplLWNpZ2FyZXR0ZTwva2V5d29yZD48a2V5
d29yZD4qdG9iYWNjbyBjaWdhcmV0dGUgc21va2U8L2tleXdvcmQ+PC9rZXl3b3Jkcz48ZGF0ZXM+
PHllYXI+MjAxNzwveWVhcj48cHViLWRhdGVzPjxkYXRlPkZlYjwvZGF0ZT48L3B1Yi1kYXRlcz48
L2RhdGVzPjxpc2JuPjA4OTUtODM3ODwvaXNibj48YWNjZXNzaW9uLW51bT4yODQ3MDE0MDwvYWNj
ZXNzaW9uLW51bT48dXJscz48cmVsYXRlZC11cmxzPjx1cmw+aHR0cHM6Ly93d3cudGFuZGZvbmxp
bmUuY29tL2RvaS9wZGYvMTAuMTA4MC8wODk1ODM3OC4yMDE3LjEzMTg5ODU/bmVlZEFjY2Vzcz10
cnVlPC91cmw+PC9yZWxhdGVkLXVybHM+PC91cmxzPjxjdXN0b20yPlBNQzU1NDUxMTE8L2N1c3Rv
bTI+PGN1c3RvbTY+TklITVM4Nzg3MDQ8L2N1c3RvbTY+PGVsZWN0cm9uaWMtcmVzb3VyY2UtbnVt
PjEwLjEwODAvMDg5NTgzNzguMjAxNy4xMzE4OTg1PC9lbGVjdHJvbmljLXJlc291cmNlLW51bT48
cmVtb3RlLWRhdGFiYXNlLXByb3ZpZGVyPk5MTTwvcmVtb3RlLWRhdGFiYXNlLXByb3ZpZGVyPjxs
YW5ndWFnZT5lbmc8L2xhbmd1YWdlPjwvcmVjb3JkPjwvQ2l0ZT48L0VuZE5vdGU+
</w:fldData>
            </w:fldChar>
          </w:r>
          <w:r>
            <w:rPr>
              <w:rFonts w:eastAsia="Times New Roman" w:cs="Calibri"/>
            </w:rPr>
            <w:instrText xml:space="preserve"> ADDIN EN.CITE.DATA </w:instrText>
          </w:r>
          <w:r>
            <w:rPr>
              <w:rFonts w:eastAsia="Times New Roman" w:cs="Calibri"/>
            </w:rPr>
          </w:r>
          <w:r>
            <w:rPr>
              <w:rFonts w:eastAsia="Times New Roman" w:cs="Calibri"/>
            </w:rPr>
            <w:fldChar w:fldCharType="end"/>
          </w:r>
          <w:r>
            <w:rPr>
              <w:rFonts w:eastAsia="Times New Roman" w:cs="Calibri"/>
            </w:rPr>
          </w:r>
          <w:r>
            <w:rPr>
              <w:rFonts w:eastAsia="Times New Roman" w:cs="Calibri"/>
            </w:rPr>
            <w:fldChar w:fldCharType="separate"/>
          </w:r>
          <w:r>
            <w:rPr>
              <w:rFonts w:eastAsia="Times New Roman" w:cs="Calibri"/>
              <w:noProof/>
            </w:rPr>
            <w:t>(Carson, Zhou et al. 2017, Laube, Afshar-Mohajer et al. 2017, Palazzolo, Nelson et al. 2017, Reinikovaite, Rodriguez et al. 2018)</w:t>
          </w:r>
          <w:r>
            <w:rPr>
              <w:rFonts w:eastAsia="Times New Roman" w:cs="Calibri"/>
            </w:rPr>
            <w:fldChar w:fldCharType="end"/>
          </w:r>
          <w:r>
            <w:rPr>
              <w:rFonts w:eastAsia="Times New Roman" w:cs="Calibri"/>
            </w:rPr>
            <w:t xml:space="preserve">. </w:t>
          </w:r>
        </w:p>
        <w:p w14:paraId="0750D538" w14:textId="77777777" w:rsidR="00A74D41" w:rsidRDefault="00A74D41" w:rsidP="00A74D41">
          <w:pPr>
            <w:pStyle w:val="BodyText"/>
            <w:rPr>
              <w:rFonts w:eastAsia="Times New Roman" w:cs="Calibri"/>
            </w:rPr>
          </w:pPr>
        </w:p>
        <w:p w14:paraId="431067E3" w14:textId="77777777" w:rsidR="00A74D41" w:rsidRPr="00190D05" w:rsidRDefault="00A74D41" w:rsidP="00A74D41">
          <w:pPr>
            <w:pStyle w:val="Heading3"/>
          </w:pPr>
          <w:r>
            <w:t>Lung epithelial barrier function</w:t>
          </w:r>
        </w:p>
        <w:p w14:paraId="676E3F30" w14:textId="77777777" w:rsidR="00A74D41" w:rsidRDefault="00A74D41" w:rsidP="00A74D41">
          <w:pPr>
            <w:pStyle w:val="BodyText"/>
          </w:pPr>
          <w:r w:rsidRPr="001C3631">
            <w:t xml:space="preserve">After exposure to infectious pseudomonas aeruginosa and then e-cigarettes, bronchial epithelial cells had changes in tight junction proteins which indicated reduced lung barrier function </w:t>
          </w:r>
          <w:r w:rsidRPr="001C3631">
            <w:fldChar w:fldCharType="begin">
              <w:fldData xml:space="preserve">PEVuZE5vdGU+PENpdGU+PEF1dGhvcj5Dcm90dHkgQWxleGFuZGVyPC9BdXRob3I+PFllYXI+MjAx
ODwvWWVhcj48UmVjTnVtPjUyNzwvUmVjTnVtPjxEaXNwbGF5VGV4dD4oQ3JvdHR5IEFsZXhhbmRl
ciwgRHJ1bW1vbmQgZXQgYWwuIDIwMTgpPC9EaXNwbGF5VGV4dD48cmVjb3JkPjxyZWMtbnVtYmVy
PjUyNzwvcmVjLW51bWJlcj48Zm9yZWlnbi1rZXlzPjxrZXkgYXBwPSJFTiIgZGItaWQ9Ijl6MDVk
ejBwcmFhZGZ1ZWUwem94emVkazl6ZmU1Znh4NTB6NSIgdGltZXN0YW1wPSIxNTIxNTA2ODUwIj41
Mjc8L2tleT48a2V5IGFwcD0iRU5XZWIiIGRiLWlkPSIiPjA8L2tleT48L2ZvcmVpZ24ta2V5cz48
cmVmLXR5cGUgbmFtZT0iSm91cm5hbCBBcnRpY2xlIj4xNzwvcmVmLXR5cGU+PGNvbnRyaWJ1dG9y
cz48YXV0aG9ycz48YXV0aG9yPkNyb3R0eSBBbGV4YW5kZXIsIEwuIEUuPC9hdXRob3I+PGF1dGhv
cj5EcnVtbW9uZCwgQy4gQS48L2F1dGhvcj48YXV0aG9yPkhlcG9rb3NraSwgTS48L2F1dGhvcj48
YXV0aG9yPk1hdGhldywgRC4gUC48L2F1dGhvcj48YXV0aG9yPk1vc2hlbnNreSwgQS48L2F1dGhv
cj48YXV0aG9yPldpbGxlZm9yZCwgQS48L2F1dGhvcj48YXV0aG9yPkRhcywgUy48L2F1dGhvcj48
YXV0aG9yPlNpbmdoLCBQLjwvYXV0aG9yPjxhdXRob3I+WW9uZywgWi48L2F1dGhvcj48YXV0aG9y
PkxlZSwgSi4gSC48L2F1dGhvcj48YXV0aG9yPlZlZ2EsIEsuPC9hdXRob3I+PGF1dGhvcj5EdSwg
QS48L2F1dGhvcj48YXV0aG9yPlNoaW4sIEouPC9hdXRob3I+PGF1dGhvcj5KYXZpZXIsIEMuPC9h
dXRob3I+PGF1dGhvcj5UaWFuLCBKLjwvYXV0aG9yPjxhdXRob3I+QnJvd24sIEouIEguPC9hdXRo
b3I+PGF1dGhvcj5CcmVlbiwgRS4gQy48L2F1dGhvcj48L2F1dGhvcnM+PC9jb250cmlidXRvcnM+
PGF1dGgtYWRkcmVzcz5NZWRpY2luZSwgVUMgU2FuIERpZWdvIGFuZCBWQVNESFMsIFVuaXRlZCBT
dGF0ZXMuJiN4RDtTdXJnZXJ5IGFuZCBNZWRpY2FsIERldmljZSBlZmZpY2FjeSwgTVBJIFJlc2Vh
cmNoLCBVbml0ZWQgU3RhdGVzLiYjeEQ7TWVkaWNpbmUsIERpdmlzaW9uIG9mIFB1bG1vbmFyeSBh
bmQgQ3JpdGljYWwgQ2FyZSwgbWhlcG9rb3NraUB1Y3NkLmVkdSwgVW5pdGVkIFN0YXRlcy4mI3hE
O01lZGljaW5lLCBVQyBTYW4gRGllZ28gU2Nob29sIG9mIE1lZGljaW5lLiYjeEQ7TWVkaWNpbmUs
IFVDIFNhbiBEaWVnbyBhbmQgVkFTREhTLiYjeEQ7UGhhcm1hY29sb2d5LCBVQ1NELiYjeEQ7UGF0
aG9sb2d5LCBVQ1NELiYjeEQ7TWVkaWNpbmUtTmVwaHJvbG9neSwgVUMgU2FuIERpZWdvIGFuZCBW
QVNESFMsIFVuaXRlZCBTdGF0ZXMuJiN4RDtNZWRpY2luZSwgVUNTRC4mI3hEO01lZGljaW5lLCBV
bml2ZXJzaXR5IG9mIFRvbGVkbyBIZWFsdGggU2NpZW5jZSBDYW1wdXMsIFVuaXRlZCBTdGF0ZXMu
JiN4RDtEZXBhcnRtZW50IG9mIFBoYXJtYWNvbG9neSAwNjM2LCBVbml2ZXJzaXR5IG9mIENhbGlm
b3JuaWEsIFNhbiBEaWVnbywgVW5pdGVkIFN0YXRlcy4mI3hEO01lZGljaW5lLCBVbml2ZXJzaXR5
IG9mIENhbGlmb3JuaWEsIFNhbiBEaWVnbywgVW5pdGVkIFN0YXRlcy48L2F1dGgtYWRkcmVzcz48
dGl0bGVzPjx0aXRsZT5DaHJvbmljIEluaGFsYXRpb24gb2YgRS1DaWdhcmV0dGUgVmFwb3IgQ29u
dGFpbmluZyBOaWNvdGluZSBEaXNydXB0cyBBaXJ3YXkgQmFycmllciBGdW5jdGlvbiBhbmQgSW5k
dWNlcyBTeXN0ZW1pYyBJbmZsYW1tYXRpb24gYW5kIE11bHRpLU9yZ2FuIEZpYnJvc2lzIGluIE1p
Y2U8L3RpdGxlPjxzZWNvbmRhcnktdGl0bGU+QW0gSiBQaHlzaW9sIFJlZ3VsIEludGVnciBDb21w
IFBoeXNpb2w8L3NlY29uZGFyeS10aXRsZT48YWx0LXRpdGxlPkFtZXJpY2FuIGpvdXJuYWwgb2Yg
cGh5c2lvbG9neS4gUmVndWxhdG9yeSwgaW50ZWdyYXRpdmUgYW5kIGNvbXBhcmF0aXZlIHBoeXNp
b2xvZ3k8L2FsdC10aXRsZT48L3RpdGxlcz48cGVyaW9kaWNhbD48ZnVsbC10aXRsZT5BbSBKIFBo
eXNpb2wgUmVndWwgSW50ZWdyIENvbXAgUGh5c2lvbDwvZnVsbC10aXRsZT48YWJici0xPkFtZXJp
Y2FuIGpvdXJuYWwgb2YgcGh5c2lvbG9neS4gUmVndWxhdG9yeSwgaW50ZWdyYXRpdmUgYW5kIGNv
bXBhcmF0aXZlIHBoeXNpb2xvZ3k8L2FiYnItMT48L3BlcmlvZGljYWw+PGFsdC1wZXJpb2RpY2Fs
PjxmdWxsLXRpdGxlPkFtIEogUGh5c2lvbCBSZWd1bCBJbnRlZ3IgQ29tcCBQaHlzaW9sPC9mdWxs
LXRpdGxlPjxhYmJyLTE+QW1lcmljYW4gam91cm5hbCBvZiBwaHlzaW9sb2d5LiBSZWd1bGF0b3J5
LCBpbnRlZ3JhdGl2ZSBhbmQgY29tcGFyYXRpdmUgcGh5c2lvbG9neTwvYWJici0xPjwvYWx0LXBl
cmlvZGljYWw+PGVkaXRpb24+MjAxOC8wMi8wMTwvZWRpdGlvbj48a2V5d29yZHM+PGtleXdvcmQ+
Y2FyZGlvcmVuYWwgZHlzZnVuY3Rpb248L2tleXdvcmQ+PGtleXdvcmQ+ZWxlY3Ryb25pYyBjaWdh
cmV0dGU8L2tleXdvcmQ+PGtleXdvcmQ+Zmlicm9zaXM8L2tleXdvcmQ+PGtleXdvcmQ+aW5mbGFt
bWF0aW9uPC9rZXl3b3JkPjxrZXl3b3JkPm5pY290aW5lPC9rZXl3b3JkPjwva2V5d29yZHM+PGRh
dGVzPjx5ZWFyPjIwMTg8L3llYXI+PHB1Yi1kYXRlcz48ZGF0ZT5KYW4gMzE8L2RhdGU+PC9wdWIt
ZGF0ZXM+PC9kYXRlcz48aXNibj4wMzYzLTYxMTk8L2lzYm4+PGFjY2Vzc2lvbi1udW0+MjkzODQ3
MDA8L2FjY2Vzc2lvbi1udW0+PHVybHM+PC91cmxzPjxlbGVjdHJvbmljLXJlc291cmNlLW51bT4x
MC4xMTUyL2FqcHJlZ3UuMDAyNzAuMjAxNzwvZWxlY3Ryb25pYy1yZXNvdXJjZS1udW0+PHJlbW90
ZS1kYXRhYmFzZS1wcm92aWRlcj5OTE08L3JlbW90ZS1kYXRhYmFzZS1wcm92aWRlcj48bGFuZ3Vh
Z2U+ZW5nPC9sYW5ndWFnZT48L3JlY29yZD48L0NpdGU+PC9FbmROb3RlPgB=
</w:fldData>
            </w:fldChar>
          </w:r>
          <w:r w:rsidRPr="001C3631">
            <w:instrText xml:space="preserve"> ADDIN EN.CITE </w:instrText>
          </w:r>
          <w:r w:rsidRPr="001C3631">
            <w:fldChar w:fldCharType="begin">
              <w:fldData xml:space="preserve">PEVuZE5vdGU+PENpdGU+PEF1dGhvcj5Dcm90dHkgQWxleGFuZGVyPC9BdXRob3I+PFllYXI+MjAx
ODwvWWVhcj48UmVjTnVtPjUyNzwvUmVjTnVtPjxEaXNwbGF5VGV4dD4oQ3JvdHR5IEFsZXhhbmRl
ciwgRHJ1bW1vbmQgZXQgYWwuIDIwMTgpPC9EaXNwbGF5VGV4dD48cmVjb3JkPjxyZWMtbnVtYmVy
PjUyNzwvcmVjLW51bWJlcj48Zm9yZWlnbi1rZXlzPjxrZXkgYXBwPSJFTiIgZGItaWQ9Ijl6MDVk
ejBwcmFhZGZ1ZWUwem94emVkazl6ZmU1Znh4NTB6NSIgdGltZXN0YW1wPSIxNTIxNTA2ODUwIj41
Mjc8L2tleT48a2V5IGFwcD0iRU5XZWIiIGRiLWlkPSIiPjA8L2tleT48L2ZvcmVpZ24ta2V5cz48
cmVmLXR5cGUgbmFtZT0iSm91cm5hbCBBcnRpY2xlIj4xNzwvcmVmLXR5cGU+PGNvbnRyaWJ1dG9y
cz48YXV0aG9ycz48YXV0aG9yPkNyb3R0eSBBbGV4YW5kZXIsIEwuIEUuPC9hdXRob3I+PGF1dGhv
cj5EcnVtbW9uZCwgQy4gQS48L2F1dGhvcj48YXV0aG9yPkhlcG9rb3NraSwgTS48L2F1dGhvcj48
YXV0aG9yPk1hdGhldywgRC4gUC48L2F1dGhvcj48YXV0aG9yPk1vc2hlbnNreSwgQS48L2F1dGhv
cj48YXV0aG9yPldpbGxlZm9yZCwgQS48L2F1dGhvcj48YXV0aG9yPkRhcywgUy48L2F1dGhvcj48
YXV0aG9yPlNpbmdoLCBQLjwvYXV0aG9yPjxhdXRob3I+WW9uZywgWi48L2F1dGhvcj48YXV0aG9y
PkxlZSwgSi4gSC48L2F1dGhvcj48YXV0aG9yPlZlZ2EsIEsuPC9hdXRob3I+PGF1dGhvcj5EdSwg
QS48L2F1dGhvcj48YXV0aG9yPlNoaW4sIEouPC9hdXRob3I+PGF1dGhvcj5KYXZpZXIsIEMuPC9h
dXRob3I+PGF1dGhvcj5UaWFuLCBKLjwvYXV0aG9yPjxhdXRob3I+QnJvd24sIEouIEguPC9hdXRo
b3I+PGF1dGhvcj5CcmVlbiwgRS4gQy48L2F1dGhvcj48L2F1dGhvcnM+PC9jb250cmlidXRvcnM+
PGF1dGgtYWRkcmVzcz5NZWRpY2luZSwgVUMgU2FuIERpZWdvIGFuZCBWQVNESFMsIFVuaXRlZCBT
dGF0ZXMuJiN4RDtTdXJnZXJ5IGFuZCBNZWRpY2FsIERldmljZSBlZmZpY2FjeSwgTVBJIFJlc2Vh
cmNoLCBVbml0ZWQgU3RhdGVzLiYjeEQ7TWVkaWNpbmUsIERpdmlzaW9uIG9mIFB1bG1vbmFyeSBh
bmQgQ3JpdGljYWwgQ2FyZSwgbWhlcG9rb3NraUB1Y3NkLmVkdSwgVW5pdGVkIFN0YXRlcy4mI3hE
O01lZGljaW5lLCBVQyBTYW4gRGllZ28gU2Nob29sIG9mIE1lZGljaW5lLiYjeEQ7TWVkaWNpbmUs
IFVDIFNhbiBEaWVnbyBhbmQgVkFTREhTLiYjeEQ7UGhhcm1hY29sb2d5LCBVQ1NELiYjeEQ7UGF0
aG9sb2d5LCBVQ1NELiYjeEQ7TWVkaWNpbmUtTmVwaHJvbG9neSwgVUMgU2FuIERpZWdvIGFuZCBW
QVNESFMsIFVuaXRlZCBTdGF0ZXMuJiN4RDtNZWRpY2luZSwgVUNTRC4mI3hEO01lZGljaW5lLCBV
bml2ZXJzaXR5IG9mIFRvbGVkbyBIZWFsdGggU2NpZW5jZSBDYW1wdXMsIFVuaXRlZCBTdGF0ZXMu
JiN4RDtEZXBhcnRtZW50IG9mIFBoYXJtYWNvbG9neSAwNjM2LCBVbml2ZXJzaXR5IG9mIENhbGlm
b3JuaWEsIFNhbiBEaWVnbywgVW5pdGVkIFN0YXRlcy4mI3hEO01lZGljaW5lLCBVbml2ZXJzaXR5
IG9mIENhbGlmb3JuaWEsIFNhbiBEaWVnbywgVW5pdGVkIFN0YXRlcy48L2F1dGgtYWRkcmVzcz48
dGl0bGVzPjx0aXRsZT5DaHJvbmljIEluaGFsYXRpb24gb2YgRS1DaWdhcmV0dGUgVmFwb3IgQ29u
dGFpbmluZyBOaWNvdGluZSBEaXNydXB0cyBBaXJ3YXkgQmFycmllciBGdW5jdGlvbiBhbmQgSW5k
dWNlcyBTeXN0ZW1pYyBJbmZsYW1tYXRpb24gYW5kIE11bHRpLU9yZ2FuIEZpYnJvc2lzIGluIE1p
Y2U8L3RpdGxlPjxzZWNvbmRhcnktdGl0bGU+QW0gSiBQaHlzaW9sIFJlZ3VsIEludGVnciBDb21w
IFBoeXNpb2w8L3NlY29uZGFyeS10aXRsZT48YWx0LXRpdGxlPkFtZXJpY2FuIGpvdXJuYWwgb2Yg
cGh5c2lvbG9neS4gUmVndWxhdG9yeSwgaW50ZWdyYXRpdmUgYW5kIGNvbXBhcmF0aXZlIHBoeXNp
b2xvZ3k8L2FsdC10aXRsZT48L3RpdGxlcz48cGVyaW9kaWNhbD48ZnVsbC10aXRsZT5BbSBKIFBo
eXNpb2wgUmVndWwgSW50ZWdyIENvbXAgUGh5c2lvbDwvZnVsbC10aXRsZT48YWJici0xPkFtZXJp
Y2FuIGpvdXJuYWwgb2YgcGh5c2lvbG9neS4gUmVndWxhdG9yeSwgaW50ZWdyYXRpdmUgYW5kIGNv
bXBhcmF0aXZlIHBoeXNpb2xvZ3k8L2FiYnItMT48L3BlcmlvZGljYWw+PGFsdC1wZXJpb2RpY2Fs
PjxmdWxsLXRpdGxlPkFtIEogUGh5c2lvbCBSZWd1bCBJbnRlZ3IgQ29tcCBQaHlzaW9sPC9mdWxs
LXRpdGxlPjxhYmJyLTE+QW1lcmljYW4gam91cm5hbCBvZiBwaHlzaW9sb2d5LiBSZWd1bGF0b3J5
LCBpbnRlZ3JhdGl2ZSBhbmQgY29tcGFyYXRpdmUgcGh5c2lvbG9neTwvYWJici0xPjwvYWx0LXBl
cmlvZGljYWw+PGVkaXRpb24+MjAxOC8wMi8wMTwvZWRpdGlvbj48a2V5d29yZHM+PGtleXdvcmQ+
Y2FyZGlvcmVuYWwgZHlzZnVuY3Rpb248L2tleXdvcmQ+PGtleXdvcmQ+ZWxlY3Ryb25pYyBjaWdh
cmV0dGU8L2tleXdvcmQ+PGtleXdvcmQ+Zmlicm9zaXM8L2tleXdvcmQ+PGtleXdvcmQ+aW5mbGFt
bWF0aW9uPC9rZXl3b3JkPjxrZXl3b3JkPm5pY290aW5lPC9rZXl3b3JkPjwva2V5d29yZHM+PGRh
dGVzPjx5ZWFyPjIwMTg8L3llYXI+PHB1Yi1kYXRlcz48ZGF0ZT5KYW4gMzE8L2RhdGU+PC9wdWIt
ZGF0ZXM+PC9kYXRlcz48aXNibj4wMzYzLTYxMTk8L2lzYm4+PGFjY2Vzc2lvbi1udW0+MjkzODQ3
MDA8L2FjY2Vzc2lvbi1udW0+PHVybHM+PC91cmxzPjxlbGVjdHJvbmljLXJlc291cmNlLW51bT4x
MC4xMTUyL2FqcHJlZ3UuMDAyNzAuMjAxNzwvZWxlY3Ryb25pYy1yZXNvdXJjZS1udW0+PHJlbW90
ZS1kYXRhYmFzZS1wcm92aWRlcj5OTE08L3JlbW90ZS1kYXRhYmFzZS1wcm92aWRlcj48bGFuZ3Vh
Z2U+ZW5nPC9sYW5ndWFnZT48L3JlY29yZD48L0NpdGU+PC9FbmROb3RlPgB=
</w:fldData>
            </w:fldChar>
          </w:r>
          <w:r w:rsidRPr="001C3631">
            <w:instrText xml:space="preserve"> ADDIN EN.CITE.DATA </w:instrText>
          </w:r>
          <w:r w:rsidRPr="001C3631">
            <w:fldChar w:fldCharType="end"/>
          </w:r>
          <w:r w:rsidRPr="001C3631">
            <w:fldChar w:fldCharType="separate"/>
          </w:r>
          <w:r w:rsidRPr="001C3631">
            <w:t>(Crotty Alexander, Drummond et al. 2018)</w:t>
          </w:r>
          <w:r w:rsidRPr="001C3631">
            <w:fldChar w:fldCharType="end"/>
          </w:r>
          <w:r w:rsidRPr="001C3631">
            <w:t xml:space="preserve">. Loss of barrier function could lead to increased passage of external antigens and chemicals into the lungs and blood. This finding is supported by another study which found that epithelial cells exposed to nicotine and some e-cigarette flavours (diacetyl, coumarin, acetoin, maltol, cinnamaldehyde) led to rapid loss of epithelial barrier function </w:t>
          </w:r>
          <w:r w:rsidRPr="001C3631">
            <w:fldChar w:fldCharType="begin">
              <w:fldData xml:space="preserve">PEVuZE5vdGU+PENpdGU+PEF1dGhvcj5HZXJsb2ZmPC9BdXRob3I+PFllYXI+MjAxNzwvWWVhcj48
UmVjTnVtPjEyNjA8L1JlY051bT48RGlzcGxheVRleHQ+KEdlcmxvZmYsIFN1bmRhciBldCBhbC4g
MjAxNyk8L0Rpc3BsYXlUZXh0PjxyZWNvcmQ+PHJlYy1udW1iZXI+MTI2MDwvcmVjLW51bWJlcj48
Zm9yZWlnbi1rZXlzPjxrZXkgYXBwPSJFTiIgZGItaWQ9Ijl6MDVkejBwcmFhZGZ1ZWUwem94emVk
azl6ZmU1Znh4NTB6NSIgdGltZXN0YW1wPSIxNTIxNTA3MDM3Ij4xMjYwPC9rZXk+PGtleSBhcHA9
IkVOV2ViIiBkYi1pZD0iIj4wPC9rZXk+PC9mb3JlaWduLWtleXM+PHJlZi10eXBlIG5hbWU9Ikpv
dXJuYWwgQXJ0aWNsZSI+MTc8L3JlZi10eXBlPjxjb250cmlidXRvcnM+PGF1dGhvcnM+PGF1dGhv
cj5HZXJsb2ZmLCBKLjwvYXV0aG9yPjxhdXRob3I+U3VuZGFyLCBJLiBLLjwvYXV0aG9yPjxhdXRo
b3I+RnJldGVyLCBSLjwvYXV0aG9yPjxhdXRob3I+U2VrZXJhLCBFLiBSLjwvYXV0aG9yPjxhdXRo
b3I+RnJpZWRtYW4sIEEuIEUuPC9hdXRob3I+PGF1dGhvcj5Sb2JpbnNvbiwgUi48L2F1dGhvcj48
YXV0aG9yPlBhZ2FubywgVC48L2F1dGhvcj48YXV0aG9yPlJhaG1hbiwgSS48L2F1dGhvcj48L2F1
dGhvcnM+PC9jb250cmlidXRvcnM+PGF1dGgtYWRkcmVzcz5EZXBhcnRtZW50IG9mIEVudmlyb25t
ZW50YWwgTWVkaWNpbmUsIFVuaXZlcnNpdHkgb2YgUm9jaGVzdGVyIE1lZGljYWwgQ2VudGVyICwg
Um9jaGVzdGVyLCBOZXcgWW9yay4mI3hEO0RlcGFydG1lbnQgb2YgQ2hlbWlzdHJ5LCBVbml2ZXJz
aXR5IG9mIEJ1ZmZhbG8gLCBCdWZmYWxvLCBOZXcgWW9yay4mI3hEO0RlcGFydG1lbnQgb2YgTWVj
aGFuaWNhbCBFbmdpbmVlcmluZywgUm9jaGVzdGVyIEluc3RpdHV0ZSBvZiBUZWNobm9sb2d5L05h
dGlvbmFsIFRlY2huaWNhbCBJbnN0aXR1dGUgZm9yIHRoZSBEZWFmICwgUm9jaGVzdGVyLCBOZXcg
WW9yay4mI3hEO0RlcGFydG1lbnQgb2YgU2NpZW5jZSAmYW1wOyBNYXRoZW1hdGljcywgUm9jaGVz
dGVyIEluc3RpdHV0ZSBvZiBUZWNobm9sb2d5L05hdGlvbmFsIFRlY2huaWNhbCBJbnN0aXR1dGUg
Zm9yIHRoZSBEZWFmICwgUm9jaGVzdGVyLCBOZXcgWW9yay48L2F1dGgtYWRkcmVzcz48dGl0bGVz
Pjx0aXRsZT5JbmZsYW1tYXRvcnkgUmVzcG9uc2UgYW5kIEJhcnJpZXIgRHlzZnVuY3Rpb24gYnkg
RGlmZmVyZW50IGUtQ2lnYXJldHRlIEZsYXZvcmluZyBDaGVtaWNhbHMgSWRlbnRpZmllZCBieSBH
YXMgQ2hyb21hdG9ncmFwaHktTWFzcyBTcGVjdHJvbWV0cnkgaW4gZS1MaXF1aWRzIGFuZCBlLVZh
cG9ycyBvbiBIdW1hbiBMdW5nIEVwaXRoZWxpYWwgQ2VsbHMgYW5kIEZpYnJvYmxhc3RzPC90aXRs
ZT48c2Vjb25kYXJ5LXRpdGxlPkFwcGwgSW4gVml0cm8gVG94aWNvbDwvc2Vjb25kYXJ5LXRpdGxl
PjxhbHQtdGl0bGU+QXBwbGllZCBpbiB2aXRybyB0b3hpY29sb2d5PC9hbHQtdGl0bGU+PC90aXRs
ZXM+PHBlcmlvZGljYWw+PGZ1bGwtdGl0bGU+QXBwbCBJbiBWaXRybyBUb3hpY29sPC9mdWxsLXRp
dGxlPjxhYmJyLTE+QXBwbGllZCBpbiB2aXRybyB0b3hpY29sb2d5PC9hYmJyLTE+PC9wZXJpb2Rp
Y2FsPjxhbHQtcGVyaW9kaWNhbD48ZnVsbC10aXRsZT5BcHBsIEluIFZpdHJvIFRveGljb2w8L2Z1
bGwtdGl0bGU+PGFiYnItMT5BcHBsaWVkIGluIHZpdHJvIHRveGljb2xvZ3k8L2FiYnItMT48L2Fs
dC1wZXJpb2RpY2FsPjxwYWdlcz4yOC00MDwvcGFnZXM+PHZvbHVtZT4zPC92b2x1bWU+PG51bWJl
cj4xPC9udW1iZXI+PGVkaXRpb24+MjAxNy8wMy8yNTwvZWRpdGlvbj48a2V5d29yZHM+PGtleXdv
cmQ+YmFycmllciBmdW5jdGlvbjwva2V5d29yZD48a2V5d29yZD5kaWFjZXR5bDwva2V5d29yZD48
a2V5d29yZD5lbGVjdHJvbmljIGNpZ2FyZXR0ZXM8L2tleXdvcmQ+PGtleXdvcmQ+Zmxhdm9yczwv
a2V5d29yZD48a2V5d29yZD5pbmZsYW1tYXRpb248L2tleXdvcmQ+PGtleXdvcmQ+aW50ZXJsZXVr
aW4tODwva2V5d29yZD48L2tleXdvcmRzPjxkYXRlcz48eWVhcj4yMDE3PC95ZWFyPjxwdWItZGF0
ZXM+PGRhdGU+TWFyIDE8L2RhdGU+PC9wdWItZGF0ZXM+PC9kYXRlcz48aXNibj4yMzMyLTE1MTIg
KFByaW50KSYjeEQ7MjMzMi0xNTEyPC9pc2JuPjxhY2Nlc3Npb24tbnVtPjI4MzM3NDY1PC9hY2Nl
c3Npb24tbnVtPjx1cmxzPjwvdXJscz48Y3VzdG9tMj5QTUM1MzM4MDc1PC9jdXN0b20yPjxlbGVj
dHJvbmljLXJlc291cmNlLW51bT4xMC4xMDg5L2FpdnQuMjAxNi4wMDMwPC9lbGVjdHJvbmljLXJl
c291cmNlLW51bT48cmVtb3RlLWRhdGFiYXNlLXByb3ZpZGVyPk5MTTwvcmVtb3RlLWRhdGFiYXNl
LXByb3ZpZGVyPjxsYW5ndWFnZT5lbmc8L2xhbmd1YWdlPjwvcmVjb3JkPjwvQ2l0ZT48L0VuZE5v
dGU+AG==
</w:fldData>
            </w:fldChar>
          </w:r>
          <w:r w:rsidRPr="001C3631">
            <w:instrText xml:space="preserve"> ADDIN EN.CITE </w:instrText>
          </w:r>
          <w:r w:rsidRPr="001C3631">
            <w:fldChar w:fldCharType="begin">
              <w:fldData xml:space="preserve">PEVuZE5vdGU+PENpdGU+PEF1dGhvcj5HZXJsb2ZmPC9BdXRob3I+PFllYXI+MjAxNzwvWWVhcj48
UmVjTnVtPjEyNjA8L1JlY051bT48RGlzcGxheVRleHQ+KEdlcmxvZmYsIFN1bmRhciBldCBhbC4g
MjAxNyk8L0Rpc3BsYXlUZXh0PjxyZWNvcmQ+PHJlYy1udW1iZXI+MTI2MDwvcmVjLW51bWJlcj48
Zm9yZWlnbi1rZXlzPjxrZXkgYXBwPSJFTiIgZGItaWQ9Ijl6MDVkejBwcmFhZGZ1ZWUwem94emVk
azl6ZmU1Znh4NTB6NSIgdGltZXN0YW1wPSIxNTIxNTA3MDM3Ij4xMjYwPC9rZXk+PGtleSBhcHA9
IkVOV2ViIiBkYi1pZD0iIj4wPC9rZXk+PC9mb3JlaWduLWtleXM+PHJlZi10eXBlIG5hbWU9Ikpv
dXJuYWwgQXJ0aWNsZSI+MTc8L3JlZi10eXBlPjxjb250cmlidXRvcnM+PGF1dGhvcnM+PGF1dGhv
cj5HZXJsb2ZmLCBKLjwvYXV0aG9yPjxhdXRob3I+U3VuZGFyLCBJLiBLLjwvYXV0aG9yPjxhdXRo
b3I+RnJldGVyLCBSLjwvYXV0aG9yPjxhdXRob3I+U2VrZXJhLCBFLiBSLjwvYXV0aG9yPjxhdXRo
b3I+RnJpZWRtYW4sIEEuIEUuPC9hdXRob3I+PGF1dGhvcj5Sb2JpbnNvbiwgUi48L2F1dGhvcj48
YXV0aG9yPlBhZ2FubywgVC48L2F1dGhvcj48YXV0aG9yPlJhaG1hbiwgSS48L2F1dGhvcj48L2F1
dGhvcnM+PC9jb250cmlidXRvcnM+PGF1dGgtYWRkcmVzcz5EZXBhcnRtZW50IG9mIEVudmlyb25t
ZW50YWwgTWVkaWNpbmUsIFVuaXZlcnNpdHkgb2YgUm9jaGVzdGVyIE1lZGljYWwgQ2VudGVyICwg
Um9jaGVzdGVyLCBOZXcgWW9yay4mI3hEO0RlcGFydG1lbnQgb2YgQ2hlbWlzdHJ5LCBVbml2ZXJz
aXR5IG9mIEJ1ZmZhbG8gLCBCdWZmYWxvLCBOZXcgWW9yay4mI3hEO0RlcGFydG1lbnQgb2YgTWVj
aGFuaWNhbCBFbmdpbmVlcmluZywgUm9jaGVzdGVyIEluc3RpdHV0ZSBvZiBUZWNobm9sb2d5L05h
dGlvbmFsIFRlY2huaWNhbCBJbnN0aXR1dGUgZm9yIHRoZSBEZWFmICwgUm9jaGVzdGVyLCBOZXcg
WW9yay4mI3hEO0RlcGFydG1lbnQgb2YgU2NpZW5jZSAmYW1wOyBNYXRoZW1hdGljcywgUm9jaGVz
dGVyIEluc3RpdHV0ZSBvZiBUZWNobm9sb2d5L05hdGlvbmFsIFRlY2huaWNhbCBJbnN0aXR1dGUg
Zm9yIHRoZSBEZWFmICwgUm9jaGVzdGVyLCBOZXcgWW9yay48L2F1dGgtYWRkcmVzcz48dGl0bGVz
Pjx0aXRsZT5JbmZsYW1tYXRvcnkgUmVzcG9uc2UgYW5kIEJhcnJpZXIgRHlzZnVuY3Rpb24gYnkg
RGlmZmVyZW50IGUtQ2lnYXJldHRlIEZsYXZvcmluZyBDaGVtaWNhbHMgSWRlbnRpZmllZCBieSBH
YXMgQ2hyb21hdG9ncmFwaHktTWFzcyBTcGVjdHJvbWV0cnkgaW4gZS1MaXF1aWRzIGFuZCBlLVZh
cG9ycyBvbiBIdW1hbiBMdW5nIEVwaXRoZWxpYWwgQ2VsbHMgYW5kIEZpYnJvYmxhc3RzPC90aXRs
ZT48c2Vjb25kYXJ5LXRpdGxlPkFwcGwgSW4gVml0cm8gVG94aWNvbDwvc2Vjb25kYXJ5LXRpdGxl
PjxhbHQtdGl0bGU+QXBwbGllZCBpbiB2aXRybyB0b3hpY29sb2d5PC9hbHQtdGl0bGU+PC90aXRs
ZXM+PHBlcmlvZGljYWw+PGZ1bGwtdGl0bGU+QXBwbCBJbiBWaXRybyBUb3hpY29sPC9mdWxsLXRp
dGxlPjxhYmJyLTE+QXBwbGllZCBpbiB2aXRybyB0b3hpY29sb2d5PC9hYmJyLTE+PC9wZXJpb2Rp
Y2FsPjxhbHQtcGVyaW9kaWNhbD48ZnVsbC10aXRsZT5BcHBsIEluIFZpdHJvIFRveGljb2w8L2Z1
bGwtdGl0bGU+PGFiYnItMT5BcHBsaWVkIGluIHZpdHJvIHRveGljb2xvZ3k8L2FiYnItMT48L2Fs
dC1wZXJpb2RpY2FsPjxwYWdlcz4yOC00MDwvcGFnZXM+PHZvbHVtZT4zPC92b2x1bWU+PG51bWJl
cj4xPC9udW1iZXI+PGVkaXRpb24+MjAxNy8wMy8yNTwvZWRpdGlvbj48a2V5d29yZHM+PGtleXdv
cmQ+YmFycmllciBmdW5jdGlvbjwva2V5d29yZD48a2V5d29yZD5kaWFjZXR5bDwva2V5d29yZD48
a2V5d29yZD5lbGVjdHJvbmljIGNpZ2FyZXR0ZXM8L2tleXdvcmQ+PGtleXdvcmQ+Zmxhdm9yczwv
a2V5d29yZD48a2V5d29yZD5pbmZsYW1tYXRpb248L2tleXdvcmQ+PGtleXdvcmQ+aW50ZXJsZXVr
aW4tODwva2V5d29yZD48L2tleXdvcmRzPjxkYXRlcz48eWVhcj4yMDE3PC95ZWFyPjxwdWItZGF0
ZXM+PGRhdGU+TWFyIDE8L2RhdGU+PC9wdWItZGF0ZXM+PC9kYXRlcz48aXNibj4yMzMyLTE1MTIg
KFByaW50KSYjeEQ7MjMzMi0xNTEyPC9pc2JuPjxhY2Nlc3Npb24tbnVtPjI4MzM3NDY1PC9hY2Nl
c3Npb24tbnVtPjx1cmxzPjwvdXJscz48Y3VzdG9tMj5QTUM1MzM4MDc1PC9jdXN0b20yPjxlbGVj
dHJvbmljLXJlc291cmNlLW51bT4xMC4xMDg5L2FpdnQuMjAxNi4wMDMwPC9lbGVjdHJvbmljLXJl
c291cmNlLW51bT48cmVtb3RlLWRhdGFiYXNlLXByb3ZpZGVyPk5MTTwvcmVtb3RlLWRhdGFiYXNl
LXByb3ZpZGVyPjxsYW5ndWFnZT5lbmc8L2xhbmd1YWdlPjwvcmVjb3JkPjwvQ2l0ZT48L0VuZE5v
dGU+AG==
</w:fldData>
            </w:fldChar>
          </w:r>
          <w:r w:rsidRPr="001C3631">
            <w:instrText xml:space="preserve"> ADDIN EN.CITE.DATA </w:instrText>
          </w:r>
          <w:r w:rsidRPr="001C3631">
            <w:fldChar w:fldCharType="end"/>
          </w:r>
          <w:r w:rsidRPr="001C3631">
            <w:fldChar w:fldCharType="separate"/>
          </w:r>
          <w:r w:rsidRPr="001C3631">
            <w:t>(Gerloff, Sundar et al. 2017)</w:t>
          </w:r>
          <w:r w:rsidRPr="001C3631">
            <w:fldChar w:fldCharType="end"/>
          </w:r>
          <w:r w:rsidRPr="001C3631">
            <w:t xml:space="preserve">. However, in this study other e-cigarette flavours did not lead to loss of epithelial barrier function (pentanedione and ortho-vanillin) </w:t>
          </w:r>
          <w:r w:rsidRPr="001C3631">
            <w:fldChar w:fldCharType="begin">
              <w:fldData xml:space="preserve">PEVuZE5vdGU+PENpdGU+PEF1dGhvcj5HZXJsb2ZmPC9BdXRob3I+PFllYXI+MjAxNzwvWWVhcj48
UmVjTnVtPjEyNjA8L1JlY051bT48RGlzcGxheVRleHQ+KEdlcmxvZmYsIFN1bmRhciBldCBhbC4g
MjAxNyk8L0Rpc3BsYXlUZXh0PjxyZWNvcmQ+PHJlYy1udW1iZXI+MTI2MDwvcmVjLW51bWJlcj48
Zm9yZWlnbi1rZXlzPjxrZXkgYXBwPSJFTiIgZGItaWQ9Ijl6MDVkejBwcmFhZGZ1ZWUwem94emVk
azl6ZmU1Znh4NTB6NSIgdGltZXN0YW1wPSIxNTIxNTA3MDM3Ij4xMjYwPC9rZXk+PGtleSBhcHA9
IkVOV2ViIiBkYi1pZD0iIj4wPC9rZXk+PC9mb3JlaWduLWtleXM+PHJlZi10eXBlIG5hbWU9Ikpv
dXJuYWwgQXJ0aWNsZSI+MTc8L3JlZi10eXBlPjxjb250cmlidXRvcnM+PGF1dGhvcnM+PGF1dGhv
cj5HZXJsb2ZmLCBKLjwvYXV0aG9yPjxhdXRob3I+U3VuZGFyLCBJLiBLLjwvYXV0aG9yPjxhdXRo
b3I+RnJldGVyLCBSLjwvYXV0aG9yPjxhdXRob3I+U2VrZXJhLCBFLiBSLjwvYXV0aG9yPjxhdXRo
b3I+RnJpZWRtYW4sIEEuIEUuPC9hdXRob3I+PGF1dGhvcj5Sb2JpbnNvbiwgUi48L2F1dGhvcj48
YXV0aG9yPlBhZ2FubywgVC48L2F1dGhvcj48YXV0aG9yPlJhaG1hbiwgSS48L2F1dGhvcj48L2F1
dGhvcnM+PC9jb250cmlidXRvcnM+PGF1dGgtYWRkcmVzcz5EZXBhcnRtZW50IG9mIEVudmlyb25t
ZW50YWwgTWVkaWNpbmUsIFVuaXZlcnNpdHkgb2YgUm9jaGVzdGVyIE1lZGljYWwgQ2VudGVyICwg
Um9jaGVzdGVyLCBOZXcgWW9yay4mI3hEO0RlcGFydG1lbnQgb2YgQ2hlbWlzdHJ5LCBVbml2ZXJz
aXR5IG9mIEJ1ZmZhbG8gLCBCdWZmYWxvLCBOZXcgWW9yay4mI3hEO0RlcGFydG1lbnQgb2YgTWVj
aGFuaWNhbCBFbmdpbmVlcmluZywgUm9jaGVzdGVyIEluc3RpdHV0ZSBvZiBUZWNobm9sb2d5L05h
dGlvbmFsIFRlY2huaWNhbCBJbnN0aXR1dGUgZm9yIHRoZSBEZWFmICwgUm9jaGVzdGVyLCBOZXcg
WW9yay4mI3hEO0RlcGFydG1lbnQgb2YgU2NpZW5jZSAmYW1wOyBNYXRoZW1hdGljcywgUm9jaGVz
dGVyIEluc3RpdHV0ZSBvZiBUZWNobm9sb2d5L05hdGlvbmFsIFRlY2huaWNhbCBJbnN0aXR1dGUg
Zm9yIHRoZSBEZWFmICwgUm9jaGVzdGVyLCBOZXcgWW9yay48L2F1dGgtYWRkcmVzcz48dGl0bGVz
Pjx0aXRsZT5JbmZsYW1tYXRvcnkgUmVzcG9uc2UgYW5kIEJhcnJpZXIgRHlzZnVuY3Rpb24gYnkg
RGlmZmVyZW50IGUtQ2lnYXJldHRlIEZsYXZvcmluZyBDaGVtaWNhbHMgSWRlbnRpZmllZCBieSBH
YXMgQ2hyb21hdG9ncmFwaHktTWFzcyBTcGVjdHJvbWV0cnkgaW4gZS1MaXF1aWRzIGFuZCBlLVZh
cG9ycyBvbiBIdW1hbiBMdW5nIEVwaXRoZWxpYWwgQ2VsbHMgYW5kIEZpYnJvYmxhc3RzPC90aXRs
ZT48c2Vjb25kYXJ5LXRpdGxlPkFwcGwgSW4gVml0cm8gVG94aWNvbDwvc2Vjb25kYXJ5LXRpdGxl
PjxhbHQtdGl0bGU+QXBwbGllZCBpbiB2aXRybyB0b3hpY29sb2d5PC9hbHQtdGl0bGU+PC90aXRs
ZXM+PHBlcmlvZGljYWw+PGZ1bGwtdGl0bGU+QXBwbCBJbiBWaXRybyBUb3hpY29sPC9mdWxsLXRp
dGxlPjxhYmJyLTE+QXBwbGllZCBpbiB2aXRybyB0b3hpY29sb2d5PC9hYmJyLTE+PC9wZXJpb2Rp
Y2FsPjxhbHQtcGVyaW9kaWNhbD48ZnVsbC10aXRsZT5BcHBsIEluIFZpdHJvIFRveGljb2w8L2Z1
bGwtdGl0bGU+PGFiYnItMT5BcHBsaWVkIGluIHZpdHJvIHRveGljb2xvZ3k8L2FiYnItMT48L2Fs
dC1wZXJpb2RpY2FsPjxwYWdlcz4yOC00MDwvcGFnZXM+PHZvbHVtZT4zPC92b2x1bWU+PG51bWJl
cj4xPC9udW1iZXI+PGVkaXRpb24+MjAxNy8wMy8yNTwvZWRpdGlvbj48a2V5d29yZHM+PGtleXdv
cmQ+YmFycmllciBmdW5jdGlvbjwva2V5d29yZD48a2V5d29yZD5kaWFjZXR5bDwva2V5d29yZD48
a2V5d29yZD5lbGVjdHJvbmljIGNpZ2FyZXR0ZXM8L2tleXdvcmQ+PGtleXdvcmQ+Zmxhdm9yczwv
a2V5d29yZD48a2V5d29yZD5pbmZsYW1tYXRpb248L2tleXdvcmQ+PGtleXdvcmQ+aW50ZXJsZXVr
aW4tODwva2V5d29yZD48L2tleXdvcmRzPjxkYXRlcz48eWVhcj4yMDE3PC95ZWFyPjxwdWItZGF0
ZXM+PGRhdGU+TWFyIDE8L2RhdGU+PC9wdWItZGF0ZXM+PC9kYXRlcz48aXNibj4yMzMyLTE1MTIg
KFByaW50KSYjeEQ7MjMzMi0xNTEyPC9pc2JuPjxhY2Nlc3Npb24tbnVtPjI4MzM3NDY1PC9hY2Nl
c3Npb24tbnVtPjx1cmxzPjwvdXJscz48Y3VzdG9tMj5QTUM1MzM4MDc1PC9jdXN0b20yPjxlbGVj
dHJvbmljLXJlc291cmNlLW51bT4xMC4xMDg5L2FpdnQuMjAxNi4wMDMwPC9lbGVjdHJvbmljLXJl
c291cmNlLW51bT48cmVtb3RlLWRhdGFiYXNlLXByb3ZpZGVyPk5MTTwvcmVtb3RlLWRhdGFiYXNl
LXByb3ZpZGVyPjxsYW5ndWFnZT5lbmc8L2xhbmd1YWdlPjwvcmVjb3JkPjwvQ2l0ZT48L0VuZE5v
dGU+AG==
</w:fldData>
            </w:fldChar>
          </w:r>
          <w:r w:rsidRPr="001C3631">
            <w:instrText xml:space="preserve"> ADDIN EN.CITE </w:instrText>
          </w:r>
          <w:r w:rsidRPr="001C3631">
            <w:fldChar w:fldCharType="begin">
              <w:fldData xml:space="preserve">PEVuZE5vdGU+PENpdGU+PEF1dGhvcj5HZXJsb2ZmPC9BdXRob3I+PFllYXI+MjAxNzwvWWVhcj48
UmVjTnVtPjEyNjA8L1JlY051bT48RGlzcGxheVRleHQ+KEdlcmxvZmYsIFN1bmRhciBldCBhbC4g
MjAxNyk8L0Rpc3BsYXlUZXh0PjxyZWNvcmQ+PHJlYy1udW1iZXI+MTI2MDwvcmVjLW51bWJlcj48
Zm9yZWlnbi1rZXlzPjxrZXkgYXBwPSJFTiIgZGItaWQ9Ijl6MDVkejBwcmFhZGZ1ZWUwem94emVk
azl6ZmU1Znh4NTB6NSIgdGltZXN0YW1wPSIxNTIxNTA3MDM3Ij4xMjYwPC9rZXk+PGtleSBhcHA9
IkVOV2ViIiBkYi1pZD0iIj4wPC9rZXk+PC9mb3JlaWduLWtleXM+PHJlZi10eXBlIG5hbWU9Ikpv
dXJuYWwgQXJ0aWNsZSI+MTc8L3JlZi10eXBlPjxjb250cmlidXRvcnM+PGF1dGhvcnM+PGF1dGhv
cj5HZXJsb2ZmLCBKLjwvYXV0aG9yPjxhdXRob3I+U3VuZGFyLCBJLiBLLjwvYXV0aG9yPjxhdXRo
b3I+RnJldGVyLCBSLjwvYXV0aG9yPjxhdXRob3I+U2VrZXJhLCBFLiBSLjwvYXV0aG9yPjxhdXRo
b3I+RnJpZWRtYW4sIEEuIEUuPC9hdXRob3I+PGF1dGhvcj5Sb2JpbnNvbiwgUi48L2F1dGhvcj48
YXV0aG9yPlBhZ2FubywgVC48L2F1dGhvcj48YXV0aG9yPlJhaG1hbiwgSS48L2F1dGhvcj48L2F1
dGhvcnM+PC9jb250cmlidXRvcnM+PGF1dGgtYWRkcmVzcz5EZXBhcnRtZW50IG9mIEVudmlyb25t
ZW50YWwgTWVkaWNpbmUsIFVuaXZlcnNpdHkgb2YgUm9jaGVzdGVyIE1lZGljYWwgQ2VudGVyICwg
Um9jaGVzdGVyLCBOZXcgWW9yay4mI3hEO0RlcGFydG1lbnQgb2YgQ2hlbWlzdHJ5LCBVbml2ZXJz
aXR5IG9mIEJ1ZmZhbG8gLCBCdWZmYWxvLCBOZXcgWW9yay4mI3hEO0RlcGFydG1lbnQgb2YgTWVj
aGFuaWNhbCBFbmdpbmVlcmluZywgUm9jaGVzdGVyIEluc3RpdHV0ZSBvZiBUZWNobm9sb2d5L05h
dGlvbmFsIFRlY2huaWNhbCBJbnN0aXR1dGUgZm9yIHRoZSBEZWFmICwgUm9jaGVzdGVyLCBOZXcg
WW9yay4mI3hEO0RlcGFydG1lbnQgb2YgU2NpZW5jZSAmYW1wOyBNYXRoZW1hdGljcywgUm9jaGVz
dGVyIEluc3RpdHV0ZSBvZiBUZWNobm9sb2d5L05hdGlvbmFsIFRlY2huaWNhbCBJbnN0aXR1dGUg
Zm9yIHRoZSBEZWFmICwgUm9jaGVzdGVyLCBOZXcgWW9yay48L2F1dGgtYWRkcmVzcz48dGl0bGVz
Pjx0aXRsZT5JbmZsYW1tYXRvcnkgUmVzcG9uc2UgYW5kIEJhcnJpZXIgRHlzZnVuY3Rpb24gYnkg
RGlmZmVyZW50IGUtQ2lnYXJldHRlIEZsYXZvcmluZyBDaGVtaWNhbHMgSWRlbnRpZmllZCBieSBH
YXMgQ2hyb21hdG9ncmFwaHktTWFzcyBTcGVjdHJvbWV0cnkgaW4gZS1MaXF1aWRzIGFuZCBlLVZh
cG9ycyBvbiBIdW1hbiBMdW5nIEVwaXRoZWxpYWwgQ2VsbHMgYW5kIEZpYnJvYmxhc3RzPC90aXRs
ZT48c2Vjb25kYXJ5LXRpdGxlPkFwcGwgSW4gVml0cm8gVG94aWNvbDwvc2Vjb25kYXJ5LXRpdGxl
PjxhbHQtdGl0bGU+QXBwbGllZCBpbiB2aXRybyB0b3hpY29sb2d5PC9hbHQtdGl0bGU+PC90aXRs
ZXM+PHBlcmlvZGljYWw+PGZ1bGwtdGl0bGU+QXBwbCBJbiBWaXRybyBUb3hpY29sPC9mdWxsLXRp
dGxlPjxhYmJyLTE+QXBwbGllZCBpbiB2aXRybyB0b3hpY29sb2d5PC9hYmJyLTE+PC9wZXJpb2Rp
Y2FsPjxhbHQtcGVyaW9kaWNhbD48ZnVsbC10aXRsZT5BcHBsIEluIFZpdHJvIFRveGljb2w8L2Z1
bGwtdGl0bGU+PGFiYnItMT5BcHBsaWVkIGluIHZpdHJvIHRveGljb2xvZ3k8L2FiYnItMT48L2Fs
dC1wZXJpb2RpY2FsPjxwYWdlcz4yOC00MDwvcGFnZXM+PHZvbHVtZT4zPC92b2x1bWU+PG51bWJl
cj4xPC9udW1iZXI+PGVkaXRpb24+MjAxNy8wMy8yNTwvZWRpdGlvbj48a2V5d29yZHM+PGtleXdv
cmQ+YmFycmllciBmdW5jdGlvbjwva2V5d29yZD48a2V5d29yZD5kaWFjZXR5bDwva2V5d29yZD48
a2V5d29yZD5lbGVjdHJvbmljIGNpZ2FyZXR0ZXM8L2tleXdvcmQ+PGtleXdvcmQ+Zmxhdm9yczwv
a2V5d29yZD48a2V5d29yZD5pbmZsYW1tYXRpb248L2tleXdvcmQ+PGtleXdvcmQ+aW50ZXJsZXVr
aW4tODwva2V5d29yZD48L2tleXdvcmRzPjxkYXRlcz48eWVhcj4yMDE3PC95ZWFyPjxwdWItZGF0
ZXM+PGRhdGU+TWFyIDE8L2RhdGU+PC9wdWItZGF0ZXM+PC9kYXRlcz48aXNibj4yMzMyLTE1MTIg
KFByaW50KSYjeEQ7MjMzMi0xNTEyPC9pc2JuPjxhY2Nlc3Npb24tbnVtPjI4MzM3NDY1PC9hY2Nl
c3Npb24tbnVtPjx1cmxzPjwvdXJscz48Y3VzdG9tMj5QTUM1MzM4MDc1PC9jdXN0b20yPjxlbGVj
dHJvbmljLXJlc291cmNlLW51bT4xMC4xMDg5L2FpdnQuMjAxNi4wMDMwPC9lbGVjdHJvbmljLXJl
c291cmNlLW51bT48cmVtb3RlLWRhdGFiYXNlLXByb3ZpZGVyPk5MTTwvcmVtb3RlLWRhdGFiYXNl
LXByb3ZpZGVyPjxsYW5ndWFnZT5lbmc8L2xhbmd1YWdlPjwvcmVjb3JkPjwvQ2l0ZT48L0VuZE5v
dGU+AG==
</w:fldData>
            </w:fldChar>
          </w:r>
          <w:r w:rsidRPr="001C3631">
            <w:instrText xml:space="preserve"> ADDIN EN.CITE.DATA </w:instrText>
          </w:r>
          <w:r w:rsidRPr="001C3631">
            <w:fldChar w:fldCharType="end"/>
          </w:r>
          <w:r w:rsidRPr="001C3631">
            <w:fldChar w:fldCharType="separate"/>
          </w:r>
          <w:r w:rsidRPr="001C3631">
            <w:t>(Gerloff, Sundar et al. 2017)</w:t>
          </w:r>
          <w:r w:rsidRPr="001C3631">
            <w:fldChar w:fldCharType="end"/>
          </w:r>
          <w:r w:rsidRPr="001C3631">
            <w:t xml:space="preserve">. Thus, the impact of e-cigarettes on barrier function appears to differ between e-cigarette fluids. Finally, another study found that e-cigarette vapour exposure led to decreased trans-epithelial electric resistance, compared with the air control, indicating a loss of barrier integrity, however the levels were still within a functional range </w:t>
          </w:r>
          <w:r w:rsidRPr="001C3631">
            <w:fldChar w:fldCharType="begin"/>
          </w:r>
          <w:r w:rsidRPr="001C3631">
            <w:instrText xml:space="preserve"> ADDIN EN.CITE &lt;EndNote&gt;&lt;Cite&gt;&lt;Author&gt;Haswell&lt;/Author&gt;&lt;Year&gt;2017&lt;/Year&gt;&lt;RecNum&gt;1193&lt;/RecNum&gt;&lt;DisplayText&gt;(Haswell, Baxter et al. 2017)&lt;/DisplayText&gt;&lt;record&gt;&lt;rec-number&gt;1193&lt;/rec-number&gt;&lt;foreign-keys&gt;&lt;key app="EN" db-id="9z05dz0praadfuee0zoxzedk9zfe5fxx50z5" timestamp="1521507022"&gt;1193&lt;/key&gt;&lt;key app="ENWeb" db-id=""&gt;0&lt;/key&gt;&lt;/foreign-keys&gt;&lt;ref-type name="Journal Article"&gt;17&lt;/ref-type&gt;&lt;contributors&gt;&lt;authors&gt;&lt;author&gt;Haswell, L. E.&lt;/author&gt;&lt;author&gt;Baxter, A.&lt;/author&gt;&lt;author&gt;Banerjee, A.&lt;/author&gt;&lt;author&gt;Verrastro, I.&lt;/author&gt;&lt;author&gt;Mushonganono, J.&lt;/author&gt;&lt;author&gt;Adamson, J.&lt;/author&gt;&lt;author&gt;Thorne, D.&lt;/author&gt;&lt;author&gt;Gaca, M.&lt;/author&gt;&lt;author&gt;Minet, E.&lt;/author&gt;&lt;/authors&gt;&lt;/contributors&gt;&lt;auth-address&gt;British American Tobacco R&amp;amp;D Centre, Regents Park Road, Southampton, SO15 8TL, UK.&amp;#xD;British American Tobacco R&amp;amp;D Centre, Regents Park Road, Southampton, SO15 8TL, UK. emmanuel_minet@BAT.com.&lt;/auth-address&gt;&lt;titles&gt;&lt;title&gt;Reduced biological effect of e-cigarette aerosol compared to cigarette smoke evaluated in vitro using normalized nicotine dose and RNA-seq-based toxicogenomics&lt;/title&gt;&lt;secondary-title&gt;Sci Rep&lt;/secondary-title&gt;&lt;alt-title&gt;Scientific reports&lt;/alt-title&gt;&lt;/titles&gt;&lt;alt-periodical&gt;&lt;full-title&gt;Scientific Reports&lt;/full-title&gt;&lt;/alt-periodical&gt;&lt;pages&gt;888&lt;/pages&gt;&lt;volume&gt;7&lt;/volume&gt;&lt;number&gt;1&lt;/number&gt;&lt;edition&gt;2017/04/20&lt;/edition&gt;&lt;dates&gt;&lt;year&gt;2017&lt;/year&gt;&lt;pub-dates&gt;&lt;date&gt;Apr 18&lt;/date&gt;&lt;/pub-dates&gt;&lt;/dates&gt;&lt;isbn&gt;2045-2322&lt;/isbn&gt;&lt;accession-num&gt;28420881&lt;/accession-num&gt;&lt;urls&gt;&lt;related-urls&gt;&lt;url&gt;https://www.ncbi.nlm.nih.gov/pmc/articles/PMC5429854/pdf/41598_2017_Article_852.pdf&lt;/url&gt;&lt;/related-urls&gt;&lt;/urls&gt;&lt;custom2&gt;PMC5429854&lt;/custom2&gt;&lt;electronic-resource-num&gt;10.1038/s41598-017-00852-y&lt;/electronic-resource-num&gt;&lt;remote-database-provider&gt;NLM&lt;/remote-database-provider&gt;&lt;language&gt;eng&lt;/language&gt;&lt;/record&gt;&lt;/Cite&gt;&lt;/EndNote&gt;</w:instrText>
          </w:r>
          <w:r w:rsidRPr="001C3631">
            <w:fldChar w:fldCharType="separate"/>
          </w:r>
          <w:r w:rsidRPr="001C3631">
            <w:t>(Haswell, Baxter et al. 2017)</w:t>
          </w:r>
          <w:r w:rsidRPr="001C3631">
            <w:fldChar w:fldCharType="end"/>
          </w:r>
          <w:r w:rsidRPr="001C3631">
            <w:t xml:space="preserve">. </w:t>
          </w:r>
        </w:p>
        <w:p w14:paraId="079AD9E1" w14:textId="77777777" w:rsidR="00A74D41" w:rsidRDefault="00A74D41" w:rsidP="00A74D41">
          <w:pPr>
            <w:pStyle w:val="BodyText"/>
          </w:pPr>
          <w:r w:rsidRPr="001C3631">
            <w:lastRenderedPageBreak/>
            <w:t xml:space="preserve">Pulmonary surfactant is a thin layer of fluid, secreted by alveolar cells to reduce surface tension and prevent alveolar collapse </w:t>
          </w:r>
          <w:r w:rsidRPr="001C3631">
            <w:fldChar w:fldCharType="begin">
              <w:fldData xml:space="preserve">PEVuZE5vdGU+PENpdGU+PEF1dGhvcj5Qcnp5YnlsYTwvQXV0aG9yPjxZZWFyPjIwMTc8L1llYXI+
PFJlY051bT43Njk8L1JlY051bT48RGlzcGxheVRleHQ+KFByenlieWxhLCBXcmlnaHQgZXQgYWwu
IDIwMTcpPC9EaXNwbGF5VGV4dD48cmVjb3JkPjxyZWMtbnVtYmVyPjc2OTwvcmVjLW51bWJlcj48
Zm9yZWlnbi1rZXlzPjxrZXkgYXBwPSJFTiIgZGItaWQ9Ijl6MDVkejBwcmFhZGZ1ZWUwem94emVk
azl6ZmU1Znh4NTB6NSIgdGltZXN0YW1wPSIxNTIxNTA2OTI0Ij43Njk8L2tleT48L2ZvcmVpZ24t
a2V5cz48cmVmLXR5cGUgbmFtZT0iSm91cm5hbCBBcnRpY2xlIj4xNzwvcmVmLXR5cGU+PGNvbnRy
aWJ1dG9ycz48YXV0aG9ycz48YXV0aG9yPlByenlieWxhLCBSLiBKLjwvYXV0aG9yPjxhdXRob3I+
V3JpZ2h0LCBKLjwvYXV0aG9yPjxhdXRob3I+UGFydGhpYmFuLCBSLjwvYXV0aG9yPjxhdXRob3I+
TmF6ZW1pZGFzaHRhcmphbmRpLCBTLjwvYXV0aG9yPjxhdXRob3I+S2F5YSwgUy48L2F1dGhvcj48
YXV0aG9yPkZhcm5vdWQsIEEuIE0uPC9hdXRob3I+PC9hdXRob3JzPjwvY29udHJpYnV0b3JzPjxh
dXRoLWFkZHJlc3M+QmlvbWVkaWNhbCBFbmdpbmVlcmluZyBQcm9ncmFtLCBEZXBhcnRtZW50IG9m
IENoZW1pY2FsIGFuZCBCaW9tb2xlY3VsYXIgRW5naW5lZXJpbmcsIDE2OCBTdG9ja2VyIENlbnRl
ciwgT2hpbyBVbml2ZXJzaXR5LCBBdGhlbnMsIE9ILCA0NTcwMSwgVVNBLiYjeEQ7U2Nob29sIG9m
IEVsZWN0cmljYWwgRW5naW5lZXJpbmcgYW5kIENvbXB1dGVyIFNjaWVuY2UsIE9oaW8gVW5pdmVy
c2l0eSwgQXRoZW5zLCBPSCwgNDU3MDEsIFVTQS4mI3hEO0Jpb21lZGljYWwgRW5naW5lZXJpbmcg
UHJvZ3JhbSwgRGVwYXJ0bWVudCBvZiBDaGVtaWNhbCBhbmQgQmlvbW9sZWN1bGFyIEVuZ2luZWVy
aW5nLCAxNjggU3RvY2tlciBDZW50ZXIsIE9oaW8gVW5pdmVyc2l0eSwgQXRoZW5zLCBPSCwgNDU3
MDEsIFVTQS4gZmFybm91ZEBvaGlvLmVkdS48L2F1dGgtYWRkcmVzcz48dGl0bGVzPjx0aXRsZT5F
bGVjdHJvbmljIGNpZ2FyZXR0ZSB2YXBvciBhbHRlcnMgdGhlIGxhdGVyYWwgc3RydWN0dXJlIGJ1
dCBub3QgdGVuc2lvbWV0cmljIHByb3BlcnRpZXMgb2YgY2FsZiBsdW5nIHN1cmZhY3RhbnQ8L3Rp
dGxlPjxzZWNvbmRhcnktdGl0bGU+UmVzcGlyIFJlczwvc2Vjb25kYXJ5LXRpdGxlPjxhbHQtdGl0
bGU+UmVzcGlyYXRvcnkgcmVzZWFyY2g8L2FsdC10aXRsZT48L3RpdGxlcz48YWx0LXBlcmlvZGlj
YWw+PGZ1bGwtdGl0bGU+UmVzcGlyYXRvcnkgUmVzZWFyY2g8L2Z1bGwtdGl0bGU+PC9hbHQtcGVy
aW9kaWNhbD48cGFnZXM+MTkzPC9wYWdlcz48dm9sdW1lPjE4PC92b2x1bWU+PG51bWJlcj4xPC9u
dW1iZXI+PGVkaXRpb24+MjAxNy8xMS8xOTwvZWRpdGlvbj48a2V5d29yZHM+PGtleXdvcmQ+RWxl
Y3Ryb25pYyBjaWdhcmV0dGU8L2tleXdvcmQ+PGtleXdvcmQ+SW5mYXN1cmYoUik8L2tleXdvcmQ+
PGtleXdvcmQ+THVuZyBzdXJmYWN0YW50PC9rZXl3b3JkPjxrZXl3b3JkPlN1cmZhY2UgdGVuc2lv
bjwva2V5d29yZD48a2V5d29yZD5TdXJmYWN0YW50IGluaGliaXRpb248L2tleXdvcmQ+PC9rZXl3
b3Jkcz48ZGF0ZXM+PHllYXI+MjAxNzwveWVhcj48cHViLWRhdGVzPjxkYXRlPk5vdiAxNzwvZGF0
ZT48L3B1Yi1kYXRlcz48L2RhdGVzPjxpc2JuPjE0NjUtOTkyMTwvaXNibj48YWNjZXNzaW9uLW51
bT4yOTE0OTg4OTwvYWNjZXNzaW9uLW51bT48dXJscz48cmVsYXRlZC11cmxzPjx1cmw+aHR0cHM6
Ly93d3cubmNiaS5ubG0ubmloLmdvdi9wbWMvYXJ0aWNsZXMvUE1DNTY5MzU0Ny9wZGYvMTI5MzFf
MjAxN19BcnRpY2xlXzY3Ni5wZGY8L3VybD48L3JlbGF0ZWQtdXJscz48L3VybHM+PGN1c3RvbTI+
UE1DNTY5MzU0NzwvY3VzdG9tMj48ZWxlY3Ryb25pYy1yZXNvdXJjZS1udW0+MTAuMTE4Ni9zMTI5
MzEtMDE3LTA2NzYtOTwvZWxlY3Ryb25pYy1yZXNvdXJjZS1udW0+PHJlbW90ZS1kYXRhYmFzZS1w
cm92aWRlcj5OTE08L3JlbW90ZS1kYXRhYmFzZS1wcm92aWRlcj48bGFuZ3VhZ2U+ZW5nPC9sYW5n
dWFnZT48L3JlY29yZD48L0NpdGU+PC9FbmROb3RlPgB=
</w:fldData>
            </w:fldChar>
          </w:r>
          <w:r w:rsidRPr="001C3631">
            <w:instrText xml:space="preserve"> ADDIN EN.CITE </w:instrText>
          </w:r>
          <w:r w:rsidRPr="001C3631">
            <w:fldChar w:fldCharType="begin">
              <w:fldData xml:space="preserve">PEVuZE5vdGU+PENpdGU+PEF1dGhvcj5Qcnp5YnlsYTwvQXV0aG9yPjxZZWFyPjIwMTc8L1llYXI+
PFJlY051bT43Njk8L1JlY051bT48RGlzcGxheVRleHQ+KFByenlieWxhLCBXcmlnaHQgZXQgYWwu
IDIwMTcpPC9EaXNwbGF5VGV4dD48cmVjb3JkPjxyZWMtbnVtYmVyPjc2OTwvcmVjLW51bWJlcj48
Zm9yZWlnbi1rZXlzPjxrZXkgYXBwPSJFTiIgZGItaWQ9Ijl6MDVkejBwcmFhZGZ1ZWUwem94emVk
azl6ZmU1Znh4NTB6NSIgdGltZXN0YW1wPSIxNTIxNTA2OTI0Ij43Njk8L2tleT48L2ZvcmVpZ24t
a2V5cz48cmVmLXR5cGUgbmFtZT0iSm91cm5hbCBBcnRpY2xlIj4xNzwvcmVmLXR5cGU+PGNvbnRy
aWJ1dG9ycz48YXV0aG9ycz48YXV0aG9yPlByenlieWxhLCBSLiBKLjwvYXV0aG9yPjxhdXRob3I+
V3JpZ2h0LCBKLjwvYXV0aG9yPjxhdXRob3I+UGFydGhpYmFuLCBSLjwvYXV0aG9yPjxhdXRob3I+
TmF6ZW1pZGFzaHRhcmphbmRpLCBTLjwvYXV0aG9yPjxhdXRob3I+S2F5YSwgUy48L2F1dGhvcj48
YXV0aG9yPkZhcm5vdWQsIEEuIE0uPC9hdXRob3I+PC9hdXRob3JzPjwvY29udHJpYnV0b3JzPjxh
dXRoLWFkZHJlc3M+QmlvbWVkaWNhbCBFbmdpbmVlcmluZyBQcm9ncmFtLCBEZXBhcnRtZW50IG9m
IENoZW1pY2FsIGFuZCBCaW9tb2xlY3VsYXIgRW5naW5lZXJpbmcsIDE2OCBTdG9ja2VyIENlbnRl
ciwgT2hpbyBVbml2ZXJzaXR5LCBBdGhlbnMsIE9ILCA0NTcwMSwgVVNBLiYjeEQ7U2Nob29sIG9m
IEVsZWN0cmljYWwgRW5naW5lZXJpbmcgYW5kIENvbXB1dGVyIFNjaWVuY2UsIE9oaW8gVW5pdmVy
c2l0eSwgQXRoZW5zLCBPSCwgNDU3MDEsIFVTQS4mI3hEO0Jpb21lZGljYWwgRW5naW5lZXJpbmcg
UHJvZ3JhbSwgRGVwYXJ0bWVudCBvZiBDaGVtaWNhbCBhbmQgQmlvbW9sZWN1bGFyIEVuZ2luZWVy
aW5nLCAxNjggU3RvY2tlciBDZW50ZXIsIE9oaW8gVW5pdmVyc2l0eSwgQXRoZW5zLCBPSCwgNDU3
MDEsIFVTQS4gZmFybm91ZEBvaGlvLmVkdS48L2F1dGgtYWRkcmVzcz48dGl0bGVzPjx0aXRsZT5F
bGVjdHJvbmljIGNpZ2FyZXR0ZSB2YXBvciBhbHRlcnMgdGhlIGxhdGVyYWwgc3RydWN0dXJlIGJ1
dCBub3QgdGVuc2lvbWV0cmljIHByb3BlcnRpZXMgb2YgY2FsZiBsdW5nIHN1cmZhY3RhbnQ8L3Rp
dGxlPjxzZWNvbmRhcnktdGl0bGU+UmVzcGlyIFJlczwvc2Vjb25kYXJ5LXRpdGxlPjxhbHQtdGl0
bGU+UmVzcGlyYXRvcnkgcmVzZWFyY2g8L2FsdC10aXRsZT48L3RpdGxlcz48YWx0LXBlcmlvZGlj
YWw+PGZ1bGwtdGl0bGU+UmVzcGlyYXRvcnkgUmVzZWFyY2g8L2Z1bGwtdGl0bGU+PC9hbHQtcGVy
aW9kaWNhbD48cGFnZXM+MTkzPC9wYWdlcz48dm9sdW1lPjE4PC92b2x1bWU+PG51bWJlcj4xPC9u
dW1iZXI+PGVkaXRpb24+MjAxNy8xMS8xOTwvZWRpdGlvbj48a2V5d29yZHM+PGtleXdvcmQ+RWxl
Y3Ryb25pYyBjaWdhcmV0dGU8L2tleXdvcmQ+PGtleXdvcmQ+SW5mYXN1cmYoUik8L2tleXdvcmQ+
PGtleXdvcmQ+THVuZyBzdXJmYWN0YW50PC9rZXl3b3JkPjxrZXl3b3JkPlN1cmZhY2UgdGVuc2lv
bjwva2V5d29yZD48a2V5d29yZD5TdXJmYWN0YW50IGluaGliaXRpb248L2tleXdvcmQ+PC9rZXl3
b3Jkcz48ZGF0ZXM+PHllYXI+MjAxNzwveWVhcj48cHViLWRhdGVzPjxkYXRlPk5vdiAxNzwvZGF0
ZT48L3B1Yi1kYXRlcz48L2RhdGVzPjxpc2JuPjE0NjUtOTkyMTwvaXNibj48YWNjZXNzaW9uLW51
bT4yOTE0OTg4OTwvYWNjZXNzaW9uLW51bT48dXJscz48cmVsYXRlZC11cmxzPjx1cmw+aHR0cHM6
Ly93d3cubmNiaS5ubG0ubmloLmdvdi9wbWMvYXJ0aWNsZXMvUE1DNTY5MzU0Ny9wZGYvMTI5MzFf
MjAxN19BcnRpY2xlXzY3Ni5wZGY8L3VybD48L3JlbGF0ZWQtdXJscz48L3VybHM+PGN1c3RvbTI+
UE1DNTY5MzU0NzwvY3VzdG9tMj48ZWxlY3Ryb25pYy1yZXNvdXJjZS1udW0+MTAuMTE4Ni9zMTI5
MzEtMDE3LTA2NzYtOTwvZWxlY3Ryb25pYy1yZXNvdXJjZS1udW0+PHJlbW90ZS1kYXRhYmFzZS1w
cm92aWRlcj5OTE08L3JlbW90ZS1kYXRhYmFzZS1wcm92aWRlcj48bGFuZ3VhZ2U+ZW5nPC9sYW5n
dWFnZT48L3JlY29yZD48L0NpdGU+PC9FbmROb3RlPgB=
</w:fldData>
            </w:fldChar>
          </w:r>
          <w:r w:rsidRPr="001C3631">
            <w:instrText xml:space="preserve"> ADDIN EN.CITE.DATA </w:instrText>
          </w:r>
          <w:r w:rsidRPr="001C3631">
            <w:fldChar w:fldCharType="end"/>
          </w:r>
          <w:r w:rsidRPr="001C3631">
            <w:fldChar w:fldCharType="separate"/>
          </w:r>
          <w:r w:rsidRPr="001C3631">
            <w:t>(Przybyla, Wright et al. 2017)</w:t>
          </w:r>
          <w:r w:rsidRPr="001C3631">
            <w:fldChar w:fldCharType="end"/>
          </w:r>
          <w:r w:rsidRPr="001C3631">
            <w:t xml:space="preserve">. In a study on lung surfactant from calves, e-cigarette vapour did not affect surfactant interfacial properties regardless of dose or flavouring </w:t>
          </w:r>
          <w:r w:rsidRPr="001C3631">
            <w:fldChar w:fldCharType="begin">
              <w:fldData xml:space="preserve">PEVuZE5vdGU+PENpdGU+PEF1dGhvcj5Qcnp5YnlsYTwvQXV0aG9yPjxZZWFyPjIwMTc8L1llYXI+
PFJlY051bT43Njk8L1JlY051bT48RGlzcGxheVRleHQ+KFByenlieWxhLCBXcmlnaHQgZXQgYWwu
IDIwMTcpPC9EaXNwbGF5VGV4dD48cmVjb3JkPjxyZWMtbnVtYmVyPjc2OTwvcmVjLW51bWJlcj48
Zm9yZWlnbi1rZXlzPjxrZXkgYXBwPSJFTiIgZGItaWQ9Ijl6MDVkejBwcmFhZGZ1ZWUwem94emVk
azl6ZmU1Znh4NTB6NSIgdGltZXN0YW1wPSIxNTIxNTA2OTI0Ij43Njk8L2tleT48L2ZvcmVpZ24t
a2V5cz48cmVmLXR5cGUgbmFtZT0iSm91cm5hbCBBcnRpY2xlIj4xNzwvcmVmLXR5cGU+PGNvbnRy
aWJ1dG9ycz48YXV0aG9ycz48YXV0aG9yPlByenlieWxhLCBSLiBKLjwvYXV0aG9yPjxhdXRob3I+
V3JpZ2h0LCBKLjwvYXV0aG9yPjxhdXRob3I+UGFydGhpYmFuLCBSLjwvYXV0aG9yPjxhdXRob3I+
TmF6ZW1pZGFzaHRhcmphbmRpLCBTLjwvYXV0aG9yPjxhdXRob3I+S2F5YSwgUy48L2F1dGhvcj48
YXV0aG9yPkZhcm5vdWQsIEEuIE0uPC9hdXRob3I+PC9hdXRob3JzPjwvY29udHJpYnV0b3JzPjxh
dXRoLWFkZHJlc3M+QmlvbWVkaWNhbCBFbmdpbmVlcmluZyBQcm9ncmFtLCBEZXBhcnRtZW50IG9m
IENoZW1pY2FsIGFuZCBCaW9tb2xlY3VsYXIgRW5naW5lZXJpbmcsIDE2OCBTdG9ja2VyIENlbnRl
ciwgT2hpbyBVbml2ZXJzaXR5LCBBdGhlbnMsIE9ILCA0NTcwMSwgVVNBLiYjeEQ7U2Nob29sIG9m
IEVsZWN0cmljYWwgRW5naW5lZXJpbmcgYW5kIENvbXB1dGVyIFNjaWVuY2UsIE9oaW8gVW5pdmVy
c2l0eSwgQXRoZW5zLCBPSCwgNDU3MDEsIFVTQS4mI3hEO0Jpb21lZGljYWwgRW5naW5lZXJpbmcg
UHJvZ3JhbSwgRGVwYXJ0bWVudCBvZiBDaGVtaWNhbCBhbmQgQmlvbW9sZWN1bGFyIEVuZ2luZWVy
aW5nLCAxNjggU3RvY2tlciBDZW50ZXIsIE9oaW8gVW5pdmVyc2l0eSwgQXRoZW5zLCBPSCwgNDU3
MDEsIFVTQS4gZmFybm91ZEBvaGlvLmVkdS48L2F1dGgtYWRkcmVzcz48dGl0bGVzPjx0aXRsZT5F
bGVjdHJvbmljIGNpZ2FyZXR0ZSB2YXBvciBhbHRlcnMgdGhlIGxhdGVyYWwgc3RydWN0dXJlIGJ1
dCBub3QgdGVuc2lvbWV0cmljIHByb3BlcnRpZXMgb2YgY2FsZiBsdW5nIHN1cmZhY3RhbnQ8L3Rp
dGxlPjxzZWNvbmRhcnktdGl0bGU+UmVzcGlyIFJlczwvc2Vjb25kYXJ5LXRpdGxlPjxhbHQtdGl0
bGU+UmVzcGlyYXRvcnkgcmVzZWFyY2g8L2FsdC10aXRsZT48L3RpdGxlcz48YWx0LXBlcmlvZGlj
YWw+PGZ1bGwtdGl0bGU+UmVzcGlyYXRvcnkgUmVzZWFyY2g8L2Z1bGwtdGl0bGU+PC9hbHQtcGVy
aW9kaWNhbD48cGFnZXM+MTkzPC9wYWdlcz48dm9sdW1lPjE4PC92b2x1bWU+PG51bWJlcj4xPC9u
dW1iZXI+PGVkaXRpb24+MjAxNy8xMS8xOTwvZWRpdGlvbj48a2V5d29yZHM+PGtleXdvcmQ+RWxl
Y3Ryb25pYyBjaWdhcmV0dGU8L2tleXdvcmQ+PGtleXdvcmQ+SW5mYXN1cmYoUik8L2tleXdvcmQ+
PGtleXdvcmQ+THVuZyBzdXJmYWN0YW50PC9rZXl3b3JkPjxrZXl3b3JkPlN1cmZhY2UgdGVuc2lv
bjwva2V5d29yZD48a2V5d29yZD5TdXJmYWN0YW50IGluaGliaXRpb248L2tleXdvcmQ+PC9rZXl3
b3Jkcz48ZGF0ZXM+PHllYXI+MjAxNzwveWVhcj48cHViLWRhdGVzPjxkYXRlPk5vdiAxNzwvZGF0
ZT48L3B1Yi1kYXRlcz48L2RhdGVzPjxpc2JuPjE0NjUtOTkyMTwvaXNibj48YWNjZXNzaW9uLW51
bT4yOTE0OTg4OTwvYWNjZXNzaW9uLW51bT48dXJscz48cmVsYXRlZC11cmxzPjx1cmw+aHR0cHM6
Ly93d3cubmNiaS5ubG0ubmloLmdvdi9wbWMvYXJ0aWNsZXMvUE1DNTY5MzU0Ny9wZGYvMTI5MzFf
MjAxN19BcnRpY2xlXzY3Ni5wZGY8L3VybD48L3JlbGF0ZWQtdXJscz48L3VybHM+PGN1c3RvbTI+
UE1DNTY5MzU0NzwvY3VzdG9tMj48ZWxlY3Ryb25pYy1yZXNvdXJjZS1udW0+MTAuMTE4Ni9zMTI5
MzEtMDE3LTA2NzYtOTwvZWxlY3Ryb25pYy1yZXNvdXJjZS1udW0+PHJlbW90ZS1kYXRhYmFzZS1w
cm92aWRlcj5OTE08L3JlbW90ZS1kYXRhYmFzZS1wcm92aWRlcj48bGFuZ3VhZ2U+ZW5nPC9sYW5n
dWFnZT48L3JlY29yZD48L0NpdGU+PC9FbmROb3RlPgB=
</w:fldData>
            </w:fldChar>
          </w:r>
          <w:r w:rsidRPr="001C3631">
            <w:instrText xml:space="preserve"> ADDIN EN.CITE </w:instrText>
          </w:r>
          <w:r w:rsidRPr="001C3631">
            <w:fldChar w:fldCharType="begin">
              <w:fldData xml:space="preserve">PEVuZE5vdGU+PENpdGU+PEF1dGhvcj5Qcnp5YnlsYTwvQXV0aG9yPjxZZWFyPjIwMTc8L1llYXI+
PFJlY051bT43Njk8L1JlY051bT48RGlzcGxheVRleHQ+KFByenlieWxhLCBXcmlnaHQgZXQgYWwu
IDIwMTcpPC9EaXNwbGF5VGV4dD48cmVjb3JkPjxyZWMtbnVtYmVyPjc2OTwvcmVjLW51bWJlcj48
Zm9yZWlnbi1rZXlzPjxrZXkgYXBwPSJFTiIgZGItaWQ9Ijl6MDVkejBwcmFhZGZ1ZWUwem94emVk
azl6ZmU1Znh4NTB6NSIgdGltZXN0YW1wPSIxNTIxNTA2OTI0Ij43Njk8L2tleT48L2ZvcmVpZ24t
a2V5cz48cmVmLXR5cGUgbmFtZT0iSm91cm5hbCBBcnRpY2xlIj4xNzwvcmVmLXR5cGU+PGNvbnRy
aWJ1dG9ycz48YXV0aG9ycz48YXV0aG9yPlByenlieWxhLCBSLiBKLjwvYXV0aG9yPjxhdXRob3I+
V3JpZ2h0LCBKLjwvYXV0aG9yPjxhdXRob3I+UGFydGhpYmFuLCBSLjwvYXV0aG9yPjxhdXRob3I+
TmF6ZW1pZGFzaHRhcmphbmRpLCBTLjwvYXV0aG9yPjxhdXRob3I+S2F5YSwgUy48L2F1dGhvcj48
YXV0aG9yPkZhcm5vdWQsIEEuIE0uPC9hdXRob3I+PC9hdXRob3JzPjwvY29udHJpYnV0b3JzPjxh
dXRoLWFkZHJlc3M+QmlvbWVkaWNhbCBFbmdpbmVlcmluZyBQcm9ncmFtLCBEZXBhcnRtZW50IG9m
IENoZW1pY2FsIGFuZCBCaW9tb2xlY3VsYXIgRW5naW5lZXJpbmcsIDE2OCBTdG9ja2VyIENlbnRl
ciwgT2hpbyBVbml2ZXJzaXR5LCBBdGhlbnMsIE9ILCA0NTcwMSwgVVNBLiYjeEQ7U2Nob29sIG9m
IEVsZWN0cmljYWwgRW5naW5lZXJpbmcgYW5kIENvbXB1dGVyIFNjaWVuY2UsIE9oaW8gVW5pdmVy
c2l0eSwgQXRoZW5zLCBPSCwgNDU3MDEsIFVTQS4mI3hEO0Jpb21lZGljYWwgRW5naW5lZXJpbmcg
UHJvZ3JhbSwgRGVwYXJ0bWVudCBvZiBDaGVtaWNhbCBhbmQgQmlvbW9sZWN1bGFyIEVuZ2luZWVy
aW5nLCAxNjggU3RvY2tlciBDZW50ZXIsIE9oaW8gVW5pdmVyc2l0eSwgQXRoZW5zLCBPSCwgNDU3
MDEsIFVTQS4gZmFybm91ZEBvaGlvLmVkdS48L2F1dGgtYWRkcmVzcz48dGl0bGVzPjx0aXRsZT5F
bGVjdHJvbmljIGNpZ2FyZXR0ZSB2YXBvciBhbHRlcnMgdGhlIGxhdGVyYWwgc3RydWN0dXJlIGJ1
dCBub3QgdGVuc2lvbWV0cmljIHByb3BlcnRpZXMgb2YgY2FsZiBsdW5nIHN1cmZhY3RhbnQ8L3Rp
dGxlPjxzZWNvbmRhcnktdGl0bGU+UmVzcGlyIFJlczwvc2Vjb25kYXJ5LXRpdGxlPjxhbHQtdGl0
bGU+UmVzcGlyYXRvcnkgcmVzZWFyY2g8L2FsdC10aXRsZT48L3RpdGxlcz48YWx0LXBlcmlvZGlj
YWw+PGZ1bGwtdGl0bGU+UmVzcGlyYXRvcnkgUmVzZWFyY2g8L2Z1bGwtdGl0bGU+PC9hbHQtcGVy
aW9kaWNhbD48cGFnZXM+MTkzPC9wYWdlcz48dm9sdW1lPjE4PC92b2x1bWU+PG51bWJlcj4xPC9u
dW1iZXI+PGVkaXRpb24+MjAxNy8xMS8xOTwvZWRpdGlvbj48a2V5d29yZHM+PGtleXdvcmQ+RWxl
Y3Ryb25pYyBjaWdhcmV0dGU8L2tleXdvcmQ+PGtleXdvcmQ+SW5mYXN1cmYoUik8L2tleXdvcmQ+
PGtleXdvcmQ+THVuZyBzdXJmYWN0YW50PC9rZXl3b3JkPjxrZXl3b3JkPlN1cmZhY2UgdGVuc2lv
bjwva2V5d29yZD48a2V5d29yZD5TdXJmYWN0YW50IGluaGliaXRpb248L2tleXdvcmQ+PC9rZXl3
b3Jkcz48ZGF0ZXM+PHllYXI+MjAxNzwveWVhcj48cHViLWRhdGVzPjxkYXRlPk5vdiAxNzwvZGF0
ZT48L3B1Yi1kYXRlcz48L2RhdGVzPjxpc2JuPjE0NjUtOTkyMTwvaXNibj48YWNjZXNzaW9uLW51
bT4yOTE0OTg4OTwvYWNjZXNzaW9uLW51bT48dXJscz48cmVsYXRlZC11cmxzPjx1cmw+aHR0cHM6
Ly93d3cubmNiaS5ubG0ubmloLmdvdi9wbWMvYXJ0aWNsZXMvUE1DNTY5MzU0Ny9wZGYvMTI5MzFf
MjAxN19BcnRpY2xlXzY3Ni5wZGY8L3VybD48L3JlbGF0ZWQtdXJscz48L3VybHM+PGN1c3RvbTI+
UE1DNTY5MzU0NzwvY3VzdG9tMj48ZWxlY3Ryb25pYy1yZXNvdXJjZS1udW0+MTAuMTE4Ni9zMTI5
MzEtMDE3LTA2NzYtOTwvZWxlY3Ryb25pYy1yZXNvdXJjZS1udW0+PHJlbW90ZS1kYXRhYmFzZS1w
cm92aWRlcj5OTE08L3JlbW90ZS1kYXRhYmFzZS1wcm92aWRlcj48bGFuZ3VhZ2U+ZW5nPC9sYW5n
dWFnZT48L3JlY29yZD48L0NpdGU+PC9FbmROb3RlPgB=
</w:fldData>
            </w:fldChar>
          </w:r>
          <w:r w:rsidRPr="001C3631">
            <w:instrText xml:space="preserve"> ADDIN EN.CITE.DATA </w:instrText>
          </w:r>
          <w:r w:rsidRPr="001C3631">
            <w:fldChar w:fldCharType="end"/>
          </w:r>
          <w:r w:rsidRPr="001C3631">
            <w:fldChar w:fldCharType="separate"/>
          </w:r>
          <w:r w:rsidRPr="001C3631">
            <w:t>(Przybyla, Wright et al. 2017)</w:t>
          </w:r>
          <w:r w:rsidRPr="001C3631">
            <w:fldChar w:fldCharType="end"/>
          </w:r>
          <w:r w:rsidRPr="001C3631">
            <w:t xml:space="preserve">. However, cigarette smoke exposure led to reduced maximum surface pressure </w:t>
          </w:r>
          <w:r w:rsidRPr="001C3631">
            <w:fldChar w:fldCharType="begin">
              <w:fldData xml:space="preserve">PEVuZE5vdGU+PENpdGU+PEF1dGhvcj5Qcnp5YnlsYTwvQXV0aG9yPjxZZWFyPjIwMTc8L1llYXI+
PFJlY051bT43Njk8L1JlY051bT48RGlzcGxheVRleHQ+KFByenlieWxhLCBXcmlnaHQgZXQgYWwu
IDIwMTcpPC9EaXNwbGF5VGV4dD48cmVjb3JkPjxyZWMtbnVtYmVyPjc2OTwvcmVjLW51bWJlcj48
Zm9yZWlnbi1rZXlzPjxrZXkgYXBwPSJFTiIgZGItaWQ9Ijl6MDVkejBwcmFhZGZ1ZWUwem94emVk
azl6ZmU1Znh4NTB6NSIgdGltZXN0YW1wPSIxNTIxNTA2OTI0Ij43Njk8L2tleT48L2ZvcmVpZ24t
a2V5cz48cmVmLXR5cGUgbmFtZT0iSm91cm5hbCBBcnRpY2xlIj4xNzwvcmVmLXR5cGU+PGNvbnRy
aWJ1dG9ycz48YXV0aG9ycz48YXV0aG9yPlByenlieWxhLCBSLiBKLjwvYXV0aG9yPjxhdXRob3I+
V3JpZ2h0LCBKLjwvYXV0aG9yPjxhdXRob3I+UGFydGhpYmFuLCBSLjwvYXV0aG9yPjxhdXRob3I+
TmF6ZW1pZGFzaHRhcmphbmRpLCBTLjwvYXV0aG9yPjxhdXRob3I+S2F5YSwgUy48L2F1dGhvcj48
YXV0aG9yPkZhcm5vdWQsIEEuIE0uPC9hdXRob3I+PC9hdXRob3JzPjwvY29udHJpYnV0b3JzPjxh
dXRoLWFkZHJlc3M+QmlvbWVkaWNhbCBFbmdpbmVlcmluZyBQcm9ncmFtLCBEZXBhcnRtZW50IG9m
IENoZW1pY2FsIGFuZCBCaW9tb2xlY3VsYXIgRW5naW5lZXJpbmcsIDE2OCBTdG9ja2VyIENlbnRl
ciwgT2hpbyBVbml2ZXJzaXR5LCBBdGhlbnMsIE9ILCA0NTcwMSwgVVNBLiYjeEQ7U2Nob29sIG9m
IEVsZWN0cmljYWwgRW5naW5lZXJpbmcgYW5kIENvbXB1dGVyIFNjaWVuY2UsIE9oaW8gVW5pdmVy
c2l0eSwgQXRoZW5zLCBPSCwgNDU3MDEsIFVTQS4mI3hEO0Jpb21lZGljYWwgRW5naW5lZXJpbmcg
UHJvZ3JhbSwgRGVwYXJ0bWVudCBvZiBDaGVtaWNhbCBhbmQgQmlvbW9sZWN1bGFyIEVuZ2luZWVy
aW5nLCAxNjggU3RvY2tlciBDZW50ZXIsIE9oaW8gVW5pdmVyc2l0eSwgQXRoZW5zLCBPSCwgNDU3
MDEsIFVTQS4gZmFybm91ZEBvaGlvLmVkdS48L2F1dGgtYWRkcmVzcz48dGl0bGVzPjx0aXRsZT5F
bGVjdHJvbmljIGNpZ2FyZXR0ZSB2YXBvciBhbHRlcnMgdGhlIGxhdGVyYWwgc3RydWN0dXJlIGJ1
dCBub3QgdGVuc2lvbWV0cmljIHByb3BlcnRpZXMgb2YgY2FsZiBsdW5nIHN1cmZhY3RhbnQ8L3Rp
dGxlPjxzZWNvbmRhcnktdGl0bGU+UmVzcGlyIFJlczwvc2Vjb25kYXJ5LXRpdGxlPjxhbHQtdGl0
bGU+UmVzcGlyYXRvcnkgcmVzZWFyY2g8L2FsdC10aXRsZT48L3RpdGxlcz48YWx0LXBlcmlvZGlj
YWw+PGZ1bGwtdGl0bGU+UmVzcGlyYXRvcnkgUmVzZWFyY2g8L2Z1bGwtdGl0bGU+PC9hbHQtcGVy
aW9kaWNhbD48cGFnZXM+MTkzPC9wYWdlcz48dm9sdW1lPjE4PC92b2x1bWU+PG51bWJlcj4xPC9u
dW1iZXI+PGVkaXRpb24+MjAxNy8xMS8xOTwvZWRpdGlvbj48a2V5d29yZHM+PGtleXdvcmQ+RWxl
Y3Ryb25pYyBjaWdhcmV0dGU8L2tleXdvcmQ+PGtleXdvcmQ+SW5mYXN1cmYoUik8L2tleXdvcmQ+
PGtleXdvcmQ+THVuZyBzdXJmYWN0YW50PC9rZXl3b3JkPjxrZXl3b3JkPlN1cmZhY2UgdGVuc2lv
bjwva2V5d29yZD48a2V5d29yZD5TdXJmYWN0YW50IGluaGliaXRpb248L2tleXdvcmQ+PC9rZXl3
b3Jkcz48ZGF0ZXM+PHllYXI+MjAxNzwveWVhcj48cHViLWRhdGVzPjxkYXRlPk5vdiAxNzwvZGF0
ZT48L3B1Yi1kYXRlcz48L2RhdGVzPjxpc2JuPjE0NjUtOTkyMTwvaXNibj48YWNjZXNzaW9uLW51
bT4yOTE0OTg4OTwvYWNjZXNzaW9uLW51bT48dXJscz48cmVsYXRlZC11cmxzPjx1cmw+aHR0cHM6
Ly93d3cubmNiaS5ubG0ubmloLmdvdi9wbWMvYXJ0aWNsZXMvUE1DNTY5MzU0Ny9wZGYvMTI5MzFf
MjAxN19BcnRpY2xlXzY3Ni5wZGY8L3VybD48L3JlbGF0ZWQtdXJscz48L3VybHM+PGN1c3RvbTI+
UE1DNTY5MzU0NzwvY3VzdG9tMj48ZWxlY3Ryb25pYy1yZXNvdXJjZS1udW0+MTAuMTE4Ni9zMTI5
MzEtMDE3LTA2NzYtOTwvZWxlY3Ryb25pYy1yZXNvdXJjZS1udW0+PHJlbW90ZS1kYXRhYmFzZS1w
cm92aWRlcj5OTE08L3JlbW90ZS1kYXRhYmFzZS1wcm92aWRlcj48bGFuZ3VhZ2U+ZW5nPC9sYW5n
dWFnZT48L3JlY29yZD48L0NpdGU+PC9FbmROb3RlPgB=
</w:fldData>
            </w:fldChar>
          </w:r>
          <w:r w:rsidRPr="001C3631">
            <w:instrText xml:space="preserve"> ADDIN EN.CITE </w:instrText>
          </w:r>
          <w:r w:rsidRPr="001C3631">
            <w:fldChar w:fldCharType="begin">
              <w:fldData xml:space="preserve">PEVuZE5vdGU+PENpdGU+PEF1dGhvcj5Qcnp5YnlsYTwvQXV0aG9yPjxZZWFyPjIwMTc8L1llYXI+
PFJlY051bT43Njk8L1JlY051bT48RGlzcGxheVRleHQ+KFByenlieWxhLCBXcmlnaHQgZXQgYWwu
IDIwMTcpPC9EaXNwbGF5VGV4dD48cmVjb3JkPjxyZWMtbnVtYmVyPjc2OTwvcmVjLW51bWJlcj48
Zm9yZWlnbi1rZXlzPjxrZXkgYXBwPSJFTiIgZGItaWQ9Ijl6MDVkejBwcmFhZGZ1ZWUwem94emVk
azl6ZmU1Znh4NTB6NSIgdGltZXN0YW1wPSIxNTIxNTA2OTI0Ij43Njk8L2tleT48L2ZvcmVpZ24t
a2V5cz48cmVmLXR5cGUgbmFtZT0iSm91cm5hbCBBcnRpY2xlIj4xNzwvcmVmLXR5cGU+PGNvbnRy
aWJ1dG9ycz48YXV0aG9ycz48YXV0aG9yPlByenlieWxhLCBSLiBKLjwvYXV0aG9yPjxhdXRob3I+
V3JpZ2h0LCBKLjwvYXV0aG9yPjxhdXRob3I+UGFydGhpYmFuLCBSLjwvYXV0aG9yPjxhdXRob3I+
TmF6ZW1pZGFzaHRhcmphbmRpLCBTLjwvYXV0aG9yPjxhdXRob3I+S2F5YSwgUy48L2F1dGhvcj48
YXV0aG9yPkZhcm5vdWQsIEEuIE0uPC9hdXRob3I+PC9hdXRob3JzPjwvY29udHJpYnV0b3JzPjxh
dXRoLWFkZHJlc3M+QmlvbWVkaWNhbCBFbmdpbmVlcmluZyBQcm9ncmFtLCBEZXBhcnRtZW50IG9m
IENoZW1pY2FsIGFuZCBCaW9tb2xlY3VsYXIgRW5naW5lZXJpbmcsIDE2OCBTdG9ja2VyIENlbnRl
ciwgT2hpbyBVbml2ZXJzaXR5LCBBdGhlbnMsIE9ILCA0NTcwMSwgVVNBLiYjeEQ7U2Nob29sIG9m
IEVsZWN0cmljYWwgRW5naW5lZXJpbmcgYW5kIENvbXB1dGVyIFNjaWVuY2UsIE9oaW8gVW5pdmVy
c2l0eSwgQXRoZW5zLCBPSCwgNDU3MDEsIFVTQS4mI3hEO0Jpb21lZGljYWwgRW5naW5lZXJpbmcg
UHJvZ3JhbSwgRGVwYXJ0bWVudCBvZiBDaGVtaWNhbCBhbmQgQmlvbW9sZWN1bGFyIEVuZ2luZWVy
aW5nLCAxNjggU3RvY2tlciBDZW50ZXIsIE9oaW8gVW5pdmVyc2l0eSwgQXRoZW5zLCBPSCwgNDU3
MDEsIFVTQS4gZmFybm91ZEBvaGlvLmVkdS48L2F1dGgtYWRkcmVzcz48dGl0bGVzPjx0aXRsZT5F
bGVjdHJvbmljIGNpZ2FyZXR0ZSB2YXBvciBhbHRlcnMgdGhlIGxhdGVyYWwgc3RydWN0dXJlIGJ1
dCBub3QgdGVuc2lvbWV0cmljIHByb3BlcnRpZXMgb2YgY2FsZiBsdW5nIHN1cmZhY3RhbnQ8L3Rp
dGxlPjxzZWNvbmRhcnktdGl0bGU+UmVzcGlyIFJlczwvc2Vjb25kYXJ5LXRpdGxlPjxhbHQtdGl0
bGU+UmVzcGlyYXRvcnkgcmVzZWFyY2g8L2FsdC10aXRsZT48L3RpdGxlcz48YWx0LXBlcmlvZGlj
YWw+PGZ1bGwtdGl0bGU+UmVzcGlyYXRvcnkgUmVzZWFyY2g8L2Z1bGwtdGl0bGU+PC9hbHQtcGVy
aW9kaWNhbD48cGFnZXM+MTkzPC9wYWdlcz48dm9sdW1lPjE4PC92b2x1bWU+PG51bWJlcj4xPC9u
dW1iZXI+PGVkaXRpb24+MjAxNy8xMS8xOTwvZWRpdGlvbj48a2V5d29yZHM+PGtleXdvcmQ+RWxl
Y3Ryb25pYyBjaWdhcmV0dGU8L2tleXdvcmQ+PGtleXdvcmQ+SW5mYXN1cmYoUik8L2tleXdvcmQ+
PGtleXdvcmQ+THVuZyBzdXJmYWN0YW50PC9rZXl3b3JkPjxrZXl3b3JkPlN1cmZhY2UgdGVuc2lv
bjwva2V5d29yZD48a2V5d29yZD5TdXJmYWN0YW50IGluaGliaXRpb248L2tleXdvcmQ+PC9rZXl3
b3Jkcz48ZGF0ZXM+PHllYXI+MjAxNzwveWVhcj48cHViLWRhdGVzPjxkYXRlPk5vdiAxNzwvZGF0
ZT48L3B1Yi1kYXRlcz48L2RhdGVzPjxpc2JuPjE0NjUtOTkyMTwvaXNibj48YWNjZXNzaW9uLW51
bT4yOTE0OTg4OTwvYWNjZXNzaW9uLW51bT48dXJscz48cmVsYXRlZC11cmxzPjx1cmw+aHR0cHM6
Ly93d3cubmNiaS5ubG0ubmloLmdvdi9wbWMvYXJ0aWNsZXMvUE1DNTY5MzU0Ny9wZGYvMTI5MzFf
MjAxN19BcnRpY2xlXzY3Ni5wZGY8L3VybD48L3JlbGF0ZWQtdXJscz48L3VybHM+PGN1c3RvbTI+
UE1DNTY5MzU0NzwvY3VzdG9tMj48ZWxlY3Ryb25pYy1yZXNvdXJjZS1udW0+MTAuMTE4Ni9zMTI5
MzEtMDE3LTA2NzYtOTwvZWxlY3Ryb25pYy1yZXNvdXJjZS1udW0+PHJlbW90ZS1kYXRhYmFzZS1w
cm92aWRlcj5OTE08L3JlbW90ZS1kYXRhYmFzZS1wcm92aWRlcj48bGFuZ3VhZ2U+ZW5nPC9sYW5n
dWFnZT48L3JlY29yZD48L0NpdGU+PC9FbmROb3RlPgB=
</w:fldData>
            </w:fldChar>
          </w:r>
          <w:r w:rsidRPr="001C3631">
            <w:instrText xml:space="preserve"> ADDIN EN.CITE.DATA </w:instrText>
          </w:r>
          <w:r w:rsidRPr="001C3631">
            <w:fldChar w:fldCharType="end"/>
          </w:r>
          <w:r w:rsidRPr="001C3631">
            <w:fldChar w:fldCharType="separate"/>
          </w:r>
          <w:r w:rsidRPr="001C3631">
            <w:t>(Przybyla, Wright et al. 2017)</w:t>
          </w:r>
          <w:r w:rsidRPr="001C3631">
            <w:fldChar w:fldCharType="end"/>
          </w:r>
          <w:r w:rsidRPr="001C3631">
            <w:t xml:space="preserve">. Upon further investigation, nicotine, acetaldehyde, and isoprene did not significantly alter interfacial properties, however tar (from cigarette smoke) led to a high disruption of lung surfactant </w:t>
          </w:r>
          <w:r w:rsidRPr="001C3631">
            <w:fldChar w:fldCharType="begin">
              <w:fldData xml:space="preserve">PEVuZE5vdGU+PENpdGU+PEF1dGhvcj5Qcnp5YnlsYTwvQXV0aG9yPjxZZWFyPjIwMTc8L1llYXI+
PFJlY051bT43Njk8L1JlY051bT48RGlzcGxheVRleHQ+KFByenlieWxhLCBXcmlnaHQgZXQgYWwu
IDIwMTcpPC9EaXNwbGF5VGV4dD48cmVjb3JkPjxyZWMtbnVtYmVyPjc2OTwvcmVjLW51bWJlcj48
Zm9yZWlnbi1rZXlzPjxrZXkgYXBwPSJFTiIgZGItaWQ9Ijl6MDVkejBwcmFhZGZ1ZWUwem94emVk
azl6ZmU1Znh4NTB6NSIgdGltZXN0YW1wPSIxNTIxNTA2OTI0Ij43Njk8L2tleT48L2ZvcmVpZ24t
a2V5cz48cmVmLXR5cGUgbmFtZT0iSm91cm5hbCBBcnRpY2xlIj4xNzwvcmVmLXR5cGU+PGNvbnRy
aWJ1dG9ycz48YXV0aG9ycz48YXV0aG9yPlByenlieWxhLCBSLiBKLjwvYXV0aG9yPjxhdXRob3I+
V3JpZ2h0LCBKLjwvYXV0aG9yPjxhdXRob3I+UGFydGhpYmFuLCBSLjwvYXV0aG9yPjxhdXRob3I+
TmF6ZW1pZGFzaHRhcmphbmRpLCBTLjwvYXV0aG9yPjxhdXRob3I+S2F5YSwgUy48L2F1dGhvcj48
YXV0aG9yPkZhcm5vdWQsIEEuIE0uPC9hdXRob3I+PC9hdXRob3JzPjwvY29udHJpYnV0b3JzPjxh
dXRoLWFkZHJlc3M+QmlvbWVkaWNhbCBFbmdpbmVlcmluZyBQcm9ncmFtLCBEZXBhcnRtZW50IG9m
IENoZW1pY2FsIGFuZCBCaW9tb2xlY3VsYXIgRW5naW5lZXJpbmcsIDE2OCBTdG9ja2VyIENlbnRl
ciwgT2hpbyBVbml2ZXJzaXR5LCBBdGhlbnMsIE9ILCA0NTcwMSwgVVNBLiYjeEQ7U2Nob29sIG9m
IEVsZWN0cmljYWwgRW5naW5lZXJpbmcgYW5kIENvbXB1dGVyIFNjaWVuY2UsIE9oaW8gVW5pdmVy
c2l0eSwgQXRoZW5zLCBPSCwgNDU3MDEsIFVTQS4mI3hEO0Jpb21lZGljYWwgRW5naW5lZXJpbmcg
UHJvZ3JhbSwgRGVwYXJ0bWVudCBvZiBDaGVtaWNhbCBhbmQgQmlvbW9sZWN1bGFyIEVuZ2luZWVy
aW5nLCAxNjggU3RvY2tlciBDZW50ZXIsIE9oaW8gVW5pdmVyc2l0eSwgQXRoZW5zLCBPSCwgNDU3
MDEsIFVTQS4gZmFybm91ZEBvaGlvLmVkdS48L2F1dGgtYWRkcmVzcz48dGl0bGVzPjx0aXRsZT5F
bGVjdHJvbmljIGNpZ2FyZXR0ZSB2YXBvciBhbHRlcnMgdGhlIGxhdGVyYWwgc3RydWN0dXJlIGJ1
dCBub3QgdGVuc2lvbWV0cmljIHByb3BlcnRpZXMgb2YgY2FsZiBsdW5nIHN1cmZhY3RhbnQ8L3Rp
dGxlPjxzZWNvbmRhcnktdGl0bGU+UmVzcGlyIFJlczwvc2Vjb25kYXJ5LXRpdGxlPjxhbHQtdGl0
bGU+UmVzcGlyYXRvcnkgcmVzZWFyY2g8L2FsdC10aXRsZT48L3RpdGxlcz48YWx0LXBlcmlvZGlj
YWw+PGZ1bGwtdGl0bGU+UmVzcGlyYXRvcnkgUmVzZWFyY2g8L2Z1bGwtdGl0bGU+PC9hbHQtcGVy
aW9kaWNhbD48cGFnZXM+MTkzPC9wYWdlcz48dm9sdW1lPjE4PC92b2x1bWU+PG51bWJlcj4xPC9u
dW1iZXI+PGVkaXRpb24+MjAxNy8xMS8xOTwvZWRpdGlvbj48a2V5d29yZHM+PGtleXdvcmQ+RWxl
Y3Ryb25pYyBjaWdhcmV0dGU8L2tleXdvcmQ+PGtleXdvcmQ+SW5mYXN1cmYoUik8L2tleXdvcmQ+
PGtleXdvcmQ+THVuZyBzdXJmYWN0YW50PC9rZXl3b3JkPjxrZXl3b3JkPlN1cmZhY2UgdGVuc2lv
bjwva2V5d29yZD48a2V5d29yZD5TdXJmYWN0YW50IGluaGliaXRpb248L2tleXdvcmQ+PC9rZXl3
b3Jkcz48ZGF0ZXM+PHllYXI+MjAxNzwveWVhcj48cHViLWRhdGVzPjxkYXRlPk5vdiAxNzwvZGF0
ZT48L3B1Yi1kYXRlcz48L2RhdGVzPjxpc2JuPjE0NjUtOTkyMTwvaXNibj48YWNjZXNzaW9uLW51
bT4yOTE0OTg4OTwvYWNjZXNzaW9uLW51bT48dXJscz48cmVsYXRlZC11cmxzPjx1cmw+aHR0cHM6
Ly93d3cubmNiaS5ubG0ubmloLmdvdi9wbWMvYXJ0aWNsZXMvUE1DNTY5MzU0Ny9wZGYvMTI5MzFf
MjAxN19BcnRpY2xlXzY3Ni5wZGY8L3VybD48L3JlbGF0ZWQtdXJscz48L3VybHM+PGN1c3RvbTI+
UE1DNTY5MzU0NzwvY3VzdG9tMj48ZWxlY3Ryb25pYy1yZXNvdXJjZS1udW0+MTAuMTE4Ni9zMTI5
MzEtMDE3LTA2NzYtOTwvZWxlY3Ryb25pYy1yZXNvdXJjZS1udW0+PHJlbW90ZS1kYXRhYmFzZS1w
cm92aWRlcj5OTE08L3JlbW90ZS1kYXRhYmFzZS1wcm92aWRlcj48bGFuZ3VhZ2U+ZW5nPC9sYW5n
dWFnZT48L3JlY29yZD48L0NpdGU+PC9FbmROb3RlPgB=
</w:fldData>
            </w:fldChar>
          </w:r>
          <w:r w:rsidRPr="001C3631">
            <w:instrText xml:space="preserve"> ADDIN EN.CITE </w:instrText>
          </w:r>
          <w:r w:rsidRPr="001C3631">
            <w:fldChar w:fldCharType="begin">
              <w:fldData xml:space="preserve">PEVuZE5vdGU+PENpdGU+PEF1dGhvcj5Qcnp5YnlsYTwvQXV0aG9yPjxZZWFyPjIwMTc8L1llYXI+
PFJlY051bT43Njk8L1JlY051bT48RGlzcGxheVRleHQ+KFByenlieWxhLCBXcmlnaHQgZXQgYWwu
IDIwMTcpPC9EaXNwbGF5VGV4dD48cmVjb3JkPjxyZWMtbnVtYmVyPjc2OTwvcmVjLW51bWJlcj48
Zm9yZWlnbi1rZXlzPjxrZXkgYXBwPSJFTiIgZGItaWQ9Ijl6MDVkejBwcmFhZGZ1ZWUwem94emVk
azl6ZmU1Znh4NTB6NSIgdGltZXN0YW1wPSIxNTIxNTA2OTI0Ij43Njk8L2tleT48L2ZvcmVpZ24t
a2V5cz48cmVmLXR5cGUgbmFtZT0iSm91cm5hbCBBcnRpY2xlIj4xNzwvcmVmLXR5cGU+PGNvbnRy
aWJ1dG9ycz48YXV0aG9ycz48YXV0aG9yPlByenlieWxhLCBSLiBKLjwvYXV0aG9yPjxhdXRob3I+
V3JpZ2h0LCBKLjwvYXV0aG9yPjxhdXRob3I+UGFydGhpYmFuLCBSLjwvYXV0aG9yPjxhdXRob3I+
TmF6ZW1pZGFzaHRhcmphbmRpLCBTLjwvYXV0aG9yPjxhdXRob3I+S2F5YSwgUy48L2F1dGhvcj48
YXV0aG9yPkZhcm5vdWQsIEEuIE0uPC9hdXRob3I+PC9hdXRob3JzPjwvY29udHJpYnV0b3JzPjxh
dXRoLWFkZHJlc3M+QmlvbWVkaWNhbCBFbmdpbmVlcmluZyBQcm9ncmFtLCBEZXBhcnRtZW50IG9m
IENoZW1pY2FsIGFuZCBCaW9tb2xlY3VsYXIgRW5naW5lZXJpbmcsIDE2OCBTdG9ja2VyIENlbnRl
ciwgT2hpbyBVbml2ZXJzaXR5LCBBdGhlbnMsIE9ILCA0NTcwMSwgVVNBLiYjeEQ7U2Nob29sIG9m
IEVsZWN0cmljYWwgRW5naW5lZXJpbmcgYW5kIENvbXB1dGVyIFNjaWVuY2UsIE9oaW8gVW5pdmVy
c2l0eSwgQXRoZW5zLCBPSCwgNDU3MDEsIFVTQS4mI3hEO0Jpb21lZGljYWwgRW5naW5lZXJpbmcg
UHJvZ3JhbSwgRGVwYXJ0bWVudCBvZiBDaGVtaWNhbCBhbmQgQmlvbW9sZWN1bGFyIEVuZ2luZWVy
aW5nLCAxNjggU3RvY2tlciBDZW50ZXIsIE9oaW8gVW5pdmVyc2l0eSwgQXRoZW5zLCBPSCwgNDU3
MDEsIFVTQS4gZmFybm91ZEBvaGlvLmVkdS48L2F1dGgtYWRkcmVzcz48dGl0bGVzPjx0aXRsZT5F
bGVjdHJvbmljIGNpZ2FyZXR0ZSB2YXBvciBhbHRlcnMgdGhlIGxhdGVyYWwgc3RydWN0dXJlIGJ1
dCBub3QgdGVuc2lvbWV0cmljIHByb3BlcnRpZXMgb2YgY2FsZiBsdW5nIHN1cmZhY3RhbnQ8L3Rp
dGxlPjxzZWNvbmRhcnktdGl0bGU+UmVzcGlyIFJlczwvc2Vjb25kYXJ5LXRpdGxlPjxhbHQtdGl0
bGU+UmVzcGlyYXRvcnkgcmVzZWFyY2g8L2FsdC10aXRsZT48L3RpdGxlcz48YWx0LXBlcmlvZGlj
YWw+PGZ1bGwtdGl0bGU+UmVzcGlyYXRvcnkgUmVzZWFyY2g8L2Z1bGwtdGl0bGU+PC9hbHQtcGVy
aW9kaWNhbD48cGFnZXM+MTkzPC9wYWdlcz48dm9sdW1lPjE4PC92b2x1bWU+PG51bWJlcj4xPC9u
dW1iZXI+PGVkaXRpb24+MjAxNy8xMS8xOTwvZWRpdGlvbj48a2V5d29yZHM+PGtleXdvcmQ+RWxl
Y3Ryb25pYyBjaWdhcmV0dGU8L2tleXdvcmQ+PGtleXdvcmQ+SW5mYXN1cmYoUik8L2tleXdvcmQ+
PGtleXdvcmQ+THVuZyBzdXJmYWN0YW50PC9rZXl3b3JkPjxrZXl3b3JkPlN1cmZhY2UgdGVuc2lv
bjwva2V5d29yZD48a2V5d29yZD5TdXJmYWN0YW50IGluaGliaXRpb248L2tleXdvcmQ+PC9rZXl3
b3Jkcz48ZGF0ZXM+PHllYXI+MjAxNzwveWVhcj48cHViLWRhdGVzPjxkYXRlPk5vdiAxNzwvZGF0
ZT48L3B1Yi1kYXRlcz48L2RhdGVzPjxpc2JuPjE0NjUtOTkyMTwvaXNibj48YWNjZXNzaW9uLW51
bT4yOTE0OTg4OTwvYWNjZXNzaW9uLW51bT48dXJscz48cmVsYXRlZC11cmxzPjx1cmw+aHR0cHM6
Ly93d3cubmNiaS5ubG0ubmloLmdvdi9wbWMvYXJ0aWNsZXMvUE1DNTY5MzU0Ny9wZGYvMTI5MzFf
MjAxN19BcnRpY2xlXzY3Ni5wZGY8L3VybD48L3JlbGF0ZWQtdXJscz48L3VybHM+PGN1c3RvbTI+
UE1DNTY5MzU0NzwvY3VzdG9tMj48ZWxlY3Ryb25pYy1yZXNvdXJjZS1udW0+MTAuMTE4Ni9zMTI5
MzEtMDE3LTA2NzYtOTwvZWxlY3Ryb25pYy1yZXNvdXJjZS1udW0+PHJlbW90ZS1kYXRhYmFzZS1w
cm92aWRlcj5OTE08L3JlbW90ZS1kYXRhYmFzZS1wcm92aWRlcj48bGFuZ3VhZ2U+ZW5nPC9sYW5n
dWFnZT48L3JlY29yZD48L0NpdGU+PC9FbmROb3RlPgB=
</w:fldData>
            </w:fldChar>
          </w:r>
          <w:r w:rsidRPr="001C3631">
            <w:instrText xml:space="preserve"> ADDIN EN.CITE.DATA </w:instrText>
          </w:r>
          <w:r w:rsidRPr="001C3631">
            <w:fldChar w:fldCharType="end"/>
          </w:r>
          <w:r w:rsidRPr="001C3631">
            <w:fldChar w:fldCharType="separate"/>
          </w:r>
          <w:r w:rsidRPr="001C3631">
            <w:t>(Przybyla, Wright et al. 2017)</w:t>
          </w:r>
          <w:r w:rsidRPr="001C3631">
            <w:fldChar w:fldCharType="end"/>
          </w:r>
          <w:r w:rsidRPr="001C3631">
            <w:t>. Both e</w:t>
          </w:r>
          <w:r>
            <w:noBreakHyphen/>
          </w:r>
          <w:r w:rsidRPr="001C3631">
            <w:t xml:space="preserve">cigarette vapour and cigarette smoke led to changes in surfactant microstructure, which led to an increase in the area of lipid multilayers </w:t>
          </w:r>
          <w:r w:rsidRPr="001C3631">
            <w:fldChar w:fldCharType="begin">
              <w:fldData xml:space="preserve">PEVuZE5vdGU+PENpdGU+PEF1dGhvcj5Qcnp5YnlsYTwvQXV0aG9yPjxZZWFyPjIwMTc8L1llYXI+
PFJlY051bT43Njk8L1JlY051bT48RGlzcGxheVRleHQ+KFByenlieWxhLCBXcmlnaHQgZXQgYWwu
IDIwMTcpPC9EaXNwbGF5VGV4dD48cmVjb3JkPjxyZWMtbnVtYmVyPjc2OTwvcmVjLW51bWJlcj48
Zm9yZWlnbi1rZXlzPjxrZXkgYXBwPSJFTiIgZGItaWQ9Ijl6MDVkejBwcmFhZGZ1ZWUwem94emVk
azl6ZmU1Znh4NTB6NSIgdGltZXN0YW1wPSIxNTIxNTA2OTI0Ij43Njk8L2tleT48L2ZvcmVpZ24t
a2V5cz48cmVmLXR5cGUgbmFtZT0iSm91cm5hbCBBcnRpY2xlIj4xNzwvcmVmLXR5cGU+PGNvbnRy
aWJ1dG9ycz48YXV0aG9ycz48YXV0aG9yPlByenlieWxhLCBSLiBKLjwvYXV0aG9yPjxhdXRob3I+
V3JpZ2h0LCBKLjwvYXV0aG9yPjxhdXRob3I+UGFydGhpYmFuLCBSLjwvYXV0aG9yPjxhdXRob3I+
TmF6ZW1pZGFzaHRhcmphbmRpLCBTLjwvYXV0aG9yPjxhdXRob3I+S2F5YSwgUy48L2F1dGhvcj48
YXV0aG9yPkZhcm5vdWQsIEEuIE0uPC9hdXRob3I+PC9hdXRob3JzPjwvY29udHJpYnV0b3JzPjxh
dXRoLWFkZHJlc3M+QmlvbWVkaWNhbCBFbmdpbmVlcmluZyBQcm9ncmFtLCBEZXBhcnRtZW50IG9m
IENoZW1pY2FsIGFuZCBCaW9tb2xlY3VsYXIgRW5naW5lZXJpbmcsIDE2OCBTdG9ja2VyIENlbnRl
ciwgT2hpbyBVbml2ZXJzaXR5LCBBdGhlbnMsIE9ILCA0NTcwMSwgVVNBLiYjeEQ7U2Nob29sIG9m
IEVsZWN0cmljYWwgRW5naW5lZXJpbmcgYW5kIENvbXB1dGVyIFNjaWVuY2UsIE9oaW8gVW5pdmVy
c2l0eSwgQXRoZW5zLCBPSCwgNDU3MDEsIFVTQS4mI3hEO0Jpb21lZGljYWwgRW5naW5lZXJpbmcg
UHJvZ3JhbSwgRGVwYXJ0bWVudCBvZiBDaGVtaWNhbCBhbmQgQmlvbW9sZWN1bGFyIEVuZ2luZWVy
aW5nLCAxNjggU3RvY2tlciBDZW50ZXIsIE9oaW8gVW5pdmVyc2l0eSwgQXRoZW5zLCBPSCwgNDU3
MDEsIFVTQS4gZmFybm91ZEBvaGlvLmVkdS48L2F1dGgtYWRkcmVzcz48dGl0bGVzPjx0aXRsZT5F
bGVjdHJvbmljIGNpZ2FyZXR0ZSB2YXBvciBhbHRlcnMgdGhlIGxhdGVyYWwgc3RydWN0dXJlIGJ1
dCBub3QgdGVuc2lvbWV0cmljIHByb3BlcnRpZXMgb2YgY2FsZiBsdW5nIHN1cmZhY3RhbnQ8L3Rp
dGxlPjxzZWNvbmRhcnktdGl0bGU+UmVzcGlyIFJlczwvc2Vjb25kYXJ5LXRpdGxlPjxhbHQtdGl0
bGU+UmVzcGlyYXRvcnkgcmVzZWFyY2g8L2FsdC10aXRsZT48L3RpdGxlcz48YWx0LXBlcmlvZGlj
YWw+PGZ1bGwtdGl0bGU+UmVzcGlyYXRvcnkgUmVzZWFyY2g8L2Z1bGwtdGl0bGU+PC9hbHQtcGVy
aW9kaWNhbD48cGFnZXM+MTkzPC9wYWdlcz48dm9sdW1lPjE4PC92b2x1bWU+PG51bWJlcj4xPC9u
dW1iZXI+PGVkaXRpb24+MjAxNy8xMS8xOTwvZWRpdGlvbj48a2V5d29yZHM+PGtleXdvcmQ+RWxl
Y3Ryb25pYyBjaWdhcmV0dGU8L2tleXdvcmQ+PGtleXdvcmQ+SW5mYXN1cmYoUik8L2tleXdvcmQ+
PGtleXdvcmQ+THVuZyBzdXJmYWN0YW50PC9rZXl3b3JkPjxrZXl3b3JkPlN1cmZhY2UgdGVuc2lv
bjwva2V5d29yZD48a2V5d29yZD5TdXJmYWN0YW50IGluaGliaXRpb248L2tleXdvcmQ+PC9rZXl3
b3Jkcz48ZGF0ZXM+PHllYXI+MjAxNzwveWVhcj48cHViLWRhdGVzPjxkYXRlPk5vdiAxNzwvZGF0
ZT48L3B1Yi1kYXRlcz48L2RhdGVzPjxpc2JuPjE0NjUtOTkyMTwvaXNibj48YWNjZXNzaW9uLW51
bT4yOTE0OTg4OTwvYWNjZXNzaW9uLW51bT48dXJscz48cmVsYXRlZC11cmxzPjx1cmw+aHR0cHM6
Ly93d3cubmNiaS5ubG0ubmloLmdvdi9wbWMvYXJ0aWNsZXMvUE1DNTY5MzU0Ny9wZGYvMTI5MzFf
MjAxN19BcnRpY2xlXzY3Ni5wZGY8L3VybD48L3JlbGF0ZWQtdXJscz48L3VybHM+PGN1c3RvbTI+
UE1DNTY5MzU0NzwvY3VzdG9tMj48ZWxlY3Ryb25pYy1yZXNvdXJjZS1udW0+MTAuMTE4Ni9zMTI5
MzEtMDE3LTA2NzYtOTwvZWxlY3Ryb25pYy1yZXNvdXJjZS1udW0+PHJlbW90ZS1kYXRhYmFzZS1w
cm92aWRlcj5OTE08L3JlbW90ZS1kYXRhYmFzZS1wcm92aWRlcj48bGFuZ3VhZ2U+ZW5nPC9sYW5n
dWFnZT48L3JlY29yZD48L0NpdGU+PC9FbmROb3RlPgB=
</w:fldData>
            </w:fldChar>
          </w:r>
          <w:r w:rsidRPr="001C3631">
            <w:instrText xml:space="preserve"> ADDIN EN.CITE </w:instrText>
          </w:r>
          <w:r w:rsidRPr="001C3631">
            <w:fldChar w:fldCharType="begin">
              <w:fldData xml:space="preserve">PEVuZE5vdGU+PENpdGU+PEF1dGhvcj5Qcnp5YnlsYTwvQXV0aG9yPjxZZWFyPjIwMTc8L1llYXI+
PFJlY051bT43Njk8L1JlY051bT48RGlzcGxheVRleHQ+KFByenlieWxhLCBXcmlnaHQgZXQgYWwu
IDIwMTcpPC9EaXNwbGF5VGV4dD48cmVjb3JkPjxyZWMtbnVtYmVyPjc2OTwvcmVjLW51bWJlcj48
Zm9yZWlnbi1rZXlzPjxrZXkgYXBwPSJFTiIgZGItaWQ9Ijl6MDVkejBwcmFhZGZ1ZWUwem94emVk
azl6ZmU1Znh4NTB6NSIgdGltZXN0YW1wPSIxNTIxNTA2OTI0Ij43Njk8L2tleT48L2ZvcmVpZ24t
a2V5cz48cmVmLXR5cGUgbmFtZT0iSm91cm5hbCBBcnRpY2xlIj4xNzwvcmVmLXR5cGU+PGNvbnRy
aWJ1dG9ycz48YXV0aG9ycz48YXV0aG9yPlByenlieWxhLCBSLiBKLjwvYXV0aG9yPjxhdXRob3I+
V3JpZ2h0LCBKLjwvYXV0aG9yPjxhdXRob3I+UGFydGhpYmFuLCBSLjwvYXV0aG9yPjxhdXRob3I+
TmF6ZW1pZGFzaHRhcmphbmRpLCBTLjwvYXV0aG9yPjxhdXRob3I+S2F5YSwgUy48L2F1dGhvcj48
YXV0aG9yPkZhcm5vdWQsIEEuIE0uPC9hdXRob3I+PC9hdXRob3JzPjwvY29udHJpYnV0b3JzPjxh
dXRoLWFkZHJlc3M+QmlvbWVkaWNhbCBFbmdpbmVlcmluZyBQcm9ncmFtLCBEZXBhcnRtZW50IG9m
IENoZW1pY2FsIGFuZCBCaW9tb2xlY3VsYXIgRW5naW5lZXJpbmcsIDE2OCBTdG9ja2VyIENlbnRl
ciwgT2hpbyBVbml2ZXJzaXR5LCBBdGhlbnMsIE9ILCA0NTcwMSwgVVNBLiYjeEQ7U2Nob29sIG9m
IEVsZWN0cmljYWwgRW5naW5lZXJpbmcgYW5kIENvbXB1dGVyIFNjaWVuY2UsIE9oaW8gVW5pdmVy
c2l0eSwgQXRoZW5zLCBPSCwgNDU3MDEsIFVTQS4mI3hEO0Jpb21lZGljYWwgRW5naW5lZXJpbmcg
UHJvZ3JhbSwgRGVwYXJ0bWVudCBvZiBDaGVtaWNhbCBhbmQgQmlvbW9sZWN1bGFyIEVuZ2luZWVy
aW5nLCAxNjggU3RvY2tlciBDZW50ZXIsIE9oaW8gVW5pdmVyc2l0eSwgQXRoZW5zLCBPSCwgNDU3
MDEsIFVTQS4gZmFybm91ZEBvaGlvLmVkdS48L2F1dGgtYWRkcmVzcz48dGl0bGVzPjx0aXRsZT5F
bGVjdHJvbmljIGNpZ2FyZXR0ZSB2YXBvciBhbHRlcnMgdGhlIGxhdGVyYWwgc3RydWN0dXJlIGJ1
dCBub3QgdGVuc2lvbWV0cmljIHByb3BlcnRpZXMgb2YgY2FsZiBsdW5nIHN1cmZhY3RhbnQ8L3Rp
dGxlPjxzZWNvbmRhcnktdGl0bGU+UmVzcGlyIFJlczwvc2Vjb25kYXJ5LXRpdGxlPjxhbHQtdGl0
bGU+UmVzcGlyYXRvcnkgcmVzZWFyY2g8L2FsdC10aXRsZT48L3RpdGxlcz48YWx0LXBlcmlvZGlj
YWw+PGZ1bGwtdGl0bGU+UmVzcGlyYXRvcnkgUmVzZWFyY2g8L2Z1bGwtdGl0bGU+PC9hbHQtcGVy
aW9kaWNhbD48cGFnZXM+MTkzPC9wYWdlcz48dm9sdW1lPjE4PC92b2x1bWU+PG51bWJlcj4xPC9u
dW1iZXI+PGVkaXRpb24+MjAxNy8xMS8xOTwvZWRpdGlvbj48a2V5d29yZHM+PGtleXdvcmQ+RWxl
Y3Ryb25pYyBjaWdhcmV0dGU8L2tleXdvcmQ+PGtleXdvcmQ+SW5mYXN1cmYoUik8L2tleXdvcmQ+
PGtleXdvcmQ+THVuZyBzdXJmYWN0YW50PC9rZXl3b3JkPjxrZXl3b3JkPlN1cmZhY2UgdGVuc2lv
bjwva2V5d29yZD48a2V5d29yZD5TdXJmYWN0YW50IGluaGliaXRpb248L2tleXdvcmQ+PC9rZXl3
b3Jkcz48ZGF0ZXM+PHllYXI+MjAxNzwveWVhcj48cHViLWRhdGVzPjxkYXRlPk5vdiAxNzwvZGF0
ZT48L3B1Yi1kYXRlcz48L2RhdGVzPjxpc2JuPjE0NjUtOTkyMTwvaXNibj48YWNjZXNzaW9uLW51
bT4yOTE0OTg4OTwvYWNjZXNzaW9uLW51bT48dXJscz48cmVsYXRlZC11cmxzPjx1cmw+aHR0cHM6
Ly93d3cubmNiaS5ubG0ubmloLmdvdi9wbWMvYXJ0aWNsZXMvUE1DNTY5MzU0Ny9wZGYvMTI5MzFf
MjAxN19BcnRpY2xlXzY3Ni5wZGY8L3VybD48L3JlbGF0ZWQtdXJscz48L3VybHM+PGN1c3RvbTI+
UE1DNTY5MzU0NzwvY3VzdG9tMj48ZWxlY3Ryb25pYy1yZXNvdXJjZS1udW0+MTAuMTE4Ni9zMTI5
MzEtMDE3LTA2NzYtOTwvZWxlY3Ryb25pYy1yZXNvdXJjZS1udW0+PHJlbW90ZS1kYXRhYmFzZS1w
cm92aWRlcj5OTE08L3JlbW90ZS1kYXRhYmFzZS1wcm92aWRlcj48bGFuZ3VhZ2U+ZW5nPC9sYW5n
dWFnZT48L3JlY29yZD48L0NpdGU+PC9FbmROb3RlPgB=
</w:fldData>
            </w:fldChar>
          </w:r>
          <w:r w:rsidRPr="001C3631">
            <w:instrText xml:space="preserve"> ADDIN EN.CITE.DATA </w:instrText>
          </w:r>
          <w:r w:rsidRPr="001C3631">
            <w:fldChar w:fldCharType="end"/>
          </w:r>
          <w:r w:rsidRPr="001C3631">
            <w:fldChar w:fldCharType="separate"/>
          </w:r>
          <w:r w:rsidRPr="001C3631">
            <w:t>(Przybyla, Wright et al. 2017)</w:t>
          </w:r>
          <w:r w:rsidRPr="001C3631">
            <w:fldChar w:fldCharType="end"/>
          </w:r>
          <w:r w:rsidRPr="001C3631">
            <w:t>. These results are supported by a study which simulated pulmonary surfactant and found that while both e-cigarette vapour and cigarette smoke led to impaired surfactant performance, the effects from cigarette smoke were worse than e-cigarette vapour</w:t>
          </w:r>
          <w:r w:rsidR="0061588D">
            <w:t xml:space="preserve"> </w:t>
          </w:r>
          <w:r w:rsidRPr="001C3631">
            <w:fldChar w:fldCharType="begin"/>
          </w:r>
          <w:r w:rsidRPr="001C3631">
            <w:instrText xml:space="preserve"> ADDIN EN.CITE &lt;EndNote&gt;&lt;Cite&gt;&lt;Author&gt;Davies&lt;/Author&gt;&lt;Year&gt;2017&lt;/Year&gt;&lt;RecNum&gt;1905&lt;/RecNum&gt;&lt;DisplayText&gt;(Davies, Birkett et al. 2017)&lt;/DisplayText&gt;&lt;record&gt;&lt;rec-number&gt;1905&lt;/rec-number&gt;&lt;foreign-keys&gt;&lt;key app="EN" db-id="9z05dz0praadfuee0zoxzedk9zfe5fxx50z5" timestamp="1521507200"&gt;1905&lt;/key&gt;&lt;key app="ENWeb" db-id=""&gt;0&lt;/key&gt;&lt;/foreign-keys&gt;&lt;ref-type name="Journal Article"&gt;17&lt;/ref-type&gt;&lt;contributors&gt;&lt;authors&gt;&lt;author&gt;Davies, Michael J.&lt;/author&gt;&lt;author&gt;Birkett, Jason W.&lt;/author&gt;&lt;author&gt;Kotwa, Mateusz&lt;/author&gt;&lt;author&gt;Tomlinson, Lauren&lt;/author&gt;&lt;author&gt;Woldetinsae, Rezene&lt;/author&gt;&lt;/authors&gt;&lt;/contributors&gt;&lt;titles&gt;&lt;title&gt;The impact of cigarette/e-cigarette vapour on simulated pulmonary surfactant monolayers under physiologically relevant conditions&lt;/title&gt;&lt;secondary-title&gt;Surface and Interface Analysis&lt;/secondary-title&gt;&lt;/titles&gt;&lt;periodical&gt;&lt;full-title&gt;Surface and Interface Analysis&lt;/full-title&gt;&lt;/periodical&gt;&lt;pages&gt;654-665&lt;/pages&gt;&lt;volume&gt;49&lt;/volume&gt;&lt;number&gt;7&lt;/number&gt;&lt;dates&gt;&lt;year&gt;2017&lt;/year&gt;&lt;pub-dates&gt;&lt;date&gt;Jul&lt;/date&gt;&lt;/pub-dates&gt;&lt;/dates&gt;&lt;isbn&gt;0142-2421&lt;/isbn&gt;&lt;accession-num&gt;WOS:000402664800011&lt;/accession-num&gt;&lt;urls&gt;&lt;related-urls&gt;&lt;url&gt;&amp;lt;Go to ISI&amp;gt;://WOS:000402664800011&lt;/url&gt;&lt;url&gt;https://onlinelibrary.wiley.com/doi/pdf/10.1002/sia.6205&lt;/url&gt;&lt;/related-urls&gt;&lt;/urls&gt;&lt;electronic-resource-num&gt;10.1002/sia.6205&lt;/electronic-resource-num&gt;&lt;/record&gt;&lt;/Cite&gt;&lt;/EndNote&gt;</w:instrText>
          </w:r>
          <w:r w:rsidRPr="001C3631">
            <w:fldChar w:fldCharType="separate"/>
          </w:r>
          <w:r w:rsidRPr="001C3631">
            <w:t>(Davies, Birkett et al. 2017)</w:t>
          </w:r>
          <w:r w:rsidRPr="001C3631">
            <w:fldChar w:fldCharType="end"/>
          </w:r>
          <w:r w:rsidRPr="001C3631">
            <w:t>.</w:t>
          </w:r>
        </w:p>
        <w:p w14:paraId="5AA54EC0" w14:textId="77777777" w:rsidR="00A74D41" w:rsidRPr="00A74D41" w:rsidRDefault="00A74D41" w:rsidP="00A74D41">
          <w:pPr>
            <w:pStyle w:val="BodyText"/>
          </w:pPr>
        </w:p>
        <w:p w14:paraId="12CAF691" w14:textId="77777777" w:rsidR="000F0E2F" w:rsidRDefault="000F0E2F" w:rsidP="000F0E2F">
          <w:pPr>
            <w:pStyle w:val="Heading2"/>
          </w:pPr>
          <w:bookmarkStart w:id="86" w:name="_Toc513214379"/>
          <w:bookmarkStart w:id="87" w:name="_Toc517706668"/>
          <w:r>
            <w:t>Risk of disease</w:t>
          </w:r>
          <w:bookmarkEnd w:id="86"/>
          <w:bookmarkEnd w:id="87"/>
        </w:p>
        <w:p w14:paraId="36BC3C03" w14:textId="7677059A" w:rsidR="00A74D41" w:rsidRDefault="00A74D41" w:rsidP="00A74D41">
          <w:pPr>
            <w:pStyle w:val="BodyText"/>
          </w:pPr>
          <w:r>
            <w:t xml:space="preserve">A study investigating the impact of e-cigarette and tobacco extracts on umbilical vein cells found that some indicators of cardiovascular disease (CVD) development (C1q, C5b-9, gC1qR and CD35) increased after exposure to e-cigarette extract, but other indicators (C3b and C4d) did not increase </w:t>
          </w:r>
          <w:r>
            <w:fldChar w:fldCharType="begin">
              <w:fldData xml:space="preserve">PEVuZE5vdGU+PENpdGU+PEF1dGhvcj5CYXJiZXI8L0F1dGhvcj48WWVhcj4yMDE3PC9ZZWFyPjxS
ZWNOdW0+MTYyNjwvUmVjTnVtPjxEaXNwbGF5VGV4dD4oQmFyYmVyLCBHaGVicmVoaXdldCBldCBh
bC4gMjAxNyk8L0Rpc3BsYXlUZXh0PjxyZWNvcmQ+PHJlYy1udW1iZXI+MTYyNjwvcmVjLW51bWJl
cj48Zm9yZWlnbi1rZXlzPjxrZXkgYXBwPSJFTiIgZGItaWQ9Ijl6MDVkejBwcmFhZGZ1ZWUwem94
emVkazl6ZmU1Znh4NTB6NSIgdGltZXN0YW1wPSIxNTIxNTA3MTI4Ij4xNjI2PC9rZXk+PGtleSBh
cHA9IkVOV2ViIiBkYi1pZD0iIj4wPC9rZXk+PC9mb3JlaWduLWtleXM+PHJlZi10eXBlIG5hbWU9
IkpvdXJuYWwgQXJ0aWNsZSI+MTc8L3JlZi10eXBlPjxjb250cmlidXRvcnM+PGF1dGhvcnM+PGF1
dGhvcj5CYXJiZXIsIEsuIEUuPC9hdXRob3I+PGF1dGhvcj5HaGVicmVoaXdldCwgQi48L2F1dGhv
cj48YXV0aG9yPllpbiwgVy48L2F1dGhvcj48YXV0aG9yPlJ1YmVuc3RlaW4sIEQuIEEuPC9hdXRo
b3I+PC9hdXRob3JzPjwvY29udHJpYnV0b3JzPjx0aXRsZXM+PHRpdGxlPkVuZG90aGVsaWFsIENl
bGwgSW5mbGFtbWF0b3J5IFJlYWN0aW9ucyBBcmUgQWx0ZXJlZCBpbiB0aGUgUHJlc2VuY2Ugb2Yg
RS1DaWdhcmV0dGUgRXh0cmFjdHMgb2YgVmFyaWFibGUgTmljb3RpbmU8L3RpdGxlPjxzZWNvbmRh
cnktdGl0bGU+Q2VsbHVsYXIgYW5kIE1vbGVjdWxhciBCaW9lbmdpbmVlcmluZzwvc2Vjb25kYXJ5
LXRpdGxlPjwvdGl0bGVzPjxwZXJpb2RpY2FsPjxmdWxsLXRpdGxlPkNlbGx1bGFyIGFuZCBNb2xl
Y3VsYXIgQmlvZW5naW5lZXJpbmc8L2Z1bGwtdGl0bGU+PC9wZXJpb2RpY2FsPjxwYWdlcz4xMjQt
MTMzPC9wYWdlcz48dm9sdW1lPjEwPC92b2x1bWU+PG51bWJlcj4xPC9udW1iZXI+PGtleXdvcmRz
PjxrZXl3b3JkPmNvbXBsZW1lbnQgY29tcG9uZW50IEMxcTwva2V5d29yZD48a2V5d29yZD5uaWNv
dGluZTwva2V5d29yZD48a2V5d29yZD50b2JhY2NvIHNtb2tlPC9rZXl3b3JkPjxrZXl3b3JkPkFy
dGljbGU8L2tleXdvcmQ+PGtleXdvcmQ+Y2FyZGlvdmFzY3VsYXIgZGlzZWFzZTwva2V5d29yZD48
a2V5d29yZD5jZWxsIGRlbnNpdHk8L2tleXdvcmQ+PGtleXdvcmQ+Y2VsbCBwcm9saWZlcmF0aW9u
PC9rZXl3b3JkPjxrZXl3b3JkPmNlbGwgdmlhYmlsaXR5PC9rZXl3b3JkPjxrZXl3b3JkPmNvbXBs
ZW1lbnQgYWN0aXZhdGlvbjwva2V5d29yZD48a2V5d29yZD5jb21wbGVtZW50IGRlcG9zaXRpb248
L2tleXdvcmQ+PGtleXdvcmQ+Y29udHJvbGxlZCBzdHVkeTwva2V5d29yZD48a2V5d29yZD5lbGVj
dHJvbmljIGNpZ2FyZXR0ZTwva2V5d29yZD48a2V5d29yZD5lbmRvdGhlbGl1bSBjZWxsPC9rZXl3
b3JkPjxrZXl3b3JkPmh1bWFuPC9rZXl3b3JkPjxrZXl3b3JkPmh1bWFuIGNlbGw8L2tleXdvcmQ+
PGtleXdvcmQ+aW5mbGFtbWF0aW9uPC9rZXl3b3JkPjxrZXl3b3JkPm1ldGFib2xpYyBhY3RpdmF0
aW9uPC9rZXl3b3JkPjxrZXl3b3JkPnBhcnRpY3VsYXRlIG1hdHRlcjwva2V5d29yZD48a2V5d29y
ZD5wcm90ZWluIGV4cHJlc3Npb248L2tleXdvcmQ+PGtleXdvcmQ+cmlzayBmYWN0b3I8L2tleXdv
cmQ+PGtleXdvcmQ+dG9iYWNjbzwva2V5d29yZD48a2V5d29yZD52YXNjdWxpdGlzPC9rZXl3b3Jk
Pjwva2V5d29yZHM+PGRhdGVzPjx5ZWFyPjIwMTc8L3llYXI+PC9kYXRlcz48dXJscz48cmVsYXRl
ZC11cmxzPjx1cmw+aHR0cHM6Ly93d3cuc2NvcHVzLmNvbS9pbndhcmQvcmVjb3JkLnVyaT9laWQ9
Mi1zMi4wLTg0OTgzNDE0MTY3JmFtcDtkb2k9MTAuMTAwNyUyZnMxMjE5NS0wMTYtMDQ2NS00JmFt
cDtwYXJ0bmVySUQ9NDAmYW1wO21kNT1jODJiMzZjNzM4MjI2NTdhODdjMjg2MmEwZTlkMTgzMTwv
dXJsPjx1cmw+aHR0cHM6Ly9saW5rLnNwcmluZ2VyLmNvbS9jb250ZW50L3BkZi8xMC4xMDA3JTJG
czEyMTk1LTAxNi0wNDY1LTQucGRmPC91cmw+PC9yZWxhdGVkLXVybHM+PC91cmxzPjxlbGVjdHJv
bmljLXJlc291cmNlLW51bT4xMC4xMDA3L3MxMjE5NS0wMTYtMDQ2NS00PC9lbGVjdHJvbmljLXJl
c291cmNlLW51bT48cmVtb3RlLWRhdGFiYXNlLW5hbWU+U2NvcHVzPC9yZW1vdGUtZGF0YWJhc2Ut
bmFtZT48L3JlY29yZD48L0NpdGU+PC9FbmROb3RlPn==
</w:fldData>
            </w:fldChar>
          </w:r>
          <w:r>
            <w:instrText xml:space="preserve"> ADDIN EN.CITE </w:instrText>
          </w:r>
          <w:r>
            <w:fldChar w:fldCharType="begin">
              <w:fldData xml:space="preserve">PEVuZE5vdGU+PENpdGU+PEF1dGhvcj5CYXJiZXI8L0F1dGhvcj48WWVhcj4yMDE3PC9ZZWFyPjxS
ZWNOdW0+MTYyNjwvUmVjTnVtPjxEaXNwbGF5VGV4dD4oQmFyYmVyLCBHaGVicmVoaXdldCBldCBh
bC4gMjAxNyk8L0Rpc3BsYXlUZXh0PjxyZWNvcmQ+PHJlYy1udW1iZXI+MTYyNjwvcmVjLW51bWJl
cj48Zm9yZWlnbi1rZXlzPjxrZXkgYXBwPSJFTiIgZGItaWQ9Ijl6MDVkejBwcmFhZGZ1ZWUwem94
emVkazl6ZmU1Znh4NTB6NSIgdGltZXN0YW1wPSIxNTIxNTA3MTI4Ij4xNjI2PC9rZXk+PGtleSBh
cHA9IkVOV2ViIiBkYi1pZD0iIj4wPC9rZXk+PC9mb3JlaWduLWtleXM+PHJlZi10eXBlIG5hbWU9
IkpvdXJuYWwgQXJ0aWNsZSI+MTc8L3JlZi10eXBlPjxjb250cmlidXRvcnM+PGF1dGhvcnM+PGF1
dGhvcj5CYXJiZXIsIEsuIEUuPC9hdXRob3I+PGF1dGhvcj5HaGVicmVoaXdldCwgQi48L2F1dGhv
cj48YXV0aG9yPllpbiwgVy48L2F1dGhvcj48YXV0aG9yPlJ1YmVuc3RlaW4sIEQuIEEuPC9hdXRo
b3I+PC9hdXRob3JzPjwvY29udHJpYnV0b3JzPjx0aXRsZXM+PHRpdGxlPkVuZG90aGVsaWFsIENl
bGwgSW5mbGFtbWF0b3J5IFJlYWN0aW9ucyBBcmUgQWx0ZXJlZCBpbiB0aGUgUHJlc2VuY2Ugb2Yg
RS1DaWdhcmV0dGUgRXh0cmFjdHMgb2YgVmFyaWFibGUgTmljb3RpbmU8L3RpdGxlPjxzZWNvbmRh
cnktdGl0bGU+Q2VsbHVsYXIgYW5kIE1vbGVjdWxhciBCaW9lbmdpbmVlcmluZzwvc2Vjb25kYXJ5
LXRpdGxlPjwvdGl0bGVzPjxwZXJpb2RpY2FsPjxmdWxsLXRpdGxlPkNlbGx1bGFyIGFuZCBNb2xl
Y3VsYXIgQmlvZW5naW5lZXJpbmc8L2Z1bGwtdGl0bGU+PC9wZXJpb2RpY2FsPjxwYWdlcz4xMjQt
MTMzPC9wYWdlcz48dm9sdW1lPjEwPC92b2x1bWU+PG51bWJlcj4xPC9udW1iZXI+PGtleXdvcmRz
PjxrZXl3b3JkPmNvbXBsZW1lbnQgY29tcG9uZW50IEMxcTwva2V5d29yZD48a2V5d29yZD5uaWNv
dGluZTwva2V5d29yZD48a2V5d29yZD50b2JhY2NvIHNtb2tlPC9rZXl3b3JkPjxrZXl3b3JkPkFy
dGljbGU8L2tleXdvcmQ+PGtleXdvcmQ+Y2FyZGlvdmFzY3VsYXIgZGlzZWFzZTwva2V5d29yZD48
a2V5d29yZD5jZWxsIGRlbnNpdHk8L2tleXdvcmQ+PGtleXdvcmQ+Y2VsbCBwcm9saWZlcmF0aW9u
PC9rZXl3b3JkPjxrZXl3b3JkPmNlbGwgdmlhYmlsaXR5PC9rZXl3b3JkPjxrZXl3b3JkPmNvbXBs
ZW1lbnQgYWN0aXZhdGlvbjwva2V5d29yZD48a2V5d29yZD5jb21wbGVtZW50IGRlcG9zaXRpb248
L2tleXdvcmQ+PGtleXdvcmQ+Y29udHJvbGxlZCBzdHVkeTwva2V5d29yZD48a2V5d29yZD5lbGVj
dHJvbmljIGNpZ2FyZXR0ZTwva2V5d29yZD48a2V5d29yZD5lbmRvdGhlbGl1bSBjZWxsPC9rZXl3
b3JkPjxrZXl3b3JkPmh1bWFuPC9rZXl3b3JkPjxrZXl3b3JkPmh1bWFuIGNlbGw8L2tleXdvcmQ+
PGtleXdvcmQ+aW5mbGFtbWF0aW9uPC9rZXl3b3JkPjxrZXl3b3JkPm1ldGFib2xpYyBhY3RpdmF0
aW9uPC9rZXl3b3JkPjxrZXl3b3JkPnBhcnRpY3VsYXRlIG1hdHRlcjwva2V5d29yZD48a2V5d29y
ZD5wcm90ZWluIGV4cHJlc3Npb248L2tleXdvcmQ+PGtleXdvcmQ+cmlzayBmYWN0b3I8L2tleXdv
cmQ+PGtleXdvcmQ+dG9iYWNjbzwva2V5d29yZD48a2V5d29yZD52YXNjdWxpdGlzPC9rZXl3b3Jk
Pjwva2V5d29yZHM+PGRhdGVzPjx5ZWFyPjIwMTc8L3llYXI+PC9kYXRlcz48dXJscz48cmVsYXRl
ZC11cmxzPjx1cmw+aHR0cHM6Ly93d3cuc2NvcHVzLmNvbS9pbndhcmQvcmVjb3JkLnVyaT9laWQ9
Mi1zMi4wLTg0OTgzNDE0MTY3JmFtcDtkb2k9MTAuMTAwNyUyZnMxMjE5NS0wMTYtMDQ2NS00JmFt
cDtwYXJ0bmVySUQ9NDAmYW1wO21kNT1jODJiMzZjNzM4MjI2NTdhODdjMjg2MmEwZTlkMTgzMTwv
dXJsPjx1cmw+aHR0cHM6Ly9saW5rLnNwcmluZ2VyLmNvbS9jb250ZW50L3BkZi8xMC4xMDA3JTJG
czEyMTk1LTAxNi0wNDY1LTQucGRmPC91cmw+PC9yZWxhdGVkLXVybHM+PC91cmxzPjxlbGVjdHJv
bmljLXJlc291cmNlLW51bT4xMC4xMDA3L3MxMjE5NS0wMTYtMDQ2NS00PC9lbGVjdHJvbmljLXJl
c291cmNlLW51bT48cmVtb3RlLWRhdGFiYXNlLW5hbWU+U2NvcHVzPC9yZW1vdGUtZGF0YWJhc2Ut
bmFtZT48L3JlY29yZD48L0NpdGU+PC9FbmROb3RlPn==
</w:fldData>
            </w:fldChar>
          </w:r>
          <w:r>
            <w:instrText xml:space="preserve"> ADDIN EN.CITE.DATA </w:instrText>
          </w:r>
          <w:r>
            <w:fldChar w:fldCharType="end"/>
          </w:r>
          <w:r>
            <w:fldChar w:fldCharType="separate"/>
          </w:r>
          <w:r>
            <w:rPr>
              <w:noProof/>
            </w:rPr>
            <w:t>(Barber, Ghebrehiwet et al. 2017)</w:t>
          </w:r>
          <w:r>
            <w:fldChar w:fldCharType="end"/>
          </w:r>
          <w:r>
            <w:t xml:space="preserve">. Pure nicotine exposure also led to enhanced expression of gC1qR, an indicator of CVD development </w:t>
          </w:r>
          <w:r>
            <w:fldChar w:fldCharType="begin">
              <w:fldData xml:space="preserve">PEVuZE5vdGU+PENpdGU+PEF1dGhvcj5CYXJiZXI8L0F1dGhvcj48WWVhcj4yMDE3PC9ZZWFyPjxS
ZWNOdW0+MTYyNjwvUmVjTnVtPjxEaXNwbGF5VGV4dD4oQmFyYmVyLCBHaGVicmVoaXdldCBldCBh
bC4gMjAxNyk8L0Rpc3BsYXlUZXh0PjxyZWNvcmQ+PHJlYy1udW1iZXI+MTYyNjwvcmVjLW51bWJl
cj48Zm9yZWlnbi1rZXlzPjxrZXkgYXBwPSJFTiIgZGItaWQ9Ijl6MDVkejBwcmFhZGZ1ZWUwem94
emVkazl6ZmU1Znh4NTB6NSIgdGltZXN0YW1wPSIxNTIxNTA3MTI4Ij4xNjI2PC9rZXk+PGtleSBh
cHA9IkVOV2ViIiBkYi1pZD0iIj4wPC9rZXk+PC9mb3JlaWduLWtleXM+PHJlZi10eXBlIG5hbWU9
IkpvdXJuYWwgQXJ0aWNsZSI+MTc8L3JlZi10eXBlPjxjb250cmlidXRvcnM+PGF1dGhvcnM+PGF1
dGhvcj5CYXJiZXIsIEsuIEUuPC9hdXRob3I+PGF1dGhvcj5HaGVicmVoaXdldCwgQi48L2F1dGhv
cj48YXV0aG9yPllpbiwgVy48L2F1dGhvcj48YXV0aG9yPlJ1YmVuc3RlaW4sIEQuIEEuPC9hdXRo
b3I+PC9hdXRob3JzPjwvY29udHJpYnV0b3JzPjx0aXRsZXM+PHRpdGxlPkVuZG90aGVsaWFsIENl
bGwgSW5mbGFtbWF0b3J5IFJlYWN0aW9ucyBBcmUgQWx0ZXJlZCBpbiB0aGUgUHJlc2VuY2Ugb2Yg
RS1DaWdhcmV0dGUgRXh0cmFjdHMgb2YgVmFyaWFibGUgTmljb3RpbmU8L3RpdGxlPjxzZWNvbmRh
cnktdGl0bGU+Q2VsbHVsYXIgYW5kIE1vbGVjdWxhciBCaW9lbmdpbmVlcmluZzwvc2Vjb25kYXJ5
LXRpdGxlPjwvdGl0bGVzPjxwZXJpb2RpY2FsPjxmdWxsLXRpdGxlPkNlbGx1bGFyIGFuZCBNb2xl
Y3VsYXIgQmlvZW5naW5lZXJpbmc8L2Z1bGwtdGl0bGU+PC9wZXJpb2RpY2FsPjxwYWdlcz4xMjQt
MTMzPC9wYWdlcz48dm9sdW1lPjEwPC92b2x1bWU+PG51bWJlcj4xPC9udW1iZXI+PGtleXdvcmRz
PjxrZXl3b3JkPmNvbXBsZW1lbnQgY29tcG9uZW50IEMxcTwva2V5d29yZD48a2V5d29yZD5uaWNv
dGluZTwva2V5d29yZD48a2V5d29yZD50b2JhY2NvIHNtb2tlPC9rZXl3b3JkPjxrZXl3b3JkPkFy
dGljbGU8L2tleXdvcmQ+PGtleXdvcmQ+Y2FyZGlvdmFzY3VsYXIgZGlzZWFzZTwva2V5d29yZD48
a2V5d29yZD5jZWxsIGRlbnNpdHk8L2tleXdvcmQ+PGtleXdvcmQ+Y2VsbCBwcm9saWZlcmF0aW9u
PC9rZXl3b3JkPjxrZXl3b3JkPmNlbGwgdmlhYmlsaXR5PC9rZXl3b3JkPjxrZXl3b3JkPmNvbXBs
ZW1lbnQgYWN0aXZhdGlvbjwva2V5d29yZD48a2V5d29yZD5jb21wbGVtZW50IGRlcG9zaXRpb248
L2tleXdvcmQ+PGtleXdvcmQ+Y29udHJvbGxlZCBzdHVkeTwva2V5d29yZD48a2V5d29yZD5lbGVj
dHJvbmljIGNpZ2FyZXR0ZTwva2V5d29yZD48a2V5d29yZD5lbmRvdGhlbGl1bSBjZWxsPC9rZXl3
b3JkPjxrZXl3b3JkPmh1bWFuPC9rZXl3b3JkPjxrZXl3b3JkPmh1bWFuIGNlbGw8L2tleXdvcmQ+
PGtleXdvcmQ+aW5mbGFtbWF0aW9uPC9rZXl3b3JkPjxrZXl3b3JkPm1ldGFib2xpYyBhY3RpdmF0
aW9uPC9rZXl3b3JkPjxrZXl3b3JkPnBhcnRpY3VsYXRlIG1hdHRlcjwva2V5d29yZD48a2V5d29y
ZD5wcm90ZWluIGV4cHJlc3Npb248L2tleXdvcmQ+PGtleXdvcmQ+cmlzayBmYWN0b3I8L2tleXdv
cmQ+PGtleXdvcmQ+dG9iYWNjbzwva2V5d29yZD48a2V5d29yZD52YXNjdWxpdGlzPC9rZXl3b3Jk
Pjwva2V5d29yZHM+PGRhdGVzPjx5ZWFyPjIwMTc8L3llYXI+PC9kYXRlcz48dXJscz48cmVsYXRl
ZC11cmxzPjx1cmw+aHR0cHM6Ly93d3cuc2NvcHVzLmNvbS9pbndhcmQvcmVjb3JkLnVyaT9laWQ9
Mi1zMi4wLTg0OTgzNDE0MTY3JmFtcDtkb2k9MTAuMTAwNyUyZnMxMjE5NS0wMTYtMDQ2NS00JmFt
cDtwYXJ0bmVySUQ9NDAmYW1wO21kNT1jODJiMzZjNzM4MjI2NTdhODdjMjg2MmEwZTlkMTgzMTwv
dXJsPjx1cmw+aHR0cHM6Ly9saW5rLnNwcmluZ2VyLmNvbS9jb250ZW50L3BkZi8xMC4xMDA3JTJG
czEyMTk1LTAxNi0wNDY1LTQucGRmPC91cmw+PC9yZWxhdGVkLXVybHM+PC91cmxzPjxlbGVjdHJv
bmljLXJlc291cmNlLW51bT4xMC4xMDA3L3MxMjE5NS0wMTYtMDQ2NS00PC9lbGVjdHJvbmljLXJl
c291cmNlLW51bT48cmVtb3RlLWRhdGFiYXNlLW5hbWU+U2NvcHVzPC9yZW1vdGUtZGF0YWJhc2Ut
bmFtZT48L3JlY29yZD48L0NpdGU+PC9FbmROb3RlPn==
</w:fldData>
            </w:fldChar>
          </w:r>
          <w:r>
            <w:instrText xml:space="preserve"> ADDIN EN.CITE </w:instrText>
          </w:r>
          <w:r>
            <w:fldChar w:fldCharType="begin">
              <w:fldData xml:space="preserve">PEVuZE5vdGU+PENpdGU+PEF1dGhvcj5CYXJiZXI8L0F1dGhvcj48WWVhcj4yMDE3PC9ZZWFyPjxS
ZWNOdW0+MTYyNjwvUmVjTnVtPjxEaXNwbGF5VGV4dD4oQmFyYmVyLCBHaGVicmVoaXdldCBldCBh
bC4gMjAxNyk8L0Rpc3BsYXlUZXh0PjxyZWNvcmQ+PHJlYy1udW1iZXI+MTYyNjwvcmVjLW51bWJl
cj48Zm9yZWlnbi1rZXlzPjxrZXkgYXBwPSJFTiIgZGItaWQ9Ijl6MDVkejBwcmFhZGZ1ZWUwem94
emVkazl6ZmU1Znh4NTB6NSIgdGltZXN0YW1wPSIxNTIxNTA3MTI4Ij4xNjI2PC9rZXk+PGtleSBh
cHA9IkVOV2ViIiBkYi1pZD0iIj4wPC9rZXk+PC9mb3JlaWduLWtleXM+PHJlZi10eXBlIG5hbWU9
IkpvdXJuYWwgQXJ0aWNsZSI+MTc8L3JlZi10eXBlPjxjb250cmlidXRvcnM+PGF1dGhvcnM+PGF1
dGhvcj5CYXJiZXIsIEsuIEUuPC9hdXRob3I+PGF1dGhvcj5HaGVicmVoaXdldCwgQi48L2F1dGhv
cj48YXV0aG9yPllpbiwgVy48L2F1dGhvcj48YXV0aG9yPlJ1YmVuc3RlaW4sIEQuIEEuPC9hdXRo
b3I+PC9hdXRob3JzPjwvY29udHJpYnV0b3JzPjx0aXRsZXM+PHRpdGxlPkVuZG90aGVsaWFsIENl
bGwgSW5mbGFtbWF0b3J5IFJlYWN0aW9ucyBBcmUgQWx0ZXJlZCBpbiB0aGUgUHJlc2VuY2Ugb2Yg
RS1DaWdhcmV0dGUgRXh0cmFjdHMgb2YgVmFyaWFibGUgTmljb3RpbmU8L3RpdGxlPjxzZWNvbmRh
cnktdGl0bGU+Q2VsbHVsYXIgYW5kIE1vbGVjdWxhciBCaW9lbmdpbmVlcmluZzwvc2Vjb25kYXJ5
LXRpdGxlPjwvdGl0bGVzPjxwZXJpb2RpY2FsPjxmdWxsLXRpdGxlPkNlbGx1bGFyIGFuZCBNb2xl
Y3VsYXIgQmlvZW5naW5lZXJpbmc8L2Z1bGwtdGl0bGU+PC9wZXJpb2RpY2FsPjxwYWdlcz4xMjQt
MTMzPC9wYWdlcz48dm9sdW1lPjEwPC92b2x1bWU+PG51bWJlcj4xPC9udW1iZXI+PGtleXdvcmRz
PjxrZXl3b3JkPmNvbXBsZW1lbnQgY29tcG9uZW50IEMxcTwva2V5d29yZD48a2V5d29yZD5uaWNv
dGluZTwva2V5d29yZD48a2V5d29yZD50b2JhY2NvIHNtb2tlPC9rZXl3b3JkPjxrZXl3b3JkPkFy
dGljbGU8L2tleXdvcmQ+PGtleXdvcmQ+Y2FyZGlvdmFzY3VsYXIgZGlzZWFzZTwva2V5d29yZD48
a2V5d29yZD5jZWxsIGRlbnNpdHk8L2tleXdvcmQ+PGtleXdvcmQ+Y2VsbCBwcm9saWZlcmF0aW9u
PC9rZXl3b3JkPjxrZXl3b3JkPmNlbGwgdmlhYmlsaXR5PC9rZXl3b3JkPjxrZXl3b3JkPmNvbXBs
ZW1lbnQgYWN0aXZhdGlvbjwva2V5d29yZD48a2V5d29yZD5jb21wbGVtZW50IGRlcG9zaXRpb248
L2tleXdvcmQ+PGtleXdvcmQ+Y29udHJvbGxlZCBzdHVkeTwva2V5d29yZD48a2V5d29yZD5lbGVj
dHJvbmljIGNpZ2FyZXR0ZTwva2V5d29yZD48a2V5d29yZD5lbmRvdGhlbGl1bSBjZWxsPC9rZXl3
b3JkPjxrZXl3b3JkPmh1bWFuPC9rZXl3b3JkPjxrZXl3b3JkPmh1bWFuIGNlbGw8L2tleXdvcmQ+
PGtleXdvcmQ+aW5mbGFtbWF0aW9uPC9rZXl3b3JkPjxrZXl3b3JkPm1ldGFib2xpYyBhY3RpdmF0
aW9uPC9rZXl3b3JkPjxrZXl3b3JkPnBhcnRpY3VsYXRlIG1hdHRlcjwva2V5d29yZD48a2V5d29y
ZD5wcm90ZWluIGV4cHJlc3Npb248L2tleXdvcmQ+PGtleXdvcmQ+cmlzayBmYWN0b3I8L2tleXdv
cmQ+PGtleXdvcmQ+dG9iYWNjbzwva2V5d29yZD48a2V5d29yZD52YXNjdWxpdGlzPC9rZXl3b3Jk
Pjwva2V5d29yZHM+PGRhdGVzPjx5ZWFyPjIwMTc8L3llYXI+PC9kYXRlcz48dXJscz48cmVsYXRl
ZC11cmxzPjx1cmw+aHR0cHM6Ly93d3cuc2NvcHVzLmNvbS9pbndhcmQvcmVjb3JkLnVyaT9laWQ9
Mi1zMi4wLTg0OTgzNDE0MTY3JmFtcDtkb2k9MTAuMTAwNyUyZnMxMjE5NS0wMTYtMDQ2NS00JmFt
cDtwYXJ0bmVySUQ9NDAmYW1wO21kNT1jODJiMzZjNzM4MjI2NTdhODdjMjg2MmEwZTlkMTgzMTwv
dXJsPjx1cmw+aHR0cHM6Ly9saW5rLnNwcmluZ2VyLmNvbS9jb250ZW50L3BkZi8xMC4xMDA3JTJG
czEyMTk1LTAxNi0wNDY1LTQucGRmPC91cmw+PC9yZWxhdGVkLXVybHM+PC91cmxzPjxlbGVjdHJv
bmljLXJlc291cmNlLW51bT4xMC4xMDA3L3MxMjE5NS0wMTYtMDQ2NS00PC9lbGVjdHJvbmljLXJl
c291cmNlLW51bT48cmVtb3RlLWRhdGFiYXNlLW5hbWU+U2NvcHVzPC9yZW1vdGUtZGF0YWJhc2Ut
bmFtZT48L3JlY29yZD48L0NpdGU+PC9FbmROb3RlPn==
</w:fldData>
            </w:fldChar>
          </w:r>
          <w:r>
            <w:instrText xml:space="preserve"> ADDIN EN.CITE.DATA </w:instrText>
          </w:r>
          <w:r>
            <w:fldChar w:fldCharType="end"/>
          </w:r>
          <w:r>
            <w:fldChar w:fldCharType="separate"/>
          </w:r>
          <w:r>
            <w:rPr>
              <w:noProof/>
            </w:rPr>
            <w:t>(Barber, Ghebrehiwet et al. 2017)</w:t>
          </w:r>
          <w:r>
            <w:fldChar w:fldCharType="end"/>
          </w:r>
          <w:r>
            <w:t>. Another study reported the effects of e-cigarette vapour extracts and cigarette smoke extracts on endothelial cell migration after scratch-wound injury</w:t>
          </w:r>
          <w:r>
            <w:fldChar w:fldCharType="begin">
              <w:fldData xml:space="preserve">PEVuZE5vdGU+PENpdGU+PEF1dGhvcj5UYXlsb3I8L0F1dGhvcj48WWVhcj4yMDE3PC9ZZWFyPjxS
ZWNOdW0+MTA1MjwvUmVjTnVtPjxEaXNwbGF5VGV4dD4oVGF5bG9yLCBKYXVua3kgZXQgYWwuIDIw
MTcpPC9EaXNwbGF5VGV4dD48cmVjb3JkPjxyZWMtbnVtYmVyPjEwNTI8L3JlYy1udW1iZXI+PGZv
cmVpZ24ta2V5cz48a2V5IGFwcD0iRU4iIGRiLWlkPSI5ejA1ZHowcHJhYWRmdWVlMHpveHplZGs5
emZlNWZ4eDUwejUiIHRpbWVzdGFtcD0iMTUyMTUwNjk4OSI+MTA1Mjwva2V5PjxrZXkgYXBwPSJF
TldlYiIgZGItaWQ9IiI+MDwva2V5PjwvZm9yZWlnbi1rZXlzPjxyZWYtdHlwZSBuYW1lPSJKb3Vy
bmFsIEFydGljbGUiPjE3PC9yZWYtdHlwZT48Y29udHJpYnV0b3JzPjxhdXRob3JzPjxhdXRob3I+
VGF5bG9yLCBNLjwvYXV0aG9yPjxhdXRob3I+SmF1bmt5LCBULjwvYXV0aG9yPjxhdXRob3I+SGV3
aXR0LCBLLjwvYXV0aG9yPjxhdXRob3I+QnJlaGVueSwgRC48L2F1dGhvcj48YXV0aG9yPkxvd2Us
IEYuPC9hdXRob3I+PGF1dGhvcj5GZWFyb24sIEkuIE0uPC9hdXRob3I+PGF1dGhvcj5HYWNhLCBN
LjwvYXV0aG9yPjwvYXV0aG9ycz48L2NvbnRyaWJ1dG9ycz48YXV0aC1hZGRyZXNzPkJyaXRpc2gg
QW1lcmljYW4gVG9iYWNjbyAoSW52ZXN0bWVudHMpIEx0ZCwgU291dGhhbXB0b24sIFVLLiBFbGVj
dHJvbmljIGFkZHJlc3M6IE1hcmtyX3RheWxvckBCQVQuY29tLiYjeEQ7QnJpdGlzaCBBbWVyaWNh
biBUb2JhY2NvIChJbnZlc3RtZW50cykgTHRkLCBTb3V0aGFtcHRvbiwgVUsuPC9hdXRoLWFkZHJl
c3M+PHRpdGxlcz48dGl0bGU+QSBjb21wYXJhdGl2ZSBhc3Nlc3NtZW50IG9mIGUtY2lnYXJldHRl
IGFlcm9zb2xzIGFuZCBjaWdhcmV0dGUgc21va2Ugb24gaW4gdml0cm8gZW5kb3RoZWxpYWwgY2Vs
bCBtaWdyYXRpb248L3RpdGxlPjxzZWNvbmRhcnktdGl0bGU+VG94aWNvbCBMZXR0PC9zZWNvbmRh
cnktdGl0bGU+PGFsdC10aXRsZT5Ub3hpY29sb2d5IGxldHRlcnM8L2FsdC10aXRsZT48L3RpdGxl
cz48cGVyaW9kaWNhbD48ZnVsbC10aXRsZT5Ub3hpY29sIExldHQ8L2Z1bGwtdGl0bGU+PGFiYnIt
MT5Ub3hpY29sb2d5IGxldHRlcnM8L2FiYnItMT48L3BlcmlvZGljYWw+PGFsdC1wZXJpb2RpY2Fs
PjxmdWxsLXRpdGxlPlRveGljb2wgTGV0dDwvZnVsbC10aXRsZT48YWJici0xPlRveGljb2xvZ3kg
bGV0dGVyczwvYWJici0xPjwvYWx0LXBlcmlvZGljYWw+PHBhZ2VzPjEyMy0xMjg8L3BhZ2VzPjx2
b2x1bWU+Mjc3PC92b2x1bWU+PGVkaXRpb24+MjAxNy8wNi8yOTwvZWRpdGlvbj48a2V5d29yZHM+
PGtleXdvcmQ+QWVyb3NvbHM8L2tleXdvcmQ+PGtleXdvcmQ+Q2VsbCBNb3ZlbWVudC8qZHJ1ZyBl
ZmZlY3RzPC9rZXl3b3JkPjxrZXl3b3JkPkNlbGxzLCBDdWx0dXJlZDwva2V5d29yZD48a2V5d29y
ZD5Db25zdW1lciBQcm9kdWN0IFNhZmV0eTwva2V5d29yZD48a2V5d29yZD5Eb3NlLVJlc3BvbnNl
IFJlbGF0aW9uc2hpcCwgRHJ1Zzwva2V5d29yZD48a2V5d29yZD5FbGVjdHJvbmljIE5pY290aW5l
IERlbGl2ZXJ5IFN5c3RlbXMvKmFkdmVyc2UgZWZmZWN0czwva2V5d29yZD48a2V5d29yZD5IdW1h
biBVbWJpbGljYWwgVmVpbiBFbmRvdGhlbGlhbCBDZWxscy8qZHJ1ZyBlZmZlY3RzPC9rZXl3b3Jk
PjxrZXl3b3JkPkh1bWFuczwva2V5d29yZD48a2V5d29yZD5JbmhhbGF0aW9uIEV4cG9zdXJlL2Fk
dmVyc2UgZWZmZWN0czwva2V5d29yZD48a2V5d29yZD5OaWNvdGluZS9hZG1pbmlzdHJhdGlvbiAm
YW1wOyBkb3NhZ2UvdG94aWNpdHk8L2tleXdvcmQ+PGtleXdvcmQ+Tmljb3RpbmljIEFnb25pc3Rz
L2FkbWluaXN0cmF0aW9uICZhbXA7IGRvc2FnZS90b3hpY2l0eTwva2V5d29yZD48a2V5d29yZD5S
aXNrIEFzc2Vzc21lbnQ8L2tleXdvcmQ+PGtleXdvcmQ+U21va2UvKmFkdmVyc2UgZWZmZWN0czwv
a2V5d29yZD48a2V5d29yZD5TbW9raW5nLyphZHZlcnNlIGVmZmVjdHM8L2tleXdvcmQ+PGtleXdv
cmQ+VGltZSBGYWN0b3JzPC9rZXl3b3JkPjxrZXl3b3JkPkNhcmRpb3Zhc2N1bGFyIGRpc2Vhc2U8
L2tleXdvcmQ+PGtleXdvcmQ+Q2lnYXJldHRlIHNtb2tlPC9rZXl3b3JkPjxrZXl3b3JkPkUtY2ln
YXJldHRlPC9rZXl3b3JkPjxrZXl3b3JkPkVuZG90aGVsaWFsIG1pZ3JhdGlvbjwva2V5d29yZD48
a2V5d29yZD5OaWNvdGluZTwva2V5d29yZD48L2tleXdvcmRzPjxkYXRlcz48eWVhcj4yMDE3PC95
ZWFyPjxwdWItZGF0ZXM+PGRhdGU+QXVnIDU8L2RhdGU+PC9wdWItZGF0ZXM+PC9kYXRlcz48aXNi
bj4wMzc4LTQyNzQ8L2lzYm4+PGFjY2Vzc2lvbi1udW0+Mjg2NTg2MDY8L2FjY2Vzc2lvbi1udW0+
PHVybHM+PHJlbGF0ZWQtdXJscz48dXJsPmh0dHBzOi8vd3d3LnNjaWVuY2VkaXJlY3QuY29tL3Nj
aWVuY2UvYXJ0aWNsZS9waWkvUzAzNzg0Mjc0MTczMDIyNjY/dmlhJTNEaWh1YjwvdXJsPjwvcmVs
YXRlZC11cmxzPjwvdXJscz48ZWxlY3Ryb25pYy1yZXNvdXJjZS1udW0+MTAuMTAxNi9qLnRveGxl
dC4yMDE3LjA2LjAwMTwvZWxlY3Ryb25pYy1yZXNvdXJjZS1udW0+PHJlbW90ZS1kYXRhYmFzZS1w
cm92aWRlcj5OTE08L3JlbW90ZS1kYXRhYmFzZS1wcm92aWRlcj48bGFuZ3VhZ2U+ZW5nPC9sYW5n
dWFnZT48L3JlY29yZD48L0NpdGU+PC9FbmROb3RlPgB=
</w:fldData>
            </w:fldChar>
          </w:r>
          <w:r>
            <w:instrText xml:space="preserve"> ADDIN EN.CITE </w:instrText>
          </w:r>
          <w:r>
            <w:fldChar w:fldCharType="begin">
              <w:fldData xml:space="preserve">PEVuZE5vdGU+PENpdGU+PEF1dGhvcj5UYXlsb3I8L0F1dGhvcj48WWVhcj4yMDE3PC9ZZWFyPjxS
ZWNOdW0+MTA1MjwvUmVjTnVtPjxEaXNwbGF5VGV4dD4oVGF5bG9yLCBKYXVua3kgZXQgYWwuIDIw
MTcpPC9EaXNwbGF5VGV4dD48cmVjb3JkPjxyZWMtbnVtYmVyPjEwNTI8L3JlYy1udW1iZXI+PGZv
cmVpZ24ta2V5cz48a2V5IGFwcD0iRU4iIGRiLWlkPSI5ejA1ZHowcHJhYWRmdWVlMHpveHplZGs5
emZlNWZ4eDUwejUiIHRpbWVzdGFtcD0iMTUyMTUwNjk4OSI+MTA1Mjwva2V5PjxrZXkgYXBwPSJF
TldlYiIgZGItaWQ9IiI+MDwva2V5PjwvZm9yZWlnbi1rZXlzPjxyZWYtdHlwZSBuYW1lPSJKb3Vy
bmFsIEFydGljbGUiPjE3PC9yZWYtdHlwZT48Y29udHJpYnV0b3JzPjxhdXRob3JzPjxhdXRob3I+
VGF5bG9yLCBNLjwvYXV0aG9yPjxhdXRob3I+SmF1bmt5LCBULjwvYXV0aG9yPjxhdXRob3I+SGV3
aXR0LCBLLjwvYXV0aG9yPjxhdXRob3I+QnJlaGVueSwgRC48L2F1dGhvcj48YXV0aG9yPkxvd2Us
IEYuPC9hdXRob3I+PGF1dGhvcj5GZWFyb24sIEkuIE0uPC9hdXRob3I+PGF1dGhvcj5HYWNhLCBN
LjwvYXV0aG9yPjwvYXV0aG9ycz48L2NvbnRyaWJ1dG9ycz48YXV0aC1hZGRyZXNzPkJyaXRpc2gg
QW1lcmljYW4gVG9iYWNjbyAoSW52ZXN0bWVudHMpIEx0ZCwgU291dGhhbXB0b24sIFVLLiBFbGVj
dHJvbmljIGFkZHJlc3M6IE1hcmtyX3RheWxvckBCQVQuY29tLiYjeEQ7QnJpdGlzaCBBbWVyaWNh
biBUb2JhY2NvIChJbnZlc3RtZW50cykgTHRkLCBTb3V0aGFtcHRvbiwgVUsuPC9hdXRoLWFkZHJl
c3M+PHRpdGxlcz48dGl0bGU+QSBjb21wYXJhdGl2ZSBhc3Nlc3NtZW50IG9mIGUtY2lnYXJldHRl
IGFlcm9zb2xzIGFuZCBjaWdhcmV0dGUgc21va2Ugb24gaW4gdml0cm8gZW5kb3RoZWxpYWwgY2Vs
bCBtaWdyYXRpb248L3RpdGxlPjxzZWNvbmRhcnktdGl0bGU+VG94aWNvbCBMZXR0PC9zZWNvbmRh
cnktdGl0bGU+PGFsdC10aXRsZT5Ub3hpY29sb2d5IGxldHRlcnM8L2FsdC10aXRsZT48L3RpdGxl
cz48cGVyaW9kaWNhbD48ZnVsbC10aXRsZT5Ub3hpY29sIExldHQ8L2Z1bGwtdGl0bGU+PGFiYnIt
MT5Ub3hpY29sb2d5IGxldHRlcnM8L2FiYnItMT48L3BlcmlvZGljYWw+PGFsdC1wZXJpb2RpY2Fs
PjxmdWxsLXRpdGxlPlRveGljb2wgTGV0dDwvZnVsbC10aXRsZT48YWJici0xPlRveGljb2xvZ3kg
bGV0dGVyczwvYWJici0xPjwvYWx0LXBlcmlvZGljYWw+PHBhZ2VzPjEyMy0xMjg8L3BhZ2VzPjx2
b2x1bWU+Mjc3PC92b2x1bWU+PGVkaXRpb24+MjAxNy8wNi8yOTwvZWRpdGlvbj48a2V5d29yZHM+
PGtleXdvcmQ+QWVyb3NvbHM8L2tleXdvcmQ+PGtleXdvcmQ+Q2VsbCBNb3ZlbWVudC8qZHJ1ZyBl
ZmZlY3RzPC9rZXl3b3JkPjxrZXl3b3JkPkNlbGxzLCBDdWx0dXJlZDwva2V5d29yZD48a2V5d29y
ZD5Db25zdW1lciBQcm9kdWN0IFNhZmV0eTwva2V5d29yZD48a2V5d29yZD5Eb3NlLVJlc3BvbnNl
IFJlbGF0aW9uc2hpcCwgRHJ1Zzwva2V5d29yZD48a2V5d29yZD5FbGVjdHJvbmljIE5pY290aW5l
IERlbGl2ZXJ5IFN5c3RlbXMvKmFkdmVyc2UgZWZmZWN0czwva2V5d29yZD48a2V5d29yZD5IdW1h
biBVbWJpbGljYWwgVmVpbiBFbmRvdGhlbGlhbCBDZWxscy8qZHJ1ZyBlZmZlY3RzPC9rZXl3b3Jk
PjxrZXl3b3JkPkh1bWFuczwva2V5d29yZD48a2V5d29yZD5JbmhhbGF0aW9uIEV4cG9zdXJlL2Fk
dmVyc2UgZWZmZWN0czwva2V5d29yZD48a2V5d29yZD5OaWNvdGluZS9hZG1pbmlzdHJhdGlvbiAm
YW1wOyBkb3NhZ2UvdG94aWNpdHk8L2tleXdvcmQ+PGtleXdvcmQ+Tmljb3RpbmljIEFnb25pc3Rz
L2FkbWluaXN0cmF0aW9uICZhbXA7IGRvc2FnZS90b3hpY2l0eTwva2V5d29yZD48a2V5d29yZD5S
aXNrIEFzc2Vzc21lbnQ8L2tleXdvcmQ+PGtleXdvcmQ+U21va2UvKmFkdmVyc2UgZWZmZWN0czwv
a2V5d29yZD48a2V5d29yZD5TbW9raW5nLyphZHZlcnNlIGVmZmVjdHM8L2tleXdvcmQ+PGtleXdv
cmQ+VGltZSBGYWN0b3JzPC9rZXl3b3JkPjxrZXl3b3JkPkNhcmRpb3Zhc2N1bGFyIGRpc2Vhc2U8
L2tleXdvcmQ+PGtleXdvcmQ+Q2lnYXJldHRlIHNtb2tlPC9rZXl3b3JkPjxrZXl3b3JkPkUtY2ln
YXJldHRlPC9rZXl3b3JkPjxrZXl3b3JkPkVuZG90aGVsaWFsIG1pZ3JhdGlvbjwva2V5d29yZD48
a2V5d29yZD5OaWNvdGluZTwva2V5d29yZD48L2tleXdvcmRzPjxkYXRlcz48eWVhcj4yMDE3PC95
ZWFyPjxwdWItZGF0ZXM+PGRhdGU+QXVnIDU8L2RhdGU+PC9wdWItZGF0ZXM+PC9kYXRlcz48aXNi
bj4wMzc4LTQyNzQ8L2lzYm4+PGFjY2Vzc2lvbi1udW0+Mjg2NTg2MDY8L2FjY2Vzc2lvbi1udW0+
PHVybHM+PHJlbGF0ZWQtdXJscz48dXJsPmh0dHBzOi8vd3d3LnNjaWVuY2VkaXJlY3QuY29tL3Nj
aWVuY2UvYXJ0aWNsZS9waWkvUzAzNzg0Mjc0MTczMDIyNjY/dmlhJTNEaWh1YjwvdXJsPjwvcmVs
YXRlZC11cmxzPjwvdXJscz48ZWxlY3Ryb25pYy1yZXNvdXJjZS1udW0+MTAuMTAxNi9qLnRveGxl
dC4yMDE3LjA2LjAwMTwvZWxlY3Ryb25pYy1yZXNvdXJjZS1udW0+PHJlbW90ZS1kYXRhYmFzZS1w
cm92aWRlcj5OTE08L3JlbW90ZS1kYXRhYmFzZS1wcm92aWRlcj48bGFuZ3VhZ2U+ZW5nPC9sYW5n
dWFnZT48L3JlY29yZD48L0NpdGU+PC9FbmROb3RlPgB=
</w:fldData>
            </w:fldChar>
          </w:r>
          <w:r>
            <w:instrText xml:space="preserve"> ADDIN EN.CITE.DATA </w:instrText>
          </w:r>
          <w:r>
            <w:fldChar w:fldCharType="end"/>
          </w:r>
          <w:r>
            <w:fldChar w:fldCharType="separate"/>
          </w:r>
          <w:r>
            <w:rPr>
              <w:noProof/>
            </w:rPr>
            <w:t>(Taylor, Jaunky et al. 2017)</w:t>
          </w:r>
          <w:r>
            <w:fldChar w:fldCharType="end"/>
          </w:r>
          <w:r>
            <w:t>. Endothelial migration is involved in vascular repair mechanisms and is an indicator of endothelial dysfunction, a marker of CVD development. In this study, c</w:t>
          </w:r>
          <w:r w:rsidRPr="004272EC">
            <w:t>igarettes led to dose-dependent</w:t>
          </w:r>
          <w:r>
            <w:t xml:space="preserve"> inhibition of endothelial migration, however e-cigarettes </w:t>
          </w:r>
          <w:r w:rsidRPr="004272EC">
            <w:t>did not influence endothelial migration at any dose</w:t>
          </w:r>
          <w:r>
            <w:t>. Thus, CVD risk increased after exposure cigarette smoke extracts but not e-cigarette vapour extracts. However, endothelial migration is only one indicator of CVD.</w:t>
          </w:r>
        </w:p>
        <w:p w14:paraId="6E57122F" w14:textId="77777777" w:rsidR="00A74D41" w:rsidRDefault="00A74D41" w:rsidP="00A74D41">
          <w:pPr>
            <w:pStyle w:val="BodyText"/>
          </w:pPr>
          <w:r>
            <w:t xml:space="preserve">Another study found that exposure of oral cavity cells (gingival cells) to e-cigarette vapour altered cell morphology, increased cell damage (indicated by increased lactate dehydrogenase) increased apoptotic and necrotic cells </w:t>
          </w:r>
          <w:r>
            <w:fldChar w:fldCharType="begin">
              <w:fldData xml:space="preserve">PEVuZE5vdGU+PENpdGU+PEF1dGhvcj5Sb3VhYmhpYTwvQXV0aG9yPjxZZWFyPjIwMTc8L1llYXI+
PFJlY051bT4xNDgwPC9SZWNOdW0+PERpc3BsYXlUZXh0PihSb3VhYmhpYSwgUGFyayBldCBhbC4g
MjAxNyk8L0Rpc3BsYXlUZXh0PjxyZWNvcmQ+PHJlYy1udW1iZXI+MTQ4MDwvcmVjLW51bWJlcj48
Zm9yZWlnbi1rZXlzPjxrZXkgYXBwPSJFTiIgZGItaWQ9Ijl6MDVkejBwcmFhZGZ1ZWUwem94emVk
azl6ZmU1Znh4NTB6NSIgdGltZXN0YW1wPSIxNTIxNTA3MDg5Ij4xNDgwPC9rZXk+PGtleSBhcHA9
IkVOV2ViIiBkYi1pZD0iIj4wPC9rZXk+PC9mb3JlaWduLWtleXM+PHJlZi10eXBlIG5hbWU9Ikpv
dXJuYWwgQXJ0aWNsZSI+MTc8L3JlZi10eXBlPjxjb250cmlidXRvcnM+PGF1dGhvcnM+PGF1dGhv
cj5Sb3VhYmhpYSwgTS48L2F1dGhvcj48YXV0aG9yPlBhcmssIEguIEouPC9hdXRob3I+PGF1dGhv
cj5TZW1sYWxpLCBBLjwvYXV0aG9yPjxhdXRob3I+WmFrcnpld3NraSwgQS48L2F1dGhvcj48YXV0
aG9yPkNobWllbGV3c2tpLCBXLjwvYXV0aG9yPjxhdXRob3I+Q2hha2lyLCBKLjwvYXV0aG9yPjwv
YXV0aG9ycz48L2NvbnRyaWJ1dG9ycz48YXV0aC1hZGRyZXNzPkdyb3VwZSBkZSBSZWNoZXJjaGUg
ZW4gRWNvbG9naWUgQnVjY2FsZSwgRmFjdWx0ZSBkZSBNZWRlY2luZSBEZW50YWlyZSwgVW5pdmVy
c2l0ZSBMYXZhbCwgUXVlYmVjLCBRQywgQ2FuYWRhLiYjeEQ7RGVwYXJ0bWVudCBvZiBCaW9jaGVt
aXN0cnksIEdlbm9tZSBSZXNlYXJjaCBDaGFpciwgQ29sbGVnZSBvZiBTY2llbmNlLCBLaW5nIFNh
dWQgVW5pdmVyc2l0eSwgUml5YWRoLCBLaW5nZG9tIG9mIFNhdWRpIEFyYWJpYS4mI3hEO0luc3Rp
dHV0IHVuaXZlcnNpdGFpcmUgZGUgY2FyZGlvbG9naWUgZXQgZGUgcG5ldW1vbG9naWUgZGUgUXVl
YmVjLCBVbml2ZXJzaXRlIExhdmFsLCBRdWViZWMsIFFDLCBDYW5hZGEuPC9hdXRoLWFkZHJlc3M+
PHRpdGxlcz48dGl0bGU+RS1DaWdhcmV0dGUgVmFwb3IgSW5kdWNlcyBhbiBBcG9wdG90aWMgUmVz
cG9uc2UgaW4gSHVtYW4gR2luZ2l2YWwgRXBpdGhlbGlhbCBDZWxscyBUaHJvdWdoIHRoZSBDYXNw
YXNlLTMgUGF0aHdheTwvdGl0bGU+PHNlY29uZGFyeS10aXRsZT5KIENlbGwgUGh5c2lvbDwvc2Vj
b25kYXJ5LXRpdGxlPjxhbHQtdGl0bGU+Sm91cm5hbCBvZiBjZWxsdWxhciBwaHlzaW9sb2d5PC9h
bHQtdGl0bGU+PC90aXRsZXM+PGFsdC1wZXJpb2RpY2FsPjxmdWxsLXRpdGxlPkpvdXJuYWwgb2Yg
Y2VsbHVsYXIgcGh5c2lvbG9neTwvZnVsbC10aXRsZT48L2FsdC1wZXJpb2RpY2FsPjxwYWdlcz4x
NTM5LTE1NDc8L3BhZ2VzPjx2b2x1bWU+MjMyPC92b2x1bWU+PG51bWJlcj42PC9udW1iZXI+PGVk
aXRpb24+MjAxNi8xMS8wNDwvZWRpdGlvbj48a2V5d29yZHM+PGtleXdvcmQ+QWRvbGVzY2VudDwv
a2V5d29yZD48a2V5d29yZD5BZHVsdDwva2V5d29yZD48a2V5d29yZD4qQXBvcHRvc2lzPC9rZXl3
b3JkPjxrZXl3b3JkPkNhc3Bhc2UgMy8qbWV0YWJvbGlzbTwva2V5d29yZD48a2V5d29yZD5DYXNw
YXNlIEluaGliaXRvcnMvcGhhcm1hY29sb2d5PC9rZXl3b3JkPjxrZXl3b3JkPkNlbGwgU2hhcGUv
ZHJ1ZyBlZmZlY3RzPC9rZXl3b3JkPjxrZXl3b3JkPkNlbGxzLCBDdWx0dXJlZDwva2V5d29yZD48
a2V5d29yZD5ETkEgRnJhZ21lbnRhdGlvbi9kcnVnIGVmZmVjdHM8L2tleXdvcmQ+PGtleXdvcmQ+
KkVsZWN0cm9uaWMgTmljb3RpbmUgRGVsaXZlcnkgU3lzdGVtczwva2V5d29yZD48a2V5d29yZD5F
cGl0aGVsaWFsIENlbGxzLypjeXRvbG9neS9kcnVnIGVmZmVjdHMvKmVuenltb2xvZ3k8L2tleXdv
cmQ+PGtleXdvcmQ+R2luZ2l2YS8qY3l0b2xvZ3k8L2tleXdvcmQ+PGtleXdvcmQ+SHVtYW5zPC9r
ZXl3b3JkPjxrZXl3b3JkPkwtTGFjdGF0ZSBEZWh5ZHJvZ2VuYXNlL21ldGFib2xpc208L2tleXdv
cmQ+PGtleXdvcmQ+TmVjcm9zaXM8L2tleXdvcmQ+PGtleXdvcmQ+KlNpZ25hbCBUcmFuc2R1Y3Rp
b24vZHJ1ZyBlZmZlY3RzPC9rZXl3b3JkPjxrZXl3b3JkPllvdW5nIEFkdWx0PC9rZXl3b3JkPjwv
a2V5d29yZHM+PGRhdGVzPjx5ZWFyPjIwMTc8L3llYXI+PHB1Yi1kYXRlcz48ZGF0ZT5KdW48L2Rh
dGU+PC9wdWItZGF0ZXM+PC9kYXRlcz48aXNibj4wMDIxLTk1NDE8L2lzYm4+PGFjY2Vzc2lvbi1u
dW0+Mjc4MDg0MjU8L2FjY2Vzc2lvbi1udW0+PHVybHM+PHJlbGF0ZWQtdXJscz48dXJsPmh0dHBz
Oi8vb25saW5lbGlicmFyeS53aWxleS5jb20vZG9pL3BkZi8xMC4xMDAyL2pjcC4yNTY3NzwvdXJs
PjwvcmVsYXRlZC11cmxzPjwvdXJscz48ZWxlY3Ryb25pYy1yZXNvdXJjZS1udW0+MTAuMTAwMi9q
Y3AuMjU2Nzc8L2VsZWN0cm9uaWMtcmVzb3VyY2UtbnVtPjxyZW1vdGUtZGF0YWJhc2UtcHJvdmlk
ZXI+TkxNPC9yZW1vdGUtZGF0YWJhc2UtcHJvdmlkZXI+PGxhbmd1YWdlPmVuZzwvbGFuZ3VhZ2U+
PC9yZWNvcmQ+PC9DaXRlPjwvRW5kTm90ZT4A
</w:fldData>
            </w:fldChar>
          </w:r>
          <w:r>
            <w:instrText xml:space="preserve"> ADDIN EN.CITE </w:instrText>
          </w:r>
          <w:r>
            <w:fldChar w:fldCharType="begin">
              <w:fldData xml:space="preserve">PEVuZE5vdGU+PENpdGU+PEF1dGhvcj5Sb3VhYmhpYTwvQXV0aG9yPjxZZWFyPjIwMTc8L1llYXI+
PFJlY051bT4xNDgwPC9SZWNOdW0+PERpc3BsYXlUZXh0PihSb3VhYmhpYSwgUGFyayBldCBhbC4g
MjAxNyk8L0Rpc3BsYXlUZXh0PjxyZWNvcmQ+PHJlYy1udW1iZXI+MTQ4MDwvcmVjLW51bWJlcj48
Zm9yZWlnbi1rZXlzPjxrZXkgYXBwPSJFTiIgZGItaWQ9Ijl6MDVkejBwcmFhZGZ1ZWUwem94emVk
azl6ZmU1Znh4NTB6NSIgdGltZXN0YW1wPSIxNTIxNTA3MDg5Ij4xNDgwPC9rZXk+PGtleSBhcHA9
IkVOV2ViIiBkYi1pZD0iIj4wPC9rZXk+PC9mb3JlaWduLWtleXM+PHJlZi10eXBlIG5hbWU9Ikpv
dXJuYWwgQXJ0aWNsZSI+MTc8L3JlZi10eXBlPjxjb250cmlidXRvcnM+PGF1dGhvcnM+PGF1dGhv
cj5Sb3VhYmhpYSwgTS48L2F1dGhvcj48YXV0aG9yPlBhcmssIEguIEouPC9hdXRob3I+PGF1dGhv
cj5TZW1sYWxpLCBBLjwvYXV0aG9yPjxhdXRob3I+WmFrcnpld3NraSwgQS48L2F1dGhvcj48YXV0
aG9yPkNobWllbGV3c2tpLCBXLjwvYXV0aG9yPjxhdXRob3I+Q2hha2lyLCBKLjwvYXV0aG9yPjwv
YXV0aG9ycz48L2NvbnRyaWJ1dG9ycz48YXV0aC1hZGRyZXNzPkdyb3VwZSBkZSBSZWNoZXJjaGUg
ZW4gRWNvbG9naWUgQnVjY2FsZSwgRmFjdWx0ZSBkZSBNZWRlY2luZSBEZW50YWlyZSwgVW5pdmVy
c2l0ZSBMYXZhbCwgUXVlYmVjLCBRQywgQ2FuYWRhLiYjeEQ7RGVwYXJ0bWVudCBvZiBCaW9jaGVt
aXN0cnksIEdlbm9tZSBSZXNlYXJjaCBDaGFpciwgQ29sbGVnZSBvZiBTY2llbmNlLCBLaW5nIFNh
dWQgVW5pdmVyc2l0eSwgUml5YWRoLCBLaW5nZG9tIG9mIFNhdWRpIEFyYWJpYS4mI3hEO0luc3Rp
dHV0IHVuaXZlcnNpdGFpcmUgZGUgY2FyZGlvbG9naWUgZXQgZGUgcG5ldW1vbG9naWUgZGUgUXVl
YmVjLCBVbml2ZXJzaXRlIExhdmFsLCBRdWViZWMsIFFDLCBDYW5hZGEuPC9hdXRoLWFkZHJlc3M+
PHRpdGxlcz48dGl0bGU+RS1DaWdhcmV0dGUgVmFwb3IgSW5kdWNlcyBhbiBBcG9wdG90aWMgUmVz
cG9uc2UgaW4gSHVtYW4gR2luZ2l2YWwgRXBpdGhlbGlhbCBDZWxscyBUaHJvdWdoIHRoZSBDYXNw
YXNlLTMgUGF0aHdheTwvdGl0bGU+PHNlY29uZGFyeS10aXRsZT5KIENlbGwgUGh5c2lvbDwvc2Vj
b25kYXJ5LXRpdGxlPjxhbHQtdGl0bGU+Sm91cm5hbCBvZiBjZWxsdWxhciBwaHlzaW9sb2d5PC9h
bHQtdGl0bGU+PC90aXRsZXM+PGFsdC1wZXJpb2RpY2FsPjxmdWxsLXRpdGxlPkpvdXJuYWwgb2Yg
Y2VsbHVsYXIgcGh5c2lvbG9neTwvZnVsbC10aXRsZT48L2FsdC1wZXJpb2RpY2FsPjxwYWdlcz4x
NTM5LTE1NDc8L3BhZ2VzPjx2b2x1bWU+MjMyPC92b2x1bWU+PG51bWJlcj42PC9udW1iZXI+PGVk
aXRpb24+MjAxNi8xMS8wNDwvZWRpdGlvbj48a2V5d29yZHM+PGtleXdvcmQ+QWRvbGVzY2VudDwv
a2V5d29yZD48a2V5d29yZD5BZHVsdDwva2V5d29yZD48a2V5d29yZD4qQXBvcHRvc2lzPC9rZXl3
b3JkPjxrZXl3b3JkPkNhc3Bhc2UgMy8qbWV0YWJvbGlzbTwva2V5d29yZD48a2V5d29yZD5DYXNw
YXNlIEluaGliaXRvcnMvcGhhcm1hY29sb2d5PC9rZXl3b3JkPjxrZXl3b3JkPkNlbGwgU2hhcGUv
ZHJ1ZyBlZmZlY3RzPC9rZXl3b3JkPjxrZXl3b3JkPkNlbGxzLCBDdWx0dXJlZDwva2V5d29yZD48
a2V5d29yZD5ETkEgRnJhZ21lbnRhdGlvbi9kcnVnIGVmZmVjdHM8L2tleXdvcmQ+PGtleXdvcmQ+
KkVsZWN0cm9uaWMgTmljb3RpbmUgRGVsaXZlcnkgU3lzdGVtczwva2V5d29yZD48a2V5d29yZD5F
cGl0aGVsaWFsIENlbGxzLypjeXRvbG9neS9kcnVnIGVmZmVjdHMvKmVuenltb2xvZ3k8L2tleXdv
cmQ+PGtleXdvcmQ+R2luZ2l2YS8qY3l0b2xvZ3k8L2tleXdvcmQ+PGtleXdvcmQ+SHVtYW5zPC9r
ZXl3b3JkPjxrZXl3b3JkPkwtTGFjdGF0ZSBEZWh5ZHJvZ2VuYXNlL21ldGFib2xpc208L2tleXdv
cmQ+PGtleXdvcmQ+TmVjcm9zaXM8L2tleXdvcmQ+PGtleXdvcmQ+KlNpZ25hbCBUcmFuc2R1Y3Rp
b24vZHJ1ZyBlZmZlY3RzPC9rZXl3b3JkPjxrZXl3b3JkPllvdW5nIEFkdWx0PC9rZXl3b3JkPjwv
a2V5d29yZHM+PGRhdGVzPjx5ZWFyPjIwMTc8L3llYXI+PHB1Yi1kYXRlcz48ZGF0ZT5KdW48L2Rh
dGU+PC9wdWItZGF0ZXM+PC9kYXRlcz48aXNibj4wMDIxLTk1NDE8L2lzYm4+PGFjY2Vzc2lvbi1u
dW0+Mjc4MDg0MjU8L2FjY2Vzc2lvbi1udW0+PHVybHM+PHJlbGF0ZWQtdXJscz48dXJsPmh0dHBz
Oi8vb25saW5lbGlicmFyeS53aWxleS5jb20vZG9pL3BkZi8xMC4xMDAyL2pjcC4yNTY3NzwvdXJs
PjwvcmVsYXRlZC11cmxzPjwvdXJscz48ZWxlY3Ryb25pYy1yZXNvdXJjZS1udW0+MTAuMTAwMi9q
Y3AuMjU2Nzc8L2VsZWN0cm9uaWMtcmVzb3VyY2UtbnVtPjxyZW1vdGUtZGF0YWJhc2UtcHJvdmlk
ZXI+TkxNPC9yZW1vdGUtZGF0YWJhc2UtcHJvdmlkZXI+PGxhbmd1YWdlPmVuZzwvbGFuZ3VhZ2U+
PC9yZWNvcmQ+PC9DaXRlPjwvRW5kTm90ZT4A
</w:fldData>
            </w:fldChar>
          </w:r>
          <w:r>
            <w:instrText xml:space="preserve"> ADDIN EN.CITE.DATA </w:instrText>
          </w:r>
          <w:r>
            <w:fldChar w:fldCharType="end"/>
          </w:r>
          <w:r>
            <w:fldChar w:fldCharType="separate"/>
          </w:r>
          <w:r>
            <w:rPr>
              <w:noProof/>
            </w:rPr>
            <w:t>(Rouabhia, Park et al. 2017)</w:t>
          </w:r>
          <w:r>
            <w:fldChar w:fldCharType="end"/>
          </w:r>
          <w:r>
            <w:t>, indicating increased risk of oral diseases.</w:t>
          </w:r>
          <w:r w:rsidRPr="000846C7">
            <w:t xml:space="preserve"> </w:t>
          </w:r>
        </w:p>
        <w:p w14:paraId="406F9B95" w14:textId="77777777" w:rsidR="00A74D41" w:rsidRDefault="00A74D41" w:rsidP="00A74D41">
          <w:pPr>
            <w:pStyle w:val="BodyText"/>
          </w:pPr>
          <w:r>
            <w:t xml:space="preserve">A study investigated the tumour promoter activity (promotors of tumour growth) of aqueous extracts of both e-cigarettes and cigarettes </w:t>
          </w:r>
          <w:r>
            <w:fldChar w:fldCharType="begin"/>
          </w:r>
          <w:r>
            <w:instrText xml:space="preserve"> ADDIN EN.CITE &lt;EndNote&gt;&lt;Cite&gt;&lt;Author&gt;Breheny&lt;/Author&gt;&lt;Year&gt;2017&lt;/Year&gt;&lt;RecNum&gt;473&lt;/RecNum&gt;&lt;DisplayText&gt;(Breheny, Oke et al. 2017)&lt;/DisplayText&gt;&lt;record&gt;&lt;rec-number&gt;473&lt;/rec-number&gt;&lt;foreign-keys&gt;&lt;key app="EN" db-id="9z05dz0praadfuee0zoxzedk9zfe5fxx50z5" timestamp="1521506831"&gt;473&lt;/key&gt;&lt;key app="ENWeb" db-id=""&gt;0&lt;/key&gt;&lt;/foreign-keys&gt;&lt;ref-type name="Journal Article"&gt;17&lt;/ref-type&gt;&lt;contributors&gt;&lt;authors&gt;&lt;author&gt;Breheny, D.&lt;/author&gt;&lt;author&gt;Oke, O.&lt;/author&gt;&lt;author&gt;Pant, K.&lt;/author&gt;&lt;author&gt;Gaca, M.&lt;/author&gt;&lt;/authors&gt;&lt;/contributors&gt;&lt;titles&gt;&lt;title&gt;Comparative Tumor Promotion Assessment of e-Cigarette and Cigarettes Using the In Vitro Bhas 42 Cell Transformation Assay&lt;/title&gt;&lt;secondary-title&gt;Environmental and Molecular Mutagenesis&lt;/secondary-title&gt;&lt;/titles&gt;&lt;periodical&gt;&lt;full-title&gt;Environmental and Molecular Mutagenesis&lt;/full-title&gt;&lt;/periodical&gt;&lt;pages&gt;190-198&lt;/pages&gt;&lt;volume&gt;58&lt;/volume&gt;&lt;number&gt;4&lt;/number&gt;&lt;dates&gt;&lt;year&gt;2017&lt;/year&gt;&lt;pub-dates&gt;&lt;date&gt;May&lt;/date&gt;&lt;/pub-dates&gt;&lt;/dates&gt;&lt;isbn&gt;0893-6692&lt;/isbn&gt;&lt;accession-num&gt;WOS:000402176100002&lt;/accession-num&gt;&lt;urls&gt;&lt;related-urls&gt;&lt;url&gt;&amp;lt;Go to ISI&amp;gt;://WOS:000402176100002&lt;/url&gt;&lt;url&gt;https://www.ncbi.nlm.nih.gov/pmc/articles/PMC5435921/pdf/EM-58-190.pdf&lt;/url&gt;&lt;/related-urls&gt;&lt;/urls&gt;&lt;electronic-resource-num&gt;10.1002/em.22091&lt;/electronic-resource-num&gt;&lt;/record&gt;&lt;/Cite&gt;&lt;/EndNote&gt;</w:instrText>
          </w:r>
          <w:r>
            <w:fldChar w:fldCharType="separate"/>
          </w:r>
          <w:r>
            <w:rPr>
              <w:noProof/>
            </w:rPr>
            <w:t>(Breheny, Oke et al. 2017)</w:t>
          </w:r>
          <w:r>
            <w:fldChar w:fldCharType="end"/>
          </w:r>
          <w:r>
            <w:t xml:space="preserve">. </w:t>
          </w:r>
          <w:r w:rsidRPr="008F7781">
            <w:t>After exposure to cigarette</w:t>
          </w:r>
          <w:r>
            <w:t xml:space="preserve"> extract</w:t>
          </w:r>
          <w:r w:rsidRPr="008F7781">
            <w:t>s there w</w:t>
          </w:r>
          <w:r>
            <w:t>ere significant</w:t>
          </w:r>
          <w:r w:rsidRPr="008F7781">
            <w:t xml:space="preserve"> increase</w:t>
          </w:r>
          <w:r>
            <w:t>s in</w:t>
          </w:r>
          <w:r w:rsidRPr="008F7781">
            <w:t xml:space="preserve"> tumour promoter act</w:t>
          </w:r>
          <w:r>
            <w:t>i</w:t>
          </w:r>
          <w:r w:rsidRPr="008F7781">
            <w:t>vity</w:t>
          </w:r>
          <w:r>
            <w:t xml:space="preserve"> and</w:t>
          </w:r>
          <w:r w:rsidRPr="008F7781">
            <w:t xml:space="preserve"> cell growth</w:t>
          </w:r>
          <w:r>
            <w:t>, however increases after</w:t>
          </w:r>
          <w:r w:rsidRPr="008F7781">
            <w:t xml:space="preserve"> e-cigarette </w:t>
          </w:r>
          <w:r>
            <w:t>extract exposure</w:t>
          </w:r>
          <w:r w:rsidRPr="008F7781">
            <w:t xml:space="preserve"> were not significant</w:t>
          </w:r>
          <w:r>
            <w:t xml:space="preserve"> </w:t>
          </w:r>
          <w:r>
            <w:fldChar w:fldCharType="begin"/>
          </w:r>
          <w:r>
            <w:instrText xml:space="preserve"> ADDIN EN.CITE &lt;EndNote&gt;&lt;Cite&gt;&lt;Author&gt;Breheny&lt;/Author&gt;&lt;Year&gt;2017&lt;/Year&gt;&lt;RecNum&gt;473&lt;/RecNum&gt;&lt;DisplayText&gt;(Breheny, Oke et al. 2017)&lt;/DisplayText&gt;&lt;record&gt;&lt;rec-number&gt;473&lt;/rec-number&gt;&lt;foreign-keys&gt;&lt;key app="EN" db-id="9z05dz0praadfuee0zoxzedk9zfe5fxx50z5" timestamp="1521506831"&gt;473&lt;/key&gt;&lt;key app="ENWeb" db-id=""&gt;0&lt;/key&gt;&lt;/foreign-keys&gt;&lt;ref-type name="Journal Article"&gt;17&lt;/ref-type&gt;&lt;contributors&gt;&lt;authors&gt;&lt;author&gt;Breheny, D.&lt;/author&gt;&lt;author&gt;Oke, O.&lt;/author&gt;&lt;author&gt;Pant, K.&lt;/author&gt;&lt;author&gt;Gaca, M.&lt;/author&gt;&lt;/authors&gt;&lt;/contributors&gt;&lt;titles&gt;&lt;title&gt;Comparative Tumor Promotion Assessment of e-Cigarette and Cigarettes Using the In Vitro Bhas 42 Cell Transformation Assay&lt;/title&gt;&lt;secondary-title&gt;Environmental and Molecular Mutagenesis&lt;/secondary-title&gt;&lt;/titles&gt;&lt;periodical&gt;&lt;full-title&gt;Environmental and Molecular Mutagenesis&lt;/full-title&gt;&lt;/periodical&gt;&lt;pages&gt;190-198&lt;/pages&gt;&lt;volume&gt;58&lt;/volume&gt;&lt;number&gt;4&lt;/number&gt;&lt;dates&gt;&lt;year&gt;2017&lt;/year&gt;&lt;pub-dates&gt;&lt;date&gt;May&lt;/date&gt;&lt;/pub-dates&gt;&lt;/dates&gt;&lt;isbn&gt;0893-6692&lt;/isbn&gt;&lt;accession-num&gt;WOS:000402176100002&lt;/accession-num&gt;&lt;urls&gt;&lt;related-urls&gt;&lt;url&gt;&amp;lt;Go to ISI&amp;gt;://WOS:000402176100002&lt;/url&gt;&lt;url&gt;https://www.ncbi.nlm.nih.gov/pmc/articles/PMC5435921/pdf/EM-58-190.pdf&lt;/url&gt;&lt;/related-urls&gt;&lt;/urls&gt;&lt;electronic-resource-num&gt;10.1002/em.22091&lt;/electronic-resource-num&gt;&lt;/record&gt;&lt;/Cite&gt;&lt;/EndNote&gt;</w:instrText>
          </w:r>
          <w:r>
            <w:fldChar w:fldCharType="separate"/>
          </w:r>
          <w:r>
            <w:rPr>
              <w:noProof/>
            </w:rPr>
            <w:t>(Breheny, Oke et al. 2017)</w:t>
          </w:r>
          <w:r>
            <w:fldChar w:fldCharType="end"/>
          </w:r>
          <w:r>
            <w:t>. Increasing tumour promoter activity does not increase risk of initial tumour formation, but may be relevant to an increased risk of tumour growth following initiation.</w:t>
          </w:r>
        </w:p>
        <w:p w14:paraId="14B07601" w14:textId="77777777" w:rsidR="00A74D41" w:rsidRPr="00A74D41" w:rsidRDefault="00A74D41" w:rsidP="00A74D41">
          <w:pPr>
            <w:pStyle w:val="BodyText"/>
          </w:pPr>
        </w:p>
        <w:p w14:paraId="50ABB3CB" w14:textId="77777777" w:rsidR="000F0E2F" w:rsidRDefault="000D0A02" w:rsidP="00BB6177">
          <w:pPr>
            <w:pStyle w:val="Heading2"/>
          </w:pPr>
          <w:bookmarkStart w:id="88" w:name="_Toc517706669"/>
          <w:r>
            <w:lastRenderedPageBreak/>
            <w:t>Conclusions</w:t>
          </w:r>
          <w:bookmarkEnd w:id="88"/>
        </w:p>
        <w:p w14:paraId="0CF04997" w14:textId="4F1ECFDE" w:rsidR="00A74D41" w:rsidRPr="00DD3302" w:rsidRDefault="00A74D41" w:rsidP="00A74D41">
          <w:pPr>
            <w:pStyle w:val="BodyText"/>
          </w:pPr>
          <w:r>
            <w:t xml:space="preserve">In summary, </w:t>
          </w:r>
          <w:r w:rsidRPr="00B270B9">
            <w:t>in vitro</w:t>
          </w:r>
          <w:r w:rsidRPr="00716680">
            <w:t xml:space="preserve"> </w:t>
          </w:r>
          <w:r>
            <w:t xml:space="preserve">studies on e-cigarette vapour, liquid and extracts strongly indicated potential health risks including cell death, increased oxidative stress, reduced lung function, changes in inflammatory response, altered gene expression and increase of cellular risk factors for cardiovascular disease. </w:t>
          </w:r>
        </w:p>
        <w:p w14:paraId="7943DFD9" w14:textId="77777777" w:rsidR="00A74D41" w:rsidRDefault="00A74D41" w:rsidP="00A74D41">
          <w:pPr>
            <w:pStyle w:val="BodyText"/>
          </w:pPr>
          <w:r>
            <w:t xml:space="preserve">A key limitation of the studies was that most did not state the extent to which the e-cigarette or cigarette related exposure was reflective of regular human use of e-cigarettes or cigarettes, and the extent to which e-cigarette extracts, liquids or vapour might be expected to be similar. The great variation among e-cigarette components may explain some of the inconsistency in findings and limit the capacity to generalise the in vitro findings. </w:t>
          </w:r>
        </w:p>
        <w:p w14:paraId="3BEF784D" w14:textId="77777777" w:rsidR="00A74D41" w:rsidRDefault="00A74D41" w:rsidP="00A74D41">
          <w:pPr>
            <w:pStyle w:val="BodyText"/>
          </w:pPr>
        </w:p>
        <w:p w14:paraId="6CE6EE2C" w14:textId="595AB45C" w:rsidR="00A74D41" w:rsidRDefault="00A74D41" w:rsidP="00A74D41">
          <w:pPr>
            <w:pStyle w:val="Heading2"/>
          </w:pPr>
          <w:bookmarkStart w:id="89" w:name="_Toc517706670"/>
          <w:r>
            <w:t xml:space="preserve">Key </w:t>
          </w:r>
          <w:r w:rsidR="0021563A">
            <w:t>f</w:t>
          </w:r>
          <w:r>
            <w:t>indings</w:t>
          </w:r>
          <w:bookmarkEnd w:id="89"/>
        </w:p>
        <w:p w14:paraId="724C03C5" w14:textId="77777777" w:rsidR="00A74D41" w:rsidRDefault="00A74D41" w:rsidP="00A74D41">
          <w:pPr>
            <w:pStyle w:val="BodyText"/>
            <w:numPr>
              <w:ilvl w:val="0"/>
              <w:numId w:val="37"/>
            </w:numPr>
          </w:pPr>
          <w:r w:rsidRPr="005E2508">
            <w:t>In vitro</w:t>
          </w:r>
          <w:r>
            <w:t xml:space="preserve"> studies on e-cigarette vapour, liquid and extracts strongly indicated potential health risks including cell death, increased oxidative stress, reduced lung function, changes in inflammatory response, altered gene expression and increase of cellular risk factors for cardiovascular disease. </w:t>
          </w:r>
        </w:p>
        <w:p w14:paraId="69398B15" w14:textId="77777777" w:rsidR="00A74D41" w:rsidRPr="00DD3302" w:rsidRDefault="00A74D41" w:rsidP="00A74D41">
          <w:pPr>
            <w:pStyle w:val="BodyText"/>
            <w:numPr>
              <w:ilvl w:val="0"/>
              <w:numId w:val="37"/>
            </w:numPr>
          </w:pPr>
          <w:r>
            <w:t>There is a lack of clarity about the direct implications of the in vitro findings for human health.</w:t>
          </w:r>
        </w:p>
        <w:p w14:paraId="5F99A1D5" w14:textId="77777777" w:rsidR="007008F9" w:rsidRDefault="007008F9">
          <w:pPr>
            <w:spacing w:after="0"/>
            <w:rPr>
              <w:sz w:val="24"/>
            </w:rPr>
          </w:pPr>
          <w:r>
            <w:br w:type="page"/>
          </w:r>
        </w:p>
        <w:p w14:paraId="23E2563A" w14:textId="77777777" w:rsidR="007008F9" w:rsidRDefault="007008F9" w:rsidP="007008F9">
          <w:pPr>
            <w:pStyle w:val="Heading1"/>
          </w:pPr>
          <w:bookmarkStart w:id="90" w:name="_Toc517706671"/>
          <w:r>
            <w:lastRenderedPageBreak/>
            <w:t>Modelling studies</w:t>
          </w:r>
          <w:bookmarkEnd w:id="90"/>
        </w:p>
        <w:p w14:paraId="3D12AD7C" w14:textId="77777777" w:rsidR="007008F9" w:rsidRDefault="007008F9" w:rsidP="007008F9">
          <w:pPr>
            <w:pStyle w:val="Heading2"/>
          </w:pPr>
          <w:bookmarkStart w:id="91" w:name="_Toc517706672"/>
          <w:r>
            <w:t>Results of modelling studies</w:t>
          </w:r>
          <w:bookmarkEnd w:id="91"/>
        </w:p>
        <w:p w14:paraId="109653A7" w14:textId="40E93957" w:rsidR="007008F9" w:rsidRDefault="007008F9" w:rsidP="007008F9">
          <w:pPr>
            <w:pStyle w:val="BodyText"/>
          </w:pPr>
          <w:r>
            <w:t xml:space="preserve">In a US study (Logue, Sleiman et al. 2017), a model was used to consider the health impacts associated with indoor exposure to vaping e-cigarettes (for e-cigarette users and bystanders). Recently reported emission rates of potentially harmful compounds were used to assess intake and predict health impacts for vapers and bystanders exposed passively. Data was gathered for </w:t>
          </w:r>
          <w:r w:rsidR="0023709D">
            <w:t xml:space="preserve">three </w:t>
          </w:r>
          <w:r>
            <w:t xml:space="preserve">different vaping scenarios: </w:t>
          </w:r>
        </w:p>
        <w:p w14:paraId="7213ECD4" w14:textId="77777777" w:rsidR="007008F9" w:rsidRDefault="007008F9" w:rsidP="00E16F8F">
          <w:pPr>
            <w:pStyle w:val="BodyText"/>
            <w:numPr>
              <w:ilvl w:val="0"/>
              <w:numId w:val="38"/>
            </w:numPr>
            <w:spacing w:before="0" w:after="0"/>
          </w:pPr>
          <w:r>
            <w:t>frequent short sessions, 25 daily session of 10 puffs each;</w:t>
          </w:r>
        </w:p>
        <w:p w14:paraId="017185F1" w14:textId="77777777" w:rsidR="007008F9" w:rsidRDefault="007008F9" w:rsidP="0023695A">
          <w:pPr>
            <w:pStyle w:val="BodyText"/>
            <w:numPr>
              <w:ilvl w:val="0"/>
              <w:numId w:val="38"/>
            </w:numPr>
            <w:spacing w:before="0" w:after="0"/>
          </w:pPr>
          <w:r>
            <w:t>intermediate 'typical' conditions, with 10 daily sessions of 25 puffs each;</w:t>
          </w:r>
        </w:p>
        <w:p w14:paraId="7B2C2B04" w14:textId="39E9C67D" w:rsidR="007008F9" w:rsidRDefault="007008F9" w:rsidP="00E652DB">
          <w:pPr>
            <w:pStyle w:val="BodyText"/>
            <w:numPr>
              <w:ilvl w:val="0"/>
              <w:numId w:val="38"/>
            </w:numPr>
            <w:spacing w:before="0" w:after="0"/>
          </w:pPr>
          <w:r>
            <w:t xml:space="preserve">infrequent long sessions, with only </w:t>
          </w:r>
          <w:r w:rsidR="000E5C99">
            <w:t xml:space="preserve">five </w:t>
          </w:r>
          <w:r>
            <w:t xml:space="preserve">daily sessions of 50 puffs each. </w:t>
          </w:r>
        </w:p>
        <w:p w14:paraId="687B28B2" w14:textId="2D2777D3" w:rsidR="007008F9" w:rsidRDefault="007008F9" w:rsidP="007008F9">
          <w:pPr>
            <w:pStyle w:val="BodyText"/>
          </w:pPr>
          <w:r>
            <w:t>In experiments, two vapori</w:t>
          </w:r>
          <w:r w:rsidR="003C4161">
            <w:t>s</w:t>
          </w:r>
          <w:r>
            <w:t>ers were used, an eGO CE 4 single coil vapori</w:t>
          </w:r>
          <w:r w:rsidR="003C4161">
            <w:t>s</w:t>
          </w:r>
          <w:r>
            <w:t xml:space="preserve">er and a dual coil device, the Kangertech Aerotank Mini. Three different e-liquids were used (with switching between these not having a major effect on emissions). Two indoor settings were explored: a residential setting where a nonuser lives with a user, and a bar setting that allows vaping indoors. </w:t>
          </w:r>
        </w:p>
        <w:p w14:paraId="57D51DCA" w14:textId="77777777" w:rsidR="007008F9" w:rsidRDefault="007008F9" w:rsidP="007008F9">
          <w:pPr>
            <w:pStyle w:val="BodyText"/>
          </w:pPr>
          <w:r>
            <w:t xml:space="preserve">The integrated health damage from passive vaping was derived by calculating disability adjusted life years (DALYs) lost due to exposure to second hand vapour. </w:t>
          </w:r>
        </w:p>
        <w:p w14:paraId="25E4A228" w14:textId="434E4A36" w:rsidR="007008F9" w:rsidRDefault="007008F9" w:rsidP="007008F9">
          <w:pPr>
            <w:pStyle w:val="BodyText"/>
          </w:pPr>
          <w:r>
            <w:t>Acrolein was considered to be the dominant contributor to aggregate harm (75%) with formaldehyde contributing 21%, and much smaller contributions from other compounds (glycidol, acetaldehyde and benzene). Acrolein levels were close to the 1 h Californian OEHHA (Office of Environmental Health Hazard Assessment) REL (Reference Exposure Level) and formaldehyde levels exceeded the 8 h REL. DALYs for the various device/voltage combinations were lower than</w:t>
          </w:r>
          <w:r w:rsidR="00DA390A">
            <w:t>,</w:t>
          </w:r>
          <w:r>
            <w:t xml:space="preserve"> or comparable</w:t>
          </w:r>
          <w:r w:rsidR="00DA390A">
            <w:t>,</w:t>
          </w:r>
          <w:r>
            <w:t xml:space="preserve"> to those estimated for exposures to second hand and third hand tobacco smoke. </w:t>
          </w:r>
        </w:p>
        <w:p w14:paraId="4F2D8EDB" w14:textId="77777777" w:rsidR="007008F9" w:rsidRDefault="007008F9" w:rsidP="007008F9">
          <w:pPr>
            <w:pStyle w:val="BodyText"/>
          </w:pPr>
          <w:r>
            <w:t>The main toxic burden of e</w:t>
          </w:r>
          <w:r>
            <w:noBreakHyphen/>
            <w:t>cigarettes is said to be likely to be associated with thermal decomposition by products of the main e</w:t>
          </w:r>
          <w:r>
            <w:noBreakHyphen/>
            <w:t>fluid constituents (propylene glycol and glycerin). Some of the same by products also originate from the decomposition of flavourings. The study was a preliminary evaluation for a subset of compounds detected in the vapour of e</w:t>
          </w:r>
          <w:r>
            <w:noBreakHyphen/>
            <w:t>cigarettes.</w:t>
          </w:r>
        </w:p>
        <w:p w14:paraId="21CE357C" w14:textId="6032E6B7" w:rsidR="007008F9" w:rsidRDefault="007008F9" w:rsidP="007008F9">
          <w:pPr>
            <w:pStyle w:val="BodyText"/>
          </w:pPr>
          <w:r>
            <w:t>The authors acknowledge that the estimations of DALYs attributed to exposure to the compounds investigated are preliminary due to incomplete epidemiological and toxicological data. Their reason for expressing results in terms of DALYs was to have a common metric for indoor exposure to a range of compounds. This modelling study does not attempt to estimate the indoor exposure experienced by a population, does</w:t>
          </w:r>
          <w:r w:rsidR="00716680">
            <w:t xml:space="preserve"> </w:t>
          </w:r>
          <w:r>
            <w:t>n</w:t>
          </w:r>
          <w:r w:rsidR="00716680">
            <w:t>o</w:t>
          </w:r>
          <w:r>
            <w:t>t total the health impact and does</w:t>
          </w:r>
          <w:r w:rsidR="00716680">
            <w:t xml:space="preserve"> </w:t>
          </w:r>
          <w:r>
            <w:t>n</w:t>
          </w:r>
          <w:r w:rsidR="00716680">
            <w:t>o</w:t>
          </w:r>
          <w:r>
            <w:t xml:space="preserve">t account for competing risks such as a decrease in exposure to tobacco smoke. </w:t>
          </w:r>
        </w:p>
        <w:p w14:paraId="7EE6AC49" w14:textId="77777777" w:rsidR="007008F9" w:rsidRDefault="007008F9" w:rsidP="007008F9">
          <w:pPr>
            <w:pStyle w:val="BodyText"/>
          </w:pPr>
        </w:p>
        <w:p w14:paraId="726C6F57" w14:textId="43E3B1B8" w:rsidR="007008F9" w:rsidRDefault="007008F9" w:rsidP="007008F9">
          <w:pPr>
            <w:pStyle w:val="BodyText"/>
          </w:pPr>
          <w:r>
            <w:lastRenderedPageBreak/>
            <w:t xml:space="preserve">An Italian study </w:t>
          </w:r>
          <w:r>
            <w:fldChar w:fldCharType="begin"/>
          </w:r>
          <w:r>
            <w:instrText xml:space="preserve"> ADDIN EN.CITE &lt;EndNote&gt;&lt;Cite&gt;&lt;Author&gt;Scungio&lt;/Author&gt;&lt;Year&gt;2018&lt;/Year&gt;&lt;RecNum&gt;10813&lt;/RecNum&gt;&lt;DisplayText&gt;(Scungio, Stabile et al. 2018)&lt;/DisplayText&gt;&lt;record&gt;&lt;rec-number&gt;10813&lt;/rec-number&gt;&lt;foreign-keys&gt;&lt;key app="EN" db-id="9z05dz0praadfuee0zoxzedk9zfe5fxx50z5" timestamp="1526869880"&gt;10813&lt;/key&gt;&lt;key app="ENWeb" db-id=""&gt;0&lt;/key&gt;&lt;/foreign-keys&gt;&lt;ref-type name="Journal Article"&gt;17&lt;/ref-type&gt;&lt;contributors&gt;&lt;authors&gt;&lt;author&gt;Scungio, Mauro&lt;/author&gt;&lt;author&gt;Stabile, Luca&lt;/author&gt;&lt;author&gt;Buonanno, Giorgio&lt;/author&gt;&lt;/authors&gt;&lt;/contributors&gt;&lt;titles&gt;&lt;title&gt;Measurements of electronic cigarette-generated particles for the evaluation of lung cancer risk of active and passive users&lt;/title&gt;&lt;secondary-title&gt;Journal of Aerosol Science&lt;/secondary-title&gt;&lt;/titles&gt;&lt;periodical&gt;&lt;full-title&gt;Journal of Aerosol Science&lt;/full-title&gt;&lt;/periodical&gt;&lt;pages&gt;1-11&lt;/pages&gt;&lt;volume&gt;115&lt;/volume&gt;&lt;dates&gt;&lt;year&gt;2018&lt;/year&gt;&lt;pub-dates&gt;&lt;date&gt;Jan&lt;/date&gt;&lt;/pub-dates&gt;&lt;/dates&gt;&lt;isbn&gt;0021-8502&lt;/isbn&gt;&lt;accession-num&gt;WOS:000415846200001&lt;/accession-num&gt;&lt;urls&gt;&lt;related-urls&gt;&lt;url&gt;&amp;lt;Go to ISI&amp;gt;://WOS:000415846200001&lt;/url&gt;&lt;url&gt;https://www.sciencedirect.com/science/article/pii/S0021850217301155?via%3Dihub&lt;/url&gt;&lt;/related-urls&gt;&lt;/urls&gt;&lt;electronic-resource-num&gt;10.1016/j.jaerosci.2017.10.006&lt;/electronic-resource-num&gt;&lt;/record&gt;&lt;/Cite&gt;&lt;/EndNote&gt;</w:instrText>
          </w:r>
          <w:r>
            <w:fldChar w:fldCharType="separate"/>
          </w:r>
          <w:r>
            <w:rPr>
              <w:noProof/>
            </w:rPr>
            <w:t>(Scungio, Stabile et al. 2018)</w:t>
          </w:r>
          <w:r>
            <w:fldChar w:fldCharType="end"/>
          </w:r>
          <w:r>
            <w:t xml:space="preserve"> used the Excess Lifetime Cancer Risk model to evaluate the potential carcinogenic effect of the sub-micron and super-micron particles in </w:t>
          </w:r>
          <w:r w:rsidRPr="00DA390A">
            <w:rPr>
              <w:color w:val="auto"/>
            </w:rPr>
            <w:t>e</w:t>
          </w:r>
          <w:r w:rsidR="000E5C99" w:rsidRPr="00DA390A">
            <w:rPr>
              <w:color w:val="auto"/>
            </w:rPr>
            <w:noBreakHyphen/>
          </w:r>
          <w:r w:rsidRPr="00DA390A">
            <w:rPr>
              <w:color w:val="auto"/>
            </w:rPr>
            <w:t xml:space="preserve">cigarette </w:t>
          </w:r>
          <w:r>
            <w:t xml:space="preserve">aerosols considering the typical vaping habits of male and female Italian vapers. They concluded that the surface area concentrations in e-cigarette aerosols were lower than that in conventional cigarette smoke and that the excess lifetime cancer risk for e-cigarette aerosols was </w:t>
          </w:r>
          <w:r w:rsidR="0023709D">
            <w:t>five</w:t>
          </w:r>
          <w:r>
            <w:t xml:space="preserve"> orders of magnitude lower than that for conventional cigarette smoke.</w:t>
          </w:r>
        </w:p>
        <w:p w14:paraId="44F86281" w14:textId="77777777" w:rsidR="007008F9" w:rsidRDefault="007008F9" w:rsidP="007008F9">
          <w:pPr>
            <w:pStyle w:val="BodyText"/>
          </w:pPr>
        </w:p>
        <w:p w14:paraId="07E7B91F" w14:textId="77777777" w:rsidR="007008F9" w:rsidRDefault="007008F9" w:rsidP="007008F9">
          <w:pPr>
            <w:pStyle w:val="Heading2"/>
          </w:pPr>
          <w:bookmarkStart w:id="92" w:name="_Toc517706673"/>
          <w:r>
            <w:t>Key findings</w:t>
          </w:r>
          <w:bookmarkEnd w:id="92"/>
        </w:p>
        <w:p w14:paraId="5FB58DF6" w14:textId="77777777" w:rsidR="00A74D41" w:rsidRDefault="007008F9" w:rsidP="007008F9">
          <w:pPr>
            <w:pStyle w:val="BodyText"/>
          </w:pPr>
          <w:r>
            <w:t>The validity of modelling of health impact is dependent on the assumptions made and the complete understanding of health risks. Both modelling studies suggest that the specific health risks examined from e-cigarette aerosols are substantially lower than that from cigarette smoke.</w:t>
          </w:r>
        </w:p>
        <w:p w14:paraId="5313FCF1" w14:textId="77777777" w:rsidR="007D6D03" w:rsidRDefault="007D6D03" w:rsidP="007008F9">
          <w:pPr>
            <w:pStyle w:val="BodyText"/>
            <w:sectPr w:rsidR="007D6D03" w:rsidSect="00196B5C">
              <w:headerReference w:type="default" r:id="rId27"/>
              <w:pgSz w:w="11906" w:h="16838" w:code="9"/>
              <w:pgMar w:top="1134" w:right="1134" w:bottom="1134" w:left="1134" w:header="510" w:footer="624" w:gutter="0"/>
              <w:cols w:space="850"/>
              <w:docGrid w:linePitch="360"/>
            </w:sectPr>
          </w:pPr>
        </w:p>
        <w:p w14:paraId="40DB9CF1" w14:textId="77777777" w:rsidR="000F0E2F" w:rsidRDefault="000F0E2F" w:rsidP="000F0E2F">
          <w:pPr>
            <w:pStyle w:val="Heading1"/>
          </w:pPr>
          <w:bookmarkStart w:id="93" w:name="_Toc517706674"/>
          <w:r>
            <w:lastRenderedPageBreak/>
            <w:t>Tables</w:t>
          </w:r>
          <w:bookmarkEnd w:id="93"/>
        </w:p>
        <w:p w14:paraId="442098E6" w14:textId="77777777" w:rsidR="004E260E" w:rsidRDefault="004E260E" w:rsidP="004E260E">
          <w:pPr>
            <w:pStyle w:val="Caption"/>
          </w:pPr>
          <w:bookmarkStart w:id="94" w:name="_Toc516727659"/>
          <w:bookmarkStart w:id="95" w:name="_Toc517707410"/>
          <w:r>
            <w:t xml:space="preserve">Table </w:t>
          </w:r>
          <w:r w:rsidR="0048064B">
            <w:rPr>
              <w:noProof/>
            </w:rPr>
            <w:fldChar w:fldCharType="begin"/>
          </w:r>
          <w:r w:rsidR="0048064B">
            <w:rPr>
              <w:noProof/>
            </w:rPr>
            <w:instrText xml:space="preserve"> SEQ Table \* ARABIC </w:instrText>
          </w:r>
          <w:r w:rsidR="0048064B">
            <w:rPr>
              <w:noProof/>
            </w:rPr>
            <w:fldChar w:fldCharType="separate"/>
          </w:r>
          <w:r w:rsidR="000C06DA">
            <w:rPr>
              <w:noProof/>
            </w:rPr>
            <w:t>1</w:t>
          </w:r>
          <w:r w:rsidR="0048064B">
            <w:rPr>
              <w:noProof/>
            </w:rPr>
            <w:fldChar w:fldCharType="end"/>
          </w:r>
          <w:r>
            <w:t xml:space="preserve">: </w:t>
          </w:r>
          <w:r w:rsidRPr="006A3103">
            <w:t>Human health outcomes studies – randomised</w:t>
          </w:r>
          <w:r>
            <w:t xml:space="preserve"> trials</w:t>
          </w:r>
          <w:bookmarkEnd w:id="94"/>
          <w:bookmarkEnd w:id="95"/>
          <w:r w:rsidRPr="006A3103">
            <w:t xml:space="preserve"> </w:t>
          </w:r>
        </w:p>
        <w:tbl>
          <w:tblPr>
            <w:tblStyle w:val="TableCSIRO"/>
            <w:tblW w:w="0" w:type="auto"/>
            <w:tblLook w:val="04A0" w:firstRow="1" w:lastRow="0" w:firstColumn="1" w:lastColumn="0" w:noHBand="0" w:noVBand="1"/>
          </w:tblPr>
          <w:tblGrid>
            <w:gridCol w:w="1460"/>
            <w:gridCol w:w="1466"/>
            <w:gridCol w:w="1923"/>
            <w:gridCol w:w="2551"/>
            <w:gridCol w:w="2595"/>
            <w:gridCol w:w="4462"/>
          </w:tblGrid>
          <w:tr w:rsidR="004E260E" w:rsidRPr="0084402A" w14:paraId="2C76DF60" w14:textId="77777777" w:rsidTr="00EA17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0" w:type="dxa"/>
              </w:tcPr>
              <w:p w14:paraId="3196971B" w14:textId="77777777" w:rsidR="004E260E" w:rsidRPr="0084402A" w:rsidRDefault="004E260E" w:rsidP="00EA178A">
                <w:pPr>
                  <w:rPr>
                    <w:color w:val="FFFFFF" w:themeColor="background1"/>
                    <w:sz w:val="16"/>
                    <w:szCs w:val="16"/>
                  </w:rPr>
                </w:pPr>
                <w:r w:rsidRPr="0084402A">
                  <w:rPr>
                    <w:color w:val="FFFFFF" w:themeColor="background1"/>
                    <w:sz w:val="16"/>
                    <w:szCs w:val="16"/>
                  </w:rPr>
                  <w:t xml:space="preserve">Study </w:t>
                </w:r>
              </w:p>
            </w:tc>
            <w:tc>
              <w:tcPr>
                <w:tcW w:w="1466" w:type="dxa"/>
              </w:tcPr>
              <w:p w14:paraId="792FC1B2" w14:textId="77777777" w:rsidR="004E260E" w:rsidRPr="0084402A" w:rsidRDefault="004E260E" w:rsidP="00EA178A">
                <w:pP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84402A">
                  <w:rPr>
                    <w:color w:val="FFFFFF" w:themeColor="background1"/>
                    <w:sz w:val="16"/>
                    <w:szCs w:val="16"/>
                  </w:rPr>
                  <w:t>Design</w:t>
                </w:r>
              </w:p>
            </w:tc>
            <w:tc>
              <w:tcPr>
                <w:tcW w:w="1923" w:type="dxa"/>
              </w:tcPr>
              <w:p w14:paraId="3826B02B" w14:textId="77777777" w:rsidR="004E260E" w:rsidRPr="0084402A" w:rsidRDefault="004E260E" w:rsidP="00EA178A">
                <w:pP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84402A">
                  <w:rPr>
                    <w:color w:val="FFFFFF" w:themeColor="background1"/>
                    <w:sz w:val="16"/>
                    <w:szCs w:val="16"/>
                  </w:rPr>
                  <w:t>Duration</w:t>
                </w:r>
              </w:p>
            </w:tc>
            <w:tc>
              <w:tcPr>
                <w:tcW w:w="2551" w:type="dxa"/>
              </w:tcPr>
              <w:p w14:paraId="3F4127AE" w14:textId="77777777" w:rsidR="004E260E" w:rsidRPr="0084402A" w:rsidRDefault="004E260E" w:rsidP="00EA178A">
                <w:pP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84402A">
                  <w:rPr>
                    <w:color w:val="FFFFFF" w:themeColor="background1"/>
                    <w:sz w:val="16"/>
                    <w:szCs w:val="16"/>
                  </w:rPr>
                  <w:t>Population</w:t>
                </w:r>
              </w:p>
            </w:tc>
            <w:tc>
              <w:tcPr>
                <w:tcW w:w="2595" w:type="dxa"/>
              </w:tcPr>
              <w:p w14:paraId="419C11AE" w14:textId="77777777" w:rsidR="004E260E" w:rsidRPr="0084402A" w:rsidRDefault="004E260E" w:rsidP="00EA178A">
                <w:pP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84402A">
                  <w:rPr>
                    <w:color w:val="FFFFFF" w:themeColor="background1"/>
                    <w:sz w:val="16"/>
                    <w:szCs w:val="16"/>
                  </w:rPr>
                  <w:t>Groups/comparisons</w:t>
                </w:r>
              </w:p>
            </w:tc>
            <w:tc>
              <w:tcPr>
                <w:tcW w:w="4462" w:type="dxa"/>
              </w:tcPr>
              <w:p w14:paraId="1B5F2764" w14:textId="77777777" w:rsidR="004E260E" w:rsidRPr="0084402A" w:rsidRDefault="004E260E" w:rsidP="00EA178A">
                <w:pP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84402A">
                  <w:rPr>
                    <w:color w:val="FFFFFF" w:themeColor="background1"/>
                    <w:sz w:val="16"/>
                    <w:szCs w:val="16"/>
                  </w:rPr>
                  <w:t>Funding</w:t>
                </w:r>
              </w:p>
            </w:tc>
          </w:tr>
          <w:tr w:rsidR="004E260E" w:rsidRPr="0084402A" w14:paraId="74F1E69C" w14:textId="77777777" w:rsidTr="00EA17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0" w:type="dxa"/>
              </w:tcPr>
              <w:p w14:paraId="67643A9E" w14:textId="77777777" w:rsidR="004E260E" w:rsidRPr="0084402A" w:rsidRDefault="004E260E" w:rsidP="00EA178A">
                <w:pPr>
                  <w:pStyle w:val="TableText"/>
                  <w:rPr>
                    <w:b w:val="0"/>
                    <w:sz w:val="16"/>
                    <w:szCs w:val="16"/>
                  </w:rPr>
                </w:pPr>
                <w:r w:rsidRPr="0084402A">
                  <w:rPr>
                    <w:sz w:val="16"/>
                    <w:szCs w:val="16"/>
                  </w:rPr>
                  <w:t>Boulay et al. 2017</w:t>
                </w:r>
              </w:p>
            </w:tc>
            <w:tc>
              <w:tcPr>
                <w:tcW w:w="1466" w:type="dxa"/>
              </w:tcPr>
              <w:p w14:paraId="0B29A9F3" w14:textId="77777777" w:rsidR="004E260E" w:rsidRPr="0084402A" w:rsidRDefault="004E260E" w:rsidP="00EA178A">
                <w:pPr>
                  <w:pStyle w:val="TableText"/>
                  <w:cnfStyle w:val="000000100000" w:firstRow="0" w:lastRow="0" w:firstColumn="0" w:lastColumn="0" w:oddVBand="0" w:evenVBand="0" w:oddHBand="1" w:evenHBand="0" w:firstRowFirstColumn="0" w:firstRowLastColumn="0" w:lastRowFirstColumn="0" w:lastRowLastColumn="0"/>
                  <w:rPr>
                    <w:sz w:val="16"/>
                    <w:szCs w:val="16"/>
                  </w:rPr>
                </w:pPr>
                <w:r w:rsidRPr="0084402A">
                  <w:rPr>
                    <w:sz w:val="16"/>
                    <w:szCs w:val="16"/>
                  </w:rPr>
                  <w:t>Randomised crossover, placebo controlled trial.</w:t>
                </w:r>
              </w:p>
            </w:tc>
            <w:tc>
              <w:tcPr>
                <w:tcW w:w="1923" w:type="dxa"/>
              </w:tcPr>
              <w:p w14:paraId="58698DFE" w14:textId="77777777" w:rsidR="004E260E" w:rsidRPr="0084402A" w:rsidRDefault="004E260E" w:rsidP="00EA178A">
                <w:pPr>
                  <w:pStyle w:val="TableText"/>
                  <w:cnfStyle w:val="000000100000" w:firstRow="0" w:lastRow="0" w:firstColumn="0" w:lastColumn="0" w:oddVBand="0" w:evenVBand="0" w:oddHBand="1" w:evenHBand="0" w:firstRowFirstColumn="0" w:firstRowLastColumn="0" w:lastRowFirstColumn="0" w:lastRowLastColumn="0"/>
                  <w:rPr>
                    <w:sz w:val="16"/>
                    <w:szCs w:val="16"/>
                  </w:rPr>
                </w:pPr>
                <w:r w:rsidRPr="0084402A">
                  <w:rPr>
                    <w:sz w:val="16"/>
                    <w:szCs w:val="16"/>
                  </w:rPr>
                  <w:t>1 week (experimental and placebo group took place 1 week apart). Just a 1 hr smoking session as the intervention.</w:t>
                </w:r>
              </w:p>
            </w:tc>
            <w:tc>
              <w:tcPr>
                <w:tcW w:w="2551" w:type="dxa"/>
              </w:tcPr>
              <w:p w14:paraId="64792462" w14:textId="77777777" w:rsidR="004E260E" w:rsidRPr="0084402A" w:rsidRDefault="004E260E" w:rsidP="00EA178A">
                <w:pPr>
                  <w:pStyle w:val="TableText"/>
                  <w:cnfStyle w:val="000000100000" w:firstRow="0" w:lastRow="0" w:firstColumn="0" w:lastColumn="0" w:oddVBand="0" w:evenVBand="0" w:oddHBand="1" w:evenHBand="0" w:firstRowFirstColumn="0" w:firstRowLastColumn="0" w:lastRowFirstColumn="0" w:lastRowLastColumn="0"/>
                  <w:rPr>
                    <w:sz w:val="16"/>
                    <w:szCs w:val="16"/>
                  </w:rPr>
                </w:pPr>
                <w:r w:rsidRPr="0084402A">
                  <w:rPr>
                    <w:sz w:val="16"/>
                    <w:szCs w:val="16"/>
                  </w:rPr>
                  <w:t>Healthy subjects (between 20 and 37 years) and asthmatic volunteers (between 21 and 40 years).</w:t>
                </w:r>
              </w:p>
            </w:tc>
            <w:tc>
              <w:tcPr>
                <w:tcW w:w="2595" w:type="dxa"/>
              </w:tcPr>
              <w:p w14:paraId="1675BF03" w14:textId="77777777" w:rsidR="004E260E" w:rsidRPr="0084402A" w:rsidRDefault="004E260E" w:rsidP="00EA178A">
                <w:pPr>
                  <w:pStyle w:val="TableText"/>
                  <w:cnfStyle w:val="000000100000" w:firstRow="0" w:lastRow="0" w:firstColumn="0" w:lastColumn="0" w:oddVBand="0" w:evenVBand="0" w:oddHBand="1" w:evenHBand="0" w:firstRowFirstColumn="0" w:firstRowLastColumn="0" w:lastRowFirstColumn="0" w:lastRowLastColumn="0"/>
                  <w:rPr>
                    <w:sz w:val="16"/>
                    <w:szCs w:val="16"/>
                  </w:rPr>
                </w:pPr>
                <w:r w:rsidRPr="0084402A">
                  <w:rPr>
                    <w:sz w:val="16"/>
                    <w:szCs w:val="16"/>
                  </w:rPr>
                  <w:t>No control group. Control condition (placebo). Both healthy (n=20) and asthmatic volunteers (n=10) spent time in both the placebo and experimental groups. All volunteers were non-smokers and non e-cig users.</w:t>
                </w:r>
              </w:p>
            </w:tc>
            <w:tc>
              <w:tcPr>
                <w:tcW w:w="4462" w:type="dxa"/>
              </w:tcPr>
              <w:p w14:paraId="3E2D8FC9" w14:textId="01E37FBB" w:rsidR="004E260E" w:rsidRPr="0084402A" w:rsidRDefault="004E260E" w:rsidP="00EA178A">
                <w:pPr>
                  <w:pStyle w:val="TableText"/>
                  <w:cnfStyle w:val="000000100000" w:firstRow="0" w:lastRow="0" w:firstColumn="0" w:lastColumn="0" w:oddVBand="0" w:evenVBand="0" w:oddHBand="1" w:evenHBand="0" w:firstRowFirstColumn="0" w:firstRowLastColumn="0" w:lastRowFirstColumn="0" w:lastRowLastColumn="0"/>
                  <w:rPr>
                    <w:sz w:val="16"/>
                    <w:szCs w:val="16"/>
                  </w:rPr>
                </w:pPr>
                <w:r w:rsidRPr="0084402A">
                  <w:rPr>
                    <w:sz w:val="16"/>
                    <w:szCs w:val="16"/>
                  </w:rPr>
                  <w:t>NR</w:t>
                </w:r>
                <w:r w:rsidR="00DA390A">
                  <w:rPr>
                    <w:sz w:val="16"/>
                    <w:szCs w:val="16"/>
                  </w:rPr>
                  <w:t xml:space="preserve"> (not reported)</w:t>
                </w:r>
              </w:p>
            </w:tc>
          </w:tr>
          <w:tr w:rsidR="004E260E" w:rsidRPr="0084402A" w14:paraId="0D1E280D" w14:textId="77777777" w:rsidTr="00EA178A">
            <w:tc>
              <w:tcPr>
                <w:cnfStyle w:val="001000000000" w:firstRow="0" w:lastRow="0" w:firstColumn="1" w:lastColumn="0" w:oddVBand="0" w:evenVBand="0" w:oddHBand="0" w:evenHBand="0" w:firstRowFirstColumn="0" w:firstRowLastColumn="0" w:lastRowFirstColumn="0" w:lastRowLastColumn="0"/>
                <w:tcW w:w="1460" w:type="dxa"/>
              </w:tcPr>
              <w:p w14:paraId="7F28F1A5" w14:textId="77777777" w:rsidR="004E260E" w:rsidRPr="0084402A" w:rsidRDefault="004E260E" w:rsidP="00EA178A">
                <w:pPr>
                  <w:pStyle w:val="TableText"/>
                  <w:rPr>
                    <w:b w:val="0"/>
                    <w:sz w:val="16"/>
                    <w:szCs w:val="16"/>
                  </w:rPr>
                </w:pPr>
                <w:r w:rsidRPr="0084402A">
                  <w:rPr>
                    <w:sz w:val="16"/>
                    <w:szCs w:val="16"/>
                  </w:rPr>
                  <w:t>Krishnan-Sarin et al. 2017</w:t>
                </w:r>
              </w:p>
            </w:tc>
            <w:tc>
              <w:tcPr>
                <w:tcW w:w="1466" w:type="dxa"/>
              </w:tcPr>
              <w:p w14:paraId="60CB3443" w14:textId="77777777" w:rsidR="004E260E" w:rsidRPr="0084402A" w:rsidRDefault="004E260E" w:rsidP="00EA178A">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84402A">
                  <w:rPr>
                    <w:sz w:val="16"/>
                    <w:szCs w:val="16"/>
                  </w:rPr>
                  <w:t xml:space="preserve">Randomised </w:t>
                </w:r>
                <w:r w:rsidRPr="00DA390A">
                  <w:rPr>
                    <w:color w:val="auto"/>
                    <w:sz w:val="16"/>
                    <w:szCs w:val="16"/>
                  </w:rPr>
                  <w:t>crossover trial</w:t>
                </w:r>
                <w:r w:rsidR="0023709D">
                  <w:rPr>
                    <w:color w:val="auto"/>
                    <w:sz w:val="16"/>
                    <w:szCs w:val="16"/>
                  </w:rPr>
                  <w:t>.</w:t>
                </w:r>
              </w:p>
            </w:tc>
            <w:tc>
              <w:tcPr>
                <w:tcW w:w="1923" w:type="dxa"/>
              </w:tcPr>
              <w:p w14:paraId="6EA0C8C7" w14:textId="77777777" w:rsidR="004E260E" w:rsidRPr="0084402A" w:rsidRDefault="004E260E" w:rsidP="00EA178A">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84402A">
                  <w:rPr>
                    <w:sz w:val="16"/>
                    <w:szCs w:val="16"/>
                  </w:rPr>
                  <w:t>Pilot: 1 session (1 day).</w:t>
                </w:r>
              </w:p>
              <w:p w14:paraId="29435D5A" w14:textId="77777777" w:rsidR="004E260E" w:rsidRPr="0084402A" w:rsidRDefault="004E260E" w:rsidP="00EA178A">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84402A">
                  <w:rPr>
                    <w:sz w:val="16"/>
                    <w:szCs w:val="16"/>
                  </w:rPr>
                  <w:t>Main study: 3 laboratory sessions separated by 48 hours (total trial length = 9 days), approximately 1 and a half weeks.</w:t>
                </w:r>
              </w:p>
            </w:tc>
            <w:tc>
              <w:tcPr>
                <w:tcW w:w="2551" w:type="dxa"/>
              </w:tcPr>
              <w:p w14:paraId="1860FE45" w14:textId="77777777" w:rsidR="004E260E" w:rsidRPr="0084402A" w:rsidRDefault="004E260E" w:rsidP="00EA178A">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84402A">
                  <w:rPr>
                    <w:sz w:val="16"/>
                    <w:szCs w:val="16"/>
                  </w:rPr>
                  <w:t>Pilot study: 10 e-cigarette users.</w:t>
                </w:r>
              </w:p>
              <w:p w14:paraId="5C0755DC" w14:textId="77777777" w:rsidR="004E260E" w:rsidRPr="0084402A" w:rsidRDefault="004E260E" w:rsidP="00EA178A">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84402A">
                  <w:rPr>
                    <w:sz w:val="16"/>
                    <w:szCs w:val="16"/>
                  </w:rPr>
                  <w:t>Main study: 60 e-cigarette users.</w:t>
                </w:r>
              </w:p>
              <w:p w14:paraId="2075CCFD" w14:textId="77777777" w:rsidR="004E260E" w:rsidRPr="0084402A" w:rsidRDefault="004E260E" w:rsidP="00EA178A">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84402A">
                  <w:rPr>
                    <w:sz w:val="16"/>
                    <w:szCs w:val="16"/>
                  </w:rPr>
                  <w:t>Pilot study: 7/10 male, main study 29/60 male.</w:t>
                </w:r>
              </w:p>
              <w:p w14:paraId="6245C73F" w14:textId="77777777" w:rsidR="004E260E" w:rsidRPr="0084402A" w:rsidRDefault="004E260E" w:rsidP="00EA178A">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84402A">
                  <w:rPr>
                    <w:sz w:val="16"/>
                    <w:szCs w:val="16"/>
                  </w:rPr>
                  <w:t>Young sample: 18.1 mean age in pilot, 18.8 mean age in main study.</w:t>
                </w:r>
              </w:p>
            </w:tc>
            <w:tc>
              <w:tcPr>
                <w:tcW w:w="2595" w:type="dxa"/>
              </w:tcPr>
              <w:p w14:paraId="29F9A4B7" w14:textId="77777777" w:rsidR="004E260E" w:rsidRPr="0084402A" w:rsidRDefault="004E260E" w:rsidP="00EA178A">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84402A">
                  <w:rPr>
                    <w:sz w:val="16"/>
                    <w:szCs w:val="16"/>
                  </w:rPr>
                  <w:t>Control group = 10 for pilot study and 21 for main study.</w:t>
                </w:r>
              </w:p>
            </w:tc>
            <w:tc>
              <w:tcPr>
                <w:tcW w:w="4462" w:type="dxa"/>
              </w:tcPr>
              <w:p w14:paraId="6930B860" w14:textId="77777777" w:rsidR="004E260E" w:rsidRPr="0084402A" w:rsidRDefault="004E260E" w:rsidP="00EA178A">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84402A">
                  <w:rPr>
                    <w:sz w:val="16"/>
                    <w:szCs w:val="16"/>
                  </w:rPr>
                  <w:t>National Institute of Health grants and the FDA Center for Tobacco Products (CTP).</w:t>
                </w:r>
              </w:p>
            </w:tc>
          </w:tr>
          <w:tr w:rsidR="004E260E" w:rsidRPr="0084402A" w14:paraId="44899C03" w14:textId="77777777" w:rsidTr="00EA17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0" w:type="dxa"/>
              </w:tcPr>
              <w:p w14:paraId="58F320C9" w14:textId="77777777" w:rsidR="004E260E" w:rsidRPr="0084402A" w:rsidRDefault="004E260E" w:rsidP="00EA178A">
                <w:pPr>
                  <w:pStyle w:val="TableText"/>
                  <w:rPr>
                    <w:b w:val="0"/>
                    <w:sz w:val="16"/>
                    <w:szCs w:val="16"/>
                  </w:rPr>
                </w:pPr>
                <w:r w:rsidRPr="0084402A">
                  <w:rPr>
                    <w:sz w:val="16"/>
                    <w:szCs w:val="16"/>
                  </w:rPr>
                  <w:t>Moheimani et al. 2017</w:t>
                </w:r>
              </w:p>
            </w:tc>
            <w:tc>
              <w:tcPr>
                <w:tcW w:w="1466" w:type="dxa"/>
              </w:tcPr>
              <w:p w14:paraId="023DA35A" w14:textId="77777777" w:rsidR="004E260E" w:rsidRPr="0084402A" w:rsidRDefault="004E260E" w:rsidP="00EA178A">
                <w:pPr>
                  <w:pStyle w:val="TableText"/>
                  <w:cnfStyle w:val="000000100000" w:firstRow="0" w:lastRow="0" w:firstColumn="0" w:lastColumn="0" w:oddVBand="0" w:evenVBand="0" w:oddHBand="1" w:evenHBand="0" w:firstRowFirstColumn="0" w:firstRowLastColumn="0" w:lastRowFirstColumn="0" w:lastRowLastColumn="0"/>
                  <w:rPr>
                    <w:sz w:val="16"/>
                    <w:szCs w:val="16"/>
                  </w:rPr>
                </w:pPr>
                <w:r w:rsidRPr="0084402A">
                  <w:rPr>
                    <w:sz w:val="16"/>
                    <w:szCs w:val="16"/>
                  </w:rPr>
                  <w:t>Randomised crossover trial.</w:t>
                </w:r>
              </w:p>
            </w:tc>
            <w:tc>
              <w:tcPr>
                <w:tcW w:w="1923" w:type="dxa"/>
              </w:tcPr>
              <w:p w14:paraId="11B06F7E" w14:textId="77777777" w:rsidR="004E260E" w:rsidRPr="0084402A" w:rsidRDefault="004E260E" w:rsidP="00EA178A">
                <w:pPr>
                  <w:pStyle w:val="TableText"/>
                  <w:cnfStyle w:val="000000100000" w:firstRow="0" w:lastRow="0" w:firstColumn="0" w:lastColumn="0" w:oddVBand="0" w:evenVBand="0" w:oddHBand="1" w:evenHBand="0" w:firstRowFirstColumn="0" w:firstRowLastColumn="0" w:lastRowFirstColumn="0" w:lastRowLastColumn="0"/>
                  <w:rPr>
                    <w:sz w:val="16"/>
                    <w:szCs w:val="16"/>
                  </w:rPr>
                </w:pPr>
                <w:r w:rsidRPr="0084402A">
                  <w:rPr>
                    <w:sz w:val="16"/>
                    <w:szCs w:val="16"/>
                  </w:rPr>
                  <w:t>12 weeks (three sessions separated by a 4-week washout period).</w:t>
                </w:r>
              </w:p>
            </w:tc>
            <w:tc>
              <w:tcPr>
                <w:tcW w:w="2551" w:type="dxa"/>
              </w:tcPr>
              <w:p w14:paraId="38B1E64E" w14:textId="77777777" w:rsidR="004E260E" w:rsidRPr="0084402A" w:rsidRDefault="004E260E" w:rsidP="00EA178A">
                <w:pPr>
                  <w:pStyle w:val="TableText"/>
                  <w:cnfStyle w:val="000000100000" w:firstRow="0" w:lastRow="0" w:firstColumn="0" w:lastColumn="0" w:oddVBand="0" w:evenVBand="0" w:oddHBand="1" w:evenHBand="0" w:firstRowFirstColumn="0" w:firstRowLastColumn="0" w:lastRowFirstColumn="0" w:lastRowLastColumn="0"/>
                  <w:rPr>
                    <w:sz w:val="16"/>
                    <w:szCs w:val="16"/>
                  </w:rPr>
                </w:pPr>
                <w:r w:rsidRPr="0084402A">
                  <w:rPr>
                    <w:sz w:val="16"/>
                    <w:szCs w:val="16"/>
                  </w:rPr>
                  <w:t>33 participants underwent experimental sessions (13 male) and sham control. Mean age, 23.6 years.</w:t>
                </w:r>
              </w:p>
            </w:tc>
            <w:tc>
              <w:tcPr>
                <w:tcW w:w="2595" w:type="dxa"/>
              </w:tcPr>
              <w:p w14:paraId="1BDD0B4A" w14:textId="7EAF3E79" w:rsidR="004E260E" w:rsidRPr="0084402A" w:rsidRDefault="004E260E" w:rsidP="00EA178A">
                <w:pPr>
                  <w:pStyle w:val="TableText"/>
                  <w:cnfStyle w:val="000000100000" w:firstRow="0" w:lastRow="0" w:firstColumn="0" w:lastColumn="0" w:oddVBand="0" w:evenVBand="0" w:oddHBand="1" w:evenHBand="0" w:firstRowFirstColumn="0" w:firstRowLastColumn="0" w:lastRowFirstColumn="0" w:lastRowLastColumn="0"/>
                  <w:rPr>
                    <w:sz w:val="16"/>
                    <w:szCs w:val="16"/>
                  </w:rPr>
                </w:pPr>
                <w:r w:rsidRPr="0084402A">
                  <w:rPr>
                    <w:sz w:val="16"/>
                    <w:szCs w:val="16"/>
                  </w:rPr>
                  <w:t>In random order, each participant underwent the following three exposure sessions, each session separated by a 4-week washout: (1) e-cig</w:t>
                </w:r>
                <w:r w:rsidR="00887971">
                  <w:rPr>
                    <w:sz w:val="16"/>
                    <w:szCs w:val="16"/>
                  </w:rPr>
                  <w:t>arette</w:t>
                </w:r>
                <w:r w:rsidRPr="0084402A">
                  <w:rPr>
                    <w:sz w:val="16"/>
                    <w:szCs w:val="16"/>
                  </w:rPr>
                  <w:t xml:space="preserve"> with nicotine; (2) e-cig</w:t>
                </w:r>
                <w:r w:rsidR="00887971">
                  <w:rPr>
                    <w:sz w:val="16"/>
                    <w:szCs w:val="16"/>
                  </w:rPr>
                  <w:t>arette</w:t>
                </w:r>
                <w:r w:rsidRPr="0084402A">
                  <w:rPr>
                    <w:sz w:val="16"/>
                    <w:szCs w:val="16"/>
                  </w:rPr>
                  <w:t xml:space="preserve"> without nicotine (same flavouring and solvent as the </w:t>
                </w:r>
                <w:r w:rsidR="0023709D">
                  <w:rPr>
                    <w:sz w:val="16"/>
                    <w:szCs w:val="16"/>
                  </w:rPr>
                  <w:t>‘</w:t>
                </w:r>
                <w:r w:rsidRPr="0084402A">
                  <w:rPr>
                    <w:sz w:val="16"/>
                    <w:szCs w:val="16"/>
                  </w:rPr>
                  <w:t>with nicotine</w:t>
                </w:r>
                <w:r w:rsidR="0023709D">
                  <w:rPr>
                    <w:sz w:val="16"/>
                    <w:szCs w:val="16"/>
                  </w:rPr>
                  <w:t>’</w:t>
                </w:r>
                <w:r w:rsidRPr="0084402A">
                  <w:rPr>
                    <w:sz w:val="16"/>
                    <w:szCs w:val="16"/>
                  </w:rPr>
                  <w:t xml:space="preserve"> exposure); and (3) sham control consisting of puffing on a device without e-liquid.</w:t>
                </w:r>
              </w:p>
            </w:tc>
            <w:tc>
              <w:tcPr>
                <w:tcW w:w="4462" w:type="dxa"/>
              </w:tcPr>
              <w:p w14:paraId="0A06DE44" w14:textId="7E112E97" w:rsidR="004E260E" w:rsidRPr="0084402A" w:rsidRDefault="004E260E" w:rsidP="00EA178A">
                <w:pPr>
                  <w:pStyle w:val="TableText"/>
                  <w:cnfStyle w:val="000000100000" w:firstRow="0" w:lastRow="0" w:firstColumn="0" w:lastColumn="0" w:oddVBand="0" w:evenVBand="0" w:oddHBand="1" w:evenHBand="0" w:firstRowFirstColumn="0" w:firstRowLastColumn="0" w:lastRowFirstColumn="0" w:lastRowLastColumn="0"/>
                  <w:rPr>
                    <w:sz w:val="16"/>
                    <w:szCs w:val="16"/>
                  </w:rPr>
                </w:pPr>
                <w:r w:rsidRPr="0084402A">
                  <w:rPr>
                    <w:sz w:val="16"/>
                    <w:szCs w:val="16"/>
                  </w:rPr>
                  <w:t>Supported by Tobacco-Related Disease Research Program (TRDRP) and 25IR-0024 (Middlekauff), American Heart Association, Western States Affiliate, Grant-in-Aid, 15GRNT22930022 (Middlekauff), the National Institute of Environmental Health Sciences, National Institutes of Health, R56 ES016959-06 (Araujo), Training Grant in Molecular Toxicology T32ES015457 (Bhetraratana), Irma and Norman Switzer Dean</w:t>
                </w:r>
                <w:r w:rsidR="0023709D">
                  <w:rPr>
                    <w:sz w:val="16"/>
                    <w:szCs w:val="16"/>
                  </w:rPr>
                  <w:t>’</w:t>
                </w:r>
                <w:r w:rsidRPr="0084402A">
                  <w:rPr>
                    <w:sz w:val="16"/>
                    <w:szCs w:val="16"/>
                  </w:rPr>
                  <w:t>s Leadership in Health and Science Scholarship (Moheimani), and the UCLA Clinical and Translational Science Institute (CTSI) grant number UL1TR000124.</w:t>
                </w:r>
              </w:p>
            </w:tc>
          </w:tr>
          <w:tr w:rsidR="004E260E" w:rsidRPr="0084402A" w14:paraId="2F105040" w14:textId="77777777" w:rsidTr="00EA178A">
            <w:tc>
              <w:tcPr>
                <w:cnfStyle w:val="001000000000" w:firstRow="0" w:lastRow="0" w:firstColumn="1" w:lastColumn="0" w:oddVBand="0" w:evenVBand="0" w:oddHBand="0" w:evenHBand="0" w:firstRowFirstColumn="0" w:firstRowLastColumn="0" w:lastRowFirstColumn="0" w:lastRowLastColumn="0"/>
                <w:tcW w:w="1460" w:type="dxa"/>
              </w:tcPr>
              <w:p w14:paraId="6E32F99A" w14:textId="77777777" w:rsidR="004E260E" w:rsidRPr="0084402A" w:rsidRDefault="004E260E" w:rsidP="00EA178A">
                <w:pPr>
                  <w:pStyle w:val="TableText"/>
                  <w:rPr>
                    <w:sz w:val="16"/>
                    <w:szCs w:val="16"/>
                  </w:rPr>
                </w:pPr>
                <w:r w:rsidRPr="0084402A">
                  <w:rPr>
                    <w:sz w:val="16"/>
                    <w:szCs w:val="16"/>
                  </w:rPr>
                  <w:t>Staudt et al. 2018</w:t>
                </w:r>
              </w:p>
            </w:tc>
            <w:tc>
              <w:tcPr>
                <w:tcW w:w="1466" w:type="dxa"/>
              </w:tcPr>
              <w:p w14:paraId="349E72F8" w14:textId="77777777" w:rsidR="004E260E" w:rsidRPr="0084402A" w:rsidRDefault="004E260E" w:rsidP="00EA178A">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DA390A">
                  <w:rPr>
                    <w:color w:val="auto"/>
                    <w:sz w:val="16"/>
                    <w:szCs w:val="16"/>
                  </w:rPr>
                  <w:t>Randomised trial</w:t>
                </w:r>
                <w:r w:rsidR="0023709D">
                  <w:rPr>
                    <w:color w:val="auto"/>
                    <w:sz w:val="16"/>
                    <w:szCs w:val="16"/>
                  </w:rPr>
                  <w:t>.</w:t>
                </w:r>
              </w:p>
            </w:tc>
            <w:tc>
              <w:tcPr>
                <w:tcW w:w="1923" w:type="dxa"/>
              </w:tcPr>
              <w:p w14:paraId="3DAD6ED5" w14:textId="4DC44B07" w:rsidR="004E260E" w:rsidRPr="0084402A" w:rsidRDefault="004E260E" w:rsidP="00EA178A">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84402A">
                  <w:rPr>
                    <w:sz w:val="16"/>
                    <w:szCs w:val="16"/>
                  </w:rPr>
                  <w:t>1 week (baseline measures and experimental session took place 1 week apart). Experimental session – 2x10 puffs of e-cigarette 30 minutes apart.</w:t>
                </w:r>
              </w:p>
            </w:tc>
            <w:tc>
              <w:tcPr>
                <w:tcW w:w="2551" w:type="dxa"/>
              </w:tcPr>
              <w:p w14:paraId="4181B9F2" w14:textId="49A01E11" w:rsidR="004E260E" w:rsidRPr="0084402A" w:rsidRDefault="004E260E" w:rsidP="00EA178A">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84402A">
                  <w:rPr>
                    <w:sz w:val="16"/>
                    <w:szCs w:val="16"/>
                  </w:rPr>
                  <w:t>10 never smokers or e-cigarette users were randomised to use an e</w:t>
                </w:r>
                <w:r w:rsidR="0008362F">
                  <w:rPr>
                    <w:sz w:val="16"/>
                    <w:szCs w:val="16"/>
                  </w:rPr>
                  <w:noBreakHyphen/>
                </w:r>
                <w:r w:rsidRPr="0084402A">
                  <w:rPr>
                    <w:sz w:val="16"/>
                    <w:szCs w:val="16"/>
                  </w:rPr>
                  <w:t>cigarette with nicotine (n=7) or without nicotine (n=3) in the experimental session</w:t>
                </w:r>
              </w:p>
            </w:tc>
            <w:tc>
              <w:tcPr>
                <w:tcW w:w="2595" w:type="dxa"/>
              </w:tcPr>
              <w:p w14:paraId="28C74737" w14:textId="77777777" w:rsidR="004E260E" w:rsidRPr="0084402A" w:rsidRDefault="004E260E" w:rsidP="00EA178A">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84402A">
                  <w:rPr>
                    <w:sz w:val="16"/>
                    <w:szCs w:val="16"/>
                  </w:rPr>
                  <w:t xml:space="preserve">Each participant completed a range of testing at baseline. Testing was repeated post experimental session. Changes from baseline were assessed and compared between the nicotine and non-nicotine groups. </w:t>
                </w:r>
              </w:p>
            </w:tc>
            <w:tc>
              <w:tcPr>
                <w:tcW w:w="4462" w:type="dxa"/>
              </w:tcPr>
              <w:p w14:paraId="0003DBB5" w14:textId="77777777" w:rsidR="004E260E" w:rsidRPr="0084402A" w:rsidRDefault="004E260E" w:rsidP="00EA178A">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84402A">
                  <w:rPr>
                    <w:sz w:val="16"/>
                    <w:szCs w:val="16"/>
                  </w:rPr>
                  <w:t>Research reported in this publication was supported by the National Institute of Health (NIH) and the Food and Drug Administration (FDA).</w:t>
                </w:r>
              </w:p>
            </w:tc>
          </w:tr>
        </w:tbl>
        <w:p w14:paraId="1FE36226" w14:textId="77777777" w:rsidR="004E260E" w:rsidRDefault="004E260E" w:rsidP="004E260E">
          <w:pPr>
            <w:spacing w:after="0"/>
            <w:rPr>
              <w:sz w:val="24"/>
            </w:rPr>
          </w:pPr>
          <w:r>
            <w:br w:type="page"/>
          </w:r>
        </w:p>
        <w:p w14:paraId="71390443" w14:textId="77777777" w:rsidR="004E260E" w:rsidRDefault="004E260E" w:rsidP="004E260E">
          <w:pPr>
            <w:pStyle w:val="Caption"/>
          </w:pPr>
          <w:bookmarkStart w:id="96" w:name="_Toc516727660"/>
          <w:bookmarkStart w:id="97" w:name="_Toc517707411"/>
          <w:r>
            <w:lastRenderedPageBreak/>
            <w:t xml:space="preserve">Table </w:t>
          </w:r>
          <w:r w:rsidR="0048064B">
            <w:rPr>
              <w:noProof/>
            </w:rPr>
            <w:fldChar w:fldCharType="begin"/>
          </w:r>
          <w:r w:rsidR="0048064B">
            <w:rPr>
              <w:noProof/>
            </w:rPr>
            <w:instrText xml:space="preserve"> SEQ Table \* ARABIC </w:instrText>
          </w:r>
          <w:r w:rsidR="0048064B">
            <w:rPr>
              <w:noProof/>
            </w:rPr>
            <w:fldChar w:fldCharType="separate"/>
          </w:r>
          <w:r w:rsidR="000C06DA">
            <w:rPr>
              <w:noProof/>
            </w:rPr>
            <w:t>2</w:t>
          </w:r>
          <w:r w:rsidR="0048064B">
            <w:rPr>
              <w:noProof/>
            </w:rPr>
            <w:fldChar w:fldCharType="end"/>
          </w:r>
          <w:r>
            <w:t xml:space="preserve">: </w:t>
          </w:r>
          <w:r w:rsidRPr="00442A5A">
            <w:t>Human health outcomes studies – prospective cohort studies</w:t>
          </w:r>
          <w:bookmarkEnd w:id="96"/>
          <w:bookmarkEnd w:id="97"/>
        </w:p>
        <w:tbl>
          <w:tblPr>
            <w:tblStyle w:val="TableCSIRO"/>
            <w:tblW w:w="0" w:type="auto"/>
            <w:tblLook w:val="04A0" w:firstRow="1" w:lastRow="0" w:firstColumn="1" w:lastColumn="0" w:noHBand="0" w:noVBand="1"/>
          </w:tblPr>
          <w:tblGrid>
            <w:gridCol w:w="1438"/>
            <w:gridCol w:w="1457"/>
            <w:gridCol w:w="1251"/>
            <w:gridCol w:w="3963"/>
            <w:gridCol w:w="3118"/>
            <w:gridCol w:w="3230"/>
          </w:tblGrid>
          <w:tr w:rsidR="004E260E" w14:paraId="00D68FF4" w14:textId="77777777" w:rsidTr="00EA17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8" w:type="dxa"/>
              </w:tcPr>
              <w:p w14:paraId="3365663B" w14:textId="77777777" w:rsidR="004E260E" w:rsidRPr="003458E8" w:rsidRDefault="004E260E" w:rsidP="00EA178A">
                <w:pPr>
                  <w:rPr>
                    <w:color w:val="FFFFFF" w:themeColor="background1"/>
                    <w:sz w:val="16"/>
                    <w:szCs w:val="16"/>
                  </w:rPr>
                </w:pPr>
                <w:bookmarkStart w:id="98" w:name="_Hlk513119319"/>
                <w:r w:rsidRPr="003458E8">
                  <w:rPr>
                    <w:color w:val="FFFFFF" w:themeColor="background1"/>
                    <w:sz w:val="16"/>
                    <w:szCs w:val="16"/>
                  </w:rPr>
                  <w:t xml:space="preserve">Study </w:t>
                </w:r>
              </w:p>
            </w:tc>
            <w:tc>
              <w:tcPr>
                <w:tcW w:w="1457" w:type="dxa"/>
              </w:tcPr>
              <w:p w14:paraId="540FA63F" w14:textId="77777777" w:rsidR="004E260E" w:rsidRPr="003458E8" w:rsidRDefault="004E260E" w:rsidP="00EA178A">
                <w:pP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3458E8">
                  <w:rPr>
                    <w:color w:val="FFFFFF" w:themeColor="background1"/>
                    <w:sz w:val="16"/>
                    <w:szCs w:val="16"/>
                  </w:rPr>
                  <w:t>Design</w:t>
                </w:r>
              </w:p>
            </w:tc>
            <w:tc>
              <w:tcPr>
                <w:tcW w:w="1251" w:type="dxa"/>
              </w:tcPr>
              <w:p w14:paraId="77699D4B" w14:textId="77777777" w:rsidR="004E260E" w:rsidRPr="003458E8" w:rsidRDefault="004E260E" w:rsidP="00EA178A">
                <w:pP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3458E8">
                  <w:rPr>
                    <w:color w:val="FFFFFF" w:themeColor="background1"/>
                    <w:sz w:val="16"/>
                    <w:szCs w:val="16"/>
                  </w:rPr>
                  <w:t>Duration</w:t>
                </w:r>
              </w:p>
            </w:tc>
            <w:tc>
              <w:tcPr>
                <w:tcW w:w="3963" w:type="dxa"/>
              </w:tcPr>
              <w:p w14:paraId="29C4415B" w14:textId="77777777" w:rsidR="004E260E" w:rsidRPr="003458E8" w:rsidRDefault="004E260E" w:rsidP="00EA178A">
                <w:pP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3458E8">
                  <w:rPr>
                    <w:color w:val="FFFFFF" w:themeColor="background1"/>
                    <w:sz w:val="16"/>
                    <w:szCs w:val="16"/>
                  </w:rPr>
                  <w:t>Population</w:t>
                </w:r>
              </w:p>
            </w:tc>
            <w:tc>
              <w:tcPr>
                <w:tcW w:w="3118" w:type="dxa"/>
              </w:tcPr>
              <w:p w14:paraId="690C0451" w14:textId="77777777" w:rsidR="004E260E" w:rsidRPr="003458E8" w:rsidRDefault="004E260E" w:rsidP="00EA178A">
                <w:pP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3458E8">
                  <w:rPr>
                    <w:color w:val="FFFFFF" w:themeColor="background1"/>
                    <w:sz w:val="16"/>
                    <w:szCs w:val="16"/>
                  </w:rPr>
                  <w:t>Groups/comparisons</w:t>
                </w:r>
              </w:p>
            </w:tc>
            <w:tc>
              <w:tcPr>
                <w:tcW w:w="3230" w:type="dxa"/>
              </w:tcPr>
              <w:p w14:paraId="0D0E837A" w14:textId="77777777" w:rsidR="004E260E" w:rsidRPr="003458E8" w:rsidRDefault="004E260E" w:rsidP="00EA178A">
                <w:pP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3458E8">
                  <w:rPr>
                    <w:color w:val="FFFFFF" w:themeColor="background1"/>
                    <w:sz w:val="16"/>
                    <w:szCs w:val="16"/>
                  </w:rPr>
                  <w:t>Funding</w:t>
                </w:r>
              </w:p>
            </w:tc>
          </w:tr>
          <w:tr w:rsidR="004E260E" w:rsidRPr="00EE147E" w14:paraId="42B033D9" w14:textId="77777777" w:rsidTr="00EA17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8" w:type="dxa"/>
              </w:tcPr>
              <w:p w14:paraId="425D32B2" w14:textId="77777777" w:rsidR="004E260E" w:rsidRPr="00EE147E" w:rsidRDefault="004E260E" w:rsidP="00EA178A">
                <w:pPr>
                  <w:rPr>
                    <w:b w:val="0"/>
                    <w:sz w:val="16"/>
                    <w:szCs w:val="16"/>
                  </w:rPr>
                </w:pPr>
                <w:r w:rsidRPr="00EE147E">
                  <w:rPr>
                    <w:sz w:val="16"/>
                    <w:szCs w:val="16"/>
                  </w:rPr>
                  <w:t>Lechner et al. 2017</w:t>
                </w:r>
              </w:p>
            </w:tc>
            <w:tc>
              <w:tcPr>
                <w:tcW w:w="1457" w:type="dxa"/>
              </w:tcPr>
              <w:p w14:paraId="0C6EB335" w14:textId="77777777" w:rsidR="004E260E" w:rsidRPr="00EE147E" w:rsidRDefault="004E260E" w:rsidP="00EA178A">
                <w:pPr>
                  <w:cnfStyle w:val="000000100000" w:firstRow="0" w:lastRow="0" w:firstColumn="0" w:lastColumn="0" w:oddVBand="0" w:evenVBand="0" w:oddHBand="1" w:evenHBand="0" w:firstRowFirstColumn="0" w:firstRowLastColumn="0" w:lastRowFirstColumn="0" w:lastRowLastColumn="0"/>
                  <w:rPr>
                    <w:sz w:val="16"/>
                    <w:szCs w:val="16"/>
                  </w:rPr>
                </w:pPr>
                <w:r w:rsidRPr="00EE147E">
                  <w:rPr>
                    <w:sz w:val="16"/>
                    <w:szCs w:val="16"/>
                  </w:rPr>
                  <w:t>Prospective cohort study.</w:t>
                </w:r>
              </w:p>
            </w:tc>
            <w:tc>
              <w:tcPr>
                <w:tcW w:w="1251" w:type="dxa"/>
              </w:tcPr>
              <w:p w14:paraId="0DDD9D59" w14:textId="77777777" w:rsidR="004E260E" w:rsidRPr="00EE147E" w:rsidRDefault="004E260E" w:rsidP="00EA178A">
                <w:pPr>
                  <w:cnfStyle w:val="000000100000" w:firstRow="0" w:lastRow="0" w:firstColumn="0" w:lastColumn="0" w:oddVBand="0" w:evenVBand="0" w:oddHBand="1" w:evenHBand="0" w:firstRowFirstColumn="0" w:firstRowLastColumn="0" w:lastRowFirstColumn="0" w:lastRowLastColumn="0"/>
                  <w:rPr>
                    <w:sz w:val="16"/>
                    <w:szCs w:val="16"/>
                  </w:rPr>
                </w:pPr>
                <w:r w:rsidRPr="00EE147E">
                  <w:rPr>
                    <w:sz w:val="16"/>
                    <w:szCs w:val="16"/>
                  </w:rPr>
                  <w:t>12 months.</w:t>
                </w:r>
              </w:p>
            </w:tc>
            <w:tc>
              <w:tcPr>
                <w:tcW w:w="3963" w:type="dxa"/>
              </w:tcPr>
              <w:p w14:paraId="09EA0F71" w14:textId="4736DA52" w:rsidR="004E260E" w:rsidRPr="00EE147E" w:rsidRDefault="004E260E" w:rsidP="00EA178A">
                <w:pPr>
                  <w:cnfStyle w:val="000000100000" w:firstRow="0" w:lastRow="0" w:firstColumn="0" w:lastColumn="0" w:oddVBand="0" w:evenVBand="0" w:oddHBand="1" w:evenHBand="0" w:firstRowFirstColumn="0" w:firstRowLastColumn="0" w:lastRowFirstColumn="0" w:lastRowLastColumn="0"/>
                  <w:rPr>
                    <w:sz w:val="16"/>
                    <w:szCs w:val="16"/>
                  </w:rPr>
                </w:pPr>
                <w:r w:rsidRPr="00EE147E">
                  <w:rPr>
                    <w:sz w:val="16"/>
                    <w:szCs w:val="16"/>
                  </w:rPr>
                  <w:t xml:space="preserve">Data was collected from 3383 (at baseline/first wave), </w:t>
                </w:r>
                <w:r w:rsidRPr="00DA390A">
                  <w:rPr>
                    <w:color w:val="auto"/>
                    <w:sz w:val="16"/>
                    <w:szCs w:val="16"/>
                  </w:rPr>
                  <w:t>6</w:t>
                </w:r>
                <w:r w:rsidR="0008362F">
                  <w:rPr>
                    <w:color w:val="auto"/>
                    <w:sz w:val="16"/>
                    <w:szCs w:val="16"/>
                  </w:rPr>
                  <w:noBreakHyphen/>
                </w:r>
                <w:r w:rsidRPr="00DA390A">
                  <w:rPr>
                    <w:color w:val="auto"/>
                    <w:sz w:val="16"/>
                    <w:szCs w:val="16"/>
                  </w:rPr>
                  <w:t xml:space="preserve">months </w:t>
                </w:r>
                <w:r w:rsidRPr="00EE147E">
                  <w:rPr>
                    <w:sz w:val="16"/>
                    <w:szCs w:val="16"/>
                  </w:rPr>
                  <w:t xml:space="preserve">= 3293 (97%) and 12-months = 3282 (96.6%). </w:t>
                </w:r>
              </w:p>
              <w:p w14:paraId="735F06B0" w14:textId="77777777" w:rsidR="004E260E" w:rsidRPr="00EE147E" w:rsidRDefault="004E260E" w:rsidP="00EA178A">
                <w:pPr>
                  <w:cnfStyle w:val="000000100000" w:firstRow="0" w:lastRow="0" w:firstColumn="0" w:lastColumn="0" w:oddVBand="0" w:evenVBand="0" w:oddHBand="1" w:evenHBand="0" w:firstRowFirstColumn="0" w:firstRowLastColumn="0" w:lastRowFirstColumn="0" w:lastRowLastColumn="0"/>
                  <w:rPr>
                    <w:sz w:val="16"/>
                    <w:szCs w:val="16"/>
                  </w:rPr>
                </w:pPr>
                <w:r w:rsidRPr="00EE147E">
                  <w:rPr>
                    <w:sz w:val="16"/>
                    <w:szCs w:val="16"/>
                  </w:rPr>
                  <w:t xml:space="preserve">2460 adolescents completed measures used within the current analyses for all three waves. </w:t>
                </w:r>
              </w:p>
              <w:p w14:paraId="1F908753" w14:textId="77777777" w:rsidR="004E260E" w:rsidRPr="00EE147E" w:rsidRDefault="004E260E" w:rsidP="00EA178A">
                <w:pPr>
                  <w:cnfStyle w:val="000000100000" w:firstRow="0" w:lastRow="0" w:firstColumn="0" w:lastColumn="0" w:oddVBand="0" w:evenVBand="0" w:oddHBand="1" w:evenHBand="0" w:firstRowFirstColumn="0" w:firstRowLastColumn="0" w:lastRowFirstColumn="0" w:lastRowLastColumn="0"/>
                  <w:rPr>
                    <w:sz w:val="16"/>
                    <w:szCs w:val="16"/>
                  </w:rPr>
                </w:pPr>
                <w:r w:rsidRPr="00EE147E">
                  <w:rPr>
                    <w:sz w:val="16"/>
                    <w:szCs w:val="16"/>
                  </w:rPr>
                  <w:t xml:space="preserve">Female: 53.4% </w:t>
                </w:r>
              </w:p>
              <w:p w14:paraId="06A43886" w14:textId="77777777" w:rsidR="004E260E" w:rsidRPr="00EE147E" w:rsidRDefault="004E260E" w:rsidP="00EA178A">
                <w:pPr>
                  <w:cnfStyle w:val="000000100000" w:firstRow="0" w:lastRow="0" w:firstColumn="0" w:lastColumn="0" w:oddVBand="0" w:evenVBand="0" w:oddHBand="1" w:evenHBand="0" w:firstRowFirstColumn="0" w:firstRowLastColumn="0" w:lastRowFirstColumn="0" w:lastRowLastColumn="0"/>
                  <w:rPr>
                    <w:sz w:val="16"/>
                    <w:szCs w:val="16"/>
                  </w:rPr>
                </w:pPr>
                <w:r w:rsidRPr="00EE147E">
                  <w:rPr>
                    <w:sz w:val="16"/>
                    <w:szCs w:val="16"/>
                  </w:rPr>
                  <w:t>Ethnically diverse</w:t>
                </w:r>
              </w:p>
              <w:p w14:paraId="65191716" w14:textId="77777777" w:rsidR="004E260E" w:rsidRPr="00EE147E" w:rsidRDefault="004E260E" w:rsidP="00EA178A">
                <w:pPr>
                  <w:cnfStyle w:val="000000100000" w:firstRow="0" w:lastRow="0" w:firstColumn="0" w:lastColumn="0" w:oddVBand="0" w:evenVBand="0" w:oddHBand="1" w:evenHBand="0" w:firstRowFirstColumn="0" w:firstRowLastColumn="0" w:lastRowFirstColumn="0" w:lastRowLastColumn="0"/>
                  <w:rPr>
                    <w:sz w:val="16"/>
                    <w:szCs w:val="16"/>
                  </w:rPr>
                </w:pPr>
                <w:r w:rsidRPr="00EE147E">
                  <w:rPr>
                    <w:sz w:val="16"/>
                    <w:szCs w:val="16"/>
                  </w:rPr>
                  <w:t>Baseline mean age of 14.1 years.</w:t>
                </w:r>
              </w:p>
            </w:tc>
            <w:tc>
              <w:tcPr>
                <w:tcW w:w="3118" w:type="dxa"/>
              </w:tcPr>
              <w:p w14:paraId="0E979FDB" w14:textId="77777777" w:rsidR="004E260E" w:rsidRPr="00EE147E" w:rsidRDefault="004E260E" w:rsidP="00EA178A">
                <w:pPr>
                  <w:cnfStyle w:val="000000100000" w:firstRow="0" w:lastRow="0" w:firstColumn="0" w:lastColumn="0" w:oddVBand="0" w:evenVBand="0" w:oddHBand="1" w:evenHBand="0" w:firstRowFirstColumn="0" w:firstRowLastColumn="0" w:lastRowFirstColumn="0" w:lastRowLastColumn="0"/>
                  <w:rPr>
                    <w:sz w:val="16"/>
                    <w:szCs w:val="16"/>
                  </w:rPr>
                </w:pPr>
                <w:r w:rsidRPr="00EE147E">
                  <w:rPr>
                    <w:sz w:val="16"/>
                    <w:szCs w:val="16"/>
                  </w:rPr>
                  <w:t>Compared e-cigarette and cigarette use at each wave, past use, and frequency of use.</w:t>
                </w:r>
              </w:p>
            </w:tc>
            <w:tc>
              <w:tcPr>
                <w:tcW w:w="3230" w:type="dxa"/>
              </w:tcPr>
              <w:p w14:paraId="69DC4782" w14:textId="77777777" w:rsidR="004E260E" w:rsidRPr="00EE147E" w:rsidRDefault="004E260E" w:rsidP="00EA178A">
                <w:pPr>
                  <w:cnfStyle w:val="000000100000" w:firstRow="0" w:lastRow="0" w:firstColumn="0" w:lastColumn="0" w:oddVBand="0" w:evenVBand="0" w:oddHBand="1" w:evenHBand="0" w:firstRowFirstColumn="0" w:firstRowLastColumn="0" w:lastRowFirstColumn="0" w:lastRowLastColumn="0"/>
                  <w:rPr>
                    <w:sz w:val="16"/>
                    <w:szCs w:val="16"/>
                  </w:rPr>
                </w:pPr>
                <w:r w:rsidRPr="00EE147E">
                  <w:rPr>
                    <w:sz w:val="16"/>
                    <w:szCs w:val="16"/>
                  </w:rPr>
                  <w:t>National Institutes of Health Grants.</w:t>
                </w:r>
              </w:p>
            </w:tc>
          </w:tr>
          <w:tr w:rsidR="004E260E" w:rsidRPr="00EE147E" w14:paraId="7D659282" w14:textId="77777777" w:rsidTr="00EA178A">
            <w:tc>
              <w:tcPr>
                <w:cnfStyle w:val="001000000000" w:firstRow="0" w:lastRow="0" w:firstColumn="1" w:lastColumn="0" w:oddVBand="0" w:evenVBand="0" w:oddHBand="0" w:evenHBand="0" w:firstRowFirstColumn="0" w:firstRowLastColumn="0" w:lastRowFirstColumn="0" w:lastRowLastColumn="0"/>
                <w:tcW w:w="1438" w:type="dxa"/>
              </w:tcPr>
              <w:p w14:paraId="7CC1DBB4" w14:textId="77777777" w:rsidR="004E260E" w:rsidRPr="00EE147E" w:rsidRDefault="004E260E" w:rsidP="00EA178A">
                <w:pPr>
                  <w:rPr>
                    <w:b w:val="0"/>
                    <w:sz w:val="16"/>
                    <w:szCs w:val="16"/>
                  </w:rPr>
                </w:pPr>
                <w:r w:rsidRPr="00EE147E">
                  <w:rPr>
                    <w:sz w:val="16"/>
                    <w:szCs w:val="16"/>
                  </w:rPr>
                  <w:t>Polosa et al. 2017</w:t>
                </w:r>
              </w:p>
            </w:tc>
            <w:tc>
              <w:tcPr>
                <w:tcW w:w="1457" w:type="dxa"/>
              </w:tcPr>
              <w:p w14:paraId="34167A5C" w14:textId="77777777" w:rsidR="004E260E" w:rsidRPr="00EE147E" w:rsidRDefault="004E260E" w:rsidP="00EA178A">
                <w:pPr>
                  <w:cnfStyle w:val="000000000000" w:firstRow="0" w:lastRow="0" w:firstColumn="0" w:lastColumn="0" w:oddVBand="0" w:evenVBand="0" w:oddHBand="0" w:evenHBand="0" w:firstRowFirstColumn="0" w:firstRowLastColumn="0" w:lastRowFirstColumn="0" w:lastRowLastColumn="0"/>
                  <w:rPr>
                    <w:sz w:val="16"/>
                    <w:szCs w:val="16"/>
                  </w:rPr>
                </w:pPr>
                <w:r w:rsidRPr="00EE147E">
                  <w:rPr>
                    <w:sz w:val="16"/>
                    <w:szCs w:val="16"/>
                  </w:rPr>
                  <w:t>Prospective cohort study.</w:t>
                </w:r>
              </w:p>
            </w:tc>
            <w:tc>
              <w:tcPr>
                <w:tcW w:w="1251" w:type="dxa"/>
              </w:tcPr>
              <w:p w14:paraId="5D60D989" w14:textId="77777777" w:rsidR="004E260E" w:rsidRPr="00EE147E" w:rsidRDefault="004E260E" w:rsidP="00EA178A">
                <w:pPr>
                  <w:cnfStyle w:val="000000000000" w:firstRow="0" w:lastRow="0" w:firstColumn="0" w:lastColumn="0" w:oddVBand="0" w:evenVBand="0" w:oddHBand="0" w:evenHBand="0" w:firstRowFirstColumn="0" w:firstRowLastColumn="0" w:lastRowFirstColumn="0" w:lastRowLastColumn="0"/>
                  <w:rPr>
                    <w:sz w:val="16"/>
                    <w:szCs w:val="16"/>
                  </w:rPr>
                </w:pPr>
                <w:r w:rsidRPr="00EE147E">
                  <w:rPr>
                    <w:sz w:val="16"/>
                    <w:szCs w:val="16"/>
                  </w:rPr>
                  <w:t>3.5 years.</w:t>
                </w:r>
              </w:p>
            </w:tc>
            <w:tc>
              <w:tcPr>
                <w:tcW w:w="3963" w:type="dxa"/>
              </w:tcPr>
              <w:p w14:paraId="67864CDC" w14:textId="77777777" w:rsidR="004E260E" w:rsidRPr="00EE147E" w:rsidRDefault="004E260E" w:rsidP="00EA178A">
                <w:pPr>
                  <w:cnfStyle w:val="000000000000" w:firstRow="0" w:lastRow="0" w:firstColumn="0" w:lastColumn="0" w:oddVBand="0" w:evenVBand="0" w:oddHBand="0" w:evenHBand="0" w:firstRowFirstColumn="0" w:firstRowLastColumn="0" w:lastRowFirstColumn="0" w:lastRowLastColumn="0"/>
                  <w:rPr>
                    <w:sz w:val="16"/>
                    <w:szCs w:val="16"/>
                  </w:rPr>
                </w:pPr>
                <w:r w:rsidRPr="00EE147E">
                  <w:rPr>
                    <w:sz w:val="16"/>
                    <w:szCs w:val="16"/>
                  </w:rPr>
                  <w:t>9 daily e-cigarette users (for &gt;3 months) who have never smoked. Control group of 12 never smokers.</w:t>
                </w:r>
              </w:p>
              <w:p w14:paraId="263F89F0" w14:textId="77777777" w:rsidR="004E260E" w:rsidRPr="00EE147E" w:rsidRDefault="004E260E" w:rsidP="00EA178A">
                <w:pPr>
                  <w:cnfStyle w:val="000000000000" w:firstRow="0" w:lastRow="0" w:firstColumn="0" w:lastColumn="0" w:oddVBand="0" w:evenVBand="0" w:oddHBand="0" w:evenHBand="0" w:firstRowFirstColumn="0" w:firstRowLastColumn="0" w:lastRowFirstColumn="0" w:lastRowLastColumn="0"/>
                  <w:rPr>
                    <w:sz w:val="16"/>
                    <w:szCs w:val="16"/>
                  </w:rPr>
                </w:pPr>
                <w:r w:rsidRPr="00EE147E">
                  <w:rPr>
                    <w:sz w:val="16"/>
                    <w:szCs w:val="16"/>
                  </w:rPr>
                  <w:t>11 Males, 5 Females in EC group at baseline and 10 males, 5 female non-smoking controls at baseline. 9 EC users (6 male) and 12 controls (8 male) in analysis.</w:t>
                </w:r>
              </w:p>
              <w:p w14:paraId="6E9B72E2" w14:textId="77777777" w:rsidR="004E260E" w:rsidRPr="00EE147E" w:rsidRDefault="004E260E" w:rsidP="00EA178A">
                <w:pPr>
                  <w:cnfStyle w:val="000000000000" w:firstRow="0" w:lastRow="0" w:firstColumn="0" w:lastColumn="0" w:oddVBand="0" w:evenVBand="0" w:oddHBand="0" w:evenHBand="0" w:firstRowFirstColumn="0" w:firstRowLastColumn="0" w:lastRowFirstColumn="0" w:lastRowLastColumn="0"/>
                  <w:rPr>
                    <w:sz w:val="16"/>
                    <w:szCs w:val="16"/>
                  </w:rPr>
                </w:pPr>
                <w:r w:rsidRPr="00EE147E">
                  <w:rPr>
                    <w:sz w:val="16"/>
                    <w:szCs w:val="16"/>
                  </w:rPr>
                  <w:t>Mean age 29.7 years.</w:t>
                </w:r>
              </w:p>
            </w:tc>
            <w:tc>
              <w:tcPr>
                <w:tcW w:w="3118" w:type="dxa"/>
              </w:tcPr>
              <w:p w14:paraId="5C9338DE" w14:textId="77777777" w:rsidR="004E260E" w:rsidRPr="00EE147E" w:rsidRDefault="004E260E" w:rsidP="00EA178A">
                <w:pPr>
                  <w:cnfStyle w:val="000000000000" w:firstRow="0" w:lastRow="0" w:firstColumn="0" w:lastColumn="0" w:oddVBand="0" w:evenVBand="0" w:oddHBand="0" w:evenHBand="0" w:firstRowFirstColumn="0" w:firstRowLastColumn="0" w:lastRowFirstColumn="0" w:lastRowLastColumn="0"/>
                  <w:rPr>
                    <w:sz w:val="16"/>
                    <w:szCs w:val="16"/>
                  </w:rPr>
                </w:pPr>
                <w:r w:rsidRPr="00EE147E">
                  <w:rPr>
                    <w:sz w:val="16"/>
                    <w:szCs w:val="16"/>
                  </w:rPr>
                  <w:t>Control group of never smokers.</w:t>
                </w:r>
              </w:p>
            </w:tc>
            <w:tc>
              <w:tcPr>
                <w:tcW w:w="3230" w:type="dxa"/>
              </w:tcPr>
              <w:p w14:paraId="16F984BA" w14:textId="77777777" w:rsidR="004E260E" w:rsidRPr="00EE147E" w:rsidRDefault="004E260E" w:rsidP="00EA178A">
                <w:pPr>
                  <w:cnfStyle w:val="000000000000" w:firstRow="0" w:lastRow="0" w:firstColumn="0" w:lastColumn="0" w:oddVBand="0" w:evenVBand="0" w:oddHBand="0" w:evenHBand="0" w:firstRowFirstColumn="0" w:firstRowLastColumn="0" w:lastRowFirstColumn="0" w:lastRowLastColumn="0"/>
                  <w:rPr>
                    <w:sz w:val="16"/>
                    <w:szCs w:val="16"/>
                  </w:rPr>
                </w:pPr>
                <w:r w:rsidRPr="00EE147E">
                  <w:rPr>
                    <w:sz w:val="16"/>
                    <w:szCs w:val="16"/>
                  </w:rPr>
                  <w:t>Catania University Grant. One of the researchers had received lecture fees from a number of European electronic cigarette industry and trade associations (including FIVAPE in France and FIESEL in Italy) that were linked to vaper advocacy no profit organisations.</w:t>
                </w:r>
              </w:p>
            </w:tc>
          </w:tr>
          <w:tr w:rsidR="004E260E" w:rsidRPr="00EE147E" w14:paraId="69E93A65" w14:textId="77777777" w:rsidTr="00EA17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8" w:type="dxa"/>
              </w:tcPr>
              <w:p w14:paraId="3CB2753F" w14:textId="77777777" w:rsidR="004E260E" w:rsidRPr="00EE147E" w:rsidRDefault="004E260E" w:rsidP="00EA178A">
                <w:pPr>
                  <w:rPr>
                    <w:b w:val="0"/>
                    <w:sz w:val="16"/>
                    <w:szCs w:val="16"/>
                  </w:rPr>
                </w:pPr>
                <w:r w:rsidRPr="00EE147E">
                  <w:rPr>
                    <w:sz w:val="16"/>
                    <w:szCs w:val="16"/>
                  </w:rPr>
                  <w:t>Walele et al. 2018</w:t>
                </w:r>
              </w:p>
            </w:tc>
            <w:tc>
              <w:tcPr>
                <w:tcW w:w="1457" w:type="dxa"/>
              </w:tcPr>
              <w:p w14:paraId="2548BAA5" w14:textId="77777777" w:rsidR="004E260E" w:rsidRPr="00EE147E" w:rsidRDefault="004E260E" w:rsidP="00EA178A">
                <w:pPr>
                  <w:cnfStyle w:val="000000100000" w:firstRow="0" w:lastRow="0" w:firstColumn="0" w:lastColumn="0" w:oddVBand="0" w:evenVBand="0" w:oddHBand="1" w:evenHBand="0" w:firstRowFirstColumn="0" w:firstRowLastColumn="0" w:lastRowFirstColumn="0" w:lastRowLastColumn="0"/>
                  <w:rPr>
                    <w:sz w:val="16"/>
                    <w:szCs w:val="16"/>
                  </w:rPr>
                </w:pPr>
                <w:r w:rsidRPr="00EE147E">
                  <w:rPr>
                    <w:sz w:val="16"/>
                    <w:szCs w:val="16"/>
                  </w:rPr>
                  <w:t>Prospective cohort study.</w:t>
                </w:r>
              </w:p>
            </w:tc>
            <w:tc>
              <w:tcPr>
                <w:tcW w:w="1251" w:type="dxa"/>
              </w:tcPr>
              <w:p w14:paraId="722D0DBA" w14:textId="77777777" w:rsidR="004E260E" w:rsidRPr="00EE147E" w:rsidRDefault="004E260E" w:rsidP="00EA178A">
                <w:pPr>
                  <w:cnfStyle w:val="000000100000" w:firstRow="0" w:lastRow="0" w:firstColumn="0" w:lastColumn="0" w:oddVBand="0" w:evenVBand="0" w:oddHBand="1" w:evenHBand="0" w:firstRowFirstColumn="0" w:firstRowLastColumn="0" w:lastRowFirstColumn="0" w:lastRowLastColumn="0"/>
                  <w:rPr>
                    <w:sz w:val="16"/>
                    <w:szCs w:val="16"/>
                  </w:rPr>
                </w:pPr>
                <w:r w:rsidRPr="00EE147E">
                  <w:rPr>
                    <w:sz w:val="16"/>
                    <w:szCs w:val="16"/>
                  </w:rPr>
                  <w:t>2 years.</w:t>
                </w:r>
              </w:p>
            </w:tc>
            <w:tc>
              <w:tcPr>
                <w:tcW w:w="3963" w:type="dxa"/>
              </w:tcPr>
              <w:p w14:paraId="457484D7" w14:textId="77777777" w:rsidR="004E260E" w:rsidRPr="00EE147E" w:rsidRDefault="004E260E" w:rsidP="00EA178A">
                <w:pPr>
                  <w:cnfStyle w:val="000000100000" w:firstRow="0" w:lastRow="0" w:firstColumn="0" w:lastColumn="0" w:oddVBand="0" w:evenVBand="0" w:oddHBand="1" w:evenHBand="0" w:firstRowFirstColumn="0" w:firstRowLastColumn="0" w:lastRowFirstColumn="0" w:lastRowLastColumn="0"/>
                  <w:rPr>
                    <w:sz w:val="16"/>
                    <w:szCs w:val="16"/>
                  </w:rPr>
                </w:pPr>
                <w:r w:rsidRPr="00EE147E">
                  <w:rPr>
                    <w:sz w:val="16"/>
                    <w:szCs w:val="16"/>
                  </w:rPr>
                  <w:t>A closed system electronic vapour product (EVP) was used by former smokers of conventional cigarettes (CCs) for 24 months in a real life setting. 209 started. 206 used the product once, 102 (48.8%) went on to use the product for 24 months. 110 were compliant - used EVP for 80% of study days. Both male (115, 55%) and female (94, 45%). Completers: 57 male, 45 female. Aged between 21 and 65 years.</w:t>
                </w:r>
              </w:p>
            </w:tc>
            <w:tc>
              <w:tcPr>
                <w:tcW w:w="3118" w:type="dxa"/>
              </w:tcPr>
              <w:p w14:paraId="22191814" w14:textId="77777777" w:rsidR="004E260E" w:rsidRPr="00EE147E" w:rsidRDefault="004E260E" w:rsidP="00EA178A">
                <w:pPr>
                  <w:cnfStyle w:val="000000100000" w:firstRow="0" w:lastRow="0" w:firstColumn="0" w:lastColumn="0" w:oddVBand="0" w:evenVBand="0" w:oddHBand="1" w:evenHBand="0" w:firstRowFirstColumn="0" w:firstRowLastColumn="0" w:lastRowFirstColumn="0" w:lastRowLastColumn="0"/>
                  <w:rPr>
                    <w:sz w:val="16"/>
                    <w:szCs w:val="16"/>
                  </w:rPr>
                </w:pPr>
                <w:r w:rsidRPr="00EE147E">
                  <w:rPr>
                    <w:sz w:val="16"/>
                    <w:szCs w:val="16"/>
                  </w:rPr>
                  <w:t>No control group.</w:t>
                </w:r>
              </w:p>
              <w:p w14:paraId="37BD874A" w14:textId="77777777" w:rsidR="004E260E" w:rsidRPr="00EE147E" w:rsidRDefault="004E260E" w:rsidP="00EA178A">
                <w:pPr>
                  <w:cnfStyle w:val="000000100000" w:firstRow="0" w:lastRow="0" w:firstColumn="0" w:lastColumn="0" w:oddVBand="0" w:evenVBand="0" w:oddHBand="1" w:evenHBand="0" w:firstRowFirstColumn="0" w:firstRowLastColumn="0" w:lastRowFirstColumn="0" w:lastRowLastColumn="0"/>
                  <w:rPr>
                    <w:sz w:val="16"/>
                    <w:szCs w:val="16"/>
                  </w:rPr>
                </w:pPr>
                <w:r w:rsidRPr="00EE147E">
                  <w:rPr>
                    <w:sz w:val="16"/>
                    <w:szCs w:val="16"/>
                  </w:rPr>
                  <w:t>Compared results of all subjects with EVP compliant subjects (n=110) and completers (n=102).</w:t>
                </w:r>
              </w:p>
            </w:tc>
            <w:tc>
              <w:tcPr>
                <w:tcW w:w="3230" w:type="dxa"/>
              </w:tcPr>
              <w:p w14:paraId="7CFBFB6B" w14:textId="77777777" w:rsidR="004E260E" w:rsidRPr="00EE147E" w:rsidRDefault="004E260E" w:rsidP="00EA178A">
                <w:pPr>
                  <w:cnfStyle w:val="000000100000" w:firstRow="0" w:lastRow="0" w:firstColumn="0" w:lastColumn="0" w:oddVBand="0" w:evenVBand="0" w:oddHBand="1" w:evenHBand="0" w:firstRowFirstColumn="0" w:firstRowLastColumn="0" w:lastRowFirstColumn="0" w:lastRowLastColumn="0"/>
                  <w:rPr>
                    <w:sz w:val="16"/>
                    <w:szCs w:val="16"/>
                  </w:rPr>
                </w:pPr>
                <w:r w:rsidRPr="00EE147E">
                  <w:rPr>
                    <w:sz w:val="16"/>
                    <w:szCs w:val="16"/>
                  </w:rPr>
                  <w:t>Fontem Ventures B.V. Imperial Brands Group plc is the parent company of Fontem Ventures B.V., the manufacturer of the EVP used in this study.</w:t>
                </w:r>
              </w:p>
            </w:tc>
          </w:tr>
          <w:bookmarkEnd w:id="98"/>
        </w:tbl>
        <w:p w14:paraId="33721EB7" w14:textId="77777777" w:rsidR="004E260E" w:rsidRPr="00EE147E" w:rsidRDefault="004E260E" w:rsidP="004E260E">
          <w:pPr>
            <w:pStyle w:val="BodyText"/>
          </w:pPr>
        </w:p>
        <w:p w14:paraId="3C112D25" w14:textId="77777777" w:rsidR="004E260E" w:rsidRPr="00EE147E" w:rsidRDefault="004E260E" w:rsidP="004E260E">
          <w:pPr>
            <w:spacing w:after="0"/>
            <w:rPr>
              <w:sz w:val="24"/>
            </w:rPr>
          </w:pPr>
          <w:r w:rsidRPr="00EE147E">
            <w:br w:type="page"/>
          </w:r>
        </w:p>
        <w:p w14:paraId="79FDB609" w14:textId="77777777" w:rsidR="004E260E" w:rsidRPr="00EE147E" w:rsidRDefault="004E260E" w:rsidP="004E260E">
          <w:pPr>
            <w:pStyle w:val="Caption"/>
          </w:pPr>
          <w:bookmarkStart w:id="99" w:name="_Toc516727661"/>
          <w:bookmarkStart w:id="100" w:name="_Toc517707412"/>
          <w:r w:rsidRPr="00EE147E">
            <w:lastRenderedPageBreak/>
            <w:t xml:space="preserve">Table </w:t>
          </w:r>
          <w:r w:rsidR="0048064B">
            <w:rPr>
              <w:noProof/>
            </w:rPr>
            <w:fldChar w:fldCharType="begin"/>
          </w:r>
          <w:r w:rsidR="0048064B">
            <w:rPr>
              <w:noProof/>
            </w:rPr>
            <w:instrText xml:space="preserve"> SEQ Table \* ARABIC </w:instrText>
          </w:r>
          <w:r w:rsidR="0048064B">
            <w:rPr>
              <w:noProof/>
            </w:rPr>
            <w:fldChar w:fldCharType="separate"/>
          </w:r>
          <w:r w:rsidR="000C06DA">
            <w:rPr>
              <w:noProof/>
            </w:rPr>
            <w:t>3</w:t>
          </w:r>
          <w:r w:rsidR="0048064B">
            <w:rPr>
              <w:noProof/>
            </w:rPr>
            <w:fldChar w:fldCharType="end"/>
          </w:r>
          <w:r w:rsidRPr="00EE147E">
            <w:t>: Human health outcomes studies – case control studies</w:t>
          </w:r>
          <w:bookmarkEnd w:id="99"/>
          <w:bookmarkEnd w:id="100"/>
          <w:r w:rsidRPr="00EE147E">
            <w:t xml:space="preserve"> </w:t>
          </w:r>
        </w:p>
        <w:tbl>
          <w:tblPr>
            <w:tblStyle w:val="TableCSIRO"/>
            <w:tblW w:w="0" w:type="auto"/>
            <w:tblLook w:val="04A0" w:firstRow="1" w:lastRow="0" w:firstColumn="1" w:lastColumn="0" w:noHBand="0" w:noVBand="1"/>
          </w:tblPr>
          <w:tblGrid>
            <w:gridCol w:w="1449"/>
            <w:gridCol w:w="1440"/>
            <w:gridCol w:w="1450"/>
            <w:gridCol w:w="2068"/>
            <w:gridCol w:w="3001"/>
            <w:gridCol w:w="5049"/>
          </w:tblGrid>
          <w:tr w:rsidR="004E260E" w:rsidRPr="00EE147E" w14:paraId="1B55542E" w14:textId="77777777" w:rsidTr="00EA17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 w:type="dxa"/>
              </w:tcPr>
              <w:p w14:paraId="153D700F" w14:textId="77777777" w:rsidR="004E260E" w:rsidRPr="00EE147E" w:rsidRDefault="004E260E" w:rsidP="00EA178A">
                <w:pPr>
                  <w:rPr>
                    <w:color w:val="FFFFFF" w:themeColor="background1"/>
                    <w:sz w:val="16"/>
                    <w:szCs w:val="16"/>
                  </w:rPr>
                </w:pPr>
                <w:r w:rsidRPr="00EE147E">
                  <w:rPr>
                    <w:color w:val="FFFFFF" w:themeColor="background1"/>
                    <w:sz w:val="16"/>
                    <w:szCs w:val="16"/>
                  </w:rPr>
                  <w:t xml:space="preserve">Study </w:t>
                </w:r>
              </w:p>
            </w:tc>
            <w:tc>
              <w:tcPr>
                <w:tcW w:w="1440" w:type="dxa"/>
              </w:tcPr>
              <w:p w14:paraId="71009B6E" w14:textId="77777777" w:rsidR="004E260E" w:rsidRPr="00EE147E" w:rsidRDefault="004E260E" w:rsidP="00EA178A">
                <w:pP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EE147E">
                  <w:rPr>
                    <w:color w:val="FFFFFF" w:themeColor="background1"/>
                    <w:sz w:val="16"/>
                    <w:szCs w:val="16"/>
                  </w:rPr>
                  <w:t>Design</w:t>
                </w:r>
              </w:p>
            </w:tc>
            <w:tc>
              <w:tcPr>
                <w:tcW w:w="1450" w:type="dxa"/>
              </w:tcPr>
              <w:p w14:paraId="3F57BCB4" w14:textId="77777777" w:rsidR="004E260E" w:rsidRPr="00EE147E" w:rsidRDefault="004E260E" w:rsidP="00EA178A">
                <w:pP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EE147E">
                  <w:rPr>
                    <w:color w:val="FFFFFF" w:themeColor="background1"/>
                    <w:sz w:val="16"/>
                    <w:szCs w:val="16"/>
                  </w:rPr>
                  <w:t>Duration</w:t>
                </w:r>
              </w:p>
            </w:tc>
            <w:tc>
              <w:tcPr>
                <w:tcW w:w="2068" w:type="dxa"/>
              </w:tcPr>
              <w:p w14:paraId="23EF150B" w14:textId="77777777" w:rsidR="004E260E" w:rsidRPr="00EE147E" w:rsidRDefault="004E260E" w:rsidP="00EA178A">
                <w:pP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EE147E">
                  <w:rPr>
                    <w:color w:val="FFFFFF" w:themeColor="background1"/>
                    <w:sz w:val="16"/>
                    <w:szCs w:val="16"/>
                  </w:rPr>
                  <w:t>Population</w:t>
                </w:r>
              </w:p>
            </w:tc>
            <w:tc>
              <w:tcPr>
                <w:tcW w:w="3001" w:type="dxa"/>
              </w:tcPr>
              <w:p w14:paraId="2606FDB2" w14:textId="77777777" w:rsidR="004E260E" w:rsidRPr="00EE147E" w:rsidRDefault="004E260E" w:rsidP="00EA178A">
                <w:pP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EE147E">
                  <w:rPr>
                    <w:color w:val="FFFFFF" w:themeColor="background1"/>
                    <w:sz w:val="16"/>
                    <w:szCs w:val="16"/>
                  </w:rPr>
                  <w:t>Groups/comparisons</w:t>
                </w:r>
              </w:p>
            </w:tc>
            <w:tc>
              <w:tcPr>
                <w:tcW w:w="5049" w:type="dxa"/>
              </w:tcPr>
              <w:p w14:paraId="753F6011" w14:textId="77777777" w:rsidR="004E260E" w:rsidRPr="00EE147E" w:rsidRDefault="004E260E" w:rsidP="00EA178A">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EE147E">
                  <w:rPr>
                    <w:color w:val="FFFFFF" w:themeColor="background1"/>
                  </w:rPr>
                  <w:t>Funding</w:t>
                </w:r>
              </w:p>
            </w:tc>
          </w:tr>
          <w:tr w:rsidR="004E260E" w:rsidRPr="00EE147E" w14:paraId="7C692266" w14:textId="77777777" w:rsidTr="00EA17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 w:type="dxa"/>
              </w:tcPr>
              <w:p w14:paraId="338B20AF" w14:textId="77777777" w:rsidR="004E260E" w:rsidRPr="00EE147E" w:rsidRDefault="004E260E" w:rsidP="00EA178A">
                <w:pPr>
                  <w:rPr>
                    <w:b w:val="0"/>
                    <w:sz w:val="16"/>
                    <w:szCs w:val="16"/>
                  </w:rPr>
                </w:pPr>
                <w:r w:rsidRPr="00EE147E">
                  <w:rPr>
                    <w:sz w:val="16"/>
                    <w:szCs w:val="16"/>
                  </w:rPr>
                  <w:t>Bardellini et al. 2017</w:t>
                </w:r>
              </w:p>
            </w:tc>
            <w:tc>
              <w:tcPr>
                <w:tcW w:w="1440" w:type="dxa"/>
              </w:tcPr>
              <w:p w14:paraId="7B71A759" w14:textId="77777777" w:rsidR="004E260E" w:rsidRPr="00EE147E" w:rsidRDefault="004E260E" w:rsidP="00EA178A">
                <w:pPr>
                  <w:cnfStyle w:val="000000100000" w:firstRow="0" w:lastRow="0" w:firstColumn="0" w:lastColumn="0" w:oddVBand="0" w:evenVBand="0" w:oddHBand="1" w:evenHBand="0" w:firstRowFirstColumn="0" w:firstRowLastColumn="0" w:lastRowFirstColumn="0" w:lastRowLastColumn="0"/>
                  <w:rPr>
                    <w:sz w:val="16"/>
                    <w:szCs w:val="16"/>
                  </w:rPr>
                </w:pPr>
                <w:r w:rsidRPr="00EE147E">
                  <w:rPr>
                    <w:sz w:val="16"/>
                    <w:szCs w:val="16"/>
                  </w:rPr>
                  <w:t>Case-control.</w:t>
                </w:r>
              </w:p>
            </w:tc>
            <w:tc>
              <w:tcPr>
                <w:tcW w:w="1450" w:type="dxa"/>
              </w:tcPr>
              <w:p w14:paraId="522DF000" w14:textId="77777777" w:rsidR="004E260E" w:rsidRPr="00EE147E" w:rsidRDefault="004E260E" w:rsidP="00EA178A">
                <w:pPr>
                  <w:cnfStyle w:val="000000100000" w:firstRow="0" w:lastRow="0" w:firstColumn="0" w:lastColumn="0" w:oddVBand="0" w:evenVBand="0" w:oddHBand="1" w:evenHBand="0" w:firstRowFirstColumn="0" w:firstRowLastColumn="0" w:lastRowFirstColumn="0" w:lastRowLastColumn="0"/>
                  <w:rPr>
                    <w:sz w:val="16"/>
                    <w:szCs w:val="16"/>
                  </w:rPr>
                </w:pPr>
                <w:r w:rsidRPr="00EE147E">
                  <w:rPr>
                    <w:sz w:val="16"/>
                    <w:szCs w:val="16"/>
                  </w:rPr>
                  <w:t>Examined patients with a 2 year period.</w:t>
                </w:r>
              </w:p>
            </w:tc>
            <w:tc>
              <w:tcPr>
                <w:tcW w:w="2068" w:type="dxa"/>
              </w:tcPr>
              <w:p w14:paraId="475D14C7" w14:textId="3AC1877D" w:rsidR="004E260E" w:rsidRPr="00EE147E" w:rsidRDefault="004E260E" w:rsidP="00EA178A">
                <w:pPr>
                  <w:cnfStyle w:val="000000100000" w:firstRow="0" w:lastRow="0" w:firstColumn="0" w:lastColumn="0" w:oddVBand="0" w:evenVBand="0" w:oddHBand="1" w:evenHBand="0" w:firstRowFirstColumn="0" w:firstRowLastColumn="0" w:lastRowFirstColumn="0" w:lastRowLastColumn="0"/>
                  <w:rPr>
                    <w:sz w:val="16"/>
                    <w:szCs w:val="16"/>
                  </w:rPr>
                </w:pPr>
                <w:r w:rsidRPr="00EE147E">
                  <w:rPr>
                    <w:sz w:val="16"/>
                    <w:szCs w:val="16"/>
                  </w:rPr>
                  <w:t>Examined former smokers and EC consumers who were outpatients of the dental clinic of the University of Brescia within a 2 year period (Jan 2015 to Dec 2016) consecutively enrolled patients, to detect possible oral lesions. 90 patients, n=45 former smokers and n=45 e-cig users. Mean age 47 years. Male former smokers n=22 Male e</w:t>
                </w:r>
                <w:r w:rsidR="00887971">
                  <w:rPr>
                    <w:sz w:val="16"/>
                    <w:szCs w:val="16"/>
                  </w:rPr>
                  <w:noBreakHyphen/>
                </w:r>
                <w:r w:rsidRPr="00EE147E">
                  <w:rPr>
                    <w:sz w:val="16"/>
                    <w:szCs w:val="16"/>
                  </w:rPr>
                  <w:t>cig</w:t>
                </w:r>
                <w:r w:rsidR="00887971">
                  <w:rPr>
                    <w:sz w:val="16"/>
                    <w:szCs w:val="16"/>
                  </w:rPr>
                  <w:t>arette</w:t>
                </w:r>
                <w:r w:rsidRPr="00EE147E">
                  <w:rPr>
                    <w:sz w:val="16"/>
                    <w:szCs w:val="16"/>
                  </w:rPr>
                  <w:t xml:space="preserve"> users n=41. Female former smokers = 23, female e-cig</w:t>
                </w:r>
                <w:r w:rsidR="00887971">
                  <w:rPr>
                    <w:sz w:val="16"/>
                    <w:szCs w:val="16"/>
                  </w:rPr>
                  <w:t>arette</w:t>
                </w:r>
                <w:r w:rsidRPr="00EE147E">
                  <w:rPr>
                    <w:sz w:val="16"/>
                    <w:szCs w:val="16"/>
                  </w:rPr>
                  <w:t xml:space="preserve"> users n=4.</w:t>
                </w:r>
              </w:p>
            </w:tc>
            <w:tc>
              <w:tcPr>
                <w:tcW w:w="3001" w:type="dxa"/>
              </w:tcPr>
              <w:p w14:paraId="58F2FBE5" w14:textId="77777777" w:rsidR="004E260E" w:rsidRPr="00EE147E" w:rsidRDefault="004E260E" w:rsidP="00EA178A">
                <w:pPr>
                  <w:cnfStyle w:val="000000100000" w:firstRow="0" w:lastRow="0" w:firstColumn="0" w:lastColumn="0" w:oddVBand="0" w:evenVBand="0" w:oddHBand="1" w:evenHBand="0" w:firstRowFirstColumn="0" w:firstRowLastColumn="0" w:lastRowFirstColumn="0" w:lastRowLastColumn="0"/>
                  <w:rPr>
                    <w:sz w:val="16"/>
                    <w:szCs w:val="16"/>
                  </w:rPr>
                </w:pPr>
                <w:r w:rsidRPr="00EE147E">
                  <w:rPr>
                    <w:sz w:val="16"/>
                    <w:szCs w:val="16"/>
                  </w:rPr>
                  <w:t>Compared former smokers and current EC users.</w:t>
                </w:r>
              </w:p>
            </w:tc>
            <w:tc>
              <w:tcPr>
                <w:tcW w:w="5049" w:type="dxa"/>
              </w:tcPr>
              <w:p w14:paraId="7CB665B7" w14:textId="77777777" w:rsidR="004E260E" w:rsidRPr="00EE147E" w:rsidRDefault="004E260E" w:rsidP="00EA178A">
                <w:pPr>
                  <w:cnfStyle w:val="000000100000" w:firstRow="0" w:lastRow="0" w:firstColumn="0" w:lastColumn="0" w:oddVBand="0" w:evenVBand="0" w:oddHBand="1" w:evenHBand="0" w:firstRowFirstColumn="0" w:firstRowLastColumn="0" w:lastRowFirstColumn="0" w:lastRowLastColumn="0"/>
                  <w:rPr>
                    <w:sz w:val="16"/>
                    <w:szCs w:val="16"/>
                  </w:rPr>
                </w:pPr>
                <w:r w:rsidRPr="00EE147E">
                  <w:rPr>
                    <w:sz w:val="16"/>
                    <w:szCs w:val="16"/>
                  </w:rPr>
                  <w:t>NR.</w:t>
                </w:r>
              </w:p>
            </w:tc>
          </w:tr>
        </w:tbl>
        <w:p w14:paraId="6859AC3F" w14:textId="77777777" w:rsidR="004E260E" w:rsidRPr="00EE147E" w:rsidRDefault="004E260E" w:rsidP="004E260E">
          <w:pPr>
            <w:pStyle w:val="BodyText"/>
          </w:pPr>
        </w:p>
        <w:p w14:paraId="5331DD34" w14:textId="77777777" w:rsidR="004E260E" w:rsidRPr="00EE147E" w:rsidRDefault="004E260E" w:rsidP="004E260E">
          <w:pPr>
            <w:spacing w:after="0"/>
            <w:rPr>
              <w:sz w:val="24"/>
            </w:rPr>
          </w:pPr>
          <w:r w:rsidRPr="00EE147E">
            <w:br w:type="page"/>
          </w:r>
        </w:p>
        <w:p w14:paraId="3AFFF872" w14:textId="77777777" w:rsidR="004E260E" w:rsidRPr="00EE147E" w:rsidRDefault="004E260E" w:rsidP="004E260E">
          <w:pPr>
            <w:pStyle w:val="Caption"/>
          </w:pPr>
          <w:bookmarkStart w:id="101" w:name="_Toc516727662"/>
          <w:bookmarkStart w:id="102" w:name="_Toc517707413"/>
          <w:r w:rsidRPr="00EE147E">
            <w:lastRenderedPageBreak/>
            <w:t xml:space="preserve">Table </w:t>
          </w:r>
          <w:r w:rsidR="0048064B">
            <w:rPr>
              <w:noProof/>
            </w:rPr>
            <w:fldChar w:fldCharType="begin"/>
          </w:r>
          <w:r w:rsidR="0048064B">
            <w:rPr>
              <w:noProof/>
            </w:rPr>
            <w:instrText xml:space="preserve"> SEQ Table \* ARABIC </w:instrText>
          </w:r>
          <w:r w:rsidR="0048064B">
            <w:rPr>
              <w:noProof/>
            </w:rPr>
            <w:fldChar w:fldCharType="separate"/>
          </w:r>
          <w:r w:rsidR="000C06DA">
            <w:rPr>
              <w:noProof/>
            </w:rPr>
            <w:t>4</w:t>
          </w:r>
          <w:r w:rsidR="0048064B">
            <w:rPr>
              <w:noProof/>
            </w:rPr>
            <w:fldChar w:fldCharType="end"/>
          </w:r>
          <w:r w:rsidRPr="00EE147E">
            <w:t>: Human health outcomes studies – cross-sectional studies</w:t>
          </w:r>
          <w:bookmarkEnd w:id="101"/>
          <w:bookmarkEnd w:id="102"/>
          <w:r w:rsidRPr="00EE147E">
            <w:t xml:space="preserve"> </w:t>
          </w:r>
        </w:p>
        <w:tbl>
          <w:tblPr>
            <w:tblStyle w:val="TableCSIRO"/>
            <w:tblW w:w="0" w:type="auto"/>
            <w:tblLook w:val="04A0" w:firstRow="1" w:lastRow="0" w:firstColumn="1" w:lastColumn="0" w:noHBand="0" w:noVBand="1"/>
          </w:tblPr>
          <w:tblGrid>
            <w:gridCol w:w="1450"/>
            <w:gridCol w:w="1433"/>
            <w:gridCol w:w="1456"/>
            <w:gridCol w:w="3207"/>
            <w:gridCol w:w="2715"/>
            <w:gridCol w:w="4196"/>
          </w:tblGrid>
          <w:tr w:rsidR="004E260E" w:rsidRPr="00EE147E" w14:paraId="4619CEAE" w14:textId="77777777" w:rsidTr="00EA178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50" w:type="dxa"/>
              </w:tcPr>
              <w:p w14:paraId="08EAFE1E" w14:textId="77777777" w:rsidR="004E260E" w:rsidRPr="00EE147E" w:rsidRDefault="004E260E" w:rsidP="00EA178A">
                <w:pPr>
                  <w:rPr>
                    <w:color w:val="FFFFFF" w:themeColor="background1"/>
                    <w:sz w:val="16"/>
                    <w:szCs w:val="16"/>
                  </w:rPr>
                </w:pPr>
                <w:r w:rsidRPr="00EE147E">
                  <w:rPr>
                    <w:color w:val="FFFFFF" w:themeColor="background1"/>
                    <w:sz w:val="16"/>
                    <w:szCs w:val="16"/>
                  </w:rPr>
                  <w:t xml:space="preserve">Study </w:t>
                </w:r>
              </w:p>
            </w:tc>
            <w:tc>
              <w:tcPr>
                <w:tcW w:w="1433" w:type="dxa"/>
              </w:tcPr>
              <w:p w14:paraId="3A236A10" w14:textId="77777777" w:rsidR="004E260E" w:rsidRPr="00EE147E" w:rsidRDefault="004E260E" w:rsidP="00EA178A">
                <w:pP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EE147E">
                  <w:rPr>
                    <w:color w:val="FFFFFF" w:themeColor="background1"/>
                    <w:sz w:val="16"/>
                    <w:szCs w:val="16"/>
                  </w:rPr>
                  <w:t>Design</w:t>
                </w:r>
              </w:p>
            </w:tc>
            <w:tc>
              <w:tcPr>
                <w:tcW w:w="1456" w:type="dxa"/>
              </w:tcPr>
              <w:p w14:paraId="7BA8C53F" w14:textId="77777777" w:rsidR="004E260E" w:rsidRPr="00EE147E" w:rsidRDefault="004E260E" w:rsidP="00EA178A">
                <w:pP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EE147E">
                  <w:rPr>
                    <w:color w:val="FFFFFF" w:themeColor="background1"/>
                    <w:sz w:val="16"/>
                    <w:szCs w:val="16"/>
                  </w:rPr>
                  <w:t>Duration</w:t>
                </w:r>
              </w:p>
            </w:tc>
            <w:tc>
              <w:tcPr>
                <w:tcW w:w="3207" w:type="dxa"/>
              </w:tcPr>
              <w:p w14:paraId="14A3EF23" w14:textId="77777777" w:rsidR="004E260E" w:rsidRPr="00EE147E" w:rsidRDefault="004E260E" w:rsidP="00EA178A">
                <w:pP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EE147E">
                  <w:rPr>
                    <w:color w:val="FFFFFF" w:themeColor="background1"/>
                    <w:sz w:val="16"/>
                    <w:szCs w:val="16"/>
                  </w:rPr>
                  <w:t>Population</w:t>
                </w:r>
              </w:p>
            </w:tc>
            <w:tc>
              <w:tcPr>
                <w:tcW w:w="2715" w:type="dxa"/>
              </w:tcPr>
              <w:p w14:paraId="7019BEE5" w14:textId="77777777" w:rsidR="004E260E" w:rsidRPr="00EE147E" w:rsidRDefault="004E260E" w:rsidP="00EA178A">
                <w:pP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EE147E">
                  <w:rPr>
                    <w:color w:val="FFFFFF" w:themeColor="background1"/>
                    <w:sz w:val="16"/>
                    <w:szCs w:val="16"/>
                  </w:rPr>
                  <w:t>Groups/comparisons</w:t>
                </w:r>
              </w:p>
            </w:tc>
            <w:tc>
              <w:tcPr>
                <w:tcW w:w="4196" w:type="dxa"/>
              </w:tcPr>
              <w:p w14:paraId="26BD4556" w14:textId="77777777" w:rsidR="004E260E" w:rsidRPr="00EE147E" w:rsidRDefault="004E260E" w:rsidP="00EA178A">
                <w:pP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EE147E">
                  <w:rPr>
                    <w:color w:val="FFFFFF" w:themeColor="background1"/>
                    <w:sz w:val="16"/>
                    <w:szCs w:val="16"/>
                  </w:rPr>
                  <w:t>Funding</w:t>
                </w:r>
              </w:p>
            </w:tc>
          </w:tr>
          <w:tr w:rsidR="004E260E" w:rsidRPr="00EE147E" w14:paraId="50A3F783" w14:textId="77777777" w:rsidTr="00EA17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0" w:type="dxa"/>
              </w:tcPr>
              <w:p w14:paraId="671ACC44" w14:textId="77777777" w:rsidR="004E260E" w:rsidRPr="00EE147E" w:rsidRDefault="004E260E" w:rsidP="00EA178A">
                <w:pPr>
                  <w:rPr>
                    <w:b w:val="0"/>
                    <w:sz w:val="16"/>
                    <w:szCs w:val="16"/>
                  </w:rPr>
                </w:pPr>
                <w:r w:rsidRPr="00EE147E">
                  <w:rPr>
                    <w:sz w:val="16"/>
                    <w:szCs w:val="16"/>
                  </w:rPr>
                  <w:t>Boas et al. 2017</w:t>
                </w:r>
              </w:p>
            </w:tc>
            <w:tc>
              <w:tcPr>
                <w:tcW w:w="1433" w:type="dxa"/>
              </w:tcPr>
              <w:p w14:paraId="0A1B2B7E" w14:textId="19DB08B7" w:rsidR="004E260E" w:rsidRPr="00EE147E" w:rsidRDefault="004E260E" w:rsidP="00EA178A">
                <w:pPr>
                  <w:cnfStyle w:val="000000100000" w:firstRow="0" w:lastRow="0" w:firstColumn="0" w:lastColumn="0" w:oddVBand="0" w:evenVBand="0" w:oddHBand="1" w:evenHBand="0" w:firstRowFirstColumn="0" w:firstRowLastColumn="0" w:lastRowFirstColumn="0" w:lastRowLastColumn="0"/>
                  <w:rPr>
                    <w:sz w:val="16"/>
                    <w:szCs w:val="16"/>
                  </w:rPr>
                </w:pPr>
                <w:r w:rsidRPr="00EE147E">
                  <w:rPr>
                    <w:sz w:val="16"/>
                    <w:szCs w:val="16"/>
                  </w:rPr>
                  <w:t>Cross-sectional analytic</w:t>
                </w:r>
                <w:r w:rsidR="0008362F">
                  <w:rPr>
                    <w:sz w:val="16"/>
                    <w:szCs w:val="16"/>
                  </w:rPr>
                  <w:t>.</w:t>
                </w:r>
              </w:p>
            </w:tc>
            <w:tc>
              <w:tcPr>
                <w:tcW w:w="1456" w:type="dxa"/>
              </w:tcPr>
              <w:p w14:paraId="4F602BA2" w14:textId="77777777" w:rsidR="004E260E" w:rsidRPr="00EE147E" w:rsidRDefault="004E260E" w:rsidP="00EA178A">
                <w:pPr>
                  <w:cnfStyle w:val="000000100000" w:firstRow="0" w:lastRow="0" w:firstColumn="0" w:lastColumn="0" w:oddVBand="0" w:evenVBand="0" w:oddHBand="1" w:evenHBand="0" w:firstRowFirstColumn="0" w:firstRowLastColumn="0" w:lastRowFirstColumn="0" w:lastRowLastColumn="0"/>
                  <w:rPr>
                    <w:sz w:val="16"/>
                    <w:szCs w:val="16"/>
                  </w:rPr>
                </w:pPr>
                <w:r w:rsidRPr="00EE147E">
                  <w:rPr>
                    <w:sz w:val="16"/>
                    <w:szCs w:val="16"/>
                  </w:rPr>
                  <w:t>Short-term. NR.</w:t>
                </w:r>
              </w:p>
            </w:tc>
            <w:tc>
              <w:tcPr>
                <w:tcW w:w="3207" w:type="dxa"/>
              </w:tcPr>
              <w:p w14:paraId="3776BBCC" w14:textId="3DA7D8D1" w:rsidR="004E260E" w:rsidRPr="00EE147E" w:rsidRDefault="004E260E" w:rsidP="00EA178A">
                <w:pPr>
                  <w:cnfStyle w:val="000000100000" w:firstRow="0" w:lastRow="0" w:firstColumn="0" w:lastColumn="0" w:oddVBand="0" w:evenVBand="0" w:oddHBand="1" w:evenHBand="0" w:firstRowFirstColumn="0" w:firstRowLastColumn="0" w:lastRowFirstColumn="0" w:lastRowLastColumn="0"/>
                  <w:rPr>
                    <w:sz w:val="16"/>
                    <w:szCs w:val="16"/>
                  </w:rPr>
                </w:pPr>
                <w:r w:rsidRPr="00EE147E">
                  <w:rPr>
                    <w:sz w:val="16"/>
                    <w:szCs w:val="16"/>
                  </w:rPr>
                  <w:t>Habitual tobacco cigarette smokers or habitual e-cig</w:t>
                </w:r>
                <w:r w:rsidR="00887971">
                  <w:rPr>
                    <w:sz w:val="16"/>
                    <w:szCs w:val="16"/>
                  </w:rPr>
                  <w:t>arette</w:t>
                </w:r>
                <w:r w:rsidRPr="00EE147E">
                  <w:rPr>
                    <w:sz w:val="16"/>
                    <w:szCs w:val="16"/>
                  </w:rPr>
                  <w:t xml:space="preserve"> users (not dual users) who had used tobacco cigarettes or e-cigarettes, respectively, most days for a minimum of 1 year, in who plasma cotinine levels were elevated. 31 patients enrolled, 3 excluded. 9 healthy nonuser controls, 9 e-cig</w:t>
                </w:r>
                <w:r w:rsidR="00887971">
                  <w:rPr>
                    <w:sz w:val="16"/>
                    <w:szCs w:val="16"/>
                  </w:rPr>
                  <w:t>arette</w:t>
                </w:r>
                <w:r w:rsidRPr="00EE147E">
                  <w:rPr>
                    <w:sz w:val="16"/>
                    <w:szCs w:val="16"/>
                  </w:rPr>
                  <w:t xml:space="preserve"> users, 9 tobacco cigarette smokers. M=20, F= 7. Non user control M=6 F=3, e-cig</w:t>
                </w:r>
                <w:r w:rsidR="00887971">
                  <w:rPr>
                    <w:sz w:val="16"/>
                    <w:szCs w:val="16"/>
                  </w:rPr>
                  <w:t>arette</w:t>
                </w:r>
                <w:r w:rsidRPr="00EE147E">
                  <w:rPr>
                    <w:sz w:val="16"/>
                    <w:szCs w:val="16"/>
                  </w:rPr>
                  <w:t xml:space="preserve"> users, M=7, F=2, Tobacco cig smoker M=7, F=2. Aged 21-45 years old.</w:t>
                </w:r>
              </w:p>
            </w:tc>
            <w:tc>
              <w:tcPr>
                <w:tcW w:w="2715" w:type="dxa"/>
              </w:tcPr>
              <w:p w14:paraId="610F41B2" w14:textId="77777777" w:rsidR="004E260E" w:rsidRPr="00EE147E" w:rsidRDefault="004E260E" w:rsidP="00EA178A">
                <w:pPr>
                  <w:cnfStyle w:val="000000100000" w:firstRow="0" w:lastRow="0" w:firstColumn="0" w:lastColumn="0" w:oddVBand="0" w:evenVBand="0" w:oddHBand="1" w:evenHBand="0" w:firstRowFirstColumn="0" w:firstRowLastColumn="0" w:lastRowFirstColumn="0" w:lastRowLastColumn="0"/>
                  <w:rPr>
                    <w:sz w:val="16"/>
                    <w:szCs w:val="16"/>
                  </w:rPr>
                </w:pPr>
                <w:r w:rsidRPr="00EE147E">
                  <w:rPr>
                    <w:sz w:val="16"/>
                    <w:szCs w:val="16"/>
                  </w:rPr>
                  <w:t>Considered activation of the splenocardiac axis (increased metabolic activity of the hematopoietic and vascular tissues) across the 3 groups (e-cig users, tobacco users, non-users).</w:t>
                </w:r>
              </w:p>
            </w:tc>
            <w:tc>
              <w:tcPr>
                <w:tcW w:w="4196" w:type="dxa"/>
              </w:tcPr>
              <w:p w14:paraId="21583989" w14:textId="77777777" w:rsidR="004E260E" w:rsidRPr="00EE147E" w:rsidRDefault="004E260E" w:rsidP="00EA178A">
                <w:pPr>
                  <w:cnfStyle w:val="000000100000" w:firstRow="0" w:lastRow="0" w:firstColumn="0" w:lastColumn="0" w:oddVBand="0" w:evenVBand="0" w:oddHBand="1" w:evenHBand="0" w:firstRowFirstColumn="0" w:firstRowLastColumn="0" w:lastRowFirstColumn="0" w:lastRowLastColumn="0"/>
                  <w:rPr>
                    <w:sz w:val="16"/>
                    <w:szCs w:val="16"/>
                  </w:rPr>
                </w:pPr>
                <w:r w:rsidRPr="00EE147E">
                  <w:rPr>
                    <w:sz w:val="16"/>
                    <w:szCs w:val="16"/>
                  </w:rPr>
                  <w:t>Tobacco-Related Disease Research Program; American Heart Association, Western States Affiliate, Grant in Aid; the National Institute of Environmental Health Sciences, National Institutes of Health; Training Grant in Molecular Toxicology; Irma and Normal Switzer Dean's Leadership and Science Scholarship and UCLA Clinical and Translational Science Institute.</w:t>
                </w:r>
              </w:p>
            </w:tc>
          </w:tr>
          <w:tr w:rsidR="004E260E" w:rsidRPr="00EE147E" w14:paraId="39432951" w14:textId="77777777" w:rsidTr="00EA178A">
            <w:tc>
              <w:tcPr>
                <w:cnfStyle w:val="001000000000" w:firstRow="0" w:lastRow="0" w:firstColumn="1" w:lastColumn="0" w:oddVBand="0" w:evenVBand="0" w:oddHBand="0" w:evenHBand="0" w:firstRowFirstColumn="0" w:firstRowLastColumn="0" w:lastRowFirstColumn="0" w:lastRowLastColumn="0"/>
                <w:tcW w:w="1450" w:type="dxa"/>
              </w:tcPr>
              <w:p w14:paraId="3D5B4604" w14:textId="77777777" w:rsidR="004E260E" w:rsidRPr="00EE147E" w:rsidRDefault="004E260E" w:rsidP="00EA178A">
                <w:pPr>
                  <w:rPr>
                    <w:b w:val="0"/>
                    <w:sz w:val="16"/>
                    <w:szCs w:val="16"/>
                  </w:rPr>
                </w:pPr>
                <w:r w:rsidRPr="00EE147E">
                  <w:rPr>
                    <w:sz w:val="16"/>
                    <w:szCs w:val="16"/>
                  </w:rPr>
                  <w:t>Fuller et al. 2017</w:t>
                </w:r>
              </w:p>
            </w:tc>
            <w:tc>
              <w:tcPr>
                <w:tcW w:w="1433" w:type="dxa"/>
              </w:tcPr>
              <w:p w14:paraId="7199D0BB" w14:textId="7D45C901" w:rsidR="004E260E" w:rsidRPr="00EE147E" w:rsidRDefault="004E260E" w:rsidP="00EA178A">
                <w:pPr>
                  <w:cnfStyle w:val="000000000000" w:firstRow="0" w:lastRow="0" w:firstColumn="0" w:lastColumn="0" w:oddVBand="0" w:evenVBand="0" w:oddHBand="0" w:evenHBand="0" w:firstRowFirstColumn="0" w:firstRowLastColumn="0" w:lastRowFirstColumn="0" w:lastRowLastColumn="0"/>
                  <w:rPr>
                    <w:sz w:val="16"/>
                    <w:szCs w:val="16"/>
                  </w:rPr>
                </w:pPr>
                <w:r w:rsidRPr="00EE147E">
                  <w:rPr>
                    <w:sz w:val="16"/>
                    <w:szCs w:val="16"/>
                  </w:rPr>
                  <w:t>Cross-sectional analytic</w:t>
                </w:r>
                <w:r w:rsidR="0008362F">
                  <w:rPr>
                    <w:sz w:val="16"/>
                    <w:szCs w:val="16"/>
                  </w:rPr>
                  <w:t>.</w:t>
                </w:r>
              </w:p>
            </w:tc>
            <w:tc>
              <w:tcPr>
                <w:tcW w:w="1456" w:type="dxa"/>
              </w:tcPr>
              <w:p w14:paraId="34E98880" w14:textId="77777777" w:rsidR="004E260E" w:rsidRPr="00EE147E" w:rsidRDefault="004E260E" w:rsidP="00EA178A">
                <w:pPr>
                  <w:cnfStyle w:val="000000000000" w:firstRow="0" w:lastRow="0" w:firstColumn="0" w:lastColumn="0" w:oddVBand="0" w:evenVBand="0" w:oddHBand="0" w:evenHBand="0" w:firstRowFirstColumn="0" w:firstRowLastColumn="0" w:lastRowFirstColumn="0" w:lastRowLastColumn="0"/>
                  <w:rPr>
                    <w:sz w:val="16"/>
                    <w:szCs w:val="16"/>
                  </w:rPr>
                </w:pPr>
                <w:r w:rsidRPr="00EE147E">
                  <w:rPr>
                    <w:sz w:val="16"/>
                    <w:szCs w:val="16"/>
                  </w:rPr>
                  <w:t>Short-term. NR.</w:t>
                </w:r>
              </w:p>
            </w:tc>
            <w:tc>
              <w:tcPr>
                <w:tcW w:w="3207" w:type="dxa"/>
              </w:tcPr>
              <w:p w14:paraId="7E2665FF" w14:textId="08BAD752" w:rsidR="004E260E" w:rsidRPr="00EE147E" w:rsidRDefault="004E260E" w:rsidP="00EA178A">
                <w:pPr>
                  <w:cnfStyle w:val="000000000000" w:firstRow="0" w:lastRow="0" w:firstColumn="0" w:lastColumn="0" w:oddVBand="0" w:evenVBand="0" w:oddHBand="0" w:evenHBand="0" w:firstRowFirstColumn="0" w:firstRowLastColumn="0" w:lastRowFirstColumn="0" w:lastRowLastColumn="0"/>
                  <w:rPr>
                    <w:sz w:val="16"/>
                    <w:szCs w:val="16"/>
                  </w:rPr>
                </w:pPr>
                <w:r w:rsidRPr="00EE147E">
                  <w:rPr>
                    <w:sz w:val="16"/>
                    <w:szCs w:val="16"/>
                  </w:rPr>
                  <w:t>13 e-cig users and 10 non e-cig users and non smokers. All subjects were former smokers (non smoking for at least 6 months). 69.2% Male for e-cig</w:t>
                </w:r>
                <w:r w:rsidR="00887971">
                  <w:rPr>
                    <w:sz w:val="16"/>
                    <w:szCs w:val="16"/>
                  </w:rPr>
                  <w:t>arette</w:t>
                </w:r>
                <w:r w:rsidRPr="00EE147E">
                  <w:rPr>
                    <w:sz w:val="16"/>
                    <w:szCs w:val="16"/>
                  </w:rPr>
                  <w:t xml:space="preserve"> users. 50% for controls. Mean age of 39.4 years for e-cig users. Mean age of 30.1 for controls.</w:t>
                </w:r>
              </w:p>
            </w:tc>
            <w:tc>
              <w:tcPr>
                <w:tcW w:w="2715" w:type="dxa"/>
              </w:tcPr>
              <w:p w14:paraId="2223DD20" w14:textId="1D5FD370" w:rsidR="004E260E" w:rsidRPr="00EE147E" w:rsidRDefault="004E260E" w:rsidP="0065638D">
                <w:pPr>
                  <w:cnfStyle w:val="000000000000" w:firstRow="0" w:lastRow="0" w:firstColumn="0" w:lastColumn="0" w:oddVBand="0" w:evenVBand="0" w:oddHBand="0" w:evenHBand="0" w:firstRowFirstColumn="0" w:firstRowLastColumn="0" w:lastRowFirstColumn="0" w:lastRowLastColumn="0"/>
                  <w:rPr>
                    <w:sz w:val="16"/>
                    <w:szCs w:val="16"/>
                  </w:rPr>
                </w:pPr>
                <w:r w:rsidRPr="00EE147E">
                  <w:rPr>
                    <w:sz w:val="16"/>
                    <w:szCs w:val="16"/>
                  </w:rPr>
                  <w:t>Considered bladder cancer risk profile across e-cig</w:t>
                </w:r>
                <w:r w:rsidR="00887971">
                  <w:rPr>
                    <w:sz w:val="16"/>
                    <w:szCs w:val="16"/>
                  </w:rPr>
                  <w:t>arette</w:t>
                </w:r>
                <w:r w:rsidRPr="00EE147E">
                  <w:rPr>
                    <w:sz w:val="16"/>
                    <w:szCs w:val="16"/>
                  </w:rPr>
                  <w:t xml:space="preserve"> u</w:t>
                </w:r>
                <w:r w:rsidR="0065638D">
                  <w:rPr>
                    <w:sz w:val="16"/>
                    <w:szCs w:val="16"/>
                  </w:rPr>
                  <w:t>s</w:t>
                </w:r>
                <w:r w:rsidRPr="00EE147E">
                  <w:rPr>
                    <w:sz w:val="16"/>
                    <w:szCs w:val="16"/>
                  </w:rPr>
                  <w:t>ers, and non e</w:t>
                </w:r>
                <w:r w:rsidR="0065638D">
                  <w:rPr>
                    <w:sz w:val="16"/>
                    <w:szCs w:val="16"/>
                  </w:rPr>
                  <w:noBreakHyphen/>
                </w:r>
                <w:r w:rsidRPr="00EE147E">
                  <w:rPr>
                    <w:sz w:val="16"/>
                    <w:szCs w:val="16"/>
                  </w:rPr>
                  <w:t>cig</w:t>
                </w:r>
                <w:r w:rsidR="00887971">
                  <w:rPr>
                    <w:sz w:val="16"/>
                    <w:szCs w:val="16"/>
                  </w:rPr>
                  <w:t>arette</w:t>
                </w:r>
                <w:r w:rsidRPr="00EE147E">
                  <w:rPr>
                    <w:sz w:val="16"/>
                    <w:szCs w:val="16"/>
                  </w:rPr>
                  <w:t xml:space="preserve"> use</w:t>
                </w:r>
                <w:r w:rsidR="0065638D">
                  <w:rPr>
                    <w:sz w:val="16"/>
                    <w:szCs w:val="16"/>
                  </w:rPr>
                  <w:t>r</w:t>
                </w:r>
                <w:r w:rsidRPr="00EE147E">
                  <w:rPr>
                    <w:sz w:val="16"/>
                    <w:szCs w:val="16"/>
                  </w:rPr>
                  <w:t>s and non smokers.</w:t>
                </w:r>
              </w:p>
            </w:tc>
            <w:tc>
              <w:tcPr>
                <w:tcW w:w="4196" w:type="dxa"/>
              </w:tcPr>
              <w:p w14:paraId="54E6E745" w14:textId="77777777" w:rsidR="004E260E" w:rsidRPr="00EE147E" w:rsidRDefault="004E260E" w:rsidP="00EA178A">
                <w:pPr>
                  <w:cnfStyle w:val="000000000000" w:firstRow="0" w:lastRow="0" w:firstColumn="0" w:lastColumn="0" w:oddVBand="0" w:evenVBand="0" w:oddHBand="0" w:evenHBand="0" w:firstRowFirstColumn="0" w:firstRowLastColumn="0" w:lastRowFirstColumn="0" w:lastRowLastColumn="0"/>
                  <w:rPr>
                    <w:sz w:val="16"/>
                    <w:szCs w:val="16"/>
                  </w:rPr>
                </w:pPr>
                <w:r w:rsidRPr="00EE147E">
                  <w:rPr>
                    <w:sz w:val="16"/>
                    <w:szCs w:val="16"/>
                  </w:rPr>
                  <w:t>NR. Abstract only.</w:t>
                </w:r>
              </w:p>
            </w:tc>
          </w:tr>
          <w:tr w:rsidR="004E260E" w:rsidRPr="00EE147E" w14:paraId="6567BF24" w14:textId="77777777" w:rsidTr="00EA17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0" w:type="dxa"/>
              </w:tcPr>
              <w:p w14:paraId="6094EDCD" w14:textId="77777777" w:rsidR="004E260E" w:rsidRPr="00EE147E" w:rsidRDefault="004E260E" w:rsidP="00EA178A">
                <w:pPr>
                  <w:rPr>
                    <w:b w:val="0"/>
                    <w:sz w:val="16"/>
                    <w:szCs w:val="16"/>
                  </w:rPr>
                </w:pPr>
                <w:r w:rsidRPr="00EE147E">
                  <w:rPr>
                    <w:sz w:val="16"/>
                    <w:szCs w:val="16"/>
                  </w:rPr>
                  <w:t>Gucht et al. 2017</w:t>
                </w:r>
              </w:p>
            </w:tc>
            <w:tc>
              <w:tcPr>
                <w:tcW w:w="1433" w:type="dxa"/>
              </w:tcPr>
              <w:p w14:paraId="4C73C875" w14:textId="14C38180" w:rsidR="004E260E" w:rsidRPr="00EE147E" w:rsidRDefault="004E260E" w:rsidP="00EA178A">
                <w:pPr>
                  <w:cnfStyle w:val="000000100000" w:firstRow="0" w:lastRow="0" w:firstColumn="0" w:lastColumn="0" w:oddVBand="0" w:evenVBand="0" w:oddHBand="1" w:evenHBand="0" w:firstRowFirstColumn="0" w:firstRowLastColumn="0" w:lastRowFirstColumn="0" w:lastRowLastColumn="0"/>
                  <w:rPr>
                    <w:sz w:val="16"/>
                    <w:szCs w:val="16"/>
                  </w:rPr>
                </w:pPr>
                <w:r w:rsidRPr="00EE147E">
                  <w:rPr>
                    <w:sz w:val="16"/>
                    <w:szCs w:val="16"/>
                  </w:rPr>
                  <w:t>Cross-sectional</w:t>
                </w:r>
                <w:r w:rsidR="0008362F">
                  <w:rPr>
                    <w:sz w:val="16"/>
                    <w:szCs w:val="16"/>
                  </w:rPr>
                  <w:t>.</w:t>
                </w:r>
              </w:p>
            </w:tc>
            <w:tc>
              <w:tcPr>
                <w:tcW w:w="1456" w:type="dxa"/>
              </w:tcPr>
              <w:p w14:paraId="10DE1B6E" w14:textId="77777777" w:rsidR="004E260E" w:rsidRPr="00EE147E" w:rsidRDefault="004E260E" w:rsidP="00EA178A">
                <w:pPr>
                  <w:cnfStyle w:val="000000100000" w:firstRow="0" w:lastRow="0" w:firstColumn="0" w:lastColumn="0" w:oddVBand="0" w:evenVBand="0" w:oddHBand="1" w:evenHBand="0" w:firstRowFirstColumn="0" w:firstRowLastColumn="0" w:lastRowFirstColumn="0" w:lastRowLastColumn="0"/>
                  <w:rPr>
                    <w:sz w:val="16"/>
                    <w:szCs w:val="16"/>
                  </w:rPr>
                </w:pPr>
                <w:r w:rsidRPr="00EE147E">
                  <w:rPr>
                    <w:sz w:val="16"/>
                    <w:szCs w:val="16"/>
                  </w:rPr>
                  <w:t>Short-term.</w:t>
                </w:r>
              </w:p>
              <w:p w14:paraId="33CF0628" w14:textId="77777777" w:rsidR="004E260E" w:rsidRPr="00EE147E" w:rsidRDefault="004E260E" w:rsidP="00EA178A">
                <w:pPr>
                  <w:cnfStyle w:val="000000100000" w:firstRow="0" w:lastRow="0" w:firstColumn="0" w:lastColumn="0" w:oddVBand="0" w:evenVBand="0" w:oddHBand="1" w:evenHBand="0" w:firstRowFirstColumn="0" w:firstRowLastColumn="0" w:lastRowFirstColumn="0" w:lastRowLastColumn="0"/>
                  <w:rPr>
                    <w:sz w:val="16"/>
                    <w:szCs w:val="16"/>
                  </w:rPr>
                </w:pPr>
                <w:r w:rsidRPr="00EE147E">
                  <w:rPr>
                    <w:sz w:val="16"/>
                    <w:szCs w:val="16"/>
                  </w:rPr>
                  <w:t>NR.</w:t>
                </w:r>
              </w:p>
            </w:tc>
            <w:tc>
              <w:tcPr>
                <w:tcW w:w="3207" w:type="dxa"/>
              </w:tcPr>
              <w:p w14:paraId="282BF30A" w14:textId="77777777" w:rsidR="004E260E" w:rsidRPr="00EE147E" w:rsidRDefault="004E260E" w:rsidP="00EA178A">
                <w:pPr>
                  <w:cnfStyle w:val="000000100000" w:firstRow="0" w:lastRow="0" w:firstColumn="0" w:lastColumn="0" w:oddVBand="0" w:evenVBand="0" w:oddHBand="1" w:evenHBand="0" w:firstRowFirstColumn="0" w:firstRowLastColumn="0" w:lastRowFirstColumn="0" w:lastRowLastColumn="0"/>
                  <w:rPr>
                    <w:sz w:val="16"/>
                    <w:szCs w:val="16"/>
                  </w:rPr>
                </w:pPr>
                <w:r w:rsidRPr="00EE147E">
                  <w:rPr>
                    <w:sz w:val="16"/>
                    <w:szCs w:val="16"/>
                  </w:rPr>
                  <w:t>Convenience sample of a medium sized dedicated web shop. All customers who made an online purchase in the time window 18 Dec 15 to 12 Jan 16 were referred to the questionnaire and asked to complete on a voluntary basis. N=203, 57.1% (116) male. Average age 46 years.</w:t>
                </w:r>
              </w:p>
            </w:tc>
            <w:tc>
              <w:tcPr>
                <w:tcW w:w="2715" w:type="dxa"/>
              </w:tcPr>
              <w:p w14:paraId="39179D8D" w14:textId="77777777" w:rsidR="004E260E" w:rsidRPr="00EE147E" w:rsidRDefault="004E260E" w:rsidP="00EA178A">
                <w:pPr>
                  <w:cnfStyle w:val="000000100000" w:firstRow="0" w:lastRow="0" w:firstColumn="0" w:lastColumn="0" w:oddVBand="0" w:evenVBand="0" w:oddHBand="1" w:evenHBand="0" w:firstRowFirstColumn="0" w:firstRowLastColumn="0" w:lastRowFirstColumn="0" w:lastRowLastColumn="0"/>
                  <w:rPr>
                    <w:sz w:val="16"/>
                    <w:szCs w:val="16"/>
                  </w:rPr>
                </w:pPr>
                <w:r w:rsidRPr="00EE147E">
                  <w:rPr>
                    <w:sz w:val="16"/>
                    <w:szCs w:val="16"/>
                  </w:rPr>
                  <w:t>No comparison group.</w:t>
                </w:r>
              </w:p>
            </w:tc>
            <w:tc>
              <w:tcPr>
                <w:tcW w:w="4196" w:type="dxa"/>
              </w:tcPr>
              <w:p w14:paraId="5A03F8AC" w14:textId="7B2B8B10" w:rsidR="004E260E" w:rsidRPr="00EE147E" w:rsidRDefault="004E260E" w:rsidP="00EA178A">
                <w:pPr>
                  <w:cnfStyle w:val="000000100000" w:firstRow="0" w:lastRow="0" w:firstColumn="0" w:lastColumn="0" w:oddVBand="0" w:evenVBand="0" w:oddHBand="1" w:evenHBand="0" w:firstRowFirstColumn="0" w:firstRowLastColumn="0" w:lastRowFirstColumn="0" w:lastRowLastColumn="0"/>
                  <w:rPr>
                    <w:sz w:val="16"/>
                    <w:szCs w:val="16"/>
                  </w:rPr>
                </w:pPr>
                <w:r w:rsidRPr="00EE147E">
                  <w:rPr>
                    <w:sz w:val="16"/>
                    <w:szCs w:val="16"/>
                  </w:rPr>
                  <w:t>Not stated, but the authors states that they are advocates for e-cig</w:t>
                </w:r>
                <w:r w:rsidR="00887971">
                  <w:rPr>
                    <w:sz w:val="16"/>
                    <w:szCs w:val="16"/>
                  </w:rPr>
                  <w:t>arette</w:t>
                </w:r>
                <w:r w:rsidRPr="00EE147E">
                  <w:rPr>
                    <w:sz w:val="16"/>
                    <w:szCs w:val="16"/>
                  </w:rPr>
                  <w:t xml:space="preserve"> based THR.</w:t>
                </w:r>
              </w:p>
            </w:tc>
          </w:tr>
          <w:tr w:rsidR="004E260E" w:rsidRPr="00EE147E" w14:paraId="3A621F75" w14:textId="77777777" w:rsidTr="00EA178A">
            <w:tc>
              <w:tcPr>
                <w:cnfStyle w:val="001000000000" w:firstRow="0" w:lastRow="0" w:firstColumn="1" w:lastColumn="0" w:oddVBand="0" w:evenVBand="0" w:oddHBand="0" w:evenHBand="0" w:firstRowFirstColumn="0" w:firstRowLastColumn="0" w:lastRowFirstColumn="0" w:lastRowLastColumn="0"/>
                <w:tcW w:w="1450" w:type="dxa"/>
              </w:tcPr>
              <w:p w14:paraId="581CAE0E" w14:textId="77777777" w:rsidR="004E260E" w:rsidRPr="00EE147E" w:rsidRDefault="004E260E" w:rsidP="00EA178A">
                <w:pPr>
                  <w:rPr>
                    <w:b w:val="0"/>
                    <w:sz w:val="16"/>
                    <w:szCs w:val="16"/>
                  </w:rPr>
                </w:pPr>
                <w:r w:rsidRPr="00EE147E">
                  <w:rPr>
                    <w:sz w:val="16"/>
                    <w:szCs w:val="16"/>
                  </w:rPr>
                  <w:t>Kim et al. 2017</w:t>
                </w:r>
              </w:p>
            </w:tc>
            <w:tc>
              <w:tcPr>
                <w:tcW w:w="1433" w:type="dxa"/>
              </w:tcPr>
              <w:p w14:paraId="5F4E3117" w14:textId="6337543F" w:rsidR="004E260E" w:rsidRPr="00EE147E" w:rsidRDefault="004E260E" w:rsidP="00EA178A">
                <w:pPr>
                  <w:cnfStyle w:val="000000000000" w:firstRow="0" w:lastRow="0" w:firstColumn="0" w:lastColumn="0" w:oddVBand="0" w:evenVBand="0" w:oddHBand="0" w:evenHBand="0" w:firstRowFirstColumn="0" w:firstRowLastColumn="0" w:lastRowFirstColumn="0" w:lastRowLastColumn="0"/>
                  <w:rPr>
                    <w:sz w:val="16"/>
                    <w:szCs w:val="16"/>
                  </w:rPr>
                </w:pPr>
                <w:r w:rsidRPr="00EE147E">
                  <w:rPr>
                    <w:sz w:val="16"/>
                    <w:szCs w:val="16"/>
                  </w:rPr>
                  <w:t>Cross-sectional analytic</w:t>
                </w:r>
                <w:r w:rsidR="0008362F">
                  <w:rPr>
                    <w:sz w:val="16"/>
                    <w:szCs w:val="16"/>
                  </w:rPr>
                  <w:t>.</w:t>
                </w:r>
              </w:p>
            </w:tc>
            <w:tc>
              <w:tcPr>
                <w:tcW w:w="1456" w:type="dxa"/>
              </w:tcPr>
              <w:p w14:paraId="55BE2FAC" w14:textId="77777777" w:rsidR="004E260E" w:rsidRPr="00EE147E" w:rsidRDefault="004E260E" w:rsidP="00EA178A">
                <w:pPr>
                  <w:cnfStyle w:val="000000000000" w:firstRow="0" w:lastRow="0" w:firstColumn="0" w:lastColumn="0" w:oddVBand="0" w:evenVBand="0" w:oddHBand="0" w:evenHBand="0" w:firstRowFirstColumn="0" w:firstRowLastColumn="0" w:lastRowFirstColumn="0" w:lastRowLastColumn="0"/>
                  <w:rPr>
                    <w:sz w:val="16"/>
                    <w:szCs w:val="16"/>
                  </w:rPr>
                </w:pPr>
                <w:r w:rsidRPr="00EE147E">
                  <w:rPr>
                    <w:sz w:val="16"/>
                    <w:szCs w:val="16"/>
                  </w:rPr>
                  <w:t>Short-term. NR.</w:t>
                </w:r>
              </w:p>
            </w:tc>
            <w:tc>
              <w:tcPr>
                <w:tcW w:w="3207" w:type="dxa"/>
              </w:tcPr>
              <w:p w14:paraId="7C37BE09" w14:textId="77777777" w:rsidR="004E260E" w:rsidRPr="00EE147E" w:rsidRDefault="004E260E" w:rsidP="00EA178A">
                <w:pPr>
                  <w:cnfStyle w:val="000000000000" w:firstRow="0" w:lastRow="0" w:firstColumn="0" w:lastColumn="0" w:oddVBand="0" w:evenVBand="0" w:oddHBand="0" w:evenHBand="0" w:firstRowFirstColumn="0" w:firstRowLastColumn="0" w:lastRowFirstColumn="0" w:lastRowLastColumn="0"/>
                  <w:rPr>
                    <w:sz w:val="16"/>
                    <w:szCs w:val="16"/>
                  </w:rPr>
                </w:pPr>
                <w:r w:rsidRPr="00EE147E">
                  <w:rPr>
                    <w:sz w:val="16"/>
                    <w:szCs w:val="16"/>
                  </w:rPr>
                  <w:t>Korean adolescents from 7th through 12th grade (i.e. 12 - 18 years of age), performed at schools. Cross-sectional study of Korea Youth Risk Behavior Web-based Survey in 2011, 2012, 2013.</w:t>
                </w:r>
              </w:p>
              <w:p w14:paraId="01825656" w14:textId="77777777" w:rsidR="004E260E" w:rsidRPr="00EE147E" w:rsidRDefault="004E260E" w:rsidP="00EA178A">
                <w:pPr>
                  <w:cnfStyle w:val="000000000000" w:firstRow="0" w:lastRow="0" w:firstColumn="0" w:lastColumn="0" w:oddVBand="0" w:evenVBand="0" w:oddHBand="0" w:evenHBand="0" w:firstRowFirstColumn="0" w:firstRowLastColumn="0" w:lastRowFirstColumn="0" w:lastRowLastColumn="0"/>
                  <w:rPr>
                    <w:sz w:val="16"/>
                    <w:szCs w:val="16"/>
                  </w:rPr>
                </w:pPr>
                <w:r w:rsidRPr="00EE147E">
                  <w:rPr>
                    <w:sz w:val="16"/>
                    <w:szCs w:val="16"/>
                  </w:rPr>
                  <w:t>N=216,056 (211,166 without asthma and 4,890 with asthma)</w:t>
                </w:r>
              </w:p>
            </w:tc>
            <w:tc>
              <w:tcPr>
                <w:tcW w:w="2715" w:type="dxa"/>
              </w:tcPr>
              <w:p w14:paraId="0036C67C" w14:textId="7F62D9CD" w:rsidR="004E260E" w:rsidRPr="00EE147E" w:rsidRDefault="004E260E" w:rsidP="00EA178A">
                <w:pPr>
                  <w:cnfStyle w:val="000000000000" w:firstRow="0" w:lastRow="0" w:firstColumn="0" w:lastColumn="0" w:oddVBand="0" w:evenVBand="0" w:oddHBand="0" w:evenHBand="0" w:firstRowFirstColumn="0" w:firstRowLastColumn="0" w:lastRowFirstColumn="0" w:lastRowLastColumn="0"/>
                  <w:rPr>
                    <w:sz w:val="16"/>
                    <w:szCs w:val="16"/>
                  </w:rPr>
                </w:pPr>
                <w:r w:rsidRPr="00EE147E">
                  <w:rPr>
                    <w:sz w:val="16"/>
                    <w:szCs w:val="16"/>
                  </w:rPr>
                  <w:t>Compared active smoking, passive smoking and e-cig</w:t>
                </w:r>
                <w:r w:rsidR="00887971">
                  <w:rPr>
                    <w:sz w:val="16"/>
                    <w:szCs w:val="16"/>
                  </w:rPr>
                  <w:t>arette</w:t>
                </w:r>
                <w:r w:rsidRPr="00EE147E">
                  <w:rPr>
                    <w:sz w:val="16"/>
                    <w:szCs w:val="16"/>
                  </w:rPr>
                  <w:t xml:space="preserve"> use. </w:t>
                </w:r>
              </w:p>
              <w:p w14:paraId="50694117" w14:textId="77777777" w:rsidR="004E260E" w:rsidRPr="00EE147E" w:rsidRDefault="004E260E" w:rsidP="00EA178A">
                <w:pPr>
                  <w:cnfStyle w:val="000000000000" w:firstRow="0" w:lastRow="0" w:firstColumn="0" w:lastColumn="0" w:oddVBand="0" w:evenVBand="0" w:oddHBand="0" w:evenHBand="0" w:firstRowFirstColumn="0" w:firstRowLastColumn="0" w:lastRowFirstColumn="0" w:lastRowLastColumn="0"/>
                  <w:rPr>
                    <w:sz w:val="16"/>
                    <w:szCs w:val="16"/>
                  </w:rPr>
                </w:pPr>
                <w:r w:rsidRPr="00EE147E">
                  <w:rPr>
                    <w:sz w:val="16"/>
                    <w:szCs w:val="16"/>
                  </w:rPr>
                  <w:t>Active smoking categorised into 4 groups (0 days, 1-5 days, 6-19 days, and &gt; or = 20 days/month).</w:t>
                </w:r>
              </w:p>
              <w:p w14:paraId="70F2DD9D" w14:textId="339B7B14" w:rsidR="004E260E" w:rsidRPr="00EE147E" w:rsidRDefault="004E260E" w:rsidP="00EA178A">
                <w:pPr>
                  <w:cnfStyle w:val="000000000000" w:firstRow="0" w:lastRow="0" w:firstColumn="0" w:lastColumn="0" w:oddVBand="0" w:evenVBand="0" w:oddHBand="0" w:evenHBand="0" w:firstRowFirstColumn="0" w:firstRowLastColumn="0" w:lastRowFirstColumn="0" w:lastRowLastColumn="0"/>
                  <w:rPr>
                    <w:sz w:val="16"/>
                    <w:szCs w:val="16"/>
                  </w:rPr>
                </w:pPr>
                <w:r w:rsidRPr="00EE147E">
                  <w:rPr>
                    <w:sz w:val="16"/>
                    <w:szCs w:val="16"/>
                  </w:rPr>
                  <w:t>Passive smoking categorised into 4 groups (0 days, 1-2 days, 3-4 days, and &gt; or = 5 days/week).</w:t>
                </w:r>
              </w:p>
              <w:p w14:paraId="302CC4B3" w14:textId="059A86D7" w:rsidR="004E260E" w:rsidRPr="00EE147E" w:rsidRDefault="004E260E" w:rsidP="00EA178A">
                <w:pPr>
                  <w:cnfStyle w:val="000000000000" w:firstRow="0" w:lastRow="0" w:firstColumn="0" w:lastColumn="0" w:oddVBand="0" w:evenVBand="0" w:oddHBand="0" w:evenHBand="0" w:firstRowFirstColumn="0" w:firstRowLastColumn="0" w:lastRowFirstColumn="0" w:lastRowLastColumn="0"/>
                  <w:rPr>
                    <w:sz w:val="16"/>
                    <w:szCs w:val="16"/>
                  </w:rPr>
                </w:pPr>
                <w:r w:rsidRPr="0065638D">
                  <w:rPr>
                    <w:color w:val="auto"/>
                    <w:sz w:val="16"/>
                    <w:szCs w:val="16"/>
                  </w:rPr>
                  <w:t xml:space="preserve">Current </w:t>
                </w:r>
                <w:r w:rsidR="0023709D" w:rsidRPr="0065638D">
                  <w:rPr>
                    <w:color w:val="auto"/>
                    <w:sz w:val="16"/>
                    <w:szCs w:val="16"/>
                  </w:rPr>
                  <w:t>e</w:t>
                </w:r>
                <w:r w:rsidRPr="0065638D">
                  <w:rPr>
                    <w:color w:val="auto"/>
                    <w:sz w:val="16"/>
                    <w:szCs w:val="16"/>
                  </w:rPr>
                  <w:t xml:space="preserve">-cigarette </w:t>
                </w:r>
                <w:r w:rsidRPr="00EE147E">
                  <w:rPr>
                    <w:sz w:val="16"/>
                    <w:szCs w:val="16"/>
                  </w:rPr>
                  <w:t>use (yes or no in last 30 days).</w:t>
                </w:r>
              </w:p>
              <w:p w14:paraId="4082D9D3" w14:textId="77777777" w:rsidR="004E260E" w:rsidRPr="00EE147E" w:rsidRDefault="004E260E" w:rsidP="00EA178A">
                <w:pPr>
                  <w:cnfStyle w:val="000000000000" w:firstRow="0" w:lastRow="0" w:firstColumn="0" w:lastColumn="0" w:oddVBand="0" w:evenVBand="0" w:oddHBand="0" w:evenHBand="0" w:firstRowFirstColumn="0" w:firstRowLastColumn="0" w:lastRowFirstColumn="0" w:lastRowLastColumn="0"/>
                  <w:rPr>
                    <w:sz w:val="16"/>
                    <w:szCs w:val="16"/>
                  </w:rPr>
                </w:pPr>
                <w:r w:rsidRPr="00EE147E">
                  <w:rPr>
                    <w:sz w:val="16"/>
                    <w:szCs w:val="16"/>
                  </w:rPr>
                  <w:t>Considered asthma symptoms (self-reported).</w:t>
                </w:r>
              </w:p>
            </w:tc>
            <w:tc>
              <w:tcPr>
                <w:tcW w:w="4196" w:type="dxa"/>
              </w:tcPr>
              <w:p w14:paraId="76EB4279" w14:textId="77777777" w:rsidR="004E260E" w:rsidRPr="00EE147E" w:rsidRDefault="004E260E" w:rsidP="00EA178A">
                <w:pPr>
                  <w:cnfStyle w:val="000000000000" w:firstRow="0" w:lastRow="0" w:firstColumn="0" w:lastColumn="0" w:oddVBand="0" w:evenVBand="0" w:oddHBand="0" w:evenHBand="0" w:firstRowFirstColumn="0" w:firstRowLastColumn="0" w:lastRowFirstColumn="0" w:lastRowLastColumn="0"/>
                  <w:rPr>
                    <w:sz w:val="16"/>
                    <w:szCs w:val="16"/>
                  </w:rPr>
                </w:pPr>
                <w:r w:rsidRPr="00EE147E">
                  <w:rPr>
                    <w:sz w:val="16"/>
                    <w:szCs w:val="16"/>
                  </w:rPr>
                  <w:t>National Research Foundation (NRF) of Korea grant (NRF-and a research grant funded by Hallym University Sacred Heart Hospital and Korea Ministry of Environment (MOE), "The Environmental Health Action Program".</w:t>
                </w:r>
              </w:p>
            </w:tc>
          </w:tr>
          <w:tr w:rsidR="004E260E" w:rsidRPr="00EE147E" w14:paraId="71F39CB0" w14:textId="77777777" w:rsidTr="00EA17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0" w:type="dxa"/>
              </w:tcPr>
              <w:p w14:paraId="615D9CF3" w14:textId="77777777" w:rsidR="004E260E" w:rsidRPr="00EE147E" w:rsidRDefault="004E260E" w:rsidP="00EA178A">
                <w:pPr>
                  <w:rPr>
                    <w:b w:val="0"/>
                    <w:sz w:val="16"/>
                    <w:szCs w:val="16"/>
                  </w:rPr>
                </w:pPr>
                <w:r w:rsidRPr="00EE147E">
                  <w:rPr>
                    <w:sz w:val="16"/>
                    <w:szCs w:val="16"/>
                  </w:rPr>
                  <w:lastRenderedPageBreak/>
                  <w:t>McConnell et al. 2017</w:t>
                </w:r>
              </w:p>
            </w:tc>
            <w:tc>
              <w:tcPr>
                <w:tcW w:w="1433" w:type="dxa"/>
              </w:tcPr>
              <w:p w14:paraId="5F5B0120" w14:textId="10E15317" w:rsidR="004E260E" w:rsidRPr="00EE147E" w:rsidRDefault="004E260E" w:rsidP="00EA178A">
                <w:pPr>
                  <w:cnfStyle w:val="000000100000" w:firstRow="0" w:lastRow="0" w:firstColumn="0" w:lastColumn="0" w:oddVBand="0" w:evenVBand="0" w:oddHBand="1" w:evenHBand="0" w:firstRowFirstColumn="0" w:firstRowLastColumn="0" w:lastRowFirstColumn="0" w:lastRowLastColumn="0"/>
                  <w:rPr>
                    <w:sz w:val="16"/>
                    <w:szCs w:val="16"/>
                  </w:rPr>
                </w:pPr>
                <w:r w:rsidRPr="00EE147E">
                  <w:rPr>
                    <w:sz w:val="16"/>
                    <w:szCs w:val="16"/>
                  </w:rPr>
                  <w:t>Cross-sectional analytic</w:t>
                </w:r>
                <w:r w:rsidR="0008362F">
                  <w:rPr>
                    <w:sz w:val="16"/>
                    <w:szCs w:val="16"/>
                  </w:rPr>
                  <w:t>.</w:t>
                </w:r>
              </w:p>
            </w:tc>
            <w:tc>
              <w:tcPr>
                <w:tcW w:w="1456" w:type="dxa"/>
              </w:tcPr>
              <w:p w14:paraId="41470337" w14:textId="77777777" w:rsidR="004E260E" w:rsidRPr="00EE147E" w:rsidRDefault="004E260E" w:rsidP="00EA178A">
                <w:pPr>
                  <w:cnfStyle w:val="000000100000" w:firstRow="0" w:lastRow="0" w:firstColumn="0" w:lastColumn="0" w:oddVBand="0" w:evenVBand="0" w:oddHBand="1" w:evenHBand="0" w:firstRowFirstColumn="0" w:firstRowLastColumn="0" w:lastRowFirstColumn="0" w:lastRowLastColumn="0"/>
                  <w:rPr>
                    <w:sz w:val="16"/>
                    <w:szCs w:val="16"/>
                  </w:rPr>
                </w:pPr>
                <w:r w:rsidRPr="00EE147E">
                  <w:rPr>
                    <w:sz w:val="16"/>
                    <w:szCs w:val="16"/>
                  </w:rPr>
                  <w:t>Short-term. NR.</w:t>
                </w:r>
              </w:p>
            </w:tc>
            <w:tc>
              <w:tcPr>
                <w:tcW w:w="3207" w:type="dxa"/>
              </w:tcPr>
              <w:p w14:paraId="5C531F9C" w14:textId="77777777" w:rsidR="004E260E" w:rsidRPr="00EE147E" w:rsidRDefault="004E260E" w:rsidP="00EA178A">
                <w:pPr>
                  <w:cnfStyle w:val="000000100000" w:firstRow="0" w:lastRow="0" w:firstColumn="0" w:lastColumn="0" w:oddVBand="0" w:evenVBand="0" w:oddHBand="1" w:evenHBand="0" w:firstRowFirstColumn="0" w:firstRowLastColumn="0" w:lastRowFirstColumn="0" w:lastRowLastColumn="0"/>
                  <w:rPr>
                    <w:sz w:val="16"/>
                    <w:szCs w:val="16"/>
                  </w:rPr>
                </w:pPr>
                <w:r w:rsidRPr="00EE147E">
                  <w:rPr>
                    <w:sz w:val="16"/>
                    <w:szCs w:val="16"/>
                  </w:rPr>
                  <w:t>2086 participants of Southern California Children's Health Study who provided information on e-cigarette use and either wheeze or bronchitic symptoms. Analysis was based on subjects with complete information on e-cig use, including 1,922 subjects also not missing information and not reporting don't know regarding bronchitic symptoms and 2083 subjects not missing wheeze information. 2083 participants included in the analysis. 502 (24%) had ever used e-cigarettes, 301 (14.4%) were past and 201 (9.6%) (adolescent) participants of the survey were current users of e-cigarettes. Female 49.6%, Male 50.4% Adolescents completing 11th and 12th grade in 2014. Mean age of the sample was 17.3 years.</w:t>
                </w:r>
              </w:p>
            </w:tc>
            <w:tc>
              <w:tcPr>
                <w:tcW w:w="2715" w:type="dxa"/>
              </w:tcPr>
              <w:p w14:paraId="7BF07A36" w14:textId="3D848478" w:rsidR="004E260E" w:rsidRPr="00EE147E" w:rsidRDefault="004E260E" w:rsidP="00353B8B">
                <w:pPr>
                  <w:cnfStyle w:val="000000100000" w:firstRow="0" w:lastRow="0" w:firstColumn="0" w:lastColumn="0" w:oddVBand="0" w:evenVBand="0" w:oddHBand="1" w:evenHBand="0" w:firstRowFirstColumn="0" w:firstRowLastColumn="0" w:lastRowFirstColumn="0" w:lastRowLastColumn="0"/>
                  <w:rPr>
                    <w:sz w:val="16"/>
                    <w:szCs w:val="16"/>
                  </w:rPr>
                </w:pPr>
                <w:r w:rsidRPr="00EE147E">
                  <w:rPr>
                    <w:sz w:val="16"/>
                    <w:szCs w:val="16"/>
                  </w:rPr>
                  <w:t xml:space="preserve">Compared past and current users of </w:t>
                </w:r>
                <w:r w:rsidRPr="0065638D">
                  <w:rPr>
                    <w:color w:val="auto"/>
                    <w:sz w:val="16"/>
                    <w:szCs w:val="16"/>
                  </w:rPr>
                  <w:t>e</w:t>
                </w:r>
                <w:r w:rsidR="0023709D" w:rsidRPr="0065638D">
                  <w:rPr>
                    <w:color w:val="auto"/>
                    <w:sz w:val="16"/>
                    <w:szCs w:val="16"/>
                  </w:rPr>
                  <w:noBreakHyphen/>
                </w:r>
                <w:r w:rsidRPr="0065638D">
                  <w:rPr>
                    <w:color w:val="auto"/>
                    <w:sz w:val="16"/>
                    <w:szCs w:val="16"/>
                  </w:rPr>
                  <w:t xml:space="preserve">cigarettes with </w:t>
                </w:r>
                <w:r w:rsidRPr="00EE147E">
                  <w:rPr>
                    <w:sz w:val="16"/>
                    <w:szCs w:val="16"/>
                  </w:rPr>
                  <w:t>self-reported wheeze and bronchitic symptoms.</w:t>
                </w:r>
              </w:p>
            </w:tc>
            <w:tc>
              <w:tcPr>
                <w:tcW w:w="4196" w:type="dxa"/>
              </w:tcPr>
              <w:p w14:paraId="538D61F3" w14:textId="77777777" w:rsidR="004E260E" w:rsidRPr="00EE147E" w:rsidRDefault="004E260E" w:rsidP="00EA178A">
                <w:pPr>
                  <w:cnfStyle w:val="000000100000" w:firstRow="0" w:lastRow="0" w:firstColumn="0" w:lastColumn="0" w:oddVBand="0" w:evenVBand="0" w:oddHBand="1" w:evenHBand="0" w:firstRowFirstColumn="0" w:firstRowLastColumn="0" w:lastRowFirstColumn="0" w:lastRowLastColumn="0"/>
                  <w:rPr>
                    <w:sz w:val="16"/>
                    <w:szCs w:val="16"/>
                  </w:rPr>
                </w:pPr>
                <w:r w:rsidRPr="00EE147E">
                  <w:rPr>
                    <w:sz w:val="16"/>
                    <w:szCs w:val="16"/>
                  </w:rPr>
                  <w:t>National Institute of Health grants.</w:t>
                </w:r>
              </w:p>
            </w:tc>
          </w:tr>
          <w:tr w:rsidR="004E260E" w:rsidRPr="00EE147E" w14:paraId="2C172062" w14:textId="77777777" w:rsidTr="00EA178A">
            <w:tc>
              <w:tcPr>
                <w:cnfStyle w:val="001000000000" w:firstRow="0" w:lastRow="0" w:firstColumn="1" w:lastColumn="0" w:oddVBand="0" w:evenVBand="0" w:oddHBand="0" w:evenHBand="0" w:firstRowFirstColumn="0" w:firstRowLastColumn="0" w:lastRowFirstColumn="0" w:lastRowLastColumn="0"/>
                <w:tcW w:w="1450" w:type="dxa"/>
              </w:tcPr>
              <w:p w14:paraId="29CEFDFB" w14:textId="77777777" w:rsidR="004E260E" w:rsidRPr="00EE147E" w:rsidRDefault="004E260E" w:rsidP="00EA178A">
                <w:pPr>
                  <w:rPr>
                    <w:b w:val="0"/>
                    <w:sz w:val="16"/>
                    <w:szCs w:val="16"/>
                  </w:rPr>
                </w:pPr>
                <w:r w:rsidRPr="00EE147E">
                  <w:rPr>
                    <w:sz w:val="16"/>
                    <w:szCs w:val="16"/>
                  </w:rPr>
                  <w:t>Moheimani et al. 2017</w:t>
                </w:r>
              </w:p>
            </w:tc>
            <w:tc>
              <w:tcPr>
                <w:tcW w:w="1433" w:type="dxa"/>
              </w:tcPr>
              <w:p w14:paraId="04F24B59" w14:textId="431FCE09" w:rsidR="004E260E" w:rsidRPr="00EE147E" w:rsidRDefault="004E260E" w:rsidP="00EA178A">
                <w:pPr>
                  <w:cnfStyle w:val="000000000000" w:firstRow="0" w:lastRow="0" w:firstColumn="0" w:lastColumn="0" w:oddVBand="0" w:evenVBand="0" w:oddHBand="0" w:evenHBand="0" w:firstRowFirstColumn="0" w:firstRowLastColumn="0" w:lastRowFirstColumn="0" w:lastRowLastColumn="0"/>
                  <w:rPr>
                    <w:sz w:val="16"/>
                    <w:szCs w:val="16"/>
                  </w:rPr>
                </w:pPr>
                <w:r w:rsidRPr="00EE147E">
                  <w:rPr>
                    <w:sz w:val="16"/>
                    <w:szCs w:val="16"/>
                  </w:rPr>
                  <w:t>Cross-sectional analytic</w:t>
                </w:r>
                <w:r w:rsidR="0008362F">
                  <w:rPr>
                    <w:sz w:val="16"/>
                    <w:szCs w:val="16"/>
                  </w:rPr>
                  <w:t>.</w:t>
                </w:r>
              </w:p>
            </w:tc>
            <w:tc>
              <w:tcPr>
                <w:tcW w:w="1456" w:type="dxa"/>
              </w:tcPr>
              <w:p w14:paraId="5E413B8B" w14:textId="77777777" w:rsidR="004E260E" w:rsidRPr="00EE147E" w:rsidRDefault="004E260E" w:rsidP="00EA178A">
                <w:pPr>
                  <w:cnfStyle w:val="000000000000" w:firstRow="0" w:lastRow="0" w:firstColumn="0" w:lastColumn="0" w:oddVBand="0" w:evenVBand="0" w:oddHBand="0" w:evenHBand="0" w:firstRowFirstColumn="0" w:firstRowLastColumn="0" w:lastRowFirstColumn="0" w:lastRowLastColumn="0"/>
                  <w:rPr>
                    <w:sz w:val="16"/>
                    <w:szCs w:val="16"/>
                  </w:rPr>
                </w:pPr>
                <w:r w:rsidRPr="00EE147E">
                  <w:rPr>
                    <w:sz w:val="16"/>
                    <w:szCs w:val="16"/>
                  </w:rPr>
                  <w:t>Short-term. NR</w:t>
                </w:r>
              </w:p>
            </w:tc>
            <w:tc>
              <w:tcPr>
                <w:tcW w:w="3207" w:type="dxa"/>
              </w:tcPr>
              <w:p w14:paraId="079635C4" w14:textId="2B5B25C8" w:rsidR="004E260E" w:rsidRPr="0065638D" w:rsidRDefault="004E260E" w:rsidP="00EA178A">
                <w:pPr>
                  <w:cnfStyle w:val="000000000000" w:firstRow="0" w:lastRow="0" w:firstColumn="0" w:lastColumn="0" w:oddVBand="0" w:evenVBand="0" w:oddHBand="0" w:evenHBand="0" w:firstRowFirstColumn="0" w:firstRowLastColumn="0" w:lastRowFirstColumn="0" w:lastRowLastColumn="0"/>
                  <w:rPr>
                    <w:color w:val="auto"/>
                    <w:sz w:val="16"/>
                    <w:szCs w:val="16"/>
                  </w:rPr>
                </w:pPr>
                <w:r w:rsidRPr="0065638D">
                  <w:rPr>
                    <w:color w:val="auto"/>
                    <w:sz w:val="16"/>
                    <w:szCs w:val="16"/>
                  </w:rPr>
                  <w:t>42 participants, 23 self-identified habitual e</w:t>
                </w:r>
                <w:r w:rsidR="0023709D" w:rsidRPr="0065638D">
                  <w:rPr>
                    <w:color w:val="auto"/>
                    <w:sz w:val="16"/>
                    <w:szCs w:val="16"/>
                  </w:rPr>
                  <w:noBreakHyphen/>
                </w:r>
                <w:r w:rsidRPr="0065638D">
                  <w:rPr>
                    <w:color w:val="auto"/>
                    <w:sz w:val="16"/>
                    <w:szCs w:val="16"/>
                  </w:rPr>
                  <w:t>cigarette users and 19 self-identified non tobacco cigarette, non e-cigarette user controls. 2 of the 23 e-cig</w:t>
                </w:r>
                <w:r w:rsidR="00887971">
                  <w:rPr>
                    <w:color w:val="auto"/>
                    <w:sz w:val="16"/>
                    <w:szCs w:val="16"/>
                  </w:rPr>
                  <w:t>arette</w:t>
                </w:r>
                <w:r w:rsidRPr="0065638D">
                  <w:rPr>
                    <w:color w:val="auto"/>
                    <w:sz w:val="16"/>
                    <w:szCs w:val="16"/>
                  </w:rPr>
                  <w:t xml:space="preserve"> users were initially eliminated, and a further 5 (of 21) were eliminated when indicators of cigarette use were found (results of 16 e-cig users analysed). 1 of the controls also eliminated when it was found that they had exposure to tobacco cigarette (18 controls analysed). 35% Female. Mean age 27.6 years.</w:t>
                </w:r>
              </w:p>
            </w:tc>
            <w:tc>
              <w:tcPr>
                <w:tcW w:w="2715" w:type="dxa"/>
              </w:tcPr>
              <w:p w14:paraId="289953C1" w14:textId="77777777" w:rsidR="004E260E" w:rsidRPr="0065638D" w:rsidRDefault="004E260E" w:rsidP="00EA178A">
                <w:pPr>
                  <w:cnfStyle w:val="000000000000" w:firstRow="0" w:lastRow="0" w:firstColumn="0" w:lastColumn="0" w:oddVBand="0" w:evenVBand="0" w:oddHBand="0" w:evenHBand="0" w:firstRowFirstColumn="0" w:firstRowLastColumn="0" w:lastRowFirstColumn="0" w:lastRowLastColumn="0"/>
                  <w:rPr>
                    <w:color w:val="auto"/>
                    <w:sz w:val="16"/>
                    <w:szCs w:val="16"/>
                  </w:rPr>
                </w:pPr>
                <w:r w:rsidRPr="0065638D">
                  <w:rPr>
                    <w:color w:val="auto"/>
                    <w:sz w:val="16"/>
                    <w:szCs w:val="16"/>
                  </w:rPr>
                  <w:t>16 e-cig</w:t>
                </w:r>
                <w:r w:rsidR="0023709D" w:rsidRPr="0065638D">
                  <w:rPr>
                    <w:color w:val="auto"/>
                    <w:sz w:val="16"/>
                    <w:szCs w:val="16"/>
                  </w:rPr>
                  <w:t>arette</w:t>
                </w:r>
                <w:r w:rsidRPr="0065638D">
                  <w:rPr>
                    <w:color w:val="auto"/>
                    <w:sz w:val="16"/>
                    <w:szCs w:val="16"/>
                  </w:rPr>
                  <w:t xml:space="preserve"> users and 18 controls compared on imbalance of cardiac autonomic tone and oxidative stress and inflammation.</w:t>
                </w:r>
              </w:p>
            </w:tc>
            <w:tc>
              <w:tcPr>
                <w:tcW w:w="4196" w:type="dxa"/>
              </w:tcPr>
              <w:p w14:paraId="1D2EEBC2" w14:textId="2703B378" w:rsidR="004E260E" w:rsidRPr="00EE147E" w:rsidRDefault="004E260E" w:rsidP="00EA178A">
                <w:pPr>
                  <w:cnfStyle w:val="000000000000" w:firstRow="0" w:lastRow="0" w:firstColumn="0" w:lastColumn="0" w:oddVBand="0" w:evenVBand="0" w:oddHBand="0" w:evenHBand="0" w:firstRowFirstColumn="0" w:firstRowLastColumn="0" w:lastRowFirstColumn="0" w:lastRowLastColumn="0"/>
                  <w:rPr>
                    <w:sz w:val="16"/>
                    <w:szCs w:val="16"/>
                  </w:rPr>
                </w:pPr>
                <w:r w:rsidRPr="00EE147E">
                  <w:rPr>
                    <w:sz w:val="16"/>
                    <w:szCs w:val="16"/>
                  </w:rPr>
                  <w:t>Tobacco-Related Disease Research Program, American Heart Association, National Institute of Environmental Health Sciences, National Institutes of Health, Training Grant in Molecular Toxicology, Irma and Normal Switzer Dean's Leadership in Health and Science Scholarship, Uni</w:t>
                </w:r>
                <w:r w:rsidR="00716680">
                  <w:rPr>
                    <w:sz w:val="16"/>
                    <w:szCs w:val="16"/>
                  </w:rPr>
                  <w:t>versity</w:t>
                </w:r>
                <w:r w:rsidRPr="00EE147E">
                  <w:rPr>
                    <w:sz w:val="16"/>
                    <w:szCs w:val="16"/>
                  </w:rPr>
                  <w:t xml:space="preserve"> of California LA Clinical and Translational Science Institute Grant.</w:t>
                </w:r>
              </w:p>
            </w:tc>
          </w:tr>
          <w:tr w:rsidR="004E260E" w:rsidRPr="00EE147E" w14:paraId="47814D1D" w14:textId="77777777" w:rsidTr="00EA17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0" w:type="dxa"/>
              </w:tcPr>
              <w:p w14:paraId="0E421E34" w14:textId="77777777" w:rsidR="004E260E" w:rsidRPr="00EE147E" w:rsidRDefault="004E260E" w:rsidP="00EA178A">
                <w:pPr>
                  <w:rPr>
                    <w:b w:val="0"/>
                    <w:sz w:val="16"/>
                    <w:szCs w:val="16"/>
                  </w:rPr>
                </w:pPr>
                <w:r w:rsidRPr="00EE147E">
                  <w:rPr>
                    <w:sz w:val="16"/>
                    <w:szCs w:val="16"/>
                  </w:rPr>
                  <w:t>Reidel et al. 2017</w:t>
                </w:r>
              </w:p>
            </w:tc>
            <w:tc>
              <w:tcPr>
                <w:tcW w:w="1433" w:type="dxa"/>
              </w:tcPr>
              <w:p w14:paraId="198D7920" w14:textId="3E78FEA9" w:rsidR="004E260E" w:rsidRPr="00EE147E" w:rsidRDefault="004E260E" w:rsidP="00EA178A">
                <w:pPr>
                  <w:cnfStyle w:val="000000100000" w:firstRow="0" w:lastRow="0" w:firstColumn="0" w:lastColumn="0" w:oddVBand="0" w:evenVBand="0" w:oddHBand="1" w:evenHBand="0" w:firstRowFirstColumn="0" w:firstRowLastColumn="0" w:lastRowFirstColumn="0" w:lastRowLastColumn="0"/>
                  <w:rPr>
                    <w:sz w:val="16"/>
                    <w:szCs w:val="16"/>
                  </w:rPr>
                </w:pPr>
                <w:r w:rsidRPr="00EE147E">
                  <w:rPr>
                    <w:sz w:val="16"/>
                    <w:szCs w:val="16"/>
                  </w:rPr>
                  <w:t>Cross-sectional</w:t>
                </w:r>
                <w:r w:rsidR="0008362F">
                  <w:rPr>
                    <w:sz w:val="16"/>
                    <w:szCs w:val="16"/>
                  </w:rPr>
                  <w:t>.</w:t>
                </w:r>
              </w:p>
            </w:tc>
            <w:tc>
              <w:tcPr>
                <w:tcW w:w="1456" w:type="dxa"/>
              </w:tcPr>
              <w:p w14:paraId="636C77FF" w14:textId="77777777" w:rsidR="004E260E" w:rsidRPr="00EE147E" w:rsidRDefault="004E260E" w:rsidP="00EA178A">
                <w:pPr>
                  <w:cnfStyle w:val="000000100000" w:firstRow="0" w:lastRow="0" w:firstColumn="0" w:lastColumn="0" w:oddVBand="0" w:evenVBand="0" w:oddHBand="1" w:evenHBand="0" w:firstRowFirstColumn="0" w:firstRowLastColumn="0" w:lastRowFirstColumn="0" w:lastRowLastColumn="0"/>
                  <w:rPr>
                    <w:sz w:val="16"/>
                    <w:szCs w:val="16"/>
                  </w:rPr>
                </w:pPr>
                <w:r w:rsidRPr="00EE147E">
                  <w:rPr>
                    <w:sz w:val="16"/>
                    <w:szCs w:val="16"/>
                  </w:rPr>
                  <w:t>Short-term. NR.</w:t>
                </w:r>
              </w:p>
            </w:tc>
            <w:tc>
              <w:tcPr>
                <w:tcW w:w="3207" w:type="dxa"/>
              </w:tcPr>
              <w:p w14:paraId="53445464" w14:textId="554AF37B" w:rsidR="004E260E" w:rsidRPr="0065638D" w:rsidRDefault="004E260E" w:rsidP="00EA178A">
                <w:pPr>
                  <w:cnfStyle w:val="000000100000" w:firstRow="0" w:lastRow="0" w:firstColumn="0" w:lastColumn="0" w:oddVBand="0" w:evenVBand="0" w:oddHBand="1" w:evenHBand="0" w:firstRowFirstColumn="0" w:firstRowLastColumn="0" w:lastRowFirstColumn="0" w:lastRowLastColumn="0"/>
                  <w:rPr>
                    <w:color w:val="auto"/>
                    <w:sz w:val="16"/>
                    <w:szCs w:val="16"/>
                  </w:rPr>
                </w:pPr>
                <w:r w:rsidRPr="0065638D">
                  <w:rPr>
                    <w:color w:val="auto"/>
                    <w:sz w:val="16"/>
                    <w:szCs w:val="16"/>
                  </w:rPr>
                  <w:t>Collected sputum samples from 14 current tobacco cigarette smokers, 15 current e</w:t>
                </w:r>
                <w:r w:rsidR="00887971">
                  <w:rPr>
                    <w:color w:val="auto"/>
                    <w:sz w:val="16"/>
                    <w:szCs w:val="16"/>
                  </w:rPr>
                  <w:noBreakHyphen/>
                </w:r>
                <w:r w:rsidRPr="0065638D">
                  <w:rPr>
                    <w:color w:val="auto"/>
                    <w:sz w:val="16"/>
                    <w:szCs w:val="16"/>
                  </w:rPr>
                  <w:t>cig</w:t>
                </w:r>
                <w:r w:rsidR="00887971">
                  <w:rPr>
                    <w:color w:val="auto"/>
                    <w:sz w:val="16"/>
                    <w:szCs w:val="16"/>
                  </w:rPr>
                  <w:t>arette</w:t>
                </w:r>
                <w:r w:rsidRPr="0065638D">
                  <w:rPr>
                    <w:color w:val="auto"/>
                    <w:sz w:val="16"/>
                    <w:szCs w:val="16"/>
                  </w:rPr>
                  <w:t xml:space="preserve"> users and 15 never smokers. Mean age and gender not recorded.</w:t>
                </w:r>
              </w:p>
            </w:tc>
            <w:tc>
              <w:tcPr>
                <w:tcW w:w="2715" w:type="dxa"/>
              </w:tcPr>
              <w:p w14:paraId="7F666999" w14:textId="77777777" w:rsidR="004E260E" w:rsidRPr="0065638D" w:rsidRDefault="004E260E" w:rsidP="00EA178A">
                <w:pPr>
                  <w:cnfStyle w:val="000000100000" w:firstRow="0" w:lastRow="0" w:firstColumn="0" w:lastColumn="0" w:oddVBand="0" w:evenVBand="0" w:oddHBand="1" w:evenHBand="0" w:firstRowFirstColumn="0" w:firstRowLastColumn="0" w:lastRowFirstColumn="0" w:lastRowLastColumn="0"/>
                  <w:rPr>
                    <w:color w:val="auto"/>
                    <w:sz w:val="16"/>
                    <w:szCs w:val="16"/>
                  </w:rPr>
                </w:pPr>
                <w:r w:rsidRPr="0065638D">
                  <w:rPr>
                    <w:color w:val="auto"/>
                    <w:sz w:val="16"/>
                    <w:szCs w:val="16"/>
                  </w:rPr>
                  <w:t>Compared e-cig users with tobacco smokers and never smokers. E-cig use, average number of puffs inhaled per day was 280 (had been predominantly exclusive users for 6 months, but 12/15 had previously smoked cigarettes. 5/15 occasionally smoked cigarettes). Conventional cigarette users, average number smoked per day was 11.</w:t>
                </w:r>
              </w:p>
            </w:tc>
            <w:tc>
              <w:tcPr>
                <w:tcW w:w="4196" w:type="dxa"/>
              </w:tcPr>
              <w:p w14:paraId="16EE1AA8" w14:textId="77777777" w:rsidR="004E260E" w:rsidRPr="00EE147E" w:rsidRDefault="004E260E" w:rsidP="00EA178A">
                <w:pPr>
                  <w:cnfStyle w:val="000000100000" w:firstRow="0" w:lastRow="0" w:firstColumn="0" w:lastColumn="0" w:oddVBand="0" w:evenVBand="0" w:oddHBand="1" w:evenHBand="0" w:firstRowFirstColumn="0" w:firstRowLastColumn="0" w:lastRowFirstColumn="0" w:lastRowLastColumn="0"/>
                  <w:rPr>
                    <w:sz w:val="16"/>
                    <w:szCs w:val="16"/>
                  </w:rPr>
                </w:pPr>
                <w:r w:rsidRPr="00EE147E">
                  <w:rPr>
                    <w:sz w:val="16"/>
                    <w:szCs w:val="16"/>
                  </w:rPr>
                  <w:t>National Institutes of Health and the Family Smoking Prevention and Tobacco Control Act.</w:t>
                </w:r>
              </w:p>
            </w:tc>
          </w:tr>
          <w:tr w:rsidR="004E260E" w:rsidRPr="00EE147E" w14:paraId="04E2B75F" w14:textId="77777777" w:rsidTr="00EA178A">
            <w:tc>
              <w:tcPr>
                <w:cnfStyle w:val="001000000000" w:firstRow="0" w:lastRow="0" w:firstColumn="1" w:lastColumn="0" w:oddVBand="0" w:evenVBand="0" w:oddHBand="0" w:evenHBand="0" w:firstRowFirstColumn="0" w:firstRowLastColumn="0" w:lastRowFirstColumn="0" w:lastRowLastColumn="0"/>
                <w:tcW w:w="1450" w:type="dxa"/>
              </w:tcPr>
              <w:p w14:paraId="46782036" w14:textId="77777777" w:rsidR="004E260E" w:rsidRPr="00EE147E" w:rsidRDefault="004E260E" w:rsidP="00EA178A">
                <w:pPr>
                  <w:rPr>
                    <w:sz w:val="16"/>
                    <w:szCs w:val="16"/>
                    <w:highlight w:val="green"/>
                  </w:rPr>
                </w:pPr>
                <w:r w:rsidRPr="00EE147E">
                  <w:rPr>
                    <w:sz w:val="16"/>
                    <w:szCs w:val="16"/>
                  </w:rPr>
                  <w:t>Rubinstein et al. 2018</w:t>
                </w:r>
              </w:p>
            </w:tc>
            <w:tc>
              <w:tcPr>
                <w:tcW w:w="1433" w:type="dxa"/>
              </w:tcPr>
              <w:p w14:paraId="097886D2" w14:textId="4D16BF37" w:rsidR="004E260E" w:rsidRPr="00EE147E" w:rsidRDefault="004E260E" w:rsidP="00EA178A">
                <w:pPr>
                  <w:cnfStyle w:val="000000000000" w:firstRow="0" w:lastRow="0" w:firstColumn="0" w:lastColumn="0" w:oddVBand="0" w:evenVBand="0" w:oddHBand="0" w:evenHBand="0" w:firstRowFirstColumn="0" w:firstRowLastColumn="0" w:lastRowFirstColumn="0" w:lastRowLastColumn="0"/>
                  <w:rPr>
                    <w:sz w:val="16"/>
                    <w:szCs w:val="16"/>
                  </w:rPr>
                </w:pPr>
                <w:r w:rsidRPr="00EE147E">
                  <w:rPr>
                    <w:sz w:val="16"/>
                    <w:szCs w:val="16"/>
                  </w:rPr>
                  <w:t>Cross-sectional</w:t>
                </w:r>
                <w:r w:rsidR="0008362F">
                  <w:rPr>
                    <w:sz w:val="16"/>
                    <w:szCs w:val="16"/>
                  </w:rPr>
                  <w:t>.</w:t>
                </w:r>
              </w:p>
            </w:tc>
            <w:tc>
              <w:tcPr>
                <w:tcW w:w="1456" w:type="dxa"/>
              </w:tcPr>
              <w:p w14:paraId="6FD8D98A" w14:textId="77777777" w:rsidR="004E260E" w:rsidRPr="00EE147E" w:rsidRDefault="004E260E" w:rsidP="00EA178A">
                <w:pPr>
                  <w:cnfStyle w:val="000000000000" w:firstRow="0" w:lastRow="0" w:firstColumn="0" w:lastColumn="0" w:oddVBand="0" w:evenVBand="0" w:oddHBand="0" w:evenHBand="0" w:firstRowFirstColumn="0" w:firstRowLastColumn="0" w:lastRowFirstColumn="0" w:lastRowLastColumn="0"/>
                  <w:rPr>
                    <w:sz w:val="16"/>
                    <w:szCs w:val="16"/>
                  </w:rPr>
                </w:pPr>
                <w:r w:rsidRPr="00EE147E">
                  <w:rPr>
                    <w:sz w:val="16"/>
                    <w:szCs w:val="16"/>
                  </w:rPr>
                  <w:t>Short-term. NR.</w:t>
                </w:r>
              </w:p>
            </w:tc>
            <w:tc>
              <w:tcPr>
                <w:tcW w:w="3207" w:type="dxa"/>
              </w:tcPr>
              <w:p w14:paraId="6D1E6643" w14:textId="27AC6DF6" w:rsidR="004E260E" w:rsidRPr="0065638D" w:rsidRDefault="004E260E" w:rsidP="00EA178A">
                <w:pPr>
                  <w:cnfStyle w:val="000000000000" w:firstRow="0" w:lastRow="0" w:firstColumn="0" w:lastColumn="0" w:oddVBand="0" w:evenVBand="0" w:oddHBand="0" w:evenHBand="0" w:firstRowFirstColumn="0" w:firstRowLastColumn="0" w:lastRowFirstColumn="0" w:lastRowLastColumn="0"/>
                  <w:rPr>
                    <w:color w:val="auto"/>
                    <w:sz w:val="16"/>
                    <w:szCs w:val="16"/>
                  </w:rPr>
                </w:pPr>
                <w:r w:rsidRPr="0065638D">
                  <w:rPr>
                    <w:color w:val="auto"/>
                    <w:sz w:val="16"/>
                    <w:szCs w:val="16"/>
                  </w:rPr>
                  <w:t>67 e-cig</w:t>
                </w:r>
                <w:r w:rsidR="0023709D" w:rsidRPr="0065638D">
                  <w:rPr>
                    <w:color w:val="auto"/>
                    <w:sz w:val="16"/>
                    <w:szCs w:val="16"/>
                  </w:rPr>
                  <w:t>arette</w:t>
                </w:r>
                <w:r w:rsidRPr="0065638D">
                  <w:rPr>
                    <w:color w:val="auto"/>
                    <w:sz w:val="16"/>
                    <w:szCs w:val="16"/>
                  </w:rPr>
                  <w:t xml:space="preserve"> only users and 16 dual users. There were 20 age matched controls who did not use e-cigarettes or cig</w:t>
                </w:r>
                <w:r w:rsidR="00887971">
                  <w:rPr>
                    <w:color w:val="auto"/>
                    <w:sz w:val="16"/>
                    <w:szCs w:val="16"/>
                  </w:rPr>
                  <w:t>arette</w:t>
                </w:r>
                <w:r w:rsidRPr="0065638D">
                  <w:rPr>
                    <w:color w:val="auto"/>
                    <w:sz w:val="16"/>
                    <w:szCs w:val="16"/>
                  </w:rPr>
                  <w:t>s. Male: 49 e</w:t>
                </w:r>
                <w:r w:rsidR="00887971">
                  <w:rPr>
                    <w:color w:val="auto"/>
                    <w:sz w:val="16"/>
                    <w:szCs w:val="16"/>
                  </w:rPr>
                  <w:noBreakHyphen/>
                </w:r>
                <w:r w:rsidRPr="0065638D">
                  <w:rPr>
                    <w:color w:val="auto"/>
                    <w:sz w:val="16"/>
                    <w:szCs w:val="16"/>
                  </w:rPr>
                  <w:t>cig</w:t>
                </w:r>
                <w:r w:rsidR="00887971">
                  <w:rPr>
                    <w:color w:val="auto"/>
                    <w:sz w:val="16"/>
                    <w:szCs w:val="16"/>
                  </w:rPr>
                  <w:t>arette</w:t>
                </w:r>
                <w:r w:rsidRPr="0065638D">
                  <w:rPr>
                    <w:color w:val="auto"/>
                    <w:sz w:val="16"/>
                    <w:szCs w:val="16"/>
                  </w:rPr>
                  <w:t xml:space="preserve"> only (73%), 12 dual users (80%), 7 controls (35%). Aged 13-18 years.</w:t>
                </w:r>
              </w:p>
            </w:tc>
            <w:tc>
              <w:tcPr>
                <w:tcW w:w="2715" w:type="dxa"/>
              </w:tcPr>
              <w:p w14:paraId="4245FE2B" w14:textId="627E0394" w:rsidR="004E260E" w:rsidRPr="0065638D" w:rsidRDefault="004E260E" w:rsidP="00EA178A">
                <w:pPr>
                  <w:cnfStyle w:val="000000000000" w:firstRow="0" w:lastRow="0" w:firstColumn="0" w:lastColumn="0" w:oddVBand="0" w:evenVBand="0" w:oddHBand="0" w:evenHBand="0" w:firstRowFirstColumn="0" w:firstRowLastColumn="0" w:lastRowFirstColumn="0" w:lastRowLastColumn="0"/>
                  <w:rPr>
                    <w:color w:val="auto"/>
                    <w:sz w:val="16"/>
                    <w:szCs w:val="16"/>
                  </w:rPr>
                </w:pPr>
                <w:r w:rsidRPr="0065638D">
                  <w:rPr>
                    <w:color w:val="auto"/>
                    <w:sz w:val="16"/>
                    <w:szCs w:val="16"/>
                  </w:rPr>
                  <w:t>Compared e-cig only users with dual users and age-matched controls. E</w:t>
                </w:r>
                <w:r w:rsidR="00887971">
                  <w:rPr>
                    <w:color w:val="auto"/>
                    <w:sz w:val="16"/>
                    <w:szCs w:val="16"/>
                  </w:rPr>
                  <w:noBreakHyphen/>
                </w:r>
                <w:r w:rsidRPr="0065638D">
                  <w:rPr>
                    <w:color w:val="auto"/>
                    <w:sz w:val="16"/>
                    <w:szCs w:val="16"/>
                  </w:rPr>
                  <w:t>cig</w:t>
                </w:r>
                <w:r w:rsidR="0023709D" w:rsidRPr="0065638D">
                  <w:rPr>
                    <w:color w:val="auto"/>
                    <w:sz w:val="16"/>
                    <w:szCs w:val="16"/>
                  </w:rPr>
                  <w:t>arette</w:t>
                </w:r>
                <w:r w:rsidRPr="0065638D">
                  <w:rPr>
                    <w:color w:val="auto"/>
                    <w:sz w:val="16"/>
                    <w:szCs w:val="16"/>
                  </w:rPr>
                  <w:t xml:space="preserve"> users only reported using their e-cigarettes a mean of 12.8 days/mon (SD 8.9) compared with 25.5 days (SD6.6) for dual users (&lt;0.001). E</w:t>
                </w:r>
                <w:r w:rsidR="0023709D" w:rsidRPr="0065638D">
                  <w:rPr>
                    <w:color w:val="auto"/>
                    <w:sz w:val="16"/>
                    <w:szCs w:val="16"/>
                  </w:rPr>
                  <w:noBreakHyphen/>
                </w:r>
                <w:r w:rsidRPr="0065638D">
                  <w:rPr>
                    <w:color w:val="auto"/>
                    <w:sz w:val="16"/>
                    <w:szCs w:val="16"/>
                  </w:rPr>
                  <w:t>cig</w:t>
                </w:r>
                <w:r w:rsidR="0023709D" w:rsidRPr="0065638D">
                  <w:rPr>
                    <w:color w:val="auto"/>
                    <w:sz w:val="16"/>
                    <w:szCs w:val="16"/>
                  </w:rPr>
                  <w:t>arette</w:t>
                </w:r>
                <w:r w:rsidRPr="0065638D">
                  <w:rPr>
                    <w:color w:val="auto"/>
                    <w:sz w:val="16"/>
                    <w:szCs w:val="16"/>
                  </w:rPr>
                  <w:t xml:space="preserve"> only users who used </w:t>
                </w:r>
                <w:r w:rsidRPr="0065638D">
                  <w:rPr>
                    <w:color w:val="auto"/>
                    <w:sz w:val="16"/>
                    <w:szCs w:val="16"/>
                  </w:rPr>
                  <w:lastRenderedPageBreak/>
                  <w:t>nicotine in their e-cigarettes reported using their e-cigarettes more frequently with an average use of 15.1 days/month (SD9.2) compared with 7.6 days/month (SD5.6) (p&lt;0.001).</w:t>
                </w:r>
              </w:p>
            </w:tc>
            <w:tc>
              <w:tcPr>
                <w:tcW w:w="4196" w:type="dxa"/>
              </w:tcPr>
              <w:p w14:paraId="12348BC5" w14:textId="77777777" w:rsidR="004E260E" w:rsidRPr="00EE147E" w:rsidRDefault="004E260E" w:rsidP="00EA178A">
                <w:pPr>
                  <w:cnfStyle w:val="000000000000" w:firstRow="0" w:lastRow="0" w:firstColumn="0" w:lastColumn="0" w:oddVBand="0" w:evenVBand="0" w:oddHBand="0" w:evenHBand="0" w:firstRowFirstColumn="0" w:firstRowLastColumn="0" w:lastRowFirstColumn="0" w:lastRowLastColumn="0"/>
                  <w:rPr>
                    <w:sz w:val="16"/>
                    <w:szCs w:val="16"/>
                  </w:rPr>
                </w:pPr>
                <w:r w:rsidRPr="00EE147E">
                  <w:rPr>
                    <w:sz w:val="16"/>
                    <w:szCs w:val="16"/>
                  </w:rPr>
                  <w:lastRenderedPageBreak/>
                  <w:t>National Institutes of Health.</w:t>
                </w:r>
              </w:p>
            </w:tc>
          </w:tr>
          <w:tr w:rsidR="004E260E" w:rsidRPr="00EE147E" w14:paraId="5C479700" w14:textId="77777777" w:rsidTr="00EA17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0" w:type="dxa"/>
                <w:shd w:val="clear" w:color="auto" w:fill="auto"/>
              </w:tcPr>
              <w:p w14:paraId="08A170D6" w14:textId="77777777" w:rsidR="004E260E" w:rsidRPr="00EE147E" w:rsidRDefault="004E260E" w:rsidP="00EA178A">
                <w:pPr>
                  <w:rPr>
                    <w:b w:val="0"/>
                    <w:sz w:val="16"/>
                    <w:szCs w:val="16"/>
                    <w:highlight w:val="green"/>
                  </w:rPr>
                </w:pPr>
                <w:r w:rsidRPr="00EE147E">
                  <w:rPr>
                    <w:sz w:val="16"/>
                    <w:szCs w:val="16"/>
                  </w:rPr>
                  <w:t>Schweitzer et al. 2017</w:t>
                </w:r>
              </w:p>
            </w:tc>
            <w:tc>
              <w:tcPr>
                <w:tcW w:w="1433" w:type="dxa"/>
              </w:tcPr>
              <w:p w14:paraId="3472737F" w14:textId="61AC82DD" w:rsidR="004E260E" w:rsidRPr="00EE147E" w:rsidRDefault="004E260E" w:rsidP="00EA178A">
                <w:pPr>
                  <w:cnfStyle w:val="000000100000" w:firstRow="0" w:lastRow="0" w:firstColumn="0" w:lastColumn="0" w:oddVBand="0" w:evenVBand="0" w:oddHBand="1" w:evenHBand="0" w:firstRowFirstColumn="0" w:firstRowLastColumn="0" w:lastRowFirstColumn="0" w:lastRowLastColumn="0"/>
                  <w:rPr>
                    <w:sz w:val="16"/>
                    <w:szCs w:val="16"/>
                  </w:rPr>
                </w:pPr>
                <w:r w:rsidRPr="00EE147E">
                  <w:rPr>
                    <w:sz w:val="16"/>
                    <w:szCs w:val="16"/>
                  </w:rPr>
                  <w:t>Cross-sectional</w:t>
                </w:r>
                <w:r w:rsidR="0008362F">
                  <w:rPr>
                    <w:sz w:val="16"/>
                    <w:szCs w:val="16"/>
                  </w:rPr>
                  <w:t>.</w:t>
                </w:r>
              </w:p>
            </w:tc>
            <w:tc>
              <w:tcPr>
                <w:tcW w:w="1456" w:type="dxa"/>
              </w:tcPr>
              <w:p w14:paraId="25C599FE" w14:textId="77777777" w:rsidR="004E260E" w:rsidRPr="00EE147E" w:rsidRDefault="004E260E" w:rsidP="00EA178A">
                <w:pPr>
                  <w:cnfStyle w:val="000000100000" w:firstRow="0" w:lastRow="0" w:firstColumn="0" w:lastColumn="0" w:oddVBand="0" w:evenVBand="0" w:oddHBand="1" w:evenHBand="0" w:firstRowFirstColumn="0" w:firstRowLastColumn="0" w:lastRowFirstColumn="0" w:lastRowLastColumn="0"/>
                  <w:rPr>
                    <w:sz w:val="16"/>
                    <w:szCs w:val="16"/>
                  </w:rPr>
                </w:pPr>
                <w:r w:rsidRPr="00EE147E">
                  <w:rPr>
                    <w:sz w:val="16"/>
                    <w:szCs w:val="16"/>
                  </w:rPr>
                  <w:t>Short-term. NR.</w:t>
                </w:r>
              </w:p>
            </w:tc>
            <w:tc>
              <w:tcPr>
                <w:tcW w:w="3207" w:type="dxa"/>
              </w:tcPr>
              <w:p w14:paraId="28B16A5C" w14:textId="77777777" w:rsidR="004E260E" w:rsidRPr="00EE147E" w:rsidRDefault="004E260E" w:rsidP="00EA178A">
                <w:pPr>
                  <w:cnfStyle w:val="000000100000" w:firstRow="0" w:lastRow="0" w:firstColumn="0" w:lastColumn="0" w:oddVBand="0" w:evenVBand="0" w:oddHBand="1" w:evenHBand="0" w:firstRowFirstColumn="0" w:firstRowLastColumn="0" w:lastRowFirstColumn="0" w:lastRowLastColumn="0"/>
                  <w:rPr>
                    <w:sz w:val="16"/>
                    <w:szCs w:val="16"/>
                  </w:rPr>
                </w:pPr>
                <w:r w:rsidRPr="00EE147E">
                  <w:rPr>
                    <w:sz w:val="16"/>
                    <w:szCs w:val="16"/>
                  </w:rPr>
                  <w:t>Data was analysed from a 2015 study of adolescents in Hawaii. This is the 2015 HYRBS, a survey conducted every 2 years by the University of Hawaii with students of public middle and high schools (9th-12th grade). 33 of 43 schools were randomly selected to participate, using a 3 stage sample stratified by racial/ethnic concentration and metropolitan statistical area status to produce a representative sample of students in grades 9-12. Response rate was 78%. 2%</w:t>
                </w:r>
                <w:r w:rsidR="0023709D">
                  <w:rPr>
                    <w:sz w:val="16"/>
                    <w:szCs w:val="16"/>
                  </w:rPr>
                  <w:t xml:space="preserve"> </w:t>
                </w:r>
                <w:r w:rsidRPr="00EE147E">
                  <w:rPr>
                    <w:sz w:val="16"/>
                    <w:szCs w:val="16"/>
                  </w:rPr>
                  <w:t>American Indian or Alaska Native, 3% Black/African American, 29% Filipino, 39% Native Hawaiian or Other Pacific Islander, 16% Japanese or Other Asian, 11% Caucasian. N=6089. Female 50%. Mean age 15.2 years.</w:t>
                </w:r>
              </w:p>
            </w:tc>
            <w:tc>
              <w:tcPr>
                <w:tcW w:w="2715" w:type="dxa"/>
              </w:tcPr>
              <w:p w14:paraId="394A1108" w14:textId="77777777" w:rsidR="004E260E" w:rsidRPr="00EE147E" w:rsidRDefault="004E260E" w:rsidP="00EA178A">
                <w:pPr>
                  <w:cnfStyle w:val="000000100000" w:firstRow="0" w:lastRow="0" w:firstColumn="0" w:lastColumn="0" w:oddVBand="0" w:evenVBand="0" w:oddHBand="1" w:evenHBand="0" w:firstRowFirstColumn="0" w:firstRowLastColumn="0" w:lastRowFirstColumn="0" w:lastRowLastColumn="0"/>
                  <w:rPr>
                    <w:sz w:val="16"/>
                    <w:szCs w:val="16"/>
                  </w:rPr>
                </w:pPr>
                <w:r w:rsidRPr="00EE147E">
                  <w:rPr>
                    <w:sz w:val="16"/>
                    <w:szCs w:val="16"/>
                  </w:rPr>
                  <w:t>Cigarette and e-cigarette smoking status was compared along with current and previous asthma.</w:t>
                </w:r>
              </w:p>
            </w:tc>
            <w:tc>
              <w:tcPr>
                <w:tcW w:w="4196" w:type="dxa"/>
              </w:tcPr>
              <w:p w14:paraId="697C2FED" w14:textId="77777777" w:rsidR="004E260E" w:rsidRPr="00EE147E" w:rsidRDefault="004E260E" w:rsidP="00EA178A">
                <w:pPr>
                  <w:cnfStyle w:val="000000100000" w:firstRow="0" w:lastRow="0" w:firstColumn="0" w:lastColumn="0" w:oddVBand="0" w:evenVBand="0" w:oddHBand="1" w:evenHBand="0" w:firstRowFirstColumn="0" w:firstRowLastColumn="0" w:lastRowFirstColumn="0" w:lastRowLastColumn="0"/>
                  <w:rPr>
                    <w:sz w:val="16"/>
                    <w:szCs w:val="16"/>
                  </w:rPr>
                </w:pPr>
                <w:r w:rsidRPr="00EE147E">
                  <w:rPr>
                    <w:sz w:val="16"/>
                    <w:szCs w:val="16"/>
                  </w:rPr>
                  <w:t>National Cancer Institute. Division of Intramural Research, National Institute on Minority Health and Health Disparities.</w:t>
                </w:r>
              </w:p>
            </w:tc>
          </w:tr>
          <w:tr w:rsidR="004E260E" w:rsidRPr="00EE147E" w14:paraId="52C765C5" w14:textId="77777777" w:rsidTr="00EA178A">
            <w:tc>
              <w:tcPr>
                <w:cnfStyle w:val="001000000000" w:firstRow="0" w:lastRow="0" w:firstColumn="1" w:lastColumn="0" w:oddVBand="0" w:evenVBand="0" w:oddHBand="0" w:evenHBand="0" w:firstRowFirstColumn="0" w:firstRowLastColumn="0" w:lastRowFirstColumn="0" w:lastRowLastColumn="0"/>
                <w:tcW w:w="1450" w:type="dxa"/>
              </w:tcPr>
              <w:p w14:paraId="4178B729" w14:textId="77777777" w:rsidR="004E260E" w:rsidRPr="00EE147E" w:rsidRDefault="004E260E" w:rsidP="00EA178A">
                <w:pPr>
                  <w:rPr>
                    <w:sz w:val="16"/>
                    <w:szCs w:val="16"/>
                    <w:highlight w:val="green"/>
                  </w:rPr>
                </w:pPr>
                <w:r w:rsidRPr="00EE147E">
                  <w:rPr>
                    <w:sz w:val="16"/>
                    <w:szCs w:val="16"/>
                  </w:rPr>
                  <w:t>Stewart et al 2018</w:t>
                </w:r>
              </w:p>
            </w:tc>
            <w:tc>
              <w:tcPr>
                <w:tcW w:w="1433" w:type="dxa"/>
              </w:tcPr>
              <w:p w14:paraId="4F1789C5" w14:textId="51DA2ECF" w:rsidR="004E260E" w:rsidRPr="00EE147E" w:rsidRDefault="004E260E" w:rsidP="00EA178A">
                <w:pPr>
                  <w:cnfStyle w:val="000000000000" w:firstRow="0" w:lastRow="0" w:firstColumn="0" w:lastColumn="0" w:oddVBand="0" w:evenVBand="0" w:oddHBand="0" w:evenHBand="0" w:firstRowFirstColumn="0" w:firstRowLastColumn="0" w:lastRowFirstColumn="0" w:lastRowLastColumn="0"/>
                  <w:rPr>
                    <w:sz w:val="16"/>
                    <w:szCs w:val="16"/>
                  </w:rPr>
                </w:pPr>
                <w:r w:rsidRPr="00EE147E">
                  <w:rPr>
                    <w:sz w:val="16"/>
                    <w:szCs w:val="16"/>
                  </w:rPr>
                  <w:t>Cross-sectional</w:t>
                </w:r>
                <w:r w:rsidR="0008362F">
                  <w:rPr>
                    <w:sz w:val="16"/>
                    <w:szCs w:val="16"/>
                  </w:rPr>
                  <w:t>.</w:t>
                </w:r>
              </w:p>
            </w:tc>
            <w:tc>
              <w:tcPr>
                <w:tcW w:w="1456" w:type="dxa"/>
              </w:tcPr>
              <w:p w14:paraId="550D174B" w14:textId="77777777" w:rsidR="004E260E" w:rsidRPr="00EE147E" w:rsidRDefault="004E260E" w:rsidP="00EA178A">
                <w:pPr>
                  <w:cnfStyle w:val="000000000000" w:firstRow="0" w:lastRow="0" w:firstColumn="0" w:lastColumn="0" w:oddVBand="0" w:evenVBand="0" w:oddHBand="0" w:evenHBand="0" w:firstRowFirstColumn="0" w:firstRowLastColumn="0" w:lastRowFirstColumn="0" w:lastRowLastColumn="0"/>
                  <w:rPr>
                    <w:sz w:val="16"/>
                    <w:szCs w:val="16"/>
                  </w:rPr>
                </w:pPr>
                <w:r w:rsidRPr="00EE147E">
                  <w:rPr>
                    <w:sz w:val="16"/>
                    <w:szCs w:val="16"/>
                  </w:rPr>
                  <w:t>Short-term. NR.</w:t>
                </w:r>
              </w:p>
            </w:tc>
            <w:tc>
              <w:tcPr>
                <w:tcW w:w="3207" w:type="dxa"/>
              </w:tcPr>
              <w:p w14:paraId="72437215" w14:textId="77777777" w:rsidR="004E260E" w:rsidRPr="00EE147E" w:rsidRDefault="004E260E" w:rsidP="00EA178A">
                <w:pPr>
                  <w:cnfStyle w:val="000000000000" w:firstRow="0" w:lastRow="0" w:firstColumn="0" w:lastColumn="0" w:oddVBand="0" w:evenVBand="0" w:oddHBand="0" w:evenHBand="0" w:firstRowFirstColumn="0" w:firstRowLastColumn="0" w:lastRowFirstColumn="0" w:lastRowLastColumn="0"/>
                  <w:rPr>
                    <w:sz w:val="16"/>
                    <w:szCs w:val="16"/>
                  </w:rPr>
                </w:pPr>
                <w:r w:rsidRPr="00EE147E">
                  <w:rPr>
                    <w:sz w:val="16"/>
                    <w:szCs w:val="16"/>
                  </w:rPr>
                  <w:t xml:space="preserve">10 daily e-cigarette users, 10 tobacco smokers and 10 controls. 2 female (6.7%); 1 e-cigarette user and 1 control. 1 e-cigarette user reported smoking 1 tobacco cigarette/week. All others reported no tobacco cigarette use. </w:t>
                </w:r>
              </w:p>
            </w:tc>
            <w:tc>
              <w:tcPr>
                <w:tcW w:w="2715" w:type="dxa"/>
              </w:tcPr>
              <w:p w14:paraId="207C87AB" w14:textId="77777777" w:rsidR="004E260E" w:rsidRPr="00EE147E" w:rsidRDefault="004E260E" w:rsidP="00EA178A">
                <w:pPr>
                  <w:cnfStyle w:val="000000000000" w:firstRow="0" w:lastRow="0" w:firstColumn="0" w:lastColumn="0" w:oddVBand="0" w:evenVBand="0" w:oddHBand="0" w:evenHBand="0" w:firstRowFirstColumn="0" w:firstRowLastColumn="0" w:lastRowFirstColumn="0" w:lastRowLastColumn="0"/>
                  <w:rPr>
                    <w:sz w:val="16"/>
                    <w:szCs w:val="16"/>
                  </w:rPr>
                </w:pPr>
                <w:r w:rsidRPr="00EE147E">
                  <w:rPr>
                    <w:sz w:val="16"/>
                    <w:szCs w:val="16"/>
                  </w:rPr>
                  <w:t>Bacterial profiles of fecal, buccal and saliva samples from e-cigarette users, tobacco smokers and controls were compared.</w:t>
                </w:r>
              </w:p>
            </w:tc>
            <w:tc>
              <w:tcPr>
                <w:tcW w:w="4196" w:type="dxa"/>
              </w:tcPr>
              <w:p w14:paraId="646D5E4C" w14:textId="77777777" w:rsidR="004E260E" w:rsidRPr="00EE147E" w:rsidRDefault="004E260E" w:rsidP="00EA178A">
                <w:pPr>
                  <w:cnfStyle w:val="000000000000" w:firstRow="0" w:lastRow="0" w:firstColumn="0" w:lastColumn="0" w:oddVBand="0" w:evenVBand="0" w:oddHBand="0" w:evenHBand="0" w:firstRowFirstColumn="0" w:firstRowLastColumn="0" w:lastRowFirstColumn="0" w:lastRowLastColumn="0"/>
                  <w:rPr>
                    <w:sz w:val="16"/>
                    <w:szCs w:val="16"/>
                  </w:rPr>
                </w:pPr>
                <w:r w:rsidRPr="00EE147E">
                  <w:rPr>
                    <w:sz w:val="16"/>
                    <w:szCs w:val="16"/>
                  </w:rPr>
                  <w:t>National Cancer Institute; Veteran Health Administration; McNair Medical Institute.</w:t>
                </w:r>
              </w:p>
            </w:tc>
          </w:tr>
          <w:tr w:rsidR="004E260E" w:rsidRPr="00EE147E" w14:paraId="352650F5" w14:textId="77777777" w:rsidTr="00EA17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0" w:type="dxa"/>
              </w:tcPr>
              <w:p w14:paraId="46982071" w14:textId="77777777" w:rsidR="004E260E" w:rsidRPr="00EE147E" w:rsidRDefault="004E260E" w:rsidP="00EA178A">
                <w:pPr>
                  <w:rPr>
                    <w:b w:val="0"/>
                    <w:sz w:val="16"/>
                    <w:szCs w:val="16"/>
                  </w:rPr>
                </w:pPr>
                <w:r w:rsidRPr="00EE147E">
                  <w:rPr>
                    <w:sz w:val="16"/>
                    <w:szCs w:val="16"/>
                  </w:rPr>
                  <w:t>Wei et al. 2018</w:t>
                </w:r>
              </w:p>
            </w:tc>
            <w:tc>
              <w:tcPr>
                <w:tcW w:w="1433" w:type="dxa"/>
              </w:tcPr>
              <w:p w14:paraId="55215BC7" w14:textId="1C507224" w:rsidR="004E260E" w:rsidRPr="00EE147E" w:rsidRDefault="004E260E" w:rsidP="00EA178A">
                <w:pPr>
                  <w:cnfStyle w:val="000000100000" w:firstRow="0" w:lastRow="0" w:firstColumn="0" w:lastColumn="0" w:oddVBand="0" w:evenVBand="0" w:oddHBand="1" w:evenHBand="0" w:firstRowFirstColumn="0" w:firstRowLastColumn="0" w:lastRowFirstColumn="0" w:lastRowLastColumn="0"/>
                  <w:rPr>
                    <w:sz w:val="16"/>
                    <w:szCs w:val="16"/>
                  </w:rPr>
                </w:pPr>
                <w:r w:rsidRPr="00EE147E">
                  <w:rPr>
                    <w:sz w:val="16"/>
                    <w:szCs w:val="16"/>
                  </w:rPr>
                  <w:t>Cross-sectional analytic</w:t>
                </w:r>
                <w:r w:rsidR="0008362F">
                  <w:rPr>
                    <w:sz w:val="16"/>
                    <w:szCs w:val="16"/>
                  </w:rPr>
                  <w:t>.</w:t>
                </w:r>
              </w:p>
            </w:tc>
            <w:tc>
              <w:tcPr>
                <w:tcW w:w="1456" w:type="dxa"/>
              </w:tcPr>
              <w:p w14:paraId="7BCABB21" w14:textId="77777777" w:rsidR="004E260E" w:rsidRPr="00EE147E" w:rsidRDefault="004E260E" w:rsidP="00EA178A">
                <w:pPr>
                  <w:cnfStyle w:val="000000100000" w:firstRow="0" w:lastRow="0" w:firstColumn="0" w:lastColumn="0" w:oddVBand="0" w:evenVBand="0" w:oddHBand="1" w:evenHBand="0" w:firstRowFirstColumn="0" w:firstRowLastColumn="0" w:lastRowFirstColumn="0" w:lastRowLastColumn="0"/>
                  <w:rPr>
                    <w:sz w:val="16"/>
                    <w:szCs w:val="16"/>
                  </w:rPr>
                </w:pPr>
                <w:r w:rsidRPr="00EE147E">
                  <w:rPr>
                    <w:sz w:val="16"/>
                    <w:szCs w:val="16"/>
                  </w:rPr>
                  <w:t>Short-term. NR.</w:t>
                </w:r>
              </w:p>
            </w:tc>
            <w:tc>
              <w:tcPr>
                <w:tcW w:w="3207" w:type="dxa"/>
              </w:tcPr>
              <w:p w14:paraId="2B79D906" w14:textId="6395F278" w:rsidR="004E260E" w:rsidRPr="00EE147E" w:rsidRDefault="004E260E" w:rsidP="00EA178A">
                <w:pPr>
                  <w:cnfStyle w:val="000000100000" w:firstRow="0" w:lastRow="0" w:firstColumn="0" w:lastColumn="0" w:oddVBand="0" w:evenVBand="0" w:oddHBand="1" w:evenHBand="0" w:firstRowFirstColumn="0" w:firstRowLastColumn="0" w:lastRowFirstColumn="0" w:lastRowLastColumn="0"/>
                  <w:rPr>
                    <w:sz w:val="16"/>
                    <w:szCs w:val="16"/>
                  </w:rPr>
                </w:pPr>
                <w:r w:rsidRPr="00EE147E">
                  <w:rPr>
                    <w:sz w:val="16"/>
                    <w:szCs w:val="16"/>
                  </w:rPr>
                  <w:t>Participants of the National Health and Nutrition Examination Surveys (NHANES) from 2013 to 2014. N=1572. Male non user 534/1201, Male cigarette user, 170/298, male cigar user 18/22, male e-cig</w:t>
                </w:r>
                <w:r w:rsidR="00887971">
                  <w:rPr>
                    <w:sz w:val="16"/>
                    <w:szCs w:val="16"/>
                  </w:rPr>
                  <w:t>arette</w:t>
                </w:r>
                <w:r w:rsidRPr="00EE147E">
                  <w:rPr>
                    <w:sz w:val="16"/>
                    <w:szCs w:val="16"/>
                  </w:rPr>
                  <w:t xml:space="preserve"> user 8/14, male user of smokeless tobacco products 15/15. Mean age NR.</w:t>
                </w:r>
              </w:p>
            </w:tc>
            <w:tc>
              <w:tcPr>
                <w:tcW w:w="2715" w:type="dxa"/>
              </w:tcPr>
              <w:p w14:paraId="7C8794B7" w14:textId="2A0CCF51" w:rsidR="004E260E" w:rsidRPr="00EE147E" w:rsidRDefault="004E260E" w:rsidP="00EA178A">
                <w:pPr>
                  <w:cnfStyle w:val="000000100000" w:firstRow="0" w:lastRow="0" w:firstColumn="0" w:lastColumn="0" w:oddVBand="0" w:evenVBand="0" w:oddHBand="1" w:evenHBand="0" w:firstRowFirstColumn="0" w:firstRowLastColumn="0" w:lastRowFirstColumn="0" w:lastRowLastColumn="0"/>
                  <w:rPr>
                    <w:sz w:val="16"/>
                    <w:szCs w:val="16"/>
                  </w:rPr>
                </w:pPr>
                <w:r w:rsidRPr="00EE147E">
                  <w:rPr>
                    <w:sz w:val="16"/>
                    <w:szCs w:val="16"/>
                  </w:rPr>
                  <w:t>Compared groups such as non</w:t>
                </w:r>
                <w:r w:rsidR="0023709D">
                  <w:rPr>
                    <w:sz w:val="16"/>
                    <w:szCs w:val="16"/>
                  </w:rPr>
                  <w:t>-</w:t>
                </w:r>
                <w:r w:rsidRPr="00EE147E">
                  <w:rPr>
                    <w:sz w:val="16"/>
                    <w:szCs w:val="16"/>
                  </w:rPr>
                  <w:t>users (if not using tobacco or nicotine products within 5 days prior to the NHANES examination), exclusive e-cigarette users, exclusive cigarette smokers, exclusive cigar smokers and exclusive users of smokeless tobacco products (if using such products within the five days prior to examination).</w:t>
                </w:r>
              </w:p>
            </w:tc>
            <w:tc>
              <w:tcPr>
                <w:tcW w:w="4196" w:type="dxa"/>
              </w:tcPr>
              <w:p w14:paraId="78613301" w14:textId="77777777" w:rsidR="004E260E" w:rsidRPr="00EE147E" w:rsidRDefault="004E260E" w:rsidP="00EA178A">
                <w:pPr>
                  <w:cnfStyle w:val="000000100000" w:firstRow="0" w:lastRow="0" w:firstColumn="0" w:lastColumn="0" w:oddVBand="0" w:evenVBand="0" w:oddHBand="1" w:evenHBand="0" w:firstRowFirstColumn="0" w:firstRowLastColumn="0" w:lastRowFirstColumn="0" w:lastRowLastColumn="0"/>
                  <w:rPr>
                    <w:sz w:val="16"/>
                    <w:szCs w:val="16"/>
                  </w:rPr>
                </w:pPr>
                <w:r w:rsidRPr="00EE147E">
                  <w:rPr>
                    <w:sz w:val="16"/>
                    <w:szCs w:val="16"/>
                  </w:rPr>
                  <w:t xml:space="preserve">NR. </w:t>
                </w:r>
              </w:p>
              <w:p w14:paraId="43EE9763" w14:textId="77777777" w:rsidR="004E260E" w:rsidRPr="00EE147E" w:rsidRDefault="004E260E" w:rsidP="00EA178A">
                <w:pPr>
                  <w:cnfStyle w:val="000000100000" w:firstRow="0" w:lastRow="0" w:firstColumn="0" w:lastColumn="0" w:oddVBand="0" w:evenVBand="0" w:oddHBand="1" w:evenHBand="0" w:firstRowFirstColumn="0" w:firstRowLastColumn="0" w:lastRowFirstColumn="0" w:lastRowLastColumn="0"/>
                  <w:rPr>
                    <w:sz w:val="16"/>
                    <w:szCs w:val="16"/>
                  </w:rPr>
                </w:pPr>
                <w:r w:rsidRPr="00EE147E">
                  <w:rPr>
                    <w:sz w:val="16"/>
                    <w:szCs w:val="16"/>
                  </w:rPr>
                  <w:t>The NHANES is a study conducted by the National Center for Health Statistics (NCHS) and the US Centers for Disease Control and Prevention (CDC).</w:t>
                </w:r>
              </w:p>
              <w:p w14:paraId="33328BB4" w14:textId="77777777" w:rsidR="004E260E" w:rsidRPr="00EE147E" w:rsidRDefault="004E260E" w:rsidP="00EA178A">
                <w:pPr>
                  <w:cnfStyle w:val="000000100000" w:firstRow="0" w:lastRow="0" w:firstColumn="0" w:lastColumn="0" w:oddVBand="0" w:evenVBand="0" w:oddHBand="1" w:evenHBand="0" w:firstRowFirstColumn="0" w:firstRowLastColumn="0" w:lastRowFirstColumn="0" w:lastRowLastColumn="0"/>
                  <w:rPr>
                    <w:sz w:val="16"/>
                    <w:szCs w:val="16"/>
                  </w:rPr>
                </w:pPr>
                <w:r w:rsidRPr="00EE147E">
                  <w:rPr>
                    <w:sz w:val="16"/>
                    <w:szCs w:val="16"/>
                  </w:rPr>
                  <w:t>One researcher reported receiving a research grant from Pfizer and being a member of an advisory board to Johnson &amp; Johnson.</w:t>
                </w:r>
              </w:p>
            </w:tc>
          </w:tr>
        </w:tbl>
        <w:p w14:paraId="19FC954E" w14:textId="77777777" w:rsidR="004E260E" w:rsidRPr="00EE147E" w:rsidRDefault="004E260E" w:rsidP="004E260E">
          <w:pPr>
            <w:pStyle w:val="BodyText"/>
          </w:pPr>
        </w:p>
        <w:p w14:paraId="09F8A40F" w14:textId="77777777" w:rsidR="004E260E" w:rsidRPr="00EE147E" w:rsidRDefault="004E260E" w:rsidP="004E260E">
          <w:pPr>
            <w:spacing w:after="0"/>
            <w:rPr>
              <w:sz w:val="24"/>
            </w:rPr>
          </w:pPr>
          <w:r w:rsidRPr="00EE147E">
            <w:br w:type="page"/>
          </w:r>
        </w:p>
        <w:p w14:paraId="22BA9B4F" w14:textId="77777777" w:rsidR="004E260E" w:rsidRPr="00EE147E" w:rsidRDefault="004E260E" w:rsidP="004E260E">
          <w:pPr>
            <w:pStyle w:val="Caption"/>
          </w:pPr>
          <w:bookmarkStart w:id="103" w:name="_Toc516727663"/>
          <w:bookmarkStart w:id="104" w:name="_Toc517707414"/>
          <w:r w:rsidRPr="00EE147E">
            <w:lastRenderedPageBreak/>
            <w:t xml:space="preserve">Table </w:t>
          </w:r>
          <w:r w:rsidR="0048064B">
            <w:rPr>
              <w:noProof/>
            </w:rPr>
            <w:fldChar w:fldCharType="begin"/>
          </w:r>
          <w:r w:rsidR="0048064B">
            <w:rPr>
              <w:noProof/>
            </w:rPr>
            <w:instrText xml:space="preserve"> SEQ Table \* ARABIC </w:instrText>
          </w:r>
          <w:r w:rsidR="0048064B">
            <w:rPr>
              <w:noProof/>
            </w:rPr>
            <w:fldChar w:fldCharType="separate"/>
          </w:r>
          <w:r w:rsidR="000C06DA">
            <w:rPr>
              <w:noProof/>
            </w:rPr>
            <w:t>5</w:t>
          </w:r>
          <w:r w:rsidR="0048064B">
            <w:rPr>
              <w:noProof/>
            </w:rPr>
            <w:fldChar w:fldCharType="end"/>
          </w:r>
          <w:r w:rsidRPr="00EE147E">
            <w:t>: Human health outcomes studies – case studies</w:t>
          </w:r>
          <w:bookmarkEnd w:id="103"/>
          <w:bookmarkEnd w:id="104"/>
        </w:p>
        <w:tbl>
          <w:tblPr>
            <w:tblStyle w:val="TableCSIRO"/>
            <w:tblW w:w="0" w:type="auto"/>
            <w:tblLook w:val="04A0" w:firstRow="1" w:lastRow="0" w:firstColumn="1" w:lastColumn="0" w:noHBand="0" w:noVBand="1"/>
          </w:tblPr>
          <w:tblGrid>
            <w:gridCol w:w="1461"/>
            <w:gridCol w:w="1437"/>
            <w:gridCol w:w="1457"/>
            <w:gridCol w:w="2058"/>
            <w:gridCol w:w="3003"/>
            <w:gridCol w:w="5041"/>
          </w:tblGrid>
          <w:tr w:rsidR="004E260E" w:rsidRPr="00EE147E" w14:paraId="75A8F44C" w14:textId="77777777" w:rsidTr="00EA17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1" w:type="dxa"/>
              </w:tcPr>
              <w:p w14:paraId="6BE4E097" w14:textId="77777777" w:rsidR="004E260E" w:rsidRPr="00EE147E" w:rsidRDefault="004E260E" w:rsidP="00EA178A">
                <w:pPr>
                  <w:rPr>
                    <w:color w:val="FFFFFF" w:themeColor="background1"/>
                    <w:sz w:val="16"/>
                    <w:szCs w:val="16"/>
                  </w:rPr>
                </w:pPr>
                <w:r w:rsidRPr="00EE147E">
                  <w:rPr>
                    <w:color w:val="FFFFFF" w:themeColor="background1"/>
                    <w:sz w:val="16"/>
                    <w:szCs w:val="16"/>
                  </w:rPr>
                  <w:t xml:space="preserve">Study </w:t>
                </w:r>
              </w:p>
            </w:tc>
            <w:tc>
              <w:tcPr>
                <w:tcW w:w="1437" w:type="dxa"/>
              </w:tcPr>
              <w:p w14:paraId="4688F837" w14:textId="77777777" w:rsidR="004E260E" w:rsidRPr="00EE147E" w:rsidRDefault="004E260E" w:rsidP="00EA178A">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EE147E">
                  <w:rPr>
                    <w:color w:val="FFFFFF" w:themeColor="background1"/>
                    <w:sz w:val="16"/>
                    <w:szCs w:val="16"/>
                  </w:rPr>
                  <w:t>Design</w:t>
                </w:r>
              </w:p>
            </w:tc>
            <w:tc>
              <w:tcPr>
                <w:tcW w:w="1457" w:type="dxa"/>
              </w:tcPr>
              <w:p w14:paraId="0FA73D76" w14:textId="77777777" w:rsidR="004E260E" w:rsidRPr="00EE147E" w:rsidRDefault="004E260E" w:rsidP="00EA178A">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EE147E">
                  <w:rPr>
                    <w:color w:val="FFFFFF" w:themeColor="background1"/>
                    <w:sz w:val="16"/>
                    <w:szCs w:val="16"/>
                  </w:rPr>
                  <w:t>Duration</w:t>
                </w:r>
              </w:p>
            </w:tc>
            <w:tc>
              <w:tcPr>
                <w:tcW w:w="2058" w:type="dxa"/>
              </w:tcPr>
              <w:p w14:paraId="1DED856D" w14:textId="77777777" w:rsidR="004E260E" w:rsidRPr="00EE147E" w:rsidRDefault="004E260E" w:rsidP="00EA178A">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EE147E">
                  <w:rPr>
                    <w:color w:val="FFFFFF" w:themeColor="background1"/>
                    <w:sz w:val="16"/>
                    <w:szCs w:val="16"/>
                  </w:rPr>
                  <w:t>Population</w:t>
                </w:r>
              </w:p>
            </w:tc>
            <w:tc>
              <w:tcPr>
                <w:tcW w:w="3003" w:type="dxa"/>
              </w:tcPr>
              <w:p w14:paraId="3C246ADC" w14:textId="77777777" w:rsidR="004E260E" w:rsidRPr="00EE147E" w:rsidRDefault="004E260E" w:rsidP="00EA178A">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EE147E">
                  <w:rPr>
                    <w:color w:val="FFFFFF" w:themeColor="background1"/>
                    <w:sz w:val="16"/>
                    <w:szCs w:val="16"/>
                  </w:rPr>
                  <w:t>Groups/comparisons</w:t>
                </w:r>
              </w:p>
            </w:tc>
            <w:tc>
              <w:tcPr>
                <w:tcW w:w="5041" w:type="dxa"/>
              </w:tcPr>
              <w:p w14:paraId="5C243F9B" w14:textId="77777777" w:rsidR="004E260E" w:rsidRPr="00EE147E" w:rsidRDefault="004E260E" w:rsidP="00EA178A">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EE147E">
                  <w:rPr>
                    <w:color w:val="FFFFFF" w:themeColor="background1"/>
                    <w:sz w:val="16"/>
                    <w:szCs w:val="16"/>
                  </w:rPr>
                  <w:t>Funding</w:t>
                </w:r>
              </w:p>
            </w:tc>
          </w:tr>
          <w:tr w:rsidR="004E260E" w:rsidRPr="00EE147E" w14:paraId="305E59D1" w14:textId="77777777" w:rsidTr="00EA17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1" w:type="dxa"/>
              </w:tcPr>
              <w:p w14:paraId="6DB10363" w14:textId="77777777" w:rsidR="004E260E" w:rsidRPr="00EE147E" w:rsidRDefault="004E260E" w:rsidP="00EA178A">
                <w:pPr>
                  <w:rPr>
                    <w:b w:val="0"/>
                    <w:sz w:val="16"/>
                    <w:szCs w:val="16"/>
                  </w:rPr>
                </w:pPr>
                <w:r w:rsidRPr="00EE147E">
                  <w:rPr>
                    <w:sz w:val="16"/>
                    <w:szCs w:val="16"/>
                  </w:rPr>
                  <w:t>Agochukwu et al. 2018</w:t>
                </w:r>
              </w:p>
            </w:tc>
            <w:tc>
              <w:tcPr>
                <w:tcW w:w="1437" w:type="dxa"/>
              </w:tcPr>
              <w:p w14:paraId="3ADBEFDD" w14:textId="4FFCCFFD" w:rsidR="004E260E" w:rsidRPr="00EE147E" w:rsidRDefault="0086075F" w:rsidP="00EA178A">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Case report.</w:t>
                </w:r>
              </w:p>
            </w:tc>
            <w:tc>
              <w:tcPr>
                <w:tcW w:w="1457" w:type="dxa"/>
              </w:tcPr>
              <w:p w14:paraId="228DD7B7" w14:textId="77777777" w:rsidR="004E260E" w:rsidRPr="00EE147E" w:rsidRDefault="004E260E" w:rsidP="00EA178A">
                <w:pPr>
                  <w:jc w:val="center"/>
                  <w:cnfStyle w:val="000000100000" w:firstRow="0" w:lastRow="0" w:firstColumn="0" w:lastColumn="0" w:oddVBand="0" w:evenVBand="0" w:oddHBand="1" w:evenHBand="0" w:firstRowFirstColumn="0" w:firstRowLastColumn="0" w:lastRowFirstColumn="0" w:lastRowLastColumn="0"/>
                  <w:rPr>
                    <w:sz w:val="16"/>
                    <w:szCs w:val="16"/>
                  </w:rPr>
                </w:pPr>
                <w:r w:rsidRPr="00EE147E">
                  <w:rPr>
                    <w:sz w:val="16"/>
                    <w:szCs w:val="16"/>
                  </w:rPr>
                  <w:t>Patient was able to be discharged after 5 days with a healing flap.</w:t>
                </w:r>
              </w:p>
            </w:tc>
            <w:tc>
              <w:tcPr>
                <w:tcW w:w="2058" w:type="dxa"/>
              </w:tcPr>
              <w:p w14:paraId="36994692" w14:textId="77777777" w:rsidR="004E260E" w:rsidRPr="00EE147E" w:rsidRDefault="004E260E" w:rsidP="00EA178A">
                <w:pPr>
                  <w:jc w:val="center"/>
                  <w:cnfStyle w:val="000000100000" w:firstRow="0" w:lastRow="0" w:firstColumn="0" w:lastColumn="0" w:oddVBand="0" w:evenVBand="0" w:oddHBand="1" w:evenHBand="0" w:firstRowFirstColumn="0" w:firstRowLastColumn="0" w:lastRowFirstColumn="0" w:lastRowLastColumn="0"/>
                  <w:rPr>
                    <w:sz w:val="16"/>
                    <w:szCs w:val="16"/>
                  </w:rPr>
                </w:pPr>
                <w:r w:rsidRPr="00EE147E">
                  <w:rPr>
                    <w:sz w:val="16"/>
                    <w:szCs w:val="16"/>
                  </w:rPr>
                  <w:t>1 male, 21 years old.</w:t>
                </w:r>
              </w:p>
            </w:tc>
            <w:tc>
              <w:tcPr>
                <w:tcW w:w="3003" w:type="dxa"/>
              </w:tcPr>
              <w:p w14:paraId="313526A2" w14:textId="30C3F301" w:rsidR="004E260E" w:rsidRPr="00EE147E" w:rsidRDefault="004E260E" w:rsidP="0086075F">
                <w:pPr>
                  <w:jc w:val="center"/>
                  <w:cnfStyle w:val="000000100000" w:firstRow="0" w:lastRow="0" w:firstColumn="0" w:lastColumn="0" w:oddVBand="0" w:evenVBand="0" w:oddHBand="1" w:evenHBand="0" w:firstRowFirstColumn="0" w:firstRowLastColumn="0" w:lastRowFirstColumn="0" w:lastRowLastColumn="0"/>
                  <w:rPr>
                    <w:sz w:val="16"/>
                    <w:szCs w:val="16"/>
                  </w:rPr>
                </w:pPr>
                <w:r w:rsidRPr="00EE147E">
                  <w:rPr>
                    <w:sz w:val="16"/>
                    <w:szCs w:val="16"/>
                  </w:rPr>
                  <w:t>NA</w:t>
                </w:r>
                <w:r w:rsidR="0086075F">
                  <w:rPr>
                    <w:sz w:val="16"/>
                    <w:szCs w:val="16"/>
                  </w:rPr>
                  <w:t xml:space="preserve"> (Not applicable)</w:t>
                </w:r>
              </w:p>
            </w:tc>
            <w:tc>
              <w:tcPr>
                <w:tcW w:w="5041" w:type="dxa"/>
              </w:tcPr>
              <w:p w14:paraId="5F17D54A" w14:textId="1C5C5B18" w:rsidR="004E260E" w:rsidRPr="00EE147E" w:rsidRDefault="004E260E" w:rsidP="00EA178A">
                <w:pPr>
                  <w:jc w:val="center"/>
                  <w:cnfStyle w:val="000000100000" w:firstRow="0" w:lastRow="0" w:firstColumn="0" w:lastColumn="0" w:oddVBand="0" w:evenVBand="0" w:oddHBand="1" w:evenHBand="0" w:firstRowFirstColumn="0" w:firstRowLastColumn="0" w:lastRowFirstColumn="0" w:lastRowLastColumn="0"/>
                  <w:rPr>
                    <w:sz w:val="16"/>
                    <w:szCs w:val="16"/>
                  </w:rPr>
                </w:pPr>
                <w:r w:rsidRPr="00EE147E">
                  <w:rPr>
                    <w:sz w:val="16"/>
                    <w:szCs w:val="16"/>
                  </w:rPr>
                  <w:t>N</w:t>
                </w:r>
                <w:r w:rsidR="0086075F">
                  <w:rPr>
                    <w:sz w:val="16"/>
                    <w:szCs w:val="16"/>
                  </w:rPr>
                  <w:t>R</w:t>
                </w:r>
              </w:p>
            </w:tc>
          </w:tr>
          <w:tr w:rsidR="004E260E" w:rsidRPr="00EE147E" w14:paraId="1501EC5B" w14:textId="77777777" w:rsidTr="00EA178A">
            <w:tc>
              <w:tcPr>
                <w:cnfStyle w:val="001000000000" w:firstRow="0" w:lastRow="0" w:firstColumn="1" w:lastColumn="0" w:oddVBand="0" w:evenVBand="0" w:oddHBand="0" w:evenHBand="0" w:firstRowFirstColumn="0" w:firstRowLastColumn="0" w:lastRowFirstColumn="0" w:lastRowLastColumn="0"/>
                <w:tcW w:w="1461" w:type="dxa"/>
              </w:tcPr>
              <w:p w14:paraId="2EA869EA" w14:textId="77777777" w:rsidR="004E260E" w:rsidRPr="00EE147E" w:rsidRDefault="004E260E" w:rsidP="00EA178A">
                <w:pPr>
                  <w:rPr>
                    <w:b w:val="0"/>
                    <w:sz w:val="16"/>
                    <w:szCs w:val="16"/>
                  </w:rPr>
                </w:pPr>
                <w:r w:rsidRPr="00EE147E">
                  <w:rPr>
                    <w:sz w:val="16"/>
                    <w:szCs w:val="16"/>
                  </w:rPr>
                  <w:t>Flower et al. 2017.</w:t>
                </w:r>
              </w:p>
            </w:tc>
            <w:tc>
              <w:tcPr>
                <w:tcW w:w="1437" w:type="dxa"/>
              </w:tcPr>
              <w:p w14:paraId="0DF3F853" w14:textId="3E83536F" w:rsidR="004E260E" w:rsidRPr="00EE147E" w:rsidRDefault="0086075F" w:rsidP="00EA178A">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Case report.</w:t>
                </w:r>
              </w:p>
            </w:tc>
            <w:tc>
              <w:tcPr>
                <w:tcW w:w="1457" w:type="dxa"/>
              </w:tcPr>
              <w:p w14:paraId="638A321C" w14:textId="77777777" w:rsidR="004E260E" w:rsidRPr="00EE147E" w:rsidRDefault="004E260E" w:rsidP="00EA178A">
                <w:pPr>
                  <w:jc w:val="center"/>
                  <w:cnfStyle w:val="000000000000" w:firstRow="0" w:lastRow="0" w:firstColumn="0" w:lastColumn="0" w:oddVBand="0" w:evenVBand="0" w:oddHBand="0" w:evenHBand="0" w:firstRowFirstColumn="0" w:firstRowLastColumn="0" w:lastRowFirstColumn="0" w:lastRowLastColumn="0"/>
                  <w:rPr>
                    <w:sz w:val="16"/>
                    <w:szCs w:val="16"/>
                  </w:rPr>
                </w:pPr>
                <w:r w:rsidRPr="00EE147E">
                  <w:rPr>
                    <w:sz w:val="16"/>
                    <w:szCs w:val="16"/>
                  </w:rPr>
                  <w:t>3 month follow-up.</w:t>
                </w:r>
              </w:p>
            </w:tc>
            <w:tc>
              <w:tcPr>
                <w:tcW w:w="2058" w:type="dxa"/>
              </w:tcPr>
              <w:p w14:paraId="47B15196" w14:textId="77777777" w:rsidR="004E260E" w:rsidRPr="00EE147E" w:rsidRDefault="004E260E" w:rsidP="00EA178A">
                <w:pPr>
                  <w:jc w:val="center"/>
                  <w:cnfStyle w:val="000000000000" w:firstRow="0" w:lastRow="0" w:firstColumn="0" w:lastColumn="0" w:oddVBand="0" w:evenVBand="0" w:oddHBand="0" w:evenHBand="0" w:firstRowFirstColumn="0" w:firstRowLastColumn="0" w:lastRowFirstColumn="0" w:lastRowLastColumn="0"/>
                  <w:rPr>
                    <w:sz w:val="16"/>
                    <w:szCs w:val="16"/>
                  </w:rPr>
                </w:pPr>
                <w:r w:rsidRPr="00EE147E">
                  <w:rPr>
                    <w:sz w:val="16"/>
                    <w:szCs w:val="16"/>
                  </w:rPr>
                  <w:t>1 male, 33 years old.</w:t>
                </w:r>
              </w:p>
            </w:tc>
            <w:tc>
              <w:tcPr>
                <w:tcW w:w="3003" w:type="dxa"/>
              </w:tcPr>
              <w:p w14:paraId="7893B32B" w14:textId="4F249946" w:rsidR="004E260E" w:rsidRPr="00EE147E" w:rsidRDefault="004E260E" w:rsidP="00EA178A">
                <w:pPr>
                  <w:jc w:val="center"/>
                  <w:cnfStyle w:val="000000000000" w:firstRow="0" w:lastRow="0" w:firstColumn="0" w:lastColumn="0" w:oddVBand="0" w:evenVBand="0" w:oddHBand="0" w:evenHBand="0" w:firstRowFirstColumn="0" w:firstRowLastColumn="0" w:lastRowFirstColumn="0" w:lastRowLastColumn="0"/>
                  <w:rPr>
                    <w:sz w:val="16"/>
                    <w:szCs w:val="16"/>
                  </w:rPr>
                </w:pPr>
                <w:r w:rsidRPr="00EE147E">
                  <w:rPr>
                    <w:sz w:val="16"/>
                    <w:szCs w:val="16"/>
                  </w:rPr>
                  <w:t>NA</w:t>
                </w:r>
              </w:p>
            </w:tc>
            <w:tc>
              <w:tcPr>
                <w:tcW w:w="5041" w:type="dxa"/>
              </w:tcPr>
              <w:p w14:paraId="554D63FE" w14:textId="38161149" w:rsidR="004E260E" w:rsidRPr="00EE147E" w:rsidRDefault="004E260E" w:rsidP="00EA178A">
                <w:pPr>
                  <w:jc w:val="center"/>
                  <w:cnfStyle w:val="000000000000" w:firstRow="0" w:lastRow="0" w:firstColumn="0" w:lastColumn="0" w:oddVBand="0" w:evenVBand="0" w:oddHBand="0" w:evenHBand="0" w:firstRowFirstColumn="0" w:firstRowLastColumn="0" w:lastRowFirstColumn="0" w:lastRowLastColumn="0"/>
                  <w:rPr>
                    <w:sz w:val="16"/>
                    <w:szCs w:val="16"/>
                  </w:rPr>
                </w:pPr>
                <w:r w:rsidRPr="00EE147E">
                  <w:rPr>
                    <w:sz w:val="16"/>
                    <w:szCs w:val="16"/>
                  </w:rPr>
                  <w:t>N</w:t>
                </w:r>
                <w:r w:rsidR="0086075F">
                  <w:rPr>
                    <w:sz w:val="16"/>
                    <w:szCs w:val="16"/>
                  </w:rPr>
                  <w:t>R</w:t>
                </w:r>
              </w:p>
            </w:tc>
          </w:tr>
          <w:tr w:rsidR="004E260E" w:rsidRPr="00EE147E" w14:paraId="563EEA53" w14:textId="77777777" w:rsidTr="00EA17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1" w:type="dxa"/>
              </w:tcPr>
              <w:p w14:paraId="05D513D0" w14:textId="77777777" w:rsidR="004E260E" w:rsidRPr="00EE147E" w:rsidRDefault="004E260E" w:rsidP="00EA178A">
                <w:pPr>
                  <w:rPr>
                    <w:b w:val="0"/>
                    <w:sz w:val="16"/>
                    <w:szCs w:val="16"/>
                  </w:rPr>
                </w:pPr>
                <w:r w:rsidRPr="00EE147E">
                  <w:rPr>
                    <w:sz w:val="16"/>
                    <w:szCs w:val="16"/>
                  </w:rPr>
                  <w:t>Fracol et al. 2017</w:t>
                </w:r>
              </w:p>
            </w:tc>
            <w:tc>
              <w:tcPr>
                <w:tcW w:w="1437" w:type="dxa"/>
              </w:tcPr>
              <w:p w14:paraId="5A65C13E" w14:textId="45EB5B3D" w:rsidR="004E260E" w:rsidRPr="00EE147E" w:rsidRDefault="0086075F" w:rsidP="00EA178A">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Case report.</w:t>
                </w:r>
              </w:p>
            </w:tc>
            <w:tc>
              <w:tcPr>
                <w:tcW w:w="1457" w:type="dxa"/>
              </w:tcPr>
              <w:p w14:paraId="0CB34796" w14:textId="77777777" w:rsidR="004E260E" w:rsidRPr="00EE147E" w:rsidRDefault="004E260E" w:rsidP="00EA178A">
                <w:pPr>
                  <w:jc w:val="center"/>
                  <w:cnfStyle w:val="000000100000" w:firstRow="0" w:lastRow="0" w:firstColumn="0" w:lastColumn="0" w:oddVBand="0" w:evenVBand="0" w:oddHBand="1" w:evenHBand="0" w:firstRowFirstColumn="0" w:firstRowLastColumn="0" w:lastRowFirstColumn="0" w:lastRowLastColumn="0"/>
                  <w:rPr>
                    <w:sz w:val="16"/>
                    <w:szCs w:val="16"/>
                  </w:rPr>
                </w:pPr>
                <w:r w:rsidRPr="00EE147E">
                  <w:rPr>
                    <w:sz w:val="16"/>
                    <w:szCs w:val="16"/>
                  </w:rPr>
                  <w:t>NR.</w:t>
                </w:r>
              </w:p>
            </w:tc>
            <w:tc>
              <w:tcPr>
                <w:tcW w:w="2058" w:type="dxa"/>
              </w:tcPr>
              <w:p w14:paraId="54CDF3B9" w14:textId="77777777" w:rsidR="004E260E" w:rsidRPr="00EE147E" w:rsidRDefault="004E260E" w:rsidP="00EA178A">
                <w:pPr>
                  <w:jc w:val="center"/>
                  <w:cnfStyle w:val="000000100000" w:firstRow="0" w:lastRow="0" w:firstColumn="0" w:lastColumn="0" w:oddVBand="0" w:evenVBand="0" w:oddHBand="1" w:evenHBand="0" w:firstRowFirstColumn="0" w:firstRowLastColumn="0" w:lastRowFirstColumn="0" w:lastRowLastColumn="0"/>
                  <w:rPr>
                    <w:sz w:val="16"/>
                    <w:szCs w:val="16"/>
                  </w:rPr>
                </w:pPr>
                <w:r w:rsidRPr="00EE147E">
                  <w:rPr>
                    <w:sz w:val="16"/>
                    <w:szCs w:val="16"/>
                  </w:rPr>
                  <w:t>1 female, 51 years old.</w:t>
                </w:r>
              </w:p>
            </w:tc>
            <w:tc>
              <w:tcPr>
                <w:tcW w:w="3003" w:type="dxa"/>
              </w:tcPr>
              <w:p w14:paraId="7C0BDCD1" w14:textId="7118031B" w:rsidR="004E260E" w:rsidRPr="00EE147E" w:rsidRDefault="004E260E" w:rsidP="00EA178A">
                <w:pPr>
                  <w:jc w:val="center"/>
                  <w:cnfStyle w:val="000000100000" w:firstRow="0" w:lastRow="0" w:firstColumn="0" w:lastColumn="0" w:oddVBand="0" w:evenVBand="0" w:oddHBand="1" w:evenHBand="0" w:firstRowFirstColumn="0" w:firstRowLastColumn="0" w:lastRowFirstColumn="0" w:lastRowLastColumn="0"/>
                  <w:rPr>
                    <w:sz w:val="16"/>
                    <w:szCs w:val="16"/>
                  </w:rPr>
                </w:pPr>
                <w:r w:rsidRPr="00EE147E">
                  <w:rPr>
                    <w:sz w:val="16"/>
                    <w:szCs w:val="16"/>
                  </w:rPr>
                  <w:t>NA</w:t>
                </w:r>
              </w:p>
            </w:tc>
            <w:tc>
              <w:tcPr>
                <w:tcW w:w="5041" w:type="dxa"/>
              </w:tcPr>
              <w:p w14:paraId="6E232B3E" w14:textId="3A012875" w:rsidR="004E260E" w:rsidRPr="00EE147E" w:rsidRDefault="004E260E" w:rsidP="00EA178A">
                <w:pPr>
                  <w:jc w:val="center"/>
                  <w:cnfStyle w:val="000000100000" w:firstRow="0" w:lastRow="0" w:firstColumn="0" w:lastColumn="0" w:oddVBand="0" w:evenVBand="0" w:oddHBand="1" w:evenHBand="0" w:firstRowFirstColumn="0" w:firstRowLastColumn="0" w:lastRowFirstColumn="0" w:lastRowLastColumn="0"/>
                  <w:rPr>
                    <w:sz w:val="16"/>
                    <w:szCs w:val="16"/>
                  </w:rPr>
                </w:pPr>
                <w:r w:rsidRPr="00EE147E">
                  <w:rPr>
                    <w:sz w:val="16"/>
                    <w:szCs w:val="16"/>
                  </w:rPr>
                  <w:t>N</w:t>
                </w:r>
                <w:r w:rsidR="0086075F">
                  <w:rPr>
                    <w:sz w:val="16"/>
                    <w:szCs w:val="16"/>
                  </w:rPr>
                  <w:t>R</w:t>
                </w:r>
              </w:p>
            </w:tc>
          </w:tr>
          <w:tr w:rsidR="004E260E" w:rsidRPr="00EE147E" w14:paraId="55183768" w14:textId="77777777" w:rsidTr="00EA178A">
            <w:tc>
              <w:tcPr>
                <w:cnfStyle w:val="001000000000" w:firstRow="0" w:lastRow="0" w:firstColumn="1" w:lastColumn="0" w:oddVBand="0" w:evenVBand="0" w:oddHBand="0" w:evenHBand="0" w:firstRowFirstColumn="0" w:firstRowLastColumn="0" w:lastRowFirstColumn="0" w:lastRowLastColumn="0"/>
                <w:tcW w:w="1461" w:type="dxa"/>
              </w:tcPr>
              <w:p w14:paraId="46B05548" w14:textId="77777777" w:rsidR="004E260E" w:rsidRPr="00EE147E" w:rsidRDefault="004E260E" w:rsidP="00EA178A">
                <w:pPr>
                  <w:rPr>
                    <w:b w:val="0"/>
                    <w:sz w:val="16"/>
                    <w:szCs w:val="16"/>
                  </w:rPr>
                </w:pPr>
                <w:r w:rsidRPr="00EE147E">
                  <w:rPr>
                    <w:sz w:val="16"/>
                    <w:szCs w:val="16"/>
                  </w:rPr>
                  <w:t>Itoh et al. 2017</w:t>
                </w:r>
              </w:p>
            </w:tc>
            <w:tc>
              <w:tcPr>
                <w:tcW w:w="1437" w:type="dxa"/>
              </w:tcPr>
              <w:p w14:paraId="75C490E8" w14:textId="420A1EC3" w:rsidR="004E260E" w:rsidRPr="00EE147E" w:rsidRDefault="0086075F" w:rsidP="00EA178A">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Case report.</w:t>
                </w:r>
              </w:p>
            </w:tc>
            <w:tc>
              <w:tcPr>
                <w:tcW w:w="1457" w:type="dxa"/>
              </w:tcPr>
              <w:p w14:paraId="10F807C0" w14:textId="77777777" w:rsidR="004E260E" w:rsidRPr="00EE147E" w:rsidRDefault="004E260E" w:rsidP="00EA178A">
                <w:pPr>
                  <w:jc w:val="center"/>
                  <w:cnfStyle w:val="000000000000" w:firstRow="0" w:lastRow="0" w:firstColumn="0" w:lastColumn="0" w:oddVBand="0" w:evenVBand="0" w:oddHBand="0" w:evenHBand="0" w:firstRowFirstColumn="0" w:firstRowLastColumn="0" w:lastRowFirstColumn="0" w:lastRowLastColumn="0"/>
                  <w:rPr>
                    <w:sz w:val="16"/>
                    <w:szCs w:val="16"/>
                  </w:rPr>
                </w:pPr>
                <w:r w:rsidRPr="00EE147E">
                  <w:rPr>
                    <w:sz w:val="16"/>
                    <w:szCs w:val="16"/>
                  </w:rPr>
                  <w:t>4 week follow-up.</w:t>
                </w:r>
              </w:p>
            </w:tc>
            <w:tc>
              <w:tcPr>
                <w:tcW w:w="2058" w:type="dxa"/>
              </w:tcPr>
              <w:p w14:paraId="164E00C8" w14:textId="77777777" w:rsidR="004E260E" w:rsidRPr="00EE147E" w:rsidRDefault="004E260E" w:rsidP="00EA178A">
                <w:pPr>
                  <w:jc w:val="center"/>
                  <w:cnfStyle w:val="000000000000" w:firstRow="0" w:lastRow="0" w:firstColumn="0" w:lastColumn="0" w:oddVBand="0" w:evenVBand="0" w:oddHBand="0" w:evenHBand="0" w:firstRowFirstColumn="0" w:firstRowLastColumn="0" w:lastRowFirstColumn="0" w:lastRowLastColumn="0"/>
                  <w:rPr>
                    <w:sz w:val="16"/>
                    <w:szCs w:val="16"/>
                  </w:rPr>
                </w:pPr>
                <w:r w:rsidRPr="00EE147E">
                  <w:rPr>
                    <w:sz w:val="16"/>
                    <w:szCs w:val="16"/>
                  </w:rPr>
                  <w:t>1 male, 46 years old.</w:t>
                </w:r>
              </w:p>
            </w:tc>
            <w:tc>
              <w:tcPr>
                <w:tcW w:w="3003" w:type="dxa"/>
              </w:tcPr>
              <w:p w14:paraId="4980BCB1" w14:textId="194AE799" w:rsidR="004E260E" w:rsidRPr="00EE147E" w:rsidRDefault="004E260E" w:rsidP="00EA178A">
                <w:pPr>
                  <w:jc w:val="center"/>
                  <w:cnfStyle w:val="000000000000" w:firstRow="0" w:lastRow="0" w:firstColumn="0" w:lastColumn="0" w:oddVBand="0" w:evenVBand="0" w:oddHBand="0" w:evenHBand="0" w:firstRowFirstColumn="0" w:firstRowLastColumn="0" w:lastRowFirstColumn="0" w:lastRowLastColumn="0"/>
                  <w:rPr>
                    <w:sz w:val="16"/>
                    <w:szCs w:val="16"/>
                  </w:rPr>
                </w:pPr>
                <w:r w:rsidRPr="00EE147E">
                  <w:rPr>
                    <w:sz w:val="16"/>
                    <w:szCs w:val="16"/>
                  </w:rPr>
                  <w:t>NA</w:t>
                </w:r>
              </w:p>
            </w:tc>
            <w:tc>
              <w:tcPr>
                <w:tcW w:w="5041" w:type="dxa"/>
              </w:tcPr>
              <w:p w14:paraId="6AD3A971" w14:textId="4465F46B" w:rsidR="004E260E" w:rsidRPr="00EE147E" w:rsidRDefault="004E260E" w:rsidP="00EA178A">
                <w:pPr>
                  <w:jc w:val="center"/>
                  <w:cnfStyle w:val="000000000000" w:firstRow="0" w:lastRow="0" w:firstColumn="0" w:lastColumn="0" w:oddVBand="0" w:evenVBand="0" w:oddHBand="0" w:evenHBand="0" w:firstRowFirstColumn="0" w:firstRowLastColumn="0" w:lastRowFirstColumn="0" w:lastRowLastColumn="0"/>
                  <w:rPr>
                    <w:sz w:val="16"/>
                    <w:szCs w:val="16"/>
                  </w:rPr>
                </w:pPr>
                <w:r w:rsidRPr="00EE147E">
                  <w:rPr>
                    <w:sz w:val="16"/>
                    <w:szCs w:val="16"/>
                  </w:rPr>
                  <w:t>N</w:t>
                </w:r>
                <w:r w:rsidR="0086075F">
                  <w:rPr>
                    <w:sz w:val="16"/>
                    <w:szCs w:val="16"/>
                  </w:rPr>
                  <w:t>R</w:t>
                </w:r>
              </w:p>
            </w:tc>
          </w:tr>
          <w:tr w:rsidR="004E260E" w:rsidRPr="00EE147E" w14:paraId="740596CD" w14:textId="77777777" w:rsidTr="00EA17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1" w:type="dxa"/>
              </w:tcPr>
              <w:p w14:paraId="1D12653A" w14:textId="77777777" w:rsidR="004E260E" w:rsidRPr="00EE147E" w:rsidRDefault="004E260E" w:rsidP="00EA178A">
                <w:pPr>
                  <w:rPr>
                    <w:b w:val="0"/>
                    <w:sz w:val="16"/>
                    <w:szCs w:val="16"/>
                  </w:rPr>
                </w:pPr>
                <w:r w:rsidRPr="00EE147E">
                  <w:rPr>
                    <w:sz w:val="16"/>
                    <w:szCs w:val="16"/>
                  </w:rPr>
                  <w:t>Khan et al. 2018</w:t>
                </w:r>
              </w:p>
            </w:tc>
            <w:tc>
              <w:tcPr>
                <w:tcW w:w="1437" w:type="dxa"/>
              </w:tcPr>
              <w:p w14:paraId="65C230BE" w14:textId="0F945F6D" w:rsidR="004E260E" w:rsidRPr="00EE147E" w:rsidRDefault="0086075F" w:rsidP="00EA178A">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Case report.</w:t>
                </w:r>
              </w:p>
            </w:tc>
            <w:tc>
              <w:tcPr>
                <w:tcW w:w="1457" w:type="dxa"/>
              </w:tcPr>
              <w:p w14:paraId="65D4DE95" w14:textId="77777777" w:rsidR="004E260E" w:rsidRPr="00EE147E" w:rsidRDefault="004E260E" w:rsidP="00EA178A">
                <w:pPr>
                  <w:jc w:val="center"/>
                  <w:cnfStyle w:val="000000100000" w:firstRow="0" w:lastRow="0" w:firstColumn="0" w:lastColumn="0" w:oddVBand="0" w:evenVBand="0" w:oddHBand="1" w:evenHBand="0" w:firstRowFirstColumn="0" w:firstRowLastColumn="0" w:lastRowFirstColumn="0" w:lastRowLastColumn="0"/>
                  <w:rPr>
                    <w:sz w:val="16"/>
                    <w:szCs w:val="16"/>
                  </w:rPr>
                </w:pPr>
                <w:r w:rsidRPr="00EE147E">
                  <w:rPr>
                    <w:sz w:val="16"/>
                    <w:szCs w:val="16"/>
                  </w:rPr>
                  <w:t>NR.</w:t>
                </w:r>
              </w:p>
            </w:tc>
            <w:tc>
              <w:tcPr>
                <w:tcW w:w="2058" w:type="dxa"/>
              </w:tcPr>
              <w:p w14:paraId="326BFA1C" w14:textId="77777777" w:rsidR="004E260E" w:rsidRPr="00EE147E" w:rsidRDefault="004E260E" w:rsidP="00EA178A">
                <w:pPr>
                  <w:jc w:val="center"/>
                  <w:cnfStyle w:val="000000100000" w:firstRow="0" w:lastRow="0" w:firstColumn="0" w:lastColumn="0" w:oddVBand="0" w:evenVBand="0" w:oddHBand="1" w:evenHBand="0" w:firstRowFirstColumn="0" w:firstRowLastColumn="0" w:lastRowFirstColumn="0" w:lastRowLastColumn="0"/>
                  <w:rPr>
                    <w:sz w:val="16"/>
                    <w:szCs w:val="16"/>
                  </w:rPr>
                </w:pPr>
                <w:r w:rsidRPr="00EE147E">
                  <w:rPr>
                    <w:sz w:val="16"/>
                    <w:szCs w:val="16"/>
                  </w:rPr>
                  <w:t>1 female, 40 years old.</w:t>
                </w:r>
              </w:p>
            </w:tc>
            <w:tc>
              <w:tcPr>
                <w:tcW w:w="3003" w:type="dxa"/>
              </w:tcPr>
              <w:p w14:paraId="7366C0F0" w14:textId="4A1D8E05" w:rsidR="004E260E" w:rsidRPr="00EE147E" w:rsidRDefault="004E260E" w:rsidP="00EA178A">
                <w:pPr>
                  <w:jc w:val="center"/>
                  <w:cnfStyle w:val="000000100000" w:firstRow="0" w:lastRow="0" w:firstColumn="0" w:lastColumn="0" w:oddVBand="0" w:evenVBand="0" w:oddHBand="1" w:evenHBand="0" w:firstRowFirstColumn="0" w:firstRowLastColumn="0" w:lastRowFirstColumn="0" w:lastRowLastColumn="0"/>
                  <w:rPr>
                    <w:sz w:val="16"/>
                    <w:szCs w:val="16"/>
                  </w:rPr>
                </w:pPr>
                <w:r w:rsidRPr="00EE147E">
                  <w:rPr>
                    <w:sz w:val="16"/>
                    <w:szCs w:val="16"/>
                  </w:rPr>
                  <w:t>NA</w:t>
                </w:r>
              </w:p>
            </w:tc>
            <w:tc>
              <w:tcPr>
                <w:tcW w:w="5041" w:type="dxa"/>
              </w:tcPr>
              <w:p w14:paraId="48049CF1" w14:textId="6BC54FF2" w:rsidR="004E260E" w:rsidRPr="00EE147E" w:rsidRDefault="004E260E" w:rsidP="00EA178A">
                <w:pPr>
                  <w:jc w:val="center"/>
                  <w:cnfStyle w:val="000000100000" w:firstRow="0" w:lastRow="0" w:firstColumn="0" w:lastColumn="0" w:oddVBand="0" w:evenVBand="0" w:oddHBand="1" w:evenHBand="0" w:firstRowFirstColumn="0" w:firstRowLastColumn="0" w:lastRowFirstColumn="0" w:lastRowLastColumn="0"/>
                  <w:rPr>
                    <w:sz w:val="16"/>
                    <w:szCs w:val="16"/>
                  </w:rPr>
                </w:pPr>
                <w:r w:rsidRPr="00EE147E">
                  <w:rPr>
                    <w:sz w:val="16"/>
                    <w:szCs w:val="16"/>
                  </w:rPr>
                  <w:t>N</w:t>
                </w:r>
                <w:r w:rsidR="0086075F">
                  <w:rPr>
                    <w:sz w:val="16"/>
                    <w:szCs w:val="16"/>
                  </w:rPr>
                  <w:t>R</w:t>
                </w:r>
              </w:p>
            </w:tc>
          </w:tr>
          <w:tr w:rsidR="004E260E" w:rsidRPr="00EE147E" w14:paraId="20557B58" w14:textId="77777777" w:rsidTr="00EA178A">
            <w:tc>
              <w:tcPr>
                <w:cnfStyle w:val="001000000000" w:firstRow="0" w:lastRow="0" w:firstColumn="1" w:lastColumn="0" w:oddVBand="0" w:evenVBand="0" w:oddHBand="0" w:evenHBand="0" w:firstRowFirstColumn="0" w:firstRowLastColumn="0" w:lastRowFirstColumn="0" w:lastRowLastColumn="0"/>
                <w:tcW w:w="1461" w:type="dxa"/>
              </w:tcPr>
              <w:p w14:paraId="15771ABB" w14:textId="77777777" w:rsidR="004E260E" w:rsidRPr="00EE147E" w:rsidRDefault="004E260E" w:rsidP="00EA178A">
                <w:pPr>
                  <w:rPr>
                    <w:b w:val="0"/>
                    <w:sz w:val="16"/>
                    <w:szCs w:val="16"/>
                  </w:rPr>
                </w:pPr>
                <w:r w:rsidRPr="00EE147E">
                  <w:rPr>
                    <w:sz w:val="16"/>
                    <w:szCs w:val="16"/>
                  </w:rPr>
                  <w:t>Miler et al. 2017</w:t>
                </w:r>
              </w:p>
            </w:tc>
            <w:tc>
              <w:tcPr>
                <w:tcW w:w="1437" w:type="dxa"/>
              </w:tcPr>
              <w:p w14:paraId="15492CE9" w14:textId="7E2AABEB" w:rsidR="004E260E" w:rsidRPr="00EE147E" w:rsidRDefault="0086075F" w:rsidP="00EA178A">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Case report.</w:t>
                </w:r>
              </w:p>
            </w:tc>
            <w:tc>
              <w:tcPr>
                <w:tcW w:w="1457" w:type="dxa"/>
              </w:tcPr>
              <w:p w14:paraId="334CAA3B" w14:textId="77777777" w:rsidR="004E260E" w:rsidRPr="00EE147E" w:rsidRDefault="004E260E" w:rsidP="00EA178A">
                <w:pPr>
                  <w:jc w:val="center"/>
                  <w:cnfStyle w:val="000000000000" w:firstRow="0" w:lastRow="0" w:firstColumn="0" w:lastColumn="0" w:oddVBand="0" w:evenVBand="0" w:oddHBand="0" w:evenHBand="0" w:firstRowFirstColumn="0" w:firstRowLastColumn="0" w:lastRowFirstColumn="0" w:lastRowLastColumn="0"/>
                  <w:rPr>
                    <w:sz w:val="16"/>
                    <w:szCs w:val="16"/>
                  </w:rPr>
                </w:pPr>
                <w:r w:rsidRPr="00EE147E">
                  <w:rPr>
                    <w:sz w:val="16"/>
                    <w:szCs w:val="16"/>
                  </w:rPr>
                  <w:t>8 month follow-up.</w:t>
                </w:r>
              </w:p>
            </w:tc>
            <w:tc>
              <w:tcPr>
                <w:tcW w:w="2058" w:type="dxa"/>
              </w:tcPr>
              <w:p w14:paraId="1F2B6D21" w14:textId="77777777" w:rsidR="004E260E" w:rsidRPr="00EE147E" w:rsidRDefault="004E260E" w:rsidP="00EA178A">
                <w:pPr>
                  <w:jc w:val="center"/>
                  <w:cnfStyle w:val="000000000000" w:firstRow="0" w:lastRow="0" w:firstColumn="0" w:lastColumn="0" w:oddVBand="0" w:evenVBand="0" w:oddHBand="0" w:evenHBand="0" w:firstRowFirstColumn="0" w:firstRowLastColumn="0" w:lastRowFirstColumn="0" w:lastRowLastColumn="0"/>
                  <w:rPr>
                    <w:sz w:val="16"/>
                    <w:szCs w:val="16"/>
                  </w:rPr>
                </w:pPr>
                <w:r w:rsidRPr="00EE147E">
                  <w:rPr>
                    <w:sz w:val="16"/>
                    <w:szCs w:val="16"/>
                  </w:rPr>
                  <w:t>1 female, 26 years old.</w:t>
                </w:r>
              </w:p>
            </w:tc>
            <w:tc>
              <w:tcPr>
                <w:tcW w:w="3003" w:type="dxa"/>
              </w:tcPr>
              <w:p w14:paraId="600660B4" w14:textId="46126436" w:rsidR="004E260E" w:rsidRPr="00EE147E" w:rsidRDefault="004E260E" w:rsidP="00EA178A">
                <w:pPr>
                  <w:jc w:val="center"/>
                  <w:cnfStyle w:val="000000000000" w:firstRow="0" w:lastRow="0" w:firstColumn="0" w:lastColumn="0" w:oddVBand="0" w:evenVBand="0" w:oddHBand="0" w:evenHBand="0" w:firstRowFirstColumn="0" w:firstRowLastColumn="0" w:lastRowFirstColumn="0" w:lastRowLastColumn="0"/>
                  <w:rPr>
                    <w:sz w:val="16"/>
                    <w:szCs w:val="16"/>
                  </w:rPr>
                </w:pPr>
                <w:r w:rsidRPr="00EE147E">
                  <w:rPr>
                    <w:sz w:val="16"/>
                    <w:szCs w:val="16"/>
                  </w:rPr>
                  <w:t>NA</w:t>
                </w:r>
              </w:p>
            </w:tc>
            <w:tc>
              <w:tcPr>
                <w:tcW w:w="5041" w:type="dxa"/>
              </w:tcPr>
              <w:p w14:paraId="6FB8D1CC" w14:textId="40E43543" w:rsidR="004E260E" w:rsidRPr="00EE147E" w:rsidRDefault="004E260E" w:rsidP="00EA178A">
                <w:pPr>
                  <w:jc w:val="center"/>
                  <w:cnfStyle w:val="000000000000" w:firstRow="0" w:lastRow="0" w:firstColumn="0" w:lastColumn="0" w:oddVBand="0" w:evenVBand="0" w:oddHBand="0" w:evenHBand="0" w:firstRowFirstColumn="0" w:firstRowLastColumn="0" w:lastRowFirstColumn="0" w:lastRowLastColumn="0"/>
                  <w:rPr>
                    <w:sz w:val="16"/>
                    <w:szCs w:val="16"/>
                  </w:rPr>
                </w:pPr>
                <w:r w:rsidRPr="00EE147E">
                  <w:rPr>
                    <w:sz w:val="16"/>
                    <w:szCs w:val="16"/>
                  </w:rPr>
                  <w:t>N</w:t>
                </w:r>
                <w:r w:rsidR="0086075F">
                  <w:rPr>
                    <w:sz w:val="16"/>
                    <w:szCs w:val="16"/>
                  </w:rPr>
                  <w:t>R</w:t>
                </w:r>
              </w:p>
            </w:tc>
          </w:tr>
          <w:tr w:rsidR="004E260E" w:rsidRPr="00EE147E" w14:paraId="64F4DC0A" w14:textId="77777777" w:rsidTr="00EA17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1" w:type="dxa"/>
              </w:tcPr>
              <w:p w14:paraId="0A6998BE" w14:textId="77777777" w:rsidR="004E260E" w:rsidRPr="00EE147E" w:rsidRDefault="004E260E" w:rsidP="00EA178A">
                <w:pPr>
                  <w:rPr>
                    <w:b w:val="0"/>
                    <w:sz w:val="16"/>
                    <w:szCs w:val="16"/>
                  </w:rPr>
                </w:pPr>
                <w:r w:rsidRPr="00EE147E">
                  <w:rPr>
                    <w:sz w:val="16"/>
                    <w:szCs w:val="16"/>
                  </w:rPr>
                  <w:t>Shim et al. 2018</w:t>
                </w:r>
              </w:p>
            </w:tc>
            <w:tc>
              <w:tcPr>
                <w:tcW w:w="1437" w:type="dxa"/>
              </w:tcPr>
              <w:p w14:paraId="1015663A" w14:textId="5E28776F" w:rsidR="004E260E" w:rsidRPr="00EE147E" w:rsidRDefault="0086075F" w:rsidP="00EA178A">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Case reports.</w:t>
                </w:r>
              </w:p>
            </w:tc>
            <w:tc>
              <w:tcPr>
                <w:tcW w:w="1457" w:type="dxa"/>
              </w:tcPr>
              <w:p w14:paraId="1FFF7133" w14:textId="77777777" w:rsidR="004E260E" w:rsidRPr="00EE147E" w:rsidRDefault="004E260E" w:rsidP="00EA178A">
                <w:pPr>
                  <w:jc w:val="center"/>
                  <w:cnfStyle w:val="000000100000" w:firstRow="0" w:lastRow="0" w:firstColumn="0" w:lastColumn="0" w:oddVBand="0" w:evenVBand="0" w:oddHBand="1" w:evenHBand="0" w:firstRowFirstColumn="0" w:firstRowLastColumn="0" w:lastRowFirstColumn="0" w:lastRowLastColumn="0"/>
                  <w:rPr>
                    <w:sz w:val="16"/>
                    <w:szCs w:val="16"/>
                  </w:rPr>
                </w:pPr>
                <w:r w:rsidRPr="00EE147E">
                  <w:rPr>
                    <w:sz w:val="16"/>
                    <w:szCs w:val="16"/>
                  </w:rPr>
                  <w:t>3 month follow-up.</w:t>
                </w:r>
              </w:p>
            </w:tc>
            <w:tc>
              <w:tcPr>
                <w:tcW w:w="2058" w:type="dxa"/>
              </w:tcPr>
              <w:p w14:paraId="25A678DC" w14:textId="77777777" w:rsidR="004E260E" w:rsidRPr="00EE147E" w:rsidRDefault="004E260E" w:rsidP="00EA178A">
                <w:pPr>
                  <w:jc w:val="center"/>
                  <w:cnfStyle w:val="000000100000" w:firstRow="0" w:lastRow="0" w:firstColumn="0" w:lastColumn="0" w:oddVBand="0" w:evenVBand="0" w:oddHBand="1" w:evenHBand="0" w:firstRowFirstColumn="0" w:firstRowLastColumn="0" w:lastRowFirstColumn="0" w:lastRowLastColumn="0"/>
                  <w:rPr>
                    <w:sz w:val="16"/>
                    <w:szCs w:val="16"/>
                  </w:rPr>
                </w:pPr>
                <w:r w:rsidRPr="00EE147E">
                  <w:rPr>
                    <w:sz w:val="16"/>
                    <w:szCs w:val="16"/>
                  </w:rPr>
                  <w:t>1 female, 28 years old.</w:t>
                </w:r>
              </w:p>
              <w:p w14:paraId="7E7766C3" w14:textId="77777777" w:rsidR="004E260E" w:rsidRPr="00EE147E" w:rsidRDefault="004E260E" w:rsidP="00EA178A">
                <w:pPr>
                  <w:jc w:val="center"/>
                  <w:cnfStyle w:val="000000100000" w:firstRow="0" w:lastRow="0" w:firstColumn="0" w:lastColumn="0" w:oddVBand="0" w:evenVBand="0" w:oddHBand="1" w:evenHBand="0" w:firstRowFirstColumn="0" w:firstRowLastColumn="0" w:lastRowFirstColumn="0" w:lastRowLastColumn="0"/>
                  <w:rPr>
                    <w:sz w:val="16"/>
                    <w:szCs w:val="16"/>
                  </w:rPr>
                </w:pPr>
                <w:r w:rsidRPr="00EE147E">
                  <w:rPr>
                    <w:sz w:val="16"/>
                    <w:szCs w:val="16"/>
                  </w:rPr>
                  <w:t>1 male, 50 years old.</w:t>
                </w:r>
              </w:p>
            </w:tc>
            <w:tc>
              <w:tcPr>
                <w:tcW w:w="3003" w:type="dxa"/>
              </w:tcPr>
              <w:p w14:paraId="45AE34AF" w14:textId="517ACB9E" w:rsidR="004E260E" w:rsidRPr="00EE147E" w:rsidRDefault="004E260E" w:rsidP="00EA178A">
                <w:pPr>
                  <w:jc w:val="center"/>
                  <w:cnfStyle w:val="000000100000" w:firstRow="0" w:lastRow="0" w:firstColumn="0" w:lastColumn="0" w:oddVBand="0" w:evenVBand="0" w:oddHBand="1" w:evenHBand="0" w:firstRowFirstColumn="0" w:firstRowLastColumn="0" w:lastRowFirstColumn="0" w:lastRowLastColumn="0"/>
                  <w:rPr>
                    <w:sz w:val="16"/>
                    <w:szCs w:val="16"/>
                  </w:rPr>
                </w:pPr>
                <w:r w:rsidRPr="00EE147E">
                  <w:rPr>
                    <w:sz w:val="16"/>
                    <w:szCs w:val="16"/>
                  </w:rPr>
                  <w:t>NA</w:t>
                </w:r>
              </w:p>
            </w:tc>
            <w:tc>
              <w:tcPr>
                <w:tcW w:w="5041" w:type="dxa"/>
              </w:tcPr>
              <w:p w14:paraId="47280281" w14:textId="7BD54B00" w:rsidR="004E260E" w:rsidRPr="00EE147E" w:rsidRDefault="004E260E" w:rsidP="00EA178A">
                <w:pPr>
                  <w:jc w:val="center"/>
                  <w:cnfStyle w:val="000000100000" w:firstRow="0" w:lastRow="0" w:firstColumn="0" w:lastColumn="0" w:oddVBand="0" w:evenVBand="0" w:oddHBand="1" w:evenHBand="0" w:firstRowFirstColumn="0" w:firstRowLastColumn="0" w:lastRowFirstColumn="0" w:lastRowLastColumn="0"/>
                  <w:rPr>
                    <w:sz w:val="16"/>
                    <w:szCs w:val="16"/>
                  </w:rPr>
                </w:pPr>
                <w:r w:rsidRPr="00EE147E">
                  <w:rPr>
                    <w:sz w:val="16"/>
                    <w:szCs w:val="16"/>
                  </w:rPr>
                  <w:t>N</w:t>
                </w:r>
                <w:r w:rsidR="0086075F">
                  <w:rPr>
                    <w:sz w:val="16"/>
                    <w:szCs w:val="16"/>
                  </w:rPr>
                  <w:t>R</w:t>
                </w:r>
              </w:p>
            </w:tc>
          </w:tr>
          <w:tr w:rsidR="004E260E" w:rsidRPr="00EE147E" w14:paraId="567DA82A" w14:textId="77777777" w:rsidTr="00EA178A">
            <w:tc>
              <w:tcPr>
                <w:cnfStyle w:val="001000000000" w:firstRow="0" w:lastRow="0" w:firstColumn="1" w:lastColumn="0" w:oddVBand="0" w:evenVBand="0" w:oddHBand="0" w:evenHBand="0" w:firstRowFirstColumn="0" w:firstRowLastColumn="0" w:lastRowFirstColumn="0" w:lastRowLastColumn="0"/>
                <w:tcW w:w="1461" w:type="dxa"/>
              </w:tcPr>
              <w:p w14:paraId="20AA48EC" w14:textId="77777777" w:rsidR="004E260E" w:rsidRPr="00EE147E" w:rsidRDefault="004E260E" w:rsidP="00EA178A">
                <w:pPr>
                  <w:rPr>
                    <w:b w:val="0"/>
                    <w:sz w:val="16"/>
                    <w:szCs w:val="16"/>
                  </w:rPr>
                </w:pPr>
                <w:r w:rsidRPr="00EE147E">
                  <w:rPr>
                    <w:sz w:val="16"/>
                    <w:szCs w:val="16"/>
                  </w:rPr>
                  <w:t>Sturek et al. 2017</w:t>
                </w:r>
              </w:p>
            </w:tc>
            <w:tc>
              <w:tcPr>
                <w:tcW w:w="1437" w:type="dxa"/>
              </w:tcPr>
              <w:p w14:paraId="3FBC3EAE" w14:textId="24A36C00" w:rsidR="004E260E" w:rsidRPr="00EE147E" w:rsidRDefault="0086075F" w:rsidP="00EA178A">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Case report.</w:t>
                </w:r>
              </w:p>
            </w:tc>
            <w:tc>
              <w:tcPr>
                <w:tcW w:w="1457" w:type="dxa"/>
              </w:tcPr>
              <w:p w14:paraId="33BD74D9" w14:textId="77777777" w:rsidR="004E260E" w:rsidRPr="00EE147E" w:rsidRDefault="004E260E" w:rsidP="00EA178A">
                <w:pPr>
                  <w:jc w:val="center"/>
                  <w:cnfStyle w:val="000000000000" w:firstRow="0" w:lastRow="0" w:firstColumn="0" w:lastColumn="0" w:oddVBand="0" w:evenVBand="0" w:oddHBand="0" w:evenHBand="0" w:firstRowFirstColumn="0" w:firstRowLastColumn="0" w:lastRowFirstColumn="0" w:lastRowLastColumn="0"/>
                  <w:rPr>
                    <w:sz w:val="16"/>
                    <w:szCs w:val="16"/>
                  </w:rPr>
                </w:pPr>
                <w:r w:rsidRPr="00EE147E">
                  <w:rPr>
                    <w:sz w:val="16"/>
                    <w:szCs w:val="16"/>
                  </w:rPr>
                  <w:t>1 month follow-up.</w:t>
                </w:r>
              </w:p>
            </w:tc>
            <w:tc>
              <w:tcPr>
                <w:tcW w:w="2058" w:type="dxa"/>
              </w:tcPr>
              <w:p w14:paraId="0638884B" w14:textId="77777777" w:rsidR="004E260E" w:rsidRPr="00EE147E" w:rsidRDefault="004E260E" w:rsidP="00EA178A">
                <w:pPr>
                  <w:jc w:val="center"/>
                  <w:cnfStyle w:val="000000000000" w:firstRow="0" w:lastRow="0" w:firstColumn="0" w:lastColumn="0" w:oddVBand="0" w:evenVBand="0" w:oddHBand="0" w:evenHBand="0" w:firstRowFirstColumn="0" w:firstRowLastColumn="0" w:lastRowFirstColumn="0" w:lastRowLastColumn="0"/>
                  <w:rPr>
                    <w:sz w:val="16"/>
                    <w:szCs w:val="16"/>
                  </w:rPr>
                </w:pPr>
                <w:r w:rsidRPr="00EE147E">
                  <w:rPr>
                    <w:sz w:val="16"/>
                    <w:szCs w:val="16"/>
                  </w:rPr>
                  <w:t>1 female, 56 years old.</w:t>
                </w:r>
              </w:p>
            </w:tc>
            <w:tc>
              <w:tcPr>
                <w:tcW w:w="3003" w:type="dxa"/>
              </w:tcPr>
              <w:p w14:paraId="41D16875" w14:textId="2C72FFD0" w:rsidR="004E260E" w:rsidRPr="00EE147E" w:rsidRDefault="004E260E" w:rsidP="00EA178A">
                <w:pPr>
                  <w:jc w:val="center"/>
                  <w:cnfStyle w:val="000000000000" w:firstRow="0" w:lastRow="0" w:firstColumn="0" w:lastColumn="0" w:oddVBand="0" w:evenVBand="0" w:oddHBand="0" w:evenHBand="0" w:firstRowFirstColumn="0" w:firstRowLastColumn="0" w:lastRowFirstColumn="0" w:lastRowLastColumn="0"/>
                  <w:rPr>
                    <w:sz w:val="16"/>
                    <w:szCs w:val="16"/>
                  </w:rPr>
                </w:pPr>
                <w:r w:rsidRPr="00EE147E">
                  <w:rPr>
                    <w:sz w:val="16"/>
                    <w:szCs w:val="16"/>
                  </w:rPr>
                  <w:t>NA</w:t>
                </w:r>
              </w:p>
            </w:tc>
            <w:tc>
              <w:tcPr>
                <w:tcW w:w="5041" w:type="dxa"/>
              </w:tcPr>
              <w:p w14:paraId="19A127B9" w14:textId="0E950DFB" w:rsidR="004E260E" w:rsidRPr="00EE147E" w:rsidRDefault="004E260E" w:rsidP="00EA178A">
                <w:pPr>
                  <w:jc w:val="center"/>
                  <w:cnfStyle w:val="000000000000" w:firstRow="0" w:lastRow="0" w:firstColumn="0" w:lastColumn="0" w:oddVBand="0" w:evenVBand="0" w:oddHBand="0" w:evenHBand="0" w:firstRowFirstColumn="0" w:firstRowLastColumn="0" w:lastRowFirstColumn="0" w:lastRowLastColumn="0"/>
                  <w:rPr>
                    <w:sz w:val="16"/>
                    <w:szCs w:val="16"/>
                  </w:rPr>
                </w:pPr>
                <w:r w:rsidRPr="00EE147E">
                  <w:rPr>
                    <w:sz w:val="16"/>
                    <w:szCs w:val="16"/>
                  </w:rPr>
                  <w:t>N</w:t>
                </w:r>
                <w:r w:rsidR="0086075F">
                  <w:rPr>
                    <w:sz w:val="16"/>
                    <w:szCs w:val="16"/>
                  </w:rPr>
                  <w:t>R</w:t>
                </w:r>
                <w:r w:rsidRPr="00EE147E">
                  <w:rPr>
                    <w:sz w:val="16"/>
                    <w:szCs w:val="16"/>
                  </w:rPr>
                  <w:t>. Abstract only.</w:t>
                </w:r>
              </w:p>
            </w:tc>
          </w:tr>
        </w:tbl>
        <w:p w14:paraId="2DA949CC" w14:textId="77777777" w:rsidR="004E260E" w:rsidRPr="00EE147E" w:rsidRDefault="004E260E" w:rsidP="004E260E">
          <w:pPr>
            <w:pStyle w:val="BodyText"/>
          </w:pPr>
        </w:p>
        <w:p w14:paraId="5280D839" w14:textId="77777777" w:rsidR="004E260E" w:rsidRPr="00EE147E" w:rsidRDefault="004E260E" w:rsidP="004E260E">
          <w:pPr>
            <w:spacing w:after="0"/>
            <w:rPr>
              <w:sz w:val="24"/>
            </w:rPr>
          </w:pPr>
          <w:r w:rsidRPr="00EE147E">
            <w:br w:type="page"/>
          </w:r>
        </w:p>
        <w:p w14:paraId="33F3D6A1" w14:textId="77777777" w:rsidR="004E260E" w:rsidRPr="00EE147E" w:rsidRDefault="004E260E" w:rsidP="004E260E">
          <w:pPr>
            <w:pStyle w:val="Caption"/>
          </w:pPr>
          <w:bookmarkStart w:id="105" w:name="_Toc516727664"/>
          <w:bookmarkStart w:id="106" w:name="_Toc517707415"/>
          <w:r w:rsidRPr="00EE147E">
            <w:lastRenderedPageBreak/>
            <w:t xml:space="preserve">Table </w:t>
          </w:r>
          <w:r w:rsidR="0048064B">
            <w:rPr>
              <w:noProof/>
            </w:rPr>
            <w:fldChar w:fldCharType="begin"/>
          </w:r>
          <w:r w:rsidR="0048064B">
            <w:rPr>
              <w:noProof/>
            </w:rPr>
            <w:instrText xml:space="preserve"> SEQ Table \* ARABIC </w:instrText>
          </w:r>
          <w:r w:rsidR="0048064B">
            <w:rPr>
              <w:noProof/>
            </w:rPr>
            <w:fldChar w:fldCharType="separate"/>
          </w:r>
          <w:r w:rsidR="000C06DA">
            <w:rPr>
              <w:noProof/>
            </w:rPr>
            <w:t>6</w:t>
          </w:r>
          <w:r w:rsidR="0048064B">
            <w:rPr>
              <w:noProof/>
            </w:rPr>
            <w:fldChar w:fldCharType="end"/>
          </w:r>
          <w:r w:rsidRPr="00EE147E">
            <w:t>: Human health outcomes studies – modelling studies</w:t>
          </w:r>
          <w:bookmarkEnd w:id="105"/>
          <w:bookmarkEnd w:id="106"/>
        </w:p>
        <w:tbl>
          <w:tblPr>
            <w:tblStyle w:val="TableCSIRO"/>
            <w:tblW w:w="0" w:type="auto"/>
            <w:tblLook w:val="04A0" w:firstRow="1" w:lastRow="0" w:firstColumn="1" w:lastColumn="0" w:noHBand="0" w:noVBand="1"/>
          </w:tblPr>
          <w:tblGrid>
            <w:gridCol w:w="1429"/>
            <w:gridCol w:w="1450"/>
            <w:gridCol w:w="1446"/>
            <w:gridCol w:w="1169"/>
            <w:gridCol w:w="3883"/>
            <w:gridCol w:w="5080"/>
          </w:tblGrid>
          <w:tr w:rsidR="004E260E" w:rsidRPr="00EE147E" w14:paraId="69766C2A" w14:textId="77777777" w:rsidTr="00EA17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9" w:type="dxa"/>
              </w:tcPr>
              <w:p w14:paraId="2C7DA2C0" w14:textId="77777777" w:rsidR="004E260E" w:rsidRPr="00EE147E" w:rsidRDefault="004E260E" w:rsidP="00EA178A">
                <w:pPr>
                  <w:rPr>
                    <w:color w:val="FFFFFF" w:themeColor="background1"/>
                    <w:sz w:val="16"/>
                    <w:szCs w:val="16"/>
                  </w:rPr>
                </w:pPr>
                <w:r w:rsidRPr="00EE147E">
                  <w:rPr>
                    <w:color w:val="FFFFFF" w:themeColor="background1"/>
                    <w:sz w:val="16"/>
                    <w:szCs w:val="16"/>
                  </w:rPr>
                  <w:t xml:space="preserve">Study </w:t>
                </w:r>
              </w:p>
            </w:tc>
            <w:tc>
              <w:tcPr>
                <w:tcW w:w="1450" w:type="dxa"/>
              </w:tcPr>
              <w:p w14:paraId="6AD9656E" w14:textId="77777777" w:rsidR="004E260E" w:rsidRPr="00EE147E" w:rsidRDefault="004E260E" w:rsidP="00EA178A">
                <w:pP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EE147E">
                  <w:rPr>
                    <w:color w:val="FFFFFF" w:themeColor="background1"/>
                    <w:sz w:val="16"/>
                    <w:szCs w:val="16"/>
                  </w:rPr>
                  <w:t>Design</w:t>
                </w:r>
              </w:p>
            </w:tc>
            <w:tc>
              <w:tcPr>
                <w:tcW w:w="1446" w:type="dxa"/>
              </w:tcPr>
              <w:p w14:paraId="31152A51" w14:textId="77777777" w:rsidR="004E260E" w:rsidRPr="00EE147E" w:rsidRDefault="004E260E" w:rsidP="00EA178A">
                <w:pP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EE147E">
                  <w:rPr>
                    <w:color w:val="FFFFFF" w:themeColor="background1"/>
                    <w:sz w:val="16"/>
                    <w:szCs w:val="16"/>
                  </w:rPr>
                  <w:t>Duration</w:t>
                </w:r>
              </w:p>
            </w:tc>
            <w:tc>
              <w:tcPr>
                <w:tcW w:w="1169" w:type="dxa"/>
              </w:tcPr>
              <w:p w14:paraId="14053AEC" w14:textId="77777777" w:rsidR="004E260E" w:rsidRPr="00EE147E" w:rsidRDefault="004E260E" w:rsidP="00EA178A">
                <w:pP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EE147E">
                  <w:rPr>
                    <w:color w:val="FFFFFF" w:themeColor="background1"/>
                    <w:sz w:val="16"/>
                    <w:szCs w:val="16"/>
                  </w:rPr>
                  <w:t>Population</w:t>
                </w:r>
              </w:p>
            </w:tc>
            <w:tc>
              <w:tcPr>
                <w:tcW w:w="3883" w:type="dxa"/>
              </w:tcPr>
              <w:p w14:paraId="27B22CE1" w14:textId="77777777" w:rsidR="004E260E" w:rsidRPr="00EE147E" w:rsidRDefault="004E260E" w:rsidP="00EA178A">
                <w:pP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EE147E">
                  <w:rPr>
                    <w:color w:val="FFFFFF" w:themeColor="background1"/>
                    <w:sz w:val="16"/>
                    <w:szCs w:val="16"/>
                  </w:rPr>
                  <w:t>Groups/comparisons</w:t>
                </w:r>
              </w:p>
            </w:tc>
            <w:tc>
              <w:tcPr>
                <w:tcW w:w="5080" w:type="dxa"/>
              </w:tcPr>
              <w:p w14:paraId="79706F9A" w14:textId="77777777" w:rsidR="004E260E" w:rsidRPr="00EE147E" w:rsidRDefault="004E260E" w:rsidP="00EA178A">
                <w:pP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EE147E">
                  <w:rPr>
                    <w:color w:val="FFFFFF" w:themeColor="background1"/>
                    <w:sz w:val="16"/>
                    <w:szCs w:val="16"/>
                  </w:rPr>
                  <w:t>Funding</w:t>
                </w:r>
              </w:p>
            </w:tc>
          </w:tr>
          <w:tr w:rsidR="004E260E" w:rsidRPr="00EE147E" w14:paraId="388DA233" w14:textId="77777777" w:rsidTr="00EA17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9" w:type="dxa"/>
              </w:tcPr>
              <w:p w14:paraId="7F2085F5" w14:textId="77777777" w:rsidR="004E260E" w:rsidRPr="00EE147E" w:rsidRDefault="004E260E" w:rsidP="00EA178A">
                <w:pPr>
                  <w:rPr>
                    <w:b w:val="0"/>
                    <w:sz w:val="16"/>
                    <w:szCs w:val="16"/>
                  </w:rPr>
                </w:pPr>
                <w:r w:rsidRPr="00EE147E">
                  <w:rPr>
                    <w:sz w:val="16"/>
                    <w:szCs w:val="16"/>
                  </w:rPr>
                  <w:t>Levy et al. 2018</w:t>
                </w:r>
              </w:p>
            </w:tc>
            <w:tc>
              <w:tcPr>
                <w:tcW w:w="1450" w:type="dxa"/>
              </w:tcPr>
              <w:p w14:paraId="1DC00E21" w14:textId="6CF8B54E" w:rsidR="004E260E" w:rsidRPr="00EE147E" w:rsidRDefault="004E260E" w:rsidP="00EA178A">
                <w:pPr>
                  <w:cnfStyle w:val="000000100000" w:firstRow="0" w:lastRow="0" w:firstColumn="0" w:lastColumn="0" w:oddVBand="0" w:evenVBand="0" w:oddHBand="1" w:evenHBand="0" w:firstRowFirstColumn="0" w:firstRowLastColumn="0" w:lastRowFirstColumn="0" w:lastRowLastColumn="0"/>
                  <w:rPr>
                    <w:sz w:val="16"/>
                    <w:szCs w:val="16"/>
                  </w:rPr>
                </w:pPr>
                <w:r w:rsidRPr="00EE147E">
                  <w:rPr>
                    <w:sz w:val="16"/>
                    <w:szCs w:val="16"/>
                  </w:rPr>
                  <w:t>Modelling Study</w:t>
                </w:r>
                <w:r w:rsidR="0008362F">
                  <w:rPr>
                    <w:sz w:val="16"/>
                    <w:szCs w:val="16"/>
                  </w:rPr>
                  <w:t>.</w:t>
                </w:r>
              </w:p>
            </w:tc>
            <w:tc>
              <w:tcPr>
                <w:tcW w:w="1446" w:type="dxa"/>
              </w:tcPr>
              <w:p w14:paraId="6BEAC0DB" w14:textId="77777777" w:rsidR="004E260E" w:rsidRPr="00EE147E" w:rsidRDefault="004E260E" w:rsidP="00EA178A">
                <w:pPr>
                  <w:cnfStyle w:val="000000100000" w:firstRow="0" w:lastRow="0" w:firstColumn="0" w:lastColumn="0" w:oddVBand="0" w:evenVBand="0" w:oddHBand="1" w:evenHBand="0" w:firstRowFirstColumn="0" w:firstRowLastColumn="0" w:lastRowFirstColumn="0" w:lastRowLastColumn="0"/>
                  <w:rPr>
                    <w:sz w:val="16"/>
                    <w:szCs w:val="16"/>
                  </w:rPr>
                </w:pPr>
                <w:r w:rsidRPr="00EE147E">
                  <w:rPr>
                    <w:sz w:val="16"/>
                    <w:szCs w:val="16"/>
                  </w:rPr>
                  <w:t>N/A</w:t>
                </w:r>
              </w:p>
            </w:tc>
            <w:tc>
              <w:tcPr>
                <w:tcW w:w="1169" w:type="dxa"/>
              </w:tcPr>
              <w:p w14:paraId="27F58C98" w14:textId="77777777" w:rsidR="004E260E" w:rsidRPr="00EE147E" w:rsidRDefault="004E260E" w:rsidP="00EA178A">
                <w:pPr>
                  <w:cnfStyle w:val="000000100000" w:firstRow="0" w:lastRow="0" w:firstColumn="0" w:lastColumn="0" w:oddVBand="0" w:evenVBand="0" w:oddHBand="1" w:evenHBand="0" w:firstRowFirstColumn="0" w:firstRowLastColumn="0" w:lastRowFirstColumn="0" w:lastRowLastColumn="0"/>
                  <w:rPr>
                    <w:sz w:val="16"/>
                    <w:szCs w:val="16"/>
                  </w:rPr>
                </w:pPr>
                <w:r w:rsidRPr="00EE147E">
                  <w:rPr>
                    <w:sz w:val="16"/>
                    <w:szCs w:val="16"/>
                  </w:rPr>
                  <w:t>N/A</w:t>
                </w:r>
              </w:p>
            </w:tc>
            <w:tc>
              <w:tcPr>
                <w:tcW w:w="3883" w:type="dxa"/>
              </w:tcPr>
              <w:p w14:paraId="121F6097" w14:textId="5A0EF7A7" w:rsidR="004E260E" w:rsidRPr="00EE147E" w:rsidRDefault="004E260E" w:rsidP="00EA178A">
                <w:pPr>
                  <w:cnfStyle w:val="000000100000" w:firstRow="0" w:lastRow="0" w:firstColumn="0" w:lastColumn="0" w:oddVBand="0" w:evenVBand="0" w:oddHBand="1" w:evenHBand="0" w:firstRowFirstColumn="0" w:firstRowLastColumn="0" w:lastRowFirstColumn="0" w:lastRowLastColumn="0"/>
                  <w:rPr>
                    <w:sz w:val="16"/>
                    <w:szCs w:val="16"/>
                  </w:rPr>
                </w:pPr>
                <w:r w:rsidRPr="00EE147E">
                  <w:rPr>
                    <w:sz w:val="16"/>
                    <w:szCs w:val="16"/>
                  </w:rPr>
                  <w:t xml:space="preserve">Uses a model to consider potential health </w:t>
                </w:r>
                <w:r w:rsidRPr="0086075F">
                  <w:rPr>
                    <w:color w:val="auto"/>
                    <w:sz w:val="16"/>
                    <w:szCs w:val="16"/>
                  </w:rPr>
                  <w:t>outcomes/deaths averted if cigarette smokers switched to vaping e-cigarettes (compares a status quo scenario with a substitution model where vaping replaces cigarettes over a 10 year period). Modelling for e</w:t>
                </w:r>
                <w:r w:rsidR="0023709D" w:rsidRPr="0086075F">
                  <w:rPr>
                    <w:color w:val="auto"/>
                    <w:sz w:val="16"/>
                    <w:szCs w:val="16"/>
                  </w:rPr>
                  <w:noBreakHyphen/>
                </w:r>
                <w:r w:rsidRPr="0086075F">
                  <w:rPr>
                    <w:color w:val="auto"/>
                    <w:sz w:val="16"/>
                    <w:szCs w:val="16"/>
                  </w:rPr>
                  <w:t>cig</w:t>
                </w:r>
                <w:r w:rsidR="0023709D" w:rsidRPr="0086075F">
                  <w:rPr>
                    <w:color w:val="auto"/>
                    <w:sz w:val="16"/>
                    <w:szCs w:val="16"/>
                  </w:rPr>
                  <w:t>arette</w:t>
                </w:r>
                <w:r w:rsidRPr="0086075F">
                  <w:rPr>
                    <w:color w:val="auto"/>
                    <w:sz w:val="16"/>
                    <w:szCs w:val="16"/>
                  </w:rPr>
                  <w:t xml:space="preserve"> users that never smoked, e-cig</w:t>
                </w:r>
                <w:r w:rsidR="0023709D" w:rsidRPr="0086075F">
                  <w:rPr>
                    <w:color w:val="auto"/>
                    <w:sz w:val="16"/>
                    <w:szCs w:val="16"/>
                  </w:rPr>
                  <w:t>arette</w:t>
                </w:r>
                <w:r w:rsidRPr="0086075F">
                  <w:rPr>
                    <w:color w:val="auto"/>
                    <w:sz w:val="16"/>
                    <w:szCs w:val="16"/>
                  </w:rPr>
                  <w:t xml:space="preserve"> users among former smokers, former e-cig users and current and former smokers who have not yet switched to e</w:t>
                </w:r>
                <w:r w:rsidR="0023709D" w:rsidRPr="0086075F">
                  <w:rPr>
                    <w:color w:val="auto"/>
                    <w:sz w:val="16"/>
                    <w:szCs w:val="16"/>
                  </w:rPr>
                  <w:noBreakHyphen/>
                </w:r>
                <w:r w:rsidRPr="0086075F">
                  <w:rPr>
                    <w:color w:val="auto"/>
                    <w:sz w:val="16"/>
                    <w:szCs w:val="16"/>
                  </w:rPr>
                  <w:t>cig</w:t>
                </w:r>
                <w:r w:rsidR="0023709D" w:rsidRPr="0086075F">
                  <w:rPr>
                    <w:color w:val="auto"/>
                    <w:sz w:val="16"/>
                    <w:szCs w:val="16"/>
                  </w:rPr>
                  <w:t>arette</w:t>
                </w:r>
                <w:r w:rsidRPr="0086075F">
                  <w:rPr>
                    <w:color w:val="auto"/>
                    <w:sz w:val="16"/>
                    <w:szCs w:val="16"/>
                  </w:rPr>
                  <w:t xml:space="preserve"> use.</w:t>
                </w:r>
              </w:p>
            </w:tc>
            <w:tc>
              <w:tcPr>
                <w:tcW w:w="5080" w:type="dxa"/>
              </w:tcPr>
              <w:p w14:paraId="58C92B44" w14:textId="77777777" w:rsidR="004E260E" w:rsidRPr="00EE147E" w:rsidRDefault="004E260E" w:rsidP="00EA178A">
                <w:pPr>
                  <w:cnfStyle w:val="000000100000" w:firstRow="0" w:lastRow="0" w:firstColumn="0" w:lastColumn="0" w:oddVBand="0" w:evenVBand="0" w:oddHBand="1" w:evenHBand="0" w:firstRowFirstColumn="0" w:firstRowLastColumn="0" w:lastRowFirstColumn="0" w:lastRowLastColumn="0"/>
                  <w:rPr>
                    <w:sz w:val="16"/>
                    <w:szCs w:val="16"/>
                  </w:rPr>
                </w:pPr>
                <w:r w:rsidRPr="00EE147E">
                  <w:rPr>
                    <w:sz w:val="16"/>
                    <w:szCs w:val="16"/>
                  </w:rPr>
                  <w:t>National Institute on Drug Abuse, Cancer Intervention and Surveillance Modelling Network of the Division of Cancer Control and Population Sciences, National Cancer Institute.</w:t>
                </w:r>
              </w:p>
            </w:tc>
          </w:tr>
          <w:tr w:rsidR="004E260E" w:rsidRPr="00EE147E" w14:paraId="0160C859" w14:textId="77777777" w:rsidTr="00EA178A">
            <w:tc>
              <w:tcPr>
                <w:cnfStyle w:val="001000000000" w:firstRow="0" w:lastRow="0" w:firstColumn="1" w:lastColumn="0" w:oddVBand="0" w:evenVBand="0" w:oddHBand="0" w:evenHBand="0" w:firstRowFirstColumn="0" w:firstRowLastColumn="0" w:lastRowFirstColumn="0" w:lastRowLastColumn="0"/>
                <w:tcW w:w="1429" w:type="dxa"/>
              </w:tcPr>
              <w:p w14:paraId="2C9457D8" w14:textId="77777777" w:rsidR="004E260E" w:rsidRPr="00EE147E" w:rsidRDefault="004E260E" w:rsidP="00EA178A">
                <w:pPr>
                  <w:rPr>
                    <w:b w:val="0"/>
                    <w:sz w:val="16"/>
                    <w:szCs w:val="16"/>
                  </w:rPr>
                </w:pPr>
                <w:r w:rsidRPr="00EE147E">
                  <w:rPr>
                    <w:sz w:val="16"/>
                    <w:szCs w:val="16"/>
                  </w:rPr>
                  <w:t>Logue et al. 2017</w:t>
                </w:r>
              </w:p>
            </w:tc>
            <w:tc>
              <w:tcPr>
                <w:tcW w:w="1450" w:type="dxa"/>
              </w:tcPr>
              <w:p w14:paraId="51FAC0BA" w14:textId="77777777" w:rsidR="004E260E" w:rsidRPr="00EE147E" w:rsidRDefault="004E260E" w:rsidP="00EA178A">
                <w:pPr>
                  <w:cnfStyle w:val="000000000000" w:firstRow="0" w:lastRow="0" w:firstColumn="0" w:lastColumn="0" w:oddVBand="0" w:evenVBand="0" w:oddHBand="0" w:evenHBand="0" w:firstRowFirstColumn="0" w:firstRowLastColumn="0" w:lastRowFirstColumn="0" w:lastRowLastColumn="0"/>
                  <w:rPr>
                    <w:sz w:val="16"/>
                    <w:szCs w:val="16"/>
                  </w:rPr>
                </w:pPr>
                <w:r w:rsidRPr="00EE147E">
                  <w:rPr>
                    <w:sz w:val="16"/>
                    <w:szCs w:val="16"/>
                  </w:rPr>
                  <w:t>Modelling Study.</w:t>
                </w:r>
              </w:p>
            </w:tc>
            <w:tc>
              <w:tcPr>
                <w:tcW w:w="1446" w:type="dxa"/>
              </w:tcPr>
              <w:p w14:paraId="1BC06F72" w14:textId="77777777" w:rsidR="004E260E" w:rsidRPr="00EE147E" w:rsidRDefault="004E260E" w:rsidP="00EA178A">
                <w:pPr>
                  <w:cnfStyle w:val="000000000000" w:firstRow="0" w:lastRow="0" w:firstColumn="0" w:lastColumn="0" w:oddVBand="0" w:evenVBand="0" w:oddHBand="0" w:evenHBand="0" w:firstRowFirstColumn="0" w:firstRowLastColumn="0" w:lastRowFirstColumn="0" w:lastRowLastColumn="0"/>
                  <w:rPr>
                    <w:sz w:val="16"/>
                    <w:szCs w:val="16"/>
                  </w:rPr>
                </w:pPr>
                <w:r w:rsidRPr="00EE147E">
                  <w:rPr>
                    <w:sz w:val="16"/>
                    <w:szCs w:val="16"/>
                  </w:rPr>
                  <w:t>N/A</w:t>
                </w:r>
              </w:p>
            </w:tc>
            <w:tc>
              <w:tcPr>
                <w:tcW w:w="1169" w:type="dxa"/>
              </w:tcPr>
              <w:p w14:paraId="40803404" w14:textId="77777777" w:rsidR="004E260E" w:rsidRPr="00EE147E" w:rsidRDefault="004E260E" w:rsidP="00EA178A">
                <w:pPr>
                  <w:cnfStyle w:val="000000000000" w:firstRow="0" w:lastRow="0" w:firstColumn="0" w:lastColumn="0" w:oddVBand="0" w:evenVBand="0" w:oddHBand="0" w:evenHBand="0" w:firstRowFirstColumn="0" w:firstRowLastColumn="0" w:lastRowFirstColumn="0" w:lastRowLastColumn="0"/>
                  <w:rPr>
                    <w:sz w:val="16"/>
                    <w:szCs w:val="16"/>
                  </w:rPr>
                </w:pPr>
                <w:r w:rsidRPr="00EE147E">
                  <w:rPr>
                    <w:sz w:val="16"/>
                    <w:szCs w:val="16"/>
                  </w:rPr>
                  <w:t>N/A</w:t>
                </w:r>
              </w:p>
            </w:tc>
            <w:tc>
              <w:tcPr>
                <w:tcW w:w="3883" w:type="dxa"/>
              </w:tcPr>
              <w:p w14:paraId="115861DC" w14:textId="77777777" w:rsidR="004E260E" w:rsidRPr="00EE147E" w:rsidRDefault="004E260E" w:rsidP="00EA178A">
                <w:pPr>
                  <w:cnfStyle w:val="000000000000" w:firstRow="0" w:lastRow="0" w:firstColumn="0" w:lastColumn="0" w:oddVBand="0" w:evenVBand="0" w:oddHBand="0" w:evenHBand="0" w:firstRowFirstColumn="0" w:firstRowLastColumn="0" w:lastRowFirstColumn="0" w:lastRowLastColumn="0"/>
                  <w:rPr>
                    <w:sz w:val="16"/>
                    <w:szCs w:val="16"/>
                  </w:rPr>
                </w:pPr>
                <w:r w:rsidRPr="00EE147E">
                  <w:rPr>
                    <w:sz w:val="16"/>
                    <w:szCs w:val="16"/>
                  </w:rPr>
                  <w:t>Uses a model to consider health impact associated with exposure to vaping (users and bystanders). Six scenarios considered. Investigated 3 different vaping scenarios: Frequent short sessions, 25 daily session of 10 puffs each. Intermediate 'typical' conditions, with 10 daily sessions of 25 puffs each and Infrequent long sessions, with only 5 daily sessions of 50 puffs each. Used two vaporizers, an eGO CE 4 single coil vaporizer and a dual-coil device, the Kangertech Aerotank Mini. Used 3 different e-liquids: Apollo Classic Tobacco, Drip Mojito Mix and Drip Bubblicious. Two indoor settings considered were a residential setting where a nonuser lives with a user and a bar setting that allows vaping indoors.</w:t>
                </w:r>
              </w:p>
            </w:tc>
            <w:tc>
              <w:tcPr>
                <w:tcW w:w="5080" w:type="dxa"/>
              </w:tcPr>
              <w:p w14:paraId="06AEF7B0" w14:textId="0B3FA2EE" w:rsidR="004E260E" w:rsidRPr="00EE147E" w:rsidRDefault="004E260E" w:rsidP="00EA178A">
                <w:pPr>
                  <w:cnfStyle w:val="000000000000" w:firstRow="0" w:lastRow="0" w:firstColumn="0" w:lastColumn="0" w:oddVBand="0" w:evenVBand="0" w:oddHBand="0" w:evenHBand="0" w:firstRowFirstColumn="0" w:firstRowLastColumn="0" w:lastRowFirstColumn="0" w:lastRowLastColumn="0"/>
                  <w:rPr>
                    <w:sz w:val="16"/>
                    <w:szCs w:val="16"/>
                  </w:rPr>
                </w:pPr>
                <w:r w:rsidRPr="00EE147E">
                  <w:rPr>
                    <w:sz w:val="16"/>
                    <w:szCs w:val="16"/>
                  </w:rPr>
                  <w:t>University of California Tobacco-Related Disease Research Program.</w:t>
                </w:r>
                <w:r w:rsidR="0086075F">
                  <w:rPr>
                    <w:sz w:val="16"/>
                    <w:szCs w:val="16"/>
                  </w:rPr>
                  <w:t xml:space="preserve"> </w:t>
                </w:r>
                <w:r w:rsidRPr="00EE147E">
                  <w:rPr>
                    <w:sz w:val="16"/>
                    <w:szCs w:val="16"/>
                  </w:rPr>
                  <w:t>CONECET. National Institute on Drug Abuse.</w:t>
                </w:r>
              </w:p>
            </w:tc>
          </w:tr>
        </w:tbl>
        <w:p w14:paraId="78F2B4A7" w14:textId="77777777" w:rsidR="004E260E" w:rsidRPr="00EE147E" w:rsidRDefault="004E260E" w:rsidP="004E260E">
          <w:pPr>
            <w:pStyle w:val="BodyText"/>
          </w:pPr>
        </w:p>
        <w:p w14:paraId="12095EF6" w14:textId="77777777" w:rsidR="004E260E" w:rsidRPr="00EE147E" w:rsidRDefault="004E260E" w:rsidP="004E260E">
          <w:pPr>
            <w:spacing w:after="0"/>
          </w:pPr>
          <w:r w:rsidRPr="00EE147E">
            <w:br w:type="page"/>
          </w:r>
        </w:p>
        <w:p w14:paraId="0C8CBECA" w14:textId="77777777" w:rsidR="004E260E" w:rsidRPr="00EE147E" w:rsidRDefault="004E260E" w:rsidP="004E260E">
          <w:pPr>
            <w:pStyle w:val="Caption"/>
          </w:pPr>
          <w:bookmarkStart w:id="107" w:name="_Toc516727665"/>
          <w:bookmarkStart w:id="108" w:name="_Toc517707416"/>
          <w:r w:rsidRPr="00EE147E">
            <w:lastRenderedPageBreak/>
            <w:t xml:space="preserve">Table </w:t>
          </w:r>
          <w:r w:rsidR="0048064B">
            <w:rPr>
              <w:noProof/>
            </w:rPr>
            <w:fldChar w:fldCharType="begin"/>
          </w:r>
          <w:r w:rsidR="0048064B">
            <w:rPr>
              <w:noProof/>
            </w:rPr>
            <w:instrText xml:space="preserve"> SEQ Table \* ARABIC </w:instrText>
          </w:r>
          <w:r w:rsidR="0048064B">
            <w:rPr>
              <w:noProof/>
            </w:rPr>
            <w:fldChar w:fldCharType="separate"/>
          </w:r>
          <w:r w:rsidR="000C06DA">
            <w:rPr>
              <w:noProof/>
            </w:rPr>
            <w:t>7</w:t>
          </w:r>
          <w:r w:rsidR="0048064B">
            <w:rPr>
              <w:noProof/>
            </w:rPr>
            <w:fldChar w:fldCharType="end"/>
          </w:r>
          <w:r w:rsidRPr="00EE147E">
            <w:t xml:space="preserve">: </w:t>
          </w:r>
          <w:r w:rsidR="00955544" w:rsidRPr="00EE147E">
            <w:t>Human health outcome studies - i</w:t>
          </w:r>
          <w:r w:rsidRPr="00EE147E">
            <w:t>njury study data</w:t>
          </w:r>
          <w:bookmarkEnd w:id="107"/>
          <w:bookmarkEnd w:id="108"/>
        </w:p>
        <w:tbl>
          <w:tblPr>
            <w:tblStyle w:val="TableCSIRO"/>
            <w:tblW w:w="15055" w:type="dxa"/>
            <w:tblLayout w:type="fixed"/>
            <w:tblLook w:val="04A0" w:firstRow="1" w:lastRow="0" w:firstColumn="1" w:lastColumn="0" w:noHBand="0" w:noVBand="1"/>
          </w:tblPr>
          <w:tblGrid>
            <w:gridCol w:w="1152"/>
            <w:gridCol w:w="1145"/>
            <w:gridCol w:w="700"/>
            <w:gridCol w:w="992"/>
            <w:gridCol w:w="3010"/>
            <w:gridCol w:w="851"/>
            <w:gridCol w:w="709"/>
            <w:gridCol w:w="1559"/>
            <w:gridCol w:w="3202"/>
            <w:gridCol w:w="1735"/>
          </w:tblGrid>
          <w:tr w:rsidR="004E260E" w:rsidRPr="00EE147E" w14:paraId="4AB87C49" w14:textId="77777777" w:rsidTr="0086075F">
            <w:trPr>
              <w:cnfStyle w:val="100000000000" w:firstRow="1" w:lastRow="0" w:firstColumn="0" w:lastColumn="0" w:oddVBand="0" w:evenVBand="0" w:oddHBand="0" w:evenHBand="0" w:firstRowFirstColumn="0" w:firstRowLastColumn="0" w:lastRowFirstColumn="0" w:lastRowLastColumn="0"/>
              <w:trHeight w:val="297"/>
              <w:tblHeader/>
            </w:trPr>
            <w:tc>
              <w:tcPr>
                <w:cnfStyle w:val="001000000000" w:firstRow="0" w:lastRow="0" w:firstColumn="1" w:lastColumn="0" w:oddVBand="0" w:evenVBand="0" w:oddHBand="0" w:evenHBand="0" w:firstRowFirstColumn="0" w:firstRowLastColumn="0" w:lastRowFirstColumn="0" w:lastRowLastColumn="0"/>
                <w:tcW w:w="1152" w:type="dxa"/>
                <w:vMerge w:val="restart"/>
                <w:noWrap/>
                <w:hideMark/>
              </w:tcPr>
              <w:p w14:paraId="0E80006F" w14:textId="77777777" w:rsidR="004E260E" w:rsidRPr="00EE147E" w:rsidRDefault="004E260E" w:rsidP="00EA178A">
                <w:pPr>
                  <w:spacing w:after="0"/>
                  <w:jc w:val="center"/>
                  <w:rPr>
                    <w:rFonts w:eastAsia="Times New Roman" w:cs="Calibri"/>
                    <w:color w:val="FFFFFF" w:themeColor="background2"/>
                    <w:sz w:val="16"/>
                    <w:szCs w:val="16"/>
                  </w:rPr>
                </w:pPr>
                <w:r w:rsidRPr="00EE147E">
                  <w:rPr>
                    <w:rFonts w:eastAsia="Times New Roman" w:cs="Calibri"/>
                    <w:color w:val="FFFFFF" w:themeColor="background2"/>
                    <w:sz w:val="16"/>
                    <w:szCs w:val="16"/>
                  </w:rPr>
                  <w:t>Study Reference</w:t>
                </w:r>
              </w:p>
            </w:tc>
            <w:tc>
              <w:tcPr>
                <w:tcW w:w="1145" w:type="dxa"/>
                <w:vMerge w:val="restart"/>
                <w:noWrap/>
                <w:hideMark/>
              </w:tcPr>
              <w:p w14:paraId="5F9D6CE0" w14:textId="77777777" w:rsidR="004E260E" w:rsidRPr="00EE147E" w:rsidRDefault="004E260E" w:rsidP="00EA178A">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2"/>
                    <w:sz w:val="16"/>
                    <w:szCs w:val="16"/>
                  </w:rPr>
                </w:pPr>
                <w:r w:rsidRPr="00EE147E">
                  <w:rPr>
                    <w:rFonts w:eastAsia="Times New Roman" w:cs="Calibri"/>
                    <w:color w:val="FFFFFF" w:themeColor="background2"/>
                    <w:sz w:val="16"/>
                    <w:szCs w:val="16"/>
                  </w:rPr>
                  <w:t>Study objective or purpose</w:t>
                </w:r>
              </w:p>
            </w:tc>
            <w:tc>
              <w:tcPr>
                <w:tcW w:w="700" w:type="dxa"/>
                <w:vMerge w:val="restart"/>
                <w:noWrap/>
                <w:hideMark/>
              </w:tcPr>
              <w:p w14:paraId="3566C350" w14:textId="77777777" w:rsidR="004E260E" w:rsidRPr="00EE147E" w:rsidRDefault="004E260E" w:rsidP="00EA178A">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2"/>
                    <w:sz w:val="16"/>
                    <w:szCs w:val="16"/>
                  </w:rPr>
                </w:pPr>
                <w:r w:rsidRPr="00EE147E">
                  <w:rPr>
                    <w:rFonts w:eastAsia="Times New Roman" w:cs="Calibri"/>
                    <w:color w:val="FFFFFF" w:themeColor="background2"/>
                    <w:sz w:val="16"/>
                    <w:szCs w:val="16"/>
                  </w:rPr>
                  <w:t>Country of case</w:t>
                </w:r>
              </w:p>
            </w:tc>
            <w:tc>
              <w:tcPr>
                <w:tcW w:w="992" w:type="dxa"/>
                <w:vMerge w:val="restart"/>
                <w:noWrap/>
                <w:hideMark/>
              </w:tcPr>
              <w:p w14:paraId="425FAA28" w14:textId="77777777" w:rsidR="004E260E" w:rsidRPr="00EE147E" w:rsidRDefault="004E260E" w:rsidP="00EA178A">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2"/>
                    <w:sz w:val="16"/>
                    <w:szCs w:val="16"/>
                  </w:rPr>
                </w:pPr>
                <w:r w:rsidRPr="00EE147E">
                  <w:rPr>
                    <w:rFonts w:eastAsia="Times New Roman" w:cs="Calibri"/>
                    <w:color w:val="FFFFFF" w:themeColor="background2"/>
                    <w:sz w:val="16"/>
                    <w:szCs w:val="16"/>
                  </w:rPr>
                  <w:t>Year (of event)</w:t>
                </w:r>
              </w:p>
            </w:tc>
            <w:tc>
              <w:tcPr>
                <w:tcW w:w="3010" w:type="dxa"/>
                <w:vMerge w:val="restart"/>
                <w:noWrap/>
                <w:hideMark/>
              </w:tcPr>
              <w:p w14:paraId="6B0F8F0E" w14:textId="77777777" w:rsidR="004E260E" w:rsidRPr="00EE147E" w:rsidRDefault="004E260E" w:rsidP="00EA178A">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2"/>
                    <w:sz w:val="16"/>
                    <w:szCs w:val="16"/>
                  </w:rPr>
                </w:pPr>
                <w:r w:rsidRPr="00EE147E">
                  <w:rPr>
                    <w:rFonts w:eastAsia="Times New Roman" w:cs="Calibri"/>
                    <w:color w:val="FFFFFF" w:themeColor="background2"/>
                    <w:sz w:val="16"/>
                    <w:szCs w:val="16"/>
                  </w:rPr>
                  <w:t>Description of event</w:t>
                </w:r>
              </w:p>
            </w:tc>
            <w:tc>
              <w:tcPr>
                <w:tcW w:w="1560" w:type="dxa"/>
                <w:gridSpan w:val="2"/>
                <w:noWrap/>
                <w:hideMark/>
              </w:tcPr>
              <w:p w14:paraId="4EEFF3B6" w14:textId="77777777" w:rsidR="004E260E" w:rsidRPr="00EE147E" w:rsidRDefault="004E260E" w:rsidP="00EA178A">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2"/>
                    <w:sz w:val="16"/>
                    <w:szCs w:val="16"/>
                  </w:rPr>
                </w:pPr>
                <w:r w:rsidRPr="00EE147E">
                  <w:rPr>
                    <w:rFonts w:eastAsia="Times New Roman" w:cs="Calibri"/>
                    <w:color w:val="FFFFFF" w:themeColor="background2"/>
                    <w:sz w:val="16"/>
                    <w:szCs w:val="16"/>
                  </w:rPr>
                  <w:t>Subject</w:t>
                </w:r>
              </w:p>
            </w:tc>
            <w:tc>
              <w:tcPr>
                <w:tcW w:w="1559" w:type="dxa"/>
                <w:vMerge w:val="restart"/>
                <w:noWrap/>
                <w:hideMark/>
              </w:tcPr>
              <w:p w14:paraId="66656F0C" w14:textId="77777777" w:rsidR="004E260E" w:rsidRPr="00EE147E" w:rsidRDefault="004E260E" w:rsidP="00EA178A">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2"/>
                    <w:sz w:val="16"/>
                    <w:szCs w:val="16"/>
                  </w:rPr>
                </w:pPr>
                <w:r w:rsidRPr="00EE147E">
                  <w:rPr>
                    <w:rFonts w:eastAsia="Times New Roman" w:cs="Calibri"/>
                    <w:color w:val="FFFFFF" w:themeColor="background2"/>
                    <w:sz w:val="16"/>
                    <w:szCs w:val="16"/>
                  </w:rPr>
                  <w:t>Caused by</w:t>
                </w:r>
              </w:p>
            </w:tc>
            <w:tc>
              <w:tcPr>
                <w:tcW w:w="3202" w:type="dxa"/>
                <w:vMerge w:val="restart"/>
                <w:noWrap/>
                <w:hideMark/>
              </w:tcPr>
              <w:p w14:paraId="5C6208B5" w14:textId="4FA1DE3E" w:rsidR="004E260E" w:rsidRPr="00EE147E" w:rsidRDefault="0086075F" w:rsidP="00EA178A">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2"/>
                    <w:sz w:val="16"/>
                    <w:szCs w:val="16"/>
                  </w:rPr>
                </w:pPr>
                <w:r>
                  <w:rPr>
                    <w:rFonts w:eastAsia="Times New Roman" w:cs="Calibri"/>
                    <w:color w:val="FFFFFF" w:themeColor="background2"/>
                    <w:sz w:val="16"/>
                    <w:szCs w:val="16"/>
                  </w:rPr>
                  <w:t xml:space="preserve">Author’s </w:t>
                </w:r>
                <w:r w:rsidR="004E260E" w:rsidRPr="00EE147E">
                  <w:rPr>
                    <w:rFonts w:eastAsia="Times New Roman" w:cs="Calibri"/>
                    <w:color w:val="FFFFFF" w:themeColor="background2"/>
                    <w:sz w:val="16"/>
                    <w:szCs w:val="16"/>
                  </w:rPr>
                  <w:t>Conclusion</w:t>
                </w:r>
              </w:p>
            </w:tc>
            <w:tc>
              <w:tcPr>
                <w:tcW w:w="1735" w:type="dxa"/>
                <w:vMerge w:val="restart"/>
                <w:noWrap/>
                <w:hideMark/>
              </w:tcPr>
              <w:p w14:paraId="37F4F06E" w14:textId="55DB99E8" w:rsidR="004E260E" w:rsidRPr="00EE147E" w:rsidRDefault="004E260E" w:rsidP="00EA178A">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2"/>
                    <w:sz w:val="16"/>
                    <w:szCs w:val="16"/>
                  </w:rPr>
                </w:pPr>
                <w:r w:rsidRPr="00EE147E">
                  <w:rPr>
                    <w:rFonts w:eastAsia="Times New Roman" w:cs="Calibri"/>
                    <w:color w:val="FFFFFF" w:themeColor="background2"/>
                    <w:sz w:val="16"/>
                    <w:szCs w:val="16"/>
                  </w:rPr>
                  <w:t>Any other information</w:t>
                </w:r>
                <w:r w:rsidR="001E5299">
                  <w:rPr>
                    <w:rFonts w:eastAsia="Times New Roman" w:cs="Calibri"/>
                    <w:color w:val="FFFFFF" w:themeColor="background2"/>
                    <w:sz w:val="16"/>
                    <w:szCs w:val="16"/>
                  </w:rPr>
                  <w:t xml:space="preserve"> from study report</w:t>
                </w:r>
              </w:p>
            </w:tc>
          </w:tr>
          <w:tr w:rsidR="004E260E" w:rsidRPr="00EE147E" w14:paraId="5103267C" w14:textId="77777777" w:rsidTr="0086075F">
            <w:trPr>
              <w:cnfStyle w:val="100000000000" w:firstRow="1" w:lastRow="0" w:firstColumn="0" w:lastColumn="0" w:oddVBand="0" w:evenVBand="0" w:oddHBand="0" w:evenHBand="0" w:firstRowFirstColumn="0" w:firstRowLastColumn="0" w:lastRowFirstColumn="0" w:lastRowLastColumn="0"/>
              <w:trHeight w:val="297"/>
              <w:tblHeader/>
            </w:trPr>
            <w:tc>
              <w:tcPr>
                <w:cnfStyle w:val="001000000000" w:firstRow="0" w:lastRow="0" w:firstColumn="1" w:lastColumn="0" w:oddVBand="0" w:evenVBand="0" w:oddHBand="0" w:evenHBand="0" w:firstRowFirstColumn="0" w:firstRowLastColumn="0" w:lastRowFirstColumn="0" w:lastRowLastColumn="0"/>
                <w:tcW w:w="1152" w:type="dxa"/>
                <w:vMerge/>
                <w:hideMark/>
              </w:tcPr>
              <w:p w14:paraId="2284CB92" w14:textId="77777777" w:rsidR="004E260E" w:rsidRPr="00EE147E" w:rsidRDefault="004E260E" w:rsidP="00EA178A">
                <w:pPr>
                  <w:spacing w:after="0"/>
                  <w:rPr>
                    <w:rFonts w:eastAsia="Times New Roman" w:cs="Calibri"/>
                    <w:sz w:val="16"/>
                    <w:szCs w:val="16"/>
                  </w:rPr>
                </w:pPr>
              </w:p>
            </w:tc>
            <w:tc>
              <w:tcPr>
                <w:tcW w:w="1145" w:type="dxa"/>
                <w:vMerge/>
                <w:hideMark/>
              </w:tcPr>
              <w:p w14:paraId="5B826BB7" w14:textId="77777777" w:rsidR="004E260E" w:rsidRPr="00EE147E" w:rsidRDefault="004E260E" w:rsidP="00EA178A">
                <w:pPr>
                  <w:spacing w:after="0"/>
                  <w:cnfStyle w:val="100000000000" w:firstRow="1" w:lastRow="0" w:firstColumn="0" w:lastColumn="0" w:oddVBand="0" w:evenVBand="0" w:oddHBand="0" w:evenHBand="0" w:firstRowFirstColumn="0" w:firstRowLastColumn="0" w:lastRowFirstColumn="0" w:lastRowLastColumn="0"/>
                  <w:rPr>
                    <w:rFonts w:eastAsia="Times New Roman" w:cs="Calibri"/>
                    <w:b w:val="0"/>
                    <w:bCs w:val="0"/>
                    <w:sz w:val="16"/>
                    <w:szCs w:val="16"/>
                  </w:rPr>
                </w:pPr>
              </w:p>
            </w:tc>
            <w:tc>
              <w:tcPr>
                <w:tcW w:w="700" w:type="dxa"/>
                <w:vMerge/>
                <w:hideMark/>
              </w:tcPr>
              <w:p w14:paraId="356B36DB" w14:textId="77777777" w:rsidR="004E260E" w:rsidRPr="00EE147E" w:rsidRDefault="004E260E" w:rsidP="00EA178A">
                <w:pPr>
                  <w:spacing w:after="0"/>
                  <w:cnfStyle w:val="100000000000" w:firstRow="1" w:lastRow="0" w:firstColumn="0" w:lastColumn="0" w:oddVBand="0" w:evenVBand="0" w:oddHBand="0" w:evenHBand="0" w:firstRowFirstColumn="0" w:firstRowLastColumn="0" w:lastRowFirstColumn="0" w:lastRowLastColumn="0"/>
                  <w:rPr>
                    <w:rFonts w:eastAsia="Times New Roman" w:cs="Calibri"/>
                    <w:b w:val="0"/>
                    <w:bCs w:val="0"/>
                    <w:sz w:val="16"/>
                    <w:szCs w:val="16"/>
                  </w:rPr>
                </w:pPr>
              </w:p>
            </w:tc>
            <w:tc>
              <w:tcPr>
                <w:tcW w:w="992" w:type="dxa"/>
                <w:vMerge/>
                <w:hideMark/>
              </w:tcPr>
              <w:p w14:paraId="6D242E32" w14:textId="77777777" w:rsidR="004E260E" w:rsidRPr="00EE147E" w:rsidRDefault="004E260E" w:rsidP="00EA178A">
                <w:pPr>
                  <w:spacing w:after="0"/>
                  <w:cnfStyle w:val="100000000000" w:firstRow="1" w:lastRow="0" w:firstColumn="0" w:lastColumn="0" w:oddVBand="0" w:evenVBand="0" w:oddHBand="0" w:evenHBand="0" w:firstRowFirstColumn="0" w:firstRowLastColumn="0" w:lastRowFirstColumn="0" w:lastRowLastColumn="0"/>
                  <w:rPr>
                    <w:rFonts w:eastAsia="Times New Roman" w:cs="Calibri"/>
                    <w:b w:val="0"/>
                    <w:bCs w:val="0"/>
                    <w:sz w:val="16"/>
                    <w:szCs w:val="16"/>
                  </w:rPr>
                </w:pPr>
              </w:p>
            </w:tc>
            <w:tc>
              <w:tcPr>
                <w:tcW w:w="3010" w:type="dxa"/>
                <w:vMerge/>
                <w:hideMark/>
              </w:tcPr>
              <w:p w14:paraId="200D2EAD" w14:textId="77777777" w:rsidR="004E260E" w:rsidRPr="00EE147E" w:rsidRDefault="004E260E" w:rsidP="00EA178A">
                <w:pPr>
                  <w:spacing w:after="0"/>
                  <w:cnfStyle w:val="100000000000" w:firstRow="1" w:lastRow="0" w:firstColumn="0" w:lastColumn="0" w:oddVBand="0" w:evenVBand="0" w:oddHBand="0" w:evenHBand="0" w:firstRowFirstColumn="0" w:firstRowLastColumn="0" w:lastRowFirstColumn="0" w:lastRowLastColumn="0"/>
                  <w:rPr>
                    <w:rFonts w:eastAsia="Times New Roman" w:cs="Calibri"/>
                    <w:b w:val="0"/>
                    <w:bCs w:val="0"/>
                    <w:sz w:val="16"/>
                    <w:szCs w:val="16"/>
                  </w:rPr>
                </w:pPr>
              </w:p>
            </w:tc>
            <w:tc>
              <w:tcPr>
                <w:tcW w:w="851" w:type="dxa"/>
                <w:noWrap/>
                <w:hideMark/>
              </w:tcPr>
              <w:p w14:paraId="34C455BA" w14:textId="77777777" w:rsidR="004E260E" w:rsidRPr="00EE147E" w:rsidRDefault="004E260E" w:rsidP="00EA178A">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themeColor="background2"/>
                    <w:sz w:val="16"/>
                    <w:szCs w:val="16"/>
                  </w:rPr>
                </w:pPr>
                <w:r w:rsidRPr="00EE147E">
                  <w:rPr>
                    <w:rFonts w:eastAsia="Times New Roman" w:cs="Calibri"/>
                    <w:color w:val="FFFFFF" w:themeColor="background2"/>
                    <w:sz w:val="16"/>
                    <w:szCs w:val="16"/>
                  </w:rPr>
                  <w:t>Age (years)</w:t>
                </w:r>
              </w:p>
            </w:tc>
            <w:tc>
              <w:tcPr>
                <w:tcW w:w="709" w:type="dxa"/>
                <w:noWrap/>
                <w:hideMark/>
              </w:tcPr>
              <w:p w14:paraId="6B1980DB" w14:textId="77777777" w:rsidR="004E260E" w:rsidRPr="00EE147E" w:rsidRDefault="004E260E" w:rsidP="00EA178A">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themeColor="background2"/>
                    <w:sz w:val="16"/>
                    <w:szCs w:val="16"/>
                  </w:rPr>
                </w:pPr>
                <w:r w:rsidRPr="00EE147E">
                  <w:rPr>
                    <w:rFonts w:eastAsia="Times New Roman" w:cs="Calibri"/>
                    <w:color w:val="FFFFFF" w:themeColor="background2"/>
                    <w:sz w:val="16"/>
                    <w:szCs w:val="16"/>
                  </w:rPr>
                  <w:t>Gender (M/F)</w:t>
                </w:r>
              </w:p>
            </w:tc>
            <w:tc>
              <w:tcPr>
                <w:tcW w:w="1559" w:type="dxa"/>
                <w:vMerge/>
                <w:hideMark/>
              </w:tcPr>
              <w:p w14:paraId="4C714BEB" w14:textId="77777777" w:rsidR="004E260E" w:rsidRPr="00EE147E" w:rsidRDefault="004E260E" w:rsidP="00EA178A">
                <w:pPr>
                  <w:spacing w:after="0"/>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themeColor="background2"/>
                    <w:sz w:val="16"/>
                    <w:szCs w:val="16"/>
                  </w:rPr>
                </w:pPr>
              </w:p>
            </w:tc>
            <w:tc>
              <w:tcPr>
                <w:tcW w:w="3202" w:type="dxa"/>
                <w:vMerge/>
                <w:hideMark/>
              </w:tcPr>
              <w:p w14:paraId="317A41AD" w14:textId="77777777" w:rsidR="004E260E" w:rsidRPr="00EE147E" w:rsidRDefault="004E260E" w:rsidP="00EA178A">
                <w:pPr>
                  <w:spacing w:after="0"/>
                  <w:cnfStyle w:val="100000000000" w:firstRow="1" w:lastRow="0" w:firstColumn="0" w:lastColumn="0" w:oddVBand="0" w:evenVBand="0" w:oddHBand="0" w:evenHBand="0" w:firstRowFirstColumn="0" w:firstRowLastColumn="0" w:lastRowFirstColumn="0" w:lastRowLastColumn="0"/>
                  <w:rPr>
                    <w:rFonts w:eastAsia="Times New Roman" w:cs="Calibri"/>
                    <w:b w:val="0"/>
                    <w:bCs w:val="0"/>
                    <w:sz w:val="16"/>
                    <w:szCs w:val="16"/>
                  </w:rPr>
                </w:pPr>
              </w:p>
            </w:tc>
            <w:tc>
              <w:tcPr>
                <w:tcW w:w="1735" w:type="dxa"/>
                <w:vMerge/>
                <w:hideMark/>
              </w:tcPr>
              <w:p w14:paraId="3A365261" w14:textId="77777777" w:rsidR="004E260E" w:rsidRPr="00EE147E" w:rsidRDefault="004E260E" w:rsidP="00EA178A">
                <w:pPr>
                  <w:spacing w:after="0"/>
                  <w:cnfStyle w:val="100000000000" w:firstRow="1" w:lastRow="0" w:firstColumn="0" w:lastColumn="0" w:oddVBand="0" w:evenVBand="0" w:oddHBand="0" w:evenHBand="0" w:firstRowFirstColumn="0" w:firstRowLastColumn="0" w:lastRowFirstColumn="0" w:lastRowLastColumn="0"/>
                  <w:rPr>
                    <w:rFonts w:eastAsia="Times New Roman" w:cs="Calibri"/>
                    <w:b w:val="0"/>
                    <w:bCs w:val="0"/>
                    <w:sz w:val="16"/>
                    <w:szCs w:val="16"/>
                  </w:rPr>
                </w:pPr>
              </w:p>
            </w:tc>
          </w:tr>
          <w:tr w:rsidR="004E260E" w:rsidRPr="00EE147E" w14:paraId="7E93F88E" w14:textId="77777777" w:rsidTr="0086075F">
            <w:trPr>
              <w:cnfStyle w:val="000000100000" w:firstRow="0" w:lastRow="0" w:firstColumn="0" w:lastColumn="0" w:oddVBand="0" w:evenVBand="0" w:oddHBand="1" w:evenHBand="0" w:firstRowFirstColumn="0" w:firstRowLastColumn="0" w:lastRowFirstColumn="0" w:lastRowLastColumn="0"/>
              <w:trHeight w:val="95"/>
            </w:trPr>
            <w:tc>
              <w:tcPr>
                <w:cnfStyle w:val="001000000000" w:firstRow="0" w:lastRow="0" w:firstColumn="1" w:lastColumn="0" w:oddVBand="0" w:evenVBand="0" w:oddHBand="0" w:evenHBand="0" w:firstRowFirstColumn="0" w:firstRowLastColumn="0" w:lastRowFirstColumn="0" w:lastRowLastColumn="0"/>
                <w:tcW w:w="1152" w:type="dxa"/>
                <w:hideMark/>
              </w:tcPr>
              <w:p w14:paraId="00E83553" w14:textId="77777777" w:rsidR="004E260E" w:rsidRPr="00EE147E" w:rsidRDefault="004E260E" w:rsidP="00EA178A">
                <w:pPr>
                  <w:spacing w:after="0"/>
                  <w:rPr>
                    <w:rFonts w:eastAsia="Times New Roman" w:cs="Calibri"/>
                    <w:sz w:val="16"/>
                    <w:szCs w:val="16"/>
                  </w:rPr>
                </w:pPr>
                <w:r w:rsidRPr="00EE147E">
                  <w:rPr>
                    <w:rFonts w:eastAsia="Times New Roman" w:cs="Calibri"/>
                    <w:sz w:val="16"/>
                    <w:szCs w:val="16"/>
                  </w:rPr>
                  <w:t>Ackley E et al 2017</w:t>
                </w:r>
              </w:p>
            </w:tc>
            <w:tc>
              <w:tcPr>
                <w:tcW w:w="1145" w:type="dxa"/>
                <w:hideMark/>
              </w:tcPr>
              <w:p w14:paraId="67524F32" w14:textId="6B12EAE9"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Case study</w:t>
                </w:r>
                <w:r w:rsidR="0008362F">
                  <w:rPr>
                    <w:rFonts w:eastAsia="Times New Roman" w:cs="Calibri"/>
                    <w:sz w:val="16"/>
                    <w:szCs w:val="16"/>
                  </w:rPr>
                  <w:t>.</w:t>
                </w:r>
              </w:p>
            </w:tc>
            <w:tc>
              <w:tcPr>
                <w:tcW w:w="700" w:type="dxa"/>
                <w:hideMark/>
              </w:tcPr>
              <w:p w14:paraId="5BB52B26"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USA</w:t>
                </w:r>
              </w:p>
            </w:tc>
            <w:tc>
              <w:tcPr>
                <w:tcW w:w="992" w:type="dxa"/>
                <w:hideMark/>
              </w:tcPr>
              <w:p w14:paraId="50452B05"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NA</w:t>
                </w:r>
              </w:p>
            </w:tc>
            <w:tc>
              <w:tcPr>
                <w:tcW w:w="3010" w:type="dxa"/>
                <w:hideMark/>
              </w:tcPr>
              <w:p w14:paraId="08902CF8" w14:textId="68FD1FB2"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ENDS device exploded just as the boy was about to take a puff resulting in burned thumb with sensory loss, decreased motor control and heavy bleeding</w:t>
                </w:r>
                <w:r w:rsidR="00BE3818">
                  <w:rPr>
                    <w:rFonts w:eastAsia="Times New Roman" w:cs="Calibri"/>
                    <w:sz w:val="16"/>
                    <w:szCs w:val="16"/>
                  </w:rPr>
                  <w:t>.</w:t>
                </w:r>
              </w:p>
            </w:tc>
            <w:tc>
              <w:tcPr>
                <w:tcW w:w="851" w:type="dxa"/>
                <w:hideMark/>
              </w:tcPr>
              <w:p w14:paraId="1E19EAE1"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17</w:t>
                </w:r>
              </w:p>
            </w:tc>
            <w:tc>
              <w:tcPr>
                <w:tcW w:w="709" w:type="dxa"/>
                <w:hideMark/>
              </w:tcPr>
              <w:p w14:paraId="635489D6"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M</w:t>
                </w:r>
              </w:p>
            </w:tc>
            <w:tc>
              <w:tcPr>
                <w:tcW w:w="1559" w:type="dxa"/>
                <w:hideMark/>
              </w:tcPr>
              <w:p w14:paraId="3D38B740"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Explosion of ENDS device due to the lithium ion battery that powers the device short circuits.</w:t>
                </w:r>
              </w:p>
            </w:tc>
            <w:tc>
              <w:tcPr>
                <w:tcW w:w="3202" w:type="dxa"/>
                <w:hideMark/>
              </w:tcPr>
              <w:p w14:paraId="43DAEA4A" w14:textId="1C6CAD64"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Although uncommon, the potential for major injury due to explosions may be a compelling talking point with teens</w:t>
                </w:r>
                <w:r w:rsidR="00BE3818">
                  <w:rPr>
                    <w:rFonts w:eastAsia="Times New Roman" w:cs="Calibri"/>
                    <w:sz w:val="16"/>
                    <w:szCs w:val="16"/>
                  </w:rPr>
                  <w:t>.</w:t>
                </w:r>
              </w:p>
            </w:tc>
            <w:tc>
              <w:tcPr>
                <w:tcW w:w="1735" w:type="dxa"/>
                <w:hideMark/>
              </w:tcPr>
              <w:p w14:paraId="405B0322" w14:textId="0134EC76"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The lithium ion battery short circuits due to</w:t>
                </w:r>
                <w:r w:rsidR="0023709D">
                  <w:rPr>
                    <w:rFonts w:eastAsia="Times New Roman" w:cs="Calibri"/>
                    <w:sz w:val="16"/>
                    <w:szCs w:val="16"/>
                  </w:rPr>
                  <w:t xml:space="preserve"> </w:t>
                </w:r>
                <w:r w:rsidRPr="00EE147E">
                  <w:rPr>
                    <w:rFonts w:eastAsia="Times New Roman" w:cs="Calibri"/>
                    <w:sz w:val="16"/>
                    <w:szCs w:val="16"/>
                  </w:rPr>
                  <w:t>overheating, water exposure, excessive charging, improper charging with incompatible devices, contact with metallic objects or physical battery damage. Known as 'thermal runaway"</w:t>
                </w:r>
              </w:p>
            </w:tc>
          </w:tr>
          <w:tr w:rsidR="004E260E" w:rsidRPr="00EE147E" w14:paraId="64015606" w14:textId="77777777" w:rsidTr="0086075F">
            <w:trPr>
              <w:trHeight w:val="595"/>
            </w:trPr>
            <w:tc>
              <w:tcPr>
                <w:cnfStyle w:val="001000000000" w:firstRow="0" w:lastRow="0" w:firstColumn="1" w:lastColumn="0" w:oddVBand="0" w:evenVBand="0" w:oddHBand="0" w:evenHBand="0" w:firstRowFirstColumn="0" w:firstRowLastColumn="0" w:lastRowFirstColumn="0" w:lastRowLastColumn="0"/>
                <w:tcW w:w="1152" w:type="dxa"/>
                <w:hideMark/>
              </w:tcPr>
              <w:p w14:paraId="0DB34B30" w14:textId="77777777" w:rsidR="004E260E" w:rsidRPr="00EE147E" w:rsidRDefault="004E260E" w:rsidP="00EA178A">
                <w:pPr>
                  <w:spacing w:after="0"/>
                  <w:rPr>
                    <w:rFonts w:eastAsia="Times New Roman" w:cs="Calibri"/>
                    <w:sz w:val="16"/>
                    <w:szCs w:val="16"/>
                  </w:rPr>
                </w:pPr>
                <w:r w:rsidRPr="00EE147E">
                  <w:rPr>
                    <w:rFonts w:eastAsia="Times New Roman" w:cs="Calibri"/>
                    <w:sz w:val="16"/>
                    <w:szCs w:val="16"/>
                  </w:rPr>
                  <w:t>Anderson et al 2017</w:t>
                </w:r>
              </w:p>
            </w:tc>
            <w:tc>
              <w:tcPr>
                <w:tcW w:w="1145" w:type="dxa"/>
                <w:hideMark/>
              </w:tcPr>
              <w:p w14:paraId="32581D9F" w14:textId="66601F3D"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Letter</w:t>
                </w:r>
                <w:r w:rsidR="00BE3818">
                  <w:rPr>
                    <w:rFonts w:eastAsia="Times New Roman" w:cs="Calibri"/>
                    <w:sz w:val="16"/>
                    <w:szCs w:val="16"/>
                  </w:rPr>
                  <w:t>.</w:t>
                </w:r>
              </w:p>
            </w:tc>
            <w:tc>
              <w:tcPr>
                <w:tcW w:w="700" w:type="dxa"/>
                <w:hideMark/>
              </w:tcPr>
              <w:p w14:paraId="7975248A"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UK</w:t>
                </w:r>
              </w:p>
            </w:tc>
            <w:tc>
              <w:tcPr>
                <w:tcW w:w="992" w:type="dxa"/>
                <w:hideMark/>
              </w:tcPr>
              <w:p w14:paraId="1E07C2C9"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 </w:t>
                </w:r>
              </w:p>
            </w:tc>
            <w:tc>
              <w:tcPr>
                <w:tcW w:w="3010" w:type="dxa"/>
                <w:hideMark/>
              </w:tcPr>
              <w:p w14:paraId="2AC86E37" w14:textId="05915C03"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Burns to arms and face due to exploding ENDS</w:t>
                </w:r>
                <w:r w:rsidR="00BE3818">
                  <w:rPr>
                    <w:rFonts w:eastAsia="Times New Roman" w:cs="Calibri"/>
                    <w:sz w:val="16"/>
                    <w:szCs w:val="16"/>
                  </w:rPr>
                  <w:t>.</w:t>
                </w:r>
              </w:p>
            </w:tc>
            <w:tc>
              <w:tcPr>
                <w:tcW w:w="851" w:type="dxa"/>
                <w:hideMark/>
              </w:tcPr>
              <w:p w14:paraId="6638FB9C"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30</w:t>
                </w:r>
              </w:p>
            </w:tc>
            <w:tc>
              <w:tcPr>
                <w:tcW w:w="709" w:type="dxa"/>
                <w:hideMark/>
              </w:tcPr>
              <w:p w14:paraId="33198263"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F</w:t>
                </w:r>
              </w:p>
            </w:tc>
            <w:tc>
              <w:tcPr>
                <w:tcW w:w="1559" w:type="dxa"/>
                <w:hideMark/>
              </w:tcPr>
              <w:p w14:paraId="74ABED53"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Exploding ENDS</w:t>
                </w:r>
              </w:p>
            </w:tc>
            <w:tc>
              <w:tcPr>
                <w:tcW w:w="3202" w:type="dxa"/>
                <w:hideMark/>
              </w:tcPr>
              <w:p w14:paraId="02BC6F6F" w14:textId="6B905DD5"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As e-cig</w:t>
                </w:r>
                <w:r w:rsidR="00BE3818">
                  <w:rPr>
                    <w:rFonts w:eastAsia="Times New Roman" w:cs="Calibri"/>
                    <w:sz w:val="16"/>
                    <w:szCs w:val="16"/>
                  </w:rPr>
                  <w:t>arette</w:t>
                </w:r>
                <w:r w:rsidRPr="00EE147E">
                  <w:rPr>
                    <w:rFonts w:eastAsia="Times New Roman" w:cs="Calibri"/>
                    <w:sz w:val="16"/>
                    <w:szCs w:val="16"/>
                  </w:rPr>
                  <w:t xml:space="preserve"> use increases so will injuries</w:t>
                </w:r>
                <w:r w:rsidR="00BE3818">
                  <w:rPr>
                    <w:rFonts w:eastAsia="Times New Roman" w:cs="Calibri"/>
                    <w:sz w:val="16"/>
                    <w:szCs w:val="16"/>
                  </w:rPr>
                  <w:t>.</w:t>
                </w:r>
              </w:p>
            </w:tc>
            <w:tc>
              <w:tcPr>
                <w:tcW w:w="1735" w:type="dxa"/>
                <w:hideMark/>
              </w:tcPr>
              <w:p w14:paraId="120BA68E"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 </w:t>
                </w:r>
              </w:p>
            </w:tc>
          </w:tr>
          <w:tr w:rsidR="004E260E" w:rsidRPr="00EE147E" w14:paraId="6F955ACD" w14:textId="77777777" w:rsidTr="0086075F">
            <w:trPr>
              <w:cnfStyle w:val="000000100000" w:firstRow="0" w:lastRow="0" w:firstColumn="0" w:lastColumn="0" w:oddVBand="0" w:evenVBand="0" w:oddHBand="1"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1152" w:type="dxa"/>
                <w:hideMark/>
              </w:tcPr>
              <w:p w14:paraId="224E1D1E" w14:textId="77777777" w:rsidR="004E260E" w:rsidRPr="00EE147E" w:rsidRDefault="004E260E" w:rsidP="00EA178A">
                <w:pPr>
                  <w:spacing w:after="0"/>
                  <w:rPr>
                    <w:rFonts w:eastAsia="Times New Roman" w:cs="Calibri"/>
                    <w:sz w:val="16"/>
                    <w:szCs w:val="16"/>
                  </w:rPr>
                </w:pPr>
                <w:r w:rsidRPr="00EE147E">
                  <w:rPr>
                    <w:rFonts w:eastAsia="Times New Roman" w:cs="Calibri"/>
                    <w:sz w:val="16"/>
                    <w:szCs w:val="16"/>
                  </w:rPr>
                  <w:t>Andresen et al 2018</w:t>
                </w:r>
              </w:p>
            </w:tc>
            <w:tc>
              <w:tcPr>
                <w:tcW w:w="1145" w:type="dxa"/>
                <w:hideMark/>
              </w:tcPr>
              <w:p w14:paraId="29BFC1D2" w14:textId="652F8692"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Case report</w:t>
                </w:r>
                <w:r w:rsidR="00BE3818">
                  <w:rPr>
                    <w:rFonts w:eastAsia="Times New Roman" w:cs="Calibri"/>
                    <w:sz w:val="16"/>
                    <w:szCs w:val="16"/>
                  </w:rPr>
                  <w:t>.</w:t>
                </w:r>
              </w:p>
            </w:tc>
            <w:tc>
              <w:tcPr>
                <w:tcW w:w="700" w:type="dxa"/>
                <w:hideMark/>
              </w:tcPr>
              <w:p w14:paraId="3C7B586D"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USA (Iowa City)</w:t>
                </w:r>
              </w:p>
            </w:tc>
            <w:tc>
              <w:tcPr>
                <w:tcW w:w="992" w:type="dxa"/>
                <w:hideMark/>
              </w:tcPr>
              <w:p w14:paraId="62FC1DD8"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NA</w:t>
                </w:r>
              </w:p>
            </w:tc>
            <w:tc>
              <w:tcPr>
                <w:tcW w:w="3010" w:type="dxa"/>
                <w:hideMark/>
              </w:tcPr>
              <w:p w14:paraId="7D11D5E9" w14:textId="7E546A28"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 xml:space="preserve">Chemical burn and throat injury after falling </w:t>
                </w:r>
                <w:r w:rsidRPr="0075626D">
                  <w:rPr>
                    <w:rFonts w:eastAsia="Times New Roman" w:cs="Calibri"/>
                    <w:color w:val="auto"/>
                    <w:sz w:val="16"/>
                    <w:szCs w:val="16"/>
                  </w:rPr>
                  <w:t>with e-cig</w:t>
                </w:r>
                <w:r w:rsidR="0023709D">
                  <w:rPr>
                    <w:rFonts w:eastAsia="Times New Roman" w:cs="Calibri"/>
                    <w:sz w:val="16"/>
                    <w:szCs w:val="16"/>
                  </w:rPr>
                  <w:t>arette</w:t>
                </w:r>
                <w:r w:rsidRPr="0075626D">
                  <w:rPr>
                    <w:rFonts w:eastAsia="Times New Roman" w:cs="Calibri"/>
                    <w:sz w:val="16"/>
                    <w:szCs w:val="16"/>
                  </w:rPr>
                  <w:t xml:space="preserve"> </w:t>
                </w:r>
                <w:r w:rsidRPr="00EE147E">
                  <w:rPr>
                    <w:rFonts w:eastAsia="Times New Roman" w:cs="Calibri"/>
                    <w:sz w:val="16"/>
                    <w:szCs w:val="16"/>
                  </w:rPr>
                  <w:t>in mouth</w:t>
                </w:r>
                <w:r w:rsidR="00BE3818">
                  <w:rPr>
                    <w:rFonts w:eastAsia="Times New Roman" w:cs="Calibri"/>
                    <w:sz w:val="16"/>
                    <w:szCs w:val="16"/>
                  </w:rPr>
                  <w:t>.</w:t>
                </w:r>
              </w:p>
            </w:tc>
            <w:tc>
              <w:tcPr>
                <w:tcW w:w="851" w:type="dxa"/>
                <w:hideMark/>
              </w:tcPr>
              <w:p w14:paraId="304841CF"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NA</w:t>
                </w:r>
              </w:p>
            </w:tc>
            <w:tc>
              <w:tcPr>
                <w:tcW w:w="709" w:type="dxa"/>
                <w:hideMark/>
              </w:tcPr>
              <w:p w14:paraId="5F1166E8"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M</w:t>
                </w:r>
              </w:p>
            </w:tc>
            <w:tc>
              <w:tcPr>
                <w:tcW w:w="1559" w:type="dxa"/>
                <w:hideMark/>
              </w:tcPr>
              <w:p w14:paraId="39A5C1C6" w14:textId="5CBDA062"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Falling while e</w:t>
                </w:r>
                <w:r w:rsidR="00BE3818">
                  <w:rPr>
                    <w:rFonts w:eastAsia="Times New Roman" w:cs="Calibri"/>
                    <w:sz w:val="16"/>
                    <w:szCs w:val="16"/>
                  </w:rPr>
                  <w:noBreakHyphen/>
                </w:r>
                <w:r w:rsidRPr="00EE147E">
                  <w:rPr>
                    <w:rFonts w:eastAsia="Times New Roman" w:cs="Calibri"/>
                    <w:sz w:val="16"/>
                    <w:szCs w:val="16"/>
                  </w:rPr>
                  <w:t>cig</w:t>
                </w:r>
                <w:r w:rsidR="00BE3818">
                  <w:rPr>
                    <w:rFonts w:eastAsia="Times New Roman" w:cs="Calibri"/>
                    <w:sz w:val="16"/>
                    <w:szCs w:val="16"/>
                  </w:rPr>
                  <w:t>arette</w:t>
                </w:r>
                <w:r w:rsidRPr="00EE147E">
                  <w:rPr>
                    <w:rFonts w:eastAsia="Times New Roman" w:cs="Calibri"/>
                    <w:sz w:val="16"/>
                    <w:szCs w:val="16"/>
                  </w:rPr>
                  <w:t xml:space="preserve"> in mouth</w:t>
                </w:r>
              </w:p>
            </w:tc>
            <w:tc>
              <w:tcPr>
                <w:tcW w:w="3202" w:type="dxa"/>
                <w:hideMark/>
              </w:tcPr>
              <w:p w14:paraId="2707AD8F" w14:textId="6CE6C13E"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Unrecognised and unpublished danger associated with e-cig</w:t>
                </w:r>
                <w:r w:rsidR="00BE3818">
                  <w:rPr>
                    <w:rFonts w:eastAsia="Times New Roman" w:cs="Calibri"/>
                    <w:sz w:val="16"/>
                    <w:szCs w:val="16"/>
                  </w:rPr>
                  <w:t>arette</w:t>
                </w:r>
                <w:r w:rsidRPr="00EE147E">
                  <w:rPr>
                    <w:rFonts w:eastAsia="Times New Roman" w:cs="Calibri"/>
                    <w:sz w:val="16"/>
                    <w:szCs w:val="16"/>
                  </w:rPr>
                  <w:t xml:space="preserve"> use</w:t>
                </w:r>
                <w:r w:rsidR="00BE3818">
                  <w:rPr>
                    <w:rFonts w:eastAsia="Times New Roman" w:cs="Calibri"/>
                    <w:sz w:val="16"/>
                    <w:szCs w:val="16"/>
                  </w:rPr>
                  <w:t>.</w:t>
                </w:r>
              </w:p>
            </w:tc>
            <w:tc>
              <w:tcPr>
                <w:tcW w:w="1735" w:type="dxa"/>
                <w:hideMark/>
              </w:tcPr>
              <w:p w14:paraId="6C9A1E9D"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 </w:t>
                </w:r>
              </w:p>
            </w:tc>
          </w:tr>
          <w:tr w:rsidR="004E260E" w:rsidRPr="00EE147E" w14:paraId="30EAD59A" w14:textId="77777777" w:rsidTr="0086075F">
            <w:trPr>
              <w:trHeight w:val="132"/>
            </w:trPr>
            <w:tc>
              <w:tcPr>
                <w:cnfStyle w:val="001000000000" w:firstRow="0" w:lastRow="0" w:firstColumn="1" w:lastColumn="0" w:oddVBand="0" w:evenVBand="0" w:oddHBand="0" w:evenHBand="0" w:firstRowFirstColumn="0" w:firstRowLastColumn="0" w:lastRowFirstColumn="0" w:lastRowLastColumn="0"/>
                <w:tcW w:w="1152" w:type="dxa"/>
                <w:hideMark/>
              </w:tcPr>
              <w:p w14:paraId="4FC96EB8" w14:textId="77777777" w:rsidR="004E260E" w:rsidRPr="00EE147E" w:rsidRDefault="004E260E" w:rsidP="00EA178A">
                <w:pPr>
                  <w:spacing w:after="0"/>
                  <w:rPr>
                    <w:rFonts w:eastAsia="Times New Roman" w:cs="Calibri"/>
                    <w:sz w:val="16"/>
                    <w:szCs w:val="16"/>
                  </w:rPr>
                </w:pPr>
                <w:r w:rsidRPr="00EE147E">
                  <w:rPr>
                    <w:rFonts w:eastAsia="Times New Roman" w:cs="Calibri"/>
                    <w:sz w:val="16"/>
                    <w:szCs w:val="16"/>
                  </w:rPr>
                  <w:t>Arnaout et al 2017</w:t>
                </w:r>
              </w:p>
            </w:tc>
            <w:tc>
              <w:tcPr>
                <w:tcW w:w="1145" w:type="dxa"/>
                <w:hideMark/>
              </w:tcPr>
              <w:p w14:paraId="7DA9799B" w14:textId="6B3914CC" w:rsidR="004E260E" w:rsidRPr="00EE147E" w:rsidRDefault="004E260E" w:rsidP="0075626D">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Letter</w:t>
                </w:r>
                <w:r w:rsidR="00BE3818">
                  <w:rPr>
                    <w:rFonts w:eastAsia="Times New Roman" w:cs="Calibri"/>
                    <w:sz w:val="16"/>
                    <w:szCs w:val="16"/>
                  </w:rPr>
                  <w:t>.</w:t>
                </w:r>
              </w:p>
            </w:tc>
            <w:tc>
              <w:tcPr>
                <w:tcW w:w="700" w:type="dxa"/>
                <w:hideMark/>
              </w:tcPr>
              <w:p w14:paraId="69AB3DAC"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UK</w:t>
                </w:r>
              </w:p>
            </w:tc>
            <w:tc>
              <w:tcPr>
                <w:tcW w:w="992" w:type="dxa"/>
                <w:hideMark/>
              </w:tcPr>
              <w:p w14:paraId="6969CDD1"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 </w:t>
                </w:r>
              </w:p>
            </w:tc>
            <w:tc>
              <w:tcPr>
                <w:tcW w:w="3010" w:type="dxa"/>
                <w:hideMark/>
              </w:tcPr>
              <w:p w14:paraId="1B09BF11" w14:textId="57C73980"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Discussion of best ways to treat burns</w:t>
                </w:r>
                <w:r w:rsidR="00BE3818">
                  <w:rPr>
                    <w:rFonts w:eastAsia="Times New Roman" w:cs="Calibri"/>
                    <w:sz w:val="16"/>
                    <w:szCs w:val="16"/>
                  </w:rPr>
                  <w:t>.</w:t>
                </w:r>
                <w:r w:rsidRPr="00EE147E">
                  <w:rPr>
                    <w:rFonts w:eastAsia="Times New Roman" w:cs="Calibri"/>
                    <w:sz w:val="16"/>
                    <w:szCs w:val="16"/>
                  </w:rPr>
                  <w:t xml:space="preserve"> </w:t>
                </w:r>
              </w:p>
            </w:tc>
            <w:tc>
              <w:tcPr>
                <w:tcW w:w="851" w:type="dxa"/>
                <w:hideMark/>
              </w:tcPr>
              <w:p w14:paraId="5FF3B77B"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 </w:t>
                </w:r>
              </w:p>
            </w:tc>
            <w:tc>
              <w:tcPr>
                <w:tcW w:w="709" w:type="dxa"/>
                <w:hideMark/>
              </w:tcPr>
              <w:p w14:paraId="23D2CE64"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 </w:t>
                </w:r>
              </w:p>
            </w:tc>
            <w:tc>
              <w:tcPr>
                <w:tcW w:w="1559" w:type="dxa"/>
                <w:hideMark/>
              </w:tcPr>
              <w:p w14:paraId="69448A99"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 </w:t>
                </w:r>
              </w:p>
            </w:tc>
            <w:tc>
              <w:tcPr>
                <w:tcW w:w="3202" w:type="dxa"/>
                <w:hideMark/>
              </w:tcPr>
              <w:p w14:paraId="0585F93C" w14:textId="25208272" w:rsidR="004E260E" w:rsidRPr="00EE147E" w:rsidRDefault="00BE3818"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Pr>
                    <w:rFonts w:eastAsia="Times New Roman" w:cs="Calibri"/>
                    <w:sz w:val="16"/>
                    <w:szCs w:val="16"/>
                  </w:rPr>
                  <w:t>F</w:t>
                </w:r>
                <w:r w:rsidR="004E260E" w:rsidRPr="00EE147E">
                  <w:rPr>
                    <w:rFonts w:eastAsia="Times New Roman" w:cs="Calibri"/>
                    <w:sz w:val="16"/>
                    <w:szCs w:val="16"/>
                  </w:rPr>
                  <w:t>rom our experience of 12 cases a conservative approach in treating these burns is advocated unless the burns are full thickness and require skin grafting. We would still advise ﬁrst aid with copious amount of running cold water if access to mineral oil is not readily available</w:t>
                </w:r>
                <w:r>
                  <w:rPr>
                    <w:rFonts w:eastAsia="Times New Roman" w:cs="Calibri"/>
                    <w:sz w:val="16"/>
                    <w:szCs w:val="16"/>
                  </w:rPr>
                  <w:t>.</w:t>
                </w:r>
              </w:p>
            </w:tc>
            <w:tc>
              <w:tcPr>
                <w:tcW w:w="1735" w:type="dxa"/>
                <w:hideMark/>
              </w:tcPr>
              <w:p w14:paraId="7FB72A9D"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 </w:t>
                </w:r>
              </w:p>
            </w:tc>
          </w:tr>
          <w:tr w:rsidR="004E260E" w:rsidRPr="00EE147E" w14:paraId="6C4E9DA0" w14:textId="77777777" w:rsidTr="0086075F">
            <w:trPr>
              <w:cnfStyle w:val="000000100000" w:firstRow="0" w:lastRow="0" w:firstColumn="0" w:lastColumn="0" w:oddVBand="0" w:evenVBand="0" w:oddHBand="1" w:evenHBand="0" w:firstRowFirstColumn="0" w:firstRowLastColumn="0" w:lastRowFirstColumn="0" w:lastRowLastColumn="0"/>
              <w:trHeight w:val="1266"/>
            </w:trPr>
            <w:tc>
              <w:tcPr>
                <w:cnfStyle w:val="001000000000" w:firstRow="0" w:lastRow="0" w:firstColumn="1" w:lastColumn="0" w:oddVBand="0" w:evenVBand="0" w:oddHBand="0" w:evenHBand="0" w:firstRowFirstColumn="0" w:firstRowLastColumn="0" w:lastRowFirstColumn="0" w:lastRowLastColumn="0"/>
                <w:tcW w:w="1152" w:type="dxa"/>
                <w:vMerge w:val="restart"/>
                <w:hideMark/>
              </w:tcPr>
              <w:p w14:paraId="3C11457E" w14:textId="77777777" w:rsidR="004E260E" w:rsidRPr="00EE147E" w:rsidRDefault="004E260E" w:rsidP="00EA178A">
                <w:pPr>
                  <w:spacing w:after="0"/>
                  <w:rPr>
                    <w:rFonts w:eastAsia="Times New Roman" w:cs="Calibri"/>
                    <w:sz w:val="16"/>
                    <w:szCs w:val="16"/>
                  </w:rPr>
                </w:pPr>
                <w:r w:rsidRPr="00EE147E">
                  <w:rPr>
                    <w:rFonts w:eastAsia="Times New Roman" w:cs="Calibri"/>
                    <w:sz w:val="16"/>
                    <w:szCs w:val="16"/>
                  </w:rPr>
                  <w:t>Arnaout et al 2017</w:t>
                </w:r>
              </w:p>
            </w:tc>
            <w:tc>
              <w:tcPr>
                <w:tcW w:w="1145" w:type="dxa"/>
                <w:vMerge w:val="restart"/>
                <w:hideMark/>
              </w:tcPr>
              <w:p w14:paraId="7DA3D6B9" w14:textId="2C9301D6"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The Southwest UK Burns Network experience with e</w:t>
                </w:r>
                <w:r w:rsidR="00BE3818">
                  <w:rPr>
                    <w:rFonts w:eastAsia="Times New Roman" w:cs="Calibri"/>
                    <w:sz w:val="16"/>
                    <w:szCs w:val="16"/>
                  </w:rPr>
                  <w:noBreakHyphen/>
                </w:r>
                <w:r w:rsidRPr="00EE147E">
                  <w:rPr>
                    <w:rFonts w:eastAsia="Times New Roman" w:cs="Calibri"/>
                    <w:sz w:val="16"/>
                    <w:szCs w:val="16"/>
                  </w:rPr>
                  <w:t>cig</w:t>
                </w:r>
                <w:r w:rsidR="00BE3818">
                  <w:rPr>
                    <w:rFonts w:eastAsia="Times New Roman" w:cs="Calibri"/>
                    <w:sz w:val="16"/>
                    <w:szCs w:val="16"/>
                  </w:rPr>
                  <w:t>arette</w:t>
                </w:r>
                <w:r w:rsidRPr="00EE147E">
                  <w:rPr>
                    <w:rFonts w:eastAsia="Times New Roman" w:cs="Calibri"/>
                    <w:sz w:val="16"/>
                    <w:szCs w:val="16"/>
                  </w:rPr>
                  <w:t xml:space="preserve"> explosions and review of literature</w:t>
                </w:r>
                <w:r w:rsidR="00BE3818">
                  <w:rPr>
                    <w:rFonts w:eastAsia="Times New Roman" w:cs="Calibri"/>
                    <w:sz w:val="16"/>
                    <w:szCs w:val="16"/>
                  </w:rPr>
                  <w:t>.</w:t>
                </w:r>
              </w:p>
            </w:tc>
            <w:tc>
              <w:tcPr>
                <w:tcW w:w="700" w:type="dxa"/>
                <w:vMerge w:val="restart"/>
                <w:hideMark/>
              </w:tcPr>
              <w:p w14:paraId="11718340"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UK</w:t>
                </w:r>
              </w:p>
            </w:tc>
            <w:tc>
              <w:tcPr>
                <w:tcW w:w="992" w:type="dxa"/>
                <w:vMerge w:val="restart"/>
                <w:hideMark/>
              </w:tcPr>
              <w:p w14:paraId="4AC4F475"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Oct 2015 - July 2016</w:t>
                </w:r>
              </w:p>
            </w:tc>
            <w:tc>
              <w:tcPr>
                <w:tcW w:w="3010" w:type="dxa"/>
                <w:hideMark/>
              </w:tcPr>
              <w:p w14:paraId="00E30DEA" w14:textId="55D880EF" w:rsidR="004E260E" w:rsidRPr="0075626D"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75626D">
                  <w:rPr>
                    <w:rFonts w:eastAsia="Times New Roman" w:cs="Calibri"/>
                    <w:color w:val="auto"/>
                    <w:sz w:val="16"/>
                    <w:szCs w:val="16"/>
                  </w:rPr>
                  <w:t>Case 1 - e-cig</w:t>
                </w:r>
                <w:r w:rsidR="0023709D" w:rsidRPr="0075626D">
                  <w:rPr>
                    <w:rFonts w:eastAsia="Times New Roman" w:cs="Calibri"/>
                    <w:color w:val="auto"/>
                    <w:sz w:val="16"/>
                    <w:szCs w:val="16"/>
                  </w:rPr>
                  <w:t>arette</w:t>
                </w:r>
                <w:r w:rsidRPr="0075626D">
                  <w:rPr>
                    <w:rFonts w:eastAsia="Times New Roman" w:cs="Calibri"/>
                    <w:color w:val="auto"/>
                    <w:sz w:val="16"/>
                    <w:szCs w:val="16"/>
                  </w:rPr>
                  <w:t xml:space="preserve"> placed on charger when it shot across the room and exploded, igniting the carpet causing burns when attempting to put it out</w:t>
                </w:r>
                <w:r w:rsidR="00BE3818">
                  <w:rPr>
                    <w:rFonts w:eastAsia="Times New Roman" w:cs="Calibri"/>
                    <w:color w:val="auto"/>
                    <w:sz w:val="16"/>
                    <w:szCs w:val="16"/>
                  </w:rPr>
                  <w:t>.</w:t>
                </w:r>
              </w:p>
            </w:tc>
            <w:tc>
              <w:tcPr>
                <w:tcW w:w="851" w:type="dxa"/>
                <w:hideMark/>
              </w:tcPr>
              <w:p w14:paraId="21998295" w14:textId="77777777" w:rsidR="004E260E" w:rsidRPr="0075626D"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75626D">
                  <w:rPr>
                    <w:rFonts w:eastAsia="Times New Roman" w:cs="Calibri"/>
                    <w:color w:val="auto"/>
                    <w:sz w:val="16"/>
                    <w:szCs w:val="16"/>
                  </w:rPr>
                  <w:t>22</w:t>
                </w:r>
              </w:p>
            </w:tc>
            <w:tc>
              <w:tcPr>
                <w:tcW w:w="709" w:type="dxa"/>
                <w:hideMark/>
              </w:tcPr>
              <w:p w14:paraId="193346EE" w14:textId="77777777" w:rsidR="004E260E" w:rsidRPr="0075626D"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75626D">
                  <w:rPr>
                    <w:rFonts w:eastAsia="Times New Roman" w:cs="Calibri"/>
                    <w:color w:val="auto"/>
                    <w:sz w:val="16"/>
                    <w:szCs w:val="16"/>
                  </w:rPr>
                  <w:t>M</w:t>
                </w:r>
              </w:p>
            </w:tc>
            <w:tc>
              <w:tcPr>
                <w:tcW w:w="1559" w:type="dxa"/>
                <w:hideMark/>
              </w:tcPr>
              <w:p w14:paraId="5F34CB4C" w14:textId="77777777" w:rsidR="004E260E" w:rsidRPr="0075626D"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75626D">
                  <w:rPr>
                    <w:rFonts w:eastAsia="Times New Roman" w:cs="Calibri"/>
                    <w:color w:val="auto"/>
                    <w:sz w:val="16"/>
                    <w:szCs w:val="16"/>
                  </w:rPr>
                  <w:t>Exploding ENDS</w:t>
                </w:r>
              </w:p>
            </w:tc>
            <w:tc>
              <w:tcPr>
                <w:tcW w:w="3202" w:type="dxa"/>
                <w:vMerge w:val="restart"/>
                <w:hideMark/>
              </w:tcPr>
              <w:p w14:paraId="076818F6" w14:textId="510A3C00" w:rsidR="004E260E" w:rsidRPr="0075626D" w:rsidRDefault="004E260E" w:rsidP="00353B8B">
                <w:pPr>
                  <w:spacing w:after="0"/>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75626D">
                  <w:rPr>
                    <w:rFonts w:eastAsia="Times New Roman" w:cs="Calibri"/>
                    <w:color w:val="auto"/>
                    <w:sz w:val="16"/>
                    <w:szCs w:val="16"/>
                  </w:rPr>
                  <w:t>Use mineral oil to treat burns not water. Recommend restrictions to import of e</w:t>
                </w:r>
                <w:r w:rsidR="0023709D" w:rsidRPr="0075626D">
                  <w:rPr>
                    <w:rFonts w:eastAsia="Times New Roman" w:cs="Calibri"/>
                    <w:color w:val="auto"/>
                    <w:sz w:val="16"/>
                    <w:szCs w:val="16"/>
                  </w:rPr>
                  <w:noBreakHyphen/>
                </w:r>
                <w:r w:rsidRPr="0075626D">
                  <w:rPr>
                    <w:rFonts w:eastAsia="Times New Roman" w:cs="Calibri"/>
                    <w:color w:val="auto"/>
                    <w:sz w:val="16"/>
                    <w:szCs w:val="16"/>
                  </w:rPr>
                  <w:t>cigarettes to ensure standards met. Consumer guidance needed re storage and charging of e-cigarettes. Query allowing e</w:t>
                </w:r>
                <w:r w:rsidR="00BE3818">
                  <w:rPr>
                    <w:rFonts w:eastAsia="Times New Roman" w:cs="Calibri"/>
                    <w:color w:val="auto"/>
                    <w:sz w:val="16"/>
                    <w:szCs w:val="16"/>
                  </w:rPr>
                  <w:noBreakHyphen/>
                </w:r>
                <w:r w:rsidRPr="0075626D">
                  <w:rPr>
                    <w:rFonts w:eastAsia="Times New Roman" w:cs="Calibri"/>
                    <w:color w:val="auto"/>
                    <w:sz w:val="16"/>
                    <w:szCs w:val="16"/>
                  </w:rPr>
                  <w:t>cigarettes in carry-on luggage on aircraft</w:t>
                </w:r>
                <w:r w:rsidR="00BE3818">
                  <w:rPr>
                    <w:rFonts w:eastAsia="Times New Roman" w:cs="Calibri"/>
                    <w:color w:val="auto"/>
                    <w:sz w:val="16"/>
                    <w:szCs w:val="16"/>
                  </w:rPr>
                  <w:t>.</w:t>
                </w:r>
              </w:p>
            </w:tc>
            <w:tc>
              <w:tcPr>
                <w:tcW w:w="1735" w:type="dxa"/>
                <w:vMerge w:val="restart"/>
                <w:hideMark/>
              </w:tcPr>
              <w:p w14:paraId="3F925834" w14:textId="4D895924" w:rsidR="004E260E" w:rsidRPr="00EE147E" w:rsidRDefault="004E260E" w:rsidP="0075626D">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Injuries often preceded with 'battery in the pocket' -damp environment may have sufficient moisture to start a chemical reaction with battery and presence of metal objects can produce a</w:t>
                </w:r>
                <w:r w:rsidR="0023709D">
                  <w:rPr>
                    <w:rFonts w:eastAsia="Times New Roman" w:cs="Calibri"/>
                    <w:sz w:val="16"/>
                    <w:szCs w:val="16"/>
                  </w:rPr>
                  <w:t xml:space="preserve"> </w:t>
                </w:r>
                <w:r w:rsidRPr="00EE147E">
                  <w:rPr>
                    <w:rFonts w:eastAsia="Times New Roman" w:cs="Calibri"/>
                    <w:sz w:val="16"/>
                    <w:szCs w:val="16"/>
                  </w:rPr>
                  <w:t>short</w:t>
                </w:r>
                <w:r w:rsidR="0075626D">
                  <w:rPr>
                    <w:rFonts w:eastAsia="Times New Roman" w:cs="Calibri"/>
                    <w:sz w:val="16"/>
                    <w:szCs w:val="16"/>
                  </w:rPr>
                  <w:t xml:space="preserve"> </w:t>
                </w:r>
                <w:r w:rsidRPr="00EE147E">
                  <w:rPr>
                    <w:rFonts w:eastAsia="Times New Roman" w:cs="Calibri"/>
                    <w:sz w:val="16"/>
                    <w:szCs w:val="16"/>
                  </w:rPr>
                  <w:t>circuit which can overheat the battery leading to an explosion.</w:t>
                </w:r>
              </w:p>
            </w:tc>
          </w:tr>
          <w:tr w:rsidR="004E260E" w:rsidRPr="00EE147E" w14:paraId="2BE2D44B" w14:textId="77777777" w:rsidTr="0086075F">
            <w:trPr>
              <w:trHeight w:val="1192"/>
            </w:trPr>
            <w:tc>
              <w:tcPr>
                <w:cnfStyle w:val="001000000000" w:firstRow="0" w:lastRow="0" w:firstColumn="1" w:lastColumn="0" w:oddVBand="0" w:evenVBand="0" w:oddHBand="0" w:evenHBand="0" w:firstRowFirstColumn="0" w:firstRowLastColumn="0" w:lastRowFirstColumn="0" w:lastRowLastColumn="0"/>
                <w:tcW w:w="1152" w:type="dxa"/>
                <w:vMerge/>
                <w:hideMark/>
              </w:tcPr>
              <w:p w14:paraId="1F02020E" w14:textId="77777777" w:rsidR="004E260E" w:rsidRPr="00EE147E" w:rsidRDefault="004E260E" w:rsidP="00EA178A">
                <w:pPr>
                  <w:spacing w:after="0"/>
                  <w:rPr>
                    <w:rFonts w:eastAsia="Times New Roman" w:cs="Calibri"/>
                    <w:sz w:val="16"/>
                    <w:szCs w:val="16"/>
                  </w:rPr>
                </w:pPr>
              </w:p>
            </w:tc>
            <w:tc>
              <w:tcPr>
                <w:tcW w:w="1145" w:type="dxa"/>
                <w:vMerge/>
                <w:hideMark/>
              </w:tcPr>
              <w:p w14:paraId="2B15A18A"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p>
            </w:tc>
            <w:tc>
              <w:tcPr>
                <w:tcW w:w="700" w:type="dxa"/>
                <w:vMerge/>
                <w:hideMark/>
              </w:tcPr>
              <w:p w14:paraId="77E2E56D"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p>
            </w:tc>
            <w:tc>
              <w:tcPr>
                <w:tcW w:w="992" w:type="dxa"/>
                <w:vMerge/>
                <w:hideMark/>
              </w:tcPr>
              <w:p w14:paraId="56886C93"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p>
            </w:tc>
            <w:tc>
              <w:tcPr>
                <w:tcW w:w="3010" w:type="dxa"/>
                <w:hideMark/>
              </w:tcPr>
              <w:p w14:paraId="4ABA257C" w14:textId="60D4E952" w:rsidR="004E260E" w:rsidRPr="0075626D"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75626D">
                  <w:rPr>
                    <w:rFonts w:eastAsia="Times New Roman" w:cs="Calibri"/>
                    <w:color w:val="auto"/>
                    <w:sz w:val="16"/>
                    <w:szCs w:val="16"/>
                  </w:rPr>
                  <w:t>Case 2 - e-cig</w:t>
                </w:r>
                <w:r w:rsidR="0023709D" w:rsidRPr="0075626D">
                  <w:rPr>
                    <w:rFonts w:eastAsia="Times New Roman" w:cs="Calibri"/>
                    <w:color w:val="auto"/>
                    <w:sz w:val="16"/>
                    <w:szCs w:val="16"/>
                  </w:rPr>
                  <w:t>arette</w:t>
                </w:r>
                <w:r w:rsidRPr="0075626D">
                  <w:rPr>
                    <w:rFonts w:eastAsia="Times New Roman" w:cs="Calibri"/>
                    <w:color w:val="auto"/>
                    <w:sz w:val="16"/>
                    <w:szCs w:val="16"/>
                  </w:rPr>
                  <w:t xml:space="preserve"> in pocket when it exploded causing burns to thigh and scrotum and hand when trying to put it out</w:t>
                </w:r>
                <w:r w:rsidR="00BE3818">
                  <w:rPr>
                    <w:rFonts w:eastAsia="Times New Roman" w:cs="Calibri"/>
                    <w:color w:val="auto"/>
                    <w:sz w:val="16"/>
                    <w:szCs w:val="16"/>
                  </w:rPr>
                  <w:t>.</w:t>
                </w:r>
              </w:p>
            </w:tc>
            <w:tc>
              <w:tcPr>
                <w:tcW w:w="851" w:type="dxa"/>
                <w:hideMark/>
              </w:tcPr>
              <w:p w14:paraId="623CD6F8" w14:textId="77777777" w:rsidR="004E260E" w:rsidRPr="0075626D"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75626D">
                  <w:rPr>
                    <w:rFonts w:eastAsia="Times New Roman" w:cs="Calibri"/>
                    <w:color w:val="auto"/>
                    <w:sz w:val="16"/>
                    <w:szCs w:val="16"/>
                  </w:rPr>
                  <w:t>22</w:t>
                </w:r>
              </w:p>
            </w:tc>
            <w:tc>
              <w:tcPr>
                <w:tcW w:w="709" w:type="dxa"/>
                <w:hideMark/>
              </w:tcPr>
              <w:p w14:paraId="530FC887" w14:textId="77777777" w:rsidR="004E260E" w:rsidRPr="0075626D"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75626D">
                  <w:rPr>
                    <w:rFonts w:eastAsia="Times New Roman" w:cs="Calibri"/>
                    <w:color w:val="auto"/>
                    <w:sz w:val="16"/>
                    <w:szCs w:val="16"/>
                  </w:rPr>
                  <w:t>M</w:t>
                </w:r>
              </w:p>
            </w:tc>
            <w:tc>
              <w:tcPr>
                <w:tcW w:w="1559" w:type="dxa"/>
                <w:hideMark/>
              </w:tcPr>
              <w:p w14:paraId="1F8CB41E" w14:textId="77777777" w:rsidR="004E260E" w:rsidRPr="0075626D"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75626D">
                  <w:rPr>
                    <w:rFonts w:eastAsia="Times New Roman" w:cs="Calibri"/>
                    <w:color w:val="auto"/>
                    <w:sz w:val="16"/>
                    <w:szCs w:val="16"/>
                  </w:rPr>
                  <w:t>Exploding ENDS</w:t>
                </w:r>
              </w:p>
            </w:tc>
            <w:tc>
              <w:tcPr>
                <w:tcW w:w="3202" w:type="dxa"/>
                <w:vMerge/>
                <w:hideMark/>
              </w:tcPr>
              <w:p w14:paraId="73E6AAE7" w14:textId="77777777" w:rsidR="004E260E" w:rsidRPr="0075626D"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p>
            </w:tc>
            <w:tc>
              <w:tcPr>
                <w:tcW w:w="1735" w:type="dxa"/>
                <w:vMerge/>
                <w:hideMark/>
              </w:tcPr>
              <w:p w14:paraId="73374F1C"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p>
            </w:tc>
          </w:tr>
          <w:tr w:rsidR="004E260E" w:rsidRPr="00EE147E" w14:paraId="7A52DAF2" w14:textId="77777777" w:rsidTr="0086075F">
            <w:trPr>
              <w:cnfStyle w:val="000000100000" w:firstRow="0" w:lastRow="0" w:firstColumn="0" w:lastColumn="0" w:oddVBand="0" w:evenVBand="0" w:oddHBand="1" w:evenHBand="0" w:firstRowFirstColumn="0" w:firstRowLastColumn="0" w:lastRowFirstColumn="0" w:lastRowLastColumn="0"/>
              <w:trHeight w:val="1192"/>
            </w:trPr>
            <w:tc>
              <w:tcPr>
                <w:cnfStyle w:val="001000000000" w:firstRow="0" w:lastRow="0" w:firstColumn="1" w:lastColumn="0" w:oddVBand="0" w:evenVBand="0" w:oddHBand="0" w:evenHBand="0" w:firstRowFirstColumn="0" w:firstRowLastColumn="0" w:lastRowFirstColumn="0" w:lastRowLastColumn="0"/>
                <w:tcW w:w="1152" w:type="dxa"/>
                <w:vMerge/>
                <w:hideMark/>
              </w:tcPr>
              <w:p w14:paraId="37F7031C" w14:textId="77777777" w:rsidR="004E260E" w:rsidRPr="00EE147E" w:rsidRDefault="004E260E" w:rsidP="00EA178A">
                <w:pPr>
                  <w:spacing w:after="0"/>
                  <w:rPr>
                    <w:rFonts w:eastAsia="Times New Roman" w:cs="Calibri"/>
                    <w:sz w:val="16"/>
                    <w:szCs w:val="16"/>
                  </w:rPr>
                </w:pPr>
              </w:p>
            </w:tc>
            <w:tc>
              <w:tcPr>
                <w:tcW w:w="1145" w:type="dxa"/>
                <w:vMerge/>
                <w:hideMark/>
              </w:tcPr>
              <w:p w14:paraId="1A3F160D"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p>
            </w:tc>
            <w:tc>
              <w:tcPr>
                <w:tcW w:w="700" w:type="dxa"/>
                <w:vMerge/>
                <w:hideMark/>
              </w:tcPr>
              <w:p w14:paraId="013DB224"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p>
            </w:tc>
            <w:tc>
              <w:tcPr>
                <w:tcW w:w="992" w:type="dxa"/>
                <w:vMerge/>
                <w:hideMark/>
              </w:tcPr>
              <w:p w14:paraId="36E7B225"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p>
            </w:tc>
            <w:tc>
              <w:tcPr>
                <w:tcW w:w="3010" w:type="dxa"/>
                <w:hideMark/>
              </w:tcPr>
              <w:p w14:paraId="71AA0F94" w14:textId="38A25124"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Case 3 - had lithium-ion battery in pocket with coins when battery starts heating up then bursts in to flames</w:t>
                </w:r>
                <w:r w:rsidR="0075626D">
                  <w:rPr>
                    <w:rFonts w:eastAsia="Times New Roman" w:cs="Calibri"/>
                    <w:sz w:val="16"/>
                    <w:szCs w:val="16"/>
                  </w:rPr>
                  <w:t>.</w:t>
                </w:r>
              </w:p>
            </w:tc>
            <w:tc>
              <w:tcPr>
                <w:tcW w:w="851" w:type="dxa"/>
                <w:hideMark/>
              </w:tcPr>
              <w:p w14:paraId="242499C7"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49</w:t>
                </w:r>
              </w:p>
            </w:tc>
            <w:tc>
              <w:tcPr>
                <w:tcW w:w="709" w:type="dxa"/>
                <w:hideMark/>
              </w:tcPr>
              <w:p w14:paraId="2B2C2842"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M</w:t>
                </w:r>
              </w:p>
            </w:tc>
            <w:tc>
              <w:tcPr>
                <w:tcW w:w="1559" w:type="dxa"/>
                <w:hideMark/>
              </w:tcPr>
              <w:p w14:paraId="581131F5"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Exploding ENDS</w:t>
                </w:r>
              </w:p>
            </w:tc>
            <w:tc>
              <w:tcPr>
                <w:tcW w:w="3202" w:type="dxa"/>
                <w:vMerge/>
                <w:hideMark/>
              </w:tcPr>
              <w:p w14:paraId="26B676DF"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p>
            </w:tc>
            <w:tc>
              <w:tcPr>
                <w:tcW w:w="1735" w:type="dxa"/>
                <w:vMerge/>
                <w:hideMark/>
              </w:tcPr>
              <w:p w14:paraId="40FB0DF2"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p>
            </w:tc>
          </w:tr>
          <w:tr w:rsidR="004E260E" w:rsidRPr="00EE147E" w14:paraId="765982F6" w14:textId="77777777" w:rsidTr="0086075F">
            <w:trPr>
              <w:trHeight w:val="426"/>
            </w:trPr>
            <w:tc>
              <w:tcPr>
                <w:cnfStyle w:val="001000000000" w:firstRow="0" w:lastRow="0" w:firstColumn="1" w:lastColumn="0" w:oddVBand="0" w:evenVBand="0" w:oddHBand="0" w:evenHBand="0" w:firstRowFirstColumn="0" w:firstRowLastColumn="0" w:lastRowFirstColumn="0" w:lastRowLastColumn="0"/>
                <w:tcW w:w="1152" w:type="dxa"/>
                <w:hideMark/>
              </w:tcPr>
              <w:p w14:paraId="57A6748B" w14:textId="77777777" w:rsidR="004E260E" w:rsidRPr="00EE147E" w:rsidRDefault="004E260E" w:rsidP="00EA178A">
                <w:pPr>
                  <w:spacing w:after="0"/>
                  <w:rPr>
                    <w:rFonts w:eastAsia="Times New Roman" w:cs="Calibri"/>
                    <w:sz w:val="16"/>
                    <w:szCs w:val="16"/>
                  </w:rPr>
                </w:pPr>
                <w:r w:rsidRPr="00EE147E">
                  <w:rPr>
                    <w:rFonts w:eastAsia="Times New Roman" w:cs="Calibri"/>
                    <w:sz w:val="16"/>
                    <w:szCs w:val="16"/>
                  </w:rPr>
                  <w:t>Ban C et al Sept 2017 ABSTRACT ONLY</w:t>
                </w:r>
              </w:p>
            </w:tc>
            <w:tc>
              <w:tcPr>
                <w:tcW w:w="1145" w:type="dxa"/>
                <w:hideMark/>
              </w:tcPr>
              <w:p w14:paraId="27D1D170" w14:textId="623BE51E"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Case report</w:t>
                </w:r>
                <w:r w:rsidR="0075626D">
                  <w:rPr>
                    <w:rFonts w:eastAsia="Times New Roman" w:cs="Calibri"/>
                    <w:sz w:val="16"/>
                    <w:szCs w:val="16"/>
                  </w:rPr>
                  <w:t>.</w:t>
                </w:r>
              </w:p>
            </w:tc>
            <w:tc>
              <w:tcPr>
                <w:tcW w:w="700" w:type="dxa"/>
                <w:hideMark/>
              </w:tcPr>
              <w:p w14:paraId="375C8077"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USA</w:t>
                </w:r>
              </w:p>
            </w:tc>
            <w:tc>
              <w:tcPr>
                <w:tcW w:w="992" w:type="dxa"/>
                <w:hideMark/>
              </w:tcPr>
              <w:p w14:paraId="72B939B5" w14:textId="4B5FCC6C" w:rsidR="004E260E" w:rsidRPr="00EE147E" w:rsidRDefault="0075626D"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Pr>
                    <w:rFonts w:eastAsia="Times New Roman" w:cs="Calibri"/>
                    <w:sz w:val="16"/>
                    <w:szCs w:val="16"/>
                  </w:rPr>
                  <w:t>NR</w:t>
                </w:r>
              </w:p>
            </w:tc>
            <w:tc>
              <w:tcPr>
                <w:tcW w:w="3010" w:type="dxa"/>
                <w:hideMark/>
              </w:tcPr>
              <w:p w14:paraId="46E7C4D9" w14:textId="460FA5DA"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ENDS device exploded after changing the battery causing first degree burns to the abdomen, fracturing</w:t>
                </w:r>
                <w:r w:rsidR="008146F9">
                  <w:rPr>
                    <w:rFonts w:eastAsia="Times New Roman" w:cs="Calibri"/>
                    <w:sz w:val="16"/>
                    <w:szCs w:val="16"/>
                  </w:rPr>
                  <w:t xml:space="preserve"> </w:t>
                </w:r>
                <w:r w:rsidRPr="00EE147E">
                  <w:rPr>
                    <w:rFonts w:eastAsia="Times New Roman" w:cs="Calibri"/>
                    <w:sz w:val="16"/>
                    <w:szCs w:val="16"/>
                  </w:rPr>
                  <w:t>right thumb, and embedding a portion of the electronic cigarette into the maxilla</w:t>
                </w:r>
                <w:r w:rsidR="0075626D">
                  <w:rPr>
                    <w:rFonts w:eastAsia="Times New Roman" w:cs="Calibri"/>
                    <w:sz w:val="16"/>
                    <w:szCs w:val="16"/>
                  </w:rPr>
                  <w:t>.</w:t>
                </w:r>
              </w:p>
            </w:tc>
            <w:tc>
              <w:tcPr>
                <w:tcW w:w="851" w:type="dxa"/>
                <w:hideMark/>
              </w:tcPr>
              <w:p w14:paraId="4477887B"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53</w:t>
                </w:r>
              </w:p>
            </w:tc>
            <w:tc>
              <w:tcPr>
                <w:tcW w:w="709" w:type="dxa"/>
                <w:hideMark/>
              </w:tcPr>
              <w:p w14:paraId="38BBB3BF"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M</w:t>
                </w:r>
              </w:p>
            </w:tc>
            <w:tc>
              <w:tcPr>
                <w:tcW w:w="1559" w:type="dxa"/>
                <w:hideMark/>
              </w:tcPr>
              <w:p w14:paraId="13EB70CB"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Exploding ENDS</w:t>
                </w:r>
              </w:p>
            </w:tc>
            <w:tc>
              <w:tcPr>
                <w:tcW w:w="3202" w:type="dxa"/>
                <w:hideMark/>
              </w:tcPr>
              <w:p w14:paraId="4A52DD62"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 xml:space="preserve">Given the recent rise in popularity of electronic cigarettes, combined with the volatile nature </w:t>
                </w:r>
                <w:r w:rsidRPr="00EE147E">
                  <w:rPr>
                    <w:rFonts w:eastAsia="Times New Roman" w:cs="Calibri"/>
                    <w:color w:val="auto"/>
                    <w:sz w:val="16"/>
                    <w:szCs w:val="16"/>
                  </w:rPr>
                  <w:t>of lithium batteries, it stands to reason that maxillofacial blast injuries from electronic cigarettes will increase in frequency.</w:t>
                </w:r>
              </w:p>
            </w:tc>
            <w:tc>
              <w:tcPr>
                <w:tcW w:w="1735" w:type="dxa"/>
                <w:hideMark/>
              </w:tcPr>
              <w:p w14:paraId="6803D6EF"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 </w:t>
                </w:r>
              </w:p>
            </w:tc>
          </w:tr>
          <w:tr w:rsidR="004E260E" w:rsidRPr="00EE147E" w14:paraId="207AFCC3" w14:textId="77777777" w:rsidTr="0086075F">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1152" w:type="dxa"/>
                <w:vMerge w:val="restart"/>
                <w:hideMark/>
              </w:tcPr>
              <w:p w14:paraId="63020609" w14:textId="77777777" w:rsidR="004E260E" w:rsidRPr="00EE147E" w:rsidRDefault="004E260E" w:rsidP="00EA178A">
                <w:pPr>
                  <w:spacing w:after="0"/>
                  <w:rPr>
                    <w:rFonts w:eastAsia="Times New Roman" w:cs="Calibri"/>
                    <w:sz w:val="16"/>
                    <w:szCs w:val="16"/>
                  </w:rPr>
                </w:pPr>
                <w:r w:rsidRPr="00EE147E">
                  <w:rPr>
                    <w:rFonts w:eastAsia="Times New Roman" w:cs="Calibri"/>
                    <w:sz w:val="16"/>
                    <w:szCs w:val="16"/>
                  </w:rPr>
                  <w:t>Bauman et al 2017</w:t>
                </w:r>
              </w:p>
            </w:tc>
            <w:tc>
              <w:tcPr>
                <w:tcW w:w="1145" w:type="dxa"/>
                <w:vMerge w:val="restart"/>
                <w:hideMark/>
              </w:tcPr>
              <w:p w14:paraId="5FAE6C0C" w14:textId="2ED1A623"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Case report</w:t>
                </w:r>
                <w:r w:rsidR="0075626D">
                  <w:rPr>
                    <w:rFonts w:eastAsia="Times New Roman" w:cs="Calibri"/>
                    <w:sz w:val="16"/>
                    <w:szCs w:val="16"/>
                  </w:rPr>
                  <w:t>.</w:t>
                </w:r>
              </w:p>
            </w:tc>
            <w:tc>
              <w:tcPr>
                <w:tcW w:w="700" w:type="dxa"/>
                <w:vMerge w:val="restart"/>
                <w:hideMark/>
              </w:tcPr>
              <w:p w14:paraId="4173EDF6"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USA</w:t>
                </w:r>
              </w:p>
            </w:tc>
            <w:tc>
              <w:tcPr>
                <w:tcW w:w="992" w:type="dxa"/>
                <w:vMerge w:val="restart"/>
                <w:hideMark/>
              </w:tcPr>
              <w:p w14:paraId="177CDBE6" w14:textId="353231F6"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N</w:t>
                </w:r>
                <w:r w:rsidR="0075626D">
                  <w:rPr>
                    <w:rFonts w:eastAsia="Times New Roman" w:cs="Calibri"/>
                    <w:sz w:val="16"/>
                    <w:szCs w:val="16"/>
                  </w:rPr>
                  <w:t>R</w:t>
                </w:r>
              </w:p>
            </w:tc>
            <w:tc>
              <w:tcPr>
                <w:tcW w:w="3010" w:type="dxa"/>
                <w:hideMark/>
              </w:tcPr>
              <w:p w14:paraId="2C0CBEC1" w14:textId="615A6985"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Case 1 - lithium ion battery runaway caused an explosion of ENDS in pants pocket resulting in extensive thigh burn</w:t>
                </w:r>
                <w:r w:rsidR="0075626D">
                  <w:rPr>
                    <w:rFonts w:eastAsia="Times New Roman" w:cs="Calibri"/>
                    <w:sz w:val="16"/>
                    <w:szCs w:val="16"/>
                  </w:rPr>
                  <w:t>.</w:t>
                </w:r>
              </w:p>
            </w:tc>
            <w:tc>
              <w:tcPr>
                <w:tcW w:w="851" w:type="dxa"/>
                <w:hideMark/>
              </w:tcPr>
              <w:p w14:paraId="7FFEAE6D"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58</w:t>
                </w:r>
              </w:p>
            </w:tc>
            <w:tc>
              <w:tcPr>
                <w:tcW w:w="709" w:type="dxa"/>
                <w:hideMark/>
              </w:tcPr>
              <w:p w14:paraId="68769444"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M</w:t>
                </w:r>
              </w:p>
            </w:tc>
            <w:tc>
              <w:tcPr>
                <w:tcW w:w="1559" w:type="dxa"/>
                <w:hideMark/>
              </w:tcPr>
              <w:p w14:paraId="2822DA88"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Exploding ENDS</w:t>
                </w:r>
              </w:p>
            </w:tc>
            <w:tc>
              <w:tcPr>
                <w:tcW w:w="3202" w:type="dxa"/>
                <w:hideMark/>
              </w:tcPr>
              <w:p w14:paraId="5C266779"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 </w:t>
                </w:r>
              </w:p>
            </w:tc>
            <w:tc>
              <w:tcPr>
                <w:tcW w:w="1735" w:type="dxa"/>
                <w:hideMark/>
              </w:tcPr>
              <w:p w14:paraId="485C8584" w14:textId="77CB3FE9" w:rsidR="004E260E" w:rsidRPr="00EE147E" w:rsidRDefault="00013E76"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hyperlink r:id="rId28" w:tooltip="Learn more about Lithium (medication)" w:history="1">
                  <w:r w:rsidR="004E260E" w:rsidRPr="00EE147E">
                    <w:rPr>
                      <w:rFonts w:eastAsia="Times New Roman" w:cs="Calibri"/>
                      <w:sz w:val="16"/>
                      <w:szCs w:val="16"/>
                    </w:rPr>
                    <w:t>Lithium batteries can become flawed from three different mechanisms: thermal damage, mechanical damage or electrical damage</w:t>
                  </w:r>
                </w:hyperlink>
                <w:r w:rsidR="0075626D">
                  <w:rPr>
                    <w:rFonts w:eastAsia="Times New Roman" w:cs="Calibri"/>
                    <w:sz w:val="16"/>
                    <w:szCs w:val="16"/>
                  </w:rPr>
                  <w:t>.</w:t>
                </w:r>
              </w:p>
            </w:tc>
          </w:tr>
          <w:tr w:rsidR="004E260E" w:rsidRPr="00EE147E" w14:paraId="2E3D3A4F" w14:textId="77777777" w:rsidTr="0086075F">
            <w:trPr>
              <w:trHeight w:val="671"/>
            </w:trPr>
            <w:tc>
              <w:tcPr>
                <w:cnfStyle w:val="001000000000" w:firstRow="0" w:lastRow="0" w:firstColumn="1" w:lastColumn="0" w:oddVBand="0" w:evenVBand="0" w:oddHBand="0" w:evenHBand="0" w:firstRowFirstColumn="0" w:firstRowLastColumn="0" w:lastRowFirstColumn="0" w:lastRowLastColumn="0"/>
                <w:tcW w:w="1152" w:type="dxa"/>
                <w:vMerge/>
                <w:hideMark/>
              </w:tcPr>
              <w:p w14:paraId="293F7638" w14:textId="77777777" w:rsidR="004E260E" w:rsidRPr="00EE147E" w:rsidRDefault="004E260E" w:rsidP="00EA178A">
                <w:pPr>
                  <w:spacing w:after="0"/>
                  <w:rPr>
                    <w:rFonts w:eastAsia="Times New Roman" w:cs="Calibri"/>
                    <w:sz w:val="16"/>
                    <w:szCs w:val="16"/>
                  </w:rPr>
                </w:pPr>
              </w:p>
            </w:tc>
            <w:tc>
              <w:tcPr>
                <w:tcW w:w="1145" w:type="dxa"/>
                <w:vMerge/>
                <w:hideMark/>
              </w:tcPr>
              <w:p w14:paraId="02A710B9"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p>
            </w:tc>
            <w:tc>
              <w:tcPr>
                <w:tcW w:w="700" w:type="dxa"/>
                <w:vMerge/>
                <w:hideMark/>
              </w:tcPr>
              <w:p w14:paraId="5E393C88"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p>
            </w:tc>
            <w:tc>
              <w:tcPr>
                <w:tcW w:w="992" w:type="dxa"/>
                <w:vMerge/>
                <w:hideMark/>
              </w:tcPr>
              <w:p w14:paraId="54D41782"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p>
            </w:tc>
            <w:tc>
              <w:tcPr>
                <w:tcW w:w="3010" w:type="dxa"/>
                <w:hideMark/>
              </w:tcPr>
              <w:p w14:paraId="6796A87F" w14:textId="648EFE89"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Case 2 - he disassembled his e-cigarette and changed out the used battery, putting the device in his right anterior pants pocket, which also contained his car keys and some spare change. These metallic items likely caused a short in the unshielded battery leading to thermal runaway and the resulting flame burn</w:t>
                </w:r>
                <w:r w:rsidR="0075626D">
                  <w:rPr>
                    <w:rFonts w:eastAsia="Times New Roman" w:cs="Calibri"/>
                    <w:sz w:val="16"/>
                    <w:szCs w:val="16"/>
                  </w:rPr>
                  <w:t>.</w:t>
                </w:r>
              </w:p>
            </w:tc>
            <w:tc>
              <w:tcPr>
                <w:tcW w:w="851" w:type="dxa"/>
                <w:hideMark/>
              </w:tcPr>
              <w:p w14:paraId="19CAFAEA"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20</w:t>
                </w:r>
              </w:p>
            </w:tc>
            <w:tc>
              <w:tcPr>
                <w:tcW w:w="709" w:type="dxa"/>
                <w:hideMark/>
              </w:tcPr>
              <w:p w14:paraId="1B089044"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M</w:t>
                </w:r>
              </w:p>
            </w:tc>
            <w:tc>
              <w:tcPr>
                <w:tcW w:w="1559" w:type="dxa"/>
                <w:hideMark/>
              </w:tcPr>
              <w:p w14:paraId="32934F74"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Flaming ENDS</w:t>
                </w:r>
              </w:p>
            </w:tc>
            <w:tc>
              <w:tcPr>
                <w:tcW w:w="3202" w:type="dxa"/>
                <w:hideMark/>
              </w:tcPr>
              <w:p w14:paraId="585BEB4F"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 </w:t>
                </w:r>
              </w:p>
            </w:tc>
            <w:tc>
              <w:tcPr>
                <w:tcW w:w="1735" w:type="dxa"/>
                <w:hideMark/>
              </w:tcPr>
              <w:p w14:paraId="595F0B31"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 </w:t>
                </w:r>
              </w:p>
            </w:tc>
          </w:tr>
          <w:tr w:rsidR="004E260E" w:rsidRPr="00EE147E" w14:paraId="02764CE4" w14:textId="77777777" w:rsidTr="0086075F">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1152" w:type="dxa"/>
                <w:vMerge/>
                <w:hideMark/>
              </w:tcPr>
              <w:p w14:paraId="7DF2A490" w14:textId="77777777" w:rsidR="004E260E" w:rsidRPr="00EE147E" w:rsidRDefault="004E260E" w:rsidP="00EA178A">
                <w:pPr>
                  <w:spacing w:after="0"/>
                  <w:rPr>
                    <w:rFonts w:eastAsia="Times New Roman" w:cs="Calibri"/>
                    <w:sz w:val="16"/>
                    <w:szCs w:val="16"/>
                  </w:rPr>
                </w:pPr>
              </w:p>
            </w:tc>
            <w:tc>
              <w:tcPr>
                <w:tcW w:w="1145" w:type="dxa"/>
                <w:vMerge/>
                <w:hideMark/>
              </w:tcPr>
              <w:p w14:paraId="60A02D89"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p>
            </w:tc>
            <w:tc>
              <w:tcPr>
                <w:tcW w:w="700" w:type="dxa"/>
                <w:vMerge/>
                <w:hideMark/>
              </w:tcPr>
              <w:p w14:paraId="7BFFB91B"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p>
            </w:tc>
            <w:tc>
              <w:tcPr>
                <w:tcW w:w="992" w:type="dxa"/>
                <w:vMerge/>
                <w:hideMark/>
              </w:tcPr>
              <w:p w14:paraId="1C6D46EF"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p>
            </w:tc>
            <w:tc>
              <w:tcPr>
                <w:tcW w:w="3010" w:type="dxa"/>
                <w:hideMark/>
              </w:tcPr>
              <w:p w14:paraId="2746F7B2" w14:textId="3F0ED4FC" w:rsidR="004E260E" w:rsidRPr="0075626D"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75626D">
                  <w:rPr>
                    <w:rFonts w:eastAsia="Times New Roman" w:cs="Calibri"/>
                    <w:color w:val="auto"/>
                    <w:sz w:val="16"/>
                    <w:szCs w:val="16"/>
                  </w:rPr>
                  <w:t>Case 3 -</w:t>
                </w:r>
                <w:r w:rsidR="008146F9">
                  <w:rPr>
                    <w:rFonts w:eastAsia="Times New Roman" w:cs="Calibri"/>
                    <w:color w:val="auto"/>
                    <w:sz w:val="16"/>
                    <w:szCs w:val="16"/>
                  </w:rPr>
                  <w:t xml:space="preserve"> </w:t>
                </w:r>
                <w:r w:rsidRPr="0075626D">
                  <w:rPr>
                    <w:rFonts w:eastAsia="Times New Roman" w:cs="Calibri"/>
                    <w:color w:val="auto"/>
                    <w:sz w:val="16"/>
                    <w:szCs w:val="16"/>
                  </w:rPr>
                  <w:t>pants caught fire, pocket had e</w:t>
                </w:r>
                <w:r w:rsidR="00353B8B" w:rsidRPr="0075626D">
                  <w:rPr>
                    <w:rFonts w:eastAsia="Times New Roman" w:cs="Calibri"/>
                    <w:color w:val="auto"/>
                    <w:sz w:val="16"/>
                    <w:szCs w:val="16"/>
                  </w:rPr>
                  <w:noBreakHyphen/>
                </w:r>
                <w:r w:rsidRPr="0075626D">
                  <w:rPr>
                    <w:rFonts w:eastAsia="Times New Roman" w:cs="Calibri"/>
                    <w:color w:val="auto"/>
                    <w:sz w:val="16"/>
                    <w:szCs w:val="16"/>
                  </w:rPr>
                  <w:t>cig</w:t>
                </w:r>
                <w:r w:rsidR="00353B8B" w:rsidRPr="0075626D">
                  <w:rPr>
                    <w:rFonts w:eastAsia="Times New Roman" w:cs="Calibri"/>
                    <w:color w:val="auto"/>
                    <w:sz w:val="16"/>
                    <w:szCs w:val="16"/>
                  </w:rPr>
                  <w:t>arette</w:t>
                </w:r>
                <w:r w:rsidRPr="0075626D">
                  <w:rPr>
                    <w:rFonts w:eastAsia="Times New Roman" w:cs="Calibri"/>
                    <w:color w:val="auto"/>
                    <w:sz w:val="16"/>
                    <w:szCs w:val="16"/>
                  </w:rPr>
                  <w:t xml:space="preserve"> when it became very hot</w:t>
                </w:r>
                <w:r w:rsidR="0075626D">
                  <w:rPr>
                    <w:rFonts w:eastAsia="Times New Roman" w:cs="Calibri"/>
                    <w:color w:val="auto"/>
                    <w:sz w:val="16"/>
                    <w:szCs w:val="16"/>
                  </w:rPr>
                  <w:t>.</w:t>
                </w:r>
                <w:r w:rsidRPr="0075626D">
                  <w:rPr>
                    <w:rFonts w:eastAsia="Times New Roman" w:cs="Calibri"/>
                    <w:color w:val="auto"/>
                    <w:sz w:val="16"/>
                    <w:szCs w:val="16"/>
                  </w:rPr>
                  <w:t xml:space="preserve"> </w:t>
                </w:r>
              </w:p>
            </w:tc>
            <w:tc>
              <w:tcPr>
                <w:tcW w:w="851" w:type="dxa"/>
                <w:hideMark/>
              </w:tcPr>
              <w:p w14:paraId="68993C55"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37</w:t>
                </w:r>
              </w:p>
            </w:tc>
            <w:tc>
              <w:tcPr>
                <w:tcW w:w="709" w:type="dxa"/>
                <w:hideMark/>
              </w:tcPr>
              <w:p w14:paraId="59AC6C75"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M</w:t>
                </w:r>
              </w:p>
            </w:tc>
            <w:tc>
              <w:tcPr>
                <w:tcW w:w="1559" w:type="dxa"/>
                <w:hideMark/>
              </w:tcPr>
              <w:p w14:paraId="46C9ADB4"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Fire from ENDS in pocket</w:t>
                </w:r>
              </w:p>
            </w:tc>
            <w:tc>
              <w:tcPr>
                <w:tcW w:w="3202" w:type="dxa"/>
                <w:hideMark/>
              </w:tcPr>
              <w:p w14:paraId="4219AD21"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 </w:t>
                </w:r>
              </w:p>
            </w:tc>
            <w:tc>
              <w:tcPr>
                <w:tcW w:w="1735" w:type="dxa"/>
                <w:hideMark/>
              </w:tcPr>
              <w:p w14:paraId="6E13A38D"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 </w:t>
                </w:r>
              </w:p>
            </w:tc>
          </w:tr>
          <w:tr w:rsidR="004E260E" w:rsidRPr="00EE147E" w14:paraId="28BA6430" w14:textId="77777777" w:rsidTr="0086075F">
            <w:trPr>
              <w:trHeight w:val="70"/>
            </w:trPr>
            <w:tc>
              <w:tcPr>
                <w:cnfStyle w:val="001000000000" w:firstRow="0" w:lastRow="0" w:firstColumn="1" w:lastColumn="0" w:oddVBand="0" w:evenVBand="0" w:oddHBand="0" w:evenHBand="0" w:firstRowFirstColumn="0" w:firstRowLastColumn="0" w:lastRowFirstColumn="0" w:lastRowLastColumn="0"/>
                <w:tcW w:w="1152" w:type="dxa"/>
                <w:hideMark/>
              </w:tcPr>
              <w:p w14:paraId="0F707344" w14:textId="77777777" w:rsidR="004E260E" w:rsidRPr="00EE147E" w:rsidRDefault="004E260E" w:rsidP="00EA178A">
                <w:pPr>
                  <w:spacing w:after="0"/>
                  <w:rPr>
                    <w:rFonts w:eastAsia="Times New Roman" w:cs="Calibri"/>
                    <w:sz w:val="16"/>
                    <w:szCs w:val="16"/>
                  </w:rPr>
                </w:pPr>
                <w:r w:rsidRPr="00EE147E">
                  <w:rPr>
                    <w:rFonts w:eastAsia="Times New Roman" w:cs="Calibri"/>
                    <w:sz w:val="16"/>
                    <w:szCs w:val="16"/>
                  </w:rPr>
                  <w:t>Brooks et al June 2016</w:t>
                </w:r>
              </w:p>
            </w:tc>
            <w:tc>
              <w:tcPr>
                <w:tcW w:w="1145" w:type="dxa"/>
                <w:hideMark/>
              </w:tcPr>
              <w:p w14:paraId="6802A02A" w14:textId="370DAFD9"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Case report</w:t>
                </w:r>
                <w:r w:rsidR="0075626D">
                  <w:rPr>
                    <w:rFonts w:eastAsia="Times New Roman" w:cs="Calibri"/>
                    <w:sz w:val="16"/>
                    <w:szCs w:val="16"/>
                  </w:rPr>
                  <w:t>.</w:t>
                </w:r>
              </w:p>
            </w:tc>
            <w:tc>
              <w:tcPr>
                <w:tcW w:w="700" w:type="dxa"/>
                <w:hideMark/>
              </w:tcPr>
              <w:p w14:paraId="47C75F66"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USA</w:t>
                </w:r>
              </w:p>
            </w:tc>
            <w:tc>
              <w:tcPr>
                <w:tcW w:w="992" w:type="dxa"/>
                <w:hideMark/>
              </w:tcPr>
              <w:p w14:paraId="46A3945C" w14:textId="71F2F071"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N</w:t>
                </w:r>
                <w:r w:rsidR="0075626D">
                  <w:rPr>
                    <w:rFonts w:eastAsia="Times New Roman" w:cs="Calibri"/>
                    <w:sz w:val="16"/>
                    <w:szCs w:val="16"/>
                  </w:rPr>
                  <w:t>R</w:t>
                </w:r>
              </w:p>
            </w:tc>
            <w:tc>
              <w:tcPr>
                <w:tcW w:w="3010" w:type="dxa"/>
                <w:hideMark/>
              </w:tcPr>
              <w:p w14:paraId="0C7F7221" w14:textId="28363C01" w:rsidR="004E260E" w:rsidRPr="001E5299"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1E5299">
                  <w:rPr>
                    <w:rFonts w:eastAsia="Times New Roman" w:cs="Calibri"/>
                    <w:color w:val="auto"/>
                    <w:sz w:val="16"/>
                    <w:szCs w:val="16"/>
                  </w:rPr>
                  <w:t>The patient had been smoking for about an hour after an overnight recharge of its lithium-ion battery. The patient recalled that immediately after he had replenished the e-cigarette with the e-liquid, an explosion had occurred and propelled the mouthpiece into his mouth. The opposite end of the device, referred to as the ‘button’, projected outwardly with such force to ricochet against the nearby wall, ceiling and ﬂoor, leaving burn residue</w:t>
                </w:r>
                <w:r w:rsidR="001E5299">
                  <w:rPr>
                    <w:rFonts w:eastAsia="Times New Roman" w:cs="Calibri"/>
                    <w:color w:val="auto"/>
                    <w:sz w:val="16"/>
                    <w:szCs w:val="16"/>
                  </w:rPr>
                  <w:t>.</w:t>
                </w:r>
                <w:r w:rsidRPr="001E5299">
                  <w:rPr>
                    <w:rFonts w:eastAsia="Times New Roman" w:cs="Calibri"/>
                    <w:color w:val="auto"/>
                    <w:sz w:val="16"/>
                    <w:szCs w:val="16"/>
                  </w:rPr>
                  <w:t xml:space="preserve"> </w:t>
                </w:r>
              </w:p>
            </w:tc>
            <w:tc>
              <w:tcPr>
                <w:tcW w:w="851" w:type="dxa"/>
                <w:hideMark/>
              </w:tcPr>
              <w:p w14:paraId="104A1443"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18</w:t>
                </w:r>
              </w:p>
            </w:tc>
            <w:tc>
              <w:tcPr>
                <w:tcW w:w="709" w:type="dxa"/>
                <w:hideMark/>
              </w:tcPr>
              <w:p w14:paraId="04F811A1"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M</w:t>
                </w:r>
              </w:p>
            </w:tc>
            <w:tc>
              <w:tcPr>
                <w:tcW w:w="1559" w:type="dxa"/>
                <w:hideMark/>
              </w:tcPr>
              <w:p w14:paraId="3BC9054F" w14:textId="0FFF22B4"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Explosion of ENDS</w:t>
                </w:r>
                <w:r w:rsidR="008146F9">
                  <w:rPr>
                    <w:rFonts w:eastAsia="Times New Roman" w:cs="Calibri"/>
                    <w:sz w:val="16"/>
                    <w:szCs w:val="16"/>
                  </w:rPr>
                  <w:t xml:space="preserve"> </w:t>
                </w:r>
              </w:p>
            </w:tc>
            <w:tc>
              <w:tcPr>
                <w:tcW w:w="3202" w:type="dxa"/>
                <w:hideMark/>
              </w:tcPr>
              <w:p w14:paraId="29DD8DE7" w14:textId="265FFAC1"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1E5299">
                  <w:rPr>
                    <w:rFonts w:eastAsia="Times New Roman" w:cs="Calibri"/>
                    <w:sz w:val="16"/>
                    <w:szCs w:val="16"/>
                  </w:rPr>
                  <w:t>Greater strides should be undertaken to increase public awareness of the dangers of e</w:t>
                </w:r>
                <w:r w:rsidR="0023709D" w:rsidRPr="001E5299">
                  <w:rPr>
                    <w:rFonts w:eastAsia="Times New Roman" w:cs="Calibri"/>
                    <w:sz w:val="16"/>
                    <w:szCs w:val="16"/>
                  </w:rPr>
                  <w:noBreakHyphen/>
                </w:r>
                <w:r w:rsidRPr="001E5299">
                  <w:rPr>
                    <w:rFonts w:eastAsia="Times New Roman" w:cs="Calibri"/>
                    <w:sz w:val="16"/>
                    <w:szCs w:val="16"/>
                  </w:rPr>
                  <w:t>cigarettes and institute educational programs to deter their practice, particularly targeting the at-risk younger generation.</w:t>
                </w:r>
              </w:p>
            </w:tc>
            <w:tc>
              <w:tcPr>
                <w:tcW w:w="1735" w:type="dxa"/>
                <w:hideMark/>
              </w:tcPr>
              <w:p w14:paraId="3399A778" w14:textId="5ADDFC61"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 xml:space="preserve">Multiple reports of </w:t>
                </w:r>
                <w:r w:rsidRPr="001E5299">
                  <w:rPr>
                    <w:rFonts w:eastAsia="Times New Roman" w:cs="Calibri"/>
                    <w:color w:val="auto"/>
                    <w:sz w:val="16"/>
                    <w:szCs w:val="16"/>
                  </w:rPr>
                  <w:t>e</w:t>
                </w:r>
                <w:r w:rsidR="0023709D" w:rsidRPr="001E5299">
                  <w:rPr>
                    <w:rFonts w:eastAsia="Times New Roman" w:cs="Calibri"/>
                    <w:color w:val="auto"/>
                    <w:sz w:val="16"/>
                    <w:szCs w:val="16"/>
                  </w:rPr>
                  <w:noBreakHyphen/>
                </w:r>
                <w:r w:rsidRPr="001E5299">
                  <w:rPr>
                    <w:rFonts w:eastAsia="Times New Roman" w:cs="Calibri"/>
                    <w:color w:val="auto"/>
                    <w:sz w:val="16"/>
                    <w:szCs w:val="16"/>
                  </w:rPr>
                  <w:t xml:space="preserve">cigarette-related explosions resulting in head and neck injuries have been publicized over the past </w:t>
                </w:r>
                <w:r w:rsidRPr="00EE147E">
                  <w:rPr>
                    <w:rFonts w:eastAsia="Times New Roman" w:cs="Calibri"/>
                    <w:sz w:val="16"/>
                    <w:szCs w:val="16"/>
                  </w:rPr>
                  <w:t xml:space="preserve">several years, with the preponderance of cases having been reported in the news media and on Internet websites. Although the accuracy of most of these cases has not been vetted in peer review journals, </w:t>
                </w:r>
                <w:r w:rsidRPr="00EE147E">
                  <w:rPr>
                    <w:rFonts w:eastAsia="Times New Roman" w:cs="Calibri"/>
                    <w:sz w:val="16"/>
                    <w:szCs w:val="16"/>
                  </w:rPr>
                  <w:lastRenderedPageBreak/>
                  <w:t xml:space="preserve">several observations of </w:t>
                </w:r>
                <w:r w:rsidRPr="001E5299">
                  <w:rPr>
                    <w:rFonts w:eastAsia="Times New Roman" w:cs="Calibri"/>
                    <w:color w:val="auto"/>
                    <w:sz w:val="16"/>
                    <w:szCs w:val="16"/>
                  </w:rPr>
                  <w:t>e</w:t>
                </w:r>
                <w:r w:rsidR="00353B8B" w:rsidRPr="001E5299">
                  <w:rPr>
                    <w:rFonts w:eastAsia="Times New Roman" w:cs="Calibri"/>
                    <w:color w:val="auto"/>
                    <w:sz w:val="16"/>
                    <w:szCs w:val="16"/>
                  </w:rPr>
                  <w:noBreakHyphen/>
                </w:r>
                <w:r w:rsidRPr="001E5299">
                  <w:rPr>
                    <w:rFonts w:eastAsia="Times New Roman" w:cs="Calibri"/>
                    <w:color w:val="auto"/>
                    <w:sz w:val="16"/>
                    <w:szCs w:val="16"/>
                  </w:rPr>
                  <w:t xml:space="preserve">cigarette </w:t>
                </w:r>
                <w:r w:rsidRPr="00EE147E">
                  <w:rPr>
                    <w:rFonts w:eastAsia="Times New Roman" w:cs="Calibri"/>
                    <w:sz w:val="16"/>
                    <w:szCs w:val="16"/>
                  </w:rPr>
                  <w:t>usage and injuries can be summarized. Interestingly, over 90% of the reported individuals were male, which is in contrast to the slight gender difference with e</w:t>
                </w:r>
                <w:r w:rsidR="00BE3818">
                  <w:rPr>
                    <w:rFonts w:eastAsia="Times New Roman" w:cs="Calibri"/>
                    <w:sz w:val="16"/>
                    <w:szCs w:val="16"/>
                  </w:rPr>
                  <w:noBreakHyphen/>
                </w:r>
                <w:r w:rsidRPr="00EE147E">
                  <w:rPr>
                    <w:rFonts w:eastAsia="Times New Roman" w:cs="Calibri"/>
                    <w:sz w:val="16"/>
                    <w:szCs w:val="16"/>
                  </w:rPr>
                  <w:t>cigarette users overall (male— 14.2% versus female—11.2%)</w:t>
                </w:r>
                <w:r w:rsidR="001E5299">
                  <w:rPr>
                    <w:rFonts w:eastAsia="Times New Roman" w:cs="Calibri"/>
                    <w:sz w:val="16"/>
                    <w:szCs w:val="16"/>
                  </w:rPr>
                  <w:t>.</w:t>
                </w:r>
              </w:p>
            </w:tc>
          </w:tr>
          <w:tr w:rsidR="004E260E" w:rsidRPr="00EE147E" w14:paraId="56D3AFC8" w14:textId="77777777" w:rsidTr="0086075F">
            <w:trPr>
              <w:cnfStyle w:val="000000100000" w:firstRow="0" w:lastRow="0" w:firstColumn="0" w:lastColumn="0" w:oddVBand="0" w:evenVBand="0" w:oddHBand="1"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1152" w:type="dxa"/>
                <w:hideMark/>
              </w:tcPr>
              <w:p w14:paraId="11A244C1" w14:textId="77777777" w:rsidR="004E260E" w:rsidRPr="00EE147E" w:rsidRDefault="004E260E" w:rsidP="00EA178A">
                <w:pPr>
                  <w:spacing w:after="0"/>
                  <w:rPr>
                    <w:rFonts w:eastAsia="Times New Roman" w:cs="Calibri"/>
                    <w:sz w:val="16"/>
                    <w:szCs w:val="16"/>
                  </w:rPr>
                </w:pPr>
                <w:r w:rsidRPr="00EE147E">
                  <w:rPr>
                    <w:rFonts w:eastAsia="Times New Roman" w:cs="Calibri"/>
                    <w:sz w:val="16"/>
                    <w:szCs w:val="16"/>
                  </w:rPr>
                  <w:lastRenderedPageBreak/>
                  <w:t>Cant et al 2017</w:t>
                </w:r>
              </w:p>
            </w:tc>
            <w:tc>
              <w:tcPr>
                <w:tcW w:w="1145" w:type="dxa"/>
                <w:hideMark/>
              </w:tcPr>
              <w:p w14:paraId="19346640" w14:textId="375E84C6"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Letter</w:t>
                </w:r>
                <w:r w:rsidR="001E5299">
                  <w:rPr>
                    <w:rFonts w:eastAsia="Times New Roman" w:cs="Calibri"/>
                    <w:sz w:val="16"/>
                    <w:szCs w:val="16"/>
                  </w:rPr>
                  <w:t>.</w:t>
                </w:r>
              </w:p>
            </w:tc>
            <w:tc>
              <w:tcPr>
                <w:tcW w:w="700" w:type="dxa"/>
                <w:hideMark/>
              </w:tcPr>
              <w:p w14:paraId="0A435954"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UK</w:t>
                </w:r>
              </w:p>
            </w:tc>
            <w:tc>
              <w:tcPr>
                <w:tcW w:w="992" w:type="dxa"/>
                <w:hideMark/>
              </w:tcPr>
              <w:p w14:paraId="54C6A835" w14:textId="71C3556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 </w:t>
                </w:r>
                <w:r w:rsidR="001E5299">
                  <w:rPr>
                    <w:rFonts w:eastAsia="Times New Roman" w:cs="Calibri"/>
                    <w:sz w:val="16"/>
                    <w:szCs w:val="16"/>
                  </w:rPr>
                  <w:t>NR</w:t>
                </w:r>
              </w:p>
            </w:tc>
            <w:tc>
              <w:tcPr>
                <w:tcW w:w="3010" w:type="dxa"/>
                <w:hideMark/>
              </w:tcPr>
              <w:p w14:paraId="642FD809" w14:textId="6DB0460E"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Necrotic oral ulcer resulting from smoking ENDS</w:t>
                </w:r>
                <w:r w:rsidR="001E5299">
                  <w:rPr>
                    <w:rFonts w:eastAsia="Times New Roman" w:cs="Calibri"/>
                    <w:sz w:val="16"/>
                    <w:szCs w:val="16"/>
                  </w:rPr>
                  <w:t>.</w:t>
                </w:r>
              </w:p>
            </w:tc>
            <w:tc>
              <w:tcPr>
                <w:tcW w:w="851" w:type="dxa"/>
                <w:hideMark/>
              </w:tcPr>
              <w:p w14:paraId="1A7FC8DC"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72</w:t>
                </w:r>
              </w:p>
            </w:tc>
            <w:tc>
              <w:tcPr>
                <w:tcW w:w="709" w:type="dxa"/>
                <w:hideMark/>
              </w:tcPr>
              <w:p w14:paraId="33494F81"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M</w:t>
                </w:r>
              </w:p>
            </w:tc>
            <w:tc>
              <w:tcPr>
                <w:tcW w:w="1559" w:type="dxa"/>
                <w:hideMark/>
              </w:tcPr>
              <w:p w14:paraId="1E7BC874"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Use of ENDS</w:t>
                </w:r>
              </w:p>
            </w:tc>
            <w:tc>
              <w:tcPr>
                <w:tcW w:w="3202" w:type="dxa"/>
                <w:hideMark/>
              </w:tcPr>
              <w:p w14:paraId="0DC5D3A6" w14:textId="7407AF9A"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 xml:space="preserve">Potential hazards and safety concerns associated with the e-cigarette requires further research. </w:t>
                </w:r>
              </w:p>
            </w:tc>
            <w:tc>
              <w:tcPr>
                <w:tcW w:w="1735" w:type="dxa"/>
                <w:hideMark/>
              </w:tcPr>
              <w:p w14:paraId="7955420C" w14:textId="1E7C67D2"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color w:val="0563C1"/>
                    <w:sz w:val="16"/>
                    <w:szCs w:val="16"/>
                    <w:u w:val="single"/>
                  </w:rPr>
                </w:pPr>
              </w:p>
            </w:tc>
          </w:tr>
          <w:tr w:rsidR="004E260E" w:rsidRPr="00EE147E" w14:paraId="200741A1" w14:textId="77777777" w:rsidTr="0086075F">
            <w:trPr>
              <w:trHeight w:val="426"/>
            </w:trPr>
            <w:tc>
              <w:tcPr>
                <w:cnfStyle w:val="001000000000" w:firstRow="0" w:lastRow="0" w:firstColumn="1" w:lastColumn="0" w:oddVBand="0" w:evenVBand="0" w:oddHBand="0" w:evenHBand="0" w:firstRowFirstColumn="0" w:firstRowLastColumn="0" w:lastRowFirstColumn="0" w:lastRowLastColumn="0"/>
                <w:tcW w:w="1152" w:type="dxa"/>
                <w:hideMark/>
              </w:tcPr>
              <w:p w14:paraId="120B7B61" w14:textId="77777777" w:rsidR="004E260E" w:rsidRPr="00EE147E" w:rsidRDefault="004E260E" w:rsidP="00EA178A">
                <w:pPr>
                  <w:spacing w:after="0"/>
                  <w:rPr>
                    <w:rFonts w:eastAsia="Times New Roman" w:cs="Calibri"/>
                    <w:sz w:val="16"/>
                    <w:szCs w:val="16"/>
                  </w:rPr>
                </w:pPr>
                <w:r w:rsidRPr="00EE147E">
                  <w:rPr>
                    <w:rFonts w:eastAsia="Times New Roman" w:cs="Calibri"/>
                    <w:sz w:val="16"/>
                    <w:szCs w:val="16"/>
                  </w:rPr>
                  <w:t>Chi et al 2018</w:t>
                </w:r>
              </w:p>
            </w:tc>
            <w:tc>
              <w:tcPr>
                <w:tcW w:w="1145" w:type="dxa"/>
                <w:hideMark/>
              </w:tcPr>
              <w:p w14:paraId="5D88E50B" w14:textId="76920B05"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Case report</w:t>
                </w:r>
                <w:r w:rsidR="00BE3818">
                  <w:rPr>
                    <w:rFonts w:eastAsia="Times New Roman" w:cs="Calibri"/>
                    <w:sz w:val="16"/>
                    <w:szCs w:val="16"/>
                  </w:rPr>
                  <w:t>.</w:t>
                </w:r>
              </w:p>
            </w:tc>
            <w:tc>
              <w:tcPr>
                <w:tcW w:w="700" w:type="dxa"/>
                <w:hideMark/>
              </w:tcPr>
              <w:p w14:paraId="67C7C8A9"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USA</w:t>
                </w:r>
              </w:p>
            </w:tc>
            <w:tc>
              <w:tcPr>
                <w:tcW w:w="992" w:type="dxa"/>
                <w:hideMark/>
              </w:tcPr>
              <w:p w14:paraId="7669EA49"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w:t>
                </w:r>
              </w:p>
            </w:tc>
            <w:tc>
              <w:tcPr>
                <w:tcW w:w="3010" w:type="dxa"/>
                <w:hideMark/>
              </w:tcPr>
              <w:p w14:paraId="584DEC21" w14:textId="2C2F8DC5"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Patient had ENDS in his mouth when it exploded, the patient's left mandibular central incisor apparently was avulsed. He had just charged the battery</w:t>
                </w:r>
                <w:r w:rsidR="00353B8B">
                  <w:rPr>
                    <w:rFonts w:eastAsia="Times New Roman" w:cs="Calibri"/>
                    <w:sz w:val="16"/>
                    <w:szCs w:val="16"/>
                  </w:rPr>
                  <w:t>.</w:t>
                </w:r>
              </w:p>
            </w:tc>
            <w:tc>
              <w:tcPr>
                <w:tcW w:w="851" w:type="dxa"/>
                <w:hideMark/>
              </w:tcPr>
              <w:p w14:paraId="40688056"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20</w:t>
                </w:r>
              </w:p>
            </w:tc>
            <w:tc>
              <w:tcPr>
                <w:tcW w:w="709" w:type="dxa"/>
                <w:hideMark/>
              </w:tcPr>
              <w:p w14:paraId="04102EA0"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M</w:t>
                </w:r>
              </w:p>
            </w:tc>
            <w:tc>
              <w:tcPr>
                <w:tcW w:w="1559" w:type="dxa"/>
                <w:hideMark/>
              </w:tcPr>
              <w:p w14:paraId="7BD95942"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Explosion of ENDS</w:t>
                </w:r>
              </w:p>
            </w:tc>
            <w:tc>
              <w:tcPr>
                <w:tcW w:w="3202" w:type="dxa"/>
                <w:hideMark/>
              </w:tcPr>
              <w:p w14:paraId="5C422E76" w14:textId="2B3E6770"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This case illustrates the potential for signiﬁcant orofacial trauma from e-cigarette explosion. Although some studies and authorities have supported the use of e</w:t>
                </w:r>
                <w:r w:rsidR="00BE3818">
                  <w:rPr>
                    <w:rFonts w:eastAsia="Times New Roman" w:cs="Calibri"/>
                    <w:sz w:val="16"/>
                    <w:szCs w:val="16"/>
                  </w:rPr>
                  <w:noBreakHyphen/>
                </w:r>
                <w:r w:rsidRPr="00EE147E">
                  <w:rPr>
                    <w:rFonts w:eastAsia="Times New Roman" w:cs="Calibri"/>
                    <w:sz w:val="16"/>
                    <w:szCs w:val="16"/>
                  </w:rPr>
                  <w:t xml:space="preserve">cigarettes for tobacco cessation or harm reduction, recent reports of e-cigarette explosions raise important safety concerns. </w:t>
                </w:r>
              </w:p>
            </w:tc>
            <w:tc>
              <w:tcPr>
                <w:tcW w:w="1735" w:type="dxa"/>
                <w:hideMark/>
              </w:tcPr>
              <w:p w14:paraId="71FD5DE0" w14:textId="389655C1"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More studies are needed to assess e</w:t>
                </w:r>
                <w:r w:rsidR="00BE3818">
                  <w:rPr>
                    <w:rFonts w:eastAsia="Times New Roman" w:cs="Calibri"/>
                    <w:sz w:val="16"/>
                    <w:szCs w:val="16"/>
                  </w:rPr>
                  <w:noBreakHyphen/>
                </w:r>
                <w:r w:rsidRPr="00EE147E">
                  <w:rPr>
                    <w:rFonts w:eastAsia="Times New Roman" w:cs="Calibri"/>
                    <w:sz w:val="16"/>
                    <w:szCs w:val="16"/>
                  </w:rPr>
                  <w:t xml:space="preserve">cigarette safety. </w:t>
                </w:r>
                <w:r w:rsidRPr="001E5299">
                  <w:rPr>
                    <w:rFonts w:eastAsia="Times New Roman" w:cs="Calibri"/>
                    <w:sz w:val="16"/>
                    <w:szCs w:val="16"/>
                  </w:rPr>
                  <w:t>Device regulation as well as user education may help to prevent such incidents in the future.</w:t>
                </w:r>
              </w:p>
            </w:tc>
          </w:tr>
          <w:tr w:rsidR="004E260E" w:rsidRPr="00EE147E" w14:paraId="7D63D664" w14:textId="77777777" w:rsidTr="0086075F">
            <w:trPr>
              <w:cnfStyle w:val="000000100000" w:firstRow="0" w:lastRow="0" w:firstColumn="0" w:lastColumn="0" w:oddVBand="0" w:evenVBand="0" w:oddHBand="1" w:evenHBand="0" w:firstRowFirstColumn="0" w:firstRowLastColumn="0" w:lastRowFirstColumn="0" w:lastRowLastColumn="0"/>
              <w:trHeight w:val="1491"/>
            </w:trPr>
            <w:tc>
              <w:tcPr>
                <w:cnfStyle w:val="001000000000" w:firstRow="0" w:lastRow="0" w:firstColumn="1" w:lastColumn="0" w:oddVBand="0" w:evenVBand="0" w:oddHBand="0" w:evenHBand="0" w:firstRowFirstColumn="0" w:firstRowLastColumn="0" w:lastRowFirstColumn="0" w:lastRowLastColumn="0"/>
                <w:tcW w:w="1152" w:type="dxa"/>
                <w:hideMark/>
              </w:tcPr>
              <w:p w14:paraId="516D7CA7" w14:textId="77777777" w:rsidR="004E260E" w:rsidRPr="00EE147E" w:rsidRDefault="004E260E" w:rsidP="00EA178A">
                <w:pPr>
                  <w:spacing w:after="0"/>
                  <w:rPr>
                    <w:rFonts w:eastAsia="Times New Roman" w:cs="Calibri"/>
                    <w:sz w:val="16"/>
                    <w:szCs w:val="16"/>
                  </w:rPr>
                </w:pPr>
                <w:r w:rsidRPr="00EE147E">
                  <w:rPr>
                    <w:rFonts w:eastAsia="Times New Roman" w:cs="Calibri"/>
                    <w:sz w:val="16"/>
                    <w:szCs w:val="16"/>
                  </w:rPr>
                  <w:t>Cho et al 2017</w:t>
                </w:r>
              </w:p>
            </w:tc>
            <w:tc>
              <w:tcPr>
                <w:tcW w:w="1145" w:type="dxa"/>
                <w:hideMark/>
              </w:tcPr>
              <w:p w14:paraId="7053F13A" w14:textId="7F91799D" w:rsidR="004E260E" w:rsidRPr="00EE147E" w:rsidRDefault="004E260E" w:rsidP="001E5299">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Cross-sectional study to assess the re</w:t>
                </w:r>
                <w:r w:rsidR="001E5299">
                  <w:rPr>
                    <w:rFonts w:eastAsia="Times New Roman" w:cs="Calibri"/>
                    <w:sz w:val="16"/>
                    <w:szCs w:val="16"/>
                  </w:rPr>
                  <w:t>l</w:t>
                </w:r>
                <w:r w:rsidRPr="00EE147E">
                  <w:rPr>
                    <w:rFonts w:eastAsia="Times New Roman" w:cs="Calibri"/>
                    <w:sz w:val="16"/>
                    <w:szCs w:val="16"/>
                  </w:rPr>
                  <w:t>ationship between e</w:t>
                </w:r>
                <w:r w:rsidR="00353B8B">
                  <w:rPr>
                    <w:rFonts w:eastAsia="Times New Roman" w:cs="Calibri"/>
                    <w:sz w:val="16"/>
                    <w:szCs w:val="16"/>
                  </w:rPr>
                  <w:noBreakHyphen/>
                </w:r>
                <w:r w:rsidRPr="00EE147E">
                  <w:rPr>
                    <w:rFonts w:eastAsia="Times New Roman" w:cs="Calibri"/>
                    <w:sz w:val="16"/>
                    <w:szCs w:val="16"/>
                  </w:rPr>
                  <w:t>cig</w:t>
                </w:r>
                <w:r w:rsidR="00353B8B">
                  <w:rPr>
                    <w:rFonts w:eastAsia="Times New Roman" w:cs="Calibri"/>
                    <w:sz w:val="16"/>
                    <w:szCs w:val="16"/>
                  </w:rPr>
                  <w:t>arette</w:t>
                </w:r>
                <w:r w:rsidRPr="00EE147E">
                  <w:rPr>
                    <w:rFonts w:eastAsia="Times New Roman" w:cs="Calibri"/>
                    <w:sz w:val="16"/>
                    <w:szCs w:val="16"/>
                  </w:rPr>
                  <w:t xml:space="preserve"> use and oral health</w:t>
                </w:r>
                <w:r w:rsidR="00BE3818">
                  <w:rPr>
                    <w:rFonts w:eastAsia="Times New Roman" w:cs="Calibri"/>
                    <w:sz w:val="16"/>
                    <w:szCs w:val="16"/>
                  </w:rPr>
                  <w:t>.</w:t>
                </w:r>
              </w:p>
            </w:tc>
            <w:tc>
              <w:tcPr>
                <w:tcW w:w="700" w:type="dxa"/>
                <w:hideMark/>
              </w:tcPr>
              <w:p w14:paraId="5F5A20C0"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Korea</w:t>
                </w:r>
              </w:p>
            </w:tc>
            <w:tc>
              <w:tcPr>
                <w:tcW w:w="992" w:type="dxa"/>
                <w:hideMark/>
              </w:tcPr>
              <w:p w14:paraId="1FA74822" w14:textId="02FA225B"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 </w:t>
                </w:r>
                <w:r w:rsidR="001E5299">
                  <w:rPr>
                    <w:rFonts w:eastAsia="Times New Roman" w:cs="Calibri"/>
                    <w:sz w:val="16"/>
                    <w:szCs w:val="16"/>
                  </w:rPr>
                  <w:t>NR</w:t>
                </w:r>
              </w:p>
            </w:tc>
            <w:tc>
              <w:tcPr>
                <w:tcW w:w="3010" w:type="dxa"/>
                <w:hideMark/>
              </w:tcPr>
              <w:p w14:paraId="6F8706C8"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 </w:t>
                </w:r>
              </w:p>
            </w:tc>
            <w:tc>
              <w:tcPr>
                <w:tcW w:w="851" w:type="dxa"/>
                <w:hideMark/>
              </w:tcPr>
              <w:p w14:paraId="2A1C1CF8"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 </w:t>
                </w:r>
              </w:p>
            </w:tc>
            <w:tc>
              <w:tcPr>
                <w:tcW w:w="709" w:type="dxa"/>
                <w:hideMark/>
              </w:tcPr>
              <w:p w14:paraId="139028BE"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 </w:t>
                </w:r>
              </w:p>
            </w:tc>
            <w:tc>
              <w:tcPr>
                <w:tcW w:w="1559" w:type="dxa"/>
                <w:hideMark/>
              </w:tcPr>
              <w:p w14:paraId="1C77C1EA"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 </w:t>
                </w:r>
              </w:p>
            </w:tc>
            <w:tc>
              <w:tcPr>
                <w:tcW w:w="3202" w:type="dxa"/>
                <w:hideMark/>
              </w:tcPr>
              <w:p w14:paraId="3956ED06" w14:textId="3B80F5FC" w:rsidR="004E260E" w:rsidRPr="00EE147E" w:rsidRDefault="00353B8B" w:rsidP="001E5299">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Pr>
                    <w:rFonts w:eastAsia="Times New Roman" w:cs="Calibri"/>
                    <w:sz w:val="16"/>
                    <w:szCs w:val="16"/>
                  </w:rPr>
                  <w:t>T</w:t>
                </w:r>
                <w:r w:rsidR="004E260E" w:rsidRPr="00EE147E">
                  <w:rPr>
                    <w:rFonts w:eastAsia="Times New Roman" w:cs="Calibri"/>
                    <w:sz w:val="16"/>
                    <w:szCs w:val="16"/>
                  </w:rPr>
                  <w:t xml:space="preserve">he results suggest that daily </w:t>
                </w:r>
                <w:r w:rsidR="001E5299">
                  <w:rPr>
                    <w:rFonts w:eastAsia="Times New Roman" w:cs="Calibri"/>
                    <w:sz w:val="16"/>
                    <w:szCs w:val="16"/>
                  </w:rPr>
                  <w:t>e-cigarette</w:t>
                </w:r>
                <w:r w:rsidR="001E5299" w:rsidRPr="00EE147E">
                  <w:rPr>
                    <w:rFonts w:eastAsia="Times New Roman" w:cs="Calibri"/>
                    <w:sz w:val="16"/>
                    <w:szCs w:val="16"/>
                  </w:rPr>
                  <w:t xml:space="preserve"> </w:t>
                </w:r>
                <w:r w:rsidR="004E260E" w:rsidRPr="00EE147E">
                  <w:rPr>
                    <w:rFonts w:eastAsia="Times New Roman" w:cs="Calibri"/>
                    <w:sz w:val="16"/>
                    <w:szCs w:val="16"/>
                  </w:rPr>
                  <w:t>use among adolescents may be a risk factor for cracked or broken teeth and tongue and/or inside-cheek pain.</w:t>
                </w:r>
              </w:p>
            </w:tc>
            <w:tc>
              <w:tcPr>
                <w:tcW w:w="1735" w:type="dxa"/>
                <w:hideMark/>
              </w:tcPr>
              <w:p w14:paraId="56CFCFCD"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 </w:t>
                </w:r>
              </w:p>
            </w:tc>
          </w:tr>
          <w:tr w:rsidR="004E260E" w:rsidRPr="00EE147E" w14:paraId="3C4FDFEC" w14:textId="77777777" w:rsidTr="0086075F">
            <w:trPr>
              <w:trHeight w:val="1239"/>
            </w:trPr>
            <w:tc>
              <w:tcPr>
                <w:cnfStyle w:val="001000000000" w:firstRow="0" w:lastRow="0" w:firstColumn="1" w:lastColumn="0" w:oddVBand="0" w:evenVBand="0" w:oddHBand="0" w:evenHBand="0" w:firstRowFirstColumn="0" w:firstRowLastColumn="0" w:lastRowFirstColumn="0" w:lastRowLastColumn="0"/>
                <w:tcW w:w="1152" w:type="dxa"/>
                <w:hideMark/>
              </w:tcPr>
              <w:p w14:paraId="7A24C23F" w14:textId="77777777" w:rsidR="004E260E" w:rsidRPr="00EE147E" w:rsidRDefault="004E260E" w:rsidP="00EA178A">
                <w:pPr>
                  <w:spacing w:after="0"/>
                  <w:rPr>
                    <w:rFonts w:eastAsia="Times New Roman" w:cs="Calibri"/>
                    <w:sz w:val="16"/>
                    <w:szCs w:val="16"/>
                  </w:rPr>
                </w:pPr>
                <w:r w:rsidRPr="00EE147E">
                  <w:rPr>
                    <w:rFonts w:eastAsia="Times New Roman" w:cs="Calibri"/>
                    <w:sz w:val="16"/>
                    <w:szCs w:val="16"/>
                  </w:rPr>
                  <w:t>Corey et al 2016</w:t>
                </w:r>
              </w:p>
            </w:tc>
            <w:tc>
              <w:tcPr>
                <w:tcW w:w="1145" w:type="dxa"/>
                <w:hideMark/>
              </w:tcPr>
              <w:p w14:paraId="6F3CD7E8" w14:textId="6C1CEB60"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Review - a short report on burn injuries emergency departments in 2016</w:t>
                </w:r>
                <w:r w:rsidR="00BE3818">
                  <w:rPr>
                    <w:rFonts w:eastAsia="Times New Roman" w:cs="Calibri"/>
                    <w:sz w:val="16"/>
                    <w:szCs w:val="16"/>
                  </w:rPr>
                  <w:t>.</w:t>
                </w:r>
              </w:p>
            </w:tc>
            <w:tc>
              <w:tcPr>
                <w:tcW w:w="700" w:type="dxa"/>
                <w:hideMark/>
              </w:tcPr>
              <w:p w14:paraId="0C33C437"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USA</w:t>
                </w:r>
              </w:p>
            </w:tc>
            <w:tc>
              <w:tcPr>
                <w:tcW w:w="992" w:type="dxa"/>
                <w:hideMark/>
              </w:tcPr>
              <w:p w14:paraId="38FB18DE"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2016</w:t>
                </w:r>
              </w:p>
            </w:tc>
            <w:tc>
              <w:tcPr>
                <w:tcW w:w="3010" w:type="dxa"/>
                <w:hideMark/>
              </w:tcPr>
              <w:p w14:paraId="13F5E0E8"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 xml:space="preserve">In 2016, 26 ENDS battery-related burn cases were captured by NEISS, which translates to a national estimate of 1007 (95%CI: 357–1657) injuries presenting in US EDs. Most of the burns were thermal burns (80.4%) and occurred to the upper leg/lower trunk (77.3%). Examination of the case narrative field indicated that at least 20 of the burn injuries occurred while ENDS batteries were in the user’s pocket. </w:t>
                </w:r>
              </w:p>
            </w:tc>
            <w:tc>
              <w:tcPr>
                <w:tcW w:w="851" w:type="dxa"/>
                <w:hideMark/>
              </w:tcPr>
              <w:p w14:paraId="5AC1D91B"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 </w:t>
                </w:r>
              </w:p>
            </w:tc>
            <w:tc>
              <w:tcPr>
                <w:tcW w:w="709" w:type="dxa"/>
                <w:hideMark/>
              </w:tcPr>
              <w:p w14:paraId="59B2BCD2"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 </w:t>
                </w:r>
              </w:p>
            </w:tc>
            <w:tc>
              <w:tcPr>
                <w:tcW w:w="1559" w:type="dxa"/>
                <w:hideMark/>
              </w:tcPr>
              <w:p w14:paraId="3902A03A"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Exploding ENDS</w:t>
                </w:r>
              </w:p>
            </w:tc>
            <w:tc>
              <w:tcPr>
                <w:tcW w:w="3202" w:type="dxa"/>
                <w:hideMark/>
              </w:tcPr>
              <w:p w14:paraId="34C9A60A" w14:textId="50F56FF3"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The nature and circumstances of the injuries suggest these incidents were unintentional and would potentially be prevented through battery design requirements, battery testing standards and public education related to ENDS battery safety.</w:t>
                </w:r>
              </w:p>
            </w:tc>
            <w:tc>
              <w:tcPr>
                <w:tcW w:w="1735" w:type="dxa"/>
                <w:hideMark/>
              </w:tcPr>
              <w:p w14:paraId="36F3A6B9" w14:textId="72D4ACC5"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987BCE">
                  <w:rPr>
                    <w:rFonts w:eastAsia="Times New Roman" w:cs="Calibri"/>
                    <w:sz w:val="16"/>
                    <w:szCs w:val="16"/>
                  </w:rPr>
                  <w:t xml:space="preserve">A product code specific to ENDS could be informative for future surveillance activities. </w:t>
                </w:r>
              </w:p>
            </w:tc>
          </w:tr>
          <w:tr w:rsidR="004E260E" w:rsidRPr="00EE147E" w14:paraId="7805FA53" w14:textId="77777777" w:rsidTr="0086075F">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152" w:type="dxa"/>
                <w:hideMark/>
              </w:tcPr>
              <w:p w14:paraId="5F4E3CF8" w14:textId="77777777" w:rsidR="004E260E" w:rsidRPr="00EE147E" w:rsidRDefault="004E260E" w:rsidP="00EA178A">
                <w:pPr>
                  <w:spacing w:after="0"/>
                  <w:rPr>
                    <w:rFonts w:eastAsia="Times New Roman" w:cs="Calibri"/>
                    <w:sz w:val="16"/>
                    <w:szCs w:val="16"/>
                  </w:rPr>
                </w:pPr>
                <w:r w:rsidRPr="00EE147E">
                  <w:rPr>
                    <w:rFonts w:eastAsia="Times New Roman" w:cs="Calibri"/>
                    <w:sz w:val="16"/>
                    <w:szCs w:val="16"/>
                  </w:rPr>
                  <w:t>Foran et al 2017</w:t>
                </w:r>
              </w:p>
            </w:tc>
            <w:tc>
              <w:tcPr>
                <w:tcW w:w="1145" w:type="dxa"/>
                <w:hideMark/>
              </w:tcPr>
              <w:p w14:paraId="5785E6EF" w14:textId="03486FD0"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Case report</w:t>
                </w:r>
                <w:r w:rsidR="00BE3818">
                  <w:rPr>
                    <w:rFonts w:eastAsia="Times New Roman" w:cs="Calibri"/>
                    <w:sz w:val="16"/>
                    <w:szCs w:val="16"/>
                  </w:rPr>
                  <w:t>.</w:t>
                </w:r>
              </w:p>
            </w:tc>
            <w:tc>
              <w:tcPr>
                <w:tcW w:w="700" w:type="dxa"/>
                <w:hideMark/>
              </w:tcPr>
              <w:p w14:paraId="46F94DCB"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USA</w:t>
                </w:r>
              </w:p>
            </w:tc>
            <w:tc>
              <w:tcPr>
                <w:tcW w:w="992" w:type="dxa"/>
                <w:hideMark/>
              </w:tcPr>
              <w:p w14:paraId="652A3EF5" w14:textId="0AC65A9C" w:rsidR="004E260E" w:rsidRPr="00EE147E" w:rsidRDefault="00987BC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Pr>
                    <w:rFonts w:eastAsia="Times New Roman" w:cs="Calibri"/>
                    <w:sz w:val="16"/>
                    <w:szCs w:val="16"/>
                  </w:rPr>
                  <w:t>NR</w:t>
                </w:r>
              </w:p>
            </w:tc>
            <w:tc>
              <w:tcPr>
                <w:tcW w:w="3010" w:type="dxa"/>
                <w:hideMark/>
              </w:tcPr>
              <w:p w14:paraId="20BE3185" w14:textId="5E5D1116" w:rsidR="004E260E" w:rsidRPr="00EE147E" w:rsidRDefault="00987BCE" w:rsidP="00987BCE">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Pr>
                    <w:rFonts w:eastAsia="Times New Roman" w:cs="Calibri"/>
                    <w:sz w:val="16"/>
                    <w:szCs w:val="16"/>
                  </w:rPr>
                  <w:t>H</w:t>
                </w:r>
                <w:r w:rsidR="004E260E" w:rsidRPr="00EE147E">
                  <w:rPr>
                    <w:rFonts w:eastAsia="Times New Roman" w:cs="Calibri"/>
                    <w:sz w:val="16"/>
                    <w:szCs w:val="16"/>
                  </w:rPr>
                  <w:t xml:space="preserve">igh pressure injection-type injury resulting from the explosion of an </w:t>
                </w:r>
                <w:r w:rsidR="004E260E" w:rsidRPr="00EE147E">
                  <w:rPr>
                    <w:rFonts w:eastAsia="Times New Roman" w:cs="Calibri"/>
                    <w:sz w:val="16"/>
                    <w:szCs w:val="16"/>
                  </w:rPr>
                  <w:lastRenderedPageBreak/>
                  <w:t>electronic cigarette, with injection of e</w:t>
                </w:r>
                <w:r>
                  <w:rPr>
                    <w:rFonts w:eastAsia="Times New Roman" w:cs="Calibri"/>
                    <w:sz w:val="16"/>
                    <w:szCs w:val="16"/>
                  </w:rPr>
                  <w:noBreakHyphen/>
                </w:r>
                <w:r w:rsidR="004E260E" w:rsidRPr="00EE147E">
                  <w:rPr>
                    <w:rFonts w:eastAsia="Times New Roman" w:cs="Calibri"/>
                    <w:sz w:val="16"/>
                    <w:szCs w:val="16"/>
                  </w:rPr>
                  <w:t>liquid into the index ﬁnger</w:t>
                </w:r>
                <w:r w:rsidR="00BE3818">
                  <w:rPr>
                    <w:rFonts w:eastAsia="Times New Roman" w:cs="Calibri"/>
                    <w:sz w:val="16"/>
                    <w:szCs w:val="16"/>
                  </w:rPr>
                  <w:t>.</w:t>
                </w:r>
              </w:p>
            </w:tc>
            <w:tc>
              <w:tcPr>
                <w:tcW w:w="851" w:type="dxa"/>
                <w:hideMark/>
              </w:tcPr>
              <w:p w14:paraId="3B7E801A"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lastRenderedPageBreak/>
                  <w:t>30</w:t>
                </w:r>
              </w:p>
            </w:tc>
            <w:tc>
              <w:tcPr>
                <w:tcW w:w="709" w:type="dxa"/>
                <w:hideMark/>
              </w:tcPr>
              <w:p w14:paraId="7F05358A"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M</w:t>
                </w:r>
              </w:p>
            </w:tc>
            <w:tc>
              <w:tcPr>
                <w:tcW w:w="1559" w:type="dxa"/>
                <w:hideMark/>
              </w:tcPr>
              <w:p w14:paraId="05E3F602"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Exploding ENDS</w:t>
                </w:r>
              </w:p>
            </w:tc>
            <w:tc>
              <w:tcPr>
                <w:tcW w:w="3202" w:type="dxa"/>
                <w:hideMark/>
              </w:tcPr>
              <w:p w14:paraId="15615C68"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 xml:space="preserve">The use of electronic cigarettes has risen sharply in the past decade, and reports of </w:t>
                </w:r>
                <w:r w:rsidRPr="00EE147E">
                  <w:rPr>
                    <w:rFonts w:eastAsia="Times New Roman" w:cs="Calibri"/>
                    <w:sz w:val="16"/>
                    <w:szCs w:val="16"/>
                  </w:rPr>
                  <w:lastRenderedPageBreak/>
                  <w:t>battery-related explosions are on the rise. Because of the handheld nature of these instruments, future high-pressure injection injuries are possible.</w:t>
                </w:r>
              </w:p>
            </w:tc>
            <w:tc>
              <w:tcPr>
                <w:tcW w:w="1735" w:type="dxa"/>
                <w:hideMark/>
              </w:tcPr>
              <w:p w14:paraId="5322C5AA"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lastRenderedPageBreak/>
                  <w:t> </w:t>
                </w:r>
              </w:p>
            </w:tc>
          </w:tr>
          <w:tr w:rsidR="004E260E" w:rsidRPr="00EE147E" w14:paraId="0563467A" w14:textId="77777777" w:rsidTr="0086075F">
            <w:trPr>
              <w:trHeight w:val="605"/>
            </w:trPr>
            <w:tc>
              <w:tcPr>
                <w:cnfStyle w:val="001000000000" w:firstRow="0" w:lastRow="0" w:firstColumn="1" w:lastColumn="0" w:oddVBand="0" w:evenVBand="0" w:oddHBand="0" w:evenHBand="0" w:firstRowFirstColumn="0" w:firstRowLastColumn="0" w:lastRowFirstColumn="0" w:lastRowLastColumn="0"/>
                <w:tcW w:w="1152" w:type="dxa"/>
                <w:vMerge w:val="restart"/>
                <w:hideMark/>
              </w:tcPr>
              <w:p w14:paraId="18612DC1" w14:textId="77777777" w:rsidR="004E260E" w:rsidRPr="00EE147E" w:rsidRDefault="004E260E" w:rsidP="00EA178A">
                <w:pPr>
                  <w:spacing w:after="0"/>
                  <w:rPr>
                    <w:rFonts w:eastAsia="Times New Roman" w:cs="Calibri"/>
                    <w:sz w:val="16"/>
                    <w:szCs w:val="16"/>
                  </w:rPr>
                </w:pPr>
                <w:r w:rsidRPr="00EE147E">
                  <w:rPr>
                    <w:rFonts w:eastAsia="Times New Roman" w:cs="Calibri"/>
                    <w:sz w:val="16"/>
                    <w:szCs w:val="16"/>
                  </w:rPr>
                  <w:t>Harshman et al 2017</w:t>
                </w:r>
              </w:p>
            </w:tc>
            <w:tc>
              <w:tcPr>
                <w:tcW w:w="1145" w:type="dxa"/>
                <w:vMerge w:val="restart"/>
                <w:hideMark/>
              </w:tcPr>
              <w:p w14:paraId="6324F24B" w14:textId="59267FEE"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Case report and literature review</w:t>
                </w:r>
                <w:r w:rsidR="00BE3818">
                  <w:rPr>
                    <w:rFonts w:eastAsia="Times New Roman" w:cs="Calibri"/>
                    <w:sz w:val="16"/>
                    <w:szCs w:val="16"/>
                  </w:rPr>
                  <w:t>.</w:t>
                </w:r>
              </w:p>
            </w:tc>
            <w:tc>
              <w:tcPr>
                <w:tcW w:w="700" w:type="dxa"/>
                <w:vMerge w:val="restart"/>
                <w:hideMark/>
              </w:tcPr>
              <w:p w14:paraId="1B701565"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Canada</w:t>
                </w:r>
              </w:p>
            </w:tc>
            <w:tc>
              <w:tcPr>
                <w:tcW w:w="992" w:type="dxa"/>
                <w:hideMark/>
              </w:tcPr>
              <w:p w14:paraId="35F1779E" w14:textId="6196D329"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 </w:t>
                </w:r>
                <w:r w:rsidR="00987BCE">
                  <w:rPr>
                    <w:rFonts w:eastAsia="Times New Roman" w:cs="Calibri"/>
                    <w:sz w:val="16"/>
                    <w:szCs w:val="16"/>
                  </w:rPr>
                  <w:t>NR</w:t>
                </w:r>
              </w:p>
            </w:tc>
            <w:tc>
              <w:tcPr>
                <w:tcW w:w="3010" w:type="dxa"/>
                <w:hideMark/>
              </w:tcPr>
              <w:p w14:paraId="0B86BD85" w14:textId="722FAB80"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ENDS in pocket and battery ignited</w:t>
                </w:r>
                <w:r w:rsidR="00987BCE">
                  <w:rPr>
                    <w:rFonts w:eastAsia="Times New Roman" w:cs="Calibri"/>
                    <w:sz w:val="16"/>
                    <w:szCs w:val="16"/>
                  </w:rPr>
                  <w:t>.</w:t>
                </w:r>
              </w:p>
            </w:tc>
            <w:tc>
              <w:tcPr>
                <w:tcW w:w="851" w:type="dxa"/>
                <w:hideMark/>
              </w:tcPr>
              <w:p w14:paraId="4B2157FB"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31</w:t>
                </w:r>
              </w:p>
            </w:tc>
            <w:tc>
              <w:tcPr>
                <w:tcW w:w="709" w:type="dxa"/>
                <w:hideMark/>
              </w:tcPr>
              <w:p w14:paraId="593908A8"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M</w:t>
                </w:r>
              </w:p>
            </w:tc>
            <w:tc>
              <w:tcPr>
                <w:tcW w:w="1559" w:type="dxa"/>
                <w:hideMark/>
              </w:tcPr>
              <w:p w14:paraId="7C0DF204"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Exploding ENDS</w:t>
                </w:r>
              </w:p>
            </w:tc>
            <w:tc>
              <w:tcPr>
                <w:tcW w:w="3202" w:type="dxa"/>
                <w:hideMark/>
              </w:tcPr>
              <w:p w14:paraId="3E0A6D41" w14:textId="290B5324"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Lit review indicated 50% of exploding ENDS injuries require surgery. Most frequent site of injury is lower extremity and hands. Injuries becoming more frequent and e-cig</w:t>
                </w:r>
                <w:r w:rsidR="00987BCE">
                  <w:rPr>
                    <w:rFonts w:eastAsia="Times New Roman" w:cs="Calibri"/>
                    <w:sz w:val="16"/>
                    <w:szCs w:val="16"/>
                  </w:rPr>
                  <w:t>arette</w:t>
                </w:r>
                <w:r w:rsidRPr="00EE147E">
                  <w:rPr>
                    <w:rFonts w:eastAsia="Times New Roman" w:cs="Calibri"/>
                    <w:sz w:val="16"/>
                    <w:szCs w:val="16"/>
                  </w:rPr>
                  <w:t xml:space="preserve"> use increases in popularity</w:t>
                </w:r>
                <w:r w:rsidR="00987BCE">
                  <w:rPr>
                    <w:rFonts w:eastAsia="Times New Roman" w:cs="Calibri"/>
                    <w:sz w:val="16"/>
                    <w:szCs w:val="16"/>
                  </w:rPr>
                  <w:t>.</w:t>
                </w:r>
              </w:p>
            </w:tc>
            <w:tc>
              <w:tcPr>
                <w:tcW w:w="1735" w:type="dxa"/>
                <w:hideMark/>
              </w:tcPr>
              <w:p w14:paraId="310E1C5F" w14:textId="328157C2"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This case series and literature review highlight the need for improved regulation of e-cigarette devices and advocate for clear warnings on product labels, to make e</w:t>
                </w:r>
                <w:r w:rsidR="00BE3818">
                  <w:rPr>
                    <w:rFonts w:eastAsia="Times New Roman" w:cs="Calibri"/>
                    <w:sz w:val="16"/>
                    <w:szCs w:val="16"/>
                  </w:rPr>
                  <w:noBreakHyphen/>
                </w:r>
                <w:r w:rsidRPr="00EE147E">
                  <w:rPr>
                    <w:rFonts w:eastAsia="Times New Roman" w:cs="Calibri"/>
                    <w:sz w:val="16"/>
                    <w:szCs w:val="16"/>
                  </w:rPr>
                  <w:t>cigarette users aware of the risks of battery explosion.</w:t>
                </w:r>
              </w:p>
            </w:tc>
          </w:tr>
          <w:tr w:rsidR="004E260E" w:rsidRPr="00EE147E" w14:paraId="66150102" w14:textId="77777777" w:rsidTr="0086075F">
            <w:trPr>
              <w:cnfStyle w:val="000000100000" w:firstRow="0" w:lastRow="0" w:firstColumn="0" w:lastColumn="0" w:oddVBand="0" w:evenVBand="0" w:oddHBand="1" w:evenHBand="0" w:firstRowFirstColumn="0" w:firstRowLastColumn="0" w:lastRowFirstColumn="0" w:lastRowLastColumn="0"/>
              <w:trHeight w:val="894"/>
            </w:trPr>
            <w:tc>
              <w:tcPr>
                <w:cnfStyle w:val="001000000000" w:firstRow="0" w:lastRow="0" w:firstColumn="1" w:lastColumn="0" w:oddVBand="0" w:evenVBand="0" w:oddHBand="0" w:evenHBand="0" w:firstRowFirstColumn="0" w:firstRowLastColumn="0" w:lastRowFirstColumn="0" w:lastRowLastColumn="0"/>
                <w:tcW w:w="1152" w:type="dxa"/>
                <w:vMerge/>
                <w:hideMark/>
              </w:tcPr>
              <w:p w14:paraId="4C936141" w14:textId="77777777" w:rsidR="004E260E" w:rsidRPr="00EE147E" w:rsidRDefault="004E260E" w:rsidP="00EA178A">
                <w:pPr>
                  <w:spacing w:after="0"/>
                  <w:rPr>
                    <w:rFonts w:eastAsia="Times New Roman" w:cs="Calibri"/>
                    <w:sz w:val="16"/>
                    <w:szCs w:val="16"/>
                  </w:rPr>
                </w:pPr>
              </w:p>
            </w:tc>
            <w:tc>
              <w:tcPr>
                <w:tcW w:w="1145" w:type="dxa"/>
                <w:vMerge/>
                <w:hideMark/>
              </w:tcPr>
              <w:p w14:paraId="4D06D786"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p>
            </w:tc>
            <w:tc>
              <w:tcPr>
                <w:tcW w:w="700" w:type="dxa"/>
                <w:vMerge/>
                <w:hideMark/>
              </w:tcPr>
              <w:p w14:paraId="1A871283"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p>
            </w:tc>
            <w:tc>
              <w:tcPr>
                <w:tcW w:w="992" w:type="dxa"/>
                <w:hideMark/>
              </w:tcPr>
              <w:p w14:paraId="4ADDF578"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 </w:t>
                </w:r>
              </w:p>
            </w:tc>
            <w:tc>
              <w:tcPr>
                <w:tcW w:w="3010" w:type="dxa"/>
                <w:hideMark/>
              </w:tcPr>
              <w:p w14:paraId="401EDA2E" w14:textId="49B17E1D"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ENDS in pocket and battery ignited; battery case was embedded in thigh</w:t>
                </w:r>
                <w:r w:rsidR="00BE3818">
                  <w:rPr>
                    <w:rFonts w:eastAsia="Times New Roman" w:cs="Calibri"/>
                    <w:sz w:val="16"/>
                    <w:szCs w:val="16"/>
                  </w:rPr>
                  <w:t>.</w:t>
                </w:r>
              </w:p>
            </w:tc>
            <w:tc>
              <w:tcPr>
                <w:tcW w:w="851" w:type="dxa"/>
                <w:hideMark/>
              </w:tcPr>
              <w:p w14:paraId="7AA4EB87"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36</w:t>
                </w:r>
              </w:p>
            </w:tc>
            <w:tc>
              <w:tcPr>
                <w:tcW w:w="709" w:type="dxa"/>
                <w:hideMark/>
              </w:tcPr>
              <w:p w14:paraId="23EC8B90"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M</w:t>
                </w:r>
              </w:p>
            </w:tc>
            <w:tc>
              <w:tcPr>
                <w:tcW w:w="1559" w:type="dxa"/>
                <w:hideMark/>
              </w:tcPr>
              <w:p w14:paraId="44B2CDFB"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Exploding ENDS</w:t>
                </w:r>
              </w:p>
            </w:tc>
            <w:tc>
              <w:tcPr>
                <w:tcW w:w="3202" w:type="dxa"/>
                <w:hideMark/>
              </w:tcPr>
              <w:p w14:paraId="1A94F8A4"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p>
            </w:tc>
            <w:tc>
              <w:tcPr>
                <w:tcW w:w="1735" w:type="dxa"/>
                <w:hideMark/>
              </w:tcPr>
              <w:p w14:paraId="601378FA"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 </w:t>
                </w:r>
              </w:p>
            </w:tc>
          </w:tr>
          <w:tr w:rsidR="004E260E" w:rsidRPr="00EE147E" w14:paraId="03523B18" w14:textId="77777777" w:rsidTr="0086075F">
            <w:trPr>
              <w:trHeight w:val="1134"/>
            </w:trPr>
            <w:tc>
              <w:tcPr>
                <w:cnfStyle w:val="001000000000" w:firstRow="0" w:lastRow="0" w:firstColumn="1" w:lastColumn="0" w:oddVBand="0" w:evenVBand="0" w:oddHBand="0" w:evenHBand="0" w:firstRowFirstColumn="0" w:firstRowLastColumn="0" w:lastRowFirstColumn="0" w:lastRowLastColumn="0"/>
                <w:tcW w:w="1152" w:type="dxa"/>
                <w:hideMark/>
              </w:tcPr>
              <w:p w14:paraId="4ED4A309" w14:textId="77777777" w:rsidR="004E260E" w:rsidRPr="00EE147E" w:rsidRDefault="004E260E" w:rsidP="00EA178A">
                <w:pPr>
                  <w:spacing w:after="0"/>
                  <w:rPr>
                    <w:rFonts w:eastAsia="Times New Roman" w:cs="Calibri"/>
                    <w:sz w:val="16"/>
                    <w:szCs w:val="16"/>
                  </w:rPr>
                </w:pPr>
                <w:r w:rsidRPr="00EE147E">
                  <w:rPr>
                    <w:rFonts w:eastAsia="Times New Roman" w:cs="Calibri"/>
                    <w:sz w:val="16"/>
                    <w:szCs w:val="16"/>
                  </w:rPr>
                  <w:t>Hickey et al Feb 2018</w:t>
                </w:r>
              </w:p>
            </w:tc>
            <w:tc>
              <w:tcPr>
                <w:tcW w:w="1145" w:type="dxa"/>
                <w:hideMark/>
              </w:tcPr>
              <w:p w14:paraId="4E7F6D08" w14:textId="3D04E40D"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Retrospective review of all patients admitted to the Massachusetts General Hospital Burn Center</w:t>
                </w:r>
                <w:r w:rsidR="00987BCE">
                  <w:rPr>
                    <w:rFonts w:eastAsia="Times New Roman" w:cs="Calibri"/>
                    <w:sz w:val="16"/>
                    <w:szCs w:val="16"/>
                  </w:rPr>
                  <w:t>.</w:t>
                </w:r>
              </w:p>
            </w:tc>
            <w:tc>
              <w:tcPr>
                <w:tcW w:w="700" w:type="dxa"/>
                <w:hideMark/>
              </w:tcPr>
              <w:p w14:paraId="0986A0CE"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USA</w:t>
                </w:r>
              </w:p>
            </w:tc>
            <w:tc>
              <w:tcPr>
                <w:tcW w:w="992" w:type="dxa"/>
                <w:hideMark/>
              </w:tcPr>
              <w:p w14:paraId="0CD3AA99"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 xml:space="preserve">January 2015 to April 2017 </w:t>
                </w:r>
              </w:p>
            </w:tc>
            <w:tc>
              <w:tcPr>
                <w:tcW w:w="3010" w:type="dxa"/>
                <w:hideMark/>
              </w:tcPr>
              <w:p w14:paraId="2F44660E" w14:textId="2EC80A63" w:rsidR="004E260E" w:rsidRPr="00EE147E" w:rsidRDefault="004E260E" w:rsidP="00987BCE">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E</w:t>
                </w:r>
                <w:r w:rsidR="00987BCE">
                  <w:rPr>
                    <w:rFonts w:eastAsia="Times New Roman" w:cs="Calibri"/>
                    <w:sz w:val="16"/>
                    <w:szCs w:val="16"/>
                  </w:rPr>
                  <w:t>-cigarette</w:t>
                </w:r>
                <w:r w:rsidRPr="00EE147E">
                  <w:rPr>
                    <w:rFonts w:eastAsia="Times New Roman" w:cs="Calibri"/>
                    <w:sz w:val="16"/>
                    <w:szCs w:val="16"/>
                  </w:rPr>
                  <w:t xml:space="preserve"> burns</w:t>
                </w:r>
                <w:r w:rsidR="00987BCE">
                  <w:rPr>
                    <w:rFonts w:eastAsia="Times New Roman" w:cs="Calibri"/>
                    <w:sz w:val="16"/>
                    <w:szCs w:val="16"/>
                  </w:rPr>
                  <w:t xml:space="preserve"> </w:t>
                </w:r>
                <w:r w:rsidRPr="00EE147E">
                  <w:rPr>
                    <w:rFonts w:eastAsia="Times New Roman" w:cs="Calibri"/>
                    <w:sz w:val="16"/>
                    <w:szCs w:val="16"/>
                  </w:rPr>
                  <w:t xml:space="preserve">occurred in males 93% (13/14) of the time. Thermal and blast injuries associated with </w:t>
                </w:r>
                <w:r w:rsidR="00987BCE">
                  <w:rPr>
                    <w:rFonts w:eastAsia="Times New Roman" w:cs="Calibri"/>
                    <w:sz w:val="16"/>
                    <w:szCs w:val="16"/>
                  </w:rPr>
                  <w:t>e-cigarette</w:t>
                </w:r>
                <w:r w:rsidR="00987BCE" w:rsidRPr="00EE147E">
                  <w:rPr>
                    <w:rFonts w:eastAsia="Times New Roman" w:cs="Calibri"/>
                    <w:sz w:val="16"/>
                    <w:szCs w:val="16"/>
                  </w:rPr>
                  <w:t xml:space="preserve"> </w:t>
                </w:r>
                <w:r w:rsidRPr="00EE147E">
                  <w:rPr>
                    <w:rFonts w:eastAsia="Times New Roman" w:cs="Calibri"/>
                    <w:sz w:val="16"/>
                    <w:szCs w:val="16"/>
                  </w:rPr>
                  <w:t xml:space="preserve">device failure tend to cause small TBSA burns that are deep 2nd and 3rd degree wounds. The most common location for </w:t>
                </w:r>
                <w:r w:rsidR="00987BCE">
                  <w:rPr>
                    <w:rFonts w:eastAsia="Times New Roman" w:cs="Calibri"/>
                    <w:sz w:val="16"/>
                    <w:szCs w:val="16"/>
                  </w:rPr>
                  <w:t>e-cigarette</w:t>
                </w:r>
                <w:r w:rsidR="00987BCE" w:rsidRPr="00EE147E">
                  <w:rPr>
                    <w:rFonts w:eastAsia="Times New Roman" w:cs="Calibri"/>
                    <w:sz w:val="16"/>
                    <w:szCs w:val="16"/>
                  </w:rPr>
                  <w:t xml:space="preserve"> </w:t>
                </w:r>
                <w:r w:rsidRPr="00EE147E">
                  <w:rPr>
                    <w:rFonts w:eastAsia="Times New Roman" w:cs="Calibri"/>
                    <w:sz w:val="16"/>
                    <w:szCs w:val="16"/>
                  </w:rPr>
                  <w:t>device storage among males was the front pants pocket.</w:t>
                </w:r>
              </w:p>
            </w:tc>
            <w:tc>
              <w:tcPr>
                <w:tcW w:w="851" w:type="dxa"/>
                <w:hideMark/>
              </w:tcPr>
              <w:p w14:paraId="6E0C02F2"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 </w:t>
                </w:r>
              </w:p>
            </w:tc>
            <w:tc>
              <w:tcPr>
                <w:tcW w:w="709" w:type="dxa"/>
                <w:hideMark/>
              </w:tcPr>
              <w:p w14:paraId="5DD9F247"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 </w:t>
                </w:r>
              </w:p>
            </w:tc>
            <w:tc>
              <w:tcPr>
                <w:tcW w:w="1559" w:type="dxa"/>
                <w:hideMark/>
              </w:tcPr>
              <w:p w14:paraId="0D306B15"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Malfunctioning/exploding ENDS</w:t>
                </w:r>
              </w:p>
            </w:tc>
            <w:tc>
              <w:tcPr>
                <w:tcW w:w="3202" w:type="dxa"/>
                <w:hideMark/>
              </w:tcPr>
              <w:p w14:paraId="1588BD94" w14:textId="7603CCC5" w:rsidR="004E260E" w:rsidRPr="00EE147E" w:rsidRDefault="004E260E" w:rsidP="00987BCE">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E</w:t>
                </w:r>
                <w:r w:rsidR="00987BCE">
                  <w:rPr>
                    <w:rFonts w:eastAsia="Times New Roman" w:cs="Calibri"/>
                    <w:sz w:val="16"/>
                    <w:szCs w:val="16"/>
                  </w:rPr>
                  <w:t>-cigarette</w:t>
                </w:r>
                <w:r w:rsidRPr="00EE147E">
                  <w:rPr>
                    <w:rFonts w:eastAsia="Times New Roman" w:cs="Calibri"/>
                    <w:sz w:val="16"/>
                    <w:szCs w:val="16"/>
                  </w:rPr>
                  <w:t xml:space="preserve"> device users should be made aware of the dangers associated with </w:t>
                </w:r>
                <w:r w:rsidR="00987BCE">
                  <w:rPr>
                    <w:rFonts w:eastAsia="Times New Roman" w:cs="Calibri"/>
                    <w:sz w:val="16"/>
                    <w:szCs w:val="16"/>
                  </w:rPr>
                  <w:t>e</w:t>
                </w:r>
                <w:r w:rsidR="00987BCE">
                  <w:rPr>
                    <w:rFonts w:eastAsia="Times New Roman" w:cs="Calibri"/>
                    <w:sz w:val="16"/>
                    <w:szCs w:val="16"/>
                  </w:rPr>
                  <w:noBreakHyphen/>
                  <w:t>cigarette</w:t>
                </w:r>
                <w:r w:rsidR="00987BCE" w:rsidRPr="00EE147E">
                  <w:rPr>
                    <w:rFonts w:eastAsia="Times New Roman" w:cs="Calibri"/>
                    <w:sz w:val="16"/>
                    <w:szCs w:val="16"/>
                  </w:rPr>
                  <w:t xml:space="preserve"> </w:t>
                </w:r>
                <w:r w:rsidRPr="00EE147E">
                  <w:rPr>
                    <w:rFonts w:eastAsia="Times New Roman" w:cs="Calibri"/>
                    <w:sz w:val="16"/>
                    <w:szCs w:val="16"/>
                  </w:rPr>
                  <w:t xml:space="preserve">use and advised to carry </w:t>
                </w:r>
                <w:r w:rsidR="00987BCE">
                  <w:rPr>
                    <w:rFonts w:eastAsia="Times New Roman" w:cs="Calibri"/>
                    <w:sz w:val="16"/>
                    <w:szCs w:val="16"/>
                  </w:rPr>
                  <w:t>e</w:t>
                </w:r>
                <w:r w:rsidR="00987BCE">
                  <w:rPr>
                    <w:rFonts w:eastAsia="Times New Roman" w:cs="Calibri"/>
                    <w:sz w:val="16"/>
                    <w:szCs w:val="16"/>
                  </w:rPr>
                  <w:noBreakHyphen/>
                  <w:t>cigarette</w:t>
                </w:r>
                <w:r w:rsidRPr="00EE147E">
                  <w:rPr>
                    <w:rFonts w:eastAsia="Times New Roman" w:cs="Calibri"/>
                    <w:sz w:val="16"/>
                    <w:szCs w:val="16"/>
                  </w:rPr>
                  <w:t xml:space="preserve"> devices away from their body in dedicated carrying cases without loose metallic items</w:t>
                </w:r>
                <w:r w:rsidR="00BE3818">
                  <w:rPr>
                    <w:rFonts w:eastAsia="Times New Roman" w:cs="Calibri"/>
                    <w:sz w:val="16"/>
                    <w:szCs w:val="16"/>
                  </w:rPr>
                  <w:t>.</w:t>
                </w:r>
              </w:p>
            </w:tc>
            <w:tc>
              <w:tcPr>
                <w:tcW w:w="1735" w:type="dxa"/>
                <w:hideMark/>
              </w:tcPr>
              <w:p w14:paraId="39DD8C0A"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 </w:t>
                </w:r>
              </w:p>
            </w:tc>
          </w:tr>
          <w:tr w:rsidR="004E260E" w:rsidRPr="00EE147E" w14:paraId="5A3C1861" w14:textId="77777777" w:rsidTr="0086075F">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1152" w:type="dxa"/>
                <w:hideMark/>
              </w:tcPr>
              <w:p w14:paraId="04B1CAEF" w14:textId="77777777" w:rsidR="004E260E" w:rsidRPr="00EE147E" w:rsidRDefault="004E260E" w:rsidP="00EA178A">
                <w:pPr>
                  <w:spacing w:after="0"/>
                  <w:rPr>
                    <w:rFonts w:eastAsia="Times New Roman" w:cs="Calibri"/>
                    <w:sz w:val="16"/>
                    <w:szCs w:val="16"/>
                  </w:rPr>
                </w:pPr>
                <w:r w:rsidRPr="00EE147E">
                  <w:rPr>
                    <w:rFonts w:eastAsia="Times New Roman" w:cs="Calibri"/>
                    <w:sz w:val="16"/>
                    <w:szCs w:val="16"/>
                  </w:rPr>
                  <w:t>Jiwani et al Feb 2017</w:t>
                </w:r>
              </w:p>
            </w:tc>
            <w:tc>
              <w:tcPr>
                <w:tcW w:w="1145" w:type="dxa"/>
                <w:hideMark/>
              </w:tcPr>
              <w:p w14:paraId="33C2E3AE" w14:textId="2019421A"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Retrospective review of 10 patients at a single burns centre over a 2 year period</w:t>
                </w:r>
                <w:r w:rsidR="00987BCE">
                  <w:rPr>
                    <w:rFonts w:eastAsia="Times New Roman" w:cs="Calibri"/>
                    <w:sz w:val="16"/>
                    <w:szCs w:val="16"/>
                  </w:rPr>
                  <w:t>.</w:t>
                </w:r>
              </w:p>
            </w:tc>
            <w:tc>
              <w:tcPr>
                <w:tcW w:w="700" w:type="dxa"/>
                <w:hideMark/>
              </w:tcPr>
              <w:p w14:paraId="56A5652A"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USA</w:t>
                </w:r>
              </w:p>
            </w:tc>
            <w:tc>
              <w:tcPr>
                <w:tcW w:w="992" w:type="dxa"/>
                <w:hideMark/>
              </w:tcPr>
              <w:p w14:paraId="2226DA7B"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2014-2016</w:t>
                </w:r>
              </w:p>
            </w:tc>
            <w:tc>
              <w:tcPr>
                <w:tcW w:w="3010" w:type="dxa"/>
                <w:hideMark/>
              </w:tcPr>
              <w:p w14:paraId="47987727" w14:textId="2379DAFE" w:rsidR="004E260E" w:rsidRPr="00EE147E" w:rsidRDefault="004E260E" w:rsidP="00987BCE">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The cohort was comprised</w:t>
                </w:r>
                <w:r w:rsidR="00987BCE">
                  <w:rPr>
                    <w:rFonts w:eastAsia="Times New Roman" w:cs="Calibri"/>
                    <w:sz w:val="16"/>
                    <w:szCs w:val="16"/>
                  </w:rPr>
                  <w:t xml:space="preserve"> </w:t>
                </w:r>
                <w:r w:rsidRPr="00EE147E">
                  <w:rPr>
                    <w:rFonts w:eastAsia="Times New Roman" w:cs="Calibri"/>
                    <w:sz w:val="16"/>
                    <w:szCs w:val="16"/>
                  </w:rPr>
                  <w:t>mainly of young adults who sustained mixed</w:t>
                </w:r>
                <w:r w:rsidR="00987BCE">
                  <w:rPr>
                    <w:rFonts w:eastAsia="Times New Roman" w:cs="Calibri"/>
                    <w:sz w:val="16"/>
                    <w:szCs w:val="16"/>
                  </w:rPr>
                  <w:t xml:space="preserve"> </w:t>
                </w:r>
                <w:r w:rsidRPr="00EE147E">
                  <w:rPr>
                    <w:rFonts w:eastAsia="Times New Roman" w:cs="Calibri"/>
                    <w:sz w:val="16"/>
                    <w:szCs w:val="16"/>
                  </w:rPr>
                  <w:t>partial and full thickness thermal burn injuries</w:t>
                </w:r>
                <w:r w:rsidR="00987BCE">
                  <w:rPr>
                    <w:rFonts w:eastAsia="Times New Roman" w:cs="Calibri"/>
                    <w:sz w:val="16"/>
                    <w:szCs w:val="16"/>
                  </w:rPr>
                  <w:t>.</w:t>
                </w:r>
                <w:r w:rsidRPr="00EE147E">
                  <w:rPr>
                    <w:rFonts w:eastAsia="Times New Roman" w:cs="Calibri"/>
                    <w:sz w:val="16"/>
                    <w:szCs w:val="16"/>
                  </w:rPr>
                  <w:t xml:space="preserve"> Nine of the 10 injuries were the result of thermal injury with the remaining one a combination of thermal and blast injury. </w:t>
                </w:r>
              </w:p>
            </w:tc>
            <w:tc>
              <w:tcPr>
                <w:tcW w:w="851" w:type="dxa"/>
                <w:hideMark/>
              </w:tcPr>
              <w:p w14:paraId="3F1FDE2C"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 </w:t>
                </w:r>
              </w:p>
            </w:tc>
            <w:tc>
              <w:tcPr>
                <w:tcW w:w="709" w:type="dxa"/>
                <w:hideMark/>
              </w:tcPr>
              <w:p w14:paraId="449B1101"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 </w:t>
                </w:r>
              </w:p>
            </w:tc>
            <w:tc>
              <w:tcPr>
                <w:tcW w:w="1559" w:type="dxa"/>
                <w:hideMark/>
              </w:tcPr>
              <w:p w14:paraId="0BE83719"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Malfunctioning/exploding ENDS</w:t>
                </w:r>
              </w:p>
            </w:tc>
            <w:tc>
              <w:tcPr>
                <w:tcW w:w="3202" w:type="dxa"/>
                <w:hideMark/>
              </w:tcPr>
              <w:p w14:paraId="6696647D" w14:textId="14D30ACF" w:rsidR="004E260E" w:rsidRPr="00EE147E" w:rsidRDefault="004E260E" w:rsidP="00987BCE">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 xml:space="preserve">In many documented scenarios, a malfunctioning or over-heated battery is the cause. </w:t>
                </w:r>
                <w:r w:rsidR="00987BCE">
                  <w:rPr>
                    <w:rFonts w:eastAsia="Times New Roman" w:cs="Calibri"/>
                    <w:sz w:val="16"/>
                    <w:szCs w:val="16"/>
                  </w:rPr>
                  <w:t>The study</w:t>
                </w:r>
                <w:r w:rsidRPr="00EE147E">
                  <w:rPr>
                    <w:rFonts w:eastAsia="Times New Roman" w:cs="Calibri"/>
                    <w:sz w:val="16"/>
                    <w:szCs w:val="16"/>
                  </w:rPr>
                  <w:t xml:space="preserve"> data support the need for </w:t>
                </w:r>
                <w:r w:rsidRPr="00987BCE">
                  <w:rPr>
                    <w:rFonts w:eastAsia="Times New Roman" w:cs="Calibri"/>
                    <w:sz w:val="16"/>
                    <w:szCs w:val="16"/>
                  </w:rPr>
                  <w:t>increased awareness among healthcare providers and the general public of the potential harms of e-cigarette use, modification, storage, and charging.</w:t>
                </w:r>
              </w:p>
            </w:tc>
            <w:tc>
              <w:tcPr>
                <w:tcW w:w="1735" w:type="dxa"/>
                <w:hideMark/>
              </w:tcPr>
              <w:p w14:paraId="329A0845" w14:textId="792FDD99" w:rsidR="004E260E" w:rsidRPr="00EE147E" w:rsidRDefault="00987BCE" w:rsidP="00987BCE">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Pr>
                    <w:rFonts w:eastAsia="Times New Roman" w:cs="Calibri"/>
                    <w:sz w:val="16"/>
                    <w:szCs w:val="16"/>
                  </w:rPr>
                  <w:t>The investigators</w:t>
                </w:r>
                <w:r w:rsidR="004E260E" w:rsidRPr="00987BCE">
                  <w:rPr>
                    <w:rFonts w:eastAsia="Times New Roman" w:cs="Calibri"/>
                    <w:sz w:val="16"/>
                    <w:szCs w:val="16"/>
                  </w:rPr>
                  <w:t xml:space="preserve"> recommend development of a standardized incident reporting protocol for injuries associated with e-cigarettes so </w:t>
                </w:r>
                <w:r>
                  <w:rPr>
                    <w:rFonts w:eastAsia="Times New Roman" w:cs="Calibri"/>
                    <w:sz w:val="16"/>
                    <w:szCs w:val="16"/>
                  </w:rPr>
                  <w:t>they can</w:t>
                </w:r>
                <w:r w:rsidR="004E260E" w:rsidRPr="00987BCE">
                  <w:rPr>
                    <w:rFonts w:eastAsia="Times New Roman" w:cs="Calibri"/>
                    <w:sz w:val="16"/>
                    <w:szCs w:val="16"/>
                  </w:rPr>
                  <w:t xml:space="preserve"> better characterize the problem at hand.</w:t>
                </w:r>
              </w:p>
            </w:tc>
          </w:tr>
          <w:tr w:rsidR="004E260E" w:rsidRPr="00EE147E" w14:paraId="75B90B87" w14:textId="77777777" w:rsidTr="0086075F">
            <w:trPr>
              <w:trHeight w:val="814"/>
            </w:trPr>
            <w:tc>
              <w:tcPr>
                <w:cnfStyle w:val="001000000000" w:firstRow="0" w:lastRow="0" w:firstColumn="1" w:lastColumn="0" w:oddVBand="0" w:evenVBand="0" w:oddHBand="0" w:evenHBand="0" w:firstRowFirstColumn="0" w:firstRowLastColumn="0" w:lastRowFirstColumn="0" w:lastRowLastColumn="0"/>
                <w:tcW w:w="1152" w:type="dxa"/>
                <w:hideMark/>
              </w:tcPr>
              <w:p w14:paraId="4E802EDC" w14:textId="77777777" w:rsidR="004E260E" w:rsidRPr="00EE147E" w:rsidRDefault="004E260E" w:rsidP="00EA178A">
                <w:pPr>
                  <w:spacing w:after="0"/>
                  <w:rPr>
                    <w:rFonts w:eastAsia="Times New Roman" w:cs="Calibri"/>
                    <w:sz w:val="16"/>
                    <w:szCs w:val="16"/>
                  </w:rPr>
                </w:pPr>
                <w:r w:rsidRPr="00EE147E">
                  <w:rPr>
                    <w:rFonts w:eastAsia="Times New Roman" w:cs="Calibri"/>
                    <w:sz w:val="16"/>
                    <w:szCs w:val="16"/>
                  </w:rPr>
                  <w:t>Lam et al 2017</w:t>
                </w:r>
              </w:p>
            </w:tc>
            <w:tc>
              <w:tcPr>
                <w:tcW w:w="1145" w:type="dxa"/>
                <w:hideMark/>
              </w:tcPr>
              <w:p w14:paraId="26927DCC" w14:textId="0FD78A3E"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Case report</w:t>
                </w:r>
                <w:r w:rsidR="000E5A51">
                  <w:rPr>
                    <w:rFonts w:eastAsia="Times New Roman" w:cs="Calibri"/>
                    <w:sz w:val="16"/>
                    <w:szCs w:val="16"/>
                  </w:rPr>
                  <w:t>.</w:t>
                </w:r>
              </w:p>
            </w:tc>
            <w:tc>
              <w:tcPr>
                <w:tcW w:w="700" w:type="dxa"/>
                <w:hideMark/>
              </w:tcPr>
              <w:p w14:paraId="5CF0C6B6"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China</w:t>
                </w:r>
              </w:p>
            </w:tc>
            <w:tc>
              <w:tcPr>
                <w:tcW w:w="992" w:type="dxa"/>
                <w:hideMark/>
              </w:tcPr>
              <w:p w14:paraId="1C041886" w14:textId="0650988D"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 </w:t>
                </w:r>
                <w:r w:rsidR="000E5A51">
                  <w:rPr>
                    <w:rFonts w:eastAsia="Times New Roman" w:cs="Calibri"/>
                    <w:sz w:val="16"/>
                    <w:szCs w:val="16"/>
                  </w:rPr>
                  <w:t>NR</w:t>
                </w:r>
              </w:p>
            </w:tc>
            <w:tc>
              <w:tcPr>
                <w:tcW w:w="3010" w:type="dxa"/>
                <w:hideMark/>
              </w:tcPr>
              <w:p w14:paraId="642D8F70" w14:textId="21111E84"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Toxicity resulting from ingestion of e</w:t>
                </w:r>
                <w:r w:rsidR="00BE3818">
                  <w:rPr>
                    <w:rFonts w:eastAsia="Times New Roman" w:cs="Calibri"/>
                    <w:sz w:val="16"/>
                    <w:szCs w:val="16"/>
                  </w:rPr>
                  <w:noBreakHyphen/>
                </w:r>
                <w:r w:rsidRPr="00EE147E">
                  <w:rPr>
                    <w:rFonts w:eastAsia="Times New Roman" w:cs="Calibri"/>
                    <w:sz w:val="16"/>
                    <w:szCs w:val="16"/>
                  </w:rPr>
                  <w:t>cig</w:t>
                </w:r>
                <w:r w:rsidR="00BE3818">
                  <w:rPr>
                    <w:rFonts w:eastAsia="Times New Roman" w:cs="Calibri"/>
                    <w:sz w:val="16"/>
                    <w:szCs w:val="16"/>
                  </w:rPr>
                  <w:t>arette</w:t>
                </w:r>
                <w:r w:rsidRPr="00EE147E">
                  <w:rPr>
                    <w:rFonts w:eastAsia="Times New Roman" w:cs="Calibri"/>
                    <w:sz w:val="16"/>
                    <w:szCs w:val="16"/>
                  </w:rPr>
                  <w:t xml:space="preserve"> fluid</w:t>
                </w:r>
                <w:r w:rsidR="00BE3818">
                  <w:rPr>
                    <w:rFonts w:eastAsia="Times New Roman" w:cs="Calibri"/>
                    <w:sz w:val="16"/>
                    <w:szCs w:val="16"/>
                  </w:rPr>
                  <w:t>.</w:t>
                </w:r>
              </w:p>
            </w:tc>
            <w:tc>
              <w:tcPr>
                <w:tcW w:w="851" w:type="dxa"/>
                <w:hideMark/>
              </w:tcPr>
              <w:p w14:paraId="42E4B5D2"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24</w:t>
                </w:r>
              </w:p>
            </w:tc>
            <w:tc>
              <w:tcPr>
                <w:tcW w:w="709" w:type="dxa"/>
                <w:hideMark/>
              </w:tcPr>
              <w:p w14:paraId="5B2015F9"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M</w:t>
                </w:r>
              </w:p>
            </w:tc>
            <w:tc>
              <w:tcPr>
                <w:tcW w:w="1559" w:type="dxa"/>
                <w:hideMark/>
              </w:tcPr>
              <w:p w14:paraId="78F7E5BE" w14:textId="0FEE51D8"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 xml:space="preserve">Within 30min of ingestion, </w:t>
                </w:r>
                <w:r w:rsidR="000E5A51">
                  <w:rPr>
                    <w:rFonts w:eastAsia="Times New Roman" w:cs="Calibri"/>
                    <w:sz w:val="16"/>
                    <w:szCs w:val="16"/>
                  </w:rPr>
                  <w:t>t</w:t>
                </w:r>
                <w:r w:rsidRPr="00EE147E">
                  <w:rPr>
                    <w:rFonts w:eastAsia="Times New Roman" w:cs="Calibri"/>
                    <w:sz w:val="16"/>
                    <w:szCs w:val="16"/>
                  </w:rPr>
                  <w:t>he</w:t>
                </w:r>
                <w:r w:rsidR="000E5A51">
                  <w:rPr>
                    <w:rFonts w:eastAsia="Times New Roman" w:cs="Calibri"/>
                    <w:sz w:val="16"/>
                    <w:szCs w:val="16"/>
                  </w:rPr>
                  <w:t xml:space="preserve"> case</w:t>
                </w:r>
                <w:r w:rsidRPr="00EE147E">
                  <w:rPr>
                    <w:rFonts w:eastAsia="Times New Roman" w:cs="Calibri"/>
                    <w:sz w:val="16"/>
                    <w:szCs w:val="16"/>
                  </w:rPr>
                  <w:t xml:space="preserve"> became somnolent, confused, and agitated, with palpitation and vomiting. </w:t>
                </w:r>
              </w:p>
            </w:tc>
            <w:tc>
              <w:tcPr>
                <w:tcW w:w="3202" w:type="dxa"/>
                <w:hideMark/>
              </w:tcPr>
              <w:p w14:paraId="5935A6A1" w14:textId="7083BFCC"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 xml:space="preserve">In the context of acute poisoning, the presence of unexplained tachyarrhythmia, confusion, and </w:t>
                </w:r>
                <w:r w:rsidRPr="000E5A51">
                  <w:rPr>
                    <w:rFonts w:eastAsia="Times New Roman" w:cs="Calibri"/>
                    <w:sz w:val="16"/>
                    <w:szCs w:val="16"/>
                  </w:rPr>
                  <w:t>a negative recreational drug screen should prompt clinicians to consider synthetic cannabinoid toxicity as a differential diagnosis.</w:t>
                </w:r>
              </w:p>
            </w:tc>
            <w:tc>
              <w:tcPr>
                <w:tcW w:w="1735" w:type="dxa"/>
                <w:hideMark/>
              </w:tcPr>
              <w:p w14:paraId="7A464B06"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p>
            </w:tc>
          </w:tr>
          <w:tr w:rsidR="004E260E" w:rsidRPr="00EE147E" w14:paraId="047B088C" w14:textId="77777777" w:rsidTr="0086075F">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1152" w:type="dxa"/>
                <w:hideMark/>
              </w:tcPr>
              <w:p w14:paraId="56FC3F0A" w14:textId="77777777" w:rsidR="004E260E" w:rsidRPr="00EE147E" w:rsidRDefault="004E260E" w:rsidP="00EA178A">
                <w:pPr>
                  <w:spacing w:after="0"/>
                  <w:rPr>
                    <w:rFonts w:eastAsia="Times New Roman" w:cs="Calibri"/>
                    <w:sz w:val="16"/>
                    <w:szCs w:val="16"/>
                  </w:rPr>
                </w:pPr>
                <w:r w:rsidRPr="00EE147E">
                  <w:rPr>
                    <w:rFonts w:eastAsia="Times New Roman" w:cs="Calibri"/>
                    <w:sz w:val="16"/>
                    <w:szCs w:val="16"/>
                  </w:rPr>
                  <w:lastRenderedPageBreak/>
                  <w:t>Loewenstein et al 2017</w:t>
                </w:r>
              </w:p>
            </w:tc>
            <w:tc>
              <w:tcPr>
                <w:tcW w:w="1145" w:type="dxa"/>
                <w:hideMark/>
              </w:tcPr>
              <w:p w14:paraId="260B4C5C" w14:textId="56FBA7F3"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Commentary re FDA regulations</w:t>
                </w:r>
                <w:r w:rsidR="00BE3818">
                  <w:rPr>
                    <w:rFonts w:eastAsia="Times New Roman" w:cs="Calibri"/>
                    <w:sz w:val="16"/>
                    <w:szCs w:val="16"/>
                  </w:rPr>
                  <w:t>.</w:t>
                </w:r>
              </w:p>
            </w:tc>
            <w:tc>
              <w:tcPr>
                <w:tcW w:w="700" w:type="dxa"/>
                <w:hideMark/>
              </w:tcPr>
              <w:p w14:paraId="1A7D2437"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USA</w:t>
                </w:r>
              </w:p>
            </w:tc>
            <w:tc>
              <w:tcPr>
                <w:tcW w:w="992" w:type="dxa"/>
                <w:hideMark/>
              </w:tcPr>
              <w:p w14:paraId="4DE30DB3" w14:textId="70470D92"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 </w:t>
                </w:r>
                <w:r w:rsidR="000E5A51">
                  <w:rPr>
                    <w:rFonts w:eastAsia="Times New Roman" w:cs="Calibri"/>
                    <w:sz w:val="16"/>
                    <w:szCs w:val="16"/>
                  </w:rPr>
                  <w:t>NR</w:t>
                </w:r>
              </w:p>
            </w:tc>
            <w:tc>
              <w:tcPr>
                <w:tcW w:w="3010" w:type="dxa"/>
                <w:hideMark/>
              </w:tcPr>
              <w:p w14:paraId="1A915CF4"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 </w:t>
                </w:r>
              </w:p>
            </w:tc>
            <w:tc>
              <w:tcPr>
                <w:tcW w:w="851" w:type="dxa"/>
                <w:hideMark/>
              </w:tcPr>
              <w:p w14:paraId="55A7B6B6"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 </w:t>
                </w:r>
              </w:p>
            </w:tc>
            <w:tc>
              <w:tcPr>
                <w:tcW w:w="709" w:type="dxa"/>
                <w:hideMark/>
              </w:tcPr>
              <w:p w14:paraId="1E193531"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 </w:t>
                </w:r>
              </w:p>
            </w:tc>
            <w:tc>
              <w:tcPr>
                <w:tcW w:w="1559" w:type="dxa"/>
                <w:hideMark/>
              </w:tcPr>
              <w:p w14:paraId="481A60CF"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 </w:t>
                </w:r>
              </w:p>
            </w:tc>
            <w:tc>
              <w:tcPr>
                <w:tcW w:w="3202" w:type="dxa"/>
                <w:hideMark/>
              </w:tcPr>
              <w:p w14:paraId="3700AE08" w14:textId="5FCDB11B"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0E5A51">
                  <w:rPr>
                    <w:rFonts w:eastAsia="Times New Roman" w:cs="Calibri"/>
                    <w:sz w:val="16"/>
                    <w:szCs w:val="16"/>
                  </w:rPr>
                  <w:t>The proposed FDA regulations of the e</w:t>
                </w:r>
                <w:r w:rsidR="00887971">
                  <w:rPr>
                    <w:rFonts w:eastAsia="Times New Roman" w:cs="Calibri"/>
                    <w:sz w:val="16"/>
                    <w:szCs w:val="16"/>
                  </w:rPr>
                  <w:noBreakHyphen/>
                </w:r>
                <w:r w:rsidRPr="000E5A51">
                  <w:rPr>
                    <w:rFonts w:eastAsia="Times New Roman" w:cs="Calibri"/>
                    <w:sz w:val="16"/>
                    <w:szCs w:val="16"/>
                  </w:rPr>
                  <w:t>cigarette devices are insufficient to protect users from the real and present hazards of poor device workmanship and potential to reach supra-high temperatures.</w:t>
                </w:r>
                <w:r w:rsidRPr="00EE147E">
                  <w:rPr>
                    <w:rFonts w:eastAsia="Times New Roman" w:cs="Calibri"/>
                    <w:sz w:val="16"/>
                    <w:szCs w:val="16"/>
                  </w:rPr>
                  <w:t> </w:t>
                </w:r>
              </w:p>
            </w:tc>
            <w:tc>
              <w:tcPr>
                <w:tcW w:w="1735" w:type="dxa"/>
                <w:hideMark/>
              </w:tcPr>
              <w:p w14:paraId="302131AA"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 </w:t>
                </w:r>
              </w:p>
            </w:tc>
          </w:tr>
          <w:tr w:rsidR="004E260E" w:rsidRPr="00EE147E" w14:paraId="4539FD91" w14:textId="77777777" w:rsidTr="0086075F">
            <w:trPr>
              <w:trHeight w:val="963"/>
            </w:trPr>
            <w:tc>
              <w:tcPr>
                <w:cnfStyle w:val="001000000000" w:firstRow="0" w:lastRow="0" w:firstColumn="1" w:lastColumn="0" w:oddVBand="0" w:evenVBand="0" w:oddHBand="0" w:evenHBand="0" w:firstRowFirstColumn="0" w:firstRowLastColumn="0" w:lastRowFirstColumn="0" w:lastRowLastColumn="0"/>
                <w:tcW w:w="1152" w:type="dxa"/>
                <w:hideMark/>
              </w:tcPr>
              <w:p w14:paraId="7F03A8C4" w14:textId="77777777" w:rsidR="004E260E" w:rsidRPr="00EE147E" w:rsidRDefault="004E260E" w:rsidP="00EA178A">
                <w:pPr>
                  <w:spacing w:after="0"/>
                  <w:rPr>
                    <w:rFonts w:eastAsia="Times New Roman" w:cs="Calibri"/>
                    <w:sz w:val="16"/>
                    <w:szCs w:val="16"/>
                  </w:rPr>
                </w:pPr>
                <w:r w:rsidRPr="00EE147E">
                  <w:rPr>
                    <w:rFonts w:eastAsia="Times New Roman" w:cs="Calibri"/>
                    <w:sz w:val="16"/>
                    <w:szCs w:val="16"/>
                  </w:rPr>
                  <w:t>Morley et al 2017</w:t>
                </w:r>
              </w:p>
            </w:tc>
            <w:tc>
              <w:tcPr>
                <w:tcW w:w="1145" w:type="dxa"/>
                <w:hideMark/>
              </w:tcPr>
              <w:p w14:paraId="4A6E5319" w14:textId="0DAFFF8D"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Case report</w:t>
                </w:r>
                <w:r w:rsidR="000E5A51">
                  <w:rPr>
                    <w:rFonts w:eastAsia="Times New Roman" w:cs="Calibri"/>
                    <w:sz w:val="16"/>
                    <w:szCs w:val="16"/>
                  </w:rPr>
                  <w:t>.</w:t>
                </w:r>
              </w:p>
            </w:tc>
            <w:tc>
              <w:tcPr>
                <w:tcW w:w="700" w:type="dxa"/>
                <w:hideMark/>
              </w:tcPr>
              <w:p w14:paraId="0576D581"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England</w:t>
                </w:r>
              </w:p>
            </w:tc>
            <w:tc>
              <w:tcPr>
                <w:tcW w:w="992" w:type="dxa"/>
                <w:hideMark/>
              </w:tcPr>
              <w:p w14:paraId="3AE96D29" w14:textId="7200FF0D"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 </w:t>
                </w:r>
                <w:r w:rsidR="000E5A51">
                  <w:rPr>
                    <w:rFonts w:eastAsia="Times New Roman" w:cs="Calibri"/>
                    <w:sz w:val="16"/>
                    <w:szCs w:val="16"/>
                  </w:rPr>
                  <w:t>NR</w:t>
                </w:r>
              </w:p>
            </w:tc>
            <w:tc>
              <w:tcPr>
                <w:tcW w:w="3010" w:type="dxa"/>
                <w:hideMark/>
              </w:tcPr>
              <w:p w14:paraId="280D99AF" w14:textId="742C29C4"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Individual ingested nicotine-containing e</w:t>
                </w:r>
                <w:r w:rsidR="00BE3818">
                  <w:rPr>
                    <w:rFonts w:eastAsia="Times New Roman" w:cs="Calibri"/>
                    <w:sz w:val="16"/>
                    <w:szCs w:val="16"/>
                  </w:rPr>
                  <w:noBreakHyphen/>
                </w:r>
                <w:r w:rsidRPr="00EE147E">
                  <w:rPr>
                    <w:rFonts w:eastAsia="Times New Roman" w:cs="Calibri"/>
                    <w:sz w:val="16"/>
                    <w:szCs w:val="16"/>
                  </w:rPr>
                  <w:t>liquid while under the influence of alcohol</w:t>
                </w:r>
                <w:r w:rsidR="00BE3818">
                  <w:rPr>
                    <w:rFonts w:eastAsia="Times New Roman" w:cs="Calibri"/>
                    <w:sz w:val="16"/>
                    <w:szCs w:val="16"/>
                  </w:rPr>
                  <w:t>.</w:t>
                </w:r>
              </w:p>
            </w:tc>
            <w:tc>
              <w:tcPr>
                <w:tcW w:w="851" w:type="dxa"/>
                <w:hideMark/>
              </w:tcPr>
              <w:p w14:paraId="2CCD959C"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32</w:t>
                </w:r>
              </w:p>
            </w:tc>
            <w:tc>
              <w:tcPr>
                <w:tcW w:w="709" w:type="dxa"/>
                <w:hideMark/>
              </w:tcPr>
              <w:p w14:paraId="65F13CA3"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M</w:t>
                </w:r>
              </w:p>
            </w:tc>
            <w:tc>
              <w:tcPr>
                <w:tcW w:w="1559" w:type="dxa"/>
                <w:hideMark/>
              </w:tcPr>
              <w:p w14:paraId="72B0378B"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Ingesting e-liquid</w:t>
                </w:r>
              </w:p>
            </w:tc>
            <w:tc>
              <w:tcPr>
                <w:tcW w:w="3202" w:type="dxa"/>
                <w:hideMark/>
              </w:tcPr>
              <w:p w14:paraId="6D4FB2C6"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Death secondary to e-liquid ingestion is still very rare, but has the potential for causing deaths due to the easy access of such liquids to the general public. Such toxicity should be considered in individuals who present in the early phases with symptoms of stimulant toxicity, but also in the latter phase where there may be autonomic depressive effects.</w:t>
                </w:r>
              </w:p>
            </w:tc>
            <w:tc>
              <w:tcPr>
                <w:tcW w:w="1735" w:type="dxa"/>
                <w:hideMark/>
              </w:tcPr>
              <w:p w14:paraId="258A49B2"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 </w:t>
                </w:r>
              </w:p>
            </w:tc>
          </w:tr>
          <w:tr w:rsidR="004E260E" w:rsidRPr="00EE147E" w14:paraId="22500B64" w14:textId="77777777" w:rsidTr="0086075F">
            <w:trPr>
              <w:cnfStyle w:val="000000100000" w:firstRow="0" w:lastRow="0" w:firstColumn="0" w:lastColumn="0" w:oddVBand="0" w:evenVBand="0" w:oddHBand="1" w:evenHBand="0" w:firstRowFirstColumn="0" w:firstRowLastColumn="0" w:lastRowFirstColumn="0" w:lastRowLastColumn="0"/>
              <w:trHeight w:val="786"/>
            </w:trPr>
            <w:tc>
              <w:tcPr>
                <w:cnfStyle w:val="001000000000" w:firstRow="0" w:lastRow="0" w:firstColumn="1" w:lastColumn="0" w:oddVBand="0" w:evenVBand="0" w:oddHBand="0" w:evenHBand="0" w:firstRowFirstColumn="0" w:firstRowLastColumn="0" w:lastRowFirstColumn="0" w:lastRowLastColumn="0"/>
                <w:tcW w:w="1152" w:type="dxa"/>
                <w:hideMark/>
              </w:tcPr>
              <w:p w14:paraId="5CC17D97" w14:textId="77777777" w:rsidR="004E260E" w:rsidRPr="00EE147E" w:rsidRDefault="004E260E" w:rsidP="00EA178A">
                <w:pPr>
                  <w:spacing w:after="0"/>
                  <w:rPr>
                    <w:rFonts w:eastAsia="Times New Roman" w:cs="Calibri"/>
                    <w:sz w:val="16"/>
                    <w:szCs w:val="16"/>
                  </w:rPr>
                </w:pPr>
                <w:r w:rsidRPr="00EE147E">
                  <w:rPr>
                    <w:rFonts w:eastAsia="Times New Roman" w:cs="Calibri"/>
                    <w:sz w:val="16"/>
                    <w:szCs w:val="16"/>
                  </w:rPr>
                  <w:t>Norii et al 2017</w:t>
                </w:r>
              </w:p>
            </w:tc>
            <w:tc>
              <w:tcPr>
                <w:tcW w:w="1145" w:type="dxa"/>
                <w:hideMark/>
              </w:tcPr>
              <w:p w14:paraId="05FBE280" w14:textId="48DCF308"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Case report</w:t>
                </w:r>
                <w:r w:rsidR="000E5A51">
                  <w:rPr>
                    <w:rFonts w:eastAsia="Times New Roman" w:cs="Calibri"/>
                    <w:sz w:val="16"/>
                    <w:szCs w:val="16"/>
                  </w:rPr>
                  <w:t>.</w:t>
                </w:r>
              </w:p>
            </w:tc>
            <w:tc>
              <w:tcPr>
                <w:tcW w:w="700" w:type="dxa"/>
                <w:hideMark/>
              </w:tcPr>
              <w:p w14:paraId="2B2CF768"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USA</w:t>
                </w:r>
              </w:p>
            </w:tc>
            <w:tc>
              <w:tcPr>
                <w:tcW w:w="992" w:type="dxa"/>
                <w:hideMark/>
              </w:tcPr>
              <w:p w14:paraId="771C1F61" w14:textId="677D8E90"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 </w:t>
                </w:r>
                <w:r w:rsidR="000E5A51">
                  <w:rPr>
                    <w:rFonts w:eastAsia="Times New Roman" w:cs="Calibri"/>
                    <w:sz w:val="16"/>
                    <w:szCs w:val="16"/>
                  </w:rPr>
                  <w:t>NR</w:t>
                </w:r>
              </w:p>
            </w:tc>
            <w:tc>
              <w:tcPr>
                <w:tcW w:w="3010" w:type="dxa"/>
                <w:hideMark/>
              </w:tcPr>
              <w:p w14:paraId="0CECBAD6" w14:textId="3F4C01AD"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 xml:space="preserve">The </w:t>
                </w:r>
                <w:r w:rsidR="000E5A51">
                  <w:rPr>
                    <w:rFonts w:eastAsia="Times New Roman" w:cs="Calibri"/>
                    <w:sz w:val="16"/>
                    <w:szCs w:val="16"/>
                  </w:rPr>
                  <w:t>e</w:t>
                </w:r>
                <w:r w:rsidRPr="00EE147E">
                  <w:rPr>
                    <w:rFonts w:eastAsia="Times New Roman" w:cs="Calibri"/>
                    <w:sz w:val="16"/>
                    <w:szCs w:val="16"/>
                  </w:rPr>
                  <w:t>-cigarette exploded during use, sending the mouthpiece through the pharynx and into the first cervical vertebra and resulting in fractures of the first and second vertebrae.</w:t>
                </w:r>
              </w:p>
            </w:tc>
            <w:tc>
              <w:tcPr>
                <w:tcW w:w="851" w:type="dxa"/>
                <w:hideMark/>
              </w:tcPr>
              <w:p w14:paraId="70C85B1D"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27</w:t>
                </w:r>
              </w:p>
            </w:tc>
            <w:tc>
              <w:tcPr>
                <w:tcW w:w="709" w:type="dxa"/>
                <w:hideMark/>
              </w:tcPr>
              <w:p w14:paraId="515C4A4A"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M</w:t>
                </w:r>
              </w:p>
            </w:tc>
            <w:tc>
              <w:tcPr>
                <w:tcW w:w="1559" w:type="dxa"/>
                <w:hideMark/>
              </w:tcPr>
              <w:p w14:paraId="5C9AE24E"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Exploding ENDS</w:t>
                </w:r>
              </w:p>
            </w:tc>
            <w:tc>
              <w:tcPr>
                <w:tcW w:w="3202" w:type="dxa"/>
                <w:hideMark/>
              </w:tcPr>
              <w:p w14:paraId="3CE8B9FB" w14:textId="1D4907CA" w:rsidR="004E260E" w:rsidRPr="00EE147E" w:rsidRDefault="000E5A51"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Pr>
                    <w:rFonts w:eastAsia="Times New Roman" w:cs="Calibri"/>
                    <w:sz w:val="16"/>
                    <w:szCs w:val="16"/>
                  </w:rPr>
                  <w:t>This</w:t>
                </w:r>
                <w:r w:rsidRPr="00EE147E">
                  <w:rPr>
                    <w:rFonts w:eastAsia="Times New Roman" w:cs="Calibri"/>
                    <w:sz w:val="16"/>
                    <w:szCs w:val="16"/>
                  </w:rPr>
                  <w:t xml:space="preserve"> </w:t>
                </w:r>
                <w:r w:rsidR="004E260E" w:rsidRPr="00EE147E">
                  <w:rPr>
                    <w:rFonts w:eastAsia="Times New Roman" w:cs="Calibri"/>
                    <w:sz w:val="16"/>
                    <w:szCs w:val="16"/>
                  </w:rPr>
                  <w:t xml:space="preserve">case report is the first case of a cervical spine injury due to the explosion of an </w:t>
                </w:r>
                <w:r w:rsidR="00887971">
                  <w:rPr>
                    <w:rFonts w:eastAsia="Times New Roman" w:cs="Calibri"/>
                    <w:sz w:val="16"/>
                    <w:szCs w:val="16"/>
                  </w:rPr>
                  <w:t>e</w:t>
                </w:r>
                <w:r w:rsidR="00887971">
                  <w:rPr>
                    <w:rFonts w:eastAsia="Times New Roman" w:cs="Calibri"/>
                    <w:sz w:val="16"/>
                    <w:szCs w:val="16"/>
                  </w:rPr>
                  <w:noBreakHyphen/>
                </w:r>
                <w:r w:rsidR="004E260E" w:rsidRPr="00EE147E">
                  <w:rPr>
                    <w:rFonts w:eastAsia="Times New Roman" w:cs="Calibri"/>
                    <w:sz w:val="16"/>
                    <w:szCs w:val="16"/>
                  </w:rPr>
                  <w:t>cigarette.</w:t>
                </w:r>
              </w:p>
            </w:tc>
            <w:tc>
              <w:tcPr>
                <w:tcW w:w="1735" w:type="dxa"/>
                <w:hideMark/>
              </w:tcPr>
              <w:p w14:paraId="47339E63" w14:textId="3370FD76"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 xml:space="preserve">As the use of </w:t>
                </w:r>
                <w:r w:rsidR="00BE3818">
                  <w:rPr>
                    <w:rFonts w:eastAsia="Times New Roman" w:cs="Calibri"/>
                    <w:sz w:val="16"/>
                    <w:szCs w:val="16"/>
                  </w:rPr>
                  <w:t>e</w:t>
                </w:r>
                <w:r w:rsidR="00BE3818">
                  <w:rPr>
                    <w:rFonts w:eastAsia="Times New Roman" w:cs="Calibri"/>
                    <w:sz w:val="16"/>
                    <w:szCs w:val="16"/>
                  </w:rPr>
                  <w:noBreakHyphen/>
                </w:r>
                <w:r w:rsidRPr="00EE147E">
                  <w:rPr>
                    <w:rFonts w:eastAsia="Times New Roman" w:cs="Calibri"/>
                    <w:sz w:val="16"/>
                    <w:szCs w:val="16"/>
                  </w:rPr>
                  <w:t>cigarettes continue to increase, it is likely that injuries associated with them will also increase.</w:t>
                </w:r>
              </w:p>
            </w:tc>
          </w:tr>
          <w:tr w:rsidR="005812A3" w:rsidRPr="00EE147E" w14:paraId="66FA287D" w14:textId="77777777" w:rsidTr="004C634C">
            <w:trPr>
              <w:trHeight w:val="1172"/>
            </w:trPr>
            <w:tc>
              <w:tcPr>
                <w:cnfStyle w:val="001000000000" w:firstRow="0" w:lastRow="0" w:firstColumn="1" w:lastColumn="0" w:oddVBand="0" w:evenVBand="0" w:oddHBand="0" w:evenHBand="0" w:firstRowFirstColumn="0" w:firstRowLastColumn="0" w:lastRowFirstColumn="0" w:lastRowLastColumn="0"/>
                <w:tcW w:w="1152" w:type="dxa"/>
                <w:hideMark/>
              </w:tcPr>
              <w:p w14:paraId="73D1C37B" w14:textId="77777777" w:rsidR="005812A3" w:rsidRPr="00EE147E" w:rsidRDefault="005812A3" w:rsidP="00EA178A">
                <w:pPr>
                  <w:spacing w:after="0"/>
                  <w:rPr>
                    <w:rFonts w:eastAsia="Times New Roman" w:cs="Calibri"/>
                    <w:sz w:val="16"/>
                    <w:szCs w:val="16"/>
                  </w:rPr>
                </w:pPr>
                <w:r w:rsidRPr="00EE147E">
                  <w:rPr>
                    <w:rFonts w:eastAsia="Times New Roman" w:cs="Calibri"/>
                    <w:sz w:val="16"/>
                    <w:szCs w:val="16"/>
                  </w:rPr>
                  <w:t>Park et al 2018</w:t>
                </w:r>
              </w:p>
            </w:tc>
            <w:tc>
              <w:tcPr>
                <w:tcW w:w="1145" w:type="dxa"/>
                <w:hideMark/>
              </w:tcPr>
              <w:p w14:paraId="514542D0" w14:textId="3D785E57" w:rsidR="005812A3" w:rsidRPr="00EE147E" w:rsidRDefault="005812A3"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Case report</w:t>
                </w:r>
                <w:r>
                  <w:rPr>
                    <w:rFonts w:eastAsia="Times New Roman" w:cs="Calibri"/>
                    <w:sz w:val="16"/>
                    <w:szCs w:val="16"/>
                  </w:rPr>
                  <w:t>.</w:t>
                </w:r>
              </w:p>
            </w:tc>
            <w:tc>
              <w:tcPr>
                <w:tcW w:w="700" w:type="dxa"/>
                <w:hideMark/>
              </w:tcPr>
              <w:p w14:paraId="69210C96" w14:textId="77777777" w:rsidR="005812A3" w:rsidRPr="00EE147E" w:rsidRDefault="005812A3"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Korea</w:t>
                </w:r>
              </w:p>
            </w:tc>
            <w:tc>
              <w:tcPr>
                <w:tcW w:w="992" w:type="dxa"/>
                <w:hideMark/>
              </w:tcPr>
              <w:p w14:paraId="33ECCD54" w14:textId="742D4A0E" w:rsidR="005812A3" w:rsidRPr="00EE147E" w:rsidRDefault="005812A3"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 </w:t>
                </w:r>
                <w:r>
                  <w:rPr>
                    <w:rFonts w:eastAsia="Times New Roman" w:cs="Calibri"/>
                    <w:sz w:val="16"/>
                    <w:szCs w:val="16"/>
                  </w:rPr>
                  <w:t>NR</w:t>
                </w:r>
              </w:p>
            </w:tc>
            <w:tc>
              <w:tcPr>
                <w:tcW w:w="3010" w:type="dxa"/>
                <w:hideMark/>
              </w:tcPr>
              <w:p w14:paraId="1E8DEC81" w14:textId="77777777" w:rsidR="005812A3" w:rsidRPr="00EE147E" w:rsidRDefault="005812A3"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 xml:space="preserve">Attempted suicide by nicotine intoxication </w:t>
                </w:r>
              </w:p>
            </w:tc>
            <w:tc>
              <w:tcPr>
                <w:tcW w:w="851" w:type="dxa"/>
                <w:hideMark/>
              </w:tcPr>
              <w:p w14:paraId="085FB800" w14:textId="77777777" w:rsidR="005812A3" w:rsidRDefault="005812A3"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2</w:t>
                </w:r>
                <w:r>
                  <w:rPr>
                    <w:rFonts w:eastAsia="Times New Roman" w:cs="Calibri"/>
                    <w:sz w:val="16"/>
                    <w:szCs w:val="16"/>
                  </w:rPr>
                  <w:t>7</w:t>
                </w:r>
              </w:p>
              <w:p w14:paraId="5B745D67" w14:textId="77777777" w:rsidR="005812A3" w:rsidRPr="00EE147E" w:rsidRDefault="005812A3"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Pr>
                    <w:rFonts w:eastAsia="Times New Roman" w:cs="Calibri"/>
                    <w:sz w:val="16"/>
                    <w:szCs w:val="16"/>
                  </w:rPr>
                  <w:t>17</w:t>
                </w:r>
              </w:p>
              <w:p w14:paraId="45B6D44C" w14:textId="5B611109" w:rsidR="005812A3" w:rsidRPr="00EE147E" w:rsidRDefault="005812A3"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p>
            </w:tc>
            <w:tc>
              <w:tcPr>
                <w:tcW w:w="709" w:type="dxa"/>
                <w:hideMark/>
              </w:tcPr>
              <w:p w14:paraId="3109FF31" w14:textId="77777777" w:rsidR="005812A3" w:rsidRDefault="005812A3"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M</w:t>
                </w:r>
              </w:p>
              <w:p w14:paraId="41DBA700" w14:textId="77777777" w:rsidR="005812A3" w:rsidRPr="00EE147E" w:rsidRDefault="005812A3"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Pr>
                    <w:rFonts w:eastAsia="Times New Roman" w:cs="Calibri"/>
                    <w:sz w:val="16"/>
                    <w:szCs w:val="16"/>
                  </w:rPr>
                  <w:t>F</w:t>
                </w:r>
              </w:p>
              <w:p w14:paraId="11FB53BC" w14:textId="161D72CB" w:rsidR="005812A3" w:rsidRPr="00EE147E" w:rsidRDefault="005812A3"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p>
            </w:tc>
            <w:tc>
              <w:tcPr>
                <w:tcW w:w="1559" w:type="dxa"/>
                <w:hideMark/>
              </w:tcPr>
              <w:p w14:paraId="3AFA3000" w14:textId="77777777" w:rsidR="005812A3" w:rsidRPr="00EE147E" w:rsidRDefault="005812A3"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Ingesting e-liquid</w:t>
                </w:r>
              </w:p>
              <w:p w14:paraId="71C80AE4" w14:textId="4188D7E7" w:rsidR="005812A3" w:rsidRPr="00EE147E" w:rsidRDefault="005812A3"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p>
            </w:tc>
            <w:tc>
              <w:tcPr>
                <w:tcW w:w="3202" w:type="dxa"/>
                <w:hideMark/>
              </w:tcPr>
              <w:p w14:paraId="2256C47E" w14:textId="77777777" w:rsidR="005812A3" w:rsidRPr="00EE147E" w:rsidRDefault="005812A3"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Ingestion of e-liquid led to seizures, myocardial dysfunctions, and cardiac arrests but not death</w:t>
                </w:r>
              </w:p>
            </w:tc>
            <w:tc>
              <w:tcPr>
                <w:tcW w:w="1735" w:type="dxa"/>
                <w:hideMark/>
              </w:tcPr>
              <w:p w14:paraId="75BCCC65" w14:textId="2045D7E6" w:rsidR="005812A3" w:rsidRPr="00EE147E" w:rsidRDefault="005812A3"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Ingestion of EC liquid can be one of the emerging methods for suicide, especially in young adults and adolescents.</w:t>
                </w:r>
              </w:p>
            </w:tc>
          </w:tr>
          <w:tr w:rsidR="004E260E" w:rsidRPr="00EE147E" w14:paraId="390E01B1" w14:textId="77777777" w:rsidTr="0086075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52" w:type="dxa"/>
                <w:vMerge w:val="restart"/>
                <w:hideMark/>
              </w:tcPr>
              <w:p w14:paraId="30D80E1C" w14:textId="77777777" w:rsidR="004E260E" w:rsidRPr="00EE147E" w:rsidRDefault="004E260E" w:rsidP="00EA178A">
                <w:pPr>
                  <w:spacing w:after="0"/>
                  <w:rPr>
                    <w:rFonts w:eastAsia="Times New Roman" w:cs="Calibri"/>
                    <w:sz w:val="16"/>
                    <w:szCs w:val="16"/>
                  </w:rPr>
                </w:pPr>
                <w:r w:rsidRPr="00EE147E">
                  <w:rPr>
                    <w:rFonts w:eastAsia="Times New Roman" w:cs="Calibri"/>
                    <w:sz w:val="16"/>
                    <w:szCs w:val="16"/>
                  </w:rPr>
                  <w:t>Patterson et al 2017</w:t>
                </w:r>
              </w:p>
            </w:tc>
            <w:tc>
              <w:tcPr>
                <w:tcW w:w="1145" w:type="dxa"/>
                <w:vMerge w:val="restart"/>
                <w:hideMark/>
              </w:tcPr>
              <w:p w14:paraId="6BA22202" w14:textId="7EF9B28E"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2 case reports and literature review</w:t>
                </w:r>
                <w:r w:rsidR="00BE3818">
                  <w:rPr>
                    <w:rFonts w:eastAsia="Times New Roman" w:cs="Calibri"/>
                    <w:sz w:val="16"/>
                    <w:szCs w:val="16"/>
                  </w:rPr>
                  <w:t>.</w:t>
                </w:r>
              </w:p>
            </w:tc>
            <w:tc>
              <w:tcPr>
                <w:tcW w:w="700" w:type="dxa"/>
                <w:vMerge w:val="restart"/>
                <w:hideMark/>
              </w:tcPr>
              <w:p w14:paraId="45FF9EC3"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USA</w:t>
                </w:r>
              </w:p>
            </w:tc>
            <w:tc>
              <w:tcPr>
                <w:tcW w:w="992" w:type="dxa"/>
                <w:vMerge w:val="restart"/>
                <w:hideMark/>
              </w:tcPr>
              <w:p w14:paraId="7A7A7860" w14:textId="4015C62A"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 </w:t>
                </w:r>
                <w:r w:rsidR="005812A3">
                  <w:rPr>
                    <w:rFonts w:eastAsia="Times New Roman" w:cs="Calibri"/>
                    <w:sz w:val="16"/>
                    <w:szCs w:val="16"/>
                  </w:rPr>
                  <w:t>NR</w:t>
                </w:r>
              </w:p>
            </w:tc>
            <w:tc>
              <w:tcPr>
                <w:tcW w:w="3010" w:type="dxa"/>
                <w:hideMark/>
              </w:tcPr>
              <w:p w14:paraId="4768FD66" w14:textId="0EF07BA4"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Case 1 - burn to thigh and penis after e</w:t>
                </w:r>
                <w:r w:rsidR="00BE3818">
                  <w:rPr>
                    <w:rFonts w:eastAsia="Times New Roman" w:cs="Calibri"/>
                    <w:sz w:val="16"/>
                    <w:szCs w:val="16"/>
                  </w:rPr>
                  <w:noBreakHyphen/>
                </w:r>
                <w:r w:rsidRPr="00EE147E">
                  <w:rPr>
                    <w:rFonts w:eastAsia="Times New Roman" w:cs="Calibri"/>
                    <w:sz w:val="16"/>
                    <w:szCs w:val="16"/>
                  </w:rPr>
                  <w:t>cig</w:t>
                </w:r>
                <w:r w:rsidR="00BE3818">
                  <w:rPr>
                    <w:rFonts w:eastAsia="Times New Roman" w:cs="Calibri"/>
                    <w:sz w:val="16"/>
                    <w:szCs w:val="16"/>
                  </w:rPr>
                  <w:t>arette</w:t>
                </w:r>
                <w:r w:rsidRPr="00EE147E">
                  <w:rPr>
                    <w:rFonts w:eastAsia="Times New Roman" w:cs="Calibri"/>
                    <w:sz w:val="16"/>
                    <w:szCs w:val="16"/>
                  </w:rPr>
                  <w:t xml:space="preserve"> exploded in pocket</w:t>
                </w:r>
              </w:p>
            </w:tc>
            <w:tc>
              <w:tcPr>
                <w:tcW w:w="851" w:type="dxa"/>
                <w:hideMark/>
              </w:tcPr>
              <w:p w14:paraId="21CE1C15"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46</w:t>
                </w:r>
              </w:p>
            </w:tc>
            <w:tc>
              <w:tcPr>
                <w:tcW w:w="709" w:type="dxa"/>
                <w:hideMark/>
              </w:tcPr>
              <w:p w14:paraId="7B1805ED"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M</w:t>
                </w:r>
              </w:p>
            </w:tc>
            <w:tc>
              <w:tcPr>
                <w:tcW w:w="1559" w:type="dxa"/>
                <w:vMerge w:val="restart"/>
                <w:hideMark/>
              </w:tcPr>
              <w:p w14:paraId="63A84D0E"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Exploding ENDS</w:t>
                </w:r>
              </w:p>
            </w:tc>
            <w:tc>
              <w:tcPr>
                <w:tcW w:w="3202" w:type="dxa"/>
                <w:vMerge w:val="restart"/>
                <w:hideMark/>
              </w:tcPr>
              <w:p w14:paraId="4AA10AF2" w14:textId="77777777" w:rsidR="004E260E" w:rsidRPr="005812A3"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5812A3">
                  <w:rPr>
                    <w:rFonts w:eastAsia="Times New Roman" w:cs="Calibri"/>
                    <w:sz w:val="16"/>
                    <w:szCs w:val="16"/>
                  </w:rPr>
                  <w:t>Establishing a regulatory standard is paramount, for the safety of not only electronic cigarette users, but also rescue personnel who put their lives on the line responding to these incidents. Ideas that may further be investigated include charging the device correctly; charging the device in a safe area that will not result in a fire if it explodes; not carrying the device in one’s pocket; and carrying the device in a container that will protect against a burn if the device ignites.</w:t>
                </w:r>
              </w:p>
            </w:tc>
            <w:tc>
              <w:tcPr>
                <w:tcW w:w="1735" w:type="dxa"/>
                <w:vMerge w:val="restart"/>
                <w:hideMark/>
              </w:tcPr>
              <w:p w14:paraId="1F2DBF3B" w14:textId="47D8BE14"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Broadly, the mechanism for burns associated with e</w:t>
                </w:r>
                <w:r w:rsidR="00BE3818">
                  <w:rPr>
                    <w:rFonts w:eastAsia="Times New Roman" w:cs="Calibri"/>
                    <w:sz w:val="16"/>
                    <w:szCs w:val="16"/>
                  </w:rPr>
                  <w:noBreakHyphen/>
                </w:r>
                <w:r w:rsidRPr="00EE147E">
                  <w:rPr>
                    <w:rFonts w:eastAsia="Times New Roman" w:cs="Calibri"/>
                    <w:sz w:val="16"/>
                    <w:szCs w:val="16"/>
                  </w:rPr>
                  <w:t>cigarette devices can be classified into two categories: direct from the device (types 1–3, 5a) and indirect (types 4 and 5b) from the fire caused by the device. Direct burns can be further categorized into three distinct patterns (types 1–3) and direct inhalation injury (type 5a).</w:t>
                </w:r>
              </w:p>
            </w:tc>
          </w:tr>
          <w:tr w:rsidR="004E260E" w:rsidRPr="00EE147E" w14:paraId="78DB1C73" w14:textId="77777777" w:rsidTr="0086075F">
            <w:trPr>
              <w:trHeight w:val="1192"/>
            </w:trPr>
            <w:tc>
              <w:tcPr>
                <w:cnfStyle w:val="001000000000" w:firstRow="0" w:lastRow="0" w:firstColumn="1" w:lastColumn="0" w:oddVBand="0" w:evenVBand="0" w:oddHBand="0" w:evenHBand="0" w:firstRowFirstColumn="0" w:firstRowLastColumn="0" w:lastRowFirstColumn="0" w:lastRowLastColumn="0"/>
                <w:tcW w:w="1152" w:type="dxa"/>
                <w:vMerge/>
                <w:hideMark/>
              </w:tcPr>
              <w:p w14:paraId="6963B32C" w14:textId="77777777" w:rsidR="004E260E" w:rsidRPr="00EE147E" w:rsidRDefault="004E260E" w:rsidP="00EA178A">
                <w:pPr>
                  <w:spacing w:after="0"/>
                  <w:rPr>
                    <w:rFonts w:eastAsia="Times New Roman" w:cs="Calibri"/>
                    <w:sz w:val="16"/>
                    <w:szCs w:val="16"/>
                  </w:rPr>
                </w:pPr>
              </w:p>
            </w:tc>
            <w:tc>
              <w:tcPr>
                <w:tcW w:w="1145" w:type="dxa"/>
                <w:vMerge/>
                <w:hideMark/>
              </w:tcPr>
              <w:p w14:paraId="30DD90F4"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p>
            </w:tc>
            <w:tc>
              <w:tcPr>
                <w:tcW w:w="700" w:type="dxa"/>
                <w:vMerge/>
                <w:hideMark/>
              </w:tcPr>
              <w:p w14:paraId="3F0E9EAE"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p>
            </w:tc>
            <w:tc>
              <w:tcPr>
                <w:tcW w:w="992" w:type="dxa"/>
                <w:vMerge/>
                <w:hideMark/>
              </w:tcPr>
              <w:p w14:paraId="2EEA6256"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p>
            </w:tc>
            <w:tc>
              <w:tcPr>
                <w:tcW w:w="3010" w:type="dxa"/>
                <w:hideMark/>
              </w:tcPr>
              <w:p w14:paraId="70CB5102" w14:textId="60355A85"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Case 2 - burn to face, lip laceration, and corneal abrasion from an e-cigarette that exploded in his face while using the device</w:t>
                </w:r>
              </w:p>
            </w:tc>
            <w:tc>
              <w:tcPr>
                <w:tcW w:w="851" w:type="dxa"/>
                <w:hideMark/>
              </w:tcPr>
              <w:p w14:paraId="42EFBCC7"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41</w:t>
                </w:r>
              </w:p>
            </w:tc>
            <w:tc>
              <w:tcPr>
                <w:tcW w:w="709" w:type="dxa"/>
                <w:hideMark/>
              </w:tcPr>
              <w:p w14:paraId="0229EC4C"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M</w:t>
                </w:r>
              </w:p>
            </w:tc>
            <w:tc>
              <w:tcPr>
                <w:tcW w:w="1559" w:type="dxa"/>
                <w:vMerge/>
                <w:hideMark/>
              </w:tcPr>
              <w:p w14:paraId="1D5AD676"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p>
            </w:tc>
            <w:tc>
              <w:tcPr>
                <w:tcW w:w="3202" w:type="dxa"/>
                <w:vMerge/>
                <w:hideMark/>
              </w:tcPr>
              <w:p w14:paraId="40E21ED9"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p>
            </w:tc>
            <w:tc>
              <w:tcPr>
                <w:tcW w:w="1735" w:type="dxa"/>
                <w:vMerge/>
                <w:hideMark/>
              </w:tcPr>
              <w:p w14:paraId="3DC63B3B"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p>
            </w:tc>
          </w:tr>
          <w:tr w:rsidR="004E260E" w:rsidRPr="00EE147E" w14:paraId="20F7AA2F" w14:textId="77777777" w:rsidTr="0086075F">
            <w:trPr>
              <w:cnfStyle w:val="000000100000" w:firstRow="0" w:lastRow="0" w:firstColumn="0" w:lastColumn="0" w:oddVBand="0" w:evenVBand="0" w:oddHBand="1" w:evenHBand="0" w:firstRowFirstColumn="0" w:firstRowLastColumn="0" w:lastRowFirstColumn="0" w:lastRowLastColumn="0"/>
              <w:trHeight w:val="3118"/>
            </w:trPr>
            <w:tc>
              <w:tcPr>
                <w:cnfStyle w:val="001000000000" w:firstRow="0" w:lastRow="0" w:firstColumn="1" w:lastColumn="0" w:oddVBand="0" w:evenVBand="0" w:oddHBand="0" w:evenHBand="0" w:firstRowFirstColumn="0" w:firstRowLastColumn="0" w:lastRowFirstColumn="0" w:lastRowLastColumn="0"/>
                <w:tcW w:w="1152" w:type="dxa"/>
                <w:hideMark/>
              </w:tcPr>
              <w:p w14:paraId="08DF55B3" w14:textId="77777777" w:rsidR="004E260E" w:rsidRPr="00EE147E" w:rsidRDefault="004E260E" w:rsidP="00EA178A">
                <w:pPr>
                  <w:spacing w:after="0"/>
                  <w:rPr>
                    <w:rFonts w:eastAsia="Times New Roman" w:cs="Calibri"/>
                    <w:sz w:val="16"/>
                    <w:szCs w:val="16"/>
                  </w:rPr>
                </w:pPr>
                <w:r w:rsidRPr="00EE147E">
                  <w:rPr>
                    <w:rFonts w:eastAsia="Times New Roman" w:cs="Calibri"/>
                    <w:sz w:val="16"/>
                    <w:szCs w:val="16"/>
                  </w:rPr>
                  <w:lastRenderedPageBreak/>
                  <w:t>Ramirez et al 2017</w:t>
                </w:r>
              </w:p>
            </w:tc>
            <w:tc>
              <w:tcPr>
                <w:tcW w:w="1145" w:type="dxa"/>
                <w:hideMark/>
              </w:tcPr>
              <w:p w14:paraId="7AE7797C" w14:textId="0B4F8702" w:rsidR="004E260E" w:rsidRPr="00EE147E" w:rsidRDefault="004E260E" w:rsidP="005812A3">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 xml:space="preserve">A </w:t>
                </w:r>
                <w:r w:rsidR="005812A3">
                  <w:rPr>
                    <w:rFonts w:eastAsia="Times New Roman" w:cs="Calibri"/>
                    <w:sz w:val="16"/>
                    <w:szCs w:val="16"/>
                  </w:rPr>
                  <w:t>r</w:t>
                </w:r>
                <w:r w:rsidRPr="00EE147E">
                  <w:rPr>
                    <w:rFonts w:eastAsia="Times New Roman" w:cs="Calibri"/>
                    <w:sz w:val="16"/>
                    <w:szCs w:val="16"/>
                  </w:rPr>
                  <w:t>etrospective study was performed to review all cases of burns related to e</w:t>
                </w:r>
                <w:r w:rsidR="00353B8B">
                  <w:rPr>
                    <w:rFonts w:eastAsia="Times New Roman" w:cs="Calibri"/>
                    <w:sz w:val="16"/>
                    <w:szCs w:val="16"/>
                  </w:rPr>
                  <w:noBreakHyphen/>
                </w:r>
                <w:r w:rsidRPr="00EE147E">
                  <w:rPr>
                    <w:rFonts w:eastAsia="Times New Roman" w:cs="Calibri"/>
                    <w:sz w:val="16"/>
                    <w:szCs w:val="16"/>
                  </w:rPr>
                  <w:t>cigarettes referred to three burn centers in California</w:t>
                </w:r>
                <w:r w:rsidR="005812A3">
                  <w:rPr>
                    <w:rFonts w:eastAsia="Times New Roman" w:cs="Calibri"/>
                    <w:sz w:val="16"/>
                    <w:szCs w:val="16"/>
                  </w:rPr>
                  <w:t>.</w:t>
                </w:r>
              </w:p>
            </w:tc>
            <w:tc>
              <w:tcPr>
                <w:tcW w:w="700" w:type="dxa"/>
                <w:hideMark/>
              </w:tcPr>
              <w:p w14:paraId="1D2C7280"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USA</w:t>
                </w:r>
              </w:p>
            </w:tc>
            <w:tc>
              <w:tcPr>
                <w:tcW w:w="992" w:type="dxa"/>
                <w:hideMark/>
              </w:tcPr>
              <w:p w14:paraId="4D315411"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Jan 2007 - July 2016</w:t>
                </w:r>
              </w:p>
            </w:tc>
            <w:tc>
              <w:tcPr>
                <w:tcW w:w="3010" w:type="dxa"/>
                <w:hideMark/>
              </w:tcPr>
              <w:p w14:paraId="7872F986"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 xml:space="preserve">Referral records to three burn centers from January 2007 to July 2016 were searched to identify patients with injuries caused by e-cigarettes. </w:t>
                </w:r>
              </w:p>
            </w:tc>
            <w:tc>
              <w:tcPr>
                <w:tcW w:w="851" w:type="dxa"/>
                <w:hideMark/>
              </w:tcPr>
              <w:p w14:paraId="6DDB725A"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 </w:t>
                </w:r>
              </w:p>
            </w:tc>
            <w:tc>
              <w:tcPr>
                <w:tcW w:w="709" w:type="dxa"/>
                <w:hideMark/>
              </w:tcPr>
              <w:p w14:paraId="16BEDD76"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 </w:t>
                </w:r>
              </w:p>
            </w:tc>
            <w:tc>
              <w:tcPr>
                <w:tcW w:w="1559" w:type="dxa"/>
                <w:hideMark/>
              </w:tcPr>
              <w:p w14:paraId="3342A799"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Exploding ENDS</w:t>
                </w:r>
              </w:p>
            </w:tc>
            <w:tc>
              <w:tcPr>
                <w:tcW w:w="3202" w:type="dxa"/>
                <w:hideMark/>
              </w:tcPr>
              <w:p w14:paraId="1F24671C" w14:textId="110F9663"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Thirty patients with burns resulting from e</w:t>
                </w:r>
                <w:r w:rsidR="00353B8B">
                  <w:rPr>
                    <w:rFonts w:eastAsia="Times New Roman" w:cs="Calibri"/>
                    <w:sz w:val="16"/>
                    <w:szCs w:val="16"/>
                  </w:rPr>
                  <w:noBreakHyphen/>
                </w:r>
                <w:r w:rsidRPr="00EE147E">
                  <w:rPr>
                    <w:rFonts w:eastAsia="Times New Roman" w:cs="Calibri"/>
                    <w:sz w:val="16"/>
                    <w:szCs w:val="16"/>
                  </w:rPr>
                  <w:t>cigarettes were identified. Twenty-nine were referred within the most recent 18 months. Only one was referred in the preceding 8 years. An explosion was identified by the patient as the inciting event in 26 of the 30 injuries (87%). Explosion of an isolated battery while it was carried on personal attire was reported in 10 cases. Explosion of a fully assembled e-cigarette was described in 16 cases. In seven of these 16 cases, the explosion occurred while the device was idle and carried on personal attire. In the other nine cases, the explosion occurred while the device was being operated. No injury occurred while batteries were charging.</w:t>
                </w:r>
              </w:p>
            </w:tc>
            <w:tc>
              <w:tcPr>
                <w:tcW w:w="1735" w:type="dxa"/>
                <w:hideMark/>
              </w:tcPr>
              <w:p w14:paraId="52945E6F"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The thighs, hands, and genitalia were the most common sites of injury. Twenty-six patients required hospital admission and nine required surgery. Serious burn injuries from e-cigarettes have recently occurred with greatly increased frequency. The increase in injuries appears out of proportion to the increased popularity of e-cigarettes. The most common pattern of injury is explosion when either the idle device or its batteries are carried on personal attire.</w:t>
                </w:r>
              </w:p>
            </w:tc>
          </w:tr>
          <w:tr w:rsidR="004E260E" w:rsidRPr="00EE147E" w14:paraId="3E1FEB72" w14:textId="77777777" w:rsidTr="0086075F">
            <w:trPr>
              <w:trHeight w:val="713"/>
            </w:trPr>
            <w:tc>
              <w:tcPr>
                <w:cnfStyle w:val="001000000000" w:firstRow="0" w:lastRow="0" w:firstColumn="1" w:lastColumn="0" w:oddVBand="0" w:evenVBand="0" w:oddHBand="0" w:evenHBand="0" w:firstRowFirstColumn="0" w:firstRowLastColumn="0" w:lastRowFirstColumn="0" w:lastRowLastColumn="0"/>
                <w:tcW w:w="1152" w:type="dxa"/>
                <w:hideMark/>
              </w:tcPr>
              <w:p w14:paraId="58488917" w14:textId="77777777" w:rsidR="004E260E" w:rsidRPr="00EE147E" w:rsidRDefault="004E260E" w:rsidP="00EA178A">
                <w:pPr>
                  <w:spacing w:after="0"/>
                  <w:rPr>
                    <w:rFonts w:eastAsia="Times New Roman" w:cs="Calibri"/>
                    <w:sz w:val="16"/>
                    <w:szCs w:val="16"/>
                  </w:rPr>
                </w:pPr>
                <w:r w:rsidRPr="00EE147E">
                  <w:rPr>
                    <w:rFonts w:eastAsia="Times New Roman" w:cs="Calibri"/>
                    <w:sz w:val="16"/>
                    <w:szCs w:val="16"/>
                  </w:rPr>
                  <w:t>Rudy et al 2016</w:t>
                </w:r>
              </w:p>
            </w:tc>
            <w:tc>
              <w:tcPr>
                <w:tcW w:w="1145" w:type="dxa"/>
                <w:hideMark/>
              </w:tcPr>
              <w:p w14:paraId="71C02426" w14:textId="08F193FE"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Retrospective study to identify the number and nature of ENDS incidents</w:t>
                </w:r>
                <w:r w:rsidR="00F117A3">
                  <w:rPr>
                    <w:rFonts w:eastAsia="Times New Roman" w:cs="Calibri"/>
                    <w:sz w:val="16"/>
                    <w:szCs w:val="16"/>
                  </w:rPr>
                  <w:t>.</w:t>
                </w:r>
              </w:p>
            </w:tc>
            <w:tc>
              <w:tcPr>
                <w:tcW w:w="700" w:type="dxa"/>
                <w:hideMark/>
              </w:tcPr>
              <w:p w14:paraId="7337BC1D"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USA</w:t>
                </w:r>
              </w:p>
            </w:tc>
            <w:tc>
              <w:tcPr>
                <w:tcW w:w="992" w:type="dxa"/>
                <w:hideMark/>
              </w:tcPr>
              <w:p w14:paraId="3C389D8B"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2009 - 2015</w:t>
                </w:r>
              </w:p>
            </w:tc>
            <w:tc>
              <w:tcPr>
                <w:tcW w:w="3010" w:type="dxa"/>
                <w:hideMark/>
              </w:tcPr>
              <w:p w14:paraId="6300C4D2"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Center for Tobacco Products (CTP) scientists searched for event reports among ﬁve US federal agencies, scientiﬁc literature and media outlets.</w:t>
                </w:r>
              </w:p>
            </w:tc>
            <w:tc>
              <w:tcPr>
                <w:tcW w:w="851" w:type="dxa"/>
                <w:hideMark/>
              </w:tcPr>
              <w:p w14:paraId="2F8B98A3"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 </w:t>
                </w:r>
              </w:p>
            </w:tc>
            <w:tc>
              <w:tcPr>
                <w:tcW w:w="709" w:type="dxa"/>
                <w:hideMark/>
              </w:tcPr>
              <w:p w14:paraId="196B71B8"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 </w:t>
                </w:r>
              </w:p>
            </w:tc>
            <w:tc>
              <w:tcPr>
                <w:tcW w:w="1559" w:type="dxa"/>
                <w:hideMark/>
              </w:tcPr>
              <w:p w14:paraId="49F664C7"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 </w:t>
                </w:r>
              </w:p>
            </w:tc>
            <w:tc>
              <w:tcPr>
                <w:tcW w:w="3202" w:type="dxa"/>
                <w:hideMark/>
              </w:tcPr>
              <w:p w14:paraId="0C850455" w14:textId="3B870102"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 xml:space="preserve">100 reference sources identiﬁed 92 </w:t>
                </w:r>
                <w:r w:rsidR="00F117A3" w:rsidRPr="00EE147E">
                  <w:rPr>
                    <w:rFonts w:eastAsia="Times New Roman" w:cs="Calibri"/>
                    <w:sz w:val="16"/>
                    <w:szCs w:val="16"/>
                  </w:rPr>
                  <w:t xml:space="preserve">overheating, fire and explosion </w:t>
                </w:r>
                <w:r w:rsidRPr="00EE147E">
                  <w:rPr>
                    <w:rFonts w:eastAsia="Times New Roman" w:cs="Calibri"/>
                    <w:sz w:val="16"/>
                    <w:szCs w:val="16"/>
                  </w:rPr>
                  <w:t>events in the USA, of which 45 (49%) injured 47 people, and 67 (73%) involved property damage beyond the product.</w:t>
                </w:r>
              </w:p>
            </w:tc>
            <w:tc>
              <w:tcPr>
                <w:tcW w:w="1735" w:type="dxa"/>
                <w:hideMark/>
              </w:tcPr>
              <w:p w14:paraId="6603E2C7"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More comprehensive reporting could assist future analyses and may help to identify root causes and contributors to the overheating, fire and explosion events.</w:t>
                </w:r>
              </w:p>
            </w:tc>
          </w:tr>
          <w:tr w:rsidR="004E260E" w:rsidRPr="00EE147E" w14:paraId="500D8C44" w14:textId="77777777" w:rsidTr="0086075F">
            <w:trPr>
              <w:cnfStyle w:val="000000100000" w:firstRow="0" w:lastRow="0" w:firstColumn="0" w:lastColumn="0" w:oddVBand="0" w:evenVBand="0" w:oddHBand="1" w:evenHBand="0" w:firstRowFirstColumn="0" w:firstRowLastColumn="0" w:lastRowFirstColumn="0" w:lastRowLastColumn="0"/>
              <w:trHeight w:val="733"/>
            </w:trPr>
            <w:tc>
              <w:tcPr>
                <w:cnfStyle w:val="001000000000" w:firstRow="0" w:lastRow="0" w:firstColumn="1" w:lastColumn="0" w:oddVBand="0" w:evenVBand="0" w:oddHBand="0" w:evenHBand="0" w:firstRowFirstColumn="0" w:firstRowLastColumn="0" w:lastRowFirstColumn="0" w:lastRowLastColumn="0"/>
                <w:tcW w:w="1152" w:type="dxa"/>
                <w:hideMark/>
              </w:tcPr>
              <w:p w14:paraId="6998579E" w14:textId="77777777" w:rsidR="004E260E" w:rsidRPr="00EE147E" w:rsidRDefault="004E260E" w:rsidP="00EA178A">
                <w:pPr>
                  <w:spacing w:after="0"/>
                  <w:rPr>
                    <w:rFonts w:eastAsia="Times New Roman" w:cs="Calibri"/>
                    <w:sz w:val="16"/>
                    <w:szCs w:val="16"/>
                  </w:rPr>
                </w:pPr>
                <w:r w:rsidRPr="00EE147E">
                  <w:rPr>
                    <w:rFonts w:eastAsia="Times New Roman" w:cs="Calibri"/>
                    <w:sz w:val="16"/>
                    <w:szCs w:val="16"/>
                  </w:rPr>
                  <w:t>Satesson et al 2017</w:t>
                </w:r>
              </w:p>
            </w:tc>
            <w:tc>
              <w:tcPr>
                <w:tcW w:w="1145" w:type="dxa"/>
                <w:hideMark/>
              </w:tcPr>
              <w:p w14:paraId="1466351F" w14:textId="0F94D56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Case report</w:t>
                </w:r>
                <w:r w:rsidR="00F117A3">
                  <w:rPr>
                    <w:rFonts w:eastAsia="Times New Roman" w:cs="Calibri"/>
                    <w:sz w:val="16"/>
                    <w:szCs w:val="16"/>
                  </w:rPr>
                  <w:t>.</w:t>
                </w:r>
              </w:p>
            </w:tc>
            <w:tc>
              <w:tcPr>
                <w:tcW w:w="700" w:type="dxa"/>
                <w:hideMark/>
              </w:tcPr>
              <w:p w14:paraId="3010AF3E"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USA</w:t>
                </w:r>
              </w:p>
            </w:tc>
            <w:tc>
              <w:tcPr>
                <w:tcW w:w="992" w:type="dxa"/>
                <w:hideMark/>
              </w:tcPr>
              <w:p w14:paraId="0B1FB438"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NA</w:t>
                </w:r>
              </w:p>
            </w:tc>
            <w:tc>
              <w:tcPr>
                <w:tcW w:w="3010" w:type="dxa"/>
                <w:noWrap/>
                <w:hideMark/>
              </w:tcPr>
              <w:p w14:paraId="5A5181E3" w14:textId="475920F0" w:rsidR="004E260E" w:rsidRPr="00EE147E" w:rsidRDefault="00353B8B">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Pr>
                    <w:rFonts w:eastAsia="Times New Roman" w:cs="Calibri"/>
                    <w:sz w:val="16"/>
                    <w:szCs w:val="16"/>
                  </w:rPr>
                  <w:t>S</w:t>
                </w:r>
                <w:r w:rsidR="004E260E" w:rsidRPr="00EE147E">
                  <w:rPr>
                    <w:rFonts w:eastAsia="Times New Roman" w:cs="Calibri"/>
                    <w:sz w:val="16"/>
                    <w:szCs w:val="16"/>
                  </w:rPr>
                  <w:t>ustaining extensive thermal and blast injuries to his hand when the device exploded while he was holding it</w:t>
                </w:r>
                <w:r>
                  <w:rPr>
                    <w:rFonts w:eastAsia="Times New Roman" w:cs="Calibri"/>
                    <w:sz w:val="16"/>
                    <w:szCs w:val="16"/>
                  </w:rPr>
                  <w:t>.</w:t>
                </w:r>
              </w:p>
            </w:tc>
            <w:tc>
              <w:tcPr>
                <w:tcW w:w="851" w:type="dxa"/>
                <w:hideMark/>
              </w:tcPr>
              <w:p w14:paraId="03F0CE7D"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35</w:t>
                </w:r>
              </w:p>
            </w:tc>
            <w:tc>
              <w:tcPr>
                <w:tcW w:w="709" w:type="dxa"/>
                <w:hideMark/>
              </w:tcPr>
              <w:p w14:paraId="482E4FE6"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M</w:t>
                </w:r>
              </w:p>
            </w:tc>
            <w:tc>
              <w:tcPr>
                <w:tcW w:w="1559" w:type="dxa"/>
                <w:hideMark/>
              </w:tcPr>
              <w:p w14:paraId="33BC1720"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Exploding ENDS</w:t>
                </w:r>
              </w:p>
            </w:tc>
            <w:tc>
              <w:tcPr>
                <w:tcW w:w="3202" w:type="dxa"/>
                <w:hideMark/>
              </w:tcPr>
              <w:p w14:paraId="51D00808"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With increasing numbers of such injuries, hand surgeons must be aware of the blast mechanism involved so as to avoid missing deep soft tissue injury or disruption of deep structures, as demonstrated in this case.</w:t>
                </w:r>
              </w:p>
            </w:tc>
            <w:tc>
              <w:tcPr>
                <w:tcW w:w="1735" w:type="dxa"/>
                <w:hideMark/>
              </w:tcPr>
              <w:p w14:paraId="34D0F9D7"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 </w:t>
                </w:r>
              </w:p>
            </w:tc>
          </w:tr>
          <w:tr w:rsidR="004E260E" w:rsidRPr="00EE147E" w14:paraId="339E3450" w14:textId="77777777" w:rsidTr="0086075F">
            <w:trPr>
              <w:trHeight w:val="732"/>
            </w:trPr>
            <w:tc>
              <w:tcPr>
                <w:cnfStyle w:val="001000000000" w:firstRow="0" w:lastRow="0" w:firstColumn="1" w:lastColumn="0" w:oddVBand="0" w:evenVBand="0" w:oddHBand="0" w:evenHBand="0" w:firstRowFirstColumn="0" w:firstRowLastColumn="0" w:lastRowFirstColumn="0" w:lastRowLastColumn="0"/>
                <w:tcW w:w="1152" w:type="dxa"/>
                <w:hideMark/>
              </w:tcPr>
              <w:p w14:paraId="32CADA68" w14:textId="05333DED" w:rsidR="004E260E" w:rsidRPr="00EE147E" w:rsidRDefault="004E260E" w:rsidP="00EA178A">
                <w:pPr>
                  <w:spacing w:after="0"/>
                  <w:rPr>
                    <w:rFonts w:eastAsia="Times New Roman" w:cs="Calibri"/>
                    <w:sz w:val="16"/>
                    <w:szCs w:val="16"/>
                  </w:rPr>
                </w:pPr>
                <w:r w:rsidRPr="00EE147E">
                  <w:rPr>
                    <w:rFonts w:eastAsia="Times New Roman" w:cs="Calibri"/>
                    <w:sz w:val="16"/>
                    <w:szCs w:val="16"/>
                  </w:rPr>
                  <w:t>Serror K, Chaouat M, De Runz A et al</w:t>
                </w:r>
                <w:r w:rsidR="008146F9">
                  <w:rPr>
                    <w:rFonts w:eastAsia="Times New Roman" w:cs="Calibri"/>
                    <w:sz w:val="16"/>
                    <w:szCs w:val="16"/>
                  </w:rPr>
                  <w:t xml:space="preserve"> </w:t>
                </w:r>
                <w:r w:rsidRPr="00EE147E">
                  <w:rPr>
                    <w:rFonts w:eastAsia="Times New Roman" w:cs="Calibri"/>
                    <w:sz w:val="16"/>
                    <w:szCs w:val="16"/>
                  </w:rPr>
                  <w:t>et al 2017</w:t>
                </w:r>
              </w:p>
            </w:tc>
            <w:tc>
              <w:tcPr>
                <w:tcW w:w="1145" w:type="dxa"/>
                <w:hideMark/>
              </w:tcPr>
              <w:p w14:paraId="2B29891F" w14:textId="0F294F40"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Letter</w:t>
                </w:r>
                <w:r w:rsidR="00F117A3">
                  <w:rPr>
                    <w:rFonts w:eastAsia="Times New Roman" w:cs="Calibri"/>
                    <w:sz w:val="16"/>
                    <w:szCs w:val="16"/>
                  </w:rPr>
                  <w:t>.</w:t>
                </w:r>
                <w:r w:rsidRPr="00EE147E">
                  <w:rPr>
                    <w:rFonts w:eastAsia="Times New Roman" w:cs="Calibri"/>
                    <w:sz w:val="16"/>
                    <w:szCs w:val="16"/>
                  </w:rPr>
                  <w:t xml:space="preserve"> </w:t>
                </w:r>
              </w:p>
            </w:tc>
            <w:tc>
              <w:tcPr>
                <w:tcW w:w="700" w:type="dxa"/>
                <w:hideMark/>
              </w:tcPr>
              <w:p w14:paraId="737E2CB8"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France</w:t>
                </w:r>
              </w:p>
            </w:tc>
            <w:tc>
              <w:tcPr>
                <w:tcW w:w="992" w:type="dxa"/>
                <w:hideMark/>
              </w:tcPr>
              <w:p w14:paraId="4A869377"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NA</w:t>
                </w:r>
              </w:p>
            </w:tc>
            <w:tc>
              <w:tcPr>
                <w:tcW w:w="3010" w:type="dxa"/>
                <w:hideMark/>
              </w:tcPr>
              <w:p w14:paraId="27D4298D" w14:textId="09377D0D" w:rsidR="004E260E" w:rsidRPr="00EE147E" w:rsidRDefault="00353B8B"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Pr>
                    <w:rFonts w:eastAsia="Times New Roman" w:cs="Calibri"/>
                    <w:sz w:val="16"/>
                    <w:szCs w:val="16"/>
                  </w:rPr>
                  <w:t>T</w:t>
                </w:r>
                <w:r w:rsidR="004E260E" w:rsidRPr="00EE147E">
                  <w:rPr>
                    <w:rFonts w:eastAsia="Times New Roman" w:cs="Calibri"/>
                    <w:sz w:val="16"/>
                    <w:szCs w:val="16"/>
                  </w:rPr>
                  <w:t>hermal burn to thigh with the resistor - no explosion or flames; no burns to trousers or damage to e-cig</w:t>
                </w:r>
                <w:r>
                  <w:rPr>
                    <w:rFonts w:eastAsia="Times New Roman" w:cs="Calibri"/>
                    <w:sz w:val="16"/>
                    <w:szCs w:val="16"/>
                  </w:rPr>
                  <w:t>arette.</w:t>
                </w:r>
              </w:p>
            </w:tc>
            <w:tc>
              <w:tcPr>
                <w:tcW w:w="851" w:type="dxa"/>
                <w:hideMark/>
              </w:tcPr>
              <w:p w14:paraId="114AE097"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NA</w:t>
                </w:r>
              </w:p>
            </w:tc>
            <w:tc>
              <w:tcPr>
                <w:tcW w:w="709" w:type="dxa"/>
                <w:hideMark/>
              </w:tcPr>
              <w:p w14:paraId="0096B695"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M</w:t>
                </w:r>
              </w:p>
            </w:tc>
            <w:tc>
              <w:tcPr>
                <w:tcW w:w="1559" w:type="dxa"/>
                <w:hideMark/>
              </w:tcPr>
              <w:p w14:paraId="30E72EAC"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malfunctioning ENDS</w:t>
                </w:r>
              </w:p>
            </w:tc>
            <w:tc>
              <w:tcPr>
                <w:tcW w:w="3202" w:type="dxa"/>
                <w:hideMark/>
              </w:tcPr>
              <w:p w14:paraId="2FF64D56" w14:textId="6D3D85BA"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Care needs to be taken with regulations of e</w:t>
                </w:r>
                <w:r w:rsidR="00353B8B">
                  <w:rPr>
                    <w:rFonts w:eastAsia="Times New Roman" w:cs="Calibri"/>
                    <w:sz w:val="16"/>
                    <w:szCs w:val="16"/>
                  </w:rPr>
                  <w:noBreakHyphen/>
                </w:r>
                <w:r w:rsidRPr="00EE147E">
                  <w:rPr>
                    <w:rFonts w:eastAsia="Times New Roman" w:cs="Calibri"/>
                    <w:sz w:val="16"/>
                    <w:szCs w:val="16"/>
                  </w:rPr>
                  <w:t>cigarettes as they become more popular</w:t>
                </w:r>
              </w:p>
            </w:tc>
            <w:tc>
              <w:tcPr>
                <w:tcW w:w="1735" w:type="dxa"/>
                <w:hideMark/>
              </w:tcPr>
              <w:p w14:paraId="17019AD9"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 </w:t>
                </w:r>
              </w:p>
            </w:tc>
          </w:tr>
          <w:tr w:rsidR="004E260E" w:rsidRPr="00EE147E" w14:paraId="6995388C" w14:textId="77777777" w:rsidTr="0086075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152" w:type="dxa"/>
                <w:hideMark/>
              </w:tcPr>
              <w:p w14:paraId="5749A91B" w14:textId="77777777" w:rsidR="004E260E" w:rsidRPr="00EE147E" w:rsidRDefault="004E260E" w:rsidP="00EA178A">
                <w:pPr>
                  <w:spacing w:after="0"/>
                  <w:rPr>
                    <w:rFonts w:eastAsia="Times New Roman" w:cs="Calibri"/>
                    <w:sz w:val="16"/>
                    <w:szCs w:val="16"/>
                  </w:rPr>
                </w:pPr>
                <w:r w:rsidRPr="00EE147E">
                  <w:rPr>
                    <w:rFonts w:eastAsia="Times New Roman" w:cs="Calibri"/>
                    <w:sz w:val="16"/>
                    <w:szCs w:val="16"/>
                  </w:rPr>
                  <w:t>Serror K, Chaouat M, Legrand MM et al 2017</w:t>
                </w:r>
              </w:p>
            </w:tc>
            <w:tc>
              <w:tcPr>
                <w:tcW w:w="1145" w:type="dxa"/>
                <w:hideMark/>
              </w:tcPr>
              <w:p w14:paraId="3FE9504E" w14:textId="07E1B97D"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Retrospective review of our institutional burn database</w:t>
                </w:r>
                <w:r w:rsidR="00F117A3">
                  <w:rPr>
                    <w:rFonts w:eastAsia="Times New Roman" w:cs="Calibri"/>
                    <w:sz w:val="16"/>
                    <w:szCs w:val="16"/>
                  </w:rPr>
                  <w:t>.</w:t>
                </w:r>
              </w:p>
            </w:tc>
            <w:tc>
              <w:tcPr>
                <w:tcW w:w="700" w:type="dxa"/>
                <w:hideMark/>
              </w:tcPr>
              <w:p w14:paraId="74BA9A3F"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France</w:t>
                </w:r>
              </w:p>
            </w:tc>
            <w:tc>
              <w:tcPr>
                <w:tcW w:w="992" w:type="dxa"/>
                <w:hideMark/>
              </w:tcPr>
              <w:p w14:paraId="35BC61E4"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June 2016 - July 2017</w:t>
                </w:r>
              </w:p>
            </w:tc>
            <w:tc>
              <w:tcPr>
                <w:tcW w:w="3010" w:type="dxa"/>
                <w:hideMark/>
              </w:tcPr>
              <w:p w14:paraId="17043D2D" w14:textId="555A38E6"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10 patients treated for burns</w:t>
                </w:r>
                <w:r w:rsidR="00F117A3">
                  <w:rPr>
                    <w:rFonts w:eastAsia="Times New Roman" w:cs="Calibri"/>
                    <w:sz w:val="16"/>
                    <w:szCs w:val="16"/>
                  </w:rPr>
                  <w:t>.</w:t>
                </w:r>
              </w:p>
            </w:tc>
            <w:tc>
              <w:tcPr>
                <w:tcW w:w="851" w:type="dxa"/>
                <w:hideMark/>
              </w:tcPr>
              <w:p w14:paraId="18AB968E"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 </w:t>
                </w:r>
              </w:p>
            </w:tc>
            <w:tc>
              <w:tcPr>
                <w:tcW w:w="709" w:type="dxa"/>
                <w:hideMark/>
              </w:tcPr>
              <w:p w14:paraId="09BB89B3"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 </w:t>
                </w:r>
              </w:p>
            </w:tc>
            <w:tc>
              <w:tcPr>
                <w:tcW w:w="1559" w:type="dxa"/>
                <w:hideMark/>
              </w:tcPr>
              <w:p w14:paraId="7A9E4FC5"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Exploding ENDS (80% of the time the ENDS was in the pocket)</w:t>
                </w:r>
              </w:p>
            </w:tc>
            <w:tc>
              <w:tcPr>
                <w:tcW w:w="3202" w:type="dxa"/>
                <w:hideMark/>
              </w:tcPr>
              <w:p w14:paraId="26673E2A" w14:textId="2E0211C8" w:rsidR="004E260E" w:rsidRPr="00EE147E" w:rsidRDefault="00F117A3" w:rsidP="00F117A3">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Pr>
                    <w:rFonts w:eastAsia="Times New Roman" w:cs="Calibri"/>
                    <w:sz w:val="16"/>
                    <w:szCs w:val="16"/>
                  </w:rPr>
                  <w:t xml:space="preserve">It is </w:t>
                </w:r>
                <w:r w:rsidR="004E260E" w:rsidRPr="00EE147E">
                  <w:rPr>
                    <w:rFonts w:eastAsia="Times New Roman" w:cs="Calibri"/>
                    <w:sz w:val="16"/>
                    <w:szCs w:val="16"/>
                  </w:rPr>
                  <w:t>consider</w:t>
                </w:r>
                <w:r>
                  <w:rPr>
                    <w:rFonts w:eastAsia="Times New Roman" w:cs="Calibri"/>
                    <w:sz w:val="16"/>
                    <w:szCs w:val="16"/>
                  </w:rPr>
                  <w:t>ed</w:t>
                </w:r>
                <w:r w:rsidR="004E260E" w:rsidRPr="00EE147E">
                  <w:rPr>
                    <w:rFonts w:eastAsia="Times New Roman" w:cs="Calibri"/>
                    <w:sz w:val="16"/>
                    <w:szCs w:val="16"/>
                  </w:rPr>
                  <w:t xml:space="preserve"> that a classification based on the mechanisms of the burns will have a direct impact on the management of the patients and will help specialist and non-specialists to deal with these injuries. The four mechanisms that can be responsible for injuries can be </w:t>
                </w:r>
                <w:r w:rsidR="004E260E" w:rsidRPr="00EE147E">
                  <w:rPr>
                    <w:rFonts w:eastAsia="Times New Roman" w:cs="Calibri"/>
                    <w:sz w:val="16"/>
                    <w:szCs w:val="16"/>
                  </w:rPr>
                  <w:lastRenderedPageBreak/>
                  <w:t>unique or associated: thermal burns with flames (Type A), blast lesions secondary to the explosion (Type B), alkali chemical burns (Type C) and thermal burns without flames (overheating) (Type D)</w:t>
                </w:r>
                <w:r w:rsidR="00304924">
                  <w:rPr>
                    <w:rFonts w:eastAsia="Times New Roman" w:cs="Calibri"/>
                    <w:sz w:val="16"/>
                    <w:szCs w:val="16"/>
                  </w:rPr>
                  <w:t>.</w:t>
                </w:r>
              </w:p>
            </w:tc>
            <w:tc>
              <w:tcPr>
                <w:tcW w:w="1735" w:type="dxa"/>
                <w:hideMark/>
              </w:tcPr>
              <w:p w14:paraId="61C8A600" w14:textId="69DE3EBD" w:rsidR="004E260E" w:rsidRPr="00EE147E" w:rsidRDefault="00304924" w:rsidP="00F117A3">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Pr>
                    <w:rFonts w:eastAsia="Times New Roman" w:cs="Calibri"/>
                    <w:sz w:val="16"/>
                    <w:szCs w:val="16"/>
                  </w:rPr>
                  <w:lastRenderedPageBreak/>
                  <w:t>A</w:t>
                </w:r>
                <w:r w:rsidR="004E260E" w:rsidRPr="00EE147E">
                  <w:rPr>
                    <w:rFonts w:eastAsia="Times New Roman" w:cs="Calibri"/>
                    <w:sz w:val="16"/>
                    <w:szCs w:val="16"/>
                  </w:rPr>
                  <w:t>n international multi-centr</w:t>
                </w:r>
                <w:r w:rsidR="00F117A3">
                  <w:rPr>
                    <w:rFonts w:eastAsia="Times New Roman" w:cs="Calibri"/>
                    <w:sz w:val="16"/>
                    <w:szCs w:val="16"/>
                  </w:rPr>
                  <w:t>e</w:t>
                </w:r>
                <w:r w:rsidR="004E260E" w:rsidRPr="00EE147E">
                  <w:rPr>
                    <w:rFonts w:eastAsia="Times New Roman" w:cs="Calibri"/>
                    <w:sz w:val="16"/>
                    <w:szCs w:val="16"/>
                  </w:rPr>
                  <w:t xml:space="preserve"> prospective study to increase the number of patients included in the series studying injuries </w:t>
                </w:r>
                <w:r w:rsidR="004E260E" w:rsidRPr="00EE147E">
                  <w:rPr>
                    <w:rFonts w:eastAsia="Times New Roman" w:cs="Calibri"/>
                    <w:sz w:val="16"/>
                    <w:szCs w:val="16"/>
                  </w:rPr>
                  <w:lastRenderedPageBreak/>
                  <w:t>related to the use of e</w:t>
                </w:r>
                <w:r w:rsidR="00353B8B">
                  <w:rPr>
                    <w:rFonts w:eastAsia="Times New Roman" w:cs="Calibri"/>
                    <w:sz w:val="16"/>
                    <w:szCs w:val="16"/>
                  </w:rPr>
                  <w:noBreakHyphen/>
                </w:r>
                <w:r w:rsidR="004E260E" w:rsidRPr="00EE147E">
                  <w:rPr>
                    <w:rFonts w:eastAsia="Times New Roman" w:cs="Calibri"/>
                    <w:sz w:val="16"/>
                    <w:szCs w:val="16"/>
                  </w:rPr>
                  <w:t>cigarettes</w:t>
                </w:r>
                <w:r>
                  <w:rPr>
                    <w:rFonts w:eastAsia="Times New Roman" w:cs="Calibri"/>
                    <w:sz w:val="16"/>
                    <w:szCs w:val="16"/>
                  </w:rPr>
                  <w:t xml:space="preserve"> may be useful.</w:t>
                </w:r>
              </w:p>
            </w:tc>
          </w:tr>
          <w:tr w:rsidR="004E260E" w:rsidRPr="00EE147E" w14:paraId="4400B02D" w14:textId="77777777" w:rsidTr="0086075F">
            <w:trPr>
              <w:trHeight w:val="426"/>
            </w:trPr>
            <w:tc>
              <w:tcPr>
                <w:cnfStyle w:val="001000000000" w:firstRow="0" w:lastRow="0" w:firstColumn="1" w:lastColumn="0" w:oddVBand="0" w:evenVBand="0" w:oddHBand="0" w:evenHBand="0" w:firstRowFirstColumn="0" w:firstRowLastColumn="0" w:lastRowFirstColumn="0" w:lastRowLastColumn="0"/>
                <w:tcW w:w="1152" w:type="dxa"/>
                <w:hideMark/>
              </w:tcPr>
              <w:p w14:paraId="1CA737F1" w14:textId="77777777" w:rsidR="004E260E" w:rsidRPr="00EE147E" w:rsidRDefault="004E260E" w:rsidP="00EA178A">
                <w:pPr>
                  <w:spacing w:after="0"/>
                  <w:rPr>
                    <w:rFonts w:eastAsia="Times New Roman" w:cs="Calibri"/>
                    <w:sz w:val="16"/>
                    <w:szCs w:val="16"/>
                  </w:rPr>
                </w:pPr>
                <w:r w:rsidRPr="00EE147E">
                  <w:rPr>
                    <w:rFonts w:eastAsia="Times New Roman" w:cs="Calibri"/>
                    <w:sz w:val="16"/>
                    <w:szCs w:val="16"/>
                  </w:rPr>
                  <w:lastRenderedPageBreak/>
                  <w:t>Smith et al 2017</w:t>
                </w:r>
              </w:p>
            </w:tc>
            <w:tc>
              <w:tcPr>
                <w:tcW w:w="1145" w:type="dxa"/>
                <w:hideMark/>
              </w:tcPr>
              <w:p w14:paraId="5619CD4D" w14:textId="3B50D60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Case series review</w:t>
                </w:r>
                <w:r w:rsidR="00304924">
                  <w:rPr>
                    <w:rFonts w:eastAsia="Times New Roman" w:cs="Calibri"/>
                    <w:sz w:val="16"/>
                    <w:szCs w:val="16"/>
                  </w:rPr>
                  <w:t>.</w:t>
                </w:r>
              </w:p>
            </w:tc>
            <w:tc>
              <w:tcPr>
                <w:tcW w:w="700" w:type="dxa"/>
                <w:hideMark/>
              </w:tcPr>
              <w:p w14:paraId="36E5D804"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USA</w:t>
                </w:r>
              </w:p>
            </w:tc>
            <w:tc>
              <w:tcPr>
                <w:tcW w:w="992" w:type="dxa"/>
                <w:hideMark/>
              </w:tcPr>
              <w:p w14:paraId="2A9CF183"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Dec 2015-Oct2016</w:t>
                </w:r>
              </w:p>
            </w:tc>
            <w:tc>
              <w:tcPr>
                <w:tcW w:w="3010" w:type="dxa"/>
                <w:hideMark/>
              </w:tcPr>
              <w:p w14:paraId="61EA032F" w14:textId="0C4CECB5"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10 adults treated</w:t>
                </w:r>
                <w:r w:rsidR="00304924">
                  <w:rPr>
                    <w:rFonts w:eastAsia="Times New Roman" w:cs="Calibri"/>
                    <w:sz w:val="16"/>
                    <w:szCs w:val="16"/>
                  </w:rPr>
                  <w:t>.</w:t>
                </w:r>
              </w:p>
            </w:tc>
            <w:tc>
              <w:tcPr>
                <w:tcW w:w="851" w:type="dxa"/>
                <w:hideMark/>
              </w:tcPr>
              <w:p w14:paraId="6988FEAF"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20-49</w:t>
                </w:r>
              </w:p>
            </w:tc>
            <w:tc>
              <w:tcPr>
                <w:tcW w:w="709" w:type="dxa"/>
                <w:hideMark/>
              </w:tcPr>
              <w:p w14:paraId="479F6CE5"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All men</w:t>
                </w:r>
              </w:p>
            </w:tc>
            <w:tc>
              <w:tcPr>
                <w:tcW w:w="1559" w:type="dxa"/>
                <w:hideMark/>
              </w:tcPr>
              <w:p w14:paraId="4A21678E" w14:textId="600A9DE5"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Exploding ENDS</w:t>
                </w:r>
                <w:r w:rsidR="00304924">
                  <w:rPr>
                    <w:rFonts w:eastAsia="Times New Roman" w:cs="Calibri"/>
                    <w:sz w:val="16"/>
                    <w:szCs w:val="16"/>
                  </w:rPr>
                  <w:t>.</w:t>
                </w:r>
              </w:p>
            </w:tc>
            <w:tc>
              <w:tcPr>
                <w:tcW w:w="3202" w:type="dxa"/>
                <w:hideMark/>
              </w:tcPr>
              <w:p w14:paraId="7E8E8EAB" w14:textId="4318AB48" w:rsidR="004E260E" w:rsidRPr="00EE147E" w:rsidRDefault="00F117A3"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Pr>
                    <w:rFonts w:eastAsia="Times New Roman" w:cs="Calibri"/>
                    <w:sz w:val="16"/>
                    <w:szCs w:val="16"/>
                  </w:rPr>
                  <w:t>This</w:t>
                </w:r>
                <w:r w:rsidRPr="00EE147E">
                  <w:rPr>
                    <w:rFonts w:eastAsia="Times New Roman" w:cs="Calibri"/>
                    <w:sz w:val="16"/>
                    <w:szCs w:val="16"/>
                  </w:rPr>
                  <w:t xml:space="preserve"> </w:t>
                </w:r>
                <w:r w:rsidR="004E260E" w:rsidRPr="00EE147E">
                  <w:rPr>
                    <w:rFonts w:eastAsia="Times New Roman" w:cs="Calibri"/>
                    <w:sz w:val="16"/>
                    <w:szCs w:val="16"/>
                  </w:rPr>
                  <w:t xml:space="preserve">small case series revealed serious injuries with significant and long-term implications for the victims of e-cigarette explosions. </w:t>
                </w:r>
              </w:p>
            </w:tc>
            <w:tc>
              <w:tcPr>
                <w:tcW w:w="1735" w:type="dxa"/>
                <w:hideMark/>
              </w:tcPr>
              <w:p w14:paraId="3E043F64" w14:textId="1DC3BE30"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A serious, and most impactful limitation is the lack of consensus on the safety of e</w:t>
                </w:r>
                <w:r w:rsidR="00353B8B">
                  <w:rPr>
                    <w:rFonts w:eastAsia="Times New Roman" w:cs="Calibri"/>
                    <w:sz w:val="16"/>
                    <w:szCs w:val="16"/>
                  </w:rPr>
                  <w:noBreakHyphen/>
                </w:r>
                <w:r w:rsidRPr="00EE147E">
                  <w:rPr>
                    <w:rFonts w:eastAsia="Times New Roman" w:cs="Calibri"/>
                    <w:sz w:val="16"/>
                    <w:szCs w:val="16"/>
                  </w:rPr>
                  <w:t>cigarettes and the implications of long-term use</w:t>
                </w:r>
                <w:r w:rsidR="00304924">
                  <w:rPr>
                    <w:rFonts w:eastAsia="Times New Roman" w:cs="Calibri"/>
                    <w:sz w:val="16"/>
                    <w:szCs w:val="16"/>
                  </w:rPr>
                  <w:t>.</w:t>
                </w:r>
              </w:p>
            </w:tc>
          </w:tr>
          <w:tr w:rsidR="004E260E" w:rsidRPr="00EE147E" w14:paraId="1E144342" w14:textId="77777777" w:rsidTr="0086075F">
            <w:trPr>
              <w:cnfStyle w:val="000000100000" w:firstRow="0" w:lastRow="0" w:firstColumn="0" w:lastColumn="0" w:oddVBand="0" w:evenVBand="0" w:oddHBand="1" w:evenHBand="0" w:firstRowFirstColumn="0" w:firstRowLastColumn="0" w:lastRowFirstColumn="0" w:lastRowLastColumn="0"/>
              <w:trHeight w:val="1124"/>
            </w:trPr>
            <w:tc>
              <w:tcPr>
                <w:cnfStyle w:val="001000000000" w:firstRow="0" w:lastRow="0" w:firstColumn="1" w:lastColumn="0" w:oddVBand="0" w:evenVBand="0" w:oddHBand="0" w:evenHBand="0" w:firstRowFirstColumn="0" w:firstRowLastColumn="0" w:lastRowFirstColumn="0" w:lastRowLastColumn="0"/>
                <w:tcW w:w="1152" w:type="dxa"/>
                <w:hideMark/>
              </w:tcPr>
              <w:p w14:paraId="697387CF" w14:textId="77777777" w:rsidR="004E260E" w:rsidRPr="00EE147E" w:rsidRDefault="004E260E" w:rsidP="00EA178A">
                <w:pPr>
                  <w:spacing w:after="0"/>
                  <w:rPr>
                    <w:rFonts w:eastAsia="Times New Roman" w:cs="Calibri"/>
                    <w:sz w:val="16"/>
                    <w:szCs w:val="16"/>
                  </w:rPr>
                </w:pPr>
                <w:r w:rsidRPr="00EE147E">
                  <w:rPr>
                    <w:rFonts w:eastAsia="Times New Roman" w:cs="Calibri"/>
                    <w:sz w:val="16"/>
                    <w:szCs w:val="16"/>
                  </w:rPr>
                  <w:t>Toy et al 2017</w:t>
                </w:r>
              </w:p>
            </w:tc>
            <w:tc>
              <w:tcPr>
                <w:tcW w:w="1145" w:type="dxa"/>
                <w:hideMark/>
              </w:tcPr>
              <w:p w14:paraId="102E0BC2" w14:textId="19E55B44"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Retrospective review focused on patients from the Arrowhead Regional Medical Center (ARMC) burn registry</w:t>
                </w:r>
                <w:r w:rsidR="00304924">
                  <w:rPr>
                    <w:rFonts w:eastAsia="Times New Roman" w:cs="Calibri"/>
                    <w:sz w:val="16"/>
                    <w:szCs w:val="16"/>
                  </w:rPr>
                  <w:t>.</w:t>
                </w:r>
              </w:p>
            </w:tc>
            <w:tc>
              <w:tcPr>
                <w:tcW w:w="700" w:type="dxa"/>
                <w:hideMark/>
              </w:tcPr>
              <w:p w14:paraId="5185D91B"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USA</w:t>
                </w:r>
              </w:p>
            </w:tc>
            <w:tc>
              <w:tcPr>
                <w:tcW w:w="992" w:type="dxa"/>
                <w:hideMark/>
              </w:tcPr>
              <w:p w14:paraId="16E6D387"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Nov 2015 - March 2017</w:t>
                </w:r>
              </w:p>
            </w:tc>
            <w:tc>
              <w:tcPr>
                <w:tcW w:w="3010" w:type="dxa"/>
                <w:hideMark/>
              </w:tcPr>
              <w:p w14:paraId="304D990B" w14:textId="2C26ACE6"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25 adults treated</w:t>
                </w:r>
                <w:r w:rsidR="00304924">
                  <w:rPr>
                    <w:rFonts w:eastAsia="Times New Roman" w:cs="Calibri"/>
                    <w:sz w:val="16"/>
                    <w:szCs w:val="16"/>
                  </w:rPr>
                  <w:t>.</w:t>
                </w:r>
              </w:p>
            </w:tc>
            <w:tc>
              <w:tcPr>
                <w:tcW w:w="851" w:type="dxa"/>
                <w:hideMark/>
              </w:tcPr>
              <w:p w14:paraId="2BF4FAE9"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 xml:space="preserve">Ave age 34 </w:t>
                </w:r>
              </w:p>
            </w:tc>
            <w:tc>
              <w:tcPr>
                <w:tcW w:w="709" w:type="dxa"/>
                <w:hideMark/>
              </w:tcPr>
              <w:p w14:paraId="704A9428"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All men</w:t>
                </w:r>
              </w:p>
            </w:tc>
            <w:tc>
              <w:tcPr>
                <w:tcW w:w="1559" w:type="dxa"/>
                <w:hideMark/>
              </w:tcPr>
              <w:p w14:paraId="7822C8BA" w14:textId="19312A54"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Exploding ENDS (72% of the time the ENDS was in the pocket)</w:t>
                </w:r>
                <w:r w:rsidR="00304924">
                  <w:rPr>
                    <w:rFonts w:eastAsia="Times New Roman" w:cs="Calibri"/>
                    <w:sz w:val="16"/>
                    <w:szCs w:val="16"/>
                  </w:rPr>
                  <w:t>.</w:t>
                </w:r>
              </w:p>
            </w:tc>
            <w:tc>
              <w:tcPr>
                <w:tcW w:w="3202" w:type="dxa"/>
                <w:hideMark/>
              </w:tcPr>
              <w:p w14:paraId="697B6DB2"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With ENDS use on the rise, the primary objectives of regulatory agencies and public health organizations may include wider dissemination of education on ENDS safety hazards and improvement of device safety, as well as to develop standardized guidelines for the treatment of the potentially devastating injuries that may result from ENDS malfunction.</w:t>
                </w:r>
              </w:p>
            </w:tc>
            <w:tc>
              <w:tcPr>
                <w:tcW w:w="1735" w:type="dxa"/>
                <w:hideMark/>
              </w:tcPr>
              <w:p w14:paraId="3F2C35AF"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 </w:t>
                </w:r>
              </w:p>
            </w:tc>
          </w:tr>
          <w:tr w:rsidR="007F3011" w:rsidRPr="00EE147E" w14:paraId="70E94704" w14:textId="77777777" w:rsidTr="0086075F">
            <w:trPr>
              <w:trHeight w:val="307"/>
            </w:trPr>
            <w:tc>
              <w:tcPr>
                <w:cnfStyle w:val="001000000000" w:firstRow="0" w:lastRow="0" w:firstColumn="1" w:lastColumn="0" w:oddVBand="0" w:evenVBand="0" w:oddHBand="0" w:evenHBand="0" w:firstRowFirstColumn="0" w:firstRowLastColumn="0" w:lastRowFirstColumn="0" w:lastRowLastColumn="0"/>
                <w:tcW w:w="1152" w:type="dxa"/>
                <w:vMerge w:val="restart"/>
                <w:hideMark/>
              </w:tcPr>
              <w:p w14:paraId="0A64F5CD" w14:textId="77777777" w:rsidR="007F3011" w:rsidRPr="00EE147E" w:rsidRDefault="007F3011" w:rsidP="00EA178A">
                <w:pPr>
                  <w:spacing w:after="0"/>
                  <w:rPr>
                    <w:rFonts w:eastAsia="Times New Roman" w:cs="Calibri"/>
                    <w:sz w:val="16"/>
                    <w:szCs w:val="16"/>
                  </w:rPr>
                </w:pPr>
                <w:r w:rsidRPr="00EE147E">
                  <w:rPr>
                    <w:rFonts w:eastAsia="Times New Roman" w:cs="Calibri"/>
                    <w:sz w:val="16"/>
                    <w:szCs w:val="16"/>
                  </w:rPr>
                  <w:t>Treitl et al 2017</w:t>
                </w:r>
              </w:p>
            </w:tc>
            <w:tc>
              <w:tcPr>
                <w:tcW w:w="1145" w:type="dxa"/>
                <w:vMerge w:val="restart"/>
                <w:hideMark/>
              </w:tcPr>
              <w:p w14:paraId="5E365D23" w14:textId="345F3937" w:rsidR="007F3011" w:rsidRPr="00EE147E" w:rsidRDefault="007F3011"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Case reports</w:t>
                </w:r>
                <w:r>
                  <w:rPr>
                    <w:rFonts w:eastAsia="Times New Roman" w:cs="Calibri"/>
                    <w:sz w:val="16"/>
                    <w:szCs w:val="16"/>
                  </w:rPr>
                  <w:t>.</w:t>
                </w:r>
              </w:p>
            </w:tc>
            <w:tc>
              <w:tcPr>
                <w:tcW w:w="700" w:type="dxa"/>
                <w:vMerge w:val="restart"/>
                <w:hideMark/>
              </w:tcPr>
              <w:p w14:paraId="669FF33C" w14:textId="77777777" w:rsidR="007F3011" w:rsidRPr="00EE147E" w:rsidRDefault="007F3011"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USA</w:t>
                </w:r>
              </w:p>
            </w:tc>
            <w:tc>
              <w:tcPr>
                <w:tcW w:w="992" w:type="dxa"/>
                <w:vMerge w:val="restart"/>
                <w:hideMark/>
              </w:tcPr>
              <w:p w14:paraId="7E90C926" w14:textId="77777777" w:rsidR="007F3011" w:rsidRPr="00EE147E" w:rsidRDefault="007F3011"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 </w:t>
                </w:r>
              </w:p>
              <w:p w14:paraId="1381B7D6" w14:textId="77777777" w:rsidR="007F3011" w:rsidRPr="00EE147E" w:rsidRDefault="007F3011"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 </w:t>
                </w:r>
              </w:p>
              <w:p w14:paraId="214337BD" w14:textId="7276381F" w:rsidR="007F3011" w:rsidRPr="00EE147E" w:rsidRDefault="007F3011"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 </w:t>
                </w:r>
              </w:p>
            </w:tc>
            <w:tc>
              <w:tcPr>
                <w:tcW w:w="3010" w:type="dxa"/>
                <w:hideMark/>
              </w:tcPr>
              <w:p w14:paraId="2ABE1990" w14:textId="7E29A4CC" w:rsidR="007F3011" w:rsidRPr="00EE147E" w:rsidRDefault="007F3011"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Case 1 - ENDS exploded in pocket</w:t>
                </w:r>
                <w:r>
                  <w:rPr>
                    <w:rFonts w:eastAsia="Times New Roman" w:cs="Calibri"/>
                    <w:sz w:val="16"/>
                    <w:szCs w:val="16"/>
                  </w:rPr>
                  <w:t>.</w:t>
                </w:r>
              </w:p>
            </w:tc>
            <w:tc>
              <w:tcPr>
                <w:tcW w:w="851" w:type="dxa"/>
                <w:hideMark/>
              </w:tcPr>
              <w:p w14:paraId="59E7833A" w14:textId="77777777" w:rsidR="007F3011" w:rsidRPr="00EE147E" w:rsidRDefault="007F3011"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mid-20s</w:t>
                </w:r>
              </w:p>
            </w:tc>
            <w:tc>
              <w:tcPr>
                <w:tcW w:w="709" w:type="dxa"/>
                <w:hideMark/>
              </w:tcPr>
              <w:p w14:paraId="21A220B6" w14:textId="77777777" w:rsidR="007F3011" w:rsidRPr="00EE147E" w:rsidRDefault="007F3011"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M</w:t>
                </w:r>
              </w:p>
            </w:tc>
            <w:tc>
              <w:tcPr>
                <w:tcW w:w="1559" w:type="dxa"/>
                <w:vMerge w:val="restart"/>
                <w:hideMark/>
              </w:tcPr>
              <w:p w14:paraId="63CDBB62" w14:textId="17B38F44" w:rsidR="007F3011" w:rsidRPr="00EE147E" w:rsidRDefault="007F3011"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Exploding ENDS - spontaneous combustion of lithium-ion batteries used for</w:t>
                </w:r>
                <w:r w:rsidRPr="00EE147E">
                  <w:rPr>
                    <w:rFonts w:eastAsia="Times New Roman" w:cs="Calibri"/>
                    <w:sz w:val="16"/>
                    <w:szCs w:val="16"/>
                  </w:rPr>
                  <w:br/>
                  <w:t>e-cigarettes</w:t>
                </w:r>
                <w:r>
                  <w:rPr>
                    <w:rFonts w:eastAsia="Times New Roman" w:cs="Calibri"/>
                    <w:sz w:val="16"/>
                    <w:szCs w:val="16"/>
                  </w:rPr>
                  <w:t>.</w:t>
                </w:r>
              </w:p>
            </w:tc>
            <w:tc>
              <w:tcPr>
                <w:tcW w:w="3202" w:type="dxa"/>
                <w:vMerge w:val="restart"/>
                <w:hideMark/>
              </w:tcPr>
              <w:p w14:paraId="669A9390" w14:textId="0588AF1B" w:rsidR="007F3011" w:rsidRPr="00EE147E" w:rsidRDefault="007F3011" w:rsidP="007F3011">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 xml:space="preserve">In presenting </w:t>
                </w:r>
                <w:r>
                  <w:rPr>
                    <w:rFonts w:eastAsia="Times New Roman" w:cs="Calibri"/>
                    <w:sz w:val="16"/>
                    <w:szCs w:val="16"/>
                  </w:rPr>
                  <w:t>these</w:t>
                </w:r>
                <w:r w:rsidRPr="00EE147E">
                  <w:rPr>
                    <w:rFonts w:eastAsia="Times New Roman" w:cs="Calibri"/>
                    <w:sz w:val="16"/>
                    <w:szCs w:val="16"/>
                  </w:rPr>
                  <w:t xml:space="preserve"> cases, </w:t>
                </w:r>
                <w:r>
                  <w:rPr>
                    <w:rFonts w:eastAsia="Times New Roman" w:cs="Calibri"/>
                    <w:sz w:val="16"/>
                    <w:szCs w:val="16"/>
                  </w:rPr>
                  <w:t>the</w:t>
                </w:r>
                <w:r w:rsidRPr="00EE147E">
                  <w:rPr>
                    <w:rFonts w:eastAsia="Times New Roman" w:cs="Calibri"/>
                    <w:sz w:val="16"/>
                    <w:szCs w:val="16"/>
                  </w:rPr>
                  <w:t xml:space="preserve"> goal is to provide education to health care providers, e</w:t>
                </w:r>
                <w:r>
                  <w:rPr>
                    <w:rFonts w:eastAsia="Times New Roman" w:cs="Calibri"/>
                    <w:sz w:val="16"/>
                    <w:szCs w:val="16"/>
                  </w:rPr>
                  <w:noBreakHyphen/>
                </w:r>
                <w:r w:rsidRPr="00EE147E">
                  <w:rPr>
                    <w:rFonts w:eastAsia="Times New Roman" w:cs="Calibri"/>
                    <w:sz w:val="16"/>
                    <w:szCs w:val="16"/>
                  </w:rPr>
                  <w:t>cigarette manufacturers, and the community on the proper use and storage of lithium-ion batteries, to prevent such burns.</w:t>
                </w:r>
              </w:p>
            </w:tc>
            <w:tc>
              <w:tcPr>
                <w:tcW w:w="1735" w:type="dxa"/>
                <w:vMerge w:val="restart"/>
                <w:hideMark/>
              </w:tcPr>
              <w:p w14:paraId="531BE9E8" w14:textId="516708CD" w:rsidR="007F3011" w:rsidRPr="00EE147E" w:rsidRDefault="007F3011"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Pr>
                    <w:rFonts w:eastAsia="Times New Roman" w:cs="Calibri"/>
                    <w:sz w:val="16"/>
                    <w:szCs w:val="16"/>
                  </w:rPr>
                  <w:t>P</w:t>
                </w:r>
                <w:r w:rsidRPr="00EE147E">
                  <w:rPr>
                    <w:rFonts w:eastAsia="Times New Roman" w:cs="Calibri"/>
                    <w:sz w:val="16"/>
                    <w:szCs w:val="16"/>
                  </w:rPr>
                  <w:t>otential risk associated with thermal runaway (Figure 4). We also recommend that e</w:t>
                </w:r>
                <w:r>
                  <w:rPr>
                    <w:rFonts w:eastAsia="Times New Roman" w:cs="Calibri"/>
                    <w:sz w:val="16"/>
                    <w:szCs w:val="16"/>
                  </w:rPr>
                  <w:noBreakHyphen/>
                </w:r>
                <w:r w:rsidRPr="00EE147E">
                  <w:rPr>
                    <w:rFonts w:eastAsia="Times New Roman" w:cs="Calibri"/>
                    <w:sz w:val="16"/>
                    <w:szCs w:val="16"/>
                  </w:rPr>
                  <w:t>cigarette manufacturers include a fire warning on e</w:t>
                </w:r>
                <w:r>
                  <w:rPr>
                    <w:rFonts w:eastAsia="Times New Roman" w:cs="Calibri"/>
                    <w:sz w:val="16"/>
                    <w:szCs w:val="16"/>
                  </w:rPr>
                  <w:noBreakHyphen/>
                </w:r>
                <w:r w:rsidRPr="00EE147E">
                  <w:rPr>
                    <w:rFonts w:eastAsia="Times New Roman" w:cs="Calibri"/>
                    <w:sz w:val="16"/>
                    <w:szCs w:val="16"/>
                  </w:rPr>
                  <w:t>cigarette label</w:t>
                </w:r>
                <w:r>
                  <w:rPr>
                    <w:rFonts w:eastAsia="Times New Roman" w:cs="Calibri"/>
                    <w:sz w:val="16"/>
                    <w:szCs w:val="16"/>
                  </w:rPr>
                  <w:t>.</w:t>
                </w:r>
              </w:p>
            </w:tc>
          </w:tr>
          <w:tr w:rsidR="007F3011" w:rsidRPr="00EE147E" w14:paraId="1A6FAC6F" w14:textId="77777777" w:rsidTr="0086075F">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1152" w:type="dxa"/>
                <w:vMerge/>
                <w:hideMark/>
              </w:tcPr>
              <w:p w14:paraId="40564735" w14:textId="77777777" w:rsidR="007F3011" w:rsidRPr="00EE147E" w:rsidRDefault="007F3011" w:rsidP="00EA178A">
                <w:pPr>
                  <w:spacing w:after="0"/>
                  <w:rPr>
                    <w:rFonts w:eastAsia="Times New Roman" w:cs="Calibri"/>
                    <w:sz w:val="16"/>
                    <w:szCs w:val="16"/>
                  </w:rPr>
                </w:pPr>
              </w:p>
            </w:tc>
            <w:tc>
              <w:tcPr>
                <w:tcW w:w="1145" w:type="dxa"/>
                <w:vMerge/>
                <w:hideMark/>
              </w:tcPr>
              <w:p w14:paraId="48F6A5AE" w14:textId="77777777" w:rsidR="007F3011" w:rsidRPr="00EE147E" w:rsidRDefault="007F3011"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p>
            </w:tc>
            <w:tc>
              <w:tcPr>
                <w:tcW w:w="700" w:type="dxa"/>
                <w:vMerge/>
                <w:hideMark/>
              </w:tcPr>
              <w:p w14:paraId="393ECD7E" w14:textId="77777777" w:rsidR="007F3011" w:rsidRPr="00EE147E" w:rsidRDefault="007F3011"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p>
            </w:tc>
            <w:tc>
              <w:tcPr>
                <w:tcW w:w="992" w:type="dxa"/>
                <w:vMerge/>
                <w:hideMark/>
              </w:tcPr>
              <w:p w14:paraId="395E26FA" w14:textId="63D50795" w:rsidR="007F3011" w:rsidRPr="00EE147E" w:rsidRDefault="007F3011"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p>
            </w:tc>
            <w:tc>
              <w:tcPr>
                <w:tcW w:w="3010" w:type="dxa"/>
                <w:hideMark/>
              </w:tcPr>
              <w:p w14:paraId="6C0A143E" w14:textId="0FECAB67" w:rsidR="007F3011" w:rsidRPr="00EE147E" w:rsidRDefault="007F3011"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Case 2 - ENDS exploded in pocket</w:t>
                </w:r>
                <w:r>
                  <w:rPr>
                    <w:rFonts w:eastAsia="Times New Roman" w:cs="Calibri"/>
                    <w:sz w:val="16"/>
                    <w:szCs w:val="16"/>
                  </w:rPr>
                  <w:t>.</w:t>
                </w:r>
              </w:p>
            </w:tc>
            <w:tc>
              <w:tcPr>
                <w:tcW w:w="851" w:type="dxa"/>
                <w:hideMark/>
              </w:tcPr>
              <w:p w14:paraId="59B77D0B" w14:textId="77777777" w:rsidR="007F3011" w:rsidRPr="00EE147E" w:rsidRDefault="007F3011"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mid-30s</w:t>
                </w:r>
              </w:p>
            </w:tc>
            <w:tc>
              <w:tcPr>
                <w:tcW w:w="709" w:type="dxa"/>
                <w:hideMark/>
              </w:tcPr>
              <w:p w14:paraId="6F44E5D6" w14:textId="77777777" w:rsidR="007F3011" w:rsidRPr="00EE147E" w:rsidRDefault="007F3011"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M</w:t>
                </w:r>
              </w:p>
            </w:tc>
            <w:tc>
              <w:tcPr>
                <w:tcW w:w="1559" w:type="dxa"/>
                <w:vMerge/>
                <w:hideMark/>
              </w:tcPr>
              <w:p w14:paraId="41323096" w14:textId="77777777" w:rsidR="007F3011" w:rsidRPr="00EE147E" w:rsidRDefault="007F3011"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p>
            </w:tc>
            <w:tc>
              <w:tcPr>
                <w:tcW w:w="3202" w:type="dxa"/>
                <w:vMerge/>
                <w:hideMark/>
              </w:tcPr>
              <w:p w14:paraId="3D7ECF6C" w14:textId="77777777" w:rsidR="007F3011" w:rsidRPr="00EE147E" w:rsidRDefault="007F3011"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p>
            </w:tc>
            <w:tc>
              <w:tcPr>
                <w:tcW w:w="1735" w:type="dxa"/>
                <w:vMerge/>
                <w:hideMark/>
              </w:tcPr>
              <w:p w14:paraId="44E82F69" w14:textId="77777777" w:rsidR="007F3011" w:rsidRPr="00EE147E" w:rsidRDefault="007F3011"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p>
            </w:tc>
          </w:tr>
          <w:tr w:rsidR="007F3011" w:rsidRPr="00EE147E" w14:paraId="37A15071" w14:textId="77777777" w:rsidTr="0086075F">
            <w:trPr>
              <w:trHeight w:val="297"/>
            </w:trPr>
            <w:tc>
              <w:tcPr>
                <w:cnfStyle w:val="001000000000" w:firstRow="0" w:lastRow="0" w:firstColumn="1" w:lastColumn="0" w:oddVBand="0" w:evenVBand="0" w:oddHBand="0" w:evenHBand="0" w:firstRowFirstColumn="0" w:firstRowLastColumn="0" w:lastRowFirstColumn="0" w:lastRowLastColumn="0"/>
                <w:tcW w:w="1152" w:type="dxa"/>
                <w:vMerge/>
                <w:hideMark/>
              </w:tcPr>
              <w:p w14:paraId="4936D745" w14:textId="77777777" w:rsidR="007F3011" w:rsidRPr="00EE147E" w:rsidRDefault="007F3011" w:rsidP="00EA178A">
                <w:pPr>
                  <w:spacing w:after="0"/>
                  <w:rPr>
                    <w:rFonts w:eastAsia="Times New Roman" w:cs="Calibri"/>
                    <w:sz w:val="16"/>
                    <w:szCs w:val="16"/>
                  </w:rPr>
                </w:pPr>
              </w:p>
            </w:tc>
            <w:tc>
              <w:tcPr>
                <w:tcW w:w="1145" w:type="dxa"/>
                <w:vMerge/>
                <w:hideMark/>
              </w:tcPr>
              <w:p w14:paraId="57ED4DB4" w14:textId="77777777" w:rsidR="007F3011" w:rsidRPr="00EE147E" w:rsidRDefault="007F3011"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p>
            </w:tc>
            <w:tc>
              <w:tcPr>
                <w:tcW w:w="700" w:type="dxa"/>
                <w:vMerge/>
                <w:hideMark/>
              </w:tcPr>
              <w:p w14:paraId="45CAD1D9" w14:textId="77777777" w:rsidR="007F3011" w:rsidRPr="00EE147E" w:rsidRDefault="007F3011"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p>
            </w:tc>
            <w:tc>
              <w:tcPr>
                <w:tcW w:w="992" w:type="dxa"/>
                <w:vMerge/>
                <w:hideMark/>
              </w:tcPr>
              <w:p w14:paraId="10E15B69" w14:textId="50739955" w:rsidR="007F3011" w:rsidRPr="00EE147E" w:rsidRDefault="007F3011"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p>
            </w:tc>
            <w:tc>
              <w:tcPr>
                <w:tcW w:w="3010" w:type="dxa"/>
                <w:hideMark/>
              </w:tcPr>
              <w:p w14:paraId="307C7C00" w14:textId="36052B6D" w:rsidR="007F3011" w:rsidRPr="00EE147E" w:rsidRDefault="007F3011"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Case 3 - ENDS exploded in pocket</w:t>
                </w:r>
                <w:r>
                  <w:rPr>
                    <w:rFonts w:eastAsia="Times New Roman" w:cs="Calibri"/>
                    <w:sz w:val="16"/>
                    <w:szCs w:val="16"/>
                  </w:rPr>
                  <w:t>.</w:t>
                </w:r>
              </w:p>
            </w:tc>
            <w:tc>
              <w:tcPr>
                <w:tcW w:w="851" w:type="dxa"/>
                <w:hideMark/>
              </w:tcPr>
              <w:p w14:paraId="32ADCFF6" w14:textId="77777777" w:rsidR="007F3011" w:rsidRPr="00EE147E" w:rsidRDefault="007F3011"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mid-40s</w:t>
                </w:r>
              </w:p>
            </w:tc>
            <w:tc>
              <w:tcPr>
                <w:tcW w:w="709" w:type="dxa"/>
                <w:hideMark/>
              </w:tcPr>
              <w:p w14:paraId="510FE08A" w14:textId="77777777" w:rsidR="007F3011" w:rsidRPr="00EE147E" w:rsidRDefault="007F3011"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M</w:t>
                </w:r>
              </w:p>
            </w:tc>
            <w:tc>
              <w:tcPr>
                <w:tcW w:w="1559" w:type="dxa"/>
                <w:vMerge/>
                <w:hideMark/>
              </w:tcPr>
              <w:p w14:paraId="6925F59B" w14:textId="77777777" w:rsidR="007F3011" w:rsidRPr="00EE147E" w:rsidRDefault="007F3011"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p>
            </w:tc>
            <w:tc>
              <w:tcPr>
                <w:tcW w:w="3202" w:type="dxa"/>
                <w:vMerge/>
                <w:hideMark/>
              </w:tcPr>
              <w:p w14:paraId="704C3597" w14:textId="77777777" w:rsidR="007F3011" w:rsidRPr="00EE147E" w:rsidRDefault="007F3011"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p>
            </w:tc>
            <w:tc>
              <w:tcPr>
                <w:tcW w:w="1735" w:type="dxa"/>
                <w:vMerge/>
                <w:hideMark/>
              </w:tcPr>
              <w:p w14:paraId="36B0CC7B" w14:textId="77777777" w:rsidR="007F3011" w:rsidRPr="00EE147E" w:rsidRDefault="007F3011"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p>
            </w:tc>
          </w:tr>
          <w:tr w:rsidR="004E260E" w:rsidRPr="00EE147E" w14:paraId="16A128E0" w14:textId="77777777" w:rsidTr="0086075F">
            <w:trPr>
              <w:cnfStyle w:val="000000100000" w:firstRow="0" w:lastRow="0" w:firstColumn="0" w:lastColumn="0" w:oddVBand="0" w:evenVBand="0" w:oddHBand="1"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1152" w:type="dxa"/>
                <w:hideMark/>
              </w:tcPr>
              <w:p w14:paraId="4297DD03" w14:textId="77777777" w:rsidR="004E260E" w:rsidRPr="00EE147E" w:rsidRDefault="004E260E" w:rsidP="00EA178A">
                <w:pPr>
                  <w:spacing w:after="0"/>
                  <w:rPr>
                    <w:rFonts w:eastAsia="Times New Roman" w:cs="Calibri"/>
                    <w:sz w:val="16"/>
                    <w:szCs w:val="16"/>
                  </w:rPr>
                </w:pPr>
                <w:r w:rsidRPr="00EE147E">
                  <w:rPr>
                    <w:rFonts w:eastAsia="Times New Roman" w:cs="Calibri"/>
                    <w:sz w:val="16"/>
                    <w:szCs w:val="16"/>
                  </w:rPr>
                  <w:t>Van de Meer et al 2017 ABSTRACT ONLY</w:t>
                </w:r>
              </w:p>
            </w:tc>
            <w:tc>
              <w:tcPr>
                <w:tcW w:w="1145" w:type="dxa"/>
                <w:hideMark/>
              </w:tcPr>
              <w:p w14:paraId="57068D63" w14:textId="4422B30B"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Case report</w:t>
                </w:r>
                <w:r w:rsidR="007F3011">
                  <w:rPr>
                    <w:rFonts w:eastAsia="Times New Roman" w:cs="Calibri"/>
                    <w:sz w:val="16"/>
                    <w:szCs w:val="16"/>
                  </w:rPr>
                  <w:t>.</w:t>
                </w:r>
              </w:p>
            </w:tc>
            <w:tc>
              <w:tcPr>
                <w:tcW w:w="700" w:type="dxa"/>
                <w:hideMark/>
              </w:tcPr>
              <w:p w14:paraId="316AEBE1"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Netherlands</w:t>
                </w:r>
              </w:p>
            </w:tc>
            <w:tc>
              <w:tcPr>
                <w:tcW w:w="992" w:type="dxa"/>
                <w:hideMark/>
              </w:tcPr>
              <w:p w14:paraId="6DE7D334"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 </w:t>
                </w:r>
              </w:p>
            </w:tc>
            <w:tc>
              <w:tcPr>
                <w:tcW w:w="3010" w:type="dxa"/>
                <w:hideMark/>
              </w:tcPr>
              <w:p w14:paraId="719E6221" w14:textId="711E6492"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Deliberate ingestion of e-cig</w:t>
                </w:r>
                <w:r w:rsidR="00304924">
                  <w:rPr>
                    <w:rFonts w:eastAsia="Times New Roman" w:cs="Calibri"/>
                    <w:sz w:val="16"/>
                    <w:szCs w:val="16"/>
                  </w:rPr>
                  <w:t>arette</w:t>
                </w:r>
                <w:r w:rsidRPr="00EE147E">
                  <w:rPr>
                    <w:rFonts w:eastAsia="Times New Roman" w:cs="Calibri"/>
                    <w:sz w:val="16"/>
                    <w:szCs w:val="16"/>
                  </w:rPr>
                  <w:t xml:space="preserve"> liquid</w:t>
                </w:r>
                <w:r w:rsidR="00304924">
                  <w:rPr>
                    <w:rFonts w:eastAsia="Times New Roman" w:cs="Calibri"/>
                    <w:sz w:val="16"/>
                    <w:szCs w:val="16"/>
                  </w:rPr>
                  <w:t>.</w:t>
                </w:r>
              </w:p>
            </w:tc>
            <w:tc>
              <w:tcPr>
                <w:tcW w:w="851" w:type="dxa"/>
                <w:hideMark/>
              </w:tcPr>
              <w:p w14:paraId="64279016"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42</w:t>
                </w:r>
              </w:p>
            </w:tc>
            <w:tc>
              <w:tcPr>
                <w:tcW w:w="709" w:type="dxa"/>
                <w:hideMark/>
              </w:tcPr>
              <w:p w14:paraId="5CCF7ED2"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M</w:t>
                </w:r>
              </w:p>
            </w:tc>
            <w:tc>
              <w:tcPr>
                <w:tcW w:w="1559" w:type="dxa"/>
                <w:hideMark/>
              </w:tcPr>
              <w:p w14:paraId="1F412E89"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 </w:t>
                </w:r>
              </w:p>
            </w:tc>
            <w:tc>
              <w:tcPr>
                <w:tcW w:w="3202" w:type="dxa"/>
                <w:hideMark/>
              </w:tcPr>
              <w:p w14:paraId="22A2F4FE"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Intentional ingestion can lead to toxic levels of nicotine which are associated with cardiac arrhythmias or arrest. Because even a few millilitres can be lethal, nicotine intoxication due to e-liquid ingestion should be considered potentially life-threatening.</w:t>
                </w:r>
              </w:p>
            </w:tc>
            <w:tc>
              <w:tcPr>
                <w:tcW w:w="1735" w:type="dxa"/>
                <w:hideMark/>
              </w:tcPr>
              <w:p w14:paraId="609D8917"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 </w:t>
                </w:r>
              </w:p>
            </w:tc>
          </w:tr>
          <w:tr w:rsidR="004E260E" w:rsidRPr="00EE147E" w14:paraId="2A3945D6" w14:textId="77777777" w:rsidTr="0086075F">
            <w:trPr>
              <w:trHeight w:val="142"/>
            </w:trPr>
            <w:tc>
              <w:tcPr>
                <w:cnfStyle w:val="001000000000" w:firstRow="0" w:lastRow="0" w:firstColumn="1" w:lastColumn="0" w:oddVBand="0" w:evenVBand="0" w:oddHBand="0" w:evenHBand="0" w:firstRowFirstColumn="0" w:firstRowLastColumn="0" w:lastRowFirstColumn="0" w:lastRowLastColumn="0"/>
                <w:tcW w:w="1152" w:type="dxa"/>
                <w:hideMark/>
              </w:tcPr>
              <w:p w14:paraId="3FA9D3F8" w14:textId="77777777" w:rsidR="004E260E" w:rsidRPr="00EE147E" w:rsidRDefault="004E260E" w:rsidP="00EA178A">
                <w:pPr>
                  <w:spacing w:after="0"/>
                  <w:rPr>
                    <w:rFonts w:eastAsia="Times New Roman" w:cs="Calibri"/>
                    <w:sz w:val="16"/>
                    <w:szCs w:val="16"/>
                  </w:rPr>
                </w:pPr>
                <w:r w:rsidRPr="00EE147E">
                  <w:rPr>
                    <w:rFonts w:eastAsia="Times New Roman" w:cs="Calibri"/>
                    <w:sz w:val="16"/>
                    <w:szCs w:val="16"/>
                  </w:rPr>
                  <w:t>Vardavas et al 2017</w:t>
                </w:r>
              </w:p>
            </w:tc>
            <w:tc>
              <w:tcPr>
                <w:tcW w:w="1145" w:type="dxa"/>
                <w:hideMark/>
              </w:tcPr>
              <w:p w14:paraId="7135AC94" w14:textId="28F72902"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Retrospective analysis of exposure to e</w:t>
                </w:r>
                <w:r w:rsidR="00304924">
                  <w:rPr>
                    <w:rFonts w:eastAsia="Times New Roman" w:cs="Calibri"/>
                    <w:sz w:val="16"/>
                    <w:szCs w:val="16"/>
                  </w:rPr>
                  <w:noBreakHyphen/>
                </w:r>
                <w:r w:rsidRPr="00EE147E">
                  <w:rPr>
                    <w:rFonts w:eastAsia="Times New Roman" w:cs="Calibri"/>
                    <w:sz w:val="16"/>
                    <w:szCs w:val="16"/>
                  </w:rPr>
                  <w:t>liquids as reported to poison centres within the 22 EUMC</w:t>
                </w:r>
                <w:r w:rsidR="00304924">
                  <w:rPr>
                    <w:rFonts w:eastAsia="Times New Roman" w:cs="Calibri"/>
                    <w:sz w:val="16"/>
                    <w:szCs w:val="16"/>
                  </w:rPr>
                  <w:t>.</w:t>
                </w:r>
              </w:p>
            </w:tc>
            <w:tc>
              <w:tcPr>
                <w:tcW w:w="700" w:type="dxa"/>
                <w:hideMark/>
              </w:tcPr>
              <w:p w14:paraId="332AA1A7"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European Union Member states</w:t>
                </w:r>
              </w:p>
            </w:tc>
            <w:tc>
              <w:tcPr>
                <w:tcW w:w="992" w:type="dxa"/>
                <w:hideMark/>
              </w:tcPr>
              <w:p w14:paraId="05884F20"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2012 - March 2015</w:t>
                </w:r>
              </w:p>
            </w:tc>
            <w:tc>
              <w:tcPr>
                <w:tcW w:w="3010" w:type="dxa"/>
                <w:hideMark/>
              </w:tcPr>
              <w:p w14:paraId="59502EBA" w14:textId="2CECEB33"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 xml:space="preserve">277 incidents were reported. Unintentional exposure was the most frequently cited type of exposure (71.3%), while e-cigarette refill vials were responsible for the majority of the reported incidents (87.3%). Two-thirds of all exposures (67.5%) occurred as ingestion of e-liquids, which was more frequent among children (≤ 5 years, 6 –18 </w:t>
                </w:r>
                <w:r w:rsidRPr="00EE147E">
                  <w:rPr>
                    <w:rFonts w:eastAsia="Times New Roman" w:cs="Calibri"/>
                    <w:sz w:val="16"/>
                    <w:szCs w:val="16"/>
                  </w:rPr>
                  <w:lastRenderedPageBreak/>
                  <w:t>years) compared to adults (87.0% vs. 59.3% vs. 57.6%, p&lt;0.001 respectively), exposure via the respiratory (5.4% vs. 22.2% vs. 22.2%, p&lt;0.001) were more frequent among paediatric patients while ocular routes (2.2% vs. 3.7% vs. 11.4%, p=0.021) were more frequent among adults</w:t>
                </w:r>
                <w:r w:rsidR="00304924">
                  <w:rPr>
                    <w:rFonts w:eastAsia="Times New Roman" w:cs="Calibri"/>
                    <w:sz w:val="16"/>
                    <w:szCs w:val="16"/>
                  </w:rPr>
                  <w:t>.</w:t>
                </w:r>
              </w:p>
            </w:tc>
            <w:tc>
              <w:tcPr>
                <w:tcW w:w="851" w:type="dxa"/>
                <w:hideMark/>
              </w:tcPr>
              <w:p w14:paraId="741D86EF"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lastRenderedPageBreak/>
                  <w:t> </w:t>
                </w:r>
              </w:p>
            </w:tc>
            <w:tc>
              <w:tcPr>
                <w:tcW w:w="709" w:type="dxa"/>
                <w:hideMark/>
              </w:tcPr>
              <w:p w14:paraId="2BCE7836"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 </w:t>
                </w:r>
              </w:p>
            </w:tc>
            <w:tc>
              <w:tcPr>
                <w:tcW w:w="1559" w:type="dxa"/>
                <w:hideMark/>
              </w:tcPr>
              <w:p w14:paraId="2AE66CFC"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 </w:t>
                </w:r>
              </w:p>
            </w:tc>
            <w:tc>
              <w:tcPr>
                <w:tcW w:w="3202" w:type="dxa"/>
                <w:hideMark/>
              </w:tcPr>
              <w:p w14:paraId="64EFD051" w14:textId="2B9365D7" w:rsidR="004E260E" w:rsidRPr="00EE147E" w:rsidRDefault="007F3011" w:rsidP="007F3011">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Pr>
                    <w:rFonts w:eastAsia="Times New Roman" w:cs="Calibri"/>
                    <w:sz w:val="16"/>
                    <w:szCs w:val="16"/>
                  </w:rPr>
                  <w:t>This</w:t>
                </w:r>
                <w:r w:rsidRPr="00EE147E">
                  <w:rPr>
                    <w:rFonts w:eastAsia="Times New Roman" w:cs="Calibri"/>
                    <w:sz w:val="16"/>
                    <w:szCs w:val="16"/>
                  </w:rPr>
                  <w:t xml:space="preserve"> </w:t>
                </w:r>
                <w:r w:rsidR="004E260E" w:rsidRPr="00EE147E">
                  <w:rPr>
                    <w:rFonts w:eastAsia="Times New Roman" w:cs="Calibri"/>
                    <w:sz w:val="16"/>
                    <w:szCs w:val="16"/>
                  </w:rPr>
                  <w:t>study highlighted parameters related to e-cigarette exposure incidents in 10 EU MS, indicat</w:t>
                </w:r>
                <w:r>
                  <w:rPr>
                    <w:rFonts w:eastAsia="Times New Roman" w:cs="Calibri"/>
                    <w:sz w:val="16"/>
                    <w:szCs w:val="16"/>
                  </w:rPr>
                  <w:t>ing</w:t>
                </w:r>
                <w:r w:rsidR="004E260E" w:rsidRPr="00EE147E">
                  <w:rPr>
                    <w:rFonts w:eastAsia="Times New Roman" w:cs="Calibri"/>
                    <w:sz w:val="16"/>
                    <w:szCs w:val="16"/>
                  </w:rPr>
                  <w:t xml:space="preserve"> that consideration should be given to the design features which may mitigate risks, thereby protecting users, non-users and especially children</w:t>
                </w:r>
                <w:r w:rsidR="00304924">
                  <w:rPr>
                    <w:rFonts w:eastAsia="Times New Roman" w:cs="Calibri"/>
                    <w:sz w:val="16"/>
                    <w:szCs w:val="16"/>
                  </w:rPr>
                  <w:t>.</w:t>
                </w:r>
              </w:p>
            </w:tc>
            <w:tc>
              <w:tcPr>
                <w:tcW w:w="1735" w:type="dxa"/>
                <w:hideMark/>
              </w:tcPr>
              <w:p w14:paraId="5F17AC49" w14:textId="3F75E5A1"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EE147E">
                  <w:rPr>
                    <w:rFonts w:eastAsia="Times New Roman" w:cs="Calibri"/>
                    <w:sz w:val="16"/>
                    <w:szCs w:val="16"/>
                  </w:rPr>
                  <w:t>This is the first study to report exposure incidents attributable to e-cigarette</w:t>
                </w:r>
                <w:r w:rsidR="007F3011">
                  <w:rPr>
                    <w:rFonts w:eastAsia="Times New Roman" w:cs="Calibri"/>
                    <w:sz w:val="16"/>
                    <w:szCs w:val="16"/>
                  </w:rPr>
                  <w:t>s</w:t>
                </w:r>
                <w:r w:rsidR="00304924">
                  <w:rPr>
                    <w:rFonts w:eastAsia="Times New Roman" w:cs="Calibri"/>
                    <w:sz w:val="16"/>
                    <w:szCs w:val="16"/>
                  </w:rPr>
                  <w:t>.</w:t>
                </w:r>
              </w:p>
            </w:tc>
          </w:tr>
        </w:tbl>
        <w:p w14:paraId="7238E9FF" w14:textId="77777777" w:rsidR="004E260E" w:rsidRPr="00EE147E" w:rsidRDefault="004E260E" w:rsidP="004E260E">
          <w:pPr>
            <w:spacing w:after="0"/>
          </w:pPr>
          <w:r w:rsidRPr="00EE147E">
            <w:br w:type="page"/>
          </w:r>
        </w:p>
        <w:p w14:paraId="0C75D1E1" w14:textId="77777777" w:rsidR="004E260E" w:rsidRPr="00EE147E" w:rsidRDefault="004E260E" w:rsidP="004E260E">
          <w:pPr>
            <w:pStyle w:val="Caption"/>
          </w:pPr>
          <w:bookmarkStart w:id="109" w:name="_Toc516727666"/>
          <w:bookmarkStart w:id="110" w:name="_Toc517707417"/>
          <w:r w:rsidRPr="00EE147E">
            <w:lastRenderedPageBreak/>
            <w:t xml:space="preserve">Table </w:t>
          </w:r>
          <w:r w:rsidR="0048064B">
            <w:rPr>
              <w:noProof/>
            </w:rPr>
            <w:fldChar w:fldCharType="begin"/>
          </w:r>
          <w:r w:rsidR="0048064B">
            <w:rPr>
              <w:noProof/>
            </w:rPr>
            <w:instrText xml:space="preserve"> SEQ Table \* ARABIC </w:instrText>
          </w:r>
          <w:r w:rsidR="0048064B">
            <w:rPr>
              <w:noProof/>
            </w:rPr>
            <w:fldChar w:fldCharType="separate"/>
          </w:r>
          <w:r w:rsidR="000C06DA">
            <w:rPr>
              <w:noProof/>
            </w:rPr>
            <w:t>8</w:t>
          </w:r>
          <w:r w:rsidR="0048064B">
            <w:rPr>
              <w:noProof/>
            </w:rPr>
            <w:fldChar w:fldCharType="end"/>
          </w:r>
          <w:r w:rsidRPr="00EE147E">
            <w:t xml:space="preserve">: </w:t>
          </w:r>
          <w:r w:rsidR="00955544" w:rsidRPr="00EE147E">
            <w:t>Data from animal s</w:t>
          </w:r>
          <w:r w:rsidRPr="00EE147E">
            <w:t>tud</w:t>
          </w:r>
          <w:r w:rsidR="00955544" w:rsidRPr="00EE147E">
            <w:t>ies</w:t>
          </w:r>
          <w:bookmarkEnd w:id="109"/>
          <w:bookmarkEnd w:id="110"/>
        </w:p>
        <w:tbl>
          <w:tblPr>
            <w:tblStyle w:val="TableCSIRO"/>
            <w:tblW w:w="15310" w:type="dxa"/>
            <w:tblInd w:w="-142" w:type="dxa"/>
            <w:tblLayout w:type="fixed"/>
            <w:tblLook w:val="04A0" w:firstRow="1" w:lastRow="0" w:firstColumn="1" w:lastColumn="0" w:noHBand="0" w:noVBand="1"/>
          </w:tblPr>
          <w:tblGrid>
            <w:gridCol w:w="951"/>
            <w:gridCol w:w="1494"/>
            <w:gridCol w:w="951"/>
            <w:gridCol w:w="885"/>
            <w:gridCol w:w="984"/>
            <w:gridCol w:w="997"/>
            <w:gridCol w:w="1177"/>
            <w:gridCol w:w="951"/>
            <w:gridCol w:w="1359"/>
            <w:gridCol w:w="3294"/>
            <w:gridCol w:w="2267"/>
          </w:tblGrid>
          <w:tr w:rsidR="004E260E" w:rsidRPr="00EE147E" w14:paraId="0037E507" w14:textId="77777777" w:rsidTr="007D6D03">
            <w:trPr>
              <w:cnfStyle w:val="100000000000" w:firstRow="1" w:lastRow="0" w:firstColumn="0" w:lastColumn="0" w:oddVBand="0" w:evenVBand="0" w:oddHBand="0" w:evenHBand="0" w:firstRowFirstColumn="0" w:firstRowLastColumn="0" w:lastRowFirstColumn="0" w:lastRowLastColumn="0"/>
              <w:trHeight w:val="19"/>
              <w:tblHeader/>
            </w:trPr>
            <w:tc>
              <w:tcPr>
                <w:cnfStyle w:val="001000000000" w:firstRow="0" w:lastRow="0" w:firstColumn="1" w:lastColumn="0" w:oddVBand="0" w:evenVBand="0" w:oddHBand="0" w:evenHBand="0" w:firstRowFirstColumn="0" w:firstRowLastColumn="0" w:lastRowFirstColumn="0" w:lastRowLastColumn="0"/>
                <w:tcW w:w="951" w:type="dxa"/>
                <w:vMerge w:val="restart"/>
                <w:hideMark/>
              </w:tcPr>
              <w:p w14:paraId="1F014A21" w14:textId="77777777" w:rsidR="004E260E" w:rsidRPr="00EE147E" w:rsidRDefault="004E260E" w:rsidP="00EA178A">
                <w:pPr>
                  <w:spacing w:after="0"/>
                  <w:rPr>
                    <w:rFonts w:eastAsia="Times New Roman" w:cstheme="minorHAnsi"/>
                    <w:b w:val="0"/>
                    <w:bCs w:val="0"/>
                    <w:color w:val="FFFFFF" w:themeColor="background1"/>
                    <w:sz w:val="16"/>
                    <w:szCs w:val="16"/>
                  </w:rPr>
                </w:pPr>
                <w:r w:rsidRPr="00EE147E">
                  <w:rPr>
                    <w:rFonts w:eastAsia="Times New Roman" w:cstheme="minorHAnsi"/>
                    <w:color w:val="FFFFFF" w:themeColor="background1"/>
                    <w:sz w:val="16"/>
                    <w:szCs w:val="16"/>
                  </w:rPr>
                  <w:t>Study reference</w:t>
                </w:r>
              </w:p>
            </w:tc>
            <w:tc>
              <w:tcPr>
                <w:tcW w:w="1494" w:type="dxa"/>
                <w:vMerge w:val="restart"/>
                <w:hideMark/>
              </w:tcPr>
              <w:p w14:paraId="0F859FF8" w14:textId="77777777" w:rsidR="004E260E" w:rsidRPr="00EE147E" w:rsidRDefault="004E260E" w:rsidP="00EA178A">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FFFFFF" w:themeColor="background1"/>
                    <w:sz w:val="16"/>
                    <w:szCs w:val="16"/>
                  </w:rPr>
                </w:pPr>
                <w:r w:rsidRPr="00EE147E">
                  <w:rPr>
                    <w:rFonts w:eastAsia="Times New Roman" w:cstheme="minorHAnsi"/>
                    <w:color w:val="FFFFFF" w:themeColor="background1"/>
                    <w:sz w:val="16"/>
                    <w:szCs w:val="16"/>
                  </w:rPr>
                  <w:t>Study objectives</w:t>
                </w:r>
              </w:p>
            </w:tc>
            <w:tc>
              <w:tcPr>
                <w:tcW w:w="1836" w:type="dxa"/>
                <w:gridSpan w:val="2"/>
                <w:hideMark/>
              </w:tcPr>
              <w:p w14:paraId="1456A79E" w14:textId="77777777" w:rsidR="004E260E" w:rsidRPr="00EE147E" w:rsidRDefault="004E260E" w:rsidP="00EA178A">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FFFFFF" w:themeColor="background1"/>
                    <w:sz w:val="16"/>
                    <w:szCs w:val="16"/>
                  </w:rPr>
                </w:pPr>
                <w:r w:rsidRPr="00EE147E">
                  <w:rPr>
                    <w:rFonts w:eastAsia="Times New Roman" w:cstheme="minorHAnsi"/>
                    <w:color w:val="FFFFFF" w:themeColor="background1"/>
                    <w:sz w:val="16"/>
                    <w:szCs w:val="16"/>
                  </w:rPr>
                  <w:t>Study Population</w:t>
                </w:r>
              </w:p>
            </w:tc>
            <w:tc>
              <w:tcPr>
                <w:tcW w:w="984" w:type="dxa"/>
                <w:vMerge w:val="restart"/>
                <w:noWrap/>
                <w:hideMark/>
              </w:tcPr>
              <w:p w14:paraId="5B69068E" w14:textId="77777777" w:rsidR="004E260E" w:rsidRPr="00EE147E" w:rsidRDefault="004E260E" w:rsidP="00EA178A">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FFFFFF" w:themeColor="background1"/>
                    <w:sz w:val="16"/>
                    <w:szCs w:val="16"/>
                  </w:rPr>
                </w:pPr>
                <w:r w:rsidRPr="00EE147E">
                  <w:rPr>
                    <w:rFonts w:eastAsia="Times New Roman" w:cstheme="minorHAnsi"/>
                    <w:color w:val="FFFFFF" w:themeColor="background1"/>
                    <w:sz w:val="16"/>
                    <w:szCs w:val="16"/>
                  </w:rPr>
                  <w:t>Duration</w:t>
                </w:r>
              </w:p>
            </w:tc>
            <w:tc>
              <w:tcPr>
                <w:tcW w:w="3125" w:type="dxa"/>
                <w:gridSpan w:val="3"/>
                <w:noWrap/>
                <w:hideMark/>
              </w:tcPr>
              <w:p w14:paraId="672D4B3A" w14:textId="77777777" w:rsidR="004E260E" w:rsidRPr="00EE147E" w:rsidRDefault="004E260E" w:rsidP="00EA178A">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FFFFFF" w:themeColor="background1"/>
                    <w:sz w:val="16"/>
                    <w:szCs w:val="16"/>
                  </w:rPr>
                </w:pPr>
                <w:r w:rsidRPr="00EE147E">
                  <w:rPr>
                    <w:rFonts w:eastAsia="Times New Roman" w:cstheme="minorHAnsi"/>
                    <w:color w:val="FFFFFF" w:themeColor="background1"/>
                    <w:sz w:val="16"/>
                    <w:szCs w:val="16"/>
                  </w:rPr>
                  <w:t>Exposures</w:t>
                </w:r>
              </w:p>
            </w:tc>
            <w:tc>
              <w:tcPr>
                <w:tcW w:w="1359" w:type="dxa"/>
                <w:vMerge w:val="restart"/>
                <w:hideMark/>
              </w:tcPr>
              <w:p w14:paraId="4FABE183" w14:textId="77777777" w:rsidR="004E260E" w:rsidRPr="00EE147E" w:rsidRDefault="004E260E" w:rsidP="00EA178A">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FFFFFF" w:themeColor="background1"/>
                    <w:sz w:val="16"/>
                    <w:szCs w:val="16"/>
                  </w:rPr>
                </w:pPr>
                <w:r w:rsidRPr="00EE147E">
                  <w:rPr>
                    <w:rFonts w:eastAsia="Times New Roman" w:cstheme="minorHAnsi"/>
                    <w:color w:val="FFFFFF" w:themeColor="background1"/>
                    <w:sz w:val="16"/>
                    <w:szCs w:val="16"/>
                  </w:rPr>
                  <w:t>Further notes on study protocol</w:t>
                </w:r>
              </w:p>
            </w:tc>
            <w:tc>
              <w:tcPr>
                <w:tcW w:w="3294" w:type="dxa"/>
                <w:vMerge w:val="restart"/>
                <w:hideMark/>
              </w:tcPr>
              <w:p w14:paraId="0FF73895" w14:textId="77777777" w:rsidR="004E260E" w:rsidRPr="00EE147E" w:rsidRDefault="004E260E" w:rsidP="00EA178A">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FFFFFF" w:themeColor="background1"/>
                    <w:sz w:val="16"/>
                    <w:szCs w:val="16"/>
                  </w:rPr>
                </w:pPr>
                <w:r w:rsidRPr="00EE147E">
                  <w:rPr>
                    <w:rFonts w:eastAsia="Times New Roman" w:cstheme="minorHAnsi"/>
                    <w:color w:val="FFFFFF" w:themeColor="background1"/>
                    <w:sz w:val="16"/>
                    <w:szCs w:val="16"/>
                  </w:rPr>
                  <w:t>Outcome</w:t>
                </w:r>
              </w:p>
            </w:tc>
            <w:tc>
              <w:tcPr>
                <w:tcW w:w="2267" w:type="dxa"/>
                <w:vMerge w:val="restart"/>
                <w:hideMark/>
              </w:tcPr>
              <w:p w14:paraId="1A426560" w14:textId="282BB6C4" w:rsidR="004E260E" w:rsidRPr="00EE147E" w:rsidRDefault="007967EB" w:rsidP="00EA178A">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FFFFFF" w:themeColor="background1"/>
                    <w:sz w:val="16"/>
                    <w:szCs w:val="16"/>
                  </w:rPr>
                </w:pPr>
                <w:r>
                  <w:rPr>
                    <w:rFonts w:eastAsia="Times New Roman" w:cstheme="minorHAnsi"/>
                    <w:color w:val="FFFFFF" w:themeColor="background1"/>
                    <w:sz w:val="16"/>
                    <w:szCs w:val="16"/>
                  </w:rPr>
                  <w:t xml:space="preserve">Author </w:t>
                </w:r>
                <w:r w:rsidR="004E260E" w:rsidRPr="00EE147E">
                  <w:rPr>
                    <w:rFonts w:eastAsia="Times New Roman" w:cstheme="minorHAnsi"/>
                    <w:color w:val="FFFFFF" w:themeColor="background1"/>
                    <w:sz w:val="16"/>
                    <w:szCs w:val="16"/>
                  </w:rPr>
                  <w:t>Conclusion statement</w:t>
                </w:r>
              </w:p>
            </w:tc>
          </w:tr>
          <w:tr w:rsidR="004E260E" w:rsidRPr="00EE147E" w14:paraId="644BFF12" w14:textId="77777777" w:rsidTr="007F3011">
            <w:trPr>
              <w:cnfStyle w:val="100000000000" w:firstRow="1" w:lastRow="0" w:firstColumn="0" w:lastColumn="0" w:oddVBand="0" w:evenVBand="0" w:oddHBand="0" w:evenHBand="0" w:firstRowFirstColumn="0" w:firstRowLastColumn="0" w:lastRowFirstColumn="0" w:lastRowLastColumn="0"/>
              <w:trHeight w:val="909"/>
              <w:tblHeader/>
            </w:trPr>
            <w:tc>
              <w:tcPr>
                <w:cnfStyle w:val="001000000000" w:firstRow="0" w:lastRow="0" w:firstColumn="1" w:lastColumn="0" w:oddVBand="0" w:evenVBand="0" w:oddHBand="0" w:evenHBand="0" w:firstRowFirstColumn="0" w:firstRowLastColumn="0" w:lastRowFirstColumn="0" w:lastRowLastColumn="0"/>
                <w:tcW w:w="951" w:type="dxa"/>
                <w:vMerge/>
                <w:hideMark/>
              </w:tcPr>
              <w:p w14:paraId="7B59E627" w14:textId="77777777" w:rsidR="004E260E" w:rsidRPr="00EE147E" w:rsidRDefault="004E260E" w:rsidP="00EA178A">
                <w:pPr>
                  <w:spacing w:after="0"/>
                  <w:rPr>
                    <w:rFonts w:eastAsia="Times New Roman" w:cstheme="minorHAnsi"/>
                    <w:b w:val="0"/>
                    <w:bCs w:val="0"/>
                    <w:sz w:val="16"/>
                    <w:szCs w:val="16"/>
                  </w:rPr>
                </w:pPr>
              </w:p>
            </w:tc>
            <w:tc>
              <w:tcPr>
                <w:tcW w:w="1494" w:type="dxa"/>
                <w:vMerge/>
                <w:hideMark/>
              </w:tcPr>
              <w:p w14:paraId="42DF513E" w14:textId="77777777" w:rsidR="004E260E" w:rsidRPr="00EE147E" w:rsidRDefault="004E260E" w:rsidP="00EA178A">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16"/>
                    <w:szCs w:val="16"/>
                  </w:rPr>
                </w:pPr>
              </w:p>
            </w:tc>
            <w:tc>
              <w:tcPr>
                <w:tcW w:w="951" w:type="dxa"/>
                <w:hideMark/>
              </w:tcPr>
              <w:p w14:paraId="0C3C8F1E" w14:textId="77777777" w:rsidR="004E260E" w:rsidRPr="00EE147E" w:rsidRDefault="004E260E" w:rsidP="00EA178A">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FFFFFF" w:themeColor="background1"/>
                    <w:sz w:val="16"/>
                    <w:szCs w:val="16"/>
                  </w:rPr>
                </w:pPr>
                <w:r w:rsidRPr="00EE147E">
                  <w:rPr>
                    <w:rFonts w:eastAsia="Times New Roman" w:cstheme="minorHAnsi"/>
                    <w:color w:val="FFFFFF" w:themeColor="background1"/>
                    <w:sz w:val="16"/>
                    <w:szCs w:val="16"/>
                  </w:rPr>
                  <w:t>Species</w:t>
                </w:r>
              </w:p>
            </w:tc>
            <w:tc>
              <w:tcPr>
                <w:tcW w:w="885" w:type="dxa"/>
                <w:hideMark/>
              </w:tcPr>
              <w:p w14:paraId="0A4B3257" w14:textId="77777777" w:rsidR="004E260E" w:rsidRPr="00EE147E" w:rsidRDefault="004E260E" w:rsidP="00EA178A">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16"/>
                    <w:szCs w:val="16"/>
                  </w:rPr>
                </w:pPr>
                <w:r w:rsidRPr="00EE147E">
                  <w:rPr>
                    <w:rFonts w:eastAsia="Times New Roman" w:cstheme="minorHAnsi"/>
                    <w:color w:val="FFFFFF" w:themeColor="background1"/>
                    <w:sz w:val="16"/>
                    <w:szCs w:val="16"/>
                  </w:rPr>
                  <w:t xml:space="preserve">Gender </w:t>
                </w:r>
              </w:p>
              <w:p w14:paraId="01D6EF2D" w14:textId="77777777" w:rsidR="004E260E" w:rsidRPr="00EE147E" w:rsidRDefault="004E260E" w:rsidP="00EA178A">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FFFFFF" w:themeColor="background1"/>
                    <w:sz w:val="16"/>
                    <w:szCs w:val="16"/>
                  </w:rPr>
                </w:pPr>
                <w:r w:rsidRPr="00EE147E">
                  <w:rPr>
                    <w:rFonts w:eastAsia="Times New Roman" w:cstheme="minorHAnsi"/>
                    <w:color w:val="FFFFFF" w:themeColor="background1"/>
                    <w:sz w:val="16"/>
                    <w:szCs w:val="16"/>
                  </w:rPr>
                  <w:t>(% male)</w:t>
                </w:r>
              </w:p>
            </w:tc>
            <w:tc>
              <w:tcPr>
                <w:tcW w:w="984" w:type="dxa"/>
                <w:vMerge/>
                <w:hideMark/>
              </w:tcPr>
              <w:p w14:paraId="2DA25456" w14:textId="77777777" w:rsidR="004E260E" w:rsidRPr="00EE147E" w:rsidRDefault="004E260E" w:rsidP="00EA178A">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FFFFFF" w:themeColor="background1"/>
                    <w:sz w:val="16"/>
                    <w:szCs w:val="16"/>
                  </w:rPr>
                </w:pPr>
              </w:p>
            </w:tc>
            <w:tc>
              <w:tcPr>
                <w:tcW w:w="997" w:type="dxa"/>
                <w:hideMark/>
              </w:tcPr>
              <w:p w14:paraId="478A298E" w14:textId="77777777" w:rsidR="004E260E" w:rsidRPr="00EE147E" w:rsidRDefault="004E260E" w:rsidP="00EA178A">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FFFFFF" w:themeColor="background1"/>
                    <w:sz w:val="16"/>
                    <w:szCs w:val="16"/>
                  </w:rPr>
                </w:pPr>
                <w:r w:rsidRPr="00EE147E">
                  <w:rPr>
                    <w:rFonts w:eastAsia="Times New Roman" w:cstheme="minorHAnsi"/>
                    <w:color w:val="FFFFFF" w:themeColor="background1"/>
                    <w:sz w:val="16"/>
                    <w:szCs w:val="16"/>
                  </w:rPr>
                  <w:t>Control</w:t>
                </w:r>
              </w:p>
            </w:tc>
            <w:tc>
              <w:tcPr>
                <w:tcW w:w="1177" w:type="dxa"/>
                <w:hideMark/>
              </w:tcPr>
              <w:p w14:paraId="1A6913EA" w14:textId="77777777" w:rsidR="004E260E" w:rsidRPr="00EE147E" w:rsidRDefault="004E260E" w:rsidP="00EA178A">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FFFFFF" w:themeColor="background1"/>
                    <w:sz w:val="16"/>
                    <w:szCs w:val="16"/>
                  </w:rPr>
                </w:pPr>
                <w:r w:rsidRPr="00EE147E">
                  <w:rPr>
                    <w:rFonts w:eastAsia="Times New Roman" w:cstheme="minorHAnsi"/>
                    <w:color w:val="FFFFFF" w:themeColor="background1"/>
                    <w:sz w:val="16"/>
                    <w:szCs w:val="16"/>
                  </w:rPr>
                  <w:t>Experimental</w:t>
                </w:r>
              </w:p>
            </w:tc>
            <w:tc>
              <w:tcPr>
                <w:tcW w:w="951" w:type="dxa"/>
              </w:tcPr>
              <w:p w14:paraId="4C2DBDFE" w14:textId="77777777" w:rsidR="004E260E" w:rsidRPr="00EE147E" w:rsidRDefault="004E260E" w:rsidP="00EA178A">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FFFFFF" w:themeColor="background1"/>
                    <w:sz w:val="16"/>
                    <w:szCs w:val="16"/>
                  </w:rPr>
                </w:pPr>
                <w:r w:rsidRPr="00EE147E">
                  <w:rPr>
                    <w:rFonts w:eastAsia="Times New Roman" w:cstheme="minorHAnsi"/>
                    <w:color w:val="FFFFFF" w:themeColor="background1"/>
                    <w:sz w:val="16"/>
                    <w:szCs w:val="16"/>
                  </w:rPr>
                  <w:t>Dose equivalent to humans?</w:t>
                </w:r>
              </w:p>
            </w:tc>
            <w:tc>
              <w:tcPr>
                <w:tcW w:w="1359" w:type="dxa"/>
                <w:vMerge/>
                <w:hideMark/>
              </w:tcPr>
              <w:p w14:paraId="11DE85C7" w14:textId="77777777" w:rsidR="004E260E" w:rsidRPr="00EE147E" w:rsidRDefault="004E260E" w:rsidP="00EA178A">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16"/>
                    <w:szCs w:val="16"/>
                  </w:rPr>
                </w:pPr>
              </w:p>
            </w:tc>
            <w:tc>
              <w:tcPr>
                <w:tcW w:w="3294" w:type="dxa"/>
                <w:vMerge/>
                <w:hideMark/>
              </w:tcPr>
              <w:p w14:paraId="20BEE83B" w14:textId="77777777" w:rsidR="004E260E" w:rsidRPr="00EE147E" w:rsidRDefault="004E260E" w:rsidP="00EA178A">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16"/>
                    <w:szCs w:val="16"/>
                  </w:rPr>
                </w:pPr>
              </w:p>
            </w:tc>
            <w:tc>
              <w:tcPr>
                <w:tcW w:w="2267" w:type="dxa"/>
                <w:vMerge/>
                <w:hideMark/>
              </w:tcPr>
              <w:p w14:paraId="56DFD71B" w14:textId="77777777" w:rsidR="004E260E" w:rsidRPr="00EE147E" w:rsidRDefault="004E260E" w:rsidP="00EA178A">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16"/>
                    <w:szCs w:val="16"/>
                  </w:rPr>
                </w:pPr>
              </w:p>
            </w:tc>
          </w:tr>
          <w:tr w:rsidR="004E260E" w:rsidRPr="00EE147E" w14:paraId="796E5C5E" w14:textId="77777777" w:rsidTr="007F3011">
            <w:trPr>
              <w:cnfStyle w:val="000000100000" w:firstRow="0" w:lastRow="0" w:firstColumn="0" w:lastColumn="0" w:oddVBand="0" w:evenVBand="0" w:oddHBand="1" w:evenHBand="0" w:firstRowFirstColumn="0" w:firstRowLastColumn="0" w:lastRowFirstColumn="0" w:lastRowLastColumn="0"/>
              <w:trHeight w:val="1834"/>
            </w:trPr>
            <w:tc>
              <w:tcPr>
                <w:cnfStyle w:val="001000000000" w:firstRow="0" w:lastRow="0" w:firstColumn="1" w:lastColumn="0" w:oddVBand="0" w:evenVBand="0" w:oddHBand="0" w:evenHBand="0" w:firstRowFirstColumn="0" w:firstRowLastColumn="0" w:lastRowFirstColumn="0" w:lastRowLastColumn="0"/>
                <w:tcW w:w="951" w:type="dxa"/>
                <w:hideMark/>
              </w:tcPr>
              <w:p w14:paraId="528554B1" w14:textId="77777777" w:rsidR="004E260E" w:rsidRPr="00EE147E" w:rsidRDefault="004E260E" w:rsidP="00EA178A">
                <w:pPr>
                  <w:spacing w:after="0"/>
                  <w:rPr>
                    <w:rFonts w:eastAsia="Times New Roman" w:cstheme="minorHAnsi"/>
                    <w:sz w:val="16"/>
                    <w:szCs w:val="16"/>
                  </w:rPr>
                </w:pPr>
                <w:r w:rsidRPr="00EE147E">
                  <w:rPr>
                    <w:rFonts w:eastAsia="Times New Roman" w:cstheme="minorHAnsi"/>
                    <w:sz w:val="16"/>
                    <w:szCs w:val="16"/>
                  </w:rPr>
                  <w:t>Alasmari 2017</w:t>
                </w:r>
              </w:p>
            </w:tc>
            <w:tc>
              <w:tcPr>
                <w:tcW w:w="1494" w:type="dxa"/>
                <w:hideMark/>
              </w:tcPr>
              <w:p w14:paraId="600EED81" w14:textId="5E3AD24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EE147E">
                  <w:rPr>
                    <w:rFonts w:eastAsia="Times New Roman" w:cstheme="minorHAnsi"/>
                    <w:sz w:val="16"/>
                    <w:szCs w:val="16"/>
                  </w:rPr>
                  <w:t>To determine the effect of chronic exposure to EC vapour containing nicotine on GLT-1, xCT, and GLAST expression in FC, STR, and HIP in mice</w:t>
                </w:r>
                <w:r w:rsidR="00304924">
                  <w:rPr>
                    <w:rFonts w:eastAsia="Times New Roman" w:cstheme="minorHAnsi"/>
                    <w:sz w:val="16"/>
                    <w:szCs w:val="16"/>
                  </w:rPr>
                  <w:t>.</w:t>
                </w:r>
              </w:p>
            </w:tc>
            <w:tc>
              <w:tcPr>
                <w:tcW w:w="951" w:type="dxa"/>
                <w:hideMark/>
              </w:tcPr>
              <w:p w14:paraId="37BA5A96"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EE147E">
                  <w:rPr>
                    <w:rFonts w:eastAsia="Times New Roman" w:cstheme="minorHAnsi"/>
                    <w:sz w:val="16"/>
                    <w:szCs w:val="16"/>
                  </w:rPr>
                  <w:t>Mice (outbred)</w:t>
                </w:r>
              </w:p>
            </w:tc>
            <w:tc>
              <w:tcPr>
                <w:tcW w:w="885" w:type="dxa"/>
                <w:hideMark/>
              </w:tcPr>
              <w:p w14:paraId="0331F57A"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EE147E">
                  <w:rPr>
                    <w:rFonts w:eastAsia="Times New Roman" w:cstheme="minorHAnsi"/>
                    <w:sz w:val="16"/>
                    <w:szCs w:val="16"/>
                  </w:rPr>
                  <w:t>0</w:t>
                </w:r>
              </w:p>
            </w:tc>
            <w:tc>
              <w:tcPr>
                <w:tcW w:w="984" w:type="dxa"/>
                <w:hideMark/>
              </w:tcPr>
              <w:p w14:paraId="2EA2F9A7"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EE147E">
                  <w:rPr>
                    <w:rFonts w:eastAsia="Times New Roman" w:cstheme="minorHAnsi"/>
                    <w:sz w:val="16"/>
                    <w:szCs w:val="16"/>
                  </w:rPr>
                  <w:t>1 hr/d for 6 months</w:t>
                </w:r>
              </w:p>
            </w:tc>
            <w:tc>
              <w:tcPr>
                <w:tcW w:w="997" w:type="dxa"/>
                <w:hideMark/>
              </w:tcPr>
              <w:p w14:paraId="3D503537" w14:textId="4E818B9E"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EE147E">
                  <w:rPr>
                    <w:rFonts w:eastAsia="Times New Roman" w:cstheme="minorHAnsi"/>
                    <w:sz w:val="16"/>
                    <w:szCs w:val="16"/>
                  </w:rPr>
                  <w:t>Put in restraints</w:t>
                </w:r>
                <w:r w:rsidR="00304924">
                  <w:rPr>
                    <w:rFonts w:eastAsia="Times New Roman" w:cstheme="minorHAnsi"/>
                    <w:sz w:val="16"/>
                    <w:szCs w:val="16"/>
                  </w:rPr>
                  <w:t xml:space="preserve">, </w:t>
                </w:r>
                <w:r w:rsidRPr="00EE147E">
                  <w:rPr>
                    <w:rFonts w:eastAsia="Times New Roman" w:cstheme="minorHAnsi"/>
                    <w:sz w:val="16"/>
                    <w:szCs w:val="16"/>
                  </w:rPr>
                  <w:t>breathed room air</w:t>
                </w:r>
                <w:r w:rsidR="00304924">
                  <w:rPr>
                    <w:rFonts w:eastAsia="Times New Roman" w:cstheme="minorHAnsi"/>
                    <w:sz w:val="16"/>
                    <w:szCs w:val="16"/>
                  </w:rPr>
                  <w:t>.</w:t>
                </w:r>
              </w:p>
            </w:tc>
            <w:tc>
              <w:tcPr>
                <w:tcW w:w="1177" w:type="dxa"/>
                <w:hideMark/>
              </w:tcPr>
              <w:p w14:paraId="49165CA4" w14:textId="629A90E1"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EE147E">
                  <w:rPr>
                    <w:rFonts w:eastAsia="Times New Roman" w:cstheme="minorHAnsi"/>
                    <w:sz w:val="16"/>
                    <w:szCs w:val="16"/>
                  </w:rPr>
                  <w:t>Put in restraints, breathed EC vapour (24mg/mL nicotine)</w:t>
                </w:r>
                <w:r w:rsidR="00304924">
                  <w:rPr>
                    <w:rFonts w:eastAsia="Times New Roman" w:cstheme="minorHAnsi"/>
                    <w:sz w:val="16"/>
                    <w:szCs w:val="16"/>
                  </w:rPr>
                  <w:t>.</w:t>
                </w:r>
              </w:p>
            </w:tc>
            <w:tc>
              <w:tcPr>
                <w:tcW w:w="951" w:type="dxa"/>
              </w:tcPr>
              <w:p w14:paraId="79ECDB5D" w14:textId="1C633222"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EE147E">
                  <w:rPr>
                    <w:rFonts w:eastAsia="Times New Roman" w:cstheme="minorHAnsi"/>
                    <w:sz w:val="16"/>
                    <w:szCs w:val="16"/>
                  </w:rPr>
                  <w:t>Yes (as shown by cotinine levels)</w:t>
                </w:r>
                <w:r w:rsidR="00304924">
                  <w:rPr>
                    <w:rFonts w:eastAsia="Times New Roman" w:cstheme="minorHAnsi"/>
                    <w:sz w:val="16"/>
                    <w:szCs w:val="16"/>
                  </w:rPr>
                  <w:t>.</w:t>
                </w:r>
              </w:p>
            </w:tc>
            <w:tc>
              <w:tcPr>
                <w:tcW w:w="1359" w:type="dxa"/>
                <w:hideMark/>
              </w:tcPr>
              <w:p w14:paraId="0EA86C2F"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EE147E">
                  <w:rPr>
                    <w:rFonts w:eastAsia="Times New Roman" w:cstheme="minorHAnsi"/>
                    <w:sz w:val="16"/>
                    <w:szCs w:val="16"/>
                  </w:rPr>
                  <w:t>Mice were sacrificed and brain tissue harvested to detect changes in expression of a-7 nAChR, GLT-1, xCT, GLAST and nicotine and cotinine present.</w:t>
                </w:r>
              </w:p>
            </w:tc>
            <w:tc>
              <w:tcPr>
                <w:tcW w:w="3294" w:type="dxa"/>
                <w:hideMark/>
              </w:tcPr>
              <w:p w14:paraId="6E4B020A"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EE147E">
                  <w:rPr>
                    <w:rFonts w:eastAsia="Times New Roman" w:cstheme="minorHAnsi"/>
                    <w:sz w:val="16"/>
                    <w:szCs w:val="16"/>
                  </w:rPr>
                  <w:t xml:space="preserve">EC group had increased expression of a-7 nAChR in the FC and STR but not in the HIP, reduced expression of GLT-1 in the STR but not in the FC or HIP. xCT expression was decreased in the EC group in the STR and HIP but not in the FC. The EC group had higher nicotine and cotinine levels. </w:t>
                </w:r>
              </w:p>
              <w:p w14:paraId="4E9A37F6"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EE147E">
                  <w:rPr>
                    <w:rFonts w:eastAsia="Times New Roman" w:cstheme="minorHAnsi"/>
                    <w:sz w:val="16"/>
                    <w:szCs w:val="16"/>
                  </w:rPr>
                  <w:t xml:space="preserve">GLAST expression did not differ between groups for all three brain regions. </w:t>
                </w:r>
              </w:p>
            </w:tc>
            <w:tc>
              <w:tcPr>
                <w:tcW w:w="2267" w:type="dxa"/>
                <w:hideMark/>
              </w:tcPr>
              <w:p w14:paraId="0D61BBCD"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EE147E">
                  <w:rPr>
                    <w:rFonts w:eastAsia="Times New Roman" w:cstheme="minorHAnsi"/>
                    <w:sz w:val="16"/>
                    <w:szCs w:val="16"/>
                  </w:rPr>
                  <w:t>"These data demonstrated that nicotine exposure alters glial glutamate transporters as well as nicotinic receptors, which might be key proteins in the development of nicotine dependence."</w:t>
                </w:r>
              </w:p>
            </w:tc>
          </w:tr>
          <w:tr w:rsidR="004E260E" w:rsidRPr="00EE147E" w14:paraId="32F55213" w14:textId="77777777" w:rsidTr="007F3011">
            <w:trPr>
              <w:trHeight w:val="1419"/>
            </w:trPr>
            <w:tc>
              <w:tcPr>
                <w:cnfStyle w:val="001000000000" w:firstRow="0" w:lastRow="0" w:firstColumn="1" w:lastColumn="0" w:oddVBand="0" w:evenVBand="0" w:oddHBand="0" w:evenHBand="0" w:firstRowFirstColumn="0" w:firstRowLastColumn="0" w:lastRowFirstColumn="0" w:lastRowLastColumn="0"/>
                <w:tcW w:w="951" w:type="dxa"/>
              </w:tcPr>
              <w:p w14:paraId="19DA8B7F" w14:textId="77777777" w:rsidR="004E260E" w:rsidRPr="00EE147E" w:rsidRDefault="004E260E" w:rsidP="00EA178A">
                <w:pPr>
                  <w:spacing w:after="0"/>
                  <w:rPr>
                    <w:rFonts w:eastAsia="Times New Roman" w:cstheme="minorHAnsi"/>
                    <w:sz w:val="16"/>
                    <w:szCs w:val="16"/>
                  </w:rPr>
                </w:pPr>
                <w:r w:rsidRPr="00EE147E">
                  <w:rPr>
                    <w:rFonts w:cs="Calibri"/>
                    <w:sz w:val="16"/>
                    <w:szCs w:val="16"/>
                  </w:rPr>
                  <w:t>Canistro 2017</w:t>
                </w:r>
              </w:p>
            </w:tc>
            <w:tc>
              <w:tcPr>
                <w:tcW w:w="1494" w:type="dxa"/>
              </w:tcPr>
              <w:p w14:paraId="702638A9" w14:textId="38340102"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EE147E">
                  <w:rPr>
                    <w:rFonts w:cs="Calibri"/>
                    <w:sz w:val="16"/>
                    <w:szCs w:val="16"/>
                  </w:rPr>
                  <w:t>To determine if ECs cause in vivo toxicological effects which could contribute to cancer</w:t>
                </w:r>
                <w:r w:rsidR="00304924">
                  <w:rPr>
                    <w:rFonts w:cs="Calibri"/>
                    <w:sz w:val="16"/>
                    <w:szCs w:val="16"/>
                  </w:rPr>
                  <w:t>.</w:t>
                </w:r>
              </w:p>
            </w:tc>
            <w:tc>
              <w:tcPr>
                <w:tcW w:w="951" w:type="dxa"/>
              </w:tcPr>
              <w:p w14:paraId="0558AE13"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EE147E">
                  <w:rPr>
                    <w:rFonts w:cs="Calibri"/>
                    <w:sz w:val="16"/>
                    <w:szCs w:val="16"/>
                  </w:rPr>
                  <w:t>Rats (Sprague Dawley)</w:t>
                </w:r>
              </w:p>
            </w:tc>
            <w:tc>
              <w:tcPr>
                <w:tcW w:w="885" w:type="dxa"/>
              </w:tcPr>
              <w:p w14:paraId="361AB9FD"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EE147E">
                  <w:rPr>
                    <w:rFonts w:cs="Calibri"/>
                    <w:sz w:val="16"/>
                    <w:szCs w:val="16"/>
                  </w:rPr>
                  <w:t>100</w:t>
                </w:r>
              </w:p>
            </w:tc>
            <w:tc>
              <w:tcPr>
                <w:tcW w:w="984" w:type="dxa"/>
              </w:tcPr>
              <w:p w14:paraId="3A5DE365"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EE147E">
                  <w:rPr>
                    <w:rFonts w:cs="Calibri"/>
                    <w:sz w:val="16"/>
                    <w:szCs w:val="16"/>
                  </w:rPr>
                  <w:t>17 puffs every 20 mins, 5d/wk, 4 wks</w:t>
                </w:r>
              </w:p>
            </w:tc>
            <w:tc>
              <w:tcPr>
                <w:tcW w:w="997" w:type="dxa"/>
              </w:tcPr>
              <w:p w14:paraId="3EE97448" w14:textId="7ED8D4C4"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EE147E">
                  <w:rPr>
                    <w:rFonts w:cs="Calibri"/>
                    <w:sz w:val="16"/>
                    <w:szCs w:val="16"/>
                  </w:rPr>
                  <w:t>No exposure to EC substances</w:t>
                </w:r>
                <w:r w:rsidR="00304924">
                  <w:rPr>
                    <w:rFonts w:cs="Calibri"/>
                    <w:sz w:val="16"/>
                    <w:szCs w:val="16"/>
                  </w:rPr>
                  <w:t>.</w:t>
                </w:r>
              </w:p>
            </w:tc>
            <w:tc>
              <w:tcPr>
                <w:tcW w:w="1177" w:type="dxa"/>
              </w:tcPr>
              <w:p w14:paraId="1D1EB8CA" w14:textId="4BA81463"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EE147E">
                  <w:rPr>
                    <w:rFonts w:cs="Calibri"/>
                    <w:sz w:val="16"/>
                    <w:szCs w:val="16"/>
                  </w:rPr>
                  <w:t>EC vapour containing 18mg/mL</w:t>
                </w:r>
                <w:r w:rsidR="00304924">
                  <w:rPr>
                    <w:rFonts w:cs="Calibri"/>
                    <w:sz w:val="16"/>
                    <w:szCs w:val="16"/>
                  </w:rPr>
                  <w:t>.</w:t>
                </w:r>
              </w:p>
            </w:tc>
            <w:tc>
              <w:tcPr>
                <w:tcW w:w="951" w:type="dxa"/>
              </w:tcPr>
              <w:p w14:paraId="3EA3CD90" w14:textId="614B97C2"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EE147E">
                  <w:rPr>
                    <w:rFonts w:cs="Calibri"/>
                    <w:sz w:val="16"/>
                    <w:szCs w:val="16"/>
                  </w:rPr>
                  <w:t>No</w:t>
                </w:r>
                <w:r w:rsidR="00304924">
                  <w:rPr>
                    <w:rFonts w:cs="Calibri"/>
                    <w:sz w:val="16"/>
                    <w:szCs w:val="16"/>
                  </w:rPr>
                  <w:t>.</w:t>
                </w:r>
              </w:p>
            </w:tc>
            <w:tc>
              <w:tcPr>
                <w:tcW w:w="1359" w:type="dxa"/>
              </w:tcPr>
              <w:p w14:paraId="2D11DF49"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EE147E">
                  <w:rPr>
                    <w:rFonts w:eastAsia="Times New Roman" w:cstheme="minorHAnsi"/>
                    <w:sz w:val="16"/>
                    <w:szCs w:val="16"/>
                  </w:rPr>
                  <w:t>Mice were sacrificed and organs investigated.</w:t>
                </w:r>
              </w:p>
            </w:tc>
            <w:tc>
              <w:tcPr>
                <w:tcW w:w="3294" w:type="dxa"/>
              </w:tcPr>
              <w:p w14:paraId="21AFC26C"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EE147E">
                  <w:rPr>
                    <w:rFonts w:cs="Calibri"/>
                    <w:sz w:val="16"/>
                    <w:szCs w:val="16"/>
                  </w:rPr>
                  <w:t xml:space="preserve">Cytochrome P450 changes: increased CYP1A1/2, CYP2B1/2 and CYP3A in EC group only, which is related to increased cancer risk. </w:t>
                </w:r>
                <w:r w:rsidRPr="00EE147E">
                  <w:rPr>
                    <w:rFonts w:cs="Calibri"/>
                    <w:sz w:val="16"/>
                    <w:szCs w:val="16"/>
                  </w:rPr>
                  <w:br/>
                  <w:t xml:space="preserve">Only the EC group had increased ROS. Ferric reducing antioxidant power (FRAP) reduced in the lungs of the EC group. Fragmented DNA was more extensive in EC group. </w:t>
                </w:r>
              </w:p>
            </w:tc>
            <w:tc>
              <w:tcPr>
                <w:tcW w:w="2267" w:type="dxa"/>
              </w:tcPr>
              <w:p w14:paraId="6EC266F9"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EE147E">
                  <w:rPr>
                    <w:rFonts w:cs="Calibri"/>
                    <w:sz w:val="16"/>
                    <w:szCs w:val="16"/>
                  </w:rPr>
                  <w:t>"Our results demonstrate that exposure to e-cigarettes could endanger human health, particularly among younger more vulnerable consumers."</w:t>
                </w:r>
              </w:p>
            </w:tc>
          </w:tr>
          <w:tr w:rsidR="004E260E" w:rsidRPr="00EE147E" w14:paraId="236A0598" w14:textId="77777777" w:rsidTr="007F3011">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1" w:type="dxa"/>
                <w:noWrap/>
                <w:hideMark/>
              </w:tcPr>
              <w:p w14:paraId="085A60DF" w14:textId="77777777" w:rsidR="004E260E" w:rsidRPr="00EE147E" w:rsidRDefault="004E260E" w:rsidP="00EA178A">
                <w:pPr>
                  <w:spacing w:after="0"/>
                  <w:rPr>
                    <w:rFonts w:eastAsia="Times New Roman" w:cstheme="minorHAnsi"/>
                    <w:sz w:val="16"/>
                    <w:szCs w:val="16"/>
                  </w:rPr>
                </w:pPr>
                <w:r w:rsidRPr="00EE147E">
                  <w:rPr>
                    <w:rFonts w:eastAsia="Times New Roman" w:cstheme="minorHAnsi"/>
                    <w:sz w:val="16"/>
                    <w:szCs w:val="16"/>
                  </w:rPr>
                  <w:t>Chen 2018</w:t>
                </w:r>
              </w:p>
            </w:tc>
            <w:tc>
              <w:tcPr>
                <w:tcW w:w="1494" w:type="dxa"/>
                <w:hideMark/>
              </w:tcPr>
              <w:p w14:paraId="0E4306CF"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EE147E">
                  <w:rPr>
                    <w:rFonts w:eastAsia="Times New Roman" w:cstheme="minorHAnsi"/>
                    <w:sz w:val="16"/>
                    <w:szCs w:val="16"/>
                  </w:rPr>
                  <w:t>To develop a mouse model of maternal e-vapour exposure and investigate the impact on the growth and lung inflammation in both offspring and mothers.</w:t>
                </w:r>
              </w:p>
            </w:tc>
            <w:tc>
              <w:tcPr>
                <w:tcW w:w="951" w:type="dxa"/>
                <w:hideMark/>
              </w:tcPr>
              <w:p w14:paraId="3C68E4BA"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EE147E">
                  <w:rPr>
                    <w:rFonts w:eastAsia="Times New Roman" w:cstheme="minorHAnsi"/>
                    <w:sz w:val="16"/>
                    <w:szCs w:val="16"/>
                  </w:rPr>
                  <w:t>Mice (Balb/c)</w:t>
                </w:r>
              </w:p>
            </w:tc>
            <w:tc>
              <w:tcPr>
                <w:tcW w:w="885" w:type="dxa"/>
                <w:hideMark/>
              </w:tcPr>
              <w:p w14:paraId="1F1B8FE2"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EE147E">
                  <w:rPr>
                    <w:rFonts w:eastAsia="Times New Roman" w:cstheme="minorHAnsi"/>
                    <w:sz w:val="16"/>
                    <w:szCs w:val="16"/>
                  </w:rPr>
                  <w:t>Mothers: 0%</w:t>
                </w:r>
                <w:r w:rsidRPr="00EE147E">
                  <w:rPr>
                    <w:rFonts w:eastAsia="Times New Roman" w:cstheme="minorHAnsi"/>
                    <w:sz w:val="16"/>
                    <w:szCs w:val="16"/>
                  </w:rPr>
                  <w:br/>
                  <w:t>Offspring: 100%</w:t>
                </w:r>
              </w:p>
            </w:tc>
            <w:tc>
              <w:tcPr>
                <w:tcW w:w="984" w:type="dxa"/>
                <w:hideMark/>
              </w:tcPr>
              <w:p w14:paraId="7F6BA28C" w14:textId="2277555A"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EE147E">
                  <w:rPr>
                    <w:rFonts w:eastAsia="Times New Roman" w:cstheme="minorHAnsi"/>
                    <w:sz w:val="16"/>
                    <w:szCs w:val="16"/>
                  </w:rPr>
                  <w:t>2x 15mins/d for 6 wks before mating until pups weaned</w:t>
                </w:r>
                <w:r w:rsidR="00304924">
                  <w:rPr>
                    <w:rFonts w:eastAsia="Times New Roman" w:cstheme="minorHAnsi"/>
                    <w:sz w:val="16"/>
                    <w:szCs w:val="16"/>
                  </w:rPr>
                  <w:t>.</w:t>
                </w:r>
              </w:p>
            </w:tc>
            <w:tc>
              <w:tcPr>
                <w:tcW w:w="997" w:type="dxa"/>
                <w:hideMark/>
              </w:tcPr>
              <w:p w14:paraId="5F47BFB5" w14:textId="1D7BB096"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EE147E">
                  <w:rPr>
                    <w:rFonts w:eastAsia="Times New Roman" w:cstheme="minorHAnsi"/>
                    <w:sz w:val="16"/>
                    <w:szCs w:val="16"/>
                  </w:rPr>
                  <w:t>Exposed to room air</w:t>
                </w:r>
                <w:r w:rsidR="00304924">
                  <w:rPr>
                    <w:rFonts w:eastAsia="Times New Roman" w:cstheme="minorHAnsi"/>
                    <w:sz w:val="16"/>
                    <w:szCs w:val="16"/>
                  </w:rPr>
                  <w:t>.</w:t>
                </w:r>
              </w:p>
            </w:tc>
            <w:tc>
              <w:tcPr>
                <w:tcW w:w="1177" w:type="dxa"/>
                <w:hideMark/>
              </w:tcPr>
              <w:p w14:paraId="5E925D7E" w14:textId="70125A0E"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EE147E">
                  <w:rPr>
                    <w:rFonts w:eastAsia="Times New Roman" w:cstheme="minorHAnsi"/>
                    <w:sz w:val="16"/>
                    <w:szCs w:val="16"/>
                  </w:rPr>
                  <w:t>Exposed to nicotine-containing EC vapour OR nicotine free EC vapour</w:t>
                </w:r>
                <w:r w:rsidR="00304924">
                  <w:rPr>
                    <w:rFonts w:eastAsia="Times New Roman" w:cstheme="minorHAnsi"/>
                    <w:sz w:val="16"/>
                    <w:szCs w:val="16"/>
                  </w:rPr>
                  <w:t>.</w:t>
                </w:r>
              </w:p>
            </w:tc>
            <w:tc>
              <w:tcPr>
                <w:tcW w:w="951" w:type="dxa"/>
              </w:tcPr>
              <w:p w14:paraId="30198357" w14:textId="6E98A4DF"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EE147E">
                  <w:rPr>
                    <w:rFonts w:eastAsia="Times New Roman" w:cstheme="minorHAnsi"/>
                    <w:sz w:val="16"/>
                    <w:szCs w:val="16"/>
                  </w:rPr>
                  <w:t>Yes (as shown by cotinine levels)</w:t>
                </w:r>
                <w:r w:rsidR="00304924">
                  <w:rPr>
                    <w:rFonts w:eastAsia="Times New Roman" w:cstheme="minorHAnsi"/>
                    <w:sz w:val="16"/>
                    <w:szCs w:val="16"/>
                  </w:rPr>
                  <w:t>.</w:t>
                </w:r>
              </w:p>
            </w:tc>
            <w:tc>
              <w:tcPr>
                <w:tcW w:w="1359" w:type="dxa"/>
                <w:noWrap/>
                <w:hideMark/>
              </w:tcPr>
              <w:p w14:paraId="5DD06EE7"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EE147E">
                  <w:rPr>
                    <w:rFonts w:eastAsia="Times New Roman" w:cstheme="minorHAnsi"/>
                    <w:sz w:val="16"/>
                    <w:szCs w:val="16"/>
                  </w:rPr>
                  <w:t>N/A</w:t>
                </w:r>
              </w:p>
            </w:tc>
            <w:tc>
              <w:tcPr>
                <w:tcW w:w="3294" w:type="dxa"/>
                <w:hideMark/>
              </w:tcPr>
              <w:p w14:paraId="203B8D01"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EE147E">
                  <w:rPr>
                    <w:rFonts w:eastAsia="Times New Roman" w:cstheme="minorHAnsi"/>
                    <w:sz w:val="16"/>
                    <w:szCs w:val="16"/>
                  </w:rPr>
                  <w:t>Effects on mothers: Weight gain did not differ between nicotine-EC &amp; control, but nicotine-free EC group had 1/3 of the control weight gain. Liver weight did not differ. Retroperitoneal fat mass was lower and TNF-α and ErK1/2 were upregulated in EC groups compared with control. IL-1β increased in nicotine-containing EC group in comparison to the other conditions. IL-6 increased and JNK was upregulated in the nicotine-free EC group but not in the others. p38, p65 and NF-kB did differ between groups.</w:t>
                </w:r>
              </w:p>
              <w:p w14:paraId="279D2739"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EE147E">
                  <w:rPr>
                    <w:rFonts w:eastAsia="Times New Roman" w:cstheme="minorHAnsi"/>
                    <w:sz w:val="16"/>
                    <w:szCs w:val="16"/>
                  </w:rPr>
                  <w:t xml:space="preserve">Effects on off-spring: Results for body weight differed over the time period. </w:t>
                </w:r>
              </w:p>
              <w:p w14:paraId="52F6709A"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EE147E">
                  <w:rPr>
                    <w:rFonts w:eastAsia="Times New Roman" w:cstheme="minorHAnsi"/>
                    <w:sz w:val="16"/>
                    <w:szCs w:val="16"/>
                  </w:rPr>
                  <w:t xml:space="preserve">Cotinine levels were highest among the nicotine-exposed group. No significant differences were found between groups for ephrine B2 mRNA expression or IL-6. PDGF mRNA was upregulated, IL-1β was supressed, p38 increased and TNF-α was increased in the EC groups. JNK protein, p-p38 and p-Erk1/2 increased in the nicotine-containing EC group compared with the control. </w:t>
                </w:r>
              </w:p>
              <w:p w14:paraId="534A94F1"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EE147E">
                  <w:rPr>
                    <w:rFonts w:eastAsia="Times New Roman" w:cstheme="minorHAnsi"/>
                    <w:sz w:val="16"/>
                    <w:szCs w:val="16"/>
                  </w:rPr>
                  <w:lastRenderedPageBreak/>
                  <w:t>p-JNK protein increased in the nicotine-free EC group compared with the nicotine group. Global methylation and inflammatory cytokine expression increased in both EC groups. In the nicotine-free EC group, IL-5, IL-13 and TNF-α increased. No changes were observed for IL-α, IL-1β or IL-6 for any group.</w:t>
                </w:r>
              </w:p>
            </w:tc>
            <w:tc>
              <w:tcPr>
                <w:tcW w:w="2267" w:type="dxa"/>
                <w:hideMark/>
              </w:tcPr>
              <w:p w14:paraId="6F40C8F3" w14:textId="603B3C00" w:rsidR="004E260E" w:rsidRPr="00EE147E" w:rsidRDefault="004E260E">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EE147E">
                  <w:rPr>
                    <w:rFonts w:eastAsia="Times New Roman" w:cstheme="minorHAnsi"/>
                    <w:sz w:val="16"/>
                    <w:szCs w:val="16"/>
                  </w:rPr>
                  <w:lastRenderedPageBreak/>
                  <w:t xml:space="preserve">"In this study, we found that EC exposure during pregnancy adversely affected maternal and offspring lung health. As this occurred with both nicotine-free and nicotine-containing e-vapour, the effects are likely due to by-products of </w:t>
                </w:r>
                <w:r w:rsidR="00472F42">
                  <w:rPr>
                    <w:rFonts w:eastAsia="Times New Roman" w:cstheme="minorHAnsi"/>
                    <w:sz w:val="16"/>
                    <w:szCs w:val="16"/>
                  </w:rPr>
                  <w:t>vapour</w:t>
                </w:r>
                <w:r w:rsidR="00472F42" w:rsidRPr="00EE147E">
                  <w:rPr>
                    <w:rFonts w:eastAsia="Times New Roman" w:cstheme="minorHAnsi"/>
                    <w:sz w:val="16"/>
                    <w:szCs w:val="16"/>
                  </w:rPr>
                  <w:t xml:space="preserve"> </w:t>
                </w:r>
                <w:r w:rsidRPr="00EE147E">
                  <w:rPr>
                    <w:rFonts w:eastAsia="Times New Roman" w:cstheme="minorHAnsi"/>
                    <w:sz w:val="16"/>
                    <w:szCs w:val="16"/>
                  </w:rPr>
                  <w:t>rather than nicotine."</w:t>
                </w:r>
              </w:p>
            </w:tc>
          </w:tr>
          <w:tr w:rsidR="004E260E" w:rsidRPr="00EE147E" w14:paraId="756614AC" w14:textId="77777777" w:rsidTr="007F3011">
            <w:trPr>
              <w:trHeight w:val="1533"/>
            </w:trPr>
            <w:tc>
              <w:tcPr>
                <w:cnfStyle w:val="001000000000" w:firstRow="0" w:lastRow="0" w:firstColumn="1" w:lastColumn="0" w:oddVBand="0" w:evenVBand="0" w:oddHBand="0" w:evenHBand="0" w:firstRowFirstColumn="0" w:firstRowLastColumn="0" w:lastRowFirstColumn="0" w:lastRowLastColumn="0"/>
                <w:tcW w:w="951" w:type="dxa"/>
                <w:noWrap/>
              </w:tcPr>
              <w:p w14:paraId="356560AD" w14:textId="77777777" w:rsidR="004E260E" w:rsidRPr="00EE147E" w:rsidRDefault="004E260E" w:rsidP="00EA178A">
                <w:pPr>
                  <w:spacing w:after="0"/>
                  <w:rPr>
                    <w:rFonts w:eastAsia="Times New Roman" w:cstheme="minorHAnsi"/>
                    <w:sz w:val="16"/>
                    <w:szCs w:val="16"/>
                  </w:rPr>
                </w:pPr>
                <w:r w:rsidRPr="00EE147E">
                  <w:rPr>
                    <w:sz w:val="16"/>
                    <w:szCs w:val="16"/>
                  </w:rPr>
                  <w:t>Cobb 2018</w:t>
                </w:r>
              </w:p>
            </w:tc>
            <w:tc>
              <w:tcPr>
                <w:tcW w:w="1494" w:type="dxa"/>
              </w:tcPr>
              <w:p w14:paraId="0D3A9921" w14:textId="648D826B"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EE147E">
                  <w:rPr>
                    <w:rFonts w:eastAsia="Times New Roman" w:cstheme="minorHAnsi"/>
                    <w:sz w:val="16"/>
                    <w:szCs w:val="16"/>
                  </w:rPr>
                  <w:t>"</w:t>
                </w:r>
                <w:r w:rsidRPr="00EE147E">
                  <w:rPr>
                    <w:sz w:val="16"/>
                    <w:szCs w:val="16"/>
                  </w:rPr>
                  <w:t>To gauge the safety level of e</w:t>
                </w:r>
                <w:r w:rsidR="00353B8B">
                  <w:rPr>
                    <w:sz w:val="16"/>
                    <w:szCs w:val="16"/>
                  </w:rPr>
                  <w:noBreakHyphen/>
                </w:r>
                <w:r w:rsidRPr="00EE147E">
                  <w:rPr>
                    <w:sz w:val="16"/>
                    <w:szCs w:val="16"/>
                  </w:rPr>
                  <w:t>cigarettes as a 'harm reduction' alternative to conventional cigarettes.</w:t>
                </w:r>
                <w:r w:rsidRPr="00EE147E">
                  <w:rPr>
                    <w:rFonts w:eastAsia="Times New Roman" w:cstheme="minorHAnsi"/>
                    <w:sz w:val="16"/>
                    <w:szCs w:val="16"/>
                  </w:rPr>
                  <w:t xml:space="preserve">" </w:t>
                </w:r>
                <w:r w:rsidRPr="00EE147E">
                  <w:rPr>
                    <w:sz w:val="16"/>
                    <w:szCs w:val="16"/>
                  </w:rPr>
                  <w:t>Compared heavy metal exposure (via metallothioneins (MT)) and ROS exposure in e</w:t>
                </w:r>
                <w:r w:rsidR="00304924">
                  <w:rPr>
                    <w:sz w:val="16"/>
                    <w:szCs w:val="16"/>
                  </w:rPr>
                  <w:noBreakHyphen/>
                </w:r>
                <w:r w:rsidRPr="00EE147E">
                  <w:rPr>
                    <w:sz w:val="16"/>
                    <w:szCs w:val="16"/>
                  </w:rPr>
                  <w:t>cigarettes and tobacco smoke.</w:t>
                </w:r>
              </w:p>
            </w:tc>
            <w:tc>
              <w:tcPr>
                <w:tcW w:w="951" w:type="dxa"/>
              </w:tcPr>
              <w:p w14:paraId="1C113705"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EE147E">
                  <w:rPr>
                    <w:sz w:val="16"/>
                    <w:szCs w:val="16"/>
                  </w:rPr>
                  <w:t>L4 larvae from C. elegans (nematode)</w:t>
                </w:r>
              </w:p>
            </w:tc>
            <w:tc>
              <w:tcPr>
                <w:tcW w:w="885" w:type="dxa"/>
                <w:noWrap/>
              </w:tcPr>
              <w:p w14:paraId="5B787EDA"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EE147E">
                  <w:rPr>
                    <w:sz w:val="16"/>
                    <w:szCs w:val="16"/>
                  </w:rPr>
                  <w:t>N/A</w:t>
                </w:r>
              </w:p>
            </w:tc>
            <w:tc>
              <w:tcPr>
                <w:tcW w:w="984" w:type="dxa"/>
              </w:tcPr>
              <w:p w14:paraId="38A74856"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EE147E">
                  <w:rPr>
                    <w:sz w:val="16"/>
                    <w:szCs w:val="16"/>
                  </w:rPr>
                  <w:t>NR</w:t>
                </w:r>
              </w:p>
            </w:tc>
            <w:tc>
              <w:tcPr>
                <w:tcW w:w="997" w:type="dxa"/>
              </w:tcPr>
              <w:p w14:paraId="048EEE9A" w14:textId="7728724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EE147E">
                  <w:rPr>
                    <w:sz w:val="16"/>
                    <w:szCs w:val="16"/>
                  </w:rPr>
                  <w:t>Exposed to 30 puffs of air</w:t>
                </w:r>
                <w:r w:rsidR="00304924">
                  <w:rPr>
                    <w:sz w:val="16"/>
                    <w:szCs w:val="16"/>
                  </w:rPr>
                  <w:t>.</w:t>
                </w:r>
              </w:p>
            </w:tc>
            <w:tc>
              <w:tcPr>
                <w:tcW w:w="1177" w:type="dxa"/>
              </w:tcPr>
              <w:p w14:paraId="7A6437E0" w14:textId="23D139C9"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EE147E">
                  <w:rPr>
                    <w:sz w:val="16"/>
                    <w:szCs w:val="16"/>
                  </w:rPr>
                  <w:t>Exposed to 15, 30 or 45 puffs of e</w:t>
                </w:r>
                <w:r w:rsidR="00353B8B">
                  <w:rPr>
                    <w:sz w:val="16"/>
                    <w:szCs w:val="16"/>
                  </w:rPr>
                  <w:noBreakHyphen/>
                </w:r>
                <w:r w:rsidRPr="00EE147E">
                  <w:rPr>
                    <w:sz w:val="16"/>
                    <w:szCs w:val="16"/>
                  </w:rPr>
                  <w:t>cigarette vapour or cigarette smoke</w:t>
                </w:r>
                <w:r w:rsidR="00304924">
                  <w:rPr>
                    <w:sz w:val="16"/>
                    <w:szCs w:val="16"/>
                  </w:rPr>
                  <w:t>.</w:t>
                </w:r>
              </w:p>
            </w:tc>
            <w:tc>
              <w:tcPr>
                <w:tcW w:w="951" w:type="dxa"/>
              </w:tcPr>
              <w:p w14:paraId="71C07379"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EE147E">
                  <w:rPr>
                    <w:sz w:val="16"/>
                    <w:szCs w:val="16"/>
                  </w:rPr>
                  <w:t>NR</w:t>
                </w:r>
              </w:p>
            </w:tc>
            <w:tc>
              <w:tcPr>
                <w:tcW w:w="1359" w:type="dxa"/>
              </w:tcPr>
              <w:p w14:paraId="7F1AE6C2"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EE147E">
                  <w:rPr>
                    <w:sz w:val="16"/>
                    <w:szCs w:val="16"/>
                  </w:rPr>
                  <w:t>Used a pharyngeal pumping assay to determine if the nematodes had undergone stress-induced sleep. Also conducted RNA isolation and RT-PCR.</w:t>
                </w:r>
              </w:p>
            </w:tc>
            <w:tc>
              <w:tcPr>
                <w:tcW w:w="3294" w:type="dxa"/>
              </w:tcPr>
              <w:p w14:paraId="46139FC8" w14:textId="2CA2919D"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EE147E">
                  <w:rPr>
                    <w:sz w:val="16"/>
                    <w:szCs w:val="16"/>
                  </w:rPr>
                  <w:t>Movement post-cigarette exposure was reduced but not after e-cigarette vapour or the control. Exposure to cigarette smoke resulted in dose-dependent increases in stress-induced sleep in the nematodes, e-cigarette vapour and the control did not. Cigarette smoke induced mtl-1 expression, e-cigarette vapour did not. No condition induced mtl-2 expression. This indicates increased ROS presence after exposure to cigarette smoke but not e</w:t>
                </w:r>
                <w:r w:rsidR="00353B8B">
                  <w:rPr>
                    <w:sz w:val="16"/>
                    <w:szCs w:val="16"/>
                  </w:rPr>
                  <w:noBreakHyphen/>
                </w:r>
                <w:r w:rsidRPr="00EE147E">
                  <w:rPr>
                    <w:sz w:val="16"/>
                    <w:szCs w:val="16"/>
                  </w:rPr>
                  <w:t>cigarettes.</w:t>
                </w:r>
              </w:p>
            </w:tc>
            <w:tc>
              <w:tcPr>
                <w:tcW w:w="2267" w:type="dxa"/>
              </w:tcPr>
              <w:p w14:paraId="79E58682" w14:textId="195C89D5"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EE147E">
                  <w:rPr>
                    <w:rFonts w:eastAsia="Times New Roman" w:cstheme="minorHAnsi"/>
                    <w:sz w:val="16"/>
                    <w:szCs w:val="16"/>
                  </w:rPr>
                  <w:t>"</w:t>
                </w:r>
                <w:r w:rsidRPr="00EE147E">
                  <w:rPr>
                    <w:sz w:val="16"/>
                    <w:szCs w:val="16"/>
                  </w:rPr>
                  <w:t>The data demonstrate that e-cigarettes do not induce a stress response and that no MT expression was found, suggesting little to no ROS present after exposure... These data, along with previous studies, suggest that e</w:t>
                </w:r>
                <w:r w:rsidR="00353B8B">
                  <w:rPr>
                    <w:sz w:val="16"/>
                    <w:szCs w:val="16"/>
                  </w:rPr>
                  <w:noBreakHyphen/>
                </w:r>
                <w:r w:rsidRPr="00EE147E">
                  <w:rPr>
                    <w:sz w:val="16"/>
                    <w:szCs w:val="16"/>
                  </w:rPr>
                  <w:t>cigarettes, although not completely harmless, may be a safer alternative to conventional cigarettes.</w:t>
                </w:r>
                <w:r w:rsidRPr="00EE147E">
                  <w:rPr>
                    <w:rFonts w:eastAsia="Times New Roman" w:cstheme="minorHAnsi"/>
                    <w:sz w:val="16"/>
                    <w:szCs w:val="16"/>
                  </w:rPr>
                  <w:t>"</w:t>
                </w:r>
              </w:p>
            </w:tc>
          </w:tr>
          <w:tr w:rsidR="004E260E" w:rsidRPr="00EE147E" w14:paraId="28BFA6C5" w14:textId="77777777" w:rsidTr="007F3011">
            <w:trPr>
              <w:cnfStyle w:val="000000100000" w:firstRow="0" w:lastRow="0" w:firstColumn="0" w:lastColumn="0" w:oddVBand="0" w:evenVBand="0" w:oddHBand="1" w:evenHBand="0" w:firstRowFirstColumn="0" w:firstRowLastColumn="0" w:lastRowFirstColumn="0" w:lastRowLastColumn="0"/>
              <w:trHeight w:val="1533"/>
            </w:trPr>
            <w:tc>
              <w:tcPr>
                <w:cnfStyle w:val="001000000000" w:firstRow="0" w:lastRow="0" w:firstColumn="1" w:lastColumn="0" w:oddVBand="0" w:evenVBand="0" w:oddHBand="0" w:evenHBand="0" w:firstRowFirstColumn="0" w:firstRowLastColumn="0" w:lastRowFirstColumn="0" w:lastRowLastColumn="0"/>
                <w:tcW w:w="951" w:type="dxa"/>
                <w:noWrap/>
                <w:hideMark/>
              </w:tcPr>
              <w:p w14:paraId="6833F69B" w14:textId="77777777" w:rsidR="004E260E" w:rsidRPr="00EE147E" w:rsidRDefault="004E260E" w:rsidP="00EA178A">
                <w:pPr>
                  <w:spacing w:after="0"/>
                  <w:rPr>
                    <w:rFonts w:eastAsia="Times New Roman" w:cstheme="minorHAnsi"/>
                    <w:sz w:val="16"/>
                    <w:szCs w:val="16"/>
                  </w:rPr>
                </w:pPr>
                <w:r w:rsidRPr="00EE147E">
                  <w:rPr>
                    <w:rFonts w:eastAsia="Times New Roman" w:cstheme="minorHAnsi"/>
                    <w:sz w:val="16"/>
                    <w:szCs w:val="16"/>
                  </w:rPr>
                  <w:t>Crotty Alexander 2018</w:t>
                </w:r>
              </w:p>
            </w:tc>
            <w:tc>
              <w:tcPr>
                <w:tcW w:w="1494" w:type="dxa"/>
                <w:hideMark/>
              </w:tcPr>
              <w:p w14:paraId="2C887658"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EE147E">
                  <w:rPr>
                    <w:rFonts w:eastAsia="Times New Roman" w:cstheme="minorHAnsi"/>
                    <w:sz w:val="16"/>
                    <w:szCs w:val="16"/>
                  </w:rPr>
                  <w:t>To determine if exposure to EC vapour components alters barrier function of airway epithelium, inflammatory release and organ injury.</w:t>
                </w:r>
              </w:p>
            </w:tc>
            <w:tc>
              <w:tcPr>
                <w:tcW w:w="951" w:type="dxa"/>
                <w:hideMark/>
              </w:tcPr>
              <w:p w14:paraId="0A30E63D"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EE147E">
                  <w:rPr>
                    <w:rFonts w:eastAsia="Times New Roman" w:cstheme="minorHAnsi"/>
                    <w:sz w:val="16"/>
                    <w:szCs w:val="16"/>
                  </w:rPr>
                  <w:t>Mice (C57BL/6 and CD-1)</w:t>
                </w:r>
              </w:p>
            </w:tc>
            <w:tc>
              <w:tcPr>
                <w:tcW w:w="885" w:type="dxa"/>
                <w:noWrap/>
                <w:hideMark/>
              </w:tcPr>
              <w:p w14:paraId="10FD6497"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EE147E">
                  <w:rPr>
                    <w:rFonts w:eastAsia="Times New Roman" w:cstheme="minorHAnsi"/>
                    <w:sz w:val="16"/>
                    <w:szCs w:val="16"/>
                  </w:rPr>
                  <w:t>0</w:t>
                </w:r>
              </w:p>
            </w:tc>
            <w:tc>
              <w:tcPr>
                <w:tcW w:w="984" w:type="dxa"/>
                <w:hideMark/>
              </w:tcPr>
              <w:p w14:paraId="6408B1B2"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EE147E">
                  <w:rPr>
                    <w:rFonts w:eastAsia="Times New Roman" w:cstheme="minorHAnsi"/>
                    <w:sz w:val="16"/>
                    <w:szCs w:val="16"/>
                  </w:rPr>
                  <w:t>5 d/wk, for 3-6 months</w:t>
                </w:r>
              </w:p>
            </w:tc>
            <w:tc>
              <w:tcPr>
                <w:tcW w:w="997" w:type="dxa"/>
                <w:hideMark/>
              </w:tcPr>
              <w:p w14:paraId="3C95E663" w14:textId="2AF3D749"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EE147E">
                  <w:rPr>
                    <w:rFonts w:eastAsia="Times New Roman" w:cstheme="minorHAnsi"/>
                    <w:sz w:val="16"/>
                    <w:szCs w:val="16"/>
                  </w:rPr>
                  <w:t>Put in restraints, breathed room air</w:t>
                </w:r>
                <w:r w:rsidR="00304924">
                  <w:rPr>
                    <w:rFonts w:eastAsia="Times New Roman" w:cstheme="minorHAnsi"/>
                    <w:sz w:val="16"/>
                    <w:szCs w:val="16"/>
                  </w:rPr>
                  <w:t>.</w:t>
                </w:r>
              </w:p>
            </w:tc>
            <w:tc>
              <w:tcPr>
                <w:tcW w:w="1177" w:type="dxa"/>
                <w:hideMark/>
              </w:tcPr>
              <w:p w14:paraId="5DB42CF2" w14:textId="4921859D"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EE147E">
                  <w:rPr>
                    <w:rFonts w:eastAsia="Times New Roman" w:cstheme="minorHAnsi"/>
                    <w:sz w:val="16"/>
                    <w:szCs w:val="16"/>
                  </w:rPr>
                  <w:t>Put in restraints, breathed EC vapour</w:t>
                </w:r>
                <w:r w:rsidR="00304924">
                  <w:rPr>
                    <w:rFonts w:eastAsia="Times New Roman" w:cstheme="minorHAnsi"/>
                    <w:sz w:val="16"/>
                    <w:szCs w:val="16"/>
                  </w:rPr>
                  <w:t>.</w:t>
                </w:r>
              </w:p>
            </w:tc>
            <w:tc>
              <w:tcPr>
                <w:tcW w:w="951" w:type="dxa"/>
              </w:tcPr>
              <w:p w14:paraId="642D169B"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EE147E">
                  <w:rPr>
                    <w:rFonts w:eastAsia="Times New Roman" w:cstheme="minorHAnsi"/>
                    <w:sz w:val="16"/>
                    <w:szCs w:val="16"/>
                  </w:rPr>
                  <w:t>Yes (study designed to imitate human use)</w:t>
                </w:r>
              </w:p>
            </w:tc>
            <w:tc>
              <w:tcPr>
                <w:tcW w:w="1359" w:type="dxa"/>
                <w:hideMark/>
              </w:tcPr>
              <w:p w14:paraId="30C91838"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EE147E">
                  <w:rPr>
                    <w:rFonts w:eastAsia="Times New Roman" w:cstheme="minorHAnsi"/>
                    <w:sz w:val="16"/>
                    <w:szCs w:val="16"/>
                  </w:rPr>
                  <w:t>GFR and cardiac function assessed one week prior to sacrifice. All other measures assessed after sacrifice.</w:t>
                </w:r>
              </w:p>
            </w:tc>
            <w:tc>
              <w:tcPr>
                <w:tcW w:w="3294" w:type="dxa"/>
                <w:hideMark/>
              </w:tcPr>
              <w:p w14:paraId="2DB2E301"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EE147E">
                  <w:rPr>
                    <w:rFonts w:eastAsia="Times New Roman" w:cstheme="minorHAnsi"/>
                    <w:sz w:val="16"/>
                    <w:szCs w:val="16"/>
                  </w:rPr>
                  <w:t>EC-exposed group had: Increased levels of circulating inflammatory cytokines in the lungs, including DPPIV. Elevated cotinine. Renal dysfunction, fibrosis and increased expression of pro-fibrotic factors. Fibrosis of the heart and increased blood pressure. Higher levels of hepatic fibrosis.</w:t>
                </w:r>
              </w:p>
            </w:tc>
            <w:tc>
              <w:tcPr>
                <w:tcW w:w="2267" w:type="dxa"/>
                <w:hideMark/>
              </w:tcPr>
              <w:p w14:paraId="42BB5BDB"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EE147E">
                  <w:rPr>
                    <w:rFonts w:eastAsia="Times New Roman" w:cstheme="minorHAnsi"/>
                    <w:sz w:val="16"/>
                    <w:szCs w:val="16"/>
                  </w:rPr>
                  <w:t>"These data demonstrate that chronic inhalation of EV may lead to increased inflammation, organ damage, and cardiorenal and hepatic disease."</w:t>
                </w:r>
              </w:p>
            </w:tc>
          </w:tr>
          <w:tr w:rsidR="004E260E" w:rsidRPr="00EE147E" w14:paraId="543B8930" w14:textId="77777777" w:rsidTr="007F3011">
            <w:trPr>
              <w:trHeight w:val="122"/>
            </w:trPr>
            <w:tc>
              <w:tcPr>
                <w:cnfStyle w:val="001000000000" w:firstRow="0" w:lastRow="0" w:firstColumn="1" w:lastColumn="0" w:oddVBand="0" w:evenVBand="0" w:oddHBand="0" w:evenHBand="0" w:firstRowFirstColumn="0" w:firstRowLastColumn="0" w:lastRowFirstColumn="0" w:lastRowLastColumn="0"/>
                <w:tcW w:w="951" w:type="dxa"/>
                <w:noWrap/>
                <w:hideMark/>
              </w:tcPr>
              <w:p w14:paraId="5B6D8E9C" w14:textId="77777777" w:rsidR="004E260E" w:rsidRPr="00EE147E" w:rsidRDefault="004E260E" w:rsidP="00EA178A">
                <w:pPr>
                  <w:spacing w:after="0"/>
                  <w:rPr>
                    <w:rFonts w:eastAsia="Times New Roman" w:cstheme="minorHAnsi"/>
                    <w:sz w:val="16"/>
                    <w:szCs w:val="16"/>
                  </w:rPr>
                </w:pPr>
                <w:r w:rsidRPr="00EE147E">
                  <w:rPr>
                    <w:rFonts w:eastAsia="Times New Roman" w:cstheme="minorHAnsi"/>
                    <w:sz w:val="16"/>
                    <w:szCs w:val="16"/>
                  </w:rPr>
                  <w:t>Harris 2018</w:t>
                </w:r>
              </w:p>
            </w:tc>
            <w:tc>
              <w:tcPr>
                <w:tcW w:w="1494" w:type="dxa"/>
                <w:hideMark/>
              </w:tcPr>
              <w:p w14:paraId="1504D59C"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EE147E">
                  <w:rPr>
                    <w:rFonts w:eastAsia="Times New Roman" w:cstheme="minorHAnsi"/>
                    <w:sz w:val="16"/>
                    <w:szCs w:val="16"/>
                  </w:rPr>
                  <w:t>To assess the ICSS response from nicotine and ECs, as well as binding affinity of nicotine and EC liquids at nAChRs.</w:t>
                </w:r>
              </w:p>
            </w:tc>
            <w:tc>
              <w:tcPr>
                <w:tcW w:w="951" w:type="dxa"/>
                <w:hideMark/>
              </w:tcPr>
              <w:p w14:paraId="75837A77"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EE147E">
                  <w:rPr>
                    <w:rFonts w:eastAsia="Times New Roman" w:cstheme="minorHAnsi"/>
                    <w:sz w:val="16"/>
                    <w:szCs w:val="16"/>
                  </w:rPr>
                  <w:t>Rats (Holtzman)</w:t>
                </w:r>
              </w:p>
            </w:tc>
            <w:tc>
              <w:tcPr>
                <w:tcW w:w="885" w:type="dxa"/>
                <w:noWrap/>
                <w:hideMark/>
              </w:tcPr>
              <w:p w14:paraId="4FFE1B4B"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EE147E">
                  <w:rPr>
                    <w:rFonts w:eastAsia="Times New Roman" w:cstheme="minorHAnsi"/>
                    <w:sz w:val="16"/>
                    <w:szCs w:val="16"/>
                  </w:rPr>
                  <w:t>100</w:t>
                </w:r>
              </w:p>
            </w:tc>
            <w:tc>
              <w:tcPr>
                <w:tcW w:w="984" w:type="dxa"/>
                <w:noWrap/>
                <w:hideMark/>
              </w:tcPr>
              <w:p w14:paraId="6269F405"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EE147E">
                  <w:rPr>
                    <w:rFonts w:eastAsia="Times New Roman" w:cstheme="minorHAnsi"/>
                    <w:sz w:val="16"/>
                    <w:szCs w:val="16"/>
                  </w:rPr>
                  <w:t>Duration varied</w:t>
                </w:r>
              </w:p>
            </w:tc>
            <w:tc>
              <w:tcPr>
                <w:tcW w:w="997" w:type="dxa"/>
                <w:noWrap/>
                <w:hideMark/>
              </w:tcPr>
              <w:p w14:paraId="15C3539D"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EE147E">
                  <w:rPr>
                    <w:rFonts w:eastAsia="Times New Roman" w:cstheme="minorHAnsi"/>
                    <w:sz w:val="16"/>
                    <w:szCs w:val="16"/>
                  </w:rPr>
                  <w:t>Nicotine, administered IV</w:t>
                </w:r>
              </w:p>
            </w:tc>
            <w:tc>
              <w:tcPr>
                <w:tcW w:w="1177" w:type="dxa"/>
                <w:hideMark/>
              </w:tcPr>
              <w:p w14:paraId="016B61D1"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EE147E">
                  <w:rPr>
                    <w:rFonts w:eastAsia="Times New Roman" w:cstheme="minorHAnsi"/>
                    <w:sz w:val="16"/>
                    <w:szCs w:val="16"/>
                  </w:rPr>
                  <w:t>Janty or NicVape nicotine-containing EC liquid OR Janty OR NicVape nicotine-free EC liquid, IV administered.</w:t>
                </w:r>
              </w:p>
            </w:tc>
            <w:tc>
              <w:tcPr>
                <w:tcW w:w="951" w:type="dxa"/>
              </w:tcPr>
              <w:p w14:paraId="0F942FBF"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EE147E">
                  <w:rPr>
                    <w:rFonts w:eastAsia="Times New Roman" w:cstheme="minorHAnsi"/>
                    <w:sz w:val="16"/>
                    <w:szCs w:val="16"/>
                  </w:rPr>
                  <w:t>NR</w:t>
                </w:r>
              </w:p>
            </w:tc>
            <w:tc>
              <w:tcPr>
                <w:tcW w:w="1359" w:type="dxa"/>
                <w:hideMark/>
              </w:tcPr>
              <w:p w14:paraId="42F87B4B"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EE147E">
                  <w:rPr>
                    <w:rFonts w:eastAsia="Times New Roman" w:cstheme="minorHAnsi"/>
                    <w:sz w:val="16"/>
                    <w:szCs w:val="16"/>
                  </w:rPr>
                  <w:t>Rats had electrodes implanted into the medial forebrain bundle and were trained to respond to electrical brain stimulation.</w:t>
                </w:r>
              </w:p>
            </w:tc>
            <w:tc>
              <w:tcPr>
                <w:tcW w:w="3294" w:type="dxa"/>
                <w:hideMark/>
              </w:tcPr>
              <w:p w14:paraId="519EC778"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EE147E">
                  <w:rPr>
                    <w:rFonts w:eastAsia="Times New Roman" w:cstheme="minorHAnsi"/>
                    <w:sz w:val="16"/>
                    <w:szCs w:val="16"/>
                  </w:rPr>
                  <w:t>Nicotine-containing liquids led to similar reductions of ICSS thresholds. Nicotine-free EC liquids did not affect ICSS. However, all EC liquids bound with nAChRs, leading to its partial inhibition.</w:t>
                </w:r>
              </w:p>
            </w:tc>
            <w:tc>
              <w:tcPr>
                <w:tcW w:w="2267" w:type="dxa"/>
                <w:hideMark/>
              </w:tcPr>
              <w:p w14:paraId="5357393C"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EE147E">
                  <w:rPr>
                    <w:rFonts w:eastAsia="Times New Roman" w:cstheme="minorHAnsi"/>
                    <w:sz w:val="16"/>
                    <w:szCs w:val="16"/>
                  </w:rPr>
                  <w:t>"These findings suggest that non-nicotine constituents in these EC liquids do not contribute to their reinforcement-enhancing effects. However, they may attenuate nicotine’s acute aversive/ anhedonic and/or toxic effects, which may moderate the abuse liability and/or toxicity of ECs."</w:t>
                </w:r>
              </w:p>
            </w:tc>
          </w:tr>
          <w:tr w:rsidR="004E260E" w:rsidRPr="00EE147E" w14:paraId="22B2E44A" w14:textId="77777777" w:rsidTr="007F3011">
            <w:trPr>
              <w:cnfStyle w:val="000000100000" w:firstRow="0" w:lastRow="0" w:firstColumn="0" w:lastColumn="0" w:oddVBand="0" w:evenVBand="0" w:oddHBand="1" w:evenHBand="0" w:firstRowFirstColumn="0" w:firstRowLastColumn="0" w:lastRowFirstColumn="0" w:lastRowLastColumn="0"/>
              <w:trHeight w:val="880"/>
            </w:trPr>
            <w:tc>
              <w:tcPr>
                <w:cnfStyle w:val="001000000000" w:firstRow="0" w:lastRow="0" w:firstColumn="1" w:lastColumn="0" w:oddVBand="0" w:evenVBand="0" w:oddHBand="0" w:evenHBand="0" w:firstRowFirstColumn="0" w:firstRowLastColumn="0" w:lastRowFirstColumn="0" w:lastRowLastColumn="0"/>
                <w:tcW w:w="951" w:type="dxa"/>
                <w:noWrap/>
              </w:tcPr>
              <w:p w14:paraId="0B0AE0D7" w14:textId="77777777" w:rsidR="004E260E" w:rsidRPr="00EE147E" w:rsidRDefault="004E260E" w:rsidP="00EA178A">
                <w:pPr>
                  <w:spacing w:after="0"/>
                  <w:rPr>
                    <w:rFonts w:eastAsia="Times New Roman" w:cstheme="minorHAnsi"/>
                    <w:sz w:val="16"/>
                    <w:szCs w:val="16"/>
                  </w:rPr>
                </w:pPr>
                <w:r w:rsidRPr="00EE147E">
                  <w:rPr>
                    <w:sz w:val="16"/>
                    <w:szCs w:val="16"/>
                  </w:rPr>
                  <w:lastRenderedPageBreak/>
                  <w:t>Kaisar 2017</w:t>
                </w:r>
              </w:p>
            </w:tc>
            <w:tc>
              <w:tcPr>
                <w:tcW w:w="1494" w:type="dxa"/>
              </w:tcPr>
              <w:p w14:paraId="3B6048E2"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EE147E">
                  <w:rPr>
                    <w:sz w:val="16"/>
                    <w:szCs w:val="16"/>
                  </w:rPr>
                  <w:t>To investigate EC vaping and blood-brain barrier (BBB) integrity and vascular inflammation and the influence of Metformin on these processes.</w:t>
                </w:r>
              </w:p>
            </w:tc>
            <w:tc>
              <w:tcPr>
                <w:tcW w:w="951" w:type="dxa"/>
              </w:tcPr>
              <w:p w14:paraId="77D8E974"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EE147E">
                  <w:rPr>
                    <w:sz w:val="16"/>
                    <w:szCs w:val="16"/>
                  </w:rPr>
                  <w:t>Mice</w:t>
                </w:r>
              </w:p>
            </w:tc>
            <w:tc>
              <w:tcPr>
                <w:tcW w:w="885" w:type="dxa"/>
                <w:noWrap/>
              </w:tcPr>
              <w:p w14:paraId="578101CC"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EE147E">
                  <w:rPr>
                    <w:rFonts w:eastAsia="Times New Roman" w:cstheme="minorHAnsi"/>
                    <w:sz w:val="16"/>
                    <w:szCs w:val="16"/>
                  </w:rPr>
                  <w:t>100</w:t>
                </w:r>
              </w:p>
            </w:tc>
            <w:tc>
              <w:tcPr>
                <w:tcW w:w="984" w:type="dxa"/>
                <w:noWrap/>
              </w:tcPr>
              <w:p w14:paraId="0B2ED64A"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EE147E">
                  <w:rPr>
                    <w:sz w:val="16"/>
                    <w:szCs w:val="16"/>
                  </w:rPr>
                  <w:t>6x/d, 7d/wk, 2wks</w:t>
                </w:r>
              </w:p>
            </w:tc>
            <w:tc>
              <w:tcPr>
                <w:tcW w:w="997" w:type="dxa"/>
                <w:noWrap/>
              </w:tcPr>
              <w:p w14:paraId="1EDF8CEE"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EE147E">
                  <w:rPr>
                    <w:sz w:val="16"/>
                    <w:szCs w:val="16"/>
                  </w:rPr>
                  <w:t>Oxygenated air</w:t>
                </w:r>
              </w:p>
            </w:tc>
            <w:tc>
              <w:tcPr>
                <w:tcW w:w="1177" w:type="dxa"/>
              </w:tcPr>
              <w:p w14:paraId="012E5B36" w14:textId="03EAB3CC"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EE147E">
                  <w:rPr>
                    <w:sz w:val="16"/>
                    <w:szCs w:val="16"/>
                  </w:rPr>
                  <w:t>CIG smoke OR EC vapour</w:t>
                </w:r>
                <w:r w:rsidR="000B0B63">
                  <w:rPr>
                    <w:sz w:val="16"/>
                    <w:szCs w:val="16"/>
                  </w:rPr>
                  <w:t>.</w:t>
                </w:r>
              </w:p>
            </w:tc>
            <w:tc>
              <w:tcPr>
                <w:tcW w:w="951" w:type="dxa"/>
              </w:tcPr>
              <w:p w14:paraId="6A6DC470"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EE147E">
                  <w:rPr>
                    <w:sz w:val="16"/>
                    <w:szCs w:val="16"/>
                  </w:rPr>
                  <w:t>NR</w:t>
                </w:r>
              </w:p>
            </w:tc>
            <w:tc>
              <w:tcPr>
                <w:tcW w:w="1359" w:type="dxa"/>
              </w:tcPr>
              <w:p w14:paraId="1015E1C5"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EE147E">
                  <w:rPr>
                    <w:sz w:val="16"/>
                    <w:szCs w:val="16"/>
                  </w:rPr>
                  <w:t>Mice administered with MF (Metformin) or saline solution. After 2 wks mice were sacrificed and samples analysed.</w:t>
                </w:r>
              </w:p>
            </w:tc>
            <w:tc>
              <w:tcPr>
                <w:tcW w:w="3294" w:type="dxa"/>
              </w:tcPr>
              <w:p w14:paraId="328302C8" w14:textId="48ED7D5D"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EE147E">
                  <w:rPr>
                    <w:sz w:val="16"/>
                    <w:szCs w:val="16"/>
                  </w:rPr>
                  <w:t>Oxidative stress induced by both EC group and CIG group were higher than the control. ECs and CIGs elicited a similar inflammatory response (downregulated tight junction protein ZO-1, decreased trans-endothelial electrical resistance (both indicate blood-brain-barrier impairment) and upregulated PECAM-1 , ICAM-1 and VCAM-1 (indicators of inflammation)) and were equally harmful.</w:t>
                </w:r>
                <w:r w:rsidR="008146F9">
                  <w:rPr>
                    <w:sz w:val="16"/>
                    <w:szCs w:val="16"/>
                  </w:rPr>
                  <w:t xml:space="preserve"> </w:t>
                </w:r>
              </w:p>
              <w:p w14:paraId="670E7FAE"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EE147E">
                  <w:rPr>
                    <w:rFonts w:eastAsia="Times New Roman" w:cstheme="minorHAnsi"/>
                    <w:sz w:val="16"/>
                    <w:szCs w:val="16"/>
                  </w:rPr>
                  <w:t>CIG and EC exposure led to downregulation of thrombomodulin (anti-coagulant), which indicated an increased risk of stroke. Also led to downregulation of Nrf2 expression. After both exposures, the brain infarct area increased and there was worse neurological deficits compared to control mice.</w:t>
                </w:r>
              </w:p>
            </w:tc>
            <w:tc>
              <w:tcPr>
                <w:tcW w:w="2267" w:type="dxa"/>
              </w:tcPr>
              <w:p w14:paraId="32452BED"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EE147E">
                  <w:rPr>
                    <w:rFonts w:eastAsia="Times New Roman" w:cstheme="minorHAnsi"/>
                    <w:sz w:val="16"/>
                    <w:szCs w:val="16"/>
                  </w:rPr>
                  <w:t>"...we provide evidence that likewise to TS, chronic EC (e-Cig) vaping can be prodromal to the loss of blood-brain barrier (BBB) integrity and vascular inflammation as well as act as a promoting factor for the onset of stroke and worsening of post-ischemic brain injury."</w:t>
                </w:r>
              </w:p>
            </w:tc>
          </w:tr>
          <w:tr w:rsidR="004E260E" w:rsidRPr="00EE147E" w14:paraId="45C2809A" w14:textId="77777777" w:rsidTr="007D6D03">
            <w:trPr>
              <w:trHeight w:val="1645"/>
            </w:trPr>
            <w:tc>
              <w:tcPr>
                <w:cnfStyle w:val="001000000000" w:firstRow="0" w:lastRow="0" w:firstColumn="1" w:lastColumn="0" w:oddVBand="0" w:evenVBand="0" w:oddHBand="0" w:evenHBand="0" w:firstRowFirstColumn="0" w:firstRowLastColumn="0" w:lastRowFirstColumn="0" w:lastRowLastColumn="0"/>
                <w:tcW w:w="951" w:type="dxa"/>
                <w:noWrap/>
                <w:hideMark/>
              </w:tcPr>
              <w:p w14:paraId="43EC9F68" w14:textId="77777777" w:rsidR="004E260E" w:rsidRPr="00EE147E" w:rsidRDefault="004E260E" w:rsidP="00EA178A">
                <w:pPr>
                  <w:spacing w:after="0"/>
                  <w:rPr>
                    <w:rFonts w:eastAsia="Times New Roman" w:cstheme="minorHAnsi"/>
                    <w:sz w:val="16"/>
                    <w:szCs w:val="16"/>
                  </w:rPr>
                </w:pPr>
                <w:r w:rsidRPr="00EE147E">
                  <w:rPr>
                    <w:rFonts w:eastAsia="Times New Roman" w:cstheme="minorHAnsi"/>
                    <w:sz w:val="16"/>
                    <w:szCs w:val="16"/>
                  </w:rPr>
                  <w:t>Kennedy 2017</w:t>
                </w:r>
              </w:p>
            </w:tc>
            <w:tc>
              <w:tcPr>
                <w:tcW w:w="1494" w:type="dxa"/>
                <w:hideMark/>
              </w:tcPr>
              <w:p w14:paraId="67AC3F48"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EE147E">
                  <w:rPr>
                    <w:rFonts w:eastAsia="Times New Roman" w:cstheme="minorHAnsi"/>
                    <w:sz w:val="16"/>
                    <w:szCs w:val="16"/>
                  </w:rPr>
                  <w:t>To test the effects of several aerosolized EC liquids in an in vivo craniofacial model and a mammalian neural crest cell line.</w:t>
                </w:r>
              </w:p>
            </w:tc>
            <w:tc>
              <w:tcPr>
                <w:tcW w:w="951" w:type="dxa"/>
                <w:hideMark/>
              </w:tcPr>
              <w:p w14:paraId="56049994"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EE147E">
                  <w:rPr>
                    <w:rFonts w:eastAsia="Times New Roman" w:cstheme="minorHAnsi"/>
                    <w:sz w:val="16"/>
                    <w:szCs w:val="16"/>
                  </w:rPr>
                  <w:t>Frog embryos</w:t>
                </w:r>
              </w:p>
            </w:tc>
            <w:tc>
              <w:tcPr>
                <w:tcW w:w="885" w:type="dxa"/>
                <w:noWrap/>
                <w:hideMark/>
              </w:tcPr>
              <w:p w14:paraId="0984963D"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EE147E">
                  <w:rPr>
                    <w:rFonts w:eastAsia="Times New Roman" w:cstheme="minorHAnsi"/>
                    <w:sz w:val="16"/>
                    <w:szCs w:val="16"/>
                  </w:rPr>
                  <w:t> N/A</w:t>
                </w:r>
              </w:p>
            </w:tc>
            <w:tc>
              <w:tcPr>
                <w:tcW w:w="984" w:type="dxa"/>
                <w:noWrap/>
                <w:hideMark/>
              </w:tcPr>
              <w:p w14:paraId="3E8462F9" w14:textId="2B995AC4"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EE147E">
                  <w:rPr>
                    <w:rFonts w:eastAsia="Times New Roman" w:cstheme="minorHAnsi"/>
                    <w:sz w:val="16"/>
                    <w:szCs w:val="16"/>
                  </w:rPr>
                  <w:t>Depended on growth of embryo</w:t>
                </w:r>
                <w:r w:rsidR="000B0B63">
                  <w:rPr>
                    <w:rFonts w:eastAsia="Times New Roman" w:cstheme="minorHAnsi"/>
                    <w:sz w:val="16"/>
                    <w:szCs w:val="16"/>
                  </w:rPr>
                  <w:t>.</w:t>
                </w:r>
              </w:p>
            </w:tc>
            <w:tc>
              <w:tcPr>
                <w:tcW w:w="2174" w:type="dxa"/>
                <w:gridSpan w:val="2"/>
              </w:tcPr>
              <w:p w14:paraId="77D5C8DD" w14:textId="28CCF099"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EE147E">
                  <w:rPr>
                    <w:rFonts w:eastAsia="Times New Roman" w:cstheme="minorHAnsi"/>
                    <w:sz w:val="16"/>
                    <w:szCs w:val="16"/>
                  </w:rPr>
                  <w:t>Embryos arrayed on a culture/petri dishes with EC liquids. EC liquids:</w:t>
                </w:r>
                <w:r w:rsidR="008146F9">
                  <w:rPr>
                    <w:rFonts w:eastAsia="Times New Roman" w:cstheme="minorHAnsi"/>
                    <w:sz w:val="16"/>
                    <w:szCs w:val="16"/>
                  </w:rPr>
                  <w:t xml:space="preserve"> </w:t>
                </w:r>
                <w:r w:rsidRPr="00EE147E">
                  <w:rPr>
                    <w:rFonts w:eastAsia="Times New Roman" w:cstheme="minorHAnsi"/>
                    <w:sz w:val="16"/>
                    <w:szCs w:val="16"/>
                  </w:rPr>
                  <w:t>'lab grade' liquid created at the lab (varied in concentration) and 6 flavoured EC products). Craniofacial tissue was inspected.</w:t>
                </w:r>
              </w:p>
            </w:tc>
            <w:tc>
              <w:tcPr>
                <w:tcW w:w="951" w:type="dxa"/>
              </w:tcPr>
              <w:p w14:paraId="5F87C164" w14:textId="789EC3CF"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EE147E">
                  <w:rPr>
                    <w:rFonts w:eastAsia="Times New Roman" w:cstheme="minorHAnsi"/>
                    <w:sz w:val="16"/>
                    <w:szCs w:val="16"/>
                  </w:rPr>
                  <w:t> Yes (designed to have equivalent nicotine levels to humans)</w:t>
                </w:r>
                <w:r w:rsidR="000B0B63">
                  <w:rPr>
                    <w:rFonts w:eastAsia="Times New Roman" w:cstheme="minorHAnsi"/>
                    <w:sz w:val="16"/>
                    <w:szCs w:val="16"/>
                  </w:rPr>
                  <w:t>.</w:t>
                </w:r>
              </w:p>
            </w:tc>
            <w:tc>
              <w:tcPr>
                <w:tcW w:w="1359" w:type="dxa"/>
              </w:tcPr>
              <w:p w14:paraId="761303F3"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EE147E">
                  <w:rPr>
                    <w:rFonts w:eastAsia="Times New Roman" w:cstheme="minorHAnsi"/>
                    <w:sz w:val="16"/>
                    <w:szCs w:val="16"/>
                  </w:rPr>
                  <w:t>N/A</w:t>
                </w:r>
              </w:p>
            </w:tc>
            <w:tc>
              <w:tcPr>
                <w:tcW w:w="3294" w:type="dxa"/>
                <w:hideMark/>
              </w:tcPr>
              <w:p w14:paraId="528B6D53"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EE147E">
                  <w:rPr>
                    <w:rFonts w:eastAsia="Times New Roman" w:cstheme="minorHAnsi"/>
                    <w:sz w:val="16"/>
                    <w:szCs w:val="16"/>
                  </w:rPr>
                  <w:t xml:space="preserve">EC exposure led to craniofacial and other defects including median facial clefts, midface hypoplasia, cranial cartilage, muscle defects, a reduction in facial blood supply and reduced expression of markers for vascular and cartilage differentiation. Nicotine was not the main factor in inducing craniofacial defects, but exacerbated EC components. Liquids produced slightly different deleterious effects. </w:t>
                </w:r>
              </w:p>
            </w:tc>
            <w:tc>
              <w:tcPr>
                <w:tcW w:w="2267" w:type="dxa"/>
                <w:hideMark/>
              </w:tcPr>
              <w:p w14:paraId="49EDE04B"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EE147E">
                  <w:rPr>
                    <w:rFonts w:eastAsia="Times New Roman" w:cstheme="minorHAnsi"/>
                    <w:sz w:val="16"/>
                    <w:szCs w:val="16"/>
                  </w:rPr>
                  <w:t>"Our work is the first to show that EC use could pose a potential hazard to the developing embryo and cause craniofacial birth defects. This emphasizes the need for more testing and regulation of this new popular product."</w:t>
                </w:r>
              </w:p>
            </w:tc>
          </w:tr>
          <w:tr w:rsidR="004E260E" w:rsidRPr="00EE147E" w14:paraId="67C63C49" w14:textId="77777777" w:rsidTr="007967EB">
            <w:trPr>
              <w:cnfStyle w:val="000000100000" w:firstRow="0" w:lastRow="0" w:firstColumn="0" w:lastColumn="0" w:oddVBand="0" w:evenVBand="0" w:oddHBand="1" w:evenHBand="0" w:firstRowFirstColumn="0" w:firstRowLastColumn="0" w:lastRowFirstColumn="0" w:lastRowLastColumn="0"/>
              <w:trHeight w:val="966"/>
            </w:trPr>
            <w:tc>
              <w:tcPr>
                <w:cnfStyle w:val="001000000000" w:firstRow="0" w:lastRow="0" w:firstColumn="1" w:lastColumn="0" w:oddVBand="0" w:evenVBand="0" w:oddHBand="0" w:evenHBand="0" w:firstRowFirstColumn="0" w:firstRowLastColumn="0" w:lastRowFirstColumn="0" w:lastRowLastColumn="0"/>
                <w:tcW w:w="951" w:type="dxa"/>
                <w:noWrap/>
                <w:hideMark/>
              </w:tcPr>
              <w:p w14:paraId="51CC683D" w14:textId="77777777" w:rsidR="004E260E" w:rsidRPr="00EE147E" w:rsidRDefault="004E260E" w:rsidP="00EA178A">
                <w:pPr>
                  <w:spacing w:after="0"/>
                  <w:rPr>
                    <w:rFonts w:eastAsia="Times New Roman" w:cstheme="minorHAnsi"/>
                    <w:sz w:val="16"/>
                    <w:szCs w:val="16"/>
                  </w:rPr>
                </w:pPr>
                <w:r w:rsidRPr="00EE147E">
                  <w:rPr>
                    <w:rFonts w:eastAsia="Times New Roman" w:cstheme="minorHAnsi"/>
                    <w:sz w:val="16"/>
                    <w:szCs w:val="16"/>
                  </w:rPr>
                  <w:t>Laube 2017</w:t>
                </w:r>
              </w:p>
            </w:tc>
            <w:tc>
              <w:tcPr>
                <w:tcW w:w="1494" w:type="dxa"/>
                <w:hideMark/>
              </w:tcPr>
              <w:p w14:paraId="29C7D343"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EE147E">
                  <w:rPr>
                    <w:rFonts w:eastAsia="Times New Roman" w:cstheme="minorHAnsi"/>
                    <w:sz w:val="16"/>
                    <w:szCs w:val="16"/>
                  </w:rPr>
                  <w:t>To determine the effect of acute &amp; chronic exposure to EC emissions on lung mucociliary clearance.</w:t>
                </w:r>
              </w:p>
            </w:tc>
            <w:tc>
              <w:tcPr>
                <w:tcW w:w="951" w:type="dxa"/>
                <w:hideMark/>
              </w:tcPr>
              <w:p w14:paraId="720088C7"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EE147E">
                  <w:rPr>
                    <w:rFonts w:eastAsia="Times New Roman" w:cstheme="minorHAnsi"/>
                    <w:sz w:val="16"/>
                    <w:szCs w:val="16"/>
                  </w:rPr>
                  <w:t>Mice (C57BL/6)</w:t>
                </w:r>
              </w:p>
            </w:tc>
            <w:tc>
              <w:tcPr>
                <w:tcW w:w="885" w:type="dxa"/>
                <w:noWrap/>
                <w:hideMark/>
              </w:tcPr>
              <w:p w14:paraId="198C3986"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EE147E">
                  <w:rPr>
                    <w:rFonts w:eastAsia="Times New Roman" w:cstheme="minorHAnsi"/>
                    <w:sz w:val="16"/>
                    <w:szCs w:val="16"/>
                  </w:rPr>
                  <w:t>100</w:t>
                </w:r>
              </w:p>
            </w:tc>
            <w:tc>
              <w:tcPr>
                <w:tcW w:w="984" w:type="dxa"/>
                <w:hideMark/>
              </w:tcPr>
              <w:p w14:paraId="33878DA4"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EE147E">
                  <w:rPr>
                    <w:rFonts w:eastAsia="Times New Roman" w:cstheme="minorHAnsi"/>
                    <w:sz w:val="16"/>
                    <w:szCs w:val="16"/>
                  </w:rPr>
                  <w:t>20min/d for 1 wk (acute) or for 3 wks (chronic)</w:t>
                </w:r>
              </w:p>
            </w:tc>
            <w:tc>
              <w:tcPr>
                <w:tcW w:w="997" w:type="dxa"/>
                <w:hideMark/>
              </w:tcPr>
              <w:p w14:paraId="72519CC0" w14:textId="7A3A900C"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EE147E">
                  <w:rPr>
                    <w:rFonts w:eastAsia="Times New Roman" w:cstheme="minorHAnsi"/>
                    <w:sz w:val="16"/>
                    <w:szCs w:val="16"/>
                  </w:rPr>
                  <w:t>No exposure to EC substances</w:t>
                </w:r>
                <w:r w:rsidR="000B0B63">
                  <w:rPr>
                    <w:rFonts w:eastAsia="Times New Roman" w:cstheme="minorHAnsi"/>
                    <w:sz w:val="16"/>
                    <w:szCs w:val="16"/>
                  </w:rPr>
                  <w:t>.</w:t>
                </w:r>
              </w:p>
            </w:tc>
            <w:tc>
              <w:tcPr>
                <w:tcW w:w="1177" w:type="dxa"/>
                <w:hideMark/>
              </w:tcPr>
              <w:p w14:paraId="3FF7593A"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EE147E">
                  <w:rPr>
                    <w:rFonts w:eastAsia="Times New Roman" w:cstheme="minorHAnsi"/>
                    <w:sz w:val="16"/>
                    <w:szCs w:val="16"/>
                  </w:rPr>
                  <w:t>Either 0% nicotine/ propylene glycol OR 2.4% nicotine/ propylene glycol</w:t>
                </w:r>
              </w:p>
            </w:tc>
            <w:tc>
              <w:tcPr>
                <w:tcW w:w="951" w:type="dxa"/>
              </w:tcPr>
              <w:p w14:paraId="0F26DA11" w14:textId="6892863D"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EE147E">
                  <w:rPr>
                    <w:rFonts w:eastAsia="Times New Roman" w:cstheme="minorHAnsi"/>
                    <w:sz w:val="16"/>
                    <w:szCs w:val="16"/>
                  </w:rPr>
                  <w:t>No (puff duration exceeded equivalent human use)</w:t>
                </w:r>
                <w:r w:rsidR="000B0B63">
                  <w:rPr>
                    <w:rFonts w:eastAsia="Times New Roman" w:cstheme="minorHAnsi"/>
                    <w:sz w:val="16"/>
                    <w:szCs w:val="16"/>
                  </w:rPr>
                  <w:t>.</w:t>
                </w:r>
              </w:p>
            </w:tc>
            <w:tc>
              <w:tcPr>
                <w:tcW w:w="1359" w:type="dxa"/>
                <w:hideMark/>
              </w:tcPr>
              <w:p w14:paraId="60888967"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EE147E">
                  <w:rPr>
                    <w:rFonts w:eastAsia="Times New Roman" w:cstheme="minorHAnsi"/>
                    <w:sz w:val="16"/>
                    <w:szCs w:val="16"/>
                  </w:rPr>
                  <w:t>Measured mucociliary clearance 6 hours after exposure.</w:t>
                </w:r>
              </w:p>
            </w:tc>
            <w:tc>
              <w:tcPr>
                <w:tcW w:w="3294" w:type="dxa"/>
                <w:hideMark/>
              </w:tcPr>
              <w:p w14:paraId="710C1C57"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EE147E">
                  <w:rPr>
                    <w:rFonts w:eastAsia="Times New Roman" w:cstheme="minorHAnsi"/>
                    <w:sz w:val="16"/>
                    <w:szCs w:val="16"/>
                  </w:rPr>
                  <w:t xml:space="preserve">Differences in mucociliary clearance were not significant for acute exposures. Chronic exposure to propylene glycol (nicotine-free ECs) stimulated mucociliary clearance, while nicotine exposure reduced clearance. Serum cotinine levels were higher among the nicotine group compared to the other groups. </w:t>
                </w:r>
              </w:p>
            </w:tc>
            <w:tc>
              <w:tcPr>
                <w:tcW w:w="2267" w:type="dxa"/>
                <w:hideMark/>
              </w:tcPr>
              <w:p w14:paraId="78A83355"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EE147E">
                  <w:rPr>
                    <w:rFonts w:eastAsia="Times New Roman" w:cstheme="minorHAnsi"/>
                    <w:sz w:val="16"/>
                    <w:szCs w:val="16"/>
                  </w:rPr>
                  <w:t>"In this murine model, a chronic, daily, 20min-exposure to nicotine/ propylene glycol, but not an acute exposure, slowed mucociliary clearance, compared to exposure to propylene glycol alone and led to systemic absorption of nicotine."</w:t>
                </w:r>
              </w:p>
            </w:tc>
          </w:tr>
          <w:tr w:rsidR="004E260E" w:rsidRPr="00EE147E" w14:paraId="223CD0F3" w14:textId="77777777" w:rsidTr="007967EB">
            <w:trPr>
              <w:trHeight w:val="574"/>
            </w:trPr>
            <w:tc>
              <w:tcPr>
                <w:cnfStyle w:val="001000000000" w:firstRow="0" w:lastRow="0" w:firstColumn="1" w:lastColumn="0" w:oddVBand="0" w:evenVBand="0" w:oddHBand="0" w:evenHBand="0" w:firstRowFirstColumn="0" w:firstRowLastColumn="0" w:lastRowFirstColumn="0" w:lastRowLastColumn="0"/>
                <w:tcW w:w="951" w:type="dxa"/>
                <w:noWrap/>
                <w:hideMark/>
              </w:tcPr>
              <w:p w14:paraId="3B03B8D4" w14:textId="77777777" w:rsidR="004E260E" w:rsidRPr="00EE147E" w:rsidRDefault="004E260E" w:rsidP="00EA178A">
                <w:pPr>
                  <w:spacing w:after="0"/>
                  <w:rPr>
                    <w:rFonts w:eastAsia="Times New Roman" w:cstheme="minorHAnsi"/>
                    <w:sz w:val="16"/>
                    <w:szCs w:val="16"/>
                  </w:rPr>
                </w:pPr>
                <w:r w:rsidRPr="00EE147E">
                  <w:rPr>
                    <w:rFonts w:eastAsia="Times New Roman" w:cstheme="minorHAnsi"/>
                    <w:sz w:val="16"/>
                    <w:szCs w:val="16"/>
                  </w:rPr>
                  <w:t>Lee 2018</w:t>
                </w:r>
              </w:p>
            </w:tc>
            <w:tc>
              <w:tcPr>
                <w:tcW w:w="1494" w:type="dxa"/>
                <w:hideMark/>
              </w:tcPr>
              <w:p w14:paraId="18D65D9B"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EE147E">
                  <w:rPr>
                    <w:rFonts w:eastAsia="Times New Roman" w:cstheme="minorHAnsi"/>
                    <w:sz w:val="16"/>
                    <w:szCs w:val="16"/>
                  </w:rPr>
                  <w:t>To determine whether ECs can induce DNA damage in different mouse organs and whether ECs can affect DNA-repair activity.</w:t>
                </w:r>
              </w:p>
            </w:tc>
            <w:tc>
              <w:tcPr>
                <w:tcW w:w="951" w:type="dxa"/>
                <w:hideMark/>
              </w:tcPr>
              <w:p w14:paraId="72D1CCCF" w14:textId="6CDBB418"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EE147E">
                  <w:rPr>
                    <w:rFonts w:eastAsia="Times New Roman" w:cstheme="minorHAnsi"/>
                    <w:sz w:val="16"/>
                    <w:szCs w:val="16"/>
                  </w:rPr>
                  <w:t>Mice, human tissue</w:t>
                </w:r>
                <w:r w:rsidR="000B0B63">
                  <w:rPr>
                    <w:rFonts w:eastAsia="Times New Roman" w:cstheme="minorHAnsi"/>
                    <w:sz w:val="16"/>
                    <w:szCs w:val="16"/>
                  </w:rPr>
                  <w:t>.</w:t>
                </w:r>
              </w:p>
            </w:tc>
            <w:tc>
              <w:tcPr>
                <w:tcW w:w="885" w:type="dxa"/>
                <w:noWrap/>
                <w:hideMark/>
              </w:tcPr>
              <w:p w14:paraId="75AB28AB"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EE147E">
                  <w:rPr>
                    <w:rFonts w:eastAsia="Times New Roman" w:cstheme="minorHAnsi"/>
                    <w:sz w:val="16"/>
                    <w:szCs w:val="16"/>
                  </w:rPr>
                  <w:t>100</w:t>
                </w:r>
              </w:p>
            </w:tc>
            <w:tc>
              <w:tcPr>
                <w:tcW w:w="984" w:type="dxa"/>
                <w:hideMark/>
              </w:tcPr>
              <w:p w14:paraId="4244118C"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EE147E">
                  <w:rPr>
                    <w:rFonts w:eastAsia="Times New Roman" w:cstheme="minorHAnsi"/>
                    <w:sz w:val="16"/>
                    <w:szCs w:val="16"/>
                  </w:rPr>
                  <w:t>3hr/d, 5d/wk, 12 wks</w:t>
                </w:r>
              </w:p>
            </w:tc>
            <w:tc>
              <w:tcPr>
                <w:tcW w:w="997" w:type="dxa"/>
                <w:hideMark/>
              </w:tcPr>
              <w:p w14:paraId="4861F137" w14:textId="6BD6767F"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EE147E">
                  <w:rPr>
                    <w:rFonts w:eastAsia="Times New Roman" w:cstheme="minorHAnsi"/>
                    <w:sz w:val="16"/>
                    <w:szCs w:val="16"/>
                  </w:rPr>
                  <w:t>Not described</w:t>
                </w:r>
                <w:r w:rsidR="000B0B63">
                  <w:rPr>
                    <w:rFonts w:eastAsia="Times New Roman" w:cstheme="minorHAnsi"/>
                    <w:sz w:val="16"/>
                    <w:szCs w:val="16"/>
                  </w:rPr>
                  <w:t>.</w:t>
                </w:r>
              </w:p>
            </w:tc>
            <w:tc>
              <w:tcPr>
                <w:tcW w:w="1177" w:type="dxa"/>
                <w:hideMark/>
              </w:tcPr>
              <w:p w14:paraId="706F9E26" w14:textId="0DF5B57A"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EE147E">
                  <w:rPr>
                    <w:rFonts w:eastAsia="Times New Roman" w:cstheme="minorHAnsi"/>
                    <w:sz w:val="16"/>
                    <w:szCs w:val="16"/>
                  </w:rPr>
                  <w:t>10mg/mL nicotine in a propylene glycol/ vegetable glycerine mixture</w:t>
                </w:r>
                <w:r w:rsidR="000B0B63">
                  <w:rPr>
                    <w:rFonts w:eastAsia="Times New Roman" w:cstheme="minorHAnsi"/>
                    <w:sz w:val="16"/>
                    <w:szCs w:val="16"/>
                  </w:rPr>
                  <w:t>.</w:t>
                </w:r>
              </w:p>
            </w:tc>
            <w:tc>
              <w:tcPr>
                <w:tcW w:w="951" w:type="dxa"/>
              </w:tcPr>
              <w:p w14:paraId="0513097A" w14:textId="2EFE1E42"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EE147E">
                  <w:rPr>
                    <w:rFonts w:eastAsia="Times New Roman" w:cstheme="minorHAnsi"/>
                    <w:sz w:val="16"/>
                    <w:szCs w:val="16"/>
                  </w:rPr>
                  <w:t>Yes (dose and duration equivalent to light EC smoking for 10 years)</w:t>
                </w:r>
                <w:r w:rsidR="000B0B63">
                  <w:rPr>
                    <w:rFonts w:eastAsia="Times New Roman" w:cstheme="minorHAnsi"/>
                    <w:sz w:val="16"/>
                    <w:szCs w:val="16"/>
                  </w:rPr>
                  <w:t>.</w:t>
                </w:r>
              </w:p>
            </w:tc>
            <w:tc>
              <w:tcPr>
                <w:tcW w:w="1359" w:type="dxa"/>
                <w:hideMark/>
              </w:tcPr>
              <w:p w14:paraId="465F2F90"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EE147E">
                  <w:rPr>
                    <w:rFonts w:eastAsia="Times New Roman" w:cstheme="minorHAnsi"/>
                    <w:sz w:val="16"/>
                    <w:szCs w:val="16"/>
                  </w:rPr>
                  <w:t>Mice were sacrificed after exposure and lungs, liver, bladder and heart were examined.</w:t>
                </w:r>
              </w:p>
            </w:tc>
            <w:tc>
              <w:tcPr>
                <w:tcW w:w="3294" w:type="dxa"/>
                <w:hideMark/>
              </w:tcPr>
              <w:p w14:paraId="4CB08187"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EE147E">
                  <w:rPr>
                    <w:rFonts w:eastAsia="Times New Roman" w:cstheme="minorHAnsi"/>
                    <w:sz w:val="16"/>
                    <w:szCs w:val="16"/>
                  </w:rPr>
                  <w:t>Mice exposed to ECs had more DNA adducts in their lungs, bladder and heart. Increased quantities of DNA adducts were found in the lungs compared with the other tissues. Mice exposed to ECs had lower amounts of DNA repair proteins compared to the control.</w:t>
                </w:r>
              </w:p>
            </w:tc>
            <w:tc>
              <w:tcPr>
                <w:tcW w:w="2267" w:type="dxa"/>
                <w:hideMark/>
              </w:tcPr>
              <w:p w14:paraId="2A65E632" w14:textId="5936E669"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EE147E">
                  <w:rPr>
                    <w:rFonts w:eastAsia="Times New Roman" w:cstheme="minorHAnsi"/>
                    <w:sz w:val="16"/>
                    <w:szCs w:val="16"/>
                  </w:rPr>
                  <w:t>"These results indicate that nicotine nitrosation occurs in vivo in mice and that EC smoke is carcinogenic to the murine lung and bladder and harmful to the murine heart.</w:t>
                </w:r>
                <w:r w:rsidR="008146F9">
                  <w:rPr>
                    <w:rFonts w:eastAsia="Times New Roman" w:cstheme="minorHAnsi"/>
                    <w:sz w:val="16"/>
                    <w:szCs w:val="16"/>
                  </w:rPr>
                  <w:t xml:space="preserve"> </w:t>
                </w:r>
                <w:r w:rsidRPr="00EE147E">
                  <w:rPr>
                    <w:rFonts w:eastAsia="Times New Roman" w:cstheme="minorHAnsi"/>
                    <w:sz w:val="16"/>
                    <w:szCs w:val="16"/>
                  </w:rPr>
                  <w:t xml:space="preserve">It is therefore possible that EC smoke may contribute to lung </w:t>
                </w:r>
                <w:r w:rsidRPr="00EE147E">
                  <w:rPr>
                    <w:rFonts w:eastAsia="Times New Roman" w:cstheme="minorHAnsi"/>
                    <w:sz w:val="16"/>
                    <w:szCs w:val="16"/>
                  </w:rPr>
                  <w:lastRenderedPageBreak/>
                  <w:t>and bladder cancer, as well as heart disease, in humans."</w:t>
                </w:r>
              </w:p>
            </w:tc>
          </w:tr>
          <w:tr w:rsidR="004E260E" w:rsidRPr="00EE147E" w14:paraId="62360A84" w14:textId="77777777" w:rsidTr="007967EB">
            <w:trPr>
              <w:cnfStyle w:val="000000100000" w:firstRow="0" w:lastRow="0" w:firstColumn="0" w:lastColumn="0" w:oddVBand="0" w:evenVBand="0" w:oddHBand="1" w:evenHBand="0" w:firstRowFirstColumn="0" w:firstRowLastColumn="0" w:lastRowFirstColumn="0" w:lastRowLastColumn="0"/>
              <w:trHeight w:val="1244"/>
            </w:trPr>
            <w:tc>
              <w:tcPr>
                <w:cnfStyle w:val="001000000000" w:firstRow="0" w:lastRow="0" w:firstColumn="1" w:lastColumn="0" w:oddVBand="0" w:evenVBand="0" w:oddHBand="0" w:evenHBand="0" w:firstRowFirstColumn="0" w:firstRowLastColumn="0" w:lastRowFirstColumn="0" w:lastRowLastColumn="0"/>
                <w:tcW w:w="951" w:type="dxa"/>
                <w:noWrap/>
              </w:tcPr>
              <w:p w14:paraId="1228CA61" w14:textId="77777777" w:rsidR="004E260E" w:rsidRPr="00EE147E" w:rsidRDefault="004E260E" w:rsidP="00EA178A">
                <w:pPr>
                  <w:spacing w:after="0"/>
                  <w:rPr>
                    <w:rFonts w:eastAsia="Times New Roman" w:cstheme="minorHAnsi"/>
                    <w:sz w:val="16"/>
                    <w:szCs w:val="16"/>
                  </w:rPr>
                </w:pPr>
                <w:r w:rsidRPr="00EE147E">
                  <w:rPr>
                    <w:rFonts w:cs="Calibri"/>
                    <w:sz w:val="16"/>
                    <w:szCs w:val="16"/>
                  </w:rPr>
                  <w:lastRenderedPageBreak/>
                  <w:t>Miyashita 2018</w:t>
                </w:r>
              </w:p>
            </w:tc>
            <w:tc>
              <w:tcPr>
                <w:tcW w:w="1494" w:type="dxa"/>
              </w:tcPr>
              <w:p w14:paraId="41E8A562"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EE147E">
                  <w:rPr>
                    <w:rFonts w:cs="Calibri"/>
                    <w:sz w:val="16"/>
                    <w:szCs w:val="16"/>
                  </w:rPr>
                  <w:t>To determine if EC vapour increases pneumococcal adhesion to airway cells.</w:t>
                </w:r>
              </w:p>
            </w:tc>
            <w:tc>
              <w:tcPr>
                <w:tcW w:w="951" w:type="dxa"/>
              </w:tcPr>
              <w:p w14:paraId="151D78A5" w14:textId="1820E400"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EE147E">
                  <w:rPr>
                    <w:rFonts w:cs="Calibri"/>
                    <w:sz w:val="16"/>
                    <w:szCs w:val="16"/>
                  </w:rPr>
                  <w:t>Mice (and human and in vitro)</w:t>
                </w:r>
                <w:r w:rsidR="000B0B63">
                  <w:rPr>
                    <w:rFonts w:cs="Calibri"/>
                    <w:sz w:val="16"/>
                    <w:szCs w:val="16"/>
                  </w:rPr>
                  <w:t>.</w:t>
                </w:r>
              </w:p>
            </w:tc>
            <w:tc>
              <w:tcPr>
                <w:tcW w:w="885" w:type="dxa"/>
                <w:noWrap/>
              </w:tcPr>
              <w:p w14:paraId="26AA15D4"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EE147E">
                  <w:rPr>
                    <w:rFonts w:cs="Calibri"/>
                    <w:sz w:val="16"/>
                    <w:szCs w:val="16"/>
                  </w:rPr>
                  <w:t>0</w:t>
                </w:r>
              </w:p>
            </w:tc>
            <w:tc>
              <w:tcPr>
                <w:tcW w:w="984" w:type="dxa"/>
              </w:tcPr>
              <w:p w14:paraId="66142F38"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EE147E">
                  <w:rPr>
                    <w:rFonts w:cs="Calibri"/>
                    <w:sz w:val="16"/>
                    <w:szCs w:val="16"/>
                  </w:rPr>
                  <w:t>2x/d, 8d</w:t>
                </w:r>
              </w:p>
            </w:tc>
            <w:tc>
              <w:tcPr>
                <w:tcW w:w="997" w:type="dxa"/>
              </w:tcPr>
              <w:p w14:paraId="2F6462F1"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EE147E">
                  <w:rPr>
                    <w:rFonts w:cs="Calibri"/>
                    <w:sz w:val="16"/>
                    <w:szCs w:val="16"/>
                  </w:rPr>
                  <w:t>DPBS control extract</w:t>
                </w:r>
              </w:p>
            </w:tc>
            <w:tc>
              <w:tcPr>
                <w:tcW w:w="1177" w:type="dxa"/>
              </w:tcPr>
              <w:p w14:paraId="39348B19"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EE147E">
                  <w:rPr>
                    <w:rFonts w:cs="Calibri"/>
                    <w:sz w:val="16"/>
                    <w:szCs w:val="16"/>
                  </w:rPr>
                  <w:t>EC vapour ±nicotine</w:t>
                </w:r>
              </w:p>
            </w:tc>
            <w:tc>
              <w:tcPr>
                <w:tcW w:w="951" w:type="dxa"/>
              </w:tcPr>
              <w:p w14:paraId="2FC905DD"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EE147E">
                  <w:rPr>
                    <w:rFonts w:cs="Calibri"/>
                    <w:sz w:val="16"/>
                    <w:szCs w:val="16"/>
                  </w:rPr>
                  <w:t xml:space="preserve">On day 4 mice were exposed to </w:t>
                </w:r>
              </w:p>
            </w:tc>
            <w:tc>
              <w:tcPr>
                <w:tcW w:w="1359" w:type="dxa"/>
              </w:tcPr>
              <w:p w14:paraId="4DF2C993" w14:textId="14E95798"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EE147E">
                  <w:rPr>
                    <w:rFonts w:cs="Calibri"/>
                    <w:sz w:val="16"/>
                    <w:szCs w:val="16"/>
                  </w:rPr>
                  <w:t>Measured nasopharyngeal pneumococcal colonisation 4d after</w:t>
                </w:r>
                <w:r w:rsidR="000B0B63">
                  <w:rPr>
                    <w:rFonts w:cs="Calibri"/>
                    <w:sz w:val="16"/>
                    <w:szCs w:val="16"/>
                  </w:rPr>
                  <w:t>.</w:t>
                </w:r>
              </w:p>
            </w:tc>
            <w:tc>
              <w:tcPr>
                <w:tcW w:w="3294" w:type="dxa"/>
              </w:tcPr>
              <w:p w14:paraId="762BE185"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EE147E">
                  <w:rPr>
                    <w:rFonts w:cs="Calibri"/>
                    <w:sz w:val="16"/>
                    <w:szCs w:val="16"/>
                  </w:rPr>
                  <w:t xml:space="preserve">The nicotine-free EC did not increase nasopharyngeal pneumococcal CFU or nasal epithelial PAFR expression at 4 days post intranasal instillation of bacteria, but the nicotine-containing EC did. </w:t>
                </w:r>
              </w:p>
            </w:tc>
            <w:tc>
              <w:tcPr>
                <w:tcW w:w="2267" w:type="dxa"/>
              </w:tcPr>
              <w:p w14:paraId="0C779259"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EE147E">
                  <w:rPr>
                    <w:rFonts w:cs="Calibri"/>
                    <w:sz w:val="16"/>
                    <w:szCs w:val="16"/>
                  </w:rPr>
                  <w:t>"This study suggests that EC vapour has the potential to increase susceptibility to pneumococcal infection."</w:t>
                </w:r>
              </w:p>
            </w:tc>
          </w:tr>
          <w:tr w:rsidR="004E260E" w:rsidRPr="00EE147E" w14:paraId="207C08B1" w14:textId="77777777" w:rsidTr="007D6D03">
            <w:trPr>
              <w:trHeight w:val="1680"/>
            </w:trPr>
            <w:tc>
              <w:tcPr>
                <w:cnfStyle w:val="001000000000" w:firstRow="0" w:lastRow="0" w:firstColumn="1" w:lastColumn="0" w:oddVBand="0" w:evenVBand="0" w:oddHBand="0" w:evenHBand="0" w:firstRowFirstColumn="0" w:firstRowLastColumn="0" w:lastRowFirstColumn="0" w:lastRowLastColumn="0"/>
                <w:tcW w:w="951" w:type="dxa"/>
                <w:noWrap/>
                <w:hideMark/>
              </w:tcPr>
              <w:p w14:paraId="4E3E4DE8" w14:textId="77777777" w:rsidR="004E260E" w:rsidRPr="00EE147E" w:rsidRDefault="004E260E" w:rsidP="00EA178A">
                <w:pPr>
                  <w:spacing w:after="0"/>
                  <w:rPr>
                    <w:rFonts w:eastAsia="Times New Roman" w:cstheme="minorHAnsi"/>
                    <w:sz w:val="16"/>
                    <w:szCs w:val="16"/>
                  </w:rPr>
                </w:pPr>
                <w:r w:rsidRPr="00EE147E">
                  <w:rPr>
                    <w:rFonts w:eastAsia="Times New Roman" w:cstheme="minorHAnsi"/>
                    <w:sz w:val="16"/>
                    <w:szCs w:val="16"/>
                  </w:rPr>
                  <w:t>Parker 2017</w:t>
                </w:r>
              </w:p>
            </w:tc>
            <w:tc>
              <w:tcPr>
                <w:tcW w:w="1494" w:type="dxa"/>
                <w:hideMark/>
              </w:tcPr>
              <w:p w14:paraId="473FA2F5"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EE147E">
                  <w:rPr>
                    <w:rFonts w:eastAsia="Times New Roman" w:cstheme="minorHAnsi"/>
                    <w:sz w:val="16"/>
                    <w:szCs w:val="16"/>
                  </w:rPr>
                  <w:t>To investigate developmental toxicities of CIG butt leachates and EC leachate on frog embryos (environmental impacts of ECs).</w:t>
                </w:r>
              </w:p>
            </w:tc>
            <w:tc>
              <w:tcPr>
                <w:tcW w:w="951" w:type="dxa"/>
                <w:hideMark/>
              </w:tcPr>
              <w:p w14:paraId="6F5B7D7F" w14:textId="3A2845C4"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EE147E">
                  <w:rPr>
                    <w:rFonts w:eastAsia="Times New Roman" w:cstheme="minorHAnsi"/>
                    <w:sz w:val="16"/>
                    <w:szCs w:val="16"/>
                  </w:rPr>
                  <w:t>Frog embryos</w:t>
                </w:r>
                <w:r w:rsidR="000B0B63">
                  <w:rPr>
                    <w:rFonts w:eastAsia="Times New Roman" w:cstheme="minorHAnsi"/>
                    <w:sz w:val="16"/>
                    <w:szCs w:val="16"/>
                  </w:rPr>
                  <w:t>.</w:t>
                </w:r>
              </w:p>
            </w:tc>
            <w:tc>
              <w:tcPr>
                <w:tcW w:w="885" w:type="dxa"/>
                <w:noWrap/>
                <w:hideMark/>
              </w:tcPr>
              <w:p w14:paraId="23EA71F1"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EE147E">
                  <w:rPr>
                    <w:rFonts w:eastAsia="Times New Roman" w:cstheme="minorHAnsi"/>
                    <w:sz w:val="16"/>
                    <w:szCs w:val="16"/>
                  </w:rPr>
                  <w:t>N/A</w:t>
                </w:r>
              </w:p>
            </w:tc>
            <w:tc>
              <w:tcPr>
                <w:tcW w:w="984" w:type="dxa"/>
                <w:noWrap/>
                <w:hideMark/>
              </w:tcPr>
              <w:p w14:paraId="7421E751"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EE147E">
                  <w:rPr>
                    <w:rFonts w:eastAsia="Times New Roman" w:cstheme="minorHAnsi"/>
                    <w:sz w:val="16"/>
                    <w:szCs w:val="16"/>
                  </w:rPr>
                  <w:t>96hr</w:t>
                </w:r>
              </w:p>
            </w:tc>
            <w:tc>
              <w:tcPr>
                <w:tcW w:w="2174" w:type="dxa"/>
                <w:gridSpan w:val="2"/>
                <w:hideMark/>
              </w:tcPr>
              <w:p w14:paraId="53B3F42D"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EE147E">
                  <w:rPr>
                    <w:rFonts w:eastAsia="Times New Roman" w:cstheme="minorHAnsi"/>
                    <w:sz w:val="16"/>
                    <w:szCs w:val="16"/>
                  </w:rPr>
                  <w:t>Exposed to regular CIG butt/ menthol CIG butt or electronic CIG leachate, using FETAX (frog embryo teratogenesis assay- Xenopus).</w:t>
                </w:r>
              </w:p>
            </w:tc>
            <w:tc>
              <w:tcPr>
                <w:tcW w:w="951" w:type="dxa"/>
              </w:tcPr>
              <w:p w14:paraId="39AB55F6"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EE147E">
                  <w:rPr>
                    <w:rFonts w:eastAsia="Times New Roman" w:cstheme="minorHAnsi"/>
                    <w:sz w:val="16"/>
                    <w:szCs w:val="16"/>
                  </w:rPr>
                  <w:t>N/A</w:t>
                </w:r>
              </w:p>
            </w:tc>
            <w:tc>
              <w:tcPr>
                <w:tcW w:w="1359" w:type="dxa"/>
                <w:hideMark/>
              </w:tcPr>
              <w:p w14:paraId="7D0DA29E"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EE147E">
                  <w:rPr>
                    <w:rFonts w:eastAsia="Times New Roman" w:cstheme="minorHAnsi"/>
                    <w:sz w:val="16"/>
                    <w:szCs w:val="16"/>
                  </w:rPr>
                  <w:t>Measured median lethal concentration, malformation, non-observed adverse effect concentration, and lowest observed adverse effect concentration.</w:t>
                </w:r>
              </w:p>
            </w:tc>
            <w:tc>
              <w:tcPr>
                <w:tcW w:w="3294" w:type="dxa"/>
                <w:hideMark/>
              </w:tcPr>
              <w:p w14:paraId="0F2488F4"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EE147E">
                  <w:rPr>
                    <w:rFonts w:eastAsia="Times New Roman" w:cstheme="minorHAnsi"/>
                    <w:sz w:val="16"/>
                    <w:szCs w:val="16"/>
                  </w:rPr>
                  <w:t xml:space="preserve">The lowest median lethal concentration was determined for EC exposure at 17.9 CIG butts/L. Regular CIG butts had the highest median lethal concentration, malformation and ECs had the lowest. ECs also had the lowest non-observed adverse effect concentration and lowest observed adverse effect concentration. </w:t>
                </w:r>
              </w:p>
            </w:tc>
            <w:tc>
              <w:tcPr>
                <w:tcW w:w="2267" w:type="dxa"/>
                <w:hideMark/>
              </w:tcPr>
              <w:p w14:paraId="07A6AE5E"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EE147E">
                  <w:rPr>
                    <w:rFonts w:eastAsia="Times New Roman" w:cstheme="minorHAnsi"/>
                    <w:sz w:val="16"/>
                    <w:szCs w:val="16"/>
                  </w:rPr>
                  <w:t>Regular CIG butt leachate is the most toxic compound, while menthol CIG butt leachate has the higher teratogenicity. EC leachate has the lowest toxic and teratogenic effects on embryos but there were still noticeable effects.</w:t>
                </w:r>
              </w:p>
            </w:tc>
          </w:tr>
          <w:tr w:rsidR="004E260E" w:rsidRPr="00EE147E" w14:paraId="6A5F2E81" w14:textId="77777777" w:rsidTr="007967EB">
            <w:trPr>
              <w:cnfStyle w:val="000000100000" w:firstRow="0" w:lastRow="0" w:firstColumn="0" w:lastColumn="0" w:oddVBand="0" w:evenVBand="0" w:oddHBand="1" w:evenHBand="0" w:firstRowFirstColumn="0" w:firstRowLastColumn="0" w:lastRowFirstColumn="0" w:lastRowLastColumn="0"/>
              <w:trHeight w:val="1417"/>
            </w:trPr>
            <w:tc>
              <w:tcPr>
                <w:cnfStyle w:val="001000000000" w:firstRow="0" w:lastRow="0" w:firstColumn="1" w:lastColumn="0" w:oddVBand="0" w:evenVBand="0" w:oddHBand="0" w:evenHBand="0" w:firstRowFirstColumn="0" w:firstRowLastColumn="0" w:lastRowFirstColumn="0" w:lastRowLastColumn="0"/>
                <w:tcW w:w="951" w:type="dxa"/>
                <w:noWrap/>
                <w:hideMark/>
              </w:tcPr>
              <w:p w14:paraId="51663F26" w14:textId="77777777" w:rsidR="004E260E" w:rsidRPr="00EE147E" w:rsidRDefault="004E260E" w:rsidP="00EA178A">
                <w:pPr>
                  <w:spacing w:after="0"/>
                  <w:rPr>
                    <w:rFonts w:eastAsia="Times New Roman" w:cstheme="minorHAnsi"/>
                    <w:sz w:val="16"/>
                    <w:szCs w:val="16"/>
                  </w:rPr>
                </w:pPr>
                <w:r w:rsidRPr="00EE147E">
                  <w:rPr>
                    <w:rFonts w:eastAsia="Times New Roman" w:cstheme="minorHAnsi"/>
                    <w:sz w:val="16"/>
                    <w:szCs w:val="16"/>
                  </w:rPr>
                  <w:t>Phillips 2017</w:t>
                </w:r>
              </w:p>
            </w:tc>
            <w:tc>
              <w:tcPr>
                <w:tcW w:w="1494" w:type="dxa"/>
                <w:hideMark/>
              </w:tcPr>
              <w:p w14:paraId="5A916E45" w14:textId="7A818640"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EE147E">
                  <w:rPr>
                    <w:rFonts w:eastAsia="Times New Roman" w:cstheme="minorHAnsi"/>
                    <w:sz w:val="16"/>
                    <w:szCs w:val="16"/>
                  </w:rPr>
                  <w:t>To determine toxicity of EC liquids, nicotine, propylene glycol, and vegetable glycerin in mixtures</w:t>
                </w:r>
                <w:r w:rsidR="000B0B63">
                  <w:rPr>
                    <w:rFonts w:eastAsia="Times New Roman" w:cstheme="minorHAnsi"/>
                    <w:sz w:val="16"/>
                    <w:szCs w:val="16"/>
                  </w:rPr>
                  <w:t>.</w:t>
                </w:r>
              </w:p>
            </w:tc>
            <w:tc>
              <w:tcPr>
                <w:tcW w:w="951" w:type="dxa"/>
                <w:hideMark/>
              </w:tcPr>
              <w:p w14:paraId="18402243" w14:textId="340189EC"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EE147E">
                  <w:rPr>
                    <w:rFonts w:eastAsia="Times New Roman" w:cstheme="minorHAnsi"/>
                    <w:sz w:val="16"/>
                    <w:szCs w:val="16"/>
                  </w:rPr>
                  <w:t>Rats (Sprague-Dawley, outbred)</w:t>
                </w:r>
                <w:r w:rsidR="000B0B63">
                  <w:rPr>
                    <w:rFonts w:eastAsia="Times New Roman" w:cstheme="minorHAnsi"/>
                    <w:sz w:val="16"/>
                    <w:szCs w:val="16"/>
                  </w:rPr>
                  <w:t>.</w:t>
                </w:r>
              </w:p>
            </w:tc>
            <w:tc>
              <w:tcPr>
                <w:tcW w:w="885" w:type="dxa"/>
                <w:hideMark/>
              </w:tcPr>
              <w:p w14:paraId="6F6F2BF8" w14:textId="415B475B"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EE147E">
                  <w:rPr>
                    <w:rFonts w:eastAsia="Times New Roman" w:cstheme="minorHAnsi"/>
                    <w:sz w:val="16"/>
                    <w:szCs w:val="16"/>
                  </w:rPr>
                  <w:t>Both male and female</w:t>
                </w:r>
                <w:r w:rsidR="000B0B63">
                  <w:rPr>
                    <w:rFonts w:eastAsia="Times New Roman" w:cstheme="minorHAnsi"/>
                    <w:sz w:val="16"/>
                    <w:szCs w:val="16"/>
                  </w:rPr>
                  <w:t>.</w:t>
                </w:r>
              </w:p>
            </w:tc>
            <w:tc>
              <w:tcPr>
                <w:tcW w:w="984" w:type="dxa"/>
                <w:hideMark/>
              </w:tcPr>
              <w:p w14:paraId="16F6BBD0"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EE147E">
                  <w:rPr>
                    <w:rFonts w:eastAsia="Times New Roman" w:cstheme="minorHAnsi"/>
                    <w:sz w:val="16"/>
                    <w:szCs w:val="16"/>
                  </w:rPr>
                  <w:t>6hr/d, 5d/wk, 13 wks</w:t>
                </w:r>
              </w:p>
            </w:tc>
            <w:tc>
              <w:tcPr>
                <w:tcW w:w="997" w:type="dxa"/>
                <w:hideMark/>
              </w:tcPr>
              <w:p w14:paraId="128FD1A3" w14:textId="399125BA"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EE147E">
                  <w:rPr>
                    <w:rFonts w:eastAsia="Times New Roman" w:cstheme="minorHAnsi"/>
                    <w:sz w:val="16"/>
                    <w:szCs w:val="16"/>
                  </w:rPr>
                  <w:t>Nose-only exposed to filtered fresh air</w:t>
                </w:r>
                <w:r w:rsidR="000B0B63">
                  <w:rPr>
                    <w:rFonts w:eastAsia="Times New Roman" w:cstheme="minorHAnsi"/>
                    <w:sz w:val="16"/>
                    <w:szCs w:val="16"/>
                  </w:rPr>
                  <w:t>.</w:t>
                </w:r>
              </w:p>
            </w:tc>
            <w:tc>
              <w:tcPr>
                <w:tcW w:w="1177" w:type="dxa"/>
                <w:hideMark/>
              </w:tcPr>
              <w:p w14:paraId="326A2119"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EE147E">
                  <w:rPr>
                    <w:rFonts w:eastAsia="Times New Roman" w:cstheme="minorHAnsi"/>
                    <w:sz w:val="16"/>
                    <w:szCs w:val="16"/>
                  </w:rPr>
                  <w:t>Nose-only exposed to one of three concentrations of propylene glycol/ vegetable glycerin mixtures, with and without nicotine.</w:t>
                </w:r>
              </w:p>
            </w:tc>
            <w:tc>
              <w:tcPr>
                <w:tcW w:w="951" w:type="dxa"/>
              </w:tcPr>
              <w:p w14:paraId="2C848F7B" w14:textId="56E75BB2" w:rsidR="004E260E" w:rsidRPr="00EE147E" w:rsidRDefault="004E260E" w:rsidP="00EA178A">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EE147E">
                  <w:rPr>
                    <w:rFonts w:eastAsia="Times New Roman" w:cstheme="minorHAnsi"/>
                    <w:sz w:val="16"/>
                    <w:szCs w:val="16"/>
                  </w:rPr>
                  <w:t>No (doses marginally exceeded equivalent human use)</w:t>
                </w:r>
                <w:r w:rsidR="000B0B63">
                  <w:rPr>
                    <w:rFonts w:eastAsia="Times New Roman" w:cstheme="minorHAnsi"/>
                    <w:sz w:val="16"/>
                    <w:szCs w:val="16"/>
                  </w:rPr>
                  <w:t>.</w:t>
                </w:r>
              </w:p>
            </w:tc>
            <w:tc>
              <w:tcPr>
                <w:tcW w:w="1359" w:type="dxa"/>
                <w:hideMark/>
              </w:tcPr>
              <w:p w14:paraId="74811B86" w14:textId="511DE6E9"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EE147E">
                  <w:rPr>
                    <w:rFonts w:eastAsia="Times New Roman" w:cstheme="minorHAnsi"/>
                    <w:sz w:val="16"/>
                    <w:szCs w:val="16"/>
                  </w:rPr>
                  <w:t>After 13 wks mice were sacrificed and organs analysed</w:t>
                </w:r>
                <w:r w:rsidR="000B0B63">
                  <w:rPr>
                    <w:rFonts w:eastAsia="Times New Roman" w:cstheme="minorHAnsi"/>
                    <w:sz w:val="16"/>
                    <w:szCs w:val="16"/>
                  </w:rPr>
                  <w:t>.</w:t>
                </w:r>
              </w:p>
            </w:tc>
            <w:tc>
              <w:tcPr>
                <w:tcW w:w="3294" w:type="dxa"/>
                <w:hideMark/>
              </w:tcPr>
              <w:p w14:paraId="1809EC94"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EE147E">
                  <w:rPr>
                    <w:rFonts w:eastAsia="Times New Roman" w:cstheme="minorHAnsi"/>
                    <w:sz w:val="16"/>
                    <w:szCs w:val="16"/>
                  </w:rPr>
                  <w:t xml:space="preserve">The total amount of the recovered nicotine metabolites in urine samples collected over 24 h (both during and after the exposure) was similar among all nicotine-exposed groups, indicating a similar uptake by the rats. </w:t>
                </w:r>
                <w:r w:rsidRPr="00EE147E">
                  <w:rPr>
                    <w:rFonts w:eastAsia="Times New Roman" w:cstheme="minorHAnsi"/>
                    <w:sz w:val="16"/>
                    <w:szCs w:val="16"/>
                  </w:rPr>
                  <w:br/>
                  <w:t>Rats exposed to nicotine had higher food intakes &amp; females had significantly higher body weights.</w:t>
                </w:r>
                <w:r w:rsidRPr="00EE147E">
                  <w:rPr>
                    <w:rFonts w:eastAsia="Times New Roman" w:cstheme="minorHAnsi"/>
                    <w:sz w:val="16"/>
                    <w:szCs w:val="16"/>
                  </w:rPr>
                  <w:br/>
                  <w:t>Female rats exposed to nicotine had slightly higher inflammation in the lungs (macrophage and total cell counts).</w:t>
                </w:r>
                <w:r w:rsidRPr="00EE147E">
                  <w:rPr>
                    <w:rFonts w:eastAsia="Times New Roman" w:cstheme="minorHAnsi"/>
                    <w:sz w:val="16"/>
                    <w:szCs w:val="16"/>
                  </w:rPr>
                  <w:br/>
                  <w:t>Nicotine-exposed rats had lower: total protein concentrations (females only), total cholesterol, glucose concentrations and higher liver weights. In female rats exposed to nicotine, alanine aminotransferase and alkaline phosphatase (liver enzymes) increased in activity. Hepatocyte vacuolation was observed more frequently in the liver of nicotine-exposed rats.</w:t>
                </w:r>
                <w:r w:rsidRPr="00EE147E">
                  <w:rPr>
                    <w:rFonts w:eastAsia="Times New Roman" w:cstheme="minorHAnsi"/>
                    <w:sz w:val="16"/>
                    <w:szCs w:val="16"/>
                  </w:rPr>
                  <w:br/>
                  <w:t xml:space="preserve">Adrenal gland weight significantly increased among nicotine-exposed rats, reflecting a </w:t>
                </w:r>
                <w:r w:rsidRPr="00EE147E">
                  <w:rPr>
                    <w:rFonts w:eastAsia="Times New Roman" w:cstheme="minorHAnsi"/>
                    <w:sz w:val="16"/>
                    <w:szCs w:val="16"/>
                  </w:rPr>
                  <w:lastRenderedPageBreak/>
                  <w:t>possible stress-response to the nicotine.</w:t>
                </w:r>
                <w:r w:rsidRPr="00EE147E">
                  <w:rPr>
                    <w:rFonts w:eastAsia="Times New Roman" w:cstheme="minorHAnsi"/>
                    <w:sz w:val="16"/>
                    <w:szCs w:val="16"/>
                  </w:rPr>
                  <w:br/>
                  <w:t>No toxicologically relevant effects were observed.</w:t>
                </w:r>
              </w:p>
            </w:tc>
            <w:tc>
              <w:tcPr>
                <w:tcW w:w="2267" w:type="dxa"/>
                <w:hideMark/>
              </w:tcPr>
              <w:p w14:paraId="4FC597D9"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EE147E">
                  <w:rPr>
                    <w:rFonts w:eastAsia="Times New Roman" w:cstheme="minorHAnsi"/>
                    <w:sz w:val="16"/>
                    <w:szCs w:val="16"/>
                  </w:rPr>
                  <w:lastRenderedPageBreak/>
                  <w:t>"Altogether, under the conditions of this 90-day SD rat study, several nicotine related responses have been observed but taking in to account the overall weight of evidence no adverse effects were observed for propylene glycol/ vegetable glycerin /nicotine up to 438/544/6.7 mg/kg/day, since the vast majority of the effects observed are considered to be adaptive changes caused by the nicotine levels and they have been shown to be reversible on cessation of treatment."</w:t>
                </w:r>
              </w:p>
            </w:tc>
          </w:tr>
          <w:tr w:rsidR="004E260E" w:rsidRPr="00EE147E" w14:paraId="0C711610" w14:textId="77777777" w:rsidTr="007967EB">
            <w:trPr>
              <w:trHeight w:val="1899"/>
            </w:trPr>
            <w:tc>
              <w:tcPr>
                <w:cnfStyle w:val="001000000000" w:firstRow="0" w:lastRow="0" w:firstColumn="1" w:lastColumn="0" w:oddVBand="0" w:evenVBand="0" w:oddHBand="0" w:evenHBand="0" w:firstRowFirstColumn="0" w:firstRowLastColumn="0" w:lastRowFirstColumn="0" w:lastRowLastColumn="0"/>
                <w:tcW w:w="951" w:type="dxa"/>
                <w:noWrap/>
              </w:tcPr>
              <w:p w14:paraId="6088006D" w14:textId="77777777" w:rsidR="004E260E" w:rsidRPr="00EE147E" w:rsidRDefault="004E260E" w:rsidP="00EA178A">
                <w:pPr>
                  <w:spacing w:after="0"/>
                  <w:rPr>
                    <w:rFonts w:eastAsia="Times New Roman" w:cstheme="minorHAnsi"/>
                    <w:sz w:val="16"/>
                    <w:szCs w:val="16"/>
                  </w:rPr>
                </w:pPr>
                <w:r w:rsidRPr="00EE147E">
                  <w:rPr>
                    <w:sz w:val="16"/>
                    <w:szCs w:val="16"/>
                  </w:rPr>
                  <w:t>Rahali 2018</w:t>
                </w:r>
              </w:p>
            </w:tc>
            <w:tc>
              <w:tcPr>
                <w:tcW w:w="1494" w:type="dxa"/>
              </w:tcPr>
              <w:p w14:paraId="5C852F36" w14:textId="06D63C2C"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EE147E">
                  <w:rPr>
                    <w:sz w:val="16"/>
                    <w:szCs w:val="16"/>
                  </w:rPr>
                  <w:t>To evaluate the impact of e-liquid with or without nicotine on the epididymis of rats</w:t>
                </w:r>
                <w:r w:rsidR="000B0B63">
                  <w:rPr>
                    <w:sz w:val="16"/>
                    <w:szCs w:val="16"/>
                  </w:rPr>
                  <w:t>.</w:t>
                </w:r>
              </w:p>
            </w:tc>
            <w:tc>
              <w:tcPr>
                <w:tcW w:w="951" w:type="dxa"/>
              </w:tcPr>
              <w:p w14:paraId="7C710DBE"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EE147E">
                  <w:rPr>
                    <w:sz w:val="16"/>
                    <w:szCs w:val="16"/>
                  </w:rPr>
                  <w:t>Rats</w:t>
                </w:r>
              </w:p>
            </w:tc>
            <w:tc>
              <w:tcPr>
                <w:tcW w:w="885" w:type="dxa"/>
                <w:noWrap/>
              </w:tcPr>
              <w:p w14:paraId="18293E24"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EE147E">
                  <w:rPr>
                    <w:sz w:val="16"/>
                    <w:szCs w:val="16"/>
                  </w:rPr>
                  <w:t>100</w:t>
                </w:r>
              </w:p>
            </w:tc>
            <w:tc>
              <w:tcPr>
                <w:tcW w:w="984" w:type="dxa"/>
              </w:tcPr>
              <w:p w14:paraId="0141B855"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EE147E">
                  <w:rPr>
                    <w:sz w:val="16"/>
                    <w:szCs w:val="16"/>
                  </w:rPr>
                  <w:t>28 days</w:t>
                </w:r>
              </w:p>
            </w:tc>
            <w:tc>
              <w:tcPr>
                <w:tcW w:w="997" w:type="dxa"/>
              </w:tcPr>
              <w:p w14:paraId="514952C5"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EE147E">
                  <w:rPr>
                    <w:sz w:val="16"/>
                    <w:szCs w:val="16"/>
                  </w:rPr>
                  <w:t xml:space="preserve">Given injection of NaCl in [9g/L]. </w:t>
                </w:r>
              </w:p>
            </w:tc>
            <w:tc>
              <w:tcPr>
                <w:tcW w:w="1177" w:type="dxa"/>
              </w:tcPr>
              <w:p w14:paraId="04F92AC2" w14:textId="4CEEA17C"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EE147E">
                  <w:rPr>
                    <w:sz w:val="16"/>
                    <w:szCs w:val="16"/>
                  </w:rPr>
                  <w:t>NaCl with e</w:t>
                </w:r>
                <w:r w:rsidR="00887971">
                  <w:rPr>
                    <w:sz w:val="16"/>
                    <w:szCs w:val="16"/>
                  </w:rPr>
                  <w:noBreakHyphen/>
                </w:r>
                <w:r w:rsidRPr="00EE147E">
                  <w:rPr>
                    <w:sz w:val="16"/>
                    <w:szCs w:val="16"/>
                  </w:rPr>
                  <w:t>liquid containing nicotine or a nicotine-free e</w:t>
                </w:r>
                <w:r w:rsidR="00887971">
                  <w:rPr>
                    <w:sz w:val="16"/>
                    <w:szCs w:val="16"/>
                  </w:rPr>
                  <w:noBreakHyphen/>
                </w:r>
                <w:r w:rsidRPr="00EE147E">
                  <w:rPr>
                    <w:sz w:val="16"/>
                    <w:szCs w:val="16"/>
                  </w:rPr>
                  <w:t>liquid at 0.5mg/kg body weight/day</w:t>
                </w:r>
              </w:p>
            </w:tc>
            <w:tc>
              <w:tcPr>
                <w:tcW w:w="951" w:type="dxa"/>
              </w:tcPr>
              <w:p w14:paraId="65EA1596" w14:textId="384B7E36"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EE147E">
                  <w:rPr>
                    <w:sz w:val="16"/>
                    <w:szCs w:val="16"/>
                  </w:rPr>
                  <w:t>No- dose was lower/ day but entire dose was given at once</w:t>
                </w:r>
                <w:r w:rsidR="000B0B63">
                  <w:rPr>
                    <w:sz w:val="16"/>
                    <w:szCs w:val="16"/>
                  </w:rPr>
                  <w:t>.</w:t>
                </w:r>
              </w:p>
            </w:tc>
            <w:tc>
              <w:tcPr>
                <w:tcW w:w="1359" w:type="dxa"/>
              </w:tcPr>
              <w:p w14:paraId="604B15C6"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EE147E">
                  <w:rPr>
                    <w:sz w:val="16"/>
                    <w:szCs w:val="16"/>
                  </w:rPr>
                  <w:t>Rats sacrifice at 4 wks. Sperm count and eosine-nigrosine staining was conducted to estimate viability of sperm cells.</w:t>
                </w:r>
              </w:p>
            </w:tc>
            <w:tc>
              <w:tcPr>
                <w:tcW w:w="3294" w:type="dxa"/>
              </w:tcPr>
              <w:p w14:paraId="3B8F378E" w14:textId="56F86049"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EE147E">
                  <w:rPr>
                    <w:sz w:val="16"/>
                    <w:szCs w:val="16"/>
                  </w:rPr>
                  <w:t>E-liquid exposure induced a significant decrease in the epididymal spermatozoa number (Table 1). Sperm number was 32.3 ± 3.0 million/ml in the nicotine-free e-liquid rats and 38.4 ± 0.9 million/ml in the nicotine-containing e-liquid rats, and the sperm count reached 42.5 ± 2 million/ml in the control rats. Results showed a significant decrease in the percentage of viability for nicotine-free e-liquid and nicotine-containing e-liquid rats in comparison to the control group</w:t>
                </w:r>
                <w:r w:rsidR="000B0B63">
                  <w:rPr>
                    <w:sz w:val="16"/>
                    <w:szCs w:val="16"/>
                  </w:rPr>
                  <w:t>.</w:t>
                </w:r>
              </w:p>
            </w:tc>
            <w:tc>
              <w:tcPr>
                <w:tcW w:w="2267" w:type="dxa"/>
              </w:tcPr>
              <w:p w14:paraId="00530846" w14:textId="55B0D7E8"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EE147E">
                  <w:rPr>
                    <w:sz w:val="16"/>
                    <w:szCs w:val="16"/>
                  </w:rPr>
                  <w:t xml:space="preserve">E-liquid exposure led to decreased epididymal spermatozoa count (32.3 ± 3.0 million/ml in the </w:t>
                </w:r>
                <w:r w:rsidR="00792D5A">
                  <w:rPr>
                    <w:sz w:val="16"/>
                    <w:szCs w:val="16"/>
                  </w:rPr>
                  <w:t>e</w:t>
                </w:r>
                <w:r w:rsidRPr="00EE147E">
                  <w:rPr>
                    <w:sz w:val="16"/>
                    <w:szCs w:val="16"/>
                  </w:rPr>
                  <w:t>-liquid nicotine-free condition, 38.4 ± 0.9 million/ml in the nicotine-containing E-liquid, 42.5 ± 2 million/ml in the control). There were also fewer viable cells in the e-liquid conditions compared with the control. Testosterone levels in the e</w:t>
                </w:r>
                <w:r w:rsidR="00353B8B">
                  <w:rPr>
                    <w:sz w:val="16"/>
                    <w:szCs w:val="16"/>
                  </w:rPr>
                  <w:noBreakHyphen/>
                </w:r>
                <w:r w:rsidRPr="00EE147E">
                  <w:rPr>
                    <w:sz w:val="16"/>
                    <w:szCs w:val="16"/>
                  </w:rPr>
                  <w:t xml:space="preserve">liquid-exposed rats was also lower, while inflammatory and oxidative states were higher. </w:t>
                </w:r>
              </w:p>
            </w:tc>
          </w:tr>
          <w:tr w:rsidR="004E260E" w:rsidRPr="00EE147E" w14:paraId="2B9B2971" w14:textId="77777777" w:rsidTr="007967EB">
            <w:trPr>
              <w:cnfStyle w:val="000000100000" w:firstRow="0" w:lastRow="0" w:firstColumn="0" w:lastColumn="0" w:oddVBand="0" w:evenVBand="0" w:oddHBand="1" w:evenHBand="0" w:firstRowFirstColumn="0" w:firstRowLastColumn="0" w:lastRowFirstColumn="0" w:lastRowLastColumn="0"/>
              <w:trHeight w:val="1899"/>
            </w:trPr>
            <w:tc>
              <w:tcPr>
                <w:cnfStyle w:val="001000000000" w:firstRow="0" w:lastRow="0" w:firstColumn="1" w:lastColumn="0" w:oddVBand="0" w:evenVBand="0" w:oddHBand="0" w:evenHBand="0" w:firstRowFirstColumn="0" w:firstRowLastColumn="0" w:lastRowFirstColumn="0" w:lastRowLastColumn="0"/>
                <w:tcW w:w="951" w:type="dxa"/>
                <w:noWrap/>
                <w:hideMark/>
              </w:tcPr>
              <w:p w14:paraId="696812DE" w14:textId="77777777" w:rsidR="004E260E" w:rsidRPr="00EE147E" w:rsidRDefault="004E260E" w:rsidP="00EA178A">
                <w:pPr>
                  <w:spacing w:after="0"/>
                  <w:rPr>
                    <w:rFonts w:eastAsia="Times New Roman" w:cstheme="minorHAnsi"/>
                    <w:sz w:val="16"/>
                    <w:szCs w:val="16"/>
                  </w:rPr>
                </w:pPr>
                <w:r w:rsidRPr="00EE147E">
                  <w:rPr>
                    <w:rFonts w:eastAsia="Times New Roman" w:cstheme="minorHAnsi"/>
                    <w:sz w:val="16"/>
                    <w:szCs w:val="16"/>
                  </w:rPr>
                  <w:t>Rau 2017</w:t>
                </w:r>
              </w:p>
            </w:tc>
            <w:tc>
              <w:tcPr>
                <w:tcW w:w="1494" w:type="dxa"/>
                <w:hideMark/>
              </w:tcPr>
              <w:p w14:paraId="58A8B990"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EE147E">
                  <w:rPr>
                    <w:rFonts w:eastAsia="Times New Roman" w:cstheme="minorHAnsi"/>
                    <w:sz w:val="16"/>
                    <w:szCs w:val="16"/>
                  </w:rPr>
                  <w:t>To examine the toxic microcirculatory effects ECs may have in comparison with tobacco CIGs.</w:t>
                </w:r>
              </w:p>
            </w:tc>
            <w:tc>
              <w:tcPr>
                <w:tcW w:w="951" w:type="dxa"/>
                <w:hideMark/>
              </w:tcPr>
              <w:p w14:paraId="5BE39B95"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EE147E">
                  <w:rPr>
                    <w:rFonts w:eastAsia="Times New Roman" w:cstheme="minorHAnsi"/>
                    <w:sz w:val="16"/>
                    <w:szCs w:val="16"/>
                  </w:rPr>
                  <w:t>Rats</w:t>
                </w:r>
              </w:p>
            </w:tc>
            <w:tc>
              <w:tcPr>
                <w:tcW w:w="885" w:type="dxa"/>
                <w:noWrap/>
                <w:hideMark/>
              </w:tcPr>
              <w:p w14:paraId="45D48DE7"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EE147E">
                  <w:rPr>
                    <w:rFonts w:eastAsia="Times New Roman" w:cstheme="minorHAnsi"/>
                    <w:sz w:val="16"/>
                    <w:szCs w:val="16"/>
                  </w:rPr>
                  <w:t>NR</w:t>
                </w:r>
              </w:p>
            </w:tc>
            <w:tc>
              <w:tcPr>
                <w:tcW w:w="984" w:type="dxa"/>
                <w:hideMark/>
              </w:tcPr>
              <w:p w14:paraId="0654AA8B"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EE147E">
                  <w:rPr>
                    <w:rFonts w:eastAsia="Times New Roman" w:cstheme="minorHAnsi"/>
                    <w:sz w:val="16"/>
                    <w:szCs w:val="16"/>
                  </w:rPr>
                  <w:t>5 wks</w:t>
                </w:r>
              </w:p>
            </w:tc>
            <w:tc>
              <w:tcPr>
                <w:tcW w:w="997" w:type="dxa"/>
                <w:hideMark/>
              </w:tcPr>
              <w:p w14:paraId="791F3EE1" w14:textId="7CAECC14"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EE147E">
                  <w:rPr>
                    <w:rFonts w:eastAsia="Times New Roman" w:cstheme="minorHAnsi"/>
                    <w:sz w:val="16"/>
                    <w:szCs w:val="16"/>
                  </w:rPr>
                  <w:t>Exposure to room air</w:t>
                </w:r>
                <w:r w:rsidR="000B0B63">
                  <w:rPr>
                    <w:rFonts w:eastAsia="Times New Roman" w:cstheme="minorHAnsi"/>
                    <w:sz w:val="16"/>
                    <w:szCs w:val="16"/>
                  </w:rPr>
                  <w:t>.</w:t>
                </w:r>
              </w:p>
            </w:tc>
            <w:tc>
              <w:tcPr>
                <w:tcW w:w="1177" w:type="dxa"/>
                <w:hideMark/>
              </w:tcPr>
              <w:p w14:paraId="3EBC3A45"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EE147E">
                  <w:rPr>
                    <w:rFonts w:eastAsia="Times New Roman" w:cstheme="minorHAnsi"/>
                    <w:sz w:val="16"/>
                    <w:szCs w:val="16"/>
                  </w:rPr>
                  <w:t>Tobacco smoke OR medium nicotine content (1.2%- 12mg/mL) EC vapour OR high nicotine content (2.4%- 24mg/mL) EC vapour.</w:t>
                </w:r>
              </w:p>
            </w:tc>
            <w:tc>
              <w:tcPr>
                <w:tcW w:w="951" w:type="dxa"/>
              </w:tcPr>
              <w:p w14:paraId="56143EB5" w14:textId="2B47F7C9"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EE147E">
                  <w:rPr>
                    <w:rFonts w:eastAsia="Times New Roman" w:cstheme="minorHAnsi"/>
                    <w:sz w:val="16"/>
                    <w:szCs w:val="16"/>
                  </w:rPr>
                  <w:t>NR, however dose is likely equivalent as indicated by cotinine and nicotine plasma levels</w:t>
                </w:r>
                <w:r w:rsidR="000B0B63">
                  <w:rPr>
                    <w:rFonts w:eastAsia="Times New Roman" w:cstheme="minorHAnsi"/>
                    <w:sz w:val="16"/>
                    <w:szCs w:val="16"/>
                  </w:rPr>
                  <w:t>.</w:t>
                </w:r>
              </w:p>
            </w:tc>
            <w:tc>
              <w:tcPr>
                <w:tcW w:w="1359" w:type="dxa"/>
                <w:hideMark/>
              </w:tcPr>
              <w:p w14:paraId="61B69732"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EE147E">
                  <w:rPr>
                    <w:rFonts w:eastAsia="Times New Roman" w:cstheme="minorHAnsi"/>
                    <w:sz w:val="16"/>
                    <w:szCs w:val="16"/>
                  </w:rPr>
                  <w:t>Skin flaps were assessed at 4 and 5 wks. After 5 wks rats were euthanized and nicotine, cotinine, flap tissues were analysed.</w:t>
                </w:r>
              </w:p>
            </w:tc>
            <w:tc>
              <w:tcPr>
                <w:tcW w:w="3294" w:type="dxa"/>
                <w:hideMark/>
              </w:tcPr>
              <w:p w14:paraId="34D33327"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EE147E">
                  <w:rPr>
                    <w:rFonts w:eastAsia="Times New Roman" w:cstheme="minorHAnsi"/>
                    <w:sz w:val="16"/>
                    <w:szCs w:val="16"/>
                  </w:rPr>
                  <w:t>Skin flap survival was significantly reduced and immunoreactivity for hypoxia was increased among the EC and tobacco groups when compared with the control group. Serum nicotine and cotinine was higher among rats exposed to CIG smoker when compared with EC-exposed rats. Both were higher than the control group exposed to room air. There was no correlation between cotinine levels and gross necrosis.</w:t>
                </w:r>
              </w:p>
            </w:tc>
            <w:tc>
              <w:tcPr>
                <w:tcW w:w="2267" w:type="dxa"/>
                <w:hideMark/>
              </w:tcPr>
              <w:p w14:paraId="255E3EC7" w14:textId="77777777" w:rsidR="004E260E" w:rsidRPr="00EE147E" w:rsidRDefault="004E260E" w:rsidP="00EA178A">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EE147E">
                  <w:rPr>
                    <w:rFonts w:eastAsia="Times New Roman" w:cstheme="minorHAnsi"/>
                    <w:sz w:val="16"/>
                    <w:szCs w:val="16"/>
                  </w:rPr>
                  <w:t>Nicotine exposure, regardless of whether it is from ECs or tobacco CIGs, led to skin flap necrosis and hypoxia. Thus, ECs have similar skin-flap toxicity as tobacco CIGs.</w:t>
                </w:r>
              </w:p>
            </w:tc>
          </w:tr>
          <w:tr w:rsidR="004E260E" w:rsidRPr="00EE147E" w14:paraId="36771EC7" w14:textId="77777777" w:rsidTr="007967EB">
            <w:trPr>
              <w:trHeight w:val="2041"/>
            </w:trPr>
            <w:tc>
              <w:tcPr>
                <w:cnfStyle w:val="001000000000" w:firstRow="0" w:lastRow="0" w:firstColumn="1" w:lastColumn="0" w:oddVBand="0" w:evenVBand="0" w:oddHBand="0" w:evenHBand="0" w:firstRowFirstColumn="0" w:firstRowLastColumn="0" w:lastRowFirstColumn="0" w:lastRowLastColumn="0"/>
                <w:tcW w:w="951" w:type="dxa"/>
                <w:noWrap/>
                <w:hideMark/>
              </w:tcPr>
              <w:p w14:paraId="7A91A306" w14:textId="77777777" w:rsidR="004E260E" w:rsidRPr="00EE147E" w:rsidRDefault="004E260E" w:rsidP="00EA178A">
                <w:pPr>
                  <w:spacing w:after="0"/>
                  <w:rPr>
                    <w:rFonts w:eastAsia="Times New Roman" w:cstheme="minorHAnsi"/>
                    <w:sz w:val="16"/>
                    <w:szCs w:val="16"/>
                  </w:rPr>
                </w:pPr>
                <w:r w:rsidRPr="00EE147E">
                  <w:rPr>
                    <w:rFonts w:eastAsia="Times New Roman" w:cstheme="minorHAnsi"/>
                    <w:sz w:val="16"/>
                    <w:szCs w:val="16"/>
                  </w:rPr>
                  <w:lastRenderedPageBreak/>
                  <w:t>Reinikovaite 2018</w:t>
                </w:r>
              </w:p>
            </w:tc>
            <w:tc>
              <w:tcPr>
                <w:tcW w:w="1494" w:type="dxa"/>
                <w:hideMark/>
              </w:tcPr>
              <w:p w14:paraId="40280841"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EE147E">
                  <w:rPr>
                    <w:rFonts w:eastAsia="Times New Roman" w:cstheme="minorHAnsi"/>
                    <w:sz w:val="16"/>
                    <w:szCs w:val="16"/>
                  </w:rPr>
                  <w:t>To examine whether long-term exposure to EC vapour or nicotine produce the same effect on the lung structure and vasculature as tobacco smoke.</w:t>
                </w:r>
              </w:p>
            </w:tc>
            <w:tc>
              <w:tcPr>
                <w:tcW w:w="951" w:type="dxa"/>
                <w:hideMark/>
              </w:tcPr>
              <w:p w14:paraId="5AD16ED1" w14:textId="1EE823CE"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EE147E">
                  <w:rPr>
                    <w:rFonts w:eastAsia="Times New Roman" w:cstheme="minorHAnsi"/>
                    <w:sz w:val="16"/>
                    <w:szCs w:val="16"/>
                  </w:rPr>
                  <w:t>Rats (Sprague-Dawley)</w:t>
                </w:r>
                <w:r w:rsidR="000B0B63">
                  <w:rPr>
                    <w:rFonts w:eastAsia="Times New Roman" w:cstheme="minorHAnsi"/>
                    <w:sz w:val="16"/>
                    <w:szCs w:val="16"/>
                  </w:rPr>
                  <w:t>.</w:t>
                </w:r>
              </w:p>
            </w:tc>
            <w:tc>
              <w:tcPr>
                <w:tcW w:w="885" w:type="dxa"/>
                <w:noWrap/>
                <w:hideMark/>
              </w:tcPr>
              <w:p w14:paraId="2F953386"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EE147E">
                  <w:rPr>
                    <w:rFonts w:eastAsia="Times New Roman" w:cstheme="minorHAnsi"/>
                    <w:sz w:val="16"/>
                    <w:szCs w:val="16"/>
                  </w:rPr>
                  <w:t>NR</w:t>
                </w:r>
              </w:p>
            </w:tc>
            <w:tc>
              <w:tcPr>
                <w:tcW w:w="984" w:type="dxa"/>
                <w:hideMark/>
              </w:tcPr>
              <w:p w14:paraId="09E66F3A" w14:textId="6BCF33FA"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EE147E">
                  <w:rPr>
                    <w:rFonts w:eastAsia="Times New Roman" w:cstheme="minorHAnsi"/>
                    <w:sz w:val="16"/>
                    <w:szCs w:val="16"/>
                  </w:rPr>
                  <w:t>2x2hr sessions/d for 6 wks</w:t>
                </w:r>
                <w:r w:rsidR="000B0B63">
                  <w:rPr>
                    <w:rFonts w:eastAsia="Times New Roman" w:cstheme="minorHAnsi"/>
                    <w:sz w:val="16"/>
                    <w:szCs w:val="16"/>
                  </w:rPr>
                  <w:t>.</w:t>
                </w:r>
              </w:p>
            </w:tc>
            <w:tc>
              <w:tcPr>
                <w:tcW w:w="997" w:type="dxa"/>
                <w:hideMark/>
              </w:tcPr>
              <w:p w14:paraId="6845CBD9" w14:textId="15B3D315"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EE147E">
                  <w:rPr>
                    <w:rFonts w:eastAsia="Times New Roman" w:cstheme="minorHAnsi"/>
                    <w:sz w:val="16"/>
                    <w:szCs w:val="16"/>
                  </w:rPr>
                  <w:t>Exposure to room air</w:t>
                </w:r>
                <w:r w:rsidR="000B0B63">
                  <w:rPr>
                    <w:rFonts w:eastAsia="Times New Roman" w:cstheme="minorHAnsi"/>
                    <w:sz w:val="16"/>
                    <w:szCs w:val="16"/>
                  </w:rPr>
                  <w:t>.</w:t>
                </w:r>
              </w:p>
            </w:tc>
            <w:tc>
              <w:tcPr>
                <w:tcW w:w="1177" w:type="dxa"/>
                <w:hideMark/>
              </w:tcPr>
              <w:p w14:paraId="58AA447C"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EE147E">
                  <w:rPr>
                    <w:rFonts w:eastAsia="Times New Roman" w:cstheme="minorHAnsi"/>
                    <w:sz w:val="16"/>
                    <w:szCs w:val="16"/>
                  </w:rPr>
                  <w:t>IV nicotine injections (25ng/mL) comparable to vapour produced in EC machines for habitual smokers OR EC vapour (12mg/mL nicotine) OR CIG smoke.</w:t>
                </w:r>
              </w:p>
            </w:tc>
            <w:tc>
              <w:tcPr>
                <w:tcW w:w="951" w:type="dxa"/>
              </w:tcPr>
              <w:p w14:paraId="17121E2B" w14:textId="26D5BECF"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EE147E">
                  <w:rPr>
                    <w:rFonts w:eastAsia="Times New Roman" w:cstheme="minorHAnsi"/>
                    <w:sz w:val="16"/>
                    <w:szCs w:val="16"/>
                  </w:rPr>
                  <w:t>Yes (designed to replicate EC use in humans)</w:t>
                </w:r>
                <w:r w:rsidR="000B0B63">
                  <w:rPr>
                    <w:rFonts w:eastAsia="Times New Roman" w:cstheme="minorHAnsi"/>
                    <w:sz w:val="16"/>
                    <w:szCs w:val="16"/>
                  </w:rPr>
                  <w:t>.</w:t>
                </w:r>
              </w:p>
            </w:tc>
            <w:tc>
              <w:tcPr>
                <w:tcW w:w="1359" w:type="dxa"/>
                <w:hideMark/>
              </w:tcPr>
              <w:p w14:paraId="2D1C1849"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EE147E">
                  <w:rPr>
                    <w:rFonts w:eastAsia="Times New Roman" w:cstheme="minorHAnsi"/>
                    <w:sz w:val="16"/>
                    <w:szCs w:val="16"/>
                  </w:rPr>
                  <w:t>At the end of the exposure, rats were sacrificed and the mean alveolar airspace enlargement was measured.</w:t>
                </w:r>
              </w:p>
            </w:tc>
            <w:tc>
              <w:tcPr>
                <w:tcW w:w="3294" w:type="dxa"/>
                <w:hideMark/>
              </w:tcPr>
              <w:p w14:paraId="29DC78FF"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EE147E">
                  <w:rPr>
                    <w:rFonts w:eastAsia="Times New Roman" w:cstheme="minorHAnsi"/>
                    <w:sz w:val="16"/>
                    <w:szCs w:val="16"/>
                  </w:rPr>
                  <w:t>EC vapour, IV nicotine and traditional CIG smoke all led to significant emphysematous lung destruction compared with the control (room air). The capillary count was decreased in IV nicotine, CIG and EC vapour compared with the control. EC and CIG smoke both had lower capillary counts in comparison to nicotine alone. Serum nicotine and cotinine were higher among CIG smoke than EC vapour.</w:t>
                </w:r>
              </w:p>
            </w:tc>
            <w:tc>
              <w:tcPr>
                <w:tcW w:w="2267" w:type="dxa"/>
                <w:hideMark/>
              </w:tcPr>
              <w:p w14:paraId="0A1A8543" w14:textId="77777777" w:rsidR="004E260E" w:rsidRPr="00EE147E" w:rsidRDefault="004E260E" w:rsidP="00EA178A">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EE147E">
                  <w:rPr>
                    <w:rFonts w:eastAsia="Times New Roman" w:cstheme="minorHAnsi"/>
                    <w:sz w:val="16"/>
                    <w:szCs w:val="16"/>
                  </w:rPr>
                  <w:t>"Our results clearly demonstrate that ECs are as damaging to pulmonary structures as traditional tobacco CIGs. The emphysematous changes seen in CIG smoke exposed rat lungs are also abundantly apparent in EC- and in nicotine-treated rat lungs."</w:t>
                </w:r>
              </w:p>
            </w:tc>
          </w:tr>
        </w:tbl>
        <w:p w14:paraId="12E47E0E" w14:textId="77777777" w:rsidR="004E260E" w:rsidRPr="00EE147E" w:rsidRDefault="004E260E" w:rsidP="004E260E">
          <w:pPr>
            <w:rPr>
              <w:sz w:val="16"/>
              <w:szCs w:val="16"/>
            </w:rPr>
          </w:pPr>
          <w:r w:rsidRPr="00EE147E">
            <w:rPr>
              <w:sz w:val="16"/>
              <w:szCs w:val="16"/>
            </w:rPr>
            <w:t>d: day; CIG: traditional tobacco cigarette EC: e-cigarette; FC: Frontal cortex; HIP: hippocampus; Hr: hour; ICSS: intracranial self-stimulation; NR: not reported; STR: striatum</w:t>
          </w:r>
        </w:p>
        <w:p w14:paraId="62C496AE" w14:textId="77777777" w:rsidR="004E260E" w:rsidRPr="00EE147E" w:rsidRDefault="004E260E">
          <w:pPr>
            <w:spacing w:after="0"/>
            <w:rPr>
              <w:sz w:val="24"/>
            </w:rPr>
          </w:pPr>
          <w:r w:rsidRPr="00EE147E">
            <w:br w:type="page"/>
          </w:r>
        </w:p>
        <w:p w14:paraId="2AD588DF" w14:textId="77777777" w:rsidR="00FA2CBA" w:rsidRPr="00EE147E" w:rsidRDefault="00FA2CBA" w:rsidP="00FA2CBA">
          <w:pPr>
            <w:pStyle w:val="Caption"/>
          </w:pPr>
          <w:bookmarkStart w:id="111" w:name="_Toc517707418"/>
          <w:r w:rsidRPr="00EE147E">
            <w:lastRenderedPageBreak/>
            <w:t xml:space="preserve">Table </w:t>
          </w:r>
          <w:r w:rsidR="0048064B">
            <w:rPr>
              <w:noProof/>
            </w:rPr>
            <w:fldChar w:fldCharType="begin"/>
          </w:r>
          <w:r w:rsidR="0048064B">
            <w:rPr>
              <w:noProof/>
            </w:rPr>
            <w:instrText xml:space="preserve"> SEQ Table \* ARABIC </w:instrText>
          </w:r>
          <w:r w:rsidR="0048064B">
            <w:rPr>
              <w:noProof/>
            </w:rPr>
            <w:fldChar w:fldCharType="separate"/>
          </w:r>
          <w:r w:rsidR="000C06DA">
            <w:rPr>
              <w:noProof/>
            </w:rPr>
            <w:t>9</w:t>
          </w:r>
          <w:r w:rsidR="0048064B">
            <w:rPr>
              <w:noProof/>
            </w:rPr>
            <w:fldChar w:fldCharType="end"/>
          </w:r>
          <w:r w:rsidRPr="00EE147E">
            <w:t xml:space="preserve">: </w:t>
          </w:r>
          <w:r w:rsidR="00955544" w:rsidRPr="00EE147E">
            <w:t>Data from i</w:t>
          </w:r>
          <w:r w:rsidRPr="00EE147E">
            <w:t xml:space="preserve">n </w:t>
          </w:r>
          <w:r w:rsidR="00955544" w:rsidRPr="00EE147E">
            <w:t>v</w:t>
          </w:r>
          <w:r w:rsidRPr="00EE147E">
            <w:t>itro stud</w:t>
          </w:r>
          <w:r w:rsidR="00955544" w:rsidRPr="00EE147E">
            <w:t>ies</w:t>
          </w:r>
          <w:bookmarkEnd w:id="111"/>
        </w:p>
        <w:tbl>
          <w:tblPr>
            <w:tblStyle w:val="TableCSIRO"/>
            <w:tblW w:w="15196" w:type="dxa"/>
            <w:tblLayout w:type="fixed"/>
            <w:tblLook w:val="04A0" w:firstRow="1" w:lastRow="0" w:firstColumn="1" w:lastColumn="0" w:noHBand="0" w:noVBand="1"/>
          </w:tblPr>
          <w:tblGrid>
            <w:gridCol w:w="1107"/>
            <w:gridCol w:w="1356"/>
            <w:gridCol w:w="740"/>
            <w:gridCol w:w="961"/>
            <w:gridCol w:w="1134"/>
            <w:gridCol w:w="993"/>
            <w:gridCol w:w="1559"/>
            <w:gridCol w:w="4795"/>
            <w:gridCol w:w="2551"/>
          </w:tblGrid>
          <w:tr w:rsidR="004F3018" w:rsidRPr="00EE147E" w14:paraId="4F55EA9D" w14:textId="77777777" w:rsidTr="00A52CF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07" w:type="dxa"/>
              </w:tcPr>
              <w:p w14:paraId="5CF0AFEC" w14:textId="77777777" w:rsidR="004F3018" w:rsidRPr="00EE147E" w:rsidRDefault="004F3018" w:rsidP="004E260E">
                <w:pPr>
                  <w:spacing w:after="0"/>
                  <w:rPr>
                    <w:color w:val="FFFFFF" w:themeColor="background1"/>
                    <w:sz w:val="16"/>
                    <w:szCs w:val="16"/>
                  </w:rPr>
                </w:pPr>
                <w:r w:rsidRPr="00EE147E">
                  <w:rPr>
                    <w:color w:val="FFFFFF" w:themeColor="background1"/>
                    <w:sz w:val="16"/>
                    <w:szCs w:val="16"/>
                  </w:rPr>
                  <w:t>Study reference</w:t>
                </w:r>
              </w:p>
            </w:tc>
            <w:tc>
              <w:tcPr>
                <w:tcW w:w="1356" w:type="dxa"/>
              </w:tcPr>
              <w:p w14:paraId="1899D391" w14:textId="77777777" w:rsidR="004F3018" w:rsidRPr="00EE147E" w:rsidRDefault="004F3018" w:rsidP="004E260E">
                <w:pPr>
                  <w:spacing w:after="0"/>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EE147E">
                  <w:rPr>
                    <w:color w:val="FFFFFF" w:themeColor="background1"/>
                    <w:sz w:val="16"/>
                    <w:szCs w:val="16"/>
                  </w:rPr>
                  <w:t>Study objectives</w:t>
                </w:r>
              </w:p>
            </w:tc>
            <w:tc>
              <w:tcPr>
                <w:tcW w:w="740" w:type="dxa"/>
              </w:tcPr>
              <w:p w14:paraId="60562B8E" w14:textId="77777777" w:rsidR="004F3018" w:rsidRPr="00EE147E" w:rsidRDefault="004F3018" w:rsidP="004E260E">
                <w:pPr>
                  <w:spacing w:after="0"/>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EE147E">
                  <w:rPr>
                    <w:color w:val="FFFFFF" w:themeColor="background1"/>
                    <w:sz w:val="16"/>
                    <w:szCs w:val="16"/>
                  </w:rPr>
                  <w:t>Species</w:t>
                </w:r>
              </w:p>
            </w:tc>
            <w:tc>
              <w:tcPr>
                <w:tcW w:w="961" w:type="dxa"/>
              </w:tcPr>
              <w:p w14:paraId="64D1C42B" w14:textId="77777777" w:rsidR="004F3018" w:rsidRPr="00EE147E" w:rsidRDefault="004F3018" w:rsidP="004E260E">
                <w:pPr>
                  <w:spacing w:after="0"/>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EE147E">
                  <w:rPr>
                    <w:color w:val="FFFFFF" w:themeColor="background1"/>
                    <w:sz w:val="16"/>
                    <w:szCs w:val="16"/>
                  </w:rPr>
                  <w:t>Control exposure</w:t>
                </w:r>
              </w:p>
            </w:tc>
            <w:tc>
              <w:tcPr>
                <w:tcW w:w="1134" w:type="dxa"/>
              </w:tcPr>
              <w:p w14:paraId="5E5FA0CD" w14:textId="77777777" w:rsidR="004F3018" w:rsidRPr="00EE147E" w:rsidRDefault="004F3018" w:rsidP="004E260E">
                <w:pPr>
                  <w:spacing w:after="0"/>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EE147E">
                  <w:rPr>
                    <w:color w:val="FFFFFF" w:themeColor="background1"/>
                    <w:sz w:val="16"/>
                    <w:szCs w:val="16"/>
                  </w:rPr>
                  <w:t>Experimental exposure</w:t>
                </w:r>
              </w:p>
            </w:tc>
            <w:tc>
              <w:tcPr>
                <w:tcW w:w="993" w:type="dxa"/>
              </w:tcPr>
              <w:p w14:paraId="15A8C9FE" w14:textId="77777777" w:rsidR="004F3018" w:rsidRPr="00EE147E" w:rsidRDefault="004F3018" w:rsidP="004E260E">
                <w:pPr>
                  <w:spacing w:after="0"/>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EE147E">
                  <w:rPr>
                    <w:color w:val="FFFFFF" w:themeColor="background1"/>
                    <w:sz w:val="16"/>
                    <w:szCs w:val="16"/>
                  </w:rPr>
                  <w:t>Cells</w:t>
                </w:r>
              </w:p>
            </w:tc>
            <w:tc>
              <w:tcPr>
                <w:tcW w:w="1559" w:type="dxa"/>
              </w:tcPr>
              <w:p w14:paraId="0759CFDF" w14:textId="77777777" w:rsidR="004F3018" w:rsidRPr="00EE147E" w:rsidRDefault="004F3018" w:rsidP="004E260E">
                <w:pPr>
                  <w:spacing w:after="0"/>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EE147E">
                  <w:rPr>
                    <w:color w:val="FFFFFF" w:themeColor="background1"/>
                    <w:sz w:val="16"/>
                    <w:szCs w:val="16"/>
                  </w:rPr>
                  <w:t>Further notes on study protocol</w:t>
                </w:r>
              </w:p>
            </w:tc>
            <w:tc>
              <w:tcPr>
                <w:tcW w:w="4795" w:type="dxa"/>
              </w:tcPr>
              <w:p w14:paraId="1B885323" w14:textId="77777777" w:rsidR="004F3018" w:rsidRPr="00EE147E" w:rsidRDefault="004F3018" w:rsidP="004E260E">
                <w:pPr>
                  <w:spacing w:after="0"/>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EE147E">
                  <w:rPr>
                    <w:color w:val="FFFFFF" w:themeColor="background1"/>
                    <w:sz w:val="16"/>
                    <w:szCs w:val="16"/>
                  </w:rPr>
                  <w:t>Outcome(s)</w:t>
                </w:r>
              </w:p>
            </w:tc>
            <w:tc>
              <w:tcPr>
                <w:tcW w:w="2551" w:type="dxa"/>
              </w:tcPr>
              <w:p w14:paraId="57EA373C" w14:textId="77777777" w:rsidR="004F3018" w:rsidRPr="00EE147E" w:rsidRDefault="004F3018" w:rsidP="004E260E">
                <w:pPr>
                  <w:spacing w:after="0"/>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EE147E">
                  <w:rPr>
                    <w:color w:val="FFFFFF" w:themeColor="background1"/>
                    <w:sz w:val="16"/>
                    <w:szCs w:val="16"/>
                  </w:rPr>
                  <w:t>Conclusion(s)</w:t>
                </w:r>
              </w:p>
            </w:tc>
          </w:tr>
          <w:tr w:rsidR="00FA2CBA" w:rsidRPr="00EE147E" w14:paraId="73BEAAA8" w14:textId="77777777" w:rsidTr="00A52C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7" w:type="dxa"/>
              </w:tcPr>
              <w:p w14:paraId="2E165F81" w14:textId="77777777" w:rsidR="00FA2CBA" w:rsidRPr="00EE147E" w:rsidRDefault="00FA2CBA" w:rsidP="00FA2CBA">
                <w:pPr>
                  <w:spacing w:after="0"/>
                  <w:rPr>
                    <w:sz w:val="16"/>
                    <w:szCs w:val="16"/>
                  </w:rPr>
                </w:pPr>
                <w:r w:rsidRPr="00EE147E">
                  <w:rPr>
                    <w:rFonts w:eastAsia="Times New Roman" w:cs="Calibri"/>
                    <w:sz w:val="16"/>
                    <w:szCs w:val="16"/>
                  </w:rPr>
                  <w:t>Antherieu 2017</w:t>
                </w:r>
              </w:p>
            </w:tc>
            <w:tc>
              <w:tcPr>
                <w:tcW w:w="1356" w:type="dxa"/>
              </w:tcPr>
              <w:p w14:paraId="2B5AA2DE" w14:textId="77777777" w:rsidR="00FA2CBA" w:rsidRPr="00EE147E" w:rsidRDefault="00FA2CBA" w:rsidP="00FA2CBA">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EE147E">
                  <w:rPr>
                    <w:rFonts w:eastAsia="Times New Roman" w:cs="Calibri"/>
                    <w:sz w:val="16"/>
                    <w:szCs w:val="16"/>
                  </w:rPr>
                  <w:t>To investigate the toxicity of e-vapours in human bronchial epithelial BEAS-2B cells in comparison to CIG smoke.</w:t>
                </w:r>
              </w:p>
            </w:tc>
            <w:tc>
              <w:tcPr>
                <w:tcW w:w="740" w:type="dxa"/>
              </w:tcPr>
              <w:p w14:paraId="4F26F1AB" w14:textId="77777777" w:rsidR="00FA2CBA" w:rsidRPr="00EE147E" w:rsidRDefault="00FA2CBA" w:rsidP="00FA2CBA">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EE147E">
                  <w:rPr>
                    <w:rFonts w:eastAsia="Times New Roman" w:cs="Calibri"/>
                    <w:sz w:val="16"/>
                    <w:szCs w:val="16"/>
                  </w:rPr>
                  <w:t>Human</w:t>
                </w:r>
              </w:p>
            </w:tc>
            <w:tc>
              <w:tcPr>
                <w:tcW w:w="961" w:type="dxa"/>
              </w:tcPr>
              <w:p w14:paraId="241210DA" w14:textId="4413B6F4" w:rsidR="00FA2CBA" w:rsidRPr="00EE147E" w:rsidRDefault="00FA2CBA" w:rsidP="00FA2CBA">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EE147E">
                  <w:rPr>
                    <w:rFonts w:eastAsia="Times New Roman" w:cs="Calibri"/>
                    <w:sz w:val="16"/>
                    <w:szCs w:val="16"/>
                  </w:rPr>
                  <w:t>CIG smoke</w:t>
                </w:r>
                <w:r w:rsidR="000B0B63">
                  <w:rPr>
                    <w:rFonts w:eastAsia="Times New Roman" w:cs="Calibri"/>
                    <w:sz w:val="16"/>
                    <w:szCs w:val="16"/>
                  </w:rPr>
                  <w:t>.</w:t>
                </w:r>
              </w:p>
            </w:tc>
            <w:tc>
              <w:tcPr>
                <w:tcW w:w="1134" w:type="dxa"/>
              </w:tcPr>
              <w:p w14:paraId="641D4BF7" w14:textId="522FFD73" w:rsidR="00FA2CBA" w:rsidRPr="00EE147E" w:rsidRDefault="00FA2CBA" w:rsidP="00FA2CBA">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EE147E">
                  <w:rPr>
                    <w:rFonts w:eastAsia="Times New Roman" w:cs="Calibri"/>
                    <w:sz w:val="16"/>
                    <w:szCs w:val="16"/>
                  </w:rPr>
                  <w:t>EC vapours (6 different vapours used)</w:t>
                </w:r>
                <w:r w:rsidR="000B0B63">
                  <w:rPr>
                    <w:rFonts w:eastAsia="Times New Roman" w:cs="Calibri"/>
                    <w:sz w:val="16"/>
                    <w:szCs w:val="16"/>
                  </w:rPr>
                  <w:t>.</w:t>
                </w:r>
              </w:p>
            </w:tc>
            <w:tc>
              <w:tcPr>
                <w:tcW w:w="993" w:type="dxa"/>
              </w:tcPr>
              <w:p w14:paraId="52F83B97" w14:textId="77777777" w:rsidR="00FA2CBA" w:rsidRPr="00EE147E" w:rsidRDefault="00FA2CBA" w:rsidP="00FA2CBA">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EE147E">
                  <w:rPr>
                    <w:rFonts w:eastAsia="Times New Roman" w:cs="Calibri"/>
                    <w:sz w:val="16"/>
                    <w:szCs w:val="16"/>
                  </w:rPr>
                  <w:t>Bronchial epithelial BEAS-2B cells.</w:t>
                </w:r>
              </w:p>
            </w:tc>
            <w:tc>
              <w:tcPr>
                <w:tcW w:w="1559" w:type="dxa"/>
              </w:tcPr>
              <w:p w14:paraId="1812E92C" w14:textId="77777777" w:rsidR="00FA2CBA" w:rsidRPr="00EE147E" w:rsidRDefault="00FA2CBA" w:rsidP="00FA2CBA">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EE147E">
                  <w:rPr>
                    <w:rFonts w:eastAsia="Times New Roman" w:cs="Calibri"/>
                    <w:sz w:val="16"/>
                    <w:szCs w:val="16"/>
                  </w:rPr>
                  <w:t>Determined cytotoxicity, glutathione contents, secreted mediators of inflammation, RNA and DNA analysis.</w:t>
                </w:r>
              </w:p>
            </w:tc>
            <w:tc>
              <w:tcPr>
                <w:tcW w:w="4795" w:type="dxa"/>
              </w:tcPr>
              <w:p w14:paraId="2888043E" w14:textId="77777777" w:rsidR="00FA2CBA" w:rsidRPr="00EE147E" w:rsidRDefault="00FA2CBA" w:rsidP="00FA2CBA">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EE147E">
                  <w:rPr>
                    <w:rFonts w:eastAsia="Times New Roman" w:cs="Calibri"/>
                    <w:sz w:val="16"/>
                    <w:szCs w:val="16"/>
                  </w:rPr>
                  <w:t>No significant cytotoxic effects on BEAS-2B cells were found for any of the ECs at any time point. CIG smoke caused intracellular ATP changes with 48 minute exposures and also reduced cell viability after 96 min exposures. Acute EC or regular CIG exposures led to oxidative stress (elevated intracellular GSH and GSSG), however there was no alterations 3h after exposures. IL-6 secretion (inflammatory marker) was elevated after EC use and CIG smoke. However, CIG smoke also led to increased IL-8. Fewer genes were up- or down-regulated by EC exposure compared with CIG smoke.</w:t>
                </w:r>
              </w:p>
            </w:tc>
            <w:tc>
              <w:tcPr>
                <w:tcW w:w="2551" w:type="dxa"/>
              </w:tcPr>
              <w:p w14:paraId="05178E67" w14:textId="4CB8C780" w:rsidR="00FA2CBA" w:rsidRPr="00EE147E" w:rsidRDefault="00FA2CBA" w:rsidP="00FA2CBA">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EE147E">
                  <w:rPr>
                    <w:rFonts w:eastAsia="Times New Roman" w:cs="Calibri"/>
                    <w:sz w:val="16"/>
                    <w:szCs w:val="16"/>
                  </w:rPr>
                  <w:t>"These results strongly suggest a lower toxicity of e-vapours compared to CIG smoke in the BEAS-2B cell line and constitute a baseline for further experimental studies with a larger spectrum of e</w:t>
                </w:r>
                <w:r w:rsidR="00353B8B">
                  <w:rPr>
                    <w:rFonts w:eastAsia="Times New Roman" w:cs="Calibri"/>
                    <w:sz w:val="16"/>
                    <w:szCs w:val="16"/>
                  </w:rPr>
                  <w:noBreakHyphen/>
                </w:r>
                <w:r w:rsidRPr="00EE147E">
                  <w:rPr>
                    <w:rFonts w:eastAsia="Times New Roman" w:cs="Calibri"/>
                    <w:sz w:val="16"/>
                    <w:szCs w:val="16"/>
                  </w:rPr>
                  <w:t>liquids and e-cig</w:t>
                </w:r>
                <w:r w:rsidR="00887971">
                  <w:rPr>
                    <w:rFonts w:eastAsia="Times New Roman" w:cs="Calibri"/>
                    <w:sz w:val="16"/>
                    <w:szCs w:val="16"/>
                  </w:rPr>
                  <w:t>arette</w:t>
                </w:r>
                <w:r w:rsidRPr="00EE147E">
                  <w:rPr>
                    <w:rFonts w:eastAsia="Times New Roman" w:cs="Calibri"/>
                    <w:sz w:val="16"/>
                    <w:szCs w:val="16"/>
                  </w:rPr>
                  <w:t xml:space="preserve"> models."</w:t>
                </w:r>
              </w:p>
            </w:tc>
          </w:tr>
          <w:tr w:rsidR="00FA2CBA" w:rsidRPr="00EE147E" w14:paraId="13EAF4E4" w14:textId="77777777" w:rsidTr="00A52CF8">
            <w:tc>
              <w:tcPr>
                <w:cnfStyle w:val="001000000000" w:firstRow="0" w:lastRow="0" w:firstColumn="1" w:lastColumn="0" w:oddVBand="0" w:evenVBand="0" w:oddHBand="0" w:evenHBand="0" w:firstRowFirstColumn="0" w:firstRowLastColumn="0" w:lastRowFirstColumn="0" w:lastRowLastColumn="0"/>
                <w:tcW w:w="1107" w:type="dxa"/>
              </w:tcPr>
              <w:p w14:paraId="74A5D36F" w14:textId="77777777" w:rsidR="00FA2CBA" w:rsidRPr="00EE147E" w:rsidRDefault="00FA2CBA" w:rsidP="00FA2CBA">
                <w:pPr>
                  <w:spacing w:after="0"/>
                  <w:rPr>
                    <w:sz w:val="16"/>
                    <w:szCs w:val="16"/>
                  </w:rPr>
                </w:pPr>
                <w:r w:rsidRPr="00EE147E">
                  <w:rPr>
                    <w:rFonts w:eastAsia="Times New Roman" w:cs="Calibri"/>
                    <w:sz w:val="16"/>
                    <w:szCs w:val="16"/>
                  </w:rPr>
                  <w:t>Aufderheide 2017</w:t>
                </w:r>
              </w:p>
            </w:tc>
            <w:tc>
              <w:tcPr>
                <w:tcW w:w="1356" w:type="dxa"/>
              </w:tcPr>
              <w:p w14:paraId="18AD3274" w14:textId="77777777" w:rsidR="00FA2CBA" w:rsidRPr="00EE147E" w:rsidRDefault="00FA2CBA" w:rsidP="00FA2CBA">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EE147E">
                  <w:rPr>
                    <w:rFonts w:eastAsia="Times New Roman" w:cs="Calibri"/>
                    <w:sz w:val="16"/>
                    <w:szCs w:val="16"/>
                  </w:rPr>
                  <w:t>To study whether ECs exert toxicologic effects equivalent to those exerted by conventional CIGs in a similar cell model.</w:t>
                </w:r>
              </w:p>
            </w:tc>
            <w:tc>
              <w:tcPr>
                <w:tcW w:w="740" w:type="dxa"/>
              </w:tcPr>
              <w:p w14:paraId="4775399F" w14:textId="77777777" w:rsidR="00FA2CBA" w:rsidRPr="00EE147E" w:rsidRDefault="00FA2CBA" w:rsidP="00FA2CBA">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EE147E">
                  <w:rPr>
                    <w:rFonts w:eastAsia="Times New Roman" w:cs="Calibri"/>
                    <w:sz w:val="16"/>
                    <w:szCs w:val="16"/>
                  </w:rPr>
                  <w:t>Human</w:t>
                </w:r>
              </w:p>
            </w:tc>
            <w:tc>
              <w:tcPr>
                <w:tcW w:w="961" w:type="dxa"/>
              </w:tcPr>
              <w:p w14:paraId="77306C6A" w14:textId="751A1CFF" w:rsidR="00FA2CBA" w:rsidRPr="00EE147E" w:rsidRDefault="00FA2CBA" w:rsidP="00FA2CBA">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EE147E">
                  <w:rPr>
                    <w:rFonts w:eastAsia="Times New Roman" w:cs="Calibri"/>
                    <w:sz w:val="16"/>
                    <w:szCs w:val="16"/>
                  </w:rPr>
                  <w:t>Clean air</w:t>
                </w:r>
                <w:r w:rsidR="000B0B63">
                  <w:rPr>
                    <w:rFonts w:eastAsia="Times New Roman" w:cs="Calibri"/>
                    <w:sz w:val="16"/>
                    <w:szCs w:val="16"/>
                  </w:rPr>
                  <w:t>.</w:t>
                </w:r>
              </w:p>
            </w:tc>
            <w:tc>
              <w:tcPr>
                <w:tcW w:w="1134" w:type="dxa"/>
              </w:tcPr>
              <w:p w14:paraId="17BC0EAE" w14:textId="77777777" w:rsidR="00FA2CBA" w:rsidRPr="00EE147E" w:rsidRDefault="00FA2CBA" w:rsidP="00FA2CBA">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EE147E">
                  <w:rPr>
                    <w:rFonts w:eastAsia="Times New Roman" w:cs="Calibri"/>
                    <w:sz w:val="16"/>
                    <w:szCs w:val="16"/>
                  </w:rPr>
                  <w:t>50 EC puffs/d OR 4 CIGs/d</w:t>
                </w:r>
              </w:p>
            </w:tc>
            <w:tc>
              <w:tcPr>
                <w:tcW w:w="993" w:type="dxa"/>
              </w:tcPr>
              <w:p w14:paraId="248BD98B" w14:textId="77777777" w:rsidR="00FA2CBA" w:rsidRPr="00EE147E" w:rsidRDefault="00FA2CBA" w:rsidP="00FA2CBA">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EE147E">
                  <w:rPr>
                    <w:rFonts w:eastAsia="Times New Roman" w:cs="Calibri"/>
                    <w:sz w:val="16"/>
                    <w:szCs w:val="16"/>
                  </w:rPr>
                  <w:t>Bronchial epithelial NHBE cells from male with non-small cell lung cancer.</w:t>
                </w:r>
              </w:p>
            </w:tc>
            <w:tc>
              <w:tcPr>
                <w:tcW w:w="1559" w:type="dxa"/>
              </w:tcPr>
              <w:p w14:paraId="2425630B" w14:textId="77777777" w:rsidR="00FA2CBA" w:rsidRPr="00EE147E" w:rsidRDefault="00FA2CBA" w:rsidP="00FA2CBA">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EE147E">
                  <w:rPr>
                    <w:rFonts w:eastAsia="Times New Roman" w:cs="Calibri"/>
                    <w:sz w:val="16"/>
                    <w:szCs w:val="16"/>
                  </w:rPr>
                  <w:t>Conducted histological sampling and immunohistochemical staining.</w:t>
                </w:r>
              </w:p>
            </w:tc>
            <w:tc>
              <w:tcPr>
                <w:tcW w:w="4795" w:type="dxa"/>
              </w:tcPr>
              <w:p w14:paraId="495563A7" w14:textId="77777777" w:rsidR="00FA2CBA" w:rsidRPr="00EE147E" w:rsidRDefault="00FA2CBA" w:rsidP="00FA2CBA">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EE147E">
                  <w:rPr>
                    <w:rFonts w:eastAsia="Times New Roman" w:cs="Calibri"/>
                    <w:sz w:val="16"/>
                    <w:szCs w:val="16"/>
                  </w:rPr>
                  <w:t xml:space="preserve">CIG smoke-exposed cells had a reduction in mucous production and cilia bearing. This was also observed among EC exposed cells but to a lesser extent. Exposure to EC vapour or CIG smoke had a reduction in mucous-secreting cells and their activity. No changes to p63 cells (tumour promotion protein) was found. </w:t>
                </w:r>
              </w:p>
            </w:tc>
            <w:tc>
              <w:tcPr>
                <w:tcW w:w="2551" w:type="dxa"/>
              </w:tcPr>
              <w:p w14:paraId="6BDCE285" w14:textId="77777777" w:rsidR="00FA2CBA" w:rsidRPr="00EE147E" w:rsidRDefault="00FA2CBA" w:rsidP="00FA2CBA">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EE147E">
                  <w:rPr>
                    <w:rFonts w:eastAsia="Times New Roman" w:cs="Calibri"/>
                    <w:sz w:val="16"/>
                    <w:szCs w:val="16"/>
                  </w:rPr>
                  <w:t>"In summary, the EC vapour induced qualitative and quantitative morphological alterations comparable with those observed with conventional CIG smoke thus pointing to a serious risk by this vapour."</w:t>
                </w:r>
              </w:p>
            </w:tc>
          </w:tr>
          <w:tr w:rsidR="00FA2CBA" w:rsidRPr="00EE147E" w14:paraId="4F07949F" w14:textId="77777777" w:rsidTr="00A52C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7" w:type="dxa"/>
              </w:tcPr>
              <w:p w14:paraId="37C189F3" w14:textId="77777777" w:rsidR="00FA2CBA" w:rsidRPr="00EE147E" w:rsidRDefault="00FA2CBA" w:rsidP="00FA2CBA">
                <w:pPr>
                  <w:spacing w:after="0"/>
                  <w:rPr>
                    <w:sz w:val="16"/>
                    <w:szCs w:val="16"/>
                  </w:rPr>
                </w:pPr>
                <w:r w:rsidRPr="00EE147E">
                  <w:rPr>
                    <w:rFonts w:eastAsia="Times New Roman" w:cs="Calibri"/>
                    <w:sz w:val="16"/>
                    <w:szCs w:val="16"/>
                  </w:rPr>
                  <w:t>Barber 2017</w:t>
                </w:r>
              </w:p>
            </w:tc>
            <w:tc>
              <w:tcPr>
                <w:tcW w:w="1356" w:type="dxa"/>
              </w:tcPr>
              <w:p w14:paraId="16D5EED2" w14:textId="77777777" w:rsidR="00FA2CBA" w:rsidRPr="00EE147E" w:rsidRDefault="00FA2CBA" w:rsidP="00FA2CBA">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EE147E">
                  <w:rPr>
                    <w:rFonts w:eastAsia="Times New Roman" w:cs="Calibri"/>
                    <w:sz w:val="16"/>
                    <w:szCs w:val="16"/>
                  </w:rPr>
                  <w:t>To explore the effects of</w:t>
                </w:r>
                <w:r w:rsidRPr="00EE147E">
                  <w:rPr>
                    <w:rFonts w:eastAsia="Times New Roman" w:cs="Calibri"/>
                    <w:sz w:val="16"/>
                    <w:szCs w:val="16"/>
                  </w:rPr>
                  <w:br/>
                  <w:t xml:space="preserve">EC extract exposure on endothelial cell complement activation as a marker for enhanced vascular inflammation. </w:t>
                </w:r>
              </w:p>
            </w:tc>
            <w:tc>
              <w:tcPr>
                <w:tcW w:w="740" w:type="dxa"/>
              </w:tcPr>
              <w:p w14:paraId="2837A2F7" w14:textId="77777777" w:rsidR="00FA2CBA" w:rsidRPr="00EE147E" w:rsidRDefault="00FA2CBA" w:rsidP="00FA2CBA">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EE147E">
                  <w:rPr>
                    <w:rFonts w:eastAsia="Times New Roman" w:cs="Calibri"/>
                    <w:sz w:val="16"/>
                    <w:szCs w:val="16"/>
                  </w:rPr>
                  <w:t>Human</w:t>
                </w:r>
              </w:p>
            </w:tc>
            <w:tc>
              <w:tcPr>
                <w:tcW w:w="961" w:type="dxa"/>
              </w:tcPr>
              <w:p w14:paraId="7973ABCD" w14:textId="6BC3AF45" w:rsidR="00FA2CBA" w:rsidRPr="00EE147E" w:rsidRDefault="00FA2CBA" w:rsidP="00FA2CBA">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EE147E">
                  <w:rPr>
                    <w:rFonts w:eastAsia="Times New Roman" w:cs="Calibri"/>
                    <w:sz w:val="16"/>
                    <w:szCs w:val="16"/>
                  </w:rPr>
                  <w:t>Extracts from CIGs</w:t>
                </w:r>
                <w:r w:rsidR="000B0B63">
                  <w:rPr>
                    <w:rFonts w:eastAsia="Times New Roman" w:cs="Calibri"/>
                    <w:sz w:val="16"/>
                    <w:szCs w:val="16"/>
                  </w:rPr>
                  <w:t>.</w:t>
                </w:r>
              </w:p>
            </w:tc>
            <w:tc>
              <w:tcPr>
                <w:tcW w:w="1134" w:type="dxa"/>
              </w:tcPr>
              <w:p w14:paraId="6592E203" w14:textId="40455CE3" w:rsidR="00FA2CBA" w:rsidRPr="00EE147E" w:rsidRDefault="00FA2CBA" w:rsidP="00FA2CBA">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EE147E">
                  <w:rPr>
                    <w:rFonts w:eastAsia="Times New Roman" w:cs="Calibri"/>
                    <w:sz w:val="16"/>
                    <w:szCs w:val="16"/>
                  </w:rPr>
                  <w:t>Extracts from ECs</w:t>
                </w:r>
                <w:r w:rsidR="000B0B63">
                  <w:rPr>
                    <w:rFonts w:eastAsia="Times New Roman" w:cs="Calibri"/>
                    <w:sz w:val="16"/>
                    <w:szCs w:val="16"/>
                  </w:rPr>
                  <w:t>.</w:t>
                </w:r>
              </w:p>
            </w:tc>
            <w:tc>
              <w:tcPr>
                <w:tcW w:w="993" w:type="dxa"/>
              </w:tcPr>
              <w:p w14:paraId="4EF587BF" w14:textId="77777777" w:rsidR="00FA2CBA" w:rsidRPr="00EE147E" w:rsidRDefault="00FA2CBA" w:rsidP="00FA2CBA">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EE147E">
                  <w:rPr>
                    <w:rFonts w:eastAsia="Times New Roman" w:cs="Calibri"/>
                    <w:sz w:val="16"/>
                    <w:szCs w:val="16"/>
                  </w:rPr>
                  <w:t>Endothelial cells from umbilical veins.</w:t>
                </w:r>
              </w:p>
            </w:tc>
            <w:tc>
              <w:tcPr>
                <w:tcW w:w="1559" w:type="dxa"/>
              </w:tcPr>
              <w:p w14:paraId="3C65917D" w14:textId="77777777" w:rsidR="00FA2CBA" w:rsidRPr="00EE147E" w:rsidRDefault="00FA2CBA" w:rsidP="00FA2CBA">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EE147E">
                  <w:rPr>
                    <w:rFonts w:eastAsia="Times New Roman" w:cs="Calibri"/>
                    <w:sz w:val="16"/>
                    <w:szCs w:val="16"/>
                  </w:rPr>
                  <w:t>Endothelial cell inflammatory processes, viability, density and metabolic activity were observed.</w:t>
                </w:r>
              </w:p>
            </w:tc>
            <w:tc>
              <w:tcPr>
                <w:tcW w:w="4795" w:type="dxa"/>
              </w:tcPr>
              <w:p w14:paraId="1F8B3FDB" w14:textId="70270C34" w:rsidR="00FA2CBA" w:rsidRPr="00EE147E" w:rsidRDefault="00FA2CBA" w:rsidP="00FA2CBA">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EE147E">
                  <w:rPr>
                    <w:rFonts w:eastAsia="Times New Roman" w:cs="Calibri"/>
                    <w:sz w:val="16"/>
                    <w:szCs w:val="16"/>
                  </w:rPr>
                  <w:t>Endothelial cell viability decreased after exposure to tobacco products, EC products but not nicotine.</w:t>
                </w:r>
                <w:r w:rsidR="008146F9">
                  <w:rPr>
                    <w:rFonts w:eastAsia="Times New Roman" w:cs="Calibri"/>
                    <w:sz w:val="16"/>
                    <w:szCs w:val="16"/>
                  </w:rPr>
                  <w:t xml:space="preserve"> </w:t>
                </w:r>
                <w:r w:rsidRPr="00EE147E">
                  <w:rPr>
                    <w:rFonts w:eastAsia="Times New Roman" w:cs="Calibri"/>
                    <w:sz w:val="16"/>
                    <w:szCs w:val="16"/>
                  </w:rPr>
                  <w:t>Endothelial cell density reduced after exposure to tobacco smoke, EC vapour, EC extracts and pure nicotine. Endothelial cell metabolic activity significantly reduced after exposure to tobacco smoke extracts and most EC vapour extracts but not pure nicotine.</w:t>
                </w:r>
                <w:r w:rsidRPr="00EE147E">
                  <w:rPr>
                    <w:rFonts w:eastAsia="Times New Roman" w:cs="Calibri"/>
                    <w:sz w:val="16"/>
                    <w:szCs w:val="16"/>
                  </w:rPr>
                  <w:br/>
                  <w:t>C1q and C5b-9 deposits, but not C3b and C4d (indicators of development of CVDs) were enhanced in the tobacco smoke and EC exposed cells. Enhanced expression of gC1qR (receptor for C1q) was found after EC vapour, tobacco smoke or pure nicotine exposure. CD35 (regulates C3b and C4b) was enhanced in all smoke and vapour conditions.</w:t>
                </w:r>
              </w:p>
            </w:tc>
            <w:tc>
              <w:tcPr>
                <w:tcW w:w="2551" w:type="dxa"/>
              </w:tcPr>
              <w:p w14:paraId="3C1D6710" w14:textId="1226D56C" w:rsidR="00FA2CBA" w:rsidRPr="00EE147E" w:rsidRDefault="00FA2CBA" w:rsidP="00FA2CBA">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EE147E">
                  <w:rPr>
                    <w:rFonts w:eastAsia="Times New Roman" w:cs="Calibri"/>
                    <w:sz w:val="16"/>
                    <w:szCs w:val="16"/>
                  </w:rPr>
                  <w:t>"…results were independent of nicotine and the exposure to e</w:t>
                </w:r>
                <w:r w:rsidR="00887971">
                  <w:rPr>
                    <w:rFonts w:eastAsia="Times New Roman" w:cs="Calibri"/>
                    <w:sz w:val="16"/>
                    <w:szCs w:val="16"/>
                  </w:rPr>
                  <w:noBreakHyphen/>
                </w:r>
                <w:r w:rsidRPr="00EE147E">
                  <w:rPr>
                    <w:rFonts w:eastAsia="Times New Roman" w:cs="Calibri"/>
                    <w:sz w:val="16"/>
                    <w:szCs w:val="16"/>
                  </w:rPr>
                  <w:t>vapo</w:t>
                </w:r>
                <w:r w:rsidR="00A52CF8">
                  <w:rPr>
                    <w:rFonts w:eastAsia="Times New Roman" w:cs="Calibri"/>
                    <w:sz w:val="16"/>
                    <w:szCs w:val="16"/>
                  </w:rPr>
                  <w:t>u</w:t>
                </w:r>
                <w:r w:rsidRPr="00EE147E">
                  <w:rPr>
                    <w:rFonts w:eastAsia="Times New Roman" w:cs="Calibri"/>
                    <w:sz w:val="16"/>
                    <w:szCs w:val="16"/>
                  </w:rPr>
                  <w:t>r was just as harmful as tobacco smoke extracts. Thus, the exposure to fine particulate matter and not toxic combustion gases or nicotine may be the most critical for regulating CVD progression."</w:t>
                </w:r>
              </w:p>
            </w:tc>
          </w:tr>
          <w:tr w:rsidR="00FA2CBA" w:rsidRPr="00EE147E" w14:paraId="6CE7861F" w14:textId="77777777" w:rsidTr="00A52CF8">
            <w:tc>
              <w:tcPr>
                <w:cnfStyle w:val="001000000000" w:firstRow="0" w:lastRow="0" w:firstColumn="1" w:lastColumn="0" w:oddVBand="0" w:evenVBand="0" w:oddHBand="0" w:evenHBand="0" w:firstRowFirstColumn="0" w:firstRowLastColumn="0" w:lastRowFirstColumn="0" w:lastRowLastColumn="0"/>
                <w:tcW w:w="1107" w:type="dxa"/>
              </w:tcPr>
              <w:p w14:paraId="70DD805C" w14:textId="77777777" w:rsidR="00FA2CBA" w:rsidRPr="00EE147E" w:rsidRDefault="00FA2CBA" w:rsidP="00FA2CBA">
                <w:pPr>
                  <w:spacing w:after="0"/>
                  <w:rPr>
                    <w:sz w:val="16"/>
                    <w:szCs w:val="16"/>
                  </w:rPr>
                </w:pPr>
                <w:r w:rsidRPr="00EE147E">
                  <w:rPr>
                    <w:rFonts w:eastAsia="Times New Roman" w:cs="Calibri"/>
                    <w:sz w:val="16"/>
                    <w:szCs w:val="16"/>
                  </w:rPr>
                  <w:t>Behar 2017</w:t>
                </w:r>
              </w:p>
            </w:tc>
            <w:tc>
              <w:tcPr>
                <w:tcW w:w="1356" w:type="dxa"/>
              </w:tcPr>
              <w:p w14:paraId="7C923923" w14:textId="77777777" w:rsidR="00FA2CBA" w:rsidRPr="00EE147E" w:rsidRDefault="00FA2CBA" w:rsidP="00FA2CBA">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EE147E">
                  <w:rPr>
                    <w:rFonts w:eastAsia="Times New Roman" w:cs="Calibri"/>
                    <w:sz w:val="16"/>
                    <w:szCs w:val="16"/>
                  </w:rPr>
                  <w:t>To compare the cytotoxicity of EC refill fluids/solvents and their corresponding vapours using in vitro cultured cells.</w:t>
                </w:r>
              </w:p>
            </w:tc>
            <w:tc>
              <w:tcPr>
                <w:tcW w:w="740" w:type="dxa"/>
              </w:tcPr>
              <w:p w14:paraId="10A6ED54" w14:textId="77777777" w:rsidR="00FA2CBA" w:rsidRPr="00EE147E" w:rsidRDefault="00FA2CBA" w:rsidP="00FA2CBA">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EE147E">
                  <w:rPr>
                    <w:rFonts w:eastAsia="Times New Roman" w:cs="Calibri"/>
                    <w:sz w:val="16"/>
                    <w:szCs w:val="16"/>
                  </w:rPr>
                  <w:t>Human</w:t>
                </w:r>
              </w:p>
            </w:tc>
            <w:tc>
              <w:tcPr>
                <w:tcW w:w="961" w:type="dxa"/>
              </w:tcPr>
              <w:p w14:paraId="6EEB5B7F" w14:textId="418CC61F" w:rsidR="00FA2CBA" w:rsidRPr="00EE147E" w:rsidRDefault="00FA2CBA" w:rsidP="00FA2CBA">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EE147E">
                  <w:rPr>
                    <w:rFonts w:eastAsia="Times New Roman" w:cs="Calibri"/>
                    <w:sz w:val="16"/>
                    <w:szCs w:val="16"/>
                  </w:rPr>
                  <w:t>32 flavours &amp; 3 components of EC liquids</w:t>
                </w:r>
                <w:r w:rsidR="000B0B63">
                  <w:rPr>
                    <w:rFonts w:eastAsia="Times New Roman" w:cs="Calibri"/>
                    <w:sz w:val="16"/>
                    <w:szCs w:val="16"/>
                  </w:rPr>
                  <w:t>.</w:t>
                </w:r>
              </w:p>
            </w:tc>
            <w:tc>
              <w:tcPr>
                <w:tcW w:w="1134" w:type="dxa"/>
              </w:tcPr>
              <w:p w14:paraId="562208E0" w14:textId="40095625" w:rsidR="00FA2CBA" w:rsidRPr="00EE147E" w:rsidRDefault="00FA2CBA" w:rsidP="00FA2CBA">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EE147E">
                  <w:rPr>
                    <w:rFonts w:eastAsia="Times New Roman" w:cs="Calibri"/>
                    <w:sz w:val="16"/>
                    <w:szCs w:val="16"/>
                  </w:rPr>
                  <w:t>32 flavours &amp; 3 components of EC fluids, vaporised</w:t>
                </w:r>
                <w:r w:rsidR="000B0B63">
                  <w:rPr>
                    <w:rFonts w:eastAsia="Times New Roman" w:cs="Calibri"/>
                    <w:sz w:val="16"/>
                    <w:szCs w:val="16"/>
                  </w:rPr>
                  <w:t>.</w:t>
                </w:r>
              </w:p>
            </w:tc>
            <w:tc>
              <w:tcPr>
                <w:tcW w:w="993" w:type="dxa"/>
              </w:tcPr>
              <w:p w14:paraId="72BB6F62" w14:textId="47CC1F29" w:rsidR="00FA2CBA" w:rsidRPr="00EE147E" w:rsidRDefault="00FA2CBA" w:rsidP="00FA2CBA">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EE147E">
                  <w:rPr>
                    <w:rFonts w:eastAsia="Times New Roman" w:cs="Calibri"/>
                    <w:sz w:val="16"/>
                    <w:szCs w:val="16"/>
                  </w:rPr>
                  <w:t>Pulmonary fibroblasts, lung epithelial cells (A549) and human embryonic stem cells</w:t>
                </w:r>
                <w:r w:rsidR="000B0B63">
                  <w:rPr>
                    <w:rFonts w:eastAsia="Times New Roman" w:cs="Calibri"/>
                    <w:sz w:val="16"/>
                    <w:szCs w:val="16"/>
                  </w:rPr>
                  <w:t>.</w:t>
                </w:r>
              </w:p>
            </w:tc>
            <w:tc>
              <w:tcPr>
                <w:tcW w:w="1559" w:type="dxa"/>
              </w:tcPr>
              <w:p w14:paraId="1BAD0607" w14:textId="77777777" w:rsidR="00FA2CBA" w:rsidRPr="00EE147E" w:rsidRDefault="00FA2CBA" w:rsidP="00FA2CBA">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EE147E">
                  <w:rPr>
                    <w:rFonts w:eastAsia="Times New Roman" w:cs="Calibri"/>
                    <w:sz w:val="16"/>
                    <w:szCs w:val="16"/>
                  </w:rPr>
                  <w:t>Tested cytotoxicity of flavours/ components of EC liquids and EC vapours on all three cell types.</w:t>
                </w:r>
              </w:p>
            </w:tc>
            <w:tc>
              <w:tcPr>
                <w:tcW w:w="4795" w:type="dxa"/>
              </w:tcPr>
              <w:p w14:paraId="57CD0518" w14:textId="76D63E50" w:rsidR="00FA2CBA" w:rsidRPr="00EE147E" w:rsidRDefault="00FA2CBA" w:rsidP="00FA2CBA">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EE147E">
                  <w:rPr>
                    <w:rFonts w:eastAsia="Times New Roman" w:cs="Calibri"/>
                    <w:sz w:val="16"/>
                    <w:szCs w:val="16"/>
                  </w:rPr>
                  <w:t>Embryonic stem cells were more sensitive than lung cells. 7/35 (20%) of fluids and its vapour were non-cytotoxic, 19/35 (54%) of both the fluid and vapour were cytotoxic, 1/35 (3%) had a cytotoxic fluid but not vapour and 8/35 (23%) had a cytotoxic vapour but not fluid. 10/11 glycerine-based fluids were cytotoxic when vaporised (91%). Researchers also noted that the creamy/ buttery flavours were the most cytotoxic.</w:t>
                </w:r>
              </w:p>
            </w:tc>
            <w:tc>
              <w:tcPr>
                <w:tcW w:w="2551" w:type="dxa"/>
              </w:tcPr>
              <w:p w14:paraId="6F495FA7" w14:textId="77777777" w:rsidR="00FA2CBA" w:rsidRPr="00EE147E" w:rsidRDefault="00FA2CBA" w:rsidP="00FA2CBA">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EE147E">
                  <w:rPr>
                    <w:rFonts w:eastAsia="Times New Roman" w:cs="Calibri"/>
                    <w:sz w:val="16"/>
                    <w:szCs w:val="16"/>
                  </w:rPr>
                  <w:t xml:space="preserve">"Our data show that various flavours/ brands of EC refill fluids and their vapours are cytotoxic and demonstrate the need for further evaluation of EC products to better understand their potential health effects." </w:t>
                </w:r>
              </w:p>
            </w:tc>
          </w:tr>
          <w:tr w:rsidR="00FA2CBA" w:rsidRPr="00EE147E" w14:paraId="39A692F3" w14:textId="77777777" w:rsidTr="00A52C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7" w:type="dxa"/>
              </w:tcPr>
              <w:p w14:paraId="0911483A" w14:textId="77777777" w:rsidR="00FA2CBA" w:rsidRPr="00EE147E" w:rsidRDefault="00FA2CBA" w:rsidP="00FA2CBA">
                <w:pPr>
                  <w:spacing w:after="0"/>
                  <w:rPr>
                    <w:sz w:val="16"/>
                    <w:szCs w:val="16"/>
                  </w:rPr>
                </w:pPr>
                <w:r w:rsidRPr="00EE147E">
                  <w:rPr>
                    <w:rFonts w:eastAsia="Times New Roman" w:cs="Calibri"/>
                    <w:sz w:val="16"/>
                    <w:szCs w:val="16"/>
                  </w:rPr>
                  <w:t>Bengalli 2017</w:t>
                </w:r>
              </w:p>
            </w:tc>
            <w:tc>
              <w:tcPr>
                <w:tcW w:w="1356" w:type="dxa"/>
              </w:tcPr>
              <w:p w14:paraId="770CA160" w14:textId="2AB6355A" w:rsidR="00FA2CBA" w:rsidRPr="00EE147E" w:rsidRDefault="00FA2CBA" w:rsidP="00FA2CBA">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EE147E">
                  <w:rPr>
                    <w:rFonts w:eastAsia="Times New Roman" w:cs="Calibri"/>
                    <w:sz w:val="16"/>
                    <w:szCs w:val="16"/>
                  </w:rPr>
                  <w:t>To test the effects of condensed vapours from three main e</w:t>
                </w:r>
                <w:r w:rsidR="00353B8B">
                  <w:rPr>
                    <w:rFonts w:eastAsia="Times New Roman" w:cs="Calibri"/>
                    <w:sz w:val="16"/>
                    <w:szCs w:val="16"/>
                  </w:rPr>
                  <w:noBreakHyphen/>
                </w:r>
                <w:r w:rsidRPr="00EE147E">
                  <w:rPr>
                    <w:rFonts w:eastAsia="Times New Roman" w:cs="Calibri"/>
                    <w:sz w:val="16"/>
                    <w:szCs w:val="16"/>
                  </w:rPr>
                  <w:t xml:space="preserve">liquid categories </w:t>
                </w:r>
                <w:r w:rsidRPr="00EE147E">
                  <w:rPr>
                    <w:rFonts w:eastAsia="Times New Roman" w:cs="Calibri"/>
                    <w:sz w:val="16"/>
                    <w:szCs w:val="16"/>
                  </w:rPr>
                  <w:lastRenderedPageBreak/>
                  <w:t>(tobacco, mint, and cinnamon as food-related flavour), with (18 mg/mL) or without nicotine.</w:t>
                </w:r>
              </w:p>
            </w:tc>
            <w:tc>
              <w:tcPr>
                <w:tcW w:w="740" w:type="dxa"/>
              </w:tcPr>
              <w:p w14:paraId="3A97C494" w14:textId="77777777" w:rsidR="00FA2CBA" w:rsidRPr="00EE147E" w:rsidRDefault="00FA2CBA" w:rsidP="00FA2CBA">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EE147E">
                  <w:rPr>
                    <w:rFonts w:eastAsia="Times New Roman" w:cs="Calibri"/>
                    <w:sz w:val="16"/>
                    <w:szCs w:val="16"/>
                  </w:rPr>
                  <w:lastRenderedPageBreak/>
                  <w:t>Human</w:t>
                </w:r>
              </w:p>
            </w:tc>
            <w:tc>
              <w:tcPr>
                <w:tcW w:w="961" w:type="dxa"/>
              </w:tcPr>
              <w:p w14:paraId="6B5D4066" w14:textId="77777777" w:rsidR="00FA2CBA" w:rsidRPr="00EE147E" w:rsidRDefault="00FA2CBA" w:rsidP="00FA2CBA">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EE147E">
                  <w:rPr>
                    <w:rFonts w:eastAsia="Times New Roman" w:cs="Calibri"/>
                    <w:sz w:val="16"/>
                    <w:szCs w:val="16"/>
                  </w:rPr>
                  <w:t>2 vaporised EC bases (PG, VG, water), ± nicotine</w:t>
                </w:r>
              </w:p>
            </w:tc>
            <w:tc>
              <w:tcPr>
                <w:tcW w:w="1134" w:type="dxa"/>
              </w:tcPr>
              <w:p w14:paraId="737C72B3" w14:textId="77777777" w:rsidR="00FA2CBA" w:rsidRPr="00EE147E" w:rsidRDefault="00FA2CBA" w:rsidP="00FA2CBA">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EE147E">
                  <w:rPr>
                    <w:rFonts w:eastAsia="Times New Roman" w:cs="Calibri"/>
                    <w:sz w:val="16"/>
                    <w:szCs w:val="16"/>
                  </w:rPr>
                  <w:t>5 EC flavours (1 cinnamon, 2 tobacco, 2 menthol), ± nicotine, vaporised</w:t>
                </w:r>
              </w:p>
            </w:tc>
            <w:tc>
              <w:tcPr>
                <w:tcW w:w="993" w:type="dxa"/>
              </w:tcPr>
              <w:p w14:paraId="084941BB" w14:textId="1664974A" w:rsidR="00FA2CBA" w:rsidRPr="00EE147E" w:rsidRDefault="00FA2CBA" w:rsidP="00FA2CBA">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EE147E">
                  <w:rPr>
                    <w:rFonts w:eastAsia="Times New Roman" w:cs="Calibri"/>
                    <w:sz w:val="16"/>
                    <w:szCs w:val="16"/>
                  </w:rPr>
                  <w:t xml:space="preserve">Epithelial alveolar cells, lung microvascular </w:t>
                </w:r>
                <w:r w:rsidRPr="00EE147E">
                  <w:rPr>
                    <w:rFonts w:eastAsia="Times New Roman" w:cs="Calibri"/>
                    <w:sz w:val="16"/>
                    <w:szCs w:val="16"/>
                  </w:rPr>
                  <w:lastRenderedPageBreak/>
                  <w:t>endothelial cells</w:t>
                </w:r>
                <w:r w:rsidR="000B0B63">
                  <w:rPr>
                    <w:rFonts w:eastAsia="Times New Roman" w:cs="Calibri"/>
                    <w:sz w:val="16"/>
                    <w:szCs w:val="16"/>
                  </w:rPr>
                  <w:t>.</w:t>
                </w:r>
              </w:p>
            </w:tc>
            <w:tc>
              <w:tcPr>
                <w:tcW w:w="1559" w:type="dxa"/>
              </w:tcPr>
              <w:p w14:paraId="7D6B4A6B" w14:textId="77777777" w:rsidR="00FA2CBA" w:rsidRPr="00EE147E" w:rsidRDefault="00FA2CBA" w:rsidP="00FA2CBA">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EE147E">
                  <w:rPr>
                    <w:rFonts w:eastAsia="Times New Roman" w:cs="Calibri"/>
                    <w:sz w:val="16"/>
                    <w:szCs w:val="16"/>
                  </w:rPr>
                  <w:lastRenderedPageBreak/>
                  <w:t>Tested cytotoxicity and cytokine release in two different cell models (cells monoculture &amp; ABB model).</w:t>
                </w:r>
              </w:p>
            </w:tc>
            <w:tc>
              <w:tcPr>
                <w:tcW w:w="4795" w:type="dxa"/>
              </w:tcPr>
              <w:p w14:paraId="1812E083" w14:textId="77777777" w:rsidR="00FA2CBA" w:rsidRPr="00EE147E" w:rsidRDefault="00FA2CBA" w:rsidP="00FA2CBA">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EE147E">
                  <w:rPr>
                    <w:rFonts w:eastAsia="Times New Roman" w:cs="Calibri"/>
                    <w:sz w:val="16"/>
                    <w:szCs w:val="16"/>
                  </w:rPr>
                  <w:t xml:space="preserve">Cells monoculture model: Both the base and tobacco-flavoured ECs did not lead to cytotoxic or pro-inflammatory responses, regardless of the nicotine content. However, cell death increased among nicotine-containing cinnamon and menthol EC liquids, but not nicotine-free variants. Exposure to Menthol 2 + nicotine led to cell-death in 90% of cells. Cinnamon + nicotine ECs led to release of pro-inflammatory </w:t>
                </w:r>
                <w:r w:rsidRPr="00EE147E">
                  <w:rPr>
                    <w:rFonts w:eastAsia="Times New Roman" w:cs="Calibri"/>
                    <w:sz w:val="16"/>
                    <w:szCs w:val="16"/>
                  </w:rPr>
                  <w:lastRenderedPageBreak/>
                  <w:t xml:space="preserve">cytokines (1L-8 &amp; MCP-1) in epithelial cells. This was not observed in other flavour variants, however in Menthol 2 exposures, the cytotoxic response was so strong that the cells were unable to secrete inflammatory signals. </w:t>
                </w:r>
                <w:r w:rsidRPr="00EE147E">
                  <w:rPr>
                    <w:rFonts w:eastAsia="Times New Roman" w:cs="Calibri"/>
                    <w:sz w:val="16"/>
                    <w:szCs w:val="16"/>
                  </w:rPr>
                  <w:br/>
                  <w:t xml:space="preserve">ABB model: Cinnamon and Menthol 2 were found to be cytotoxic. No increases in IL-8 or MCP-1 was found in any flavour. </w:t>
                </w:r>
              </w:p>
            </w:tc>
            <w:tc>
              <w:tcPr>
                <w:tcW w:w="2551" w:type="dxa"/>
              </w:tcPr>
              <w:p w14:paraId="273BBBF6" w14:textId="77777777" w:rsidR="00FA2CBA" w:rsidRPr="00EE147E" w:rsidRDefault="00FA2CBA" w:rsidP="00FA2CBA">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EE147E">
                  <w:rPr>
                    <w:rFonts w:eastAsia="Times New Roman" w:cs="Calibri"/>
                    <w:sz w:val="16"/>
                    <w:szCs w:val="16"/>
                  </w:rPr>
                  <w:lastRenderedPageBreak/>
                  <w:t xml:space="preserve">Nicotine-containing EC liquids may produce cytotoxic effects because of synergistic action between the flavour and nicotine molecules. </w:t>
                </w:r>
              </w:p>
            </w:tc>
          </w:tr>
          <w:tr w:rsidR="00FA2CBA" w:rsidRPr="00EE147E" w14:paraId="7203D9E3" w14:textId="77777777" w:rsidTr="00A52CF8">
            <w:tc>
              <w:tcPr>
                <w:cnfStyle w:val="001000000000" w:firstRow="0" w:lastRow="0" w:firstColumn="1" w:lastColumn="0" w:oddVBand="0" w:evenVBand="0" w:oddHBand="0" w:evenHBand="0" w:firstRowFirstColumn="0" w:firstRowLastColumn="0" w:lastRowFirstColumn="0" w:lastRowLastColumn="0"/>
                <w:tcW w:w="1107" w:type="dxa"/>
              </w:tcPr>
              <w:p w14:paraId="4660522A" w14:textId="77777777" w:rsidR="00FA2CBA" w:rsidRPr="00EE147E" w:rsidRDefault="00FA2CBA" w:rsidP="00FA2CBA">
                <w:pPr>
                  <w:spacing w:after="0"/>
                  <w:rPr>
                    <w:sz w:val="16"/>
                    <w:szCs w:val="16"/>
                  </w:rPr>
                </w:pPr>
                <w:r w:rsidRPr="00EE147E">
                  <w:rPr>
                    <w:rFonts w:eastAsia="Times New Roman" w:cs="Calibri"/>
                    <w:sz w:val="16"/>
                    <w:szCs w:val="16"/>
                  </w:rPr>
                  <w:t>Bharadwaj 2017</w:t>
                </w:r>
              </w:p>
            </w:tc>
            <w:tc>
              <w:tcPr>
                <w:tcW w:w="1356" w:type="dxa"/>
              </w:tcPr>
              <w:p w14:paraId="783CDF95" w14:textId="782723C4" w:rsidR="00FA2CBA" w:rsidRPr="00EE147E" w:rsidRDefault="00FA2CBA" w:rsidP="00FA2CBA">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EE147E">
                  <w:rPr>
                    <w:rFonts w:eastAsia="Times New Roman" w:cs="Calibri"/>
                    <w:sz w:val="16"/>
                    <w:szCs w:val="16"/>
                  </w:rPr>
                  <w:t>To discriminate the deleterious effects of EC refills (e-juice) and soluble e</w:t>
                </w:r>
                <w:r w:rsidR="00353B8B">
                  <w:rPr>
                    <w:rFonts w:eastAsia="Times New Roman" w:cs="Calibri"/>
                    <w:sz w:val="16"/>
                    <w:szCs w:val="16"/>
                  </w:rPr>
                  <w:noBreakHyphen/>
                </w:r>
                <w:r w:rsidRPr="00EE147E">
                  <w:rPr>
                    <w:rFonts w:eastAsia="Times New Roman" w:cs="Calibri"/>
                    <w:sz w:val="16"/>
                    <w:szCs w:val="16"/>
                  </w:rPr>
                  <w:t xml:space="preserve">juice vapour (SEA) by employing stress-specific bioluminescent recombinant bacterial cells (RBCs) as whole-cell biosensors. </w:t>
                </w:r>
              </w:p>
            </w:tc>
            <w:tc>
              <w:tcPr>
                <w:tcW w:w="740" w:type="dxa"/>
              </w:tcPr>
              <w:p w14:paraId="525A5E86" w14:textId="2358FC1F" w:rsidR="00FA2CBA" w:rsidRPr="00EE147E" w:rsidRDefault="00FA2CBA" w:rsidP="00FA2CBA">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EE147E">
                  <w:rPr>
                    <w:rFonts w:eastAsia="Times New Roman" w:cs="Calibri"/>
                    <w:sz w:val="16"/>
                    <w:szCs w:val="16"/>
                  </w:rPr>
                  <w:t>Plasmids and Bacteria (E. coli)</w:t>
                </w:r>
                <w:r w:rsidR="000B0B63">
                  <w:rPr>
                    <w:rFonts w:eastAsia="Times New Roman" w:cs="Calibri"/>
                    <w:sz w:val="16"/>
                    <w:szCs w:val="16"/>
                  </w:rPr>
                  <w:t>.</w:t>
                </w:r>
              </w:p>
            </w:tc>
            <w:tc>
              <w:tcPr>
                <w:tcW w:w="961" w:type="dxa"/>
              </w:tcPr>
              <w:p w14:paraId="6FE91D35" w14:textId="77777777" w:rsidR="00FA2CBA" w:rsidRPr="00EE147E" w:rsidRDefault="00FA2CBA" w:rsidP="00FA2CBA">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EE147E">
                  <w:rPr>
                    <w:rFonts w:eastAsia="Times New Roman" w:cs="Calibri"/>
                    <w:sz w:val="16"/>
                    <w:szCs w:val="16"/>
                  </w:rPr>
                  <w:t>No exposure to ECs.</w:t>
                </w:r>
              </w:p>
            </w:tc>
            <w:tc>
              <w:tcPr>
                <w:tcW w:w="1134" w:type="dxa"/>
              </w:tcPr>
              <w:p w14:paraId="5D1274FC" w14:textId="77777777" w:rsidR="00FA2CBA" w:rsidRPr="00EE147E" w:rsidRDefault="00FA2CBA" w:rsidP="00FA2CBA">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EE147E">
                  <w:rPr>
                    <w:rFonts w:eastAsia="Times New Roman" w:cs="Calibri"/>
                    <w:sz w:val="16"/>
                    <w:szCs w:val="16"/>
                  </w:rPr>
                  <w:t>Liquid and vapour ECs.</w:t>
                </w:r>
              </w:p>
            </w:tc>
            <w:tc>
              <w:tcPr>
                <w:tcW w:w="993" w:type="dxa"/>
              </w:tcPr>
              <w:p w14:paraId="281ED5C5" w14:textId="21ED61CC" w:rsidR="00FA2CBA" w:rsidRPr="00EE147E" w:rsidRDefault="00FA2CBA" w:rsidP="00FA2CBA">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EE147E">
                  <w:rPr>
                    <w:rFonts w:eastAsia="Times New Roman" w:cs="Calibri"/>
                    <w:sz w:val="16"/>
                    <w:szCs w:val="16"/>
                  </w:rPr>
                  <w:t>Plasmids &amp; recombinant bacteria cells</w:t>
                </w:r>
                <w:r w:rsidR="000B0B63">
                  <w:rPr>
                    <w:rFonts w:eastAsia="Times New Roman" w:cs="Calibri"/>
                    <w:sz w:val="16"/>
                    <w:szCs w:val="16"/>
                  </w:rPr>
                  <w:t>.</w:t>
                </w:r>
              </w:p>
            </w:tc>
            <w:tc>
              <w:tcPr>
                <w:tcW w:w="1559" w:type="dxa"/>
              </w:tcPr>
              <w:p w14:paraId="41FBA176" w14:textId="77777777" w:rsidR="00FA2CBA" w:rsidRPr="00EE147E" w:rsidRDefault="00FA2CBA" w:rsidP="00FA2CBA">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EE147E">
                  <w:rPr>
                    <w:rFonts w:eastAsia="Times New Roman" w:cs="Calibri"/>
                    <w:sz w:val="16"/>
                    <w:szCs w:val="16"/>
                  </w:rPr>
                  <w:t>Assessed cell viability and DNA fragmentation (via an alkaline gel electrophoresis assay).</w:t>
                </w:r>
              </w:p>
            </w:tc>
            <w:tc>
              <w:tcPr>
                <w:tcW w:w="4795" w:type="dxa"/>
              </w:tcPr>
              <w:p w14:paraId="6D6DFCDD" w14:textId="77777777" w:rsidR="00FA2CBA" w:rsidRPr="00EE147E" w:rsidRDefault="00FA2CBA" w:rsidP="00FA2CBA">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EE147E">
                  <w:rPr>
                    <w:rFonts w:eastAsia="Times New Roman" w:cs="Calibri"/>
                    <w:sz w:val="16"/>
                    <w:szCs w:val="16"/>
                  </w:rPr>
                  <w:t>Bioluminescent signals were dose-dependently inhibited by exposure to e-liquids, reflecting an ability for e-liquids to inhibit growth. Suggested mechanism of growth inhibition was inhibition or blocking of the DNA repair mechanism, likely the copA gene cassette which is essential for heavy metal ion pumps.</w:t>
                </w:r>
                <w:r w:rsidRPr="00EE147E">
                  <w:rPr>
                    <w:rFonts w:eastAsia="Times New Roman" w:cs="Calibri"/>
                    <w:sz w:val="16"/>
                    <w:szCs w:val="16"/>
                  </w:rPr>
                  <w:br/>
                  <w:t>Cell viability significantly decreased in the EC exposed cells compared with the ctrl.</w:t>
                </w:r>
                <w:r w:rsidRPr="00EE147E">
                  <w:rPr>
                    <w:rFonts w:eastAsia="Times New Roman" w:cs="Calibri"/>
                    <w:sz w:val="16"/>
                    <w:szCs w:val="16"/>
                  </w:rPr>
                  <w:br/>
                  <w:t>After vaporising e-liquids, bioluminescent signals were no longer inhibited at high doses. Maximum doses of e-liquids led to significant DNA fragmentation, with lower doses showing partial fragmentation.</w:t>
                </w:r>
              </w:p>
            </w:tc>
            <w:tc>
              <w:tcPr>
                <w:tcW w:w="2551" w:type="dxa"/>
              </w:tcPr>
              <w:p w14:paraId="2F8A91B0" w14:textId="10940A0C" w:rsidR="00FA2CBA" w:rsidRPr="00EE147E" w:rsidRDefault="00FA2CBA" w:rsidP="00FA2CBA">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EE147E">
                  <w:rPr>
                    <w:rFonts w:eastAsia="Times New Roman" w:cs="Calibri"/>
                    <w:sz w:val="16"/>
                    <w:szCs w:val="16"/>
                  </w:rPr>
                  <w:t>"Despite their state of matter, the e</w:t>
                </w:r>
                <w:r w:rsidR="00353B8B">
                  <w:rPr>
                    <w:rFonts w:eastAsia="Times New Roman" w:cs="Calibri"/>
                    <w:sz w:val="16"/>
                    <w:szCs w:val="16"/>
                  </w:rPr>
                  <w:noBreakHyphen/>
                </w:r>
                <w:r w:rsidRPr="00EE147E">
                  <w:rPr>
                    <w:rFonts w:eastAsia="Times New Roman" w:cs="Calibri"/>
                    <w:sz w:val="16"/>
                    <w:szCs w:val="16"/>
                  </w:rPr>
                  <w:t>juice and its vapours induce cytotoxicity and alter normal cellular functions, respectively that raises concerns on use of ECs as alternative to CIG."</w:t>
                </w:r>
              </w:p>
            </w:tc>
          </w:tr>
          <w:tr w:rsidR="00FA2CBA" w:rsidRPr="00EE147E" w14:paraId="3E1418E7" w14:textId="77777777" w:rsidTr="00A52C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7" w:type="dxa"/>
              </w:tcPr>
              <w:p w14:paraId="18CAC836" w14:textId="77777777" w:rsidR="00FA2CBA" w:rsidRPr="00EE147E" w:rsidRDefault="00FA2CBA" w:rsidP="00FA2CBA">
                <w:pPr>
                  <w:spacing w:after="0"/>
                  <w:rPr>
                    <w:sz w:val="16"/>
                    <w:szCs w:val="16"/>
                  </w:rPr>
                </w:pPr>
                <w:r w:rsidRPr="00EE147E">
                  <w:rPr>
                    <w:rFonts w:eastAsia="Times New Roman" w:cs="Calibri"/>
                    <w:sz w:val="16"/>
                    <w:szCs w:val="16"/>
                  </w:rPr>
                  <w:t>Bishop 2018</w:t>
                </w:r>
              </w:p>
            </w:tc>
            <w:tc>
              <w:tcPr>
                <w:tcW w:w="1356" w:type="dxa"/>
              </w:tcPr>
              <w:p w14:paraId="366F8514" w14:textId="77777777" w:rsidR="00FA2CBA" w:rsidRPr="00EE147E" w:rsidRDefault="00FA2CBA" w:rsidP="00FA2CBA">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EE147E">
                  <w:rPr>
                    <w:rFonts w:eastAsia="Times New Roman" w:cs="Calibri"/>
                    <w:sz w:val="16"/>
                    <w:szCs w:val="16"/>
                  </w:rPr>
                  <w:t>To explore EC cytotoxicity using undiluted vapour techniques.</w:t>
                </w:r>
              </w:p>
            </w:tc>
            <w:tc>
              <w:tcPr>
                <w:tcW w:w="740" w:type="dxa"/>
              </w:tcPr>
              <w:p w14:paraId="6F51125A" w14:textId="77777777" w:rsidR="00FA2CBA" w:rsidRPr="00EE147E" w:rsidRDefault="00FA2CBA" w:rsidP="00FA2CBA">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EE147E">
                  <w:rPr>
                    <w:rFonts w:eastAsia="Times New Roman" w:cs="Calibri"/>
                    <w:sz w:val="16"/>
                    <w:szCs w:val="16"/>
                  </w:rPr>
                  <w:t>Human</w:t>
                </w:r>
              </w:p>
            </w:tc>
            <w:tc>
              <w:tcPr>
                <w:tcW w:w="961" w:type="dxa"/>
              </w:tcPr>
              <w:p w14:paraId="1439E87B" w14:textId="77777777" w:rsidR="00FA2CBA" w:rsidRPr="00EE147E" w:rsidRDefault="00FA2CBA" w:rsidP="00FA2CBA">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EE147E">
                  <w:rPr>
                    <w:rFonts w:eastAsia="Times New Roman" w:cs="Calibri"/>
                    <w:sz w:val="16"/>
                    <w:szCs w:val="16"/>
                  </w:rPr>
                  <w:t>CIG smoke</w:t>
                </w:r>
              </w:p>
            </w:tc>
            <w:tc>
              <w:tcPr>
                <w:tcW w:w="1134" w:type="dxa"/>
              </w:tcPr>
              <w:p w14:paraId="0C986BD0" w14:textId="6F9C76E0" w:rsidR="00FA2CBA" w:rsidRPr="00EE147E" w:rsidRDefault="00FA2CBA" w:rsidP="00FA2CBA">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EE147E">
                  <w:rPr>
                    <w:rFonts w:eastAsia="Times New Roman" w:cs="Calibri"/>
                    <w:sz w:val="16"/>
                    <w:szCs w:val="16"/>
                  </w:rPr>
                  <w:t>Vaporised undiluted EC ± cinnamaldehyde</w:t>
                </w:r>
                <w:r w:rsidR="000B0B63">
                  <w:rPr>
                    <w:rFonts w:eastAsia="Times New Roman" w:cs="Calibri"/>
                    <w:sz w:val="16"/>
                    <w:szCs w:val="16"/>
                  </w:rPr>
                  <w:t>.</w:t>
                </w:r>
              </w:p>
            </w:tc>
            <w:tc>
              <w:tcPr>
                <w:tcW w:w="993" w:type="dxa"/>
              </w:tcPr>
              <w:p w14:paraId="4E6CB5B8" w14:textId="77777777" w:rsidR="00FA2CBA" w:rsidRPr="00EE147E" w:rsidRDefault="00FA2CBA" w:rsidP="00FA2CBA">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EE147E">
                  <w:rPr>
                    <w:rFonts w:eastAsia="Times New Roman" w:cs="Calibri"/>
                    <w:sz w:val="16"/>
                    <w:szCs w:val="16"/>
                  </w:rPr>
                  <w:t>Epithelial airway cells.</w:t>
                </w:r>
              </w:p>
            </w:tc>
            <w:tc>
              <w:tcPr>
                <w:tcW w:w="1559" w:type="dxa"/>
              </w:tcPr>
              <w:p w14:paraId="3B8445A9" w14:textId="77777777" w:rsidR="00FA2CBA" w:rsidRPr="00EE147E" w:rsidRDefault="00FA2CBA" w:rsidP="00FA2CBA">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EE147E">
                  <w:rPr>
                    <w:rFonts w:eastAsia="Times New Roman" w:cs="Calibri"/>
                    <w:sz w:val="16"/>
                    <w:szCs w:val="16"/>
                  </w:rPr>
                  <w:t>Assessed cytotoxic responses.</w:t>
                </w:r>
              </w:p>
            </w:tc>
            <w:tc>
              <w:tcPr>
                <w:tcW w:w="4795" w:type="dxa"/>
              </w:tcPr>
              <w:p w14:paraId="5C713ADC" w14:textId="77777777" w:rsidR="00FA2CBA" w:rsidRPr="00EE147E" w:rsidRDefault="00FA2CBA" w:rsidP="00FA2CBA">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EE147E">
                  <w:rPr>
                    <w:rFonts w:eastAsia="Times New Roman" w:cs="Calibri"/>
                    <w:sz w:val="16"/>
                    <w:szCs w:val="16"/>
                  </w:rPr>
                  <w:t xml:space="preserve">Both undiluted EC vapour and CIG smoke led to full cytotoxicity dose response. 50% toxicity was observed at 2.1min and 30mins of CIG and EC exposure, respectively. After adding 0.025% cinnamaldehyde, there was an 80% loss of cell viability. Cytotoxicity of cinnamaldehyde was dose-dependent. </w:t>
                </w:r>
              </w:p>
            </w:tc>
            <w:tc>
              <w:tcPr>
                <w:tcW w:w="2551" w:type="dxa"/>
              </w:tcPr>
              <w:p w14:paraId="7EEBFB49" w14:textId="77777777" w:rsidR="00FA2CBA" w:rsidRPr="00EE147E" w:rsidRDefault="00FA2CBA" w:rsidP="00FA2CBA">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EE147E">
                  <w:rPr>
                    <w:rFonts w:eastAsia="Times New Roman" w:cs="Calibri"/>
                    <w:sz w:val="16"/>
                    <w:szCs w:val="16"/>
                  </w:rPr>
                  <w:t>"This study demonstrates that undiluted vapour testing represents a tangible step forward in the assessment of EC vapours in vitro."</w:t>
                </w:r>
              </w:p>
            </w:tc>
          </w:tr>
          <w:tr w:rsidR="00FA2CBA" w:rsidRPr="00EE147E" w14:paraId="12984529" w14:textId="77777777" w:rsidTr="00A52CF8">
            <w:tc>
              <w:tcPr>
                <w:cnfStyle w:val="001000000000" w:firstRow="0" w:lastRow="0" w:firstColumn="1" w:lastColumn="0" w:oddVBand="0" w:evenVBand="0" w:oddHBand="0" w:evenHBand="0" w:firstRowFirstColumn="0" w:firstRowLastColumn="0" w:lastRowFirstColumn="0" w:lastRowLastColumn="0"/>
                <w:tcW w:w="1107" w:type="dxa"/>
              </w:tcPr>
              <w:p w14:paraId="240C39A6" w14:textId="77777777" w:rsidR="00FA2CBA" w:rsidRPr="00EE147E" w:rsidRDefault="00FA2CBA" w:rsidP="00FA2CBA">
                <w:pPr>
                  <w:spacing w:after="0"/>
                  <w:rPr>
                    <w:sz w:val="16"/>
                    <w:szCs w:val="16"/>
                  </w:rPr>
                </w:pPr>
                <w:r w:rsidRPr="00EE147E">
                  <w:rPr>
                    <w:rFonts w:eastAsia="Times New Roman" w:cs="Calibri"/>
                    <w:sz w:val="16"/>
                    <w:szCs w:val="16"/>
                  </w:rPr>
                  <w:t>Breheny 2017</w:t>
                </w:r>
              </w:p>
            </w:tc>
            <w:tc>
              <w:tcPr>
                <w:tcW w:w="1356" w:type="dxa"/>
              </w:tcPr>
              <w:p w14:paraId="040C6615" w14:textId="77777777" w:rsidR="00FA2CBA" w:rsidRPr="00EE147E" w:rsidRDefault="00FA2CBA" w:rsidP="00FA2CBA">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EE147E">
                  <w:rPr>
                    <w:rFonts w:eastAsia="Times New Roman" w:cs="Calibri"/>
                    <w:sz w:val="16"/>
                    <w:szCs w:val="16"/>
                  </w:rPr>
                  <w:t>To compare the relative biological effects of new categories of tobacco and nicotine products with CIGs.</w:t>
                </w:r>
              </w:p>
            </w:tc>
            <w:tc>
              <w:tcPr>
                <w:tcW w:w="740" w:type="dxa"/>
              </w:tcPr>
              <w:p w14:paraId="6AB4DFC2" w14:textId="77777777" w:rsidR="00FA2CBA" w:rsidRPr="00EE147E" w:rsidRDefault="00FA2CBA" w:rsidP="00FA2CBA">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EE147E">
                  <w:rPr>
                    <w:rFonts w:eastAsia="Times New Roman" w:cs="Calibri"/>
                    <w:sz w:val="16"/>
                    <w:szCs w:val="16"/>
                  </w:rPr>
                  <w:t>Mice</w:t>
                </w:r>
              </w:p>
            </w:tc>
            <w:tc>
              <w:tcPr>
                <w:tcW w:w="961" w:type="dxa"/>
              </w:tcPr>
              <w:p w14:paraId="37F91528" w14:textId="3C60EA2F" w:rsidR="00FA2CBA" w:rsidRPr="00EE147E" w:rsidRDefault="00FA2CBA" w:rsidP="00FA2CBA">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EE147E">
                  <w:rPr>
                    <w:rFonts w:eastAsia="Times New Roman" w:cs="Calibri"/>
                    <w:sz w:val="16"/>
                    <w:szCs w:val="16"/>
                  </w:rPr>
                  <w:t>Aqueous extracts of CIG (3R4F)</w:t>
                </w:r>
                <w:r w:rsidR="000B0B63">
                  <w:rPr>
                    <w:rFonts w:eastAsia="Times New Roman" w:cs="Calibri"/>
                    <w:sz w:val="16"/>
                    <w:szCs w:val="16"/>
                  </w:rPr>
                  <w:t>.</w:t>
                </w:r>
              </w:p>
            </w:tc>
            <w:tc>
              <w:tcPr>
                <w:tcW w:w="1134" w:type="dxa"/>
              </w:tcPr>
              <w:p w14:paraId="69AD66C9" w14:textId="646900CB" w:rsidR="00FA2CBA" w:rsidRPr="00EE147E" w:rsidRDefault="00FA2CBA" w:rsidP="00FA2CBA">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EE147E">
                  <w:rPr>
                    <w:rFonts w:eastAsia="Times New Roman" w:cs="Calibri"/>
                    <w:sz w:val="16"/>
                    <w:szCs w:val="16"/>
                  </w:rPr>
                  <w:t>Aqueous extracts of ECs (18mg/mL nicotine)</w:t>
                </w:r>
                <w:r w:rsidR="000B0B63">
                  <w:rPr>
                    <w:rFonts w:eastAsia="Times New Roman" w:cs="Calibri"/>
                    <w:sz w:val="16"/>
                    <w:szCs w:val="16"/>
                  </w:rPr>
                  <w:t>.</w:t>
                </w:r>
              </w:p>
            </w:tc>
            <w:tc>
              <w:tcPr>
                <w:tcW w:w="993" w:type="dxa"/>
              </w:tcPr>
              <w:p w14:paraId="3C4D2342" w14:textId="77777777" w:rsidR="00FA2CBA" w:rsidRPr="00EE147E" w:rsidRDefault="00FA2CBA" w:rsidP="00FA2CBA">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EE147E">
                  <w:rPr>
                    <w:rFonts w:eastAsia="Times New Roman" w:cs="Calibri"/>
                    <w:sz w:val="16"/>
                    <w:szCs w:val="16"/>
                  </w:rPr>
                  <w:t>Fibroblast cells.</w:t>
                </w:r>
              </w:p>
            </w:tc>
            <w:tc>
              <w:tcPr>
                <w:tcW w:w="1559" w:type="dxa"/>
              </w:tcPr>
              <w:p w14:paraId="764E6694" w14:textId="77777777" w:rsidR="00FA2CBA" w:rsidRPr="00EE147E" w:rsidRDefault="00FA2CBA" w:rsidP="00FA2CBA">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EE147E">
                  <w:rPr>
                    <w:rFonts w:eastAsia="Times New Roman" w:cs="Calibri"/>
                    <w:sz w:val="16"/>
                    <w:szCs w:val="16"/>
                  </w:rPr>
                  <w:t>Measured nicotine levels, toxicology and promoter activity.</w:t>
                </w:r>
              </w:p>
            </w:tc>
            <w:tc>
              <w:tcPr>
                <w:tcW w:w="4795" w:type="dxa"/>
              </w:tcPr>
              <w:p w14:paraId="38C2202C" w14:textId="1A521AF2" w:rsidR="00FA2CBA" w:rsidRPr="00EE147E" w:rsidRDefault="00FA2CBA" w:rsidP="00FA2CBA">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EE147E">
                  <w:rPr>
                    <w:rFonts w:eastAsia="Times New Roman" w:cs="Calibri"/>
                    <w:sz w:val="16"/>
                    <w:szCs w:val="16"/>
                  </w:rPr>
                  <w:t>Nicotine levels in the cells after exposure to CIGs were about twice those of ECs. Toxicology of the aqueous extracts was assessed in CIGs and ECs. In ECs no toxicity was found up to 100% aqueous extracts, however complete loss of cell viability was identified at &gt;15% aqueous extracts of CIGs. CIG concentrations of 2.5% also impacted toxicity. After exposure to CIGs at 6, 12, 24, 48 &amp; 60ug/mL the number of 'transformed colonies' increased, i.e. there was increased tumour promoter activity/ cell growth. Increases in the EC group were not significant.</w:t>
                </w:r>
                <w:r w:rsidR="008146F9">
                  <w:rPr>
                    <w:rFonts w:eastAsia="Times New Roman" w:cs="Calibri"/>
                    <w:sz w:val="16"/>
                    <w:szCs w:val="16"/>
                  </w:rPr>
                  <w:t xml:space="preserve"> </w:t>
                </w:r>
              </w:p>
            </w:tc>
            <w:tc>
              <w:tcPr>
                <w:tcW w:w="2551" w:type="dxa"/>
              </w:tcPr>
              <w:p w14:paraId="0A58FAC0" w14:textId="77777777" w:rsidR="00FA2CBA" w:rsidRPr="00EE147E" w:rsidRDefault="00FA2CBA" w:rsidP="00FA2CBA">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EE147E">
                  <w:rPr>
                    <w:rFonts w:eastAsia="Times New Roman" w:cs="Calibri"/>
                    <w:sz w:val="16"/>
                    <w:szCs w:val="16"/>
                  </w:rPr>
                  <w:t>"These data add to growing evidence suggesting that ECs may provide a safer alternative to CIGs."</w:t>
                </w:r>
              </w:p>
            </w:tc>
          </w:tr>
          <w:tr w:rsidR="00FA2CBA" w:rsidRPr="00EE147E" w14:paraId="4C53E17F" w14:textId="77777777" w:rsidTr="00A52C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7" w:type="dxa"/>
              </w:tcPr>
              <w:p w14:paraId="76A1EC37" w14:textId="77777777" w:rsidR="00FA2CBA" w:rsidRPr="00EE147E" w:rsidRDefault="00FA2CBA" w:rsidP="00FA2CBA">
                <w:pPr>
                  <w:spacing w:after="0"/>
                  <w:rPr>
                    <w:sz w:val="16"/>
                    <w:szCs w:val="16"/>
                  </w:rPr>
                </w:pPr>
                <w:r w:rsidRPr="00EE147E">
                  <w:rPr>
                    <w:rFonts w:eastAsia="Times New Roman" w:cs="Calibri"/>
                    <w:sz w:val="16"/>
                    <w:szCs w:val="16"/>
                  </w:rPr>
                  <w:t>Carson 2017</w:t>
                </w:r>
              </w:p>
            </w:tc>
            <w:tc>
              <w:tcPr>
                <w:tcW w:w="1356" w:type="dxa"/>
              </w:tcPr>
              <w:p w14:paraId="3CEFEE45" w14:textId="77777777" w:rsidR="00FA2CBA" w:rsidRPr="00EE147E" w:rsidRDefault="00FA2CBA" w:rsidP="00FA2CBA">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EE147E">
                  <w:rPr>
                    <w:rFonts w:eastAsia="Times New Roman" w:cs="Calibri"/>
                    <w:sz w:val="16"/>
                    <w:szCs w:val="16"/>
                  </w:rPr>
                  <w:t xml:space="preserve">To measure ciliary function and secretions, as well as cellular and exogenous NO concentrations subsequent to a single exposure to tobacco smoke (TS) or EC vapour (EV) on cultured </w:t>
                </w:r>
                <w:r w:rsidRPr="00EE147E">
                  <w:rPr>
                    <w:rFonts w:eastAsia="Times New Roman" w:cs="Calibri"/>
                    <w:sz w:val="16"/>
                    <w:szCs w:val="16"/>
                  </w:rPr>
                  <w:lastRenderedPageBreak/>
                  <w:t>human airway epithelium.</w:t>
                </w:r>
              </w:p>
            </w:tc>
            <w:tc>
              <w:tcPr>
                <w:tcW w:w="740" w:type="dxa"/>
              </w:tcPr>
              <w:p w14:paraId="5B94A34F" w14:textId="77777777" w:rsidR="00FA2CBA" w:rsidRPr="00EE147E" w:rsidRDefault="00FA2CBA" w:rsidP="00FA2CBA">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EE147E">
                  <w:rPr>
                    <w:rFonts w:eastAsia="Times New Roman" w:cs="Calibri"/>
                    <w:sz w:val="16"/>
                    <w:szCs w:val="16"/>
                  </w:rPr>
                  <w:lastRenderedPageBreak/>
                  <w:t>Human</w:t>
                </w:r>
              </w:p>
            </w:tc>
            <w:tc>
              <w:tcPr>
                <w:tcW w:w="961" w:type="dxa"/>
              </w:tcPr>
              <w:p w14:paraId="7049EA28" w14:textId="0132E014" w:rsidR="00FA2CBA" w:rsidRPr="00EE147E" w:rsidRDefault="00FA2CBA" w:rsidP="00FA2CBA">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EE147E">
                  <w:rPr>
                    <w:rFonts w:eastAsia="Times New Roman" w:cs="Calibri"/>
                    <w:sz w:val="16"/>
                    <w:szCs w:val="16"/>
                  </w:rPr>
                  <w:t>No EC or tobacco exposure</w:t>
                </w:r>
                <w:r w:rsidR="000B0B63">
                  <w:rPr>
                    <w:rFonts w:eastAsia="Times New Roman" w:cs="Calibri"/>
                    <w:sz w:val="16"/>
                    <w:szCs w:val="16"/>
                  </w:rPr>
                  <w:t>.</w:t>
                </w:r>
              </w:p>
            </w:tc>
            <w:tc>
              <w:tcPr>
                <w:tcW w:w="1134" w:type="dxa"/>
              </w:tcPr>
              <w:p w14:paraId="5EA90647" w14:textId="3EF46BBB" w:rsidR="00FA2CBA" w:rsidRPr="00EE147E" w:rsidRDefault="00FA2CBA" w:rsidP="00FA2CBA">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EE147E">
                  <w:rPr>
                    <w:rFonts w:eastAsia="Times New Roman" w:cs="Calibri"/>
                    <w:sz w:val="16"/>
                    <w:szCs w:val="16"/>
                  </w:rPr>
                  <w:t>EC vapour, Tobacco smoke</w:t>
                </w:r>
                <w:r w:rsidR="000B0B63">
                  <w:rPr>
                    <w:rFonts w:eastAsia="Times New Roman" w:cs="Calibri"/>
                    <w:sz w:val="16"/>
                    <w:szCs w:val="16"/>
                  </w:rPr>
                  <w:t>.</w:t>
                </w:r>
              </w:p>
            </w:tc>
            <w:tc>
              <w:tcPr>
                <w:tcW w:w="993" w:type="dxa"/>
              </w:tcPr>
              <w:p w14:paraId="1562B47A" w14:textId="77777777" w:rsidR="00FA2CBA" w:rsidRPr="00EE147E" w:rsidRDefault="00FA2CBA" w:rsidP="00FA2CBA">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EE147E">
                  <w:rPr>
                    <w:rFonts w:eastAsia="Times New Roman" w:cs="Calibri"/>
                    <w:sz w:val="16"/>
                    <w:szCs w:val="16"/>
                  </w:rPr>
                  <w:t>Epithelial airway cells (nasal).</w:t>
                </w:r>
              </w:p>
            </w:tc>
            <w:tc>
              <w:tcPr>
                <w:tcW w:w="1559" w:type="dxa"/>
              </w:tcPr>
              <w:p w14:paraId="06B26844" w14:textId="77777777" w:rsidR="00FA2CBA" w:rsidRPr="00EE147E" w:rsidRDefault="00FA2CBA" w:rsidP="00FA2CBA">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EE147E">
                  <w:rPr>
                    <w:rFonts w:eastAsia="Times New Roman" w:cs="Calibri"/>
                    <w:sz w:val="16"/>
                    <w:szCs w:val="16"/>
                  </w:rPr>
                  <w:t>Measured cilia beat frequency, secretions, cellular and exogenous NO concentrations. Matched cells to compare cells from the same origin.</w:t>
                </w:r>
              </w:p>
            </w:tc>
            <w:tc>
              <w:tcPr>
                <w:tcW w:w="4795" w:type="dxa"/>
              </w:tcPr>
              <w:p w14:paraId="0556B82C" w14:textId="77777777" w:rsidR="00FA2CBA" w:rsidRPr="00EE147E" w:rsidRDefault="00FA2CBA" w:rsidP="00FA2CBA">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EE147E">
                  <w:rPr>
                    <w:rFonts w:eastAsia="Times New Roman" w:cs="Calibri"/>
                    <w:sz w:val="16"/>
                    <w:szCs w:val="16"/>
                  </w:rPr>
                  <w:t xml:space="preserve">Ciliary motility was reduced after 1 minute of exposure to either tobacco smoke or EC smoke but not in the ctrl. Tobacco smoke exposure led to hypersecretions as indicated by matting and coalescence of cilia. While EC exposure also led to increased secretions, the effect was not as strong as tobacco smoke. </w:t>
                </w:r>
                <w:r w:rsidRPr="00EE147E">
                  <w:rPr>
                    <w:rFonts w:eastAsia="Times New Roman" w:cs="Calibri"/>
                    <w:sz w:val="16"/>
                    <w:szCs w:val="16"/>
                  </w:rPr>
                  <w:br/>
                  <w:t>Ciliary beat frequency decreased in both experimental conditions (decline of 40% after tobacco smoke, 33% after EC smoke) but recovered again in the hr post-exposure (15% recovery tobacco smoke, 19% EC).</w:t>
                </w:r>
              </w:p>
            </w:tc>
            <w:tc>
              <w:tcPr>
                <w:tcW w:w="2551" w:type="dxa"/>
              </w:tcPr>
              <w:p w14:paraId="6AE41DB0" w14:textId="77777777" w:rsidR="00FA2CBA" w:rsidRPr="00EE147E" w:rsidRDefault="00FA2CBA" w:rsidP="00FA2CBA">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EE147E">
                  <w:rPr>
                    <w:rFonts w:eastAsia="Times New Roman" w:cs="Calibri"/>
                    <w:sz w:val="16"/>
                    <w:szCs w:val="16"/>
                  </w:rPr>
                  <w:t>"This study demonstrates a similar pattern of epithelial response to acute tobacco smoke or EC vapour exposure."</w:t>
                </w:r>
              </w:p>
            </w:tc>
          </w:tr>
          <w:tr w:rsidR="00FA2CBA" w:rsidRPr="00EE147E" w14:paraId="7E827CCE" w14:textId="77777777" w:rsidTr="00A52CF8">
            <w:tc>
              <w:tcPr>
                <w:cnfStyle w:val="001000000000" w:firstRow="0" w:lastRow="0" w:firstColumn="1" w:lastColumn="0" w:oddVBand="0" w:evenVBand="0" w:oddHBand="0" w:evenHBand="0" w:firstRowFirstColumn="0" w:firstRowLastColumn="0" w:lastRowFirstColumn="0" w:lastRowLastColumn="0"/>
                <w:tcW w:w="1107" w:type="dxa"/>
              </w:tcPr>
              <w:p w14:paraId="48FEA904" w14:textId="77777777" w:rsidR="00FA2CBA" w:rsidRPr="00EE147E" w:rsidRDefault="00FA2CBA" w:rsidP="00FA2CBA">
                <w:pPr>
                  <w:spacing w:after="0"/>
                  <w:rPr>
                    <w:sz w:val="16"/>
                    <w:szCs w:val="16"/>
                  </w:rPr>
                </w:pPr>
                <w:r w:rsidRPr="00EE147E">
                  <w:rPr>
                    <w:rFonts w:cs="Calibri"/>
                    <w:sz w:val="16"/>
                    <w:szCs w:val="16"/>
                  </w:rPr>
                  <w:t>Clapp 2017</w:t>
                </w:r>
              </w:p>
            </w:tc>
            <w:tc>
              <w:tcPr>
                <w:tcW w:w="1356" w:type="dxa"/>
              </w:tcPr>
              <w:p w14:paraId="6CA6DD29" w14:textId="77777777" w:rsidR="00FA2CBA" w:rsidRPr="00EE147E" w:rsidRDefault="00FA2CBA" w:rsidP="00FA2CBA">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EE147E">
                  <w:rPr>
                    <w:rFonts w:cs="Calibri"/>
                    <w:sz w:val="16"/>
                    <w:szCs w:val="16"/>
                  </w:rPr>
                  <w:t>To investigate the effects of seven flavoured nicotine free e-liquids on primary human alveolar macrophages, neutrophils, and NK cells.</w:t>
                </w:r>
              </w:p>
            </w:tc>
            <w:tc>
              <w:tcPr>
                <w:tcW w:w="740" w:type="dxa"/>
              </w:tcPr>
              <w:p w14:paraId="587F5E83" w14:textId="77777777" w:rsidR="00FA2CBA" w:rsidRPr="00EE147E" w:rsidRDefault="00FA2CBA" w:rsidP="00FA2CBA">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EE147E">
                  <w:rPr>
                    <w:rFonts w:cs="Calibri"/>
                    <w:sz w:val="16"/>
                    <w:szCs w:val="16"/>
                  </w:rPr>
                  <w:t>Human</w:t>
                </w:r>
              </w:p>
            </w:tc>
            <w:tc>
              <w:tcPr>
                <w:tcW w:w="961" w:type="dxa"/>
              </w:tcPr>
              <w:p w14:paraId="2959A1BB" w14:textId="77777777" w:rsidR="00FA2CBA" w:rsidRPr="00EE147E" w:rsidRDefault="00FA2CBA" w:rsidP="00FA2CBA">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EE147E">
                  <w:rPr>
                    <w:rFonts w:cs="Calibri"/>
                    <w:sz w:val="16"/>
                    <w:szCs w:val="16"/>
                  </w:rPr>
                  <w:t>PG/VG</w:t>
                </w:r>
              </w:p>
            </w:tc>
            <w:tc>
              <w:tcPr>
                <w:tcW w:w="1134" w:type="dxa"/>
              </w:tcPr>
              <w:p w14:paraId="6E9E4A1D" w14:textId="3AC764DD" w:rsidR="00FA2CBA" w:rsidRPr="00EE147E" w:rsidRDefault="00FA2CBA" w:rsidP="00FA2CBA">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EE147E">
                  <w:rPr>
                    <w:rFonts w:cs="Calibri"/>
                    <w:sz w:val="16"/>
                    <w:szCs w:val="16"/>
                  </w:rPr>
                  <w:t>7 flavours of EC liquids at concentrations of 0.25, 0.5 &amp; 1%</w:t>
                </w:r>
                <w:r w:rsidR="000B0B63">
                  <w:rPr>
                    <w:rFonts w:cs="Calibri"/>
                    <w:sz w:val="16"/>
                    <w:szCs w:val="16"/>
                  </w:rPr>
                  <w:t>.</w:t>
                </w:r>
              </w:p>
            </w:tc>
            <w:tc>
              <w:tcPr>
                <w:tcW w:w="993" w:type="dxa"/>
              </w:tcPr>
              <w:p w14:paraId="498E29CE" w14:textId="120A3A36" w:rsidR="00FA2CBA" w:rsidRPr="00EE147E" w:rsidRDefault="00FA2CBA" w:rsidP="00FA2CBA">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EE147E">
                  <w:rPr>
                    <w:rFonts w:cs="Calibri"/>
                    <w:sz w:val="16"/>
                    <w:szCs w:val="16"/>
                  </w:rPr>
                  <w:t>Alveolar macrophages, neutrophils, and NK cells</w:t>
                </w:r>
                <w:r w:rsidR="000B0B63">
                  <w:rPr>
                    <w:rFonts w:cs="Calibri"/>
                    <w:sz w:val="16"/>
                    <w:szCs w:val="16"/>
                  </w:rPr>
                  <w:t>.</w:t>
                </w:r>
              </w:p>
            </w:tc>
            <w:tc>
              <w:tcPr>
                <w:tcW w:w="1559" w:type="dxa"/>
              </w:tcPr>
              <w:p w14:paraId="6DE693A2" w14:textId="77777777" w:rsidR="00FA2CBA" w:rsidRPr="00EE147E" w:rsidRDefault="00FA2CBA" w:rsidP="00FA2CBA">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EE147E">
                  <w:rPr>
                    <w:rFonts w:cs="Calibri"/>
                    <w:sz w:val="16"/>
                    <w:szCs w:val="16"/>
                  </w:rPr>
                  <w:t>Neutrophils and NK cells were isolated from blood samples. Alveolar macrophages were isolated from brochoalveolar lavage fluid from a brochoscopy. Assessed effects on neutrophils, NK cells and alveolar macrophages.</w:t>
                </w:r>
              </w:p>
            </w:tc>
            <w:tc>
              <w:tcPr>
                <w:tcW w:w="4795" w:type="dxa"/>
              </w:tcPr>
              <w:p w14:paraId="41BA98D9" w14:textId="77777777" w:rsidR="00FA2CBA" w:rsidRPr="00EE147E" w:rsidRDefault="00FA2CBA" w:rsidP="00FA2CBA">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EE147E">
                  <w:rPr>
                    <w:rFonts w:cs="Calibri"/>
                    <w:sz w:val="16"/>
                    <w:szCs w:val="16"/>
                  </w:rPr>
                  <w:t xml:space="preserve">Alveolar macrophages: Only kola (at 1% concentration) and sini-cide (0.25, 0.5 &amp; 1% concentrations) led to significant phagocytosis suppression compared with PG/VG ctrls. 1% Kola e-liquid exposure led to increased IL-6 secretion but 0.5% Sini-cide led to suppressed IL-6 and IL-8 (IL-8 supressed in all concentrations) secretion. </w:t>
                </w:r>
                <w:r w:rsidRPr="00EE147E">
                  <w:rPr>
                    <w:rFonts w:cs="Calibri"/>
                    <w:sz w:val="16"/>
                    <w:szCs w:val="16"/>
                  </w:rPr>
                  <w:br/>
                  <w:t>Neutrophils: The ctrl and 5 experimental flavours reduced neutrophil phagocytosis in a dose-dependent manner. Toxicity was observed at 1% Kola and 0.5 &amp; 1% Sini-cide flavours. All flavours except Solid Menthol and Sini-cide led to increased IL-8 secretion. Sini-cide likely did not increase IL-8 due to cytotoxicity.</w:t>
                </w:r>
                <w:r w:rsidRPr="00EE147E">
                  <w:rPr>
                    <w:rFonts w:cs="Calibri"/>
                    <w:sz w:val="16"/>
                    <w:szCs w:val="16"/>
                  </w:rPr>
                  <w:br/>
                  <w:t>NET: PG/VG did not induce NET formation. Hot Cinnamon Candies suppressed NET formation, Kola increased NET formation, while Sini-cide was cytotoxic which meant NET formation could not be studied.</w:t>
                </w:r>
                <w:r w:rsidRPr="00EE147E">
                  <w:rPr>
                    <w:rFonts w:cs="Calibri"/>
                    <w:sz w:val="16"/>
                    <w:szCs w:val="16"/>
                  </w:rPr>
                  <w:br/>
                  <w:t xml:space="preserve">NK cells: Killing of target cells was reduced after exposure to cinnamon-flavoured e-liquids. </w:t>
                </w:r>
                <w:r w:rsidRPr="00EE147E">
                  <w:rPr>
                    <w:rFonts w:cs="Calibri"/>
                    <w:sz w:val="16"/>
                    <w:szCs w:val="16"/>
                  </w:rPr>
                  <w:br/>
                  <w:t>Cinnamaldehyde: Reduced phagocytosis in alveolar macrophages and neutrophils and reduced killing efficiency in NK cells.</w:t>
                </w:r>
              </w:p>
            </w:tc>
            <w:tc>
              <w:tcPr>
                <w:tcW w:w="2551" w:type="dxa"/>
              </w:tcPr>
              <w:p w14:paraId="2E86A55C" w14:textId="77777777" w:rsidR="00FA2CBA" w:rsidRPr="00EE147E" w:rsidRDefault="00FA2CBA" w:rsidP="00FA2CBA">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EE147E">
                  <w:rPr>
                    <w:rFonts w:cs="Calibri"/>
                    <w:sz w:val="16"/>
                    <w:szCs w:val="16"/>
                  </w:rPr>
                  <w:t>"These findings add to the concern that flavoured e-liquids may broadly contain potentially hazardous chemicals and illustrate the need to investigate the respiratory effects of common flavourings used in the manufacture of e-liquids."</w:t>
                </w:r>
              </w:p>
            </w:tc>
          </w:tr>
          <w:tr w:rsidR="00FA2CBA" w:rsidRPr="00EE147E" w14:paraId="155A731E" w14:textId="77777777" w:rsidTr="00A52C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7" w:type="dxa"/>
              </w:tcPr>
              <w:p w14:paraId="6EFAE87D" w14:textId="77777777" w:rsidR="00FA2CBA" w:rsidRPr="00EE147E" w:rsidRDefault="00FA2CBA" w:rsidP="00FA2CBA">
                <w:pPr>
                  <w:spacing w:after="0"/>
                  <w:rPr>
                    <w:sz w:val="16"/>
                    <w:szCs w:val="16"/>
                  </w:rPr>
                </w:pPr>
                <w:r w:rsidRPr="00EE147E">
                  <w:rPr>
                    <w:rFonts w:eastAsia="Times New Roman" w:cs="Calibri"/>
                    <w:sz w:val="16"/>
                    <w:szCs w:val="16"/>
                  </w:rPr>
                  <w:t>Crotty Alexander 2018</w:t>
                </w:r>
              </w:p>
            </w:tc>
            <w:tc>
              <w:tcPr>
                <w:tcW w:w="1356" w:type="dxa"/>
              </w:tcPr>
              <w:p w14:paraId="2AB5F4C7" w14:textId="77777777" w:rsidR="00FA2CBA" w:rsidRPr="00EE147E" w:rsidRDefault="00FA2CBA" w:rsidP="00FA2CBA">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EE147E">
                  <w:rPr>
                    <w:rFonts w:eastAsia="Times New Roman" w:cs="Calibri"/>
                    <w:sz w:val="16"/>
                    <w:szCs w:val="16"/>
                  </w:rPr>
                  <w:t>To investigate the effect of ECs on permeability of epithelial surfaces and inflammation.</w:t>
                </w:r>
              </w:p>
            </w:tc>
            <w:tc>
              <w:tcPr>
                <w:tcW w:w="740" w:type="dxa"/>
              </w:tcPr>
              <w:p w14:paraId="217C4964" w14:textId="77777777" w:rsidR="00FA2CBA" w:rsidRPr="00EE147E" w:rsidRDefault="00FA2CBA" w:rsidP="00FA2CBA">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EE147E">
                  <w:rPr>
                    <w:rFonts w:eastAsia="Times New Roman" w:cs="Calibri"/>
                    <w:sz w:val="16"/>
                    <w:szCs w:val="16"/>
                  </w:rPr>
                  <w:t>Human</w:t>
                </w:r>
              </w:p>
            </w:tc>
            <w:tc>
              <w:tcPr>
                <w:tcW w:w="961" w:type="dxa"/>
              </w:tcPr>
              <w:p w14:paraId="381845AA" w14:textId="77777777" w:rsidR="00FA2CBA" w:rsidRPr="00EE147E" w:rsidRDefault="00FA2CBA" w:rsidP="00FA2CBA">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EE147E">
                  <w:rPr>
                    <w:rFonts w:eastAsia="Times New Roman" w:cs="Calibri"/>
                    <w:sz w:val="16"/>
                    <w:szCs w:val="16"/>
                  </w:rPr>
                  <w:t>Air</w:t>
                </w:r>
              </w:p>
            </w:tc>
            <w:tc>
              <w:tcPr>
                <w:tcW w:w="1134" w:type="dxa"/>
              </w:tcPr>
              <w:p w14:paraId="1635576A" w14:textId="77777777" w:rsidR="00FA2CBA" w:rsidRPr="00EE147E" w:rsidRDefault="00FA2CBA" w:rsidP="00FA2CBA">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EE147E">
                  <w:rPr>
                    <w:rFonts w:eastAsia="Times New Roman" w:cs="Calibri"/>
                    <w:sz w:val="16"/>
                    <w:szCs w:val="16"/>
                  </w:rPr>
                  <w:t>EC vapour</w:t>
                </w:r>
              </w:p>
            </w:tc>
            <w:tc>
              <w:tcPr>
                <w:tcW w:w="993" w:type="dxa"/>
              </w:tcPr>
              <w:p w14:paraId="17672A05" w14:textId="77777777" w:rsidR="00FA2CBA" w:rsidRPr="00EE147E" w:rsidRDefault="00FA2CBA" w:rsidP="00FA2CBA">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EE147E">
                  <w:rPr>
                    <w:rFonts w:eastAsia="Times New Roman" w:cs="Calibri"/>
                    <w:sz w:val="16"/>
                    <w:szCs w:val="16"/>
                  </w:rPr>
                  <w:t>Bronchial epithelial cells.</w:t>
                </w:r>
              </w:p>
            </w:tc>
            <w:tc>
              <w:tcPr>
                <w:tcW w:w="1559" w:type="dxa"/>
              </w:tcPr>
              <w:p w14:paraId="6BC3B13E" w14:textId="77777777" w:rsidR="00FA2CBA" w:rsidRPr="00EE147E" w:rsidRDefault="00FA2CBA" w:rsidP="00FA2CBA">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EE147E">
                  <w:rPr>
                    <w:rFonts w:eastAsia="Times New Roman" w:cs="Calibri"/>
                    <w:sz w:val="16"/>
                    <w:szCs w:val="16"/>
                  </w:rPr>
                  <w:t>Cells were exposed to infectious Pseudomonas aeruginosa. Inflammatory response and tight junction proteins were investigated.</w:t>
                </w:r>
              </w:p>
            </w:tc>
            <w:tc>
              <w:tcPr>
                <w:tcW w:w="4795" w:type="dxa"/>
              </w:tcPr>
              <w:p w14:paraId="4D7396E7" w14:textId="77777777" w:rsidR="00FA2CBA" w:rsidRPr="00EE147E" w:rsidRDefault="00FA2CBA" w:rsidP="00FA2CBA">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EE147E">
                  <w:rPr>
                    <w:rFonts w:eastAsia="Times New Roman" w:cs="Calibri"/>
                    <w:sz w:val="16"/>
                    <w:szCs w:val="16"/>
                  </w:rPr>
                  <w:t>After exposure to infection, EC-exposed airway epithelium secreted higher IL-8 than the ctrl, indicating increased inflammation following infection. EC exposure led to changes in tight junction proteins and thus may reduce barrier function in the lungs. This could lead to increased passage of external antigens and chemicals into the lungs and blood.</w:t>
                </w:r>
              </w:p>
            </w:tc>
            <w:tc>
              <w:tcPr>
                <w:tcW w:w="2551" w:type="dxa"/>
              </w:tcPr>
              <w:p w14:paraId="6670EDAA" w14:textId="77777777" w:rsidR="00FA2CBA" w:rsidRPr="00EE147E" w:rsidRDefault="00FA2CBA" w:rsidP="00FA2CBA">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EE147E">
                  <w:rPr>
                    <w:rFonts w:eastAsia="Times New Roman" w:cs="Calibri"/>
                    <w:sz w:val="16"/>
                    <w:szCs w:val="16"/>
                  </w:rPr>
                  <w:t>"These data demonstrate that chronic inhalation of EV may lead to increased inflammation…"</w:t>
                </w:r>
              </w:p>
            </w:tc>
          </w:tr>
          <w:tr w:rsidR="00FA2CBA" w:rsidRPr="00EE147E" w14:paraId="201A5021" w14:textId="77777777" w:rsidTr="00A52CF8">
            <w:tc>
              <w:tcPr>
                <w:cnfStyle w:val="001000000000" w:firstRow="0" w:lastRow="0" w:firstColumn="1" w:lastColumn="0" w:oddVBand="0" w:evenVBand="0" w:oddHBand="0" w:evenHBand="0" w:firstRowFirstColumn="0" w:firstRowLastColumn="0" w:lastRowFirstColumn="0" w:lastRowLastColumn="0"/>
                <w:tcW w:w="1107" w:type="dxa"/>
              </w:tcPr>
              <w:p w14:paraId="49FF1001" w14:textId="77777777" w:rsidR="00FA2CBA" w:rsidRPr="00EE147E" w:rsidRDefault="00FA2CBA" w:rsidP="00FA2CBA">
                <w:pPr>
                  <w:spacing w:after="0"/>
                  <w:rPr>
                    <w:sz w:val="16"/>
                    <w:szCs w:val="16"/>
                  </w:rPr>
                </w:pPr>
                <w:r w:rsidRPr="00EE147E">
                  <w:rPr>
                    <w:rFonts w:eastAsia="Times New Roman" w:cs="Calibri"/>
                    <w:sz w:val="16"/>
                    <w:szCs w:val="16"/>
                  </w:rPr>
                  <w:t>Davies 2017</w:t>
                </w:r>
              </w:p>
            </w:tc>
            <w:tc>
              <w:tcPr>
                <w:tcW w:w="1356" w:type="dxa"/>
              </w:tcPr>
              <w:p w14:paraId="5915C27D" w14:textId="77777777" w:rsidR="00FA2CBA" w:rsidRPr="00EE147E" w:rsidRDefault="00FA2CBA" w:rsidP="00FA2CBA">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EE147E">
                  <w:rPr>
                    <w:rFonts w:cs="Calibri"/>
                    <w:sz w:val="16"/>
                    <w:szCs w:val="16"/>
                  </w:rPr>
                  <w:t>To evaluate the influence CIG/EC vapour has on model surfactant films located within a simulated pulmonary environment using a lung bio simulator.</w:t>
                </w:r>
              </w:p>
            </w:tc>
            <w:tc>
              <w:tcPr>
                <w:tcW w:w="740" w:type="dxa"/>
              </w:tcPr>
              <w:p w14:paraId="32D3243B" w14:textId="77777777" w:rsidR="00FA2CBA" w:rsidRPr="00EE147E" w:rsidRDefault="00FA2CBA" w:rsidP="00FA2CBA">
                <w:pPr>
                  <w:spacing w:after="0"/>
                  <w:cnfStyle w:val="000000000000" w:firstRow="0" w:lastRow="0" w:firstColumn="0" w:lastColumn="0" w:oddVBand="0" w:evenVBand="0" w:oddHBand="0" w:evenHBand="0" w:firstRowFirstColumn="0" w:firstRowLastColumn="0" w:lastRowFirstColumn="0" w:lastRowLastColumn="0"/>
                  <w:rPr>
                    <w:sz w:val="16"/>
                    <w:szCs w:val="16"/>
                  </w:rPr>
                </w:pPr>
              </w:p>
            </w:tc>
            <w:tc>
              <w:tcPr>
                <w:tcW w:w="961" w:type="dxa"/>
              </w:tcPr>
              <w:p w14:paraId="6921B7B5" w14:textId="77777777" w:rsidR="00FA2CBA" w:rsidRPr="00EE147E" w:rsidRDefault="00FA2CBA" w:rsidP="00FA2CBA">
                <w:pPr>
                  <w:spacing w:after="0"/>
                  <w:cnfStyle w:val="000000000000" w:firstRow="0" w:lastRow="0" w:firstColumn="0" w:lastColumn="0" w:oddVBand="0" w:evenVBand="0" w:oddHBand="0" w:evenHBand="0" w:firstRowFirstColumn="0" w:firstRowLastColumn="0" w:lastRowFirstColumn="0" w:lastRowLastColumn="0"/>
                  <w:rPr>
                    <w:sz w:val="16"/>
                    <w:szCs w:val="16"/>
                  </w:rPr>
                </w:pPr>
              </w:p>
            </w:tc>
            <w:tc>
              <w:tcPr>
                <w:tcW w:w="1134" w:type="dxa"/>
              </w:tcPr>
              <w:p w14:paraId="4D919782" w14:textId="4A8B80C5" w:rsidR="00FA2CBA" w:rsidRPr="00EE147E" w:rsidRDefault="00FA2CBA" w:rsidP="00FA2CBA">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EE147E">
                  <w:rPr>
                    <w:rFonts w:cs="Calibri"/>
                    <w:sz w:val="16"/>
                    <w:szCs w:val="16"/>
                  </w:rPr>
                  <w:t>CIG and EC vapour</w:t>
                </w:r>
                <w:r w:rsidR="000B0B63">
                  <w:rPr>
                    <w:rFonts w:cs="Calibri"/>
                    <w:sz w:val="16"/>
                    <w:szCs w:val="16"/>
                  </w:rPr>
                  <w:t>.</w:t>
                </w:r>
              </w:p>
            </w:tc>
            <w:tc>
              <w:tcPr>
                <w:tcW w:w="993" w:type="dxa"/>
              </w:tcPr>
              <w:p w14:paraId="656E409F" w14:textId="5A0F2815" w:rsidR="00FA2CBA" w:rsidRPr="00EE147E" w:rsidRDefault="00FA2CBA" w:rsidP="00FA2CBA">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EE147E">
                  <w:rPr>
                    <w:rFonts w:cs="Calibri"/>
                    <w:sz w:val="16"/>
                    <w:szCs w:val="16"/>
                  </w:rPr>
                  <w:t>Simulated pulmonary surfactant</w:t>
                </w:r>
                <w:r w:rsidR="000B0B63">
                  <w:rPr>
                    <w:rFonts w:cs="Calibri"/>
                    <w:sz w:val="16"/>
                    <w:szCs w:val="16"/>
                  </w:rPr>
                  <w:t>.</w:t>
                </w:r>
              </w:p>
            </w:tc>
            <w:tc>
              <w:tcPr>
                <w:tcW w:w="1559" w:type="dxa"/>
              </w:tcPr>
              <w:p w14:paraId="51B21144" w14:textId="77777777" w:rsidR="00FA2CBA" w:rsidRPr="00EE147E" w:rsidRDefault="00FA2CBA" w:rsidP="00FA2CBA">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EE147E">
                  <w:rPr>
                    <w:rFonts w:cs="Calibri"/>
                    <w:sz w:val="16"/>
                    <w:szCs w:val="16"/>
                  </w:rPr>
                  <w:t>Much of the paper described the lung bio simulator which was developed by this group.</w:t>
                </w:r>
              </w:p>
            </w:tc>
            <w:tc>
              <w:tcPr>
                <w:tcW w:w="4795" w:type="dxa"/>
              </w:tcPr>
              <w:p w14:paraId="374D410F" w14:textId="77777777" w:rsidR="00FA2CBA" w:rsidRPr="00EE147E" w:rsidRDefault="00FA2CBA" w:rsidP="00FA2CBA">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EE147E">
                  <w:rPr>
                    <w:rFonts w:cs="Calibri"/>
                    <w:sz w:val="16"/>
                    <w:szCs w:val="16"/>
                  </w:rPr>
                  <w:t>"On exposure to smoke vapour, Langmuir isotherms exhibited condensed character and a significant reduction in maximum surface pressure was noted in all cases. Langmuir isocycles, reflective of the human breathing cycle, demonstrated condensed character on smoke vapour delivery. A reduction in the maximum surface pressure was clear only in the case of CIG vapour application. The components of CIG vapour can cause oxidative damage to pulmonary surfactant and impair recycling. Neutral nicotine molecules can weaken the structure of the monolayer and cause destabilisation. A protective effect was evident in the case of repeated surfactant compression – relaxation cycles (i.e. the ability to reduce the surface tension term was impaired less), demonstrating a likely innate biological defensive mechanism of the lung."</w:t>
                </w:r>
              </w:p>
            </w:tc>
            <w:tc>
              <w:tcPr>
                <w:tcW w:w="2551" w:type="dxa"/>
              </w:tcPr>
              <w:p w14:paraId="29C5B0BF" w14:textId="77777777" w:rsidR="00FA2CBA" w:rsidRPr="00EE147E" w:rsidRDefault="00FA2CBA" w:rsidP="00FA2CBA">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EE147E">
                  <w:rPr>
                    <w:rFonts w:cs="Calibri"/>
                    <w:sz w:val="16"/>
                    <w:szCs w:val="16"/>
                  </w:rPr>
                  <w:t>"EC vapour appeared to have a reduced impact on surfactant performance, which may hold value in harm reduction over the longer term." "exposure to CIG/EC vapour does modify the structure-function activity of simulated pulmonary surfactant monolayers under physiologically relevant conditions. "</w:t>
                </w:r>
              </w:p>
            </w:tc>
          </w:tr>
          <w:tr w:rsidR="00FA2CBA" w:rsidRPr="00EE147E" w14:paraId="47863024" w14:textId="77777777" w:rsidTr="00A52C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7" w:type="dxa"/>
              </w:tcPr>
              <w:p w14:paraId="2C80B311" w14:textId="77777777" w:rsidR="00FA2CBA" w:rsidRPr="00EE147E" w:rsidRDefault="00FA2CBA" w:rsidP="00FA2CBA">
                <w:pPr>
                  <w:spacing w:after="0"/>
                  <w:rPr>
                    <w:sz w:val="16"/>
                    <w:szCs w:val="16"/>
                  </w:rPr>
                </w:pPr>
                <w:r w:rsidRPr="00EE147E">
                  <w:rPr>
                    <w:rFonts w:eastAsia="Times New Roman" w:cs="Calibri"/>
                    <w:sz w:val="16"/>
                    <w:szCs w:val="16"/>
                  </w:rPr>
                  <w:t>Ganapathy 2017</w:t>
                </w:r>
              </w:p>
            </w:tc>
            <w:tc>
              <w:tcPr>
                <w:tcW w:w="1356" w:type="dxa"/>
              </w:tcPr>
              <w:p w14:paraId="60626C0A" w14:textId="77777777" w:rsidR="00FA2CBA" w:rsidRPr="00EE147E" w:rsidRDefault="00FA2CBA" w:rsidP="00FA2CBA">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EE147E">
                  <w:rPr>
                    <w:rFonts w:eastAsia="Times New Roman" w:cs="Calibri"/>
                    <w:sz w:val="16"/>
                    <w:szCs w:val="16"/>
                  </w:rPr>
                  <w:t xml:space="preserve">To determine the genotoxicity and the mechanisms induced by EC vapour extracts on human oral </w:t>
                </w:r>
                <w:r w:rsidRPr="00EE147E">
                  <w:rPr>
                    <w:rFonts w:eastAsia="Times New Roman" w:cs="Calibri"/>
                    <w:sz w:val="16"/>
                    <w:szCs w:val="16"/>
                  </w:rPr>
                  <w:lastRenderedPageBreak/>
                  <w:t>and lung epithelial cells.</w:t>
                </w:r>
              </w:p>
            </w:tc>
            <w:tc>
              <w:tcPr>
                <w:tcW w:w="740" w:type="dxa"/>
              </w:tcPr>
              <w:p w14:paraId="3AD7A5CF" w14:textId="77777777" w:rsidR="00FA2CBA" w:rsidRPr="00EE147E" w:rsidRDefault="00FA2CBA" w:rsidP="00FA2CBA">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EE147E">
                  <w:rPr>
                    <w:rFonts w:eastAsia="Times New Roman" w:cs="Calibri"/>
                    <w:sz w:val="16"/>
                    <w:szCs w:val="16"/>
                  </w:rPr>
                  <w:lastRenderedPageBreak/>
                  <w:t>Human</w:t>
                </w:r>
              </w:p>
            </w:tc>
            <w:tc>
              <w:tcPr>
                <w:tcW w:w="961" w:type="dxa"/>
              </w:tcPr>
              <w:p w14:paraId="7E00B86F" w14:textId="77777777" w:rsidR="00FA2CBA" w:rsidRPr="00EE147E" w:rsidRDefault="00FA2CBA" w:rsidP="00FA2CBA">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EE147E">
                  <w:rPr>
                    <w:rFonts w:eastAsia="Times New Roman" w:cs="Calibri"/>
                    <w:sz w:val="16"/>
                    <w:szCs w:val="16"/>
                  </w:rPr>
                  <w:t>Unexposed cells</w:t>
                </w:r>
              </w:p>
            </w:tc>
            <w:tc>
              <w:tcPr>
                <w:tcW w:w="1134" w:type="dxa"/>
              </w:tcPr>
              <w:p w14:paraId="7CB06A0A" w14:textId="77777777" w:rsidR="00FA2CBA" w:rsidRPr="00EE147E" w:rsidRDefault="00FA2CBA" w:rsidP="00FA2CBA">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EE147E">
                  <w:rPr>
                    <w:rFonts w:eastAsia="Times New Roman" w:cs="Calibri"/>
                    <w:sz w:val="16"/>
                    <w:szCs w:val="16"/>
                  </w:rPr>
                  <w:t xml:space="preserve">CIG smoke extracts, 5 EC vapour extracts ± nicotine. </w:t>
                </w:r>
                <w:r w:rsidRPr="00EE147E">
                  <w:rPr>
                    <w:rFonts w:eastAsia="Times New Roman" w:cs="Calibri"/>
                    <w:sz w:val="16"/>
                    <w:szCs w:val="16"/>
                  </w:rPr>
                  <w:lastRenderedPageBreak/>
                  <w:t>Replicated human user.</w:t>
                </w:r>
              </w:p>
            </w:tc>
            <w:tc>
              <w:tcPr>
                <w:tcW w:w="993" w:type="dxa"/>
              </w:tcPr>
              <w:p w14:paraId="16E0FB3F" w14:textId="77777777" w:rsidR="00FA2CBA" w:rsidRPr="00EE147E" w:rsidRDefault="00FA2CBA" w:rsidP="00FA2CBA">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EE147E">
                  <w:rPr>
                    <w:rFonts w:eastAsia="Times New Roman" w:cs="Calibri"/>
                    <w:sz w:val="16"/>
                    <w:szCs w:val="16"/>
                  </w:rPr>
                  <w:lastRenderedPageBreak/>
                  <w:t xml:space="preserve">Epithelial cells: oral squamous cell carcinomas &amp; </w:t>
                </w:r>
                <w:r w:rsidRPr="00EE147E">
                  <w:rPr>
                    <w:rFonts w:eastAsia="Times New Roman" w:cs="Calibri"/>
                    <w:sz w:val="16"/>
                    <w:szCs w:val="16"/>
                  </w:rPr>
                  <w:lastRenderedPageBreak/>
                  <w:t>premalignant dysplastic oral mucosal keratinocyte cells.</w:t>
                </w:r>
              </w:p>
            </w:tc>
            <w:tc>
              <w:tcPr>
                <w:tcW w:w="1559" w:type="dxa"/>
              </w:tcPr>
              <w:p w14:paraId="50134BDE" w14:textId="77777777" w:rsidR="00FA2CBA" w:rsidRPr="00EE147E" w:rsidRDefault="00FA2CBA" w:rsidP="00FA2CBA">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EE147E">
                  <w:rPr>
                    <w:rFonts w:eastAsia="Times New Roman" w:cs="Calibri"/>
                    <w:sz w:val="16"/>
                    <w:szCs w:val="16"/>
                  </w:rPr>
                  <w:lastRenderedPageBreak/>
                  <w:t xml:space="preserve">Measured DNA damage, cell viability, ROS, total antioxidant capacity, mRNA &amp; protein expression. </w:t>
                </w:r>
              </w:p>
            </w:tc>
            <w:tc>
              <w:tcPr>
                <w:tcW w:w="4795" w:type="dxa"/>
              </w:tcPr>
              <w:p w14:paraId="0F527565" w14:textId="78599230" w:rsidR="00FA2CBA" w:rsidRPr="00EE147E" w:rsidRDefault="00FA2CBA" w:rsidP="00FA2CBA">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EE147E">
                  <w:rPr>
                    <w:rFonts w:eastAsia="Times New Roman" w:cs="Calibri"/>
                    <w:sz w:val="16"/>
                    <w:szCs w:val="16"/>
                  </w:rPr>
                  <w:t xml:space="preserve">In all cell types, ECs induced dose-dependent DNA damage, irrespective of the nicotine content. However, damage was less than that induced by CIG smoke extracts. ECs led to oxidative damage (as shown by 8-oxo-dG, a mutagenic oxidative DNA lesions). Oxidative damage was higher after long-term exposure to ECs than CIG smoke. </w:t>
                </w:r>
                <w:r w:rsidRPr="00EE147E">
                  <w:rPr>
                    <w:rFonts w:eastAsia="Times New Roman" w:cs="Calibri"/>
                    <w:sz w:val="16"/>
                    <w:szCs w:val="16"/>
                  </w:rPr>
                  <w:br/>
                  <w:t xml:space="preserve">Antioxidant capacity decreased and reactive oxygen species increased </w:t>
                </w:r>
                <w:r w:rsidRPr="00EE147E">
                  <w:rPr>
                    <w:rFonts w:eastAsia="Times New Roman" w:cs="Calibri"/>
                    <w:sz w:val="16"/>
                    <w:szCs w:val="16"/>
                  </w:rPr>
                  <w:lastRenderedPageBreak/>
                  <w:t>after EC exposure, at a similar level to CIG smoke.</w:t>
                </w:r>
                <w:r w:rsidR="008146F9">
                  <w:rPr>
                    <w:rFonts w:eastAsia="Times New Roman" w:cs="Calibri"/>
                    <w:sz w:val="16"/>
                    <w:szCs w:val="16"/>
                  </w:rPr>
                  <w:t xml:space="preserve"> </w:t>
                </w:r>
                <w:r w:rsidRPr="00EE147E">
                  <w:rPr>
                    <w:rFonts w:eastAsia="Times New Roman" w:cs="Calibri"/>
                    <w:sz w:val="16"/>
                    <w:szCs w:val="16"/>
                  </w:rPr>
                  <w:t xml:space="preserve">A reduction in proteins associated with DNA damage removal was also found in some cells exposed to ECs and all cells exposed to CIG smoke. </w:t>
                </w:r>
              </w:p>
            </w:tc>
            <w:tc>
              <w:tcPr>
                <w:tcW w:w="2551" w:type="dxa"/>
              </w:tcPr>
              <w:p w14:paraId="696E4CD3" w14:textId="77777777" w:rsidR="00FA2CBA" w:rsidRPr="00EE147E" w:rsidRDefault="00FA2CBA" w:rsidP="00FA2CBA">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EE147E">
                  <w:rPr>
                    <w:rFonts w:eastAsia="Times New Roman" w:cs="Calibri"/>
                    <w:sz w:val="16"/>
                    <w:szCs w:val="16"/>
                  </w:rPr>
                  <w:lastRenderedPageBreak/>
                  <w:t>"Exposure to EC vapour extracts suppressed the cellular antioxidant defences and led to significant DNA damage."</w:t>
                </w:r>
              </w:p>
            </w:tc>
          </w:tr>
          <w:tr w:rsidR="00FA2CBA" w:rsidRPr="00EE147E" w14:paraId="4FCB075A" w14:textId="77777777" w:rsidTr="00A52CF8">
            <w:tc>
              <w:tcPr>
                <w:cnfStyle w:val="001000000000" w:firstRow="0" w:lastRow="0" w:firstColumn="1" w:lastColumn="0" w:oddVBand="0" w:evenVBand="0" w:oddHBand="0" w:evenHBand="0" w:firstRowFirstColumn="0" w:firstRowLastColumn="0" w:lastRowFirstColumn="0" w:lastRowLastColumn="0"/>
                <w:tcW w:w="1107" w:type="dxa"/>
              </w:tcPr>
              <w:p w14:paraId="01F1A7BA" w14:textId="77777777" w:rsidR="00FA2CBA" w:rsidRPr="00EE147E" w:rsidRDefault="00FA2CBA" w:rsidP="00FA2CBA">
                <w:pPr>
                  <w:spacing w:after="0"/>
                  <w:rPr>
                    <w:sz w:val="16"/>
                    <w:szCs w:val="16"/>
                  </w:rPr>
                </w:pPr>
                <w:r w:rsidRPr="00EE147E">
                  <w:rPr>
                    <w:rFonts w:eastAsia="Times New Roman" w:cs="Calibri"/>
                    <w:sz w:val="16"/>
                    <w:szCs w:val="16"/>
                  </w:rPr>
                  <w:t>Gerloff 2017</w:t>
                </w:r>
              </w:p>
            </w:tc>
            <w:tc>
              <w:tcPr>
                <w:tcW w:w="1356" w:type="dxa"/>
              </w:tcPr>
              <w:p w14:paraId="2EBC4B76" w14:textId="1F4A3C17" w:rsidR="00FA2CBA" w:rsidRPr="00EE147E" w:rsidRDefault="00FA2CBA" w:rsidP="00FA2CBA">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EE147E">
                  <w:rPr>
                    <w:rFonts w:eastAsia="Times New Roman" w:cs="Calibri"/>
                    <w:sz w:val="16"/>
                    <w:szCs w:val="16"/>
                  </w:rPr>
                  <w:t>To evaluate the release of the pro-inflammatory cytokine IL-8 and epithelial barrier function in response to different e</w:t>
                </w:r>
                <w:r w:rsidR="00353B8B">
                  <w:rPr>
                    <w:rFonts w:eastAsia="Times New Roman" w:cs="Calibri"/>
                    <w:sz w:val="16"/>
                    <w:szCs w:val="16"/>
                  </w:rPr>
                  <w:noBreakHyphen/>
                </w:r>
                <w:r w:rsidRPr="00EE147E">
                  <w:rPr>
                    <w:rFonts w:eastAsia="Times New Roman" w:cs="Calibri"/>
                    <w:sz w:val="16"/>
                    <w:szCs w:val="16"/>
                  </w:rPr>
                  <w:t>cig</w:t>
                </w:r>
                <w:r w:rsidR="00353B8B">
                  <w:rPr>
                    <w:rFonts w:eastAsia="Times New Roman" w:cs="Calibri"/>
                    <w:sz w:val="16"/>
                    <w:szCs w:val="16"/>
                  </w:rPr>
                  <w:t>arette</w:t>
                </w:r>
                <w:r w:rsidRPr="00EE147E">
                  <w:rPr>
                    <w:rFonts w:eastAsia="Times New Roman" w:cs="Calibri"/>
                    <w:sz w:val="16"/>
                    <w:szCs w:val="16"/>
                  </w:rPr>
                  <w:t xml:space="preserve"> flavouring chemicals. </w:t>
                </w:r>
              </w:p>
            </w:tc>
            <w:tc>
              <w:tcPr>
                <w:tcW w:w="740" w:type="dxa"/>
              </w:tcPr>
              <w:p w14:paraId="08A7ACE3" w14:textId="77777777" w:rsidR="00FA2CBA" w:rsidRPr="00EE147E" w:rsidRDefault="00FA2CBA" w:rsidP="00FA2CBA">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EE147E">
                  <w:rPr>
                    <w:rFonts w:eastAsia="Times New Roman" w:cs="Calibri"/>
                    <w:sz w:val="16"/>
                    <w:szCs w:val="16"/>
                  </w:rPr>
                  <w:t>Human</w:t>
                </w:r>
              </w:p>
            </w:tc>
            <w:tc>
              <w:tcPr>
                <w:tcW w:w="961" w:type="dxa"/>
              </w:tcPr>
              <w:p w14:paraId="23A041BB" w14:textId="77777777" w:rsidR="00FA2CBA" w:rsidRPr="00EE147E" w:rsidRDefault="00FA2CBA" w:rsidP="00FA2CBA">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EE147E">
                  <w:rPr>
                    <w:rFonts w:eastAsia="Times New Roman" w:cs="Calibri"/>
                    <w:sz w:val="16"/>
                    <w:szCs w:val="16"/>
                  </w:rPr>
                  <w:t>TNF-α cells</w:t>
                </w:r>
              </w:p>
            </w:tc>
            <w:tc>
              <w:tcPr>
                <w:tcW w:w="1134" w:type="dxa"/>
              </w:tcPr>
              <w:p w14:paraId="56065E6D" w14:textId="77777777" w:rsidR="00FA2CBA" w:rsidRPr="00EE147E" w:rsidRDefault="00FA2CBA" w:rsidP="00FA2CBA">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EE147E">
                  <w:rPr>
                    <w:rFonts w:eastAsia="Times New Roman" w:cs="Calibri"/>
                    <w:sz w:val="16"/>
                    <w:szCs w:val="16"/>
                  </w:rPr>
                  <w:t>EC flavourings, ± nicotine (0-24mg/mL)</w:t>
                </w:r>
              </w:p>
            </w:tc>
            <w:tc>
              <w:tcPr>
                <w:tcW w:w="993" w:type="dxa"/>
              </w:tcPr>
              <w:p w14:paraId="4D615DFA" w14:textId="77777777" w:rsidR="00FA2CBA" w:rsidRPr="00EE147E" w:rsidRDefault="00FA2CBA" w:rsidP="00FA2CBA">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EE147E">
                  <w:rPr>
                    <w:rFonts w:eastAsia="Times New Roman" w:cs="Calibri"/>
                    <w:sz w:val="16"/>
                    <w:szCs w:val="16"/>
                  </w:rPr>
                  <w:t>Bronchial epithelial cells (Beas2B), human mucoepidermoid carcinoma epithelial cells (H292), and human lung fibroblasts (HFL-1).</w:t>
                </w:r>
              </w:p>
            </w:tc>
            <w:tc>
              <w:tcPr>
                <w:tcW w:w="1559" w:type="dxa"/>
              </w:tcPr>
              <w:p w14:paraId="2B5F2C9E" w14:textId="77777777" w:rsidR="00FA2CBA" w:rsidRPr="00EE147E" w:rsidRDefault="00FA2CBA" w:rsidP="00FA2CBA">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EE147E">
                  <w:rPr>
                    <w:rFonts w:eastAsia="Times New Roman" w:cs="Calibri"/>
                    <w:sz w:val="16"/>
                    <w:szCs w:val="16"/>
                  </w:rPr>
                  <w:t>Assessed components and emissions of each flavour and exposed the flavour-component of the EC them to cells. Assessed inflammation.</w:t>
                </w:r>
              </w:p>
            </w:tc>
            <w:tc>
              <w:tcPr>
                <w:tcW w:w="4795" w:type="dxa"/>
              </w:tcPr>
              <w:p w14:paraId="7D3F7958" w14:textId="77777777" w:rsidR="00FA2CBA" w:rsidRPr="00EE147E" w:rsidRDefault="00FA2CBA" w:rsidP="00FA2CBA">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EE147E">
                  <w:rPr>
                    <w:rFonts w:eastAsia="Times New Roman" w:cs="Calibri"/>
                    <w:sz w:val="16"/>
                    <w:szCs w:val="16"/>
                  </w:rPr>
                  <w:t>Identified that ECs contain: cinnamaldehyde, vanillin, ethyl maltol, benzaldehyde, pyrazine and menthol.</w:t>
                </w:r>
                <w:r w:rsidRPr="00EE147E">
                  <w:rPr>
                    <w:rFonts w:eastAsia="Times New Roman" w:cs="Calibri"/>
                    <w:sz w:val="16"/>
                    <w:szCs w:val="16"/>
                  </w:rPr>
                  <w:br/>
                  <w:t xml:space="preserve">Beas2B and HFL-1 cells: Acetoin, diacetyl, maltol and ortho-vanillin all led to release of IL-8 at 1mM concentration. However, two out of seven flavouring chemicals suppressed IL-8. There was no effect on H292 cells. </w:t>
                </w:r>
                <w:r w:rsidRPr="00EE147E">
                  <w:rPr>
                    <w:rFonts w:eastAsia="Times New Roman" w:cs="Calibri"/>
                    <w:sz w:val="16"/>
                    <w:szCs w:val="16"/>
                  </w:rPr>
                  <w:br/>
                  <w:t>Lung epithelial cells and fibroblasts: acetoin (100µMand1mM),diacetyl (100µMand 1mM), ortho-vanillin (1mM), and maltol (10µM and 1mM) all led to release of IL-8. Cell viability and cytotoxicity did not occur.</w:t>
                </w:r>
                <w:r w:rsidRPr="00EE147E">
                  <w:rPr>
                    <w:rFonts w:eastAsia="Times New Roman" w:cs="Calibri"/>
                    <w:sz w:val="16"/>
                    <w:szCs w:val="16"/>
                  </w:rPr>
                  <w:br/>
                  <w:t>Epithelial barrier function: Nicotine, diacetyl, coumarin, acetoin, maltol and cinnamaldehyde led to loss of barrier function, whereas pentanedione and ortho-vanillin did not.</w:t>
                </w:r>
              </w:p>
            </w:tc>
            <w:tc>
              <w:tcPr>
                <w:tcW w:w="2551" w:type="dxa"/>
              </w:tcPr>
              <w:p w14:paraId="071F1DE8" w14:textId="03F4065C" w:rsidR="00FA2CBA" w:rsidRPr="00EE147E" w:rsidRDefault="00FA2CBA" w:rsidP="00FA2CBA">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EE147E">
                  <w:rPr>
                    <w:rFonts w:eastAsia="Times New Roman" w:cs="Calibri"/>
                    <w:sz w:val="16"/>
                    <w:szCs w:val="16"/>
                  </w:rPr>
                  <w:t>"Our findings suggest that some of the e-cig</w:t>
                </w:r>
                <w:r w:rsidR="00360355">
                  <w:rPr>
                    <w:rFonts w:eastAsia="Times New Roman" w:cs="Calibri"/>
                    <w:sz w:val="16"/>
                    <w:szCs w:val="16"/>
                  </w:rPr>
                  <w:t>arette</w:t>
                </w:r>
                <w:r w:rsidRPr="00EE147E">
                  <w:rPr>
                    <w:rFonts w:eastAsia="Times New Roman" w:cs="Calibri"/>
                    <w:sz w:val="16"/>
                    <w:szCs w:val="16"/>
                  </w:rPr>
                  <w:t xml:space="preserve"> liquids/vapours containing flavouring chemicals can cause significant loss of epithelial barrier function and pro-inflammatory response in lung cells."</w:t>
                </w:r>
              </w:p>
            </w:tc>
          </w:tr>
          <w:tr w:rsidR="00FA2CBA" w:rsidRPr="00EE147E" w14:paraId="66C1A926" w14:textId="77777777" w:rsidTr="00A52C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7" w:type="dxa"/>
              </w:tcPr>
              <w:p w14:paraId="3AE5D8C5" w14:textId="77777777" w:rsidR="00FA2CBA" w:rsidRPr="00EE147E" w:rsidRDefault="00FA2CBA" w:rsidP="00FA2CBA">
                <w:pPr>
                  <w:spacing w:after="0"/>
                  <w:rPr>
                    <w:sz w:val="16"/>
                    <w:szCs w:val="16"/>
                  </w:rPr>
                </w:pPr>
                <w:r w:rsidRPr="00EE147E">
                  <w:rPr>
                    <w:rFonts w:cs="Calibri"/>
                    <w:sz w:val="16"/>
                    <w:szCs w:val="16"/>
                  </w:rPr>
                  <w:t>Haswell 2017</w:t>
                </w:r>
              </w:p>
            </w:tc>
            <w:tc>
              <w:tcPr>
                <w:tcW w:w="1356" w:type="dxa"/>
              </w:tcPr>
              <w:p w14:paraId="1EB9C593" w14:textId="77777777" w:rsidR="00FA2CBA" w:rsidRPr="00EE147E" w:rsidRDefault="00FA2CBA" w:rsidP="00FA2CBA">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EE147E">
                  <w:rPr>
                    <w:rFonts w:cs="Calibri"/>
                    <w:sz w:val="16"/>
                    <w:szCs w:val="16"/>
                  </w:rPr>
                  <w:t>To assess the transcriptional response of a primary 3D airway model acutely exposed to EC vapour and CIG (3R4F) smoke.</w:t>
                </w:r>
              </w:p>
            </w:tc>
            <w:tc>
              <w:tcPr>
                <w:tcW w:w="740" w:type="dxa"/>
              </w:tcPr>
              <w:p w14:paraId="57DD613B" w14:textId="77777777" w:rsidR="00FA2CBA" w:rsidRPr="00EE147E" w:rsidRDefault="00FA2CBA" w:rsidP="00FA2CBA">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EE147E">
                  <w:rPr>
                    <w:rFonts w:cs="Calibri"/>
                    <w:sz w:val="16"/>
                    <w:szCs w:val="16"/>
                  </w:rPr>
                  <w:t>Human</w:t>
                </w:r>
              </w:p>
            </w:tc>
            <w:tc>
              <w:tcPr>
                <w:tcW w:w="961" w:type="dxa"/>
              </w:tcPr>
              <w:p w14:paraId="62E8038D" w14:textId="77777777" w:rsidR="00FA2CBA" w:rsidRPr="00EE147E" w:rsidRDefault="00FA2CBA" w:rsidP="00FA2CBA">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EE147E">
                  <w:rPr>
                    <w:rFonts w:cs="Calibri"/>
                    <w:sz w:val="16"/>
                    <w:szCs w:val="16"/>
                  </w:rPr>
                  <w:t>Room air</w:t>
                </w:r>
              </w:p>
            </w:tc>
            <w:tc>
              <w:tcPr>
                <w:tcW w:w="1134" w:type="dxa"/>
              </w:tcPr>
              <w:p w14:paraId="79DD205F" w14:textId="77777777" w:rsidR="00FA2CBA" w:rsidRPr="00EE147E" w:rsidRDefault="00FA2CBA" w:rsidP="00FA2CBA">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EE147E">
                  <w:rPr>
                    <w:rFonts w:cs="Calibri"/>
                    <w:sz w:val="16"/>
                    <w:szCs w:val="16"/>
                  </w:rPr>
                  <w:t>Blended tobacco flavoured EC vapour OR CIG smoke</w:t>
                </w:r>
              </w:p>
            </w:tc>
            <w:tc>
              <w:tcPr>
                <w:tcW w:w="993" w:type="dxa"/>
              </w:tcPr>
              <w:p w14:paraId="332FC8C9" w14:textId="77777777" w:rsidR="00FA2CBA" w:rsidRPr="00EE147E" w:rsidRDefault="00FA2CBA" w:rsidP="00FA2CBA">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EE147E">
                  <w:rPr>
                    <w:rFonts w:cs="Calibri"/>
                    <w:sz w:val="16"/>
                    <w:szCs w:val="16"/>
                  </w:rPr>
                  <w:t>Airway epithelial cells.</w:t>
                </w:r>
              </w:p>
            </w:tc>
            <w:tc>
              <w:tcPr>
                <w:tcW w:w="1559" w:type="dxa"/>
              </w:tcPr>
              <w:p w14:paraId="4B368CA1" w14:textId="77777777" w:rsidR="00FA2CBA" w:rsidRPr="00EE147E" w:rsidRDefault="00FA2CBA" w:rsidP="00FA2CBA">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EE147E">
                  <w:rPr>
                    <w:rFonts w:cs="Calibri"/>
                    <w:sz w:val="16"/>
                    <w:szCs w:val="16"/>
                  </w:rPr>
                  <w:t>Determined nicotine concentrations, isolated RNA, conducted RNA sequencing and determined gene expression.</w:t>
                </w:r>
              </w:p>
            </w:tc>
            <w:tc>
              <w:tcPr>
                <w:tcW w:w="4795" w:type="dxa"/>
              </w:tcPr>
              <w:p w14:paraId="06BDCC84" w14:textId="5B7F5814" w:rsidR="00FA2CBA" w:rsidRPr="00EE147E" w:rsidRDefault="00FA2CBA" w:rsidP="00FA2CBA">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EE147E">
                  <w:rPr>
                    <w:rFonts w:cs="Calibri"/>
                    <w:sz w:val="16"/>
                    <w:szCs w:val="16"/>
                  </w:rPr>
                  <w:t xml:space="preserve">There was no difference in nicotine delivery between the CIG and EC. </w:t>
                </w:r>
                <w:r w:rsidRPr="00EE147E">
                  <w:rPr>
                    <w:rFonts w:cs="Calibri"/>
                    <w:sz w:val="16"/>
                    <w:szCs w:val="16"/>
                  </w:rPr>
                  <w:br/>
                  <w:t xml:space="preserve">There was no difference in cilia beat frequency in the air ctrl and EC group. EC exposure led to decreased trans-epithelial electric resistance, compared with the air ctrl, but the levels were still within a functional range. MUC5AC decreased after EC exposure compared with the ctrl (interpret with caution). Cytotoxicity and FOXJ1 was not affected. </w:t>
                </w:r>
                <w:r w:rsidRPr="00EE147E">
                  <w:rPr>
                    <w:rFonts w:cs="Calibri"/>
                    <w:sz w:val="16"/>
                    <w:szCs w:val="16"/>
                  </w:rPr>
                  <w:br/>
                  <w:t xml:space="preserve">CIG smoke elicited a greater RNA differentiation response than ECs. 24 and 48hrs after EC exposure, 3 RNAs were differentially expressed. 20 RNAs were the same for both ECs. 11 RNAs overlapped after CIG and EC exposure. CIG smoke elicited the largest changes in RNA folding. </w:t>
                </w:r>
              </w:p>
            </w:tc>
            <w:tc>
              <w:tcPr>
                <w:tcW w:w="2551" w:type="dxa"/>
              </w:tcPr>
              <w:p w14:paraId="3A5B9721" w14:textId="77777777" w:rsidR="00FA2CBA" w:rsidRPr="00EE147E" w:rsidRDefault="00FA2CBA" w:rsidP="00FA2CBA">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EE147E">
                  <w:rPr>
                    <w:rFonts w:cs="Calibri"/>
                    <w:sz w:val="16"/>
                    <w:szCs w:val="16"/>
                  </w:rPr>
                  <w:t>"Based on equivalent or higher nicotine delivery, an acute exposure to EC vapour had a reduced impact on gene expression compared to 3R4F smoke exposure in vitro."</w:t>
                </w:r>
              </w:p>
            </w:tc>
          </w:tr>
          <w:tr w:rsidR="00FA2CBA" w:rsidRPr="00EE147E" w14:paraId="5E4807CD" w14:textId="77777777" w:rsidTr="00A52CF8">
            <w:tc>
              <w:tcPr>
                <w:cnfStyle w:val="001000000000" w:firstRow="0" w:lastRow="0" w:firstColumn="1" w:lastColumn="0" w:oddVBand="0" w:evenVBand="0" w:oddHBand="0" w:evenHBand="0" w:firstRowFirstColumn="0" w:firstRowLastColumn="0" w:lastRowFirstColumn="0" w:lastRowLastColumn="0"/>
                <w:tcW w:w="1107" w:type="dxa"/>
              </w:tcPr>
              <w:p w14:paraId="2E8300AE" w14:textId="77777777" w:rsidR="00FA2CBA" w:rsidRPr="00EE147E" w:rsidRDefault="00FA2CBA" w:rsidP="00FA2CBA">
                <w:pPr>
                  <w:spacing w:after="0"/>
                  <w:rPr>
                    <w:sz w:val="16"/>
                    <w:szCs w:val="16"/>
                  </w:rPr>
                </w:pPr>
                <w:r w:rsidRPr="00EE147E">
                  <w:rPr>
                    <w:rFonts w:eastAsia="Times New Roman" w:cs="Calibri"/>
                    <w:sz w:val="16"/>
                    <w:szCs w:val="16"/>
                  </w:rPr>
                  <w:t>Leslie 2017</w:t>
                </w:r>
              </w:p>
            </w:tc>
            <w:tc>
              <w:tcPr>
                <w:tcW w:w="1356" w:type="dxa"/>
              </w:tcPr>
              <w:p w14:paraId="72BDDFEF" w14:textId="77777777" w:rsidR="00FA2CBA" w:rsidRPr="00EE147E" w:rsidRDefault="00FA2CBA" w:rsidP="00FA2CBA">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EE147E">
                  <w:rPr>
                    <w:rFonts w:eastAsia="Times New Roman" w:cs="Calibri"/>
                    <w:sz w:val="16"/>
                    <w:szCs w:val="16"/>
                  </w:rPr>
                  <w:t>To evaluate the acute cytotoxicity of EC vapour extract (ECE) on airway-related cells in vitro.</w:t>
                </w:r>
              </w:p>
            </w:tc>
            <w:tc>
              <w:tcPr>
                <w:tcW w:w="740" w:type="dxa"/>
              </w:tcPr>
              <w:p w14:paraId="7944D406" w14:textId="77777777" w:rsidR="00FA2CBA" w:rsidRPr="00EE147E" w:rsidRDefault="00FA2CBA" w:rsidP="00FA2CBA">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EE147E">
                  <w:rPr>
                    <w:rFonts w:eastAsia="Times New Roman" w:cs="Calibri"/>
                    <w:sz w:val="16"/>
                    <w:szCs w:val="16"/>
                  </w:rPr>
                  <w:t>Human</w:t>
                </w:r>
              </w:p>
            </w:tc>
            <w:tc>
              <w:tcPr>
                <w:tcW w:w="961" w:type="dxa"/>
              </w:tcPr>
              <w:p w14:paraId="6086E24A" w14:textId="77777777" w:rsidR="00FA2CBA" w:rsidRPr="00EE147E" w:rsidRDefault="00FA2CBA" w:rsidP="00FA2CBA">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EE147E">
                  <w:rPr>
                    <w:rFonts w:eastAsia="Times New Roman" w:cs="Calibri"/>
                    <w:sz w:val="16"/>
                    <w:szCs w:val="16"/>
                  </w:rPr>
                  <w:t>No exposure</w:t>
                </w:r>
              </w:p>
            </w:tc>
            <w:tc>
              <w:tcPr>
                <w:tcW w:w="1134" w:type="dxa"/>
              </w:tcPr>
              <w:p w14:paraId="31A41151" w14:textId="77777777" w:rsidR="00FA2CBA" w:rsidRPr="00EE147E" w:rsidRDefault="00FA2CBA" w:rsidP="00FA2CBA">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EE147E">
                  <w:rPr>
                    <w:rFonts w:eastAsia="Times New Roman" w:cs="Calibri"/>
                    <w:sz w:val="16"/>
                    <w:szCs w:val="16"/>
                  </w:rPr>
                  <w:t>CIG smoke extract, EC extracts (15 flavours &amp; the PG &amp; glycerine extracts).</w:t>
                </w:r>
              </w:p>
            </w:tc>
            <w:tc>
              <w:tcPr>
                <w:tcW w:w="993" w:type="dxa"/>
              </w:tcPr>
              <w:p w14:paraId="7E39217F" w14:textId="77777777" w:rsidR="00FA2CBA" w:rsidRPr="00EE147E" w:rsidRDefault="00FA2CBA" w:rsidP="00FA2CBA">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EE147E">
                  <w:rPr>
                    <w:rFonts w:eastAsia="Times New Roman" w:cs="Calibri"/>
                    <w:sz w:val="16"/>
                    <w:szCs w:val="16"/>
                  </w:rPr>
                  <w:t>Bronchial epithelial (BEAS-2B, IB3-1 and C38), fibroblast (Wi-38) and macrophage (J774 and THP-1) cell lines.</w:t>
                </w:r>
              </w:p>
            </w:tc>
            <w:tc>
              <w:tcPr>
                <w:tcW w:w="1559" w:type="dxa"/>
              </w:tcPr>
              <w:p w14:paraId="70C6F381" w14:textId="77777777" w:rsidR="00FA2CBA" w:rsidRPr="00EE147E" w:rsidRDefault="00FA2CBA" w:rsidP="00FA2CBA">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EE147E">
                  <w:rPr>
                    <w:rFonts w:eastAsia="Times New Roman" w:cs="Calibri"/>
                    <w:sz w:val="16"/>
                    <w:szCs w:val="16"/>
                  </w:rPr>
                  <w:t>Assessed cell viability.</w:t>
                </w:r>
              </w:p>
            </w:tc>
            <w:tc>
              <w:tcPr>
                <w:tcW w:w="4795" w:type="dxa"/>
              </w:tcPr>
              <w:p w14:paraId="1B788B22" w14:textId="3F62E483" w:rsidR="00FA2CBA" w:rsidRPr="00EE147E" w:rsidRDefault="00FA2CBA" w:rsidP="00FA2CBA">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EE147E">
                  <w:rPr>
                    <w:rFonts w:eastAsia="Times New Roman" w:cs="Calibri"/>
                    <w:sz w:val="16"/>
                    <w:szCs w:val="16"/>
                  </w:rPr>
                  <w:t>CIG smoke extract led to a dose-dependent decrease in cell viability (BEAS-2B, IB3-1 and C38) and cytotoxicity of the C38 cell line. EC extracts decreased cell viability, but the amount of reduction varied for different cell types. Nicotine-containing EC exposure led to a reduction in cell-viability but it was not dose-dependent and it was not cytotoxic.</w:t>
                </w:r>
                <w:r w:rsidRPr="00EE147E">
                  <w:rPr>
                    <w:rFonts w:eastAsia="Times New Roman" w:cs="Calibri"/>
                    <w:sz w:val="16"/>
                    <w:szCs w:val="16"/>
                  </w:rPr>
                  <w:br/>
                  <w:t>Strawberry-flavoured EC extracts were the most toxic found (cytotoxic for BEAS-2B, IB3-1 and C38). Cherry-flavoured EC extracts were cytotoxic for BEAS-2B and C38. Tobacco-flavoured EC extracts were cytotoxic for BEAS-2B. Strawberry flavour was tested with THP-1 &amp; Wi</w:t>
                </w:r>
                <w:r w:rsidR="00360355">
                  <w:rPr>
                    <w:rFonts w:eastAsia="Times New Roman" w:cs="Calibri"/>
                    <w:sz w:val="16"/>
                    <w:szCs w:val="16"/>
                  </w:rPr>
                  <w:noBreakHyphen/>
                </w:r>
                <w:r w:rsidRPr="00EE147E">
                  <w:rPr>
                    <w:rFonts w:eastAsia="Times New Roman" w:cs="Calibri"/>
                    <w:sz w:val="16"/>
                    <w:szCs w:val="16"/>
                  </w:rPr>
                  <w:t>38; cell viability was not affected by concentration and cytotoxicity did not occur. Results varied depending on the brand.</w:t>
                </w:r>
              </w:p>
            </w:tc>
            <w:tc>
              <w:tcPr>
                <w:tcW w:w="2551" w:type="dxa"/>
              </w:tcPr>
              <w:p w14:paraId="7A7E6726" w14:textId="77777777" w:rsidR="00FA2CBA" w:rsidRPr="00EE147E" w:rsidRDefault="00FA2CBA" w:rsidP="00FA2CBA">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EE147E">
                  <w:rPr>
                    <w:rFonts w:eastAsia="Times New Roman" w:cs="Calibri"/>
                    <w:sz w:val="16"/>
                    <w:szCs w:val="16"/>
                  </w:rPr>
                  <w:t>"...several flavours proved cytotoxic, with variation between different brands and cell lines. These data indicate that not all ECs are the same and that use of a particular flavour or brand may have differing effects."</w:t>
                </w:r>
              </w:p>
            </w:tc>
          </w:tr>
          <w:tr w:rsidR="00FA2CBA" w:rsidRPr="00EE147E" w14:paraId="4D2CB1FE" w14:textId="77777777" w:rsidTr="00A52C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7" w:type="dxa"/>
              </w:tcPr>
              <w:p w14:paraId="0C602C00" w14:textId="77777777" w:rsidR="00FA2CBA" w:rsidRPr="00EE147E" w:rsidRDefault="00FA2CBA" w:rsidP="00FA2CBA">
                <w:pPr>
                  <w:spacing w:after="0"/>
                  <w:rPr>
                    <w:sz w:val="16"/>
                    <w:szCs w:val="16"/>
                  </w:rPr>
                </w:pPr>
                <w:r w:rsidRPr="00EE147E">
                  <w:rPr>
                    <w:rFonts w:eastAsia="Times New Roman" w:cs="Calibri"/>
                    <w:sz w:val="16"/>
                    <w:szCs w:val="16"/>
                  </w:rPr>
                  <w:t>Miyashita 2017</w:t>
                </w:r>
              </w:p>
            </w:tc>
            <w:tc>
              <w:tcPr>
                <w:tcW w:w="1356" w:type="dxa"/>
              </w:tcPr>
              <w:p w14:paraId="6084BE63" w14:textId="77777777" w:rsidR="00FA2CBA" w:rsidRPr="00EE147E" w:rsidRDefault="00FA2CBA" w:rsidP="00FA2CBA">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EE147E">
                  <w:rPr>
                    <w:rFonts w:eastAsia="Times New Roman" w:cs="Calibri"/>
                    <w:sz w:val="16"/>
                    <w:szCs w:val="16"/>
                  </w:rPr>
                  <w:t xml:space="preserve">To determine if EC vapour increases pneumococcal </w:t>
                </w:r>
                <w:r w:rsidRPr="00EE147E">
                  <w:rPr>
                    <w:rFonts w:eastAsia="Times New Roman" w:cs="Calibri"/>
                    <w:sz w:val="16"/>
                    <w:szCs w:val="16"/>
                  </w:rPr>
                  <w:lastRenderedPageBreak/>
                  <w:t>adhesion to airway cells.</w:t>
                </w:r>
              </w:p>
            </w:tc>
            <w:tc>
              <w:tcPr>
                <w:tcW w:w="740" w:type="dxa"/>
              </w:tcPr>
              <w:p w14:paraId="5F88B341" w14:textId="77777777" w:rsidR="00FA2CBA" w:rsidRPr="00EE147E" w:rsidRDefault="00FA2CBA" w:rsidP="00FA2CBA">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EE147E">
                  <w:rPr>
                    <w:rFonts w:eastAsia="Times New Roman" w:cs="Calibri"/>
                    <w:sz w:val="16"/>
                    <w:szCs w:val="16"/>
                  </w:rPr>
                  <w:lastRenderedPageBreak/>
                  <w:t>Human</w:t>
                </w:r>
              </w:p>
            </w:tc>
            <w:tc>
              <w:tcPr>
                <w:tcW w:w="961" w:type="dxa"/>
              </w:tcPr>
              <w:p w14:paraId="1A51B5E8" w14:textId="77777777" w:rsidR="00FA2CBA" w:rsidRPr="00EE147E" w:rsidRDefault="00FA2CBA" w:rsidP="00FA2CBA">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EE147E">
                  <w:rPr>
                    <w:rFonts w:eastAsia="Times New Roman" w:cs="Calibri"/>
                    <w:sz w:val="16"/>
                    <w:szCs w:val="16"/>
                  </w:rPr>
                  <w:t>Pure nicotine</w:t>
                </w:r>
              </w:p>
            </w:tc>
            <w:tc>
              <w:tcPr>
                <w:tcW w:w="1134" w:type="dxa"/>
              </w:tcPr>
              <w:p w14:paraId="4BBC5155" w14:textId="77777777" w:rsidR="00FA2CBA" w:rsidRPr="00EE147E" w:rsidRDefault="00FA2CBA" w:rsidP="00FA2CBA">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EE147E">
                  <w:rPr>
                    <w:rFonts w:eastAsia="Times New Roman" w:cs="Calibri"/>
                    <w:sz w:val="16"/>
                    <w:szCs w:val="16"/>
                  </w:rPr>
                  <w:t>5% EC extract ± nicotine</w:t>
                </w:r>
              </w:p>
            </w:tc>
            <w:tc>
              <w:tcPr>
                <w:tcW w:w="993" w:type="dxa"/>
              </w:tcPr>
              <w:p w14:paraId="128911BC" w14:textId="77777777" w:rsidR="00FA2CBA" w:rsidRPr="00EE147E" w:rsidRDefault="00FA2CBA" w:rsidP="00FA2CBA">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EE147E">
                  <w:rPr>
                    <w:rFonts w:eastAsia="Times New Roman" w:cs="Calibri"/>
                    <w:sz w:val="16"/>
                    <w:szCs w:val="16"/>
                  </w:rPr>
                  <w:t xml:space="preserve">Alveolar epithelial cells, bronchial </w:t>
                </w:r>
                <w:r w:rsidRPr="00EE147E">
                  <w:rPr>
                    <w:rFonts w:eastAsia="Times New Roman" w:cs="Calibri"/>
                    <w:sz w:val="16"/>
                    <w:szCs w:val="16"/>
                  </w:rPr>
                  <w:lastRenderedPageBreak/>
                  <w:t>epithelial cells, nasal epithelial cells.</w:t>
                </w:r>
              </w:p>
            </w:tc>
            <w:tc>
              <w:tcPr>
                <w:tcW w:w="1559" w:type="dxa"/>
              </w:tcPr>
              <w:p w14:paraId="2F7A0355" w14:textId="77777777" w:rsidR="00FA2CBA" w:rsidRPr="00EE147E" w:rsidRDefault="00FA2CBA" w:rsidP="00FA2CBA">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EE147E">
                  <w:rPr>
                    <w:rFonts w:eastAsia="Times New Roman" w:cs="Calibri"/>
                    <w:sz w:val="16"/>
                    <w:szCs w:val="16"/>
                  </w:rPr>
                  <w:lastRenderedPageBreak/>
                  <w:t xml:space="preserve">Used an in vitro adhesion assay to determine </w:t>
                </w:r>
                <w:r w:rsidRPr="00EE147E">
                  <w:rPr>
                    <w:rFonts w:eastAsia="Times New Roman" w:cs="Calibri"/>
                    <w:sz w:val="16"/>
                    <w:szCs w:val="16"/>
                  </w:rPr>
                  <w:lastRenderedPageBreak/>
                  <w:t>pneumococcal adhesion.</w:t>
                </w:r>
              </w:p>
            </w:tc>
            <w:tc>
              <w:tcPr>
                <w:tcW w:w="4795" w:type="dxa"/>
              </w:tcPr>
              <w:p w14:paraId="76DEA9E5" w14:textId="77777777" w:rsidR="00FA2CBA" w:rsidRPr="00EE147E" w:rsidRDefault="00FA2CBA" w:rsidP="00FA2CBA">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EE147E">
                  <w:rPr>
                    <w:rFonts w:eastAsia="Times New Roman" w:cs="Calibri"/>
                    <w:sz w:val="16"/>
                    <w:szCs w:val="16"/>
                  </w:rPr>
                  <w:lastRenderedPageBreak/>
                  <w:t xml:space="preserve">Both nicotine-containing and nicotine-free EC vapours led to increased pneumococcal cell penetration, increased PAFR expression. </w:t>
                </w:r>
              </w:p>
            </w:tc>
            <w:tc>
              <w:tcPr>
                <w:tcW w:w="2551" w:type="dxa"/>
              </w:tcPr>
              <w:p w14:paraId="5728A41C" w14:textId="77777777" w:rsidR="00FA2CBA" w:rsidRPr="00EE147E" w:rsidRDefault="00FA2CBA" w:rsidP="00FA2CBA">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EE147E">
                  <w:rPr>
                    <w:rFonts w:eastAsia="Times New Roman" w:cs="Calibri"/>
                    <w:sz w:val="16"/>
                    <w:szCs w:val="16"/>
                  </w:rPr>
                  <w:t>This study suggests that EC vapour has the potential to increase susceptibility to pneumococcal infection.</w:t>
                </w:r>
              </w:p>
            </w:tc>
          </w:tr>
          <w:tr w:rsidR="00FA2CBA" w:rsidRPr="00EE147E" w14:paraId="4A0B86D2" w14:textId="77777777" w:rsidTr="00A52CF8">
            <w:tc>
              <w:tcPr>
                <w:cnfStyle w:val="001000000000" w:firstRow="0" w:lastRow="0" w:firstColumn="1" w:lastColumn="0" w:oddVBand="0" w:evenVBand="0" w:oddHBand="0" w:evenHBand="0" w:firstRowFirstColumn="0" w:firstRowLastColumn="0" w:lastRowFirstColumn="0" w:lastRowLastColumn="0"/>
                <w:tcW w:w="1107" w:type="dxa"/>
              </w:tcPr>
              <w:p w14:paraId="46B545B9" w14:textId="77777777" w:rsidR="00FA2CBA" w:rsidRPr="00EE147E" w:rsidRDefault="00FA2CBA" w:rsidP="00FA2CBA">
                <w:pPr>
                  <w:spacing w:after="0"/>
                  <w:rPr>
                    <w:sz w:val="16"/>
                    <w:szCs w:val="16"/>
                  </w:rPr>
                </w:pPr>
                <w:r w:rsidRPr="00EE147E">
                  <w:rPr>
                    <w:rFonts w:cs="Calibri"/>
                    <w:sz w:val="16"/>
                    <w:szCs w:val="16"/>
                  </w:rPr>
                  <w:t>Moses 2017</w:t>
                </w:r>
              </w:p>
            </w:tc>
            <w:tc>
              <w:tcPr>
                <w:tcW w:w="1356" w:type="dxa"/>
              </w:tcPr>
              <w:p w14:paraId="3340ABFD" w14:textId="77777777" w:rsidR="00FA2CBA" w:rsidRPr="00EE147E" w:rsidRDefault="00FA2CBA" w:rsidP="00FA2CBA">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EE147E">
                  <w:rPr>
                    <w:rFonts w:cs="Calibri"/>
                    <w:sz w:val="16"/>
                    <w:szCs w:val="16"/>
                  </w:rPr>
                  <w:t>To determine the molecular impact of EC vapour exposure in human bronchial epithelial cells (HBECs).</w:t>
                </w:r>
              </w:p>
            </w:tc>
            <w:tc>
              <w:tcPr>
                <w:tcW w:w="740" w:type="dxa"/>
              </w:tcPr>
              <w:p w14:paraId="5312E452" w14:textId="77777777" w:rsidR="00FA2CBA" w:rsidRPr="00EE147E" w:rsidRDefault="00FA2CBA" w:rsidP="00FA2CBA">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EE147E">
                  <w:rPr>
                    <w:rFonts w:cs="Calibri"/>
                    <w:sz w:val="16"/>
                    <w:szCs w:val="16"/>
                  </w:rPr>
                  <w:t>Human</w:t>
                </w:r>
              </w:p>
            </w:tc>
            <w:tc>
              <w:tcPr>
                <w:tcW w:w="961" w:type="dxa"/>
              </w:tcPr>
              <w:p w14:paraId="16CE0EB5" w14:textId="77777777" w:rsidR="00FA2CBA" w:rsidRPr="00EE147E" w:rsidRDefault="00FA2CBA" w:rsidP="00FA2CBA">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EE147E">
                  <w:rPr>
                    <w:rFonts w:cs="Calibri"/>
                    <w:sz w:val="16"/>
                    <w:szCs w:val="16"/>
                  </w:rPr>
                  <w:t>Fresh air</w:t>
                </w:r>
              </w:p>
            </w:tc>
            <w:tc>
              <w:tcPr>
                <w:tcW w:w="1134" w:type="dxa"/>
              </w:tcPr>
              <w:p w14:paraId="7A170553" w14:textId="77777777" w:rsidR="00FA2CBA" w:rsidRPr="00EE147E" w:rsidRDefault="00FA2CBA" w:rsidP="00FA2CBA">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EE147E">
                  <w:rPr>
                    <w:rFonts w:cs="Calibri"/>
                    <w:sz w:val="16"/>
                    <w:szCs w:val="16"/>
                  </w:rPr>
                  <w:t>Flavoured EC vapour (menthol, tobacco) ±nicotine OR CIG smoke. Matched to human exposure.</w:t>
                </w:r>
              </w:p>
            </w:tc>
            <w:tc>
              <w:tcPr>
                <w:tcW w:w="993" w:type="dxa"/>
              </w:tcPr>
              <w:p w14:paraId="60343D9B" w14:textId="77777777" w:rsidR="00FA2CBA" w:rsidRPr="00EE147E" w:rsidRDefault="00FA2CBA" w:rsidP="00FA2CBA">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EE147E">
                  <w:rPr>
                    <w:rFonts w:cs="Calibri"/>
                    <w:sz w:val="16"/>
                    <w:szCs w:val="16"/>
                  </w:rPr>
                  <w:t>Bronchial epithelial cells.</w:t>
                </w:r>
              </w:p>
            </w:tc>
            <w:tc>
              <w:tcPr>
                <w:tcW w:w="1559" w:type="dxa"/>
              </w:tcPr>
              <w:p w14:paraId="4F2C5845" w14:textId="77777777" w:rsidR="00FA2CBA" w:rsidRPr="00EE147E" w:rsidRDefault="00FA2CBA" w:rsidP="00FA2CBA">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EE147E">
                  <w:rPr>
                    <w:rFonts w:cs="Calibri"/>
                    <w:sz w:val="16"/>
                    <w:szCs w:val="16"/>
                  </w:rPr>
                  <w:br/>
                  <w:t>Conducted cytotoxicity assays, gene-expression analysis and measured reactive oxygen species. Study also investigated in vivo effects in human participants.</w:t>
                </w:r>
              </w:p>
            </w:tc>
            <w:tc>
              <w:tcPr>
                <w:tcW w:w="4795" w:type="dxa"/>
              </w:tcPr>
              <w:p w14:paraId="73433DA8" w14:textId="77777777" w:rsidR="00FA2CBA" w:rsidRPr="00EE147E" w:rsidRDefault="00FA2CBA" w:rsidP="00FA2CBA">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EE147E">
                  <w:rPr>
                    <w:rFonts w:cs="Calibri"/>
                    <w:sz w:val="16"/>
                    <w:szCs w:val="16"/>
                  </w:rPr>
                  <w:t xml:space="preserve">At exposures which reflect normal human use, CIG smoke showed cytotoxicity but there was no significant cytotoxicity of menthol or tobacco flavoured ECs with or without nicotine. </w:t>
                </w:r>
                <w:r w:rsidRPr="00EE147E">
                  <w:rPr>
                    <w:rFonts w:cs="Calibri"/>
                    <w:sz w:val="16"/>
                    <w:szCs w:val="16"/>
                  </w:rPr>
                  <w:br/>
                  <w:t xml:space="preserve">Gene expression analysis revealed that genes which had downregulated expression after exposure to ECs or CIGs related to cilium assembly and movement. Genes which were upregulated by exposure to ECs or CIGs were involved in apoptosis, xenobiotic stress, oxidative stress and DNA damage. Genes expressed more by ECs than CIGs were related to cell cycle regulation and cell division (nuclear division, cytokinesis). </w:t>
                </w:r>
                <w:r w:rsidRPr="00EE147E">
                  <w:rPr>
                    <w:rFonts w:cs="Calibri"/>
                    <w:sz w:val="16"/>
                    <w:szCs w:val="16"/>
                  </w:rPr>
                  <w:br/>
                  <w:t xml:space="preserve">493 genes had different expressions after exposure to menthol vs tobacco flavoured ECs. The menthol EC was associated with increased DNA expression related to cell adhesion and protein polymerisation. Tobacco-flavoured EC was associated with increased expression of genes associated with cell cycle and superoxide response. Nicotine-containing ECs led to alteration in 162 genes, including upregulation of genes associated with ROS, epithelium differentiation and cytochrome P450 pathway and downregulation of genes associated with response to inorganic substances. </w:t>
                </w:r>
                <w:r w:rsidRPr="00EE147E">
                  <w:rPr>
                    <w:rFonts w:cs="Calibri"/>
                    <w:sz w:val="16"/>
                    <w:szCs w:val="16"/>
                  </w:rPr>
                  <w:br/>
                  <w:t xml:space="preserve">ECs downregulated the structural cilia dynein gene DNAH10 and ciliated cell marker FOXJ1 (previously identified as a key reason that CIGs interfere with ciliated cells). </w:t>
                </w:r>
                <w:r w:rsidRPr="00EE147E">
                  <w:rPr>
                    <w:rFonts w:cs="Calibri"/>
                    <w:sz w:val="16"/>
                    <w:szCs w:val="16"/>
                  </w:rPr>
                  <w:br/>
                  <w:t xml:space="preserve">Both EC and CIGs enriched genes associated with the cytochrome P450 pathway, xenobiotic stress and oxidative stress, these were even more enhanced by ECs with nicotine. In vitro exposures reflected in vivo exposures in human participants. </w:t>
                </w:r>
              </w:p>
            </w:tc>
            <w:tc>
              <w:tcPr>
                <w:tcW w:w="2551" w:type="dxa"/>
              </w:tcPr>
              <w:p w14:paraId="75A15A20" w14:textId="77777777" w:rsidR="00FA2CBA" w:rsidRPr="00EE147E" w:rsidRDefault="00FA2CBA" w:rsidP="00FA2CBA">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EE147E">
                  <w:rPr>
                    <w:rFonts w:cs="Calibri"/>
                    <w:sz w:val="16"/>
                    <w:szCs w:val="16"/>
                  </w:rPr>
                  <w:t>"Our data suggest that EC vapour can induce gene-expression changes in bronchial airway epithelium in vitro, some of which are shared with CIG smoke. These changes were generally less pronounced than the effects of CIG exposure and were more pronounced in EC products containing nicotine than those without nicotine."</w:t>
                </w:r>
              </w:p>
            </w:tc>
          </w:tr>
          <w:tr w:rsidR="00FA2CBA" w:rsidRPr="00EE147E" w14:paraId="6997B377" w14:textId="77777777" w:rsidTr="00A52C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7" w:type="dxa"/>
              </w:tcPr>
              <w:p w14:paraId="373FF03F" w14:textId="77777777" w:rsidR="00FA2CBA" w:rsidRPr="00EE147E" w:rsidRDefault="00FA2CBA" w:rsidP="00FA2CBA">
                <w:pPr>
                  <w:spacing w:after="0"/>
                  <w:rPr>
                    <w:sz w:val="16"/>
                    <w:szCs w:val="16"/>
                  </w:rPr>
                </w:pPr>
                <w:r w:rsidRPr="00EE147E">
                  <w:rPr>
                    <w:rFonts w:cs="Calibri"/>
                    <w:sz w:val="16"/>
                    <w:szCs w:val="16"/>
                  </w:rPr>
                  <w:t>Muthumalage 2017</w:t>
                </w:r>
              </w:p>
            </w:tc>
            <w:tc>
              <w:tcPr>
                <w:tcW w:w="1356" w:type="dxa"/>
              </w:tcPr>
              <w:p w14:paraId="2AF05F14" w14:textId="77777777" w:rsidR="00FA2CBA" w:rsidRPr="00EE147E" w:rsidRDefault="00FA2CBA" w:rsidP="00FA2CBA">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EE147E">
                  <w:rPr>
                    <w:rFonts w:cs="Calibri"/>
                    <w:sz w:val="16"/>
                    <w:szCs w:val="16"/>
                  </w:rPr>
                  <w:t xml:space="preserve">To assess the immuno-toxicological and the oxidative stress effects by EC flavouring chemicals on two types of human monocytic cell lines, Mono Mac 6 (MM6) and U937. </w:t>
                </w:r>
              </w:p>
            </w:tc>
            <w:tc>
              <w:tcPr>
                <w:tcW w:w="740" w:type="dxa"/>
              </w:tcPr>
              <w:p w14:paraId="627C52F6" w14:textId="77777777" w:rsidR="00FA2CBA" w:rsidRPr="00EE147E" w:rsidRDefault="00FA2CBA" w:rsidP="00FA2CBA">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EE147E">
                  <w:rPr>
                    <w:rFonts w:cs="Calibri"/>
                    <w:sz w:val="16"/>
                    <w:szCs w:val="16"/>
                  </w:rPr>
                  <w:t>Human</w:t>
                </w:r>
              </w:p>
            </w:tc>
            <w:tc>
              <w:tcPr>
                <w:tcW w:w="961" w:type="dxa"/>
              </w:tcPr>
              <w:p w14:paraId="56879942" w14:textId="77777777" w:rsidR="00FA2CBA" w:rsidRPr="00EE147E" w:rsidRDefault="00FA2CBA" w:rsidP="00FA2CBA">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EE147E">
                  <w:rPr>
                    <w:rFonts w:cs="Calibri"/>
                    <w:sz w:val="16"/>
                    <w:szCs w:val="16"/>
                  </w:rPr>
                  <w:t>PG</w:t>
                </w:r>
              </w:p>
            </w:tc>
            <w:tc>
              <w:tcPr>
                <w:tcW w:w="1134" w:type="dxa"/>
              </w:tcPr>
              <w:p w14:paraId="2B0F566A" w14:textId="2427FA06" w:rsidR="00FA2CBA" w:rsidRPr="00EE147E" w:rsidRDefault="00FA2CBA" w:rsidP="00FA2CBA">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EE147E">
                  <w:rPr>
                    <w:rFonts w:cs="Calibri"/>
                    <w:sz w:val="16"/>
                    <w:szCs w:val="16"/>
                  </w:rPr>
                  <w:t>Vaporised flavoured EC and their flavouring, at different doses (10- 1,000μM)</w:t>
                </w:r>
                <w:r w:rsidR="00727A2A">
                  <w:rPr>
                    <w:rFonts w:cs="Calibri"/>
                    <w:sz w:val="16"/>
                    <w:szCs w:val="16"/>
                  </w:rPr>
                  <w:t>.</w:t>
                </w:r>
              </w:p>
            </w:tc>
            <w:tc>
              <w:tcPr>
                <w:tcW w:w="993" w:type="dxa"/>
              </w:tcPr>
              <w:p w14:paraId="0672E765" w14:textId="77777777" w:rsidR="00FA2CBA" w:rsidRPr="00EE147E" w:rsidRDefault="00FA2CBA" w:rsidP="00FA2CBA">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EE147E">
                  <w:rPr>
                    <w:rFonts w:cs="Calibri"/>
                    <w:sz w:val="16"/>
                    <w:szCs w:val="16"/>
                  </w:rPr>
                  <w:t xml:space="preserve">Monocytic cell types (MM6 and U937) from pleural tissue. </w:t>
                </w:r>
              </w:p>
            </w:tc>
            <w:tc>
              <w:tcPr>
                <w:tcW w:w="1559" w:type="dxa"/>
              </w:tcPr>
              <w:p w14:paraId="0123BABA" w14:textId="77777777" w:rsidR="00FA2CBA" w:rsidRPr="00EE147E" w:rsidRDefault="00FA2CBA" w:rsidP="00FA2CBA">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EE147E">
                  <w:rPr>
                    <w:rFonts w:cs="Calibri"/>
                    <w:sz w:val="16"/>
                    <w:szCs w:val="16"/>
                  </w:rPr>
                  <w:t>Assessed cell viability, inflammatory cytokine release and cytotoxicity.</w:t>
                </w:r>
              </w:p>
            </w:tc>
            <w:tc>
              <w:tcPr>
                <w:tcW w:w="4795" w:type="dxa"/>
              </w:tcPr>
              <w:p w14:paraId="52BF2B6A" w14:textId="77777777" w:rsidR="00FA2CBA" w:rsidRPr="00EE147E" w:rsidRDefault="00FA2CBA" w:rsidP="00FA2CBA">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EE147E">
                  <w:rPr>
                    <w:rFonts w:cs="Calibri"/>
                    <w:sz w:val="16"/>
                    <w:szCs w:val="16"/>
                  </w:rPr>
                  <w:t>% of cells viable in U937 cells: Pentanedione: 62%; Cinnamaldehyde 100µM 65%, 500µM 15%, 1000µM 2%; O-vanillin: 12-19%, mixing flavours: 59%. Cetoin, diacetyl, maltol, and coumarin did not affect cell viability. Cell viability of MM6 cells: above 70% for acetoin, diacetyl, pentanedione, maltol, vanillin, and coumarin; cinnamaldehyde: 100µM 61%, 1000µM 32%. Cytotoxicity: Mystery Mix (menthol flavour) was the only flavour to elicit significant cytotoxicity. ROS: All flavours of ECs had extremely low levels of H</w:t>
                </w:r>
                <w:r w:rsidRPr="00EE147E">
                  <w:rPr>
                    <w:rFonts w:cs="Calibri"/>
                    <w:sz w:val="16"/>
                    <w:szCs w:val="16"/>
                    <w:vertAlign w:val="subscript"/>
                  </w:rPr>
                  <w:t>2</w:t>
                </w:r>
                <w:r w:rsidRPr="00EE147E">
                  <w:rPr>
                    <w:rFonts w:cs="Calibri"/>
                    <w:sz w:val="16"/>
                    <w:szCs w:val="16"/>
                  </w:rPr>
                  <w:t>O</w:t>
                </w:r>
                <w:r w:rsidRPr="00EE147E">
                  <w:rPr>
                    <w:rFonts w:cs="Calibri"/>
                    <w:sz w:val="16"/>
                    <w:szCs w:val="16"/>
                    <w:vertAlign w:val="subscript"/>
                  </w:rPr>
                  <w:t>2</w:t>
                </w:r>
                <w:r w:rsidRPr="00EE147E">
                  <w:rPr>
                    <w:rFonts w:cs="Calibri"/>
                    <w:sz w:val="16"/>
                    <w:szCs w:val="16"/>
                  </w:rPr>
                  <w:t>, a ROS. Mixing flavours together elevated H</w:t>
                </w:r>
                <w:r w:rsidRPr="00EE147E">
                  <w:rPr>
                    <w:rFonts w:cs="Calibri"/>
                    <w:sz w:val="16"/>
                    <w:szCs w:val="16"/>
                    <w:vertAlign w:val="subscript"/>
                  </w:rPr>
                  <w:t>2</w:t>
                </w:r>
                <w:r w:rsidRPr="00EE147E">
                  <w:rPr>
                    <w:rFonts w:cs="Calibri"/>
                    <w:sz w:val="16"/>
                    <w:szCs w:val="16"/>
                  </w:rPr>
                  <w:t>O</w:t>
                </w:r>
                <w:r w:rsidRPr="00EE147E">
                  <w:rPr>
                    <w:rFonts w:cs="Calibri"/>
                    <w:sz w:val="16"/>
                    <w:szCs w:val="16"/>
                    <w:vertAlign w:val="subscript"/>
                  </w:rPr>
                  <w:t>2</w:t>
                </w:r>
                <w:r w:rsidRPr="00EE147E">
                  <w:rPr>
                    <w:rFonts w:cs="Calibri"/>
                    <w:sz w:val="16"/>
                    <w:szCs w:val="16"/>
                  </w:rPr>
                  <w:t xml:space="preserve">. </w:t>
                </w:r>
                <w:r w:rsidRPr="00EE147E">
                  <w:rPr>
                    <w:rFonts w:cs="Calibri"/>
                    <w:sz w:val="16"/>
                    <w:szCs w:val="16"/>
                  </w:rPr>
                  <w:br/>
                  <w:t xml:space="preserve">IL-8 in U937 cells: IL-8 increased after exposure to diacetyl, 2, 3-pentanedione, o-vanillin, maltol and coumarin. IL-8 decreased after acetoin. 10µM of cinnamaldehyde increased IL-8 but 1000µM decreased (likely because of cytotoxicity). </w:t>
                </w:r>
                <w:r w:rsidRPr="00EE147E">
                  <w:rPr>
                    <w:rFonts w:cs="Calibri"/>
                    <w:sz w:val="16"/>
                    <w:szCs w:val="16"/>
                  </w:rPr>
                  <w:br/>
                  <w:t xml:space="preserve">IL-8 in MM6 cells: IL-8 increased after acetoin, cinnamaldehyde &amp; vanillin. Diacetyl, coumarin did not increase IL-8 significantly. </w:t>
                </w:r>
                <w:r w:rsidRPr="00EE147E">
                  <w:rPr>
                    <w:rFonts w:cs="Calibri"/>
                    <w:sz w:val="16"/>
                    <w:szCs w:val="16"/>
                  </w:rPr>
                  <w:br/>
                  <w:t xml:space="preserve">IL-8 increased after exposure to Cinnamon Roll, Mystery Mix, Cafe </w:t>
                </w:r>
                <w:r w:rsidRPr="00EE147E">
                  <w:rPr>
                    <w:rFonts w:cs="Calibri"/>
                    <w:sz w:val="16"/>
                    <w:szCs w:val="16"/>
                  </w:rPr>
                  <w:lastRenderedPageBreak/>
                  <w:t xml:space="preserve">Latte and Mixed flavours. IL-8 decreased after Mega Melons, Grape Vape, Pineapple Coconut, American Tobacco and Very Berry. Fruit Swirl and Strawberry Zing IL-8 levels did not differ from the ctrl. </w:t>
                </w:r>
              </w:p>
            </w:tc>
            <w:tc>
              <w:tcPr>
                <w:tcW w:w="2551" w:type="dxa"/>
              </w:tcPr>
              <w:p w14:paraId="0AF1640B" w14:textId="77777777" w:rsidR="00FA2CBA" w:rsidRPr="00EE147E" w:rsidRDefault="00FA2CBA" w:rsidP="00FA2CBA">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EE147E">
                  <w:rPr>
                    <w:rFonts w:cs="Calibri"/>
                    <w:sz w:val="16"/>
                    <w:szCs w:val="16"/>
                  </w:rPr>
                  <w:lastRenderedPageBreak/>
                  <w:t>"Our data suggest that the flavourings used in e-juices can trigger an inflammatory response in monocytes, mediated by ROS production, providing insights into potential pulmonary toxicity and tissue damage in EC users."</w:t>
                </w:r>
              </w:p>
            </w:tc>
          </w:tr>
          <w:tr w:rsidR="00FA2CBA" w:rsidRPr="00EE147E" w14:paraId="2A8E69E8" w14:textId="77777777" w:rsidTr="00A52CF8">
            <w:tc>
              <w:tcPr>
                <w:cnfStyle w:val="001000000000" w:firstRow="0" w:lastRow="0" w:firstColumn="1" w:lastColumn="0" w:oddVBand="0" w:evenVBand="0" w:oddHBand="0" w:evenHBand="0" w:firstRowFirstColumn="0" w:firstRowLastColumn="0" w:lastRowFirstColumn="0" w:lastRowLastColumn="0"/>
                <w:tcW w:w="1107" w:type="dxa"/>
              </w:tcPr>
              <w:p w14:paraId="7BCCC248" w14:textId="77777777" w:rsidR="00FA2CBA" w:rsidRPr="00EE147E" w:rsidRDefault="00FA2CBA" w:rsidP="00FA2CBA">
                <w:pPr>
                  <w:spacing w:after="0"/>
                  <w:rPr>
                    <w:sz w:val="16"/>
                    <w:szCs w:val="16"/>
                  </w:rPr>
                </w:pPr>
                <w:r w:rsidRPr="00EE147E">
                  <w:rPr>
                    <w:rFonts w:cs="Calibri"/>
                    <w:sz w:val="16"/>
                    <w:szCs w:val="16"/>
                  </w:rPr>
                  <w:t>Otreba 2018</w:t>
                </w:r>
              </w:p>
            </w:tc>
            <w:tc>
              <w:tcPr>
                <w:tcW w:w="1356" w:type="dxa"/>
              </w:tcPr>
              <w:p w14:paraId="79462D21" w14:textId="0FBCC750" w:rsidR="00FA2CBA" w:rsidRPr="00EE147E" w:rsidRDefault="00FA2CBA" w:rsidP="00FA2CBA">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EE147E">
                  <w:rPr>
                    <w:rFonts w:cs="Calibri"/>
                    <w:sz w:val="16"/>
                    <w:szCs w:val="16"/>
                  </w:rPr>
                  <w:t>To examine the toxicity of vapour from e-cigarette liquids and components of e</w:t>
                </w:r>
                <w:r w:rsidR="003C4161">
                  <w:rPr>
                    <w:rFonts w:cs="Calibri"/>
                    <w:sz w:val="16"/>
                    <w:szCs w:val="16"/>
                  </w:rPr>
                  <w:noBreakHyphen/>
                </w:r>
                <w:r w:rsidRPr="00EE147E">
                  <w:rPr>
                    <w:rFonts w:cs="Calibri"/>
                    <w:sz w:val="16"/>
                    <w:szCs w:val="16"/>
                  </w:rPr>
                  <w:t xml:space="preserve">cigarettes (GC, PG and GC/PG) compared with cigarette smoke as well as battery output voltage on A549 cells. </w:t>
                </w:r>
              </w:p>
            </w:tc>
            <w:tc>
              <w:tcPr>
                <w:tcW w:w="740" w:type="dxa"/>
              </w:tcPr>
              <w:p w14:paraId="143E3743" w14:textId="77777777" w:rsidR="00FA2CBA" w:rsidRPr="00EE147E" w:rsidRDefault="00FA2CBA" w:rsidP="00FA2CBA">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EE147E">
                  <w:rPr>
                    <w:rFonts w:cs="Calibri"/>
                    <w:sz w:val="16"/>
                    <w:szCs w:val="16"/>
                  </w:rPr>
                  <w:t>Human</w:t>
                </w:r>
              </w:p>
            </w:tc>
            <w:tc>
              <w:tcPr>
                <w:tcW w:w="961" w:type="dxa"/>
              </w:tcPr>
              <w:p w14:paraId="31DACAF3" w14:textId="77777777" w:rsidR="00FA2CBA" w:rsidRPr="00EE147E" w:rsidRDefault="00FA2CBA" w:rsidP="00FA2CBA">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EE147E">
                  <w:rPr>
                    <w:rFonts w:cs="Calibri"/>
                    <w:sz w:val="16"/>
                    <w:szCs w:val="16"/>
                  </w:rPr>
                  <w:t>Cigarette smoke extract</w:t>
                </w:r>
              </w:p>
            </w:tc>
            <w:tc>
              <w:tcPr>
                <w:tcW w:w="1134" w:type="dxa"/>
              </w:tcPr>
              <w:p w14:paraId="31A89C4D" w14:textId="58370FC5" w:rsidR="00FA2CBA" w:rsidRPr="00EE147E" w:rsidRDefault="00FA2CBA" w:rsidP="00FA2CBA">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EE147E">
                  <w:rPr>
                    <w:rFonts w:cs="Calibri"/>
                    <w:sz w:val="16"/>
                    <w:szCs w:val="16"/>
                  </w:rPr>
                  <w:t>Vapour from e-cigarette liquids and components of e-cigarettes (GC, PG and GC/PG). Used different voltages of e</w:t>
                </w:r>
                <w:r w:rsidR="00360355">
                  <w:rPr>
                    <w:rFonts w:cs="Calibri"/>
                    <w:sz w:val="16"/>
                    <w:szCs w:val="16"/>
                  </w:rPr>
                  <w:noBreakHyphen/>
                </w:r>
                <w:r w:rsidRPr="00EE147E">
                  <w:rPr>
                    <w:rFonts w:cs="Calibri"/>
                    <w:sz w:val="16"/>
                    <w:szCs w:val="16"/>
                  </w:rPr>
                  <w:t>cigarettes (3.2, 4.0, 4.8)</w:t>
                </w:r>
              </w:p>
            </w:tc>
            <w:tc>
              <w:tcPr>
                <w:tcW w:w="993" w:type="dxa"/>
              </w:tcPr>
              <w:p w14:paraId="2C810F83" w14:textId="77777777" w:rsidR="00FA2CBA" w:rsidRPr="00EE147E" w:rsidRDefault="00FA2CBA" w:rsidP="00FA2CBA">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EE147E">
                  <w:rPr>
                    <w:rFonts w:cs="Calibri"/>
                    <w:sz w:val="16"/>
                    <w:szCs w:val="16"/>
                  </w:rPr>
                  <w:t>Human lung carcinoma cells A549</w:t>
                </w:r>
              </w:p>
            </w:tc>
            <w:tc>
              <w:tcPr>
                <w:tcW w:w="1559" w:type="dxa"/>
              </w:tcPr>
              <w:p w14:paraId="6E3CF0C0" w14:textId="77777777" w:rsidR="00FA2CBA" w:rsidRPr="00EE147E" w:rsidRDefault="00FA2CBA" w:rsidP="00FA2CBA">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EE147E">
                  <w:rPr>
                    <w:rFonts w:cs="Calibri"/>
                    <w:sz w:val="16"/>
                    <w:szCs w:val="16"/>
                  </w:rPr>
                  <w:t xml:space="preserve">Used a cell viability assay. </w:t>
                </w:r>
              </w:p>
            </w:tc>
            <w:tc>
              <w:tcPr>
                <w:tcW w:w="4795" w:type="dxa"/>
              </w:tcPr>
              <w:p w14:paraId="32ECDFA0" w14:textId="3FD19238" w:rsidR="00FA2CBA" w:rsidRPr="00EE147E" w:rsidRDefault="00FA2CBA" w:rsidP="00FA2CBA">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EE147E">
                  <w:rPr>
                    <w:rFonts w:cs="Calibri"/>
                    <w:sz w:val="16"/>
                    <w:szCs w:val="16"/>
                  </w:rPr>
                  <w:t>E-cigarettes had lower cytotoxicity levels than cigarettes. Increasing the voltage of the e-cigarette had further reductions in cell viability. Cell viability also decreased with increasing concentrations of propylene glycol, glycerol, glycerol/ propylene glycol and nicotine. Cell viability after exposure to cigarette smoke was lower than after exposure to e-cigarette vapo</w:t>
                </w:r>
                <w:r w:rsidR="004C634C">
                  <w:rPr>
                    <w:rFonts w:cs="Calibri"/>
                    <w:sz w:val="16"/>
                    <w:szCs w:val="16"/>
                  </w:rPr>
                  <w:t>u</w:t>
                </w:r>
                <w:r w:rsidRPr="00EE147E">
                  <w:rPr>
                    <w:rFonts w:cs="Calibri"/>
                    <w:sz w:val="16"/>
                    <w:szCs w:val="16"/>
                  </w:rPr>
                  <w:t>r.</w:t>
                </w:r>
              </w:p>
            </w:tc>
            <w:tc>
              <w:tcPr>
                <w:tcW w:w="2551" w:type="dxa"/>
              </w:tcPr>
              <w:p w14:paraId="444BC9ED" w14:textId="65E33B71" w:rsidR="00FA2CBA" w:rsidRPr="00EE147E" w:rsidRDefault="00FA2CBA" w:rsidP="00FA2CBA">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EE147E">
                  <w:rPr>
                    <w:rFonts w:cs="Calibri"/>
                    <w:iCs/>
                    <w:sz w:val="16"/>
                    <w:szCs w:val="16"/>
                  </w:rPr>
                  <w:t>“Our results not only confirm less cytotoxicity of e‐liquid aerosol than cigarette smoke, but also demonstrate that solutions used in e‐liquids and, for the first time, battery output voltage have a significant impact on cytotoxicity of e‐cigarette vapo</w:t>
                </w:r>
                <w:r w:rsidR="004C634C">
                  <w:rPr>
                    <w:rFonts w:cs="Calibri"/>
                    <w:iCs/>
                    <w:sz w:val="16"/>
                    <w:szCs w:val="16"/>
                  </w:rPr>
                  <w:t>u</w:t>
                </w:r>
                <w:r w:rsidRPr="00EE147E">
                  <w:rPr>
                    <w:rFonts w:cs="Calibri"/>
                    <w:iCs/>
                    <w:sz w:val="16"/>
                    <w:szCs w:val="16"/>
                  </w:rPr>
                  <w:t>r. Thus, the results of this study are very important for the current and future legal regulations on e‐cigarettes.”</w:t>
                </w:r>
              </w:p>
            </w:tc>
          </w:tr>
          <w:tr w:rsidR="00FA2CBA" w:rsidRPr="00EE147E" w14:paraId="0032A4E0" w14:textId="77777777" w:rsidTr="00A52C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7" w:type="dxa"/>
              </w:tcPr>
              <w:p w14:paraId="3481B6D5" w14:textId="77777777" w:rsidR="00FA2CBA" w:rsidRPr="00EE147E" w:rsidRDefault="00FA2CBA" w:rsidP="00FA2CBA">
                <w:pPr>
                  <w:spacing w:after="0"/>
                  <w:rPr>
                    <w:sz w:val="16"/>
                    <w:szCs w:val="16"/>
                  </w:rPr>
                </w:pPr>
                <w:r w:rsidRPr="00EE147E">
                  <w:rPr>
                    <w:rFonts w:eastAsia="Times New Roman" w:cs="Calibri"/>
                    <w:sz w:val="16"/>
                    <w:szCs w:val="16"/>
                  </w:rPr>
                  <w:t>Palazzolo 2017</w:t>
                </w:r>
              </w:p>
            </w:tc>
            <w:tc>
              <w:tcPr>
                <w:tcW w:w="1356" w:type="dxa"/>
              </w:tcPr>
              <w:p w14:paraId="6F4FE324" w14:textId="77777777" w:rsidR="00FA2CBA" w:rsidRPr="00EE147E" w:rsidRDefault="00FA2CBA" w:rsidP="00FA2CBA">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EE147E">
                  <w:rPr>
                    <w:rFonts w:eastAsia="Times New Roman" w:cs="Calibri"/>
                    <w:sz w:val="16"/>
                    <w:szCs w:val="16"/>
                  </w:rPr>
                  <w:t>To test the effect of EC-generated vapour and smoke on mucous transport velocity using the frog palate paradigm.</w:t>
                </w:r>
              </w:p>
            </w:tc>
            <w:tc>
              <w:tcPr>
                <w:tcW w:w="740" w:type="dxa"/>
              </w:tcPr>
              <w:p w14:paraId="66C9CD25" w14:textId="77777777" w:rsidR="00FA2CBA" w:rsidRPr="00EE147E" w:rsidRDefault="00FA2CBA" w:rsidP="00FA2CBA">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EE147E">
                  <w:rPr>
                    <w:rFonts w:eastAsia="Times New Roman" w:cs="Calibri"/>
                    <w:sz w:val="16"/>
                    <w:szCs w:val="16"/>
                  </w:rPr>
                  <w:t>Frog</w:t>
                </w:r>
              </w:p>
            </w:tc>
            <w:tc>
              <w:tcPr>
                <w:tcW w:w="961" w:type="dxa"/>
              </w:tcPr>
              <w:p w14:paraId="66CFE206" w14:textId="77777777" w:rsidR="00FA2CBA" w:rsidRPr="00EE147E" w:rsidRDefault="00FA2CBA" w:rsidP="00FA2CBA">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EE147E">
                  <w:rPr>
                    <w:rFonts w:eastAsia="Times New Roman" w:cs="Calibri"/>
                    <w:sz w:val="16"/>
                    <w:szCs w:val="16"/>
                  </w:rPr>
                  <w:t>Air</w:t>
                </w:r>
              </w:p>
            </w:tc>
            <w:tc>
              <w:tcPr>
                <w:tcW w:w="1134" w:type="dxa"/>
              </w:tcPr>
              <w:p w14:paraId="501EFB5C" w14:textId="77777777" w:rsidR="00FA2CBA" w:rsidRPr="00EE147E" w:rsidRDefault="00FA2CBA" w:rsidP="00FA2CBA">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EE147E">
                  <w:rPr>
                    <w:rFonts w:eastAsia="Times New Roman" w:cs="Calibri"/>
                    <w:sz w:val="16"/>
                    <w:szCs w:val="16"/>
                  </w:rPr>
                  <w:t>CIG smoke or EC vapour.</w:t>
                </w:r>
              </w:p>
            </w:tc>
            <w:tc>
              <w:tcPr>
                <w:tcW w:w="993" w:type="dxa"/>
              </w:tcPr>
              <w:p w14:paraId="4F9DE9F0" w14:textId="77777777" w:rsidR="00FA2CBA" w:rsidRPr="00EE147E" w:rsidRDefault="00FA2CBA" w:rsidP="00FA2CBA">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EE147E">
                  <w:rPr>
                    <w:rFonts w:eastAsia="Times New Roman" w:cs="Calibri"/>
                    <w:sz w:val="16"/>
                    <w:szCs w:val="16"/>
                  </w:rPr>
                  <w:t>Excised bullfrog palates.</w:t>
                </w:r>
              </w:p>
            </w:tc>
            <w:tc>
              <w:tcPr>
                <w:tcW w:w="1559" w:type="dxa"/>
              </w:tcPr>
              <w:p w14:paraId="78247D24" w14:textId="77777777" w:rsidR="00FA2CBA" w:rsidRPr="00EE147E" w:rsidRDefault="00FA2CBA" w:rsidP="00FA2CBA">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EE147E">
                  <w:rPr>
                    <w:rFonts w:eastAsia="Times New Roman" w:cs="Calibri"/>
                    <w:sz w:val="16"/>
                    <w:szCs w:val="16"/>
                  </w:rPr>
                  <w:t>Measured mucous transport velocity.</w:t>
                </w:r>
              </w:p>
            </w:tc>
            <w:tc>
              <w:tcPr>
                <w:tcW w:w="4795" w:type="dxa"/>
              </w:tcPr>
              <w:p w14:paraId="2AE1CFEE" w14:textId="77777777" w:rsidR="00FA2CBA" w:rsidRPr="00EE147E" w:rsidRDefault="00FA2CBA" w:rsidP="00FA2CBA">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EE147E">
                  <w:rPr>
                    <w:rFonts w:eastAsia="Times New Roman" w:cs="Calibri"/>
                    <w:sz w:val="16"/>
                    <w:szCs w:val="16"/>
                  </w:rPr>
                  <w:t>When compared to a ctrl of air, ECs showed a modest inhibitory effect on mucous transport velocity. CIG smoke completely inhibited mucous transport velocity during exposure and 24hr after exposure. Images of the palates showed no effect of CIG or EC exposure on submucosal architecture (collagen was unaffected). However, vapour deposition was evident after the EC exposure but not smoke or ctrl. Smoke-exposed palates appeared to be thinner due to epithelial disruption.</w:t>
                </w:r>
              </w:p>
            </w:tc>
            <w:tc>
              <w:tcPr>
                <w:tcW w:w="2551" w:type="dxa"/>
              </w:tcPr>
              <w:p w14:paraId="33F2AF0F" w14:textId="77777777" w:rsidR="00FA2CBA" w:rsidRPr="00EE147E" w:rsidRDefault="00FA2CBA" w:rsidP="00FA2CBA">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EE147E">
                  <w:rPr>
                    <w:rFonts w:eastAsia="Times New Roman" w:cs="Calibri"/>
                    <w:sz w:val="16"/>
                    <w:szCs w:val="16"/>
                  </w:rPr>
                  <w:t>"These results indicate that EC-generated vapour has only a modest effect on mucociliary clearance of bullfrog palates and vapour sedimentation accounts for epithelial thickening.”</w:t>
                </w:r>
              </w:p>
            </w:tc>
          </w:tr>
          <w:tr w:rsidR="00FA2CBA" w:rsidRPr="00EE147E" w14:paraId="5FCC78D0" w14:textId="77777777" w:rsidTr="00A52CF8">
            <w:tc>
              <w:tcPr>
                <w:cnfStyle w:val="001000000000" w:firstRow="0" w:lastRow="0" w:firstColumn="1" w:lastColumn="0" w:oddVBand="0" w:evenVBand="0" w:oddHBand="0" w:evenHBand="0" w:firstRowFirstColumn="0" w:firstRowLastColumn="0" w:lastRowFirstColumn="0" w:lastRowLastColumn="0"/>
                <w:tcW w:w="1107" w:type="dxa"/>
              </w:tcPr>
              <w:p w14:paraId="31EBD15C" w14:textId="77777777" w:rsidR="00FA2CBA" w:rsidRPr="00EE147E" w:rsidRDefault="00FA2CBA" w:rsidP="00FA2CBA">
                <w:pPr>
                  <w:spacing w:after="0"/>
                  <w:rPr>
                    <w:sz w:val="16"/>
                    <w:szCs w:val="16"/>
                  </w:rPr>
                </w:pPr>
                <w:r w:rsidRPr="00EE147E">
                  <w:rPr>
                    <w:rFonts w:eastAsia="Times New Roman" w:cs="Calibri"/>
                    <w:sz w:val="16"/>
                    <w:szCs w:val="16"/>
                  </w:rPr>
                  <w:t>Pryzbyla 2017</w:t>
                </w:r>
              </w:p>
            </w:tc>
            <w:tc>
              <w:tcPr>
                <w:tcW w:w="1356" w:type="dxa"/>
              </w:tcPr>
              <w:p w14:paraId="3ECB81CD" w14:textId="77777777" w:rsidR="00FA2CBA" w:rsidRPr="00EE147E" w:rsidRDefault="00FA2CBA" w:rsidP="00FA2CBA">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EE147E">
                  <w:rPr>
                    <w:rFonts w:eastAsia="Times New Roman" w:cs="Calibri"/>
                    <w:sz w:val="16"/>
                    <w:szCs w:val="16"/>
                  </w:rPr>
                  <w:t>To examine the potential adverse effects of EC vapour and conventional CIG smoke on lung surfactant interfacial properties</w:t>
                </w:r>
              </w:p>
            </w:tc>
            <w:tc>
              <w:tcPr>
                <w:tcW w:w="740" w:type="dxa"/>
              </w:tcPr>
              <w:p w14:paraId="203F735C" w14:textId="77777777" w:rsidR="00FA2CBA" w:rsidRPr="00EE147E" w:rsidRDefault="00FA2CBA" w:rsidP="00FA2CBA">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EE147E">
                  <w:rPr>
                    <w:rFonts w:eastAsia="Times New Roman" w:cs="Calibri"/>
                    <w:sz w:val="16"/>
                    <w:szCs w:val="16"/>
                  </w:rPr>
                  <w:t>Cow</w:t>
                </w:r>
              </w:p>
            </w:tc>
            <w:tc>
              <w:tcPr>
                <w:tcW w:w="961" w:type="dxa"/>
              </w:tcPr>
              <w:p w14:paraId="3D395AC0" w14:textId="77777777" w:rsidR="00FA2CBA" w:rsidRPr="00EE147E" w:rsidRDefault="00FA2CBA" w:rsidP="00FA2CBA">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EE147E">
                  <w:rPr>
                    <w:rFonts w:eastAsia="Times New Roman" w:cs="Calibri"/>
                    <w:sz w:val="16"/>
                    <w:szCs w:val="16"/>
                  </w:rPr>
                  <w:t>CIG smoke</w:t>
                </w:r>
              </w:p>
            </w:tc>
            <w:tc>
              <w:tcPr>
                <w:tcW w:w="1134" w:type="dxa"/>
              </w:tcPr>
              <w:p w14:paraId="5C5B58C8" w14:textId="77777777" w:rsidR="00FA2CBA" w:rsidRPr="00EE147E" w:rsidRDefault="00FA2CBA" w:rsidP="00FA2CBA">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EE147E">
                  <w:rPr>
                    <w:rFonts w:eastAsia="Times New Roman" w:cs="Calibri"/>
                    <w:sz w:val="16"/>
                    <w:szCs w:val="16"/>
                  </w:rPr>
                  <w:t>Unflavoured, berry and mint-flavoured ECs.</w:t>
                </w:r>
              </w:p>
            </w:tc>
            <w:tc>
              <w:tcPr>
                <w:tcW w:w="993" w:type="dxa"/>
              </w:tcPr>
              <w:p w14:paraId="3769D31D" w14:textId="77777777" w:rsidR="00FA2CBA" w:rsidRPr="00EE147E" w:rsidRDefault="00FA2CBA" w:rsidP="00FA2CBA">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EE147E">
                  <w:rPr>
                    <w:rFonts w:eastAsia="Times New Roman" w:cs="Calibri"/>
                    <w:sz w:val="16"/>
                    <w:szCs w:val="16"/>
                  </w:rPr>
                  <w:t>Lung surfactant from calf.</w:t>
                </w:r>
              </w:p>
            </w:tc>
            <w:tc>
              <w:tcPr>
                <w:tcW w:w="1559" w:type="dxa"/>
              </w:tcPr>
              <w:p w14:paraId="71D4CCEF" w14:textId="77777777" w:rsidR="00FA2CBA" w:rsidRPr="00EE147E" w:rsidRDefault="00FA2CBA" w:rsidP="00FA2CBA">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EE147E">
                  <w:rPr>
                    <w:rFonts w:eastAsia="Times New Roman" w:cs="Calibri"/>
                    <w:sz w:val="16"/>
                    <w:szCs w:val="16"/>
                  </w:rPr>
                  <w:t xml:space="preserve">Vapour was bubbled to create an e-liquid. </w:t>
                </w:r>
              </w:p>
            </w:tc>
            <w:tc>
              <w:tcPr>
                <w:tcW w:w="4795" w:type="dxa"/>
              </w:tcPr>
              <w:p w14:paraId="0BC6DF05" w14:textId="77777777" w:rsidR="00FA2CBA" w:rsidRPr="00EE147E" w:rsidRDefault="00FA2CBA" w:rsidP="00FA2CBA">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EE147E">
                  <w:rPr>
                    <w:rFonts w:eastAsia="Times New Roman" w:cs="Calibri"/>
                    <w:sz w:val="16"/>
                    <w:szCs w:val="16"/>
                  </w:rPr>
                  <w:t>EC vapour did not affect surfactant interfacial properties regardless of dose or flavouring. However, CIG smoke-exposure led to reduced maximum surface pressure. Both EC vapour and CIG smoke led to changes in surfactant microstructure, which led to an increase in the area of lipid multilayers. Nicotine, acetaldehyde, and isoprene did not significantly alter interfacial properties. Tar was the component from CIG smoke which disrupted the surfactant function the most.</w:t>
                </w:r>
              </w:p>
            </w:tc>
            <w:tc>
              <w:tcPr>
                <w:tcW w:w="2551" w:type="dxa"/>
              </w:tcPr>
              <w:p w14:paraId="67666F66" w14:textId="77777777" w:rsidR="00FA2CBA" w:rsidRPr="00EE147E" w:rsidRDefault="00FA2CBA" w:rsidP="00FA2CBA">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EE147E">
                  <w:rPr>
                    <w:rFonts w:eastAsia="Times New Roman" w:cs="Calibri"/>
                    <w:sz w:val="16"/>
                    <w:szCs w:val="16"/>
                  </w:rPr>
                  <w:t>"While both EC vapour and conventional CIG smoke affect surfactant lateral structure, only CIG smoke disrupts surfactant interfacial properties. The surfactant inhibitory compound in conventional CIGs is tar."</w:t>
                </w:r>
              </w:p>
            </w:tc>
          </w:tr>
          <w:tr w:rsidR="00FA2CBA" w:rsidRPr="00EE147E" w14:paraId="25A39070" w14:textId="77777777" w:rsidTr="00A52C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7" w:type="dxa"/>
              </w:tcPr>
              <w:p w14:paraId="4243BED2" w14:textId="77777777" w:rsidR="00FA2CBA" w:rsidRPr="00EE147E" w:rsidRDefault="00FA2CBA" w:rsidP="00FA2CBA">
                <w:pPr>
                  <w:spacing w:after="0"/>
                  <w:rPr>
                    <w:sz w:val="16"/>
                    <w:szCs w:val="16"/>
                  </w:rPr>
                </w:pPr>
                <w:r w:rsidRPr="00EE147E">
                  <w:rPr>
                    <w:rFonts w:eastAsia="Times New Roman" w:cs="Calibri"/>
                    <w:sz w:val="16"/>
                    <w:szCs w:val="16"/>
                  </w:rPr>
                  <w:t>Rouabhia 2017</w:t>
                </w:r>
              </w:p>
            </w:tc>
            <w:tc>
              <w:tcPr>
                <w:tcW w:w="1356" w:type="dxa"/>
              </w:tcPr>
              <w:p w14:paraId="3BFC5069" w14:textId="77777777" w:rsidR="00FA2CBA" w:rsidRPr="00EE147E" w:rsidRDefault="00FA2CBA" w:rsidP="00FA2CBA">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EE147E">
                  <w:rPr>
                    <w:rFonts w:eastAsia="Times New Roman" w:cs="Calibri"/>
                    <w:sz w:val="16"/>
                    <w:szCs w:val="16"/>
                  </w:rPr>
                  <w:t xml:space="preserve">To investigate the effect of EC vapour on human gingival epithelial cells. </w:t>
                </w:r>
              </w:p>
            </w:tc>
            <w:tc>
              <w:tcPr>
                <w:tcW w:w="740" w:type="dxa"/>
              </w:tcPr>
              <w:p w14:paraId="59A5A8FB" w14:textId="77777777" w:rsidR="00FA2CBA" w:rsidRPr="00EE147E" w:rsidRDefault="00FA2CBA" w:rsidP="00FA2CBA">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EE147E">
                  <w:rPr>
                    <w:rFonts w:eastAsia="Times New Roman" w:cs="Calibri"/>
                    <w:sz w:val="16"/>
                    <w:szCs w:val="16"/>
                  </w:rPr>
                  <w:t>Human</w:t>
                </w:r>
              </w:p>
            </w:tc>
            <w:tc>
              <w:tcPr>
                <w:tcW w:w="961" w:type="dxa"/>
              </w:tcPr>
              <w:p w14:paraId="4350810C" w14:textId="77777777" w:rsidR="00FA2CBA" w:rsidRPr="00EE147E" w:rsidRDefault="00FA2CBA" w:rsidP="00FA2CBA">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EE147E">
                  <w:rPr>
                    <w:rFonts w:eastAsia="Times New Roman" w:cs="Calibri"/>
                    <w:sz w:val="16"/>
                    <w:szCs w:val="16"/>
                  </w:rPr>
                  <w:t>Absence of vapour</w:t>
                </w:r>
              </w:p>
            </w:tc>
            <w:tc>
              <w:tcPr>
                <w:tcW w:w="1134" w:type="dxa"/>
              </w:tcPr>
              <w:p w14:paraId="0273775D" w14:textId="77777777" w:rsidR="00FA2CBA" w:rsidRPr="00EE147E" w:rsidRDefault="00FA2CBA" w:rsidP="00FA2CBA">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EE147E">
                  <w:rPr>
                    <w:rFonts w:eastAsia="Times New Roman" w:cs="Calibri"/>
                    <w:sz w:val="16"/>
                    <w:szCs w:val="16"/>
                  </w:rPr>
                  <w:t>EC vapour + nicotine(Smooth Canadian Tobacco flavour)</w:t>
                </w:r>
              </w:p>
            </w:tc>
            <w:tc>
              <w:tcPr>
                <w:tcW w:w="993" w:type="dxa"/>
              </w:tcPr>
              <w:p w14:paraId="22B6E1A3" w14:textId="77777777" w:rsidR="00FA2CBA" w:rsidRPr="00EE147E" w:rsidRDefault="00FA2CBA" w:rsidP="00FA2CBA">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EE147E">
                  <w:rPr>
                    <w:rFonts w:eastAsia="Times New Roman" w:cs="Calibri"/>
                    <w:sz w:val="16"/>
                    <w:szCs w:val="16"/>
                  </w:rPr>
                  <w:t>Gingival epithelial cells</w:t>
                </w:r>
              </w:p>
            </w:tc>
            <w:tc>
              <w:tcPr>
                <w:tcW w:w="1559" w:type="dxa"/>
              </w:tcPr>
              <w:p w14:paraId="5CFADC31" w14:textId="77777777" w:rsidR="00FA2CBA" w:rsidRPr="00EE147E" w:rsidRDefault="00FA2CBA" w:rsidP="00FA2CBA">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EE147E">
                  <w:rPr>
                    <w:rFonts w:eastAsia="Times New Roman" w:cs="Calibri"/>
                    <w:sz w:val="16"/>
                    <w:szCs w:val="16"/>
                  </w:rPr>
                  <w:t>Measured LDH activity, apoptosis/ necrosis.</w:t>
                </w:r>
              </w:p>
            </w:tc>
            <w:tc>
              <w:tcPr>
                <w:tcW w:w="4795" w:type="dxa"/>
              </w:tcPr>
              <w:p w14:paraId="1EDE3A91" w14:textId="77777777" w:rsidR="00FA2CBA" w:rsidRPr="00EE147E" w:rsidRDefault="00FA2CBA" w:rsidP="00FA2CBA">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EE147E">
                  <w:rPr>
                    <w:rFonts w:eastAsia="Times New Roman" w:cs="Calibri"/>
                    <w:sz w:val="16"/>
                    <w:szCs w:val="16"/>
                  </w:rPr>
                  <w:t xml:space="preserve">Cell morphology: the ctrl the cells were clustered, cuboidal, with a small nucleus and cytoplasm. EC vapour cells were larger, elongated &amp; had lower cell density. </w:t>
                </w:r>
                <w:r w:rsidRPr="00EE147E">
                  <w:rPr>
                    <w:rFonts w:eastAsia="Times New Roman" w:cs="Calibri"/>
                    <w:sz w:val="16"/>
                    <w:szCs w:val="16"/>
                  </w:rPr>
                  <w:br/>
                  <w:t xml:space="preserve">LDH activity increased significantly after EC vapour exposure, indicating cell damage. </w:t>
                </w:r>
                <w:r w:rsidRPr="00EE147E">
                  <w:rPr>
                    <w:rFonts w:eastAsia="Times New Roman" w:cs="Calibri"/>
                    <w:sz w:val="16"/>
                    <w:szCs w:val="16"/>
                  </w:rPr>
                  <w:br/>
                  <w:t xml:space="preserve">Ctrl cells had a higher percentage of viable cells (81.6±4.9) than the EC exposed cells, especially after cells were exposed to the vapour three times (67.9±7.2). Both apoptotic cells and necrotic cells increased after exposures to ECs. EC exposure led to increased caspase-3 protein (involved in apoptosis) production. </w:t>
                </w:r>
              </w:p>
            </w:tc>
            <w:tc>
              <w:tcPr>
                <w:tcW w:w="2551" w:type="dxa"/>
              </w:tcPr>
              <w:p w14:paraId="4E797C54" w14:textId="77777777" w:rsidR="00FA2CBA" w:rsidRPr="00EE147E" w:rsidRDefault="00FA2CBA" w:rsidP="00FA2CBA">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EE147E">
                  <w:rPr>
                    <w:rFonts w:eastAsia="Times New Roman" w:cs="Calibri"/>
                    <w:sz w:val="16"/>
                    <w:szCs w:val="16"/>
                  </w:rPr>
                  <w:t>"The effects of EC vapour on gingival epithelial cells may compromise epithelial tissue, resulting in periodontal disease development and potentiating inflammation resulting from the tissue damage."</w:t>
                </w:r>
              </w:p>
            </w:tc>
          </w:tr>
          <w:tr w:rsidR="00FA2CBA" w:rsidRPr="00EE147E" w14:paraId="5B672116" w14:textId="77777777" w:rsidTr="00A52CF8">
            <w:tc>
              <w:tcPr>
                <w:cnfStyle w:val="001000000000" w:firstRow="0" w:lastRow="0" w:firstColumn="1" w:lastColumn="0" w:oddVBand="0" w:evenVBand="0" w:oddHBand="0" w:evenHBand="0" w:firstRowFirstColumn="0" w:firstRowLastColumn="0" w:lastRowFirstColumn="0" w:lastRowLastColumn="0"/>
                <w:tcW w:w="1107" w:type="dxa"/>
              </w:tcPr>
              <w:p w14:paraId="0EE8DE13" w14:textId="77777777" w:rsidR="00FA2CBA" w:rsidRPr="00EE147E" w:rsidRDefault="00FA2CBA" w:rsidP="00FA2CBA">
                <w:pPr>
                  <w:spacing w:after="0"/>
                  <w:rPr>
                    <w:sz w:val="16"/>
                    <w:szCs w:val="16"/>
                  </w:rPr>
                </w:pPr>
                <w:r w:rsidRPr="00EE147E">
                  <w:rPr>
                    <w:rFonts w:eastAsia="Times New Roman" w:cs="Calibri"/>
                    <w:sz w:val="16"/>
                    <w:szCs w:val="16"/>
                  </w:rPr>
                  <w:t>Rowell 2017</w:t>
                </w:r>
              </w:p>
            </w:tc>
            <w:tc>
              <w:tcPr>
                <w:tcW w:w="1356" w:type="dxa"/>
              </w:tcPr>
              <w:p w14:paraId="169C3A06" w14:textId="596C5ABB" w:rsidR="00FA2CBA" w:rsidRPr="00EE147E" w:rsidRDefault="00FA2CBA" w:rsidP="00FA2CBA">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EE147E">
                  <w:rPr>
                    <w:rFonts w:eastAsia="Times New Roman" w:cs="Calibri"/>
                    <w:sz w:val="16"/>
                    <w:szCs w:val="16"/>
                  </w:rPr>
                  <w:t xml:space="preserve">To conduct a screen that would test whether different flavoured </w:t>
                </w:r>
                <w:r w:rsidRPr="00EE147E">
                  <w:rPr>
                    <w:rFonts w:eastAsia="Times New Roman" w:cs="Calibri"/>
                    <w:sz w:val="16"/>
                    <w:szCs w:val="16"/>
                  </w:rPr>
                  <w:lastRenderedPageBreak/>
                  <w:t>e</w:t>
                </w:r>
                <w:r w:rsidR="00832A38">
                  <w:rPr>
                    <w:rFonts w:eastAsia="Times New Roman" w:cs="Calibri"/>
                    <w:sz w:val="16"/>
                    <w:szCs w:val="16"/>
                  </w:rPr>
                  <w:noBreakHyphen/>
                </w:r>
                <w:r w:rsidRPr="00EE147E">
                  <w:rPr>
                    <w:rFonts w:eastAsia="Times New Roman" w:cs="Calibri"/>
                    <w:sz w:val="16"/>
                    <w:szCs w:val="16"/>
                  </w:rPr>
                  <w:t>liquids exhibited different toxicant profiles.</w:t>
                </w:r>
              </w:p>
            </w:tc>
            <w:tc>
              <w:tcPr>
                <w:tcW w:w="740" w:type="dxa"/>
              </w:tcPr>
              <w:p w14:paraId="026AB7B9" w14:textId="77777777" w:rsidR="00FA2CBA" w:rsidRPr="00EE147E" w:rsidRDefault="00FA2CBA" w:rsidP="00FA2CBA">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EE147E">
                  <w:rPr>
                    <w:rFonts w:eastAsia="Times New Roman" w:cs="Calibri"/>
                    <w:sz w:val="16"/>
                    <w:szCs w:val="16"/>
                  </w:rPr>
                  <w:lastRenderedPageBreak/>
                  <w:t>Human</w:t>
                </w:r>
              </w:p>
            </w:tc>
            <w:tc>
              <w:tcPr>
                <w:tcW w:w="961" w:type="dxa"/>
              </w:tcPr>
              <w:p w14:paraId="5316E8E1" w14:textId="77777777" w:rsidR="00FA2CBA" w:rsidRPr="00EE147E" w:rsidRDefault="00FA2CBA" w:rsidP="00FA2CBA">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EE147E">
                  <w:rPr>
                    <w:rFonts w:eastAsia="Times New Roman" w:cs="Calibri"/>
                    <w:sz w:val="16"/>
                    <w:szCs w:val="16"/>
                  </w:rPr>
                  <w:t>Cigar-flavoured EC ± nicotine</w:t>
                </w:r>
              </w:p>
            </w:tc>
            <w:tc>
              <w:tcPr>
                <w:tcW w:w="1134" w:type="dxa"/>
              </w:tcPr>
              <w:p w14:paraId="30F0F42E" w14:textId="77777777" w:rsidR="00FA2CBA" w:rsidRPr="00EE147E" w:rsidRDefault="00FA2CBA" w:rsidP="00FA2CBA">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EE147E">
                  <w:rPr>
                    <w:rFonts w:eastAsia="Times New Roman" w:cs="Calibri"/>
                    <w:sz w:val="16"/>
                    <w:szCs w:val="16"/>
                  </w:rPr>
                  <w:t xml:space="preserve">13 flavoured EC liquids and vapours with 12mg/ ml </w:t>
                </w:r>
                <w:r w:rsidRPr="00EE147E">
                  <w:rPr>
                    <w:rFonts w:eastAsia="Times New Roman" w:cs="Calibri"/>
                    <w:sz w:val="16"/>
                    <w:szCs w:val="16"/>
                  </w:rPr>
                  <w:lastRenderedPageBreak/>
                  <w:t>nicotine and a PG/VG liquid</w:t>
                </w:r>
              </w:p>
            </w:tc>
            <w:tc>
              <w:tcPr>
                <w:tcW w:w="993" w:type="dxa"/>
              </w:tcPr>
              <w:p w14:paraId="26D45D88" w14:textId="77777777" w:rsidR="00FA2CBA" w:rsidRPr="00EE147E" w:rsidRDefault="00FA2CBA" w:rsidP="00FA2CBA">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EE147E">
                  <w:rPr>
                    <w:rFonts w:eastAsia="Times New Roman" w:cs="Calibri"/>
                    <w:sz w:val="16"/>
                    <w:szCs w:val="16"/>
                  </w:rPr>
                  <w:lastRenderedPageBreak/>
                  <w:t>Lung epithelial cell line (CALU3).</w:t>
                </w:r>
              </w:p>
            </w:tc>
            <w:tc>
              <w:tcPr>
                <w:tcW w:w="1559" w:type="dxa"/>
              </w:tcPr>
              <w:p w14:paraId="3C14F58F" w14:textId="77777777" w:rsidR="00FA2CBA" w:rsidRPr="00EE147E" w:rsidRDefault="00FA2CBA" w:rsidP="00FA2CBA">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EE147E">
                  <w:rPr>
                    <w:rFonts w:eastAsia="Times New Roman" w:cs="Calibri"/>
                    <w:sz w:val="16"/>
                    <w:szCs w:val="16"/>
                  </w:rPr>
                  <w:t xml:space="preserve">Determined MTT metabolism of liquids and vapours, cell viability, cytotoxicity, changes </w:t>
                </w:r>
                <w:r w:rsidRPr="00EE147E">
                  <w:rPr>
                    <w:rFonts w:eastAsia="Times New Roman" w:cs="Calibri"/>
                    <w:sz w:val="16"/>
                    <w:szCs w:val="16"/>
                  </w:rPr>
                  <w:lastRenderedPageBreak/>
                  <w:t xml:space="preserve">in Calcium signalling, RNA extraction and cDNA synthesis. </w:t>
                </w:r>
                <w:r w:rsidRPr="00EE147E">
                  <w:rPr>
                    <w:rFonts w:eastAsia="Times New Roman" w:cs="Calibri"/>
                    <w:sz w:val="16"/>
                    <w:szCs w:val="16"/>
                  </w:rPr>
                  <w:br/>
                  <w:t>Identified chemical constituents via mass spectrometry.</w:t>
                </w:r>
              </w:p>
            </w:tc>
            <w:tc>
              <w:tcPr>
                <w:tcW w:w="4795" w:type="dxa"/>
              </w:tcPr>
              <w:p w14:paraId="0B1D4FE9" w14:textId="77777777" w:rsidR="00FA2CBA" w:rsidRPr="00EE147E" w:rsidRDefault="00FA2CBA" w:rsidP="00FA2CBA">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EE147E">
                  <w:rPr>
                    <w:rFonts w:eastAsia="Times New Roman" w:cs="Calibri"/>
                    <w:sz w:val="16"/>
                    <w:szCs w:val="16"/>
                  </w:rPr>
                  <w:lastRenderedPageBreak/>
                  <w:t>Viable cells and cell proliferation decreased in a dose-dependent manner after EC exposure, irrespective of nicotine content. Banana pudding, Kola, Hot Cinnamon Candies and Menthol Tobacco all had larger decreases in cell proliferation and viable cells compared with the PG/VG solution. Researchers found increased Ca²</w:t>
                </w:r>
                <w:r w:rsidRPr="00EE147E">
                  <w:rPr>
                    <w:rFonts w:eastAsia="Times New Roman" w:cs="Calibri"/>
                    <w:sz w:val="16"/>
                    <w:szCs w:val="16"/>
                    <w:vertAlign w:val="superscript"/>
                  </w:rPr>
                  <w:t xml:space="preserve">+ </w:t>
                </w:r>
                <w:r w:rsidRPr="00EE147E">
                  <w:rPr>
                    <w:rFonts w:eastAsia="Times New Roman" w:cs="Calibri"/>
                    <w:sz w:val="16"/>
                    <w:szCs w:val="16"/>
                  </w:rPr>
                  <w:t xml:space="preserve">but attributed </w:t>
                </w:r>
                <w:r w:rsidRPr="00EE147E">
                  <w:rPr>
                    <w:rFonts w:eastAsia="Times New Roman" w:cs="Calibri"/>
                    <w:sz w:val="16"/>
                    <w:szCs w:val="16"/>
                  </w:rPr>
                  <w:lastRenderedPageBreak/>
                  <w:t xml:space="preserve">this to cytotoxicity rather than nAChRs mediation. </w:t>
                </w:r>
                <w:r w:rsidRPr="00EE147E">
                  <w:rPr>
                    <w:rFonts w:eastAsia="Times New Roman" w:cs="Calibri"/>
                    <w:sz w:val="16"/>
                    <w:szCs w:val="16"/>
                  </w:rPr>
                  <w:br/>
                  <w:t xml:space="preserve">MTT absorbance decreased in a dose-dependent manner with increasing nicotine concentration, however this also occurred at very low concentrations of nicotine, so may have been caused by increasing the concentration of PG/VG solution. </w:t>
                </w:r>
                <w:r w:rsidRPr="00EE147E">
                  <w:rPr>
                    <w:rFonts w:eastAsia="Times New Roman" w:cs="Calibri"/>
                    <w:sz w:val="16"/>
                    <w:szCs w:val="16"/>
                  </w:rPr>
                  <w:br/>
                  <w:t xml:space="preserve">Kola, Hot Cinnamon Candies, Menthol tobacco &amp; Banana pudding were more toxic (reduced cell density and viability) than PG/VG or the cigar-flavoured ECs ± nicotine, but they did not increase LDH. </w:t>
                </w:r>
                <w:r w:rsidRPr="00EE147E">
                  <w:rPr>
                    <w:rFonts w:eastAsia="Times New Roman" w:cs="Calibri"/>
                    <w:sz w:val="16"/>
                    <w:szCs w:val="16"/>
                  </w:rPr>
                  <w:br/>
                  <w:t>Hot cinnamon candies and menthol tobacco showed higher levels of cytotoxicity than Banana pudding, kola, peanut butter cookies and PG/VG solution.</w:t>
                </w:r>
                <w:r w:rsidRPr="00EE147E">
                  <w:rPr>
                    <w:rFonts w:eastAsia="Times New Roman" w:cs="Calibri"/>
                    <w:sz w:val="16"/>
                    <w:szCs w:val="16"/>
                  </w:rPr>
                  <w:br/>
                  <w:t>Results were supported in the vapour model.</w:t>
                </w:r>
                <w:r w:rsidRPr="00EE147E">
                  <w:rPr>
                    <w:rFonts w:eastAsia="Times New Roman" w:cs="Calibri"/>
                    <w:sz w:val="16"/>
                    <w:szCs w:val="16"/>
                  </w:rPr>
                  <w:br/>
                  <w:t xml:space="preserve">Constituents: Hot cinnamon candies and menthol tobacco shared 8 constituents, with 9 and 11 unique constituents. Banana pudding and kola had 3 shared constituents and 14, 15 unique constituents. All four flavours shared 3 constituents. </w:t>
                </w:r>
              </w:p>
            </w:tc>
            <w:tc>
              <w:tcPr>
                <w:tcW w:w="2551" w:type="dxa"/>
              </w:tcPr>
              <w:p w14:paraId="7E8F52C4" w14:textId="77777777" w:rsidR="00FA2CBA" w:rsidRPr="00EE147E" w:rsidRDefault="00FA2CBA" w:rsidP="00FA2CBA">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EE147E">
                  <w:rPr>
                    <w:rFonts w:eastAsia="Times New Roman" w:cs="Calibri"/>
                    <w:sz w:val="16"/>
                    <w:szCs w:val="16"/>
                  </w:rPr>
                  <w:lastRenderedPageBreak/>
                  <w:t xml:space="preserve">"These data revealed that beyond nicotine and PG/VG, the 13 flavoured e-liquids have diverse chemical constituents. Since all of the flavours exhibited some degree </w:t>
                </w:r>
                <w:r w:rsidRPr="00EE147E">
                  <w:rPr>
                    <w:rFonts w:eastAsia="Times New Roman" w:cs="Calibri"/>
                    <w:sz w:val="16"/>
                    <w:szCs w:val="16"/>
                  </w:rPr>
                  <w:lastRenderedPageBreak/>
                  <w:t>of toxicity and a diverse array of chemical constituents with little inhalation toxicity available, we conclude that flavoured e-liquids should be extensively tested on a case-by-case basis to determine the potential for toxicity in the lung and elsewhere."</w:t>
                </w:r>
              </w:p>
            </w:tc>
          </w:tr>
          <w:tr w:rsidR="00FA2CBA" w:rsidRPr="00EE147E" w14:paraId="4246B556" w14:textId="77777777" w:rsidTr="00A52C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7" w:type="dxa"/>
              </w:tcPr>
              <w:p w14:paraId="1E6D3AD0" w14:textId="77777777" w:rsidR="00FA2CBA" w:rsidRPr="00EE147E" w:rsidRDefault="00FA2CBA" w:rsidP="00FA2CBA">
                <w:pPr>
                  <w:spacing w:after="0"/>
                  <w:rPr>
                    <w:sz w:val="16"/>
                    <w:szCs w:val="16"/>
                  </w:rPr>
                </w:pPr>
                <w:r w:rsidRPr="00EE147E">
                  <w:rPr>
                    <w:rFonts w:eastAsia="Times New Roman" w:cs="Calibri"/>
                    <w:sz w:val="16"/>
                    <w:szCs w:val="16"/>
                  </w:rPr>
                  <w:lastRenderedPageBreak/>
                  <w:t>Sancilio 2017</w:t>
                </w:r>
              </w:p>
            </w:tc>
            <w:tc>
              <w:tcPr>
                <w:tcW w:w="1356" w:type="dxa"/>
              </w:tcPr>
              <w:p w14:paraId="5F75EDAA" w14:textId="77777777" w:rsidR="00FA2CBA" w:rsidRPr="00EE147E" w:rsidRDefault="00FA2CBA" w:rsidP="00FA2CBA">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EE147E">
                  <w:rPr>
                    <w:sz w:val="16"/>
                    <w:szCs w:val="16"/>
                  </w:rPr>
                  <w:t>To examine the ultrastructure, collagen production, and lysosome compartment changes in human gingival fibroblasts exposed to EC fluids.</w:t>
                </w:r>
              </w:p>
            </w:tc>
            <w:tc>
              <w:tcPr>
                <w:tcW w:w="740" w:type="dxa"/>
              </w:tcPr>
              <w:p w14:paraId="4A2B8420" w14:textId="77777777" w:rsidR="00FA2CBA" w:rsidRPr="00EE147E" w:rsidRDefault="00FA2CBA" w:rsidP="00FA2CBA">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EE147E">
                  <w:rPr>
                    <w:sz w:val="16"/>
                    <w:szCs w:val="16"/>
                  </w:rPr>
                  <w:t>Human</w:t>
                </w:r>
              </w:p>
            </w:tc>
            <w:tc>
              <w:tcPr>
                <w:tcW w:w="961" w:type="dxa"/>
              </w:tcPr>
              <w:p w14:paraId="027892A6" w14:textId="77777777" w:rsidR="00FA2CBA" w:rsidRPr="00EE147E" w:rsidRDefault="00FA2CBA" w:rsidP="00FA2CBA">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EE147E">
                  <w:rPr>
                    <w:sz w:val="16"/>
                    <w:szCs w:val="16"/>
                  </w:rPr>
                  <w:t xml:space="preserve">Untreated human gingival fibroblasts </w:t>
                </w:r>
              </w:p>
            </w:tc>
            <w:tc>
              <w:tcPr>
                <w:tcW w:w="1134" w:type="dxa"/>
              </w:tcPr>
              <w:p w14:paraId="669EA7AB" w14:textId="77777777" w:rsidR="00FA2CBA" w:rsidRPr="00EE147E" w:rsidRDefault="00FA2CBA" w:rsidP="00FA2CBA">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EE147E">
                  <w:rPr>
                    <w:sz w:val="16"/>
                    <w:szCs w:val="16"/>
                  </w:rPr>
                  <w:t>Diluted EC fluid with or without nicotine (at 1mg/mL)</w:t>
                </w:r>
              </w:p>
            </w:tc>
            <w:tc>
              <w:tcPr>
                <w:tcW w:w="993" w:type="dxa"/>
              </w:tcPr>
              <w:p w14:paraId="6F934242" w14:textId="77777777" w:rsidR="00FA2CBA" w:rsidRPr="00EE147E" w:rsidRDefault="00FA2CBA" w:rsidP="00FA2CBA">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EE147E">
                  <w:rPr>
                    <w:sz w:val="16"/>
                    <w:szCs w:val="16"/>
                  </w:rPr>
                  <w:t>Gingival fibroblasts</w:t>
                </w:r>
              </w:p>
            </w:tc>
            <w:tc>
              <w:tcPr>
                <w:tcW w:w="1559" w:type="dxa"/>
              </w:tcPr>
              <w:p w14:paraId="7F61C779" w14:textId="77777777" w:rsidR="00FA2CBA" w:rsidRPr="00EE147E" w:rsidRDefault="00FA2CBA" w:rsidP="00FA2CBA">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EE147E">
                  <w:rPr>
                    <w:sz w:val="16"/>
                    <w:szCs w:val="16"/>
                  </w:rPr>
                  <w:t>Lactate dehydrogenase assay (LDH), electronic microscopy analysis, collagen I production, flow cytometry lysosome compartment evaluation, and western blotting light chain 3 (microtubule-associated protein 1A/1B-LC3) expression were performed.</w:t>
                </w:r>
              </w:p>
            </w:tc>
            <w:tc>
              <w:tcPr>
                <w:tcW w:w="4795" w:type="dxa"/>
              </w:tcPr>
              <w:p w14:paraId="652E6391" w14:textId="4543C9CF" w:rsidR="00FA2CBA" w:rsidRPr="00EE147E" w:rsidRDefault="00FA2CBA" w:rsidP="00FA2CBA">
                <w:pPr>
                  <w:pStyle w:val="TableText"/>
                  <w:keepNext/>
                  <w:cnfStyle w:val="000000100000" w:firstRow="0" w:lastRow="0" w:firstColumn="0" w:lastColumn="0" w:oddVBand="0" w:evenVBand="0" w:oddHBand="1" w:evenHBand="0" w:firstRowFirstColumn="0" w:firstRowLastColumn="0" w:lastRowFirstColumn="0" w:lastRowLastColumn="0"/>
                  <w:rPr>
                    <w:sz w:val="16"/>
                    <w:szCs w:val="16"/>
                  </w:rPr>
                </w:pPr>
                <w:r w:rsidRPr="00EE147E">
                  <w:rPr>
                    <w:sz w:val="16"/>
                    <w:szCs w:val="16"/>
                  </w:rPr>
                  <w:t>Nicotine exposure led to increased large vacuoles in the cytoplasm, empty vacuoles, mitochondria which were indistinguishable, large, disassembled RERs and "a heavily-dilated reticulum disposed at the periphery".</w:t>
                </w:r>
                <w:r w:rsidR="008146F9">
                  <w:rPr>
                    <w:sz w:val="16"/>
                    <w:szCs w:val="16"/>
                  </w:rPr>
                  <w:t xml:space="preserve"> </w:t>
                </w:r>
                <w:r w:rsidRPr="00EE147E">
                  <w:rPr>
                    <w:sz w:val="16"/>
                    <w:szCs w:val="16"/>
                  </w:rPr>
                  <w:t xml:space="preserve">However without nicotine, cells appeared the same as without any liquids at all. </w:t>
                </w:r>
              </w:p>
              <w:p w14:paraId="3FAEA032" w14:textId="77777777" w:rsidR="00FA2CBA" w:rsidRPr="00EE147E" w:rsidRDefault="00FA2CBA" w:rsidP="00FA2CBA">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EE147E">
                  <w:rPr>
                    <w:sz w:val="16"/>
                    <w:szCs w:val="16"/>
                  </w:rPr>
                  <w:t>Reduced collagen expression and release in nicotine-treated cells but not in those exposed to nicotine-free fluid. “Nicotine-containing fluids exert a considerable toxicity as attested by transmission electron microscopy, lactate dehydrogenase assay, and collagen reduced release, whereas nicotine-free fluid treated cells seem to be able to counteract cytotoxicity by activation of the lysosome compartment.”</w:t>
                </w:r>
              </w:p>
            </w:tc>
            <w:tc>
              <w:tcPr>
                <w:tcW w:w="2551" w:type="dxa"/>
              </w:tcPr>
              <w:p w14:paraId="294474EF" w14:textId="77777777" w:rsidR="00FA2CBA" w:rsidRPr="00EE147E" w:rsidRDefault="00FA2CBA" w:rsidP="00FA2CBA">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EE147E">
                  <w:rPr>
                    <w:sz w:val="16"/>
                    <w:szCs w:val="16"/>
                  </w:rPr>
                  <w:t>"EC fluids (with and without nicotine) trigger molecular and morphologic responses in oral fibroblasts, raising concerns about their role in the pathogenesis of oral diseases." "ECs fluids, especially those containing nicotine, exert cytotoxicity on human gingival fibroblasts and consequently play a role in the pathogenesis of oral diseases, such as periodontitis."</w:t>
                </w:r>
              </w:p>
            </w:tc>
          </w:tr>
          <w:tr w:rsidR="00FA2CBA" w:rsidRPr="00EE147E" w14:paraId="3CB724A3" w14:textId="77777777" w:rsidTr="00A52CF8">
            <w:tc>
              <w:tcPr>
                <w:cnfStyle w:val="001000000000" w:firstRow="0" w:lastRow="0" w:firstColumn="1" w:lastColumn="0" w:oddVBand="0" w:evenVBand="0" w:oddHBand="0" w:evenHBand="0" w:firstRowFirstColumn="0" w:firstRowLastColumn="0" w:lastRowFirstColumn="0" w:lastRowLastColumn="0"/>
                <w:tcW w:w="1107" w:type="dxa"/>
              </w:tcPr>
              <w:p w14:paraId="2DA78D25" w14:textId="77777777" w:rsidR="00FA2CBA" w:rsidRPr="00EE147E" w:rsidRDefault="00FA2CBA" w:rsidP="00FA2CBA">
                <w:pPr>
                  <w:spacing w:after="0"/>
                  <w:rPr>
                    <w:sz w:val="16"/>
                    <w:szCs w:val="16"/>
                  </w:rPr>
                </w:pPr>
                <w:r w:rsidRPr="00EE147E">
                  <w:rPr>
                    <w:rFonts w:eastAsia="Times New Roman" w:cs="Calibri"/>
                    <w:sz w:val="16"/>
                    <w:szCs w:val="16"/>
                  </w:rPr>
                  <w:t>Solleti 2017</w:t>
                </w:r>
              </w:p>
            </w:tc>
            <w:tc>
              <w:tcPr>
                <w:tcW w:w="1356" w:type="dxa"/>
              </w:tcPr>
              <w:p w14:paraId="0FDE834F" w14:textId="7045D957" w:rsidR="00FA2CBA" w:rsidRPr="00EE147E" w:rsidRDefault="00FA2CBA" w:rsidP="00FA2CBA">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EE147E">
                  <w:rPr>
                    <w:rFonts w:eastAsia="Times New Roman" w:cs="Calibri"/>
                    <w:sz w:val="16"/>
                    <w:szCs w:val="16"/>
                  </w:rPr>
                  <w:t>To study the global effects of EC on the micro RNA (miRNA) transcriptome in human lung epithelial cells</w:t>
                </w:r>
                <w:r w:rsidR="00727A2A">
                  <w:rPr>
                    <w:rFonts w:eastAsia="Times New Roman" w:cs="Calibri"/>
                    <w:sz w:val="16"/>
                    <w:szCs w:val="16"/>
                  </w:rPr>
                  <w:t>.</w:t>
                </w:r>
              </w:p>
            </w:tc>
            <w:tc>
              <w:tcPr>
                <w:tcW w:w="740" w:type="dxa"/>
              </w:tcPr>
              <w:p w14:paraId="66603062" w14:textId="77777777" w:rsidR="00FA2CBA" w:rsidRPr="00EE147E" w:rsidRDefault="00FA2CBA" w:rsidP="00FA2CBA">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EE147E">
                  <w:rPr>
                    <w:rFonts w:eastAsia="Times New Roman" w:cs="Calibri"/>
                    <w:sz w:val="16"/>
                    <w:szCs w:val="16"/>
                  </w:rPr>
                  <w:t>Human</w:t>
                </w:r>
              </w:p>
            </w:tc>
            <w:tc>
              <w:tcPr>
                <w:tcW w:w="961" w:type="dxa"/>
              </w:tcPr>
              <w:p w14:paraId="132D12C5" w14:textId="77777777" w:rsidR="00FA2CBA" w:rsidRPr="00EE147E" w:rsidRDefault="00FA2CBA" w:rsidP="00FA2CBA">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EE147E">
                  <w:rPr>
                    <w:rFonts w:eastAsia="Times New Roman" w:cs="Calibri"/>
                    <w:sz w:val="16"/>
                    <w:szCs w:val="16"/>
                  </w:rPr>
                  <w:t>No exposure</w:t>
                </w:r>
              </w:p>
            </w:tc>
            <w:tc>
              <w:tcPr>
                <w:tcW w:w="1134" w:type="dxa"/>
              </w:tcPr>
              <w:p w14:paraId="4335CA03" w14:textId="6B0C2262" w:rsidR="00FA2CBA" w:rsidRPr="00EE147E" w:rsidRDefault="00FA2CBA" w:rsidP="00FA2CBA">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EE147E">
                  <w:rPr>
                    <w:rFonts w:eastAsia="Times New Roman" w:cs="Calibri"/>
                    <w:sz w:val="16"/>
                    <w:szCs w:val="16"/>
                  </w:rPr>
                  <w:t>EC liquids, vapours and condensate ± nicotine OR CIG smoke condensate</w:t>
                </w:r>
                <w:r w:rsidR="00727A2A">
                  <w:rPr>
                    <w:rFonts w:eastAsia="Times New Roman" w:cs="Calibri"/>
                    <w:sz w:val="16"/>
                    <w:szCs w:val="16"/>
                  </w:rPr>
                  <w:t>.</w:t>
                </w:r>
              </w:p>
            </w:tc>
            <w:tc>
              <w:tcPr>
                <w:tcW w:w="993" w:type="dxa"/>
              </w:tcPr>
              <w:p w14:paraId="0193A2A5" w14:textId="77777777" w:rsidR="00FA2CBA" w:rsidRPr="00EE147E" w:rsidRDefault="00FA2CBA" w:rsidP="00FA2CBA">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EE147E">
                  <w:rPr>
                    <w:rFonts w:eastAsia="Times New Roman" w:cs="Calibri"/>
                    <w:sz w:val="16"/>
                    <w:szCs w:val="16"/>
                  </w:rPr>
                  <w:t>Lung epithelial cells.</w:t>
                </w:r>
              </w:p>
            </w:tc>
            <w:tc>
              <w:tcPr>
                <w:tcW w:w="1559" w:type="dxa"/>
              </w:tcPr>
              <w:p w14:paraId="17D34758" w14:textId="77777777" w:rsidR="00FA2CBA" w:rsidRPr="00EE147E" w:rsidRDefault="00FA2CBA" w:rsidP="00FA2CBA">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EE147E">
                  <w:rPr>
                    <w:rFonts w:eastAsia="Times New Roman" w:cs="Calibri"/>
                    <w:sz w:val="16"/>
                    <w:szCs w:val="16"/>
                  </w:rPr>
                  <w:t>Isolated RNA and conducted microRNA sequencing.</w:t>
                </w:r>
              </w:p>
            </w:tc>
            <w:tc>
              <w:tcPr>
                <w:tcW w:w="4795" w:type="dxa"/>
              </w:tcPr>
              <w:p w14:paraId="1F64C5AD" w14:textId="77777777" w:rsidR="00FA2CBA" w:rsidRPr="00EE147E" w:rsidRDefault="00FA2CBA" w:rsidP="00FA2CBA">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EE147E">
                  <w:rPr>
                    <w:rFonts w:eastAsia="Times New Roman" w:cs="Calibri"/>
                    <w:sz w:val="16"/>
                    <w:szCs w:val="16"/>
                  </w:rPr>
                  <w:t xml:space="preserve">Exposure of any EC experimental condition did not induce cell death. EC liquid exposure led to oxidative stress response. EC liquid or vapour ± nicotine increased expression of four genes. CIG smoke increased expression of three genes. Nicotine-containing EC vapour elicited the highest oxidative response. </w:t>
                </w:r>
                <w:r w:rsidRPr="00EE147E">
                  <w:rPr>
                    <w:rFonts w:eastAsia="Times New Roman" w:cs="Calibri"/>
                    <w:sz w:val="16"/>
                    <w:szCs w:val="16"/>
                  </w:rPr>
                  <w:br/>
                  <w:t xml:space="preserve">578 microRNA were expressed differently after EC liquid exposure. After EC liquid exposure, MIR26A-2-3P, MIR126-5P, MIR140-5P, MIR29A-5P, MIR374A-3P and MIR147B all had increased expression. MIR126-5P expression increased after CIG smoke exposure but it was not significant. </w:t>
                </w:r>
              </w:p>
            </w:tc>
            <w:tc>
              <w:tcPr>
                <w:tcW w:w="2551" w:type="dxa"/>
              </w:tcPr>
              <w:p w14:paraId="7800407E" w14:textId="54A1E05E" w:rsidR="00FA2CBA" w:rsidRPr="00EE147E" w:rsidRDefault="00FA2CBA" w:rsidP="00FA2CBA">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EE147E">
                  <w:rPr>
                    <w:rFonts w:eastAsia="Times New Roman" w:cs="Calibri"/>
                    <w:sz w:val="16"/>
                    <w:szCs w:val="16"/>
                  </w:rPr>
                  <w:t>"These data demonstrated that e</w:t>
                </w:r>
                <w:r w:rsidR="00832A38">
                  <w:rPr>
                    <w:rFonts w:eastAsia="Times New Roman" w:cs="Calibri"/>
                    <w:sz w:val="16"/>
                    <w:szCs w:val="16"/>
                  </w:rPr>
                  <w:noBreakHyphen/>
                </w:r>
                <w:r w:rsidRPr="00EE147E">
                  <w:rPr>
                    <w:rFonts w:eastAsia="Times New Roman" w:cs="Calibri"/>
                    <w:sz w:val="16"/>
                    <w:szCs w:val="16"/>
                  </w:rPr>
                  <w:t>cigarette exposure has profound effects upon gene expression in human lung epithelial cells, some of which are epigenetically programmed at the level of miRNA regulation."</w:t>
                </w:r>
              </w:p>
            </w:tc>
          </w:tr>
          <w:tr w:rsidR="00FA2CBA" w:rsidRPr="00EE147E" w14:paraId="60D912CE" w14:textId="77777777" w:rsidTr="00A52C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7" w:type="dxa"/>
              </w:tcPr>
              <w:p w14:paraId="59055103" w14:textId="77777777" w:rsidR="00FA2CBA" w:rsidRPr="00EE147E" w:rsidRDefault="00FA2CBA" w:rsidP="00FA2CBA">
                <w:pPr>
                  <w:spacing w:after="0"/>
                  <w:rPr>
                    <w:sz w:val="16"/>
                    <w:szCs w:val="16"/>
                  </w:rPr>
                </w:pPr>
                <w:r w:rsidRPr="00EE147E">
                  <w:rPr>
                    <w:rFonts w:eastAsia="Times New Roman" w:cs="Calibri"/>
                    <w:sz w:val="16"/>
                    <w:szCs w:val="16"/>
                  </w:rPr>
                  <w:t>Taylor 2017</w:t>
                </w:r>
              </w:p>
            </w:tc>
            <w:tc>
              <w:tcPr>
                <w:tcW w:w="1356" w:type="dxa"/>
              </w:tcPr>
              <w:p w14:paraId="3C01CB17" w14:textId="77777777" w:rsidR="00FA2CBA" w:rsidRPr="00EE147E" w:rsidRDefault="00FA2CBA" w:rsidP="00FA2CBA">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EE147E">
                  <w:rPr>
                    <w:rFonts w:cs="Calibri"/>
                    <w:sz w:val="16"/>
                    <w:szCs w:val="16"/>
                  </w:rPr>
                  <w:t xml:space="preserve">To compare the effects of two commercial EC </w:t>
                </w:r>
                <w:r w:rsidRPr="00EE147E">
                  <w:rPr>
                    <w:rFonts w:cs="Calibri"/>
                    <w:sz w:val="16"/>
                    <w:szCs w:val="16"/>
                  </w:rPr>
                  <w:lastRenderedPageBreak/>
                  <w:t>products (Vype ePen &amp; Vype eStick) and a scientific reference CIG (3R4F) on endothelial migration in vitro.</w:t>
                </w:r>
              </w:p>
            </w:tc>
            <w:tc>
              <w:tcPr>
                <w:tcW w:w="740" w:type="dxa"/>
              </w:tcPr>
              <w:p w14:paraId="2BD8F385" w14:textId="77777777" w:rsidR="00FA2CBA" w:rsidRPr="00EE147E" w:rsidRDefault="00FA2CBA" w:rsidP="00FA2CBA">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EE147E">
                  <w:rPr>
                    <w:rFonts w:cs="Calibri"/>
                    <w:sz w:val="16"/>
                    <w:szCs w:val="16"/>
                  </w:rPr>
                  <w:lastRenderedPageBreak/>
                  <w:t>Human</w:t>
                </w:r>
              </w:p>
            </w:tc>
            <w:tc>
              <w:tcPr>
                <w:tcW w:w="961" w:type="dxa"/>
              </w:tcPr>
              <w:p w14:paraId="3D02F7B4" w14:textId="2E100A77" w:rsidR="00FA2CBA" w:rsidRPr="00EE147E" w:rsidRDefault="00FA2CBA" w:rsidP="00FA2CBA">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EE147E">
                  <w:rPr>
                    <w:rFonts w:cs="Calibri"/>
                    <w:sz w:val="16"/>
                    <w:szCs w:val="16"/>
                  </w:rPr>
                  <w:t>CIG aqueous extract</w:t>
                </w:r>
                <w:r w:rsidR="00727A2A">
                  <w:rPr>
                    <w:rFonts w:cs="Calibri"/>
                    <w:sz w:val="16"/>
                    <w:szCs w:val="16"/>
                  </w:rPr>
                  <w:t>.</w:t>
                </w:r>
              </w:p>
            </w:tc>
            <w:tc>
              <w:tcPr>
                <w:tcW w:w="1134" w:type="dxa"/>
              </w:tcPr>
              <w:p w14:paraId="35E58BAF" w14:textId="516C7A44" w:rsidR="00FA2CBA" w:rsidRPr="00EE147E" w:rsidRDefault="00FA2CBA" w:rsidP="00FA2CBA">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EE147E">
                  <w:rPr>
                    <w:rFonts w:cs="Calibri"/>
                    <w:sz w:val="16"/>
                    <w:szCs w:val="16"/>
                  </w:rPr>
                  <w:t xml:space="preserve">'Blended tobacco' flavoured EC </w:t>
                </w:r>
                <w:r w:rsidRPr="00EE147E">
                  <w:rPr>
                    <w:rFonts w:cs="Calibri"/>
                    <w:sz w:val="16"/>
                    <w:szCs w:val="16"/>
                  </w:rPr>
                  <w:lastRenderedPageBreak/>
                  <w:t>vapour extracts + nicotine</w:t>
                </w:r>
                <w:r w:rsidR="00727A2A">
                  <w:rPr>
                    <w:rFonts w:cs="Calibri"/>
                    <w:sz w:val="16"/>
                    <w:szCs w:val="16"/>
                  </w:rPr>
                  <w:t>.</w:t>
                </w:r>
              </w:p>
            </w:tc>
            <w:tc>
              <w:tcPr>
                <w:tcW w:w="993" w:type="dxa"/>
              </w:tcPr>
              <w:p w14:paraId="422C8381" w14:textId="7422E5B3" w:rsidR="00FA2CBA" w:rsidRPr="00EE147E" w:rsidRDefault="00FA2CBA" w:rsidP="00FA2CBA">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EE147E">
                  <w:rPr>
                    <w:rFonts w:cs="Calibri"/>
                    <w:sz w:val="16"/>
                    <w:szCs w:val="16"/>
                  </w:rPr>
                  <w:lastRenderedPageBreak/>
                  <w:t xml:space="preserve">Endothelial cells, from </w:t>
                </w:r>
                <w:r w:rsidRPr="00EE147E">
                  <w:rPr>
                    <w:rFonts w:cs="Calibri"/>
                    <w:sz w:val="16"/>
                    <w:szCs w:val="16"/>
                  </w:rPr>
                  <w:lastRenderedPageBreak/>
                  <w:t>umbilical vein</w:t>
                </w:r>
                <w:r w:rsidR="00727A2A">
                  <w:rPr>
                    <w:rFonts w:cs="Calibri"/>
                    <w:sz w:val="16"/>
                    <w:szCs w:val="16"/>
                  </w:rPr>
                  <w:t>.</w:t>
                </w:r>
              </w:p>
            </w:tc>
            <w:tc>
              <w:tcPr>
                <w:tcW w:w="1559" w:type="dxa"/>
              </w:tcPr>
              <w:p w14:paraId="40BDB7EA" w14:textId="1461DB7D" w:rsidR="00FA2CBA" w:rsidRPr="00EE147E" w:rsidRDefault="00FA2CBA" w:rsidP="00FA2CBA">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EE147E">
                  <w:rPr>
                    <w:rFonts w:cs="Calibri"/>
                    <w:sz w:val="16"/>
                    <w:szCs w:val="16"/>
                  </w:rPr>
                  <w:lastRenderedPageBreak/>
                  <w:t xml:space="preserve">Used a 'scratch wound' assay to determine </w:t>
                </w:r>
                <w:r w:rsidRPr="00EE147E">
                  <w:rPr>
                    <w:rFonts w:cs="Calibri"/>
                    <w:sz w:val="16"/>
                    <w:szCs w:val="16"/>
                  </w:rPr>
                  <w:lastRenderedPageBreak/>
                  <w:t>endothelial cell migration</w:t>
                </w:r>
                <w:r w:rsidR="00727A2A">
                  <w:rPr>
                    <w:rFonts w:cs="Calibri"/>
                    <w:sz w:val="16"/>
                    <w:szCs w:val="16"/>
                  </w:rPr>
                  <w:t>.</w:t>
                </w:r>
              </w:p>
            </w:tc>
            <w:tc>
              <w:tcPr>
                <w:tcW w:w="4795" w:type="dxa"/>
              </w:tcPr>
              <w:p w14:paraId="494573DC" w14:textId="77777777" w:rsidR="00FA2CBA" w:rsidRPr="00EE147E" w:rsidRDefault="00FA2CBA" w:rsidP="00FA2CBA">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EE147E">
                  <w:rPr>
                    <w:rFonts w:cs="Calibri"/>
                    <w:sz w:val="16"/>
                    <w:szCs w:val="16"/>
                  </w:rPr>
                  <w:lastRenderedPageBreak/>
                  <w:t xml:space="preserve">CIGs led to dose-dependent endothelial migration (with complete inhibition at doses &gt;20%). EC did not influence endothelial migration at any dose (up to 100% - equivalent to 30% for CIG extract). </w:t>
                </w:r>
              </w:p>
            </w:tc>
            <w:tc>
              <w:tcPr>
                <w:tcW w:w="2551" w:type="dxa"/>
              </w:tcPr>
              <w:p w14:paraId="087A8F53" w14:textId="77777777" w:rsidR="00FA2CBA" w:rsidRPr="00EE147E" w:rsidRDefault="00FA2CBA" w:rsidP="00FA2CBA">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EE147E">
                  <w:rPr>
                    <w:sz w:val="16"/>
                    <w:szCs w:val="16"/>
                  </w:rPr>
                  <w:t xml:space="preserve">"Our data demonstrate that ECs do not induce the inhibition of endothelial cell migration in vitro </w:t>
                </w:r>
                <w:r w:rsidRPr="00EE147E">
                  <w:rPr>
                    <w:sz w:val="16"/>
                    <w:szCs w:val="16"/>
                  </w:rPr>
                  <w:lastRenderedPageBreak/>
                  <w:t>when compared to 3R4F [The scientific CIG reference]."</w:t>
                </w:r>
              </w:p>
            </w:tc>
          </w:tr>
          <w:tr w:rsidR="00FA2CBA" w:rsidRPr="00EE147E" w14:paraId="04A9C8B8" w14:textId="77777777" w:rsidTr="00A52CF8">
            <w:tc>
              <w:tcPr>
                <w:cnfStyle w:val="001000000000" w:firstRow="0" w:lastRow="0" w:firstColumn="1" w:lastColumn="0" w:oddVBand="0" w:evenVBand="0" w:oddHBand="0" w:evenHBand="0" w:firstRowFirstColumn="0" w:firstRowLastColumn="0" w:lastRowFirstColumn="0" w:lastRowLastColumn="0"/>
                <w:tcW w:w="1107" w:type="dxa"/>
              </w:tcPr>
              <w:p w14:paraId="02B356C3" w14:textId="77777777" w:rsidR="00FA2CBA" w:rsidRPr="00EE147E" w:rsidRDefault="00FA2CBA" w:rsidP="00FA2CBA">
                <w:pPr>
                  <w:spacing w:after="0"/>
                  <w:rPr>
                    <w:sz w:val="16"/>
                    <w:szCs w:val="16"/>
                  </w:rPr>
                </w:pPr>
                <w:r w:rsidRPr="00EE147E">
                  <w:rPr>
                    <w:rFonts w:eastAsia="Times New Roman" w:cs="Calibri"/>
                    <w:sz w:val="16"/>
                    <w:szCs w:val="16"/>
                  </w:rPr>
                  <w:lastRenderedPageBreak/>
                  <w:t>Tommasi 2017</w:t>
                </w:r>
              </w:p>
            </w:tc>
            <w:tc>
              <w:tcPr>
                <w:tcW w:w="1356" w:type="dxa"/>
              </w:tcPr>
              <w:p w14:paraId="351415DC" w14:textId="77777777" w:rsidR="00FA2CBA" w:rsidRPr="00EE147E" w:rsidRDefault="00FA2CBA" w:rsidP="00FA2CBA">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EE147E">
                  <w:rPr>
                    <w:rFonts w:eastAsia="Times New Roman" w:cs="Calibri"/>
                    <w:sz w:val="16"/>
                    <w:szCs w:val="16"/>
                  </w:rPr>
                  <w:t xml:space="preserve">To investigate whether e-cig vapour induces mutation in mouse or human cells. </w:t>
                </w:r>
              </w:p>
            </w:tc>
            <w:tc>
              <w:tcPr>
                <w:tcW w:w="740" w:type="dxa"/>
              </w:tcPr>
              <w:p w14:paraId="5E977A68" w14:textId="2E69C590" w:rsidR="00FA2CBA" w:rsidRPr="00EE147E" w:rsidRDefault="00FA2CBA" w:rsidP="00FA2CBA">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EE147E">
                  <w:rPr>
                    <w:rFonts w:eastAsia="Times New Roman" w:cs="Calibri"/>
                    <w:sz w:val="16"/>
                    <w:szCs w:val="16"/>
                  </w:rPr>
                  <w:t>Mouse or human cells</w:t>
                </w:r>
                <w:r w:rsidR="00727A2A">
                  <w:rPr>
                    <w:rFonts w:eastAsia="Times New Roman" w:cs="Calibri"/>
                    <w:sz w:val="16"/>
                    <w:szCs w:val="16"/>
                  </w:rPr>
                  <w:t>.</w:t>
                </w:r>
              </w:p>
            </w:tc>
            <w:tc>
              <w:tcPr>
                <w:tcW w:w="961" w:type="dxa"/>
              </w:tcPr>
              <w:p w14:paraId="743FBE52" w14:textId="499B5323" w:rsidR="00FA2CBA" w:rsidRPr="00EE147E" w:rsidRDefault="00FA2CBA" w:rsidP="00FA2CBA">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EE147E">
                  <w:rPr>
                    <w:rFonts w:eastAsia="Times New Roman" w:cs="Calibri"/>
                    <w:sz w:val="16"/>
                    <w:szCs w:val="16"/>
                  </w:rPr>
                  <w:t>Dimethylsulfoxide, tobacco carcinogens (mouse ctrl), UV-irradiated plasmid (human ctrl)</w:t>
                </w:r>
                <w:r w:rsidR="00727A2A">
                  <w:rPr>
                    <w:rFonts w:eastAsia="Times New Roman" w:cs="Calibri"/>
                    <w:sz w:val="16"/>
                    <w:szCs w:val="16"/>
                  </w:rPr>
                  <w:t>.</w:t>
                </w:r>
              </w:p>
            </w:tc>
            <w:tc>
              <w:tcPr>
                <w:tcW w:w="1134" w:type="dxa"/>
              </w:tcPr>
              <w:p w14:paraId="4C754820" w14:textId="372D1437" w:rsidR="00FA2CBA" w:rsidRPr="00EE147E" w:rsidRDefault="00FA2CBA" w:rsidP="00FA2CBA">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EE147E">
                  <w:rPr>
                    <w:rFonts w:eastAsia="Times New Roman" w:cs="Calibri"/>
                    <w:sz w:val="16"/>
                    <w:szCs w:val="16"/>
                  </w:rPr>
                  <w:t>Three EC vapour extracts dissolved in dimethylsulfoxide</w:t>
                </w:r>
                <w:r w:rsidR="00727A2A">
                  <w:rPr>
                    <w:rFonts w:eastAsia="Times New Roman" w:cs="Calibri"/>
                    <w:sz w:val="16"/>
                    <w:szCs w:val="16"/>
                  </w:rPr>
                  <w:t>.</w:t>
                </w:r>
              </w:p>
            </w:tc>
            <w:tc>
              <w:tcPr>
                <w:tcW w:w="993" w:type="dxa"/>
              </w:tcPr>
              <w:p w14:paraId="4A5CC2AD" w14:textId="77777777" w:rsidR="00FA2CBA" w:rsidRPr="00EE147E" w:rsidRDefault="00FA2CBA" w:rsidP="00FA2CBA">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EE147E">
                  <w:rPr>
                    <w:rFonts w:eastAsia="Times New Roman" w:cs="Calibri"/>
                    <w:sz w:val="16"/>
                    <w:szCs w:val="16"/>
                  </w:rPr>
                  <w:t>Fibroblasts (mice),</w:t>
                </w:r>
                <w:r w:rsidRPr="00EE147E">
                  <w:rPr>
                    <w:rFonts w:eastAsia="Times New Roman" w:cs="Calibri"/>
                    <w:sz w:val="16"/>
                    <w:szCs w:val="16"/>
                  </w:rPr>
                  <w:br/>
                  <w:t>pSP189 plasmid (humans).</w:t>
                </w:r>
              </w:p>
            </w:tc>
            <w:tc>
              <w:tcPr>
                <w:tcW w:w="1559" w:type="dxa"/>
              </w:tcPr>
              <w:p w14:paraId="63A53286" w14:textId="77777777" w:rsidR="00FA2CBA" w:rsidRPr="00EE147E" w:rsidRDefault="00FA2CBA" w:rsidP="00FA2CBA">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EE147E">
                  <w:rPr>
                    <w:rFonts w:eastAsia="Times New Roman" w:cs="Calibri"/>
                    <w:sz w:val="16"/>
                    <w:szCs w:val="16"/>
                  </w:rPr>
                  <w:t xml:space="preserve">Determined the induction of mutagenesis in a reporter gene (cII transgene) in mice cells. </w:t>
                </w:r>
                <w:r w:rsidRPr="00EE147E">
                  <w:rPr>
                    <w:rFonts w:eastAsia="Times New Roman" w:cs="Calibri"/>
                    <w:sz w:val="16"/>
                    <w:szCs w:val="16"/>
                  </w:rPr>
                  <w:br/>
                  <w:t>Screened for induced mutations in the supF gene in human cells.</w:t>
                </w:r>
              </w:p>
            </w:tc>
            <w:tc>
              <w:tcPr>
                <w:tcW w:w="4795" w:type="dxa"/>
              </w:tcPr>
              <w:p w14:paraId="53902A0D" w14:textId="77777777" w:rsidR="00FA2CBA" w:rsidRPr="00EE147E" w:rsidRDefault="00FA2CBA" w:rsidP="00FA2CBA">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EE147E">
                  <w:rPr>
                    <w:rFonts w:eastAsia="Times New Roman" w:cs="Calibri"/>
                    <w:sz w:val="16"/>
                    <w:szCs w:val="16"/>
                  </w:rPr>
                  <w:t xml:space="preserve">Tested cytotoxicity after mouse fibroblasts were exposed to varying concentrations of EC extracts and found no significant differences with ctrl. Exposure to tobacco carcinogens (benzoαpyrene and 4-aminobiphenyl led to increased CII mutant frequency, indicating mutation. </w:t>
                </w:r>
                <w:r w:rsidRPr="00EE147E">
                  <w:rPr>
                    <w:rFonts w:eastAsia="Times New Roman" w:cs="Calibri"/>
                    <w:sz w:val="16"/>
                    <w:szCs w:val="16"/>
                  </w:rPr>
                  <w:br/>
                  <w:t xml:space="preserve">ECs did not increase mutation frequency (supF) in human cells but exposure to UV-irradiation did. </w:t>
                </w:r>
              </w:p>
            </w:tc>
            <w:tc>
              <w:tcPr>
                <w:tcW w:w="2551" w:type="dxa"/>
              </w:tcPr>
              <w:p w14:paraId="5CAA19B9" w14:textId="71C13E86" w:rsidR="00FA2CBA" w:rsidRPr="00EE147E" w:rsidRDefault="00FA2CBA" w:rsidP="00FA2CBA">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EE147E">
                  <w:rPr>
                    <w:rFonts w:eastAsia="Times New Roman" w:cs="Calibri"/>
                    <w:sz w:val="16"/>
                    <w:szCs w:val="16"/>
                  </w:rPr>
                  <w:t>"Our data indicate that e-cig</w:t>
                </w:r>
                <w:r w:rsidR="004C634C">
                  <w:rPr>
                    <w:rFonts w:eastAsia="Times New Roman" w:cs="Calibri"/>
                    <w:sz w:val="16"/>
                    <w:szCs w:val="16"/>
                  </w:rPr>
                  <w:t>arette</w:t>
                </w:r>
                <w:r w:rsidRPr="00EE147E">
                  <w:rPr>
                    <w:rFonts w:eastAsia="Times New Roman" w:cs="Calibri"/>
                    <w:sz w:val="16"/>
                    <w:szCs w:val="16"/>
                  </w:rPr>
                  <w:t xml:space="preserve"> vapour extracts from the selected brands and at concentrations tested in this study have limited mutagenicity in both mouse and human cells in vitro."</w:t>
                </w:r>
              </w:p>
            </w:tc>
          </w:tr>
          <w:tr w:rsidR="00FA2CBA" w:rsidRPr="00EE147E" w14:paraId="7DE7923E" w14:textId="77777777" w:rsidTr="00A52C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7" w:type="dxa"/>
              </w:tcPr>
              <w:p w14:paraId="0085EDA6" w14:textId="77777777" w:rsidR="00FA2CBA" w:rsidRPr="00EE147E" w:rsidRDefault="00FA2CBA" w:rsidP="00FA2CBA">
                <w:pPr>
                  <w:spacing w:after="0"/>
                  <w:rPr>
                    <w:sz w:val="16"/>
                    <w:szCs w:val="16"/>
                  </w:rPr>
                </w:pPr>
                <w:r w:rsidRPr="00EE147E">
                  <w:rPr>
                    <w:rFonts w:eastAsia="Times New Roman" w:cs="Calibri"/>
                    <w:sz w:val="16"/>
                    <w:szCs w:val="16"/>
                  </w:rPr>
                  <w:t>Ween 2017</w:t>
                </w:r>
              </w:p>
            </w:tc>
            <w:tc>
              <w:tcPr>
                <w:tcW w:w="1356" w:type="dxa"/>
              </w:tcPr>
              <w:p w14:paraId="2CFAB2A0" w14:textId="66D1525C" w:rsidR="00FA2CBA" w:rsidRPr="00EE147E" w:rsidRDefault="00FA2CBA" w:rsidP="00FA2CBA">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EE147E">
                  <w:rPr>
                    <w:rFonts w:eastAsia="Times New Roman" w:cs="Calibri"/>
                    <w:sz w:val="16"/>
                    <w:szCs w:val="16"/>
                  </w:rPr>
                  <w:t xml:space="preserve">To compare the effect EC of components; </w:t>
                </w:r>
                <w:r w:rsidR="00360355">
                  <w:rPr>
                    <w:rFonts w:eastAsia="Times New Roman" w:cs="Calibri"/>
                    <w:sz w:val="16"/>
                    <w:szCs w:val="16"/>
                  </w:rPr>
                  <w:t>e</w:t>
                </w:r>
                <w:r w:rsidR="00360355">
                  <w:rPr>
                    <w:rFonts w:eastAsia="Times New Roman" w:cs="Calibri"/>
                    <w:sz w:val="16"/>
                    <w:szCs w:val="16"/>
                  </w:rPr>
                  <w:noBreakHyphen/>
                </w:r>
                <w:r w:rsidRPr="00EE147E">
                  <w:rPr>
                    <w:rFonts w:eastAsia="Times New Roman" w:cs="Calibri"/>
                    <w:sz w:val="16"/>
                    <w:szCs w:val="16"/>
                  </w:rPr>
                  <w:t xml:space="preserve">liquid flavours, nicotine, VG, and PG on phagocytosis, proinflammatory cytokine secretion, and phagocytic recognition molecule expression using differentiated THP-1 macrophages. </w:t>
                </w:r>
              </w:p>
            </w:tc>
            <w:tc>
              <w:tcPr>
                <w:tcW w:w="740" w:type="dxa"/>
              </w:tcPr>
              <w:p w14:paraId="28A37C3E" w14:textId="77777777" w:rsidR="00FA2CBA" w:rsidRPr="00EE147E" w:rsidRDefault="00FA2CBA" w:rsidP="00FA2CBA">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EE147E">
                  <w:rPr>
                    <w:rFonts w:eastAsia="Times New Roman" w:cs="Calibri"/>
                    <w:sz w:val="16"/>
                    <w:szCs w:val="16"/>
                  </w:rPr>
                  <w:t>Human</w:t>
                </w:r>
              </w:p>
            </w:tc>
            <w:tc>
              <w:tcPr>
                <w:tcW w:w="961" w:type="dxa"/>
              </w:tcPr>
              <w:p w14:paraId="22E22CE1" w14:textId="5BC85739" w:rsidR="00FA2CBA" w:rsidRPr="00EE147E" w:rsidRDefault="00FA2CBA" w:rsidP="00FA2CBA">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EE147E">
                  <w:rPr>
                    <w:rFonts w:eastAsia="Times New Roman" w:cs="Calibri"/>
                    <w:sz w:val="16"/>
                    <w:szCs w:val="16"/>
                  </w:rPr>
                  <w:t>CIG smoke extract</w:t>
                </w:r>
                <w:r w:rsidR="00727A2A">
                  <w:rPr>
                    <w:rFonts w:eastAsia="Times New Roman" w:cs="Calibri"/>
                    <w:sz w:val="16"/>
                    <w:szCs w:val="16"/>
                  </w:rPr>
                  <w:t>.</w:t>
                </w:r>
              </w:p>
            </w:tc>
            <w:tc>
              <w:tcPr>
                <w:tcW w:w="1134" w:type="dxa"/>
              </w:tcPr>
              <w:p w14:paraId="59E08778" w14:textId="66E94609" w:rsidR="00FA2CBA" w:rsidRPr="00EE147E" w:rsidRDefault="00FA2CBA" w:rsidP="00FA2CBA">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EE147E">
                  <w:rPr>
                    <w:rFonts w:eastAsia="Times New Roman" w:cs="Calibri"/>
                    <w:sz w:val="16"/>
                    <w:szCs w:val="16"/>
                  </w:rPr>
                  <w:t>Three apple-flavoured ECs ± nicotine, nicotine + PG, PG, VG, PG/VG</w:t>
                </w:r>
                <w:r w:rsidR="00727A2A">
                  <w:rPr>
                    <w:rFonts w:eastAsia="Times New Roman" w:cs="Calibri"/>
                    <w:sz w:val="16"/>
                    <w:szCs w:val="16"/>
                  </w:rPr>
                  <w:t>.</w:t>
                </w:r>
              </w:p>
            </w:tc>
            <w:tc>
              <w:tcPr>
                <w:tcW w:w="993" w:type="dxa"/>
              </w:tcPr>
              <w:p w14:paraId="15B9F2FB" w14:textId="77777777" w:rsidR="00FA2CBA" w:rsidRPr="00EE147E" w:rsidRDefault="00FA2CBA" w:rsidP="00FA2CBA">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EE147E">
                  <w:rPr>
                    <w:rFonts w:eastAsia="Times New Roman" w:cs="Calibri"/>
                    <w:sz w:val="16"/>
                    <w:szCs w:val="16"/>
                  </w:rPr>
                  <w:t>THP-1 macrophages (derived from leukaemia patients).</w:t>
                </w:r>
              </w:p>
            </w:tc>
            <w:tc>
              <w:tcPr>
                <w:tcW w:w="1559" w:type="dxa"/>
              </w:tcPr>
              <w:p w14:paraId="19AB4407" w14:textId="77777777" w:rsidR="00FA2CBA" w:rsidRPr="00EE147E" w:rsidRDefault="00FA2CBA" w:rsidP="00FA2CBA">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EE147E">
                  <w:rPr>
                    <w:rFonts w:eastAsia="Times New Roman" w:cs="Calibri"/>
                    <w:sz w:val="16"/>
                    <w:szCs w:val="16"/>
                  </w:rPr>
                  <w:t>Assessed phagocytosis, pro-inflammatory cytokine secretion, and phagocytic recognition molecule expression.</w:t>
                </w:r>
              </w:p>
            </w:tc>
            <w:tc>
              <w:tcPr>
                <w:tcW w:w="4795" w:type="dxa"/>
              </w:tcPr>
              <w:p w14:paraId="5A5D86E6" w14:textId="1A04405F" w:rsidR="00FA2CBA" w:rsidRPr="00EE147E" w:rsidRDefault="00FA2CBA" w:rsidP="00FA2CBA">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EE147E">
                  <w:rPr>
                    <w:rFonts w:eastAsia="Times New Roman" w:cs="Calibri"/>
                    <w:sz w:val="16"/>
                    <w:szCs w:val="16"/>
                  </w:rPr>
                  <w:t xml:space="preserve">None of the EC components tested elicited toxicity responses. </w:t>
                </w:r>
                <w:r w:rsidRPr="00EE147E">
                  <w:rPr>
                    <w:rFonts w:eastAsia="Times New Roman" w:cs="Calibri"/>
                    <w:sz w:val="16"/>
                    <w:szCs w:val="16"/>
                  </w:rPr>
                  <w:br/>
                  <w:t xml:space="preserve">Apple-flavoured EC (with and without nicotine) exposure and exposure to CIG smoke extracts led to decreased phagocytosis. PG, VG and PG/VG did not elicit a significant change in phagocytosis. EC vapour and pure nicotine reduced expression of the phagocytosis receptor, but PG, VG &amp; PG/VG did not. </w:t>
                </w:r>
                <w:r w:rsidRPr="00EE147E">
                  <w:rPr>
                    <w:rFonts w:eastAsia="Times New Roman" w:cs="Calibri"/>
                    <w:sz w:val="16"/>
                    <w:szCs w:val="16"/>
                  </w:rPr>
                  <w:br/>
                  <w:t>EC exposure, CIG smoke extract exposure and exposure to pure nicotine led to increased IL-8 secretion. PG, VG, PG/VG did not increase. After exposure to CIG smoke extract, nicotine and 2 out of 3 ECs IL-1β, MIP-1α, MIP-1β and TNFα all decreased. After exposure to all ECs, CIG smoke extract, nicotine IL-6, MCP-1 decreased. PG also decreased IL-1β, MIP-1α, TNFα. IP-10 only decreased after CIG extract exposure. IFNy, IL-10, and IL12p70 did not change after any exposure.</w:t>
                </w:r>
              </w:p>
            </w:tc>
            <w:tc>
              <w:tcPr>
                <w:tcW w:w="2551" w:type="dxa"/>
              </w:tcPr>
              <w:p w14:paraId="510D14E6" w14:textId="77777777" w:rsidR="00FA2CBA" w:rsidRPr="00EE147E" w:rsidRDefault="00FA2CBA" w:rsidP="00FA2CBA">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EE147E">
                  <w:rPr>
                    <w:rFonts w:eastAsia="Times New Roman" w:cs="Calibri"/>
                    <w:sz w:val="16"/>
                    <w:szCs w:val="16"/>
                  </w:rPr>
                  <w:t>"We conclude that ECs can cause macrophage phagocytic dysfunction, expression of phagocytic recognition receptors and cytokine secretion pathways."</w:t>
                </w:r>
              </w:p>
            </w:tc>
          </w:tr>
        </w:tbl>
        <w:p w14:paraId="37E25ACC" w14:textId="77777777" w:rsidR="00FA2CBA" w:rsidRDefault="00FA2CBA" w:rsidP="00FA2CBA">
          <w:pPr>
            <w:pStyle w:val="FigureTableSource"/>
            <w:keepNext/>
          </w:pPr>
          <w:r w:rsidRPr="00346DD2">
            <w:t>CIG: traditional tobacco cigarette;Cq1: complement component 1q; C3b; part of complement component 3; C4d: part of complement component 4; C5b-q: complement membrane attack complex; d: day; EC: e-cigarette; FOXJ1: Forkhead box protein J1 gene; GSH: glutathione; GSSG: glutathione disulphide; hr: hour; IL-6: Interleukin 6; IL-8: Interleukin 8; LDH: lactate dehydrogenase; MUC5AC: Mucin 5AC; nAChR: nicotinic acetylcholine receptors; NK: natural killer; PG: propylene glycol (e-cigarette liquid constituent); ROS: reactive oxygen species; VG: vegetable glycerine (e-cigarette liquid constituent).</w:t>
          </w:r>
        </w:p>
        <w:p w14:paraId="01C20AC5" w14:textId="77777777" w:rsidR="000F0E2F" w:rsidRPr="004E260E" w:rsidRDefault="004E260E" w:rsidP="004E260E">
          <w:pPr>
            <w:spacing w:after="0"/>
            <w:rPr>
              <w:sz w:val="24"/>
            </w:rPr>
            <w:sectPr w:rsidR="000F0E2F" w:rsidRPr="004E260E" w:rsidSect="000F0E2F">
              <w:pgSz w:w="16838" w:h="11906" w:orient="landscape" w:code="9"/>
              <w:pgMar w:top="1134" w:right="1134" w:bottom="1134" w:left="1134" w:header="510" w:footer="624" w:gutter="0"/>
              <w:cols w:space="850"/>
              <w:docGrid w:linePitch="360"/>
            </w:sectPr>
          </w:pPr>
          <w:r>
            <w:br w:type="page"/>
          </w:r>
        </w:p>
        <w:p w14:paraId="0C23E60F" w14:textId="302643FF" w:rsidR="006C3DCD" w:rsidRPr="008F64BD" w:rsidRDefault="00F0541B" w:rsidP="0013396C">
          <w:pPr>
            <w:pStyle w:val="PartTitle"/>
          </w:pPr>
          <w:bookmarkStart w:id="112" w:name="_Toc517706675"/>
          <w:bookmarkEnd w:id="0"/>
          <w:r>
            <w:lastRenderedPageBreak/>
            <w:t>PART</w:t>
          </w:r>
          <w:r w:rsidR="00E470FA">
            <w:t xml:space="preserve"> 2: </w:t>
          </w:r>
          <w:r w:rsidR="00946811">
            <w:t>Impact of e</w:t>
          </w:r>
          <w:r w:rsidR="0013396C">
            <w:noBreakHyphen/>
          </w:r>
          <w:r w:rsidR="00946811">
            <w:t>cigarettes and personal vaporisers</w:t>
          </w:r>
          <w:r w:rsidR="00946811" w:rsidRPr="008F64BD">
            <w:t xml:space="preserve"> </w:t>
          </w:r>
          <w:r w:rsidR="00946811">
            <w:t>on smoking tobacco</w:t>
          </w:r>
          <w:bookmarkEnd w:id="112"/>
          <w:r w:rsidR="008146F9">
            <w:t xml:space="preserve"> </w:t>
          </w:r>
        </w:p>
        <w:p w14:paraId="583D93A9" w14:textId="77777777" w:rsidR="006C3DCD" w:rsidRDefault="006C3DCD" w:rsidP="006C3DCD">
          <w:pPr>
            <w:pStyle w:val="BodyText"/>
          </w:pPr>
          <w:r>
            <w:br w:type="page"/>
          </w:r>
        </w:p>
      </w:sdtContent>
    </w:sdt>
    <w:p w14:paraId="4D568C6E" w14:textId="77777777" w:rsidR="00A943B2" w:rsidRDefault="00A943B2" w:rsidP="00D1044D">
      <w:pPr>
        <w:pStyle w:val="Heading1notnumbered"/>
      </w:pPr>
      <w:bookmarkStart w:id="113" w:name="_Toc315694430"/>
      <w:bookmarkStart w:id="114" w:name="_Toc515229949"/>
      <w:bookmarkStart w:id="115" w:name="_Toc517706676"/>
      <w:r>
        <w:lastRenderedPageBreak/>
        <w:t>Executive summary</w:t>
      </w:r>
      <w:bookmarkEnd w:id="113"/>
      <w:bookmarkEnd w:id="114"/>
      <w:bookmarkEnd w:id="115"/>
    </w:p>
    <w:p w14:paraId="0C5644E9" w14:textId="77777777" w:rsidR="00623BDD" w:rsidRDefault="005A4CED" w:rsidP="002A1D1F">
      <w:pPr>
        <w:pStyle w:val="Heading4"/>
      </w:pPr>
      <w:r>
        <w:t>Gateway Effect</w:t>
      </w:r>
      <w:r w:rsidR="00623BDD" w:rsidRPr="00A22530">
        <w:t xml:space="preserve"> </w:t>
      </w:r>
    </w:p>
    <w:p w14:paraId="649E562A" w14:textId="53E9B23E" w:rsidR="002D348A" w:rsidRPr="005A4CED" w:rsidRDefault="002D348A" w:rsidP="002D348A">
      <w:pPr>
        <w:pStyle w:val="BodyText"/>
      </w:pPr>
      <w:r>
        <w:t>The ‘gateway effect’ refers to use of e</w:t>
      </w:r>
      <w:r>
        <w:noBreakHyphen/>
        <w:t>cigarettes being a facilitator of the initiation of other harmful behaviours. It is possible that e</w:t>
      </w:r>
      <w:r>
        <w:noBreakHyphen/>
        <w:t>cigarette use and conventional cigarette use have common antecedents, or that e</w:t>
      </w:r>
      <w:r>
        <w:noBreakHyphen/>
        <w:t>cigarette use is a direct determinant of conventional cigarette use (i.e. is causative). Other pathways, and a mixture of pathways are also possible.</w:t>
      </w:r>
    </w:p>
    <w:p w14:paraId="295C79F4" w14:textId="77777777" w:rsidR="002D348A" w:rsidRDefault="002D348A" w:rsidP="002D348A">
      <w:pPr>
        <w:pStyle w:val="BodyTextWhite"/>
        <w:numPr>
          <w:ilvl w:val="0"/>
          <w:numId w:val="60"/>
        </w:numPr>
        <w:spacing w:before="0" w:after="0"/>
        <w:ind w:left="714" w:hanging="357"/>
        <w:rPr>
          <w:color w:val="auto"/>
        </w:rPr>
      </w:pPr>
      <w:r>
        <w:rPr>
          <w:color w:val="auto"/>
        </w:rPr>
        <w:t xml:space="preserve">Evidence for a strong </w:t>
      </w:r>
      <w:r w:rsidRPr="00DF7210">
        <w:rPr>
          <w:color w:val="auto"/>
        </w:rPr>
        <w:t>positive relationship between use of e</w:t>
      </w:r>
      <w:r>
        <w:rPr>
          <w:color w:val="auto"/>
        </w:rPr>
        <w:noBreakHyphen/>
      </w:r>
      <w:r w:rsidRPr="00DF7210">
        <w:rPr>
          <w:color w:val="auto"/>
        </w:rPr>
        <w:t>cigarettes and later cigarette smoking</w:t>
      </w:r>
      <w:r>
        <w:rPr>
          <w:color w:val="auto"/>
        </w:rPr>
        <w:t xml:space="preserve"> amongst youth continues to accumulate</w:t>
      </w:r>
      <w:r w:rsidRPr="00DF7210">
        <w:rPr>
          <w:color w:val="auto"/>
        </w:rPr>
        <w:t>.</w:t>
      </w:r>
      <w:r>
        <w:rPr>
          <w:color w:val="auto"/>
        </w:rPr>
        <w:t xml:space="preserve"> The evidence is consistent in observational studies and across different countries. </w:t>
      </w:r>
    </w:p>
    <w:p w14:paraId="5BBF404F" w14:textId="4767E896" w:rsidR="002D348A" w:rsidRDefault="002D348A" w:rsidP="002D348A">
      <w:pPr>
        <w:pStyle w:val="BodyTextWhite"/>
        <w:numPr>
          <w:ilvl w:val="0"/>
          <w:numId w:val="60"/>
        </w:numPr>
        <w:spacing w:before="0" w:after="0"/>
        <w:ind w:left="714" w:hanging="357"/>
        <w:rPr>
          <w:color w:val="auto"/>
        </w:rPr>
      </w:pPr>
      <w:r>
        <w:rPr>
          <w:color w:val="auto"/>
        </w:rPr>
        <w:t>A plausible biological pathway from use of e</w:t>
      </w:r>
      <w:r>
        <w:rPr>
          <w:color w:val="auto"/>
        </w:rPr>
        <w:noBreakHyphen/>
        <w:t>cigarettes to conventional cigarette smoking operates through developing addiction to nicotine. Use of e</w:t>
      </w:r>
      <w:r>
        <w:rPr>
          <w:color w:val="auto"/>
        </w:rPr>
        <w:noBreakHyphen/>
        <w:t>cigarettes with higher concentrations of nicotine is observed to have a stronger association to later conventional cigarette use.</w:t>
      </w:r>
    </w:p>
    <w:p w14:paraId="5312F927" w14:textId="7852AA31" w:rsidR="002D348A" w:rsidRDefault="002D348A" w:rsidP="002D348A">
      <w:pPr>
        <w:pStyle w:val="BodyTextWhite"/>
        <w:numPr>
          <w:ilvl w:val="0"/>
          <w:numId w:val="60"/>
        </w:numPr>
        <w:spacing w:before="0" w:after="0"/>
        <w:ind w:left="714" w:hanging="357"/>
        <w:rPr>
          <w:color w:val="auto"/>
        </w:rPr>
      </w:pPr>
      <w:r>
        <w:rPr>
          <w:color w:val="auto"/>
        </w:rPr>
        <w:t>A positive association is observed between initiation of conventional smoking following use of non</w:t>
      </w:r>
      <w:r>
        <w:rPr>
          <w:color w:val="auto"/>
        </w:rPr>
        <w:noBreakHyphen/>
        <w:t>nicotine e</w:t>
      </w:r>
      <w:r>
        <w:rPr>
          <w:color w:val="auto"/>
        </w:rPr>
        <w:noBreakHyphen/>
        <w:t>cigarettes (however much weaker than the association with nicotine containing e</w:t>
      </w:r>
      <w:r>
        <w:rPr>
          <w:color w:val="auto"/>
        </w:rPr>
        <w:noBreakHyphen/>
        <w:t>cigarettes). This highlights the possibility of other causal mechanisms besides the development of nicotine addiction.</w:t>
      </w:r>
    </w:p>
    <w:p w14:paraId="19ED40EF" w14:textId="77777777" w:rsidR="002D348A" w:rsidRDefault="002D348A" w:rsidP="002D348A">
      <w:pPr>
        <w:pStyle w:val="BodyTextWhite"/>
        <w:numPr>
          <w:ilvl w:val="0"/>
          <w:numId w:val="60"/>
        </w:numPr>
        <w:spacing w:before="0" w:after="0"/>
        <w:ind w:left="714" w:hanging="357"/>
        <w:rPr>
          <w:color w:val="auto"/>
        </w:rPr>
      </w:pPr>
      <w:r>
        <w:rPr>
          <w:color w:val="auto"/>
        </w:rPr>
        <w:t>There is insufficient</w:t>
      </w:r>
      <w:r w:rsidRPr="00A22530">
        <w:rPr>
          <w:color w:val="auto"/>
        </w:rPr>
        <w:t xml:space="preserve"> evidence to </w:t>
      </w:r>
      <w:r>
        <w:rPr>
          <w:color w:val="auto"/>
        </w:rPr>
        <w:t xml:space="preserve">draw any conclusion about whether the </w:t>
      </w:r>
      <w:r w:rsidRPr="00A22530">
        <w:rPr>
          <w:color w:val="auto"/>
        </w:rPr>
        <w:t>use of e</w:t>
      </w:r>
      <w:r>
        <w:rPr>
          <w:color w:val="auto"/>
        </w:rPr>
        <w:noBreakHyphen/>
      </w:r>
      <w:r w:rsidRPr="00A22530">
        <w:rPr>
          <w:color w:val="auto"/>
        </w:rPr>
        <w:t xml:space="preserve">cigarettes </w:t>
      </w:r>
      <w:r>
        <w:rPr>
          <w:color w:val="auto"/>
        </w:rPr>
        <w:t>result</w:t>
      </w:r>
      <w:r w:rsidRPr="00A22530">
        <w:rPr>
          <w:color w:val="auto"/>
        </w:rPr>
        <w:t xml:space="preserve">s </w:t>
      </w:r>
      <w:r>
        <w:rPr>
          <w:color w:val="auto"/>
        </w:rPr>
        <w:t xml:space="preserve">in </w:t>
      </w:r>
      <w:r w:rsidRPr="00A22530">
        <w:rPr>
          <w:color w:val="auto"/>
        </w:rPr>
        <w:t>the use of other substances</w:t>
      </w:r>
      <w:r>
        <w:rPr>
          <w:color w:val="auto"/>
        </w:rPr>
        <w:t xml:space="preserve"> such as marijuana</w:t>
      </w:r>
      <w:r w:rsidRPr="00A22530">
        <w:rPr>
          <w:color w:val="auto"/>
        </w:rPr>
        <w:t xml:space="preserve">. </w:t>
      </w:r>
    </w:p>
    <w:p w14:paraId="3DE0DCA7" w14:textId="77777777" w:rsidR="002D348A" w:rsidRDefault="002D348A" w:rsidP="002D348A">
      <w:pPr>
        <w:pStyle w:val="BodyText"/>
        <w:numPr>
          <w:ilvl w:val="0"/>
          <w:numId w:val="60"/>
        </w:numPr>
        <w:spacing w:before="0" w:after="0"/>
        <w:ind w:left="714" w:hanging="357"/>
      </w:pPr>
      <w:r>
        <w:t xml:space="preserve">Almost all investigations of ‘gateway effect’ focus on youths. </w:t>
      </w:r>
    </w:p>
    <w:p w14:paraId="767DC59C" w14:textId="77777777" w:rsidR="002D348A" w:rsidRPr="005A4CED" w:rsidRDefault="002D348A" w:rsidP="002D348A">
      <w:pPr>
        <w:pStyle w:val="BodyText"/>
        <w:spacing w:before="0" w:after="0"/>
      </w:pPr>
    </w:p>
    <w:p w14:paraId="5212F4CC" w14:textId="77777777" w:rsidR="005A4CED" w:rsidRDefault="004C1688" w:rsidP="002A1D1F">
      <w:pPr>
        <w:pStyle w:val="Heading4"/>
      </w:pPr>
      <w:r w:rsidRPr="004C1688">
        <w:t>Smoking cessation</w:t>
      </w:r>
    </w:p>
    <w:p w14:paraId="3C460B27" w14:textId="77777777" w:rsidR="002D348A" w:rsidRDefault="002D348A" w:rsidP="002D348A">
      <w:pPr>
        <w:pStyle w:val="ListParagraph"/>
        <w:numPr>
          <w:ilvl w:val="0"/>
          <w:numId w:val="60"/>
        </w:numPr>
        <w:spacing w:before="0" w:after="0" w:line="259" w:lineRule="auto"/>
        <w:ind w:left="714" w:hanging="357"/>
      </w:pPr>
      <w:r>
        <w:t>Observational studies indicate that e</w:t>
      </w:r>
      <w:r>
        <w:noBreakHyphen/>
        <w:t xml:space="preserve">cigarettes are subjectively a preferred smoking cessation method in some, but not all, populations. </w:t>
      </w:r>
    </w:p>
    <w:p w14:paraId="6626B739" w14:textId="77777777" w:rsidR="002D348A" w:rsidRDefault="002D348A" w:rsidP="002D348A">
      <w:pPr>
        <w:pStyle w:val="ListParagraph"/>
        <w:numPr>
          <w:ilvl w:val="0"/>
          <w:numId w:val="60"/>
        </w:numPr>
        <w:spacing w:before="0" w:after="0" w:line="259" w:lineRule="auto"/>
        <w:ind w:left="714" w:hanging="357"/>
      </w:pPr>
      <w:r w:rsidRPr="00ED472A">
        <w:t>T</w:t>
      </w:r>
      <w:r>
        <w:t>here is good evidence from clinical t</w:t>
      </w:r>
      <w:r w:rsidRPr="00ED472A">
        <w:t>rials</w:t>
      </w:r>
      <w:r>
        <w:t xml:space="preserve"> that e</w:t>
      </w:r>
      <w:r>
        <w:noBreakHyphen/>
        <w:t>cigarettes may reduce withdrawal symptoms in smokers after a short period of cigarette abstinence. Conditions in the trials have limited application with most trials being short term.</w:t>
      </w:r>
    </w:p>
    <w:p w14:paraId="765000A9" w14:textId="77777777" w:rsidR="002D348A" w:rsidRDefault="002D348A" w:rsidP="002D348A">
      <w:pPr>
        <w:pStyle w:val="ListParagraph"/>
        <w:numPr>
          <w:ilvl w:val="0"/>
          <w:numId w:val="60"/>
        </w:numPr>
        <w:spacing w:before="0" w:after="0" w:line="259" w:lineRule="auto"/>
        <w:ind w:left="714" w:hanging="357"/>
      </w:pPr>
      <w:r w:rsidRPr="00ED472A">
        <w:t xml:space="preserve">There is currently no evidence that </w:t>
      </w:r>
      <w:r>
        <w:t xml:space="preserve">quit </w:t>
      </w:r>
      <w:r w:rsidRPr="00ED472A">
        <w:t xml:space="preserve">rates </w:t>
      </w:r>
      <w:r>
        <w:t>for</w:t>
      </w:r>
      <w:r w:rsidRPr="00ED472A">
        <w:t xml:space="preserve"> smoking have decreased as a result of </w:t>
      </w:r>
      <w:r>
        <w:t>e</w:t>
      </w:r>
      <w:r>
        <w:noBreakHyphen/>
        <w:t>cigarette use. Long</w:t>
      </w:r>
      <w:r>
        <w:noBreakHyphen/>
        <w:t xml:space="preserve">term cessation was not measured in trials. </w:t>
      </w:r>
    </w:p>
    <w:p w14:paraId="7636565E" w14:textId="77777777" w:rsidR="002D348A" w:rsidRDefault="002D348A" w:rsidP="002D348A">
      <w:pPr>
        <w:pStyle w:val="ListParagraph"/>
        <w:numPr>
          <w:ilvl w:val="0"/>
          <w:numId w:val="60"/>
        </w:numPr>
        <w:spacing w:before="0" w:after="0" w:line="259" w:lineRule="auto"/>
        <w:ind w:left="714" w:hanging="357"/>
      </w:pPr>
      <w:r>
        <w:t>Results from randomised controlled trials indicate that nicotine</w:t>
      </w:r>
      <w:r>
        <w:noBreakHyphen/>
        <w:t>containing e</w:t>
      </w:r>
      <w:r>
        <w:noBreakHyphen/>
        <w:t>cigarettes are more effective at reducing the amount of conventional smoking than nicotine</w:t>
      </w:r>
      <w:r>
        <w:noBreakHyphen/>
        <w:t>free e</w:t>
      </w:r>
      <w:r>
        <w:noBreakHyphen/>
        <w:t>cigarettes or no e</w:t>
      </w:r>
      <w:r>
        <w:noBreakHyphen/>
        <w:t xml:space="preserve">cigarettes. </w:t>
      </w:r>
    </w:p>
    <w:p w14:paraId="1D9C4179" w14:textId="77777777" w:rsidR="002D348A" w:rsidRPr="002D348A" w:rsidRDefault="002D348A" w:rsidP="002D348A">
      <w:pPr>
        <w:pStyle w:val="ListParagraph"/>
        <w:numPr>
          <w:ilvl w:val="0"/>
          <w:numId w:val="60"/>
        </w:numPr>
        <w:spacing w:before="0" w:after="0" w:line="259" w:lineRule="auto"/>
        <w:ind w:left="714" w:hanging="357"/>
      </w:pPr>
      <w:r>
        <w:t>There is limited evidence comparing the effectiveness of e</w:t>
      </w:r>
      <w:r>
        <w:noBreakHyphen/>
        <w:t xml:space="preserve">cigarettes for smoking cessation with other smoking cessation methods. </w:t>
      </w:r>
    </w:p>
    <w:p w14:paraId="0E887309" w14:textId="77777777" w:rsidR="00623BDD" w:rsidRPr="00AB2A74" w:rsidRDefault="00623BDD" w:rsidP="002D348A">
      <w:pPr>
        <w:pStyle w:val="BodyText"/>
      </w:pPr>
    </w:p>
    <w:p w14:paraId="23B1DCF7" w14:textId="77777777" w:rsidR="005B77B6" w:rsidRDefault="005B77B6">
      <w:pPr>
        <w:spacing w:after="0"/>
      </w:pPr>
      <w:r>
        <w:br w:type="page"/>
      </w:r>
    </w:p>
    <w:p w14:paraId="7976A826" w14:textId="77777777" w:rsidR="00AE0D97" w:rsidRDefault="00AE0D97" w:rsidP="00D1044D">
      <w:pPr>
        <w:pStyle w:val="Heading1"/>
        <w:sectPr w:rsidR="00AE0D97" w:rsidSect="000376C7">
          <w:headerReference w:type="default" r:id="rId29"/>
          <w:pgSz w:w="11906" w:h="16838" w:code="9"/>
          <w:pgMar w:top="1134" w:right="1134" w:bottom="1134" w:left="1134" w:header="510" w:footer="624" w:gutter="0"/>
          <w:cols w:space="284"/>
          <w:docGrid w:linePitch="360"/>
        </w:sectPr>
      </w:pPr>
    </w:p>
    <w:p w14:paraId="581DB164" w14:textId="77777777" w:rsidR="00E16141" w:rsidRPr="00A96BC4" w:rsidRDefault="00E16141" w:rsidP="00A96BC4">
      <w:pPr>
        <w:pStyle w:val="Heading1"/>
      </w:pPr>
      <w:bookmarkStart w:id="116" w:name="_Toc515229950"/>
      <w:bookmarkStart w:id="117" w:name="_Toc517706677"/>
      <w:r w:rsidRPr="00A96BC4">
        <w:lastRenderedPageBreak/>
        <w:t>E-cigarette use as a gateway to cigarette use and use of other substances among youth</w:t>
      </w:r>
      <w:bookmarkEnd w:id="116"/>
      <w:bookmarkEnd w:id="117"/>
    </w:p>
    <w:p w14:paraId="062B1F46" w14:textId="77777777" w:rsidR="00E16141" w:rsidRPr="00E16141" w:rsidRDefault="00E16141" w:rsidP="00E16141">
      <w:pPr>
        <w:pStyle w:val="Heading2"/>
      </w:pPr>
      <w:bookmarkStart w:id="118" w:name="_Toc515229951"/>
      <w:bookmarkStart w:id="119" w:name="_Toc517706678"/>
      <w:r w:rsidRPr="00E16141">
        <w:t>Introduction</w:t>
      </w:r>
      <w:bookmarkEnd w:id="118"/>
      <w:bookmarkEnd w:id="119"/>
    </w:p>
    <w:p w14:paraId="3F5B8105" w14:textId="77777777" w:rsidR="002D348A" w:rsidRDefault="002D348A" w:rsidP="002D348A">
      <w:pPr>
        <w:pStyle w:val="BodyText"/>
      </w:pPr>
      <w:r>
        <w:t>This section considers studies investigating the use of e</w:t>
      </w:r>
      <w:r>
        <w:noBreakHyphen/>
        <w:t xml:space="preserve">cigarettes as a possible gateway to the use of conventional cigarettes and other tobacco products, illicit drugs and the misuse of other harmful substances. </w:t>
      </w:r>
      <w:r w:rsidR="008A1D78">
        <w:t>This section addresses part of the assigned task to ‘</w:t>
      </w:r>
      <w:r w:rsidR="008A1D78">
        <w:rPr>
          <w:rFonts w:cs="Calibri"/>
          <w:szCs w:val="24"/>
        </w:rPr>
        <w:t>r</w:t>
      </w:r>
      <w:r w:rsidR="008A1D78" w:rsidRPr="001022DF">
        <w:rPr>
          <w:rFonts w:cs="Calibri"/>
          <w:szCs w:val="24"/>
        </w:rPr>
        <w:t>eview all available evidence applicable to the use of e-cigarettes, personal vaporisers and nicotine on rates of smoking.</w:t>
      </w:r>
      <w:r w:rsidR="008A1D78">
        <w:t xml:space="preserve">’ </w:t>
      </w:r>
      <w:r>
        <w:t xml:space="preserve">The purpose of this report is to update the evidence reviewed in the previous, recently published comprehensive reports produced by the US National Academy of Sciences and Public Health England </w:t>
      </w:r>
      <w:r>
        <w:fldChar w:fldCharType="begin"/>
      </w:r>
      <w:r w:rsidR="00903735">
        <w:instrText xml:space="preserve"> ADDIN EN.CITE &lt;EndNote&gt;&lt;Cite&gt;&lt;Author&gt;McNeill&lt;/Author&gt;&lt;Year&gt;2018&lt;/Year&gt;&lt;RecNum&gt;13417&lt;/RecNum&gt;&lt;DisplayText&gt;(McNeill, Brose et al. 2018, Stratton, Kwan et al. 2018)&lt;/DisplayText&gt;&lt;record&gt;&lt;rec-number&gt;13417&lt;/rec-number&gt;&lt;foreign-keys&gt;&lt;key app="EN" db-id="5xv5w5t2bdxtxfezx02xtxdft5rz5ptvvt29" timestamp="1525934878"&gt;13417&lt;/key&gt;&lt;/foreign-keys&gt;&lt;ref-type name="Report"&gt;27&lt;/ref-type&gt;&lt;contributors&gt;&lt;authors&gt;&lt;author&gt;Ann McNeill&lt;/author&gt;&lt;author&gt;Leonie S Brose&lt;/author&gt;&lt;author&gt;Robert Calder&lt;/author&gt;&lt;author&gt;Linda Bauld&lt;/author&gt;&lt;author&gt;Debbie Robson&lt;/author&gt;&lt;/authors&gt;&lt;/contributors&gt;&lt;titles&gt;&lt;title&gt;Evidence review of e-cigarettes and heated tobacco products 2018. A report commissioned by Public Health England&lt;/title&gt;&lt;/titles&gt;&lt;dates&gt;&lt;year&gt;2018&lt;/year&gt;&lt;/dates&gt;&lt;urls&gt;&lt;/urls&gt;&lt;/record&gt;&lt;/Cite&gt;&lt;Cite&gt;&lt;Author&gt;Stratton&lt;/Author&gt;&lt;Year&gt;2018&lt;/Year&gt;&lt;RecNum&gt;9723&lt;/RecNum&gt;&lt;record&gt;&lt;rec-number&gt;9723&lt;/rec-number&gt;&lt;foreign-keys&gt;&lt;key app="EN" db-id="9z05dz0praadfuee0zoxzedk9zfe5fxx50z5" timestamp="1525933608"&gt;9723&lt;/key&gt;&lt;/foreign-keys&gt;&lt;ref-type name="Report"&gt;27&lt;/ref-type&gt;&lt;contributors&gt;&lt;authors&gt;&lt;author&gt;Stratton, Kathleen&lt;/author&gt;&lt;author&gt;Kwan, Leslie Y&lt;/author&gt;&lt;author&gt;Eaton, David L&lt;/author&gt;&lt;/authors&gt;&lt;tertiary-authors&gt;&lt;author&gt;The National Academies Press.&lt;/author&gt;&lt;/tertiary-authors&gt;&lt;/contributors&gt;&lt;titles&gt;&lt;title&gt;Public health consequences of e-cigarettes.&lt;/title&gt;&lt;/titles&gt;&lt;dates&gt;&lt;year&gt;2018&lt;/year&gt;&lt;/dates&gt;&lt;pub-location&gt;Washington, DC&lt;/pub-location&gt;&lt;publisher&gt;National Academies of Sciences, Engineering, and Medicine. &lt;/publisher&gt;&lt;urls&gt;&lt;/urls&gt;&lt;electronic-resource-num&gt;https://doi.org/10.17226/24952.&lt;/electronic-resource-num&gt;&lt;/record&gt;&lt;/Cite&gt;&lt;/EndNote&gt;</w:instrText>
      </w:r>
      <w:r>
        <w:fldChar w:fldCharType="separate"/>
      </w:r>
      <w:r>
        <w:rPr>
          <w:noProof/>
        </w:rPr>
        <w:t>(McNeill, Brose et al. 2018, Stratton, Kwan et al. 2018)</w:t>
      </w:r>
      <w:r>
        <w:fldChar w:fldCharType="end"/>
      </w:r>
      <w:r>
        <w:t xml:space="preserve">. Therefore, only studies published recently and not considered in these reports will be reviewed and the results will be compared to the overall findings of these previous reviews. </w:t>
      </w:r>
    </w:p>
    <w:p w14:paraId="34716652" w14:textId="165802A1" w:rsidR="002D348A" w:rsidRPr="005216F3" w:rsidRDefault="002D348A" w:rsidP="002D348A">
      <w:pPr>
        <w:pStyle w:val="BodyText"/>
      </w:pPr>
      <w:r>
        <w:t>This section contains two parts. The first assesses the evidence for e</w:t>
      </w:r>
      <w:r>
        <w:noBreakHyphen/>
        <w:t>cigarette use as a risk factor for the initiation of conventional cigarette smoking, the second reviews the evidence for e</w:t>
      </w:r>
      <w:r>
        <w:noBreakHyphen/>
        <w:t>cigarette use as a risk factor for subsequent use of illicit drugs and other harmful substances. Some studies may be referred to in both sections where relevant.</w:t>
      </w:r>
    </w:p>
    <w:p w14:paraId="7D6F38E5" w14:textId="77777777" w:rsidR="00E16141" w:rsidRPr="005216F3" w:rsidRDefault="00E16141" w:rsidP="00FC7160">
      <w:pPr>
        <w:pStyle w:val="BodyText"/>
      </w:pPr>
    </w:p>
    <w:p w14:paraId="2EE6929E" w14:textId="77777777" w:rsidR="00E16141" w:rsidRDefault="00E16141" w:rsidP="00E16141">
      <w:pPr>
        <w:pStyle w:val="Heading2"/>
      </w:pPr>
      <w:bookmarkStart w:id="120" w:name="_Toc515229952"/>
      <w:bookmarkStart w:id="121" w:name="_Toc517706679"/>
      <w:r w:rsidRPr="00E16141">
        <w:t>E-cigarette use and use of conventional cigarettes</w:t>
      </w:r>
      <w:bookmarkEnd w:id="120"/>
      <w:bookmarkEnd w:id="121"/>
    </w:p>
    <w:p w14:paraId="5E9380C0" w14:textId="7E4E303E" w:rsidR="002D348A" w:rsidRDefault="002D348A" w:rsidP="002D348A">
      <w:pPr>
        <w:pStyle w:val="BodyText"/>
      </w:pPr>
      <w:r>
        <w:t xml:space="preserve">The search of the literature is outlined in </w:t>
      </w:r>
      <w:r w:rsidR="000E7391">
        <w:t>P</w:t>
      </w:r>
      <w:r w:rsidR="008A1D78">
        <w:t>a</w:t>
      </w:r>
      <w:r>
        <w:t>rt 1: Health Impact of e</w:t>
      </w:r>
      <w:r>
        <w:noBreakHyphen/>
        <w:t>cigarettes and personal vaporisers. A review of the titles found in the literature search identified 52 potential publications on the use of e</w:t>
      </w:r>
      <w:r>
        <w:noBreakHyphen/>
        <w:t>cigarettes as a possible gateway to the use of conventional cigarettes and other substances. Of these, 22 were excluded from this section of the review (</w:t>
      </w:r>
      <w:r w:rsidR="000E5C99">
        <w:t>seven</w:t>
      </w:r>
      <w:r>
        <w:t xml:space="preserve"> were not a report on an original study; </w:t>
      </w:r>
      <w:r w:rsidR="000E5C99">
        <w:t>four</w:t>
      </w:r>
      <w:r>
        <w:t xml:space="preserve"> were not a gateway study; 11 were included in the recent US or UK report</w:t>
      </w:r>
      <w:r w:rsidR="000E7391">
        <w:t>s</w:t>
      </w:r>
      <w:r>
        <w:t xml:space="preserve"> </w:t>
      </w:r>
      <w:r>
        <w:fldChar w:fldCharType="begin"/>
      </w:r>
      <w:r w:rsidR="00903735">
        <w:instrText xml:space="preserve"> ADDIN EN.CITE &lt;EndNote&gt;&lt;Cite&gt;&lt;Author&gt;McNeill&lt;/Author&gt;&lt;Year&gt;2018&lt;/Year&gt;&lt;RecNum&gt;13417&lt;/RecNum&gt;&lt;DisplayText&gt;(McNeill, Brose et al. 2018, Stratton, Kwan et al. 2018)&lt;/DisplayText&gt;&lt;record&gt;&lt;rec-number&gt;13417&lt;/rec-number&gt;&lt;foreign-keys&gt;&lt;key app="EN" db-id="5xv5w5t2bdxtxfezx02xtxdft5rz5ptvvt29" timestamp="1525934878"&gt;13417&lt;/key&gt;&lt;/foreign-keys&gt;&lt;ref-type name="Report"&gt;27&lt;/ref-type&gt;&lt;contributors&gt;&lt;authors&gt;&lt;author&gt;Ann McNeill&lt;/author&gt;&lt;author&gt;Leonie S Brose&lt;/author&gt;&lt;author&gt;Robert Calder&lt;/author&gt;&lt;author&gt;Linda Bauld&lt;/author&gt;&lt;author&gt;Debbie Robson&lt;/author&gt;&lt;/authors&gt;&lt;/contributors&gt;&lt;titles&gt;&lt;title&gt;Evidence review of e-cigarettes and heated tobacco products 2018. A report commissioned by Public Health England&lt;/title&gt;&lt;/titles&gt;&lt;dates&gt;&lt;year&gt;2018&lt;/year&gt;&lt;/dates&gt;&lt;urls&gt;&lt;/urls&gt;&lt;/record&gt;&lt;/Cite&gt;&lt;Cite&gt;&lt;Author&gt;Stratton&lt;/Author&gt;&lt;Year&gt;2018&lt;/Year&gt;&lt;RecNum&gt;9723&lt;/RecNum&gt;&lt;record&gt;&lt;rec-number&gt;9723&lt;/rec-number&gt;&lt;foreign-keys&gt;&lt;key app="EN" db-id="9z05dz0praadfuee0zoxzedk9zfe5fxx50z5" timestamp="1525933608"&gt;9723&lt;/key&gt;&lt;/foreign-keys&gt;&lt;ref-type name="Report"&gt;27&lt;/ref-type&gt;&lt;contributors&gt;&lt;authors&gt;&lt;author&gt;Stratton, Kathleen&lt;/author&gt;&lt;author&gt;Kwan, Leslie Y&lt;/author&gt;&lt;author&gt;Eaton, David L&lt;/author&gt;&lt;/authors&gt;&lt;tertiary-authors&gt;&lt;author&gt;The National Academies Press.&lt;/author&gt;&lt;/tertiary-authors&gt;&lt;/contributors&gt;&lt;titles&gt;&lt;title&gt;Public health consequences of e-cigarettes.&lt;/title&gt;&lt;/titles&gt;&lt;dates&gt;&lt;year&gt;2018&lt;/year&gt;&lt;/dates&gt;&lt;pub-location&gt;Washington, DC&lt;/pub-location&gt;&lt;publisher&gt;National Academies of Sciences, Engineering, and Medicine. &lt;/publisher&gt;&lt;urls&gt;&lt;/urls&gt;&lt;electronic-resource-num&gt;https://doi.org/10.17226/24952.&lt;/electronic-resource-num&gt;&lt;/record&gt;&lt;/Cite&gt;&lt;/EndNote&gt;</w:instrText>
      </w:r>
      <w:r>
        <w:fldChar w:fldCharType="separate"/>
      </w:r>
      <w:r>
        <w:rPr>
          <w:noProof/>
        </w:rPr>
        <w:t>(McNeill, Brose et al. 2018, Stratton, Kwan et al. 2018)</w:t>
      </w:r>
      <w:r>
        <w:fldChar w:fldCharType="end"/>
      </w:r>
      <w:r>
        <w:t xml:space="preserve"> or in a meta</w:t>
      </w:r>
      <w:r>
        <w:noBreakHyphen/>
        <w:t xml:space="preserve">analysis included in these reports. </w:t>
      </w:r>
    </w:p>
    <w:p w14:paraId="5BBF3F48" w14:textId="77B4F06F" w:rsidR="002D348A" w:rsidRDefault="002D348A" w:rsidP="002D348A">
      <w:pPr>
        <w:pStyle w:val="BodyText"/>
      </w:pPr>
      <w:r>
        <w:t>Of the remaining 30 studies, 17 examined the relationship between e</w:t>
      </w:r>
      <w:r>
        <w:noBreakHyphen/>
        <w:t xml:space="preserve">cigarette use and conventional cigarette use, </w:t>
      </w:r>
      <w:r w:rsidR="000E5C99">
        <w:t>seven</w:t>
      </w:r>
      <w:r>
        <w:t xml:space="preserve"> investigated the relationship between e</w:t>
      </w:r>
      <w:r>
        <w:noBreakHyphen/>
        <w:t xml:space="preserve">cigarette use and the use of illicit drugs and other harmful substances, and </w:t>
      </w:r>
      <w:r w:rsidR="005D22D7">
        <w:t>six</w:t>
      </w:r>
      <w:r>
        <w:t xml:space="preserve"> assessed both. </w:t>
      </w:r>
    </w:p>
    <w:p w14:paraId="52EB9ED2" w14:textId="7378BED1" w:rsidR="002D348A" w:rsidRDefault="002D348A" w:rsidP="002D348A">
      <w:pPr>
        <w:pStyle w:val="BodyText"/>
      </w:pPr>
      <w:r>
        <w:t>Of the 23 studies exploring the relationship between e</w:t>
      </w:r>
      <w:r>
        <w:noBreakHyphen/>
        <w:t xml:space="preserve">cigarette use and conventional cigarette use, </w:t>
      </w:r>
      <w:r w:rsidR="000E5C99">
        <w:t>eight</w:t>
      </w:r>
      <w:r>
        <w:t xml:space="preserve"> studies were longitudinal cohort studies and 15 were cross</w:t>
      </w:r>
      <w:r>
        <w:noBreakHyphen/>
        <w:t>sectional study designs.</w:t>
      </w:r>
    </w:p>
    <w:p w14:paraId="3438CD2F" w14:textId="77777777" w:rsidR="002D348A" w:rsidRPr="002D348A" w:rsidRDefault="002D348A" w:rsidP="002D348A">
      <w:pPr>
        <w:pStyle w:val="BodyText"/>
      </w:pPr>
    </w:p>
    <w:p w14:paraId="02245753" w14:textId="77777777" w:rsidR="002D348A" w:rsidRDefault="002D348A" w:rsidP="002D348A">
      <w:pPr>
        <w:pStyle w:val="Heading3"/>
      </w:pPr>
      <w:bookmarkStart w:id="122" w:name="_Toc515229953"/>
      <w:r>
        <w:lastRenderedPageBreak/>
        <w:t>Cohort studies</w:t>
      </w:r>
    </w:p>
    <w:p w14:paraId="4736B70F" w14:textId="77777777" w:rsidR="002D348A" w:rsidRDefault="002D348A" w:rsidP="002D348A">
      <w:pPr>
        <w:pStyle w:val="BodyText"/>
      </w:pPr>
      <w:r>
        <w:t>The cohort study design is a more suitable study design to establish that e</w:t>
      </w:r>
      <w:r>
        <w:noBreakHyphen/>
        <w:t>cigarette use can lead to the initiation of conventional cigarettes as these studies can confirm that initiation of e</w:t>
      </w:r>
      <w:r>
        <w:noBreakHyphen/>
        <w:t>cigarette use occurred prior to the initiation of conventional cigarette use, satisfying one of the key factors required to establish that e</w:t>
      </w:r>
      <w:r>
        <w:noBreakHyphen/>
        <w:t xml:space="preserve">cigarette use causes cigarette use – temporality (i.e. that the proposed cause occurs before the proposed effect). </w:t>
      </w:r>
    </w:p>
    <w:p w14:paraId="1919A53A" w14:textId="77777777" w:rsidR="002D348A" w:rsidRDefault="002D348A" w:rsidP="002D348A">
      <w:pPr>
        <w:pStyle w:val="BodyText"/>
      </w:pPr>
      <w:r>
        <w:t>All of the eight cohort studies we reviewed found that e</w:t>
      </w:r>
      <w:r>
        <w:noBreakHyphen/>
        <w:t xml:space="preserve">cigarette use was associated with later initiation and/or regular use of conventional cigarettes in teenagers and young adults </w:t>
      </w:r>
      <w:r>
        <w:fldChar w:fldCharType="begin">
          <w:fldData xml:space="preserve">PEVuZE5vdGU+PENpdGU+PEF1dGhvcj5DaGFmZmVlPC9BdXRob3I+PFllYXI+MjAxODwvWWVhcj48
UmVjTnVtPjQ1NzY8L1JlY051bT48RGlzcGxheVRleHQ+KEtpbm51bmVuLCBNaW5ra2luZW4gZXQg
YWwuIDIwMTcsIExvemFubywgQmFycmllbnRvcy1HdXRpZXJyZXogZXQgYWwuIDIwMTcsIFBlYXJj
ZSwgQmVzdCBldCBhbC4gMjAxNywgVHJldXIsIFJvemVtYSBldCBhbC4gMjAxNywgQ2hhZmZlZSwg
V2F0a2lucyBldCBhbC4gMjAxOCwgRWFzdCwgSGl0Y2htYW4gZXQgYWwuIDIwMTgsIE1vcmdlbnN0
ZXJuLCBOaWVzIGV0IGFsLiAyMDE4LCBQZW56ZXMsIEZvbGV5IGV0IGFsLiAyMDE4KTwvRGlzcGxh
eVRleHQ+PHJlY29yZD48cmVjLW51bWJlcj40NTc2PC9yZWMtbnVtYmVyPjxmb3JlaWduLWtleXM+
PGtleSBhcHA9IkVOIiBkYi1pZD0iOXowNWR6MHByYWFkZnVlZTB6b3h6ZWRrOXpmZTVmeHg1MHo1
IiB0aW1lc3RhbXA9IjE1MjM5MjAyMDkiPjQ1NzY8L2tleT48a2V5IGFwcD0iRU5XZWIiIGRiLWlk
PSIiPjA8L2tleT48L2ZvcmVpZ24ta2V5cz48cmVmLXR5cGUgbmFtZT0iSm91cm5hbCBBcnRpY2xl
Ij4xNzwvcmVmLXR5cGU+PGNvbnRyaWJ1dG9ycz48YXV0aG9ycz48YXV0aG9yPkNoYWZmZWUsIEIu
IFcuPC9hdXRob3I+PGF1dGhvcj5XYXRraW5zLCBTLiBMLjwvYXV0aG9yPjxhdXRob3I+R2xhbnR6
LCBTLiBBLjwvYXV0aG9yPjwvYXV0aG9ycz48L2NvbnRyaWJ1dG9ycz48YXV0aC1hZGRyZXNzPkNl
bnRlciBmb3IgVG9iYWNjbyBDb250cm9sIFJlc2VhcmNoIGFuZCBFZHVjYXRpb24sIGJlbmphbWlu
LmNoYWZmZWVAdWNzZi5lZHUuJiN4RDtEZXBhcnRtZW50cyBvZiBQcmV2ZW50aXZlIGFuZCBSZXN0
b3JhdGl2ZSBEZW50YWwgU2NpZW5jZXMgYW5kLiYjeEQ7Q2VudGVyIGZvciBUb2JhY2NvIENvbnRy
b2wgUmVzZWFyY2ggYW5kIEVkdWNhdGlvbi4mI3hEO01lZGljaW5lLCBVbml2ZXJzaXR5IG9mIENh
bGlmb3JuaWEsIFNhbiBGcmFuY2lzY28sIFNhbiBGcmFuY2lzY28sIENhbGlmb3JuaWEuJiN4RDtQ
aGlsaXAgUi4gTGVlIEluc3RpdHV0ZSBmb3IgSGVhbHRoIFBvbGljeSBTdHVkaWVzLCBhbmQuPC9h
dXRoLWFkZHJlc3M+PHRpdGxlcz48dGl0bGU+RWxlY3Ryb25pYyBDaWdhcmV0dGUgVXNlIGFuZCBQ
cm9ncmVzc2lvbiBGcm9tIEV4cGVyaW1lbnRhdGlvbiB0byBFc3RhYmxpc2hlZCBTbW9raW5nPC90
aXRsZT48c2Vjb25kYXJ5LXRpdGxlPlBlZGlhdHJpY3M8L3NlY29uZGFyeS10aXRsZT48YWx0LXRp
dGxlPlBlZGlhdHJpY3M8L2FsdC10aXRsZT48L3RpdGxlcz48cGVyaW9kaWNhbD48ZnVsbC10aXRs
ZT5QZWRpYXRyaWNzPC9mdWxsLXRpdGxlPjwvcGVyaW9kaWNhbD48YWx0LXBlcmlvZGljYWw+PGZ1
bGwtdGl0bGU+UGVkaWF0cmljczwvZnVsbC10aXRsZT48L2FsdC1wZXJpb2RpY2FsPjxlZGl0aW9u
PjIwMTgvMDMvMDc8L2VkaXRpb24+PGRhdGVzPjx5ZWFyPjIwMTg8L3llYXI+PHB1Yi1kYXRlcz48
ZGF0ZT5NYXIgNTwvZGF0ZT48L3B1Yi1kYXRlcz48L2RhdGVzPjxpc2JuPjAwMzEtNDAwNTwvaXNi
bj48YWNjZXNzaW9uLW51bT4yOTUwNzE2NzwvYWNjZXNzaW9uLW51bT48dXJscz48cmVsYXRlZC11
cmxzPjx1cmw+aHR0cDovL3BlZGlhdHJpY3MuYWFwcHVibGljYXRpb25zLm9yZy9jb250ZW50L3Bl
ZGlhdHJpY3MvZWFybHkvMjAxOC8wMy8wMS9wZWRzLjIwMTctMzU5NC5mdWxsLnBkZjwvdXJsPjwv
cmVsYXRlZC11cmxzPjwvdXJscz48ZWxlY3Ryb25pYy1yZXNvdXJjZS1udW0+MTAuMTU0Mi9wZWRz
LjIwMTctMzU5NDwvZWxlY3Ryb25pYy1yZXNvdXJjZS1udW0+PHJlbW90ZS1kYXRhYmFzZS1wcm92
aWRlcj5OTE08L3JlbW90ZS1kYXRhYmFzZS1wcm92aWRlcj48bGFuZ3VhZ2U+ZW5nPC9sYW5ndWFn
ZT48L3JlY29yZD48L0NpdGU+PENpdGU+PEF1dGhvcj5FYXN0PC9BdXRob3I+PFllYXI+MjAxODwv
WWVhcj48UmVjTnVtPjQ1NTc8L1JlY051bT48cmVjb3JkPjxyZWMtbnVtYmVyPjQ1NTc8L3JlYy1u
dW1iZXI+PGZvcmVpZ24ta2V5cz48a2V5IGFwcD0iRU4iIGRiLWlkPSI5ejA1ZHowcHJhYWRmdWVl
MHpveHplZGs5emZlNWZ4eDUwejUiIHRpbWVzdGFtcD0iMTUyMzkyMDE2OCI+NDU1Nzwva2V5Pjxr
ZXkgYXBwPSJFTldlYiIgZGItaWQ9IiI+MDwva2V5PjwvZm9yZWlnbi1rZXlzPjxyZWYtdHlwZSBu
YW1lPSJKb3VybmFsIEFydGljbGUiPjE3PC9yZWYtdHlwZT48Y29udHJpYnV0b3JzPjxhdXRob3Jz
PjxhdXRob3I+RWFzdCwgSy48L2F1dGhvcj48YXV0aG9yPkhpdGNobWFuLCBTLiBDLjwvYXV0aG9y
PjxhdXRob3I+QmFrb2xpcywgSS48L2F1dGhvcj48YXV0aG9yPldpbGxpYW1zLCBTLjwvYXV0aG9y
PjxhdXRob3I+Q2hlZXNlbWFuLCBILjwvYXV0aG9yPjxhdXRob3I+QXJub3R0LCBELjwvYXV0aG9y
PjxhdXRob3I+TWNOZWlsbCwgQS48L2F1dGhvcj48L2F1dGhvcnM+PC9jb250cmlidXRvcnM+PGF1
dGgtYWRkcmVzcz5BZGRpY3Rpb25zIERlcGFydG1lbnQsIEluc3RpdHV0ZSBvZiBQc3ljaGlhdHJ5
LCBQc3ljaG9sb2d5IGFuZCBOZXVyb3NjaWVuY2UsIEtpbmcmYXBvcztzIENvbGxlZ2UgTG9uZG9u
LCBMb25kb24sIFVLOyBVSyBDZW50cmUgZm9yIFRvYmFjY28gYW5kIEFsY29ob2wgU3R1ZGllcywg
Q2xpbmljYWwgU2NpZW5jZXMgQnVpbGRpbmcsIFVuaXZlcnNpdHkgb2YgTm90dGluZ2hhbSwgTm90
dGluZ2hhbSwgVUsuIEVsZWN0cm9uaWMgYWRkcmVzczogS2F0aGVyaW5lLmVhc3RAa2NsLmFjLnVr
LiYjeEQ7QWRkaWN0aW9ucyBEZXBhcnRtZW50LCBJbnN0aXR1dGUgb2YgUHN5Y2hpYXRyeSwgUHN5
Y2hvbG9neSBhbmQgTmV1cm9zY2llbmNlLCBLaW5nJmFwb3M7cyBDb2xsZWdlIExvbmRvbiwgTG9u
ZG9uLCBVSzsgVUsgQ2VudHJlIGZvciBUb2JhY2NvIGFuZCBBbGNvaG9sIFN0dWRpZXMsIENsaW5p
Y2FsIFNjaWVuY2VzIEJ1aWxkaW5nLCBVbml2ZXJzaXR5IG9mIE5vdHRpbmdoYW0sIE5vdHRpbmdo
YW0sIFVLLiYjeEQ7RGVwYXJ0bWVudCBvZiBCaW9zdGF0aXN0aWNzIGFuZCBIZWFsdGggSW5mb3Jt
YXRpY3MsIEluc3RpdHV0ZSBvZiBQc3ljaGlhdHJ5LCBQc3ljaG9sb2d5IGFuZCBOZXVyb3NjaWVu
Y2UsIEtpbmcmYXBvcztzIENvbGxlZ2UgTG9uZG9uLCBMb25kb24sIFVLOyBDZW50cmUgZm9yIElt
cGxlbWVudGF0aW9uIFNjaWVuY2UsIERlcGFydG1lbnQgb2YgSGVhbHRoIFNlcnZpY2VzIGFuZCBQ
b3B1bGF0aW9uIFJlc2VhcmNoLCBJbnN0aXR1dGUgb2YgUHN5Y2hpYXRyeSwgUHN5Y2hvbG9neSBh
bmQgTmV1cm9zY2llbmNlLCBLaW5nJmFwb3M7cyBDb2xsZWdlIExvbmRvbiwgTG9uZG9uLCBVSy4m
I3hEO1B1YmxpYyBIZWFsdGggRW5nbGFuZCwgTG9uZG9uLCBVSzsgQWN0aW9uIG9uIFNtb2tpbmcg
YW5kIEhlYWx0aCBVSywgTG9uZG9uLCBVSy4mI3hEO0FjdGlvbiBvbiBTbW9raW5nIGFuZCBIZWFs
dGggVUssIExvbmRvbiwgVUsuPC9hdXRoLWFkZHJlc3M+PHRpdGxlcz48dGl0bGU+VGhlIEFzc29j
aWF0aW9uIEJldHdlZW4gU21va2luZyBhbmQgRWxlY3Ryb25pYyBDaWdhcmV0dGUgVXNlIGluIGEg
Q29ob3J0IG9mIFlvdW5nIFBlb3BsZTwvdGl0bGU+PHNlY29uZGFyeS10aXRsZT5KIEFkb2xlc2Mg
SGVhbHRoPC9zZWNvbmRhcnktdGl0bGU+PGFsdC10aXRsZT5UaGUgSm91cm5hbCBvZiBhZG9sZXNj
ZW50IGhlYWx0aCA6IG9mZmljaWFsIHB1YmxpY2F0aW9uIG9mIHRoZSBTb2NpZXR5IGZvciBBZG9s
ZXNjZW50IE1lZGljaW5lPC9hbHQtdGl0bGU+PC90aXRsZXM+PHBlcmlvZGljYWw+PGZ1bGwtdGl0
bGU+SiBBZG9sZXNjIEhlYWx0aDwvZnVsbC10aXRsZT48YWJici0xPlRoZSBKb3VybmFsIG9mIGFk
b2xlc2NlbnQgaGVhbHRoIDogb2ZmaWNpYWwgcHVibGljYXRpb24gb2YgdGhlIFNvY2lldHkgZm9y
IEFkb2xlc2NlbnQgTWVkaWNpbmU8L2FiYnItMT48L3BlcmlvZGljYWw+PGFsdC1wZXJpb2RpY2Fs
PjxmdWxsLXRpdGxlPkogQWRvbGVzYyBIZWFsdGg8L2Z1bGwtdGl0bGU+PGFiYnItMT5UaGUgSm91
cm5hbCBvZiBhZG9sZXNjZW50IGhlYWx0aCA6IG9mZmljaWFsIHB1YmxpY2F0aW9uIG9mIHRoZSBT
b2NpZXR5IGZvciBBZG9sZXNjZW50IE1lZGljaW5lPC9hYmJyLTE+PC9hbHQtcGVyaW9kaWNhbD48
ZWRpdGlvbj4yMDE4LzAzLzA0PC9lZGl0aW9uPjxrZXl3b3Jkcz48a2V5d29yZD5BZG9sZXNjZW50
PC9rZXl3b3JkPjxrZXl3b3JkPkUtY2lnYXJldHRlczwva2V5d29yZD48a2V5d29yZD5FbGVjdHJv
bmljIGNpZ2FyZXR0ZXM8L2tleXdvcmQ+PGtleXdvcmQ+TG9uZ2l0dWRpbmFsIHN0dWRpZXM8L2tl
eXdvcmQ+PGtleXdvcmQ+Tmljb3RpbmU8L2tleXdvcmQ+PGtleXdvcmQ+U21va2luZzwva2V5d29y
ZD48a2V5d29yZD5Ub2JhY2NvPC9rZXl3b3JkPjxrZXl3b3JkPllvdW5nIHBlb3BsZTwva2V5d29y
ZD48a2V5d29yZD5Zb3V0aDwva2V5d29yZD48L2tleXdvcmRzPjxkYXRlcz48eWVhcj4yMDE4PC95
ZWFyPjxwdWItZGF0ZXM+PGRhdGU+RmViIDIxPC9kYXRlPjwvcHViLWRhdGVzPjwvZGF0ZXM+PGlz
Ym4+MTA1NC0xMzl4PC9pc2JuPjxhY2Nlc3Npb24tbnVtPjI5NDk5OTgzPC9hY2Nlc3Npb24tbnVt
Pjx1cmxzPjxyZWxhdGVkLXVybHM+PHVybD5odHRwOi8vd3d3LmphaG9ubGluZS5vcmcvYXJ0aWNs
ZS9TMTA1NC0xMzlYKDE3KTMwOTAzLTUvcGRmPC91cmw+PC9yZWxhdGVkLXVybHM+PC91cmxzPjxl
bGVjdHJvbmljLXJlc291cmNlLW51bT4xMC4xMDE2L2ouamFkb2hlYWx0aC4yMDE3LjExLjMwMTwv
ZWxlY3Ryb25pYy1yZXNvdXJjZS1udW0+PHJlbW90ZS1kYXRhYmFzZS1wcm92aWRlcj5OTE08L3Jl
bW90ZS1kYXRhYmFzZS1wcm92aWRlcj48bGFuZ3VhZ2U+ZW5nPC9sYW5ndWFnZT48L3JlY29yZD48
L0NpdGU+PENpdGU+PEF1dGhvcj5LaW5udW5lbjwvQXV0aG9yPjxZZWFyPjIwMTc8L1llYXI+PFJl
Y051bT4xODY3PC9SZWNOdW0+PHJlY29yZD48cmVjLW51bWJlcj4xODY3PC9yZWMtbnVtYmVyPjxm
b3JlaWduLWtleXM+PGtleSBhcHA9IkVOIiBkYi1pZD0iOXZzOXB6ZnpuYXB4cGhlZmEyOHh6dzk1
c2Y1YXYwc3Y5cmR6IiB0aW1lc3RhbXA9IjE1MjExNTk0ODQiPjE4Njc8L2tleT48L2ZvcmVpZ24t
a2V5cz48cmVmLXR5cGUgbmFtZT0iSm91cm5hbCBBcnRpY2xlIj4xNzwvcmVmLXR5cGU+PGNvbnRy
aWJ1dG9ycz48YXV0aG9ycz48YXV0aG9yPktpbm51bmVuLCBKLiBNLjwvYXV0aG9yPjxhdXRob3I+
TWlua2tpbmVuLCBKLiBMLiBLLjwvYXV0aG9yPjxhdXRob3I+T2xsaWxhLCBILjwvYXV0aG9yPjxh
dXRob3I+UmltcGVsYSwgQS48L2F1dGhvcj48L2F1dGhvcnM+PC9jb250cmlidXRvcnM+PHRpdGxl
cz48dGl0bGU+Rm9sbG93LXVwIG9mIGFkb2xlc2NlbnQgZWxlY3Ryb25pYyBjaWdhcmV0dGUgdXNl
IGluIEZpbmxhbmQ8L3RpdGxlPjxzZWNvbmRhcnktdGl0bGU+RXVyb3BlYW4gSm91cm5hbCBvZiBQ
dWJsaWMgSGVhbHRoPC9zZWNvbmRhcnktdGl0bGU+PC90aXRsZXM+PHBlcmlvZGljYWw+PGZ1bGwt
dGl0bGU+RXVyb3BlYW4gSm91cm5hbCBvZiBQdWJsaWMgSGVhbHRoPC9mdWxsLXRpdGxlPjwvcGVy
aW9kaWNhbD48dm9sdW1lPjI3PC92b2x1bWU+PGRhdGVzPjx5ZWFyPjIwMTc8L3llYXI+PHB1Yi1k
YXRlcz48ZGF0ZT5Ob3Y8L2RhdGU+PC9wdWItZGF0ZXM+PC9kYXRlcz48aXNibj4xMTAxLTEyNjI8
L2lzYm4+PGFjY2Vzc2lvbi1udW0+V09TOjAwMDQxNDM4OTgwMTA4MzwvYWNjZXNzaW9uLW51bT48
dXJscz48cmVsYXRlZC11cmxzPjx1cmw+Jmx0O0dvIHRvIElTSSZndDs6Ly9XT1M6MDAwNDE0Mzg5
ODAxMDgzPC91cmw+PC9yZWxhdGVkLXVybHM+PC91cmxzPjwvcmVjb3JkPjwvQ2l0ZT48Q2l0ZT48
QXV0aG9yPkxvemFubzwvQXV0aG9yPjxZZWFyPjIwMTc8L1llYXI+PFJlY051bT40ODk5PC9SZWNO
dW0+PHJlY29yZD48cmVjLW51bWJlcj40ODk5PC9yZWMtbnVtYmVyPjxmb3JlaWduLWtleXM+PGtl
eSBhcHA9IkVOIiBkYi1pZD0iOXowNWR6MHByYWFkZnVlZTB6b3h6ZWRrOXpmZTVmeHg1MHo1IiB0
aW1lc3RhbXA9IjE1MjM5MjA1OTEiPjQ4OTk8L2tleT48a2V5IGFwcD0iRU5XZWIiIGRiLWlkPSIi
PjA8L2tleT48L2ZvcmVpZ24ta2V5cz48cmVmLXR5cGUgbmFtZT0iSm91cm5hbCBBcnRpY2xlIj4x
NzwvcmVmLXR5cGU+PGNvbnRyaWJ1dG9ycz48YXV0aG9ycz48YXV0aG9yPkxvemFubywgUC48L2F1
dGhvcj48YXV0aG9yPkJhcnJpZW50b3MtR3V0aWVycmV6LCBJLjwvYXV0aG9yPjxhdXRob3I+QXJp
bGxvLVNhbnRpbGxhbiwgRS48L2F1dGhvcj48YXV0aG9yPk1vcmVsbG8sIFAuPC9hdXRob3I+PGF1
dGhvcj5NZWppYSwgUi48L2F1dGhvcj48YXV0aG9yPlNhcmdlbnQsIEouIEQuPC9hdXRob3I+PGF1
dGhvcj5UaHJhc2hlciwgSi4gRi48L2F1dGhvcj48L2F1dGhvcnM+PC9jb250cmlidXRvcnM+PGF1
dGgtYWRkcmVzcz5IZWFsdGggUHJvbW90aW9uLCBFZHVjYXRpb24sIGFuZCBCZWhhdmlvciwgQXJu
b2xkIFNjaG9vbCBvZiBQdWJsaWMgSGVhbHRoLCBVbml2ZXJzaXR5IG9mIFNvdXRoIENhcm9saW5h
LCBDb2x1bWJpYSwgU291dGggQ2Fyb2xpbmEsIFVTQS4gRWxlY3Ryb25pYyBhZGRyZXNzOiBsb3ph
bm9wQGVtYWlsLnNjLmVkdS4mI3hEO0RlcGFydG1lbnQgb2YgVG9iYWNjbyBSZXNlYXJjaCwgQ2Vu
dGVyIGZvciBQb3B1bGF0aW9uIEhlYWx0aCBSZXNlYXJjaCBOYXRpb25hbCBJbnN0aXR1dGUgb2Yg
UHVibGljIEhlYWx0aCwgQ3Vlcm5hdmFjYSwgTWV4aWNvLiBFbGVjdHJvbmljIGFkZHJlc3M6IGlu
dGkuYmFycmllbnRvc0BpbnNwLm14LiYjeEQ7RGVwYXJ0bWVudCBvZiBUb2JhY2NvIFJlc2VhcmNo
LCBDZW50ZXIgZm9yIFBvcHVsYXRpb24gSGVhbHRoIFJlc2VhcmNoIE5hdGlvbmFsIEluc3RpdHV0
ZSBvZiBQdWJsaWMgSGVhbHRoLCBDdWVybmF2YWNhLCBNZXhpY28uIEVsZWN0cm9uaWMgYWRkcmVz
czogZWRuYUBpbnNwLm14LiYjeEQ7RGVwYXJ0bWVudCBvZiBIZWFsdGggRWNvbm9teSBhbmQgU29j
aWV0eSwgQ2VudHJvIGRlIEVzdHVkaW9zIGRlIEVzdGFkbyB5IFNvY2llZGFkLCBCdWVub3MgQWly
ZXMsIEFyZ2VudGluYS4gRWxlY3Ryb25pYyBhZGRyZXNzOiBwYW9sYW1vcmVsbG9AaG90bWFpbC5j
b20uJiN4RDtEZXBhcnRtZW50IG9mIEhlYWx0aCBFY29ub215IGFuZCBTb2NpZXR5LCBDZW50cm8g
ZGUgRXN0dWRpb3MgZGUgRXN0YWRvIHkgU29jaWVkYWQsIEJ1ZW5vcyBBaXJlcywgQXJnZW50aW5h
LiBFbGVjdHJvbmljIGFkZHJlc3M6IHJhdWxtZWppYUBjZWRlcy5vcmcuJiN4RDtDYW5jZXIgQ29u
dHJvbCBQcm9ncmFtLCBOb3JyaXMgQ290dG9uIENhbmNlciBDZW50ZXIsIExlYmFub24sIE5ldyBI
YW1wc2hpcmUsIFVTQS4gRWxlY3Ryb25pYyBhZGRyZXNzOiBKYW1lcy5ELlNhcmdlbnRAZGFydG1v
dXRoLmVkdS4mI3hEO0hlYWx0aCBQcm9tb3Rpb24sIEVkdWNhdGlvbiwgYW5kIEJlaGF2aW9yLCBB
cm5vbGQgU2Nob29sIG9mIFB1YmxpYyBIZWFsdGgsIFVuaXZlcnNpdHkgb2YgU291dGggQ2Fyb2xp
bmEsIENvbHVtYmlhLCBTb3V0aCBDYXJvbGluYSwgVVNBOyBEZXBhcnRtZW50IG9mIFRvYmFjY28g
UmVzZWFyY2gsIENlbnRlciBmb3IgUG9wdWxhdGlvbiBIZWFsdGggUmVzZWFyY2ggTmF0aW9uYWwg
SW5zdGl0dXRlIG9mIFB1YmxpYyBIZWFsdGgsIEN1ZXJuYXZhY2EsIE1leGljby4gRWxlY3Ryb25p
YyBhZGRyZXNzOiB0aHJhc2hlckBtYWlsYm94LnNjLmVkdS48L2F1dGgtYWRkcmVzcz48dGl0bGVz
Pjx0aXRsZT5BIGxvbmdpdHVkaW5hbCBzdHVkeSBvZiBlbGVjdHJvbmljIGNpZ2FyZXR0ZSB1c2Ug
YW5kIG9uc2V0IG9mIGNvbnZlbnRpb25hbCBjaWdhcmV0dGUgc21va2luZyBhbmQgbWFyaWp1YW5h
IHVzZSBhbW9uZyBNZXhpY2FuIGFkb2xlc2NlbnRzPC90aXRsZT48c2Vjb25kYXJ5LXRpdGxlPkRy
dWcgQWxjb2hvbCBEZXBlbmQ8L3NlY29uZGFyeS10aXRsZT48YWx0LXRpdGxlPkRydWcgYW5kIGFs
Y29ob2wgZGVwZW5kZW5jZTwvYWx0LXRpdGxlPjwvdGl0bGVzPjxhbHQtcGVyaW9kaWNhbD48ZnVs
bC10aXRsZT5EcnVnIGFuZCBBbGNvaG9sIERlcGVuZGVuY2U8L2Z1bGwtdGl0bGU+PC9hbHQtcGVy
aW9kaWNhbD48cGFnZXM+NDI3LTQzMDwvcGFnZXM+PHZvbHVtZT4xODA8L3ZvbHVtZT48ZWRpdGlv
bj4yMDE3LzEwLzExPC9lZGl0aW9uPjxrZXl3b3Jkcz48a2V5d29yZD5BZG9sZXNjZW50czwva2V5
d29yZD48a2V5d29yZD5FbGVjdHJvbmljIGNpZ2FyZXR0ZXM8L2tleXdvcmQ+PGtleXdvcmQ+TWFy
aWp1YW5hPC9rZXl3b3JkPjxrZXl3b3JkPk1leGljbzwva2V5d29yZD48a2V5d29yZD5UcmlhbDwv
a2V5d29yZD48L2tleXdvcmRzPjxkYXRlcz48eWVhcj4yMDE3PC95ZWFyPjxwdWItZGF0ZXM+PGRh
dGU+Tm92IDE8L2RhdGU+PC9wdWItZGF0ZXM+PC9kYXRlcz48aXNibj4wMzc2LTg3MTY8L2lzYm4+
PGFjY2Vzc2lvbi1udW0+Mjg5ODgwMDU8L2FjY2Vzc2lvbi1udW0+PHVybHM+PHJlbGF0ZWQtdXJs
cz48dXJsPmh0dHA6Ly93d3cuZHJ1Z2FuZGFsY29ob2xkZXBlbmRlbmNlLmNvbS9hcnRpY2xlL1Mw
Mzc2LTg3MTYoMTcpMzA0ODItOS9wZGY8L3VybD48L3JlbGF0ZWQtdXJscz48L3VybHM+PGN1c3Rv
bTI+UE1DNTc3MTQ0MDwvY3VzdG9tMj48Y3VzdG9tNj5OSUhNUzkxMTQ3ODwvY3VzdG9tNj48ZWxl
Y3Ryb25pYy1yZXNvdXJjZS1udW0+MTAuMTAxNi9qLmRydWdhbGNkZXAuMjAxNy4wOS4wMDE8L2Vs
ZWN0cm9uaWMtcmVzb3VyY2UtbnVtPjxyZW1vdGUtZGF0YWJhc2UtcHJvdmlkZXI+TkxNPC9yZW1v
dGUtZGF0YWJhc2UtcHJvdmlkZXI+PGxhbmd1YWdlPmVuZzwvbGFuZ3VhZ2U+PC9yZWNvcmQ+PC9D
aXRlPjxDaXRlPjxBdXRob3I+UGVhcmNlPC9BdXRob3I+PFllYXI+MjAxNzwvWWVhcj48UmVjTnVt
PjU4ODY8L1JlY051bT48cmVjb3JkPjxyZWMtbnVtYmVyPjU4ODY8L3JlYy1udW1iZXI+PGZvcmVp
Z24ta2V5cz48a2V5IGFwcD0iRU4iIGRiLWlkPSI5ejA1ZHowcHJhYWRmdWVlMHpveHplZGs5emZl
NWZ4eDUwejUiIHRpbWVzdGFtcD0iMTUyMzkyMTAzMyI+NTg4Njwva2V5PjxrZXkgYXBwPSJFTldl
YiIgZGItaWQ9IiI+MDwva2V5PjwvZm9yZWlnbi1rZXlzPjxyZWYtdHlwZSBuYW1lPSJKb3VybmFs
IEFydGljbGUiPjE3PC9yZWYtdHlwZT48Y29udHJpYnV0b3JzPjxhdXRob3JzPjxhdXRob3I+UGVh
cmNlLCBKYW1pZTwvYXV0aG9yPjxhdXRob3I+QmVzdCwgQy48L2F1dGhvcj48YXV0aG9yPkhhc2Vl
biwgRi48L2F1dGhvcj48YXV0aG9yPkN1cnJpZSwgRC48L2F1dGhvcj48YXV0aG9yPk1hY0tpbnRv
c2gsIEEuIE0uPC9hdXRob3I+PGF1dGhvcj5TdGVhZCwgTS48L2F1dGhvcj48YXV0aG9yPkVhZGll
LCBELjwvYXV0aG9yPjxhdXRob3I+TWFjR3JlZ29yLCBBLjwvYXV0aG9yPjxhdXRob3I+QW1vcywg
QS48L2F1dGhvcj48YXV0aG9yPkZyYW5rLCBKLjwvYXV0aG9yPjxhdXRob3I+SGF3LCBTLjwvYXV0
aG9yPjwvYXV0aG9ycz48L2NvbnRyaWJ1dG9ycz48dGl0bGVzPjx0aXRsZT5FbGVjdHJvbmljIGNp
Z2FyZXR0ZSB1c2UgYW5kIHNtb2tpbmcgaW5pdGlhdGlvbiBpbiBTY290dGlzaCBhZG9sZXNjZW50
czogYSBjb2hvcnQgc3R1ZHk8L3RpdGxlPjxzZWNvbmRhcnktdGl0bGU+RXVyb3BlYW4gSm91cm5h
bCBvZiBQdWJsaWMgSGVhbHRoPC9zZWNvbmRhcnktdGl0bGU+PC90aXRsZXM+PHBlcmlvZGljYWw+
PGZ1bGwtdGl0bGU+RXVyb3BlYW4gSm91cm5hbCBvZiBQdWJsaWMgSGVhbHRoPC9mdWxsLXRpdGxl
PjwvcGVyaW9kaWNhbD48cGFnZXM+MzgtMzg8L3BhZ2VzPjx2b2x1bWU+Mjc8L3ZvbHVtZT48ZGF0
ZXM+PHllYXI+MjAxNzwveWVhcj48cHViLWRhdGVzPjxkYXRlPk5vdjwvZGF0ZT48L3B1Yi1kYXRl
cz48L2RhdGVzPjxpc2JuPjExMDEtMTI2MjwvaXNibj48YWNjZXNzaW9uLW51bT5XT1M6MDAwNDE0
Mzg5ODAwMDc2PC9hY2Nlc3Npb24tbnVtPjx1cmxzPjxyZWxhdGVkLXVybHM+PHVybD4mbHQ7R28g
dG8gSVNJJmd0OzovL1dPUzowMDA0MTQzODk4MDAwNzY8L3VybD48L3JlbGF0ZWQtdXJscz48L3Vy
bHM+PC9yZWNvcmQ+PC9DaXRlPjxDaXRlPjxBdXRob3I+UGVuemVzPC9BdXRob3I+PFllYXI+MjAx
ODwvWWVhcj48UmVjTnVtPjQ2NzA8L1JlY051bT48cmVjb3JkPjxyZWMtbnVtYmVyPjQ2NzA8L3Jl
Yy1udW1iZXI+PGZvcmVpZ24ta2V5cz48a2V5IGFwcD0iRU4iIGRiLWlkPSI5ejA1ZHowcHJhYWRm
dWVlMHpveHplZGs5emZlNWZ4eDUwejUiIHRpbWVzdGFtcD0iMTUyMzkyMDMzNiI+NDY3MDwva2V5
PjxrZXkgYXBwPSJFTldlYiIgZGItaWQ9IiI+MDwva2V5PjwvZm9yZWlnbi1rZXlzPjxyZWYtdHlw
ZSBuYW1lPSJKb3VybmFsIEFydGljbGUiPjE3PC9yZWYtdHlwZT48Y29udHJpYnV0b3JzPjxhdXRo
b3JzPjxhdXRob3I+UGVuemVzLCBNLjwvYXV0aG9yPjxhdXRob3I+Rm9sZXksIEsuIEwuPC9hdXRo
b3I+PGF1dGhvcj5OYWRhc2FuLCBWLjwvYXV0aG9yPjxhdXRob3I+UGF1bGlrLCBFLjwvYXV0aG9y
PjxhdXRob3I+QWJyYW0sIFouPC9hdXRob3I+PGF1dGhvcj5VcmJhbiwgUi48L2F1dGhvcj48L2F1
dGhvcnM+PC9jb250cmlidXRvcnM+PGF1dGgtYWRkcmVzcz5JbnN0aXR1dGUgb2YgUHVibGljIEhl
YWx0aCwgRmFjdWx0eSBvZiBNZWRpY2luZSwgU2VtbWVsd2VpcyBVbml2ZXJzaXR5LCBCdWRhcGVz
dCwgVWxsb2kgdXQgMjYsIEJ1ZGFwZXN0IEgtMTA4OSwgSHVuZ2FyeS4mI3hEO0RlcGFydG1lbnQg
b2YgSW1wbGVtZW50YXRpb24gU2NpZW5jZSwgQ2FuY2VyIFByZXZlbnRpb24gYW5kIENvbnRyb2ws
IFdha2UgRm9yZXN0IFVuaXZlcnNpdHkgTWVkaWNhbCBTY2hvb2wsIE1lZGljYWwgQ2VudGVyIEJs
dmQuLCBXaW5zdG9uLVNhbGVtLCBOQyAyNzE1NywgVVNBLiYjeEQ7RGVwYXJ0bWVudCBvZiBIeWdp
ZW5lLCBVbml2ZXJzaXR5IG9mIE1lZGljaW5lIGFuZCBQaGFybWFjeSBUaXJndSBNdXJlcywgMzgg
R2hlb3JnaGUgTWFyaW5lc2N1IFN0cmVldCwgVGFyZ3UgTXVyZXMgNTQwMTM5LCBSb21hbmlhLiBF
bGVjdHJvbmljIGFkZHJlc3M6IHZhbGVudGluLm5hZGFzYW5AdW1mdGdtLnJvLiYjeEQ7RGVwYXJ0
bWVudCBvZiBQdWJsaWMgSGVhbHRoLCBGYWN1bHR5IG9mIE1lZGljaW5lLCBVbml2ZXJzaXR5IG9m
IFN6ZWdlZCwgRG9tIHRlciAxMCwgU3plZ2VkIEgtNjcyMCwgSHVuZ2FyeS4mI3hEO0RlcGFydG1l
bnQgb2YgSHlnaWVuZSwgVW5pdmVyc2l0eSBvZiBNZWRpY2luZSBhbmQgUGhhcm1hY3kgVGlyZ3Ug
TXVyZXMsIDM4IEdoZW9yZ2hlIE1hcmluZXNjdSBTdHJlZXQsIFRhcmd1IE11cmVzIDU0MDEzOSwg
Um9tYW5pYS4mI3hEO0luc3RpdHV0ZSBvZiBQc3ljaG9sb2d5LCBFb3R2b3MgTG9yYW5kIFVuaXZl
cnNpdHksIEJ1ZGFwZXN0LCBJemFiZWxsYSB1LiA0NiwgQnVkYXBlc3QgSC0xMDY0LCBIdW5nYXJ5
LjwvYXV0aC1hZGRyZXNzPjx0aXRsZXM+PHRpdGxlPkJpZGlyZWN0aW9uYWwgYXNzb2NpYXRpb25z
IG9mIGUtY2lnYXJldHRlLCBjb252ZW50aW9uYWwgY2lnYXJldHRlIGFuZCB3YXRlcnBpcGUgZXhw
ZXJpbWVudGF0aW9uIGFtb25nIGFkb2xlc2NlbnRzOiBBIGNyb3NzLWxhZ2dlZCBtb2RlbDwvdGl0
bGU+PHNlY29uZGFyeS10aXRsZT5BZGRpY3QgQmVoYXY8L3NlY29uZGFyeS10aXRsZT48YWx0LXRp
dGxlPkFkZGljdGl2ZSBiZWhhdmlvcnM8L2FsdC10aXRsZT48L3RpdGxlcz48YWx0LXBlcmlvZGlj
YWw+PGZ1bGwtdGl0bGU+QWRkaWN0aXZlIEJlaGF2aW9yczwvZnVsbC10aXRsZT48L2FsdC1wZXJp
b2RpY2FsPjxwYWdlcz41OS02NDwvcGFnZXM+PHZvbHVtZT44MDwvdm9sdW1lPjxlZGl0aW9uPjIw
MTgvMDEvMjM8L2VkaXRpb24+PGtleXdvcmRzPjxrZXl3b3JkPkFsdGVybmF0aXZlIHRvYmFjY288
L2tleXdvcmQ+PGtleXdvcmQ+RS1jaWdhcmV0dGU8L2tleXdvcmQ+PGtleXdvcmQ+Rm9sbG93LXVw
IHN0dWR5PC9rZXl3b3JkPjxrZXl3b3JkPk5vdmVsIHByb2R1Y3RzPC9rZXl3b3JkPjxrZXl3b3Jk
PlZhcGU8L2tleXdvcmQ+PGtleXdvcmQ+V2F0ZXJwaXBlPC9rZXl3b3JkPjwva2V5d29yZHM+PGRh
dGVzPjx5ZWFyPjIwMTg8L3llYXI+PHB1Yi1kYXRlcz48ZGF0ZT5NYXk8L2RhdGU+PC9wdWItZGF0
ZXM+PC9kYXRlcz48aXNibj4wMzA2LTQ2MDM8L2lzYm4+PGFjY2Vzc2lvbi1udW0+MjkzNTU4MTg8
L2FjY2Vzc2lvbi1udW0+PHVybHM+PHJlbGF0ZWQtdXJscz48dXJsPmh0dHBzOi8vd3d3LnNjaWVu
Y2VkaXJlY3QuY29tL3NjaWVuY2UvYXJ0aWNsZS9waWkvUzAzMDY0NjAzMTgzMDAxNTc/dmlhJTNE
aWh1YjwvdXJsPjwvcmVsYXRlZC11cmxzPjwvdXJscz48Y3VzdG9tMj5QTUM1ODA3MTU5PC9jdXN0
b20yPjxjdXN0b202Pk5JSE1TOTM1Njc1PC9jdXN0b202PjxlbGVjdHJvbmljLXJlc291cmNlLW51
bT4xMC4xMDE2L2ouYWRkYmVoLjIwMTguMDEuMDEwPC9lbGVjdHJvbmljLXJlc291cmNlLW51bT48
cmVtb3RlLWRhdGFiYXNlLXByb3ZpZGVyPk5MTTwvcmVtb3RlLWRhdGFiYXNlLXByb3ZpZGVyPjxs
YW5ndWFnZT5lbmc8L2xhbmd1YWdlPjwvcmVjb3JkPjwvQ2l0ZT48Q2l0ZT48QXV0aG9yPlRyZXVy
PC9BdXRob3I+PFllYXI+MjAxNzwvWWVhcj48UmVjTnVtPjU4MTg8L1JlY051bT48cmVjb3JkPjxy
ZWMtbnVtYmVyPjU4MTg8L3JlYy1udW1iZXI+PGZvcmVpZ24ta2V5cz48a2V5IGFwcD0iRU4iIGRi
LWlkPSI5ejA1ZHowcHJhYWRmdWVlMHpveHplZGs5emZlNWZ4eDUwejUiIHRpbWVzdGFtcD0iMTUy
MzkyMTAyNiI+NTgxODwva2V5PjxrZXkgYXBwPSJFTldlYiIgZGItaWQ9IiI+MDwva2V5PjwvZm9y
ZWlnbi1rZXlzPjxyZWYtdHlwZSBuYW1lPSJKb3VybmFsIEFydGljbGUiPjE3PC9yZWYtdHlwZT48
Y29udHJpYnV0b3JzPjxhdXRob3JzPjxhdXRob3I+VHJldXIsIEouIEwuPC9hdXRob3I+PGF1dGhv
cj5Sb3plbWEsIEEuIEQuPC9hdXRob3I+PGF1dGhvcj5NYXRoaWpzc2VuLCBKLiBKLiBQLjwvYXV0
aG9yPjxhdXRob3I+dmFuIE9lcnMsIEguPC9hdXRob3I+PGF1dGhvcj5WaW5rLCBKLiBNLjwvYXV0
aG9yPjwvYXV0aG9ycz48L2NvbnRyaWJ1dG9ycz48dGl0bGVzPjx0aXRsZT5FLWNpZ2FyZXR0ZSBh
bmQgd2F0ZXJwaXBlIHVzZSBpbiB0d28gYWRvbGVzY2VudCBjb2hvcnRzOiBjcm9zcy1zZWN0aW9u
YWwgYW5kIGxvbmdpdHVkaW5hbCBhc3NvY2lhdGlvbnMgd2l0aCBjb252ZW50aW9uYWwgY2lnYXJl
dHRlIHNtb2tpbmc8L3RpdGxlPjxzZWNvbmRhcnktdGl0bGU+RXVyb3BlYW4gSm91cm5hbCBvZiBF
cGlkZW1pb2xvZ3k8L3NlY29uZGFyeS10aXRsZT48L3RpdGxlcz48cGVyaW9kaWNhbD48ZnVsbC10
aXRsZT5FdXJvcGVhbiBKb3VybmFsIG9mIEVwaWRlbWlvbG9neTwvZnVsbC10aXRsZT48L3Blcmlv
ZGljYWw+PHBhZ2VzPjEtMTI8L3BhZ2VzPjxkYXRlcz48eWVhcj4yMDE3PC95ZWFyPjwvZGF0ZXM+
PHVybHM+PHJlbGF0ZWQtdXJscz48dXJsPmh0dHBzOi8vd3d3LnNjb3B1cy5jb20vaW53YXJkL3Jl
Y29yZC51cmk/ZWlkPTItczIuMC04NTAzODM1NTc1NyZhbXA7ZG9pPTEwLjEwMDclMmZzMTA2NTQt
MDE3LTAzNDUtOSZhbXA7cGFydG5lcklEPTQwJmFtcDttZDU9MDc5OGQ0MTNhZGM5Y2Y0NDFjYjZi
NWRlZDlmMGU1ZmU8L3VybD48dXJsPmh0dHBzOi8vbGluay5zcHJpbmdlci5jb20vY29udGVudC9w
ZGYvMTAuMTAwNyUyRnMxMDY1NC0wMTctMDM0NS05LnBkZjwvdXJsPjwvcmVsYXRlZC11cmxzPjwv
dXJscz48ZWxlY3Ryb25pYy1yZXNvdXJjZS1udW0+MTAuMTAwNy9zMTA2NTQtMDE3LTAzNDUtOTwv
ZWxlY3Ryb25pYy1yZXNvdXJjZS1udW0+PHJlbW90ZS1kYXRhYmFzZS1uYW1lPlNjb3B1czwvcmVt
b3RlLWRhdGFiYXNlLW5hbWU+PC9yZWNvcmQ+PC9DaXRlPjxDaXRlPjxBdXRob3I+TW9yZ2Vuc3Rl
cm48L0F1dGhvcj48WWVhcj4yMDE4PC9ZZWFyPjxSZWNOdW0+MTA0Njg8L1JlY051bT48cmVjb3Jk
PjxyZWMtbnVtYmVyPjEwNDY4PC9yZWMtbnVtYmVyPjxmb3JlaWduLWtleXM+PGtleSBhcHA9IkVO
IiBkYi1pZD0iOXowNWR6MHByYWFkZnVlZTB6b3h6ZWRrOXpmZTVmeHg1MHo1IiB0aW1lc3RhbXA9
IjE1MjY4Njk4NzgiPjEwNDY4PC9rZXk+PGtleSBhcHA9IkVOV2ViIiBkYi1pZD0iIj4wPC9rZXk+
PC9mb3JlaWduLWtleXM+PHJlZi10eXBlIG5hbWU9IkpvdXJuYWwgQXJ0aWNsZSI+MTc8L3JlZi10
eXBlPjxjb250cmlidXRvcnM+PGF1dGhvcnM+PGF1dGhvcj5Nb3JnZW5zdGVybiwgTWF0dGhpczwv
YXV0aG9yPjxhdXRob3I+TmllcywgQWxpbmE8L2F1dGhvcj48YXV0aG9yPkdvZWNrZSwgTWljaGFl
bGE8L2F1dGhvcj48YXV0aG9yPkhhbmV3aW5rZWwsIFJlaW5lcjwvYXV0aG9yPjwvYXV0aG9ycz48
L2NvbnRyaWJ1dG9ycz48dGl0bGVzPjx0aXRsZT5FLUNpZ2FyZXR0ZXMgYW5kIHRoZSBVc2Ugb2Yg
Q29udmVudGlvbmFsIENpZ2FyZXR0ZXM8L3RpdGxlPjxzZWNvbmRhcnktdGl0bGU+RGV1dHNjaGVz
IEFyenRlYmxhdHQgSW50ZXJuYXRpb25hbDwvc2Vjb25kYXJ5LXRpdGxlPjwvdGl0bGVzPjxwZXJp
b2RpY2FsPjxmdWxsLXRpdGxlPkRldXRzY2hlcyBBcnp0ZWJsYXR0IEludGVybmF0aW9uYWw8L2Z1
bGwtdGl0bGU+PC9wZXJpb2RpY2FsPjxwYWdlcz4yNDMtKzwvcGFnZXM+PHZvbHVtZT4xMTU8L3Zv
bHVtZT48bnVtYmVyPjE0PC9udW1iZXI+PGRhdGVzPjx5ZWFyPjIwMTg8L3llYXI+PHB1Yi1kYXRl
cz48ZGF0ZT5BcHIgNjwvZGF0ZT48L3B1Yi1kYXRlcz48L2RhdGVzPjxpc2JuPjE4NjYtMDQ1Mjwv
aXNibj48YWNjZXNzaW9uLW51bT5XT1M6MDAwNDMxMTQ5NzAwMDA0PC9hY2Nlc3Npb24tbnVtPjx1
cmxzPjxyZWxhdGVkLXVybHM+PHVybD4mbHQ7R28gdG8gSVNJJmd0OzovL1dPUzowMDA0MzExNDk3
MDAwMDQ8L3VybD48dXJsPmh0dHBzOi8vd3d3Lm5jYmkubmxtLm5paC5nb3YvcG1jL2FydGljbGVz
L1BNQzU5Mzg1NDcvcGRmL0R0c2NoX0FyenRlYmxfSW50LTExNV8wMjQzLnBkZjwvdXJsPjwvcmVs
YXRlZC11cmxzPjwvdXJscz48ZWxlY3Ryb25pYy1yZXNvdXJjZS1udW0+MTAuMzIzOC9hcnp0ZWJs
LjIwMTguMDI0MzwvZWxlY3Ryb25pYy1yZXNvdXJjZS1udW0+PC9yZWNvcmQ+PC9DaXRlPjwvRW5k
Tm90ZT5=
</w:fldData>
        </w:fldChar>
      </w:r>
      <w:r w:rsidR="004E728C">
        <w:instrText xml:space="preserve"> ADDIN EN.CITE </w:instrText>
      </w:r>
      <w:r w:rsidR="004E728C">
        <w:fldChar w:fldCharType="begin">
          <w:fldData xml:space="preserve">PEVuZE5vdGU+PENpdGU+PEF1dGhvcj5DaGFmZmVlPC9BdXRob3I+PFllYXI+MjAxODwvWWVhcj48
UmVjTnVtPjQ1NzY8L1JlY051bT48RGlzcGxheVRleHQ+KEtpbm51bmVuLCBNaW5ra2luZW4gZXQg
YWwuIDIwMTcsIExvemFubywgQmFycmllbnRvcy1HdXRpZXJyZXogZXQgYWwuIDIwMTcsIFBlYXJj
ZSwgQmVzdCBldCBhbC4gMjAxNywgVHJldXIsIFJvemVtYSBldCBhbC4gMjAxNywgQ2hhZmZlZSwg
V2F0a2lucyBldCBhbC4gMjAxOCwgRWFzdCwgSGl0Y2htYW4gZXQgYWwuIDIwMTgsIE1vcmdlbnN0
ZXJuLCBOaWVzIGV0IGFsLiAyMDE4LCBQZW56ZXMsIEZvbGV5IGV0IGFsLiAyMDE4KTwvRGlzcGxh
eVRleHQ+PHJlY29yZD48cmVjLW51bWJlcj40NTc2PC9yZWMtbnVtYmVyPjxmb3JlaWduLWtleXM+
PGtleSBhcHA9IkVOIiBkYi1pZD0iOXowNWR6MHByYWFkZnVlZTB6b3h6ZWRrOXpmZTVmeHg1MHo1
IiB0aW1lc3RhbXA9IjE1MjM5MjAyMDkiPjQ1NzY8L2tleT48a2V5IGFwcD0iRU5XZWIiIGRiLWlk
PSIiPjA8L2tleT48L2ZvcmVpZ24ta2V5cz48cmVmLXR5cGUgbmFtZT0iSm91cm5hbCBBcnRpY2xl
Ij4xNzwvcmVmLXR5cGU+PGNvbnRyaWJ1dG9ycz48YXV0aG9ycz48YXV0aG9yPkNoYWZmZWUsIEIu
IFcuPC9hdXRob3I+PGF1dGhvcj5XYXRraW5zLCBTLiBMLjwvYXV0aG9yPjxhdXRob3I+R2xhbnR6
LCBTLiBBLjwvYXV0aG9yPjwvYXV0aG9ycz48L2NvbnRyaWJ1dG9ycz48YXV0aC1hZGRyZXNzPkNl
bnRlciBmb3IgVG9iYWNjbyBDb250cm9sIFJlc2VhcmNoIGFuZCBFZHVjYXRpb24sIGJlbmphbWlu
LmNoYWZmZWVAdWNzZi5lZHUuJiN4RDtEZXBhcnRtZW50cyBvZiBQcmV2ZW50aXZlIGFuZCBSZXN0
b3JhdGl2ZSBEZW50YWwgU2NpZW5jZXMgYW5kLiYjeEQ7Q2VudGVyIGZvciBUb2JhY2NvIENvbnRy
b2wgUmVzZWFyY2ggYW5kIEVkdWNhdGlvbi4mI3hEO01lZGljaW5lLCBVbml2ZXJzaXR5IG9mIENh
bGlmb3JuaWEsIFNhbiBGcmFuY2lzY28sIFNhbiBGcmFuY2lzY28sIENhbGlmb3JuaWEuJiN4RDtQ
aGlsaXAgUi4gTGVlIEluc3RpdHV0ZSBmb3IgSGVhbHRoIFBvbGljeSBTdHVkaWVzLCBhbmQuPC9h
dXRoLWFkZHJlc3M+PHRpdGxlcz48dGl0bGU+RWxlY3Ryb25pYyBDaWdhcmV0dGUgVXNlIGFuZCBQ
cm9ncmVzc2lvbiBGcm9tIEV4cGVyaW1lbnRhdGlvbiB0byBFc3RhYmxpc2hlZCBTbW9raW5nPC90
aXRsZT48c2Vjb25kYXJ5LXRpdGxlPlBlZGlhdHJpY3M8L3NlY29uZGFyeS10aXRsZT48YWx0LXRp
dGxlPlBlZGlhdHJpY3M8L2FsdC10aXRsZT48L3RpdGxlcz48cGVyaW9kaWNhbD48ZnVsbC10aXRs
ZT5QZWRpYXRyaWNzPC9mdWxsLXRpdGxlPjwvcGVyaW9kaWNhbD48YWx0LXBlcmlvZGljYWw+PGZ1
bGwtdGl0bGU+UGVkaWF0cmljczwvZnVsbC10aXRsZT48L2FsdC1wZXJpb2RpY2FsPjxlZGl0aW9u
PjIwMTgvMDMvMDc8L2VkaXRpb24+PGRhdGVzPjx5ZWFyPjIwMTg8L3llYXI+PHB1Yi1kYXRlcz48
ZGF0ZT5NYXIgNTwvZGF0ZT48L3B1Yi1kYXRlcz48L2RhdGVzPjxpc2JuPjAwMzEtNDAwNTwvaXNi
bj48YWNjZXNzaW9uLW51bT4yOTUwNzE2NzwvYWNjZXNzaW9uLW51bT48dXJscz48cmVsYXRlZC11
cmxzPjx1cmw+aHR0cDovL3BlZGlhdHJpY3MuYWFwcHVibGljYXRpb25zLm9yZy9jb250ZW50L3Bl
ZGlhdHJpY3MvZWFybHkvMjAxOC8wMy8wMS9wZWRzLjIwMTctMzU5NC5mdWxsLnBkZjwvdXJsPjwv
cmVsYXRlZC11cmxzPjwvdXJscz48ZWxlY3Ryb25pYy1yZXNvdXJjZS1udW0+MTAuMTU0Mi9wZWRz
LjIwMTctMzU5NDwvZWxlY3Ryb25pYy1yZXNvdXJjZS1udW0+PHJlbW90ZS1kYXRhYmFzZS1wcm92
aWRlcj5OTE08L3JlbW90ZS1kYXRhYmFzZS1wcm92aWRlcj48bGFuZ3VhZ2U+ZW5nPC9sYW5ndWFn
ZT48L3JlY29yZD48L0NpdGU+PENpdGU+PEF1dGhvcj5FYXN0PC9BdXRob3I+PFllYXI+MjAxODwv
WWVhcj48UmVjTnVtPjQ1NTc8L1JlY051bT48cmVjb3JkPjxyZWMtbnVtYmVyPjQ1NTc8L3JlYy1u
dW1iZXI+PGZvcmVpZ24ta2V5cz48a2V5IGFwcD0iRU4iIGRiLWlkPSI5ejA1ZHowcHJhYWRmdWVl
MHpveHplZGs5emZlNWZ4eDUwejUiIHRpbWVzdGFtcD0iMTUyMzkyMDE2OCI+NDU1Nzwva2V5Pjxr
ZXkgYXBwPSJFTldlYiIgZGItaWQ9IiI+MDwva2V5PjwvZm9yZWlnbi1rZXlzPjxyZWYtdHlwZSBu
YW1lPSJKb3VybmFsIEFydGljbGUiPjE3PC9yZWYtdHlwZT48Y29udHJpYnV0b3JzPjxhdXRob3Jz
PjxhdXRob3I+RWFzdCwgSy48L2F1dGhvcj48YXV0aG9yPkhpdGNobWFuLCBTLiBDLjwvYXV0aG9y
PjxhdXRob3I+QmFrb2xpcywgSS48L2F1dGhvcj48YXV0aG9yPldpbGxpYW1zLCBTLjwvYXV0aG9y
PjxhdXRob3I+Q2hlZXNlbWFuLCBILjwvYXV0aG9yPjxhdXRob3I+QXJub3R0LCBELjwvYXV0aG9y
PjxhdXRob3I+TWNOZWlsbCwgQS48L2F1dGhvcj48L2F1dGhvcnM+PC9jb250cmlidXRvcnM+PGF1
dGgtYWRkcmVzcz5BZGRpY3Rpb25zIERlcGFydG1lbnQsIEluc3RpdHV0ZSBvZiBQc3ljaGlhdHJ5
LCBQc3ljaG9sb2d5IGFuZCBOZXVyb3NjaWVuY2UsIEtpbmcmYXBvcztzIENvbGxlZ2UgTG9uZG9u
LCBMb25kb24sIFVLOyBVSyBDZW50cmUgZm9yIFRvYmFjY28gYW5kIEFsY29ob2wgU3R1ZGllcywg
Q2xpbmljYWwgU2NpZW5jZXMgQnVpbGRpbmcsIFVuaXZlcnNpdHkgb2YgTm90dGluZ2hhbSwgTm90
dGluZ2hhbSwgVUsuIEVsZWN0cm9uaWMgYWRkcmVzczogS2F0aGVyaW5lLmVhc3RAa2NsLmFjLnVr
LiYjeEQ7QWRkaWN0aW9ucyBEZXBhcnRtZW50LCBJbnN0aXR1dGUgb2YgUHN5Y2hpYXRyeSwgUHN5
Y2hvbG9neSBhbmQgTmV1cm9zY2llbmNlLCBLaW5nJmFwb3M7cyBDb2xsZWdlIExvbmRvbiwgTG9u
ZG9uLCBVSzsgVUsgQ2VudHJlIGZvciBUb2JhY2NvIGFuZCBBbGNvaG9sIFN0dWRpZXMsIENsaW5p
Y2FsIFNjaWVuY2VzIEJ1aWxkaW5nLCBVbml2ZXJzaXR5IG9mIE5vdHRpbmdoYW0sIE5vdHRpbmdo
YW0sIFVLLiYjeEQ7RGVwYXJ0bWVudCBvZiBCaW9zdGF0aXN0aWNzIGFuZCBIZWFsdGggSW5mb3Jt
YXRpY3MsIEluc3RpdHV0ZSBvZiBQc3ljaGlhdHJ5LCBQc3ljaG9sb2d5IGFuZCBOZXVyb3NjaWVu
Y2UsIEtpbmcmYXBvcztzIENvbGxlZ2UgTG9uZG9uLCBMb25kb24sIFVLOyBDZW50cmUgZm9yIElt
cGxlbWVudGF0aW9uIFNjaWVuY2UsIERlcGFydG1lbnQgb2YgSGVhbHRoIFNlcnZpY2VzIGFuZCBQ
b3B1bGF0aW9uIFJlc2VhcmNoLCBJbnN0aXR1dGUgb2YgUHN5Y2hpYXRyeSwgUHN5Y2hvbG9neSBh
bmQgTmV1cm9zY2llbmNlLCBLaW5nJmFwb3M7cyBDb2xsZWdlIExvbmRvbiwgTG9uZG9uLCBVSy4m
I3hEO1B1YmxpYyBIZWFsdGggRW5nbGFuZCwgTG9uZG9uLCBVSzsgQWN0aW9uIG9uIFNtb2tpbmcg
YW5kIEhlYWx0aCBVSywgTG9uZG9uLCBVSy4mI3hEO0FjdGlvbiBvbiBTbW9raW5nIGFuZCBIZWFs
dGggVUssIExvbmRvbiwgVUsuPC9hdXRoLWFkZHJlc3M+PHRpdGxlcz48dGl0bGU+VGhlIEFzc29j
aWF0aW9uIEJldHdlZW4gU21va2luZyBhbmQgRWxlY3Ryb25pYyBDaWdhcmV0dGUgVXNlIGluIGEg
Q29ob3J0IG9mIFlvdW5nIFBlb3BsZTwvdGl0bGU+PHNlY29uZGFyeS10aXRsZT5KIEFkb2xlc2Mg
SGVhbHRoPC9zZWNvbmRhcnktdGl0bGU+PGFsdC10aXRsZT5UaGUgSm91cm5hbCBvZiBhZG9sZXNj
ZW50IGhlYWx0aCA6IG9mZmljaWFsIHB1YmxpY2F0aW9uIG9mIHRoZSBTb2NpZXR5IGZvciBBZG9s
ZXNjZW50IE1lZGljaW5lPC9hbHQtdGl0bGU+PC90aXRsZXM+PHBlcmlvZGljYWw+PGZ1bGwtdGl0
bGU+SiBBZG9sZXNjIEhlYWx0aDwvZnVsbC10aXRsZT48YWJici0xPlRoZSBKb3VybmFsIG9mIGFk
b2xlc2NlbnQgaGVhbHRoIDogb2ZmaWNpYWwgcHVibGljYXRpb24gb2YgdGhlIFNvY2lldHkgZm9y
IEFkb2xlc2NlbnQgTWVkaWNpbmU8L2FiYnItMT48L3BlcmlvZGljYWw+PGFsdC1wZXJpb2RpY2Fs
PjxmdWxsLXRpdGxlPkogQWRvbGVzYyBIZWFsdGg8L2Z1bGwtdGl0bGU+PGFiYnItMT5UaGUgSm91
cm5hbCBvZiBhZG9sZXNjZW50IGhlYWx0aCA6IG9mZmljaWFsIHB1YmxpY2F0aW9uIG9mIHRoZSBT
b2NpZXR5IGZvciBBZG9sZXNjZW50IE1lZGljaW5lPC9hYmJyLTE+PC9hbHQtcGVyaW9kaWNhbD48
ZWRpdGlvbj4yMDE4LzAzLzA0PC9lZGl0aW9uPjxrZXl3b3Jkcz48a2V5d29yZD5BZG9sZXNjZW50
PC9rZXl3b3JkPjxrZXl3b3JkPkUtY2lnYXJldHRlczwva2V5d29yZD48a2V5d29yZD5FbGVjdHJv
bmljIGNpZ2FyZXR0ZXM8L2tleXdvcmQ+PGtleXdvcmQ+TG9uZ2l0dWRpbmFsIHN0dWRpZXM8L2tl
eXdvcmQ+PGtleXdvcmQ+Tmljb3RpbmU8L2tleXdvcmQ+PGtleXdvcmQ+U21va2luZzwva2V5d29y
ZD48a2V5d29yZD5Ub2JhY2NvPC9rZXl3b3JkPjxrZXl3b3JkPllvdW5nIHBlb3BsZTwva2V5d29y
ZD48a2V5d29yZD5Zb3V0aDwva2V5d29yZD48L2tleXdvcmRzPjxkYXRlcz48eWVhcj4yMDE4PC95
ZWFyPjxwdWItZGF0ZXM+PGRhdGU+RmViIDIxPC9kYXRlPjwvcHViLWRhdGVzPjwvZGF0ZXM+PGlz
Ym4+MTA1NC0xMzl4PC9pc2JuPjxhY2Nlc3Npb24tbnVtPjI5NDk5OTgzPC9hY2Nlc3Npb24tbnVt
Pjx1cmxzPjxyZWxhdGVkLXVybHM+PHVybD5odHRwOi8vd3d3LmphaG9ubGluZS5vcmcvYXJ0aWNs
ZS9TMTA1NC0xMzlYKDE3KTMwOTAzLTUvcGRmPC91cmw+PC9yZWxhdGVkLXVybHM+PC91cmxzPjxl
bGVjdHJvbmljLXJlc291cmNlLW51bT4xMC4xMDE2L2ouamFkb2hlYWx0aC4yMDE3LjExLjMwMTwv
ZWxlY3Ryb25pYy1yZXNvdXJjZS1udW0+PHJlbW90ZS1kYXRhYmFzZS1wcm92aWRlcj5OTE08L3Jl
bW90ZS1kYXRhYmFzZS1wcm92aWRlcj48bGFuZ3VhZ2U+ZW5nPC9sYW5ndWFnZT48L3JlY29yZD48
L0NpdGU+PENpdGU+PEF1dGhvcj5LaW5udW5lbjwvQXV0aG9yPjxZZWFyPjIwMTc8L1llYXI+PFJl
Y051bT4xODY3PC9SZWNOdW0+PHJlY29yZD48cmVjLW51bWJlcj4xODY3PC9yZWMtbnVtYmVyPjxm
b3JlaWduLWtleXM+PGtleSBhcHA9IkVOIiBkYi1pZD0iOXZzOXB6ZnpuYXB4cGhlZmEyOHh6dzk1
c2Y1YXYwc3Y5cmR6IiB0aW1lc3RhbXA9IjE1MjExNTk0ODQiPjE4Njc8L2tleT48L2ZvcmVpZ24t
a2V5cz48cmVmLXR5cGUgbmFtZT0iSm91cm5hbCBBcnRpY2xlIj4xNzwvcmVmLXR5cGU+PGNvbnRy
aWJ1dG9ycz48YXV0aG9ycz48YXV0aG9yPktpbm51bmVuLCBKLiBNLjwvYXV0aG9yPjxhdXRob3I+
TWlua2tpbmVuLCBKLiBMLiBLLjwvYXV0aG9yPjxhdXRob3I+T2xsaWxhLCBILjwvYXV0aG9yPjxh
dXRob3I+UmltcGVsYSwgQS48L2F1dGhvcj48L2F1dGhvcnM+PC9jb250cmlidXRvcnM+PHRpdGxl
cz48dGl0bGU+Rm9sbG93LXVwIG9mIGFkb2xlc2NlbnQgZWxlY3Ryb25pYyBjaWdhcmV0dGUgdXNl
IGluIEZpbmxhbmQ8L3RpdGxlPjxzZWNvbmRhcnktdGl0bGU+RXVyb3BlYW4gSm91cm5hbCBvZiBQ
dWJsaWMgSGVhbHRoPC9zZWNvbmRhcnktdGl0bGU+PC90aXRsZXM+PHBlcmlvZGljYWw+PGZ1bGwt
dGl0bGU+RXVyb3BlYW4gSm91cm5hbCBvZiBQdWJsaWMgSGVhbHRoPC9mdWxsLXRpdGxlPjwvcGVy
aW9kaWNhbD48dm9sdW1lPjI3PC92b2x1bWU+PGRhdGVzPjx5ZWFyPjIwMTc8L3llYXI+PHB1Yi1k
YXRlcz48ZGF0ZT5Ob3Y8L2RhdGU+PC9wdWItZGF0ZXM+PC9kYXRlcz48aXNibj4xMTAxLTEyNjI8
L2lzYm4+PGFjY2Vzc2lvbi1udW0+V09TOjAwMDQxNDM4OTgwMTA4MzwvYWNjZXNzaW9uLW51bT48
dXJscz48cmVsYXRlZC11cmxzPjx1cmw+Jmx0O0dvIHRvIElTSSZndDs6Ly9XT1M6MDAwNDE0Mzg5
ODAxMDgzPC91cmw+PC9yZWxhdGVkLXVybHM+PC91cmxzPjwvcmVjb3JkPjwvQ2l0ZT48Q2l0ZT48
QXV0aG9yPkxvemFubzwvQXV0aG9yPjxZZWFyPjIwMTc8L1llYXI+PFJlY051bT40ODk5PC9SZWNO
dW0+PHJlY29yZD48cmVjLW51bWJlcj40ODk5PC9yZWMtbnVtYmVyPjxmb3JlaWduLWtleXM+PGtl
eSBhcHA9IkVOIiBkYi1pZD0iOXowNWR6MHByYWFkZnVlZTB6b3h6ZWRrOXpmZTVmeHg1MHo1IiB0
aW1lc3RhbXA9IjE1MjM5MjA1OTEiPjQ4OTk8L2tleT48a2V5IGFwcD0iRU5XZWIiIGRiLWlkPSIi
PjA8L2tleT48L2ZvcmVpZ24ta2V5cz48cmVmLXR5cGUgbmFtZT0iSm91cm5hbCBBcnRpY2xlIj4x
NzwvcmVmLXR5cGU+PGNvbnRyaWJ1dG9ycz48YXV0aG9ycz48YXV0aG9yPkxvemFubywgUC48L2F1
dGhvcj48YXV0aG9yPkJhcnJpZW50b3MtR3V0aWVycmV6LCBJLjwvYXV0aG9yPjxhdXRob3I+QXJp
bGxvLVNhbnRpbGxhbiwgRS48L2F1dGhvcj48YXV0aG9yPk1vcmVsbG8sIFAuPC9hdXRob3I+PGF1
dGhvcj5NZWppYSwgUi48L2F1dGhvcj48YXV0aG9yPlNhcmdlbnQsIEouIEQuPC9hdXRob3I+PGF1
dGhvcj5UaHJhc2hlciwgSi4gRi48L2F1dGhvcj48L2F1dGhvcnM+PC9jb250cmlidXRvcnM+PGF1
dGgtYWRkcmVzcz5IZWFsdGggUHJvbW90aW9uLCBFZHVjYXRpb24sIGFuZCBCZWhhdmlvciwgQXJu
b2xkIFNjaG9vbCBvZiBQdWJsaWMgSGVhbHRoLCBVbml2ZXJzaXR5IG9mIFNvdXRoIENhcm9saW5h
LCBDb2x1bWJpYSwgU291dGggQ2Fyb2xpbmEsIFVTQS4gRWxlY3Ryb25pYyBhZGRyZXNzOiBsb3ph
bm9wQGVtYWlsLnNjLmVkdS4mI3hEO0RlcGFydG1lbnQgb2YgVG9iYWNjbyBSZXNlYXJjaCwgQ2Vu
dGVyIGZvciBQb3B1bGF0aW9uIEhlYWx0aCBSZXNlYXJjaCBOYXRpb25hbCBJbnN0aXR1dGUgb2Yg
UHVibGljIEhlYWx0aCwgQ3Vlcm5hdmFjYSwgTWV4aWNvLiBFbGVjdHJvbmljIGFkZHJlc3M6IGlu
dGkuYmFycmllbnRvc0BpbnNwLm14LiYjeEQ7RGVwYXJ0bWVudCBvZiBUb2JhY2NvIFJlc2VhcmNo
LCBDZW50ZXIgZm9yIFBvcHVsYXRpb24gSGVhbHRoIFJlc2VhcmNoIE5hdGlvbmFsIEluc3RpdHV0
ZSBvZiBQdWJsaWMgSGVhbHRoLCBDdWVybmF2YWNhLCBNZXhpY28uIEVsZWN0cm9uaWMgYWRkcmVz
czogZWRuYUBpbnNwLm14LiYjeEQ7RGVwYXJ0bWVudCBvZiBIZWFsdGggRWNvbm9teSBhbmQgU29j
aWV0eSwgQ2VudHJvIGRlIEVzdHVkaW9zIGRlIEVzdGFkbyB5IFNvY2llZGFkLCBCdWVub3MgQWly
ZXMsIEFyZ2VudGluYS4gRWxlY3Ryb25pYyBhZGRyZXNzOiBwYW9sYW1vcmVsbG9AaG90bWFpbC5j
b20uJiN4RDtEZXBhcnRtZW50IG9mIEhlYWx0aCBFY29ub215IGFuZCBTb2NpZXR5LCBDZW50cm8g
ZGUgRXN0dWRpb3MgZGUgRXN0YWRvIHkgU29jaWVkYWQsIEJ1ZW5vcyBBaXJlcywgQXJnZW50aW5h
LiBFbGVjdHJvbmljIGFkZHJlc3M6IHJhdWxtZWppYUBjZWRlcy5vcmcuJiN4RDtDYW5jZXIgQ29u
dHJvbCBQcm9ncmFtLCBOb3JyaXMgQ290dG9uIENhbmNlciBDZW50ZXIsIExlYmFub24sIE5ldyBI
YW1wc2hpcmUsIFVTQS4gRWxlY3Ryb25pYyBhZGRyZXNzOiBKYW1lcy5ELlNhcmdlbnRAZGFydG1v
dXRoLmVkdS4mI3hEO0hlYWx0aCBQcm9tb3Rpb24sIEVkdWNhdGlvbiwgYW5kIEJlaGF2aW9yLCBB
cm5vbGQgU2Nob29sIG9mIFB1YmxpYyBIZWFsdGgsIFVuaXZlcnNpdHkgb2YgU291dGggQ2Fyb2xp
bmEsIENvbHVtYmlhLCBTb3V0aCBDYXJvbGluYSwgVVNBOyBEZXBhcnRtZW50IG9mIFRvYmFjY28g
UmVzZWFyY2gsIENlbnRlciBmb3IgUG9wdWxhdGlvbiBIZWFsdGggUmVzZWFyY2ggTmF0aW9uYWwg
SW5zdGl0dXRlIG9mIFB1YmxpYyBIZWFsdGgsIEN1ZXJuYXZhY2EsIE1leGljby4gRWxlY3Ryb25p
YyBhZGRyZXNzOiB0aHJhc2hlckBtYWlsYm94LnNjLmVkdS48L2F1dGgtYWRkcmVzcz48dGl0bGVz
Pjx0aXRsZT5BIGxvbmdpdHVkaW5hbCBzdHVkeSBvZiBlbGVjdHJvbmljIGNpZ2FyZXR0ZSB1c2Ug
YW5kIG9uc2V0IG9mIGNvbnZlbnRpb25hbCBjaWdhcmV0dGUgc21va2luZyBhbmQgbWFyaWp1YW5h
IHVzZSBhbW9uZyBNZXhpY2FuIGFkb2xlc2NlbnRzPC90aXRsZT48c2Vjb25kYXJ5LXRpdGxlPkRy
dWcgQWxjb2hvbCBEZXBlbmQ8L3NlY29uZGFyeS10aXRsZT48YWx0LXRpdGxlPkRydWcgYW5kIGFs
Y29ob2wgZGVwZW5kZW5jZTwvYWx0LXRpdGxlPjwvdGl0bGVzPjxhbHQtcGVyaW9kaWNhbD48ZnVs
bC10aXRsZT5EcnVnIGFuZCBBbGNvaG9sIERlcGVuZGVuY2U8L2Z1bGwtdGl0bGU+PC9hbHQtcGVy
aW9kaWNhbD48cGFnZXM+NDI3LTQzMDwvcGFnZXM+PHZvbHVtZT4xODA8L3ZvbHVtZT48ZWRpdGlv
bj4yMDE3LzEwLzExPC9lZGl0aW9uPjxrZXl3b3Jkcz48a2V5d29yZD5BZG9sZXNjZW50czwva2V5
d29yZD48a2V5d29yZD5FbGVjdHJvbmljIGNpZ2FyZXR0ZXM8L2tleXdvcmQ+PGtleXdvcmQ+TWFy
aWp1YW5hPC9rZXl3b3JkPjxrZXl3b3JkPk1leGljbzwva2V5d29yZD48a2V5d29yZD5UcmlhbDwv
a2V5d29yZD48L2tleXdvcmRzPjxkYXRlcz48eWVhcj4yMDE3PC95ZWFyPjxwdWItZGF0ZXM+PGRh
dGU+Tm92IDE8L2RhdGU+PC9wdWItZGF0ZXM+PC9kYXRlcz48aXNibj4wMzc2LTg3MTY8L2lzYm4+
PGFjY2Vzc2lvbi1udW0+Mjg5ODgwMDU8L2FjY2Vzc2lvbi1udW0+PHVybHM+PHJlbGF0ZWQtdXJs
cz48dXJsPmh0dHA6Ly93d3cuZHJ1Z2FuZGFsY29ob2xkZXBlbmRlbmNlLmNvbS9hcnRpY2xlL1Mw
Mzc2LTg3MTYoMTcpMzA0ODItOS9wZGY8L3VybD48L3JlbGF0ZWQtdXJscz48L3VybHM+PGN1c3Rv
bTI+UE1DNTc3MTQ0MDwvY3VzdG9tMj48Y3VzdG9tNj5OSUhNUzkxMTQ3ODwvY3VzdG9tNj48ZWxl
Y3Ryb25pYy1yZXNvdXJjZS1udW0+MTAuMTAxNi9qLmRydWdhbGNkZXAuMjAxNy4wOS4wMDE8L2Vs
ZWN0cm9uaWMtcmVzb3VyY2UtbnVtPjxyZW1vdGUtZGF0YWJhc2UtcHJvdmlkZXI+TkxNPC9yZW1v
dGUtZGF0YWJhc2UtcHJvdmlkZXI+PGxhbmd1YWdlPmVuZzwvbGFuZ3VhZ2U+PC9yZWNvcmQ+PC9D
aXRlPjxDaXRlPjxBdXRob3I+UGVhcmNlPC9BdXRob3I+PFllYXI+MjAxNzwvWWVhcj48UmVjTnVt
PjU4ODY8L1JlY051bT48cmVjb3JkPjxyZWMtbnVtYmVyPjU4ODY8L3JlYy1udW1iZXI+PGZvcmVp
Z24ta2V5cz48a2V5IGFwcD0iRU4iIGRiLWlkPSI5ejA1ZHowcHJhYWRmdWVlMHpveHplZGs5emZl
NWZ4eDUwejUiIHRpbWVzdGFtcD0iMTUyMzkyMTAzMyI+NTg4Njwva2V5PjxrZXkgYXBwPSJFTldl
YiIgZGItaWQ9IiI+MDwva2V5PjwvZm9yZWlnbi1rZXlzPjxyZWYtdHlwZSBuYW1lPSJKb3VybmFs
IEFydGljbGUiPjE3PC9yZWYtdHlwZT48Y29udHJpYnV0b3JzPjxhdXRob3JzPjxhdXRob3I+UGVh
cmNlLCBKYW1pZTwvYXV0aG9yPjxhdXRob3I+QmVzdCwgQy48L2F1dGhvcj48YXV0aG9yPkhhc2Vl
biwgRi48L2F1dGhvcj48YXV0aG9yPkN1cnJpZSwgRC48L2F1dGhvcj48YXV0aG9yPk1hY0tpbnRv
c2gsIEEuIE0uPC9hdXRob3I+PGF1dGhvcj5TdGVhZCwgTS48L2F1dGhvcj48YXV0aG9yPkVhZGll
LCBELjwvYXV0aG9yPjxhdXRob3I+TWFjR3JlZ29yLCBBLjwvYXV0aG9yPjxhdXRob3I+QW1vcywg
QS48L2F1dGhvcj48YXV0aG9yPkZyYW5rLCBKLjwvYXV0aG9yPjxhdXRob3I+SGF3LCBTLjwvYXV0
aG9yPjwvYXV0aG9ycz48L2NvbnRyaWJ1dG9ycz48dGl0bGVzPjx0aXRsZT5FbGVjdHJvbmljIGNp
Z2FyZXR0ZSB1c2UgYW5kIHNtb2tpbmcgaW5pdGlhdGlvbiBpbiBTY290dGlzaCBhZG9sZXNjZW50
czogYSBjb2hvcnQgc3R1ZHk8L3RpdGxlPjxzZWNvbmRhcnktdGl0bGU+RXVyb3BlYW4gSm91cm5h
bCBvZiBQdWJsaWMgSGVhbHRoPC9zZWNvbmRhcnktdGl0bGU+PC90aXRsZXM+PHBlcmlvZGljYWw+
PGZ1bGwtdGl0bGU+RXVyb3BlYW4gSm91cm5hbCBvZiBQdWJsaWMgSGVhbHRoPC9mdWxsLXRpdGxl
PjwvcGVyaW9kaWNhbD48cGFnZXM+MzgtMzg8L3BhZ2VzPjx2b2x1bWU+Mjc8L3ZvbHVtZT48ZGF0
ZXM+PHllYXI+MjAxNzwveWVhcj48cHViLWRhdGVzPjxkYXRlPk5vdjwvZGF0ZT48L3B1Yi1kYXRl
cz48L2RhdGVzPjxpc2JuPjExMDEtMTI2MjwvaXNibj48YWNjZXNzaW9uLW51bT5XT1M6MDAwNDE0
Mzg5ODAwMDc2PC9hY2Nlc3Npb24tbnVtPjx1cmxzPjxyZWxhdGVkLXVybHM+PHVybD4mbHQ7R28g
dG8gSVNJJmd0OzovL1dPUzowMDA0MTQzODk4MDAwNzY8L3VybD48L3JlbGF0ZWQtdXJscz48L3Vy
bHM+PC9yZWNvcmQ+PC9DaXRlPjxDaXRlPjxBdXRob3I+UGVuemVzPC9BdXRob3I+PFllYXI+MjAx
ODwvWWVhcj48UmVjTnVtPjQ2NzA8L1JlY051bT48cmVjb3JkPjxyZWMtbnVtYmVyPjQ2NzA8L3Jl
Yy1udW1iZXI+PGZvcmVpZ24ta2V5cz48a2V5IGFwcD0iRU4iIGRiLWlkPSI5ejA1ZHowcHJhYWRm
dWVlMHpveHplZGs5emZlNWZ4eDUwejUiIHRpbWVzdGFtcD0iMTUyMzkyMDMzNiI+NDY3MDwva2V5
PjxrZXkgYXBwPSJFTldlYiIgZGItaWQ9IiI+MDwva2V5PjwvZm9yZWlnbi1rZXlzPjxyZWYtdHlw
ZSBuYW1lPSJKb3VybmFsIEFydGljbGUiPjE3PC9yZWYtdHlwZT48Y29udHJpYnV0b3JzPjxhdXRo
b3JzPjxhdXRob3I+UGVuemVzLCBNLjwvYXV0aG9yPjxhdXRob3I+Rm9sZXksIEsuIEwuPC9hdXRo
b3I+PGF1dGhvcj5OYWRhc2FuLCBWLjwvYXV0aG9yPjxhdXRob3I+UGF1bGlrLCBFLjwvYXV0aG9y
PjxhdXRob3I+QWJyYW0sIFouPC9hdXRob3I+PGF1dGhvcj5VcmJhbiwgUi48L2F1dGhvcj48L2F1
dGhvcnM+PC9jb250cmlidXRvcnM+PGF1dGgtYWRkcmVzcz5JbnN0aXR1dGUgb2YgUHVibGljIEhl
YWx0aCwgRmFjdWx0eSBvZiBNZWRpY2luZSwgU2VtbWVsd2VpcyBVbml2ZXJzaXR5LCBCdWRhcGVz
dCwgVWxsb2kgdXQgMjYsIEJ1ZGFwZXN0IEgtMTA4OSwgSHVuZ2FyeS4mI3hEO0RlcGFydG1lbnQg
b2YgSW1wbGVtZW50YXRpb24gU2NpZW5jZSwgQ2FuY2VyIFByZXZlbnRpb24gYW5kIENvbnRyb2ws
IFdha2UgRm9yZXN0IFVuaXZlcnNpdHkgTWVkaWNhbCBTY2hvb2wsIE1lZGljYWwgQ2VudGVyIEJs
dmQuLCBXaW5zdG9uLVNhbGVtLCBOQyAyNzE1NywgVVNBLiYjeEQ7RGVwYXJ0bWVudCBvZiBIeWdp
ZW5lLCBVbml2ZXJzaXR5IG9mIE1lZGljaW5lIGFuZCBQaGFybWFjeSBUaXJndSBNdXJlcywgMzgg
R2hlb3JnaGUgTWFyaW5lc2N1IFN0cmVldCwgVGFyZ3UgTXVyZXMgNTQwMTM5LCBSb21hbmlhLiBF
bGVjdHJvbmljIGFkZHJlc3M6IHZhbGVudGluLm5hZGFzYW5AdW1mdGdtLnJvLiYjeEQ7RGVwYXJ0
bWVudCBvZiBQdWJsaWMgSGVhbHRoLCBGYWN1bHR5IG9mIE1lZGljaW5lLCBVbml2ZXJzaXR5IG9m
IFN6ZWdlZCwgRG9tIHRlciAxMCwgU3plZ2VkIEgtNjcyMCwgSHVuZ2FyeS4mI3hEO0RlcGFydG1l
bnQgb2YgSHlnaWVuZSwgVW5pdmVyc2l0eSBvZiBNZWRpY2luZSBhbmQgUGhhcm1hY3kgVGlyZ3Ug
TXVyZXMsIDM4IEdoZW9yZ2hlIE1hcmluZXNjdSBTdHJlZXQsIFRhcmd1IE11cmVzIDU0MDEzOSwg
Um9tYW5pYS4mI3hEO0luc3RpdHV0ZSBvZiBQc3ljaG9sb2d5LCBFb3R2b3MgTG9yYW5kIFVuaXZl
cnNpdHksIEJ1ZGFwZXN0LCBJemFiZWxsYSB1LiA0NiwgQnVkYXBlc3QgSC0xMDY0LCBIdW5nYXJ5
LjwvYXV0aC1hZGRyZXNzPjx0aXRsZXM+PHRpdGxlPkJpZGlyZWN0aW9uYWwgYXNzb2NpYXRpb25z
IG9mIGUtY2lnYXJldHRlLCBjb252ZW50aW9uYWwgY2lnYXJldHRlIGFuZCB3YXRlcnBpcGUgZXhw
ZXJpbWVudGF0aW9uIGFtb25nIGFkb2xlc2NlbnRzOiBBIGNyb3NzLWxhZ2dlZCBtb2RlbDwvdGl0
bGU+PHNlY29uZGFyeS10aXRsZT5BZGRpY3QgQmVoYXY8L3NlY29uZGFyeS10aXRsZT48YWx0LXRp
dGxlPkFkZGljdGl2ZSBiZWhhdmlvcnM8L2FsdC10aXRsZT48L3RpdGxlcz48YWx0LXBlcmlvZGlj
YWw+PGZ1bGwtdGl0bGU+QWRkaWN0aXZlIEJlaGF2aW9yczwvZnVsbC10aXRsZT48L2FsdC1wZXJp
b2RpY2FsPjxwYWdlcz41OS02NDwvcGFnZXM+PHZvbHVtZT44MDwvdm9sdW1lPjxlZGl0aW9uPjIw
MTgvMDEvMjM8L2VkaXRpb24+PGtleXdvcmRzPjxrZXl3b3JkPkFsdGVybmF0aXZlIHRvYmFjY288
L2tleXdvcmQ+PGtleXdvcmQ+RS1jaWdhcmV0dGU8L2tleXdvcmQ+PGtleXdvcmQ+Rm9sbG93LXVw
IHN0dWR5PC9rZXl3b3JkPjxrZXl3b3JkPk5vdmVsIHByb2R1Y3RzPC9rZXl3b3JkPjxrZXl3b3Jk
PlZhcGU8L2tleXdvcmQ+PGtleXdvcmQ+V2F0ZXJwaXBlPC9rZXl3b3JkPjwva2V5d29yZHM+PGRh
dGVzPjx5ZWFyPjIwMTg8L3llYXI+PHB1Yi1kYXRlcz48ZGF0ZT5NYXk8L2RhdGU+PC9wdWItZGF0
ZXM+PC9kYXRlcz48aXNibj4wMzA2LTQ2MDM8L2lzYm4+PGFjY2Vzc2lvbi1udW0+MjkzNTU4MTg8
L2FjY2Vzc2lvbi1udW0+PHVybHM+PHJlbGF0ZWQtdXJscz48dXJsPmh0dHBzOi8vd3d3LnNjaWVu
Y2VkaXJlY3QuY29tL3NjaWVuY2UvYXJ0aWNsZS9waWkvUzAzMDY0NjAzMTgzMDAxNTc/dmlhJTNE
aWh1YjwvdXJsPjwvcmVsYXRlZC11cmxzPjwvdXJscz48Y3VzdG9tMj5QTUM1ODA3MTU5PC9jdXN0
b20yPjxjdXN0b202Pk5JSE1TOTM1Njc1PC9jdXN0b202PjxlbGVjdHJvbmljLXJlc291cmNlLW51
bT4xMC4xMDE2L2ouYWRkYmVoLjIwMTguMDEuMDEwPC9lbGVjdHJvbmljLXJlc291cmNlLW51bT48
cmVtb3RlLWRhdGFiYXNlLXByb3ZpZGVyPk5MTTwvcmVtb3RlLWRhdGFiYXNlLXByb3ZpZGVyPjxs
YW5ndWFnZT5lbmc8L2xhbmd1YWdlPjwvcmVjb3JkPjwvQ2l0ZT48Q2l0ZT48QXV0aG9yPlRyZXVy
PC9BdXRob3I+PFllYXI+MjAxNzwvWWVhcj48UmVjTnVtPjU4MTg8L1JlY051bT48cmVjb3JkPjxy
ZWMtbnVtYmVyPjU4MTg8L3JlYy1udW1iZXI+PGZvcmVpZ24ta2V5cz48a2V5IGFwcD0iRU4iIGRi
LWlkPSI5ejA1ZHowcHJhYWRmdWVlMHpveHplZGs5emZlNWZ4eDUwejUiIHRpbWVzdGFtcD0iMTUy
MzkyMTAyNiI+NTgxODwva2V5PjxrZXkgYXBwPSJFTldlYiIgZGItaWQ9IiI+MDwva2V5PjwvZm9y
ZWlnbi1rZXlzPjxyZWYtdHlwZSBuYW1lPSJKb3VybmFsIEFydGljbGUiPjE3PC9yZWYtdHlwZT48
Y29udHJpYnV0b3JzPjxhdXRob3JzPjxhdXRob3I+VHJldXIsIEouIEwuPC9hdXRob3I+PGF1dGhv
cj5Sb3plbWEsIEEuIEQuPC9hdXRob3I+PGF1dGhvcj5NYXRoaWpzc2VuLCBKLiBKLiBQLjwvYXV0
aG9yPjxhdXRob3I+dmFuIE9lcnMsIEguPC9hdXRob3I+PGF1dGhvcj5WaW5rLCBKLiBNLjwvYXV0
aG9yPjwvYXV0aG9ycz48L2NvbnRyaWJ1dG9ycz48dGl0bGVzPjx0aXRsZT5FLWNpZ2FyZXR0ZSBh
bmQgd2F0ZXJwaXBlIHVzZSBpbiB0d28gYWRvbGVzY2VudCBjb2hvcnRzOiBjcm9zcy1zZWN0aW9u
YWwgYW5kIGxvbmdpdHVkaW5hbCBhc3NvY2lhdGlvbnMgd2l0aCBjb252ZW50aW9uYWwgY2lnYXJl
dHRlIHNtb2tpbmc8L3RpdGxlPjxzZWNvbmRhcnktdGl0bGU+RXVyb3BlYW4gSm91cm5hbCBvZiBF
cGlkZW1pb2xvZ3k8L3NlY29uZGFyeS10aXRsZT48L3RpdGxlcz48cGVyaW9kaWNhbD48ZnVsbC10
aXRsZT5FdXJvcGVhbiBKb3VybmFsIG9mIEVwaWRlbWlvbG9neTwvZnVsbC10aXRsZT48L3Blcmlv
ZGljYWw+PHBhZ2VzPjEtMTI8L3BhZ2VzPjxkYXRlcz48eWVhcj4yMDE3PC95ZWFyPjwvZGF0ZXM+
PHVybHM+PHJlbGF0ZWQtdXJscz48dXJsPmh0dHBzOi8vd3d3LnNjb3B1cy5jb20vaW53YXJkL3Jl
Y29yZC51cmk/ZWlkPTItczIuMC04NTAzODM1NTc1NyZhbXA7ZG9pPTEwLjEwMDclMmZzMTA2NTQt
MDE3LTAzNDUtOSZhbXA7cGFydG5lcklEPTQwJmFtcDttZDU9MDc5OGQ0MTNhZGM5Y2Y0NDFjYjZi
NWRlZDlmMGU1ZmU8L3VybD48dXJsPmh0dHBzOi8vbGluay5zcHJpbmdlci5jb20vY29udGVudC9w
ZGYvMTAuMTAwNyUyRnMxMDY1NC0wMTctMDM0NS05LnBkZjwvdXJsPjwvcmVsYXRlZC11cmxzPjwv
dXJscz48ZWxlY3Ryb25pYy1yZXNvdXJjZS1udW0+MTAuMTAwNy9zMTA2NTQtMDE3LTAzNDUtOTwv
ZWxlY3Ryb25pYy1yZXNvdXJjZS1udW0+PHJlbW90ZS1kYXRhYmFzZS1uYW1lPlNjb3B1czwvcmVt
b3RlLWRhdGFiYXNlLW5hbWU+PC9yZWNvcmQ+PC9DaXRlPjxDaXRlPjxBdXRob3I+TW9yZ2Vuc3Rl
cm48L0F1dGhvcj48WWVhcj4yMDE4PC9ZZWFyPjxSZWNOdW0+MTA0Njg8L1JlY051bT48cmVjb3Jk
PjxyZWMtbnVtYmVyPjEwNDY4PC9yZWMtbnVtYmVyPjxmb3JlaWduLWtleXM+PGtleSBhcHA9IkVO
IiBkYi1pZD0iOXowNWR6MHByYWFkZnVlZTB6b3h6ZWRrOXpmZTVmeHg1MHo1IiB0aW1lc3RhbXA9
IjE1MjY4Njk4NzgiPjEwNDY4PC9rZXk+PGtleSBhcHA9IkVOV2ViIiBkYi1pZD0iIj4wPC9rZXk+
PC9mb3JlaWduLWtleXM+PHJlZi10eXBlIG5hbWU9IkpvdXJuYWwgQXJ0aWNsZSI+MTc8L3JlZi10
eXBlPjxjb250cmlidXRvcnM+PGF1dGhvcnM+PGF1dGhvcj5Nb3JnZW5zdGVybiwgTWF0dGhpczwv
YXV0aG9yPjxhdXRob3I+TmllcywgQWxpbmE8L2F1dGhvcj48YXV0aG9yPkdvZWNrZSwgTWljaGFl
bGE8L2F1dGhvcj48YXV0aG9yPkhhbmV3aW5rZWwsIFJlaW5lcjwvYXV0aG9yPjwvYXV0aG9ycz48
L2NvbnRyaWJ1dG9ycz48dGl0bGVzPjx0aXRsZT5FLUNpZ2FyZXR0ZXMgYW5kIHRoZSBVc2Ugb2Yg
Q29udmVudGlvbmFsIENpZ2FyZXR0ZXM8L3RpdGxlPjxzZWNvbmRhcnktdGl0bGU+RGV1dHNjaGVz
IEFyenRlYmxhdHQgSW50ZXJuYXRpb25hbDwvc2Vjb25kYXJ5LXRpdGxlPjwvdGl0bGVzPjxwZXJp
b2RpY2FsPjxmdWxsLXRpdGxlPkRldXRzY2hlcyBBcnp0ZWJsYXR0IEludGVybmF0aW9uYWw8L2Z1
bGwtdGl0bGU+PC9wZXJpb2RpY2FsPjxwYWdlcz4yNDMtKzwvcGFnZXM+PHZvbHVtZT4xMTU8L3Zv
bHVtZT48bnVtYmVyPjE0PC9udW1iZXI+PGRhdGVzPjx5ZWFyPjIwMTg8L3llYXI+PHB1Yi1kYXRl
cz48ZGF0ZT5BcHIgNjwvZGF0ZT48L3B1Yi1kYXRlcz48L2RhdGVzPjxpc2JuPjE4NjYtMDQ1Mjwv
aXNibj48YWNjZXNzaW9uLW51bT5XT1M6MDAwNDMxMTQ5NzAwMDA0PC9hY2Nlc3Npb24tbnVtPjx1
cmxzPjxyZWxhdGVkLXVybHM+PHVybD4mbHQ7R28gdG8gSVNJJmd0OzovL1dPUzowMDA0MzExNDk3
MDAwMDQ8L3VybD48dXJsPmh0dHBzOi8vd3d3Lm5jYmkubmxtLm5paC5nb3YvcG1jL2FydGljbGVz
L1BNQzU5Mzg1NDcvcGRmL0R0c2NoX0FyenRlYmxfSW50LTExNV8wMjQzLnBkZjwvdXJsPjwvcmVs
YXRlZC11cmxzPjwvdXJscz48ZWxlY3Ryb25pYy1yZXNvdXJjZS1udW0+MTAuMzIzOC9hcnp0ZWJs
LjIwMTguMDI0MzwvZWxlY3Ryb25pYy1yZXNvdXJjZS1udW0+PC9yZWNvcmQ+PC9DaXRlPjwvRW5k
Tm90ZT5=
</w:fldData>
        </w:fldChar>
      </w:r>
      <w:r w:rsidR="004E728C">
        <w:instrText xml:space="preserve"> ADDIN EN.CITE.DATA </w:instrText>
      </w:r>
      <w:r w:rsidR="004E728C">
        <w:fldChar w:fldCharType="end"/>
      </w:r>
      <w:r>
        <w:fldChar w:fldCharType="separate"/>
      </w:r>
      <w:r w:rsidR="004E728C">
        <w:rPr>
          <w:noProof/>
        </w:rPr>
        <w:t>(Kinnunen, Minkkinen et al. 2017, Lozano, Barrientos-Gutierrez et al. 2017, Pearce, Best et al. 2017, Treur, Rozema et al. 2017, Chaffee, Watkins et al. 2018, East, Hitchman et al. 2018, Morgenstern, Nies et al. 2018, Penzes, Foley et al. 2018)</w:t>
      </w:r>
      <w:r>
        <w:fldChar w:fldCharType="end"/>
      </w:r>
      <w:r>
        <w:t xml:space="preserve">. These studies were conducted in different populations across different countries, further confirming the robustness of the relationship. </w:t>
      </w:r>
    </w:p>
    <w:p w14:paraId="60369090" w14:textId="7A3D58B9" w:rsidR="002D348A" w:rsidRDefault="002D348A" w:rsidP="002D348A">
      <w:pPr>
        <w:pStyle w:val="BodyText"/>
      </w:pPr>
      <w:r>
        <w:t>One such study, conducted by East and colleagues, involved a cohort of 923 youth in Great Britain (age range 11</w:t>
      </w:r>
      <w:r>
        <w:noBreakHyphen/>
        <w:t xml:space="preserve">18 years) who had never smoked conventional cigarettes, followed over </w:t>
      </w:r>
      <w:r w:rsidR="007E6F4C">
        <w:t>five</w:t>
      </w:r>
      <w:r>
        <w:t xml:space="preserve"> months. At baseline, only 21 of these never smokers had used e</w:t>
      </w:r>
      <w:r>
        <w:noBreakHyphen/>
        <w:t xml:space="preserve">cigarettes </w:t>
      </w:r>
      <w:r>
        <w:fldChar w:fldCharType="begin">
          <w:fldData xml:space="preserve">PEVuZE5vdGU+PENpdGU+PEF1dGhvcj5FYXN0PC9BdXRob3I+PFllYXI+MjAxODwvWWVhcj48UmVj
TnVtPjQ1NTc8L1JlY051bT48RGlzcGxheVRleHQ+KEVhc3QsIEhpdGNobWFuIGV0IGFsLiAyMDE4
KTwvRGlzcGxheVRleHQ+PHJlY29yZD48cmVjLW51bWJlcj40NTU3PC9yZWMtbnVtYmVyPjxmb3Jl
aWduLWtleXM+PGtleSBhcHA9IkVOIiBkYi1pZD0iOXowNWR6MHByYWFkZnVlZTB6b3h6ZWRrOXpm
ZTVmeHg1MHo1IiB0aW1lc3RhbXA9IjE1MjM5MjAxNjgiPjQ1NTc8L2tleT48a2V5IGFwcD0iRU5X
ZWIiIGRiLWlkPSIiPjA8L2tleT48L2ZvcmVpZ24ta2V5cz48cmVmLXR5cGUgbmFtZT0iSm91cm5h
bCBBcnRpY2xlIj4xNzwvcmVmLXR5cGU+PGNvbnRyaWJ1dG9ycz48YXV0aG9ycz48YXV0aG9yPkVh
c3QsIEsuPC9hdXRob3I+PGF1dGhvcj5IaXRjaG1hbiwgUy4gQy48L2F1dGhvcj48YXV0aG9yPkJh
a29saXMsIEkuPC9hdXRob3I+PGF1dGhvcj5XaWxsaWFtcywgUy48L2F1dGhvcj48YXV0aG9yPkNo
ZWVzZW1hbiwgSC48L2F1dGhvcj48YXV0aG9yPkFybm90dCwgRC48L2F1dGhvcj48YXV0aG9yPk1j
TmVpbGwsIEEuPC9hdXRob3I+PC9hdXRob3JzPjwvY29udHJpYnV0b3JzPjxhdXRoLWFkZHJlc3M+
QWRkaWN0aW9ucyBEZXBhcnRtZW50LCBJbnN0aXR1dGUgb2YgUHN5Y2hpYXRyeSwgUHN5Y2hvbG9n
eSBhbmQgTmV1cm9zY2llbmNlLCBLaW5nJmFwb3M7cyBDb2xsZWdlIExvbmRvbiwgTG9uZG9uLCBV
SzsgVUsgQ2VudHJlIGZvciBUb2JhY2NvIGFuZCBBbGNvaG9sIFN0dWRpZXMsIENsaW5pY2FsIFNj
aWVuY2VzIEJ1aWxkaW5nLCBVbml2ZXJzaXR5IG9mIE5vdHRpbmdoYW0sIE5vdHRpbmdoYW0sIFVL
LiBFbGVjdHJvbmljIGFkZHJlc3M6IEthdGhlcmluZS5lYXN0QGtjbC5hYy51ay4mI3hEO0FkZGlj
dGlvbnMgRGVwYXJ0bWVudCwgSW5zdGl0dXRlIG9mIFBzeWNoaWF0cnksIFBzeWNob2xvZ3kgYW5k
IE5ldXJvc2NpZW5jZSwgS2luZyZhcG9zO3MgQ29sbGVnZSBMb25kb24sIExvbmRvbiwgVUs7IFVL
IENlbnRyZSBmb3IgVG9iYWNjbyBhbmQgQWxjb2hvbCBTdHVkaWVzLCBDbGluaWNhbCBTY2llbmNl
cyBCdWlsZGluZywgVW5pdmVyc2l0eSBvZiBOb3R0aW5naGFtLCBOb3R0aW5naGFtLCBVSy4mI3hE
O0RlcGFydG1lbnQgb2YgQmlvc3RhdGlzdGljcyBhbmQgSGVhbHRoIEluZm9ybWF0aWNzLCBJbnN0
aXR1dGUgb2YgUHN5Y2hpYXRyeSwgUHN5Y2hvbG9neSBhbmQgTmV1cm9zY2llbmNlLCBLaW5nJmFw
b3M7cyBDb2xsZWdlIExvbmRvbiwgTG9uZG9uLCBVSzsgQ2VudHJlIGZvciBJbXBsZW1lbnRhdGlv
biBTY2llbmNlLCBEZXBhcnRtZW50IG9mIEhlYWx0aCBTZXJ2aWNlcyBhbmQgUG9wdWxhdGlvbiBS
ZXNlYXJjaCwgSW5zdGl0dXRlIG9mIFBzeWNoaWF0cnksIFBzeWNob2xvZ3kgYW5kIE5ldXJvc2Np
ZW5jZSwgS2luZyZhcG9zO3MgQ29sbGVnZSBMb25kb24sIExvbmRvbiwgVUsuJiN4RDtQdWJsaWMg
SGVhbHRoIEVuZ2xhbmQsIExvbmRvbiwgVUs7IEFjdGlvbiBvbiBTbW9raW5nIGFuZCBIZWFsdGgg
VUssIExvbmRvbiwgVUsuJiN4RDtBY3Rpb24gb24gU21va2luZyBhbmQgSGVhbHRoIFVLLCBMb25k
b24sIFVLLjwvYXV0aC1hZGRyZXNzPjx0aXRsZXM+PHRpdGxlPlRoZSBBc3NvY2lhdGlvbiBCZXR3
ZWVuIFNtb2tpbmcgYW5kIEVsZWN0cm9uaWMgQ2lnYXJldHRlIFVzZSBpbiBhIENvaG9ydCBvZiBZ
b3VuZyBQZW9wbGU8L3RpdGxlPjxzZWNvbmRhcnktdGl0bGU+SiBBZG9sZXNjIEhlYWx0aDwvc2Vj
b25kYXJ5LXRpdGxlPjxhbHQtdGl0bGU+VGhlIEpvdXJuYWwgb2YgYWRvbGVzY2VudCBoZWFsdGgg
OiBvZmZpY2lhbCBwdWJsaWNhdGlvbiBvZiB0aGUgU29jaWV0eSBmb3IgQWRvbGVzY2VudCBNZWRp
Y2luZTwvYWx0LXRpdGxlPjwvdGl0bGVzPjxwZXJpb2RpY2FsPjxmdWxsLXRpdGxlPkogQWRvbGVz
YyBIZWFsdGg8L2Z1bGwtdGl0bGU+PGFiYnItMT5UaGUgSm91cm5hbCBvZiBhZG9sZXNjZW50IGhl
YWx0aCA6IG9mZmljaWFsIHB1YmxpY2F0aW9uIG9mIHRoZSBTb2NpZXR5IGZvciBBZG9sZXNjZW50
IE1lZGljaW5lPC9hYmJyLTE+PC9wZXJpb2RpY2FsPjxhbHQtcGVyaW9kaWNhbD48ZnVsbC10aXRs
ZT5KIEFkb2xlc2MgSGVhbHRoPC9mdWxsLXRpdGxlPjxhYmJyLTE+VGhlIEpvdXJuYWwgb2YgYWRv
bGVzY2VudCBoZWFsdGggOiBvZmZpY2lhbCBwdWJsaWNhdGlvbiBvZiB0aGUgU29jaWV0eSBmb3Ig
QWRvbGVzY2VudCBNZWRpY2luZTwvYWJici0xPjwvYWx0LXBlcmlvZGljYWw+PGVkaXRpb24+MjAx
OC8wMy8wNDwvZWRpdGlvbj48a2V5d29yZHM+PGtleXdvcmQ+QWRvbGVzY2VudDwva2V5d29yZD48
a2V5d29yZD5FLWNpZ2FyZXR0ZXM8L2tleXdvcmQ+PGtleXdvcmQ+RWxlY3Ryb25pYyBjaWdhcmV0
dGVzPC9rZXl3b3JkPjxrZXl3b3JkPkxvbmdpdHVkaW5hbCBzdHVkaWVzPC9rZXl3b3JkPjxrZXl3
b3JkPk5pY290aW5lPC9rZXl3b3JkPjxrZXl3b3JkPlNtb2tpbmc8L2tleXdvcmQ+PGtleXdvcmQ+
VG9iYWNjbzwva2V5d29yZD48a2V5d29yZD5Zb3VuZyBwZW9wbGU8L2tleXdvcmQ+PGtleXdvcmQ+
WW91dGg8L2tleXdvcmQ+PC9rZXl3b3Jkcz48ZGF0ZXM+PHllYXI+MjAxODwveWVhcj48cHViLWRh
dGVzPjxkYXRlPkZlYiAyMTwvZGF0ZT48L3B1Yi1kYXRlcz48L2RhdGVzPjxpc2JuPjEwNTQtMTM5
eDwvaXNibj48YWNjZXNzaW9uLW51bT4yOTQ5OTk4MzwvYWNjZXNzaW9uLW51bT48dXJscz48cmVs
YXRlZC11cmxzPjx1cmw+aHR0cDovL3d3dy5qYWhvbmxpbmUub3JnL2FydGljbGUvUzEwNTQtMTM5
WCgxNykzMDkwMy01L3BkZjwvdXJsPjwvcmVsYXRlZC11cmxzPjwvdXJscz48ZWxlY3Ryb25pYy1y
ZXNvdXJjZS1udW0+MTAuMTAxNi9qLmphZG9oZWFsdGguMjAxNy4xMS4zMDE8L2VsZWN0cm9uaWMt
cmVzb3VyY2UtbnVtPjxyZW1vdGUtZGF0YWJhc2UtcHJvdmlkZXI+TkxNPC9yZW1vdGUtZGF0YWJh
c2UtcHJvdmlkZXI+PGxhbmd1YWdlPmVuZzwvbGFuZ3VhZ2U+PC9yZWNvcmQ+PC9DaXRlPjwvRW5k
Tm90ZT5=
</w:fldData>
        </w:fldChar>
      </w:r>
      <w:r w:rsidR="004E728C">
        <w:instrText xml:space="preserve"> ADDIN EN.CITE </w:instrText>
      </w:r>
      <w:r w:rsidR="004E728C">
        <w:fldChar w:fldCharType="begin">
          <w:fldData xml:space="preserve">PEVuZE5vdGU+PENpdGU+PEF1dGhvcj5FYXN0PC9BdXRob3I+PFllYXI+MjAxODwvWWVhcj48UmVj
TnVtPjQ1NTc8L1JlY051bT48RGlzcGxheVRleHQ+KEVhc3QsIEhpdGNobWFuIGV0IGFsLiAyMDE4
KTwvRGlzcGxheVRleHQ+PHJlY29yZD48cmVjLW51bWJlcj40NTU3PC9yZWMtbnVtYmVyPjxmb3Jl
aWduLWtleXM+PGtleSBhcHA9IkVOIiBkYi1pZD0iOXowNWR6MHByYWFkZnVlZTB6b3h6ZWRrOXpm
ZTVmeHg1MHo1IiB0aW1lc3RhbXA9IjE1MjM5MjAxNjgiPjQ1NTc8L2tleT48a2V5IGFwcD0iRU5X
ZWIiIGRiLWlkPSIiPjA8L2tleT48L2ZvcmVpZ24ta2V5cz48cmVmLXR5cGUgbmFtZT0iSm91cm5h
bCBBcnRpY2xlIj4xNzwvcmVmLXR5cGU+PGNvbnRyaWJ1dG9ycz48YXV0aG9ycz48YXV0aG9yPkVh
c3QsIEsuPC9hdXRob3I+PGF1dGhvcj5IaXRjaG1hbiwgUy4gQy48L2F1dGhvcj48YXV0aG9yPkJh
a29saXMsIEkuPC9hdXRob3I+PGF1dGhvcj5XaWxsaWFtcywgUy48L2F1dGhvcj48YXV0aG9yPkNo
ZWVzZW1hbiwgSC48L2F1dGhvcj48YXV0aG9yPkFybm90dCwgRC48L2F1dGhvcj48YXV0aG9yPk1j
TmVpbGwsIEEuPC9hdXRob3I+PC9hdXRob3JzPjwvY29udHJpYnV0b3JzPjxhdXRoLWFkZHJlc3M+
QWRkaWN0aW9ucyBEZXBhcnRtZW50LCBJbnN0aXR1dGUgb2YgUHN5Y2hpYXRyeSwgUHN5Y2hvbG9n
eSBhbmQgTmV1cm9zY2llbmNlLCBLaW5nJmFwb3M7cyBDb2xsZWdlIExvbmRvbiwgTG9uZG9uLCBV
SzsgVUsgQ2VudHJlIGZvciBUb2JhY2NvIGFuZCBBbGNvaG9sIFN0dWRpZXMsIENsaW5pY2FsIFNj
aWVuY2VzIEJ1aWxkaW5nLCBVbml2ZXJzaXR5IG9mIE5vdHRpbmdoYW0sIE5vdHRpbmdoYW0sIFVL
LiBFbGVjdHJvbmljIGFkZHJlc3M6IEthdGhlcmluZS5lYXN0QGtjbC5hYy51ay4mI3hEO0FkZGlj
dGlvbnMgRGVwYXJ0bWVudCwgSW5zdGl0dXRlIG9mIFBzeWNoaWF0cnksIFBzeWNob2xvZ3kgYW5k
IE5ldXJvc2NpZW5jZSwgS2luZyZhcG9zO3MgQ29sbGVnZSBMb25kb24sIExvbmRvbiwgVUs7IFVL
IENlbnRyZSBmb3IgVG9iYWNjbyBhbmQgQWxjb2hvbCBTdHVkaWVzLCBDbGluaWNhbCBTY2llbmNl
cyBCdWlsZGluZywgVW5pdmVyc2l0eSBvZiBOb3R0aW5naGFtLCBOb3R0aW5naGFtLCBVSy4mI3hE
O0RlcGFydG1lbnQgb2YgQmlvc3RhdGlzdGljcyBhbmQgSGVhbHRoIEluZm9ybWF0aWNzLCBJbnN0
aXR1dGUgb2YgUHN5Y2hpYXRyeSwgUHN5Y2hvbG9neSBhbmQgTmV1cm9zY2llbmNlLCBLaW5nJmFw
b3M7cyBDb2xsZWdlIExvbmRvbiwgTG9uZG9uLCBVSzsgQ2VudHJlIGZvciBJbXBsZW1lbnRhdGlv
biBTY2llbmNlLCBEZXBhcnRtZW50IG9mIEhlYWx0aCBTZXJ2aWNlcyBhbmQgUG9wdWxhdGlvbiBS
ZXNlYXJjaCwgSW5zdGl0dXRlIG9mIFBzeWNoaWF0cnksIFBzeWNob2xvZ3kgYW5kIE5ldXJvc2Np
ZW5jZSwgS2luZyZhcG9zO3MgQ29sbGVnZSBMb25kb24sIExvbmRvbiwgVUsuJiN4RDtQdWJsaWMg
SGVhbHRoIEVuZ2xhbmQsIExvbmRvbiwgVUs7IEFjdGlvbiBvbiBTbW9raW5nIGFuZCBIZWFsdGgg
VUssIExvbmRvbiwgVUsuJiN4RDtBY3Rpb24gb24gU21va2luZyBhbmQgSGVhbHRoIFVLLCBMb25k
b24sIFVLLjwvYXV0aC1hZGRyZXNzPjx0aXRsZXM+PHRpdGxlPlRoZSBBc3NvY2lhdGlvbiBCZXR3
ZWVuIFNtb2tpbmcgYW5kIEVsZWN0cm9uaWMgQ2lnYXJldHRlIFVzZSBpbiBhIENvaG9ydCBvZiBZ
b3VuZyBQZW9wbGU8L3RpdGxlPjxzZWNvbmRhcnktdGl0bGU+SiBBZG9sZXNjIEhlYWx0aDwvc2Vj
b25kYXJ5LXRpdGxlPjxhbHQtdGl0bGU+VGhlIEpvdXJuYWwgb2YgYWRvbGVzY2VudCBoZWFsdGgg
OiBvZmZpY2lhbCBwdWJsaWNhdGlvbiBvZiB0aGUgU29jaWV0eSBmb3IgQWRvbGVzY2VudCBNZWRp
Y2luZTwvYWx0LXRpdGxlPjwvdGl0bGVzPjxwZXJpb2RpY2FsPjxmdWxsLXRpdGxlPkogQWRvbGVz
YyBIZWFsdGg8L2Z1bGwtdGl0bGU+PGFiYnItMT5UaGUgSm91cm5hbCBvZiBhZG9sZXNjZW50IGhl
YWx0aCA6IG9mZmljaWFsIHB1YmxpY2F0aW9uIG9mIHRoZSBTb2NpZXR5IGZvciBBZG9sZXNjZW50
IE1lZGljaW5lPC9hYmJyLTE+PC9wZXJpb2RpY2FsPjxhbHQtcGVyaW9kaWNhbD48ZnVsbC10aXRs
ZT5KIEFkb2xlc2MgSGVhbHRoPC9mdWxsLXRpdGxlPjxhYmJyLTE+VGhlIEpvdXJuYWwgb2YgYWRv
bGVzY2VudCBoZWFsdGggOiBvZmZpY2lhbCBwdWJsaWNhdGlvbiBvZiB0aGUgU29jaWV0eSBmb3Ig
QWRvbGVzY2VudCBNZWRpY2luZTwvYWJici0xPjwvYWx0LXBlcmlvZGljYWw+PGVkaXRpb24+MjAx
OC8wMy8wNDwvZWRpdGlvbj48a2V5d29yZHM+PGtleXdvcmQ+QWRvbGVzY2VudDwva2V5d29yZD48
a2V5d29yZD5FLWNpZ2FyZXR0ZXM8L2tleXdvcmQ+PGtleXdvcmQ+RWxlY3Ryb25pYyBjaWdhcmV0
dGVzPC9rZXl3b3JkPjxrZXl3b3JkPkxvbmdpdHVkaW5hbCBzdHVkaWVzPC9rZXl3b3JkPjxrZXl3
b3JkPk5pY290aW5lPC9rZXl3b3JkPjxrZXl3b3JkPlNtb2tpbmc8L2tleXdvcmQ+PGtleXdvcmQ+
VG9iYWNjbzwva2V5d29yZD48a2V5d29yZD5Zb3VuZyBwZW9wbGU8L2tleXdvcmQ+PGtleXdvcmQ+
WW91dGg8L2tleXdvcmQ+PC9rZXl3b3Jkcz48ZGF0ZXM+PHllYXI+MjAxODwveWVhcj48cHViLWRh
dGVzPjxkYXRlPkZlYiAyMTwvZGF0ZT48L3B1Yi1kYXRlcz48L2RhdGVzPjxpc2JuPjEwNTQtMTM5
eDwvaXNibj48YWNjZXNzaW9uLW51bT4yOTQ5OTk4MzwvYWNjZXNzaW9uLW51bT48dXJscz48cmVs
YXRlZC11cmxzPjx1cmw+aHR0cDovL3d3dy5qYWhvbmxpbmUub3JnL2FydGljbGUvUzEwNTQtMTM5
WCgxNykzMDkwMy01L3BkZjwvdXJsPjwvcmVsYXRlZC11cmxzPjwvdXJscz48ZWxlY3Ryb25pYy1y
ZXNvdXJjZS1udW0+MTAuMTAxNi9qLmphZG9oZWFsdGguMjAxNy4xMS4zMDE8L2VsZWN0cm9uaWMt
cmVzb3VyY2UtbnVtPjxyZW1vdGUtZGF0YWJhc2UtcHJvdmlkZXI+TkxNPC9yZW1vdGUtZGF0YWJh
c2UtcHJvdmlkZXI+PGxhbmd1YWdlPmVuZzwvbGFuZ3VhZ2U+PC9yZWNvcmQ+PC9DaXRlPjwvRW5k
Tm90ZT5=
</w:fldData>
        </w:fldChar>
      </w:r>
      <w:r w:rsidR="004E728C">
        <w:instrText xml:space="preserve"> ADDIN EN.CITE.DATA </w:instrText>
      </w:r>
      <w:r w:rsidR="004E728C">
        <w:fldChar w:fldCharType="end"/>
      </w:r>
      <w:r>
        <w:fldChar w:fldCharType="separate"/>
      </w:r>
      <w:r>
        <w:t>(East, Hitchman et al. 2018)</w:t>
      </w:r>
      <w:r>
        <w:fldChar w:fldCharType="end"/>
      </w:r>
      <w:r>
        <w:t>. This study found ever e</w:t>
      </w:r>
      <w:r>
        <w:noBreakHyphen/>
        <w:t>cigarette use and escalation of e</w:t>
      </w:r>
      <w:r>
        <w:noBreakHyphen/>
        <w:t>cigarette use over the follow up period was associated with initiating conventional smoking (OR: 11.89; 95%CI: 3.56</w:t>
      </w:r>
      <w:r>
        <w:noBreakHyphen/>
        <w:t>39.72 and OR: 7.89; 95%CI: 3.06</w:t>
      </w:r>
      <w:r>
        <w:noBreakHyphen/>
        <w:t>20.38, respectively), after adjusting for age, gender, school performance, problem behaviour, monthly alcohol use, smoking susceptibility, friends smoking and e</w:t>
      </w:r>
      <w:r>
        <w:noBreakHyphen/>
        <w:t>cigarette use, parental smoking and e</w:t>
      </w:r>
      <w:r>
        <w:noBreakHyphen/>
        <w:t>cigarette use, sibling smoking and e</w:t>
      </w:r>
      <w:r>
        <w:noBreakHyphen/>
        <w:t>cigarette use, and perceptions of public approval of smoking and e</w:t>
      </w:r>
      <w:r>
        <w:noBreakHyphen/>
        <w:t>cigarette use. A direct causal effect of ever e</w:t>
      </w:r>
      <w:r>
        <w:noBreakHyphen/>
        <w:t>cigarette use on smoking initiation at follow up (OR: 1.34; 95%CI: 1.05</w:t>
      </w:r>
      <w:r>
        <w:noBreakHyphen/>
        <w:t>1.72) was also observed in a causal inference analysis.</w:t>
      </w:r>
    </w:p>
    <w:p w14:paraId="55A274C1" w14:textId="4322BAA3" w:rsidR="002D348A" w:rsidRDefault="002D348A" w:rsidP="002D348A">
      <w:pPr>
        <w:pStyle w:val="BodyText"/>
      </w:pPr>
      <w:r>
        <w:t xml:space="preserve">Lozano and colleagues conducted a large, good quality study of 4,695 middle school students in Mexico who were followed over 20 months </w:t>
      </w:r>
      <w:r>
        <w:fldChar w:fldCharType="begin">
          <w:fldData xml:space="preserve">PEVuZE5vdGU+PENpdGU+PEF1dGhvcj5Mb3phbm88L0F1dGhvcj48WWVhcj4yMDE3PC9ZZWFyPjxS
ZWNOdW0+NDg5OTwvUmVjTnVtPjxEaXNwbGF5VGV4dD4oTG96YW5vLCBCYXJyaWVudG9zLUd1dGll
cnJleiBldCBhbC4gMjAxNyk8L0Rpc3BsYXlUZXh0PjxyZWNvcmQ+PHJlYy1udW1iZXI+NDg5OTwv
cmVjLW51bWJlcj48Zm9yZWlnbi1rZXlzPjxrZXkgYXBwPSJFTiIgZGItaWQ9Ijl6MDVkejBwcmFh
ZGZ1ZWUwem94emVkazl6ZmU1Znh4NTB6NSIgdGltZXN0YW1wPSIxNTIzOTIwNTkxIj40ODk5PC9r
ZXk+PGtleSBhcHA9IkVOV2ViIiBkYi1pZD0iIj4wPC9rZXk+PC9mb3JlaWduLWtleXM+PHJlZi10
eXBlIG5hbWU9IkpvdXJuYWwgQXJ0aWNsZSI+MTc8L3JlZi10eXBlPjxjb250cmlidXRvcnM+PGF1
dGhvcnM+PGF1dGhvcj5Mb3phbm8sIFAuPC9hdXRob3I+PGF1dGhvcj5CYXJyaWVudG9zLUd1dGll
cnJleiwgSS48L2F1dGhvcj48YXV0aG9yPkFyaWxsby1TYW50aWxsYW4sIEUuPC9hdXRob3I+PGF1
dGhvcj5Nb3JlbGxvLCBQLjwvYXV0aG9yPjxhdXRob3I+TWVqaWEsIFIuPC9hdXRob3I+PGF1dGhv
cj5TYXJnZW50LCBKLiBELjwvYXV0aG9yPjxhdXRob3I+VGhyYXNoZXIsIEouIEYuPC9hdXRob3I+
PC9hdXRob3JzPjwvY29udHJpYnV0b3JzPjxhdXRoLWFkZHJlc3M+SGVhbHRoIFByb21vdGlvbiwg
RWR1Y2F0aW9uLCBhbmQgQmVoYXZpb3IsIEFybm9sZCBTY2hvb2wgb2YgUHVibGljIEhlYWx0aCwg
VW5pdmVyc2l0eSBvZiBTb3V0aCBDYXJvbGluYSwgQ29sdW1iaWEsIFNvdXRoIENhcm9saW5hLCBV
U0EuIEVsZWN0cm9uaWMgYWRkcmVzczogbG96YW5vcEBlbWFpbC5zYy5lZHUuJiN4RDtEZXBhcnRt
ZW50IG9mIFRvYmFjY28gUmVzZWFyY2gsIENlbnRlciBmb3IgUG9wdWxhdGlvbiBIZWFsdGggUmVz
ZWFyY2ggTmF0aW9uYWwgSW5zdGl0dXRlIG9mIFB1YmxpYyBIZWFsdGgsIEN1ZXJuYXZhY2EsIE1l
eGljby4gRWxlY3Ryb25pYyBhZGRyZXNzOiBpbnRpLmJhcnJpZW50b3NAaW5zcC5teC4mI3hEO0Rl
cGFydG1lbnQgb2YgVG9iYWNjbyBSZXNlYXJjaCwgQ2VudGVyIGZvciBQb3B1bGF0aW9uIEhlYWx0
aCBSZXNlYXJjaCBOYXRpb25hbCBJbnN0aXR1dGUgb2YgUHVibGljIEhlYWx0aCwgQ3Vlcm5hdmFj
YSwgTWV4aWNvLiBFbGVjdHJvbmljIGFkZHJlc3M6IGVkbmFAaW5zcC5teC4mI3hEO0RlcGFydG1l
bnQgb2YgSGVhbHRoIEVjb25vbXkgYW5kIFNvY2lldHksIENlbnRybyBkZSBFc3R1ZGlvcyBkZSBF
c3RhZG8geSBTb2NpZWRhZCwgQnVlbm9zIEFpcmVzLCBBcmdlbnRpbmEuIEVsZWN0cm9uaWMgYWRk
cmVzczogcGFvbGFtb3JlbGxvQGhvdG1haWwuY29tLiYjeEQ7RGVwYXJ0bWVudCBvZiBIZWFsdGgg
RWNvbm9teSBhbmQgU29jaWV0eSwgQ2VudHJvIGRlIEVzdHVkaW9zIGRlIEVzdGFkbyB5IFNvY2ll
ZGFkLCBCdWVub3MgQWlyZXMsIEFyZ2VudGluYS4gRWxlY3Ryb25pYyBhZGRyZXNzOiByYXVsbWVq
aWFAY2VkZXMub3JnLiYjeEQ7Q2FuY2VyIENvbnRyb2wgUHJvZ3JhbSwgTm9ycmlzIENvdHRvbiBD
YW5jZXIgQ2VudGVyLCBMZWJhbm9uLCBOZXcgSGFtcHNoaXJlLCBVU0EuIEVsZWN0cm9uaWMgYWRk
cmVzczogSmFtZXMuRC5TYXJnZW50QGRhcnRtb3V0aC5lZHUuJiN4RDtIZWFsdGggUHJvbW90aW9u
LCBFZHVjYXRpb24sIGFuZCBCZWhhdmlvciwgQXJub2xkIFNjaG9vbCBvZiBQdWJsaWMgSGVhbHRo
LCBVbml2ZXJzaXR5IG9mIFNvdXRoIENhcm9saW5hLCBDb2x1bWJpYSwgU291dGggQ2Fyb2xpbmEs
IFVTQTsgRGVwYXJ0bWVudCBvZiBUb2JhY2NvIFJlc2VhcmNoLCBDZW50ZXIgZm9yIFBvcHVsYXRp
b24gSGVhbHRoIFJlc2VhcmNoIE5hdGlvbmFsIEluc3RpdHV0ZSBvZiBQdWJsaWMgSGVhbHRoLCBD
dWVybmF2YWNhLCBNZXhpY28uIEVsZWN0cm9uaWMgYWRkcmVzczogdGhyYXNoZXJAbWFpbGJveC5z
Yy5lZHUuPC9hdXRoLWFkZHJlc3M+PHRpdGxlcz48dGl0bGU+QSBsb25naXR1ZGluYWwgc3R1ZHkg
b2YgZWxlY3Ryb25pYyBjaWdhcmV0dGUgdXNlIGFuZCBvbnNldCBvZiBjb252ZW50aW9uYWwgY2ln
YXJldHRlIHNtb2tpbmcgYW5kIG1hcmlqdWFuYSB1c2UgYW1vbmcgTWV4aWNhbiBhZG9sZXNjZW50
czwvdGl0bGU+PHNlY29uZGFyeS10aXRsZT5EcnVnIEFsY29ob2wgRGVwZW5kPC9zZWNvbmRhcnkt
dGl0bGU+PGFsdC10aXRsZT5EcnVnIGFuZCBhbGNvaG9sIGRlcGVuZGVuY2U8L2FsdC10aXRsZT48
L3RpdGxlcz48YWx0LXBlcmlvZGljYWw+PGZ1bGwtdGl0bGU+RHJ1ZyBhbmQgQWxjb2hvbCBEZXBl
bmRlbmNlPC9mdWxsLXRpdGxlPjwvYWx0LXBlcmlvZGljYWw+PHBhZ2VzPjQyNy00MzA8L3BhZ2Vz
Pjx2b2x1bWU+MTgwPC92b2x1bWU+PGVkaXRpb24+MjAxNy8xMC8xMTwvZWRpdGlvbj48a2V5d29y
ZHM+PGtleXdvcmQ+QWRvbGVzY2VudHM8L2tleXdvcmQ+PGtleXdvcmQ+RWxlY3Ryb25pYyBjaWdh
cmV0dGVzPC9rZXl3b3JkPjxrZXl3b3JkPk1hcmlqdWFuYTwva2V5d29yZD48a2V5d29yZD5NZXhp
Y288L2tleXdvcmQ+PGtleXdvcmQ+VHJpYWw8L2tleXdvcmQ+PC9rZXl3b3Jkcz48ZGF0ZXM+PHll
YXI+MjAxNzwveWVhcj48cHViLWRhdGVzPjxkYXRlPk5vdiAxPC9kYXRlPjwvcHViLWRhdGVzPjwv
ZGF0ZXM+PGlzYm4+MDM3Ni04NzE2PC9pc2JuPjxhY2Nlc3Npb24tbnVtPjI4OTg4MDA1PC9hY2Nl
c3Npb24tbnVtPjx1cmxzPjxyZWxhdGVkLXVybHM+PHVybD5odHRwOi8vd3d3LmRydWdhbmRhbGNv
aG9sZGVwZW5kZW5jZS5jb20vYXJ0aWNsZS9TMDM3Ni04NzE2KDE3KTMwNDgyLTkvcGRmPC91cmw+
PC9yZWxhdGVkLXVybHM+PC91cmxzPjxjdXN0b20yPlBNQzU3NzE0NDA8L2N1c3RvbTI+PGN1c3Rv
bTY+TklITVM5MTE0Nzg8L2N1c3RvbTY+PGVsZWN0cm9uaWMtcmVzb3VyY2UtbnVtPjEwLjEwMTYv
ai5kcnVnYWxjZGVwLjIwMTcuMDkuMDAxPC9lbGVjdHJvbmljLXJlc291cmNlLW51bT48cmVtb3Rl
LWRhdGFiYXNlLXByb3ZpZGVyPk5MTTwvcmVtb3RlLWRhdGFiYXNlLXByb3ZpZGVyPjxsYW5ndWFn
ZT5lbmc8L2xhbmd1YWdlPjwvcmVjb3JkPjwvQ2l0ZT48L0VuZE5vdGU+AG==
</w:fldData>
        </w:fldChar>
      </w:r>
      <w:r w:rsidR="004E728C">
        <w:instrText xml:space="preserve"> ADDIN EN.CITE </w:instrText>
      </w:r>
      <w:r w:rsidR="004E728C">
        <w:fldChar w:fldCharType="begin">
          <w:fldData xml:space="preserve">PEVuZE5vdGU+PENpdGU+PEF1dGhvcj5Mb3phbm88L0F1dGhvcj48WWVhcj4yMDE3PC9ZZWFyPjxS
ZWNOdW0+NDg5OTwvUmVjTnVtPjxEaXNwbGF5VGV4dD4oTG96YW5vLCBCYXJyaWVudG9zLUd1dGll
cnJleiBldCBhbC4gMjAxNyk8L0Rpc3BsYXlUZXh0PjxyZWNvcmQ+PHJlYy1udW1iZXI+NDg5OTwv
cmVjLW51bWJlcj48Zm9yZWlnbi1rZXlzPjxrZXkgYXBwPSJFTiIgZGItaWQ9Ijl6MDVkejBwcmFh
ZGZ1ZWUwem94emVkazl6ZmU1Znh4NTB6NSIgdGltZXN0YW1wPSIxNTIzOTIwNTkxIj40ODk5PC9r
ZXk+PGtleSBhcHA9IkVOV2ViIiBkYi1pZD0iIj4wPC9rZXk+PC9mb3JlaWduLWtleXM+PHJlZi10
eXBlIG5hbWU9IkpvdXJuYWwgQXJ0aWNsZSI+MTc8L3JlZi10eXBlPjxjb250cmlidXRvcnM+PGF1
dGhvcnM+PGF1dGhvcj5Mb3phbm8sIFAuPC9hdXRob3I+PGF1dGhvcj5CYXJyaWVudG9zLUd1dGll
cnJleiwgSS48L2F1dGhvcj48YXV0aG9yPkFyaWxsby1TYW50aWxsYW4sIEUuPC9hdXRob3I+PGF1
dGhvcj5Nb3JlbGxvLCBQLjwvYXV0aG9yPjxhdXRob3I+TWVqaWEsIFIuPC9hdXRob3I+PGF1dGhv
cj5TYXJnZW50LCBKLiBELjwvYXV0aG9yPjxhdXRob3I+VGhyYXNoZXIsIEouIEYuPC9hdXRob3I+
PC9hdXRob3JzPjwvY29udHJpYnV0b3JzPjxhdXRoLWFkZHJlc3M+SGVhbHRoIFByb21vdGlvbiwg
RWR1Y2F0aW9uLCBhbmQgQmVoYXZpb3IsIEFybm9sZCBTY2hvb2wgb2YgUHVibGljIEhlYWx0aCwg
VW5pdmVyc2l0eSBvZiBTb3V0aCBDYXJvbGluYSwgQ29sdW1iaWEsIFNvdXRoIENhcm9saW5hLCBV
U0EuIEVsZWN0cm9uaWMgYWRkcmVzczogbG96YW5vcEBlbWFpbC5zYy5lZHUuJiN4RDtEZXBhcnRt
ZW50IG9mIFRvYmFjY28gUmVzZWFyY2gsIENlbnRlciBmb3IgUG9wdWxhdGlvbiBIZWFsdGggUmVz
ZWFyY2ggTmF0aW9uYWwgSW5zdGl0dXRlIG9mIFB1YmxpYyBIZWFsdGgsIEN1ZXJuYXZhY2EsIE1l
eGljby4gRWxlY3Ryb25pYyBhZGRyZXNzOiBpbnRpLmJhcnJpZW50b3NAaW5zcC5teC4mI3hEO0Rl
cGFydG1lbnQgb2YgVG9iYWNjbyBSZXNlYXJjaCwgQ2VudGVyIGZvciBQb3B1bGF0aW9uIEhlYWx0
aCBSZXNlYXJjaCBOYXRpb25hbCBJbnN0aXR1dGUgb2YgUHVibGljIEhlYWx0aCwgQ3Vlcm5hdmFj
YSwgTWV4aWNvLiBFbGVjdHJvbmljIGFkZHJlc3M6IGVkbmFAaW5zcC5teC4mI3hEO0RlcGFydG1l
bnQgb2YgSGVhbHRoIEVjb25vbXkgYW5kIFNvY2lldHksIENlbnRybyBkZSBFc3R1ZGlvcyBkZSBF
c3RhZG8geSBTb2NpZWRhZCwgQnVlbm9zIEFpcmVzLCBBcmdlbnRpbmEuIEVsZWN0cm9uaWMgYWRk
cmVzczogcGFvbGFtb3JlbGxvQGhvdG1haWwuY29tLiYjeEQ7RGVwYXJ0bWVudCBvZiBIZWFsdGgg
RWNvbm9teSBhbmQgU29jaWV0eSwgQ2VudHJvIGRlIEVzdHVkaW9zIGRlIEVzdGFkbyB5IFNvY2ll
ZGFkLCBCdWVub3MgQWlyZXMsIEFyZ2VudGluYS4gRWxlY3Ryb25pYyBhZGRyZXNzOiByYXVsbWVq
aWFAY2VkZXMub3JnLiYjeEQ7Q2FuY2VyIENvbnRyb2wgUHJvZ3JhbSwgTm9ycmlzIENvdHRvbiBD
YW5jZXIgQ2VudGVyLCBMZWJhbm9uLCBOZXcgSGFtcHNoaXJlLCBVU0EuIEVsZWN0cm9uaWMgYWRk
cmVzczogSmFtZXMuRC5TYXJnZW50QGRhcnRtb3V0aC5lZHUuJiN4RDtIZWFsdGggUHJvbW90aW9u
LCBFZHVjYXRpb24sIGFuZCBCZWhhdmlvciwgQXJub2xkIFNjaG9vbCBvZiBQdWJsaWMgSGVhbHRo
LCBVbml2ZXJzaXR5IG9mIFNvdXRoIENhcm9saW5hLCBDb2x1bWJpYSwgU291dGggQ2Fyb2xpbmEs
IFVTQTsgRGVwYXJ0bWVudCBvZiBUb2JhY2NvIFJlc2VhcmNoLCBDZW50ZXIgZm9yIFBvcHVsYXRp
b24gSGVhbHRoIFJlc2VhcmNoIE5hdGlvbmFsIEluc3RpdHV0ZSBvZiBQdWJsaWMgSGVhbHRoLCBD
dWVybmF2YWNhLCBNZXhpY28uIEVsZWN0cm9uaWMgYWRkcmVzczogdGhyYXNoZXJAbWFpbGJveC5z
Yy5lZHUuPC9hdXRoLWFkZHJlc3M+PHRpdGxlcz48dGl0bGU+QSBsb25naXR1ZGluYWwgc3R1ZHkg
b2YgZWxlY3Ryb25pYyBjaWdhcmV0dGUgdXNlIGFuZCBvbnNldCBvZiBjb252ZW50aW9uYWwgY2ln
YXJldHRlIHNtb2tpbmcgYW5kIG1hcmlqdWFuYSB1c2UgYW1vbmcgTWV4aWNhbiBhZG9sZXNjZW50
czwvdGl0bGU+PHNlY29uZGFyeS10aXRsZT5EcnVnIEFsY29ob2wgRGVwZW5kPC9zZWNvbmRhcnkt
dGl0bGU+PGFsdC10aXRsZT5EcnVnIGFuZCBhbGNvaG9sIGRlcGVuZGVuY2U8L2FsdC10aXRsZT48
L3RpdGxlcz48YWx0LXBlcmlvZGljYWw+PGZ1bGwtdGl0bGU+RHJ1ZyBhbmQgQWxjb2hvbCBEZXBl
bmRlbmNlPC9mdWxsLXRpdGxlPjwvYWx0LXBlcmlvZGljYWw+PHBhZ2VzPjQyNy00MzA8L3BhZ2Vz
Pjx2b2x1bWU+MTgwPC92b2x1bWU+PGVkaXRpb24+MjAxNy8xMC8xMTwvZWRpdGlvbj48a2V5d29y
ZHM+PGtleXdvcmQ+QWRvbGVzY2VudHM8L2tleXdvcmQ+PGtleXdvcmQ+RWxlY3Ryb25pYyBjaWdh
cmV0dGVzPC9rZXl3b3JkPjxrZXl3b3JkPk1hcmlqdWFuYTwva2V5d29yZD48a2V5d29yZD5NZXhp
Y288L2tleXdvcmQ+PGtleXdvcmQ+VHJpYWw8L2tleXdvcmQ+PC9rZXl3b3Jkcz48ZGF0ZXM+PHll
YXI+MjAxNzwveWVhcj48cHViLWRhdGVzPjxkYXRlPk5vdiAxPC9kYXRlPjwvcHViLWRhdGVzPjwv
ZGF0ZXM+PGlzYm4+MDM3Ni04NzE2PC9pc2JuPjxhY2Nlc3Npb24tbnVtPjI4OTg4MDA1PC9hY2Nl
c3Npb24tbnVtPjx1cmxzPjxyZWxhdGVkLXVybHM+PHVybD5odHRwOi8vd3d3LmRydWdhbmRhbGNv
aG9sZGVwZW5kZW5jZS5jb20vYXJ0aWNsZS9TMDM3Ni04NzE2KDE3KTMwNDgyLTkvcGRmPC91cmw+
PC9yZWxhdGVkLXVybHM+PC91cmxzPjxjdXN0b20yPlBNQzU3NzE0NDA8L2N1c3RvbTI+PGN1c3Rv
bTY+TklITVM5MTE0Nzg8L2N1c3RvbTY+PGVsZWN0cm9uaWMtcmVzb3VyY2UtbnVtPjEwLjEwMTYv
ai5kcnVnYWxjZGVwLjIwMTcuMDkuMDAxPC9lbGVjdHJvbmljLXJlc291cmNlLW51bT48cmVtb3Rl
LWRhdGFiYXNlLXByb3ZpZGVyPk5MTTwvcmVtb3RlLWRhdGFiYXNlLXByb3ZpZGVyPjxsYW5ndWFn
ZT5lbmc8L2xhbmd1YWdlPjwvcmVjb3JkPjwvQ2l0ZT48L0VuZE5vdGU+AG==
</w:fldData>
        </w:fldChar>
      </w:r>
      <w:r w:rsidR="004E728C">
        <w:instrText xml:space="preserve"> ADDIN EN.CITE.DATA </w:instrText>
      </w:r>
      <w:r w:rsidR="004E728C">
        <w:fldChar w:fldCharType="end"/>
      </w:r>
      <w:r>
        <w:fldChar w:fldCharType="separate"/>
      </w:r>
      <w:r w:rsidR="004E728C">
        <w:rPr>
          <w:noProof/>
        </w:rPr>
        <w:t>(Lozano, Barrientos-Gutierrez et al. 2017)</w:t>
      </w:r>
      <w:r>
        <w:fldChar w:fldCharType="end"/>
      </w:r>
      <w:r>
        <w:t>. At baseline, all participants had not tried conventional cigarettes and 5% had tried e</w:t>
      </w:r>
      <w:r>
        <w:noBreakHyphen/>
        <w:t>cigarettes. After adjusting for confounders, this study found ever e</w:t>
      </w:r>
      <w:r>
        <w:noBreakHyphen/>
        <w:t>cigarette use was associated with having tried conventional cigarettes at follow up (OR: 1.40; 95%CI: 1.22</w:t>
      </w:r>
      <w:r>
        <w:noBreakHyphen/>
        <w:t>1.60). A similar trend was observed for past 30</w:t>
      </w:r>
      <w:r>
        <w:noBreakHyphen/>
        <w:t>day conventional cigarette use at follow up which did not reach statistical significance (OR: 1.43; 95%CI: 0.94</w:t>
      </w:r>
      <w:r>
        <w:noBreakHyphen/>
        <w:t xml:space="preserve">2.16). The confounders that were considered in this study were sex, age, parent </w:t>
      </w:r>
      <w:r w:rsidR="007C21D9">
        <w:t>socio-economic status (SES)</w:t>
      </w:r>
      <w:r>
        <w:t>, sensation seeking, friends smoking, parental smoking, siblings smoking, ever tried alcohol, binge drinking (drinking &gt;3 alcoholic drinks in the past 30 days) and exposure to internet tobacco advertising. This study also excluded those who had reported having tried cocaine or marijuana at baseline. The response rate was reasonable (84%), however, the retention rate at follow up was low (63%), which may have introduced bias.</w:t>
      </w:r>
    </w:p>
    <w:p w14:paraId="653482A8" w14:textId="04552BB4" w:rsidR="002D348A" w:rsidRDefault="002D348A" w:rsidP="002D348A">
      <w:pPr>
        <w:pStyle w:val="BodyText"/>
      </w:pPr>
      <w:r>
        <w:lastRenderedPageBreak/>
        <w:t xml:space="preserve"> In another cohort of 2,100 students (aged 11</w:t>
      </w:r>
      <w:r>
        <w:noBreakHyphen/>
        <w:t>17 years) recruited from 19 randomly selected schools in the Netherlands, Treur and colleagues assessed the use of e</w:t>
      </w:r>
      <w:r>
        <w:noBreakHyphen/>
        <w:t xml:space="preserve">cigarettes with and without nicotine and cigarette smoking </w:t>
      </w:r>
      <w:r w:rsidR="007E6F4C">
        <w:t>six</w:t>
      </w:r>
      <w:r>
        <w:t xml:space="preserve"> months later </w:t>
      </w:r>
      <w:r>
        <w:fldChar w:fldCharType="begin"/>
      </w:r>
      <w:r>
        <w:instrText xml:space="preserve"> ADDIN EN.CITE &lt;EndNote&gt;&lt;Cite&gt;&lt;Author&gt;Treur&lt;/Author&gt;&lt;Year&gt;2017&lt;/Year&gt;&lt;RecNum&gt;5818&lt;/RecNum&gt;&lt;DisplayText&gt;(Treur, Rozema et al. 2017)&lt;/DisplayText&gt;&lt;record&gt;&lt;rec-number&gt;5818&lt;/rec-number&gt;&lt;foreign-keys&gt;&lt;key app="EN" db-id="9z05dz0praadfuee0zoxzedk9zfe5fxx50z5" timestamp="1523921026"&gt;5818&lt;/key&gt;&lt;key app="ENWeb" db-id=""&gt;0&lt;/key&gt;&lt;/foreign-keys&gt;&lt;ref-type name="Journal Article"&gt;17&lt;/ref-type&gt;&lt;contributors&gt;&lt;authors&gt;&lt;author&gt;Treur, J. L.&lt;/author&gt;&lt;author&gt;Rozema, A. D.&lt;/author&gt;&lt;author&gt;Mathijssen, J. J. P.&lt;/author&gt;&lt;author&gt;van Oers, H.&lt;/author&gt;&lt;author&gt;Vink, J. M.&lt;/author&gt;&lt;/authors&gt;&lt;/contributors&gt;&lt;titles&gt;&lt;title&gt;E-cigarette and waterpipe use in two adolescent cohorts: cross-sectional and longitudinal associations with conventional cigarette smoking&lt;/title&gt;&lt;secondary-title&gt;European Journal of Epidemiology&lt;/secondary-title&gt;&lt;/titles&gt;&lt;periodical&gt;&lt;full-title&gt;European Journal of Epidemiology&lt;/full-title&gt;&lt;/periodical&gt;&lt;pages&gt;1-12&lt;/pages&gt;&lt;dates&gt;&lt;year&gt;2017&lt;/year&gt;&lt;/dates&gt;&lt;urls&gt;&lt;related-urls&gt;&lt;url&gt;https://www.scopus.com/inward/record.uri?eid=2-s2.0-85038355757&amp;amp;doi=10.1007%2fs10654-017-0345-9&amp;amp;partnerID=40&amp;amp;md5=0798d413adc9cf441cb6b5ded9f0e5fe&lt;/url&gt;&lt;url&gt;https://link.springer.com/content/pdf/10.1007%2Fs10654-017-0345-9.pdf&lt;/url&gt;&lt;/related-urls&gt;&lt;/urls&gt;&lt;electronic-resource-num&gt;10.1007/s10654-017-0345-9&lt;/electronic-resource-num&gt;&lt;remote-database-name&gt;Scopus&lt;/remote-database-name&gt;&lt;/record&gt;&lt;/Cite&gt;&lt;/EndNote&gt;</w:instrText>
      </w:r>
      <w:r>
        <w:fldChar w:fldCharType="separate"/>
      </w:r>
      <w:r>
        <w:rPr>
          <w:noProof/>
        </w:rPr>
        <w:t>(Treur, Rozema et al. 2017)</w:t>
      </w:r>
      <w:r>
        <w:fldChar w:fldCharType="end"/>
      </w:r>
      <w:r>
        <w:t>. Prevalence of ever use of e</w:t>
      </w:r>
      <w:r>
        <w:noBreakHyphen/>
        <w:t>cigarettes with nicotine and e</w:t>
      </w:r>
      <w:r>
        <w:noBreakHyphen/>
        <w:t xml:space="preserve">cigarettes without nicotine in never cigarette smokers at baseline was 13.7% and 29.4% respectively. After adjusting for confounders, ever use of </w:t>
      </w:r>
      <w:r w:rsidRPr="00C607E5">
        <w:t>e</w:t>
      </w:r>
      <w:r>
        <w:noBreakHyphen/>
      </w:r>
      <w:r w:rsidRPr="00C607E5">
        <w:t xml:space="preserve">cigarettes with nicotine </w:t>
      </w:r>
      <w:r>
        <w:t>and e</w:t>
      </w:r>
      <w:r>
        <w:noBreakHyphen/>
        <w:t xml:space="preserve">cigarettes without nicotine predicted cigarette smoking </w:t>
      </w:r>
      <w:r w:rsidR="007E6F4C">
        <w:t>six</w:t>
      </w:r>
      <w:r>
        <w:t xml:space="preserve"> months later (</w:t>
      </w:r>
      <w:r w:rsidRPr="00C607E5">
        <w:t>OR</w:t>
      </w:r>
      <w:r>
        <w:t>:</w:t>
      </w:r>
      <w:r w:rsidRPr="00C607E5">
        <w:t xml:space="preserve"> 11.90</w:t>
      </w:r>
      <w:r>
        <w:t>;</w:t>
      </w:r>
      <w:r w:rsidRPr="00C607E5">
        <w:t xml:space="preserve"> 95%CI</w:t>
      </w:r>
      <w:r>
        <w:t>:</w:t>
      </w:r>
      <w:r w:rsidRPr="00C607E5">
        <w:t xml:space="preserve"> 3.36</w:t>
      </w:r>
      <w:r>
        <w:noBreakHyphen/>
      </w:r>
      <w:r w:rsidRPr="00C607E5">
        <w:t>42.11</w:t>
      </w:r>
      <w:r>
        <w:t xml:space="preserve"> and</w:t>
      </w:r>
      <w:r w:rsidRPr="00C607E5">
        <w:t xml:space="preserve"> OR</w:t>
      </w:r>
      <w:r>
        <w:t>:</w:t>
      </w:r>
      <w:r w:rsidRPr="00C607E5">
        <w:t xml:space="preserve"> 5.36</w:t>
      </w:r>
      <w:r>
        <w:t>;</w:t>
      </w:r>
      <w:r w:rsidRPr="00C607E5">
        <w:t xml:space="preserve"> 95%CI</w:t>
      </w:r>
      <w:r>
        <w:t>:</w:t>
      </w:r>
      <w:r w:rsidRPr="00C607E5">
        <w:t xml:space="preserve"> 2.73, 10.52</w:t>
      </w:r>
      <w:r>
        <w:t xml:space="preserve"> respectively)</w:t>
      </w:r>
      <w:r w:rsidRPr="00C607E5">
        <w:t xml:space="preserve">. </w:t>
      </w:r>
      <w:r>
        <w:t>T</w:t>
      </w:r>
      <w:r w:rsidRPr="00C607E5">
        <w:t>h</w:t>
      </w:r>
      <w:r>
        <w:t>ese</w:t>
      </w:r>
      <w:r w:rsidRPr="00C607E5">
        <w:t xml:space="preserve"> association</w:t>
      </w:r>
      <w:r>
        <w:t>s were</w:t>
      </w:r>
      <w:r w:rsidRPr="00C607E5">
        <w:t xml:space="preserve"> strongest in adolescents with a low baseline risk of smoking</w:t>
      </w:r>
      <w:r>
        <w:t xml:space="preserve">. This study adjusted for age, sex, educational attainment and propensity to smoke which was comprised of three factors – personality (anxiety sensitivity, hopelessness, sensation seeking and impulsivity), susceptibility to peer pressure and smoking intentions. </w:t>
      </w:r>
    </w:p>
    <w:p w14:paraId="172A57D0" w14:textId="77777777" w:rsidR="00CB6E0E" w:rsidRDefault="002D348A" w:rsidP="002D348A">
      <w:pPr>
        <w:pStyle w:val="BodyText"/>
      </w:pPr>
      <w:r>
        <w:t>Morganstern and colleagues conducted another study in a cohort of 2,186 10</w:t>
      </w:r>
      <w:r w:rsidRPr="00796CB7">
        <w:rPr>
          <w:vertAlign w:val="superscript"/>
        </w:rPr>
        <w:t>th</w:t>
      </w:r>
      <w:r>
        <w:t xml:space="preserve"> grade students in Lower Saxony and Schleswig</w:t>
      </w:r>
      <w:r>
        <w:noBreakHyphen/>
        <w:t xml:space="preserve">Holstein, Germany </w:t>
      </w:r>
      <w:r>
        <w:fldChar w:fldCharType="begin"/>
      </w:r>
      <w:r w:rsidR="004E728C">
        <w:instrText xml:space="preserve"> ADDIN EN.CITE &lt;EndNote&gt;&lt;Cite&gt;&lt;Author&gt;Morgenstern&lt;/Author&gt;&lt;Year&gt;2018&lt;/Year&gt;&lt;RecNum&gt;10468&lt;/RecNum&gt;&lt;DisplayText&gt;(Morgenstern, Nies et al. 2018)&lt;/DisplayText&gt;&lt;record&gt;&lt;rec-number&gt;10468&lt;/rec-number&gt;&lt;foreign-keys&gt;&lt;key app="EN" db-id="9z05dz0praadfuee0zoxzedk9zfe5fxx50z5" timestamp="1526869878"&gt;10468&lt;/key&gt;&lt;key app="ENWeb" db-id=""&gt;0&lt;/key&gt;&lt;/foreign-keys&gt;&lt;ref-type name="Journal Article"&gt;17&lt;/ref-type&gt;&lt;contributors&gt;&lt;authors&gt;&lt;author&gt;Morgenstern, Matthis&lt;/author&gt;&lt;author&gt;Nies, Alina&lt;/author&gt;&lt;author&gt;Goecke, Michaela&lt;/author&gt;&lt;author&gt;Hanewinkel, Reiner&lt;/author&gt;&lt;/authors&gt;&lt;/contributors&gt;&lt;titles&gt;&lt;title&gt;E-Cigarettes and the Use of Conventional Cigarettes&lt;/title&gt;&lt;secondary-title&gt;Deutsches Arzteblatt International&lt;/secondary-title&gt;&lt;/titles&gt;&lt;periodical&gt;&lt;full-title&gt;Deutsches Arzteblatt International&lt;/full-title&gt;&lt;/periodical&gt;&lt;pages&gt;243-+&lt;/pages&gt;&lt;volume&gt;115&lt;/volume&gt;&lt;number&gt;14&lt;/number&gt;&lt;dates&gt;&lt;year&gt;2018&lt;/year&gt;&lt;pub-dates&gt;&lt;date&gt;Apr 6&lt;/date&gt;&lt;/pub-dates&gt;&lt;/dates&gt;&lt;isbn&gt;1866-0452&lt;/isbn&gt;&lt;accession-num&gt;WOS:000431149700004&lt;/accession-num&gt;&lt;urls&gt;&lt;related-urls&gt;&lt;url&gt;&amp;lt;Go to ISI&amp;gt;://WOS:000431149700004&lt;/url&gt;&lt;url&gt;https://www.ncbi.nlm.nih.gov/pmc/articles/PMC5938547/pdf/Dtsch_Arztebl_Int-115_0243.pdf&lt;/url&gt;&lt;/related-urls&gt;&lt;/urls&gt;&lt;electronic-resource-num&gt;10.3238/arztebl.2018.0243&lt;/electronic-resource-num&gt;&lt;/record&gt;&lt;/Cite&gt;&lt;/EndNote&gt;</w:instrText>
      </w:r>
      <w:r>
        <w:fldChar w:fldCharType="separate"/>
      </w:r>
      <w:r>
        <w:rPr>
          <w:noProof/>
        </w:rPr>
        <w:t>(Morgenstern, Nies et al. 2018)</w:t>
      </w:r>
      <w:r>
        <w:fldChar w:fldCharType="end"/>
      </w:r>
      <w:r>
        <w:t>. All students who were included in the analysis had never smoked conventional cigarettes at baseline, however, 14.3% had tried e</w:t>
      </w:r>
      <w:r>
        <w:noBreakHyphen/>
        <w:t xml:space="preserve">cigarettes. After adjusting for confounders including demographics, personality traits </w:t>
      </w:r>
      <w:r w:rsidRPr="00830377">
        <w:t>(sensation</w:t>
      </w:r>
      <w:r>
        <w:noBreakHyphen/>
      </w:r>
      <w:r w:rsidRPr="00830377">
        <w:t>seeking, impulsivity, anxiety, hopelessness, extraversion, agreeableness, conscientiousness, neuroticism, openness)</w:t>
      </w:r>
      <w:r>
        <w:t xml:space="preserve"> and use of alcohol, cannabis and other illicit drugs, the authors found having tried e</w:t>
      </w:r>
      <w:r>
        <w:noBreakHyphen/>
        <w:t>cigarettes at baseline was associated with a greater risk of experimentation with conventional cigarettes six months later (RR=2.18; 95%CI: 1.65</w:t>
      </w:r>
      <w:r>
        <w:noBreakHyphen/>
        <w:t xml:space="preserve">2.83). This association was also found to be stronger </w:t>
      </w:r>
      <w:r w:rsidRPr="00837B0C">
        <w:t>among adolescents with low sensation</w:t>
      </w:r>
      <w:r>
        <w:noBreakHyphen/>
      </w:r>
      <w:r w:rsidRPr="00837B0C">
        <w:t xml:space="preserve">seeking scores and without any </w:t>
      </w:r>
      <w:r>
        <w:t>binge</w:t>
      </w:r>
      <w:r>
        <w:noBreakHyphen/>
        <w:t xml:space="preserve">drinking </w:t>
      </w:r>
      <w:r w:rsidRPr="00837B0C">
        <w:t>ex</w:t>
      </w:r>
      <w:r>
        <w:t>perience</w:t>
      </w:r>
      <w:r w:rsidRPr="00837B0C">
        <w:t>.</w:t>
      </w:r>
      <w:r>
        <w:t xml:space="preserve"> </w:t>
      </w:r>
    </w:p>
    <w:p w14:paraId="55C8B4AA" w14:textId="5FFCF31E" w:rsidR="002D348A" w:rsidRDefault="002D348A" w:rsidP="002D348A">
      <w:pPr>
        <w:pStyle w:val="BodyText"/>
      </w:pPr>
      <w:r>
        <w:t>Although this study reported very good response and retention rates (84.5% and 92.7% respectively), attrition analysis found differences in e</w:t>
      </w:r>
      <w:r>
        <w:noBreakHyphen/>
        <w:t>cigarette use and other key variables (</w:t>
      </w:r>
      <w:r w:rsidR="00CB6E0E">
        <w:t>e.g.</w:t>
      </w:r>
      <w:r w:rsidR="00792D5A">
        <w:t> </w:t>
      </w:r>
      <w:r>
        <w:t>sensation seeking, impulsivity, hopelessness, use of cannabis and other illicit drugs) between those who were followed up and those who were not. Therefore, selection bias is likely to have affected the estimated risk ratios. The extent of this effect is unknown. The follow up period is also short and may not have captured the full effect of e</w:t>
      </w:r>
      <w:r>
        <w:noBreakHyphen/>
        <w:t>cigarette use on subsequent cigarette experimentation.</w:t>
      </w:r>
    </w:p>
    <w:p w14:paraId="7DBE2486" w14:textId="59B6DA8F" w:rsidR="002D348A" w:rsidRDefault="002D348A" w:rsidP="002D348A">
      <w:pPr>
        <w:pStyle w:val="BodyText"/>
      </w:pPr>
      <w:r>
        <w:t xml:space="preserve">Kinnunen and colleagues conducted a study of 1,988 school students aged 16 to 18 years in Helsinki, Finland </w:t>
      </w:r>
      <w:r>
        <w:fldChar w:fldCharType="begin"/>
      </w:r>
      <w:r>
        <w:instrText xml:space="preserve"> ADDIN EN.CITE &lt;EndNote&gt;&lt;Cite&gt;&lt;Author&gt;Kinnunen&lt;/Author&gt;&lt;Year&gt;2017&lt;/Year&gt;&lt;RecNum&gt;1867&lt;/RecNum&gt;&lt;DisplayText&gt;(Kinnunen, Minkkinen et al. 2017)&lt;/DisplayText&gt;&lt;record&gt;&lt;rec-number&gt;1867&lt;/rec-number&gt;&lt;foreign-keys&gt;&lt;key app="EN" db-id="9vs9pzfznapxphefa28xzw95sf5av0sv9rdz" timestamp="1521159484"&gt;1867&lt;/key&gt;&lt;/foreign-keys&gt;&lt;ref-type name="Journal Article"&gt;17&lt;/ref-type&gt;&lt;contributors&gt;&lt;authors&gt;&lt;author&gt;Kinnunen, J. M.&lt;/author&gt;&lt;author&gt;Minkkinen, J. L. K.&lt;/author&gt;&lt;author&gt;Ollila, H.&lt;/author&gt;&lt;author&gt;Rimpela, A.&lt;/author&gt;&lt;/authors&gt;&lt;/contributors&gt;&lt;titles&gt;&lt;title&gt;Follow-up of adolescent electronic cigarette use in Finland&lt;/title&gt;&lt;secondary-title&gt;European Journal of Public Health&lt;/secondary-title&gt;&lt;/titles&gt;&lt;periodical&gt;&lt;full-title&gt;European Journal of Public Health&lt;/full-title&gt;&lt;/periodical&gt;&lt;volume&gt;27&lt;/volume&gt;&lt;dates&gt;&lt;year&gt;2017&lt;/year&gt;&lt;pub-dates&gt;&lt;date&gt;Nov&lt;/date&gt;&lt;/pub-dates&gt;&lt;/dates&gt;&lt;isbn&gt;1101-1262&lt;/isbn&gt;&lt;accession-num&gt;WOS:000414389801083&lt;/accession-num&gt;&lt;urls&gt;&lt;related-urls&gt;&lt;url&gt;&amp;lt;Go to ISI&amp;gt;://WOS:000414389801083&lt;/url&gt;&lt;/related-urls&gt;&lt;/urls&gt;&lt;/record&gt;&lt;/Cite&gt;&lt;/EndNote&gt;</w:instrText>
      </w:r>
      <w:r>
        <w:fldChar w:fldCharType="separate"/>
      </w:r>
      <w:r>
        <w:rPr>
          <w:noProof/>
        </w:rPr>
        <w:t>(Kinnunen, Minkkinen et al. 2017)</w:t>
      </w:r>
      <w:r>
        <w:fldChar w:fldCharType="end"/>
      </w:r>
      <w:r>
        <w:t>. In this study, the relationship between use of e</w:t>
      </w:r>
      <w:r>
        <w:noBreakHyphen/>
        <w:t xml:space="preserve">cigarettes with and without nicotine in never cigarette smokers and daily cigarette smoking </w:t>
      </w:r>
      <w:r w:rsidR="007E6F4C">
        <w:t xml:space="preserve">two </w:t>
      </w:r>
      <w:r>
        <w:t>years later was examined. At baseline, 103 participants had tried e</w:t>
      </w:r>
      <w:r>
        <w:noBreakHyphen/>
        <w:t>cigarettes with nicotine, 65 had tried e</w:t>
      </w:r>
      <w:r>
        <w:noBreakHyphen/>
        <w:t>cigarettes without nicotine and 1,820 had not tried e</w:t>
      </w:r>
      <w:r>
        <w:noBreakHyphen/>
        <w:t xml:space="preserve">cigarettes. There was an association between </w:t>
      </w:r>
      <w:r w:rsidR="007E6F4C">
        <w:t xml:space="preserve">the </w:t>
      </w:r>
      <w:r>
        <w:t>use of e</w:t>
      </w:r>
      <w:r>
        <w:noBreakHyphen/>
        <w:t xml:space="preserve">cigarettes with and without nicotine and daily smoking at follow up with 8.7% and 1.5% reporting daily smoking </w:t>
      </w:r>
      <w:r w:rsidR="000E5C99">
        <w:t>t</w:t>
      </w:r>
      <w:r w:rsidR="00CB6E0E">
        <w:t>w</w:t>
      </w:r>
      <w:r w:rsidR="000E5C99">
        <w:t>o</w:t>
      </w:r>
      <w:r>
        <w:t xml:space="preserve"> years later compared to 0.8% of those who had not tried e</w:t>
      </w:r>
      <w:r>
        <w:noBreakHyphen/>
        <w:t>cigarettes at baseline. These results should be considered carefully, however as the proportion of participants in the exposed groups are small, no confounders have been reported, and a full</w:t>
      </w:r>
      <w:r>
        <w:noBreakHyphen/>
        <w:t>peer reviewed article of the results is yet to be published.</w:t>
      </w:r>
    </w:p>
    <w:p w14:paraId="55B2FBBA" w14:textId="2E9B7293" w:rsidR="002D348A" w:rsidRDefault="002D348A" w:rsidP="002D348A">
      <w:pPr>
        <w:pStyle w:val="BodyText"/>
      </w:pPr>
      <w:r>
        <w:lastRenderedPageBreak/>
        <w:t xml:space="preserve">Another study was performed by Pearce and colleagues in a cohort of 2,998 students from four high schools in Scotland </w:t>
      </w:r>
      <w:r>
        <w:fldChar w:fldCharType="begin"/>
      </w:r>
      <w:r>
        <w:instrText xml:space="preserve"> ADDIN EN.CITE &lt;EndNote&gt;&lt;Cite&gt;&lt;Author&gt;Pearce&lt;/Author&gt;&lt;Year&gt;2017&lt;/Year&gt;&lt;RecNum&gt;5886&lt;/RecNum&gt;&lt;DisplayText&gt;(Pearce, Best et al. 2017)&lt;/DisplayText&gt;&lt;record&gt;&lt;rec-number&gt;5886&lt;/rec-number&gt;&lt;foreign-keys&gt;&lt;key app="EN" db-id="9z05dz0praadfuee0zoxzedk9zfe5fxx50z5" timestamp="1523921033"&gt;5886&lt;/key&gt;&lt;key app="ENWeb" db-id=""&gt;0&lt;/key&gt;&lt;/foreign-keys&gt;&lt;ref-type name="Journal Article"&gt;17&lt;/ref-type&gt;&lt;contributors&gt;&lt;authors&gt;&lt;author&gt;Pearce, Jamie&lt;/author&gt;&lt;author&gt;Best, C.&lt;/author&gt;&lt;author&gt;Haseen, F.&lt;/author&gt;&lt;author&gt;Currie, D.&lt;/author&gt;&lt;author&gt;MacKintosh, A. M.&lt;/author&gt;&lt;author&gt;Stead, M.&lt;/author&gt;&lt;author&gt;Eadie, D.&lt;/author&gt;&lt;author&gt;MacGregor, A.&lt;/author&gt;&lt;author&gt;Amos, A.&lt;/author&gt;&lt;author&gt;Frank, J.&lt;/author&gt;&lt;author&gt;Haw, S.&lt;/author&gt;&lt;/authors&gt;&lt;/contributors&gt;&lt;titles&gt;&lt;title&gt;Electronic cigarette use and smoking initiation in Scottish adolescents: a cohort study&lt;/title&gt;&lt;secondary-title&gt;European Journal of Public Health&lt;/secondary-title&gt;&lt;/titles&gt;&lt;periodical&gt;&lt;full-title&gt;European Journal of Public Health&lt;/full-title&gt;&lt;/periodical&gt;&lt;pages&gt;38-38&lt;/pages&gt;&lt;volume&gt;27&lt;/volume&gt;&lt;dates&gt;&lt;year&gt;2017&lt;/year&gt;&lt;pub-dates&gt;&lt;date&gt;Nov&lt;/date&gt;&lt;/pub-dates&gt;&lt;/dates&gt;&lt;isbn&gt;1101-1262&lt;/isbn&gt;&lt;accession-num&gt;WOS:000414389800076&lt;/accession-num&gt;&lt;urls&gt;&lt;related-urls&gt;&lt;url&gt;&amp;lt;Go to ISI&amp;gt;://WOS:000414389800076&lt;/url&gt;&lt;/related-urls&gt;&lt;/urls&gt;&lt;/record&gt;&lt;/Cite&gt;&lt;/EndNote&gt;</w:instrText>
      </w:r>
      <w:r>
        <w:fldChar w:fldCharType="separate"/>
      </w:r>
      <w:r>
        <w:rPr>
          <w:noProof/>
        </w:rPr>
        <w:t>(Pearce, Best et al. 2017)</w:t>
      </w:r>
      <w:r>
        <w:fldChar w:fldCharType="end"/>
      </w:r>
      <w:r>
        <w:t xml:space="preserve">. All students included in the analysis had never smoked a conventional cigarette at baseline. </w:t>
      </w:r>
      <w:r w:rsidRPr="00631E14">
        <w:t>Th</w:t>
      </w:r>
      <w:r>
        <w:t xml:space="preserve">is study found that </w:t>
      </w:r>
      <w:r w:rsidRPr="00631E14">
        <w:t>those who had tried an e</w:t>
      </w:r>
      <w:r>
        <w:noBreakHyphen/>
      </w:r>
      <w:r w:rsidRPr="00631E14">
        <w:t>cigarette w</w:t>
      </w:r>
      <w:r>
        <w:t>ere</w:t>
      </w:r>
      <w:r w:rsidRPr="00631E14">
        <w:t xml:space="preserve"> 2.53</w:t>
      </w:r>
      <w:r>
        <w:t xml:space="preserve"> times</w:t>
      </w:r>
      <w:r w:rsidRPr="00631E14">
        <w:t xml:space="preserve"> (95% CI 1.71 to 3.75) </w:t>
      </w:r>
      <w:r>
        <w:t xml:space="preserve">more likely to have smoked a conventional cigarette at the </w:t>
      </w:r>
      <w:r w:rsidR="003D43C5">
        <w:t>one</w:t>
      </w:r>
      <w:r>
        <w:noBreakHyphen/>
        <w:t>year follow up compared to those</w:t>
      </w:r>
      <w:r w:rsidRPr="00631E14">
        <w:t xml:space="preserve"> who had never used an e</w:t>
      </w:r>
      <w:r>
        <w:noBreakHyphen/>
      </w:r>
      <w:r w:rsidRPr="00631E14">
        <w:t xml:space="preserve">cigarette. </w:t>
      </w:r>
      <w:r>
        <w:t>They also observed a higher odds of smoking initiation following use of e</w:t>
      </w:r>
      <w:r>
        <w:noBreakHyphen/>
        <w:t>cigarettes in those who were not susceptible to smoking and those who had no friends who smoked at baseline. These results should be interpreted with caution, however, as a full, peer</w:t>
      </w:r>
      <w:r>
        <w:noBreakHyphen/>
        <w:t>reviewed article of this study is yet to be published.</w:t>
      </w:r>
    </w:p>
    <w:p w14:paraId="7B3EF74B" w14:textId="501F5D60" w:rsidR="003447F0" w:rsidRDefault="002D348A" w:rsidP="002D348A">
      <w:pPr>
        <w:pStyle w:val="BodyText"/>
      </w:pPr>
      <w:r>
        <w:t xml:space="preserve">Penzes and colleagues followed a cohort of 1,369 </w:t>
      </w:r>
      <w:r w:rsidR="00CB6E0E">
        <w:t>ninth</w:t>
      </w:r>
      <w:r>
        <w:t xml:space="preserve"> grade students from 16 high schools in Tirgu Mures, Romania for a period of </w:t>
      </w:r>
      <w:r w:rsidR="003D43C5">
        <w:t>six</w:t>
      </w:r>
      <w:r>
        <w:t xml:space="preserve"> months </w:t>
      </w:r>
      <w:r>
        <w:fldChar w:fldCharType="begin">
          <w:fldData xml:space="preserve">PEVuZE5vdGU+PENpdGU+PEF1dGhvcj5QZW56ZXM8L0F1dGhvcj48WWVhcj4yMDE4PC9ZZWFyPjxS
ZWNOdW0+NDY3MDwvUmVjTnVtPjxEaXNwbGF5VGV4dD4oUGVuemVzLCBGb2xleSBldCBhbC4gMjAx
OCk8L0Rpc3BsYXlUZXh0PjxyZWNvcmQ+PHJlYy1udW1iZXI+NDY3MDwvcmVjLW51bWJlcj48Zm9y
ZWlnbi1rZXlzPjxrZXkgYXBwPSJFTiIgZGItaWQ9Ijl6MDVkejBwcmFhZGZ1ZWUwem94emVkazl6
ZmU1Znh4NTB6NSIgdGltZXN0YW1wPSIxNTIzOTIwMzM2Ij40NjcwPC9rZXk+PGtleSBhcHA9IkVO
V2ViIiBkYi1pZD0iIj4wPC9rZXk+PC9mb3JlaWduLWtleXM+PHJlZi10eXBlIG5hbWU9IkpvdXJu
YWwgQXJ0aWNsZSI+MTc8L3JlZi10eXBlPjxjb250cmlidXRvcnM+PGF1dGhvcnM+PGF1dGhvcj5Q
ZW56ZXMsIE0uPC9hdXRob3I+PGF1dGhvcj5Gb2xleSwgSy4gTC48L2F1dGhvcj48YXV0aG9yPk5h
ZGFzYW4sIFYuPC9hdXRob3I+PGF1dGhvcj5QYXVsaWssIEUuPC9hdXRob3I+PGF1dGhvcj5BYnJh
bSwgWi48L2F1dGhvcj48YXV0aG9yPlVyYmFuLCBSLjwvYXV0aG9yPjwvYXV0aG9ycz48L2NvbnRy
aWJ1dG9ycz48YXV0aC1hZGRyZXNzPkluc3RpdHV0ZSBvZiBQdWJsaWMgSGVhbHRoLCBGYWN1bHR5
IG9mIE1lZGljaW5lLCBTZW1tZWx3ZWlzIFVuaXZlcnNpdHksIEJ1ZGFwZXN0LCBVbGxvaSB1dCAy
NiwgQnVkYXBlc3QgSC0xMDg5LCBIdW5nYXJ5LiYjeEQ7RGVwYXJ0bWVudCBvZiBJbXBsZW1lbnRh
dGlvbiBTY2llbmNlLCBDYW5jZXIgUHJldmVudGlvbiBhbmQgQ29udHJvbCwgV2FrZSBGb3Jlc3Qg
VW5pdmVyc2l0eSBNZWRpY2FsIFNjaG9vbCwgTWVkaWNhbCBDZW50ZXIgQmx2ZC4sIFdpbnN0b24t
U2FsZW0sIE5DIDI3MTU3LCBVU0EuJiN4RDtEZXBhcnRtZW50IG9mIEh5Z2llbmUsIFVuaXZlcnNp
dHkgb2YgTWVkaWNpbmUgYW5kIFBoYXJtYWN5IFRpcmd1IE11cmVzLCAzOCBHaGVvcmdoZSBNYXJp
bmVzY3UgU3RyZWV0LCBUYXJndSBNdXJlcyA1NDAxMzksIFJvbWFuaWEuIEVsZWN0cm9uaWMgYWRk
cmVzczogdmFsZW50aW4ubmFkYXNhbkB1bWZ0Z20ucm8uJiN4RDtEZXBhcnRtZW50IG9mIFB1Ymxp
YyBIZWFsdGgsIEZhY3VsdHkgb2YgTWVkaWNpbmUsIFVuaXZlcnNpdHkgb2YgU3plZ2VkLCBEb20g
dGVyIDEwLCBTemVnZWQgSC02NzIwLCBIdW5nYXJ5LiYjeEQ7RGVwYXJ0bWVudCBvZiBIeWdpZW5l
LCBVbml2ZXJzaXR5IG9mIE1lZGljaW5lIGFuZCBQaGFybWFjeSBUaXJndSBNdXJlcywgMzggR2hl
b3JnaGUgTWFyaW5lc2N1IFN0cmVldCwgVGFyZ3UgTXVyZXMgNTQwMTM5LCBSb21hbmlhLiYjeEQ7
SW5zdGl0dXRlIG9mIFBzeWNob2xvZ3ksIEVvdHZvcyBMb3JhbmQgVW5pdmVyc2l0eSwgQnVkYXBl
c3QsIEl6YWJlbGxhIHUuIDQ2LCBCdWRhcGVzdCBILTEwNjQsIEh1bmdhcnkuPC9hdXRoLWFkZHJl
c3M+PHRpdGxlcz48dGl0bGU+QmlkaXJlY3Rpb25hbCBhc3NvY2lhdGlvbnMgb2YgZS1jaWdhcmV0
dGUsIGNvbnZlbnRpb25hbCBjaWdhcmV0dGUgYW5kIHdhdGVycGlwZSBleHBlcmltZW50YXRpb24g
YW1vbmcgYWRvbGVzY2VudHM6IEEgY3Jvc3MtbGFnZ2VkIG1vZGVsPC90aXRsZT48c2Vjb25kYXJ5
LXRpdGxlPkFkZGljdCBCZWhhdjwvc2Vjb25kYXJ5LXRpdGxlPjxhbHQtdGl0bGU+QWRkaWN0aXZl
IGJlaGF2aW9yczwvYWx0LXRpdGxlPjwvdGl0bGVzPjxhbHQtcGVyaW9kaWNhbD48ZnVsbC10aXRs
ZT5BZGRpY3RpdmUgQmVoYXZpb3JzPC9mdWxsLXRpdGxlPjwvYWx0LXBlcmlvZGljYWw+PHBhZ2Vz
PjU5LTY0PC9wYWdlcz48dm9sdW1lPjgwPC92b2x1bWU+PGVkaXRpb24+MjAxOC8wMS8yMzwvZWRp
dGlvbj48a2V5d29yZHM+PGtleXdvcmQ+QWx0ZXJuYXRpdmUgdG9iYWNjbzwva2V5d29yZD48a2V5
d29yZD5FLWNpZ2FyZXR0ZTwva2V5d29yZD48a2V5d29yZD5Gb2xsb3ctdXAgc3R1ZHk8L2tleXdv
cmQ+PGtleXdvcmQ+Tm92ZWwgcHJvZHVjdHM8L2tleXdvcmQ+PGtleXdvcmQ+VmFwZTwva2V5d29y
ZD48a2V5d29yZD5XYXRlcnBpcGU8L2tleXdvcmQ+PC9rZXl3b3Jkcz48ZGF0ZXM+PHllYXI+MjAx
ODwveWVhcj48cHViLWRhdGVzPjxkYXRlPk1heTwvZGF0ZT48L3B1Yi1kYXRlcz48L2RhdGVzPjxp
c2JuPjAzMDYtNDYwMzwvaXNibj48YWNjZXNzaW9uLW51bT4yOTM1NTgxODwvYWNjZXNzaW9uLW51
bT48dXJscz48cmVsYXRlZC11cmxzPjx1cmw+aHR0cHM6Ly93d3cuc2NpZW5jZWRpcmVjdC5jb20v
c2NpZW5jZS9hcnRpY2xlL3BpaS9TMDMwNjQ2MDMxODMwMDE1Nz92aWElM0RpaHViPC91cmw+PC9y
ZWxhdGVkLXVybHM+PC91cmxzPjxjdXN0b20yPlBNQzU4MDcxNTk8L2N1c3RvbTI+PGN1c3RvbTY+
TklITVM5MzU2NzU8L2N1c3RvbTY+PGVsZWN0cm9uaWMtcmVzb3VyY2UtbnVtPjEwLjEwMTYvai5h
ZGRiZWguMjAxOC4wMS4wMTA8L2VsZWN0cm9uaWMtcmVzb3VyY2UtbnVtPjxyZW1vdGUtZGF0YWJh
c2UtcHJvdmlkZXI+TkxNPC9yZW1vdGUtZGF0YWJhc2UtcHJvdmlkZXI+PGxhbmd1YWdlPmVuZzwv
bGFuZ3VhZ2U+PC9yZWNvcmQ+PC9DaXRlPjwvRW5kTm90ZT4A
</w:fldData>
        </w:fldChar>
      </w:r>
      <w:r>
        <w:instrText xml:space="preserve"> ADDIN EN.CITE </w:instrText>
      </w:r>
      <w:r>
        <w:fldChar w:fldCharType="begin">
          <w:fldData xml:space="preserve">PEVuZE5vdGU+PENpdGU+PEF1dGhvcj5QZW56ZXM8L0F1dGhvcj48WWVhcj4yMDE4PC9ZZWFyPjxS
ZWNOdW0+NDY3MDwvUmVjTnVtPjxEaXNwbGF5VGV4dD4oUGVuemVzLCBGb2xleSBldCBhbC4gMjAx
OCk8L0Rpc3BsYXlUZXh0PjxyZWNvcmQ+PHJlYy1udW1iZXI+NDY3MDwvcmVjLW51bWJlcj48Zm9y
ZWlnbi1rZXlzPjxrZXkgYXBwPSJFTiIgZGItaWQ9Ijl6MDVkejBwcmFhZGZ1ZWUwem94emVkazl6
ZmU1Znh4NTB6NSIgdGltZXN0YW1wPSIxNTIzOTIwMzM2Ij40NjcwPC9rZXk+PGtleSBhcHA9IkVO
V2ViIiBkYi1pZD0iIj4wPC9rZXk+PC9mb3JlaWduLWtleXM+PHJlZi10eXBlIG5hbWU9IkpvdXJu
YWwgQXJ0aWNsZSI+MTc8L3JlZi10eXBlPjxjb250cmlidXRvcnM+PGF1dGhvcnM+PGF1dGhvcj5Q
ZW56ZXMsIE0uPC9hdXRob3I+PGF1dGhvcj5Gb2xleSwgSy4gTC48L2F1dGhvcj48YXV0aG9yPk5h
ZGFzYW4sIFYuPC9hdXRob3I+PGF1dGhvcj5QYXVsaWssIEUuPC9hdXRob3I+PGF1dGhvcj5BYnJh
bSwgWi48L2F1dGhvcj48YXV0aG9yPlVyYmFuLCBSLjwvYXV0aG9yPjwvYXV0aG9ycz48L2NvbnRy
aWJ1dG9ycz48YXV0aC1hZGRyZXNzPkluc3RpdHV0ZSBvZiBQdWJsaWMgSGVhbHRoLCBGYWN1bHR5
IG9mIE1lZGljaW5lLCBTZW1tZWx3ZWlzIFVuaXZlcnNpdHksIEJ1ZGFwZXN0LCBVbGxvaSB1dCAy
NiwgQnVkYXBlc3QgSC0xMDg5LCBIdW5nYXJ5LiYjeEQ7RGVwYXJ0bWVudCBvZiBJbXBsZW1lbnRh
dGlvbiBTY2llbmNlLCBDYW5jZXIgUHJldmVudGlvbiBhbmQgQ29udHJvbCwgV2FrZSBGb3Jlc3Qg
VW5pdmVyc2l0eSBNZWRpY2FsIFNjaG9vbCwgTWVkaWNhbCBDZW50ZXIgQmx2ZC4sIFdpbnN0b24t
U2FsZW0sIE5DIDI3MTU3LCBVU0EuJiN4RDtEZXBhcnRtZW50IG9mIEh5Z2llbmUsIFVuaXZlcnNp
dHkgb2YgTWVkaWNpbmUgYW5kIFBoYXJtYWN5IFRpcmd1IE11cmVzLCAzOCBHaGVvcmdoZSBNYXJp
bmVzY3UgU3RyZWV0LCBUYXJndSBNdXJlcyA1NDAxMzksIFJvbWFuaWEuIEVsZWN0cm9uaWMgYWRk
cmVzczogdmFsZW50aW4ubmFkYXNhbkB1bWZ0Z20ucm8uJiN4RDtEZXBhcnRtZW50IG9mIFB1Ymxp
YyBIZWFsdGgsIEZhY3VsdHkgb2YgTWVkaWNpbmUsIFVuaXZlcnNpdHkgb2YgU3plZ2VkLCBEb20g
dGVyIDEwLCBTemVnZWQgSC02NzIwLCBIdW5nYXJ5LiYjeEQ7RGVwYXJ0bWVudCBvZiBIeWdpZW5l
LCBVbml2ZXJzaXR5IG9mIE1lZGljaW5lIGFuZCBQaGFybWFjeSBUaXJndSBNdXJlcywgMzggR2hl
b3JnaGUgTWFyaW5lc2N1IFN0cmVldCwgVGFyZ3UgTXVyZXMgNTQwMTM5LCBSb21hbmlhLiYjeEQ7
SW5zdGl0dXRlIG9mIFBzeWNob2xvZ3ksIEVvdHZvcyBMb3JhbmQgVW5pdmVyc2l0eSwgQnVkYXBl
c3QsIEl6YWJlbGxhIHUuIDQ2LCBCdWRhcGVzdCBILTEwNjQsIEh1bmdhcnkuPC9hdXRoLWFkZHJl
c3M+PHRpdGxlcz48dGl0bGU+QmlkaXJlY3Rpb25hbCBhc3NvY2lhdGlvbnMgb2YgZS1jaWdhcmV0
dGUsIGNvbnZlbnRpb25hbCBjaWdhcmV0dGUgYW5kIHdhdGVycGlwZSBleHBlcmltZW50YXRpb24g
YW1vbmcgYWRvbGVzY2VudHM6IEEgY3Jvc3MtbGFnZ2VkIG1vZGVsPC90aXRsZT48c2Vjb25kYXJ5
LXRpdGxlPkFkZGljdCBCZWhhdjwvc2Vjb25kYXJ5LXRpdGxlPjxhbHQtdGl0bGU+QWRkaWN0aXZl
IGJlaGF2aW9yczwvYWx0LXRpdGxlPjwvdGl0bGVzPjxhbHQtcGVyaW9kaWNhbD48ZnVsbC10aXRs
ZT5BZGRpY3RpdmUgQmVoYXZpb3JzPC9mdWxsLXRpdGxlPjwvYWx0LXBlcmlvZGljYWw+PHBhZ2Vz
PjU5LTY0PC9wYWdlcz48dm9sdW1lPjgwPC92b2x1bWU+PGVkaXRpb24+MjAxOC8wMS8yMzwvZWRp
dGlvbj48a2V5d29yZHM+PGtleXdvcmQ+QWx0ZXJuYXRpdmUgdG9iYWNjbzwva2V5d29yZD48a2V5
d29yZD5FLWNpZ2FyZXR0ZTwva2V5d29yZD48a2V5d29yZD5Gb2xsb3ctdXAgc3R1ZHk8L2tleXdv
cmQ+PGtleXdvcmQ+Tm92ZWwgcHJvZHVjdHM8L2tleXdvcmQ+PGtleXdvcmQ+VmFwZTwva2V5d29y
ZD48a2V5d29yZD5XYXRlcnBpcGU8L2tleXdvcmQ+PC9rZXl3b3Jkcz48ZGF0ZXM+PHllYXI+MjAx
ODwveWVhcj48cHViLWRhdGVzPjxkYXRlPk1heTwvZGF0ZT48L3B1Yi1kYXRlcz48L2RhdGVzPjxp
c2JuPjAzMDYtNDYwMzwvaXNibj48YWNjZXNzaW9uLW51bT4yOTM1NTgxODwvYWNjZXNzaW9uLW51
bT48dXJscz48cmVsYXRlZC11cmxzPjx1cmw+aHR0cHM6Ly93d3cuc2NpZW5jZWRpcmVjdC5jb20v
c2NpZW5jZS9hcnRpY2xlL3BpaS9TMDMwNjQ2MDMxODMwMDE1Nz92aWElM0RpaHViPC91cmw+PC9y
ZWxhdGVkLXVybHM+PC91cmxzPjxjdXN0b20yPlBNQzU4MDcxNTk8L2N1c3RvbTI+PGN1c3RvbTY+
TklITVM5MzU2NzU8L2N1c3RvbTY+PGVsZWN0cm9uaWMtcmVzb3VyY2UtbnVtPjEwLjEwMTYvai5h
ZGRiZWguMjAxOC4wMS4wMTA8L2VsZWN0cm9uaWMtcmVzb3VyY2UtbnVtPjxyZW1vdGUtZGF0YWJh
c2UtcHJvdmlkZXI+TkxNPC9yZW1vdGUtZGF0YWJhc2UtcHJvdmlkZXI+PGxhbmd1YWdlPmVuZzwv
bGFuZ3VhZ2U+PC9yZWNvcmQ+PC9DaXRlPjwvRW5kTm90ZT4A
</w:fldData>
        </w:fldChar>
      </w:r>
      <w:r>
        <w:instrText xml:space="preserve"> ADDIN EN.CITE.DATA </w:instrText>
      </w:r>
      <w:r>
        <w:fldChar w:fldCharType="end"/>
      </w:r>
      <w:r>
        <w:fldChar w:fldCharType="separate"/>
      </w:r>
      <w:r>
        <w:rPr>
          <w:noProof/>
        </w:rPr>
        <w:t>(Penzes, Foley et al. 2018)</w:t>
      </w:r>
      <w:r>
        <w:fldChar w:fldCharType="end"/>
      </w:r>
      <w:r>
        <w:t>. Although 35.8% had tried e</w:t>
      </w:r>
      <w:r>
        <w:noBreakHyphen/>
        <w:t>cigarettes at baseline, most of these had also tried conventional cigarettes or a waterpipe with only 36 participants having only tried e</w:t>
      </w:r>
      <w:r>
        <w:noBreakHyphen/>
        <w:t>cigarettes at baseline. Using a cross</w:t>
      </w:r>
      <w:r>
        <w:noBreakHyphen/>
        <w:t xml:space="preserve">lagged causal model, this study found that having tried </w:t>
      </w:r>
      <w:r w:rsidRPr="00197E06">
        <w:t>e</w:t>
      </w:r>
      <w:r>
        <w:noBreakHyphen/>
      </w:r>
      <w:r w:rsidRPr="00197E06">
        <w:t>cigarette</w:t>
      </w:r>
      <w:r>
        <w:t>s at baseline</w:t>
      </w:r>
      <w:r w:rsidRPr="00197E06">
        <w:t xml:space="preserve"> predicted trying conventional cigarette</w:t>
      </w:r>
      <w:r>
        <w:t>s</w:t>
      </w:r>
      <w:r w:rsidRPr="00197E06">
        <w:t xml:space="preserve"> (OR</w:t>
      </w:r>
      <w:r>
        <w:t>:</w:t>
      </w:r>
      <w:r w:rsidRPr="00197E06">
        <w:t xml:space="preserve"> 3.57</w:t>
      </w:r>
      <w:r>
        <w:t>;</w:t>
      </w:r>
      <w:r w:rsidRPr="00197E06">
        <w:t xml:space="preserve"> </w:t>
      </w:r>
      <w:r>
        <w:t>95%CI</w:t>
      </w:r>
      <w:r w:rsidRPr="00197E06">
        <w:t>: 1.96–6.49) and waterpipe (OR =1.51, CI95%: 1.07–2.14)</w:t>
      </w:r>
      <w:r>
        <w:t xml:space="preserve"> at follow</w:t>
      </w:r>
      <w:r>
        <w:noBreakHyphen/>
        <w:t xml:space="preserve">up. This study is a secondary analysis of data obtained during a randomised controlled trial investigating the effectiveness of a </w:t>
      </w:r>
      <w:r w:rsidRPr="00A60282">
        <w:t>web</w:t>
      </w:r>
      <w:r>
        <w:noBreakHyphen/>
      </w:r>
      <w:r w:rsidRPr="00A60282">
        <w:t>based multimedia program to prevent the initiation of smoking among adolescents</w:t>
      </w:r>
      <w:r>
        <w:t xml:space="preserve">. </w:t>
      </w:r>
    </w:p>
    <w:p w14:paraId="3875B2D3" w14:textId="39A1F35B" w:rsidR="002D348A" w:rsidRDefault="002D348A" w:rsidP="002D348A">
      <w:pPr>
        <w:pStyle w:val="BodyText"/>
      </w:pPr>
      <w:r>
        <w:t>Although allocation into the intervention or control group was controlled for, there may be residual confounding. There were also many key confounders that were not considered in this analysis. Therefore, the results are likely affected by these confounders and the true relationship between e</w:t>
      </w:r>
      <w:r>
        <w:noBreakHyphen/>
        <w:t xml:space="preserve">cigarette use and future conventional smoking in this sample remains unknown. Differences in grades, smoking behaviours and having friends who smoke were also observed between those who took part in the follow up and those were lost to follow up, which would likely also introduce bias. </w:t>
      </w:r>
    </w:p>
    <w:p w14:paraId="307E1864" w14:textId="131C174B" w:rsidR="002B5422" w:rsidRDefault="002D348A" w:rsidP="002D348A">
      <w:pPr>
        <w:pStyle w:val="BodyText"/>
      </w:pPr>
      <w:r>
        <w:t xml:space="preserve">Another study, conducted by Chaffee and colleagues, had a slightly different study design </w:t>
      </w:r>
      <w:r>
        <w:fldChar w:fldCharType="begin"/>
      </w:r>
      <w:r>
        <w:instrText xml:space="preserve"> ADDIN EN.CITE &lt;EndNote&gt;&lt;Cite&gt;&lt;Author&gt;Chaffee&lt;/Author&gt;&lt;Year&gt;2018&lt;/Year&gt;&lt;RecNum&gt;4576&lt;/RecNum&gt;&lt;DisplayText&gt;(Chaffee, Watkins et al. 2018)&lt;/DisplayText&gt;&lt;record&gt;&lt;rec-number&gt;4576&lt;/rec-number&gt;&lt;foreign-keys&gt;&lt;key app="EN" db-id="9z05dz0praadfuee0zoxzedk9zfe5fxx50z5" timestamp="1523920209"&gt;4576&lt;/key&gt;&lt;key app="ENWeb" db-id=""&gt;0&lt;/key&gt;&lt;/foreign-keys&gt;&lt;ref-type name="Journal Article"&gt;17&lt;/ref-type&gt;&lt;contributors&gt;&lt;authors&gt;&lt;author&gt;Chaffee, B. W.&lt;/author&gt;&lt;author&gt;Watkins, S. L.&lt;/author&gt;&lt;author&gt;Glantz, S. A.&lt;/author&gt;&lt;/authors&gt;&lt;/contributors&gt;&lt;auth-address&gt;Center for Tobacco Control Research and Education, benjamin.chaffee@ucsf.edu.&amp;#xD;Departments of Preventive and Restorative Dental Sciences and.&amp;#xD;Center for Tobacco Control Research and Education.&amp;#xD;Medicine, University of California, San Francisco, San Francisco, California.&amp;#xD;Philip R. Lee Institute for Health Policy Studies, and.&lt;/auth-address&gt;&lt;titles&gt;&lt;title&gt;Electronic Cigarette Use and Progression From Experimentation to Established Smoking&lt;/title&gt;&lt;secondary-title&gt;Pediatrics&lt;/secondary-title&gt;&lt;alt-title&gt;Pediatrics&lt;/alt-title&gt;&lt;/titles&gt;&lt;periodical&gt;&lt;full-title&gt;Pediatrics&lt;/full-title&gt;&lt;/periodical&gt;&lt;alt-periodical&gt;&lt;full-title&gt;Pediatrics&lt;/full-title&gt;&lt;/alt-periodical&gt;&lt;edition&gt;2018/03/07&lt;/edition&gt;&lt;dates&gt;&lt;year&gt;2018&lt;/year&gt;&lt;pub-dates&gt;&lt;date&gt;Mar 5&lt;/date&gt;&lt;/pub-dates&gt;&lt;/dates&gt;&lt;isbn&gt;0031-4005&lt;/isbn&gt;&lt;accession-num&gt;29507167&lt;/accession-num&gt;&lt;urls&gt;&lt;related-urls&gt;&lt;url&gt;http://pediatrics.aappublications.org/content/pediatrics/early/2018/03/01/peds.2017-3594.full.pdf&lt;/url&gt;&lt;/related-urls&gt;&lt;/urls&gt;&lt;electronic-resource-num&gt;10.1542/peds.2017-3594&lt;/electronic-resource-num&gt;&lt;remote-database-provider&gt;NLM&lt;/remote-database-provider&gt;&lt;language&gt;eng&lt;/language&gt;&lt;/record&gt;&lt;/Cite&gt;&lt;/EndNote&gt;</w:instrText>
      </w:r>
      <w:r>
        <w:fldChar w:fldCharType="separate"/>
      </w:r>
      <w:r>
        <w:rPr>
          <w:noProof/>
        </w:rPr>
        <w:t>(Chaffee, Watkins et al. 2018)</w:t>
      </w:r>
      <w:r>
        <w:fldChar w:fldCharType="end"/>
      </w:r>
      <w:r>
        <w:t>. This study assessed whether use of e</w:t>
      </w:r>
      <w:r>
        <w:noBreakHyphen/>
        <w:t xml:space="preserve">cigarettes was associated with established smoking (defined as smoking a total of 100 cigarettes in their lifetime), smoking in the past 30 days and current established smoking (i.e. both established and past 30 day smoking) within </w:t>
      </w:r>
      <w:r w:rsidR="003447F0">
        <w:t>one</w:t>
      </w:r>
      <w:r>
        <w:t xml:space="preserve"> year in a cohort of 1,295 US adolescents aged 12</w:t>
      </w:r>
      <w:r>
        <w:noBreakHyphen/>
        <w:t xml:space="preserve">17 years who had previously tried conventional cigarettes at baseline </w:t>
      </w:r>
      <w:r>
        <w:fldChar w:fldCharType="begin"/>
      </w:r>
      <w:r>
        <w:instrText xml:space="preserve"> ADDIN EN.CITE &lt;EndNote&gt;&lt;Cite&gt;&lt;Author&gt;Chaffee&lt;/Author&gt;&lt;Year&gt;2018&lt;/Year&gt;&lt;RecNum&gt;4576&lt;/RecNum&gt;&lt;DisplayText&gt;(Chaffee, Watkins et al. 2018)&lt;/DisplayText&gt;&lt;record&gt;&lt;rec-number&gt;4576&lt;/rec-number&gt;&lt;foreign-keys&gt;&lt;key app="EN" db-id="9z05dz0praadfuee0zoxzedk9zfe5fxx50z5" timestamp="1523920209"&gt;4576&lt;/key&gt;&lt;key app="ENWeb" db-id=""&gt;0&lt;/key&gt;&lt;/foreign-keys&gt;&lt;ref-type name="Journal Article"&gt;17&lt;/ref-type&gt;&lt;contributors&gt;&lt;authors&gt;&lt;author&gt;Chaffee, B. W.&lt;/author&gt;&lt;author&gt;Watkins, S. L.&lt;/author&gt;&lt;author&gt;Glantz, S. A.&lt;/author&gt;&lt;/authors&gt;&lt;/contributors&gt;&lt;auth-address&gt;Center for Tobacco Control Research and Education, benjamin.chaffee@ucsf.edu.&amp;#xD;Departments of Preventive and Restorative Dental Sciences and.&amp;#xD;Center for Tobacco Control Research and Education.&amp;#xD;Medicine, University of California, San Francisco, San Francisco, California.&amp;#xD;Philip R. Lee Institute for Health Policy Studies, and.&lt;/auth-address&gt;&lt;titles&gt;&lt;title&gt;Electronic Cigarette Use and Progression From Experimentation to Established Smoking&lt;/title&gt;&lt;secondary-title&gt;Pediatrics&lt;/secondary-title&gt;&lt;alt-title&gt;Pediatrics&lt;/alt-title&gt;&lt;/titles&gt;&lt;periodical&gt;&lt;full-title&gt;Pediatrics&lt;/full-title&gt;&lt;/periodical&gt;&lt;alt-periodical&gt;&lt;full-title&gt;Pediatrics&lt;/full-title&gt;&lt;/alt-periodical&gt;&lt;edition&gt;2018/03/07&lt;/edition&gt;&lt;dates&gt;&lt;year&gt;2018&lt;/year&gt;&lt;pub-dates&gt;&lt;date&gt;Mar 5&lt;/date&gt;&lt;/pub-dates&gt;&lt;/dates&gt;&lt;isbn&gt;0031-4005&lt;/isbn&gt;&lt;accession-num&gt;29507167&lt;/accession-num&gt;&lt;urls&gt;&lt;related-urls&gt;&lt;url&gt;http://pediatrics.aappublications.org/content/pediatrics/early/2018/03/01/peds.2017-3594.full.pdf&lt;/url&gt;&lt;/related-urls&gt;&lt;/urls&gt;&lt;electronic-resource-num&gt;10.1542/peds.2017-3594&lt;/electronic-resource-num&gt;&lt;remote-database-provider&gt;NLM&lt;/remote-database-provider&gt;&lt;language&gt;eng&lt;/language&gt;&lt;/record&gt;&lt;/Cite&gt;&lt;/EndNote&gt;</w:instrText>
      </w:r>
      <w:r>
        <w:fldChar w:fldCharType="separate"/>
      </w:r>
      <w:r>
        <w:rPr>
          <w:noProof/>
        </w:rPr>
        <w:t>(Chaffee, Watkins et al. 2018)</w:t>
      </w:r>
      <w:r>
        <w:fldChar w:fldCharType="end"/>
      </w:r>
      <w:r>
        <w:t>.</w:t>
      </w:r>
    </w:p>
    <w:p w14:paraId="12230714" w14:textId="7794F000" w:rsidR="002B5422" w:rsidRDefault="002D348A" w:rsidP="002D348A">
      <w:pPr>
        <w:pStyle w:val="BodyText"/>
      </w:pPr>
      <w:r>
        <w:t>This study found that ever e</w:t>
      </w:r>
      <w:r>
        <w:noBreakHyphen/>
        <w:t>cigarette use at baseline was associated with current established smoking at follow up (OR: 1.80; 95%CI: 1.04</w:t>
      </w:r>
      <w:r>
        <w:noBreakHyphen/>
        <w:t>3.12), with a similar trend observed for established smoking (OR: 1.57; 95%CI: 0.99</w:t>
      </w:r>
      <w:r>
        <w:noBreakHyphen/>
        <w:t>2.49) and past 30</w:t>
      </w:r>
      <w:r>
        <w:noBreakHyphen/>
        <w:t>day smoking (OR: 1.32; 95%CI: 0.99</w:t>
      </w:r>
      <w:r>
        <w:noBreakHyphen/>
        <w:t>1.76). When e</w:t>
      </w:r>
      <w:r>
        <w:noBreakHyphen/>
        <w:t>cigarette use was defined as never use, former use (non</w:t>
      </w:r>
      <w:r>
        <w:noBreakHyphen/>
        <w:t>past 30 day use) and current use (past 30</w:t>
      </w:r>
      <w:r>
        <w:noBreakHyphen/>
        <w:t>day use), former e</w:t>
      </w:r>
      <w:r>
        <w:noBreakHyphen/>
        <w:t>cigarette use at baseline was associated with current established smoking at follow</w:t>
      </w:r>
      <w:r>
        <w:noBreakHyphen/>
        <w:t>up (OR: 1.85; 95%CI: 1.02</w:t>
      </w:r>
      <w:r>
        <w:noBreakHyphen/>
        <w:t>3.36) and current e</w:t>
      </w:r>
      <w:r>
        <w:noBreakHyphen/>
        <w:t>cigarette use at baseline was associated with past 30</w:t>
      </w:r>
      <w:r>
        <w:noBreakHyphen/>
        <w:t>day smoking at follow up (OR: 1.64; 95%CI: 1.12</w:t>
      </w:r>
      <w:r>
        <w:noBreakHyphen/>
        <w:t>2.41).</w:t>
      </w:r>
    </w:p>
    <w:p w14:paraId="1BD5C2D8" w14:textId="0012F726" w:rsidR="002D348A" w:rsidRDefault="002D348A" w:rsidP="002D348A">
      <w:pPr>
        <w:pStyle w:val="BodyText"/>
      </w:pPr>
      <w:r>
        <w:lastRenderedPageBreak/>
        <w:t>In these analyses, the authors adjusted for demographic factors (gender, age, race/ethnicity), parent education, urban residence, ever alcohol use, tobacco advertisement receptivity (brand recall from favourite advertisement), sensation seeking, exposure to cigarette warning labels, time of year of interview, and ever use of any other tobacco product. Unfortunately with this study design, the sequence of initiation of conventional cigarettes and e</w:t>
      </w:r>
      <w:r>
        <w:noBreakHyphen/>
        <w:t>cigarettes cannot be deduced. Therefore, temporality, a requirement for establishing a causal relationship, cannot be satisfied.</w:t>
      </w:r>
    </w:p>
    <w:p w14:paraId="5BFFD332" w14:textId="77777777" w:rsidR="00ED6C2D" w:rsidRDefault="002D348A" w:rsidP="002D348A">
      <w:pPr>
        <w:pStyle w:val="BodyText"/>
      </w:pPr>
      <w:r>
        <w:t xml:space="preserve">There are a number of limitations in the above studies that need to be considered when interpreting the results. </w:t>
      </w:r>
    </w:p>
    <w:p w14:paraId="6A87C69D" w14:textId="77777777" w:rsidR="00ED6C2D" w:rsidRDefault="002D348A" w:rsidP="004C634C">
      <w:pPr>
        <w:pStyle w:val="BodyText"/>
        <w:numPr>
          <w:ilvl w:val="0"/>
          <w:numId w:val="91"/>
        </w:numPr>
      </w:pPr>
      <w:r>
        <w:t>Firstly, the regular use of e</w:t>
      </w:r>
      <w:r>
        <w:noBreakHyphen/>
        <w:t>cigarettes and cigarettes is usually measured by asking about past 30</w:t>
      </w:r>
      <w:r>
        <w:noBreakHyphen/>
        <w:t xml:space="preserve">day use of these products which is then converted into a binary variable – any use and no use. However, any use in the past 30 days may not be a good indicator of regular use. </w:t>
      </w:r>
    </w:p>
    <w:p w14:paraId="7D75AA9E" w14:textId="77777777" w:rsidR="00ED6C2D" w:rsidRDefault="002D348A" w:rsidP="004C634C">
      <w:pPr>
        <w:pStyle w:val="BodyText"/>
        <w:numPr>
          <w:ilvl w:val="0"/>
          <w:numId w:val="91"/>
        </w:numPr>
      </w:pPr>
      <w:r>
        <w:t>Most studies also have a follow up period of 6</w:t>
      </w:r>
      <w:r>
        <w:noBreakHyphen/>
        <w:t>12 months which may not be long enough to observe the full effect of e</w:t>
      </w:r>
      <w:r>
        <w:noBreakHyphen/>
        <w:t>cigarette use on cigarette smoking, particularly regular cigarette smoking which is the main concern regarding e</w:t>
      </w:r>
      <w:r>
        <w:noBreakHyphen/>
        <w:t xml:space="preserve">cigarette use in youth. </w:t>
      </w:r>
    </w:p>
    <w:p w14:paraId="7BB0ABDB" w14:textId="261F5993" w:rsidR="00ED6C2D" w:rsidRDefault="002D348A" w:rsidP="004C634C">
      <w:pPr>
        <w:pStyle w:val="BodyText"/>
        <w:numPr>
          <w:ilvl w:val="0"/>
          <w:numId w:val="91"/>
        </w:numPr>
      </w:pPr>
      <w:r>
        <w:t>A few studies have small numbers of participants who had used e</w:t>
      </w:r>
      <w:r>
        <w:noBreakHyphen/>
        <w:t xml:space="preserve">cigarettes at baseline which limits the ability of these studies to observe an association, adjust for all the confounders and provide an accurate estimate of the odds ratio (indicated by wide confidence intervals). </w:t>
      </w:r>
    </w:p>
    <w:p w14:paraId="1BBC1EB7" w14:textId="77777777" w:rsidR="00ED6C2D" w:rsidRDefault="002D348A" w:rsidP="004C634C">
      <w:pPr>
        <w:pStyle w:val="BodyText"/>
        <w:numPr>
          <w:ilvl w:val="0"/>
          <w:numId w:val="91"/>
        </w:numPr>
      </w:pPr>
      <w:r>
        <w:t>Some studies have adjusted for intention to smoke which is not a true confounder of the relationship but a mediator through which other confounders would operate. This would result in over</w:t>
      </w:r>
      <w:r>
        <w:noBreakHyphen/>
        <w:t xml:space="preserve">adjustment and would likely affect the estimate of the odds ratio (i.e. act to inappropriately adjust in the direction of no relationship). </w:t>
      </w:r>
    </w:p>
    <w:p w14:paraId="2983EB9C" w14:textId="360F3FFE" w:rsidR="002D348A" w:rsidRDefault="002D348A" w:rsidP="004C634C">
      <w:pPr>
        <w:pStyle w:val="BodyText"/>
        <w:numPr>
          <w:ilvl w:val="0"/>
          <w:numId w:val="91"/>
        </w:numPr>
      </w:pPr>
      <w:r>
        <w:t>Lastly, most studies do not report response and retention rates and/or do not compare participants who participated in the follow</w:t>
      </w:r>
      <w:r>
        <w:noBreakHyphen/>
        <w:t>up and those who did not. Differences between these two groups can be a source of selection bias which would affect the estimated odds ratios.</w:t>
      </w:r>
      <w:r w:rsidR="008146F9">
        <w:t xml:space="preserve"> </w:t>
      </w:r>
    </w:p>
    <w:p w14:paraId="221025FA" w14:textId="77777777" w:rsidR="002D348A" w:rsidRDefault="002D348A" w:rsidP="002D348A">
      <w:pPr>
        <w:pStyle w:val="BodyText"/>
      </w:pPr>
    </w:p>
    <w:p w14:paraId="608D99B9" w14:textId="77777777" w:rsidR="002D348A" w:rsidRDefault="002D348A" w:rsidP="002D348A">
      <w:pPr>
        <w:pStyle w:val="Heading3"/>
      </w:pPr>
      <w:r>
        <w:t>Cross</w:t>
      </w:r>
      <w:r>
        <w:noBreakHyphen/>
        <w:t>sectional studies</w:t>
      </w:r>
    </w:p>
    <w:p w14:paraId="334F2700" w14:textId="77777777" w:rsidR="002D348A" w:rsidRDefault="002D348A" w:rsidP="002D348A">
      <w:pPr>
        <w:pStyle w:val="BodyText"/>
      </w:pPr>
      <w:r>
        <w:t>There were 15 cross</w:t>
      </w:r>
      <w:r>
        <w:noBreakHyphen/>
        <w:t>sectional studies examining the relationship between e</w:t>
      </w:r>
      <w:r>
        <w:noBreakHyphen/>
        <w:t xml:space="preserve">cigarette use and conventional cigarette smoking all of which have observed a positive association </w:t>
      </w:r>
      <w:r>
        <w:fldChar w:fldCharType="begin">
          <w:fldData xml:space="preserve">PEVuZE5vdGU+PENpdGU+PEF1dGhvcj5DaG9pPC9BdXRob3I+PFllYXI+MjAxNzwvWWVhcj48UmVj
TnVtPjUzNjU8L1JlY051bT48RGlzcGxheVRleHQ+KENob2ksIEdyYW5hIGV0IGFsLiAyMDE3LCBk
ZSBMYWN5LCBGbGV0Y2hlciBldCBhbC4gMjAxNywgSGFtbW9uZCwgUmVpZCBldCBhbC4gMjAxNywg
SGluZXMsIEZpYWxhIGV0IGFsLiAyMDE3LCBLaW5vdWFuaSwgUGVyZWlyYSBldCBhbC4gMjAxNywg
TGFuemEsIFJ1c3NlbGwgZXQgYWwuIDIwMTcsIE1pbGljaWMgYW5kIExlYXRoZXJkYWxlIDIwMTcs
IFBhcmssIExlZSBldCBhbC4gMjAxNywgUmFtamksIEFybmV0eiBldCBhbC4gMjAxNywgVGVtcGxl
LCBTaG9yZXkgZXQgYWwuIDIwMTcsIEZhcnNhbGlub3MsIFNpYWthcyBldCBhbC4gMjAxOCwgTGFu
emEgYW5kIFRlZXRlciAyMDE4LCBQYXJpa2ggYW5kIEJoYXR0YWNoYXJ5eWEgMjAxOCwgUGVwcGVy
LCBGYXJyZWxseSBldCBhbC4gMjAxOCk8L0Rpc3BsYXlUZXh0PjxyZWNvcmQ+PHJlYy1udW1iZXI+
NTM2NTwvcmVjLW51bWJlcj48Zm9yZWlnbi1rZXlzPjxrZXkgYXBwPSJFTiIgZGItaWQ9Ijl6MDVk
ejBwcmFhZGZ1ZWUwem94emVkazl6ZmU1Znh4NTB6NSIgdGltZXN0YW1wPSIxNTIzOTIwOTUxIj41
MzY1PC9rZXk+PGtleSBhcHA9IkVOV2ViIiBkYi1pZD0iIj4wPC9rZXk+PC9mb3JlaWduLWtleXM+
PHJlZi10eXBlIG5hbWU9IkpvdXJuYWwgQXJ0aWNsZSI+MTc8L3JlZi10eXBlPjxjb250cmlidXRv
cnM+PGF1dGhvcnM+PGF1dGhvcj5DaG9pLCBLLjwvYXV0aG9yPjxhdXRob3I+R3JhbmEsIFIuPC9h
dXRob3I+PGF1dGhvcj5CZXJuYXQsIEQuPC9hdXRob3I+PC9hdXRob3JzPjwvY29udHJpYnV0b3Jz
PjxhdXRoLWFkZHJlc3M+RGl2aXNpb24gb2YgSW50cmFtdXJhbCBSZXNlYXJjaCwgTmF0aW9uYWwg
SW5zdGl0dXRlIG9uIE1pbm9yaXR5IEhlYWx0aCBhbmQgSGVhbHRoIERpc3Bhcml0aWVzLCBCZXRo
ZXNkYSwgTUQuIEVsZWN0cm9uaWMgYWRkcmVzczoga2VsdmluLmNob2lAbmloLmdvdi4mI3hEO1Rv
YmFjY28gQ29udHJvbCBSZXNlYXJjaCBCcmFuY2gsIERpdmlzaW9uIG9mIENhbmNlciBDb250cm9s
IGFuZCBQb3B1bGF0aW9uIFNjaWVuY2UsIE5hdGlvbmFsIENhbmNlciBJbnN0aXR1dGUsIFJvY2t2
aWxsZSwgTUQuJiN4RDtEZXBhcnRtZW50IG9mIEJlaGF2aW9yYWwgYW5kIENvbW11bml0eSBIZWFs
dGgsIFVuaXZlcnNpdHkgb2YgTWFyeWxhbmQsIENvbGxlZ2UgUGFyaywgTUQuPC9hdXRoLWFkZHJl
c3M+PHRpdGxlcz48dGl0bGU+RWxlY3Ryb25pYyBOaWNvdGluZSBEZWxpdmVyeSBTeXN0ZW1zIGFu
ZCBBY2NlcHRhYmlsaXR5IG9mIEFkdWx0IENpZ2FyZXR0ZSBTbW9raW5nIEFtb25nIEZsb3JpZGEg
WW91dGg6IFJlbm9ybWFsaXphdGlvbiBvZiBTbW9raW5nPzwvdGl0bGU+PHNlY29uZGFyeS10aXRs
ZT5KIEFkb2xlc2MgSGVhbHRoPC9zZWNvbmRhcnktdGl0bGU+PGFsdC10aXRsZT5UaGUgSm91cm5h
bCBvZiBhZG9sZXNjZW50IGhlYWx0aCA6IG9mZmljaWFsIHB1YmxpY2F0aW9uIG9mIHRoZSBTb2Np
ZXR5IGZvciBBZG9sZXNjZW50IE1lZGljaW5lPC9hbHQtdGl0bGU+PC90aXRsZXM+PHBlcmlvZGlj
YWw+PGZ1bGwtdGl0bGU+SiBBZG9sZXNjIEhlYWx0aDwvZnVsbC10aXRsZT48YWJici0xPlRoZSBK
b3VybmFsIG9mIGFkb2xlc2NlbnQgaGVhbHRoIDogb2ZmaWNpYWwgcHVibGljYXRpb24gb2YgdGhl
IFNvY2lldHkgZm9yIEFkb2xlc2NlbnQgTWVkaWNpbmU8L2FiYnItMT48L3BlcmlvZGljYWw+PGFs
dC1wZXJpb2RpY2FsPjxmdWxsLXRpdGxlPkogQWRvbGVzYyBIZWFsdGg8L2Z1bGwtdGl0bGU+PGFi
YnItMT5UaGUgSm91cm5hbCBvZiBhZG9sZXNjZW50IGhlYWx0aCA6IG9mZmljaWFsIHB1YmxpY2F0
aW9uIG9mIHRoZSBTb2NpZXR5IGZvciBBZG9sZXNjZW50IE1lZGljaW5lPC9hYmJyLTE+PC9hbHQt
cGVyaW9kaWNhbD48cGFnZXM+NTkyLTU5ODwvcGFnZXM+PHZvbHVtZT42MDwvdm9sdW1lPjxudW1i
ZXI+NTwvbnVtYmVyPjxlZGl0aW9uPjIwMTcvMDIvMDY8L2VkaXRpb24+PGtleXdvcmRzPjxrZXl3
b3JkPkFkb2xlc2NlbnQ8L2tleXdvcmQ+PGtleXdvcmQ+QWR1bHQ8L2tleXdvcmQ+PGtleXdvcmQ+
QWR2ZXJ0aXNpbmcgYXMgVG9waWMvKnN0YXRpc3RpY3MgJmFtcDsgbnVtZXJpY2FsIGRhdGE8L2tl
eXdvcmQ+PGtleXdvcmQ+Q2hpbGQ8L2tleXdvcmQ+PGtleXdvcmQ+Q2lnYXJldHRlIFNtb2tpbmcv
KmVwaWRlbWlvbG9neTwva2V5d29yZD48a2V5d29yZD5Dcm9zcy1TZWN0aW9uYWwgU3R1ZGllczwv
a2V5d29yZD48a2V5d29yZD5FbGVjdHJvbmljIE5pY290aW5lIERlbGl2ZXJ5IFN5c3RlbXMvKnN0
YXRpc3RpY3MgJmFtcDsgbnVtZXJpY2FsIGRhdGE8L2tleXdvcmQ+PGtleXdvcmQ+RmVtYWxlPC9r
ZXl3b3JkPjxrZXl3b3JkPkZsb3JpZGEvZXBpZGVtaW9sb2d5PC9rZXl3b3JkPjxrZXl3b3JkPkhl
YWx0aCBTdXJ2ZXlzPC9rZXl3b3JkPjxrZXl3b3JkPkh1bWFuczwva2V5d29yZD48a2V5d29yZD5M
b2dpc3RpYyBNb2RlbHM8L2tleXdvcmQ+PGtleXdvcmQ+TWFsZTwva2V5d29yZD48a2V5d29yZD5S
aXNrIEZhY3RvcnM8L2tleXdvcmQ+PGtleXdvcmQ+U3R1ZGVudHMvcHN5Y2hvbG9neS8qc3RhdGlz
dGljcyAmYW1wOyBudW1lcmljYWwgZGF0YTwva2V5d29yZD48a2V5d29yZD5BY2NlcHRhYmlsaXR5
PC9rZXl3b3JkPjxrZXl3b3JkPkNpZ2FyZXR0ZSBzbW9raW5nPC9rZXl3b3JkPjxrZXl3b3JkPkVs
ZWN0cm9uaWMgbmljb3RpbmUgZGVsaXZlcnkgc3lzdGVtczwva2V5d29yZD48a2V5d29yZD5TdXNj
ZXB0aWJpbGl0eTwva2V5d29yZD48L2tleXdvcmRzPjxkYXRlcz48eWVhcj4yMDE3PC95ZWFyPjxw
dWItZGF0ZXM+PGRhdGU+TWF5PC9kYXRlPjwvcHViLWRhdGVzPjwvZGF0ZXM+PGlzYm4+MTA1NC0x
Mzl4PC9pc2JuPjxhY2Nlc3Npb24tbnVtPjI4MTU5NDIzPC9hY2Nlc3Npb24tbnVtPjx1cmxzPjxy
ZWxhdGVkLXVybHM+PHVybD5odHRwOi8vd3d3LmphaG9ubGluZS5vcmcvYXJ0aWNsZS9TMTA1NC0x
MzlYKDE2KTMwOTQ2LTYvcGRmPC91cmw+PC9yZWxhdGVkLXVybHM+PC91cmxzPjxjdXN0b20yPlBN
QzU0MDE3ODE8L2N1c3RvbTI+PGN1c3RvbTY+TklITVM4MzU3MDg8L2N1c3RvbTY+PGVsZWN0cm9u
aWMtcmVzb3VyY2UtbnVtPjEwLjEwMTYvai5qYWRvaGVhbHRoLjIwMTYuMTIuMDAxPC9lbGVjdHJv
bmljLXJlc291cmNlLW51bT48cmVtb3RlLWRhdGFiYXNlLXByb3ZpZGVyPk5MTTwvcmVtb3RlLWRh
dGFiYXNlLXByb3ZpZGVyPjxsYW5ndWFnZT5lbmc8L2xhbmd1YWdlPjwvcmVjb3JkPjwvQ2l0ZT48
Q2l0ZT48QXV0aG9yPmRlIExhY3k8L0F1dGhvcj48WWVhcj4yMDE3PC9ZZWFyPjxSZWNOdW0+NTM2
NDwvUmVjTnVtPjxyZWNvcmQ+PHJlYy1udW1iZXI+NTM2NDwvcmVjLW51bWJlcj48Zm9yZWlnbi1r
ZXlzPjxrZXkgYXBwPSJFTiIgZGItaWQ9Ijl6MDVkejBwcmFhZGZ1ZWUwem94emVkazl6ZmU1Znh4
NTB6NSIgdGltZXN0YW1wPSIxNTIzOTIwOTUwIj41MzY0PC9rZXk+PGtleSBhcHA9IkVOV2ViIiBk
Yi1pZD0iIj4wPC9rZXk+PC9mb3JlaWduLWtleXM+PHJlZi10eXBlIG5hbWU9IkpvdXJuYWwgQXJ0
aWNsZSI+MTc8L3JlZi10eXBlPjxjb250cmlidXRvcnM+PGF1dGhvcnM+PGF1dGhvcj5kZSBMYWN5
LCBFLjwvYXV0aG9yPjxhdXRob3I+RmxldGNoZXIsIEEuPC9hdXRob3I+PGF1dGhvcj5IZXdpdHQs
IEcuPC9hdXRob3I+PGF1dGhvcj5NdXJwaHksIFMuPC9hdXRob3I+PGF1dGhvcj5Nb29yZSwgRy48
L2F1dGhvcj48L2F1dGhvcnM+PC9jb250cmlidXRvcnM+PGF1dGgtYWRkcmVzcz5DZW50cmUgZm9y
IHRoZSBEZXZlbG9wbWVudCBhbmQgRXZhbHVhdGlvbiBvZiBDb21wbGV4IEludGVydmVudGlvbnMg
Zm9yIFB1YmxpYyBIZWFsdGggSW1wcm92ZW1lbnQgKERFQ0lQSGVyKSwgU2Nob29sIG9mIFNvY2lh
bCBTY2llbmNlcywgQ2FyZGlmZiBVbml2ZXJzaXR5LCBDYXJkaWZmLCBVSy4mI3hEO1kgTGFiLCBT
Y2hvb2wgb2YgU29jaWFsIFNjaWVuY2VzLCBDYXJkaWZmIFVuaXZlcnNpdHksIENhcmRpZmYsIFVL
LjwvYXV0aC1hZGRyZXNzPjx0aXRsZXM+PHRpdGxlPkNyb3NzLXNlY3Rpb25hbCBzdHVkeSBleGFt
aW5pbmcgdGhlIHByZXZhbGVuY2UsIGNvcnJlbGF0ZXMgYW5kIHNlcXVlbmNpbmcgb2YgZWxlY3Ry
b25pYyBjaWdhcmV0dGUgYW5kIHRvYmFjY28gdXNlIGFtb25nIDExLTE2LXllYXIgb2xkcyBpbiBz
Y2hvb2xzIGluIFdhbGVzPC90aXRsZT48c2Vjb25kYXJ5LXRpdGxlPkJNSiBPcGVuPC9zZWNvbmRh
cnktdGl0bGU+PGFsdC10aXRsZT5CTUogb3BlbjwvYWx0LXRpdGxlPjwvdGl0bGVzPjxwZXJpb2Rp
Y2FsPjxmdWxsLXRpdGxlPkJtaiBPcGVuPC9mdWxsLXRpdGxlPjwvcGVyaW9kaWNhbD48YWx0LXBl
cmlvZGljYWw+PGZ1bGwtdGl0bGU+Qm1qIE9wZW48L2Z1bGwtdGl0bGU+PC9hbHQtcGVyaW9kaWNh
bD48cGFnZXM+ZTAxMjc4NDwvcGFnZXM+PHZvbHVtZT43PC92b2x1bWU+PG51bWJlcj4yPC9udW1i
ZXI+PGVkaXRpb24+MjAxNy8wMi8wNjwvZWRpdGlvbj48a2V5d29yZHM+PGtleXdvcmQ+QWRvbGVz
Y2VudDwva2V5d29yZD48a2V5d29yZD5BbXBoZXRhbWluZS1SZWxhdGVkIERpc29yZGVycy8qZXBp
ZGVtaW9sb2d5PC9rZXl3b3JkPjxrZXl3b3JkPkJpbmdlIERyaW5raW5nLyplcGlkZW1pb2xvZ3k8
L2tleXdvcmQ+PGtleXdvcmQ+Q2hpbGQ8L2tleXdvcmQ+PGtleXdvcmQ+Q2lnYXJldHRlIFNtb2tp
bmcvKmVwaWRlbWlvbG9neTwva2V5d29yZD48a2V5d29yZD5Dcm9zcy1TZWN0aW9uYWwgU3R1ZGll
czwva2V5d29yZD48a2V5d29yZD5GZW1hbGU8L2tleXdvcmQ+PGtleXdvcmQ+SHVtYW5zPC9rZXl3
b3JkPjxrZXl3b3JkPk1hbGU8L2tleXdvcmQ+PGtleXdvcmQ+TWFyaWp1YW5hIFNtb2tpbmcvKmVw
aWRlbWlvbG9neTwva2V5d29yZD48a2V5d29yZD5OaXRyb3VzIE94aWRlPC9rZXl3b3JkPjxrZXl3
b3JkPlByZXZhbGVuY2U8L2tleXdvcmQ+PGtleXdvcmQ+UmlzayBGYWN0b3JzPC9rZXl3b3JkPjxr
ZXl3b3JkPlNjaG9vbHM8L2tleXdvcmQ+PGtleXdvcmQ+U2V4IEZhY3RvcnM8L2tleXdvcmQ+PGtl
eXdvcmQ+U3R1ZGVudHMvKnN0YXRpc3RpY3MgJmFtcDsgbnVtZXJpY2FsIGRhdGE8L2tleXdvcmQ+
PGtleXdvcmQ+VmFwaW5nLypzdGF0aXN0aWNzICZhbXA7IG51bWVyaWNhbCBkYXRhPC9rZXl3b3Jk
PjxrZXl3b3JkPldhbGVzL2VwaWRlbWlvbG9neTwva2V5d29yZD48a2V5d29yZD4qQ2hpbGRyZW48
L2tleXdvcmQ+PGtleXdvcmQ+KkUtY2lnYXJldHRlczwva2V5d29yZD48a2V5d29yZD4qRWxlY3Ry
b25pYyBDaWdhcmV0dGVzPC9rZXl3b3JkPjxrZXl3b3JkPipTbW9raW5nPC9rZXl3b3JkPjxrZXl3
b3JkPipZb3V0aDwva2V5d29yZD48L2tleXdvcmRzPjxkYXRlcz48eWVhcj4yMDE3PC95ZWFyPjxw
dWItZGF0ZXM+PGRhdGU+RmViIDM8L2RhdGU+PC9wdWItZGF0ZXM+PC9kYXRlcz48aXNibj4yMDQ0
LTYwNTU8L2lzYm4+PGFjY2Vzc2lvbi1udW0+MjgxNTk4NDg8L2FjY2Vzc2lvbi1udW0+PHVybHM+
PHJlbGF0ZWQtdXJscz48dXJsPmh0dHBzOi8vd3d3Lm5jYmkubmxtLm5paC5nb3YvcG1jL2FydGlj
bGVzL1BNQzUyOTQwMDAvcGRmL2Jtam9wZW4tMjAxNi0wMTI3ODQucGRmPC91cmw+PC9yZWxhdGVk
LXVybHM+PC91cmxzPjxjdXN0b20yPlBNQzUyOTQwMDA8L2N1c3RvbTI+PGVsZWN0cm9uaWMtcmVz
b3VyY2UtbnVtPjEwLjExMzYvYm1qb3Blbi0yMDE2LTAxMjc4NDwvZWxlY3Ryb25pYy1yZXNvdXJj
ZS1udW0+PHJlbW90ZS1kYXRhYmFzZS1wcm92aWRlcj5OTE08L3JlbW90ZS1kYXRhYmFzZS1wcm92
aWRlcj48bGFuZ3VhZ2U+ZW5nPC9sYW5ndWFnZT48L3JlY29yZD48L0NpdGU+PENpdGU+PEF1dGhv
cj5IYW1tb25kPC9BdXRob3I+PFllYXI+MjAxNzwvWWVhcj48UmVjTnVtPjQ4NDA8L1JlY051bT48
cmVjb3JkPjxyZWMtbnVtYmVyPjQ4NDA8L3JlYy1udW1iZXI+PGZvcmVpZ24ta2V5cz48a2V5IGFw
cD0iRU4iIGRiLWlkPSI5ejA1ZHowcHJhYWRmdWVlMHpveHplZGs5emZlNWZ4eDUwejUiIHRpbWVz
dGFtcD0iMTUyMzkyMDUyOCI+NDg0MDwva2V5PjxrZXkgYXBwPSJFTldlYiIgZGItaWQ9IiI+MDwv
a2V5PjwvZm9yZWlnbi1rZXlzPjxyZWYtdHlwZSBuYW1lPSJKb3VybmFsIEFydGljbGUiPjE3PC9y
ZWYtdHlwZT48Y29udHJpYnV0b3JzPjxhdXRob3JzPjxhdXRob3I+SGFtbW9uZCwgRC48L2F1dGhv
cj48YXV0aG9yPlJlaWQsIEouIEwuPC9hdXRob3I+PGF1dGhvcj5Db2xlLCBBLiBHLjwvYXV0aG9y
PjxhdXRob3I+TGVhdGhlcmRhbGUsIFMuIFQuPC9hdXRob3I+PC9hdXRob3JzPjwvY29udHJpYnV0
b3JzPjxhdXRoLWFkZHJlc3M+U2Nob29sIG9mIFB1YmxpYyBIZWFsdGggYW5kIEhlYWx0aCBTeXN0
ZW1zLCBVbml2ZXJzaXR5IG9mIFdhdGVybG9vLCBXYXRlcmxvbywgT250LiBkaGFtbW9uZEB1d2F0
ZXJsb28uY2EuJiN4RDtTY2hvb2wgb2YgUHVibGljIEhlYWx0aCBhbmQgSGVhbHRoIFN5c3RlbXMs
IFVuaXZlcnNpdHkgb2YgV2F0ZXJsb28sIFdhdGVybG9vLCBPbnQuPC9hdXRoLWFkZHJlc3M+PHRp
dGxlcz48dGl0bGU+RWxlY3Ryb25pYyBjaWdhcmV0dGUgdXNlIGFuZCBzbW9raW5nIGluaXRpYXRp
b24gYW1vbmcgeW91dGg6IGEgbG9uZ2l0dWRpbmFsIGNvaG9ydCBzdHVkeTwvdGl0bGU+PHNlY29u
ZGFyeS10aXRsZT5DbWFqPC9zZWNvbmRhcnktdGl0bGU+PGFsdC10aXRsZT5DTUFKIDogQ2FuYWRp
YW4gTWVkaWNhbCBBc3NvY2lhdGlvbiBqb3VybmFsID0gam91cm5hbCBkZSBsJmFwb3M7QXNzb2Np
YXRpb24gbWVkaWNhbGUgY2FuYWRpZW5uZTwvYWx0LXRpdGxlPjwvdGl0bGVzPjxwZXJpb2RpY2Fs
PjxmdWxsLXRpdGxlPkNtYWo8L2Z1bGwtdGl0bGU+PGFiYnItMT5DTUFKIDogQ2FuYWRpYW4gTWVk
aWNhbCBBc3NvY2lhdGlvbiBqb3VybmFsID0gam91cm5hbCBkZSBsJmFwb3M7QXNzb2NpYXRpb24g
bWVkaWNhbGUgY2FuYWRpZW5uZTwvYWJici0xPjwvcGVyaW9kaWNhbD48YWx0LXBlcmlvZGljYWw+
PGZ1bGwtdGl0bGU+Q21hajwvZnVsbC10aXRsZT48YWJici0xPkNNQUogOiBDYW5hZGlhbiBNZWRp
Y2FsIEFzc29jaWF0aW9uIGpvdXJuYWwgPSBqb3VybmFsIGRlIGwmYXBvcztBc3NvY2lhdGlvbiBt
ZWRpY2FsZSBjYW5hZGllbm5lPC9hYmJyLTE+PC9hbHQtcGVyaW9kaWNhbD48cGFnZXM+RTEzMjgt
ZTEzMzY8L3BhZ2VzPjx2b2x1bWU+MTg5PC92b2x1bWU+PG51bWJlcj40MzwvbnVtYmVyPjxlZGl0
aW9uPjIwMTcvMTEvMDE8L2VkaXRpb24+PGtleXdvcmRzPjxrZXl3b3JkPkFkb2xlc2NlbnQ8L2tl
eXdvcmQ+PGtleXdvcmQ+QWRvbGVzY2VudCBCZWhhdmlvci8qcGh5c2lvbG9neTwva2V5d29yZD48
a2V5d29yZD5BbGJlcnRhL2VwaWRlbWlvbG9neTwva2V5d29yZD48a2V5d29yZD5CZWhhdmlvciwg
QWRkaWN0aXZlLyplcGlkZW1pb2xvZ3kvcHN5Y2hvbG9neTwva2V5d29yZD48a2V5d29yZD5Db2hv
cnQgU3R1ZGllczwva2V5d29yZD48a2V5d29yZD5FbGVjdHJvbmljIE5pY290aW5lIERlbGl2ZXJ5
IFN5c3RlbXMvcHN5Y2hvbG9neS8qc3RhdGlzdGljcyAmYW1wOyBudW1lcmljYWwgZGF0YTwva2V5
d29yZD48a2V5d29yZD5GZW1hbGU8L2tleXdvcmQ+PGtleXdvcmQ+SHVtYW5zPC9rZXl3b3JkPjxr
ZXl3b3JkPkxvbmdpdHVkaW5hbCBTdHVkaWVzPC9rZXl3b3JkPjxrZXl3b3JkPk1hbGU8L2tleXdv
cmQ+PGtleXdvcmQ+T250YXJpby9lcGlkZW1pb2xvZ3k8L2tleXdvcmQ+PGtleXdvcmQ+UGVlciBH
cm91cDwva2V5d29yZD48a2V5d29yZD5SaXNrIEZhY3RvcnM8L2tleXdvcmQ+PGtleXdvcmQ+U2Vs
ZiBSZXBvcnQ8L2tleXdvcmQ+PGtleXdvcmQ+U21va2luZy8qZXBpZGVtaW9sb2d5L3BzeWNob2xv
Z3k8L2tleXdvcmQ+PGtleXdvcmQ+VG9iYWNjbyBVc2UgRGlzb3JkZXIvcHJldmVudGlvbiAmYW1w
OyBjb250cm9sPC9rZXl3b3JkPjwva2V5d29yZHM+PGRhdGVzPjx5ZWFyPjIwMTc8L3llYXI+PHB1
Yi1kYXRlcz48ZGF0ZT5PY3QgMzA8L2RhdGU+PC9wdWItZGF0ZXM+PC9kYXRlcz48aXNibj4wODIw
LTM5NDY8L2lzYm4+PGFjY2Vzc2lvbi1udW0+MjkwODQ3NTk8L2FjY2Vzc2lvbi1udW0+PHVybHM+
PHJlbGF0ZWQtdXJscz48dXJsPmh0dHBzOi8vd3d3Lm5jYmkubmxtLm5paC5nb3YvcG1jL2FydGlj
bGVzL1BNQzU2NjI0NDkvcGRmLzE4OWUxMzI4LnBkZjwvdXJsPjwvcmVsYXRlZC11cmxzPjwvdXJs
cz48Y3VzdG9tMj5QTUM1NjYyNDQ5PC9jdXN0b20yPjxlbGVjdHJvbmljLXJlc291cmNlLW51bT4x
MC4xNTAzL2NtYWouMTYxMDAyPC9lbGVjdHJvbmljLXJlc291cmNlLW51bT48cmVtb3RlLWRhdGFi
YXNlLXByb3ZpZGVyPk5MTTwvcmVtb3RlLWRhdGFiYXNlLXByb3ZpZGVyPjxsYW5ndWFnZT5lbmc8
L2xhbmd1YWdlPjwvcmVjb3JkPjwvQ2l0ZT48Q2l0ZT48QXV0aG9yPkhpbmVzPC9BdXRob3I+PFll
YXI+MjAxNzwvWWVhcj48UmVjTnVtPjUxMTY8L1JlY051bT48cmVjb3JkPjxyZWMtbnVtYmVyPjUx
MTY8L3JlYy1udW1iZXI+PGZvcmVpZ24ta2V5cz48a2V5IGFwcD0iRU4iIGRiLWlkPSI5ejA1ZHow
cHJhYWRmdWVlMHpveHplZGs5emZlNWZ4eDUwejUiIHRpbWVzdGFtcD0iMTUyMzkyMDkyMyI+NTEx
Njwva2V5PjxrZXkgYXBwPSJFTldlYiIgZGItaWQ9IiI+MDwva2V5PjwvZm9yZWlnbi1rZXlzPjxy
ZWYtdHlwZSBuYW1lPSJKb3VybmFsIEFydGljbGUiPjE3PC9yZWYtdHlwZT48Y29udHJpYnV0b3Jz
PjxhdXRob3JzPjxhdXRob3I+SGluZXMsIEouIFouPC9hdXRob3I+PGF1dGhvcj5GaWFsYSwgUy4g
Qy48L2F1dGhvcj48YXV0aG9yPkhlZGJlcmcsIEsuPC9hdXRob3I+PC9hdXRob3JzPjwvY29udHJp
YnV0b3JzPjx0aXRsZXM+PHRpdGxlPkVsZWN0cm9uaWMgQ2lnYXJldHRlcyBhcyBhbiBJbnRyb2R1
Y3RvcnkgVG9iYWNjbyBQcm9kdWN0IEFtb25nIEVpZ2h0aCBhbmQgMTF0aCBHcmFkZSBUb2JhY2Nv
IFVzZXJzIC0gT3JlZ29uLCAyMDE1PC90aXRsZT48c2Vjb25kYXJ5LXRpdGxlPk1NV1IgTW9yYiBN
b3J0YWwgV2tseSBSZXA8L3NlY29uZGFyeS10aXRsZT48YWx0LXRpdGxlPk1NV1IuIE1vcmJpZGl0
eSBhbmQgbW9ydGFsaXR5IHdlZWtseSByZXBvcnQ8L2FsdC10aXRsZT48L3RpdGxlcz48cGVyaW9k
aWNhbD48ZnVsbC10aXRsZT5NTVdSIE1vcmIgTW9ydGFsIFdrbHkgUmVwPC9mdWxsLXRpdGxlPjxh
YmJyLTE+TU1XUi4gTW9yYmlkaXR5IGFuZCBtb3J0YWxpdHkgd2Vla2x5IHJlcG9ydDwvYWJici0x
PjwvcGVyaW9kaWNhbD48YWx0LXBlcmlvZGljYWw+PGZ1bGwtdGl0bGU+TU1XUiBNb3JiIE1vcnRh
bCBXa2x5IFJlcDwvZnVsbC10aXRsZT48YWJici0xPk1NV1IuIE1vcmJpZGl0eSBhbmQgbW9ydGFs
aXR5IHdlZWtseSByZXBvcnQ8L2FiYnItMT48L2FsdC1wZXJpb2RpY2FsPjxwYWdlcz42MDQtNjA2
PC9wYWdlcz48dm9sdW1lPjY2PC92b2x1bWU+PG51bWJlcj4yMzwvbnVtYmVyPjxlZGl0aW9uPjIw
MTcvMDYvMTY8L2VkaXRpb24+PGtleXdvcmRzPjxrZXl3b3JkPkFkb2xlc2NlbnQ8L2tleXdvcmQ+
PGtleXdvcmQ+Q3Jvc3MtU2VjdGlvbmFsIFN0dWRpZXM8L2tleXdvcmQ+PGtleXdvcmQ+RWxlY3Ry
b25pYyBOaWNvdGluZSBEZWxpdmVyeSBTeXN0ZW1zLyp1dGlsaXphdGlvbjwva2V5d29yZD48a2V5
d29yZD5IZWFsdGggU3VydmV5czwva2V5d29yZD48a2V5d29yZD5IdW1hbnM8L2tleXdvcmQ+PGtl
eXdvcmQ+T3JlZ29uL2VwaWRlbWlvbG9neTwva2V5d29yZD48a2V5d29yZD5TdHVkZW50cy8qcHN5
Y2hvbG9neS9zdGF0aXN0aWNzICZhbXA7IG51bWVyaWNhbCBkYXRhPC9rZXl3b3JkPjxrZXl3b3Jk
PlRvYmFjY28gUHJvZHVjdHMvKnV0aWxpemF0aW9uPC9rZXl3b3JkPjxrZXl3b3JkPlRvYmFjY28g
VXNlLyplcGlkZW1pb2xvZ3k8L2tleXdvcmQ+PC9rZXl3b3Jkcz48ZGF0ZXM+PHllYXI+MjAxNzwv
eWVhcj48cHViLWRhdGVzPjxkYXRlPkp1biAxNjwvZGF0ZT48L3B1Yi1kYXRlcz48L2RhdGVzPjxp
c2JuPjAxNDktMjE5NTwvaXNibj48YWNjZXNzaW9uLW51bT4yODYxNzc3MjwvYWNjZXNzaW9uLW51
bT48dXJscz48cmVsYXRlZC11cmxzPjx1cmw+aHR0cHM6Ly93d3cubmNiaS5ubG0ubmloLmdvdi9w
bWMvYXJ0aWNsZXMvUE1DNTY1Nzg0My9wZGYvbW02NjIzYTIucGRmPC91cmw+PC9yZWxhdGVkLXVy
bHM+PC91cmxzPjxjdXN0b20yPlBNQzU2NTc4NDM8L2N1c3RvbTI+PGVsZWN0cm9uaWMtcmVzb3Vy
Y2UtbnVtPjEwLjE1NTg1L21td3IubW02NjIzYTI8L2VsZWN0cm9uaWMtcmVzb3VyY2UtbnVtPjxy
ZW1vdGUtZGF0YWJhc2UtcHJvdmlkZXI+TkxNPC9yZW1vdGUtZGF0YWJhc2UtcHJvdmlkZXI+PGxh
bmd1YWdlPmVuZzwvbGFuZ3VhZ2U+PC9yZWNvcmQ+PC9DaXRlPjxDaXRlPjxBdXRob3I+S2lub3Vh
bmk8L0F1dGhvcj48WWVhcj4yMDE3PC9ZZWFyPjxSZWNOdW0+NDgyMDwvUmVjTnVtPjxyZWNvcmQ+
PHJlYy1udW1iZXI+NDgyMDwvcmVjLW51bWJlcj48Zm9yZWlnbi1rZXlzPjxrZXkgYXBwPSJFTiIg
ZGItaWQ9Ijl6MDVkejBwcmFhZGZ1ZWUwem94emVkazl6ZmU1Znh4NTB6NSIgdGltZXN0YW1wPSIx
NTIzOTIwNTE4Ij40ODIwPC9rZXk+PGtleSBhcHA9IkVOV2ViIiBkYi1pZD0iIj4wPC9rZXk+PC9m
b3JlaWduLWtleXM+PHJlZi10eXBlIG5hbWU9IkpvdXJuYWwgQXJ0aWNsZSI+MTc8L3JlZi10eXBl
Pjxjb250cmlidXRvcnM+PGF1dGhvcnM+PGF1dGhvcj5LaW5vdWFuaSwgUy48L2F1dGhvcj48YXV0
aG9yPlBlcmVpcmEsIEUuPC9hdXRob3I+PGF1dGhvcj5Uem91cmlvLCBDLjwvYXV0aG9yPjwvYXV0
aG9ycz48L2NvbnRyaWJ1dG9ycz48YXV0aC1hZGRyZXNzPlRlYW0gSEVBTFRIWSwgQm9yZGVhdXgg
UG9wdWxhdGlvbiBIZWFsdGggUmVzZWFyY2ggQ2VudGVyLCBVbml2ZXJzaXR5IG9mIEJvcmRlYXV4
LCBJbnNlcm0sIFVNUiAxMjE5LCBDSFUgQm9yZGVhdXgsIEYtMzMwMDAgQm9yZGVhdXgsIEZyYW5j
ZS4gc2hlcmF6YWRlLmtpbm91YW5pQHUtYm9yZGVhdXguZnIuJiN4RDtEZXBhcnRtZW50IG9mIGdl
bmVyYWwgcHJhY3RpY2UsIHVuaXZlcnNpdHkgb2YgQm9yZGVhdXgsIDE0NiBydWUgTGVvIFNhaWdu
YXQgRi0zMzAwMCBCb3JkZWF1eCwgRnJhbmNlLiBzaGVyYXphZGUua2lub3VhbmlAdS1ib3JkZWF1
eC5mci4mI3hEO1RlYW0gSEVBTFRIWSwgQm9yZGVhdXggUG9wdWxhdGlvbiBIZWFsdGggUmVzZWFy
Y2ggQ2VudGVyLCBVbml2ZXJzaXR5IG9mIEJvcmRlYXV4LCBJbnNlcm0sIFVNUiAxMjE5LCBDSFUg
Qm9yZGVhdXgsIEYtMzMwMDAgQm9yZGVhdXgsIEZyYW5jZS4gZWR3aWdlLnBlcmVpcmFAdS1ib3Jk
ZWF1eC5mci4mI3hEO1RlYW0gSEVBTFRIWSwgQm9yZGVhdXggUG9wdWxhdGlvbiBIZWFsdGggUmVz
ZWFyY2ggQ2VudGVyLCBVbml2ZXJzaXR5IG9mIEJvcmRlYXV4LCBJbnNlcm0sIFVNUiAxMjE5LCBD
SFUgQm9yZGVhdXgsIEYtMzMwMDAgQm9yZGVhdXgsIEZyYW5jZS4gY2hyaXN0b3BoZS50em91cmlv
QHUtYm9yZGVhdXguZnIuPC9hdXRoLWFkZHJlc3M+PHRpdGxlcz48dGl0bGU+RWxlY3Ryb25pYyBD
aWdhcmV0dGUgVXNlIGluIFN0dWRlbnRzIGFuZCBJdHMgUmVsYXRpb24gd2l0aCBUb2JhY2NvLVNt
b2tpbmc6IEEgQ3Jvc3MtU2VjdGlvbmFsIEFuYWx5c2lzIG9mIHRoZSBpLVNoYXJlIFN0dWR5PC90
aXRsZT48c2Vjb25kYXJ5LXRpdGxlPkludCBKIEVudmlyb24gUmVzIFB1YmxpYyBIZWFsdGg8L3Nl
Y29uZGFyeS10aXRsZT48YWx0LXRpdGxlPkludGVybmF0aW9uYWwgam91cm5hbCBvZiBlbnZpcm9u
bWVudGFsIHJlc2VhcmNoIGFuZCBwdWJsaWMgaGVhbHRoPC9hbHQtdGl0bGU+PC90aXRsZXM+PGFs
dC1wZXJpb2RpY2FsPjxmdWxsLXRpdGxlPkludGVybmF0aW9uYWwgSm91cm5hbCBvZiBFbnZpcm9u
bWVudGFsIFJlc2VhcmNoIGFuZCBQdWJsaWMgSGVhbHRoPC9mdWxsLXRpdGxlPjwvYWx0LXBlcmlv
ZGljYWw+PHZvbHVtZT4xNDwvdm9sdW1lPjxudW1iZXI+MTE8L251bWJlcj48ZWRpdGlvbj4yMDE3
LzExLzA5PC9lZGl0aW9uPjxrZXl3b3Jkcz48a2V5d29yZD5lbGVjdHJvbmljIGNpZ2FyZXR0ZXM8
L2tleXdvcmQ+PGtleXdvcmQ+c21va2luZzwva2V5d29yZD48a2V5d29yZD55b3VuZyBhZHVsdDwv
a2V5d29yZD48a2V5d29yZD50aGUgZGVzaWduIG9mIHRoZSBzdHVkeTwva2V5d29yZD48a2V5d29y
ZD5pbiB0aGUgY29sbGVjdGlvbiwgYW5hbHlzZXMsIG9yIGludGVycHJldGF0aW9uIG9mIGRhdGE8
L2tleXdvcmQ+PGtleXdvcmQ+aW4gdGhlIHdyaXRpbmcgb2YgdGhlIG1hbnVzY3JpcHQsIGFuZCBp
biB0aGUgZGVjaXNpb24gdG8gcHVibGlzaCB0aGUgcmVzdWx0cy48L2tleXdvcmQ+PC9rZXl3b3Jk
cz48ZGF0ZXM+PHllYXI+MjAxNzwveWVhcj48cHViLWRhdGVzPjxkYXRlPk5vdiA1PC9kYXRlPjwv
cHViLWRhdGVzPjwvZGF0ZXM+PGlzYm4+MTY2MC00NjAxPC9pc2JuPjxhY2Nlc3Npb24tbnVtPjI5
MTEzMDcwPC9hY2Nlc3Npb24tbnVtPjx1cmxzPjxyZWxhdGVkLXVybHM+PHVybD5odHRwOi8vd3d3
Lm1kcGkuY29tLzE2NjAtNDYwMS8xNC8xMS8xMzQ1L3BkZjwvdXJsPjwvcmVsYXRlZC11cmxzPjwv
dXJscz48Y3VzdG9tMj5QTUM1NzA3OTg0PC9jdXN0b20yPjxlbGVjdHJvbmljLXJlc291cmNlLW51
bT4xMC4zMzkwL2lqZXJwaDE0MTExMzQ1PC9lbGVjdHJvbmljLXJlc291cmNlLW51bT48cmVtb3Rl
LWRhdGFiYXNlLXByb3ZpZGVyPk5MTTwvcmVtb3RlLWRhdGFiYXNlLXByb3ZpZGVyPjxsYW5ndWFn
ZT5lbmc8L2xhbmd1YWdlPjwvcmVjb3JkPjwvQ2l0ZT48Q2l0ZT48QXV0aG9yPkxhbnphPC9BdXRo
b3I+PFllYXI+MjAxODwvWWVhcj48UmVjTnVtPjUwMTc8L1JlY051bT48cmVjb3JkPjxyZWMtbnVt
YmVyPjUwMTc8L3JlYy1udW1iZXI+PGZvcmVpZ24ta2V5cz48a2V5IGFwcD0iRU4iIGRiLWlkPSI5
ejA1ZHowcHJhYWRmdWVlMHpveHplZGs5emZlNWZ4eDUwejUiIHRpbWVzdGFtcD0iMTUyMzkyMDkw
OSI+NTAxNzwva2V5PjxrZXkgYXBwPSJFTldlYiIgZGItaWQ9IiI+MDwva2V5PjwvZm9yZWlnbi1r
ZXlzPjxyZWYtdHlwZSBuYW1lPSJKb3VybmFsIEFydGljbGUiPjE3PC9yZWYtdHlwZT48Y29udHJp
YnV0b3JzPjxhdXRob3JzPjxhdXRob3I+TGFuemEsIEguIEkuPC9hdXRob3I+PGF1dGhvcj5UZWV0
ZXIsIEguPC9hdXRob3I+PC9hdXRob3JzPjwvY29udHJpYnV0b3JzPjxhdXRoLWFkZHJlc3M+YSBE
ZXBhcnRtZW50IG9mIEh1bWFuIERldmVsb3BtZW50ICwgQ2FsaWZvcm5pYSBTdGF0ZSBVbml2ZXJz
aXR5ICwgTG9uZyBCZWFjaCAsIENhbGlmb3JuaWEgLCBVU0EuPC9hdXRoLWFkZHJlc3M+PHRpdGxl
cz48dGl0bGU+RWxlY3Ryb25pYyBOaWNvdGluZSBEZWxpdmVyeSBTeXN0ZW1zIChFLWNpZ2FyZXR0
ZS9WYXBlKSB1c2UgYW5kIENvLU9jY3VycmluZyBIZWFsdGgtUmlzayBCZWhhdmlvcnMgQW1vbmcg
YW4gRXRobmljYWxseSBEaXZlcnNlIFNhbXBsZSBvZiBZb3VuZyBBZHVsdHM8L3RpdGxlPjxzZWNv
bmRhcnktdGl0bGU+U3Vic3QgVXNlIE1pc3VzZTwvc2Vjb25kYXJ5LXRpdGxlPjxhbHQtdGl0bGU+
U3Vic3RhbmNlIHVzZSAmYW1wOyBtaXN1c2U8L2FsdC10aXRsZT48L3RpdGxlcz48YWx0LXBlcmlv
ZGljYWw+PGZ1bGwtdGl0bGU+U3Vic3RhbmNlIFVzZSAmYW1wOyBNaXN1c2U8L2Z1bGwtdGl0bGU+
PC9hbHQtcGVyaW9kaWNhbD48cGFnZXM+MTU0LTE2MTwvcGFnZXM+PHZvbHVtZT41Mzwvdm9sdW1l
PjxudW1iZXI+MTwvbnVtYmVyPjxlZGl0aW9uPjIwMTcvMDgvMDU8L2VkaXRpb24+PGtleXdvcmRz
PjxrZXl3b3JkPkFsY29ob2wgdXNlPC9rZXl3b3JkPjxrZXl3b3JkPmNvbGxlZ2Ugc3R1ZGVudHM8
L2tleXdvcmQ+PGtleXdvcmQ+ZS1jaWdhcmV0dGU8L2tleXdvcmQ+PGtleXdvcmQ+ZWxlY3Ryb25p
YyBuaWNvdGluZSBkZWxpdmVyeSBzeXN0ZW1zIChFTkRTKTwva2V5d29yZD48a2V5d29yZD52YXBp
bmc8L2tleXdvcmQ+PGtleXdvcmQ+eW91bmcgYWR1bHRzPC9rZXl3b3JkPjwva2V5d29yZHM+PGRh
dGVzPjx5ZWFyPjIwMTg8L3llYXI+PHB1Yi1kYXRlcz48ZGF0ZT5KYW4gMjwvZGF0ZT48L3B1Yi1k
YXRlcz48L2RhdGVzPjxpc2JuPjEwODItNjA4NDwvaXNibj48YWNjZXNzaW9uLW51bT4yODc3NzY3
NTwvYWNjZXNzaW9uLW51bT48dXJscz48cmVsYXRlZC11cmxzPjx1cmw+aHR0cHM6Ly93d3cudGFu
ZGZvbmxpbmUuY29tL2RvaS9wZGYvMTAuMTA4MC8xMDgyNjA4NC4yMDE3LjEzMjc5NzU/bmVlZEFj
Y2Vzcz10cnVlPC91cmw+PC9yZWxhdGVkLXVybHM+PC91cmxzPjxjdXN0b20yPlBNQzU4MjUyMTE8
L2N1c3RvbTI+PGN1c3RvbTY+TklITVM5NDM1Njc8L2N1c3RvbTY+PGVsZWN0cm9uaWMtcmVzb3Vy
Y2UtbnVtPjEwLjEwODAvMTA4MjYwODQuMjAxNy4xMzI3OTc1PC9lbGVjdHJvbmljLXJlc291cmNl
LW51bT48cmVtb3RlLWRhdGFiYXNlLXByb3ZpZGVyPk5MTTwvcmVtb3RlLWRhdGFiYXNlLXByb3Zp
ZGVyPjxsYW5ndWFnZT5lbmc8L2xhbmd1YWdlPjwvcmVjb3JkPjwvQ2l0ZT48Q2l0ZT48QXV0aG9y
PkxhbnphPC9BdXRob3I+PFllYXI+MjAxNzwvWWVhcj48UmVjTnVtPjU0NDk8L1JlY051bT48cmVj
b3JkPjxyZWMtbnVtYmVyPjU0NDk8L3JlYy1udW1iZXI+PGZvcmVpZ24ta2V5cz48a2V5IGFwcD0i
RU4iIGRiLWlkPSI5ejA1ZHowcHJhYWRmdWVlMHpveHplZGs5emZlNWZ4eDUwejUiIHRpbWVzdGFt
cD0iMTUyMzkyMDk2MCI+NTQ0OTwva2V5PjxrZXkgYXBwPSJFTldlYiIgZGItaWQ9IiI+MDwva2V5
PjwvZm9yZWlnbi1rZXlzPjxyZWYtdHlwZSBuYW1lPSJKb3VybmFsIEFydGljbGUiPjE3PC9yZWYt
dHlwZT48Y29udHJpYnV0b3JzPjxhdXRob3JzPjxhdXRob3I+TGFuemEsIFMuIFQuPC9hdXRob3I+
PGF1dGhvcj5SdXNzZWxsLCBNLiBBLjwvYXV0aG9yPjxhdXRob3I+QnJheW1pbGxlciwgSi4gTC48
L2F1dGhvcj48L2F1dGhvcnM+PC9jb250cmlidXRvcnM+PGF1dGgtYWRkcmVzcz5UaGUgTWV0aG9k
b2xvZ3kgQ2VudGVyLCBUaGUgUGVubnN5bHZhbmlhIFN0YXRlIFVuaXZlcnNpdHksIFVuaXZlcnNp
dHkgUGFyaywgUEEsIFVTQTsgRGVwYXJ0bWVudCBvZiBCaW9iZWhhdmlvcmFsIEhlYWx0aCwgVGhl
IFBlbm5zeWx2YW5pYSBTdGF0ZSBVbml2ZXJzaXR5LCBVbml2ZXJzaXR5IFBhcmssIFBBLCBVU0Eu
IEVsZWN0cm9uaWMgYWRkcmVzczogU0xhbnphQHBzdS5lZHUuJiN4RDtUaGUgTWV0aG9kb2xvZ3kg
Q2VudGVyLCBUaGUgUGVubnN5bHZhbmlhIFN0YXRlIFVuaXZlcnNpdHksIFVuaXZlcnNpdHkgUGFy
aywgUEEsIFVTQS4mI3hEO1RoZSBNZXRob2RvbG9neSBDZW50ZXIsIFRoZSBQZW5uc3lsdmFuaWEg
U3RhdGUgVW5pdmVyc2l0eSwgVW5pdmVyc2l0eSBQYXJrLCBQQSwgVVNBOyBEZXBhcnRtZW50IG9m
IEJpb2JlaGF2aW9yYWwgSGVhbHRoLCBUaGUgUGVubnN5bHZhbmlhIFN0YXRlIFVuaXZlcnNpdHks
IFVuaXZlcnNpdHkgUGFyaywgUEEsIFVTQS48L2F1dGgtYWRkcmVzcz48dGl0bGVzPjx0aXRsZT5F
bWVyZ2VuY2Ugb2YgZWxlY3Ryb25pYyBjaWdhcmV0dGUgdXNlIGluIFVTIGFkb2xlc2NlbnRzIGFu
ZCB0aGUgbGluayB0byB0cmFkaXRpb25hbCBjaWdhcmV0dGUgdXNlPC90aXRsZT48c2Vjb25kYXJ5
LXRpdGxlPkFkZGljdCBCZWhhdjwvc2Vjb25kYXJ5LXRpdGxlPjxhbHQtdGl0bGU+QWRkaWN0aXZl
IGJlaGF2aW9yczwvYWx0LXRpdGxlPjwvdGl0bGVzPjxhbHQtcGVyaW9kaWNhbD48ZnVsbC10aXRs
ZT5BZGRpY3RpdmUgQmVoYXZpb3JzPC9mdWxsLXRpdGxlPjwvYWx0LXBlcmlvZGljYWw+PHBhZ2Vz
PjM4LTQzPC9wYWdlcz48dm9sdW1lPjY3PC92b2x1bWU+PGVkaXRpb24+MjAxNi8xMi8xOTwvZWRp
dGlvbj48a2V5d29yZHM+PGtleXdvcmQ+QWRvbGVzY2VudDwva2V5d29yZD48a2V5d29yZD4qQWRv
bGVzY2VudCBCZWhhdmlvcjwva2V5d29yZD48a2V5d29yZD5BZHVsdDwva2V5d29yZD48a2V5d29y
ZD5BZ2UgRmFjdG9yczwva2V5d29yZD48a2V5d29yZD5DaGlsZDwva2V5d29yZD48a2V5d29yZD5D
aWdhcmV0dGUgU21va2luZy8qZXBpZGVtaW9sb2d5PC9rZXl3b3JkPjxrZXl3b3JkPkNyb3NzLVNl
Y3Rpb25hbCBTdHVkaWVzPC9rZXl3b3JkPjxrZXl3b3JkPkVsZWN0cm9uaWMgTmljb3RpbmUgRGVs
aXZlcnkgU3lzdGVtcy8qc3RhdGlzdGljcyAmYW1wOyBudW1lcmljYWwgZGF0YTwva2V5d29yZD48
a2V5d29yZD5GZW1hbGU8L2tleXdvcmQ+PGtleXdvcmQ+SHVtYW5zPC9rZXl3b3JkPjxrZXl3b3Jk
Pk1hbGU8L2tleXdvcmQ+PGtleXdvcmQ+U3VydmV5cyBhbmQgUXVlc3Rpb25uYWlyZXM8L2tleXdv
cmQ+PGtleXdvcmQ+VW5pdGVkIFN0YXRlczwva2V5d29yZD48a2V5d29yZD5Zb3VuZyBBZHVsdDwv
a2V5d29yZD48a2V5d29yZD5BZG9sZXNjZW5jZTwva2V5d29yZD48a2V5d29yZD5DaWdhcmV0dGVz
PC9rZXl3b3JkPjxrZXl3b3JkPkUtY2lnYXJldHRlczwva2V5d29yZD48a2V5d29yZD5UaW1lLXZh
cnlpbmcgZWZmZWN0IG1vZGVsaW5nPC9rZXl3b3JkPjwva2V5d29yZHM+PGRhdGVzPjx5ZWFyPjIw
MTc8L3llYXI+PHB1Yi1kYXRlcz48ZGF0ZT5BcHI8L2RhdGU+PC9wdWItZGF0ZXM+PC9kYXRlcz48
aXNibj4wMzA2LTQ2MDM8L2lzYm4+PGFjY2Vzc2lvbi1udW0+Mjc5ODg0MTU8L2FjY2Vzc2lvbi1u
dW0+PHVybHM+PHJlbGF0ZWQtdXJscz48dXJsPmh0dHBzOi8vd3d3LnNjaWVuY2VkaXJlY3QuY29t
L3NjaWVuY2UvYXJ0aWNsZS9waWkvUzAzMDY0NjAzMTYzMDQyMDg/dmlhJTNEaWh1YjwvdXJsPjwv
cmVsYXRlZC11cmxzPjwvdXJscz48Y3VzdG9tMj5QTUM1MjUwNTgzPC9jdXN0b20yPjxjdXN0b202
Pk5JSE1TODM3MDczPC9jdXN0b202PjxlbGVjdHJvbmljLXJlc291cmNlLW51bT4xMC4xMDE2L2ou
YWRkYmVoLjIwMTYuMTIuMDAzPC9lbGVjdHJvbmljLXJlc291cmNlLW51bT48cmVtb3RlLWRhdGFi
YXNlLXByb3ZpZGVyPk5MTTwvcmVtb3RlLWRhdGFiYXNlLXByb3ZpZGVyPjxsYW5ndWFnZT5lbmc8
L2xhbmd1YWdlPjwvcmVjb3JkPjwvQ2l0ZT48Q2l0ZT48QXV0aG9yPk1pbGljaWM8L0F1dGhvcj48
WWVhcj4yMDE3PC9ZZWFyPjxSZWNOdW0+NTQ0MjwvUmVjTnVtPjxyZWNvcmQ+PHJlYy1udW1iZXI+
NTQ0MjwvcmVjLW51bWJlcj48Zm9yZWlnbi1rZXlzPjxrZXkgYXBwPSJFTiIgZGItaWQ9Ijl6MDVk
ejBwcmFhZGZ1ZWUwem94emVkazl6ZmU1Znh4NTB6NSIgdGltZXN0YW1wPSIxNTIzOTIwOTU5Ij41
NDQyPC9rZXk+PGtleSBhcHA9IkVOV2ViIiBkYi1pZD0iIj4wPC9rZXk+PC9mb3JlaWduLWtleXM+
PHJlZi10eXBlIG5hbWU9IkpvdXJuYWwgQXJ0aWNsZSI+MTc8L3JlZi10eXBlPjxjb250cmlidXRv
cnM+PGF1dGhvcnM+PGF1dGhvcj5NaWxpY2ljLCBTLjwvYXV0aG9yPjxhdXRob3I+TGVhdGhlcmRh
bGUsIFMuIFQuPC9hdXRob3I+PC9hdXRob3JzPjwvY29udHJpYnV0b3JzPjxhdXRoLWFkZHJlc3M+
U2Nob29sIG9mIFB1YmxpYyBIZWFsdGggYW5kIEhlYWx0aCBTeXN0ZW1zLCBVbml2ZXJzaXR5IG9m
IFdhdGVybG9vLCBXYXRlcmxvbywgT250YXJpbywgQ2FuYWRhLiBFbGVjdHJvbmljIGFkZHJlc3M6
IHNtaWxpY2ljQHdhdGVybG9vLmNhLiYjeEQ7U2Nob29sIG9mIFB1YmxpYyBIZWFsdGggYW5kIEhl
YWx0aCBTeXN0ZW1zLCBVbml2ZXJzaXR5IG9mIFdhdGVybG9vLCBXYXRlcmxvbywgT250YXJpbywg
Q2FuYWRhLjwvYXV0aC1hZGRyZXNzPjx0aXRsZXM+PHRpdGxlPlRoZSBBc3NvY2lhdGlvbnMgQmV0
d2VlbiBFLUNpZ2FyZXR0ZXMgYW5kIEJpbmdlIERyaW5raW5nLCBNYXJpanVhbmEgVXNlLCBhbmQg
RW5lcmd5IERyaW5rcyBNaXhlZCBXaXRoIEFsY29ob2w8L3RpdGxlPjxzZWNvbmRhcnktdGl0bGU+
SiBBZG9sZXNjIEhlYWx0aDwvc2Vjb25kYXJ5LXRpdGxlPjxhbHQtdGl0bGU+VGhlIEpvdXJuYWwg
b2YgYWRvbGVzY2VudCBoZWFsdGggOiBvZmZpY2lhbCBwdWJsaWNhdGlvbiBvZiB0aGUgU29jaWV0
eSBmb3IgQWRvbGVzY2VudCBNZWRpY2luZTwvYWx0LXRpdGxlPjwvdGl0bGVzPjxwZXJpb2RpY2Fs
PjxmdWxsLXRpdGxlPkogQWRvbGVzYyBIZWFsdGg8L2Z1bGwtdGl0bGU+PGFiYnItMT5UaGUgSm91
cm5hbCBvZiBhZG9sZXNjZW50IGhlYWx0aCA6IG9mZmljaWFsIHB1YmxpY2F0aW9uIG9mIHRoZSBT
b2NpZXR5IGZvciBBZG9sZXNjZW50IE1lZGljaW5lPC9hYmJyLTE+PC9wZXJpb2RpY2FsPjxhbHQt
cGVyaW9kaWNhbD48ZnVsbC10aXRsZT5KIEFkb2xlc2MgSGVhbHRoPC9mdWxsLXRpdGxlPjxhYmJy
LTE+VGhlIEpvdXJuYWwgb2YgYWRvbGVzY2VudCBoZWFsdGggOiBvZmZpY2lhbCBwdWJsaWNhdGlv
biBvZiB0aGUgU29jaWV0eSBmb3IgQWRvbGVzY2VudCBNZWRpY2luZTwvYWJici0xPjwvYWx0LXBl
cmlvZGljYWw+PHBhZ2VzPjMyMC0zMjc8L3BhZ2VzPjx2b2x1bWU+NjA8L3ZvbHVtZT48bnVtYmVy
PjM8L251bWJlcj48ZWRpdGlvbj4yMDE2LzEyLzI2PC9lZGl0aW9uPjxrZXl3b3Jkcz48a2V5d29y
ZD5BZG9sZXNjZW50PC9rZXl3b3JkPjxrZXl3b3JkPipBZG9sZXNjZW50IEJlaGF2aW9yPC9rZXl3
b3JkPjxrZXl3b3JkPkJpbmdlIERyaW5raW5nLyplcGlkZW1pb2xvZ3k8L2tleXdvcmQ+PGtleXdv
cmQ+Q2FuYWRhL2VwaWRlbWlvbG9neTwva2V5d29yZD48a2V5d29yZD5Db21vcmJpZGl0eTwva2V5
d29yZD48a2V5d29yZD5FbGVjdHJvbmljIE5pY290aW5lIERlbGl2ZXJ5IFN5c3RlbXMvKnN0YXRp
c3RpY3MgJmFtcDsgbnVtZXJpY2FsIGRhdGE8L2tleXdvcmQ+PGtleXdvcmQ+RW5lcmd5IERyaW5r
cy8qc3RhdGlzdGljcyAmYW1wOyBudW1lcmljYWwgZGF0YTwva2V5d29yZD48a2V5d29yZD5GZW1h
bGU8L2tleXdvcmQ+PGtleXdvcmQ+SHVtYW5zPC9rZXl3b3JkPjxrZXl3b3JkPk1hbGU8L2tleXdv
cmQ+PGtleXdvcmQ+TWFyaWp1YW5hIFVzZS8qZXBpZGVtaW9sb2d5PC9rZXl3b3JkPjxrZXl3b3Jk
PlNleCBGYWN0b3JzPC9rZXl3b3JkPjxrZXl3b3JkPlVuZGVyYWdlIERyaW5raW5nL3BzeWNob2xv
Z3kvKnN0YXRpc3RpY3MgJmFtcDsgbnVtZXJpY2FsIGRhdGE8L2tleXdvcmQ+PGtleXdvcmQ+Qmlu
Z2UgZHJpbmtpbmc8L2tleXdvcmQ+PGtleXdvcmQ+RS1jaWdhcmV0dGVzPC9rZXl3b3JkPjxrZXl3
b3JkPkVuZXJneSBkcmlua3M8L2tleXdvcmQ+PGtleXdvcmQ+TWFyaWp1YW5hIHVzZTwva2V5d29y
ZD48a2V5d29yZD5SaXNreSBiZWhhdmlvcnM8L2tleXdvcmQ+PGtleXdvcmQ+VG9iYWNjbyB1c2U8
L2tleXdvcmQ+PGtleXdvcmQ+WW91dGg8L2tleXdvcmQ+PC9rZXl3b3Jkcz48ZGF0ZXM+PHllYXI+
MjAxNzwveWVhcj48cHViLWRhdGVzPjxkYXRlPk1hcjwvZGF0ZT48L3B1Yi1kYXRlcz48L2RhdGVz
Pjxpc2JuPjEwNTQtMTM5eDwvaXNibj48YWNjZXNzaW9uLW51bT4yODAxMjgzNDwvYWNjZXNzaW9u
LW51bT48dXJscz48cmVsYXRlZC11cmxzPjx1cmw+aHR0cDovL3d3dy5qYWhvbmxpbmUub3JnL2Fy
dGljbGUvUzEwNTQtMTM5WCgxNikzMDQwNy00L3BkZjwvdXJsPjwvcmVsYXRlZC11cmxzPjwvdXJs
cz48ZWxlY3Ryb25pYy1yZXNvdXJjZS1udW0+MTAuMTAxNi9qLmphZG9oZWFsdGguMjAxNi4xMC4w
MTE8L2VsZWN0cm9uaWMtcmVzb3VyY2UtbnVtPjxyZW1vdGUtZGF0YWJhc2UtcHJvdmlkZXI+TkxN
PC9yZW1vdGUtZGF0YWJhc2UtcHJvdmlkZXI+PGxhbmd1YWdlPmVuZzwvbGFuZ3VhZ2U+PC9yZWNv
cmQ+PC9DaXRlPjxDaXRlPjxBdXRob3I+UGFyaWtoPC9BdXRob3I+PFllYXI+MjAxODwvWWVhcj48
UmVjTnVtPjQ1NzE8L1JlY051bT48cmVjb3JkPjxyZWMtbnVtYmVyPjQ1NzE8L3JlYy1udW1iZXI+
PGZvcmVpZ24ta2V5cz48a2V5IGFwcD0iRU4iIGRiLWlkPSI5ejA1ZHowcHJhYWRmdWVlMHpveHpl
ZGs5emZlNWZ4eDUwejUiIHRpbWVzdGFtcD0iMTUyMzkyMDE5NCI+NDU3MTwva2V5PjxrZXkgYXBw
PSJFTldlYiIgZGItaWQ9IiI+MDwva2V5PjwvZm9yZWlnbi1rZXlzPjxyZWYtdHlwZSBuYW1lPSJK
b3VybmFsIEFydGljbGUiPjE3PC9yZWYtdHlwZT48Y29udHJpYnV0b3JzPjxhdXRob3JzPjxhdXRo
b3I+UGFyaWtoLCBBLiBTLjwvYXV0aG9yPjxhdXRob3I+QmhhdHRhY2hhcnl5YSwgTi48L2F1dGhv
cj48L2F1dGhvcnM+PC9jb250cmlidXRvcnM+PGF1dGgtYWRkcmVzcz5EZXBhcnRtZW50IG9mIE90
b2xhcnluZ29sb2d5LCBNYXNzYWNodXNldHRzIEV5ZSBhbmQgRWFyIEluZmlybWFyeSwgQm9zdG9u
LCBNYXNzYWNodXNldHRzLCBVLlMuQS4mI3hEO0RlcGFydG1lbnQgb2YgT3RvbG9neSBhbmQgTGFy
eW5nb2xvZ3ksIEhhcnZhcmQgTWVkaWNhbCBTY2hvb2wsIEJvc3RvbiwgTWFzc2FjaHVzZXR0cywg
VS5TLkEuJiN4RDtEaXZpc2lvbiBvZiBPdG9sYXJ5bmdvbG9neSwgQnJpZ2hhbSBhbmQgV29tZW4m
YXBvcztzIEhvc3BpdGFsLCBCb3N0b24sIE1hc3NhY2h1c2V0dHMsIFUuUy5BLjwvYXV0aC1hZGRy
ZXNzPjx0aXRsZXM+PHRpdGxlPlBhdHRlcm5zIG9mIGNvbmN1cnJlbnQgY2lnYXJldHRlLCBhbGNv
aG9sLCBhbmQgZS1jaWdhcmV0dGUgdXNlOiBPZmYtc2V0dGluZyBvciBhZGRpdGl2ZSBiZWhhdmlv
cnM/PC90aXRsZT48c2Vjb25kYXJ5LXRpdGxlPkxhcnluZ29zY29wZTwvc2Vjb25kYXJ5LXRpdGxl
PjxhbHQtdGl0bGU+VGhlIExhcnluZ29zY29wZTwvYWx0LXRpdGxlPjwvdGl0bGVzPjxwZXJpb2Rp
Y2FsPjxmdWxsLXRpdGxlPkxhcnluZ29zY29wZTwvZnVsbC10aXRsZT48YWJici0xPlRoZSBMYXJ5
bmdvc2NvcGU8L2FiYnItMT48L3BlcmlvZGljYWw+PGFsdC1wZXJpb2RpY2FsPjxmdWxsLXRpdGxl
PkxhcnluZ29zY29wZTwvZnVsbC10aXRsZT48YWJici0xPlRoZSBMYXJ5bmdvc2NvcGU8L2FiYnIt
MT48L2FsdC1wZXJpb2RpY2FsPjxlZGl0aW9uPjIwMTgvMDIvMjc8L2VkaXRpb24+PGtleXdvcmRz
PjxrZXl3b3JkPkNpZ2FyZXR0ZXM8L2tleXdvcmQ+PGtleXdvcmQ+YWxjb2hvbDwva2V5d29yZD48
a2V5d29yZD5lLWNpZ2FyZXR0ZXM8L2tleXdvcmQ+PC9rZXl3b3Jkcz48ZGF0ZXM+PHllYXI+MjAx
ODwveWVhcj48cHViLWRhdGVzPjxkYXRlPkZlYiAyNjwvZGF0ZT48L3B1Yi1kYXRlcz48L2RhdGVz
Pjxpc2JuPjAwMjMtODUyeDwvaXNibj48YWNjZXNzaW9uLW51bT4yOTQ4MTcwMTwvYWNjZXNzaW9u
LW51bT48dXJscz48cmVsYXRlZC11cmxzPjx1cmw+aHR0cHM6Ly9vbmxpbmVsaWJyYXJ5LndpbGV5
LmNvbS9kb2kvcGRmLzEwLjEwMDIvbGFyeS4yNzEzMzwvdXJsPjwvcmVsYXRlZC11cmxzPjwvdXJs
cz48ZWxlY3Ryb25pYy1yZXNvdXJjZS1udW0+MTAuMTAwMi9sYXJ5LjI3MTMzPC9lbGVjdHJvbmlj
LXJlc291cmNlLW51bT48cmVtb3RlLWRhdGFiYXNlLXByb3ZpZGVyPk5MTTwvcmVtb3RlLWRhdGFi
YXNlLXByb3ZpZGVyPjxsYW5ndWFnZT5lbmc8L2xhbmd1YWdlPjwvcmVjb3JkPjwvQ2l0ZT48Q2l0
ZT48QXV0aG9yPlBhcms8L0F1dGhvcj48WWVhcj4yMDE3PC9ZZWFyPjxSZWNOdW0+NTM5MTwvUmVj
TnVtPjxyZWNvcmQ+PHJlYy1udW1iZXI+NTM5MTwvcmVjLW51bWJlcj48Zm9yZWlnbi1rZXlzPjxr
ZXkgYXBwPSJFTiIgZGItaWQ9Ijl6MDVkejBwcmFhZGZ1ZWUwem94emVkazl6ZmU1Znh4NTB6NSIg
dGltZXN0YW1wPSIxNTIzOTIwOTUzIj41MzkxPC9rZXk+PGtleSBhcHA9IkVOV2ViIiBkYi1pZD0i
Ij4wPC9rZXk+PC9mb3JlaWduLWtleXM+PHJlZi10eXBlIG5hbWU9IkpvdXJuYWwgQXJ0aWNsZSI+
MTc8L3JlZi10eXBlPjxjb250cmlidXRvcnM+PGF1dGhvcnM+PGF1dGhvcj5QYXJrLCBTLjwvYXV0
aG9yPjxhdXRob3I+TGVlLCBILjwvYXV0aG9yPjxhdXRob3I+TWluLCBTLjwvYXV0aG9yPjwvYXV0
aG9ycz48L2NvbnRyaWJ1dG9ycz48YXV0aC1hZGRyZXNzPkNvbGxlZ2Ugb2YgTnVyc2luZyBTY2ll
bmNlLCBFYXN0LVdlc3QgTnVyc2luZyBSZXNlYXJjaCBJbnN0aXR1dGUsIEt5dW5nIEhlZSBVbml2
ZXJzaXR5LCAyNiBLeXVuZ2hlZS1kYWVybywgRG9uZ2RhZW11bi1ndSwgU2VvdWwgMDI0NDcsIFJl
cHVibGljIG9mIEtvcmVhLiBFbGVjdHJvbmljIGFkZHJlc3M6IHNwYXJrQGtodS5hYy5rci4mI3hE
O0RlcGFydG1lbnQgb2YgTnVyc2luZywgR3JhZHVhdGUgU2Nob29sLCBLeXVuZyBIZWUgVW5pdmVy
c2l0eSwgMjYgS3l1bmdoZWUtZGFlcm8sIERvbmdkYWVtdW4tZ3UsIFNlb3VsIDAyNDQ3LCBSZXB1
YmxpYyBvZiBLb3JlYS4gRWxlY3Ryb25pYyBhZGRyZXNzOiByZWFydGUxN0BraHUuYWMua3IuJiN4
RDtEZXBhcnRtZW50IG9mIE51cnNpbmcsIEdyYWR1YXRlIFNjaG9vbCwgS3l1bmcgSGVlIFVuaXZl
cnNpdHksIDI2IEt5dW5naGVlLWRhZXJvLCBEb25nZGFlbXVuLWd1LCBTZW91bCAwMjQ0NywgUmVw
dWJsaWMgb2YgS29yZWEuIEVsZWN0cm9uaWMgYWRkcmVzczogZXN0aGVyX21pbkBraHUuYWMua3Iu
PC9hdXRoLWFkZHJlc3M+PHRpdGxlcz48dGl0bGU+RmFjdG9ycyBhc3NvY2lhdGVkIHdpdGggZWxl
Y3Ryb25pYyBjaWdhcmV0dGUgdXNlIGFtb25nIGN1cnJlbnQgY2lnYXJldHRlLXNtb2tpbmcgYWRv
bGVzY2VudHMgaW4gdGhlIFJlcHVibGljIG9mIEtvcmVhPC90aXRsZT48c2Vjb25kYXJ5LXRpdGxl
PkFkZGljdCBCZWhhdjwvc2Vjb25kYXJ5LXRpdGxlPjxhbHQtdGl0bGU+QWRkaWN0aXZlIGJlaGF2
aW9yczwvYWx0LXRpdGxlPjwvdGl0bGVzPjxhbHQtcGVyaW9kaWNhbD48ZnVsbC10aXRsZT5BZGRp
Y3RpdmUgQmVoYXZpb3JzPC9mdWxsLXRpdGxlPjwvYWx0LXBlcmlvZGljYWw+PHBhZ2VzPjIyLTI2
PC9wYWdlcz48dm9sdW1lPjY5PC92b2x1bWU+PGVkaXRpb24+MjAxNy8wMS8yMzwvZWRpdGlvbj48
a2V5d29yZHM+PGtleXdvcmQ+QWRvbGVzY2VudDwva2V5d29yZD48a2V5d29yZD5BZG9sZXNjZW50
IEJlaGF2aW9yLypwc3ljaG9sb2d5PC9rZXl3b3JkPjxrZXl3b3JkPkNpZ2FyZXR0ZSBTbW9raW5n
LyplcGlkZW1pb2xvZ3k8L2tleXdvcmQ+PGtleXdvcmQ+Q3Jvc3MtU2VjdGlvbmFsIFN0dWRpZXM8
L2tleXdvcmQ+PGtleXdvcmQ+RWxlY3Ryb25pYyBOaWNvdGluZSBEZWxpdmVyeSBTeXN0ZW1zLypz
dGF0aXN0aWNzICZhbXA7IG51bWVyaWNhbCBkYXRhPC9rZXl3b3JkPjxrZXl3b3JkPkZlbWFsZTwv
a2V5d29yZD48a2V5d29yZD5GcmllbmRzL3BzeWNob2xvZ3k8L2tleXdvcmQ+PGtleXdvcmQ+SHVt
YW5zPC9rZXl3b3JkPjxrZXl3b3JkPk1hbGU8L2tleXdvcmQ+PGtleXdvcmQ+UmVwdWJsaWMgb2Yg
S29yZWEvZXBpZGVtaW9sb2d5PC9rZXl3b3JkPjxrZXl3b3JkPlNleCBEaXN0cmlidXRpb248L2tl
eXdvcmQ+PGtleXdvcmQ+QWRvbGVzY2VuY2U8L2tleXdvcmQ+PGtleXdvcmQ+Q2lnYXJldHRlPC9r
ZXl3b3JkPjxrZXl3b3JkPkR1YWwgdXNlPC9rZXl3b3JkPjxrZXl3b3JkPkVsZWN0cm9uaWMgY2ln
YXJldHRlPC9rZXl3b3JkPjxrZXl3b3JkPlNtb2tpbmc8L2tleXdvcmQ+PC9rZXl3b3Jkcz48ZGF0
ZXM+PHllYXI+MjAxNzwveWVhcj48cHViLWRhdGVzPjxkYXRlPkp1bjwvZGF0ZT48L3B1Yi1kYXRl
cz48L2RhdGVzPjxpc2JuPjAzMDYtNDYwMzwvaXNibj48YWNjZXNzaW9uLW51bT4yODExMDE1NDwv
YWNjZXNzaW9uLW51bT48dXJscz48cmVsYXRlZC11cmxzPjx1cmw+aHR0cHM6Ly93d3cuc2NpZW5j
ZWRpcmVjdC5jb20vc2NpZW5jZS9hcnRpY2xlL3BpaS9TMDMwNjQ2MDMxNzMwMDAyMz92aWElM0Rp
aHViPC91cmw+PC9yZWxhdGVkLXVybHM+PC91cmxzPjxlbGVjdHJvbmljLXJlc291cmNlLW51bT4x
MC4xMDE2L2ouYWRkYmVoLjIwMTcuMDEuMDAyPC9lbGVjdHJvbmljLXJlc291cmNlLW51bT48cmVt
b3RlLWRhdGFiYXNlLXByb3ZpZGVyPk5MTTwvcmVtb3RlLWRhdGFiYXNlLXByb3ZpZGVyPjxsYW5n
dWFnZT5lbmc8L2xhbmd1YWdlPjwvcmVjb3JkPjwvQ2l0ZT48Q2l0ZT48QXV0aG9yPlJhbWppPC9B
dXRob3I+PFllYXI+MjAxNzwvWWVhcj48UmVjTnVtPjQ3NTA8L1JlY051bT48cmVjb3JkPjxyZWMt
bnVtYmVyPjQ3NTA8L3JlYy1udW1iZXI+PGZvcmVpZ24ta2V5cz48a2V5IGFwcD0iRU4iIGRiLWlk
PSI5ejA1ZHowcHJhYWRmdWVlMHpveHplZGs5emZlNWZ4eDUwejUiIHRpbWVzdGFtcD0iMTUyMzky
MDQyNiI+NDc1MDwva2V5PjxrZXkgYXBwPSJFTldlYiIgZGItaWQ9IiI+MDwva2V5PjwvZm9yZWln
bi1rZXlzPjxyZWYtdHlwZSBuYW1lPSJKb3VybmFsIEFydGljbGUiPjE3PC9yZWYtdHlwZT48Y29u
dHJpYnV0b3JzPjxhdXRob3JzPjxhdXRob3I+UmFtamksIFIuPC9hdXRob3I+PGF1dGhvcj5Bcm5l
dHosIEIuIEIuPC9hdXRob3I+PGF1dGhvcj5OaWxzc29uLCBNLjwvYXV0aG9yPjxhdXRob3I+V2lr
bHVuZCwgWS48L2F1dGhvcj48YXV0aG9yPkphbWlsLCBILjwvYXV0aG9yPjxhdXRob3I+TWF6aWFr
LCBXLjwvYXV0aG9yPjxhdXRob3I+QXJuZXR6LCBKLjwvYXV0aG9yPjwvYXV0aG9ycz48L2NvbnRy
aWJ1dG9ycz48YXV0aC1hZGRyZXNzPjEgRGVwYXJ0bWVudCBvZiBQdWJsaWMgSGVhbHRoIGFuZCBD
YXJpbmcgU2NpZW5jZXMsIFVwcHNhbGEgVW5pdmVyc2l0eSwgU3dlZGVuLiYjeEQ7MiBEZXBhcnRt
ZW50IG9mIFB1YmxpYyBIZWFsdGggYW5kIENsaW5pY2FsIE1lZGljaW5lLCBVbml0IG9mIEVwaWRl
bWlvbG9neSBhbmQgR2xvYmFsIEhlYWx0aCwgVW1lYSBVbml2ZXJzaXR5LCBTd2VkZW4uJiN4RDsz
IERlcGFydG1lbnQgb2YgRmFtaWx5IE1lZGljaW5lLCBDb2xsZWdlIG9mIEh1bWFuIE1lZGljaW5l
LCBNaWNoaWdhbiBTdGF0ZSBVbml2ZXJzaXR5LCBVU0EuJiN4RDs0IFZhc3RlcmJvdHRlbiBDb3Vu
dHkgQ291bmNpbCwgU3dlZGVuLiYjeEQ7NSBSb2JlcnQgU3RlbXBlbCBDb2xsZWdlIG9mIFB1Ymxp
YyBIZWFsdGggYW5kIFNvY2lhbCBXb3JrLCBGbG9yaWRhIEludGVybmF0aW9uYWwgVW5pdmVyc2l0
eSwgVVNBLjwvYXV0aC1hZGRyZXNzPjx0aXRsZXM+PHRpdGxlPldhdGVycGlwZSB1c2UgaW4gYWRv
bGVzY2VudHMgaW4gTm9ydGhlcm4gU3dlZGVuOiBBc3NvY2lhdGlvbiB3aXRoIG1lbnRhbCB3ZWxs
LWJlaW5nIGFuZCByaXNrIGFuZCBoZWFsdGggYmVoYXZpb3VyczwvdGl0bGU+PHNlY29uZGFyeS10
aXRsZT5TY2FuZCBKIFB1YmxpYyBIZWFsdGg8L3NlY29uZGFyeS10aXRsZT48YWx0LXRpdGxlPlNj
YW5kaW5hdmlhbiBqb3VybmFsIG9mIHB1YmxpYyBoZWFsdGg8L2FsdC10aXRsZT48L3RpdGxlcz48
YWx0LXBlcmlvZGljYWw+PGZ1bGwtdGl0bGU+U2NhbmRpbmF2aWFuIEpvdXJuYWwgb2YgUHVibGlj
IEhlYWx0aDwvZnVsbC10aXRsZT48L2FsdC1wZXJpb2RpY2FsPjxwYWdlcz4xNDAzNDk0ODE3NzQ2
NTM0PC9wYWdlcz48ZWRpdGlvbj4yMDE3LzEyLzEyPC9lZGl0aW9uPjxrZXl3b3Jkcz48a2V5d29y
ZD5Ib29rYWgvc2hpc2hhPC9rZXl3b3JkPjxrZXl3b3JkPmUtY2lnYXJldHRlPC9rZXl3b3JkPjxr
ZXl3b3JkPmhpZ2gtc2Nob29sIHN0dWRlbnRzPC9rZXl3b3JkPjxrZXl3b3JkPnJpc2sgYmVoYXZp
b3VyPC9rZXl3b3JkPjxrZXl3b3JkPnNudXM8L2tleXdvcmQ+PC9rZXl3b3Jkcz48ZGF0ZXM+PHll
YXI+MjAxNzwveWVhcj48cHViLWRhdGVzPjxkYXRlPkRlYyAxPC9kYXRlPjwvcHViLWRhdGVzPjwv
ZGF0ZXM+PGlzYm4+MTQwMy00OTQ4PC9pc2JuPjxhY2Nlc3Npb24tbnVtPjI5MjI2ODAwPC9hY2Nl
c3Npb24tbnVtPjx1cmxzPjxyZWxhdGVkLXVybHM+PHVybD5odHRwOi8vam91cm5hbHMuc2FnZXB1
Yi5jb20vZG9pL3BkZi8xMC4xMTc3LzE0MDM0OTQ4MTc3NDY1MzQ8L3VybD48L3JlbGF0ZWQtdXJs
cz48L3VybHM+PGVsZWN0cm9uaWMtcmVzb3VyY2UtbnVtPjEwLjExNzcvMTQwMzQ5NDgxNzc0NjUz
NDwvZWxlY3Ryb25pYy1yZXNvdXJjZS1udW0+PHJlbW90ZS1kYXRhYmFzZS1wcm92aWRlcj5OTE08
L3JlbW90ZS1kYXRhYmFzZS1wcm92aWRlcj48bGFuZ3VhZ2U+ZW5nPC9sYW5ndWFnZT48L3JlY29y
ZD48L0NpdGU+PENpdGU+PEF1dGhvcj5UZW1wbGU8L0F1dGhvcj48WWVhcj4yMDE3PC9ZZWFyPjxS
ZWNOdW0+NTI2MDwvUmVjTnVtPjxyZWNvcmQ+PHJlYy1udW1iZXI+NTI2MDwvcmVjLW51bWJlcj48
Zm9yZWlnbi1rZXlzPjxrZXkgYXBwPSJFTiIgZGItaWQ9Ijl6MDVkejBwcmFhZGZ1ZWUwem94emVk
azl6ZmU1Znh4NTB6NSIgdGltZXN0YW1wPSIxNTIzOTIwOTM5Ij41MjYwPC9rZXk+PGtleSBhcHA9
IkVOV2ViIiBkYi1pZD0iIj4wPC9rZXk+PC9mb3JlaWduLWtleXM+PHJlZi10eXBlIG5hbWU9Ikpv
dXJuYWwgQXJ0aWNsZSI+MTc8L3JlZi10eXBlPjxjb250cmlidXRvcnM+PGF1dGhvcnM+PGF1dGhv
cj5UZW1wbGUsIEouIFIuPC9hdXRob3I+PGF1dGhvcj5TaG9yZXksIFIuIEMuPC9hdXRob3I+PGF1
dGhvcj5MdSwgWS48L2F1dGhvcj48YXV0aG9yPlRvcnJlcywgRS48L2F1dGhvcj48YXV0aG9yPlN0
dWFydCwgRy4gTC48L2F1dGhvcj48YXV0aG9yPkxlLCBWLiBELjwvYXV0aG9yPjwvYXV0aG9ycz48
L2NvbnRyaWJ1dG9ycz48YXV0aC1hZGRyZXNzPkRlcGFydG1lbnQgb2YgT2IvR3luLCBVbml2ZXJz
aXR5IG9mIFRleGFzIE1lZGljYWwgQnJhbmNoLCBHYWx2ZXN0b24sIFRleGFzLiYjeEQ7RGVwYXJ0
bWVudCBvZiBQc3ljaG9sb2d5LCBPaGlvIFVuaXZlcnNpdHksIEF0aGVucywgT2hpby4mI3hEO0Rl
cGFydG1lbnQgb2YgUHN5Y2hvbG9neSwgVW5pdmVyc2l0eSBvZiBUZW5uZXNzZWUsIEtub3h2aWxs
ZSwgVGVubmVzc2VlLjwvYXV0aC1hZGRyZXNzPjx0aXRsZXM+PHRpdGxlPkUtY2lnYXJldHRlIHVz
ZSBvZiB5b3VuZyBhZHVsdHMgbW90aXZhdGlvbnMgYW5kIGFzc29jaWF0aW9ucyB3aXRoIGNvbWJ1
c3RpYmxlIGNpZ2FyZXR0ZSBhbGNvaG9sLCBtYXJpanVhbmEsIGFuZCBvdGhlciBpbGxpY2l0IGRy
dWdzPC90aXRsZT48c2Vjb25kYXJ5LXRpdGxlPkFtIEogQWRkaWN0PC9zZWNvbmRhcnktdGl0bGU+
PGFsdC10aXRsZT5UaGUgQW1lcmljYW4gam91cm5hbCBvbiBhZGRpY3Rpb25zPC9hbHQtdGl0bGU+
PC90aXRsZXM+PHBlcmlvZGljYWw+PGZ1bGwtdGl0bGU+QW0gSiBBZGRpY3Q8L2Z1bGwtdGl0bGU+
PGFiYnItMT5UaGUgQW1lcmljYW4gam91cm5hbCBvbiBhZGRpY3Rpb25zPC9hYmJyLTE+PC9wZXJp
b2RpY2FsPjxhbHQtcGVyaW9kaWNhbD48ZnVsbC10aXRsZT5BbSBKIEFkZGljdDwvZnVsbC10aXRs
ZT48YWJici0xPlRoZSBBbWVyaWNhbiBqb3VybmFsIG9uIGFkZGljdGlvbnM8L2FiYnItMT48L2Fs
dC1wZXJpb2RpY2FsPjxwYWdlcz4zNDMtMzQ4PC9wYWdlcz48dm9sdW1lPjI2PC92b2x1bWU+PG51
bWJlcj40PC9udW1iZXI+PGVkaXRpb24+MjAxNy8wNC8wNDwvZWRpdGlvbj48a2V5d29yZHM+PGtl
eXdvcmQ+QWRvbGVzY2VudDwva2V5d29yZD48a2V5d29yZD5FbGVjdHJvbmljIE5pY290aW5lIERl
bGl2ZXJ5IFN5c3RlbXMvKnN0YXRpc3RpY3MgJmFtcDsgbnVtZXJpY2FsIGRhdGE8L2tleXdvcmQ+
PGtleXdvcmQ+RXRobmljIEdyb3Vwcy8qcHN5Y2hvbG9neTwva2V5d29yZD48a2V5d29yZD5GZW1h
bGU8L2tleXdvcmQ+PGtleXdvcmQ+SHVtYW5zPC9rZXl3b3JkPjxrZXl3b3JkPkxvbmdpdHVkaW5h
bCBTdHVkaWVzPC9rZXl3b3JkPjxrZXl3b3JkPk1hbGU8L2tleXdvcmQ+PGtleXdvcmQ+Kk1vdGl2
YXRpb248L2tleXdvcmQ+PGtleXdvcmQ+UHJldmFsZW5jZTwva2V5d29yZD48a2V5d29yZD5SaXNr
LVRha2luZzwva2V5d29yZD48a2V5d29yZD5TbW9raW5nLyplcGlkZW1pb2xvZ3k8L2tleXdvcmQ+
PGtleXdvcmQ+U3Vic3RhbmNlLVJlbGF0ZWQgRGlzb3JkZXJzLyplcGlkZW1pb2xvZ3k8L2tleXdv
cmQ+PGtleXdvcmQ+VGV4YXMvZXBpZGVtaW9sb2d5PC9rZXl3b3JkPjxrZXl3b3JkPllvdW5nIEFk
dWx0PC9rZXl3b3JkPjwva2V5d29yZHM+PGRhdGVzPjx5ZWFyPjIwMTc8L3llYXI+PHB1Yi1kYXRl
cz48ZGF0ZT5KdW48L2RhdGU+PC9wdWItZGF0ZXM+PC9kYXRlcz48aXNibj4xMDU1LTA0OTY8L2lz
Ym4+PGFjY2Vzc2lvbi1udW0+MjgzNzA3MTc8L2FjY2Vzc2lvbi1udW0+PHVybHM+PHJlbGF0ZWQt
dXJscz48dXJsPmh0dHBzOi8vb25saW5lbGlicmFyeS53aWxleS5jb20vZG9pL3BkZi8xMC4xMTEx
L2FqYWQuMTI1MzA8L3VybD48L3JlbGF0ZWQtdXJscz48L3VybHM+PGN1c3RvbTI+UE1DNTQyNjk2
NjwvY3VzdG9tMj48Y3VzdG9tNj5OSUhNUzg1Mzk1NzwvY3VzdG9tNj48ZWxlY3Ryb25pYy1yZXNv
dXJjZS1udW0+MTAuMTExMS9hamFkLjEyNTMwPC9lbGVjdHJvbmljLXJlc291cmNlLW51bT48cmVt
b3RlLWRhdGFiYXNlLXByb3ZpZGVyPk5MTTwvcmVtb3RlLWRhdGFiYXNlLXByb3ZpZGVyPjxsYW5n
dWFnZT5lbmc8L2xhbmd1YWdlPjwvcmVjb3JkPjwvQ2l0ZT48Q2l0ZT48QXV0aG9yPkZhcnNhbGlu
b3M8L0F1dGhvcj48WWVhcj4yMDE4PC9ZZWFyPjxSZWNOdW0+MTA0NTc8L1JlY051bT48cmVjb3Jk
PjxyZWMtbnVtYmVyPjEwNDU3PC9yZWMtbnVtYmVyPjxmb3JlaWduLWtleXM+PGtleSBhcHA9IkVO
IiBkYi1pZD0iOXowNWR6MHByYWFkZnVlZTB6b3h6ZWRrOXpmZTVmeHg1MHo1IiB0aW1lc3RhbXA9
IjE1MjY4Njk4NzgiPjEwNDU3PC9rZXk+PGtleSBhcHA9IkVOV2ViIiBkYi1pZD0iIj4wPC9rZXk+
PC9mb3JlaWduLWtleXM+PHJlZi10eXBlIG5hbWU9IkpvdXJuYWwgQXJ0aWNsZSI+MTc8L3JlZi10
eXBlPjxjb250cmlidXRvcnM+PGF1dGhvcnM+PGF1dGhvcj5GYXJzYWxpbm9zLCBLb25zdGFudGlu
b3MgRS48L2F1dGhvcj48YXV0aG9yPlNpYWthcywgR2Vvcmdpb3M8L2F1dGhvcj48YXV0aG9yPlBv
dWxhcywgS29uc3RhbnRpbm9zPC9hdXRob3I+PGF1dGhvcj5Wb3VkcmlzLCBWYXNzaWxpczwvYXV0
aG9yPjxhdXRob3I+TWVyYWtvdSwgS3lyaWFrb3VsYTwvYXV0aG9yPjxhdXRob3I+QmFyYm91bmks
IEFuYXN0YXNpYTwvYXV0aG9yPjwvYXV0aG9ycz48L2NvbnRyaWJ1dG9ycz48dGl0bGVzPjx0aXRs
ZT5FbGVjdHJvbmljIGNpZ2FyZXR0ZSB1c2UgaW4gR3JlZWNlOiBhbiBhbmFseXNpcyBvZiBhIHJl
cHJlc2VudGF0aXZlIHBvcHVsYXRpb24gc2FtcGxlIGluIEF0dGljYSBwcmVmZWN0dXJlPC90aXRs
ZT48c2Vjb25kYXJ5LXRpdGxlPkhhcm0gUmVkdWN0aW9uIEpvdXJuYWw8L3NlY29uZGFyeS10aXRs
ZT48L3RpdGxlcz48cGVyaW9kaWNhbD48ZnVsbC10aXRsZT5IYXJtIFJlZHVjdGlvbiBKb3VybmFs
PC9mdWxsLXRpdGxlPjwvcGVyaW9kaWNhbD48dm9sdW1lPjE1PC92b2x1bWU+PGRhdGVzPjx5ZWFy
PjIwMTg8L3llYXI+PHB1Yi1kYXRlcz48ZGF0ZT5BcHIgMTM8L2RhdGU+PC9wdWItZGF0ZXM+PC9k
YXRlcz48aXNibj4xNDc3LTc1MTc8L2lzYm4+PGFjY2Vzc2lvbi1udW0+V09TOjAwMDQzMTA1MTYw
MDAwMTwvYWNjZXNzaW9uLW51bT48dXJscz48cmVsYXRlZC11cmxzPjx1cmw+Jmx0O0dvIHRvIElT
SSZndDs6Ly9XT1M6MDAwNDMxMDUxNjAwMDAxPC91cmw+PHVybD5odHRwczovL2hhcm1yZWR1Y3Rp
b25qb3VybmFsLmJpb21lZGNlbnRyYWwuY29tL3RyYWNrL3BkZi8xMC4xMTg2L3MxMjk1NC0wMTgt
MDIyOS03PC91cmw+PC9yZWxhdGVkLXVybHM+PC91cmxzPjxjdXN0b203PjIwPC9jdXN0b203Pjxl
bGVjdHJvbmljLXJlc291cmNlLW51bT4xMC4xMTg2L3MxMjk1NC0wMTgtMDIyOS03PC9lbGVjdHJv
bmljLXJlc291cmNlLW51bT48L3JlY29yZD48L0NpdGU+PENpdGU+PEF1dGhvcj5QZXBwZXI8L0F1
dGhvcj48WWVhcj4yMDE4PC9ZZWFyPjxSZWNOdW0+MTAzMzc8L1JlY051bT48cmVjb3JkPjxyZWMt
bnVtYmVyPjEwMzM3PC9yZWMtbnVtYmVyPjxmb3JlaWduLWtleXM+PGtleSBhcHA9IkVOIiBkYi1p
ZD0iOXowNWR6MHByYWFkZnVlZTB6b3h6ZWRrOXpmZTVmeHg1MHo1IiB0aW1lc3RhbXA9IjE1MjY4
Njk4NzgiPjEwMzM3PC9rZXk+PGtleSBhcHA9IkVOV2ViIiBkYi1pZD0iIj4wPC9rZXk+PC9mb3Jl
aWduLWtleXM+PHJlZi10eXBlIG5hbWU9IkpvdXJuYWwgQXJ0aWNsZSI+MTc8L3JlZi10eXBlPjxj
b250cmlidXRvcnM+PGF1dGhvcnM+PGF1dGhvcj5QZXBwZXIsIEplc3NpY2EgSy48L2F1dGhvcj48
YXV0aG9yPkZhcnJlbGx5LCBNYXR0aGV3IEMuPC9hdXRob3I+PGF1dGhvcj5XYXRzb24sIEtpbWJl
cmx5IEEuPC9hdXRob3I+PC9hdXRob3JzPjwvY29udHJpYnV0b3JzPjx0aXRsZXM+PHRpdGxlPkFk
b2xlc2NlbnRzJmFwb3M7IHVuZGVyc3RhbmRpbmcgYW5kIHVzZSBvZiBuaWNvdGluZSBpbiBlLWNp
Z2FyZXR0ZXM8L3RpdGxlPjxzZWNvbmRhcnktdGl0bGU+QWRkaWN0aXZlIEJlaGF2aW9yczwvc2Vj
b25kYXJ5LXRpdGxlPjwvdGl0bGVzPjxwZXJpb2RpY2FsPjxmdWxsLXRpdGxlPkFkZGljdGl2ZSBC
ZWhhdmlvcnM8L2Z1bGwtdGl0bGU+PC9wZXJpb2RpY2FsPjxwYWdlcz4xMDktMTEzPC9wYWdlcz48
dm9sdW1lPjgyPC92b2x1bWU+PGRhdGVzPjx5ZWFyPjIwMTg8L3llYXI+PHB1Yi1kYXRlcz48ZGF0
ZT5KdWw8L2RhdGU+PC9wdWItZGF0ZXM+PC9kYXRlcz48aXNibj4wMzA2LTQ2MDM8L2lzYm4+PGFj
Y2Vzc2lvbi1udW0+V09TOjAwMDQzMDUyMjgwMDAxODwvYWNjZXNzaW9uLW51bT48dXJscz48cmVs
YXRlZC11cmxzPjx1cmw+Jmx0O0dvIHRvIElTSSZndDs6Ly9XT1M6MDAwNDMwNTIyODAwMDE4PC91
cmw+PHVybD5odHRwczovL3d3dy5zY2llbmNlZGlyZWN0LmNvbS9zY2llbmNlL2FydGljbGUvcGlp
L1MwMzA2NDYwMzE4MzAwODA3P3ZpYSUzRGlodWI8L3VybD48L3JlbGF0ZWQtdXJscz48L3VybHM+
PGVsZWN0cm9uaWMtcmVzb3VyY2UtbnVtPjEwLjEwMTYvai5hZGRiZWguMjAxOC4wMi4wMTU8L2Vs
ZWN0cm9uaWMtcmVzb3VyY2UtbnVtPjwvcmVjb3JkPjwvQ2l0ZT48L0VuZE5vdGU+
</w:fldData>
        </w:fldChar>
      </w:r>
      <w:r w:rsidR="004E728C">
        <w:instrText xml:space="preserve"> ADDIN EN.CITE </w:instrText>
      </w:r>
      <w:r w:rsidR="004E728C">
        <w:fldChar w:fldCharType="begin">
          <w:fldData xml:space="preserve">PEVuZE5vdGU+PENpdGU+PEF1dGhvcj5DaG9pPC9BdXRob3I+PFllYXI+MjAxNzwvWWVhcj48UmVj
TnVtPjUzNjU8L1JlY051bT48RGlzcGxheVRleHQ+KENob2ksIEdyYW5hIGV0IGFsLiAyMDE3LCBk
ZSBMYWN5LCBGbGV0Y2hlciBldCBhbC4gMjAxNywgSGFtbW9uZCwgUmVpZCBldCBhbC4gMjAxNywg
SGluZXMsIEZpYWxhIGV0IGFsLiAyMDE3LCBLaW5vdWFuaSwgUGVyZWlyYSBldCBhbC4gMjAxNywg
TGFuemEsIFJ1c3NlbGwgZXQgYWwuIDIwMTcsIE1pbGljaWMgYW5kIExlYXRoZXJkYWxlIDIwMTcs
IFBhcmssIExlZSBldCBhbC4gMjAxNywgUmFtamksIEFybmV0eiBldCBhbC4gMjAxNywgVGVtcGxl
LCBTaG9yZXkgZXQgYWwuIDIwMTcsIEZhcnNhbGlub3MsIFNpYWthcyBldCBhbC4gMjAxOCwgTGFu
emEgYW5kIFRlZXRlciAyMDE4LCBQYXJpa2ggYW5kIEJoYXR0YWNoYXJ5eWEgMjAxOCwgUGVwcGVy
LCBGYXJyZWxseSBldCBhbC4gMjAxOCk8L0Rpc3BsYXlUZXh0PjxyZWNvcmQ+PHJlYy1udW1iZXI+
NTM2NTwvcmVjLW51bWJlcj48Zm9yZWlnbi1rZXlzPjxrZXkgYXBwPSJFTiIgZGItaWQ9Ijl6MDVk
ejBwcmFhZGZ1ZWUwem94emVkazl6ZmU1Znh4NTB6NSIgdGltZXN0YW1wPSIxNTIzOTIwOTUxIj41
MzY1PC9rZXk+PGtleSBhcHA9IkVOV2ViIiBkYi1pZD0iIj4wPC9rZXk+PC9mb3JlaWduLWtleXM+
PHJlZi10eXBlIG5hbWU9IkpvdXJuYWwgQXJ0aWNsZSI+MTc8L3JlZi10eXBlPjxjb250cmlidXRv
cnM+PGF1dGhvcnM+PGF1dGhvcj5DaG9pLCBLLjwvYXV0aG9yPjxhdXRob3I+R3JhbmEsIFIuPC9h
dXRob3I+PGF1dGhvcj5CZXJuYXQsIEQuPC9hdXRob3I+PC9hdXRob3JzPjwvY29udHJpYnV0b3Jz
PjxhdXRoLWFkZHJlc3M+RGl2aXNpb24gb2YgSW50cmFtdXJhbCBSZXNlYXJjaCwgTmF0aW9uYWwg
SW5zdGl0dXRlIG9uIE1pbm9yaXR5IEhlYWx0aCBhbmQgSGVhbHRoIERpc3Bhcml0aWVzLCBCZXRo
ZXNkYSwgTUQuIEVsZWN0cm9uaWMgYWRkcmVzczoga2VsdmluLmNob2lAbmloLmdvdi4mI3hEO1Rv
YmFjY28gQ29udHJvbCBSZXNlYXJjaCBCcmFuY2gsIERpdmlzaW9uIG9mIENhbmNlciBDb250cm9s
IGFuZCBQb3B1bGF0aW9uIFNjaWVuY2UsIE5hdGlvbmFsIENhbmNlciBJbnN0aXR1dGUsIFJvY2t2
aWxsZSwgTUQuJiN4RDtEZXBhcnRtZW50IG9mIEJlaGF2aW9yYWwgYW5kIENvbW11bml0eSBIZWFs
dGgsIFVuaXZlcnNpdHkgb2YgTWFyeWxhbmQsIENvbGxlZ2UgUGFyaywgTUQuPC9hdXRoLWFkZHJl
c3M+PHRpdGxlcz48dGl0bGU+RWxlY3Ryb25pYyBOaWNvdGluZSBEZWxpdmVyeSBTeXN0ZW1zIGFu
ZCBBY2NlcHRhYmlsaXR5IG9mIEFkdWx0IENpZ2FyZXR0ZSBTbW9raW5nIEFtb25nIEZsb3JpZGEg
WW91dGg6IFJlbm9ybWFsaXphdGlvbiBvZiBTbW9raW5nPzwvdGl0bGU+PHNlY29uZGFyeS10aXRs
ZT5KIEFkb2xlc2MgSGVhbHRoPC9zZWNvbmRhcnktdGl0bGU+PGFsdC10aXRsZT5UaGUgSm91cm5h
bCBvZiBhZG9sZXNjZW50IGhlYWx0aCA6IG9mZmljaWFsIHB1YmxpY2F0aW9uIG9mIHRoZSBTb2Np
ZXR5IGZvciBBZG9sZXNjZW50IE1lZGljaW5lPC9hbHQtdGl0bGU+PC90aXRsZXM+PHBlcmlvZGlj
YWw+PGZ1bGwtdGl0bGU+SiBBZG9sZXNjIEhlYWx0aDwvZnVsbC10aXRsZT48YWJici0xPlRoZSBK
b3VybmFsIG9mIGFkb2xlc2NlbnQgaGVhbHRoIDogb2ZmaWNpYWwgcHVibGljYXRpb24gb2YgdGhl
IFNvY2lldHkgZm9yIEFkb2xlc2NlbnQgTWVkaWNpbmU8L2FiYnItMT48L3BlcmlvZGljYWw+PGFs
dC1wZXJpb2RpY2FsPjxmdWxsLXRpdGxlPkogQWRvbGVzYyBIZWFsdGg8L2Z1bGwtdGl0bGU+PGFi
YnItMT5UaGUgSm91cm5hbCBvZiBhZG9sZXNjZW50IGhlYWx0aCA6IG9mZmljaWFsIHB1YmxpY2F0
aW9uIG9mIHRoZSBTb2NpZXR5IGZvciBBZG9sZXNjZW50IE1lZGljaW5lPC9hYmJyLTE+PC9hbHQt
cGVyaW9kaWNhbD48cGFnZXM+NTkyLTU5ODwvcGFnZXM+PHZvbHVtZT42MDwvdm9sdW1lPjxudW1i
ZXI+NTwvbnVtYmVyPjxlZGl0aW9uPjIwMTcvMDIvMDY8L2VkaXRpb24+PGtleXdvcmRzPjxrZXl3
b3JkPkFkb2xlc2NlbnQ8L2tleXdvcmQ+PGtleXdvcmQ+QWR1bHQ8L2tleXdvcmQ+PGtleXdvcmQ+
QWR2ZXJ0aXNpbmcgYXMgVG9waWMvKnN0YXRpc3RpY3MgJmFtcDsgbnVtZXJpY2FsIGRhdGE8L2tl
eXdvcmQ+PGtleXdvcmQ+Q2hpbGQ8L2tleXdvcmQ+PGtleXdvcmQ+Q2lnYXJldHRlIFNtb2tpbmcv
KmVwaWRlbWlvbG9neTwva2V5d29yZD48a2V5d29yZD5Dcm9zcy1TZWN0aW9uYWwgU3R1ZGllczwv
a2V5d29yZD48a2V5d29yZD5FbGVjdHJvbmljIE5pY290aW5lIERlbGl2ZXJ5IFN5c3RlbXMvKnN0
YXRpc3RpY3MgJmFtcDsgbnVtZXJpY2FsIGRhdGE8L2tleXdvcmQ+PGtleXdvcmQ+RmVtYWxlPC9r
ZXl3b3JkPjxrZXl3b3JkPkZsb3JpZGEvZXBpZGVtaW9sb2d5PC9rZXl3b3JkPjxrZXl3b3JkPkhl
YWx0aCBTdXJ2ZXlzPC9rZXl3b3JkPjxrZXl3b3JkPkh1bWFuczwva2V5d29yZD48a2V5d29yZD5M
b2dpc3RpYyBNb2RlbHM8L2tleXdvcmQ+PGtleXdvcmQ+TWFsZTwva2V5d29yZD48a2V5d29yZD5S
aXNrIEZhY3RvcnM8L2tleXdvcmQ+PGtleXdvcmQ+U3R1ZGVudHMvcHN5Y2hvbG9neS8qc3RhdGlz
dGljcyAmYW1wOyBudW1lcmljYWwgZGF0YTwva2V5d29yZD48a2V5d29yZD5BY2NlcHRhYmlsaXR5
PC9rZXl3b3JkPjxrZXl3b3JkPkNpZ2FyZXR0ZSBzbW9raW5nPC9rZXl3b3JkPjxrZXl3b3JkPkVs
ZWN0cm9uaWMgbmljb3RpbmUgZGVsaXZlcnkgc3lzdGVtczwva2V5d29yZD48a2V5d29yZD5TdXNj
ZXB0aWJpbGl0eTwva2V5d29yZD48L2tleXdvcmRzPjxkYXRlcz48eWVhcj4yMDE3PC95ZWFyPjxw
dWItZGF0ZXM+PGRhdGU+TWF5PC9kYXRlPjwvcHViLWRhdGVzPjwvZGF0ZXM+PGlzYm4+MTA1NC0x
Mzl4PC9pc2JuPjxhY2Nlc3Npb24tbnVtPjI4MTU5NDIzPC9hY2Nlc3Npb24tbnVtPjx1cmxzPjxy
ZWxhdGVkLXVybHM+PHVybD5odHRwOi8vd3d3LmphaG9ubGluZS5vcmcvYXJ0aWNsZS9TMTA1NC0x
MzlYKDE2KTMwOTQ2LTYvcGRmPC91cmw+PC9yZWxhdGVkLXVybHM+PC91cmxzPjxjdXN0b20yPlBN
QzU0MDE3ODE8L2N1c3RvbTI+PGN1c3RvbTY+TklITVM4MzU3MDg8L2N1c3RvbTY+PGVsZWN0cm9u
aWMtcmVzb3VyY2UtbnVtPjEwLjEwMTYvai5qYWRvaGVhbHRoLjIwMTYuMTIuMDAxPC9lbGVjdHJv
bmljLXJlc291cmNlLW51bT48cmVtb3RlLWRhdGFiYXNlLXByb3ZpZGVyPk5MTTwvcmVtb3RlLWRh
dGFiYXNlLXByb3ZpZGVyPjxsYW5ndWFnZT5lbmc8L2xhbmd1YWdlPjwvcmVjb3JkPjwvQ2l0ZT48
Q2l0ZT48QXV0aG9yPmRlIExhY3k8L0F1dGhvcj48WWVhcj4yMDE3PC9ZZWFyPjxSZWNOdW0+NTM2
NDwvUmVjTnVtPjxyZWNvcmQ+PHJlYy1udW1iZXI+NTM2NDwvcmVjLW51bWJlcj48Zm9yZWlnbi1r
ZXlzPjxrZXkgYXBwPSJFTiIgZGItaWQ9Ijl6MDVkejBwcmFhZGZ1ZWUwem94emVkazl6ZmU1Znh4
NTB6NSIgdGltZXN0YW1wPSIxNTIzOTIwOTUwIj41MzY0PC9rZXk+PGtleSBhcHA9IkVOV2ViIiBk
Yi1pZD0iIj4wPC9rZXk+PC9mb3JlaWduLWtleXM+PHJlZi10eXBlIG5hbWU9IkpvdXJuYWwgQXJ0
aWNsZSI+MTc8L3JlZi10eXBlPjxjb250cmlidXRvcnM+PGF1dGhvcnM+PGF1dGhvcj5kZSBMYWN5
LCBFLjwvYXV0aG9yPjxhdXRob3I+RmxldGNoZXIsIEEuPC9hdXRob3I+PGF1dGhvcj5IZXdpdHQs
IEcuPC9hdXRob3I+PGF1dGhvcj5NdXJwaHksIFMuPC9hdXRob3I+PGF1dGhvcj5Nb29yZSwgRy48
L2F1dGhvcj48L2F1dGhvcnM+PC9jb250cmlidXRvcnM+PGF1dGgtYWRkcmVzcz5DZW50cmUgZm9y
IHRoZSBEZXZlbG9wbWVudCBhbmQgRXZhbHVhdGlvbiBvZiBDb21wbGV4IEludGVydmVudGlvbnMg
Zm9yIFB1YmxpYyBIZWFsdGggSW1wcm92ZW1lbnQgKERFQ0lQSGVyKSwgU2Nob29sIG9mIFNvY2lh
bCBTY2llbmNlcywgQ2FyZGlmZiBVbml2ZXJzaXR5LCBDYXJkaWZmLCBVSy4mI3hEO1kgTGFiLCBT
Y2hvb2wgb2YgU29jaWFsIFNjaWVuY2VzLCBDYXJkaWZmIFVuaXZlcnNpdHksIENhcmRpZmYsIFVL
LjwvYXV0aC1hZGRyZXNzPjx0aXRsZXM+PHRpdGxlPkNyb3NzLXNlY3Rpb25hbCBzdHVkeSBleGFt
aW5pbmcgdGhlIHByZXZhbGVuY2UsIGNvcnJlbGF0ZXMgYW5kIHNlcXVlbmNpbmcgb2YgZWxlY3Ry
b25pYyBjaWdhcmV0dGUgYW5kIHRvYmFjY28gdXNlIGFtb25nIDExLTE2LXllYXIgb2xkcyBpbiBz
Y2hvb2xzIGluIFdhbGVzPC90aXRsZT48c2Vjb25kYXJ5LXRpdGxlPkJNSiBPcGVuPC9zZWNvbmRh
cnktdGl0bGU+PGFsdC10aXRsZT5CTUogb3BlbjwvYWx0LXRpdGxlPjwvdGl0bGVzPjxwZXJpb2Rp
Y2FsPjxmdWxsLXRpdGxlPkJtaiBPcGVuPC9mdWxsLXRpdGxlPjwvcGVyaW9kaWNhbD48YWx0LXBl
cmlvZGljYWw+PGZ1bGwtdGl0bGU+Qm1qIE9wZW48L2Z1bGwtdGl0bGU+PC9hbHQtcGVyaW9kaWNh
bD48cGFnZXM+ZTAxMjc4NDwvcGFnZXM+PHZvbHVtZT43PC92b2x1bWU+PG51bWJlcj4yPC9udW1i
ZXI+PGVkaXRpb24+MjAxNy8wMi8wNjwvZWRpdGlvbj48a2V5d29yZHM+PGtleXdvcmQ+QWRvbGVz
Y2VudDwva2V5d29yZD48a2V5d29yZD5BbXBoZXRhbWluZS1SZWxhdGVkIERpc29yZGVycy8qZXBp
ZGVtaW9sb2d5PC9rZXl3b3JkPjxrZXl3b3JkPkJpbmdlIERyaW5raW5nLyplcGlkZW1pb2xvZ3k8
L2tleXdvcmQ+PGtleXdvcmQ+Q2hpbGQ8L2tleXdvcmQ+PGtleXdvcmQ+Q2lnYXJldHRlIFNtb2tp
bmcvKmVwaWRlbWlvbG9neTwva2V5d29yZD48a2V5d29yZD5Dcm9zcy1TZWN0aW9uYWwgU3R1ZGll
czwva2V5d29yZD48a2V5d29yZD5GZW1hbGU8L2tleXdvcmQ+PGtleXdvcmQ+SHVtYW5zPC9rZXl3
b3JkPjxrZXl3b3JkPk1hbGU8L2tleXdvcmQ+PGtleXdvcmQ+TWFyaWp1YW5hIFNtb2tpbmcvKmVw
aWRlbWlvbG9neTwva2V5d29yZD48a2V5d29yZD5OaXRyb3VzIE94aWRlPC9rZXl3b3JkPjxrZXl3
b3JkPlByZXZhbGVuY2U8L2tleXdvcmQ+PGtleXdvcmQ+UmlzayBGYWN0b3JzPC9rZXl3b3JkPjxr
ZXl3b3JkPlNjaG9vbHM8L2tleXdvcmQ+PGtleXdvcmQ+U2V4IEZhY3RvcnM8L2tleXdvcmQ+PGtl
eXdvcmQ+U3R1ZGVudHMvKnN0YXRpc3RpY3MgJmFtcDsgbnVtZXJpY2FsIGRhdGE8L2tleXdvcmQ+
PGtleXdvcmQ+VmFwaW5nLypzdGF0aXN0aWNzICZhbXA7IG51bWVyaWNhbCBkYXRhPC9rZXl3b3Jk
PjxrZXl3b3JkPldhbGVzL2VwaWRlbWlvbG9neTwva2V5d29yZD48a2V5d29yZD4qQ2hpbGRyZW48
L2tleXdvcmQ+PGtleXdvcmQ+KkUtY2lnYXJldHRlczwva2V5d29yZD48a2V5d29yZD4qRWxlY3Ry
b25pYyBDaWdhcmV0dGVzPC9rZXl3b3JkPjxrZXl3b3JkPipTbW9raW5nPC9rZXl3b3JkPjxrZXl3
b3JkPipZb3V0aDwva2V5d29yZD48L2tleXdvcmRzPjxkYXRlcz48eWVhcj4yMDE3PC95ZWFyPjxw
dWItZGF0ZXM+PGRhdGU+RmViIDM8L2RhdGU+PC9wdWItZGF0ZXM+PC9kYXRlcz48aXNibj4yMDQ0
LTYwNTU8L2lzYm4+PGFjY2Vzc2lvbi1udW0+MjgxNTk4NDg8L2FjY2Vzc2lvbi1udW0+PHVybHM+
PHJlbGF0ZWQtdXJscz48dXJsPmh0dHBzOi8vd3d3Lm5jYmkubmxtLm5paC5nb3YvcG1jL2FydGlj
bGVzL1BNQzUyOTQwMDAvcGRmL2Jtam9wZW4tMjAxNi0wMTI3ODQucGRmPC91cmw+PC9yZWxhdGVk
LXVybHM+PC91cmxzPjxjdXN0b20yPlBNQzUyOTQwMDA8L2N1c3RvbTI+PGVsZWN0cm9uaWMtcmVz
b3VyY2UtbnVtPjEwLjExMzYvYm1qb3Blbi0yMDE2LTAxMjc4NDwvZWxlY3Ryb25pYy1yZXNvdXJj
ZS1udW0+PHJlbW90ZS1kYXRhYmFzZS1wcm92aWRlcj5OTE08L3JlbW90ZS1kYXRhYmFzZS1wcm92
aWRlcj48bGFuZ3VhZ2U+ZW5nPC9sYW5ndWFnZT48L3JlY29yZD48L0NpdGU+PENpdGU+PEF1dGhv
cj5IYW1tb25kPC9BdXRob3I+PFllYXI+MjAxNzwvWWVhcj48UmVjTnVtPjQ4NDA8L1JlY051bT48
cmVjb3JkPjxyZWMtbnVtYmVyPjQ4NDA8L3JlYy1udW1iZXI+PGZvcmVpZ24ta2V5cz48a2V5IGFw
cD0iRU4iIGRiLWlkPSI5ejA1ZHowcHJhYWRmdWVlMHpveHplZGs5emZlNWZ4eDUwejUiIHRpbWVz
dGFtcD0iMTUyMzkyMDUyOCI+NDg0MDwva2V5PjxrZXkgYXBwPSJFTldlYiIgZGItaWQ9IiI+MDwv
a2V5PjwvZm9yZWlnbi1rZXlzPjxyZWYtdHlwZSBuYW1lPSJKb3VybmFsIEFydGljbGUiPjE3PC9y
ZWYtdHlwZT48Y29udHJpYnV0b3JzPjxhdXRob3JzPjxhdXRob3I+SGFtbW9uZCwgRC48L2F1dGhv
cj48YXV0aG9yPlJlaWQsIEouIEwuPC9hdXRob3I+PGF1dGhvcj5Db2xlLCBBLiBHLjwvYXV0aG9y
PjxhdXRob3I+TGVhdGhlcmRhbGUsIFMuIFQuPC9hdXRob3I+PC9hdXRob3JzPjwvY29udHJpYnV0
b3JzPjxhdXRoLWFkZHJlc3M+U2Nob29sIG9mIFB1YmxpYyBIZWFsdGggYW5kIEhlYWx0aCBTeXN0
ZW1zLCBVbml2ZXJzaXR5IG9mIFdhdGVybG9vLCBXYXRlcmxvbywgT250LiBkaGFtbW9uZEB1d2F0
ZXJsb28uY2EuJiN4RDtTY2hvb2wgb2YgUHVibGljIEhlYWx0aCBhbmQgSGVhbHRoIFN5c3RlbXMs
IFVuaXZlcnNpdHkgb2YgV2F0ZXJsb28sIFdhdGVybG9vLCBPbnQuPC9hdXRoLWFkZHJlc3M+PHRp
dGxlcz48dGl0bGU+RWxlY3Ryb25pYyBjaWdhcmV0dGUgdXNlIGFuZCBzbW9raW5nIGluaXRpYXRp
b24gYW1vbmcgeW91dGg6IGEgbG9uZ2l0dWRpbmFsIGNvaG9ydCBzdHVkeTwvdGl0bGU+PHNlY29u
ZGFyeS10aXRsZT5DbWFqPC9zZWNvbmRhcnktdGl0bGU+PGFsdC10aXRsZT5DTUFKIDogQ2FuYWRp
YW4gTWVkaWNhbCBBc3NvY2lhdGlvbiBqb3VybmFsID0gam91cm5hbCBkZSBsJmFwb3M7QXNzb2Np
YXRpb24gbWVkaWNhbGUgY2FuYWRpZW5uZTwvYWx0LXRpdGxlPjwvdGl0bGVzPjxwZXJpb2RpY2Fs
PjxmdWxsLXRpdGxlPkNtYWo8L2Z1bGwtdGl0bGU+PGFiYnItMT5DTUFKIDogQ2FuYWRpYW4gTWVk
aWNhbCBBc3NvY2lhdGlvbiBqb3VybmFsID0gam91cm5hbCBkZSBsJmFwb3M7QXNzb2NpYXRpb24g
bWVkaWNhbGUgY2FuYWRpZW5uZTwvYWJici0xPjwvcGVyaW9kaWNhbD48YWx0LXBlcmlvZGljYWw+
PGZ1bGwtdGl0bGU+Q21hajwvZnVsbC10aXRsZT48YWJici0xPkNNQUogOiBDYW5hZGlhbiBNZWRp
Y2FsIEFzc29jaWF0aW9uIGpvdXJuYWwgPSBqb3VybmFsIGRlIGwmYXBvcztBc3NvY2lhdGlvbiBt
ZWRpY2FsZSBjYW5hZGllbm5lPC9hYmJyLTE+PC9hbHQtcGVyaW9kaWNhbD48cGFnZXM+RTEzMjgt
ZTEzMzY8L3BhZ2VzPjx2b2x1bWU+MTg5PC92b2x1bWU+PG51bWJlcj40MzwvbnVtYmVyPjxlZGl0
aW9uPjIwMTcvMTEvMDE8L2VkaXRpb24+PGtleXdvcmRzPjxrZXl3b3JkPkFkb2xlc2NlbnQ8L2tl
eXdvcmQ+PGtleXdvcmQ+QWRvbGVzY2VudCBCZWhhdmlvci8qcGh5c2lvbG9neTwva2V5d29yZD48
a2V5d29yZD5BbGJlcnRhL2VwaWRlbWlvbG9neTwva2V5d29yZD48a2V5d29yZD5CZWhhdmlvciwg
QWRkaWN0aXZlLyplcGlkZW1pb2xvZ3kvcHN5Y2hvbG9neTwva2V5d29yZD48a2V5d29yZD5Db2hv
cnQgU3R1ZGllczwva2V5d29yZD48a2V5d29yZD5FbGVjdHJvbmljIE5pY290aW5lIERlbGl2ZXJ5
IFN5c3RlbXMvcHN5Y2hvbG9neS8qc3RhdGlzdGljcyAmYW1wOyBudW1lcmljYWwgZGF0YTwva2V5
d29yZD48a2V5d29yZD5GZW1hbGU8L2tleXdvcmQ+PGtleXdvcmQ+SHVtYW5zPC9rZXl3b3JkPjxr
ZXl3b3JkPkxvbmdpdHVkaW5hbCBTdHVkaWVzPC9rZXl3b3JkPjxrZXl3b3JkPk1hbGU8L2tleXdv
cmQ+PGtleXdvcmQ+T250YXJpby9lcGlkZW1pb2xvZ3k8L2tleXdvcmQ+PGtleXdvcmQ+UGVlciBH
cm91cDwva2V5d29yZD48a2V5d29yZD5SaXNrIEZhY3RvcnM8L2tleXdvcmQ+PGtleXdvcmQ+U2Vs
ZiBSZXBvcnQ8L2tleXdvcmQ+PGtleXdvcmQ+U21va2luZy8qZXBpZGVtaW9sb2d5L3BzeWNob2xv
Z3k8L2tleXdvcmQ+PGtleXdvcmQ+VG9iYWNjbyBVc2UgRGlzb3JkZXIvcHJldmVudGlvbiAmYW1w
OyBjb250cm9sPC9rZXl3b3JkPjwva2V5d29yZHM+PGRhdGVzPjx5ZWFyPjIwMTc8L3llYXI+PHB1
Yi1kYXRlcz48ZGF0ZT5PY3QgMzA8L2RhdGU+PC9wdWItZGF0ZXM+PC9kYXRlcz48aXNibj4wODIw
LTM5NDY8L2lzYm4+PGFjY2Vzc2lvbi1udW0+MjkwODQ3NTk8L2FjY2Vzc2lvbi1udW0+PHVybHM+
PHJlbGF0ZWQtdXJscz48dXJsPmh0dHBzOi8vd3d3Lm5jYmkubmxtLm5paC5nb3YvcG1jL2FydGlj
bGVzL1BNQzU2NjI0NDkvcGRmLzE4OWUxMzI4LnBkZjwvdXJsPjwvcmVsYXRlZC11cmxzPjwvdXJs
cz48Y3VzdG9tMj5QTUM1NjYyNDQ5PC9jdXN0b20yPjxlbGVjdHJvbmljLXJlc291cmNlLW51bT4x
MC4xNTAzL2NtYWouMTYxMDAyPC9lbGVjdHJvbmljLXJlc291cmNlLW51bT48cmVtb3RlLWRhdGFi
YXNlLXByb3ZpZGVyPk5MTTwvcmVtb3RlLWRhdGFiYXNlLXByb3ZpZGVyPjxsYW5ndWFnZT5lbmc8
L2xhbmd1YWdlPjwvcmVjb3JkPjwvQ2l0ZT48Q2l0ZT48QXV0aG9yPkhpbmVzPC9BdXRob3I+PFll
YXI+MjAxNzwvWWVhcj48UmVjTnVtPjUxMTY8L1JlY051bT48cmVjb3JkPjxyZWMtbnVtYmVyPjUx
MTY8L3JlYy1udW1iZXI+PGZvcmVpZ24ta2V5cz48a2V5IGFwcD0iRU4iIGRiLWlkPSI5ejA1ZHow
cHJhYWRmdWVlMHpveHplZGs5emZlNWZ4eDUwejUiIHRpbWVzdGFtcD0iMTUyMzkyMDkyMyI+NTEx
Njwva2V5PjxrZXkgYXBwPSJFTldlYiIgZGItaWQ9IiI+MDwva2V5PjwvZm9yZWlnbi1rZXlzPjxy
ZWYtdHlwZSBuYW1lPSJKb3VybmFsIEFydGljbGUiPjE3PC9yZWYtdHlwZT48Y29udHJpYnV0b3Jz
PjxhdXRob3JzPjxhdXRob3I+SGluZXMsIEouIFouPC9hdXRob3I+PGF1dGhvcj5GaWFsYSwgUy4g
Qy48L2F1dGhvcj48YXV0aG9yPkhlZGJlcmcsIEsuPC9hdXRob3I+PC9hdXRob3JzPjwvY29udHJp
YnV0b3JzPjx0aXRsZXM+PHRpdGxlPkVsZWN0cm9uaWMgQ2lnYXJldHRlcyBhcyBhbiBJbnRyb2R1
Y3RvcnkgVG9iYWNjbyBQcm9kdWN0IEFtb25nIEVpZ2h0aCBhbmQgMTF0aCBHcmFkZSBUb2JhY2Nv
IFVzZXJzIC0gT3JlZ29uLCAyMDE1PC90aXRsZT48c2Vjb25kYXJ5LXRpdGxlPk1NV1IgTW9yYiBN
b3J0YWwgV2tseSBSZXA8L3NlY29uZGFyeS10aXRsZT48YWx0LXRpdGxlPk1NV1IuIE1vcmJpZGl0
eSBhbmQgbW9ydGFsaXR5IHdlZWtseSByZXBvcnQ8L2FsdC10aXRsZT48L3RpdGxlcz48cGVyaW9k
aWNhbD48ZnVsbC10aXRsZT5NTVdSIE1vcmIgTW9ydGFsIFdrbHkgUmVwPC9mdWxsLXRpdGxlPjxh
YmJyLTE+TU1XUi4gTW9yYmlkaXR5IGFuZCBtb3J0YWxpdHkgd2Vla2x5IHJlcG9ydDwvYWJici0x
PjwvcGVyaW9kaWNhbD48YWx0LXBlcmlvZGljYWw+PGZ1bGwtdGl0bGU+TU1XUiBNb3JiIE1vcnRh
bCBXa2x5IFJlcDwvZnVsbC10aXRsZT48YWJici0xPk1NV1IuIE1vcmJpZGl0eSBhbmQgbW9ydGFs
aXR5IHdlZWtseSByZXBvcnQ8L2FiYnItMT48L2FsdC1wZXJpb2RpY2FsPjxwYWdlcz42MDQtNjA2
PC9wYWdlcz48dm9sdW1lPjY2PC92b2x1bWU+PG51bWJlcj4yMzwvbnVtYmVyPjxlZGl0aW9uPjIw
MTcvMDYvMTY8L2VkaXRpb24+PGtleXdvcmRzPjxrZXl3b3JkPkFkb2xlc2NlbnQ8L2tleXdvcmQ+
PGtleXdvcmQ+Q3Jvc3MtU2VjdGlvbmFsIFN0dWRpZXM8L2tleXdvcmQ+PGtleXdvcmQ+RWxlY3Ry
b25pYyBOaWNvdGluZSBEZWxpdmVyeSBTeXN0ZW1zLyp1dGlsaXphdGlvbjwva2V5d29yZD48a2V5
d29yZD5IZWFsdGggU3VydmV5czwva2V5d29yZD48a2V5d29yZD5IdW1hbnM8L2tleXdvcmQ+PGtl
eXdvcmQ+T3JlZ29uL2VwaWRlbWlvbG9neTwva2V5d29yZD48a2V5d29yZD5TdHVkZW50cy8qcHN5
Y2hvbG9neS9zdGF0aXN0aWNzICZhbXA7IG51bWVyaWNhbCBkYXRhPC9rZXl3b3JkPjxrZXl3b3Jk
PlRvYmFjY28gUHJvZHVjdHMvKnV0aWxpemF0aW9uPC9rZXl3b3JkPjxrZXl3b3JkPlRvYmFjY28g
VXNlLyplcGlkZW1pb2xvZ3k8L2tleXdvcmQ+PC9rZXl3b3Jkcz48ZGF0ZXM+PHllYXI+MjAxNzwv
eWVhcj48cHViLWRhdGVzPjxkYXRlPkp1biAxNjwvZGF0ZT48L3B1Yi1kYXRlcz48L2RhdGVzPjxp
c2JuPjAxNDktMjE5NTwvaXNibj48YWNjZXNzaW9uLW51bT4yODYxNzc3MjwvYWNjZXNzaW9uLW51
bT48dXJscz48cmVsYXRlZC11cmxzPjx1cmw+aHR0cHM6Ly93d3cubmNiaS5ubG0ubmloLmdvdi9w
bWMvYXJ0aWNsZXMvUE1DNTY1Nzg0My9wZGYvbW02NjIzYTIucGRmPC91cmw+PC9yZWxhdGVkLXVy
bHM+PC91cmxzPjxjdXN0b20yPlBNQzU2NTc4NDM8L2N1c3RvbTI+PGVsZWN0cm9uaWMtcmVzb3Vy
Y2UtbnVtPjEwLjE1NTg1L21td3IubW02NjIzYTI8L2VsZWN0cm9uaWMtcmVzb3VyY2UtbnVtPjxy
ZW1vdGUtZGF0YWJhc2UtcHJvdmlkZXI+TkxNPC9yZW1vdGUtZGF0YWJhc2UtcHJvdmlkZXI+PGxh
bmd1YWdlPmVuZzwvbGFuZ3VhZ2U+PC9yZWNvcmQ+PC9DaXRlPjxDaXRlPjxBdXRob3I+S2lub3Vh
bmk8L0F1dGhvcj48WWVhcj4yMDE3PC9ZZWFyPjxSZWNOdW0+NDgyMDwvUmVjTnVtPjxyZWNvcmQ+
PHJlYy1udW1iZXI+NDgyMDwvcmVjLW51bWJlcj48Zm9yZWlnbi1rZXlzPjxrZXkgYXBwPSJFTiIg
ZGItaWQ9Ijl6MDVkejBwcmFhZGZ1ZWUwem94emVkazl6ZmU1Znh4NTB6NSIgdGltZXN0YW1wPSIx
NTIzOTIwNTE4Ij40ODIwPC9rZXk+PGtleSBhcHA9IkVOV2ViIiBkYi1pZD0iIj4wPC9rZXk+PC9m
b3JlaWduLWtleXM+PHJlZi10eXBlIG5hbWU9IkpvdXJuYWwgQXJ0aWNsZSI+MTc8L3JlZi10eXBl
Pjxjb250cmlidXRvcnM+PGF1dGhvcnM+PGF1dGhvcj5LaW5vdWFuaSwgUy48L2F1dGhvcj48YXV0
aG9yPlBlcmVpcmEsIEUuPC9hdXRob3I+PGF1dGhvcj5Uem91cmlvLCBDLjwvYXV0aG9yPjwvYXV0
aG9ycz48L2NvbnRyaWJ1dG9ycz48YXV0aC1hZGRyZXNzPlRlYW0gSEVBTFRIWSwgQm9yZGVhdXgg
UG9wdWxhdGlvbiBIZWFsdGggUmVzZWFyY2ggQ2VudGVyLCBVbml2ZXJzaXR5IG9mIEJvcmRlYXV4
LCBJbnNlcm0sIFVNUiAxMjE5LCBDSFUgQm9yZGVhdXgsIEYtMzMwMDAgQm9yZGVhdXgsIEZyYW5j
ZS4gc2hlcmF6YWRlLmtpbm91YW5pQHUtYm9yZGVhdXguZnIuJiN4RDtEZXBhcnRtZW50IG9mIGdl
bmVyYWwgcHJhY3RpY2UsIHVuaXZlcnNpdHkgb2YgQm9yZGVhdXgsIDE0NiBydWUgTGVvIFNhaWdu
YXQgRi0zMzAwMCBCb3JkZWF1eCwgRnJhbmNlLiBzaGVyYXphZGUua2lub3VhbmlAdS1ib3JkZWF1
eC5mci4mI3hEO1RlYW0gSEVBTFRIWSwgQm9yZGVhdXggUG9wdWxhdGlvbiBIZWFsdGggUmVzZWFy
Y2ggQ2VudGVyLCBVbml2ZXJzaXR5IG9mIEJvcmRlYXV4LCBJbnNlcm0sIFVNUiAxMjE5LCBDSFUg
Qm9yZGVhdXgsIEYtMzMwMDAgQm9yZGVhdXgsIEZyYW5jZS4gZWR3aWdlLnBlcmVpcmFAdS1ib3Jk
ZWF1eC5mci4mI3hEO1RlYW0gSEVBTFRIWSwgQm9yZGVhdXggUG9wdWxhdGlvbiBIZWFsdGggUmVz
ZWFyY2ggQ2VudGVyLCBVbml2ZXJzaXR5IG9mIEJvcmRlYXV4LCBJbnNlcm0sIFVNUiAxMjE5LCBD
SFUgQm9yZGVhdXgsIEYtMzMwMDAgQm9yZGVhdXgsIEZyYW5jZS4gY2hyaXN0b3BoZS50em91cmlv
QHUtYm9yZGVhdXguZnIuPC9hdXRoLWFkZHJlc3M+PHRpdGxlcz48dGl0bGU+RWxlY3Ryb25pYyBD
aWdhcmV0dGUgVXNlIGluIFN0dWRlbnRzIGFuZCBJdHMgUmVsYXRpb24gd2l0aCBUb2JhY2NvLVNt
b2tpbmc6IEEgQ3Jvc3MtU2VjdGlvbmFsIEFuYWx5c2lzIG9mIHRoZSBpLVNoYXJlIFN0dWR5PC90
aXRsZT48c2Vjb25kYXJ5LXRpdGxlPkludCBKIEVudmlyb24gUmVzIFB1YmxpYyBIZWFsdGg8L3Nl
Y29uZGFyeS10aXRsZT48YWx0LXRpdGxlPkludGVybmF0aW9uYWwgam91cm5hbCBvZiBlbnZpcm9u
bWVudGFsIHJlc2VhcmNoIGFuZCBwdWJsaWMgaGVhbHRoPC9hbHQtdGl0bGU+PC90aXRsZXM+PGFs
dC1wZXJpb2RpY2FsPjxmdWxsLXRpdGxlPkludGVybmF0aW9uYWwgSm91cm5hbCBvZiBFbnZpcm9u
bWVudGFsIFJlc2VhcmNoIGFuZCBQdWJsaWMgSGVhbHRoPC9mdWxsLXRpdGxlPjwvYWx0LXBlcmlv
ZGljYWw+PHZvbHVtZT4xNDwvdm9sdW1lPjxudW1iZXI+MTE8L251bWJlcj48ZWRpdGlvbj4yMDE3
LzExLzA5PC9lZGl0aW9uPjxrZXl3b3Jkcz48a2V5d29yZD5lbGVjdHJvbmljIGNpZ2FyZXR0ZXM8
L2tleXdvcmQ+PGtleXdvcmQ+c21va2luZzwva2V5d29yZD48a2V5d29yZD55b3VuZyBhZHVsdDwv
a2V5d29yZD48a2V5d29yZD50aGUgZGVzaWduIG9mIHRoZSBzdHVkeTwva2V5d29yZD48a2V5d29y
ZD5pbiB0aGUgY29sbGVjdGlvbiwgYW5hbHlzZXMsIG9yIGludGVycHJldGF0aW9uIG9mIGRhdGE8
L2tleXdvcmQ+PGtleXdvcmQ+aW4gdGhlIHdyaXRpbmcgb2YgdGhlIG1hbnVzY3JpcHQsIGFuZCBp
biB0aGUgZGVjaXNpb24gdG8gcHVibGlzaCB0aGUgcmVzdWx0cy48L2tleXdvcmQ+PC9rZXl3b3Jk
cz48ZGF0ZXM+PHllYXI+MjAxNzwveWVhcj48cHViLWRhdGVzPjxkYXRlPk5vdiA1PC9kYXRlPjwv
cHViLWRhdGVzPjwvZGF0ZXM+PGlzYm4+MTY2MC00NjAxPC9pc2JuPjxhY2Nlc3Npb24tbnVtPjI5
MTEzMDcwPC9hY2Nlc3Npb24tbnVtPjx1cmxzPjxyZWxhdGVkLXVybHM+PHVybD5odHRwOi8vd3d3
Lm1kcGkuY29tLzE2NjAtNDYwMS8xNC8xMS8xMzQ1L3BkZjwvdXJsPjwvcmVsYXRlZC11cmxzPjwv
dXJscz48Y3VzdG9tMj5QTUM1NzA3OTg0PC9jdXN0b20yPjxlbGVjdHJvbmljLXJlc291cmNlLW51
bT4xMC4zMzkwL2lqZXJwaDE0MTExMzQ1PC9lbGVjdHJvbmljLXJlc291cmNlLW51bT48cmVtb3Rl
LWRhdGFiYXNlLXByb3ZpZGVyPk5MTTwvcmVtb3RlLWRhdGFiYXNlLXByb3ZpZGVyPjxsYW5ndWFn
ZT5lbmc8L2xhbmd1YWdlPjwvcmVjb3JkPjwvQ2l0ZT48Q2l0ZT48QXV0aG9yPkxhbnphPC9BdXRo
b3I+PFllYXI+MjAxODwvWWVhcj48UmVjTnVtPjUwMTc8L1JlY051bT48cmVjb3JkPjxyZWMtbnVt
YmVyPjUwMTc8L3JlYy1udW1iZXI+PGZvcmVpZ24ta2V5cz48a2V5IGFwcD0iRU4iIGRiLWlkPSI5
ejA1ZHowcHJhYWRmdWVlMHpveHplZGs5emZlNWZ4eDUwejUiIHRpbWVzdGFtcD0iMTUyMzkyMDkw
OSI+NTAxNzwva2V5PjxrZXkgYXBwPSJFTldlYiIgZGItaWQ9IiI+MDwva2V5PjwvZm9yZWlnbi1r
ZXlzPjxyZWYtdHlwZSBuYW1lPSJKb3VybmFsIEFydGljbGUiPjE3PC9yZWYtdHlwZT48Y29udHJp
YnV0b3JzPjxhdXRob3JzPjxhdXRob3I+TGFuemEsIEguIEkuPC9hdXRob3I+PGF1dGhvcj5UZWV0
ZXIsIEguPC9hdXRob3I+PC9hdXRob3JzPjwvY29udHJpYnV0b3JzPjxhdXRoLWFkZHJlc3M+YSBE
ZXBhcnRtZW50IG9mIEh1bWFuIERldmVsb3BtZW50ICwgQ2FsaWZvcm5pYSBTdGF0ZSBVbml2ZXJz
aXR5ICwgTG9uZyBCZWFjaCAsIENhbGlmb3JuaWEgLCBVU0EuPC9hdXRoLWFkZHJlc3M+PHRpdGxl
cz48dGl0bGU+RWxlY3Ryb25pYyBOaWNvdGluZSBEZWxpdmVyeSBTeXN0ZW1zIChFLWNpZ2FyZXR0
ZS9WYXBlKSB1c2UgYW5kIENvLU9jY3VycmluZyBIZWFsdGgtUmlzayBCZWhhdmlvcnMgQW1vbmcg
YW4gRXRobmljYWxseSBEaXZlcnNlIFNhbXBsZSBvZiBZb3VuZyBBZHVsdHM8L3RpdGxlPjxzZWNv
bmRhcnktdGl0bGU+U3Vic3QgVXNlIE1pc3VzZTwvc2Vjb25kYXJ5LXRpdGxlPjxhbHQtdGl0bGU+
U3Vic3RhbmNlIHVzZSAmYW1wOyBtaXN1c2U8L2FsdC10aXRsZT48L3RpdGxlcz48YWx0LXBlcmlv
ZGljYWw+PGZ1bGwtdGl0bGU+U3Vic3RhbmNlIFVzZSAmYW1wOyBNaXN1c2U8L2Z1bGwtdGl0bGU+
PC9hbHQtcGVyaW9kaWNhbD48cGFnZXM+MTU0LTE2MTwvcGFnZXM+PHZvbHVtZT41Mzwvdm9sdW1l
PjxudW1iZXI+MTwvbnVtYmVyPjxlZGl0aW9uPjIwMTcvMDgvMDU8L2VkaXRpb24+PGtleXdvcmRz
PjxrZXl3b3JkPkFsY29ob2wgdXNlPC9rZXl3b3JkPjxrZXl3b3JkPmNvbGxlZ2Ugc3R1ZGVudHM8
L2tleXdvcmQ+PGtleXdvcmQ+ZS1jaWdhcmV0dGU8L2tleXdvcmQ+PGtleXdvcmQ+ZWxlY3Ryb25p
YyBuaWNvdGluZSBkZWxpdmVyeSBzeXN0ZW1zIChFTkRTKTwva2V5d29yZD48a2V5d29yZD52YXBp
bmc8L2tleXdvcmQ+PGtleXdvcmQ+eW91bmcgYWR1bHRzPC9rZXl3b3JkPjwva2V5d29yZHM+PGRh
dGVzPjx5ZWFyPjIwMTg8L3llYXI+PHB1Yi1kYXRlcz48ZGF0ZT5KYW4gMjwvZGF0ZT48L3B1Yi1k
YXRlcz48L2RhdGVzPjxpc2JuPjEwODItNjA4NDwvaXNibj48YWNjZXNzaW9uLW51bT4yODc3NzY3
NTwvYWNjZXNzaW9uLW51bT48dXJscz48cmVsYXRlZC11cmxzPjx1cmw+aHR0cHM6Ly93d3cudGFu
ZGZvbmxpbmUuY29tL2RvaS9wZGYvMTAuMTA4MC8xMDgyNjA4NC4yMDE3LjEzMjc5NzU/bmVlZEFj
Y2Vzcz10cnVlPC91cmw+PC9yZWxhdGVkLXVybHM+PC91cmxzPjxjdXN0b20yPlBNQzU4MjUyMTE8
L2N1c3RvbTI+PGN1c3RvbTY+TklITVM5NDM1Njc8L2N1c3RvbTY+PGVsZWN0cm9uaWMtcmVzb3Vy
Y2UtbnVtPjEwLjEwODAvMTA4MjYwODQuMjAxNy4xMzI3OTc1PC9lbGVjdHJvbmljLXJlc291cmNl
LW51bT48cmVtb3RlLWRhdGFiYXNlLXByb3ZpZGVyPk5MTTwvcmVtb3RlLWRhdGFiYXNlLXByb3Zp
ZGVyPjxsYW5ndWFnZT5lbmc8L2xhbmd1YWdlPjwvcmVjb3JkPjwvQ2l0ZT48Q2l0ZT48QXV0aG9y
PkxhbnphPC9BdXRob3I+PFllYXI+MjAxNzwvWWVhcj48UmVjTnVtPjU0NDk8L1JlY051bT48cmVj
b3JkPjxyZWMtbnVtYmVyPjU0NDk8L3JlYy1udW1iZXI+PGZvcmVpZ24ta2V5cz48a2V5IGFwcD0i
RU4iIGRiLWlkPSI5ejA1ZHowcHJhYWRmdWVlMHpveHplZGs5emZlNWZ4eDUwejUiIHRpbWVzdGFt
cD0iMTUyMzkyMDk2MCI+NTQ0OTwva2V5PjxrZXkgYXBwPSJFTldlYiIgZGItaWQ9IiI+MDwva2V5
PjwvZm9yZWlnbi1rZXlzPjxyZWYtdHlwZSBuYW1lPSJKb3VybmFsIEFydGljbGUiPjE3PC9yZWYt
dHlwZT48Y29udHJpYnV0b3JzPjxhdXRob3JzPjxhdXRob3I+TGFuemEsIFMuIFQuPC9hdXRob3I+
PGF1dGhvcj5SdXNzZWxsLCBNLiBBLjwvYXV0aG9yPjxhdXRob3I+QnJheW1pbGxlciwgSi4gTC48
L2F1dGhvcj48L2F1dGhvcnM+PC9jb250cmlidXRvcnM+PGF1dGgtYWRkcmVzcz5UaGUgTWV0aG9k
b2xvZ3kgQ2VudGVyLCBUaGUgUGVubnN5bHZhbmlhIFN0YXRlIFVuaXZlcnNpdHksIFVuaXZlcnNp
dHkgUGFyaywgUEEsIFVTQTsgRGVwYXJ0bWVudCBvZiBCaW9iZWhhdmlvcmFsIEhlYWx0aCwgVGhl
IFBlbm5zeWx2YW5pYSBTdGF0ZSBVbml2ZXJzaXR5LCBVbml2ZXJzaXR5IFBhcmssIFBBLCBVU0Eu
IEVsZWN0cm9uaWMgYWRkcmVzczogU0xhbnphQHBzdS5lZHUuJiN4RDtUaGUgTWV0aG9kb2xvZ3kg
Q2VudGVyLCBUaGUgUGVubnN5bHZhbmlhIFN0YXRlIFVuaXZlcnNpdHksIFVuaXZlcnNpdHkgUGFy
aywgUEEsIFVTQS4mI3hEO1RoZSBNZXRob2RvbG9neSBDZW50ZXIsIFRoZSBQZW5uc3lsdmFuaWEg
U3RhdGUgVW5pdmVyc2l0eSwgVW5pdmVyc2l0eSBQYXJrLCBQQSwgVVNBOyBEZXBhcnRtZW50IG9m
IEJpb2JlaGF2aW9yYWwgSGVhbHRoLCBUaGUgUGVubnN5bHZhbmlhIFN0YXRlIFVuaXZlcnNpdHks
IFVuaXZlcnNpdHkgUGFyaywgUEEsIFVTQS48L2F1dGgtYWRkcmVzcz48dGl0bGVzPjx0aXRsZT5F
bWVyZ2VuY2Ugb2YgZWxlY3Ryb25pYyBjaWdhcmV0dGUgdXNlIGluIFVTIGFkb2xlc2NlbnRzIGFu
ZCB0aGUgbGluayB0byB0cmFkaXRpb25hbCBjaWdhcmV0dGUgdXNlPC90aXRsZT48c2Vjb25kYXJ5
LXRpdGxlPkFkZGljdCBCZWhhdjwvc2Vjb25kYXJ5LXRpdGxlPjxhbHQtdGl0bGU+QWRkaWN0aXZl
IGJlaGF2aW9yczwvYWx0LXRpdGxlPjwvdGl0bGVzPjxhbHQtcGVyaW9kaWNhbD48ZnVsbC10aXRs
ZT5BZGRpY3RpdmUgQmVoYXZpb3JzPC9mdWxsLXRpdGxlPjwvYWx0LXBlcmlvZGljYWw+PHBhZ2Vz
PjM4LTQzPC9wYWdlcz48dm9sdW1lPjY3PC92b2x1bWU+PGVkaXRpb24+MjAxNi8xMi8xOTwvZWRp
dGlvbj48a2V5d29yZHM+PGtleXdvcmQ+QWRvbGVzY2VudDwva2V5d29yZD48a2V5d29yZD4qQWRv
bGVzY2VudCBCZWhhdmlvcjwva2V5d29yZD48a2V5d29yZD5BZHVsdDwva2V5d29yZD48a2V5d29y
ZD5BZ2UgRmFjdG9yczwva2V5d29yZD48a2V5d29yZD5DaGlsZDwva2V5d29yZD48a2V5d29yZD5D
aWdhcmV0dGUgU21va2luZy8qZXBpZGVtaW9sb2d5PC9rZXl3b3JkPjxrZXl3b3JkPkNyb3NzLVNl
Y3Rpb25hbCBTdHVkaWVzPC9rZXl3b3JkPjxrZXl3b3JkPkVsZWN0cm9uaWMgTmljb3RpbmUgRGVs
aXZlcnkgU3lzdGVtcy8qc3RhdGlzdGljcyAmYW1wOyBudW1lcmljYWwgZGF0YTwva2V5d29yZD48
a2V5d29yZD5GZW1hbGU8L2tleXdvcmQ+PGtleXdvcmQ+SHVtYW5zPC9rZXl3b3JkPjxrZXl3b3Jk
Pk1hbGU8L2tleXdvcmQ+PGtleXdvcmQ+U3VydmV5cyBhbmQgUXVlc3Rpb25uYWlyZXM8L2tleXdv
cmQ+PGtleXdvcmQ+VW5pdGVkIFN0YXRlczwva2V5d29yZD48a2V5d29yZD5Zb3VuZyBBZHVsdDwv
a2V5d29yZD48a2V5d29yZD5BZG9sZXNjZW5jZTwva2V5d29yZD48a2V5d29yZD5DaWdhcmV0dGVz
PC9rZXl3b3JkPjxrZXl3b3JkPkUtY2lnYXJldHRlczwva2V5d29yZD48a2V5d29yZD5UaW1lLXZh
cnlpbmcgZWZmZWN0IG1vZGVsaW5nPC9rZXl3b3JkPjwva2V5d29yZHM+PGRhdGVzPjx5ZWFyPjIw
MTc8L3llYXI+PHB1Yi1kYXRlcz48ZGF0ZT5BcHI8L2RhdGU+PC9wdWItZGF0ZXM+PC9kYXRlcz48
aXNibj4wMzA2LTQ2MDM8L2lzYm4+PGFjY2Vzc2lvbi1udW0+Mjc5ODg0MTU8L2FjY2Vzc2lvbi1u
dW0+PHVybHM+PHJlbGF0ZWQtdXJscz48dXJsPmh0dHBzOi8vd3d3LnNjaWVuY2VkaXJlY3QuY29t
L3NjaWVuY2UvYXJ0aWNsZS9waWkvUzAzMDY0NjAzMTYzMDQyMDg/dmlhJTNEaWh1YjwvdXJsPjwv
cmVsYXRlZC11cmxzPjwvdXJscz48Y3VzdG9tMj5QTUM1MjUwNTgzPC9jdXN0b20yPjxjdXN0b202
Pk5JSE1TODM3MDczPC9jdXN0b202PjxlbGVjdHJvbmljLXJlc291cmNlLW51bT4xMC4xMDE2L2ou
YWRkYmVoLjIwMTYuMTIuMDAzPC9lbGVjdHJvbmljLXJlc291cmNlLW51bT48cmVtb3RlLWRhdGFi
YXNlLXByb3ZpZGVyPk5MTTwvcmVtb3RlLWRhdGFiYXNlLXByb3ZpZGVyPjxsYW5ndWFnZT5lbmc8
L2xhbmd1YWdlPjwvcmVjb3JkPjwvQ2l0ZT48Q2l0ZT48QXV0aG9yPk1pbGljaWM8L0F1dGhvcj48
WWVhcj4yMDE3PC9ZZWFyPjxSZWNOdW0+NTQ0MjwvUmVjTnVtPjxyZWNvcmQ+PHJlYy1udW1iZXI+
NTQ0MjwvcmVjLW51bWJlcj48Zm9yZWlnbi1rZXlzPjxrZXkgYXBwPSJFTiIgZGItaWQ9Ijl6MDVk
ejBwcmFhZGZ1ZWUwem94emVkazl6ZmU1Znh4NTB6NSIgdGltZXN0YW1wPSIxNTIzOTIwOTU5Ij41
NDQyPC9rZXk+PGtleSBhcHA9IkVOV2ViIiBkYi1pZD0iIj4wPC9rZXk+PC9mb3JlaWduLWtleXM+
PHJlZi10eXBlIG5hbWU9IkpvdXJuYWwgQXJ0aWNsZSI+MTc8L3JlZi10eXBlPjxjb250cmlidXRv
cnM+PGF1dGhvcnM+PGF1dGhvcj5NaWxpY2ljLCBTLjwvYXV0aG9yPjxhdXRob3I+TGVhdGhlcmRh
bGUsIFMuIFQuPC9hdXRob3I+PC9hdXRob3JzPjwvY29udHJpYnV0b3JzPjxhdXRoLWFkZHJlc3M+
U2Nob29sIG9mIFB1YmxpYyBIZWFsdGggYW5kIEhlYWx0aCBTeXN0ZW1zLCBVbml2ZXJzaXR5IG9m
IFdhdGVybG9vLCBXYXRlcmxvbywgT250YXJpbywgQ2FuYWRhLiBFbGVjdHJvbmljIGFkZHJlc3M6
IHNtaWxpY2ljQHdhdGVybG9vLmNhLiYjeEQ7U2Nob29sIG9mIFB1YmxpYyBIZWFsdGggYW5kIEhl
YWx0aCBTeXN0ZW1zLCBVbml2ZXJzaXR5IG9mIFdhdGVybG9vLCBXYXRlcmxvbywgT250YXJpbywg
Q2FuYWRhLjwvYXV0aC1hZGRyZXNzPjx0aXRsZXM+PHRpdGxlPlRoZSBBc3NvY2lhdGlvbnMgQmV0
d2VlbiBFLUNpZ2FyZXR0ZXMgYW5kIEJpbmdlIERyaW5raW5nLCBNYXJpanVhbmEgVXNlLCBhbmQg
RW5lcmd5IERyaW5rcyBNaXhlZCBXaXRoIEFsY29ob2w8L3RpdGxlPjxzZWNvbmRhcnktdGl0bGU+
SiBBZG9sZXNjIEhlYWx0aDwvc2Vjb25kYXJ5LXRpdGxlPjxhbHQtdGl0bGU+VGhlIEpvdXJuYWwg
b2YgYWRvbGVzY2VudCBoZWFsdGggOiBvZmZpY2lhbCBwdWJsaWNhdGlvbiBvZiB0aGUgU29jaWV0
eSBmb3IgQWRvbGVzY2VudCBNZWRpY2luZTwvYWx0LXRpdGxlPjwvdGl0bGVzPjxwZXJpb2RpY2Fs
PjxmdWxsLXRpdGxlPkogQWRvbGVzYyBIZWFsdGg8L2Z1bGwtdGl0bGU+PGFiYnItMT5UaGUgSm91
cm5hbCBvZiBhZG9sZXNjZW50IGhlYWx0aCA6IG9mZmljaWFsIHB1YmxpY2F0aW9uIG9mIHRoZSBT
b2NpZXR5IGZvciBBZG9sZXNjZW50IE1lZGljaW5lPC9hYmJyLTE+PC9wZXJpb2RpY2FsPjxhbHQt
cGVyaW9kaWNhbD48ZnVsbC10aXRsZT5KIEFkb2xlc2MgSGVhbHRoPC9mdWxsLXRpdGxlPjxhYmJy
LTE+VGhlIEpvdXJuYWwgb2YgYWRvbGVzY2VudCBoZWFsdGggOiBvZmZpY2lhbCBwdWJsaWNhdGlv
biBvZiB0aGUgU29jaWV0eSBmb3IgQWRvbGVzY2VudCBNZWRpY2luZTwvYWJici0xPjwvYWx0LXBl
cmlvZGljYWw+PHBhZ2VzPjMyMC0zMjc8L3BhZ2VzPjx2b2x1bWU+NjA8L3ZvbHVtZT48bnVtYmVy
PjM8L251bWJlcj48ZWRpdGlvbj4yMDE2LzEyLzI2PC9lZGl0aW9uPjxrZXl3b3Jkcz48a2V5d29y
ZD5BZG9sZXNjZW50PC9rZXl3b3JkPjxrZXl3b3JkPipBZG9sZXNjZW50IEJlaGF2aW9yPC9rZXl3
b3JkPjxrZXl3b3JkPkJpbmdlIERyaW5raW5nLyplcGlkZW1pb2xvZ3k8L2tleXdvcmQ+PGtleXdv
cmQ+Q2FuYWRhL2VwaWRlbWlvbG9neTwva2V5d29yZD48a2V5d29yZD5Db21vcmJpZGl0eTwva2V5
d29yZD48a2V5d29yZD5FbGVjdHJvbmljIE5pY290aW5lIERlbGl2ZXJ5IFN5c3RlbXMvKnN0YXRp
c3RpY3MgJmFtcDsgbnVtZXJpY2FsIGRhdGE8L2tleXdvcmQ+PGtleXdvcmQ+RW5lcmd5IERyaW5r
cy8qc3RhdGlzdGljcyAmYW1wOyBudW1lcmljYWwgZGF0YTwva2V5d29yZD48a2V5d29yZD5GZW1h
bGU8L2tleXdvcmQ+PGtleXdvcmQ+SHVtYW5zPC9rZXl3b3JkPjxrZXl3b3JkPk1hbGU8L2tleXdv
cmQ+PGtleXdvcmQ+TWFyaWp1YW5hIFVzZS8qZXBpZGVtaW9sb2d5PC9rZXl3b3JkPjxrZXl3b3Jk
PlNleCBGYWN0b3JzPC9rZXl3b3JkPjxrZXl3b3JkPlVuZGVyYWdlIERyaW5raW5nL3BzeWNob2xv
Z3kvKnN0YXRpc3RpY3MgJmFtcDsgbnVtZXJpY2FsIGRhdGE8L2tleXdvcmQ+PGtleXdvcmQ+Qmlu
Z2UgZHJpbmtpbmc8L2tleXdvcmQ+PGtleXdvcmQ+RS1jaWdhcmV0dGVzPC9rZXl3b3JkPjxrZXl3
b3JkPkVuZXJneSBkcmlua3M8L2tleXdvcmQ+PGtleXdvcmQ+TWFyaWp1YW5hIHVzZTwva2V5d29y
ZD48a2V5d29yZD5SaXNreSBiZWhhdmlvcnM8L2tleXdvcmQ+PGtleXdvcmQ+VG9iYWNjbyB1c2U8
L2tleXdvcmQ+PGtleXdvcmQ+WW91dGg8L2tleXdvcmQ+PC9rZXl3b3Jkcz48ZGF0ZXM+PHllYXI+
MjAxNzwveWVhcj48cHViLWRhdGVzPjxkYXRlPk1hcjwvZGF0ZT48L3B1Yi1kYXRlcz48L2RhdGVz
Pjxpc2JuPjEwNTQtMTM5eDwvaXNibj48YWNjZXNzaW9uLW51bT4yODAxMjgzNDwvYWNjZXNzaW9u
LW51bT48dXJscz48cmVsYXRlZC11cmxzPjx1cmw+aHR0cDovL3d3dy5qYWhvbmxpbmUub3JnL2Fy
dGljbGUvUzEwNTQtMTM5WCgxNikzMDQwNy00L3BkZjwvdXJsPjwvcmVsYXRlZC11cmxzPjwvdXJs
cz48ZWxlY3Ryb25pYy1yZXNvdXJjZS1udW0+MTAuMTAxNi9qLmphZG9oZWFsdGguMjAxNi4xMC4w
MTE8L2VsZWN0cm9uaWMtcmVzb3VyY2UtbnVtPjxyZW1vdGUtZGF0YWJhc2UtcHJvdmlkZXI+TkxN
PC9yZW1vdGUtZGF0YWJhc2UtcHJvdmlkZXI+PGxhbmd1YWdlPmVuZzwvbGFuZ3VhZ2U+PC9yZWNv
cmQ+PC9DaXRlPjxDaXRlPjxBdXRob3I+UGFyaWtoPC9BdXRob3I+PFllYXI+MjAxODwvWWVhcj48
UmVjTnVtPjQ1NzE8L1JlY051bT48cmVjb3JkPjxyZWMtbnVtYmVyPjQ1NzE8L3JlYy1udW1iZXI+
PGZvcmVpZ24ta2V5cz48a2V5IGFwcD0iRU4iIGRiLWlkPSI5ejA1ZHowcHJhYWRmdWVlMHpveHpl
ZGs5emZlNWZ4eDUwejUiIHRpbWVzdGFtcD0iMTUyMzkyMDE5NCI+NDU3MTwva2V5PjxrZXkgYXBw
PSJFTldlYiIgZGItaWQ9IiI+MDwva2V5PjwvZm9yZWlnbi1rZXlzPjxyZWYtdHlwZSBuYW1lPSJK
b3VybmFsIEFydGljbGUiPjE3PC9yZWYtdHlwZT48Y29udHJpYnV0b3JzPjxhdXRob3JzPjxhdXRo
b3I+UGFyaWtoLCBBLiBTLjwvYXV0aG9yPjxhdXRob3I+QmhhdHRhY2hhcnl5YSwgTi48L2F1dGhv
cj48L2F1dGhvcnM+PC9jb250cmlidXRvcnM+PGF1dGgtYWRkcmVzcz5EZXBhcnRtZW50IG9mIE90
b2xhcnluZ29sb2d5LCBNYXNzYWNodXNldHRzIEV5ZSBhbmQgRWFyIEluZmlybWFyeSwgQm9zdG9u
LCBNYXNzYWNodXNldHRzLCBVLlMuQS4mI3hEO0RlcGFydG1lbnQgb2YgT3RvbG9neSBhbmQgTGFy
eW5nb2xvZ3ksIEhhcnZhcmQgTWVkaWNhbCBTY2hvb2wsIEJvc3RvbiwgTWFzc2FjaHVzZXR0cywg
VS5TLkEuJiN4RDtEaXZpc2lvbiBvZiBPdG9sYXJ5bmdvbG9neSwgQnJpZ2hhbSBhbmQgV29tZW4m
YXBvcztzIEhvc3BpdGFsLCBCb3N0b24sIE1hc3NhY2h1c2V0dHMsIFUuUy5BLjwvYXV0aC1hZGRy
ZXNzPjx0aXRsZXM+PHRpdGxlPlBhdHRlcm5zIG9mIGNvbmN1cnJlbnQgY2lnYXJldHRlLCBhbGNv
aG9sLCBhbmQgZS1jaWdhcmV0dGUgdXNlOiBPZmYtc2V0dGluZyBvciBhZGRpdGl2ZSBiZWhhdmlv
cnM/PC90aXRsZT48c2Vjb25kYXJ5LXRpdGxlPkxhcnluZ29zY29wZTwvc2Vjb25kYXJ5LXRpdGxl
PjxhbHQtdGl0bGU+VGhlIExhcnluZ29zY29wZTwvYWx0LXRpdGxlPjwvdGl0bGVzPjxwZXJpb2Rp
Y2FsPjxmdWxsLXRpdGxlPkxhcnluZ29zY29wZTwvZnVsbC10aXRsZT48YWJici0xPlRoZSBMYXJ5
bmdvc2NvcGU8L2FiYnItMT48L3BlcmlvZGljYWw+PGFsdC1wZXJpb2RpY2FsPjxmdWxsLXRpdGxl
PkxhcnluZ29zY29wZTwvZnVsbC10aXRsZT48YWJici0xPlRoZSBMYXJ5bmdvc2NvcGU8L2FiYnIt
MT48L2FsdC1wZXJpb2RpY2FsPjxlZGl0aW9uPjIwMTgvMDIvMjc8L2VkaXRpb24+PGtleXdvcmRz
PjxrZXl3b3JkPkNpZ2FyZXR0ZXM8L2tleXdvcmQ+PGtleXdvcmQ+YWxjb2hvbDwva2V5d29yZD48
a2V5d29yZD5lLWNpZ2FyZXR0ZXM8L2tleXdvcmQ+PC9rZXl3b3Jkcz48ZGF0ZXM+PHllYXI+MjAx
ODwveWVhcj48cHViLWRhdGVzPjxkYXRlPkZlYiAyNjwvZGF0ZT48L3B1Yi1kYXRlcz48L2RhdGVz
Pjxpc2JuPjAwMjMtODUyeDwvaXNibj48YWNjZXNzaW9uLW51bT4yOTQ4MTcwMTwvYWNjZXNzaW9u
LW51bT48dXJscz48cmVsYXRlZC11cmxzPjx1cmw+aHR0cHM6Ly9vbmxpbmVsaWJyYXJ5LndpbGV5
LmNvbS9kb2kvcGRmLzEwLjEwMDIvbGFyeS4yNzEzMzwvdXJsPjwvcmVsYXRlZC11cmxzPjwvdXJs
cz48ZWxlY3Ryb25pYy1yZXNvdXJjZS1udW0+MTAuMTAwMi9sYXJ5LjI3MTMzPC9lbGVjdHJvbmlj
LXJlc291cmNlLW51bT48cmVtb3RlLWRhdGFiYXNlLXByb3ZpZGVyPk5MTTwvcmVtb3RlLWRhdGFi
YXNlLXByb3ZpZGVyPjxsYW5ndWFnZT5lbmc8L2xhbmd1YWdlPjwvcmVjb3JkPjwvQ2l0ZT48Q2l0
ZT48QXV0aG9yPlBhcms8L0F1dGhvcj48WWVhcj4yMDE3PC9ZZWFyPjxSZWNOdW0+NTM5MTwvUmVj
TnVtPjxyZWNvcmQ+PHJlYy1udW1iZXI+NTM5MTwvcmVjLW51bWJlcj48Zm9yZWlnbi1rZXlzPjxr
ZXkgYXBwPSJFTiIgZGItaWQ9Ijl6MDVkejBwcmFhZGZ1ZWUwem94emVkazl6ZmU1Znh4NTB6NSIg
dGltZXN0YW1wPSIxNTIzOTIwOTUzIj41MzkxPC9rZXk+PGtleSBhcHA9IkVOV2ViIiBkYi1pZD0i
Ij4wPC9rZXk+PC9mb3JlaWduLWtleXM+PHJlZi10eXBlIG5hbWU9IkpvdXJuYWwgQXJ0aWNsZSI+
MTc8L3JlZi10eXBlPjxjb250cmlidXRvcnM+PGF1dGhvcnM+PGF1dGhvcj5QYXJrLCBTLjwvYXV0
aG9yPjxhdXRob3I+TGVlLCBILjwvYXV0aG9yPjxhdXRob3I+TWluLCBTLjwvYXV0aG9yPjwvYXV0
aG9ycz48L2NvbnRyaWJ1dG9ycz48YXV0aC1hZGRyZXNzPkNvbGxlZ2Ugb2YgTnVyc2luZyBTY2ll
bmNlLCBFYXN0LVdlc3QgTnVyc2luZyBSZXNlYXJjaCBJbnN0aXR1dGUsIEt5dW5nIEhlZSBVbml2
ZXJzaXR5LCAyNiBLeXVuZ2hlZS1kYWVybywgRG9uZ2RhZW11bi1ndSwgU2VvdWwgMDI0NDcsIFJl
cHVibGljIG9mIEtvcmVhLiBFbGVjdHJvbmljIGFkZHJlc3M6IHNwYXJrQGtodS5hYy5rci4mI3hE
O0RlcGFydG1lbnQgb2YgTnVyc2luZywgR3JhZHVhdGUgU2Nob29sLCBLeXVuZyBIZWUgVW5pdmVy
c2l0eSwgMjYgS3l1bmdoZWUtZGFlcm8sIERvbmdkYWVtdW4tZ3UsIFNlb3VsIDAyNDQ3LCBSZXB1
YmxpYyBvZiBLb3JlYS4gRWxlY3Ryb25pYyBhZGRyZXNzOiByZWFydGUxN0BraHUuYWMua3IuJiN4
RDtEZXBhcnRtZW50IG9mIE51cnNpbmcsIEdyYWR1YXRlIFNjaG9vbCwgS3l1bmcgSGVlIFVuaXZl
cnNpdHksIDI2IEt5dW5naGVlLWRhZXJvLCBEb25nZGFlbXVuLWd1LCBTZW91bCAwMjQ0NywgUmVw
dWJsaWMgb2YgS29yZWEuIEVsZWN0cm9uaWMgYWRkcmVzczogZXN0aGVyX21pbkBraHUuYWMua3Iu
PC9hdXRoLWFkZHJlc3M+PHRpdGxlcz48dGl0bGU+RmFjdG9ycyBhc3NvY2lhdGVkIHdpdGggZWxl
Y3Ryb25pYyBjaWdhcmV0dGUgdXNlIGFtb25nIGN1cnJlbnQgY2lnYXJldHRlLXNtb2tpbmcgYWRv
bGVzY2VudHMgaW4gdGhlIFJlcHVibGljIG9mIEtvcmVhPC90aXRsZT48c2Vjb25kYXJ5LXRpdGxl
PkFkZGljdCBCZWhhdjwvc2Vjb25kYXJ5LXRpdGxlPjxhbHQtdGl0bGU+QWRkaWN0aXZlIGJlaGF2
aW9yczwvYWx0LXRpdGxlPjwvdGl0bGVzPjxhbHQtcGVyaW9kaWNhbD48ZnVsbC10aXRsZT5BZGRp
Y3RpdmUgQmVoYXZpb3JzPC9mdWxsLXRpdGxlPjwvYWx0LXBlcmlvZGljYWw+PHBhZ2VzPjIyLTI2
PC9wYWdlcz48dm9sdW1lPjY5PC92b2x1bWU+PGVkaXRpb24+MjAxNy8wMS8yMzwvZWRpdGlvbj48
a2V5d29yZHM+PGtleXdvcmQ+QWRvbGVzY2VudDwva2V5d29yZD48a2V5d29yZD5BZG9sZXNjZW50
IEJlaGF2aW9yLypwc3ljaG9sb2d5PC9rZXl3b3JkPjxrZXl3b3JkPkNpZ2FyZXR0ZSBTbW9raW5n
LyplcGlkZW1pb2xvZ3k8L2tleXdvcmQ+PGtleXdvcmQ+Q3Jvc3MtU2VjdGlvbmFsIFN0dWRpZXM8
L2tleXdvcmQ+PGtleXdvcmQ+RWxlY3Ryb25pYyBOaWNvdGluZSBEZWxpdmVyeSBTeXN0ZW1zLypz
dGF0aXN0aWNzICZhbXA7IG51bWVyaWNhbCBkYXRhPC9rZXl3b3JkPjxrZXl3b3JkPkZlbWFsZTwv
a2V5d29yZD48a2V5d29yZD5GcmllbmRzL3BzeWNob2xvZ3k8L2tleXdvcmQ+PGtleXdvcmQ+SHVt
YW5zPC9rZXl3b3JkPjxrZXl3b3JkPk1hbGU8L2tleXdvcmQ+PGtleXdvcmQ+UmVwdWJsaWMgb2Yg
S29yZWEvZXBpZGVtaW9sb2d5PC9rZXl3b3JkPjxrZXl3b3JkPlNleCBEaXN0cmlidXRpb248L2tl
eXdvcmQ+PGtleXdvcmQ+QWRvbGVzY2VuY2U8L2tleXdvcmQ+PGtleXdvcmQ+Q2lnYXJldHRlPC9r
ZXl3b3JkPjxrZXl3b3JkPkR1YWwgdXNlPC9rZXl3b3JkPjxrZXl3b3JkPkVsZWN0cm9uaWMgY2ln
YXJldHRlPC9rZXl3b3JkPjxrZXl3b3JkPlNtb2tpbmc8L2tleXdvcmQ+PC9rZXl3b3Jkcz48ZGF0
ZXM+PHllYXI+MjAxNzwveWVhcj48cHViLWRhdGVzPjxkYXRlPkp1bjwvZGF0ZT48L3B1Yi1kYXRl
cz48L2RhdGVzPjxpc2JuPjAzMDYtNDYwMzwvaXNibj48YWNjZXNzaW9uLW51bT4yODExMDE1NDwv
YWNjZXNzaW9uLW51bT48dXJscz48cmVsYXRlZC11cmxzPjx1cmw+aHR0cHM6Ly93d3cuc2NpZW5j
ZWRpcmVjdC5jb20vc2NpZW5jZS9hcnRpY2xlL3BpaS9TMDMwNjQ2MDMxNzMwMDAyMz92aWElM0Rp
aHViPC91cmw+PC9yZWxhdGVkLXVybHM+PC91cmxzPjxlbGVjdHJvbmljLXJlc291cmNlLW51bT4x
MC4xMDE2L2ouYWRkYmVoLjIwMTcuMDEuMDAyPC9lbGVjdHJvbmljLXJlc291cmNlLW51bT48cmVt
b3RlLWRhdGFiYXNlLXByb3ZpZGVyPk5MTTwvcmVtb3RlLWRhdGFiYXNlLXByb3ZpZGVyPjxsYW5n
dWFnZT5lbmc8L2xhbmd1YWdlPjwvcmVjb3JkPjwvQ2l0ZT48Q2l0ZT48QXV0aG9yPlJhbWppPC9B
dXRob3I+PFllYXI+MjAxNzwvWWVhcj48UmVjTnVtPjQ3NTA8L1JlY051bT48cmVjb3JkPjxyZWMt
bnVtYmVyPjQ3NTA8L3JlYy1udW1iZXI+PGZvcmVpZ24ta2V5cz48a2V5IGFwcD0iRU4iIGRiLWlk
PSI5ejA1ZHowcHJhYWRmdWVlMHpveHplZGs5emZlNWZ4eDUwejUiIHRpbWVzdGFtcD0iMTUyMzky
MDQyNiI+NDc1MDwva2V5PjxrZXkgYXBwPSJFTldlYiIgZGItaWQ9IiI+MDwva2V5PjwvZm9yZWln
bi1rZXlzPjxyZWYtdHlwZSBuYW1lPSJKb3VybmFsIEFydGljbGUiPjE3PC9yZWYtdHlwZT48Y29u
dHJpYnV0b3JzPjxhdXRob3JzPjxhdXRob3I+UmFtamksIFIuPC9hdXRob3I+PGF1dGhvcj5Bcm5l
dHosIEIuIEIuPC9hdXRob3I+PGF1dGhvcj5OaWxzc29uLCBNLjwvYXV0aG9yPjxhdXRob3I+V2lr
bHVuZCwgWS48L2F1dGhvcj48YXV0aG9yPkphbWlsLCBILjwvYXV0aG9yPjxhdXRob3I+TWF6aWFr
LCBXLjwvYXV0aG9yPjxhdXRob3I+QXJuZXR6LCBKLjwvYXV0aG9yPjwvYXV0aG9ycz48L2NvbnRy
aWJ1dG9ycz48YXV0aC1hZGRyZXNzPjEgRGVwYXJ0bWVudCBvZiBQdWJsaWMgSGVhbHRoIGFuZCBD
YXJpbmcgU2NpZW5jZXMsIFVwcHNhbGEgVW5pdmVyc2l0eSwgU3dlZGVuLiYjeEQ7MiBEZXBhcnRt
ZW50IG9mIFB1YmxpYyBIZWFsdGggYW5kIENsaW5pY2FsIE1lZGljaW5lLCBVbml0IG9mIEVwaWRl
bWlvbG9neSBhbmQgR2xvYmFsIEhlYWx0aCwgVW1lYSBVbml2ZXJzaXR5LCBTd2VkZW4uJiN4RDsz
IERlcGFydG1lbnQgb2YgRmFtaWx5IE1lZGljaW5lLCBDb2xsZWdlIG9mIEh1bWFuIE1lZGljaW5l
LCBNaWNoaWdhbiBTdGF0ZSBVbml2ZXJzaXR5LCBVU0EuJiN4RDs0IFZhc3RlcmJvdHRlbiBDb3Vu
dHkgQ291bmNpbCwgU3dlZGVuLiYjeEQ7NSBSb2JlcnQgU3RlbXBlbCBDb2xsZWdlIG9mIFB1Ymxp
YyBIZWFsdGggYW5kIFNvY2lhbCBXb3JrLCBGbG9yaWRhIEludGVybmF0aW9uYWwgVW5pdmVyc2l0
eSwgVVNBLjwvYXV0aC1hZGRyZXNzPjx0aXRsZXM+PHRpdGxlPldhdGVycGlwZSB1c2UgaW4gYWRv
bGVzY2VudHMgaW4gTm9ydGhlcm4gU3dlZGVuOiBBc3NvY2lhdGlvbiB3aXRoIG1lbnRhbCB3ZWxs
LWJlaW5nIGFuZCByaXNrIGFuZCBoZWFsdGggYmVoYXZpb3VyczwvdGl0bGU+PHNlY29uZGFyeS10
aXRsZT5TY2FuZCBKIFB1YmxpYyBIZWFsdGg8L3NlY29uZGFyeS10aXRsZT48YWx0LXRpdGxlPlNj
YW5kaW5hdmlhbiBqb3VybmFsIG9mIHB1YmxpYyBoZWFsdGg8L2FsdC10aXRsZT48L3RpdGxlcz48
YWx0LXBlcmlvZGljYWw+PGZ1bGwtdGl0bGU+U2NhbmRpbmF2aWFuIEpvdXJuYWwgb2YgUHVibGlj
IEhlYWx0aDwvZnVsbC10aXRsZT48L2FsdC1wZXJpb2RpY2FsPjxwYWdlcz4xNDAzNDk0ODE3NzQ2
NTM0PC9wYWdlcz48ZWRpdGlvbj4yMDE3LzEyLzEyPC9lZGl0aW9uPjxrZXl3b3Jkcz48a2V5d29y
ZD5Ib29rYWgvc2hpc2hhPC9rZXl3b3JkPjxrZXl3b3JkPmUtY2lnYXJldHRlPC9rZXl3b3JkPjxr
ZXl3b3JkPmhpZ2gtc2Nob29sIHN0dWRlbnRzPC9rZXl3b3JkPjxrZXl3b3JkPnJpc2sgYmVoYXZp
b3VyPC9rZXl3b3JkPjxrZXl3b3JkPnNudXM8L2tleXdvcmQ+PC9rZXl3b3Jkcz48ZGF0ZXM+PHll
YXI+MjAxNzwveWVhcj48cHViLWRhdGVzPjxkYXRlPkRlYyAxPC9kYXRlPjwvcHViLWRhdGVzPjwv
ZGF0ZXM+PGlzYm4+MTQwMy00OTQ4PC9pc2JuPjxhY2Nlc3Npb24tbnVtPjI5MjI2ODAwPC9hY2Nl
c3Npb24tbnVtPjx1cmxzPjxyZWxhdGVkLXVybHM+PHVybD5odHRwOi8vam91cm5hbHMuc2FnZXB1
Yi5jb20vZG9pL3BkZi8xMC4xMTc3LzE0MDM0OTQ4MTc3NDY1MzQ8L3VybD48L3JlbGF0ZWQtdXJs
cz48L3VybHM+PGVsZWN0cm9uaWMtcmVzb3VyY2UtbnVtPjEwLjExNzcvMTQwMzQ5NDgxNzc0NjUz
NDwvZWxlY3Ryb25pYy1yZXNvdXJjZS1udW0+PHJlbW90ZS1kYXRhYmFzZS1wcm92aWRlcj5OTE08
L3JlbW90ZS1kYXRhYmFzZS1wcm92aWRlcj48bGFuZ3VhZ2U+ZW5nPC9sYW5ndWFnZT48L3JlY29y
ZD48L0NpdGU+PENpdGU+PEF1dGhvcj5UZW1wbGU8L0F1dGhvcj48WWVhcj4yMDE3PC9ZZWFyPjxS
ZWNOdW0+NTI2MDwvUmVjTnVtPjxyZWNvcmQ+PHJlYy1udW1iZXI+NTI2MDwvcmVjLW51bWJlcj48
Zm9yZWlnbi1rZXlzPjxrZXkgYXBwPSJFTiIgZGItaWQ9Ijl6MDVkejBwcmFhZGZ1ZWUwem94emVk
azl6ZmU1Znh4NTB6NSIgdGltZXN0YW1wPSIxNTIzOTIwOTM5Ij41MjYwPC9rZXk+PGtleSBhcHA9
IkVOV2ViIiBkYi1pZD0iIj4wPC9rZXk+PC9mb3JlaWduLWtleXM+PHJlZi10eXBlIG5hbWU9Ikpv
dXJuYWwgQXJ0aWNsZSI+MTc8L3JlZi10eXBlPjxjb250cmlidXRvcnM+PGF1dGhvcnM+PGF1dGhv
cj5UZW1wbGUsIEouIFIuPC9hdXRob3I+PGF1dGhvcj5TaG9yZXksIFIuIEMuPC9hdXRob3I+PGF1
dGhvcj5MdSwgWS48L2F1dGhvcj48YXV0aG9yPlRvcnJlcywgRS48L2F1dGhvcj48YXV0aG9yPlN0
dWFydCwgRy4gTC48L2F1dGhvcj48YXV0aG9yPkxlLCBWLiBELjwvYXV0aG9yPjwvYXV0aG9ycz48
L2NvbnRyaWJ1dG9ycz48YXV0aC1hZGRyZXNzPkRlcGFydG1lbnQgb2YgT2IvR3luLCBVbml2ZXJz
aXR5IG9mIFRleGFzIE1lZGljYWwgQnJhbmNoLCBHYWx2ZXN0b24sIFRleGFzLiYjeEQ7RGVwYXJ0
bWVudCBvZiBQc3ljaG9sb2d5LCBPaGlvIFVuaXZlcnNpdHksIEF0aGVucywgT2hpby4mI3hEO0Rl
cGFydG1lbnQgb2YgUHN5Y2hvbG9neSwgVW5pdmVyc2l0eSBvZiBUZW5uZXNzZWUsIEtub3h2aWxs
ZSwgVGVubmVzc2VlLjwvYXV0aC1hZGRyZXNzPjx0aXRsZXM+PHRpdGxlPkUtY2lnYXJldHRlIHVz
ZSBvZiB5b3VuZyBhZHVsdHMgbW90aXZhdGlvbnMgYW5kIGFzc29jaWF0aW9ucyB3aXRoIGNvbWJ1
c3RpYmxlIGNpZ2FyZXR0ZSBhbGNvaG9sLCBtYXJpanVhbmEsIGFuZCBvdGhlciBpbGxpY2l0IGRy
dWdzPC90aXRsZT48c2Vjb25kYXJ5LXRpdGxlPkFtIEogQWRkaWN0PC9zZWNvbmRhcnktdGl0bGU+
PGFsdC10aXRsZT5UaGUgQW1lcmljYW4gam91cm5hbCBvbiBhZGRpY3Rpb25zPC9hbHQtdGl0bGU+
PC90aXRsZXM+PHBlcmlvZGljYWw+PGZ1bGwtdGl0bGU+QW0gSiBBZGRpY3Q8L2Z1bGwtdGl0bGU+
PGFiYnItMT5UaGUgQW1lcmljYW4gam91cm5hbCBvbiBhZGRpY3Rpb25zPC9hYmJyLTE+PC9wZXJp
b2RpY2FsPjxhbHQtcGVyaW9kaWNhbD48ZnVsbC10aXRsZT5BbSBKIEFkZGljdDwvZnVsbC10aXRs
ZT48YWJici0xPlRoZSBBbWVyaWNhbiBqb3VybmFsIG9uIGFkZGljdGlvbnM8L2FiYnItMT48L2Fs
dC1wZXJpb2RpY2FsPjxwYWdlcz4zNDMtMzQ4PC9wYWdlcz48dm9sdW1lPjI2PC92b2x1bWU+PG51
bWJlcj40PC9udW1iZXI+PGVkaXRpb24+MjAxNy8wNC8wNDwvZWRpdGlvbj48a2V5d29yZHM+PGtl
eXdvcmQ+QWRvbGVzY2VudDwva2V5d29yZD48a2V5d29yZD5FbGVjdHJvbmljIE5pY290aW5lIERl
bGl2ZXJ5IFN5c3RlbXMvKnN0YXRpc3RpY3MgJmFtcDsgbnVtZXJpY2FsIGRhdGE8L2tleXdvcmQ+
PGtleXdvcmQ+RXRobmljIEdyb3Vwcy8qcHN5Y2hvbG9neTwva2V5d29yZD48a2V5d29yZD5GZW1h
bGU8L2tleXdvcmQ+PGtleXdvcmQ+SHVtYW5zPC9rZXl3b3JkPjxrZXl3b3JkPkxvbmdpdHVkaW5h
bCBTdHVkaWVzPC9rZXl3b3JkPjxrZXl3b3JkPk1hbGU8L2tleXdvcmQ+PGtleXdvcmQ+Kk1vdGl2
YXRpb248L2tleXdvcmQ+PGtleXdvcmQ+UHJldmFsZW5jZTwva2V5d29yZD48a2V5d29yZD5SaXNr
LVRha2luZzwva2V5d29yZD48a2V5d29yZD5TbW9raW5nLyplcGlkZW1pb2xvZ3k8L2tleXdvcmQ+
PGtleXdvcmQ+U3Vic3RhbmNlLVJlbGF0ZWQgRGlzb3JkZXJzLyplcGlkZW1pb2xvZ3k8L2tleXdv
cmQ+PGtleXdvcmQ+VGV4YXMvZXBpZGVtaW9sb2d5PC9rZXl3b3JkPjxrZXl3b3JkPllvdW5nIEFk
dWx0PC9rZXl3b3JkPjwva2V5d29yZHM+PGRhdGVzPjx5ZWFyPjIwMTc8L3llYXI+PHB1Yi1kYXRl
cz48ZGF0ZT5KdW48L2RhdGU+PC9wdWItZGF0ZXM+PC9kYXRlcz48aXNibj4xMDU1LTA0OTY8L2lz
Ym4+PGFjY2Vzc2lvbi1udW0+MjgzNzA3MTc8L2FjY2Vzc2lvbi1udW0+PHVybHM+PHJlbGF0ZWQt
dXJscz48dXJsPmh0dHBzOi8vb25saW5lbGlicmFyeS53aWxleS5jb20vZG9pL3BkZi8xMC4xMTEx
L2FqYWQuMTI1MzA8L3VybD48L3JlbGF0ZWQtdXJscz48L3VybHM+PGN1c3RvbTI+UE1DNTQyNjk2
NjwvY3VzdG9tMj48Y3VzdG9tNj5OSUhNUzg1Mzk1NzwvY3VzdG9tNj48ZWxlY3Ryb25pYy1yZXNv
dXJjZS1udW0+MTAuMTExMS9hamFkLjEyNTMwPC9lbGVjdHJvbmljLXJlc291cmNlLW51bT48cmVt
b3RlLWRhdGFiYXNlLXByb3ZpZGVyPk5MTTwvcmVtb3RlLWRhdGFiYXNlLXByb3ZpZGVyPjxsYW5n
dWFnZT5lbmc8L2xhbmd1YWdlPjwvcmVjb3JkPjwvQ2l0ZT48Q2l0ZT48QXV0aG9yPkZhcnNhbGlu
b3M8L0F1dGhvcj48WWVhcj4yMDE4PC9ZZWFyPjxSZWNOdW0+MTA0NTc8L1JlY051bT48cmVjb3Jk
PjxyZWMtbnVtYmVyPjEwNDU3PC9yZWMtbnVtYmVyPjxmb3JlaWduLWtleXM+PGtleSBhcHA9IkVO
IiBkYi1pZD0iOXowNWR6MHByYWFkZnVlZTB6b3h6ZWRrOXpmZTVmeHg1MHo1IiB0aW1lc3RhbXA9
IjE1MjY4Njk4NzgiPjEwNDU3PC9rZXk+PGtleSBhcHA9IkVOV2ViIiBkYi1pZD0iIj4wPC9rZXk+
PC9mb3JlaWduLWtleXM+PHJlZi10eXBlIG5hbWU9IkpvdXJuYWwgQXJ0aWNsZSI+MTc8L3JlZi10
eXBlPjxjb250cmlidXRvcnM+PGF1dGhvcnM+PGF1dGhvcj5GYXJzYWxpbm9zLCBLb25zdGFudGlu
b3MgRS48L2F1dGhvcj48YXV0aG9yPlNpYWthcywgR2Vvcmdpb3M8L2F1dGhvcj48YXV0aG9yPlBv
dWxhcywgS29uc3RhbnRpbm9zPC9hdXRob3I+PGF1dGhvcj5Wb3VkcmlzLCBWYXNzaWxpczwvYXV0
aG9yPjxhdXRob3I+TWVyYWtvdSwgS3lyaWFrb3VsYTwvYXV0aG9yPjxhdXRob3I+QmFyYm91bmks
IEFuYXN0YXNpYTwvYXV0aG9yPjwvYXV0aG9ycz48L2NvbnRyaWJ1dG9ycz48dGl0bGVzPjx0aXRs
ZT5FbGVjdHJvbmljIGNpZ2FyZXR0ZSB1c2UgaW4gR3JlZWNlOiBhbiBhbmFseXNpcyBvZiBhIHJl
cHJlc2VudGF0aXZlIHBvcHVsYXRpb24gc2FtcGxlIGluIEF0dGljYSBwcmVmZWN0dXJlPC90aXRs
ZT48c2Vjb25kYXJ5LXRpdGxlPkhhcm0gUmVkdWN0aW9uIEpvdXJuYWw8L3NlY29uZGFyeS10aXRs
ZT48L3RpdGxlcz48cGVyaW9kaWNhbD48ZnVsbC10aXRsZT5IYXJtIFJlZHVjdGlvbiBKb3VybmFs
PC9mdWxsLXRpdGxlPjwvcGVyaW9kaWNhbD48dm9sdW1lPjE1PC92b2x1bWU+PGRhdGVzPjx5ZWFy
PjIwMTg8L3llYXI+PHB1Yi1kYXRlcz48ZGF0ZT5BcHIgMTM8L2RhdGU+PC9wdWItZGF0ZXM+PC9k
YXRlcz48aXNibj4xNDc3LTc1MTc8L2lzYm4+PGFjY2Vzc2lvbi1udW0+V09TOjAwMDQzMTA1MTYw
MDAwMTwvYWNjZXNzaW9uLW51bT48dXJscz48cmVsYXRlZC11cmxzPjx1cmw+Jmx0O0dvIHRvIElT
SSZndDs6Ly9XT1M6MDAwNDMxMDUxNjAwMDAxPC91cmw+PHVybD5odHRwczovL2hhcm1yZWR1Y3Rp
b25qb3VybmFsLmJpb21lZGNlbnRyYWwuY29tL3RyYWNrL3BkZi8xMC4xMTg2L3MxMjk1NC0wMTgt
MDIyOS03PC91cmw+PC9yZWxhdGVkLXVybHM+PC91cmxzPjxjdXN0b203PjIwPC9jdXN0b203Pjxl
bGVjdHJvbmljLXJlc291cmNlLW51bT4xMC4xMTg2L3MxMjk1NC0wMTgtMDIyOS03PC9lbGVjdHJv
bmljLXJlc291cmNlLW51bT48L3JlY29yZD48L0NpdGU+PENpdGU+PEF1dGhvcj5QZXBwZXI8L0F1
dGhvcj48WWVhcj4yMDE4PC9ZZWFyPjxSZWNOdW0+MTAzMzc8L1JlY051bT48cmVjb3JkPjxyZWMt
bnVtYmVyPjEwMzM3PC9yZWMtbnVtYmVyPjxmb3JlaWduLWtleXM+PGtleSBhcHA9IkVOIiBkYi1p
ZD0iOXowNWR6MHByYWFkZnVlZTB6b3h6ZWRrOXpmZTVmeHg1MHo1IiB0aW1lc3RhbXA9IjE1MjY4
Njk4NzgiPjEwMzM3PC9rZXk+PGtleSBhcHA9IkVOV2ViIiBkYi1pZD0iIj4wPC9rZXk+PC9mb3Jl
aWduLWtleXM+PHJlZi10eXBlIG5hbWU9IkpvdXJuYWwgQXJ0aWNsZSI+MTc8L3JlZi10eXBlPjxj
b250cmlidXRvcnM+PGF1dGhvcnM+PGF1dGhvcj5QZXBwZXIsIEplc3NpY2EgSy48L2F1dGhvcj48
YXV0aG9yPkZhcnJlbGx5LCBNYXR0aGV3IEMuPC9hdXRob3I+PGF1dGhvcj5XYXRzb24sIEtpbWJl
cmx5IEEuPC9hdXRob3I+PC9hdXRob3JzPjwvY29udHJpYnV0b3JzPjx0aXRsZXM+PHRpdGxlPkFk
b2xlc2NlbnRzJmFwb3M7IHVuZGVyc3RhbmRpbmcgYW5kIHVzZSBvZiBuaWNvdGluZSBpbiBlLWNp
Z2FyZXR0ZXM8L3RpdGxlPjxzZWNvbmRhcnktdGl0bGU+QWRkaWN0aXZlIEJlaGF2aW9yczwvc2Vj
b25kYXJ5LXRpdGxlPjwvdGl0bGVzPjxwZXJpb2RpY2FsPjxmdWxsLXRpdGxlPkFkZGljdGl2ZSBC
ZWhhdmlvcnM8L2Z1bGwtdGl0bGU+PC9wZXJpb2RpY2FsPjxwYWdlcz4xMDktMTEzPC9wYWdlcz48
dm9sdW1lPjgyPC92b2x1bWU+PGRhdGVzPjx5ZWFyPjIwMTg8L3llYXI+PHB1Yi1kYXRlcz48ZGF0
ZT5KdWw8L2RhdGU+PC9wdWItZGF0ZXM+PC9kYXRlcz48aXNibj4wMzA2LTQ2MDM8L2lzYm4+PGFj
Y2Vzc2lvbi1udW0+V09TOjAwMDQzMDUyMjgwMDAxODwvYWNjZXNzaW9uLW51bT48dXJscz48cmVs
YXRlZC11cmxzPjx1cmw+Jmx0O0dvIHRvIElTSSZndDs6Ly9XT1M6MDAwNDMwNTIyODAwMDE4PC91
cmw+PHVybD5odHRwczovL3d3dy5zY2llbmNlZGlyZWN0LmNvbS9zY2llbmNlL2FydGljbGUvcGlp
L1MwMzA2NDYwMzE4MzAwODA3P3ZpYSUzRGlodWI8L3VybD48L3JlbGF0ZWQtdXJscz48L3VybHM+
PGVsZWN0cm9uaWMtcmVzb3VyY2UtbnVtPjEwLjEwMTYvai5hZGRiZWguMjAxOC4wMi4wMTU8L2Vs
ZWN0cm9uaWMtcmVzb3VyY2UtbnVtPjwvcmVjb3JkPjwvQ2l0ZT48L0VuZE5vdGU+
</w:fldData>
        </w:fldChar>
      </w:r>
      <w:r w:rsidR="004E728C">
        <w:instrText xml:space="preserve"> ADDIN EN.CITE.DATA </w:instrText>
      </w:r>
      <w:r w:rsidR="004E728C">
        <w:fldChar w:fldCharType="end"/>
      </w:r>
      <w:r>
        <w:fldChar w:fldCharType="separate"/>
      </w:r>
      <w:r>
        <w:rPr>
          <w:noProof/>
        </w:rPr>
        <w:t>(Choi, Grana et al. 2017, de Lacy, Fletcher et al. 2017, Hammond, Reid et al. 2017, Hines, Fiala et al. 2017, Kinouani, Pereira et al. 2017, Lanza, Russell et al. 2017, Milicic and Leatherdale 2017, Park, Lee et al. 2017, Ramji, Arnetz et al. 2017, Temple, Shorey et al. 2017, Farsalinos, Siakas et al. 2018, Lanza and Teeter 2018, Parikh and Bhattacharyya 2018, Pepper, Farrelly et al. 2018)</w:t>
      </w:r>
      <w:r>
        <w:fldChar w:fldCharType="end"/>
      </w:r>
      <w:r>
        <w:t xml:space="preserve">. However, most of these studies have not adjusted for key confounders of this relationship that were adjusted for in the cohort studies. For example, sensation seeking personality, stress or anxiety, and having friends or family who smoke. </w:t>
      </w:r>
    </w:p>
    <w:p w14:paraId="7E97E7D7" w14:textId="758AAE0E" w:rsidR="002D348A" w:rsidRDefault="002D348A" w:rsidP="002D348A">
      <w:pPr>
        <w:pStyle w:val="BodyText"/>
      </w:pPr>
      <w:r>
        <w:lastRenderedPageBreak/>
        <w:t xml:space="preserve">Only </w:t>
      </w:r>
      <w:r w:rsidR="002B5422">
        <w:t>six</w:t>
      </w:r>
      <w:r>
        <w:t xml:space="preserve"> studies considered confounders other than basic demographics. One such study, conducted by Lanza and colleagues, examined the association between ever e</w:t>
      </w:r>
      <w:r>
        <w:noBreakHyphen/>
        <w:t>cigarette use and ever, current (</w:t>
      </w:r>
      <w:r w:rsidRPr="00945746">
        <w:t>≥5 times in last 30 days</w:t>
      </w:r>
      <w:r>
        <w:t>) and former (</w:t>
      </w:r>
      <w:r w:rsidRPr="00945746">
        <w:t>ever ≥5 times in 30 days</w:t>
      </w:r>
      <w:r>
        <w:t xml:space="preserve">) cigarette smoking in a sample of 452 college students in California, USA (mean (SD) age 21.26 (2.57) years) </w:t>
      </w:r>
      <w:r>
        <w:fldChar w:fldCharType="begin">
          <w:fldData xml:space="preserve">PEVuZE5vdGU+PENpdGU+PEF1dGhvcj5MYW56YTwvQXV0aG9yPjxZZWFyPjIwMTc8L1llYXI+PFJl
Y051bT41NDQ5PC9SZWNOdW0+PERpc3BsYXlUZXh0PihMYW56YSwgUnVzc2VsbCBldCBhbC4gMjAx
Nyk8L0Rpc3BsYXlUZXh0PjxyZWNvcmQ+PHJlYy1udW1iZXI+NTQ0OTwvcmVjLW51bWJlcj48Zm9y
ZWlnbi1rZXlzPjxrZXkgYXBwPSJFTiIgZGItaWQ9Ijl6MDVkejBwcmFhZGZ1ZWUwem94emVkazl6
ZmU1Znh4NTB6NSIgdGltZXN0YW1wPSIxNTIzOTIwOTYwIj41NDQ5PC9rZXk+PGtleSBhcHA9IkVO
V2ViIiBkYi1pZD0iIj4wPC9rZXk+PC9mb3JlaWduLWtleXM+PHJlZi10eXBlIG5hbWU9IkpvdXJu
YWwgQXJ0aWNsZSI+MTc8L3JlZi10eXBlPjxjb250cmlidXRvcnM+PGF1dGhvcnM+PGF1dGhvcj5M
YW56YSwgUy4gVC48L2F1dGhvcj48YXV0aG9yPlJ1c3NlbGwsIE0uIEEuPC9hdXRob3I+PGF1dGhv
cj5CcmF5bWlsbGVyLCBKLiBMLjwvYXV0aG9yPjwvYXV0aG9ycz48L2NvbnRyaWJ1dG9ycz48YXV0
aC1hZGRyZXNzPlRoZSBNZXRob2RvbG9neSBDZW50ZXIsIFRoZSBQZW5uc3lsdmFuaWEgU3RhdGUg
VW5pdmVyc2l0eSwgVW5pdmVyc2l0eSBQYXJrLCBQQSwgVVNBOyBEZXBhcnRtZW50IG9mIEJpb2Jl
aGF2aW9yYWwgSGVhbHRoLCBUaGUgUGVubnN5bHZhbmlhIFN0YXRlIFVuaXZlcnNpdHksIFVuaXZl
cnNpdHkgUGFyaywgUEEsIFVTQS4gRWxlY3Ryb25pYyBhZGRyZXNzOiBTTGFuemFAcHN1LmVkdS4m
I3hEO1RoZSBNZXRob2RvbG9neSBDZW50ZXIsIFRoZSBQZW5uc3lsdmFuaWEgU3RhdGUgVW5pdmVy
c2l0eSwgVW5pdmVyc2l0eSBQYXJrLCBQQSwgVVNBLiYjeEQ7VGhlIE1ldGhvZG9sb2d5IENlbnRl
ciwgVGhlIFBlbm5zeWx2YW5pYSBTdGF0ZSBVbml2ZXJzaXR5LCBVbml2ZXJzaXR5IFBhcmssIFBB
LCBVU0E7IERlcGFydG1lbnQgb2YgQmlvYmVoYXZpb3JhbCBIZWFsdGgsIFRoZSBQZW5uc3lsdmFu
aWEgU3RhdGUgVW5pdmVyc2l0eSwgVW5pdmVyc2l0eSBQYXJrLCBQQSwgVVNBLjwvYXV0aC1hZGRy
ZXNzPjx0aXRsZXM+PHRpdGxlPkVtZXJnZW5jZSBvZiBlbGVjdHJvbmljIGNpZ2FyZXR0ZSB1c2Ug
aW4gVVMgYWRvbGVzY2VudHMgYW5kIHRoZSBsaW5rIHRvIHRyYWRpdGlvbmFsIGNpZ2FyZXR0ZSB1
c2U8L3RpdGxlPjxzZWNvbmRhcnktdGl0bGU+QWRkaWN0IEJlaGF2PC9zZWNvbmRhcnktdGl0bGU+
PGFsdC10aXRsZT5BZGRpY3RpdmUgYmVoYXZpb3JzPC9hbHQtdGl0bGU+PC90aXRsZXM+PGFsdC1w
ZXJpb2RpY2FsPjxmdWxsLXRpdGxlPkFkZGljdGl2ZSBCZWhhdmlvcnM8L2Z1bGwtdGl0bGU+PC9h
bHQtcGVyaW9kaWNhbD48cGFnZXM+MzgtNDM8L3BhZ2VzPjx2b2x1bWU+Njc8L3ZvbHVtZT48ZWRp
dGlvbj4yMDE2LzEyLzE5PC9lZGl0aW9uPjxrZXl3b3Jkcz48a2V5d29yZD5BZG9sZXNjZW50PC9r
ZXl3b3JkPjxrZXl3b3JkPipBZG9sZXNjZW50IEJlaGF2aW9yPC9rZXl3b3JkPjxrZXl3b3JkPkFk
dWx0PC9rZXl3b3JkPjxrZXl3b3JkPkFnZSBGYWN0b3JzPC9rZXl3b3JkPjxrZXl3b3JkPkNoaWxk
PC9rZXl3b3JkPjxrZXl3b3JkPkNpZ2FyZXR0ZSBTbW9raW5nLyplcGlkZW1pb2xvZ3k8L2tleXdv
cmQ+PGtleXdvcmQ+Q3Jvc3MtU2VjdGlvbmFsIFN0dWRpZXM8L2tleXdvcmQ+PGtleXdvcmQ+RWxl
Y3Ryb25pYyBOaWNvdGluZSBEZWxpdmVyeSBTeXN0ZW1zLypzdGF0aXN0aWNzICZhbXA7IG51bWVy
aWNhbCBkYXRhPC9rZXl3b3JkPjxrZXl3b3JkPkZlbWFsZTwva2V5d29yZD48a2V5d29yZD5IdW1h
bnM8L2tleXdvcmQ+PGtleXdvcmQ+TWFsZTwva2V5d29yZD48a2V5d29yZD5TdXJ2ZXlzIGFuZCBR
dWVzdGlvbm5haXJlczwva2V5d29yZD48a2V5d29yZD5Vbml0ZWQgU3RhdGVzPC9rZXl3b3JkPjxr
ZXl3b3JkPllvdW5nIEFkdWx0PC9rZXl3b3JkPjxrZXl3b3JkPkFkb2xlc2NlbmNlPC9rZXl3b3Jk
PjxrZXl3b3JkPkNpZ2FyZXR0ZXM8L2tleXdvcmQ+PGtleXdvcmQ+RS1jaWdhcmV0dGVzPC9rZXl3
b3JkPjxrZXl3b3JkPlRpbWUtdmFyeWluZyBlZmZlY3QgbW9kZWxpbmc8L2tleXdvcmQ+PC9rZXl3
b3Jkcz48ZGF0ZXM+PHllYXI+MjAxNzwveWVhcj48cHViLWRhdGVzPjxkYXRlPkFwcjwvZGF0ZT48
L3B1Yi1kYXRlcz48L2RhdGVzPjxpc2JuPjAzMDYtNDYwMzwvaXNibj48YWNjZXNzaW9uLW51bT4y
Nzk4ODQxNTwvYWNjZXNzaW9uLW51bT48dXJscz48cmVsYXRlZC11cmxzPjx1cmw+aHR0cHM6Ly93
d3cuc2NpZW5jZWRpcmVjdC5jb20vc2NpZW5jZS9hcnRpY2xlL3BpaS9TMDMwNjQ2MDMxNjMwNDIw
OD92aWElM0RpaHViPC91cmw+PC9yZWxhdGVkLXVybHM+PC91cmxzPjxjdXN0b20yPlBNQzUyNTA1
ODM8L2N1c3RvbTI+PGN1c3RvbTY+TklITVM4MzcwNzM8L2N1c3RvbTY+PGVsZWN0cm9uaWMtcmVz
b3VyY2UtbnVtPjEwLjEwMTYvai5hZGRiZWguMjAxNi4xMi4wMDM8L2VsZWN0cm9uaWMtcmVzb3Vy
Y2UtbnVtPjxyZW1vdGUtZGF0YWJhc2UtcHJvdmlkZXI+TkxNPC9yZW1vdGUtZGF0YWJhc2UtcHJv
dmlkZXI+PGxhbmd1YWdlPmVuZzwvbGFuZ3VhZ2U+PC9yZWNvcmQ+PC9DaXRlPjwvRW5kTm90ZT5=
</w:fldData>
        </w:fldChar>
      </w:r>
      <w:r>
        <w:instrText xml:space="preserve"> ADDIN EN.CITE </w:instrText>
      </w:r>
      <w:r>
        <w:fldChar w:fldCharType="begin">
          <w:fldData xml:space="preserve">PEVuZE5vdGU+PENpdGU+PEF1dGhvcj5MYW56YTwvQXV0aG9yPjxZZWFyPjIwMTc8L1llYXI+PFJl
Y051bT41NDQ5PC9SZWNOdW0+PERpc3BsYXlUZXh0PihMYW56YSwgUnVzc2VsbCBldCBhbC4gMjAx
Nyk8L0Rpc3BsYXlUZXh0PjxyZWNvcmQ+PHJlYy1udW1iZXI+NTQ0OTwvcmVjLW51bWJlcj48Zm9y
ZWlnbi1rZXlzPjxrZXkgYXBwPSJFTiIgZGItaWQ9Ijl6MDVkejBwcmFhZGZ1ZWUwem94emVkazl6
ZmU1Znh4NTB6NSIgdGltZXN0YW1wPSIxNTIzOTIwOTYwIj41NDQ5PC9rZXk+PGtleSBhcHA9IkVO
V2ViIiBkYi1pZD0iIj4wPC9rZXk+PC9mb3JlaWduLWtleXM+PHJlZi10eXBlIG5hbWU9IkpvdXJu
YWwgQXJ0aWNsZSI+MTc8L3JlZi10eXBlPjxjb250cmlidXRvcnM+PGF1dGhvcnM+PGF1dGhvcj5M
YW56YSwgUy4gVC48L2F1dGhvcj48YXV0aG9yPlJ1c3NlbGwsIE0uIEEuPC9hdXRob3I+PGF1dGhv
cj5CcmF5bWlsbGVyLCBKLiBMLjwvYXV0aG9yPjwvYXV0aG9ycz48L2NvbnRyaWJ1dG9ycz48YXV0
aC1hZGRyZXNzPlRoZSBNZXRob2RvbG9neSBDZW50ZXIsIFRoZSBQZW5uc3lsdmFuaWEgU3RhdGUg
VW5pdmVyc2l0eSwgVW5pdmVyc2l0eSBQYXJrLCBQQSwgVVNBOyBEZXBhcnRtZW50IG9mIEJpb2Jl
aGF2aW9yYWwgSGVhbHRoLCBUaGUgUGVubnN5bHZhbmlhIFN0YXRlIFVuaXZlcnNpdHksIFVuaXZl
cnNpdHkgUGFyaywgUEEsIFVTQS4gRWxlY3Ryb25pYyBhZGRyZXNzOiBTTGFuemFAcHN1LmVkdS4m
I3hEO1RoZSBNZXRob2RvbG9neSBDZW50ZXIsIFRoZSBQZW5uc3lsdmFuaWEgU3RhdGUgVW5pdmVy
c2l0eSwgVW5pdmVyc2l0eSBQYXJrLCBQQSwgVVNBLiYjeEQ7VGhlIE1ldGhvZG9sb2d5IENlbnRl
ciwgVGhlIFBlbm5zeWx2YW5pYSBTdGF0ZSBVbml2ZXJzaXR5LCBVbml2ZXJzaXR5IFBhcmssIFBB
LCBVU0E7IERlcGFydG1lbnQgb2YgQmlvYmVoYXZpb3JhbCBIZWFsdGgsIFRoZSBQZW5uc3lsdmFu
aWEgU3RhdGUgVW5pdmVyc2l0eSwgVW5pdmVyc2l0eSBQYXJrLCBQQSwgVVNBLjwvYXV0aC1hZGRy
ZXNzPjx0aXRsZXM+PHRpdGxlPkVtZXJnZW5jZSBvZiBlbGVjdHJvbmljIGNpZ2FyZXR0ZSB1c2Ug
aW4gVVMgYWRvbGVzY2VudHMgYW5kIHRoZSBsaW5rIHRvIHRyYWRpdGlvbmFsIGNpZ2FyZXR0ZSB1
c2U8L3RpdGxlPjxzZWNvbmRhcnktdGl0bGU+QWRkaWN0IEJlaGF2PC9zZWNvbmRhcnktdGl0bGU+
PGFsdC10aXRsZT5BZGRpY3RpdmUgYmVoYXZpb3JzPC9hbHQtdGl0bGU+PC90aXRsZXM+PGFsdC1w
ZXJpb2RpY2FsPjxmdWxsLXRpdGxlPkFkZGljdGl2ZSBCZWhhdmlvcnM8L2Z1bGwtdGl0bGU+PC9h
bHQtcGVyaW9kaWNhbD48cGFnZXM+MzgtNDM8L3BhZ2VzPjx2b2x1bWU+Njc8L3ZvbHVtZT48ZWRp
dGlvbj4yMDE2LzEyLzE5PC9lZGl0aW9uPjxrZXl3b3Jkcz48a2V5d29yZD5BZG9sZXNjZW50PC9r
ZXl3b3JkPjxrZXl3b3JkPipBZG9sZXNjZW50IEJlaGF2aW9yPC9rZXl3b3JkPjxrZXl3b3JkPkFk
dWx0PC9rZXl3b3JkPjxrZXl3b3JkPkFnZSBGYWN0b3JzPC9rZXl3b3JkPjxrZXl3b3JkPkNoaWxk
PC9rZXl3b3JkPjxrZXl3b3JkPkNpZ2FyZXR0ZSBTbW9raW5nLyplcGlkZW1pb2xvZ3k8L2tleXdv
cmQ+PGtleXdvcmQ+Q3Jvc3MtU2VjdGlvbmFsIFN0dWRpZXM8L2tleXdvcmQ+PGtleXdvcmQ+RWxl
Y3Ryb25pYyBOaWNvdGluZSBEZWxpdmVyeSBTeXN0ZW1zLypzdGF0aXN0aWNzICZhbXA7IG51bWVy
aWNhbCBkYXRhPC9rZXl3b3JkPjxrZXl3b3JkPkZlbWFsZTwva2V5d29yZD48a2V5d29yZD5IdW1h
bnM8L2tleXdvcmQ+PGtleXdvcmQ+TWFsZTwva2V5d29yZD48a2V5d29yZD5TdXJ2ZXlzIGFuZCBR
dWVzdGlvbm5haXJlczwva2V5d29yZD48a2V5d29yZD5Vbml0ZWQgU3RhdGVzPC9rZXl3b3JkPjxr
ZXl3b3JkPllvdW5nIEFkdWx0PC9rZXl3b3JkPjxrZXl3b3JkPkFkb2xlc2NlbmNlPC9rZXl3b3Jk
PjxrZXl3b3JkPkNpZ2FyZXR0ZXM8L2tleXdvcmQ+PGtleXdvcmQ+RS1jaWdhcmV0dGVzPC9rZXl3
b3JkPjxrZXl3b3JkPlRpbWUtdmFyeWluZyBlZmZlY3QgbW9kZWxpbmc8L2tleXdvcmQ+PC9rZXl3
b3Jkcz48ZGF0ZXM+PHllYXI+MjAxNzwveWVhcj48cHViLWRhdGVzPjxkYXRlPkFwcjwvZGF0ZT48
L3B1Yi1kYXRlcz48L2RhdGVzPjxpc2JuPjAzMDYtNDYwMzwvaXNibj48YWNjZXNzaW9uLW51bT4y
Nzk4ODQxNTwvYWNjZXNzaW9uLW51bT48dXJscz48cmVsYXRlZC11cmxzPjx1cmw+aHR0cHM6Ly93
d3cuc2NpZW5jZWRpcmVjdC5jb20vc2NpZW5jZS9hcnRpY2xlL3BpaS9TMDMwNjQ2MDMxNjMwNDIw
OD92aWElM0RpaHViPC91cmw+PC9yZWxhdGVkLXVybHM+PC91cmxzPjxjdXN0b20yPlBNQzUyNTA1
ODM8L2N1c3RvbTI+PGN1c3RvbTY+TklITVM4MzcwNzM8L2N1c3RvbTY+PGVsZWN0cm9uaWMtcmVz
b3VyY2UtbnVtPjEwLjEwMTYvai5hZGRiZWguMjAxNi4xMi4wMDM8L2VsZWN0cm9uaWMtcmVzb3Vy
Y2UtbnVtPjxyZW1vdGUtZGF0YWJhc2UtcHJvdmlkZXI+TkxNPC9yZW1vdGUtZGF0YWJhc2UtcHJv
dmlkZXI+PGxhbmd1YWdlPmVuZzwvbGFuZ3VhZ2U+PC9yZWNvcmQ+PC9DaXRlPjwvRW5kTm90ZT5=
</w:fldData>
        </w:fldChar>
      </w:r>
      <w:r>
        <w:instrText xml:space="preserve"> ADDIN EN.CITE.DATA </w:instrText>
      </w:r>
      <w:r>
        <w:fldChar w:fldCharType="end"/>
      </w:r>
      <w:r>
        <w:fldChar w:fldCharType="separate"/>
      </w:r>
      <w:r>
        <w:rPr>
          <w:noProof/>
        </w:rPr>
        <w:t>(Lanza, Russell et al. 2017)</w:t>
      </w:r>
      <w:r>
        <w:fldChar w:fldCharType="end"/>
      </w:r>
      <w:r>
        <w:t>. After adjusting for confounders including demographics, percentage of friends that have used e</w:t>
      </w:r>
      <w:r>
        <w:noBreakHyphen/>
        <w:t>cigarettes, and perceiving e</w:t>
      </w:r>
      <w:r>
        <w:noBreakHyphen/>
        <w:t>cigarettes to be healthier than cigarettes, associations were observed between e</w:t>
      </w:r>
      <w:r>
        <w:noBreakHyphen/>
        <w:t>cigarette use and all smoking variables with those that had smoked a cigarette, were a current smoker and were a former smoker being more likely to have ever used e</w:t>
      </w:r>
      <w:r>
        <w:noBreakHyphen/>
        <w:t>cigarettes (</w:t>
      </w:r>
      <w:r w:rsidR="002B5422">
        <w:t>a</w:t>
      </w:r>
      <w:r>
        <w:t>djusted ORs (p</w:t>
      </w:r>
      <w:r>
        <w:noBreakHyphen/>
        <w:t xml:space="preserve">values) were 8.39 (p&lt;0.001), 4.59 (p&lt;0.05) and 8.90 (p&lt;0.01) respectively). </w:t>
      </w:r>
    </w:p>
    <w:p w14:paraId="11BA0113" w14:textId="77777777" w:rsidR="002D348A" w:rsidRDefault="002D348A" w:rsidP="002D348A">
      <w:pPr>
        <w:pStyle w:val="BodyText"/>
      </w:pPr>
      <w:r>
        <w:t>In a South Korean study of 6,307 current adolescent smokers, Park and colleagues found that, after adjusting for confounders, former and current e</w:t>
      </w:r>
      <w:r>
        <w:noBreakHyphen/>
        <w:t xml:space="preserve">cigarette use was associated with daily smoking and a higher number of cigarettes smoked per day </w:t>
      </w:r>
      <w:r>
        <w:fldChar w:fldCharType="begin">
          <w:fldData xml:space="preserve">PEVuZE5vdGU+PENpdGU+PEF1dGhvcj5QYXJrPC9BdXRob3I+PFllYXI+MjAxNzwvWWVhcj48UmVj
TnVtPjUzOTE8L1JlY051bT48RGlzcGxheVRleHQ+KFBhcmssIExlZSBldCBhbC4gMjAxNyk8L0Rp
c3BsYXlUZXh0PjxyZWNvcmQ+PHJlYy1udW1iZXI+NTM5MTwvcmVjLW51bWJlcj48Zm9yZWlnbi1r
ZXlzPjxrZXkgYXBwPSJFTiIgZGItaWQ9Ijl6MDVkejBwcmFhZGZ1ZWUwem94emVkazl6ZmU1Znh4
NTB6NSIgdGltZXN0YW1wPSIxNTIzOTIwOTUzIj41MzkxPC9rZXk+PGtleSBhcHA9IkVOV2ViIiBk
Yi1pZD0iIj4wPC9rZXk+PC9mb3JlaWduLWtleXM+PHJlZi10eXBlIG5hbWU9IkpvdXJuYWwgQXJ0
aWNsZSI+MTc8L3JlZi10eXBlPjxjb250cmlidXRvcnM+PGF1dGhvcnM+PGF1dGhvcj5QYXJrLCBT
LjwvYXV0aG9yPjxhdXRob3I+TGVlLCBILjwvYXV0aG9yPjxhdXRob3I+TWluLCBTLjwvYXV0aG9y
PjwvYXV0aG9ycz48L2NvbnRyaWJ1dG9ycz48YXV0aC1hZGRyZXNzPkNvbGxlZ2Ugb2YgTnVyc2lu
ZyBTY2llbmNlLCBFYXN0LVdlc3QgTnVyc2luZyBSZXNlYXJjaCBJbnN0aXR1dGUsIEt5dW5nIEhl
ZSBVbml2ZXJzaXR5LCAyNiBLeXVuZ2hlZS1kYWVybywgRG9uZ2RhZW11bi1ndSwgU2VvdWwgMDI0
NDcsIFJlcHVibGljIG9mIEtvcmVhLiBFbGVjdHJvbmljIGFkZHJlc3M6IHNwYXJrQGtodS5hYy5r
ci4mI3hEO0RlcGFydG1lbnQgb2YgTnVyc2luZywgR3JhZHVhdGUgU2Nob29sLCBLeXVuZyBIZWUg
VW5pdmVyc2l0eSwgMjYgS3l1bmdoZWUtZGFlcm8sIERvbmdkYWVtdW4tZ3UsIFNlb3VsIDAyNDQ3
LCBSZXB1YmxpYyBvZiBLb3JlYS4gRWxlY3Ryb25pYyBhZGRyZXNzOiByZWFydGUxN0BraHUuYWMu
a3IuJiN4RDtEZXBhcnRtZW50IG9mIE51cnNpbmcsIEdyYWR1YXRlIFNjaG9vbCwgS3l1bmcgSGVl
IFVuaXZlcnNpdHksIDI2IEt5dW5naGVlLWRhZXJvLCBEb25nZGFlbXVuLWd1LCBTZW91bCAwMjQ0
NywgUmVwdWJsaWMgb2YgS29yZWEuIEVsZWN0cm9uaWMgYWRkcmVzczogZXN0aGVyX21pbkBraHUu
YWMua3IuPC9hdXRoLWFkZHJlc3M+PHRpdGxlcz48dGl0bGU+RmFjdG9ycyBhc3NvY2lhdGVkIHdp
dGggZWxlY3Ryb25pYyBjaWdhcmV0dGUgdXNlIGFtb25nIGN1cnJlbnQgY2lnYXJldHRlLXNtb2tp
bmcgYWRvbGVzY2VudHMgaW4gdGhlIFJlcHVibGljIG9mIEtvcmVhPC90aXRsZT48c2Vjb25kYXJ5
LXRpdGxlPkFkZGljdCBCZWhhdjwvc2Vjb25kYXJ5LXRpdGxlPjxhbHQtdGl0bGU+QWRkaWN0aXZl
IGJlaGF2aW9yczwvYWx0LXRpdGxlPjwvdGl0bGVzPjxhbHQtcGVyaW9kaWNhbD48ZnVsbC10aXRs
ZT5BZGRpY3RpdmUgQmVoYXZpb3JzPC9mdWxsLXRpdGxlPjwvYWx0LXBlcmlvZGljYWw+PHBhZ2Vz
PjIyLTI2PC9wYWdlcz48dm9sdW1lPjY5PC92b2x1bWU+PGVkaXRpb24+MjAxNy8wMS8yMzwvZWRp
dGlvbj48a2V5d29yZHM+PGtleXdvcmQ+QWRvbGVzY2VudDwva2V5d29yZD48a2V5d29yZD5BZG9s
ZXNjZW50IEJlaGF2aW9yLypwc3ljaG9sb2d5PC9rZXl3b3JkPjxrZXl3b3JkPkNpZ2FyZXR0ZSBT
bW9raW5nLyplcGlkZW1pb2xvZ3k8L2tleXdvcmQ+PGtleXdvcmQ+Q3Jvc3MtU2VjdGlvbmFsIFN0
dWRpZXM8L2tleXdvcmQ+PGtleXdvcmQ+RWxlY3Ryb25pYyBOaWNvdGluZSBEZWxpdmVyeSBTeXN0
ZW1zLypzdGF0aXN0aWNzICZhbXA7IG51bWVyaWNhbCBkYXRhPC9rZXl3b3JkPjxrZXl3b3JkPkZl
bWFsZTwva2V5d29yZD48a2V5d29yZD5GcmllbmRzL3BzeWNob2xvZ3k8L2tleXdvcmQ+PGtleXdv
cmQ+SHVtYW5zPC9rZXl3b3JkPjxrZXl3b3JkPk1hbGU8L2tleXdvcmQ+PGtleXdvcmQ+UmVwdWJs
aWMgb2YgS29yZWEvZXBpZGVtaW9sb2d5PC9rZXl3b3JkPjxrZXl3b3JkPlNleCBEaXN0cmlidXRp
b248L2tleXdvcmQ+PGtleXdvcmQ+QWRvbGVzY2VuY2U8L2tleXdvcmQ+PGtleXdvcmQ+Q2lnYXJl
dHRlPC9rZXl3b3JkPjxrZXl3b3JkPkR1YWwgdXNlPC9rZXl3b3JkPjxrZXl3b3JkPkVsZWN0cm9u
aWMgY2lnYXJldHRlPC9rZXl3b3JkPjxrZXl3b3JkPlNtb2tpbmc8L2tleXdvcmQ+PC9rZXl3b3Jk
cz48ZGF0ZXM+PHllYXI+MjAxNzwveWVhcj48cHViLWRhdGVzPjxkYXRlPkp1bjwvZGF0ZT48L3B1
Yi1kYXRlcz48L2RhdGVzPjxpc2JuPjAzMDYtNDYwMzwvaXNibj48YWNjZXNzaW9uLW51bT4yODEx
MDE1NDwvYWNjZXNzaW9uLW51bT48dXJscz48cmVsYXRlZC11cmxzPjx1cmw+aHR0cHM6Ly93d3cu
c2NpZW5jZWRpcmVjdC5jb20vc2NpZW5jZS9hcnRpY2xlL3BpaS9TMDMwNjQ2MDMxNzMwMDAyMz92
aWElM0RpaHViPC91cmw+PC9yZWxhdGVkLXVybHM+PC91cmxzPjxlbGVjdHJvbmljLXJlc291cmNl
LW51bT4xMC4xMDE2L2ouYWRkYmVoLjIwMTcuMDEuMDAyPC9lbGVjdHJvbmljLXJlc291cmNlLW51
bT48cmVtb3RlLWRhdGFiYXNlLXByb3ZpZGVyPk5MTTwvcmVtb3RlLWRhdGFiYXNlLXByb3ZpZGVy
PjxsYW5ndWFnZT5lbmc8L2xhbmd1YWdlPjwvcmVjb3JkPjwvQ2l0ZT48L0VuZE5vdGU+
</w:fldData>
        </w:fldChar>
      </w:r>
      <w:r>
        <w:instrText xml:space="preserve"> ADDIN EN.CITE </w:instrText>
      </w:r>
      <w:r>
        <w:fldChar w:fldCharType="begin">
          <w:fldData xml:space="preserve">PEVuZE5vdGU+PENpdGU+PEF1dGhvcj5QYXJrPC9BdXRob3I+PFllYXI+MjAxNzwvWWVhcj48UmVj
TnVtPjUzOTE8L1JlY051bT48RGlzcGxheVRleHQ+KFBhcmssIExlZSBldCBhbC4gMjAxNyk8L0Rp
c3BsYXlUZXh0PjxyZWNvcmQ+PHJlYy1udW1iZXI+NTM5MTwvcmVjLW51bWJlcj48Zm9yZWlnbi1r
ZXlzPjxrZXkgYXBwPSJFTiIgZGItaWQ9Ijl6MDVkejBwcmFhZGZ1ZWUwem94emVkazl6ZmU1Znh4
NTB6NSIgdGltZXN0YW1wPSIxNTIzOTIwOTUzIj41MzkxPC9rZXk+PGtleSBhcHA9IkVOV2ViIiBk
Yi1pZD0iIj4wPC9rZXk+PC9mb3JlaWduLWtleXM+PHJlZi10eXBlIG5hbWU9IkpvdXJuYWwgQXJ0
aWNsZSI+MTc8L3JlZi10eXBlPjxjb250cmlidXRvcnM+PGF1dGhvcnM+PGF1dGhvcj5QYXJrLCBT
LjwvYXV0aG9yPjxhdXRob3I+TGVlLCBILjwvYXV0aG9yPjxhdXRob3I+TWluLCBTLjwvYXV0aG9y
PjwvYXV0aG9ycz48L2NvbnRyaWJ1dG9ycz48YXV0aC1hZGRyZXNzPkNvbGxlZ2Ugb2YgTnVyc2lu
ZyBTY2llbmNlLCBFYXN0LVdlc3QgTnVyc2luZyBSZXNlYXJjaCBJbnN0aXR1dGUsIEt5dW5nIEhl
ZSBVbml2ZXJzaXR5LCAyNiBLeXVuZ2hlZS1kYWVybywgRG9uZ2RhZW11bi1ndSwgU2VvdWwgMDI0
NDcsIFJlcHVibGljIG9mIEtvcmVhLiBFbGVjdHJvbmljIGFkZHJlc3M6IHNwYXJrQGtodS5hYy5r
ci4mI3hEO0RlcGFydG1lbnQgb2YgTnVyc2luZywgR3JhZHVhdGUgU2Nob29sLCBLeXVuZyBIZWUg
VW5pdmVyc2l0eSwgMjYgS3l1bmdoZWUtZGFlcm8sIERvbmdkYWVtdW4tZ3UsIFNlb3VsIDAyNDQ3
LCBSZXB1YmxpYyBvZiBLb3JlYS4gRWxlY3Ryb25pYyBhZGRyZXNzOiByZWFydGUxN0BraHUuYWMu
a3IuJiN4RDtEZXBhcnRtZW50IG9mIE51cnNpbmcsIEdyYWR1YXRlIFNjaG9vbCwgS3l1bmcgSGVl
IFVuaXZlcnNpdHksIDI2IEt5dW5naGVlLWRhZXJvLCBEb25nZGFlbXVuLWd1LCBTZW91bCAwMjQ0
NywgUmVwdWJsaWMgb2YgS29yZWEuIEVsZWN0cm9uaWMgYWRkcmVzczogZXN0aGVyX21pbkBraHUu
YWMua3IuPC9hdXRoLWFkZHJlc3M+PHRpdGxlcz48dGl0bGU+RmFjdG9ycyBhc3NvY2lhdGVkIHdp
dGggZWxlY3Ryb25pYyBjaWdhcmV0dGUgdXNlIGFtb25nIGN1cnJlbnQgY2lnYXJldHRlLXNtb2tp
bmcgYWRvbGVzY2VudHMgaW4gdGhlIFJlcHVibGljIG9mIEtvcmVhPC90aXRsZT48c2Vjb25kYXJ5
LXRpdGxlPkFkZGljdCBCZWhhdjwvc2Vjb25kYXJ5LXRpdGxlPjxhbHQtdGl0bGU+QWRkaWN0aXZl
IGJlaGF2aW9yczwvYWx0LXRpdGxlPjwvdGl0bGVzPjxhbHQtcGVyaW9kaWNhbD48ZnVsbC10aXRs
ZT5BZGRpY3RpdmUgQmVoYXZpb3JzPC9mdWxsLXRpdGxlPjwvYWx0LXBlcmlvZGljYWw+PHBhZ2Vz
PjIyLTI2PC9wYWdlcz48dm9sdW1lPjY5PC92b2x1bWU+PGVkaXRpb24+MjAxNy8wMS8yMzwvZWRp
dGlvbj48a2V5d29yZHM+PGtleXdvcmQ+QWRvbGVzY2VudDwva2V5d29yZD48a2V5d29yZD5BZG9s
ZXNjZW50IEJlaGF2aW9yLypwc3ljaG9sb2d5PC9rZXl3b3JkPjxrZXl3b3JkPkNpZ2FyZXR0ZSBT
bW9raW5nLyplcGlkZW1pb2xvZ3k8L2tleXdvcmQ+PGtleXdvcmQ+Q3Jvc3MtU2VjdGlvbmFsIFN0
dWRpZXM8L2tleXdvcmQ+PGtleXdvcmQ+RWxlY3Ryb25pYyBOaWNvdGluZSBEZWxpdmVyeSBTeXN0
ZW1zLypzdGF0aXN0aWNzICZhbXA7IG51bWVyaWNhbCBkYXRhPC9rZXl3b3JkPjxrZXl3b3JkPkZl
bWFsZTwva2V5d29yZD48a2V5d29yZD5GcmllbmRzL3BzeWNob2xvZ3k8L2tleXdvcmQ+PGtleXdv
cmQ+SHVtYW5zPC9rZXl3b3JkPjxrZXl3b3JkPk1hbGU8L2tleXdvcmQ+PGtleXdvcmQ+UmVwdWJs
aWMgb2YgS29yZWEvZXBpZGVtaW9sb2d5PC9rZXl3b3JkPjxrZXl3b3JkPlNleCBEaXN0cmlidXRp
b248L2tleXdvcmQ+PGtleXdvcmQ+QWRvbGVzY2VuY2U8L2tleXdvcmQ+PGtleXdvcmQ+Q2lnYXJl
dHRlPC9rZXl3b3JkPjxrZXl3b3JkPkR1YWwgdXNlPC9rZXl3b3JkPjxrZXl3b3JkPkVsZWN0cm9u
aWMgY2lnYXJldHRlPC9rZXl3b3JkPjxrZXl3b3JkPlNtb2tpbmc8L2tleXdvcmQ+PC9rZXl3b3Jk
cz48ZGF0ZXM+PHllYXI+MjAxNzwveWVhcj48cHViLWRhdGVzPjxkYXRlPkp1bjwvZGF0ZT48L3B1
Yi1kYXRlcz48L2RhdGVzPjxpc2JuPjAzMDYtNDYwMzwvaXNibj48YWNjZXNzaW9uLW51bT4yODEx
MDE1NDwvYWNjZXNzaW9uLW51bT48dXJscz48cmVsYXRlZC11cmxzPjx1cmw+aHR0cHM6Ly93d3cu
c2NpZW5jZWRpcmVjdC5jb20vc2NpZW5jZS9hcnRpY2xlL3BpaS9TMDMwNjQ2MDMxNzMwMDAyMz92
aWElM0RpaHViPC91cmw+PC9yZWxhdGVkLXVybHM+PC91cmxzPjxlbGVjdHJvbmljLXJlc291cmNl
LW51bT4xMC4xMDE2L2ouYWRkYmVoLjIwMTcuMDEuMDAyPC9lbGVjdHJvbmljLXJlc291cmNlLW51
bT48cmVtb3RlLWRhdGFiYXNlLXByb3ZpZGVyPk5MTTwvcmVtb3RlLWRhdGFiYXNlLXByb3ZpZGVy
PjxsYW5ndWFnZT5lbmc8L2xhbmd1YWdlPjwvcmVjb3JkPjwvQ2l0ZT48L0VuZE5vdGU+
</w:fldData>
        </w:fldChar>
      </w:r>
      <w:r>
        <w:instrText xml:space="preserve"> ADDIN EN.CITE.DATA </w:instrText>
      </w:r>
      <w:r>
        <w:fldChar w:fldCharType="end"/>
      </w:r>
      <w:r>
        <w:fldChar w:fldCharType="separate"/>
      </w:r>
      <w:r>
        <w:rPr>
          <w:noProof/>
        </w:rPr>
        <w:t>(Park, Lee et al. 2017)</w:t>
      </w:r>
      <w:r>
        <w:fldChar w:fldCharType="end"/>
      </w:r>
      <w:r>
        <w:t>. The confounders that were considered in this study included demographics, perceived stress, and parent and peer smoking.</w:t>
      </w:r>
    </w:p>
    <w:p w14:paraId="3BE39951" w14:textId="77777777" w:rsidR="002D348A" w:rsidRDefault="002D348A" w:rsidP="002D348A">
      <w:pPr>
        <w:pStyle w:val="BodyText"/>
      </w:pPr>
      <w:r>
        <w:t>Farsalinos and colleagues conducted a study in a representative sample of adults living in the Attica prefecture, Greece (n=4058). After adjusting for confounders including basic demographics, socioeconomic status variables, and perceived harmfulness of e</w:t>
      </w:r>
      <w:r>
        <w:noBreakHyphen/>
        <w:t>cigarettes, the authors observed strong associations between ever and current e</w:t>
      </w:r>
      <w:r>
        <w:noBreakHyphen/>
        <w:t xml:space="preserve">cigarette use and cigarette smoking status </w:t>
      </w:r>
      <w:r w:rsidRPr="00E50842">
        <w:t xml:space="preserve">(current smokers: ever </w:t>
      </w:r>
      <w:r>
        <w:t>e</w:t>
      </w:r>
      <w:r>
        <w:noBreakHyphen/>
        <w:t xml:space="preserve">cigarette </w:t>
      </w:r>
      <w:r w:rsidRPr="00E50842">
        <w:t>use OR=33.38 (</w:t>
      </w:r>
      <w:r>
        <w:t xml:space="preserve">95%CI: </w:t>
      </w:r>
      <w:r w:rsidRPr="00E50842">
        <w:t>25.20</w:t>
      </w:r>
      <w:r>
        <w:noBreakHyphen/>
      </w:r>
      <w:r w:rsidRPr="00E50842">
        <w:t xml:space="preserve">44.21) and current </w:t>
      </w:r>
      <w:r>
        <w:t>e</w:t>
      </w:r>
      <w:r>
        <w:noBreakHyphen/>
        <w:t xml:space="preserve">cigarette </w:t>
      </w:r>
      <w:r w:rsidRPr="00E50842">
        <w:t>use OR=30.82 (</w:t>
      </w:r>
      <w:r>
        <w:t xml:space="preserve">95%CI: </w:t>
      </w:r>
      <w:r w:rsidRPr="00E50842">
        <w:t>10.21</w:t>
      </w:r>
      <w:r>
        <w:noBreakHyphen/>
      </w:r>
      <w:r w:rsidRPr="00E50842">
        <w:t xml:space="preserve">93.01); former smokers: ever </w:t>
      </w:r>
      <w:r>
        <w:t>e</w:t>
      </w:r>
      <w:r>
        <w:noBreakHyphen/>
        <w:t xml:space="preserve">cigarette </w:t>
      </w:r>
      <w:r w:rsidRPr="00E50842">
        <w:t>use OR=9.05 (</w:t>
      </w:r>
      <w:r>
        <w:t xml:space="preserve">95%CI: </w:t>
      </w:r>
      <w:r w:rsidRPr="00E50842">
        <w:t>6.81</w:t>
      </w:r>
      <w:r>
        <w:noBreakHyphen/>
      </w:r>
      <w:r w:rsidRPr="00E50842">
        <w:t xml:space="preserve">12.04) and current </w:t>
      </w:r>
      <w:r>
        <w:t>e</w:t>
      </w:r>
      <w:r>
        <w:noBreakHyphen/>
        <w:t xml:space="preserve">cigarette </w:t>
      </w:r>
      <w:r w:rsidRPr="00E50842">
        <w:t>use OR=69.33 (</w:t>
      </w:r>
      <w:r>
        <w:t>95%CI: 23.12</w:t>
      </w:r>
      <w:r>
        <w:noBreakHyphen/>
        <w:t>207.90); a</w:t>
      </w:r>
      <w:r w:rsidRPr="00E50842">
        <w:t>ll p</w:t>
      </w:r>
      <w:r>
        <w:noBreakHyphen/>
      </w:r>
      <w:r w:rsidRPr="00E50842">
        <w:t>values &lt;0.0001</w:t>
      </w:r>
      <w:r>
        <w:t xml:space="preserve">) </w:t>
      </w:r>
      <w:r>
        <w:fldChar w:fldCharType="begin"/>
      </w:r>
      <w:r w:rsidR="004E728C">
        <w:instrText xml:space="preserve"> ADDIN EN.CITE &lt;EndNote&gt;&lt;Cite&gt;&lt;Author&gt;Farsalinos&lt;/Author&gt;&lt;Year&gt;2018&lt;/Year&gt;&lt;RecNum&gt;10457&lt;/RecNum&gt;&lt;DisplayText&gt;(Farsalinos, Siakas et al. 2018)&lt;/DisplayText&gt;&lt;record&gt;&lt;rec-number&gt;10457&lt;/rec-number&gt;&lt;foreign-keys&gt;&lt;key app="EN" db-id="9z05dz0praadfuee0zoxzedk9zfe5fxx50z5" timestamp="1526869878"&gt;10457&lt;/key&gt;&lt;key app="ENWeb" db-id=""&gt;0&lt;/key&gt;&lt;/foreign-keys&gt;&lt;ref-type name="Journal Article"&gt;17&lt;/ref-type&gt;&lt;contributors&gt;&lt;authors&gt;&lt;author&gt;Farsalinos, Konstantinos E.&lt;/author&gt;&lt;author&gt;Siakas, Georgios&lt;/author&gt;&lt;author&gt;Poulas, Konstantinos&lt;/author&gt;&lt;author&gt;Voudris, Vassilis&lt;/author&gt;&lt;author&gt;Merakou, Kyriakoula&lt;/author&gt;&lt;author&gt;Barbouni, Anastasia&lt;/author&gt;&lt;/authors&gt;&lt;/contributors&gt;&lt;titles&gt;&lt;title&gt;Electronic cigarette use in Greece: an analysis of a representative population sample in Attica prefecture&lt;/title&gt;&lt;secondary-title&gt;Harm Reduction Journal&lt;/secondary-title&gt;&lt;/titles&gt;&lt;periodical&gt;&lt;full-title&gt;Harm Reduction Journal&lt;/full-title&gt;&lt;/periodical&gt;&lt;volume&gt;15&lt;/volume&gt;&lt;dates&gt;&lt;year&gt;2018&lt;/year&gt;&lt;pub-dates&gt;&lt;date&gt;Apr 13&lt;/date&gt;&lt;/pub-dates&gt;&lt;/dates&gt;&lt;isbn&gt;1477-7517&lt;/isbn&gt;&lt;accession-num&gt;WOS:000431051600001&lt;/accession-num&gt;&lt;urls&gt;&lt;related-urls&gt;&lt;url&gt;&amp;lt;Go to ISI&amp;gt;://WOS:000431051600001&lt;/url&gt;&lt;url&gt;https://harmreductionjournal.biomedcentral.com/track/pdf/10.1186/s12954-018-0229-7&lt;/url&gt;&lt;/related-urls&gt;&lt;/urls&gt;&lt;custom7&gt;20&lt;/custom7&gt;&lt;electronic-resource-num&gt;10.1186/s12954-018-0229-7&lt;/electronic-resource-num&gt;&lt;/record&gt;&lt;/Cite&gt;&lt;/EndNote&gt;</w:instrText>
      </w:r>
      <w:r>
        <w:fldChar w:fldCharType="separate"/>
      </w:r>
      <w:r>
        <w:rPr>
          <w:noProof/>
        </w:rPr>
        <w:t>(Farsalinos, Siakas et al. 2018)</w:t>
      </w:r>
      <w:r>
        <w:fldChar w:fldCharType="end"/>
      </w:r>
      <w:r w:rsidRPr="00E50842">
        <w:t>.</w:t>
      </w:r>
      <w:r>
        <w:t xml:space="preserve"> It should be noted, however, that the study sample included adults of all age groups and it is likely that initiation of cigarette smoking occurred prior to initiation of e</w:t>
      </w:r>
      <w:r>
        <w:noBreakHyphen/>
        <w:t xml:space="preserve">cigarette use for many participants, particularly those in older age groups. </w:t>
      </w:r>
    </w:p>
    <w:p w14:paraId="5A8F8CD6" w14:textId="77777777" w:rsidR="002D348A" w:rsidRDefault="002D348A" w:rsidP="002D348A">
      <w:pPr>
        <w:pStyle w:val="BodyText"/>
      </w:pPr>
      <w:r>
        <w:t>Pepper and colleagues examined the relationship between type of e</w:t>
      </w:r>
      <w:r>
        <w:noBreakHyphen/>
        <w:t>cigarette usually used (with or without nicotine) and current cigarette smoking in a sample of US adolescents aged 15</w:t>
      </w:r>
      <w:r>
        <w:noBreakHyphen/>
        <w:t>17 years (n=896 for multivariable analysis). Participants were recruited through advertisements on online social media platforms (Facebook and Instragram). The study found current cigarette smokers were less likely to usually use e</w:t>
      </w:r>
      <w:r>
        <w:noBreakHyphen/>
        <w:t>cigarettes without nicotine than non</w:t>
      </w:r>
      <w:r>
        <w:noBreakHyphen/>
        <w:t xml:space="preserve">smokers (OR=0.20; </w:t>
      </w:r>
      <w:r w:rsidRPr="002D0ADD">
        <w:t>95% CI 0.14, 0.30)</w:t>
      </w:r>
      <w:r>
        <w:t>. Similar results were also observed for users of cigars/cigarillos and other tobacco products. The confounders considered in this study included demographics, past 30 day use of other tobacco products, e</w:t>
      </w:r>
      <w:r>
        <w:noBreakHyphen/>
        <w:t>cigarette use characteristics (frequency of use, device type, owning an e</w:t>
      </w:r>
      <w:r>
        <w:noBreakHyphen/>
        <w:t>cigarette, social context of use), perceived health risks and prevalence of e</w:t>
      </w:r>
      <w:r>
        <w:noBreakHyphen/>
        <w:t>cigarette use, and knowledge about nicotine and vapour from e</w:t>
      </w:r>
      <w:r>
        <w:noBreakHyphen/>
        <w:t xml:space="preserve">cigarettes. The sampling method for this study may have introduced selection bias which may affect the estimated odds ratios. </w:t>
      </w:r>
    </w:p>
    <w:p w14:paraId="2E1F9409" w14:textId="77777777" w:rsidR="002D348A" w:rsidRDefault="002D348A" w:rsidP="002D348A">
      <w:pPr>
        <w:pStyle w:val="BodyText"/>
      </w:pPr>
      <w:r>
        <w:t>Another study conducted by Ramji and colleagues in a sample of 1,006 Swedish adolescents found an association between waterpipe use and e</w:t>
      </w:r>
      <w:r>
        <w:noBreakHyphen/>
        <w:t>cigarette use (OR: 3.26; 95%CI: 2.12</w:t>
      </w:r>
      <w:r>
        <w:noBreakHyphen/>
        <w:t xml:space="preserve">4.99) </w:t>
      </w:r>
      <w:r>
        <w:fldChar w:fldCharType="begin">
          <w:fldData xml:space="preserve">PEVuZE5vdGU+PENpdGU+PEF1dGhvcj5SYW1qaTwvQXV0aG9yPjxZZWFyPjIwMTc8L1llYXI+PFJl
Y051bT40NzUwPC9SZWNOdW0+PERpc3BsYXlUZXh0PihSYW1qaSwgQXJuZXR6IGV0IGFsLiAyMDE3
KTwvRGlzcGxheVRleHQ+PHJlY29yZD48cmVjLW51bWJlcj40NzUwPC9yZWMtbnVtYmVyPjxmb3Jl
aWduLWtleXM+PGtleSBhcHA9IkVOIiBkYi1pZD0iOXowNWR6MHByYWFkZnVlZTB6b3h6ZWRrOXpm
ZTVmeHg1MHo1IiB0aW1lc3RhbXA9IjE1MjM5MjA0MjYiPjQ3NTA8L2tleT48a2V5IGFwcD0iRU5X
ZWIiIGRiLWlkPSIiPjA8L2tleT48L2ZvcmVpZ24ta2V5cz48cmVmLXR5cGUgbmFtZT0iSm91cm5h
bCBBcnRpY2xlIj4xNzwvcmVmLXR5cGU+PGNvbnRyaWJ1dG9ycz48YXV0aG9ycz48YXV0aG9yPlJh
bWppLCBSLjwvYXV0aG9yPjxhdXRob3I+QXJuZXR6LCBCLiBCLjwvYXV0aG9yPjxhdXRob3I+Tmls
c3NvbiwgTS48L2F1dGhvcj48YXV0aG9yPldpa2x1bmQsIFkuPC9hdXRob3I+PGF1dGhvcj5KYW1p
bCwgSC48L2F1dGhvcj48YXV0aG9yPk1hemlhaywgVy48L2F1dGhvcj48YXV0aG9yPkFybmV0eiwg
Si48L2F1dGhvcj48L2F1dGhvcnM+PC9jb250cmlidXRvcnM+PGF1dGgtYWRkcmVzcz4xIERlcGFy
dG1lbnQgb2YgUHVibGljIEhlYWx0aCBhbmQgQ2FyaW5nIFNjaWVuY2VzLCBVcHBzYWxhIFVuaXZl
cnNpdHksIFN3ZWRlbi4mI3hEOzIgRGVwYXJ0bWVudCBvZiBQdWJsaWMgSGVhbHRoIGFuZCBDbGlu
aWNhbCBNZWRpY2luZSwgVW5pdCBvZiBFcGlkZW1pb2xvZ3kgYW5kIEdsb2JhbCBIZWFsdGgsIFVt
ZWEgVW5pdmVyc2l0eSwgU3dlZGVuLiYjeEQ7MyBEZXBhcnRtZW50IG9mIEZhbWlseSBNZWRpY2lu
ZSwgQ29sbGVnZSBvZiBIdW1hbiBNZWRpY2luZSwgTWljaGlnYW4gU3RhdGUgVW5pdmVyc2l0eSwg
VVNBLiYjeEQ7NCBWYXN0ZXJib3R0ZW4gQ291bnR5IENvdW5jaWwsIFN3ZWRlbi4mI3hEOzUgUm9i
ZXJ0IFN0ZW1wZWwgQ29sbGVnZSBvZiBQdWJsaWMgSGVhbHRoIGFuZCBTb2NpYWwgV29yaywgRmxv
cmlkYSBJbnRlcm5hdGlvbmFsIFVuaXZlcnNpdHksIFVTQS48L2F1dGgtYWRkcmVzcz48dGl0bGVz
Pjx0aXRsZT5XYXRlcnBpcGUgdXNlIGluIGFkb2xlc2NlbnRzIGluIE5vcnRoZXJuIFN3ZWRlbjog
QXNzb2NpYXRpb24gd2l0aCBtZW50YWwgd2VsbC1iZWluZyBhbmQgcmlzayBhbmQgaGVhbHRoIGJl
aGF2aW91cnM8L3RpdGxlPjxzZWNvbmRhcnktdGl0bGU+U2NhbmQgSiBQdWJsaWMgSGVhbHRoPC9z
ZWNvbmRhcnktdGl0bGU+PGFsdC10aXRsZT5TY2FuZGluYXZpYW4gam91cm5hbCBvZiBwdWJsaWMg
aGVhbHRoPC9hbHQtdGl0bGU+PC90aXRsZXM+PGFsdC1wZXJpb2RpY2FsPjxmdWxsLXRpdGxlPlNj
YW5kaW5hdmlhbiBKb3VybmFsIG9mIFB1YmxpYyBIZWFsdGg8L2Z1bGwtdGl0bGU+PC9hbHQtcGVy
aW9kaWNhbD48cGFnZXM+MTQwMzQ5NDgxNzc0NjUzNDwvcGFnZXM+PGVkaXRpb24+MjAxNy8xMi8x
MjwvZWRpdGlvbj48a2V5d29yZHM+PGtleXdvcmQ+SG9va2FoL3NoaXNoYTwva2V5d29yZD48a2V5
d29yZD5lLWNpZ2FyZXR0ZTwva2V5d29yZD48a2V5d29yZD5oaWdoLXNjaG9vbCBzdHVkZW50czwv
a2V5d29yZD48a2V5d29yZD5yaXNrIGJlaGF2aW91cjwva2V5d29yZD48a2V5d29yZD5zbnVzPC9r
ZXl3b3JkPjwva2V5d29yZHM+PGRhdGVzPjx5ZWFyPjIwMTc8L3llYXI+PHB1Yi1kYXRlcz48ZGF0
ZT5EZWMgMTwvZGF0ZT48L3B1Yi1kYXRlcz48L2RhdGVzPjxpc2JuPjE0MDMtNDk0ODwvaXNibj48
YWNjZXNzaW9uLW51bT4yOTIyNjgwMDwvYWNjZXNzaW9uLW51bT48dXJscz48cmVsYXRlZC11cmxz
Pjx1cmw+aHR0cDovL2pvdXJuYWxzLnNhZ2VwdWIuY29tL2RvaS9wZGYvMTAuMTE3Ny8xNDAzNDk0
ODE3NzQ2NTM0PC91cmw+PC9yZWxhdGVkLXVybHM+PC91cmxzPjxlbGVjdHJvbmljLXJlc291cmNl
LW51bT4xMC4xMTc3LzE0MDM0OTQ4MTc3NDY1MzQ8L2VsZWN0cm9uaWMtcmVzb3VyY2UtbnVtPjxy
ZW1vdGUtZGF0YWJhc2UtcHJvdmlkZXI+TkxNPC9yZW1vdGUtZGF0YWJhc2UtcHJvdmlkZXI+PGxh
bmd1YWdlPmVuZzwvbGFuZ3VhZ2U+PC9yZWNvcmQ+PC9DaXRlPjwvRW5kTm90ZT4A
</w:fldData>
        </w:fldChar>
      </w:r>
      <w:r>
        <w:instrText xml:space="preserve"> ADDIN EN.CITE </w:instrText>
      </w:r>
      <w:r>
        <w:fldChar w:fldCharType="begin">
          <w:fldData xml:space="preserve">PEVuZE5vdGU+PENpdGU+PEF1dGhvcj5SYW1qaTwvQXV0aG9yPjxZZWFyPjIwMTc8L1llYXI+PFJl
Y051bT40NzUwPC9SZWNOdW0+PERpc3BsYXlUZXh0PihSYW1qaSwgQXJuZXR6IGV0IGFsLiAyMDE3
KTwvRGlzcGxheVRleHQ+PHJlY29yZD48cmVjLW51bWJlcj40NzUwPC9yZWMtbnVtYmVyPjxmb3Jl
aWduLWtleXM+PGtleSBhcHA9IkVOIiBkYi1pZD0iOXowNWR6MHByYWFkZnVlZTB6b3h6ZWRrOXpm
ZTVmeHg1MHo1IiB0aW1lc3RhbXA9IjE1MjM5MjA0MjYiPjQ3NTA8L2tleT48a2V5IGFwcD0iRU5X
ZWIiIGRiLWlkPSIiPjA8L2tleT48L2ZvcmVpZ24ta2V5cz48cmVmLXR5cGUgbmFtZT0iSm91cm5h
bCBBcnRpY2xlIj4xNzwvcmVmLXR5cGU+PGNvbnRyaWJ1dG9ycz48YXV0aG9ycz48YXV0aG9yPlJh
bWppLCBSLjwvYXV0aG9yPjxhdXRob3I+QXJuZXR6LCBCLiBCLjwvYXV0aG9yPjxhdXRob3I+Tmls
c3NvbiwgTS48L2F1dGhvcj48YXV0aG9yPldpa2x1bmQsIFkuPC9hdXRob3I+PGF1dGhvcj5KYW1p
bCwgSC48L2F1dGhvcj48YXV0aG9yPk1hemlhaywgVy48L2F1dGhvcj48YXV0aG9yPkFybmV0eiwg
Si48L2F1dGhvcj48L2F1dGhvcnM+PC9jb250cmlidXRvcnM+PGF1dGgtYWRkcmVzcz4xIERlcGFy
dG1lbnQgb2YgUHVibGljIEhlYWx0aCBhbmQgQ2FyaW5nIFNjaWVuY2VzLCBVcHBzYWxhIFVuaXZl
cnNpdHksIFN3ZWRlbi4mI3hEOzIgRGVwYXJ0bWVudCBvZiBQdWJsaWMgSGVhbHRoIGFuZCBDbGlu
aWNhbCBNZWRpY2luZSwgVW5pdCBvZiBFcGlkZW1pb2xvZ3kgYW5kIEdsb2JhbCBIZWFsdGgsIFVt
ZWEgVW5pdmVyc2l0eSwgU3dlZGVuLiYjeEQ7MyBEZXBhcnRtZW50IG9mIEZhbWlseSBNZWRpY2lu
ZSwgQ29sbGVnZSBvZiBIdW1hbiBNZWRpY2luZSwgTWljaGlnYW4gU3RhdGUgVW5pdmVyc2l0eSwg
VVNBLiYjeEQ7NCBWYXN0ZXJib3R0ZW4gQ291bnR5IENvdW5jaWwsIFN3ZWRlbi4mI3hEOzUgUm9i
ZXJ0IFN0ZW1wZWwgQ29sbGVnZSBvZiBQdWJsaWMgSGVhbHRoIGFuZCBTb2NpYWwgV29yaywgRmxv
cmlkYSBJbnRlcm5hdGlvbmFsIFVuaXZlcnNpdHksIFVTQS48L2F1dGgtYWRkcmVzcz48dGl0bGVz
Pjx0aXRsZT5XYXRlcnBpcGUgdXNlIGluIGFkb2xlc2NlbnRzIGluIE5vcnRoZXJuIFN3ZWRlbjog
QXNzb2NpYXRpb24gd2l0aCBtZW50YWwgd2VsbC1iZWluZyBhbmQgcmlzayBhbmQgaGVhbHRoIGJl
aGF2aW91cnM8L3RpdGxlPjxzZWNvbmRhcnktdGl0bGU+U2NhbmQgSiBQdWJsaWMgSGVhbHRoPC9z
ZWNvbmRhcnktdGl0bGU+PGFsdC10aXRsZT5TY2FuZGluYXZpYW4gam91cm5hbCBvZiBwdWJsaWMg
aGVhbHRoPC9hbHQtdGl0bGU+PC90aXRsZXM+PGFsdC1wZXJpb2RpY2FsPjxmdWxsLXRpdGxlPlNj
YW5kaW5hdmlhbiBKb3VybmFsIG9mIFB1YmxpYyBIZWFsdGg8L2Z1bGwtdGl0bGU+PC9hbHQtcGVy
aW9kaWNhbD48cGFnZXM+MTQwMzQ5NDgxNzc0NjUzNDwvcGFnZXM+PGVkaXRpb24+MjAxNy8xMi8x
MjwvZWRpdGlvbj48a2V5d29yZHM+PGtleXdvcmQ+SG9va2FoL3NoaXNoYTwva2V5d29yZD48a2V5
d29yZD5lLWNpZ2FyZXR0ZTwva2V5d29yZD48a2V5d29yZD5oaWdoLXNjaG9vbCBzdHVkZW50czwv
a2V5d29yZD48a2V5d29yZD5yaXNrIGJlaGF2aW91cjwva2V5d29yZD48a2V5d29yZD5zbnVzPC9r
ZXl3b3JkPjwva2V5d29yZHM+PGRhdGVzPjx5ZWFyPjIwMTc8L3llYXI+PHB1Yi1kYXRlcz48ZGF0
ZT5EZWMgMTwvZGF0ZT48L3B1Yi1kYXRlcz48L2RhdGVzPjxpc2JuPjE0MDMtNDk0ODwvaXNibj48
YWNjZXNzaW9uLW51bT4yOTIyNjgwMDwvYWNjZXNzaW9uLW51bT48dXJscz48cmVsYXRlZC11cmxz
Pjx1cmw+aHR0cDovL2pvdXJuYWxzLnNhZ2VwdWIuY29tL2RvaS9wZGYvMTAuMTE3Ny8xNDAzNDk0
ODE3NzQ2NTM0PC91cmw+PC9yZWxhdGVkLXVybHM+PC91cmxzPjxlbGVjdHJvbmljLXJlc291cmNl
LW51bT4xMC4xMTc3LzE0MDM0OTQ4MTc3NDY1MzQ8L2VsZWN0cm9uaWMtcmVzb3VyY2UtbnVtPjxy
ZW1vdGUtZGF0YWJhc2UtcHJvdmlkZXI+TkxNPC9yZW1vdGUtZGF0YWJhc2UtcHJvdmlkZXI+PGxh
bmd1YWdlPmVuZzwvbGFuZ3VhZ2U+PC9yZWNvcmQ+PC9DaXRlPjwvRW5kTm90ZT4A
</w:fldData>
        </w:fldChar>
      </w:r>
      <w:r>
        <w:instrText xml:space="preserve"> ADDIN EN.CITE.DATA </w:instrText>
      </w:r>
      <w:r>
        <w:fldChar w:fldCharType="end"/>
      </w:r>
      <w:r>
        <w:fldChar w:fldCharType="separate"/>
      </w:r>
      <w:r>
        <w:rPr>
          <w:noProof/>
        </w:rPr>
        <w:t>(Ramji, Arnetz et al. 2017)</w:t>
      </w:r>
      <w:r>
        <w:fldChar w:fldCharType="end"/>
      </w:r>
      <w:r>
        <w:t>. This analysis controlled for school performance, stress, mental energy (a proxy measure for depression and anxiety), sleep quality, exercise in leisure time, gambling, and the use of cigarettes, snus, alcohol and narcotics.</w:t>
      </w:r>
    </w:p>
    <w:p w14:paraId="7BFAB470" w14:textId="49B8428D" w:rsidR="002D348A" w:rsidRDefault="002D348A" w:rsidP="002D348A">
      <w:pPr>
        <w:pStyle w:val="BodyText"/>
      </w:pPr>
      <w:r>
        <w:lastRenderedPageBreak/>
        <w:t xml:space="preserve">Another US study with a slightly different study design assessed the association between the use of electronic nicotine delivery systems (ENDs) and acceptability of adult cigarette smoking and susceptibility to cigarette smoking in a sample of 68,928 middle and high school students in Florida </w:t>
      </w:r>
      <w:r>
        <w:fldChar w:fldCharType="begin">
          <w:fldData xml:space="preserve">PEVuZE5vdGU+PENpdGU+PEF1dGhvcj5DaG9pPC9BdXRob3I+PFllYXI+MjAxNzwvWWVhcj48UmVj
TnVtPjUzNjU8L1JlY051bT48RGlzcGxheVRleHQ+KENob2ksIEdyYW5hIGV0IGFsLiAyMDE3KTwv
RGlzcGxheVRleHQ+PHJlY29yZD48cmVjLW51bWJlcj41MzY1PC9yZWMtbnVtYmVyPjxmb3JlaWdu
LWtleXM+PGtleSBhcHA9IkVOIiBkYi1pZD0iOXowNWR6MHByYWFkZnVlZTB6b3h6ZWRrOXpmZTVm
eHg1MHo1IiB0aW1lc3RhbXA9IjE1MjM5MjA5NTEiPjUzNjU8L2tleT48a2V5IGFwcD0iRU5XZWIi
IGRiLWlkPSIiPjA8L2tleT48L2ZvcmVpZ24ta2V5cz48cmVmLXR5cGUgbmFtZT0iSm91cm5hbCBB
cnRpY2xlIj4xNzwvcmVmLXR5cGU+PGNvbnRyaWJ1dG9ycz48YXV0aG9ycz48YXV0aG9yPkNob2ks
IEsuPC9hdXRob3I+PGF1dGhvcj5HcmFuYSwgUi48L2F1dGhvcj48YXV0aG9yPkJlcm5hdCwgRC48
L2F1dGhvcj48L2F1dGhvcnM+PC9jb250cmlidXRvcnM+PGF1dGgtYWRkcmVzcz5EaXZpc2lvbiBv
ZiBJbnRyYW11cmFsIFJlc2VhcmNoLCBOYXRpb25hbCBJbnN0aXR1dGUgb24gTWlub3JpdHkgSGVh
bHRoIGFuZCBIZWFsdGggRGlzcGFyaXRpZXMsIEJldGhlc2RhLCBNRC4gRWxlY3Ryb25pYyBhZGRy
ZXNzOiBrZWx2aW4uY2hvaUBuaWguZ292LiYjeEQ7VG9iYWNjbyBDb250cm9sIFJlc2VhcmNoIEJy
YW5jaCwgRGl2aXNpb24gb2YgQ2FuY2VyIENvbnRyb2wgYW5kIFBvcHVsYXRpb24gU2NpZW5jZSwg
TmF0aW9uYWwgQ2FuY2VyIEluc3RpdHV0ZSwgUm9ja3ZpbGxlLCBNRC4mI3hEO0RlcGFydG1lbnQg
b2YgQmVoYXZpb3JhbCBhbmQgQ29tbXVuaXR5IEhlYWx0aCwgVW5pdmVyc2l0eSBvZiBNYXJ5bGFu
ZCwgQ29sbGVnZSBQYXJrLCBNRC48L2F1dGgtYWRkcmVzcz48dGl0bGVzPjx0aXRsZT5FbGVjdHJv
bmljIE5pY290aW5lIERlbGl2ZXJ5IFN5c3RlbXMgYW5kIEFjY2VwdGFiaWxpdHkgb2YgQWR1bHQg
Q2lnYXJldHRlIFNtb2tpbmcgQW1vbmcgRmxvcmlkYSBZb3V0aDogUmVub3JtYWxpemF0aW9uIG9m
IFNtb2tpbmc/PC90aXRsZT48c2Vjb25kYXJ5LXRpdGxlPkogQWRvbGVzYyBIZWFsdGg8L3NlY29u
ZGFyeS10aXRsZT48YWx0LXRpdGxlPlRoZSBKb3VybmFsIG9mIGFkb2xlc2NlbnQgaGVhbHRoIDog
b2ZmaWNpYWwgcHVibGljYXRpb24gb2YgdGhlIFNvY2lldHkgZm9yIEFkb2xlc2NlbnQgTWVkaWNp
bmU8L2FsdC10aXRsZT48L3RpdGxlcz48cGVyaW9kaWNhbD48ZnVsbC10aXRsZT5KIEFkb2xlc2Mg
SGVhbHRoPC9mdWxsLXRpdGxlPjxhYmJyLTE+VGhlIEpvdXJuYWwgb2YgYWRvbGVzY2VudCBoZWFs
dGggOiBvZmZpY2lhbCBwdWJsaWNhdGlvbiBvZiB0aGUgU29jaWV0eSBmb3IgQWRvbGVzY2VudCBN
ZWRpY2luZTwvYWJici0xPjwvcGVyaW9kaWNhbD48YWx0LXBlcmlvZGljYWw+PGZ1bGwtdGl0bGU+
SiBBZG9sZXNjIEhlYWx0aDwvZnVsbC10aXRsZT48YWJici0xPlRoZSBKb3VybmFsIG9mIGFkb2xl
c2NlbnQgaGVhbHRoIDogb2ZmaWNpYWwgcHVibGljYXRpb24gb2YgdGhlIFNvY2lldHkgZm9yIEFk
b2xlc2NlbnQgTWVkaWNpbmU8L2FiYnItMT48L2FsdC1wZXJpb2RpY2FsPjxwYWdlcz41OTItNTk4
PC9wYWdlcz48dm9sdW1lPjYwPC92b2x1bWU+PG51bWJlcj41PC9udW1iZXI+PGVkaXRpb24+MjAx
Ny8wMi8wNjwvZWRpdGlvbj48a2V5d29yZHM+PGtleXdvcmQ+QWRvbGVzY2VudDwva2V5d29yZD48
a2V5d29yZD5BZHVsdDwva2V5d29yZD48a2V5d29yZD5BZHZlcnRpc2luZyBhcyBUb3BpYy8qc3Rh
dGlzdGljcyAmYW1wOyBudW1lcmljYWwgZGF0YTwva2V5d29yZD48a2V5d29yZD5DaGlsZDwva2V5
d29yZD48a2V5d29yZD5DaWdhcmV0dGUgU21va2luZy8qZXBpZGVtaW9sb2d5PC9rZXl3b3JkPjxr
ZXl3b3JkPkNyb3NzLVNlY3Rpb25hbCBTdHVkaWVzPC9rZXl3b3JkPjxrZXl3b3JkPkVsZWN0cm9u
aWMgTmljb3RpbmUgRGVsaXZlcnkgU3lzdGVtcy8qc3RhdGlzdGljcyAmYW1wOyBudW1lcmljYWwg
ZGF0YTwva2V5d29yZD48a2V5d29yZD5GZW1hbGU8L2tleXdvcmQ+PGtleXdvcmQ+RmxvcmlkYS9l
cGlkZW1pb2xvZ3k8L2tleXdvcmQ+PGtleXdvcmQ+SGVhbHRoIFN1cnZleXM8L2tleXdvcmQ+PGtl
eXdvcmQ+SHVtYW5zPC9rZXl3b3JkPjxrZXl3b3JkPkxvZ2lzdGljIE1vZGVsczwva2V5d29yZD48
a2V5d29yZD5NYWxlPC9rZXl3b3JkPjxrZXl3b3JkPlJpc2sgRmFjdG9yczwva2V5d29yZD48a2V5
d29yZD5TdHVkZW50cy9wc3ljaG9sb2d5LypzdGF0aXN0aWNzICZhbXA7IG51bWVyaWNhbCBkYXRh
PC9rZXl3b3JkPjxrZXl3b3JkPkFjY2VwdGFiaWxpdHk8L2tleXdvcmQ+PGtleXdvcmQ+Q2lnYXJl
dHRlIHNtb2tpbmc8L2tleXdvcmQ+PGtleXdvcmQ+RWxlY3Ryb25pYyBuaWNvdGluZSBkZWxpdmVy
eSBzeXN0ZW1zPC9rZXl3b3JkPjxrZXl3b3JkPlN1c2NlcHRpYmlsaXR5PC9rZXl3b3JkPjwva2V5
d29yZHM+PGRhdGVzPjx5ZWFyPjIwMTc8L3llYXI+PHB1Yi1kYXRlcz48ZGF0ZT5NYXk8L2RhdGU+
PC9wdWItZGF0ZXM+PC9kYXRlcz48aXNibj4xMDU0LTEzOXg8L2lzYm4+PGFjY2Vzc2lvbi1udW0+
MjgxNTk0MjM8L2FjY2Vzc2lvbi1udW0+PHVybHM+PHJlbGF0ZWQtdXJscz48dXJsPmh0dHA6Ly93
d3cuamFob25saW5lLm9yZy9hcnRpY2xlL1MxMDU0LTEzOVgoMTYpMzA5NDYtNi9wZGY8L3VybD48
L3JlbGF0ZWQtdXJscz48L3VybHM+PGN1c3RvbTI+UE1DNTQwMTc4MTwvY3VzdG9tMj48Y3VzdG9t
Nj5OSUhNUzgzNTcwODwvY3VzdG9tNj48ZWxlY3Ryb25pYy1yZXNvdXJjZS1udW0+MTAuMTAxNi9q
LmphZG9oZWFsdGguMjAxNi4xMi4wMDE8L2VsZWN0cm9uaWMtcmVzb3VyY2UtbnVtPjxyZW1vdGUt
ZGF0YWJhc2UtcHJvdmlkZXI+TkxNPC9yZW1vdGUtZGF0YWJhc2UtcHJvdmlkZXI+PGxhbmd1YWdl
PmVuZzwvbGFuZ3VhZ2U+PC9yZWNvcmQ+PC9DaXRlPjwvRW5kTm90ZT5=
</w:fldData>
        </w:fldChar>
      </w:r>
      <w:r>
        <w:instrText xml:space="preserve"> ADDIN EN.CITE </w:instrText>
      </w:r>
      <w:r>
        <w:fldChar w:fldCharType="begin">
          <w:fldData xml:space="preserve">PEVuZE5vdGU+PENpdGU+PEF1dGhvcj5DaG9pPC9BdXRob3I+PFllYXI+MjAxNzwvWWVhcj48UmVj
TnVtPjUzNjU8L1JlY051bT48RGlzcGxheVRleHQ+KENob2ksIEdyYW5hIGV0IGFsLiAyMDE3KTwv
RGlzcGxheVRleHQ+PHJlY29yZD48cmVjLW51bWJlcj41MzY1PC9yZWMtbnVtYmVyPjxmb3JlaWdu
LWtleXM+PGtleSBhcHA9IkVOIiBkYi1pZD0iOXowNWR6MHByYWFkZnVlZTB6b3h6ZWRrOXpmZTVm
eHg1MHo1IiB0aW1lc3RhbXA9IjE1MjM5MjA5NTEiPjUzNjU8L2tleT48a2V5IGFwcD0iRU5XZWIi
IGRiLWlkPSIiPjA8L2tleT48L2ZvcmVpZ24ta2V5cz48cmVmLXR5cGUgbmFtZT0iSm91cm5hbCBB
cnRpY2xlIj4xNzwvcmVmLXR5cGU+PGNvbnRyaWJ1dG9ycz48YXV0aG9ycz48YXV0aG9yPkNob2ks
IEsuPC9hdXRob3I+PGF1dGhvcj5HcmFuYSwgUi48L2F1dGhvcj48YXV0aG9yPkJlcm5hdCwgRC48
L2F1dGhvcj48L2F1dGhvcnM+PC9jb250cmlidXRvcnM+PGF1dGgtYWRkcmVzcz5EaXZpc2lvbiBv
ZiBJbnRyYW11cmFsIFJlc2VhcmNoLCBOYXRpb25hbCBJbnN0aXR1dGUgb24gTWlub3JpdHkgSGVh
bHRoIGFuZCBIZWFsdGggRGlzcGFyaXRpZXMsIEJldGhlc2RhLCBNRC4gRWxlY3Ryb25pYyBhZGRy
ZXNzOiBrZWx2aW4uY2hvaUBuaWguZ292LiYjeEQ7VG9iYWNjbyBDb250cm9sIFJlc2VhcmNoIEJy
YW5jaCwgRGl2aXNpb24gb2YgQ2FuY2VyIENvbnRyb2wgYW5kIFBvcHVsYXRpb24gU2NpZW5jZSwg
TmF0aW9uYWwgQ2FuY2VyIEluc3RpdHV0ZSwgUm9ja3ZpbGxlLCBNRC4mI3hEO0RlcGFydG1lbnQg
b2YgQmVoYXZpb3JhbCBhbmQgQ29tbXVuaXR5IEhlYWx0aCwgVW5pdmVyc2l0eSBvZiBNYXJ5bGFu
ZCwgQ29sbGVnZSBQYXJrLCBNRC48L2F1dGgtYWRkcmVzcz48dGl0bGVzPjx0aXRsZT5FbGVjdHJv
bmljIE5pY290aW5lIERlbGl2ZXJ5IFN5c3RlbXMgYW5kIEFjY2VwdGFiaWxpdHkgb2YgQWR1bHQg
Q2lnYXJldHRlIFNtb2tpbmcgQW1vbmcgRmxvcmlkYSBZb3V0aDogUmVub3JtYWxpemF0aW9uIG9m
IFNtb2tpbmc/PC90aXRsZT48c2Vjb25kYXJ5LXRpdGxlPkogQWRvbGVzYyBIZWFsdGg8L3NlY29u
ZGFyeS10aXRsZT48YWx0LXRpdGxlPlRoZSBKb3VybmFsIG9mIGFkb2xlc2NlbnQgaGVhbHRoIDog
b2ZmaWNpYWwgcHVibGljYXRpb24gb2YgdGhlIFNvY2lldHkgZm9yIEFkb2xlc2NlbnQgTWVkaWNp
bmU8L2FsdC10aXRsZT48L3RpdGxlcz48cGVyaW9kaWNhbD48ZnVsbC10aXRsZT5KIEFkb2xlc2Mg
SGVhbHRoPC9mdWxsLXRpdGxlPjxhYmJyLTE+VGhlIEpvdXJuYWwgb2YgYWRvbGVzY2VudCBoZWFs
dGggOiBvZmZpY2lhbCBwdWJsaWNhdGlvbiBvZiB0aGUgU29jaWV0eSBmb3IgQWRvbGVzY2VudCBN
ZWRpY2luZTwvYWJici0xPjwvcGVyaW9kaWNhbD48YWx0LXBlcmlvZGljYWw+PGZ1bGwtdGl0bGU+
SiBBZG9sZXNjIEhlYWx0aDwvZnVsbC10aXRsZT48YWJici0xPlRoZSBKb3VybmFsIG9mIGFkb2xl
c2NlbnQgaGVhbHRoIDogb2ZmaWNpYWwgcHVibGljYXRpb24gb2YgdGhlIFNvY2lldHkgZm9yIEFk
b2xlc2NlbnQgTWVkaWNpbmU8L2FiYnItMT48L2FsdC1wZXJpb2RpY2FsPjxwYWdlcz41OTItNTk4
PC9wYWdlcz48dm9sdW1lPjYwPC92b2x1bWU+PG51bWJlcj41PC9udW1iZXI+PGVkaXRpb24+MjAx
Ny8wMi8wNjwvZWRpdGlvbj48a2V5d29yZHM+PGtleXdvcmQ+QWRvbGVzY2VudDwva2V5d29yZD48
a2V5d29yZD5BZHVsdDwva2V5d29yZD48a2V5d29yZD5BZHZlcnRpc2luZyBhcyBUb3BpYy8qc3Rh
dGlzdGljcyAmYW1wOyBudW1lcmljYWwgZGF0YTwva2V5d29yZD48a2V5d29yZD5DaGlsZDwva2V5
d29yZD48a2V5d29yZD5DaWdhcmV0dGUgU21va2luZy8qZXBpZGVtaW9sb2d5PC9rZXl3b3JkPjxr
ZXl3b3JkPkNyb3NzLVNlY3Rpb25hbCBTdHVkaWVzPC9rZXl3b3JkPjxrZXl3b3JkPkVsZWN0cm9u
aWMgTmljb3RpbmUgRGVsaXZlcnkgU3lzdGVtcy8qc3RhdGlzdGljcyAmYW1wOyBudW1lcmljYWwg
ZGF0YTwva2V5d29yZD48a2V5d29yZD5GZW1hbGU8L2tleXdvcmQ+PGtleXdvcmQ+RmxvcmlkYS9l
cGlkZW1pb2xvZ3k8L2tleXdvcmQ+PGtleXdvcmQ+SGVhbHRoIFN1cnZleXM8L2tleXdvcmQ+PGtl
eXdvcmQ+SHVtYW5zPC9rZXl3b3JkPjxrZXl3b3JkPkxvZ2lzdGljIE1vZGVsczwva2V5d29yZD48
a2V5d29yZD5NYWxlPC9rZXl3b3JkPjxrZXl3b3JkPlJpc2sgRmFjdG9yczwva2V5d29yZD48a2V5
d29yZD5TdHVkZW50cy9wc3ljaG9sb2d5LypzdGF0aXN0aWNzICZhbXA7IG51bWVyaWNhbCBkYXRh
PC9rZXl3b3JkPjxrZXl3b3JkPkFjY2VwdGFiaWxpdHk8L2tleXdvcmQ+PGtleXdvcmQ+Q2lnYXJl
dHRlIHNtb2tpbmc8L2tleXdvcmQ+PGtleXdvcmQ+RWxlY3Ryb25pYyBuaWNvdGluZSBkZWxpdmVy
eSBzeXN0ZW1zPC9rZXl3b3JkPjxrZXl3b3JkPlN1c2NlcHRpYmlsaXR5PC9rZXl3b3JkPjwva2V5
d29yZHM+PGRhdGVzPjx5ZWFyPjIwMTc8L3llYXI+PHB1Yi1kYXRlcz48ZGF0ZT5NYXk8L2RhdGU+
PC9wdWItZGF0ZXM+PC9kYXRlcz48aXNibj4xMDU0LTEzOXg8L2lzYm4+PGFjY2Vzc2lvbi1udW0+
MjgxNTk0MjM8L2FjY2Vzc2lvbi1udW0+PHVybHM+PHJlbGF0ZWQtdXJscz48dXJsPmh0dHA6Ly93
d3cuamFob25saW5lLm9yZy9hcnRpY2xlL1MxMDU0LTEzOVgoMTYpMzA5NDYtNi9wZGY8L3VybD48
L3JlbGF0ZWQtdXJscz48L3VybHM+PGN1c3RvbTI+UE1DNTQwMTc4MTwvY3VzdG9tMj48Y3VzdG9t
Nj5OSUhNUzgzNTcwODwvY3VzdG9tNj48ZWxlY3Ryb25pYy1yZXNvdXJjZS1udW0+MTAuMTAxNi9q
LmphZG9oZWFsdGguMjAxNi4xMi4wMDE8L2VsZWN0cm9uaWMtcmVzb3VyY2UtbnVtPjxyZW1vdGUt
ZGF0YWJhc2UtcHJvdmlkZXI+TkxNPC9yZW1vdGUtZGF0YWJhc2UtcHJvdmlkZXI+PGxhbmd1YWdl
PmVuZzwvbGFuZ3VhZ2U+PC9yZWNvcmQ+PC9DaXRlPjwvRW5kTm90ZT5=
</w:fldData>
        </w:fldChar>
      </w:r>
      <w:r>
        <w:instrText xml:space="preserve"> ADDIN EN.CITE.DATA </w:instrText>
      </w:r>
      <w:r>
        <w:fldChar w:fldCharType="end"/>
      </w:r>
      <w:r>
        <w:fldChar w:fldCharType="separate"/>
      </w:r>
      <w:r>
        <w:rPr>
          <w:noProof/>
        </w:rPr>
        <w:t>(Choi, Grana et al. 2017)</w:t>
      </w:r>
      <w:r>
        <w:fldChar w:fldCharType="end"/>
      </w:r>
      <w:r>
        <w:t>. In a mediation analysis, Choi and colleagues found ENDs use was indirectly associated with susceptibility to cigarette smoking among never smokers through peer acceptance of adult cigarette smoking. This study adjusted for demographics, exposure to cigarette marketing and living with a smoker.</w:t>
      </w:r>
    </w:p>
    <w:p w14:paraId="5BE92A1E" w14:textId="77777777" w:rsidR="002D348A" w:rsidRDefault="002D348A" w:rsidP="002D348A">
      <w:pPr>
        <w:pStyle w:val="BodyText"/>
      </w:pPr>
    </w:p>
    <w:p w14:paraId="1B019D70" w14:textId="77777777" w:rsidR="002D348A" w:rsidRDefault="002D348A" w:rsidP="002D348A">
      <w:pPr>
        <w:pStyle w:val="Heading3"/>
      </w:pPr>
      <w:r>
        <w:t>Does the use of e</w:t>
      </w:r>
      <w:r>
        <w:noBreakHyphen/>
        <w:t>cigarettes cause cigarette smoking?</w:t>
      </w:r>
    </w:p>
    <w:p w14:paraId="280191AE" w14:textId="7B54EF64" w:rsidR="002D348A" w:rsidRDefault="002D348A" w:rsidP="002D348A">
      <w:pPr>
        <w:pStyle w:val="BodyText"/>
      </w:pPr>
      <w:r>
        <w:t>To establish a causal relationship all the evidence must be examined together and considered against the Bradford</w:t>
      </w:r>
      <w:r>
        <w:noBreakHyphen/>
        <w:t>Hill criteria for causation. Firstly, the studies are reasonably heterogeneous, studying populations of youth from various countries. As the results observed are all consistent across these studies, this suggests a positive relationship between use of e</w:t>
      </w:r>
      <w:r>
        <w:noBreakHyphen/>
        <w:t>cigarettes and later cigarette smoking. This is further confirmed in a systematic review and meta</w:t>
      </w:r>
      <w:r>
        <w:noBreakHyphen/>
        <w:t xml:space="preserve">analysis of </w:t>
      </w:r>
      <w:r w:rsidR="001B2B62">
        <w:t xml:space="preserve">nine </w:t>
      </w:r>
      <w:r>
        <w:t>cohort studies performed by Soneji and colleagues which found consistent and strong evidence that e</w:t>
      </w:r>
      <w:r>
        <w:noBreakHyphen/>
        <w:t xml:space="preserve">cigarette use is associated with an increased odds of cigarette smoking among youth </w:t>
      </w:r>
      <w:r>
        <w:fldChar w:fldCharType="begin">
          <w:fldData xml:space="preserve">PEVuZE5vdGU+PENpdGU+PEF1dGhvcj5Tb25lamk8L0F1dGhvcj48WWVhcj4yMDE3PC9ZZWFyPjxS
ZWNOdW0+NTA4MTwvUmVjTnVtPjxEaXNwbGF5VGV4dD4oU29uZWppLCBCYXJyaW5ndG9uLVRyaW1p
cyBldCBhbC4gMjAxNyk8L0Rpc3BsYXlUZXh0PjxyZWNvcmQ+PHJlYy1udW1iZXI+NTA4MTwvcmVj
LW51bWJlcj48Zm9yZWlnbi1rZXlzPjxrZXkgYXBwPSJFTiIgZGItaWQ9Ijl6MDVkejBwcmFhZGZ1
ZWUwem94emVkazl6ZmU1Znh4NTB6NSIgdGltZXN0YW1wPSIxNTIzOTIwOTE5Ij41MDgxPC9rZXk+
PGtleSBhcHA9IkVOV2ViIiBkYi1pZD0iIj4wPC9rZXk+PC9mb3JlaWduLWtleXM+PHJlZi10eXBl
IG5hbWU9IkpvdXJuYWwgQXJ0aWNsZSI+MTc8L3JlZi10eXBlPjxjb250cmlidXRvcnM+PGF1dGhv
cnM+PGF1dGhvcj5Tb25lamksIFMuPC9hdXRob3I+PGF1dGhvcj5CYXJyaW5ndG9uLVRyaW1pcywg
Si4gTC48L2F1dGhvcj48YXV0aG9yPldpbGxzLCBULiBBLjwvYXV0aG9yPjxhdXRob3I+TGV2ZW50
aGFsLCBBLiBNLjwvYXV0aG9yPjxhdXRob3I+VW5nZXIsIEouIEIuPC9hdXRob3I+PGF1dGhvcj5H
aWJzb24sIEwuIEEuPC9hdXRob3I+PGF1dGhvcj5ZYW5nLCBKLjwvYXV0aG9yPjxhdXRob3I+UHJp
bWFjaywgQi4gQS48L2F1dGhvcj48YXV0aG9yPkFuZHJld3MsIEouIEEuPC9hdXRob3I+PGF1dGhv
cj5NaWVjaCwgUi4gQS48L2F1dGhvcj48YXV0aG9yPlNwaW5kbGUsIFQuIFIuPC9hdXRob3I+PGF1
dGhvcj5EaWNrLCBELiBNLjwvYXV0aG9yPjxhdXRob3I+RWlzc2VuYmVyZywgVC48L2F1dGhvcj48
YXV0aG9yPkhvcm5paywgUi4gQy48L2F1dGhvcj48YXV0aG9yPkRhbmcsIFIuPC9hdXRob3I+PGF1
dGhvcj5TYXJnZW50LCBKLiBELjwvYXV0aG9yPjwvYXV0aG9ycz48L2NvbnRyaWJ1dG9ycz48YXV0
aC1hZGRyZXNzPkRhcnRtb3V0aC1IaXRjaGNvY2sgTm9ycmlzIENvdHRvbiBDYW5jZXIgQ2VudGVy
LCBEYXJ0bW91dGggR2Vpc2VsIFNjaG9vbCBvZiBNZWRpY2luZSwgTGViYW5vbiwgTmV3IEhhbXBz
aGlyZS4mI3hEO1RoZSBEYXJ0bW91dGggSW5zdGl0dXRlIGZvciBIZWFsdGggUG9saWN5IGFuZCBD
bGluaWNhbCBQcmFjdGljZSwgRGFydG1vdXRoIEdlaXNlbCBTY2hvb2wgb2YgTWVkaWNpbmUsIExl
YmFub24sIE5ldyBIYW1wc2hpcmUuJiN4RDtEZXBhcnRtZW50IG9mIFByZXZlbnRpdmUgTWVkaWNp
bmUsIEtlY2sgU2Nob29sIG9mIE1lZGljaW5lIG9mIFVTQywgVW5pdmVyc2l0eSBvZiBTb3V0aGVy
biBDYWxpZm9ybmlhLCBMb3MgQW5nZWxlcy4mI3hEO1VuaXZlcnNpdHkgb2YgSGF3YWlpIENhbmNl
ciBDZW50ZXIsIEhvbm9sdWx1LiYjeEQ7QW5uZW5iZXJnIFNjaG9vbCBmb3IgQ29tbXVuaWNhdGlv
biwgVW5pdmVyc2l0eSBvZiBQZW5uc3lsdmFuaWEsIFBoaWxhZGVscGhpYS4mI3hEO2N1cnJlbnRs
eSBhIG1lZGljYWwgc3R1ZGVudCBhdCBXYXJyZW4gQWxwZXJ0IE1lZGljYWwgU2Nob29sIG9mIEJy
b3duIFVuaXZlcnNpdHksIFByb3ZpZGVuY2UsIFJob2RlIElzbGFuZC4mI3hEO0RpdmlzaW9uIG9m
IEdlbmVyYWwgSW50ZXJuYWwgTWVkaWNpbmUsIERlcGFydG1lbnQgb2YgTWVkaWNpbmUsIFNjaG9v
bCBvZiBNZWRpY2luZSwgVW5pdmVyc2l0eSBvZiBQaXR0c2J1cmdoLCBQaXR0c2J1cmdoLCBQZW5u
c3lsdmFuaWEuJiN4RDtPcmVnb24gUmVzZWFyY2ggSW5zdGl0dXRlLCBFdWdlbmUuJiN4RDtJbnN0
aXR1dGUgZm9yIFNvY2lhbCBSZXNlYXJjaCwgVW5pdmVyc2l0eSBvZiBNaWNoaWdhbiwgQW5uIEFy
Ym9yLiYjeEQ7RGVwYXJ0bWVudCBvZiBQc3ljaG9sb2d5LCBWaXJnaW5pYSBDb21tb253ZWFsdGgg
VW5pdmVyc2l0eSwgUmljaG1vbmQuPC9hdXRoLWFkZHJlc3M+PHRpdGxlcz48dGl0bGU+QXNzb2Np
YXRpb24gQmV0d2VlbiBJbml0aWFsIFVzZSBvZiBlLUNpZ2FyZXR0ZXMgYW5kIFN1YnNlcXVlbnQg
Q2lnYXJldHRlIFNtb2tpbmcgQW1vbmcgQWRvbGVzY2VudHMgYW5kIFlvdW5nIEFkdWx0czogQSBT
eXN0ZW1hdGljIFJldmlldyBhbmQgTWV0YS1hbmFseXNpczwvdGl0bGU+PHNlY29uZGFyeS10aXRs
ZT5KQU1BIFBlZGlhdHI8L3NlY29uZGFyeS10aXRsZT48YWx0LXRpdGxlPkpBTUEgcGVkaWF0cmlj
czwvYWx0LXRpdGxlPjwvdGl0bGVzPjxhbHQtcGVyaW9kaWNhbD48ZnVsbC10aXRsZT5KYW1hIFBl
ZGlhdHJpY3M8L2Z1bGwtdGl0bGU+PC9hbHQtcGVyaW9kaWNhbD48cGFnZXM+Nzg4LTc5NzwvcGFn
ZXM+PHZvbHVtZT4xNzE8L3ZvbHVtZT48bnVtYmVyPjg8L251bWJlcj48ZWRpdGlvbj4yMDE3LzA2
LzI4PC9lZGl0aW9uPjxrZXl3b3Jkcz48a2V5d29yZD5BZG9sZXNjZW50PC9rZXl3b3JkPjxrZXl3
b3JkPipBZG9sZXNjZW50IEJlaGF2aW9yPC9rZXl3b3JkPjxrZXl3b3JkPkRpc2Vhc2UgUHJvZ3Jl
c3Npb248L2tleXdvcmQ+PGtleXdvcmQ+RWxlY3Ryb25pYyBOaWNvdGluZSBEZWxpdmVyeSBTeXN0
ZW1zL3BzeWNob2xvZ3kvKnN0YXRpc3RpY3MgJmFtcDsgbnVtZXJpY2FsIGRhdGE8L2tleXdvcmQ+
PGtleXdvcmQ+RmVtYWxlPC9rZXl3b3JkPjxrZXl3b3JkPkh1bWFuczwva2V5d29yZD48a2V5d29y
ZD5NYWxlPC9rZXl3b3JkPjxrZXl3b3JkPlJpc2sgRmFjdG9yczwva2V5d29yZD48a2V5d29yZD5T
bW9raW5nLyplcGlkZW1pb2xvZ3kvcHN5Y2hvbG9neTwva2V5d29yZD48a2V5d29yZD5TbW9raW5n
IENlc3NhdGlvbi9zdGF0aXN0aWNzICZhbXA7IG51bWVyaWNhbCBkYXRhPC9rZXl3b3JkPjxrZXl3
b3JkPlRvYmFjY28gVXNlIERpc29yZGVyLyplcGlkZW1pb2xvZ3kvcHN5Y2hvbG9neTwva2V5d29y
ZD48a2V5d29yZD5Zb3VuZyBBZHVsdDwva2V5d29yZD48L2tleXdvcmRzPjxkYXRlcz48eWVhcj4y
MDE3PC95ZWFyPjxwdWItZGF0ZXM+PGRhdGU+QXVnIDE8L2RhdGU+PC9wdWItZGF0ZXM+PC9kYXRl
cz48aXNibj4yMTY4LTYyMDM8L2lzYm4+PGFjY2Vzc2lvbi1udW0+Mjg2NTQ5ODY8L2FjY2Vzc2lv
bi1udW0+PHVybHM+PHJlbGF0ZWQtdXJscz48dXJsPmh0dHBzOi8vd3d3Lm5jYmkubmxtLm5paC5n
b3YvcG1jL2FydGljbGVzL1BNQzU2NTYyMzcvcGRmL25paG1zOTA3MzEyLnBkZjwvdXJsPjwvcmVs
YXRlZC11cmxzPjwvdXJscz48Y3VzdG9tMj5QTUM1NjU2MjM3PC9jdXN0b20yPjxjdXN0b202Pk5J
SE1TOTA3MzEyPC9jdXN0b202PjxlbGVjdHJvbmljLXJlc291cmNlLW51bT4xMC4xMDAxL2phbWFw
ZWRpYXRyaWNzLjIwMTcuMTQ4ODwvZWxlY3Ryb25pYy1yZXNvdXJjZS1udW0+PHJlbW90ZS1kYXRh
YmFzZS1wcm92aWRlcj5OTE08L3JlbW90ZS1kYXRhYmFzZS1wcm92aWRlcj48bGFuZ3VhZ2U+ZW5n
PC9sYW5ndWFnZT48L3JlY29yZD48L0NpdGU+PC9FbmROb3RlPgB=
</w:fldData>
        </w:fldChar>
      </w:r>
      <w:r w:rsidR="004E728C">
        <w:instrText xml:space="preserve"> ADDIN EN.CITE </w:instrText>
      </w:r>
      <w:r w:rsidR="004E728C">
        <w:fldChar w:fldCharType="begin">
          <w:fldData xml:space="preserve">PEVuZE5vdGU+PENpdGU+PEF1dGhvcj5Tb25lamk8L0F1dGhvcj48WWVhcj4yMDE3PC9ZZWFyPjxS
ZWNOdW0+NTA4MTwvUmVjTnVtPjxEaXNwbGF5VGV4dD4oU29uZWppLCBCYXJyaW5ndG9uLVRyaW1p
cyBldCBhbC4gMjAxNyk8L0Rpc3BsYXlUZXh0PjxyZWNvcmQ+PHJlYy1udW1iZXI+NTA4MTwvcmVj
LW51bWJlcj48Zm9yZWlnbi1rZXlzPjxrZXkgYXBwPSJFTiIgZGItaWQ9Ijl6MDVkejBwcmFhZGZ1
ZWUwem94emVkazl6ZmU1Znh4NTB6NSIgdGltZXN0YW1wPSIxNTIzOTIwOTE5Ij41MDgxPC9rZXk+
PGtleSBhcHA9IkVOV2ViIiBkYi1pZD0iIj4wPC9rZXk+PC9mb3JlaWduLWtleXM+PHJlZi10eXBl
IG5hbWU9IkpvdXJuYWwgQXJ0aWNsZSI+MTc8L3JlZi10eXBlPjxjb250cmlidXRvcnM+PGF1dGhv
cnM+PGF1dGhvcj5Tb25lamksIFMuPC9hdXRob3I+PGF1dGhvcj5CYXJyaW5ndG9uLVRyaW1pcywg
Si4gTC48L2F1dGhvcj48YXV0aG9yPldpbGxzLCBULiBBLjwvYXV0aG9yPjxhdXRob3I+TGV2ZW50
aGFsLCBBLiBNLjwvYXV0aG9yPjxhdXRob3I+VW5nZXIsIEouIEIuPC9hdXRob3I+PGF1dGhvcj5H
aWJzb24sIEwuIEEuPC9hdXRob3I+PGF1dGhvcj5ZYW5nLCBKLjwvYXV0aG9yPjxhdXRob3I+UHJp
bWFjaywgQi4gQS48L2F1dGhvcj48YXV0aG9yPkFuZHJld3MsIEouIEEuPC9hdXRob3I+PGF1dGhv
cj5NaWVjaCwgUi4gQS48L2F1dGhvcj48YXV0aG9yPlNwaW5kbGUsIFQuIFIuPC9hdXRob3I+PGF1
dGhvcj5EaWNrLCBELiBNLjwvYXV0aG9yPjxhdXRob3I+RWlzc2VuYmVyZywgVC48L2F1dGhvcj48
YXV0aG9yPkhvcm5paywgUi4gQy48L2F1dGhvcj48YXV0aG9yPkRhbmcsIFIuPC9hdXRob3I+PGF1
dGhvcj5TYXJnZW50LCBKLiBELjwvYXV0aG9yPjwvYXV0aG9ycz48L2NvbnRyaWJ1dG9ycz48YXV0
aC1hZGRyZXNzPkRhcnRtb3V0aC1IaXRjaGNvY2sgTm9ycmlzIENvdHRvbiBDYW5jZXIgQ2VudGVy
LCBEYXJ0bW91dGggR2Vpc2VsIFNjaG9vbCBvZiBNZWRpY2luZSwgTGViYW5vbiwgTmV3IEhhbXBz
aGlyZS4mI3hEO1RoZSBEYXJ0bW91dGggSW5zdGl0dXRlIGZvciBIZWFsdGggUG9saWN5IGFuZCBD
bGluaWNhbCBQcmFjdGljZSwgRGFydG1vdXRoIEdlaXNlbCBTY2hvb2wgb2YgTWVkaWNpbmUsIExl
YmFub24sIE5ldyBIYW1wc2hpcmUuJiN4RDtEZXBhcnRtZW50IG9mIFByZXZlbnRpdmUgTWVkaWNp
bmUsIEtlY2sgU2Nob29sIG9mIE1lZGljaW5lIG9mIFVTQywgVW5pdmVyc2l0eSBvZiBTb3V0aGVy
biBDYWxpZm9ybmlhLCBMb3MgQW5nZWxlcy4mI3hEO1VuaXZlcnNpdHkgb2YgSGF3YWlpIENhbmNl
ciBDZW50ZXIsIEhvbm9sdWx1LiYjeEQ7QW5uZW5iZXJnIFNjaG9vbCBmb3IgQ29tbXVuaWNhdGlv
biwgVW5pdmVyc2l0eSBvZiBQZW5uc3lsdmFuaWEsIFBoaWxhZGVscGhpYS4mI3hEO2N1cnJlbnRs
eSBhIG1lZGljYWwgc3R1ZGVudCBhdCBXYXJyZW4gQWxwZXJ0IE1lZGljYWwgU2Nob29sIG9mIEJy
b3duIFVuaXZlcnNpdHksIFByb3ZpZGVuY2UsIFJob2RlIElzbGFuZC4mI3hEO0RpdmlzaW9uIG9m
IEdlbmVyYWwgSW50ZXJuYWwgTWVkaWNpbmUsIERlcGFydG1lbnQgb2YgTWVkaWNpbmUsIFNjaG9v
bCBvZiBNZWRpY2luZSwgVW5pdmVyc2l0eSBvZiBQaXR0c2J1cmdoLCBQaXR0c2J1cmdoLCBQZW5u
c3lsdmFuaWEuJiN4RDtPcmVnb24gUmVzZWFyY2ggSW5zdGl0dXRlLCBFdWdlbmUuJiN4RDtJbnN0
aXR1dGUgZm9yIFNvY2lhbCBSZXNlYXJjaCwgVW5pdmVyc2l0eSBvZiBNaWNoaWdhbiwgQW5uIEFy
Ym9yLiYjeEQ7RGVwYXJ0bWVudCBvZiBQc3ljaG9sb2d5LCBWaXJnaW5pYSBDb21tb253ZWFsdGgg
VW5pdmVyc2l0eSwgUmljaG1vbmQuPC9hdXRoLWFkZHJlc3M+PHRpdGxlcz48dGl0bGU+QXNzb2Np
YXRpb24gQmV0d2VlbiBJbml0aWFsIFVzZSBvZiBlLUNpZ2FyZXR0ZXMgYW5kIFN1YnNlcXVlbnQg
Q2lnYXJldHRlIFNtb2tpbmcgQW1vbmcgQWRvbGVzY2VudHMgYW5kIFlvdW5nIEFkdWx0czogQSBT
eXN0ZW1hdGljIFJldmlldyBhbmQgTWV0YS1hbmFseXNpczwvdGl0bGU+PHNlY29uZGFyeS10aXRs
ZT5KQU1BIFBlZGlhdHI8L3NlY29uZGFyeS10aXRsZT48YWx0LXRpdGxlPkpBTUEgcGVkaWF0cmlj
czwvYWx0LXRpdGxlPjwvdGl0bGVzPjxhbHQtcGVyaW9kaWNhbD48ZnVsbC10aXRsZT5KYW1hIFBl
ZGlhdHJpY3M8L2Z1bGwtdGl0bGU+PC9hbHQtcGVyaW9kaWNhbD48cGFnZXM+Nzg4LTc5NzwvcGFn
ZXM+PHZvbHVtZT4xNzE8L3ZvbHVtZT48bnVtYmVyPjg8L251bWJlcj48ZWRpdGlvbj4yMDE3LzA2
LzI4PC9lZGl0aW9uPjxrZXl3b3Jkcz48a2V5d29yZD5BZG9sZXNjZW50PC9rZXl3b3JkPjxrZXl3
b3JkPipBZG9sZXNjZW50IEJlaGF2aW9yPC9rZXl3b3JkPjxrZXl3b3JkPkRpc2Vhc2UgUHJvZ3Jl
c3Npb248L2tleXdvcmQ+PGtleXdvcmQ+RWxlY3Ryb25pYyBOaWNvdGluZSBEZWxpdmVyeSBTeXN0
ZW1zL3BzeWNob2xvZ3kvKnN0YXRpc3RpY3MgJmFtcDsgbnVtZXJpY2FsIGRhdGE8L2tleXdvcmQ+
PGtleXdvcmQ+RmVtYWxlPC9rZXl3b3JkPjxrZXl3b3JkPkh1bWFuczwva2V5d29yZD48a2V5d29y
ZD5NYWxlPC9rZXl3b3JkPjxrZXl3b3JkPlJpc2sgRmFjdG9yczwva2V5d29yZD48a2V5d29yZD5T
bW9raW5nLyplcGlkZW1pb2xvZ3kvcHN5Y2hvbG9neTwva2V5d29yZD48a2V5d29yZD5TbW9raW5n
IENlc3NhdGlvbi9zdGF0aXN0aWNzICZhbXA7IG51bWVyaWNhbCBkYXRhPC9rZXl3b3JkPjxrZXl3
b3JkPlRvYmFjY28gVXNlIERpc29yZGVyLyplcGlkZW1pb2xvZ3kvcHN5Y2hvbG9neTwva2V5d29y
ZD48a2V5d29yZD5Zb3VuZyBBZHVsdDwva2V5d29yZD48L2tleXdvcmRzPjxkYXRlcz48eWVhcj4y
MDE3PC95ZWFyPjxwdWItZGF0ZXM+PGRhdGU+QXVnIDE8L2RhdGU+PC9wdWItZGF0ZXM+PC9kYXRl
cz48aXNibj4yMTY4LTYyMDM8L2lzYm4+PGFjY2Vzc2lvbi1udW0+Mjg2NTQ5ODY8L2FjY2Vzc2lv
bi1udW0+PHVybHM+PHJlbGF0ZWQtdXJscz48dXJsPmh0dHBzOi8vd3d3Lm5jYmkubmxtLm5paC5n
b3YvcG1jL2FydGljbGVzL1BNQzU2NTYyMzcvcGRmL25paG1zOTA3MzEyLnBkZjwvdXJsPjwvcmVs
YXRlZC11cmxzPjwvdXJscz48Y3VzdG9tMj5QTUM1NjU2MjM3PC9jdXN0b20yPjxjdXN0b202Pk5J
SE1TOTA3MzEyPC9jdXN0b202PjxlbGVjdHJvbmljLXJlc291cmNlLW51bT4xMC4xMDAxL2phbWFw
ZWRpYXRyaWNzLjIwMTcuMTQ4ODwvZWxlY3Ryb25pYy1yZXNvdXJjZS1udW0+PHJlbW90ZS1kYXRh
YmFzZS1wcm92aWRlcj5OTE08L3JlbW90ZS1kYXRhYmFzZS1wcm92aWRlcj48bGFuZ3VhZ2U+ZW5n
PC9sYW5ndWFnZT48L3JlY29yZD48L0NpdGU+PC9FbmROb3RlPgB=
</w:fldData>
        </w:fldChar>
      </w:r>
      <w:r w:rsidR="004E728C">
        <w:instrText xml:space="preserve"> ADDIN EN.CITE.DATA </w:instrText>
      </w:r>
      <w:r w:rsidR="004E728C">
        <w:fldChar w:fldCharType="end"/>
      </w:r>
      <w:r>
        <w:fldChar w:fldCharType="separate"/>
      </w:r>
      <w:r w:rsidR="004E728C">
        <w:rPr>
          <w:noProof/>
        </w:rPr>
        <w:t>(Soneji, Barrington-Trimis et al. 2017)</w:t>
      </w:r>
      <w:r>
        <w:fldChar w:fldCharType="end"/>
      </w:r>
      <w:r>
        <w:t>. This study observed a pooled odds ratio for cigarette smoking initiation of 3.62 (95%CI 2.42</w:t>
      </w:r>
      <w:r>
        <w:noBreakHyphen/>
        <w:t>5.41) in ever e</w:t>
      </w:r>
      <w:r>
        <w:noBreakHyphen/>
        <w:t>cigarette users (compared to never e</w:t>
      </w:r>
      <w:r>
        <w:noBreakHyphen/>
        <w:t>cigarette users) and a pooled odds ratio for past 30</w:t>
      </w:r>
      <w:r>
        <w:noBreakHyphen/>
        <w:t>day cigarette smoking of 4.28 (95%CI 2.52</w:t>
      </w:r>
      <w:r>
        <w:noBreakHyphen/>
        <w:t>7.27) in past 30</w:t>
      </w:r>
      <w:r>
        <w:noBreakHyphen/>
        <w:t>day e</w:t>
      </w:r>
      <w:r>
        <w:noBreakHyphen/>
        <w:t>cigarette users (compared to non</w:t>
      </w:r>
      <w:r>
        <w:noBreakHyphen/>
        <w:t>users) at baseline.</w:t>
      </w:r>
      <w:r w:rsidR="008146F9">
        <w:t xml:space="preserve"> </w:t>
      </w:r>
    </w:p>
    <w:p w14:paraId="5F3E7855" w14:textId="77777777" w:rsidR="002D348A" w:rsidRDefault="002D348A" w:rsidP="002D348A">
      <w:pPr>
        <w:pStyle w:val="BodyText"/>
      </w:pPr>
      <w:r>
        <w:t>The cohort studies discussed in detail in this report have not been included in this meta</w:t>
      </w:r>
      <w:r>
        <w:noBreakHyphen/>
        <w:t>analysis, however, the results are consistent with that of the meta</w:t>
      </w:r>
      <w:r>
        <w:noBreakHyphen/>
        <w:t>analysis with odds ratios for cigarette smoking initiation ranging from 1.40 to 11.90 in ever vs never e</w:t>
      </w:r>
      <w:r>
        <w:noBreakHyphen/>
        <w:t>cigarette users at baseline. These results also indicate a reasonably strong effect, providing more confidence in a true causal relationship which cannot be explained by residual confounding.</w:t>
      </w:r>
    </w:p>
    <w:p w14:paraId="7A9B3096" w14:textId="7755352C" w:rsidR="002D348A" w:rsidRDefault="002D348A" w:rsidP="002D348A">
      <w:pPr>
        <w:pStyle w:val="BodyText"/>
      </w:pPr>
      <w:r>
        <w:t>There are a number of cohort studies examining the relationship between use of e</w:t>
      </w:r>
      <w:r>
        <w:noBreakHyphen/>
        <w:t>cigarettes and later cigarette smoking which establish the necessary time sequence of events for causation – that e</w:t>
      </w:r>
      <w:r>
        <w:noBreakHyphen/>
        <w:t xml:space="preserve">cigarette use occurs prior to conventional smoking in these adolescents and young adults. Therefore, the criteria of temporality, </w:t>
      </w:r>
      <w:r w:rsidR="0005727F">
        <w:t xml:space="preserve">which is </w:t>
      </w:r>
      <w:r>
        <w:t>the only essential criteria to establish causality, is satisfied. Lastly, there are a few cohort studies which have compared the effect of e</w:t>
      </w:r>
      <w:r>
        <w:noBreakHyphen/>
        <w:t>cigarettes with and without nicotine on later cigarette smoking. The two such studies discussed above have both found a greater odds of cigarette smoking at follow up with the use of e</w:t>
      </w:r>
      <w:r>
        <w:noBreakHyphen/>
        <w:t xml:space="preserve">cigarettes containing nicotine at baseline. </w:t>
      </w:r>
    </w:p>
    <w:p w14:paraId="2EA3F749" w14:textId="460269D5" w:rsidR="002D348A" w:rsidRDefault="002D348A" w:rsidP="002D348A">
      <w:pPr>
        <w:pStyle w:val="BodyText"/>
      </w:pPr>
      <w:r>
        <w:lastRenderedPageBreak/>
        <w:t>Another study conducted by Goldenson and colleagues found a dose</w:t>
      </w:r>
      <w:r>
        <w:noBreakHyphen/>
        <w:t>response effect of nicotine concentration in the e</w:t>
      </w:r>
      <w:r>
        <w:noBreakHyphen/>
        <w:t xml:space="preserve">cigarette used and frequent smoking </w:t>
      </w:r>
      <w:r w:rsidR="00E30F3A">
        <w:t>six</w:t>
      </w:r>
      <w:r>
        <w:t xml:space="preserve"> months later </w:t>
      </w:r>
      <w:r>
        <w:fldChar w:fldCharType="begin">
          <w:fldData xml:space="preserve">PEVuZE5vdGU+PENpdGU+PEF1dGhvcj5Hb2xkZW5zb248L0F1dGhvcj48WWVhcj4yMDE3PC9ZZWFy
PjxSZWNOdW0+NDg2OTwvUmVjTnVtPjxEaXNwbGF5VGV4dD4oR29sZGVuc29uLCBMZXZlbnRoYWwg
ZXQgYWwuIDIwMTcpPC9EaXNwbGF5VGV4dD48cmVjb3JkPjxyZWMtbnVtYmVyPjQ4Njk8L3JlYy1u
dW1iZXI+PGZvcmVpZ24ta2V5cz48a2V5IGFwcD0iRU4iIGRiLWlkPSI5ejA1ZHowcHJhYWRmdWVl
MHpveHplZGs5emZlNWZ4eDUwejUiIHRpbWVzdGFtcD0iMTUyMzkyMDU1MyI+NDg2OTwva2V5Pjxr
ZXkgYXBwPSJFTldlYiIgZGItaWQ9IiI+MDwva2V5PjwvZm9yZWlnbi1rZXlzPjxyZWYtdHlwZSBu
YW1lPSJKb3VybmFsIEFydGljbGUiPjE3PC9yZWYtdHlwZT48Y29udHJpYnV0b3JzPjxhdXRob3Jz
PjxhdXRob3I+R29sZGVuc29uLCBOLiBJLjwvYXV0aG9yPjxhdXRob3I+TGV2ZW50aGFsLCBBLiBN
LjwvYXV0aG9yPjxhdXRob3I+U3RvbmUsIE0uIEQuPC9hdXRob3I+PGF1dGhvcj5NY0Nvbm5lbGws
IFIuIFMuPC9hdXRob3I+PGF1dGhvcj5CYXJyaW5ndG9uLVRyaW1pcywgSi4gTC48L2F1dGhvcj48
L2F1dGhvcnM+PC9jb250cmlidXRvcnM+PGF1dGgtYWRkcmVzcz5EZXBhcnRtZW50IG9mIFByZXZl
bnRpdmUgTWVkaWNpbmUsIFVuaXZlcnNpdHkgb2YgU291dGhlcm4gQ2FsaWZvcm5pYSBLZWNrIFNj
aG9vbCBvZiBNZWRpY2luZSwgTG9zIEFuZ2VsZXMuJiN4RDtEZXBhcnRtZW50IG9mIFBzeWNob2xv
Z3ksIFVuaXZlcnNpdHkgb2YgU291dGhlcm4gQ2FsaWZvcm5pYSwgTG9zIEFuZ2VsZXMuPC9hdXRo
LWFkZHJlc3M+PHRpdGxlcz48dGl0bGU+QXNzb2NpYXRpb25zIG9mIEVsZWN0cm9uaWMgQ2lnYXJl
dHRlIE5pY290aW5lIENvbmNlbnRyYXRpb24gV2l0aCBTdWJzZXF1ZW50IENpZ2FyZXR0ZSBTbW9r
aW5nIGFuZCBWYXBpbmcgTGV2ZWxzIGluIEFkb2xlc2NlbnRzPC90aXRsZT48c2Vjb25kYXJ5LXRp
dGxlPkpBTUEgUGVkaWF0cjwvc2Vjb25kYXJ5LXRpdGxlPjxhbHQtdGl0bGU+SkFNQSBwZWRpYXRy
aWNzPC9hbHQtdGl0bGU+PC90aXRsZXM+PGFsdC1wZXJpb2RpY2FsPjxmdWxsLXRpdGxlPkphbWEg
UGVkaWF0cmljczwvZnVsbC10aXRsZT48L2FsdC1wZXJpb2RpY2FsPjxwYWdlcz4xMTkyLTExOTk8
L3BhZ2VzPjx2b2x1bWU+MTcxPC92b2x1bWU+PG51bWJlcj4xMjwvbnVtYmVyPjxlZGl0aW9uPjIw
MTcvMTAvMjQ8L2VkaXRpb24+PGtleXdvcmRzPjxrZXl3b3JkPkFkb2xlc2NlbnQ8L2tleXdvcmQ+
PGtleXdvcmQ+KkFkb2xlc2NlbnQgQmVoYXZpb3I8L2tleXdvcmQ+PGtleXdvcmQ+RWxlY3Ryb25p
YyBOaWNvdGluZSBEZWxpdmVyeSBTeXN0ZW1zLyptZXRob2RzL3N0YXRpc3RpY3MgJmFtcDsgbnVt
ZXJpY2FsIGRhdGE8L2tleXdvcmQ+PGtleXdvcmQ+RmVtYWxlPC9rZXl3b3JkPjxrZXl3b3JkPkh1
bWFuczwva2V5d29yZD48a2V5d29yZD5Mb25naXR1ZGluYWwgU3R1ZGllczwva2V5d29yZD48a2V5
d29yZD5Mb3MgQW5nZWxlcy9lcGlkZW1pb2xvZ3k8L2tleXdvcmQ+PGtleXdvcmQ+TWFsZTwva2V5
d29yZD48a2V5d29yZD5OaWNvdGluZS8qYWRtaW5pc3RyYXRpb24gJmFtcDsgZG9zYWdlPC9rZXl3
b3JkPjxrZXl3b3JkPlJpc2sgRmFjdG9yczwva2V5d29yZD48a2V5d29yZD5TZWxmIFJlcG9ydDwv
a2V5d29yZD48a2V5d29yZD5TbW9raW5nLyplcGlkZW1pb2xvZ3k8L2tleXdvcmQ+PGtleXdvcmQ+
VG9iYWNjbyBQcm9kdWN0czwva2V5d29yZD48L2tleXdvcmRzPjxkYXRlcz48eWVhcj4yMDE3PC95
ZWFyPjxwdWItZGF0ZXM+PGRhdGU+RGVjIDE8L2RhdGU+PC9wdWItZGF0ZXM+PC9kYXRlcz48aXNi
bj4yMTY4LTYyMDM8L2lzYm4+PGFjY2Vzc2lvbi1udW0+MjkwNTkyNjE8L2FjY2Vzc2lvbi1udW0+
PHVybHM+PHJlbGF0ZWQtdXJscz48dXJsPmh0dHBzOi8vamFtYW5ldHdvcmsuY29tL2pvdXJuYWxz
L2phbWFwZWRpYXRyaWNzL2FydGljbGUtYWJzdHJhY3QvMjY1NzMxMD9yZWRpcmVjdD10cnVlPC91
cmw+PC9yZWxhdGVkLXVybHM+PC91cmxzPjxjdXN0b20yPlBNQzU3Nzk2MTg8L2N1c3RvbTI+PGN1
c3RvbTY+TklITVM5MzQzMjc8L2N1c3RvbTY+PGVsZWN0cm9uaWMtcmVzb3VyY2UtbnVtPjEwLjEw
MDEvamFtYXBlZGlhdHJpY3MuMjAxNy4zMjA5PC9lbGVjdHJvbmljLXJlc291cmNlLW51bT48cmVt
b3RlLWRhdGFiYXNlLXByb3ZpZGVyPk5MTTwvcmVtb3RlLWRhdGFiYXNlLXByb3ZpZGVyPjxsYW5n
dWFnZT5lbmc8L2xhbmd1YWdlPjwvcmVjb3JkPjwvQ2l0ZT48L0VuZE5vdGU+
</w:fldData>
        </w:fldChar>
      </w:r>
      <w:r>
        <w:instrText xml:space="preserve"> ADDIN EN.CITE </w:instrText>
      </w:r>
      <w:r>
        <w:fldChar w:fldCharType="begin">
          <w:fldData xml:space="preserve">PEVuZE5vdGU+PENpdGU+PEF1dGhvcj5Hb2xkZW5zb248L0F1dGhvcj48WWVhcj4yMDE3PC9ZZWFy
PjxSZWNOdW0+NDg2OTwvUmVjTnVtPjxEaXNwbGF5VGV4dD4oR29sZGVuc29uLCBMZXZlbnRoYWwg
ZXQgYWwuIDIwMTcpPC9EaXNwbGF5VGV4dD48cmVjb3JkPjxyZWMtbnVtYmVyPjQ4Njk8L3JlYy1u
dW1iZXI+PGZvcmVpZ24ta2V5cz48a2V5IGFwcD0iRU4iIGRiLWlkPSI5ejA1ZHowcHJhYWRmdWVl
MHpveHplZGs5emZlNWZ4eDUwejUiIHRpbWVzdGFtcD0iMTUyMzkyMDU1MyI+NDg2OTwva2V5Pjxr
ZXkgYXBwPSJFTldlYiIgZGItaWQ9IiI+MDwva2V5PjwvZm9yZWlnbi1rZXlzPjxyZWYtdHlwZSBu
YW1lPSJKb3VybmFsIEFydGljbGUiPjE3PC9yZWYtdHlwZT48Y29udHJpYnV0b3JzPjxhdXRob3Jz
PjxhdXRob3I+R29sZGVuc29uLCBOLiBJLjwvYXV0aG9yPjxhdXRob3I+TGV2ZW50aGFsLCBBLiBN
LjwvYXV0aG9yPjxhdXRob3I+U3RvbmUsIE0uIEQuPC9hdXRob3I+PGF1dGhvcj5NY0Nvbm5lbGws
IFIuIFMuPC9hdXRob3I+PGF1dGhvcj5CYXJyaW5ndG9uLVRyaW1pcywgSi4gTC48L2F1dGhvcj48
L2F1dGhvcnM+PC9jb250cmlidXRvcnM+PGF1dGgtYWRkcmVzcz5EZXBhcnRtZW50IG9mIFByZXZl
bnRpdmUgTWVkaWNpbmUsIFVuaXZlcnNpdHkgb2YgU291dGhlcm4gQ2FsaWZvcm5pYSBLZWNrIFNj
aG9vbCBvZiBNZWRpY2luZSwgTG9zIEFuZ2VsZXMuJiN4RDtEZXBhcnRtZW50IG9mIFBzeWNob2xv
Z3ksIFVuaXZlcnNpdHkgb2YgU291dGhlcm4gQ2FsaWZvcm5pYSwgTG9zIEFuZ2VsZXMuPC9hdXRo
LWFkZHJlc3M+PHRpdGxlcz48dGl0bGU+QXNzb2NpYXRpb25zIG9mIEVsZWN0cm9uaWMgQ2lnYXJl
dHRlIE5pY290aW5lIENvbmNlbnRyYXRpb24gV2l0aCBTdWJzZXF1ZW50IENpZ2FyZXR0ZSBTbW9r
aW5nIGFuZCBWYXBpbmcgTGV2ZWxzIGluIEFkb2xlc2NlbnRzPC90aXRsZT48c2Vjb25kYXJ5LXRp
dGxlPkpBTUEgUGVkaWF0cjwvc2Vjb25kYXJ5LXRpdGxlPjxhbHQtdGl0bGU+SkFNQSBwZWRpYXRy
aWNzPC9hbHQtdGl0bGU+PC90aXRsZXM+PGFsdC1wZXJpb2RpY2FsPjxmdWxsLXRpdGxlPkphbWEg
UGVkaWF0cmljczwvZnVsbC10aXRsZT48L2FsdC1wZXJpb2RpY2FsPjxwYWdlcz4xMTkyLTExOTk8
L3BhZ2VzPjx2b2x1bWU+MTcxPC92b2x1bWU+PG51bWJlcj4xMjwvbnVtYmVyPjxlZGl0aW9uPjIw
MTcvMTAvMjQ8L2VkaXRpb24+PGtleXdvcmRzPjxrZXl3b3JkPkFkb2xlc2NlbnQ8L2tleXdvcmQ+
PGtleXdvcmQ+KkFkb2xlc2NlbnQgQmVoYXZpb3I8L2tleXdvcmQ+PGtleXdvcmQ+RWxlY3Ryb25p
YyBOaWNvdGluZSBEZWxpdmVyeSBTeXN0ZW1zLyptZXRob2RzL3N0YXRpc3RpY3MgJmFtcDsgbnVt
ZXJpY2FsIGRhdGE8L2tleXdvcmQ+PGtleXdvcmQ+RmVtYWxlPC9rZXl3b3JkPjxrZXl3b3JkPkh1
bWFuczwva2V5d29yZD48a2V5d29yZD5Mb25naXR1ZGluYWwgU3R1ZGllczwva2V5d29yZD48a2V5
d29yZD5Mb3MgQW5nZWxlcy9lcGlkZW1pb2xvZ3k8L2tleXdvcmQ+PGtleXdvcmQ+TWFsZTwva2V5
d29yZD48a2V5d29yZD5OaWNvdGluZS8qYWRtaW5pc3RyYXRpb24gJmFtcDsgZG9zYWdlPC9rZXl3
b3JkPjxrZXl3b3JkPlJpc2sgRmFjdG9yczwva2V5d29yZD48a2V5d29yZD5TZWxmIFJlcG9ydDwv
a2V5d29yZD48a2V5d29yZD5TbW9raW5nLyplcGlkZW1pb2xvZ3k8L2tleXdvcmQ+PGtleXdvcmQ+
VG9iYWNjbyBQcm9kdWN0czwva2V5d29yZD48L2tleXdvcmRzPjxkYXRlcz48eWVhcj4yMDE3PC95
ZWFyPjxwdWItZGF0ZXM+PGRhdGU+RGVjIDE8L2RhdGU+PC9wdWItZGF0ZXM+PC9kYXRlcz48aXNi
bj4yMTY4LTYyMDM8L2lzYm4+PGFjY2Vzc2lvbi1udW0+MjkwNTkyNjE8L2FjY2Vzc2lvbi1udW0+
PHVybHM+PHJlbGF0ZWQtdXJscz48dXJsPmh0dHBzOi8vamFtYW5ldHdvcmsuY29tL2pvdXJuYWxz
L2phbWFwZWRpYXRyaWNzL2FydGljbGUtYWJzdHJhY3QvMjY1NzMxMD9yZWRpcmVjdD10cnVlPC91
cmw+PC9yZWxhdGVkLXVybHM+PC91cmxzPjxjdXN0b20yPlBNQzU3Nzk2MTg8L2N1c3RvbTI+PGN1
c3RvbTY+TklITVM5MzQzMjc8L2N1c3RvbTY+PGVsZWN0cm9uaWMtcmVzb3VyY2UtbnVtPjEwLjEw
MDEvamFtYXBlZGlhdHJpY3MuMjAxNy4zMjA5PC9lbGVjdHJvbmljLXJlc291cmNlLW51bT48cmVt
b3RlLWRhdGFiYXNlLXByb3ZpZGVyPk5MTTwvcmVtb3RlLWRhdGFiYXNlLXByb3ZpZGVyPjxsYW5n
dWFnZT5lbmc8L2xhbmd1YWdlPjwvcmVjb3JkPjwvQ2l0ZT48L0VuZE5vdGU+
</w:fldData>
        </w:fldChar>
      </w:r>
      <w:r>
        <w:instrText xml:space="preserve"> ADDIN EN.CITE.DATA </w:instrText>
      </w:r>
      <w:r>
        <w:fldChar w:fldCharType="end"/>
      </w:r>
      <w:r>
        <w:fldChar w:fldCharType="separate"/>
      </w:r>
      <w:r>
        <w:rPr>
          <w:noProof/>
        </w:rPr>
        <w:t>(Goldenson, Leventhal et al. 2017)</w:t>
      </w:r>
      <w:r>
        <w:fldChar w:fldCharType="end"/>
      </w:r>
      <w:r>
        <w:t xml:space="preserve">. This study involved a cohort of 181 </w:t>
      </w:r>
      <w:r w:rsidR="00E30F3A">
        <w:t xml:space="preserve">tenth </w:t>
      </w:r>
      <w:r>
        <w:t>grade students in Los Angeles, California, all of whom had used e</w:t>
      </w:r>
      <w:r>
        <w:noBreakHyphen/>
        <w:t>cigarettes in the past 30 days. E</w:t>
      </w:r>
      <w:r>
        <w:noBreakHyphen/>
        <w:t>cigarette concentration was defined as none (0mg/ml), low (1</w:t>
      </w:r>
      <w:r>
        <w:noBreakHyphen/>
        <w:t>5mg/ml), medium (6</w:t>
      </w:r>
      <w:r>
        <w:noBreakHyphen/>
        <w:t>17mg/ml), and high (≥18mg/ml). This study observed an increase in the odds of frequent smoking (smoking on ≥3 of the past 30 days vs no smoking) of 2.26 (95%CI 1.28</w:t>
      </w:r>
      <w:r>
        <w:noBreakHyphen/>
        <w:t>3.98) for each successive increase in nicotine concentration category. These studies together suggest that nicotine addiction from use of e</w:t>
      </w:r>
      <w:r>
        <w:noBreakHyphen/>
        <w:t>cigarettes may be a biological pathway leading to later cigarette smoking.</w:t>
      </w:r>
    </w:p>
    <w:p w14:paraId="63526AAF" w14:textId="77777777" w:rsidR="002D348A" w:rsidRDefault="002D348A" w:rsidP="002D348A">
      <w:pPr>
        <w:pStyle w:val="Heading3"/>
      </w:pPr>
      <w:r>
        <w:t>Conclusion</w:t>
      </w:r>
    </w:p>
    <w:p w14:paraId="6BD39A22" w14:textId="651D7A49" w:rsidR="002D348A" w:rsidRDefault="002D348A" w:rsidP="002D348A">
      <w:pPr>
        <w:pStyle w:val="BodyText"/>
      </w:pPr>
      <w:r>
        <w:t>In summary, the above evidence suggests that e</w:t>
      </w:r>
      <w:r>
        <w:noBreakHyphen/>
        <w:t>cigarette use, particularly e</w:t>
      </w:r>
      <w:r>
        <w:noBreakHyphen/>
        <w:t>cigarettes with nicotine, is likely to be causative for later cigarette smoking in adolescents and young adults. Given the known adverse health effects of cigarette smoking, the ‘gateway’ path to initiation of cigarette use has substantial relevance.</w:t>
      </w:r>
    </w:p>
    <w:p w14:paraId="2FCCED09" w14:textId="77777777" w:rsidR="002D348A" w:rsidRDefault="002D348A" w:rsidP="002D348A">
      <w:pPr>
        <w:pStyle w:val="BodyText"/>
      </w:pPr>
    </w:p>
    <w:p w14:paraId="63AE2E49" w14:textId="77777777" w:rsidR="002D348A" w:rsidRDefault="002D348A" w:rsidP="002D348A">
      <w:pPr>
        <w:pStyle w:val="Heading3"/>
      </w:pPr>
      <w:r>
        <w:t>Key findings</w:t>
      </w:r>
    </w:p>
    <w:p w14:paraId="2C329351" w14:textId="604A325D" w:rsidR="002D348A" w:rsidRDefault="002D348A" w:rsidP="002D348A">
      <w:pPr>
        <w:pStyle w:val="BodyText"/>
        <w:numPr>
          <w:ilvl w:val="0"/>
          <w:numId w:val="61"/>
        </w:numPr>
      </w:pPr>
      <w:r>
        <w:t>Evidence for a strong positive relationship between use of e</w:t>
      </w:r>
      <w:r>
        <w:noBreakHyphen/>
        <w:t>cigarettes and later cigarette smoking amongst youth continues to accumulate. The evidence is consistent in observational studies and across different countries.</w:t>
      </w:r>
    </w:p>
    <w:p w14:paraId="2B4A5A60" w14:textId="74805A41" w:rsidR="002D348A" w:rsidRDefault="002D348A" w:rsidP="002D348A">
      <w:pPr>
        <w:pStyle w:val="BodyText"/>
        <w:numPr>
          <w:ilvl w:val="0"/>
          <w:numId w:val="61"/>
        </w:numPr>
      </w:pPr>
      <w:r>
        <w:t>A plausible biological pathway from use of</w:t>
      </w:r>
      <w:r w:rsidR="002738DD">
        <w:t xml:space="preserve"> e</w:t>
      </w:r>
      <w:r w:rsidR="002738DD">
        <w:noBreakHyphen/>
        <w:t>cigarette</w:t>
      </w:r>
      <w:r>
        <w:t>s to conventional cigarette smoking operates through developing addiction to nicotine. Use of e</w:t>
      </w:r>
      <w:r>
        <w:noBreakHyphen/>
        <w:t>cigarettes with higher concentrations of nicotine is observed to have a stronger association to later conventional cigarette use.</w:t>
      </w:r>
    </w:p>
    <w:p w14:paraId="5E79E772" w14:textId="47995A33" w:rsidR="002D348A" w:rsidRPr="003D732F" w:rsidRDefault="002D348A" w:rsidP="002D348A">
      <w:pPr>
        <w:pStyle w:val="BodyText"/>
        <w:numPr>
          <w:ilvl w:val="0"/>
          <w:numId w:val="61"/>
        </w:numPr>
      </w:pPr>
      <w:r>
        <w:t>A positive association is observed between initiation of conventional smoking following use of non</w:t>
      </w:r>
      <w:r>
        <w:noBreakHyphen/>
        <w:t>nicotine e</w:t>
      </w:r>
      <w:r>
        <w:noBreakHyphen/>
        <w:t>cigarettes (however much weaker than the association with nicotine containing e</w:t>
      </w:r>
      <w:r>
        <w:noBreakHyphen/>
        <w:t>cigarettes). This highlights the possibility of other causal mechanisms besides the development of nicotine addiction.</w:t>
      </w:r>
    </w:p>
    <w:p w14:paraId="05B0E0B3" w14:textId="77777777" w:rsidR="002D348A" w:rsidRDefault="002D348A" w:rsidP="002D348A">
      <w:pPr>
        <w:pStyle w:val="BodyText"/>
      </w:pPr>
    </w:p>
    <w:p w14:paraId="6DA8F629" w14:textId="77777777" w:rsidR="00E16141" w:rsidRDefault="00E16141" w:rsidP="00E16141">
      <w:pPr>
        <w:pStyle w:val="Heading2"/>
      </w:pPr>
      <w:bookmarkStart w:id="123" w:name="_Toc517706680"/>
      <w:r w:rsidRPr="00E16141">
        <w:t>E-cigarette use and use of other substances</w:t>
      </w:r>
      <w:bookmarkEnd w:id="122"/>
      <w:bookmarkEnd w:id="123"/>
    </w:p>
    <w:p w14:paraId="285A3862" w14:textId="77777777" w:rsidR="002D348A" w:rsidRDefault="002D348A" w:rsidP="002D348A">
      <w:pPr>
        <w:pStyle w:val="BodyText"/>
      </w:pPr>
      <w:r>
        <w:t>Of the 13 studies exploring the relationship between e</w:t>
      </w:r>
      <w:r>
        <w:noBreakHyphen/>
        <w:t>cigarette use and use of other substances, two studies were longitudinal cohort studies and 11 were cross</w:t>
      </w:r>
      <w:r>
        <w:noBreakHyphen/>
        <w:t>sectional studies.</w:t>
      </w:r>
    </w:p>
    <w:p w14:paraId="2831DE5F" w14:textId="77777777" w:rsidR="002D348A" w:rsidRPr="00323A73" w:rsidRDefault="002D348A" w:rsidP="002D348A">
      <w:pPr>
        <w:pStyle w:val="BodyText"/>
      </w:pPr>
    </w:p>
    <w:p w14:paraId="1C2CA307" w14:textId="77777777" w:rsidR="002D348A" w:rsidRDefault="002D348A" w:rsidP="002D348A">
      <w:pPr>
        <w:pStyle w:val="Heading3"/>
      </w:pPr>
      <w:r>
        <w:lastRenderedPageBreak/>
        <w:t>Cohort Studies</w:t>
      </w:r>
    </w:p>
    <w:p w14:paraId="77770614" w14:textId="36DC2564" w:rsidR="002D348A" w:rsidRDefault="002D348A" w:rsidP="002D348A">
      <w:pPr>
        <w:pStyle w:val="BodyText"/>
      </w:pPr>
      <w:r>
        <w:t>There have only been two cohort studies looking at e</w:t>
      </w:r>
      <w:r>
        <w:noBreakHyphen/>
        <w:t xml:space="preserve">cigarette use and progression to the use of other substances, in this case marijuana. One study was conducted by Lozano and colleagues in a large cohort of 5,672 middle school students in Mexico </w:t>
      </w:r>
      <w:r>
        <w:fldChar w:fldCharType="begin">
          <w:fldData xml:space="preserve">PEVuZE5vdGU+PENpdGU+PEF1dGhvcj5Mb3phbm88L0F1dGhvcj48WWVhcj4yMDE3PC9ZZWFyPjxS
ZWNOdW0+NDg5OTwvUmVjTnVtPjxEaXNwbGF5VGV4dD4oTG96YW5vLCBCYXJyaWVudG9zLUd1dGll
cnJleiBldCBhbC4gMjAxNyk8L0Rpc3BsYXlUZXh0PjxyZWNvcmQ+PHJlYy1udW1iZXI+NDg5OTwv
cmVjLW51bWJlcj48Zm9yZWlnbi1rZXlzPjxrZXkgYXBwPSJFTiIgZGItaWQ9Ijl6MDVkejBwcmFh
ZGZ1ZWUwem94emVkazl6ZmU1Znh4NTB6NSIgdGltZXN0YW1wPSIxNTIzOTIwNTkxIj40ODk5PC9r
ZXk+PGtleSBhcHA9IkVOV2ViIiBkYi1pZD0iIj4wPC9rZXk+PC9mb3JlaWduLWtleXM+PHJlZi10
eXBlIG5hbWU9IkpvdXJuYWwgQXJ0aWNsZSI+MTc8L3JlZi10eXBlPjxjb250cmlidXRvcnM+PGF1
dGhvcnM+PGF1dGhvcj5Mb3phbm8sIFAuPC9hdXRob3I+PGF1dGhvcj5CYXJyaWVudG9zLUd1dGll
cnJleiwgSS48L2F1dGhvcj48YXV0aG9yPkFyaWxsby1TYW50aWxsYW4sIEUuPC9hdXRob3I+PGF1
dGhvcj5Nb3JlbGxvLCBQLjwvYXV0aG9yPjxhdXRob3I+TWVqaWEsIFIuPC9hdXRob3I+PGF1dGhv
cj5TYXJnZW50LCBKLiBELjwvYXV0aG9yPjxhdXRob3I+VGhyYXNoZXIsIEouIEYuPC9hdXRob3I+
PC9hdXRob3JzPjwvY29udHJpYnV0b3JzPjxhdXRoLWFkZHJlc3M+SGVhbHRoIFByb21vdGlvbiwg
RWR1Y2F0aW9uLCBhbmQgQmVoYXZpb3IsIEFybm9sZCBTY2hvb2wgb2YgUHVibGljIEhlYWx0aCwg
VW5pdmVyc2l0eSBvZiBTb3V0aCBDYXJvbGluYSwgQ29sdW1iaWEsIFNvdXRoIENhcm9saW5hLCBV
U0EuIEVsZWN0cm9uaWMgYWRkcmVzczogbG96YW5vcEBlbWFpbC5zYy5lZHUuJiN4RDtEZXBhcnRt
ZW50IG9mIFRvYmFjY28gUmVzZWFyY2gsIENlbnRlciBmb3IgUG9wdWxhdGlvbiBIZWFsdGggUmVz
ZWFyY2ggTmF0aW9uYWwgSW5zdGl0dXRlIG9mIFB1YmxpYyBIZWFsdGgsIEN1ZXJuYXZhY2EsIE1l
eGljby4gRWxlY3Ryb25pYyBhZGRyZXNzOiBpbnRpLmJhcnJpZW50b3NAaW5zcC5teC4mI3hEO0Rl
cGFydG1lbnQgb2YgVG9iYWNjbyBSZXNlYXJjaCwgQ2VudGVyIGZvciBQb3B1bGF0aW9uIEhlYWx0
aCBSZXNlYXJjaCBOYXRpb25hbCBJbnN0aXR1dGUgb2YgUHVibGljIEhlYWx0aCwgQ3Vlcm5hdmFj
YSwgTWV4aWNvLiBFbGVjdHJvbmljIGFkZHJlc3M6IGVkbmFAaW5zcC5teC4mI3hEO0RlcGFydG1l
bnQgb2YgSGVhbHRoIEVjb25vbXkgYW5kIFNvY2lldHksIENlbnRybyBkZSBFc3R1ZGlvcyBkZSBF
c3RhZG8geSBTb2NpZWRhZCwgQnVlbm9zIEFpcmVzLCBBcmdlbnRpbmEuIEVsZWN0cm9uaWMgYWRk
cmVzczogcGFvbGFtb3JlbGxvQGhvdG1haWwuY29tLiYjeEQ7RGVwYXJ0bWVudCBvZiBIZWFsdGgg
RWNvbm9teSBhbmQgU29jaWV0eSwgQ2VudHJvIGRlIEVzdHVkaW9zIGRlIEVzdGFkbyB5IFNvY2ll
ZGFkLCBCdWVub3MgQWlyZXMsIEFyZ2VudGluYS4gRWxlY3Ryb25pYyBhZGRyZXNzOiByYXVsbWVq
aWFAY2VkZXMub3JnLiYjeEQ7Q2FuY2VyIENvbnRyb2wgUHJvZ3JhbSwgTm9ycmlzIENvdHRvbiBD
YW5jZXIgQ2VudGVyLCBMZWJhbm9uLCBOZXcgSGFtcHNoaXJlLCBVU0EuIEVsZWN0cm9uaWMgYWRk
cmVzczogSmFtZXMuRC5TYXJnZW50QGRhcnRtb3V0aC5lZHUuJiN4RDtIZWFsdGggUHJvbW90aW9u
LCBFZHVjYXRpb24sIGFuZCBCZWhhdmlvciwgQXJub2xkIFNjaG9vbCBvZiBQdWJsaWMgSGVhbHRo
LCBVbml2ZXJzaXR5IG9mIFNvdXRoIENhcm9saW5hLCBDb2x1bWJpYSwgU291dGggQ2Fyb2xpbmEs
IFVTQTsgRGVwYXJ0bWVudCBvZiBUb2JhY2NvIFJlc2VhcmNoLCBDZW50ZXIgZm9yIFBvcHVsYXRp
b24gSGVhbHRoIFJlc2VhcmNoIE5hdGlvbmFsIEluc3RpdHV0ZSBvZiBQdWJsaWMgSGVhbHRoLCBD
dWVybmF2YWNhLCBNZXhpY28uIEVsZWN0cm9uaWMgYWRkcmVzczogdGhyYXNoZXJAbWFpbGJveC5z
Yy5lZHUuPC9hdXRoLWFkZHJlc3M+PHRpdGxlcz48dGl0bGU+QSBsb25naXR1ZGluYWwgc3R1ZHkg
b2YgZWxlY3Ryb25pYyBjaWdhcmV0dGUgdXNlIGFuZCBvbnNldCBvZiBjb252ZW50aW9uYWwgY2ln
YXJldHRlIHNtb2tpbmcgYW5kIG1hcmlqdWFuYSB1c2UgYW1vbmcgTWV4aWNhbiBhZG9sZXNjZW50
czwvdGl0bGU+PHNlY29uZGFyeS10aXRsZT5EcnVnIEFsY29ob2wgRGVwZW5kPC9zZWNvbmRhcnkt
dGl0bGU+PGFsdC10aXRsZT5EcnVnIGFuZCBhbGNvaG9sIGRlcGVuZGVuY2U8L2FsdC10aXRsZT48
L3RpdGxlcz48YWx0LXBlcmlvZGljYWw+PGZ1bGwtdGl0bGU+RHJ1ZyBhbmQgQWxjb2hvbCBEZXBl
bmRlbmNlPC9mdWxsLXRpdGxlPjwvYWx0LXBlcmlvZGljYWw+PHBhZ2VzPjQyNy00MzA8L3BhZ2Vz
Pjx2b2x1bWU+MTgwPC92b2x1bWU+PGVkaXRpb24+MjAxNy8xMC8xMTwvZWRpdGlvbj48a2V5d29y
ZHM+PGtleXdvcmQ+QWRvbGVzY2VudHM8L2tleXdvcmQ+PGtleXdvcmQ+RWxlY3Ryb25pYyBjaWdh
cmV0dGVzPC9rZXl3b3JkPjxrZXl3b3JkPk1hcmlqdWFuYTwva2V5d29yZD48a2V5d29yZD5NZXhp
Y288L2tleXdvcmQ+PGtleXdvcmQ+VHJpYWw8L2tleXdvcmQ+PC9rZXl3b3Jkcz48ZGF0ZXM+PHll
YXI+MjAxNzwveWVhcj48cHViLWRhdGVzPjxkYXRlPk5vdiAxPC9kYXRlPjwvcHViLWRhdGVzPjwv
ZGF0ZXM+PGlzYm4+MDM3Ni04NzE2PC9pc2JuPjxhY2Nlc3Npb24tbnVtPjI4OTg4MDA1PC9hY2Nl
c3Npb24tbnVtPjx1cmxzPjxyZWxhdGVkLXVybHM+PHVybD5odHRwOi8vd3d3LmRydWdhbmRhbGNv
aG9sZGVwZW5kZW5jZS5jb20vYXJ0aWNsZS9TMDM3Ni04NzE2KDE3KTMwNDgyLTkvcGRmPC91cmw+
PC9yZWxhdGVkLXVybHM+PC91cmxzPjxjdXN0b20yPlBNQzU3NzE0NDA8L2N1c3RvbTI+PGN1c3Rv
bTY+TklITVM5MTE0Nzg8L2N1c3RvbTY+PGVsZWN0cm9uaWMtcmVzb3VyY2UtbnVtPjEwLjEwMTYv
ai5kcnVnYWxjZGVwLjIwMTcuMDkuMDAxPC9lbGVjdHJvbmljLXJlc291cmNlLW51bT48cmVtb3Rl
LWRhdGFiYXNlLXByb3ZpZGVyPk5MTTwvcmVtb3RlLWRhdGFiYXNlLXByb3ZpZGVyPjxsYW5ndWFn
ZT5lbmc8L2xhbmd1YWdlPjwvcmVjb3JkPjwvQ2l0ZT48L0VuZE5vdGU+AG==
</w:fldData>
        </w:fldChar>
      </w:r>
      <w:r w:rsidR="004E728C">
        <w:instrText xml:space="preserve"> ADDIN EN.CITE </w:instrText>
      </w:r>
      <w:r w:rsidR="004E728C">
        <w:fldChar w:fldCharType="begin">
          <w:fldData xml:space="preserve">PEVuZE5vdGU+PENpdGU+PEF1dGhvcj5Mb3phbm88L0F1dGhvcj48WWVhcj4yMDE3PC9ZZWFyPjxS
ZWNOdW0+NDg5OTwvUmVjTnVtPjxEaXNwbGF5VGV4dD4oTG96YW5vLCBCYXJyaWVudG9zLUd1dGll
cnJleiBldCBhbC4gMjAxNyk8L0Rpc3BsYXlUZXh0PjxyZWNvcmQ+PHJlYy1udW1iZXI+NDg5OTwv
cmVjLW51bWJlcj48Zm9yZWlnbi1rZXlzPjxrZXkgYXBwPSJFTiIgZGItaWQ9Ijl6MDVkejBwcmFh
ZGZ1ZWUwem94emVkazl6ZmU1Znh4NTB6NSIgdGltZXN0YW1wPSIxNTIzOTIwNTkxIj40ODk5PC9r
ZXk+PGtleSBhcHA9IkVOV2ViIiBkYi1pZD0iIj4wPC9rZXk+PC9mb3JlaWduLWtleXM+PHJlZi10
eXBlIG5hbWU9IkpvdXJuYWwgQXJ0aWNsZSI+MTc8L3JlZi10eXBlPjxjb250cmlidXRvcnM+PGF1
dGhvcnM+PGF1dGhvcj5Mb3phbm8sIFAuPC9hdXRob3I+PGF1dGhvcj5CYXJyaWVudG9zLUd1dGll
cnJleiwgSS48L2F1dGhvcj48YXV0aG9yPkFyaWxsby1TYW50aWxsYW4sIEUuPC9hdXRob3I+PGF1
dGhvcj5Nb3JlbGxvLCBQLjwvYXV0aG9yPjxhdXRob3I+TWVqaWEsIFIuPC9hdXRob3I+PGF1dGhv
cj5TYXJnZW50LCBKLiBELjwvYXV0aG9yPjxhdXRob3I+VGhyYXNoZXIsIEouIEYuPC9hdXRob3I+
PC9hdXRob3JzPjwvY29udHJpYnV0b3JzPjxhdXRoLWFkZHJlc3M+SGVhbHRoIFByb21vdGlvbiwg
RWR1Y2F0aW9uLCBhbmQgQmVoYXZpb3IsIEFybm9sZCBTY2hvb2wgb2YgUHVibGljIEhlYWx0aCwg
VW5pdmVyc2l0eSBvZiBTb3V0aCBDYXJvbGluYSwgQ29sdW1iaWEsIFNvdXRoIENhcm9saW5hLCBV
U0EuIEVsZWN0cm9uaWMgYWRkcmVzczogbG96YW5vcEBlbWFpbC5zYy5lZHUuJiN4RDtEZXBhcnRt
ZW50IG9mIFRvYmFjY28gUmVzZWFyY2gsIENlbnRlciBmb3IgUG9wdWxhdGlvbiBIZWFsdGggUmVz
ZWFyY2ggTmF0aW9uYWwgSW5zdGl0dXRlIG9mIFB1YmxpYyBIZWFsdGgsIEN1ZXJuYXZhY2EsIE1l
eGljby4gRWxlY3Ryb25pYyBhZGRyZXNzOiBpbnRpLmJhcnJpZW50b3NAaW5zcC5teC4mI3hEO0Rl
cGFydG1lbnQgb2YgVG9iYWNjbyBSZXNlYXJjaCwgQ2VudGVyIGZvciBQb3B1bGF0aW9uIEhlYWx0
aCBSZXNlYXJjaCBOYXRpb25hbCBJbnN0aXR1dGUgb2YgUHVibGljIEhlYWx0aCwgQ3Vlcm5hdmFj
YSwgTWV4aWNvLiBFbGVjdHJvbmljIGFkZHJlc3M6IGVkbmFAaW5zcC5teC4mI3hEO0RlcGFydG1l
bnQgb2YgSGVhbHRoIEVjb25vbXkgYW5kIFNvY2lldHksIENlbnRybyBkZSBFc3R1ZGlvcyBkZSBF
c3RhZG8geSBTb2NpZWRhZCwgQnVlbm9zIEFpcmVzLCBBcmdlbnRpbmEuIEVsZWN0cm9uaWMgYWRk
cmVzczogcGFvbGFtb3JlbGxvQGhvdG1haWwuY29tLiYjeEQ7RGVwYXJ0bWVudCBvZiBIZWFsdGgg
RWNvbm9teSBhbmQgU29jaWV0eSwgQ2VudHJvIGRlIEVzdHVkaW9zIGRlIEVzdGFkbyB5IFNvY2ll
ZGFkLCBCdWVub3MgQWlyZXMsIEFyZ2VudGluYS4gRWxlY3Ryb25pYyBhZGRyZXNzOiByYXVsbWVq
aWFAY2VkZXMub3JnLiYjeEQ7Q2FuY2VyIENvbnRyb2wgUHJvZ3JhbSwgTm9ycmlzIENvdHRvbiBD
YW5jZXIgQ2VudGVyLCBMZWJhbm9uLCBOZXcgSGFtcHNoaXJlLCBVU0EuIEVsZWN0cm9uaWMgYWRk
cmVzczogSmFtZXMuRC5TYXJnZW50QGRhcnRtb3V0aC5lZHUuJiN4RDtIZWFsdGggUHJvbW90aW9u
LCBFZHVjYXRpb24sIGFuZCBCZWhhdmlvciwgQXJub2xkIFNjaG9vbCBvZiBQdWJsaWMgSGVhbHRo
LCBVbml2ZXJzaXR5IG9mIFNvdXRoIENhcm9saW5hLCBDb2x1bWJpYSwgU291dGggQ2Fyb2xpbmEs
IFVTQTsgRGVwYXJ0bWVudCBvZiBUb2JhY2NvIFJlc2VhcmNoLCBDZW50ZXIgZm9yIFBvcHVsYXRp
b24gSGVhbHRoIFJlc2VhcmNoIE5hdGlvbmFsIEluc3RpdHV0ZSBvZiBQdWJsaWMgSGVhbHRoLCBD
dWVybmF2YWNhLCBNZXhpY28uIEVsZWN0cm9uaWMgYWRkcmVzczogdGhyYXNoZXJAbWFpbGJveC5z
Yy5lZHUuPC9hdXRoLWFkZHJlc3M+PHRpdGxlcz48dGl0bGU+QSBsb25naXR1ZGluYWwgc3R1ZHkg
b2YgZWxlY3Ryb25pYyBjaWdhcmV0dGUgdXNlIGFuZCBvbnNldCBvZiBjb252ZW50aW9uYWwgY2ln
YXJldHRlIHNtb2tpbmcgYW5kIG1hcmlqdWFuYSB1c2UgYW1vbmcgTWV4aWNhbiBhZG9sZXNjZW50
czwvdGl0bGU+PHNlY29uZGFyeS10aXRsZT5EcnVnIEFsY29ob2wgRGVwZW5kPC9zZWNvbmRhcnkt
dGl0bGU+PGFsdC10aXRsZT5EcnVnIGFuZCBhbGNvaG9sIGRlcGVuZGVuY2U8L2FsdC10aXRsZT48
L3RpdGxlcz48YWx0LXBlcmlvZGljYWw+PGZ1bGwtdGl0bGU+RHJ1ZyBhbmQgQWxjb2hvbCBEZXBl
bmRlbmNlPC9mdWxsLXRpdGxlPjwvYWx0LXBlcmlvZGljYWw+PHBhZ2VzPjQyNy00MzA8L3BhZ2Vz
Pjx2b2x1bWU+MTgwPC92b2x1bWU+PGVkaXRpb24+MjAxNy8xMC8xMTwvZWRpdGlvbj48a2V5d29y
ZHM+PGtleXdvcmQ+QWRvbGVzY2VudHM8L2tleXdvcmQ+PGtleXdvcmQ+RWxlY3Ryb25pYyBjaWdh
cmV0dGVzPC9rZXl3b3JkPjxrZXl3b3JkPk1hcmlqdWFuYTwva2V5d29yZD48a2V5d29yZD5NZXhp
Y288L2tleXdvcmQ+PGtleXdvcmQ+VHJpYWw8L2tleXdvcmQ+PC9rZXl3b3Jkcz48ZGF0ZXM+PHll
YXI+MjAxNzwveWVhcj48cHViLWRhdGVzPjxkYXRlPk5vdiAxPC9kYXRlPjwvcHViLWRhdGVzPjwv
ZGF0ZXM+PGlzYm4+MDM3Ni04NzE2PC9pc2JuPjxhY2Nlc3Npb24tbnVtPjI4OTg4MDA1PC9hY2Nl
c3Npb24tbnVtPjx1cmxzPjxyZWxhdGVkLXVybHM+PHVybD5odHRwOi8vd3d3LmRydWdhbmRhbGNv
aG9sZGVwZW5kZW5jZS5jb20vYXJ0aWNsZS9TMDM3Ni04NzE2KDE3KTMwNDgyLTkvcGRmPC91cmw+
PC9yZWxhdGVkLXVybHM+PC91cmxzPjxjdXN0b20yPlBNQzU3NzE0NDA8L2N1c3RvbTI+PGN1c3Rv
bTY+TklITVM5MTE0Nzg8L2N1c3RvbTY+PGVsZWN0cm9uaWMtcmVzb3VyY2UtbnVtPjEwLjEwMTYv
ai5kcnVnYWxjZGVwLjIwMTcuMDkuMDAxPC9lbGVjdHJvbmljLXJlc291cmNlLW51bT48cmVtb3Rl
LWRhdGFiYXNlLXByb3ZpZGVyPk5MTTwvcmVtb3RlLWRhdGFiYXNlLXByb3ZpZGVyPjxsYW5ndWFn
ZT5lbmc8L2xhbmd1YWdlPjwvcmVjb3JkPjwvQ2l0ZT48L0VuZE5vdGU+AG==
</w:fldData>
        </w:fldChar>
      </w:r>
      <w:r w:rsidR="004E728C">
        <w:instrText xml:space="preserve"> ADDIN EN.CITE.DATA </w:instrText>
      </w:r>
      <w:r w:rsidR="004E728C">
        <w:fldChar w:fldCharType="end"/>
      </w:r>
      <w:r>
        <w:fldChar w:fldCharType="separate"/>
      </w:r>
      <w:r w:rsidR="004E728C">
        <w:rPr>
          <w:noProof/>
        </w:rPr>
        <w:t>(Lozano, Barrientos-Gutierrez et al. 2017)</w:t>
      </w:r>
      <w:r>
        <w:fldChar w:fldCharType="end"/>
      </w:r>
      <w:r>
        <w:t>. At baseline, none of the students included in the analysis had used cocaine or marijuana, 7% had tried e</w:t>
      </w:r>
      <w:r>
        <w:noBreakHyphen/>
        <w:t>cigarettes and 17% had tried conventional cigarettes. This study found e</w:t>
      </w:r>
      <w:r>
        <w:noBreakHyphen/>
        <w:t>cigarette use at baseline was not independently associated with marijuana use at the 20</w:t>
      </w:r>
      <w:r>
        <w:noBreakHyphen/>
        <w:t>month follow</w:t>
      </w:r>
      <w:r>
        <w:noBreakHyphen/>
        <w:t>up (OR:</w:t>
      </w:r>
      <w:r w:rsidR="00792D5A">
        <w:t> </w:t>
      </w:r>
      <w:r>
        <w:t>1.42; 95%CI: 0.84 – 2.37), however, e</w:t>
      </w:r>
      <w:r>
        <w:noBreakHyphen/>
        <w:t xml:space="preserve">cigarette use was associated with conventional cigarette use at follow up (reported in section </w:t>
      </w:r>
      <w:r w:rsidR="008F3AC0">
        <w:t>9.2.1</w:t>
      </w:r>
      <w:r>
        <w:t xml:space="preserve"> above) and conventional cigarette use and use of both e</w:t>
      </w:r>
      <w:r>
        <w:noBreakHyphen/>
        <w:t>cigarettes and conventional cigarettes were associated with marijuana use at follow up (OR: 2.05; 95%CI: 1.53</w:t>
      </w:r>
      <w:r>
        <w:noBreakHyphen/>
        <w:t>2.75, and OR: 2.67; 95%CI: 1.78</w:t>
      </w:r>
      <w:r>
        <w:noBreakHyphen/>
        <w:t>4.02, respectively). These results suggest e</w:t>
      </w:r>
      <w:r>
        <w:noBreakHyphen/>
        <w:t>cigarette use is associated with progression to conventional cigarettes and conventional cigarette use is associated with progression to marijuana and perhaps a longer follow up period was required to observe an association between e</w:t>
      </w:r>
      <w:r>
        <w:noBreakHyphen/>
        <w:t xml:space="preserve">cigarette use and marijuana use at follow up. </w:t>
      </w:r>
    </w:p>
    <w:p w14:paraId="719F54E5" w14:textId="4C2F2098" w:rsidR="002D348A" w:rsidRDefault="002D348A" w:rsidP="002D348A">
      <w:pPr>
        <w:pStyle w:val="BodyText"/>
      </w:pPr>
      <w:r>
        <w:t>The other study, conducted by Dai and colleagues, followed a large, nationally representative, US cohort of 10,364 adolescents aged 12</w:t>
      </w:r>
      <w:r>
        <w:noBreakHyphen/>
        <w:t xml:space="preserve">17 years over a period of </w:t>
      </w:r>
      <w:r w:rsidR="00602AD8">
        <w:t>one</w:t>
      </w:r>
      <w:r>
        <w:t xml:space="preserve"> year </w:t>
      </w:r>
      <w:r>
        <w:fldChar w:fldCharType="begin"/>
      </w:r>
      <w:r w:rsidR="004E728C">
        <w:instrText xml:space="preserve"> ADDIN EN.CITE &lt;EndNote&gt;&lt;Cite&gt;&lt;Author&gt;Dai&lt;/Author&gt;&lt;Year&gt;2018&lt;/Year&gt;&lt;RecNum&gt;10379&lt;/RecNum&gt;&lt;DisplayText&gt;(Dai, Catley et al. 2018)&lt;/DisplayText&gt;&lt;record&gt;&lt;rec-number&gt;10379&lt;/rec-number&gt;&lt;foreign-keys&gt;&lt;key app="EN" db-id="9z05dz0praadfuee0zoxzedk9zfe5fxx50z5" timestamp="1526869878"&gt;10379&lt;/key&gt;&lt;key app="ENWeb" db-id=""&gt;0&lt;/key&gt;&lt;/foreign-keys&gt;&lt;ref-type name="Journal Article"&gt;17&lt;/ref-type&gt;&lt;contributors&gt;&lt;authors&gt;&lt;author&gt;Dai, Hongying&lt;/author&gt;&lt;author&gt;Catley, Delwyn&lt;/author&gt;&lt;author&gt;Richter, Kimber P.&lt;/author&gt;&lt;author&gt;Goggin, Kathy&lt;/author&gt;&lt;author&gt;Ellerbeck, Edward F.&lt;/author&gt;&lt;/authors&gt;&lt;/contributors&gt;&lt;titles&gt;&lt;title&gt;Electronic Cigarettes and Future Marijuana Use: A Longitudinal Study&lt;/title&gt;&lt;secondary-title&gt;Pediatrics&lt;/secondary-title&gt;&lt;/titles&gt;&lt;periodical&gt;&lt;full-title&gt;Pediatrics&lt;/full-title&gt;&lt;/periodical&gt;&lt;volume&gt;141&lt;/volume&gt;&lt;number&gt;5&lt;/number&gt;&lt;dates&gt;&lt;year&gt;2018&lt;/year&gt;&lt;pub-dates&gt;&lt;date&gt;May&lt;/date&gt;&lt;/pub-dates&gt;&lt;/dates&gt;&lt;isbn&gt;0031-4005&lt;/isbn&gt;&lt;accession-num&gt;WOS:000431231300034&lt;/accession-num&gt;&lt;urls&gt;&lt;related-urls&gt;&lt;url&gt;&amp;lt;Go to ISI&amp;gt;://WOS:000431231300034&lt;/url&gt;&lt;url&gt;http://pediatrics.aappublications.org/content/pediatrics/141/5/e20173787.full.pdf&lt;/url&gt;&lt;/related-urls&gt;&lt;/urls&gt;&lt;custom7&gt;e20173787&lt;/custom7&gt;&lt;electronic-resource-num&gt;10.1542/peds.2017-3787&lt;/electronic-resource-num&gt;&lt;/record&gt;&lt;/Cite&gt;&lt;/EndNote&gt;</w:instrText>
      </w:r>
      <w:r>
        <w:fldChar w:fldCharType="separate"/>
      </w:r>
      <w:r>
        <w:rPr>
          <w:noProof/>
        </w:rPr>
        <w:t>(Dai, Catley et al. 2018)</w:t>
      </w:r>
      <w:r>
        <w:fldChar w:fldCharType="end"/>
      </w:r>
      <w:r>
        <w:t>. All participants included in the analysis reported never having used marijuana at baseline and 5.1% reported ever using e</w:t>
      </w:r>
      <w:r>
        <w:noBreakHyphen/>
        <w:t xml:space="preserve">cigarettes. After adjusting for confounders, baseline </w:t>
      </w:r>
      <w:r w:rsidRPr="00C84ABB">
        <w:t>e</w:t>
      </w:r>
      <w:r>
        <w:noBreakHyphen/>
      </w:r>
      <w:r w:rsidRPr="00C84ABB">
        <w:t>cigaret</w:t>
      </w:r>
      <w:r>
        <w:t>te users</w:t>
      </w:r>
      <w:r w:rsidRPr="00C84ABB">
        <w:t xml:space="preserve"> were m</w:t>
      </w:r>
      <w:r>
        <w:t xml:space="preserve">ore likely to report </w:t>
      </w:r>
      <w:r w:rsidRPr="00C84ABB">
        <w:t>marijuana use in the past 1</w:t>
      </w:r>
      <w:r>
        <w:t>2 months at follow up (OR: 1.9; 95%CI: 1.4</w:t>
      </w:r>
      <w:r>
        <w:noBreakHyphen/>
        <w:t>2.5</w:t>
      </w:r>
      <w:r w:rsidRPr="00C84ABB">
        <w:t>) but were not more likely to report heavy use of marijuana (OR: 1.3</w:t>
      </w:r>
      <w:r>
        <w:t>; 95%CI: 0.8</w:t>
      </w:r>
      <w:r>
        <w:noBreakHyphen/>
        <w:t>2.1</w:t>
      </w:r>
      <w:r w:rsidRPr="00C84ABB">
        <w:t>)</w:t>
      </w:r>
      <w:r>
        <w:t>. These associations were modified by age group. There was a stronger association between baseline e</w:t>
      </w:r>
      <w:r>
        <w:noBreakHyphen/>
        <w:t xml:space="preserve">cigarette use and </w:t>
      </w:r>
      <w:r w:rsidRPr="00C84ABB">
        <w:t xml:space="preserve">past </w:t>
      </w:r>
      <w:r>
        <w:t>12 month marijuana use</w:t>
      </w:r>
      <w:r w:rsidRPr="00C84ABB">
        <w:t xml:space="preserve"> in the younger </w:t>
      </w:r>
      <w:r>
        <w:t>12</w:t>
      </w:r>
      <w:r>
        <w:noBreakHyphen/>
        <w:t>14 years age group (OR: 2.7; 95%CI: 1.7</w:t>
      </w:r>
      <w:r>
        <w:noBreakHyphen/>
        <w:t>4.3</w:t>
      </w:r>
      <w:r w:rsidRPr="00C84ABB">
        <w:t>) than the older 15</w:t>
      </w:r>
      <w:r>
        <w:noBreakHyphen/>
      </w:r>
      <w:r w:rsidRPr="00C84ABB">
        <w:t>17 years age grou</w:t>
      </w:r>
      <w:r>
        <w:t>p (OR: 1.6; 95%CI: 1.2</w:t>
      </w:r>
      <w:r>
        <w:noBreakHyphen/>
        <w:t xml:space="preserve">2.3). Baseline </w:t>
      </w:r>
      <w:r w:rsidRPr="00C84ABB">
        <w:t>e</w:t>
      </w:r>
      <w:r>
        <w:noBreakHyphen/>
      </w:r>
      <w:r w:rsidRPr="00C84ABB">
        <w:t xml:space="preserve">cigarette use </w:t>
      </w:r>
      <w:r>
        <w:t>was also</w:t>
      </w:r>
      <w:r w:rsidRPr="00C84ABB">
        <w:t xml:space="preserve"> associated with heavy marijuana use at follow up in young adolescents </w:t>
      </w:r>
      <w:r>
        <w:t>only (OR: 2.5; 95%CI: 1.2, 5.3). The confounders that were considered in this study include demographics, school performance, sensation seeking personality and ever use of alcohol, cigarettes, prescription medication (for non</w:t>
      </w:r>
      <w:r>
        <w:noBreakHyphen/>
        <w:t>medical purposes) and illicit drugs. These results may be affected by residual confounding from unmeasured variables such as other personality traits and social influences (i.e. having friends and/or family members who smoke marijuana). The initial response rate was also low at 54% which may have introduced bias.</w:t>
      </w:r>
    </w:p>
    <w:p w14:paraId="0888CF54" w14:textId="77777777" w:rsidR="002D348A" w:rsidRDefault="002D348A" w:rsidP="002D348A">
      <w:pPr>
        <w:pStyle w:val="BodyText"/>
      </w:pPr>
    </w:p>
    <w:p w14:paraId="03867FFE" w14:textId="77777777" w:rsidR="002D348A" w:rsidRDefault="002D348A" w:rsidP="002D348A">
      <w:pPr>
        <w:pStyle w:val="Heading3"/>
      </w:pPr>
      <w:r>
        <w:t>Cross</w:t>
      </w:r>
      <w:r>
        <w:noBreakHyphen/>
        <w:t>sectional studies</w:t>
      </w:r>
    </w:p>
    <w:p w14:paraId="59E8E8C5" w14:textId="7E2C93E3" w:rsidR="002D348A" w:rsidRDefault="002D348A" w:rsidP="002D348A">
      <w:pPr>
        <w:pStyle w:val="BodyText"/>
      </w:pPr>
      <w:r>
        <w:t xml:space="preserve">Of the </w:t>
      </w:r>
      <w:r w:rsidR="00114799">
        <w:t xml:space="preserve">eight </w:t>
      </w:r>
      <w:r>
        <w:t>cross</w:t>
      </w:r>
      <w:r>
        <w:noBreakHyphen/>
        <w:t>sectional studies examining the association between use of e</w:t>
      </w:r>
      <w:r>
        <w:noBreakHyphen/>
        <w:t xml:space="preserve">cigarettes and the use of other substances, only </w:t>
      </w:r>
      <w:r w:rsidR="00114799">
        <w:t>three</w:t>
      </w:r>
      <w:r>
        <w:t xml:space="preserve"> have adjusted for confounders other than basic demographics (i.e. age, gender, race and socio</w:t>
      </w:r>
      <w:r>
        <w:noBreakHyphen/>
        <w:t>economic measures). Of these studies, one has examined the association between alcohol use and e</w:t>
      </w:r>
      <w:r>
        <w:noBreakHyphen/>
        <w:t>cigarette use, one has examined the association between e</w:t>
      </w:r>
      <w:r>
        <w:noBreakHyphen/>
        <w:t>cigarette use and vaping cannabis and one has assessed the association between use of e</w:t>
      </w:r>
      <w:r>
        <w:noBreakHyphen/>
        <w:t xml:space="preserve">cigarettes and alcohol use and lifetime use of drugs or butane gas. </w:t>
      </w:r>
    </w:p>
    <w:p w14:paraId="5736C1EE" w14:textId="77777777" w:rsidR="002D348A" w:rsidRDefault="002D348A" w:rsidP="002D348A">
      <w:pPr>
        <w:pStyle w:val="BodyText"/>
      </w:pPr>
    </w:p>
    <w:p w14:paraId="6ABAA4AB" w14:textId="16F020FF" w:rsidR="002D348A" w:rsidRDefault="002D348A" w:rsidP="002D348A">
      <w:pPr>
        <w:pStyle w:val="BodyText"/>
      </w:pPr>
      <w:r>
        <w:lastRenderedPageBreak/>
        <w:t>Lanza and colleagues performed one such study, examining the association between ever e</w:t>
      </w:r>
      <w:r>
        <w:noBreakHyphen/>
        <w:t xml:space="preserve">cigarette use and early alcohol initiation (≤ 14 years), ever binge drinking, recent binge drinking (last month) and recently getting drunk (past month) in a sample of 452 college students in California, USA </w:t>
      </w:r>
      <w:r>
        <w:fldChar w:fldCharType="begin">
          <w:fldData xml:space="preserve">PEVuZE5vdGU+PENpdGU+PEF1dGhvcj5Mb3phbm88L0F1dGhvcj48WWVhcj4yMDE3PC9ZZWFyPjxS
ZWNOdW0+NDg5OTwvUmVjTnVtPjxEaXNwbGF5VGV4dD4oTG96YW5vLCBCYXJyaWVudG9zLUd1dGll
cnJleiBldCBhbC4gMjAxNyk8L0Rpc3BsYXlUZXh0PjxyZWNvcmQ+PHJlYy1udW1iZXI+NDg5OTwv
cmVjLW51bWJlcj48Zm9yZWlnbi1rZXlzPjxrZXkgYXBwPSJFTiIgZGItaWQ9Ijl6MDVkejBwcmFh
ZGZ1ZWUwem94emVkazl6ZmU1Znh4NTB6NSIgdGltZXN0YW1wPSIxNTIzOTIwNTkxIj40ODk5PC9r
ZXk+PGtleSBhcHA9IkVOV2ViIiBkYi1pZD0iIj4wPC9rZXk+PC9mb3JlaWduLWtleXM+PHJlZi10
eXBlIG5hbWU9IkpvdXJuYWwgQXJ0aWNsZSI+MTc8L3JlZi10eXBlPjxjb250cmlidXRvcnM+PGF1
dGhvcnM+PGF1dGhvcj5Mb3phbm8sIFAuPC9hdXRob3I+PGF1dGhvcj5CYXJyaWVudG9zLUd1dGll
cnJleiwgSS48L2F1dGhvcj48YXV0aG9yPkFyaWxsby1TYW50aWxsYW4sIEUuPC9hdXRob3I+PGF1
dGhvcj5Nb3JlbGxvLCBQLjwvYXV0aG9yPjxhdXRob3I+TWVqaWEsIFIuPC9hdXRob3I+PGF1dGhv
cj5TYXJnZW50LCBKLiBELjwvYXV0aG9yPjxhdXRob3I+VGhyYXNoZXIsIEouIEYuPC9hdXRob3I+
PC9hdXRob3JzPjwvY29udHJpYnV0b3JzPjxhdXRoLWFkZHJlc3M+SGVhbHRoIFByb21vdGlvbiwg
RWR1Y2F0aW9uLCBhbmQgQmVoYXZpb3IsIEFybm9sZCBTY2hvb2wgb2YgUHVibGljIEhlYWx0aCwg
VW5pdmVyc2l0eSBvZiBTb3V0aCBDYXJvbGluYSwgQ29sdW1iaWEsIFNvdXRoIENhcm9saW5hLCBV
U0EuIEVsZWN0cm9uaWMgYWRkcmVzczogbG96YW5vcEBlbWFpbC5zYy5lZHUuJiN4RDtEZXBhcnRt
ZW50IG9mIFRvYmFjY28gUmVzZWFyY2gsIENlbnRlciBmb3IgUG9wdWxhdGlvbiBIZWFsdGggUmVz
ZWFyY2ggTmF0aW9uYWwgSW5zdGl0dXRlIG9mIFB1YmxpYyBIZWFsdGgsIEN1ZXJuYXZhY2EsIE1l
eGljby4gRWxlY3Ryb25pYyBhZGRyZXNzOiBpbnRpLmJhcnJpZW50b3NAaW5zcC5teC4mI3hEO0Rl
cGFydG1lbnQgb2YgVG9iYWNjbyBSZXNlYXJjaCwgQ2VudGVyIGZvciBQb3B1bGF0aW9uIEhlYWx0
aCBSZXNlYXJjaCBOYXRpb25hbCBJbnN0aXR1dGUgb2YgUHVibGljIEhlYWx0aCwgQ3Vlcm5hdmFj
YSwgTWV4aWNvLiBFbGVjdHJvbmljIGFkZHJlc3M6IGVkbmFAaW5zcC5teC4mI3hEO0RlcGFydG1l
bnQgb2YgSGVhbHRoIEVjb25vbXkgYW5kIFNvY2lldHksIENlbnRybyBkZSBFc3R1ZGlvcyBkZSBF
c3RhZG8geSBTb2NpZWRhZCwgQnVlbm9zIEFpcmVzLCBBcmdlbnRpbmEuIEVsZWN0cm9uaWMgYWRk
cmVzczogcGFvbGFtb3JlbGxvQGhvdG1haWwuY29tLiYjeEQ7RGVwYXJ0bWVudCBvZiBIZWFsdGgg
RWNvbm9teSBhbmQgU29jaWV0eSwgQ2VudHJvIGRlIEVzdHVkaW9zIGRlIEVzdGFkbyB5IFNvY2ll
ZGFkLCBCdWVub3MgQWlyZXMsIEFyZ2VudGluYS4gRWxlY3Ryb25pYyBhZGRyZXNzOiByYXVsbWVq
aWFAY2VkZXMub3JnLiYjeEQ7Q2FuY2VyIENvbnRyb2wgUHJvZ3JhbSwgTm9ycmlzIENvdHRvbiBD
YW5jZXIgQ2VudGVyLCBMZWJhbm9uLCBOZXcgSGFtcHNoaXJlLCBVU0EuIEVsZWN0cm9uaWMgYWRk
cmVzczogSmFtZXMuRC5TYXJnZW50QGRhcnRtb3V0aC5lZHUuJiN4RDtIZWFsdGggUHJvbW90aW9u
LCBFZHVjYXRpb24sIGFuZCBCZWhhdmlvciwgQXJub2xkIFNjaG9vbCBvZiBQdWJsaWMgSGVhbHRo
LCBVbml2ZXJzaXR5IG9mIFNvdXRoIENhcm9saW5hLCBDb2x1bWJpYSwgU291dGggQ2Fyb2xpbmEs
IFVTQTsgRGVwYXJ0bWVudCBvZiBUb2JhY2NvIFJlc2VhcmNoLCBDZW50ZXIgZm9yIFBvcHVsYXRp
b24gSGVhbHRoIFJlc2VhcmNoIE5hdGlvbmFsIEluc3RpdHV0ZSBvZiBQdWJsaWMgSGVhbHRoLCBD
dWVybmF2YWNhLCBNZXhpY28uIEVsZWN0cm9uaWMgYWRkcmVzczogdGhyYXNoZXJAbWFpbGJveC5z
Yy5lZHUuPC9hdXRoLWFkZHJlc3M+PHRpdGxlcz48dGl0bGU+QSBsb25naXR1ZGluYWwgc3R1ZHkg
b2YgZWxlY3Ryb25pYyBjaWdhcmV0dGUgdXNlIGFuZCBvbnNldCBvZiBjb252ZW50aW9uYWwgY2ln
YXJldHRlIHNtb2tpbmcgYW5kIG1hcmlqdWFuYSB1c2UgYW1vbmcgTWV4aWNhbiBhZG9sZXNjZW50
czwvdGl0bGU+PHNlY29uZGFyeS10aXRsZT5EcnVnIEFsY29ob2wgRGVwZW5kPC9zZWNvbmRhcnkt
dGl0bGU+PGFsdC10aXRsZT5EcnVnIGFuZCBhbGNvaG9sIGRlcGVuZGVuY2U8L2FsdC10aXRsZT48
L3RpdGxlcz48YWx0LXBlcmlvZGljYWw+PGZ1bGwtdGl0bGU+RHJ1ZyBhbmQgQWxjb2hvbCBEZXBl
bmRlbmNlPC9mdWxsLXRpdGxlPjwvYWx0LXBlcmlvZGljYWw+PHBhZ2VzPjQyNy00MzA8L3BhZ2Vz
Pjx2b2x1bWU+MTgwPC92b2x1bWU+PGVkaXRpb24+MjAxNy8xMC8xMTwvZWRpdGlvbj48a2V5d29y
ZHM+PGtleXdvcmQ+QWRvbGVzY2VudHM8L2tleXdvcmQ+PGtleXdvcmQ+RWxlY3Ryb25pYyBjaWdh
cmV0dGVzPC9rZXl3b3JkPjxrZXl3b3JkPk1hcmlqdWFuYTwva2V5d29yZD48a2V5d29yZD5NZXhp
Y288L2tleXdvcmQ+PGtleXdvcmQ+VHJpYWw8L2tleXdvcmQ+PC9rZXl3b3Jkcz48ZGF0ZXM+PHll
YXI+MjAxNzwveWVhcj48cHViLWRhdGVzPjxkYXRlPk5vdiAxPC9kYXRlPjwvcHViLWRhdGVzPjwv
ZGF0ZXM+PGlzYm4+MDM3Ni04NzE2PC9pc2JuPjxhY2Nlc3Npb24tbnVtPjI4OTg4MDA1PC9hY2Nl
c3Npb24tbnVtPjx1cmxzPjxyZWxhdGVkLXVybHM+PHVybD5odHRwOi8vd3d3LmRydWdhbmRhbGNv
aG9sZGVwZW5kZW5jZS5jb20vYXJ0aWNsZS9TMDM3Ni04NzE2KDE3KTMwNDgyLTkvcGRmPC91cmw+
PC9yZWxhdGVkLXVybHM+PC91cmxzPjxjdXN0b20yPlBNQzU3NzE0NDA8L2N1c3RvbTI+PGN1c3Rv
bTY+TklITVM5MTE0Nzg8L2N1c3RvbTY+PGVsZWN0cm9uaWMtcmVzb3VyY2UtbnVtPjEwLjEwMTYv
ai5kcnVnYWxjZGVwLjIwMTcuMDkuMDAxPC9lbGVjdHJvbmljLXJlc291cmNlLW51bT48cmVtb3Rl
LWRhdGFiYXNlLXByb3ZpZGVyPk5MTTwvcmVtb3RlLWRhdGFiYXNlLXByb3ZpZGVyPjxsYW5ndWFn
ZT5lbmc8L2xhbmd1YWdlPjwvcmVjb3JkPjwvQ2l0ZT48L0VuZE5vdGU+AG==
</w:fldData>
        </w:fldChar>
      </w:r>
      <w:r w:rsidR="004E728C">
        <w:instrText xml:space="preserve"> ADDIN EN.CITE </w:instrText>
      </w:r>
      <w:r w:rsidR="004E728C">
        <w:fldChar w:fldCharType="begin">
          <w:fldData xml:space="preserve">PEVuZE5vdGU+PENpdGU+PEF1dGhvcj5Mb3phbm88L0F1dGhvcj48WWVhcj4yMDE3PC9ZZWFyPjxS
ZWNOdW0+NDg5OTwvUmVjTnVtPjxEaXNwbGF5VGV4dD4oTG96YW5vLCBCYXJyaWVudG9zLUd1dGll
cnJleiBldCBhbC4gMjAxNyk8L0Rpc3BsYXlUZXh0PjxyZWNvcmQ+PHJlYy1udW1iZXI+NDg5OTwv
cmVjLW51bWJlcj48Zm9yZWlnbi1rZXlzPjxrZXkgYXBwPSJFTiIgZGItaWQ9Ijl6MDVkejBwcmFh
ZGZ1ZWUwem94emVkazl6ZmU1Znh4NTB6NSIgdGltZXN0YW1wPSIxNTIzOTIwNTkxIj40ODk5PC9r
ZXk+PGtleSBhcHA9IkVOV2ViIiBkYi1pZD0iIj4wPC9rZXk+PC9mb3JlaWduLWtleXM+PHJlZi10
eXBlIG5hbWU9IkpvdXJuYWwgQXJ0aWNsZSI+MTc8L3JlZi10eXBlPjxjb250cmlidXRvcnM+PGF1
dGhvcnM+PGF1dGhvcj5Mb3phbm8sIFAuPC9hdXRob3I+PGF1dGhvcj5CYXJyaWVudG9zLUd1dGll
cnJleiwgSS48L2F1dGhvcj48YXV0aG9yPkFyaWxsby1TYW50aWxsYW4sIEUuPC9hdXRob3I+PGF1
dGhvcj5Nb3JlbGxvLCBQLjwvYXV0aG9yPjxhdXRob3I+TWVqaWEsIFIuPC9hdXRob3I+PGF1dGhv
cj5TYXJnZW50LCBKLiBELjwvYXV0aG9yPjxhdXRob3I+VGhyYXNoZXIsIEouIEYuPC9hdXRob3I+
PC9hdXRob3JzPjwvY29udHJpYnV0b3JzPjxhdXRoLWFkZHJlc3M+SGVhbHRoIFByb21vdGlvbiwg
RWR1Y2F0aW9uLCBhbmQgQmVoYXZpb3IsIEFybm9sZCBTY2hvb2wgb2YgUHVibGljIEhlYWx0aCwg
VW5pdmVyc2l0eSBvZiBTb3V0aCBDYXJvbGluYSwgQ29sdW1iaWEsIFNvdXRoIENhcm9saW5hLCBV
U0EuIEVsZWN0cm9uaWMgYWRkcmVzczogbG96YW5vcEBlbWFpbC5zYy5lZHUuJiN4RDtEZXBhcnRt
ZW50IG9mIFRvYmFjY28gUmVzZWFyY2gsIENlbnRlciBmb3IgUG9wdWxhdGlvbiBIZWFsdGggUmVz
ZWFyY2ggTmF0aW9uYWwgSW5zdGl0dXRlIG9mIFB1YmxpYyBIZWFsdGgsIEN1ZXJuYXZhY2EsIE1l
eGljby4gRWxlY3Ryb25pYyBhZGRyZXNzOiBpbnRpLmJhcnJpZW50b3NAaW5zcC5teC4mI3hEO0Rl
cGFydG1lbnQgb2YgVG9iYWNjbyBSZXNlYXJjaCwgQ2VudGVyIGZvciBQb3B1bGF0aW9uIEhlYWx0
aCBSZXNlYXJjaCBOYXRpb25hbCBJbnN0aXR1dGUgb2YgUHVibGljIEhlYWx0aCwgQ3Vlcm5hdmFj
YSwgTWV4aWNvLiBFbGVjdHJvbmljIGFkZHJlc3M6IGVkbmFAaW5zcC5teC4mI3hEO0RlcGFydG1l
bnQgb2YgSGVhbHRoIEVjb25vbXkgYW5kIFNvY2lldHksIENlbnRybyBkZSBFc3R1ZGlvcyBkZSBF
c3RhZG8geSBTb2NpZWRhZCwgQnVlbm9zIEFpcmVzLCBBcmdlbnRpbmEuIEVsZWN0cm9uaWMgYWRk
cmVzczogcGFvbGFtb3JlbGxvQGhvdG1haWwuY29tLiYjeEQ7RGVwYXJ0bWVudCBvZiBIZWFsdGgg
RWNvbm9teSBhbmQgU29jaWV0eSwgQ2VudHJvIGRlIEVzdHVkaW9zIGRlIEVzdGFkbyB5IFNvY2ll
ZGFkLCBCdWVub3MgQWlyZXMsIEFyZ2VudGluYS4gRWxlY3Ryb25pYyBhZGRyZXNzOiByYXVsbWVq
aWFAY2VkZXMub3JnLiYjeEQ7Q2FuY2VyIENvbnRyb2wgUHJvZ3JhbSwgTm9ycmlzIENvdHRvbiBD
YW5jZXIgQ2VudGVyLCBMZWJhbm9uLCBOZXcgSGFtcHNoaXJlLCBVU0EuIEVsZWN0cm9uaWMgYWRk
cmVzczogSmFtZXMuRC5TYXJnZW50QGRhcnRtb3V0aC5lZHUuJiN4RDtIZWFsdGggUHJvbW90aW9u
LCBFZHVjYXRpb24sIGFuZCBCZWhhdmlvciwgQXJub2xkIFNjaG9vbCBvZiBQdWJsaWMgSGVhbHRo
LCBVbml2ZXJzaXR5IG9mIFNvdXRoIENhcm9saW5hLCBDb2x1bWJpYSwgU291dGggQ2Fyb2xpbmEs
IFVTQTsgRGVwYXJ0bWVudCBvZiBUb2JhY2NvIFJlc2VhcmNoLCBDZW50ZXIgZm9yIFBvcHVsYXRp
b24gSGVhbHRoIFJlc2VhcmNoIE5hdGlvbmFsIEluc3RpdHV0ZSBvZiBQdWJsaWMgSGVhbHRoLCBD
dWVybmF2YWNhLCBNZXhpY28uIEVsZWN0cm9uaWMgYWRkcmVzczogdGhyYXNoZXJAbWFpbGJveC5z
Yy5lZHUuPC9hdXRoLWFkZHJlc3M+PHRpdGxlcz48dGl0bGU+QSBsb25naXR1ZGluYWwgc3R1ZHkg
b2YgZWxlY3Ryb25pYyBjaWdhcmV0dGUgdXNlIGFuZCBvbnNldCBvZiBjb252ZW50aW9uYWwgY2ln
YXJldHRlIHNtb2tpbmcgYW5kIG1hcmlqdWFuYSB1c2UgYW1vbmcgTWV4aWNhbiBhZG9sZXNjZW50
czwvdGl0bGU+PHNlY29uZGFyeS10aXRsZT5EcnVnIEFsY29ob2wgRGVwZW5kPC9zZWNvbmRhcnkt
dGl0bGU+PGFsdC10aXRsZT5EcnVnIGFuZCBhbGNvaG9sIGRlcGVuZGVuY2U8L2FsdC10aXRsZT48
L3RpdGxlcz48YWx0LXBlcmlvZGljYWw+PGZ1bGwtdGl0bGU+RHJ1ZyBhbmQgQWxjb2hvbCBEZXBl
bmRlbmNlPC9mdWxsLXRpdGxlPjwvYWx0LXBlcmlvZGljYWw+PHBhZ2VzPjQyNy00MzA8L3BhZ2Vz
Pjx2b2x1bWU+MTgwPC92b2x1bWU+PGVkaXRpb24+MjAxNy8xMC8xMTwvZWRpdGlvbj48a2V5d29y
ZHM+PGtleXdvcmQ+QWRvbGVzY2VudHM8L2tleXdvcmQ+PGtleXdvcmQ+RWxlY3Ryb25pYyBjaWdh
cmV0dGVzPC9rZXl3b3JkPjxrZXl3b3JkPk1hcmlqdWFuYTwva2V5d29yZD48a2V5d29yZD5NZXhp
Y288L2tleXdvcmQ+PGtleXdvcmQ+VHJpYWw8L2tleXdvcmQ+PC9rZXl3b3Jkcz48ZGF0ZXM+PHll
YXI+MjAxNzwveWVhcj48cHViLWRhdGVzPjxkYXRlPk5vdiAxPC9kYXRlPjwvcHViLWRhdGVzPjwv
ZGF0ZXM+PGlzYm4+MDM3Ni04NzE2PC9pc2JuPjxhY2Nlc3Npb24tbnVtPjI4OTg4MDA1PC9hY2Nl
c3Npb24tbnVtPjx1cmxzPjxyZWxhdGVkLXVybHM+PHVybD5odHRwOi8vd3d3LmRydWdhbmRhbGNv
aG9sZGVwZW5kZW5jZS5jb20vYXJ0aWNsZS9TMDM3Ni04NzE2KDE3KTMwNDgyLTkvcGRmPC91cmw+
PC9yZWxhdGVkLXVybHM+PC91cmxzPjxjdXN0b20yPlBNQzU3NzE0NDA8L2N1c3RvbTI+PGN1c3Rv
bTY+TklITVM5MTE0Nzg8L2N1c3RvbTY+PGVsZWN0cm9uaWMtcmVzb3VyY2UtbnVtPjEwLjEwMTYv
ai5kcnVnYWxjZGVwLjIwMTcuMDkuMDAxPC9lbGVjdHJvbmljLXJlc291cmNlLW51bT48cmVtb3Rl
LWRhdGFiYXNlLXByb3ZpZGVyPk5MTTwvcmVtb3RlLWRhdGFiYXNlLXByb3ZpZGVyPjxsYW5ndWFn
ZT5lbmc8L2xhbmd1YWdlPjwvcmVjb3JkPjwvQ2l0ZT48L0VuZE5vdGU+AG==
</w:fldData>
        </w:fldChar>
      </w:r>
      <w:r w:rsidR="004E728C">
        <w:instrText xml:space="preserve"> ADDIN EN.CITE.DATA </w:instrText>
      </w:r>
      <w:r w:rsidR="004E728C">
        <w:fldChar w:fldCharType="end"/>
      </w:r>
      <w:r>
        <w:fldChar w:fldCharType="separate"/>
      </w:r>
      <w:r w:rsidR="004E728C">
        <w:rPr>
          <w:noProof/>
        </w:rPr>
        <w:t>(Lozano, Barrientos-Gutierrez et al. 2017)</w:t>
      </w:r>
      <w:r>
        <w:fldChar w:fldCharType="end"/>
      </w:r>
      <w:r>
        <w:t xml:space="preserve">. Binge drinking was defined as drinking </w:t>
      </w:r>
      <w:r w:rsidR="00114799">
        <w:t>four</w:t>
      </w:r>
      <w:r>
        <w:t xml:space="preserve"> or more alcoholic drinks in one sitting for females, </w:t>
      </w:r>
      <w:r w:rsidR="00114799">
        <w:t>five</w:t>
      </w:r>
      <w:r>
        <w:t xml:space="preserve"> or more for males. After adjusting for confounders including demographics, percentage of friends that have used e</w:t>
      </w:r>
      <w:r>
        <w:noBreakHyphen/>
        <w:t>cigarettes, and perceiving e</w:t>
      </w:r>
      <w:r>
        <w:noBreakHyphen/>
        <w:t>cigarettes to be healthier than cigarettes, this study found that those who had ever engaged in binge drinking had a higher likelihood of having ever used e</w:t>
      </w:r>
      <w:r>
        <w:noBreakHyphen/>
        <w:t>cigarettes (OR: 2.53, p&lt;0.001). A similar trend was also observed in those who had been drunk in the past month (OR:</w:t>
      </w:r>
      <w:r w:rsidR="00792D5A">
        <w:t> </w:t>
      </w:r>
      <w:r>
        <w:t xml:space="preserve">2.00, p=0.061). </w:t>
      </w:r>
    </w:p>
    <w:p w14:paraId="2746A86A" w14:textId="77777777" w:rsidR="002D348A" w:rsidRDefault="002D348A" w:rsidP="002D348A">
      <w:pPr>
        <w:pStyle w:val="BodyText"/>
      </w:pPr>
      <w:r>
        <w:t>In another study of 6,307 Korean adolescent smokers, Park and colleagues found that, after adjusting for confounders, current e</w:t>
      </w:r>
      <w:r>
        <w:noBreakHyphen/>
        <w:t>cigarette use were associated with recent at</w:t>
      </w:r>
      <w:r>
        <w:noBreakHyphen/>
        <w:t xml:space="preserve">risk drinking (past 30 days) and lifetime use of drugs or butane gas, daily smoking and a higher number of cigarettes smoked per day </w:t>
      </w:r>
      <w:r>
        <w:fldChar w:fldCharType="begin">
          <w:fldData xml:space="preserve">PEVuZE5vdGU+PENpdGU+PEF1dGhvcj5QYXJrPC9BdXRob3I+PFllYXI+MjAxNzwvWWVhcj48UmVj
TnVtPjUzOTE8L1JlY051bT48RGlzcGxheVRleHQ+KFBhcmssIExlZSBldCBhbC4gMjAxNyk8L0Rp
c3BsYXlUZXh0PjxyZWNvcmQ+PHJlYy1udW1iZXI+NTM5MTwvcmVjLW51bWJlcj48Zm9yZWlnbi1r
ZXlzPjxrZXkgYXBwPSJFTiIgZGItaWQ9Ijl6MDVkejBwcmFhZGZ1ZWUwem94emVkazl6ZmU1Znh4
NTB6NSIgdGltZXN0YW1wPSIxNTIzOTIwOTUzIj41MzkxPC9rZXk+PGtleSBhcHA9IkVOV2ViIiBk
Yi1pZD0iIj4wPC9rZXk+PC9mb3JlaWduLWtleXM+PHJlZi10eXBlIG5hbWU9IkpvdXJuYWwgQXJ0
aWNsZSI+MTc8L3JlZi10eXBlPjxjb250cmlidXRvcnM+PGF1dGhvcnM+PGF1dGhvcj5QYXJrLCBT
LjwvYXV0aG9yPjxhdXRob3I+TGVlLCBILjwvYXV0aG9yPjxhdXRob3I+TWluLCBTLjwvYXV0aG9y
PjwvYXV0aG9ycz48L2NvbnRyaWJ1dG9ycz48YXV0aC1hZGRyZXNzPkNvbGxlZ2Ugb2YgTnVyc2lu
ZyBTY2llbmNlLCBFYXN0LVdlc3QgTnVyc2luZyBSZXNlYXJjaCBJbnN0aXR1dGUsIEt5dW5nIEhl
ZSBVbml2ZXJzaXR5LCAyNiBLeXVuZ2hlZS1kYWVybywgRG9uZ2RhZW11bi1ndSwgU2VvdWwgMDI0
NDcsIFJlcHVibGljIG9mIEtvcmVhLiBFbGVjdHJvbmljIGFkZHJlc3M6IHNwYXJrQGtodS5hYy5r
ci4mI3hEO0RlcGFydG1lbnQgb2YgTnVyc2luZywgR3JhZHVhdGUgU2Nob29sLCBLeXVuZyBIZWUg
VW5pdmVyc2l0eSwgMjYgS3l1bmdoZWUtZGFlcm8sIERvbmdkYWVtdW4tZ3UsIFNlb3VsIDAyNDQ3
LCBSZXB1YmxpYyBvZiBLb3JlYS4gRWxlY3Ryb25pYyBhZGRyZXNzOiByZWFydGUxN0BraHUuYWMu
a3IuJiN4RDtEZXBhcnRtZW50IG9mIE51cnNpbmcsIEdyYWR1YXRlIFNjaG9vbCwgS3l1bmcgSGVl
IFVuaXZlcnNpdHksIDI2IEt5dW5naGVlLWRhZXJvLCBEb25nZGFlbXVuLWd1LCBTZW91bCAwMjQ0
NywgUmVwdWJsaWMgb2YgS29yZWEuIEVsZWN0cm9uaWMgYWRkcmVzczogZXN0aGVyX21pbkBraHUu
YWMua3IuPC9hdXRoLWFkZHJlc3M+PHRpdGxlcz48dGl0bGU+RmFjdG9ycyBhc3NvY2lhdGVkIHdp
dGggZWxlY3Ryb25pYyBjaWdhcmV0dGUgdXNlIGFtb25nIGN1cnJlbnQgY2lnYXJldHRlLXNtb2tp
bmcgYWRvbGVzY2VudHMgaW4gdGhlIFJlcHVibGljIG9mIEtvcmVhPC90aXRsZT48c2Vjb25kYXJ5
LXRpdGxlPkFkZGljdCBCZWhhdjwvc2Vjb25kYXJ5LXRpdGxlPjxhbHQtdGl0bGU+QWRkaWN0aXZl
IGJlaGF2aW9yczwvYWx0LXRpdGxlPjwvdGl0bGVzPjxhbHQtcGVyaW9kaWNhbD48ZnVsbC10aXRs
ZT5BZGRpY3RpdmUgQmVoYXZpb3JzPC9mdWxsLXRpdGxlPjwvYWx0LXBlcmlvZGljYWw+PHBhZ2Vz
PjIyLTI2PC9wYWdlcz48dm9sdW1lPjY5PC92b2x1bWU+PGVkaXRpb24+MjAxNy8wMS8yMzwvZWRp
dGlvbj48a2V5d29yZHM+PGtleXdvcmQ+QWRvbGVzY2VudDwva2V5d29yZD48a2V5d29yZD5BZG9s
ZXNjZW50IEJlaGF2aW9yLypwc3ljaG9sb2d5PC9rZXl3b3JkPjxrZXl3b3JkPkNpZ2FyZXR0ZSBT
bW9raW5nLyplcGlkZW1pb2xvZ3k8L2tleXdvcmQ+PGtleXdvcmQ+Q3Jvc3MtU2VjdGlvbmFsIFN0
dWRpZXM8L2tleXdvcmQ+PGtleXdvcmQ+RWxlY3Ryb25pYyBOaWNvdGluZSBEZWxpdmVyeSBTeXN0
ZW1zLypzdGF0aXN0aWNzICZhbXA7IG51bWVyaWNhbCBkYXRhPC9rZXl3b3JkPjxrZXl3b3JkPkZl
bWFsZTwva2V5d29yZD48a2V5d29yZD5GcmllbmRzL3BzeWNob2xvZ3k8L2tleXdvcmQ+PGtleXdv
cmQ+SHVtYW5zPC9rZXl3b3JkPjxrZXl3b3JkPk1hbGU8L2tleXdvcmQ+PGtleXdvcmQ+UmVwdWJs
aWMgb2YgS29yZWEvZXBpZGVtaW9sb2d5PC9rZXl3b3JkPjxrZXl3b3JkPlNleCBEaXN0cmlidXRp
b248L2tleXdvcmQ+PGtleXdvcmQ+QWRvbGVzY2VuY2U8L2tleXdvcmQ+PGtleXdvcmQ+Q2lnYXJl
dHRlPC9rZXl3b3JkPjxrZXl3b3JkPkR1YWwgdXNlPC9rZXl3b3JkPjxrZXl3b3JkPkVsZWN0cm9u
aWMgY2lnYXJldHRlPC9rZXl3b3JkPjxrZXl3b3JkPlNtb2tpbmc8L2tleXdvcmQ+PC9rZXl3b3Jk
cz48ZGF0ZXM+PHllYXI+MjAxNzwveWVhcj48cHViLWRhdGVzPjxkYXRlPkp1bjwvZGF0ZT48L3B1
Yi1kYXRlcz48L2RhdGVzPjxpc2JuPjAzMDYtNDYwMzwvaXNibj48YWNjZXNzaW9uLW51bT4yODEx
MDE1NDwvYWNjZXNzaW9uLW51bT48dXJscz48cmVsYXRlZC11cmxzPjx1cmw+aHR0cHM6Ly93d3cu
c2NpZW5jZWRpcmVjdC5jb20vc2NpZW5jZS9hcnRpY2xlL3BpaS9TMDMwNjQ2MDMxNzMwMDAyMz92
aWElM0RpaHViPC91cmw+PC9yZWxhdGVkLXVybHM+PC91cmxzPjxlbGVjdHJvbmljLXJlc291cmNl
LW51bT4xMC4xMDE2L2ouYWRkYmVoLjIwMTcuMDEuMDAyPC9lbGVjdHJvbmljLXJlc291cmNlLW51
bT48cmVtb3RlLWRhdGFiYXNlLXByb3ZpZGVyPk5MTTwvcmVtb3RlLWRhdGFiYXNlLXByb3ZpZGVy
PjxsYW5ndWFnZT5lbmc8L2xhbmd1YWdlPjwvcmVjb3JkPjwvQ2l0ZT48L0VuZE5vdGU+
</w:fldData>
        </w:fldChar>
      </w:r>
      <w:r>
        <w:instrText xml:space="preserve"> ADDIN EN.CITE </w:instrText>
      </w:r>
      <w:r>
        <w:fldChar w:fldCharType="begin">
          <w:fldData xml:space="preserve">PEVuZE5vdGU+PENpdGU+PEF1dGhvcj5QYXJrPC9BdXRob3I+PFllYXI+MjAxNzwvWWVhcj48UmVj
TnVtPjUzOTE8L1JlY051bT48RGlzcGxheVRleHQ+KFBhcmssIExlZSBldCBhbC4gMjAxNyk8L0Rp
c3BsYXlUZXh0PjxyZWNvcmQ+PHJlYy1udW1iZXI+NTM5MTwvcmVjLW51bWJlcj48Zm9yZWlnbi1r
ZXlzPjxrZXkgYXBwPSJFTiIgZGItaWQ9Ijl6MDVkejBwcmFhZGZ1ZWUwem94emVkazl6ZmU1Znh4
NTB6NSIgdGltZXN0YW1wPSIxNTIzOTIwOTUzIj41MzkxPC9rZXk+PGtleSBhcHA9IkVOV2ViIiBk
Yi1pZD0iIj4wPC9rZXk+PC9mb3JlaWduLWtleXM+PHJlZi10eXBlIG5hbWU9IkpvdXJuYWwgQXJ0
aWNsZSI+MTc8L3JlZi10eXBlPjxjb250cmlidXRvcnM+PGF1dGhvcnM+PGF1dGhvcj5QYXJrLCBT
LjwvYXV0aG9yPjxhdXRob3I+TGVlLCBILjwvYXV0aG9yPjxhdXRob3I+TWluLCBTLjwvYXV0aG9y
PjwvYXV0aG9ycz48L2NvbnRyaWJ1dG9ycz48YXV0aC1hZGRyZXNzPkNvbGxlZ2Ugb2YgTnVyc2lu
ZyBTY2llbmNlLCBFYXN0LVdlc3QgTnVyc2luZyBSZXNlYXJjaCBJbnN0aXR1dGUsIEt5dW5nIEhl
ZSBVbml2ZXJzaXR5LCAyNiBLeXVuZ2hlZS1kYWVybywgRG9uZ2RhZW11bi1ndSwgU2VvdWwgMDI0
NDcsIFJlcHVibGljIG9mIEtvcmVhLiBFbGVjdHJvbmljIGFkZHJlc3M6IHNwYXJrQGtodS5hYy5r
ci4mI3hEO0RlcGFydG1lbnQgb2YgTnVyc2luZywgR3JhZHVhdGUgU2Nob29sLCBLeXVuZyBIZWUg
VW5pdmVyc2l0eSwgMjYgS3l1bmdoZWUtZGFlcm8sIERvbmdkYWVtdW4tZ3UsIFNlb3VsIDAyNDQ3
LCBSZXB1YmxpYyBvZiBLb3JlYS4gRWxlY3Ryb25pYyBhZGRyZXNzOiByZWFydGUxN0BraHUuYWMu
a3IuJiN4RDtEZXBhcnRtZW50IG9mIE51cnNpbmcsIEdyYWR1YXRlIFNjaG9vbCwgS3l1bmcgSGVl
IFVuaXZlcnNpdHksIDI2IEt5dW5naGVlLWRhZXJvLCBEb25nZGFlbXVuLWd1LCBTZW91bCAwMjQ0
NywgUmVwdWJsaWMgb2YgS29yZWEuIEVsZWN0cm9uaWMgYWRkcmVzczogZXN0aGVyX21pbkBraHUu
YWMua3IuPC9hdXRoLWFkZHJlc3M+PHRpdGxlcz48dGl0bGU+RmFjdG9ycyBhc3NvY2lhdGVkIHdp
dGggZWxlY3Ryb25pYyBjaWdhcmV0dGUgdXNlIGFtb25nIGN1cnJlbnQgY2lnYXJldHRlLXNtb2tp
bmcgYWRvbGVzY2VudHMgaW4gdGhlIFJlcHVibGljIG9mIEtvcmVhPC90aXRsZT48c2Vjb25kYXJ5
LXRpdGxlPkFkZGljdCBCZWhhdjwvc2Vjb25kYXJ5LXRpdGxlPjxhbHQtdGl0bGU+QWRkaWN0aXZl
IGJlaGF2aW9yczwvYWx0LXRpdGxlPjwvdGl0bGVzPjxhbHQtcGVyaW9kaWNhbD48ZnVsbC10aXRs
ZT5BZGRpY3RpdmUgQmVoYXZpb3JzPC9mdWxsLXRpdGxlPjwvYWx0LXBlcmlvZGljYWw+PHBhZ2Vz
PjIyLTI2PC9wYWdlcz48dm9sdW1lPjY5PC92b2x1bWU+PGVkaXRpb24+MjAxNy8wMS8yMzwvZWRp
dGlvbj48a2V5d29yZHM+PGtleXdvcmQ+QWRvbGVzY2VudDwva2V5d29yZD48a2V5d29yZD5BZG9s
ZXNjZW50IEJlaGF2aW9yLypwc3ljaG9sb2d5PC9rZXl3b3JkPjxrZXl3b3JkPkNpZ2FyZXR0ZSBT
bW9raW5nLyplcGlkZW1pb2xvZ3k8L2tleXdvcmQ+PGtleXdvcmQ+Q3Jvc3MtU2VjdGlvbmFsIFN0
dWRpZXM8L2tleXdvcmQ+PGtleXdvcmQ+RWxlY3Ryb25pYyBOaWNvdGluZSBEZWxpdmVyeSBTeXN0
ZW1zLypzdGF0aXN0aWNzICZhbXA7IG51bWVyaWNhbCBkYXRhPC9rZXl3b3JkPjxrZXl3b3JkPkZl
bWFsZTwva2V5d29yZD48a2V5d29yZD5GcmllbmRzL3BzeWNob2xvZ3k8L2tleXdvcmQ+PGtleXdv
cmQ+SHVtYW5zPC9rZXl3b3JkPjxrZXl3b3JkPk1hbGU8L2tleXdvcmQ+PGtleXdvcmQ+UmVwdWJs
aWMgb2YgS29yZWEvZXBpZGVtaW9sb2d5PC9rZXl3b3JkPjxrZXl3b3JkPlNleCBEaXN0cmlidXRp
b248L2tleXdvcmQ+PGtleXdvcmQ+QWRvbGVzY2VuY2U8L2tleXdvcmQ+PGtleXdvcmQ+Q2lnYXJl
dHRlPC9rZXl3b3JkPjxrZXl3b3JkPkR1YWwgdXNlPC9rZXl3b3JkPjxrZXl3b3JkPkVsZWN0cm9u
aWMgY2lnYXJldHRlPC9rZXl3b3JkPjxrZXl3b3JkPlNtb2tpbmc8L2tleXdvcmQ+PC9rZXl3b3Jk
cz48ZGF0ZXM+PHllYXI+MjAxNzwveWVhcj48cHViLWRhdGVzPjxkYXRlPkp1bjwvZGF0ZT48L3B1
Yi1kYXRlcz48L2RhdGVzPjxpc2JuPjAzMDYtNDYwMzwvaXNibj48YWNjZXNzaW9uLW51bT4yODEx
MDE1NDwvYWNjZXNzaW9uLW51bT48dXJscz48cmVsYXRlZC11cmxzPjx1cmw+aHR0cHM6Ly93d3cu
c2NpZW5jZWRpcmVjdC5jb20vc2NpZW5jZS9hcnRpY2xlL3BpaS9TMDMwNjQ2MDMxNzMwMDAyMz92
aWElM0RpaHViPC91cmw+PC9yZWxhdGVkLXVybHM+PC91cmxzPjxlbGVjdHJvbmljLXJlc291cmNl
LW51bT4xMC4xMDE2L2ouYWRkYmVoLjIwMTcuMDEuMDAyPC9lbGVjdHJvbmljLXJlc291cmNlLW51
bT48cmVtb3RlLWRhdGFiYXNlLXByb3ZpZGVyPk5MTTwvcmVtb3RlLWRhdGFiYXNlLXByb3ZpZGVy
PjxsYW5ndWFnZT5lbmc8L2xhbmd1YWdlPjwvcmVjb3JkPjwvQ2l0ZT48L0VuZE5vdGU+
</w:fldData>
        </w:fldChar>
      </w:r>
      <w:r>
        <w:instrText xml:space="preserve"> ADDIN EN.CITE.DATA </w:instrText>
      </w:r>
      <w:r>
        <w:fldChar w:fldCharType="end"/>
      </w:r>
      <w:r>
        <w:fldChar w:fldCharType="separate"/>
      </w:r>
      <w:r>
        <w:rPr>
          <w:noProof/>
        </w:rPr>
        <w:t>(Park, Lee et al. 2017)</w:t>
      </w:r>
      <w:r>
        <w:fldChar w:fldCharType="end"/>
      </w:r>
      <w:r>
        <w:t>. This study adjusted for demographics, perceived stress, cigarette smoking and parent and peer smoking.</w:t>
      </w:r>
    </w:p>
    <w:p w14:paraId="0BFDD52B" w14:textId="44F2484A" w:rsidR="002D348A" w:rsidRDefault="002D348A" w:rsidP="002D348A">
      <w:pPr>
        <w:pStyle w:val="BodyText"/>
      </w:pPr>
      <w:r>
        <w:t>Morean and colleagues assessed vaping cannabis in 552 adult e</w:t>
      </w:r>
      <w:r>
        <w:noBreakHyphen/>
        <w:t xml:space="preserve">cigarette users in the USA (mean (SD) age: 34.07 (9.65) years </w:t>
      </w:r>
      <w:r>
        <w:fldChar w:fldCharType="begin">
          <w:fldData xml:space="preserve">PEVuZE5vdGU+PENpdGU+PEF1dGhvcj5Nb3JlYW48L0F1dGhvcj48WWVhcj4yMDE3PC9ZZWFyPjxS
ZWNOdW0+NTI5MzwvUmVjTnVtPjxEaXNwbGF5VGV4dD4oTW9yZWFuLCBMaXBzaGllIGV0IGFsLiAy
MDE3KTwvRGlzcGxheVRleHQ+PHJlY29yZD48cmVjLW51bWJlcj41MjkzPC9yZWMtbnVtYmVyPjxm
b3JlaWduLWtleXM+PGtleSBhcHA9IkVOIiBkYi1pZD0iOXowNWR6MHByYWFkZnVlZTB6b3h6ZWRr
OXpmZTVmeHg1MHo1IiB0aW1lc3RhbXA9IjE1MjM5MjA5NDMiPjUyOTM8L2tleT48a2V5IGFwcD0i
RU5XZWIiIGRiLWlkPSIiPjA8L2tleT48L2ZvcmVpZ24ta2V5cz48cmVmLXR5cGUgbmFtZT0iSm91
cm5hbCBBcnRpY2xlIj4xNzwvcmVmLXR5cGU+PGNvbnRyaWJ1dG9ycz48YXV0aG9ycz48YXV0aG9y
Pk1vcmVhbiwgTS4gRS48L2F1dGhvcj48YXV0aG9yPkxpcHNoaWUsIE4uPC9hdXRob3I+PGF1dGhv
cj5Kb3NlcGhzb24sIE0uPC9hdXRob3I+PGF1dGhvcj5Gb3N0ZXIsIEQuPC9hdXRob3I+PC9hdXRo
b3JzPjwvY29udHJpYnV0b3JzPjxhdXRoLWFkZHJlc3M+YSBEZXBhcnRtZW50IG9mIFBzeWNob2xv
Z3kgLCBPYmVybGluIENvbGxlZ2UgLCBPYmVybGluICwgT2hpbyAsIFVTQS4mI3hEO2IgRGVwYXJ0
bWVudCBvZiBQc3ljaGlhdHJ5ICwgWWFsZSBTY2hvb2wgb2YgTWVkaWNpbmUgLCBOZXcgSGF2ZW4g
LCBDb25uZWN0aWN1dCAsIFVTQS48L2F1dGgtYWRkcmVzcz48dGl0bGVzPjx0aXRsZT5QcmVkaWN0
b3JzIG9mIEFkdWx0IEUtQ2lnYXJldHRlIFVzZXJzIFZhcG9yaXppbmcgQ2FubmFiaXMgVXNpbmcg
RS1DaWdhcmV0dGVzIGFuZCBWYXBlLVBlbnM8L3RpdGxlPjxzZWNvbmRhcnktdGl0bGU+U3Vic3Qg
VXNlIE1pc3VzZTwvc2Vjb25kYXJ5LXRpdGxlPjxhbHQtdGl0bGU+U3Vic3RhbmNlIHVzZSAmYW1w
OyBtaXN1c2U8L2FsdC10aXRsZT48L3RpdGxlcz48YWx0LXBlcmlvZGljYWw+PGZ1bGwtdGl0bGU+
U3Vic3RhbmNlIFVzZSAmYW1wOyBNaXN1c2U8L2Z1bGwtdGl0bGU+PC9hbHQtcGVyaW9kaWNhbD48
cGFnZXM+OTc0LTk4MTwvcGFnZXM+PHZvbHVtZT41Mjwvdm9sdW1lPjxudW1iZXI+ODwvbnVtYmVy
PjxlZGl0aW9uPjIwMTcvMDMvMjM8L2VkaXRpb24+PGtleXdvcmRzPjxrZXl3b3JkPkFkdWx0PC9r
ZXl3b3JkPjxrZXl3b3JkPkFnZSBGYWN0b3JzPC9rZXl3b3JkPjxrZXl3b3JkPipDYW5uYWJpczwv
a2V5d29yZD48a2V5d29yZD4qRWxlY3Ryb25pYyBOaWNvdGluZSBEZWxpdmVyeSBTeXN0ZW1zPC9r
ZXl3b3JkPjxrZXl3b3JkPkZlbWFsZTwva2V5d29yZD48a2V5d29yZD5IdW1hbnM8L2tleXdvcmQ+
PGtleXdvcmQ+TWFsZTwva2V5d29yZD48a2V5d29yZD4qTWFyaWp1YW5hIFNtb2tpbmc8L2tleXdv
cmQ+PGtleXdvcmQ+Kk1vdGl2YXRpb248L2tleXdvcmQ+PGtleXdvcmQ+U2VsZi1Db250cm9sPC9r
ZXl3b3JkPjxrZXl3b3JkPlN1cnZleXMgYW5kIFF1ZXN0aW9ubmFpcmVzPC9rZXl3b3JkPjxrZXl3
b3JkPipWYXBpbmc8L2tleXdvcmQ+PGtleXdvcmQ+WW91bmcgQWR1bHQ8L2tleXdvcmQ+PGtleXdv
cmQ+Q2FubmFiaXM8L2tleXdvcmQ+PGtleXdvcmQ+ZWxlY3Ryb25pYyBjaWdhcmV0dGVzPC9rZXl3
b3JkPjxrZXl3b3JkPm1hcmlqdWFuYTwva2V5d29yZD48a2V5d29yZD52YXBlLXBlbnM8L2tleXdv
cmQ+PGtleXdvcmQ+dmFwaW5nPC9rZXl3b3JkPjwva2V5d29yZHM+PGRhdGVzPjx5ZWFyPjIwMTc8
L3llYXI+PHB1Yi1kYXRlcz48ZGF0ZT5KdWwgMzwvZGF0ZT48L3B1Yi1kYXRlcz48L2RhdGVzPjxp
c2JuPjEwODItNjA4NDwvaXNibj48YWNjZXNzaW9uLW51bT4yODMyMzQ5ODwvYWNjZXNzaW9uLW51
bT48dXJscz48cmVsYXRlZC11cmxzPjx1cmw+aHR0cHM6Ly93d3cudGFuZGZvbmxpbmUuY29tL2Rv
aS9wZGYvMTAuMTA4MC8xMDgyNjA4NC4yMDE2LjEyNjgxNjI/bmVlZEFjY2Vzcz10cnVlPC91cmw+
PC9yZWxhdGVkLXVybHM+PC91cmxzPjxjdXN0b20yPlBNQzU0MDk4NjY8L2N1c3RvbTI+PGN1c3Rv
bTY+TklITVM4NDgyNTM8L2N1c3RvbTY+PGVsZWN0cm9uaWMtcmVzb3VyY2UtbnVtPjEwLjEwODAv
MTA4MjYwODQuMjAxNi4xMjY4MTYyPC9lbGVjdHJvbmljLXJlc291cmNlLW51bT48cmVtb3RlLWRh
dGFiYXNlLXByb3ZpZGVyPk5MTTwvcmVtb3RlLWRhdGFiYXNlLXByb3ZpZGVyPjxsYW5ndWFnZT5l
bmc8L2xhbmd1YWdlPjwvcmVjb3JkPjwvQ2l0ZT48L0VuZE5vdGU+AG==
</w:fldData>
        </w:fldChar>
      </w:r>
      <w:r>
        <w:instrText xml:space="preserve"> ADDIN EN.CITE </w:instrText>
      </w:r>
      <w:r>
        <w:fldChar w:fldCharType="begin">
          <w:fldData xml:space="preserve">PEVuZE5vdGU+PENpdGU+PEF1dGhvcj5Nb3JlYW48L0F1dGhvcj48WWVhcj4yMDE3PC9ZZWFyPjxS
ZWNOdW0+NTI5MzwvUmVjTnVtPjxEaXNwbGF5VGV4dD4oTW9yZWFuLCBMaXBzaGllIGV0IGFsLiAy
MDE3KTwvRGlzcGxheVRleHQ+PHJlY29yZD48cmVjLW51bWJlcj41MjkzPC9yZWMtbnVtYmVyPjxm
b3JlaWduLWtleXM+PGtleSBhcHA9IkVOIiBkYi1pZD0iOXowNWR6MHByYWFkZnVlZTB6b3h6ZWRr
OXpmZTVmeHg1MHo1IiB0aW1lc3RhbXA9IjE1MjM5MjA5NDMiPjUyOTM8L2tleT48a2V5IGFwcD0i
RU5XZWIiIGRiLWlkPSIiPjA8L2tleT48L2ZvcmVpZ24ta2V5cz48cmVmLXR5cGUgbmFtZT0iSm91
cm5hbCBBcnRpY2xlIj4xNzwvcmVmLXR5cGU+PGNvbnRyaWJ1dG9ycz48YXV0aG9ycz48YXV0aG9y
Pk1vcmVhbiwgTS4gRS48L2F1dGhvcj48YXV0aG9yPkxpcHNoaWUsIE4uPC9hdXRob3I+PGF1dGhv
cj5Kb3NlcGhzb24sIE0uPC9hdXRob3I+PGF1dGhvcj5Gb3N0ZXIsIEQuPC9hdXRob3I+PC9hdXRo
b3JzPjwvY29udHJpYnV0b3JzPjxhdXRoLWFkZHJlc3M+YSBEZXBhcnRtZW50IG9mIFBzeWNob2xv
Z3kgLCBPYmVybGluIENvbGxlZ2UgLCBPYmVybGluICwgT2hpbyAsIFVTQS4mI3hEO2IgRGVwYXJ0
bWVudCBvZiBQc3ljaGlhdHJ5ICwgWWFsZSBTY2hvb2wgb2YgTWVkaWNpbmUgLCBOZXcgSGF2ZW4g
LCBDb25uZWN0aWN1dCAsIFVTQS48L2F1dGgtYWRkcmVzcz48dGl0bGVzPjx0aXRsZT5QcmVkaWN0
b3JzIG9mIEFkdWx0IEUtQ2lnYXJldHRlIFVzZXJzIFZhcG9yaXppbmcgQ2FubmFiaXMgVXNpbmcg
RS1DaWdhcmV0dGVzIGFuZCBWYXBlLVBlbnM8L3RpdGxlPjxzZWNvbmRhcnktdGl0bGU+U3Vic3Qg
VXNlIE1pc3VzZTwvc2Vjb25kYXJ5LXRpdGxlPjxhbHQtdGl0bGU+U3Vic3RhbmNlIHVzZSAmYW1w
OyBtaXN1c2U8L2FsdC10aXRsZT48L3RpdGxlcz48YWx0LXBlcmlvZGljYWw+PGZ1bGwtdGl0bGU+
U3Vic3RhbmNlIFVzZSAmYW1wOyBNaXN1c2U8L2Z1bGwtdGl0bGU+PC9hbHQtcGVyaW9kaWNhbD48
cGFnZXM+OTc0LTk4MTwvcGFnZXM+PHZvbHVtZT41Mjwvdm9sdW1lPjxudW1iZXI+ODwvbnVtYmVy
PjxlZGl0aW9uPjIwMTcvMDMvMjM8L2VkaXRpb24+PGtleXdvcmRzPjxrZXl3b3JkPkFkdWx0PC9r
ZXl3b3JkPjxrZXl3b3JkPkFnZSBGYWN0b3JzPC9rZXl3b3JkPjxrZXl3b3JkPipDYW5uYWJpczwv
a2V5d29yZD48a2V5d29yZD4qRWxlY3Ryb25pYyBOaWNvdGluZSBEZWxpdmVyeSBTeXN0ZW1zPC9r
ZXl3b3JkPjxrZXl3b3JkPkZlbWFsZTwva2V5d29yZD48a2V5d29yZD5IdW1hbnM8L2tleXdvcmQ+
PGtleXdvcmQ+TWFsZTwva2V5d29yZD48a2V5d29yZD4qTWFyaWp1YW5hIFNtb2tpbmc8L2tleXdv
cmQ+PGtleXdvcmQ+Kk1vdGl2YXRpb248L2tleXdvcmQ+PGtleXdvcmQ+U2VsZi1Db250cm9sPC9r
ZXl3b3JkPjxrZXl3b3JkPlN1cnZleXMgYW5kIFF1ZXN0aW9ubmFpcmVzPC9rZXl3b3JkPjxrZXl3
b3JkPipWYXBpbmc8L2tleXdvcmQ+PGtleXdvcmQ+WW91bmcgQWR1bHQ8L2tleXdvcmQ+PGtleXdv
cmQ+Q2FubmFiaXM8L2tleXdvcmQ+PGtleXdvcmQ+ZWxlY3Ryb25pYyBjaWdhcmV0dGVzPC9rZXl3
b3JkPjxrZXl3b3JkPm1hcmlqdWFuYTwva2V5d29yZD48a2V5d29yZD52YXBlLXBlbnM8L2tleXdv
cmQ+PGtleXdvcmQ+dmFwaW5nPC9rZXl3b3JkPjwva2V5d29yZHM+PGRhdGVzPjx5ZWFyPjIwMTc8
L3llYXI+PHB1Yi1kYXRlcz48ZGF0ZT5KdWwgMzwvZGF0ZT48L3B1Yi1kYXRlcz48L2RhdGVzPjxp
c2JuPjEwODItNjA4NDwvaXNibj48YWNjZXNzaW9uLW51bT4yODMyMzQ5ODwvYWNjZXNzaW9uLW51
bT48dXJscz48cmVsYXRlZC11cmxzPjx1cmw+aHR0cHM6Ly93d3cudGFuZGZvbmxpbmUuY29tL2Rv
aS9wZGYvMTAuMTA4MC8xMDgyNjA4NC4yMDE2LjEyNjgxNjI/bmVlZEFjY2Vzcz10cnVlPC91cmw+
PC9yZWxhdGVkLXVybHM+PC91cmxzPjxjdXN0b20yPlBNQzU0MDk4NjY8L2N1c3RvbTI+PGN1c3Rv
bTY+TklITVM4NDgyNTM8L2N1c3RvbTY+PGVsZWN0cm9uaWMtcmVzb3VyY2UtbnVtPjEwLjEwODAv
MTA4MjYwODQuMjAxNi4xMjY4MTYyPC9lbGVjdHJvbmljLXJlc291cmNlLW51bT48cmVtb3RlLWRh
dGFiYXNlLXByb3ZpZGVyPk5MTTwvcmVtb3RlLWRhdGFiYXNlLXByb3ZpZGVyPjxsYW5ndWFnZT5l
bmc8L2xhbmd1YWdlPjwvcmVjb3JkPjwvQ2l0ZT48L0VuZE5vdGU+AG==
</w:fldData>
        </w:fldChar>
      </w:r>
      <w:r>
        <w:instrText xml:space="preserve"> ADDIN EN.CITE.DATA </w:instrText>
      </w:r>
      <w:r>
        <w:fldChar w:fldCharType="end"/>
      </w:r>
      <w:r>
        <w:fldChar w:fldCharType="separate"/>
      </w:r>
      <w:r>
        <w:rPr>
          <w:noProof/>
        </w:rPr>
        <w:t>(Morean, Lipshie et al. 2017)</w:t>
      </w:r>
      <w:r>
        <w:fldChar w:fldCharType="end"/>
      </w:r>
      <w:r>
        <w:t>. This study observed an association between lifetime and past month cannabis vapori</w:t>
      </w:r>
      <w:r w:rsidR="00114799">
        <w:t>s</w:t>
      </w:r>
      <w:r>
        <w:t>ation and initiating e</w:t>
      </w:r>
      <w:r>
        <w:noBreakHyphen/>
        <w:t>cigarette use at an early age. It also found frequency of vaping cannabis was associated with heavier e</w:t>
      </w:r>
      <w:r>
        <w:noBreakHyphen/>
        <w:t>cigarette use. This study adjusted for legal status of cannabis, cannabis vaping beliefs and impulsivity. However, there are likely to be other key confounders of the relationship between e</w:t>
      </w:r>
      <w:r>
        <w:noBreakHyphen/>
        <w:t>cigarette use and cannabis vaping and therefore, the results observed are potentially biased.</w:t>
      </w:r>
    </w:p>
    <w:p w14:paraId="23E79815" w14:textId="77777777" w:rsidR="002D348A" w:rsidRDefault="002D348A" w:rsidP="002D348A">
      <w:pPr>
        <w:pStyle w:val="BodyText"/>
      </w:pPr>
    </w:p>
    <w:p w14:paraId="06C21FB8" w14:textId="77777777" w:rsidR="002D348A" w:rsidRDefault="002D348A" w:rsidP="002D348A">
      <w:pPr>
        <w:pStyle w:val="Heading3"/>
      </w:pPr>
      <w:r>
        <w:t>Conclusion</w:t>
      </w:r>
    </w:p>
    <w:p w14:paraId="60479143" w14:textId="77777777" w:rsidR="002D348A" w:rsidRDefault="002D348A" w:rsidP="002D348A">
      <w:pPr>
        <w:pStyle w:val="BodyText"/>
      </w:pPr>
      <w:r>
        <w:t>Most of the studies examining the relationship between e</w:t>
      </w:r>
      <w:r>
        <w:noBreakHyphen/>
        <w:t>cigarette use and the use of other substances are cross</w:t>
      </w:r>
      <w:r>
        <w:noBreakHyphen/>
        <w:t>sectional studies. These studies can establish an association, but causal inference is prone to error. The quality of these studies is also generally poor. With only two cohort studies investigating this relationship, the evidence at this stage is inadequate to determine whether use of e</w:t>
      </w:r>
      <w:r>
        <w:noBreakHyphen/>
        <w:t>cigarettes causes the use of other substances. One of the existing cohort studies suggests that if e</w:t>
      </w:r>
      <w:r>
        <w:noBreakHyphen/>
        <w:t>cigarette use is related to the progression to marijuana use, it is likely to occur through cigarette smoking. Further studies are needed to appropriately assess this theory.</w:t>
      </w:r>
    </w:p>
    <w:p w14:paraId="349C92C1" w14:textId="77777777" w:rsidR="002D348A" w:rsidRDefault="002D348A" w:rsidP="002D348A">
      <w:pPr>
        <w:pStyle w:val="BodyText"/>
      </w:pPr>
    </w:p>
    <w:p w14:paraId="75B6C0AA" w14:textId="77777777" w:rsidR="002D348A" w:rsidRDefault="002D348A" w:rsidP="002D348A">
      <w:pPr>
        <w:pStyle w:val="Heading3"/>
      </w:pPr>
      <w:r>
        <w:t>Key findings</w:t>
      </w:r>
    </w:p>
    <w:p w14:paraId="7F0A2FB1" w14:textId="77777777" w:rsidR="002D348A" w:rsidRDefault="002D348A" w:rsidP="002D348A">
      <w:pPr>
        <w:pStyle w:val="BodyText"/>
        <w:numPr>
          <w:ilvl w:val="0"/>
          <w:numId w:val="62"/>
        </w:numPr>
      </w:pPr>
      <w:r>
        <w:t>There is insufficient evidence to draw any conclusion about whether the use of e</w:t>
      </w:r>
      <w:r>
        <w:noBreakHyphen/>
        <w:t xml:space="preserve">cigarettes results in the use of other substances such as marijuana. </w:t>
      </w:r>
    </w:p>
    <w:p w14:paraId="44D495E8" w14:textId="04155A70" w:rsidR="002D348A" w:rsidRPr="005821D4" w:rsidRDefault="002D348A" w:rsidP="002D348A">
      <w:pPr>
        <w:pStyle w:val="BodyText"/>
        <w:numPr>
          <w:ilvl w:val="0"/>
          <w:numId w:val="62"/>
        </w:numPr>
      </w:pPr>
      <w:r>
        <w:t>Almost all investigations of the ‘gateway effect’ focus on youths.</w:t>
      </w:r>
    </w:p>
    <w:p w14:paraId="2A87C1D2" w14:textId="77777777" w:rsidR="002D348A" w:rsidRPr="002D348A" w:rsidRDefault="002D348A" w:rsidP="002D348A">
      <w:pPr>
        <w:pStyle w:val="BodyText"/>
      </w:pPr>
    </w:p>
    <w:p w14:paraId="35235547" w14:textId="77777777" w:rsidR="00A943B2" w:rsidRPr="001D36DC" w:rsidRDefault="00753345" w:rsidP="00D1044D">
      <w:pPr>
        <w:pStyle w:val="Heading1"/>
      </w:pPr>
      <w:bookmarkStart w:id="124" w:name="_Toc515229954"/>
      <w:bookmarkStart w:id="125" w:name="_Toc517706681"/>
      <w:r>
        <w:lastRenderedPageBreak/>
        <w:t>Use of e-cigarettes for smoking cessation</w:t>
      </w:r>
      <w:bookmarkEnd w:id="124"/>
      <w:bookmarkEnd w:id="125"/>
    </w:p>
    <w:p w14:paraId="278B6348" w14:textId="77777777" w:rsidR="003143D2" w:rsidRDefault="00A96BC4" w:rsidP="003143D2">
      <w:pPr>
        <w:pStyle w:val="Heading2"/>
      </w:pPr>
      <w:r>
        <w:t xml:space="preserve"> </w:t>
      </w:r>
      <w:bookmarkStart w:id="126" w:name="_Toc517706682"/>
      <w:r w:rsidR="003143D2">
        <w:t>Introduction</w:t>
      </w:r>
      <w:bookmarkEnd w:id="126"/>
    </w:p>
    <w:p w14:paraId="296C7682" w14:textId="77777777" w:rsidR="008744C7" w:rsidRDefault="008744C7" w:rsidP="003143D2">
      <w:pPr>
        <w:pStyle w:val="BodyText"/>
      </w:pPr>
      <w:r>
        <w:t>This section considers recent studies that investigate the use of e</w:t>
      </w:r>
      <w:r>
        <w:noBreakHyphen/>
        <w:t>cigarettes to support cessation of smoking conventional tobacco products. It addresses part of the assigned task to ‘</w:t>
      </w:r>
      <w:r>
        <w:rPr>
          <w:rFonts w:cs="Calibri"/>
          <w:szCs w:val="24"/>
        </w:rPr>
        <w:t>r</w:t>
      </w:r>
      <w:r w:rsidRPr="001022DF">
        <w:rPr>
          <w:rFonts w:cs="Calibri"/>
          <w:szCs w:val="24"/>
        </w:rPr>
        <w:t>eview all available evidence applicable to the use of e-cigarettes, personal vaporisers and nicotine on rates of smoking.</w:t>
      </w:r>
      <w:r>
        <w:t>’</w:t>
      </w:r>
    </w:p>
    <w:p w14:paraId="410B194A" w14:textId="77777777" w:rsidR="00235C5A" w:rsidRDefault="003143D2" w:rsidP="003143D2">
      <w:pPr>
        <w:pStyle w:val="BodyText"/>
      </w:pPr>
      <w:r>
        <w:t>After title and abstract review, 119 studies assessing the use of e</w:t>
      </w:r>
      <w:r>
        <w:noBreakHyphen/>
        <w:t>cigarettes for smoking cessation were identified. Seventy st</w:t>
      </w:r>
      <w:r w:rsidR="00235C5A">
        <w:t>udies were excluded due to:</w:t>
      </w:r>
    </w:p>
    <w:p w14:paraId="61D61155" w14:textId="77777777" w:rsidR="00235C5A" w:rsidRDefault="003143D2" w:rsidP="00E16F8F">
      <w:pPr>
        <w:pStyle w:val="BodyText"/>
        <w:numPr>
          <w:ilvl w:val="0"/>
          <w:numId w:val="63"/>
        </w:numPr>
        <w:spacing w:before="0" w:after="0"/>
      </w:pPr>
      <w:r>
        <w:t>review, letter, edito</w:t>
      </w:r>
      <w:r w:rsidR="00235C5A">
        <w:t>rial or framework report (n=30);</w:t>
      </w:r>
    </w:p>
    <w:p w14:paraId="6C63E7D5" w14:textId="77777777" w:rsidR="00235C5A" w:rsidRDefault="003143D2" w:rsidP="0023695A">
      <w:pPr>
        <w:pStyle w:val="BodyText"/>
        <w:numPr>
          <w:ilvl w:val="0"/>
          <w:numId w:val="63"/>
        </w:numPr>
        <w:spacing w:before="0" w:after="0"/>
      </w:pPr>
      <w:r>
        <w:t>not addressing smoking cessation (n=18)</w:t>
      </w:r>
      <w:r w:rsidR="00235C5A">
        <w:t>;</w:t>
      </w:r>
    </w:p>
    <w:p w14:paraId="4FC1BD2E" w14:textId="77777777" w:rsidR="00235C5A" w:rsidRDefault="003143D2" w:rsidP="00E652DB">
      <w:pPr>
        <w:pStyle w:val="BodyText"/>
        <w:numPr>
          <w:ilvl w:val="0"/>
          <w:numId w:val="63"/>
        </w:numPr>
        <w:spacing w:before="0" w:after="0"/>
      </w:pPr>
      <w:r>
        <w:t>not written in English (n=5)</w:t>
      </w:r>
      <w:r w:rsidR="00235C5A">
        <w:t>;</w:t>
      </w:r>
    </w:p>
    <w:p w14:paraId="56836FA4" w14:textId="77777777" w:rsidR="00235C5A" w:rsidRDefault="003143D2" w:rsidP="00C14512">
      <w:pPr>
        <w:pStyle w:val="BodyText"/>
        <w:numPr>
          <w:ilvl w:val="0"/>
          <w:numId w:val="63"/>
        </w:numPr>
        <w:spacing w:before="0" w:after="0"/>
      </w:pPr>
      <w:r>
        <w:t>published before 2017 (n=5)</w:t>
      </w:r>
      <w:r w:rsidR="00235C5A">
        <w:t>;</w:t>
      </w:r>
    </w:p>
    <w:p w14:paraId="0B5ECFEE" w14:textId="77777777" w:rsidR="00235C5A" w:rsidRDefault="003143D2" w:rsidP="0012376D">
      <w:pPr>
        <w:pStyle w:val="BodyText"/>
        <w:numPr>
          <w:ilvl w:val="0"/>
          <w:numId w:val="63"/>
        </w:numPr>
        <w:spacing w:before="0" w:after="0"/>
      </w:pPr>
      <w:r>
        <w:t>qualitative studies (n=5)</w:t>
      </w:r>
      <w:r w:rsidR="00235C5A">
        <w:t>;</w:t>
      </w:r>
    </w:p>
    <w:p w14:paraId="4F5B9FC6" w14:textId="77777777" w:rsidR="00235C5A" w:rsidRDefault="003143D2" w:rsidP="0012376D">
      <w:pPr>
        <w:pStyle w:val="BodyText"/>
        <w:numPr>
          <w:ilvl w:val="0"/>
          <w:numId w:val="63"/>
        </w:numPr>
        <w:spacing w:before="0" w:after="0"/>
      </w:pPr>
      <w:r>
        <w:t>unavailable full</w:t>
      </w:r>
      <w:r>
        <w:noBreakHyphen/>
        <w:t>text (n=4)</w:t>
      </w:r>
      <w:r w:rsidR="00235C5A">
        <w:t>;</w:t>
      </w:r>
    </w:p>
    <w:p w14:paraId="090D3F42" w14:textId="77777777" w:rsidR="00235C5A" w:rsidRDefault="003143D2" w:rsidP="004C634C">
      <w:pPr>
        <w:pStyle w:val="BodyText"/>
        <w:numPr>
          <w:ilvl w:val="0"/>
          <w:numId w:val="63"/>
        </w:numPr>
        <w:spacing w:before="0" w:after="0"/>
      </w:pPr>
      <w:r>
        <w:t xml:space="preserve"> or no data on e</w:t>
      </w:r>
      <w:r>
        <w:noBreakHyphen/>
        <w:t xml:space="preserve">cigarettes (n=3). </w:t>
      </w:r>
    </w:p>
    <w:p w14:paraId="5C406FA9" w14:textId="77777777" w:rsidR="00235C5A" w:rsidRDefault="00235C5A" w:rsidP="00235C5A">
      <w:pPr>
        <w:pStyle w:val="BodyText"/>
      </w:pPr>
    </w:p>
    <w:p w14:paraId="2F089870" w14:textId="77777777" w:rsidR="00235C5A" w:rsidRDefault="003143D2" w:rsidP="00235C5A">
      <w:pPr>
        <w:pStyle w:val="BodyText"/>
      </w:pPr>
      <w:r>
        <w:t>Th</w:t>
      </w:r>
      <w:r w:rsidR="00235C5A">
        <w:t>e remaining studies (n=51) were:</w:t>
      </w:r>
    </w:p>
    <w:p w14:paraId="77CCC5B2" w14:textId="77777777" w:rsidR="00235C5A" w:rsidRDefault="00235C5A" w:rsidP="00E16F8F">
      <w:pPr>
        <w:pStyle w:val="BodyText"/>
        <w:numPr>
          <w:ilvl w:val="0"/>
          <w:numId w:val="64"/>
        </w:numPr>
        <w:spacing w:before="0" w:after="0"/>
      </w:pPr>
      <w:r>
        <w:t>cross</w:t>
      </w:r>
      <w:r>
        <w:noBreakHyphen/>
        <w:t>sectional (n=27);</w:t>
      </w:r>
    </w:p>
    <w:p w14:paraId="05C922AC" w14:textId="77777777" w:rsidR="00235C5A" w:rsidRDefault="003143D2" w:rsidP="0023695A">
      <w:pPr>
        <w:pStyle w:val="BodyText"/>
        <w:numPr>
          <w:ilvl w:val="0"/>
          <w:numId w:val="64"/>
        </w:numPr>
        <w:spacing w:before="0" w:after="0"/>
      </w:pPr>
      <w:r>
        <w:t>longitudinal (n=11)</w:t>
      </w:r>
      <w:r w:rsidR="00235C5A">
        <w:t>;</w:t>
      </w:r>
    </w:p>
    <w:p w14:paraId="1043CE45" w14:textId="77777777" w:rsidR="00235C5A" w:rsidRDefault="003143D2" w:rsidP="00E652DB">
      <w:pPr>
        <w:pStyle w:val="BodyText"/>
        <w:numPr>
          <w:ilvl w:val="0"/>
          <w:numId w:val="64"/>
        </w:numPr>
        <w:spacing w:before="0" w:after="0"/>
      </w:pPr>
      <w:r>
        <w:t>uncontrolled trial</w:t>
      </w:r>
      <w:r w:rsidR="00235C5A">
        <w:t>s (n=3);</w:t>
      </w:r>
    </w:p>
    <w:p w14:paraId="144CDFDF" w14:textId="77777777" w:rsidR="003143D2" w:rsidRDefault="00235C5A" w:rsidP="00C14512">
      <w:pPr>
        <w:pStyle w:val="BodyText"/>
        <w:numPr>
          <w:ilvl w:val="0"/>
          <w:numId w:val="64"/>
        </w:numPr>
        <w:spacing w:before="0" w:after="0"/>
      </w:pPr>
      <w:r>
        <w:t>r</w:t>
      </w:r>
      <w:r w:rsidR="003143D2">
        <w:t xml:space="preserve">andomised controlled trials (n=10). </w:t>
      </w:r>
    </w:p>
    <w:p w14:paraId="64352754" w14:textId="77777777" w:rsidR="00753345" w:rsidRDefault="00753345" w:rsidP="00FC7160">
      <w:pPr>
        <w:pStyle w:val="BodyText"/>
      </w:pPr>
    </w:p>
    <w:p w14:paraId="6632BFFE" w14:textId="7ABC94E3" w:rsidR="00753345" w:rsidRDefault="008744C7" w:rsidP="00753345">
      <w:pPr>
        <w:pStyle w:val="Heading2"/>
      </w:pPr>
      <w:bookmarkStart w:id="127" w:name="_Toc515229955"/>
      <w:r>
        <w:t xml:space="preserve"> </w:t>
      </w:r>
      <w:bookmarkStart w:id="128" w:name="_Toc517706683"/>
      <w:r w:rsidR="00753345">
        <w:t>Preference for e-cigarettes as a smoking cessation tool</w:t>
      </w:r>
      <w:bookmarkEnd w:id="127"/>
      <w:bookmarkEnd w:id="128"/>
    </w:p>
    <w:p w14:paraId="43FC647D" w14:textId="77777777" w:rsidR="00235C5A" w:rsidRDefault="00235C5A" w:rsidP="00235C5A">
      <w:pPr>
        <w:pStyle w:val="BodyText"/>
      </w:pPr>
      <w:r>
        <w:t>Ten cross</w:t>
      </w:r>
      <w:r>
        <w:noBreakHyphen/>
        <w:t>sectional studies assessed smokers preferred smoking cessation tools or reasons for using e</w:t>
      </w:r>
      <w:r>
        <w:noBreakHyphen/>
        <w:t xml:space="preserve">cigarettes. </w:t>
      </w:r>
    </w:p>
    <w:p w14:paraId="44A7FADB" w14:textId="77777777" w:rsidR="00235C5A" w:rsidRPr="00235C5A" w:rsidRDefault="00235C5A" w:rsidP="00235C5A">
      <w:pPr>
        <w:pStyle w:val="BodyText"/>
      </w:pPr>
    </w:p>
    <w:p w14:paraId="7B4F8F87" w14:textId="77777777" w:rsidR="00E1027A" w:rsidRDefault="00E1027A" w:rsidP="00E1027A">
      <w:pPr>
        <w:pStyle w:val="Heading3"/>
      </w:pPr>
      <w:r>
        <w:lastRenderedPageBreak/>
        <w:t>Cross-sectional studies</w:t>
      </w:r>
    </w:p>
    <w:p w14:paraId="3642246E" w14:textId="77777777" w:rsidR="00235C5A" w:rsidRPr="002B626E" w:rsidRDefault="00235C5A" w:rsidP="00235C5A">
      <w:pPr>
        <w:pStyle w:val="Heading4"/>
      </w:pPr>
      <w:r>
        <w:t>Reasons that e</w:t>
      </w:r>
      <w:r>
        <w:noBreakHyphen/>
        <w:t>cigarettes are used</w:t>
      </w:r>
    </w:p>
    <w:p w14:paraId="227C6981" w14:textId="77777777" w:rsidR="00235C5A" w:rsidRDefault="00235C5A" w:rsidP="00235C5A">
      <w:pPr>
        <w:pStyle w:val="BodyText"/>
      </w:pPr>
      <w:r>
        <w:t>In two studies, vapers ranked reasons for using e</w:t>
      </w:r>
      <w:r>
        <w:noBreakHyphen/>
        <w:t xml:space="preserve">cigarettes, and smoking cessation was the most common reason </w:t>
      </w:r>
      <w:r>
        <w:fldChar w:fldCharType="begin">
          <w:fldData xml:space="preserve">PEVuZE5vdGU+PENpdGU+PEF1dGhvcj5HdWNodDwvQXV0aG9yPjxZZWFyPjIwMTc8L1llYXI+PFJl
Y051bT41MDQ4PC9SZWNOdW0+PERpc3BsYXlUZXh0PihHdWNodCwgQWRyaWFlbnMgZXQgYWwuIDIw
MTcsIFN1c3NhbiwgU2hhaHphZCBldCBhbC4gMjAxNyk8L0Rpc3BsYXlUZXh0PjxyZWNvcmQ+PHJl
Yy1udW1iZXI+NTA0ODwvcmVjLW51bWJlcj48Zm9yZWlnbi1rZXlzPjxrZXkgYXBwPSJFTiIgZGIt
aWQ9Ijl6MDVkejBwcmFhZGZ1ZWUwem94emVkazl6ZmU1Znh4NTB6NSIgdGltZXN0YW1wPSIxNTIz
OTIwOTE0Ij41MDQ4PC9rZXk+PGtleSBhcHA9IkVOV2ViIiBkYi1pZD0iIj4wPC9rZXk+PC9mb3Jl
aWduLWtleXM+PHJlZi10eXBlIG5hbWU9IkpvdXJuYWwgQXJ0aWNsZSI+MTc8L3JlZi10eXBlPjxj
b250cmlidXRvcnM+PGF1dGhvcnM+PGF1dGhvcj5HdWNodCwgRC4gVi48L2F1dGhvcj48YXV0aG9y
PkFkcmlhZW5zLCBLLjwvYXV0aG9yPjxhdXRob3I+QmFleWVucywgRi48L2F1dGhvcj48L2F1dGhv
cnM+PC9jb250cmlidXRvcnM+PGF1dGgtYWRkcmVzcz5BcHBsaWVkIFBzeWNob2xvZ3kgVW5pdCwg
VGhvbWFzIE1vcmUgTWVjaGVsZW4tQW50d2VycCBVbml2ZXJzaXR5IENvbGxlZ2UsIE1vbGVuc3Ry
YWF0IDgsIDIwMTggQW50d2VycCwgQmVsZ2l1bS4gZGluc2thLnZhbmd1Y2h0QHRob21hc21vcmUu
YmUuJiN4RDtGYWN1bHR5IG9mIFBzeWNob2xvZ3kgYW5kIEVkdWNhdGlvbmFsIFNjaWVuY2VzLCBL
VSBMZXV2ZW4tVW5pdmVyc2l0eSBvZiBMZXV2ZW4sIFRpZW5zZXN0cmFhdCAxMDIsIDMwMDAgTGV1
dmVuLCBCZWxnaXVtLiBkaW5za2EudmFuZ3VjaHRAdGhvbWFzbW9yZS5iZS4mI3hEO0ZhY3VsdHkg
b2YgUHN5Y2hvbG9neSBhbmQgRWR1Y2F0aW9uYWwgU2NpZW5jZXMsIEtVIExldXZlbi1Vbml2ZXJz
aXR5IG9mIExldXZlbiwgVGllbnNlc3RyYWF0IDEwMiwgMzAwMCBMZXV2ZW4sIEJlbGdpdW0uIGth
cm9saWVuLmFkcmlhZW5zQGt1bGV1dmVuLmJlLiYjeEQ7RmFjdWx0eSBvZiBQc3ljaG9sb2d5IGFu
ZCBFZHVjYXRpb25hbCBTY2llbmNlcywgS1UgTGV1dmVuLVVuaXZlcnNpdHkgb2YgTGV1dmVuLCBU
aWVuc2VzdHJhYXQgMTAyLCAzMDAwIExldXZlbiwgQmVsZ2l1bS4gZnJhbmsuYmFleWVuc0BrdWxl
dXZlbi5iZS48L2F1dGgtYWRkcmVzcz48dGl0bGVzPjx0aXRsZT5PbmxpbmUgVmFwZSBTaG9wIEN1
c3RvbWVycyBXaG8gVXNlIEUtQ2lnYXJldHRlcyBSZXBvcnQgQWJzdGluZW5jZSBmcm9tIFNtb2tp
bmcgYW5kIEltcHJvdmVkIFF1YWxpdHkgb2YgTGlmZSwgQnV0IGEgU3Vic3RhbnRpYWwgTWlub3Jp
dHkgU3RpbGwgSGF2ZSBWYXBpbmctUmVsYXRlZCBIZWFsdGggQ29uY2VybnM8L3RpdGxlPjxzZWNv
bmRhcnktdGl0bGU+SW50IEogRW52aXJvbiBSZXMgUHVibGljIEhlYWx0aDwvc2Vjb25kYXJ5LXRp
dGxlPjxhbHQtdGl0bGU+SW50ZXJuYXRpb25hbCBqb3VybmFsIG9mIGVudmlyb25tZW50YWwgcmVz
ZWFyY2ggYW5kIHB1YmxpYyBoZWFsdGg8L2FsdC10aXRsZT48L3RpdGxlcz48YWx0LXBlcmlvZGlj
YWw+PGZ1bGwtdGl0bGU+SW50ZXJuYXRpb25hbCBKb3VybmFsIG9mIEVudmlyb25tZW50YWwgUmVz
ZWFyY2ggYW5kIFB1YmxpYyBIZWFsdGg8L2Z1bGwtdGl0bGU+PC9hbHQtcGVyaW9kaWNhbD48dm9s
dW1lPjE0PC92b2x1bWU+PG51bWJlcj43PC9udW1iZXI+PGVkaXRpb24+MjAxNy8wNy8xODwvZWRp
dGlvbj48a2V5d29yZHM+PGtleXdvcmQ+QWR1bHQ8L2tleXdvcmQ+PGtleXdvcmQ+KkVsZWN0cm9u
aWMgTmljb3RpbmUgRGVsaXZlcnkgU3lzdGVtczwva2V5d29yZD48a2V5d29yZD5GZW1hbGU8L2tl
eXdvcmQ+PGtleXdvcmQ+SHVtYW5zPC9rZXl3b3JkPjxrZXl3b3JkPk1hbGU8L2tleXdvcmQ+PGtl
eXdvcmQ+TWlkZGxlIEFnZWQ8L2tleXdvcmQ+PGtleXdvcmQ+TmV0aGVybGFuZHM8L2tleXdvcmQ+
PGtleXdvcmQ+Tmljb3RpbmUvYWRtaW5pc3RyYXRpb24gJmFtcDsgZG9zYWdlPC9rZXl3b3JkPjxr
ZXl3b3JkPlBlcmNlcHRpb248L2tleXdvcmQ+PGtleXdvcmQ+UXVhbGl0eSBJbXByb3ZlbWVudDwv
a2V5d29yZD48a2V5d29yZD5RdWFsaXR5IG9mIExpZmU8L2tleXdvcmQ+PGtleXdvcmQ+U21va2lu
ZyBDZXNzYXRpb24vKm1ldGhvZHM8L2tleXdvcmQ+PGtleXdvcmQ+VG9iYWNjbyBTbW9raW5nL3Ro
ZXJhcHk8L2tleXdvcmQ+PGtleXdvcmQ+VG9iYWNjbyBVc2UgRGlzb3JkZXIvcHN5Y2hvbG9neS90
aGVyYXB5PC9rZXl3b3JkPjxrZXl3b3JkPipWYXBpbmcvcHN5Y2hvbG9neTwva2V5d29yZD48a2V5
d29yZD4qZWxlY3Ryb25pYyBjaWdhcmV0dGU8L2tleXdvcmQ+PGtleXdvcmQ+Km9ubGluZSB2YXBl
IHNob3AgY3VzdG9tZXJzPC9rZXl3b3JkPjxrZXl3b3JkPipwZXJjZXB0aW9uPC9rZXl3b3JkPjxr
ZXl3b3JkPipzbW9raW5nIGNlc3NhdGlvbjwva2V5d29yZD48a2V5d29yZD4qdmFwaW5nPC9rZXl3
b3JkPjxrZXl3b3JkPmFkdm9jYXRlcyBmb3IgZS1jaWctYmFzZWQgVEhSLjwva2V5d29yZD48L2tl
eXdvcmRzPjxkYXRlcz48eWVhcj4yMDE3PC95ZWFyPjxwdWItZGF0ZXM+PGRhdGU+SnVsIDE3PC9k
YXRlPjwvcHViLWRhdGVzPjwvZGF0ZXM+PGlzYm4+MTY2MC00NjAxPC9pc2JuPjxhY2Nlc3Npb24t
bnVtPjI4NzE0OTE0PC9hY2Nlc3Npb24tbnVtPjx1cmxzPjxyZWxhdGVkLXVybHM+PHVybD5odHRw
Oi8vd3d3Lm1kcGkuY29tLzE2NjAtNDYwMS8xNC83Lzc5OC9wZGY8L3VybD48L3JlbGF0ZWQtdXJs
cz48L3VybHM+PGN1c3RvbTI+UE1DNTU1MTIzNjwvY3VzdG9tMj48ZWxlY3Ryb25pYy1yZXNvdXJj
ZS1udW0+MTAuMzM5MC9pamVycGgxNDA3MDc5ODwvZWxlY3Ryb25pYy1yZXNvdXJjZS1udW0+PHJl
bW90ZS1kYXRhYmFzZS1wcm92aWRlcj5OTE08L3JlbW90ZS1kYXRhYmFzZS1wcm92aWRlcj48bGFu
Z3VhZ2U+ZW5nPC9sYW5ndWFnZT48L3JlY29yZD48L0NpdGU+PENpdGU+PEF1dGhvcj5TdXNzYW48
L0F1dGhvcj48WWVhcj4yMDE3PC9ZZWFyPjxSZWNOdW0+NDk1NzwvUmVjTnVtPjxyZWNvcmQ+PHJl
Yy1udW1iZXI+NDk1NzwvcmVjLW51bWJlcj48Zm9yZWlnbi1rZXlzPjxrZXkgYXBwPSJFTiIgZGIt
aWQ9Ijl6MDVkejBwcmFhZGZ1ZWUwem94emVkazl6ZmU1Znh4NTB6NSIgdGltZXN0YW1wPSIxNTIz
OTIwOTAwIj40OTU3PC9rZXk+PGtleSBhcHA9IkVOV2ViIiBkYi1pZD0iIj4wPC9rZXk+PC9mb3Jl
aWduLWtleXM+PHJlZi10eXBlIG5hbWU9IkpvdXJuYWwgQXJ0aWNsZSI+MTc8L3JlZi10eXBlPjxj
b250cmlidXRvcnM+PGF1dGhvcnM+PGF1dGhvcj5TdXNzYW4sIFQuIEUuPC9hdXRob3I+PGF1dGhv
cj5TaGFoemFkLCBGLiBHLjwvYXV0aG9yPjxhdXRob3I+VGFiYXNzdW0sIEUuPC9hdXRob3I+PGF1
dGhvcj5Db2hlbiwgSi4gRS48L2F1dGhvcj48YXV0aG9yPldpc2UsIFIuIEEuPC9hdXRob3I+PGF1
dGhvcj5CbGFoYSwgTS4gSi48L2F1dGhvcj48YXV0aG9yPkhvbGJyb29rLCBKLiBULjwvYXV0aG9y
PjxhdXRob3I+Qmlzd2FsLCBTLjwvYXV0aG9yPjwvYXV0aG9ycz48L2NvbnRyaWJ1dG9ycz48YXV0
aC1hZGRyZXNzPkRlcGFydG1lbnQgb2YgRW52aXJvbm1lbnRhbCBIZWFsdGggYW5kIEVuZ2luZWVy
aW5nLCBKb2hucyBIb3BraW5zIEJsb29tYmVyZyBTY2hvb2wgb2YgUHVibGljIEhlYWx0aCwgNjE1
IE4uIFdvbGZlIFN0cmVldCwgQmFsdGltb3JlLCBNRCwgVVNBLiYjeEQ7UHJlc2VudCBBZGRyZXNz
OiBVbml0ZWQgU3RhdGVzIEFybXkgUHVibGljIEhlYWx0aCBDZW50ZXIsIFRveGljb2xvZ3kgRGly
ZWN0b3JhdGUsIEFiZXJkZWVuIFByb3ZpbmcgR3JvdW5kLCBBYmVyZGVlbiwgTUQsIFVTQS4mI3hE
O0RlcGFydG1lbnQgb2YgSGVhbHRoLCBCZWhhdmlvciBhbmQgU29jaWV0eSwgSW5zdGl0dXRlIGZv
ciBHbG9iYWwgVG9iYWNjbyBDb250cm9sLCBKb2hucyBIb3BraW5zIEJsb29tYmVyZyBTY2hvb2wg
b2YgUHVibGljIEhlYWx0aCwgQmFsdGltb3JlLCBNRCwgVVNBLiYjeEQ7RGVwYXJ0bWVudCBvZiBN
ZWRpY2luZSwgRGl2aXNpb24gb2YgUHVsbW9uYXJ5IGFuZCBDcml0aWNhbCBDYXJlIE1lZGljaW5l
LCBKb2hucyBIb3BraW5zIFNjaG9vbCBvZiBNZWRpY2luZSwgQmFsdGltb3JlLCBNRCwgVVNBLiYj
eEQ7RGVwYXJ0bWVudCBvZiBNZWRpY2luZSwgQ2ljY2Fyb25lIENlbnRlciBmb3IgdGhlIFByZXZl
bnRpb24gb2YgSGVhcnQgRGlzZWFzZSwgSm9obnMgSG9wa2lucyBTY2hvb2wgb2YgTWVkaWNpbmUs
IEJhbHRpbW9yZSwgTUQsIFVTQS4mI3hEO0RlcGFydG1lbnQgb2YgRXBpZGVtaW9sb2d5LCBDZW50
ZXIgZm9yIENsaW5pY2FsIFRyaWFscyBhbmQgRXZpZGVuY2UgU3ludGhlc2lzLCBKb2hucyBIb3Br
aW5zIEJsb29tYmVyZyBTY2hvb2wgb2YgUHVibGljIEhlYWx0aCwgQmFsdGltb3JlLCBNRCwgVVNB
LiYjeEQ7RGVwYXJ0bWVudCBvZiBFbnZpcm9ubWVudGFsIEhlYWx0aCBhbmQgRW5naW5lZXJpbmcs
IEpvaG5zIEhvcGtpbnMgQmxvb21iZXJnIFNjaG9vbCBvZiBQdWJsaWMgSGVhbHRoLCA2MTUgTi4g
V29sZmUgU3RyZWV0LCBCYWx0aW1vcmUsIE1ELCBVU0EuIHNiaXN3YWxAamh1LmVkdS48L2F1dGgt
YWRkcmVzcz48dGl0bGVzPjx0aXRsZT5FbGVjdHJvbmljIGNpZ2FyZXR0ZSB1c2UgYmVoYXZpb3Jz
IGFuZCBtb3RpdmF0aW9ucyBhbW9uZyBzbW9rZXJzIGFuZCBub24tc21va2VyczwvdGl0bGU+PHNl
Y29uZGFyeS10aXRsZT5CTUMgUHVibGljIEhlYWx0aDwvc2Vjb25kYXJ5LXRpdGxlPjxhbHQtdGl0
bGU+Qk1DIHB1YmxpYyBoZWFsdGg8L2FsdC10aXRsZT48L3RpdGxlcz48cGVyaW9kaWNhbD48ZnVs
bC10aXRsZT5CbWMgUHVibGljIEhlYWx0aDwvZnVsbC10aXRsZT48L3BlcmlvZGljYWw+PGFsdC1w
ZXJpb2RpY2FsPjxmdWxsLXRpdGxlPkJtYyBQdWJsaWMgSGVhbHRoPC9mdWxsLXRpdGxlPjwvYWx0
LXBlcmlvZGljYWw+PHBhZ2VzPjY4NjwvcGFnZXM+PHZvbHVtZT4xNzwvdm9sdW1lPjxudW1iZXI+
MTwvbnVtYmVyPjxlZGl0aW9uPjIwMTcvMDkvMDk8L2VkaXRpb24+PGtleXdvcmRzPjxrZXl3b3Jk
PkFkb2xlc2NlbnQ8L2tleXdvcmQ+PGtleXdvcmQ+QWR1bHQ8L2tleXdvcmQ+PGtleXdvcmQ+QmFs
dGltb3JlL2VwaWRlbWlvbG9neTwva2V5d29yZD48a2V5d29yZD5GZW1hbGU8L2tleXdvcmQ+PGtl
eXdvcmQ+SGVhbHRoIFN1cnZleXM8L2tleXdvcmQ+PGtleXdvcmQ+SHVtYW5zPC9rZXl3b3JkPjxr
ZXl3b3JkPk1hbGU8L2tleXdvcmQ+PGtleXdvcmQ+Kk1vdGl2YXRpb248L2tleXdvcmQ+PGtleXdv
cmQ+U21va2Vycy8qcHN5Y2hvbG9neS9zdGF0aXN0aWNzICZhbXA7IG51bWVyaWNhbCBkYXRhPC9r
ZXl3b3JkPjxrZXl3b3JkPlNtb2tpbmcvKmVwaWRlbWlvbG9neS8qcHN5Y2hvbG9neTwva2V5d29y
ZD48a2V5d29yZD5WYXBpbmcvKnBzeWNob2xvZ3k8L2tleXdvcmQ+PGtleXdvcmQ+WW91bmcgQWR1
bHQ8L2tleXdvcmQ+PGtleXdvcmQ+KkJhbHRpbW9yZTwva2V5d29yZD48a2V5d29yZD4qRWxlY3Ry
b25pYyBjaWdhcmV0dGVzPC9rZXl3b3JkPjxrZXl3b3JkPipNYXJ5bGFuZDwva2V5d29yZD48a2V5
d29yZD4qUHJlZmVyZW5jZXM8L2tleXdvcmQ+PGtleXdvcmQ+KlNtb2tlcnM8L2tleXdvcmQ+PGtl
eXdvcmQ+KlN1cnZleTwva2V5d29yZD48a2V5d29yZD4qVmFwb3I8L2tleXdvcmQ+PC9rZXl3b3Jk
cz48ZGF0ZXM+PHllYXI+MjAxNzwveWVhcj48cHViLWRhdGVzPjxkYXRlPlNlcCA4PC9kYXRlPjwv
cHViLWRhdGVzPjwvZGF0ZXM+PGlzYm4+MTQ3MS0yNDU4PC9pc2JuPjxhY2Nlc3Npb24tbnVtPjI4
ODgyMTIzPC9hY2Nlc3Npb24tbnVtPjx1cmxzPjxyZWxhdGVkLXVybHM+PHVybD5odHRwczovL3d3
dy5uY2JpLm5sbS5uaWguZ292L3BtYy9hcnRpY2xlcy9QTUM1NTkwMTIzL3BkZi8xMjg4OV8yMDE3
X0FydGljbGVfNDY3MS5wZGY8L3VybD48L3JlbGF0ZWQtdXJscz48L3VybHM+PGN1c3RvbTI+UE1D
NTU5MDEyMzwvY3VzdG9tMj48ZWxlY3Ryb25pYy1yZXNvdXJjZS1udW0+MTAuMTE4Ni9zMTI4ODkt
MDE3LTQ2NzEtMzwvZWxlY3Ryb25pYy1yZXNvdXJjZS1udW0+PHJlbW90ZS1kYXRhYmFzZS1wcm92
aWRlcj5OTE08L3JlbW90ZS1kYXRhYmFzZS1wcm92aWRlcj48bGFuZ3VhZ2U+ZW5nPC9sYW5ndWFn
ZT48L3JlY29yZD48L0NpdGU+PC9FbmROb3RlPgB=
</w:fldData>
        </w:fldChar>
      </w:r>
      <w:r>
        <w:instrText xml:space="preserve"> ADDIN EN.CITE </w:instrText>
      </w:r>
      <w:r>
        <w:fldChar w:fldCharType="begin">
          <w:fldData xml:space="preserve">PEVuZE5vdGU+PENpdGU+PEF1dGhvcj5HdWNodDwvQXV0aG9yPjxZZWFyPjIwMTc8L1llYXI+PFJl
Y051bT41MDQ4PC9SZWNOdW0+PERpc3BsYXlUZXh0PihHdWNodCwgQWRyaWFlbnMgZXQgYWwuIDIw
MTcsIFN1c3NhbiwgU2hhaHphZCBldCBhbC4gMjAxNyk8L0Rpc3BsYXlUZXh0PjxyZWNvcmQ+PHJl
Yy1udW1iZXI+NTA0ODwvcmVjLW51bWJlcj48Zm9yZWlnbi1rZXlzPjxrZXkgYXBwPSJFTiIgZGIt
aWQ9Ijl6MDVkejBwcmFhZGZ1ZWUwem94emVkazl6ZmU1Znh4NTB6NSIgdGltZXN0YW1wPSIxNTIz
OTIwOTE0Ij41MDQ4PC9rZXk+PGtleSBhcHA9IkVOV2ViIiBkYi1pZD0iIj4wPC9rZXk+PC9mb3Jl
aWduLWtleXM+PHJlZi10eXBlIG5hbWU9IkpvdXJuYWwgQXJ0aWNsZSI+MTc8L3JlZi10eXBlPjxj
b250cmlidXRvcnM+PGF1dGhvcnM+PGF1dGhvcj5HdWNodCwgRC4gVi48L2F1dGhvcj48YXV0aG9y
PkFkcmlhZW5zLCBLLjwvYXV0aG9yPjxhdXRob3I+QmFleWVucywgRi48L2F1dGhvcj48L2F1dGhv
cnM+PC9jb250cmlidXRvcnM+PGF1dGgtYWRkcmVzcz5BcHBsaWVkIFBzeWNob2xvZ3kgVW5pdCwg
VGhvbWFzIE1vcmUgTWVjaGVsZW4tQW50d2VycCBVbml2ZXJzaXR5IENvbGxlZ2UsIE1vbGVuc3Ry
YWF0IDgsIDIwMTggQW50d2VycCwgQmVsZ2l1bS4gZGluc2thLnZhbmd1Y2h0QHRob21hc21vcmUu
YmUuJiN4RDtGYWN1bHR5IG9mIFBzeWNob2xvZ3kgYW5kIEVkdWNhdGlvbmFsIFNjaWVuY2VzLCBL
VSBMZXV2ZW4tVW5pdmVyc2l0eSBvZiBMZXV2ZW4sIFRpZW5zZXN0cmFhdCAxMDIsIDMwMDAgTGV1
dmVuLCBCZWxnaXVtLiBkaW5za2EudmFuZ3VjaHRAdGhvbWFzbW9yZS5iZS4mI3hEO0ZhY3VsdHkg
b2YgUHN5Y2hvbG9neSBhbmQgRWR1Y2F0aW9uYWwgU2NpZW5jZXMsIEtVIExldXZlbi1Vbml2ZXJz
aXR5IG9mIExldXZlbiwgVGllbnNlc3RyYWF0IDEwMiwgMzAwMCBMZXV2ZW4sIEJlbGdpdW0uIGth
cm9saWVuLmFkcmlhZW5zQGt1bGV1dmVuLmJlLiYjeEQ7RmFjdWx0eSBvZiBQc3ljaG9sb2d5IGFu
ZCBFZHVjYXRpb25hbCBTY2llbmNlcywgS1UgTGV1dmVuLVVuaXZlcnNpdHkgb2YgTGV1dmVuLCBU
aWVuc2VzdHJhYXQgMTAyLCAzMDAwIExldXZlbiwgQmVsZ2l1bS4gZnJhbmsuYmFleWVuc0BrdWxl
dXZlbi5iZS48L2F1dGgtYWRkcmVzcz48dGl0bGVzPjx0aXRsZT5PbmxpbmUgVmFwZSBTaG9wIEN1
c3RvbWVycyBXaG8gVXNlIEUtQ2lnYXJldHRlcyBSZXBvcnQgQWJzdGluZW5jZSBmcm9tIFNtb2tp
bmcgYW5kIEltcHJvdmVkIFF1YWxpdHkgb2YgTGlmZSwgQnV0IGEgU3Vic3RhbnRpYWwgTWlub3Jp
dHkgU3RpbGwgSGF2ZSBWYXBpbmctUmVsYXRlZCBIZWFsdGggQ29uY2VybnM8L3RpdGxlPjxzZWNv
bmRhcnktdGl0bGU+SW50IEogRW52aXJvbiBSZXMgUHVibGljIEhlYWx0aDwvc2Vjb25kYXJ5LXRp
dGxlPjxhbHQtdGl0bGU+SW50ZXJuYXRpb25hbCBqb3VybmFsIG9mIGVudmlyb25tZW50YWwgcmVz
ZWFyY2ggYW5kIHB1YmxpYyBoZWFsdGg8L2FsdC10aXRsZT48L3RpdGxlcz48YWx0LXBlcmlvZGlj
YWw+PGZ1bGwtdGl0bGU+SW50ZXJuYXRpb25hbCBKb3VybmFsIG9mIEVudmlyb25tZW50YWwgUmVz
ZWFyY2ggYW5kIFB1YmxpYyBIZWFsdGg8L2Z1bGwtdGl0bGU+PC9hbHQtcGVyaW9kaWNhbD48dm9s
dW1lPjE0PC92b2x1bWU+PG51bWJlcj43PC9udW1iZXI+PGVkaXRpb24+MjAxNy8wNy8xODwvZWRp
dGlvbj48a2V5d29yZHM+PGtleXdvcmQ+QWR1bHQ8L2tleXdvcmQ+PGtleXdvcmQ+KkVsZWN0cm9u
aWMgTmljb3RpbmUgRGVsaXZlcnkgU3lzdGVtczwva2V5d29yZD48a2V5d29yZD5GZW1hbGU8L2tl
eXdvcmQ+PGtleXdvcmQ+SHVtYW5zPC9rZXl3b3JkPjxrZXl3b3JkPk1hbGU8L2tleXdvcmQ+PGtl
eXdvcmQ+TWlkZGxlIEFnZWQ8L2tleXdvcmQ+PGtleXdvcmQ+TmV0aGVybGFuZHM8L2tleXdvcmQ+
PGtleXdvcmQ+Tmljb3RpbmUvYWRtaW5pc3RyYXRpb24gJmFtcDsgZG9zYWdlPC9rZXl3b3JkPjxr
ZXl3b3JkPlBlcmNlcHRpb248L2tleXdvcmQ+PGtleXdvcmQ+UXVhbGl0eSBJbXByb3ZlbWVudDwv
a2V5d29yZD48a2V5d29yZD5RdWFsaXR5IG9mIExpZmU8L2tleXdvcmQ+PGtleXdvcmQ+U21va2lu
ZyBDZXNzYXRpb24vKm1ldGhvZHM8L2tleXdvcmQ+PGtleXdvcmQ+VG9iYWNjbyBTbW9raW5nL3Ro
ZXJhcHk8L2tleXdvcmQ+PGtleXdvcmQ+VG9iYWNjbyBVc2UgRGlzb3JkZXIvcHN5Y2hvbG9neS90
aGVyYXB5PC9rZXl3b3JkPjxrZXl3b3JkPipWYXBpbmcvcHN5Y2hvbG9neTwva2V5d29yZD48a2V5
d29yZD4qZWxlY3Ryb25pYyBjaWdhcmV0dGU8L2tleXdvcmQ+PGtleXdvcmQ+Km9ubGluZSB2YXBl
IHNob3AgY3VzdG9tZXJzPC9rZXl3b3JkPjxrZXl3b3JkPipwZXJjZXB0aW9uPC9rZXl3b3JkPjxr
ZXl3b3JkPipzbW9raW5nIGNlc3NhdGlvbjwva2V5d29yZD48a2V5d29yZD4qdmFwaW5nPC9rZXl3
b3JkPjxrZXl3b3JkPmFkdm9jYXRlcyBmb3IgZS1jaWctYmFzZWQgVEhSLjwva2V5d29yZD48L2tl
eXdvcmRzPjxkYXRlcz48eWVhcj4yMDE3PC95ZWFyPjxwdWItZGF0ZXM+PGRhdGU+SnVsIDE3PC9k
YXRlPjwvcHViLWRhdGVzPjwvZGF0ZXM+PGlzYm4+MTY2MC00NjAxPC9pc2JuPjxhY2Nlc3Npb24t
bnVtPjI4NzE0OTE0PC9hY2Nlc3Npb24tbnVtPjx1cmxzPjxyZWxhdGVkLXVybHM+PHVybD5odHRw
Oi8vd3d3Lm1kcGkuY29tLzE2NjAtNDYwMS8xNC83Lzc5OC9wZGY8L3VybD48L3JlbGF0ZWQtdXJs
cz48L3VybHM+PGN1c3RvbTI+UE1DNTU1MTIzNjwvY3VzdG9tMj48ZWxlY3Ryb25pYy1yZXNvdXJj
ZS1udW0+MTAuMzM5MC9pamVycGgxNDA3MDc5ODwvZWxlY3Ryb25pYy1yZXNvdXJjZS1udW0+PHJl
bW90ZS1kYXRhYmFzZS1wcm92aWRlcj5OTE08L3JlbW90ZS1kYXRhYmFzZS1wcm92aWRlcj48bGFu
Z3VhZ2U+ZW5nPC9sYW5ndWFnZT48L3JlY29yZD48L0NpdGU+PENpdGU+PEF1dGhvcj5TdXNzYW48
L0F1dGhvcj48WWVhcj4yMDE3PC9ZZWFyPjxSZWNOdW0+NDk1NzwvUmVjTnVtPjxyZWNvcmQ+PHJl
Yy1udW1iZXI+NDk1NzwvcmVjLW51bWJlcj48Zm9yZWlnbi1rZXlzPjxrZXkgYXBwPSJFTiIgZGIt
aWQ9Ijl6MDVkejBwcmFhZGZ1ZWUwem94emVkazl6ZmU1Znh4NTB6NSIgdGltZXN0YW1wPSIxNTIz
OTIwOTAwIj40OTU3PC9rZXk+PGtleSBhcHA9IkVOV2ViIiBkYi1pZD0iIj4wPC9rZXk+PC9mb3Jl
aWduLWtleXM+PHJlZi10eXBlIG5hbWU9IkpvdXJuYWwgQXJ0aWNsZSI+MTc8L3JlZi10eXBlPjxj
b250cmlidXRvcnM+PGF1dGhvcnM+PGF1dGhvcj5TdXNzYW4sIFQuIEUuPC9hdXRob3I+PGF1dGhv
cj5TaGFoemFkLCBGLiBHLjwvYXV0aG9yPjxhdXRob3I+VGFiYXNzdW0sIEUuPC9hdXRob3I+PGF1
dGhvcj5Db2hlbiwgSi4gRS48L2F1dGhvcj48YXV0aG9yPldpc2UsIFIuIEEuPC9hdXRob3I+PGF1
dGhvcj5CbGFoYSwgTS4gSi48L2F1dGhvcj48YXV0aG9yPkhvbGJyb29rLCBKLiBULjwvYXV0aG9y
PjxhdXRob3I+Qmlzd2FsLCBTLjwvYXV0aG9yPjwvYXV0aG9ycz48L2NvbnRyaWJ1dG9ycz48YXV0
aC1hZGRyZXNzPkRlcGFydG1lbnQgb2YgRW52aXJvbm1lbnRhbCBIZWFsdGggYW5kIEVuZ2luZWVy
aW5nLCBKb2hucyBIb3BraW5zIEJsb29tYmVyZyBTY2hvb2wgb2YgUHVibGljIEhlYWx0aCwgNjE1
IE4uIFdvbGZlIFN0cmVldCwgQmFsdGltb3JlLCBNRCwgVVNBLiYjeEQ7UHJlc2VudCBBZGRyZXNz
OiBVbml0ZWQgU3RhdGVzIEFybXkgUHVibGljIEhlYWx0aCBDZW50ZXIsIFRveGljb2xvZ3kgRGly
ZWN0b3JhdGUsIEFiZXJkZWVuIFByb3ZpbmcgR3JvdW5kLCBBYmVyZGVlbiwgTUQsIFVTQS4mI3hE
O0RlcGFydG1lbnQgb2YgSGVhbHRoLCBCZWhhdmlvciBhbmQgU29jaWV0eSwgSW5zdGl0dXRlIGZv
ciBHbG9iYWwgVG9iYWNjbyBDb250cm9sLCBKb2hucyBIb3BraW5zIEJsb29tYmVyZyBTY2hvb2wg
b2YgUHVibGljIEhlYWx0aCwgQmFsdGltb3JlLCBNRCwgVVNBLiYjeEQ7RGVwYXJ0bWVudCBvZiBN
ZWRpY2luZSwgRGl2aXNpb24gb2YgUHVsbW9uYXJ5IGFuZCBDcml0aWNhbCBDYXJlIE1lZGljaW5l
LCBKb2hucyBIb3BraW5zIFNjaG9vbCBvZiBNZWRpY2luZSwgQmFsdGltb3JlLCBNRCwgVVNBLiYj
eEQ7RGVwYXJ0bWVudCBvZiBNZWRpY2luZSwgQ2ljY2Fyb25lIENlbnRlciBmb3IgdGhlIFByZXZl
bnRpb24gb2YgSGVhcnQgRGlzZWFzZSwgSm9obnMgSG9wa2lucyBTY2hvb2wgb2YgTWVkaWNpbmUs
IEJhbHRpbW9yZSwgTUQsIFVTQS4mI3hEO0RlcGFydG1lbnQgb2YgRXBpZGVtaW9sb2d5LCBDZW50
ZXIgZm9yIENsaW5pY2FsIFRyaWFscyBhbmQgRXZpZGVuY2UgU3ludGhlc2lzLCBKb2hucyBIb3Br
aW5zIEJsb29tYmVyZyBTY2hvb2wgb2YgUHVibGljIEhlYWx0aCwgQmFsdGltb3JlLCBNRCwgVVNB
LiYjeEQ7RGVwYXJ0bWVudCBvZiBFbnZpcm9ubWVudGFsIEhlYWx0aCBhbmQgRW5naW5lZXJpbmcs
IEpvaG5zIEhvcGtpbnMgQmxvb21iZXJnIFNjaG9vbCBvZiBQdWJsaWMgSGVhbHRoLCA2MTUgTi4g
V29sZmUgU3RyZWV0LCBCYWx0aW1vcmUsIE1ELCBVU0EuIHNiaXN3YWxAamh1LmVkdS48L2F1dGgt
YWRkcmVzcz48dGl0bGVzPjx0aXRsZT5FbGVjdHJvbmljIGNpZ2FyZXR0ZSB1c2UgYmVoYXZpb3Jz
IGFuZCBtb3RpdmF0aW9ucyBhbW9uZyBzbW9rZXJzIGFuZCBub24tc21va2VyczwvdGl0bGU+PHNl
Y29uZGFyeS10aXRsZT5CTUMgUHVibGljIEhlYWx0aDwvc2Vjb25kYXJ5LXRpdGxlPjxhbHQtdGl0
bGU+Qk1DIHB1YmxpYyBoZWFsdGg8L2FsdC10aXRsZT48L3RpdGxlcz48cGVyaW9kaWNhbD48ZnVs
bC10aXRsZT5CbWMgUHVibGljIEhlYWx0aDwvZnVsbC10aXRsZT48L3BlcmlvZGljYWw+PGFsdC1w
ZXJpb2RpY2FsPjxmdWxsLXRpdGxlPkJtYyBQdWJsaWMgSGVhbHRoPC9mdWxsLXRpdGxlPjwvYWx0
LXBlcmlvZGljYWw+PHBhZ2VzPjY4NjwvcGFnZXM+PHZvbHVtZT4xNzwvdm9sdW1lPjxudW1iZXI+
MTwvbnVtYmVyPjxlZGl0aW9uPjIwMTcvMDkvMDk8L2VkaXRpb24+PGtleXdvcmRzPjxrZXl3b3Jk
PkFkb2xlc2NlbnQ8L2tleXdvcmQ+PGtleXdvcmQ+QWR1bHQ8L2tleXdvcmQ+PGtleXdvcmQ+QmFs
dGltb3JlL2VwaWRlbWlvbG9neTwva2V5d29yZD48a2V5d29yZD5GZW1hbGU8L2tleXdvcmQ+PGtl
eXdvcmQ+SGVhbHRoIFN1cnZleXM8L2tleXdvcmQ+PGtleXdvcmQ+SHVtYW5zPC9rZXl3b3JkPjxr
ZXl3b3JkPk1hbGU8L2tleXdvcmQ+PGtleXdvcmQ+Kk1vdGl2YXRpb248L2tleXdvcmQ+PGtleXdv
cmQ+U21va2Vycy8qcHN5Y2hvbG9neS9zdGF0aXN0aWNzICZhbXA7IG51bWVyaWNhbCBkYXRhPC9r
ZXl3b3JkPjxrZXl3b3JkPlNtb2tpbmcvKmVwaWRlbWlvbG9neS8qcHN5Y2hvbG9neTwva2V5d29y
ZD48a2V5d29yZD5WYXBpbmcvKnBzeWNob2xvZ3k8L2tleXdvcmQ+PGtleXdvcmQ+WW91bmcgQWR1
bHQ8L2tleXdvcmQ+PGtleXdvcmQ+KkJhbHRpbW9yZTwva2V5d29yZD48a2V5d29yZD4qRWxlY3Ry
b25pYyBjaWdhcmV0dGVzPC9rZXl3b3JkPjxrZXl3b3JkPipNYXJ5bGFuZDwva2V5d29yZD48a2V5
d29yZD4qUHJlZmVyZW5jZXM8L2tleXdvcmQ+PGtleXdvcmQ+KlNtb2tlcnM8L2tleXdvcmQ+PGtl
eXdvcmQ+KlN1cnZleTwva2V5d29yZD48a2V5d29yZD4qVmFwb3I8L2tleXdvcmQ+PC9rZXl3b3Jk
cz48ZGF0ZXM+PHllYXI+MjAxNzwveWVhcj48cHViLWRhdGVzPjxkYXRlPlNlcCA4PC9kYXRlPjwv
cHViLWRhdGVzPjwvZGF0ZXM+PGlzYm4+MTQ3MS0yNDU4PC9pc2JuPjxhY2Nlc3Npb24tbnVtPjI4
ODgyMTIzPC9hY2Nlc3Npb24tbnVtPjx1cmxzPjxyZWxhdGVkLXVybHM+PHVybD5odHRwczovL3d3
dy5uY2JpLm5sbS5uaWguZ292L3BtYy9hcnRpY2xlcy9QTUM1NTkwMTIzL3BkZi8xMjg4OV8yMDE3
X0FydGljbGVfNDY3MS5wZGY8L3VybD48L3JlbGF0ZWQtdXJscz48L3VybHM+PGN1c3RvbTI+UE1D
NTU5MDEyMzwvY3VzdG9tMj48ZWxlY3Ryb25pYy1yZXNvdXJjZS1udW0+MTAuMTE4Ni9zMTI4ODkt
MDE3LTQ2NzEtMzwvZWxlY3Ryb25pYy1yZXNvdXJjZS1udW0+PHJlbW90ZS1kYXRhYmFzZS1wcm92
aWRlcj5OTE08L3JlbW90ZS1kYXRhYmFzZS1wcm92aWRlcj48bGFuZ3VhZ2U+ZW5nPC9sYW5ndWFn
ZT48L3JlY29yZD48L0NpdGU+PC9FbmROb3RlPgB=
</w:fldData>
        </w:fldChar>
      </w:r>
      <w:r>
        <w:instrText xml:space="preserve"> ADDIN EN.CITE.DATA </w:instrText>
      </w:r>
      <w:r>
        <w:fldChar w:fldCharType="end"/>
      </w:r>
      <w:r>
        <w:fldChar w:fldCharType="separate"/>
      </w:r>
      <w:r>
        <w:rPr>
          <w:noProof/>
        </w:rPr>
        <w:t>(Gucht, Adriaens et al. 2017, Sussan, Shahzad et al. 2017)</w:t>
      </w:r>
      <w:r>
        <w:fldChar w:fldCharType="end"/>
      </w:r>
      <w:r>
        <w:t xml:space="preserve">. The first study was an online survey of 203 Dutch and Flemish online vape shop customers, who had a mean age of 46 years (SD 12.5) and were 42.9% female </w:t>
      </w:r>
      <w:r>
        <w:fldChar w:fldCharType="begin">
          <w:fldData xml:space="preserve">PEVuZE5vdGU+PENpdGU+PEF1dGhvcj5HdWNodDwvQXV0aG9yPjxZZWFyPjIwMTc8L1llYXI+PFJl
Y051bT41MDQ4PC9SZWNOdW0+PERpc3BsYXlUZXh0PihHdWNodCwgQWRyaWFlbnMgZXQgYWwuIDIw
MTcpPC9EaXNwbGF5VGV4dD48cmVjb3JkPjxyZWMtbnVtYmVyPjUwNDg8L3JlYy1udW1iZXI+PGZv
cmVpZ24ta2V5cz48a2V5IGFwcD0iRU4iIGRiLWlkPSI5ejA1ZHowcHJhYWRmdWVlMHpveHplZGs5
emZlNWZ4eDUwejUiIHRpbWVzdGFtcD0iMTUyMzkyMDkxNCI+NTA0ODwva2V5PjxrZXkgYXBwPSJF
TldlYiIgZGItaWQ9IiI+MDwva2V5PjwvZm9yZWlnbi1rZXlzPjxyZWYtdHlwZSBuYW1lPSJKb3Vy
bmFsIEFydGljbGUiPjE3PC9yZWYtdHlwZT48Y29udHJpYnV0b3JzPjxhdXRob3JzPjxhdXRob3I+
R3VjaHQsIEQuIFYuPC9hdXRob3I+PGF1dGhvcj5BZHJpYWVucywgSy48L2F1dGhvcj48YXV0aG9y
PkJhZXllbnMsIEYuPC9hdXRob3I+PC9hdXRob3JzPjwvY29udHJpYnV0b3JzPjxhdXRoLWFkZHJl
c3M+QXBwbGllZCBQc3ljaG9sb2d5IFVuaXQsIFRob21hcyBNb3JlIE1lY2hlbGVuLUFudHdlcnAg
VW5pdmVyc2l0eSBDb2xsZWdlLCBNb2xlbnN0cmFhdCA4LCAyMDE4IEFudHdlcnAsIEJlbGdpdW0u
IGRpbnNrYS52YW5ndWNodEB0aG9tYXNtb3JlLmJlLiYjeEQ7RmFjdWx0eSBvZiBQc3ljaG9sb2d5
IGFuZCBFZHVjYXRpb25hbCBTY2llbmNlcywgS1UgTGV1dmVuLVVuaXZlcnNpdHkgb2YgTGV1dmVu
LCBUaWVuc2VzdHJhYXQgMTAyLCAzMDAwIExldXZlbiwgQmVsZ2l1bS4gZGluc2thLnZhbmd1Y2h0
QHRob21hc21vcmUuYmUuJiN4RDtGYWN1bHR5IG9mIFBzeWNob2xvZ3kgYW5kIEVkdWNhdGlvbmFs
IFNjaWVuY2VzLCBLVSBMZXV2ZW4tVW5pdmVyc2l0eSBvZiBMZXV2ZW4sIFRpZW5zZXN0cmFhdCAx
MDIsIDMwMDAgTGV1dmVuLCBCZWxnaXVtLiBrYXJvbGllbi5hZHJpYWVuc0BrdWxldXZlbi5iZS4m
I3hEO0ZhY3VsdHkgb2YgUHN5Y2hvbG9neSBhbmQgRWR1Y2F0aW9uYWwgU2NpZW5jZXMsIEtVIExl
dXZlbi1Vbml2ZXJzaXR5IG9mIExldXZlbiwgVGllbnNlc3RyYWF0IDEwMiwgMzAwMCBMZXV2ZW4s
IEJlbGdpdW0uIGZyYW5rLmJhZXllbnNAa3VsZXV2ZW4uYmUuPC9hdXRoLWFkZHJlc3M+PHRpdGxl
cz48dGl0bGU+T25saW5lIFZhcGUgU2hvcCBDdXN0b21lcnMgV2hvIFVzZSBFLUNpZ2FyZXR0ZXMg
UmVwb3J0IEFic3RpbmVuY2UgZnJvbSBTbW9raW5nIGFuZCBJbXByb3ZlZCBRdWFsaXR5IG9mIExp
ZmUsIEJ1dCBhIFN1YnN0YW50aWFsIE1pbm9yaXR5IFN0aWxsIEhhdmUgVmFwaW5nLVJlbGF0ZWQg
SGVhbHRoIENvbmNlcm5zPC90aXRsZT48c2Vjb25kYXJ5LXRpdGxlPkludCBKIEVudmlyb24gUmVz
IFB1YmxpYyBIZWFsdGg8L3NlY29uZGFyeS10aXRsZT48YWx0LXRpdGxlPkludGVybmF0aW9uYWwg
am91cm5hbCBvZiBlbnZpcm9ubWVudGFsIHJlc2VhcmNoIGFuZCBwdWJsaWMgaGVhbHRoPC9hbHQt
dGl0bGU+PC90aXRsZXM+PGFsdC1wZXJpb2RpY2FsPjxmdWxsLXRpdGxlPkludGVybmF0aW9uYWwg
Sm91cm5hbCBvZiBFbnZpcm9ubWVudGFsIFJlc2VhcmNoIGFuZCBQdWJsaWMgSGVhbHRoPC9mdWxs
LXRpdGxlPjwvYWx0LXBlcmlvZGljYWw+PHZvbHVtZT4xNDwvdm9sdW1lPjxudW1iZXI+NzwvbnVt
YmVyPjxlZGl0aW9uPjIwMTcvMDcvMTg8L2VkaXRpb24+PGtleXdvcmRzPjxrZXl3b3JkPkFkdWx0
PC9rZXl3b3JkPjxrZXl3b3JkPipFbGVjdHJvbmljIE5pY290aW5lIERlbGl2ZXJ5IFN5c3RlbXM8
L2tleXdvcmQ+PGtleXdvcmQ+RmVtYWxlPC9rZXl3b3JkPjxrZXl3b3JkPkh1bWFuczwva2V5d29y
ZD48a2V5d29yZD5NYWxlPC9rZXl3b3JkPjxrZXl3b3JkPk1pZGRsZSBBZ2VkPC9rZXl3b3JkPjxr
ZXl3b3JkPk5ldGhlcmxhbmRzPC9rZXl3b3JkPjxrZXl3b3JkPk5pY290aW5lL2FkbWluaXN0cmF0
aW9uICZhbXA7IGRvc2FnZTwva2V5d29yZD48a2V5d29yZD5QZXJjZXB0aW9uPC9rZXl3b3JkPjxr
ZXl3b3JkPlF1YWxpdHkgSW1wcm92ZW1lbnQ8L2tleXdvcmQ+PGtleXdvcmQ+UXVhbGl0eSBvZiBM
aWZlPC9rZXl3b3JkPjxrZXl3b3JkPlNtb2tpbmcgQ2Vzc2F0aW9uLyptZXRob2RzPC9rZXl3b3Jk
PjxrZXl3b3JkPlRvYmFjY28gU21va2luZy90aGVyYXB5PC9rZXl3b3JkPjxrZXl3b3JkPlRvYmFj
Y28gVXNlIERpc29yZGVyL3BzeWNob2xvZ3kvdGhlcmFweTwva2V5d29yZD48a2V5d29yZD4qVmFw
aW5nL3BzeWNob2xvZ3k8L2tleXdvcmQ+PGtleXdvcmQ+KmVsZWN0cm9uaWMgY2lnYXJldHRlPC9r
ZXl3b3JkPjxrZXl3b3JkPipvbmxpbmUgdmFwZSBzaG9wIGN1c3RvbWVyczwva2V5d29yZD48a2V5
d29yZD4qcGVyY2VwdGlvbjwva2V5d29yZD48a2V5d29yZD4qc21va2luZyBjZXNzYXRpb248L2tl
eXdvcmQ+PGtleXdvcmQ+KnZhcGluZzwva2V5d29yZD48a2V5d29yZD5hZHZvY2F0ZXMgZm9yIGUt
Y2lnLWJhc2VkIFRIUi48L2tleXdvcmQ+PC9rZXl3b3Jkcz48ZGF0ZXM+PHllYXI+MjAxNzwveWVh
cj48cHViLWRhdGVzPjxkYXRlPkp1bCAxNzwvZGF0ZT48L3B1Yi1kYXRlcz48L2RhdGVzPjxpc2Ju
PjE2NjAtNDYwMTwvaXNibj48YWNjZXNzaW9uLW51bT4yODcxNDkxNDwvYWNjZXNzaW9uLW51bT48
dXJscz48cmVsYXRlZC11cmxzPjx1cmw+aHR0cDovL3d3dy5tZHBpLmNvbS8xNjYwLTQ2MDEvMTQv
Ny83OTgvcGRmPC91cmw+PC9yZWxhdGVkLXVybHM+PC91cmxzPjxjdXN0b20yPlBNQzU1NTEyMzY8
L2N1c3RvbTI+PGVsZWN0cm9uaWMtcmVzb3VyY2UtbnVtPjEwLjMzOTAvaWplcnBoMTQwNzA3OTg8
L2VsZWN0cm9uaWMtcmVzb3VyY2UtbnVtPjxyZW1vdGUtZGF0YWJhc2UtcHJvdmlkZXI+TkxNPC9y
ZW1vdGUtZGF0YWJhc2UtcHJvdmlkZXI+PGxhbmd1YWdlPmVuZzwvbGFuZ3VhZ2U+PC9yZWNvcmQ+
PC9DaXRlPjwvRW5kTm90ZT5=
</w:fldData>
        </w:fldChar>
      </w:r>
      <w:r>
        <w:instrText xml:space="preserve"> ADDIN EN.CITE </w:instrText>
      </w:r>
      <w:r>
        <w:fldChar w:fldCharType="begin">
          <w:fldData xml:space="preserve">PEVuZE5vdGU+PENpdGU+PEF1dGhvcj5HdWNodDwvQXV0aG9yPjxZZWFyPjIwMTc8L1llYXI+PFJl
Y051bT41MDQ4PC9SZWNOdW0+PERpc3BsYXlUZXh0PihHdWNodCwgQWRyaWFlbnMgZXQgYWwuIDIw
MTcpPC9EaXNwbGF5VGV4dD48cmVjb3JkPjxyZWMtbnVtYmVyPjUwNDg8L3JlYy1udW1iZXI+PGZv
cmVpZ24ta2V5cz48a2V5IGFwcD0iRU4iIGRiLWlkPSI5ejA1ZHowcHJhYWRmdWVlMHpveHplZGs5
emZlNWZ4eDUwejUiIHRpbWVzdGFtcD0iMTUyMzkyMDkxNCI+NTA0ODwva2V5PjxrZXkgYXBwPSJF
TldlYiIgZGItaWQ9IiI+MDwva2V5PjwvZm9yZWlnbi1rZXlzPjxyZWYtdHlwZSBuYW1lPSJKb3Vy
bmFsIEFydGljbGUiPjE3PC9yZWYtdHlwZT48Y29udHJpYnV0b3JzPjxhdXRob3JzPjxhdXRob3I+
R3VjaHQsIEQuIFYuPC9hdXRob3I+PGF1dGhvcj5BZHJpYWVucywgSy48L2F1dGhvcj48YXV0aG9y
PkJhZXllbnMsIEYuPC9hdXRob3I+PC9hdXRob3JzPjwvY29udHJpYnV0b3JzPjxhdXRoLWFkZHJl
c3M+QXBwbGllZCBQc3ljaG9sb2d5IFVuaXQsIFRob21hcyBNb3JlIE1lY2hlbGVuLUFudHdlcnAg
VW5pdmVyc2l0eSBDb2xsZWdlLCBNb2xlbnN0cmFhdCA4LCAyMDE4IEFudHdlcnAsIEJlbGdpdW0u
IGRpbnNrYS52YW5ndWNodEB0aG9tYXNtb3JlLmJlLiYjeEQ7RmFjdWx0eSBvZiBQc3ljaG9sb2d5
IGFuZCBFZHVjYXRpb25hbCBTY2llbmNlcywgS1UgTGV1dmVuLVVuaXZlcnNpdHkgb2YgTGV1dmVu
LCBUaWVuc2VzdHJhYXQgMTAyLCAzMDAwIExldXZlbiwgQmVsZ2l1bS4gZGluc2thLnZhbmd1Y2h0
QHRob21hc21vcmUuYmUuJiN4RDtGYWN1bHR5IG9mIFBzeWNob2xvZ3kgYW5kIEVkdWNhdGlvbmFs
IFNjaWVuY2VzLCBLVSBMZXV2ZW4tVW5pdmVyc2l0eSBvZiBMZXV2ZW4sIFRpZW5zZXN0cmFhdCAx
MDIsIDMwMDAgTGV1dmVuLCBCZWxnaXVtLiBrYXJvbGllbi5hZHJpYWVuc0BrdWxldXZlbi5iZS4m
I3hEO0ZhY3VsdHkgb2YgUHN5Y2hvbG9neSBhbmQgRWR1Y2F0aW9uYWwgU2NpZW5jZXMsIEtVIExl
dXZlbi1Vbml2ZXJzaXR5IG9mIExldXZlbiwgVGllbnNlc3RyYWF0IDEwMiwgMzAwMCBMZXV2ZW4s
IEJlbGdpdW0uIGZyYW5rLmJhZXllbnNAa3VsZXV2ZW4uYmUuPC9hdXRoLWFkZHJlc3M+PHRpdGxl
cz48dGl0bGU+T25saW5lIFZhcGUgU2hvcCBDdXN0b21lcnMgV2hvIFVzZSBFLUNpZ2FyZXR0ZXMg
UmVwb3J0IEFic3RpbmVuY2UgZnJvbSBTbW9raW5nIGFuZCBJbXByb3ZlZCBRdWFsaXR5IG9mIExp
ZmUsIEJ1dCBhIFN1YnN0YW50aWFsIE1pbm9yaXR5IFN0aWxsIEhhdmUgVmFwaW5nLVJlbGF0ZWQg
SGVhbHRoIENvbmNlcm5zPC90aXRsZT48c2Vjb25kYXJ5LXRpdGxlPkludCBKIEVudmlyb24gUmVz
IFB1YmxpYyBIZWFsdGg8L3NlY29uZGFyeS10aXRsZT48YWx0LXRpdGxlPkludGVybmF0aW9uYWwg
am91cm5hbCBvZiBlbnZpcm9ubWVudGFsIHJlc2VhcmNoIGFuZCBwdWJsaWMgaGVhbHRoPC9hbHQt
dGl0bGU+PC90aXRsZXM+PGFsdC1wZXJpb2RpY2FsPjxmdWxsLXRpdGxlPkludGVybmF0aW9uYWwg
Sm91cm5hbCBvZiBFbnZpcm9ubWVudGFsIFJlc2VhcmNoIGFuZCBQdWJsaWMgSGVhbHRoPC9mdWxs
LXRpdGxlPjwvYWx0LXBlcmlvZGljYWw+PHZvbHVtZT4xNDwvdm9sdW1lPjxudW1iZXI+NzwvbnVt
YmVyPjxlZGl0aW9uPjIwMTcvMDcvMTg8L2VkaXRpb24+PGtleXdvcmRzPjxrZXl3b3JkPkFkdWx0
PC9rZXl3b3JkPjxrZXl3b3JkPipFbGVjdHJvbmljIE5pY290aW5lIERlbGl2ZXJ5IFN5c3RlbXM8
L2tleXdvcmQ+PGtleXdvcmQ+RmVtYWxlPC9rZXl3b3JkPjxrZXl3b3JkPkh1bWFuczwva2V5d29y
ZD48a2V5d29yZD5NYWxlPC9rZXl3b3JkPjxrZXl3b3JkPk1pZGRsZSBBZ2VkPC9rZXl3b3JkPjxr
ZXl3b3JkPk5ldGhlcmxhbmRzPC9rZXl3b3JkPjxrZXl3b3JkPk5pY290aW5lL2FkbWluaXN0cmF0
aW9uICZhbXA7IGRvc2FnZTwva2V5d29yZD48a2V5d29yZD5QZXJjZXB0aW9uPC9rZXl3b3JkPjxr
ZXl3b3JkPlF1YWxpdHkgSW1wcm92ZW1lbnQ8L2tleXdvcmQ+PGtleXdvcmQ+UXVhbGl0eSBvZiBM
aWZlPC9rZXl3b3JkPjxrZXl3b3JkPlNtb2tpbmcgQ2Vzc2F0aW9uLyptZXRob2RzPC9rZXl3b3Jk
PjxrZXl3b3JkPlRvYmFjY28gU21va2luZy90aGVyYXB5PC9rZXl3b3JkPjxrZXl3b3JkPlRvYmFj
Y28gVXNlIERpc29yZGVyL3BzeWNob2xvZ3kvdGhlcmFweTwva2V5d29yZD48a2V5d29yZD4qVmFw
aW5nL3BzeWNob2xvZ3k8L2tleXdvcmQ+PGtleXdvcmQ+KmVsZWN0cm9uaWMgY2lnYXJldHRlPC9r
ZXl3b3JkPjxrZXl3b3JkPipvbmxpbmUgdmFwZSBzaG9wIGN1c3RvbWVyczwva2V5d29yZD48a2V5
d29yZD4qcGVyY2VwdGlvbjwva2V5d29yZD48a2V5d29yZD4qc21va2luZyBjZXNzYXRpb248L2tl
eXdvcmQ+PGtleXdvcmQ+KnZhcGluZzwva2V5d29yZD48a2V5d29yZD5hZHZvY2F0ZXMgZm9yIGUt
Y2lnLWJhc2VkIFRIUi48L2tleXdvcmQ+PC9rZXl3b3Jkcz48ZGF0ZXM+PHllYXI+MjAxNzwveWVh
cj48cHViLWRhdGVzPjxkYXRlPkp1bCAxNzwvZGF0ZT48L3B1Yi1kYXRlcz48L2RhdGVzPjxpc2Ju
PjE2NjAtNDYwMTwvaXNibj48YWNjZXNzaW9uLW51bT4yODcxNDkxNDwvYWNjZXNzaW9uLW51bT48
dXJscz48cmVsYXRlZC11cmxzPjx1cmw+aHR0cDovL3d3dy5tZHBpLmNvbS8xNjYwLTQ2MDEvMTQv
Ny83OTgvcGRmPC91cmw+PC9yZWxhdGVkLXVybHM+PC91cmxzPjxjdXN0b20yPlBNQzU1NTEyMzY8
L2N1c3RvbTI+PGVsZWN0cm9uaWMtcmVzb3VyY2UtbnVtPjEwLjMzOTAvaWplcnBoMTQwNzA3OTg8
L2VsZWN0cm9uaWMtcmVzb3VyY2UtbnVtPjxyZW1vdGUtZGF0YWJhc2UtcHJvdmlkZXI+TkxNPC9y
ZW1vdGUtZGF0YWJhc2UtcHJvdmlkZXI+PGxhbmd1YWdlPmVuZzwvbGFuZ3VhZ2U+PC9yZWNvcmQ+
PC9DaXRlPjwvRW5kTm90ZT5=
</w:fldData>
        </w:fldChar>
      </w:r>
      <w:r>
        <w:instrText xml:space="preserve"> ADDIN EN.CITE.DATA </w:instrText>
      </w:r>
      <w:r>
        <w:fldChar w:fldCharType="end"/>
      </w:r>
      <w:r>
        <w:fldChar w:fldCharType="separate"/>
      </w:r>
      <w:r>
        <w:rPr>
          <w:noProof/>
        </w:rPr>
        <w:t>(Gucht, Adriaens et al. 2017)</w:t>
      </w:r>
      <w:r>
        <w:fldChar w:fldCharType="end"/>
      </w:r>
      <w:r>
        <w:t>. In this survey, 99% of participants had ever smoked and 16.7% were current smokers. 93.6% of the participants were ‘regular vapers’ and 73% of surveyed participants were ‘mainly using e</w:t>
      </w:r>
      <w:r>
        <w:noBreakHyphen/>
        <w:t>cigarettes to quit smoking’ (95% CI, 0.67, 0.79). Other reasons for e</w:t>
      </w:r>
      <w:r>
        <w:noBreakHyphen/>
        <w:t>cigarette use included ‘</w:t>
      </w:r>
      <w:r w:rsidRPr="00AE7ED9">
        <w:t>because it is healthier than smoking</w:t>
      </w:r>
      <w:r>
        <w:t>’</w:t>
      </w:r>
      <w:r w:rsidRPr="00AE7ED9">
        <w:t xml:space="preserve"> (57.4%), </w:t>
      </w:r>
      <w:r>
        <w:t>‘</w:t>
      </w:r>
      <w:r w:rsidRPr="00AE7ED9">
        <w:t>because of financial reasons</w:t>
      </w:r>
      <w:r>
        <w:t>’</w:t>
      </w:r>
      <w:r w:rsidRPr="00AE7ED9">
        <w:t xml:space="preserve"> (27.7%), </w:t>
      </w:r>
      <w:r>
        <w:t xml:space="preserve">‘to decrease </w:t>
      </w:r>
      <w:r w:rsidRPr="00AE7ED9">
        <w:t>tobacco cigarette consumption</w:t>
      </w:r>
      <w:r>
        <w:t>’</w:t>
      </w:r>
      <w:r w:rsidRPr="00AE7ED9">
        <w:t xml:space="preserve"> (16.9%), </w:t>
      </w:r>
      <w:r>
        <w:t>‘</w:t>
      </w:r>
      <w:r w:rsidRPr="00AE7ED9">
        <w:t>because smoking is prohibited in several contexts</w:t>
      </w:r>
      <w:r>
        <w:t>’</w:t>
      </w:r>
      <w:r w:rsidRPr="00AE7ED9">
        <w:t xml:space="preserve"> (15.9%</w:t>
      </w:r>
      <w:r>
        <w:t xml:space="preserve">), and ‘out of curiosity’ (14.4%) </w:t>
      </w:r>
      <w:r>
        <w:fldChar w:fldCharType="begin">
          <w:fldData xml:space="preserve">PEVuZE5vdGU+PENpdGU+PEF1dGhvcj5HdWNodDwvQXV0aG9yPjxZZWFyPjIwMTc8L1llYXI+PFJl
Y051bT41MDQ4PC9SZWNOdW0+PERpc3BsYXlUZXh0PihHdWNodCwgQWRyaWFlbnMgZXQgYWwuIDIw
MTcpPC9EaXNwbGF5VGV4dD48cmVjb3JkPjxyZWMtbnVtYmVyPjUwNDg8L3JlYy1udW1iZXI+PGZv
cmVpZ24ta2V5cz48a2V5IGFwcD0iRU4iIGRiLWlkPSI5ejA1ZHowcHJhYWRmdWVlMHpveHplZGs5
emZlNWZ4eDUwejUiIHRpbWVzdGFtcD0iMTUyMzkyMDkxNCI+NTA0ODwva2V5PjxrZXkgYXBwPSJF
TldlYiIgZGItaWQ9IiI+MDwva2V5PjwvZm9yZWlnbi1rZXlzPjxyZWYtdHlwZSBuYW1lPSJKb3Vy
bmFsIEFydGljbGUiPjE3PC9yZWYtdHlwZT48Y29udHJpYnV0b3JzPjxhdXRob3JzPjxhdXRob3I+
R3VjaHQsIEQuIFYuPC9hdXRob3I+PGF1dGhvcj5BZHJpYWVucywgSy48L2F1dGhvcj48YXV0aG9y
PkJhZXllbnMsIEYuPC9hdXRob3I+PC9hdXRob3JzPjwvY29udHJpYnV0b3JzPjxhdXRoLWFkZHJl
c3M+QXBwbGllZCBQc3ljaG9sb2d5IFVuaXQsIFRob21hcyBNb3JlIE1lY2hlbGVuLUFudHdlcnAg
VW5pdmVyc2l0eSBDb2xsZWdlLCBNb2xlbnN0cmFhdCA4LCAyMDE4IEFudHdlcnAsIEJlbGdpdW0u
IGRpbnNrYS52YW5ndWNodEB0aG9tYXNtb3JlLmJlLiYjeEQ7RmFjdWx0eSBvZiBQc3ljaG9sb2d5
IGFuZCBFZHVjYXRpb25hbCBTY2llbmNlcywgS1UgTGV1dmVuLVVuaXZlcnNpdHkgb2YgTGV1dmVu
LCBUaWVuc2VzdHJhYXQgMTAyLCAzMDAwIExldXZlbiwgQmVsZ2l1bS4gZGluc2thLnZhbmd1Y2h0
QHRob21hc21vcmUuYmUuJiN4RDtGYWN1bHR5IG9mIFBzeWNob2xvZ3kgYW5kIEVkdWNhdGlvbmFs
IFNjaWVuY2VzLCBLVSBMZXV2ZW4tVW5pdmVyc2l0eSBvZiBMZXV2ZW4sIFRpZW5zZXN0cmFhdCAx
MDIsIDMwMDAgTGV1dmVuLCBCZWxnaXVtLiBrYXJvbGllbi5hZHJpYWVuc0BrdWxldXZlbi5iZS4m
I3hEO0ZhY3VsdHkgb2YgUHN5Y2hvbG9neSBhbmQgRWR1Y2F0aW9uYWwgU2NpZW5jZXMsIEtVIExl
dXZlbi1Vbml2ZXJzaXR5IG9mIExldXZlbiwgVGllbnNlc3RyYWF0IDEwMiwgMzAwMCBMZXV2ZW4s
IEJlbGdpdW0uIGZyYW5rLmJhZXllbnNAa3VsZXV2ZW4uYmUuPC9hdXRoLWFkZHJlc3M+PHRpdGxl
cz48dGl0bGU+T25saW5lIFZhcGUgU2hvcCBDdXN0b21lcnMgV2hvIFVzZSBFLUNpZ2FyZXR0ZXMg
UmVwb3J0IEFic3RpbmVuY2UgZnJvbSBTbW9raW5nIGFuZCBJbXByb3ZlZCBRdWFsaXR5IG9mIExp
ZmUsIEJ1dCBhIFN1YnN0YW50aWFsIE1pbm9yaXR5IFN0aWxsIEhhdmUgVmFwaW5nLVJlbGF0ZWQg
SGVhbHRoIENvbmNlcm5zPC90aXRsZT48c2Vjb25kYXJ5LXRpdGxlPkludCBKIEVudmlyb24gUmVz
IFB1YmxpYyBIZWFsdGg8L3NlY29uZGFyeS10aXRsZT48YWx0LXRpdGxlPkludGVybmF0aW9uYWwg
am91cm5hbCBvZiBlbnZpcm9ubWVudGFsIHJlc2VhcmNoIGFuZCBwdWJsaWMgaGVhbHRoPC9hbHQt
dGl0bGU+PC90aXRsZXM+PGFsdC1wZXJpb2RpY2FsPjxmdWxsLXRpdGxlPkludGVybmF0aW9uYWwg
Sm91cm5hbCBvZiBFbnZpcm9ubWVudGFsIFJlc2VhcmNoIGFuZCBQdWJsaWMgSGVhbHRoPC9mdWxs
LXRpdGxlPjwvYWx0LXBlcmlvZGljYWw+PHZvbHVtZT4xNDwvdm9sdW1lPjxudW1iZXI+NzwvbnVt
YmVyPjxlZGl0aW9uPjIwMTcvMDcvMTg8L2VkaXRpb24+PGtleXdvcmRzPjxrZXl3b3JkPkFkdWx0
PC9rZXl3b3JkPjxrZXl3b3JkPipFbGVjdHJvbmljIE5pY290aW5lIERlbGl2ZXJ5IFN5c3RlbXM8
L2tleXdvcmQ+PGtleXdvcmQ+RmVtYWxlPC9rZXl3b3JkPjxrZXl3b3JkPkh1bWFuczwva2V5d29y
ZD48a2V5d29yZD5NYWxlPC9rZXl3b3JkPjxrZXl3b3JkPk1pZGRsZSBBZ2VkPC9rZXl3b3JkPjxr
ZXl3b3JkPk5ldGhlcmxhbmRzPC9rZXl3b3JkPjxrZXl3b3JkPk5pY290aW5lL2FkbWluaXN0cmF0
aW9uICZhbXA7IGRvc2FnZTwva2V5d29yZD48a2V5d29yZD5QZXJjZXB0aW9uPC9rZXl3b3JkPjxr
ZXl3b3JkPlF1YWxpdHkgSW1wcm92ZW1lbnQ8L2tleXdvcmQ+PGtleXdvcmQ+UXVhbGl0eSBvZiBM
aWZlPC9rZXl3b3JkPjxrZXl3b3JkPlNtb2tpbmcgQ2Vzc2F0aW9uLyptZXRob2RzPC9rZXl3b3Jk
PjxrZXl3b3JkPlRvYmFjY28gU21va2luZy90aGVyYXB5PC9rZXl3b3JkPjxrZXl3b3JkPlRvYmFj
Y28gVXNlIERpc29yZGVyL3BzeWNob2xvZ3kvdGhlcmFweTwva2V5d29yZD48a2V5d29yZD4qVmFw
aW5nL3BzeWNob2xvZ3k8L2tleXdvcmQ+PGtleXdvcmQ+KmVsZWN0cm9uaWMgY2lnYXJldHRlPC9r
ZXl3b3JkPjxrZXl3b3JkPipvbmxpbmUgdmFwZSBzaG9wIGN1c3RvbWVyczwva2V5d29yZD48a2V5
d29yZD4qcGVyY2VwdGlvbjwva2V5d29yZD48a2V5d29yZD4qc21va2luZyBjZXNzYXRpb248L2tl
eXdvcmQ+PGtleXdvcmQ+KnZhcGluZzwva2V5d29yZD48a2V5d29yZD5hZHZvY2F0ZXMgZm9yIGUt
Y2lnLWJhc2VkIFRIUi48L2tleXdvcmQ+PC9rZXl3b3Jkcz48ZGF0ZXM+PHllYXI+MjAxNzwveWVh
cj48cHViLWRhdGVzPjxkYXRlPkp1bCAxNzwvZGF0ZT48L3B1Yi1kYXRlcz48L2RhdGVzPjxpc2Ju
PjE2NjAtNDYwMTwvaXNibj48YWNjZXNzaW9uLW51bT4yODcxNDkxNDwvYWNjZXNzaW9uLW51bT48
dXJscz48cmVsYXRlZC11cmxzPjx1cmw+aHR0cDovL3d3dy5tZHBpLmNvbS8xNjYwLTQ2MDEvMTQv
Ny83OTgvcGRmPC91cmw+PC9yZWxhdGVkLXVybHM+PC91cmxzPjxjdXN0b20yPlBNQzU1NTEyMzY8
L2N1c3RvbTI+PGVsZWN0cm9uaWMtcmVzb3VyY2UtbnVtPjEwLjMzOTAvaWplcnBoMTQwNzA3OTg8
L2VsZWN0cm9uaWMtcmVzb3VyY2UtbnVtPjxyZW1vdGUtZGF0YWJhc2UtcHJvdmlkZXI+TkxNPC9y
ZW1vdGUtZGF0YWJhc2UtcHJvdmlkZXI+PGxhbmd1YWdlPmVuZzwvbGFuZ3VhZ2U+PC9yZWNvcmQ+
PC9DaXRlPjwvRW5kTm90ZT5=
</w:fldData>
        </w:fldChar>
      </w:r>
      <w:r>
        <w:instrText xml:space="preserve"> ADDIN EN.CITE </w:instrText>
      </w:r>
      <w:r>
        <w:fldChar w:fldCharType="begin">
          <w:fldData xml:space="preserve">PEVuZE5vdGU+PENpdGU+PEF1dGhvcj5HdWNodDwvQXV0aG9yPjxZZWFyPjIwMTc8L1llYXI+PFJl
Y051bT41MDQ4PC9SZWNOdW0+PERpc3BsYXlUZXh0PihHdWNodCwgQWRyaWFlbnMgZXQgYWwuIDIw
MTcpPC9EaXNwbGF5VGV4dD48cmVjb3JkPjxyZWMtbnVtYmVyPjUwNDg8L3JlYy1udW1iZXI+PGZv
cmVpZ24ta2V5cz48a2V5IGFwcD0iRU4iIGRiLWlkPSI5ejA1ZHowcHJhYWRmdWVlMHpveHplZGs5
emZlNWZ4eDUwejUiIHRpbWVzdGFtcD0iMTUyMzkyMDkxNCI+NTA0ODwva2V5PjxrZXkgYXBwPSJF
TldlYiIgZGItaWQ9IiI+MDwva2V5PjwvZm9yZWlnbi1rZXlzPjxyZWYtdHlwZSBuYW1lPSJKb3Vy
bmFsIEFydGljbGUiPjE3PC9yZWYtdHlwZT48Y29udHJpYnV0b3JzPjxhdXRob3JzPjxhdXRob3I+
R3VjaHQsIEQuIFYuPC9hdXRob3I+PGF1dGhvcj5BZHJpYWVucywgSy48L2F1dGhvcj48YXV0aG9y
PkJhZXllbnMsIEYuPC9hdXRob3I+PC9hdXRob3JzPjwvY29udHJpYnV0b3JzPjxhdXRoLWFkZHJl
c3M+QXBwbGllZCBQc3ljaG9sb2d5IFVuaXQsIFRob21hcyBNb3JlIE1lY2hlbGVuLUFudHdlcnAg
VW5pdmVyc2l0eSBDb2xsZWdlLCBNb2xlbnN0cmFhdCA4LCAyMDE4IEFudHdlcnAsIEJlbGdpdW0u
IGRpbnNrYS52YW5ndWNodEB0aG9tYXNtb3JlLmJlLiYjeEQ7RmFjdWx0eSBvZiBQc3ljaG9sb2d5
IGFuZCBFZHVjYXRpb25hbCBTY2llbmNlcywgS1UgTGV1dmVuLVVuaXZlcnNpdHkgb2YgTGV1dmVu
LCBUaWVuc2VzdHJhYXQgMTAyLCAzMDAwIExldXZlbiwgQmVsZ2l1bS4gZGluc2thLnZhbmd1Y2h0
QHRob21hc21vcmUuYmUuJiN4RDtGYWN1bHR5IG9mIFBzeWNob2xvZ3kgYW5kIEVkdWNhdGlvbmFs
IFNjaWVuY2VzLCBLVSBMZXV2ZW4tVW5pdmVyc2l0eSBvZiBMZXV2ZW4sIFRpZW5zZXN0cmFhdCAx
MDIsIDMwMDAgTGV1dmVuLCBCZWxnaXVtLiBrYXJvbGllbi5hZHJpYWVuc0BrdWxldXZlbi5iZS4m
I3hEO0ZhY3VsdHkgb2YgUHN5Y2hvbG9neSBhbmQgRWR1Y2F0aW9uYWwgU2NpZW5jZXMsIEtVIExl
dXZlbi1Vbml2ZXJzaXR5IG9mIExldXZlbiwgVGllbnNlc3RyYWF0IDEwMiwgMzAwMCBMZXV2ZW4s
IEJlbGdpdW0uIGZyYW5rLmJhZXllbnNAa3VsZXV2ZW4uYmUuPC9hdXRoLWFkZHJlc3M+PHRpdGxl
cz48dGl0bGU+T25saW5lIFZhcGUgU2hvcCBDdXN0b21lcnMgV2hvIFVzZSBFLUNpZ2FyZXR0ZXMg
UmVwb3J0IEFic3RpbmVuY2UgZnJvbSBTbW9raW5nIGFuZCBJbXByb3ZlZCBRdWFsaXR5IG9mIExp
ZmUsIEJ1dCBhIFN1YnN0YW50aWFsIE1pbm9yaXR5IFN0aWxsIEhhdmUgVmFwaW5nLVJlbGF0ZWQg
SGVhbHRoIENvbmNlcm5zPC90aXRsZT48c2Vjb25kYXJ5LXRpdGxlPkludCBKIEVudmlyb24gUmVz
IFB1YmxpYyBIZWFsdGg8L3NlY29uZGFyeS10aXRsZT48YWx0LXRpdGxlPkludGVybmF0aW9uYWwg
am91cm5hbCBvZiBlbnZpcm9ubWVudGFsIHJlc2VhcmNoIGFuZCBwdWJsaWMgaGVhbHRoPC9hbHQt
dGl0bGU+PC90aXRsZXM+PGFsdC1wZXJpb2RpY2FsPjxmdWxsLXRpdGxlPkludGVybmF0aW9uYWwg
Sm91cm5hbCBvZiBFbnZpcm9ubWVudGFsIFJlc2VhcmNoIGFuZCBQdWJsaWMgSGVhbHRoPC9mdWxs
LXRpdGxlPjwvYWx0LXBlcmlvZGljYWw+PHZvbHVtZT4xNDwvdm9sdW1lPjxudW1iZXI+NzwvbnVt
YmVyPjxlZGl0aW9uPjIwMTcvMDcvMTg8L2VkaXRpb24+PGtleXdvcmRzPjxrZXl3b3JkPkFkdWx0
PC9rZXl3b3JkPjxrZXl3b3JkPipFbGVjdHJvbmljIE5pY290aW5lIERlbGl2ZXJ5IFN5c3RlbXM8
L2tleXdvcmQ+PGtleXdvcmQ+RmVtYWxlPC9rZXl3b3JkPjxrZXl3b3JkPkh1bWFuczwva2V5d29y
ZD48a2V5d29yZD5NYWxlPC9rZXl3b3JkPjxrZXl3b3JkPk1pZGRsZSBBZ2VkPC9rZXl3b3JkPjxr
ZXl3b3JkPk5ldGhlcmxhbmRzPC9rZXl3b3JkPjxrZXl3b3JkPk5pY290aW5lL2FkbWluaXN0cmF0
aW9uICZhbXA7IGRvc2FnZTwva2V5d29yZD48a2V5d29yZD5QZXJjZXB0aW9uPC9rZXl3b3JkPjxr
ZXl3b3JkPlF1YWxpdHkgSW1wcm92ZW1lbnQ8L2tleXdvcmQ+PGtleXdvcmQ+UXVhbGl0eSBvZiBM
aWZlPC9rZXl3b3JkPjxrZXl3b3JkPlNtb2tpbmcgQ2Vzc2F0aW9uLyptZXRob2RzPC9rZXl3b3Jk
PjxrZXl3b3JkPlRvYmFjY28gU21va2luZy90aGVyYXB5PC9rZXl3b3JkPjxrZXl3b3JkPlRvYmFj
Y28gVXNlIERpc29yZGVyL3BzeWNob2xvZ3kvdGhlcmFweTwva2V5d29yZD48a2V5d29yZD4qVmFw
aW5nL3BzeWNob2xvZ3k8L2tleXdvcmQ+PGtleXdvcmQ+KmVsZWN0cm9uaWMgY2lnYXJldHRlPC9r
ZXl3b3JkPjxrZXl3b3JkPipvbmxpbmUgdmFwZSBzaG9wIGN1c3RvbWVyczwva2V5d29yZD48a2V5
d29yZD4qcGVyY2VwdGlvbjwva2V5d29yZD48a2V5d29yZD4qc21va2luZyBjZXNzYXRpb248L2tl
eXdvcmQ+PGtleXdvcmQ+KnZhcGluZzwva2V5d29yZD48a2V5d29yZD5hZHZvY2F0ZXMgZm9yIGUt
Y2lnLWJhc2VkIFRIUi48L2tleXdvcmQ+PC9rZXl3b3Jkcz48ZGF0ZXM+PHllYXI+MjAxNzwveWVh
cj48cHViLWRhdGVzPjxkYXRlPkp1bCAxNzwvZGF0ZT48L3B1Yi1kYXRlcz48L2RhdGVzPjxpc2Ju
PjE2NjAtNDYwMTwvaXNibj48YWNjZXNzaW9uLW51bT4yODcxNDkxNDwvYWNjZXNzaW9uLW51bT48
dXJscz48cmVsYXRlZC11cmxzPjx1cmw+aHR0cDovL3d3dy5tZHBpLmNvbS8xNjYwLTQ2MDEvMTQv
Ny83OTgvcGRmPC91cmw+PC9yZWxhdGVkLXVybHM+PC91cmxzPjxjdXN0b20yPlBNQzU1NTEyMzY8
L2N1c3RvbTI+PGVsZWN0cm9uaWMtcmVzb3VyY2UtbnVtPjEwLjMzOTAvaWplcnBoMTQwNzA3OTg8
L2VsZWN0cm9uaWMtcmVzb3VyY2UtbnVtPjxyZW1vdGUtZGF0YWJhc2UtcHJvdmlkZXI+TkxNPC9y
ZW1vdGUtZGF0YWJhc2UtcHJvdmlkZXI+PGxhbmd1YWdlPmVuZzwvbGFuZ3VhZ2U+PC9yZWNvcmQ+
PC9DaXRlPjwvRW5kTm90ZT5=
</w:fldData>
        </w:fldChar>
      </w:r>
      <w:r>
        <w:instrText xml:space="preserve"> ADDIN EN.CITE.DATA </w:instrText>
      </w:r>
      <w:r>
        <w:fldChar w:fldCharType="end"/>
      </w:r>
      <w:r>
        <w:fldChar w:fldCharType="separate"/>
      </w:r>
      <w:r>
        <w:rPr>
          <w:noProof/>
        </w:rPr>
        <w:t>(Gucht, Adriaens et al. 2017)</w:t>
      </w:r>
      <w:r>
        <w:fldChar w:fldCharType="end"/>
      </w:r>
      <w:r>
        <w:t>. However, the poor response rate (16%) and recruitment method limits the applicability of these findings to all e</w:t>
      </w:r>
      <w:r>
        <w:noBreakHyphen/>
        <w:t xml:space="preserve">cigarette users from the Netherlands. </w:t>
      </w:r>
    </w:p>
    <w:p w14:paraId="7B795044" w14:textId="77777777" w:rsidR="00235C5A" w:rsidRDefault="00235C5A" w:rsidP="00235C5A">
      <w:pPr>
        <w:pStyle w:val="BodyText"/>
      </w:pPr>
      <w:r>
        <w:t>The second survey recruited 320 online and in</w:t>
      </w:r>
      <w:r>
        <w:noBreakHyphen/>
        <w:t>store US vape shop customers, who were never (6%), former (74%) or current smokers (20%). All were current e</w:t>
      </w:r>
      <w:r>
        <w:noBreakHyphen/>
        <w:t xml:space="preserve">cigarette users </w:t>
      </w:r>
      <w:r>
        <w:fldChar w:fldCharType="begin">
          <w:fldData xml:space="preserve">PEVuZE5vdGU+PENpdGU+PEF1dGhvcj5TdXNzYW48L0F1dGhvcj48WWVhcj4yMDE3PC9ZZWFyPjxS
ZWNOdW0+NDk1NzwvUmVjTnVtPjxEaXNwbGF5VGV4dD4oU3Vzc2FuLCBTaGFoemFkIGV0IGFsLiAy
MDE3KTwvRGlzcGxheVRleHQ+PHJlY29yZD48cmVjLW51bWJlcj40OTU3PC9yZWMtbnVtYmVyPjxm
b3JlaWduLWtleXM+PGtleSBhcHA9IkVOIiBkYi1pZD0iOXowNWR6MHByYWFkZnVlZTB6b3h6ZWRr
OXpmZTVmeHg1MHo1IiB0aW1lc3RhbXA9IjE1MjM5MjA5MDAiPjQ5NTc8L2tleT48a2V5IGFwcD0i
RU5XZWIiIGRiLWlkPSIiPjA8L2tleT48L2ZvcmVpZ24ta2V5cz48cmVmLXR5cGUgbmFtZT0iSm91
cm5hbCBBcnRpY2xlIj4xNzwvcmVmLXR5cGU+PGNvbnRyaWJ1dG9ycz48YXV0aG9ycz48YXV0aG9y
PlN1c3NhbiwgVC4gRS48L2F1dGhvcj48YXV0aG9yPlNoYWh6YWQsIEYuIEcuPC9hdXRob3I+PGF1
dGhvcj5UYWJhc3N1bSwgRS48L2F1dGhvcj48YXV0aG9yPkNvaGVuLCBKLiBFLjwvYXV0aG9yPjxh
dXRob3I+V2lzZSwgUi4gQS48L2F1dGhvcj48YXV0aG9yPkJsYWhhLCBNLiBKLjwvYXV0aG9yPjxh
dXRob3I+SG9sYnJvb2ssIEouIFQuPC9hdXRob3I+PGF1dGhvcj5CaXN3YWwsIFMuPC9hdXRob3I+
PC9hdXRob3JzPjwvY29udHJpYnV0b3JzPjxhdXRoLWFkZHJlc3M+RGVwYXJ0bWVudCBvZiBFbnZp
cm9ubWVudGFsIEhlYWx0aCBhbmQgRW5naW5lZXJpbmcsIEpvaG5zIEhvcGtpbnMgQmxvb21iZXJn
IFNjaG9vbCBvZiBQdWJsaWMgSGVhbHRoLCA2MTUgTi4gV29sZmUgU3RyZWV0LCBCYWx0aW1vcmUs
IE1ELCBVU0EuJiN4RDtQcmVzZW50IEFkZHJlc3M6IFVuaXRlZCBTdGF0ZXMgQXJteSBQdWJsaWMg
SGVhbHRoIENlbnRlciwgVG94aWNvbG9neSBEaXJlY3RvcmF0ZSwgQWJlcmRlZW4gUHJvdmluZyBH
cm91bmQsIEFiZXJkZWVuLCBNRCwgVVNBLiYjeEQ7RGVwYXJ0bWVudCBvZiBIZWFsdGgsIEJlaGF2
aW9yIGFuZCBTb2NpZXR5LCBJbnN0aXR1dGUgZm9yIEdsb2JhbCBUb2JhY2NvIENvbnRyb2wsIEpv
aG5zIEhvcGtpbnMgQmxvb21iZXJnIFNjaG9vbCBvZiBQdWJsaWMgSGVhbHRoLCBCYWx0aW1vcmUs
IE1ELCBVU0EuJiN4RDtEZXBhcnRtZW50IG9mIE1lZGljaW5lLCBEaXZpc2lvbiBvZiBQdWxtb25h
cnkgYW5kIENyaXRpY2FsIENhcmUgTWVkaWNpbmUsIEpvaG5zIEhvcGtpbnMgU2Nob29sIG9mIE1l
ZGljaW5lLCBCYWx0aW1vcmUsIE1ELCBVU0EuJiN4RDtEZXBhcnRtZW50IG9mIE1lZGljaW5lLCBD
aWNjYXJvbmUgQ2VudGVyIGZvciB0aGUgUHJldmVudGlvbiBvZiBIZWFydCBEaXNlYXNlLCBKb2hu
cyBIb3BraW5zIFNjaG9vbCBvZiBNZWRpY2luZSwgQmFsdGltb3JlLCBNRCwgVVNBLiYjeEQ7RGVw
YXJ0bWVudCBvZiBFcGlkZW1pb2xvZ3ksIENlbnRlciBmb3IgQ2xpbmljYWwgVHJpYWxzIGFuZCBF
dmlkZW5jZSBTeW50aGVzaXMsIEpvaG5zIEhvcGtpbnMgQmxvb21iZXJnIFNjaG9vbCBvZiBQdWJs
aWMgSGVhbHRoLCBCYWx0aW1vcmUsIE1ELCBVU0EuJiN4RDtEZXBhcnRtZW50IG9mIEVudmlyb25t
ZW50YWwgSGVhbHRoIGFuZCBFbmdpbmVlcmluZywgSm9obnMgSG9wa2lucyBCbG9vbWJlcmcgU2No
b29sIG9mIFB1YmxpYyBIZWFsdGgsIDYxNSBOLiBXb2xmZSBTdHJlZXQsIEJhbHRpbW9yZSwgTUQs
IFVTQS4gc2Jpc3dhbEBqaHUuZWR1LjwvYXV0aC1hZGRyZXNzPjx0aXRsZXM+PHRpdGxlPkVsZWN0
cm9uaWMgY2lnYXJldHRlIHVzZSBiZWhhdmlvcnMgYW5kIG1vdGl2YXRpb25zIGFtb25nIHNtb2tl
cnMgYW5kIG5vbi1zbW9rZXJzPC90aXRsZT48c2Vjb25kYXJ5LXRpdGxlPkJNQyBQdWJsaWMgSGVh
bHRoPC9zZWNvbmRhcnktdGl0bGU+PGFsdC10aXRsZT5CTUMgcHVibGljIGhlYWx0aDwvYWx0LXRp
dGxlPjwvdGl0bGVzPjxwZXJpb2RpY2FsPjxmdWxsLXRpdGxlPkJtYyBQdWJsaWMgSGVhbHRoPC9m
dWxsLXRpdGxlPjwvcGVyaW9kaWNhbD48YWx0LXBlcmlvZGljYWw+PGZ1bGwtdGl0bGU+Qm1jIFB1
YmxpYyBIZWFsdGg8L2Z1bGwtdGl0bGU+PC9hbHQtcGVyaW9kaWNhbD48cGFnZXM+Njg2PC9wYWdl
cz48dm9sdW1lPjE3PC92b2x1bWU+PG51bWJlcj4xPC9udW1iZXI+PGVkaXRpb24+MjAxNy8wOS8w
OTwvZWRpdGlvbj48a2V5d29yZHM+PGtleXdvcmQ+QWRvbGVzY2VudDwva2V5d29yZD48a2V5d29y
ZD5BZHVsdDwva2V5d29yZD48a2V5d29yZD5CYWx0aW1vcmUvZXBpZGVtaW9sb2d5PC9rZXl3b3Jk
PjxrZXl3b3JkPkZlbWFsZTwva2V5d29yZD48a2V5d29yZD5IZWFsdGggU3VydmV5czwva2V5d29y
ZD48a2V5d29yZD5IdW1hbnM8L2tleXdvcmQ+PGtleXdvcmQ+TWFsZTwva2V5d29yZD48a2V5d29y
ZD4qTW90aXZhdGlvbjwva2V5d29yZD48a2V5d29yZD5TbW9rZXJzLypwc3ljaG9sb2d5L3N0YXRp
c3RpY3MgJmFtcDsgbnVtZXJpY2FsIGRhdGE8L2tleXdvcmQ+PGtleXdvcmQ+U21va2luZy8qZXBp
ZGVtaW9sb2d5Lypwc3ljaG9sb2d5PC9rZXl3b3JkPjxrZXl3b3JkPlZhcGluZy8qcHN5Y2hvbG9n
eTwva2V5d29yZD48a2V5d29yZD5Zb3VuZyBBZHVsdDwva2V5d29yZD48a2V5d29yZD4qQmFsdGlt
b3JlPC9rZXl3b3JkPjxrZXl3b3JkPipFbGVjdHJvbmljIGNpZ2FyZXR0ZXM8L2tleXdvcmQ+PGtl
eXdvcmQ+Kk1hcnlsYW5kPC9rZXl3b3JkPjxrZXl3b3JkPipQcmVmZXJlbmNlczwva2V5d29yZD48
a2V5d29yZD4qU21va2Vyczwva2V5d29yZD48a2V5d29yZD4qU3VydmV5PC9rZXl3b3JkPjxrZXl3
b3JkPipWYXBvcjwva2V5d29yZD48L2tleXdvcmRzPjxkYXRlcz48eWVhcj4yMDE3PC95ZWFyPjxw
dWItZGF0ZXM+PGRhdGU+U2VwIDg8L2RhdGU+PC9wdWItZGF0ZXM+PC9kYXRlcz48aXNibj4xNDcx
LTI0NTg8L2lzYm4+PGFjY2Vzc2lvbi1udW0+Mjg4ODIxMjM8L2FjY2Vzc2lvbi1udW0+PHVybHM+
PHJlbGF0ZWQtdXJscz48dXJsPmh0dHBzOi8vd3d3Lm5jYmkubmxtLm5paC5nb3YvcG1jL2FydGlj
bGVzL1BNQzU1OTAxMjMvcGRmLzEyODg5XzIwMTdfQXJ0aWNsZV80NjcxLnBkZjwvdXJsPjwvcmVs
YXRlZC11cmxzPjwvdXJscz48Y3VzdG9tMj5QTUM1NTkwMTIzPC9jdXN0b20yPjxlbGVjdHJvbmlj
LXJlc291cmNlLW51bT4xMC4xMTg2L3MxMjg4OS0wMTctNDY3MS0zPC9lbGVjdHJvbmljLXJlc291
cmNlLW51bT48cmVtb3RlLWRhdGFiYXNlLXByb3ZpZGVyPk5MTTwvcmVtb3RlLWRhdGFiYXNlLXBy
b3ZpZGVyPjxsYW5ndWFnZT5lbmc8L2xhbmd1YWdlPjwvcmVjb3JkPjwvQ2l0ZT48L0VuZE5vdGU+
AG==
</w:fldData>
        </w:fldChar>
      </w:r>
      <w:r>
        <w:instrText xml:space="preserve"> ADDIN EN.CITE </w:instrText>
      </w:r>
      <w:r>
        <w:fldChar w:fldCharType="begin">
          <w:fldData xml:space="preserve">PEVuZE5vdGU+PENpdGU+PEF1dGhvcj5TdXNzYW48L0F1dGhvcj48WWVhcj4yMDE3PC9ZZWFyPjxS
ZWNOdW0+NDk1NzwvUmVjTnVtPjxEaXNwbGF5VGV4dD4oU3Vzc2FuLCBTaGFoemFkIGV0IGFsLiAy
MDE3KTwvRGlzcGxheVRleHQ+PHJlY29yZD48cmVjLW51bWJlcj40OTU3PC9yZWMtbnVtYmVyPjxm
b3JlaWduLWtleXM+PGtleSBhcHA9IkVOIiBkYi1pZD0iOXowNWR6MHByYWFkZnVlZTB6b3h6ZWRr
OXpmZTVmeHg1MHo1IiB0aW1lc3RhbXA9IjE1MjM5MjA5MDAiPjQ5NTc8L2tleT48a2V5IGFwcD0i
RU5XZWIiIGRiLWlkPSIiPjA8L2tleT48L2ZvcmVpZ24ta2V5cz48cmVmLXR5cGUgbmFtZT0iSm91
cm5hbCBBcnRpY2xlIj4xNzwvcmVmLXR5cGU+PGNvbnRyaWJ1dG9ycz48YXV0aG9ycz48YXV0aG9y
PlN1c3NhbiwgVC4gRS48L2F1dGhvcj48YXV0aG9yPlNoYWh6YWQsIEYuIEcuPC9hdXRob3I+PGF1
dGhvcj5UYWJhc3N1bSwgRS48L2F1dGhvcj48YXV0aG9yPkNvaGVuLCBKLiBFLjwvYXV0aG9yPjxh
dXRob3I+V2lzZSwgUi4gQS48L2F1dGhvcj48YXV0aG9yPkJsYWhhLCBNLiBKLjwvYXV0aG9yPjxh
dXRob3I+SG9sYnJvb2ssIEouIFQuPC9hdXRob3I+PGF1dGhvcj5CaXN3YWwsIFMuPC9hdXRob3I+
PC9hdXRob3JzPjwvY29udHJpYnV0b3JzPjxhdXRoLWFkZHJlc3M+RGVwYXJ0bWVudCBvZiBFbnZp
cm9ubWVudGFsIEhlYWx0aCBhbmQgRW5naW5lZXJpbmcsIEpvaG5zIEhvcGtpbnMgQmxvb21iZXJn
IFNjaG9vbCBvZiBQdWJsaWMgSGVhbHRoLCA2MTUgTi4gV29sZmUgU3RyZWV0LCBCYWx0aW1vcmUs
IE1ELCBVU0EuJiN4RDtQcmVzZW50IEFkZHJlc3M6IFVuaXRlZCBTdGF0ZXMgQXJteSBQdWJsaWMg
SGVhbHRoIENlbnRlciwgVG94aWNvbG9neSBEaXJlY3RvcmF0ZSwgQWJlcmRlZW4gUHJvdmluZyBH
cm91bmQsIEFiZXJkZWVuLCBNRCwgVVNBLiYjeEQ7RGVwYXJ0bWVudCBvZiBIZWFsdGgsIEJlaGF2
aW9yIGFuZCBTb2NpZXR5LCBJbnN0aXR1dGUgZm9yIEdsb2JhbCBUb2JhY2NvIENvbnRyb2wsIEpv
aG5zIEhvcGtpbnMgQmxvb21iZXJnIFNjaG9vbCBvZiBQdWJsaWMgSGVhbHRoLCBCYWx0aW1vcmUs
IE1ELCBVU0EuJiN4RDtEZXBhcnRtZW50IG9mIE1lZGljaW5lLCBEaXZpc2lvbiBvZiBQdWxtb25h
cnkgYW5kIENyaXRpY2FsIENhcmUgTWVkaWNpbmUsIEpvaG5zIEhvcGtpbnMgU2Nob29sIG9mIE1l
ZGljaW5lLCBCYWx0aW1vcmUsIE1ELCBVU0EuJiN4RDtEZXBhcnRtZW50IG9mIE1lZGljaW5lLCBD
aWNjYXJvbmUgQ2VudGVyIGZvciB0aGUgUHJldmVudGlvbiBvZiBIZWFydCBEaXNlYXNlLCBKb2hu
cyBIb3BraW5zIFNjaG9vbCBvZiBNZWRpY2luZSwgQmFsdGltb3JlLCBNRCwgVVNBLiYjeEQ7RGVw
YXJ0bWVudCBvZiBFcGlkZW1pb2xvZ3ksIENlbnRlciBmb3IgQ2xpbmljYWwgVHJpYWxzIGFuZCBF
dmlkZW5jZSBTeW50aGVzaXMsIEpvaG5zIEhvcGtpbnMgQmxvb21iZXJnIFNjaG9vbCBvZiBQdWJs
aWMgSGVhbHRoLCBCYWx0aW1vcmUsIE1ELCBVU0EuJiN4RDtEZXBhcnRtZW50IG9mIEVudmlyb25t
ZW50YWwgSGVhbHRoIGFuZCBFbmdpbmVlcmluZywgSm9obnMgSG9wa2lucyBCbG9vbWJlcmcgU2No
b29sIG9mIFB1YmxpYyBIZWFsdGgsIDYxNSBOLiBXb2xmZSBTdHJlZXQsIEJhbHRpbW9yZSwgTUQs
IFVTQS4gc2Jpc3dhbEBqaHUuZWR1LjwvYXV0aC1hZGRyZXNzPjx0aXRsZXM+PHRpdGxlPkVsZWN0
cm9uaWMgY2lnYXJldHRlIHVzZSBiZWhhdmlvcnMgYW5kIG1vdGl2YXRpb25zIGFtb25nIHNtb2tl
cnMgYW5kIG5vbi1zbW9rZXJzPC90aXRsZT48c2Vjb25kYXJ5LXRpdGxlPkJNQyBQdWJsaWMgSGVh
bHRoPC9zZWNvbmRhcnktdGl0bGU+PGFsdC10aXRsZT5CTUMgcHVibGljIGhlYWx0aDwvYWx0LXRp
dGxlPjwvdGl0bGVzPjxwZXJpb2RpY2FsPjxmdWxsLXRpdGxlPkJtYyBQdWJsaWMgSGVhbHRoPC9m
dWxsLXRpdGxlPjwvcGVyaW9kaWNhbD48YWx0LXBlcmlvZGljYWw+PGZ1bGwtdGl0bGU+Qm1jIFB1
YmxpYyBIZWFsdGg8L2Z1bGwtdGl0bGU+PC9hbHQtcGVyaW9kaWNhbD48cGFnZXM+Njg2PC9wYWdl
cz48dm9sdW1lPjE3PC92b2x1bWU+PG51bWJlcj4xPC9udW1iZXI+PGVkaXRpb24+MjAxNy8wOS8w
OTwvZWRpdGlvbj48a2V5d29yZHM+PGtleXdvcmQ+QWRvbGVzY2VudDwva2V5d29yZD48a2V5d29y
ZD5BZHVsdDwva2V5d29yZD48a2V5d29yZD5CYWx0aW1vcmUvZXBpZGVtaW9sb2d5PC9rZXl3b3Jk
PjxrZXl3b3JkPkZlbWFsZTwva2V5d29yZD48a2V5d29yZD5IZWFsdGggU3VydmV5czwva2V5d29y
ZD48a2V5d29yZD5IdW1hbnM8L2tleXdvcmQ+PGtleXdvcmQ+TWFsZTwva2V5d29yZD48a2V5d29y
ZD4qTW90aXZhdGlvbjwva2V5d29yZD48a2V5d29yZD5TbW9rZXJzLypwc3ljaG9sb2d5L3N0YXRp
c3RpY3MgJmFtcDsgbnVtZXJpY2FsIGRhdGE8L2tleXdvcmQ+PGtleXdvcmQ+U21va2luZy8qZXBp
ZGVtaW9sb2d5Lypwc3ljaG9sb2d5PC9rZXl3b3JkPjxrZXl3b3JkPlZhcGluZy8qcHN5Y2hvbG9n
eTwva2V5d29yZD48a2V5d29yZD5Zb3VuZyBBZHVsdDwva2V5d29yZD48a2V5d29yZD4qQmFsdGlt
b3JlPC9rZXl3b3JkPjxrZXl3b3JkPipFbGVjdHJvbmljIGNpZ2FyZXR0ZXM8L2tleXdvcmQ+PGtl
eXdvcmQ+Kk1hcnlsYW5kPC9rZXl3b3JkPjxrZXl3b3JkPipQcmVmZXJlbmNlczwva2V5d29yZD48
a2V5d29yZD4qU21va2Vyczwva2V5d29yZD48a2V5d29yZD4qU3VydmV5PC9rZXl3b3JkPjxrZXl3
b3JkPipWYXBvcjwva2V5d29yZD48L2tleXdvcmRzPjxkYXRlcz48eWVhcj4yMDE3PC95ZWFyPjxw
dWItZGF0ZXM+PGRhdGU+U2VwIDg8L2RhdGU+PC9wdWItZGF0ZXM+PC9kYXRlcz48aXNibj4xNDcx
LTI0NTg8L2lzYm4+PGFjY2Vzc2lvbi1udW0+Mjg4ODIxMjM8L2FjY2Vzc2lvbi1udW0+PHVybHM+
PHJlbGF0ZWQtdXJscz48dXJsPmh0dHBzOi8vd3d3Lm5jYmkubmxtLm5paC5nb3YvcG1jL2FydGlj
bGVzL1BNQzU1OTAxMjMvcGRmLzEyODg5XzIwMTdfQXJ0aWNsZV80NjcxLnBkZjwvdXJsPjwvcmVs
YXRlZC11cmxzPjwvdXJscz48Y3VzdG9tMj5QTUM1NTkwMTIzPC9jdXN0b20yPjxlbGVjdHJvbmlj
LXJlc291cmNlLW51bT4xMC4xMTg2L3MxMjg4OS0wMTctNDY3MS0zPC9lbGVjdHJvbmljLXJlc291
cmNlLW51bT48cmVtb3RlLWRhdGFiYXNlLXByb3ZpZGVyPk5MTTwvcmVtb3RlLWRhdGFiYXNlLXBy
b3ZpZGVyPjxsYW5ndWFnZT5lbmc8L2xhbmd1YWdlPjwvcmVjb3JkPjwvQ2l0ZT48L0VuZE5vdGU+
AG==
</w:fldData>
        </w:fldChar>
      </w:r>
      <w:r>
        <w:instrText xml:space="preserve"> ADDIN EN.CITE.DATA </w:instrText>
      </w:r>
      <w:r>
        <w:fldChar w:fldCharType="end"/>
      </w:r>
      <w:r>
        <w:fldChar w:fldCharType="separate"/>
      </w:r>
      <w:r>
        <w:rPr>
          <w:noProof/>
        </w:rPr>
        <w:t>(Sussan, Shahzad et al. 2017)</w:t>
      </w:r>
      <w:r>
        <w:fldChar w:fldCharType="end"/>
      </w:r>
      <w:r>
        <w:t>. Response rate was not reported for this study. If the response rate was low, this may have introduced bias (selection bias). Participants were predominantly under 35 years (58%) and male (78%), and found that the most common reason for using e</w:t>
      </w:r>
      <w:r>
        <w:noBreakHyphen/>
        <w:t>cigarettes was as a quit smoking aid (42% of former smokers and 39% of current smokers). Other reasons for e</w:t>
      </w:r>
      <w:r>
        <w:noBreakHyphen/>
        <w:t>cigarette use included the belief that e</w:t>
      </w:r>
      <w:r>
        <w:noBreakHyphen/>
        <w:t>cigarettes were healthier than tobacco cigarettes (38% of former smokers, 33% of current smokers) or that e</w:t>
      </w:r>
      <w:r>
        <w:noBreakHyphen/>
        <w:t>cigarettes</w:t>
      </w:r>
      <w:r w:rsidRPr="002D166D">
        <w:t xml:space="preserve"> were cheaper than cigarettes and enjoyable (≤13%)</w:t>
      </w:r>
      <w:r>
        <w:t>. Those who had never smoked primarily used e</w:t>
      </w:r>
      <w:r>
        <w:noBreakHyphen/>
        <w:t xml:space="preserve">cigarettes for enjoyment (68%), however this data only represents 19 people (6% of the survey) </w:t>
      </w:r>
      <w:r>
        <w:fldChar w:fldCharType="begin">
          <w:fldData xml:space="preserve">PEVuZE5vdGU+PENpdGU+PEF1dGhvcj5TdXNzYW48L0F1dGhvcj48WWVhcj4yMDE3PC9ZZWFyPjxS
ZWNOdW0+NDk1NzwvUmVjTnVtPjxEaXNwbGF5VGV4dD4oU3Vzc2FuLCBTaGFoemFkIGV0IGFsLiAy
MDE3KTwvRGlzcGxheVRleHQ+PHJlY29yZD48cmVjLW51bWJlcj40OTU3PC9yZWMtbnVtYmVyPjxm
b3JlaWduLWtleXM+PGtleSBhcHA9IkVOIiBkYi1pZD0iOXowNWR6MHByYWFkZnVlZTB6b3h6ZWRr
OXpmZTVmeHg1MHo1IiB0aW1lc3RhbXA9IjE1MjM5MjA5MDAiPjQ5NTc8L2tleT48a2V5IGFwcD0i
RU5XZWIiIGRiLWlkPSIiPjA8L2tleT48L2ZvcmVpZ24ta2V5cz48cmVmLXR5cGUgbmFtZT0iSm91
cm5hbCBBcnRpY2xlIj4xNzwvcmVmLXR5cGU+PGNvbnRyaWJ1dG9ycz48YXV0aG9ycz48YXV0aG9y
PlN1c3NhbiwgVC4gRS48L2F1dGhvcj48YXV0aG9yPlNoYWh6YWQsIEYuIEcuPC9hdXRob3I+PGF1
dGhvcj5UYWJhc3N1bSwgRS48L2F1dGhvcj48YXV0aG9yPkNvaGVuLCBKLiBFLjwvYXV0aG9yPjxh
dXRob3I+V2lzZSwgUi4gQS48L2F1dGhvcj48YXV0aG9yPkJsYWhhLCBNLiBKLjwvYXV0aG9yPjxh
dXRob3I+SG9sYnJvb2ssIEouIFQuPC9hdXRob3I+PGF1dGhvcj5CaXN3YWwsIFMuPC9hdXRob3I+
PC9hdXRob3JzPjwvY29udHJpYnV0b3JzPjxhdXRoLWFkZHJlc3M+RGVwYXJ0bWVudCBvZiBFbnZp
cm9ubWVudGFsIEhlYWx0aCBhbmQgRW5naW5lZXJpbmcsIEpvaG5zIEhvcGtpbnMgQmxvb21iZXJn
IFNjaG9vbCBvZiBQdWJsaWMgSGVhbHRoLCA2MTUgTi4gV29sZmUgU3RyZWV0LCBCYWx0aW1vcmUs
IE1ELCBVU0EuJiN4RDtQcmVzZW50IEFkZHJlc3M6IFVuaXRlZCBTdGF0ZXMgQXJteSBQdWJsaWMg
SGVhbHRoIENlbnRlciwgVG94aWNvbG9neSBEaXJlY3RvcmF0ZSwgQWJlcmRlZW4gUHJvdmluZyBH
cm91bmQsIEFiZXJkZWVuLCBNRCwgVVNBLiYjeEQ7RGVwYXJ0bWVudCBvZiBIZWFsdGgsIEJlaGF2
aW9yIGFuZCBTb2NpZXR5LCBJbnN0aXR1dGUgZm9yIEdsb2JhbCBUb2JhY2NvIENvbnRyb2wsIEpv
aG5zIEhvcGtpbnMgQmxvb21iZXJnIFNjaG9vbCBvZiBQdWJsaWMgSGVhbHRoLCBCYWx0aW1vcmUs
IE1ELCBVU0EuJiN4RDtEZXBhcnRtZW50IG9mIE1lZGljaW5lLCBEaXZpc2lvbiBvZiBQdWxtb25h
cnkgYW5kIENyaXRpY2FsIENhcmUgTWVkaWNpbmUsIEpvaG5zIEhvcGtpbnMgU2Nob29sIG9mIE1l
ZGljaW5lLCBCYWx0aW1vcmUsIE1ELCBVU0EuJiN4RDtEZXBhcnRtZW50IG9mIE1lZGljaW5lLCBD
aWNjYXJvbmUgQ2VudGVyIGZvciB0aGUgUHJldmVudGlvbiBvZiBIZWFydCBEaXNlYXNlLCBKb2hu
cyBIb3BraW5zIFNjaG9vbCBvZiBNZWRpY2luZSwgQmFsdGltb3JlLCBNRCwgVVNBLiYjeEQ7RGVw
YXJ0bWVudCBvZiBFcGlkZW1pb2xvZ3ksIENlbnRlciBmb3IgQ2xpbmljYWwgVHJpYWxzIGFuZCBF
dmlkZW5jZSBTeW50aGVzaXMsIEpvaG5zIEhvcGtpbnMgQmxvb21iZXJnIFNjaG9vbCBvZiBQdWJs
aWMgSGVhbHRoLCBCYWx0aW1vcmUsIE1ELCBVU0EuJiN4RDtEZXBhcnRtZW50IG9mIEVudmlyb25t
ZW50YWwgSGVhbHRoIGFuZCBFbmdpbmVlcmluZywgSm9obnMgSG9wa2lucyBCbG9vbWJlcmcgU2No
b29sIG9mIFB1YmxpYyBIZWFsdGgsIDYxNSBOLiBXb2xmZSBTdHJlZXQsIEJhbHRpbW9yZSwgTUQs
IFVTQS4gc2Jpc3dhbEBqaHUuZWR1LjwvYXV0aC1hZGRyZXNzPjx0aXRsZXM+PHRpdGxlPkVsZWN0
cm9uaWMgY2lnYXJldHRlIHVzZSBiZWhhdmlvcnMgYW5kIG1vdGl2YXRpb25zIGFtb25nIHNtb2tl
cnMgYW5kIG5vbi1zbW9rZXJzPC90aXRsZT48c2Vjb25kYXJ5LXRpdGxlPkJNQyBQdWJsaWMgSGVh
bHRoPC9zZWNvbmRhcnktdGl0bGU+PGFsdC10aXRsZT5CTUMgcHVibGljIGhlYWx0aDwvYWx0LXRp
dGxlPjwvdGl0bGVzPjxwZXJpb2RpY2FsPjxmdWxsLXRpdGxlPkJtYyBQdWJsaWMgSGVhbHRoPC9m
dWxsLXRpdGxlPjwvcGVyaW9kaWNhbD48YWx0LXBlcmlvZGljYWw+PGZ1bGwtdGl0bGU+Qm1jIFB1
YmxpYyBIZWFsdGg8L2Z1bGwtdGl0bGU+PC9hbHQtcGVyaW9kaWNhbD48cGFnZXM+Njg2PC9wYWdl
cz48dm9sdW1lPjE3PC92b2x1bWU+PG51bWJlcj4xPC9udW1iZXI+PGVkaXRpb24+MjAxNy8wOS8w
OTwvZWRpdGlvbj48a2V5d29yZHM+PGtleXdvcmQ+QWRvbGVzY2VudDwva2V5d29yZD48a2V5d29y
ZD5BZHVsdDwva2V5d29yZD48a2V5d29yZD5CYWx0aW1vcmUvZXBpZGVtaW9sb2d5PC9rZXl3b3Jk
PjxrZXl3b3JkPkZlbWFsZTwva2V5d29yZD48a2V5d29yZD5IZWFsdGggU3VydmV5czwva2V5d29y
ZD48a2V5d29yZD5IdW1hbnM8L2tleXdvcmQ+PGtleXdvcmQ+TWFsZTwva2V5d29yZD48a2V5d29y
ZD4qTW90aXZhdGlvbjwva2V5d29yZD48a2V5d29yZD5TbW9rZXJzLypwc3ljaG9sb2d5L3N0YXRp
c3RpY3MgJmFtcDsgbnVtZXJpY2FsIGRhdGE8L2tleXdvcmQ+PGtleXdvcmQ+U21va2luZy8qZXBp
ZGVtaW9sb2d5Lypwc3ljaG9sb2d5PC9rZXl3b3JkPjxrZXl3b3JkPlZhcGluZy8qcHN5Y2hvbG9n
eTwva2V5d29yZD48a2V5d29yZD5Zb3VuZyBBZHVsdDwva2V5d29yZD48a2V5d29yZD4qQmFsdGlt
b3JlPC9rZXl3b3JkPjxrZXl3b3JkPipFbGVjdHJvbmljIGNpZ2FyZXR0ZXM8L2tleXdvcmQ+PGtl
eXdvcmQ+Kk1hcnlsYW5kPC9rZXl3b3JkPjxrZXl3b3JkPipQcmVmZXJlbmNlczwva2V5d29yZD48
a2V5d29yZD4qU21va2Vyczwva2V5d29yZD48a2V5d29yZD4qU3VydmV5PC9rZXl3b3JkPjxrZXl3
b3JkPipWYXBvcjwva2V5d29yZD48L2tleXdvcmRzPjxkYXRlcz48eWVhcj4yMDE3PC95ZWFyPjxw
dWItZGF0ZXM+PGRhdGU+U2VwIDg8L2RhdGU+PC9wdWItZGF0ZXM+PC9kYXRlcz48aXNibj4xNDcx
LTI0NTg8L2lzYm4+PGFjY2Vzc2lvbi1udW0+Mjg4ODIxMjM8L2FjY2Vzc2lvbi1udW0+PHVybHM+
PHJlbGF0ZWQtdXJscz48dXJsPmh0dHBzOi8vd3d3Lm5jYmkubmxtLm5paC5nb3YvcG1jL2FydGlj
bGVzL1BNQzU1OTAxMjMvcGRmLzEyODg5XzIwMTdfQXJ0aWNsZV80NjcxLnBkZjwvdXJsPjwvcmVs
YXRlZC11cmxzPjwvdXJscz48Y3VzdG9tMj5QTUM1NTkwMTIzPC9jdXN0b20yPjxlbGVjdHJvbmlj
LXJlc291cmNlLW51bT4xMC4xMTg2L3MxMjg4OS0wMTctNDY3MS0zPC9lbGVjdHJvbmljLXJlc291
cmNlLW51bT48cmVtb3RlLWRhdGFiYXNlLXByb3ZpZGVyPk5MTTwvcmVtb3RlLWRhdGFiYXNlLXBy
b3ZpZGVyPjxsYW5ndWFnZT5lbmc8L2xhbmd1YWdlPjwvcmVjb3JkPjwvQ2l0ZT48L0VuZE5vdGU+
AG==
</w:fldData>
        </w:fldChar>
      </w:r>
      <w:r>
        <w:instrText xml:space="preserve"> ADDIN EN.CITE </w:instrText>
      </w:r>
      <w:r>
        <w:fldChar w:fldCharType="begin">
          <w:fldData xml:space="preserve">PEVuZE5vdGU+PENpdGU+PEF1dGhvcj5TdXNzYW48L0F1dGhvcj48WWVhcj4yMDE3PC9ZZWFyPjxS
ZWNOdW0+NDk1NzwvUmVjTnVtPjxEaXNwbGF5VGV4dD4oU3Vzc2FuLCBTaGFoemFkIGV0IGFsLiAy
MDE3KTwvRGlzcGxheVRleHQ+PHJlY29yZD48cmVjLW51bWJlcj40OTU3PC9yZWMtbnVtYmVyPjxm
b3JlaWduLWtleXM+PGtleSBhcHA9IkVOIiBkYi1pZD0iOXowNWR6MHByYWFkZnVlZTB6b3h6ZWRr
OXpmZTVmeHg1MHo1IiB0aW1lc3RhbXA9IjE1MjM5MjA5MDAiPjQ5NTc8L2tleT48a2V5IGFwcD0i
RU5XZWIiIGRiLWlkPSIiPjA8L2tleT48L2ZvcmVpZ24ta2V5cz48cmVmLXR5cGUgbmFtZT0iSm91
cm5hbCBBcnRpY2xlIj4xNzwvcmVmLXR5cGU+PGNvbnRyaWJ1dG9ycz48YXV0aG9ycz48YXV0aG9y
PlN1c3NhbiwgVC4gRS48L2F1dGhvcj48YXV0aG9yPlNoYWh6YWQsIEYuIEcuPC9hdXRob3I+PGF1
dGhvcj5UYWJhc3N1bSwgRS48L2F1dGhvcj48YXV0aG9yPkNvaGVuLCBKLiBFLjwvYXV0aG9yPjxh
dXRob3I+V2lzZSwgUi4gQS48L2F1dGhvcj48YXV0aG9yPkJsYWhhLCBNLiBKLjwvYXV0aG9yPjxh
dXRob3I+SG9sYnJvb2ssIEouIFQuPC9hdXRob3I+PGF1dGhvcj5CaXN3YWwsIFMuPC9hdXRob3I+
PC9hdXRob3JzPjwvY29udHJpYnV0b3JzPjxhdXRoLWFkZHJlc3M+RGVwYXJ0bWVudCBvZiBFbnZp
cm9ubWVudGFsIEhlYWx0aCBhbmQgRW5naW5lZXJpbmcsIEpvaG5zIEhvcGtpbnMgQmxvb21iZXJn
IFNjaG9vbCBvZiBQdWJsaWMgSGVhbHRoLCA2MTUgTi4gV29sZmUgU3RyZWV0LCBCYWx0aW1vcmUs
IE1ELCBVU0EuJiN4RDtQcmVzZW50IEFkZHJlc3M6IFVuaXRlZCBTdGF0ZXMgQXJteSBQdWJsaWMg
SGVhbHRoIENlbnRlciwgVG94aWNvbG9neSBEaXJlY3RvcmF0ZSwgQWJlcmRlZW4gUHJvdmluZyBH
cm91bmQsIEFiZXJkZWVuLCBNRCwgVVNBLiYjeEQ7RGVwYXJ0bWVudCBvZiBIZWFsdGgsIEJlaGF2
aW9yIGFuZCBTb2NpZXR5LCBJbnN0aXR1dGUgZm9yIEdsb2JhbCBUb2JhY2NvIENvbnRyb2wsIEpv
aG5zIEhvcGtpbnMgQmxvb21iZXJnIFNjaG9vbCBvZiBQdWJsaWMgSGVhbHRoLCBCYWx0aW1vcmUs
IE1ELCBVU0EuJiN4RDtEZXBhcnRtZW50IG9mIE1lZGljaW5lLCBEaXZpc2lvbiBvZiBQdWxtb25h
cnkgYW5kIENyaXRpY2FsIENhcmUgTWVkaWNpbmUsIEpvaG5zIEhvcGtpbnMgU2Nob29sIG9mIE1l
ZGljaW5lLCBCYWx0aW1vcmUsIE1ELCBVU0EuJiN4RDtEZXBhcnRtZW50IG9mIE1lZGljaW5lLCBD
aWNjYXJvbmUgQ2VudGVyIGZvciB0aGUgUHJldmVudGlvbiBvZiBIZWFydCBEaXNlYXNlLCBKb2hu
cyBIb3BraW5zIFNjaG9vbCBvZiBNZWRpY2luZSwgQmFsdGltb3JlLCBNRCwgVVNBLiYjeEQ7RGVw
YXJ0bWVudCBvZiBFcGlkZW1pb2xvZ3ksIENlbnRlciBmb3IgQ2xpbmljYWwgVHJpYWxzIGFuZCBF
dmlkZW5jZSBTeW50aGVzaXMsIEpvaG5zIEhvcGtpbnMgQmxvb21iZXJnIFNjaG9vbCBvZiBQdWJs
aWMgSGVhbHRoLCBCYWx0aW1vcmUsIE1ELCBVU0EuJiN4RDtEZXBhcnRtZW50IG9mIEVudmlyb25t
ZW50YWwgSGVhbHRoIGFuZCBFbmdpbmVlcmluZywgSm9obnMgSG9wa2lucyBCbG9vbWJlcmcgU2No
b29sIG9mIFB1YmxpYyBIZWFsdGgsIDYxNSBOLiBXb2xmZSBTdHJlZXQsIEJhbHRpbW9yZSwgTUQs
IFVTQS4gc2Jpc3dhbEBqaHUuZWR1LjwvYXV0aC1hZGRyZXNzPjx0aXRsZXM+PHRpdGxlPkVsZWN0
cm9uaWMgY2lnYXJldHRlIHVzZSBiZWhhdmlvcnMgYW5kIG1vdGl2YXRpb25zIGFtb25nIHNtb2tl
cnMgYW5kIG5vbi1zbW9rZXJzPC90aXRsZT48c2Vjb25kYXJ5LXRpdGxlPkJNQyBQdWJsaWMgSGVh
bHRoPC9zZWNvbmRhcnktdGl0bGU+PGFsdC10aXRsZT5CTUMgcHVibGljIGhlYWx0aDwvYWx0LXRp
dGxlPjwvdGl0bGVzPjxwZXJpb2RpY2FsPjxmdWxsLXRpdGxlPkJtYyBQdWJsaWMgSGVhbHRoPC9m
dWxsLXRpdGxlPjwvcGVyaW9kaWNhbD48YWx0LXBlcmlvZGljYWw+PGZ1bGwtdGl0bGU+Qm1jIFB1
YmxpYyBIZWFsdGg8L2Z1bGwtdGl0bGU+PC9hbHQtcGVyaW9kaWNhbD48cGFnZXM+Njg2PC9wYWdl
cz48dm9sdW1lPjE3PC92b2x1bWU+PG51bWJlcj4xPC9udW1iZXI+PGVkaXRpb24+MjAxNy8wOS8w
OTwvZWRpdGlvbj48a2V5d29yZHM+PGtleXdvcmQ+QWRvbGVzY2VudDwva2V5d29yZD48a2V5d29y
ZD5BZHVsdDwva2V5d29yZD48a2V5d29yZD5CYWx0aW1vcmUvZXBpZGVtaW9sb2d5PC9rZXl3b3Jk
PjxrZXl3b3JkPkZlbWFsZTwva2V5d29yZD48a2V5d29yZD5IZWFsdGggU3VydmV5czwva2V5d29y
ZD48a2V5d29yZD5IdW1hbnM8L2tleXdvcmQ+PGtleXdvcmQ+TWFsZTwva2V5d29yZD48a2V5d29y
ZD4qTW90aXZhdGlvbjwva2V5d29yZD48a2V5d29yZD5TbW9rZXJzLypwc3ljaG9sb2d5L3N0YXRp
c3RpY3MgJmFtcDsgbnVtZXJpY2FsIGRhdGE8L2tleXdvcmQ+PGtleXdvcmQ+U21va2luZy8qZXBp
ZGVtaW9sb2d5Lypwc3ljaG9sb2d5PC9rZXl3b3JkPjxrZXl3b3JkPlZhcGluZy8qcHN5Y2hvbG9n
eTwva2V5d29yZD48a2V5d29yZD5Zb3VuZyBBZHVsdDwva2V5d29yZD48a2V5d29yZD4qQmFsdGlt
b3JlPC9rZXl3b3JkPjxrZXl3b3JkPipFbGVjdHJvbmljIGNpZ2FyZXR0ZXM8L2tleXdvcmQ+PGtl
eXdvcmQ+Kk1hcnlsYW5kPC9rZXl3b3JkPjxrZXl3b3JkPipQcmVmZXJlbmNlczwva2V5d29yZD48
a2V5d29yZD4qU21va2Vyczwva2V5d29yZD48a2V5d29yZD4qU3VydmV5PC9rZXl3b3JkPjxrZXl3
b3JkPipWYXBvcjwva2V5d29yZD48L2tleXdvcmRzPjxkYXRlcz48eWVhcj4yMDE3PC95ZWFyPjxw
dWItZGF0ZXM+PGRhdGU+U2VwIDg8L2RhdGU+PC9wdWItZGF0ZXM+PC9kYXRlcz48aXNibj4xNDcx
LTI0NTg8L2lzYm4+PGFjY2Vzc2lvbi1udW0+Mjg4ODIxMjM8L2FjY2Vzc2lvbi1udW0+PHVybHM+
PHJlbGF0ZWQtdXJscz48dXJsPmh0dHBzOi8vd3d3Lm5jYmkubmxtLm5paC5nb3YvcG1jL2FydGlj
bGVzL1BNQzU1OTAxMjMvcGRmLzEyODg5XzIwMTdfQXJ0aWNsZV80NjcxLnBkZjwvdXJsPjwvcmVs
YXRlZC11cmxzPjwvdXJscz48Y3VzdG9tMj5QTUM1NTkwMTIzPC9jdXN0b20yPjxlbGVjdHJvbmlj
LXJlc291cmNlLW51bT4xMC4xMTg2L3MxMjg4OS0wMTctNDY3MS0zPC9lbGVjdHJvbmljLXJlc291
cmNlLW51bT48cmVtb3RlLWRhdGFiYXNlLXByb3ZpZGVyPk5MTTwvcmVtb3RlLWRhdGFiYXNlLXBy
b3ZpZGVyPjxsYW5ndWFnZT5lbmc8L2xhbmd1YWdlPjwvcmVjb3JkPjwvQ2l0ZT48L0VuZE5vdGU+
AG==
</w:fldData>
        </w:fldChar>
      </w:r>
      <w:r>
        <w:instrText xml:space="preserve"> ADDIN EN.CITE.DATA </w:instrText>
      </w:r>
      <w:r>
        <w:fldChar w:fldCharType="end"/>
      </w:r>
      <w:r>
        <w:fldChar w:fldCharType="separate"/>
      </w:r>
      <w:r>
        <w:rPr>
          <w:noProof/>
        </w:rPr>
        <w:t>(Sussan, Shahzad et al. 2017)</w:t>
      </w:r>
      <w:r>
        <w:fldChar w:fldCharType="end"/>
      </w:r>
      <w:r>
        <w:t>. While the most common reason for e</w:t>
      </w:r>
      <w:r>
        <w:noBreakHyphen/>
        <w:t>cigarette use was smoking cessation, 58% of users were using e</w:t>
      </w:r>
      <w:r>
        <w:noBreakHyphen/>
        <w:t>cigarettes for another reason, thus it is likely that consumers do not view e</w:t>
      </w:r>
      <w:r>
        <w:noBreakHyphen/>
        <w:t xml:space="preserve">cigarettes solely as a smoking cessation tool. </w:t>
      </w:r>
    </w:p>
    <w:p w14:paraId="1414CC97" w14:textId="77777777" w:rsidR="00235C5A" w:rsidRDefault="00235C5A" w:rsidP="00235C5A">
      <w:pPr>
        <w:pStyle w:val="BodyText"/>
      </w:pPr>
      <w:r>
        <w:t>Similarly in a Spanish survey, participants were most likely to use e</w:t>
      </w:r>
      <w:r>
        <w:noBreakHyphen/>
        <w:t xml:space="preserve">cigarettes in order to reduce their cigarette consumption </w:t>
      </w:r>
      <w:r>
        <w:fldChar w:fldCharType="begin"/>
      </w:r>
      <w:r w:rsidR="004E728C">
        <w:instrText xml:space="preserve"> ADDIN EN.CITE &lt;EndNote&gt;&lt;Cite&gt;&lt;Author&gt;Bunch&lt;/Author&gt;&lt;Year&gt;2018&lt;/Year&gt;&lt;RecNum&gt;10829&lt;/RecNum&gt;&lt;DisplayText&gt;(Bunch, Fu et al. 2018)&lt;/DisplayText&gt;&lt;record&gt;&lt;rec-number&gt;10829&lt;/rec-number&gt;&lt;foreign-keys&gt;&lt;key app="EN" db-id="9z05dz0praadfuee0zoxzedk9zfe5fxx50z5" timestamp="1526869880"&gt;10829&lt;/key&gt;&lt;key app="ENWeb" db-id=""&gt;0&lt;/key&gt;&lt;/foreign-keys&gt;&lt;ref-type name="Journal Article"&gt;17&lt;/ref-type&gt;&lt;contributors&gt;&lt;authors&gt;&lt;author&gt;Bunch, Kailey&lt;/author&gt;&lt;author&gt;Fu, Marcela&lt;/author&gt;&lt;author&gt;Ballbe, Montse&lt;/author&gt;&lt;author&gt;Matilla-Santader, Nuria&lt;/author&gt;&lt;author&gt;Lidon-Moyano, Cristina&lt;/author&gt;&lt;author&gt;Martin-Sanchez, Juan Carlos&lt;/author&gt;&lt;author&gt;Fernandez, Esteve&lt;/author&gt;&lt;author&gt;Martinez-Sanchez, Jose M.&lt;/author&gt;&lt;/authors&gt;&lt;/contributors&gt;&lt;titles&gt;&lt;title&gt;Motivation and main flavour of use, use with nicotine and dual use of electronic cigarettes in Barcelona, Spain: a cross-sectional study&lt;/title&gt;&lt;secondary-title&gt;BMJ open&lt;/secondary-title&gt;&lt;/titles&gt;&lt;periodical&gt;&lt;full-title&gt;Bmj Open&lt;/full-title&gt;&lt;/periodical&gt;&lt;pages&gt;e018329-e018329&lt;/pages&gt;&lt;volume&gt;8&lt;/volume&gt;&lt;number&gt;3&lt;/number&gt;&lt;dates&gt;&lt;year&gt;2018&lt;/year&gt;&lt;pub-dates&gt;&lt;date&gt;2018 Mar&lt;/date&gt;&lt;/pub-dates&gt;&lt;/dates&gt;&lt;accession-num&gt;MEDLINE:29567840&lt;/accession-num&gt;&lt;urls&gt;&lt;related-urls&gt;&lt;url&gt;&amp;lt;Go to ISI&amp;gt;://MEDLINE:29567840&lt;/url&gt;&lt;url&gt;https://www.ncbi.nlm.nih.gov/pmc/articles/PMC5875655/pdf/bmjopen-2017-018329.pdf&lt;/url&gt;&lt;/related-urls&gt;&lt;/urls&gt;&lt;electronic-resource-num&gt;10.1136/bmjopen-2017-018329&lt;/electronic-resource-num&gt;&lt;/record&gt;&lt;/Cite&gt;&lt;/EndNote&gt;</w:instrText>
      </w:r>
      <w:r>
        <w:fldChar w:fldCharType="separate"/>
      </w:r>
      <w:r>
        <w:rPr>
          <w:noProof/>
        </w:rPr>
        <w:t>(Bunch, Fu et al. 2018)</w:t>
      </w:r>
      <w:r>
        <w:fldChar w:fldCharType="end"/>
      </w:r>
      <w:r>
        <w:t>. Researchers hired t</w:t>
      </w:r>
      <w:r w:rsidRPr="0048450F">
        <w:t xml:space="preserve">rained sensors (people trained to recruit participants for studies of uncommon products) </w:t>
      </w:r>
      <w:r>
        <w:t xml:space="preserve">to </w:t>
      </w:r>
      <w:r w:rsidRPr="0048450F">
        <w:t>recruit e</w:t>
      </w:r>
      <w:r>
        <w:noBreakHyphen/>
      </w:r>
      <w:r w:rsidRPr="0048450F">
        <w:t xml:space="preserve">cigarette users in all neighbourhoods </w:t>
      </w:r>
      <w:r>
        <w:t>of</w:t>
      </w:r>
      <w:r w:rsidRPr="0048450F">
        <w:t xml:space="preserve"> Barcelona</w:t>
      </w:r>
      <w:r>
        <w:t>, Spain</w:t>
      </w:r>
      <w:r w:rsidRPr="0048450F">
        <w:t>. They identified individuals using or carrying an e</w:t>
      </w:r>
      <w:r>
        <w:noBreakHyphen/>
      </w:r>
      <w:r w:rsidRPr="0048450F">
        <w:t>cigarette in public</w:t>
      </w:r>
      <w:r>
        <w:t xml:space="preserve"> and approached them to participate in the survey</w:t>
      </w:r>
      <w:r w:rsidRPr="0048450F">
        <w:t>. All participants were current e</w:t>
      </w:r>
      <w:r>
        <w:noBreakHyphen/>
      </w:r>
      <w:r w:rsidRPr="0048450F">
        <w:t xml:space="preserve">cigarette users at the moment of the interview, </w:t>
      </w:r>
      <w:r>
        <w:t>but may have been infrequent users. There was a 90.3% response rate, with 63.5% female participants and 49.8% aged between 25</w:t>
      </w:r>
      <w:r>
        <w:noBreakHyphen/>
        <w:t>44 years. The analyses adjusted for sociodemographic variables and found that the most common reasons for e</w:t>
      </w:r>
      <w:r>
        <w:noBreakHyphen/>
        <w:t xml:space="preserve">cigarette use were: to </w:t>
      </w:r>
      <w:r w:rsidRPr="0048450F">
        <w:t xml:space="preserve">reduce tobacco smoking (48%, n=288), smoking </w:t>
      </w:r>
      <w:r>
        <w:t xml:space="preserve">cessation </w:t>
      </w:r>
      <w:r w:rsidRPr="0048450F">
        <w:t>(39.2%, n=235), and to use e</w:t>
      </w:r>
      <w:r>
        <w:noBreakHyphen/>
      </w:r>
      <w:r w:rsidRPr="0048450F">
        <w:t>cigarettes in places where tobacco smoking was prohibited (10.2%, n=61).</w:t>
      </w:r>
      <w:r>
        <w:t xml:space="preserve"> Older people were more likely to use e</w:t>
      </w:r>
      <w:r>
        <w:noBreakHyphen/>
        <w:t>cigarettes for smoking cessation (</w:t>
      </w:r>
      <w:r w:rsidRPr="0048450F">
        <w:t>≥65, OR=13.8, 95% CI 2.62 to 72.41)</w:t>
      </w:r>
      <w:r>
        <w:t>, while younger participants (</w:t>
      </w:r>
      <w:r w:rsidRPr="0048450F">
        <w:t>OR=4.36, 95% CI 1.99 to 9.57</w:t>
      </w:r>
      <w:r>
        <w:t xml:space="preserve">) and women </w:t>
      </w:r>
      <w:r w:rsidRPr="0048450F">
        <w:t>(OR=1.87, 95% CI 1.02 to 3.43)</w:t>
      </w:r>
      <w:r>
        <w:t xml:space="preserve"> were more likely to use e</w:t>
      </w:r>
      <w:r>
        <w:noBreakHyphen/>
        <w:t>cigarettes for places where smoking is prohibited. Data from this study should be interpreted with caution as it was not representative data and may have included infrequent or once</w:t>
      </w:r>
      <w:r>
        <w:noBreakHyphen/>
        <w:t>off e</w:t>
      </w:r>
      <w:r>
        <w:noBreakHyphen/>
        <w:t xml:space="preserve">cigarette users. </w:t>
      </w:r>
    </w:p>
    <w:p w14:paraId="0720CC86" w14:textId="1E014C47" w:rsidR="00235C5A" w:rsidRDefault="00235C5A" w:rsidP="00235C5A">
      <w:pPr>
        <w:pStyle w:val="BodyText"/>
      </w:pPr>
      <w:r>
        <w:lastRenderedPageBreak/>
        <w:t>Data suggests that reasons for e</w:t>
      </w:r>
      <w:r>
        <w:noBreakHyphen/>
        <w:t xml:space="preserve">cigarette use differs among young adults. A secondary analysis of </w:t>
      </w:r>
      <w:r w:rsidR="008E6600">
        <w:t xml:space="preserve">a sub-set of </w:t>
      </w:r>
      <w:r>
        <w:t xml:space="preserve">the </w:t>
      </w:r>
      <w:r w:rsidRPr="00EA61A3">
        <w:t>PATH (Population Assessment of Tobacco and Health)</w:t>
      </w:r>
      <w:r>
        <w:t xml:space="preserve"> study 2013</w:t>
      </w:r>
      <w:r>
        <w:noBreakHyphen/>
        <w:t>15, a US nationally representative study, assessed the reasons for e</w:t>
      </w:r>
      <w:r>
        <w:noBreakHyphen/>
        <w:t xml:space="preserve">cigarette use among young adult </w:t>
      </w:r>
      <w:r w:rsidR="00DD2DC2">
        <w:t xml:space="preserve">vapers </w:t>
      </w:r>
      <w:r>
        <w:t>(18</w:t>
      </w:r>
      <w:r>
        <w:noBreakHyphen/>
        <w:t xml:space="preserve">34 years) </w:t>
      </w:r>
      <w:r>
        <w:fldChar w:fldCharType="begin"/>
      </w:r>
      <w:r w:rsidR="004E728C">
        <w:instrText xml:space="preserve"> ADDIN EN.CITE &lt;EndNote&gt;&lt;Cite&gt;&lt;Author&gt;Chen&lt;/Author&gt;&lt;Year&gt;2018&lt;/Year&gt;&lt;RecNum&gt;10470&lt;/RecNum&gt;&lt;DisplayText&gt;(Chen 2018)&lt;/DisplayText&gt;&lt;record&gt;&lt;rec-number&gt;10470&lt;/rec-number&gt;&lt;foreign-keys&gt;&lt;key app="EN" db-id="9z05dz0praadfuee0zoxzedk9zfe5fxx50z5" timestamp="1526869878"&gt;10470&lt;/key&gt;&lt;key app="ENWeb" db-id=""&gt;0&lt;/key&gt;&lt;/foreign-keys&gt;&lt;ref-type name="Journal Article"&gt;17&lt;/ref-type&gt;&lt;contributors&gt;&lt;authors&gt;&lt;author&gt;Chen, Julia Cen&lt;/author&gt;&lt;/authors&gt;&lt;/contributors&gt;&lt;titles&gt;&lt;title&gt;Flavored E-cigarette Use and Cigarette Smoking Reduction and Cessation-A Large National Study among Young Adult Smokers&lt;/title&gt;&lt;secondary-title&gt;Substance use &amp;amp; misuse&lt;/secondary-title&gt;&lt;/titles&gt;&lt;periodical&gt;&lt;full-title&gt;Substance Use &amp;amp; Misuse&lt;/full-title&gt;&lt;/periodical&gt;&lt;pages&gt;1-15&lt;/pages&gt;&lt;dates&gt;&lt;year&gt;2018&lt;/year&gt;&lt;pub-dates&gt;&lt;date&gt;2018-Apr-06&lt;/date&gt;&lt;/pub-dates&gt;&lt;/dates&gt;&lt;accession-num&gt;MEDLINE:29624135&lt;/accession-num&gt;&lt;urls&gt;&lt;related-urls&gt;&lt;url&gt;&amp;lt;Go to ISI&amp;gt;://MEDLINE:29624135&lt;/url&gt;&lt;url&gt;https://www.tandfonline.com/doi/pdf/10.1080/10826084.2018.1455704?needAccess=true&lt;/url&gt;&lt;/related-urls&gt;&lt;/urls&gt;&lt;electronic-resource-num&gt;10.1080/10826084.2018.1455704&lt;/electronic-resource-num&gt;&lt;/record&gt;&lt;/Cite&gt;&lt;/EndNote&gt;</w:instrText>
      </w:r>
      <w:r>
        <w:fldChar w:fldCharType="separate"/>
      </w:r>
      <w:r>
        <w:rPr>
          <w:noProof/>
        </w:rPr>
        <w:t>(Chen 2018)</w:t>
      </w:r>
      <w:r>
        <w:fldChar w:fldCharType="end"/>
      </w:r>
      <w:r>
        <w:t xml:space="preserve">. There were </w:t>
      </w:r>
      <w:r w:rsidR="000A39C0">
        <w:t>844</w:t>
      </w:r>
      <w:r>
        <w:t xml:space="preserve"> participants, the majority (</w:t>
      </w:r>
      <w:r w:rsidR="00DD2DC2">
        <w:t>58</w:t>
      </w:r>
      <w:r>
        <w:t>.</w:t>
      </w:r>
      <w:r w:rsidR="00DD2DC2">
        <w:t>5</w:t>
      </w:r>
      <w:r>
        <w:t>%) of whom were aged between 25</w:t>
      </w:r>
      <w:r>
        <w:noBreakHyphen/>
        <w:t xml:space="preserve">34 years and were </w:t>
      </w:r>
      <w:r w:rsidR="00DD2DC2">
        <w:t>62</w:t>
      </w:r>
      <w:r>
        <w:t>.1% male. Response rate was not reported</w:t>
      </w:r>
      <w:r w:rsidR="00DD2DC2">
        <w:t>, and the</w:t>
      </w:r>
      <w:r>
        <w:t xml:space="preserve"> data was assessed at one time point</w:t>
      </w:r>
      <w:r w:rsidR="00DD2DC2">
        <w:t xml:space="preserve"> (2014-15)</w:t>
      </w:r>
      <w:r>
        <w:t xml:space="preserve">. </w:t>
      </w:r>
      <w:r w:rsidR="00DD2DC2">
        <w:t xml:space="preserve">The subjects were shown 13 common reasons for </w:t>
      </w:r>
      <w:r>
        <w:t>using e</w:t>
      </w:r>
      <w:r>
        <w:noBreakHyphen/>
        <w:t xml:space="preserve">cigarettes </w:t>
      </w:r>
      <w:r w:rsidR="00DD2DC2">
        <w:t xml:space="preserve">and asked if they endorsed that reason. The highest level of endorsement </w:t>
      </w:r>
      <w:r>
        <w:t xml:space="preserve">was </w:t>
      </w:r>
      <w:r w:rsidR="00DD2DC2">
        <w:t xml:space="preserve">for </w:t>
      </w:r>
      <w:r>
        <w:t>“</w:t>
      </w:r>
      <w:r w:rsidR="00DD2DC2">
        <w:t>e</w:t>
      </w:r>
      <w:r w:rsidR="00DD2DC2">
        <w:noBreakHyphen/>
        <w:t xml:space="preserve">cigarettes </w:t>
      </w:r>
      <w:r w:rsidRPr="00EA61A3">
        <w:t>might be less harmful to people aroun</w:t>
      </w:r>
      <w:r>
        <w:t xml:space="preserve">d me than cigarettes” (85.4%), followed by </w:t>
      </w:r>
      <w:r w:rsidRPr="00EA61A3">
        <w:t>“</w:t>
      </w:r>
      <w:r w:rsidR="00DD2DC2">
        <w:t>e</w:t>
      </w:r>
      <w:r w:rsidR="00DD2DC2">
        <w:noBreakHyphen/>
        <w:t xml:space="preserve">cigarettes </w:t>
      </w:r>
      <w:r w:rsidRPr="00EA61A3">
        <w:t>can be used where smoking cigarettes is not allowed” (82.2%), and “</w:t>
      </w:r>
      <w:r w:rsidR="00DD2DC2">
        <w:t xml:space="preserve">e-cigarettes </w:t>
      </w:r>
      <w:r w:rsidRPr="00EA61A3">
        <w:t>come in flavors I like” (80.2%).</w:t>
      </w:r>
      <w:r>
        <w:t xml:space="preserve"> This indicates that health and convenience were key reasons for e</w:t>
      </w:r>
      <w:r>
        <w:noBreakHyphen/>
        <w:t xml:space="preserve">cigarette use among young adult </w:t>
      </w:r>
      <w:r w:rsidR="00DD2DC2">
        <w:t>vapers</w:t>
      </w:r>
      <w:r>
        <w:t xml:space="preserve">, </w:t>
      </w:r>
      <w:r w:rsidR="008E6600">
        <w:t>where a high percentage (73.4%) said that they use e-cigarettes as a way to cut down smoking</w:t>
      </w:r>
      <w:r>
        <w:t xml:space="preserve">. </w:t>
      </w:r>
    </w:p>
    <w:p w14:paraId="54B1BF1A" w14:textId="77777777" w:rsidR="00235C5A" w:rsidRDefault="00235C5A" w:rsidP="00235C5A">
      <w:pPr>
        <w:pStyle w:val="BodyText"/>
      </w:pPr>
      <w:r>
        <w:t>A study from China in 2015 provides insight on motivation to use e</w:t>
      </w:r>
      <w:r>
        <w:noBreakHyphen/>
        <w:t>cigarettes among Chinese adolescents. In this study, 2,042 Chinese adolescents (15</w:t>
      </w:r>
      <w:r>
        <w:noBreakHyphen/>
        <w:t xml:space="preserve">18 years, 16.45% female) were recruited using an app (response rate NR) </w:t>
      </w:r>
      <w:r>
        <w:fldChar w:fldCharType="begin"/>
      </w:r>
      <w:r w:rsidR="004E728C">
        <w:instrText xml:space="preserve"> ADDIN EN.CITE &lt;EndNote&gt;&lt;Cite&gt;&lt;Author&gt;Wang&lt;/Author&gt;&lt;Year&gt;2018&lt;/Year&gt;&lt;RecNum&gt;10338&lt;/RecNum&gt;&lt;DisplayText&gt;(Wang, Zhang et al. 2018)&lt;/DisplayText&gt;&lt;record&gt;&lt;rec-number&gt;10338&lt;/rec-number&gt;&lt;foreign-keys&gt;&lt;key app="EN" db-id="9z05dz0praadfuee0zoxzedk9zfe5fxx50z5" timestamp="1526869878"&gt;10338&lt;/key&gt;&lt;key app="ENWeb" db-id=""&gt;0&lt;/key&gt;&lt;/foreign-keys&gt;&lt;ref-type name="Journal Article"&gt;17&lt;/ref-type&gt;&lt;contributors&gt;&lt;authors&gt;&lt;author&gt;Wang, Xinsong&lt;/author&gt;&lt;author&gt;Zhang, Xiulan&lt;/author&gt;&lt;author&gt;Xu, Xiaoxin&lt;/author&gt;&lt;author&gt;Gao, Ying&lt;/author&gt;&lt;/authors&gt;&lt;/contributors&gt;&lt;titles&gt;&lt;title&gt;Electronic cigarette use and smoking cessation behavior among adolescents in China&lt;/title&gt;&lt;secondary-title&gt;Addictive Behaviors&lt;/secondary-title&gt;&lt;/titles&gt;&lt;periodical&gt;&lt;full-title&gt;Addictive Behaviors&lt;/full-title&gt;&lt;/periodical&gt;&lt;pages&gt;129-134&lt;/pages&gt;&lt;volume&gt;82&lt;/volume&gt;&lt;dates&gt;&lt;year&gt;2018&lt;/year&gt;&lt;pub-dates&gt;&lt;date&gt;Jul&lt;/date&gt;&lt;/pub-dates&gt;&lt;/dates&gt;&lt;isbn&gt;0306-4603&lt;/isbn&gt;&lt;accession-num&gt;WOS:000430522800021&lt;/accession-num&gt;&lt;urls&gt;&lt;related-urls&gt;&lt;url&gt;&amp;lt;Go to ISI&amp;gt;://WOS:000430522800021&lt;/url&gt;&lt;url&gt;https://www.sciencedirect.com/science/article/pii/S0306460318300947?via%3Dihub&lt;/url&gt;&lt;/related-urls&gt;&lt;/urls&gt;&lt;electronic-resource-num&gt;10.1016/j.addbeh.2018.02.029&lt;/electronic-resource-num&gt;&lt;/record&gt;&lt;/Cite&gt;&lt;/EndNote&gt;</w:instrText>
      </w:r>
      <w:r>
        <w:fldChar w:fldCharType="separate"/>
      </w:r>
      <w:r>
        <w:rPr>
          <w:noProof/>
        </w:rPr>
        <w:t>(Wang, Zhang et al. 2018)</w:t>
      </w:r>
      <w:r>
        <w:fldChar w:fldCharType="end"/>
      </w:r>
      <w:r>
        <w:t>. They completed a short survey on smoking, e</w:t>
      </w:r>
      <w:r>
        <w:noBreakHyphen/>
        <w:t>cigarettes and demographics on the app. Unlike the other studies, the most common reason for using e</w:t>
      </w:r>
      <w:r>
        <w:noBreakHyphen/>
        <w:t>cigarettes was not to quit smoking. In this study the most common reasons for using e</w:t>
      </w:r>
      <w:r>
        <w:noBreakHyphen/>
        <w:t>cigarettes was “</w:t>
      </w:r>
      <w:r w:rsidRPr="0048420E">
        <w:t>to avoid the harm of cigarettes</w:t>
      </w:r>
      <w:r>
        <w:t>”</w:t>
      </w:r>
      <w:r w:rsidRPr="0048420E">
        <w:t xml:space="preserve"> (44.63%), </w:t>
      </w:r>
      <w:r>
        <w:t>followed by “</w:t>
      </w:r>
      <w:r w:rsidRPr="0048420E">
        <w:t>to avoid the second</w:t>
      </w:r>
      <w:r>
        <w:noBreakHyphen/>
      </w:r>
      <w:r w:rsidRPr="0048420E">
        <w:t>hand harm of smoking to others</w:t>
      </w:r>
      <w:r>
        <w:t>”</w:t>
      </w:r>
      <w:r w:rsidRPr="0048420E">
        <w:t xml:space="preserve"> (26.30%), </w:t>
      </w:r>
      <w:r>
        <w:t>because “</w:t>
      </w:r>
      <w:r w:rsidRPr="0048420E">
        <w:t>they were curious of e</w:t>
      </w:r>
      <w:r>
        <w:noBreakHyphen/>
      </w:r>
      <w:r w:rsidRPr="0048420E">
        <w:t>cigarettes</w:t>
      </w:r>
      <w:r>
        <w:t>”</w:t>
      </w:r>
      <w:r w:rsidRPr="0048420E">
        <w:t xml:space="preserve"> (25.56%)</w:t>
      </w:r>
      <w:r>
        <w:t xml:space="preserve"> </w:t>
      </w:r>
      <w:r w:rsidRPr="0048420E">
        <w:t xml:space="preserve">or </w:t>
      </w:r>
      <w:r>
        <w:t>“</w:t>
      </w:r>
      <w:r w:rsidRPr="0048420E">
        <w:t>they expected e</w:t>
      </w:r>
      <w:r>
        <w:noBreakHyphen/>
      </w:r>
      <w:r w:rsidRPr="0048420E">
        <w:t>cigarettes to help quit smoking</w:t>
      </w:r>
      <w:r>
        <w:t>”</w:t>
      </w:r>
      <w:r w:rsidRPr="0048420E">
        <w:t xml:space="preserve"> (24.26%). </w:t>
      </w:r>
      <w:r>
        <w:t xml:space="preserve">Less frequently cited reasons included </w:t>
      </w:r>
      <w:r w:rsidRPr="0048420E">
        <w:t xml:space="preserve">because they </w:t>
      </w:r>
      <w:r>
        <w:t>“</w:t>
      </w:r>
      <w:r w:rsidRPr="0048420E">
        <w:t>thought it was fashionable to do so</w:t>
      </w:r>
      <w:r>
        <w:t>”, “</w:t>
      </w:r>
      <w:r w:rsidRPr="0048420E">
        <w:t>e</w:t>
      </w:r>
      <w:r>
        <w:noBreakHyphen/>
      </w:r>
      <w:r w:rsidRPr="0048420E">
        <w:t>cigarettes were cheaper than conventional cigarettes</w:t>
      </w:r>
      <w:r>
        <w:t>”</w:t>
      </w:r>
      <w:r w:rsidRPr="0048420E">
        <w:t xml:space="preserve"> or </w:t>
      </w:r>
      <w:r>
        <w:t>“</w:t>
      </w:r>
      <w:r w:rsidRPr="0048420E">
        <w:t>were handy wherever a smoking ban is applied</w:t>
      </w:r>
      <w:r>
        <w:t>”</w:t>
      </w:r>
      <w:r w:rsidRPr="0048420E">
        <w:t>.</w:t>
      </w:r>
      <w:r>
        <w:t xml:space="preserve"> Thus, while use of e</w:t>
      </w:r>
      <w:r>
        <w:noBreakHyphen/>
        <w:t>cigarettes for smoking cessation was not the most commonly cited reason for using e</w:t>
      </w:r>
      <w:r>
        <w:noBreakHyphen/>
        <w:t xml:space="preserve">cigarettes, the most common reasons all related to health. It is important to note that this study did not use a representative sampling method and that the population was highly niche (Chinese adolescents). </w:t>
      </w:r>
    </w:p>
    <w:p w14:paraId="41FD2F06" w14:textId="77777777" w:rsidR="00235C5A" w:rsidRDefault="00235C5A" w:rsidP="00235C5A">
      <w:pPr>
        <w:pStyle w:val="BodyText"/>
      </w:pPr>
    </w:p>
    <w:p w14:paraId="2901C635" w14:textId="77777777" w:rsidR="00235C5A" w:rsidRDefault="00235C5A" w:rsidP="00235C5A">
      <w:pPr>
        <w:pStyle w:val="Heading4"/>
      </w:pPr>
      <w:r>
        <w:t>Preference for e</w:t>
      </w:r>
      <w:r>
        <w:noBreakHyphen/>
        <w:t>cigarettes compared with other smoking cessation methods</w:t>
      </w:r>
    </w:p>
    <w:p w14:paraId="441DAE9A" w14:textId="77777777" w:rsidR="00235C5A" w:rsidRDefault="00235C5A" w:rsidP="00235C5A">
      <w:pPr>
        <w:pStyle w:val="BodyText"/>
      </w:pPr>
      <w:r>
        <w:t>A Canadian survey recruited 180 cigarette smokers through pharmacies (31% response rate), 63% of whom were aged 26</w:t>
      </w:r>
      <w:r>
        <w:noBreakHyphen/>
        <w:t xml:space="preserve">55 years and approximately half were male (51.1%) </w:t>
      </w:r>
      <w:r>
        <w:fldChar w:fldCharType="begin"/>
      </w:r>
      <w:r>
        <w:instrText xml:space="preserve"> ADDIN EN.CITE &lt;EndNote&gt;&lt;Cite&gt;&lt;Author&gt;Phung&lt;/Author&gt;&lt;Year&gt;2017&lt;/Year&gt;&lt;RecNum&gt;4946&lt;/RecNum&gt;&lt;DisplayText&gt;(Phung, Luo et al. 2017)&lt;/DisplayText&gt;&lt;record&gt;&lt;rec-number&gt;4946&lt;/rec-number&gt;&lt;foreign-keys&gt;&lt;key app="EN" db-id="9z05dz0praadfuee0zoxzedk9zfe5fxx50z5" timestamp="1523920898"&gt;4946&lt;/key&gt;&lt;/foreign-keys&gt;&lt;ref-type name="Journal Article"&gt;17&lt;/ref-type&gt;&lt;contributors&gt;&lt;authors&gt;&lt;author&gt;Phung, A.&lt;/author&gt;&lt;author&gt;Luo, L.&lt;/author&gt;&lt;author&gt;Breik, N.&lt;/author&gt;&lt;author&gt;Alessi-Severini, S.&lt;/author&gt;&lt;/authors&gt;&lt;/contributors&gt;&lt;auth-address&gt;College of Pharmacy (Phung, Luo, Breik, Alessi-Severini), University of Manitoba, Winnipeg, Manitoba.&lt;/auth-address&gt;&lt;titles&gt;&lt;title&gt;Use of smoking cessation products: A survey of patients in community pharmacies&lt;/title&gt;&lt;secondary-title&gt;Can Pharm J (Ott)&lt;/secondary-title&gt;&lt;alt-title&gt;Canadian pharmacists journal : CPJ = Revue des pharmaciens du Canada : RPC&lt;/alt-title&gt;&lt;/titles&gt;&lt;periodical&gt;&lt;full-title&gt;Can Pharm J (Ott)&lt;/full-title&gt;&lt;abbr-1&gt;Canadian pharmacists journal : CPJ = Revue des pharmaciens du Canada : RPC&lt;/abbr-1&gt;&lt;/periodical&gt;&lt;alt-periodical&gt;&lt;full-title&gt;Can Pharm J (Ott)&lt;/full-title&gt;&lt;abbr-1&gt;Canadian pharmacists journal : CPJ = Revue des pharmaciens du Canada : RPC&lt;/abbr-1&gt;&lt;/alt-periodical&gt;&lt;pages&gt;326-333&lt;/pages&gt;&lt;volume&gt;150&lt;/volume&gt;&lt;number&gt;5&lt;/number&gt;&lt;edition&gt;2017/09/13&lt;/edition&gt;&lt;dates&gt;&lt;year&gt;2017&lt;/year&gt;&lt;pub-dates&gt;&lt;date&gt;Sep-Oct&lt;/date&gt;&lt;/pub-dates&gt;&lt;/dates&gt;&lt;isbn&gt;1715-1635 (Print)&amp;#xD;1715-1635&lt;/isbn&gt;&lt;accession-num&gt;28894502&lt;/accession-num&gt;&lt;urls&gt;&lt;related-urls&gt;&lt;url&gt;https://www.ncbi.nlm.nih.gov/pmc/articles/PMC5582676/pdf/10.1177_1715163517723035.pdf&lt;/url&gt;&lt;/related-urls&gt;&lt;/urls&gt;&lt;custom2&gt;PMC5582676 conflicts of interest with respect to the research, authorship and/or publication of this article.&lt;/custom2&gt;&lt;electronic-resource-num&gt;10.1177/1715163517723035&lt;/electronic-resource-num&gt;&lt;remote-database-provider&gt;NLM&lt;/remote-database-provider&gt;&lt;language&gt;eng&lt;/language&gt;&lt;/record&gt;&lt;/Cite&gt;&lt;/EndNote&gt;</w:instrText>
      </w:r>
      <w:r>
        <w:fldChar w:fldCharType="separate"/>
      </w:r>
      <w:r>
        <w:rPr>
          <w:noProof/>
        </w:rPr>
        <w:t>(Phung, Luo et al. 2017)</w:t>
      </w:r>
      <w:r>
        <w:fldChar w:fldCharType="end"/>
      </w:r>
      <w:r>
        <w:t>.</w:t>
      </w:r>
      <w:r w:rsidRPr="006B051F">
        <w:rPr>
          <w:color w:val="auto"/>
        </w:rPr>
        <w:t xml:space="preserve"> A high percentage of this sample (81%) had used smoking cessation products with the intention to quit, and 60% had attempted to quit within the last year. Previous use of e</w:t>
      </w:r>
      <w:r>
        <w:rPr>
          <w:color w:val="auto"/>
        </w:rPr>
        <w:noBreakHyphen/>
      </w:r>
      <w:r w:rsidRPr="006B051F">
        <w:rPr>
          <w:color w:val="auto"/>
        </w:rPr>
        <w:t xml:space="preserve">cigarettes was reported by 9.2% of smokers and current use by 14.7%. </w:t>
      </w:r>
      <w:r>
        <w:rPr>
          <w:color w:val="auto"/>
        </w:rPr>
        <w:t>E</w:t>
      </w:r>
      <w:r>
        <w:rPr>
          <w:color w:val="auto"/>
        </w:rPr>
        <w:noBreakHyphen/>
        <w:t>cig</w:t>
      </w:r>
      <w:r w:rsidRPr="006B051F">
        <w:rPr>
          <w:color w:val="auto"/>
        </w:rPr>
        <w:t xml:space="preserve">arettes was the preferred smoking cessation method for 97.2% of the sample who had tried them. Nicotine gum was the most widely used smoking cessation method (33% for previous use, 16% for current use) </w:t>
      </w:r>
      <w:r>
        <w:fldChar w:fldCharType="begin"/>
      </w:r>
      <w:r>
        <w:instrText xml:space="preserve"> ADDIN EN.CITE &lt;EndNote&gt;&lt;Cite&gt;&lt;Author&gt;Phung&lt;/Author&gt;&lt;Year&gt;2017&lt;/Year&gt;&lt;RecNum&gt;4946&lt;/RecNum&gt;&lt;DisplayText&gt;(Phung, Luo et al. 2017)&lt;/DisplayText&gt;&lt;record&gt;&lt;rec-number&gt;4946&lt;/rec-number&gt;&lt;foreign-keys&gt;&lt;key app="EN" db-id="9z05dz0praadfuee0zoxzedk9zfe5fxx50z5" timestamp="1523920898"&gt;4946&lt;/key&gt;&lt;/foreign-keys&gt;&lt;ref-type name="Journal Article"&gt;17&lt;/ref-type&gt;&lt;contributors&gt;&lt;authors&gt;&lt;author&gt;Phung, A.&lt;/author&gt;&lt;author&gt;Luo, L.&lt;/author&gt;&lt;author&gt;Breik, N.&lt;/author&gt;&lt;author&gt;Alessi-Severini, S.&lt;/author&gt;&lt;/authors&gt;&lt;/contributors&gt;&lt;auth-address&gt;College of Pharmacy (Phung, Luo, Breik, Alessi-Severini), University of Manitoba, Winnipeg, Manitoba.&lt;/auth-address&gt;&lt;titles&gt;&lt;title&gt;Use of smoking cessation products: A survey of patients in community pharmacies&lt;/title&gt;&lt;secondary-title&gt;Can Pharm J (Ott)&lt;/secondary-title&gt;&lt;alt-title&gt;Canadian pharmacists journal : CPJ = Revue des pharmaciens du Canada : RPC&lt;/alt-title&gt;&lt;/titles&gt;&lt;periodical&gt;&lt;full-title&gt;Can Pharm J (Ott)&lt;/full-title&gt;&lt;abbr-1&gt;Canadian pharmacists journal : CPJ = Revue des pharmaciens du Canada : RPC&lt;/abbr-1&gt;&lt;/periodical&gt;&lt;alt-periodical&gt;&lt;full-title&gt;Can Pharm J (Ott)&lt;/full-title&gt;&lt;abbr-1&gt;Canadian pharmacists journal : CPJ = Revue des pharmaciens du Canada : RPC&lt;/abbr-1&gt;&lt;/alt-periodical&gt;&lt;pages&gt;326-333&lt;/pages&gt;&lt;volume&gt;150&lt;/volume&gt;&lt;number&gt;5&lt;/number&gt;&lt;edition&gt;2017/09/13&lt;/edition&gt;&lt;dates&gt;&lt;year&gt;2017&lt;/year&gt;&lt;pub-dates&gt;&lt;date&gt;Sep-Oct&lt;/date&gt;&lt;/pub-dates&gt;&lt;/dates&gt;&lt;isbn&gt;1715-1635 (Print)&amp;#xD;1715-1635&lt;/isbn&gt;&lt;accession-num&gt;28894502&lt;/accession-num&gt;&lt;urls&gt;&lt;related-urls&gt;&lt;url&gt;https://www.ncbi.nlm.nih.gov/pmc/articles/PMC5582676/pdf/10.1177_1715163517723035.pdf&lt;/url&gt;&lt;/related-urls&gt;&lt;/urls&gt;&lt;custom2&gt;PMC5582676 conflicts of interest with respect to the research, authorship and/or publication of this article.&lt;/custom2&gt;&lt;electronic-resource-num&gt;10.1177/1715163517723035&lt;/electronic-resource-num&gt;&lt;remote-database-provider&gt;NLM&lt;/remote-database-provider&gt;&lt;language&gt;eng&lt;/language&gt;&lt;/record&gt;&lt;/Cite&gt;&lt;/EndNote&gt;</w:instrText>
      </w:r>
      <w:r>
        <w:fldChar w:fldCharType="separate"/>
      </w:r>
      <w:r>
        <w:rPr>
          <w:noProof/>
        </w:rPr>
        <w:t>(Phung, Luo et al. 2017)</w:t>
      </w:r>
      <w:r>
        <w:fldChar w:fldCharType="end"/>
      </w:r>
      <w:r>
        <w:t xml:space="preserve">. </w:t>
      </w:r>
    </w:p>
    <w:p w14:paraId="0537B007" w14:textId="77777777" w:rsidR="00235C5A" w:rsidRDefault="00235C5A" w:rsidP="00235C5A">
      <w:pPr>
        <w:pStyle w:val="BodyText"/>
      </w:pPr>
      <w:r>
        <w:lastRenderedPageBreak/>
        <w:t>The 2013</w:t>
      </w:r>
      <w:r>
        <w:noBreakHyphen/>
        <w:t>14 Population Assessment of Tobacco and Health (PATH) survey, a representative US population</w:t>
      </w:r>
      <w:r>
        <w:noBreakHyphen/>
        <w:t xml:space="preserve">based survey of 16,321 current (70%) and former (30%) smokers also studied popular quit methods </w:t>
      </w:r>
      <w:r>
        <w:fldChar w:fldCharType="begin"/>
      </w:r>
      <w:r>
        <w:instrText xml:space="preserve"> ADDIN EN.CITE &lt;EndNote&gt;&lt;Cite&gt;&lt;Author&gt;Rodu&lt;/Author&gt;&lt;Year&gt;2017&lt;/Year&gt;&lt;RecNum&gt;4798&lt;/RecNum&gt;&lt;DisplayText&gt;(Rodu and Plurphanswat 2017)&lt;/DisplayText&gt;&lt;record&gt;&lt;rec-number&gt;4798&lt;/rec-number&gt;&lt;foreign-keys&gt;&lt;key app="EN" db-id="9z05dz0praadfuee0zoxzedk9zfe5fxx50z5" timestamp="1523920488"&gt;4798&lt;/key&gt;&lt;/foreign-keys&gt;&lt;ref-type name="Journal Article"&gt;17&lt;/ref-type&gt;&lt;contributors&gt;&lt;authors&gt;&lt;author&gt;Rodu, B.&lt;/author&gt;&lt;author&gt;Plurphanswat, N.&lt;/author&gt;&lt;/authors&gt;&lt;/contributors&gt;&lt;auth-address&gt;James Graham Brown Cancer Center, University of Louisville, 505 South Hancock Street, Louisville, KY 40202, USA. brad.rodu@louisville.edu.&amp;#xD;Department of Medicine, School of Medicine, University of Louisville, Louisville, KY 40202, USA. brad.rodu@louisville.edu.&amp;#xD;James Graham Brown Cancer Center, University of Louisville, 505 South Hancock Street, Louisville, KY 40202, USA. nantaporn.plurphanswat@louisville.edu.&lt;/auth-address&gt;&lt;titles&gt;&lt;title&gt;Quit Methods Used by American Smokers, 2013-2014&lt;/title&gt;&lt;secondary-title&gt;Int J Environ Res Public Health&lt;/secondary-title&gt;&lt;alt-title&gt;International journal of environmental research and public health&lt;/alt-title&gt;&lt;/titles&gt;&lt;alt-periodical&gt;&lt;full-title&gt;International Journal of Environmental Research and Public Health&lt;/full-title&gt;&lt;/alt-periodical&gt;&lt;volume&gt;14&lt;/volume&gt;&lt;number&gt;11&lt;/number&gt;&lt;edition&gt;2017/11/18&lt;/edition&gt;&lt;keywords&gt;&lt;keyword&gt;Nrt&lt;/keyword&gt;&lt;keyword&gt;e-cigarettes&lt;/keyword&gt;&lt;keyword&gt;pharmaceutical nicotine&lt;/keyword&gt;&lt;keyword&gt;quit-smoking attempts&lt;/keyword&gt;&lt;keyword&gt;smoking cessation&lt;/keyword&gt;&lt;/keywords&gt;&lt;dates&gt;&lt;year&gt;2017&lt;/year&gt;&lt;pub-dates&gt;&lt;date&gt;Nov 17&lt;/date&gt;&lt;/pub-dates&gt;&lt;/dates&gt;&lt;isbn&gt;1660-4601&lt;/isbn&gt;&lt;accession-num&gt;29149048&lt;/accession-num&gt;&lt;urls&gt;&lt;related-urls&gt;&lt;url&gt;http://www.mdpi.com/1660-4601/14/11/1403/pdf&lt;/url&gt;&lt;/related-urls&gt;&lt;/urls&gt;&lt;custom2&gt;PMC5708042&lt;/custom2&gt;&lt;electronic-resource-num&gt;10.3390/ijerph14111403&lt;/electronic-resource-num&gt;&lt;remote-database-provider&gt;NLM&lt;/remote-database-provider&gt;&lt;language&gt;eng&lt;/language&gt;&lt;/record&gt;&lt;/Cite&gt;&lt;/EndNote&gt;</w:instrText>
      </w:r>
      <w:r>
        <w:fldChar w:fldCharType="separate"/>
      </w:r>
      <w:r>
        <w:rPr>
          <w:noProof/>
        </w:rPr>
        <w:t>(Rodu and Plurphanswat 2017)</w:t>
      </w:r>
      <w:r>
        <w:fldChar w:fldCharType="end"/>
      </w:r>
      <w:r>
        <w:t>.</w:t>
      </w:r>
      <w:r w:rsidRPr="00CB3D5D">
        <w:t xml:space="preserve"> </w:t>
      </w:r>
      <w:r>
        <w:t>Response rate, gender and age were not reported in this study. Of the total sample, 28% had tried and 5% had successfully quit smoking. Current and former smokers were more likely to have used e</w:t>
      </w:r>
      <w:r>
        <w:noBreakHyphen/>
        <w:t>cigarettes to attempt to quit smoking (n=587) than nicotine replacement therapies (n=338) or prescription drugs (n=106). However, the most common method for attempting to quit smoking was ‘unaided’ (2013 n=1797, 2014 n=1831), followed by help from friends and family (n=676). Thus, while data indicates that e</w:t>
      </w:r>
      <w:r>
        <w:noBreakHyphen/>
        <w:t>cigarettes are used, smokers in this study preferred other quit methods.</w:t>
      </w:r>
    </w:p>
    <w:p w14:paraId="011B4BA3" w14:textId="77777777" w:rsidR="00235C5A" w:rsidRDefault="00235C5A" w:rsidP="00235C5A">
      <w:pPr>
        <w:pStyle w:val="BodyText"/>
        <w:rPr>
          <w:color w:val="auto"/>
        </w:rPr>
      </w:pPr>
      <w:r>
        <w:t xml:space="preserve">Another secondary analysis was conducted using data from the 2014 and 2015 PASSI surveys, nationally representative population surveys conducted in Italy </w:t>
      </w:r>
      <w:r>
        <w:fldChar w:fldCharType="begin">
          <w:fldData xml:space="preserve">PEVuZE5vdGU+PENpdGU+PEF1dGhvcj5Hb3Jpbmk8L0F1dGhvcj48WWVhcj4yMDE3PC9ZZWFyPjxS
ZWNOdW0+NTA4NTwvUmVjTnVtPjxEaXNwbGF5VGV4dD4oR29yaW5pLCBGZXJyYW50ZSBldCBhbC4g
MjAxNyk8L0Rpc3BsYXlUZXh0PjxyZWNvcmQ+PHJlYy1udW1iZXI+NTA4NTwvcmVjLW51bWJlcj48
Zm9yZWlnbi1rZXlzPjxrZXkgYXBwPSJFTiIgZGItaWQ9Ijl6MDVkejBwcmFhZGZ1ZWUwem94emVk
azl6ZmU1Znh4NTB6NSIgdGltZXN0YW1wPSIxNTIzOTIwOTE5Ij41MDg1PC9rZXk+PC9mb3JlaWdu
LWtleXM+PHJlZi10eXBlIG5hbWU9IkpvdXJuYWwgQXJ0aWNsZSI+MTc8L3JlZi10eXBlPjxjb250
cmlidXRvcnM+PGF1dGhvcnM+PGF1dGhvcj5Hb3JpbmksIEcuPC9hdXRob3I+PGF1dGhvcj5GZXJy
YW50ZSwgRy48L2F1dGhvcj48YXV0aG9yPlF1YXJjaGlvbmksIEUuPC9hdXRob3I+PGF1dGhvcj5N
aW5hcmRpLCBWLjwvYXV0aG9yPjxhdXRob3I+TWFzb2NjbywgTS48L2F1dGhvcj48YXV0aG9yPkZh
dGVoLU1vZ2hhZGFtLCBQLjwvYXV0aG9yPjxhdXRob3I+Q2FtcG9zdHJpbmksIFMuPC9hdXRob3I+
PGF1dGhvcj5EJmFwb3M7QXJnZW5pbywgUC48L2F1dGhvcj48YXV0aG9yPkdhbGVvbmUsIEQuPC9h
dXRob3I+PC9hdXRob3JzPjwvY29udHJpYnV0b3JzPjxhdXRoLWFkZHJlc3M+T2NjdXBhdGlvbmFs
ICZhbXA7IEVudmlyb25tZW50YWwgRXBpZGVtaW9sb2d5IFNlY3Rpb24sIENhbmNlciBSZXNlYXJj
aCAmYW1wOyBQcmV2ZW50aW9uIEluc3RpdHV0ZSAoSVNQTyksIEZsb3JlbmNlLCBJdGFseS4mI3hE
O05hdGlvbmFsIEluc3RpdHV0ZSBvZiBIZWFsdGggKElTUyksIFJvbWUsIEl0YWx5LiBFbGVjdHJv
bmljIGFkZHJlc3M6IGdpYW5sdWlnaS5mZXJyYW50ZUBpc3MuaXQuJiN4RDtOYXRpb25hbCBJbnN0
aXR1dGUgb2YgSGVhbHRoIChJU1MpLCBSb21lLCBJdGFseS4mI3hEO0hlYWx0aCBFZHVjYXRpb24g
U2VydmljZSwgUHJvdmluY2lhbCBBZ2VuY3kgZm9yIEhlYWx0aCBTZXJ2aWNlcywgVHJlbnRvLCBJ
dGFseS4mI3hEO0RlcGFydG1lbnQgb2YgU3RhdGlzdGljcywgQ2EmYXBvczsgRm9zY2FyaSBVbml2
ZXJzaXR5LCBWZW5pY2UsIEl0YWx5LiYjeEQ7UEFTU0kgY29vcmRpbmF0aW5nIGdyb3VwLCBJdGFs
eS4mI3hEO0l0YWxpYW4gTWluaXN0cnkgb2YgSGVhbHRoLCBDZW50ZXIgZm9yIERpc2Vhc2UgUHJl
dmVudGlvbiBhbmQgQ29udHJvbCwgUm9tZSwgSXRhbHkuPC9hdXRoLWFkZHJlc3M+PHRpdGxlcz48
dGl0bGU+RWxlY3Ryb25pYyBjaWdhcmV0dGUgdXNlIGFzIGFuIGFpZCB0byBxdWl0IHNtb2tpbmcg
aW4gdGhlIHJlcHJlc2VudGF0aXZlIEl0YWxpYW4gcG9wdWxhdGlvbiBQQVNTSSBzdXJ2ZXk8L3Rp
dGxlPjxzZWNvbmRhcnktdGl0bGU+UHJldiBNZWQ8L3NlY29uZGFyeS10aXRsZT48YWx0LXRpdGxl
PlByZXZlbnRpdmUgbWVkaWNpbmU8L2FsdC10aXRsZT48L3RpdGxlcz48YWx0LXBlcmlvZGljYWw+
PGZ1bGwtdGl0bGU+UHJldmVudGl2ZSBNZWRpY2luZTwvZnVsbC10aXRsZT48L2FsdC1wZXJpb2Rp
Y2FsPjxwYWdlcz4xLTU8L3BhZ2VzPjx2b2x1bWU+MTAyPC92b2x1bWU+PGVkaXRpb24+MjAxNy8w
Ni8yODwvZWRpdGlvbj48a2V5d29yZHM+PGtleXdvcmQ+Q3Jvc3Mtc2VjdGlvbmFsIHN1cnZleTwv
a2V5d29yZD48a2V5d29yZD5FLWNpZ2FyZXR0ZXM8L2tleXdvcmQ+PGtleXdvcmQ+SXRhbHk8L2tl
eXdvcmQ+PGtleXdvcmQ+U21va2luZyBjZXNzYXRpb24gbWV0aG9kPC9rZXl3b3JkPjwva2V5d29y
ZHM+PGRhdGVzPjx5ZWFyPjIwMTc8L3llYXI+PHB1Yi1kYXRlcz48ZGF0ZT5TZXA8L2RhdGU+PC9w
dWItZGF0ZXM+PC9kYXRlcz48aXNibj4wMDkxLTc0MzU8L2lzYm4+PGFjY2Vzc2lvbi1udW0+Mjg2
NTIwODg8L2FjY2Vzc2lvbi1udW0+PHVybHM+PHJlbGF0ZWQtdXJscz48dXJsPmh0dHBzOi8vd3d3
LnNjaWVuY2VkaXJlY3QuY29tL3NjaWVuY2UvYXJ0aWNsZS9waWkvUzAwOTE3NDM1MTczMDIzMTE/
dmlhJTNEaWh1YjwvdXJsPjwvcmVsYXRlZC11cmxzPjwvdXJscz48ZWxlY3Ryb25pYy1yZXNvdXJj
ZS1udW0+MTAuMTAxNi9qLnlwbWVkLjIwMTcuMDYuMDI5PC9lbGVjdHJvbmljLXJlc291cmNlLW51
bT48cmVtb3RlLWRhdGFiYXNlLXByb3ZpZGVyPk5MTTwvcmVtb3RlLWRhdGFiYXNlLXByb3ZpZGVy
PjxsYW5ndWFnZT5lbmc8L2xhbmd1YWdlPjwvcmVjb3JkPjwvQ2l0ZT48L0VuZE5vdGU+AG==
</w:fldData>
        </w:fldChar>
      </w:r>
      <w:r>
        <w:instrText xml:space="preserve"> ADDIN EN.CITE </w:instrText>
      </w:r>
      <w:r>
        <w:fldChar w:fldCharType="begin">
          <w:fldData xml:space="preserve">PEVuZE5vdGU+PENpdGU+PEF1dGhvcj5Hb3Jpbmk8L0F1dGhvcj48WWVhcj4yMDE3PC9ZZWFyPjxS
ZWNOdW0+NTA4NTwvUmVjTnVtPjxEaXNwbGF5VGV4dD4oR29yaW5pLCBGZXJyYW50ZSBldCBhbC4g
MjAxNyk8L0Rpc3BsYXlUZXh0PjxyZWNvcmQ+PHJlYy1udW1iZXI+NTA4NTwvcmVjLW51bWJlcj48
Zm9yZWlnbi1rZXlzPjxrZXkgYXBwPSJFTiIgZGItaWQ9Ijl6MDVkejBwcmFhZGZ1ZWUwem94emVk
azl6ZmU1Znh4NTB6NSIgdGltZXN0YW1wPSIxNTIzOTIwOTE5Ij41MDg1PC9rZXk+PC9mb3JlaWdu
LWtleXM+PHJlZi10eXBlIG5hbWU9IkpvdXJuYWwgQXJ0aWNsZSI+MTc8L3JlZi10eXBlPjxjb250
cmlidXRvcnM+PGF1dGhvcnM+PGF1dGhvcj5Hb3JpbmksIEcuPC9hdXRob3I+PGF1dGhvcj5GZXJy
YW50ZSwgRy48L2F1dGhvcj48YXV0aG9yPlF1YXJjaGlvbmksIEUuPC9hdXRob3I+PGF1dGhvcj5N
aW5hcmRpLCBWLjwvYXV0aG9yPjxhdXRob3I+TWFzb2NjbywgTS48L2F1dGhvcj48YXV0aG9yPkZh
dGVoLU1vZ2hhZGFtLCBQLjwvYXV0aG9yPjxhdXRob3I+Q2FtcG9zdHJpbmksIFMuPC9hdXRob3I+
PGF1dGhvcj5EJmFwb3M7QXJnZW5pbywgUC48L2F1dGhvcj48YXV0aG9yPkdhbGVvbmUsIEQuPC9h
dXRob3I+PC9hdXRob3JzPjwvY29udHJpYnV0b3JzPjxhdXRoLWFkZHJlc3M+T2NjdXBhdGlvbmFs
ICZhbXA7IEVudmlyb25tZW50YWwgRXBpZGVtaW9sb2d5IFNlY3Rpb24sIENhbmNlciBSZXNlYXJj
aCAmYW1wOyBQcmV2ZW50aW9uIEluc3RpdHV0ZSAoSVNQTyksIEZsb3JlbmNlLCBJdGFseS4mI3hE
O05hdGlvbmFsIEluc3RpdHV0ZSBvZiBIZWFsdGggKElTUyksIFJvbWUsIEl0YWx5LiBFbGVjdHJv
bmljIGFkZHJlc3M6IGdpYW5sdWlnaS5mZXJyYW50ZUBpc3MuaXQuJiN4RDtOYXRpb25hbCBJbnN0
aXR1dGUgb2YgSGVhbHRoIChJU1MpLCBSb21lLCBJdGFseS4mI3hEO0hlYWx0aCBFZHVjYXRpb24g
U2VydmljZSwgUHJvdmluY2lhbCBBZ2VuY3kgZm9yIEhlYWx0aCBTZXJ2aWNlcywgVHJlbnRvLCBJ
dGFseS4mI3hEO0RlcGFydG1lbnQgb2YgU3RhdGlzdGljcywgQ2EmYXBvczsgRm9zY2FyaSBVbml2
ZXJzaXR5LCBWZW5pY2UsIEl0YWx5LiYjeEQ7UEFTU0kgY29vcmRpbmF0aW5nIGdyb3VwLCBJdGFs
eS4mI3hEO0l0YWxpYW4gTWluaXN0cnkgb2YgSGVhbHRoLCBDZW50ZXIgZm9yIERpc2Vhc2UgUHJl
dmVudGlvbiBhbmQgQ29udHJvbCwgUm9tZSwgSXRhbHkuPC9hdXRoLWFkZHJlc3M+PHRpdGxlcz48
dGl0bGU+RWxlY3Ryb25pYyBjaWdhcmV0dGUgdXNlIGFzIGFuIGFpZCB0byBxdWl0IHNtb2tpbmcg
aW4gdGhlIHJlcHJlc2VudGF0aXZlIEl0YWxpYW4gcG9wdWxhdGlvbiBQQVNTSSBzdXJ2ZXk8L3Rp
dGxlPjxzZWNvbmRhcnktdGl0bGU+UHJldiBNZWQ8L3NlY29uZGFyeS10aXRsZT48YWx0LXRpdGxl
PlByZXZlbnRpdmUgbWVkaWNpbmU8L2FsdC10aXRsZT48L3RpdGxlcz48YWx0LXBlcmlvZGljYWw+
PGZ1bGwtdGl0bGU+UHJldmVudGl2ZSBNZWRpY2luZTwvZnVsbC10aXRsZT48L2FsdC1wZXJpb2Rp
Y2FsPjxwYWdlcz4xLTU8L3BhZ2VzPjx2b2x1bWU+MTAyPC92b2x1bWU+PGVkaXRpb24+MjAxNy8w
Ni8yODwvZWRpdGlvbj48a2V5d29yZHM+PGtleXdvcmQ+Q3Jvc3Mtc2VjdGlvbmFsIHN1cnZleTwv
a2V5d29yZD48a2V5d29yZD5FLWNpZ2FyZXR0ZXM8L2tleXdvcmQ+PGtleXdvcmQ+SXRhbHk8L2tl
eXdvcmQ+PGtleXdvcmQ+U21va2luZyBjZXNzYXRpb24gbWV0aG9kPC9rZXl3b3JkPjwva2V5d29y
ZHM+PGRhdGVzPjx5ZWFyPjIwMTc8L3llYXI+PHB1Yi1kYXRlcz48ZGF0ZT5TZXA8L2RhdGU+PC9w
dWItZGF0ZXM+PC9kYXRlcz48aXNibj4wMDkxLTc0MzU8L2lzYm4+PGFjY2Vzc2lvbi1udW0+Mjg2
NTIwODg8L2FjY2Vzc2lvbi1udW0+PHVybHM+PHJlbGF0ZWQtdXJscz48dXJsPmh0dHBzOi8vd3d3
LnNjaWVuY2VkaXJlY3QuY29tL3NjaWVuY2UvYXJ0aWNsZS9waWkvUzAwOTE3NDM1MTczMDIzMTE/
dmlhJTNEaWh1YjwvdXJsPjwvcmVsYXRlZC11cmxzPjwvdXJscz48ZWxlY3Ryb25pYy1yZXNvdXJj
ZS1udW0+MTAuMTAxNi9qLnlwbWVkLjIwMTcuMDYuMDI5PC9lbGVjdHJvbmljLXJlc291cmNlLW51
bT48cmVtb3RlLWRhdGFiYXNlLXByb3ZpZGVyPk5MTTwvcmVtb3RlLWRhdGFiYXNlLXByb3ZpZGVy
PjxsYW5ndWFnZT5lbmc8L2xhbmd1YWdlPjwvcmVjb3JkPjwvQ2l0ZT48L0VuZE5vdGU+AG==
</w:fldData>
        </w:fldChar>
      </w:r>
      <w:r>
        <w:instrText xml:space="preserve"> ADDIN EN.CITE.DATA </w:instrText>
      </w:r>
      <w:r>
        <w:fldChar w:fldCharType="end"/>
      </w:r>
      <w:r>
        <w:fldChar w:fldCharType="separate"/>
      </w:r>
      <w:r>
        <w:rPr>
          <w:noProof/>
        </w:rPr>
        <w:t>(Gorini, Ferrante et al. 2017)</w:t>
      </w:r>
      <w:r>
        <w:fldChar w:fldCharType="end"/>
      </w:r>
      <w:r>
        <w:t>. 6,112 smokers were included in the study, aged 18</w:t>
      </w:r>
      <w:r>
        <w:noBreakHyphen/>
        <w:t xml:space="preserve">69 years (see table </w:t>
      </w:r>
      <w:r w:rsidR="00F0285D">
        <w:t>12</w:t>
      </w:r>
      <w:r>
        <w:t xml:space="preserve"> for details) and the population was 56.1% male. Response rates for these studies were relatively high (2014: 83%, 2015: 82%). Quit attempts were measured and quit methods analysed. The researchers found that the most common quit methods used by Italians in 2014</w:t>
      </w:r>
      <w:r>
        <w:noBreakHyphen/>
        <w:t>15 were no aid (86%) and e</w:t>
      </w:r>
      <w:r>
        <w:noBreakHyphen/>
        <w:t>cigarettes only (11%). The remaining 3% were largely undefined but included smoking cessation programs. These findings indicate that while e</w:t>
      </w:r>
      <w:r>
        <w:noBreakHyphen/>
        <w:t>cigarettes were the second most preferred smoking cessation method, a much larger number of participants preferred using no aid.</w:t>
      </w:r>
      <w:r w:rsidRPr="00D012E5">
        <w:rPr>
          <w:color w:val="auto"/>
        </w:rPr>
        <w:t xml:space="preserve"> </w:t>
      </w:r>
    </w:p>
    <w:p w14:paraId="289D7105" w14:textId="03B2F07B" w:rsidR="00A126FF" w:rsidRDefault="00235C5A" w:rsidP="00235C5A">
      <w:pPr>
        <w:pStyle w:val="BodyText"/>
        <w:rPr>
          <w:color w:val="auto"/>
        </w:rPr>
      </w:pPr>
      <w:r>
        <w:t>One study conducted a cross</w:t>
      </w:r>
      <w:r>
        <w:noBreakHyphen/>
        <w:t>sectional secondary analysis of a longitudinal US community postal survey of 15,943 current adult smokers, aged &gt;18 (36.9% aged 35</w:t>
      </w:r>
      <w:r>
        <w:noBreakHyphen/>
        <w:t xml:space="preserve">54 years) and who were 51.3% male. This analysis included </w:t>
      </w:r>
      <w:r w:rsidR="00A126FF">
        <w:t xml:space="preserve">only </w:t>
      </w:r>
      <w:r>
        <w:t xml:space="preserve">smokers who had attempted to quit smoking in the past </w:t>
      </w:r>
      <w:r w:rsidR="000E5C99">
        <w:t>three</w:t>
      </w:r>
      <w:r>
        <w:t xml:space="preserve"> months. Participants reported all methods used to attempt to quit smoking over the previous </w:t>
      </w:r>
      <w:r w:rsidR="000E5C99">
        <w:t>three</w:t>
      </w:r>
      <w:r>
        <w:t xml:space="preserve"> months </w:t>
      </w:r>
      <w:r>
        <w:fldChar w:fldCharType="begin">
          <w:fldData xml:space="preserve">PEVuZE5vdGU+PENpdGU+PEF1dGhvcj5DYXJhYmFsbG88L0F1dGhvcj48WWVhcj4yMDE3PC9ZZWFy
PjxSZWNOdW0+NTIyMzwvUmVjTnVtPjxEaXNwbGF5VGV4dD4oQ2FyYWJhbGxvLCBTaGFmZXIgZXQg
YWwuIDIwMTcpPC9EaXNwbGF5VGV4dD48cmVjb3JkPjxyZWMtbnVtYmVyPjUyMjM8L3JlYy1udW1i
ZXI+PGZvcmVpZ24ta2V5cz48a2V5IGFwcD0iRU4iIGRiLWlkPSI5ejA1ZHowcHJhYWRmdWVlMHpv
eHplZGs5emZlNWZ4eDUwejUiIHRpbWVzdGFtcD0iMTUyMzkyMDkzNSI+NTIyMzwva2V5PjwvZm9y
ZWlnbi1rZXlzPjxyZWYtdHlwZSBuYW1lPSJKb3VybmFsIEFydGljbGUiPjE3PC9yZWYtdHlwZT48
Y29udHJpYnV0b3JzPjxhdXRob3JzPjxhdXRob3I+Q2FyYWJhbGxvLCBSLiBTLjwvYXV0aG9yPjxh
dXRob3I+U2hhZmVyLCBQLiBSLjwvYXV0aG9yPjxhdXRob3I+UGF0ZWwsIEQuPC9hdXRob3I+PGF1
dGhvcj5EYXZpcywgSy4gQy48L2F1dGhvcj48YXV0aG9yPk1jQWZlZSwgVC4gQS48L2F1dGhvcj48
L2F1dGhvcnM+PC9jb250cmlidXRvcnM+PGF1dGgtYWRkcmVzcz5PZmZpY2Ugb24gU21va2luZyBh
bmQgSGVhbHRoLCBOYXRpb25hbCBDZW50ZXIgZm9yIENocm9uaWMgRGlzZWFzZSBQcmV2ZW50aW9u
IGFuZCBIZWFsdGggUHJvbW90aW9uLCBDZW50ZXJzIGZvciBEaXNlYXNlIENvbnRyb2wgYW5kIFBy
ZXZlbnRpb24sIDQ3NzAgQnVmb3JkIEh3eSBORSwgTVMgRi03OSwgQXRsYW50YSwgR0EgMzAzNDEt
MzcxNy4gRW1haWw6IHJmYzhAY2RjLmdvdi4mI3hEO0NlbnRlciBmb3IgSGVhbHRoIFBvbGljeSBT
Y2llbmNlIGFuZCBUb2JhY2NvIFJlc2VhcmNoLCBSVEkgSW50ZXJuYXRpb25hbCwgUmVzZWFyY2gg
VHJpYW5nbGUgUGFyaywgTm9ydGggQ2Fyb2xpbmEuJiN4RDtEZXBhcnRtZW50IG9mIEhlYWx0aCBQ
b2xpY3kgYW5kIE1hbmFnZW1lbnQsIEdpbGxpbmdzIFNjaG9vbCBvZiBHbG9iYWwgUHVibGljIEhl
YWx0aCwgVW5pdmVyc2l0eSBvZiBOb3J0aCBDYXJvbGluYSBhdCBDaGFwZWwgSGlsbCwgQ2hhcGVs
IEhpbGwsIE5vcnRoIENhcm9saW5hLiYjeEQ7TmF0aW9uYWwgQ2VudGVyIGZvciBISVYvQUlEUywg
VmlyYWwgSGVwYXRpdGlzLCBTVEQsIGFuZCBUQiBQcmV2ZW50aW9uLCBEaXZpc2lvbiBvZiBISVYv
QUlEUyBQcmV2ZW50aW9uLUludGVydmVudGlvbiBSZXNlYXJjaCBhbmQgU3VwcG9ydCwgQ2VudGVy
cyBmb3IgRGlzZWFzZSBDb250cm9sIGFuZCBQcmV2ZW50aW9uLCBBdGxhbnRhLCBHZW9yZ2lhLiYj
eEQ7TmF0aW9uYWwgQ2VudGVyIGZvciBDaHJvbmljIERpc2Vhc2UgUHJldmVudGlvbiBhbmQgSGVh
bHRoIFByb21vdGlvbiwgT2ZmaWNlIG9uIFNtb2tpbmcgYW5kIEhlYWx0aCwgQ2VudGVycyBmb3Ig
RGlzZWFzZSBDb250cm9sIGFuZCBQcmV2ZW50aW9uLCBBdGxhbnRhLCBHZW9yZ2lhLjwvYXV0aC1h
ZGRyZXNzPjx0aXRsZXM+PHRpdGxlPlF1aXQgTWV0aG9kcyBVc2VkIGJ5IFVTIEFkdWx0IENpZ2Fy
ZXR0ZSBTbW9rZXJzLCAyMDE0LTIwMTY8L3RpdGxlPjxzZWNvbmRhcnktdGl0bGU+UHJldiBDaHJv
bmljIERpczwvc2Vjb25kYXJ5LXRpdGxlPjxhbHQtdGl0bGU+UHJldmVudGluZyBjaHJvbmljIGRp
c2Vhc2U8L2FsdC10aXRsZT48L3RpdGxlcz48YWx0LXBlcmlvZGljYWw+PGZ1bGwtdGl0bGU+UHJl
dmVudGluZyBDaHJvbmljIERpc2Vhc2U8L2Z1bGwtdGl0bGU+PC9hbHQtcGVyaW9kaWNhbD48cGFn
ZXM+RTMyPC9wYWdlcz48dm9sdW1lPjE0PC92b2x1bWU+PGVkaXRpb24+MjAxNy8wNC8xNTwvZWRp
dGlvbj48a2V5d29yZHM+PGtleXdvcmQ+QWR1bHQ8L2tleXdvcmQ+PGtleXdvcmQ+Q2lnYXJldHRl
IFNtb2tpbmcvKmVwaWRlbWlvbG9neTwva2V5d29yZD48a2V5d29yZD5FZHVjYXRpb25hbCBTdGF0
dXM8L2tleXdvcmQ+PGtleXdvcmQ+KkVsZWN0cm9uaWMgTmljb3RpbmUgRGVsaXZlcnkgU3lzdGVt
czwva2V5d29yZD48a2V5d29yZD5GZW1hbGU8L2tleXdvcmQ+PGtleXdvcmQ+SHVtYW5zPC9rZXl3
b3JkPjxrZXl3b3JkPk1hbGU8L2tleXdvcmQ+PGtleXdvcmQ+TWlkZGxlIEFnZWQ8L2tleXdvcmQ+
PGtleXdvcmQ+U21va2luZyBDZXNzYXRpb24vKm1ldGhvZHM8L2tleXdvcmQ+PGtleXdvcmQ+U29j
aW9lY29ub21pYyBGYWN0b3JzPC9rZXl3b3JkPjxrZXl3b3JkPipUb2JhY2NvIFVzZSBDZXNzYXRp
b24gUHJvZHVjdHM8L2tleXdvcmQ+PGtleXdvcmQ+VW5pdGVkIFN0YXRlczwva2V5d29yZD48L2tl
eXdvcmRzPjxkYXRlcz48eWVhcj4yMDE3PC95ZWFyPjxwdWItZGF0ZXM+PGRhdGU+QXByIDEzPC9k
YXRlPjwvcHViLWRhdGVzPjwvZGF0ZXM+PGlzYm4+MTU0NS0xMTUxPC9pc2JuPjxhY2Nlc3Npb24t
bnVtPjI4NDA5NzQwPC9hY2Nlc3Npb24tbnVtPjx1cmxzPjxyZWxhdGVkLXVybHM+PHVybD5odHRw
czovL3d3dy5uY2JpLm5sbS5uaWguZ292L3BtYy9hcnRpY2xlcy9QTUM1MzkyNDQ2L3BkZi9QQ0Qt
MTQtRTMyLnBkZjwvdXJsPjwvcmVsYXRlZC11cmxzPjwvdXJscz48Y3VzdG9tMj5QTUM1MzkyNDQ2
PC9jdXN0b20yPjxlbGVjdHJvbmljLXJlc291cmNlLW51bT4xMC41ODg4L3BjZDE0LjE2MDYwMDwv
ZWxlY3Ryb25pYy1yZXNvdXJjZS1udW0+PHJlbW90ZS1kYXRhYmFzZS1wcm92aWRlcj5OTE08L3Jl
bW90ZS1kYXRhYmFzZS1wcm92aWRlcj48bGFuZ3VhZ2U+ZW5nPC9sYW5ndWFnZT48L3JlY29yZD48
L0NpdGU+PC9FbmROb3RlPgB=
</w:fldData>
        </w:fldChar>
      </w:r>
      <w:r>
        <w:instrText xml:space="preserve"> ADDIN EN.CITE </w:instrText>
      </w:r>
      <w:r>
        <w:fldChar w:fldCharType="begin">
          <w:fldData xml:space="preserve">PEVuZE5vdGU+PENpdGU+PEF1dGhvcj5DYXJhYmFsbG88L0F1dGhvcj48WWVhcj4yMDE3PC9ZZWFy
PjxSZWNOdW0+NTIyMzwvUmVjTnVtPjxEaXNwbGF5VGV4dD4oQ2FyYWJhbGxvLCBTaGFmZXIgZXQg
YWwuIDIwMTcpPC9EaXNwbGF5VGV4dD48cmVjb3JkPjxyZWMtbnVtYmVyPjUyMjM8L3JlYy1udW1i
ZXI+PGZvcmVpZ24ta2V5cz48a2V5IGFwcD0iRU4iIGRiLWlkPSI5ejA1ZHowcHJhYWRmdWVlMHpv
eHplZGs5emZlNWZ4eDUwejUiIHRpbWVzdGFtcD0iMTUyMzkyMDkzNSI+NTIyMzwva2V5PjwvZm9y
ZWlnbi1rZXlzPjxyZWYtdHlwZSBuYW1lPSJKb3VybmFsIEFydGljbGUiPjE3PC9yZWYtdHlwZT48
Y29udHJpYnV0b3JzPjxhdXRob3JzPjxhdXRob3I+Q2FyYWJhbGxvLCBSLiBTLjwvYXV0aG9yPjxh
dXRob3I+U2hhZmVyLCBQLiBSLjwvYXV0aG9yPjxhdXRob3I+UGF0ZWwsIEQuPC9hdXRob3I+PGF1
dGhvcj5EYXZpcywgSy4gQy48L2F1dGhvcj48YXV0aG9yPk1jQWZlZSwgVC4gQS48L2F1dGhvcj48
L2F1dGhvcnM+PC9jb250cmlidXRvcnM+PGF1dGgtYWRkcmVzcz5PZmZpY2Ugb24gU21va2luZyBh
bmQgSGVhbHRoLCBOYXRpb25hbCBDZW50ZXIgZm9yIENocm9uaWMgRGlzZWFzZSBQcmV2ZW50aW9u
IGFuZCBIZWFsdGggUHJvbW90aW9uLCBDZW50ZXJzIGZvciBEaXNlYXNlIENvbnRyb2wgYW5kIFBy
ZXZlbnRpb24sIDQ3NzAgQnVmb3JkIEh3eSBORSwgTVMgRi03OSwgQXRsYW50YSwgR0EgMzAzNDEt
MzcxNy4gRW1haWw6IHJmYzhAY2RjLmdvdi4mI3hEO0NlbnRlciBmb3IgSGVhbHRoIFBvbGljeSBT
Y2llbmNlIGFuZCBUb2JhY2NvIFJlc2VhcmNoLCBSVEkgSW50ZXJuYXRpb25hbCwgUmVzZWFyY2gg
VHJpYW5nbGUgUGFyaywgTm9ydGggQ2Fyb2xpbmEuJiN4RDtEZXBhcnRtZW50IG9mIEhlYWx0aCBQ
b2xpY3kgYW5kIE1hbmFnZW1lbnQsIEdpbGxpbmdzIFNjaG9vbCBvZiBHbG9iYWwgUHVibGljIEhl
YWx0aCwgVW5pdmVyc2l0eSBvZiBOb3J0aCBDYXJvbGluYSBhdCBDaGFwZWwgSGlsbCwgQ2hhcGVs
IEhpbGwsIE5vcnRoIENhcm9saW5hLiYjeEQ7TmF0aW9uYWwgQ2VudGVyIGZvciBISVYvQUlEUywg
VmlyYWwgSGVwYXRpdGlzLCBTVEQsIGFuZCBUQiBQcmV2ZW50aW9uLCBEaXZpc2lvbiBvZiBISVYv
QUlEUyBQcmV2ZW50aW9uLUludGVydmVudGlvbiBSZXNlYXJjaCBhbmQgU3VwcG9ydCwgQ2VudGVy
cyBmb3IgRGlzZWFzZSBDb250cm9sIGFuZCBQcmV2ZW50aW9uLCBBdGxhbnRhLCBHZW9yZ2lhLiYj
eEQ7TmF0aW9uYWwgQ2VudGVyIGZvciBDaHJvbmljIERpc2Vhc2UgUHJldmVudGlvbiBhbmQgSGVh
bHRoIFByb21vdGlvbiwgT2ZmaWNlIG9uIFNtb2tpbmcgYW5kIEhlYWx0aCwgQ2VudGVycyBmb3Ig
RGlzZWFzZSBDb250cm9sIGFuZCBQcmV2ZW50aW9uLCBBdGxhbnRhLCBHZW9yZ2lhLjwvYXV0aC1h
ZGRyZXNzPjx0aXRsZXM+PHRpdGxlPlF1aXQgTWV0aG9kcyBVc2VkIGJ5IFVTIEFkdWx0IENpZ2Fy
ZXR0ZSBTbW9rZXJzLCAyMDE0LTIwMTY8L3RpdGxlPjxzZWNvbmRhcnktdGl0bGU+UHJldiBDaHJv
bmljIERpczwvc2Vjb25kYXJ5LXRpdGxlPjxhbHQtdGl0bGU+UHJldmVudGluZyBjaHJvbmljIGRp
c2Vhc2U8L2FsdC10aXRsZT48L3RpdGxlcz48YWx0LXBlcmlvZGljYWw+PGZ1bGwtdGl0bGU+UHJl
dmVudGluZyBDaHJvbmljIERpc2Vhc2U8L2Z1bGwtdGl0bGU+PC9hbHQtcGVyaW9kaWNhbD48cGFn
ZXM+RTMyPC9wYWdlcz48dm9sdW1lPjE0PC92b2x1bWU+PGVkaXRpb24+MjAxNy8wNC8xNTwvZWRp
dGlvbj48a2V5d29yZHM+PGtleXdvcmQ+QWR1bHQ8L2tleXdvcmQ+PGtleXdvcmQ+Q2lnYXJldHRl
IFNtb2tpbmcvKmVwaWRlbWlvbG9neTwva2V5d29yZD48a2V5d29yZD5FZHVjYXRpb25hbCBTdGF0
dXM8L2tleXdvcmQ+PGtleXdvcmQ+KkVsZWN0cm9uaWMgTmljb3RpbmUgRGVsaXZlcnkgU3lzdGVt
czwva2V5d29yZD48a2V5d29yZD5GZW1hbGU8L2tleXdvcmQ+PGtleXdvcmQ+SHVtYW5zPC9rZXl3
b3JkPjxrZXl3b3JkPk1hbGU8L2tleXdvcmQ+PGtleXdvcmQ+TWlkZGxlIEFnZWQ8L2tleXdvcmQ+
PGtleXdvcmQ+U21va2luZyBDZXNzYXRpb24vKm1ldGhvZHM8L2tleXdvcmQ+PGtleXdvcmQ+U29j
aW9lY29ub21pYyBGYWN0b3JzPC9rZXl3b3JkPjxrZXl3b3JkPipUb2JhY2NvIFVzZSBDZXNzYXRp
b24gUHJvZHVjdHM8L2tleXdvcmQ+PGtleXdvcmQ+VW5pdGVkIFN0YXRlczwva2V5d29yZD48L2tl
eXdvcmRzPjxkYXRlcz48eWVhcj4yMDE3PC95ZWFyPjxwdWItZGF0ZXM+PGRhdGU+QXByIDEzPC9k
YXRlPjwvcHViLWRhdGVzPjwvZGF0ZXM+PGlzYm4+MTU0NS0xMTUxPC9pc2JuPjxhY2Nlc3Npb24t
bnVtPjI4NDA5NzQwPC9hY2Nlc3Npb24tbnVtPjx1cmxzPjxyZWxhdGVkLXVybHM+PHVybD5odHRw
czovL3d3dy5uY2JpLm5sbS5uaWguZ292L3BtYy9hcnRpY2xlcy9QTUM1MzkyNDQ2L3BkZi9QQ0Qt
MTQtRTMyLnBkZjwvdXJsPjwvcmVsYXRlZC11cmxzPjwvdXJscz48Y3VzdG9tMj5QTUM1MzkyNDQ2
PC9jdXN0b20yPjxlbGVjdHJvbmljLXJlc291cmNlLW51bT4xMC41ODg4L3BjZDE0LjE2MDYwMDwv
ZWxlY3Ryb25pYy1yZXNvdXJjZS1udW0+PHJlbW90ZS1kYXRhYmFzZS1wcm92aWRlcj5OTE08L3Jl
bW90ZS1kYXRhYmFzZS1wcm92aWRlcj48bGFuZ3VhZ2U+ZW5nPC9sYW5ndWFnZT48L3JlY29yZD48
L0NpdGU+PC9FbmROb3RlPgB=
</w:fldData>
        </w:fldChar>
      </w:r>
      <w:r>
        <w:instrText xml:space="preserve"> ADDIN EN.CITE.DATA </w:instrText>
      </w:r>
      <w:r>
        <w:fldChar w:fldCharType="end"/>
      </w:r>
      <w:r>
        <w:fldChar w:fldCharType="separate"/>
      </w:r>
      <w:r>
        <w:rPr>
          <w:noProof/>
        </w:rPr>
        <w:t>(Caraballo, Shafer et al. 2017)</w:t>
      </w:r>
      <w:r>
        <w:fldChar w:fldCharType="end"/>
      </w:r>
      <w:r>
        <w:t>. Initial response rates were not reported, however 50.2% completed the follow</w:t>
      </w:r>
      <w:r>
        <w:noBreakHyphen/>
        <w:t xml:space="preserve">up surveys. </w:t>
      </w:r>
      <w:r w:rsidR="00A126FF">
        <w:t>Overall 74.7% of the adult current smokers had used multiple quit methods in their most recent attempt. T</w:t>
      </w:r>
      <w:r>
        <w:t>he most reported smoking cessation methods were g</w:t>
      </w:r>
      <w:r w:rsidRPr="00336DC1">
        <w:t>iving up cigarettes all at once</w:t>
      </w:r>
      <w:r>
        <w:t xml:space="preserve"> (65.3%) and </w:t>
      </w:r>
      <w:r w:rsidRPr="00336DC1">
        <w:t>gradually cutting back on cigarettes (62.0%)</w:t>
      </w:r>
      <w:r>
        <w:t xml:space="preserve">, followed by </w:t>
      </w:r>
      <w:r w:rsidR="00A126FF">
        <w:t xml:space="preserve">substituting some cigarettes with </w:t>
      </w:r>
      <w:r>
        <w:t>e</w:t>
      </w:r>
      <w:r>
        <w:noBreakHyphen/>
        <w:t>cigarettes (35.5%), nicotine patches and gum (25.4%), abruptly switching to e</w:t>
      </w:r>
      <w:r>
        <w:noBreakHyphen/>
        <w:t xml:space="preserve">cigarettes (24.7%), </w:t>
      </w:r>
      <w:r w:rsidR="00A126FF">
        <w:t xml:space="preserve">changing to mild cigarettes (20.4%), </w:t>
      </w:r>
      <w:r>
        <w:t xml:space="preserve">getting </w:t>
      </w:r>
      <w:r w:rsidR="00A126FF">
        <w:t xml:space="preserve">help from a doctor or other health </w:t>
      </w:r>
      <w:r>
        <w:t xml:space="preserve">professional (15.2%) or using medication (12.2%) </w:t>
      </w:r>
      <w:r>
        <w:fldChar w:fldCharType="begin">
          <w:fldData xml:space="preserve">PEVuZE5vdGU+PENpdGU+PEF1dGhvcj5DYXJhYmFsbG88L0F1dGhvcj48WWVhcj4yMDE3PC9ZZWFy
PjxSZWNOdW0+NTIyMzwvUmVjTnVtPjxEaXNwbGF5VGV4dD4oQ2FyYWJhbGxvLCBTaGFmZXIgZXQg
YWwuIDIwMTcpPC9EaXNwbGF5VGV4dD48cmVjb3JkPjxyZWMtbnVtYmVyPjUyMjM8L3JlYy1udW1i
ZXI+PGZvcmVpZ24ta2V5cz48a2V5IGFwcD0iRU4iIGRiLWlkPSI5ejA1ZHowcHJhYWRmdWVlMHpv
eHplZGs5emZlNWZ4eDUwejUiIHRpbWVzdGFtcD0iMTUyMzkyMDkzNSI+NTIyMzwva2V5PjwvZm9y
ZWlnbi1rZXlzPjxyZWYtdHlwZSBuYW1lPSJKb3VybmFsIEFydGljbGUiPjE3PC9yZWYtdHlwZT48
Y29udHJpYnV0b3JzPjxhdXRob3JzPjxhdXRob3I+Q2FyYWJhbGxvLCBSLiBTLjwvYXV0aG9yPjxh
dXRob3I+U2hhZmVyLCBQLiBSLjwvYXV0aG9yPjxhdXRob3I+UGF0ZWwsIEQuPC9hdXRob3I+PGF1
dGhvcj5EYXZpcywgSy4gQy48L2F1dGhvcj48YXV0aG9yPk1jQWZlZSwgVC4gQS48L2F1dGhvcj48
L2F1dGhvcnM+PC9jb250cmlidXRvcnM+PGF1dGgtYWRkcmVzcz5PZmZpY2Ugb24gU21va2luZyBh
bmQgSGVhbHRoLCBOYXRpb25hbCBDZW50ZXIgZm9yIENocm9uaWMgRGlzZWFzZSBQcmV2ZW50aW9u
IGFuZCBIZWFsdGggUHJvbW90aW9uLCBDZW50ZXJzIGZvciBEaXNlYXNlIENvbnRyb2wgYW5kIFBy
ZXZlbnRpb24sIDQ3NzAgQnVmb3JkIEh3eSBORSwgTVMgRi03OSwgQXRsYW50YSwgR0EgMzAzNDEt
MzcxNy4gRW1haWw6IHJmYzhAY2RjLmdvdi4mI3hEO0NlbnRlciBmb3IgSGVhbHRoIFBvbGljeSBT
Y2llbmNlIGFuZCBUb2JhY2NvIFJlc2VhcmNoLCBSVEkgSW50ZXJuYXRpb25hbCwgUmVzZWFyY2gg
VHJpYW5nbGUgUGFyaywgTm9ydGggQ2Fyb2xpbmEuJiN4RDtEZXBhcnRtZW50IG9mIEhlYWx0aCBQ
b2xpY3kgYW5kIE1hbmFnZW1lbnQsIEdpbGxpbmdzIFNjaG9vbCBvZiBHbG9iYWwgUHVibGljIEhl
YWx0aCwgVW5pdmVyc2l0eSBvZiBOb3J0aCBDYXJvbGluYSBhdCBDaGFwZWwgSGlsbCwgQ2hhcGVs
IEhpbGwsIE5vcnRoIENhcm9saW5hLiYjeEQ7TmF0aW9uYWwgQ2VudGVyIGZvciBISVYvQUlEUywg
VmlyYWwgSGVwYXRpdGlzLCBTVEQsIGFuZCBUQiBQcmV2ZW50aW9uLCBEaXZpc2lvbiBvZiBISVYv
QUlEUyBQcmV2ZW50aW9uLUludGVydmVudGlvbiBSZXNlYXJjaCBhbmQgU3VwcG9ydCwgQ2VudGVy
cyBmb3IgRGlzZWFzZSBDb250cm9sIGFuZCBQcmV2ZW50aW9uLCBBdGxhbnRhLCBHZW9yZ2lhLiYj
eEQ7TmF0aW9uYWwgQ2VudGVyIGZvciBDaHJvbmljIERpc2Vhc2UgUHJldmVudGlvbiBhbmQgSGVh
bHRoIFByb21vdGlvbiwgT2ZmaWNlIG9uIFNtb2tpbmcgYW5kIEhlYWx0aCwgQ2VudGVycyBmb3Ig
RGlzZWFzZSBDb250cm9sIGFuZCBQcmV2ZW50aW9uLCBBdGxhbnRhLCBHZW9yZ2lhLjwvYXV0aC1h
ZGRyZXNzPjx0aXRsZXM+PHRpdGxlPlF1aXQgTWV0aG9kcyBVc2VkIGJ5IFVTIEFkdWx0IENpZ2Fy
ZXR0ZSBTbW9rZXJzLCAyMDE0LTIwMTY8L3RpdGxlPjxzZWNvbmRhcnktdGl0bGU+UHJldiBDaHJv
bmljIERpczwvc2Vjb25kYXJ5LXRpdGxlPjxhbHQtdGl0bGU+UHJldmVudGluZyBjaHJvbmljIGRp
c2Vhc2U8L2FsdC10aXRsZT48L3RpdGxlcz48YWx0LXBlcmlvZGljYWw+PGZ1bGwtdGl0bGU+UHJl
dmVudGluZyBDaHJvbmljIERpc2Vhc2U8L2Z1bGwtdGl0bGU+PC9hbHQtcGVyaW9kaWNhbD48cGFn
ZXM+RTMyPC9wYWdlcz48dm9sdW1lPjE0PC92b2x1bWU+PGVkaXRpb24+MjAxNy8wNC8xNTwvZWRp
dGlvbj48a2V5d29yZHM+PGtleXdvcmQ+QWR1bHQ8L2tleXdvcmQ+PGtleXdvcmQ+Q2lnYXJldHRl
IFNtb2tpbmcvKmVwaWRlbWlvbG9neTwva2V5d29yZD48a2V5d29yZD5FZHVjYXRpb25hbCBTdGF0
dXM8L2tleXdvcmQ+PGtleXdvcmQ+KkVsZWN0cm9uaWMgTmljb3RpbmUgRGVsaXZlcnkgU3lzdGVt
czwva2V5d29yZD48a2V5d29yZD5GZW1hbGU8L2tleXdvcmQ+PGtleXdvcmQ+SHVtYW5zPC9rZXl3
b3JkPjxrZXl3b3JkPk1hbGU8L2tleXdvcmQ+PGtleXdvcmQ+TWlkZGxlIEFnZWQ8L2tleXdvcmQ+
PGtleXdvcmQ+U21va2luZyBDZXNzYXRpb24vKm1ldGhvZHM8L2tleXdvcmQ+PGtleXdvcmQ+U29j
aW9lY29ub21pYyBGYWN0b3JzPC9rZXl3b3JkPjxrZXl3b3JkPipUb2JhY2NvIFVzZSBDZXNzYXRp
b24gUHJvZHVjdHM8L2tleXdvcmQ+PGtleXdvcmQ+VW5pdGVkIFN0YXRlczwva2V5d29yZD48L2tl
eXdvcmRzPjxkYXRlcz48eWVhcj4yMDE3PC95ZWFyPjxwdWItZGF0ZXM+PGRhdGU+QXByIDEzPC9k
YXRlPjwvcHViLWRhdGVzPjwvZGF0ZXM+PGlzYm4+MTU0NS0xMTUxPC9pc2JuPjxhY2Nlc3Npb24t
bnVtPjI4NDA5NzQwPC9hY2Nlc3Npb24tbnVtPjx1cmxzPjxyZWxhdGVkLXVybHM+PHVybD5odHRw
czovL3d3dy5uY2JpLm5sbS5uaWguZ292L3BtYy9hcnRpY2xlcy9QTUM1MzkyNDQ2L3BkZi9QQ0Qt
MTQtRTMyLnBkZjwvdXJsPjwvcmVsYXRlZC11cmxzPjwvdXJscz48Y3VzdG9tMj5QTUM1MzkyNDQ2
PC9jdXN0b20yPjxlbGVjdHJvbmljLXJlc291cmNlLW51bT4xMC41ODg4L3BjZDE0LjE2MDYwMDwv
ZWxlY3Ryb25pYy1yZXNvdXJjZS1udW0+PHJlbW90ZS1kYXRhYmFzZS1wcm92aWRlcj5OTE08L3Jl
bW90ZS1kYXRhYmFzZS1wcm92aWRlcj48bGFuZ3VhZ2U+ZW5nPC9sYW5ndWFnZT48L3JlY29yZD48
L0NpdGU+PC9FbmROb3RlPgB=
</w:fldData>
        </w:fldChar>
      </w:r>
      <w:r>
        <w:instrText xml:space="preserve"> ADDIN EN.CITE </w:instrText>
      </w:r>
      <w:r>
        <w:fldChar w:fldCharType="begin">
          <w:fldData xml:space="preserve">PEVuZE5vdGU+PENpdGU+PEF1dGhvcj5DYXJhYmFsbG88L0F1dGhvcj48WWVhcj4yMDE3PC9ZZWFy
PjxSZWNOdW0+NTIyMzwvUmVjTnVtPjxEaXNwbGF5VGV4dD4oQ2FyYWJhbGxvLCBTaGFmZXIgZXQg
YWwuIDIwMTcpPC9EaXNwbGF5VGV4dD48cmVjb3JkPjxyZWMtbnVtYmVyPjUyMjM8L3JlYy1udW1i
ZXI+PGZvcmVpZ24ta2V5cz48a2V5IGFwcD0iRU4iIGRiLWlkPSI5ejA1ZHowcHJhYWRmdWVlMHpv
eHplZGs5emZlNWZ4eDUwejUiIHRpbWVzdGFtcD0iMTUyMzkyMDkzNSI+NTIyMzwva2V5PjwvZm9y
ZWlnbi1rZXlzPjxyZWYtdHlwZSBuYW1lPSJKb3VybmFsIEFydGljbGUiPjE3PC9yZWYtdHlwZT48
Y29udHJpYnV0b3JzPjxhdXRob3JzPjxhdXRob3I+Q2FyYWJhbGxvLCBSLiBTLjwvYXV0aG9yPjxh
dXRob3I+U2hhZmVyLCBQLiBSLjwvYXV0aG9yPjxhdXRob3I+UGF0ZWwsIEQuPC9hdXRob3I+PGF1
dGhvcj5EYXZpcywgSy4gQy48L2F1dGhvcj48YXV0aG9yPk1jQWZlZSwgVC4gQS48L2F1dGhvcj48
L2F1dGhvcnM+PC9jb250cmlidXRvcnM+PGF1dGgtYWRkcmVzcz5PZmZpY2Ugb24gU21va2luZyBh
bmQgSGVhbHRoLCBOYXRpb25hbCBDZW50ZXIgZm9yIENocm9uaWMgRGlzZWFzZSBQcmV2ZW50aW9u
IGFuZCBIZWFsdGggUHJvbW90aW9uLCBDZW50ZXJzIGZvciBEaXNlYXNlIENvbnRyb2wgYW5kIFBy
ZXZlbnRpb24sIDQ3NzAgQnVmb3JkIEh3eSBORSwgTVMgRi03OSwgQXRsYW50YSwgR0EgMzAzNDEt
MzcxNy4gRW1haWw6IHJmYzhAY2RjLmdvdi4mI3hEO0NlbnRlciBmb3IgSGVhbHRoIFBvbGljeSBT
Y2llbmNlIGFuZCBUb2JhY2NvIFJlc2VhcmNoLCBSVEkgSW50ZXJuYXRpb25hbCwgUmVzZWFyY2gg
VHJpYW5nbGUgUGFyaywgTm9ydGggQ2Fyb2xpbmEuJiN4RDtEZXBhcnRtZW50IG9mIEhlYWx0aCBQ
b2xpY3kgYW5kIE1hbmFnZW1lbnQsIEdpbGxpbmdzIFNjaG9vbCBvZiBHbG9iYWwgUHVibGljIEhl
YWx0aCwgVW5pdmVyc2l0eSBvZiBOb3J0aCBDYXJvbGluYSBhdCBDaGFwZWwgSGlsbCwgQ2hhcGVs
IEhpbGwsIE5vcnRoIENhcm9saW5hLiYjeEQ7TmF0aW9uYWwgQ2VudGVyIGZvciBISVYvQUlEUywg
VmlyYWwgSGVwYXRpdGlzLCBTVEQsIGFuZCBUQiBQcmV2ZW50aW9uLCBEaXZpc2lvbiBvZiBISVYv
QUlEUyBQcmV2ZW50aW9uLUludGVydmVudGlvbiBSZXNlYXJjaCBhbmQgU3VwcG9ydCwgQ2VudGVy
cyBmb3IgRGlzZWFzZSBDb250cm9sIGFuZCBQcmV2ZW50aW9uLCBBdGxhbnRhLCBHZW9yZ2lhLiYj
eEQ7TmF0aW9uYWwgQ2VudGVyIGZvciBDaHJvbmljIERpc2Vhc2UgUHJldmVudGlvbiBhbmQgSGVh
bHRoIFByb21vdGlvbiwgT2ZmaWNlIG9uIFNtb2tpbmcgYW5kIEhlYWx0aCwgQ2VudGVycyBmb3Ig
RGlzZWFzZSBDb250cm9sIGFuZCBQcmV2ZW50aW9uLCBBdGxhbnRhLCBHZW9yZ2lhLjwvYXV0aC1h
ZGRyZXNzPjx0aXRsZXM+PHRpdGxlPlF1aXQgTWV0aG9kcyBVc2VkIGJ5IFVTIEFkdWx0IENpZ2Fy
ZXR0ZSBTbW9rZXJzLCAyMDE0LTIwMTY8L3RpdGxlPjxzZWNvbmRhcnktdGl0bGU+UHJldiBDaHJv
bmljIERpczwvc2Vjb25kYXJ5LXRpdGxlPjxhbHQtdGl0bGU+UHJldmVudGluZyBjaHJvbmljIGRp
c2Vhc2U8L2FsdC10aXRsZT48L3RpdGxlcz48YWx0LXBlcmlvZGljYWw+PGZ1bGwtdGl0bGU+UHJl
dmVudGluZyBDaHJvbmljIERpc2Vhc2U8L2Z1bGwtdGl0bGU+PC9hbHQtcGVyaW9kaWNhbD48cGFn
ZXM+RTMyPC9wYWdlcz48dm9sdW1lPjE0PC92b2x1bWU+PGVkaXRpb24+MjAxNy8wNC8xNTwvZWRp
dGlvbj48a2V5d29yZHM+PGtleXdvcmQ+QWR1bHQ8L2tleXdvcmQ+PGtleXdvcmQ+Q2lnYXJldHRl
IFNtb2tpbmcvKmVwaWRlbWlvbG9neTwva2V5d29yZD48a2V5d29yZD5FZHVjYXRpb25hbCBTdGF0
dXM8L2tleXdvcmQ+PGtleXdvcmQ+KkVsZWN0cm9uaWMgTmljb3RpbmUgRGVsaXZlcnkgU3lzdGVt
czwva2V5d29yZD48a2V5d29yZD5GZW1hbGU8L2tleXdvcmQ+PGtleXdvcmQ+SHVtYW5zPC9rZXl3
b3JkPjxrZXl3b3JkPk1hbGU8L2tleXdvcmQ+PGtleXdvcmQ+TWlkZGxlIEFnZWQ8L2tleXdvcmQ+
PGtleXdvcmQ+U21va2luZyBDZXNzYXRpb24vKm1ldGhvZHM8L2tleXdvcmQ+PGtleXdvcmQ+U29j
aW9lY29ub21pYyBGYWN0b3JzPC9rZXl3b3JkPjxrZXl3b3JkPipUb2JhY2NvIFVzZSBDZXNzYXRp
b24gUHJvZHVjdHM8L2tleXdvcmQ+PGtleXdvcmQ+VW5pdGVkIFN0YXRlczwva2V5d29yZD48L2tl
eXdvcmRzPjxkYXRlcz48eWVhcj4yMDE3PC95ZWFyPjxwdWItZGF0ZXM+PGRhdGU+QXByIDEzPC9k
YXRlPjwvcHViLWRhdGVzPjwvZGF0ZXM+PGlzYm4+MTU0NS0xMTUxPC9pc2JuPjxhY2Nlc3Npb24t
bnVtPjI4NDA5NzQwPC9hY2Nlc3Npb24tbnVtPjx1cmxzPjxyZWxhdGVkLXVybHM+PHVybD5odHRw
czovL3d3dy5uY2JpLm5sbS5uaWguZ292L3BtYy9hcnRpY2xlcy9QTUM1MzkyNDQ2L3BkZi9QQ0Qt
MTQtRTMyLnBkZjwvdXJsPjwvcmVsYXRlZC11cmxzPjwvdXJscz48Y3VzdG9tMj5QTUM1MzkyNDQ2
PC9jdXN0b20yPjxlbGVjdHJvbmljLXJlc291cmNlLW51bT4xMC41ODg4L3BjZDE0LjE2MDYwMDwv
ZWxlY3Ryb25pYy1yZXNvdXJjZS1udW0+PHJlbW90ZS1kYXRhYmFzZS1wcm92aWRlcj5OTE08L3Jl
bW90ZS1kYXRhYmFzZS1wcm92aWRlcj48bGFuZ3VhZ2U+ZW5nPC9sYW5ndWFnZT48L3JlY29yZD48
L0NpdGU+PC9FbmROb3RlPgB=
</w:fldData>
        </w:fldChar>
      </w:r>
      <w:r>
        <w:instrText xml:space="preserve"> ADDIN EN.CITE.DATA </w:instrText>
      </w:r>
      <w:r>
        <w:fldChar w:fldCharType="end"/>
      </w:r>
      <w:r>
        <w:fldChar w:fldCharType="separate"/>
      </w:r>
      <w:r>
        <w:rPr>
          <w:noProof/>
        </w:rPr>
        <w:t>(Caraballo, Shafer et al. 2017)</w:t>
      </w:r>
      <w:r>
        <w:fldChar w:fldCharType="end"/>
      </w:r>
      <w:r>
        <w:t>. Thus, while e</w:t>
      </w:r>
      <w:r>
        <w:noBreakHyphen/>
        <w:t xml:space="preserve">cigarettes were identified as a smoking cessation method, they were not the most preferred. </w:t>
      </w:r>
    </w:p>
    <w:p w14:paraId="492BFD02" w14:textId="77777777" w:rsidR="00235C5A" w:rsidRDefault="00235C5A" w:rsidP="00235C5A">
      <w:pPr>
        <w:pStyle w:val="BodyText"/>
        <w:rPr>
          <w:color w:val="auto"/>
        </w:rPr>
      </w:pPr>
      <w:r w:rsidRPr="006B051F">
        <w:rPr>
          <w:color w:val="auto"/>
        </w:rPr>
        <w:lastRenderedPageBreak/>
        <w:t>In contrast to the above surveys, other cross</w:t>
      </w:r>
      <w:r>
        <w:rPr>
          <w:color w:val="auto"/>
        </w:rPr>
        <w:noBreakHyphen/>
      </w:r>
      <w:r w:rsidRPr="006B051F">
        <w:rPr>
          <w:color w:val="auto"/>
        </w:rPr>
        <w:t>sectional studies indicated low preference for e</w:t>
      </w:r>
      <w:r>
        <w:rPr>
          <w:color w:val="auto"/>
        </w:rPr>
        <w:noBreakHyphen/>
      </w:r>
      <w:r w:rsidRPr="006B051F">
        <w:rPr>
          <w:color w:val="auto"/>
        </w:rPr>
        <w:t>cigarettes as a smoking cessation tool. In a survey of 421 Southeast Queensland Aboriginals, recruited from Aboriginal &amp; Torres Strait Islander Community Health Service urban dental clinics, nearly half (47%) currently smoked daily of whom 4% currently used e</w:t>
      </w:r>
      <w:r>
        <w:rPr>
          <w:color w:val="auto"/>
        </w:rPr>
        <w:noBreakHyphen/>
      </w:r>
      <w:r w:rsidRPr="006B051F">
        <w:rPr>
          <w:color w:val="auto"/>
        </w:rPr>
        <w:t>cigarettes</w:t>
      </w:r>
      <w:r>
        <w:rPr>
          <w:color w:val="auto"/>
        </w:rPr>
        <w:t xml:space="preserve"> </w:t>
      </w:r>
      <w:r w:rsidRPr="006B051F">
        <w:rPr>
          <w:color w:val="auto"/>
        </w:rPr>
        <w:fldChar w:fldCharType="begin"/>
      </w:r>
      <w:r>
        <w:rPr>
          <w:color w:val="auto"/>
        </w:rPr>
        <w:instrText xml:space="preserve"> ADDIN EN.CITE &lt;EndNote&gt;&lt;Cite&gt;&lt;Author&gt;Cockburn&lt;/Author&gt;&lt;Year&gt;2018&lt;/Year&gt;&lt;RecNum&gt;4559&lt;/RecNum&gt;&lt;DisplayText&gt;(Cockburn, Gartner et al. 2018)&lt;/DisplayText&gt;&lt;record&gt;&lt;rec-number&gt;4559&lt;/rec-number&gt;&lt;foreign-keys&gt;&lt;key app="EN" db-id="9z05dz0praadfuee0zoxzedk9zfe5fxx50z5" timestamp="1523920171"&gt;4559&lt;/key&gt;&lt;/foreign-keys&gt;&lt;ref-type name="Journal Article"&gt;17&lt;/ref-type&gt;&lt;contributors&gt;&lt;authors&gt;&lt;author&gt;Cockburn, N.&lt;/author&gt;&lt;author&gt;Gartner, C.&lt;/author&gt;&lt;author&gt;Ford, P. J.&lt;/author&gt;&lt;/authors&gt;&lt;/contributors&gt;&lt;auth-address&gt;School of Dentistry, The University of Queensland, Brisbane, Australia.&amp;#xD;Faculty of Medicine, School of Public Health, The University of Queensland, Brisbane, Australia.&lt;/auth-address&gt;&lt;titles&gt;&lt;title&gt;Smoking behaviour and preferences for cessation support among clients of an Indigenous community-controlled health service&lt;/title&gt;&lt;secondary-title&gt;Drug Alcohol Rev&lt;/secondary-title&gt;&lt;alt-title&gt;Drug and alcohol review&lt;/alt-title&gt;&lt;/titles&gt;&lt;alt-periodical&gt;&lt;full-title&gt;Drug and Alcohol Review&lt;/full-title&gt;&lt;/alt-periodical&gt;&lt;edition&gt;2018/03/03&lt;/edition&gt;&lt;keywords&gt;&lt;keyword&gt;Indigenous Australians&lt;/keyword&gt;&lt;keyword&gt;Nrts&lt;/keyword&gt;&lt;keyword&gt;e-cigarettes&lt;/keyword&gt;&lt;keyword&gt;harm reduction&lt;/keyword&gt;&lt;keyword&gt;smoking cessation&lt;/keyword&gt;&lt;/keywords&gt;&lt;dates&gt;&lt;year&gt;2018&lt;/year&gt;&lt;pub-dates&gt;&lt;date&gt;Mar 2&lt;/date&gt;&lt;/pub-dates&gt;&lt;/dates&gt;&lt;isbn&gt;0959-5236&lt;/isbn&gt;&lt;accession-num&gt;29498114&lt;/accession-num&gt;&lt;urls&gt;&lt;related-urls&gt;&lt;url&gt;https://onlinelibrary.wiley.com/doi/pdf/10.1111/dar.12691&lt;/url&gt;&lt;/related-urls&gt;&lt;/urls&gt;&lt;electronic-resource-num&gt;10.1111/dar.12691&lt;/electronic-resource-num&gt;&lt;remote-database-provider&gt;NLM&lt;/remote-database-provider&gt;&lt;language&gt;eng&lt;/language&gt;&lt;/record&gt;&lt;/Cite&gt;&lt;/EndNote&gt;</w:instrText>
      </w:r>
      <w:r w:rsidRPr="006B051F">
        <w:rPr>
          <w:color w:val="auto"/>
        </w:rPr>
        <w:fldChar w:fldCharType="separate"/>
      </w:r>
      <w:r>
        <w:rPr>
          <w:noProof/>
          <w:color w:val="auto"/>
        </w:rPr>
        <w:t>(Cockburn, Gartner et al. 2018)</w:t>
      </w:r>
      <w:r w:rsidRPr="006B051F">
        <w:rPr>
          <w:color w:val="auto"/>
        </w:rPr>
        <w:fldChar w:fldCharType="end"/>
      </w:r>
      <w:r w:rsidRPr="006B051F">
        <w:rPr>
          <w:color w:val="auto"/>
        </w:rPr>
        <w:t>. Interestingly, none of the former smokers (19%) were currently using e</w:t>
      </w:r>
      <w:r>
        <w:rPr>
          <w:color w:val="auto"/>
        </w:rPr>
        <w:noBreakHyphen/>
      </w:r>
      <w:r w:rsidRPr="006B051F">
        <w:rPr>
          <w:color w:val="auto"/>
        </w:rPr>
        <w:t>cigarettes. This survey had a high rate of missing data (24</w:t>
      </w:r>
      <w:r>
        <w:rPr>
          <w:color w:val="auto"/>
        </w:rPr>
        <w:noBreakHyphen/>
      </w:r>
      <w:r w:rsidRPr="006B051F">
        <w:rPr>
          <w:color w:val="auto"/>
        </w:rPr>
        <w:t xml:space="preserve">42% for preference </w:t>
      </w:r>
      <w:r>
        <w:rPr>
          <w:color w:val="auto"/>
        </w:rPr>
        <w:t>data</w:t>
      </w:r>
      <w:r w:rsidRPr="006B051F">
        <w:rPr>
          <w:color w:val="auto"/>
        </w:rPr>
        <w:t>) however, for current smokers, e</w:t>
      </w:r>
      <w:r>
        <w:rPr>
          <w:color w:val="auto"/>
        </w:rPr>
        <w:noBreakHyphen/>
      </w:r>
      <w:r w:rsidRPr="006B051F">
        <w:rPr>
          <w:color w:val="auto"/>
        </w:rPr>
        <w:t>cigarettes were one of the least preferable quit options with abrupt cessation, cutting down, free nicotine replacement therapy and prescription medication being more preferred. This indicates that while some population groups are interested in e</w:t>
      </w:r>
      <w:r>
        <w:rPr>
          <w:color w:val="auto"/>
        </w:rPr>
        <w:noBreakHyphen/>
      </w:r>
      <w:r w:rsidRPr="006B051F">
        <w:rPr>
          <w:color w:val="auto"/>
        </w:rPr>
        <w:t>cigarettes, others are not. This may be reflected in substance use – the Aboriginal sample had a high prevalence of smoking, and a low prevalence of e</w:t>
      </w:r>
      <w:r>
        <w:rPr>
          <w:color w:val="auto"/>
        </w:rPr>
        <w:noBreakHyphen/>
      </w:r>
      <w:r w:rsidRPr="006B051F">
        <w:rPr>
          <w:color w:val="auto"/>
        </w:rPr>
        <w:t>cigarette use (only 2% overall).</w:t>
      </w:r>
      <w:r>
        <w:rPr>
          <w:color w:val="auto"/>
        </w:rPr>
        <w:t xml:space="preserve"> Additionally, f</w:t>
      </w:r>
      <w:r w:rsidRPr="006B051F">
        <w:rPr>
          <w:color w:val="auto"/>
        </w:rPr>
        <w:t>or this sample, a high proportion of smokers (&gt;50%) were not interested in paid nicotine replacement therapy, Quit</w:t>
      </w:r>
      <w:r>
        <w:rPr>
          <w:color w:val="auto"/>
        </w:rPr>
        <w:t xml:space="preserve"> </w:t>
      </w:r>
      <w:r w:rsidRPr="006B051F">
        <w:rPr>
          <w:color w:val="auto"/>
        </w:rPr>
        <w:t>line, one</w:t>
      </w:r>
      <w:r>
        <w:rPr>
          <w:color w:val="auto"/>
        </w:rPr>
        <w:noBreakHyphen/>
      </w:r>
      <w:r w:rsidRPr="006B051F">
        <w:rPr>
          <w:color w:val="auto"/>
        </w:rPr>
        <w:t>on</w:t>
      </w:r>
      <w:r>
        <w:rPr>
          <w:color w:val="auto"/>
        </w:rPr>
        <w:noBreakHyphen/>
      </w:r>
      <w:r w:rsidRPr="006B051F">
        <w:rPr>
          <w:color w:val="auto"/>
        </w:rPr>
        <w:t xml:space="preserve">one support, group support or community support as smoking cessation interventions. </w:t>
      </w:r>
      <w:r>
        <w:rPr>
          <w:color w:val="auto"/>
        </w:rPr>
        <w:t xml:space="preserve">It is possible that participants in this survey were not interested in smoking cessation. </w:t>
      </w:r>
    </w:p>
    <w:p w14:paraId="37961111" w14:textId="77777777" w:rsidR="00235C5A" w:rsidRPr="00235C5A" w:rsidRDefault="00235C5A" w:rsidP="00235C5A">
      <w:pPr>
        <w:pStyle w:val="BodyText"/>
      </w:pPr>
    </w:p>
    <w:p w14:paraId="13197CC4" w14:textId="77777777" w:rsidR="00E1027A" w:rsidRDefault="000D0A02" w:rsidP="00E1027A">
      <w:pPr>
        <w:pStyle w:val="Heading3"/>
      </w:pPr>
      <w:r>
        <w:t>Conclusions</w:t>
      </w:r>
    </w:p>
    <w:p w14:paraId="53D41889" w14:textId="380DB7F1" w:rsidR="00235C5A" w:rsidRDefault="00235C5A" w:rsidP="00235C5A">
      <w:pPr>
        <w:pStyle w:val="BodyText"/>
      </w:pPr>
      <w:r>
        <w:t>Data from five cross</w:t>
      </w:r>
      <w:r>
        <w:noBreakHyphen/>
        <w:t>sectional studies suggest that the main reason that adults use e</w:t>
      </w:r>
      <w:r>
        <w:noBreakHyphen/>
        <w:t>cigarettes is to quit smoking, while young adults use them as a healthier alternative to tobacco cigarettes. This area is lacking Australian data. Qualitative studies would provide a deeper understanding into the motivation for using e</w:t>
      </w:r>
      <w:r>
        <w:noBreakHyphen/>
        <w:t>cigarettes. Studies indicate that e</w:t>
      </w:r>
      <w:r>
        <w:noBreakHyphen/>
        <w:t xml:space="preserve">cigarettes are a preferred smoking cessation method among some, but not all, populations. There has only been one recent study conducted in Australia in a small sample of </w:t>
      </w:r>
      <w:r w:rsidR="00642673">
        <w:t>South East Queensland</w:t>
      </w:r>
      <w:r>
        <w:t xml:space="preserve"> Aboriginals which suggested that e</w:t>
      </w:r>
      <w:r>
        <w:noBreakHyphen/>
        <w:t>cigarettes are not a popular smoking cessation tool in this population group. Preference of e</w:t>
      </w:r>
      <w:r>
        <w:noBreakHyphen/>
        <w:t xml:space="preserve">cigarettes as a smoking cessation tool among the general Australian population remains unknown. </w:t>
      </w:r>
    </w:p>
    <w:p w14:paraId="0ABE157E" w14:textId="77777777" w:rsidR="00235C5A" w:rsidRDefault="00235C5A" w:rsidP="00235C5A">
      <w:pPr>
        <w:pStyle w:val="BodyText"/>
      </w:pPr>
    </w:p>
    <w:p w14:paraId="394B2E75" w14:textId="77777777" w:rsidR="00235C5A" w:rsidRDefault="00235C5A" w:rsidP="00235C5A">
      <w:pPr>
        <w:pStyle w:val="Heading3"/>
      </w:pPr>
      <w:r>
        <w:t>Key findings</w:t>
      </w:r>
    </w:p>
    <w:p w14:paraId="14421460" w14:textId="77777777" w:rsidR="00235C5A" w:rsidRDefault="00235C5A" w:rsidP="00235C5A">
      <w:pPr>
        <w:pStyle w:val="BodyText"/>
        <w:numPr>
          <w:ilvl w:val="0"/>
          <w:numId w:val="65"/>
        </w:numPr>
      </w:pPr>
      <w:r>
        <w:t>Among adults, the most common reason for using e</w:t>
      </w:r>
      <w:r>
        <w:noBreakHyphen/>
        <w:t>cigarettes was to quit or reduce smoking.</w:t>
      </w:r>
    </w:p>
    <w:p w14:paraId="4614607F" w14:textId="77777777" w:rsidR="00235C5A" w:rsidRDefault="00235C5A" w:rsidP="00235C5A">
      <w:pPr>
        <w:pStyle w:val="BodyText"/>
        <w:numPr>
          <w:ilvl w:val="0"/>
          <w:numId w:val="65"/>
        </w:numPr>
      </w:pPr>
      <w:r>
        <w:t>Among young adults, the most common reason for using e</w:t>
      </w:r>
      <w:r>
        <w:noBreakHyphen/>
        <w:t>cigarettes is because they are a ‘healthier alternative’.</w:t>
      </w:r>
    </w:p>
    <w:p w14:paraId="16C6B5C4" w14:textId="77777777" w:rsidR="00235C5A" w:rsidRDefault="00235C5A" w:rsidP="00235C5A">
      <w:pPr>
        <w:pStyle w:val="BodyText"/>
        <w:numPr>
          <w:ilvl w:val="0"/>
          <w:numId w:val="65"/>
        </w:numPr>
      </w:pPr>
      <w:r>
        <w:t>Assuming that they would be successful in quitting smoking, smokers preferred to quit using e</w:t>
      </w:r>
      <w:r>
        <w:noBreakHyphen/>
        <w:t>cigarettes instead of other established cessation methods. However, if they could, most smokers would still prefer to quit unaided.</w:t>
      </w:r>
    </w:p>
    <w:p w14:paraId="6037DA92" w14:textId="77777777" w:rsidR="00235C5A" w:rsidRDefault="00235C5A" w:rsidP="00235C5A">
      <w:pPr>
        <w:pStyle w:val="BodyText"/>
        <w:numPr>
          <w:ilvl w:val="0"/>
          <w:numId w:val="65"/>
        </w:numPr>
      </w:pPr>
      <w:r>
        <w:t>In a survey of Southeast Queensland Aboriginals, e</w:t>
      </w:r>
      <w:r>
        <w:noBreakHyphen/>
        <w:t>cigarettes were one of the least preferable smoking cessation methods.</w:t>
      </w:r>
    </w:p>
    <w:p w14:paraId="59C8FFFC" w14:textId="77777777" w:rsidR="00235C5A" w:rsidRDefault="00235C5A" w:rsidP="00235C5A">
      <w:pPr>
        <w:pStyle w:val="BodyText"/>
        <w:numPr>
          <w:ilvl w:val="0"/>
          <w:numId w:val="65"/>
        </w:numPr>
      </w:pPr>
      <w:r>
        <w:t>Further Australian data is needed on preferred smoking cessation methods and reasons for using e</w:t>
      </w:r>
      <w:r>
        <w:noBreakHyphen/>
        <w:t>cigarettes.</w:t>
      </w:r>
    </w:p>
    <w:p w14:paraId="0F11446F" w14:textId="77777777" w:rsidR="006C0CB0" w:rsidRDefault="006C0CB0" w:rsidP="00E1027A"/>
    <w:p w14:paraId="247B20A8" w14:textId="77777777" w:rsidR="00EA4E80" w:rsidRDefault="00A96BC4" w:rsidP="00874EDF">
      <w:pPr>
        <w:pStyle w:val="Heading2"/>
      </w:pPr>
      <w:bookmarkStart w:id="129" w:name="_Toc515229956"/>
      <w:r>
        <w:t xml:space="preserve"> </w:t>
      </w:r>
      <w:bookmarkStart w:id="130" w:name="_Toc517706684"/>
      <w:r w:rsidR="00E67F78">
        <w:t>Association between e-cigarette use and</w:t>
      </w:r>
      <w:r w:rsidR="00EA4E80">
        <w:t xml:space="preserve"> motivation to quit</w:t>
      </w:r>
      <w:r w:rsidR="002E4494">
        <w:t xml:space="preserve"> </w:t>
      </w:r>
      <w:r w:rsidR="00E67F78">
        <w:t xml:space="preserve">or </w:t>
      </w:r>
      <w:r w:rsidR="002E4494">
        <w:t>quit attempts</w:t>
      </w:r>
      <w:bookmarkEnd w:id="129"/>
      <w:bookmarkEnd w:id="130"/>
    </w:p>
    <w:p w14:paraId="22A087B4" w14:textId="77777777" w:rsidR="00235C5A" w:rsidRDefault="00235C5A" w:rsidP="00235C5A">
      <w:pPr>
        <w:pStyle w:val="BodyText"/>
      </w:pPr>
      <w:r>
        <w:t>One trial without a control group, one longitudinal study and two cross</w:t>
      </w:r>
      <w:r>
        <w:noBreakHyphen/>
        <w:t>sectional studies investigated motivation to quit smoking among e</w:t>
      </w:r>
      <w:r>
        <w:noBreakHyphen/>
        <w:t>cigarette users and non</w:t>
      </w:r>
      <w:r>
        <w:noBreakHyphen/>
        <w:t xml:space="preserve">users. </w:t>
      </w:r>
    </w:p>
    <w:p w14:paraId="0382C07D" w14:textId="77777777" w:rsidR="00235C5A" w:rsidRPr="00235C5A" w:rsidRDefault="00235C5A" w:rsidP="00235C5A">
      <w:pPr>
        <w:pStyle w:val="BodyText"/>
      </w:pPr>
    </w:p>
    <w:p w14:paraId="4A1F2273" w14:textId="77777777" w:rsidR="00B94B82" w:rsidRDefault="00B94B82" w:rsidP="00B94B82">
      <w:pPr>
        <w:pStyle w:val="Heading3"/>
      </w:pPr>
      <w:r>
        <w:t>Uncontrolled trials</w:t>
      </w:r>
    </w:p>
    <w:p w14:paraId="2779619B" w14:textId="6CC99DB9" w:rsidR="00235C5A" w:rsidRDefault="00235C5A" w:rsidP="00235C5A">
      <w:pPr>
        <w:pStyle w:val="BodyText"/>
      </w:pPr>
      <w:r>
        <w:t>Motivation to quit was measured in a trial without a control group where participants were provided e</w:t>
      </w:r>
      <w:r>
        <w:noBreakHyphen/>
        <w:t xml:space="preserve">cigarettes </w:t>
      </w:r>
      <w:r>
        <w:fldChar w:fldCharType="begin"/>
      </w:r>
      <w:r>
        <w:instrText xml:space="preserve"> ADDIN EN.CITE &lt;EndNote&gt;&lt;Cite&gt;&lt;Author&gt;Rohsenow&lt;/Author&gt;&lt;Year&gt;2018&lt;/Year&gt;&lt;RecNum&gt;4669&lt;/RecNum&gt;&lt;DisplayText&gt;(Rohsenow, Tidey et al. 2018)&lt;/DisplayText&gt;&lt;record&gt;&lt;rec-number&gt;4669&lt;/rec-number&gt;&lt;foreign-keys&gt;&lt;key app="EN" db-id="9z05dz0praadfuee0zoxzedk9zfe5fxx50z5" timestamp="1523920335"&gt;4669&lt;/key&gt;&lt;/foreign-keys&gt;&lt;ref-type name="Journal Article"&gt;17&lt;/ref-type&gt;&lt;contributors&gt;&lt;authors&gt;&lt;author&gt;Rohsenow, D. J.&lt;/author&gt;&lt;author&gt;Tidey, J. W.&lt;/author&gt;&lt;author&gt;Martin, R. A.&lt;/author&gt;&lt;author&gt;Colby, S. M.&lt;/author&gt;&lt;author&gt;Eissenberg, T.&lt;/author&gt;&lt;/authors&gt;&lt;/contributors&gt;&lt;auth-address&gt;Center for Alcohol and Addiction Studies, Brown University, Providence, RI, USA. Electronic address: Damaris_Rohsenow@brown.edu.&amp;#xD;Center for Alcohol and Addiction Studies, Brown University, Providence, RI, USA.&amp;#xD;Center for the Study of Tobacco Products, Virginia Commonwealth University, Richmond, VA 23298, USA.&lt;/auth-address&gt;&lt;titles&gt;&lt;title&gt;Effects of six weeks of electronic cigarette use on smoking rate, CO, cigarette dependence, and motivation to quit smoking: A pilot study&lt;/title&gt;&lt;secondary-title&gt;Addict Behav&lt;/secondary-title&gt;&lt;alt-title&gt;Addictive behaviors&lt;/alt-title&gt;&lt;/titles&gt;&lt;alt-periodical&gt;&lt;full-title&gt;Addictive Behaviors&lt;/full-title&gt;&lt;/alt-periodical&gt;&lt;pages&gt;65-70&lt;/pages&gt;&lt;volume&gt;80&lt;/volume&gt;&lt;edition&gt;2018/01/23&lt;/edition&gt;&lt;dates&gt;&lt;year&gt;2018&lt;/year&gt;&lt;pub-dates&gt;&lt;date&gt;May&lt;/date&gt;&lt;/pub-dates&gt;&lt;/dates&gt;&lt;isbn&gt;0306-4603&lt;/isbn&gt;&lt;accession-num&gt;29355819&lt;/accession-num&gt;&lt;urls&gt;&lt;related-urls&gt;&lt;url&gt;https://www.sciencedirect.com/science/article/pii/S0306460318300145?via%3Dihub&lt;/url&gt;&lt;/related-urls&gt;&lt;/urls&gt;&lt;electronic-resource-num&gt;10.1016/j.addbeh.2018.01.012&lt;/electronic-resource-num&gt;&lt;remote-database-provider&gt;NLM&lt;/remote-database-provider&gt;&lt;language&gt;eng&lt;/language&gt;&lt;/record&gt;&lt;/Cite&gt;&lt;/EndNote&gt;</w:instrText>
      </w:r>
      <w:r>
        <w:fldChar w:fldCharType="separate"/>
      </w:r>
      <w:r>
        <w:rPr>
          <w:noProof/>
        </w:rPr>
        <w:t>(Rohsenow, Tidey et al. 2018)</w:t>
      </w:r>
      <w:r>
        <w:fldChar w:fldCharType="end"/>
      </w:r>
      <w:r>
        <w:t xml:space="preserve">. In this US trial 18 smokers (10+ cigarettes/day for past </w:t>
      </w:r>
      <w:r w:rsidR="00F431B0">
        <w:t>six</w:t>
      </w:r>
      <w:r>
        <w:t xml:space="preserve"> months) were recruited from community flyers. Participants were predominantly female (61%), with a mean age of 45.1(</w:t>
      </w:r>
      <w:r>
        <w:rPr>
          <w:rFonts w:cs="Calibri"/>
        </w:rPr>
        <w:t>±</w:t>
      </w:r>
      <w:r>
        <w:t>7.8) years. Participants were non</w:t>
      </w:r>
      <w:r>
        <w:noBreakHyphen/>
        <w:t>treatment seeking and were given e</w:t>
      </w:r>
      <w:r>
        <w:noBreakHyphen/>
        <w:t xml:space="preserve">cigarettes and told to use them instead of smoking for 10 weeks. This led to reduced cigarette consumption and increased motivation to quit (measured using the contemplation ladder scale) after 10 weeks </w:t>
      </w:r>
      <w:r>
        <w:fldChar w:fldCharType="begin"/>
      </w:r>
      <w:r>
        <w:instrText xml:space="preserve"> ADDIN EN.CITE &lt;EndNote&gt;&lt;Cite&gt;&lt;Author&gt;Rohsenow&lt;/Author&gt;&lt;Year&gt;2018&lt;/Year&gt;&lt;RecNum&gt;4669&lt;/RecNum&gt;&lt;DisplayText&gt;(Rohsenow, Tidey et al. 2018)&lt;/DisplayText&gt;&lt;record&gt;&lt;rec-number&gt;4669&lt;/rec-number&gt;&lt;foreign-keys&gt;&lt;key app="EN" db-id="9z05dz0praadfuee0zoxzedk9zfe5fxx50z5" timestamp="1523920335"&gt;4669&lt;/key&gt;&lt;/foreign-keys&gt;&lt;ref-type name="Journal Article"&gt;17&lt;/ref-type&gt;&lt;contributors&gt;&lt;authors&gt;&lt;author&gt;Rohsenow, D. J.&lt;/author&gt;&lt;author&gt;Tidey, J. W.&lt;/author&gt;&lt;author&gt;Martin, R. A.&lt;/author&gt;&lt;author&gt;Colby, S. M.&lt;/author&gt;&lt;author&gt;Eissenberg, T.&lt;/author&gt;&lt;/authors&gt;&lt;/contributors&gt;&lt;auth-address&gt;Center for Alcohol and Addiction Studies, Brown University, Providence, RI, USA. Electronic address: Damaris_Rohsenow@brown.edu.&amp;#xD;Center for Alcohol and Addiction Studies, Brown University, Providence, RI, USA.&amp;#xD;Center for the Study of Tobacco Products, Virginia Commonwealth University, Richmond, VA 23298, USA.&lt;/auth-address&gt;&lt;titles&gt;&lt;title&gt;Effects of six weeks of electronic cigarette use on smoking rate, CO, cigarette dependence, and motivation to quit smoking: A pilot study&lt;/title&gt;&lt;secondary-title&gt;Addict Behav&lt;/secondary-title&gt;&lt;alt-title&gt;Addictive behaviors&lt;/alt-title&gt;&lt;/titles&gt;&lt;alt-periodical&gt;&lt;full-title&gt;Addictive Behaviors&lt;/full-title&gt;&lt;/alt-periodical&gt;&lt;pages&gt;65-70&lt;/pages&gt;&lt;volume&gt;80&lt;/volume&gt;&lt;edition&gt;2018/01/23&lt;/edition&gt;&lt;dates&gt;&lt;year&gt;2018&lt;/year&gt;&lt;pub-dates&gt;&lt;date&gt;May&lt;/date&gt;&lt;/pub-dates&gt;&lt;/dates&gt;&lt;isbn&gt;0306-4603&lt;/isbn&gt;&lt;accession-num&gt;29355819&lt;/accession-num&gt;&lt;urls&gt;&lt;related-urls&gt;&lt;url&gt;https://www.sciencedirect.com/science/article/pii/S0306460318300145?via%3Dihub&lt;/url&gt;&lt;/related-urls&gt;&lt;/urls&gt;&lt;electronic-resource-num&gt;10.1016/j.addbeh.2018.01.012&lt;/electronic-resource-num&gt;&lt;remote-database-provider&gt;NLM&lt;/remote-database-provider&gt;&lt;language&gt;eng&lt;/language&gt;&lt;/record&gt;&lt;/Cite&gt;&lt;/EndNote&gt;</w:instrText>
      </w:r>
      <w:r>
        <w:fldChar w:fldCharType="separate"/>
      </w:r>
      <w:r>
        <w:rPr>
          <w:noProof/>
        </w:rPr>
        <w:t>(Rohsenow, Tidey et al. 2018)</w:t>
      </w:r>
      <w:r>
        <w:fldChar w:fldCharType="end"/>
      </w:r>
      <w:r>
        <w:t xml:space="preserve">. Whether this could lead to smoking cessation over a longer period of time is unclear. Findings from this study are limited due to the short duration and small number of participants. </w:t>
      </w:r>
    </w:p>
    <w:p w14:paraId="76A24A40" w14:textId="77777777" w:rsidR="00235C5A" w:rsidRPr="00235C5A" w:rsidRDefault="00235C5A" w:rsidP="00235C5A">
      <w:pPr>
        <w:pStyle w:val="BodyText"/>
      </w:pPr>
    </w:p>
    <w:p w14:paraId="4B077C60" w14:textId="77777777" w:rsidR="00B94B82" w:rsidRDefault="00B94B82" w:rsidP="00B94B82">
      <w:pPr>
        <w:pStyle w:val="Heading3"/>
      </w:pPr>
      <w:r>
        <w:t>Longitudinal studies</w:t>
      </w:r>
    </w:p>
    <w:p w14:paraId="793B43EA" w14:textId="6B4E8B46" w:rsidR="00235C5A" w:rsidRDefault="00235C5A" w:rsidP="00235C5A">
      <w:pPr>
        <w:pStyle w:val="BodyText"/>
      </w:pPr>
      <w:r>
        <w:t xml:space="preserve">One study recruited Military Veteran smokers undergoing psychiatric services from the </w:t>
      </w:r>
      <w:r w:rsidRPr="0041196A">
        <w:t>Department of Veterans Affairs (VA) Connecticut Healthcare System by word of mouth</w:t>
      </w:r>
      <w:r>
        <w:t xml:space="preserve"> </w:t>
      </w:r>
      <w:r>
        <w:fldChar w:fldCharType="begin">
          <w:fldData xml:space="preserve">PEVuZE5vdGU+PENpdGU+PEF1dGhvcj5WYWxlbnRpbmU8L0F1dGhvcj48WWVhcj4yMDE3PC9ZZWFy
PjxSZWNOdW0+Mjk2PC9SZWNOdW0+PERpc3BsYXlUZXh0PihWYWxlbnRpbmUsIEhlZm5lciBldCBh
bC4gMjAxNyk8L0Rpc3BsYXlUZXh0PjxyZWNvcmQ+PHJlYy1udW1iZXI+Mjk2PC9yZWMtbnVtYmVy
Pjxmb3JlaWduLWtleXM+PGtleSBhcHA9IkVOIiBkYi1pZD0iNXh2NXc1dDJiZHh0eGZlengwMnh0
eGRmdDVyejVwdHZ2dDI5IiB0aW1lc3RhbXA9IjE1MjA1Njg0MzQiPjI5Njwva2V5PjxrZXkgYXBw
PSJFTldlYiIgZGItaWQ9IiI+MDwva2V5PjwvZm9yZWlnbi1rZXlzPjxyZWYtdHlwZSBuYW1lPSJK
b3VybmFsIEFydGljbGUiPjE3PC9yZWYtdHlwZT48Y29udHJpYnV0b3JzPjxhdXRob3JzPjxhdXRo
b3I+VmFsZW50aW5lLCBHLiBXLjwvYXV0aG9yPjxhdXRob3I+SGVmbmVyLCBLLjwvYXV0aG9yPjxh
dXRob3I+SmF0bG93LCBQLiBJLjwvYXV0aG9yPjxhdXRob3I+Um9zZW5oZWNrLCBSLiBBLjwvYXV0
aG9yPjxhdXRob3I+R3Vlb3JndWlldmEsIFIuPC9hdXRob3I+PGF1dGhvcj5Tb2Z1b2dsdSwgTS48
L2F1dGhvcj48L2F1dGhvcnM+PC9jb250cmlidXRvcnM+PGF1dGgtYWRkcmVzcz5hIERlcGFydG1l
bnQgb2YgUHN5Y2hpYXRyeSAsIFlhbGUgU2Nob29sIG9mIE1lZGljaW5lICwgTmV3IEhhdmVuICwg
Q29ubmVjdGljdXQgLCBVU0EuJiN4RDtiIFZldGVyYW5zIEhlYWx0aCBBZG1pbmlzdHJhdGlvbiBN
ZW50YWwgSWxsbmVzcyBSZXNlYXJjaCwgRWR1Y2F0aW9uIGFuZCBDbGluaWNhbCBDZW50ZXIgKE1J
UkVDQykgLCBXZXN0IEhhdmVuICwgQ29ubmVjdGljdXQgLCBVU0EuJiN4RDtjIERlcGFydG1lbnQg
b2YgTGFib3JhdG9yeSBNZWRpY2luZSAsIFlhbGUgU2Nob29sIG9mIE1lZGljaW5lICwgTmV3IEhh
dmVuICwgQ29ubmVjdGljdXQgLCBVU0EuJiN4RDtkIERlcGFydG1lbnQgb2YgQmlvc3RhdGlzdGlj
cyAsIFlhbGUgU2Nob29sIG9mIFB1YmxpYyBIZWFsdGggLCBOZXcgSGF2ZW4gLCBDb25uZWN0aWN1
dCAsIFVTQS48L2F1dGgtYWRkcmVzcz48dGl0bGVzPjx0aXRsZT5JbXBhY3Qgb2YgRS1jaWdhcmV0
dGVzIG9uIFNtb2tpbmcgYW5kIFJlbGF0ZWQgT3V0Y29tZXMgaW4gVmV0ZXJhbiBTbW9rZXJzIFdp
dGggUHN5Y2hpYXRyaWMgQ29tb3JiaWRpdHk8L3RpdGxlPjxzZWNvbmRhcnktdGl0bGU+SiBEdWFs
IERpYWduPC9zZWNvbmRhcnktdGl0bGU+PGFsdC10aXRsZT5Kb3VybmFsIG9mIGR1YWwgZGlhZ25v
c2lzPC9hbHQtdGl0bGU+PC90aXRsZXM+PHBlcmlvZGljYWw+PGZ1bGwtdGl0bGU+SiBEdWFsIERp
YWduPC9mdWxsLXRpdGxlPjxhYmJyLTE+Sm91cm5hbCBvZiBkdWFsIGRpYWdub3NpczwvYWJici0x
PjwvcGVyaW9kaWNhbD48YWx0LXBlcmlvZGljYWw+PGZ1bGwtdGl0bGU+SiBEdWFsIERpYWduPC9m
dWxsLXRpdGxlPjxhYmJyLTE+Sm91cm5hbCBvZiBkdWFsIGRpYWdub3NpczwvYWJici0xPjwvYWx0
LXBlcmlvZGljYWw+PHBhZ2VzPjEtMTI8L3BhZ2VzPjxlZGl0aW9uPjIwMTcvMTAvMzE8L2VkaXRp
b24+PGtleXdvcmRzPjxrZXl3b3JkPkVsZWN0cm9uaWMgY2lnYXJldHRlczwva2V5d29yZD48a2V5
d29yZD5jaWdhcmV0dGVzPC9rZXl3b3JkPjxrZXl3b3JkPmUtY2lnYXJldHRlczwva2V5d29yZD48
a2V5d29yZD5zbW9raW5nPC9rZXl3b3JkPjxrZXl3b3JkPnRvYmFjY28gaGFybSByZWR1Y3Rpb248
L2tleXdvcmQ+PC9rZXl3b3Jkcz48ZGF0ZXM+PHllYXI+MjAxNzwveWVhcj48cHViLWRhdGVzPjxk
YXRlPk9jdCAzMDwvZGF0ZT48L3B1Yi1kYXRlcz48L2RhdGVzPjxpc2JuPjE1NTAtNDI3MTwvaXNi
bj48YWNjZXNzaW9uLW51bT4yOTA4MzI4NzwvYWNjZXNzaW9uLW51bT48dXJscz48cmVsYXRlZC11
cmxzPjx1cmw+aHR0cHM6Ly93d3cudGFuZGZvbmxpbmUuY29tL2RvaS9wZGYvMTAuMTA4MC8xNTUw
NDI2My4yMDE3LjEzODQ4Nzc/bmVlZEFjY2Vzcz10cnVlPC91cmw+PC9yZWxhdGVkLXVybHM+PC91
cmxzPjxlbGVjdHJvbmljLXJlc291cmNlLW51bT4xMC4xMDgwLzE1NTA0MjYzLjIwMTcuMTM4NDg3
NzwvZWxlY3Ryb25pYy1yZXNvdXJjZS1udW0+PHJlbW90ZS1kYXRhYmFzZS1wcm92aWRlcj5OTE08
L3JlbW90ZS1kYXRhYmFzZS1wcm92aWRlcj48bGFuZ3VhZ2U+ZW5nPC9sYW5ndWFnZT48L3JlY29y
ZD48L0NpdGU+PC9FbmROb3RlPgB=
</w:fldData>
        </w:fldChar>
      </w:r>
      <w:r w:rsidR="00903735">
        <w:instrText xml:space="preserve"> ADDIN EN.CITE </w:instrText>
      </w:r>
      <w:r w:rsidR="00903735">
        <w:fldChar w:fldCharType="begin">
          <w:fldData xml:space="preserve">PEVuZE5vdGU+PENpdGU+PEF1dGhvcj5WYWxlbnRpbmU8L0F1dGhvcj48WWVhcj4yMDE3PC9ZZWFy
PjxSZWNOdW0+Mjk2PC9SZWNOdW0+PERpc3BsYXlUZXh0PihWYWxlbnRpbmUsIEhlZm5lciBldCBh
bC4gMjAxNyk8L0Rpc3BsYXlUZXh0PjxyZWNvcmQ+PHJlYy1udW1iZXI+Mjk2PC9yZWMtbnVtYmVy
Pjxmb3JlaWduLWtleXM+PGtleSBhcHA9IkVOIiBkYi1pZD0iNXh2NXc1dDJiZHh0eGZlengwMnh0
eGRmdDVyejVwdHZ2dDI5IiB0aW1lc3RhbXA9IjE1MjA1Njg0MzQiPjI5Njwva2V5PjxrZXkgYXBw
PSJFTldlYiIgZGItaWQ9IiI+MDwva2V5PjwvZm9yZWlnbi1rZXlzPjxyZWYtdHlwZSBuYW1lPSJK
b3VybmFsIEFydGljbGUiPjE3PC9yZWYtdHlwZT48Y29udHJpYnV0b3JzPjxhdXRob3JzPjxhdXRo
b3I+VmFsZW50aW5lLCBHLiBXLjwvYXV0aG9yPjxhdXRob3I+SGVmbmVyLCBLLjwvYXV0aG9yPjxh
dXRob3I+SmF0bG93LCBQLiBJLjwvYXV0aG9yPjxhdXRob3I+Um9zZW5oZWNrLCBSLiBBLjwvYXV0
aG9yPjxhdXRob3I+R3Vlb3JndWlldmEsIFIuPC9hdXRob3I+PGF1dGhvcj5Tb2Z1b2dsdSwgTS48
L2F1dGhvcj48L2F1dGhvcnM+PC9jb250cmlidXRvcnM+PGF1dGgtYWRkcmVzcz5hIERlcGFydG1l
bnQgb2YgUHN5Y2hpYXRyeSAsIFlhbGUgU2Nob29sIG9mIE1lZGljaW5lICwgTmV3IEhhdmVuICwg
Q29ubmVjdGljdXQgLCBVU0EuJiN4RDtiIFZldGVyYW5zIEhlYWx0aCBBZG1pbmlzdHJhdGlvbiBN
ZW50YWwgSWxsbmVzcyBSZXNlYXJjaCwgRWR1Y2F0aW9uIGFuZCBDbGluaWNhbCBDZW50ZXIgKE1J
UkVDQykgLCBXZXN0IEhhdmVuICwgQ29ubmVjdGljdXQgLCBVU0EuJiN4RDtjIERlcGFydG1lbnQg
b2YgTGFib3JhdG9yeSBNZWRpY2luZSAsIFlhbGUgU2Nob29sIG9mIE1lZGljaW5lICwgTmV3IEhh
dmVuICwgQ29ubmVjdGljdXQgLCBVU0EuJiN4RDtkIERlcGFydG1lbnQgb2YgQmlvc3RhdGlzdGlj
cyAsIFlhbGUgU2Nob29sIG9mIFB1YmxpYyBIZWFsdGggLCBOZXcgSGF2ZW4gLCBDb25uZWN0aWN1
dCAsIFVTQS48L2F1dGgtYWRkcmVzcz48dGl0bGVzPjx0aXRsZT5JbXBhY3Qgb2YgRS1jaWdhcmV0
dGVzIG9uIFNtb2tpbmcgYW5kIFJlbGF0ZWQgT3V0Y29tZXMgaW4gVmV0ZXJhbiBTbW9rZXJzIFdp
dGggUHN5Y2hpYXRyaWMgQ29tb3JiaWRpdHk8L3RpdGxlPjxzZWNvbmRhcnktdGl0bGU+SiBEdWFs
IERpYWduPC9zZWNvbmRhcnktdGl0bGU+PGFsdC10aXRsZT5Kb3VybmFsIG9mIGR1YWwgZGlhZ25v
c2lzPC9hbHQtdGl0bGU+PC90aXRsZXM+PHBlcmlvZGljYWw+PGZ1bGwtdGl0bGU+SiBEdWFsIERp
YWduPC9mdWxsLXRpdGxlPjxhYmJyLTE+Sm91cm5hbCBvZiBkdWFsIGRpYWdub3NpczwvYWJici0x
PjwvcGVyaW9kaWNhbD48YWx0LXBlcmlvZGljYWw+PGZ1bGwtdGl0bGU+SiBEdWFsIERpYWduPC9m
dWxsLXRpdGxlPjxhYmJyLTE+Sm91cm5hbCBvZiBkdWFsIGRpYWdub3NpczwvYWJici0xPjwvYWx0
LXBlcmlvZGljYWw+PHBhZ2VzPjEtMTI8L3BhZ2VzPjxlZGl0aW9uPjIwMTcvMTAvMzE8L2VkaXRp
b24+PGtleXdvcmRzPjxrZXl3b3JkPkVsZWN0cm9uaWMgY2lnYXJldHRlczwva2V5d29yZD48a2V5
d29yZD5jaWdhcmV0dGVzPC9rZXl3b3JkPjxrZXl3b3JkPmUtY2lnYXJldHRlczwva2V5d29yZD48
a2V5d29yZD5zbW9raW5nPC9rZXl3b3JkPjxrZXl3b3JkPnRvYmFjY28gaGFybSByZWR1Y3Rpb248
L2tleXdvcmQ+PC9rZXl3b3Jkcz48ZGF0ZXM+PHllYXI+MjAxNzwveWVhcj48cHViLWRhdGVzPjxk
YXRlPk9jdCAzMDwvZGF0ZT48L3B1Yi1kYXRlcz48L2RhdGVzPjxpc2JuPjE1NTAtNDI3MTwvaXNi
bj48YWNjZXNzaW9uLW51bT4yOTA4MzI4NzwvYWNjZXNzaW9uLW51bT48dXJscz48cmVsYXRlZC11
cmxzPjx1cmw+aHR0cHM6Ly93d3cudGFuZGZvbmxpbmUuY29tL2RvaS9wZGYvMTAuMTA4MC8xNTUw
NDI2My4yMDE3LjEzODQ4Nzc/bmVlZEFjY2Vzcz10cnVlPC91cmw+PC9yZWxhdGVkLXVybHM+PC91
cmxzPjxlbGVjdHJvbmljLXJlc291cmNlLW51bT4xMC4xMDgwLzE1NTA0MjYzLjIwMTcuMTM4NDg3
NzwvZWxlY3Ryb25pYy1yZXNvdXJjZS1udW0+PHJlbW90ZS1kYXRhYmFzZS1wcm92aWRlcj5OTE08
L3JlbW90ZS1kYXRhYmFzZS1wcm92aWRlcj48bGFuZ3VhZ2U+ZW5nPC9sYW5ndWFnZT48L3JlY29y
ZD48L0NpdGU+PC9FbmROb3RlPgB=
</w:fldData>
        </w:fldChar>
      </w:r>
      <w:r w:rsidR="00903735">
        <w:instrText xml:space="preserve"> ADDIN EN.CITE.DATA </w:instrText>
      </w:r>
      <w:r w:rsidR="00903735">
        <w:fldChar w:fldCharType="end"/>
      </w:r>
      <w:r>
        <w:fldChar w:fldCharType="separate"/>
      </w:r>
      <w:r>
        <w:rPr>
          <w:noProof/>
        </w:rPr>
        <w:t>(Valentine, Hefner et al. 2017)</w:t>
      </w:r>
      <w:r>
        <w:fldChar w:fldCharType="end"/>
      </w:r>
      <w:r>
        <w:t>. Fifty participants were recruited, all did not have an intention to immediately stop smoking, were predominantly male (93%) and had a mean age of 56.9 (</w:t>
      </w:r>
      <w:r>
        <w:rPr>
          <w:rFonts w:cs="Calibri"/>
        </w:rPr>
        <w:t>±</w:t>
      </w:r>
      <w:r>
        <w:t>8.0) years. The researchers provided participants with e</w:t>
      </w:r>
      <w:r>
        <w:noBreakHyphen/>
        <w:t>cigarettes to test whether it would influence the veterans motivation to quit. They found that 90% of the participants were still using e</w:t>
      </w:r>
      <w:r>
        <w:noBreakHyphen/>
        <w:t xml:space="preserve">cigarettes after </w:t>
      </w:r>
      <w:r w:rsidR="000E5C99">
        <w:t>four</w:t>
      </w:r>
      <w:r>
        <w:t xml:space="preserve"> weeks and had a higher motivation to quit at the end of the study than at baseline. </w:t>
      </w:r>
      <w:r w:rsidR="00F431B0">
        <w:t xml:space="preserve">Three out of </w:t>
      </w:r>
      <w:r>
        <w:t xml:space="preserve">50 participants (6%) reported complete cessation of smoking which was confirmed using a carbon monoxide breath test </w:t>
      </w:r>
      <w:r>
        <w:fldChar w:fldCharType="begin">
          <w:fldData xml:space="preserve">PEVuZE5vdGU+PENpdGU+PEF1dGhvcj5WYWxlbnRpbmU8L0F1dGhvcj48WWVhcj4yMDE3PC9ZZWFy
PjxSZWNOdW0+Mjk2PC9SZWNOdW0+PERpc3BsYXlUZXh0PihWYWxlbnRpbmUsIEhlZm5lciBldCBh
bC4gMjAxNyk8L0Rpc3BsYXlUZXh0PjxyZWNvcmQ+PHJlYy1udW1iZXI+Mjk2PC9yZWMtbnVtYmVy
Pjxmb3JlaWduLWtleXM+PGtleSBhcHA9IkVOIiBkYi1pZD0iNXh2NXc1dDJiZHh0eGZlengwMnh0
eGRmdDVyejVwdHZ2dDI5IiB0aW1lc3RhbXA9IjE1MjA1Njg0MzQiPjI5Njwva2V5PjxrZXkgYXBw
PSJFTldlYiIgZGItaWQ9IiI+MDwva2V5PjwvZm9yZWlnbi1rZXlzPjxyZWYtdHlwZSBuYW1lPSJK
b3VybmFsIEFydGljbGUiPjE3PC9yZWYtdHlwZT48Y29udHJpYnV0b3JzPjxhdXRob3JzPjxhdXRo
b3I+VmFsZW50aW5lLCBHLiBXLjwvYXV0aG9yPjxhdXRob3I+SGVmbmVyLCBLLjwvYXV0aG9yPjxh
dXRob3I+SmF0bG93LCBQLiBJLjwvYXV0aG9yPjxhdXRob3I+Um9zZW5oZWNrLCBSLiBBLjwvYXV0
aG9yPjxhdXRob3I+R3Vlb3JndWlldmEsIFIuPC9hdXRob3I+PGF1dGhvcj5Tb2Z1b2dsdSwgTS48
L2F1dGhvcj48L2F1dGhvcnM+PC9jb250cmlidXRvcnM+PGF1dGgtYWRkcmVzcz5hIERlcGFydG1l
bnQgb2YgUHN5Y2hpYXRyeSAsIFlhbGUgU2Nob29sIG9mIE1lZGljaW5lICwgTmV3IEhhdmVuICwg
Q29ubmVjdGljdXQgLCBVU0EuJiN4RDtiIFZldGVyYW5zIEhlYWx0aCBBZG1pbmlzdHJhdGlvbiBN
ZW50YWwgSWxsbmVzcyBSZXNlYXJjaCwgRWR1Y2F0aW9uIGFuZCBDbGluaWNhbCBDZW50ZXIgKE1J
UkVDQykgLCBXZXN0IEhhdmVuICwgQ29ubmVjdGljdXQgLCBVU0EuJiN4RDtjIERlcGFydG1lbnQg
b2YgTGFib3JhdG9yeSBNZWRpY2luZSAsIFlhbGUgU2Nob29sIG9mIE1lZGljaW5lICwgTmV3IEhh
dmVuICwgQ29ubmVjdGljdXQgLCBVU0EuJiN4RDtkIERlcGFydG1lbnQgb2YgQmlvc3RhdGlzdGlj
cyAsIFlhbGUgU2Nob29sIG9mIFB1YmxpYyBIZWFsdGggLCBOZXcgSGF2ZW4gLCBDb25uZWN0aWN1
dCAsIFVTQS48L2F1dGgtYWRkcmVzcz48dGl0bGVzPjx0aXRsZT5JbXBhY3Qgb2YgRS1jaWdhcmV0
dGVzIG9uIFNtb2tpbmcgYW5kIFJlbGF0ZWQgT3V0Y29tZXMgaW4gVmV0ZXJhbiBTbW9rZXJzIFdp
dGggUHN5Y2hpYXRyaWMgQ29tb3JiaWRpdHk8L3RpdGxlPjxzZWNvbmRhcnktdGl0bGU+SiBEdWFs
IERpYWduPC9zZWNvbmRhcnktdGl0bGU+PGFsdC10aXRsZT5Kb3VybmFsIG9mIGR1YWwgZGlhZ25v
c2lzPC9hbHQtdGl0bGU+PC90aXRsZXM+PHBlcmlvZGljYWw+PGZ1bGwtdGl0bGU+SiBEdWFsIERp
YWduPC9mdWxsLXRpdGxlPjxhYmJyLTE+Sm91cm5hbCBvZiBkdWFsIGRpYWdub3NpczwvYWJici0x
PjwvcGVyaW9kaWNhbD48YWx0LXBlcmlvZGljYWw+PGZ1bGwtdGl0bGU+SiBEdWFsIERpYWduPC9m
dWxsLXRpdGxlPjxhYmJyLTE+Sm91cm5hbCBvZiBkdWFsIGRpYWdub3NpczwvYWJici0xPjwvYWx0
LXBlcmlvZGljYWw+PHBhZ2VzPjEtMTI8L3BhZ2VzPjxlZGl0aW9uPjIwMTcvMTAvMzE8L2VkaXRp
b24+PGtleXdvcmRzPjxrZXl3b3JkPkVsZWN0cm9uaWMgY2lnYXJldHRlczwva2V5d29yZD48a2V5
d29yZD5jaWdhcmV0dGVzPC9rZXl3b3JkPjxrZXl3b3JkPmUtY2lnYXJldHRlczwva2V5d29yZD48
a2V5d29yZD5zbW9raW5nPC9rZXl3b3JkPjxrZXl3b3JkPnRvYmFjY28gaGFybSByZWR1Y3Rpb248
L2tleXdvcmQ+PC9rZXl3b3Jkcz48ZGF0ZXM+PHllYXI+MjAxNzwveWVhcj48cHViLWRhdGVzPjxk
YXRlPk9jdCAzMDwvZGF0ZT48L3B1Yi1kYXRlcz48L2RhdGVzPjxpc2JuPjE1NTAtNDI3MTwvaXNi
bj48YWNjZXNzaW9uLW51bT4yOTA4MzI4NzwvYWNjZXNzaW9uLW51bT48dXJscz48cmVsYXRlZC11
cmxzPjx1cmw+aHR0cHM6Ly93d3cudGFuZGZvbmxpbmUuY29tL2RvaS9wZGYvMTAuMTA4MC8xNTUw
NDI2My4yMDE3LjEzODQ4Nzc/bmVlZEFjY2Vzcz10cnVlPC91cmw+PC9yZWxhdGVkLXVybHM+PC91
cmxzPjxlbGVjdHJvbmljLXJlc291cmNlLW51bT4xMC4xMDgwLzE1NTA0MjYzLjIwMTcuMTM4NDg3
NzwvZWxlY3Ryb25pYy1yZXNvdXJjZS1udW0+PHJlbW90ZS1kYXRhYmFzZS1wcm92aWRlcj5OTE08
L3JlbW90ZS1kYXRhYmFzZS1wcm92aWRlcj48bGFuZ3VhZ2U+ZW5nPC9sYW5ndWFnZT48L3JlY29y
ZD48L0NpdGU+PC9FbmROb3RlPgB=
</w:fldData>
        </w:fldChar>
      </w:r>
      <w:r w:rsidR="00903735">
        <w:instrText xml:space="preserve"> ADDIN EN.CITE </w:instrText>
      </w:r>
      <w:r w:rsidR="00903735">
        <w:fldChar w:fldCharType="begin">
          <w:fldData xml:space="preserve">PEVuZE5vdGU+PENpdGU+PEF1dGhvcj5WYWxlbnRpbmU8L0F1dGhvcj48WWVhcj4yMDE3PC9ZZWFy
PjxSZWNOdW0+Mjk2PC9SZWNOdW0+PERpc3BsYXlUZXh0PihWYWxlbnRpbmUsIEhlZm5lciBldCBh
bC4gMjAxNyk8L0Rpc3BsYXlUZXh0PjxyZWNvcmQ+PHJlYy1udW1iZXI+Mjk2PC9yZWMtbnVtYmVy
Pjxmb3JlaWduLWtleXM+PGtleSBhcHA9IkVOIiBkYi1pZD0iNXh2NXc1dDJiZHh0eGZlengwMnh0
eGRmdDVyejVwdHZ2dDI5IiB0aW1lc3RhbXA9IjE1MjA1Njg0MzQiPjI5Njwva2V5PjxrZXkgYXBw
PSJFTldlYiIgZGItaWQ9IiI+MDwva2V5PjwvZm9yZWlnbi1rZXlzPjxyZWYtdHlwZSBuYW1lPSJK
b3VybmFsIEFydGljbGUiPjE3PC9yZWYtdHlwZT48Y29udHJpYnV0b3JzPjxhdXRob3JzPjxhdXRo
b3I+VmFsZW50aW5lLCBHLiBXLjwvYXV0aG9yPjxhdXRob3I+SGVmbmVyLCBLLjwvYXV0aG9yPjxh
dXRob3I+SmF0bG93LCBQLiBJLjwvYXV0aG9yPjxhdXRob3I+Um9zZW5oZWNrLCBSLiBBLjwvYXV0
aG9yPjxhdXRob3I+R3Vlb3JndWlldmEsIFIuPC9hdXRob3I+PGF1dGhvcj5Tb2Z1b2dsdSwgTS48
L2F1dGhvcj48L2F1dGhvcnM+PC9jb250cmlidXRvcnM+PGF1dGgtYWRkcmVzcz5hIERlcGFydG1l
bnQgb2YgUHN5Y2hpYXRyeSAsIFlhbGUgU2Nob29sIG9mIE1lZGljaW5lICwgTmV3IEhhdmVuICwg
Q29ubmVjdGljdXQgLCBVU0EuJiN4RDtiIFZldGVyYW5zIEhlYWx0aCBBZG1pbmlzdHJhdGlvbiBN
ZW50YWwgSWxsbmVzcyBSZXNlYXJjaCwgRWR1Y2F0aW9uIGFuZCBDbGluaWNhbCBDZW50ZXIgKE1J
UkVDQykgLCBXZXN0IEhhdmVuICwgQ29ubmVjdGljdXQgLCBVU0EuJiN4RDtjIERlcGFydG1lbnQg
b2YgTGFib3JhdG9yeSBNZWRpY2luZSAsIFlhbGUgU2Nob29sIG9mIE1lZGljaW5lICwgTmV3IEhh
dmVuICwgQ29ubmVjdGljdXQgLCBVU0EuJiN4RDtkIERlcGFydG1lbnQgb2YgQmlvc3RhdGlzdGlj
cyAsIFlhbGUgU2Nob29sIG9mIFB1YmxpYyBIZWFsdGggLCBOZXcgSGF2ZW4gLCBDb25uZWN0aWN1
dCAsIFVTQS48L2F1dGgtYWRkcmVzcz48dGl0bGVzPjx0aXRsZT5JbXBhY3Qgb2YgRS1jaWdhcmV0
dGVzIG9uIFNtb2tpbmcgYW5kIFJlbGF0ZWQgT3V0Y29tZXMgaW4gVmV0ZXJhbiBTbW9rZXJzIFdp
dGggUHN5Y2hpYXRyaWMgQ29tb3JiaWRpdHk8L3RpdGxlPjxzZWNvbmRhcnktdGl0bGU+SiBEdWFs
IERpYWduPC9zZWNvbmRhcnktdGl0bGU+PGFsdC10aXRsZT5Kb3VybmFsIG9mIGR1YWwgZGlhZ25v
c2lzPC9hbHQtdGl0bGU+PC90aXRsZXM+PHBlcmlvZGljYWw+PGZ1bGwtdGl0bGU+SiBEdWFsIERp
YWduPC9mdWxsLXRpdGxlPjxhYmJyLTE+Sm91cm5hbCBvZiBkdWFsIGRpYWdub3NpczwvYWJici0x
PjwvcGVyaW9kaWNhbD48YWx0LXBlcmlvZGljYWw+PGZ1bGwtdGl0bGU+SiBEdWFsIERpYWduPC9m
dWxsLXRpdGxlPjxhYmJyLTE+Sm91cm5hbCBvZiBkdWFsIGRpYWdub3NpczwvYWJici0xPjwvYWx0
LXBlcmlvZGljYWw+PHBhZ2VzPjEtMTI8L3BhZ2VzPjxlZGl0aW9uPjIwMTcvMTAvMzE8L2VkaXRp
b24+PGtleXdvcmRzPjxrZXl3b3JkPkVsZWN0cm9uaWMgY2lnYXJldHRlczwva2V5d29yZD48a2V5
d29yZD5jaWdhcmV0dGVzPC9rZXl3b3JkPjxrZXl3b3JkPmUtY2lnYXJldHRlczwva2V5d29yZD48
a2V5d29yZD5zbW9raW5nPC9rZXl3b3JkPjxrZXl3b3JkPnRvYmFjY28gaGFybSByZWR1Y3Rpb248
L2tleXdvcmQ+PC9rZXl3b3Jkcz48ZGF0ZXM+PHllYXI+MjAxNzwveWVhcj48cHViLWRhdGVzPjxk
YXRlPk9jdCAzMDwvZGF0ZT48L3B1Yi1kYXRlcz48L2RhdGVzPjxpc2JuPjE1NTAtNDI3MTwvaXNi
bj48YWNjZXNzaW9uLW51bT4yOTA4MzI4NzwvYWNjZXNzaW9uLW51bT48dXJscz48cmVsYXRlZC11
cmxzPjx1cmw+aHR0cHM6Ly93d3cudGFuZGZvbmxpbmUuY29tL2RvaS9wZGYvMTAuMTA4MC8xNTUw
NDI2My4yMDE3LjEzODQ4Nzc/bmVlZEFjY2Vzcz10cnVlPC91cmw+PC9yZWxhdGVkLXVybHM+PC91
cmxzPjxlbGVjdHJvbmljLXJlc291cmNlLW51bT4xMC4xMDgwLzE1NTA0MjYzLjIwMTcuMTM4NDg3
NzwvZWxlY3Ryb25pYy1yZXNvdXJjZS1udW0+PHJlbW90ZS1kYXRhYmFzZS1wcm92aWRlcj5OTE08
L3JlbW90ZS1kYXRhYmFzZS1wcm92aWRlcj48bGFuZ3VhZ2U+ZW5nPC9sYW5ndWFnZT48L3JlY29y
ZD48L0NpdGU+PC9FbmROb3RlPgB=
</w:fldData>
        </w:fldChar>
      </w:r>
      <w:r w:rsidR="00903735">
        <w:instrText xml:space="preserve"> ADDIN EN.CITE.DATA </w:instrText>
      </w:r>
      <w:r w:rsidR="00903735">
        <w:fldChar w:fldCharType="end"/>
      </w:r>
      <w:r>
        <w:fldChar w:fldCharType="separate"/>
      </w:r>
      <w:r>
        <w:rPr>
          <w:noProof/>
        </w:rPr>
        <w:t>(Valentine, Hefner et al. 2017)</w:t>
      </w:r>
      <w:r>
        <w:fldChar w:fldCharType="end"/>
      </w:r>
      <w:r>
        <w:t>. However this is a very unique population group and findings may not be applicable to the wider population.</w:t>
      </w:r>
    </w:p>
    <w:p w14:paraId="71A96E6D" w14:textId="77777777" w:rsidR="00235C5A" w:rsidRPr="00235C5A" w:rsidRDefault="00235C5A" w:rsidP="00235C5A">
      <w:pPr>
        <w:pStyle w:val="BodyText"/>
      </w:pPr>
    </w:p>
    <w:p w14:paraId="0BFE46B5" w14:textId="77777777" w:rsidR="00D27901" w:rsidRDefault="00D27901" w:rsidP="00874EDF">
      <w:pPr>
        <w:pStyle w:val="Heading3"/>
      </w:pPr>
      <w:r>
        <w:lastRenderedPageBreak/>
        <w:t>Cross-sectional studies</w:t>
      </w:r>
    </w:p>
    <w:p w14:paraId="34EB5204" w14:textId="060C4353" w:rsidR="00235C5A" w:rsidRDefault="00235C5A" w:rsidP="00235C5A">
      <w:pPr>
        <w:pStyle w:val="BodyText"/>
      </w:pPr>
      <w:r>
        <w:t xml:space="preserve">The </w:t>
      </w:r>
      <w:r w:rsidR="00A126FF">
        <w:t>Action on Smoking Health (</w:t>
      </w:r>
      <w:r>
        <w:t>ASH</w:t>
      </w:r>
      <w:r w:rsidR="00A126FF">
        <w:t>)</w:t>
      </w:r>
      <w:r>
        <w:t xml:space="preserve"> Smoke free Great Britain surveys included 12,157 currently smoking adults who completed online surveys</w:t>
      </w:r>
      <w:r w:rsidRPr="002F2801">
        <w:t xml:space="preserve"> </w:t>
      </w:r>
      <w:r>
        <w:t>on smoking status, e</w:t>
      </w:r>
      <w:r>
        <w:noBreakHyphen/>
        <w:t xml:space="preserve">cigarette use and motivation to quit smoking (response rate, age and gender not reported) </w:t>
      </w:r>
      <w:r>
        <w:fldChar w:fldCharType="begin">
          <w:fldData xml:space="preserve">PEVuZE5vdGU+PENpdGU+PEF1dGhvcj5TaW1vbmF2aWNpdXM8L0F1dGhvcj48WWVhcj4yMDE3PC9Z
ZWFyPjxSZWNOdW0+NTMyNjwvUmVjTnVtPjxEaXNwbGF5VGV4dD4oU2ltb25hdmljaXVzLCBNY05l
aWxsIGV0IGFsLiAyMDE3KTwvRGlzcGxheVRleHQ+PHJlY29yZD48cmVjLW51bWJlcj41MzI2PC9y
ZWMtbnVtYmVyPjxmb3JlaWduLWtleXM+PGtleSBhcHA9IkVOIiBkYi1pZD0iOXowNWR6MHByYWFk
ZnVlZTB6b3h6ZWRrOXpmZTVmeHg1MHo1IiB0aW1lc3RhbXA9IjE1MjM5MjA5NDYiPjUzMjY8L2tl
eT48a2V5IGFwcD0iRU5XZWIiIGRiLWlkPSIiPjA8L2tleT48L2ZvcmVpZ24ta2V5cz48cmVmLXR5
cGUgbmFtZT0iSm91cm5hbCBBcnRpY2xlIj4xNzwvcmVmLXR5cGU+PGNvbnRyaWJ1dG9ycz48YXV0
aG9ycz48YXV0aG9yPlNpbW9uYXZpY2l1cywgRS48L2F1dGhvcj48YXV0aG9yPk1jTmVpbGwsIEEu
PC9hdXRob3I+PGF1dGhvcj5Bcm5vdHQsIEQuPC9hdXRob3I+PGF1dGhvcj5Ccm9zZSwgTC4gUy48
L2F1dGhvcj48L2F1dGhvcnM+PC9jb250cmlidXRvcnM+PGF1dGgtYWRkcmVzcz5EZXBhcnRtZW50
IG9mIEFkZGljdGlvbnMsIEluc3RpdHV0ZSBvZiBQc3ljaGlhdHJ5LCBQc3ljaG9sb2d5IGFuZCBO
ZXVyb3NjaWVuY2UsIEtpbmcmYXBvcztzIENvbGxlZ2UgTG9uZG9uLCBMb25kb24sIFVuaXRlZCBL
aW5nZG9tLiBFbGVjdHJvbmljIGFkZHJlc3M6IGVyaWthcy5zaW1vbmF2aWNpdXNAa2NsLmFjLnVr
LiYjeEQ7RGVwYXJ0bWVudCBvZiBBZGRpY3Rpb25zLCBJbnN0aXR1dGUgb2YgUHN5Y2hpYXRyeSwg
UHN5Y2hvbG9neSBhbmQgTmV1cm9zY2llbmNlLCBLaW5nJmFwb3M7cyBDb2xsZWdlIExvbmRvbiwg
TG9uZG9uLCBVbml0ZWQgS2luZ2RvbS4mI3hEO0FjdGlvbiBvbiBTbW9raW5nIGFuZCBIZWFsdGgs
IExvbmRvbiwgVW5pdGVkIEtpbmdkb20uPC9hdXRoLWFkZHJlc3M+PHRpdGxlcz48dGl0bGU+V2hh
dCBmYWN0b3JzIGFyZSBhc3NvY2lhdGVkIHdpdGggY3VycmVudCBzbW9rZXJzIHVzaW5nIG9yIHN0
b3BwaW5nIGUtY2lnYXJldHRlIHVzZT88L3RpdGxlPjxzZWNvbmRhcnktdGl0bGU+RHJ1ZyBBbGNv
aG9sIERlcGVuZDwvc2Vjb25kYXJ5LXRpdGxlPjxhbHQtdGl0bGU+RHJ1ZyBhbmQgYWxjb2hvbCBk
ZXBlbmRlbmNlPC9hbHQtdGl0bGU+PC90aXRsZXM+PGFsdC1wZXJpb2RpY2FsPjxmdWxsLXRpdGxl
PkRydWcgYW5kIEFsY29ob2wgRGVwZW5kZW5jZTwvZnVsbC10aXRsZT48L2FsdC1wZXJpb2RpY2Fs
PjxwYWdlcz4xMzktMTQzPC9wYWdlcz48dm9sdW1lPjE3Mzwvdm9sdW1lPjxlZGl0aW9uPjIwMTcv
MDMvMDI8L2VkaXRpb24+PGtleXdvcmRzPjxrZXl3b3JkPkFkb2xlc2NlbnQ8L2tleXdvcmQ+PGtl
eXdvcmQ+QWR1bHQ8L2tleXdvcmQ+PGtleXdvcmQ+Q3JhdmluZzwva2V5d29yZD48a2V5d29yZD5F
bGVjdHJvbmljIE5pY290aW5lIERlbGl2ZXJ5IFN5c3RlbXMvKnBzeWNob2xvZ3k8L2tleXdvcmQ+
PGtleXdvcmQ+RmVtYWxlPC9rZXl3b3JkPjxrZXl3b3JkPkhlYWx0aCBTdXJ2ZXlzPC9rZXl3b3Jk
PjxrZXl3b3JkPkh1bWFuczwva2V5d29yZD48a2V5d29yZD5NYWxlPC9rZXl3b3JkPjxrZXl3b3Jk
Pk1pZGRsZSBBZ2VkPC9rZXl3b3JkPjxrZXl3b3JkPk1vdGl2YXRpb248L2tleXdvcmQ+PGtleXdv
cmQ+U21va2luZy8qcHN5Y2hvbG9neTwva2V5d29yZD48a2V5d29yZD5TbW9raW5nIENlc3NhdGlv
bi8qcHN5Y2hvbG9neTwva2V5d29yZD48a2V5d29yZD5TdXJ2ZXlzIGFuZCBRdWVzdGlvbm5haXJl
czwva2V5d29yZD48a2V5d29yZD5Vbml0ZWQgS2luZ2RvbTwva2V5d29yZD48a2V5d29yZD5Zb3Vu
ZyBBZHVsdDwva2V5d29yZD48a2V5d29yZD4qRWxlY3Ryb25pYyBjaWdhcmV0dGVzPC9rZXl3b3Jk
PjxrZXl3b3JkPipNb3RpdmF0aW9uIHRvIHF1aXQ8L2tleXdvcmQ+PGtleXdvcmQ+KlNtb2tpbmc8
L2tleXdvcmQ+PC9rZXl3b3Jkcz48ZGF0ZXM+PHllYXI+MjAxNzwveWVhcj48cHViLWRhdGVzPjxk
YXRlPkFwciAxPC9kYXRlPjwvcHViLWRhdGVzPjwvZGF0ZXM+PGlzYm4+MDM3Ni04NzE2PC9pc2Ju
PjxhY2Nlc3Npb24tbnVtPjI4MjQ2MDQ5PC9hY2Nlc3Npb24tbnVtPjx1cmxzPjxyZWxhdGVkLXVy
bHM+PHVybD5odHRwOi8vd3d3LmRydWdhbmRhbGNvaG9sZGVwZW5kZW5jZS5jb20vYXJ0aWNsZS9T
MDM3Ni04NzE2KDE3KTMwMDY3LTQvcGRmPC91cmw+PHVybD5odHRwczovL3d3dy5uY2JpLm5sbS5u
aWguZ292L3BtYy9hcnRpY2xlcy9QTUM1MzgwNjUzL3BkZi9tYWluLnBkZjwvdXJsPjwvcmVsYXRl
ZC11cmxzPjwvdXJscz48Y3VzdG9tMj5QTUM1MzgwNjUzPC9jdXN0b20yPjxlbGVjdHJvbmljLXJl
c291cmNlLW51bT4xMC4xMDE2L2ouZHJ1Z2FsY2RlcC4yMDE3LjAxLjAwMjwvZWxlY3Ryb25pYy1y
ZXNvdXJjZS1udW0+PHJlbW90ZS1kYXRhYmFzZS1wcm92aWRlcj5OTE08L3JlbW90ZS1kYXRhYmFz
ZS1wcm92aWRlcj48bGFuZ3VhZ2U+ZW5nPC9sYW5ndWFnZT48L3JlY29yZD48L0NpdGU+PC9FbmRO
b3RlPn==
</w:fldData>
        </w:fldChar>
      </w:r>
      <w:r>
        <w:instrText xml:space="preserve"> ADDIN EN.CITE </w:instrText>
      </w:r>
      <w:r>
        <w:fldChar w:fldCharType="begin">
          <w:fldData xml:space="preserve">PEVuZE5vdGU+PENpdGU+PEF1dGhvcj5TaW1vbmF2aWNpdXM8L0F1dGhvcj48WWVhcj4yMDE3PC9Z
ZWFyPjxSZWNOdW0+NTMyNjwvUmVjTnVtPjxEaXNwbGF5VGV4dD4oU2ltb25hdmljaXVzLCBNY05l
aWxsIGV0IGFsLiAyMDE3KTwvRGlzcGxheVRleHQ+PHJlY29yZD48cmVjLW51bWJlcj41MzI2PC9y
ZWMtbnVtYmVyPjxmb3JlaWduLWtleXM+PGtleSBhcHA9IkVOIiBkYi1pZD0iOXowNWR6MHByYWFk
ZnVlZTB6b3h6ZWRrOXpmZTVmeHg1MHo1IiB0aW1lc3RhbXA9IjE1MjM5MjA5NDYiPjUzMjY8L2tl
eT48a2V5IGFwcD0iRU5XZWIiIGRiLWlkPSIiPjA8L2tleT48L2ZvcmVpZ24ta2V5cz48cmVmLXR5
cGUgbmFtZT0iSm91cm5hbCBBcnRpY2xlIj4xNzwvcmVmLXR5cGU+PGNvbnRyaWJ1dG9ycz48YXV0
aG9ycz48YXV0aG9yPlNpbW9uYXZpY2l1cywgRS48L2F1dGhvcj48YXV0aG9yPk1jTmVpbGwsIEEu
PC9hdXRob3I+PGF1dGhvcj5Bcm5vdHQsIEQuPC9hdXRob3I+PGF1dGhvcj5Ccm9zZSwgTC4gUy48
L2F1dGhvcj48L2F1dGhvcnM+PC9jb250cmlidXRvcnM+PGF1dGgtYWRkcmVzcz5EZXBhcnRtZW50
IG9mIEFkZGljdGlvbnMsIEluc3RpdHV0ZSBvZiBQc3ljaGlhdHJ5LCBQc3ljaG9sb2d5IGFuZCBO
ZXVyb3NjaWVuY2UsIEtpbmcmYXBvcztzIENvbGxlZ2UgTG9uZG9uLCBMb25kb24sIFVuaXRlZCBL
aW5nZG9tLiBFbGVjdHJvbmljIGFkZHJlc3M6IGVyaWthcy5zaW1vbmF2aWNpdXNAa2NsLmFjLnVr
LiYjeEQ7RGVwYXJ0bWVudCBvZiBBZGRpY3Rpb25zLCBJbnN0aXR1dGUgb2YgUHN5Y2hpYXRyeSwg
UHN5Y2hvbG9neSBhbmQgTmV1cm9zY2llbmNlLCBLaW5nJmFwb3M7cyBDb2xsZWdlIExvbmRvbiwg
TG9uZG9uLCBVbml0ZWQgS2luZ2RvbS4mI3hEO0FjdGlvbiBvbiBTbW9raW5nIGFuZCBIZWFsdGgs
IExvbmRvbiwgVW5pdGVkIEtpbmdkb20uPC9hdXRoLWFkZHJlc3M+PHRpdGxlcz48dGl0bGU+V2hh
dCBmYWN0b3JzIGFyZSBhc3NvY2lhdGVkIHdpdGggY3VycmVudCBzbW9rZXJzIHVzaW5nIG9yIHN0
b3BwaW5nIGUtY2lnYXJldHRlIHVzZT88L3RpdGxlPjxzZWNvbmRhcnktdGl0bGU+RHJ1ZyBBbGNv
aG9sIERlcGVuZDwvc2Vjb25kYXJ5LXRpdGxlPjxhbHQtdGl0bGU+RHJ1ZyBhbmQgYWxjb2hvbCBk
ZXBlbmRlbmNlPC9hbHQtdGl0bGU+PC90aXRsZXM+PGFsdC1wZXJpb2RpY2FsPjxmdWxsLXRpdGxl
PkRydWcgYW5kIEFsY29ob2wgRGVwZW5kZW5jZTwvZnVsbC10aXRsZT48L2FsdC1wZXJpb2RpY2Fs
PjxwYWdlcz4xMzktMTQzPC9wYWdlcz48dm9sdW1lPjE3Mzwvdm9sdW1lPjxlZGl0aW9uPjIwMTcv
MDMvMDI8L2VkaXRpb24+PGtleXdvcmRzPjxrZXl3b3JkPkFkb2xlc2NlbnQ8L2tleXdvcmQ+PGtl
eXdvcmQ+QWR1bHQ8L2tleXdvcmQ+PGtleXdvcmQ+Q3JhdmluZzwva2V5d29yZD48a2V5d29yZD5F
bGVjdHJvbmljIE5pY290aW5lIERlbGl2ZXJ5IFN5c3RlbXMvKnBzeWNob2xvZ3k8L2tleXdvcmQ+
PGtleXdvcmQ+RmVtYWxlPC9rZXl3b3JkPjxrZXl3b3JkPkhlYWx0aCBTdXJ2ZXlzPC9rZXl3b3Jk
PjxrZXl3b3JkPkh1bWFuczwva2V5d29yZD48a2V5d29yZD5NYWxlPC9rZXl3b3JkPjxrZXl3b3Jk
Pk1pZGRsZSBBZ2VkPC9rZXl3b3JkPjxrZXl3b3JkPk1vdGl2YXRpb248L2tleXdvcmQ+PGtleXdv
cmQ+U21va2luZy8qcHN5Y2hvbG9neTwva2V5d29yZD48a2V5d29yZD5TbW9raW5nIENlc3NhdGlv
bi8qcHN5Y2hvbG9neTwva2V5d29yZD48a2V5d29yZD5TdXJ2ZXlzIGFuZCBRdWVzdGlvbm5haXJl
czwva2V5d29yZD48a2V5d29yZD5Vbml0ZWQgS2luZ2RvbTwva2V5d29yZD48a2V5d29yZD5Zb3Vu
ZyBBZHVsdDwva2V5d29yZD48a2V5d29yZD4qRWxlY3Ryb25pYyBjaWdhcmV0dGVzPC9rZXl3b3Jk
PjxrZXl3b3JkPipNb3RpdmF0aW9uIHRvIHF1aXQ8L2tleXdvcmQ+PGtleXdvcmQ+KlNtb2tpbmc8
L2tleXdvcmQ+PC9rZXl3b3Jkcz48ZGF0ZXM+PHllYXI+MjAxNzwveWVhcj48cHViLWRhdGVzPjxk
YXRlPkFwciAxPC9kYXRlPjwvcHViLWRhdGVzPjwvZGF0ZXM+PGlzYm4+MDM3Ni04NzE2PC9pc2Ju
PjxhY2Nlc3Npb24tbnVtPjI4MjQ2MDQ5PC9hY2Nlc3Npb24tbnVtPjx1cmxzPjxyZWxhdGVkLXVy
bHM+PHVybD5odHRwOi8vd3d3LmRydWdhbmRhbGNvaG9sZGVwZW5kZW5jZS5jb20vYXJ0aWNsZS9T
MDM3Ni04NzE2KDE3KTMwMDY3LTQvcGRmPC91cmw+PHVybD5odHRwczovL3d3dy5uY2JpLm5sbS5u
aWguZ292L3BtYy9hcnRpY2xlcy9QTUM1MzgwNjUzL3BkZi9tYWluLnBkZjwvdXJsPjwvcmVsYXRl
ZC11cmxzPjwvdXJscz48Y3VzdG9tMj5QTUM1MzgwNjUzPC9jdXN0b20yPjxlbGVjdHJvbmljLXJl
c291cmNlLW51bT4xMC4xMDE2L2ouZHJ1Z2FsY2RlcC4yMDE3LjAxLjAwMjwvZWxlY3Ryb25pYy1y
ZXNvdXJjZS1udW0+PHJlbW90ZS1kYXRhYmFzZS1wcm92aWRlcj5OTE08L3JlbW90ZS1kYXRhYmFz
ZS1wcm92aWRlcj48bGFuZ3VhZ2U+ZW5nPC9sYW5ndWFnZT48L3JlY29yZD48L0NpdGU+PC9FbmRO
b3RlPn==
</w:fldData>
        </w:fldChar>
      </w:r>
      <w:r>
        <w:instrText xml:space="preserve"> ADDIN EN.CITE.DATA </w:instrText>
      </w:r>
      <w:r>
        <w:fldChar w:fldCharType="end"/>
      </w:r>
      <w:r>
        <w:fldChar w:fldCharType="separate"/>
      </w:r>
      <w:r>
        <w:rPr>
          <w:noProof/>
        </w:rPr>
        <w:t>(Simonavicius, McNeill et al. 2017)</w:t>
      </w:r>
      <w:r>
        <w:fldChar w:fldCharType="end"/>
      </w:r>
      <w:r>
        <w:t>. In this study, e</w:t>
      </w:r>
      <w:r>
        <w:noBreakHyphen/>
        <w:t>cigarette users who were also conventional cigarette users had a higher motivation to quit smoking than cigarette</w:t>
      </w:r>
      <w:r>
        <w:noBreakHyphen/>
        <w:t>only users (measured on the ‘motivation to stop’ scale). Dual users of cigarettes and e</w:t>
      </w:r>
      <w:r>
        <w:noBreakHyphen/>
        <w:t>cigarettes were more likely to use e</w:t>
      </w:r>
      <w:r>
        <w:noBreakHyphen/>
        <w:t>cigarettes as a smoking reduction aid than past e</w:t>
      </w:r>
      <w:r>
        <w:noBreakHyphen/>
        <w:t>cigarette users. In addition, current dual users reported a higher motivation to stop smoking than past users, never users and past e</w:t>
      </w:r>
      <w:r>
        <w:noBreakHyphen/>
        <w:t xml:space="preserve">cigarette triers </w:t>
      </w:r>
      <w:r>
        <w:fldChar w:fldCharType="begin">
          <w:fldData xml:space="preserve">PEVuZE5vdGU+PENpdGU+PEF1dGhvcj5TaW1vbmF2aWNpdXM8L0F1dGhvcj48WWVhcj4yMDE3PC9Z
ZWFyPjxSZWNOdW0+NTMyNjwvUmVjTnVtPjxEaXNwbGF5VGV4dD4oU2ltb25hdmljaXVzLCBNY05l
aWxsIGV0IGFsLiAyMDE3KTwvRGlzcGxheVRleHQ+PHJlY29yZD48cmVjLW51bWJlcj41MzI2PC9y
ZWMtbnVtYmVyPjxmb3JlaWduLWtleXM+PGtleSBhcHA9IkVOIiBkYi1pZD0iOXowNWR6MHByYWFk
ZnVlZTB6b3h6ZWRrOXpmZTVmeHg1MHo1IiB0aW1lc3RhbXA9IjE1MjM5MjA5NDYiPjUzMjY8L2tl
eT48a2V5IGFwcD0iRU5XZWIiIGRiLWlkPSIiPjA8L2tleT48L2ZvcmVpZ24ta2V5cz48cmVmLXR5
cGUgbmFtZT0iSm91cm5hbCBBcnRpY2xlIj4xNzwvcmVmLXR5cGU+PGNvbnRyaWJ1dG9ycz48YXV0
aG9ycz48YXV0aG9yPlNpbW9uYXZpY2l1cywgRS48L2F1dGhvcj48YXV0aG9yPk1jTmVpbGwsIEEu
PC9hdXRob3I+PGF1dGhvcj5Bcm5vdHQsIEQuPC9hdXRob3I+PGF1dGhvcj5Ccm9zZSwgTC4gUy48
L2F1dGhvcj48L2F1dGhvcnM+PC9jb250cmlidXRvcnM+PGF1dGgtYWRkcmVzcz5EZXBhcnRtZW50
IG9mIEFkZGljdGlvbnMsIEluc3RpdHV0ZSBvZiBQc3ljaGlhdHJ5LCBQc3ljaG9sb2d5IGFuZCBO
ZXVyb3NjaWVuY2UsIEtpbmcmYXBvcztzIENvbGxlZ2UgTG9uZG9uLCBMb25kb24sIFVuaXRlZCBL
aW5nZG9tLiBFbGVjdHJvbmljIGFkZHJlc3M6IGVyaWthcy5zaW1vbmF2aWNpdXNAa2NsLmFjLnVr
LiYjeEQ7RGVwYXJ0bWVudCBvZiBBZGRpY3Rpb25zLCBJbnN0aXR1dGUgb2YgUHN5Y2hpYXRyeSwg
UHN5Y2hvbG9neSBhbmQgTmV1cm9zY2llbmNlLCBLaW5nJmFwb3M7cyBDb2xsZWdlIExvbmRvbiwg
TG9uZG9uLCBVbml0ZWQgS2luZ2RvbS4mI3hEO0FjdGlvbiBvbiBTbW9raW5nIGFuZCBIZWFsdGgs
IExvbmRvbiwgVW5pdGVkIEtpbmdkb20uPC9hdXRoLWFkZHJlc3M+PHRpdGxlcz48dGl0bGU+V2hh
dCBmYWN0b3JzIGFyZSBhc3NvY2lhdGVkIHdpdGggY3VycmVudCBzbW9rZXJzIHVzaW5nIG9yIHN0
b3BwaW5nIGUtY2lnYXJldHRlIHVzZT88L3RpdGxlPjxzZWNvbmRhcnktdGl0bGU+RHJ1ZyBBbGNv
aG9sIERlcGVuZDwvc2Vjb25kYXJ5LXRpdGxlPjxhbHQtdGl0bGU+RHJ1ZyBhbmQgYWxjb2hvbCBk
ZXBlbmRlbmNlPC9hbHQtdGl0bGU+PC90aXRsZXM+PGFsdC1wZXJpb2RpY2FsPjxmdWxsLXRpdGxl
PkRydWcgYW5kIEFsY29ob2wgRGVwZW5kZW5jZTwvZnVsbC10aXRsZT48L2FsdC1wZXJpb2RpY2Fs
PjxwYWdlcz4xMzktMTQzPC9wYWdlcz48dm9sdW1lPjE3Mzwvdm9sdW1lPjxlZGl0aW9uPjIwMTcv
MDMvMDI8L2VkaXRpb24+PGtleXdvcmRzPjxrZXl3b3JkPkFkb2xlc2NlbnQ8L2tleXdvcmQ+PGtl
eXdvcmQ+QWR1bHQ8L2tleXdvcmQ+PGtleXdvcmQ+Q3JhdmluZzwva2V5d29yZD48a2V5d29yZD5F
bGVjdHJvbmljIE5pY290aW5lIERlbGl2ZXJ5IFN5c3RlbXMvKnBzeWNob2xvZ3k8L2tleXdvcmQ+
PGtleXdvcmQ+RmVtYWxlPC9rZXl3b3JkPjxrZXl3b3JkPkhlYWx0aCBTdXJ2ZXlzPC9rZXl3b3Jk
PjxrZXl3b3JkPkh1bWFuczwva2V5d29yZD48a2V5d29yZD5NYWxlPC9rZXl3b3JkPjxrZXl3b3Jk
Pk1pZGRsZSBBZ2VkPC9rZXl3b3JkPjxrZXl3b3JkPk1vdGl2YXRpb248L2tleXdvcmQ+PGtleXdv
cmQ+U21va2luZy8qcHN5Y2hvbG9neTwva2V5d29yZD48a2V5d29yZD5TbW9raW5nIENlc3NhdGlv
bi8qcHN5Y2hvbG9neTwva2V5d29yZD48a2V5d29yZD5TdXJ2ZXlzIGFuZCBRdWVzdGlvbm5haXJl
czwva2V5d29yZD48a2V5d29yZD5Vbml0ZWQgS2luZ2RvbTwva2V5d29yZD48a2V5d29yZD5Zb3Vu
ZyBBZHVsdDwva2V5d29yZD48a2V5d29yZD4qRWxlY3Ryb25pYyBjaWdhcmV0dGVzPC9rZXl3b3Jk
PjxrZXl3b3JkPipNb3RpdmF0aW9uIHRvIHF1aXQ8L2tleXdvcmQ+PGtleXdvcmQ+KlNtb2tpbmc8
L2tleXdvcmQ+PC9rZXl3b3Jkcz48ZGF0ZXM+PHllYXI+MjAxNzwveWVhcj48cHViLWRhdGVzPjxk
YXRlPkFwciAxPC9kYXRlPjwvcHViLWRhdGVzPjwvZGF0ZXM+PGlzYm4+MDM3Ni04NzE2PC9pc2Ju
PjxhY2Nlc3Npb24tbnVtPjI4MjQ2MDQ5PC9hY2Nlc3Npb24tbnVtPjx1cmxzPjxyZWxhdGVkLXVy
bHM+PHVybD5odHRwOi8vd3d3LmRydWdhbmRhbGNvaG9sZGVwZW5kZW5jZS5jb20vYXJ0aWNsZS9T
MDM3Ni04NzE2KDE3KTMwMDY3LTQvcGRmPC91cmw+PHVybD5odHRwczovL3d3dy5uY2JpLm5sbS5u
aWguZ292L3BtYy9hcnRpY2xlcy9QTUM1MzgwNjUzL3BkZi9tYWluLnBkZjwvdXJsPjwvcmVsYXRl
ZC11cmxzPjwvdXJscz48Y3VzdG9tMj5QTUM1MzgwNjUzPC9jdXN0b20yPjxlbGVjdHJvbmljLXJl
c291cmNlLW51bT4xMC4xMDE2L2ouZHJ1Z2FsY2RlcC4yMDE3LjAxLjAwMjwvZWxlY3Ryb25pYy1y
ZXNvdXJjZS1udW0+PHJlbW90ZS1kYXRhYmFzZS1wcm92aWRlcj5OTE08L3JlbW90ZS1kYXRhYmFz
ZS1wcm92aWRlcj48bGFuZ3VhZ2U+ZW5nPC9sYW5ndWFnZT48L3JlY29yZD48L0NpdGU+PC9FbmRO
b3RlPn==
</w:fldData>
        </w:fldChar>
      </w:r>
      <w:r>
        <w:instrText xml:space="preserve"> ADDIN EN.CITE </w:instrText>
      </w:r>
      <w:r>
        <w:fldChar w:fldCharType="begin">
          <w:fldData xml:space="preserve">PEVuZE5vdGU+PENpdGU+PEF1dGhvcj5TaW1vbmF2aWNpdXM8L0F1dGhvcj48WWVhcj4yMDE3PC9Z
ZWFyPjxSZWNOdW0+NTMyNjwvUmVjTnVtPjxEaXNwbGF5VGV4dD4oU2ltb25hdmljaXVzLCBNY05l
aWxsIGV0IGFsLiAyMDE3KTwvRGlzcGxheVRleHQ+PHJlY29yZD48cmVjLW51bWJlcj41MzI2PC9y
ZWMtbnVtYmVyPjxmb3JlaWduLWtleXM+PGtleSBhcHA9IkVOIiBkYi1pZD0iOXowNWR6MHByYWFk
ZnVlZTB6b3h6ZWRrOXpmZTVmeHg1MHo1IiB0aW1lc3RhbXA9IjE1MjM5MjA5NDYiPjUzMjY8L2tl
eT48a2V5IGFwcD0iRU5XZWIiIGRiLWlkPSIiPjA8L2tleT48L2ZvcmVpZ24ta2V5cz48cmVmLXR5
cGUgbmFtZT0iSm91cm5hbCBBcnRpY2xlIj4xNzwvcmVmLXR5cGU+PGNvbnRyaWJ1dG9ycz48YXV0
aG9ycz48YXV0aG9yPlNpbW9uYXZpY2l1cywgRS48L2F1dGhvcj48YXV0aG9yPk1jTmVpbGwsIEEu
PC9hdXRob3I+PGF1dGhvcj5Bcm5vdHQsIEQuPC9hdXRob3I+PGF1dGhvcj5Ccm9zZSwgTC4gUy48
L2F1dGhvcj48L2F1dGhvcnM+PC9jb250cmlidXRvcnM+PGF1dGgtYWRkcmVzcz5EZXBhcnRtZW50
IG9mIEFkZGljdGlvbnMsIEluc3RpdHV0ZSBvZiBQc3ljaGlhdHJ5LCBQc3ljaG9sb2d5IGFuZCBO
ZXVyb3NjaWVuY2UsIEtpbmcmYXBvcztzIENvbGxlZ2UgTG9uZG9uLCBMb25kb24sIFVuaXRlZCBL
aW5nZG9tLiBFbGVjdHJvbmljIGFkZHJlc3M6IGVyaWthcy5zaW1vbmF2aWNpdXNAa2NsLmFjLnVr
LiYjeEQ7RGVwYXJ0bWVudCBvZiBBZGRpY3Rpb25zLCBJbnN0aXR1dGUgb2YgUHN5Y2hpYXRyeSwg
UHN5Y2hvbG9neSBhbmQgTmV1cm9zY2llbmNlLCBLaW5nJmFwb3M7cyBDb2xsZWdlIExvbmRvbiwg
TG9uZG9uLCBVbml0ZWQgS2luZ2RvbS4mI3hEO0FjdGlvbiBvbiBTbW9raW5nIGFuZCBIZWFsdGgs
IExvbmRvbiwgVW5pdGVkIEtpbmdkb20uPC9hdXRoLWFkZHJlc3M+PHRpdGxlcz48dGl0bGU+V2hh
dCBmYWN0b3JzIGFyZSBhc3NvY2lhdGVkIHdpdGggY3VycmVudCBzbW9rZXJzIHVzaW5nIG9yIHN0
b3BwaW5nIGUtY2lnYXJldHRlIHVzZT88L3RpdGxlPjxzZWNvbmRhcnktdGl0bGU+RHJ1ZyBBbGNv
aG9sIERlcGVuZDwvc2Vjb25kYXJ5LXRpdGxlPjxhbHQtdGl0bGU+RHJ1ZyBhbmQgYWxjb2hvbCBk
ZXBlbmRlbmNlPC9hbHQtdGl0bGU+PC90aXRsZXM+PGFsdC1wZXJpb2RpY2FsPjxmdWxsLXRpdGxl
PkRydWcgYW5kIEFsY29ob2wgRGVwZW5kZW5jZTwvZnVsbC10aXRsZT48L2FsdC1wZXJpb2RpY2Fs
PjxwYWdlcz4xMzktMTQzPC9wYWdlcz48dm9sdW1lPjE3Mzwvdm9sdW1lPjxlZGl0aW9uPjIwMTcv
MDMvMDI8L2VkaXRpb24+PGtleXdvcmRzPjxrZXl3b3JkPkFkb2xlc2NlbnQ8L2tleXdvcmQ+PGtl
eXdvcmQ+QWR1bHQ8L2tleXdvcmQ+PGtleXdvcmQ+Q3JhdmluZzwva2V5d29yZD48a2V5d29yZD5F
bGVjdHJvbmljIE5pY290aW5lIERlbGl2ZXJ5IFN5c3RlbXMvKnBzeWNob2xvZ3k8L2tleXdvcmQ+
PGtleXdvcmQ+RmVtYWxlPC9rZXl3b3JkPjxrZXl3b3JkPkhlYWx0aCBTdXJ2ZXlzPC9rZXl3b3Jk
PjxrZXl3b3JkPkh1bWFuczwva2V5d29yZD48a2V5d29yZD5NYWxlPC9rZXl3b3JkPjxrZXl3b3Jk
Pk1pZGRsZSBBZ2VkPC9rZXl3b3JkPjxrZXl3b3JkPk1vdGl2YXRpb248L2tleXdvcmQ+PGtleXdv
cmQ+U21va2luZy8qcHN5Y2hvbG9neTwva2V5d29yZD48a2V5d29yZD5TbW9raW5nIENlc3NhdGlv
bi8qcHN5Y2hvbG9neTwva2V5d29yZD48a2V5d29yZD5TdXJ2ZXlzIGFuZCBRdWVzdGlvbm5haXJl
czwva2V5d29yZD48a2V5d29yZD5Vbml0ZWQgS2luZ2RvbTwva2V5d29yZD48a2V5d29yZD5Zb3Vu
ZyBBZHVsdDwva2V5d29yZD48a2V5d29yZD4qRWxlY3Ryb25pYyBjaWdhcmV0dGVzPC9rZXl3b3Jk
PjxrZXl3b3JkPipNb3RpdmF0aW9uIHRvIHF1aXQ8L2tleXdvcmQ+PGtleXdvcmQ+KlNtb2tpbmc8
L2tleXdvcmQ+PC9rZXl3b3Jkcz48ZGF0ZXM+PHllYXI+MjAxNzwveWVhcj48cHViLWRhdGVzPjxk
YXRlPkFwciAxPC9kYXRlPjwvcHViLWRhdGVzPjwvZGF0ZXM+PGlzYm4+MDM3Ni04NzE2PC9pc2Ju
PjxhY2Nlc3Npb24tbnVtPjI4MjQ2MDQ5PC9hY2Nlc3Npb24tbnVtPjx1cmxzPjxyZWxhdGVkLXVy
bHM+PHVybD5odHRwOi8vd3d3LmRydWdhbmRhbGNvaG9sZGVwZW5kZW5jZS5jb20vYXJ0aWNsZS9T
MDM3Ni04NzE2KDE3KTMwMDY3LTQvcGRmPC91cmw+PHVybD5odHRwczovL3d3dy5uY2JpLm5sbS5u
aWguZ292L3BtYy9hcnRpY2xlcy9QTUM1MzgwNjUzL3BkZi9tYWluLnBkZjwvdXJsPjwvcmVsYXRl
ZC11cmxzPjwvdXJscz48Y3VzdG9tMj5QTUM1MzgwNjUzPC9jdXN0b20yPjxlbGVjdHJvbmljLXJl
c291cmNlLW51bT4xMC4xMDE2L2ouZHJ1Z2FsY2RlcC4yMDE3LjAxLjAwMjwvZWxlY3Ryb25pYy1y
ZXNvdXJjZS1udW0+PHJlbW90ZS1kYXRhYmFzZS1wcm92aWRlcj5OTE08L3JlbW90ZS1kYXRhYmFz
ZS1wcm92aWRlcj48bGFuZ3VhZ2U+ZW5nPC9sYW5ndWFnZT48L3JlY29yZD48L0NpdGU+PC9FbmRO
b3RlPn==
</w:fldData>
        </w:fldChar>
      </w:r>
      <w:r>
        <w:instrText xml:space="preserve"> ADDIN EN.CITE.DATA </w:instrText>
      </w:r>
      <w:r>
        <w:fldChar w:fldCharType="end"/>
      </w:r>
      <w:r>
        <w:fldChar w:fldCharType="separate"/>
      </w:r>
      <w:r>
        <w:rPr>
          <w:noProof/>
        </w:rPr>
        <w:t>(Simonavicius, McNeill et al. 2017)</w:t>
      </w:r>
      <w:r>
        <w:fldChar w:fldCharType="end"/>
      </w:r>
      <w:r>
        <w:t>. This indicates a correlation between e</w:t>
      </w:r>
      <w:r>
        <w:noBreakHyphen/>
        <w:t xml:space="preserve">cigarette use and motivation to quit. However, </w:t>
      </w:r>
      <w:r w:rsidRPr="00730A42">
        <w:t xml:space="preserve">motivation to quit </w:t>
      </w:r>
      <w:r>
        <w:t>may have led to e</w:t>
      </w:r>
      <w:r>
        <w:noBreakHyphen/>
        <w:t>cigarette use, rather than e</w:t>
      </w:r>
      <w:r>
        <w:noBreakHyphen/>
        <w:t xml:space="preserve">cigarette use leading to motivation to quit. </w:t>
      </w:r>
    </w:p>
    <w:p w14:paraId="6154FAB4" w14:textId="2EE25035" w:rsidR="00235C5A" w:rsidRDefault="00235C5A" w:rsidP="00235C5A">
      <w:pPr>
        <w:pStyle w:val="BodyText"/>
      </w:pPr>
      <w:r>
        <w:t xml:space="preserve">Results from a South Korean survey conducted by Sung et al. contradict the findings from Simonavicius et al. 2017 </w:t>
      </w:r>
      <w:r>
        <w:fldChar w:fldCharType="begin"/>
      </w:r>
      <w:r>
        <w:instrText xml:space="preserve"> ADDIN EN.CITE &lt;EndNote&gt;&lt;Cite&gt;&lt;Author&gt;Sung&lt;/Author&gt;&lt;Year&gt;2017&lt;/Year&gt;&lt;RecNum&gt;4839&lt;/RecNum&gt;&lt;DisplayText&gt;(Sung 2017)&lt;/DisplayText&gt;&lt;record&gt;&lt;rec-number&gt;4839&lt;/rec-number&gt;&lt;foreign-keys&gt;&lt;key app="EN" db-id="9z05dz0praadfuee0zoxzedk9zfe5fxx50z5" timestamp="1523920526"&gt;4839&lt;/key&gt;&lt;key app="ENWeb" db-id=""&gt;0&lt;/key&gt;&lt;/foreign-keys&gt;&lt;ref-type name="Journal Article"&gt;17&lt;/ref-type&gt;&lt;contributors&gt;&lt;authors&gt;&lt;author&gt;Sung, B.&lt;/author&gt;&lt;/authors&gt;&lt;/contributors&gt;&lt;auth-address&gt;1 Korea Institute for Health &amp;amp; Welfare Policy, Seoul, Republic of Korea.&lt;/auth-address&gt;&lt;titles&gt;&lt;title&gt;E-cigarette Use and Smoking Cessation Among South Korean Adult Smokers: A Propensity Score-Matching Approach&lt;/title&gt;&lt;secondary-title&gt;Asia Pac J Public Health&lt;/secondary-title&gt;&lt;alt-title&gt;Asia-Pacific journal of public health&lt;/alt-title&gt;&lt;/titles&gt;&lt;periodical&gt;&lt;full-title&gt;Asia Pac J Public Health&lt;/full-title&gt;&lt;abbr-1&gt;Asia-Pacific journal of public health&lt;/abbr-1&gt;&lt;/periodical&gt;&lt;alt-periodical&gt;&lt;full-title&gt;Asia Pac J Public Health&lt;/full-title&gt;&lt;abbr-1&gt;Asia-Pacific journal of public health&lt;/abbr-1&gt;&lt;/alt-periodical&gt;&lt;pages&gt;1010539517740054&lt;/pages&gt;&lt;edition&gt;2017/11/03&lt;/edition&gt;&lt;keywords&gt;&lt;keyword&gt;South Korea&lt;/keyword&gt;&lt;keyword&gt;adult smokers&lt;/keyword&gt;&lt;keyword&gt;e-cigarette use&lt;/keyword&gt;&lt;keyword&gt;propensity score matching&lt;/keyword&gt;&lt;keyword&gt;smoking cessation&lt;/keyword&gt;&lt;/keywords&gt;&lt;dates&gt;&lt;year&gt;2017&lt;/year&gt;&lt;pub-dates&gt;&lt;date&gt;Nov 1&lt;/date&gt;&lt;/pub-dates&gt;&lt;/dates&gt;&lt;isbn&gt;1010-5395&lt;/isbn&gt;&lt;accession-num&gt;29092629&lt;/accession-num&gt;&lt;urls&gt;&lt;related-urls&gt;&lt;url&gt;http://journals.sagepub.com/doi/pdf/10.1177/1010539517740054&lt;/url&gt;&lt;/related-urls&gt;&lt;/urls&gt;&lt;electronic-resource-num&gt;10.1177/1010539517740054&lt;/electronic-resource-num&gt;&lt;remote-database-provider&gt;NLM&lt;/remote-database-provider&gt;&lt;language&gt;eng&lt;/language&gt;&lt;/record&gt;&lt;/Cite&gt;&lt;/EndNote&gt;</w:instrText>
      </w:r>
      <w:r>
        <w:fldChar w:fldCharType="separate"/>
      </w:r>
      <w:r>
        <w:rPr>
          <w:noProof/>
        </w:rPr>
        <w:t>(Sung 2017)</w:t>
      </w:r>
      <w:r>
        <w:fldChar w:fldCharType="end"/>
      </w:r>
      <w:r>
        <w:t xml:space="preserve">. This study was a secondary analysis of the Korean National Health and Nutrition Examination Survey (KNHANES), a nationally representative study. This analysis included 2965 current adult smokers who were predominantly male (85.5%) and aged &gt;19 years (see </w:t>
      </w:r>
      <w:r w:rsidR="00C1128C">
        <w:t>T</w:t>
      </w:r>
      <w:r>
        <w:t xml:space="preserve">able </w:t>
      </w:r>
      <w:r w:rsidR="00F0285D">
        <w:t>12</w:t>
      </w:r>
      <w:r>
        <w:t xml:space="preserve"> for more details). Response rate was not reported. The study found a negative relationship between intention to quit smoking and e</w:t>
      </w:r>
      <w:r>
        <w:noBreakHyphen/>
        <w:t>cigarette use. Additionally, e</w:t>
      </w:r>
      <w:r>
        <w:noBreakHyphen/>
        <w:t>cigarette users reported fewer quit attempts than non</w:t>
      </w:r>
      <w:r>
        <w:noBreakHyphen/>
        <w:t>e</w:t>
      </w:r>
      <w:r>
        <w:noBreakHyphen/>
        <w:t xml:space="preserve">cigarette users. Differences between results of this study and Simonovicius et al.’s study may be due to the use of different motivation questions. The Motivation to Stop scale, used in the study by Siminovicius et al., is a validated measurement of likelihood of attempting to quit smoking </w:t>
      </w:r>
      <w:r>
        <w:fldChar w:fldCharType="begin"/>
      </w:r>
      <w:r w:rsidR="00903735">
        <w:instrText xml:space="preserve"> ADDIN EN.CITE &lt;EndNote&gt;&lt;Cite&gt;&lt;Author&gt;Kotz&lt;/Author&gt;&lt;Year&gt;2013&lt;/Year&gt;&lt;RecNum&gt;13416&lt;/RecNum&gt;&lt;DisplayText&gt;(Kotz, Brown et al. 2013)&lt;/DisplayText&gt;&lt;record&gt;&lt;rec-number&gt;13416&lt;/rec-number&gt;&lt;foreign-keys&gt;&lt;key app="EN" db-id="5xv5w5t2bdxtxfezx02xtxdft5rz5ptvvt29" timestamp="1525400083"&gt;13416&lt;/key&gt;&lt;/foreign-keys&gt;&lt;ref-type name="Journal Article"&gt;17&lt;/ref-type&gt;&lt;contributors&gt;&lt;authors&gt;&lt;author&gt;Kotz, D.&lt;/author&gt;&lt;author&gt;Brown, J.&lt;/author&gt;&lt;author&gt;West, R.&lt;/author&gt;&lt;/authors&gt;&lt;/contributors&gt;&lt;titles&gt;&lt;title&gt;Predictive validity of the Motivation To Stop Scale (MTSS): A single-item measure of motivation to stop smoking&lt;/title&gt;&lt;secondary-title&gt;Drug and Alcohol Dependence&lt;/secondary-title&gt;&lt;/titles&gt;&lt;periodical&gt;&lt;full-title&gt;Drug Alcohol Depend&lt;/full-title&gt;&lt;abbr-1&gt;Drug and alcohol dependence&lt;/abbr-1&gt;&lt;/periodical&gt;&lt;pages&gt;15-19&lt;/pages&gt;&lt;volume&gt;128&lt;/volume&gt;&lt;number&gt;1&lt;/number&gt;&lt;keywords&gt;&lt;keyword&gt;Smoking&lt;/keyword&gt;&lt;keyword&gt;Quit attempt&lt;/keyword&gt;&lt;keyword&gt;Motivation to quit&lt;/keyword&gt;&lt;keyword&gt;Survey&lt;/keyword&gt;&lt;/keywords&gt;&lt;dates&gt;&lt;year&gt;2013&lt;/year&gt;&lt;pub-dates&gt;&lt;date&gt;2013/02/01/&lt;/date&gt;&lt;/pub-dates&gt;&lt;/dates&gt;&lt;isbn&gt;0376-8716&lt;/isbn&gt;&lt;urls&gt;&lt;related-urls&gt;&lt;url&gt;http://www.sciencedirect.com/science/article/pii/S0376871612002864&lt;/url&gt;&lt;url&gt;https://www.sciencedirect.com/science/article/pii/S0376871612002864?via%3Dihub&lt;/url&gt;&lt;/related-urls&gt;&lt;/urls&gt;&lt;electronic-resource-num&gt;https://doi.org/10.1016/j.drugalcdep.2012.07.012&lt;/electronic-resource-num&gt;&lt;/record&gt;&lt;/Cite&gt;&lt;/EndNote&gt;</w:instrText>
      </w:r>
      <w:r>
        <w:fldChar w:fldCharType="separate"/>
      </w:r>
      <w:r>
        <w:rPr>
          <w:noProof/>
        </w:rPr>
        <w:t>(Kotz, Brown et al. 2013)</w:t>
      </w:r>
      <w:r>
        <w:fldChar w:fldCharType="end"/>
      </w:r>
      <w:r>
        <w:t xml:space="preserve">. It is unclear if the question used in KNHANES is validated, and the questions included different time frames; KNHANES asked participants if they were going to stop smoking in the next </w:t>
      </w:r>
      <w:r w:rsidR="000E5C99">
        <w:t>six</w:t>
      </w:r>
      <w:r>
        <w:t xml:space="preserve"> months and the Great Britain study asked if they were going to stop within </w:t>
      </w:r>
      <w:r w:rsidR="00C1128C">
        <w:t>one to three</w:t>
      </w:r>
      <w:r>
        <w:t xml:space="preserve"> months. Different outcomes may also have been due to cultural or demographic differences.</w:t>
      </w:r>
    </w:p>
    <w:p w14:paraId="1422C72D" w14:textId="77777777" w:rsidR="00235C5A" w:rsidRPr="00235C5A" w:rsidRDefault="00235C5A" w:rsidP="00235C5A">
      <w:pPr>
        <w:pStyle w:val="BodyText"/>
      </w:pPr>
    </w:p>
    <w:p w14:paraId="153FBF86" w14:textId="77777777" w:rsidR="00D27901" w:rsidRDefault="000D0A02" w:rsidP="00874EDF">
      <w:pPr>
        <w:pStyle w:val="Heading3"/>
      </w:pPr>
      <w:r>
        <w:t>Conclusions</w:t>
      </w:r>
    </w:p>
    <w:p w14:paraId="49A337AB" w14:textId="77777777" w:rsidR="00235C5A" w:rsidRDefault="00235C5A" w:rsidP="00235C5A">
      <w:pPr>
        <w:pStyle w:val="BodyText"/>
      </w:pPr>
      <w:r>
        <w:t>The above studies indicate that there may be an association between e</w:t>
      </w:r>
      <w:r>
        <w:noBreakHyphen/>
        <w:t>cigarette use and motivate smokers to quit.</w:t>
      </w:r>
      <w:r w:rsidRPr="006C0CB0">
        <w:t xml:space="preserve"> </w:t>
      </w:r>
      <w:r>
        <w:t>However, these studies mostly investigated opinions and motivation which may not represent quit attempts or successful smoking cessation.</w:t>
      </w:r>
      <w:r w:rsidRPr="006C0CB0">
        <w:t xml:space="preserve"> </w:t>
      </w:r>
      <w:r>
        <w:t>Additionally, some studies only included current vapers, which may not capture smokers who had tried e</w:t>
      </w:r>
      <w:r>
        <w:noBreakHyphen/>
        <w:t>cigarettes and found them to be an unsatisfactory cessation method.</w:t>
      </w:r>
      <w:r w:rsidRPr="006C0CB0">
        <w:t xml:space="preserve"> </w:t>
      </w:r>
      <w:r>
        <w:t>Finally, there are limited studies and study designs are unable to establish cause and effect. Randomised controlled trials would provide higher quality evidence for this area.</w:t>
      </w:r>
    </w:p>
    <w:p w14:paraId="159B799C" w14:textId="77777777" w:rsidR="00235C5A" w:rsidRDefault="00235C5A" w:rsidP="00235C5A">
      <w:pPr>
        <w:pStyle w:val="BodyText"/>
      </w:pPr>
    </w:p>
    <w:p w14:paraId="08950B06" w14:textId="77777777" w:rsidR="00235C5A" w:rsidRDefault="00235C5A" w:rsidP="00235C5A">
      <w:pPr>
        <w:pStyle w:val="Heading3"/>
      </w:pPr>
      <w:r>
        <w:t>Key findings</w:t>
      </w:r>
    </w:p>
    <w:p w14:paraId="58D4A53E" w14:textId="77777777" w:rsidR="00235C5A" w:rsidRDefault="00235C5A" w:rsidP="00235C5A">
      <w:pPr>
        <w:pStyle w:val="BodyText"/>
        <w:numPr>
          <w:ilvl w:val="0"/>
          <w:numId w:val="66"/>
        </w:numPr>
      </w:pPr>
      <w:r>
        <w:t>Studies indicate that there may be an association for smokers between e</w:t>
      </w:r>
      <w:r>
        <w:noBreakHyphen/>
        <w:t>cigarette use and increased motivation to quit.</w:t>
      </w:r>
    </w:p>
    <w:p w14:paraId="70D420F9" w14:textId="77777777" w:rsidR="00235C5A" w:rsidRDefault="00235C5A" w:rsidP="00235C5A">
      <w:pPr>
        <w:pStyle w:val="BodyText"/>
        <w:numPr>
          <w:ilvl w:val="0"/>
          <w:numId w:val="66"/>
        </w:numPr>
      </w:pPr>
      <w:r>
        <w:lastRenderedPageBreak/>
        <w:t>It is likely that people who use e</w:t>
      </w:r>
      <w:r>
        <w:noBreakHyphen/>
        <w:t>cigarettes are already interested in quitting smoking, therefore have higher quit motivations than non</w:t>
      </w:r>
      <w:r>
        <w:noBreakHyphen/>
        <w:t>users.</w:t>
      </w:r>
    </w:p>
    <w:p w14:paraId="1501EE6A" w14:textId="77777777" w:rsidR="00235C5A" w:rsidRDefault="00235C5A" w:rsidP="00235C5A">
      <w:pPr>
        <w:pStyle w:val="BodyText"/>
        <w:numPr>
          <w:ilvl w:val="0"/>
          <w:numId w:val="66"/>
        </w:numPr>
      </w:pPr>
      <w:r>
        <w:t>Randomised controlled trials are needed to determine if using e</w:t>
      </w:r>
      <w:r>
        <w:noBreakHyphen/>
        <w:t>cigarettes increases motivation to quit smoking.</w:t>
      </w:r>
    </w:p>
    <w:p w14:paraId="06241906" w14:textId="77777777" w:rsidR="00235C5A" w:rsidRPr="00235C5A" w:rsidRDefault="00235C5A" w:rsidP="00235C5A">
      <w:pPr>
        <w:pStyle w:val="BodyText"/>
      </w:pPr>
    </w:p>
    <w:p w14:paraId="31E0BDB8" w14:textId="77777777" w:rsidR="00753345" w:rsidRDefault="00955544" w:rsidP="00476460">
      <w:pPr>
        <w:pStyle w:val="Heading2"/>
      </w:pPr>
      <w:bookmarkStart w:id="131" w:name="_Toc515229957"/>
      <w:r>
        <w:t xml:space="preserve"> </w:t>
      </w:r>
      <w:bookmarkStart w:id="132" w:name="_Toc517706685"/>
      <w:r w:rsidR="00753345">
        <w:t>Use of e-cigarettes for reducing withdrawal symptoms</w:t>
      </w:r>
      <w:bookmarkEnd w:id="131"/>
      <w:bookmarkEnd w:id="132"/>
    </w:p>
    <w:p w14:paraId="15DAFAB6" w14:textId="77777777" w:rsidR="002738DD" w:rsidRDefault="002738DD" w:rsidP="002738DD">
      <w:pPr>
        <w:pStyle w:val="BodyText"/>
      </w:pPr>
      <w:r>
        <w:t>Six randomised controlled trials (RCTs), one non</w:t>
      </w:r>
      <w:r>
        <w:noBreakHyphen/>
        <w:t>randomised trial and one cross</w:t>
      </w:r>
      <w:r>
        <w:noBreakHyphen/>
        <w:t>sectional study investigated the use of e</w:t>
      </w:r>
      <w:r>
        <w:noBreakHyphen/>
        <w:t xml:space="preserve">cigarettes to reduce withdrawal symptoms from tobacco cigarettes. </w:t>
      </w:r>
    </w:p>
    <w:p w14:paraId="0CD0DACF" w14:textId="77777777" w:rsidR="00235C5A" w:rsidRPr="00235C5A" w:rsidRDefault="00235C5A" w:rsidP="00235C5A">
      <w:pPr>
        <w:pStyle w:val="BodyText"/>
      </w:pPr>
    </w:p>
    <w:p w14:paraId="4366DDA3" w14:textId="77777777" w:rsidR="002738DD" w:rsidRDefault="002738DD" w:rsidP="002738DD">
      <w:pPr>
        <w:pStyle w:val="Heading3"/>
      </w:pPr>
      <w:r>
        <w:t>Randomised controlled trials</w:t>
      </w:r>
    </w:p>
    <w:p w14:paraId="5C519705" w14:textId="77777777" w:rsidR="002738DD" w:rsidRDefault="002738DD" w:rsidP="002738DD">
      <w:pPr>
        <w:pStyle w:val="BodyText"/>
      </w:pPr>
      <w:r>
        <w:t>In these randomised controlled trials, participants (all adult smokers) were asked to abstain from smoking for 3 to 24 hours and had their cravings and withdrawal symptoms assessed before and after using e</w:t>
      </w:r>
      <w:r>
        <w:noBreakHyphen/>
        <w:t xml:space="preserve">cigarettes with and without nicotine, or a control (tobacco cigarette, no smoking/ vaping). </w:t>
      </w:r>
    </w:p>
    <w:p w14:paraId="593F75B2" w14:textId="77777777" w:rsidR="002738DD" w:rsidRDefault="002738DD" w:rsidP="002738DD">
      <w:pPr>
        <w:pStyle w:val="BodyText"/>
      </w:pPr>
      <w:r>
        <w:t>The first RCT was a US</w:t>
      </w:r>
      <w:r>
        <w:noBreakHyphen/>
        <w:t>based double</w:t>
      </w:r>
      <w:r>
        <w:noBreakHyphen/>
        <w:t>blind, cross</w:t>
      </w:r>
      <w:r>
        <w:noBreakHyphen/>
        <w:t xml:space="preserve">over design with participants recruited from the community using online advertisements </w:t>
      </w:r>
      <w:r>
        <w:fldChar w:fldCharType="begin"/>
      </w:r>
      <w:r>
        <w:instrText xml:space="preserve"> ADDIN EN.CITE &lt;EndNote&gt;&lt;Cite&gt;&lt;Author&gt;Harvanko&lt;/Author&gt;&lt;Year&gt;2017&lt;/Year&gt;&lt;RecNum&gt;5205&lt;/RecNum&gt;&lt;DisplayText&gt;(Harvanko, Martin et al. 2017)&lt;/DisplayText&gt;&lt;record&gt;&lt;rec-number&gt;5205&lt;/rec-number&gt;&lt;foreign-keys&gt;&lt;key app="EN" db-id="9z05dz0praadfuee0zoxzedk9zfe5fxx50z5" timestamp="1523920933"&gt;5205&lt;/key&gt;&lt;/foreign-keys&gt;&lt;ref-type name="Journal Article"&gt;17&lt;/ref-type&gt;&lt;contributors&gt;&lt;authors&gt;&lt;author&gt;Harvanko, A. M.&lt;/author&gt;&lt;author&gt;Martin, C. A.&lt;/author&gt;&lt;author&gt;Kryscio, R. J.&lt;/author&gt;&lt;author&gt;Stoops, W. W.&lt;/author&gt;&lt;author&gt;Lile, J. A.&lt;/author&gt;&lt;author&gt;Kelly, T. H.&lt;/author&gt;&lt;/authors&gt;&lt;/contributors&gt;&lt;auth-address&gt;Department of Psychology, University of Kentucky, Lexington, KY, USA.&amp;#xD;Department of Psychiatry, University of Kentucky, Lexington, KY, USA.&amp;#xD;Department of Biostatistics, University of Kentucky, Lexington, KY, USA.&amp;#xD;Department of Behavioral Science, University of Kentucky, Lexington, KY, USA.&lt;/auth-address&gt;&lt;titles&gt;&lt;title&gt;A Prototypical First-Generation Electronic Cigarette Does Not Reduce Reports of Tobacco Urges or Withdrawal Symptoms among Cigarette Smokers&lt;/title&gt;&lt;secondary-title&gt;J Addict&lt;/secondary-title&gt;&lt;alt-title&gt;Journal of addiction&lt;/alt-title&gt;&lt;/titles&gt;&lt;periodical&gt;&lt;full-title&gt;J Addict&lt;/full-title&gt;&lt;abbr-1&gt;Journal of addiction&lt;/abbr-1&gt;&lt;/periodical&gt;&lt;alt-periodical&gt;&lt;full-title&gt;J Addict&lt;/full-title&gt;&lt;abbr-1&gt;Journal of addiction&lt;/abbr-1&gt;&lt;/alt-periodical&gt;&lt;pages&gt;6748948&lt;/pages&gt;&lt;volume&gt;2017&lt;/volume&gt;&lt;edition&gt;2017/05/02&lt;/edition&gt;&lt;dates&gt;&lt;year&gt;2017&lt;/year&gt;&lt;/dates&gt;&lt;isbn&gt;2090-7834 (Print)&amp;#xD;2090-7850&lt;/isbn&gt;&lt;accession-num&gt;28458942&lt;/accession-num&gt;&lt;urls&gt;&lt;related-urls&gt;&lt;url&gt;https://www.ncbi.nlm.nih.gov/pmc/articles/PMC5385218/pdf/JAD2017-6748948.pdf&lt;/url&gt;&lt;/related-urls&gt;&lt;/urls&gt;&lt;custom2&gt;PMC5385218&lt;/custom2&gt;&lt;electronic-resource-num&gt;10.1155/2017/6748948&lt;/electronic-resource-num&gt;&lt;remote-database-provider&gt;NLM&lt;/remote-database-provider&gt;&lt;language&gt;eng&lt;/language&gt;&lt;/record&gt;&lt;/Cite&gt;&lt;/EndNote&gt;</w:instrText>
      </w:r>
      <w:r>
        <w:fldChar w:fldCharType="separate"/>
      </w:r>
      <w:r>
        <w:rPr>
          <w:noProof/>
        </w:rPr>
        <w:t>(Harvanko, Martin et al. 2017)</w:t>
      </w:r>
      <w:r>
        <w:fldChar w:fldCharType="end"/>
      </w:r>
      <w:r>
        <w:t>. There were nine participants, all were adult smokers without an interest in smoking cessation, three were female (33%) and mean age was not reported. In this trial, participants were instructed to abstain from smoking for 24 hours (verified by carbon monoxide testing) and were then randomised to be given 10 puffs of either a tobacco cigarette, or a 0 mg/mL, 8 mg/mL or 16 mg/mL nicotine e</w:t>
      </w:r>
      <w:r>
        <w:noBreakHyphen/>
        <w:t xml:space="preserve">cigarette. While use of the tobacco cigarette led to a reduction in the responses to </w:t>
      </w:r>
      <w:r w:rsidRPr="005C7C7C">
        <w:t>'desire or craving to smoke', 'desire for a cigarette right now'</w:t>
      </w:r>
      <w:r>
        <w:t xml:space="preserve"> and</w:t>
      </w:r>
      <w:r w:rsidRPr="005C7C7C">
        <w:t xml:space="preserve"> 'I am going to smoke as soon as possible'</w:t>
      </w:r>
      <w:r>
        <w:t>,</w:t>
      </w:r>
      <w:r w:rsidRPr="005C7C7C">
        <w:t xml:space="preserve"> </w:t>
      </w:r>
      <w:r>
        <w:t>e</w:t>
      </w:r>
      <w:r>
        <w:noBreakHyphen/>
        <w:t xml:space="preserve">cigarette use did not </w:t>
      </w:r>
      <w:r>
        <w:fldChar w:fldCharType="begin"/>
      </w:r>
      <w:r>
        <w:instrText xml:space="preserve"> ADDIN EN.CITE &lt;EndNote&gt;&lt;Cite&gt;&lt;Author&gt;Harvanko&lt;/Author&gt;&lt;Year&gt;2017&lt;/Year&gt;&lt;RecNum&gt;5205&lt;/RecNum&gt;&lt;DisplayText&gt;(Harvanko, Martin et al. 2017)&lt;/DisplayText&gt;&lt;record&gt;&lt;rec-number&gt;5205&lt;/rec-number&gt;&lt;foreign-keys&gt;&lt;key app="EN" db-id="9z05dz0praadfuee0zoxzedk9zfe5fxx50z5" timestamp="1523920933"&gt;5205&lt;/key&gt;&lt;/foreign-keys&gt;&lt;ref-type name="Journal Article"&gt;17&lt;/ref-type&gt;&lt;contributors&gt;&lt;authors&gt;&lt;author&gt;Harvanko, A. M.&lt;/author&gt;&lt;author&gt;Martin, C. A.&lt;/author&gt;&lt;author&gt;Kryscio, R. J.&lt;/author&gt;&lt;author&gt;Stoops, W. W.&lt;/author&gt;&lt;author&gt;Lile, J. A.&lt;/author&gt;&lt;author&gt;Kelly, T. H.&lt;/author&gt;&lt;/authors&gt;&lt;/contributors&gt;&lt;auth-address&gt;Department of Psychology, University of Kentucky, Lexington, KY, USA.&amp;#xD;Department of Psychiatry, University of Kentucky, Lexington, KY, USA.&amp;#xD;Department of Biostatistics, University of Kentucky, Lexington, KY, USA.&amp;#xD;Department of Behavioral Science, University of Kentucky, Lexington, KY, USA.&lt;/auth-address&gt;&lt;titles&gt;&lt;title&gt;A Prototypical First-Generation Electronic Cigarette Does Not Reduce Reports of Tobacco Urges or Withdrawal Symptoms among Cigarette Smokers&lt;/title&gt;&lt;secondary-title&gt;J Addict&lt;/secondary-title&gt;&lt;alt-title&gt;Journal of addiction&lt;/alt-title&gt;&lt;/titles&gt;&lt;periodical&gt;&lt;full-title&gt;J Addict&lt;/full-title&gt;&lt;abbr-1&gt;Journal of addiction&lt;/abbr-1&gt;&lt;/periodical&gt;&lt;alt-periodical&gt;&lt;full-title&gt;J Addict&lt;/full-title&gt;&lt;abbr-1&gt;Journal of addiction&lt;/abbr-1&gt;&lt;/alt-periodical&gt;&lt;pages&gt;6748948&lt;/pages&gt;&lt;volume&gt;2017&lt;/volume&gt;&lt;edition&gt;2017/05/02&lt;/edition&gt;&lt;dates&gt;&lt;year&gt;2017&lt;/year&gt;&lt;/dates&gt;&lt;isbn&gt;2090-7834 (Print)&amp;#xD;2090-7850&lt;/isbn&gt;&lt;accession-num&gt;28458942&lt;/accession-num&gt;&lt;urls&gt;&lt;related-urls&gt;&lt;url&gt;https://www.ncbi.nlm.nih.gov/pmc/articles/PMC5385218/pdf/JAD2017-6748948.pdf&lt;/url&gt;&lt;/related-urls&gt;&lt;/urls&gt;&lt;custom2&gt;PMC5385218&lt;/custom2&gt;&lt;electronic-resource-num&gt;10.1155/2017/6748948&lt;/electronic-resource-num&gt;&lt;remote-database-provider&gt;NLM&lt;/remote-database-provider&gt;&lt;language&gt;eng&lt;/language&gt;&lt;/record&gt;&lt;/Cite&gt;&lt;/EndNote&gt;</w:instrText>
      </w:r>
      <w:r>
        <w:fldChar w:fldCharType="separate"/>
      </w:r>
      <w:r>
        <w:rPr>
          <w:noProof/>
        </w:rPr>
        <w:t>(Harvanko, Martin et al. 2017)</w:t>
      </w:r>
      <w:r>
        <w:fldChar w:fldCharType="end"/>
      </w:r>
      <w:r>
        <w:t xml:space="preserve">. </w:t>
      </w:r>
    </w:p>
    <w:p w14:paraId="110EC973" w14:textId="3AF7A1C3" w:rsidR="002738DD" w:rsidRDefault="002738DD" w:rsidP="002738DD">
      <w:pPr>
        <w:pStyle w:val="BodyText"/>
      </w:pPr>
      <w:r>
        <w:t xml:space="preserve">Results from the RCT conducted by Harvanko et al. conflict with the results of a second study by Perkins et al </w:t>
      </w:r>
      <w:r>
        <w:fldChar w:fldCharType="begin">
          <w:fldData xml:space="preserve">PEVuZE5vdGU+PENpdGU+PEF1dGhvcj5QZXJraW5zPC9BdXRob3I+PFllYXI+MjAxNzwvWWVhcj48
UmVjTnVtPjUwODg8L1JlY051bT48RGlzcGxheVRleHQ+KFBlcmtpbnMsIEthcmVsaXR6IGV0IGFs
LiAyMDE3KTwvRGlzcGxheVRleHQ+PHJlY29yZD48cmVjLW51bWJlcj41MDg4PC9yZWMtbnVtYmVy
Pjxmb3JlaWduLWtleXM+PGtleSBhcHA9IkVOIiBkYi1pZD0iOXowNWR6MHByYWFkZnVlZTB6b3h6
ZWRrOXpmZTVmeHg1MHo1IiB0aW1lc3RhbXA9IjE1MjM5MjA5MjAiPjUwODg8L2tleT48L2ZvcmVp
Z24ta2V5cz48cmVmLXR5cGUgbmFtZT0iSm91cm5hbCBBcnRpY2xlIj4xNzwvcmVmLXR5cGU+PGNv
bnRyaWJ1dG9ycz48YXV0aG9ycz48YXV0aG9yPlBlcmtpbnMsIEsuIEEuPC9hdXRob3I+PGF1dGhv
cj5LYXJlbGl0eiwgSi4gTC48L2F1dGhvcj48YXV0aG9yPk1pY2hhZWwsIFYuIEMuPC9hdXRob3I+
PC9hdXRob3JzPjwvY29udHJpYnV0b3JzPjxhdXRoLWFkZHJlc3M+RGVwYXJ0bWVudCBvZiBQc3lj
aGlhdHJ5LCBVbml2ZXJzaXR5IG9mIFBpdHRzYnVyZ2guPC9hdXRoLWFkZHJlc3M+PHRpdGxlcz48
dGl0bGU+RWZmZWN0cyBvZiBuaWNvdGluZSB2ZXJzdXMgcGxhY2VibyBlLWNpZ2FyZXR0ZSB1c2Ug
b24gc3ltcHRvbSByZWxpZWYgZHVyaW5nIGluaXRpYWwgdG9iYWNjbyBhYnN0aW5lbmNlPC90aXRs
ZT48c2Vjb25kYXJ5LXRpdGxlPkV4cCBDbGluIFBzeWNob3BoYXJtYWNvbDwvc2Vjb25kYXJ5LXRp
dGxlPjxhbHQtdGl0bGU+RXhwZXJpbWVudGFsIGFuZCBjbGluaWNhbCBwc3ljaG9waGFybWFjb2xv
Z3k8L2FsdC10aXRsZT48L3RpdGxlcz48cGVyaW9kaWNhbD48ZnVsbC10aXRsZT5FeHAgQ2xpbiBQ
c3ljaG9waGFybWFjb2w8L2Z1bGwtdGl0bGU+PGFiYnItMT5FeHBlcmltZW50YWwgYW5kIGNsaW5p
Y2FsIHBzeWNob3BoYXJtYWNvbG9neTwvYWJici0xPjwvcGVyaW9kaWNhbD48YWx0LXBlcmlvZGlj
YWw+PGZ1bGwtdGl0bGU+RXhwIENsaW4gUHN5Y2hvcGhhcm1hY29sPC9mdWxsLXRpdGxlPjxhYmJy
LTE+RXhwZXJpbWVudGFsIGFuZCBjbGluaWNhbCBwc3ljaG9waGFybWFjb2xvZ3k8L2FiYnItMT48
L2FsdC1wZXJpb2RpY2FsPjxwYWdlcz4yNDktMjU0PC9wYWdlcz48dm9sdW1lPjI1PC92b2x1bWU+
PG51bWJlcj40PC9udW1iZXI+PGVkaXRpb24+MjAxNy8wNi8yNzwvZWRpdGlvbj48a2V5d29yZHM+
PGtleXdvcmQ+QWRvbGVzY2VudDwva2V5d29yZD48a2V5d29yZD5BZHVsdDwva2V5d29yZD48a2V5
d29yZD5DcmF2aW5nPC9rZXl3b3JkPjxrZXl3b3JkPkNyb3NzLU92ZXIgU3R1ZGllczwva2V5d29y
ZD48a2V5d29yZD4qRWxlY3Ryb25pYyBOaWNvdGluZSBEZWxpdmVyeSBTeXN0ZW1zPC9rZXl3b3Jk
PjxrZXl3b3JkPkZlbWFsZTwva2V5d29yZD48a2V5d29yZD5IdW1hbnM8L2tleXdvcmQ+PGtleXdv
cmQ+TWFsZTwva2V5d29yZD48a2V5d29yZD5OaWNvdGluZS8qYWRtaW5pc3RyYXRpb24gJmFtcDsg
ZG9zYWdlPC9rZXl3b3JkPjxrZXl3b3JkPlNtb2tpbmcgQ2Vzc2F0aW9uLyptZXRob2RzPC9rZXl3
b3JkPjxrZXl3b3JkPipTbW9raW5nIFByZXZlbnRpb248L2tleXdvcmQ+PGtleXdvcmQ+U3Vic3Rh
bmNlIFdpdGhkcmF3YWwgU3luZHJvbWUvZXBpZGVtaW9sb2d5L3RoZXJhcHk8L2tleXdvcmQ+PGtl
eXdvcmQ+U3VydmV5cyBhbmQgUXVlc3Rpb25uYWlyZXM8L2tleXdvcmQ+PGtleXdvcmQ+VG9iYWNj
byBVc2UgQ2Vzc2F0aW9uIFByb2R1Y3RzPC9rZXl3b3JkPjxrZXl3b3JkPlRvYmFjY28gVXNlIERp
c29yZGVyL3JlaGFiaWxpdGF0aW9uPC9rZXl3b3JkPjxrZXl3b3JkPllvdW5nIEFkdWx0PC9rZXl3
b3JkPjwva2V5d29yZHM+PGRhdGVzPjx5ZWFyPjIwMTc8L3llYXI+PHB1Yi1kYXRlcz48ZGF0ZT5B
dWc8L2RhdGU+PC9wdWItZGF0ZXM+PC9kYXRlcz48aXNibj4xMDY0LTEyOTc8L2lzYm4+PGFjY2Vz
c2lvbi1udW0+Mjg2NTAxODQ8L2FjY2Vzc2lvbi1udW0+PHVybHM+PC91cmxzPjxjdXN0b20yPlBN
QzU1NDY5Mzk8L2N1c3RvbTI+PGN1c3RvbTY+TklITVM4NzcwMzU8L2N1c3RvbTY+PGVsZWN0cm9u
aWMtcmVzb3VyY2UtbnVtPjEwLjEwMzcvcGhhMDAwMDEzNDwvZWxlY3Ryb25pYy1yZXNvdXJjZS1u
dW0+PHJlbW90ZS1kYXRhYmFzZS1wcm92aWRlcj5OTE08L3JlbW90ZS1kYXRhYmFzZS1wcm92aWRl
cj48bGFuZ3VhZ2U+ZW5nPC9sYW5ndWFnZT48L3JlY29yZD48L0NpdGU+PC9FbmROb3RlPn==
</w:fldData>
        </w:fldChar>
      </w:r>
      <w:r>
        <w:instrText xml:space="preserve"> ADDIN EN.CITE </w:instrText>
      </w:r>
      <w:r>
        <w:fldChar w:fldCharType="begin">
          <w:fldData xml:space="preserve">PEVuZE5vdGU+PENpdGU+PEF1dGhvcj5QZXJraW5zPC9BdXRob3I+PFllYXI+MjAxNzwvWWVhcj48
UmVjTnVtPjUwODg8L1JlY051bT48RGlzcGxheVRleHQ+KFBlcmtpbnMsIEthcmVsaXR6IGV0IGFs
LiAyMDE3KTwvRGlzcGxheVRleHQ+PHJlY29yZD48cmVjLW51bWJlcj41MDg4PC9yZWMtbnVtYmVy
Pjxmb3JlaWduLWtleXM+PGtleSBhcHA9IkVOIiBkYi1pZD0iOXowNWR6MHByYWFkZnVlZTB6b3h6
ZWRrOXpmZTVmeHg1MHo1IiB0aW1lc3RhbXA9IjE1MjM5MjA5MjAiPjUwODg8L2tleT48L2ZvcmVp
Z24ta2V5cz48cmVmLXR5cGUgbmFtZT0iSm91cm5hbCBBcnRpY2xlIj4xNzwvcmVmLXR5cGU+PGNv
bnRyaWJ1dG9ycz48YXV0aG9ycz48YXV0aG9yPlBlcmtpbnMsIEsuIEEuPC9hdXRob3I+PGF1dGhv
cj5LYXJlbGl0eiwgSi4gTC48L2F1dGhvcj48YXV0aG9yPk1pY2hhZWwsIFYuIEMuPC9hdXRob3I+
PC9hdXRob3JzPjwvY29udHJpYnV0b3JzPjxhdXRoLWFkZHJlc3M+RGVwYXJ0bWVudCBvZiBQc3lj
aGlhdHJ5LCBVbml2ZXJzaXR5IG9mIFBpdHRzYnVyZ2guPC9hdXRoLWFkZHJlc3M+PHRpdGxlcz48
dGl0bGU+RWZmZWN0cyBvZiBuaWNvdGluZSB2ZXJzdXMgcGxhY2VibyBlLWNpZ2FyZXR0ZSB1c2Ug
b24gc3ltcHRvbSByZWxpZWYgZHVyaW5nIGluaXRpYWwgdG9iYWNjbyBhYnN0aW5lbmNlPC90aXRs
ZT48c2Vjb25kYXJ5LXRpdGxlPkV4cCBDbGluIFBzeWNob3BoYXJtYWNvbDwvc2Vjb25kYXJ5LXRp
dGxlPjxhbHQtdGl0bGU+RXhwZXJpbWVudGFsIGFuZCBjbGluaWNhbCBwc3ljaG9waGFybWFjb2xv
Z3k8L2FsdC10aXRsZT48L3RpdGxlcz48cGVyaW9kaWNhbD48ZnVsbC10aXRsZT5FeHAgQ2xpbiBQ
c3ljaG9waGFybWFjb2w8L2Z1bGwtdGl0bGU+PGFiYnItMT5FeHBlcmltZW50YWwgYW5kIGNsaW5p
Y2FsIHBzeWNob3BoYXJtYWNvbG9neTwvYWJici0xPjwvcGVyaW9kaWNhbD48YWx0LXBlcmlvZGlj
YWw+PGZ1bGwtdGl0bGU+RXhwIENsaW4gUHN5Y2hvcGhhcm1hY29sPC9mdWxsLXRpdGxlPjxhYmJy
LTE+RXhwZXJpbWVudGFsIGFuZCBjbGluaWNhbCBwc3ljaG9waGFybWFjb2xvZ3k8L2FiYnItMT48
L2FsdC1wZXJpb2RpY2FsPjxwYWdlcz4yNDktMjU0PC9wYWdlcz48dm9sdW1lPjI1PC92b2x1bWU+
PG51bWJlcj40PC9udW1iZXI+PGVkaXRpb24+MjAxNy8wNi8yNzwvZWRpdGlvbj48a2V5d29yZHM+
PGtleXdvcmQ+QWRvbGVzY2VudDwva2V5d29yZD48a2V5d29yZD5BZHVsdDwva2V5d29yZD48a2V5
d29yZD5DcmF2aW5nPC9rZXl3b3JkPjxrZXl3b3JkPkNyb3NzLU92ZXIgU3R1ZGllczwva2V5d29y
ZD48a2V5d29yZD4qRWxlY3Ryb25pYyBOaWNvdGluZSBEZWxpdmVyeSBTeXN0ZW1zPC9rZXl3b3Jk
PjxrZXl3b3JkPkZlbWFsZTwva2V5d29yZD48a2V5d29yZD5IdW1hbnM8L2tleXdvcmQ+PGtleXdv
cmQ+TWFsZTwva2V5d29yZD48a2V5d29yZD5OaWNvdGluZS8qYWRtaW5pc3RyYXRpb24gJmFtcDsg
ZG9zYWdlPC9rZXl3b3JkPjxrZXl3b3JkPlNtb2tpbmcgQ2Vzc2F0aW9uLyptZXRob2RzPC9rZXl3
b3JkPjxrZXl3b3JkPipTbW9raW5nIFByZXZlbnRpb248L2tleXdvcmQ+PGtleXdvcmQ+U3Vic3Rh
bmNlIFdpdGhkcmF3YWwgU3luZHJvbWUvZXBpZGVtaW9sb2d5L3RoZXJhcHk8L2tleXdvcmQ+PGtl
eXdvcmQ+U3VydmV5cyBhbmQgUXVlc3Rpb25uYWlyZXM8L2tleXdvcmQ+PGtleXdvcmQ+VG9iYWNj
byBVc2UgQ2Vzc2F0aW9uIFByb2R1Y3RzPC9rZXl3b3JkPjxrZXl3b3JkPlRvYmFjY28gVXNlIERp
c29yZGVyL3JlaGFiaWxpdGF0aW9uPC9rZXl3b3JkPjxrZXl3b3JkPllvdW5nIEFkdWx0PC9rZXl3
b3JkPjwva2V5d29yZHM+PGRhdGVzPjx5ZWFyPjIwMTc8L3llYXI+PHB1Yi1kYXRlcz48ZGF0ZT5B
dWc8L2RhdGU+PC9wdWItZGF0ZXM+PC9kYXRlcz48aXNibj4xMDY0LTEyOTc8L2lzYm4+PGFjY2Vz
c2lvbi1udW0+Mjg2NTAxODQ8L2FjY2Vzc2lvbi1udW0+PHVybHM+PC91cmxzPjxjdXN0b20yPlBN
QzU1NDY5Mzk8L2N1c3RvbTI+PGN1c3RvbTY+TklITVM4NzcwMzU8L2N1c3RvbTY+PGVsZWN0cm9u
aWMtcmVzb3VyY2UtbnVtPjEwLjEwMzcvcGhhMDAwMDEzNDwvZWxlY3Ryb25pYy1yZXNvdXJjZS1u
dW0+PHJlbW90ZS1kYXRhYmFzZS1wcm92aWRlcj5OTE08L3JlbW90ZS1kYXRhYmFzZS1wcm92aWRl
cj48bGFuZ3VhZ2U+ZW5nPC9sYW5ndWFnZT48L3JlY29yZD48L0NpdGU+PC9FbmROb3RlPn==
</w:fldData>
        </w:fldChar>
      </w:r>
      <w:r>
        <w:instrText xml:space="preserve"> ADDIN EN.CITE.DATA </w:instrText>
      </w:r>
      <w:r>
        <w:fldChar w:fldCharType="end"/>
      </w:r>
      <w:r>
        <w:fldChar w:fldCharType="separate"/>
      </w:r>
      <w:r>
        <w:rPr>
          <w:noProof/>
        </w:rPr>
        <w:t>(Perkins, Karelitz et al. 2017)</w:t>
      </w:r>
      <w:r>
        <w:fldChar w:fldCharType="end"/>
      </w:r>
      <w:r>
        <w:t xml:space="preserve">. In this parallel RCT, 28 US smokers with no intention of quitting smoking in the next </w:t>
      </w:r>
      <w:r w:rsidR="00F02D3D">
        <w:t xml:space="preserve">six </w:t>
      </w:r>
      <w:r>
        <w:t>months and who had not previously used e</w:t>
      </w:r>
      <w:r>
        <w:noBreakHyphen/>
        <w:t>cigarettes were recruited via public notices. Participants were predominantly female (57.1%) and had a mean age of 26.5(</w:t>
      </w:r>
      <w:r>
        <w:rPr>
          <w:rFonts w:cs="Calibri"/>
        </w:rPr>
        <w:t>±</w:t>
      </w:r>
      <w:r>
        <w:t>6.6) years. Participants underwent overnight cigarette deprivation, verified by carbon monoxide testing. They were then randomised to receive a 0mg/mL e</w:t>
      </w:r>
      <w:r>
        <w:noBreakHyphen/>
        <w:t>cigarette, a 36mg/mL e</w:t>
      </w:r>
      <w:r>
        <w:noBreakHyphen/>
        <w:t>cigarette or no device and waited for two hours. Withdrawal symptoms were measured before and after exposures. Researchers identified a larger reduction in withdrawal symptoms after use of an e</w:t>
      </w:r>
      <w:r>
        <w:noBreakHyphen/>
        <w:t>cigarette with nicotine (36 mg/mL) than after use of a nicotine</w:t>
      </w:r>
      <w:r>
        <w:noBreakHyphen/>
        <w:t>free e</w:t>
      </w:r>
      <w:r>
        <w:noBreakHyphen/>
        <w:t xml:space="preserve">cigarette or when given nothing </w:t>
      </w:r>
      <w:r>
        <w:fldChar w:fldCharType="begin">
          <w:fldData xml:space="preserve">PEVuZE5vdGU+PENpdGU+PEF1dGhvcj5QZXJraW5zPC9BdXRob3I+PFllYXI+MjAxNzwvWWVhcj48
UmVjTnVtPjUwODg8L1JlY051bT48RGlzcGxheVRleHQ+KFBlcmtpbnMsIEthcmVsaXR6IGV0IGFs
LiAyMDE3KTwvRGlzcGxheVRleHQ+PHJlY29yZD48cmVjLW51bWJlcj41MDg4PC9yZWMtbnVtYmVy
Pjxmb3JlaWduLWtleXM+PGtleSBhcHA9IkVOIiBkYi1pZD0iOXowNWR6MHByYWFkZnVlZTB6b3h6
ZWRrOXpmZTVmeHg1MHo1IiB0aW1lc3RhbXA9IjE1MjM5MjA5MjAiPjUwODg8L2tleT48L2ZvcmVp
Z24ta2V5cz48cmVmLXR5cGUgbmFtZT0iSm91cm5hbCBBcnRpY2xlIj4xNzwvcmVmLXR5cGU+PGNv
bnRyaWJ1dG9ycz48YXV0aG9ycz48YXV0aG9yPlBlcmtpbnMsIEsuIEEuPC9hdXRob3I+PGF1dGhv
cj5LYXJlbGl0eiwgSi4gTC48L2F1dGhvcj48YXV0aG9yPk1pY2hhZWwsIFYuIEMuPC9hdXRob3I+
PC9hdXRob3JzPjwvY29udHJpYnV0b3JzPjxhdXRoLWFkZHJlc3M+RGVwYXJ0bWVudCBvZiBQc3lj
aGlhdHJ5LCBVbml2ZXJzaXR5IG9mIFBpdHRzYnVyZ2guPC9hdXRoLWFkZHJlc3M+PHRpdGxlcz48
dGl0bGU+RWZmZWN0cyBvZiBuaWNvdGluZSB2ZXJzdXMgcGxhY2VibyBlLWNpZ2FyZXR0ZSB1c2Ug
b24gc3ltcHRvbSByZWxpZWYgZHVyaW5nIGluaXRpYWwgdG9iYWNjbyBhYnN0aW5lbmNlPC90aXRs
ZT48c2Vjb25kYXJ5LXRpdGxlPkV4cCBDbGluIFBzeWNob3BoYXJtYWNvbDwvc2Vjb25kYXJ5LXRp
dGxlPjxhbHQtdGl0bGU+RXhwZXJpbWVudGFsIGFuZCBjbGluaWNhbCBwc3ljaG9waGFybWFjb2xv
Z3k8L2FsdC10aXRsZT48L3RpdGxlcz48cGVyaW9kaWNhbD48ZnVsbC10aXRsZT5FeHAgQ2xpbiBQ
c3ljaG9waGFybWFjb2w8L2Z1bGwtdGl0bGU+PGFiYnItMT5FeHBlcmltZW50YWwgYW5kIGNsaW5p
Y2FsIHBzeWNob3BoYXJtYWNvbG9neTwvYWJici0xPjwvcGVyaW9kaWNhbD48YWx0LXBlcmlvZGlj
YWw+PGZ1bGwtdGl0bGU+RXhwIENsaW4gUHN5Y2hvcGhhcm1hY29sPC9mdWxsLXRpdGxlPjxhYmJy
LTE+RXhwZXJpbWVudGFsIGFuZCBjbGluaWNhbCBwc3ljaG9waGFybWFjb2xvZ3k8L2FiYnItMT48
L2FsdC1wZXJpb2RpY2FsPjxwYWdlcz4yNDktMjU0PC9wYWdlcz48dm9sdW1lPjI1PC92b2x1bWU+
PG51bWJlcj40PC9udW1iZXI+PGVkaXRpb24+MjAxNy8wNi8yNzwvZWRpdGlvbj48a2V5d29yZHM+
PGtleXdvcmQ+QWRvbGVzY2VudDwva2V5d29yZD48a2V5d29yZD5BZHVsdDwva2V5d29yZD48a2V5
d29yZD5DcmF2aW5nPC9rZXl3b3JkPjxrZXl3b3JkPkNyb3NzLU92ZXIgU3R1ZGllczwva2V5d29y
ZD48a2V5d29yZD4qRWxlY3Ryb25pYyBOaWNvdGluZSBEZWxpdmVyeSBTeXN0ZW1zPC9rZXl3b3Jk
PjxrZXl3b3JkPkZlbWFsZTwva2V5d29yZD48a2V5d29yZD5IdW1hbnM8L2tleXdvcmQ+PGtleXdv
cmQ+TWFsZTwva2V5d29yZD48a2V5d29yZD5OaWNvdGluZS8qYWRtaW5pc3RyYXRpb24gJmFtcDsg
ZG9zYWdlPC9rZXl3b3JkPjxrZXl3b3JkPlNtb2tpbmcgQ2Vzc2F0aW9uLyptZXRob2RzPC9rZXl3
b3JkPjxrZXl3b3JkPipTbW9raW5nIFByZXZlbnRpb248L2tleXdvcmQ+PGtleXdvcmQ+U3Vic3Rh
bmNlIFdpdGhkcmF3YWwgU3luZHJvbWUvZXBpZGVtaW9sb2d5L3RoZXJhcHk8L2tleXdvcmQ+PGtl
eXdvcmQ+U3VydmV5cyBhbmQgUXVlc3Rpb25uYWlyZXM8L2tleXdvcmQ+PGtleXdvcmQ+VG9iYWNj
byBVc2UgQ2Vzc2F0aW9uIFByb2R1Y3RzPC9rZXl3b3JkPjxrZXl3b3JkPlRvYmFjY28gVXNlIERp
c29yZGVyL3JlaGFiaWxpdGF0aW9uPC9rZXl3b3JkPjxrZXl3b3JkPllvdW5nIEFkdWx0PC9rZXl3
b3JkPjwva2V5d29yZHM+PGRhdGVzPjx5ZWFyPjIwMTc8L3llYXI+PHB1Yi1kYXRlcz48ZGF0ZT5B
dWc8L2RhdGU+PC9wdWItZGF0ZXM+PC9kYXRlcz48aXNibj4xMDY0LTEyOTc8L2lzYm4+PGFjY2Vz
c2lvbi1udW0+Mjg2NTAxODQ8L2FjY2Vzc2lvbi1udW0+PHVybHM+PC91cmxzPjxjdXN0b20yPlBN
QzU1NDY5Mzk8L2N1c3RvbTI+PGN1c3RvbTY+TklITVM4NzcwMzU8L2N1c3RvbTY+PGVsZWN0cm9u
aWMtcmVzb3VyY2UtbnVtPjEwLjEwMzcvcGhhMDAwMDEzNDwvZWxlY3Ryb25pYy1yZXNvdXJjZS1u
dW0+PHJlbW90ZS1kYXRhYmFzZS1wcm92aWRlcj5OTE08L3JlbW90ZS1kYXRhYmFzZS1wcm92aWRl
cj48bGFuZ3VhZ2U+ZW5nPC9sYW5ndWFnZT48L3JlY29yZD48L0NpdGU+PC9FbmROb3RlPn==
</w:fldData>
        </w:fldChar>
      </w:r>
      <w:r>
        <w:instrText xml:space="preserve"> ADDIN EN.CITE </w:instrText>
      </w:r>
      <w:r>
        <w:fldChar w:fldCharType="begin">
          <w:fldData xml:space="preserve">PEVuZE5vdGU+PENpdGU+PEF1dGhvcj5QZXJraW5zPC9BdXRob3I+PFllYXI+MjAxNzwvWWVhcj48
UmVjTnVtPjUwODg8L1JlY051bT48RGlzcGxheVRleHQ+KFBlcmtpbnMsIEthcmVsaXR6IGV0IGFs
LiAyMDE3KTwvRGlzcGxheVRleHQ+PHJlY29yZD48cmVjLW51bWJlcj41MDg4PC9yZWMtbnVtYmVy
Pjxmb3JlaWduLWtleXM+PGtleSBhcHA9IkVOIiBkYi1pZD0iOXowNWR6MHByYWFkZnVlZTB6b3h6
ZWRrOXpmZTVmeHg1MHo1IiB0aW1lc3RhbXA9IjE1MjM5MjA5MjAiPjUwODg8L2tleT48L2ZvcmVp
Z24ta2V5cz48cmVmLXR5cGUgbmFtZT0iSm91cm5hbCBBcnRpY2xlIj4xNzwvcmVmLXR5cGU+PGNv
bnRyaWJ1dG9ycz48YXV0aG9ycz48YXV0aG9yPlBlcmtpbnMsIEsuIEEuPC9hdXRob3I+PGF1dGhv
cj5LYXJlbGl0eiwgSi4gTC48L2F1dGhvcj48YXV0aG9yPk1pY2hhZWwsIFYuIEMuPC9hdXRob3I+
PC9hdXRob3JzPjwvY29udHJpYnV0b3JzPjxhdXRoLWFkZHJlc3M+RGVwYXJ0bWVudCBvZiBQc3lj
aGlhdHJ5LCBVbml2ZXJzaXR5IG9mIFBpdHRzYnVyZ2guPC9hdXRoLWFkZHJlc3M+PHRpdGxlcz48
dGl0bGU+RWZmZWN0cyBvZiBuaWNvdGluZSB2ZXJzdXMgcGxhY2VibyBlLWNpZ2FyZXR0ZSB1c2Ug
b24gc3ltcHRvbSByZWxpZWYgZHVyaW5nIGluaXRpYWwgdG9iYWNjbyBhYnN0aW5lbmNlPC90aXRs
ZT48c2Vjb25kYXJ5LXRpdGxlPkV4cCBDbGluIFBzeWNob3BoYXJtYWNvbDwvc2Vjb25kYXJ5LXRp
dGxlPjxhbHQtdGl0bGU+RXhwZXJpbWVudGFsIGFuZCBjbGluaWNhbCBwc3ljaG9waGFybWFjb2xv
Z3k8L2FsdC10aXRsZT48L3RpdGxlcz48cGVyaW9kaWNhbD48ZnVsbC10aXRsZT5FeHAgQ2xpbiBQ
c3ljaG9waGFybWFjb2w8L2Z1bGwtdGl0bGU+PGFiYnItMT5FeHBlcmltZW50YWwgYW5kIGNsaW5p
Y2FsIHBzeWNob3BoYXJtYWNvbG9neTwvYWJici0xPjwvcGVyaW9kaWNhbD48YWx0LXBlcmlvZGlj
YWw+PGZ1bGwtdGl0bGU+RXhwIENsaW4gUHN5Y2hvcGhhcm1hY29sPC9mdWxsLXRpdGxlPjxhYmJy
LTE+RXhwZXJpbWVudGFsIGFuZCBjbGluaWNhbCBwc3ljaG9waGFybWFjb2xvZ3k8L2FiYnItMT48
L2FsdC1wZXJpb2RpY2FsPjxwYWdlcz4yNDktMjU0PC9wYWdlcz48dm9sdW1lPjI1PC92b2x1bWU+
PG51bWJlcj40PC9udW1iZXI+PGVkaXRpb24+MjAxNy8wNi8yNzwvZWRpdGlvbj48a2V5d29yZHM+
PGtleXdvcmQ+QWRvbGVzY2VudDwva2V5d29yZD48a2V5d29yZD5BZHVsdDwva2V5d29yZD48a2V5
d29yZD5DcmF2aW5nPC9rZXl3b3JkPjxrZXl3b3JkPkNyb3NzLU92ZXIgU3R1ZGllczwva2V5d29y
ZD48a2V5d29yZD4qRWxlY3Ryb25pYyBOaWNvdGluZSBEZWxpdmVyeSBTeXN0ZW1zPC9rZXl3b3Jk
PjxrZXl3b3JkPkZlbWFsZTwva2V5d29yZD48a2V5d29yZD5IdW1hbnM8L2tleXdvcmQ+PGtleXdv
cmQ+TWFsZTwva2V5d29yZD48a2V5d29yZD5OaWNvdGluZS8qYWRtaW5pc3RyYXRpb24gJmFtcDsg
ZG9zYWdlPC9rZXl3b3JkPjxrZXl3b3JkPlNtb2tpbmcgQ2Vzc2F0aW9uLyptZXRob2RzPC9rZXl3
b3JkPjxrZXl3b3JkPipTbW9raW5nIFByZXZlbnRpb248L2tleXdvcmQ+PGtleXdvcmQ+U3Vic3Rh
bmNlIFdpdGhkcmF3YWwgU3luZHJvbWUvZXBpZGVtaW9sb2d5L3RoZXJhcHk8L2tleXdvcmQ+PGtl
eXdvcmQ+U3VydmV5cyBhbmQgUXVlc3Rpb25uYWlyZXM8L2tleXdvcmQ+PGtleXdvcmQ+VG9iYWNj
byBVc2UgQ2Vzc2F0aW9uIFByb2R1Y3RzPC9rZXl3b3JkPjxrZXl3b3JkPlRvYmFjY28gVXNlIERp
c29yZGVyL3JlaGFiaWxpdGF0aW9uPC9rZXl3b3JkPjxrZXl3b3JkPllvdW5nIEFkdWx0PC9rZXl3
b3JkPjwva2V5d29yZHM+PGRhdGVzPjx5ZWFyPjIwMTc8L3llYXI+PHB1Yi1kYXRlcz48ZGF0ZT5B
dWc8L2RhdGU+PC9wdWItZGF0ZXM+PC9kYXRlcz48aXNibj4xMDY0LTEyOTc8L2lzYm4+PGFjY2Vz
c2lvbi1udW0+Mjg2NTAxODQ8L2FjY2Vzc2lvbi1udW0+PHVybHM+PC91cmxzPjxjdXN0b20yPlBN
QzU1NDY5Mzk8L2N1c3RvbTI+PGN1c3RvbTY+TklITVM4NzcwMzU8L2N1c3RvbTY+PGVsZWN0cm9u
aWMtcmVzb3VyY2UtbnVtPjEwLjEwMzcvcGhhMDAwMDEzNDwvZWxlY3Ryb25pYy1yZXNvdXJjZS1u
dW0+PHJlbW90ZS1kYXRhYmFzZS1wcm92aWRlcj5OTE08L3JlbW90ZS1kYXRhYmFzZS1wcm92aWRl
cj48bGFuZ3VhZ2U+ZW5nPC9sYW5ndWFnZT48L3JlY29yZD48L0NpdGU+PC9FbmROb3RlPn==
</w:fldData>
        </w:fldChar>
      </w:r>
      <w:r>
        <w:instrText xml:space="preserve"> ADDIN EN.CITE.DATA </w:instrText>
      </w:r>
      <w:r>
        <w:fldChar w:fldCharType="end"/>
      </w:r>
      <w:r>
        <w:fldChar w:fldCharType="separate"/>
      </w:r>
      <w:r>
        <w:rPr>
          <w:noProof/>
        </w:rPr>
        <w:t>(Perkins, Karelitz et al. 2017)</w:t>
      </w:r>
      <w:r>
        <w:fldChar w:fldCharType="end"/>
      </w:r>
      <w:r>
        <w:t xml:space="preserve">. </w:t>
      </w:r>
    </w:p>
    <w:p w14:paraId="2AA547FB" w14:textId="77777777" w:rsidR="002738DD" w:rsidRDefault="002738DD" w:rsidP="002738DD">
      <w:pPr>
        <w:pStyle w:val="BodyText"/>
      </w:pPr>
      <w:r>
        <w:lastRenderedPageBreak/>
        <w:t>Findings from the Perkins et al. study are supported by the results of a cross</w:t>
      </w:r>
      <w:r>
        <w:noBreakHyphen/>
        <w:t>over, double</w:t>
      </w:r>
      <w:r>
        <w:noBreakHyphen/>
        <w:t xml:space="preserve">blind RCT conducted by Hiler et al. </w:t>
      </w:r>
      <w:r>
        <w:fldChar w:fldCharType="begin"/>
      </w:r>
      <w:r>
        <w:instrText xml:space="preserve"> ADDIN EN.CITE &lt;EndNote&gt;&lt;Cite&gt;&lt;Author&gt;Hiler&lt;/Author&gt;&lt;Year&gt;2017&lt;/Year&gt;&lt;RecNum&gt;4880&lt;/RecNum&gt;&lt;DisplayText&gt;(Hiler, Breland et al. 2017)&lt;/DisplayText&gt;&lt;record&gt;&lt;rec-number&gt;4880&lt;/rec-number&gt;&lt;foreign-keys&gt;&lt;key app="EN" db-id="9z05dz0praadfuee0zoxzedk9zfe5fxx50z5" timestamp="1523920570"&gt;4880&lt;/key&gt;&lt;key app="ENWeb" db-id=""&gt;0&lt;/key&gt;&lt;/foreign-keys&gt;&lt;ref-type name="Journal Article"&gt;17&lt;/ref-type&gt;&lt;contributors&gt;&lt;authors&gt;&lt;author&gt;Hiler, M.&lt;/author&gt;&lt;author&gt;Breland, A.&lt;/author&gt;&lt;author&gt;Spindle, T.&lt;/author&gt;&lt;author&gt;Maloney, S.&lt;/author&gt;&lt;author&gt;Lipato, T.&lt;/author&gt;&lt;author&gt;Karaoghlanian, N.&lt;/author&gt;&lt;author&gt;Shihadeh, A.&lt;/author&gt;&lt;author&gt;Lopez, A.&lt;/author&gt;&lt;author&gt;Ramoa, C.&lt;/author&gt;&lt;author&gt;Eissenberg, T.&lt;/author&gt;&lt;/authors&gt;&lt;/contributors&gt;&lt;auth-address&gt;Center for the Study of Tobacco Products, Department of Psychology, Virginia Commonwealth University.&amp;#xD;Department of Mechanical Engineering, American University of Beirut.&lt;/auth-address&gt;&lt;titles&gt;&lt;title&gt;Electronic cigarette user plasma nicotine concentration, puff topography, heart rate, and subjective effects: Influence of liquid nicotine concentration and user experience&lt;/title&gt;&lt;secondary-title&gt;Exp Clin Psychopharmacol&lt;/secondary-title&gt;&lt;alt-title&gt;Experimental and clinical psychopharmacology&lt;/alt-title&gt;&lt;/titles&gt;&lt;periodical&gt;&lt;full-title&gt;Exp Clin Psychopharmacol&lt;/full-title&gt;&lt;abbr-1&gt;Experimental and clinical psychopharmacology&lt;/abbr-1&gt;&lt;/periodical&gt;&lt;alt-periodical&gt;&lt;full-title&gt;Exp Clin Psychopharmacol&lt;/full-title&gt;&lt;abbr-1&gt;Experimental and clinical psychopharmacology&lt;/abbr-1&gt;&lt;/alt-periodical&gt;&lt;pages&gt;380-392&lt;/pages&gt;&lt;volume&gt;25&lt;/volume&gt;&lt;number&gt;5&lt;/number&gt;&lt;edition&gt;2017/10/20&lt;/edition&gt;&lt;dates&gt;&lt;year&gt;2017&lt;/year&gt;&lt;pub-dates&gt;&lt;date&gt;Oct&lt;/date&gt;&lt;/pub-dates&gt;&lt;/dates&gt;&lt;isbn&gt;1064-1297&lt;/isbn&gt;&lt;accession-num&gt;29048187&lt;/accession-num&gt;&lt;urls&gt;&lt;/urls&gt;&lt;custom2&gt;PMC5657238&lt;/custom2&gt;&lt;custom6&gt;NIHMS888203&lt;/custom6&gt;&lt;electronic-resource-num&gt;10.1037/pha0000140&lt;/electronic-resource-num&gt;&lt;remote-database-provider&gt;NLM&lt;/remote-database-provider&gt;&lt;language&gt;eng&lt;/language&gt;&lt;/record&gt;&lt;/Cite&gt;&lt;/EndNote&gt;</w:instrText>
      </w:r>
      <w:r>
        <w:fldChar w:fldCharType="separate"/>
      </w:r>
      <w:r>
        <w:rPr>
          <w:noProof/>
        </w:rPr>
        <w:t>(Hiler, Breland et al. 2017)</w:t>
      </w:r>
      <w:r>
        <w:fldChar w:fldCharType="end"/>
      </w:r>
      <w:r>
        <w:t>. Smokers were recruited in Virginia, USA via advertisements (details not provided) and word of mouth. The sample was predominantly male (70%) with a mean age of 30.6(</w:t>
      </w:r>
      <w:r>
        <w:rPr>
          <w:rFonts w:cs="Calibri"/>
        </w:rPr>
        <w:t>±</w:t>
      </w:r>
      <w:r>
        <w:t>9.1) years. Participants were divided into two groups; regular e</w:t>
      </w:r>
      <w:r>
        <w:noBreakHyphen/>
        <w:t>cigarette users (n=31) and naïve e</w:t>
      </w:r>
      <w:r>
        <w:noBreakHyphen/>
        <w:t>cigarette users (had not previously used e</w:t>
      </w:r>
      <w:r>
        <w:noBreakHyphen/>
        <w:t>cigarettes) (n=30). Participants were then randomised to receive 10 puffs of e</w:t>
      </w:r>
      <w:r>
        <w:noBreakHyphen/>
        <w:t>cigarettes with either 0, 8, 18 or 36mg/mL nicotine after &gt;12 hour e</w:t>
      </w:r>
      <w:r>
        <w:noBreakHyphen/>
        <w:t>cigarette and cigarette abstinence. All participants had reductions in cigarette cravings and urges, however reductions were larger in the group of participants who regularly used e</w:t>
      </w:r>
      <w:r>
        <w:noBreakHyphen/>
        <w:t>cigarettes. In the higher nicotine conditions, there were larger reductions in reported cigarette cravings and urges as well as self</w:t>
      </w:r>
      <w:r>
        <w:noBreakHyphen/>
        <w:t xml:space="preserve">reported feelings of depression and sweat </w:t>
      </w:r>
      <w:r>
        <w:fldChar w:fldCharType="begin"/>
      </w:r>
      <w:r>
        <w:instrText xml:space="preserve"> ADDIN EN.CITE &lt;EndNote&gt;&lt;Cite&gt;&lt;Author&gt;Hiler&lt;/Author&gt;&lt;Year&gt;2017&lt;/Year&gt;&lt;RecNum&gt;4880&lt;/RecNum&gt;&lt;DisplayText&gt;(Hiler, Breland et al. 2017)&lt;/DisplayText&gt;&lt;record&gt;&lt;rec-number&gt;4880&lt;/rec-number&gt;&lt;foreign-keys&gt;&lt;key app="EN" db-id="9z05dz0praadfuee0zoxzedk9zfe5fxx50z5" timestamp="1523920570"&gt;4880&lt;/key&gt;&lt;key app="ENWeb" db-id=""&gt;0&lt;/key&gt;&lt;/foreign-keys&gt;&lt;ref-type name="Journal Article"&gt;17&lt;/ref-type&gt;&lt;contributors&gt;&lt;authors&gt;&lt;author&gt;Hiler, M.&lt;/author&gt;&lt;author&gt;Breland, A.&lt;/author&gt;&lt;author&gt;Spindle, T.&lt;/author&gt;&lt;author&gt;Maloney, S.&lt;/author&gt;&lt;author&gt;Lipato, T.&lt;/author&gt;&lt;author&gt;Karaoghlanian, N.&lt;/author&gt;&lt;author&gt;Shihadeh, A.&lt;/author&gt;&lt;author&gt;Lopez, A.&lt;/author&gt;&lt;author&gt;Ramoa, C.&lt;/author&gt;&lt;author&gt;Eissenberg, T.&lt;/author&gt;&lt;/authors&gt;&lt;/contributors&gt;&lt;auth-address&gt;Center for the Study of Tobacco Products, Department of Psychology, Virginia Commonwealth University.&amp;#xD;Department of Mechanical Engineering, American University of Beirut.&lt;/auth-address&gt;&lt;titles&gt;&lt;title&gt;Electronic cigarette user plasma nicotine concentration, puff topography, heart rate, and subjective effects: Influence of liquid nicotine concentration and user experience&lt;/title&gt;&lt;secondary-title&gt;Exp Clin Psychopharmacol&lt;/secondary-title&gt;&lt;alt-title&gt;Experimental and clinical psychopharmacology&lt;/alt-title&gt;&lt;/titles&gt;&lt;periodical&gt;&lt;full-title&gt;Exp Clin Psychopharmacol&lt;/full-title&gt;&lt;abbr-1&gt;Experimental and clinical psychopharmacology&lt;/abbr-1&gt;&lt;/periodical&gt;&lt;alt-periodical&gt;&lt;full-title&gt;Exp Clin Psychopharmacol&lt;/full-title&gt;&lt;abbr-1&gt;Experimental and clinical psychopharmacology&lt;/abbr-1&gt;&lt;/alt-periodical&gt;&lt;pages&gt;380-392&lt;/pages&gt;&lt;volume&gt;25&lt;/volume&gt;&lt;number&gt;5&lt;/number&gt;&lt;edition&gt;2017/10/20&lt;/edition&gt;&lt;dates&gt;&lt;year&gt;2017&lt;/year&gt;&lt;pub-dates&gt;&lt;date&gt;Oct&lt;/date&gt;&lt;/pub-dates&gt;&lt;/dates&gt;&lt;isbn&gt;1064-1297&lt;/isbn&gt;&lt;accession-num&gt;29048187&lt;/accession-num&gt;&lt;urls&gt;&lt;/urls&gt;&lt;custom2&gt;PMC5657238&lt;/custom2&gt;&lt;custom6&gt;NIHMS888203&lt;/custom6&gt;&lt;electronic-resource-num&gt;10.1037/pha0000140&lt;/electronic-resource-num&gt;&lt;remote-database-provider&gt;NLM&lt;/remote-database-provider&gt;&lt;language&gt;eng&lt;/language&gt;&lt;/record&gt;&lt;/Cite&gt;&lt;/EndNote&gt;</w:instrText>
      </w:r>
      <w:r>
        <w:fldChar w:fldCharType="separate"/>
      </w:r>
      <w:r>
        <w:rPr>
          <w:noProof/>
        </w:rPr>
        <w:t>(Hiler, Breland et al. 2017)</w:t>
      </w:r>
      <w:r>
        <w:fldChar w:fldCharType="end"/>
      </w:r>
      <w:r>
        <w:t xml:space="preserve">. </w:t>
      </w:r>
    </w:p>
    <w:p w14:paraId="64A64CD4" w14:textId="77777777" w:rsidR="00234391" w:rsidRDefault="002738DD" w:rsidP="002738DD">
      <w:pPr>
        <w:pStyle w:val="BodyText"/>
      </w:pPr>
      <w:r>
        <w:t xml:space="preserve">An RCT conducted by Van Heel et al. was a parallel design and the researchers did not report whether it was blinded </w:t>
      </w:r>
      <w:r>
        <w:fldChar w:fldCharType="begin">
          <w:fldData xml:space="preserve">PEVuZE5vdGU+PENpdGU+PEF1dGhvcj5WYW4gSGVlbDwvQXV0aG9yPjxZZWFyPjIwMTc8L1llYXI+
PFJlY051bT43OTg8L1JlY051bT48RGlzcGxheVRleHQ+KFZhbiBIZWVsLCBWYW4gR3VjaHQgZXQg
YWwuIDIwMTcpPC9EaXNwbGF5VGV4dD48cmVjb3JkPjxyZWMtbnVtYmVyPjc5ODwvcmVjLW51bWJl
cj48Zm9yZWlnbi1rZXlzPjxrZXkgYXBwPSJFTiIgZGItaWQ9IjV4djV3NXQyYmR4dHhmZXp4MDJ4
dHhkZnQ1cno1cHR2dnQyOSIgdGltZXN0YW1wPSIxNTIwNTY4NDk3Ij43OTg8L2tleT48a2V5IGFw
cD0iRU5XZWIiIGRiLWlkPSIiPjA8L2tleT48L2ZvcmVpZ24ta2V5cz48cmVmLXR5cGUgbmFtZT0i
Sm91cm5hbCBBcnRpY2xlIj4xNzwvcmVmLXR5cGU+PGNvbnRyaWJ1dG9ycz48YXV0aG9ycz48YXV0
aG9yPlZhbiBIZWVsLCBNLjwvYXV0aG9yPjxhdXRob3I+VmFuIEd1Y2h0LCBELjwvYXV0aG9yPjxh
dXRob3I+VmFuYnJhYmFudCwgSy48L2F1dGhvcj48YXV0aG9yPkJhZXllbnMsIEYuPC9hdXRob3I+
PC9hdXRob3JzPjwvY29udHJpYnV0b3JzPjxhdXRoLWFkZHJlc3M+RmFjdWx0eSBvZiBQc3ljaG9s
b2d5IGFuZCBFZHVjYXRpb25hbCBTY2llbmNlcywgS1UgTGV1dmVuLCAzMDAwIExldXZlbiwgQmVs
Z2l1bS4gbWFydGlqbi52YW5oZWVsQGt1bGV1dmVuLmJlLiYjeEQ7RmFjdWx0eSBvZiBQc3ljaG9s
b2d5IGFuZCBFZHVjYXRpb25hbCBTY2llbmNlcywgS1UgTGV1dmVuLCAzMDAwIExldXZlbiwgQmVs
Z2l1bS4gZGluc2thLnZhbmd1Y2h0QHRob21hc21vcmUuYmUuJiN4RDtEZXBhcnRtZW50IG9mIFBz
eWNob2xvZ3ksIFRob21hcyBNb3JlIFVuaXZlcnNpdHkgQ29sbGVnZSwgMzQxNCBBbnR3ZXJwLCBC
ZWxnaXVtLiBkaW5za2EudmFuZ3VjaHRAdGhvbWFzbW9yZS5iZS4mI3hEO0ludGVydW5pdmVyc2l0
eSBJbnN0aXR1dGUgZm9yIEJpb3N0YXRpc3RpY3MgYW5kIFN0YXRpc3RpY2FsIEJpb2luZm9ybWF0
aWNzLCBLVSBMZXV2ZW4gYW5kIFVuaXZlcnNpdHkgb2YgSGFzc2VsdCwgMzAwMCBMZXV2ZW4sIEJl
bGdpdW0uIGtvZW4udmFuYnJhYmFudEBrdWxldXZlbi5iZS4mI3hEO0ZhY3VsdHkgb2YgUHN5Y2hv
bG9neSBhbmQgRWR1Y2F0aW9uYWwgU2NpZW5jZXMsIEtVIExldXZlbiwgMzAwMCBMZXV2ZW4sIEJl
bGdpdW0uIGZyYW5rLmJhZXllbnNAa3VsZXV2ZW4uYmUuPC9hdXRoLWFkZHJlc3M+PHRpdGxlcz48
dGl0bGU+VGhlIEltcG9ydGFuY2Ugb2YgQ29uZGl0aW9uZWQgU3RpbXVsaSBpbiBDaWdhcmV0dGUg
YW5kIEUtQ2lnYXJldHRlIENyYXZpbmcgUmVkdWN0aW9uIGJ5IEUtQ2lnYXJldHRlczwvdGl0bGU+
PHNlY29uZGFyeS10aXRsZT5JbnQgSiBFbnZpcm9uIFJlcyBQdWJsaWMgSGVhbHRoPC9zZWNvbmRh
cnktdGl0bGU+PGFsdC10aXRsZT5JbnRlcm5hdGlvbmFsIGpvdXJuYWwgb2YgZW52aXJvbm1lbnRh
bCByZXNlYXJjaCBhbmQgcHVibGljIGhlYWx0aDwvYWx0LXRpdGxlPjwvdGl0bGVzPjxwZXJpb2Rp
Y2FsPjxmdWxsLXRpdGxlPkludCBKIEVudmlyb24gUmVzIFB1YmxpYyBIZWFsdGg8L2Z1bGwtdGl0
bGU+PGFiYnItMT5JbnRlcm5hdGlvbmFsIGpvdXJuYWwgb2YgZW52aXJvbm1lbnRhbCByZXNlYXJj
aCBhbmQgcHVibGljIGhlYWx0aDwvYWJici0xPjwvcGVyaW9kaWNhbD48YWx0LXBlcmlvZGljYWw+
PGZ1bGwtdGl0bGU+SW50IEogRW52aXJvbiBSZXMgUHVibGljIEhlYWx0aDwvZnVsbC10aXRsZT48
YWJici0xPkludGVybmF0aW9uYWwgam91cm5hbCBvZiBlbnZpcm9ubWVudGFsIHJlc2VhcmNoIGFu
ZCBwdWJsaWMgaGVhbHRoPC9hYmJyLTE+PC9hbHQtcGVyaW9kaWNhbD48dm9sdW1lPjE0PC92b2x1
bWU+PG51bWJlcj4yPC9udW1iZXI+PGVkaXRpb24+MjAxNy8wMi8xODwvZWRpdGlvbj48a2V5d29y
ZHM+PGtleXdvcmQ+QWRvbGVzY2VudDwva2V5d29yZD48a2V5d29yZD5BZHVsdDwva2V5d29yZD48
a2V5d29yZD5BZ2VkPC9rZXl3b3JkPjxrZXl3b3JkPipDcmF2aW5nPC9rZXl3b3JkPjxrZXl3b3Jk
PkVsZWN0cm9uaWMgTmljb3RpbmUgRGVsaXZlcnkgU3lzdGVtcy9wc3ljaG9sb2d5PC9rZXl3b3Jk
PjxrZXl3b3JkPkZlbWFsZTwva2V5d29yZD48a2V5d29yZD5IdW1hbnM8L2tleXdvcmQ+PGtleXdv
cmQ+TWFsZTwva2V5d29yZD48a2V5d29yZD5NaWRkbGUgQWdlZDwva2V5d29yZD48a2V5d29yZD5O
aWNvdGluZS9ibG9vZDwva2V5d29yZD48a2V5d29yZD5TbW9raW5nLypwaHlzaW9wYXRob2xvZ3kv
KnBzeWNob2xvZ3k8L2tleXdvcmQ+PGtleXdvcmQ+U21va2luZyBDZXNzYXRpb248L2tleXdvcmQ+
PGtleXdvcmQ+KlRvYmFjY28gUHJvZHVjdHM8L2tleXdvcmQ+PGtleXdvcmQ+VmFwaW5nL3BoeXNp
b3BhdGhvbG9neTwva2V5d29yZD48a2V5d29yZD5Zb3VuZyBBZHVsdDwva2V5d29yZD48a2V5d29y
ZD4qYXJvbWE8L2tleXdvcmQ+PGtleXdvcmQ+KmNvbmRpdGlvbmVkIHN0aW11bGk8L2tleXdvcmQ+
PGtleXdvcmQ+KmUtY2lnPC9rZXl3b3JkPjxrZXl3b3JkPipleHBlcmltZW50YWwgc3R1ZHk8L2tl
eXdvcmQ+PGtleXdvcmQ+Km5pY290aW5lPC9rZXl3b3JkPjxrZXl3b3JkPipzZW5zb3JpbW90b3I8
L2tleXdvcmQ+PGtleXdvcmQ+KnZpc3VhbCBjdWVzPC9rZXl3b3JkPjwva2V5d29yZHM+PGRhdGVz
Pjx5ZWFyPjIwMTc8L3llYXI+PHB1Yi1kYXRlcz48ZGF0ZT5GZWIgMTU8L2RhdGU+PC9wdWItZGF0
ZXM+PC9kYXRlcz48aXNibj4xNjYwLTQ2MDE8L2lzYm4+PGFjY2Vzc2lvbi1udW0+MjgyMTIzMDI8
L2FjY2Vzc2lvbi1udW0+PHVybHM+PHJlbGF0ZWQtdXJscz48dXJsPmh0dHA6Ly93d3cubWRwaS5j
b20vMTY2MC00NjAxLzE0LzIvMTkzL3BkZjwvdXJsPjwvcmVsYXRlZC11cmxzPjwvdXJscz48Y3Vz
dG9tMj5QTUM1MzM0NzQ3PC9jdXN0b20yPjxlbGVjdHJvbmljLXJlc291cmNlLW51bT4xMC4zMzkw
L2lqZXJwaDE0MDIwMTkzPC9lbGVjdHJvbmljLXJlc291cmNlLW51bT48cmVtb3RlLWRhdGFiYXNl
LXByb3ZpZGVyPk5MTTwvcmVtb3RlLWRhdGFiYXNlLXByb3ZpZGVyPjxsYW5ndWFnZT5lbmc8L2xh
bmd1YWdlPjwvcmVjb3JkPjwvQ2l0ZT48L0VuZE5vdGU+
</w:fldData>
        </w:fldChar>
      </w:r>
      <w:r w:rsidR="00903735">
        <w:instrText xml:space="preserve"> ADDIN EN.CITE </w:instrText>
      </w:r>
      <w:r w:rsidR="00903735">
        <w:fldChar w:fldCharType="begin">
          <w:fldData xml:space="preserve">PEVuZE5vdGU+PENpdGU+PEF1dGhvcj5WYW4gSGVlbDwvQXV0aG9yPjxZZWFyPjIwMTc8L1llYXI+
PFJlY051bT43OTg8L1JlY051bT48RGlzcGxheVRleHQ+KFZhbiBIZWVsLCBWYW4gR3VjaHQgZXQg
YWwuIDIwMTcpPC9EaXNwbGF5VGV4dD48cmVjb3JkPjxyZWMtbnVtYmVyPjc5ODwvcmVjLW51bWJl
cj48Zm9yZWlnbi1rZXlzPjxrZXkgYXBwPSJFTiIgZGItaWQ9IjV4djV3NXQyYmR4dHhmZXp4MDJ4
dHhkZnQ1cno1cHR2dnQyOSIgdGltZXN0YW1wPSIxNTIwNTY4NDk3Ij43OTg8L2tleT48a2V5IGFw
cD0iRU5XZWIiIGRiLWlkPSIiPjA8L2tleT48L2ZvcmVpZ24ta2V5cz48cmVmLXR5cGUgbmFtZT0i
Sm91cm5hbCBBcnRpY2xlIj4xNzwvcmVmLXR5cGU+PGNvbnRyaWJ1dG9ycz48YXV0aG9ycz48YXV0
aG9yPlZhbiBIZWVsLCBNLjwvYXV0aG9yPjxhdXRob3I+VmFuIEd1Y2h0LCBELjwvYXV0aG9yPjxh
dXRob3I+VmFuYnJhYmFudCwgSy48L2F1dGhvcj48YXV0aG9yPkJhZXllbnMsIEYuPC9hdXRob3I+
PC9hdXRob3JzPjwvY29udHJpYnV0b3JzPjxhdXRoLWFkZHJlc3M+RmFjdWx0eSBvZiBQc3ljaG9s
b2d5IGFuZCBFZHVjYXRpb25hbCBTY2llbmNlcywgS1UgTGV1dmVuLCAzMDAwIExldXZlbiwgQmVs
Z2l1bS4gbWFydGlqbi52YW5oZWVsQGt1bGV1dmVuLmJlLiYjeEQ7RmFjdWx0eSBvZiBQc3ljaG9s
b2d5IGFuZCBFZHVjYXRpb25hbCBTY2llbmNlcywgS1UgTGV1dmVuLCAzMDAwIExldXZlbiwgQmVs
Z2l1bS4gZGluc2thLnZhbmd1Y2h0QHRob21hc21vcmUuYmUuJiN4RDtEZXBhcnRtZW50IG9mIFBz
eWNob2xvZ3ksIFRob21hcyBNb3JlIFVuaXZlcnNpdHkgQ29sbGVnZSwgMzQxNCBBbnR3ZXJwLCBC
ZWxnaXVtLiBkaW5za2EudmFuZ3VjaHRAdGhvbWFzbW9yZS5iZS4mI3hEO0ludGVydW5pdmVyc2l0
eSBJbnN0aXR1dGUgZm9yIEJpb3N0YXRpc3RpY3MgYW5kIFN0YXRpc3RpY2FsIEJpb2luZm9ybWF0
aWNzLCBLVSBMZXV2ZW4gYW5kIFVuaXZlcnNpdHkgb2YgSGFzc2VsdCwgMzAwMCBMZXV2ZW4sIEJl
bGdpdW0uIGtvZW4udmFuYnJhYmFudEBrdWxldXZlbi5iZS4mI3hEO0ZhY3VsdHkgb2YgUHN5Y2hv
bG9neSBhbmQgRWR1Y2F0aW9uYWwgU2NpZW5jZXMsIEtVIExldXZlbiwgMzAwMCBMZXV2ZW4sIEJl
bGdpdW0uIGZyYW5rLmJhZXllbnNAa3VsZXV2ZW4uYmUuPC9hdXRoLWFkZHJlc3M+PHRpdGxlcz48
dGl0bGU+VGhlIEltcG9ydGFuY2Ugb2YgQ29uZGl0aW9uZWQgU3RpbXVsaSBpbiBDaWdhcmV0dGUg
YW5kIEUtQ2lnYXJldHRlIENyYXZpbmcgUmVkdWN0aW9uIGJ5IEUtQ2lnYXJldHRlczwvdGl0bGU+
PHNlY29uZGFyeS10aXRsZT5JbnQgSiBFbnZpcm9uIFJlcyBQdWJsaWMgSGVhbHRoPC9zZWNvbmRh
cnktdGl0bGU+PGFsdC10aXRsZT5JbnRlcm5hdGlvbmFsIGpvdXJuYWwgb2YgZW52aXJvbm1lbnRh
bCByZXNlYXJjaCBhbmQgcHVibGljIGhlYWx0aDwvYWx0LXRpdGxlPjwvdGl0bGVzPjxwZXJpb2Rp
Y2FsPjxmdWxsLXRpdGxlPkludCBKIEVudmlyb24gUmVzIFB1YmxpYyBIZWFsdGg8L2Z1bGwtdGl0
bGU+PGFiYnItMT5JbnRlcm5hdGlvbmFsIGpvdXJuYWwgb2YgZW52aXJvbm1lbnRhbCByZXNlYXJj
aCBhbmQgcHVibGljIGhlYWx0aDwvYWJici0xPjwvcGVyaW9kaWNhbD48YWx0LXBlcmlvZGljYWw+
PGZ1bGwtdGl0bGU+SW50IEogRW52aXJvbiBSZXMgUHVibGljIEhlYWx0aDwvZnVsbC10aXRsZT48
YWJici0xPkludGVybmF0aW9uYWwgam91cm5hbCBvZiBlbnZpcm9ubWVudGFsIHJlc2VhcmNoIGFu
ZCBwdWJsaWMgaGVhbHRoPC9hYmJyLTE+PC9hbHQtcGVyaW9kaWNhbD48dm9sdW1lPjE0PC92b2x1
bWU+PG51bWJlcj4yPC9udW1iZXI+PGVkaXRpb24+MjAxNy8wMi8xODwvZWRpdGlvbj48a2V5d29y
ZHM+PGtleXdvcmQ+QWRvbGVzY2VudDwva2V5d29yZD48a2V5d29yZD5BZHVsdDwva2V5d29yZD48
a2V5d29yZD5BZ2VkPC9rZXl3b3JkPjxrZXl3b3JkPipDcmF2aW5nPC9rZXl3b3JkPjxrZXl3b3Jk
PkVsZWN0cm9uaWMgTmljb3RpbmUgRGVsaXZlcnkgU3lzdGVtcy9wc3ljaG9sb2d5PC9rZXl3b3Jk
PjxrZXl3b3JkPkZlbWFsZTwva2V5d29yZD48a2V5d29yZD5IdW1hbnM8L2tleXdvcmQ+PGtleXdv
cmQ+TWFsZTwva2V5d29yZD48a2V5d29yZD5NaWRkbGUgQWdlZDwva2V5d29yZD48a2V5d29yZD5O
aWNvdGluZS9ibG9vZDwva2V5d29yZD48a2V5d29yZD5TbW9raW5nLypwaHlzaW9wYXRob2xvZ3kv
KnBzeWNob2xvZ3k8L2tleXdvcmQ+PGtleXdvcmQ+U21va2luZyBDZXNzYXRpb248L2tleXdvcmQ+
PGtleXdvcmQ+KlRvYmFjY28gUHJvZHVjdHM8L2tleXdvcmQ+PGtleXdvcmQ+VmFwaW5nL3BoeXNp
b3BhdGhvbG9neTwva2V5d29yZD48a2V5d29yZD5Zb3VuZyBBZHVsdDwva2V5d29yZD48a2V5d29y
ZD4qYXJvbWE8L2tleXdvcmQ+PGtleXdvcmQ+KmNvbmRpdGlvbmVkIHN0aW11bGk8L2tleXdvcmQ+
PGtleXdvcmQ+KmUtY2lnPC9rZXl3b3JkPjxrZXl3b3JkPipleHBlcmltZW50YWwgc3R1ZHk8L2tl
eXdvcmQ+PGtleXdvcmQ+Km5pY290aW5lPC9rZXl3b3JkPjxrZXl3b3JkPipzZW5zb3JpbW90b3I8
L2tleXdvcmQ+PGtleXdvcmQ+KnZpc3VhbCBjdWVzPC9rZXl3b3JkPjwva2V5d29yZHM+PGRhdGVz
Pjx5ZWFyPjIwMTc8L3llYXI+PHB1Yi1kYXRlcz48ZGF0ZT5GZWIgMTU8L2RhdGU+PC9wdWItZGF0
ZXM+PC9kYXRlcz48aXNibj4xNjYwLTQ2MDE8L2lzYm4+PGFjY2Vzc2lvbi1udW0+MjgyMTIzMDI8
L2FjY2Vzc2lvbi1udW0+PHVybHM+PHJlbGF0ZWQtdXJscz48dXJsPmh0dHA6Ly93d3cubWRwaS5j
b20vMTY2MC00NjAxLzE0LzIvMTkzL3BkZjwvdXJsPjwvcmVsYXRlZC11cmxzPjwvdXJscz48Y3Vz
dG9tMj5QTUM1MzM0NzQ3PC9jdXN0b20yPjxlbGVjdHJvbmljLXJlc291cmNlLW51bT4xMC4zMzkw
L2lqZXJwaDE0MDIwMTkzPC9lbGVjdHJvbmljLXJlc291cmNlLW51bT48cmVtb3RlLWRhdGFiYXNl
LXByb3ZpZGVyPk5MTTwvcmVtb3RlLWRhdGFiYXNlLXByb3ZpZGVyPjxsYW5ndWFnZT5lbmc8L2xh
bmd1YWdlPjwvcmVjb3JkPjwvQ2l0ZT48L0VuZE5vdGU+
</w:fldData>
        </w:fldChar>
      </w:r>
      <w:r w:rsidR="00903735">
        <w:instrText xml:space="preserve"> ADDIN EN.CITE.DATA </w:instrText>
      </w:r>
      <w:r w:rsidR="00903735">
        <w:fldChar w:fldCharType="end"/>
      </w:r>
      <w:r>
        <w:fldChar w:fldCharType="separate"/>
      </w:r>
      <w:r>
        <w:rPr>
          <w:noProof/>
        </w:rPr>
        <w:t>(Van Heel, Van Gucht et al. 2017)</w:t>
      </w:r>
      <w:r>
        <w:fldChar w:fldCharType="end"/>
      </w:r>
      <w:r>
        <w:t>. A total of 81 participants were r</w:t>
      </w:r>
      <w:r w:rsidRPr="000F23A3">
        <w:t>ecruited through flye</w:t>
      </w:r>
      <w:r>
        <w:t>rs and online advertisements in Leuven, Belgium. 45.7% were female and participants had an average age of 29.8(</w:t>
      </w:r>
      <w:r>
        <w:rPr>
          <w:rFonts w:cs="Calibri"/>
        </w:rPr>
        <w:t xml:space="preserve">±13.2) years. </w:t>
      </w:r>
      <w:r>
        <w:t>This study required participants to abstain from smoking for 12 hours (verified by carbon monoxide test). Then participants were randomised into sixteen groups with the variables; 0% or 3.6% nicotine</w:t>
      </w:r>
      <w:r>
        <w:noBreakHyphen/>
        <w:t>containing e</w:t>
      </w:r>
      <w:r>
        <w:noBreakHyphen/>
        <w:t xml:space="preserve">cigarette, ‘bad apple’ or ‘tobacco regular’ flavours, with or without a blindfold and with or without a vaping stand. </w:t>
      </w:r>
    </w:p>
    <w:p w14:paraId="6F85682A" w14:textId="5ADE4831" w:rsidR="002738DD" w:rsidRDefault="002738DD" w:rsidP="002738DD">
      <w:pPr>
        <w:pStyle w:val="BodyText"/>
      </w:pPr>
      <w:r>
        <w:t>While tobacco cravings reduced after the use of any e</w:t>
      </w:r>
      <w:r>
        <w:noBreakHyphen/>
        <w:t>cigarette, the reduction was largest after using the nicotine</w:t>
      </w:r>
      <w:r>
        <w:noBreakHyphen/>
        <w:t>containing e</w:t>
      </w:r>
      <w:r>
        <w:noBreakHyphen/>
        <w:t>cigarette, but only after hand</w:t>
      </w:r>
      <w:r>
        <w:noBreakHyphen/>
        <w:t>to</w:t>
      </w:r>
      <w:r>
        <w:noBreakHyphen/>
        <w:t xml:space="preserve">mouth cues were removed (i.e. participants vaped from a vaping stand) </w:t>
      </w:r>
      <w:r>
        <w:fldChar w:fldCharType="begin">
          <w:fldData xml:space="preserve">PEVuZE5vdGU+PENpdGU+PEF1dGhvcj5WYW4gSGVlbDwvQXV0aG9yPjxZZWFyPjIwMTc8L1llYXI+
PFJlY051bT43OTg8L1JlY051bT48RGlzcGxheVRleHQ+KFZhbiBIZWVsLCBWYW4gR3VjaHQgZXQg
YWwuIDIwMTcpPC9EaXNwbGF5VGV4dD48cmVjb3JkPjxyZWMtbnVtYmVyPjc5ODwvcmVjLW51bWJl
cj48Zm9yZWlnbi1rZXlzPjxrZXkgYXBwPSJFTiIgZGItaWQ9IjV4djV3NXQyYmR4dHhmZXp4MDJ4
dHhkZnQ1cno1cHR2dnQyOSIgdGltZXN0YW1wPSIxNTIwNTY4NDk3Ij43OTg8L2tleT48a2V5IGFw
cD0iRU5XZWIiIGRiLWlkPSIiPjA8L2tleT48L2ZvcmVpZ24ta2V5cz48cmVmLXR5cGUgbmFtZT0i
Sm91cm5hbCBBcnRpY2xlIj4xNzwvcmVmLXR5cGU+PGNvbnRyaWJ1dG9ycz48YXV0aG9ycz48YXV0
aG9yPlZhbiBIZWVsLCBNLjwvYXV0aG9yPjxhdXRob3I+VmFuIEd1Y2h0LCBELjwvYXV0aG9yPjxh
dXRob3I+VmFuYnJhYmFudCwgSy48L2F1dGhvcj48YXV0aG9yPkJhZXllbnMsIEYuPC9hdXRob3I+
PC9hdXRob3JzPjwvY29udHJpYnV0b3JzPjxhdXRoLWFkZHJlc3M+RmFjdWx0eSBvZiBQc3ljaG9s
b2d5IGFuZCBFZHVjYXRpb25hbCBTY2llbmNlcywgS1UgTGV1dmVuLCAzMDAwIExldXZlbiwgQmVs
Z2l1bS4gbWFydGlqbi52YW5oZWVsQGt1bGV1dmVuLmJlLiYjeEQ7RmFjdWx0eSBvZiBQc3ljaG9s
b2d5IGFuZCBFZHVjYXRpb25hbCBTY2llbmNlcywgS1UgTGV1dmVuLCAzMDAwIExldXZlbiwgQmVs
Z2l1bS4gZGluc2thLnZhbmd1Y2h0QHRob21hc21vcmUuYmUuJiN4RDtEZXBhcnRtZW50IG9mIFBz
eWNob2xvZ3ksIFRob21hcyBNb3JlIFVuaXZlcnNpdHkgQ29sbGVnZSwgMzQxNCBBbnR3ZXJwLCBC
ZWxnaXVtLiBkaW5za2EudmFuZ3VjaHRAdGhvbWFzbW9yZS5iZS4mI3hEO0ludGVydW5pdmVyc2l0
eSBJbnN0aXR1dGUgZm9yIEJpb3N0YXRpc3RpY3MgYW5kIFN0YXRpc3RpY2FsIEJpb2luZm9ybWF0
aWNzLCBLVSBMZXV2ZW4gYW5kIFVuaXZlcnNpdHkgb2YgSGFzc2VsdCwgMzAwMCBMZXV2ZW4sIEJl
bGdpdW0uIGtvZW4udmFuYnJhYmFudEBrdWxldXZlbi5iZS4mI3hEO0ZhY3VsdHkgb2YgUHN5Y2hv
bG9neSBhbmQgRWR1Y2F0aW9uYWwgU2NpZW5jZXMsIEtVIExldXZlbiwgMzAwMCBMZXV2ZW4sIEJl
bGdpdW0uIGZyYW5rLmJhZXllbnNAa3VsZXV2ZW4uYmUuPC9hdXRoLWFkZHJlc3M+PHRpdGxlcz48
dGl0bGU+VGhlIEltcG9ydGFuY2Ugb2YgQ29uZGl0aW9uZWQgU3RpbXVsaSBpbiBDaWdhcmV0dGUg
YW5kIEUtQ2lnYXJldHRlIENyYXZpbmcgUmVkdWN0aW9uIGJ5IEUtQ2lnYXJldHRlczwvdGl0bGU+
PHNlY29uZGFyeS10aXRsZT5JbnQgSiBFbnZpcm9uIFJlcyBQdWJsaWMgSGVhbHRoPC9zZWNvbmRh
cnktdGl0bGU+PGFsdC10aXRsZT5JbnRlcm5hdGlvbmFsIGpvdXJuYWwgb2YgZW52aXJvbm1lbnRh
bCByZXNlYXJjaCBhbmQgcHVibGljIGhlYWx0aDwvYWx0LXRpdGxlPjwvdGl0bGVzPjxwZXJpb2Rp
Y2FsPjxmdWxsLXRpdGxlPkludCBKIEVudmlyb24gUmVzIFB1YmxpYyBIZWFsdGg8L2Z1bGwtdGl0
bGU+PGFiYnItMT5JbnRlcm5hdGlvbmFsIGpvdXJuYWwgb2YgZW52aXJvbm1lbnRhbCByZXNlYXJj
aCBhbmQgcHVibGljIGhlYWx0aDwvYWJici0xPjwvcGVyaW9kaWNhbD48YWx0LXBlcmlvZGljYWw+
PGZ1bGwtdGl0bGU+SW50IEogRW52aXJvbiBSZXMgUHVibGljIEhlYWx0aDwvZnVsbC10aXRsZT48
YWJici0xPkludGVybmF0aW9uYWwgam91cm5hbCBvZiBlbnZpcm9ubWVudGFsIHJlc2VhcmNoIGFu
ZCBwdWJsaWMgaGVhbHRoPC9hYmJyLTE+PC9hbHQtcGVyaW9kaWNhbD48dm9sdW1lPjE0PC92b2x1
bWU+PG51bWJlcj4yPC9udW1iZXI+PGVkaXRpb24+MjAxNy8wMi8xODwvZWRpdGlvbj48a2V5d29y
ZHM+PGtleXdvcmQ+QWRvbGVzY2VudDwva2V5d29yZD48a2V5d29yZD5BZHVsdDwva2V5d29yZD48
a2V5d29yZD5BZ2VkPC9rZXl3b3JkPjxrZXl3b3JkPipDcmF2aW5nPC9rZXl3b3JkPjxrZXl3b3Jk
PkVsZWN0cm9uaWMgTmljb3RpbmUgRGVsaXZlcnkgU3lzdGVtcy9wc3ljaG9sb2d5PC9rZXl3b3Jk
PjxrZXl3b3JkPkZlbWFsZTwva2V5d29yZD48a2V5d29yZD5IdW1hbnM8L2tleXdvcmQ+PGtleXdv
cmQ+TWFsZTwva2V5d29yZD48a2V5d29yZD5NaWRkbGUgQWdlZDwva2V5d29yZD48a2V5d29yZD5O
aWNvdGluZS9ibG9vZDwva2V5d29yZD48a2V5d29yZD5TbW9raW5nLypwaHlzaW9wYXRob2xvZ3kv
KnBzeWNob2xvZ3k8L2tleXdvcmQ+PGtleXdvcmQ+U21va2luZyBDZXNzYXRpb248L2tleXdvcmQ+
PGtleXdvcmQ+KlRvYmFjY28gUHJvZHVjdHM8L2tleXdvcmQ+PGtleXdvcmQ+VmFwaW5nL3BoeXNp
b3BhdGhvbG9neTwva2V5d29yZD48a2V5d29yZD5Zb3VuZyBBZHVsdDwva2V5d29yZD48a2V5d29y
ZD4qYXJvbWE8L2tleXdvcmQ+PGtleXdvcmQ+KmNvbmRpdGlvbmVkIHN0aW11bGk8L2tleXdvcmQ+
PGtleXdvcmQ+KmUtY2lnPC9rZXl3b3JkPjxrZXl3b3JkPipleHBlcmltZW50YWwgc3R1ZHk8L2tl
eXdvcmQ+PGtleXdvcmQ+Km5pY290aW5lPC9rZXl3b3JkPjxrZXl3b3JkPipzZW5zb3JpbW90b3I8
L2tleXdvcmQ+PGtleXdvcmQ+KnZpc3VhbCBjdWVzPC9rZXl3b3JkPjwva2V5d29yZHM+PGRhdGVz
Pjx5ZWFyPjIwMTc8L3llYXI+PHB1Yi1kYXRlcz48ZGF0ZT5GZWIgMTU8L2RhdGU+PC9wdWItZGF0
ZXM+PC9kYXRlcz48aXNibj4xNjYwLTQ2MDE8L2lzYm4+PGFjY2Vzc2lvbi1udW0+MjgyMTIzMDI8
L2FjY2Vzc2lvbi1udW0+PHVybHM+PHJlbGF0ZWQtdXJscz48dXJsPmh0dHA6Ly93d3cubWRwaS5j
b20vMTY2MC00NjAxLzE0LzIvMTkzL3BkZjwvdXJsPjwvcmVsYXRlZC11cmxzPjwvdXJscz48Y3Vz
dG9tMj5QTUM1MzM0NzQ3PC9jdXN0b20yPjxlbGVjdHJvbmljLXJlc291cmNlLW51bT4xMC4zMzkw
L2lqZXJwaDE0MDIwMTkzPC9lbGVjdHJvbmljLXJlc291cmNlLW51bT48cmVtb3RlLWRhdGFiYXNl
LXByb3ZpZGVyPk5MTTwvcmVtb3RlLWRhdGFiYXNlLXByb3ZpZGVyPjxsYW5ndWFnZT5lbmc8L2xh
bmd1YWdlPjwvcmVjb3JkPjwvQ2l0ZT48L0VuZE5vdGU+
</w:fldData>
        </w:fldChar>
      </w:r>
      <w:r w:rsidR="00903735">
        <w:instrText xml:space="preserve"> ADDIN EN.CITE </w:instrText>
      </w:r>
      <w:r w:rsidR="00903735">
        <w:fldChar w:fldCharType="begin">
          <w:fldData xml:space="preserve">PEVuZE5vdGU+PENpdGU+PEF1dGhvcj5WYW4gSGVlbDwvQXV0aG9yPjxZZWFyPjIwMTc8L1llYXI+
PFJlY051bT43OTg8L1JlY051bT48RGlzcGxheVRleHQ+KFZhbiBIZWVsLCBWYW4gR3VjaHQgZXQg
YWwuIDIwMTcpPC9EaXNwbGF5VGV4dD48cmVjb3JkPjxyZWMtbnVtYmVyPjc5ODwvcmVjLW51bWJl
cj48Zm9yZWlnbi1rZXlzPjxrZXkgYXBwPSJFTiIgZGItaWQ9IjV4djV3NXQyYmR4dHhmZXp4MDJ4
dHhkZnQ1cno1cHR2dnQyOSIgdGltZXN0YW1wPSIxNTIwNTY4NDk3Ij43OTg8L2tleT48a2V5IGFw
cD0iRU5XZWIiIGRiLWlkPSIiPjA8L2tleT48L2ZvcmVpZ24ta2V5cz48cmVmLXR5cGUgbmFtZT0i
Sm91cm5hbCBBcnRpY2xlIj4xNzwvcmVmLXR5cGU+PGNvbnRyaWJ1dG9ycz48YXV0aG9ycz48YXV0
aG9yPlZhbiBIZWVsLCBNLjwvYXV0aG9yPjxhdXRob3I+VmFuIEd1Y2h0LCBELjwvYXV0aG9yPjxh
dXRob3I+VmFuYnJhYmFudCwgSy48L2F1dGhvcj48YXV0aG9yPkJhZXllbnMsIEYuPC9hdXRob3I+
PC9hdXRob3JzPjwvY29udHJpYnV0b3JzPjxhdXRoLWFkZHJlc3M+RmFjdWx0eSBvZiBQc3ljaG9s
b2d5IGFuZCBFZHVjYXRpb25hbCBTY2llbmNlcywgS1UgTGV1dmVuLCAzMDAwIExldXZlbiwgQmVs
Z2l1bS4gbWFydGlqbi52YW5oZWVsQGt1bGV1dmVuLmJlLiYjeEQ7RmFjdWx0eSBvZiBQc3ljaG9s
b2d5IGFuZCBFZHVjYXRpb25hbCBTY2llbmNlcywgS1UgTGV1dmVuLCAzMDAwIExldXZlbiwgQmVs
Z2l1bS4gZGluc2thLnZhbmd1Y2h0QHRob21hc21vcmUuYmUuJiN4RDtEZXBhcnRtZW50IG9mIFBz
eWNob2xvZ3ksIFRob21hcyBNb3JlIFVuaXZlcnNpdHkgQ29sbGVnZSwgMzQxNCBBbnR3ZXJwLCBC
ZWxnaXVtLiBkaW5za2EudmFuZ3VjaHRAdGhvbWFzbW9yZS5iZS4mI3hEO0ludGVydW5pdmVyc2l0
eSBJbnN0aXR1dGUgZm9yIEJpb3N0YXRpc3RpY3MgYW5kIFN0YXRpc3RpY2FsIEJpb2luZm9ybWF0
aWNzLCBLVSBMZXV2ZW4gYW5kIFVuaXZlcnNpdHkgb2YgSGFzc2VsdCwgMzAwMCBMZXV2ZW4sIEJl
bGdpdW0uIGtvZW4udmFuYnJhYmFudEBrdWxldXZlbi5iZS4mI3hEO0ZhY3VsdHkgb2YgUHN5Y2hv
bG9neSBhbmQgRWR1Y2F0aW9uYWwgU2NpZW5jZXMsIEtVIExldXZlbiwgMzAwMCBMZXV2ZW4sIEJl
bGdpdW0uIGZyYW5rLmJhZXllbnNAa3VsZXV2ZW4uYmUuPC9hdXRoLWFkZHJlc3M+PHRpdGxlcz48
dGl0bGU+VGhlIEltcG9ydGFuY2Ugb2YgQ29uZGl0aW9uZWQgU3RpbXVsaSBpbiBDaWdhcmV0dGUg
YW5kIEUtQ2lnYXJldHRlIENyYXZpbmcgUmVkdWN0aW9uIGJ5IEUtQ2lnYXJldHRlczwvdGl0bGU+
PHNlY29uZGFyeS10aXRsZT5JbnQgSiBFbnZpcm9uIFJlcyBQdWJsaWMgSGVhbHRoPC9zZWNvbmRh
cnktdGl0bGU+PGFsdC10aXRsZT5JbnRlcm5hdGlvbmFsIGpvdXJuYWwgb2YgZW52aXJvbm1lbnRh
bCByZXNlYXJjaCBhbmQgcHVibGljIGhlYWx0aDwvYWx0LXRpdGxlPjwvdGl0bGVzPjxwZXJpb2Rp
Y2FsPjxmdWxsLXRpdGxlPkludCBKIEVudmlyb24gUmVzIFB1YmxpYyBIZWFsdGg8L2Z1bGwtdGl0
bGU+PGFiYnItMT5JbnRlcm5hdGlvbmFsIGpvdXJuYWwgb2YgZW52aXJvbm1lbnRhbCByZXNlYXJj
aCBhbmQgcHVibGljIGhlYWx0aDwvYWJici0xPjwvcGVyaW9kaWNhbD48YWx0LXBlcmlvZGljYWw+
PGZ1bGwtdGl0bGU+SW50IEogRW52aXJvbiBSZXMgUHVibGljIEhlYWx0aDwvZnVsbC10aXRsZT48
YWJici0xPkludGVybmF0aW9uYWwgam91cm5hbCBvZiBlbnZpcm9ubWVudGFsIHJlc2VhcmNoIGFu
ZCBwdWJsaWMgaGVhbHRoPC9hYmJyLTE+PC9hbHQtcGVyaW9kaWNhbD48dm9sdW1lPjE0PC92b2x1
bWU+PG51bWJlcj4yPC9udW1iZXI+PGVkaXRpb24+MjAxNy8wMi8xODwvZWRpdGlvbj48a2V5d29y
ZHM+PGtleXdvcmQ+QWRvbGVzY2VudDwva2V5d29yZD48a2V5d29yZD5BZHVsdDwva2V5d29yZD48
a2V5d29yZD5BZ2VkPC9rZXl3b3JkPjxrZXl3b3JkPipDcmF2aW5nPC9rZXl3b3JkPjxrZXl3b3Jk
PkVsZWN0cm9uaWMgTmljb3RpbmUgRGVsaXZlcnkgU3lzdGVtcy9wc3ljaG9sb2d5PC9rZXl3b3Jk
PjxrZXl3b3JkPkZlbWFsZTwva2V5d29yZD48a2V5d29yZD5IdW1hbnM8L2tleXdvcmQ+PGtleXdv
cmQ+TWFsZTwva2V5d29yZD48a2V5d29yZD5NaWRkbGUgQWdlZDwva2V5d29yZD48a2V5d29yZD5O
aWNvdGluZS9ibG9vZDwva2V5d29yZD48a2V5d29yZD5TbW9raW5nLypwaHlzaW9wYXRob2xvZ3kv
KnBzeWNob2xvZ3k8L2tleXdvcmQ+PGtleXdvcmQ+U21va2luZyBDZXNzYXRpb248L2tleXdvcmQ+
PGtleXdvcmQ+KlRvYmFjY28gUHJvZHVjdHM8L2tleXdvcmQ+PGtleXdvcmQ+VmFwaW5nL3BoeXNp
b3BhdGhvbG9neTwva2V5d29yZD48a2V5d29yZD5Zb3VuZyBBZHVsdDwva2V5d29yZD48a2V5d29y
ZD4qYXJvbWE8L2tleXdvcmQ+PGtleXdvcmQ+KmNvbmRpdGlvbmVkIHN0aW11bGk8L2tleXdvcmQ+
PGtleXdvcmQ+KmUtY2lnPC9rZXl3b3JkPjxrZXl3b3JkPipleHBlcmltZW50YWwgc3R1ZHk8L2tl
eXdvcmQ+PGtleXdvcmQ+Km5pY290aW5lPC9rZXl3b3JkPjxrZXl3b3JkPipzZW5zb3JpbW90b3I8
L2tleXdvcmQ+PGtleXdvcmQ+KnZpc3VhbCBjdWVzPC9rZXl3b3JkPjwva2V5d29yZHM+PGRhdGVz
Pjx5ZWFyPjIwMTc8L3llYXI+PHB1Yi1kYXRlcz48ZGF0ZT5GZWIgMTU8L2RhdGU+PC9wdWItZGF0
ZXM+PC9kYXRlcz48aXNibj4xNjYwLTQ2MDE8L2lzYm4+PGFjY2Vzc2lvbi1udW0+MjgyMTIzMDI8
L2FjY2Vzc2lvbi1udW0+PHVybHM+PHJlbGF0ZWQtdXJscz48dXJsPmh0dHA6Ly93d3cubWRwaS5j
b20vMTY2MC00NjAxLzE0LzIvMTkzL3BkZjwvdXJsPjwvcmVsYXRlZC11cmxzPjwvdXJscz48Y3Vz
dG9tMj5QTUM1MzM0NzQ3PC9jdXN0b20yPjxlbGVjdHJvbmljLXJlc291cmNlLW51bT4xMC4zMzkw
L2lqZXJwaDE0MDIwMTkzPC9lbGVjdHJvbmljLXJlc291cmNlLW51bT48cmVtb3RlLWRhdGFiYXNl
LXByb3ZpZGVyPk5MTTwvcmVtb3RlLWRhdGFiYXNlLXByb3ZpZGVyPjxsYW5ndWFnZT5lbmc8L2xh
bmd1YWdlPjwvcmVjb3JkPjwvQ2l0ZT48L0VuZE5vdGU+
</w:fldData>
        </w:fldChar>
      </w:r>
      <w:r w:rsidR="00903735">
        <w:instrText xml:space="preserve"> ADDIN EN.CITE.DATA </w:instrText>
      </w:r>
      <w:r w:rsidR="00903735">
        <w:fldChar w:fldCharType="end"/>
      </w:r>
      <w:r>
        <w:fldChar w:fldCharType="separate"/>
      </w:r>
      <w:r>
        <w:rPr>
          <w:noProof/>
        </w:rPr>
        <w:t>(Van Heel, Van Gucht et al. 2017)</w:t>
      </w:r>
      <w:r>
        <w:fldChar w:fldCharType="end"/>
      </w:r>
      <w:r>
        <w:t>. This suggests that the movements associated with smoking also are involved in alleviating withdrawal symptoms. Thus e</w:t>
      </w:r>
      <w:r>
        <w:noBreakHyphen/>
        <w:t>cigarettes may reduce smoking withdrawal symptoms by providing both nicotine and the familiar habit of hand</w:t>
      </w:r>
      <w:r>
        <w:noBreakHyphen/>
        <w:t>to</w:t>
      </w:r>
      <w:r>
        <w:noBreakHyphen/>
        <w:t>mouth movements. However, results must be interpreted with caution as group sizes were very small (n</w:t>
      </w:r>
      <w:r>
        <w:rPr>
          <w:rFonts w:cs="Calibri"/>
        </w:rPr>
        <w:t>≈</w:t>
      </w:r>
      <w:r>
        <w:t>5).</w:t>
      </w:r>
    </w:p>
    <w:p w14:paraId="6BFA1781" w14:textId="77777777" w:rsidR="002738DD" w:rsidRPr="008F2CBC" w:rsidRDefault="002738DD" w:rsidP="002738DD">
      <w:pPr>
        <w:spacing w:before="120" w:line="264" w:lineRule="auto"/>
        <w:rPr>
          <w:sz w:val="24"/>
        </w:rPr>
      </w:pPr>
      <w:r w:rsidRPr="008F2CBC">
        <w:rPr>
          <w:sz w:val="24"/>
        </w:rPr>
        <w:t xml:space="preserve">In a short term (nine day) US randomised cross-over study </w:t>
      </w:r>
      <w:r w:rsidRPr="008F2CBC">
        <w:rPr>
          <w:sz w:val="24"/>
        </w:rPr>
        <w:fldChar w:fldCharType="begin">
          <w:fldData xml:space="preserve">PEVuZE5vdGU+PENpdGU+PEF1dGhvcj5LcmlzaG5hbi1TYXJpbjwvQXV0aG9yPjxZZWFyPjIwMTc8
L1llYXI+PFJlY051bT45MTM8L1JlY051bT48RGlzcGxheVRleHQ+KEtyaXNobmFuLVNhcmluLCBH
cmVlbiBldCBhbC4gMjAxNyk8L0Rpc3BsYXlUZXh0PjxyZWNvcmQ+PHJlYy1udW1iZXI+OTEzPC9y
ZWMtbnVtYmVyPjxmb3JlaWduLWtleXM+PGtleSBhcHA9IkVOIiBkYi1pZD0iOXZzOXB6ZnpuYXB4
cGhlZmEyOHh6dzk1c2Y1YXYwc3Y5cmR6IiB0aW1lc3RhbXA9IjE1MjExNTkzODciPjkxMzwva2V5
PjxrZXkgYXBwPSJFTldlYiIgZGItaWQ9IiI+MDwva2V5PjwvZm9yZWlnbi1rZXlzPjxyZWYtdHlw
ZSBuYW1lPSJKb3VybmFsIEFydGljbGUiPjE3PC9yZWYtdHlwZT48Y29udHJpYnV0b3JzPjxhdXRo
b3JzPjxhdXRob3I+S3Jpc2huYW4tU2FyaW4sIFMuPC9hdXRob3I+PGF1dGhvcj5HcmVlbiwgQi4g
Ry48L2F1dGhvcj48YXV0aG9yPktvbmcsIEcuPC9hdXRob3I+PGF1dGhvcj5DYXZhbGxvLCBELiBB
LjwvYXV0aG9yPjxhdXRob3I+SmF0bG93LCBQLjwvYXV0aG9yPjxhdXRob3I+R3Vlb3JndWlldmEs
IFIuPC9hdXRob3I+PGF1dGhvcj5CdXRhLCBFLjwvYXV0aG9yPjxhdXRob3I+TyZhcG9zO01hbGxl
eSwgUy4gUy48L2F1dGhvcj48L2F1dGhvcnM+PC9jb250cmlidXRvcnM+PGF1dGgtYWRkcmVzcz5E
ZXBhcnRtZW50IG9mIFBzeWNoaWF0cnksIFlhbGUgVW5pdmVyc2l0eSBTY2hvb2wgb2YgTWVkaWNp
bmUsIFVuaXRlZCBTdGF0ZXMuIEVsZWN0cm9uaWMgYWRkcmVzczogc3VjaGl0cmEua3Jpc2huYW4t
c2FyaW5AeWFsZS5lZHUuJiN4RDtUaGUgSm9obiBCLiBQaWVyY2UgTGFib3JhdG9yeSBhbmQgRGVw
YXJ0bWVudCBvZiBTdXJnZXJ5LCBZYWxlIFVuaXZlcnNpdHkgU2Nob29sIG9mIE1lZGljaW5lLCBV
bml0ZWQgU3RhdGVzLiYjeEQ7RGVwYXJ0bWVudCBvZiBQc3ljaGlhdHJ5LCBZYWxlIFVuaXZlcnNp
dHkgU2Nob29sIG9mIE1lZGljaW5lLCBVbml0ZWQgU3RhdGVzLiYjeEQ7RGVwYXJ0bWVudCBvZiBM
YWJvcmF0b3J5IE1lZGljaW5lLCBZYWxlIFVuaXZlcnNpdHkgU2Nob29sIG9mIE1lZGljaW5lLCBV
bml0ZWQgU3RhdGVzLiYjeEQ7RGVwYXJ0bWVudCBvZiBCaW9zdGF0aXN0aWNzLCBZYWxlIFVuaXZl
cnNpdHkgU2Nob29sIG9mIFB1YmxpYyBIZWFsdGgsIFVuaXRlZCBTdGF0ZXMuPC9hdXRoLWFkZHJl
c3M+PHRpdGxlcz48dGl0bGU+U3R1ZHlpbmcgdGhlIGludGVyYWN0aXZlIGVmZmVjdHMgb2YgbWVu
dGhvbCBhbmQgbmljb3RpbmUgYW1vbmcgeW91dGg6IEFuIGV4YW1pbmF0aW9uIHVzaW5nIGUtY2ln
YXJldHRlczwvdGl0bGU+PHNlY29uZGFyeS10aXRsZT5EcnVnIEFsY29ob2wgRGVwZW5kPC9zZWNv
bmRhcnktdGl0bGU+PGFsdC10aXRsZT5EcnVnIGFuZCBhbGNvaG9sIGRlcGVuZGVuY2U8L2FsdC10
aXRsZT48L3RpdGxlcz48YWx0LXBlcmlvZGljYWw+PGZ1bGwtdGl0bGU+RHJ1ZyBhbmQgQWxjb2hv
bCBEZXBlbmRlbmNlPC9mdWxsLXRpdGxlPjwvYWx0LXBlcmlvZGljYWw+PHBhZ2VzPjE5My0xOTk8
L3BhZ2VzPjx2b2x1bWU+MTgwPC92b2x1bWU+PGVkaXRpb24+MjAxNy8wOS8xNjwvZWRpdGlvbj48
a2V5d29yZHM+PGtleXdvcmQ+RWxlY3Ryb25pYyBjaWdhcmV0dGVzPC9rZXl3b3JkPjxrZXl3b3Jk
Pk1lbnRob2w8L2tleXdvcmQ+PGtleXdvcmQ+Tmljb3RpbmU8L2tleXdvcmQ+PGtleXdvcmQ+WW91
dGg8L2tleXdvcmQ+PC9rZXl3b3Jkcz48ZGF0ZXM+PHllYXI+MjAxNzwveWVhcj48cHViLWRhdGVz
PjxkYXRlPk5vdiAxPC9kYXRlPjwvcHViLWRhdGVzPjwvZGF0ZXM+PGlzYm4+MDM3Ni04NzE2PC9p
c2JuPjxhY2Nlc3Npb24tbnVtPjI4OTE1NDc4PC9hY2Nlc3Npb24tbnVtPjx1cmxzPjwvdXJscz48
Y3VzdG9tMj5QTUM1NjU5NzMzPC9jdXN0b20yPjxjdXN0b202Pk5JSE1TOTAyNzM0PC9jdXN0b202
PjxlbGVjdHJvbmljLXJlc291cmNlLW51bT4xMC4xMDE2L2ouZHJ1Z2FsY2RlcC4yMDE3LjA3LjA0
NDwvZWxlY3Ryb25pYy1yZXNvdXJjZS1udW0+PHJlbW90ZS1kYXRhYmFzZS1wcm92aWRlcj5OTE08
L3JlbW90ZS1kYXRhYmFzZS1wcm92aWRlcj48bGFuZ3VhZ2U+ZW5nPC9sYW5ndWFnZT48L3JlY29y
ZD48L0NpdGU+PC9FbmROb3RlPn==
</w:fldData>
        </w:fldChar>
      </w:r>
      <w:r w:rsidRPr="008F2CBC">
        <w:rPr>
          <w:sz w:val="24"/>
        </w:rPr>
        <w:instrText xml:space="preserve"> ADDIN EN.CITE </w:instrText>
      </w:r>
      <w:r w:rsidRPr="008F2CBC">
        <w:rPr>
          <w:sz w:val="24"/>
        </w:rPr>
        <w:fldChar w:fldCharType="begin">
          <w:fldData xml:space="preserve">PEVuZE5vdGU+PENpdGU+PEF1dGhvcj5LcmlzaG5hbi1TYXJpbjwvQXV0aG9yPjxZZWFyPjIwMTc8
L1llYXI+PFJlY051bT45MTM8L1JlY051bT48RGlzcGxheVRleHQ+KEtyaXNobmFuLVNhcmluLCBH
cmVlbiBldCBhbC4gMjAxNyk8L0Rpc3BsYXlUZXh0PjxyZWNvcmQ+PHJlYy1udW1iZXI+OTEzPC9y
ZWMtbnVtYmVyPjxmb3JlaWduLWtleXM+PGtleSBhcHA9IkVOIiBkYi1pZD0iOXZzOXB6ZnpuYXB4
cGhlZmEyOHh6dzk1c2Y1YXYwc3Y5cmR6IiB0aW1lc3RhbXA9IjE1MjExNTkzODciPjkxMzwva2V5
PjxrZXkgYXBwPSJFTldlYiIgZGItaWQ9IiI+MDwva2V5PjwvZm9yZWlnbi1rZXlzPjxyZWYtdHlw
ZSBuYW1lPSJKb3VybmFsIEFydGljbGUiPjE3PC9yZWYtdHlwZT48Y29udHJpYnV0b3JzPjxhdXRo
b3JzPjxhdXRob3I+S3Jpc2huYW4tU2FyaW4sIFMuPC9hdXRob3I+PGF1dGhvcj5HcmVlbiwgQi4g
Ry48L2F1dGhvcj48YXV0aG9yPktvbmcsIEcuPC9hdXRob3I+PGF1dGhvcj5DYXZhbGxvLCBELiBB
LjwvYXV0aG9yPjxhdXRob3I+SmF0bG93LCBQLjwvYXV0aG9yPjxhdXRob3I+R3Vlb3JndWlldmEs
IFIuPC9hdXRob3I+PGF1dGhvcj5CdXRhLCBFLjwvYXV0aG9yPjxhdXRob3I+TyZhcG9zO01hbGxl
eSwgUy4gUy48L2F1dGhvcj48L2F1dGhvcnM+PC9jb250cmlidXRvcnM+PGF1dGgtYWRkcmVzcz5E
ZXBhcnRtZW50IG9mIFBzeWNoaWF0cnksIFlhbGUgVW5pdmVyc2l0eSBTY2hvb2wgb2YgTWVkaWNp
bmUsIFVuaXRlZCBTdGF0ZXMuIEVsZWN0cm9uaWMgYWRkcmVzczogc3VjaGl0cmEua3Jpc2huYW4t
c2FyaW5AeWFsZS5lZHUuJiN4RDtUaGUgSm9obiBCLiBQaWVyY2UgTGFib3JhdG9yeSBhbmQgRGVw
YXJ0bWVudCBvZiBTdXJnZXJ5LCBZYWxlIFVuaXZlcnNpdHkgU2Nob29sIG9mIE1lZGljaW5lLCBV
bml0ZWQgU3RhdGVzLiYjeEQ7RGVwYXJ0bWVudCBvZiBQc3ljaGlhdHJ5LCBZYWxlIFVuaXZlcnNp
dHkgU2Nob29sIG9mIE1lZGljaW5lLCBVbml0ZWQgU3RhdGVzLiYjeEQ7RGVwYXJ0bWVudCBvZiBM
YWJvcmF0b3J5IE1lZGljaW5lLCBZYWxlIFVuaXZlcnNpdHkgU2Nob29sIG9mIE1lZGljaW5lLCBV
bml0ZWQgU3RhdGVzLiYjeEQ7RGVwYXJ0bWVudCBvZiBCaW9zdGF0aXN0aWNzLCBZYWxlIFVuaXZl
cnNpdHkgU2Nob29sIG9mIFB1YmxpYyBIZWFsdGgsIFVuaXRlZCBTdGF0ZXMuPC9hdXRoLWFkZHJl
c3M+PHRpdGxlcz48dGl0bGU+U3R1ZHlpbmcgdGhlIGludGVyYWN0aXZlIGVmZmVjdHMgb2YgbWVu
dGhvbCBhbmQgbmljb3RpbmUgYW1vbmcgeW91dGg6IEFuIGV4YW1pbmF0aW9uIHVzaW5nIGUtY2ln
YXJldHRlczwvdGl0bGU+PHNlY29uZGFyeS10aXRsZT5EcnVnIEFsY29ob2wgRGVwZW5kPC9zZWNv
bmRhcnktdGl0bGU+PGFsdC10aXRsZT5EcnVnIGFuZCBhbGNvaG9sIGRlcGVuZGVuY2U8L2FsdC10
aXRsZT48L3RpdGxlcz48YWx0LXBlcmlvZGljYWw+PGZ1bGwtdGl0bGU+RHJ1ZyBhbmQgQWxjb2hv
bCBEZXBlbmRlbmNlPC9mdWxsLXRpdGxlPjwvYWx0LXBlcmlvZGljYWw+PHBhZ2VzPjE5My0xOTk8
L3BhZ2VzPjx2b2x1bWU+MTgwPC92b2x1bWU+PGVkaXRpb24+MjAxNy8wOS8xNjwvZWRpdGlvbj48
a2V5d29yZHM+PGtleXdvcmQ+RWxlY3Ryb25pYyBjaWdhcmV0dGVzPC9rZXl3b3JkPjxrZXl3b3Jk
Pk1lbnRob2w8L2tleXdvcmQ+PGtleXdvcmQ+Tmljb3RpbmU8L2tleXdvcmQ+PGtleXdvcmQ+WW91
dGg8L2tleXdvcmQ+PC9rZXl3b3Jkcz48ZGF0ZXM+PHllYXI+MjAxNzwveWVhcj48cHViLWRhdGVz
PjxkYXRlPk5vdiAxPC9kYXRlPjwvcHViLWRhdGVzPjwvZGF0ZXM+PGlzYm4+MDM3Ni04NzE2PC9p
c2JuPjxhY2Nlc3Npb24tbnVtPjI4OTE1NDc4PC9hY2Nlc3Npb24tbnVtPjx1cmxzPjwvdXJscz48
Y3VzdG9tMj5QTUM1NjU5NzMzPC9jdXN0b20yPjxjdXN0b202Pk5JSE1TOTAyNzM0PC9jdXN0b202
PjxlbGVjdHJvbmljLXJlc291cmNlLW51bT4xMC4xMDE2L2ouZHJ1Z2FsY2RlcC4yMDE3LjA3LjA0
NDwvZWxlY3Ryb25pYy1yZXNvdXJjZS1udW0+PHJlbW90ZS1kYXRhYmFzZS1wcm92aWRlcj5OTE08
L3JlbW90ZS1kYXRhYmFzZS1wcm92aWRlcj48bGFuZ3VhZ2U+ZW5nPC9sYW5ndWFnZT48L3JlY29y
ZD48L0NpdGU+PC9FbmROb3RlPn==
</w:fldData>
        </w:fldChar>
      </w:r>
      <w:r w:rsidRPr="008F2CBC">
        <w:rPr>
          <w:sz w:val="24"/>
        </w:rPr>
        <w:instrText xml:space="preserve"> ADDIN EN.CITE.DATA </w:instrText>
      </w:r>
      <w:r w:rsidRPr="008F2CBC">
        <w:rPr>
          <w:sz w:val="24"/>
        </w:rPr>
      </w:r>
      <w:r w:rsidRPr="008F2CBC">
        <w:rPr>
          <w:sz w:val="24"/>
        </w:rPr>
        <w:fldChar w:fldCharType="end"/>
      </w:r>
      <w:r w:rsidRPr="008F2CBC">
        <w:rPr>
          <w:sz w:val="24"/>
        </w:rPr>
      </w:r>
      <w:r w:rsidRPr="008F2CBC">
        <w:rPr>
          <w:sz w:val="24"/>
        </w:rPr>
        <w:fldChar w:fldCharType="separate"/>
      </w:r>
      <w:r w:rsidRPr="008F2CBC">
        <w:rPr>
          <w:noProof/>
          <w:sz w:val="24"/>
        </w:rPr>
        <w:t>(Krishnan-Sarin, Green et al. 2017)</w:t>
      </w:r>
      <w:r w:rsidRPr="008F2CBC">
        <w:rPr>
          <w:sz w:val="24"/>
        </w:rPr>
        <w:fldChar w:fldCharType="end"/>
      </w:r>
      <w:r w:rsidRPr="008F2CBC">
        <w:rPr>
          <w:sz w:val="24"/>
        </w:rPr>
        <w:t xml:space="preserve">, conducted with young people (n=60, mean age 18.8 years) who were e-cigarette users, the independent effects of menthol and nicotine on stimulant effects, nicotine withdrawal, taste and coolness were tested. </w:t>
      </w:r>
    </w:p>
    <w:p w14:paraId="7464A0A1" w14:textId="2D71FC9D" w:rsidR="002738DD" w:rsidRPr="008F2CBC" w:rsidRDefault="002738DD" w:rsidP="002738DD">
      <w:pPr>
        <w:spacing w:before="120" w:line="264" w:lineRule="auto"/>
        <w:rPr>
          <w:sz w:val="24"/>
        </w:rPr>
      </w:pPr>
      <w:r w:rsidRPr="008F2CBC">
        <w:rPr>
          <w:sz w:val="24"/>
        </w:rPr>
        <w:t xml:space="preserve">Participants were randomised to a single nicotine concentration (0mg/ml, 6mg/ml or 12mg/ml) and received all three menthol concentrations (0%, 0.5% and 3.5%) during separate sessions in random order. Each session consisted of </w:t>
      </w:r>
      <w:r w:rsidR="000E5C99">
        <w:rPr>
          <w:sz w:val="24"/>
        </w:rPr>
        <w:t>three</w:t>
      </w:r>
      <w:r w:rsidRPr="008F2CBC">
        <w:rPr>
          <w:sz w:val="24"/>
        </w:rPr>
        <w:t xml:space="preserve"> fixed puffing bouts of 10 puffs, with a 10 minute break between puffing bouts. Participants completed a modified version of the Drug Effects Questionnaire to measure stimulant effects and nicotine withdrawal after each fixed puffing bout. </w:t>
      </w:r>
    </w:p>
    <w:p w14:paraId="53732890" w14:textId="08F4EC0E" w:rsidR="002738DD" w:rsidRPr="008F2CBC" w:rsidRDefault="002738DD" w:rsidP="002738DD">
      <w:pPr>
        <w:spacing w:before="120" w:line="264" w:lineRule="auto"/>
        <w:rPr>
          <w:sz w:val="24"/>
        </w:rPr>
      </w:pPr>
      <w:r w:rsidRPr="008F2CBC">
        <w:rPr>
          <w:sz w:val="24"/>
        </w:rPr>
        <w:t xml:space="preserve">The study did not observe any effect of nicotine or menthol on stimulant effects or nicotine withdrawal. It did observe a significant </w:t>
      </w:r>
      <w:r w:rsidRPr="008F2CBC">
        <w:rPr>
          <w:b/>
          <w:sz w:val="24"/>
        </w:rPr>
        <w:t>effect of time on nicotine withdrawal</w:t>
      </w:r>
      <w:r w:rsidRPr="008F2CBC">
        <w:rPr>
          <w:sz w:val="24"/>
        </w:rPr>
        <w:t xml:space="preserve"> (F (3, 170)=19.54, p˂0.0001); post hoc comparisons showed that withdrawal symptoms improved from baseline to puffing periods 1 to 3 (e.g. baseline 17.19 </w:t>
      </w:r>
      <w:r w:rsidRPr="008F2CBC">
        <w:rPr>
          <w:sz w:val="24"/>
          <w:u w:val="single"/>
        </w:rPr>
        <w:t>+</w:t>
      </w:r>
      <w:r w:rsidRPr="008F2CBC">
        <w:rPr>
          <w:sz w:val="24"/>
        </w:rPr>
        <w:t xml:space="preserve"> 1.45, puffing period 3: 11.71 </w:t>
      </w:r>
      <w:r w:rsidRPr="008F2CBC">
        <w:rPr>
          <w:sz w:val="24"/>
          <w:u w:val="single"/>
        </w:rPr>
        <w:t>+</w:t>
      </w:r>
      <w:r w:rsidRPr="008F2CBC">
        <w:rPr>
          <w:sz w:val="24"/>
        </w:rPr>
        <w:t xml:space="preserve"> 1.32, p </w:t>
      </w:r>
      <w:r w:rsidRPr="008F2CBC">
        <w:rPr>
          <w:rFonts w:cs="Calibri"/>
          <w:sz w:val="24"/>
        </w:rPr>
        <w:t>˂</w:t>
      </w:r>
      <w:r w:rsidRPr="008F2CBC">
        <w:rPr>
          <w:sz w:val="24"/>
        </w:rPr>
        <w:t>0.0001). These results suggest that the behaviour of using e-cigarettes may reduce withdrawal symptoms regardless of the nicotine concentration used.</w:t>
      </w:r>
      <w:r w:rsidR="008146F9">
        <w:rPr>
          <w:sz w:val="24"/>
        </w:rPr>
        <w:t xml:space="preserve"> </w:t>
      </w:r>
    </w:p>
    <w:p w14:paraId="7695B3EC" w14:textId="745D69BE" w:rsidR="002738DD" w:rsidRDefault="002738DD" w:rsidP="002738DD">
      <w:pPr>
        <w:pStyle w:val="BodyText"/>
      </w:pPr>
      <w:r>
        <w:lastRenderedPageBreak/>
        <w:t>The final RCT investigated the effects of nicotine and expected nicotine content of e</w:t>
      </w:r>
      <w:r>
        <w:noBreakHyphen/>
        <w:t xml:space="preserve">cigarettes on craving reduction </w:t>
      </w:r>
      <w:r>
        <w:fldChar w:fldCharType="begin"/>
      </w:r>
      <w:r w:rsidR="00903735">
        <w:instrText xml:space="preserve"> ADDIN EN.CITE &lt;EndNote&gt;&lt;Cite&gt;&lt;Author&gt;Palmer&lt;/Author&gt;&lt;Year&gt;2018&lt;/Year&gt;&lt;RecNum&gt;13999&lt;/RecNum&gt;&lt;DisplayText&gt;(Palmer and Brandon 2018)&lt;/DisplayText&gt;&lt;record&gt;&lt;rec-number&gt;13999&lt;/rec-number&gt;&lt;foreign-keys&gt;&lt;key app="EN" db-id="5xv5w5t2bdxtxfezx02xtxdft5rz5ptvvt29" timestamp="1527215558"&gt;13999&lt;/key&gt;&lt;/foreign-keys&gt;&lt;ref-type name="Journal Article"&gt;17&lt;/ref-type&gt;&lt;contributors&gt;&lt;authors&gt;&lt;author&gt;Palmer, Amanda M.&lt;/author&gt;&lt;author&gt;Brandon, Thomas H.&lt;/author&gt;&lt;/authors&gt;&lt;/contributors&gt;&lt;titles&gt;&lt;title&gt;How Do Electronic Cigarettes Affect Cravings to Smoke or Vape? Parsing the Influences of Nicotine and Expectancies Using the Balanced-Placebo Design&lt;/title&gt;&lt;secondary-title&gt;Journal of Consulting and Clinical Psychology&lt;/secondary-title&gt;&lt;/titles&gt;&lt;periodical&gt;&lt;full-title&gt;Journal of Consulting and Clinical Psychology&lt;/full-title&gt;&lt;/periodical&gt;&lt;pages&gt;486-491&lt;/pages&gt;&lt;volume&gt;86&lt;/volume&gt;&lt;number&gt;5&lt;/number&gt;&lt;dates&gt;&lt;year&gt;2018&lt;/year&gt;&lt;pub-dates&gt;&lt;date&gt;May&lt;/date&gt;&lt;/pub-dates&gt;&lt;/dates&gt;&lt;isbn&gt;0022-006X&lt;/isbn&gt;&lt;accession-num&gt;WOS:000430501400008&lt;/accession-num&gt;&lt;urls&gt;&lt;related-urls&gt;&lt;url&gt;&amp;lt;Go to ISI&amp;gt;://WOS:000430501400008&lt;/url&gt;&lt;/related-urls&gt;&lt;/urls&gt;&lt;electronic-resource-num&gt;10.1037/ccp0000303&lt;/electronic-resource-num&gt;&lt;/record&gt;&lt;/Cite&gt;&lt;/EndNote&gt;</w:instrText>
      </w:r>
      <w:r>
        <w:fldChar w:fldCharType="separate"/>
      </w:r>
      <w:r>
        <w:rPr>
          <w:noProof/>
        </w:rPr>
        <w:t>(Palmer and Brandon 2018)</w:t>
      </w:r>
      <w:r>
        <w:fldChar w:fldCharType="end"/>
      </w:r>
      <w:r>
        <w:t>. 130 current or ex</w:t>
      </w:r>
      <w:r>
        <w:noBreakHyphen/>
        <w:t xml:space="preserve">smokers were recruited, predominantly from local vape shops, and were asked to abstain from nicotine for </w:t>
      </w:r>
      <w:r w:rsidR="000E5C99">
        <w:t>three</w:t>
      </w:r>
      <w:r>
        <w:t xml:space="preserve"> hours before the experiment (confirmed with a carbon monoxide test). The included participants were 38% female and had a mean age of 36.40(</w:t>
      </w:r>
      <w:r>
        <w:rPr>
          <w:rFonts w:cs="Calibri"/>
        </w:rPr>
        <w:t>±</w:t>
      </w:r>
      <w:r>
        <w:t>13.79) years. Participants were randomised to either receive a nicotine</w:t>
      </w:r>
      <w:r>
        <w:noBreakHyphen/>
        <w:t>containing or non</w:t>
      </w:r>
      <w:r>
        <w:noBreakHyphen/>
        <w:t>nicotine e</w:t>
      </w:r>
      <w:r>
        <w:noBreakHyphen/>
        <w:t>cigarette and told that the e</w:t>
      </w:r>
      <w:r>
        <w:noBreakHyphen/>
        <w:t>cigarette either did or did not contain nicotine, i.e. there were four conditions; in two conditions the participants were told the incorrect information about nicotine content. The study was double</w:t>
      </w:r>
      <w:r>
        <w:noBreakHyphen/>
        <w:t>blind. Researchers collected craving information using the Questionnaire of Smoking Urges</w:t>
      </w:r>
      <w:r>
        <w:noBreakHyphen/>
        <w:t xml:space="preserve">Brief before and after a </w:t>
      </w:r>
      <w:r w:rsidR="00663F46">
        <w:t>ten</w:t>
      </w:r>
      <w:r>
        <w:t xml:space="preserve"> minute vaping session. </w:t>
      </w:r>
    </w:p>
    <w:p w14:paraId="68244FA8" w14:textId="77777777" w:rsidR="002738DD" w:rsidRDefault="002738DD" w:rsidP="002738DD">
      <w:pPr>
        <w:pStyle w:val="BodyText"/>
      </w:pPr>
      <w:r>
        <w:t>Among smokers, w</w:t>
      </w:r>
      <w:r w:rsidRPr="008F51F1">
        <w:t>hile there was no main effect of drug (nicotine vs non</w:t>
      </w:r>
      <w:r>
        <w:noBreakHyphen/>
      </w:r>
      <w:r w:rsidRPr="008F51F1">
        <w:t>nicotine), participants told that their e</w:t>
      </w:r>
      <w:r>
        <w:noBreakHyphen/>
      </w:r>
      <w:r w:rsidRPr="008F51F1">
        <w:t xml:space="preserve">cigarette contained nicotine had larger craving </w:t>
      </w:r>
      <w:r>
        <w:t xml:space="preserve">to </w:t>
      </w:r>
      <w:r w:rsidRPr="008F51F1">
        <w:t>smok</w:t>
      </w:r>
      <w:r>
        <w:t>e</w:t>
      </w:r>
      <w:r w:rsidRPr="008F51F1">
        <w:t xml:space="preserve"> reductions </w:t>
      </w:r>
      <w:r>
        <w:t>r</w:t>
      </w:r>
      <w:r w:rsidRPr="008F51F1">
        <w:t>egardless of nicotine content.</w:t>
      </w:r>
      <w:r>
        <w:t xml:space="preserve"> C</w:t>
      </w:r>
      <w:r w:rsidRPr="008F51F1">
        <w:t>raving to vape was only reduced in the group told to expect nicotine who actually received a nicotine</w:t>
      </w:r>
      <w:r>
        <w:noBreakHyphen/>
      </w:r>
      <w:r w:rsidRPr="008F51F1">
        <w:t>containing e</w:t>
      </w:r>
      <w:r>
        <w:noBreakHyphen/>
      </w:r>
      <w:r w:rsidRPr="008F51F1">
        <w:t>cigarette.</w:t>
      </w:r>
      <w:r>
        <w:t xml:space="preserve"> These results provide further insight into the use of e</w:t>
      </w:r>
      <w:r>
        <w:noBreakHyphen/>
        <w:t>cigarettes to reduce cigarette craving and suggest that nicotine</w:t>
      </w:r>
      <w:r>
        <w:noBreakHyphen/>
        <w:t>free e</w:t>
      </w:r>
      <w:r>
        <w:noBreakHyphen/>
        <w:t>cigarettes may be just as effective as nicotine</w:t>
      </w:r>
      <w:r>
        <w:noBreakHyphen/>
        <w:t>containing e</w:t>
      </w:r>
      <w:r>
        <w:noBreakHyphen/>
        <w:t xml:space="preserve">cigarettes for craving reduction and thus smoking cessation. This is of particular importance due to concerns about the safety of nicotine products. </w:t>
      </w:r>
    </w:p>
    <w:p w14:paraId="5410C1A9" w14:textId="3EAE9084" w:rsidR="002738DD" w:rsidRDefault="002738DD" w:rsidP="002738DD">
      <w:pPr>
        <w:pStyle w:val="BodyText"/>
      </w:pPr>
      <w:r>
        <w:t>These results should be interpreted with caution due to the biased study population (e</w:t>
      </w:r>
      <w:r>
        <w:noBreakHyphen/>
        <w:t>cigarettes were already accepted by this population) and the limited applicability to real</w:t>
      </w:r>
      <w:r>
        <w:noBreakHyphen/>
        <w:t>life smoking cessation (consumers would know the nicotine content of the product they are purchasing). Additionally, the duration of smoking and vaping abstinence was very short (</w:t>
      </w:r>
      <w:r w:rsidR="000E5C99">
        <w:t>three</w:t>
      </w:r>
      <w:r>
        <w:t xml:space="preserve"> hours), which likely does not reflect cravings of a smoker attempting to quit permanently. Nonetheless, this study provides interesting new information on smoking cessation using nicotine</w:t>
      </w:r>
      <w:r>
        <w:noBreakHyphen/>
        <w:t>free e</w:t>
      </w:r>
      <w:r>
        <w:noBreakHyphen/>
        <w:t>cigarettes.</w:t>
      </w:r>
    </w:p>
    <w:p w14:paraId="21E2643C" w14:textId="77777777" w:rsidR="002738DD" w:rsidRDefault="002738DD" w:rsidP="002738DD">
      <w:pPr>
        <w:pStyle w:val="BodyText"/>
      </w:pPr>
    </w:p>
    <w:p w14:paraId="052C2499" w14:textId="77777777" w:rsidR="002738DD" w:rsidRDefault="002738DD" w:rsidP="002738DD">
      <w:pPr>
        <w:pStyle w:val="Heading3"/>
      </w:pPr>
      <w:r>
        <w:t>Parallel group trial</w:t>
      </w:r>
    </w:p>
    <w:p w14:paraId="0984AA0C" w14:textId="77777777" w:rsidR="002738DD" w:rsidRDefault="002738DD" w:rsidP="002738DD">
      <w:pPr>
        <w:pStyle w:val="BodyText"/>
      </w:pPr>
      <w:r>
        <w:t>A German parallel trial recruited participants from the community using flyers and via internet advertisements</w:t>
      </w:r>
      <w:r w:rsidRPr="000F49E0">
        <w:t xml:space="preserve"> </w:t>
      </w:r>
      <w:r>
        <w:fldChar w:fldCharType="begin">
          <w:fldData xml:space="preserve">PEVuZE5vdGU+PENpdGU+PEF1dGhvcj5SdXRoZXI8L0F1dGhvcj48WWVhcj4yMDE4PC9ZZWFyPjxS
ZWNOdW0+NDgwODwvUmVjTnVtPjxEaXNwbGF5VGV4dD4oUnV0aGVyLCBIYWdlZG9ybiBldCBhbC4g
MjAxOCk8L0Rpc3BsYXlUZXh0PjxyZWNvcmQ+PHJlYy1udW1iZXI+NDgwODwvcmVjLW51bWJlcj48
Zm9yZWlnbi1rZXlzPjxrZXkgYXBwPSJFTiIgZGItaWQ9Ijl6MDVkejBwcmFhZGZ1ZWUwem94emVk
azl6ZmU1Znh4NTB6NSIgdGltZXN0YW1wPSIxNTIzOTIwNDk0Ij40ODA4PC9rZXk+PC9mb3JlaWdu
LWtleXM+PHJlZi10eXBlIG5hbWU9IkpvdXJuYWwgQXJ0aWNsZSI+MTc8L3JlZi10eXBlPjxjb250
cmlidXRvcnM+PGF1dGhvcnM+PGF1dGhvcj5SdXRoZXIsIFQuPC9hdXRob3I+PGF1dGhvcj5IYWdl
ZG9ybiwgRC48L2F1dGhvcj48YXV0aG9yPlNjaGllbGEsIEsuPC9hdXRob3I+PGF1dGhvcj5TY2hl
dHRnZW4sIFQuPC9hdXRob3I+PGF1dGhvcj5Pc2lhbmRlci1GdWNocywgSC48L2F1dGhvcj48YXV0
aG9yPlNjaG9iZXIsIFcuPC9hdXRob3I+PC9hdXRob3JzPjwvY29udHJpYnV0b3JzPjxhdXRoLWFk
ZHJlc3M+RGVwYXJ0bWVudCBvZiBQc3ljaGlhdHJ5LCBMdWR3aWctTWF4aW1pbGlhbnMtVW5pdmVy
c2l0YXQsIE51c3NiYXVtc3RyYXNzZSA3LCA4MDMzNiBNdW5pY2gsIEdlcm1hbnkuJiN4RDtJbnN0
aXR1dGUgZm9yIE9jY3VwYXRpb25hbCBhbmQgU29jaWFsIE1lZGljaW5lLCBNZWRpY2FsIEZhY3Vs
dHksIFJXVEggQWFjaGVuIFVuaXZlcnNpdHksIFBhdXdlbHNzdHJhc3NlIDMwLCA1MjA3NCBBYWNo
ZW4sIEdlcm1hbnkuJiN4RDtCYXZhcmlhbiBIZWFsdGggYW5kIEZvb2QgU2FmZXR5IEF1dGhvcml0
eSwgRGVwYXJ0bWVudCBvZiBDb3NtZXRpY3MgYW5kIFRvYmFjY28gUHJvZHVjdHMsIFZldGVyaW5h
cnN0cmFzc2UgMiwgODU3NjQgT2JlcnNjaGxlaXNzaGVpbSwgR2VybWFueS4mI3hEO0JhdmFyaWFu
IEhlYWx0aCBhbmQgRm9vZCBTYWZldHkgQXV0aG9yaXR5LCBEZXBhcnRtZW50IG9mIENoZW1pY2Fs
IFNhZmV0eSBhbmQgVG94aWNvbG9neSwgUGZhcnJzdHJhc3NlIDMsIDgwNTM4IE11bmljaCwgR2Vy
bWFueS4gRWxlY3Ryb25pYyBhZGRyZXNzOiB3b2xmZ2FuZy5zY2hvYmVyQGxnbC5iYXllcm4uZGUu
PC9hdXRoLWFkZHJlc3M+PHRpdGxlcz48dGl0bGU+Tmljb3RpbmUgZGVsaXZlcnkgZWZmaWNpZW5j
eSBvZiBmaXJzdC0gYW5kIHNlY29uZC1nZW5lcmF0aW9uIGUtY2lnYXJldHRlcyBhbmQgaXRzIGlt
cGFjdCBvbiByZWxpZWYgb2YgY3JhdmluZyBkdXJpbmcgdGhlIGFjdXRlIHBoYXNlIG9mIHVzZTwv
dGl0bGU+PHNlY29uZGFyeS10aXRsZT5JbnQgSiBIeWcgRW52aXJvbiBIZWFsdGg8L3NlY29uZGFy
eS10aXRsZT48YWx0LXRpdGxlPkludGVybmF0aW9uYWwgam91cm5hbCBvZiBoeWdpZW5lIGFuZCBl
bnZpcm9ubWVudGFsIGhlYWx0aDwvYWx0LXRpdGxlPjwvdGl0bGVzPjxwZXJpb2RpY2FsPjxmdWxs
LXRpdGxlPkludCBKIEh5ZyBFbnZpcm9uIEhlYWx0aDwvZnVsbC10aXRsZT48YWJici0xPkludGVy
bmF0aW9uYWwgam91cm5hbCBvZiBoeWdpZW5lIGFuZCBlbnZpcm9ubWVudGFsIGhlYWx0aDwvYWJi
ci0xPjwvcGVyaW9kaWNhbD48YWx0LXBlcmlvZGljYWw+PGZ1bGwtdGl0bGU+SW50IEogSHlnIEVu
dmlyb24gSGVhbHRoPC9mdWxsLXRpdGxlPjxhYmJyLTE+SW50ZXJuYXRpb25hbCBqb3VybmFsIG9m
IGh5Z2llbmUgYW5kIGVudmlyb25tZW50YWwgaGVhbHRoPC9hYmJyLTE+PC9hbHQtcGVyaW9kaWNh
bD48cGFnZXM+MTkxLTE5ODwvcGFnZXM+PHZvbHVtZT4yMjE8L3ZvbHVtZT48bnVtYmVyPjI8L251
bWJlcj48ZWRpdGlvbj4yMDE3LzExLzE0PC9lZGl0aW9uPjxrZXl3b3Jkcz48a2V5d29yZD5BZGRp
Y3Rpb248L2tleXdvcmQ+PGtleXdvcmQ+Q2lnYWxpa2U8L2tleXdvcmQ+PGtleXdvcmQ+SGVhcnQg
cmF0ZTwva2V5d29yZD48a2V5d29yZD5OaWNvdGluZTwva2V5d29yZD48a2V5d29yZD5SZWxpZWYg
b2YgY3JhdmluZzwva2V5d29yZD48a2V5d29yZD5lLUNpZ2FyZXR0ZTwva2V5d29yZD48L2tleXdv
cmRzPjxkYXRlcz48eWVhcj4yMDE4PC95ZWFyPjxwdWItZGF0ZXM+PGRhdGU+TWFyPC9kYXRlPjwv
cHViLWRhdGVzPjwvZGF0ZXM+PGlzYm4+MTQzOC00NjM5PC9pc2JuPjxhY2Nlc3Npb24tbnVtPjI5
MTI5NTU1PC9hY2Nlc3Npb24tbnVtPjx1cmxzPjxyZWxhdGVkLXVybHM+PHVybD5odHRwczovL3d3
dy5zY2llbmNlZGlyZWN0LmNvbS9zY2llbmNlL2FydGljbGUvcGlpL1MxNDM4NDYzOTE3MzA1MTE0
P3ZpYSUzRGlodWI8L3VybD48L3JlbGF0ZWQtdXJscz48L3VybHM+PGVsZWN0cm9uaWMtcmVzb3Vy
Y2UtbnVtPjEwLjEwMTYvai5pamhlaC4yMDE3LjEwLjAxMjwvZWxlY3Ryb25pYy1yZXNvdXJjZS1u
dW0+PHJlbW90ZS1kYXRhYmFzZS1wcm92aWRlcj5OTE08L3JlbW90ZS1kYXRhYmFzZS1wcm92aWRl
cj48bGFuZ3VhZ2U+ZW5nPC9sYW5ndWFnZT48L3JlY29yZD48L0NpdGU+PC9FbmROb3RlPgB=
</w:fldData>
        </w:fldChar>
      </w:r>
      <w:r>
        <w:instrText xml:space="preserve"> ADDIN EN.CITE </w:instrText>
      </w:r>
      <w:r>
        <w:fldChar w:fldCharType="begin">
          <w:fldData xml:space="preserve">PEVuZE5vdGU+PENpdGU+PEF1dGhvcj5SdXRoZXI8L0F1dGhvcj48WWVhcj4yMDE4PC9ZZWFyPjxS
ZWNOdW0+NDgwODwvUmVjTnVtPjxEaXNwbGF5VGV4dD4oUnV0aGVyLCBIYWdlZG9ybiBldCBhbC4g
MjAxOCk8L0Rpc3BsYXlUZXh0PjxyZWNvcmQ+PHJlYy1udW1iZXI+NDgwODwvcmVjLW51bWJlcj48
Zm9yZWlnbi1rZXlzPjxrZXkgYXBwPSJFTiIgZGItaWQ9Ijl6MDVkejBwcmFhZGZ1ZWUwem94emVk
azl6ZmU1Znh4NTB6NSIgdGltZXN0YW1wPSIxNTIzOTIwNDk0Ij40ODA4PC9rZXk+PC9mb3JlaWdu
LWtleXM+PHJlZi10eXBlIG5hbWU9IkpvdXJuYWwgQXJ0aWNsZSI+MTc8L3JlZi10eXBlPjxjb250
cmlidXRvcnM+PGF1dGhvcnM+PGF1dGhvcj5SdXRoZXIsIFQuPC9hdXRob3I+PGF1dGhvcj5IYWdl
ZG9ybiwgRC48L2F1dGhvcj48YXV0aG9yPlNjaGllbGEsIEsuPC9hdXRob3I+PGF1dGhvcj5TY2hl
dHRnZW4sIFQuPC9hdXRob3I+PGF1dGhvcj5Pc2lhbmRlci1GdWNocywgSC48L2F1dGhvcj48YXV0
aG9yPlNjaG9iZXIsIFcuPC9hdXRob3I+PC9hdXRob3JzPjwvY29udHJpYnV0b3JzPjxhdXRoLWFk
ZHJlc3M+RGVwYXJ0bWVudCBvZiBQc3ljaGlhdHJ5LCBMdWR3aWctTWF4aW1pbGlhbnMtVW5pdmVy
c2l0YXQsIE51c3NiYXVtc3RyYXNzZSA3LCA4MDMzNiBNdW5pY2gsIEdlcm1hbnkuJiN4RDtJbnN0
aXR1dGUgZm9yIE9jY3VwYXRpb25hbCBhbmQgU29jaWFsIE1lZGljaW5lLCBNZWRpY2FsIEZhY3Vs
dHksIFJXVEggQWFjaGVuIFVuaXZlcnNpdHksIFBhdXdlbHNzdHJhc3NlIDMwLCA1MjA3NCBBYWNo
ZW4sIEdlcm1hbnkuJiN4RDtCYXZhcmlhbiBIZWFsdGggYW5kIEZvb2QgU2FmZXR5IEF1dGhvcml0
eSwgRGVwYXJ0bWVudCBvZiBDb3NtZXRpY3MgYW5kIFRvYmFjY28gUHJvZHVjdHMsIFZldGVyaW5h
cnN0cmFzc2UgMiwgODU3NjQgT2JlcnNjaGxlaXNzaGVpbSwgR2VybWFueS4mI3hEO0JhdmFyaWFu
IEhlYWx0aCBhbmQgRm9vZCBTYWZldHkgQXV0aG9yaXR5LCBEZXBhcnRtZW50IG9mIENoZW1pY2Fs
IFNhZmV0eSBhbmQgVG94aWNvbG9neSwgUGZhcnJzdHJhc3NlIDMsIDgwNTM4IE11bmljaCwgR2Vy
bWFueS4gRWxlY3Ryb25pYyBhZGRyZXNzOiB3b2xmZ2FuZy5zY2hvYmVyQGxnbC5iYXllcm4uZGUu
PC9hdXRoLWFkZHJlc3M+PHRpdGxlcz48dGl0bGU+Tmljb3RpbmUgZGVsaXZlcnkgZWZmaWNpZW5j
eSBvZiBmaXJzdC0gYW5kIHNlY29uZC1nZW5lcmF0aW9uIGUtY2lnYXJldHRlcyBhbmQgaXRzIGlt
cGFjdCBvbiByZWxpZWYgb2YgY3JhdmluZyBkdXJpbmcgdGhlIGFjdXRlIHBoYXNlIG9mIHVzZTwv
dGl0bGU+PHNlY29uZGFyeS10aXRsZT5JbnQgSiBIeWcgRW52aXJvbiBIZWFsdGg8L3NlY29uZGFy
eS10aXRsZT48YWx0LXRpdGxlPkludGVybmF0aW9uYWwgam91cm5hbCBvZiBoeWdpZW5lIGFuZCBl
bnZpcm9ubWVudGFsIGhlYWx0aDwvYWx0LXRpdGxlPjwvdGl0bGVzPjxwZXJpb2RpY2FsPjxmdWxs
LXRpdGxlPkludCBKIEh5ZyBFbnZpcm9uIEhlYWx0aDwvZnVsbC10aXRsZT48YWJici0xPkludGVy
bmF0aW9uYWwgam91cm5hbCBvZiBoeWdpZW5lIGFuZCBlbnZpcm9ubWVudGFsIGhlYWx0aDwvYWJi
ci0xPjwvcGVyaW9kaWNhbD48YWx0LXBlcmlvZGljYWw+PGZ1bGwtdGl0bGU+SW50IEogSHlnIEVu
dmlyb24gSGVhbHRoPC9mdWxsLXRpdGxlPjxhYmJyLTE+SW50ZXJuYXRpb25hbCBqb3VybmFsIG9m
IGh5Z2llbmUgYW5kIGVudmlyb25tZW50YWwgaGVhbHRoPC9hYmJyLTE+PC9hbHQtcGVyaW9kaWNh
bD48cGFnZXM+MTkxLTE5ODwvcGFnZXM+PHZvbHVtZT4yMjE8L3ZvbHVtZT48bnVtYmVyPjI8L251
bWJlcj48ZWRpdGlvbj4yMDE3LzExLzE0PC9lZGl0aW9uPjxrZXl3b3Jkcz48a2V5d29yZD5BZGRp
Y3Rpb248L2tleXdvcmQ+PGtleXdvcmQ+Q2lnYWxpa2U8L2tleXdvcmQ+PGtleXdvcmQ+SGVhcnQg
cmF0ZTwva2V5d29yZD48a2V5d29yZD5OaWNvdGluZTwva2V5d29yZD48a2V5d29yZD5SZWxpZWYg
b2YgY3JhdmluZzwva2V5d29yZD48a2V5d29yZD5lLUNpZ2FyZXR0ZTwva2V5d29yZD48L2tleXdv
cmRzPjxkYXRlcz48eWVhcj4yMDE4PC95ZWFyPjxwdWItZGF0ZXM+PGRhdGU+TWFyPC9kYXRlPjwv
cHViLWRhdGVzPjwvZGF0ZXM+PGlzYm4+MTQzOC00NjM5PC9pc2JuPjxhY2Nlc3Npb24tbnVtPjI5
MTI5NTU1PC9hY2Nlc3Npb24tbnVtPjx1cmxzPjxyZWxhdGVkLXVybHM+PHVybD5odHRwczovL3d3
dy5zY2llbmNlZGlyZWN0LmNvbS9zY2llbmNlL2FydGljbGUvcGlpL1MxNDM4NDYzOTE3MzA1MTE0
P3ZpYSUzRGlodWI8L3VybD48L3JlbGF0ZWQtdXJscz48L3VybHM+PGVsZWN0cm9uaWMtcmVzb3Vy
Y2UtbnVtPjEwLjEwMTYvai5pamhlaC4yMDE3LjEwLjAxMjwvZWxlY3Ryb25pYy1yZXNvdXJjZS1u
dW0+PHJlbW90ZS1kYXRhYmFzZS1wcm92aWRlcj5OTE08L3JlbW90ZS1kYXRhYmFzZS1wcm92aWRl
cj48bGFuZ3VhZ2U+ZW5nPC9sYW5ndWFnZT48L3JlY29yZD48L0NpdGU+PC9FbmROb3RlPgB=
</w:fldData>
        </w:fldChar>
      </w:r>
      <w:r>
        <w:instrText xml:space="preserve"> ADDIN EN.CITE.DATA </w:instrText>
      </w:r>
      <w:r>
        <w:fldChar w:fldCharType="end"/>
      </w:r>
      <w:r>
        <w:fldChar w:fldCharType="separate"/>
      </w:r>
      <w:r>
        <w:rPr>
          <w:noProof/>
        </w:rPr>
        <w:t>(Ruther, Hagedorn et al. 2018)</w:t>
      </w:r>
      <w:r>
        <w:fldChar w:fldCharType="end"/>
      </w:r>
      <w:r>
        <w:t>. Participants were included if they were adult male smokers (n=11; mean age 26.2</w:t>
      </w:r>
      <w:r>
        <w:rPr>
          <w:rFonts w:cs="Calibri"/>
        </w:rPr>
        <w:t>±</w:t>
      </w:r>
      <w:r>
        <w:t>6.9 years) or e</w:t>
      </w:r>
      <w:r>
        <w:noBreakHyphen/>
        <w:t>cigarette users (n=9; mean age 28.5</w:t>
      </w:r>
      <w:r>
        <w:rPr>
          <w:rFonts w:cs="Calibri"/>
        </w:rPr>
        <w:t>±</w:t>
      </w:r>
      <w:r>
        <w:t>8.9 years). These men abstained from smoking or vaping for &gt;12 hours, verified by a carbon monoxide test, and were then provided with either a tobacco cigarette (tobacco group) or randomised to be given a tank model e</w:t>
      </w:r>
      <w:r>
        <w:noBreakHyphen/>
        <w:t>cigarette or a cigalike (e</w:t>
      </w:r>
      <w:r>
        <w:noBreakHyphen/>
        <w:t>cigarette group). A significant reduction in cravings was observed after e</w:t>
      </w:r>
      <w:r>
        <w:noBreakHyphen/>
        <w:t>cigarette users vaped tank</w:t>
      </w:r>
      <w:r>
        <w:noBreakHyphen/>
        <w:t>model e</w:t>
      </w:r>
      <w:r>
        <w:noBreakHyphen/>
        <w:t>cigarettes and smokers used tobacco cigarettes, but not after e</w:t>
      </w:r>
      <w:r>
        <w:noBreakHyphen/>
        <w:t xml:space="preserve">cigarette users vaped cigalikes </w:t>
      </w:r>
      <w:r>
        <w:fldChar w:fldCharType="begin">
          <w:fldData xml:space="preserve">PEVuZE5vdGU+PENpdGU+PEF1dGhvcj5SdXRoZXI8L0F1dGhvcj48WWVhcj4yMDE4PC9ZZWFyPjxS
ZWNOdW0+NDgwODwvUmVjTnVtPjxEaXNwbGF5VGV4dD4oUnV0aGVyLCBIYWdlZG9ybiBldCBhbC4g
MjAxOCk8L0Rpc3BsYXlUZXh0PjxyZWNvcmQ+PHJlYy1udW1iZXI+NDgwODwvcmVjLW51bWJlcj48
Zm9yZWlnbi1rZXlzPjxrZXkgYXBwPSJFTiIgZGItaWQ9Ijl6MDVkejBwcmFhZGZ1ZWUwem94emVk
azl6ZmU1Znh4NTB6NSIgdGltZXN0YW1wPSIxNTIzOTIwNDk0Ij40ODA4PC9rZXk+PC9mb3JlaWdu
LWtleXM+PHJlZi10eXBlIG5hbWU9IkpvdXJuYWwgQXJ0aWNsZSI+MTc8L3JlZi10eXBlPjxjb250
cmlidXRvcnM+PGF1dGhvcnM+PGF1dGhvcj5SdXRoZXIsIFQuPC9hdXRob3I+PGF1dGhvcj5IYWdl
ZG9ybiwgRC48L2F1dGhvcj48YXV0aG9yPlNjaGllbGEsIEsuPC9hdXRob3I+PGF1dGhvcj5TY2hl
dHRnZW4sIFQuPC9hdXRob3I+PGF1dGhvcj5Pc2lhbmRlci1GdWNocywgSC48L2F1dGhvcj48YXV0
aG9yPlNjaG9iZXIsIFcuPC9hdXRob3I+PC9hdXRob3JzPjwvY29udHJpYnV0b3JzPjxhdXRoLWFk
ZHJlc3M+RGVwYXJ0bWVudCBvZiBQc3ljaGlhdHJ5LCBMdWR3aWctTWF4aW1pbGlhbnMtVW5pdmVy
c2l0YXQsIE51c3NiYXVtc3RyYXNzZSA3LCA4MDMzNiBNdW5pY2gsIEdlcm1hbnkuJiN4RDtJbnN0
aXR1dGUgZm9yIE9jY3VwYXRpb25hbCBhbmQgU29jaWFsIE1lZGljaW5lLCBNZWRpY2FsIEZhY3Vs
dHksIFJXVEggQWFjaGVuIFVuaXZlcnNpdHksIFBhdXdlbHNzdHJhc3NlIDMwLCA1MjA3NCBBYWNo
ZW4sIEdlcm1hbnkuJiN4RDtCYXZhcmlhbiBIZWFsdGggYW5kIEZvb2QgU2FmZXR5IEF1dGhvcml0
eSwgRGVwYXJ0bWVudCBvZiBDb3NtZXRpY3MgYW5kIFRvYmFjY28gUHJvZHVjdHMsIFZldGVyaW5h
cnN0cmFzc2UgMiwgODU3NjQgT2JlcnNjaGxlaXNzaGVpbSwgR2VybWFueS4mI3hEO0JhdmFyaWFu
IEhlYWx0aCBhbmQgRm9vZCBTYWZldHkgQXV0aG9yaXR5LCBEZXBhcnRtZW50IG9mIENoZW1pY2Fs
IFNhZmV0eSBhbmQgVG94aWNvbG9neSwgUGZhcnJzdHJhc3NlIDMsIDgwNTM4IE11bmljaCwgR2Vy
bWFueS4gRWxlY3Ryb25pYyBhZGRyZXNzOiB3b2xmZ2FuZy5zY2hvYmVyQGxnbC5iYXllcm4uZGUu
PC9hdXRoLWFkZHJlc3M+PHRpdGxlcz48dGl0bGU+Tmljb3RpbmUgZGVsaXZlcnkgZWZmaWNpZW5j
eSBvZiBmaXJzdC0gYW5kIHNlY29uZC1nZW5lcmF0aW9uIGUtY2lnYXJldHRlcyBhbmQgaXRzIGlt
cGFjdCBvbiByZWxpZWYgb2YgY3JhdmluZyBkdXJpbmcgdGhlIGFjdXRlIHBoYXNlIG9mIHVzZTwv
dGl0bGU+PHNlY29uZGFyeS10aXRsZT5JbnQgSiBIeWcgRW52aXJvbiBIZWFsdGg8L3NlY29uZGFy
eS10aXRsZT48YWx0LXRpdGxlPkludGVybmF0aW9uYWwgam91cm5hbCBvZiBoeWdpZW5lIGFuZCBl
bnZpcm9ubWVudGFsIGhlYWx0aDwvYWx0LXRpdGxlPjwvdGl0bGVzPjxwZXJpb2RpY2FsPjxmdWxs
LXRpdGxlPkludCBKIEh5ZyBFbnZpcm9uIEhlYWx0aDwvZnVsbC10aXRsZT48YWJici0xPkludGVy
bmF0aW9uYWwgam91cm5hbCBvZiBoeWdpZW5lIGFuZCBlbnZpcm9ubWVudGFsIGhlYWx0aDwvYWJi
ci0xPjwvcGVyaW9kaWNhbD48YWx0LXBlcmlvZGljYWw+PGZ1bGwtdGl0bGU+SW50IEogSHlnIEVu
dmlyb24gSGVhbHRoPC9mdWxsLXRpdGxlPjxhYmJyLTE+SW50ZXJuYXRpb25hbCBqb3VybmFsIG9m
IGh5Z2llbmUgYW5kIGVudmlyb25tZW50YWwgaGVhbHRoPC9hYmJyLTE+PC9hbHQtcGVyaW9kaWNh
bD48cGFnZXM+MTkxLTE5ODwvcGFnZXM+PHZvbHVtZT4yMjE8L3ZvbHVtZT48bnVtYmVyPjI8L251
bWJlcj48ZWRpdGlvbj4yMDE3LzExLzE0PC9lZGl0aW9uPjxrZXl3b3Jkcz48a2V5d29yZD5BZGRp
Y3Rpb248L2tleXdvcmQ+PGtleXdvcmQ+Q2lnYWxpa2U8L2tleXdvcmQ+PGtleXdvcmQ+SGVhcnQg
cmF0ZTwva2V5d29yZD48a2V5d29yZD5OaWNvdGluZTwva2V5d29yZD48a2V5d29yZD5SZWxpZWYg
b2YgY3JhdmluZzwva2V5d29yZD48a2V5d29yZD5lLUNpZ2FyZXR0ZTwva2V5d29yZD48L2tleXdv
cmRzPjxkYXRlcz48eWVhcj4yMDE4PC95ZWFyPjxwdWItZGF0ZXM+PGRhdGU+TWFyPC9kYXRlPjwv
cHViLWRhdGVzPjwvZGF0ZXM+PGlzYm4+MTQzOC00NjM5PC9pc2JuPjxhY2Nlc3Npb24tbnVtPjI5
MTI5NTU1PC9hY2Nlc3Npb24tbnVtPjx1cmxzPjxyZWxhdGVkLXVybHM+PHVybD5odHRwczovL3d3
dy5zY2llbmNlZGlyZWN0LmNvbS9zY2llbmNlL2FydGljbGUvcGlpL1MxNDM4NDYzOTE3MzA1MTE0
P3ZpYSUzRGlodWI8L3VybD48L3JlbGF0ZWQtdXJscz48L3VybHM+PGVsZWN0cm9uaWMtcmVzb3Vy
Y2UtbnVtPjEwLjEwMTYvai5pamhlaC4yMDE3LjEwLjAxMjwvZWxlY3Ryb25pYy1yZXNvdXJjZS1u
dW0+PHJlbW90ZS1kYXRhYmFzZS1wcm92aWRlcj5OTE08L3JlbW90ZS1kYXRhYmFzZS1wcm92aWRl
cj48bGFuZ3VhZ2U+ZW5nPC9sYW5ndWFnZT48L3JlY29yZD48L0NpdGU+PC9FbmROb3RlPgB=
</w:fldData>
        </w:fldChar>
      </w:r>
      <w:r>
        <w:instrText xml:space="preserve"> ADDIN EN.CITE </w:instrText>
      </w:r>
      <w:r>
        <w:fldChar w:fldCharType="begin">
          <w:fldData xml:space="preserve">PEVuZE5vdGU+PENpdGU+PEF1dGhvcj5SdXRoZXI8L0F1dGhvcj48WWVhcj4yMDE4PC9ZZWFyPjxS
ZWNOdW0+NDgwODwvUmVjTnVtPjxEaXNwbGF5VGV4dD4oUnV0aGVyLCBIYWdlZG9ybiBldCBhbC4g
MjAxOCk8L0Rpc3BsYXlUZXh0PjxyZWNvcmQ+PHJlYy1udW1iZXI+NDgwODwvcmVjLW51bWJlcj48
Zm9yZWlnbi1rZXlzPjxrZXkgYXBwPSJFTiIgZGItaWQ9Ijl6MDVkejBwcmFhZGZ1ZWUwem94emVk
azl6ZmU1Znh4NTB6NSIgdGltZXN0YW1wPSIxNTIzOTIwNDk0Ij40ODA4PC9rZXk+PC9mb3JlaWdu
LWtleXM+PHJlZi10eXBlIG5hbWU9IkpvdXJuYWwgQXJ0aWNsZSI+MTc8L3JlZi10eXBlPjxjb250
cmlidXRvcnM+PGF1dGhvcnM+PGF1dGhvcj5SdXRoZXIsIFQuPC9hdXRob3I+PGF1dGhvcj5IYWdl
ZG9ybiwgRC48L2F1dGhvcj48YXV0aG9yPlNjaGllbGEsIEsuPC9hdXRob3I+PGF1dGhvcj5TY2hl
dHRnZW4sIFQuPC9hdXRob3I+PGF1dGhvcj5Pc2lhbmRlci1GdWNocywgSC48L2F1dGhvcj48YXV0
aG9yPlNjaG9iZXIsIFcuPC9hdXRob3I+PC9hdXRob3JzPjwvY29udHJpYnV0b3JzPjxhdXRoLWFk
ZHJlc3M+RGVwYXJ0bWVudCBvZiBQc3ljaGlhdHJ5LCBMdWR3aWctTWF4aW1pbGlhbnMtVW5pdmVy
c2l0YXQsIE51c3NiYXVtc3RyYXNzZSA3LCA4MDMzNiBNdW5pY2gsIEdlcm1hbnkuJiN4RDtJbnN0
aXR1dGUgZm9yIE9jY3VwYXRpb25hbCBhbmQgU29jaWFsIE1lZGljaW5lLCBNZWRpY2FsIEZhY3Vs
dHksIFJXVEggQWFjaGVuIFVuaXZlcnNpdHksIFBhdXdlbHNzdHJhc3NlIDMwLCA1MjA3NCBBYWNo
ZW4sIEdlcm1hbnkuJiN4RDtCYXZhcmlhbiBIZWFsdGggYW5kIEZvb2QgU2FmZXR5IEF1dGhvcml0
eSwgRGVwYXJ0bWVudCBvZiBDb3NtZXRpY3MgYW5kIFRvYmFjY28gUHJvZHVjdHMsIFZldGVyaW5h
cnN0cmFzc2UgMiwgODU3NjQgT2JlcnNjaGxlaXNzaGVpbSwgR2VybWFueS4mI3hEO0JhdmFyaWFu
IEhlYWx0aCBhbmQgRm9vZCBTYWZldHkgQXV0aG9yaXR5LCBEZXBhcnRtZW50IG9mIENoZW1pY2Fs
IFNhZmV0eSBhbmQgVG94aWNvbG9neSwgUGZhcnJzdHJhc3NlIDMsIDgwNTM4IE11bmljaCwgR2Vy
bWFueS4gRWxlY3Ryb25pYyBhZGRyZXNzOiB3b2xmZ2FuZy5zY2hvYmVyQGxnbC5iYXllcm4uZGUu
PC9hdXRoLWFkZHJlc3M+PHRpdGxlcz48dGl0bGU+Tmljb3RpbmUgZGVsaXZlcnkgZWZmaWNpZW5j
eSBvZiBmaXJzdC0gYW5kIHNlY29uZC1nZW5lcmF0aW9uIGUtY2lnYXJldHRlcyBhbmQgaXRzIGlt
cGFjdCBvbiByZWxpZWYgb2YgY3JhdmluZyBkdXJpbmcgdGhlIGFjdXRlIHBoYXNlIG9mIHVzZTwv
dGl0bGU+PHNlY29uZGFyeS10aXRsZT5JbnQgSiBIeWcgRW52aXJvbiBIZWFsdGg8L3NlY29uZGFy
eS10aXRsZT48YWx0LXRpdGxlPkludGVybmF0aW9uYWwgam91cm5hbCBvZiBoeWdpZW5lIGFuZCBl
bnZpcm9ubWVudGFsIGhlYWx0aDwvYWx0LXRpdGxlPjwvdGl0bGVzPjxwZXJpb2RpY2FsPjxmdWxs
LXRpdGxlPkludCBKIEh5ZyBFbnZpcm9uIEhlYWx0aDwvZnVsbC10aXRsZT48YWJici0xPkludGVy
bmF0aW9uYWwgam91cm5hbCBvZiBoeWdpZW5lIGFuZCBlbnZpcm9ubWVudGFsIGhlYWx0aDwvYWJi
ci0xPjwvcGVyaW9kaWNhbD48YWx0LXBlcmlvZGljYWw+PGZ1bGwtdGl0bGU+SW50IEogSHlnIEVu
dmlyb24gSGVhbHRoPC9mdWxsLXRpdGxlPjxhYmJyLTE+SW50ZXJuYXRpb25hbCBqb3VybmFsIG9m
IGh5Z2llbmUgYW5kIGVudmlyb25tZW50YWwgaGVhbHRoPC9hYmJyLTE+PC9hbHQtcGVyaW9kaWNh
bD48cGFnZXM+MTkxLTE5ODwvcGFnZXM+PHZvbHVtZT4yMjE8L3ZvbHVtZT48bnVtYmVyPjI8L251
bWJlcj48ZWRpdGlvbj4yMDE3LzExLzE0PC9lZGl0aW9uPjxrZXl3b3Jkcz48a2V5d29yZD5BZGRp
Y3Rpb248L2tleXdvcmQ+PGtleXdvcmQ+Q2lnYWxpa2U8L2tleXdvcmQ+PGtleXdvcmQ+SGVhcnQg
cmF0ZTwva2V5d29yZD48a2V5d29yZD5OaWNvdGluZTwva2V5d29yZD48a2V5d29yZD5SZWxpZWYg
b2YgY3JhdmluZzwva2V5d29yZD48a2V5d29yZD5lLUNpZ2FyZXR0ZTwva2V5d29yZD48L2tleXdv
cmRzPjxkYXRlcz48eWVhcj4yMDE4PC95ZWFyPjxwdWItZGF0ZXM+PGRhdGU+TWFyPC9kYXRlPjwv
cHViLWRhdGVzPjwvZGF0ZXM+PGlzYm4+MTQzOC00NjM5PC9pc2JuPjxhY2Nlc3Npb24tbnVtPjI5
MTI5NTU1PC9hY2Nlc3Npb24tbnVtPjx1cmxzPjxyZWxhdGVkLXVybHM+PHVybD5odHRwczovL3d3
dy5zY2llbmNlZGlyZWN0LmNvbS9zY2llbmNlL2FydGljbGUvcGlpL1MxNDM4NDYzOTE3MzA1MTE0
P3ZpYSUzRGlodWI8L3VybD48L3JlbGF0ZWQtdXJscz48L3VybHM+PGVsZWN0cm9uaWMtcmVzb3Vy
Y2UtbnVtPjEwLjEwMTYvai5pamhlaC4yMDE3LjEwLjAxMjwvZWxlY3Ryb25pYy1yZXNvdXJjZS1u
dW0+PHJlbW90ZS1kYXRhYmFzZS1wcm92aWRlcj5OTE08L3JlbW90ZS1kYXRhYmFzZS1wcm92aWRl
cj48bGFuZ3VhZ2U+ZW5nPC9sYW5ndWFnZT48L3JlY29yZD48L0NpdGU+PC9FbmROb3RlPgB=
</w:fldData>
        </w:fldChar>
      </w:r>
      <w:r>
        <w:instrText xml:space="preserve"> ADDIN EN.CITE.DATA </w:instrText>
      </w:r>
      <w:r>
        <w:fldChar w:fldCharType="end"/>
      </w:r>
      <w:r>
        <w:fldChar w:fldCharType="separate"/>
      </w:r>
      <w:r>
        <w:rPr>
          <w:noProof/>
        </w:rPr>
        <w:t>(Ruther, Hagedorn et al. 2018)</w:t>
      </w:r>
      <w:r>
        <w:fldChar w:fldCharType="end"/>
      </w:r>
      <w:r>
        <w:t>. This suggests that the type of e</w:t>
      </w:r>
      <w:r>
        <w:noBreakHyphen/>
        <w:t>cigarette or familiarity with the device may also influence cravings as all of the e-cigarette users included in the study were regular tank</w:t>
      </w:r>
      <w:r>
        <w:noBreakHyphen/>
        <w:t>model e</w:t>
      </w:r>
      <w:r>
        <w:noBreakHyphen/>
        <w:t>cigarette users.</w:t>
      </w:r>
    </w:p>
    <w:p w14:paraId="417C4522" w14:textId="77777777" w:rsidR="002738DD" w:rsidRDefault="002738DD" w:rsidP="002738DD">
      <w:pPr>
        <w:pStyle w:val="BodyText"/>
      </w:pPr>
    </w:p>
    <w:p w14:paraId="5774FAB9" w14:textId="77777777" w:rsidR="002738DD" w:rsidRDefault="002738DD" w:rsidP="002738DD">
      <w:pPr>
        <w:pStyle w:val="Heading3"/>
      </w:pPr>
      <w:r>
        <w:lastRenderedPageBreak/>
        <w:t>Cross</w:t>
      </w:r>
      <w:r>
        <w:noBreakHyphen/>
        <w:t>sectional studies</w:t>
      </w:r>
    </w:p>
    <w:p w14:paraId="3DC36F16" w14:textId="77777777" w:rsidR="002738DD" w:rsidRDefault="002738DD" w:rsidP="002738DD">
      <w:pPr>
        <w:pStyle w:val="BodyText"/>
      </w:pPr>
      <w:r>
        <w:t>One study investigated smoking cessation and e</w:t>
      </w:r>
      <w:r>
        <w:noBreakHyphen/>
        <w:t xml:space="preserve">cigarette use in IBD patients </w:t>
      </w:r>
      <w:r>
        <w:fldChar w:fldCharType="begin"/>
      </w:r>
      <w:r>
        <w:instrText xml:space="preserve"> ADDIN EN.CITE &lt;EndNote&gt;&lt;Cite&gt;&lt;Author&gt;Serpen&lt;/Author&gt;&lt;Year&gt;2017&lt;/Year&gt;&lt;RecNum&gt;6012&lt;/RecNum&gt;&lt;DisplayText&gt;(Serpen, Gutierrez et al. 2017)&lt;/DisplayText&gt;&lt;record&gt;&lt;rec-number&gt;6012&lt;/rec-number&gt;&lt;foreign-keys&gt;&lt;key app="EN" db-id="9z05dz0praadfuee0zoxzedk9zfe5fxx50z5" timestamp="1523921047"&gt;6012&lt;/key&gt;&lt;key app="ENWeb" db-id=""&gt;0&lt;/key&gt;&lt;/foreign-keys&gt;&lt;ref-type name="Journal Article"&gt;17&lt;/ref-type&gt;&lt;contributors&gt;&lt;authors&gt;&lt;author&gt;Serpen, Jasmine&lt;/author&gt;&lt;author&gt;Gutierrez, Alexandra&lt;/author&gt;&lt;author&gt;Cushing, Kelly&lt;/author&gt;&lt;author&gt;Chiplunker, Adeeti&lt;/author&gt;&lt;/authors&gt;&lt;/contributors&gt;&lt;titles&gt;&lt;title&gt;The Impact of E-Cigarette Use in Inflammatory Bowel Disease&lt;/title&gt;&lt;secondary-title&gt;Inflammatory Bowel Diseases&lt;/secondary-title&gt;&lt;/titles&gt;&lt;periodical&gt;&lt;full-title&gt;Inflammatory Bowel Diseases&lt;/full-title&gt;&lt;/periodical&gt;&lt;pages&gt;S49-S49&lt;/pages&gt;&lt;volume&gt;23&lt;/volume&gt;&lt;dates&gt;&lt;year&gt;2017&lt;/year&gt;&lt;pub-dates&gt;&lt;date&gt;Feb&lt;/date&gt;&lt;/pub-dates&gt;&lt;/dates&gt;&lt;isbn&gt;1078-0998&lt;/isbn&gt;&lt;accession-num&gt;WOS:000393902100150&lt;/accession-num&gt;&lt;urls&gt;&lt;related-urls&gt;&lt;url&gt;&amp;lt;Go to ISI&amp;gt;://WOS:000393902100150&lt;/url&gt;&lt;/related-urls&gt;&lt;/urls&gt;&lt;/record&gt;&lt;/Cite&gt;&lt;/EndNote&gt;</w:instrText>
      </w:r>
      <w:r>
        <w:fldChar w:fldCharType="separate"/>
      </w:r>
      <w:r>
        <w:rPr>
          <w:noProof/>
        </w:rPr>
        <w:t>(Serpen, Gutierrez et al. 2017)</w:t>
      </w:r>
      <w:r>
        <w:fldChar w:fldCharType="end"/>
      </w:r>
      <w:r>
        <w:t xml:space="preserve">. The researchers conducted a small survey of 27 adult smokers with IBD (67.5% response rate), using combined collection methods of a </w:t>
      </w:r>
      <w:r w:rsidRPr="00271B16">
        <w:t>retrospective database</w:t>
      </w:r>
      <w:r>
        <w:t xml:space="preserve"> and medical record audit and a phone questionnaire. Age and gender was not reported, however there was no significant difference between the e</w:t>
      </w:r>
      <w:r>
        <w:noBreakHyphen/>
        <w:t>cigarette users and smokers. E</w:t>
      </w:r>
      <w:r>
        <w:noBreakHyphen/>
        <w:t xml:space="preserve">cigarette use was associated with reduced cravings for regular cigarettes in 21/27 participants </w:t>
      </w:r>
      <w:r>
        <w:fldChar w:fldCharType="begin"/>
      </w:r>
      <w:r>
        <w:instrText xml:space="preserve"> ADDIN EN.CITE &lt;EndNote&gt;&lt;Cite&gt;&lt;Author&gt;Serpen&lt;/Author&gt;&lt;Year&gt;2017&lt;/Year&gt;&lt;RecNum&gt;6012&lt;/RecNum&gt;&lt;DisplayText&gt;(Serpen, Gutierrez et al. 2017)&lt;/DisplayText&gt;&lt;record&gt;&lt;rec-number&gt;6012&lt;/rec-number&gt;&lt;foreign-keys&gt;&lt;key app="EN" db-id="9z05dz0praadfuee0zoxzedk9zfe5fxx50z5" timestamp="1523921047"&gt;6012&lt;/key&gt;&lt;key app="ENWeb" db-id=""&gt;0&lt;/key&gt;&lt;/foreign-keys&gt;&lt;ref-type name="Journal Article"&gt;17&lt;/ref-type&gt;&lt;contributors&gt;&lt;authors&gt;&lt;author&gt;Serpen, Jasmine&lt;/author&gt;&lt;author&gt;Gutierrez, Alexandra&lt;/author&gt;&lt;author&gt;Cushing, Kelly&lt;/author&gt;&lt;author&gt;Chiplunker, Adeeti&lt;/author&gt;&lt;/authors&gt;&lt;/contributors&gt;&lt;titles&gt;&lt;title&gt;The Impact of E-Cigarette Use in Inflammatory Bowel Disease&lt;/title&gt;&lt;secondary-title&gt;Inflammatory Bowel Diseases&lt;/secondary-title&gt;&lt;/titles&gt;&lt;periodical&gt;&lt;full-title&gt;Inflammatory Bowel Diseases&lt;/full-title&gt;&lt;/periodical&gt;&lt;pages&gt;S49-S49&lt;/pages&gt;&lt;volume&gt;23&lt;/volume&gt;&lt;dates&gt;&lt;year&gt;2017&lt;/year&gt;&lt;pub-dates&gt;&lt;date&gt;Feb&lt;/date&gt;&lt;/pub-dates&gt;&lt;/dates&gt;&lt;isbn&gt;1078-0998&lt;/isbn&gt;&lt;accession-num&gt;WOS:000393902100150&lt;/accession-num&gt;&lt;urls&gt;&lt;related-urls&gt;&lt;url&gt;&amp;lt;Go to ISI&amp;gt;://WOS:000393902100150&lt;/url&gt;&lt;/related-urls&gt;&lt;/urls&gt;&lt;/record&gt;&lt;/Cite&gt;&lt;/EndNote&gt;</w:instrText>
      </w:r>
      <w:r>
        <w:fldChar w:fldCharType="separate"/>
      </w:r>
      <w:r>
        <w:rPr>
          <w:noProof/>
        </w:rPr>
        <w:t>(Serpen, Gutierrez et al. 2017)</w:t>
      </w:r>
      <w:r>
        <w:fldChar w:fldCharType="end"/>
      </w:r>
      <w:r>
        <w:t>. There was limited information on this study as it is only available as a conference abstract and findings cannot be applied to the broader population due to the disease state and limited information.</w:t>
      </w:r>
    </w:p>
    <w:p w14:paraId="0D897DB4" w14:textId="77777777" w:rsidR="002738DD" w:rsidRPr="001A4F50" w:rsidRDefault="002738DD" w:rsidP="002738DD">
      <w:pPr>
        <w:pStyle w:val="BodyText"/>
      </w:pPr>
    </w:p>
    <w:p w14:paraId="6EA82CA4" w14:textId="77777777" w:rsidR="002738DD" w:rsidRDefault="002738DD" w:rsidP="002738DD">
      <w:pPr>
        <w:pStyle w:val="Heading3"/>
      </w:pPr>
      <w:r>
        <w:t>Conclusions</w:t>
      </w:r>
    </w:p>
    <w:p w14:paraId="44C59001" w14:textId="77777777" w:rsidR="002738DD" w:rsidRDefault="002738DD" w:rsidP="002738DD">
      <w:pPr>
        <w:pStyle w:val="BodyText"/>
      </w:pPr>
      <w:r>
        <w:t>Results from these studies suggest that e</w:t>
      </w:r>
      <w:r>
        <w:noBreakHyphen/>
        <w:t>cigarettes may reduce withdrawal symptoms in smokers and e</w:t>
      </w:r>
      <w:r>
        <w:noBreakHyphen/>
        <w:t>cigarette users after a short period of cigarette abstinence and thus may encourage smoking cessation. However, cigarettes appear to be more effective at reducing withdrawal symptoms than e</w:t>
      </w:r>
      <w:r>
        <w:noBreakHyphen/>
        <w:t>cigarettes, and e</w:t>
      </w:r>
      <w:r>
        <w:noBreakHyphen/>
        <w:t>cigarettes with higher nicotine doses appear to be more effective than low or nicotine</w:t>
      </w:r>
      <w:r>
        <w:noBreakHyphen/>
        <w:t>free devices. Interestingly, the knowledge that an e</w:t>
      </w:r>
      <w:r>
        <w:noBreakHyphen/>
        <w:t>cigarette contains nicotine may be sufficient to reduce withdrawals, as suggested in the study by Palmer et al. where participants had reductions in withdrawals after being told their e</w:t>
      </w:r>
      <w:r>
        <w:noBreakHyphen/>
        <w:t>cigarette contained nicotine, regardless of actual nicotine content. Further studies are required to confirm all findings, particularly the effect of nicotine, including low nicotine delivery doses. It is unclear from these studies whether e</w:t>
      </w:r>
      <w:r>
        <w:noBreakHyphen/>
        <w:t>cigarettes would continue to alleviate withdrawal symptoms following continued, long</w:t>
      </w:r>
      <w:r>
        <w:noBreakHyphen/>
        <w:t>term abstinence from nicotine.</w:t>
      </w:r>
    </w:p>
    <w:p w14:paraId="6A325D16" w14:textId="77777777" w:rsidR="002738DD" w:rsidRDefault="002738DD" w:rsidP="002738DD">
      <w:pPr>
        <w:pStyle w:val="BodyText"/>
      </w:pPr>
    </w:p>
    <w:p w14:paraId="292A1652" w14:textId="77777777" w:rsidR="002738DD" w:rsidRDefault="002738DD" w:rsidP="002738DD">
      <w:pPr>
        <w:pStyle w:val="Heading3"/>
      </w:pPr>
      <w:r>
        <w:t>Key findings</w:t>
      </w:r>
    </w:p>
    <w:p w14:paraId="4EA70EE5" w14:textId="77777777" w:rsidR="002738DD" w:rsidRDefault="002738DD" w:rsidP="002738DD">
      <w:pPr>
        <w:pStyle w:val="BodyText"/>
        <w:numPr>
          <w:ilvl w:val="0"/>
          <w:numId w:val="67"/>
        </w:numPr>
      </w:pPr>
      <w:r>
        <w:t>E</w:t>
      </w:r>
      <w:r>
        <w:noBreakHyphen/>
        <w:t>cigarettes can reduce smoking withdrawal symptoms.</w:t>
      </w:r>
    </w:p>
    <w:p w14:paraId="79F34F7D" w14:textId="77777777" w:rsidR="002738DD" w:rsidRDefault="002738DD" w:rsidP="002738DD">
      <w:pPr>
        <w:pStyle w:val="BodyText"/>
        <w:numPr>
          <w:ilvl w:val="0"/>
          <w:numId w:val="67"/>
        </w:numPr>
      </w:pPr>
      <w:r w:rsidRPr="008075E5">
        <w:t xml:space="preserve">Cigarettes </w:t>
      </w:r>
      <w:r>
        <w:t xml:space="preserve">are </w:t>
      </w:r>
      <w:r w:rsidRPr="008075E5">
        <w:t xml:space="preserve">more effective at reducing </w:t>
      </w:r>
      <w:r>
        <w:t xml:space="preserve">smoking </w:t>
      </w:r>
      <w:r w:rsidRPr="008075E5">
        <w:t>withdrawal</w:t>
      </w:r>
      <w:r>
        <w:t xml:space="preserve"> </w:t>
      </w:r>
      <w:r w:rsidRPr="008075E5">
        <w:t>s</w:t>
      </w:r>
      <w:r>
        <w:t>ymptoms</w:t>
      </w:r>
      <w:r w:rsidRPr="008075E5">
        <w:t xml:space="preserve"> than e</w:t>
      </w:r>
      <w:r>
        <w:noBreakHyphen/>
      </w:r>
      <w:r w:rsidRPr="008075E5">
        <w:t>cigarettes</w:t>
      </w:r>
      <w:r>
        <w:t>.</w:t>
      </w:r>
    </w:p>
    <w:p w14:paraId="063D689F" w14:textId="77777777" w:rsidR="002738DD" w:rsidRDefault="002738DD" w:rsidP="002738DD">
      <w:pPr>
        <w:pStyle w:val="BodyText"/>
        <w:numPr>
          <w:ilvl w:val="0"/>
          <w:numId w:val="67"/>
        </w:numPr>
      </w:pPr>
      <w:r>
        <w:t>E</w:t>
      </w:r>
      <w:r>
        <w:noBreakHyphen/>
        <w:t>cigarettes containing nicotine reduce smoking withdrawal symptoms more than e</w:t>
      </w:r>
      <w:r>
        <w:noBreakHyphen/>
        <w:t>cigarettes without nicotine.</w:t>
      </w:r>
    </w:p>
    <w:p w14:paraId="7CE35920" w14:textId="77777777" w:rsidR="002738DD" w:rsidRDefault="002738DD" w:rsidP="002738DD">
      <w:pPr>
        <w:pStyle w:val="BodyText"/>
        <w:numPr>
          <w:ilvl w:val="0"/>
          <w:numId w:val="67"/>
        </w:numPr>
      </w:pPr>
      <w:r>
        <w:t>Reducing smoking withdrawal symptoms is complicated with many factors involved. E</w:t>
      </w:r>
      <w:r>
        <w:noBreakHyphen/>
        <w:t>cigarettes may reduce withdrawal symptoms because of the familiar hand</w:t>
      </w:r>
      <w:r>
        <w:noBreakHyphen/>
        <w:t>to</w:t>
      </w:r>
      <w:r>
        <w:noBreakHyphen/>
        <w:t>mouth actions, nicotine content and knowledge that the e</w:t>
      </w:r>
      <w:r>
        <w:noBreakHyphen/>
        <w:t xml:space="preserve">cigarette contains nicotine. </w:t>
      </w:r>
    </w:p>
    <w:p w14:paraId="38DF17C3" w14:textId="618D1E72" w:rsidR="002738DD" w:rsidRDefault="002738DD" w:rsidP="002738DD">
      <w:pPr>
        <w:pStyle w:val="BodyText"/>
        <w:numPr>
          <w:ilvl w:val="0"/>
          <w:numId w:val="67"/>
        </w:numPr>
      </w:pPr>
      <w:r>
        <w:t>Further studies are required to determine if e</w:t>
      </w:r>
      <w:r>
        <w:noBreakHyphen/>
        <w:t xml:space="preserve">cigarettes continue to help with withdrawal symptoms when smokers have stopped smoking for longer than </w:t>
      </w:r>
      <w:r w:rsidR="000E5C99">
        <w:t>one</w:t>
      </w:r>
      <w:r>
        <w:t xml:space="preserve"> day.</w:t>
      </w:r>
    </w:p>
    <w:p w14:paraId="619F667C" w14:textId="77777777" w:rsidR="002738DD" w:rsidRDefault="002738DD" w:rsidP="002738DD">
      <w:pPr>
        <w:pStyle w:val="BodyText"/>
      </w:pPr>
    </w:p>
    <w:p w14:paraId="3B2B8A4C" w14:textId="35A15B89" w:rsidR="002738DD" w:rsidRDefault="00955544" w:rsidP="002738DD">
      <w:pPr>
        <w:pStyle w:val="Heading2"/>
      </w:pPr>
      <w:bookmarkStart w:id="133" w:name="_Toc516671648"/>
      <w:r>
        <w:lastRenderedPageBreak/>
        <w:t xml:space="preserve"> </w:t>
      </w:r>
      <w:bookmarkStart w:id="134" w:name="_Toc517706686"/>
      <w:r w:rsidR="002738DD">
        <w:t>Association between e</w:t>
      </w:r>
      <w:r w:rsidR="002738DD">
        <w:noBreakHyphen/>
        <w:t>cigarette use and smoking quit attempts</w:t>
      </w:r>
      <w:bookmarkEnd w:id="133"/>
      <w:bookmarkEnd w:id="134"/>
    </w:p>
    <w:p w14:paraId="10656AFE" w14:textId="77777777" w:rsidR="002738DD" w:rsidRDefault="002738DD" w:rsidP="002738DD">
      <w:pPr>
        <w:pStyle w:val="BodyText"/>
      </w:pPr>
      <w:r>
        <w:t>One randomised controlled trial, one trial without a control group and four cross</w:t>
      </w:r>
      <w:r>
        <w:noBreakHyphen/>
        <w:t>sectional studies assessed the association between e</w:t>
      </w:r>
      <w:r>
        <w:noBreakHyphen/>
        <w:t xml:space="preserve">cigarette use and quit attempts. </w:t>
      </w:r>
    </w:p>
    <w:p w14:paraId="1DC63C89" w14:textId="77777777" w:rsidR="002738DD" w:rsidRPr="00455B41" w:rsidRDefault="002738DD" w:rsidP="002738DD">
      <w:pPr>
        <w:pStyle w:val="BodyText"/>
      </w:pPr>
    </w:p>
    <w:p w14:paraId="590D1854" w14:textId="77777777" w:rsidR="002738DD" w:rsidRDefault="002738DD" w:rsidP="002738DD">
      <w:pPr>
        <w:pStyle w:val="Heading3"/>
      </w:pPr>
      <w:r>
        <w:t>Randomised controlled trials</w:t>
      </w:r>
    </w:p>
    <w:p w14:paraId="666B3012" w14:textId="2183D2F1" w:rsidR="002738DD" w:rsidRDefault="002738DD" w:rsidP="002738DD">
      <w:pPr>
        <w:pStyle w:val="BodyText"/>
      </w:pPr>
      <w:r>
        <w:t>In a randomised controlled trial, 17 smokers (12 completers) who were intending to quit, were recruited from public notices for a cross</w:t>
      </w:r>
      <w:r>
        <w:noBreakHyphen/>
        <w:t xml:space="preserve">over trial </w:t>
      </w:r>
      <w:r>
        <w:fldChar w:fldCharType="begin">
          <w:fldData xml:space="preserve">PEVuZE5vdGU+PENpdGU+PEF1dGhvcj5QZXJraW5zPC9BdXRob3I+PFllYXI+MjAxNzwvWWVhcj48
UmVjTnVtPjUwODg8L1JlY051bT48RGlzcGxheVRleHQ+KFBlcmtpbnMsIEthcmVsaXR6IGV0IGFs
LiAyMDE3KTwvRGlzcGxheVRleHQ+PHJlY29yZD48cmVjLW51bWJlcj41MDg4PC9yZWMtbnVtYmVy
Pjxmb3JlaWduLWtleXM+PGtleSBhcHA9IkVOIiBkYi1pZD0iOXowNWR6MHByYWFkZnVlZTB6b3h6
ZWRrOXpmZTVmeHg1MHo1IiB0aW1lc3RhbXA9IjE1MjM5MjA5MjAiPjUwODg8L2tleT48L2ZvcmVp
Z24ta2V5cz48cmVmLXR5cGUgbmFtZT0iSm91cm5hbCBBcnRpY2xlIj4xNzwvcmVmLXR5cGU+PGNv
bnRyaWJ1dG9ycz48YXV0aG9ycz48YXV0aG9yPlBlcmtpbnMsIEsuIEEuPC9hdXRob3I+PGF1dGhv
cj5LYXJlbGl0eiwgSi4gTC48L2F1dGhvcj48YXV0aG9yPk1pY2hhZWwsIFYuIEMuPC9hdXRob3I+
PC9hdXRob3JzPjwvY29udHJpYnV0b3JzPjxhdXRoLWFkZHJlc3M+RGVwYXJ0bWVudCBvZiBQc3lj
aGlhdHJ5LCBVbml2ZXJzaXR5IG9mIFBpdHRzYnVyZ2guPC9hdXRoLWFkZHJlc3M+PHRpdGxlcz48
dGl0bGU+RWZmZWN0cyBvZiBuaWNvdGluZSB2ZXJzdXMgcGxhY2VibyBlLWNpZ2FyZXR0ZSB1c2Ug
b24gc3ltcHRvbSByZWxpZWYgZHVyaW5nIGluaXRpYWwgdG9iYWNjbyBhYnN0aW5lbmNlPC90aXRs
ZT48c2Vjb25kYXJ5LXRpdGxlPkV4cCBDbGluIFBzeWNob3BoYXJtYWNvbDwvc2Vjb25kYXJ5LXRp
dGxlPjxhbHQtdGl0bGU+RXhwZXJpbWVudGFsIGFuZCBjbGluaWNhbCBwc3ljaG9waGFybWFjb2xv
Z3k8L2FsdC10aXRsZT48L3RpdGxlcz48cGVyaW9kaWNhbD48ZnVsbC10aXRsZT5FeHAgQ2xpbiBQ
c3ljaG9waGFybWFjb2w8L2Z1bGwtdGl0bGU+PGFiYnItMT5FeHBlcmltZW50YWwgYW5kIGNsaW5p
Y2FsIHBzeWNob3BoYXJtYWNvbG9neTwvYWJici0xPjwvcGVyaW9kaWNhbD48YWx0LXBlcmlvZGlj
YWw+PGZ1bGwtdGl0bGU+RXhwIENsaW4gUHN5Y2hvcGhhcm1hY29sPC9mdWxsLXRpdGxlPjxhYmJy
LTE+RXhwZXJpbWVudGFsIGFuZCBjbGluaWNhbCBwc3ljaG9waGFybWFjb2xvZ3k8L2FiYnItMT48
L2FsdC1wZXJpb2RpY2FsPjxwYWdlcz4yNDktMjU0PC9wYWdlcz48dm9sdW1lPjI1PC92b2x1bWU+
PG51bWJlcj40PC9udW1iZXI+PGVkaXRpb24+MjAxNy8wNi8yNzwvZWRpdGlvbj48a2V5d29yZHM+
PGtleXdvcmQ+QWRvbGVzY2VudDwva2V5d29yZD48a2V5d29yZD5BZHVsdDwva2V5d29yZD48a2V5
d29yZD5DcmF2aW5nPC9rZXl3b3JkPjxrZXl3b3JkPkNyb3NzLU92ZXIgU3R1ZGllczwva2V5d29y
ZD48a2V5d29yZD4qRWxlY3Ryb25pYyBOaWNvdGluZSBEZWxpdmVyeSBTeXN0ZW1zPC9rZXl3b3Jk
PjxrZXl3b3JkPkZlbWFsZTwva2V5d29yZD48a2V5d29yZD5IdW1hbnM8L2tleXdvcmQ+PGtleXdv
cmQ+TWFsZTwva2V5d29yZD48a2V5d29yZD5OaWNvdGluZS8qYWRtaW5pc3RyYXRpb24gJmFtcDsg
ZG9zYWdlPC9rZXl3b3JkPjxrZXl3b3JkPlNtb2tpbmcgQ2Vzc2F0aW9uLyptZXRob2RzPC9rZXl3
b3JkPjxrZXl3b3JkPipTbW9raW5nIFByZXZlbnRpb248L2tleXdvcmQ+PGtleXdvcmQ+U3Vic3Rh
bmNlIFdpdGhkcmF3YWwgU3luZHJvbWUvZXBpZGVtaW9sb2d5L3RoZXJhcHk8L2tleXdvcmQ+PGtl
eXdvcmQ+U3VydmV5cyBhbmQgUXVlc3Rpb25uYWlyZXM8L2tleXdvcmQ+PGtleXdvcmQ+VG9iYWNj
byBVc2UgQ2Vzc2F0aW9uIFByb2R1Y3RzPC9rZXl3b3JkPjxrZXl3b3JkPlRvYmFjY28gVXNlIERp
c29yZGVyL3JlaGFiaWxpdGF0aW9uPC9rZXl3b3JkPjxrZXl3b3JkPllvdW5nIEFkdWx0PC9rZXl3
b3JkPjwva2V5d29yZHM+PGRhdGVzPjx5ZWFyPjIwMTc8L3llYXI+PHB1Yi1kYXRlcz48ZGF0ZT5B
dWc8L2RhdGU+PC9wdWItZGF0ZXM+PC9kYXRlcz48aXNibj4xMDY0LTEyOTc8L2lzYm4+PGFjY2Vz
c2lvbi1udW0+Mjg2NTAxODQ8L2FjY2Vzc2lvbi1udW0+PHVybHM+PC91cmxzPjxjdXN0b20yPlBN
QzU1NDY5Mzk8L2N1c3RvbTI+PGN1c3RvbTY+TklITVM4NzcwMzU8L2N1c3RvbTY+PGVsZWN0cm9u
aWMtcmVzb3VyY2UtbnVtPjEwLjEwMzcvcGhhMDAwMDEzNDwvZWxlY3Ryb25pYy1yZXNvdXJjZS1u
dW0+PHJlbW90ZS1kYXRhYmFzZS1wcm92aWRlcj5OTE08L3JlbW90ZS1kYXRhYmFzZS1wcm92aWRl
cj48bGFuZ3VhZ2U+ZW5nPC9sYW5ndWFnZT48L3JlY29yZD48L0NpdGU+PC9FbmROb3RlPn==
</w:fldData>
        </w:fldChar>
      </w:r>
      <w:r>
        <w:instrText xml:space="preserve"> ADDIN EN.CITE </w:instrText>
      </w:r>
      <w:r>
        <w:fldChar w:fldCharType="begin">
          <w:fldData xml:space="preserve">PEVuZE5vdGU+PENpdGU+PEF1dGhvcj5QZXJraW5zPC9BdXRob3I+PFllYXI+MjAxNzwvWWVhcj48
UmVjTnVtPjUwODg8L1JlY051bT48RGlzcGxheVRleHQ+KFBlcmtpbnMsIEthcmVsaXR6IGV0IGFs
LiAyMDE3KTwvRGlzcGxheVRleHQ+PHJlY29yZD48cmVjLW51bWJlcj41MDg4PC9yZWMtbnVtYmVy
Pjxmb3JlaWduLWtleXM+PGtleSBhcHA9IkVOIiBkYi1pZD0iOXowNWR6MHByYWFkZnVlZTB6b3h6
ZWRrOXpmZTVmeHg1MHo1IiB0aW1lc3RhbXA9IjE1MjM5MjA5MjAiPjUwODg8L2tleT48L2ZvcmVp
Z24ta2V5cz48cmVmLXR5cGUgbmFtZT0iSm91cm5hbCBBcnRpY2xlIj4xNzwvcmVmLXR5cGU+PGNv
bnRyaWJ1dG9ycz48YXV0aG9ycz48YXV0aG9yPlBlcmtpbnMsIEsuIEEuPC9hdXRob3I+PGF1dGhv
cj5LYXJlbGl0eiwgSi4gTC48L2F1dGhvcj48YXV0aG9yPk1pY2hhZWwsIFYuIEMuPC9hdXRob3I+
PC9hdXRob3JzPjwvY29udHJpYnV0b3JzPjxhdXRoLWFkZHJlc3M+RGVwYXJ0bWVudCBvZiBQc3lj
aGlhdHJ5LCBVbml2ZXJzaXR5IG9mIFBpdHRzYnVyZ2guPC9hdXRoLWFkZHJlc3M+PHRpdGxlcz48
dGl0bGU+RWZmZWN0cyBvZiBuaWNvdGluZSB2ZXJzdXMgcGxhY2VibyBlLWNpZ2FyZXR0ZSB1c2Ug
b24gc3ltcHRvbSByZWxpZWYgZHVyaW5nIGluaXRpYWwgdG9iYWNjbyBhYnN0aW5lbmNlPC90aXRs
ZT48c2Vjb25kYXJ5LXRpdGxlPkV4cCBDbGluIFBzeWNob3BoYXJtYWNvbDwvc2Vjb25kYXJ5LXRp
dGxlPjxhbHQtdGl0bGU+RXhwZXJpbWVudGFsIGFuZCBjbGluaWNhbCBwc3ljaG9waGFybWFjb2xv
Z3k8L2FsdC10aXRsZT48L3RpdGxlcz48cGVyaW9kaWNhbD48ZnVsbC10aXRsZT5FeHAgQ2xpbiBQ
c3ljaG9waGFybWFjb2w8L2Z1bGwtdGl0bGU+PGFiYnItMT5FeHBlcmltZW50YWwgYW5kIGNsaW5p
Y2FsIHBzeWNob3BoYXJtYWNvbG9neTwvYWJici0xPjwvcGVyaW9kaWNhbD48YWx0LXBlcmlvZGlj
YWw+PGZ1bGwtdGl0bGU+RXhwIENsaW4gUHN5Y2hvcGhhcm1hY29sPC9mdWxsLXRpdGxlPjxhYmJy
LTE+RXhwZXJpbWVudGFsIGFuZCBjbGluaWNhbCBwc3ljaG9waGFybWFjb2xvZ3k8L2FiYnItMT48
L2FsdC1wZXJpb2RpY2FsPjxwYWdlcz4yNDktMjU0PC9wYWdlcz48dm9sdW1lPjI1PC92b2x1bWU+
PG51bWJlcj40PC9udW1iZXI+PGVkaXRpb24+MjAxNy8wNi8yNzwvZWRpdGlvbj48a2V5d29yZHM+
PGtleXdvcmQ+QWRvbGVzY2VudDwva2V5d29yZD48a2V5d29yZD5BZHVsdDwva2V5d29yZD48a2V5
d29yZD5DcmF2aW5nPC9rZXl3b3JkPjxrZXl3b3JkPkNyb3NzLU92ZXIgU3R1ZGllczwva2V5d29y
ZD48a2V5d29yZD4qRWxlY3Ryb25pYyBOaWNvdGluZSBEZWxpdmVyeSBTeXN0ZW1zPC9rZXl3b3Jk
PjxrZXl3b3JkPkZlbWFsZTwva2V5d29yZD48a2V5d29yZD5IdW1hbnM8L2tleXdvcmQ+PGtleXdv
cmQ+TWFsZTwva2V5d29yZD48a2V5d29yZD5OaWNvdGluZS8qYWRtaW5pc3RyYXRpb24gJmFtcDsg
ZG9zYWdlPC9rZXl3b3JkPjxrZXl3b3JkPlNtb2tpbmcgQ2Vzc2F0aW9uLyptZXRob2RzPC9rZXl3
b3JkPjxrZXl3b3JkPipTbW9raW5nIFByZXZlbnRpb248L2tleXdvcmQ+PGtleXdvcmQ+U3Vic3Rh
bmNlIFdpdGhkcmF3YWwgU3luZHJvbWUvZXBpZGVtaW9sb2d5L3RoZXJhcHk8L2tleXdvcmQ+PGtl
eXdvcmQ+U3VydmV5cyBhbmQgUXVlc3Rpb25uYWlyZXM8L2tleXdvcmQ+PGtleXdvcmQ+VG9iYWNj
byBVc2UgQ2Vzc2F0aW9uIFByb2R1Y3RzPC9rZXl3b3JkPjxrZXl3b3JkPlRvYmFjY28gVXNlIERp
c29yZGVyL3JlaGFiaWxpdGF0aW9uPC9rZXl3b3JkPjxrZXl3b3JkPllvdW5nIEFkdWx0PC9rZXl3
b3JkPjwva2V5d29yZHM+PGRhdGVzPjx5ZWFyPjIwMTc8L3llYXI+PHB1Yi1kYXRlcz48ZGF0ZT5B
dWc8L2RhdGU+PC9wdWItZGF0ZXM+PC9kYXRlcz48aXNibj4xMDY0LTEyOTc8L2lzYm4+PGFjY2Vz
c2lvbi1udW0+Mjg2NTAxODQ8L2FjY2Vzc2lvbi1udW0+PHVybHM+PC91cmxzPjxjdXN0b20yPlBN
QzU1NDY5Mzk8L2N1c3RvbTI+PGN1c3RvbTY+TklITVM4NzcwMzU8L2N1c3RvbTY+PGVsZWN0cm9u
aWMtcmVzb3VyY2UtbnVtPjEwLjEwMzcvcGhhMDAwMDEzNDwvZWxlY3Ryb25pYy1yZXNvdXJjZS1u
dW0+PHJlbW90ZS1kYXRhYmFzZS1wcm92aWRlcj5OTE08L3JlbW90ZS1kYXRhYmFzZS1wcm92aWRl
cj48bGFuZ3VhZ2U+ZW5nPC9sYW5ndWFnZT48L3JlY29yZD48L0NpdGU+PC9FbmROb3RlPn==
</w:fldData>
        </w:fldChar>
      </w:r>
      <w:r>
        <w:instrText xml:space="preserve"> ADDIN EN.CITE.DATA </w:instrText>
      </w:r>
      <w:r>
        <w:fldChar w:fldCharType="end"/>
      </w:r>
      <w:r>
        <w:fldChar w:fldCharType="separate"/>
      </w:r>
      <w:r>
        <w:rPr>
          <w:noProof/>
        </w:rPr>
        <w:t>(Perkins, Karelitz et al. 2017)</w:t>
      </w:r>
      <w:r>
        <w:fldChar w:fldCharType="end"/>
      </w:r>
      <w:r>
        <w:t>. Blinding was not reported by the authors. Participants were 58% male with a mean age of 29.4</w:t>
      </w:r>
      <w:r w:rsidRPr="00AD555D">
        <w:t>(</w:t>
      </w:r>
      <w:r>
        <w:rPr>
          <w:rFonts w:cs="Calibri"/>
        </w:rPr>
        <w:t>±</w:t>
      </w:r>
      <w:r w:rsidRPr="00AD555D">
        <w:t>11.3)</w:t>
      </w:r>
      <w:r>
        <w:t xml:space="preserve"> years. Participants were randomised to treatment order and received either a nicotine</w:t>
      </w:r>
      <w:r>
        <w:noBreakHyphen/>
        <w:t>containing (mg/mL nicotine) or nicotine</w:t>
      </w:r>
      <w:r>
        <w:noBreakHyphen/>
        <w:t>free e</w:t>
      </w:r>
      <w:r>
        <w:noBreakHyphen/>
        <w:t xml:space="preserve">cigarette device for </w:t>
      </w:r>
      <w:r w:rsidR="000E5C99">
        <w:t>three</w:t>
      </w:r>
      <w:r>
        <w:t xml:space="preserve"> days. While withdrawal and cravings were reduced in the nicotine vs placebo group, ability to temporarily quit smoking did not differ between groups (</w:t>
      </w:r>
      <w:r w:rsidRPr="0017651E">
        <w:t>2.9 ± 0.3 vs. 2.3 ± 0.3</w:t>
      </w:r>
      <w:r>
        <w:t xml:space="preserve"> days, </w:t>
      </w:r>
      <w:r w:rsidRPr="0017651E">
        <w:rPr>
          <w:i/>
        </w:rPr>
        <w:t>t</w:t>
      </w:r>
      <w:r w:rsidRPr="0017651E">
        <w:t>(82)</w:t>
      </w:r>
      <w:r>
        <w:t>=</w:t>
      </w:r>
      <w:r w:rsidRPr="0017651E">
        <w:t>1.6, ns.</w:t>
      </w:r>
      <w:r>
        <w:t xml:space="preserve">) </w:t>
      </w:r>
      <w:r>
        <w:fldChar w:fldCharType="begin">
          <w:fldData xml:space="preserve">PEVuZE5vdGU+PENpdGU+PEF1dGhvcj5QZXJraW5zPC9BdXRob3I+PFllYXI+MjAxNzwvWWVhcj48
UmVjTnVtPjUwODg8L1JlY051bT48RGlzcGxheVRleHQ+KFBlcmtpbnMsIEthcmVsaXR6IGV0IGFs
LiAyMDE3KTwvRGlzcGxheVRleHQ+PHJlY29yZD48cmVjLW51bWJlcj41MDg4PC9yZWMtbnVtYmVy
Pjxmb3JlaWduLWtleXM+PGtleSBhcHA9IkVOIiBkYi1pZD0iOXowNWR6MHByYWFkZnVlZTB6b3h6
ZWRrOXpmZTVmeHg1MHo1IiB0aW1lc3RhbXA9IjE1MjM5MjA5MjAiPjUwODg8L2tleT48L2ZvcmVp
Z24ta2V5cz48cmVmLXR5cGUgbmFtZT0iSm91cm5hbCBBcnRpY2xlIj4xNzwvcmVmLXR5cGU+PGNv
bnRyaWJ1dG9ycz48YXV0aG9ycz48YXV0aG9yPlBlcmtpbnMsIEsuIEEuPC9hdXRob3I+PGF1dGhv
cj5LYXJlbGl0eiwgSi4gTC48L2F1dGhvcj48YXV0aG9yPk1pY2hhZWwsIFYuIEMuPC9hdXRob3I+
PC9hdXRob3JzPjwvY29udHJpYnV0b3JzPjxhdXRoLWFkZHJlc3M+RGVwYXJ0bWVudCBvZiBQc3lj
aGlhdHJ5LCBVbml2ZXJzaXR5IG9mIFBpdHRzYnVyZ2guPC9hdXRoLWFkZHJlc3M+PHRpdGxlcz48
dGl0bGU+RWZmZWN0cyBvZiBuaWNvdGluZSB2ZXJzdXMgcGxhY2VibyBlLWNpZ2FyZXR0ZSB1c2Ug
b24gc3ltcHRvbSByZWxpZWYgZHVyaW5nIGluaXRpYWwgdG9iYWNjbyBhYnN0aW5lbmNlPC90aXRs
ZT48c2Vjb25kYXJ5LXRpdGxlPkV4cCBDbGluIFBzeWNob3BoYXJtYWNvbDwvc2Vjb25kYXJ5LXRp
dGxlPjxhbHQtdGl0bGU+RXhwZXJpbWVudGFsIGFuZCBjbGluaWNhbCBwc3ljaG9waGFybWFjb2xv
Z3k8L2FsdC10aXRsZT48L3RpdGxlcz48cGVyaW9kaWNhbD48ZnVsbC10aXRsZT5FeHAgQ2xpbiBQ
c3ljaG9waGFybWFjb2w8L2Z1bGwtdGl0bGU+PGFiYnItMT5FeHBlcmltZW50YWwgYW5kIGNsaW5p
Y2FsIHBzeWNob3BoYXJtYWNvbG9neTwvYWJici0xPjwvcGVyaW9kaWNhbD48YWx0LXBlcmlvZGlj
YWw+PGZ1bGwtdGl0bGU+RXhwIENsaW4gUHN5Y2hvcGhhcm1hY29sPC9mdWxsLXRpdGxlPjxhYmJy
LTE+RXhwZXJpbWVudGFsIGFuZCBjbGluaWNhbCBwc3ljaG9waGFybWFjb2xvZ3k8L2FiYnItMT48
L2FsdC1wZXJpb2RpY2FsPjxwYWdlcz4yNDktMjU0PC9wYWdlcz48dm9sdW1lPjI1PC92b2x1bWU+
PG51bWJlcj40PC9udW1iZXI+PGVkaXRpb24+MjAxNy8wNi8yNzwvZWRpdGlvbj48a2V5d29yZHM+
PGtleXdvcmQ+QWRvbGVzY2VudDwva2V5d29yZD48a2V5d29yZD5BZHVsdDwva2V5d29yZD48a2V5
d29yZD5DcmF2aW5nPC9rZXl3b3JkPjxrZXl3b3JkPkNyb3NzLU92ZXIgU3R1ZGllczwva2V5d29y
ZD48a2V5d29yZD4qRWxlY3Ryb25pYyBOaWNvdGluZSBEZWxpdmVyeSBTeXN0ZW1zPC9rZXl3b3Jk
PjxrZXl3b3JkPkZlbWFsZTwva2V5d29yZD48a2V5d29yZD5IdW1hbnM8L2tleXdvcmQ+PGtleXdv
cmQ+TWFsZTwva2V5d29yZD48a2V5d29yZD5OaWNvdGluZS8qYWRtaW5pc3RyYXRpb24gJmFtcDsg
ZG9zYWdlPC9rZXl3b3JkPjxrZXl3b3JkPlNtb2tpbmcgQ2Vzc2F0aW9uLyptZXRob2RzPC9rZXl3
b3JkPjxrZXl3b3JkPipTbW9raW5nIFByZXZlbnRpb248L2tleXdvcmQ+PGtleXdvcmQ+U3Vic3Rh
bmNlIFdpdGhkcmF3YWwgU3luZHJvbWUvZXBpZGVtaW9sb2d5L3RoZXJhcHk8L2tleXdvcmQ+PGtl
eXdvcmQ+U3VydmV5cyBhbmQgUXVlc3Rpb25uYWlyZXM8L2tleXdvcmQ+PGtleXdvcmQ+VG9iYWNj
byBVc2UgQ2Vzc2F0aW9uIFByb2R1Y3RzPC9rZXl3b3JkPjxrZXl3b3JkPlRvYmFjY28gVXNlIERp
c29yZGVyL3JlaGFiaWxpdGF0aW9uPC9rZXl3b3JkPjxrZXl3b3JkPllvdW5nIEFkdWx0PC9rZXl3
b3JkPjwva2V5d29yZHM+PGRhdGVzPjx5ZWFyPjIwMTc8L3llYXI+PHB1Yi1kYXRlcz48ZGF0ZT5B
dWc8L2RhdGU+PC9wdWItZGF0ZXM+PC9kYXRlcz48aXNibj4xMDY0LTEyOTc8L2lzYm4+PGFjY2Vz
c2lvbi1udW0+Mjg2NTAxODQ8L2FjY2Vzc2lvbi1udW0+PHVybHM+PC91cmxzPjxjdXN0b20yPlBN
QzU1NDY5Mzk8L2N1c3RvbTI+PGN1c3RvbTY+TklITVM4NzcwMzU8L2N1c3RvbTY+PGVsZWN0cm9u
aWMtcmVzb3VyY2UtbnVtPjEwLjEwMzcvcGhhMDAwMDEzNDwvZWxlY3Ryb25pYy1yZXNvdXJjZS1u
dW0+PHJlbW90ZS1kYXRhYmFzZS1wcm92aWRlcj5OTE08L3JlbW90ZS1kYXRhYmFzZS1wcm92aWRl
cj48bGFuZ3VhZ2U+ZW5nPC9sYW5ndWFnZT48L3JlY29yZD48L0NpdGU+PC9FbmROb3RlPn==
</w:fldData>
        </w:fldChar>
      </w:r>
      <w:r>
        <w:instrText xml:space="preserve"> ADDIN EN.CITE </w:instrText>
      </w:r>
      <w:r>
        <w:fldChar w:fldCharType="begin">
          <w:fldData xml:space="preserve">PEVuZE5vdGU+PENpdGU+PEF1dGhvcj5QZXJraW5zPC9BdXRob3I+PFllYXI+MjAxNzwvWWVhcj48
UmVjTnVtPjUwODg8L1JlY051bT48RGlzcGxheVRleHQ+KFBlcmtpbnMsIEthcmVsaXR6IGV0IGFs
LiAyMDE3KTwvRGlzcGxheVRleHQ+PHJlY29yZD48cmVjLW51bWJlcj41MDg4PC9yZWMtbnVtYmVy
Pjxmb3JlaWduLWtleXM+PGtleSBhcHA9IkVOIiBkYi1pZD0iOXowNWR6MHByYWFkZnVlZTB6b3h6
ZWRrOXpmZTVmeHg1MHo1IiB0aW1lc3RhbXA9IjE1MjM5MjA5MjAiPjUwODg8L2tleT48L2ZvcmVp
Z24ta2V5cz48cmVmLXR5cGUgbmFtZT0iSm91cm5hbCBBcnRpY2xlIj4xNzwvcmVmLXR5cGU+PGNv
bnRyaWJ1dG9ycz48YXV0aG9ycz48YXV0aG9yPlBlcmtpbnMsIEsuIEEuPC9hdXRob3I+PGF1dGhv
cj5LYXJlbGl0eiwgSi4gTC48L2F1dGhvcj48YXV0aG9yPk1pY2hhZWwsIFYuIEMuPC9hdXRob3I+
PC9hdXRob3JzPjwvY29udHJpYnV0b3JzPjxhdXRoLWFkZHJlc3M+RGVwYXJ0bWVudCBvZiBQc3lj
aGlhdHJ5LCBVbml2ZXJzaXR5IG9mIFBpdHRzYnVyZ2guPC9hdXRoLWFkZHJlc3M+PHRpdGxlcz48
dGl0bGU+RWZmZWN0cyBvZiBuaWNvdGluZSB2ZXJzdXMgcGxhY2VibyBlLWNpZ2FyZXR0ZSB1c2Ug
b24gc3ltcHRvbSByZWxpZWYgZHVyaW5nIGluaXRpYWwgdG9iYWNjbyBhYnN0aW5lbmNlPC90aXRs
ZT48c2Vjb25kYXJ5LXRpdGxlPkV4cCBDbGluIFBzeWNob3BoYXJtYWNvbDwvc2Vjb25kYXJ5LXRp
dGxlPjxhbHQtdGl0bGU+RXhwZXJpbWVudGFsIGFuZCBjbGluaWNhbCBwc3ljaG9waGFybWFjb2xv
Z3k8L2FsdC10aXRsZT48L3RpdGxlcz48cGVyaW9kaWNhbD48ZnVsbC10aXRsZT5FeHAgQ2xpbiBQ
c3ljaG9waGFybWFjb2w8L2Z1bGwtdGl0bGU+PGFiYnItMT5FeHBlcmltZW50YWwgYW5kIGNsaW5p
Y2FsIHBzeWNob3BoYXJtYWNvbG9neTwvYWJici0xPjwvcGVyaW9kaWNhbD48YWx0LXBlcmlvZGlj
YWw+PGZ1bGwtdGl0bGU+RXhwIENsaW4gUHN5Y2hvcGhhcm1hY29sPC9mdWxsLXRpdGxlPjxhYmJy
LTE+RXhwZXJpbWVudGFsIGFuZCBjbGluaWNhbCBwc3ljaG9waGFybWFjb2xvZ3k8L2FiYnItMT48
L2FsdC1wZXJpb2RpY2FsPjxwYWdlcz4yNDktMjU0PC9wYWdlcz48dm9sdW1lPjI1PC92b2x1bWU+
PG51bWJlcj40PC9udW1iZXI+PGVkaXRpb24+MjAxNy8wNi8yNzwvZWRpdGlvbj48a2V5d29yZHM+
PGtleXdvcmQ+QWRvbGVzY2VudDwva2V5d29yZD48a2V5d29yZD5BZHVsdDwva2V5d29yZD48a2V5
d29yZD5DcmF2aW5nPC9rZXl3b3JkPjxrZXl3b3JkPkNyb3NzLU92ZXIgU3R1ZGllczwva2V5d29y
ZD48a2V5d29yZD4qRWxlY3Ryb25pYyBOaWNvdGluZSBEZWxpdmVyeSBTeXN0ZW1zPC9rZXl3b3Jk
PjxrZXl3b3JkPkZlbWFsZTwva2V5d29yZD48a2V5d29yZD5IdW1hbnM8L2tleXdvcmQ+PGtleXdv
cmQ+TWFsZTwva2V5d29yZD48a2V5d29yZD5OaWNvdGluZS8qYWRtaW5pc3RyYXRpb24gJmFtcDsg
ZG9zYWdlPC9rZXl3b3JkPjxrZXl3b3JkPlNtb2tpbmcgQ2Vzc2F0aW9uLyptZXRob2RzPC9rZXl3
b3JkPjxrZXl3b3JkPipTbW9raW5nIFByZXZlbnRpb248L2tleXdvcmQ+PGtleXdvcmQ+U3Vic3Rh
bmNlIFdpdGhkcmF3YWwgU3luZHJvbWUvZXBpZGVtaW9sb2d5L3RoZXJhcHk8L2tleXdvcmQ+PGtl
eXdvcmQ+U3VydmV5cyBhbmQgUXVlc3Rpb25uYWlyZXM8L2tleXdvcmQ+PGtleXdvcmQ+VG9iYWNj
byBVc2UgQ2Vzc2F0aW9uIFByb2R1Y3RzPC9rZXl3b3JkPjxrZXl3b3JkPlRvYmFjY28gVXNlIERp
c29yZGVyL3JlaGFiaWxpdGF0aW9uPC9rZXl3b3JkPjxrZXl3b3JkPllvdW5nIEFkdWx0PC9rZXl3
b3JkPjwva2V5d29yZHM+PGRhdGVzPjx5ZWFyPjIwMTc8L3llYXI+PHB1Yi1kYXRlcz48ZGF0ZT5B
dWc8L2RhdGU+PC9wdWItZGF0ZXM+PC9kYXRlcz48aXNibj4xMDY0LTEyOTc8L2lzYm4+PGFjY2Vz
c2lvbi1udW0+Mjg2NTAxODQ8L2FjY2Vzc2lvbi1udW0+PHVybHM+PC91cmxzPjxjdXN0b20yPlBN
QzU1NDY5Mzk8L2N1c3RvbTI+PGN1c3RvbTY+TklITVM4NzcwMzU8L2N1c3RvbTY+PGVsZWN0cm9u
aWMtcmVzb3VyY2UtbnVtPjEwLjEwMzcvcGhhMDAwMDEzNDwvZWxlY3Ryb25pYy1yZXNvdXJjZS1u
dW0+PHJlbW90ZS1kYXRhYmFzZS1wcm92aWRlcj5OTE08L3JlbW90ZS1kYXRhYmFzZS1wcm92aWRl
cj48bGFuZ3VhZ2U+ZW5nPC9sYW5ndWFnZT48L3JlY29yZD48L0NpdGU+PC9FbmROb3RlPn==
</w:fldData>
        </w:fldChar>
      </w:r>
      <w:r>
        <w:instrText xml:space="preserve"> ADDIN EN.CITE.DATA </w:instrText>
      </w:r>
      <w:r>
        <w:fldChar w:fldCharType="end"/>
      </w:r>
      <w:r>
        <w:fldChar w:fldCharType="separate"/>
      </w:r>
      <w:r>
        <w:rPr>
          <w:noProof/>
        </w:rPr>
        <w:t>(Perkins, Karelitz et al. 2017)</w:t>
      </w:r>
      <w:r>
        <w:fldChar w:fldCharType="end"/>
      </w:r>
      <w:r>
        <w:t xml:space="preserve">. </w:t>
      </w:r>
    </w:p>
    <w:p w14:paraId="39200F69" w14:textId="77777777" w:rsidR="002738DD" w:rsidRDefault="002738DD" w:rsidP="002738DD">
      <w:pPr>
        <w:pStyle w:val="BodyText"/>
      </w:pPr>
    </w:p>
    <w:p w14:paraId="1DFC0610" w14:textId="77777777" w:rsidR="002738DD" w:rsidRDefault="002738DD" w:rsidP="002738DD">
      <w:pPr>
        <w:pStyle w:val="Heading3"/>
      </w:pPr>
      <w:r>
        <w:t>Non-randomised trial</w:t>
      </w:r>
    </w:p>
    <w:p w14:paraId="68816243" w14:textId="4E508CCA" w:rsidR="002738DD" w:rsidRDefault="002738DD" w:rsidP="002738DD">
      <w:pPr>
        <w:pStyle w:val="BodyText"/>
      </w:pPr>
      <w:r>
        <w:t>One trial recruited 74 smokers and 74 dual e</w:t>
      </w:r>
      <w:r>
        <w:noBreakHyphen/>
        <w:t>cigarette and cigarette smokers through Facebook ads and point</w:t>
      </w:r>
      <w:r>
        <w:noBreakHyphen/>
        <w:t>of</w:t>
      </w:r>
      <w:r>
        <w:noBreakHyphen/>
        <w:t>purchase convenience stores in Wisconsin, USA. Participants were 49.3% female; age and recruitment rate was not reported. Smokers were divided into e</w:t>
      </w:r>
      <w:r>
        <w:noBreakHyphen/>
        <w:t>cigarette users and non</w:t>
      </w:r>
      <w:r>
        <w:noBreakHyphen/>
        <w:t xml:space="preserve">users and were asked to attempt </w:t>
      </w:r>
      <w:r w:rsidR="000E5C99">
        <w:t>three</w:t>
      </w:r>
      <w:r>
        <w:t xml:space="preserve"> days of smoking cessation. Dual users were more able to achieve 100% smoking abstinence for </w:t>
      </w:r>
      <w:r w:rsidR="000E5C99">
        <w:t>three</w:t>
      </w:r>
      <w:r>
        <w:t xml:space="preserve"> days than non</w:t>
      </w:r>
      <w:r>
        <w:noBreakHyphen/>
        <w:t>users (97.1% vs. 81.2%)</w:t>
      </w:r>
      <w:r w:rsidRPr="00574BF5">
        <w:t xml:space="preserve"> </w:t>
      </w:r>
      <w:r>
        <w:fldChar w:fldCharType="begin">
          <w:fldData xml:space="preserve">PEVuZE5vdGU+PENpdGU+PEF1dGhvcj5Kb3JlbmJ5PC9BdXRob3I+PFllYXI+MjAxNzwvWWVhcj48
UmVjTnVtPjU0OTE8L1JlY051bT48RGlzcGxheVRleHQ+KEpvcmVuYnksIFNtaXRoIGV0IGFsLiAy
MDE3KTwvRGlzcGxheVRleHQ+PHJlY29yZD48cmVjLW51bWJlcj41NDkxPC9yZWMtbnVtYmVyPjxm
b3JlaWduLWtleXM+PGtleSBhcHA9IkVOIiBkYi1pZD0iOXowNWR6MHByYWFkZnVlZTB6b3h6ZWRr
OXpmZTVmeHg1MHo1IiB0aW1lc3RhbXA9IjE1MjM5MjA5NjUiPjU0OTE8L2tleT48L2ZvcmVpZ24t
a2V5cz48cmVmLXR5cGUgbmFtZT0iSm91cm5hbCBBcnRpY2xlIj4xNzwvcmVmLXR5cGU+PGNvbnRy
aWJ1dG9ycz48YXV0aG9ycz48YXV0aG9yPkpvcmVuYnksIEQuIEUuPC9hdXRob3I+PGF1dGhvcj5T
bWl0aCwgUy4gUy48L2F1dGhvcj48YXV0aG9yPkZpb3JlLCBNLiBDLjwvYXV0aG9yPjxhdXRob3I+
QmFrZXIsIFQuIEIuPC9hdXRob3I+PC9hdXRob3JzPjwvY29udHJpYnV0b3JzPjxhdXRoLWFkZHJl
c3M+RGl2aXNpb24gb2YgR2VuZXJhbCBJbnRlcm5hbCBNZWRpY2luZSwgRGVwYXJ0bWVudCBvZiBN
ZWRpY2luZSwgVW5pdmVyc2l0eSBvZiBXaXNjb25zaW4gU2Nob29sIG9mIE1lZGljaW5lIGFuZCBQ
dWJsaWMgSGVhbHRoLCBDZW50ZXIgZm9yIFRvYmFjY28gUmVzZWFyY2ggYW5kIEludGVydmVudGlv
biwgMTkzMCBNb25yb2UgU3QuLCBTdWl0ZSAyMDAsIE1hZGlzb24sIFdJIDUzNzExLCBVbml0ZWQg
U3RhdGVzLiBFbGVjdHJvbmljIGFkZHJlc3M6IERlakBjdHJpLndpc2MuZWR1LiYjeEQ7RGl2aXNp
b24gb2YgR2VuZXJhbCBJbnRlcm5hbCBNZWRpY2luZSwgRGVwYXJ0bWVudCBvZiBNZWRpY2luZSwg
VW5pdmVyc2l0eSBvZiBXaXNjb25zaW4gU2Nob29sIG9mIE1lZGljaW5lIGFuZCBQdWJsaWMgSGVh
bHRoLCBDZW50ZXIgZm9yIFRvYmFjY28gUmVzZWFyY2ggYW5kIEludGVydmVudGlvbiwgMTkzMCBN
b25yb2UgU3QuLCBTdWl0ZSAyMDAsIE1hZGlzb24sIFdJIDUzNzExLCBVbml0ZWQgU3RhdGVzLjwv
YXV0aC1hZGRyZXNzPjx0aXRsZXM+PHRpdGxlPk5pY290aW5lIGxldmVscywgd2l0aGRyYXdhbCBz
eW1wdG9tcywgYW5kIHNtb2tpbmcgcmVkdWN0aW9uIHN1Y2Nlc3MgaW4gcmVhbCB3b3JsZCB1c2U6
IEEgY29tcGFyaXNvbiBvZiBjaWdhcmV0dGUgc21va2VycyBhbmQgZHVhbCB1c2VycyBvZiBib3Ro
IGNpZ2FyZXR0ZXMgYW5kIEUtY2lnYXJldHRlczwvdGl0bGU+PHNlY29uZGFyeS10aXRsZT5EcnVn
IEFsY29ob2wgRGVwZW5kPC9zZWNvbmRhcnktdGl0bGU+PGFsdC10aXRsZT5EcnVnIGFuZCBhbGNv
aG9sIGRlcGVuZGVuY2U8L2FsdC10aXRsZT48L3RpdGxlcz48YWx0LXBlcmlvZGljYWw+PGZ1bGwt
dGl0bGU+RHJ1ZyBhbmQgQWxjb2hvbCBEZXBlbmRlbmNlPC9mdWxsLXRpdGxlPjwvYWx0LXBlcmlv
ZGljYWw+PHBhZ2VzPjkzLTEwMTwvcGFnZXM+PHZvbHVtZT4xNzA8L3ZvbHVtZT48ZWRpdGlvbj4y
MDE2LzExLzI1PC9lZGl0aW9uPjxrZXl3b3Jkcz48a2V5d29yZD5BZHVsdDwva2V5d29yZD48a2V5
d29yZD5DcmF2aW5nPC9rZXl3b3JkPjxrZXl3b3JkPipFbGVjdHJvbmljIE5pY290aW5lIERlbGl2
ZXJ5IFN5c3RlbXM8L2tleXdvcmQ+PGtleXdvcmQ+RmVtYWxlPC9rZXl3b3JkPjxrZXl3b3JkPkh1
bWFuczwva2V5d29yZD48a2V5d29yZD5NYWxlPC9rZXl3b3JkPjxrZXl3b3JkPk1pZGRsZSBBZ2Vk
PC9rZXl3b3JkPjxrZXl3b3JkPk5pY290aW5lLypibG9vZC90aGVyYXBldXRpYyB1c2U8L2tleXdv
cmQ+PGtleXdvcmQ+U21va2luZy8qYmxvb2QvcHN5Y2hvbG9neTwva2V5d29yZD48a2V5d29yZD4q
U21va2luZyBDZXNzYXRpb248L2tleXdvcmQ+PGtleXdvcmQ+U3Vic3RhbmNlIFdpdGhkcmF3YWwg
U3luZHJvbWUvKmJsb29kL2RydWcgdGhlcmFweS9wc3ljaG9sb2d5PC9rZXl3b3JkPjxrZXl3b3Jk
PipUb2JhY2NvIFByb2R1Y3RzPC9rZXl3b3JkPjxrZXl3b3JkPlRvYmFjY28gVXNlIERpc29yZGVy
LypibG9vZC9wc3ljaG9sb2d5PC9rZXl3b3JkPjxrZXl3b3JkPllvdW5nIEFkdWx0PC9rZXl3b3Jk
PjxrZXl3b3JkPipDaWdhcmV0dGUgc21va2luZzwva2V5d29yZD48a2V5d29yZD4qRHVhbCB1c2U8
L2tleXdvcmQ+PGtleXdvcmQ+KkdlbmRlciBkaWZmZXJlbmNlczwva2V5d29yZD48a2V5d29yZD4q
Tmljb3RpbmU8L2tleXdvcmQ+PGtleXdvcmQ+Kk5pY290aW5lIGRlcGVuZGVuY2U8L2tleXdvcmQ+
PGtleXdvcmQ+KmUtY2lnYXJldHRlczwva2V5d29yZD48L2tleXdvcmRzPjxkYXRlcz48eWVhcj4y
MDE3PC95ZWFyPjxwdWItZGF0ZXM+PGRhdGU+SmFuIDE8L2RhdGU+PC9wdWItZGF0ZXM+PC9kYXRl
cz48aXNibj4wMzc2LTg3MTY8L2lzYm4+PGFjY2Vzc2lvbi1udW0+Mjc4ODM5NDk8L2FjY2Vzc2lv
bi1udW0+PHVybHM+PHJlbGF0ZWQtdXJscz48dXJsPmh0dHBzOi8vd3d3Lm5jYmkubmxtLm5paC5n
b3YvcG1jL2FydGljbGVzL1BNQzUxODM1NDYvcGRmL25paG1zODI3NDU4LnBkZjwvdXJsPjwvcmVs
YXRlZC11cmxzPjwvdXJscz48Y3VzdG9tMj5QTUM1MTgzNTQ2PC9jdXN0b20yPjxjdXN0b202Pk5J
SE1TODI3NDU4PC9jdXN0b202PjxlbGVjdHJvbmljLXJlc291cmNlLW51bT4xMC4xMDE2L2ouZHJ1
Z2FsY2RlcC4yMDE2LjEwLjA0MTwvZWxlY3Ryb25pYy1yZXNvdXJjZS1udW0+PHJlbW90ZS1kYXRh
YmFzZS1wcm92aWRlcj5OTE08L3JlbW90ZS1kYXRhYmFzZS1wcm92aWRlcj48bGFuZ3VhZ2U+ZW5n
PC9sYW5ndWFnZT48L3JlY29yZD48L0NpdGU+PC9FbmROb3RlPgB=
</w:fldData>
        </w:fldChar>
      </w:r>
      <w:r>
        <w:instrText xml:space="preserve"> ADDIN EN.CITE </w:instrText>
      </w:r>
      <w:r>
        <w:fldChar w:fldCharType="begin">
          <w:fldData xml:space="preserve">PEVuZE5vdGU+PENpdGU+PEF1dGhvcj5Kb3JlbmJ5PC9BdXRob3I+PFllYXI+MjAxNzwvWWVhcj48
UmVjTnVtPjU0OTE8L1JlY051bT48RGlzcGxheVRleHQ+KEpvcmVuYnksIFNtaXRoIGV0IGFsLiAy
MDE3KTwvRGlzcGxheVRleHQ+PHJlY29yZD48cmVjLW51bWJlcj41NDkxPC9yZWMtbnVtYmVyPjxm
b3JlaWduLWtleXM+PGtleSBhcHA9IkVOIiBkYi1pZD0iOXowNWR6MHByYWFkZnVlZTB6b3h6ZWRr
OXpmZTVmeHg1MHo1IiB0aW1lc3RhbXA9IjE1MjM5MjA5NjUiPjU0OTE8L2tleT48L2ZvcmVpZ24t
a2V5cz48cmVmLXR5cGUgbmFtZT0iSm91cm5hbCBBcnRpY2xlIj4xNzwvcmVmLXR5cGU+PGNvbnRy
aWJ1dG9ycz48YXV0aG9ycz48YXV0aG9yPkpvcmVuYnksIEQuIEUuPC9hdXRob3I+PGF1dGhvcj5T
bWl0aCwgUy4gUy48L2F1dGhvcj48YXV0aG9yPkZpb3JlLCBNLiBDLjwvYXV0aG9yPjxhdXRob3I+
QmFrZXIsIFQuIEIuPC9hdXRob3I+PC9hdXRob3JzPjwvY29udHJpYnV0b3JzPjxhdXRoLWFkZHJl
c3M+RGl2aXNpb24gb2YgR2VuZXJhbCBJbnRlcm5hbCBNZWRpY2luZSwgRGVwYXJ0bWVudCBvZiBN
ZWRpY2luZSwgVW5pdmVyc2l0eSBvZiBXaXNjb25zaW4gU2Nob29sIG9mIE1lZGljaW5lIGFuZCBQ
dWJsaWMgSGVhbHRoLCBDZW50ZXIgZm9yIFRvYmFjY28gUmVzZWFyY2ggYW5kIEludGVydmVudGlv
biwgMTkzMCBNb25yb2UgU3QuLCBTdWl0ZSAyMDAsIE1hZGlzb24sIFdJIDUzNzExLCBVbml0ZWQg
U3RhdGVzLiBFbGVjdHJvbmljIGFkZHJlc3M6IERlakBjdHJpLndpc2MuZWR1LiYjeEQ7RGl2aXNp
b24gb2YgR2VuZXJhbCBJbnRlcm5hbCBNZWRpY2luZSwgRGVwYXJ0bWVudCBvZiBNZWRpY2luZSwg
VW5pdmVyc2l0eSBvZiBXaXNjb25zaW4gU2Nob29sIG9mIE1lZGljaW5lIGFuZCBQdWJsaWMgSGVh
bHRoLCBDZW50ZXIgZm9yIFRvYmFjY28gUmVzZWFyY2ggYW5kIEludGVydmVudGlvbiwgMTkzMCBN
b25yb2UgU3QuLCBTdWl0ZSAyMDAsIE1hZGlzb24sIFdJIDUzNzExLCBVbml0ZWQgU3RhdGVzLjwv
YXV0aC1hZGRyZXNzPjx0aXRsZXM+PHRpdGxlPk5pY290aW5lIGxldmVscywgd2l0aGRyYXdhbCBz
eW1wdG9tcywgYW5kIHNtb2tpbmcgcmVkdWN0aW9uIHN1Y2Nlc3MgaW4gcmVhbCB3b3JsZCB1c2U6
IEEgY29tcGFyaXNvbiBvZiBjaWdhcmV0dGUgc21va2VycyBhbmQgZHVhbCB1c2VycyBvZiBib3Ro
IGNpZ2FyZXR0ZXMgYW5kIEUtY2lnYXJldHRlczwvdGl0bGU+PHNlY29uZGFyeS10aXRsZT5EcnVn
IEFsY29ob2wgRGVwZW5kPC9zZWNvbmRhcnktdGl0bGU+PGFsdC10aXRsZT5EcnVnIGFuZCBhbGNv
aG9sIGRlcGVuZGVuY2U8L2FsdC10aXRsZT48L3RpdGxlcz48YWx0LXBlcmlvZGljYWw+PGZ1bGwt
dGl0bGU+RHJ1ZyBhbmQgQWxjb2hvbCBEZXBlbmRlbmNlPC9mdWxsLXRpdGxlPjwvYWx0LXBlcmlv
ZGljYWw+PHBhZ2VzPjkzLTEwMTwvcGFnZXM+PHZvbHVtZT4xNzA8L3ZvbHVtZT48ZWRpdGlvbj4y
MDE2LzExLzI1PC9lZGl0aW9uPjxrZXl3b3Jkcz48a2V5d29yZD5BZHVsdDwva2V5d29yZD48a2V5
d29yZD5DcmF2aW5nPC9rZXl3b3JkPjxrZXl3b3JkPipFbGVjdHJvbmljIE5pY290aW5lIERlbGl2
ZXJ5IFN5c3RlbXM8L2tleXdvcmQ+PGtleXdvcmQ+RmVtYWxlPC9rZXl3b3JkPjxrZXl3b3JkPkh1
bWFuczwva2V5d29yZD48a2V5d29yZD5NYWxlPC9rZXl3b3JkPjxrZXl3b3JkPk1pZGRsZSBBZ2Vk
PC9rZXl3b3JkPjxrZXl3b3JkPk5pY290aW5lLypibG9vZC90aGVyYXBldXRpYyB1c2U8L2tleXdv
cmQ+PGtleXdvcmQ+U21va2luZy8qYmxvb2QvcHN5Y2hvbG9neTwva2V5d29yZD48a2V5d29yZD4q
U21va2luZyBDZXNzYXRpb248L2tleXdvcmQ+PGtleXdvcmQ+U3Vic3RhbmNlIFdpdGhkcmF3YWwg
U3luZHJvbWUvKmJsb29kL2RydWcgdGhlcmFweS9wc3ljaG9sb2d5PC9rZXl3b3JkPjxrZXl3b3Jk
PipUb2JhY2NvIFByb2R1Y3RzPC9rZXl3b3JkPjxrZXl3b3JkPlRvYmFjY28gVXNlIERpc29yZGVy
LypibG9vZC9wc3ljaG9sb2d5PC9rZXl3b3JkPjxrZXl3b3JkPllvdW5nIEFkdWx0PC9rZXl3b3Jk
PjxrZXl3b3JkPipDaWdhcmV0dGUgc21va2luZzwva2V5d29yZD48a2V5d29yZD4qRHVhbCB1c2U8
L2tleXdvcmQ+PGtleXdvcmQ+KkdlbmRlciBkaWZmZXJlbmNlczwva2V5d29yZD48a2V5d29yZD4q
Tmljb3RpbmU8L2tleXdvcmQ+PGtleXdvcmQ+Kk5pY290aW5lIGRlcGVuZGVuY2U8L2tleXdvcmQ+
PGtleXdvcmQ+KmUtY2lnYXJldHRlczwva2V5d29yZD48L2tleXdvcmRzPjxkYXRlcz48eWVhcj4y
MDE3PC95ZWFyPjxwdWItZGF0ZXM+PGRhdGU+SmFuIDE8L2RhdGU+PC9wdWItZGF0ZXM+PC9kYXRl
cz48aXNibj4wMzc2LTg3MTY8L2lzYm4+PGFjY2Vzc2lvbi1udW0+Mjc4ODM5NDk8L2FjY2Vzc2lv
bi1udW0+PHVybHM+PHJlbGF0ZWQtdXJscz48dXJsPmh0dHBzOi8vd3d3Lm5jYmkubmxtLm5paC5n
b3YvcG1jL2FydGljbGVzL1BNQzUxODM1NDYvcGRmL25paG1zODI3NDU4LnBkZjwvdXJsPjwvcmVs
YXRlZC11cmxzPjwvdXJscz48Y3VzdG9tMj5QTUM1MTgzNTQ2PC9jdXN0b20yPjxjdXN0b202Pk5J
SE1TODI3NDU4PC9jdXN0b202PjxlbGVjdHJvbmljLXJlc291cmNlLW51bT4xMC4xMDE2L2ouZHJ1
Z2FsY2RlcC4yMDE2LjEwLjA0MTwvZWxlY3Ryb25pYy1yZXNvdXJjZS1udW0+PHJlbW90ZS1kYXRh
YmFzZS1wcm92aWRlcj5OTE08L3JlbW90ZS1kYXRhYmFzZS1wcm92aWRlcj48bGFuZ3VhZ2U+ZW5n
PC9sYW5ndWFnZT48L3JlY29yZD48L0NpdGU+PC9FbmROb3RlPgB=
</w:fldData>
        </w:fldChar>
      </w:r>
      <w:r>
        <w:instrText xml:space="preserve"> ADDIN EN.CITE.DATA </w:instrText>
      </w:r>
      <w:r>
        <w:fldChar w:fldCharType="end"/>
      </w:r>
      <w:r>
        <w:fldChar w:fldCharType="separate"/>
      </w:r>
      <w:r>
        <w:rPr>
          <w:noProof/>
        </w:rPr>
        <w:t>(Jorenby, Smith et al. 2017)</w:t>
      </w:r>
      <w:r>
        <w:fldChar w:fldCharType="end"/>
      </w:r>
      <w:r>
        <w:t>. The selection method and limited description of the participants limit the applicability of these findings to other e</w:t>
      </w:r>
      <w:r>
        <w:noBreakHyphen/>
        <w:t>cigarette users and cigarette smokers.</w:t>
      </w:r>
    </w:p>
    <w:p w14:paraId="46A384FF" w14:textId="77777777" w:rsidR="002738DD" w:rsidRDefault="002738DD" w:rsidP="002738DD">
      <w:pPr>
        <w:pStyle w:val="BodyText"/>
      </w:pPr>
    </w:p>
    <w:p w14:paraId="0A32109E" w14:textId="77777777" w:rsidR="002738DD" w:rsidRPr="00455B41" w:rsidRDefault="002738DD" w:rsidP="002738DD">
      <w:pPr>
        <w:pStyle w:val="Heading3"/>
      </w:pPr>
      <w:r>
        <w:t>Cross</w:t>
      </w:r>
      <w:r>
        <w:noBreakHyphen/>
        <w:t>sectional studies</w:t>
      </w:r>
    </w:p>
    <w:p w14:paraId="3DB4390B" w14:textId="77777777" w:rsidR="002738DD" w:rsidRDefault="002738DD" w:rsidP="002738DD">
      <w:pPr>
        <w:pStyle w:val="BodyText"/>
      </w:pPr>
      <w:r>
        <w:t>Cross</w:t>
      </w:r>
      <w:r>
        <w:noBreakHyphen/>
        <w:t>sectional studies also measured quit attempts in non</w:t>
      </w:r>
      <w:r>
        <w:noBreakHyphen/>
        <w:t>e</w:t>
      </w:r>
      <w:r>
        <w:noBreakHyphen/>
        <w:t>cigarette and e</w:t>
      </w:r>
      <w:r>
        <w:noBreakHyphen/>
        <w:t>cigarette users. In the US, an online survey recruited 1528 current smokers</w:t>
      </w:r>
      <w:r w:rsidRPr="002E4494">
        <w:t xml:space="preserve"> </w:t>
      </w:r>
      <w:r>
        <w:t xml:space="preserve">through a national commercial consumer panel </w:t>
      </w:r>
      <w:r>
        <w:fldChar w:fldCharType="begin">
          <w:fldData xml:space="preserve">PEVuZE5vdGU+PENpdGU+PEF1dGhvcj5PJmFwb3M7Q29ubm9yPC9BdXRob3I+PFllYXI+MjAxNzwv
WWVhcj48UmVjTnVtPjUxOTE8L1JlY051bT48RGlzcGxheVRleHQ+KE8mYXBvcztDb25ub3IsIFJl
ZXMgZXQgYWwuIDIwMTcpPC9EaXNwbGF5VGV4dD48cmVjb3JkPjxyZWMtbnVtYmVyPjUxOTE8L3Jl
Yy1udW1iZXI+PGZvcmVpZ24ta2V5cz48a2V5IGFwcD0iRU4iIGRiLWlkPSI5ejA1ZHowcHJhYWRm
dWVlMHpveHplZGs5emZlNWZ4eDUwejUiIHRpbWVzdGFtcD0iMTUyMzkyMDkzMSI+NTE5MTwva2V5
PjwvZm9yZWlnbi1rZXlzPjxyZWYtdHlwZSBuYW1lPSJKb3VybmFsIEFydGljbGUiPjE3PC9yZWYt
dHlwZT48Y29udHJpYnV0b3JzPjxhdXRob3JzPjxhdXRob3I+TyZhcG9zO0Nvbm5vciwgUi4gSi48
L2F1dGhvcj48YXV0aG9yPlJlZXMsIFYuIFcuPC9hdXRob3I+PGF1dGhvcj5SaXZhcmQsIEMuPC9h
dXRob3I+PGF1dGhvcj5IYXRzdWthbWksIEQuIEsuPC9hdXRob3I+PGF1dGhvcj5DdW1taW5ncywg
Sy4gTS48L2F1dGhvcj48L2F1dGhvcnM+PC9jb250cmlidXRvcnM+PGF1dGgtYWRkcmVzcz5hIERl
cGFydG1lbnQgb2YgSGVhbHRoIEJlaGF2aW9yICwgUm9zd2VsbCBQYXJrIENhbmNlciBJbnN0aXR1
dGUgLCBCdWZmYWxvICwgTmV3IFlvcmsgLCBVU0EuJiN4RDtiIERlcGFydG1lbnQgb2YgU29jaWFs
IGFuZCBCZWhhdmlvcmFsIFNjaWVuY2VzICwgSGFydmFyZCBULkguIENoYW4gU2Nob29sIG9mIFB1
YmxpYyBIZWFsdGggLCBCb3N0b24gLCBNYXNzYWNodXNldHRzICwgVVNBLiYjeEQ7YyBEZXBhcnRt
ZW50IG9mIFBzeWNoaWF0cnkgLCBVbml2ZXJzaXR5IG9mIE1pbm5lc290YSAsIE1pbm5lYXBvbGlz
ICwgTWlubmVzb3RhICwgVVNBLiYjeEQ7ZCBEZXBhcnRtZW50IG9mIFBzeWNoaWF0cnkgYW5kIEJl
aGF2aW9yYWwgU2NpZW5jZSAsIE1lZGljYWwgVW5pdmVyc2l0eSBvZiBTb3V0aCBDYXJvbGluYSAs
IENoYXJsZXN0b24gLCBTb3V0aCBDYXJvbGluYSAsIFVTQS48L2F1dGgtYWRkcmVzcz48dGl0bGVz
Pjx0aXRsZT5JbnRlcm5hbGl6ZWQgc21va2luZyBzdGlnbWEgaW4gcmVsYXRpb24gdG8gcXVpdCBp
bnRlbnRpb25zLCBxdWl0IGF0dGVtcHRzLCBhbmQgY3VycmVudCBlLWNpZ2FyZXR0ZSB1c2U8L3Rp
dGxlPjxzZWNvbmRhcnktdGl0bGU+U3Vic3QgQWJ1czwvc2Vjb25kYXJ5LXRpdGxlPjxhbHQtdGl0
bGU+U3Vic3RhbmNlIGFidXNlPC9hbHQtdGl0bGU+PC90aXRsZXM+PHBlcmlvZGljYWw+PGZ1bGwt
dGl0bGU+U3Vic3QgQWJ1czwvZnVsbC10aXRsZT48YWJici0xPlN1YnN0YW5jZSBhYnVzZTwvYWJi
ci0xPjwvcGVyaW9kaWNhbD48YWx0LXBlcmlvZGljYWw+PGZ1bGwtdGl0bGU+U3Vic3QgQWJ1czwv
ZnVsbC10aXRsZT48YWJici0xPlN1YnN0YW5jZSBhYnVzZTwvYWJici0xPjwvYWx0LXBlcmlvZGlj
YWw+PHBhZ2VzPjMzMC0zMzY8L3BhZ2VzPjx2b2x1bWU+Mzg8L3ZvbHVtZT48bnVtYmVyPjM8L251
bWJlcj48ZWRpdGlvbj4yMDE3LzA1LzEwPC9lZGl0aW9uPjxrZXl3b3Jkcz48a2V5d29yZD5DZXNz
YXRpb248L2tleXdvcmQ+PGtleXdvcmQ+ZS1jaWdhcmV0dGVzPC9rZXl3b3JkPjxrZXl3b3JkPnNt
b2tpbmc8L2tleXdvcmQ+PGtleXdvcmQ+c29jaWFsIGRlbm9ybWFsaXphdGlvbjwva2V5d29yZD48
a2V5d29yZD5zdGlnbWE8L2tleXdvcmQ+PC9rZXl3b3Jkcz48ZGF0ZXM+PHllYXI+MjAxNzwveWVh
cj48cHViLWRhdGVzPjxkYXRlPkp1bC1TZXA8L2RhdGU+PC9wdWItZGF0ZXM+PC9kYXRlcz48aXNi
bj4wODg5LTcwNzc8L2lzYm4+PGFjY2Vzc2lvbi1udW0+Mjg0ODE3MTM8L2FjY2Vzc2lvbi1udW0+
PHVybHM+PHJlbGF0ZWQtdXJscz48dXJsPmh0dHBzOi8vd3d3LnRhbmRmb25saW5lLmNvbS9kb2kv
cGRmLzEwLjEwODAvMDg4OTcwNzcuMjAxNy4xMzI2OTk5P25lZWRBY2Nlc3M9dHJ1ZTwvdXJsPjwv
cmVsYXRlZC11cmxzPjwvdXJscz48ZWxlY3Ryb25pYy1yZXNvdXJjZS1udW0+MTAuMTA4MC8wODg5
NzA3Ny4yMDE3LjEzMjY5OTk8L2VsZWN0cm9uaWMtcmVzb3VyY2UtbnVtPjxyZW1vdGUtZGF0YWJh
c2UtcHJvdmlkZXI+TkxNPC9yZW1vdGUtZGF0YWJhc2UtcHJvdmlkZXI+PGxhbmd1YWdlPmVuZzwv
bGFuZ3VhZ2U+PC9yZWNvcmQ+PC9DaXRlPjwvRW5kTm90ZT5=
</w:fldData>
        </w:fldChar>
      </w:r>
      <w:r>
        <w:instrText xml:space="preserve"> ADDIN EN.CITE </w:instrText>
      </w:r>
      <w:r>
        <w:fldChar w:fldCharType="begin">
          <w:fldData xml:space="preserve">PEVuZE5vdGU+PENpdGU+PEF1dGhvcj5PJmFwb3M7Q29ubm9yPC9BdXRob3I+PFllYXI+MjAxNzwv
WWVhcj48UmVjTnVtPjUxOTE8L1JlY051bT48RGlzcGxheVRleHQ+KE8mYXBvcztDb25ub3IsIFJl
ZXMgZXQgYWwuIDIwMTcpPC9EaXNwbGF5VGV4dD48cmVjb3JkPjxyZWMtbnVtYmVyPjUxOTE8L3Jl
Yy1udW1iZXI+PGZvcmVpZ24ta2V5cz48a2V5IGFwcD0iRU4iIGRiLWlkPSI5ejA1ZHowcHJhYWRm
dWVlMHpveHplZGs5emZlNWZ4eDUwejUiIHRpbWVzdGFtcD0iMTUyMzkyMDkzMSI+NTE5MTwva2V5
PjwvZm9yZWlnbi1rZXlzPjxyZWYtdHlwZSBuYW1lPSJKb3VybmFsIEFydGljbGUiPjE3PC9yZWYt
dHlwZT48Y29udHJpYnV0b3JzPjxhdXRob3JzPjxhdXRob3I+TyZhcG9zO0Nvbm5vciwgUi4gSi48
L2F1dGhvcj48YXV0aG9yPlJlZXMsIFYuIFcuPC9hdXRob3I+PGF1dGhvcj5SaXZhcmQsIEMuPC9h
dXRob3I+PGF1dGhvcj5IYXRzdWthbWksIEQuIEsuPC9hdXRob3I+PGF1dGhvcj5DdW1taW5ncywg
Sy4gTS48L2F1dGhvcj48L2F1dGhvcnM+PC9jb250cmlidXRvcnM+PGF1dGgtYWRkcmVzcz5hIERl
cGFydG1lbnQgb2YgSGVhbHRoIEJlaGF2aW9yICwgUm9zd2VsbCBQYXJrIENhbmNlciBJbnN0aXR1
dGUgLCBCdWZmYWxvICwgTmV3IFlvcmsgLCBVU0EuJiN4RDtiIERlcGFydG1lbnQgb2YgU29jaWFs
IGFuZCBCZWhhdmlvcmFsIFNjaWVuY2VzICwgSGFydmFyZCBULkguIENoYW4gU2Nob29sIG9mIFB1
YmxpYyBIZWFsdGggLCBCb3N0b24gLCBNYXNzYWNodXNldHRzICwgVVNBLiYjeEQ7YyBEZXBhcnRt
ZW50IG9mIFBzeWNoaWF0cnkgLCBVbml2ZXJzaXR5IG9mIE1pbm5lc290YSAsIE1pbm5lYXBvbGlz
ICwgTWlubmVzb3RhICwgVVNBLiYjeEQ7ZCBEZXBhcnRtZW50IG9mIFBzeWNoaWF0cnkgYW5kIEJl
aGF2aW9yYWwgU2NpZW5jZSAsIE1lZGljYWwgVW5pdmVyc2l0eSBvZiBTb3V0aCBDYXJvbGluYSAs
IENoYXJsZXN0b24gLCBTb3V0aCBDYXJvbGluYSAsIFVTQS48L2F1dGgtYWRkcmVzcz48dGl0bGVz
Pjx0aXRsZT5JbnRlcm5hbGl6ZWQgc21va2luZyBzdGlnbWEgaW4gcmVsYXRpb24gdG8gcXVpdCBp
bnRlbnRpb25zLCBxdWl0IGF0dGVtcHRzLCBhbmQgY3VycmVudCBlLWNpZ2FyZXR0ZSB1c2U8L3Rp
dGxlPjxzZWNvbmRhcnktdGl0bGU+U3Vic3QgQWJ1czwvc2Vjb25kYXJ5LXRpdGxlPjxhbHQtdGl0
bGU+U3Vic3RhbmNlIGFidXNlPC9hbHQtdGl0bGU+PC90aXRsZXM+PHBlcmlvZGljYWw+PGZ1bGwt
dGl0bGU+U3Vic3QgQWJ1czwvZnVsbC10aXRsZT48YWJici0xPlN1YnN0YW5jZSBhYnVzZTwvYWJi
ci0xPjwvcGVyaW9kaWNhbD48YWx0LXBlcmlvZGljYWw+PGZ1bGwtdGl0bGU+U3Vic3QgQWJ1czwv
ZnVsbC10aXRsZT48YWJici0xPlN1YnN0YW5jZSBhYnVzZTwvYWJici0xPjwvYWx0LXBlcmlvZGlj
YWw+PHBhZ2VzPjMzMC0zMzY8L3BhZ2VzPjx2b2x1bWU+Mzg8L3ZvbHVtZT48bnVtYmVyPjM8L251
bWJlcj48ZWRpdGlvbj4yMDE3LzA1LzEwPC9lZGl0aW9uPjxrZXl3b3Jkcz48a2V5d29yZD5DZXNz
YXRpb248L2tleXdvcmQ+PGtleXdvcmQ+ZS1jaWdhcmV0dGVzPC9rZXl3b3JkPjxrZXl3b3JkPnNt
b2tpbmc8L2tleXdvcmQ+PGtleXdvcmQ+c29jaWFsIGRlbm9ybWFsaXphdGlvbjwva2V5d29yZD48
a2V5d29yZD5zdGlnbWE8L2tleXdvcmQ+PC9rZXl3b3Jkcz48ZGF0ZXM+PHllYXI+MjAxNzwveWVh
cj48cHViLWRhdGVzPjxkYXRlPkp1bC1TZXA8L2RhdGU+PC9wdWItZGF0ZXM+PC9kYXRlcz48aXNi
bj4wODg5LTcwNzc8L2lzYm4+PGFjY2Vzc2lvbi1udW0+Mjg0ODE3MTM8L2FjY2Vzc2lvbi1udW0+
PHVybHM+PHJlbGF0ZWQtdXJscz48dXJsPmh0dHBzOi8vd3d3LnRhbmRmb25saW5lLmNvbS9kb2kv
cGRmLzEwLjEwODAvMDg4OTcwNzcuMjAxNy4xMzI2OTk5P25lZWRBY2Nlc3M9dHJ1ZTwvdXJsPjwv
cmVsYXRlZC11cmxzPjwvdXJscz48ZWxlY3Ryb25pYy1yZXNvdXJjZS1udW0+MTAuMTA4MC8wODg5
NzA3Ny4yMDE3LjEzMjY5OTk8L2VsZWN0cm9uaWMtcmVzb3VyY2UtbnVtPjxyZW1vdGUtZGF0YWJh
c2UtcHJvdmlkZXI+TkxNPC9yZW1vdGUtZGF0YWJhc2UtcHJvdmlkZXI+PGxhbmd1YWdlPmVuZzwv
bGFuZ3VhZ2U+PC9yZWNvcmQ+PC9DaXRlPjwvRW5kTm90ZT5=
</w:fldData>
        </w:fldChar>
      </w:r>
      <w:r>
        <w:instrText xml:space="preserve"> ADDIN EN.CITE.DATA </w:instrText>
      </w:r>
      <w:r>
        <w:fldChar w:fldCharType="end"/>
      </w:r>
      <w:r>
        <w:fldChar w:fldCharType="separate"/>
      </w:r>
      <w:r>
        <w:rPr>
          <w:noProof/>
        </w:rPr>
        <w:t>(O'Connor, Rees et al. 2017)</w:t>
      </w:r>
      <w:r>
        <w:fldChar w:fldCharType="end"/>
      </w:r>
      <w:r>
        <w:t xml:space="preserve">. Participants were aged </w:t>
      </w:r>
      <w:r>
        <w:rPr>
          <w:rFonts w:cs="Calibri"/>
        </w:rPr>
        <w:t>≥</w:t>
      </w:r>
      <w:r>
        <w:t>14 years (38.6% aged 26</w:t>
      </w:r>
      <w:r>
        <w:noBreakHyphen/>
        <w:t>35 years) and over half were male (57%). The study examined the association between self</w:t>
      </w:r>
      <w:r>
        <w:noBreakHyphen/>
        <w:t>stigma, discrimination and quit attempts. In addition to the main findings that self</w:t>
      </w:r>
      <w:r>
        <w:noBreakHyphen/>
        <w:t>stigma was associated with increased intent to quit, the study also found that daily and some</w:t>
      </w:r>
      <w:r>
        <w:noBreakHyphen/>
        <w:t>day e</w:t>
      </w:r>
      <w:r>
        <w:noBreakHyphen/>
        <w:t>cigarette users were more likely have made at least three quit attempts in the previous year and to intend to quit in the next month. However, quit attempts do not necessarily reflect long</w:t>
      </w:r>
      <w:r>
        <w:noBreakHyphen/>
        <w:t>term smoking cessation. In addition, the association between e</w:t>
      </w:r>
      <w:r>
        <w:noBreakHyphen/>
        <w:t>cigarettes and quit attempts was not the primary outcome of this study, therefore results should be interpreted with caution.</w:t>
      </w:r>
    </w:p>
    <w:p w14:paraId="1B7F62D5" w14:textId="77777777" w:rsidR="002738DD" w:rsidRDefault="002738DD" w:rsidP="002738DD">
      <w:pPr>
        <w:pStyle w:val="BodyText"/>
      </w:pPr>
      <w:r>
        <w:lastRenderedPageBreak/>
        <w:t>The 2012</w:t>
      </w:r>
      <w:r>
        <w:noBreakHyphen/>
        <w:t>13 and 2013</w:t>
      </w:r>
      <w:r>
        <w:noBreakHyphen/>
        <w:t>14 US National Adult Tobacco Surveys also collected cessation method data. This survey included 20,270 past</w:t>
      </w:r>
      <w:r>
        <w:noBreakHyphen/>
        <w:t>year adult smokers (i.e. current and former smokers) (median age 41, IQR: 29</w:t>
      </w:r>
      <w:r>
        <w:noBreakHyphen/>
        <w:t>54; 42.5% female), with response rates of 44.9% (2012</w:t>
      </w:r>
      <w:r>
        <w:noBreakHyphen/>
        <w:t>13) and 36.1% (213</w:t>
      </w:r>
      <w:r>
        <w:noBreakHyphen/>
        <w:t xml:space="preserve">14) </w:t>
      </w:r>
      <w:r>
        <w:fldChar w:fldCharType="begin"/>
      </w:r>
      <w:r w:rsidR="004E728C">
        <w:instrText xml:space="preserve"> ADDIN EN.CITE &lt;EndNote&gt;&lt;Cite&gt;&lt;Author&gt;Anic&lt;/Author&gt;&lt;Year&gt;2018&lt;/Year&gt;&lt;RecNum&gt;4618&lt;/RecNum&gt;&lt;DisplayText&gt;(Anic, Holder-Hayes et al. 2018)&lt;/DisplayText&gt;&lt;record&gt;&lt;rec-number&gt;4618&lt;/rec-number&gt;&lt;foreign-keys&gt;&lt;key app="EN" db-id="9z05dz0praadfuee0zoxzedk9zfe5fxx50z5" timestamp="1523920249"&gt;4618&lt;/key&gt;&lt;key app="ENWeb" db-id=""&gt;0&lt;/key&gt;&lt;/foreign-keys&gt;&lt;ref-type name="Journal Article"&gt;17&lt;/ref-type&gt;&lt;contributors&gt;&lt;authors&gt;&lt;author&gt;Anic, G. M.&lt;/author&gt;&lt;author&gt;Holder-Hayes, E.&lt;/author&gt;&lt;author&gt;Ambrose, B. K.&lt;/author&gt;&lt;author&gt;Rostron, B. L.&lt;/author&gt;&lt;author&gt;Coleman, B.&lt;/author&gt;&lt;author&gt;Jamal, A.&lt;/author&gt;&lt;author&gt;Apelberg, B. J.&lt;/author&gt;&lt;/authors&gt;&lt;/contributors&gt;&lt;auth-address&gt;Office of Science, Center for Tobacco Products, Food and Drug Administration, Silver Spring, Maryland. Electronic address: gabriella.anic@fda.hhs.gov.&amp;#xD;Office of Science, Center for Tobacco Products, Food and Drug Administration, Silver Spring, Maryland.&amp;#xD;Office on Smoking and Health, National Center for Chronic Disease Prevention and Health Promotion, Centers for Disease Control and Prevention, Atlanta, Georgia.&lt;/auth-address&gt;&lt;titles&gt;&lt;title&gt;E-cigarette and Smokeless Tobacco Use and Switching Among Smokers: Findings From the National Adult Tobacco Survey&lt;/title&gt;&lt;secondary-title&gt;Am J Prev Med&lt;/secondary-title&gt;&lt;alt-title&gt;American journal of preventive medicine&lt;/alt-title&gt;&lt;/titles&gt;&lt;alt-periodical&gt;&lt;full-title&gt;American Journal of Preventive Medicine&lt;/full-title&gt;&lt;/alt-periodical&gt;&lt;edition&gt;2018/02/13&lt;/edition&gt;&lt;dates&gt;&lt;year&gt;2018&lt;/year&gt;&lt;pub-dates&gt;&lt;date&gt;Feb 8&lt;/date&gt;&lt;/pub-dates&gt;&lt;/dates&gt;&lt;isbn&gt;0749-3797&lt;/isbn&gt;&lt;accession-num&gt;29429605&lt;/accession-num&gt;&lt;urls&gt;&lt;related-urls&gt;&lt;url&gt;http://www.ajpmonline.org/article/S0749-3797(17)30742-0/pdf&lt;/url&gt;&lt;url&gt;https://www.sciencedirect.com/science/article/pii/S0749379717307420?via%3Dihub&lt;/url&gt;&lt;/related-urls&gt;&lt;/urls&gt;&lt;electronic-resource-num&gt;10.1016/j.amepre.2017.12.010&lt;/electronic-resource-num&gt;&lt;remote-database-provider&gt;NLM&lt;/remote-database-provider&gt;&lt;language&gt;eng&lt;/language&gt;&lt;/record&gt;&lt;/Cite&gt;&lt;/EndNote&gt;</w:instrText>
      </w:r>
      <w:r>
        <w:fldChar w:fldCharType="separate"/>
      </w:r>
      <w:r w:rsidR="004E728C">
        <w:rPr>
          <w:noProof/>
        </w:rPr>
        <w:t>(Anic, Holder-Hayes et al. 2018)</w:t>
      </w:r>
      <w:r>
        <w:fldChar w:fldCharType="end"/>
      </w:r>
      <w:r>
        <w:t>. Results were adjusted to be nationally representative. Results found that there was a larger proportion of recent quitters who used e</w:t>
      </w:r>
      <w:r>
        <w:noBreakHyphen/>
        <w:t>cigarettes than smokeless tobacco. This data indicates that smokers are using e</w:t>
      </w:r>
      <w:r>
        <w:noBreakHyphen/>
        <w:t>cigarettes as a smoking cessation method.</w:t>
      </w:r>
      <w:r w:rsidRPr="00EF0982">
        <w:t xml:space="preserve"> </w:t>
      </w:r>
      <w:r>
        <w:t>However, quit attempts may not reflect life</w:t>
      </w:r>
      <w:r>
        <w:noBreakHyphen/>
        <w:t>long quit success. Additionally, this study reported that 10.4% (2012</w:t>
      </w:r>
      <w:r>
        <w:noBreakHyphen/>
        <w:t>13) and 14.8% (2013</w:t>
      </w:r>
      <w:r>
        <w:noBreakHyphen/>
        <w:t>14) of smokers with unsuccessful quit attempts were using e</w:t>
      </w:r>
      <w:r>
        <w:noBreakHyphen/>
        <w:t>cigarettes compared with 9.1% (2012</w:t>
      </w:r>
      <w:r>
        <w:noBreakHyphen/>
        <w:t>13) and 15.8% (2013</w:t>
      </w:r>
      <w:r>
        <w:noBreakHyphen/>
        <w:t>14) of recent quitters. This indicates that e</w:t>
      </w:r>
      <w:r>
        <w:noBreakHyphen/>
        <w:t xml:space="preserve">cigarettes may only occasionally be associated with successful smoking cessation. Causation cannot be inferred due to the study design. </w:t>
      </w:r>
    </w:p>
    <w:p w14:paraId="5E9608CB" w14:textId="77777777" w:rsidR="002738DD" w:rsidRDefault="002738DD" w:rsidP="002738DD">
      <w:pPr>
        <w:pStyle w:val="BodyText"/>
      </w:pPr>
      <w:r>
        <w:t>Data from the 2014 National Health Interview Survey, a nationally representative sample of the USA, was also analysed to determine if there is an association between e</w:t>
      </w:r>
      <w:r>
        <w:noBreakHyphen/>
        <w:t xml:space="preserve">cigarette use and quit attempts </w:t>
      </w:r>
      <w:r>
        <w:fldChar w:fldCharType="begin"/>
      </w:r>
      <w:r w:rsidR="004E728C">
        <w:instrText xml:space="preserve"> ADDIN EN.CITE &lt;EndNote&gt;&lt;Cite&gt;&lt;Author&gt;Stokes&lt;/Author&gt;&lt;Year&gt;2018&lt;/Year&gt;&lt;RecNum&gt;10422&lt;/RecNum&gt;&lt;DisplayText&gt;(Stokes, Collins et al. 2018)&lt;/DisplayText&gt;&lt;record&gt;&lt;rec-number&gt;10422&lt;/rec-number&gt;&lt;foreign-keys&gt;&lt;key app="EN" db-id="9z05dz0praadfuee0zoxzedk9zfe5fxx50z5" timestamp="1526869878"&gt;10422&lt;/key&gt;&lt;key app="ENWeb" db-id=""&gt;0&lt;/key&gt;&lt;/foreign-keys&gt;&lt;ref-type name="Journal Article"&gt;17&lt;/ref-type&gt;&lt;contributors&gt;&lt;authors&gt;&lt;author&gt;Stokes, Andrew&lt;/author&gt;&lt;author&gt;Collins, Jason M.&lt;/author&gt;&lt;author&gt;Berry, Kaitlyn M.&lt;/author&gt;&lt;author&gt;Reynolds, Lindsay M.&lt;/author&gt;&lt;author&gt;Fetterman, Jessica L.&lt;/author&gt;&lt;author&gt;Rodriguez, Carlos J.&lt;/author&gt;&lt;author&gt;Siegel, Michael B.&lt;/author&gt;&lt;author&gt;Benjamin, Emelia J.&lt;/author&gt;&lt;/authors&gt;&lt;/contributors&gt;&lt;titles&gt;&lt;title&gt;Electronic Cigarette Prevalence and Patterns of Use in Adults with a History of Cardiovascular Disease in the United States&lt;/title&gt;&lt;secondary-title&gt;Journal of the American Heart Association&lt;/secondary-title&gt;&lt;/titles&gt;&lt;periodical&gt;&lt;full-title&gt;Journal of the American Heart Association&lt;/full-title&gt;&lt;/periodical&gt;&lt;volume&gt;7&lt;/volume&gt;&lt;number&gt;9&lt;/number&gt;&lt;dates&gt;&lt;year&gt;2018&lt;/year&gt;&lt;pub-dates&gt;&lt;date&gt;2018 Apr&lt;/date&gt;&lt;/pub-dates&gt;&lt;/dates&gt;&lt;accession-num&gt;MEDLINE:29700041&lt;/accession-num&gt;&lt;urls&gt;&lt;related-urls&gt;&lt;url&gt;&amp;lt;Go to ISI&amp;gt;://MEDLINE:29700041&lt;/url&gt;&lt;url&gt;http://jaha.ahajournals.org/content/ahaoa/7/9/e007602.full.pdf&lt;/url&gt;&lt;/related-urls&gt;&lt;/urls&gt;&lt;electronic-resource-num&gt;10.1161/jaha.117.007602&lt;/electronic-resource-num&gt;&lt;/record&gt;&lt;/Cite&gt;&lt;/EndNote&gt;</w:instrText>
      </w:r>
      <w:r>
        <w:fldChar w:fldCharType="separate"/>
      </w:r>
      <w:r>
        <w:rPr>
          <w:noProof/>
        </w:rPr>
        <w:t>(Stokes, Collins et al. 2018)</w:t>
      </w:r>
      <w:r>
        <w:fldChar w:fldCharType="end"/>
      </w:r>
      <w:r>
        <w:t>. The researchers analysing the data included participants who had been diagnosed with cardiovascular disease. Age was not reported but participants were 53.2% female. They found that t</w:t>
      </w:r>
      <w:r w:rsidRPr="00A107C8">
        <w:t>here was increased odds of ever (OR=1.70</w:t>
      </w:r>
      <w:r>
        <w:t xml:space="preserve">; 95% CI, 1.25, 2.30) </w:t>
      </w:r>
      <w:r w:rsidRPr="00A107C8">
        <w:t>and curre</w:t>
      </w:r>
      <w:r>
        <w:t>nt (OR=1.97; 95% CI, 1.32, 2.95</w:t>
      </w:r>
      <w:r w:rsidRPr="00A107C8">
        <w:t>) e</w:t>
      </w:r>
      <w:r>
        <w:noBreakHyphen/>
      </w:r>
      <w:r w:rsidRPr="00A107C8">
        <w:t>cigarette use among smokers who had attempted to quit in the past year.</w:t>
      </w:r>
      <w:r>
        <w:t xml:space="preserve"> </w:t>
      </w:r>
    </w:p>
    <w:p w14:paraId="6657AA6B" w14:textId="5EC5A81D" w:rsidR="002738DD" w:rsidRDefault="002738DD" w:rsidP="002738DD">
      <w:pPr>
        <w:pStyle w:val="BodyText"/>
      </w:pPr>
      <w:r>
        <w:t>Results from the above studies are supported by a school and college</w:t>
      </w:r>
      <w:r>
        <w:noBreakHyphen/>
        <w:t xml:space="preserve">based survey from the US </w:t>
      </w:r>
      <w:r>
        <w:fldChar w:fldCharType="begin">
          <w:fldData xml:space="preserve">PEVuZE5vdGU+PENpdGU+PEF1dGhvcj5DYW1lbmdhPC9BdXRob3I+PFllYXI+MjAxNzwvWWVhcj48
UmVjTnVtPjU1Mzg8L1JlY051bT48RGlzcGxheVRleHQ+KENhbWVuZ2EsIEtvbmcgZXQgYWwuIDIw
MTcpPC9EaXNwbGF5VGV4dD48cmVjb3JkPjxyZWMtbnVtYmVyPjU1Mzg8L3JlYy1udW1iZXI+PGZv
cmVpZ24ta2V5cz48a2V5IGFwcD0iRU4iIGRiLWlkPSI5ejA1ZHowcHJhYWRmdWVlMHpveHplZGs5
emZlNWZ4eDUwejUiIHRpbWVzdGFtcD0iMTUyMzkyMDk3MiI+NTUzODwva2V5PjxrZXkgYXBwPSJF
TldlYiIgZGItaWQ9IiI+MDwva2V5PjwvZm9yZWlnbi1rZXlzPjxyZWYtdHlwZSBuYW1lPSJKb3Vy
bmFsIEFydGljbGUiPjE3PC9yZWYtdHlwZT48Y29udHJpYnV0b3JzPjxhdXRob3JzPjxhdXRob3I+
Q2FtZW5nYSwgRC4gUi48L2F1dGhvcj48YXV0aG9yPktvbmcsIEcuPC9hdXRob3I+PGF1dGhvcj5D
YXZhbGxvLCBELiBBLjwvYXV0aG9yPjxhdXRob3I+S3Jpc2huYW4tU2FyaW4sIFMuPC9hdXRob3I+
PC9hdXRob3JzPjwvY29udHJpYnV0b3JzPjxhdXRoLWFkZHJlc3M+RGVwYXJ0bWVudCBvZiBFbWVy
Z2VuY3kgTWVkaWNpbmUsIFlhbGUgU2Nob29sIG9mIE1lZGljaW5lLCBOZXcgSGF2ZW4sIENULiYj
eEQ7RGVwYXJ0bWVudCBvZiBQc3ljaGlhdHJ5LCBZYWxlIFNjaG9vbCBvZiBNZWRpY2luZSwgTmV3
IEhhdmVuLCBDVC48L2F1dGgtYWRkcmVzcz48dGl0bGVzPjx0aXRsZT5DdXJyZW50IGFuZCBGb3Jt
ZXIgU21va2VycyZhcG9zOyBVc2Ugb2YgRWxlY3Ryb25pYyBDaWdhcmV0dGVzIGZvciBRdWl0dGlu
ZyBTbW9raW5nOiBBbiBFeHBsb3JhdG9yeSBTdHVkeSBvZiBBZG9sZXNjZW50cyBhbmQgWW91bmcg
QWR1bHRzPC90aXRsZT48c2Vjb25kYXJ5LXRpdGxlPk5pY290aW5lIFRvYiBSZXM8L3NlY29uZGFy
eS10aXRsZT48YWx0LXRpdGxlPk5pY290aW5lICZhbXA7IHRvYmFjY28gcmVzZWFyY2ggOiBvZmZp
Y2lhbCBqb3VybmFsIG9mIHRoZSBTb2NpZXR5IGZvciBSZXNlYXJjaCBvbiBOaWNvdGluZSBhbmQg
VG9iYWNjbzwvYWx0LXRpdGxlPjwvdGl0bGVzPjxwZXJpb2RpY2FsPjxmdWxsLXRpdGxlPk5pY290
aW5lIFRvYiBSZXM8L2Z1bGwtdGl0bGU+PGFiYnItMT5OaWNvdGluZSAmYW1wOyB0b2JhY2NvIHJl
c2VhcmNoIDogb2ZmaWNpYWwgam91cm5hbCBvZiB0aGUgU29jaWV0eSBmb3IgUmVzZWFyY2ggb24g
Tmljb3RpbmUgYW5kIFRvYmFjY288L2FiYnItMT48L3BlcmlvZGljYWw+PGFsdC1wZXJpb2RpY2Fs
PjxmdWxsLXRpdGxlPk5pY290aW5lIFRvYiBSZXM8L2Z1bGwtdGl0bGU+PGFiYnItMT5OaWNvdGlu
ZSAmYW1wOyB0b2JhY2NvIHJlc2VhcmNoIDogb2ZmaWNpYWwgam91cm5hbCBvZiB0aGUgU29jaWV0
eSBmb3IgUmVzZWFyY2ggb24gTmljb3RpbmUgYW5kIFRvYmFjY288L2FiYnItMT48L2FsdC1wZXJp
b2RpY2FsPjxwYWdlcz4xNTMxLTE1MzU8L3BhZ2VzPjx2b2x1bWU+MTk8L3ZvbHVtZT48bnVtYmVy
PjEyPC9udW1iZXI+PGVkaXRpb24+MjAxNi8wOS8yNTwvZWRpdGlvbj48ZGF0ZXM+PHllYXI+MjAx
NzwveWVhcj48cHViLWRhdGVzPjxkYXRlPk5vdiA3PC9kYXRlPjwvcHViLWRhdGVzPjwvZGF0ZXM+
PGlzYm4+MTQ2Mi0yMjAzPC9pc2JuPjxhY2Nlc3Npb24tbnVtPjI3NjYzNzgxPC9hY2Nlc3Npb24t
bnVtPjx1cmxzPjxyZWxhdGVkLXVybHM+PHVybD5odHRwczovL3dhdGVybWFyay5zaWx2ZXJjaGFp
ci5jb20vbnR3MjQ4LnBkZj90b2tlbj1BUUVDQUhpMjA4QkU0OU9vYW45a2toV19FcmN5N0RtM1pM
XzlDZjNxZktBYzQ4NXlzZ0FBQWJZd2dnR3lCZ2txaGtpRzl3MEJCd2FnZ2dHak1JSUJud0lCQURD
Q0FaZ0dDU3FHU0liM0RRRUhBVEFlQmdsZ2hrZ0JaUU1FQVM0d0VRUU1PN2ljN2MwTDdzWUZmY0h3
QWdFUWdJSUJhUnJua0l3ckZaY1dsSXRyYjMzd1VOMGpjX25CSXFqbG1iaXZUWDF5c1ZRdFVjc1BM
VUFVOHhrRERpeWZMc20tVzVQb1J1ZFNlYUdLYmFoY3Z4VEdTc0pMTnFSRjRZRnJ6eDN1VUl4TzV0
bzVLWkJrUXZlZHg4ZkJ0QU5SZGZ4T1E4dFNoMm1hdDNBaVhlMGRvLXVhUHJRdzRnR1ZfbnduZW0w
WF9rbUdoMm1LSFpBeUxkRjJOX0VDWlVRaDJ4Nm5PTWdJUnphY2ZWckhHbDNEcFhtZ1FUemxsMDdO
b0tmTzBydVk5V3ZVTXkxdV9Hb01vYmdtUFhiazZUZG1GZm1MSzRmaHRpanRKNm4yVFVIQXQyRDdG
Y3UxVTFIS1FjTXg4SDJiSlJPTFNkcjRxdjloN0czdzZscDBLVmZfdEdQU0N5di1KU1AtZDZPQzd4
akdndEpfSGZTck0wdF9aR3dMQy1FVW1vak5xWmR5WXlOUjF2eFdvb19yS0FoZWVpWUxNeGNLWThl
TkVYNU96OVBVSTM4NFlyV1hmZGlNMF8wbDlUcjBuS2MzdlUzUXRWT3hqZWpTR3JwbHZidHRXOGtr
YjRCRG4wU2Q3VHZDNTI0VDIwWGF5aTlJd2NwTm12WjA2WUk8L3VybD48dXJsPmh0dHBzOi8vd2F0
ZXJtYXJrLnNpbHZlcmNoYWlyLmNvbS9udHcyNDgucGRmP3Rva2VuPUFRRUNBSGkyMDhCRTQ5T29h
bjlra2hXX0VyY3k3RG0zWkxfOUNmM3FmS0FjNDg1eXNnQUFBY0l3Z2dHLUJna3Foa2lHOXcwQkJ3
YWdnZ0d2TUlJQnF3SUJBRENDQWFRR0NTcUdTSWIzRFFFSEFUQWVCZ2xnaGtnQlpRTUVBUzR3RVFR
TVFtdDA3djN5dXVRYVFoTWFBZ0VRZ0lJQmRUTG5UTUhjcjdFTV95Ynl1c2ZmcThMZTZqTjNaQUtM
a0ZJYXlucm01YWxfN1lfMUN6N2tFWTNmbkF6ZkJNZzlNMERVTjVzampXejIwNGxaRTBiVC1XNzZP
djh6R2R2VFAzWWR1cmhqSllBdGk5WWNNLWZPSUtZYWhTRzRQRy1SSWNJQS13Tk1FZ18yU0lTX1JW
dVJqV2ZrODZfeVNna1BOamFDMEo4T1dVODA2N1Y0a0poVlY2UFYyTElRN1lXcjh3bVNVQWpXcXQ3
TjVIUmFpdVBUWndBTjlidzdKVXZueGkwa0I3QjQxSTJweVVGX0o4bDlUNmRKdWtqcE96ZUM5TWst
d0ZDU24wYkdheGJNTkVUZlZzNy0wX2JmbV9EbXRXU0tMdjRpbnEwenlaNXdHTy1hRHNSRUFYVEhi
cThMM25LZDloT3A5dWFENUcxSW5KbWZoRDcwaklBd0xPdXhzbl9pbFk1cFp1aHlGZ1Nla21hNWxW
dXV4Y0J4QllHRUktVWpna3ljWXJ1aFgyU212amxLSFZ4b29remZpYTN3YWFNQVFBWkZJN1hMMmd1
NFRlTFpIZzdDN0E2d1FZbHFQaVBTSmQ0Z0h2a3ByTUp2Qlk4VDdtaUdHNEI2RmxpVWx2bnl1WGx5
TU9SOEhLMWRPdFk8L3VybD48L3JlbGF0ZWQtdXJscz48L3VybHM+PGVsZWN0cm9uaWMtcmVzb3Vy
Y2UtbnVtPjEwLjEwOTMvbnRyL250dzI0ODwvZWxlY3Ryb25pYy1yZXNvdXJjZS1udW0+PHJlbW90
ZS1kYXRhYmFzZS1wcm92aWRlcj5OTE08L3JlbW90ZS1kYXRhYmFzZS1wcm92aWRlcj48bGFuZ3Vh
Z2U+ZW5nPC9sYW5ndWFnZT48L3JlY29yZD48L0NpdGU+PC9FbmROb3RlPn==
</w:fldData>
        </w:fldChar>
      </w:r>
      <w:r>
        <w:instrText xml:space="preserve"> ADDIN EN.CITE </w:instrText>
      </w:r>
      <w:r>
        <w:fldChar w:fldCharType="begin">
          <w:fldData xml:space="preserve">PEVuZE5vdGU+PENpdGU+PEF1dGhvcj5DYW1lbmdhPC9BdXRob3I+PFllYXI+MjAxNzwvWWVhcj48
UmVjTnVtPjU1Mzg8L1JlY051bT48RGlzcGxheVRleHQ+KENhbWVuZ2EsIEtvbmcgZXQgYWwuIDIw
MTcpPC9EaXNwbGF5VGV4dD48cmVjb3JkPjxyZWMtbnVtYmVyPjU1Mzg8L3JlYy1udW1iZXI+PGZv
cmVpZ24ta2V5cz48a2V5IGFwcD0iRU4iIGRiLWlkPSI5ejA1ZHowcHJhYWRmdWVlMHpveHplZGs5
emZlNWZ4eDUwejUiIHRpbWVzdGFtcD0iMTUyMzkyMDk3MiI+NTUzODwva2V5PjxrZXkgYXBwPSJF
TldlYiIgZGItaWQ9IiI+MDwva2V5PjwvZm9yZWlnbi1rZXlzPjxyZWYtdHlwZSBuYW1lPSJKb3Vy
bmFsIEFydGljbGUiPjE3PC9yZWYtdHlwZT48Y29udHJpYnV0b3JzPjxhdXRob3JzPjxhdXRob3I+
Q2FtZW5nYSwgRC4gUi48L2F1dGhvcj48YXV0aG9yPktvbmcsIEcuPC9hdXRob3I+PGF1dGhvcj5D
YXZhbGxvLCBELiBBLjwvYXV0aG9yPjxhdXRob3I+S3Jpc2huYW4tU2FyaW4sIFMuPC9hdXRob3I+
PC9hdXRob3JzPjwvY29udHJpYnV0b3JzPjxhdXRoLWFkZHJlc3M+RGVwYXJ0bWVudCBvZiBFbWVy
Z2VuY3kgTWVkaWNpbmUsIFlhbGUgU2Nob29sIG9mIE1lZGljaW5lLCBOZXcgSGF2ZW4sIENULiYj
eEQ7RGVwYXJ0bWVudCBvZiBQc3ljaGlhdHJ5LCBZYWxlIFNjaG9vbCBvZiBNZWRpY2luZSwgTmV3
IEhhdmVuLCBDVC48L2F1dGgtYWRkcmVzcz48dGl0bGVzPjx0aXRsZT5DdXJyZW50IGFuZCBGb3Jt
ZXIgU21va2VycyZhcG9zOyBVc2Ugb2YgRWxlY3Ryb25pYyBDaWdhcmV0dGVzIGZvciBRdWl0dGlu
ZyBTbW9raW5nOiBBbiBFeHBsb3JhdG9yeSBTdHVkeSBvZiBBZG9sZXNjZW50cyBhbmQgWW91bmcg
QWR1bHRzPC90aXRsZT48c2Vjb25kYXJ5LXRpdGxlPk5pY290aW5lIFRvYiBSZXM8L3NlY29uZGFy
eS10aXRsZT48YWx0LXRpdGxlPk5pY290aW5lICZhbXA7IHRvYmFjY28gcmVzZWFyY2ggOiBvZmZp
Y2lhbCBqb3VybmFsIG9mIHRoZSBTb2NpZXR5IGZvciBSZXNlYXJjaCBvbiBOaWNvdGluZSBhbmQg
VG9iYWNjbzwvYWx0LXRpdGxlPjwvdGl0bGVzPjxwZXJpb2RpY2FsPjxmdWxsLXRpdGxlPk5pY290
aW5lIFRvYiBSZXM8L2Z1bGwtdGl0bGU+PGFiYnItMT5OaWNvdGluZSAmYW1wOyB0b2JhY2NvIHJl
c2VhcmNoIDogb2ZmaWNpYWwgam91cm5hbCBvZiB0aGUgU29jaWV0eSBmb3IgUmVzZWFyY2ggb24g
Tmljb3RpbmUgYW5kIFRvYmFjY288L2FiYnItMT48L3BlcmlvZGljYWw+PGFsdC1wZXJpb2RpY2Fs
PjxmdWxsLXRpdGxlPk5pY290aW5lIFRvYiBSZXM8L2Z1bGwtdGl0bGU+PGFiYnItMT5OaWNvdGlu
ZSAmYW1wOyB0b2JhY2NvIHJlc2VhcmNoIDogb2ZmaWNpYWwgam91cm5hbCBvZiB0aGUgU29jaWV0
eSBmb3IgUmVzZWFyY2ggb24gTmljb3RpbmUgYW5kIFRvYmFjY288L2FiYnItMT48L2FsdC1wZXJp
b2RpY2FsPjxwYWdlcz4xNTMxLTE1MzU8L3BhZ2VzPjx2b2x1bWU+MTk8L3ZvbHVtZT48bnVtYmVy
PjEyPC9udW1iZXI+PGVkaXRpb24+MjAxNi8wOS8yNTwvZWRpdGlvbj48ZGF0ZXM+PHllYXI+MjAx
NzwveWVhcj48cHViLWRhdGVzPjxkYXRlPk5vdiA3PC9kYXRlPjwvcHViLWRhdGVzPjwvZGF0ZXM+
PGlzYm4+MTQ2Mi0yMjAzPC9pc2JuPjxhY2Nlc3Npb24tbnVtPjI3NjYzNzgxPC9hY2Nlc3Npb24t
bnVtPjx1cmxzPjxyZWxhdGVkLXVybHM+PHVybD5odHRwczovL3dhdGVybWFyay5zaWx2ZXJjaGFp
ci5jb20vbnR3MjQ4LnBkZj90b2tlbj1BUUVDQUhpMjA4QkU0OU9vYW45a2toV19FcmN5N0RtM1pM
XzlDZjNxZktBYzQ4NXlzZ0FBQWJZd2dnR3lCZ2txaGtpRzl3MEJCd2FnZ2dHak1JSUJud0lCQURD
Q0FaZ0dDU3FHU0liM0RRRUhBVEFlQmdsZ2hrZ0JaUU1FQVM0d0VRUU1PN2ljN2MwTDdzWUZmY0h3
QWdFUWdJSUJhUnJua0l3ckZaY1dsSXRyYjMzd1VOMGpjX25CSXFqbG1iaXZUWDF5c1ZRdFVjc1BM
VUFVOHhrRERpeWZMc20tVzVQb1J1ZFNlYUdLYmFoY3Z4VEdTc0pMTnFSRjRZRnJ6eDN1VUl4TzV0
bzVLWkJrUXZlZHg4ZkJ0QU5SZGZ4T1E4dFNoMm1hdDNBaVhlMGRvLXVhUHJRdzRnR1ZfbnduZW0w
WF9rbUdoMm1LSFpBeUxkRjJOX0VDWlVRaDJ4Nm5PTWdJUnphY2ZWckhHbDNEcFhtZ1FUemxsMDdO
b0tmTzBydVk5V3ZVTXkxdV9Hb01vYmdtUFhiazZUZG1GZm1MSzRmaHRpanRKNm4yVFVIQXQyRDdG
Y3UxVTFIS1FjTXg4SDJiSlJPTFNkcjRxdjloN0czdzZscDBLVmZfdEdQU0N5di1KU1AtZDZPQzd4
akdndEpfSGZTck0wdF9aR3dMQy1FVW1vak5xWmR5WXlOUjF2eFdvb19yS0FoZWVpWUxNeGNLWThl
TkVYNU96OVBVSTM4NFlyV1hmZGlNMF8wbDlUcjBuS2MzdlUzUXRWT3hqZWpTR3JwbHZidHRXOGtr
YjRCRG4wU2Q3VHZDNTI0VDIwWGF5aTlJd2NwTm12WjA2WUk8L3VybD48dXJsPmh0dHBzOi8vd2F0
ZXJtYXJrLnNpbHZlcmNoYWlyLmNvbS9udHcyNDgucGRmP3Rva2VuPUFRRUNBSGkyMDhCRTQ5T29h
bjlra2hXX0VyY3k3RG0zWkxfOUNmM3FmS0FjNDg1eXNnQUFBY0l3Z2dHLUJna3Foa2lHOXcwQkJ3
YWdnZ0d2TUlJQnF3SUJBRENDQWFRR0NTcUdTSWIzRFFFSEFUQWVCZ2xnaGtnQlpRTUVBUzR3RVFR
TVFtdDA3djN5dXVRYVFoTWFBZ0VRZ0lJQmRUTG5UTUhjcjdFTV95Ynl1c2ZmcThMZTZqTjNaQUtM
a0ZJYXlucm01YWxfN1lfMUN6N2tFWTNmbkF6ZkJNZzlNMERVTjVzampXejIwNGxaRTBiVC1XNzZP
djh6R2R2VFAzWWR1cmhqSllBdGk5WWNNLWZPSUtZYWhTRzRQRy1SSWNJQS13Tk1FZ18yU0lTX1JW
dVJqV2ZrODZfeVNna1BOamFDMEo4T1dVODA2N1Y0a0poVlY2UFYyTElRN1lXcjh3bVNVQWpXcXQ3
TjVIUmFpdVBUWndBTjlidzdKVXZueGkwa0I3QjQxSTJweVVGX0o4bDlUNmRKdWtqcE96ZUM5TWst
d0ZDU24wYkdheGJNTkVUZlZzNy0wX2JmbV9EbXRXU0tMdjRpbnEwenlaNXdHTy1hRHNSRUFYVEhi
cThMM25LZDloT3A5dWFENUcxSW5KbWZoRDcwaklBd0xPdXhzbl9pbFk1cFp1aHlGZ1Nla21hNWxW
dXV4Y0J4QllHRUktVWpna3ljWXJ1aFgyU212amxLSFZ4b29remZpYTN3YWFNQVFBWkZJN1hMMmd1
NFRlTFpIZzdDN0E2d1FZbHFQaVBTSmQ0Z0h2a3ByTUp2Qlk4VDdtaUdHNEI2RmxpVWx2bnl1WGx5
TU9SOEhLMWRPdFk8L3VybD48L3JlbGF0ZWQtdXJscz48L3VybHM+PGVsZWN0cm9uaWMtcmVzb3Vy
Y2UtbnVtPjEwLjEwOTMvbnRyL250dzI0ODwvZWxlY3Ryb25pYy1yZXNvdXJjZS1udW0+PHJlbW90
ZS1kYXRhYmFzZS1wcm92aWRlcj5OTE08L3JlbW90ZS1kYXRhYmFzZS1wcm92aWRlcj48bGFuZ3Vh
Z2U+ZW5nPC9sYW5ndWFnZT48L3JlY29yZD48L0NpdGU+PC9FbmROb3RlPn==
</w:fldData>
        </w:fldChar>
      </w:r>
      <w:r>
        <w:instrText xml:space="preserve"> ADDIN EN.CITE.DATA </w:instrText>
      </w:r>
      <w:r>
        <w:fldChar w:fldCharType="end"/>
      </w:r>
      <w:r>
        <w:fldChar w:fldCharType="separate"/>
      </w:r>
      <w:r>
        <w:rPr>
          <w:noProof/>
        </w:rPr>
        <w:t>(Camenga, Kong et al. 2017)</w:t>
      </w:r>
      <w:r>
        <w:fldChar w:fldCharType="end"/>
      </w:r>
      <w:r>
        <w:t>. This study surveyed 4</w:t>
      </w:r>
      <w:r w:rsidR="00F02D3D">
        <w:t>,</w:t>
      </w:r>
      <w:r>
        <w:t>969 students who were established smokers, with a mean age of 18.3 years and who were 49.3% male. Response rates ranged from 87.1</w:t>
      </w:r>
      <w:r w:rsidR="00F02D3D">
        <w:t>%</w:t>
      </w:r>
      <w:r>
        <w:t xml:space="preserve"> to 94.1% for college and school students. After adjusting for confounders including race, e</w:t>
      </w:r>
      <w:r>
        <w:noBreakHyphen/>
        <w:t>cigarette frequency and e</w:t>
      </w:r>
      <w:r>
        <w:noBreakHyphen/>
        <w:t>cigarette flavours, 41.8% of the young adult smokers surveyed had used e</w:t>
      </w:r>
      <w:r>
        <w:noBreakHyphen/>
        <w:t>cigarettes to quit. However, the results also found no association between e</w:t>
      </w:r>
      <w:r>
        <w:noBreakHyphen/>
        <w:t>cigarette use to quit smoking and current smoking status. This key finding suggests that while e</w:t>
      </w:r>
      <w:r>
        <w:noBreakHyphen/>
        <w:t>cigarettes may be used with the intention of smoking cessation, they may not be effective.</w:t>
      </w:r>
    </w:p>
    <w:p w14:paraId="4C31BC9D" w14:textId="77777777" w:rsidR="002738DD" w:rsidRDefault="002738DD" w:rsidP="002738DD">
      <w:pPr>
        <w:pStyle w:val="BodyText"/>
      </w:pPr>
    </w:p>
    <w:p w14:paraId="2B1DA289" w14:textId="77777777" w:rsidR="002738DD" w:rsidRDefault="002738DD" w:rsidP="002738DD">
      <w:pPr>
        <w:pStyle w:val="Heading3"/>
      </w:pPr>
      <w:r>
        <w:t>Conclusions</w:t>
      </w:r>
    </w:p>
    <w:p w14:paraId="2AF130E5" w14:textId="5951558D" w:rsidR="002738DD" w:rsidRDefault="002738DD" w:rsidP="002738DD">
      <w:pPr>
        <w:pStyle w:val="BodyText"/>
      </w:pPr>
      <w:r>
        <w:t>The randomised controlled trial found that using an e</w:t>
      </w:r>
      <w:r>
        <w:noBreakHyphen/>
        <w:t>cigarette did not increase the participants’ ability to quit smoking temporarily. However, the non-randomised trial found an association with e</w:t>
      </w:r>
      <w:r>
        <w:noBreakHyphen/>
        <w:t xml:space="preserve">cigarette use and ability to quit smoking for </w:t>
      </w:r>
      <w:r w:rsidR="000E5C99">
        <w:t>three</w:t>
      </w:r>
      <w:r>
        <w:t xml:space="preserve"> days. Additionally, the four cross</w:t>
      </w:r>
      <w:r>
        <w:noBreakHyphen/>
        <w:t>sectional studies found an association between quit attempts and e</w:t>
      </w:r>
      <w:r>
        <w:noBreakHyphen/>
        <w:t>cigarette use. However, cause and effect cannot be concluded from cross</w:t>
      </w:r>
      <w:r>
        <w:noBreakHyphen/>
        <w:t>sectional studies. The e</w:t>
      </w:r>
      <w:r>
        <w:noBreakHyphen/>
        <w:t xml:space="preserve">cigarette users may have possessed other traits which made them more likely to attempt to quit smoking, e.g. higher motivation to quit. Overall, there is insufficient evidence to form a conclusion. In particular, more randomised controlled trials are needed. Additionally, quit attempts may not reflect the ability to quit smoking permanently. </w:t>
      </w:r>
    </w:p>
    <w:p w14:paraId="01ED93D7" w14:textId="77777777" w:rsidR="002738DD" w:rsidRPr="00455B41" w:rsidRDefault="002738DD" w:rsidP="002738DD">
      <w:pPr>
        <w:pStyle w:val="BodyText"/>
      </w:pPr>
    </w:p>
    <w:p w14:paraId="124D5FFF" w14:textId="77777777" w:rsidR="002738DD" w:rsidRDefault="002738DD" w:rsidP="002738DD">
      <w:pPr>
        <w:pStyle w:val="Heading3"/>
      </w:pPr>
      <w:r>
        <w:lastRenderedPageBreak/>
        <w:t>Key findings</w:t>
      </w:r>
    </w:p>
    <w:p w14:paraId="3D6878A7" w14:textId="77777777" w:rsidR="002738DD" w:rsidRDefault="002738DD" w:rsidP="002738DD">
      <w:pPr>
        <w:pStyle w:val="BodyText"/>
        <w:numPr>
          <w:ilvl w:val="0"/>
          <w:numId w:val="68"/>
        </w:numPr>
      </w:pPr>
      <w:r>
        <w:t>There is insufficient evidence from recent studies to draw a conclusion on whether the use of e</w:t>
      </w:r>
      <w:r>
        <w:noBreakHyphen/>
        <w:t>cigarettes can lead to an increased number of quit attempts.</w:t>
      </w:r>
    </w:p>
    <w:p w14:paraId="6BE9864B" w14:textId="77777777" w:rsidR="002738DD" w:rsidRDefault="002738DD" w:rsidP="002738DD">
      <w:pPr>
        <w:pStyle w:val="BodyText"/>
        <w:numPr>
          <w:ilvl w:val="0"/>
          <w:numId w:val="68"/>
        </w:numPr>
      </w:pPr>
      <w:r>
        <w:t>More randomised controlled trials are required.</w:t>
      </w:r>
    </w:p>
    <w:p w14:paraId="78D1CD19" w14:textId="77777777" w:rsidR="002738DD" w:rsidRDefault="002738DD" w:rsidP="002738DD">
      <w:pPr>
        <w:pStyle w:val="BodyText"/>
        <w:numPr>
          <w:ilvl w:val="0"/>
          <w:numId w:val="68"/>
        </w:numPr>
      </w:pPr>
      <w:r>
        <w:t>Number of quit attempts may not reflect successful smoking cessation.</w:t>
      </w:r>
    </w:p>
    <w:p w14:paraId="23B640FA" w14:textId="77777777" w:rsidR="002738DD" w:rsidRPr="00F25144" w:rsidRDefault="002738DD" w:rsidP="002738DD">
      <w:pPr>
        <w:pStyle w:val="BodyText"/>
        <w:numPr>
          <w:ilvl w:val="0"/>
          <w:numId w:val="68"/>
        </w:numPr>
      </w:pPr>
      <w:r>
        <w:t>While cross</w:t>
      </w:r>
      <w:r>
        <w:noBreakHyphen/>
        <w:t>sectional studies indicate a relationship between quit attempts and e</w:t>
      </w:r>
      <w:r>
        <w:noBreakHyphen/>
        <w:t>cigarette use, the association may be due to motivation (i.e. smokers who are motivated to quit smoking may attempt to quit smoking and may also try e</w:t>
      </w:r>
      <w:r>
        <w:noBreakHyphen/>
        <w:t>cigarettes).</w:t>
      </w:r>
    </w:p>
    <w:p w14:paraId="21E78B44" w14:textId="77777777" w:rsidR="00235C5A" w:rsidRPr="00235C5A" w:rsidRDefault="00235C5A" w:rsidP="00235C5A">
      <w:pPr>
        <w:pStyle w:val="BodyText"/>
      </w:pPr>
    </w:p>
    <w:p w14:paraId="4AD67E61" w14:textId="6E7AC5E7" w:rsidR="00753345" w:rsidRDefault="00955544" w:rsidP="00997969">
      <w:pPr>
        <w:pStyle w:val="Heading2"/>
      </w:pPr>
      <w:bookmarkStart w:id="135" w:name="_Toc515229958"/>
      <w:r>
        <w:t xml:space="preserve"> </w:t>
      </w:r>
      <w:bookmarkStart w:id="136" w:name="_Toc517706687"/>
      <w:r w:rsidR="00753345">
        <w:t>Smoking cessation rates</w:t>
      </w:r>
      <w:bookmarkEnd w:id="135"/>
      <w:bookmarkEnd w:id="136"/>
    </w:p>
    <w:p w14:paraId="21BB1E71" w14:textId="77777777" w:rsidR="002738DD" w:rsidRDefault="002738DD" w:rsidP="002738DD">
      <w:pPr>
        <w:pStyle w:val="BodyText"/>
      </w:pPr>
      <w:r>
        <w:t>Four randomised controlled trials,</w:t>
      </w:r>
      <w:r w:rsidRPr="00FA640F">
        <w:t xml:space="preserve"> </w:t>
      </w:r>
      <w:r>
        <w:t>one uncontrolled trial, ten longitudinal studies and ten cross</w:t>
      </w:r>
      <w:r>
        <w:noBreakHyphen/>
        <w:t xml:space="preserve">sectional surveys, and included smoking cessation as a study factor, outcome or trial endpoint. </w:t>
      </w:r>
    </w:p>
    <w:p w14:paraId="228B884E" w14:textId="77777777" w:rsidR="002738DD" w:rsidRDefault="002738DD" w:rsidP="002738DD">
      <w:pPr>
        <w:pStyle w:val="BodyText"/>
      </w:pPr>
    </w:p>
    <w:p w14:paraId="5DF8D51A" w14:textId="77777777" w:rsidR="002738DD" w:rsidRDefault="002738DD" w:rsidP="002738DD">
      <w:pPr>
        <w:pStyle w:val="Heading3"/>
      </w:pPr>
      <w:r>
        <w:t>Randomised control trials</w:t>
      </w:r>
    </w:p>
    <w:p w14:paraId="2E142C33" w14:textId="77777777" w:rsidR="002738DD" w:rsidRDefault="002738DD" w:rsidP="002738DD">
      <w:pPr>
        <w:pStyle w:val="BodyText"/>
      </w:pPr>
      <w:r>
        <w:t>Randomised controlled trials (RCTs) provide insight into the use of e</w:t>
      </w:r>
      <w:r>
        <w:noBreakHyphen/>
        <w:t>cigarettes for smoking cessation. There were four RCTs which provided smokers with nicotine</w:t>
      </w:r>
      <w:r>
        <w:noBreakHyphen/>
        <w:t>free or nicotine</w:t>
      </w:r>
      <w:r>
        <w:noBreakHyphen/>
        <w:t>containing e</w:t>
      </w:r>
      <w:r>
        <w:noBreakHyphen/>
        <w:t>cigarettes and measured quit attempts and quit status.</w:t>
      </w:r>
    </w:p>
    <w:p w14:paraId="56F06DA1" w14:textId="77777777" w:rsidR="002738DD" w:rsidRDefault="002738DD" w:rsidP="002738DD">
      <w:pPr>
        <w:pStyle w:val="BodyText"/>
      </w:pPr>
    </w:p>
    <w:p w14:paraId="60AA8FCE" w14:textId="51136ED6" w:rsidR="002738DD" w:rsidRDefault="002738DD" w:rsidP="002738DD">
      <w:pPr>
        <w:pStyle w:val="BodyText"/>
      </w:pPr>
      <w:r>
        <w:t>A double</w:t>
      </w:r>
      <w:r>
        <w:noBreakHyphen/>
        <w:t>blind, parallel 24 week RCT from the USA included 40 participants (20 in each group), 52.5% of whom were female, with a mean age of 53</w:t>
      </w:r>
      <w:r w:rsidR="000E5C99">
        <w:t xml:space="preserve"> </w:t>
      </w:r>
      <w:r>
        <w:t>(</w:t>
      </w:r>
      <w:r>
        <w:rPr>
          <w:rFonts w:cs="Calibri"/>
        </w:rPr>
        <w:t>±</w:t>
      </w:r>
      <w:r>
        <w:t xml:space="preserve">10.1) years </w:t>
      </w:r>
      <w:r>
        <w:fldChar w:fldCharType="begin">
          <w:fldData xml:space="preserve">PEVuZE5vdGU+PENpdGU+PEF1dGhvcj5CYWxkYXNzYXJyaTwvQXV0aG9yPjxZZWFyPjIwMTg8L1ll
YXI+PFJlY051bT40NzAzPC9SZWNOdW0+PERpc3BsYXlUZXh0PihCYWxkYXNzYXJyaSwgQmVybnN0
ZWluIGV0IGFsLiAyMDE4KTwvRGlzcGxheVRleHQ+PHJlY29yZD48cmVjLW51bWJlcj40NzAzPC9y
ZWMtbnVtYmVyPjxmb3JlaWduLWtleXM+PGtleSBhcHA9IkVOIiBkYi1pZD0iOXowNWR6MHByYWFk
ZnVlZTB6b3h6ZWRrOXpmZTVmeHg1MHo1IiB0aW1lc3RhbXA9IjE1MjM5MjAzODUiPjQ3MDM8L2tl
eT48L2ZvcmVpZ24ta2V5cz48cmVmLXR5cGUgbmFtZT0iSm91cm5hbCBBcnRpY2xlIj4xNzwvcmVm
LXR5cGU+PGNvbnRyaWJ1dG9ycz48YXV0aG9ycz48YXV0aG9yPkJhbGRhc3NhcnJpLCBTLiBSLjwv
YXV0aG9yPjxhdXRob3I+QmVybnN0ZWluLCBTLiBMLjwvYXV0aG9yPjxhdXRob3I+Q2h1cHAsIEcu
IEwuPC9hdXRob3I+PGF1dGhvcj5TbGFkZSwgTS4gRC48L2F1dGhvcj48YXV0aG9yPkZ1Y2l0bywg
TC4gTS48L2F1dGhvcj48YXV0aG9yPlRvbGwsIEIuIEEuPC9hdXRob3I+PC9hdXRob3JzPjwvY29u
dHJpYnV0b3JzPjxhdXRoLWFkZHJlc3M+RGVwYXJ0bWVudCBvZiBJbnRlcm5hbCBNZWRpY2luZSwg
U2VjdGlvbiBvZiBQdWxtb25hcnkgJmFtcDsgQ3JpdGljYWwgQ2FyZSBNZWRpY2luZSwgWWFsZSBT
Y2hvb2wgb2YgTWVkaWNpbmUsIE5ldyBIYXZlbiwgQ1QsIFVuaXRlZCBTdGF0ZXMuIEVsZWN0cm9u
aWMgYWRkcmVzczogc3RlcGhlbi5iYWxkYXNzYXJyaUB5YWxlLmVkdS4mI3hEO0RlcGFydG1lbnQg
b2YgRW1lcmdlbmN5IE1lZGljaW5lLCBZYWxlIFNjaG9vbCBvZiBNZWRpY2luZSwgTmV3IEhhdmVu
LCBDVCwgVW5pdGVkIFN0YXRlczsgRGVwYXJ0bWVudCBvZiBIZWFsdGggUG9saWN5LCBZYWxlIFNj
aG9vbCBvZiBQdWJsaWMgSGVhbHRoLCBVbml0ZWQgU3RhdGVzOyBZYWxlIENhbmNlciBDZW50ZXIs
IFVuaXRlZCBTdGF0ZXMuJiN4RDtEZXBhcnRtZW50IG9mIEludGVybmFsIE1lZGljaW5lLCBTZWN0
aW9uIG9mIFB1bG1vbmFyeSAmYW1wOyBDcml0aWNhbCBDYXJlIE1lZGljaW5lLCBZYWxlIFNjaG9v
bCBvZiBNZWRpY2luZSwgTmV3IEhhdmVuLCBDVCwgVW5pdGVkIFN0YXRlcy4mI3hEO09jY3VwYXRp
b25hbCBhbmQgRW52aXJvbm1lbnRhbCBNZWRpY2luZSBQcm9ncmFtLCBEZXBhcnRtZW50IG9mIElu
dGVybmFsIE1lZGljaW5lLCBZYWxlIFNjaG9vbCBvZiBNZWRpY2luZSwgTmV3IEhhdmVuLCBDVCwg
VW5pdGVkIFN0YXRlcy4mI3hEO1lhbGUgQ2FuY2VyIENlbnRlciwgVW5pdGVkIFN0YXRlczsgU21p
bG93IENhbmNlciBDZW50ZXIgYXQgWWFsZSwgTmV3IEhhdmVuIEhvc3BpdGFsLCBVbml0ZWQgU3Rh
dGVzOyBEZXBhcnRtZW50IG9mIFBzeWNoaWF0cnksIFlhbGUgU2Nob29sIG9mIE1lZGljaW5lLCBO
ZXcgSGF2ZW4sIENULCBVbml0ZWQgU3RhdGVzLiYjeEQ7RGVwYXJ0bWVudCBvZiBQdWJsaWMgSGVh
bHRoIFNjaWVuY2VzLCBNZWRpY2FsIFVuaXZlcnNpdHkgb2YgU291dGggQ2Fyb2xpbmEsIENoYXJs
ZXN0b24sIFNDLCBVbml0ZWQgU3RhdGVzOyBIb2xsaW5ncyBDYW5jZXIgQ2VudGVyLCBDaGFybGVz
dG9uLCBTQywgVW5pdGVkIFN0YXRlczsgRGVwYXJ0bWVudCBvZiBQc3ljaGlhdHJ5LCBZYWxlIFNj
aG9vbCBvZiBNZWRpY2luZSwgTmV3IEhhdmVuLCBDVCwgVW5pdGVkIFN0YXRlcy48L2F1dGgtYWRk
cmVzcz48dGl0bGVzPjx0aXRsZT5FbGVjdHJvbmljIGNpZ2FyZXR0ZXMgZm9yIGFkdWx0cyB3aXRo
IHRvYmFjY28gZGVwZW5kZW5jZSBlbnJvbGxlZCBpbiBhIHRvYmFjY28gdHJlYXRtZW50IHByb2dy
YW06IEEgcGlsb3Qgc3R1ZHk8L3RpdGxlPjxzZWNvbmRhcnktdGl0bGU+QWRkaWN0IEJlaGF2PC9z
ZWNvbmRhcnktdGl0bGU+PGFsdC10aXRsZT5BZGRpY3RpdmUgYmVoYXZpb3JzPC9hbHQtdGl0bGU+
PC90aXRsZXM+PGFsdC1wZXJpb2RpY2FsPjxmdWxsLXRpdGxlPkFkZGljdGl2ZSBCZWhhdmlvcnM8
L2Z1bGwtdGl0bGU+PC9hbHQtcGVyaW9kaWNhbD48cGFnZXM+MS01PC9wYWdlcz48dm9sdW1lPjgw
PC92b2x1bWU+PGVkaXRpb24+MjAxOC8wMS8wNjwvZWRpdGlvbj48a2V5d29yZHM+PGtleXdvcmQ+
RWxlY3Ryb25pYyBjaWdhcmV0dGU8L2tleXdvcmQ+PGtleXdvcmQ+U21va2luZyBjZXNzYXRpb248
L2tleXdvcmQ+PGtleXdvcmQ+VG9iYWNjbyB0cmVhdG1lbnQ8L2tleXdvcmQ+PC9rZXl3b3Jkcz48
ZGF0ZXM+PHllYXI+MjAxODwveWVhcj48cHViLWRhdGVzPjxkYXRlPk1heTwvZGF0ZT48L3B1Yi1k
YXRlcz48L2RhdGVzPjxpc2JuPjAzMDYtNDYwMzwvaXNibj48YWNjZXNzaW9uLW51bT4yOTMwNDM5
NTwvYWNjZXNzaW9uLW51bT48dXJscz48cmVsYXRlZC11cmxzPjx1cmw+aHR0cHM6Ly93d3cuc2Np
ZW5jZWRpcmVjdC5jb20vc2NpZW5jZS9hcnRpY2xlL3BpaS9TMDMwNjQ2MDMxNzMwNDQyMj92aWEl
M0RpaHViPC91cmw+PC9yZWxhdGVkLXVybHM+PC91cmxzPjxlbGVjdHJvbmljLXJlc291cmNlLW51
bT4xMC4xMDE2L2ouYWRkYmVoLjIwMTcuMTEuMDMzPC9lbGVjdHJvbmljLXJlc291cmNlLW51bT48
cmVtb3RlLWRhdGFiYXNlLXByb3ZpZGVyPk5MTTwvcmVtb3RlLWRhdGFiYXNlLXByb3ZpZGVyPjxs
YW5ndWFnZT5lbmc8L2xhbmd1YWdlPjwvcmVjb3JkPjwvQ2l0ZT48L0VuZE5vdGU+
</w:fldData>
        </w:fldChar>
      </w:r>
      <w:r>
        <w:instrText xml:space="preserve"> ADDIN EN.CITE </w:instrText>
      </w:r>
      <w:r>
        <w:fldChar w:fldCharType="begin">
          <w:fldData xml:space="preserve">PEVuZE5vdGU+PENpdGU+PEF1dGhvcj5CYWxkYXNzYXJyaTwvQXV0aG9yPjxZZWFyPjIwMTg8L1ll
YXI+PFJlY051bT40NzAzPC9SZWNOdW0+PERpc3BsYXlUZXh0PihCYWxkYXNzYXJyaSwgQmVybnN0
ZWluIGV0IGFsLiAyMDE4KTwvRGlzcGxheVRleHQ+PHJlY29yZD48cmVjLW51bWJlcj40NzAzPC9y
ZWMtbnVtYmVyPjxmb3JlaWduLWtleXM+PGtleSBhcHA9IkVOIiBkYi1pZD0iOXowNWR6MHByYWFk
ZnVlZTB6b3h6ZWRrOXpmZTVmeHg1MHo1IiB0aW1lc3RhbXA9IjE1MjM5MjAzODUiPjQ3MDM8L2tl
eT48L2ZvcmVpZ24ta2V5cz48cmVmLXR5cGUgbmFtZT0iSm91cm5hbCBBcnRpY2xlIj4xNzwvcmVm
LXR5cGU+PGNvbnRyaWJ1dG9ycz48YXV0aG9ycz48YXV0aG9yPkJhbGRhc3NhcnJpLCBTLiBSLjwv
YXV0aG9yPjxhdXRob3I+QmVybnN0ZWluLCBTLiBMLjwvYXV0aG9yPjxhdXRob3I+Q2h1cHAsIEcu
IEwuPC9hdXRob3I+PGF1dGhvcj5TbGFkZSwgTS4gRC48L2F1dGhvcj48YXV0aG9yPkZ1Y2l0bywg
TC4gTS48L2F1dGhvcj48YXV0aG9yPlRvbGwsIEIuIEEuPC9hdXRob3I+PC9hdXRob3JzPjwvY29u
dHJpYnV0b3JzPjxhdXRoLWFkZHJlc3M+RGVwYXJ0bWVudCBvZiBJbnRlcm5hbCBNZWRpY2luZSwg
U2VjdGlvbiBvZiBQdWxtb25hcnkgJmFtcDsgQ3JpdGljYWwgQ2FyZSBNZWRpY2luZSwgWWFsZSBT
Y2hvb2wgb2YgTWVkaWNpbmUsIE5ldyBIYXZlbiwgQ1QsIFVuaXRlZCBTdGF0ZXMuIEVsZWN0cm9u
aWMgYWRkcmVzczogc3RlcGhlbi5iYWxkYXNzYXJyaUB5YWxlLmVkdS4mI3hEO0RlcGFydG1lbnQg
b2YgRW1lcmdlbmN5IE1lZGljaW5lLCBZYWxlIFNjaG9vbCBvZiBNZWRpY2luZSwgTmV3IEhhdmVu
LCBDVCwgVW5pdGVkIFN0YXRlczsgRGVwYXJ0bWVudCBvZiBIZWFsdGggUG9saWN5LCBZYWxlIFNj
aG9vbCBvZiBQdWJsaWMgSGVhbHRoLCBVbml0ZWQgU3RhdGVzOyBZYWxlIENhbmNlciBDZW50ZXIs
IFVuaXRlZCBTdGF0ZXMuJiN4RDtEZXBhcnRtZW50IG9mIEludGVybmFsIE1lZGljaW5lLCBTZWN0
aW9uIG9mIFB1bG1vbmFyeSAmYW1wOyBDcml0aWNhbCBDYXJlIE1lZGljaW5lLCBZYWxlIFNjaG9v
bCBvZiBNZWRpY2luZSwgTmV3IEhhdmVuLCBDVCwgVW5pdGVkIFN0YXRlcy4mI3hEO09jY3VwYXRp
b25hbCBhbmQgRW52aXJvbm1lbnRhbCBNZWRpY2luZSBQcm9ncmFtLCBEZXBhcnRtZW50IG9mIElu
dGVybmFsIE1lZGljaW5lLCBZYWxlIFNjaG9vbCBvZiBNZWRpY2luZSwgTmV3IEhhdmVuLCBDVCwg
VW5pdGVkIFN0YXRlcy4mI3hEO1lhbGUgQ2FuY2VyIENlbnRlciwgVW5pdGVkIFN0YXRlczsgU21p
bG93IENhbmNlciBDZW50ZXIgYXQgWWFsZSwgTmV3IEhhdmVuIEhvc3BpdGFsLCBVbml0ZWQgU3Rh
dGVzOyBEZXBhcnRtZW50IG9mIFBzeWNoaWF0cnksIFlhbGUgU2Nob29sIG9mIE1lZGljaW5lLCBO
ZXcgSGF2ZW4sIENULCBVbml0ZWQgU3RhdGVzLiYjeEQ7RGVwYXJ0bWVudCBvZiBQdWJsaWMgSGVh
bHRoIFNjaWVuY2VzLCBNZWRpY2FsIFVuaXZlcnNpdHkgb2YgU291dGggQ2Fyb2xpbmEsIENoYXJs
ZXN0b24sIFNDLCBVbml0ZWQgU3RhdGVzOyBIb2xsaW5ncyBDYW5jZXIgQ2VudGVyLCBDaGFybGVz
dG9uLCBTQywgVW5pdGVkIFN0YXRlczsgRGVwYXJ0bWVudCBvZiBQc3ljaGlhdHJ5LCBZYWxlIFNj
aG9vbCBvZiBNZWRpY2luZSwgTmV3IEhhdmVuLCBDVCwgVW5pdGVkIFN0YXRlcy48L2F1dGgtYWRk
cmVzcz48dGl0bGVzPjx0aXRsZT5FbGVjdHJvbmljIGNpZ2FyZXR0ZXMgZm9yIGFkdWx0cyB3aXRo
IHRvYmFjY28gZGVwZW5kZW5jZSBlbnJvbGxlZCBpbiBhIHRvYmFjY28gdHJlYXRtZW50IHByb2dy
YW06IEEgcGlsb3Qgc3R1ZHk8L3RpdGxlPjxzZWNvbmRhcnktdGl0bGU+QWRkaWN0IEJlaGF2PC9z
ZWNvbmRhcnktdGl0bGU+PGFsdC10aXRsZT5BZGRpY3RpdmUgYmVoYXZpb3JzPC9hbHQtdGl0bGU+
PC90aXRsZXM+PGFsdC1wZXJpb2RpY2FsPjxmdWxsLXRpdGxlPkFkZGljdGl2ZSBCZWhhdmlvcnM8
L2Z1bGwtdGl0bGU+PC9hbHQtcGVyaW9kaWNhbD48cGFnZXM+MS01PC9wYWdlcz48dm9sdW1lPjgw
PC92b2x1bWU+PGVkaXRpb24+MjAxOC8wMS8wNjwvZWRpdGlvbj48a2V5d29yZHM+PGtleXdvcmQ+
RWxlY3Ryb25pYyBjaWdhcmV0dGU8L2tleXdvcmQ+PGtleXdvcmQ+U21va2luZyBjZXNzYXRpb248
L2tleXdvcmQ+PGtleXdvcmQ+VG9iYWNjbyB0cmVhdG1lbnQ8L2tleXdvcmQ+PC9rZXl3b3Jkcz48
ZGF0ZXM+PHllYXI+MjAxODwveWVhcj48cHViLWRhdGVzPjxkYXRlPk1heTwvZGF0ZT48L3B1Yi1k
YXRlcz48L2RhdGVzPjxpc2JuPjAzMDYtNDYwMzwvaXNibj48YWNjZXNzaW9uLW51bT4yOTMwNDM5
NTwvYWNjZXNzaW9uLW51bT48dXJscz48cmVsYXRlZC11cmxzPjx1cmw+aHR0cHM6Ly93d3cuc2Np
ZW5jZWRpcmVjdC5jb20vc2NpZW5jZS9hcnRpY2xlL3BpaS9TMDMwNjQ2MDMxNzMwNDQyMj92aWEl
M0RpaHViPC91cmw+PC9yZWxhdGVkLXVybHM+PC91cmxzPjxlbGVjdHJvbmljLXJlc291cmNlLW51
bT4xMC4xMDE2L2ouYWRkYmVoLjIwMTcuMTEuMDMzPC9lbGVjdHJvbmljLXJlc291cmNlLW51bT48
cmVtb3RlLWRhdGFiYXNlLXByb3ZpZGVyPk5MTTwvcmVtb3RlLWRhdGFiYXNlLXByb3ZpZGVyPjxs
YW5ndWFnZT5lbmc8L2xhbmd1YWdlPjwvcmVjb3JkPjwvQ2l0ZT48L0VuZE5vdGU+
</w:fldData>
        </w:fldChar>
      </w:r>
      <w:r>
        <w:instrText xml:space="preserve"> ADDIN EN.CITE.DATA </w:instrText>
      </w:r>
      <w:r>
        <w:fldChar w:fldCharType="end"/>
      </w:r>
      <w:r>
        <w:fldChar w:fldCharType="separate"/>
      </w:r>
      <w:r>
        <w:rPr>
          <w:noProof/>
        </w:rPr>
        <w:t>(Baldassarri, Bernstein et al. 2018)</w:t>
      </w:r>
      <w:r>
        <w:fldChar w:fldCharType="end"/>
      </w:r>
      <w:r>
        <w:t>. The main aim of the study was to determine the feasibility of adding e</w:t>
      </w:r>
      <w:r>
        <w:noBreakHyphen/>
        <w:t>cigarettes to an outpatient tobacco treatment centre. Participants were randomised to receive either a nicotine</w:t>
      </w:r>
      <w:r>
        <w:noBreakHyphen/>
        <w:t>containing e</w:t>
      </w:r>
      <w:r>
        <w:noBreakHyphen/>
        <w:t>cigarette (24 mg/mL nicotine) or a nicotine</w:t>
      </w:r>
      <w:r>
        <w:noBreakHyphen/>
        <w:t>free e</w:t>
      </w:r>
      <w:r>
        <w:noBreakHyphen/>
        <w:t>cigarette. They were then encouraged to use e</w:t>
      </w:r>
      <w:r>
        <w:noBreakHyphen/>
        <w:t>cigarettes instead of cigarettes and, if possible, abstain from both. There was no difference in quit status at 24 weeks in participants given a nicotine</w:t>
      </w:r>
      <w:r>
        <w:noBreakHyphen/>
        <w:t>free or nicotine</w:t>
      </w:r>
      <w:r>
        <w:noBreakHyphen/>
        <w:t>containing e</w:t>
      </w:r>
      <w:r>
        <w:noBreakHyphen/>
        <w:t>cigarette. 15% of participants were abstinent at 24 weeks and half of these were still using the e</w:t>
      </w:r>
      <w:r>
        <w:noBreakHyphen/>
        <w:t xml:space="preserve">cigarette </w:t>
      </w:r>
      <w:r>
        <w:fldChar w:fldCharType="begin">
          <w:fldData xml:space="preserve">PEVuZE5vdGU+PENpdGU+PEF1dGhvcj5CYWxkYXNzYXJyaTwvQXV0aG9yPjxZZWFyPjIwMTg8L1ll
YXI+PFJlY051bT40NzAzPC9SZWNOdW0+PERpc3BsYXlUZXh0PihCYWxkYXNzYXJyaSwgQmVybnN0
ZWluIGV0IGFsLiAyMDE4KTwvRGlzcGxheVRleHQ+PHJlY29yZD48cmVjLW51bWJlcj40NzAzPC9y
ZWMtbnVtYmVyPjxmb3JlaWduLWtleXM+PGtleSBhcHA9IkVOIiBkYi1pZD0iOXowNWR6MHByYWFk
ZnVlZTB6b3h6ZWRrOXpmZTVmeHg1MHo1IiB0aW1lc3RhbXA9IjE1MjM5MjAzODUiPjQ3MDM8L2tl
eT48L2ZvcmVpZ24ta2V5cz48cmVmLXR5cGUgbmFtZT0iSm91cm5hbCBBcnRpY2xlIj4xNzwvcmVm
LXR5cGU+PGNvbnRyaWJ1dG9ycz48YXV0aG9ycz48YXV0aG9yPkJhbGRhc3NhcnJpLCBTLiBSLjwv
YXV0aG9yPjxhdXRob3I+QmVybnN0ZWluLCBTLiBMLjwvYXV0aG9yPjxhdXRob3I+Q2h1cHAsIEcu
IEwuPC9hdXRob3I+PGF1dGhvcj5TbGFkZSwgTS4gRC48L2F1dGhvcj48YXV0aG9yPkZ1Y2l0bywg
TC4gTS48L2F1dGhvcj48YXV0aG9yPlRvbGwsIEIuIEEuPC9hdXRob3I+PC9hdXRob3JzPjwvY29u
dHJpYnV0b3JzPjxhdXRoLWFkZHJlc3M+RGVwYXJ0bWVudCBvZiBJbnRlcm5hbCBNZWRpY2luZSwg
U2VjdGlvbiBvZiBQdWxtb25hcnkgJmFtcDsgQ3JpdGljYWwgQ2FyZSBNZWRpY2luZSwgWWFsZSBT
Y2hvb2wgb2YgTWVkaWNpbmUsIE5ldyBIYXZlbiwgQ1QsIFVuaXRlZCBTdGF0ZXMuIEVsZWN0cm9u
aWMgYWRkcmVzczogc3RlcGhlbi5iYWxkYXNzYXJyaUB5YWxlLmVkdS4mI3hEO0RlcGFydG1lbnQg
b2YgRW1lcmdlbmN5IE1lZGljaW5lLCBZYWxlIFNjaG9vbCBvZiBNZWRpY2luZSwgTmV3IEhhdmVu
LCBDVCwgVW5pdGVkIFN0YXRlczsgRGVwYXJ0bWVudCBvZiBIZWFsdGggUG9saWN5LCBZYWxlIFNj
aG9vbCBvZiBQdWJsaWMgSGVhbHRoLCBVbml0ZWQgU3RhdGVzOyBZYWxlIENhbmNlciBDZW50ZXIs
IFVuaXRlZCBTdGF0ZXMuJiN4RDtEZXBhcnRtZW50IG9mIEludGVybmFsIE1lZGljaW5lLCBTZWN0
aW9uIG9mIFB1bG1vbmFyeSAmYW1wOyBDcml0aWNhbCBDYXJlIE1lZGljaW5lLCBZYWxlIFNjaG9v
bCBvZiBNZWRpY2luZSwgTmV3IEhhdmVuLCBDVCwgVW5pdGVkIFN0YXRlcy4mI3hEO09jY3VwYXRp
b25hbCBhbmQgRW52aXJvbm1lbnRhbCBNZWRpY2luZSBQcm9ncmFtLCBEZXBhcnRtZW50IG9mIElu
dGVybmFsIE1lZGljaW5lLCBZYWxlIFNjaG9vbCBvZiBNZWRpY2luZSwgTmV3IEhhdmVuLCBDVCwg
VW5pdGVkIFN0YXRlcy4mI3hEO1lhbGUgQ2FuY2VyIENlbnRlciwgVW5pdGVkIFN0YXRlczsgU21p
bG93IENhbmNlciBDZW50ZXIgYXQgWWFsZSwgTmV3IEhhdmVuIEhvc3BpdGFsLCBVbml0ZWQgU3Rh
dGVzOyBEZXBhcnRtZW50IG9mIFBzeWNoaWF0cnksIFlhbGUgU2Nob29sIG9mIE1lZGljaW5lLCBO
ZXcgSGF2ZW4sIENULCBVbml0ZWQgU3RhdGVzLiYjeEQ7RGVwYXJ0bWVudCBvZiBQdWJsaWMgSGVh
bHRoIFNjaWVuY2VzLCBNZWRpY2FsIFVuaXZlcnNpdHkgb2YgU291dGggQ2Fyb2xpbmEsIENoYXJs
ZXN0b24sIFNDLCBVbml0ZWQgU3RhdGVzOyBIb2xsaW5ncyBDYW5jZXIgQ2VudGVyLCBDaGFybGVz
dG9uLCBTQywgVW5pdGVkIFN0YXRlczsgRGVwYXJ0bWVudCBvZiBQc3ljaGlhdHJ5LCBZYWxlIFNj
aG9vbCBvZiBNZWRpY2luZSwgTmV3IEhhdmVuLCBDVCwgVW5pdGVkIFN0YXRlcy48L2F1dGgtYWRk
cmVzcz48dGl0bGVzPjx0aXRsZT5FbGVjdHJvbmljIGNpZ2FyZXR0ZXMgZm9yIGFkdWx0cyB3aXRo
IHRvYmFjY28gZGVwZW5kZW5jZSBlbnJvbGxlZCBpbiBhIHRvYmFjY28gdHJlYXRtZW50IHByb2dy
YW06IEEgcGlsb3Qgc3R1ZHk8L3RpdGxlPjxzZWNvbmRhcnktdGl0bGU+QWRkaWN0IEJlaGF2PC9z
ZWNvbmRhcnktdGl0bGU+PGFsdC10aXRsZT5BZGRpY3RpdmUgYmVoYXZpb3JzPC9hbHQtdGl0bGU+
PC90aXRsZXM+PGFsdC1wZXJpb2RpY2FsPjxmdWxsLXRpdGxlPkFkZGljdGl2ZSBCZWhhdmlvcnM8
L2Z1bGwtdGl0bGU+PC9hbHQtcGVyaW9kaWNhbD48cGFnZXM+MS01PC9wYWdlcz48dm9sdW1lPjgw
PC92b2x1bWU+PGVkaXRpb24+MjAxOC8wMS8wNjwvZWRpdGlvbj48a2V5d29yZHM+PGtleXdvcmQ+
RWxlY3Ryb25pYyBjaWdhcmV0dGU8L2tleXdvcmQ+PGtleXdvcmQ+U21va2luZyBjZXNzYXRpb248
L2tleXdvcmQ+PGtleXdvcmQ+VG9iYWNjbyB0cmVhdG1lbnQ8L2tleXdvcmQ+PC9rZXl3b3Jkcz48
ZGF0ZXM+PHllYXI+MjAxODwveWVhcj48cHViLWRhdGVzPjxkYXRlPk1heTwvZGF0ZT48L3B1Yi1k
YXRlcz48L2RhdGVzPjxpc2JuPjAzMDYtNDYwMzwvaXNibj48YWNjZXNzaW9uLW51bT4yOTMwNDM5
NTwvYWNjZXNzaW9uLW51bT48dXJscz48cmVsYXRlZC11cmxzPjx1cmw+aHR0cHM6Ly93d3cuc2Np
ZW5jZWRpcmVjdC5jb20vc2NpZW5jZS9hcnRpY2xlL3BpaS9TMDMwNjQ2MDMxNzMwNDQyMj92aWEl
M0RpaHViPC91cmw+PC9yZWxhdGVkLXVybHM+PC91cmxzPjxlbGVjdHJvbmljLXJlc291cmNlLW51
bT4xMC4xMDE2L2ouYWRkYmVoLjIwMTcuMTEuMDMzPC9lbGVjdHJvbmljLXJlc291cmNlLW51bT48
cmVtb3RlLWRhdGFiYXNlLXByb3ZpZGVyPk5MTTwvcmVtb3RlLWRhdGFiYXNlLXByb3ZpZGVyPjxs
YW5ndWFnZT5lbmc8L2xhbmd1YWdlPjwvcmVjb3JkPjwvQ2l0ZT48L0VuZE5vdGU+
</w:fldData>
        </w:fldChar>
      </w:r>
      <w:r>
        <w:instrText xml:space="preserve"> ADDIN EN.CITE </w:instrText>
      </w:r>
      <w:r>
        <w:fldChar w:fldCharType="begin">
          <w:fldData xml:space="preserve">PEVuZE5vdGU+PENpdGU+PEF1dGhvcj5CYWxkYXNzYXJyaTwvQXV0aG9yPjxZZWFyPjIwMTg8L1ll
YXI+PFJlY051bT40NzAzPC9SZWNOdW0+PERpc3BsYXlUZXh0PihCYWxkYXNzYXJyaSwgQmVybnN0
ZWluIGV0IGFsLiAyMDE4KTwvRGlzcGxheVRleHQ+PHJlY29yZD48cmVjLW51bWJlcj40NzAzPC9y
ZWMtbnVtYmVyPjxmb3JlaWduLWtleXM+PGtleSBhcHA9IkVOIiBkYi1pZD0iOXowNWR6MHByYWFk
ZnVlZTB6b3h6ZWRrOXpmZTVmeHg1MHo1IiB0aW1lc3RhbXA9IjE1MjM5MjAzODUiPjQ3MDM8L2tl
eT48L2ZvcmVpZ24ta2V5cz48cmVmLXR5cGUgbmFtZT0iSm91cm5hbCBBcnRpY2xlIj4xNzwvcmVm
LXR5cGU+PGNvbnRyaWJ1dG9ycz48YXV0aG9ycz48YXV0aG9yPkJhbGRhc3NhcnJpLCBTLiBSLjwv
YXV0aG9yPjxhdXRob3I+QmVybnN0ZWluLCBTLiBMLjwvYXV0aG9yPjxhdXRob3I+Q2h1cHAsIEcu
IEwuPC9hdXRob3I+PGF1dGhvcj5TbGFkZSwgTS4gRC48L2F1dGhvcj48YXV0aG9yPkZ1Y2l0bywg
TC4gTS48L2F1dGhvcj48YXV0aG9yPlRvbGwsIEIuIEEuPC9hdXRob3I+PC9hdXRob3JzPjwvY29u
dHJpYnV0b3JzPjxhdXRoLWFkZHJlc3M+RGVwYXJ0bWVudCBvZiBJbnRlcm5hbCBNZWRpY2luZSwg
U2VjdGlvbiBvZiBQdWxtb25hcnkgJmFtcDsgQ3JpdGljYWwgQ2FyZSBNZWRpY2luZSwgWWFsZSBT
Y2hvb2wgb2YgTWVkaWNpbmUsIE5ldyBIYXZlbiwgQ1QsIFVuaXRlZCBTdGF0ZXMuIEVsZWN0cm9u
aWMgYWRkcmVzczogc3RlcGhlbi5iYWxkYXNzYXJyaUB5YWxlLmVkdS4mI3hEO0RlcGFydG1lbnQg
b2YgRW1lcmdlbmN5IE1lZGljaW5lLCBZYWxlIFNjaG9vbCBvZiBNZWRpY2luZSwgTmV3IEhhdmVu
LCBDVCwgVW5pdGVkIFN0YXRlczsgRGVwYXJ0bWVudCBvZiBIZWFsdGggUG9saWN5LCBZYWxlIFNj
aG9vbCBvZiBQdWJsaWMgSGVhbHRoLCBVbml0ZWQgU3RhdGVzOyBZYWxlIENhbmNlciBDZW50ZXIs
IFVuaXRlZCBTdGF0ZXMuJiN4RDtEZXBhcnRtZW50IG9mIEludGVybmFsIE1lZGljaW5lLCBTZWN0
aW9uIG9mIFB1bG1vbmFyeSAmYW1wOyBDcml0aWNhbCBDYXJlIE1lZGljaW5lLCBZYWxlIFNjaG9v
bCBvZiBNZWRpY2luZSwgTmV3IEhhdmVuLCBDVCwgVW5pdGVkIFN0YXRlcy4mI3hEO09jY3VwYXRp
b25hbCBhbmQgRW52aXJvbm1lbnRhbCBNZWRpY2luZSBQcm9ncmFtLCBEZXBhcnRtZW50IG9mIElu
dGVybmFsIE1lZGljaW5lLCBZYWxlIFNjaG9vbCBvZiBNZWRpY2luZSwgTmV3IEhhdmVuLCBDVCwg
VW5pdGVkIFN0YXRlcy4mI3hEO1lhbGUgQ2FuY2VyIENlbnRlciwgVW5pdGVkIFN0YXRlczsgU21p
bG93IENhbmNlciBDZW50ZXIgYXQgWWFsZSwgTmV3IEhhdmVuIEhvc3BpdGFsLCBVbml0ZWQgU3Rh
dGVzOyBEZXBhcnRtZW50IG9mIFBzeWNoaWF0cnksIFlhbGUgU2Nob29sIG9mIE1lZGljaW5lLCBO
ZXcgSGF2ZW4sIENULCBVbml0ZWQgU3RhdGVzLiYjeEQ7RGVwYXJ0bWVudCBvZiBQdWJsaWMgSGVh
bHRoIFNjaWVuY2VzLCBNZWRpY2FsIFVuaXZlcnNpdHkgb2YgU291dGggQ2Fyb2xpbmEsIENoYXJs
ZXN0b24sIFNDLCBVbml0ZWQgU3RhdGVzOyBIb2xsaW5ncyBDYW5jZXIgQ2VudGVyLCBDaGFybGVz
dG9uLCBTQywgVW5pdGVkIFN0YXRlczsgRGVwYXJ0bWVudCBvZiBQc3ljaGlhdHJ5LCBZYWxlIFNj
aG9vbCBvZiBNZWRpY2luZSwgTmV3IEhhdmVuLCBDVCwgVW5pdGVkIFN0YXRlcy48L2F1dGgtYWRk
cmVzcz48dGl0bGVzPjx0aXRsZT5FbGVjdHJvbmljIGNpZ2FyZXR0ZXMgZm9yIGFkdWx0cyB3aXRo
IHRvYmFjY28gZGVwZW5kZW5jZSBlbnJvbGxlZCBpbiBhIHRvYmFjY28gdHJlYXRtZW50IHByb2dy
YW06IEEgcGlsb3Qgc3R1ZHk8L3RpdGxlPjxzZWNvbmRhcnktdGl0bGU+QWRkaWN0IEJlaGF2PC9z
ZWNvbmRhcnktdGl0bGU+PGFsdC10aXRsZT5BZGRpY3RpdmUgYmVoYXZpb3JzPC9hbHQtdGl0bGU+
PC90aXRsZXM+PGFsdC1wZXJpb2RpY2FsPjxmdWxsLXRpdGxlPkFkZGljdGl2ZSBCZWhhdmlvcnM8
L2Z1bGwtdGl0bGU+PC9hbHQtcGVyaW9kaWNhbD48cGFnZXM+MS01PC9wYWdlcz48dm9sdW1lPjgw
PC92b2x1bWU+PGVkaXRpb24+MjAxOC8wMS8wNjwvZWRpdGlvbj48a2V5d29yZHM+PGtleXdvcmQ+
RWxlY3Ryb25pYyBjaWdhcmV0dGU8L2tleXdvcmQ+PGtleXdvcmQ+U21va2luZyBjZXNzYXRpb248
L2tleXdvcmQ+PGtleXdvcmQ+VG9iYWNjbyB0cmVhdG1lbnQ8L2tleXdvcmQ+PC9rZXl3b3Jkcz48
ZGF0ZXM+PHllYXI+MjAxODwveWVhcj48cHViLWRhdGVzPjxkYXRlPk1heTwvZGF0ZT48L3B1Yi1k
YXRlcz48L2RhdGVzPjxpc2JuPjAzMDYtNDYwMzwvaXNibj48YWNjZXNzaW9uLW51bT4yOTMwNDM5
NTwvYWNjZXNzaW9uLW51bT48dXJscz48cmVsYXRlZC11cmxzPjx1cmw+aHR0cHM6Ly93d3cuc2Np
ZW5jZWRpcmVjdC5jb20vc2NpZW5jZS9hcnRpY2xlL3BpaS9TMDMwNjQ2MDMxNzMwNDQyMj92aWEl
M0RpaHViPC91cmw+PC9yZWxhdGVkLXVybHM+PC91cmxzPjxlbGVjdHJvbmljLXJlc291cmNlLW51
bT4xMC4xMDE2L2ouYWRkYmVoLjIwMTcuMTEuMDMzPC9lbGVjdHJvbmljLXJlc291cmNlLW51bT48
cmVtb3RlLWRhdGFiYXNlLXByb3ZpZGVyPk5MTTwvcmVtb3RlLWRhdGFiYXNlLXByb3ZpZGVyPjxs
YW5ndWFnZT5lbmc8L2xhbmd1YWdlPjwvcmVjb3JkPjwvQ2l0ZT48L0VuZE5vdGU+
</w:fldData>
        </w:fldChar>
      </w:r>
      <w:r>
        <w:instrText xml:space="preserve"> ADDIN EN.CITE.DATA </w:instrText>
      </w:r>
      <w:r>
        <w:fldChar w:fldCharType="end"/>
      </w:r>
      <w:r>
        <w:fldChar w:fldCharType="separate"/>
      </w:r>
      <w:r>
        <w:rPr>
          <w:noProof/>
        </w:rPr>
        <w:t>(Baldassarri, Bernstein et al. 2018)</w:t>
      </w:r>
      <w:r>
        <w:fldChar w:fldCharType="end"/>
      </w:r>
      <w:r>
        <w:t xml:space="preserve">. </w:t>
      </w:r>
    </w:p>
    <w:p w14:paraId="7B45CCF6" w14:textId="77777777" w:rsidR="002738DD" w:rsidRDefault="002738DD" w:rsidP="002738DD">
      <w:pPr>
        <w:pStyle w:val="BodyText"/>
      </w:pPr>
      <w:r>
        <w:lastRenderedPageBreak/>
        <w:t>A 21 day parallel pilot study randomised participants to receive either a 16 mg/mL, a 24 mg/mL nicotine e</w:t>
      </w:r>
      <w:r>
        <w:noBreakHyphen/>
        <w:t>cigarette or no e</w:t>
      </w:r>
      <w:r>
        <w:noBreakHyphen/>
        <w:t xml:space="preserve">cigarette </w:t>
      </w:r>
      <w:r>
        <w:fldChar w:fldCharType="begin">
          <w:fldData xml:space="preserve">PEVuZE5vdGU+PENpdGU+PEF1dGhvcj5DYXJwZW50ZXI8L0F1dGhvcj48WWVhcj4yMDE3PC9ZZWFy
PjxSZWNOdW0+NDgxMzwvUmVjTnVtPjxEaXNwbGF5VGV4dD4oQ2FycGVudGVyLCBIZWNrbWFuIGV0
IGFsLiAyMDE3KTwvRGlzcGxheVRleHQ+PHJlY29yZD48cmVjLW51bWJlcj40ODEzPC9yZWMtbnVt
YmVyPjxmb3JlaWduLWtleXM+PGtleSBhcHA9IkVOIiBkYi1pZD0iOXowNWR6MHByYWFkZnVlZTB6
b3h6ZWRrOXpmZTVmeHg1MHo1IiB0aW1lc3RhbXA9IjE1MjM5MjA0OTgiPjQ4MTM8L2tleT48a2V5
IGFwcD0iRU5XZWIiIGRiLWlkPSIiPjA8L2tleT48L2ZvcmVpZ24ta2V5cz48cmVmLXR5cGUgbmFt
ZT0iSm91cm5hbCBBcnRpY2xlIj4xNzwvcmVmLXR5cGU+PGNvbnRyaWJ1dG9ycz48YXV0aG9ycz48
YXV0aG9yPkNhcnBlbnRlciwgTS4gSi48L2F1dGhvcj48YXV0aG9yPkhlY2ttYW4sIEIuIFcuPC9h
dXRob3I+PGF1dGhvcj5XYWhscXVpc3QsIEEuIEUuPC9hdXRob3I+PGF1dGhvcj5XYWdlbmVyLCBU
LiBMLjwvYXV0aG9yPjxhdXRob3I+R29uaWV3aWN6LCBNLiBMLjwvYXV0aG9yPjxhdXRob3I+R3Jh
eSwgSy4gTS48L2F1dGhvcj48YXV0aG9yPkZyb2VsaWdlciwgQi48L2F1dGhvcj48YXV0aG9yPkN1
bW1pbmdzLCBLLiBNLjwvYXV0aG9yPjwvYXV0aG9ycz48L2NvbnRyaWJ1dG9ycz48YXV0aC1hZGRy
ZXNzPkRlcGFydG1lbnQgb2YgUHN5Y2hpYXRyeSBhbmQgQmVoYXZpb3JhbCBTY2llbmNlcywgTWVk
aWNhbCBVbml2ZXJzaXR5IG9mIFNvdXRoIENhcm9saW5hIChNVVNDKSwgQ2hhcmxlc3RvbiwgU291
dGggQ2Fyb2xpbmEuIGNhcnBlbnRlQG11c2MuZWR1LiYjeEQ7RGVwYXJ0bWVudCBvZiBQdWJsaWMg
SGVhbHRoIFNjaWVuY2VzIE1VU0MsIENoYXJsZXN0b24sIFNvdXRoIENhcm9saW5hLiYjeEQ7SG9s
bGluZ3MgQ2FuY2VyIENlbnRlciwgTVVTQywgQ2hhcmxlc3RvbiwgU291dGggQ2Fyb2xpbmEuJiN4
RDtEZXBhcnRtZW50IG9mIFBzeWNoaWF0cnkgYW5kIEJlaGF2aW9yYWwgU2NpZW5jZXMsIE1lZGlj
YWwgVW5pdmVyc2l0eSBvZiBTb3V0aCBDYXJvbGluYSAoTVVTQyksIENoYXJsZXN0b24sIFNvdXRo
IENhcm9saW5hLiYjeEQ7T2tsYWhvbWEgVG9iYWNjbyBSZXNlYXJjaCBDZW50ZXIsIFVuaXZlcnNp
dHkgb2YgT2tsYWhvbWEgSGVhbHRoIFNjaWVuY2VzIENlbnRlciwgT2tsYWhvbWEgQ2l0eSwgT2ts
YWhvbWEuJiN4RDtEZXBhcnRtZW50IG9mIEhlYWx0aCBCZWhhdmlvciwgUm9zd2VsbCBQYXJrIENh
bmNlciBJbnN0aXR1dGUsIEJ1ZmZhbG8sIE5ldyBZb3JrLiYjeEQ7RGVwYXJ0bWVudCBvZiBOZXVy
b3NjaWVuY2VzLCBNVVNDLCBDaGFybGVzdG9uLCBTb3V0aCBDYXJvbGluYS48L2F1dGgtYWRkcmVz
cz48dGl0bGVzPjx0aXRsZT5BIE5hdHVyYWxpc3RpYywgUmFuZG9taXplZCBQaWxvdCBUcmlhbCBv
ZiBFLUNpZ2FyZXR0ZXM6IFVwdGFrZSwgRXhwb3N1cmUsIGFuZCBCZWhhdmlvcmFsIEVmZmVjdHM8
L3RpdGxlPjxzZWNvbmRhcnktdGl0bGU+Q2FuY2VyIEVwaWRlbWlvbCBCaW9tYXJrZXJzIFByZXY8
L3NlY29uZGFyeS10aXRsZT48YWx0LXRpdGxlPkNhbmNlciBlcGlkZW1pb2xvZ3ksIGJpb21hcmtl
cnMgJmFtcDsgcHJldmVudGlvbiA6IGEgcHVibGljYXRpb24gb2YgdGhlIEFtZXJpY2FuIEFzc29j
aWF0aW9uIGZvciBDYW5jZXIgUmVzZWFyY2gsIGNvc3BvbnNvcmVkIGJ5IHRoZSBBbWVyaWNhbiBT
b2NpZXR5IG9mIFByZXZlbnRpdmUgT25jb2xvZ3k8L2FsdC10aXRsZT48L3RpdGxlcz48cGVyaW9k
aWNhbD48ZnVsbC10aXRsZT5DYW5jZXIgRXBpZGVtaW9sIEJpb21hcmtlcnMgUHJldjwvZnVsbC10
aXRsZT48YWJici0xPkNhbmNlciBlcGlkZW1pb2xvZ3ksIGJpb21hcmtlcnMgJmFtcDsgcHJldmVu
dGlvbiA6IGEgcHVibGljYXRpb24gb2YgdGhlIEFtZXJpY2FuIEFzc29jaWF0aW9uIGZvciBDYW5j
ZXIgUmVzZWFyY2gsIGNvc3BvbnNvcmVkIGJ5IHRoZSBBbWVyaWNhbiBTb2NpZXR5IG9mIFByZXZl
bnRpdmUgT25jb2xvZ3k8L2FiYnItMT48L3BlcmlvZGljYWw+PGFsdC1wZXJpb2RpY2FsPjxmdWxs
LXRpdGxlPkNhbmNlciBFcGlkZW1pb2wgQmlvbWFya2VycyBQcmV2PC9mdWxsLXRpdGxlPjxhYmJy
LTE+Q2FuY2VyIGVwaWRlbWlvbG9neSwgYmlvbWFya2VycyAmYW1wOyBwcmV2ZW50aW9uIDogYSBw
dWJsaWNhdGlvbiBvZiB0aGUgQW1lcmljYW4gQXNzb2NpYXRpb24gZm9yIENhbmNlciBSZXNlYXJj
aCwgY29zcG9uc29yZWQgYnkgdGhlIEFtZXJpY2FuIFNvY2lldHkgb2YgUHJldmVudGl2ZSBPbmNv
bG9neTwvYWJici0xPjwvYWx0LXBlcmlvZGljYWw+PHBhZ2VzPjE3OTUtMTgwMzwvcGFnZXM+PHZv
bHVtZT4yNjwvdm9sdW1lPjxudW1iZXI+MTI8L251bWJlcj48ZWRpdGlvbj4yMDE3LzExLzEyPC9l
ZGl0aW9uPjxkYXRlcz48eWVhcj4yMDE3PC95ZWFyPjxwdWItZGF0ZXM+PGRhdGU+RGVjPC9kYXRl
PjwvcHViLWRhdGVzPjwvZGF0ZXM+PGlzYm4+MTA1NS05OTY1PC9pc2JuPjxhY2Nlc3Npb24tbnVt
PjI5MTI3MDgwPC9hY2Nlc3Npb24tbnVtPjx1cmxzPjxyZWxhdGVkLXVybHM+PHVybD5odHRwOi8v
Y2VicC5hYWNyam91cm5hbHMub3JnL2NvbnRlbnQvMjYvMTIvMTc5NS5sb25nPC91cmw+PHVybD5o
dHRwOi8vY2VicC5hYWNyam91cm5hbHMub3JnL2NvbnRlbnQvY2VicC8yNi8xMi8xNzk1LmZ1bGwu
cGRmPC91cmw+PC9yZWxhdGVkLXVybHM+PC91cmxzPjxjdXN0b20yPlBNQzU3MTM4OTg8L2N1c3Rv
bTI+PGN1c3RvbTY+TklITVM5MTE4Nzk8L2N1c3RvbTY+PGVsZWN0cm9uaWMtcmVzb3VyY2UtbnVt
PjEwLjExNTgvMTA1NS05OTY1LkVwaS0xNy0wNDYwPC9lbGVjdHJvbmljLXJlc291cmNlLW51bT48
cmVtb3RlLWRhdGFiYXNlLXByb3ZpZGVyPk5MTTwvcmVtb3RlLWRhdGFiYXNlLXByb3ZpZGVyPjxs
YW5ndWFnZT5lbmc8L2xhbmd1YWdlPjwvcmVjb3JkPjwvQ2l0ZT48L0VuZE5vdGU+AG==
</w:fldData>
        </w:fldChar>
      </w:r>
      <w:r>
        <w:instrText xml:space="preserve"> ADDIN EN.CITE </w:instrText>
      </w:r>
      <w:r>
        <w:fldChar w:fldCharType="begin">
          <w:fldData xml:space="preserve">PEVuZE5vdGU+PENpdGU+PEF1dGhvcj5DYXJwZW50ZXI8L0F1dGhvcj48WWVhcj4yMDE3PC9ZZWFy
PjxSZWNOdW0+NDgxMzwvUmVjTnVtPjxEaXNwbGF5VGV4dD4oQ2FycGVudGVyLCBIZWNrbWFuIGV0
IGFsLiAyMDE3KTwvRGlzcGxheVRleHQ+PHJlY29yZD48cmVjLW51bWJlcj40ODEzPC9yZWMtbnVt
YmVyPjxmb3JlaWduLWtleXM+PGtleSBhcHA9IkVOIiBkYi1pZD0iOXowNWR6MHByYWFkZnVlZTB6
b3h6ZWRrOXpmZTVmeHg1MHo1IiB0aW1lc3RhbXA9IjE1MjM5MjA0OTgiPjQ4MTM8L2tleT48a2V5
IGFwcD0iRU5XZWIiIGRiLWlkPSIiPjA8L2tleT48L2ZvcmVpZ24ta2V5cz48cmVmLXR5cGUgbmFt
ZT0iSm91cm5hbCBBcnRpY2xlIj4xNzwvcmVmLXR5cGU+PGNvbnRyaWJ1dG9ycz48YXV0aG9ycz48
YXV0aG9yPkNhcnBlbnRlciwgTS4gSi48L2F1dGhvcj48YXV0aG9yPkhlY2ttYW4sIEIuIFcuPC9h
dXRob3I+PGF1dGhvcj5XYWhscXVpc3QsIEEuIEUuPC9hdXRob3I+PGF1dGhvcj5XYWdlbmVyLCBU
LiBMLjwvYXV0aG9yPjxhdXRob3I+R29uaWV3aWN6LCBNLiBMLjwvYXV0aG9yPjxhdXRob3I+R3Jh
eSwgSy4gTS48L2F1dGhvcj48YXV0aG9yPkZyb2VsaWdlciwgQi48L2F1dGhvcj48YXV0aG9yPkN1
bW1pbmdzLCBLLiBNLjwvYXV0aG9yPjwvYXV0aG9ycz48L2NvbnRyaWJ1dG9ycz48YXV0aC1hZGRy
ZXNzPkRlcGFydG1lbnQgb2YgUHN5Y2hpYXRyeSBhbmQgQmVoYXZpb3JhbCBTY2llbmNlcywgTWVk
aWNhbCBVbml2ZXJzaXR5IG9mIFNvdXRoIENhcm9saW5hIChNVVNDKSwgQ2hhcmxlc3RvbiwgU291
dGggQ2Fyb2xpbmEuIGNhcnBlbnRlQG11c2MuZWR1LiYjeEQ7RGVwYXJ0bWVudCBvZiBQdWJsaWMg
SGVhbHRoIFNjaWVuY2VzIE1VU0MsIENoYXJsZXN0b24sIFNvdXRoIENhcm9saW5hLiYjeEQ7SG9s
bGluZ3MgQ2FuY2VyIENlbnRlciwgTVVTQywgQ2hhcmxlc3RvbiwgU291dGggQ2Fyb2xpbmEuJiN4
RDtEZXBhcnRtZW50IG9mIFBzeWNoaWF0cnkgYW5kIEJlaGF2aW9yYWwgU2NpZW5jZXMsIE1lZGlj
YWwgVW5pdmVyc2l0eSBvZiBTb3V0aCBDYXJvbGluYSAoTVVTQyksIENoYXJsZXN0b24sIFNvdXRo
IENhcm9saW5hLiYjeEQ7T2tsYWhvbWEgVG9iYWNjbyBSZXNlYXJjaCBDZW50ZXIsIFVuaXZlcnNp
dHkgb2YgT2tsYWhvbWEgSGVhbHRoIFNjaWVuY2VzIENlbnRlciwgT2tsYWhvbWEgQ2l0eSwgT2ts
YWhvbWEuJiN4RDtEZXBhcnRtZW50IG9mIEhlYWx0aCBCZWhhdmlvciwgUm9zd2VsbCBQYXJrIENh
bmNlciBJbnN0aXR1dGUsIEJ1ZmZhbG8sIE5ldyBZb3JrLiYjeEQ7RGVwYXJ0bWVudCBvZiBOZXVy
b3NjaWVuY2VzLCBNVVNDLCBDaGFybGVzdG9uLCBTb3V0aCBDYXJvbGluYS48L2F1dGgtYWRkcmVz
cz48dGl0bGVzPjx0aXRsZT5BIE5hdHVyYWxpc3RpYywgUmFuZG9taXplZCBQaWxvdCBUcmlhbCBv
ZiBFLUNpZ2FyZXR0ZXM6IFVwdGFrZSwgRXhwb3N1cmUsIGFuZCBCZWhhdmlvcmFsIEVmZmVjdHM8
L3RpdGxlPjxzZWNvbmRhcnktdGl0bGU+Q2FuY2VyIEVwaWRlbWlvbCBCaW9tYXJrZXJzIFByZXY8
L3NlY29uZGFyeS10aXRsZT48YWx0LXRpdGxlPkNhbmNlciBlcGlkZW1pb2xvZ3ksIGJpb21hcmtl
cnMgJmFtcDsgcHJldmVudGlvbiA6IGEgcHVibGljYXRpb24gb2YgdGhlIEFtZXJpY2FuIEFzc29j
aWF0aW9uIGZvciBDYW5jZXIgUmVzZWFyY2gsIGNvc3BvbnNvcmVkIGJ5IHRoZSBBbWVyaWNhbiBT
b2NpZXR5IG9mIFByZXZlbnRpdmUgT25jb2xvZ3k8L2FsdC10aXRsZT48L3RpdGxlcz48cGVyaW9k
aWNhbD48ZnVsbC10aXRsZT5DYW5jZXIgRXBpZGVtaW9sIEJpb21hcmtlcnMgUHJldjwvZnVsbC10
aXRsZT48YWJici0xPkNhbmNlciBlcGlkZW1pb2xvZ3ksIGJpb21hcmtlcnMgJmFtcDsgcHJldmVu
dGlvbiA6IGEgcHVibGljYXRpb24gb2YgdGhlIEFtZXJpY2FuIEFzc29jaWF0aW9uIGZvciBDYW5j
ZXIgUmVzZWFyY2gsIGNvc3BvbnNvcmVkIGJ5IHRoZSBBbWVyaWNhbiBTb2NpZXR5IG9mIFByZXZl
bnRpdmUgT25jb2xvZ3k8L2FiYnItMT48L3BlcmlvZGljYWw+PGFsdC1wZXJpb2RpY2FsPjxmdWxs
LXRpdGxlPkNhbmNlciBFcGlkZW1pb2wgQmlvbWFya2VycyBQcmV2PC9mdWxsLXRpdGxlPjxhYmJy
LTE+Q2FuY2VyIGVwaWRlbWlvbG9neSwgYmlvbWFya2VycyAmYW1wOyBwcmV2ZW50aW9uIDogYSBw
dWJsaWNhdGlvbiBvZiB0aGUgQW1lcmljYW4gQXNzb2NpYXRpb24gZm9yIENhbmNlciBSZXNlYXJj
aCwgY29zcG9uc29yZWQgYnkgdGhlIEFtZXJpY2FuIFNvY2lldHkgb2YgUHJldmVudGl2ZSBPbmNv
bG9neTwvYWJici0xPjwvYWx0LXBlcmlvZGljYWw+PHBhZ2VzPjE3OTUtMTgwMzwvcGFnZXM+PHZv
bHVtZT4yNjwvdm9sdW1lPjxudW1iZXI+MTI8L251bWJlcj48ZWRpdGlvbj4yMDE3LzExLzEyPC9l
ZGl0aW9uPjxkYXRlcz48eWVhcj4yMDE3PC95ZWFyPjxwdWItZGF0ZXM+PGRhdGU+RGVjPC9kYXRl
PjwvcHViLWRhdGVzPjwvZGF0ZXM+PGlzYm4+MTA1NS05OTY1PC9pc2JuPjxhY2Nlc3Npb24tbnVt
PjI5MTI3MDgwPC9hY2Nlc3Npb24tbnVtPjx1cmxzPjxyZWxhdGVkLXVybHM+PHVybD5odHRwOi8v
Y2VicC5hYWNyam91cm5hbHMub3JnL2NvbnRlbnQvMjYvMTIvMTc5NS5sb25nPC91cmw+PHVybD5o
dHRwOi8vY2VicC5hYWNyam91cm5hbHMub3JnL2NvbnRlbnQvY2VicC8yNi8xMi8xNzk1LmZ1bGwu
cGRmPC91cmw+PC9yZWxhdGVkLXVybHM+PC91cmxzPjxjdXN0b20yPlBNQzU3MTM4OTg8L2N1c3Rv
bTI+PGN1c3RvbTY+TklITVM5MTE4Nzk8L2N1c3RvbTY+PGVsZWN0cm9uaWMtcmVzb3VyY2UtbnVt
PjEwLjExNTgvMTA1NS05OTY1LkVwaS0xNy0wNDYwPC9lbGVjdHJvbmljLXJlc291cmNlLW51bT48
cmVtb3RlLWRhdGFiYXNlLXByb3ZpZGVyPk5MTTwvcmVtb3RlLWRhdGFiYXNlLXByb3ZpZGVyPjxs
YW5ndWFnZT5lbmc8L2xhbmd1YWdlPjwvcmVjb3JkPjwvQ2l0ZT48L0VuZE5vdGU+AG==
</w:fldData>
        </w:fldChar>
      </w:r>
      <w:r>
        <w:instrText xml:space="preserve"> ADDIN EN.CITE.DATA </w:instrText>
      </w:r>
      <w:r>
        <w:fldChar w:fldCharType="end"/>
      </w:r>
      <w:r>
        <w:fldChar w:fldCharType="separate"/>
      </w:r>
      <w:r>
        <w:rPr>
          <w:noProof/>
        </w:rPr>
        <w:t>(Carpenter, Heckman et al. 2017)</w:t>
      </w:r>
      <w:r>
        <w:fldChar w:fldCharType="end"/>
      </w:r>
      <w:r>
        <w:t xml:space="preserve">. 41 participants were recruited from the </w:t>
      </w:r>
      <w:r w:rsidRPr="00370EE5">
        <w:t>local community (south eastern U.S. urban area) using various media outlets</w:t>
      </w:r>
      <w:r>
        <w:t xml:space="preserve"> (details not provided). Participants were 60% female and mean age was not reported. There was at least a 50% reduction in smoking by 5% in the no</w:t>
      </w:r>
      <w:r>
        <w:noBreakHyphen/>
        <w:t>e</w:t>
      </w:r>
      <w:r>
        <w:noBreakHyphen/>
        <w:t>cigarette group, by 30% in the 16 mg/mL nicotine group and by 35% in the 24 mg/mL nicotine group. Thus results indicated a reduction in cigarette smoking dependent on e</w:t>
      </w:r>
      <w:r>
        <w:noBreakHyphen/>
        <w:t>cigarette nicotine dose. The researchers concluded that the study indicated a strong interest in the uptake of e</w:t>
      </w:r>
      <w:r>
        <w:noBreakHyphen/>
        <w:t xml:space="preserve">cigarettes and trends towards cessation </w:t>
      </w:r>
      <w:r>
        <w:fldChar w:fldCharType="begin">
          <w:fldData xml:space="preserve">PEVuZE5vdGU+PENpdGU+PEF1dGhvcj5DYXJwZW50ZXI8L0F1dGhvcj48WWVhcj4yMDE3PC9ZZWFy
PjxSZWNOdW0+NDgxMzwvUmVjTnVtPjxEaXNwbGF5VGV4dD4oQ2FycGVudGVyLCBIZWNrbWFuIGV0
IGFsLiAyMDE3KTwvRGlzcGxheVRleHQ+PHJlY29yZD48cmVjLW51bWJlcj40ODEzPC9yZWMtbnVt
YmVyPjxmb3JlaWduLWtleXM+PGtleSBhcHA9IkVOIiBkYi1pZD0iOXowNWR6MHByYWFkZnVlZTB6
b3h6ZWRrOXpmZTVmeHg1MHo1IiB0aW1lc3RhbXA9IjE1MjM5MjA0OTgiPjQ4MTM8L2tleT48a2V5
IGFwcD0iRU5XZWIiIGRiLWlkPSIiPjA8L2tleT48L2ZvcmVpZ24ta2V5cz48cmVmLXR5cGUgbmFt
ZT0iSm91cm5hbCBBcnRpY2xlIj4xNzwvcmVmLXR5cGU+PGNvbnRyaWJ1dG9ycz48YXV0aG9ycz48
YXV0aG9yPkNhcnBlbnRlciwgTS4gSi48L2F1dGhvcj48YXV0aG9yPkhlY2ttYW4sIEIuIFcuPC9h
dXRob3I+PGF1dGhvcj5XYWhscXVpc3QsIEEuIEUuPC9hdXRob3I+PGF1dGhvcj5XYWdlbmVyLCBU
LiBMLjwvYXV0aG9yPjxhdXRob3I+R29uaWV3aWN6LCBNLiBMLjwvYXV0aG9yPjxhdXRob3I+R3Jh
eSwgSy4gTS48L2F1dGhvcj48YXV0aG9yPkZyb2VsaWdlciwgQi48L2F1dGhvcj48YXV0aG9yPkN1
bW1pbmdzLCBLLiBNLjwvYXV0aG9yPjwvYXV0aG9ycz48L2NvbnRyaWJ1dG9ycz48YXV0aC1hZGRy
ZXNzPkRlcGFydG1lbnQgb2YgUHN5Y2hpYXRyeSBhbmQgQmVoYXZpb3JhbCBTY2llbmNlcywgTWVk
aWNhbCBVbml2ZXJzaXR5IG9mIFNvdXRoIENhcm9saW5hIChNVVNDKSwgQ2hhcmxlc3RvbiwgU291
dGggQ2Fyb2xpbmEuIGNhcnBlbnRlQG11c2MuZWR1LiYjeEQ7RGVwYXJ0bWVudCBvZiBQdWJsaWMg
SGVhbHRoIFNjaWVuY2VzIE1VU0MsIENoYXJsZXN0b24sIFNvdXRoIENhcm9saW5hLiYjeEQ7SG9s
bGluZ3MgQ2FuY2VyIENlbnRlciwgTVVTQywgQ2hhcmxlc3RvbiwgU291dGggQ2Fyb2xpbmEuJiN4
RDtEZXBhcnRtZW50IG9mIFBzeWNoaWF0cnkgYW5kIEJlaGF2aW9yYWwgU2NpZW5jZXMsIE1lZGlj
YWwgVW5pdmVyc2l0eSBvZiBTb3V0aCBDYXJvbGluYSAoTVVTQyksIENoYXJsZXN0b24sIFNvdXRo
IENhcm9saW5hLiYjeEQ7T2tsYWhvbWEgVG9iYWNjbyBSZXNlYXJjaCBDZW50ZXIsIFVuaXZlcnNp
dHkgb2YgT2tsYWhvbWEgSGVhbHRoIFNjaWVuY2VzIENlbnRlciwgT2tsYWhvbWEgQ2l0eSwgT2ts
YWhvbWEuJiN4RDtEZXBhcnRtZW50IG9mIEhlYWx0aCBCZWhhdmlvciwgUm9zd2VsbCBQYXJrIENh
bmNlciBJbnN0aXR1dGUsIEJ1ZmZhbG8sIE5ldyBZb3JrLiYjeEQ7RGVwYXJ0bWVudCBvZiBOZXVy
b3NjaWVuY2VzLCBNVVNDLCBDaGFybGVzdG9uLCBTb3V0aCBDYXJvbGluYS48L2F1dGgtYWRkcmVz
cz48dGl0bGVzPjx0aXRsZT5BIE5hdHVyYWxpc3RpYywgUmFuZG9taXplZCBQaWxvdCBUcmlhbCBv
ZiBFLUNpZ2FyZXR0ZXM6IFVwdGFrZSwgRXhwb3N1cmUsIGFuZCBCZWhhdmlvcmFsIEVmZmVjdHM8
L3RpdGxlPjxzZWNvbmRhcnktdGl0bGU+Q2FuY2VyIEVwaWRlbWlvbCBCaW9tYXJrZXJzIFByZXY8
L3NlY29uZGFyeS10aXRsZT48YWx0LXRpdGxlPkNhbmNlciBlcGlkZW1pb2xvZ3ksIGJpb21hcmtl
cnMgJmFtcDsgcHJldmVudGlvbiA6IGEgcHVibGljYXRpb24gb2YgdGhlIEFtZXJpY2FuIEFzc29j
aWF0aW9uIGZvciBDYW5jZXIgUmVzZWFyY2gsIGNvc3BvbnNvcmVkIGJ5IHRoZSBBbWVyaWNhbiBT
b2NpZXR5IG9mIFByZXZlbnRpdmUgT25jb2xvZ3k8L2FsdC10aXRsZT48L3RpdGxlcz48cGVyaW9k
aWNhbD48ZnVsbC10aXRsZT5DYW5jZXIgRXBpZGVtaW9sIEJpb21hcmtlcnMgUHJldjwvZnVsbC10
aXRsZT48YWJici0xPkNhbmNlciBlcGlkZW1pb2xvZ3ksIGJpb21hcmtlcnMgJmFtcDsgcHJldmVu
dGlvbiA6IGEgcHVibGljYXRpb24gb2YgdGhlIEFtZXJpY2FuIEFzc29jaWF0aW9uIGZvciBDYW5j
ZXIgUmVzZWFyY2gsIGNvc3BvbnNvcmVkIGJ5IHRoZSBBbWVyaWNhbiBTb2NpZXR5IG9mIFByZXZl
bnRpdmUgT25jb2xvZ3k8L2FiYnItMT48L3BlcmlvZGljYWw+PGFsdC1wZXJpb2RpY2FsPjxmdWxs
LXRpdGxlPkNhbmNlciBFcGlkZW1pb2wgQmlvbWFya2VycyBQcmV2PC9mdWxsLXRpdGxlPjxhYmJy
LTE+Q2FuY2VyIGVwaWRlbWlvbG9neSwgYmlvbWFya2VycyAmYW1wOyBwcmV2ZW50aW9uIDogYSBw
dWJsaWNhdGlvbiBvZiB0aGUgQW1lcmljYW4gQXNzb2NpYXRpb24gZm9yIENhbmNlciBSZXNlYXJj
aCwgY29zcG9uc29yZWQgYnkgdGhlIEFtZXJpY2FuIFNvY2lldHkgb2YgUHJldmVudGl2ZSBPbmNv
bG9neTwvYWJici0xPjwvYWx0LXBlcmlvZGljYWw+PHBhZ2VzPjE3OTUtMTgwMzwvcGFnZXM+PHZv
bHVtZT4yNjwvdm9sdW1lPjxudW1iZXI+MTI8L251bWJlcj48ZWRpdGlvbj4yMDE3LzExLzEyPC9l
ZGl0aW9uPjxkYXRlcz48eWVhcj4yMDE3PC95ZWFyPjxwdWItZGF0ZXM+PGRhdGU+RGVjPC9kYXRl
PjwvcHViLWRhdGVzPjwvZGF0ZXM+PGlzYm4+MTA1NS05OTY1PC9pc2JuPjxhY2Nlc3Npb24tbnVt
PjI5MTI3MDgwPC9hY2Nlc3Npb24tbnVtPjx1cmxzPjxyZWxhdGVkLXVybHM+PHVybD5odHRwOi8v
Y2VicC5hYWNyam91cm5hbHMub3JnL2NvbnRlbnQvMjYvMTIvMTc5NS5sb25nPC91cmw+PHVybD5o
dHRwOi8vY2VicC5hYWNyam91cm5hbHMub3JnL2NvbnRlbnQvY2VicC8yNi8xMi8xNzk1LmZ1bGwu
cGRmPC91cmw+PC9yZWxhdGVkLXVybHM+PC91cmxzPjxjdXN0b20yPlBNQzU3MTM4OTg8L2N1c3Rv
bTI+PGN1c3RvbTY+TklITVM5MTE4Nzk8L2N1c3RvbTY+PGVsZWN0cm9uaWMtcmVzb3VyY2UtbnVt
PjEwLjExNTgvMTA1NS05OTY1LkVwaS0xNy0wNDYwPC9lbGVjdHJvbmljLXJlc291cmNlLW51bT48
cmVtb3RlLWRhdGFiYXNlLXByb3ZpZGVyPk5MTTwvcmVtb3RlLWRhdGFiYXNlLXByb3ZpZGVyPjxs
YW5ndWFnZT5lbmc8L2xhbmd1YWdlPjwvcmVjb3JkPjwvQ2l0ZT48L0VuZE5vdGU+AG==
</w:fldData>
        </w:fldChar>
      </w:r>
      <w:r>
        <w:instrText xml:space="preserve"> ADDIN EN.CITE </w:instrText>
      </w:r>
      <w:r>
        <w:fldChar w:fldCharType="begin">
          <w:fldData xml:space="preserve">PEVuZE5vdGU+PENpdGU+PEF1dGhvcj5DYXJwZW50ZXI8L0F1dGhvcj48WWVhcj4yMDE3PC9ZZWFy
PjxSZWNOdW0+NDgxMzwvUmVjTnVtPjxEaXNwbGF5VGV4dD4oQ2FycGVudGVyLCBIZWNrbWFuIGV0
IGFsLiAyMDE3KTwvRGlzcGxheVRleHQ+PHJlY29yZD48cmVjLW51bWJlcj40ODEzPC9yZWMtbnVt
YmVyPjxmb3JlaWduLWtleXM+PGtleSBhcHA9IkVOIiBkYi1pZD0iOXowNWR6MHByYWFkZnVlZTB6
b3h6ZWRrOXpmZTVmeHg1MHo1IiB0aW1lc3RhbXA9IjE1MjM5MjA0OTgiPjQ4MTM8L2tleT48a2V5
IGFwcD0iRU5XZWIiIGRiLWlkPSIiPjA8L2tleT48L2ZvcmVpZ24ta2V5cz48cmVmLXR5cGUgbmFt
ZT0iSm91cm5hbCBBcnRpY2xlIj4xNzwvcmVmLXR5cGU+PGNvbnRyaWJ1dG9ycz48YXV0aG9ycz48
YXV0aG9yPkNhcnBlbnRlciwgTS4gSi48L2F1dGhvcj48YXV0aG9yPkhlY2ttYW4sIEIuIFcuPC9h
dXRob3I+PGF1dGhvcj5XYWhscXVpc3QsIEEuIEUuPC9hdXRob3I+PGF1dGhvcj5XYWdlbmVyLCBU
LiBMLjwvYXV0aG9yPjxhdXRob3I+R29uaWV3aWN6LCBNLiBMLjwvYXV0aG9yPjxhdXRob3I+R3Jh
eSwgSy4gTS48L2F1dGhvcj48YXV0aG9yPkZyb2VsaWdlciwgQi48L2F1dGhvcj48YXV0aG9yPkN1
bW1pbmdzLCBLLiBNLjwvYXV0aG9yPjwvYXV0aG9ycz48L2NvbnRyaWJ1dG9ycz48YXV0aC1hZGRy
ZXNzPkRlcGFydG1lbnQgb2YgUHN5Y2hpYXRyeSBhbmQgQmVoYXZpb3JhbCBTY2llbmNlcywgTWVk
aWNhbCBVbml2ZXJzaXR5IG9mIFNvdXRoIENhcm9saW5hIChNVVNDKSwgQ2hhcmxlc3RvbiwgU291
dGggQ2Fyb2xpbmEuIGNhcnBlbnRlQG11c2MuZWR1LiYjeEQ7RGVwYXJ0bWVudCBvZiBQdWJsaWMg
SGVhbHRoIFNjaWVuY2VzIE1VU0MsIENoYXJsZXN0b24sIFNvdXRoIENhcm9saW5hLiYjeEQ7SG9s
bGluZ3MgQ2FuY2VyIENlbnRlciwgTVVTQywgQ2hhcmxlc3RvbiwgU291dGggQ2Fyb2xpbmEuJiN4
RDtEZXBhcnRtZW50IG9mIFBzeWNoaWF0cnkgYW5kIEJlaGF2aW9yYWwgU2NpZW5jZXMsIE1lZGlj
YWwgVW5pdmVyc2l0eSBvZiBTb3V0aCBDYXJvbGluYSAoTVVTQyksIENoYXJsZXN0b24sIFNvdXRo
IENhcm9saW5hLiYjeEQ7T2tsYWhvbWEgVG9iYWNjbyBSZXNlYXJjaCBDZW50ZXIsIFVuaXZlcnNp
dHkgb2YgT2tsYWhvbWEgSGVhbHRoIFNjaWVuY2VzIENlbnRlciwgT2tsYWhvbWEgQ2l0eSwgT2ts
YWhvbWEuJiN4RDtEZXBhcnRtZW50IG9mIEhlYWx0aCBCZWhhdmlvciwgUm9zd2VsbCBQYXJrIENh
bmNlciBJbnN0aXR1dGUsIEJ1ZmZhbG8sIE5ldyBZb3JrLiYjeEQ7RGVwYXJ0bWVudCBvZiBOZXVy
b3NjaWVuY2VzLCBNVVNDLCBDaGFybGVzdG9uLCBTb3V0aCBDYXJvbGluYS48L2F1dGgtYWRkcmVz
cz48dGl0bGVzPjx0aXRsZT5BIE5hdHVyYWxpc3RpYywgUmFuZG9taXplZCBQaWxvdCBUcmlhbCBv
ZiBFLUNpZ2FyZXR0ZXM6IFVwdGFrZSwgRXhwb3N1cmUsIGFuZCBCZWhhdmlvcmFsIEVmZmVjdHM8
L3RpdGxlPjxzZWNvbmRhcnktdGl0bGU+Q2FuY2VyIEVwaWRlbWlvbCBCaW9tYXJrZXJzIFByZXY8
L3NlY29uZGFyeS10aXRsZT48YWx0LXRpdGxlPkNhbmNlciBlcGlkZW1pb2xvZ3ksIGJpb21hcmtl
cnMgJmFtcDsgcHJldmVudGlvbiA6IGEgcHVibGljYXRpb24gb2YgdGhlIEFtZXJpY2FuIEFzc29j
aWF0aW9uIGZvciBDYW5jZXIgUmVzZWFyY2gsIGNvc3BvbnNvcmVkIGJ5IHRoZSBBbWVyaWNhbiBT
b2NpZXR5IG9mIFByZXZlbnRpdmUgT25jb2xvZ3k8L2FsdC10aXRsZT48L3RpdGxlcz48cGVyaW9k
aWNhbD48ZnVsbC10aXRsZT5DYW5jZXIgRXBpZGVtaW9sIEJpb21hcmtlcnMgUHJldjwvZnVsbC10
aXRsZT48YWJici0xPkNhbmNlciBlcGlkZW1pb2xvZ3ksIGJpb21hcmtlcnMgJmFtcDsgcHJldmVu
dGlvbiA6IGEgcHVibGljYXRpb24gb2YgdGhlIEFtZXJpY2FuIEFzc29jaWF0aW9uIGZvciBDYW5j
ZXIgUmVzZWFyY2gsIGNvc3BvbnNvcmVkIGJ5IHRoZSBBbWVyaWNhbiBTb2NpZXR5IG9mIFByZXZl
bnRpdmUgT25jb2xvZ3k8L2FiYnItMT48L3BlcmlvZGljYWw+PGFsdC1wZXJpb2RpY2FsPjxmdWxs
LXRpdGxlPkNhbmNlciBFcGlkZW1pb2wgQmlvbWFya2VycyBQcmV2PC9mdWxsLXRpdGxlPjxhYmJy
LTE+Q2FuY2VyIGVwaWRlbWlvbG9neSwgYmlvbWFya2VycyAmYW1wOyBwcmV2ZW50aW9uIDogYSBw
dWJsaWNhdGlvbiBvZiB0aGUgQW1lcmljYW4gQXNzb2NpYXRpb24gZm9yIENhbmNlciBSZXNlYXJj
aCwgY29zcG9uc29yZWQgYnkgdGhlIEFtZXJpY2FuIFNvY2lldHkgb2YgUHJldmVudGl2ZSBPbmNv
bG9neTwvYWJici0xPjwvYWx0LXBlcmlvZGljYWw+PHBhZ2VzPjE3OTUtMTgwMzwvcGFnZXM+PHZv
bHVtZT4yNjwvdm9sdW1lPjxudW1iZXI+MTI8L251bWJlcj48ZWRpdGlvbj4yMDE3LzExLzEyPC9l
ZGl0aW9uPjxkYXRlcz48eWVhcj4yMDE3PC95ZWFyPjxwdWItZGF0ZXM+PGRhdGU+RGVjPC9kYXRl
PjwvcHViLWRhdGVzPjwvZGF0ZXM+PGlzYm4+MTA1NS05OTY1PC9pc2JuPjxhY2Nlc3Npb24tbnVt
PjI5MTI3MDgwPC9hY2Nlc3Npb24tbnVtPjx1cmxzPjxyZWxhdGVkLXVybHM+PHVybD5odHRwOi8v
Y2VicC5hYWNyam91cm5hbHMub3JnL2NvbnRlbnQvMjYvMTIvMTc5NS5sb25nPC91cmw+PHVybD5o
dHRwOi8vY2VicC5hYWNyam91cm5hbHMub3JnL2NvbnRlbnQvY2VicC8yNi8xMi8xNzk1LmZ1bGwu
cGRmPC91cmw+PC9yZWxhdGVkLXVybHM+PC91cmxzPjxjdXN0b20yPlBNQzU3MTM4OTg8L2N1c3Rv
bTI+PGN1c3RvbTY+TklITVM5MTE4Nzk8L2N1c3RvbTY+PGVsZWN0cm9uaWMtcmVzb3VyY2UtbnVt
PjEwLjExNTgvMTA1NS05OTY1LkVwaS0xNy0wNDYwPC9lbGVjdHJvbmljLXJlc291cmNlLW51bT48
cmVtb3RlLWRhdGFiYXNlLXByb3ZpZGVyPk5MTTwvcmVtb3RlLWRhdGFiYXNlLXByb3ZpZGVyPjxs
YW5ndWFnZT5lbmc8L2xhbmd1YWdlPjwvcmVjb3JkPjwvQ2l0ZT48L0VuZE5vdGU+AG==
</w:fldData>
        </w:fldChar>
      </w:r>
      <w:r>
        <w:instrText xml:space="preserve"> ADDIN EN.CITE.DATA </w:instrText>
      </w:r>
      <w:r>
        <w:fldChar w:fldCharType="end"/>
      </w:r>
      <w:r>
        <w:fldChar w:fldCharType="separate"/>
      </w:r>
      <w:r>
        <w:rPr>
          <w:noProof/>
        </w:rPr>
        <w:t>(Carpenter, Heckman et al. 2017)</w:t>
      </w:r>
      <w:r>
        <w:fldChar w:fldCharType="end"/>
      </w:r>
      <w:r>
        <w:t>. However, while participants reduced cigarette consumption, it is unclear if this would translate to complete smoking cessation over a longer duration. Additionally, the study did not compare e</w:t>
      </w:r>
      <w:r>
        <w:noBreakHyphen/>
        <w:t>cigarette use with other smoking cessation treatments.</w:t>
      </w:r>
    </w:p>
    <w:p w14:paraId="69D5D801" w14:textId="77777777" w:rsidR="002738DD" w:rsidRDefault="002738DD" w:rsidP="002738DD">
      <w:pPr>
        <w:pStyle w:val="BodyText"/>
      </w:pPr>
      <w:r>
        <w:t>An RCT based in both Christchurch (n=22) and Wellington (n=13), New Zealand, recruited participants from the community and via internet ads</w:t>
      </w:r>
      <w:r w:rsidRPr="00847EBC">
        <w:t xml:space="preserve"> </w:t>
      </w:r>
      <w:r>
        <w:fldChar w:fldCharType="begin">
          <w:fldData xml:space="preserve">PEVuZE5vdGU+PENpdGU+PEF1dGhvcj5UdWNrZXI8L0F1dGhvcj48WWVhcj4yMDE3PC9ZZWFyPjxS
ZWNOdW0+NDcyNTwvUmVjTnVtPjxEaXNwbGF5VGV4dD4oVHVja2VyLCBMYXVnZXNlbiBldCBhbC4g
MjAxNyk8L0Rpc3BsYXlUZXh0PjxyZWNvcmQ+PHJlYy1udW1iZXI+NDcyNTwvcmVjLW51bWJlcj48
Zm9yZWlnbi1rZXlzPjxrZXkgYXBwPSJFTiIgZGItaWQ9Ijl6MDVkejBwcmFhZGZ1ZWUwem94emVk
azl6ZmU1Znh4NTB6NSIgdGltZXN0YW1wPSIxNTIzOTIwNDAxIj40NzI1PC9rZXk+PGtleSBhcHA9
IkVOV2ViIiBkYi1pZD0iIj4wPC9rZXk+PC9mb3JlaWduLWtleXM+PHJlZi10eXBlIG5hbWU9Ikpv
dXJuYWwgQXJ0aWNsZSI+MTc8L3JlZi10eXBlPjxjb250cmlidXRvcnM+PGF1dGhvcnM+PGF1dGhv
cj5UdWNrZXIsIE0uIFIuPC9hdXRob3I+PGF1dGhvcj5MYXVnZXNlbiwgTS48L2F1dGhvcj48YXV0
aG9yPkJ1bGxlbiwgQy48L2F1dGhvcj48YXV0aG9yPkdyYWNlLCBSLiBDLjwvYXV0aG9yPjwvYXV0
aG9ycz48L2NvbnRyaWJ1dG9ycz48YXV0aC1hZGRyZXNzPlVuaXZlcnNpdHkgb2YgQ2FudGVyYnVy
eSwgRGVwYXJ0bWVudCBvZiBQc3ljaG9sb2d5LCBOZXcgWmVhbGFuZC4mI3hEO0hlYWx0aCBOZXcg
WmVhbGFuZCBMdGQuLCBDaHJpc3RjaHVyY2gsIE5ldyBaZWFsYW5kLiYjeEQ7VW5pdmVyc2l0eSBv
ZiBBdWNrbGFuZCwgU2Nob29sIG9mIFBvcHVsYXRpb24gSGVhbHRoLCBBdWNrbGFuZCwgTmV3IFpl
YWxhbmQuPC9hdXRoLWFkZHJlc3M+PHRpdGxlcz48dGl0bGU+UHJlZGljdGluZyBTaG9ydC1UZXJt
IFVwdGFrZSBvZiBFbGVjdHJvbmljIENpZ2FyZXR0ZXM6IEVmZmVjdHMgb2YgTmljb3RpbmUsIFN1
YmplY3RpdmUgRWZmZWN0cyBhbmQgU2ltdWxhdGVkIERlbWFuZDwvdGl0bGU+PHNlY29uZGFyeS10
aXRsZT5OaWNvdGluZSBUb2IgUmVzPC9zZWNvbmRhcnktdGl0bGU+PGFsdC10aXRsZT5OaWNvdGlu
ZSAmYW1wOyB0b2JhY2NvIHJlc2VhcmNoIDogb2ZmaWNpYWwgam91cm5hbCBvZiB0aGUgU29jaWV0
eSBmb3IgUmVzZWFyY2ggb24gTmljb3RpbmUgYW5kIFRvYmFjY288L2FsdC10aXRsZT48L3RpdGxl
cz48cGVyaW9kaWNhbD48ZnVsbC10aXRsZT5OaWNvdGluZSBUb2IgUmVzPC9mdWxsLXRpdGxlPjxh
YmJyLTE+Tmljb3RpbmUgJmFtcDsgdG9iYWNjbyByZXNlYXJjaCA6IG9mZmljaWFsIGpvdXJuYWwg
b2YgdGhlIFNvY2lldHkgZm9yIFJlc2VhcmNoIG9uIE5pY290aW5lIGFuZCBUb2JhY2NvPC9hYmJy
LTE+PC9wZXJpb2RpY2FsPjxhbHQtcGVyaW9kaWNhbD48ZnVsbC10aXRsZT5OaWNvdGluZSBUb2Ig
UmVzPC9mdWxsLXRpdGxlPjxhYmJyLTE+Tmljb3RpbmUgJmFtcDsgdG9iYWNjbyByZXNlYXJjaCA6
IG9mZmljaWFsIGpvdXJuYWwgb2YgdGhlIFNvY2lldHkgZm9yIFJlc2VhcmNoIG9uIE5pY290aW5l
IGFuZCBUb2JhY2NvPC9hYmJyLTE+PC9hbHQtcGVyaW9kaWNhbD48ZWRpdGlvbj4yMDE3LzEyLzIz
PC9lZGl0aW9uPjxkYXRlcz48eWVhcj4yMDE3PC95ZWFyPjxwdWItZGF0ZXM+PGRhdGU+RGVjIDIw
PC9kYXRlPjwvcHViLWRhdGVzPjwvZGF0ZXM+PGlzYm4+MTQ2Mi0yMjAzPC9pc2JuPjxhY2Nlc3Np
b24tbnVtPjI5MjcyNDQ2PC9hY2Nlc3Npb24tbnVtPjx1cmxzPjxyZWxhdGVkLXVybHM+PHVybD5o
dHRwczovL3dhdGVybWFyay5zaWx2ZXJjaGFpci5jb20vbnR4MjY5LnBkZj90b2tlbj1BUUVDQUhp
MjA4QkU0OU9vYW45a2toV19FcmN5N0RtM1pMXzlDZjNxZktBYzQ4NXlzZ0FBQWNjd2dnSERCZ2tx
aGtpRzl3MEJCd2FnZ2dHME1JSUJzQUlCQURDQ0Fha0dDU3FHU0liM0RRRUhBVEFlQmdsZ2hrZ0Ja
UU1FQVM0d0VRUU1Lb0hhZVBIaE5TdkFJTi1GQWdFUWdJSUJlZ21aR1p4TDA5M3dweXd5eVhNZGJt
aGxrai1hQkMzc1BCT2hRVkxXQ2hDaFlCc1VjbjBuU2U3X2JzRWxpVEdiME5pVlZuWDZJLWUwSUwx
Vl9aMUpabUxPRDdfZFhpMHVLb1ZoWmFWYldSeTl1a3NDZ3cxTlFZS2xjS0k1aHdmZWgyLWxmYkc0
VUtGQUhhVEYtbG5SbGo0US1YejA4OXFINW9BSEVuMVBQWXlFMVBSNjE4Y3B4YlZWVkNtc1M0ZVFw
aHdXWEVpb1pzWXgxbjc1bWlielZrQWFfdTJMR0FpNW52VmY0bW5sU2IzM2steDBDZlFEOElPMTRo
cHNBelNWU296d0Y5RU5pZWtZTjd2YkFrMnUtWnk5UmtfME5qSldXNU85OHJDVW9ITGxOSmtLeVFQ
LXlRQTJ0bE5iUWNtTHV2QkJ4RTdoQXZLZGRCTEVFV3BWdTl2UmpFU1dWRHRNYXc1R1JpUURSclEx
OHRld3lIVHFPbkJKUW5hekVNV0hyTjI1Ymp0MmZ3NVR3aEhzSndCTWtTeW1GWFFwWnREa09MT1Fv
SFFpdEEwOEItTFdxZ29OVzdudTdTdkpYS05UV19uSzhSODlQVTJDMHZ3cDJ2X3dkSTRzRFJaWjVE
czFzYmNJYUhRSzg2SjdFdFo1cEJybmpYTWdDZzwvdXJsPjwvcmVsYXRlZC11cmxzPjwvdXJscz48
ZWxlY3Ryb25pYy1yZXNvdXJjZS1udW0+MTAuMTA5My9udHIvbnR4MjY5PC9lbGVjdHJvbmljLXJl
c291cmNlLW51bT48cmVtb3RlLWRhdGFiYXNlLXByb3ZpZGVyPk5MTTwvcmVtb3RlLWRhdGFiYXNl
LXByb3ZpZGVyPjxsYW5ndWFnZT5lbmc8L2xhbmd1YWdlPjwvcmVjb3JkPjwvQ2l0ZT48L0VuZE5v
dGU+
</w:fldData>
        </w:fldChar>
      </w:r>
      <w:r>
        <w:instrText xml:space="preserve"> ADDIN EN.CITE </w:instrText>
      </w:r>
      <w:r>
        <w:fldChar w:fldCharType="begin">
          <w:fldData xml:space="preserve">PEVuZE5vdGU+PENpdGU+PEF1dGhvcj5UdWNrZXI8L0F1dGhvcj48WWVhcj4yMDE3PC9ZZWFyPjxS
ZWNOdW0+NDcyNTwvUmVjTnVtPjxEaXNwbGF5VGV4dD4oVHVja2VyLCBMYXVnZXNlbiBldCBhbC4g
MjAxNyk8L0Rpc3BsYXlUZXh0PjxyZWNvcmQ+PHJlYy1udW1iZXI+NDcyNTwvcmVjLW51bWJlcj48
Zm9yZWlnbi1rZXlzPjxrZXkgYXBwPSJFTiIgZGItaWQ9Ijl6MDVkejBwcmFhZGZ1ZWUwem94emVk
azl6ZmU1Znh4NTB6NSIgdGltZXN0YW1wPSIxNTIzOTIwNDAxIj40NzI1PC9rZXk+PGtleSBhcHA9
IkVOV2ViIiBkYi1pZD0iIj4wPC9rZXk+PC9mb3JlaWduLWtleXM+PHJlZi10eXBlIG5hbWU9Ikpv
dXJuYWwgQXJ0aWNsZSI+MTc8L3JlZi10eXBlPjxjb250cmlidXRvcnM+PGF1dGhvcnM+PGF1dGhv
cj5UdWNrZXIsIE0uIFIuPC9hdXRob3I+PGF1dGhvcj5MYXVnZXNlbiwgTS48L2F1dGhvcj48YXV0
aG9yPkJ1bGxlbiwgQy48L2F1dGhvcj48YXV0aG9yPkdyYWNlLCBSLiBDLjwvYXV0aG9yPjwvYXV0
aG9ycz48L2NvbnRyaWJ1dG9ycz48YXV0aC1hZGRyZXNzPlVuaXZlcnNpdHkgb2YgQ2FudGVyYnVy
eSwgRGVwYXJ0bWVudCBvZiBQc3ljaG9sb2d5LCBOZXcgWmVhbGFuZC4mI3hEO0hlYWx0aCBOZXcg
WmVhbGFuZCBMdGQuLCBDaHJpc3RjaHVyY2gsIE5ldyBaZWFsYW5kLiYjeEQ7VW5pdmVyc2l0eSBv
ZiBBdWNrbGFuZCwgU2Nob29sIG9mIFBvcHVsYXRpb24gSGVhbHRoLCBBdWNrbGFuZCwgTmV3IFpl
YWxhbmQuPC9hdXRoLWFkZHJlc3M+PHRpdGxlcz48dGl0bGU+UHJlZGljdGluZyBTaG9ydC1UZXJt
IFVwdGFrZSBvZiBFbGVjdHJvbmljIENpZ2FyZXR0ZXM6IEVmZmVjdHMgb2YgTmljb3RpbmUsIFN1
YmplY3RpdmUgRWZmZWN0cyBhbmQgU2ltdWxhdGVkIERlbWFuZDwvdGl0bGU+PHNlY29uZGFyeS10
aXRsZT5OaWNvdGluZSBUb2IgUmVzPC9zZWNvbmRhcnktdGl0bGU+PGFsdC10aXRsZT5OaWNvdGlu
ZSAmYW1wOyB0b2JhY2NvIHJlc2VhcmNoIDogb2ZmaWNpYWwgam91cm5hbCBvZiB0aGUgU29jaWV0
eSBmb3IgUmVzZWFyY2ggb24gTmljb3RpbmUgYW5kIFRvYmFjY288L2FsdC10aXRsZT48L3RpdGxl
cz48cGVyaW9kaWNhbD48ZnVsbC10aXRsZT5OaWNvdGluZSBUb2IgUmVzPC9mdWxsLXRpdGxlPjxh
YmJyLTE+Tmljb3RpbmUgJmFtcDsgdG9iYWNjbyByZXNlYXJjaCA6IG9mZmljaWFsIGpvdXJuYWwg
b2YgdGhlIFNvY2lldHkgZm9yIFJlc2VhcmNoIG9uIE5pY290aW5lIGFuZCBUb2JhY2NvPC9hYmJy
LTE+PC9wZXJpb2RpY2FsPjxhbHQtcGVyaW9kaWNhbD48ZnVsbC10aXRsZT5OaWNvdGluZSBUb2Ig
UmVzPC9mdWxsLXRpdGxlPjxhYmJyLTE+Tmljb3RpbmUgJmFtcDsgdG9iYWNjbyByZXNlYXJjaCA6
IG9mZmljaWFsIGpvdXJuYWwgb2YgdGhlIFNvY2lldHkgZm9yIFJlc2VhcmNoIG9uIE5pY290aW5l
IGFuZCBUb2JhY2NvPC9hYmJyLTE+PC9hbHQtcGVyaW9kaWNhbD48ZWRpdGlvbj4yMDE3LzEyLzIz
PC9lZGl0aW9uPjxkYXRlcz48eWVhcj4yMDE3PC95ZWFyPjxwdWItZGF0ZXM+PGRhdGU+RGVjIDIw
PC9kYXRlPjwvcHViLWRhdGVzPjwvZGF0ZXM+PGlzYm4+MTQ2Mi0yMjAzPC9pc2JuPjxhY2Nlc3Np
b24tbnVtPjI5MjcyNDQ2PC9hY2Nlc3Npb24tbnVtPjx1cmxzPjxyZWxhdGVkLXVybHM+PHVybD5o
dHRwczovL3dhdGVybWFyay5zaWx2ZXJjaGFpci5jb20vbnR4MjY5LnBkZj90b2tlbj1BUUVDQUhp
MjA4QkU0OU9vYW45a2toV19FcmN5N0RtM1pMXzlDZjNxZktBYzQ4NXlzZ0FBQWNjd2dnSERCZ2tx
aGtpRzl3MEJCd2FnZ2dHME1JSUJzQUlCQURDQ0Fha0dDU3FHU0liM0RRRUhBVEFlQmdsZ2hrZ0Ja
UU1FQVM0d0VRUU1Lb0hhZVBIaE5TdkFJTi1GQWdFUWdJSUJlZ21aR1p4TDA5M3dweXd5eVhNZGJt
aGxrai1hQkMzc1BCT2hRVkxXQ2hDaFlCc1VjbjBuU2U3X2JzRWxpVEdiME5pVlZuWDZJLWUwSUwx
Vl9aMUpabUxPRDdfZFhpMHVLb1ZoWmFWYldSeTl1a3NDZ3cxTlFZS2xjS0k1aHdmZWgyLWxmYkc0
VUtGQUhhVEYtbG5SbGo0US1YejA4OXFINW9BSEVuMVBQWXlFMVBSNjE4Y3B4YlZWVkNtc1M0ZVFw
aHdXWEVpb1pzWXgxbjc1bWlielZrQWFfdTJMR0FpNW52VmY0bW5sU2IzM2steDBDZlFEOElPMTRo
cHNBelNWU296d0Y5RU5pZWtZTjd2YkFrMnUtWnk5UmtfME5qSldXNU85OHJDVW9ITGxOSmtLeVFQ
LXlRQTJ0bE5iUWNtTHV2QkJ4RTdoQXZLZGRCTEVFV3BWdTl2UmpFU1dWRHRNYXc1R1JpUURSclEx
OHRld3lIVHFPbkJKUW5hekVNV0hyTjI1Ymp0MmZ3NVR3aEhzSndCTWtTeW1GWFFwWnREa09MT1Fv
SFFpdEEwOEItTFdxZ29OVzdudTdTdkpYS05UV19uSzhSODlQVTJDMHZ3cDJ2X3dkSTRzRFJaWjVE
czFzYmNJYUhRSzg2SjdFdFo1cEJybmpYTWdDZzwvdXJsPjwvcmVsYXRlZC11cmxzPjwvdXJscz48
ZWxlY3Ryb25pYy1yZXNvdXJjZS1udW0+MTAuMTA5My9udHIvbnR4MjY5PC9lbGVjdHJvbmljLXJl
c291cmNlLW51bT48cmVtb3RlLWRhdGFiYXNlLXByb3ZpZGVyPk5MTTwvcmVtb3RlLWRhdGFiYXNl
LXByb3ZpZGVyPjxsYW5ndWFnZT5lbmc8L2xhbmd1YWdlPjwvcmVjb3JkPjwvQ2l0ZT48L0VuZE5v
dGU+
</w:fldData>
        </w:fldChar>
      </w:r>
      <w:r>
        <w:instrText xml:space="preserve"> ADDIN EN.CITE.DATA </w:instrText>
      </w:r>
      <w:r>
        <w:fldChar w:fldCharType="end"/>
      </w:r>
      <w:r>
        <w:fldChar w:fldCharType="separate"/>
      </w:r>
      <w:r>
        <w:rPr>
          <w:noProof/>
        </w:rPr>
        <w:t>(Tucker, Laugesen et al. 2017)</w:t>
      </w:r>
      <w:r>
        <w:fldChar w:fldCharType="end"/>
      </w:r>
      <w:r>
        <w:t>. 40 participants were recruited and 35 completed the trial. 26.7% were female and the mean age was 26.8(</w:t>
      </w:r>
      <w:r>
        <w:rPr>
          <w:rFonts w:cs="Calibri"/>
        </w:rPr>
        <w:t>±</w:t>
      </w:r>
      <w:r>
        <w:t>10.6) years. The RCT was a cross</w:t>
      </w:r>
      <w:r>
        <w:noBreakHyphen/>
        <w:t>over design with four, two</w:t>
      </w:r>
      <w:r>
        <w:noBreakHyphen/>
        <w:t>week periods. Participants were randomised to treatment order and received either a 0, 6, 12 or 18 mg/mL nicotine e</w:t>
      </w:r>
      <w:r>
        <w:noBreakHyphen/>
        <w:t>cigarette. They were instructed to use the e</w:t>
      </w:r>
      <w:r>
        <w:noBreakHyphen/>
        <w:t xml:space="preserve">cigarette </w:t>
      </w:r>
      <w:r w:rsidRPr="00847EBC">
        <w:t>ad libitum, in attempt to substitute</w:t>
      </w:r>
      <w:r>
        <w:t xml:space="preserve"> the e</w:t>
      </w:r>
      <w:r>
        <w:noBreakHyphen/>
        <w:t>cigarette</w:t>
      </w:r>
      <w:r w:rsidRPr="00847EBC">
        <w:t xml:space="preserve"> for the regular cigarette.</w:t>
      </w:r>
      <w:r>
        <w:t xml:space="preserve"> Daily use of both cigarettes and e</w:t>
      </w:r>
      <w:r>
        <w:noBreakHyphen/>
        <w:t>cigarettes was reported using SMS messages.</w:t>
      </w:r>
      <w:r w:rsidRPr="00847EBC">
        <w:t xml:space="preserve"> </w:t>
      </w:r>
      <w:r>
        <w:t xml:space="preserve">Mean cigarettes per day decreased from baseline (9.69 </w:t>
      </w:r>
      <w:r>
        <w:rPr>
          <w:rFonts w:cs="Calibri"/>
        </w:rPr>
        <w:t xml:space="preserve">± </w:t>
      </w:r>
      <w:r>
        <w:t>5.07) to end of the study</w:t>
      </w:r>
      <w:r w:rsidRPr="0017651E">
        <w:t xml:space="preserve"> </w:t>
      </w:r>
      <w:r>
        <w:t>(</w:t>
      </w:r>
      <w:r w:rsidRPr="0017651E">
        <w:t>6.09</w:t>
      </w:r>
      <w:r>
        <w:t xml:space="preserve"> </w:t>
      </w:r>
      <w:r>
        <w:rPr>
          <w:rFonts w:cs="Calibri"/>
        </w:rPr>
        <w:t>±</w:t>
      </w:r>
      <w:r w:rsidRPr="0017651E">
        <w:t xml:space="preserve"> 4.18)</w:t>
      </w:r>
      <w:r>
        <w:t>. There was a 37% reduction in cigarettes per day when any e</w:t>
      </w:r>
      <w:r>
        <w:noBreakHyphen/>
        <w:t>cigarette was available (</w:t>
      </w:r>
      <w:r w:rsidRPr="0017651E">
        <w:rPr>
          <w:i/>
        </w:rPr>
        <w:t>t</w:t>
      </w:r>
      <w:r>
        <w:t>(62)=2.75, p=0.008). There was a significant effect of nicotine concentration</w:t>
      </w:r>
      <w:r w:rsidRPr="0017651E">
        <w:t xml:space="preserve"> </w:t>
      </w:r>
      <w:r>
        <w:t>(</w:t>
      </w:r>
      <w:r>
        <w:rPr>
          <w:i/>
        </w:rPr>
        <w:t>f</w:t>
      </w:r>
      <w:r w:rsidRPr="0017651E">
        <w:t xml:space="preserve"> (3, 5</w:t>
      </w:r>
      <w:r>
        <w:t>9.8)=2.95, p=0.04), such that participants used the e</w:t>
      </w:r>
      <w:r>
        <w:noBreakHyphen/>
        <w:t xml:space="preserve">cigarettes more frequently when using the higher nicotine e-cigarettes </w:t>
      </w:r>
      <w:r>
        <w:fldChar w:fldCharType="begin">
          <w:fldData xml:space="preserve">PEVuZE5vdGU+PENpdGU+PEF1dGhvcj5UdWNrZXI8L0F1dGhvcj48WWVhcj4yMDE3PC9ZZWFyPjxS
ZWNOdW0+NDcyNTwvUmVjTnVtPjxEaXNwbGF5VGV4dD4oVHVja2VyLCBMYXVnZXNlbiBldCBhbC4g
MjAxNyk8L0Rpc3BsYXlUZXh0PjxyZWNvcmQ+PHJlYy1udW1iZXI+NDcyNTwvcmVjLW51bWJlcj48
Zm9yZWlnbi1rZXlzPjxrZXkgYXBwPSJFTiIgZGItaWQ9Ijl6MDVkejBwcmFhZGZ1ZWUwem94emVk
azl6ZmU1Znh4NTB6NSIgdGltZXN0YW1wPSIxNTIzOTIwNDAxIj40NzI1PC9rZXk+PGtleSBhcHA9
IkVOV2ViIiBkYi1pZD0iIj4wPC9rZXk+PC9mb3JlaWduLWtleXM+PHJlZi10eXBlIG5hbWU9Ikpv
dXJuYWwgQXJ0aWNsZSI+MTc8L3JlZi10eXBlPjxjb250cmlidXRvcnM+PGF1dGhvcnM+PGF1dGhv
cj5UdWNrZXIsIE0uIFIuPC9hdXRob3I+PGF1dGhvcj5MYXVnZXNlbiwgTS48L2F1dGhvcj48YXV0
aG9yPkJ1bGxlbiwgQy48L2F1dGhvcj48YXV0aG9yPkdyYWNlLCBSLiBDLjwvYXV0aG9yPjwvYXV0
aG9ycz48L2NvbnRyaWJ1dG9ycz48YXV0aC1hZGRyZXNzPlVuaXZlcnNpdHkgb2YgQ2FudGVyYnVy
eSwgRGVwYXJ0bWVudCBvZiBQc3ljaG9sb2d5LCBOZXcgWmVhbGFuZC4mI3hEO0hlYWx0aCBOZXcg
WmVhbGFuZCBMdGQuLCBDaHJpc3RjaHVyY2gsIE5ldyBaZWFsYW5kLiYjeEQ7VW5pdmVyc2l0eSBv
ZiBBdWNrbGFuZCwgU2Nob29sIG9mIFBvcHVsYXRpb24gSGVhbHRoLCBBdWNrbGFuZCwgTmV3IFpl
YWxhbmQuPC9hdXRoLWFkZHJlc3M+PHRpdGxlcz48dGl0bGU+UHJlZGljdGluZyBTaG9ydC1UZXJt
IFVwdGFrZSBvZiBFbGVjdHJvbmljIENpZ2FyZXR0ZXM6IEVmZmVjdHMgb2YgTmljb3RpbmUsIFN1
YmplY3RpdmUgRWZmZWN0cyBhbmQgU2ltdWxhdGVkIERlbWFuZDwvdGl0bGU+PHNlY29uZGFyeS10
aXRsZT5OaWNvdGluZSBUb2IgUmVzPC9zZWNvbmRhcnktdGl0bGU+PGFsdC10aXRsZT5OaWNvdGlu
ZSAmYW1wOyB0b2JhY2NvIHJlc2VhcmNoIDogb2ZmaWNpYWwgam91cm5hbCBvZiB0aGUgU29jaWV0
eSBmb3IgUmVzZWFyY2ggb24gTmljb3RpbmUgYW5kIFRvYmFjY288L2FsdC10aXRsZT48L3RpdGxl
cz48cGVyaW9kaWNhbD48ZnVsbC10aXRsZT5OaWNvdGluZSBUb2IgUmVzPC9mdWxsLXRpdGxlPjxh
YmJyLTE+Tmljb3RpbmUgJmFtcDsgdG9iYWNjbyByZXNlYXJjaCA6IG9mZmljaWFsIGpvdXJuYWwg
b2YgdGhlIFNvY2lldHkgZm9yIFJlc2VhcmNoIG9uIE5pY290aW5lIGFuZCBUb2JhY2NvPC9hYmJy
LTE+PC9wZXJpb2RpY2FsPjxhbHQtcGVyaW9kaWNhbD48ZnVsbC10aXRsZT5OaWNvdGluZSBUb2Ig
UmVzPC9mdWxsLXRpdGxlPjxhYmJyLTE+Tmljb3RpbmUgJmFtcDsgdG9iYWNjbyByZXNlYXJjaCA6
IG9mZmljaWFsIGpvdXJuYWwgb2YgdGhlIFNvY2lldHkgZm9yIFJlc2VhcmNoIG9uIE5pY290aW5l
IGFuZCBUb2JhY2NvPC9hYmJyLTE+PC9hbHQtcGVyaW9kaWNhbD48ZWRpdGlvbj4yMDE3LzEyLzIz
PC9lZGl0aW9uPjxkYXRlcz48eWVhcj4yMDE3PC95ZWFyPjxwdWItZGF0ZXM+PGRhdGU+RGVjIDIw
PC9kYXRlPjwvcHViLWRhdGVzPjwvZGF0ZXM+PGlzYm4+MTQ2Mi0yMjAzPC9pc2JuPjxhY2Nlc3Np
b24tbnVtPjI5MjcyNDQ2PC9hY2Nlc3Npb24tbnVtPjx1cmxzPjxyZWxhdGVkLXVybHM+PHVybD5o
dHRwczovL3dhdGVybWFyay5zaWx2ZXJjaGFpci5jb20vbnR4MjY5LnBkZj90b2tlbj1BUUVDQUhp
MjA4QkU0OU9vYW45a2toV19FcmN5N0RtM1pMXzlDZjNxZktBYzQ4NXlzZ0FBQWNjd2dnSERCZ2tx
aGtpRzl3MEJCd2FnZ2dHME1JSUJzQUlCQURDQ0Fha0dDU3FHU0liM0RRRUhBVEFlQmdsZ2hrZ0Ja
UU1FQVM0d0VRUU1Lb0hhZVBIaE5TdkFJTi1GQWdFUWdJSUJlZ21aR1p4TDA5M3dweXd5eVhNZGJt
aGxrai1hQkMzc1BCT2hRVkxXQ2hDaFlCc1VjbjBuU2U3X2JzRWxpVEdiME5pVlZuWDZJLWUwSUwx
Vl9aMUpabUxPRDdfZFhpMHVLb1ZoWmFWYldSeTl1a3NDZ3cxTlFZS2xjS0k1aHdmZWgyLWxmYkc0
VUtGQUhhVEYtbG5SbGo0US1YejA4OXFINW9BSEVuMVBQWXlFMVBSNjE4Y3B4YlZWVkNtc1M0ZVFw
aHdXWEVpb1pzWXgxbjc1bWlielZrQWFfdTJMR0FpNW52VmY0bW5sU2IzM2steDBDZlFEOElPMTRo
cHNBelNWU296d0Y5RU5pZWtZTjd2YkFrMnUtWnk5UmtfME5qSldXNU85OHJDVW9ITGxOSmtLeVFQ
LXlRQTJ0bE5iUWNtTHV2QkJ4RTdoQXZLZGRCTEVFV3BWdTl2UmpFU1dWRHRNYXc1R1JpUURSclEx
OHRld3lIVHFPbkJKUW5hekVNV0hyTjI1Ymp0MmZ3NVR3aEhzSndCTWtTeW1GWFFwWnREa09MT1Fv
SFFpdEEwOEItTFdxZ29OVzdudTdTdkpYS05UV19uSzhSODlQVTJDMHZ3cDJ2X3dkSTRzRFJaWjVE
czFzYmNJYUhRSzg2SjdFdFo1cEJybmpYTWdDZzwvdXJsPjwvcmVsYXRlZC11cmxzPjwvdXJscz48
ZWxlY3Ryb25pYy1yZXNvdXJjZS1udW0+MTAuMTA5My9udHIvbnR4MjY5PC9lbGVjdHJvbmljLXJl
c291cmNlLW51bT48cmVtb3RlLWRhdGFiYXNlLXByb3ZpZGVyPk5MTTwvcmVtb3RlLWRhdGFiYXNl
LXByb3ZpZGVyPjxsYW5ndWFnZT5lbmc8L2xhbmd1YWdlPjwvcmVjb3JkPjwvQ2l0ZT48L0VuZE5v
dGU+
</w:fldData>
        </w:fldChar>
      </w:r>
      <w:r>
        <w:instrText xml:space="preserve"> ADDIN EN.CITE </w:instrText>
      </w:r>
      <w:r>
        <w:fldChar w:fldCharType="begin">
          <w:fldData xml:space="preserve">PEVuZE5vdGU+PENpdGU+PEF1dGhvcj5UdWNrZXI8L0F1dGhvcj48WWVhcj4yMDE3PC9ZZWFyPjxS
ZWNOdW0+NDcyNTwvUmVjTnVtPjxEaXNwbGF5VGV4dD4oVHVja2VyLCBMYXVnZXNlbiBldCBhbC4g
MjAxNyk8L0Rpc3BsYXlUZXh0PjxyZWNvcmQ+PHJlYy1udW1iZXI+NDcyNTwvcmVjLW51bWJlcj48
Zm9yZWlnbi1rZXlzPjxrZXkgYXBwPSJFTiIgZGItaWQ9Ijl6MDVkejBwcmFhZGZ1ZWUwem94emVk
azl6ZmU1Znh4NTB6NSIgdGltZXN0YW1wPSIxNTIzOTIwNDAxIj40NzI1PC9rZXk+PGtleSBhcHA9
IkVOV2ViIiBkYi1pZD0iIj4wPC9rZXk+PC9mb3JlaWduLWtleXM+PHJlZi10eXBlIG5hbWU9Ikpv
dXJuYWwgQXJ0aWNsZSI+MTc8L3JlZi10eXBlPjxjb250cmlidXRvcnM+PGF1dGhvcnM+PGF1dGhv
cj5UdWNrZXIsIE0uIFIuPC9hdXRob3I+PGF1dGhvcj5MYXVnZXNlbiwgTS48L2F1dGhvcj48YXV0
aG9yPkJ1bGxlbiwgQy48L2F1dGhvcj48YXV0aG9yPkdyYWNlLCBSLiBDLjwvYXV0aG9yPjwvYXV0
aG9ycz48L2NvbnRyaWJ1dG9ycz48YXV0aC1hZGRyZXNzPlVuaXZlcnNpdHkgb2YgQ2FudGVyYnVy
eSwgRGVwYXJ0bWVudCBvZiBQc3ljaG9sb2d5LCBOZXcgWmVhbGFuZC4mI3hEO0hlYWx0aCBOZXcg
WmVhbGFuZCBMdGQuLCBDaHJpc3RjaHVyY2gsIE5ldyBaZWFsYW5kLiYjeEQ7VW5pdmVyc2l0eSBv
ZiBBdWNrbGFuZCwgU2Nob29sIG9mIFBvcHVsYXRpb24gSGVhbHRoLCBBdWNrbGFuZCwgTmV3IFpl
YWxhbmQuPC9hdXRoLWFkZHJlc3M+PHRpdGxlcz48dGl0bGU+UHJlZGljdGluZyBTaG9ydC1UZXJt
IFVwdGFrZSBvZiBFbGVjdHJvbmljIENpZ2FyZXR0ZXM6IEVmZmVjdHMgb2YgTmljb3RpbmUsIFN1
YmplY3RpdmUgRWZmZWN0cyBhbmQgU2ltdWxhdGVkIERlbWFuZDwvdGl0bGU+PHNlY29uZGFyeS10
aXRsZT5OaWNvdGluZSBUb2IgUmVzPC9zZWNvbmRhcnktdGl0bGU+PGFsdC10aXRsZT5OaWNvdGlu
ZSAmYW1wOyB0b2JhY2NvIHJlc2VhcmNoIDogb2ZmaWNpYWwgam91cm5hbCBvZiB0aGUgU29jaWV0
eSBmb3IgUmVzZWFyY2ggb24gTmljb3RpbmUgYW5kIFRvYmFjY288L2FsdC10aXRsZT48L3RpdGxl
cz48cGVyaW9kaWNhbD48ZnVsbC10aXRsZT5OaWNvdGluZSBUb2IgUmVzPC9mdWxsLXRpdGxlPjxh
YmJyLTE+Tmljb3RpbmUgJmFtcDsgdG9iYWNjbyByZXNlYXJjaCA6IG9mZmljaWFsIGpvdXJuYWwg
b2YgdGhlIFNvY2lldHkgZm9yIFJlc2VhcmNoIG9uIE5pY290aW5lIGFuZCBUb2JhY2NvPC9hYmJy
LTE+PC9wZXJpb2RpY2FsPjxhbHQtcGVyaW9kaWNhbD48ZnVsbC10aXRsZT5OaWNvdGluZSBUb2Ig
UmVzPC9mdWxsLXRpdGxlPjxhYmJyLTE+Tmljb3RpbmUgJmFtcDsgdG9iYWNjbyByZXNlYXJjaCA6
IG9mZmljaWFsIGpvdXJuYWwgb2YgdGhlIFNvY2lldHkgZm9yIFJlc2VhcmNoIG9uIE5pY290aW5l
IGFuZCBUb2JhY2NvPC9hYmJyLTE+PC9hbHQtcGVyaW9kaWNhbD48ZWRpdGlvbj4yMDE3LzEyLzIz
PC9lZGl0aW9uPjxkYXRlcz48eWVhcj4yMDE3PC95ZWFyPjxwdWItZGF0ZXM+PGRhdGU+RGVjIDIw
PC9kYXRlPjwvcHViLWRhdGVzPjwvZGF0ZXM+PGlzYm4+MTQ2Mi0yMjAzPC9pc2JuPjxhY2Nlc3Np
b24tbnVtPjI5MjcyNDQ2PC9hY2Nlc3Npb24tbnVtPjx1cmxzPjxyZWxhdGVkLXVybHM+PHVybD5o
dHRwczovL3dhdGVybWFyay5zaWx2ZXJjaGFpci5jb20vbnR4MjY5LnBkZj90b2tlbj1BUUVDQUhp
MjA4QkU0OU9vYW45a2toV19FcmN5N0RtM1pMXzlDZjNxZktBYzQ4NXlzZ0FBQWNjd2dnSERCZ2tx
aGtpRzl3MEJCd2FnZ2dHME1JSUJzQUlCQURDQ0Fha0dDU3FHU0liM0RRRUhBVEFlQmdsZ2hrZ0Ja
UU1FQVM0d0VRUU1Lb0hhZVBIaE5TdkFJTi1GQWdFUWdJSUJlZ21aR1p4TDA5M3dweXd5eVhNZGJt
aGxrai1hQkMzc1BCT2hRVkxXQ2hDaFlCc1VjbjBuU2U3X2JzRWxpVEdiME5pVlZuWDZJLWUwSUwx
Vl9aMUpabUxPRDdfZFhpMHVLb1ZoWmFWYldSeTl1a3NDZ3cxTlFZS2xjS0k1aHdmZWgyLWxmYkc0
VUtGQUhhVEYtbG5SbGo0US1YejA4OXFINW9BSEVuMVBQWXlFMVBSNjE4Y3B4YlZWVkNtc1M0ZVFw
aHdXWEVpb1pzWXgxbjc1bWlielZrQWFfdTJMR0FpNW52VmY0bW5sU2IzM2steDBDZlFEOElPMTRo
cHNBelNWU296d0Y5RU5pZWtZTjd2YkFrMnUtWnk5UmtfME5qSldXNU85OHJDVW9ITGxOSmtLeVFQ
LXlRQTJ0bE5iUWNtTHV2QkJ4RTdoQXZLZGRCTEVFV3BWdTl2UmpFU1dWRHRNYXc1R1JpUURSclEx
OHRld3lIVHFPbkJKUW5hekVNV0hyTjI1Ymp0MmZ3NVR3aEhzSndCTWtTeW1GWFFwWnREa09MT1Fv
SFFpdEEwOEItTFdxZ29OVzdudTdTdkpYS05UV19uSzhSODlQVTJDMHZ3cDJ2X3dkSTRzRFJaWjVE
czFzYmNJYUhRSzg2SjdFdFo1cEJybmpYTWdDZzwvdXJsPjwvcmVsYXRlZC11cmxzPjwvdXJscz48
ZWxlY3Ryb25pYy1yZXNvdXJjZS1udW0+MTAuMTA5My9udHIvbnR4MjY5PC9lbGVjdHJvbmljLXJl
c291cmNlLW51bT48cmVtb3RlLWRhdGFiYXNlLXByb3ZpZGVyPk5MTTwvcmVtb3RlLWRhdGFiYXNl
LXByb3ZpZGVyPjxsYW5ndWFnZT5lbmc8L2xhbmd1YWdlPjwvcmVjb3JkPjwvQ2l0ZT48L0VuZE5v
dGU+
</w:fldData>
        </w:fldChar>
      </w:r>
      <w:r>
        <w:instrText xml:space="preserve"> ADDIN EN.CITE.DATA </w:instrText>
      </w:r>
      <w:r>
        <w:fldChar w:fldCharType="end"/>
      </w:r>
      <w:r>
        <w:fldChar w:fldCharType="separate"/>
      </w:r>
      <w:r>
        <w:rPr>
          <w:noProof/>
        </w:rPr>
        <w:t>(Tucker, Laugesen et al. 2017)</w:t>
      </w:r>
      <w:r>
        <w:fldChar w:fldCharType="end"/>
      </w:r>
      <w:r>
        <w:t xml:space="preserve">. </w:t>
      </w:r>
    </w:p>
    <w:p w14:paraId="044ACE15" w14:textId="77777777" w:rsidR="002738DD" w:rsidRDefault="002738DD" w:rsidP="002738DD">
      <w:pPr>
        <w:pStyle w:val="BodyText"/>
      </w:pPr>
      <w:r>
        <w:t>An Italian study with 170 smokers randomised participants into three groups; e</w:t>
      </w:r>
      <w:r>
        <w:noBreakHyphen/>
        <w:t>cigarettes with nicotine (8mg/mL), e</w:t>
      </w:r>
      <w:r>
        <w:noBreakHyphen/>
        <w:t>cigarettes without nicotine or no e</w:t>
      </w:r>
      <w:r>
        <w:noBreakHyphen/>
        <w:t xml:space="preserve">cigarette </w:t>
      </w:r>
      <w:r>
        <w:fldChar w:fldCharType="begin">
          <w:fldData xml:space="preserve">PEVuZE5vdGU+PENpdGU+PEF1dGhvcj5NYXNpZXJvPC9BdXRob3I+PFllYXI+MjAxODwvWWVhcj48
UmVjTnVtPjEwNDYyPC9SZWNOdW0+PERpc3BsYXlUZXh0PihNYXNpZXJvLCBMdWNjaGlhcmkgZXQg
YWwuIDIwMTgpPC9EaXNwbGF5VGV4dD48cmVjb3JkPjxyZWMtbnVtYmVyPjEwNDYyPC9yZWMtbnVt
YmVyPjxmb3JlaWduLWtleXM+PGtleSBhcHA9IkVOIiBkYi1pZD0iOXowNWR6MHByYWFkZnVlZTB6
b3h6ZWRrOXpmZTVmeHg1MHo1IiB0aW1lc3RhbXA9IjE1MjY4Njk4NzgiPjEwNDYyPC9rZXk+PGtl
eSBhcHA9IkVOV2ViIiBkYi1pZD0iIj4wPC9rZXk+PC9mb3JlaWduLWtleXM+PHJlZi10eXBlIG5h
bWU9IkpvdXJuYWwgQXJ0aWNsZSI+MTc8L3JlZi10eXBlPjxjb250cmlidXRvcnM+PGF1dGhvcnM+
PGF1dGhvcj5NYXNpZXJvLCBNYXJpYW5uYTwvYXV0aG9yPjxhdXRob3I+THVjY2hpYXJpLCBDbGF1
ZGlvPC9hdXRob3I+PGF1dGhvcj5NYXp6b2NjbywgS2V0dGk8L2F1dGhvcj48YXV0aG9yPlZlcm9u
ZXNpLCBHaXVsaWE8L2F1dGhvcj48YXV0aG9yPk1haXNvbm5ldXZlLCBQYXRyaWNrPC9hdXRob3I+
PGF1dGhvcj5KZW1vcywgQ29zdGFudGlubzwvYXV0aG9yPjxhdXRob3I+U2FsZSwgRW1hbnVlbGEg
T21vZGVvPC9hdXRob3I+PGF1dGhvcj5TcGluYSwgU3RlZmFuaWE8L2F1dGhvcj48YXV0aG9yPkJl
cnRvbG90dGksIFJhZmZhZWxsYTwvYXV0aG9yPjxhdXRob3I+UHJhdmV0dG9uaSwgR2FicmllbGxh
PC9hdXRob3I+PC9hdXRob3JzPjwvY29udHJpYnV0b3JzPjx0aXRsZXM+PHRpdGxlPkUtY2lnYXJl
dHRlcyBNYXkgU3VwcG9ydCBTbW9rZXJzIFdpdGggSGlnaCBTbW9raW5nLVJlbGF0ZWQgUmlzayBB
d2FyZW5lc3MgdG8gU3RvcCBTbW9raW5nIGluIHRoZSBTaG9ydCBSdW46IFByZWxpbWluYXJ5IFJl
c3VsdHMgYnkgUmFuZG9taXplZCBDb250cm9sbGVkIFRyaWFsPC90aXRsZT48c2Vjb25kYXJ5LXRp
dGxlPk5pY290aW5lICZhbXA7IHRvYmFjY28gcmVzZWFyY2ggOiBvZmZpY2lhbCBqb3VybmFsIG9m
IHRoZSBTb2NpZXR5IGZvciBSZXNlYXJjaCBvbiBOaWNvdGluZSBhbmQgVG9iYWNjbzwvc2Vjb25k
YXJ5LXRpdGxlPjwvdGl0bGVzPjxwZXJpb2RpY2FsPjxmdWxsLXRpdGxlPk5pY290aW5lIFRvYiBS
ZXM8L2Z1bGwtdGl0bGU+PGFiYnItMT5OaWNvdGluZSAmYW1wOyB0b2JhY2NvIHJlc2VhcmNoIDog
b2ZmaWNpYWwgam91cm5hbCBvZiB0aGUgU29jaWV0eSBmb3IgUmVzZWFyY2ggb24gTmljb3RpbmUg
YW5kIFRvYmFjY288L2FiYnItMT48L3BlcmlvZGljYWw+PGRhdGVzPjx5ZWFyPjIwMTg8L3llYXI+
PHB1Yi1kYXRlcz48ZGF0ZT4yMDE4LUFwci0xMTwvZGF0ZT48L3B1Yi1kYXRlcz48L2RhdGVzPjxh
Y2Nlc3Npb24tbnVtPk1FRExJTkU6Mjk2NjAwMzQ8L2FjY2Vzc2lvbi1udW0+PHVybHM+PHJlbGF0
ZWQtdXJscz48dXJsPiZsdDtHbyB0byBJU0kmZ3Q7Oi8vTUVETElORToyOTY2MDAzNDwvdXJsPjx1
cmw+aHR0cHM6Ly93YXRlcm1hcmsuc2lsdmVyY2hhaXIuY29tL250eTA0Ny5wZGY/dG9rZW49QVFF
Q0FIaTIwOEJFNDlPb2FuOWtraFdfRXJjeTdEbTNaTF85Q2YzcWZLQWM0ODV5c2dBQUFkSXdnZ0hP
QmdrcWhraUc5dzBCQndhZ2dnR19NSUlCdXdJQkFEQ0NBYlFHQ1NxR1NJYjNEUUVIQVRBZUJnbGdo
a2dCWlFNRUFTNHdFUVFNRHNWcUJrUXI4ZGJEWkZreUFnRVFnSUlCaGJwdE54dG1GN0V6ZnVOcVBo
ek1weE9GV3VhcC1uUmxZWFlGN3VISlZYWXFWTG5PVHJFOUdVS0RmNkpGZGR1MHJRZlhHYU5CZERP
MlB6SE9mT2YzYTh5UWZMaVRkMVMwT3RXRFRCSFVES0swLWZiRm00SzZaQzBmQi1qUGhLSXBTLUxw
WG51UVptdnJFei1tNlhRa3NodFRBMVF2ZW8xalBHTnRiZ0hDN3dLajlqLVhSSDFSdkx0T2J2SHNs
YU0xZG5PLU40dkhXWVFWX3JhMUpieVRkUGZaTUNiOXJydjA0NERBOU0tU3dfalVCVk15NFRocnhz
cUtQcnVGWTY2VktESzZjU2h0a1IwaXROT0tUOUdwRHlua2liNDljSFJSS04yd2dPYkVmdzA3elFM
TGdsN1BibGpDcEFmUS1LVmk3Vk4zbnRYM3o3SkJGS0dSWFFwOTFHdzR1SXA5dzBXVWdiRk9xNUZK
R2I2bFZ5RkNjVUg3QTltT2RyWDV2ckF6ZEdITVpqY1ZfSy1jTVJUblFtVDE2bGpJUW5pMW1aNy1k
OWhDTmxUUEtsTTNuZlVhMFJZbkpMS1o1TkZ3VF9ZMnQxYlRXVWhRdkRzQ3gyN3VGUDJpS3BpMUNh
ZGpQdjE3bWowSTZQampWRzFTSUVoX0dZRDA1aG84c1pDVnVpczV1eVVkcVIzVDwvdXJsPjwvcmVs
YXRlZC11cmxzPjwvdXJscz48ZWxlY3Ryb25pYy1yZXNvdXJjZS1udW0+MTAuMTA5My9udHIvbnR5
MDQ3PC9lbGVjdHJvbmljLXJlc291cmNlLW51bT48L3JlY29yZD48L0NpdGU+PC9FbmROb3RlPgB=
</w:fldData>
        </w:fldChar>
      </w:r>
      <w:r w:rsidR="004E728C">
        <w:instrText xml:space="preserve"> ADDIN EN.CITE </w:instrText>
      </w:r>
      <w:r w:rsidR="004E728C">
        <w:fldChar w:fldCharType="begin">
          <w:fldData xml:space="preserve">PEVuZE5vdGU+PENpdGU+PEF1dGhvcj5NYXNpZXJvPC9BdXRob3I+PFllYXI+MjAxODwvWWVhcj48
UmVjTnVtPjEwNDYyPC9SZWNOdW0+PERpc3BsYXlUZXh0PihNYXNpZXJvLCBMdWNjaGlhcmkgZXQg
YWwuIDIwMTgpPC9EaXNwbGF5VGV4dD48cmVjb3JkPjxyZWMtbnVtYmVyPjEwNDYyPC9yZWMtbnVt
YmVyPjxmb3JlaWduLWtleXM+PGtleSBhcHA9IkVOIiBkYi1pZD0iOXowNWR6MHByYWFkZnVlZTB6
b3h6ZWRrOXpmZTVmeHg1MHo1IiB0aW1lc3RhbXA9IjE1MjY4Njk4NzgiPjEwNDYyPC9rZXk+PGtl
eSBhcHA9IkVOV2ViIiBkYi1pZD0iIj4wPC9rZXk+PC9mb3JlaWduLWtleXM+PHJlZi10eXBlIG5h
bWU9IkpvdXJuYWwgQXJ0aWNsZSI+MTc8L3JlZi10eXBlPjxjb250cmlidXRvcnM+PGF1dGhvcnM+
PGF1dGhvcj5NYXNpZXJvLCBNYXJpYW5uYTwvYXV0aG9yPjxhdXRob3I+THVjY2hpYXJpLCBDbGF1
ZGlvPC9hdXRob3I+PGF1dGhvcj5NYXp6b2NjbywgS2V0dGk8L2F1dGhvcj48YXV0aG9yPlZlcm9u
ZXNpLCBHaXVsaWE8L2F1dGhvcj48YXV0aG9yPk1haXNvbm5ldXZlLCBQYXRyaWNrPC9hdXRob3I+
PGF1dGhvcj5KZW1vcywgQ29zdGFudGlubzwvYXV0aG9yPjxhdXRob3I+U2FsZSwgRW1hbnVlbGEg
T21vZGVvPC9hdXRob3I+PGF1dGhvcj5TcGluYSwgU3RlZmFuaWE8L2F1dGhvcj48YXV0aG9yPkJl
cnRvbG90dGksIFJhZmZhZWxsYTwvYXV0aG9yPjxhdXRob3I+UHJhdmV0dG9uaSwgR2FicmllbGxh
PC9hdXRob3I+PC9hdXRob3JzPjwvY29udHJpYnV0b3JzPjx0aXRsZXM+PHRpdGxlPkUtY2lnYXJl
dHRlcyBNYXkgU3VwcG9ydCBTbW9rZXJzIFdpdGggSGlnaCBTbW9raW5nLVJlbGF0ZWQgUmlzayBB
d2FyZW5lc3MgdG8gU3RvcCBTbW9raW5nIGluIHRoZSBTaG9ydCBSdW46IFByZWxpbWluYXJ5IFJl
c3VsdHMgYnkgUmFuZG9taXplZCBDb250cm9sbGVkIFRyaWFsPC90aXRsZT48c2Vjb25kYXJ5LXRp
dGxlPk5pY290aW5lICZhbXA7IHRvYmFjY28gcmVzZWFyY2ggOiBvZmZpY2lhbCBqb3VybmFsIG9m
IHRoZSBTb2NpZXR5IGZvciBSZXNlYXJjaCBvbiBOaWNvdGluZSBhbmQgVG9iYWNjbzwvc2Vjb25k
YXJ5LXRpdGxlPjwvdGl0bGVzPjxwZXJpb2RpY2FsPjxmdWxsLXRpdGxlPk5pY290aW5lIFRvYiBS
ZXM8L2Z1bGwtdGl0bGU+PGFiYnItMT5OaWNvdGluZSAmYW1wOyB0b2JhY2NvIHJlc2VhcmNoIDog
b2ZmaWNpYWwgam91cm5hbCBvZiB0aGUgU29jaWV0eSBmb3IgUmVzZWFyY2ggb24gTmljb3RpbmUg
YW5kIFRvYmFjY288L2FiYnItMT48L3BlcmlvZGljYWw+PGRhdGVzPjx5ZWFyPjIwMTg8L3llYXI+
PHB1Yi1kYXRlcz48ZGF0ZT4yMDE4LUFwci0xMTwvZGF0ZT48L3B1Yi1kYXRlcz48L2RhdGVzPjxh
Y2Nlc3Npb24tbnVtPk1FRExJTkU6Mjk2NjAwMzQ8L2FjY2Vzc2lvbi1udW0+PHVybHM+PHJlbGF0
ZWQtdXJscz48dXJsPiZsdDtHbyB0byBJU0kmZ3Q7Oi8vTUVETElORToyOTY2MDAzNDwvdXJsPjx1
cmw+aHR0cHM6Ly93YXRlcm1hcmsuc2lsdmVyY2hhaXIuY29tL250eTA0Ny5wZGY/dG9rZW49QVFF
Q0FIaTIwOEJFNDlPb2FuOWtraFdfRXJjeTdEbTNaTF85Q2YzcWZLQWM0ODV5c2dBQUFkSXdnZ0hP
QmdrcWhraUc5dzBCQndhZ2dnR19NSUlCdXdJQkFEQ0NBYlFHQ1NxR1NJYjNEUUVIQVRBZUJnbGdo
a2dCWlFNRUFTNHdFUVFNRHNWcUJrUXI4ZGJEWkZreUFnRVFnSUlCaGJwdE54dG1GN0V6ZnVOcVBo
ek1weE9GV3VhcC1uUmxZWFlGN3VISlZYWXFWTG5PVHJFOUdVS0RmNkpGZGR1MHJRZlhHYU5CZERP
MlB6SE9mT2YzYTh5UWZMaVRkMVMwT3RXRFRCSFVES0swLWZiRm00SzZaQzBmQi1qUGhLSXBTLUxw
WG51UVptdnJFei1tNlhRa3NodFRBMVF2ZW8xalBHTnRiZ0hDN3dLajlqLVhSSDFSdkx0T2J2SHNs
YU0xZG5PLU40dkhXWVFWX3JhMUpieVRkUGZaTUNiOXJydjA0NERBOU0tU3dfalVCVk15NFRocnhz
cUtQcnVGWTY2VktESzZjU2h0a1IwaXROT0tUOUdwRHlua2liNDljSFJSS04yd2dPYkVmdzA3elFM
TGdsN1BibGpDcEFmUS1LVmk3Vk4zbnRYM3o3SkJGS0dSWFFwOTFHdzR1SXA5dzBXVWdiRk9xNUZK
R2I2bFZ5RkNjVUg3QTltT2RyWDV2ckF6ZEdITVpqY1ZfSy1jTVJUblFtVDE2bGpJUW5pMW1aNy1k
OWhDTmxUUEtsTTNuZlVhMFJZbkpMS1o1TkZ3VF9ZMnQxYlRXVWhRdkRzQ3gyN3VGUDJpS3BpMUNh
ZGpQdjE3bWowSTZQampWRzFTSUVoX0dZRDA1aG84c1pDVnVpczV1eVVkcVIzVDwvdXJsPjwvcmVs
YXRlZC11cmxzPjwvdXJscz48ZWxlY3Ryb25pYy1yZXNvdXJjZS1udW0+MTAuMTA5My9udHIvbnR5
MDQ3PC9lbGVjdHJvbmljLXJlc291cmNlLW51bT48L3JlY29yZD48L0NpdGU+PC9FbmROb3RlPgB=
</w:fldData>
        </w:fldChar>
      </w:r>
      <w:r w:rsidR="004E728C">
        <w:instrText xml:space="preserve"> ADDIN EN.CITE.DATA </w:instrText>
      </w:r>
      <w:r w:rsidR="004E728C">
        <w:fldChar w:fldCharType="end"/>
      </w:r>
      <w:r>
        <w:fldChar w:fldCharType="separate"/>
      </w:r>
      <w:r>
        <w:rPr>
          <w:noProof/>
        </w:rPr>
        <w:t>(Masiero, Lucchiari et al. 2018)</w:t>
      </w:r>
      <w:r>
        <w:fldChar w:fldCharType="end"/>
      </w:r>
      <w:r>
        <w:t>. The study design was double</w:t>
      </w:r>
      <w:r>
        <w:noBreakHyphen/>
        <w:t>blind and parallel. All participants received telephone counselling every four weeks throughout the 12 week study. Participants attempted cessation from weeks 2</w:t>
      </w:r>
      <w:r>
        <w:noBreakHyphen/>
        <w:t>12 of the study. Participants in the e</w:t>
      </w:r>
      <w:r>
        <w:noBreakHyphen/>
        <w:t>cigarette group were instructed to use &lt;1mL of e</w:t>
      </w:r>
      <w:r>
        <w:noBreakHyphen/>
        <w:t>cigarette liquid per day. Mean age of participants was 62.8</w:t>
      </w:r>
      <w:r>
        <w:rPr>
          <w:rFonts w:cs="Calibri"/>
        </w:rPr>
        <w:t>±</w:t>
      </w:r>
      <w:r>
        <w:t>4.6 years and 37% were female. Seventy participants were randomised into each condition, but only 170 completed the trial (study did not report the number of completers per condition but noted it was similar in each group). The e</w:t>
      </w:r>
      <w:r>
        <w:noBreakHyphen/>
        <w:t>cigarette groups had higher successful cessation rates than the control group (25.4% (n=34) of nicotine</w:t>
      </w:r>
      <w:r>
        <w:noBreakHyphen/>
        <w:t>containing e</w:t>
      </w:r>
      <w:r>
        <w:noBreakHyphen/>
        <w:t>cigarette group; 23.4% (n=13) of nicotine</w:t>
      </w:r>
      <w:r>
        <w:noBreakHyphen/>
        <w:t>free e</w:t>
      </w:r>
      <w:r>
        <w:noBreakHyphen/>
        <w:t xml:space="preserve">cigarette group and 10.3% (n=6) of control group). </w:t>
      </w:r>
    </w:p>
    <w:p w14:paraId="44D0C01D" w14:textId="77777777" w:rsidR="002738DD" w:rsidRDefault="002738DD" w:rsidP="002738DD">
      <w:pPr>
        <w:pStyle w:val="BodyText"/>
      </w:pPr>
      <w:r>
        <w:t>Thus, in this trial use of e</w:t>
      </w:r>
      <w:r>
        <w:noBreakHyphen/>
        <w:t>cigarettes led to smoking cessation in a larger percentage of participants compared with no e</w:t>
      </w:r>
      <w:r>
        <w:noBreakHyphen/>
        <w:t>cigarette use. However, this comparison does not provide insight into whether e</w:t>
      </w:r>
      <w:r>
        <w:noBreakHyphen/>
        <w:t>cigarettes are more effective at achieving smoking cessation than other smoking cessation methods (e.g. nicotine patches, intensive counselling). A key difference in this study was that all participants were highly motivated to stop smoking (self</w:t>
      </w:r>
      <w:r>
        <w:noBreakHyphen/>
        <w:t>reported on a motivational questionnaire). This differs to other studies which included smokers with low motivation to quit. Thus, this study may have more relevance to the population of smokers wishing to quit smoking using e</w:t>
      </w:r>
      <w:r>
        <w:noBreakHyphen/>
        <w:t xml:space="preserve">cigarettes. </w:t>
      </w:r>
    </w:p>
    <w:p w14:paraId="1766F320" w14:textId="77777777" w:rsidR="002738DD" w:rsidRDefault="002738DD" w:rsidP="002738DD">
      <w:pPr>
        <w:pStyle w:val="BodyText"/>
      </w:pPr>
    </w:p>
    <w:p w14:paraId="6389DD40" w14:textId="77777777" w:rsidR="002738DD" w:rsidRDefault="002738DD" w:rsidP="002738DD">
      <w:pPr>
        <w:pStyle w:val="Heading3"/>
      </w:pPr>
      <w:r>
        <w:lastRenderedPageBreak/>
        <w:t>Uncontrolled trials</w:t>
      </w:r>
    </w:p>
    <w:p w14:paraId="3AF9DD28" w14:textId="5BE852A0" w:rsidR="002738DD" w:rsidRDefault="002738DD" w:rsidP="002738DD">
      <w:pPr>
        <w:pStyle w:val="BodyText"/>
      </w:pPr>
      <w:r>
        <w:t>A trial without a control group recruited 40 smokers who were interested in e</w:t>
      </w:r>
      <w:r>
        <w:noBreakHyphen/>
        <w:t>cigarettes but not necessarily smoking cessation, via flyers, internet and newspapers. They provided the smokers with free e</w:t>
      </w:r>
      <w:r>
        <w:noBreakHyphen/>
        <w:t>cigarettes. The participants were predominantly male (73%) and had a mean age of 30.1(</w:t>
      </w:r>
      <w:r>
        <w:rPr>
          <w:rFonts w:cs="Calibri"/>
        </w:rPr>
        <w:t>±</w:t>
      </w:r>
      <w:r>
        <w:t xml:space="preserve">8.8) years. After two weeks 40% reported smoking cessation and at </w:t>
      </w:r>
      <w:r w:rsidR="00F02D3D">
        <w:t xml:space="preserve">four </w:t>
      </w:r>
      <w:r>
        <w:t xml:space="preserve">weeks, 15% reported cessation </w:t>
      </w:r>
      <w:r>
        <w:fldChar w:fldCharType="begin">
          <w:fldData xml:space="preserve">PEVuZE5vdGU+PENpdGU+PEF1dGhvcj5QdWx2ZXJzPC9BdXRob3I+PFllYXI+MjAxODwvWWVhcj48
UmVjTnVtPjU0NDU8L1JlY051bT48RGlzcGxheVRleHQ+KFB1bHZlcnMsIEVtYW1pIGV0IGFsLiAy
MDE4KTwvRGlzcGxheVRleHQ+PHJlY29yZD48cmVjLW51bWJlcj41NDQ1PC9yZWMtbnVtYmVyPjxm
b3JlaWduLWtleXM+PGtleSBhcHA9IkVOIiBkYi1pZD0iOXowNWR6MHByYWFkZnVlZTB6b3h6ZWRr
OXpmZTVmeHg1MHo1IiB0aW1lc3RhbXA9IjE1MjM5MjA5NjAiPjU0NDU8L2tleT48L2ZvcmVpZ24t
a2V5cz48cmVmLXR5cGUgbmFtZT0iSm91cm5hbCBBcnRpY2xlIj4xNzwvcmVmLXR5cGU+PGNvbnRy
aWJ1dG9ycz48YXV0aG9ycz48YXV0aG9yPlB1bHZlcnMsIEsuPC9hdXRob3I+PGF1dGhvcj5FbWFt
aSwgQS4gUy48L2F1dGhvcj48YXV0aG9yPk5vbGxlbiwgTi4gTC48L2F1dGhvcj48YXV0aG9yPlJv
bWVybywgRC4gUi48L2F1dGhvcj48YXV0aG9yPlN0cm9uZywgRC4gUi48L2F1dGhvcj48YXV0aG9y
PkJlbm93aXR6LCBOLiBMLjwvYXV0aG9yPjxhdXRob3I+QWhsdXdhbGlhLCBKLiBTLjwvYXV0aG9y
PjwvYXV0aG9ycz48L2NvbnRyaWJ1dG9ycz48YXV0aC1hZGRyZXNzPkRlcGFydG1lbnQgb2YgUHN5
Y2hvbG9neSwgQ2FsaWZvcm5pYSBTdGF0ZSBVbml2ZXJzaXR5IFNhbiBNYXJjb3MsIFNhbiBNYXJj
b3MsIENBLiYjeEQ7RGVwYXJ0bWVudCBvZiBQcmV2ZW50aXZlIE1lZGljaW5lIGFuZCBQdWJsaWMg
SGVhbHRoLCBVbml2ZXJzaXR5IG9mIEthbnNhcyBTY2hvb2wgb2YgTWVkaWNpbmUsIEthbnNhcyBD
aXR5LCBLUy4mI3hEO0RlcGFydG1lbnQgb2YgS2luZXNpb2xvZ3ksIENhbGlmb3JuaWEgU3RhdGUg
VW5pdmVyc2l0eSBTYW4gTWFyY29zLCBTYW4gTWFyY29zLCBDQS4mI3hEO0RlcGFydG1lbnQgb2Yg
RmFtaWx5IE1lZGljaW5lIGFuZCBQdWJsaWMgSGVhbHRoLCBVbml2ZXJzaXR5IG9mIENhbGlmb3Ju
aWEsIFNhbiBEaWVnbywgQ0EuJiN4RDtEaXZpc2lvbiBvZiBDbGluaWNhbCBQaGFybWFjb2xvZ3ks
IERlcGFydG1lbnQgb2YgTWVkaWNpbmUsIFVuaXZlcnNpdHkgb2YgQ2FsaWZvcm5pYSwgU2FuIEZy
YW5jaXNjbyBTY2hvb2wgb2YgTWVkaWNpbmUsIFNhbiBGcmFuY2lzY28sIENBLiYjeEQ7RGVwYXJ0
bWVudCBvZiBCaW9lbmdpbmVlcmluZyBhbmQgVGhlcmFwZXV0aWMgU2NpZW5jZXMsIFVuaXZlcnNp
dHkgb2YgQ2FsaWZvcm5pYSwgU2FuIEZyYW5jaXNjbywgQ0EuJiN4RDtTY2hvb2wgb2YgUHVibGlj
IEhlYWx0aCwgUnV0Z2VycyBVbml2ZXJzaXR5LCBQaXNjYXRhd2F5LCBOSi48L2F1dGgtYWRkcmVz
cz48dGl0bGVzPjx0aXRsZT5Ub2JhY2NvIENvbnN1bXB0aW9uIGFuZCBUb3hpY2FudCBFeHBvc3Vy
ZSBvZiBDaWdhcmV0dGUgU21va2VycyBVc2luZyBFbGVjdHJvbmljIENpZ2FyZXR0ZXM8L3RpdGxl
PjxzZWNvbmRhcnktdGl0bGU+Tmljb3RpbmUgVG9iIFJlczwvc2Vjb25kYXJ5LXRpdGxlPjxhbHQt
dGl0bGU+Tmljb3RpbmUgJmFtcDsgdG9iYWNjbyByZXNlYXJjaCA6IG9mZmljaWFsIGpvdXJuYWwg
b2YgdGhlIFNvY2lldHkgZm9yIFJlc2VhcmNoIG9uIE5pY290aW5lIGFuZCBUb2JhY2NvPC9hbHQt
dGl0bGU+PC90aXRsZXM+PHBlcmlvZGljYWw+PGZ1bGwtdGl0bGU+Tmljb3RpbmUgVG9iIFJlczwv
ZnVsbC10aXRsZT48YWJici0xPk5pY290aW5lICZhbXA7IHRvYmFjY28gcmVzZWFyY2ggOiBvZmZp
Y2lhbCBqb3VybmFsIG9mIHRoZSBTb2NpZXR5IGZvciBSZXNlYXJjaCBvbiBOaWNvdGluZSBhbmQg
VG9iYWNjbzwvYWJici0xPjwvcGVyaW9kaWNhbD48YWx0LXBlcmlvZGljYWw+PGZ1bGwtdGl0bGU+
Tmljb3RpbmUgVG9iIFJlczwvZnVsbC10aXRsZT48YWJici0xPk5pY290aW5lICZhbXA7IHRvYmFj
Y28gcmVzZWFyY2ggOiBvZmZpY2lhbCBqb3VybmFsIG9mIHRoZSBTb2NpZXR5IGZvciBSZXNlYXJj
aCBvbiBOaWNvdGluZSBhbmQgVG9iYWNjbzwvYWJici0xPjwvYWx0LXBlcmlvZGljYWw+PHBhZ2Vz
PjIwNi0yMTQ8L3BhZ2VzPjx2b2x1bWU+MjA8L3ZvbHVtZT48bnVtYmVyPjI8L251bWJlcj48ZWRp
dGlvbj4yMDE2LzEyLzIzPC9lZGl0aW9uPjxkYXRlcz48eWVhcj4yMDE4PC95ZWFyPjxwdWItZGF0
ZXM+PGRhdGU+SmFuIDU8L2RhdGU+PC9wdWItZGF0ZXM+PC9kYXRlcz48aXNibj4xNDYyLTIyMDM8
L2lzYm4+PGFjY2Vzc2lvbi1udW0+MjgwMDM1MTE8L2FjY2Vzc2lvbi1udW0+PHVybHM+PHJlbGF0
ZWQtdXJscz48dXJsPmh0dHBzOi8vd2F0ZXJtYXJrLnNpbHZlcmNoYWlyLmNvbS9udHczMzMucGRm
P3Rva2VuPUFRRUNBSGkyMDhCRTQ5T29hbjlra2hXX0VyY3k3RG0zWkxfOUNmM3FmS0FjNDg1eXNn
QUFBYjh3Z2dHN0Jna3Foa2lHOXcwQkJ3YWdnZ0dzTUlJQnFBSUJBRENDQWFFR0NTcUdTSWIzRFFF
SEFUQWVCZ2xnaGtnQlpRTUVBUzR3RVFRTWdqTE54WUp4QU45RlhkckNBZ0VRZ0lJQmNqdlpDSjFD
d0FWRVBTalFyWUcweVRwNlJYSzdUYjdCWlljNEcwYzA3RGhORl9OM2xfSFlod3FfMkZsekxRUUgx
Q0lUWGpFbVc4WVdabmxxVXNFd19YWkMxamlqZGRPb1BfODJQSkRpbHZhb1A3Q2N2MDVxSlI2S1lC
MDNzZV9WMWlFa01yVkdaTHpNbHN2bDM3a0RSQlB2Z2c0TlN4NmlnNTR3a0t6eXVLQUhRR0wtRlpB
YXhmbWx4TWdwTEh3Vk01Y0RIT01YV1dad1E2REtxbnRlcnRUQnFOTE1zNHBpclVXOVFzcWZqTkFL
RGdPUmF2Rml5dFFxNGZMMjdZT1N1bDhJdnc0NDRXM0xWeUR5dWVRa0RHRTJfNTI4NXAtN1U5ang4
TGVycFNFZ2pEMkl5ZkVhRFNOUEZsQThkZ0M3Mm92U1l4MzdMRkxFWlVsRllMZDZiWDVEQjVCUXJT
MWpRSmtXdkxwMU11QU1sMXJWbG1Bb2gxU0tkYk5vcDdwOXNPRExZc1pGTUZkYkZLbWNId3NCYlBW
M3g2NjBoNF9KSTVKakYwWkxCMlZ4U2xlTnhKMWNzQ3ZrOXMtZzlDM1dVQkxpSEZaQURyLW1RV19V
TmEzZi16VE53dVFqTF9XQkNzbGpXOVV2c1NDbnkzczwvdXJsPjwvcmVsYXRlZC11cmxzPjwvdXJs
cz48ZWxlY3Ryb25pYy1yZXNvdXJjZS1udW0+MTAuMTA5My9udHIvbnR3MzMzPC9lbGVjdHJvbmlj
LXJlc291cmNlLW51bT48cmVtb3RlLWRhdGFiYXNlLXByb3ZpZGVyPk5MTTwvcmVtb3RlLWRhdGFi
YXNlLXByb3ZpZGVyPjxsYW5ndWFnZT5lbmc8L2xhbmd1YWdlPjwvcmVjb3JkPjwvQ2l0ZT48L0Vu
ZE5vdGU+AG==
</w:fldData>
        </w:fldChar>
      </w:r>
      <w:r>
        <w:instrText xml:space="preserve"> ADDIN EN.CITE </w:instrText>
      </w:r>
      <w:r>
        <w:fldChar w:fldCharType="begin">
          <w:fldData xml:space="preserve">PEVuZE5vdGU+PENpdGU+PEF1dGhvcj5QdWx2ZXJzPC9BdXRob3I+PFllYXI+MjAxODwvWWVhcj48
UmVjTnVtPjU0NDU8L1JlY051bT48RGlzcGxheVRleHQ+KFB1bHZlcnMsIEVtYW1pIGV0IGFsLiAy
MDE4KTwvRGlzcGxheVRleHQ+PHJlY29yZD48cmVjLW51bWJlcj41NDQ1PC9yZWMtbnVtYmVyPjxm
b3JlaWduLWtleXM+PGtleSBhcHA9IkVOIiBkYi1pZD0iOXowNWR6MHByYWFkZnVlZTB6b3h6ZWRr
OXpmZTVmeHg1MHo1IiB0aW1lc3RhbXA9IjE1MjM5MjA5NjAiPjU0NDU8L2tleT48L2ZvcmVpZ24t
a2V5cz48cmVmLXR5cGUgbmFtZT0iSm91cm5hbCBBcnRpY2xlIj4xNzwvcmVmLXR5cGU+PGNvbnRy
aWJ1dG9ycz48YXV0aG9ycz48YXV0aG9yPlB1bHZlcnMsIEsuPC9hdXRob3I+PGF1dGhvcj5FbWFt
aSwgQS4gUy48L2F1dGhvcj48YXV0aG9yPk5vbGxlbiwgTi4gTC48L2F1dGhvcj48YXV0aG9yPlJv
bWVybywgRC4gUi48L2F1dGhvcj48YXV0aG9yPlN0cm9uZywgRC4gUi48L2F1dGhvcj48YXV0aG9y
PkJlbm93aXR6LCBOLiBMLjwvYXV0aG9yPjxhdXRob3I+QWhsdXdhbGlhLCBKLiBTLjwvYXV0aG9y
PjwvYXV0aG9ycz48L2NvbnRyaWJ1dG9ycz48YXV0aC1hZGRyZXNzPkRlcGFydG1lbnQgb2YgUHN5
Y2hvbG9neSwgQ2FsaWZvcm5pYSBTdGF0ZSBVbml2ZXJzaXR5IFNhbiBNYXJjb3MsIFNhbiBNYXJj
b3MsIENBLiYjeEQ7RGVwYXJ0bWVudCBvZiBQcmV2ZW50aXZlIE1lZGljaW5lIGFuZCBQdWJsaWMg
SGVhbHRoLCBVbml2ZXJzaXR5IG9mIEthbnNhcyBTY2hvb2wgb2YgTWVkaWNpbmUsIEthbnNhcyBD
aXR5LCBLUy4mI3hEO0RlcGFydG1lbnQgb2YgS2luZXNpb2xvZ3ksIENhbGlmb3JuaWEgU3RhdGUg
VW5pdmVyc2l0eSBTYW4gTWFyY29zLCBTYW4gTWFyY29zLCBDQS4mI3hEO0RlcGFydG1lbnQgb2Yg
RmFtaWx5IE1lZGljaW5lIGFuZCBQdWJsaWMgSGVhbHRoLCBVbml2ZXJzaXR5IG9mIENhbGlmb3Ju
aWEsIFNhbiBEaWVnbywgQ0EuJiN4RDtEaXZpc2lvbiBvZiBDbGluaWNhbCBQaGFybWFjb2xvZ3ks
IERlcGFydG1lbnQgb2YgTWVkaWNpbmUsIFVuaXZlcnNpdHkgb2YgQ2FsaWZvcm5pYSwgU2FuIEZy
YW5jaXNjbyBTY2hvb2wgb2YgTWVkaWNpbmUsIFNhbiBGcmFuY2lzY28sIENBLiYjeEQ7RGVwYXJ0
bWVudCBvZiBCaW9lbmdpbmVlcmluZyBhbmQgVGhlcmFwZXV0aWMgU2NpZW5jZXMsIFVuaXZlcnNp
dHkgb2YgQ2FsaWZvcm5pYSwgU2FuIEZyYW5jaXNjbywgQ0EuJiN4RDtTY2hvb2wgb2YgUHVibGlj
IEhlYWx0aCwgUnV0Z2VycyBVbml2ZXJzaXR5LCBQaXNjYXRhd2F5LCBOSi48L2F1dGgtYWRkcmVz
cz48dGl0bGVzPjx0aXRsZT5Ub2JhY2NvIENvbnN1bXB0aW9uIGFuZCBUb3hpY2FudCBFeHBvc3Vy
ZSBvZiBDaWdhcmV0dGUgU21va2VycyBVc2luZyBFbGVjdHJvbmljIENpZ2FyZXR0ZXM8L3RpdGxl
PjxzZWNvbmRhcnktdGl0bGU+Tmljb3RpbmUgVG9iIFJlczwvc2Vjb25kYXJ5LXRpdGxlPjxhbHQt
dGl0bGU+Tmljb3RpbmUgJmFtcDsgdG9iYWNjbyByZXNlYXJjaCA6IG9mZmljaWFsIGpvdXJuYWwg
b2YgdGhlIFNvY2lldHkgZm9yIFJlc2VhcmNoIG9uIE5pY290aW5lIGFuZCBUb2JhY2NvPC9hbHQt
dGl0bGU+PC90aXRsZXM+PHBlcmlvZGljYWw+PGZ1bGwtdGl0bGU+Tmljb3RpbmUgVG9iIFJlczwv
ZnVsbC10aXRsZT48YWJici0xPk5pY290aW5lICZhbXA7IHRvYmFjY28gcmVzZWFyY2ggOiBvZmZp
Y2lhbCBqb3VybmFsIG9mIHRoZSBTb2NpZXR5IGZvciBSZXNlYXJjaCBvbiBOaWNvdGluZSBhbmQg
VG9iYWNjbzwvYWJici0xPjwvcGVyaW9kaWNhbD48YWx0LXBlcmlvZGljYWw+PGZ1bGwtdGl0bGU+
Tmljb3RpbmUgVG9iIFJlczwvZnVsbC10aXRsZT48YWJici0xPk5pY290aW5lICZhbXA7IHRvYmFj
Y28gcmVzZWFyY2ggOiBvZmZpY2lhbCBqb3VybmFsIG9mIHRoZSBTb2NpZXR5IGZvciBSZXNlYXJj
aCBvbiBOaWNvdGluZSBhbmQgVG9iYWNjbzwvYWJici0xPjwvYWx0LXBlcmlvZGljYWw+PHBhZ2Vz
PjIwNi0yMTQ8L3BhZ2VzPjx2b2x1bWU+MjA8L3ZvbHVtZT48bnVtYmVyPjI8L251bWJlcj48ZWRp
dGlvbj4yMDE2LzEyLzIzPC9lZGl0aW9uPjxkYXRlcz48eWVhcj4yMDE4PC95ZWFyPjxwdWItZGF0
ZXM+PGRhdGU+SmFuIDU8L2RhdGU+PC9wdWItZGF0ZXM+PC9kYXRlcz48aXNibj4xNDYyLTIyMDM8
L2lzYm4+PGFjY2Vzc2lvbi1udW0+MjgwMDM1MTE8L2FjY2Vzc2lvbi1udW0+PHVybHM+PHJlbGF0
ZWQtdXJscz48dXJsPmh0dHBzOi8vd2F0ZXJtYXJrLnNpbHZlcmNoYWlyLmNvbS9udHczMzMucGRm
P3Rva2VuPUFRRUNBSGkyMDhCRTQ5T29hbjlra2hXX0VyY3k3RG0zWkxfOUNmM3FmS0FjNDg1eXNn
QUFBYjh3Z2dHN0Jna3Foa2lHOXcwQkJ3YWdnZ0dzTUlJQnFBSUJBRENDQWFFR0NTcUdTSWIzRFFF
SEFUQWVCZ2xnaGtnQlpRTUVBUzR3RVFRTWdqTE54WUp4QU45RlhkckNBZ0VRZ0lJQmNqdlpDSjFD
d0FWRVBTalFyWUcweVRwNlJYSzdUYjdCWlljNEcwYzA3RGhORl9OM2xfSFlod3FfMkZsekxRUUgx
Q0lUWGpFbVc4WVdabmxxVXNFd19YWkMxamlqZGRPb1BfODJQSkRpbHZhb1A3Q2N2MDVxSlI2S1lC
MDNzZV9WMWlFa01yVkdaTHpNbHN2bDM3a0RSQlB2Z2c0TlN4NmlnNTR3a0t6eXVLQUhRR0wtRlpB
YXhmbWx4TWdwTEh3Vk01Y0RIT01YV1dad1E2REtxbnRlcnRUQnFOTE1zNHBpclVXOVFzcWZqTkFL
RGdPUmF2Rml5dFFxNGZMMjdZT1N1bDhJdnc0NDRXM0xWeUR5dWVRa0RHRTJfNTI4NXAtN1U5ang4
TGVycFNFZ2pEMkl5ZkVhRFNOUEZsQThkZ0M3Mm92U1l4MzdMRkxFWlVsRllMZDZiWDVEQjVCUXJT
MWpRSmtXdkxwMU11QU1sMXJWbG1Bb2gxU0tkYk5vcDdwOXNPRExZc1pGTUZkYkZLbWNId3NCYlBW
M3g2NjBoNF9KSTVKakYwWkxCMlZ4U2xlTnhKMWNzQ3ZrOXMtZzlDM1dVQkxpSEZaQURyLW1RV19V
TmEzZi16VE53dVFqTF9XQkNzbGpXOVV2c1NDbnkzczwvdXJsPjwvcmVsYXRlZC11cmxzPjwvdXJs
cz48ZWxlY3Ryb25pYy1yZXNvdXJjZS1udW0+MTAuMTA5My9udHIvbnR3MzMzPC9lbGVjdHJvbmlj
LXJlc291cmNlLW51bT48cmVtb3RlLWRhdGFiYXNlLXByb3ZpZGVyPk5MTTwvcmVtb3RlLWRhdGFi
YXNlLXByb3ZpZGVyPjxsYW5ndWFnZT5lbmc8L2xhbmd1YWdlPjwvcmVjb3JkPjwvQ2l0ZT48L0Vu
ZE5vdGU+AG==
</w:fldData>
        </w:fldChar>
      </w:r>
      <w:r>
        <w:instrText xml:space="preserve"> ADDIN EN.CITE.DATA </w:instrText>
      </w:r>
      <w:r>
        <w:fldChar w:fldCharType="end"/>
      </w:r>
      <w:r>
        <w:fldChar w:fldCharType="separate"/>
      </w:r>
      <w:r>
        <w:rPr>
          <w:noProof/>
        </w:rPr>
        <w:t>(Pulvers, Emami et al. 2018)</w:t>
      </w:r>
      <w:r>
        <w:fldChar w:fldCharType="end"/>
      </w:r>
      <w:r>
        <w:t>. A longer follow</w:t>
      </w:r>
      <w:r>
        <w:noBreakHyphen/>
        <w:t xml:space="preserve">up period would have provided evidence as to whether this was a sustainable behaviour. </w:t>
      </w:r>
    </w:p>
    <w:p w14:paraId="1EA61981" w14:textId="77777777" w:rsidR="002738DD" w:rsidRDefault="002738DD" w:rsidP="002738DD">
      <w:pPr>
        <w:pStyle w:val="BodyText"/>
      </w:pPr>
    </w:p>
    <w:p w14:paraId="652D38C3" w14:textId="77777777" w:rsidR="002738DD" w:rsidRDefault="002738DD" w:rsidP="002738DD">
      <w:pPr>
        <w:pStyle w:val="Heading3"/>
      </w:pPr>
      <w:r>
        <w:t>Longitudinal Studies</w:t>
      </w:r>
    </w:p>
    <w:p w14:paraId="12E774F2" w14:textId="77777777" w:rsidR="002738DD" w:rsidRDefault="002738DD" w:rsidP="002738DD">
      <w:pPr>
        <w:pStyle w:val="BodyText"/>
      </w:pPr>
      <w:r>
        <w:t>Four longitudinal studies support the use of e</w:t>
      </w:r>
      <w:r>
        <w:noBreakHyphen/>
        <w:t xml:space="preserve">cigarettes for smoking cessation. The first was a 12 month study which recruited 3,868 current (23%) and former (77%) smokers through a tobacco cessation website </w:t>
      </w:r>
      <w:r>
        <w:fldChar w:fldCharType="begin">
          <w:fldData xml:space="preserve">PEVuZE5vdGU+PENpdGU+PEF1dGhvcj5FdHRlcjwvQXV0aG9yPjxZZWFyPjIwMTc8L1llYXI+PFJl
Y051bT41MTI4PC9SZWNOdW0+PERpc3BsYXlUZXh0PihFdHRlciAyMDE3KTwvRGlzcGxheVRleHQ+
PHJlY29yZD48cmVjLW51bWJlcj41MTI4PC9yZWMtbnVtYmVyPjxmb3JlaWduLWtleXM+PGtleSBh
cHA9IkVOIiBkYi1pZD0iOXowNWR6MHByYWFkZnVlZTB6b3h6ZWRrOXpmZTVmeHg1MHo1IiB0aW1l
c3RhbXA9IjE1MjM5MjA5MjQiPjUxMjg8L2tleT48a2V5IGFwcD0iRU5XZWIiIGRiLWlkPSIiPjA8
L2tleT48L2ZvcmVpZ24ta2V5cz48cmVmLXR5cGUgbmFtZT0iSm91cm5hbCBBcnRpY2xlIj4xNzwv
cmVmLXR5cGU+PGNvbnRyaWJ1dG9ycz48YXV0aG9ycz48YXV0aG9yPkV0dGVyLCBKLiBGLjwvYXV0
aG9yPjwvYXV0aG9ycz48L2NvbnRyaWJ1dG9ycz48YXV0aC1hZGRyZXNzPkluc3RpdHV0ZSBvZiBH
bG9iYWwgSGVhbHRoLCBGYWN1bHR5IG9mIE1lZGljaW5lLCBVbml2ZXJzaXR5IG9mIEdlbmV2YSwg
U3dpdHplcmxhbmQuPC9hdXRoLWFkZHJlc3M+PHRpdGxlcz48dGl0bGU+RWxlY3Ryb25pYyBjaWdh
cmV0dGU6IGEgbG9uZ2l0dWRpbmFsIHN0dWR5IG9mIHJlZ3VsYXIgdmFwZXJzPC90aXRsZT48c2Vj
b25kYXJ5LXRpdGxlPk5pY290aW5lIFRvYiBSZXM8L3NlY29uZGFyeS10aXRsZT48YWx0LXRpdGxl
Pk5pY290aW5lICZhbXA7IHRvYmFjY28gcmVzZWFyY2ggOiBvZmZpY2lhbCBqb3VybmFsIG9mIHRo
ZSBTb2NpZXR5IGZvciBSZXNlYXJjaCBvbiBOaWNvdGluZSBhbmQgVG9iYWNjbzwvYWx0LXRpdGxl
PjwvdGl0bGVzPjxwZXJpb2RpY2FsPjxmdWxsLXRpdGxlPk5pY290aW5lIFRvYiBSZXM8L2Z1bGwt
dGl0bGU+PGFiYnItMT5OaWNvdGluZSAmYW1wOyB0b2JhY2NvIHJlc2VhcmNoIDogb2ZmaWNpYWwg
am91cm5hbCBvZiB0aGUgU29jaWV0eSBmb3IgUmVzZWFyY2ggb24gTmljb3RpbmUgYW5kIFRvYmFj
Y288L2FiYnItMT48L3BlcmlvZGljYWw+PGFsdC1wZXJpb2RpY2FsPjxmdWxsLXRpdGxlPk5pY290
aW5lIFRvYiBSZXM8L2Z1bGwtdGl0bGU+PGFiYnItMT5OaWNvdGluZSAmYW1wOyB0b2JhY2NvIHJl
c2VhcmNoIDogb2ZmaWNpYWwgam91cm5hbCBvZiB0aGUgU29jaWV0eSBmb3IgUmVzZWFyY2ggb24g
Tmljb3RpbmUgYW5kIFRvYmFjY288L2FiYnItMT48L2FsdC1wZXJpb2RpY2FsPjxlZGl0aW9uPjIw
MTcvMDYvMDg8L2VkaXRpb24+PGtleXdvcmRzPjxrZXl3b3JkPkUtY2lnYXJldHRlPC9rZXl3b3Jk
PjxrZXl3b3JkPkVsZWN0cm9uaWMgQ2lnYXJldHRlPC9rZXl3b3JkPjxrZXl3b3JkPkVsZWN0cm9u
aWMgTmljb3RpbmUgRGVsaXZlcnkgRGV2aWNlcyAoRU5EUyk8L2tleXdvcmQ+PGtleXdvcmQ+SW50
ZXJuZXQ8L2tleXdvcmQ+PGtleXdvcmQ+Tmljb3RpbmU8L2tleXdvcmQ+PGtleXdvcmQ+U21va2lu
Zzwva2V5d29yZD48a2V5d29yZD5Ub2JhY2NvIFVzZSBEaXNvcmRlcjwva2V5d29yZD48L2tleXdv
cmRzPjxkYXRlcz48eWVhcj4yMDE3PC95ZWFyPjxwdWItZGF0ZXM+PGRhdGU+SnVuIDc8L2RhdGU+
PC9wdWItZGF0ZXM+PC9kYXRlcz48aXNibj4xNDYyLTIyMDM8L2lzYm4+PGFjY2Vzc2lvbi1udW0+
Mjg1OTE3ODg8L2FjY2Vzc2lvbi1udW0+PHVybHM+PHJlbGF0ZWQtdXJscz48dXJsPmh0dHBzOi8v
d2F0ZXJtYXJrLnNpbHZlcmNoYWlyLmNvbS9udHgxMzIucGRmP3Rva2VuPUFRRUNBSGkyMDhCRTQ5
T29hbjlra2hXX0VyY3k3RG0zWkxfOUNmM3FmS0FjNDg1eXNnQUFBY2d3Z2dIRUJna3Foa2lHOXcw
QkJ3YWdnZ0cxTUlJQnNRSUJBRENDQWFvR0NTcUdTSWIzRFFFSEFUQWVCZ2xnaGtnQlpRTUVBUzR3
RVFRTXk5ZjEwSk0xb1FBeURMUTFBZ0VRZ0lJQmV6T2tkUFgtMHlOb0tyQk9nNWh4T0xNWlB0eW1T
Ml91Q2lKbk9qLXgwSkdzVDBnLUxXMm04ZVNJWC1SRV9DMHdiV1AzcExHaDNSM1JnQ3JDVUVVeThr
ZWdiMXhrS3VzUzd1UFU3TGN5dlc1LS1JQ0EzWmZnYUVDaWFsM19WM3k5QTlqVVVQUHg4bWpNZmdw
cUF2Ny1IRGZnUG12bWRvbEFlYjRxM2xvSTFGWGZ5TmJMRGw3ZXZ1VENjUktkMDVZS2l0NV9uUFh5
NkpBSEtMZnBsU0UzRFI1VmtSd0xEV0gxNmRpT0ZTazlaZ0VPb3plUmdDMEZ3cDB0SnFibDZHakR4
ODFKeExYc2VPUzV6TWk0RFJYVjBRVVdqT3NtTE5Yci14b3JGSEExZk90MkxlTlBCZnB2d2V3LUEx
bl9nYlpORTFDR2FwMlJ5SjhKV083dTlFOUdhd05qekJCUDdQdlMzQklid1MybWt2NHJIb0paMlpX
bGNqZ242RmZicjlob1Y5QmJpVTNRMmxQR0oyNEdXd2FNMnQxVFhDb3VsSTNpajNEYk1CZmlVb2M0
NllEejNzYlRFM2RMTkNpZ043anNrSUlZQnRRaFhNdGdyelFSNTdCMVNUbEpKLWR5V01vd24tc3JF
aVlNSXREV2JQQTEtWmM1MUFlWFJMczwvdXJsPjx1cmw+aHR0cHM6Ly93YXRlcm1hcmsuc2lsdmVy
Y2hhaXIuY29tL250eDEzMi5wZGY/dG9rZW49QVFFQ0FIaTIwOEJFNDlPb2FuOWtraFdfRXJjeTdE
bTNaTF85Q2YzcWZLQWM0ODV5c2dBQUFkUXdnZ0hRQmdrcWhraUc5dzBCQndhZ2dnSEJNSUlCdlFJ
QkFEQ0NBYllHQ1NxR1NJYjNEUUVIQVRBZUJnbGdoa2dCWlFNRUFTNHdFUVFNYU1IY2RfczhSYXZq
THVZVkFnRVFnSUlCaDhlMmdvVTdIMEZfczBINlVTbmJ0Y1JwakRhX2RPWWJJOV9wVFNqZVcxcHJS
WDdaeEhMQUpydEYyTVg5dlNsQkp6UXBETE15WFJlaDJBY2syV3Z5TmRXZTMtampVX1p1Y2RMOGhp
U0JlS1dKcG1Uall4Y0JqVW5Qblc3ZnFMa2NNeXVETnNieVZGNkZPMy13UVVWNFQyTGNqTHc4Nl9V
ZVJ1ckd3UVRHVW9aNWFLN1R4a0N1VVctYWNVZS1WOGx0V29OVWVqN0ZDYUR6dzBMWmFNSV84TjRM
WndGRU5XdmlRRGdvcjdhZXBmMDA5dXl2OWxlcnpKVzZJNlNyQzZQMmFKenhNLUpMa1o0dkg1UGU1
Z1RhNUFBWmRvUm5oYUF6NlZOWDZWUlE5X2owQ0pQNE9sck93bk5SZFh4bUdBLURjMFh2cTIwOEhG
dFBRNl9hNWxOaFpaS0tud3ZSVndCZml2OEg0R0tyRVJGZWxiWHdIWnZwX3J5eGIycFdFa05ILTFB
bmVYOW9mOHBFQ0lUbUl0akZGSWxlMlBEeEZsVHhOUklGdW8yaVBGcnVVZHQyMDBNNTJpYXBLOXRk
SF82dGp5ZTBOaGlJdV8zNmZOaXpGU3RxNFNDM2lxd1lOT3p1UF9aSlB2SFpvM2QyWTAzY0dPT1N2
Y2M2THp0cVhGNFpxQmx5ZHN5Q251UTwvdXJsPjwvcmVsYXRlZC11cmxzPjwvdXJscz48ZWxlY3Ry
b25pYy1yZXNvdXJjZS1udW0+MTAuMTA5My9udHIvbnR4MTMyPC9lbGVjdHJvbmljLXJlc291cmNl
LW51bT48cmVtb3RlLWRhdGFiYXNlLXByb3ZpZGVyPk5MTTwvcmVtb3RlLWRhdGFiYXNlLXByb3Zp
ZGVyPjxsYW5ndWFnZT5lbmc8L2xhbmd1YWdlPjwvcmVjb3JkPjwvQ2l0ZT48L0VuZE5vdGU+AG==
</w:fldData>
        </w:fldChar>
      </w:r>
      <w:r>
        <w:instrText xml:space="preserve"> ADDIN EN.CITE </w:instrText>
      </w:r>
      <w:r>
        <w:fldChar w:fldCharType="begin">
          <w:fldData xml:space="preserve">PEVuZE5vdGU+PENpdGU+PEF1dGhvcj5FdHRlcjwvQXV0aG9yPjxZZWFyPjIwMTc8L1llYXI+PFJl
Y051bT41MTI4PC9SZWNOdW0+PERpc3BsYXlUZXh0PihFdHRlciAyMDE3KTwvRGlzcGxheVRleHQ+
PHJlY29yZD48cmVjLW51bWJlcj41MTI4PC9yZWMtbnVtYmVyPjxmb3JlaWduLWtleXM+PGtleSBh
cHA9IkVOIiBkYi1pZD0iOXowNWR6MHByYWFkZnVlZTB6b3h6ZWRrOXpmZTVmeHg1MHo1IiB0aW1l
c3RhbXA9IjE1MjM5MjA5MjQiPjUxMjg8L2tleT48a2V5IGFwcD0iRU5XZWIiIGRiLWlkPSIiPjA8
L2tleT48L2ZvcmVpZ24ta2V5cz48cmVmLXR5cGUgbmFtZT0iSm91cm5hbCBBcnRpY2xlIj4xNzwv
cmVmLXR5cGU+PGNvbnRyaWJ1dG9ycz48YXV0aG9ycz48YXV0aG9yPkV0dGVyLCBKLiBGLjwvYXV0
aG9yPjwvYXV0aG9ycz48L2NvbnRyaWJ1dG9ycz48YXV0aC1hZGRyZXNzPkluc3RpdHV0ZSBvZiBH
bG9iYWwgSGVhbHRoLCBGYWN1bHR5IG9mIE1lZGljaW5lLCBVbml2ZXJzaXR5IG9mIEdlbmV2YSwg
U3dpdHplcmxhbmQuPC9hdXRoLWFkZHJlc3M+PHRpdGxlcz48dGl0bGU+RWxlY3Ryb25pYyBjaWdh
cmV0dGU6IGEgbG9uZ2l0dWRpbmFsIHN0dWR5IG9mIHJlZ3VsYXIgdmFwZXJzPC90aXRsZT48c2Vj
b25kYXJ5LXRpdGxlPk5pY290aW5lIFRvYiBSZXM8L3NlY29uZGFyeS10aXRsZT48YWx0LXRpdGxl
Pk5pY290aW5lICZhbXA7IHRvYmFjY28gcmVzZWFyY2ggOiBvZmZpY2lhbCBqb3VybmFsIG9mIHRo
ZSBTb2NpZXR5IGZvciBSZXNlYXJjaCBvbiBOaWNvdGluZSBhbmQgVG9iYWNjbzwvYWx0LXRpdGxl
PjwvdGl0bGVzPjxwZXJpb2RpY2FsPjxmdWxsLXRpdGxlPk5pY290aW5lIFRvYiBSZXM8L2Z1bGwt
dGl0bGU+PGFiYnItMT5OaWNvdGluZSAmYW1wOyB0b2JhY2NvIHJlc2VhcmNoIDogb2ZmaWNpYWwg
am91cm5hbCBvZiB0aGUgU29jaWV0eSBmb3IgUmVzZWFyY2ggb24gTmljb3RpbmUgYW5kIFRvYmFj
Y288L2FiYnItMT48L3BlcmlvZGljYWw+PGFsdC1wZXJpb2RpY2FsPjxmdWxsLXRpdGxlPk5pY290
aW5lIFRvYiBSZXM8L2Z1bGwtdGl0bGU+PGFiYnItMT5OaWNvdGluZSAmYW1wOyB0b2JhY2NvIHJl
c2VhcmNoIDogb2ZmaWNpYWwgam91cm5hbCBvZiB0aGUgU29jaWV0eSBmb3IgUmVzZWFyY2ggb24g
Tmljb3RpbmUgYW5kIFRvYmFjY288L2FiYnItMT48L2FsdC1wZXJpb2RpY2FsPjxlZGl0aW9uPjIw
MTcvMDYvMDg8L2VkaXRpb24+PGtleXdvcmRzPjxrZXl3b3JkPkUtY2lnYXJldHRlPC9rZXl3b3Jk
PjxrZXl3b3JkPkVsZWN0cm9uaWMgQ2lnYXJldHRlPC9rZXl3b3JkPjxrZXl3b3JkPkVsZWN0cm9u
aWMgTmljb3RpbmUgRGVsaXZlcnkgRGV2aWNlcyAoRU5EUyk8L2tleXdvcmQ+PGtleXdvcmQ+SW50
ZXJuZXQ8L2tleXdvcmQ+PGtleXdvcmQ+Tmljb3RpbmU8L2tleXdvcmQ+PGtleXdvcmQ+U21va2lu
Zzwva2V5d29yZD48a2V5d29yZD5Ub2JhY2NvIFVzZSBEaXNvcmRlcjwva2V5d29yZD48L2tleXdv
cmRzPjxkYXRlcz48eWVhcj4yMDE3PC95ZWFyPjxwdWItZGF0ZXM+PGRhdGU+SnVuIDc8L2RhdGU+
PC9wdWItZGF0ZXM+PC9kYXRlcz48aXNibj4xNDYyLTIyMDM8L2lzYm4+PGFjY2Vzc2lvbi1udW0+
Mjg1OTE3ODg8L2FjY2Vzc2lvbi1udW0+PHVybHM+PHJlbGF0ZWQtdXJscz48dXJsPmh0dHBzOi8v
d2F0ZXJtYXJrLnNpbHZlcmNoYWlyLmNvbS9udHgxMzIucGRmP3Rva2VuPUFRRUNBSGkyMDhCRTQ5
T29hbjlra2hXX0VyY3k3RG0zWkxfOUNmM3FmS0FjNDg1eXNnQUFBY2d3Z2dIRUJna3Foa2lHOXcw
QkJ3YWdnZ0cxTUlJQnNRSUJBRENDQWFvR0NTcUdTSWIzRFFFSEFUQWVCZ2xnaGtnQlpRTUVBUzR3
RVFRTXk5ZjEwSk0xb1FBeURMUTFBZ0VRZ0lJQmV6T2tkUFgtMHlOb0tyQk9nNWh4T0xNWlB0eW1T
Ml91Q2lKbk9qLXgwSkdzVDBnLUxXMm04ZVNJWC1SRV9DMHdiV1AzcExHaDNSM1JnQ3JDVUVVeThr
ZWdiMXhrS3VzUzd1UFU3TGN5dlc1LS1JQ0EzWmZnYUVDaWFsM19WM3k5QTlqVVVQUHg4bWpNZmdw
cUF2Ny1IRGZnUG12bWRvbEFlYjRxM2xvSTFGWGZ5TmJMRGw3ZXZ1VENjUktkMDVZS2l0NV9uUFh5
NkpBSEtMZnBsU0UzRFI1VmtSd0xEV0gxNmRpT0ZTazlaZ0VPb3plUmdDMEZ3cDB0SnFibDZHakR4
ODFKeExYc2VPUzV6TWk0RFJYVjBRVVdqT3NtTE5Yci14b3JGSEExZk90MkxlTlBCZnB2d2V3LUEx
bl9nYlpORTFDR2FwMlJ5SjhKV083dTlFOUdhd05qekJCUDdQdlMzQklid1MybWt2NHJIb0paMlpX
bGNqZ242RmZicjlob1Y5QmJpVTNRMmxQR0oyNEdXd2FNMnQxVFhDb3VsSTNpajNEYk1CZmlVb2M0
NllEejNzYlRFM2RMTkNpZ043anNrSUlZQnRRaFhNdGdyelFSNTdCMVNUbEpKLWR5V01vd24tc3JF
aVlNSXREV2JQQTEtWmM1MUFlWFJMczwvdXJsPjx1cmw+aHR0cHM6Ly93YXRlcm1hcmsuc2lsdmVy
Y2hhaXIuY29tL250eDEzMi5wZGY/dG9rZW49QVFFQ0FIaTIwOEJFNDlPb2FuOWtraFdfRXJjeTdE
bTNaTF85Q2YzcWZLQWM0ODV5c2dBQUFkUXdnZ0hRQmdrcWhraUc5dzBCQndhZ2dnSEJNSUlCdlFJ
QkFEQ0NBYllHQ1NxR1NJYjNEUUVIQVRBZUJnbGdoa2dCWlFNRUFTNHdFUVFNYU1IY2RfczhSYXZq
THVZVkFnRVFnSUlCaDhlMmdvVTdIMEZfczBINlVTbmJ0Y1JwakRhX2RPWWJJOV9wVFNqZVcxcHJS
WDdaeEhMQUpydEYyTVg5dlNsQkp6UXBETE15WFJlaDJBY2syV3Z5TmRXZTMtampVX1p1Y2RMOGhp
U0JlS1dKcG1Uall4Y0JqVW5Qblc3ZnFMa2NNeXVETnNieVZGNkZPMy13UVVWNFQyTGNqTHc4Nl9V
ZVJ1ckd3UVRHVW9aNWFLN1R4a0N1VVctYWNVZS1WOGx0V29OVWVqN0ZDYUR6dzBMWmFNSV84TjRM
WndGRU5XdmlRRGdvcjdhZXBmMDA5dXl2OWxlcnpKVzZJNlNyQzZQMmFKenhNLUpMa1o0dkg1UGU1
Z1RhNUFBWmRvUm5oYUF6NlZOWDZWUlE5X2owQ0pQNE9sck93bk5SZFh4bUdBLURjMFh2cTIwOEhG
dFBRNl9hNWxOaFpaS0tud3ZSVndCZml2OEg0R0tyRVJGZWxiWHdIWnZwX3J5eGIycFdFa05ILTFB
bmVYOW9mOHBFQ0lUbUl0akZGSWxlMlBEeEZsVHhOUklGdW8yaVBGcnVVZHQyMDBNNTJpYXBLOXRk
SF82dGp5ZTBOaGlJdV8zNmZOaXpGU3RxNFNDM2lxd1lOT3p1UF9aSlB2SFpvM2QyWTAzY0dPT1N2
Y2M2THp0cVhGNFpxQmx5ZHN5Q251UTwvdXJsPjwvcmVsYXRlZC11cmxzPjwvdXJscz48ZWxlY3Ry
b25pYy1yZXNvdXJjZS1udW0+MTAuMTA5My9udHIvbnR4MTMyPC9lbGVjdHJvbmljLXJlc291cmNl
LW51bT48cmVtb3RlLWRhdGFiYXNlLXByb3ZpZGVyPk5MTTwvcmVtb3RlLWRhdGFiYXNlLXByb3Zp
ZGVyPjxsYW5ndWFnZT5lbmc8L2xhbmd1YWdlPjwvcmVjb3JkPjwvQ2l0ZT48L0VuZE5vdGU+AG==
</w:fldData>
        </w:fldChar>
      </w:r>
      <w:r>
        <w:instrText xml:space="preserve"> ADDIN EN.CITE.DATA </w:instrText>
      </w:r>
      <w:r>
        <w:fldChar w:fldCharType="end"/>
      </w:r>
      <w:r>
        <w:fldChar w:fldCharType="separate"/>
      </w:r>
      <w:r>
        <w:rPr>
          <w:noProof/>
        </w:rPr>
        <w:t>(Etter 2017)</w:t>
      </w:r>
      <w:r>
        <w:fldChar w:fldCharType="end"/>
      </w:r>
      <w:r>
        <w:t>. All participants used e</w:t>
      </w:r>
      <w:r>
        <w:noBreakHyphen/>
        <w:t xml:space="preserve">cigarettes, with a median vaping duration of 5 months. The former smokers were predominantly recent quitters, with a median quit duration of 3 months at baseline. 58% of participants were male, with a mean age of 41 years (standard deviation not reported). Over the 12 months of data collection, 9% of former cigarette users relapsed, while 28% of daily smokers stopped smoking. Those that stopped vaping (1.4%) tended to relapse to smoking </w:t>
      </w:r>
      <w:r>
        <w:fldChar w:fldCharType="begin">
          <w:fldData xml:space="preserve">PEVuZE5vdGU+PENpdGU+PEF1dGhvcj5FdHRlcjwvQXV0aG9yPjxZZWFyPjIwMTc8L1llYXI+PFJl
Y051bT41MTI4PC9SZWNOdW0+PERpc3BsYXlUZXh0PihFdHRlciAyMDE3KTwvRGlzcGxheVRleHQ+
PHJlY29yZD48cmVjLW51bWJlcj41MTI4PC9yZWMtbnVtYmVyPjxmb3JlaWduLWtleXM+PGtleSBh
cHA9IkVOIiBkYi1pZD0iOXowNWR6MHByYWFkZnVlZTB6b3h6ZWRrOXpmZTVmeHg1MHo1IiB0aW1l
c3RhbXA9IjE1MjM5MjA5MjQiPjUxMjg8L2tleT48a2V5IGFwcD0iRU5XZWIiIGRiLWlkPSIiPjA8
L2tleT48L2ZvcmVpZ24ta2V5cz48cmVmLXR5cGUgbmFtZT0iSm91cm5hbCBBcnRpY2xlIj4xNzwv
cmVmLXR5cGU+PGNvbnRyaWJ1dG9ycz48YXV0aG9ycz48YXV0aG9yPkV0dGVyLCBKLiBGLjwvYXV0
aG9yPjwvYXV0aG9ycz48L2NvbnRyaWJ1dG9ycz48YXV0aC1hZGRyZXNzPkluc3RpdHV0ZSBvZiBH
bG9iYWwgSGVhbHRoLCBGYWN1bHR5IG9mIE1lZGljaW5lLCBVbml2ZXJzaXR5IG9mIEdlbmV2YSwg
U3dpdHplcmxhbmQuPC9hdXRoLWFkZHJlc3M+PHRpdGxlcz48dGl0bGU+RWxlY3Ryb25pYyBjaWdh
cmV0dGU6IGEgbG9uZ2l0dWRpbmFsIHN0dWR5IG9mIHJlZ3VsYXIgdmFwZXJzPC90aXRsZT48c2Vj
b25kYXJ5LXRpdGxlPk5pY290aW5lIFRvYiBSZXM8L3NlY29uZGFyeS10aXRsZT48YWx0LXRpdGxl
Pk5pY290aW5lICZhbXA7IHRvYmFjY28gcmVzZWFyY2ggOiBvZmZpY2lhbCBqb3VybmFsIG9mIHRo
ZSBTb2NpZXR5IGZvciBSZXNlYXJjaCBvbiBOaWNvdGluZSBhbmQgVG9iYWNjbzwvYWx0LXRpdGxl
PjwvdGl0bGVzPjxwZXJpb2RpY2FsPjxmdWxsLXRpdGxlPk5pY290aW5lIFRvYiBSZXM8L2Z1bGwt
dGl0bGU+PGFiYnItMT5OaWNvdGluZSAmYW1wOyB0b2JhY2NvIHJlc2VhcmNoIDogb2ZmaWNpYWwg
am91cm5hbCBvZiB0aGUgU29jaWV0eSBmb3IgUmVzZWFyY2ggb24gTmljb3RpbmUgYW5kIFRvYmFj
Y288L2FiYnItMT48L3BlcmlvZGljYWw+PGFsdC1wZXJpb2RpY2FsPjxmdWxsLXRpdGxlPk5pY290
aW5lIFRvYiBSZXM8L2Z1bGwtdGl0bGU+PGFiYnItMT5OaWNvdGluZSAmYW1wOyB0b2JhY2NvIHJl
c2VhcmNoIDogb2ZmaWNpYWwgam91cm5hbCBvZiB0aGUgU29jaWV0eSBmb3IgUmVzZWFyY2ggb24g
Tmljb3RpbmUgYW5kIFRvYmFjY288L2FiYnItMT48L2FsdC1wZXJpb2RpY2FsPjxlZGl0aW9uPjIw
MTcvMDYvMDg8L2VkaXRpb24+PGtleXdvcmRzPjxrZXl3b3JkPkUtY2lnYXJldHRlPC9rZXl3b3Jk
PjxrZXl3b3JkPkVsZWN0cm9uaWMgQ2lnYXJldHRlPC9rZXl3b3JkPjxrZXl3b3JkPkVsZWN0cm9u
aWMgTmljb3RpbmUgRGVsaXZlcnkgRGV2aWNlcyAoRU5EUyk8L2tleXdvcmQ+PGtleXdvcmQ+SW50
ZXJuZXQ8L2tleXdvcmQ+PGtleXdvcmQ+Tmljb3RpbmU8L2tleXdvcmQ+PGtleXdvcmQ+U21va2lu
Zzwva2V5d29yZD48a2V5d29yZD5Ub2JhY2NvIFVzZSBEaXNvcmRlcjwva2V5d29yZD48L2tleXdv
cmRzPjxkYXRlcz48eWVhcj4yMDE3PC95ZWFyPjxwdWItZGF0ZXM+PGRhdGU+SnVuIDc8L2RhdGU+
PC9wdWItZGF0ZXM+PC9kYXRlcz48aXNibj4xNDYyLTIyMDM8L2lzYm4+PGFjY2Vzc2lvbi1udW0+
Mjg1OTE3ODg8L2FjY2Vzc2lvbi1udW0+PHVybHM+PHJlbGF0ZWQtdXJscz48dXJsPmh0dHBzOi8v
d2F0ZXJtYXJrLnNpbHZlcmNoYWlyLmNvbS9udHgxMzIucGRmP3Rva2VuPUFRRUNBSGkyMDhCRTQ5
T29hbjlra2hXX0VyY3k3RG0zWkxfOUNmM3FmS0FjNDg1eXNnQUFBY2d3Z2dIRUJna3Foa2lHOXcw
QkJ3YWdnZ0cxTUlJQnNRSUJBRENDQWFvR0NTcUdTSWIzRFFFSEFUQWVCZ2xnaGtnQlpRTUVBUzR3
RVFRTXk5ZjEwSk0xb1FBeURMUTFBZ0VRZ0lJQmV6T2tkUFgtMHlOb0tyQk9nNWh4T0xNWlB0eW1T
Ml91Q2lKbk9qLXgwSkdzVDBnLUxXMm04ZVNJWC1SRV9DMHdiV1AzcExHaDNSM1JnQ3JDVUVVeThr
ZWdiMXhrS3VzUzd1UFU3TGN5dlc1LS1JQ0EzWmZnYUVDaWFsM19WM3k5QTlqVVVQUHg4bWpNZmdw
cUF2Ny1IRGZnUG12bWRvbEFlYjRxM2xvSTFGWGZ5TmJMRGw3ZXZ1VENjUktkMDVZS2l0NV9uUFh5
NkpBSEtMZnBsU0UzRFI1VmtSd0xEV0gxNmRpT0ZTazlaZ0VPb3plUmdDMEZ3cDB0SnFibDZHakR4
ODFKeExYc2VPUzV6TWk0RFJYVjBRVVdqT3NtTE5Yci14b3JGSEExZk90MkxlTlBCZnB2d2V3LUEx
bl9nYlpORTFDR2FwMlJ5SjhKV083dTlFOUdhd05qekJCUDdQdlMzQklid1MybWt2NHJIb0paMlpX
bGNqZ242RmZicjlob1Y5QmJpVTNRMmxQR0oyNEdXd2FNMnQxVFhDb3VsSTNpajNEYk1CZmlVb2M0
NllEejNzYlRFM2RMTkNpZ043anNrSUlZQnRRaFhNdGdyelFSNTdCMVNUbEpKLWR5V01vd24tc3JF
aVlNSXREV2JQQTEtWmM1MUFlWFJMczwvdXJsPjx1cmw+aHR0cHM6Ly93YXRlcm1hcmsuc2lsdmVy
Y2hhaXIuY29tL250eDEzMi5wZGY/dG9rZW49QVFFQ0FIaTIwOEJFNDlPb2FuOWtraFdfRXJjeTdE
bTNaTF85Q2YzcWZLQWM0ODV5c2dBQUFkUXdnZ0hRQmdrcWhraUc5dzBCQndhZ2dnSEJNSUlCdlFJ
QkFEQ0NBYllHQ1NxR1NJYjNEUUVIQVRBZUJnbGdoa2dCWlFNRUFTNHdFUVFNYU1IY2RfczhSYXZq
THVZVkFnRVFnSUlCaDhlMmdvVTdIMEZfczBINlVTbmJ0Y1JwakRhX2RPWWJJOV9wVFNqZVcxcHJS
WDdaeEhMQUpydEYyTVg5dlNsQkp6UXBETE15WFJlaDJBY2syV3Z5TmRXZTMtampVX1p1Y2RMOGhp
U0JlS1dKcG1Uall4Y0JqVW5Qblc3ZnFMa2NNeXVETnNieVZGNkZPMy13UVVWNFQyTGNqTHc4Nl9V
ZVJ1ckd3UVRHVW9aNWFLN1R4a0N1VVctYWNVZS1WOGx0V29OVWVqN0ZDYUR6dzBMWmFNSV84TjRM
WndGRU5XdmlRRGdvcjdhZXBmMDA5dXl2OWxlcnpKVzZJNlNyQzZQMmFKenhNLUpMa1o0dkg1UGU1
Z1RhNUFBWmRvUm5oYUF6NlZOWDZWUlE5X2owQ0pQNE9sck93bk5SZFh4bUdBLURjMFh2cTIwOEhG
dFBRNl9hNWxOaFpaS0tud3ZSVndCZml2OEg0R0tyRVJGZWxiWHdIWnZwX3J5eGIycFdFa05ILTFB
bmVYOW9mOHBFQ0lUbUl0akZGSWxlMlBEeEZsVHhOUklGdW8yaVBGcnVVZHQyMDBNNTJpYXBLOXRk
SF82dGp5ZTBOaGlJdV8zNmZOaXpGU3RxNFNDM2lxd1lOT3p1UF9aSlB2SFpvM2QyWTAzY0dPT1N2
Y2M2THp0cVhGNFpxQmx5ZHN5Q251UTwvdXJsPjwvcmVsYXRlZC11cmxzPjwvdXJscz48ZWxlY3Ry
b25pYy1yZXNvdXJjZS1udW0+MTAuMTA5My9udHIvbnR4MTMyPC9lbGVjdHJvbmljLXJlc291cmNl
LW51bT48cmVtb3RlLWRhdGFiYXNlLXByb3ZpZGVyPk5MTTwvcmVtb3RlLWRhdGFiYXNlLXByb3Zp
ZGVyPjxsYW5ndWFnZT5lbmc8L2xhbmd1YWdlPjwvcmVjb3JkPjwvQ2l0ZT48L0VuZE5vdGU+AG==
</w:fldData>
        </w:fldChar>
      </w:r>
      <w:r>
        <w:instrText xml:space="preserve"> ADDIN EN.CITE </w:instrText>
      </w:r>
      <w:r>
        <w:fldChar w:fldCharType="begin">
          <w:fldData xml:space="preserve">PEVuZE5vdGU+PENpdGU+PEF1dGhvcj5FdHRlcjwvQXV0aG9yPjxZZWFyPjIwMTc8L1llYXI+PFJl
Y051bT41MTI4PC9SZWNOdW0+PERpc3BsYXlUZXh0PihFdHRlciAyMDE3KTwvRGlzcGxheVRleHQ+
PHJlY29yZD48cmVjLW51bWJlcj41MTI4PC9yZWMtbnVtYmVyPjxmb3JlaWduLWtleXM+PGtleSBh
cHA9IkVOIiBkYi1pZD0iOXowNWR6MHByYWFkZnVlZTB6b3h6ZWRrOXpmZTVmeHg1MHo1IiB0aW1l
c3RhbXA9IjE1MjM5MjA5MjQiPjUxMjg8L2tleT48a2V5IGFwcD0iRU5XZWIiIGRiLWlkPSIiPjA8
L2tleT48L2ZvcmVpZ24ta2V5cz48cmVmLXR5cGUgbmFtZT0iSm91cm5hbCBBcnRpY2xlIj4xNzwv
cmVmLXR5cGU+PGNvbnRyaWJ1dG9ycz48YXV0aG9ycz48YXV0aG9yPkV0dGVyLCBKLiBGLjwvYXV0
aG9yPjwvYXV0aG9ycz48L2NvbnRyaWJ1dG9ycz48YXV0aC1hZGRyZXNzPkluc3RpdHV0ZSBvZiBH
bG9iYWwgSGVhbHRoLCBGYWN1bHR5IG9mIE1lZGljaW5lLCBVbml2ZXJzaXR5IG9mIEdlbmV2YSwg
U3dpdHplcmxhbmQuPC9hdXRoLWFkZHJlc3M+PHRpdGxlcz48dGl0bGU+RWxlY3Ryb25pYyBjaWdh
cmV0dGU6IGEgbG9uZ2l0dWRpbmFsIHN0dWR5IG9mIHJlZ3VsYXIgdmFwZXJzPC90aXRsZT48c2Vj
b25kYXJ5LXRpdGxlPk5pY290aW5lIFRvYiBSZXM8L3NlY29uZGFyeS10aXRsZT48YWx0LXRpdGxl
Pk5pY290aW5lICZhbXA7IHRvYmFjY28gcmVzZWFyY2ggOiBvZmZpY2lhbCBqb3VybmFsIG9mIHRo
ZSBTb2NpZXR5IGZvciBSZXNlYXJjaCBvbiBOaWNvdGluZSBhbmQgVG9iYWNjbzwvYWx0LXRpdGxl
PjwvdGl0bGVzPjxwZXJpb2RpY2FsPjxmdWxsLXRpdGxlPk5pY290aW5lIFRvYiBSZXM8L2Z1bGwt
dGl0bGU+PGFiYnItMT5OaWNvdGluZSAmYW1wOyB0b2JhY2NvIHJlc2VhcmNoIDogb2ZmaWNpYWwg
am91cm5hbCBvZiB0aGUgU29jaWV0eSBmb3IgUmVzZWFyY2ggb24gTmljb3RpbmUgYW5kIFRvYmFj
Y288L2FiYnItMT48L3BlcmlvZGljYWw+PGFsdC1wZXJpb2RpY2FsPjxmdWxsLXRpdGxlPk5pY290
aW5lIFRvYiBSZXM8L2Z1bGwtdGl0bGU+PGFiYnItMT5OaWNvdGluZSAmYW1wOyB0b2JhY2NvIHJl
c2VhcmNoIDogb2ZmaWNpYWwgam91cm5hbCBvZiB0aGUgU29jaWV0eSBmb3IgUmVzZWFyY2ggb24g
Tmljb3RpbmUgYW5kIFRvYmFjY288L2FiYnItMT48L2FsdC1wZXJpb2RpY2FsPjxlZGl0aW9uPjIw
MTcvMDYvMDg8L2VkaXRpb24+PGtleXdvcmRzPjxrZXl3b3JkPkUtY2lnYXJldHRlPC9rZXl3b3Jk
PjxrZXl3b3JkPkVsZWN0cm9uaWMgQ2lnYXJldHRlPC9rZXl3b3JkPjxrZXl3b3JkPkVsZWN0cm9u
aWMgTmljb3RpbmUgRGVsaXZlcnkgRGV2aWNlcyAoRU5EUyk8L2tleXdvcmQ+PGtleXdvcmQ+SW50
ZXJuZXQ8L2tleXdvcmQ+PGtleXdvcmQ+Tmljb3RpbmU8L2tleXdvcmQ+PGtleXdvcmQ+U21va2lu
Zzwva2V5d29yZD48a2V5d29yZD5Ub2JhY2NvIFVzZSBEaXNvcmRlcjwva2V5d29yZD48L2tleXdv
cmRzPjxkYXRlcz48eWVhcj4yMDE3PC95ZWFyPjxwdWItZGF0ZXM+PGRhdGU+SnVuIDc8L2RhdGU+
PC9wdWItZGF0ZXM+PC9kYXRlcz48aXNibj4xNDYyLTIyMDM8L2lzYm4+PGFjY2Vzc2lvbi1udW0+
Mjg1OTE3ODg8L2FjY2Vzc2lvbi1udW0+PHVybHM+PHJlbGF0ZWQtdXJscz48dXJsPmh0dHBzOi8v
d2F0ZXJtYXJrLnNpbHZlcmNoYWlyLmNvbS9udHgxMzIucGRmP3Rva2VuPUFRRUNBSGkyMDhCRTQ5
T29hbjlra2hXX0VyY3k3RG0zWkxfOUNmM3FmS0FjNDg1eXNnQUFBY2d3Z2dIRUJna3Foa2lHOXcw
QkJ3YWdnZ0cxTUlJQnNRSUJBRENDQWFvR0NTcUdTSWIzRFFFSEFUQWVCZ2xnaGtnQlpRTUVBUzR3
RVFRTXk5ZjEwSk0xb1FBeURMUTFBZ0VRZ0lJQmV6T2tkUFgtMHlOb0tyQk9nNWh4T0xNWlB0eW1T
Ml91Q2lKbk9qLXgwSkdzVDBnLUxXMm04ZVNJWC1SRV9DMHdiV1AzcExHaDNSM1JnQ3JDVUVVeThr
ZWdiMXhrS3VzUzd1UFU3TGN5dlc1LS1JQ0EzWmZnYUVDaWFsM19WM3k5QTlqVVVQUHg4bWpNZmdw
cUF2Ny1IRGZnUG12bWRvbEFlYjRxM2xvSTFGWGZ5TmJMRGw3ZXZ1VENjUktkMDVZS2l0NV9uUFh5
NkpBSEtMZnBsU0UzRFI1VmtSd0xEV0gxNmRpT0ZTazlaZ0VPb3plUmdDMEZ3cDB0SnFibDZHakR4
ODFKeExYc2VPUzV6TWk0RFJYVjBRVVdqT3NtTE5Yci14b3JGSEExZk90MkxlTlBCZnB2d2V3LUEx
bl9nYlpORTFDR2FwMlJ5SjhKV083dTlFOUdhd05qekJCUDdQdlMzQklid1MybWt2NHJIb0paMlpX
bGNqZ242RmZicjlob1Y5QmJpVTNRMmxQR0oyNEdXd2FNMnQxVFhDb3VsSTNpajNEYk1CZmlVb2M0
NllEejNzYlRFM2RMTkNpZ043anNrSUlZQnRRaFhNdGdyelFSNTdCMVNUbEpKLWR5V01vd24tc3JF
aVlNSXREV2JQQTEtWmM1MUFlWFJMczwvdXJsPjx1cmw+aHR0cHM6Ly93YXRlcm1hcmsuc2lsdmVy
Y2hhaXIuY29tL250eDEzMi5wZGY/dG9rZW49QVFFQ0FIaTIwOEJFNDlPb2FuOWtraFdfRXJjeTdE
bTNaTF85Q2YzcWZLQWM0ODV5c2dBQUFkUXdnZ0hRQmdrcWhraUc5dzBCQndhZ2dnSEJNSUlCdlFJ
QkFEQ0NBYllHQ1NxR1NJYjNEUUVIQVRBZUJnbGdoa2dCWlFNRUFTNHdFUVFNYU1IY2RfczhSYXZq
THVZVkFnRVFnSUlCaDhlMmdvVTdIMEZfczBINlVTbmJ0Y1JwakRhX2RPWWJJOV9wVFNqZVcxcHJS
WDdaeEhMQUpydEYyTVg5dlNsQkp6UXBETE15WFJlaDJBY2syV3Z5TmRXZTMtampVX1p1Y2RMOGhp
U0JlS1dKcG1Uall4Y0JqVW5Qblc3ZnFMa2NNeXVETnNieVZGNkZPMy13UVVWNFQyTGNqTHc4Nl9V
ZVJ1ckd3UVRHVW9aNWFLN1R4a0N1VVctYWNVZS1WOGx0V29OVWVqN0ZDYUR6dzBMWmFNSV84TjRM
WndGRU5XdmlRRGdvcjdhZXBmMDA5dXl2OWxlcnpKVzZJNlNyQzZQMmFKenhNLUpMa1o0dkg1UGU1
Z1RhNUFBWmRvUm5oYUF6NlZOWDZWUlE5X2owQ0pQNE9sck93bk5SZFh4bUdBLURjMFh2cTIwOEhG
dFBRNl9hNWxOaFpaS0tud3ZSVndCZml2OEg0R0tyRVJGZWxiWHdIWnZwX3J5eGIycFdFa05ILTFB
bmVYOW9mOHBFQ0lUbUl0akZGSWxlMlBEeEZsVHhOUklGdW8yaVBGcnVVZHQyMDBNNTJpYXBLOXRk
SF82dGp5ZTBOaGlJdV8zNmZOaXpGU3RxNFNDM2lxd1lOT3p1UF9aSlB2SFpvM2QyWTAzY0dPT1N2
Y2M2THp0cVhGNFpxQmx5ZHN5Q251UTwvdXJsPjwvcmVsYXRlZC11cmxzPjwvdXJscz48ZWxlY3Ry
b25pYy1yZXNvdXJjZS1udW0+MTAuMTA5My9udHIvbnR4MTMyPC9lbGVjdHJvbmljLXJlc291cmNl
LW51bT48cmVtb3RlLWRhdGFiYXNlLXByb3ZpZGVyPk5MTTwvcmVtb3RlLWRhdGFiYXNlLXByb3Zp
ZGVyPjxsYW5ndWFnZT5lbmc8L2xhbmd1YWdlPjwvcmVjb3JkPjwvQ2l0ZT48L0VuZE5vdGU+AG==
</w:fldData>
        </w:fldChar>
      </w:r>
      <w:r>
        <w:instrText xml:space="preserve"> ADDIN EN.CITE.DATA </w:instrText>
      </w:r>
      <w:r>
        <w:fldChar w:fldCharType="end"/>
      </w:r>
      <w:r>
        <w:fldChar w:fldCharType="separate"/>
      </w:r>
      <w:r>
        <w:rPr>
          <w:noProof/>
        </w:rPr>
        <w:t>(Etter 2017)</w:t>
      </w:r>
      <w:r>
        <w:fldChar w:fldCharType="end"/>
      </w:r>
      <w:r>
        <w:t xml:space="preserve">. </w:t>
      </w:r>
    </w:p>
    <w:p w14:paraId="08CA7084" w14:textId="77777777" w:rsidR="002738DD" w:rsidRDefault="002738DD" w:rsidP="002738DD">
      <w:pPr>
        <w:pStyle w:val="BodyText"/>
      </w:pPr>
      <w:r>
        <w:t xml:space="preserve">One longitudinal study recruited 118 New Zealand current vapers via online vaper and smoking cessation networks </w:t>
      </w:r>
      <w:r>
        <w:fldChar w:fldCharType="begin">
          <w:fldData xml:space="preserve">PEVuZE5vdGU+PENpdGU+PEF1dGhvcj5UcnVtYW48L0F1dGhvcj48WWVhcj4yMDE4PC9ZZWFyPjxS
ZWNOdW0+NDY1NDwvUmVjTnVtPjxEaXNwbGF5VGV4dD4oVHJ1bWFuLCBHbG92ZXIgZXQgYWwuIDIw
MTgpPC9EaXNwbGF5VGV4dD48cmVjb3JkPjxyZWMtbnVtYmVyPjQ2NTQ8L3JlYy1udW1iZXI+PGZv
cmVpZ24ta2V5cz48a2V5IGFwcD0iRU4iIGRiLWlkPSI5ejA1ZHowcHJhYWRmdWVlMHpveHplZGs5
emZlNWZ4eDUwejUiIHRpbWVzdGFtcD0iMTUyMzkyMDMwMiI+NDY1NDwva2V5PjxrZXkgYXBwPSJF
TldlYiIgZGItaWQ9IiI+MDwva2V5PjwvZm9yZWlnbi1rZXlzPjxyZWYtdHlwZSBuYW1lPSJKb3Vy
bmFsIEFydGljbGUiPjE3PC9yZWYtdHlwZT48Y29udHJpYnV0b3JzPjxhdXRob3JzPjxhdXRob3I+
VHJ1bWFuLCBQLjwvYXV0aG9yPjxhdXRob3I+R2xvdmVyLCBNLjwvYXV0aG9yPjxhdXRob3I+RnJh
c2VyLCBULjwvYXV0aG9yPjwvYXV0aG9ycz48L2NvbnRyaWJ1dG9ycz48YXV0aC1hZGRyZXNzPlNj
aG9vbCBvZiBIZWFsdGggU2NpZW5jZXMsIE1hc3NleSBVbml2ZXJzaXR5LCBXZWxsaW5ndG9uIDYw
MjEsIE5ldyBaZWFsYW5kLiBwLnRydW1hbkBtYXNzZXkuYWMubnouJiN4RDtJbnN0aXR1dGUgb2Yg
RW52aXJvbm1lbnRhbCBTY2llbmNlIGFuZCBSZXNlYXJjaCBMdGQuLCBQb3JpcnVhIDUyNDAsIE5l
dyBaZWFsYW5kLiBwLnRydW1hbkBtYXNzZXkuYWMubnouJiN4RDtTY2hvb2wgb2YgSGVhbHRoIFNj
aWVuY2VzLCBNYXNzZXkgVW5pdmVyc2l0eSwgQXVja2xhbmQgMDYzMiwgTmV3IFplYWxhbmQuIG0u
Z2xvdmVyQG1hc3NleS5hYy5uei4mI3hEO0dsb2JhbCBQdWJsaWMgSGVhbHRoIEx0ZC4sIEdsZW5v
cmNoeSA5MzUwLCBOZXcgWmVhbGFuZC4gdHJpc2hAdHVrdXdhaGFnbGVub3JjaHkuY29tLjwvYXV0
aC1hZGRyZXNzPjx0aXRsZXM+PHRpdGxlPkFuIE9ubGluZSBTdXJ2ZXkgb2YgTmV3IFplYWxhbmQg
VmFwZXJzPC90aXRsZT48c2Vjb25kYXJ5LXRpdGxlPkludCBKIEVudmlyb24gUmVzIFB1YmxpYyBI
ZWFsdGg8L3NlY29uZGFyeS10aXRsZT48YWx0LXRpdGxlPkludGVybmF0aW9uYWwgam91cm5hbCBv
ZiBlbnZpcm9ubWVudGFsIHJlc2VhcmNoIGFuZCBwdWJsaWMgaGVhbHRoPC9hbHQtdGl0bGU+PC90
aXRsZXM+PGFsdC1wZXJpb2RpY2FsPjxmdWxsLXRpdGxlPkludGVybmF0aW9uYWwgSm91cm5hbCBv
ZiBFbnZpcm9ubWVudGFsIFJlc2VhcmNoIGFuZCBQdWJsaWMgSGVhbHRoPC9mdWxsLXRpdGxlPjwv
YWx0LXBlcmlvZGljYWw+PHZvbHVtZT4xNTwvdm9sdW1lPjxudW1iZXI+MjwvbnVtYmVyPjxlZGl0
aW9uPjIwMTgvMDIvMDE8L2VkaXRpb24+PGtleXdvcmRzPjxrZXl3b3JkPmVsZWN0cm9uaWMgY2ln
YXJldHRlczwva2V5d29yZD48a2V5d29yZD5uaWNvdGluZTwva2V5d29yZD48a2V5d29yZD5zbW9r
aW5nIGNlc3NhdGlvbjwva2V5d29yZD48a2V5d29yZD50b2JhY2NvIGRlcGVuZGVuY2U8L2tleXdv
cmQ+PGtleXdvcmQ+dmFwaW5nPC9rZXl3b3JkPjxrZXl3b3JkPmFyZSBjdXJyZW50IG1lbWJlcnMg
b2YgRW5kU21va2luZyBOZXcgWmVhbGFuZCwgYW4gb3JnYW5pc2F0aW9uIHdoaWNoIGFkdm9jYXRl
czwva2V5d29yZD48a2V5d29yZD5mb3IgaGFybSByZWR1Y3Rpb24gYXBwcm9hY2hlcyB0byBzbW9r
aW5nIGNlc3NhdGlvbi4gRW5kIFNtb2tpbmcgTmV3IFplYWxhbmQgd2FzIGE8L2tleXdvcmQ+PGtl
eXdvcmQ+bWlub3Igc3BvbnNvciBvZiB0aGUgV29ybGQgUHJlbWllcmUgb2YgJmFwb3M7QSBCaWxs
aW9uIExpdmVzJmFwb3M7IChhIGRvY3VtZW50YXJ5IG9uPC9rZXl3b3JkPjxrZXl3b3JkPmUtY2ln
YXJldHRlcykuIFBlbmVsb3BlIFRydW1hbiBpcyBhIG1lbWJlciBvZiB0aGUgVGVjaG5pY2FsIEV4
cGVydCBBZHZpc29yeTwva2V5d29yZD48a2V5d29yZD5Hcm91cDogRWxlY3Ryb25pYyBDaWdhcmV0
dGUgUHJvZHVjdCBTYWZldHksIGFkdmlzaW5nIHRoZSBOZXcgWmVhbGFuZCBNaW5pc3RyeSBvZjwv
a2V5d29yZD48a2V5d29yZD5IZWFsdGggb24gYXBwcm9wcmlhdGUgc3RhbmRhcmRzIGZvciBlLWNp
ZyBsaXF1aWRzLjwva2V5d29yZD48L2tleXdvcmRzPjxkYXRlcz48eWVhcj4yMDE4PC95ZWFyPjxw
dWItZGF0ZXM+PGRhdGU+SmFuIDI5PC9kYXRlPjwvcHViLWRhdGVzPjwvZGF0ZXM+PGlzYm4+MTY2
MC00NjAxPC9pc2JuPjxhY2Nlc3Npb24tbnVtPjI5MzgyMTI5PC9hY2Nlc3Npb24tbnVtPjx1cmxz
PjxyZWxhdGVkLXVybHM+PHVybD5odHRwOi8vd3d3Lm1kcGkuY29tLzE2NjAtNDYwMS8xNS8yLzIy
Mi9wZGY8L3VybD48L3JlbGF0ZWQtdXJscz48L3VybHM+PGVsZWN0cm9uaWMtcmVzb3VyY2UtbnVt
PjEwLjMzOTAvaWplcnBoMTUwMjAyMjI8L2VsZWN0cm9uaWMtcmVzb3VyY2UtbnVtPjxyZW1vdGUt
ZGF0YWJhc2UtcHJvdmlkZXI+TkxNPC9yZW1vdGUtZGF0YWJhc2UtcHJvdmlkZXI+PGxhbmd1YWdl
PmVuZzwvbGFuZ3VhZ2U+PC9yZWNvcmQ+PC9DaXRlPjwvRW5kTm90ZT5=
</w:fldData>
        </w:fldChar>
      </w:r>
      <w:r>
        <w:instrText xml:space="preserve"> ADDIN EN.CITE </w:instrText>
      </w:r>
      <w:r>
        <w:fldChar w:fldCharType="begin">
          <w:fldData xml:space="preserve">PEVuZE5vdGU+PENpdGU+PEF1dGhvcj5UcnVtYW48L0F1dGhvcj48WWVhcj4yMDE4PC9ZZWFyPjxS
ZWNOdW0+NDY1NDwvUmVjTnVtPjxEaXNwbGF5VGV4dD4oVHJ1bWFuLCBHbG92ZXIgZXQgYWwuIDIw
MTgpPC9EaXNwbGF5VGV4dD48cmVjb3JkPjxyZWMtbnVtYmVyPjQ2NTQ8L3JlYy1udW1iZXI+PGZv
cmVpZ24ta2V5cz48a2V5IGFwcD0iRU4iIGRiLWlkPSI5ejA1ZHowcHJhYWRmdWVlMHpveHplZGs5
emZlNWZ4eDUwejUiIHRpbWVzdGFtcD0iMTUyMzkyMDMwMiI+NDY1NDwva2V5PjxrZXkgYXBwPSJF
TldlYiIgZGItaWQ9IiI+MDwva2V5PjwvZm9yZWlnbi1rZXlzPjxyZWYtdHlwZSBuYW1lPSJKb3Vy
bmFsIEFydGljbGUiPjE3PC9yZWYtdHlwZT48Y29udHJpYnV0b3JzPjxhdXRob3JzPjxhdXRob3I+
VHJ1bWFuLCBQLjwvYXV0aG9yPjxhdXRob3I+R2xvdmVyLCBNLjwvYXV0aG9yPjxhdXRob3I+RnJh
c2VyLCBULjwvYXV0aG9yPjwvYXV0aG9ycz48L2NvbnRyaWJ1dG9ycz48YXV0aC1hZGRyZXNzPlNj
aG9vbCBvZiBIZWFsdGggU2NpZW5jZXMsIE1hc3NleSBVbml2ZXJzaXR5LCBXZWxsaW5ndG9uIDYw
MjEsIE5ldyBaZWFsYW5kLiBwLnRydW1hbkBtYXNzZXkuYWMubnouJiN4RDtJbnN0aXR1dGUgb2Yg
RW52aXJvbm1lbnRhbCBTY2llbmNlIGFuZCBSZXNlYXJjaCBMdGQuLCBQb3JpcnVhIDUyNDAsIE5l
dyBaZWFsYW5kLiBwLnRydW1hbkBtYXNzZXkuYWMubnouJiN4RDtTY2hvb2wgb2YgSGVhbHRoIFNj
aWVuY2VzLCBNYXNzZXkgVW5pdmVyc2l0eSwgQXVja2xhbmQgMDYzMiwgTmV3IFplYWxhbmQuIG0u
Z2xvdmVyQG1hc3NleS5hYy5uei4mI3hEO0dsb2JhbCBQdWJsaWMgSGVhbHRoIEx0ZC4sIEdsZW5v
cmNoeSA5MzUwLCBOZXcgWmVhbGFuZC4gdHJpc2hAdHVrdXdhaGFnbGVub3JjaHkuY29tLjwvYXV0
aC1hZGRyZXNzPjx0aXRsZXM+PHRpdGxlPkFuIE9ubGluZSBTdXJ2ZXkgb2YgTmV3IFplYWxhbmQg
VmFwZXJzPC90aXRsZT48c2Vjb25kYXJ5LXRpdGxlPkludCBKIEVudmlyb24gUmVzIFB1YmxpYyBI
ZWFsdGg8L3NlY29uZGFyeS10aXRsZT48YWx0LXRpdGxlPkludGVybmF0aW9uYWwgam91cm5hbCBv
ZiBlbnZpcm9ubWVudGFsIHJlc2VhcmNoIGFuZCBwdWJsaWMgaGVhbHRoPC9hbHQtdGl0bGU+PC90
aXRsZXM+PGFsdC1wZXJpb2RpY2FsPjxmdWxsLXRpdGxlPkludGVybmF0aW9uYWwgSm91cm5hbCBv
ZiBFbnZpcm9ubWVudGFsIFJlc2VhcmNoIGFuZCBQdWJsaWMgSGVhbHRoPC9mdWxsLXRpdGxlPjwv
YWx0LXBlcmlvZGljYWw+PHZvbHVtZT4xNTwvdm9sdW1lPjxudW1iZXI+MjwvbnVtYmVyPjxlZGl0
aW9uPjIwMTgvMDIvMDE8L2VkaXRpb24+PGtleXdvcmRzPjxrZXl3b3JkPmVsZWN0cm9uaWMgY2ln
YXJldHRlczwva2V5d29yZD48a2V5d29yZD5uaWNvdGluZTwva2V5d29yZD48a2V5d29yZD5zbW9r
aW5nIGNlc3NhdGlvbjwva2V5d29yZD48a2V5d29yZD50b2JhY2NvIGRlcGVuZGVuY2U8L2tleXdv
cmQ+PGtleXdvcmQ+dmFwaW5nPC9rZXl3b3JkPjxrZXl3b3JkPmFyZSBjdXJyZW50IG1lbWJlcnMg
b2YgRW5kU21va2luZyBOZXcgWmVhbGFuZCwgYW4gb3JnYW5pc2F0aW9uIHdoaWNoIGFkdm9jYXRl
czwva2V5d29yZD48a2V5d29yZD5mb3IgaGFybSByZWR1Y3Rpb24gYXBwcm9hY2hlcyB0byBzbW9r
aW5nIGNlc3NhdGlvbi4gRW5kIFNtb2tpbmcgTmV3IFplYWxhbmQgd2FzIGE8L2tleXdvcmQ+PGtl
eXdvcmQ+bWlub3Igc3BvbnNvciBvZiB0aGUgV29ybGQgUHJlbWllcmUgb2YgJmFwb3M7QSBCaWxs
aW9uIExpdmVzJmFwb3M7IChhIGRvY3VtZW50YXJ5IG9uPC9rZXl3b3JkPjxrZXl3b3JkPmUtY2ln
YXJldHRlcykuIFBlbmVsb3BlIFRydW1hbiBpcyBhIG1lbWJlciBvZiB0aGUgVGVjaG5pY2FsIEV4
cGVydCBBZHZpc29yeTwva2V5d29yZD48a2V5d29yZD5Hcm91cDogRWxlY3Ryb25pYyBDaWdhcmV0
dGUgUHJvZHVjdCBTYWZldHksIGFkdmlzaW5nIHRoZSBOZXcgWmVhbGFuZCBNaW5pc3RyeSBvZjwv
a2V5d29yZD48a2V5d29yZD5IZWFsdGggb24gYXBwcm9wcmlhdGUgc3RhbmRhcmRzIGZvciBlLWNp
ZyBsaXF1aWRzLjwva2V5d29yZD48L2tleXdvcmRzPjxkYXRlcz48eWVhcj4yMDE4PC95ZWFyPjxw
dWItZGF0ZXM+PGRhdGU+SmFuIDI5PC9kYXRlPjwvcHViLWRhdGVzPjwvZGF0ZXM+PGlzYm4+MTY2
MC00NjAxPC9pc2JuPjxhY2Nlc3Npb24tbnVtPjI5MzgyMTI5PC9hY2Nlc3Npb24tbnVtPjx1cmxz
PjxyZWxhdGVkLXVybHM+PHVybD5odHRwOi8vd3d3Lm1kcGkuY29tLzE2NjAtNDYwMS8xNS8yLzIy
Mi9wZGY8L3VybD48L3JlbGF0ZWQtdXJscz48L3VybHM+PGVsZWN0cm9uaWMtcmVzb3VyY2UtbnVt
PjEwLjMzOTAvaWplcnBoMTUwMjAyMjI8L2VsZWN0cm9uaWMtcmVzb3VyY2UtbnVtPjxyZW1vdGUt
ZGF0YWJhc2UtcHJvdmlkZXI+TkxNPC9yZW1vdGUtZGF0YWJhc2UtcHJvdmlkZXI+PGxhbmd1YWdl
PmVuZzwvbGFuZ3VhZ2U+PC9yZWNvcmQ+PC9DaXRlPjwvRW5kTm90ZT5=
</w:fldData>
        </w:fldChar>
      </w:r>
      <w:r>
        <w:instrText xml:space="preserve"> ADDIN EN.CITE.DATA </w:instrText>
      </w:r>
      <w:r>
        <w:fldChar w:fldCharType="end"/>
      </w:r>
      <w:r>
        <w:fldChar w:fldCharType="separate"/>
      </w:r>
      <w:r>
        <w:rPr>
          <w:noProof/>
        </w:rPr>
        <w:t>(Truman, Glover et al. 2018)</w:t>
      </w:r>
      <w:r>
        <w:fldChar w:fldCharType="end"/>
      </w:r>
      <w:r>
        <w:t xml:space="preserve">. The survey participants were predominantly older (55% &gt;60 years) and male (70%). In this survey, 79% of participants reported that they had used vaping to help them cease smoking. While only two participants (1.7%) ceased smoking during the study, </w:t>
      </w:r>
      <w:r w:rsidRPr="00B430A2">
        <w:t>73% had once been smokers and now exclusively vaped</w:t>
      </w:r>
      <w:r>
        <w:t>. However, it is unclear if vaping was the main smoking cessation technique used or if it was used alongside other smoking cessation tools. The sample of participants was biased to select committed vapers due to the recruitment method, and the study excluded two participants who had stopped vaping because they did not find it a good substitute to smoking. Thus this study was likely to capture participants who had strong positive beliefs about e</w:t>
      </w:r>
      <w:r>
        <w:noBreakHyphen/>
        <w:t>cigarettes and not capture smokers who may have tried e</w:t>
      </w:r>
      <w:r>
        <w:noBreakHyphen/>
        <w:t>cigarettes but found them not useful for smoking cessation. Therefore findings may be misleading due to the participants included and likely do not reflect vaping or smoking populations. Additionally, generalisability is limited as the sample size was small (118), predominantly male (70%) and older (55%). Critically, this study only surveyed current e</w:t>
      </w:r>
      <w:r>
        <w:noBreakHyphen/>
        <w:t xml:space="preserve">cigarette users (recruited online through vaper and smoking cessation networks). </w:t>
      </w:r>
    </w:p>
    <w:p w14:paraId="3401AA4E" w14:textId="77777777" w:rsidR="002738DD" w:rsidRDefault="002738DD" w:rsidP="002738DD">
      <w:pPr>
        <w:pStyle w:val="BodyText"/>
      </w:pPr>
      <w:r>
        <w:lastRenderedPageBreak/>
        <w:t>Data from the 2013</w:t>
      </w:r>
      <w:r>
        <w:noBreakHyphen/>
        <w:t>15 US PATH (Population Assessment of Tobacco) Study also supports the use of e</w:t>
      </w:r>
      <w:r>
        <w:noBreakHyphen/>
        <w:t xml:space="preserve">cigarettes as a smoking cessation tool </w:t>
      </w:r>
      <w:r>
        <w:fldChar w:fldCharType="begin"/>
      </w:r>
      <w:r w:rsidR="004E728C">
        <w:instrText xml:space="preserve"> ADDIN EN.CITE &lt;EndNote&gt;&lt;Cite&gt;&lt;Author&gt;Berry&lt;/Author&gt;&lt;Year&gt;2018&lt;/Year&gt;&lt;RecNum&gt;10546&lt;/RecNum&gt;&lt;DisplayText&gt;(Berry, Reynolds et al. 2018)&lt;/DisplayText&gt;&lt;record&gt;&lt;rec-number&gt;10546&lt;/rec-number&gt;&lt;foreign-keys&gt;&lt;key app="EN" db-id="9z05dz0praadfuee0zoxzedk9zfe5fxx50z5" timestamp="1526869879"&gt;10546&lt;/key&gt;&lt;key app="ENWeb" db-id=""&gt;0&lt;/key&gt;&lt;/foreign-keys&gt;&lt;ref-type name="Journal Article"&gt;17&lt;/ref-type&gt;&lt;contributors&gt;&lt;authors&gt;&lt;author&gt;Berry, Kaitlyn M.&lt;/author&gt;&lt;author&gt;Reynolds, Lindsay M.&lt;/author&gt;&lt;author&gt;Collins, Jason M.&lt;/author&gt;&lt;author&gt;Siegel, Michael B.&lt;/author&gt;&lt;author&gt;Fetterman, Jessica L.&lt;/author&gt;&lt;author&gt;Hamburg, Naomi M.&lt;/author&gt;&lt;author&gt;Bhatnagar, Aruni&lt;/author&gt;&lt;author&gt;Benjamin, Emelia J.&lt;/author&gt;&lt;author&gt;Stokes, Andrew&lt;/author&gt;&lt;/authors&gt;&lt;/contributors&gt;&lt;titles&gt;&lt;title&gt;E-cigarette initiation and associated changes in smoking cessation and reduction: the Population Assessment of Tobacco and Health Study, 2013-2015&lt;/title&gt;&lt;secondary-title&gt;Tobacco control&lt;/secondary-title&gt;&lt;/titles&gt;&lt;periodical&gt;&lt;full-title&gt;Tobacco Control&lt;/full-title&gt;&lt;/periodical&gt;&lt;dates&gt;&lt;year&gt;2018&lt;/year&gt;&lt;pub-dates&gt;&lt;date&gt;2018-Mar-24&lt;/date&gt;&lt;/pub-dates&gt;&lt;/dates&gt;&lt;accession-num&gt;MEDLINE:29574448&lt;/accession-num&gt;&lt;urls&gt;&lt;related-urls&gt;&lt;url&gt;&amp;lt;Go to ISI&amp;gt;://MEDLINE:29574448&lt;/url&gt;&lt;url&gt;http://tobaccocontrol.bmj.com/content/tobaccocontrol/early/2018/03/24/tobaccocontrol-2017-054108.full.pdf&lt;/url&gt;&lt;/related-urls&gt;&lt;/urls&gt;&lt;electronic-resource-num&gt;10.1136/tobaccocontrol-2017-054108&lt;/electronic-resource-num&gt;&lt;/record&gt;&lt;/Cite&gt;&lt;/EndNote&gt;</w:instrText>
      </w:r>
      <w:r>
        <w:fldChar w:fldCharType="separate"/>
      </w:r>
      <w:r>
        <w:rPr>
          <w:noProof/>
        </w:rPr>
        <w:t>(Berry, Reynolds et al. 2018)</w:t>
      </w:r>
      <w:r>
        <w:fldChar w:fldCharType="end"/>
      </w:r>
      <w:r>
        <w:t xml:space="preserve">. 5,124 participants were recruited to create a nationally representative sample. 45% were female and mean age was not reported (see table </w:t>
      </w:r>
      <w:r w:rsidR="00F0285D">
        <w:t>13 and 1</w:t>
      </w:r>
      <w:r>
        <w:t>4). This secondary analysis included data from Wave 1 (2013</w:t>
      </w:r>
      <w:r>
        <w:noBreakHyphen/>
        <w:t>14) and Wave 2 (2014</w:t>
      </w:r>
      <w:r>
        <w:noBreakHyphen/>
        <w:t xml:space="preserve">15). Data was analysed after adjusting for covariates of age, sex, </w:t>
      </w:r>
      <w:r w:rsidRPr="00810076">
        <w:t>race/ethnicity, household income, education</w:t>
      </w:r>
      <w:r>
        <w:t xml:space="preserve"> and </w:t>
      </w:r>
      <w:r w:rsidRPr="00810076">
        <w:t>region</w:t>
      </w:r>
      <w:r>
        <w:t>. Results indicated that participants who were cigarette smokers at Wave 1 who began using e</w:t>
      </w:r>
      <w:r>
        <w:noBreakHyphen/>
        <w:t>cigarettes by Wave 2 were 7.88 times more likely to have cessed smoking for at least 30 days at Wave 2 (95% CI, CI 4.45 – 13.95). Additionally, those who did not achieve cessation were 5.70 times more likely to have reduced cigarette consumption if they were using e</w:t>
      </w:r>
      <w:r>
        <w:noBreakHyphen/>
        <w:t>cigarettes at Wave 2 (95% CI, 4.45 – 13.95). This data indicates that e</w:t>
      </w:r>
      <w:r>
        <w:noBreakHyphen/>
        <w:t>cigarettes may be an effective smoking cessation tool, however they did not consider other smoking cessation tools and e</w:t>
      </w:r>
      <w:r>
        <w:noBreakHyphen/>
        <w:t>cigarette use may simply be an indicator of quit</w:t>
      </w:r>
      <w:r w:rsidRPr="001D7243">
        <w:t xml:space="preserve"> </w:t>
      </w:r>
      <w:r>
        <w:t>motivation.</w:t>
      </w:r>
    </w:p>
    <w:p w14:paraId="7D9AA865" w14:textId="77777777" w:rsidR="002738DD" w:rsidRDefault="002738DD" w:rsidP="002738DD">
      <w:pPr>
        <w:pStyle w:val="BodyText"/>
      </w:pPr>
      <w:r>
        <w:t>Seven longitudinal studies found results which contradict a positive association between e</w:t>
      </w:r>
      <w:r>
        <w:noBreakHyphen/>
        <w:t xml:space="preserve">cigarette use and smoking cessation. One study had a relatively small sample size and was not nationally representative </w:t>
      </w:r>
      <w:r>
        <w:fldChar w:fldCharType="begin">
          <w:fldData xml:space="preserve">PEVuZE5vdGU+PENpdGU+PEF1dGhvcj5DdXJyeTwvQXV0aG9yPjxZZWFyPjIwMTc8L1llYXI+PFJl
Y051bT41Mjg0PC9SZWNOdW0+PERpc3BsYXlUZXh0PihDdXJyeSwgTmVtZXRoIGV0IGFsLiAyMDE3
KTwvRGlzcGxheVRleHQ+PHJlY29yZD48cmVjLW51bWJlcj41Mjg0PC9yZWMtbnVtYmVyPjxmb3Jl
aWduLWtleXM+PGtleSBhcHA9IkVOIiBkYi1pZD0iOXowNWR6MHByYWFkZnVlZTB6b3h6ZWRrOXpm
ZTVmeHg1MHo1IiB0aW1lc3RhbXA9IjE1MjM5MjA5NDIiPjUyODQ8L2tleT48L2ZvcmVpZ24ta2V5
cz48cmVmLXR5cGUgbmFtZT0iSm91cm5hbCBBcnRpY2xlIj4xNzwvcmVmLXR5cGU+PGNvbnRyaWJ1
dG9ycz48YXV0aG9ycz48YXV0aG9yPkN1cnJ5LCBFLjwvYXV0aG9yPjxhdXRob3I+TmVtZXRoLCBK
LiBNLjwvYXV0aG9yPjxhdXRob3I+V2VybWVydCwgQS48L2F1dGhvcj48YXV0aG9yPkNvbnJveSwg
Uy48L2F1dGhvcj48YXV0aG9yPlNob2JlbiwgQS48L2F1dGhvcj48YXV0aG9yPkZlcmtldGljaCwg
QS4gSy48L2F1dGhvcj48YXV0aG9yPldld2VycywgTS4gRS48L2F1dGhvcj48L2F1dGhvcnM+PC9j
b250cmlidXRvcnM+PGF1dGgtYWRkcmVzcz5EaXZpc2lvbiBvZiBIZWFsdGggQmVoYXZpb3IgYW5k
IEhlYWx0aCBQcm9tb3Rpb24sIE9oaW8gU3RhdGUgVW5pdmVyc2l0eSBDb2xsZWdlIG9mIFB1Ymxp
YyBIZWFsdGgsIENvbHVtYnVzLCBPSC4mI3hEO0RpdmlzaW9uIG9mIEVwaWRlbWlvbG9neSwgT2hp
byBTdGF0ZSBVbml2ZXJzaXR5IENvbGxlZ2Ugb2YgUHVibGljIEhlYWx0aCwgQ29sdW1idXMsIE9I
LiYjeEQ7RGl2aXNpb24gb2YgQmlvc3RhdGlzdGljcywgT2hpbyBTdGF0ZSBVbml2ZXJzaXR5IENv
bGxlZ2Ugb2YgUHVibGljIEhlYWx0aCwgQ29sdW1idXMsIE9ILjwvYXV0aC1hZGRyZXNzPjx0aXRs
ZXM+PHRpdGxlPkEgRGVzY3JpcHRpdmUgUmVwb3J0IG9mIEVsZWN0cm9uaWMgQ2lnYXJldHRlIFVz
ZSBBZnRlciBQYXJ0aWNpcGF0aW9uIGluIGEgQ29tbXVuaXR5LUJhc2VkIFRvYmFjY28gQ2Vzc2F0
aW9uIFRyaWFsPC90aXRsZT48c2Vjb25kYXJ5LXRpdGxlPk5pY290aW5lIFRvYiBSZXM8L3NlY29u
ZGFyeS10aXRsZT48YWx0LXRpdGxlPk5pY290aW5lICZhbXA7IHRvYmFjY28gcmVzZWFyY2ggOiBv
ZmZpY2lhbCBqb3VybmFsIG9mIHRoZSBTb2NpZXR5IGZvciBSZXNlYXJjaCBvbiBOaWNvdGluZSBh
bmQgVG9iYWNjbzwvYWx0LXRpdGxlPjwvdGl0bGVzPjxwZXJpb2RpY2FsPjxmdWxsLXRpdGxlPk5p
Y290aW5lIFRvYiBSZXM8L2Z1bGwtdGl0bGU+PGFiYnItMT5OaWNvdGluZSAmYW1wOyB0b2JhY2Nv
IHJlc2VhcmNoIDogb2ZmaWNpYWwgam91cm5hbCBvZiB0aGUgU29jaWV0eSBmb3IgUmVzZWFyY2gg
b24gTmljb3RpbmUgYW5kIFRvYmFjY288L2FiYnItMT48L3BlcmlvZGljYWw+PGFsdC1wZXJpb2Rp
Y2FsPjxmdWxsLXRpdGxlPk5pY290aW5lIFRvYiBSZXM8L2Z1bGwtdGl0bGU+PGFiYnItMT5OaWNv
dGluZSAmYW1wOyB0b2JhY2NvIHJlc2VhcmNoIDogb2ZmaWNpYWwgam91cm5hbCBvZiB0aGUgU29j
aWV0eSBmb3IgUmVzZWFyY2ggb24gTmljb3RpbmUgYW5kIFRvYmFjY288L2FiYnItMT48L2FsdC1w
ZXJpb2RpY2FsPjxwYWdlcz4xMzUtMTM5PC9wYWdlcz48dm9sdW1lPjIwPC92b2x1bWU+PG51bWJl
cj4xPC9udW1iZXI+PGVkaXRpb24+MjAxNy8wMy8yNTwvZWRpdGlvbj48ZGF0ZXM+PHllYXI+MjAx
NzwveWVhcj48cHViLWRhdGVzPjxkYXRlPkRlYyAxMzwvZGF0ZT48L3B1Yi1kYXRlcz48L2RhdGVz
Pjxpc2JuPjE0NjItMjIwMzwvaXNibj48YWNjZXNzaW9uLW51bT4yODMzOTU3NjwvYWNjZXNzaW9u
LW51bT48dXJscz48cmVsYXRlZC11cmxzPjx1cmw+aHR0cHM6Ly93YXRlcm1hcmsuc2lsdmVyY2hh
aXIuY29tL250eDAxMy5wZGY/dG9rZW49QVFFQ0FIaTIwOEJFNDlPb2FuOWtraFdfRXJjeTdEbTNa
TF85Q2YzcWZLQWM0ODV5c2dBQUFiOHdnZ0c3QmdrcWhraUc5dzBCQndhZ2dnR3NNSUlCcUFJQkFE
Q0NBYUVHQ1NxR1NJYjNEUUVIQVRBZUJnbGdoa2dCWlFNRUFTNHdFUVFNT2UyUXhENGNacW4xWk8z
OUFnRVFnSUlCY3FhODcwUkV1bjk0dzd3UldEX19nWS1TT0tIa0R4UTFRMmZEb2tTSy1ORGRfalpH
OUM5aldDa0lyYTRKa0FHTE1oSThGdEJTWEZ5N09temZzbmZyWTlsODEwcXlFQllvLXhTM2FXaVli
a19tVVZLc1RtTDFCdTdiQi1uTlJ6NWQ4akJGczBKWG4xS1FLZjRsa3hiQVRIY1hnTWVoZ1pzNDB0
RmhfVXViYzA4dUhuc05nNFhBRldScXl6b21INWRTS2hZbFpoa056bm1pT0xGdExJY3Y0NTlVaDhw
MFBwbnVsVXpadjR3QThUWWExNUNHcmZLaWpBS1M4RVlMeUxldm5jZ25FdU84TDVNR1VWdUljVS1w
U2hJczJWbXRmRnlKbS1VcmppMHBDMEVJdHRlRVpTeWx6dExXZ3daR2NHUFFHV250T2hFQUVSeXg5
RDU3YlRCclZqS2pWQXJ5a1NBdWhELUZPdnZEbWRRZTEzQ21HLXJpSWZuT0FNNi10Szg3b1R4WUhS
by0xS0tPdU9SdFRGdE9uaEFTQ1B1VlNoZWJMck9xdmRJVHJwbE5QelBkMUYtdHZxZXBQR3hMdlBj
d20ySlN6ZE1lQXFRYWpnWXNwRlY2SWtyQUxHM1VGY0xxVEtqbm9XT1lTMWc1NDEwPC91cmw+PC9y
ZWxhdGVkLXVybHM+PC91cmxzPjxlbGVjdHJvbmljLXJlc291cmNlLW51bT4xMC4xMDkzL250ci9u
dHgwMTM8L2VsZWN0cm9uaWMtcmVzb3VyY2UtbnVtPjxyZW1vdGUtZGF0YWJhc2UtcHJvdmlkZXI+
TkxNPC9yZW1vdGUtZGF0YWJhc2UtcHJvdmlkZXI+PGxhbmd1YWdlPmVuZzwvbGFuZ3VhZ2U+PC9y
ZWNvcmQ+PC9DaXRlPjwvRW5kTm90ZT4A
</w:fldData>
        </w:fldChar>
      </w:r>
      <w:r>
        <w:instrText xml:space="preserve"> ADDIN EN.CITE </w:instrText>
      </w:r>
      <w:r>
        <w:fldChar w:fldCharType="begin">
          <w:fldData xml:space="preserve">PEVuZE5vdGU+PENpdGU+PEF1dGhvcj5DdXJyeTwvQXV0aG9yPjxZZWFyPjIwMTc8L1llYXI+PFJl
Y051bT41Mjg0PC9SZWNOdW0+PERpc3BsYXlUZXh0PihDdXJyeSwgTmVtZXRoIGV0IGFsLiAyMDE3
KTwvRGlzcGxheVRleHQ+PHJlY29yZD48cmVjLW51bWJlcj41Mjg0PC9yZWMtbnVtYmVyPjxmb3Jl
aWduLWtleXM+PGtleSBhcHA9IkVOIiBkYi1pZD0iOXowNWR6MHByYWFkZnVlZTB6b3h6ZWRrOXpm
ZTVmeHg1MHo1IiB0aW1lc3RhbXA9IjE1MjM5MjA5NDIiPjUyODQ8L2tleT48L2ZvcmVpZ24ta2V5
cz48cmVmLXR5cGUgbmFtZT0iSm91cm5hbCBBcnRpY2xlIj4xNzwvcmVmLXR5cGU+PGNvbnRyaWJ1
dG9ycz48YXV0aG9ycz48YXV0aG9yPkN1cnJ5LCBFLjwvYXV0aG9yPjxhdXRob3I+TmVtZXRoLCBK
LiBNLjwvYXV0aG9yPjxhdXRob3I+V2VybWVydCwgQS48L2F1dGhvcj48YXV0aG9yPkNvbnJveSwg
Uy48L2F1dGhvcj48YXV0aG9yPlNob2JlbiwgQS48L2F1dGhvcj48YXV0aG9yPkZlcmtldGljaCwg
QS4gSy48L2F1dGhvcj48YXV0aG9yPldld2VycywgTS4gRS48L2F1dGhvcj48L2F1dGhvcnM+PC9j
b250cmlidXRvcnM+PGF1dGgtYWRkcmVzcz5EaXZpc2lvbiBvZiBIZWFsdGggQmVoYXZpb3IgYW5k
IEhlYWx0aCBQcm9tb3Rpb24sIE9oaW8gU3RhdGUgVW5pdmVyc2l0eSBDb2xsZWdlIG9mIFB1Ymxp
YyBIZWFsdGgsIENvbHVtYnVzLCBPSC4mI3hEO0RpdmlzaW9uIG9mIEVwaWRlbWlvbG9neSwgT2hp
byBTdGF0ZSBVbml2ZXJzaXR5IENvbGxlZ2Ugb2YgUHVibGljIEhlYWx0aCwgQ29sdW1idXMsIE9I
LiYjeEQ7RGl2aXNpb24gb2YgQmlvc3RhdGlzdGljcywgT2hpbyBTdGF0ZSBVbml2ZXJzaXR5IENv
bGxlZ2Ugb2YgUHVibGljIEhlYWx0aCwgQ29sdW1idXMsIE9ILjwvYXV0aC1hZGRyZXNzPjx0aXRs
ZXM+PHRpdGxlPkEgRGVzY3JpcHRpdmUgUmVwb3J0IG9mIEVsZWN0cm9uaWMgQ2lnYXJldHRlIFVz
ZSBBZnRlciBQYXJ0aWNpcGF0aW9uIGluIGEgQ29tbXVuaXR5LUJhc2VkIFRvYmFjY28gQ2Vzc2F0
aW9uIFRyaWFsPC90aXRsZT48c2Vjb25kYXJ5LXRpdGxlPk5pY290aW5lIFRvYiBSZXM8L3NlY29u
ZGFyeS10aXRsZT48YWx0LXRpdGxlPk5pY290aW5lICZhbXA7IHRvYmFjY28gcmVzZWFyY2ggOiBv
ZmZpY2lhbCBqb3VybmFsIG9mIHRoZSBTb2NpZXR5IGZvciBSZXNlYXJjaCBvbiBOaWNvdGluZSBh
bmQgVG9iYWNjbzwvYWx0LXRpdGxlPjwvdGl0bGVzPjxwZXJpb2RpY2FsPjxmdWxsLXRpdGxlPk5p
Y290aW5lIFRvYiBSZXM8L2Z1bGwtdGl0bGU+PGFiYnItMT5OaWNvdGluZSAmYW1wOyB0b2JhY2Nv
IHJlc2VhcmNoIDogb2ZmaWNpYWwgam91cm5hbCBvZiB0aGUgU29jaWV0eSBmb3IgUmVzZWFyY2gg
b24gTmljb3RpbmUgYW5kIFRvYmFjY288L2FiYnItMT48L3BlcmlvZGljYWw+PGFsdC1wZXJpb2Rp
Y2FsPjxmdWxsLXRpdGxlPk5pY290aW5lIFRvYiBSZXM8L2Z1bGwtdGl0bGU+PGFiYnItMT5OaWNv
dGluZSAmYW1wOyB0b2JhY2NvIHJlc2VhcmNoIDogb2ZmaWNpYWwgam91cm5hbCBvZiB0aGUgU29j
aWV0eSBmb3IgUmVzZWFyY2ggb24gTmljb3RpbmUgYW5kIFRvYmFjY288L2FiYnItMT48L2FsdC1w
ZXJpb2RpY2FsPjxwYWdlcz4xMzUtMTM5PC9wYWdlcz48dm9sdW1lPjIwPC92b2x1bWU+PG51bWJl
cj4xPC9udW1iZXI+PGVkaXRpb24+MjAxNy8wMy8yNTwvZWRpdGlvbj48ZGF0ZXM+PHllYXI+MjAx
NzwveWVhcj48cHViLWRhdGVzPjxkYXRlPkRlYyAxMzwvZGF0ZT48L3B1Yi1kYXRlcz48L2RhdGVz
Pjxpc2JuPjE0NjItMjIwMzwvaXNibj48YWNjZXNzaW9uLW51bT4yODMzOTU3NjwvYWNjZXNzaW9u
LW51bT48dXJscz48cmVsYXRlZC11cmxzPjx1cmw+aHR0cHM6Ly93YXRlcm1hcmsuc2lsdmVyY2hh
aXIuY29tL250eDAxMy5wZGY/dG9rZW49QVFFQ0FIaTIwOEJFNDlPb2FuOWtraFdfRXJjeTdEbTNa
TF85Q2YzcWZLQWM0ODV5c2dBQUFiOHdnZ0c3QmdrcWhraUc5dzBCQndhZ2dnR3NNSUlCcUFJQkFE
Q0NBYUVHQ1NxR1NJYjNEUUVIQVRBZUJnbGdoa2dCWlFNRUFTNHdFUVFNT2UyUXhENGNacW4xWk8z
OUFnRVFnSUlCY3FhODcwUkV1bjk0dzd3UldEX19nWS1TT0tIa0R4UTFRMmZEb2tTSy1ORGRfalpH
OUM5aldDa0lyYTRKa0FHTE1oSThGdEJTWEZ5N09temZzbmZyWTlsODEwcXlFQllvLXhTM2FXaVli
a19tVVZLc1RtTDFCdTdiQi1uTlJ6NWQ4akJGczBKWG4xS1FLZjRsa3hiQVRIY1hnTWVoZ1pzNDB0
RmhfVXViYzA4dUhuc05nNFhBRldScXl6b21INWRTS2hZbFpoa056bm1pT0xGdExJY3Y0NTlVaDhw
MFBwbnVsVXpadjR3QThUWWExNUNHcmZLaWpBS1M4RVlMeUxldm5jZ25FdU84TDVNR1VWdUljVS1w
U2hJczJWbXRmRnlKbS1VcmppMHBDMEVJdHRlRVpTeWx6dExXZ3daR2NHUFFHV250T2hFQUVSeXg5
RDU3YlRCclZqS2pWQXJ5a1NBdWhELUZPdnZEbWRRZTEzQ21HLXJpSWZuT0FNNi10Szg3b1R4WUhS
by0xS0tPdU9SdFRGdE9uaEFTQ1B1VlNoZWJMck9xdmRJVHJwbE5QelBkMUYtdHZxZXBQR3hMdlBj
d20ySlN6ZE1lQXFRYWpnWXNwRlY2SWtyQUxHM1VGY0xxVEtqbm9XT1lTMWc1NDEwPC91cmw+PC9y
ZWxhdGVkLXVybHM+PC91cmxzPjxlbGVjdHJvbmljLXJlc291cmNlLW51bT4xMC4xMDkzL250ci9u
dHgwMTM8L2VsZWN0cm9uaWMtcmVzb3VyY2UtbnVtPjxyZW1vdGUtZGF0YWJhc2UtcHJvdmlkZXI+
TkxNPC9yZW1vdGUtZGF0YWJhc2UtcHJvdmlkZXI+PGxhbmd1YWdlPmVuZzwvbGFuZ3VhZ2U+PC9y
ZWNvcmQ+PC9DaXRlPjwvRW5kTm90ZT4A
</w:fldData>
        </w:fldChar>
      </w:r>
      <w:r>
        <w:instrText xml:space="preserve"> ADDIN EN.CITE.DATA </w:instrText>
      </w:r>
      <w:r>
        <w:fldChar w:fldCharType="end"/>
      </w:r>
      <w:r>
        <w:fldChar w:fldCharType="separate"/>
      </w:r>
      <w:r>
        <w:rPr>
          <w:noProof/>
        </w:rPr>
        <w:t>(Curry, Nemeth et al. 2017)</w:t>
      </w:r>
      <w:r>
        <w:fldChar w:fldCharType="end"/>
      </w:r>
      <w:r>
        <w:t>. This study followed</w:t>
      </w:r>
      <w:r>
        <w:noBreakHyphen/>
        <w:t>up participants from a randomised smoking cessation trial. The trial randomly assigned Ohio counties to 10 weeks of either face</w:t>
      </w:r>
      <w:r>
        <w:noBreakHyphen/>
        <w:t>to</w:t>
      </w:r>
      <w:r>
        <w:noBreakHyphen/>
        <w:t>face counselling or the Ohio Tobacco Quitline. They tracked smoking habits, e</w:t>
      </w:r>
      <w:r>
        <w:noBreakHyphen/>
        <w:t>cigarettes use and had a main outcome of smoking cessation at 12 months. A secondary analysis of this data was conducted to determine the association between e</w:t>
      </w:r>
      <w:r>
        <w:noBreakHyphen/>
        <w:t>cigarette use and smoking cessation among these smokers who were attempting to quit. Participants in the secondary analysis were predominantly female (76.7%) and 53.5% were aged between 25</w:t>
      </w:r>
      <w:r>
        <w:noBreakHyphen/>
        <w:t xml:space="preserve">54 years. </w:t>
      </w:r>
    </w:p>
    <w:p w14:paraId="313B2A25" w14:textId="77777777" w:rsidR="002738DD" w:rsidRDefault="002738DD" w:rsidP="002738DD">
      <w:pPr>
        <w:pStyle w:val="BodyText"/>
      </w:pPr>
    </w:p>
    <w:p w14:paraId="45CCA63B" w14:textId="77777777" w:rsidR="002738DD" w:rsidRDefault="002738DD" w:rsidP="002738DD">
      <w:pPr>
        <w:pStyle w:val="BodyText"/>
      </w:pPr>
      <w:r>
        <w:t>Four times as many non</w:t>
      </w:r>
      <w:r>
        <w:noBreakHyphen/>
        <w:t>e</w:t>
      </w:r>
      <w:r>
        <w:noBreakHyphen/>
        <w:t>cigarettes users were abstinent at 12 months than e</w:t>
      </w:r>
      <w:r>
        <w:noBreakHyphen/>
        <w:t>cigarette users (</w:t>
      </w:r>
      <w:r w:rsidRPr="009E2119">
        <w:t>19.0% vs. 4.7%, p=.021)</w:t>
      </w:r>
      <w:r>
        <w:t>. They also grouped participants according to when they had used e</w:t>
      </w:r>
      <w:r>
        <w:noBreakHyphen/>
        <w:t>cigarettes. Results indicated that 16.7% of base</w:t>
      </w:r>
      <w:r>
        <w:noBreakHyphen/>
        <w:t>line e</w:t>
      </w:r>
      <w:r>
        <w:noBreakHyphen/>
        <w:t>cigarette users had abstained from e</w:t>
      </w:r>
      <w:r>
        <w:noBreakHyphen/>
        <w:t xml:space="preserve">cigarettes at 12 months. </w:t>
      </w:r>
      <w:r w:rsidRPr="00636A66">
        <w:t>19.3%</w:t>
      </w:r>
      <w:r>
        <w:t xml:space="preserve"> of n</w:t>
      </w:r>
      <w:r w:rsidRPr="00636A66">
        <w:t>ever</w:t>
      </w:r>
      <w:r>
        <w:noBreakHyphen/>
      </w:r>
      <w:r w:rsidRPr="00636A66">
        <w:t>users at baseline and post</w:t>
      </w:r>
      <w:r>
        <w:noBreakHyphen/>
      </w:r>
      <w:r w:rsidRPr="00636A66">
        <w:t xml:space="preserve">treatment </w:t>
      </w:r>
      <w:r>
        <w:t xml:space="preserve">had abstained at 12 months and </w:t>
      </w:r>
      <w:r w:rsidRPr="00636A66">
        <w:t>e</w:t>
      </w:r>
      <w:r>
        <w:noBreakHyphen/>
      </w:r>
      <w:r w:rsidRPr="00636A66">
        <w:t>cigare</w:t>
      </w:r>
      <w:r>
        <w:t xml:space="preserve">tte users at both baseline and </w:t>
      </w:r>
      <w:r w:rsidRPr="00636A66">
        <w:t>post</w:t>
      </w:r>
      <w:r>
        <w:noBreakHyphen/>
      </w:r>
      <w:r w:rsidRPr="00636A66">
        <w:t>treatment had an abstinence rate of 6.7</w:t>
      </w:r>
      <w:r>
        <w:t xml:space="preserve">% </w:t>
      </w:r>
      <w:r>
        <w:fldChar w:fldCharType="begin">
          <w:fldData xml:space="preserve">PEVuZE5vdGU+PENpdGU+PEF1dGhvcj5DdXJyeTwvQXV0aG9yPjxZZWFyPjIwMTc8L1llYXI+PFJl
Y051bT41Mjg0PC9SZWNOdW0+PERpc3BsYXlUZXh0PihDdXJyeSwgTmVtZXRoIGV0IGFsLiAyMDE3
KTwvRGlzcGxheVRleHQ+PHJlY29yZD48cmVjLW51bWJlcj41Mjg0PC9yZWMtbnVtYmVyPjxmb3Jl
aWduLWtleXM+PGtleSBhcHA9IkVOIiBkYi1pZD0iOXowNWR6MHByYWFkZnVlZTB6b3h6ZWRrOXpm
ZTVmeHg1MHo1IiB0aW1lc3RhbXA9IjE1MjM5MjA5NDIiPjUyODQ8L2tleT48L2ZvcmVpZ24ta2V5
cz48cmVmLXR5cGUgbmFtZT0iSm91cm5hbCBBcnRpY2xlIj4xNzwvcmVmLXR5cGU+PGNvbnRyaWJ1
dG9ycz48YXV0aG9ycz48YXV0aG9yPkN1cnJ5LCBFLjwvYXV0aG9yPjxhdXRob3I+TmVtZXRoLCBK
LiBNLjwvYXV0aG9yPjxhdXRob3I+V2VybWVydCwgQS48L2F1dGhvcj48YXV0aG9yPkNvbnJveSwg
Uy48L2F1dGhvcj48YXV0aG9yPlNob2JlbiwgQS48L2F1dGhvcj48YXV0aG9yPkZlcmtldGljaCwg
QS4gSy48L2F1dGhvcj48YXV0aG9yPldld2VycywgTS4gRS48L2F1dGhvcj48L2F1dGhvcnM+PC9j
b250cmlidXRvcnM+PGF1dGgtYWRkcmVzcz5EaXZpc2lvbiBvZiBIZWFsdGggQmVoYXZpb3IgYW5k
IEhlYWx0aCBQcm9tb3Rpb24sIE9oaW8gU3RhdGUgVW5pdmVyc2l0eSBDb2xsZWdlIG9mIFB1Ymxp
YyBIZWFsdGgsIENvbHVtYnVzLCBPSC4mI3hEO0RpdmlzaW9uIG9mIEVwaWRlbWlvbG9neSwgT2hp
byBTdGF0ZSBVbml2ZXJzaXR5IENvbGxlZ2Ugb2YgUHVibGljIEhlYWx0aCwgQ29sdW1idXMsIE9I
LiYjeEQ7RGl2aXNpb24gb2YgQmlvc3RhdGlzdGljcywgT2hpbyBTdGF0ZSBVbml2ZXJzaXR5IENv
bGxlZ2Ugb2YgUHVibGljIEhlYWx0aCwgQ29sdW1idXMsIE9ILjwvYXV0aC1hZGRyZXNzPjx0aXRs
ZXM+PHRpdGxlPkEgRGVzY3JpcHRpdmUgUmVwb3J0IG9mIEVsZWN0cm9uaWMgQ2lnYXJldHRlIFVz
ZSBBZnRlciBQYXJ0aWNpcGF0aW9uIGluIGEgQ29tbXVuaXR5LUJhc2VkIFRvYmFjY28gQ2Vzc2F0
aW9uIFRyaWFsPC90aXRsZT48c2Vjb25kYXJ5LXRpdGxlPk5pY290aW5lIFRvYiBSZXM8L3NlY29u
ZGFyeS10aXRsZT48YWx0LXRpdGxlPk5pY290aW5lICZhbXA7IHRvYmFjY28gcmVzZWFyY2ggOiBv
ZmZpY2lhbCBqb3VybmFsIG9mIHRoZSBTb2NpZXR5IGZvciBSZXNlYXJjaCBvbiBOaWNvdGluZSBh
bmQgVG9iYWNjbzwvYWx0LXRpdGxlPjwvdGl0bGVzPjxwZXJpb2RpY2FsPjxmdWxsLXRpdGxlPk5p
Y290aW5lIFRvYiBSZXM8L2Z1bGwtdGl0bGU+PGFiYnItMT5OaWNvdGluZSAmYW1wOyB0b2JhY2Nv
IHJlc2VhcmNoIDogb2ZmaWNpYWwgam91cm5hbCBvZiB0aGUgU29jaWV0eSBmb3IgUmVzZWFyY2gg
b24gTmljb3RpbmUgYW5kIFRvYmFjY288L2FiYnItMT48L3BlcmlvZGljYWw+PGFsdC1wZXJpb2Rp
Y2FsPjxmdWxsLXRpdGxlPk5pY290aW5lIFRvYiBSZXM8L2Z1bGwtdGl0bGU+PGFiYnItMT5OaWNv
dGluZSAmYW1wOyB0b2JhY2NvIHJlc2VhcmNoIDogb2ZmaWNpYWwgam91cm5hbCBvZiB0aGUgU29j
aWV0eSBmb3IgUmVzZWFyY2ggb24gTmljb3RpbmUgYW5kIFRvYmFjY288L2FiYnItMT48L2FsdC1w
ZXJpb2RpY2FsPjxwYWdlcz4xMzUtMTM5PC9wYWdlcz48dm9sdW1lPjIwPC92b2x1bWU+PG51bWJl
cj4xPC9udW1iZXI+PGVkaXRpb24+MjAxNy8wMy8yNTwvZWRpdGlvbj48ZGF0ZXM+PHllYXI+MjAx
NzwveWVhcj48cHViLWRhdGVzPjxkYXRlPkRlYyAxMzwvZGF0ZT48L3B1Yi1kYXRlcz48L2RhdGVz
Pjxpc2JuPjE0NjItMjIwMzwvaXNibj48YWNjZXNzaW9uLW51bT4yODMzOTU3NjwvYWNjZXNzaW9u
LW51bT48dXJscz48cmVsYXRlZC11cmxzPjx1cmw+aHR0cHM6Ly93YXRlcm1hcmsuc2lsdmVyY2hh
aXIuY29tL250eDAxMy5wZGY/dG9rZW49QVFFQ0FIaTIwOEJFNDlPb2FuOWtraFdfRXJjeTdEbTNa
TF85Q2YzcWZLQWM0ODV5c2dBQUFiOHdnZ0c3QmdrcWhraUc5dzBCQndhZ2dnR3NNSUlCcUFJQkFE
Q0NBYUVHQ1NxR1NJYjNEUUVIQVRBZUJnbGdoa2dCWlFNRUFTNHdFUVFNT2UyUXhENGNacW4xWk8z
OUFnRVFnSUlCY3FhODcwUkV1bjk0dzd3UldEX19nWS1TT0tIa0R4UTFRMmZEb2tTSy1ORGRfalpH
OUM5aldDa0lyYTRKa0FHTE1oSThGdEJTWEZ5N09temZzbmZyWTlsODEwcXlFQllvLXhTM2FXaVli
a19tVVZLc1RtTDFCdTdiQi1uTlJ6NWQ4akJGczBKWG4xS1FLZjRsa3hiQVRIY1hnTWVoZ1pzNDB0
RmhfVXViYzA4dUhuc05nNFhBRldScXl6b21INWRTS2hZbFpoa056bm1pT0xGdExJY3Y0NTlVaDhw
MFBwbnVsVXpadjR3QThUWWExNUNHcmZLaWpBS1M4RVlMeUxldm5jZ25FdU84TDVNR1VWdUljVS1w
U2hJczJWbXRmRnlKbS1VcmppMHBDMEVJdHRlRVpTeWx6dExXZ3daR2NHUFFHV250T2hFQUVSeXg5
RDU3YlRCclZqS2pWQXJ5a1NBdWhELUZPdnZEbWRRZTEzQ21HLXJpSWZuT0FNNi10Szg3b1R4WUhS
by0xS0tPdU9SdFRGdE9uaEFTQ1B1VlNoZWJMck9xdmRJVHJwbE5QelBkMUYtdHZxZXBQR3hMdlBj
d20ySlN6ZE1lQXFRYWpnWXNwRlY2SWtyQUxHM1VGY0xxVEtqbm9XT1lTMWc1NDEwPC91cmw+PC9y
ZWxhdGVkLXVybHM+PC91cmxzPjxlbGVjdHJvbmljLXJlc291cmNlLW51bT4xMC4xMDkzL250ci9u
dHgwMTM8L2VsZWN0cm9uaWMtcmVzb3VyY2UtbnVtPjxyZW1vdGUtZGF0YWJhc2UtcHJvdmlkZXI+
TkxNPC9yZW1vdGUtZGF0YWJhc2UtcHJvdmlkZXI+PGxhbmd1YWdlPmVuZzwvbGFuZ3VhZ2U+PC9y
ZWNvcmQ+PC9DaXRlPjwvRW5kTm90ZT4A
</w:fldData>
        </w:fldChar>
      </w:r>
      <w:r>
        <w:instrText xml:space="preserve"> ADDIN EN.CITE </w:instrText>
      </w:r>
      <w:r>
        <w:fldChar w:fldCharType="begin">
          <w:fldData xml:space="preserve">PEVuZE5vdGU+PENpdGU+PEF1dGhvcj5DdXJyeTwvQXV0aG9yPjxZZWFyPjIwMTc8L1llYXI+PFJl
Y051bT41Mjg0PC9SZWNOdW0+PERpc3BsYXlUZXh0PihDdXJyeSwgTmVtZXRoIGV0IGFsLiAyMDE3
KTwvRGlzcGxheVRleHQ+PHJlY29yZD48cmVjLW51bWJlcj41Mjg0PC9yZWMtbnVtYmVyPjxmb3Jl
aWduLWtleXM+PGtleSBhcHA9IkVOIiBkYi1pZD0iOXowNWR6MHByYWFkZnVlZTB6b3h6ZWRrOXpm
ZTVmeHg1MHo1IiB0aW1lc3RhbXA9IjE1MjM5MjA5NDIiPjUyODQ8L2tleT48L2ZvcmVpZ24ta2V5
cz48cmVmLXR5cGUgbmFtZT0iSm91cm5hbCBBcnRpY2xlIj4xNzwvcmVmLXR5cGU+PGNvbnRyaWJ1
dG9ycz48YXV0aG9ycz48YXV0aG9yPkN1cnJ5LCBFLjwvYXV0aG9yPjxhdXRob3I+TmVtZXRoLCBK
LiBNLjwvYXV0aG9yPjxhdXRob3I+V2VybWVydCwgQS48L2F1dGhvcj48YXV0aG9yPkNvbnJveSwg
Uy48L2F1dGhvcj48YXV0aG9yPlNob2JlbiwgQS48L2F1dGhvcj48YXV0aG9yPkZlcmtldGljaCwg
QS4gSy48L2F1dGhvcj48YXV0aG9yPldld2VycywgTS4gRS48L2F1dGhvcj48L2F1dGhvcnM+PC9j
b250cmlidXRvcnM+PGF1dGgtYWRkcmVzcz5EaXZpc2lvbiBvZiBIZWFsdGggQmVoYXZpb3IgYW5k
IEhlYWx0aCBQcm9tb3Rpb24sIE9oaW8gU3RhdGUgVW5pdmVyc2l0eSBDb2xsZWdlIG9mIFB1Ymxp
YyBIZWFsdGgsIENvbHVtYnVzLCBPSC4mI3hEO0RpdmlzaW9uIG9mIEVwaWRlbWlvbG9neSwgT2hp
byBTdGF0ZSBVbml2ZXJzaXR5IENvbGxlZ2Ugb2YgUHVibGljIEhlYWx0aCwgQ29sdW1idXMsIE9I
LiYjeEQ7RGl2aXNpb24gb2YgQmlvc3RhdGlzdGljcywgT2hpbyBTdGF0ZSBVbml2ZXJzaXR5IENv
bGxlZ2Ugb2YgUHVibGljIEhlYWx0aCwgQ29sdW1idXMsIE9ILjwvYXV0aC1hZGRyZXNzPjx0aXRs
ZXM+PHRpdGxlPkEgRGVzY3JpcHRpdmUgUmVwb3J0IG9mIEVsZWN0cm9uaWMgQ2lnYXJldHRlIFVz
ZSBBZnRlciBQYXJ0aWNpcGF0aW9uIGluIGEgQ29tbXVuaXR5LUJhc2VkIFRvYmFjY28gQ2Vzc2F0
aW9uIFRyaWFsPC90aXRsZT48c2Vjb25kYXJ5LXRpdGxlPk5pY290aW5lIFRvYiBSZXM8L3NlY29u
ZGFyeS10aXRsZT48YWx0LXRpdGxlPk5pY290aW5lICZhbXA7IHRvYmFjY28gcmVzZWFyY2ggOiBv
ZmZpY2lhbCBqb3VybmFsIG9mIHRoZSBTb2NpZXR5IGZvciBSZXNlYXJjaCBvbiBOaWNvdGluZSBh
bmQgVG9iYWNjbzwvYWx0LXRpdGxlPjwvdGl0bGVzPjxwZXJpb2RpY2FsPjxmdWxsLXRpdGxlPk5p
Y290aW5lIFRvYiBSZXM8L2Z1bGwtdGl0bGU+PGFiYnItMT5OaWNvdGluZSAmYW1wOyB0b2JhY2Nv
IHJlc2VhcmNoIDogb2ZmaWNpYWwgam91cm5hbCBvZiB0aGUgU29jaWV0eSBmb3IgUmVzZWFyY2gg
b24gTmljb3RpbmUgYW5kIFRvYmFjY288L2FiYnItMT48L3BlcmlvZGljYWw+PGFsdC1wZXJpb2Rp
Y2FsPjxmdWxsLXRpdGxlPk5pY290aW5lIFRvYiBSZXM8L2Z1bGwtdGl0bGU+PGFiYnItMT5OaWNv
dGluZSAmYW1wOyB0b2JhY2NvIHJlc2VhcmNoIDogb2ZmaWNpYWwgam91cm5hbCBvZiB0aGUgU29j
aWV0eSBmb3IgUmVzZWFyY2ggb24gTmljb3RpbmUgYW5kIFRvYmFjY288L2FiYnItMT48L2FsdC1w
ZXJpb2RpY2FsPjxwYWdlcz4xMzUtMTM5PC9wYWdlcz48dm9sdW1lPjIwPC92b2x1bWU+PG51bWJl
cj4xPC9udW1iZXI+PGVkaXRpb24+MjAxNy8wMy8yNTwvZWRpdGlvbj48ZGF0ZXM+PHllYXI+MjAx
NzwveWVhcj48cHViLWRhdGVzPjxkYXRlPkRlYyAxMzwvZGF0ZT48L3B1Yi1kYXRlcz48L2RhdGVz
Pjxpc2JuPjE0NjItMjIwMzwvaXNibj48YWNjZXNzaW9uLW51bT4yODMzOTU3NjwvYWNjZXNzaW9u
LW51bT48dXJscz48cmVsYXRlZC11cmxzPjx1cmw+aHR0cHM6Ly93YXRlcm1hcmsuc2lsdmVyY2hh
aXIuY29tL250eDAxMy5wZGY/dG9rZW49QVFFQ0FIaTIwOEJFNDlPb2FuOWtraFdfRXJjeTdEbTNa
TF85Q2YzcWZLQWM0ODV5c2dBQUFiOHdnZ0c3QmdrcWhraUc5dzBCQndhZ2dnR3NNSUlCcUFJQkFE
Q0NBYUVHQ1NxR1NJYjNEUUVIQVRBZUJnbGdoa2dCWlFNRUFTNHdFUVFNT2UyUXhENGNacW4xWk8z
OUFnRVFnSUlCY3FhODcwUkV1bjk0dzd3UldEX19nWS1TT0tIa0R4UTFRMmZEb2tTSy1ORGRfalpH
OUM5aldDa0lyYTRKa0FHTE1oSThGdEJTWEZ5N09temZzbmZyWTlsODEwcXlFQllvLXhTM2FXaVli
a19tVVZLc1RtTDFCdTdiQi1uTlJ6NWQ4akJGczBKWG4xS1FLZjRsa3hiQVRIY1hnTWVoZ1pzNDB0
RmhfVXViYzA4dUhuc05nNFhBRldScXl6b21INWRTS2hZbFpoa056bm1pT0xGdExJY3Y0NTlVaDhw
MFBwbnVsVXpadjR3QThUWWExNUNHcmZLaWpBS1M4RVlMeUxldm5jZ25FdU84TDVNR1VWdUljVS1w
U2hJczJWbXRmRnlKbS1VcmppMHBDMEVJdHRlRVpTeWx6dExXZ3daR2NHUFFHV250T2hFQUVSeXg5
RDU3YlRCclZqS2pWQXJ5a1NBdWhELUZPdnZEbWRRZTEzQ21HLXJpSWZuT0FNNi10Szg3b1R4WUhS
by0xS0tPdU9SdFRGdE9uaEFTQ1B1VlNoZWJMck9xdmRJVHJwbE5QelBkMUYtdHZxZXBQR3hMdlBj
d20ySlN6ZE1lQXFRYWpnWXNwRlY2SWtyQUxHM1VGY0xxVEtqbm9XT1lTMWc1NDEwPC91cmw+PC9y
ZWxhdGVkLXVybHM+PC91cmxzPjxlbGVjdHJvbmljLXJlc291cmNlLW51bT4xMC4xMDkzL250ci9u
dHgwMTM8L2VsZWN0cm9uaWMtcmVzb3VyY2UtbnVtPjxyZW1vdGUtZGF0YWJhc2UtcHJvdmlkZXI+
TkxNPC9yZW1vdGUtZGF0YWJhc2UtcHJvdmlkZXI+PGxhbmd1YWdlPmVuZzwvbGFuZ3VhZ2U+PC9y
ZWNvcmQ+PC9DaXRlPjwvRW5kTm90ZT4A
</w:fldData>
        </w:fldChar>
      </w:r>
      <w:r>
        <w:instrText xml:space="preserve"> ADDIN EN.CITE.DATA </w:instrText>
      </w:r>
      <w:r>
        <w:fldChar w:fldCharType="end"/>
      </w:r>
      <w:r>
        <w:fldChar w:fldCharType="separate"/>
      </w:r>
      <w:r>
        <w:rPr>
          <w:noProof/>
        </w:rPr>
        <w:t>(Curry, Nemeth et al. 2017)</w:t>
      </w:r>
      <w:r>
        <w:fldChar w:fldCharType="end"/>
      </w:r>
      <w:r w:rsidRPr="00636A66">
        <w:t>.</w:t>
      </w:r>
      <w:r>
        <w:t xml:space="preserve"> Results from this study should be interpreted with caution because e</w:t>
      </w:r>
      <w:r>
        <w:noBreakHyphen/>
        <w:t>cigarette use was not a primary measurement.</w:t>
      </w:r>
    </w:p>
    <w:p w14:paraId="69E241EF" w14:textId="77777777" w:rsidR="002738DD" w:rsidRDefault="002738DD" w:rsidP="002738DD">
      <w:pPr>
        <w:pStyle w:val="BodyText"/>
      </w:pPr>
      <w:r>
        <w:t>One longitudinal study recruited 408 young adults (mean age 20.5</w:t>
      </w:r>
      <w:r>
        <w:rPr>
          <w:rFonts w:cs="Calibri"/>
        </w:rPr>
        <w:t>±</w:t>
      </w:r>
      <w:r>
        <w:t>1.8 years, 57% male) from a Californian community (details not provided), who were either regular cigarette smokers or non</w:t>
      </w:r>
      <w:r>
        <w:noBreakHyphen/>
        <w:t xml:space="preserve">smokers and who had regular internet access </w:t>
      </w:r>
      <w:r>
        <w:fldChar w:fldCharType="begin">
          <w:fldData xml:space="preserve">PEVuZE5vdGU+PENpdGU+PEF1dGhvcj5CcmlrbWFuaXM8L0F1dGhvcj48WWVhcj4yMDE3PC9ZZWFy
PjxSZWNOdW0+NTM4MTwvUmVjTnVtPjxEaXNwbGF5VGV4dD4oQnJpa21hbmlzLCBQZXRlcnNlbiBl
dCBhbC4gMjAxNyk8L0Rpc3BsYXlUZXh0PjxyZWNvcmQ+PHJlYy1udW1iZXI+NTM4MTwvcmVjLW51
bWJlcj48Zm9yZWlnbi1rZXlzPjxrZXkgYXBwPSJFTiIgZGItaWQ9Ijl6MDVkejBwcmFhZGZ1ZWUw
em94emVkazl6ZmU1Znh4NTB6NSIgdGltZXN0YW1wPSIxNTIzOTIwOTUyIj41MzgxPC9rZXk+PGtl
eSBhcHA9IkVOV2ViIiBkYi1pZD0iIj4wPC9rZXk+PC9mb3JlaWduLWtleXM+PHJlZi10eXBlIG5h
bWU9IkpvdXJuYWwgQXJ0aWNsZSI+MTc8L3JlZi10eXBlPjxjb250cmlidXRvcnM+PGF1dGhvcnM+
PGF1dGhvcj5CcmlrbWFuaXMsIEsuPC9hdXRob3I+PGF1dGhvcj5QZXRlcnNlbiwgQS48L2F1dGhv
cj48YXV0aG9yPkRvcmFuLCBOLjwvYXV0aG9yPjwvYXV0aG9ycz48L2NvbnRyaWJ1dG9ycz48YXV0
aC1hZGRyZXNzPkRlcGFydG1lbnQgb2YgUHN5Y2hpYXRyeSwgVW5pdmVyc2l0eSBvZiBDYWxpZm9y
bmlhLCBTYW4gRGllZ28uPC9hdXRoLWFkZHJlc3M+PHRpdGxlcz48dGl0bGU+RS1jaWdhcmV0dGUg
dXNlLCBwZXJjZXB0aW9ucywgYW5kIGNpZ2FyZXR0ZSBzbW9raW5nIGludGVudGlvbnMgaW4gYSBj
b21tdW5pdHkgc2FtcGxlIG9mIHlvdW5nIGFkdWx0IG5vbmRhaWx5IGNpZ2FyZXR0ZSBzbW9rZXJz
PC90aXRsZT48c2Vjb25kYXJ5LXRpdGxlPlBzeWNob2wgQWRkaWN0IEJlaGF2PC9zZWNvbmRhcnkt
dGl0bGU+PGFsdC10aXRsZT5Qc3ljaG9sb2d5IG9mIGFkZGljdGl2ZSBiZWhhdmlvcnMgOiBqb3Vy
bmFsIG9mIHRoZSBTb2NpZXR5IG9mIFBzeWNob2xvZ2lzdHMgaW4gQWRkaWN0aXZlIEJlaGF2aW9y
czwvYWx0LXRpdGxlPjwvdGl0bGVzPjxwZXJpb2RpY2FsPjxmdWxsLXRpdGxlPlBzeWNob2wgQWRk
aWN0IEJlaGF2PC9mdWxsLXRpdGxlPjxhYmJyLTE+UHN5Y2hvbG9neSBvZiBhZGRpY3RpdmUgYmVo
YXZpb3JzIDogam91cm5hbCBvZiB0aGUgU29jaWV0eSBvZiBQc3ljaG9sb2dpc3RzIGluIEFkZGlj
dGl2ZSBCZWhhdmlvcnM8L2FiYnItMT48L3BlcmlvZGljYWw+PGFsdC1wZXJpb2RpY2FsPjxmdWxs
LXRpdGxlPlBzeWNob2wgQWRkaWN0IEJlaGF2PC9mdWxsLXRpdGxlPjxhYmJyLTE+UHN5Y2hvbG9n
eSBvZiBhZGRpY3RpdmUgYmVoYXZpb3JzIDogam91cm5hbCBvZiB0aGUgU29jaWV0eSBvZiBQc3lj
aG9sb2dpc3RzIGluIEFkZGljdGl2ZSBCZWhhdmlvcnM8L2FiYnItMT48L2FsdC1wZXJpb2RpY2Fs
PjxwYWdlcz4zMzYtMzQyPC9wYWdlcz48dm9sdW1lPjMxPC92b2x1bWU+PG51bWJlcj4zPC9udW1i
ZXI+PGVkaXRpb24+MjAxNy8wMS8yNzwvZWRpdGlvbj48a2V5d29yZHM+PGtleXdvcmQ+QWRvbGVz
Y2VudDwva2V5d29yZD48a2V5d29yZD4qRWxlY3Ryb25pYyBOaWNvdGluZSBEZWxpdmVyeSBTeXN0
ZW1zPC9rZXl3b3JkPjxrZXl3b3JkPkZlbWFsZTwva2V5d29yZD48a2V5d29yZD5IYXJtIFJlZHVj
dGlvbjwva2V5d29yZD48a2V5d29yZD4qSGVhbHRoIEtub3dsZWRnZSwgQXR0aXR1ZGVzLCBQcmFj
dGljZTwva2V5d29yZD48a2V5d29yZD5IdW1hbnM8L2tleXdvcmQ+PGtleXdvcmQ+KkludGVudGlv
bjwva2V5d29yZD48a2V5d29yZD5Mb25naXR1ZGluYWwgU3R1ZGllczwva2V5d29yZD48a2V5d29y
ZD5NYWxlPC9rZXl3b3JkPjxrZXl3b3JkPlNtb2tlcnMvKnBzeWNob2xvZ3k8L2tleXdvcmQ+PGtl
eXdvcmQ+U21va2luZyBDZXNzYXRpb248L2tleXdvcmQ+PGtleXdvcmQ+U21va2luZyBQcmV2ZW50
aW9uPC9rZXl3b3JkPjxrZXl3b3JkPlZhcGluZy8qcHN5Y2hvbG9neTwva2V5d29yZD48a2V5d29y
ZD5Zb3VuZyBBZHVsdDwva2V5d29yZD48L2tleXdvcmRzPjxkYXRlcz48eWVhcj4yMDE3PC95ZWFy
PjxwdWItZGF0ZXM+PGRhdGU+TWF5PC9kYXRlPjwvcHViLWRhdGVzPjwvZGF0ZXM+PGlzYm4+MDg5
My0xNjR4PC9pc2JuPjxhY2Nlc3Npb24tbnVtPjI4MTI1MjQyPC9hY2Nlc3Npb24tbnVtPjx1cmxz
PjwvdXJscz48Y3VzdG9tMj5QTUM1NDIyMTEzPC9jdXN0b20yPjxjdXN0b202Pk5JSE1TODQxMDEw
PC9jdXN0b202PjxlbGVjdHJvbmljLXJlc291cmNlLW51bT4xMC4xMDM3L2FkYjAwMDAyNTc8L2Vs
ZWN0cm9uaWMtcmVzb3VyY2UtbnVtPjxyZW1vdGUtZGF0YWJhc2UtcHJvdmlkZXI+TkxNPC9yZW1v
dGUtZGF0YWJhc2UtcHJvdmlkZXI+PGxhbmd1YWdlPmVuZzwvbGFuZ3VhZ2U+PC9yZWNvcmQ+PC9D
aXRlPjwvRW5kTm90ZT5=
</w:fldData>
        </w:fldChar>
      </w:r>
      <w:r>
        <w:instrText xml:space="preserve"> ADDIN EN.CITE </w:instrText>
      </w:r>
      <w:r>
        <w:fldChar w:fldCharType="begin">
          <w:fldData xml:space="preserve">PEVuZE5vdGU+PENpdGU+PEF1dGhvcj5CcmlrbWFuaXM8L0F1dGhvcj48WWVhcj4yMDE3PC9ZZWFy
PjxSZWNOdW0+NTM4MTwvUmVjTnVtPjxEaXNwbGF5VGV4dD4oQnJpa21hbmlzLCBQZXRlcnNlbiBl
dCBhbC4gMjAxNyk8L0Rpc3BsYXlUZXh0PjxyZWNvcmQ+PHJlYy1udW1iZXI+NTM4MTwvcmVjLW51
bWJlcj48Zm9yZWlnbi1rZXlzPjxrZXkgYXBwPSJFTiIgZGItaWQ9Ijl6MDVkejBwcmFhZGZ1ZWUw
em94emVkazl6ZmU1Znh4NTB6NSIgdGltZXN0YW1wPSIxNTIzOTIwOTUyIj41MzgxPC9rZXk+PGtl
eSBhcHA9IkVOV2ViIiBkYi1pZD0iIj4wPC9rZXk+PC9mb3JlaWduLWtleXM+PHJlZi10eXBlIG5h
bWU9IkpvdXJuYWwgQXJ0aWNsZSI+MTc8L3JlZi10eXBlPjxjb250cmlidXRvcnM+PGF1dGhvcnM+
PGF1dGhvcj5CcmlrbWFuaXMsIEsuPC9hdXRob3I+PGF1dGhvcj5QZXRlcnNlbiwgQS48L2F1dGhv
cj48YXV0aG9yPkRvcmFuLCBOLjwvYXV0aG9yPjwvYXV0aG9ycz48L2NvbnRyaWJ1dG9ycz48YXV0
aC1hZGRyZXNzPkRlcGFydG1lbnQgb2YgUHN5Y2hpYXRyeSwgVW5pdmVyc2l0eSBvZiBDYWxpZm9y
bmlhLCBTYW4gRGllZ28uPC9hdXRoLWFkZHJlc3M+PHRpdGxlcz48dGl0bGU+RS1jaWdhcmV0dGUg
dXNlLCBwZXJjZXB0aW9ucywgYW5kIGNpZ2FyZXR0ZSBzbW9raW5nIGludGVudGlvbnMgaW4gYSBj
b21tdW5pdHkgc2FtcGxlIG9mIHlvdW5nIGFkdWx0IG5vbmRhaWx5IGNpZ2FyZXR0ZSBzbW9rZXJz
PC90aXRsZT48c2Vjb25kYXJ5LXRpdGxlPlBzeWNob2wgQWRkaWN0IEJlaGF2PC9zZWNvbmRhcnkt
dGl0bGU+PGFsdC10aXRsZT5Qc3ljaG9sb2d5IG9mIGFkZGljdGl2ZSBiZWhhdmlvcnMgOiBqb3Vy
bmFsIG9mIHRoZSBTb2NpZXR5IG9mIFBzeWNob2xvZ2lzdHMgaW4gQWRkaWN0aXZlIEJlaGF2aW9y
czwvYWx0LXRpdGxlPjwvdGl0bGVzPjxwZXJpb2RpY2FsPjxmdWxsLXRpdGxlPlBzeWNob2wgQWRk
aWN0IEJlaGF2PC9mdWxsLXRpdGxlPjxhYmJyLTE+UHN5Y2hvbG9neSBvZiBhZGRpY3RpdmUgYmVo
YXZpb3JzIDogam91cm5hbCBvZiB0aGUgU29jaWV0eSBvZiBQc3ljaG9sb2dpc3RzIGluIEFkZGlj
dGl2ZSBCZWhhdmlvcnM8L2FiYnItMT48L3BlcmlvZGljYWw+PGFsdC1wZXJpb2RpY2FsPjxmdWxs
LXRpdGxlPlBzeWNob2wgQWRkaWN0IEJlaGF2PC9mdWxsLXRpdGxlPjxhYmJyLTE+UHN5Y2hvbG9n
eSBvZiBhZGRpY3RpdmUgYmVoYXZpb3JzIDogam91cm5hbCBvZiB0aGUgU29jaWV0eSBvZiBQc3lj
aG9sb2dpc3RzIGluIEFkZGljdGl2ZSBCZWhhdmlvcnM8L2FiYnItMT48L2FsdC1wZXJpb2RpY2Fs
PjxwYWdlcz4zMzYtMzQyPC9wYWdlcz48dm9sdW1lPjMxPC92b2x1bWU+PG51bWJlcj4zPC9udW1i
ZXI+PGVkaXRpb24+MjAxNy8wMS8yNzwvZWRpdGlvbj48a2V5d29yZHM+PGtleXdvcmQ+QWRvbGVz
Y2VudDwva2V5d29yZD48a2V5d29yZD4qRWxlY3Ryb25pYyBOaWNvdGluZSBEZWxpdmVyeSBTeXN0
ZW1zPC9rZXl3b3JkPjxrZXl3b3JkPkZlbWFsZTwva2V5d29yZD48a2V5d29yZD5IYXJtIFJlZHVj
dGlvbjwva2V5d29yZD48a2V5d29yZD4qSGVhbHRoIEtub3dsZWRnZSwgQXR0aXR1ZGVzLCBQcmFj
dGljZTwva2V5d29yZD48a2V5d29yZD5IdW1hbnM8L2tleXdvcmQ+PGtleXdvcmQ+KkludGVudGlv
bjwva2V5d29yZD48a2V5d29yZD5Mb25naXR1ZGluYWwgU3R1ZGllczwva2V5d29yZD48a2V5d29y
ZD5NYWxlPC9rZXl3b3JkPjxrZXl3b3JkPlNtb2tlcnMvKnBzeWNob2xvZ3k8L2tleXdvcmQ+PGtl
eXdvcmQ+U21va2luZyBDZXNzYXRpb248L2tleXdvcmQ+PGtleXdvcmQ+U21va2luZyBQcmV2ZW50
aW9uPC9rZXl3b3JkPjxrZXl3b3JkPlZhcGluZy8qcHN5Y2hvbG9neTwva2V5d29yZD48a2V5d29y
ZD5Zb3VuZyBBZHVsdDwva2V5d29yZD48L2tleXdvcmRzPjxkYXRlcz48eWVhcj4yMDE3PC95ZWFy
PjxwdWItZGF0ZXM+PGRhdGU+TWF5PC9kYXRlPjwvcHViLWRhdGVzPjwvZGF0ZXM+PGlzYm4+MDg5
My0xNjR4PC9pc2JuPjxhY2Nlc3Npb24tbnVtPjI4MTI1MjQyPC9hY2Nlc3Npb24tbnVtPjx1cmxz
PjwvdXJscz48Y3VzdG9tMj5QTUM1NDIyMTEzPC9jdXN0b20yPjxjdXN0b202Pk5JSE1TODQxMDEw
PC9jdXN0b202PjxlbGVjdHJvbmljLXJlc291cmNlLW51bT4xMC4xMDM3L2FkYjAwMDAyNTc8L2Vs
ZWN0cm9uaWMtcmVzb3VyY2UtbnVtPjxyZW1vdGUtZGF0YWJhc2UtcHJvdmlkZXI+TkxNPC9yZW1v
dGUtZGF0YWJhc2UtcHJvdmlkZXI+PGxhbmd1YWdlPmVuZzwvbGFuZ3VhZ2U+PC9yZWNvcmQ+PC9D
aXRlPjwvRW5kTm90ZT5=
</w:fldData>
        </w:fldChar>
      </w:r>
      <w:r>
        <w:instrText xml:space="preserve"> ADDIN EN.CITE.DATA </w:instrText>
      </w:r>
      <w:r>
        <w:fldChar w:fldCharType="end"/>
      </w:r>
      <w:r>
        <w:fldChar w:fldCharType="separate"/>
      </w:r>
      <w:r>
        <w:rPr>
          <w:noProof/>
        </w:rPr>
        <w:t>(Brikmanis, Petersen et al. 2017)</w:t>
      </w:r>
      <w:r>
        <w:fldChar w:fldCharType="end"/>
      </w:r>
      <w:r>
        <w:t>. Participants completed online surveys at baseline, 3, 6 and 9 months to track their cigarette and e</w:t>
      </w:r>
      <w:r>
        <w:noBreakHyphen/>
        <w:t>cigarette use. 85% of participants had completed &gt;92.1% of surveys and were included in analysis. Results found that e</w:t>
      </w:r>
      <w:r>
        <w:noBreakHyphen/>
        <w:t>cigarettes were used to supplement current tobacco smoking, rather than to quit smoking. Additionally, intent to quit smoking was unrelated to e</w:t>
      </w:r>
      <w:r>
        <w:noBreakHyphen/>
        <w:t xml:space="preserve">cigarette frequency </w:t>
      </w:r>
      <w:r>
        <w:fldChar w:fldCharType="begin">
          <w:fldData xml:space="preserve">PEVuZE5vdGU+PENpdGU+PEF1dGhvcj5CcmlrbWFuaXM8L0F1dGhvcj48WWVhcj4yMDE3PC9ZZWFy
PjxSZWNOdW0+NTM4MTwvUmVjTnVtPjxEaXNwbGF5VGV4dD4oQnJpa21hbmlzLCBQZXRlcnNlbiBl
dCBhbC4gMjAxNyk8L0Rpc3BsYXlUZXh0PjxyZWNvcmQ+PHJlYy1udW1iZXI+NTM4MTwvcmVjLW51
bWJlcj48Zm9yZWlnbi1rZXlzPjxrZXkgYXBwPSJFTiIgZGItaWQ9Ijl6MDVkejBwcmFhZGZ1ZWUw
em94emVkazl6ZmU1Znh4NTB6NSIgdGltZXN0YW1wPSIxNTIzOTIwOTUyIj41MzgxPC9rZXk+PGtl
eSBhcHA9IkVOV2ViIiBkYi1pZD0iIj4wPC9rZXk+PC9mb3JlaWduLWtleXM+PHJlZi10eXBlIG5h
bWU9IkpvdXJuYWwgQXJ0aWNsZSI+MTc8L3JlZi10eXBlPjxjb250cmlidXRvcnM+PGF1dGhvcnM+
PGF1dGhvcj5CcmlrbWFuaXMsIEsuPC9hdXRob3I+PGF1dGhvcj5QZXRlcnNlbiwgQS48L2F1dGhv
cj48YXV0aG9yPkRvcmFuLCBOLjwvYXV0aG9yPjwvYXV0aG9ycz48L2NvbnRyaWJ1dG9ycz48YXV0
aC1hZGRyZXNzPkRlcGFydG1lbnQgb2YgUHN5Y2hpYXRyeSwgVW5pdmVyc2l0eSBvZiBDYWxpZm9y
bmlhLCBTYW4gRGllZ28uPC9hdXRoLWFkZHJlc3M+PHRpdGxlcz48dGl0bGU+RS1jaWdhcmV0dGUg
dXNlLCBwZXJjZXB0aW9ucywgYW5kIGNpZ2FyZXR0ZSBzbW9raW5nIGludGVudGlvbnMgaW4gYSBj
b21tdW5pdHkgc2FtcGxlIG9mIHlvdW5nIGFkdWx0IG5vbmRhaWx5IGNpZ2FyZXR0ZSBzbW9rZXJz
PC90aXRsZT48c2Vjb25kYXJ5LXRpdGxlPlBzeWNob2wgQWRkaWN0IEJlaGF2PC9zZWNvbmRhcnkt
dGl0bGU+PGFsdC10aXRsZT5Qc3ljaG9sb2d5IG9mIGFkZGljdGl2ZSBiZWhhdmlvcnMgOiBqb3Vy
bmFsIG9mIHRoZSBTb2NpZXR5IG9mIFBzeWNob2xvZ2lzdHMgaW4gQWRkaWN0aXZlIEJlaGF2aW9y
czwvYWx0LXRpdGxlPjwvdGl0bGVzPjxwZXJpb2RpY2FsPjxmdWxsLXRpdGxlPlBzeWNob2wgQWRk
aWN0IEJlaGF2PC9mdWxsLXRpdGxlPjxhYmJyLTE+UHN5Y2hvbG9neSBvZiBhZGRpY3RpdmUgYmVo
YXZpb3JzIDogam91cm5hbCBvZiB0aGUgU29jaWV0eSBvZiBQc3ljaG9sb2dpc3RzIGluIEFkZGlj
dGl2ZSBCZWhhdmlvcnM8L2FiYnItMT48L3BlcmlvZGljYWw+PGFsdC1wZXJpb2RpY2FsPjxmdWxs
LXRpdGxlPlBzeWNob2wgQWRkaWN0IEJlaGF2PC9mdWxsLXRpdGxlPjxhYmJyLTE+UHN5Y2hvbG9n
eSBvZiBhZGRpY3RpdmUgYmVoYXZpb3JzIDogam91cm5hbCBvZiB0aGUgU29jaWV0eSBvZiBQc3lj
aG9sb2dpc3RzIGluIEFkZGljdGl2ZSBCZWhhdmlvcnM8L2FiYnItMT48L2FsdC1wZXJpb2RpY2Fs
PjxwYWdlcz4zMzYtMzQyPC9wYWdlcz48dm9sdW1lPjMxPC92b2x1bWU+PG51bWJlcj4zPC9udW1i
ZXI+PGVkaXRpb24+MjAxNy8wMS8yNzwvZWRpdGlvbj48a2V5d29yZHM+PGtleXdvcmQ+QWRvbGVz
Y2VudDwva2V5d29yZD48a2V5d29yZD4qRWxlY3Ryb25pYyBOaWNvdGluZSBEZWxpdmVyeSBTeXN0
ZW1zPC9rZXl3b3JkPjxrZXl3b3JkPkZlbWFsZTwva2V5d29yZD48a2V5d29yZD5IYXJtIFJlZHVj
dGlvbjwva2V5d29yZD48a2V5d29yZD4qSGVhbHRoIEtub3dsZWRnZSwgQXR0aXR1ZGVzLCBQcmFj
dGljZTwva2V5d29yZD48a2V5d29yZD5IdW1hbnM8L2tleXdvcmQ+PGtleXdvcmQ+KkludGVudGlv
bjwva2V5d29yZD48a2V5d29yZD5Mb25naXR1ZGluYWwgU3R1ZGllczwva2V5d29yZD48a2V5d29y
ZD5NYWxlPC9rZXl3b3JkPjxrZXl3b3JkPlNtb2tlcnMvKnBzeWNob2xvZ3k8L2tleXdvcmQ+PGtl
eXdvcmQ+U21va2luZyBDZXNzYXRpb248L2tleXdvcmQ+PGtleXdvcmQ+U21va2luZyBQcmV2ZW50
aW9uPC9rZXl3b3JkPjxrZXl3b3JkPlZhcGluZy8qcHN5Y2hvbG9neTwva2V5d29yZD48a2V5d29y
ZD5Zb3VuZyBBZHVsdDwva2V5d29yZD48L2tleXdvcmRzPjxkYXRlcz48eWVhcj4yMDE3PC95ZWFy
PjxwdWItZGF0ZXM+PGRhdGU+TWF5PC9kYXRlPjwvcHViLWRhdGVzPjwvZGF0ZXM+PGlzYm4+MDg5
My0xNjR4PC9pc2JuPjxhY2Nlc3Npb24tbnVtPjI4MTI1MjQyPC9hY2Nlc3Npb24tbnVtPjx1cmxz
PjwvdXJscz48Y3VzdG9tMj5QTUM1NDIyMTEzPC9jdXN0b20yPjxjdXN0b202Pk5JSE1TODQxMDEw
PC9jdXN0b202PjxlbGVjdHJvbmljLXJlc291cmNlLW51bT4xMC4xMDM3L2FkYjAwMDAyNTc8L2Vs
ZWN0cm9uaWMtcmVzb3VyY2UtbnVtPjxyZW1vdGUtZGF0YWJhc2UtcHJvdmlkZXI+TkxNPC9yZW1v
dGUtZGF0YWJhc2UtcHJvdmlkZXI+PGxhbmd1YWdlPmVuZzwvbGFuZ3VhZ2U+PC9yZWNvcmQ+PC9D
aXRlPjwvRW5kTm90ZT5=
</w:fldData>
        </w:fldChar>
      </w:r>
      <w:r>
        <w:instrText xml:space="preserve"> ADDIN EN.CITE </w:instrText>
      </w:r>
      <w:r>
        <w:fldChar w:fldCharType="begin">
          <w:fldData xml:space="preserve">PEVuZE5vdGU+PENpdGU+PEF1dGhvcj5CcmlrbWFuaXM8L0F1dGhvcj48WWVhcj4yMDE3PC9ZZWFy
PjxSZWNOdW0+NTM4MTwvUmVjTnVtPjxEaXNwbGF5VGV4dD4oQnJpa21hbmlzLCBQZXRlcnNlbiBl
dCBhbC4gMjAxNyk8L0Rpc3BsYXlUZXh0PjxyZWNvcmQ+PHJlYy1udW1iZXI+NTM4MTwvcmVjLW51
bWJlcj48Zm9yZWlnbi1rZXlzPjxrZXkgYXBwPSJFTiIgZGItaWQ9Ijl6MDVkejBwcmFhZGZ1ZWUw
em94emVkazl6ZmU1Znh4NTB6NSIgdGltZXN0YW1wPSIxNTIzOTIwOTUyIj41MzgxPC9rZXk+PGtl
eSBhcHA9IkVOV2ViIiBkYi1pZD0iIj4wPC9rZXk+PC9mb3JlaWduLWtleXM+PHJlZi10eXBlIG5h
bWU9IkpvdXJuYWwgQXJ0aWNsZSI+MTc8L3JlZi10eXBlPjxjb250cmlidXRvcnM+PGF1dGhvcnM+
PGF1dGhvcj5CcmlrbWFuaXMsIEsuPC9hdXRob3I+PGF1dGhvcj5QZXRlcnNlbiwgQS48L2F1dGhv
cj48YXV0aG9yPkRvcmFuLCBOLjwvYXV0aG9yPjwvYXV0aG9ycz48L2NvbnRyaWJ1dG9ycz48YXV0
aC1hZGRyZXNzPkRlcGFydG1lbnQgb2YgUHN5Y2hpYXRyeSwgVW5pdmVyc2l0eSBvZiBDYWxpZm9y
bmlhLCBTYW4gRGllZ28uPC9hdXRoLWFkZHJlc3M+PHRpdGxlcz48dGl0bGU+RS1jaWdhcmV0dGUg
dXNlLCBwZXJjZXB0aW9ucywgYW5kIGNpZ2FyZXR0ZSBzbW9raW5nIGludGVudGlvbnMgaW4gYSBj
b21tdW5pdHkgc2FtcGxlIG9mIHlvdW5nIGFkdWx0IG5vbmRhaWx5IGNpZ2FyZXR0ZSBzbW9rZXJz
PC90aXRsZT48c2Vjb25kYXJ5LXRpdGxlPlBzeWNob2wgQWRkaWN0IEJlaGF2PC9zZWNvbmRhcnkt
dGl0bGU+PGFsdC10aXRsZT5Qc3ljaG9sb2d5IG9mIGFkZGljdGl2ZSBiZWhhdmlvcnMgOiBqb3Vy
bmFsIG9mIHRoZSBTb2NpZXR5IG9mIFBzeWNob2xvZ2lzdHMgaW4gQWRkaWN0aXZlIEJlaGF2aW9y
czwvYWx0LXRpdGxlPjwvdGl0bGVzPjxwZXJpb2RpY2FsPjxmdWxsLXRpdGxlPlBzeWNob2wgQWRk
aWN0IEJlaGF2PC9mdWxsLXRpdGxlPjxhYmJyLTE+UHN5Y2hvbG9neSBvZiBhZGRpY3RpdmUgYmVo
YXZpb3JzIDogam91cm5hbCBvZiB0aGUgU29jaWV0eSBvZiBQc3ljaG9sb2dpc3RzIGluIEFkZGlj
dGl2ZSBCZWhhdmlvcnM8L2FiYnItMT48L3BlcmlvZGljYWw+PGFsdC1wZXJpb2RpY2FsPjxmdWxs
LXRpdGxlPlBzeWNob2wgQWRkaWN0IEJlaGF2PC9mdWxsLXRpdGxlPjxhYmJyLTE+UHN5Y2hvbG9n
eSBvZiBhZGRpY3RpdmUgYmVoYXZpb3JzIDogam91cm5hbCBvZiB0aGUgU29jaWV0eSBvZiBQc3lj
aG9sb2dpc3RzIGluIEFkZGljdGl2ZSBCZWhhdmlvcnM8L2FiYnItMT48L2FsdC1wZXJpb2RpY2Fs
PjxwYWdlcz4zMzYtMzQyPC9wYWdlcz48dm9sdW1lPjMxPC92b2x1bWU+PG51bWJlcj4zPC9udW1i
ZXI+PGVkaXRpb24+MjAxNy8wMS8yNzwvZWRpdGlvbj48a2V5d29yZHM+PGtleXdvcmQ+QWRvbGVz
Y2VudDwva2V5d29yZD48a2V5d29yZD4qRWxlY3Ryb25pYyBOaWNvdGluZSBEZWxpdmVyeSBTeXN0
ZW1zPC9rZXl3b3JkPjxrZXl3b3JkPkZlbWFsZTwva2V5d29yZD48a2V5d29yZD5IYXJtIFJlZHVj
dGlvbjwva2V5d29yZD48a2V5d29yZD4qSGVhbHRoIEtub3dsZWRnZSwgQXR0aXR1ZGVzLCBQcmFj
dGljZTwva2V5d29yZD48a2V5d29yZD5IdW1hbnM8L2tleXdvcmQ+PGtleXdvcmQ+KkludGVudGlv
bjwva2V5d29yZD48a2V5d29yZD5Mb25naXR1ZGluYWwgU3R1ZGllczwva2V5d29yZD48a2V5d29y
ZD5NYWxlPC9rZXl3b3JkPjxrZXl3b3JkPlNtb2tlcnMvKnBzeWNob2xvZ3k8L2tleXdvcmQ+PGtl
eXdvcmQ+U21va2luZyBDZXNzYXRpb248L2tleXdvcmQ+PGtleXdvcmQ+U21va2luZyBQcmV2ZW50
aW9uPC9rZXl3b3JkPjxrZXl3b3JkPlZhcGluZy8qcHN5Y2hvbG9neTwva2V5d29yZD48a2V5d29y
ZD5Zb3VuZyBBZHVsdDwva2V5d29yZD48L2tleXdvcmRzPjxkYXRlcz48eWVhcj4yMDE3PC95ZWFy
PjxwdWItZGF0ZXM+PGRhdGU+TWF5PC9kYXRlPjwvcHViLWRhdGVzPjwvZGF0ZXM+PGlzYm4+MDg5
My0xNjR4PC9pc2JuPjxhY2Nlc3Npb24tbnVtPjI4MTI1MjQyPC9hY2Nlc3Npb24tbnVtPjx1cmxz
PjwvdXJscz48Y3VzdG9tMj5QTUM1NDIyMTEzPC9jdXN0b20yPjxjdXN0b202Pk5JSE1TODQxMDEw
PC9jdXN0b202PjxlbGVjdHJvbmljLXJlc291cmNlLW51bT4xMC4xMDM3L2FkYjAwMDAyNTc8L2Vs
ZWN0cm9uaWMtcmVzb3VyY2UtbnVtPjxyZW1vdGUtZGF0YWJhc2UtcHJvdmlkZXI+TkxNPC9yZW1v
dGUtZGF0YWJhc2UtcHJvdmlkZXI+PGxhbmd1YWdlPmVuZzwvbGFuZ3VhZ2U+PC9yZWNvcmQ+PC9D
aXRlPjwvRW5kTm90ZT5=
</w:fldData>
        </w:fldChar>
      </w:r>
      <w:r>
        <w:instrText xml:space="preserve"> ADDIN EN.CITE.DATA </w:instrText>
      </w:r>
      <w:r>
        <w:fldChar w:fldCharType="end"/>
      </w:r>
      <w:r>
        <w:fldChar w:fldCharType="separate"/>
      </w:r>
      <w:r>
        <w:rPr>
          <w:noProof/>
        </w:rPr>
        <w:t>(Brikmanis, Petersen et al. 2017)</w:t>
      </w:r>
      <w:r>
        <w:fldChar w:fldCharType="end"/>
      </w:r>
      <w:r>
        <w:t>.</w:t>
      </w:r>
    </w:p>
    <w:p w14:paraId="63EB1150" w14:textId="7AB6A05C" w:rsidR="002738DD" w:rsidRDefault="002738DD" w:rsidP="002738DD">
      <w:pPr>
        <w:pStyle w:val="BodyText"/>
      </w:pPr>
      <w:r>
        <w:lastRenderedPageBreak/>
        <w:t xml:space="preserve">A public health initiative in Hong Kong collected data throughout a contest to quit smoking, called </w:t>
      </w:r>
      <w:r>
        <w:rPr>
          <w:i/>
        </w:rPr>
        <w:t xml:space="preserve">Quit to Win, </w:t>
      </w:r>
      <w:r>
        <w:t xml:space="preserve">where participants were provided with incentives and social support to promote abstinence from cigarettes </w:t>
      </w:r>
      <w:r>
        <w:fldChar w:fldCharType="begin"/>
      </w:r>
      <w:r w:rsidR="004E728C">
        <w:instrText xml:space="preserve"> ADDIN EN.CITE &lt;EndNote&gt;&lt;Cite&gt;&lt;Author&gt;Yong-da Wu&lt;/Author&gt;&lt;Year&gt;2018&lt;/Year&gt;&lt;RecNum&gt;10605&lt;/RecNum&gt;&lt;DisplayText&gt;(Yong-da Wu, Wang et al. 2018)&lt;/DisplayText&gt;&lt;record&gt;&lt;rec-number&gt;10605&lt;/rec-number&gt;&lt;foreign-keys&gt;&lt;key app="EN" db-id="9z05dz0praadfuee0zoxzedk9zfe5fxx50z5" timestamp="1526869879"&gt;10605&lt;/key&gt;&lt;key app="ENWeb" db-id=""&gt;0&lt;/key&gt;&lt;/foreign-keys&gt;&lt;ref-type name="Journal Article"&gt;17&lt;/ref-type&gt;&lt;contributors&gt;&lt;authors&gt;&lt;author&gt;Yong-da Wu, Socrates&lt;/author&gt;&lt;author&gt;Wang, Man Ping&lt;/author&gt;&lt;author&gt;Li, William H.&lt;/author&gt;&lt;author&gt;Kwong, Antonio C.&lt;/author&gt;&lt;author&gt;Lai, Vienna W.&lt;/author&gt;&lt;author&gt;Lam, Tai Hing&lt;/author&gt;&lt;/authors&gt;&lt;/contributors&gt;&lt;titles&gt;&lt;title&gt;Does Electronic Cigarette Use Predict Abstinence from Conventional Cigarettes among Smokers in Hong Kong?&lt;/title&gt;&lt;secondary-title&gt;International Journal of Environmental Research and Public Health&lt;/secondary-title&gt;&lt;/titles&gt;&lt;periodical&gt;&lt;full-title&gt;International Journal of Environmental Research and Public Health&lt;/full-title&gt;&lt;/periodical&gt;&lt;volume&gt;15&lt;/volume&gt;&lt;number&gt;3&lt;/number&gt;&lt;dates&gt;&lt;year&gt;2018&lt;/year&gt;&lt;pub-dates&gt;&lt;date&gt;Mar&lt;/date&gt;&lt;/pub-dates&gt;&lt;/dates&gt;&lt;isbn&gt;1660-4601&lt;/isbn&gt;&lt;accession-num&gt;WOS:000428509200007&lt;/accession-num&gt;&lt;urls&gt;&lt;related-urls&gt;&lt;url&gt;&amp;lt;Go to ISI&amp;gt;://WOS:000428509200007&lt;/url&gt;&lt;url&gt;http://www.mdpi.com/1660-4601/15/3/400/pdf&lt;/url&gt;&lt;/related-urls&gt;&lt;/urls&gt;&lt;custom7&gt;400&lt;/custom7&gt;&lt;electronic-resource-num&gt;10.3390/ijerph15030400&lt;/electronic-resource-num&gt;&lt;/record&gt;&lt;/Cite&gt;&lt;/EndNote&gt;</w:instrText>
      </w:r>
      <w:r>
        <w:fldChar w:fldCharType="separate"/>
      </w:r>
      <w:r w:rsidR="004E728C">
        <w:rPr>
          <w:noProof/>
        </w:rPr>
        <w:t>(Yong-da Wu, Wang et al. 2018)</w:t>
      </w:r>
      <w:r>
        <w:fldChar w:fldCharType="end"/>
      </w:r>
      <w:r>
        <w:t>. Participants were adult (</w:t>
      </w:r>
      <w:r>
        <w:rPr>
          <w:rFonts w:cs="Calibri"/>
        </w:rPr>
        <w:t>≥</w:t>
      </w:r>
      <w:r>
        <w:t>18 years) Cantonese</w:t>
      </w:r>
      <w:r>
        <w:noBreakHyphen/>
        <w:t>speaking Hong Kong residents who were regular smokers and were not involved in other smoking cessation programs. Survey data was collected regularly (1 week, 1, 2, 3, 6 months) throughout the</w:t>
      </w:r>
      <w:r w:rsidR="00F02D3D">
        <w:t xml:space="preserve"> six</w:t>
      </w:r>
      <w:r>
        <w:t xml:space="preserve"> month study and included data on </w:t>
      </w:r>
      <w:r w:rsidRPr="00F624ED">
        <w:t>e</w:t>
      </w:r>
      <w:r>
        <w:noBreakHyphen/>
      </w:r>
      <w:r w:rsidRPr="00F624ED">
        <w:t>cigarette use, smoking behaviours, quit attempts and sociodemographic status</w:t>
      </w:r>
      <w:r>
        <w:t xml:space="preserve">. Quit status was further biochemically validated in 70.5% of participants using a salivary cotinine test. </w:t>
      </w:r>
    </w:p>
    <w:p w14:paraId="4C0409F8" w14:textId="77777777" w:rsidR="002738DD" w:rsidRDefault="002738DD" w:rsidP="002738DD">
      <w:pPr>
        <w:pStyle w:val="BodyText"/>
      </w:pPr>
      <w:r>
        <w:t>The results found that ever using an e</w:t>
      </w:r>
      <w:r>
        <w:noBreakHyphen/>
        <w:t>cigarette did not predict self</w:t>
      </w:r>
      <w:r>
        <w:noBreakHyphen/>
        <w:t>reported (AOR 0.99, 95% CI 0.57–1.73)</w:t>
      </w:r>
      <w:r w:rsidRPr="00F624ED">
        <w:t xml:space="preserve"> </w:t>
      </w:r>
      <w:r>
        <w:t>or</w:t>
      </w:r>
      <w:r w:rsidRPr="00F624ED">
        <w:t xml:space="preserve"> biochemically validated quitting (AOR 1.22, 95% CI 0.64–2.34), </w:t>
      </w:r>
      <w:r>
        <w:t xml:space="preserve">any </w:t>
      </w:r>
      <w:r w:rsidRPr="00F624ED">
        <w:t>cessation attempt (AOR 0.74, 95% CI 0.48–1.14), or smoking reduction (AOR 0.89, 95% CI 0.54–1.47).</w:t>
      </w:r>
      <w:r>
        <w:t xml:space="preserve"> Additionally, e</w:t>
      </w:r>
      <w:r>
        <w:noBreakHyphen/>
        <w:t>cigarette</w:t>
      </w:r>
      <w:r w:rsidRPr="00281E30">
        <w:t xml:space="preserve"> use during the first 3 months did not predict quitting (AOR 1.02, 95% CI 0.22–4.71).</w:t>
      </w:r>
      <w:r>
        <w:t xml:space="preserve"> It is important to note that ‘e</w:t>
      </w:r>
      <w:r>
        <w:noBreakHyphen/>
        <w:t>cigarette use’ was defined as any e</w:t>
      </w:r>
      <w:r>
        <w:noBreakHyphen/>
        <w:t>cigarette use, including 1 puff. Therefore this data does not reflect regular e</w:t>
      </w:r>
      <w:r>
        <w:noBreakHyphen/>
        <w:t>cigarette use or use of e</w:t>
      </w:r>
      <w:r>
        <w:noBreakHyphen/>
        <w:t>cigarettes as a cessation method. Additionally, e</w:t>
      </w:r>
      <w:r>
        <w:noBreakHyphen/>
        <w:t>cigarettes were likely nicotine</w:t>
      </w:r>
      <w:r>
        <w:noBreakHyphen/>
        <w:t>free due to regulations in Hong Kong and Hong Kong has very high smoking rates thus it may not reflect Australian use and cessation rates.</w:t>
      </w:r>
    </w:p>
    <w:p w14:paraId="4C7DA963" w14:textId="3037DDD7" w:rsidR="002738DD" w:rsidRDefault="002738DD" w:rsidP="002738DD">
      <w:pPr>
        <w:pStyle w:val="BodyText"/>
      </w:pPr>
      <w:r>
        <w:t xml:space="preserve">Another study used data from an evaluation of an online internet smoking cessation campaign. 2,057 smokers were recruited and weighted to represent the total population of France </w:t>
      </w:r>
      <w:r>
        <w:fldChar w:fldCharType="begin"/>
      </w:r>
      <w:r>
        <w:instrText xml:space="preserve"> ADDIN EN.CITE &lt;EndNote&gt;&lt;Cite&gt;&lt;Author&gt;Pasquereau&lt;/Author&gt;&lt;Year&gt;2017&lt;/Year&gt;&lt;RecNum&gt;5179&lt;/RecNum&gt;&lt;DisplayText&gt;(Pasquereau, Guignard et al. 2017)&lt;/DisplayText&gt;&lt;record&gt;&lt;rec-number&gt;5179&lt;/rec-number&gt;&lt;foreign-keys&gt;&lt;key app="EN" db-id="9z05dz0praadfuee0zoxzedk9zfe5fxx50z5" timestamp="1523920930"&gt;5179&lt;/key&gt;&lt;/foreign-keys&gt;&lt;ref-type name="Journal Article"&gt;17&lt;/ref-type&gt;&lt;contributors&gt;&lt;authors&gt;&lt;author&gt;Pasquereau, A.&lt;/author&gt;&lt;author&gt;Guignard, R.&lt;/author&gt;&lt;author&gt;Andler, R.&lt;/author&gt;&lt;author&gt;Nguyen-Thanh, V.&lt;/author&gt;&lt;/authors&gt;&lt;/contributors&gt;&lt;auth-address&gt;Sante publique France, the national Public Health Agency, 12 rue du Val d&amp;apos;Osne, 94 415, Saint Maurice Cedex, France.&lt;/auth-address&gt;&lt;titles&gt;&lt;title&gt;Electronic cigarettes, quit attempts and smoking cessation: a 6-month follow-up&lt;/title&gt;&lt;secondary-title&gt;Addiction&lt;/secondary-title&gt;&lt;alt-title&gt;Addiction (Abingdon, England)&lt;/alt-title&gt;&lt;/titles&gt;&lt;periodical&gt;&lt;full-title&gt;Addiction&lt;/full-title&gt;&lt;/periodical&gt;&lt;alt-periodical&gt;&lt;full-title&gt;Addiction (Abingdon, England)&lt;/full-title&gt;&lt;/alt-periodical&gt;&lt;pages&gt;1620-1628&lt;/pages&gt;&lt;volume&gt;112&lt;/volume&gt;&lt;number&gt;9&lt;/number&gt;&lt;edition&gt;2017/05/16&lt;/edition&gt;&lt;keywords&gt;&lt;keyword&gt;6-month follow-up&lt;/keyword&gt;&lt;keyword&gt;France&lt;/keyword&gt;&lt;keyword&gt;electronic cigarette&lt;/keyword&gt;&lt;keyword&gt;quit attempts&lt;/keyword&gt;&lt;keyword&gt;smoking cessation&lt;/keyword&gt;&lt;keyword&gt;tobacco consumption&lt;/keyword&gt;&lt;/keywords&gt;&lt;dates&gt;&lt;year&gt;2017&lt;/year&gt;&lt;pub-dates&gt;&lt;date&gt;Sep&lt;/date&gt;&lt;/pub-dates&gt;&lt;/dates&gt;&lt;isbn&gt;0965-2140&lt;/isbn&gt;&lt;accession-num&gt;28504457&lt;/accession-num&gt;&lt;urls&gt;&lt;related-urls&gt;&lt;url&gt;https://onlinelibrary.wiley.com/doi/pdf/10.1111/add.13869&lt;/url&gt;&lt;/related-urls&gt;&lt;/urls&gt;&lt;electronic-resource-num&gt;10.1111/add.13869&lt;/electronic-resource-num&gt;&lt;remote-database-provider&gt;NLM&lt;/remote-database-provider&gt;&lt;language&gt;eng&lt;/language&gt;&lt;/record&gt;&lt;/Cite&gt;&lt;/EndNote&gt;</w:instrText>
      </w:r>
      <w:r>
        <w:fldChar w:fldCharType="separate"/>
      </w:r>
      <w:r>
        <w:rPr>
          <w:noProof/>
        </w:rPr>
        <w:t>(Pasquereau, Guignard et al. 2017)</w:t>
      </w:r>
      <w:r>
        <w:fldChar w:fldCharType="end"/>
      </w:r>
      <w:r>
        <w:t>. 45.9% were female and age ranged from 15</w:t>
      </w:r>
      <w:r>
        <w:noBreakHyphen/>
        <w:t xml:space="preserve">85 years (see table </w:t>
      </w:r>
      <w:r w:rsidR="00F0285D">
        <w:t>1</w:t>
      </w:r>
      <w:r>
        <w:t>3</w:t>
      </w:r>
      <w:r w:rsidR="00F0285D">
        <w:t xml:space="preserve"> and 14</w:t>
      </w:r>
      <w:r>
        <w:t>). Initial response rates were not reported, however attrition at 6 months was 31.4%. While e</w:t>
      </w:r>
      <w:r>
        <w:noBreakHyphen/>
        <w:t>cigarette users were more likely to reduce their cigarette consumption (aOR= 2.6, 95%CI= 1.8</w:t>
      </w:r>
      <w:r>
        <w:noBreakHyphen/>
        <w:t xml:space="preserve">3.8) and to have made a </w:t>
      </w:r>
      <w:r w:rsidR="00F02D3D">
        <w:t>seven</w:t>
      </w:r>
      <w:r>
        <w:noBreakHyphen/>
        <w:t>day quit attempt (</w:t>
      </w:r>
      <w:r w:rsidRPr="003960CD">
        <w:t>aOR= 1.8, CI= 1.2–2.6</w:t>
      </w:r>
      <w:r>
        <w:t>) than tobacco</w:t>
      </w:r>
      <w:r>
        <w:noBreakHyphen/>
        <w:t xml:space="preserve">only smokers, cessation rates at </w:t>
      </w:r>
      <w:r w:rsidR="00F02D3D">
        <w:t>six</w:t>
      </w:r>
      <w:r>
        <w:t xml:space="preserve"> months did not differ (</w:t>
      </w:r>
      <w:r w:rsidRPr="003960CD">
        <w:t xml:space="preserve">12.5 versus 9.5%, </w:t>
      </w:r>
      <w:r>
        <w:t>p=</w:t>
      </w:r>
      <w:r w:rsidRPr="003960CD">
        <w:t>0.18, aOR=1.2, CI</w:t>
      </w:r>
      <w:r>
        <w:t xml:space="preserve">= 0.8–1.9) </w:t>
      </w:r>
      <w:r>
        <w:fldChar w:fldCharType="begin"/>
      </w:r>
      <w:r>
        <w:instrText xml:space="preserve"> ADDIN EN.CITE &lt;EndNote&gt;&lt;Cite&gt;&lt;Author&gt;Pasquereau&lt;/Author&gt;&lt;Year&gt;2017&lt;/Year&gt;&lt;RecNum&gt;5179&lt;/RecNum&gt;&lt;DisplayText&gt;(Pasquereau, Guignard et al. 2017)&lt;/DisplayText&gt;&lt;record&gt;&lt;rec-number&gt;5179&lt;/rec-number&gt;&lt;foreign-keys&gt;&lt;key app="EN" db-id="9z05dz0praadfuee0zoxzedk9zfe5fxx50z5" timestamp="1523920930"&gt;5179&lt;/key&gt;&lt;/foreign-keys&gt;&lt;ref-type name="Journal Article"&gt;17&lt;/ref-type&gt;&lt;contributors&gt;&lt;authors&gt;&lt;author&gt;Pasquereau, A.&lt;/author&gt;&lt;author&gt;Guignard, R.&lt;/author&gt;&lt;author&gt;Andler, R.&lt;/author&gt;&lt;author&gt;Nguyen-Thanh, V.&lt;/author&gt;&lt;/authors&gt;&lt;/contributors&gt;&lt;auth-address&gt;Sante publique France, the national Public Health Agency, 12 rue du Val d&amp;apos;Osne, 94 415, Saint Maurice Cedex, France.&lt;/auth-address&gt;&lt;titles&gt;&lt;title&gt;Electronic cigarettes, quit attempts and smoking cessation: a 6-month follow-up&lt;/title&gt;&lt;secondary-title&gt;Addiction&lt;/secondary-title&gt;&lt;alt-title&gt;Addiction (Abingdon, England)&lt;/alt-title&gt;&lt;/titles&gt;&lt;periodical&gt;&lt;full-title&gt;Addiction&lt;/full-title&gt;&lt;/periodical&gt;&lt;alt-periodical&gt;&lt;full-title&gt;Addiction (Abingdon, England)&lt;/full-title&gt;&lt;/alt-periodical&gt;&lt;pages&gt;1620-1628&lt;/pages&gt;&lt;volume&gt;112&lt;/volume&gt;&lt;number&gt;9&lt;/number&gt;&lt;edition&gt;2017/05/16&lt;/edition&gt;&lt;keywords&gt;&lt;keyword&gt;6-month follow-up&lt;/keyword&gt;&lt;keyword&gt;France&lt;/keyword&gt;&lt;keyword&gt;electronic cigarette&lt;/keyword&gt;&lt;keyword&gt;quit attempts&lt;/keyword&gt;&lt;keyword&gt;smoking cessation&lt;/keyword&gt;&lt;keyword&gt;tobacco consumption&lt;/keyword&gt;&lt;/keywords&gt;&lt;dates&gt;&lt;year&gt;2017&lt;/year&gt;&lt;pub-dates&gt;&lt;date&gt;Sep&lt;/date&gt;&lt;/pub-dates&gt;&lt;/dates&gt;&lt;isbn&gt;0965-2140&lt;/isbn&gt;&lt;accession-num&gt;28504457&lt;/accession-num&gt;&lt;urls&gt;&lt;related-urls&gt;&lt;url&gt;https://onlinelibrary.wiley.com/doi/pdf/10.1111/add.13869&lt;/url&gt;&lt;/related-urls&gt;&lt;/urls&gt;&lt;electronic-resource-num&gt;10.1111/add.13869&lt;/electronic-resource-num&gt;&lt;remote-database-provider&gt;NLM&lt;/remote-database-provider&gt;&lt;language&gt;eng&lt;/language&gt;&lt;/record&gt;&lt;/Cite&gt;&lt;/EndNote&gt;</w:instrText>
      </w:r>
      <w:r>
        <w:fldChar w:fldCharType="separate"/>
      </w:r>
      <w:r>
        <w:rPr>
          <w:noProof/>
        </w:rPr>
        <w:t>(Pasquereau, Guignard et al. 2017)</w:t>
      </w:r>
      <w:r>
        <w:fldChar w:fldCharType="end"/>
      </w:r>
      <w:r>
        <w:t>.</w:t>
      </w:r>
    </w:p>
    <w:p w14:paraId="7E71942C" w14:textId="61B9F88A" w:rsidR="002738DD" w:rsidRDefault="002738DD" w:rsidP="002738DD">
      <w:pPr>
        <w:pStyle w:val="BodyText"/>
      </w:pPr>
      <w:r>
        <w:t xml:space="preserve">Data from Rigotti et al’s study provides information on a niche but relevant sample of recently hospitalised smokers who wanted to quit smoking. This group of participants may have had higher quit motivations due to recent health issues (including conditions related to smoking) </w:t>
      </w:r>
      <w:r>
        <w:fldChar w:fldCharType="begin"/>
      </w:r>
      <w:r w:rsidR="004E728C">
        <w:instrText xml:space="preserve"> ADDIN EN.CITE &lt;EndNote&gt;&lt;Cite&gt;&lt;Author&gt;Rigotti&lt;/Author&gt;&lt;Year&gt;2018&lt;/Year&gt;&lt;RecNum&gt;10413&lt;/RecNum&gt;&lt;DisplayText&gt;(Rigotti, Chang et al. 2018)&lt;/DisplayText&gt;&lt;record&gt;&lt;rec-number&gt;10413&lt;/rec-number&gt;&lt;foreign-keys&gt;&lt;key app="EN" db-id="9z05dz0praadfuee0zoxzedk9zfe5fxx50z5" timestamp="1526869878"&gt;10413&lt;/key&gt;&lt;/foreign-keys&gt;&lt;ref-type name="Journal Article"&gt;17&lt;/ref-type&gt;&lt;contributors&gt;&lt;authors&gt;&lt;author&gt;Rigotti, Nancy A.&lt;/author&gt;&lt;author&gt;Chang, Yuchiao&lt;/author&gt;&lt;author&gt;Tindle, Hilary A.&lt;/author&gt;&lt;author&gt;Kalkhoran, Sara M.&lt;/author&gt;&lt;author&gt;Levy, Douglas E.&lt;/author&gt;&lt;author&gt;Regan, Susan&lt;/author&gt;&lt;author&gt;Kelley, Jennifer H. K.&lt;/author&gt;&lt;author&gt;Davis, Esa M.&lt;/author&gt;&lt;author&gt;Singer, Daniel E.&lt;/author&gt;&lt;/authors&gt;&lt;/contributors&gt;&lt;titles&gt;&lt;title&gt;Association of E-Cigarette Use With Smoking Cessation Among Smokers Who Plan to Quit After a Hospitalization: A Prospective Study&lt;/title&gt;&lt;secondary-title&gt;Annals of internal medicine&lt;/secondary-title&gt;&lt;/titles&gt;&lt;periodical&gt;&lt;full-title&gt;Ann Intern Med&lt;/full-title&gt;&lt;abbr-1&gt;Annals of internal medicine&lt;/abbr-1&gt;&lt;/periodical&gt;&lt;pages&gt;613-620&lt;/pages&gt;&lt;volume&gt;168&lt;/volume&gt;&lt;number&gt;9&lt;/number&gt;&lt;dates&gt;&lt;year&gt;2018&lt;/year&gt;&lt;pub-dates&gt;&lt;date&gt;2018-May-01&lt;/date&gt;&lt;/pub-dates&gt;&lt;/dates&gt;&lt;accession-num&gt;MEDLINE:29582077&lt;/accession-num&gt;&lt;urls&gt;&lt;related-urls&gt;&lt;url&gt;&amp;lt;Go to ISI&amp;gt;://MEDLINE:29582077&lt;/url&gt;&lt;url&gt;http://annals.org/aim/article-abstract/2676738/association-e-cigarette-use-smoking-cessation-among-smokers-who-plan?doi=10.7326%2fM17-2048&lt;/url&gt;&lt;/related-urls&gt;&lt;/urls&gt;&lt;electronic-resource-num&gt;10.7326/m17-2048&lt;/electronic-resource-num&gt;&lt;/record&gt;&lt;/Cite&gt;&lt;/EndNote&gt;</w:instrText>
      </w:r>
      <w:r>
        <w:fldChar w:fldCharType="separate"/>
      </w:r>
      <w:r>
        <w:rPr>
          <w:noProof/>
        </w:rPr>
        <w:t>(Rigotti, Chang et al. 2018)</w:t>
      </w:r>
      <w:r>
        <w:fldChar w:fldCharType="end"/>
      </w:r>
      <w:r>
        <w:t xml:space="preserve">. 1,357 smokers were recruited to a randomised controlled trial where they either received </w:t>
      </w:r>
      <w:r w:rsidRPr="00E178AF">
        <w:t xml:space="preserve">approved tobacco medication and </w:t>
      </w:r>
      <w:r w:rsidR="00F02D3D">
        <w:t>five</w:t>
      </w:r>
      <w:r w:rsidRPr="00E178AF">
        <w:t xml:space="preserve"> telephone calls </w:t>
      </w:r>
      <w:r>
        <w:t>or</w:t>
      </w:r>
      <w:r w:rsidRPr="00E178AF">
        <w:t xml:space="preserve"> a recommendation to contact a free quit line.</w:t>
      </w:r>
      <w:r>
        <w:t xml:space="preserve"> Data was also collected on e</w:t>
      </w:r>
      <w:r>
        <w:noBreakHyphen/>
        <w:t>cigarette use and thus was able to be analysed in this secondary analysis. The genders and age of the study participants were not reported. There was a 75% follow</w:t>
      </w:r>
      <w:r>
        <w:noBreakHyphen/>
        <w:t xml:space="preserve">up rate at </w:t>
      </w:r>
      <w:r w:rsidR="00F02D3D">
        <w:t>six</w:t>
      </w:r>
      <w:r>
        <w:t xml:space="preserve"> months (participants lost to follow</w:t>
      </w:r>
      <w:r>
        <w:noBreakHyphen/>
        <w:t>up were younger and were less likely to have been admitted due to a smoking</w:t>
      </w:r>
      <w:r>
        <w:noBreakHyphen/>
        <w:t>related disease). The researchers us</w:t>
      </w:r>
      <w:r w:rsidRPr="00E178AF">
        <w:t>ed propensity score matching to compare e</w:t>
      </w:r>
      <w:r>
        <w:noBreakHyphen/>
      </w:r>
      <w:r w:rsidRPr="00E178AF">
        <w:t xml:space="preserve">cigarette use and smoking cessation. </w:t>
      </w:r>
    </w:p>
    <w:p w14:paraId="664E6148" w14:textId="02BEEE67" w:rsidR="002738DD" w:rsidRDefault="002738DD" w:rsidP="002738DD">
      <w:pPr>
        <w:pStyle w:val="BodyText"/>
      </w:pPr>
      <w:r>
        <w:t>It was f</w:t>
      </w:r>
      <w:r w:rsidRPr="00E178AF">
        <w:t>ound that those who used e</w:t>
      </w:r>
      <w:r>
        <w:noBreakHyphen/>
      </w:r>
      <w:r w:rsidRPr="00E178AF">
        <w:t>cigarette</w:t>
      </w:r>
      <w:r>
        <w:t>s</w:t>
      </w:r>
      <w:r w:rsidRPr="00E178AF">
        <w:t xml:space="preserve"> within the first </w:t>
      </w:r>
      <w:r w:rsidR="00F02D3D">
        <w:t>three</w:t>
      </w:r>
      <w:r w:rsidRPr="00E178AF">
        <w:t xml:space="preserve"> months were less likely to be biochemically abstinent at </w:t>
      </w:r>
      <w:r w:rsidR="00F02D3D">
        <w:t>six</w:t>
      </w:r>
      <w:r w:rsidRPr="00E178AF">
        <w:t xml:space="preserve"> months than those not using e</w:t>
      </w:r>
      <w:r>
        <w:noBreakHyphen/>
      </w:r>
      <w:r w:rsidRPr="00E178AF">
        <w:t xml:space="preserve">cigarettes (10.1% vs. 26.6%; risk difference, </w:t>
      </w:r>
      <w:r>
        <w:noBreakHyphen/>
      </w:r>
      <w:r w:rsidRPr="00E178AF">
        <w:t xml:space="preserve">16.5% [95% CI, </w:t>
      </w:r>
      <w:r>
        <w:noBreakHyphen/>
      </w:r>
      <w:r w:rsidRPr="00E178AF">
        <w:t xml:space="preserve">23.3% to </w:t>
      </w:r>
      <w:r>
        <w:noBreakHyphen/>
      </w:r>
      <w:r w:rsidRPr="00E178AF">
        <w:t>9.6%]).</w:t>
      </w:r>
      <w:r>
        <w:t xml:space="preserve"> While e</w:t>
      </w:r>
      <w:r>
        <w:noBreakHyphen/>
        <w:t>cigarette use included any use, rather than regular use, this study adds important information to data about e</w:t>
      </w:r>
      <w:r>
        <w:noBreakHyphen/>
        <w:t xml:space="preserve">cigarettes and smoking cessation among this unique group of motivated and unwell smokers. </w:t>
      </w:r>
    </w:p>
    <w:p w14:paraId="05F15F00" w14:textId="77777777" w:rsidR="002738DD" w:rsidRDefault="002738DD" w:rsidP="002738DD">
      <w:pPr>
        <w:pStyle w:val="BodyText"/>
      </w:pPr>
      <w:r>
        <w:lastRenderedPageBreak/>
        <w:t>In a four year study following 586 youth smokers, frequency of e</w:t>
      </w:r>
      <w:r>
        <w:noBreakHyphen/>
        <w:t xml:space="preserve">cigarette use was not associated with reductions in future smoking </w:t>
      </w:r>
      <w:r>
        <w:fldChar w:fldCharType="begin">
          <w:fldData xml:space="preserve">PEVuZE5vdGU+PENpdGU+PEF1dGhvcj5TZWx5YTwvQXV0aG9yPjxZZWFyPjIwMTc8L1llYXI+PFJl
Y051bT40ODU3PC9SZWNOdW0+PERpc3BsYXlUZXh0PihTZWx5YSwgRGllcmtlciBldCBhbC4gMjAx
Nyk8L0Rpc3BsYXlUZXh0PjxyZWNvcmQ+PHJlYy1udW1iZXI+NDg1NzwvcmVjLW51bWJlcj48Zm9y
ZWlnbi1rZXlzPjxrZXkgYXBwPSJFTiIgZGItaWQ9Ijl6MDVkejBwcmFhZGZ1ZWUwem94emVkazl6
ZmU1Znh4NTB6NSIgdGltZXN0YW1wPSIxNTIzOTIwNTQ3Ij40ODU3PC9rZXk+PC9mb3JlaWduLWtl
eXM+PHJlZi10eXBlIG5hbWU9IkpvdXJuYWwgQXJ0aWNsZSI+MTc8L3JlZi10eXBlPjxjb250cmli
dXRvcnM+PGF1dGhvcnM+PGF1dGhvcj5TZWx5YSwgQS4gUy48L2F1dGhvcj48YXV0aG9yPkRpZXJr
ZXIsIEwuPC9hdXRob3I+PGF1dGhvcj5Sb3NlLCBKLiBTLjwvYXV0aG9yPjxhdXRob3I+SGVkZWtl
ciwgRC48L2F1dGhvcj48YXV0aG9yPk1lcm1lbHN0ZWluLCBSLiBKLjwvYXV0aG9yPjwvYXV0aG9y
cz48L2NvbnRyaWJ1dG9ycz48YXV0aC1hZGRyZXNzPkRlcGFydG1lbnQgb2YgUG9wdWxhdGlvbiBI
ZWFsdGgsIFVuaXZlcnNpdHkgb2YgTm9ydGggRGFrb3RhLCBHcmFuZCBGb3JrcywgTkQuJiN4RDtQ
c3ljaG9sb2d5IERlcGFydG1lbnQsIFdlc2xleWFuIFVuaXZlcnNpdHksIE1pZGRsZXRvd24sIENU
LiYjeEQ7RGVwYXJ0bWVudCBvZiBQdWJsaWMgSGVhbHRoIFNjaWVuY2VzLCBVbml2ZXJzaXR5IG9m
IENoaWNhZ28sIENoaWNhZ28sIElMLiYjeEQ7SW5zdGl0dXRlIGZvciBIZWFsdGggUmVzZWFyY2gg
YW5kIFBvbGljeSwgVW5pdmVyc2l0eSBvZiBJbGxpbm9pcyBhdCBDaGljYWdvLCBDaGljYWdvLCBJ
TC48L2F1dGgtYWRkcmVzcz48dGl0bGVzPjx0aXRsZT5UaGUgUm9sZSBvZiBOaWNvdGluZSBEZXBl
bmRlbmNlIGluIEUtQ2lnYXJldHRlcyZhcG9zOyBQb3RlbnRpYWwgZm9yIFNtb2tpbmcgUmVkdWN0
aW9uPC90aXRsZT48c2Vjb25kYXJ5LXRpdGxlPk5pY290aW5lIFRvYiBSZXM8L3NlY29uZGFyeS10
aXRsZT48YWx0LXRpdGxlPk5pY290aW5lICZhbXA7IHRvYmFjY28gcmVzZWFyY2ggOiBvZmZpY2lh
bCBqb3VybmFsIG9mIHRoZSBTb2NpZXR5IGZvciBSZXNlYXJjaCBvbiBOaWNvdGluZSBhbmQgVG9i
YWNjbzwvYWx0LXRpdGxlPjwvdGl0bGVzPjxwZXJpb2RpY2FsPjxmdWxsLXRpdGxlPk5pY290aW5l
IFRvYiBSZXM8L2Z1bGwtdGl0bGU+PGFiYnItMT5OaWNvdGluZSAmYW1wOyB0b2JhY2NvIHJlc2Vh
cmNoIDogb2ZmaWNpYWwgam91cm5hbCBvZiB0aGUgU29jaWV0eSBmb3IgUmVzZWFyY2ggb24gTmlj
b3RpbmUgYW5kIFRvYmFjY288L2FiYnItMT48L3BlcmlvZGljYWw+PGFsdC1wZXJpb2RpY2FsPjxm
dWxsLXRpdGxlPk5pY290aW5lIFRvYiBSZXM8L2Z1bGwtdGl0bGU+PGFiYnItMT5OaWNvdGluZSAm
YW1wOyB0b2JhY2NvIHJlc2VhcmNoIDogb2ZmaWNpYWwgam91cm5hbCBvZiB0aGUgU29jaWV0eSBm
b3IgUmVzZWFyY2ggb24gTmljb3RpbmUgYW5kIFRvYmFjY288L2FiYnItMT48L2FsdC1wZXJpb2Rp
Y2FsPjxlZGl0aW9uPjIwMTcvMTAvMjU8L2VkaXRpb24+PGRhdGVzPjx5ZWFyPjIwMTc8L3llYXI+
PHB1Yi1kYXRlcz48ZGF0ZT5KdWwgNzwvZGF0ZT48L3B1Yi1kYXRlcz48L2RhdGVzPjxpc2JuPjE0
NjItMjIwMzwvaXNibj48YWNjZXNzaW9uLW51bT4yOTA2NTIwNDwvYWNjZXNzaW9uLW51bT48dXJs
cz48cmVsYXRlZC11cmxzPjx1cmw+aHR0cHM6Ly93YXRlcm1hcmsuc2lsdmVyY2hhaXIuY29tL250
eDE2MC5wZGY/dG9rZW49QVFFQ0FIaTIwOEJFNDlPb2FuOWtraFdfRXJjeTdEbTNaTF85Q2YzcWZL
QWM0ODV5c2dBQUFkUXdnZ0hRQmdrcWhraUc5dzBCQndhZ2dnSEJNSUlCdlFJQkFEQ0NBYllHQ1Nx
R1NJYjNEUUVIQVRBZUJnbGdoa2dCWlFNRUFTNHdFUVFNNkk3c2FKN255LTVjd21BaUFnRVFnSUlC
aDIzX1JDUVJUcWVEQ2VHdnhkWXg2dk4yQXcwZUI2Y3ozd0c0UF9vczZwTXkxOWtmOWdzTk40eThp
bkhVdWluNTN6WEIwend2dmE5TndWR2tRYTZCZWdTbTVKWkl0dFduODhUazR3Q3RxUW8xeVZ3Ni1o
NERIRmNmbEZFYUxVN0VKbGZDNnhCb2tnOEF2U3NaNXBFb3V5eGw3Sk9xMUd0Z2dFSFAzZkxHenJh
eGIwRGxLbW8ySEdHRFlNVjFHVUlGcjRIYm5XMkpHZFZwMFBWSkx3VnVFbHB4S3l4blhmZ1BodHdZ
NGpaZl9kSmlyWkxJaFE0VVBNOG1TS1FYaEoxOE9iY1dERTJfSm5BeHlBbWpSaWJxbTIxc0pVc2w2
bjVQZ3RKTmRsV21YZ05GTWd3NmJibkEzS0JmWDlWcl9USWNyM1BLQklibXUxaURXWW1GQ0FLUy1W
VGozTlRPbjdSZy1mMXNjdHNFRThyZWNfVTBraU5vRTdYdmNxQm96dFc5TWYxVHZiM0xoSDUtVXBL
YmdKMHp3d3Q0QW5YaGxuMFdBSXdjel8xcjVPd3kyYmhWdW02MkxrNWhuNGswZm1KOWJLM0hMeUdy
OS1hOUNLWnZWSWpweHpFZ3Nfd0FZYTNQXzBPbzJGSUhTNUM1cGtudEc1SlV3dVM2N09lVnhJVUJF
ek02QjQ2ejdXQTwvdXJsPjwvcmVsYXRlZC11cmxzPjwvdXJscz48ZWxlY3Ryb25pYy1yZXNvdXJj
ZS1udW0+MTAuMTA5My9udHIvbnR4MTYwPC9lbGVjdHJvbmljLXJlc291cmNlLW51bT48cmVtb3Rl
LWRhdGFiYXNlLXByb3ZpZGVyPk5MTTwvcmVtb3RlLWRhdGFiYXNlLXByb3ZpZGVyPjxsYW5ndWFn
ZT5lbmc8L2xhbmd1YWdlPjwvcmVjb3JkPjwvQ2l0ZT48L0VuZE5vdGU+
</w:fldData>
        </w:fldChar>
      </w:r>
      <w:r>
        <w:instrText xml:space="preserve"> ADDIN EN.CITE </w:instrText>
      </w:r>
      <w:r>
        <w:fldChar w:fldCharType="begin">
          <w:fldData xml:space="preserve">PEVuZE5vdGU+PENpdGU+PEF1dGhvcj5TZWx5YTwvQXV0aG9yPjxZZWFyPjIwMTc8L1llYXI+PFJl
Y051bT40ODU3PC9SZWNOdW0+PERpc3BsYXlUZXh0PihTZWx5YSwgRGllcmtlciBldCBhbC4gMjAx
Nyk8L0Rpc3BsYXlUZXh0PjxyZWNvcmQ+PHJlYy1udW1iZXI+NDg1NzwvcmVjLW51bWJlcj48Zm9y
ZWlnbi1rZXlzPjxrZXkgYXBwPSJFTiIgZGItaWQ9Ijl6MDVkejBwcmFhZGZ1ZWUwem94emVkazl6
ZmU1Znh4NTB6NSIgdGltZXN0YW1wPSIxNTIzOTIwNTQ3Ij40ODU3PC9rZXk+PC9mb3JlaWduLWtl
eXM+PHJlZi10eXBlIG5hbWU9IkpvdXJuYWwgQXJ0aWNsZSI+MTc8L3JlZi10eXBlPjxjb250cmli
dXRvcnM+PGF1dGhvcnM+PGF1dGhvcj5TZWx5YSwgQS4gUy48L2F1dGhvcj48YXV0aG9yPkRpZXJr
ZXIsIEwuPC9hdXRob3I+PGF1dGhvcj5Sb3NlLCBKLiBTLjwvYXV0aG9yPjxhdXRob3I+SGVkZWtl
ciwgRC48L2F1dGhvcj48YXV0aG9yPk1lcm1lbHN0ZWluLCBSLiBKLjwvYXV0aG9yPjwvYXV0aG9y
cz48L2NvbnRyaWJ1dG9ycz48YXV0aC1hZGRyZXNzPkRlcGFydG1lbnQgb2YgUG9wdWxhdGlvbiBI
ZWFsdGgsIFVuaXZlcnNpdHkgb2YgTm9ydGggRGFrb3RhLCBHcmFuZCBGb3JrcywgTkQuJiN4RDtQ
c3ljaG9sb2d5IERlcGFydG1lbnQsIFdlc2xleWFuIFVuaXZlcnNpdHksIE1pZGRsZXRvd24sIENU
LiYjeEQ7RGVwYXJ0bWVudCBvZiBQdWJsaWMgSGVhbHRoIFNjaWVuY2VzLCBVbml2ZXJzaXR5IG9m
IENoaWNhZ28sIENoaWNhZ28sIElMLiYjeEQ7SW5zdGl0dXRlIGZvciBIZWFsdGggUmVzZWFyY2gg
YW5kIFBvbGljeSwgVW5pdmVyc2l0eSBvZiBJbGxpbm9pcyBhdCBDaGljYWdvLCBDaGljYWdvLCBJ
TC48L2F1dGgtYWRkcmVzcz48dGl0bGVzPjx0aXRsZT5UaGUgUm9sZSBvZiBOaWNvdGluZSBEZXBl
bmRlbmNlIGluIEUtQ2lnYXJldHRlcyZhcG9zOyBQb3RlbnRpYWwgZm9yIFNtb2tpbmcgUmVkdWN0
aW9uPC90aXRsZT48c2Vjb25kYXJ5LXRpdGxlPk5pY290aW5lIFRvYiBSZXM8L3NlY29uZGFyeS10
aXRsZT48YWx0LXRpdGxlPk5pY290aW5lICZhbXA7IHRvYmFjY28gcmVzZWFyY2ggOiBvZmZpY2lh
bCBqb3VybmFsIG9mIHRoZSBTb2NpZXR5IGZvciBSZXNlYXJjaCBvbiBOaWNvdGluZSBhbmQgVG9i
YWNjbzwvYWx0LXRpdGxlPjwvdGl0bGVzPjxwZXJpb2RpY2FsPjxmdWxsLXRpdGxlPk5pY290aW5l
IFRvYiBSZXM8L2Z1bGwtdGl0bGU+PGFiYnItMT5OaWNvdGluZSAmYW1wOyB0b2JhY2NvIHJlc2Vh
cmNoIDogb2ZmaWNpYWwgam91cm5hbCBvZiB0aGUgU29jaWV0eSBmb3IgUmVzZWFyY2ggb24gTmlj
b3RpbmUgYW5kIFRvYmFjY288L2FiYnItMT48L3BlcmlvZGljYWw+PGFsdC1wZXJpb2RpY2FsPjxm
dWxsLXRpdGxlPk5pY290aW5lIFRvYiBSZXM8L2Z1bGwtdGl0bGU+PGFiYnItMT5OaWNvdGluZSAm
YW1wOyB0b2JhY2NvIHJlc2VhcmNoIDogb2ZmaWNpYWwgam91cm5hbCBvZiB0aGUgU29jaWV0eSBm
b3IgUmVzZWFyY2ggb24gTmljb3RpbmUgYW5kIFRvYmFjY288L2FiYnItMT48L2FsdC1wZXJpb2Rp
Y2FsPjxlZGl0aW9uPjIwMTcvMTAvMjU8L2VkaXRpb24+PGRhdGVzPjx5ZWFyPjIwMTc8L3llYXI+
PHB1Yi1kYXRlcz48ZGF0ZT5KdWwgNzwvZGF0ZT48L3B1Yi1kYXRlcz48L2RhdGVzPjxpc2JuPjE0
NjItMjIwMzwvaXNibj48YWNjZXNzaW9uLW51bT4yOTA2NTIwNDwvYWNjZXNzaW9uLW51bT48dXJs
cz48cmVsYXRlZC11cmxzPjx1cmw+aHR0cHM6Ly93YXRlcm1hcmsuc2lsdmVyY2hhaXIuY29tL250
eDE2MC5wZGY/dG9rZW49QVFFQ0FIaTIwOEJFNDlPb2FuOWtraFdfRXJjeTdEbTNaTF85Q2YzcWZL
QWM0ODV5c2dBQUFkUXdnZ0hRQmdrcWhraUc5dzBCQndhZ2dnSEJNSUlCdlFJQkFEQ0NBYllHQ1Nx
R1NJYjNEUUVIQVRBZUJnbGdoa2dCWlFNRUFTNHdFUVFNNkk3c2FKN255LTVjd21BaUFnRVFnSUlC
aDIzX1JDUVJUcWVEQ2VHdnhkWXg2dk4yQXcwZUI2Y3ozd0c0UF9vczZwTXkxOWtmOWdzTk40eThp
bkhVdWluNTN6WEIwend2dmE5TndWR2tRYTZCZWdTbTVKWkl0dFduODhUazR3Q3RxUW8xeVZ3Ni1o
NERIRmNmbEZFYUxVN0VKbGZDNnhCb2tnOEF2U3NaNXBFb3V5eGw3Sk9xMUd0Z2dFSFAzZkxHenJh
eGIwRGxLbW8ySEdHRFlNVjFHVUlGcjRIYm5XMkpHZFZwMFBWSkx3VnVFbHB4S3l4blhmZ1BodHdZ
NGpaZl9kSmlyWkxJaFE0VVBNOG1TS1FYaEoxOE9iY1dERTJfSm5BeHlBbWpSaWJxbTIxc0pVc2w2
bjVQZ3RKTmRsV21YZ05GTWd3NmJibkEzS0JmWDlWcl9USWNyM1BLQklibXUxaURXWW1GQ0FLUy1W
VGozTlRPbjdSZy1mMXNjdHNFRThyZWNfVTBraU5vRTdYdmNxQm96dFc5TWYxVHZiM0xoSDUtVXBL
YmdKMHp3d3Q0QW5YaGxuMFdBSXdjel8xcjVPd3kyYmhWdW02MkxrNWhuNGswZm1KOWJLM0hMeUdy
OS1hOUNLWnZWSWpweHpFZ3Nfd0FZYTNQXzBPbzJGSUhTNUM1cGtudEc1SlV3dVM2N09lVnhJVUJF
ek02QjQ2ejdXQTwvdXJsPjwvcmVsYXRlZC11cmxzPjwvdXJscz48ZWxlY3Ryb25pYy1yZXNvdXJj
ZS1udW0+MTAuMTA5My9udHIvbnR4MTYwPC9lbGVjdHJvbmljLXJlc291cmNlLW51bT48cmVtb3Rl
LWRhdGFiYXNlLXByb3ZpZGVyPk5MTTwvcmVtb3RlLWRhdGFiYXNlLXByb3ZpZGVyPjxsYW5ndWFn
ZT5lbmc8L2xhbmd1YWdlPjwvcmVjb3JkPjwvQ2l0ZT48L0VuZE5vdGU+
</w:fldData>
        </w:fldChar>
      </w:r>
      <w:r>
        <w:instrText xml:space="preserve"> ADDIN EN.CITE.DATA </w:instrText>
      </w:r>
      <w:r>
        <w:fldChar w:fldCharType="end"/>
      </w:r>
      <w:r>
        <w:fldChar w:fldCharType="separate"/>
      </w:r>
      <w:r>
        <w:rPr>
          <w:noProof/>
        </w:rPr>
        <w:t>(Selya, Dierker et al. 2017)</w:t>
      </w:r>
      <w:r>
        <w:fldChar w:fldCharType="end"/>
      </w:r>
      <w:r>
        <w:t>. This study recruited 9</w:t>
      </w:r>
      <w:r w:rsidRPr="00462FFD">
        <w:rPr>
          <w:vertAlign w:val="superscript"/>
        </w:rPr>
        <w:t>th</w:t>
      </w:r>
      <w:r>
        <w:t xml:space="preserve"> and 10</w:t>
      </w:r>
      <w:r w:rsidRPr="00462FFD">
        <w:rPr>
          <w:vertAlign w:val="superscript"/>
        </w:rPr>
        <w:t>th</w:t>
      </w:r>
      <w:r>
        <w:t xml:space="preserve"> graders through Chicago schools (US) and followed them for eight years. 35% of invited students participated in the study and retention at 8 years was 79.7% (n=1007), including both smokers and non</w:t>
      </w:r>
      <w:r>
        <w:noBreakHyphen/>
        <w:t>smokers. 86.9% were female and the mean age at eight years was 23.6 years. Participants included in this analysis reported smoking at least once during the eight</w:t>
      </w:r>
      <w:r>
        <w:noBreakHyphen/>
        <w:t>year study. E</w:t>
      </w:r>
      <w:r>
        <w:noBreakHyphen/>
        <w:t>cigarette use was analysed in last four years of the study (waves 5</w:t>
      </w:r>
      <w:r>
        <w:noBreakHyphen/>
        <w:t>8; years that e</w:t>
      </w:r>
      <w:r>
        <w:noBreakHyphen/>
        <w:t>cigarette data was collected). This study compared various quit methods (</w:t>
      </w:r>
      <w:r w:rsidRPr="00982C9F">
        <w:t>seeking support from a cessation group, Internet, or phone resource</w:t>
      </w:r>
      <w:r>
        <w:t>,</w:t>
      </w:r>
      <w:r w:rsidRPr="00982C9F">
        <w:t xml:space="preserve"> using </w:t>
      </w:r>
      <w:r>
        <w:t>medications or herbal supplements or</w:t>
      </w:r>
      <w:r w:rsidRPr="00982C9F">
        <w:t xml:space="preserve"> using nicotine replacement products</w:t>
      </w:r>
      <w:r>
        <w:t>) and only found nicotine replacement products to be effective and only in highly nicotine</w:t>
      </w:r>
      <w:r>
        <w:noBreakHyphen/>
        <w:t>dependent smokers. Despite this finding, among those who used e</w:t>
      </w:r>
      <w:r>
        <w:noBreakHyphen/>
        <w:t>cigarettes with the intention of quitting smoking, e</w:t>
      </w:r>
      <w:r>
        <w:noBreakHyphen/>
        <w:t xml:space="preserve">cigarette use was not associated with reductions in future smoking </w:t>
      </w:r>
      <w:r>
        <w:fldChar w:fldCharType="begin">
          <w:fldData xml:space="preserve">PEVuZE5vdGU+PENpdGU+PEF1dGhvcj5TZWx5YTwvQXV0aG9yPjxZZWFyPjIwMTc8L1llYXI+PFJl
Y051bT40ODU3PC9SZWNOdW0+PERpc3BsYXlUZXh0PihTZWx5YSwgRGllcmtlciBldCBhbC4gMjAx
Nyk8L0Rpc3BsYXlUZXh0PjxyZWNvcmQ+PHJlYy1udW1iZXI+NDg1NzwvcmVjLW51bWJlcj48Zm9y
ZWlnbi1rZXlzPjxrZXkgYXBwPSJFTiIgZGItaWQ9Ijl6MDVkejBwcmFhZGZ1ZWUwem94emVkazl6
ZmU1Znh4NTB6NSIgdGltZXN0YW1wPSIxNTIzOTIwNTQ3Ij40ODU3PC9rZXk+PC9mb3JlaWduLWtl
eXM+PHJlZi10eXBlIG5hbWU9IkpvdXJuYWwgQXJ0aWNsZSI+MTc8L3JlZi10eXBlPjxjb250cmli
dXRvcnM+PGF1dGhvcnM+PGF1dGhvcj5TZWx5YSwgQS4gUy48L2F1dGhvcj48YXV0aG9yPkRpZXJr
ZXIsIEwuPC9hdXRob3I+PGF1dGhvcj5Sb3NlLCBKLiBTLjwvYXV0aG9yPjxhdXRob3I+SGVkZWtl
ciwgRC48L2F1dGhvcj48YXV0aG9yPk1lcm1lbHN0ZWluLCBSLiBKLjwvYXV0aG9yPjwvYXV0aG9y
cz48L2NvbnRyaWJ1dG9ycz48YXV0aC1hZGRyZXNzPkRlcGFydG1lbnQgb2YgUG9wdWxhdGlvbiBI
ZWFsdGgsIFVuaXZlcnNpdHkgb2YgTm9ydGggRGFrb3RhLCBHcmFuZCBGb3JrcywgTkQuJiN4RDtQ
c3ljaG9sb2d5IERlcGFydG1lbnQsIFdlc2xleWFuIFVuaXZlcnNpdHksIE1pZGRsZXRvd24sIENU
LiYjeEQ7RGVwYXJ0bWVudCBvZiBQdWJsaWMgSGVhbHRoIFNjaWVuY2VzLCBVbml2ZXJzaXR5IG9m
IENoaWNhZ28sIENoaWNhZ28sIElMLiYjeEQ7SW5zdGl0dXRlIGZvciBIZWFsdGggUmVzZWFyY2gg
YW5kIFBvbGljeSwgVW5pdmVyc2l0eSBvZiBJbGxpbm9pcyBhdCBDaGljYWdvLCBDaGljYWdvLCBJ
TC48L2F1dGgtYWRkcmVzcz48dGl0bGVzPjx0aXRsZT5UaGUgUm9sZSBvZiBOaWNvdGluZSBEZXBl
bmRlbmNlIGluIEUtQ2lnYXJldHRlcyZhcG9zOyBQb3RlbnRpYWwgZm9yIFNtb2tpbmcgUmVkdWN0
aW9uPC90aXRsZT48c2Vjb25kYXJ5LXRpdGxlPk5pY290aW5lIFRvYiBSZXM8L3NlY29uZGFyeS10
aXRsZT48YWx0LXRpdGxlPk5pY290aW5lICZhbXA7IHRvYmFjY28gcmVzZWFyY2ggOiBvZmZpY2lh
bCBqb3VybmFsIG9mIHRoZSBTb2NpZXR5IGZvciBSZXNlYXJjaCBvbiBOaWNvdGluZSBhbmQgVG9i
YWNjbzwvYWx0LXRpdGxlPjwvdGl0bGVzPjxwZXJpb2RpY2FsPjxmdWxsLXRpdGxlPk5pY290aW5l
IFRvYiBSZXM8L2Z1bGwtdGl0bGU+PGFiYnItMT5OaWNvdGluZSAmYW1wOyB0b2JhY2NvIHJlc2Vh
cmNoIDogb2ZmaWNpYWwgam91cm5hbCBvZiB0aGUgU29jaWV0eSBmb3IgUmVzZWFyY2ggb24gTmlj
b3RpbmUgYW5kIFRvYmFjY288L2FiYnItMT48L3BlcmlvZGljYWw+PGFsdC1wZXJpb2RpY2FsPjxm
dWxsLXRpdGxlPk5pY290aW5lIFRvYiBSZXM8L2Z1bGwtdGl0bGU+PGFiYnItMT5OaWNvdGluZSAm
YW1wOyB0b2JhY2NvIHJlc2VhcmNoIDogb2ZmaWNpYWwgam91cm5hbCBvZiB0aGUgU29jaWV0eSBm
b3IgUmVzZWFyY2ggb24gTmljb3RpbmUgYW5kIFRvYmFjY288L2FiYnItMT48L2FsdC1wZXJpb2Rp
Y2FsPjxlZGl0aW9uPjIwMTcvMTAvMjU8L2VkaXRpb24+PGRhdGVzPjx5ZWFyPjIwMTc8L3llYXI+
PHB1Yi1kYXRlcz48ZGF0ZT5KdWwgNzwvZGF0ZT48L3B1Yi1kYXRlcz48L2RhdGVzPjxpc2JuPjE0
NjItMjIwMzwvaXNibj48YWNjZXNzaW9uLW51bT4yOTA2NTIwNDwvYWNjZXNzaW9uLW51bT48dXJs
cz48cmVsYXRlZC11cmxzPjx1cmw+aHR0cHM6Ly93YXRlcm1hcmsuc2lsdmVyY2hhaXIuY29tL250
eDE2MC5wZGY/dG9rZW49QVFFQ0FIaTIwOEJFNDlPb2FuOWtraFdfRXJjeTdEbTNaTF85Q2YzcWZL
QWM0ODV5c2dBQUFkUXdnZ0hRQmdrcWhraUc5dzBCQndhZ2dnSEJNSUlCdlFJQkFEQ0NBYllHQ1Nx
R1NJYjNEUUVIQVRBZUJnbGdoa2dCWlFNRUFTNHdFUVFNNkk3c2FKN255LTVjd21BaUFnRVFnSUlC
aDIzX1JDUVJUcWVEQ2VHdnhkWXg2dk4yQXcwZUI2Y3ozd0c0UF9vczZwTXkxOWtmOWdzTk40eThp
bkhVdWluNTN6WEIwend2dmE5TndWR2tRYTZCZWdTbTVKWkl0dFduODhUazR3Q3RxUW8xeVZ3Ni1o
NERIRmNmbEZFYUxVN0VKbGZDNnhCb2tnOEF2U3NaNXBFb3V5eGw3Sk9xMUd0Z2dFSFAzZkxHenJh
eGIwRGxLbW8ySEdHRFlNVjFHVUlGcjRIYm5XMkpHZFZwMFBWSkx3VnVFbHB4S3l4blhmZ1BodHdZ
NGpaZl9kSmlyWkxJaFE0VVBNOG1TS1FYaEoxOE9iY1dERTJfSm5BeHlBbWpSaWJxbTIxc0pVc2w2
bjVQZ3RKTmRsV21YZ05GTWd3NmJibkEzS0JmWDlWcl9USWNyM1BLQklibXUxaURXWW1GQ0FLUy1W
VGozTlRPbjdSZy1mMXNjdHNFRThyZWNfVTBraU5vRTdYdmNxQm96dFc5TWYxVHZiM0xoSDUtVXBL
YmdKMHp3d3Q0QW5YaGxuMFdBSXdjel8xcjVPd3kyYmhWdW02MkxrNWhuNGswZm1KOWJLM0hMeUdy
OS1hOUNLWnZWSWpweHpFZ3Nfd0FZYTNQXzBPbzJGSUhTNUM1cGtudEc1SlV3dVM2N09lVnhJVUJF
ek02QjQ2ejdXQTwvdXJsPjwvcmVsYXRlZC11cmxzPjwvdXJscz48ZWxlY3Ryb25pYy1yZXNvdXJj
ZS1udW0+MTAuMTA5My9udHIvbnR4MTYwPC9lbGVjdHJvbmljLXJlc291cmNlLW51bT48cmVtb3Rl
LWRhdGFiYXNlLXByb3ZpZGVyPk5MTTwvcmVtb3RlLWRhdGFiYXNlLXByb3ZpZGVyPjxsYW5ndWFn
ZT5lbmc8L2xhbmd1YWdlPjwvcmVjb3JkPjwvQ2l0ZT48L0VuZE5vdGU+
</w:fldData>
        </w:fldChar>
      </w:r>
      <w:r>
        <w:instrText xml:space="preserve"> ADDIN EN.CITE </w:instrText>
      </w:r>
      <w:r>
        <w:fldChar w:fldCharType="begin">
          <w:fldData xml:space="preserve">PEVuZE5vdGU+PENpdGU+PEF1dGhvcj5TZWx5YTwvQXV0aG9yPjxZZWFyPjIwMTc8L1llYXI+PFJl
Y051bT40ODU3PC9SZWNOdW0+PERpc3BsYXlUZXh0PihTZWx5YSwgRGllcmtlciBldCBhbC4gMjAx
Nyk8L0Rpc3BsYXlUZXh0PjxyZWNvcmQ+PHJlYy1udW1iZXI+NDg1NzwvcmVjLW51bWJlcj48Zm9y
ZWlnbi1rZXlzPjxrZXkgYXBwPSJFTiIgZGItaWQ9Ijl6MDVkejBwcmFhZGZ1ZWUwem94emVkazl6
ZmU1Znh4NTB6NSIgdGltZXN0YW1wPSIxNTIzOTIwNTQ3Ij40ODU3PC9rZXk+PC9mb3JlaWduLWtl
eXM+PHJlZi10eXBlIG5hbWU9IkpvdXJuYWwgQXJ0aWNsZSI+MTc8L3JlZi10eXBlPjxjb250cmli
dXRvcnM+PGF1dGhvcnM+PGF1dGhvcj5TZWx5YSwgQS4gUy48L2F1dGhvcj48YXV0aG9yPkRpZXJr
ZXIsIEwuPC9hdXRob3I+PGF1dGhvcj5Sb3NlLCBKLiBTLjwvYXV0aG9yPjxhdXRob3I+SGVkZWtl
ciwgRC48L2F1dGhvcj48YXV0aG9yPk1lcm1lbHN0ZWluLCBSLiBKLjwvYXV0aG9yPjwvYXV0aG9y
cz48L2NvbnRyaWJ1dG9ycz48YXV0aC1hZGRyZXNzPkRlcGFydG1lbnQgb2YgUG9wdWxhdGlvbiBI
ZWFsdGgsIFVuaXZlcnNpdHkgb2YgTm9ydGggRGFrb3RhLCBHcmFuZCBGb3JrcywgTkQuJiN4RDtQ
c3ljaG9sb2d5IERlcGFydG1lbnQsIFdlc2xleWFuIFVuaXZlcnNpdHksIE1pZGRsZXRvd24sIENU
LiYjeEQ7RGVwYXJ0bWVudCBvZiBQdWJsaWMgSGVhbHRoIFNjaWVuY2VzLCBVbml2ZXJzaXR5IG9m
IENoaWNhZ28sIENoaWNhZ28sIElMLiYjeEQ7SW5zdGl0dXRlIGZvciBIZWFsdGggUmVzZWFyY2gg
YW5kIFBvbGljeSwgVW5pdmVyc2l0eSBvZiBJbGxpbm9pcyBhdCBDaGljYWdvLCBDaGljYWdvLCBJ
TC48L2F1dGgtYWRkcmVzcz48dGl0bGVzPjx0aXRsZT5UaGUgUm9sZSBvZiBOaWNvdGluZSBEZXBl
bmRlbmNlIGluIEUtQ2lnYXJldHRlcyZhcG9zOyBQb3RlbnRpYWwgZm9yIFNtb2tpbmcgUmVkdWN0
aW9uPC90aXRsZT48c2Vjb25kYXJ5LXRpdGxlPk5pY290aW5lIFRvYiBSZXM8L3NlY29uZGFyeS10
aXRsZT48YWx0LXRpdGxlPk5pY290aW5lICZhbXA7IHRvYmFjY28gcmVzZWFyY2ggOiBvZmZpY2lh
bCBqb3VybmFsIG9mIHRoZSBTb2NpZXR5IGZvciBSZXNlYXJjaCBvbiBOaWNvdGluZSBhbmQgVG9i
YWNjbzwvYWx0LXRpdGxlPjwvdGl0bGVzPjxwZXJpb2RpY2FsPjxmdWxsLXRpdGxlPk5pY290aW5l
IFRvYiBSZXM8L2Z1bGwtdGl0bGU+PGFiYnItMT5OaWNvdGluZSAmYW1wOyB0b2JhY2NvIHJlc2Vh
cmNoIDogb2ZmaWNpYWwgam91cm5hbCBvZiB0aGUgU29jaWV0eSBmb3IgUmVzZWFyY2ggb24gTmlj
b3RpbmUgYW5kIFRvYmFjY288L2FiYnItMT48L3BlcmlvZGljYWw+PGFsdC1wZXJpb2RpY2FsPjxm
dWxsLXRpdGxlPk5pY290aW5lIFRvYiBSZXM8L2Z1bGwtdGl0bGU+PGFiYnItMT5OaWNvdGluZSAm
YW1wOyB0b2JhY2NvIHJlc2VhcmNoIDogb2ZmaWNpYWwgam91cm5hbCBvZiB0aGUgU29jaWV0eSBm
b3IgUmVzZWFyY2ggb24gTmljb3RpbmUgYW5kIFRvYmFjY288L2FiYnItMT48L2FsdC1wZXJpb2Rp
Y2FsPjxlZGl0aW9uPjIwMTcvMTAvMjU8L2VkaXRpb24+PGRhdGVzPjx5ZWFyPjIwMTc8L3llYXI+
PHB1Yi1kYXRlcz48ZGF0ZT5KdWwgNzwvZGF0ZT48L3B1Yi1kYXRlcz48L2RhdGVzPjxpc2JuPjE0
NjItMjIwMzwvaXNibj48YWNjZXNzaW9uLW51bT4yOTA2NTIwNDwvYWNjZXNzaW9uLW51bT48dXJs
cz48cmVsYXRlZC11cmxzPjx1cmw+aHR0cHM6Ly93YXRlcm1hcmsuc2lsdmVyY2hhaXIuY29tL250
eDE2MC5wZGY/dG9rZW49QVFFQ0FIaTIwOEJFNDlPb2FuOWtraFdfRXJjeTdEbTNaTF85Q2YzcWZL
QWM0ODV5c2dBQUFkUXdnZ0hRQmdrcWhraUc5dzBCQndhZ2dnSEJNSUlCdlFJQkFEQ0NBYllHQ1Nx
R1NJYjNEUUVIQVRBZUJnbGdoa2dCWlFNRUFTNHdFUVFNNkk3c2FKN255LTVjd21BaUFnRVFnSUlC
aDIzX1JDUVJUcWVEQ2VHdnhkWXg2dk4yQXcwZUI2Y3ozd0c0UF9vczZwTXkxOWtmOWdzTk40eThp
bkhVdWluNTN6WEIwend2dmE5TndWR2tRYTZCZWdTbTVKWkl0dFduODhUazR3Q3RxUW8xeVZ3Ni1o
NERIRmNmbEZFYUxVN0VKbGZDNnhCb2tnOEF2U3NaNXBFb3V5eGw3Sk9xMUd0Z2dFSFAzZkxHenJh
eGIwRGxLbW8ySEdHRFlNVjFHVUlGcjRIYm5XMkpHZFZwMFBWSkx3VnVFbHB4S3l4blhmZ1BodHdZ
NGpaZl9kSmlyWkxJaFE0VVBNOG1TS1FYaEoxOE9iY1dERTJfSm5BeHlBbWpSaWJxbTIxc0pVc2w2
bjVQZ3RKTmRsV21YZ05GTWd3NmJibkEzS0JmWDlWcl9USWNyM1BLQklibXUxaURXWW1GQ0FLUy1W
VGozTlRPbjdSZy1mMXNjdHNFRThyZWNfVTBraU5vRTdYdmNxQm96dFc5TWYxVHZiM0xoSDUtVXBL
YmdKMHp3d3Q0QW5YaGxuMFdBSXdjel8xcjVPd3kyYmhWdW02MkxrNWhuNGswZm1KOWJLM0hMeUdy
OS1hOUNLWnZWSWpweHpFZ3Nfd0FZYTNQXzBPbzJGSUhTNUM1cGtudEc1SlV3dVM2N09lVnhJVUJF
ek02QjQ2ejdXQTwvdXJsPjwvcmVsYXRlZC11cmxzPjwvdXJscz48ZWxlY3Ryb25pYy1yZXNvdXJj
ZS1udW0+MTAuMTA5My9udHIvbnR4MTYwPC9lbGVjdHJvbmljLXJlc291cmNlLW51bT48cmVtb3Rl
LWRhdGFiYXNlLXByb3ZpZGVyPk5MTTwvcmVtb3RlLWRhdGFiYXNlLXByb3ZpZGVyPjxsYW5ndWFn
ZT5lbmc8L2xhbmd1YWdlPjwvcmVjb3JkPjwvQ2l0ZT48L0VuZE5vdGU+
</w:fldData>
        </w:fldChar>
      </w:r>
      <w:r>
        <w:instrText xml:space="preserve"> ADDIN EN.CITE.DATA </w:instrText>
      </w:r>
      <w:r>
        <w:fldChar w:fldCharType="end"/>
      </w:r>
      <w:r>
        <w:fldChar w:fldCharType="separate"/>
      </w:r>
      <w:r>
        <w:rPr>
          <w:noProof/>
        </w:rPr>
        <w:t>(Selya, Dierker et al. 2017)</w:t>
      </w:r>
      <w:r>
        <w:fldChar w:fldCharType="end"/>
      </w:r>
      <w:r>
        <w:t xml:space="preserve">. </w:t>
      </w:r>
    </w:p>
    <w:p w14:paraId="116A672F" w14:textId="71CC9A2A" w:rsidR="002738DD" w:rsidRDefault="002738DD" w:rsidP="002738DD">
      <w:pPr>
        <w:pStyle w:val="BodyText"/>
      </w:pPr>
      <w:r>
        <w:t>Frequency of e</w:t>
      </w:r>
      <w:r>
        <w:noBreakHyphen/>
        <w:t xml:space="preserve">cigarette use is a key variable in smoking cessation outcomes. 2,760 </w:t>
      </w:r>
      <w:r w:rsidRPr="00FC7160">
        <w:t xml:space="preserve">smokers seeking cessation treatment were recruited for a </w:t>
      </w:r>
      <w:r w:rsidR="00F02D3D">
        <w:t>seven</w:t>
      </w:r>
      <w:r>
        <w:noBreakHyphen/>
      </w:r>
      <w:r w:rsidRPr="00FC7160">
        <w:t xml:space="preserve">month study through quit lines in the US. Response rates were reported according to the three states involved; 58.3% for Minnesota, 49.3% for Oklahoma, and 48.3% for Florida. Participants were 57.9% female and &gt;18 years (age reported in table </w:t>
      </w:r>
      <w:r w:rsidR="00F0285D">
        <w:t>1</w:t>
      </w:r>
      <w:r w:rsidRPr="00FC7160">
        <w:t>3</w:t>
      </w:r>
      <w:r w:rsidR="00F0285D">
        <w:t xml:space="preserve"> and 14</w:t>
      </w:r>
      <w:r w:rsidRPr="00FC7160">
        <w:t>). Analyses controlled for age, gender, level of education, tobacco type, advice from a health professional, a combined state</w:t>
      </w:r>
      <w:r>
        <w:noBreakHyphen/>
      </w:r>
      <w:r w:rsidRPr="00FC7160">
        <w:t>program variable, and stop</w:t>
      </w:r>
      <w:r>
        <w:noBreakHyphen/>
      </w:r>
      <w:r w:rsidRPr="00FC7160">
        <w:t>smoking medication use post</w:t>
      </w:r>
      <w:r>
        <w:noBreakHyphen/>
      </w:r>
      <w:r w:rsidRPr="00FC7160">
        <w:t>enrolment. Any past 30</w:t>
      </w:r>
      <w:r>
        <w:noBreakHyphen/>
      </w:r>
      <w:r w:rsidRPr="00FC7160">
        <w:t>day e</w:t>
      </w:r>
      <w:r>
        <w:noBreakHyphen/>
      </w:r>
      <w:r w:rsidRPr="00FC7160">
        <w:t>cigarette use was associated with lower quit rates than no e</w:t>
      </w:r>
      <w:r>
        <w:noBreakHyphen/>
      </w:r>
      <w:r w:rsidRPr="00FC7160">
        <w:t>cigarette use (AOR</w:t>
      </w:r>
      <w:r>
        <w:t>=</w:t>
      </w:r>
      <w:r w:rsidRPr="00FC7160">
        <w:t>0.63; p=0.001). When compared with non</w:t>
      </w:r>
      <w:r>
        <w:noBreakHyphen/>
      </w:r>
      <w:r w:rsidRPr="00FC7160">
        <w:t>use, infrequent (AOR</w:t>
      </w:r>
      <w:r>
        <w:t>=</w:t>
      </w:r>
      <w:r w:rsidRPr="00FC7160">
        <w:t>0.35; CI</w:t>
      </w:r>
      <w:r>
        <w:t>=</w:t>
      </w:r>
      <w:r w:rsidRPr="00FC7160">
        <w:t>0.20–0.59) and intermediate (AOR</w:t>
      </w:r>
      <w:r>
        <w:t>=</w:t>
      </w:r>
      <w:r w:rsidRPr="00FC7160">
        <w:t>0.50; CI</w:t>
      </w:r>
      <w:r>
        <w:t>=</w:t>
      </w:r>
      <w:r w:rsidRPr="00FC7160">
        <w:t>0.32–0.80) past 30</w:t>
      </w:r>
      <w:r>
        <w:noBreakHyphen/>
      </w:r>
      <w:r w:rsidRPr="00FC7160">
        <w:t>day e</w:t>
      </w:r>
      <w:r>
        <w:noBreakHyphen/>
      </w:r>
      <w:r w:rsidRPr="00FC7160">
        <w:t>cigarette use was associated with lower rates of tobacco abstinence. However, daily e</w:t>
      </w:r>
      <w:r>
        <w:noBreakHyphen/>
      </w:r>
      <w:r w:rsidRPr="00FC7160">
        <w:t>cigarette users when compared with non</w:t>
      </w:r>
      <w:r>
        <w:noBreakHyphen/>
      </w:r>
      <w:r w:rsidRPr="00FC7160">
        <w:t>users was not associated with quit status (AOR</w:t>
      </w:r>
      <w:r>
        <w:t>=</w:t>
      </w:r>
      <w:r w:rsidRPr="00FC7160">
        <w:t xml:space="preserve">1.16; p=0.453) </w:t>
      </w:r>
      <w:r w:rsidRPr="00FC7160">
        <w:fldChar w:fldCharType="begin">
          <w:fldData xml:space="preserve">PEVuZE5vdGU+PENpdGU+PEF1dGhvcj5TdWJpYWxrYSBOb3dhcmlhazwvQXV0aG9yPjxZZWFyPjIw
MTg8L1llYXI+PFJlY051bT40ODk4PC9SZWNOdW0+PERpc3BsYXlUZXh0PihTdWJpYWxrYSBOb3dh
cmlhaywgTGllbiBldCBhbC4gMjAxOCk8L0Rpc3BsYXlUZXh0PjxyZWNvcmQ+PHJlYy1udW1iZXI+
NDg5ODwvcmVjLW51bWJlcj48Zm9yZWlnbi1rZXlzPjxrZXkgYXBwPSJFTiIgZGItaWQ9Ijl6MDVk
ejBwcmFhZGZ1ZWUwem94emVkazl6ZmU1Znh4NTB6NSIgdGltZXN0YW1wPSIxNTIzOTIwNTkxIj40
ODk4PC9rZXk+PC9mb3JlaWduLWtleXM+PHJlZi10eXBlIG5hbWU9IkpvdXJuYWwgQXJ0aWNsZSI+
MTc8L3JlZi10eXBlPjxjb250cmlidXRvcnM+PGF1dGhvcnM+PGF1dGhvcj5TdWJpYWxrYSBOb3dh
cmlhaywgRS4gTi48L2F1dGhvcj48YXV0aG9yPkxpZW4sIFIuIEsuPC9hdXRob3I+PGF1dGhvcj5C
b3lsZSwgUi4gRy48L2F1dGhvcj48YXV0aG9yPkFtYXRvLCBNLiBTLjwvYXV0aG9yPjxhdXRob3I+
QmVlYmUsIEwuIEEuPC9hdXRob3I+PC9hdXRob3JzPjwvY29udHJpYnV0b3JzPjxhdXRoLWFkZHJl
c3M+UHJvZmVzc2lvbmFsIERhdGEgQW5hbHlzdHMsIEluYy4sIDIxOSBNYWluIFN0cmVldCBTRSwg
U3VpdGUgMzAyLCBNaW5uZWFwb2xpcywgTU4gNTU0MTQsIFVTQS4gRWxlY3Ryb25pYyBhZGRyZXNz
OiBlc3ViaWFsa2FAcGRhc3RhdHMuY29tLiYjeEQ7UHJvZmVzc2lvbmFsIERhdGEgQW5hbHlzdHMs
IEluYy4sIDIxOSBNYWluIFN0cmVldCBTRSwgU3VpdGUgMzAyLCBNaW5uZWFwb2xpcywgTU4gNTU0
MTQsIFVTQS4gRWxlY3Ryb25pYyBhZGRyZXNzOiBibGllbkBwZGFzdGF0cy5jb20uJiN4RDtDbGVh
cldheSBNaW5uZXNvdGEoU00pLCBUd28gQXBwbGV0cmVlIFNxdWFyZSwgODAxMSAzNHRoIEF2ZW51
ZSBTb3V0aCwgU3VpdGUgNDAwLCBNaW5uZWFwb2xpcywgTU4gNTU0MjUsIFVTQS4gRWxlY3Ryb25p
YyBhZGRyZXNzOiByYm95bGVAY2xlYXJ3YXltbi5vcmcuJiN4RDtUcnV0aCBJbml0aWF0aXZlKFIp
LCA5MDAgRyBTdHJlZXQsIE5XLCBGb3VydGggRmxvb3IsIFdhc2hpbmd0b24sIERDIDIwMDAxLCBV
U0EuIEVsZWN0cm9uaWMgYWRkcmVzczogbWFtYXRvQHRydXRoaW5pdGlhdGl2ZS5vcmcuJiN4RDtV
bml2ZXJzaXR5IG9mIE9rbGFob21hIEhlYWx0aCBTY2llbmNlcyBDZW50ZXIsIERlcGFydG1lbnQg
b2YgQmlvc3RhdGlzdGljcyBhbmQgRXBpZGVtaW9sb2d5LCBDb2xsZWdlIG9mIFB1YmxpYyBIZWFs
dGgsIDgwMSBORSAxM3RoIFN0cmVldCwgT2tsYWhvbWEgQ2l0eSwgT0sgNzMxMDQsIFVTQS4gRWxl
Y3Ryb25pYyBhZGRyZXNzOiBsYXVyYS1iZWViZUBvdWhzYy5lZHUuPC9hdXRoLWFkZHJlc3M+PHRp
dGxlcz48dGl0bGU+RS1jaWdhcmV0dGUgdXNlIGFtb25nIHRyZWF0bWVudC1zZWVraW5nIHNtb2tl
cnM6IE1vZGVyYXRpb24gb2YgYWJzdGluZW5jZSBieSB1c2UgZnJlcXVlbmN5PC90aXRsZT48c2Vj
b25kYXJ5LXRpdGxlPkFkZGljdCBCZWhhdjwvc2Vjb25kYXJ5LXRpdGxlPjxhbHQtdGl0bGU+QWRk
aWN0aXZlIGJlaGF2aW9yczwvYWx0LXRpdGxlPjwvdGl0bGVzPjxhbHQtcGVyaW9kaWNhbD48ZnVs
bC10aXRsZT5BZGRpY3RpdmUgQmVoYXZpb3JzPC9mdWxsLXRpdGxlPjwvYWx0LXBlcmlvZGljYWw+
PHBhZ2VzPjEzNy0xNDI8L3BhZ2VzPjx2b2x1bWU+Nzc8L3ZvbHVtZT48ZWRpdGlvbj4yMDE3LzEw
LzExPC9lZGl0aW9uPjxrZXl3b3Jkcz48a2V5d29yZD5FbGVjdHJvbmljIGNpZ2FyZXR0ZXMgKGUt
Y2lnYXJldHRlcyk8L2tleXdvcmQ+PGtleXdvcmQ+UHVibGljIGhlYWx0aDwva2V5d29yZD48a2V5
d29yZD5TbW9raW5nIGNlc3NhdGlvbjwva2V5d29yZD48a2V5d29yZD5Ub2JhY2NvIGNvbnRyb2w8
L2tleXdvcmQ+PGtleXdvcmQ+VG9iYWNjbyBxdWl0bGluZXM8L2tleXdvcmQ+PC9rZXl3b3Jkcz48
ZGF0ZXM+PHllYXI+MjAxODwveWVhcj48cHViLWRhdGVzPjxkYXRlPkZlYjwvZGF0ZT48L3B1Yi1k
YXRlcz48L2RhdGVzPjxpc2JuPjAzMDYtNDYwMzwvaXNibj48YWNjZXNzaW9uLW51bT4yODk5MjU3
OTwvYWNjZXNzaW9uLW51bT48dXJscz48cmVsYXRlZC11cmxzPjx1cmw+aHR0cHM6Ly93d3cuc2Np
ZW5jZWRpcmVjdC5jb20vc2NpZW5jZS9hcnRpY2xlL3BpaS9TMDMwNjQ2MDMxNzMwMzY5Nj92aWEl
M0RpaHViPC91cmw+PC9yZWxhdGVkLXVybHM+PC91cmxzPjxlbGVjdHJvbmljLXJlc291cmNlLW51
bT4xMC4xMDE2L2ouYWRkYmVoLjIwMTcuMDkuMDIzPC9lbGVjdHJvbmljLXJlc291cmNlLW51bT48
cmVtb3RlLWRhdGFiYXNlLXByb3ZpZGVyPk5MTTwvcmVtb3RlLWRhdGFiYXNlLXByb3ZpZGVyPjxs
YW5ndWFnZT5lbmc8L2xhbmd1YWdlPjwvcmVjb3JkPjwvQ2l0ZT48L0VuZE5vdGU+AG==
</w:fldData>
        </w:fldChar>
      </w:r>
      <w:r w:rsidRPr="00FC7160">
        <w:instrText xml:space="preserve"> ADDIN EN.CITE </w:instrText>
      </w:r>
      <w:r w:rsidRPr="00FC7160">
        <w:fldChar w:fldCharType="begin">
          <w:fldData xml:space="preserve">PEVuZE5vdGU+PENpdGU+PEF1dGhvcj5TdWJpYWxrYSBOb3dhcmlhazwvQXV0aG9yPjxZZWFyPjIw
MTg8L1llYXI+PFJlY051bT40ODk4PC9SZWNOdW0+PERpc3BsYXlUZXh0PihTdWJpYWxrYSBOb3dh
cmlhaywgTGllbiBldCBhbC4gMjAxOCk8L0Rpc3BsYXlUZXh0PjxyZWNvcmQ+PHJlYy1udW1iZXI+
NDg5ODwvcmVjLW51bWJlcj48Zm9yZWlnbi1rZXlzPjxrZXkgYXBwPSJFTiIgZGItaWQ9Ijl6MDVk
ejBwcmFhZGZ1ZWUwem94emVkazl6ZmU1Znh4NTB6NSIgdGltZXN0YW1wPSIxNTIzOTIwNTkxIj40
ODk4PC9rZXk+PC9mb3JlaWduLWtleXM+PHJlZi10eXBlIG5hbWU9IkpvdXJuYWwgQXJ0aWNsZSI+
MTc8L3JlZi10eXBlPjxjb250cmlidXRvcnM+PGF1dGhvcnM+PGF1dGhvcj5TdWJpYWxrYSBOb3dh
cmlhaywgRS4gTi48L2F1dGhvcj48YXV0aG9yPkxpZW4sIFIuIEsuPC9hdXRob3I+PGF1dGhvcj5C
b3lsZSwgUi4gRy48L2F1dGhvcj48YXV0aG9yPkFtYXRvLCBNLiBTLjwvYXV0aG9yPjxhdXRob3I+
QmVlYmUsIEwuIEEuPC9hdXRob3I+PC9hdXRob3JzPjwvY29udHJpYnV0b3JzPjxhdXRoLWFkZHJl
c3M+UHJvZmVzc2lvbmFsIERhdGEgQW5hbHlzdHMsIEluYy4sIDIxOSBNYWluIFN0cmVldCBTRSwg
U3VpdGUgMzAyLCBNaW5uZWFwb2xpcywgTU4gNTU0MTQsIFVTQS4gRWxlY3Ryb25pYyBhZGRyZXNz
OiBlc3ViaWFsa2FAcGRhc3RhdHMuY29tLiYjeEQ7UHJvZmVzc2lvbmFsIERhdGEgQW5hbHlzdHMs
IEluYy4sIDIxOSBNYWluIFN0cmVldCBTRSwgU3VpdGUgMzAyLCBNaW5uZWFwb2xpcywgTU4gNTU0
MTQsIFVTQS4gRWxlY3Ryb25pYyBhZGRyZXNzOiBibGllbkBwZGFzdGF0cy5jb20uJiN4RDtDbGVh
cldheSBNaW5uZXNvdGEoU00pLCBUd28gQXBwbGV0cmVlIFNxdWFyZSwgODAxMSAzNHRoIEF2ZW51
ZSBTb3V0aCwgU3VpdGUgNDAwLCBNaW5uZWFwb2xpcywgTU4gNTU0MjUsIFVTQS4gRWxlY3Ryb25p
YyBhZGRyZXNzOiByYm95bGVAY2xlYXJ3YXltbi5vcmcuJiN4RDtUcnV0aCBJbml0aWF0aXZlKFIp
LCA5MDAgRyBTdHJlZXQsIE5XLCBGb3VydGggRmxvb3IsIFdhc2hpbmd0b24sIERDIDIwMDAxLCBV
U0EuIEVsZWN0cm9uaWMgYWRkcmVzczogbWFtYXRvQHRydXRoaW5pdGlhdGl2ZS5vcmcuJiN4RDtV
bml2ZXJzaXR5IG9mIE9rbGFob21hIEhlYWx0aCBTY2llbmNlcyBDZW50ZXIsIERlcGFydG1lbnQg
b2YgQmlvc3RhdGlzdGljcyBhbmQgRXBpZGVtaW9sb2d5LCBDb2xsZWdlIG9mIFB1YmxpYyBIZWFs
dGgsIDgwMSBORSAxM3RoIFN0cmVldCwgT2tsYWhvbWEgQ2l0eSwgT0sgNzMxMDQsIFVTQS4gRWxl
Y3Ryb25pYyBhZGRyZXNzOiBsYXVyYS1iZWViZUBvdWhzYy5lZHUuPC9hdXRoLWFkZHJlc3M+PHRp
dGxlcz48dGl0bGU+RS1jaWdhcmV0dGUgdXNlIGFtb25nIHRyZWF0bWVudC1zZWVraW5nIHNtb2tl
cnM6IE1vZGVyYXRpb24gb2YgYWJzdGluZW5jZSBieSB1c2UgZnJlcXVlbmN5PC90aXRsZT48c2Vj
b25kYXJ5LXRpdGxlPkFkZGljdCBCZWhhdjwvc2Vjb25kYXJ5LXRpdGxlPjxhbHQtdGl0bGU+QWRk
aWN0aXZlIGJlaGF2aW9yczwvYWx0LXRpdGxlPjwvdGl0bGVzPjxhbHQtcGVyaW9kaWNhbD48ZnVs
bC10aXRsZT5BZGRpY3RpdmUgQmVoYXZpb3JzPC9mdWxsLXRpdGxlPjwvYWx0LXBlcmlvZGljYWw+
PHBhZ2VzPjEzNy0xNDI8L3BhZ2VzPjx2b2x1bWU+Nzc8L3ZvbHVtZT48ZWRpdGlvbj4yMDE3LzEw
LzExPC9lZGl0aW9uPjxrZXl3b3Jkcz48a2V5d29yZD5FbGVjdHJvbmljIGNpZ2FyZXR0ZXMgKGUt
Y2lnYXJldHRlcyk8L2tleXdvcmQ+PGtleXdvcmQ+UHVibGljIGhlYWx0aDwva2V5d29yZD48a2V5
d29yZD5TbW9raW5nIGNlc3NhdGlvbjwva2V5d29yZD48a2V5d29yZD5Ub2JhY2NvIGNvbnRyb2w8
L2tleXdvcmQ+PGtleXdvcmQ+VG9iYWNjbyBxdWl0bGluZXM8L2tleXdvcmQ+PC9rZXl3b3Jkcz48
ZGF0ZXM+PHllYXI+MjAxODwveWVhcj48cHViLWRhdGVzPjxkYXRlPkZlYjwvZGF0ZT48L3B1Yi1k
YXRlcz48L2RhdGVzPjxpc2JuPjAzMDYtNDYwMzwvaXNibj48YWNjZXNzaW9uLW51bT4yODk5MjU3
OTwvYWNjZXNzaW9uLW51bT48dXJscz48cmVsYXRlZC11cmxzPjx1cmw+aHR0cHM6Ly93d3cuc2Np
ZW5jZWRpcmVjdC5jb20vc2NpZW5jZS9hcnRpY2xlL3BpaS9TMDMwNjQ2MDMxNzMwMzY5Nj92aWEl
M0RpaHViPC91cmw+PC9yZWxhdGVkLXVybHM+PC91cmxzPjxlbGVjdHJvbmljLXJlc291cmNlLW51
bT4xMC4xMDE2L2ouYWRkYmVoLjIwMTcuMDkuMDIzPC9lbGVjdHJvbmljLXJlc291cmNlLW51bT48
cmVtb3RlLWRhdGFiYXNlLXByb3ZpZGVyPk5MTTwvcmVtb3RlLWRhdGFiYXNlLXByb3ZpZGVyPjxs
YW5ndWFnZT5lbmc8L2xhbmd1YWdlPjwvcmVjb3JkPjwvQ2l0ZT48L0VuZE5vdGU+AG==
</w:fldData>
        </w:fldChar>
      </w:r>
      <w:r w:rsidRPr="00FC7160">
        <w:instrText xml:space="preserve"> ADDIN EN.CITE.DATA </w:instrText>
      </w:r>
      <w:r w:rsidRPr="00FC7160">
        <w:fldChar w:fldCharType="end"/>
      </w:r>
      <w:r w:rsidRPr="00FC7160">
        <w:fldChar w:fldCharType="separate"/>
      </w:r>
      <w:r w:rsidRPr="00FC7160">
        <w:t>(Subialka Nowariak, Lien et al. 2018)</w:t>
      </w:r>
      <w:r w:rsidRPr="00FC7160">
        <w:fldChar w:fldCharType="end"/>
      </w:r>
      <w:r w:rsidRPr="00FC7160">
        <w:t>. In summary, daily e</w:t>
      </w:r>
      <w:r>
        <w:noBreakHyphen/>
      </w:r>
      <w:r w:rsidRPr="00FC7160">
        <w:t>cigarette users and non</w:t>
      </w:r>
      <w:r>
        <w:noBreakHyphen/>
      </w:r>
      <w:r w:rsidRPr="00FC7160">
        <w:t>users had similar quit successes, but infrequent e</w:t>
      </w:r>
      <w:r>
        <w:noBreakHyphen/>
      </w:r>
      <w:r w:rsidRPr="00FC7160">
        <w:t xml:space="preserve">cigarette users had poorer smoking cessation rates. </w:t>
      </w:r>
    </w:p>
    <w:p w14:paraId="3A052A73" w14:textId="77777777" w:rsidR="002738DD" w:rsidRPr="00FC7160" w:rsidRDefault="002738DD" w:rsidP="002738DD">
      <w:pPr>
        <w:pStyle w:val="BodyText"/>
      </w:pPr>
    </w:p>
    <w:p w14:paraId="733A5657" w14:textId="77777777" w:rsidR="002738DD" w:rsidRDefault="002738DD" w:rsidP="002738DD">
      <w:pPr>
        <w:pStyle w:val="Heading3"/>
      </w:pPr>
      <w:r>
        <w:t>Cross</w:t>
      </w:r>
      <w:r>
        <w:noBreakHyphen/>
        <w:t>sectional Studies</w:t>
      </w:r>
    </w:p>
    <w:p w14:paraId="200F3C45" w14:textId="77777777" w:rsidR="002738DD" w:rsidRDefault="002738DD" w:rsidP="002738DD">
      <w:pPr>
        <w:pStyle w:val="BodyText"/>
      </w:pPr>
      <w:r>
        <w:t>The first cross</w:t>
      </w:r>
      <w:r>
        <w:noBreakHyphen/>
        <w:t>sectional study was a secondary analysis of the National Health Interview Survey, a nationally representative survey, and</w:t>
      </w:r>
      <w:r w:rsidRPr="00617A94">
        <w:t xml:space="preserve"> </w:t>
      </w:r>
      <w:r>
        <w:t>investigated patterns of e</w:t>
      </w:r>
      <w:r>
        <w:noBreakHyphen/>
        <w:t xml:space="preserve">cigarette use and smoking cessation </w:t>
      </w:r>
      <w:r>
        <w:fldChar w:fldCharType="begin"/>
      </w:r>
      <w:r>
        <w:instrText xml:space="preserve"> ADDIN EN.CITE &lt;EndNote&gt;&lt;Cite&gt;&lt;Author&gt;Giovenco&lt;/Author&gt;&lt;Year&gt;2018&lt;/Year&gt;&lt;RecNum&gt;5004&lt;/RecNum&gt;&lt;DisplayText&gt;(Giovenco and Delnevo 2018)&lt;/DisplayText&gt;&lt;record&gt;&lt;rec-number&gt;5004&lt;/rec-number&gt;&lt;foreign-keys&gt;&lt;key app="EN" db-id="9z05dz0praadfuee0zoxzedk9zfe5fxx50z5" timestamp="1523920905"&gt;5004&lt;/key&gt;&lt;/foreign-keys&gt;&lt;ref-type name="Journal Article"&gt;17&lt;/ref-type&gt;&lt;contributors&gt;&lt;authors&gt;&lt;author&gt;Giovenco, D. P.&lt;/author&gt;&lt;author&gt;Delnevo, C. D.&lt;/author&gt;&lt;/authors&gt;&lt;/contributors&gt;&lt;auth-address&gt;Columbia University Mailman School of Public Health, Department of Sociomedical Sciences, 722 W. 168th St., New York 10032, NY, USA. Electronic address: dg2984@columbia.edu.&amp;#xD;Rutgers School of Public Health, Center for Tobacco Studies, 683 Hoes Ln West, Piscataway 08854, NJ, USA.&lt;/auth-address&gt;&lt;titles&gt;&lt;title&gt;Prevalence of population smoking cessation by electronic cigarette use status in a national sample of recent smokers&lt;/title&gt;&lt;secondary-title&gt;Addict Behav&lt;/secondary-title&gt;&lt;alt-title&gt;Addictive behaviors&lt;/alt-title&gt;&lt;/titles&gt;&lt;alt-periodical&gt;&lt;full-title&gt;Addictive Behaviors&lt;/full-title&gt;&lt;/alt-periodical&gt;&lt;pages&gt;129-134&lt;/pages&gt;&lt;volume&gt;76&lt;/volume&gt;&lt;edition&gt;2017/08/13&lt;/edition&gt;&lt;keywords&gt;&lt;keyword&gt;Cigarettes&lt;/keyword&gt;&lt;keyword&gt;E-cigarettes&lt;/keyword&gt;&lt;keyword&gt;Smoking cessation&lt;/keyword&gt;&lt;keyword&gt;Tobacco&lt;/keyword&gt;&lt;/keywords&gt;&lt;dates&gt;&lt;year&gt;2018&lt;/year&gt;&lt;pub-dates&gt;&lt;date&gt;Jan&lt;/date&gt;&lt;/pub-dates&gt;&lt;/dates&gt;&lt;isbn&gt;0306-4603&lt;/isbn&gt;&lt;accession-num&gt;28802179&lt;/accession-num&gt;&lt;urls&gt;&lt;related-urls&gt;&lt;url&gt;https://www.sciencedirect.com/science/article/pii/S0306460317302915?via%3Dihub&lt;/url&gt;&lt;/related-urls&gt;&lt;/urls&gt;&lt;custom2&gt;PMC5614851&lt;/custom2&gt;&lt;custom6&gt;NIHMS899222&lt;/custom6&gt;&lt;electronic-resource-num&gt;10.1016/j.addbeh.2017.08.002&lt;/electronic-resource-num&gt;&lt;remote-database-provider&gt;NLM&lt;/remote-database-provider&gt;&lt;language&gt;eng&lt;/language&gt;&lt;/record&gt;&lt;/Cite&gt;&lt;/EndNote&gt;</w:instrText>
      </w:r>
      <w:r>
        <w:fldChar w:fldCharType="separate"/>
      </w:r>
      <w:r>
        <w:rPr>
          <w:noProof/>
        </w:rPr>
        <w:t>(Giovenco and Delnevo 2018)</w:t>
      </w:r>
      <w:r>
        <w:fldChar w:fldCharType="end"/>
      </w:r>
      <w:r>
        <w:t>. This study analysed data from 15,532 former (24%) and current (76%) smokers, 52.6% of whom were male and 36.1% were aged between 45</w:t>
      </w:r>
      <w:r>
        <w:noBreakHyphen/>
        <w:t>64 years. Response rate was not reported. In this study, 52.2% of daily e</w:t>
      </w:r>
      <w:r>
        <w:noBreakHyphen/>
        <w:t>cigarette users had quit smoking and, after covariate adjustment (gender, age, race/ethnicity, education, census region, health insurance status, and serious psychological distress), they were more than three times more likely to have quit conventional smoking than those who never used e</w:t>
      </w:r>
      <w:r>
        <w:noBreakHyphen/>
        <w:t>cigarettes. However, some</w:t>
      </w:r>
      <w:r>
        <w:noBreakHyphen/>
        <w:t>day e</w:t>
      </w:r>
      <w:r>
        <w:noBreakHyphen/>
        <w:t xml:space="preserve">cigarette use was associated with a lower likelihood of having quit smoking </w:t>
      </w:r>
      <w:r>
        <w:fldChar w:fldCharType="begin"/>
      </w:r>
      <w:r>
        <w:instrText xml:space="preserve"> ADDIN EN.CITE &lt;EndNote&gt;&lt;Cite&gt;&lt;Author&gt;Giovenco&lt;/Author&gt;&lt;Year&gt;2018&lt;/Year&gt;&lt;RecNum&gt;5004&lt;/RecNum&gt;&lt;DisplayText&gt;(Giovenco and Delnevo 2018)&lt;/DisplayText&gt;&lt;record&gt;&lt;rec-number&gt;5004&lt;/rec-number&gt;&lt;foreign-keys&gt;&lt;key app="EN" db-id="9z05dz0praadfuee0zoxzedk9zfe5fxx50z5" timestamp="1523920905"&gt;5004&lt;/key&gt;&lt;/foreign-keys&gt;&lt;ref-type name="Journal Article"&gt;17&lt;/ref-type&gt;&lt;contributors&gt;&lt;authors&gt;&lt;author&gt;Giovenco, D. P.&lt;/author&gt;&lt;author&gt;Delnevo, C. D.&lt;/author&gt;&lt;/authors&gt;&lt;/contributors&gt;&lt;auth-address&gt;Columbia University Mailman School of Public Health, Department of Sociomedical Sciences, 722 W. 168th St., New York 10032, NY, USA. Electronic address: dg2984@columbia.edu.&amp;#xD;Rutgers School of Public Health, Center for Tobacco Studies, 683 Hoes Ln West, Piscataway 08854, NJ, USA.&lt;/auth-address&gt;&lt;titles&gt;&lt;title&gt;Prevalence of population smoking cessation by electronic cigarette use status in a national sample of recent smokers&lt;/title&gt;&lt;secondary-title&gt;Addict Behav&lt;/secondary-title&gt;&lt;alt-title&gt;Addictive behaviors&lt;/alt-title&gt;&lt;/titles&gt;&lt;alt-periodical&gt;&lt;full-title&gt;Addictive Behaviors&lt;/full-title&gt;&lt;/alt-periodical&gt;&lt;pages&gt;129-134&lt;/pages&gt;&lt;volume&gt;76&lt;/volume&gt;&lt;edition&gt;2017/08/13&lt;/edition&gt;&lt;keywords&gt;&lt;keyword&gt;Cigarettes&lt;/keyword&gt;&lt;keyword&gt;E-cigarettes&lt;/keyword&gt;&lt;keyword&gt;Smoking cessation&lt;/keyword&gt;&lt;keyword&gt;Tobacco&lt;/keyword&gt;&lt;/keywords&gt;&lt;dates&gt;&lt;year&gt;2018&lt;/year&gt;&lt;pub-dates&gt;&lt;date&gt;Jan&lt;/date&gt;&lt;/pub-dates&gt;&lt;/dates&gt;&lt;isbn&gt;0306-4603&lt;/isbn&gt;&lt;accession-num&gt;28802179&lt;/accession-num&gt;&lt;urls&gt;&lt;related-urls&gt;&lt;url&gt;https://www.sciencedirect.com/science/article/pii/S0306460317302915?via%3Dihub&lt;/url&gt;&lt;/related-urls&gt;&lt;/urls&gt;&lt;custom2&gt;PMC5614851&lt;/custom2&gt;&lt;custom6&gt;NIHMS899222&lt;/custom6&gt;&lt;electronic-resource-num&gt;10.1016/j.addbeh.2017.08.002&lt;/electronic-resource-num&gt;&lt;remote-database-provider&gt;NLM&lt;/remote-database-provider&gt;&lt;language&gt;eng&lt;/language&gt;&lt;/record&gt;&lt;/Cite&gt;&lt;/EndNote&gt;</w:instrText>
      </w:r>
      <w:r>
        <w:fldChar w:fldCharType="separate"/>
      </w:r>
      <w:r>
        <w:rPr>
          <w:noProof/>
        </w:rPr>
        <w:t>(Giovenco and Delnevo 2018)</w:t>
      </w:r>
      <w:r>
        <w:fldChar w:fldCharType="end"/>
      </w:r>
      <w:r>
        <w:t>. This study did not consider other quit methods, thus it is unclear if smoking cessation is more strongly related to e</w:t>
      </w:r>
      <w:r>
        <w:noBreakHyphen/>
        <w:t xml:space="preserve">cigarette use than other types of smoking cessation tools. </w:t>
      </w:r>
    </w:p>
    <w:p w14:paraId="11EFEE1D" w14:textId="77777777" w:rsidR="002738DD" w:rsidRDefault="002738DD" w:rsidP="002738DD">
      <w:pPr>
        <w:pStyle w:val="BodyText"/>
      </w:pPr>
      <w:r>
        <w:lastRenderedPageBreak/>
        <w:t xml:space="preserve">In the survey of IBD smokers (study described section </w:t>
      </w:r>
      <w:r w:rsidR="00764508">
        <w:t>10</w:t>
      </w:r>
      <w:r>
        <w:t>.</w:t>
      </w:r>
      <w:r w:rsidR="000376C7">
        <w:t>4</w:t>
      </w:r>
      <w:r>
        <w:t>.3) who also used e</w:t>
      </w:r>
      <w:r>
        <w:noBreakHyphen/>
        <w:t xml:space="preserve">cigarettes, 17/27 participants (~60%) reported smoking cessation </w:t>
      </w:r>
      <w:r>
        <w:fldChar w:fldCharType="begin"/>
      </w:r>
      <w:r>
        <w:instrText xml:space="preserve"> ADDIN EN.CITE &lt;EndNote&gt;&lt;Cite&gt;&lt;Author&gt;Serpen&lt;/Author&gt;&lt;Year&gt;2017&lt;/Year&gt;&lt;RecNum&gt;6012&lt;/RecNum&gt;&lt;DisplayText&gt;(Serpen, Gutierrez et al. 2017)&lt;/DisplayText&gt;&lt;record&gt;&lt;rec-number&gt;6012&lt;/rec-number&gt;&lt;foreign-keys&gt;&lt;key app="EN" db-id="9z05dz0praadfuee0zoxzedk9zfe5fxx50z5" timestamp="1523921047"&gt;6012&lt;/key&gt;&lt;key app="ENWeb" db-id=""&gt;0&lt;/key&gt;&lt;/foreign-keys&gt;&lt;ref-type name="Journal Article"&gt;17&lt;/ref-type&gt;&lt;contributors&gt;&lt;authors&gt;&lt;author&gt;Serpen, Jasmine&lt;/author&gt;&lt;author&gt;Gutierrez, Alexandra&lt;/author&gt;&lt;author&gt;Cushing, Kelly&lt;/author&gt;&lt;author&gt;Chiplunker, Adeeti&lt;/author&gt;&lt;/authors&gt;&lt;/contributors&gt;&lt;titles&gt;&lt;title&gt;The Impact of E-Cigarette Use in Inflammatory Bowel Disease&lt;/title&gt;&lt;secondary-title&gt;Inflammatory Bowel Diseases&lt;/secondary-title&gt;&lt;/titles&gt;&lt;periodical&gt;&lt;full-title&gt;Inflammatory Bowel Diseases&lt;/full-title&gt;&lt;/periodical&gt;&lt;pages&gt;S49-S49&lt;/pages&gt;&lt;volume&gt;23&lt;/volume&gt;&lt;dates&gt;&lt;year&gt;2017&lt;/year&gt;&lt;pub-dates&gt;&lt;date&gt;Feb&lt;/date&gt;&lt;/pub-dates&gt;&lt;/dates&gt;&lt;isbn&gt;1078-0998&lt;/isbn&gt;&lt;accession-num&gt;WOS:000393902100150&lt;/accession-num&gt;&lt;urls&gt;&lt;related-urls&gt;&lt;url&gt;&amp;lt;Go to ISI&amp;gt;://WOS:000393902100150&lt;/url&gt;&lt;/related-urls&gt;&lt;/urls&gt;&lt;/record&gt;&lt;/Cite&gt;&lt;/EndNote&gt;</w:instrText>
      </w:r>
      <w:r>
        <w:fldChar w:fldCharType="separate"/>
      </w:r>
      <w:r>
        <w:rPr>
          <w:noProof/>
        </w:rPr>
        <w:t>(Serpen, Gutierrez et al. 2017)</w:t>
      </w:r>
      <w:r>
        <w:fldChar w:fldCharType="end"/>
      </w:r>
      <w:r>
        <w:t>. Additionally, in a vape</w:t>
      </w:r>
      <w:r>
        <w:noBreakHyphen/>
        <w:t xml:space="preserve">shop survey of 203 Dutch or Flemish adults (study described in section </w:t>
      </w:r>
      <w:r w:rsidR="00764508">
        <w:t>10</w:t>
      </w:r>
      <w:r>
        <w:t>.</w:t>
      </w:r>
      <w:r w:rsidR="000376C7">
        <w:t>2</w:t>
      </w:r>
      <w:r>
        <w:t>.1), 74% of the surveyed customers reported they had successfully quit smoking and now used e</w:t>
      </w:r>
      <w:r>
        <w:noBreakHyphen/>
        <w:t xml:space="preserve">cigarettes, while only 20% were continuing to smoke </w:t>
      </w:r>
      <w:r>
        <w:fldChar w:fldCharType="begin">
          <w:fldData xml:space="preserve">PEVuZE5vdGU+PENpdGU+PEF1dGhvcj5TdXNzYW48L0F1dGhvcj48WWVhcj4yMDE3PC9ZZWFyPjxS
ZWNOdW0+NDk1NzwvUmVjTnVtPjxEaXNwbGF5VGV4dD4oU3Vzc2FuLCBTaGFoemFkIGV0IGFsLiAy
MDE3KTwvRGlzcGxheVRleHQ+PHJlY29yZD48cmVjLW51bWJlcj40OTU3PC9yZWMtbnVtYmVyPjxm
b3JlaWduLWtleXM+PGtleSBhcHA9IkVOIiBkYi1pZD0iOXowNWR6MHByYWFkZnVlZTB6b3h6ZWRr
OXpmZTVmeHg1MHo1IiB0aW1lc3RhbXA9IjE1MjM5MjA5MDAiPjQ5NTc8L2tleT48a2V5IGFwcD0i
RU5XZWIiIGRiLWlkPSIiPjA8L2tleT48L2ZvcmVpZ24ta2V5cz48cmVmLXR5cGUgbmFtZT0iSm91
cm5hbCBBcnRpY2xlIj4xNzwvcmVmLXR5cGU+PGNvbnRyaWJ1dG9ycz48YXV0aG9ycz48YXV0aG9y
PlN1c3NhbiwgVC4gRS48L2F1dGhvcj48YXV0aG9yPlNoYWh6YWQsIEYuIEcuPC9hdXRob3I+PGF1
dGhvcj5UYWJhc3N1bSwgRS48L2F1dGhvcj48YXV0aG9yPkNvaGVuLCBKLiBFLjwvYXV0aG9yPjxh
dXRob3I+V2lzZSwgUi4gQS48L2F1dGhvcj48YXV0aG9yPkJsYWhhLCBNLiBKLjwvYXV0aG9yPjxh
dXRob3I+SG9sYnJvb2ssIEouIFQuPC9hdXRob3I+PGF1dGhvcj5CaXN3YWwsIFMuPC9hdXRob3I+
PC9hdXRob3JzPjwvY29udHJpYnV0b3JzPjxhdXRoLWFkZHJlc3M+RGVwYXJ0bWVudCBvZiBFbnZp
cm9ubWVudGFsIEhlYWx0aCBhbmQgRW5naW5lZXJpbmcsIEpvaG5zIEhvcGtpbnMgQmxvb21iZXJn
IFNjaG9vbCBvZiBQdWJsaWMgSGVhbHRoLCA2MTUgTi4gV29sZmUgU3RyZWV0LCBCYWx0aW1vcmUs
IE1ELCBVU0EuJiN4RDtQcmVzZW50IEFkZHJlc3M6IFVuaXRlZCBTdGF0ZXMgQXJteSBQdWJsaWMg
SGVhbHRoIENlbnRlciwgVG94aWNvbG9neSBEaXJlY3RvcmF0ZSwgQWJlcmRlZW4gUHJvdmluZyBH
cm91bmQsIEFiZXJkZWVuLCBNRCwgVVNBLiYjeEQ7RGVwYXJ0bWVudCBvZiBIZWFsdGgsIEJlaGF2
aW9yIGFuZCBTb2NpZXR5LCBJbnN0aXR1dGUgZm9yIEdsb2JhbCBUb2JhY2NvIENvbnRyb2wsIEpv
aG5zIEhvcGtpbnMgQmxvb21iZXJnIFNjaG9vbCBvZiBQdWJsaWMgSGVhbHRoLCBCYWx0aW1vcmUs
IE1ELCBVU0EuJiN4RDtEZXBhcnRtZW50IG9mIE1lZGljaW5lLCBEaXZpc2lvbiBvZiBQdWxtb25h
cnkgYW5kIENyaXRpY2FsIENhcmUgTWVkaWNpbmUsIEpvaG5zIEhvcGtpbnMgU2Nob29sIG9mIE1l
ZGljaW5lLCBCYWx0aW1vcmUsIE1ELCBVU0EuJiN4RDtEZXBhcnRtZW50IG9mIE1lZGljaW5lLCBD
aWNjYXJvbmUgQ2VudGVyIGZvciB0aGUgUHJldmVudGlvbiBvZiBIZWFydCBEaXNlYXNlLCBKb2hu
cyBIb3BraW5zIFNjaG9vbCBvZiBNZWRpY2luZSwgQmFsdGltb3JlLCBNRCwgVVNBLiYjeEQ7RGVw
YXJ0bWVudCBvZiBFcGlkZW1pb2xvZ3ksIENlbnRlciBmb3IgQ2xpbmljYWwgVHJpYWxzIGFuZCBF
dmlkZW5jZSBTeW50aGVzaXMsIEpvaG5zIEhvcGtpbnMgQmxvb21iZXJnIFNjaG9vbCBvZiBQdWJs
aWMgSGVhbHRoLCBCYWx0aW1vcmUsIE1ELCBVU0EuJiN4RDtEZXBhcnRtZW50IG9mIEVudmlyb25t
ZW50YWwgSGVhbHRoIGFuZCBFbmdpbmVlcmluZywgSm9obnMgSG9wa2lucyBCbG9vbWJlcmcgU2No
b29sIG9mIFB1YmxpYyBIZWFsdGgsIDYxNSBOLiBXb2xmZSBTdHJlZXQsIEJhbHRpbW9yZSwgTUQs
IFVTQS4gc2Jpc3dhbEBqaHUuZWR1LjwvYXV0aC1hZGRyZXNzPjx0aXRsZXM+PHRpdGxlPkVsZWN0
cm9uaWMgY2lnYXJldHRlIHVzZSBiZWhhdmlvcnMgYW5kIG1vdGl2YXRpb25zIGFtb25nIHNtb2tl
cnMgYW5kIG5vbi1zbW9rZXJzPC90aXRsZT48c2Vjb25kYXJ5LXRpdGxlPkJNQyBQdWJsaWMgSGVh
bHRoPC9zZWNvbmRhcnktdGl0bGU+PGFsdC10aXRsZT5CTUMgcHVibGljIGhlYWx0aDwvYWx0LXRp
dGxlPjwvdGl0bGVzPjxwZXJpb2RpY2FsPjxmdWxsLXRpdGxlPkJtYyBQdWJsaWMgSGVhbHRoPC9m
dWxsLXRpdGxlPjwvcGVyaW9kaWNhbD48YWx0LXBlcmlvZGljYWw+PGZ1bGwtdGl0bGU+Qm1jIFB1
YmxpYyBIZWFsdGg8L2Z1bGwtdGl0bGU+PC9hbHQtcGVyaW9kaWNhbD48cGFnZXM+Njg2PC9wYWdl
cz48dm9sdW1lPjE3PC92b2x1bWU+PG51bWJlcj4xPC9udW1iZXI+PGVkaXRpb24+MjAxNy8wOS8w
OTwvZWRpdGlvbj48a2V5d29yZHM+PGtleXdvcmQ+QWRvbGVzY2VudDwva2V5d29yZD48a2V5d29y
ZD5BZHVsdDwva2V5d29yZD48a2V5d29yZD5CYWx0aW1vcmUvZXBpZGVtaW9sb2d5PC9rZXl3b3Jk
PjxrZXl3b3JkPkZlbWFsZTwva2V5d29yZD48a2V5d29yZD5IZWFsdGggU3VydmV5czwva2V5d29y
ZD48a2V5d29yZD5IdW1hbnM8L2tleXdvcmQ+PGtleXdvcmQ+TWFsZTwva2V5d29yZD48a2V5d29y
ZD4qTW90aXZhdGlvbjwva2V5d29yZD48a2V5d29yZD5TbW9rZXJzLypwc3ljaG9sb2d5L3N0YXRp
c3RpY3MgJmFtcDsgbnVtZXJpY2FsIGRhdGE8L2tleXdvcmQ+PGtleXdvcmQ+U21va2luZy8qZXBp
ZGVtaW9sb2d5Lypwc3ljaG9sb2d5PC9rZXl3b3JkPjxrZXl3b3JkPlZhcGluZy8qcHN5Y2hvbG9n
eTwva2V5d29yZD48a2V5d29yZD5Zb3VuZyBBZHVsdDwva2V5d29yZD48a2V5d29yZD4qQmFsdGlt
b3JlPC9rZXl3b3JkPjxrZXl3b3JkPipFbGVjdHJvbmljIGNpZ2FyZXR0ZXM8L2tleXdvcmQ+PGtl
eXdvcmQ+Kk1hcnlsYW5kPC9rZXl3b3JkPjxrZXl3b3JkPipQcmVmZXJlbmNlczwva2V5d29yZD48
a2V5d29yZD4qU21va2Vyczwva2V5d29yZD48a2V5d29yZD4qU3VydmV5PC9rZXl3b3JkPjxrZXl3
b3JkPipWYXBvcjwva2V5d29yZD48L2tleXdvcmRzPjxkYXRlcz48eWVhcj4yMDE3PC95ZWFyPjxw
dWItZGF0ZXM+PGRhdGU+U2VwIDg8L2RhdGU+PC9wdWItZGF0ZXM+PC9kYXRlcz48aXNibj4xNDcx
LTI0NTg8L2lzYm4+PGFjY2Vzc2lvbi1udW0+Mjg4ODIxMjM8L2FjY2Vzc2lvbi1udW0+PHVybHM+
PHJlbGF0ZWQtdXJscz48dXJsPmh0dHBzOi8vd3d3Lm5jYmkubmxtLm5paC5nb3YvcG1jL2FydGlj
bGVzL1BNQzU1OTAxMjMvcGRmLzEyODg5XzIwMTdfQXJ0aWNsZV80NjcxLnBkZjwvdXJsPjwvcmVs
YXRlZC11cmxzPjwvdXJscz48Y3VzdG9tMj5QTUM1NTkwMTIzPC9jdXN0b20yPjxlbGVjdHJvbmlj
LXJlc291cmNlLW51bT4xMC4xMTg2L3MxMjg4OS0wMTctNDY3MS0zPC9lbGVjdHJvbmljLXJlc291
cmNlLW51bT48cmVtb3RlLWRhdGFiYXNlLXByb3ZpZGVyPk5MTTwvcmVtb3RlLWRhdGFiYXNlLXBy
b3ZpZGVyPjxsYW5ndWFnZT5lbmc8L2xhbmd1YWdlPjwvcmVjb3JkPjwvQ2l0ZT48L0VuZE5vdGU+
AG==
</w:fldData>
        </w:fldChar>
      </w:r>
      <w:r>
        <w:instrText xml:space="preserve"> ADDIN EN.CITE </w:instrText>
      </w:r>
      <w:r>
        <w:fldChar w:fldCharType="begin">
          <w:fldData xml:space="preserve">PEVuZE5vdGU+PENpdGU+PEF1dGhvcj5TdXNzYW48L0F1dGhvcj48WWVhcj4yMDE3PC9ZZWFyPjxS
ZWNOdW0+NDk1NzwvUmVjTnVtPjxEaXNwbGF5VGV4dD4oU3Vzc2FuLCBTaGFoemFkIGV0IGFsLiAy
MDE3KTwvRGlzcGxheVRleHQ+PHJlY29yZD48cmVjLW51bWJlcj40OTU3PC9yZWMtbnVtYmVyPjxm
b3JlaWduLWtleXM+PGtleSBhcHA9IkVOIiBkYi1pZD0iOXowNWR6MHByYWFkZnVlZTB6b3h6ZWRr
OXpmZTVmeHg1MHo1IiB0aW1lc3RhbXA9IjE1MjM5MjA5MDAiPjQ5NTc8L2tleT48a2V5IGFwcD0i
RU5XZWIiIGRiLWlkPSIiPjA8L2tleT48L2ZvcmVpZ24ta2V5cz48cmVmLXR5cGUgbmFtZT0iSm91
cm5hbCBBcnRpY2xlIj4xNzwvcmVmLXR5cGU+PGNvbnRyaWJ1dG9ycz48YXV0aG9ycz48YXV0aG9y
PlN1c3NhbiwgVC4gRS48L2F1dGhvcj48YXV0aG9yPlNoYWh6YWQsIEYuIEcuPC9hdXRob3I+PGF1
dGhvcj5UYWJhc3N1bSwgRS48L2F1dGhvcj48YXV0aG9yPkNvaGVuLCBKLiBFLjwvYXV0aG9yPjxh
dXRob3I+V2lzZSwgUi4gQS48L2F1dGhvcj48YXV0aG9yPkJsYWhhLCBNLiBKLjwvYXV0aG9yPjxh
dXRob3I+SG9sYnJvb2ssIEouIFQuPC9hdXRob3I+PGF1dGhvcj5CaXN3YWwsIFMuPC9hdXRob3I+
PC9hdXRob3JzPjwvY29udHJpYnV0b3JzPjxhdXRoLWFkZHJlc3M+RGVwYXJ0bWVudCBvZiBFbnZp
cm9ubWVudGFsIEhlYWx0aCBhbmQgRW5naW5lZXJpbmcsIEpvaG5zIEhvcGtpbnMgQmxvb21iZXJn
IFNjaG9vbCBvZiBQdWJsaWMgSGVhbHRoLCA2MTUgTi4gV29sZmUgU3RyZWV0LCBCYWx0aW1vcmUs
IE1ELCBVU0EuJiN4RDtQcmVzZW50IEFkZHJlc3M6IFVuaXRlZCBTdGF0ZXMgQXJteSBQdWJsaWMg
SGVhbHRoIENlbnRlciwgVG94aWNvbG9neSBEaXJlY3RvcmF0ZSwgQWJlcmRlZW4gUHJvdmluZyBH
cm91bmQsIEFiZXJkZWVuLCBNRCwgVVNBLiYjeEQ7RGVwYXJ0bWVudCBvZiBIZWFsdGgsIEJlaGF2
aW9yIGFuZCBTb2NpZXR5LCBJbnN0aXR1dGUgZm9yIEdsb2JhbCBUb2JhY2NvIENvbnRyb2wsIEpv
aG5zIEhvcGtpbnMgQmxvb21iZXJnIFNjaG9vbCBvZiBQdWJsaWMgSGVhbHRoLCBCYWx0aW1vcmUs
IE1ELCBVU0EuJiN4RDtEZXBhcnRtZW50IG9mIE1lZGljaW5lLCBEaXZpc2lvbiBvZiBQdWxtb25h
cnkgYW5kIENyaXRpY2FsIENhcmUgTWVkaWNpbmUsIEpvaG5zIEhvcGtpbnMgU2Nob29sIG9mIE1l
ZGljaW5lLCBCYWx0aW1vcmUsIE1ELCBVU0EuJiN4RDtEZXBhcnRtZW50IG9mIE1lZGljaW5lLCBD
aWNjYXJvbmUgQ2VudGVyIGZvciB0aGUgUHJldmVudGlvbiBvZiBIZWFydCBEaXNlYXNlLCBKb2hu
cyBIb3BraW5zIFNjaG9vbCBvZiBNZWRpY2luZSwgQmFsdGltb3JlLCBNRCwgVVNBLiYjeEQ7RGVw
YXJ0bWVudCBvZiBFcGlkZW1pb2xvZ3ksIENlbnRlciBmb3IgQ2xpbmljYWwgVHJpYWxzIGFuZCBF
dmlkZW5jZSBTeW50aGVzaXMsIEpvaG5zIEhvcGtpbnMgQmxvb21iZXJnIFNjaG9vbCBvZiBQdWJs
aWMgSGVhbHRoLCBCYWx0aW1vcmUsIE1ELCBVU0EuJiN4RDtEZXBhcnRtZW50IG9mIEVudmlyb25t
ZW50YWwgSGVhbHRoIGFuZCBFbmdpbmVlcmluZywgSm9obnMgSG9wa2lucyBCbG9vbWJlcmcgU2No
b29sIG9mIFB1YmxpYyBIZWFsdGgsIDYxNSBOLiBXb2xmZSBTdHJlZXQsIEJhbHRpbW9yZSwgTUQs
IFVTQS4gc2Jpc3dhbEBqaHUuZWR1LjwvYXV0aC1hZGRyZXNzPjx0aXRsZXM+PHRpdGxlPkVsZWN0
cm9uaWMgY2lnYXJldHRlIHVzZSBiZWhhdmlvcnMgYW5kIG1vdGl2YXRpb25zIGFtb25nIHNtb2tl
cnMgYW5kIG5vbi1zbW9rZXJzPC90aXRsZT48c2Vjb25kYXJ5LXRpdGxlPkJNQyBQdWJsaWMgSGVh
bHRoPC9zZWNvbmRhcnktdGl0bGU+PGFsdC10aXRsZT5CTUMgcHVibGljIGhlYWx0aDwvYWx0LXRp
dGxlPjwvdGl0bGVzPjxwZXJpb2RpY2FsPjxmdWxsLXRpdGxlPkJtYyBQdWJsaWMgSGVhbHRoPC9m
dWxsLXRpdGxlPjwvcGVyaW9kaWNhbD48YWx0LXBlcmlvZGljYWw+PGZ1bGwtdGl0bGU+Qm1jIFB1
YmxpYyBIZWFsdGg8L2Z1bGwtdGl0bGU+PC9hbHQtcGVyaW9kaWNhbD48cGFnZXM+Njg2PC9wYWdl
cz48dm9sdW1lPjE3PC92b2x1bWU+PG51bWJlcj4xPC9udW1iZXI+PGVkaXRpb24+MjAxNy8wOS8w
OTwvZWRpdGlvbj48a2V5d29yZHM+PGtleXdvcmQ+QWRvbGVzY2VudDwva2V5d29yZD48a2V5d29y
ZD5BZHVsdDwva2V5d29yZD48a2V5d29yZD5CYWx0aW1vcmUvZXBpZGVtaW9sb2d5PC9rZXl3b3Jk
PjxrZXl3b3JkPkZlbWFsZTwva2V5d29yZD48a2V5d29yZD5IZWFsdGggU3VydmV5czwva2V5d29y
ZD48a2V5d29yZD5IdW1hbnM8L2tleXdvcmQ+PGtleXdvcmQ+TWFsZTwva2V5d29yZD48a2V5d29y
ZD4qTW90aXZhdGlvbjwva2V5d29yZD48a2V5d29yZD5TbW9rZXJzLypwc3ljaG9sb2d5L3N0YXRp
c3RpY3MgJmFtcDsgbnVtZXJpY2FsIGRhdGE8L2tleXdvcmQ+PGtleXdvcmQ+U21va2luZy8qZXBp
ZGVtaW9sb2d5Lypwc3ljaG9sb2d5PC9rZXl3b3JkPjxrZXl3b3JkPlZhcGluZy8qcHN5Y2hvbG9n
eTwva2V5d29yZD48a2V5d29yZD5Zb3VuZyBBZHVsdDwva2V5d29yZD48a2V5d29yZD4qQmFsdGlt
b3JlPC9rZXl3b3JkPjxrZXl3b3JkPipFbGVjdHJvbmljIGNpZ2FyZXR0ZXM8L2tleXdvcmQ+PGtl
eXdvcmQ+Kk1hcnlsYW5kPC9rZXl3b3JkPjxrZXl3b3JkPipQcmVmZXJlbmNlczwva2V5d29yZD48
a2V5d29yZD4qU21va2Vyczwva2V5d29yZD48a2V5d29yZD4qU3VydmV5PC9rZXl3b3JkPjxrZXl3
b3JkPipWYXBvcjwva2V5d29yZD48L2tleXdvcmRzPjxkYXRlcz48eWVhcj4yMDE3PC95ZWFyPjxw
dWItZGF0ZXM+PGRhdGU+U2VwIDg8L2RhdGU+PC9wdWItZGF0ZXM+PC9kYXRlcz48aXNibj4xNDcx
LTI0NTg8L2lzYm4+PGFjY2Vzc2lvbi1udW0+Mjg4ODIxMjM8L2FjY2Vzc2lvbi1udW0+PHVybHM+
PHJlbGF0ZWQtdXJscz48dXJsPmh0dHBzOi8vd3d3Lm5jYmkubmxtLm5paC5nb3YvcG1jL2FydGlj
bGVzL1BNQzU1OTAxMjMvcGRmLzEyODg5XzIwMTdfQXJ0aWNsZV80NjcxLnBkZjwvdXJsPjwvcmVs
YXRlZC11cmxzPjwvdXJscz48Y3VzdG9tMj5QTUM1NTkwMTIzPC9jdXN0b20yPjxlbGVjdHJvbmlj
LXJlc291cmNlLW51bT4xMC4xMTg2L3MxMjg4OS0wMTctNDY3MS0zPC9lbGVjdHJvbmljLXJlc291
cmNlLW51bT48cmVtb3RlLWRhdGFiYXNlLXByb3ZpZGVyPk5MTTwvcmVtb3RlLWRhdGFiYXNlLXBy
b3ZpZGVyPjxsYW5ndWFnZT5lbmc8L2xhbmd1YWdlPjwvcmVjb3JkPjwvQ2l0ZT48L0VuZE5vdGU+
AG==
</w:fldData>
        </w:fldChar>
      </w:r>
      <w:r>
        <w:instrText xml:space="preserve"> ADDIN EN.CITE.DATA </w:instrText>
      </w:r>
      <w:r>
        <w:fldChar w:fldCharType="end"/>
      </w:r>
      <w:r>
        <w:fldChar w:fldCharType="separate"/>
      </w:r>
      <w:r>
        <w:rPr>
          <w:noProof/>
        </w:rPr>
        <w:t>(Sussan, Shahzad et al. 2017)</w:t>
      </w:r>
      <w:r>
        <w:fldChar w:fldCharType="end"/>
      </w:r>
      <w:r>
        <w:t>. These two studies indicate a possible positive relationship between e</w:t>
      </w:r>
      <w:r>
        <w:noBreakHyphen/>
        <w:t>cigarette use and smoking cessation. However, their results cannot be generalised to broader cigarette smokers due to their highly specific population groups. In particular, studies focusing specifically on e</w:t>
      </w:r>
      <w:r>
        <w:noBreakHyphen/>
        <w:t>cigarette users will not capture those who have tried e</w:t>
      </w:r>
      <w:r>
        <w:noBreakHyphen/>
        <w:t>cigarettes and found them unhelpful as a smoking cessation method.</w:t>
      </w:r>
    </w:p>
    <w:p w14:paraId="429CF912" w14:textId="77777777" w:rsidR="002738DD" w:rsidRDefault="002738DD" w:rsidP="002738DD">
      <w:pPr>
        <w:pStyle w:val="BodyText"/>
      </w:pPr>
      <w:r>
        <w:t xml:space="preserve">Zhu et al. conducted a secondary analysis of the US </w:t>
      </w:r>
      <w:r w:rsidRPr="004D37B7">
        <w:t>Current Population Survey</w:t>
      </w:r>
      <w:r>
        <w:noBreakHyphen/>
      </w:r>
      <w:r w:rsidRPr="004D37B7">
        <w:t>Tobacco Use Supplement</w:t>
      </w:r>
      <w:r>
        <w:t>, collected in the US census in 2001</w:t>
      </w:r>
      <w:r>
        <w:noBreakHyphen/>
        <w:t>02, 2003, 2006</w:t>
      </w:r>
      <w:r>
        <w:noBreakHyphen/>
        <w:t>07, 2010</w:t>
      </w:r>
      <w:r>
        <w:noBreakHyphen/>
        <w:t>11 and 2014</w:t>
      </w:r>
      <w:r>
        <w:noBreakHyphen/>
        <w:t xml:space="preserve">15 </w:t>
      </w:r>
      <w:r>
        <w:fldChar w:fldCharType="begin"/>
      </w:r>
      <w:r w:rsidR="00903735">
        <w:instrText xml:space="preserve"> ADDIN EN.CITE &lt;EndNote&gt;&lt;Cite&gt;&lt;Author&gt;Zhu&lt;/Author&gt;&lt;Year&gt;2017&lt;/Year&gt;&lt;RecNum&gt;8429&lt;/RecNum&gt;&lt;DisplayText&gt;(Zhu, Zhuang et al. 2017)&lt;/DisplayText&gt;&lt;record&gt;&lt;rec-number&gt;8429&lt;/rec-number&gt;&lt;foreign-keys&gt;&lt;key app="EN" db-id="5xv5w5t2bdxtxfezx02xtxdft5rz5ptvvt29" timestamp="1523595900"&gt;8429&lt;/key&gt;&lt;key app="ENWeb" db-id=""&gt;0&lt;/key&gt;&lt;/foreign-keys&gt;&lt;ref-type name="Journal Article"&gt;17&lt;/ref-type&gt;&lt;contributors&gt;&lt;authors&gt;&lt;author&gt;Zhu, S. H.&lt;/author&gt;&lt;author&gt;Zhuang, Y. L.&lt;/author&gt;&lt;author&gt;Wong, S. S.&lt;/author&gt;&lt;author&gt;Cummins, S. E.&lt;/author&gt;&lt;author&gt;Tedeschi, G. J.&lt;/author&gt;&lt;/authors&gt;&lt;/contributors&gt;&lt;titles&gt;&lt;title&gt;E-cigarette use and associated changes in population smoking cessation: evidence from US current population surveys&lt;/title&gt;&lt;secondary-title&gt;Bmj-British Medical Journal&lt;/secondary-title&gt;&lt;/titles&gt;&lt;periodical&gt;&lt;full-title&gt;Bmj-British Medical Journal&lt;/full-title&gt;&lt;/periodical&gt;&lt;volume&gt;358&lt;/volume&gt;&lt;dates&gt;&lt;year&gt;2017&lt;/year&gt;&lt;pub-dates&gt;&lt;date&gt;Jul&lt;/date&gt;&lt;/pub-dates&gt;&lt;/dates&gt;&lt;isbn&gt;1756-1833&lt;/isbn&gt;&lt;accession-num&gt;WOS:000406765900002&lt;/accession-num&gt;&lt;urls&gt;&lt;related-urls&gt;&lt;url&gt;&amp;lt;Go to ISI&amp;gt;://WOS:000406765900002&lt;/url&gt;&lt;/related-urls&gt;&lt;/urls&gt;&lt;custom7&gt;j3262&lt;/custom7&gt;&lt;electronic-resource-num&gt;10.1136/bmj.j3262&lt;/electronic-resource-num&gt;&lt;/record&gt;&lt;/Cite&gt;&lt;/EndNote&gt;</w:instrText>
      </w:r>
      <w:r>
        <w:fldChar w:fldCharType="separate"/>
      </w:r>
      <w:r>
        <w:rPr>
          <w:noProof/>
        </w:rPr>
        <w:t>(Zhu, Zhuang et al. 2017)</w:t>
      </w:r>
      <w:r>
        <w:fldChar w:fldCharType="end"/>
      </w:r>
      <w:r>
        <w:t xml:space="preserve">. Each survey contained between 23,270 and 163,920 participants. Gender was approximately equal (55.4% female) and aged &gt;18 years (see table </w:t>
      </w:r>
      <w:r w:rsidR="00F0285D">
        <w:t>12</w:t>
      </w:r>
      <w:r>
        <w:t xml:space="preserve"> for details). They found that more e</w:t>
      </w:r>
      <w:r>
        <w:noBreakHyphen/>
        <w:t>cigarette users attempted smoking cessation than non</w:t>
      </w:r>
      <w:r>
        <w:noBreakHyphen/>
        <w:t>users (</w:t>
      </w:r>
      <w:r w:rsidRPr="004D37B7">
        <w:t>65.1% v 40.1%</w:t>
      </w:r>
      <w:r>
        <w:t>) and that they were more likely to successfully quit (</w:t>
      </w:r>
      <w:r w:rsidRPr="004D37B7">
        <w:t>8.2% v 4.8%</w:t>
      </w:r>
      <w:r>
        <w:t xml:space="preserve">, change= 3.5%, CI: </w:t>
      </w:r>
      <w:r w:rsidRPr="004D37B7">
        <w:t>2.5% to 4.5%)</w:t>
      </w:r>
      <w:r>
        <w:t xml:space="preserve"> </w:t>
      </w:r>
      <w:r>
        <w:fldChar w:fldCharType="begin"/>
      </w:r>
      <w:r w:rsidR="00903735">
        <w:instrText xml:space="preserve"> ADDIN EN.CITE &lt;EndNote&gt;&lt;Cite&gt;&lt;Author&gt;Zhu&lt;/Author&gt;&lt;Year&gt;2017&lt;/Year&gt;&lt;RecNum&gt;8429&lt;/RecNum&gt;&lt;DisplayText&gt;(Zhu, Zhuang et al. 2017)&lt;/DisplayText&gt;&lt;record&gt;&lt;rec-number&gt;8429&lt;/rec-number&gt;&lt;foreign-keys&gt;&lt;key app="EN" db-id="5xv5w5t2bdxtxfezx02xtxdft5rz5ptvvt29" timestamp="1523595900"&gt;8429&lt;/key&gt;&lt;key app="ENWeb" db-id=""&gt;0&lt;/key&gt;&lt;/foreign-keys&gt;&lt;ref-type name="Journal Article"&gt;17&lt;/ref-type&gt;&lt;contributors&gt;&lt;authors&gt;&lt;author&gt;Zhu, S. H.&lt;/author&gt;&lt;author&gt;Zhuang, Y. L.&lt;/author&gt;&lt;author&gt;Wong, S. S.&lt;/author&gt;&lt;author&gt;Cummins, S. E.&lt;/author&gt;&lt;author&gt;Tedeschi, G. J.&lt;/author&gt;&lt;/authors&gt;&lt;/contributors&gt;&lt;titles&gt;&lt;title&gt;E-cigarette use and associated changes in population smoking cessation: evidence from US current population surveys&lt;/title&gt;&lt;secondary-title&gt;Bmj-British Medical Journal&lt;/secondary-title&gt;&lt;/titles&gt;&lt;periodical&gt;&lt;full-title&gt;Bmj-British Medical Journal&lt;/full-title&gt;&lt;/periodical&gt;&lt;volume&gt;358&lt;/volume&gt;&lt;dates&gt;&lt;year&gt;2017&lt;/year&gt;&lt;pub-dates&gt;&lt;date&gt;Jul&lt;/date&gt;&lt;/pub-dates&gt;&lt;/dates&gt;&lt;isbn&gt;1756-1833&lt;/isbn&gt;&lt;accession-num&gt;WOS:000406765900002&lt;/accession-num&gt;&lt;urls&gt;&lt;related-urls&gt;&lt;url&gt;&amp;lt;Go to ISI&amp;gt;://WOS:000406765900002&lt;/url&gt;&lt;/related-urls&gt;&lt;/urls&gt;&lt;custom7&gt;j3262&lt;/custom7&gt;&lt;electronic-resource-num&gt;10.1136/bmj.j3262&lt;/electronic-resource-num&gt;&lt;/record&gt;&lt;/Cite&gt;&lt;/EndNote&gt;</w:instrText>
      </w:r>
      <w:r>
        <w:fldChar w:fldCharType="separate"/>
      </w:r>
      <w:r>
        <w:rPr>
          <w:noProof/>
        </w:rPr>
        <w:t>(Zhu, Zhuang et al. 2017)</w:t>
      </w:r>
      <w:r>
        <w:fldChar w:fldCharType="end"/>
      </w:r>
      <w:r>
        <w:t>. However, this study did not investigate other smoking cessation methods. Thus people who were already motivated to quit smoking may have been more likely to use e</w:t>
      </w:r>
      <w:r>
        <w:noBreakHyphen/>
        <w:t>cigarettes. The researchers also did not investigate whether e</w:t>
      </w:r>
      <w:r>
        <w:noBreakHyphen/>
        <w:t>cigarette users used other quit methods. Thus, quit success could have resulted from use of other smoking cessation methods. Additionally, assessing quit success among current e</w:t>
      </w:r>
      <w:r>
        <w:noBreakHyphen/>
        <w:t>cigarette users only may be misleading as it does not capture smokers who have previously attempted smoking cessation using e</w:t>
      </w:r>
      <w:r>
        <w:noBreakHyphen/>
        <w:t xml:space="preserve">cigarettes but were unsuccessful. </w:t>
      </w:r>
    </w:p>
    <w:p w14:paraId="381EE695" w14:textId="77777777" w:rsidR="002738DD" w:rsidRDefault="002738DD" w:rsidP="002738DD">
      <w:pPr>
        <w:pStyle w:val="BodyText"/>
      </w:pPr>
      <w:r>
        <w:t>While these studies indicate an association between e</w:t>
      </w:r>
      <w:r>
        <w:noBreakHyphen/>
        <w:t>cigarette use and having quit smoking, this evidence is generally limited by small study samples, lack of comparison with other smoking cessation tools and insufficient covariate adjustment. Seven cross</w:t>
      </w:r>
      <w:r>
        <w:noBreakHyphen/>
        <w:t>sectional studies had results which do not support a positive association between e</w:t>
      </w:r>
      <w:r>
        <w:noBreakHyphen/>
        <w:t xml:space="preserve">cigarette use and smoking cessation. </w:t>
      </w:r>
    </w:p>
    <w:p w14:paraId="276205AB" w14:textId="77777777" w:rsidR="002738DD" w:rsidRDefault="002738DD" w:rsidP="002738DD">
      <w:pPr>
        <w:pStyle w:val="BodyText"/>
      </w:pPr>
      <w:r>
        <w:t>While Zhu et al. found a positive association between e</w:t>
      </w:r>
      <w:r>
        <w:noBreakHyphen/>
        <w:t>cigarette use and quit success, Levy et al. found mixed results depending on the frequency of e</w:t>
      </w:r>
      <w:r>
        <w:noBreakHyphen/>
        <w:t xml:space="preserve">cigarette use </w:t>
      </w:r>
      <w:r>
        <w:fldChar w:fldCharType="begin">
          <w:fldData xml:space="preserve">PEVuZE5vdGU+PENpdGU+PEF1dGhvcj5MZXZ5PC9BdXRob3I+PFllYXI+MjAxNzwvWWVhcj48UmVj
TnVtPjQ4Njc8L1JlY051bT48RGlzcGxheVRleHQ+KExldnksIFl1YW4gZXQgYWwuIDIwMTcpPC9E
aXNwbGF5VGV4dD48cmVjb3JkPjxyZWMtbnVtYmVyPjQ4Njc8L3JlYy1udW1iZXI+PGZvcmVpZ24t
a2V5cz48a2V5IGFwcD0iRU4iIGRiLWlkPSI5ejA1ZHowcHJhYWRmdWVlMHpveHplZGs5emZlNWZ4
eDUwejUiIHRpbWVzdGFtcD0iMTUyMzkyMDU1MyI+NDg2Nzwva2V5PjwvZm9yZWlnbi1rZXlzPjxy
ZWYtdHlwZSBuYW1lPSJKb3VybmFsIEFydGljbGUiPjE3PC9yZWYtdHlwZT48Y29udHJpYnV0b3Jz
PjxhdXRob3JzPjxhdXRob3I+TGV2eSwgRC4gVC48L2F1dGhvcj48YXV0aG9yPll1YW4sIFouPC9h
dXRob3I+PGF1dGhvcj5MdW8sIFkuPC9hdXRob3I+PGF1dGhvcj5BYnJhbXMsIEQuIEIuPC9hdXRo
b3I+PC9hdXRob3JzPjwvY29udHJpYnV0b3JzPjxhdXRoLWFkZHJlc3M+TG9tYmFyZGkgQ29tcHJl
aGVuc2l2ZSBDYW5jZXIgQ2VudGVyLCBHZW9yZ2V0b3duIFVuaXZlcnNpdHksIFdhc2hpbmd0b24s
IERDLiYjeEQ7U2Nocm9lZGVyIEluc3RpdHV0ZSBmb3IgVG9iYWNjbyBSZXNlYXJjaCBhbmQgUG9s
aWN5IFN0dWRpZXMgYXQgVHJ1dGggSW5pdGlhdGl2ZSwgSm9obnMgSG9wa2lucyBCbG9vbWJlcmcg
U2Nob29sIG9mIFB1YmxpYyBIZWFsdGgsIEdlb3JnZXRvd24gVW5pdmVyc2l0eSBNZWRpY2FsIENl
bnRlciwgTG9tYmFyZGkgQ29tcHJlaGVuc2l2ZSBDYW5jZXIgQ2VudGVyLCBXYXNoaW5ndG9uLCBE
Qy48L2F1dGgtYWRkcmVzcz48dGl0bGVzPjx0aXRsZT5UaGUgUmVsYXRpb25zaGlwIG9mIEUtQ2ln
YXJldHRlIFVzZSB0byBDaWdhcmV0dGUgUXVpdCBBdHRlbXB0cyBhbmQgQ2Vzc2F0aW9uOiBJbnNp
Z2h0cyBGcm9tIGEgTGFyZ2UsIE5hdGlvbmFsbHkgUmVwcmVzZW50YXRpdmUgVS5TLiBTdXJ2ZXk8
L3RpdGxlPjxzZWNvbmRhcnktdGl0bGU+Tmljb3RpbmUgVG9iIFJlczwvc2Vjb25kYXJ5LXRpdGxl
PjxhbHQtdGl0bGU+Tmljb3RpbmUgJmFtcDsgdG9iYWNjbyByZXNlYXJjaCA6IG9mZmljaWFsIGpv
dXJuYWwgb2YgdGhlIFNvY2lldHkgZm9yIFJlc2VhcmNoIG9uIE5pY290aW5lIGFuZCBUb2JhY2Nv
PC9hbHQtdGl0bGU+PC90aXRsZXM+PHBlcmlvZGljYWw+PGZ1bGwtdGl0bGU+Tmljb3RpbmUgVG9i
IFJlczwvZnVsbC10aXRsZT48YWJici0xPk5pY290aW5lICZhbXA7IHRvYmFjY28gcmVzZWFyY2gg
OiBvZmZpY2lhbCBqb3VybmFsIG9mIHRoZSBTb2NpZXR5IGZvciBSZXNlYXJjaCBvbiBOaWNvdGlu
ZSBhbmQgVG9iYWNjbzwvYWJici0xPjwvcGVyaW9kaWNhbD48YWx0LXBlcmlvZGljYWw+PGZ1bGwt
dGl0bGU+Tmljb3RpbmUgVG9iIFJlczwvZnVsbC10aXRsZT48YWJici0xPk5pY290aW5lICZhbXA7
IHRvYmFjY28gcmVzZWFyY2ggOiBvZmZpY2lhbCBqb3VybmFsIG9mIHRoZSBTb2NpZXR5IGZvciBS
ZXNlYXJjaCBvbiBOaWNvdGluZSBhbmQgVG9iYWNjbzwvYWJici0xPjwvYWx0LXBlcmlvZGljYWw+
PGVkaXRpb24+MjAxNy8xMC8yNDwvZWRpdGlvbj48ZGF0ZXM+PHllYXI+MjAxNzwveWVhcj48cHVi
LWRhdGVzPjxkYXRlPkF1ZyAzMTwvZGF0ZT48L3B1Yi1kYXRlcz48L2RhdGVzPjxpc2JuPjE0NjIt
MjIwMzwvaXNibj48YWNjZXNzaW9uLW51bT4yOTA1OTM0MTwvYWNjZXNzaW9uLW51bT48dXJscz48
cmVsYXRlZC11cmxzPjx1cmw+aHR0cHM6Ly93YXRlcm1hcmsuc2lsdmVyY2hhaXIuY29tL250eDE2
Ni5wZGY/dG9rZW49QVFFQ0FIaTIwOEJFNDlPb2FuOWtraFdfRXJjeTdEbTNaTF85Q2YzcWZLQWM0
ODV5c2dBQUFkTXdnZ0hQQmdrcWhraUc5dzBCQndhZ2dnSEFNSUlCdkFJQkFEQ0NBYlVHQ1NxR1NJ
YjNEUUVIQVRBZUJnbGdoa2dCWlFNRUFTNHdFUVFNbHNmZkRzVDc1VVJhSnh2M0FnRVFnSUlCaHVo
VTJodHJ1aWJ6WV9XRDN2UWhtTHVLZHMzVmpmVVhJUThjTzZmQlc5NzM5MTZhQVZyT2RQTnRtMnMt
QTBYOVQ0RFdjSTFhZTJsMXpaMFBDd0dxdEloUTJLNnlOeU5iWkRROXdxWDNpZzhKQk1xazVuTi1p
MUZ4U01HVXhtLV83WEdoSU9jOC1QR1c2NzVqZzdwRWJqcVVpMEpjMzltdmtyeDUxdlJsVVdfRzdK
ZzBoN2t4ZVo0RHNjc244aGMtNmllc0s5WExyQm92Skl3cGdHTUZ2bHlyMTUxcW5wTFhlZ01fMU4y
anR2bnFuQldZeTRjZnVtcnBxM0podUlZOHI4MlN1Y0NGVEpLTmRrQVI0RUhBcjdHQUlGaWxQOFdG
bm5uVUd5Qm9uMVlNU0pOd0g4U3ZuTFNaOHdGNEVIc2dfcVpxbFBPYW1XaUNYUk95bzZWTXI5YzlN
SkJLcUxpeXRUOWRwdVVrNUtleWpaSEhlSENkVXZobkVOLVkyeEl4Q1hiNXNpQzBZX3VTMVdQWGR3
TGRHMEhTMXQ1bUc5dzJVR1pGemppWVdZZ1ZQLTdYVXB3YUNZYlRLVEJhb054OWlDN0cteFg1WDIw
N0g3UTZINUY2R0Vpa0YtZkZFUXhNWkszNWg5RGFOT0EyMXNZNnl3UEU1djlxaXZDMTZwa1NncG5H
YXlLMEJRPC91cmw+PC9yZWxhdGVkLXVybHM+PC91cmxzPjxlbGVjdHJvbmljLXJlc291cmNlLW51
bT4xMC4xMDkzL250ci9udHgxNjY8L2VsZWN0cm9uaWMtcmVzb3VyY2UtbnVtPjxyZW1vdGUtZGF0
YWJhc2UtcHJvdmlkZXI+TkxNPC9yZW1vdGUtZGF0YWJhc2UtcHJvdmlkZXI+PGxhbmd1YWdlPmVu
ZzwvbGFuZ3VhZ2U+PC9yZWNvcmQ+PC9DaXRlPjwvRW5kTm90ZT5=
</w:fldData>
        </w:fldChar>
      </w:r>
      <w:r>
        <w:instrText xml:space="preserve"> ADDIN EN.CITE </w:instrText>
      </w:r>
      <w:r>
        <w:fldChar w:fldCharType="begin">
          <w:fldData xml:space="preserve">PEVuZE5vdGU+PENpdGU+PEF1dGhvcj5MZXZ5PC9BdXRob3I+PFllYXI+MjAxNzwvWWVhcj48UmVj
TnVtPjQ4Njc8L1JlY051bT48RGlzcGxheVRleHQ+KExldnksIFl1YW4gZXQgYWwuIDIwMTcpPC9E
aXNwbGF5VGV4dD48cmVjb3JkPjxyZWMtbnVtYmVyPjQ4Njc8L3JlYy1udW1iZXI+PGZvcmVpZ24t
a2V5cz48a2V5IGFwcD0iRU4iIGRiLWlkPSI5ejA1ZHowcHJhYWRmdWVlMHpveHplZGs5emZlNWZ4
eDUwejUiIHRpbWVzdGFtcD0iMTUyMzkyMDU1MyI+NDg2Nzwva2V5PjwvZm9yZWlnbi1rZXlzPjxy
ZWYtdHlwZSBuYW1lPSJKb3VybmFsIEFydGljbGUiPjE3PC9yZWYtdHlwZT48Y29udHJpYnV0b3Jz
PjxhdXRob3JzPjxhdXRob3I+TGV2eSwgRC4gVC48L2F1dGhvcj48YXV0aG9yPll1YW4sIFouPC9h
dXRob3I+PGF1dGhvcj5MdW8sIFkuPC9hdXRob3I+PGF1dGhvcj5BYnJhbXMsIEQuIEIuPC9hdXRo
b3I+PC9hdXRob3JzPjwvY29udHJpYnV0b3JzPjxhdXRoLWFkZHJlc3M+TG9tYmFyZGkgQ29tcHJl
aGVuc2l2ZSBDYW5jZXIgQ2VudGVyLCBHZW9yZ2V0b3duIFVuaXZlcnNpdHksIFdhc2hpbmd0b24s
IERDLiYjeEQ7U2Nocm9lZGVyIEluc3RpdHV0ZSBmb3IgVG9iYWNjbyBSZXNlYXJjaCBhbmQgUG9s
aWN5IFN0dWRpZXMgYXQgVHJ1dGggSW5pdGlhdGl2ZSwgSm9obnMgSG9wa2lucyBCbG9vbWJlcmcg
U2Nob29sIG9mIFB1YmxpYyBIZWFsdGgsIEdlb3JnZXRvd24gVW5pdmVyc2l0eSBNZWRpY2FsIENl
bnRlciwgTG9tYmFyZGkgQ29tcHJlaGVuc2l2ZSBDYW5jZXIgQ2VudGVyLCBXYXNoaW5ndG9uLCBE
Qy48L2F1dGgtYWRkcmVzcz48dGl0bGVzPjx0aXRsZT5UaGUgUmVsYXRpb25zaGlwIG9mIEUtQ2ln
YXJldHRlIFVzZSB0byBDaWdhcmV0dGUgUXVpdCBBdHRlbXB0cyBhbmQgQ2Vzc2F0aW9uOiBJbnNp
Z2h0cyBGcm9tIGEgTGFyZ2UsIE5hdGlvbmFsbHkgUmVwcmVzZW50YXRpdmUgVS5TLiBTdXJ2ZXk8
L3RpdGxlPjxzZWNvbmRhcnktdGl0bGU+Tmljb3RpbmUgVG9iIFJlczwvc2Vjb25kYXJ5LXRpdGxl
PjxhbHQtdGl0bGU+Tmljb3RpbmUgJmFtcDsgdG9iYWNjbyByZXNlYXJjaCA6IG9mZmljaWFsIGpv
dXJuYWwgb2YgdGhlIFNvY2lldHkgZm9yIFJlc2VhcmNoIG9uIE5pY290aW5lIGFuZCBUb2JhY2Nv
PC9hbHQtdGl0bGU+PC90aXRsZXM+PHBlcmlvZGljYWw+PGZ1bGwtdGl0bGU+Tmljb3RpbmUgVG9i
IFJlczwvZnVsbC10aXRsZT48YWJici0xPk5pY290aW5lICZhbXA7IHRvYmFjY28gcmVzZWFyY2gg
OiBvZmZpY2lhbCBqb3VybmFsIG9mIHRoZSBTb2NpZXR5IGZvciBSZXNlYXJjaCBvbiBOaWNvdGlu
ZSBhbmQgVG9iYWNjbzwvYWJici0xPjwvcGVyaW9kaWNhbD48YWx0LXBlcmlvZGljYWw+PGZ1bGwt
dGl0bGU+Tmljb3RpbmUgVG9iIFJlczwvZnVsbC10aXRsZT48YWJici0xPk5pY290aW5lICZhbXA7
IHRvYmFjY28gcmVzZWFyY2ggOiBvZmZpY2lhbCBqb3VybmFsIG9mIHRoZSBTb2NpZXR5IGZvciBS
ZXNlYXJjaCBvbiBOaWNvdGluZSBhbmQgVG9iYWNjbzwvYWJici0xPjwvYWx0LXBlcmlvZGljYWw+
PGVkaXRpb24+MjAxNy8xMC8yNDwvZWRpdGlvbj48ZGF0ZXM+PHllYXI+MjAxNzwveWVhcj48cHVi
LWRhdGVzPjxkYXRlPkF1ZyAzMTwvZGF0ZT48L3B1Yi1kYXRlcz48L2RhdGVzPjxpc2JuPjE0NjIt
MjIwMzwvaXNibj48YWNjZXNzaW9uLW51bT4yOTA1OTM0MTwvYWNjZXNzaW9uLW51bT48dXJscz48
cmVsYXRlZC11cmxzPjx1cmw+aHR0cHM6Ly93YXRlcm1hcmsuc2lsdmVyY2hhaXIuY29tL250eDE2
Ni5wZGY/dG9rZW49QVFFQ0FIaTIwOEJFNDlPb2FuOWtraFdfRXJjeTdEbTNaTF85Q2YzcWZLQWM0
ODV5c2dBQUFkTXdnZ0hQQmdrcWhraUc5dzBCQndhZ2dnSEFNSUlCdkFJQkFEQ0NBYlVHQ1NxR1NJ
YjNEUUVIQVRBZUJnbGdoa2dCWlFNRUFTNHdFUVFNbHNmZkRzVDc1VVJhSnh2M0FnRVFnSUlCaHVo
VTJodHJ1aWJ6WV9XRDN2UWhtTHVLZHMzVmpmVVhJUThjTzZmQlc5NzM5MTZhQVZyT2RQTnRtMnMt
QTBYOVQ0RFdjSTFhZTJsMXpaMFBDd0dxdEloUTJLNnlOeU5iWkRROXdxWDNpZzhKQk1xazVuTi1p
MUZ4U01HVXhtLV83WEdoSU9jOC1QR1c2NzVqZzdwRWJqcVVpMEpjMzltdmtyeDUxdlJsVVdfRzdK
ZzBoN2t4ZVo0RHNjc244aGMtNmllc0s5WExyQm92Skl3cGdHTUZ2bHlyMTUxcW5wTFhlZ01fMU4y
anR2bnFuQldZeTRjZnVtcnBxM0podUlZOHI4MlN1Y0NGVEpLTmRrQVI0RUhBcjdHQUlGaWxQOFdG
bm5uVUd5Qm9uMVlNU0pOd0g4U3ZuTFNaOHdGNEVIc2dfcVpxbFBPYW1XaUNYUk95bzZWTXI5YzlN
SkJLcUxpeXRUOWRwdVVrNUtleWpaSEhlSENkVXZobkVOLVkyeEl4Q1hiNXNpQzBZX3VTMVdQWGR3
TGRHMEhTMXQ1bUc5dzJVR1pGemppWVdZZ1ZQLTdYVXB3YUNZYlRLVEJhb054OWlDN0cteFg1WDIw
N0g3UTZINUY2R0Vpa0YtZkZFUXhNWkszNWg5RGFOT0EyMXNZNnl3UEU1djlxaXZDMTZwa1NncG5H
YXlLMEJRPC91cmw+PC9yZWxhdGVkLXVybHM+PC91cmxzPjxlbGVjdHJvbmljLXJlc291cmNlLW51
bT4xMC4xMDkzL250ci9udHgxNjY8L2VsZWN0cm9uaWMtcmVzb3VyY2UtbnVtPjxyZW1vdGUtZGF0
YWJhc2UtcHJvdmlkZXI+TkxNPC9yZW1vdGUtZGF0YWJhc2UtcHJvdmlkZXI+PGxhbmd1YWdlPmVu
ZzwvbGFuZ3VhZ2U+PC9yZWNvcmQ+PC9DaXRlPjwvRW5kTm90ZT5=
</w:fldData>
        </w:fldChar>
      </w:r>
      <w:r>
        <w:instrText xml:space="preserve"> ADDIN EN.CITE.DATA </w:instrText>
      </w:r>
      <w:r>
        <w:fldChar w:fldCharType="end"/>
      </w:r>
      <w:r>
        <w:fldChar w:fldCharType="separate"/>
      </w:r>
      <w:r>
        <w:rPr>
          <w:noProof/>
        </w:rPr>
        <w:t>(Levy, Yuan et al. 2017)</w:t>
      </w:r>
      <w:r>
        <w:fldChar w:fldCharType="end"/>
      </w:r>
      <w:r>
        <w:t>. Levy et al. conducted a secondary analysis of the 2014</w:t>
      </w:r>
      <w:r>
        <w:noBreakHyphen/>
        <w:t xml:space="preserve">15 </w:t>
      </w:r>
      <w:r w:rsidRPr="00403E1B">
        <w:t>Tobacco Use Supplement</w:t>
      </w:r>
      <w:r>
        <w:noBreakHyphen/>
      </w:r>
      <w:r w:rsidRPr="00403E1B">
        <w:t>Current Population Survey</w:t>
      </w:r>
      <w:r>
        <w:t xml:space="preserve"> from the US census. This included 21,226 smokers, 49.8% were male and participants were largely aged 45</w:t>
      </w:r>
      <w:r>
        <w:noBreakHyphen/>
        <w:t>64 years (42.2%). The response rate was not reported. Smokers who used e</w:t>
      </w:r>
      <w:r>
        <w:noBreakHyphen/>
        <w:t>cigarettes were more likely to report quit attempts than non</w:t>
      </w:r>
      <w:r>
        <w:noBreakHyphen/>
        <w:t>users. Researchers analysed quit successes of all smokers who had attempted to quit at least once in the past year, categorised by e</w:t>
      </w:r>
      <w:r>
        <w:noBreakHyphen/>
        <w:t>cigarette use (regular (</w:t>
      </w:r>
      <w:r>
        <w:rPr>
          <w:rFonts w:cs="Calibri"/>
        </w:rPr>
        <w:t>≥</w:t>
      </w:r>
      <w:r>
        <w:t>five times per week), ever or never users). The researchers found that smokers who had ever used e</w:t>
      </w:r>
      <w:r>
        <w:noBreakHyphen/>
        <w:t>cigarettes reported fewer quit successes than non</w:t>
      </w:r>
      <w:r>
        <w:noBreakHyphen/>
        <w:t>users and regular users. However, regular e</w:t>
      </w:r>
      <w:r>
        <w:noBreakHyphen/>
        <w:t xml:space="preserve">cigarette users were more likely to have abstained from smoking compared with never or ever users </w:t>
      </w:r>
      <w:r>
        <w:fldChar w:fldCharType="begin">
          <w:fldData xml:space="preserve">PEVuZE5vdGU+PENpdGU+PEF1dGhvcj5MZXZ5PC9BdXRob3I+PFllYXI+MjAxNzwvWWVhcj48UmVj
TnVtPjQ4Njc8L1JlY051bT48RGlzcGxheVRleHQ+KExldnksIFl1YW4gZXQgYWwuIDIwMTcpPC9E
aXNwbGF5VGV4dD48cmVjb3JkPjxyZWMtbnVtYmVyPjQ4Njc8L3JlYy1udW1iZXI+PGZvcmVpZ24t
a2V5cz48a2V5IGFwcD0iRU4iIGRiLWlkPSI5ejA1ZHowcHJhYWRmdWVlMHpveHplZGs5emZlNWZ4
eDUwejUiIHRpbWVzdGFtcD0iMTUyMzkyMDU1MyI+NDg2Nzwva2V5PjwvZm9yZWlnbi1rZXlzPjxy
ZWYtdHlwZSBuYW1lPSJKb3VybmFsIEFydGljbGUiPjE3PC9yZWYtdHlwZT48Y29udHJpYnV0b3Jz
PjxhdXRob3JzPjxhdXRob3I+TGV2eSwgRC4gVC48L2F1dGhvcj48YXV0aG9yPll1YW4sIFouPC9h
dXRob3I+PGF1dGhvcj5MdW8sIFkuPC9hdXRob3I+PGF1dGhvcj5BYnJhbXMsIEQuIEIuPC9hdXRo
b3I+PC9hdXRob3JzPjwvY29udHJpYnV0b3JzPjxhdXRoLWFkZHJlc3M+TG9tYmFyZGkgQ29tcHJl
aGVuc2l2ZSBDYW5jZXIgQ2VudGVyLCBHZW9yZ2V0b3duIFVuaXZlcnNpdHksIFdhc2hpbmd0b24s
IERDLiYjeEQ7U2Nocm9lZGVyIEluc3RpdHV0ZSBmb3IgVG9iYWNjbyBSZXNlYXJjaCBhbmQgUG9s
aWN5IFN0dWRpZXMgYXQgVHJ1dGggSW5pdGlhdGl2ZSwgSm9obnMgSG9wa2lucyBCbG9vbWJlcmcg
U2Nob29sIG9mIFB1YmxpYyBIZWFsdGgsIEdlb3JnZXRvd24gVW5pdmVyc2l0eSBNZWRpY2FsIENl
bnRlciwgTG9tYmFyZGkgQ29tcHJlaGVuc2l2ZSBDYW5jZXIgQ2VudGVyLCBXYXNoaW5ndG9uLCBE
Qy48L2F1dGgtYWRkcmVzcz48dGl0bGVzPjx0aXRsZT5UaGUgUmVsYXRpb25zaGlwIG9mIEUtQ2ln
YXJldHRlIFVzZSB0byBDaWdhcmV0dGUgUXVpdCBBdHRlbXB0cyBhbmQgQ2Vzc2F0aW9uOiBJbnNp
Z2h0cyBGcm9tIGEgTGFyZ2UsIE5hdGlvbmFsbHkgUmVwcmVzZW50YXRpdmUgVS5TLiBTdXJ2ZXk8
L3RpdGxlPjxzZWNvbmRhcnktdGl0bGU+Tmljb3RpbmUgVG9iIFJlczwvc2Vjb25kYXJ5LXRpdGxl
PjxhbHQtdGl0bGU+Tmljb3RpbmUgJmFtcDsgdG9iYWNjbyByZXNlYXJjaCA6IG9mZmljaWFsIGpv
dXJuYWwgb2YgdGhlIFNvY2lldHkgZm9yIFJlc2VhcmNoIG9uIE5pY290aW5lIGFuZCBUb2JhY2Nv
PC9hbHQtdGl0bGU+PC90aXRsZXM+PHBlcmlvZGljYWw+PGZ1bGwtdGl0bGU+Tmljb3RpbmUgVG9i
IFJlczwvZnVsbC10aXRsZT48YWJici0xPk5pY290aW5lICZhbXA7IHRvYmFjY28gcmVzZWFyY2gg
OiBvZmZpY2lhbCBqb3VybmFsIG9mIHRoZSBTb2NpZXR5IGZvciBSZXNlYXJjaCBvbiBOaWNvdGlu
ZSBhbmQgVG9iYWNjbzwvYWJici0xPjwvcGVyaW9kaWNhbD48YWx0LXBlcmlvZGljYWw+PGZ1bGwt
dGl0bGU+Tmljb3RpbmUgVG9iIFJlczwvZnVsbC10aXRsZT48YWJici0xPk5pY290aW5lICZhbXA7
IHRvYmFjY28gcmVzZWFyY2ggOiBvZmZpY2lhbCBqb3VybmFsIG9mIHRoZSBTb2NpZXR5IGZvciBS
ZXNlYXJjaCBvbiBOaWNvdGluZSBhbmQgVG9iYWNjbzwvYWJici0xPjwvYWx0LXBlcmlvZGljYWw+
PGVkaXRpb24+MjAxNy8xMC8yNDwvZWRpdGlvbj48ZGF0ZXM+PHllYXI+MjAxNzwveWVhcj48cHVi
LWRhdGVzPjxkYXRlPkF1ZyAzMTwvZGF0ZT48L3B1Yi1kYXRlcz48L2RhdGVzPjxpc2JuPjE0NjIt
MjIwMzwvaXNibj48YWNjZXNzaW9uLW51bT4yOTA1OTM0MTwvYWNjZXNzaW9uLW51bT48dXJscz48
cmVsYXRlZC11cmxzPjx1cmw+aHR0cHM6Ly93YXRlcm1hcmsuc2lsdmVyY2hhaXIuY29tL250eDE2
Ni5wZGY/dG9rZW49QVFFQ0FIaTIwOEJFNDlPb2FuOWtraFdfRXJjeTdEbTNaTF85Q2YzcWZLQWM0
ODV5c2dBQUFkTXdnZ0hQQmdrcWhraUc5dzBCQndhZ2dnSEFNSUlCdkFJQkFEQ0NBYlVHQ1NxR1NJ
YjNEUUVIQVRBZUJnbGdoa2dCWlFNRUFTNHdFUVFNbHNmZkRzVDc1VVJhSnh2M0FnRVFnSUlCaHVo
VTJodHJ1aWJ6WV9XRDN2UWhtTHVLZHMzVmpmVVhJUThjTzZmQlc5NzM5MTZhQVZyT2RQTnRtMnMt
QTBYOVQ0RFdjSTFhZTJsMXpaMFBDd0dxdEloUTJLNnlOeU5iWkRROXdxWDNpZzhKQk1xazVuTi1p
MUZ4U01HVXhtLV83WEdoSU9jOC1QR1c2NzVqZzdwRWJqcVVpMEpjMzltdmtyeDUxdlJsVVdfRzdK
ZzBoN2t4ZVo0RHNjc244aGMtNmllc0s5WExyQm92Skl3cGdHTUZ2bHlyMTUxcW5wTFhlZ01fMU4y
anR2bnFuQldZeTRjZnVtcnBxM0podUlZOHI4MlN1Y0NGVEpLTmRrQVI0RUhBcjdHQUlGaWxQOFdG
bm5uVUd5Qm9uMVlNU0pOd0g4U3ZuTFNaOHdGNEVIc2dfcVpxbFBPYW1XaUNYUk95bzZWTXI5YzlN
SkJLcUxpeXRUOWRwdVVrNUtleWpaSEhlSENkVXZobkVOLVkyeEl4Q1hiNXNpQzBZX3VTMVdQWGR3
TGRHMEhTMXQ1bUc5dzJVR1pGemppWVdZZ1ZQLTdYVXB3YUNZYlRLVEJhb054OWlDN0cteFg1WDIw
N0g3UTZINUY2R0Vpa0YtZkZFUXhNWkszNWg5RGFOT0EyMXNZNnl3UEU1djlxaXZDMTZwa1NncG5H
YXlLMEJRPC91cmw+PC9yZWxhdGVkLXVybHM+PC91cmxzPjxlbGVjdHJvbmljLXJlc291cmNlLW51
bT4xMC4xMDkzL250ci9udHgxNjY8L2VsZWN0cm9uaWMtcmVzb3VyY2UtbnVtPjxyZW1vdGUtZGF0
YWJhc2UtcHJvdmlkZXI+TkxNPC9yZW1vdGUtZGF0YWJhc2UtcHJvdmlkZXI+PGxhbmd1YWdlPmVu
ZzwvbGFuZ3VhZ2U+PC9yZWNvcmQ+PC9DaXRlPjwvRW5kTm90ZT5=
</w:fldData>
        </w:fldChar>
      </w:r>
      <w:r>
        <w:instrText xml:space="preserve"> ADDIN EN.CITE </w:instrText>
      </w:r>
      <w:r>
        <w:fldChar w:fldCharType="begin">
          <w:fldData xml:space="preserve">PEVuZE5vdGU+PENpdGU+PEF1dGhvcj5MZXZ5PC9BdXRob3I+PFllYXI+MjAxNzwvWWVhcj48UmVj
TnVtPjQ4Njc8L1JlY051bT48RGlzcGxheVRleHQ+KExldnksIFl1YW4gZXQgYWwuIDIwMTcpPC9E
aXNwbGF5VGV4dD48cmVjb3JkPjxyZWMtbnVtYmVyPjQ4Njc8L3JlYy1udW1iZXI+PGZvcmVpZ24t
a2V5cz48a2V5IGFwcD0iRU4iIGRiLWlkPSI5ejA1ZHowcHJhYWRmdWVlMHpveHplZGs5emZlNWZ4
eDUwejUiIHRpbWVzdGFtcD0iMTUyMzkyMDU1MyI+NDg2Nzwva2V5PjwvZm9yZWlnbi1rZXlzPjxy
ZWYtdHlwZSBuYW1lPSJKb3VybmFsIEFydGljbGUiPjE3PC9yZWYtdHlwZT48Y29udHJpYnV0b3Jz
PjxhdXRob3JzPjxhdXRob3I+TGV2eSwgRC4gVC48L2F1dGhvcj48YXV0aG9yPll1YW4sIFouPC9h
dXRob3I+PGF1dGhvcj5MdW8sIFkuPC9hdXRob3I+PGF1dGhvcj5BYnJhbXMsIEQuIEIuPC9hdXRo
b3I+PC9hdXRob3JzPjwvY29udHJpYnV0b3JzPjxhdXRoLWFkZHJlc3M+TG9tYmFyZGkgQ29tcHJl
aGVuc2l2ZSBDYW5jZXIgQ2VudGVyLCBHZW9yZ2V0b3duIFVuaXZlcnNpdHksIFdhc2hpbmd0b24s
IERDLiYjeEQ7U2Nocm9lZGVyIEluc3RpdHV0ZSBmb3IgVG9iYWNjbyBSZXNlYXJjaCBhbmQgUG9s
aWN5IFN0dWRpZXMgYXQgVHJ1dGggSW5pdGlhdGl2ZSwgSm9obnMgSG9wa2lucyBCbG9vbWJlcmcg
U2Nob29sIG9mIFB1YmxpYyBIZWFsdGgsIEdlb3JnZXRvd24gVW5pdmVyc2l0eSBNZWRpY2FsIENl
bnRlciwgTG9tYmFyZGkgQ29tcHJlaGVuc2l2ZSBDYW5jZXIgQ2VudGVyLCBXYXNoaW5ndG9uLCBE
Qy48L2F1dGgtYWRkcmVzcz48dGl0bGVzPjx0aXRsZT5UaGUgUmVsYXRpb25zaGlwIG9mIEUtQ2ln
YXJldHRlIFVzZSB0byBDaWdhcmV0dGUgUXVpdCBBdHRlbXB0cyBhbmQgQ2Vzc2F0aW9uOiBJbnNp
Z2h0cyBGcm9tIGEgTGFyZ2UsIE5hdGlvbmFsbHkgUmVwcmVzZW50YXRpdmUgVS5TLiBTdXJ2ZXk8
L3RpdGxlPjxzZWNvbmRhcnktdGl0bGU+Tmljb3RpbmUgVG9iIFJlczwvc2Vjb25kYXJ5LXRpdGxl
PjxhbHQtdGl0bGU+Tmljb3RpbmUgJmFtcDsgdG9iYWNjbyByZXNlYXJjaCA6IG9mZmljaWFsIGpv
dXJuYWwgb2YgdGhlIFNvY2lldHkgZm9yIFJlc2VhcmNoIG9uIE5pY290aW5lIGFuZCBUb2JhY2Nv
PC9hbHQtdGl0bGU+PC90aXRsZXM+PHBlcmlvZGljYWw+PGZ1bGwtdGl0bGU+Tmljb3RpbmUgVG9i
IFJlczwvZnVsbC10aXRsZT48YWJici0xPk5pY290aW5lICZhbXA7IHRvYmFjY28gcmVzZWFyY2gg
OiBvZmZpY2lhbCBqb3VybmFsIG9mIHRoZSBTb2NpZXR5IGZvciBSZXNlYXJjaCBvbiBOaWNvdGlu
ZSBhbmQgVG9iYWNjbzwvYWJici0xPjwvcGVyaW9kaWNhbD48YWx0LXBlcmlvZGljYWw+PGZ1bGwt
dGl0bGU+Tmljb3RpbmUgVG9iIFJlczwvZnVsbC10aXRsZT48YWJici0xPk5pY290aW5lICZhbXA7
IHRvYmFjY28gcmVzZWFyY2ggOiBvZmZpY2lhbCBqb3VybmFsIG9mIHRoZSBTb2NpZXR5IGZvciBS
ZXNlYXJjaCBvbiBOaWNvdGluZSBhbmQgVG9iYWNjbzwvYWJici0xPjwvYWx0LXBlcmlvZGljYWw+
PGVkaXRpb24+MjAxNy8xMC8yNDwvZWRpdGlvbj48ZGF0ZXM+PHllYXI+MjAxNzwveWVhcj48cHVi
LWRhdGVzPjxkYXRlPkF1ZyAzMTwvZGF0ZT48L3B1Yi1kYXRlcz48L2RhdGVzPjxpc2JuPjE0NjIt
MjIwMzwvaXNibj48YWNjZXNzaW9uLW51bT4yOTA1OTM0MTwvYWNjZXNzaW9uLW51bT48dXJscz48
cmVsYXRlZC11cmxzPjx1cmw+aHR0cHM6Ly93YXRlcm1hcmsuc2lsdmVyY2hhaXIuY29tL250eDE2
Ni5wZGY/dG9rZW49QVFFQ0FIaTIwOEJFNDlPb2FuOWtraFdfRXJjeTdEbTNaTF85Q2YzcWZLQWM0
ODV5c2dBQUFkTXdnZ0hQQmdrcWhraUc5dzBCQndhZ2dnSEFNSUlCdkFJQkFEQ0NBYlVHQ1NxR1NJ
YjNEUUVIQVRBZUJnbGdoa2dCWlFNRUFTNHdFUVFNbHNmZkRzVDc1VVJhSnh2M0FnRVFnSUlCaHVo
VTJodHJ1aWJ6WV9XRDN2UWhtTHVLZHMzVmpmVVhJUThjTzZmQlc5NzM5MTZhQVZyT2RQTnRtMnMt
QTBYOVQ0RFdjSTFhZTJsMXpaMFBDd0dxdEloUTJLNnlOeU5iWkRROXdxWDNpZzhKQk1xazVuTi1p
MUZ4U01HVXhtLV83WEdoSU9jOC1QR1c2NzVqZzdwRWJqcVVpMEpjMzltdmtyeDUxdlJsVVdfRzdK
ZzBoN2t4ZVo0RHNjc244aGMtNmllc0s5WExyQm92Skl3cGdHTUZ2bHlyMTUxcW5wTFhlZ01fMU4y
anR2bnFuQldZeTRjZnVtcnBxM0podUlZOHI4MlN1Y0NGVEpLTmRrQVI0RUhBcjdHQUlGaWxQOFdG
bm5uVUd5Qm9uMVlNU0pOd0g4U3ZuTFNaOHdGNEVIc2dfcVpxbFBPYW1XaUNYUk95bzZWTXI5YzlN
SkJLcUxpeXRUOWRwdVVrNUtleWpaSEhlSENkVXZobkVOLVkyeEl4Q1hiNXNpQzBZX3VTMVdQWGR3
TGRHMEhTMXQ1bUc5dzJVR1pGemppWVdZZ1ZQLTdYVXB3YUNZYlRLVEJhb054OWlDN0cteFg1WDIw
N0g3UTZINUY2R0Vpa0YtZkZFUXhNWkszNWg5RGFOT0EyMXNZNnl3UEU1djlxaXZDMTZwa1NncG5H
YXlLMEJRPC91cmw+PC9yZWxhdGVkLXVybHM+PC91cmxzPjxlbGVjdHJvbmljLXJlc291cmNlLW51
bT4xMC4xMDkzL250ci9udHgxNjY8L2VsZWN0cm9uaWMtcmVzb3VyY2UtbnVtPjxyZW1vdGUtZGF0
YWJhc2UtcHJvdmlkZXI+TkxNPC9yZW1vdGUtZGF0YWJhc2UtcHJvdmlkZXI+PGxhbmd1YWdlPmVu
ZzwvbGFuZ3VhZ2U+PC9yZWNvcmQ+PC9DaXRlPjwvRW5kTm90ZT5=
</w:fldData>
        </w:fldChar>
      </w:r>
      <w:r>
        <w:instrText xml:space="preserve"> ADDIN EN.CITE.DATA </w:instrText>
      </w:r>
      <w:r>
        <w:fldChar w:fldCharType="end"/>
      </w:r>
      <w:r>
        <w:fldChar w:fldCharType="separate"/>
      </w:r>
      <w:r>
        <w:rPr>
          <w:noProof/>
        </w:rPr>
        <w:t>(Levy, Yuan et al. 2017)</w:t>
      </w:r>
      <w:r>
        <w:fldChar w:fldCharType="end"/>
      </w:r>
      <w:r>
        <w:t>.</w:t>
      </w:r>
      <w:r w:rsidRPr="00D87D8F">
        <w:t xml:space="preserve"> </w:t>
      </w:r>
    </w:p>
    <w:p w14:paraId="2EF17D45" w14:textId="77777777" w:rsidR="002738DD" w:rsidRDefault="002738DD" w:rsidP="002738DD">
      <w:pPr>
        <w:pStyle w:val="BodyText"/>
      </w:pPr>
      <w:r>
        <w:lastRenderedPageBreak/>
        <w:t>Another secondary analysis was conducted using data from the 2014</w:t>
      </w:r>
      <w:r>
        <w:noBreakHyphen/>
        <w:t xml:space="preserve">15 PASSI survey, details of this study are included in section </w:t>
      </w:r>
      <w:r w:rsidR="00764508">
        <w:t>10</w:t>
      </w:r>
      <w:r>
        <w:t>.</w:t>
      </w:r>
      <w:r w:rsidR="000376C7">
        <w:t>2</w:t>
      </w:r>
      <w:r>
        <w:t xml:space="preserve">.1 </w:t>
      </w:r>
      <w:r>
        <w:fldChar w:fldCharType="begin">
          <w:fldData xml:space="preserve">PEVuZE5vdGU+PENpdGU+PEF1dGhvcj5Hb3Jpbmk8L0F1dGhvcj48WWVhcj4yMDE3PC9ZZWFyPjxS
ZWNOdW0+NTA4NTwvUmVjTnVtPjxEaXNwbGF5VGV4dD4oR29yaW5pLCBGZXJyYW50ZSBldCBhbC4g
MjAxNyk8L0Rpc3BsYXlUZXh0PjxyZWNvcmQ+PHJlYy1udW1iZXI+NTA4NTwvcmVjLW51bWJlcj48
Zm9yZWlnbi1rZXlzPjxrZXkgYXBwPSJFTiIgZGItaWQ9Ijl6MDVkejBwcmFhZGZ1ZWUwem94emVk
azl6ZmU1Znh4NTB6NSIgdGltZXN0YW1wPSIxNTIzOTIwOTE5Ij41MDg1PC9rZXk+PC9mb3JlaWdu
LWtleXM+PHJlZi10eXBlIG5hbWU9IkpvdXJuYWwgQXJ0aWNsZSI+MTc8L3JlZi10eXBlPjxjb250
cmlidXRvcnM+PGF1dGhvcnM+PGF1dGhvcj5Hb3JpbmksIEcuPC9hdXRob3I+PGF1dGhvcj5GZXJy
YW50ZSwgRy48L2F1dGhvcj48YXV0aG9yPlF1YXJjaGlvbmksIEUuPC9hdXRob3I+PGF1dGhvcj5N
aW5hcmRpLCBWLjwvYXV0aG9yPjxhdXRob3I+TWFzb2NjbywgTS48L2F1dGhvcj48YXV0aG9yPkZh
dGVoLU1vZ2hhZGFtLCBQLjwvYXV0aG9yPjxhdXRob3I+Q2FtcG9zdHJpbmksIFMuPC9hdXRob3I+
PGF1dGhvcj5EJmFwb3M7QXJnZW5pbywgUC48L2F1dGhvcj48YXV0aG9yPkdhbGVvbmUsIEQuPC9h
dXRob3I+PC9hdXRob3JzPjwvY29udHJpYnV0b3JzPjxhdXRoLWFkZHJlc3M+T2NjdXBhdGlvbmFs
ICZhbXA7IEVudmlyb25tZW50YWwgRXBpZGVtaW9sb2d5IFNlY3Rpb24sIENhbmNlciBSZXNlYXJj
aCAmYW1wOyBQcmV2ZW50aW9uIEluc3RpdHV0ZSAoSVNQTyksIEZsb3JlbmNlLCBJdGFseS4mI3hE
O05hdGlvbmFsIEluc3RpdHV0ZSBvZiBIZWFsdGggKElTUyksIFJvbWUsIEl0YWx5LiBFbGVjdHJv
bmljIGFkZHJlc3M6IGdpYW5sdWlnaS5mZXJyYW50ZUBpc3MuaXQuJiN4RDtOYXRpb25hbCBJbnN0
aXR1dGUgb2YgSGVhbHRoIChJU1MpLCBSb21lLCBJdGFseS4mI3hEO0hlYWx0aCBFZHVjYXRpb24g
U2VydmljZSwgUHJvdmluY2lhbCBBZ2VuY3kgZm9yIEhlYWx0aCBTZXJ2aWNlcywgVHJlbnRvLCBJ
dGFseS4mI3hEO0RlcGFydG1lbnQgb2YgU3RhdGlzdGljcywgQ2EmYXBvczsgRm9zY2FyaSBVbml2
ZXJzaXR5LCBWZW5pY2UsIEl0YWx5LiYjeEQ7UEFTU0kgY29vcmRpbmF0aW5nIGdyb3VwLCBJdGFs
eS4mI3hEO0l0YWxpYW4gTWluaXN0cnkgb2YgSGVhbHRoLCBDZW50ZXIgZm9yIERpc2Vhc2UgUHJl
dmVudGlvbiBhbmQgQ29udHJvbCwgUm9tZSwgSXRhbHkuPC9hdXRoLWFkZHJlc3M+PHRpdGxlcz48
dGl0bGU+RWxlY3Ryb25pYyBjaWdhcmV0dGUgdXNlIGFzIGFuIGFpZCB0byBxdWl0IHNtb2tpbmcg
aW4gdGhlIHJlcHJlc2VudGF0aXZlIEl0YWxpYW4gcG9wdWxhdGlvbiBQQVNTSSBzdXJ2ZXk8L3Rp
dGxlPjxzZWNvbmRhcnktdGl0bGU+UHJldiBNZWQ8L3NlY29uZGFyeS10aXRsZT48YWx0LXRpdGxl
PlByZXZlbnRpdmUgbWVkaWNpbmU8L2FsdC10aXRsZT48L3RpdGxlcz48YWx0LXBlcmlvZGljYWw+
PGZ1bGwtdGl0bGU+UHJldmVudGl2ZSBNZWRpY2luZTwvZnVsbC10aXRsZT48L2FsdC1wZXJpb2Rp
Y2FsPjxwYWdlcz4xLTU8L3BhZ2VzPjx2b2x1bWU+MTAyPC92b2x1bWU+PGVkaXRpb24+MjAxNy8w
Ni8yODwvZWRpdGlvbj48a2V5d29yZHM+PGtleXdvcmQ+Q3Jvc3Mtc2VjdGlvbmFsIHN1cnZleTwv
a2V5d29yZD48a2V5d29yZD5FLWNpZ2FyZXR0ZXM8L2tleXdvcmQ+PGtleXdvcmQ+SXRhbHk8L2tl
eXdvcmQ+PGtleXdvcmQ+U21va2luZyBjZXNzYXRpb24gbWV0aG9kPC9rZXl3b3JkPjwva2V5d29y
ZHM+PGRhdGVzPjx5ZWFyPjIwMTc8L3llYXI+PHB1Yi1kYXRlcz48ZGF0ZT5TZXA8L2RhdGU+PC9w
dWItZGF0ZXM+PC9kYXRlcz48aXNibj4wMDkxLTc0MzU8L2lzYm4+PGFjY2Vzc2lvbi1udW0+Mjg2
NTIwODg8L2FjY2Vzc2lvbi1udW0+PHVybHM+PHJlbGF0ZWQtdXJscz48dXJsPmh0dHBzOi8vd3d3
LnNjaWVuY2VkaXJlY3QuY29tL3NjaWVuY2UvYXJ0aWNsZS9waWkvUzAwOTE3NDM1MTczMDIzMTE/
dmlhJTNEaWh1YjwvdXJsPjwvcmVsYXRlZC11cmxzPjwvdXJscz48ZWxlY3Ryb25pYy1yZXNvdXJj
ZS1udW0+MTAuMTAxNi9qLnlwbWVkLjIwMTcuMDYuMDI5PC9lbGVjdHJvbmljLXJlc291cmNlLW51
bT48cmVtb3RlLWRhdGFiYXNlLXByb3ZpZGVyPk5MTTwvcmVtb3RlLWRhdGFiYXNlLXByb3ZpZGVy
PjxsYW5ndWFnZT5lbmc8L2xhbmd1YWdlPjwvcmVjb3JkPjwvQ2l0ZT48L0VuZE5vdGU+AG==
</w:fldData>
        </w:fldChar>
      </w:r>
      <w:r>
        <w:instrText xml:space="preserve"> ADDIN EN.CITE </w:instrText>
      </w:r>
      <w:r>
        <w:fldChar w:fldCharType="begin">
          <w:fldData xml:space="preserve">PEVuZE5vdGU+PENpdGU+PEF1dGhvcj5Hb3Jpbmk8L0F1dGhvcj48WWVhcj4yMDE3PC9ZZWFyPjxS
ZWNOdW0+NTA4NTwvUmVjTnVtPjxEaXNwbGF5VGV4dD4oR29yaW5pLCBGZXJyYW50ZSBldCBhbC4g
MjAxNyk8L0Rpc3BsYXlUZXh0PjxyZWNvcmQ+PHJlYy1udW1iZXI+NTA4NTwvcmVjLW51bWJlcj48
Zm9yZWlnbi1rZXlzPjxrZXkgYXBwPSJFTiIgZGItaWQ9Ijl6MDVkejBwcmFhZGZ1ZWUwem94emVk
azl6ZmU1Znh4NTB6NSIgdGltZXN0YW1wPSIxNTIzOTIwOTE5Ij41MDg1PC9rZXk+PC9mb3JlaWdu
LWtleXM+PHJlZi10eXBlIG5hbWU9IkpvdXJuYWwgQXJ0aWNsZSI+MTc8L3JlZi10eXBlPjxjb250
cmlidXRvcnM+PGF1dGhvcnM+PGF1dGhvcj5Hb3JpbmksIEcuPC9hdXRob3I+PGF1dGhvcj5GZXJy
YW50ZSwgRy48L2F1dGhvcj48YXV0aG9yPlF1YXJjaGlvbmksIEUuPC9hdXRob3I+PGF1dGhvcj5N
aW5hcmRpLCBWLjwvYXV0aG9yPjxhdXRob3I+TWFzb2NjbywgTS48L2F1dGhvcj48YXV0aG9yPkZh
dGVoLU1vZ2hhZGFtLCBQLjwvYXV0aG9yPjxhdXRob3I+Q2FtcG9zdHJpbmksIFMuPC9hdXRob3I+
PGF1dGhvcj5EJmFwb3M7QXJnZW5pbywgUC48L2F1dGhvcj48YXV0aG9yPkdhbGVvbmUsIEQuPC9h
dXRob3I+PC9hdXRob3JzPjwvY29udHJpYnV0b3JzPjxhdXRoLWFkZHJlc3M+T2NjdXBhdGlvbmFs
ICZhbXA7IEVudmlyb25tZW50YWwgRXBpZGVtaW9sb2d5IFNlY3Rpb24sIENhbmNlciBSZXNlYXJj
aCAmYW1wOyBQcmV2ZW50aW9uIEluc3RpdHV0ZSAoSVNQTyksIEZsb3JlbmNlLCBJdGFseS4mI3hE
O05hdGlvbmFsIEluc3RpdHV0ZSBvZiBIZWFsdGggKElTUyksIFJvbWUsIEl0YWx5LiBFbGVjdHJv
bmljIGFkZHJlc3M6IGdpYW5sdWlnaS5mZXJyYW50ZUBpc3MuaXQuJiN4RDtOYXRpb25hbCBJbnN0
aXR1dGUgb2YgSGVhbHRoIChJU1MpLCBSb21lLCBJdGFseS4mI3hEO0hlYWx0aCBFZHVjYXRpb24g
U2VydmljZSwgUHJvdmluY2lhbCBBZ2VuY3kgZm9yIEhlYWx0aCBTZXJ2aWNlcywgVHJlbnRvLCBJ
dGFseS4mI3hEO0RlcGFydG1lbnQgb2YgU3RhdGlzdGljcywgQ2EmYXBvczsgRm9zY2FyaSBVbml2
ZXJzaXR5LCBWZW5pY2UsIEl0YWx5LiYjeEQ7UEFTU0kgY29vcmRpbmF0aW5nIGdyb3VwLCBJdGFs
eS4mI3hEO0l0YWxpYW4gTWluaXN0cnkgb2YgSGVhbHRoLCBDZW50ZXIgZm9yIERpc2Vhc2UgUHJl
dmVudGlvbiBhbmQgQ29udHJvbCwgUm9tZSwgSXRhbHkuPC9hdXRoLWFkZHJlc3M+PHRpdGxlcz48
dGl0bGU+RWxlY3Ryb25pYyBjaWdhcmV0dGUgdXNlIGFzIGFuIGFpZCB0byBxdWl0IHNtb2tpbmcg
aW4gdGhlIHJlcHJlc2VudGF0aXZlIEl0YWxpYW4gcG9wdWxhdGlvbiBQQVNTSSBzdXJ2ZXk8L3Rp
dGxlPjxzZWNvbmRhcnktdGl0bGU+UHJldiBNZWQ8L3NlY29uZGFyeS10aXRsZT48YWx0LXRpdGxl
PlByZXZlbnRpdmUgbWVkaWNpbmU8L2FsdC10aXRsZT48L3RpdGxlcz48YWx0LXBlcmlvZGljYWw+
PGZ1bGwtdGl0bGU+UHJldmVudGl2ZSBNZWRpY2luZTwvZnVsbC10aXRsZT48L2FsdC1wZXJpb2Rp
Y2FsPjxwYWdlcz4xLTU8L3BhZ2VzPjx2b2x1bWU+MTAyPC92b2x1bWU+PGVkaXRpb24+MjAxNy8w
Ni8yODwvZWRpdGlvbj48a2V5d29yZHM+PGtleXdvcmQ+Q3Jvc3Mtc2VjdGlvbmFsIHN1cnZleTwv
a2V5d29yZD48a2V5d29yZD5FLWNpZ2FyZXR0ZXM8L2tleXdvcmQ+PGtleXdvcmQ+SXRhbHk8L2tl
eXdvcmQ+PGtleXdvcmQ+U21va2luZyBjZXNzYXRpb24gbWV0aG9kPC9rZXl3b3JkPjwva2V5d29y
ZHM+PGRhdGVzPjx5ZWFyPjIwMTc8L3llYXI+PHB1Yi1kYXRlcz48ZGF0ZT5TZXA8L2RhdGU+PC9w
dWItZGF0ZXM+PC9kYXRlcz48aXNibj4wMDkxLTc0MzU8L2lzYm4+PGFjY2Vzc2lvbi1udW0+Mjg2
NTIwODg8L2FjY2Vzc2lvbi1udW0+PHVybHM+PHJlbGF0ZWQtdXJscz48dXJsPmh0dHBzOi8vd3d3
LnNjaWVuY2VkaXJlY3QuY29tL3NjaWVuY2UvYXJ0aWNsZS9waWkvUzAwOTE3NDM1MTczMDIzMTE/
dmlhJTNEaWh1YjwvdXJsPjwvcmVsYXRlZC11cmxzPjwvdXJscz48ZWxlY3Ryb25pYy1yZXNvdXJj
ZS1udW0+MTAuMTAxNi9qLnlwbWVkLjIwMTcuMDYuMDI5PC9lbGVjdHJvbmljLXJlc291cmNlLW51
bT48cmVtb3RlLWRhdGFiYXNlLXByb3ZpZGVyPk5MTTwvcmVtb3RlLWRhdGFiYXNlLXByb3ZpZGVy
PjxsYW5ndWFnZT5lbmc8L2xhbmd1YWdlPjwvcmVjb3JkPjwvQ2l0ZT48L0VuZE5vdGU+AG==
</w:fldData>
        </w:fldChar>
      </w:r>
      <w:r>
        <w:instrText xml:space="preserve"> ADDIN EN.CITE.DATA </w:instrText>
      </w:r>
      <w:r>
        <w:fldChar w:fldCharType="end"/>
      </w:r>
      <w:r>
        <w:fldChar w:fldCharType="separate"/>
      </w:r>
      <w:r>
        <w:rPr>
          <w:noProof/>
        </w:rPr>
        <w:t>(Gorini, Ferrante et al. 2017)</w:t>
      </w:r>
      <w:r>
        <w:fldChar w:fldCharType="end"/>
      </w:r>
      <w:r>
        <w:t>. This study analysed the success of different quit methods among smokers who had attempted to quit smoking in the past year. Of those using e</w:t>
      </w:r>
      <w:r>
        <w:noBreakHyphen/>
        <w:t>cigarettes, 8% reported smoking abstinence, which was statistically the same as the 9% who successfully quit without aid. Those using established quit methods (smoking cessation programs, medications, other unspecified methods) had a 15% success rate. Thus this study indicates that e</w:t>
      </w:r>
      <w:r>
        <w:noBreakHyphen/>
        <w:t>cigarettes were less effective for smoking cessation than established quit methods.</w:t>
      </w:r>
      <w:r w:rsidRPr="002F3A5A">
        <w:t xml:space="preserve"> </w:t>
      </w:r>
    </w:p>
    <w:p w14:paraId="4A0DBD0F" w14:textId="11B89069" w:rsidR="002738DD" w:rsidRDefault="002738DD" w:rsidP="002738DD">
      <w:pPr>
        <w:pStyle w:val="BodyText"/>
      </w:pPr>
      <w:r>
        <w:t>In a study of young adults, p</w:t>
      </w:r>
      <w:r w:rsidR="00764508">
        <w:t>reviously described in section 10</w:t>
      </w:r>
      <w:r>
        <w:t>.</w:t>
      </w:r>
      <w:r w:rsidR="000376C7">
        <w:t>5</w:t>
      </w:r>
      <w:r>
        <w:t>.3, use of e</w:t>
      </w:r>
      <w:r>
        <w:noBreakHyphen/>
        <w:t xml:space="preserve">cigarettes to quit smoking was not associated with current smoking status </w:t>
      </w:r>
      <w:r>
        <w:fldChar w:fldCharType="begin">
          <w:fldData xml:space="preserve">PEVuZE5vdGU+PENpdGU+PEF1dGhvcj5DYW1lbmdhPC9BdXRob3I+PFllYXI+MjAxNzwvWWVhcj48
UmVjTnVtPjU1Mzg8L1JlY051bT48RGlzcGxheVRleHQ+KENhbWVuZ2EsIEtvbmcgZXQgYWwuIDIw
MTcpPC9EaXNwbGF5VGV4dD48cmVjb3JkPjxyZWMtbnVtYmVyPjU1Mzg8L3JlYy1udW1iZXI+PGZv
cmVpZ24ta2V5cz48a2V5IGFwcD0iRU4iIGRiLWlkPSI5ejA1ZHowcHJhYWRmdWVlMHpveHplZGs5
emZlNWZ4eDUwejUiIHRpbWVzdGFtcD0iMTUyMzkyMDk3MiI+NTUzODwva2V5PjxrZXkgYXBwPSJF
TldlYiIgZGItaWQ9IiI+MDwva2V5PjwvZm9yZWlnbi1rZXlzPjxyZWYtdHlwZSBuYW1lPSJKb3Vy
bmFsIEFydGljbGUiPjE3PC9yZWYtdHlwZT48Y29udHJpYnV0b3JzPjxhdXRob3JzPjxhdXRob3I+
Q2FtZW5nYSwgRC4gUi48L2F1dGhvcj48YXV0aG9yPktvbmcsIEcuPC9hdXRob3I+PGF1dGhvcj5D
YXZhbGxvLCBELiBBLjwvYXV0aG9yPjxhdXRob3I+S3Jpc2huYW4tU2FyaW4sIFMuPC9hdXRob3I+
PC9hdXRob3JzPjwvY29udHJpYnV0b3JzPjxhdXRoLWFkZHJlc3M+RGVwYXJ0bWVudCBvZiBFbWVy
Z2VuY3kgTWVkaWNpbmUsIFlhbGUgU2Nob29sIG9mIE1lZGljaW5lLCBOZXcgSGF2ZW4sIENULiYj
eEQ7RGVwYXJ0bWVudCBvZiBQc3ljaGlhdHJ5LCBZYWxlIFNjaG9vbCBvZiBNZWRpY2luZSwgTmV3
IEhhdmVuLCBDVC48L2F1dGgtYWRkcmVzcz48dGl0bGVzPjx0aXRsZT5DdXJyZW50IGFuZCBGb3Jt
ZXIgU21va2VycyZhcG9zOyBVc2Ugb2YgRWxlY3Ryb25pYyBDaWdhcmV0dGVzIGZvciBRdWl0dGlu
ZyBTbW9raW5nOiBBbiBFeHBsb3JhdG9yeSBTdHVkeSBvZiBBZG9sZXNjZW50cyBhbmQgWW91bmcg
QWR1bHRzPC90aXRsZT48c2Vjb25kYXJ5LXRpdGxlPk5pY290aW5lIFRvYiBSZXM8L3NlY29uZGFy
eS10aXRsZT48YWx0LXRpdGxlPk5pY290aW5lICZhbXA7IHRvYmFjY28gcmVzZWFyY2ggOiBvZmZp
Y2lhbCBqb3VybmFsIG9mIHRoZSBTb2NpZXR5IGZvciBSZXNlYXJjaCBvbiBOaWNvdGluZSBhbmQg
VG9iYWNjbzwvYWx0LXRpdGxlPjwvdGl0bGVzPjxwZXJpb2RpY2FsPjxmdWxsLXRpdGxlPk5pY290
aW5lIFRvYiBSZXM8L2Z1bGwtdGl0bGU+PGFiYnItMT5OaWNvdGluZSAmYW1wOyB0b2JhY2NvIHJl
c2VhcmNoIDogb2ZmaWNpYWwgam91cm5hbCBvZiB0aGUgU29jaWV0eSBmb3IgUmVzZWFyY2ggb24g
Tmljb3RpbmUgYW5kIFRvYmFjY288L2FiYnItMT48L3BlcmlvZGljYWw+PGFsdC1wZXJpb2RpY2Fs
PjxmdWxsLXRpdGxlPk5pY290aW5lIFRvYiBSZXM8L2Z1bGwtdGl0bGU+PGFiYnItMT5OaWNvdGlu
ZSAmYW1wOyB0b2JhY2NvIHJlc2VhcmNoIDogb2ZmaWNpYWwgam91cm5hbCBvZiB0aGUgU29jaWV0
eSBmb3IgUmVzZWFyY2ggb24gTmljb3RpbmUgYW5kIFRvYmFjY288L2FiYnItMT48L2FsdC1wZXJp
b2RpY2FsPjxwYWdlcz4xNTMxLTE1MzU8L3BhZ2VzPjx2b2x1bWU+MTk8L3ZvbHVtZT48bnVtYmVy
PjEyPC9udW1iZXI+PGVkaXRpb24+MjAxNi8wOS8yNTwvZWRpdGlvbj48ZGF0ZXM+PHllYXI+MjAx
NzwveWVhcj48cHViLWRhdGVzPjxkYXRlPk5vdiA3PC9kYXRlPjwvcHViLWRhdGVzPjwvZGF0ZXM+
PGlzYm4+MTQ2Mi0yMjAzPC9pc2JuPjxhY2Nlc3Npb24tbnVtPjI3NjYzNzgxPC9hY2Nlc3Npb24t
bnVtPjx1cmxzPjxyZWxhdGVkLXVybHM+PHVybD5odHRwczovL3dhdGVybWFyay5zaWx2ZXJjaGFp
ci5jb20vbnR3MjQ4LnBkZj90b2tlbj1BUUVDQUhpMjA4QkU0OU9vYW45a2toV19FcmN5N0RtM1pM
XzlDZjNxZktBYzQ4NXlzZ0FBQWJZd2dnR3lCZ2txaGtpRzl3MEJCd2FnZ2dHak1JSUJud0lCQURD
Q0FaZ0dDU3FHU0liM0RRRUhBVEFlQmdsZ2hrZ0JaUU1FQVM0d0VRUU1PN2ljN2MwTDdzWUZmY0h3
QWdFUWdJSUJhUnJua0l3ckZaY1dsSXRyYjMzd1VOMGpjX25CSXFqbG1iaXZUWDF5c1ZRdFVjc1BM
VUFVOHhrRERpeWZMc20tVzVQb1J1ZFNlYUdLYmFoY3Z4VEdTc0pMTnFSRjRZRnJ6eDN1VUl4TzV0
bzVLWkJrUXZlZHg4ZkJ0QU5SZGZ4T1E4dFNoMm1hdDNBaVhlMGRvLXVhUHJRdzRnR1ZfbnduZW0w
WF9rbUdoMm1LSFpBeUxkRjJOX0VDWlVRaDJ4Nm5PTWdJUnphY2ZWckhHbDNEcFhtZ1FUemxsMDdO
b0tmTzBydVk5V3ZVTXkxdV9Hb01vYmdtUFhiazZUZG1GZm1MSzRmaHRpanRKNm4yVFVIQXQyRDdG
Y3UxVTFIS1FjTXg4SDJiSlJPTFNkcjRxdjloN0czdzZscDBLVmZfdEdQU0N5di1KU1AtZDZPQzd4
akdndEpfSGZTck0wdF9aR3dMQy1FVW1vak5xWmR5WXlOUjF2eFdvb19yS0FoZWVpWUxNeGNLWThl
TkVYNU96OVBVSTM4NFlyV1hmZGlNMF8wbDlUcjBuS2MzdlUzUXRWT3hqZWpTR3JwbHZidHRXOGtr
YjRCRG4wU2Q3VHZDNTI0VDIwWGF5aTlJd2NwTm12WjA2WUk8L3VybD48dXJsPmh0dHBzOi8vd2F0
ZXJtYXJrLnNpbHZlcmNoYWlyLmNvbS9udHcyNDgucGRmP3Rva2VuPUFRRUNBSGkyMDhCRTQ5T29h
bjlra2hXX0VyY3k3RG0zWkxfOUNmM3FmS0FjNDg1eXNnQUFBY0l3Z2dHLUJna3Foa2lHOXcwQkJ3
YWdnZ0d2TUlJQnF3SUJBRENDQWFRR0NTcUdTSWIzRFFFSEFUQWVCZ2xnaGtnQlpRTUVBUzR3RVFR
TVFtdDA3djN5dXVRYVFoTWFBZ0VRZ0lJQmRUTG5UTUhjcjdFTV95Ynl1c2ZmcThMZTZqTjNaQUtM
a0ZJYXlucm01YWxfN1lfMUN6N2tFWTNmbkF6ZkJNZzlNMERVTjVzampXejIwNGxaRTBiVC1XNzZP
djh6R2R2VFAzWWR1cmhqSllBdGk5WWNNLWZPSUtZYWhTRzRQRy1SSWNJQS13Tk1FZ18yU0lTX1JW
dVJqV2ZrODZfeVNna1BOamFDMEo4T1dVODA2N1Y0a0poVlY2UFYyTElRN1lXcjh3bVNVQWpXcXQ3
TjVIUmFpdVBUWndBTjlidzdKVXZueGkwa0I3QjQxSTJweVVGX0o4bDlUNmRKdWtqcE96ZUM5TWst
d0ZDU24wYkdheGJNTkVUZlZzNy0wX2JmbV9EbXRXU0tMdjRpbnEwenlaNXdHTy1hRHNSRUFYVEhi
cThMM25LZDloT3A5dWFENUcxSW5KbWZoRDcwaklBd0xPdXhzbl9pbFk1cFp1aHlGZ1Nla21hNWxW
dXV4Y0J4QllHRUktVWpna3ljWXJ1aFgyU212amxLSFZ4b29remZpYTN3YWFNQVFBWkZJN1hMMmd1
NFRlTFpIZzdDN0E2d1FZbHFQaVBTSmQ0Z0h2a3ByTUp2Qlk4VDdtaUdHNEI2RmxpVWx2bnl1WGx5
TU9SOEhLMWRPdFk8L3VybD48L3JlbGF0ZWQtdXJscz48L3VybHM+PGVsZWN0cm9uaWMtcmVzb3Vy
Y2UtbnVtPjEwLjEwOTMvbnRyL250dzI0ODwvZWxlY3Ryb25pYy1yZXNvdXJjZS1udW0+PHJlbW90
ZS1kYXRhYmFzZS1wcm92aWRlcj5OTE08L3JlbW90ZS1kYXRhYmFzZS1wcm92aWRlcj48bGFuZ3Vh
Z2U+ZW5nPC9sYW5ndWFnZT48L3JlY29yZD48L0NpdGU+PC9FbmROb3RlPn==
</w:fldData>
        </w:fldChar>
      </w:r>
      <w:r>
        <w:instrText xml:space="preserve"> ADDIN EN.CITE </w:instrText>
      </w:r>
      <w:r>
        <w:fldChar w:fldCharType="begin">
          <w:fldData xml:space="preserve">PEVuZE5vdGU+PENpdGU+PEF1dGhvcj5DYW1lbmdhPC9BdXRob3I+PFllYXI+MjAxNzwvWWVhcj48
UmVjTnVtPjU1Mzg8L1JlY051bT48RGlzcGxheVRleHQ+KENhbWVuZ2EsIEtvbmcgZXQgYWwuIDIw
MTcpPC9EaXNwbGF5VGV4dD48cmVjb3JkPjxyZWMtbnVtYmVyPjU1Mzg8L3JlYy1udW1iZXI+PGZv
cmVpZ24ta2V5cz48a2V5IGFwcD0iRU4iIGRiLWlkPSI5ejA1ZHowcHJhYWRmdWVlMHpveHplZGs5
emZlNWZ4eDUwejUiIHRpbWVzdGFtcD0iMTUyMzkyMDk3MiI+NTUzODwva2V5PjxrZXkgYXBwPSJF
TldlYiIgZGItaWQ9IiI+MDwva2V5PjwvZm9yZWlnbi1rZXlzPjxyZWYtdHlwZSBuYW1lPSJKb3Vy
bmFsIEFydGljbGUiPjE3PC9yZWYtdHlwZT48Y29udHJpYnV0b3JzPjxhdXRob3JzPjxhdXRob3I+
Q2FtZW5nYSwgRC4gUi48L2F1dGhvcj48YXV0aG9yPktvbmcsIEcuPC9hdXRob3I+PGF1dGhvcj5D
YXZhbGxvLCBELiBBLjwvYXV0aG9yPjxhdXRob3I+S3Jpc2huYW4tU2FyaW4sIFMuPC9hdXRob3I+
PC9hdXRob3JzPjwvY29udHJpYnV0b3JzPjxhdXRoLWFkZHJlc3M+RGVwYXJ0bWVudCBvZiBFbWVy
Z2VuY3kgTWVkaWNpbmUsIFlhbGUgU2Nob29sIG9mIE1lZGljaW5lLCBOZXcgSGF2ZW4sIENULiYj
eEQ7RGVwYXJ0bWVudCBvZiBQc3ljaGlhdHJ5LCBZYWxlIFNjaG9vbCBvZiBNZWRpY2luZSwgTmV3
IEhhdmVuLCBDVC48L2F1dGgtYWRkcmVzcz48dGl0bGVzPjx0aXRsZT5DdXJyZW50IGFuZCBGb3Jt
ZXIgU21va2VycyZhcG9zOyBVc2Ugb2YgRWxlY3Ryb25pYyBDaWdhcmV0dGVzIGZvciBRdWl0dGlu
ZyBTbW9raW5nOiBBbiBFeHBsb3JhdG9yeSBTdHVkeSBvZiBBZG9sZXNjZW50cyBhbmQgWW91bmcg
QWR1bHRzPC90aXRsZT48c2Vjb25kYXJ5LXRpdGxlPk5pY290aW5lIFRvYiBSZXM8L3NlY29uZGFy
eS10aXRsZT48YWx0LXRpdGxlPk5pY290aW5lICZhbXA7IHRvYmFjY28gcmVzZWFyY2ggOiBvZmZp
Y2lhbCBqb3VybmFsIG9mIHRoZSBTb2NpZXR5IGZvciBSZXNlYXJjaCBvbiBOaWNvdGluZSBhbmQg
VG9iYWNjbzwvYWx0LXRpdGxlPjwvdGl0bGVzPjxwZXJpb2RpY2FsPjxmdWxsLXRpdGxlPk5pY290
aW5lIFRvYiBSZXM8L2Z1bGwtdGl0bGU+PGFiYnItMT5OaWNvdGluZSAmYW1wOyB0b2JhY2NvIHJl
c2VhcmNoIDogb2ZmaWNpYWwgam91cm5hbCBvZiB0aGUgU29jaWV0eSBmb3IgUmVzZWFyY2ggb24g
Tmljb3RpbmUgYW5kIFRvYmFjY288L2FiYnItMT48L3BlcmlvZGljYWw+PGFsdC1wZXJpb2RpY2Fs
PjxmdWxsLXRpdGxlPk5pY290aW5lIFRvYiBSZXM8L2Z1bGwtdGl0bGU+PGFiYnItMT5OaWNvdGlu
ZSAmYW1wOyB0b2JhY2NvIHJlc2VhcmNoIDogb2ZmaWNpYWwgam91cm5hbCBvZiB0aGUgU29jaWV0
eSBmb3IgUmVzZWFyY2ggb24gTmljb3RpbmUgYW5kIFRvYmFjY288L2FiYnItMT48L2FsdC1wZXJp
b2RpY2FsPjxwYWdlcz4xNTMxLTE1MzU8L3BhZ2VzPjx2b2x1bWU+MTk8L3ZvbHVtZT48bnVtYmVy
PjEyPC9udW1iZXI+PGVkaXRpb24+MjAxNi8wOS8yNTwvZWRpdGlvbj48ZGF0ZXM+PHllYXI+MjAx
NzwveWVhcj48cHViLWRhdGVzPjxkYXRlPk5vdiA3PC9kYXRlPjwvcHViLWRhdGVzPjwvZGF0ZXM+
PGlzYm4+MTQ2Mi0yMjAzPC9pc2JuPjxhY2Nlc3Npb24tbnVtPjI3NjYzNzgxPC9hY2Nlc3Npb24t
bnVtPjx1cmxzPjxyZWxhdGVkLXVybHM+PHVybD5odHRwczovL3dhdGVybWFyay5zaWx2ZXJjaGFp
ci5jb20vbnR3MjQ4LnBkZj90b2tlbj1BUUVDQUhpMjA4QkU0OU9vYW45a2toV19FcmN5N0RtM1pM
XzlDZjNxZktBYzQ4NXlzZ0FBQWJZd2dnR3lCZ2txaGtpRzl3MEJCd2FnZ2dHak1JSUJud0lCQURD
Q0FaZ0dDU3FHU0liM0RRRUhBVEFlQmdsZ2hrZ0JaUU1FQVM0d0VRUU1PN2ljN2MwTDdzWUZmY0h3
QWdFUWdJSUJhUnJua0l3ckZaY1dsSXRyYjMzd1VOMGpjX25CSXFqbG1iaXZUWDF5c1ZRdFVjc1BM
VUFVOHhrRERpeWZMc20tVzVQb1J1ZFNlYUdLYmFoY3Z4VEdTc0pMTnFSRjRZRnJ6eDN1VUl4TzV0
bzVLWkJrUXZlZHg4ZkJ0QU5SZGZ4T1E4dFNoMm1hdDNBaVhlMGRvLXVhUHJRdzRnR1ZfbnduZW0w
WF9rbUdoMm1LSFpBeUxkRjJOX0VDWlVRaDJ4Nm5PTWdJUnphY2ZWckhHbDNEcFhtZ1FUemxsMDdO
b0tmTzBydVk5V3ZVTXkxdV9Hb01vYmdtUFhiazZUZG1GZm1MSzRmaHRpanRKNm4yVFVIQXQyRDdG
Y3UxVTFIS1FjTXg4SDJiSlJPTFNkcjRxdjloN0czdzZscDBLVmZfdEdQU0N5di1KU1AtZDZPQzd4
akdndEpfSGZTck0wdF9aR3dMQy1FVW1vak5xWmR5WXlOUjF2eFdvb19yS0FoZWVpWUxNeGNLWThl
TkVYNU96OVBVSTM4NFlyV1hmZGlNMF8wbDlUcjBuS2MzdlUzUXRWT3hqZWpTR3JwbHZidHRXOGtr
YjRCRG4wU2Q3VHZDNTI0VDIwWGF5aTlJd2NwTm12WjA2WUk8L3VybD48dXJsPmh0dHBzOi8vd2F0
ZXJtYXJrLnNpbHZlcmNoYWlyLmNvbS9udHcyNDgucGRmP3Rva2VuPUFRRUNBSGkyMDhCRTQ5T29h
bjlra2hXX0VyY3k3RG0zWkxfOUNmM3FmS0FjNDg1eXNnQUFBY0l3Z2dHLUJna3Foa2lHOXcwQkJ3
YWdnZ0d2TUlJQnF3SUJBRENDQWFRR0NTcUdTSWIzRFFFSEFUQWVCZ2xnaGtnQlpRTUVBUzR3RVFR
TVFtdDA3djN5dXVRYVFoTWFBZ0VRZ0lJQmRUTG5UTUhjcjdFTV95Ynl1c2ZmcThMZTZqTjNaQUtM
a0ZJYXlucm01YWxfN1lfMUN6N2tFWTNmbkF6ZkJNZzlNMERVTjVzampXejIwNGxaRTBiVC1XNzZP
djh6R2R2VFAzWWR1cmhqSllBdGk5WWNNLWZPSUtZYWhTRzRQRy1SSWNJQS13Tk1FZ18yU0lTX1JW
dVJqV2ZrODZfeVNna1BOamFDMEo4T1dVODA2N1Y0a0poVlY2UFYyTElRN1lXcjh3bVNVQWpXcXQ3
TjVIUmFpdVBUWndBTjlidzdKVXZueGkwa0I3QjQxSTJweVVGX0o4bDlUNmRKdWtqcE96ZUM5TWst
d0ZDU24wYkdheGJNTkVUZlZzNy0wX2JmbV9EbXRXU0tMdjRpbnEwenlaNXdHTy1hRHNSRUFYVEhi
cThMM25LZDloT3A5dWFENUcxSW5KbWZoRDcwaklBd0xPdXhzbl9pbFk1cFp1aHlGZ1Nla21hNWxW
dXV4Y0J4QllHRUktVWpna3ljWXJ1aFgyU212amxLSFZ4b29remZpYTN3YWFNQVFBWkZJN1hMMmd1
NFRlTFpIZzdDN0E2d1FZbHFQaVBTSmQ0Z0h2a3ByTUp2Qlk4VDdtaUdHNEI2RmxpVWx2bnl1WGx5
TU9SOEhLMWRPdFk8L3VybD48L3JlbGF0ZWQtdXJscz48L3VybHM+PGVsZWN0cm9uaWMtcmVzb3Vy
Y2UtbnVtPjEwLjEwOTMvbnRyL250dzI0ODwvZWxlY3Ryb25pYy1yZXNvdXJjZS1udW0+PHJlbW90
ZS1kYXRhYmFzZS1wcm92aWRlcj5OTE08L3JlbW90ZS1kYXRhYmFzZS1wcm92aWRlcj48bGFuZ3Vh
Z2U+ZW5nPC9sYW5ndWFnZT48L3JlY29yZD48L0NpdGU+PC9FbmROb3RlPn==
</w:fldData>
        </w:fldChar>
      </w:r>
      <w:r>
        <w:instrText xml:space="preserve"> ADDIN EN.CITE.DATA </w:instrText>
      </w:r>
      <w:r>
        <w:fldChar w:fldCharType="end"/>
      </w:r>
      <w:r>
        <w:fldChar w:fldCharType="separate"/>
      </w:r>
      <w:r>
        <w:rPr>
          <w:noProof/>
        </w:rPr>
        <w:t>(Camenga, Kong et al. 2017)</w:t>
      </w:r>
      <w:r>
        <w:fldChar w:fldCharType="end"/>
      </w:r>
      <w:r>
        <w:t xml:space="preserve">. In a survey of Chinese adolescents outlined in section </w:t>
      </w:r>
      <w:r w:rsidR="00764508">
        <w:t>10</w:t>
      </w:r>
      <w:r>
        <w:t>.</w:t>
      </w:r>
      <w:r w:rsidR="000376C7">
        <w:t>2</w:t>
      </w:r>
      <w:r>
        <w:t>.1 results found that among currently smoking adolescents who 36.02% had attempted to quit using e</w:t>
      </w:r>
      <w:r>
        <w:noBreakHyphen/>
        <w:t xml:space="preserve">cigarettes, 12% had attempted using a patch and 52% used other methods </w:t>
      </w:r>
      <w:r>
        <w:fldChar w:fldCharType="begin"/>
      </w:r>
      <w:r w:rsidR="004E728C">
        <w:instrText xml:space="preserve"> ADDIN EN.CITE &lt;EndNote&gt;&lt;Cite&gt;&lt;Author&gt;Wang&lt;/Author&gt;&lt;Year&gt;2018&lt;/Year&gt;&lt;RecNum&gt;10338&lt;/RecNum&gt;&lt;DisplayText&gt;(Wang, Zhang et al. 2018)&lt;/DisplayText&gt;&lt;record&gt;&lt;rec-number&gt;10338&lt;/rec-number&gt;&lt;foreign-keys&gt;&lt;key app="EN" db-id="9z05dz0praadfuee0zoxzedk9zfe5fxx50z5" timestamp="1526869878"&gt;10338&lt;/key&gt;&lt;key app="ENWeb" db-id=""&gt;0&lt;/key&gt;&lt;/foreign-keys&gt;&lt;ref-type name="Journal Article"&gt;17&lt;/ref-type&gt;&lt;contributors&gt;&lt;authors&gt;&lt;author&gt;Wang, Xinsong&lt;/author&gt;&lt;author&gt;Zhang, Xiulan&lt;/author&gt;&lt;author&gt;Xu, Xiaoxin&lt;/author&gt;&lt;author&gt;Gao, Ying&lt;/author&gt;&lt;/authors&gt;&lt;/contributors&gt;&lt;titles&gt;&lt;title&gt;Electronic cigarette use and smoking cessation behavior among adolescents in China&lt;/title&gt;&lt;secondary-title&gt;Addictive Behaviors&lt;/secondary-title&gt;&lt;/titles&gt;&lt;periodical&gt;&lt;full-title&gt;Addictive Behaviors&lt;/full-title&gt;&lt;/periodical&gt;&lt;pages&gt;129-134&lt;/pages&gt;&lt;volume&gt;82&lt;/volume&gt;&lt;dates&gt;&lt;year&gt;2018&lt;/year&gt;&lt;pub-dates&gt;&lt;date&gt;Jul&lt;/date&gt;&lt;/pub-dates&gt;&lt;/dates&gt;&lt;isbn&gt;0306-4603&lt;/isbn&gt;&lt;accession-num&gt;WOS:000430522800021&lt;/accession-num&gt;&lt;urls&gt;&lt;related-urls&gt;&lt;url&gt;&amp;lt;Go to ISI&amp;gt;://WOS:000430522800021&lt;/url&gt;&lt;url&gt;https://www.sciencedirect.com/science/article/pii/S0306460318300947?via%3Dihub&lt;/url&gt;&lt;/related-urls&gt;&lt;/urls&gt;&lt;electronic-resource-num&gt;10.1016/j.addbeh.2018.02.029&lt;/electronic-resource-num&gt;&lt;/record&gt;&lt;/Cite&gt;&lt;/EndNote&gt;</w:instrText>
      </w:r>
      <w:r>
        <w:fldChar w:fldCharType="separate"/>
      </w:r>
      <w:r>
        <w:rPr>
          <w:noProof/>
        </w:rPr>
        <w:t>(Wang, Zhang et al. 2018)</w:t>
      </w:r>
      <w:r>
        <w:fldChar w:fldCharType="end"/>
      </w:r>
      <w:r>
        <w:t>. However, a</w:t>
      </w:r>
      <w:r w:rsidRPr="0048420E">
        <w:t>mong the 192 former smokers or those who had successfully quit, 17.19% used patches, 13.54% used e</w:t>
      </w:r>
      <w:r>
        <w:noBreakHyphen/>
      </w:r>
      <w:r w:rsidRPr="0048420E">
        <w:t>cigarettes, and 69.72% used other methods to help quit.</w:t>
      </w:r>
      <w:r>
        <w:t xml:space="preserve"> This suggests that the success from patches and other quit attempts was higher than success from e</w:t>
      </w:r>
      <w:r>
        <w:noBreakHyphen/>
        <w:t>cigarettes. However, due to the study design cause and effect cannot be established. It is important to note that this study did not use a representative sampling method and that the population was Chinese adolescents, thus results cannot be generalised to Australian adults.</w:t>
      </w:r>
      <w:r w:rsidR="008146F9">
        <w:t xml:space="preserve"> </w:t>
      </w:r>
    </w:p>
    <w:p w14:paraId="79C4AC34" w14:textId="77777777" w:rsidR="002738DD" w:rsidRDefault="002738DD" w:rsidP="002738DD">
      <w:pPr>
        <w:pStyle w:val="BodyText"/>
      </w:pPr>
      <w:r>
        <w:t xml:space="preserve">A study conducted by Ekanem et al. analysed data collected in the Arkansas Behavioural Risk Factor Surveillance System </w:t>
      </w:r>
      <w:r>
        <w:fldChar w:fldCharType="begin">
          <w:fldData xml:space="preserve">PEVuZE5vdGU+PENpdGU+PEF1dGhvcj5Fa2FuZW08L0F1dGhvcj48WWVhcj4yMDE3PC9ZZWFyPjxS
ZWNOdW0+NTM3MzwvUmVjTnVtPjxEaXNwbGF5VGV4dD4oRWthbmVtLCBDYXJkZW5hcyBldCBhbC4g
MjAxNyk8L0Rpc3BsYXlUZXh0PjxyZWNvcmQ+PHJlYy1udW1iZXI+NTM3MzwvcmVjLW51bWJlcj48
Zm9yZWlnbi1rZXlzPjxrZXkgYXBwPSJFTiIgZGItaWQ9Ijl6MDVkejBwcmFhZGZ1ZWUwem94emVk
azl6ZmU1Znh4NTB6NSIgdGltZXN0YW1wPSIxNTIzOTIwOTUxIj41MzczPC9rZXk+PC9mb3JlaWdu
LWtleXM+PHJlZi10eXBlIG5hbWU9IkpvdXJuYWwgQXJ0aWNsZSI+MTc8L3JlZi10eXBlPjxjb250
cmlidXRvcnM+PGF1dGhvcnM+PGF1dGhvcj5Fa2FuZW0sIFUuIFMuPC9hdXRob3I+PGF1dGhvcj5D
YXJkZW5hcywgVi4gTS48L2F1dGhvcj48YXV0aG9yPkNlbiwgUi48L2F1dGhvcj48YXV0aG9yPlNp
bW9uLCBXLjwvYXV0aG9yPjxhdXRob3I+Q2hlZGppZXUsIEkuIFAuPC9hdXRob3I+PGF1dGhvcj5X
b29kd2FyZCwgTS48L2F1dGhvcj48YXV0aG9yPkRlbG9uZ2NoYW1wLCBSLiBSLjwvYXV0aG9yPjxh
dXRob3I+V2hlZWxlciwgSi4gRy48L2F1dGhvcj48L2F1dGhvcnM+PC9jb250cmlidXRvcnM+PGF1
dGgtYWRkcmVzcz4xIERlcGFydG1lbnQgb2YgQ29tbXVuaXR5IEhlYWx0aCwgRmFjdWx0eSBvZiBD
bGluaWNhbCBTY2llbmNlcywgVW5pdmVyc2l0eSBvZiBVeW8sIFV5bywgTmlnZXJpYS4mI3hEOzIg
RGVwYXJ0bWVudCBvZiBFcGlkZW1pb2xvZ3ksIEZheSBXLiBCb296bWFuIENvbGxlZ2Ugb2YgUHVi
bGljIEhlYWx0aCwgVW5pdmVyc2l0eSBvZiBBcmthbnNhcyBmb3IgTWVkaWNhbCBTY2llbmNlcywg
TGl0dGxlIFJvY2ssIEFSLCBVU0EuJiN4RDszIFRvYmFjY28gUHJldmVudGlvbiBhbmQgQ2Vzc2F0
aW9uIFByb2dyYW0sIEVwaWRlbWlvbG9neSBCcmFuY2gsIEFya2Fuc2FzIERlcGFydG1lbnQgb2Yg
SGVhbHRoLCBMaXR0bGUgUm9jaywgQVIsIFVTQS4mI3hEOzQgRGVwYXJ0bWVudCBvZiBIZWFsdGgg
UG9saWN5IGFuZCBNYW5hZ2VtZW50LCBGYXkgVy4gQm9vem1hbiBDb2xsZWdlIG9mIFB1YmxpYyBI
ZWFsdGgsIGFuZCBEZXBhcnRtZW50IG9mIFBlZGlhdHJpY3MsIENvbGxlZ2Ugb2YgTWVkaWNpbmUs
IFVuaXZlcnNpdHkgb2YgQXJrYW5zYXMgZm9yIE1lZGljYWwgU2NpZW5jZXMsIExpdHRsZSBSb2Nr
LCBBUiwgVVNBLiYjeEQ7NSBBcmthbnNhcyBDaGlsZHJlbiZhcG9zO3MgSG9zcGl0YWwsIExpdHRs
ZSBSb2NrLCBBUiwgVVNBLjwvYXV0aC1hZGRyZXNzPjx0aXRsZXM+PHRpdGxlPkVsZWN0cm9uaWMg
Tmljb3RpbmUgRGVsaXZlcnkgU3lzdGVtcyBhbmQgU21va2luZyBDZXNzYXRpb24gaW4gQXJrYW5z
YXMsIDIwMTQ8L3RpdGxlPjxzZWNvbmRhcnktdGl0bGU+UHVibGljIEhlYWx0aCBSZXA8L3NlY29u
ZGFyeS10aXRsZT48YWx0LXRpdGxlPlB1YmxpYyBoZWFsdGggcmVwb3J0cyAoV2FzaGluZ3Rvbiwg
RC5DLiA6IDE5NzQpPC9hbHQtdGl0bGU+PC90aXRsZXM+PHBlcmlvZGljYWw+PGZ1bGwtdGl0bGU+
UHVibGljIEhlYWx0aCBSZXA8L2Z1bGwtdGl0bGU+PGFiYnItMT5QdWJsaWMgaGVhbHRoIHJlcG9y
dHMgKFdhc2hpbmd0b24sIEQuQy4gOiAxOTc0KTwvYWJici0xPjwvcGVyaW9kaWNhbD48YWx0LXBl
cmlvZGljYWw+PGZ1bGwtdGl0bGU+UHVibGljIEhlYWx0aCBSZXA8L2Z1bGwtdGl0bGU+PGFiYnIt
MT5QdWJsaWMgaGVhbHRoIHJlcG9ydHMgKFdhc2hpbmd0b24sIEQuQy4gOiAxOTc0KTwvYWJici0x
PjwvYWx0LXBlcmlvZGljYWw+PHBhZ2VzPjIxMC0yMTk8L3BhZ2VzPjx2b2x1bWU+MTMyPC92b2x1
bWU+PG51bWJlcj4yPC9udW1iZXI+PGVkaXRpb24+MjAxNy8wMi8wMjwvZWRpdGlvbj48a2V5d29y
ZHM+PGtleXdvcmQ+QWRvbGVzY2VudDwva2V5d29yZD48a2V5d29yZD5BZHVsdDwva2V5d29yZD48
a2V5d29yZD5BZ2VkPC9rZXl3b3JkPjxrZXl3b3JkPkFya2Fuc2FzPC9rZXl3b3JkPjxrZXl3b3Jk
PkNyb3NzLVNlY3Rpb25hbCBTdHVkaWVzPC9rZXl3b3JkPjxrZXl3b3JkPipFbGVjdHJvbmljIE5p
Y290aW5lIERlbGl2ZXJ5IFN5c3RlbXM8L2tleXdvcmQ+PGtleXdvcmQ+RmVtYWxlPC9rZXl3b3Jk
PjxrZXl3b3JkPkhlYWx0aCBTdXJ2ZXlzPC9rZXl3b3JkPjxrZXl3b3JkPkh1bWFuczwva2V5d29y
ZD48a2V5d29yZD5NYWxlPC9rZXl3b3JkPjxrZXl3b3JkPk1pZGRsZSBBZ2VkPC9rZXl3b3JkPjxr
ZXl3b3JkPipOZWJ1bGl6ZXJzIGFuZCBWYXBvcml6ZXJzPC9rZXl3b3JkPjxrZXl3b3JkPk5pY290
aW5lLyphZG1pbmlzdHJhdGlvbiAmYW1wOyBkb3NhZ2U8L2tleXdvcmQ+PGtleXdvcmQ+KlNtb2tp
bmcgQ2Vzc2F0aW9uPC9rZXl3b3JkPjxrZXl3b3JkPllvdW5nIEFkdWx0PC9rZXl3b3JkPjxrZXl3
b3JkPmJlbGllZnM8L2tleXdvcmQ+PGtleXdvcmQ+ZWxlY3Ryb25pYyBjaWdhcmV0dGVzPC9rZXl3
b3JkPjxrZXl3b3JkPnByZXZhbGVuY2U8L2tleXdvcmQ+PGtleXdvcmQ+c21va2luZyBjZXNzYXRp
b248L2tleXdvcmQ+PC9rZXl3b3Jkcz48ZGF0ZXM+PHllYXI+MjAxNzwveWVhcj48cHViLWRhdGVz
PjxkYXRlPk1hci9BcHI8L2RhdGU+PC9wdWItZGF0ZXM+PC9kYXRlcz48aXNibj4wMDMzLTM1NDk8
L2lzYm4+PGFjY2Vzc2lvbi1udW0+MjgxNDcyMDk8L2FjY2Vzc2lvbi1udW0+PHVybHM+PHJlbGF0
ZWQtdXJscz48dXJsPmh0dHBzOi8vd3d3Lm5jYmkubmxtLm5paC5nb3YvcG1jL2FydGljbGVzL1BN
QzUzNDk0ODYvcGRmLzEwLjExNzdfMDAzMzM1NDkxNjY4OTYxMS5wZGY8L3VybD48L3JlbGF0ZWQt
dXJscz48L3VybHM+PGN1c3RvbTI+UE1DNTM0OTQ4NjwvY3VzdG9tMj48ZWxlY3Ryb25pYy1yZXNv
dXJjZS1udW0+MTAuMTE3Ny8wMDMzMzU0OTE2Njg5NjExPC9lbGVjdHJvbmljLXJlc291cmNlLW51
bT48cmVtb3RlLWRhdGFiYXNlLXByb3ZpZGVyPk5MTTwvcmVtb3RlLWRhdGFiYXNlLXByb3ZpZGVy
PjxsYW5ndWFnZT5lbmc8L2xhbmd1YWdlPjwvcmVjb3JkPjwvQ2l0ZT48L0VuZE5vdGU+AG==
</w:fldData>
        </w:fldChar>
      </w:r>
      <w:r>
        <w:instrText xml:space="preserve"> ADDIN EN.CITE </w:instrText>
      </w:r>
      <w:r>
        <w:fldChar w:fldCharType="begin">
          <w:fldData xml:space="preserve">PEVuZE5vdGU+PENpdGU+PEF1dGhvcj5Fa2FuZW08L0F1dGhvcj48WWVhcj4yMDE3PC9ZZWFyPjxS
ZWNOdW0+NTM3MzwvUmVjTnVtPjxEaXNwbGF5VGV4dD4oRWthbmVtLCBDYXJkZW5hcyBldCBhbC4g
MjAxNyk8L0Rpc3BsYXlUZXh0PjxyZWNvcmQ+PHJlYy1udW1iZXI+NTM3MzwvcmVjLW51bWJlcj48
Zm9yZWlnbi1rZXlzPjxrZXkgYXBwPSJFTiIgZGItaWQ9Ijl6MDVkejBwcmFhZGZ1ZWUwem94emVk
azl6ZmU1Znh4NTB6NSIgdGltZXN0YW1wPSIxNTIzOTIwOTUxIj41MzczPC9rZXk+PC9mb3JlaWdu
LWtleXM+PHJlZi10eXBlIG5hbWU9IkpvdXJuYWwgQXJ0aWNsZSI+MTc8L3JlZi10eXBlPjxjb250
cmlidXRvcnM+PGF1dGhvcnM+PGF1dGhvcj5Fa2FuZW0sIFUuIFMuPC9hdXRob3I+PGF1dGhvcj5D
YXJkZW5hcywgVi4gTS48L2F1dGhvcj48YXV0aG9yPkNlbiwgUi48L2F1dGhvcj48YXV0aG9yPlNp
bW9uLCBXLjwvYXV0aG9yPjxhdXRob3I+Q2hlZGppZXUsIEkuIFAuPC9hdXRob3I+PGF1dGhvcj5X
b29kd2FyZCwgTS48L2F1dGhvcj48YXV0aG9yPkRlbG9uZ2NoYW1wLCBSLiBSLjwvYXV0aG9yPjxh
dXRob3I+V2hlZWxlciwgSi4gRy48L2F1dGhvcj48L2F1dGhvcnM+PC9jb250cmlidXRvcnM+PGF1
dGgtYWRkcmVzcz4xIERlcGFydG1lbnQgb2YgQ29tbXVuaXR5IEhlYWx0aCwgRmFjdWx0eSBvZiBD
bGluaWNhbCBTY2llbmNlcywgVW5pdmVyc2l0eSBvZiBVeW8sIFV5bywgTmlnZXJpYS4mI3hEOzIg
RGVwYXJ0bWVudCBvZiBFcGlkZW1pb2xvZ3ksIEZheSBXLiBCb296bWFuIENvbGxlZ2Ugb2YgUHVi
bGljIEhlYWx0aCwgVW5pdmVyc2l0eSBvZiBBcmthbnNhcyBmb3IgTWVkaWNhbCBTY2llbmNlcywg
TGl0dGxlIFJvY2ssIEFSLCBVU0EuJiN4RDszIFRvYmFjY28gUHJldmVudGlvbiBhbmQgQ2Vzc2F0
aW9uIFByb2dyYW0sIEVwaWRlbWlvbG9neSBCcmFuY2gsIEFya2Fuc2FzIERlcGFydG1lbnQgb2Yg
SGVhbHRoLCBMaXR0bGUgUm9jaywgQVIsIFVTQS4mI3hEOzQgRGVwYXJ0bWVudCBvZiBIZWFsdGgg
UG9saWN5IGFuZCBNYW5hZ2VtZW50LCBGYXkgVy4gQm9vem1hbiBDb2xsZWdlIG9mIFB1YmxpYyBI
ZWFsdGgsIGFuZCBEZXBhcnRtZW50IG9mIFBlZGlhdHJpY3MsIENvbGxlZ2Ugb2YgTWVkaWNpbmUs
IFVuaXZlcnNpdHkgb2YgQXJrYW5zYXMgZm9yIE1lZGljYWwgU2NpZW5jZXMsIExpdHRsZSBSb2Nr
LCBBUiwgVVNBLiYjeEQ7NSBBcmthbnNhcyBDaGlsZHJlbiZhcG9zO3MgSG9zcGl0YWwsIExpdHRs
ZSBSb2NrLCBBUiwgVVNBLjwvYXV0aC1hZGRyZXNzPjx0aXRsZXM+PHRpdGxlPkVsZWN0cm9uaWMg
Tmljb3RpbmUgRGVsaXZlcnkgU3lzdGVtcyBhbmQgU21va2luZyBDZXNzYXRpb24gaW4gQXJrYW5z
YXMsIDIwMTQ8L3RpdGxlPjxzZWNvbmRhcnktdGl0bGU+UHVibGljIEhlYWx0aCBSZXA8L3NlY29u
ZGFyeS10aXRsZT48YWx0LXRpdGxlPlB1YmxpYyBoZWFsdGggcmVwb3J0cyAoV2FzaGluZ3Rvbiwg
RC5DLiA6IDE5NzQpPC9hbHQtdGl0bGU+PC90aXRsZXM+PHBlcmlvZGljYWw+PGZ1bGwtdGl0bGU+
UHVibGljIEhlYWx0aCBSZXA8L2Z1bGwtdGl0bGU+PGFiYnItMT5QdWJsaWMgaGVhbHRoIHJlcG9y
dHMgKFdhc2hpbmd0b24sIEQuQy4gOiAxOTc0KTwvYWJici0xPjwvcGVyaW9kaWNhbD48YWx0LXBl
cmlvZGljYWw+PGZ1bGwtdGl0bGU+UHVibGljIEhlYWx0aCBSZXA8L2Z1bGwtdGl0bGU+PGFiYnIt
MT5QdWJsaWMgaGVhbHRoIHJlcG9ydHMgKFdhc2hpbmd0b24sIEQuQy4gOiAxOTc0KTwvYWJici0x
PjwvYWx0LXBlcmlvZGljYWw+PHBhZ2VzPjIxMC0yMTk8L3BhZ2VzPjx2b2x1bWU+MTMyPC92b2x1
bWU+PG51bWJlcj4yPC9udW1iZXI+PGVkaXRpb24+MjAxNy8wMi8wMjwvZWRpdGlvbj48a2V5d29y
ZHM+PGtleXdvcmQ+QWRvbGVzY2VudDwva2V5d29yZD48a2V5d29yZD5BZHVsdDwva2V5d29yZD48
a2V5d29yZD5BZ2VkPC9rZXl3b3JkPjxrZXl3b3JkPkFya2Fuc2FzPC9rZXl3b3JkPjxrZXl3b3Jk
PkNyb3NzLVNlY3Rpb25hbCBTdHVkaWVzPC9rZXl3b3JkPjxrZXl3b3JkPipFbGVjdHJvbmljIE5p
Y290aW5lIERlbGl2ZXJ5IFN5c3RlbXM8L2tleXdvcmQ+PGtleXdvcmQ+RmVtYWxlPC9rZXl3b3Jk
PjxrZXl3b3JkPkhlYWx0aCBTdXJ2ZXlzPC9rZXl3b3JkPjxrZXl3b3JkPkh1bWFuczwva2V5d29y
ZD48a2V5d29yZD5NYWxlPC9rZXl3b3JkPjxrZXl3b3JkPk1pZGRsZSBBZ2VkPC9rZXl3b3JkPjxr
ZXl3b3JkPipOZWJ1bGl6ZXJzIGFuZCBWYXBvcml6ZXJzPC9rZXl3b3JkPjxrZXl3b3JkPk5pY290
aW5lLyphZG1pbmlzdHJhdGlvbiAmYW1wOyBkb3NhZ2U8L2tleXdvcmQ+PGtleXdvcmQ+KlNtb2tp
bmcgQ2Vzc2F0aW9uPC9rZXl3b3JkPjxrZXl3b3JkPllvdW5nIEFkdWx0PC9rZXl3b3JkPjxrZXl3
b3JkPmJlbGllZnM8L2tleXdvcmQ+PGtleXdvcmQ+ZWxlY3Ryb25pYyBjaWdhcmV0dGVzPC9rZXl3
b3JkPjxrZXl3b3JkPnByZXZhbGVuY2U8L2tleXdvcmQ+PGtleXdvcmQ+c21va2luZyBjZXNzYXRp
b248L2tleXdvcmQ+PC9rZXl3b3Jkcz48ZGF0ZXM+PHllYXI+MjAxNzwveWVhcj48cHViLWRhdGVz
PjxkYXRlPk1hci9BcHI8L2RhdGU+PC9wdWItZGF0ZXM+PC9kYXRlcz48aXNibj4wMDMzLTM1NDk8
L2lzYm4+PGFjY2Vzc2lvbi1udW0+MjgxNDcyMDk8L2FjY2Vzc2lvbi1udW0+PHVybHM+PHJlbGF0
ZWQtdXJscz48dXJsPmh0dHBzOi8vd3d3Lm5jYmkubmxtLm5paC5nb3YvcG1jL2FydGljbGVzL1BN
QzUzNDk0ODYvcGRmLzEwLjExNzdfMDAzMzM1NDkxNjY4OTYxMS5wZGY8L3VybD48L3JlbGF0ZWQt
dXJscz48L3VybHM+PGN1c3RvbTI+UE1DNTM0OTQ4NjwvY3VzdG9tMj48ZWxlY3Ryb25pYy1yZXNv
dXJjZS1udW0+MTAuMTE3Ny8wMDMzMzU0OTE2Njg5NjExPC9lbGVjdHJvbmljLXJlc291cmNlLW51
bT48cmVtb3RlLWRhdGFiYXNlLXByb3ZpZGVyPk5MTTwvcmVtb3RlLWRhdGFiYXNlLXByb3ZpZGVy
PjxsYW5ndWFnZT5lbmc8L2xhbmd1YWdlPjwvcmVjb3JkPjwvQ2l0ZT48L0VuZE5vdGU+AG==
</w:fldData>
        </w:fldChar>
      </w:r>
      <w:r>
        <w:instrText xml:space="preserve"> ADDIN EN.CITE.DATA </w:instrText>
      </w:r>
      <w:r>
        <w:fldChar w:fldCharType="end"/>
      </w:r>
      <w:r>
        <w:fldChar w:fldCharType="separate"/>
      </w:r>
      <w:r>
        <w:rPr>
          <w:noProof/>
        </w:rPr>
        <w:t>(Ekanem, Cardenas et al. 2017)</w:t>
      </w:r>
      <w:r>
        <w:fldChar w:fldCharType="end"/>
      </w:r>
      <w:r>
        <w:t>. This study included 1083 current (75%) or past smokers who had quit within last 5 years (25%). The population was older; over 46.1% of the population was &gt;65 years old and predominantly female (63.7%). Response rate was not reported. Participants were recruited through a random</w:t>
      </w:r>
      <w:r>
        <w:noBreakHyphen/>
        <w:t>digit dial system. 80.3% of e</w:t>
      </w:r>
      <w:r>
        <w:noBreakHyphen/>
        <w:t>cigarette users had continued to smoke tobacco cigarettes. E</w:t>
      </w:r>
      <w:r>
        <w:noBreakHyphen/>
        <w:t>cigarette use was associated with significantly reduced likelihood of smoking cessation (OR= 0.53, 95%CI= 0.34</w:t>
      </w:r>
      <w:r>
        <w:noBreakHyphen/>
        <w:t xml:space="preserve">0.83). </w:t>
      </w:r>
    </w:p>
    <w:p w14:paraId="2BBC8328" w14:textId="77777777" w:rsidR="002738DD" w:rsidRDefault="002738DD" w:rsidP="002738DD">
      <w:pPr>
        <w:pStyle w:val="BodyText"/>
      </w:pPr>
      <w:r>
        <w:t xml:space="preserve">An online survey was conducted on 798 smokers in 2015 in Japan </w:t>
      </w:r>
      <w:r>
        <w:fldChar w:fldCharType="begin">
          <w:fldData xml:space="preserve">PEVuZE5vdGU+PENpdGU+PEF1dGhvcj5IaXJhbm88L0F1dGhvcj48WWVhcj4yMDE3PC9ZZWFyPjxS
ZWNOdW0+NTMzNTwvUmVjTnVtPjxEaXNwbGF5VGV4dD4oSGlyYW5vLCBUYWJ1Y2hpIGV0IGFsLiAy
MDE3KTwvRGlzcGxheVRleHQ+PHJlY29yZD48cmVjLW51bWJlcj41MzM1PC9yZWMtbnVtYmVyPjxm
b3JlaWduLWtleXM+PGtleSBhcHA9IkVOIiBkYi1pZD0iOXowNWR6MHByYWFkZnVlZTB6b3h6ZWRr
OXpmZTVmeHg1MHo1IiB0aW1lc3RhbXA9IjE1MjM5MjA5NDciPjUzMzU8L2tleT48L2ZvcmVpZ24t
a2V5cz48cmVmLXR5cGUgbmFtZT0iSm91cm5hbCBBcnRpY2xlIj4xNzwvcmVmLXR5cGU+PGNvbnRy
aWJ1dG9ycz48YXV0aG9ycz48YXV0aG9yPkhpcmFubywgVC48L2F1dGhvcj48YXV0aG9yPlRhYnVj
aGksIFQuPC9hdXRob3I+PGF1dGhvcj5OYWthaGFyYSwgUi48L2F1dGhvcj48YXV0aG9yPkt1bnVn
aXRhLCBOLjwvYXV0aG9yPjxhdXRob3I+TW9jaGl6dWtpLUtvYmF5YXNoaSwgWS48L2F1dGhvcj48
L2F1dGhvcnM+PC9jb250cmlidXRvcnM+PGF1dGgtYWRkcmVzcz5DZW50ZXIgZm9yIENhbmNlciBD
b250cm9sIGFuZCBJbmZvcm1hdGlvbiBTZXJ2aWNlcy9DZW50ZXIgZm9yIFB1YmxpYyBIZWFsdGgg
U2NpZW5jZXMsIE5hdGlvbmFsIENhbmNlciBDZW50ZXIsIFRva3lvIDEwNC0wMDQ1LCBKYXBhbi4g
dG9oaXJhbm9AbmNjLmdvLmpwLiYjeEQ7Q2VudGVyIGZvciBDYW5jZXIgQ29udHJvbCBhbmQgU3Rh
dGlzdGljcywgT3Nha2EgTWVkaWNhbCBDZW50ZXIgZm9yIENhbmNlciBhbmQgQ2FyZGlvdmFzY3Vs
YXIgRGlzZWFzZXMsIE9zYWthIDUzNy04NTExLCBKYXBhbi4gdGFidWNoaXRha0BnbWFpbC5jb20u
JiN4RDtOYXRpb25hbCBDYW5jZXIgQ2VudGVyIEhvc3BpdGFsLCBOYXRpb25hbCBDYW5jZXIgQ2Vu
dGVyLCBUb2t5byAxMDQtMDA0NSwgSmFwYW4uIHJpbmFrYWhhQG5jYy5nby5qcC4mI3hEO0RlcGFy
dG1lbnQgb2YgRW52aXJvbm1lbnRhbCBIZWFsdGgsIE5hdGlvbmFsIEluc3RpdHV0ZSBvZiBQdWJs
aWMgSGVhbHRoLCBTYWl0YW1hIDM1MS0wMTk3LCBKYXBhbi4ga3VudWdpdGFAbmlwaC5nby5qcC4m
I3hEO0NlbnRlciBmb3IgQ2FuY2VyIENvbnRyb2wgYW5kIEluZm9ybWF0aW9uIFNlcnZpY2VzL0Nl
bnRlciBmb3IgUHVibGljIEhlYWx0aCBTY2llbmNlcywgTmF0aW9uYWwgQ2FuY2VyIENlbnRlciwg
VG9reW8gMTA0LTAwNDUsIEphcGFuLiB5bW9jaGl6dUBuY2MuZ28uanAuPC9hdXRoLWFkZHJlc3M+
PHRpdGxlcz48dGl0bGU+RWxlY3Ryb25pYyBDaWdhcmV0dGUgVXNlIGFuZCBTbW9raW5nIEFic3Rp
bmVuY2UgaW4gSmFwYW46IEEgQ3Jvc3MtU2VjdGlvbmFsIFN0dWR5IG9mIFF1aXR0aW5nIE1ldGhv
ZHM8L3RpdGxlPjxzZWNvbmRhcnktdGl0bGU+SW50IEogRW52aXJvbiBSZXMgUHVibGljIEhlYWx0
aDwvc2Vjb25kYXJ5LXRpdGxlPjxhbHQtdGl0bGU+SW50ZXJuYXRpb25hbCBqb3VybmFsIG9mIGVu
dmlyb25tZW50YWwgcmVzZWFyY2ggYW5kIHB1YmxpYyBoZWFsdGg8L2FsdC10aXRsZT48L3RpdGxl
cz48YWx0LXBlcmlvZGljYWw+PGZ1bGwtdGl0bGU+SW50ZXJuYXRpb25hbCBKb3VybmFsIG9mIEVu
dmlyb25tZW50YWwgUmVzZWFyY2ggYW5kIFB1YmxpYyBIZWFsdGg8L2Z1bGwtdGl0bGU+PC9hbHQt
cGVyaW9kaWNhbD48dm9sdW1lPjE0PC92b2x1bWU+PG51bWJlcj4yPC9udW1iZXI+PGVkaXRpb24+
MjAxNy8wMi8yMjwvZWRpdGlvbj48a2V5d29yZHM+PGtleXdvcmQ+QWR1bHQ8L2tleXdvcmQ+PGtl
eXdvcmQ+QWdlZDwva2V5d29yZD48a2V5d29yZD5Dcm9zcy1TZWN0aW9uYWwgU3R1ZGllczwva2V5
d29yZD48a2V5d29yZD5FbGVjdHJvbmljIE5pY290aW5lIERlbGl2ZXJ5IFN5c3RlbXMvKnN0YXRp
c3RpY3MgJmFtcDsgbnVtZXJpY2FsIGRhdGEvKnV0aWxpemF0aW9uPC9rZXl3b3JkPjxrZXl3b3Jk
PkZlbWFsZTwva2V5d29yZD48a2V5d29yZD5Gb2xsb3ctVXAgU3R1ZGllczwva2V5d29yZD48a2V5
d29yZD5IdW1hbnM8L2tleXdvcmQ+PGtleXdvcmQ+SmFwYW48L2tleXdvcmQ+PGtleXdvcmQ+TWFs
ZTwva2V5d29yZD48a2V5d29yZD5NaWRkbGUgQWdlZDwva2V5d29yZD48a2V5d29yZD5Qcm9zcGVj
dGl2ZSBTdHVkaWVzPC9rZXl3b3JkPjxrZXl3b3JkPlNtb2tpbmcvKnRoZXJhcHk8L2tleXdvcmQ+
PGtleXdvcmQ+U21va2luZyBDZXNzYXRpb24vKm1ldGhvZHMvKnN0YXRpc3RpY3MgJmFtcDsgbnVt
ZXJpY2FsIGRhdGE8L2tleXdvcmQ+PGtleXdvcmQ+U29jaW9lY29ub21pYyBGYWN0b3JzPC9rZXl3
b3JkPjxrZXl3b3JkPlN1cnZleXMgYW5kIFF1ZXN0aW9ubmFpcmVzPC9rZXl3b3JkPjxrZXl3b3Jk
PllvdW5nIEFkdWx0PC9rZXl3b3JkPjxrZXl3b3JkPiplbGVjdHJvbmljIGNpZ2FyZXR0ZXM8L2tl
eXdvcmQ+PGtleXdvcmQ+KnF1aXR0aW5nIG1ldGhvZHM8L2tleXdvcmQ+PGtleXdvcmQ+KnNtb2tp
bmcgY2Vzc2F0aW9uPC9rZXl3b3JkPjxrZXl3b3JkPipzbW9raW5nIGNlc3NhdGlvbiB0aGVyYXB5
PC9rZXl3b3JkPjwva2V5d29yZHM+PGRhdGVzPjx5ZWFyPjIwMTc8L3llYXI+PHB1Yi1kYXRlcz48
ZGF0ZT5GZWIgMTc8L2RhdGU+PC9wdWItZGF0ZXM+PC9kYXRlcz48aXNibj4xNjYwLTQ2MDE8L2lz
Ym4+PGFjY2Vzc2lvbi1udW0+MjgyMTg2OTU8L2FjY2Vzc2lvbi1udW0+PHVybHM+PHJlbGF0ZWQt
dXJscz48dXJsPmh0dHA6Ly93d3cubWRwaS5jb20vMTY2MC00NjAxLzE0LzIvMjAyL3BkZjwvdXJs
PjwvcmVsYXRlZC11cmxzPjwvdXJscz48Y3VzdG9tMj5QTUM1MzM0NzU2PC9jdXN0b20yPjxlbGVj
dHJvbmljLXJlc291cmNlLW51bT4xMC4zMzkwL2lqZXJwaDE0MDIwMjAyPC9lbGVjdHJvbmljLXJl
c291cmNlLW51bT48cmVtb3RlLWRhdGFiYXNlLXByb3ZpZGVyPk5MTTwvcmVtb3RlLWRhdGFiYXNl
LXByb3ZpZGVyPjxsYW5ndWFnZT5lbmc8L2xhbmd1YWdlPjwvcmVjb3JkPjwvQ2l0ZT48L0VuZE5v
dGU+AG==
</w:fldData>
        </w:fldChar>
      </w:r>
      <w:r>
        <w:instrText xml:space="preserve"> ADDIN EN.CITE </w:instrText>
      </w:r>
      <w:r>
        <w:fldChar w:fldCharType="begin">
          <w:fldData xml:space="preserve">PEVuZE5vdGU+PENpdGU+PEF1dGhvcj5IaXJhbm88L0F1dGhvcj48WWVhcj4yMDE3PC9ZZWFyPjxS
ZWNOdW0+NTMzNTwvUmVjTnVtPjxEaXNwbGF5VGV4dD4oSGlyYW5vLCBUYWJ1Y2hpIGV0IGFsLiAy
MDE3KTwvRGlzcGxheVRleHQ+PHJlY29yZD48cmVjLW51bWJlcj41MzM1PC9yZWMtbnVtYmVyPjxm
b3JlaWduLWtleXM+PGtleSBhcHA9IkVOIiBkYi1pZD0iOXowNWR6MHByYWFkZnVlZTB6b3h6ZWRr
OXpmZTVmeHg1MHo1IiB0aW1lc3RhbXA9IjE1MjM5MjA5NDciPjUzMzU8L2tleT48L2ZvcmVpZ24t
a2V5cz48cmVmLXR5cGUgbmFtZT0iSm91cm5hbCBBcnRpY2xlIj4xNzwvcmVmLXR5cGU+PGNvbnRy
aWJ1dG9ycz48YXV0aG9ycz48YXV0aG9yPkhpcmFubywgVC48L2F1dGhvcj48YXV0aG9yPlRhYnVj
aGksIFQuPC9hdXRob3I+PGF1dGhvcj5OYWthaGFyYSwgUi48L2F1dGhvcj48YXV0aG9yPkt1bnVn
aXRhLCBOLjwvYXV0aG9yPjxhdXRob3I+TW9jaGl6dWtpLUtvYmF5YXNoaSwgWS48L2F1dGhvcj48
L2F1dGhvcnM+PC9jb250cmlidXRvcnM+PGF1dGgtYWRkcmVzcz5DZW50ZXIgZm9yIENhbmNlciBD
b250cm9sIGFuZCBJbmZvcm1hdGlvbiBTZXJ2aWNlcy9DZW50ZXIgZm9yIFB1YmxpYyBIZWFsdGgg
U2NpZW5jZXMsIE5hdGlvbmFsIENhbmNlciBDZW50ZXIsIFRva3lvIDEwNC0wMDQ1LCBKYXBhbi4g
dG9oaXJhbm9AbmNjLmdvLmpwLiYjeEQ7Q2VudGVyIGZvciBDYW5jZXIgQ29udHJvbCBhbmQgU3Rh
dGlzdGljcywgT3Nha2EgTWVkaWNhbCBDZW50ZXIgZm9yIENhbmNlciBhbmQgQ2FyZGlvdmFzY3Vs
YXIgRGlzZWFzZXMsIE9zYWthIDUzNy04NTExLCBKYXBhbi4gdGFidWNoaXRha0BnbWFpbC5jb20u
JiN4RDtOYXRpb25hbCBDYW5jZXIgQ2VudGVyIEhvc3BpdGFsLCBOYXRpb25hbCBDYW5jZXIgQ2Vu
dGVyLCBUb2t5byAxMDQtMDA0NSwgSmFwYW4uIHJpbmFrYWhhQG5jYy5nby5qcC4mI3hEO0RlcGFy
dG1lbnQgb2YgRW52aXJvbm1lbnRhbCBIZWFsdGgsIE5hdGlvbmFsIEluc3RpdHV0ZSBvZiBQdWJs
aWMgSGVhbHRoLCBTYWl0YW1hIDM1MS0wMTk3LCBKYXBhbi4ga3VudWdpdGFAbmlwaC5nby5qcC4m
I3hEO0NlbnRlciBmb3IgQ2FuY2VyIENvbnRyb2wgYW5kIEluZm9ybWF0aW9uIFNlcnZpY2VzL0Nl
bnRlciBmb3IgUHVibGljIEhlYWx0aCBTY2llbmNlcywgTmF0aW9uYWwgQ2FuY2VyIENlbnRlciwg
VG9reW8gMTA0LTAwNDUsIEphcGFuLiB5bW9jaGl6dUBuY2MuZ28uanAuPC9hdXRoLWFkZHJlc3M+
PHRpdGxlcz48dGl0bGU+RWxlY3Ryb25pYyBDaWdhcmV0dGUgVXNlIGFuZCBTbW9raW5nIEFic3Rp
bmVuY2UgaW4gSmFwYW46IEEgQ3Jvc3MtU2VjdGlvbmFsIFN0dWR5IG9mIFF1aXR0aW5nIE1ldGhv
ZHM8L3RpdGxlPjxzZWNvbmRhcnktdGl0bGU+SW50IEogRW52aXJvbiBSZXMgUHVibGljIEhlYWx0
aDwvc2Vjb25kYXJ5LXRpdGxlPjxhbHQtdGl0bGU+SW50ZXJuYXRpb25hbCBqb3VybmFsIG9mIGVu
dmlyb25tZW50YWwgcmVzZWFyY2ggYW5kIHB1YmxpYyBoZWFsdGg8L2FsdC10aXRsZT48L3RpdGxl
cz48YWx0LXBlcmlvZGljYWw+PGZ1bGwtdGl0bGU+SW50ZXJuYXRpb25hbCBKb3VybmFsIG9mIEVu
dmlyb25tZW50YWwgUmVzZWFyY2ggYW5kIFB1YmxpYyBIZWFsdGg8L2Z1bGwtdGl0bGU+PC9hbHQt
cGVyaW9kaWNhbD48dm9sdW1lPjE0PC92b2x1bWU+PG51bWJlcj4yPC9udW1iZXI+PGVkaXRpb24+
MjAxNy8wMi8yMjwvZWRpdGlvbj48a2V5d29yZHM+PGtleXdvcmQ+QWR1bHQ8L2tleXdvcmQ+PGtl
eXdvcmQ+QWdlZDwva2V5d29yZD48a2V5d29yZD5Dcm9zcy1TZWN0aW9uYWwgU3R1ZGllczwva2V5
d29yZD48a2V5d29yZD5FbGVjdHJvbmljIE5pY290aW5lIERlbGl2ZXJ5IFN5c3RlbXMvKnN0YXRp
c3RpY3MgJmFtcDsgbnVtZXJpY2FsIGRhdGEvKnV0aWxpemF0aW9uPC9rZXl3b3JkPjxrZXl3b3Jk
PkZlbWFsZTwva2V5d29yZD48a2V5d29yZD5Gb2xsb3ctVXAgU3R1ZGllczwva2V5d29yZD48a2V5
d29yZD5IdW1hbnM8L2tleXdvcmQ+PGtleXdvcmQ+SmFwYW48L2tleXdvcmQ+PGtleXdvcmQ+TWFs
ZTwva2V5d29yZD48a2V5d29yZD5NaWRkbGUgQWdlZDwva2V5d29yZD48a2V5d29yZD5Qcm9zcGVj
dGl2ZSBTdHVkaWVzPC9rZXl3b3JkPjxrZXl3b3JkPlNtb2tpbmcvKnRoZXJhcHk8L2tleXdvcmQ+
PGtleXdvcmQ+U21va2luZyBDZXNzYXRpb24vKm1ldGhvZHMvKnN0YXRpc3RpY3MgJmFtcDsgbnVt
ZXJpY2FsIGRhdGE8L2tleXdvcmQ+PGtleXdvcmQ+U29jaW9lY29ub21pYyBGYWN0b3JzPC9rZXl3
b3JkPjxrZXl3b3JkPlN1cnZleXMgYW5kIFF1ZXN0aW9ubmFpcmVzPC9rZXl3b3JkPjxrZXl3b3Jk
PllvdW5nIEFkdWx0PC9rZXl3b3JkPjxrZXl3b3JkPiplbGVjdHJvbmljIGNpZ2FyZXR0ZXM8L2tl
eXdvcmQ+PGtleXdvcmQ+KnF1aXR0aW5nIG1ldGhvZHM8L2tleXdvcmQ+PGtleXdvcmQ+KnNtb2tp
bmcgY2Vzc2F0aW9uPC9rZXl3b3JkPjxrZXl3b3JkPipzbW9raW5nIGNlc3NhdGlvbiB0aGVyYXB5
PC9rZXl3b3JkPjwva2V5d29yZHM+PGRhdGVzPjx5ZWFyPjIwMTc8L3llYXI+PHB1Yi1kYXRlcz48
ZGF0ZT5GZWIgMTc8L2RhdGU+PC9wdWItZGF0ZXM+PC9kYXRlcz48aXNibj4xNjYwLTQ2MDE8L2lz
Ym4+PGFjY2Vzc2lvbi1udW0+MjgyMTg2OTU8L2FjY2Vzc2lvbi1udW0+PHVybHM+PHJlbGF0ZWQt
dXJscz48dXJsPmh0dHA6Ly93d3cubWRwaS5jb20vMTY2MC00NjAxLzE0LzIvMjAyL3BkZjwvdXJs
PjwvcmVsYXRlZC11cmxzPjwvdXJscz48Y3VzdG9tMj5QTUM1MzM0NzU2PC9jdXN0b20yPjxlbGVj
dHJvbmljLXJlc291cmNlLW51bT4xMC4zMzkwL2lqZXJwaDE0MDIwMjAyPC9lbGVjdHJvbmljLXJl
c291cmNlLW51bT48cmVtb3RlLWRhdGFiYXNlLXByb3ZpZGVyPk5MTTwvcmVtb3RlLWRhdGFiYXNl
LXByb3ZpZGVyPjxsYW5ndWFnZT5lbmc8L2xhbmd1YWdlPjwvcmVjb3JkPjwvQ2l0ZT48L0VuZE5v
dGU+AG==
</w:fldData>
        </w:fldChar>
      </w:r>
      <w:r>
        <w:instrText xml:space="preserve"> ADDIN EN.CITE.DATA </w:instrText>
      </w:r>
      <w:r>
        <w:fldChar w:fldCharType="end"/>
      </w:r>
      <w:r>
        <w:fldChar w:fldCharType="separate"/>
      </w:r>
      <w:r>
        <w:rPr>
          <w:noProof/>
        </w:rPr>
        <w:t>(Hirano, Tabuchi et al. 2017)</w:t>
      </w:r>
      <w:r>
        <w:fldChar w:fldCharType="end"/>
      </w:r>
      <w:r>
        <w:t>. Participants were 72.7% male,</w:t>
      </w:r>
      <w:r w:rsidRPr="0093124C">
        <w:t xml:space="preserve"> </w:t>
      </w:r>
      <w:r>
        <w:t>age ranged from 20</w:t>
      </w:r>
      <w:r>
        <w:noBreakHyphen/>
        <w:t xml:space="preserve">69 years (see table </w:t>
      </w:r>
      <w:r w:rsidR="00F0285D">
        <w:t>12</w:t>
      </w:r>
      <w:r>
        <w:t>). Participants were recruited through a commercial research provider. In this study,</w:t>
      </w:r>
      <w:r w:rsidRPr="00F71FA7">
        <w:t xml:space="preserve"> after adjusting for </w:t>
      </w:r>
      <w:r>
        <w:t>covariates (</w:t>
      </w:r>
      <w:r w:rsidRPr="00F71FA7">
        <w:t>gender, age, health</w:t>
      </w:r>
      <w:r>
        <w:noBreakHyphen/>
      </w:r>
      <w:r w:rsidRPr="00F71FA7">
        <w:t>related factors</w:t>
      </w:r>
      <w:r>
        <w:t xml:space="preserve"> </w:t>
      </w:r>
      <w:r w:rsidRPr="00F71FA7">
        <w:t>and other quitting methods</w:t>
      </w:r>
      <w:r>
        <w:t>), e</w:t>
      </w:r>
      <w:r>
        <w:noBreakHyphen/>
        <w:t xml:space="preserve">cigarette </w:t>
      </w:r>
      <w:r w:rsidRPr="00F71FA7">
        <w:t>use was negatively associated with smoking cessation (OR</w:t>
      </w:r>
      <w:r>
        <w:t>= 0.632; 95%</w:t>
      </w:r>
      <w:r w:rsidRPr="00F71FA7">
        <w:t>CI= 0.414</w:t>
      </w:r>
      <w:r>
        <w:noBreakHyphen/>
      </w:r>
      <w:r w:rsidRPr="00F71FA7">
        <w:t xml:space="preserve">0.964). </w:t>
      </w:r>
      <w:r>
        <w:t>However</w:t>
      </w:r>
      <w:r w:rsidRPr="00F71FA7">
        <w:t xml:space="preserve">, </w:t>
      </w:r>
      <w:r>
        <w:t>smoking cessation therapy (including prescription medications</w:t>
      </w:r>
      <w:r w:rsidRPr="00F71FA7">
        <w:t>) was significantly associated with smo</w:t>
      </w:r>
      <w:r>
        <w:t>king cessation (OR=1.885; 95%</w:t>
      </w:r>
      <w:r w:rsidRPr="00F71FA7">
        <w:t>C</w:t>
      </w:r>
      <w:r>
        <w:t>I=</w:t>
      </w:r>
      <w:r w:rsidRPr="00F71FA7">
        <w:t>1.018</w:t>
      </w:r>
      <w:r>
        <w:noBreakHyphen/>
      </w:r>
      <w:r w:rsidRPr="00F71FA7">
        <w:t xml:space="preserve">3.492) </w:t>
      </w:r>
      <w:r>
        <w:fldChar w:fldCharType="begin">
          <w:fldData xml:space="preserve">PEVuZE5vdGU+PENpdGU+PEF1dGhvcj5IaXJhbm88L0F1dGhvcj48WWVhcj4yMDE3PC9ZZWFyPjxS
ZWNOdW0+NTMzNTwvUmVjTnVtPjxEaXNwbGF5VGV4dD4oSGlyYW5vLCBUYWJ1Y2hpIGV0IGFsLiAy
MDE3KTwvRGlzcGxheVRleHQ+PHJlY29yZD48cmVjLW51bWJlcj41MzM1PC9yZWMtbnVtYmVyPjxm
b3JlaWduLWtleXM+PGtleSBhcHA9IkVOIiBkYi1pZD0iOXowNWR6MHByYWFkZnVlZTB6b3h6ZWRr
OXpmZTVmeHg1MHo1IiB0aW1lc3RhbXA9IjE1MjM5MjA5NDciPjUzMzU8L2tleT48L2ZvcmVpZ24t
a2V5cz48cmVmLXR5cGUgbmFtZT0iSm91cm5hbCBBcnRpY2xlIj4xNzwvcmVmLXR5cGU+PGNvbnRy
aWJ1dG9ycz48YXV0aG9ycz48YXV0aG9yPkhpcmFubywgVC48L2F1dGhvcj48YXV0aG9yPlRhYnVj
aGksIFQuPC9hdXRob3I+PGF1dGhvcj5OYWthaGFyYSwgUi48L2F1dGhvcj48YXV0aG9yPkt1bnVn
aXRhLCBOLjwvYXV0aG9yPjxhdXRob3I+TW9jaGl6dWtpLUtvYmF5YXNoaSwgWS48L2F1dGhvcj48
L2F1dGhvcnM+PC9jb250cmlidXRvcnM+PGF1dGgtYWRkcmVzcz5DZW50ZXIgZm9yIENhbmNlciBD
b250cm9sIGFuZCBJbmZvcm1hdGlvbiBTZXJ2aWNlcy9DZW50ZXIgZm9yIFB1YmxpYyBIZWFsdGgg
U2NpZW5jZXMsIE5hdGlvbmFsIENhbmNlciBDZW50ZXIsIFRva3lvIDEwNC0wMDQ1LCBKYXBhbi4g
dG9oaXJhbm9AbmNjLmdvLmpwLiYjeEQ7Q2VudGVyIGZvciBDYW5jZXIgQ29udHJvbCBhbmQgU3Rh
dGlzdGljcywgT3Nha2EgTWVkaWNhbCBDZW50ZXIgZm9yIENhbmNlciBhbmQgQ2FyZGlvdmFzY3Vs
YXIgRGlzZWFzZXMsIE9zYWthIDUzNy04NTExLCBKYXBhbi4gdGFidWNoaXRha0BnbWFpbC5jb20u
JiN4RDtOYXRpb25hbCBDYW5jZXIgQ2VudGVyIEhvc3BpdGFsLCBOYXRpb25hbCBDYW5jZXIgQ2Vu
dGVyLCBUb2t5byAxMDQtMDA0NSwgSmFwYW4uIHJpbmFrYWhhQG5jYy5nby5qcC4mI3hEO0RlcGFy
dG1lbnQgb2YgRW52aXJvbm1lbnRhbCBIZWFsdGgsIE5hdGlvbmFsIEluc3RpdHV0ZSBvZiBQdWJs
aWMgSGVhbHRoLCBTYWl0YW1hIDM1MS0wMTk3LCBKYXBhbi4ga3VudWdpdGFAbmlwaC5nby5qcC4m
I3hEO0NlbnRlciBmb3IgQ2FuY2VyIENvbnRyb2wgYW5kIEluZm9ybWF0aW9uIFNlcnZpY2VzL0Nl
bnRlciBmb3IgUHVibGljIEhlYWx0aCBTY2llbmNlcywgTmF0aW9uYWwgQ2FuY2VyIENlbnRlciwg
VG9reW8gMTA0LTAwNDUsIEphcGFuLiB5bW9jaGl6dUBuY2MuZ28uanAuPC9hdXRoLWFkZHJlc3M+
PHRpdGxlcz48dGl0bGU+RWxlY3Ryb25pYyBDaWdhcmV0dGUgVXNlIGFuZCBTbW9raW5nIEFic3Rp
bmVuY2UgaW4gSmFwYW46IEEgQ3Jvc3MtU2VjdGlvbmFsIFN0dWR5IG9mIFF1aXR0aW5nIE1ldGhv
ZHM8L3RpdGxlPjxzZWNvbmRhcnktdGl0bGU+SW50IEogRW52aXJvbiBSZXMgUHVibGljIEhlYWx0
aDwvc2Vjb25kYXJ5LXRpdGxlPjxhbHQtdGl0bGU+SW50ZXJuYXRpb25hbCBqb3VybmFsIG9mIGVu
dmlyb25tZW50YWwgcmVzZWFyY2ggYW5kIHB1YmxpYyBoZWFsdGg8L2FsdC10aXRsZT48L3RpdGxl
cz48YWx0LXBlcmlvZGljYWw+PGZ1bGwtdGl0bGU+SW50ZXJuYXRpb25hbCBKb3VybmFsIG9mIEVu
dmlyb25tZW50YWwgUmVzZWFyY2ggYW5kIFB1YmxpYyBIZWFsdGg8L2Z1bGwtdGl0bGU+PC9hbHQt
cGVyaW9kaWNhbD48dm9sdW1lPjE0PC92b2x1bWU+PG51bWJlcj4yPC9udW1iZXI+PGVkaXRpb24+
MjAxNy8wMi8yMjwvZWRpdGlvbj48a2V5d29yZHM+PGtleXdvcmQ+QWR1bHQ8L2tleXdvcmQ+PGtl
eXdvcmQ+QWdlZDwva2V5d29yZD48a2V5d29yZD5Dcm9zcy1TZWN0aW9uYWwgU3R1ZGllczwva2V5
d29yZD48a2V5d29yZD5FbGVjdHJvbmljIE5pY290aW5lIERlbGl2ZXJ5IFN5c3RlbXMvKnN0YXRp
c3RpY3MgJmFtcDsgbnVtZXJpY2FsIGRhdGEvKnV0aWxpemF0aW9uPC9rZXl3b3JkPjxrZXl3b3Jk
PkZlbWFsZTwva2V5d29yZD48a2V5d29yZD5Gb2xsb3ctVXAgU3R1ZGllczwva2V5d29yZD48a2V5
d29yZD5IdW1hbnM8L2tleXdvcmQ+PGtleXdvcmQ+SmFwYW48L2tleXdvcmQ+PGtleXdvcmQ+TWFs
ZTwva2V5d29yZD48a2V5d29yZD5NaWRkbGUgQWdlZDwva2V5d29yZD48a2V5d29yZD5Qcm9zcGVj
dGl2ZSBTdHVkaWVzPC9rZXl3b3JkPjxrZXl3b3JkPlNtb2tpbmcvKnRoZXJhcHk8L2tleXdvcmQ+
PGtleXdvcmQ+U21va2luZyBDZXNzYXRpb24vKm1ldGhvZHMvKnN0YXRpc3RpY3MgJmFtcDsgbnVt
ZXJpY2FsIGRhdGE8L2tleXdvcmQ+PGtleXdvcmQ+U29jaW9lY29ub21pYyBGYWN0b3JzPC9rZXl3
b3JkPjxrZXl3b3JkPlN1cnZleXMgYW5kIFF1ZXN0aW9ubmFpcmVzPC9rZXl3b3JkPjxrZXl3b3Jk
PllvdW5nIEFkdWx0PC9rZXl3b3JkPjxrZXl3b3JkPiplbGVjdHJvbmljIGNpZ2FyZXR0ZXM8L2tl
eXdvcmQ+PGtleXdvcmQ+KnF1aXR0aW5nIG1ldGhvZHM8L2tleXdvcmQ+PGtleXdvcmQ+KnNtb2tp
bmcgY2Vzc2F0aW9uPC9rZXl3b3JkPjxrZXl3b3JkPipzbW9raW5nIGNlc3NhdGlvbiB0aGVyYXB5
PC9rZXl3b3JkPjwva2V5d29yZHM+PGRhdGVzPjx5ZWFyPjIwMTc8L3llYXI+PHB1Yi1kYXRlcz48
ZGF0ZT5GZWIgMTc8L2RhdGU+PC9wdWItZGF0ZXM+PC9kYXRlcz48aXNibj4xNjYwLTQ2MDE8L2lz
Ym4+PGFjY2Vzc2lvbi1udW0+MjgyMTg2OTU8L2FjY2Vzc2lvbi1udW0+PHVybHM+PHJlbGF0ZWQt
dXJscz48dXJsPmh0dHA6Ly93d3cubWRwaS5jb20vMTY2MC00NjAxLzE0LzIvMjAyL3BkZjwvdXJs
PjwvcmVsYXRlZC11cmxzPjwvdXJscz48Y3VzdG9tMj5QTUM1MzM0NzU2PC9jdXN0b20yPjxlbGVj
dHJvbmljLXJlc291cmNlLW51bT4xMC4zMzkwL2lqZXJwaDE0MDIwMjAyPC9lbGVjdHJvbmljLXJl
c291cmNlLW51bT48cmVtb3RlLWRhdGFiYXNlLXByb3ZpZGVyPk5MTTwvcmVtb3RlLWRhdGFiYXNl
LXByb3ZpZGVyPjxsYW5ndWFnZT5lbmc8L2xhbmd1YWdlPjwvcmVjb3JkPjwvQ2l0ZT48L0VuZE5v
dGU+AG==
</w:fldData>
        </w:fldChar>
      </w:r>
      <w:r>
        <w:instrText xml:space="preserve"> ADDIN EN.CITE </w:instrText>
      </w:r>
      <w:r>
        <w:fldChar w:fldCharType="begin">
          <w:fldData xml:space="preserve">PEVuZE5vdGU+PENpdGU+PEF1dGhvcj5IaXJhbm88L0F1dGhvcj48WWVhcj4yMDE3PC9ZZWFyPjxS
ZWNOdW0+NTMzNTwvUmVjTnVtPjxEaXNwbGF5VGV4dD4oSGlyYW5vLCBUYWJ1Y2hpIGV0IGFsLiAy
MDE3KTwvRGlzcGxheVRleHQ+PHJlY29yZD48cmVjLW51bWJlcj41MzM1PC9yZWMtbnVtYmVyPjxm
b3JlaWduLWtleXM+PGtleSBhcHA9IkVOIiBkYi1pZD0iOXowNWR6MHByYWFkZnVlZTB6b3h6ZWRr
OXpmZTVmeHg1MHo1IiB0aW1lc3RhbXA9IjE1MjM5MjA5NDciPjUzMzU8L2tleT48L2ZvcmVpZ24t
a2V5cz48cmVmLXR5cGUgbmFtZT0iSm91cm5hbCBBcnRpY2xlIj4xNzwvcmVmLXR5cGU+PGNvbnRy
aWJ1dG9ycz48YXV0aG9ycz48YXV0aG9yPkhpcmFubywgVC48L2F1dGhvcj48YXV0aG9yPlRhYnVj
aGksIFQuPC9hdXRob3I+PGF1dGhvcj5OYWthaGFyYSwgUi48L2F1dGhvcj48YXV0aG9yPkt1bnVn
aXRhLCBOLjwvYXV0aG9yPjxhdXRob3I+TW9jaGl6dWtpLUtvYmF5YXNoaSwgWS48L2F1dGhvcj48
L2F1dGhvcnM+PC9jb250cmlidXRvcnM+PGF1dGgtYWRkcmVzcz5DZW50ZXIgZm9yIENhbmNlciBD
b250cm9sIGFuZCBJbmZvcm1hdGlvbiBTZXJ2aWNlcy9DZW50ZXIgZm9yIFB1YmxpYyBIZWFsdGgg
U2NpZW5jZXMsIE5hdGlvbmFsIENhbmNlciBDZW50ZXIsIFRva3lvIDEwNC0wMDQ1LCBKYXBhbi4g
dG9oaXJhbm9AbmNjLmdvLmpwLiYjeEQ7Q2VudGVyIGZvciBDYW5jZXIgQ29udHJvbCBhbmQgU3Rh
dGlzdGljcywgT3Nha2EgTWVkaWNhbCBDZW50ZXIgZm9yIENhbmNlciBhbmQgQ2FyZGlvdmFzY3Vs
YXIgRGlzZWFzZXMsIE9zYWthIDUzNy04NTExLCBKYXBhbi4gdGFidWNoaXRha0BnbWFpbC5jb20u
JiN4RDtOYXRpb25hbCBDYW5jZXIgQ2VudGVyIEhvc3BpdGFsLCBOYXRpb25hbCBDYW5jZXIgQ2Vu
dGVyLCBUb2t5byAxMDQtMDA0NSwgSmFwYW4uIHJpbmFrYWhhQG5jYy5nby5qcC4mI3hEO0RlcGFy
dG1lbnQgb2YgRW52aXJvbm1lbnRhbCBIZWFsdGgsIE5hdGlvbmFsIEluc3RpdHV0ZSBvZiBQdWJs
aWMgSGVhbHRoLCBTYWl0YW1hIDM1MS0wMTk3LCBKYXBhbi4ga3VudWdpdGFAbmlwaC5nby5qcC4m
I3hEO0NlbnRlciBmb3IgQ2FuY2VyIENvbnRyb2wgYW5kIEluZm9ybWF0aW9uIFNlcnZpY2VzL0Nl
bnRlciBmb3IgUHVibGljIEhlYWx0aCBTY2llbmNlcywgTmF0aW9uYWwgQ2FuY2VyIENlbnRlciwg
VG9reW8gMTA0LTAwNDUsIEphcGFuLiB5bW9jaGl6dUBuY2MuZ28uanAuPC9hdXRoLWFkZHJlc3M+
PHRpdGxlcz48dGl0bGU+RWxlY3Ryb25pYyBDaWdhcmV0dGUgVXNlIGFuZCBTbW9raW5nIEFic3Rp
bmVuY2UgaW4gSmFwYW46IEEgQ3Jvc3MtU2VjdGlvbmFsIFN0dWR5IG9mIFF1aXR0aW5nIE1ldGhv
ZHM8L3RpdGxlPjxzZWNvbmRhcnktdGl0bGU+SW50IEogRW52aXJvbiBSZXMgUHVibGljIEhlYWx0
aDwvc2Vjb25kYXJ5LXRpdGxlPjxhbHQtdGl0bGU+SW50ZXJuYXRpb25hbCBqb3VybmFsIG9mIGVu
dmlyb25tZW50YWwgcmVzZWFyY2ggYW5kIHB1YmxpYyBoZWFsdGg8L2FsdC10aXRsZT48L3RpdGxl
cz48YWx0LXBlcmlvZGljYWw+PGZ1bGwtdGl0bGU+SW50ZXJuYXRpb25hbCBKb3VybmFsIG9mIEVu
dmlyb25tZW50YWwgUmVzZWFyY2ggYW5kIFB1YmxpYyBIZWFsdGg8L2Z1bGwtdGl0bGU+PC9hbHQt
cGVyaW9kaWNhbD48dm9sdW1lPjE0PC92b2x1bWU+PG51bWJlcj4yPC9udW1iZXI+PGVkaXRpb24+
MjAxNy8wMi8yMjwvZWRpdGlvbj48a2V5d29yZHM+PGtleXdvcmQ+QWR1bHQ8L2tleXdvcmQ+PGtl
eXdvcmQ+QWdlZDwva2V5d29yZD48a2V5d29yZD5Dcm9zcy1TZWN0aW9uYWwgU3R1ZGllczwva2V5
d29yZD48a2V5d29yZD5FbGVjdHJvbmljIE5pY290aW5lIERlbGl2ZXJ5IFN5c3RlbXMvKnN0YXRp
c3RpY3MgJmFtcDsgbnVtZXJpY2FsIGRhdGEvKnV0aWxpemF0aW9uPC9rZXl3b3JkPjxrZXl3b3Jk
PkZlbWFsZTwva2V5d29yZD48a2V5d29yZD5Gb2xsb3ctVXAgU3R1ZGllczwva2V5d29yZD48a2V5
d29yZD5IdW1hbnM8L2tleXdvcmQ+PGtleXdvcmQ+SmFwYW48L2tleXdvcmQ+PGtleXdvcmQ+TWFs
ZTwva2V5d29yZD48a2V5d29yZD5NaWRkbGUgQWdlZDwva2V5d29yZD48a2V5d29yZD5Qcm9zcGVj
dGl2ZSBTdHVkaWVzPC9rZXl3b3JkPjxrZXl3b3JkPlNtb2tpbmcvKnRoZXJhcHk8L2tleXdvcmQ+
PGtleXdvcmQ+U21va2luZyBDZXNzYXRpb24vKm1ldGhvZHMvKnN0YXRpc3RpY3MgJmFtcDsgbnVt
ZXJpY2FsIGRhdGE8L2tleXdvcmQ+PGtleXdvcmQ+U29jaW9lY29ub21pYyBGYWN0b3JzPC9rZXl3
b3JkPjxrZXl3b3JkPlN1cnZleXMgYW5kIFF1ZXN0aW9ubmFpcmVzPC9rZXl3b3JkPjxrZXl3b3Jk
PllvdW5nIEFkdWx0PC9rZXl3b3JkPjxrZXl3b3JkPiplbGVjdHJvbmljIGNpZ2FyZXR0ZXM8L2tl
eXdvcmQ+PGtleXdvcmQ+KnF1aXR0aW5nIG1ldGhvZHM8L2tleXdvcmQ+PGtleXdvcmQ+KnNtb2tp
bmcgY2Vzc2F0aW9uPC9rZXl3b3JkPjxrZXl3b3JkPipzbW9raW5nIGNlc3NhdGlvbiB0aGVyYXB5
PC9rZXl3b3JkPjwva2V5d29yZHM+PGRhdGVzPjx5ZWFyPjIwMTc8L3llYXI+PHB1Yi1kYXRlcz48
ZGF0ZT5GZWIgMTc8L2RhdGU+PC9wdWItZGF0ZXM+PC9kYXRlcz48aXNibj4xNjYwLTQ2MDE8L2lz
Ym4+PGFjY2Vzc2lvbi1udW0+MjgyMTg2OTU8L2FjY2Vzc2lvbi1udW0+PHVybHM+PHJlbGF0ZWQt
dXJscz48dXJsPmh0dHA6Ly93d3cubWRwaS5jb20vMTY2MC00NjAxLzE0LzIvMjAyL3BkZjwvdXJs
PjwvcmVsYXRlZC11cmxzPjwvdXJscz48Y3VzdG9tMj5QTUM1MzM0NzU2PC9jdXN0b20yPjxlbGVj
dHJvbmljLXJlc291cmNlLW51bT4xMC4zMzkwL2lqZXJwaDE0MDIwMjAyPC9lbGVjdHJvbmljLXJl
c291cmNlLW51bT48cmVtb3RlLWRhdGFiYXNlLXByb3ZpZGVyPk5MTTwvcmVtb3RlLWRhdGFiYXNl
LXByb3ZpZGVyPjxsYW5ndWFnZT5lbmc8L2xhbmd1YWdlPjwvcmVjb3JkPjwvQ2l0ZT48L0VuZE5v
dGU+AG==
</w:fldData>
        </w:fldChar>
      </w:r>
      <w:r>
        <w:instrText xml:space="preserve"> ADDIN EN.CITE.DATA </w:instrText>
      </w:r>
      <w:r>
        <w:fldChar w:fldCharType="end"/>
      </w:r>
      <w:r>
        <w:fldChar w:fldCharType="separate"/>
      </w:r>
      <w:r>
        <w:rPr>
          <w:noProof/>
        </w:rPr>
        <w:t>(Hirano, Tabuchi et al. 2017)</w:t>
      </w:r>
      <w:r>
        <w:fldChar w:fldCharType="end"/>
      </w:r>
      <w:r w:rsidRPr="00F71FA7">
        <w:t>.</w:t>
      </w:r>
      <w:r>
        <w:t xml:space="preserve"> While the study was a representative sample, there was a very low response rate (8.5%), limiting applicability to the general population.</w:t>
      </w:r>
    </w:p>
    <w:p w14:paraId="7CD48BA8" w14:textId="7088B846" w:rsidR="002738DD" w:rsidRDefault="002738DD" w:rsidP="002738DD">
      <w:pPr>
        <w:pStyle w:val="BodyText"/>
      </w:pPr>
      <w:r>
        <w:lastRenderedPageBreak/>
        <w:t>Two nationally representative cross</w:t>
      </w:r>
      <w:r>
        <w:noBreakHyphen/>
        <w:t>sectional surveys found associations between e</w:t>
      </w:r>
      <w:r>
        <w:noBreakHyphen/>
        <w:t xml:space="preserve">cigarette use and reduced rates of tobacco smoking cessation </w:t>
      </w:r>
      <w:r>
        <w:fldChar w:fldCharType="begin">
          <w:fldData xml:space="preserve">PEVuZE5vdGU+PENpdGU+PEF1dGhvcj5FbC1LaG91cnkgTGVzdWV1cjwvQXV0aG9yPjxZZWFyPjIw
MTg8L1llYXI+PFJlY051bT40NjM5PC9SZWNOdW0+PERpc3BsYXlUZXh0PihFbC1LaG91cnkgTGVz
dWV1ciwgQm9semUgZXQgYWwuIDIwMTgsIEt1bGlrLCBMaXNoYSBldCBhbC4gMjAxOCk8L0Rpc3Bs
YXlUZXh0PjxyZWNvcmQ+PHJlYy1udW1iZXI+NDYzOTwvcmVjLW51bWJlcj48Zm9yZWlnbi1rZXlz
PjxrZXkgYXBwPSJFTiIgZGItaWQ9Ijl6MDVkejBwcmFhZGZ1ZWUwem94emVkazl6ZmU1Znh4NTB6
NSIgdGltZXN0YW1wPSIxNTIzOTIwMjc2Ij40NjM5PC9rZXk+PC9mb3JlaWduLWtleXM+PHJlZi10
eXBlIG5hbWU9IkpvdXJuYWwgQXJ0aWNsZSI+MTc8L3JlZi10eXBlPjxjb250cmlidXRvcnM+PGF1
dGhvcnM+PGF1dGhvcj5FbC1LaG91cnkgTGVzdWV1ciwgRi48L2F1dGhvcj48YXV0aG9yPkJvbHpl
LCBDLjwvYXV0aG9yPjxhdXRob3I+TWVsY2hpb3IsIE0uPC9hdXRob3I+PC9hdXRob3JzPjwvY29u
dHJpYnV0b3JzPjxhdXRoLWFkZHJlc3M+RGVwYXJ0bWVudCBvZiBTb2NpYWwgRXBpZGVtaW9sb2d5
LCBJTlNFUk0gVU1SX1MgMTEzNiwgUGllcnJlIExvdWlzIEluc3RpdHV0ZSBvZiBFcGlkZW1pb2xv
Z3kgYW5kIFB1YmxpYyBIZWFsdGgsIFBhcmlzLCBGcmFuY2U7IFNvcmJvbm5lIFVuaXZlcnNpdGVz
LCBVUE1DIFVuaXZlcnNpdHkgb2YgUGFyaXMgMDYsIFBhcmlzLCBGcmFuY2UuIEVsZWN0cm9uaWMg
YWRkcmVzczogZmFiaWVubmUua2hvdXJ5QGluc2VybS5mci4mI3hEO0RlcGFydG1lbnQgb2YgU29j
aWFsIEVwaWRlbWlvbG9neSwgSU5TRVJNIFVNUl9TIDExMzYsIFBpZXJyZSBMb3VpcyBJbnN0aXR1
dGUgb2YgRXBpZGVtaW9sb2d5IGFuZCBQdWJsaWMgSGVhbHRoLCBQYXJpcywgRnJhbmNlOyBTb3Ji
b25uZSBVbml2ZXJzaXRlcywgVVBNQyBVbml2ZXJzaXR5IG9mIFBhcmlzIDA2LCBQYXJpcywgRnJh
bmNlLjwvYXV0aC1hZGRyZXNzPjx0aXRsZXM+PHRpdGxlPkZhY3RvcnMgYXNzb2NpYXRlZCB3aXRo
IHN1Y2Nlc3NmdWwgdnMuIHVuc3VjY2Vzc2Z1bCBzbW9raW5nIGNlc3NhdGlvbjogRGF0YSBmcm9t
IGEgbmF0aW9uYWxseSByZXByZXNlbnRhdGl2ZSBzdHVkeTwvdGl0bGU+PHNlY29uZGFyeS10aXRs
ZT5BZGRpY3QgQmVoYXY8L3NlY29uZGFyeS10aXRsZT48YWx0LXRpdGxlPkFkZGljdGl2ZSBiZWhh
dmlvcnM8L2FsdC10aXRsZT48L3RpdGxlcz48YWx0LXBlcmlvZGljYWw+PGZ1bGwtdGl0bGU+QWRk
aWN0aXZlIEJlaGF2aW9yczwvZnVsbC10aXRsZT48L2FsdC1wZXJpb2RpY2FsPjxwYWdlcz4xMTAt
MTE1PC9wYWdlcz48dm9sdW1lPjgwPC92b2x1bWU+PGVkaXRpb24+MjAxOC8wMi8wNzwvZWRpdGlv
bj48a2V5d29yZHM+PGtleXdvcmQ+Q2Vzc2F0aW9uIHJlbGFwc2U8L2tleXdvcmQ+PGtleXdvcmQ+
RWxlY3Ryb25pYyBjaWdhcmV0dGVzPC9rZXl3b3JkPjxrZXl3b3JkPlNtb2tpbmcgY2Vzc2F0aW9u
PC9rZXl3b3JkPjwva2V5d29yZHM+PGRhdGVzPjx5ZWFyPjIwMTg8L3llYXI+PHB1Yi1kYXRlcz48
ZGF0ZT5GZWIgMTwvZGF0ZT48L3B1Yi1kYXRlcz48L2RhdGVzPjxpc2JuPjAzMDYtNDYwMzwvaXNi
bj48YWNjZXNzaW9uLW51bT4yOTQwNzY4MDwvYWNjZXNzaW9uLW51bT48dXJscz48cmVsYXRlZC11
cmxzPjx1cmw+aHR0cHM6Ly93d3cuc2NpZW5jZWRpcmVjdC5jb20vc2NpZW5jZS9hcnRpY2xlL3Bp
aS9TMDMwNjQ2MDMxODMwMDIwMD92aWElM0RpaHViPC91cmw+PC9yZWxhdGVkLXVybHM+PC91cmxz
PjxlbGVjdHJvbmljLXJlc291cmNlLW51bT4xMC4xMDE2L2ouYWRkYmVoLjIwMTguMDEuMDE2PC9l
bGVjdHJvbmljLXJlc291cmNlLW51bT48cmVtb3RlLWRhdGFiYXNlLXByb3ZpZGVyPk5MTTwvcmVt
b3RlLWRhdGFiYXNlLXByb3ZpZGVyPjxsYW5ndWFnZT5lbmc8L2xhbmd1YWdlPjwvcmVjb3JkPjwv
Q2l0ZT48Q2l0ZT48QXV0aG9yPkt1bGlrPC9BdXRob3I+PFllYXI+MjAxODwvWWVhcj48UmVjTnVt
PjQ2MDA8L1JlY051bT48cmVjb3JkPjxyZWMtbnVtYmVyPjQ2MDA8L3JlYy1udW1iZXI+PGZvcmVp
Z24ta2V5cz48a2V5IGFwcD0iRU4iIGRiLWlkPSI5ejA1ZHowcHJhYWRmdWVlMHpveHplZGs5emZl
NWZ4eDUwejUiIHRpbWVzdGFtcD0iMTUyMzkyMDIzNSI+NDYwMDwva2V5PjwvZm9yZWlnbi1rZXlz
PjxyZWYtdHlwZSBuYW1lPSJKb3VybmFsIEFydGljbGUiPjE3PC9yZWYtdHlwZT48Y29udHJpYnV0
b3JzPjxhdXRob3JzPjxhdXRob3I+S3VsaWssIE0uIEMuPC9hdXRob3I+PGF1dGhvcj5MaXNoYSwg
Ti4gRS48L2F1dGhvcj48YXV0aG9yPkdsYW50eiwgUy4gQS48L2F1dGhvcj48L2F1dGhvcnM+PC9j
b250cmlidXRvcnM+PGF1dGgtYWRkcmVzcz5DZW50ZXIgZm9yIFRvYmFjY28gQ29udHJvbCBSZXNl
YXJjaCBhbmQgRWR1Y2F0aW9uLCBVbml2ZXJzaXR5IG9mIENhbGlmb3JuaWEgU2FuIEZyYW5jaXNj
bywgU2FuIEZyYW5jaXNjbywgQ2FsaWZvcm5pYS4mI3hEO0NlbnRlciBmb3IgVG9iYWNjbyBDb250
cm9sIFJlc2VhcmNoIGFuZCBFZHVjYXRpb24sIFVuaXZlcnNpdHkgb2YgQ2FsaWZvcm5pYSBTYW4g
RnJhbmNpc2NvLCBTYW4gRnJhbmNpc2NvLCBDYWxpZm9ybmlhLiBFbGVjdHJvbmljIGFkZHJlc3M6
IGdsYW50ekBtZWRpY2luZS51Y3NmLmVkdS48L2F1dGgtYWRkcmVzcz48dGl0bGVzPjx0aXRsZT5F
LWNpZ2FyZXR0ZXMgQXNzb2NpYXRlZCBXaXRoIERlcHJlc3NlZCBTbW9raW5nIENlc3NhdGlvbjog
QSBDcm9zcy1zZWN0aW9uYWwgU3R1ZHkgb2YgMjggRXVyb3BlYW4gVW5pb24gQ291bnRyaWVzPC90
aXRsZT48c2Vjb25kYXJ5LXRpdGxlPkFtIEogUHJldiBNZWQ8L3NlY29uZGFyeS10aXRsZT48YWx0
LXRpdGxlPkFtZXJpY2FuIGpvdXJuYWwgb2YgcHJldmVudGl2ZSBtZWRpY2luZTwvYWx0LXRpdGxl
PjwvdGl0bGVzPjxhbHQtcGVyaW9kaWNhbD48ZnVsbC10aXRsZT5BbWVyaWNhbiBKb3VybmFsIG9m
IFByZXZlbnRpdmUgTWVkaWNpbmU8L2Z1bGwtdGl0bGU+PC9hbHQtcGVyaW9kaWNhbD48ZWRpdGlv
bj4yMDE4LzAyLzE3PC9lZGl0aW9uPjxkYXRlcz48eWVhcj4yMDE4PC95ZWFyPjxwdWItZGF0ZXM+
PGRhdGU+SmFuIDMxPC9kYXRlPjwvcHViLWRhdGVzPjwvZGF0ZXM+PGlzYm4+MDc0OS0zNzk3PC9p
c2JuPjxhY2Nlc3Npb24tbnVtPjI5NDQ5MTMyPC9hY2Nlc3Npb24tbnVtPjx1cmxzPjxyZWxhdGVk
LXVybHM+PHVybD5odHRwczovL3d3dy5zY2llbmNlZGlyZWN0LmNvbS9zY2llbmNlL2FydGljbGUv
cGlpL1MwNzQ5Mzc5NzE3MzA3NDkzP3ZpYSUzRGlodWI8L3VybD48L3JlbGF0ZWQtdXJscz48L3Vy
bHM+PGVsZWN0cm9uaWMtcmVzb3VyY2UtbnVtPjEwLjEwMTYvai5hbWVwcmUuMjAxNy4xMi4wMTc8
L2VsZWN0cm9uaWMtcmVzb3VyY2UtbnVtPjxyZW1vdGUtZGF0YWJhc2UtcHJvdmlkZXI+TkxNPC9y
ZW1vdGUtZGF0YWJhc2UtcHJvdmlkZXI+PGxhbmd1YWdlPmVuZzwvbGFuZ3VhZ2U+PC9yZWNvcmQ+
PC9DaXRlPjwvRW5kTm90ZT5=
</w:fldData>
        </w:fldChar>
      </w:r>
      <w:r w:rsidR="004E728C">
        <w:instrText xml:space="preserve"> ADDIN EN.CITE </w:instrText>
      </w:r>
      <w:r w:rsidR="004E728C">
        <w:fldChar w:fldCharType="begin">
          <w:fldData xml:space="preserve">PEVuZE5vdGU+PENpdGU+PEF1dGhvcj5FbC1LaG91cnkgTGVzdWV1cjwvQXV0aG9yPjxZZWFyPjIw
MTg8L1llYXI+PFJlY051bT40NjM5PC9SZWNOdW0+PERpc3BsYXlUZXh0PihFbC1LaG91cnkgTGVz
dWV1ciwgQm9semUgZXQgYWwuIDIwMTgsIEt1bGlrLCBMaXNoYSBldCBhbC4gMjAxOCk8L0Rpc3Bs
YXlUZXh0PjxyZWNvcmQ+PHJlYy1udW1iZXI+NDYzOTwvcmVjLW51bWJlcj48Zm9yZWlnbi1rZXlz
PjxrZXkgYXBwPSJFTiIgZGItaWQ9Ijl6MDVkejBwcmFhZGZ1ZWUwem94emVkazl6ZmU1Znh4NTB6
NSIgdGltZXN0YW1wPSIxNTIzOTIwMjc2Ij40NjM5PC9rZXk+PC9mb3JlaWduLWtleXM+PHJlZi10
eXBlIG5hbWU9IkpvdXJuYWwgQXJ0aWNsZSI+MTc8L3JlZi10eXBlPjxjb250cmlidXRvcnM+PGF1
dGhvcnM+PGF1dGhvcj5FbC1LaG91cnkgTGVzdWV1ciwgRi48L2F1dGhvcj48YXV0aG9yPkJvbHpl
LCBDLjwvYXV0aG9yPjxhdXRob3I+TWVsY2hpb3IsIE0uPC9hdXRob3I+PC9hdXRob3JzPjwvY29u
dHJpYnV0b3JzPjxhdXRoLWFkZHJlc3M+RGVwYXJ0bWVudCBvZiBTb2NpYWwgRXBpZGVtaW9sb2d5
LCBJTlNFUk0gVU1SX1MgMTEzNiwgUGllcnJlIExvdWlzIEluc3RpdHV0ZSBvZiBFcGlkZW1pb2xv
Z3kgYW5kIFB1YmxpYyBIZWFsdGgsIFBhcmlzLCBGcmFuY2U7IFNvcmJvbm5lIFVuaXZlcnNpdGVz
LCBVUE1DIFVuaXZlcnNpdHkgb2YgUGFyaXMgMDYsIFBhcmlzLCBGcmFuY2UuIEVsZWN0cm9uaWMg
YWRkcmVzczogZmFiaWVubmUua2hvdXJ5QGluc2VybS5mci4mI3hEO0RlcGFydG1lbnQgb2YgU29j
aWFsIEVwaWRlbWlvbG9neSwgSU5TRVJNIFVNUl9TIDExMzYsIFBpZXJyZSBMb3VpcyBJbnN0aXR1
dGUgb2YgRXBpZGVtaW9sb2d5IGFuZCBQdWJsaWMgSGVhbHRoLCBQYXJpcywgRnJhbmNlOyBTb3Ji
b25uZSBVbml2ZXJzaXRlcywgVVBNQyBVbml2ZXJzaXR5IG9mIFBhcmlzIDA2LCBQYXJpcywgRnJh
bmNlLjwvYXV0aC1hZGRyZXNzPjx0aXRsZXM+PHRpdGxlPkZhY3RvcnMgYXNzb2NpYXRlZCB3aXRo
IHN1Y2Nlc3NmdWwgdnMuIHVuc3VjY2Vzc2Z1bCBzbW9raW5nIGNlc3NhdGlvbjogRGF0YSBmcm9t
IGEgbmF0aW9uYWxseSByZXByZXNlbnRhdGl2ZSBzdHVkeTwvdGl0bGU+PHNlY29uZGFyeS10aXRs
ZT5BZGRpY3QgQmVoYXY8L3NlY29uZGFyeS10aXRsZT48YWx0LXRpdGxlPkFkZGljdGl2ZSBiZWhh
dmlvcnM8L2FsdC10aXRsZT48L3RpdGxlcz48YWx0LXBlcmlvZGljYWw+PGZ1bGwtdGl0bGU+QWRk
aWN0aXZlIEJlaGF2aW9yczwvZnVsbC10aXRsZT48L2FsdC1wZXJpb2RpY2FsPjxwYWdlcz4xMTAt
MTE1PC9wYWdlcz48dm9sdW1lPjgwPC92b2x1bWU+PGVkaXRpb24+MjAxOC8wMi8wNzwvZWRpdGlv
bj48a2V5d29yZHM+PGtleXdvcmQ+Q2Vzc2F0aW9uIHJlbGFwc2U8L2tleXdvcmQ+PGtleXdvcmQ+
RWxlY3Ryb25pYyBjaWdhcmV0dGVzPC9rZXl3b3JkPjxrZXl3b3JkPlNtb2tpbmcgY2Vzc2F0aW9u
PC9rZXl3b3JkPjwva2V5d29yZHM+PGRhdGVzPjx5ZWFyPjIwMTg8L3llYXI+PHB1Yi1kYXRlcz48
ZGF0ZT5GZWIgMTwvZGF0ZT48L3B1Yi1kYXRlcz48L2RhdGVzPjxpc2JuPjAzMDYtNDYwMzwvaXNi
bj48YWNjZXNzaW9uLW51bT4yOTQwNzY4MDwvYWNjZXNzaW9uLW51bT48dXJscz48cmVsYXRlZC11
cmxzPjx1cmw+aHR0cHM6Ly93d3cuc2NpZW5jZWRpcmVjdC5jb20vc2NpZW5jZS9hcnRpY2xlL3Bp
aS9TMDMwNjQ2MDMxODMwMDIwMD92aWElM0RpaHViPC91cmw+PC9yZWxhdGVkLXVybHM+PC91cmxz
PjxlbGVjdHJvbmljLXJlc291cmNlLW51bT4xMC4xMDE2L2ouYWRkYmVoLjIwMTguMDEuMDE2PC9l
bGVjdHJvbmljLXJlc291cmNlLW51bT48cmVtb3RlLWRhdGFiYXNlLXByb3ZpZGVyPk5MTTwvcmVt
b3RlLWRhdGFiYXNlLXByb3ZpZGVyPjxsYW5ndWFnZT5lbmc8L2xhbmd1YWdlPjwvcmVjb3JkPjwv
Q2l0ZT48Q2l0ZT48QXV0aG9yPkt1bGlrPC9BdXRob3I+PFllYXI+MjAxODwvWWVhcj48UmVjTnVt
PjQ2MDA8L1JlY051bT48cmVjb3JkPjxyZWMtbnVtYmVyPjQ2MDA8L3JlYy1udW1iZXI+PGZvcmVp
Z24ta2V5cz48a2V5IGFwcD0iRU4iIGRiLWlkPSI5ejA1ZHowcHJhYWRmdWVlMHpveHplZGs5emZl
NWZ4eDUwejUiIHRpbWVzdGFtcD0iMTUyMzkyMDIzNSI+NDYwMDwva2V5PjwvZm9yZWlnbi1rZXlz
PjxyZWYtdHlwZSBuYW1lPSJKb3VybmFsIEFydGljbGUiPjE3PC9yZWYtdHlwZT48Y29udHJpYnV0
b3JzPjxhdXRob3JzPjxhdXRob3I+S3VsaWssIE0uIEMuPC9hdXRob3I+PGF1dGhvcj5MaXNoYSwg
Ti4gRS48L2F1dGhvcj48YXV0aG9yPkdsYW50eiwgUy4gQS48L2F1dGhvcj48L2F1dGhvcnM+PC9j
b250cmlidXRvcnM+PGF1dGgtYWRkcmVzcz5DZW50ZXIgZm9yIFRvYmFjY28gQ29udHJvbCBSZXNl
YXJjaCBhbmQgRWR1Y2F0aW9uLCBVbml2ZXJzaXR5IG9mIENhbGlmb3JuaWEgU2FuIEZyYW5jaXNj
bywgU2FuIEZyYW5jaXNjbywgQ2FsaWZvcm5pYS4mI3hEO0NlbnRlciBmb3IgVG9iYWNjbyBDb250
cm9sIFJlc2VhcmNoIGFuZCBFZHVjYXRpb24sIFVuaXZlcnNpdHkgb2YgQ2FsaWZvcm5pYSBTYW4g
RnJhbmNpc2NvLCBTYW4gRnJhbmNpc2NvLCBDYWxpZm9ybmlhLiBFbGVjdHJvbmljIGFkZHJlc3M6
IGdsYW50ekBtZWRpY2luZS51Y3NmLmVkdS48L2F1dGgtYWRkcmVzcz48dGl0bGVzPjx0aXRsZT5F
LWNpZ2FyZXR0ZXMgQXNzb2NpYXRlZCBXaXRoIERlcHJlc3NlZCBTbW9raW5nIENlc3NhdGlvbjog
QSBDcm9zcy1zZWN0aW9uYWwgU3R1ZHkgb2YgMjggRXVyb3BlYW4gVW5pb24gQ291bnRyaWVzPC90
aXRsZT48c2Vjb25kYXJ5LXRpdGxlPkFtIEogUHJldiBNZWQ8L3NlY29uZGFyeS10aXRsZT48YWx0
LXRpdGxlPkFtZXJpY2FuIGpvdXJuYWwgb2YgcHJldmVudGl2ZSBtZWRpY2luZTwvYWx0LXRpdGxl
PjwvdGl0bGVzPjxhbHQtcGVyaW9kaWNhbD48ZnVsbC10aXRsZT5BbWVyaWNhbiBKb3VybmFsIG9m
IFByZXZlbnRpdmUgTWVkaWNpbmU8L2Z1bGwtdGl0bGU+PC9hbHQtcGVyaW9kaWNhbD48ZWRpdGlv
bj4yMDE4LzAyLzE3PC9lZGl0aW9uPjxkYXRlcz48eWVhcj4yMDE4PC95ZWFyPjxwdWItZGF0ZXM+
PGRhdGU+SmFuIDMxPC9kYXRlPjwvcHViLWRhdGVzPjwvZGF0ZXM+PGlzYm4+MDc0OS0zNzk3PC9p
c2JuPjxhY2Nlc3Npb24tbnVtPjI5NDQ5MTMyPC9hY2Nlc3Npb24tbnVtPjx1cmxzPjxyZWxhdGVk
LXVybHM+PHVybD5odHRwczovL3d3dy5zY2llbmNlZGlyZWN0LmNvbS9zY2llbmNlL2FydGljbGUv
cGlpL1MwNzQ5Mzc5NzE3MzA3NDkzP3ZpYSUzRGlodWI8L3VybD48L3JlbGF0ZWQtdXJscz48L3Vy
bHM+PGVsZWN0cm9uaWMtcmVzb3VyY2UtbnVtPjEwLjEwMTYvai5hbWVwcmUuMjAxNy4xMi4wMTc8
L2VsZWN0cm9uaWMtcmVzb3VyY2UtbnVtPjxyZW1vdGUtZGF0YWJhc2UtcHJvdmlkZXI+TkxNPC9y
ZW1vdGUtZGF0YWJhc2UtcHJvdmlkZXI+PGxhbmd1YWdlPmVuZzwvbGFuZ3VhZ2U+PC9yZWNvcmQ+
PC9DaXRlPjwvRW5kTm90ZT5=
</w:fldData>
        </w:fldChar>
      </w:r>
      <w:r w:rsidR="004E728C">
        <w:instrText xml:space="preserve"> ADDIN EN.CITE.DATA </w:instrText>
      </w:r>
      <w:r w:rsidR="004E728C">
        <w:fldChar w:fldCharType="end"/>
      </w:r>
      <w:r>
        <w:fldChar w:fldCharType="separate"/>
      </w:r>
      <w:r w:rsidR="004E728C">
        <w:rPr>
          <w:noProof/>
        </w:rPr>
        <w:t>(El-Khoury Lesueur, Bolze et al. 2018, Kulik, Lisha et al. 2018)</w:t>
      </w:r>
      <w:r>
        <w:fldChar w:fldCharType="end"/>
      </w:r>
      <w:r>
        <w:t xml:space="preserve">. The first was a secondary analysis of the 2016 </w:t>
      </w:r>
      <w:r w:rsidRPr="002375F6">
        <w:t>DePICT (Description des Perceptions, Images, et Comportements liés au Tabagisme)</w:t>
      </w:r>
      <w:r>
        <w:t xml:space="preserve"> survey, a nationally representative survey conducted in France. The researchers recruited 2,110 smokers through randomly generated telephone numbers and had a 67% response rate. Age and gender were not reported. They determined key factors associated with successful smoking cessation; </w:t>
      </w:r>
      <w:r w:rsidRPr="002375F6">
        <w:t>smoking&gt;19 cigarettes per day, no lifetime use of e</w:t>
      </w:r>
      <w:r>
        <w:noBreakHyphen/>
      </w:r>
      <w:r w:rsidRPr="002375F6">
        <w:t>cigarettes (OR</w:t>
      </w:r>
      <w:r>
        <w:t>=</w:t>
      </w:r>
      <w:r w:rsidRPr="002375F6">
        <w:t>6.05, 95% CI, 462–7.92), no lifetime use of nicotine replacement products, no exposure to environmental tobacco, and no cannabis use</w:t>
      </w:r>
      <w:r>
        <w:t xml:space="preserve"> </w:t>
      </w:r>
      <w:r>
        <w:fldChar w:fldCharType="begin"/>
      </w:r>
      <w:r w:rsidR="004E728C">
        <w:instrText xml:space="preserve"> ADDIN EN.CITE &lt;EndNote&gt;&lt;Cite&gt;&lt;Author&gt;El-Khoury Lesueur&lt;/Author&gt;&lt;Year&gt;2018&lt;/Year&gt;&lt;RecNum&gt;4639&lt;/RecNum&gt;&lt;DisplayText&gt;(El-Khoury Lesueur, Bolze et al. 2018)&lt;/DisplayText&gt;&lt;record&gt;&lt;rec-number&gt;4639&lt;/rec-number&gt;&lt;foreign-keys&gt;&lt;key app="EN" db-id="9z05dz0praadfuee0zoxzedk9zfe5fxx50z5" timestamp="1523920276"&gt;4639&lt;/key&gt;&lt;/foreign-keys&gt;&lt;ref-type name="Journal Article"&gt;17&lt;/ref-type&gt;&lt;contributors&gt;&lt;authors&gt;&lt;author&gt;El-Khoury Lesueur, F.&lt;/author&gt;&lt;author&gt;Bolze, C.&lt;/author&gt;&lt;author&gt;Melchior, M.&lt;/author&gt;&lt;/authors&gt;&lt;/contributors&gt;&lt;auth-address&gt;Department of Social Epidemiology, INSERM UMR_S 1136, Pierre Louis Institute of Epidemiology and Public Health, Paris, France; Sorbonne Universites, UPMC University of Paris 06, Paris, France. Electronic address: fabienne.khoury@inserm.fr.&amp;#xD;Department of Social Epidemiology, INSERM UMR_S 1136, Pierre Louis Institute of Epidemiology and Public Health, Paris, France; Sorbonne Universites, UPMC University of Paris 06, Paris, France.&lt;/auth-address&gt;&lt;titles&gt;&lt;title&gt;Factors associated with successful vs. unsuccessful smoking cessation: Data from a nationally representative study&lt;/title&gt;&lt;secondary-title&gt;Addict Behav&lt;/secondary-title&gt;&lt;alt-title&gt;Addictive behaviors&lt;/alt-title&gt;&lt;/titles&gt;&lt;alt-periodical&gt;&lt;full-title&gt;Addictive Behaviors&lt;/full-title&gt;&lt;/alt-periodical&gt;&lt;pages&gt;110-115&lt;/pages&gt;&lt;volume&gt;80&lt;/volume&gt;&lt;edition&gt;2018/02/07&lt;/edition&gt;&lt;keywords&gt;&lt;keyword&gt;Cessation relapse&lt;/keyword&gt;&lt;keyword&gt;Electronic cigarettes&lt;/keyword&gt;&lt;keyword&gt;Smoking cessation&lt;/keyword&gt;&lt;/keywords&gt;&lt;dates&gt;&lt;year&gt;2018&lt;/year&gt;&lt;pub-dates&gt;&lt;date&gt;Feb 1&lt;/date&gt;&lt;/pub-dates&gt;&lt;/dates&gt;&lt;isbn&gt;0306-4603&lt;/isbn&gt;&lt;accession-num&gt;29407680&lt;/accession-num&gt;&lt;urls&gt;&lt;related-urls&gt;&lt;url&gt;https://www.sciencedirect.com/science/article/pii/S0306460318300200?via%3Dihub&lt;/url&gt;&lt;/related-urls&gt;&lt;/urls&gt;&lt;electronic-resource-num&gt;10.1016/j.addbeh.2018.01.016&lt;/electronic-resource-num&gt;&lt;remote-database-provider&gt;NLM&lt;/remote-database-provider&gt;&lt;language&gt;eng&lt;/language&gt;&lt;/record&gt;&lt;/Cite&gt;&lt;/EndNote&gt;</w:instrText>
      </w:r>
      <w:r>
        <w:fldChar w:fldCharType="separate"/>
      </w:r>
      <w:r w:rsidR="004E728C">
        <w:rPr>
          <w:noProof/>
        </w:rPr>
        <w:t>(El-Khoury Lesueur, Bolze et al. 2018)</w:t>
      </w:r>
      <w:r>
        <w:fldChar w:fldCharType="end"/>
      </w:r>
      <w:r w:rsidRPr="002375F6">
        <w:t>.</w:t>
      </w:r>
      <w:r>
        <w:t xml:space="preserve"> </w:t>
      </w:r>
    </w:p>
    <w:p w14:paraId="00FEA066" w14:textId="77777777" w:rsidR="002738DD" w:rsidRDefault="002738DD" w:rsidP="002738DD">
      <w:pPr>
        <w:pStyle w:val="BodyText"/>
      </w:pPr>
      <w:r>
        <w:t>The second was a secondary analysis of nationally representative surveys of European countries (including UK), using data from the 2014 Eurobarometer survey. This survey included 12,608 current (54.4%) and former (45.6%) smokers. A multistage probability sample was conducted and participants were interviewed in their homes. Participants had a mean age of 49.9(</w:t>
      </w:r>
      <w:r>
        <w:rPr>
          <w:rFonts w:cs="Calibri"/>
        </w:rPr>
        <w:t>±</w:t>
      </w:r>
      <w:r>
        <w:t>16.8) years and 55.6% were male. The response rate was not reported. Both unadjusted and adjusted models of the data revealed that daily, occasional or experimental use of nicotine</w:t>
      </w:r>
      <w:r>
        <w:noBreakHyphen/>
        <w:t>containing e</w:t>
      </w:r>
      <w:r>
        <w:noBreakHyphen/>
        <w:t xml:space="preserve">cigarettes was associated with lower odds of being a former, rather than current, smoker (adjusted models: </w:t>
      </w:r>
      <w:r w:rsidRPr="006A472E">
        <w:t>daily use OR</w:t>
      </w:r>
      <w:r>
        <w:t>=</w:t>
      </w:r>
      <w:r w:rsidRPr="006A472E">
        <w:t>0.52, 95% CI</w:t>
      </w:r>
      <w:r>
        <w:t>=</w:t>
      </w:r>
      <w:r w:rsidRPr="006A472E">
        <w:t>0.36, 0.73; occasional use</w:t>
      </w:r>
      <w:r>
        <w:t xml:space="preserve"> </w:t>
      </w:r>
      <w:r w:rsidRPr="006A472E">
        <w:t>OR</w:t>
      </w:r>
      <w:r>
        <w:t>=</w:t>
      </w:r>
      <w:r w:rsidRPr="006A472E">
        <w:t>0.33, 95% CI</w:t>
      </w:r>
      <w:r>
        <w:t>=</w:t>
      </w:r>
      <w:r w:rsidRPr="006A472E">
        <w:t>0.23, 0.47; and experimentation OR</w:t>
      </w:r>
      <w:r>
        <w:t>=0</w:t>
      </w:r>
      <w:r w:rsidRPr="006A472E">
        <w:t>.32, 95% CI</w:t>
      </w:r>
      <w:r>
        <w:t>=</w:t>
      </w:r>
      <w:r w:rsidRPr="006A472E">
        <w:t>0.25, 0.41</w:t>
      </w:r>
      <w:r>
        <w:t>). This was in comparison to participants who had never used e</w:t>
      </w:r>
      <w:r>
        <w:noBreakHyphen/>
        <w:t xml:space="preserve">cigarettes. When analysed using just the Great Britain data, results were similar </w:t>
      </w:r>
      <w:r>
        <w:fldChar w:fldCharType="begin"/>
      </w:r>
      <w:r>
        <w:instrText xml:space="preserve"> ADDIN EN.CITE &lt;EndNote&gt;&lt;Cite&gt;&lt;Author&gt;Kulik&lt;/Author&gt;&lt;Year&gt;2018&lt;/Year&gt;&lt;RecNum&gt;4600&lt;/RecNum&gt;&lt;DisplayText&gt;(Kulik, Lisha et al. 2018)&lt;/DisplayText&gt;&lt;record&gt;&lt;rec-number&gt;4600&lt;/rec-number&gt;&lt;foreign-keys&gt;&lt;key app="EN" db-id="9z05dz0praadfuee0zoxzedk9zfe5fxx50z5" timestamp="1523920235"&gt;4600&lt;/key&gt;&lt;/foreign-keys&gt;&lt;ref-type name="Journal Article"&gt;17&lt;/ref-type&gt;&lt;contributors&gt;&lt;authors&gt;&lt;author&gt;Kulik, M. C.&lt;/author&gt;&lt;author&gt;Lisha, N. E.&lt;/author&gt;&lt;author&gt;Glantz, S. A.&lt;/author&gt;&lt;/authors&gt;&lt;/contributors&gt;&lt;auth-address&gt;Center for Tobacco Control Research and Education, University of California San Francisco, San Francisco, California.&amp;#xD;Center for Tobacco Control Research and Education, University of California San Francisco, San Francisco, California. Electronic address: glantz@medicine.ucsf.edu.&lt;/auth-address&gt;&lt;titles&gt;&lt;title&gt;E-cigarettes Associated With Depressed Smoking Cessation: A Cross-sectional Study of 28 European Union Countries&lt;/title&gt;&lt;secondary-title&gt;Am J Prev Med&lt;/secondary-title&gt;&lt;alt-title&gt;American journal of preventive medicine&lt;/alt-title&gt;&lt;/titles&gt;&lt;alt-periodical&gt;&lt;full-title&gt;American Journal of Preventive Medicine&lt;/full-title&gt;&lt;/alt-periodical&gt;&lt;edition&gt;2018/02/17&lt;/edition&gt;&lt;dates&gt;&lt;year&gt;2018&lt;/year&gt;&lt;pub-dates&gt;&lt;date&gt;Jan 31&lt;/date&gt;&lt;/pub-dates&gt;&lt;/dates&gt;&lt;isbn&gt;0749-3797&lt;/isbn&gt;&lt;accession-num&gt;29449132&lt;/accession-num&gt;&lt;urls&gt;&lt;related-urls&gt;&lt;url&gt;https://www.sciencedirect.com/science/article/pii/S0749379717307493?via%3Dihub&lt;/url&gt;&lt;/related-urls&gt;&lt;/urls&gt;&lt;electronic-resource-num&gt;10.1016/j.amepre.2017.12.017&lt;/electronic-resource-num&gt;&lt;remote-database-provider&gt;NLM&lt;/remote-database-provider&gt;&lt;language&gt;eng&lt;/language&gt;&lt;/record&gt;&lt;/Cite&gt;&lt;/EndNote&gt;</w:instrText>
      </w:r>
      <w:r>
        <w:fldChar w:fldCharType="separate"/>
      </w:r>
      <w:r>
        <w:rPr>
          <w:noProof/>
        </w:rPr>
        <w:t>(Kulik, Lisha et al. 2018)</w:t>
      </w:r>
      <w:r>
        <w:fldChar w:fldCharType="end"/>
      </w:r>
      <w:r>
        <w:t xml:space="preserve">. </w:t>
      </w:r>
    </w:p>
    <w:p w14:paraId="435C1FFA" w14:textId="77777777" w:rsidR="002738DD" w:rsidRDefault="002738DD" w:rsidP="002738DD">
      <w:pPr>
        <w:pStyle w:val="BodyText"/>
      </w:pPr>
    </w:p>
    <w:p w14:paraId="40439921" w14:textId="77777777" w:rsidR="002738DD" w:rsidRPr="0045417F" w:rsidRDefault="002738DD" w:rsidP="002738DD">
      <w:pPr>
        <w:pStyle w:val="Heading3"/>
      </w:pPr>
      <w:r>
        <w:t>Conclusions</w:t>
      </w:r>
    </w:p>
    <w:p w14:paraId="7C566E16" w14:textId="66D89E7D" w:rsidR="002738DD" w:rsidRDefault="002738DD" w:rsidP="002738DD">
      <w:pPr>
        <w:pStyle w:val="BodyText"/>
      </w:pPr>
      <w:r>
        <w:t>The majority of observational studies did not support a positive association between e</w:t>
      </w:r>
      <w:r>
        <w:noBreakHyphen/>
        <w:t>cigarette use and smoking cessation, when compared with non</w:t>
      </w:r>
      <w:r>
        <w:noBreakHyphen/>
        <w:t>users of e</w:t>
      </w:r>
      <w:r>
        <w:noBreakHyphen/>
        <w:t>cigarettes. Uncontrolled trials indicated a possible relationship between e</w:t>
      </w:r>
      <w:r>
        <w:noBreakHyphen/>
        <w:t>cigarette use and ability to cease smoking for short durations (</w:t>
      </w:r>
      <w:r w:rsidR="0063433E">
        <w:t>three</w:t>
      </w:r>
      <w:r>
        <w:t xml:space="preserve"> days to </w:t>
      </w:r>
      <w:r w:rsidR="0063433E">
        <w:t>four</w:t>
      </w:r>
      <w:r>
        <w:t xml:space="preserve"> weeks). However, long</w:t>
      </w:r>
      <w:r>
        <w:noBreakHyphen/>
        <w:t>term cessation was not measured in these studies. Results from randomised controlled trials indicated that nicotine</w:t>
      </w:r>
      <w:r>
        <w:noBreakHyphen/>
        <w:t>containing e</w:t>
      </w:r>
      <w:r>
        <w:noBreakHyphen/>
        <w:t>cigarettes were more effective at reducing amount of smoking and withdrawal symptoms compared to nicotine</w:t>
      </w:r>
      <w:r>
        <w:noBreakHyphen/>
        <w:t>free e</w:t>
      </w:r>
      <w:r>
        <w:noBreakHyphen/>
        <w:t>cigarettes or no e</w:t>
      </w:r>
      <w:r>
        <w:noBreakHyphen/>
        <w:t>cigarettes. However, randomised controlled trials did not find significant associations between e</w:t>
      </w:r>
      <w:r>
        <w:noBreakHyphen/>
        <w:t>cigarette use and smoking cessation.</w:t>
      </w:r>
      <w:r w:rsidRPr="00D462F1">
        <w:t xml:space="preserve"> </w:t>
      </w:r>
      <w:r>
        <w:t>They were also limited by duration; with the reviewed trials lasting no longer than 24 weeks. This means that long</w:t>
      </w:r>
      <w:r>
        <w:noBreakHyphen/>
        <w:t>term smoking cessation could not be measured. Critically, trials did not compare e</w:t>
      </w:r>
      <w:r>
        <w:noBreakHyphen/>
        <w:t>cigarettes with other smoking cessation methods. Thus, conclusions cannot be made about the effectiveness of e</w:t>
      </w:r>
      <w:r>
        <w:noBreakHyphen/>
        <w:t xml:space="preserve">cigarettes when compared with other smoking cessation methods. </w:t>
      </w:r>
    </w:p>
    <w:p w14:paraId="1ACA3FCD" w14:textId="77777777" w:rsidR="002738DD" w:rsidRDefault="002738DD" w:rsidP="002738DD">
      <w:pPr>
        <w:pStyle w:val="BodyText"/>
      </w:pPr>
    </w:p>
    <w:p w14:paraId="5BFE4E0C" w14:textId="77777777" w:rsidR="002738DD" w:rsidRDefault="002738DD" w:rsidP="002738DD">
      <w:pPr>
        <w:pStyle w:val="Heading3"/>
      </w:pPr>
      <w:r>
        <w:t>Key findings</w:t>
      </w:r>
    </w:p>
    <w:p w14:paraId="46051380" w14:textId="77777777" w:rsidR="002738DD" w:rsidRDefault="002738DD" w:rsidP="002738DD">
      <w:pPr>
        <w:pStyle w:val="BodyText"/>
        <w:numPr>
          <w:ilvl w:val="0"/>
          <w:numId w:val="69"/>
        </w:numPr>
      </w:pPr>
      <w:r>
        <w:t>E</w:t>
      </w:r>
      <w:r>
        <w:noBreakHyphen/>
        <w:t>cigarettes can help people to quit smoking for a short period of time (up to 24 weeks).</w:t>
      </w:r>
    </w:p>
    <w:p w14:paraId="4BC9F9FA" w14:textId="77777777" w:rsidR="002738DD" w:rsidRDefault="002738DD" w:rsidP="002738DD">
      <w:pPr>
        <w:pStyle w:val="BodyText"/>
        <w:numPr>
          <w:ilvl w:val="0"/>
          <w:numId w:val="69"/>
        </w:numPr>
      </w:pPr>
      <w:r>
        <w:lastRenderedPageBreak/>
        <w:t>Nicotine</w:t>
      </w:r>
      <w:r>
        <w:noBreakHyphen/>
        <w:t>containing e</w:t>
      </w:r>
      <w:r>
        <w:noBreakHyphen/>
        <w:t>cigarettes are more effective at helping to quit smoking than nicotine</w:t>
      </w:r>
      <w:r>
        <w:noBreakHyphen/>
        <w:t>free e</w:t>
      </w:r>
      <w:r>
        <w:noBreakHyphen/>
        <w:t xml:space="preserve">cigarettes. </w:t>
      </w:r>
    </w:p>
    <w:p w14:paraId="1E87DBEA" w14:textId="77777777" w:rsidR="002738DD" w:rsidRPr="009D5BDE" w:rsidRDefault="002738DD" w:rsidP="002738DD">
      <w:pPr>
        <w:pStyle w:val="BodyText"/>
        <w:numPr>
          <w:ilvl w:val="0"/>
          <w:numId w:val="69"/>
        </w:numPr>
      </w:pPr>
      <w:r>
        <w:t>I</w:t>
      </w:r>
      <w:r w:rsidRPr="009D5BDE">
        <w:t>t is un</w:t>
      </w:r>
      <w:r>
        <w:t>clear</w:t>
      </w:r>
      <w:r w:rsidRPr="009D5BDE">
        <w:t xml:space="preserve"> whether e</w:t>
      </w:r>
      <w:r>
        <w:noBreakHyphen/>
      </w:r>
      <w:r w:rsidRPr="009D5BDE">
        <w:t>cigarettes are able to help people quit smoking permanently.</w:t>
      </w:r>
    </w:p>
    <w:p w14:paraId="5D0C6FA8" w14:textId="77777777" w:rsidR="002738DD" w:rsidRDefault="002738DD" w:rsidP="002738DD">
      <w:pPr>
        <w:pStyle w:val="BodyText"/>
        <w:numPr>
          <w:ilvl w:val="0"/>
          <w:numId w:val="69"/>
        </w:numPr>
      </w:pPr>
      <w:r>
        <w:t>It is not known whether e</w:t>
      </w:r>
      <w:r>
        <w:noBreakHyphen/>
        <w:t xml:space="preserve">cigarettes are as effective as other smoking cessation methods (e.g. nicotine patches, counselling). </w:t>
      </w:r>
    </w:p>
    <w:p w14:paraId="41245D18" w14:textId="77777777" w:rsidR="002738DD" w:rsidRPr="002738DD" w:rsidRDefault="002738DD" w:rsidP="004E728C">
      <w:pPr>
        <w:pStyle w:val="BodyText"/>
        <w:numPr>
          <w:ilvl w:val="0"/>
          <w:numId w:val="69"/>
        </w:numPr>
      </w:pPr>
      <w:r>
        <w:t>Long</w:t>
      </w:r>
      <w:r>
        <w:noBreakHyphen/>
        <w:t>term randomised controlled trials need to be conducted which compare e</w:t>
      </w:r>
      <w:r>
        <w:noBreakHyphen/>
        <w:t xml:space="preserve">cigarettes to other smoking cessation methods. </w:t>
      </w:r>
    </w:p>
    <w:p w14:paraId="2B142C20" w14:textId="77777777" w:rsidR="00753345" w:rsidRDefault="00753345" w:rsidP="00FC7160">
      <w:pPr>
        <w:pStyle w:val="BodyText"/>
      </w:pPr>
    </w:p>
    <w:p w14:paraId="3FED8943" w14:textId="77777777" w:rsidR="00A53F7E" w:rsidRPr="00AB590B" w:rsidRDefault="00A96BC4" w:rsidP="00A53F7E">
      <w:pPr>
        <w:pStyle w:val="Heading2"/>
      </w:pPr>
      <w:r>
        <w:t xml:space="preserve"> </w:t>
      </w:r>
      <w:bookmarkStart w:id="137" w:name="_Toc517706688"/>
      <w:r w:rsidR="00A53F7E" w:rsidRPr="00AB590B">
        <w:t>What the new studies add to what is already known about e</w:t>
      </w:r>
      <w:r w:rsidR="00A53F7E" w:rsidRPr="00AB590B">
        <w:noBreakHyphen/>
        <w:t>cigarettes</w:t>
      </w:r>
      <w:bookmarkEnd w:id="137"/>
    </w:p>
    <w:p w14:paraId="16B7ADAD" w14:textId="77777777" w:rsidR="001F6951" w:rsidRDefault="001F6951" w:rsidP="001F6951">
      <w:pPr>
        <w:pStyle w:val="BodyText"/>
      </w:pPr>
      <w:r>
        <w:t xml:space="preserve">Studies summarised in this report generally support the findings from the US Academies of Science report: </w:t>
      </w:r>
    </w:p>
    <w:p w14:paraId="1F8E93A0" w14:textId="77777777" w:rsidR="001F6951" w:rsidRDefault="001F6951" w:rsidP="001F6951">
      <w:pPr>
        <w:pStyle w:val="BodyText"/>
        <w:ind w:left="720"/>
      </w:pPr>
      <w:r>
        <w:t>Conclusion 17</w:t>
      </w:r>
      <w:r>
        <w:noBreakHyphen/>
        <w:t xml:space="preserve">1. </w:t>
      </w:r>
      <w:r w:rsidRPr="00F97581">
        <w:rPr>
          <w:i/>
        </w:rPr>
        <w:t xml:space="preserve">Overall, there is </w:t>
      </w:r>
      <w:r w:rsidRPr="00F97581">
        <w:rPr>
          <w:b/>
          <w:i/>
        </w:rPr>
        <w:t>limited evidence</w:t>
      </w:r>
      <w:r w:rsidRPr="00F97581">
        <w:rPr>
          <w:i/>
        </w:rPr>
        <w:t xml:space="preserve"> that e</w:t>
      </w:r>
      <w:r>
        <w:rPr>
          <w:i/>
        </w:rPr>
        <w:noBreakHyphen/>
      </w:r>
      <w:r w:rsidRPr="00F97581">
        <w:rPr>
          <w:i/>
        </w:rPr>
        <w:t>cigarettes may be effective aids to promote smoking cessation.</w:t>
      </w:r>
      <w:r>
        <w:t xml:space="preserve"> </w:t>
      </w:r>
    </w:p>
    <w:p w14:paraId="3BC2296E" w14:textId="77777777" w:rsidR="001F6951" w:rsidRPr="00F97581" w:rsidRDefault="001F6951" w:rsidP="001F6951">
      <w:pPr>
        <w:pStyle w:val="BodyText"/>
        <w:ind w:left="720"/>
        <w:rPr>
          <w:i/>
        </w:rPr>
      </w:pPr>
      <w:r>
        <w:t>Conclusion 17</w:t>
      </w:r>
      <w:r>
        <w:noBreakHyphen/>
        <w:t xml:space="preserve">2. </w:t>
      </w:r>
      <w:r w:rsidRPr="00F97581">
        <w:rPr>
          <w:i/>
        </w:rPr>
        <w:t xml:space="preserve">There is </w:t>
      </w:r>
      <w:r w:rsidRPr="00F97581">
        <w:rPr>
          <w:b/>
          <w:i/>
        </w:rPr>
        <w:t>moderate evidence</w:t>
      </w:r>
      <w:r w:rsidRPr="00F97581">
        <w:rPr>
          <w:i/>
        </w:rPr>
        <w:t xml:space="preserve"> from randomized controlled trials that e</w:t>
      </w:r>
      <w:r>
        <w:rPr>
          <w:i/>
        </w:rPr>
        <w:noBreakHyphen/>
      </w:r>
      <w:r w:rsidRPr="00F97581">
        <w:rPr>
          <w:i/>
        </w:rPr>
        <w:t>cigarettes with nicotine are more effective than e</w:t>
      </w:r>
      <w:r>
        <w:rPr>
          <w:i/>
        </w:rPr>
        <w:noBreakHyphen/>
      </w:r>
      <w:r w:rsidRPr="00F97581">
        <w:rPr>
          <w:i/>
        </w:rPr>
        <w:t>cigarettes without nicotine for smoking cessation.</w:t>
      </w:r>
    </w:p>
    <w:p w14:paraId="22BC45AB" w14:textId="77777777" w:rsidR="001F6951" w:rsidRDefault="001F6951" w:rsidP="001F6951">
      <w:pPr>
        <w:pStyle w:val="BodyText"/>
        <w:ind w:left="720"/>
      </w:pPr>
      <w:r>
        <w:t>Conclusion 17</w:t>
      </w:r>
      <w:r>
        <w:noBreakHyphen/>
        <w:t xml:space="preserve">3. </w:t>
      </w:r>
      <w:r w:rsidRPr="00F97581">
        <w:rPr>
          <w:i/>
        </w:rPr>
        <w:t xml:space="preserve">There is </w:t>
      </w:r>
      <w:r w:rsidRPr="00F97581">
        <w:rPr>
          <w:b/>
          <w:i/>
        </w:rPr>
        <w:t>insufficient evidence</w:t>
      </w:r>
      <w:r w:rsidRPr="00F97581">
        <w:rPr>
          <w:i/>
        </w:rPr>
        <w:t xml:space="preserve"> from randomized controlled trials about the effectiveness of e</w:t>
      </w:r>
      <w:r>
        <w:rPr>
          <w:i/>
        </w:rPr>
        <w:noBreakHyphen/>
      </w:r>
      <w:r w:rsidRPr="00F97581">
        <w:rPr>
          <w:i/>
        </w:rPr>
        <w:t>cigarettes as cessation aids compared with no treatment or to Food and Drug Administration–approved smoking cessation treatments.</w:t>
      </w:r>
      <w:r>
        <w:t xml:space="preserve"> </w:t>
      </w:r>
    </w:p>
    <w:p w14:paraId="2BC96965" w14:textId="77777777" w:rsidR="001F6951" w:rsidRDefault="001F6951" w:rsidP="001F6951">
      <w:pPr>
        <w:pStyle w:val="BodyText"/>
        <w:ind w:left="720"/>
      </w:pPr>
      <w:r>
        <w:t>Conclusion 17</w:t>
      </w:r>
      <w:r>
        <w:noBreakHyphen/>
        <w:t xml:space="preserve">4. </w:t>
      </w:r>
      <w:r w:rsidRPr="00F97581">
        <w:rPr>
          <w:i/>
        </w:rPr>
        <w:t xml:space="preserve">While the overall evidence from observational trials is mixed, there is </w:t>
      </w:r>
      <w:r w:rsidRPr="00F97581">
        <w:rPr>
          <w:b/>
          <w:i/>
        </w:rPr>
        <w:t>moderate evidence</w:t>
      </w:r>
      <w:r w:rsidRPr="00F97581">
        <w:rPr>
          <w:i/>
        </w:rPr>
        <w:t xml:space="preserve"> from observational studies that more frequent use of e</w:t>
      </w:r>
      <w:r>
        <w:rPr>
          <w:i/>
        </w:rPr>
        <w:noBreakHyphen/>
      </w:r>
      <w:r w:rsidRPr="00F97581">
        <w:rPr>
          <w:i/>
        </w:rPr>
        <w:t>cigarettes is associated with increased likelihood of cessation.</w:t>
      </w:r>
      <w:r>
        <w:t xml:space="preserve"> </w:t>
      </w:r>
    </w:p>
    <w:p w14:paraId="68DD0AFA" w14:textId="77777777" w:rsidR="001F6951" w:rsidRDefault="001F6951" w:rsidP="001F6951">
      <w:pPr>
        <w:pStyle w:val="BodyText"/>
      </w:pPr>
      <w:r>
        <w:t>In particular, the new studies outlined in this report provide further evidence for conclusion 17</w:t>
      </w:r>
      <w:r>
        <w:noBreakHyphen/>
        <w:t>2. While the above report found limited evidence for smoking cessation, the most recent evidence suggests that the association between e</w:t>
      </w:r>
      <w:r>
        <w:noBreakHyphen/>
        <w:t>cigarette use and smoking cessation may even be negative (i.e. e</w:t>
      </w:r>
      <w:r>
        <w:noBreakHyphen/>
        <w:t>cigarette use is counterproductive for smoking cessation). However, more evidence is needed before a conclusion can be made.</w:t>
      </w:r>
    </w:p>
    <w:p w14:paraId="02FAF702" w14:textId="77777777" w:rsidR="001F6951" w:rsidRDefault="001F6951" w:rsidP="001F6951">
      <w:pPr>
        <w:pStyle w:val="BodyText"/>
      </w:pPr>
      <w:r>
        <w:t>The Public Health England e</w:t>
      </w:r>
      <w:r>
        <w:noBreakHyphen/>
        <w:t xml:space="preserve">cigarette review found the following key findings: </w:t>
      </w:r>
    </w:p>
    <w:p w14:paraId="70E2C790" w14:textId="427F8893" w:rsidR="001F6951" w:rsidRPr="00FE4FF4" w:rsidRDefault="001F6951" w:rsidP="001F6951">
      <w:pPr>
        <w:pStyle w:val="ListParagraph"/>
        <w:numPr>
          <w:ilvl w:val="0"/>
          <w:numId w:val="70"/>
        </w:numPr>
        <w:rPr>
          <w:i/>
        </w:rPr>
      </w:pPr>
      <w:r w:rsidRPr="00FE4FF4">
        <w:rPr>
          <w:i/>
        </w:rPr>
        <w:t>E</w:t>
      </w:r>
      <w:r w:rsidRPr="00FE4FF4">
        <w:rPr>
          <w:i/>
        </w:rPr>
        <w:noBreakHyphen/>
        <w:t>cigarette use, alone or in combination with licensed medication and behavioural support from a Stop Smoking Service, appear to be helpful in the short term. However, fewer smokers use an e</w:t>
      </w:r>
      <w:r w:rsidRPr="00FE4FF4">
        <w:rPr>
          <w:i/>
        </w:rPr>
        <w:noBreakHyphen/>
        <w:t>cigarette as part of a quit attempt with a Stop Smoking Service compared with licensed medication.</w:t>
      </w:r>
      <w:r w:rsidR="008146F9">
        <w:rPr>
          <w:i/>
        </w:rPr>
        <w:t xml:space="preserve"> </w:t>
      </w:r>
    </w:p>
    <w:p w14:paraId="470ED63A" w14:textId="7FCC8346" w:rsidR="001F6951" w:rsidRPr="00FE4FF4" w:rsidRDefault="001F6951" w:rsidP="001F6951">
      <w:pPr>
        <w:pStyle w:val="ListParagraph"/>
        <w:numPr>
          <w:ilvl w:val="0"/>
          <w:numId w:val="70"/>
        </w:numPr>
        <w:rPr>
          <w:i/>
        </w:rPr>
      </w:pPr>
      <w:r w:rsidRPr="00FE4FF4">
        <w:rPr>
          <w:i/>
        </w:rPr>
        <w:t>We identified 14 systematic reviews of e</w:t>
      </w:r>
      <w:r w:rsidRPr="00FE4FF4">
        <w:rPr>
          <w:i/>
        </w:rPr>
        <w:noBreakHyphen/>
        <w:t>cigarettes for smoking cessation and /or reduction published since our last report, seven of which included a meta</w:t>
      </w:r>
      <w:r w:rsidRPr="00FE4FF4">
        <w:rPr>
          <w:i/>
        </w:rPr>
        <w:noBreakHyphen/>
        <w:t>analysis. The authors of the systematic reviews arrived at the same conclusion that further randomised controlled trials of e</w:t>
      </w:r>
      <w:r w:rsidRPr="00FE4FF4">
        <w:rPr>
          <w:i/>
        </w:rPr>
        <w:noBreakHyphen/>
        <w:t>cigarettes are needed. However, the reviews that included a meta</w:t>
      </w:r>
      <w:r w:rsidRPr="00FE4FF4">
        <w:rPr>
          <w:i/>
        </w:rPr>
        <w:noBreakHyphen/>
        <w:t xml:space="preserve">analysis produced </w:t>
      </w:r>
      <w:r w:rsidRPr="00FE4FF4">
        <w:rPr>
          <w:i/>
        </w:rPr>
        <w:lastRenderedPageBreak/>
        <w:t>different results; two found a positive effect on cessation for e</w:t>
      </w:r>
      <w:r w:rsidRPr="00FE4FF4">
        <w:rPr>
          <w:i/>
        </w:rPr>
        <w:noBreakHyphen/>
        <w:t>cigarette use, four found an inconclusive effect for cessation and one found a negative effect.</w:t>
      </w:r>
      <w:r w:rsidR="008146F9">
        <w:rPr>
          <w:i/>
        </w:rPr>
        <w:t xml:space="preserve"> </w:t>
      </w:r>
    </w:p>
    <w:p w14:paraId="1F3D43AB" w14:textId="77777777" w:rsidR="001F6951" w:rsidRDefault="001F6951" w:rsidP="001F6951">
      <w:pPr>
        <w:pStyle w:val="BodyText"/>
      </w:pPr>
      <w:r>
        <w:t>There are insufficient studies to contribute to further evidence for statement 1. Mixed findings from the reviews (statement 2) is also highlighted in the reviewed studies, however more observational studies were found which had negative effects for smoking cessation than positive effects.</w:t>
      </w:r>
    </w:p>
    <w:p w14:paraId="0C59AD5F" w14:textId="77777777" w:rsidR="00CF4D96" w:rsidRDefault="001F6951" w:rsidP="00A53F7E">
      <w:pPr>
        <w:pStyle w:val="BodyText"/>
      </w:pPr>
      <w:r>
        <w:t>As suggested by the two previous reports, further randomised controlled trials are required to determine the effectiveness of e</w:t>
      </w:r>
      <w:r>
        <w:noBreakHyphen/>
        <w:t>cigarettes as a smoking cessation tool compared to other methods.</w:t>
      </w:r>
      <w:r w:rsidR="001921AC">
        <w:br w:type="page"/>
      </w:r>
    </w:p>
    <w:p w14:paraId="675CDC77" w14:textId="77777777" w:rsidR="00CF4D96" w:rsidRDefault="00CF4D96" w:rsidP="00753345">
      <w:pPr>
        <w:sectPr w:rsidR="00CF4D96" w:rsidSect="00A930C8">
          <w:pgSz w:w="11906" w:h="16838" w:code="9"/>
          <w:pgMar w:top="1134" w:right="1134" w:bottom="1134" w:left="1134" w:header="510" w:footer="624" w:gutter="0"/>
          <w:cols w:space="850"/>
          <w:docGrid w:linePitch="360"/>
        </w:sectPr>
      </w:pPr>
    </w:p>
    <w:p w14:paraId="7082C1F4" w14:textId="77777777" w:rsidR="00707997" w:rsidRPr="005C1B4B" w:rsidRDefault="00866396" w:rsidP="00B5793E">
      <w:pPr>
        <w:pStyle w:val="Heading1"/>
      </w:pPr>
      <w:bookmarkStart w:id="138" w:name="_Toc515229960"/>
      <w:bookmarkStart w:id="139" w:name="_Toc517706689"/>
      <w:r>
        <w:lastRenderedPageBreak/>
        <w:t>Tables</w:t>
      </w:r>
      <w:bookmarkEnd w:id="138"/>
      <w:bookmarkEnd w:id="139"/>
    </w:p>
    <w:p w14:paraId="6357B017" w14:textId="77777777" w:rsidR="00781923" w:rsidRDefault="00955544" w:rsidP="00955544">
      <w:pPr>
        <w:pStyle w:val="Caption"/>
      </w:pPr>
      <w:bookmarkStart w:id="140" w:name="_Toc515229966"/>
      <w:bookmarkStart w:id="141" w:name="_Toc517707419"/>
      <w:r>
        <w:t xml:space="preserve">Table </w:t>
      </w:r>
      <w:r w:rsidR="0048064B">
        <w:rPr>
          <w:noProof/>
        </w:rPr>
        <w:fldChar w:fldCharType="begin"/>
      </w:r>
      <w:r w:rsidR="0048064B">
        <w:rPr>
          <w:noProof/>
        </w:rPr>
        <w:instrText xml:space="preserve"> SEQ Table \* ARABIC </w:instrText>
      </w:r>
      <w:r w:rsidR="0048064B">
        <w:rPr>
          <w:noProof/>
        </w:rPr>
        <w:fldChar w:fldCharType="separate"/>
      </w:r>
      <w:r w:rsidR="000C06DA">
        <w:rPr>
          <w:noProof/>
        </w:rPr>
        <w:t>10</w:t>
      </w:r>
      <w:r w:rsidR="0048064B">
        <w:rPr>
          <w:noProof/>
        </w:rPr>
        <w:fldChar w:fldCharType="end"/>
      </w:r>
      <w:r w:rsidR="00781923">
        <w:t xml:space="preserve">: </w:t>
      </w:r>
      <w:r w:rsidR="00781923" w:rsidRPr="00D07BE7">
        <w:t>E</w:t>
      </w:r>
      <w:r w:rsidR="00781923">
        <w:noBreakHyphen/>
      </w:r>
      <w:r w:rsidR="00781923" w:rsidRPr="00D07BE7">
        <w:t>cigarette use and conventional smoking studies</w:t>
      </w:r>
      <w:bookmarkEnd w:id="140"/>
      <w:bookmarkEnd w:id="141"/>
    </w:p>
    <w:tbl>
      <w:tblPr>
        <w:tblStyle w:val="TableCSIRO"/>
        <w:tblW w:w="15338" w:type="dxa"/>
        <w:tblLook w:val="04A0" w:firstRow="1" w:lastRow="0" w:firstColumn="1" w:lastColumn="0" w:noHBand="0" w:noVBand="1"/>
      </w:tblPr>
      <w:tblGrid>
        <w:gridCol w:w="1613"/>
        <w:gridCol w:w="1417"/>
        <w:gridCol w:w="760"/>
        <w:gridCol w:w="4202"/>
        <w:gridCol w:w="3969"/>
        <w:gridCol w:w="3377"/>
      </w:tblGrid>
      <w:tr w:rsidR="00781923" w:rsidRPr="00BC0AE1" w14:paraId="5B6B5815" w14:textId="77777777" w:rsidTr="004E728C">
        <w:trPr>
          <w:cnfStyle w:val="100000000000" w:firstRow="1" w:lastRow="0" w:firstColumn="0" w:lastColumn="0" w:oddVBand="0" w:evenVBand="0" w:oddHBand="0" w:evenHBand="0" w:firstRowFirstColumn="0" w:firstRowLastColumn="0" w:lastRowFirstColumn="0" w:lastRowLastColumn="0"/>
          <w:trHeight w:val="318"/>
          <w:tblHeader/>
        </w:trPr>
        <w:tc>
          <w:tcPr>
            <w:cnfStyle w:val="001000000000" w:firstRow="0" w:lastRow="0" w:firstColumn="1" w:lastColumn="0" w:oddVBand="0" w:evenVBand="0" w:oddHBand="0" w:evenHBand="0" w:firstRowFirstColumn="0" w:firstRowLastColumn="0" w:lastRowFirstColumn="0" w:lastRowLastColumn="0"/>
            <w:tcW w:w="1613" w:type="dxa"/>
          </w:tcPr>
          <w:p w14:paraId="360B4556" w14:textId="77777777" w:rsidR="00781923" w:rsidRPr="00BC0AE1" w:rsidRDefault="00781923" w:rsidP="004E728C">
            <w:pPr>
              <w:rPr>
                <w:color w:val="FFFFFF" w:themeColor="background1"/>
                <w:sz w:val="16"/>
                <w:szCs w:val="16"/>
              </w:rPr>
            </w:pPr>
            <w:r w:rsidRPr="00BC0AE1">
              <w:rPr>
                <w:color w:val="FFFFFF" w:themeColor="background1"/>
                <w:sz w:val="16"/>
                <w:szCs w:val="16"/>
              </w:rPr>
              <w:t>Study</w:t>
            </w:r>
          </w:p>
        </w:tc>
        <w:tc>
          <w:tcPr>
            <w:tcW w:w="1417" w:type="dxa"/>
          </w:tcPr>
          <w:p w14:paraId="696FCC0E" w14:textId="77777777" w:rsidR="00781923" w:rsidRPr="00BC0AE1" w:rsidRDefault="00781923" w:rsidP="004E728C">
            <w:pP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BC0AE1">
              <w:rPr>
                <w:color w:val="FFFFFF" w:themeColor="background1"/>
                <w:sz w:val="16"/>
                <w:szCs w:val="16"/>
              </w:rPr>
              <w:t>Design</w:t>
            </w:r>
          </w:p>
        </w:tc>
        <w:tc>
          <w:tcPr>
            <w:tcW w:w="760" w:type="dxa"/>
          </w:tcPr>
          <w:p w14:paraId="00F430CC" w14:textId="77777777" w:rsidR="00781923" w:rsidRPr="00BC0AE1" w:rsidRDefault="00781923" w:rsidP="004E728C">
            <w:pP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BC0AE1">
              <w:rPr>
                <w:color w:val="FFFFFF" w:themeColor="background1"/>
                <w:sz w:val="16"/>
                <w:szCs w:val="16"/>
              </w:rPr>
              <w:t>Duration</w:t>
            </w:r>
          </w:p>
        </w:tc>
        <w:tc>
          <w:tcPr>
            <w:tcW w:w="4202" w:type="dxa"/>
          </w:tcPr>
          <w:p w14:paraId="3300B151" w14:textId="77777777" w:rsidR="00781923" w:rsidRPr="00BC0AE1" w:rsidRDefault="00781923" w:rsidP="004E728C">
            <w:pP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BC0AE1">
              <w:rPr>
                <w:color w:val="FFFFFF" w:themeColor="background1"/>
                <w:sz w:val="16"/>
                <w:szCs w:val="16"/>
              </w:rPr>
              <w:t>Population</w:t>
            </w:r>
          </w:p>
        </w:tc>
        <w:tc>
          <w:tcPr>
            <w:tcW w:w="3969" w:type="dxa"/>
          </w:tcPr>
          <w:p w14:paraId="3C9F348A" w14:textId="77777777" w:rsidR="00781923" w:rsidRPr="00BC0AE1" w:rsidRDefault="00781923" w:rsidP="004E728C">
            <w:pP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BC0AE1">
              <w:rPr>
                <w:color w:val="FFFFFF" w:themeColor="background1"/>
                <w:sz w:val="16"/>
                <w:szCs w:val="16"/>
              </w:rPr>
              <w:t>Comparisons</w:t>
            </w:r>
          </w:p>
        </w:tc>
        <w:tc>
          <w:tcPr>
            <w:tcW w:w="3377" w:type="dxa"/>
          </w:tcPr>
          <w:p w14:paraId="42AF5562" w14:textId="77777777" w:rsidR="00781923" w:rsidRPr="00BC0AE1" w:rsidRDefault="00781923" w:rsidP="004E728C">
            <w:pP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BC0AE1">
              <w:rPr>
                <w:color w:val="FFFFFF" w:themeColor="background1"/>
                <w:sz w:val="16"/>
                <w:szCs w:val="16"/>
              </w:rPr>
              <w:t>Funding</w:t>
            </w:r>
          </w:p>
        </w:tc>
      </w:tr>
      <w:tr w:rsidR="00781923" w:rsidRPr="005D0210" w14:paraId="6665100B" w14:textId="77777777" w:rsidTr="004E728C">
        <w:trPr>
          <w:cnfStyle w:val="000000100000" w:firstRow="0" w:lastRow="0" w:firstColumn="0" w:lastColumn="0" w:oddVBand="0" w:evenVBand="0" w:oddHBand="1" w:evenHBand="0" w:firstRowFirstColumn="0" w:firstRowLastColumn="0" w:lastRowFirstColumn="0" w:lastRowLastColumn="0"/>
          <w:trHeight w:val="1217"/>
        </w:trPr>
        <w:tc>
          <w:tcPr>
            <w:cnfStyle w:val="001000000000" w:firstRow="0" w:lastRow="0" w:firstColumn="1" w:lastColumn="0" w:oddVBand="0" w:evenVBand="0" w:oddHBand="0" w:evenHBand="0" w:firstRowFirstColumn="0" w:firstRowLastColumn="0" w:lastRowFirstColumn="0" w:lastRowLastColumn="0"/>
            <w:tcW w:w="1613" w:type="dxa"/>
          </w:tcPr>
          <w:p w14:paraId="401F0268" w14:textId="77777777" w:rsidR="00781923" w:rsidRPr="005D0210" w:rsidRDefault="00781923" w:rsidP="004E728C">
            <w:pPr>
              <w:rPr>
                <w:sz w:val="16"/>
                <w:szCs w:val="16"/>
              </w:rPr>
            </w:pPr>
            <w:r w:rsidRPr="005D0210">
              <w:rPr>
                <w:sz w:val="16"/>
                <w:szCs w:val="16"/>
              </w:rPr>
              <w:t>Chaffee et al 2018</w:t>
            </w:r>
          </w:p>
        </w:tc>
        <w:tc>
          <w:tcPr>
            <w:tcW w:w="1417" w:type="dxa"/>
          </w:tcPr>
          <w:p w14:paraId="00AC3563"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sz w:val="16"/>
                <w:szCs w:val="16"/>
              </w:rPr>
            </w:pPr>
            <w:r w:rsidRPr="005D0210">
              <w:rPr>
                <w:sz w:val="16"/>
                <w:szCs w:val="16"/>
              </w:rPr>
              <w:t>Cohort</w:t>
            </w:r>
          </w:p>
        </w:tc>
        <w:tc>
          <w:tcPr>
            <w:tcW w:w="760" w:type="dxa"/>
          </w:tcPr>
          <w:p w14:paraId="6988D621"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sz w:val="16"/>
                <w:szCs w:val="16"/>
              </w:rPr>
            </w:pPr>
            <w:r w:rsidRPr="005D0210">
              <w:rPr>
                <w:sz w:val="16"/>
                <w:szCs w:val="16"/>
              </w:rPr>
              <w:t>1 year</w:t>
            </w:r>
          </w:p>
        </w:tc>
        <w:tc>
          <w:tcPr>
            <w:tcW w:w="4202" w:type="dxa"/>
          </w:tcPr>
          <w:p w14:paraId="418B8E8D"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sz w:val="16"/>
                <w:szCs w:val="16"/>
              </w:rPr>
            </w:pPr>
            <w:r w:rsidRPr="005D0210">
              <w:rPr>
                <w:sz w:val="16"/>
                <w:szCs w:val="16"/>
              </w:rPr>
              <w:t>US adolescents aged 12</w:t>
            </w:r>
            <w:r w:rsidRPr="005D0210">
              <w:rPr>
                <w:sz w:val="16"/>
                <w:szCs w:val="16"/>
              </w:rPr>
              <w:noBreakHyphen/>
              <w:t>17 years who had tried smoking but had not yet smoked 100 cigarettes at baseline (N=1,295)</w:t>
            </w:r>
          </w:p>
        </w:tc>
        <w:tc>
          <w:tcPr>
            <w:tcW w:w="3969" w:type="dxa"/>
          </w:tcPr>
          <w:p w14:paraId="21E87F02" w14:textId="34A857EC"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sz w:val="16"/>
                <w:szCs w:val="16"/>
              </w:rPr>
            </w:pPr>
            <w:r w:rsidRPr="005D0210">
              <w:rPr>
                <w:sz w:val="16"/>
                <w:szCs w:val="16"/>
              </w:rPr>
              <w:t>Exposures: e</w:t>
            </w:r>
            <w:r w:rsidRPr="005D0210">
              <w:rPr>
                <w:sz w:val="16"/>
                <w:szCs w:val="16"/>
              </w:rPr>
              <w:noBreakHyphen/>
              <w:t>cigarette use (ever/never; never/non</w:t>
            </w:r>
            <w:r w:rsidRPr="005D0210">
              <w:rPr>
                <w:sz w:val="16"/>
                <w:szCs w:val="16"/>
              </w:rPr>
              <w:noBreakHyphen/>
              <w:t>past 30</w:t>
            </w:r>
            <w:r w:rsidRPr="005D0210">
              <w:rPr>
                <w:sz w:val="16"/>
                <w:szCs w:val="16"/>
              </w:rPr>
              <w:noBreakHyphen/>
              <w:t>day use/ past 30</w:t>
            </w:r>
            <w:r w:rsidRPr="005D0210">
              <w:rPr>
                <w:sz w:val="16"/>
                <w:szCs w:val="16"/>
              </w:rPr>
              <w:noBreakHyphen/>
              <w:t>day use)</w:t>
            </w:r>
            <w:r w:rsidR="00F66844">
              <w:rPr>
                <w:sz w:val="16"/>
                <w:szCs w:val="16"/>
              </w:rPr>
              <w:t>.</w:t>
            </w:r>
          </w:p>
          <w:p w14:paraId="6F5D23A6" w14:textId="19B9C449"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sz w:val="16"/>
                <w:szCs w:val="16"/>
              </w:rPr>
            </w:pPr>
            <w:r w:rsidRPr="005D0210">
              <w:rPr>
                <w:sz w:val="16"/>
                <w:szCs w:val="16"/>
              </w:rPr>
              <w:t>Outcomes: established smoking (</w:t>
            </w:r>
            <w:r w:rsidRPr="005D0210">
              <w:rPr>
                <w:rFonts w:cstheme="minorHAnsi"/>
                <w:sz w:val="16"/>
                <w:szCs w:val="16"/>
              </w:rPr>
              <w:t>≥</w:t>
            </w:r>
            <w:r w:rsidRPr="005D0210">
              <w:rPr>
                <w:sz w:val="16"/>
                <w:szCs w:val="16"/>
              </w:rPr>
              <w:t>100 cigarettes), past 30</w:t>
            </w:r>
            <w:r w:rsidRPr="005D0210">
              <w:rPr>
                <w:sz w:val="16"/>
                <w:szCs w:val="16"/>
              </w:rPr>
              <w:noBreakHyphen/>
              <w:t>day smoking, current established smoking (</w:t>
            </w:r>
            <w:r w:rsidRPr="005D0210">
              <w:rPr>
                <w:rFonts w:cstheme="minorHAnsi"/>
                <w:sz w:val="16"/>
                <w:szCs w:val="16"/>
              </w:rPr>
              <w:t>≥</w:t>
            </w:r>
            <w:r w:rsidRPr="005D0210">
              <w:rPr>
                <w:sz w:val="16"/>
                <w:szCs w:val="16"/>
              </w:rPr>
              <w:t>100 cigarettes and past 30</w:t>
            </w:r>
            <w:r w:rsidRPr="005D0210">
              <w:rPr>
                <w:sz w:val="16"/>
                <w:szCs w:val="16"/>
              </w:rPr>
              <w:noBreakHyphen/>
              <w:t>day smoking)</w:t>
            </w:r>
            <w:r w:rsidR="00F66844">
              <w:rPr>
                <w:sz w:val="16"/>
                <w:szCs w:val="16"/>
              </w:rPr>
              <w:t>.</w:t>
            </w:r>
          </w:p>
        </w:tc>
        <w:tc>
          <w:tcPr>
            <w:tcW w:w="3377" w:type="dxa"/>
          </w:tcPr>
          <w:p w14:paraId="632D92C9"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sz w:val="16"/>
                <w:szCs w:val="16"/>
              </w:rPr>
            </w:pPr>
            <w:r w:rsidRPr="005D0210">
              <w:rPr>
                <w:sz w:val="16"/>
                <w:szCs w:val="16"/>
              </w:rPr>
              <w:t>US National Cancer Institute, the US Food and Drug Administration Center for Tobacco Products, the National Institute on Drug Abuse and National Institutes of Health (NIH).</w:t>
            </w:r>
          </w:p>
        </w:tc>
      </w:tr>
      <w:tr w:rsidR="00781923" w:rsidRPr="005D0210" w14:paraId="70580D12" w14:textId="77777777" w:rsidTr="004E728C">
        <w:trPr>
          <w:trHeight w:val="823"/>
        </w:trPr>
        <w:tc>
          <w:tcPr>
            <w:cnfStyle w:val="001000000000" w:firstRow="0" w:lastRow="0" w:firstColumn="1" w:lastColumn="0" w:oddVBand="0" w:evenVBand="0" w:oddHBand="0" w:evenHBand="0" w:firstRowFirstColumn="0" w:firstRowLastColumn="0" w:lastRowFirstColumn="0" w:lastRowLastColumn="0"/>
            <w:tcW w:w="1613" w:type="dxa"/>
          </w:tcPr>
          <w:p w14:paraId="4E256CD5" w14:textId="77777777" w:rsidR="00781923" w:rsidRPr="005D0210" w:rsidRDefault="00781923" w:rsidP="004E728C">
            <w:pPr>
              <w:rPr>
                <w:sz w:val="16"/>
                <w:szCs w:val="16"/>
              </w:rPr>
            </w:pPr>
            <w:r w:rsidRPr="005D0210">
              <w:rPr>
                <w:sz w:val="16"/>
                <w:szCs w:val="16"/>
              </w:rPr>
              <w:t>East et al 2018</w:t>
            </w:r>
          </w:p>
        </w:tc>
        <w:tc>
          <w:tcPr>
            <w:tcW w:w="1417" w:type="dxa"/>
          </w:tcPr>
          <w:p w14:paraId="0CCD045E"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sz w:val="16"/>
                <w:szCs w:val="16"/>
              </w:rPr>
            </w:pPr>
            <w:r w:rsidRPr="005D0210">
              <w:rPr>
                <w:sz w:val="16"/>
                <w:szCs w:val="16"/>
              </w:rPr>
              <w:t xml:space="preserve">Cohort </w:t>
            </w:r>
          </w:p>
        </w:tc>
        <w:tc>
          <w:tcPr>
            <w:tcW w:w="760" w:type="dxa"/>
          </w:tcPr>
          <w:p w14:paraId="302D4D96"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sz w:val="16"/>
                <w:szCs w:val="16"/>
              </w:rPr>
            </w:pPr>
            <w:r w:rsidRPr="005D0210">
              <w:rPr>
                <w:sz w:val="16"/>
                <w:szCs w:val="16"/>
              </w:rPr>
              <w:t>~5 months</w:t>
            </w:r>
          </w:p>
        </w:tc>
        <w:tc>
          <w:tcPr>
            <w:tcW w:w="4202" w:type="dxa"/>
          </w:tcPr>
          <w:p w14:paraId="55063940"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sz w:val="16"/>
                <w:szCs w:val="16"/>
              </w:rPr>
            </w:pPr>
            <w:r w:rsidRPr="005D0210">
              <w:rPr>
                <w:sz w:val="16"/>
                <w:szCs w:val="16"/>
              </w:rPr>
              <w:t>Young never smokers aged 11</w:t>
            </w:r>
            <w:r w:rsidRPr="005D0210">
              <w:rPr>
                <w:sz w:val="16"/>
                <w:szCs w:val="16"/>
              </w:rPr>
              <w:noBreakHyphen/>
              <w:t>18 years in Great Britain (N=923)</w:t>
            </w:r>
          </w:p>
        </w:tc>
        <w:tc>
          <w:tcPr>
            <w:tcW w:w="3969" w:type="dxa"/>
          </w:tcPr>
          <w:p w14:paraId="6ACF2A35" w14:textId="2246FC72"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sz w:val="16"/>
                <w:szCs w:val="16"/>
              </w:rPr>
            </w:pPr>
            <w:r w:rsidRPr="005D0210">
              <w:rPr>
                <w:sz w:val="16"/>
                <w:szCs w:val="16"/>
              </w:rPr>
              <w:t>Exposures: ever e</w:t>
            </w:r>
            <w:r w:rsidRPr="005D0210">
              <w:rPr>
                <w:sz w:val="16"/>
                <w:szCs w:val="16"/>
              </w:rPr>
              <w:noBreakHyphen/>
              <w:t>cigarette use; escalation of e</w:t>
            </w:r>
            <w:r w:rsidRPr="005D0210">
              <w:rPr>
                <w:sz w:val="16"/>
                <w:szCs w:val="16"/>
              </w:rPr>
              <w:noBreakHyphen/>
              <w:t>cigarette use</w:t>
            </w:r>
            <w:r w:rsidR="00F66844">
              <w:rPr>
                <w:sz w:val="16"/>
                <w:szCs w:val="16"/>
              </w:rPr>
              <w:t>.</w:t>
            </w:r>
          </w:p>
          <w:p w14:paraId="28932AEB" w14:textId="10EB8E1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sz w:val="16"/>
                <w:szCs w:val="16"/>
              </w:rPr>
            </w:pPr>
            <w:r w:rsidRPr="005D0210">
              <w:rPr>
                <w:sz w:val="16"/>
                <w:szCs w:val="16"/>
              </w:rPr>
              <w:t>Outcomes: smoking initiation</w:t>
            </w:r>
            <w:r w:rsidR="00F66844">
              <w:rPr>
                <w:sz w:val="16"/>
                <w:szCs w:val="16"/>
              </w:rPr>
              <w:t>.</w:t>
            </w:r>
          </w:p>
        </w:tc>
        <w:tc>
          <w:tcPr>
            <w:tcW w:w="3377" w:type="dxa"/>
          </w:tcPr>
          <w:p w14:paraId="30E22FFF"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sz w:val="16"/>
                <w:szCs w:val="16"/>
              </w:rPr>
            </w:pPr>
            <w:r w:rsidRPr="005D0210">
              <w:rPr>
                <w:sz w:val="16"/>
                <w:szCs w:val="16"/>
              </w:rPr>
              <w:t xml:space="preserve">Cancer Research UK; UK Public Health Research Consortium </w:t>
            </w:r>
          </w:p>
        </w:tc>
      </w:tr>
      <w:tr w:rsidR="00781923" w:rsidRPr="005D0210" w14:paraId="64654211" w14:textId="77777777" w:rsidTr="004E728C">
        <w:trPr>
          <w:cnfStyle w:val="000000100000" w:firstRow="0" w:lastRow="0" w:firstColumn="0" w:lastColumn="0" w:oddVBand="0" w:evenVBand="0" w:oddHBand="1"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1613" w:type="dxa"/>
          </w:tcPr>
          <w:p w14:paraId="7CFA57A8" w14:textId="77777777" w:rsidR="00781923" w:rsidRPr="005D0210" w:rsidRDefault="00781923" w:rsidP="004E728C">
            <w:pPr>
              <w:rPr>
                <w:sz w:val="16"/>
                <w:szCs w:val="16"/>
              </w:rPr>
            </w:pPr>
            <w:r w:rsidRPr="005D0210">
              <w:rPr>
                <w:sz w:val="16"/>
                <w:szCs w:val="16"/>
              </w:rPr>
              <w:t>Kinnunen et al 2017</w:t>
            </w:r>
          </w:p>
        </w:tc>
        <w:tc>
          <w:tcPr>
            <w:tcW w:w="1417" w:type="dxa"/>
          </w:tcPr>
          <w:p w14:paraId="2B01CC6E"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sz w:val="16"/>
                <w:szCs w:val="16"/>
              </w:rPr>
            </w:pPr>
            <w:r w:rsidRPr="005D0210">
              <w:rPr>
                <w:sz w:val="16"/>
                <w:szCs w:val="16"/>
              </w:rPr>
              <w:t>Cohort</w:t>
            </w:r>
          </w:p>
        </w:tc>
        <w:tc>
          <w:tcPr>
            <w:tcW w:w="760" w:type="dxa"/>
          </w:tcPr>
          <w:p w14:paraId="7F0C704C"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sz w:val="16"/>
                <w:szCs w:val="16"/>
              </w:rPr>
            </w:pPr>
            <w:r w:rsidRPr="005D0210">
              <w:rPr>
                <w:sz w:val="16"/>
                <w:szCs w:val="16"/>
              </w:rPr>
              <w:t>2 years</w:t>
            </w:r>
          </w:p>
        </w:tc>
        <w:tc>
          <w:tcPr>
            <w:tcW w:w="4202" w:type="dxa"/>
          </w:tcPr>
          <w:p w14:paraId="1B3D19BC"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sz w:val="16"/>
                <w:szCs w:val="16"/>
              </w:rPr>
            </w:pPr>
            <w:r w:rsidRPr="005D0210">
              <w:rPr>
                <w:sz w:val="16"/>
                <w:szCs w:val="16"/>
              </w:rPr>
              <w:t>School students in Helsinki, Finland aged 16 at baseline (N=3,474)</w:t>
            </w:r>
          </w:p>
        </w:tc>
        <w:tc>
          <w:tcPr>
            <w:tcW w:w="3969" w:type="dxa"/>
          </w:tcPr>
          <w:p w14:paraId="1210FA2C" w14:textId="3B31321B"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sz w:val="16"/>
                <w:szCs w:val="16"/>
              </w:rPr>
            </w:pPr>
            <w:r w:rsidRPr="005D0210">
              <w:rPr>
                <w:sz w:val="16"/>
                <w:szCs w:val="16"/>
              </w:rPr>
              <w:t>Exposure: e</w:t>
            </w:r>
            <w:r w:rsidRPr="005D0210">
              <w:rPr>
                <w:sz w:val="16"/>
                <w:szCs w:val="16"/>
              </w:rPr>
              <w:noBreakHyphen/>
              <w:t>cigarette use (never tried/ non</w:t>
            </w:r>
            <w:r w:rsidRPr="005D0210">
              <w:rPr>
                <w:sz w:val="16"/>
                <w:szCs w:val="16"/>
              </w:rPr>
              <w:noBreakHyphen/>
              <w:t>nicotine e</w:t>
            </w:r>
            <w:r w:rsidRPr="005D0210">
              <w:rPr>
                <w:sz w:val="16"/>
                <w:szCs w:val="16"/>
              </w:rPr>
              <w:noBreakHyphen/>
              <w:t>cigarettes/ nicotine e</w:t>
            </w:r>
            <w:r w:rsidRPr="005D0210">
              <w:rPr>
                <w:sz w:val="16"/>
                <w:szCs w:val="16"/>
              </w:rPr>
              <w:noBreakHyphen/>
              <w:t>cigarettes)</w:t>
            </w:r>
            <w:r w:rsidR="00F66844">
              <w:rPr>
                <w:sz w:val="16"/>
                <w:szCs w:val="16"/>
              </w:rPr>
              <w:t>.</w:t>
            </w:r>
          </w:p>
          <w:p w14:paraId="305A184B" w14:textId="669F8116"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sz w:val="16"/>
                <w:szCs w:val="16"/>
              </w:rPr>
            </w:pPr>
            <w:r w:rsidRPr="005D0210">
              <w:rPr>
                <w:sz w:val="16"/>
                <w:szCs w:val="16"/>
              </w:rPr>
              <w:t>Outcome: daily cigarette smoking</w:t>
            </w:r>
            <w:r w:rsidR="00F66844">
              <w:rPr>
                <w:sz w:val="16"/>
                <w:szCs w:val="16"/>
              </w:rPr>
              <w:t>.</w:t>
            </w:r>
          </w:p>
        </w:tc>
        <w:tc>
          <w:tcPr>
            <w:tcW w:w="3377" w:type="dxa"/>
          </w:tcPr>
          <w:p w14:paraId="0B62B277"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sz w:val="16"/>
                <w:szCs w:val="16"/>
              </w:rPr>
            </w:pPr>
            <w:r w:rsidRPr="005D0210">
              <w:rPr>
                <w:sz w:val="16"/>
                <w:szCs w:val="16"/>
              </w:rPr>
              <w:t>Not reported</w:t>
            </w:r>
          </w:p>
        </w:tc>
      </w:tr>
      <w:tr w:rsidR="00781923" w:rsidRPr="005D0210" w14:paraId="02C964D1" w14:textId="77777777" w:rsidTr="004E728C">
        <w:trPr>
          <w:trHeight w:val="832"/>
        </w:trPr>
        <w:tc>
          <w:tcPr>
            <w:cnfStyle w:val="001000000000" w:firstRow="0" w:lastRow="0" w:firstColumn="1" w:lastColumn="0" w:oddVBand="0" w:evenVBand="0" w:oddHBand="0" w:evenHBand="0" w:firstRowFirstColumn="0" w:firstRowLastColumn="0" w:lastRowFirstColumn="0" w:lastRowLastColumn="0"/>
            <w:tcW w:w="1613" w:type="dxa"/>
          </w:tcPr>
          <w:p w14:paraId="1BA460EB" w14:textId="77777777" w:rsidR="00781923" w:rsidRPr="005D0210" w:rsidRDefault="00781923" w:rsidP="004E728C">
            <w:pPr>
              <w:rPr>
                <w:sz w:val="16"/>
                <w:szCs w:val="16"/>
              </w:rPr>
            </w:pPr>
            <w:r w:rsidRPr="005D0210">
              <w:rPr>
                <w:sz w:val="16"/>
                <w:szCs w:val="16"/>
              </w:rPr>
              <w:t>Lozano et al 2017</w:t>
            </w:r>
          </w:p>
        </w:tc>
        <w:tc>
          <w:tcPr>
            <w:tcW w:w="1417" w:type="dxa"/>
          </w:tcPr>
          <w:p w14:paraId="0C26C994"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sz w:val="16"/>
                <w:szCs w:val="16"/>
              </w:rPr>
            </w:pPr>
            <w:r w:rsidRPr="005D0210">
              <w:rPr>
                <w:sz w:val="16"/>
                <w:szCs w:val="16"/>
              </w:rPr>
              <w:t>Cohort</w:t>
            </w:r>
          </w:p>
        </w:tc>
        <w:tc>
          <w:tcPr>
            <w:tcW w:w="760" w:type="dxa"/>
          </w:tcPr>
          <w:p w14:paraId="470FDAB4"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sz w:val="16"/>
                <w:szCs w:val="16"/>
              </w:rPr>
            </w:pPr>
            <w:r w:rsidRPr="005D0210">
              <w:rPr>
                <w:sz w:val="16"/>
                <w:szCs w:val="16"/>
              </w:rPr>
              <w:t>20 months</w:t>
            </w:r>
          </w:p>
        </w:tc>
        <w:tc>
          <w:tcPr>
            <w:tcW w:w="4202" w:type="dxa"/>
          </w:tcPr>
          <w:p w14:paraId="4645FE1D"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sz w:val="16"/>
                <w:szCs w:val="16"/>
              </w:rPr>
            </w:pPr>
            <w:r w:rsidRPr="005D0210">
              <w:rPr>
                <w:sz w:val="16"/>
                <w:szCs w:val="16"/>
              </w:rPr>
              <w:t>Middle school students in 3 largest cities in Mexico (N=4,695)</w:t>
            </w:r>
          </w:p>
        </w:tc>
        <w:tc>
          <w:tcPr>
            <w:tcW w:w="3969" w:type="dxa"/>
          </w:tcPr>
          <w:p w14:paraId="06326665" w14:textId="406EE78A"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sz w:val="16"/>
                <w:szCs w:val="16"/>
              </w:rPr>
            </w:pPr>
            <w:r w:rsidRPr="005D0210">
              <w:rPr>
                <w:sz w:val="16"/>
                <w:szCs w:val="16"/>
              </w:rPr>
              <w:t>Exposure: e</w:t>
            </w:r>
            <w:r w:rsidRPr="005D0210">
              <w:rPr>
                <w:sz w:val="16"/>
                <w:szCs w:val="16"/>
              </w:rPr>
              <w:noBreakHyphen/>
              <w:t>cigarette use (ever/never)</w:t>
            </w:r>
            <w:r w:rsidR="00F66844">
              <w:rPr>
                <w:sz w:val="16"/>
                <w:szCs w:val="16"/>
              </w:rPr>
              <w:t>.</w:t>
            </w:r>
          </w:p>
          <w:p w14:paraId="568EEB96" w14:textId="690636FB"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sz w:val="16"/>
                <w:szCs w:val="16"/>
              </w:rPr>
            </w:pPr>
            <w:r w:rsidRPr="005D0210">
              <w:rPr>
                <w:sz w:val="16"/>
                <w:szCs w:val="16"/>
              </w:rPr>
              <w:t>Outcomes: cigarette smoking (ever/never; past 30</w:t>
            </w:r>
            <w:r w:rsidRPr="005D0210">
              <w:rPr>
                <w:sz w:val="16"/>
                <w:szCs w:val="16"/>
              </w:rPr>
              <w:noBreakHyphen/>
              <w:t>day use (any/none))</w:t>
            </w:r>
            <w:r w:rsidR="00F66844">
              <w:rPr>
                <w:sz w:val="16"/>
                <w:szCs w:val="16"/>
              </w:rPr>
              <w:t>.</w:t>
            </w:r>
          </w:p>
        </w:tc>
        <w:tc>
          <w:tcPr>
            <w:tcW w:w="3377" w:type="dxa"/>
          </w:tcPr>
          <w:p w14:paraId="43F0AA7D"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sz w:val="16"/>
                <w:szCs w:val="16"/>
              </w:rPr>
            </w:pPr>
            <w:r w:rsidRPr="005D0210">
              <w:rPr>
                <w:sz w:val="16"/>
                <w:szCs w:val="16"/>
              </w:rPr>
              <w:t>Fogarty International Center; National Cancer Institute of the US National Institute of Health</w:t>
            </w:r>
          </w:p>
        </w:tc>
      </w:tr>
      <w:tr w:rsidR="00781923" w:rsidRPr="005D0210" w14:paraId="5CA2CBBC" w14:textId="77777777" w:rsidTr="004E728C">
        <w:trPr>
          <w:cnfStyle w:val="000000100000" w:firstRow="0" w:lastRow="0" w:firstColumn="0" w:lastColumn="0" w:oddVBand="0" w:evenVBand="0" w:oddHBand="1" w:evenHBand="0" w:firstRowFirstColumn="0" w:firstRowLastColumn="0" w:lastRowFirstColumn="0" w:lastRowLastColumn="0"/>
          <w:trHeight w:val="626"/>
        </w:trPr>
        <w:tc>
          <w:tcPr>
            <w:cnfStyle w:val="001000000000" w:firstRow="0" w:lastRow="0" w:firstColumn="1" w:lastColumn="0" w:oddVBand="0" w:evenVBand="0" w:oddHBand="0" w:evenHBand="0" w:firstRowFirstColumn="0" w:firstRowLastColumn="0" w:lastRowFirstColumn="0" w:lastRowLastColumn="0"/>
            <w:tcW w:w="1613" w:type="dxa"/>
          </w:tcPr>
          <w:p w14:paraId="032D4C85" w14:textId="77777777" w:rsidR="00781923" w:rsidRPr="005D0210" w:rsidRDefault="00781923" w:rsidP="004E728C">
            <w:pPr>
              <w:rPr>
                <w:sz w:val="16"/>
                <w:szCs w:val="16"/>
              </w:rPr>
            </w:pPr>
            <w:r w:rsidRPr="005D0210">
              <w:rPr>
                <w:sz w:val="16"/>
                <w:szCs w:val="16"/>
              </w:rPr>
              <w:t>Morganstern et al 2018</w:t>
            </w:r>
          </w:p>
        </w:tc>
        <w:tc>
          <w:tcPr>
            <w:tcW w:w="1417" w:type="dxa"/>
          </w:tcPr>
          <w:p w14:paraId="7BDD2C55"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sz w:val="16"/>
                <w:szCs w:val="16"/>
              </w:rPr>
            </w:pPr>
            <w:r w:rsidRPr="005D0210">
              <w:rPr>
                <w:sz w:val="16"/>
                <w:szCs w:val="16"/>
              </w:rPr>
              <w:t>Cohort</w:t>
            </w:r>
          </w:p>
        </w:tc>
        <w:tc>
          <w:tcPr>
            <w:tcW w:w="760" w:type="dxa"/>
          </w:tcPr>
          <w:p w14:paraId="6EFABB8C"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sz w:val="16"/>
                <w:szCs w:val="16"/>
              </w:rPr>
            </w:pPr>
            <w:r w:rsidRPr="005D0210">
              <w:rPr>
                <w:sz w:val="16"/>
                <w:szCs w:val="16"/>
              </w:rPr>
              <w:t>6 months</w:t>
            </w:r>
          </w:p>
        </w:tc>
        <w:tc>
          <w:tcPr>
            <w:tcW w:w="4202" w:type="dxa"/>
          </w:tcPr>
          <w:p w14:paraId="23F9DA2E"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sz w:val="16"/>
                <w:szCs w:val="16"/>
              </w:rPr>
            </w:pPr>
            <w:r w:rsidRPr="005D0210">
              <w:rPr>
                <w:sz w:val="16"/>
                <w:szCs w:val="16"/>
              </w:rPr>
              <w:t>10</w:t>
            </w:r>
            <w:r w:rsidRPr="005D0210">
              <w:rPr>
                <w:sz w:val="16"/>
                <w:szCs w:val="16"/>
                <w:vertAlign w:val="superscript"/>
              </w:rPr>
              <w:t>th</w:t>
            </w:r>
            <w:r w:rsidRPr="005D0210">
              <w:rPr>
                <w:sz w:val="16"/>
                <w:szCs w:val="16"/>
              </w:rPr>
              <w:t xml:space="preserve"> grade students in Lower Saxony and Schleswig</w:t>
            </w:r>
            <w:r w:rsidRPr="005D0210">
              <w:rPr>
                <w:sz w:val="16"/>
                <w:szCs w:val="16"/>
              </w:rPr>
              <w:noBreakHyphen/>
              <w:t>Holstein, Germany, who have never smoked (N=2,186)</w:t>
            </w:r>
          </w:p>
        </w:tc>
        <w:tc>
          <w:tcPr>
            <w:tcW w:w="3969" w:type="dxa"/>
          </w:tcPr>
          <w:p w14:paraId="4333D4FA" w14:textId="6ACBB25D"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sz w:val="16"/>
                <w:szCs w:val="16"/>
              </w:rPr>
            </w:pPr>
            <w:r w:rsidRPr="005D0210">
              <w:rPr>
                <w:sz w:val="16"/>
                <w:szCs w:val="16"/>
              </w:rPr>
              <w:t>Exposure: e</w:t>
            </w:r>
            <w:r w:rsidRPr="005D0210">
              <w:rPr>
                <w:sz w:val="16"/>
                <w:szCs w:val="16"/>
              </w:rPr>
              <w:noBreakHyphen/>
              <w:t>cigarette use (ever/never)</w:t>
            </w:r>
            <w:r w:rsidR="00F66844">
              <w:rPr>
                <w:sz w:val="16"/>
                <w:szCs w:val="16"/>
              </w:rPr>
              <w:t>.</w:t>
            </w:r>
          </w:p>
          <w:p w14:paraId="367E527D" w14:textId="749A42CD"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sz w:val="16"/>
                <w:szCs w:val="16"/>
              </w:rPr>
            </w:pPr>
            <w:r w:rsidRPr="005D0210">
              <w:rPr>
                <w:sz w:val="16"/>
                <w:szCs w:val="16"/>
              </w:rPr>
              <w:t>Outcome: smoking initiation</w:t>
            </w:r>
            <w:r w:rsidR="00F66844">
              <w:rPr>
                <w:sz w:val="16"/>
                <w:szCs w:val="16"/>
              </w:rPr>
              <w:t>.</w:t>
            </w:r>
          </w:p>
        </w:tc>
        <w:tc>
          <w:tcPr>
            <w:tcW w:w="3377" w:type="dxa"/>
          </w:tcPr>
          <w:p w14:paraId="272F4CD2"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sz w:val="16"/>
                <w:szCs w:val="16"/>
              </w:rPr>
            </w:pPr>
            <w:r w:rsidRPr="005D0210">
              <w:rPr>
                <w:sz w:val="16"/>
                <w:szCs w:val="16"/>
              </w:rPr>
              <w:t>Federal Center for Health Education on behalf of the Federal Ministry for Health</w:t>
            </w:r>
          </w:p>
        </w:tc>
      </w:tr>
      <w:tr w:rsidR="00781923" w:rsidRPr="005D0210" w14:paraId="5AC4B728" w14:textId="77777777" w:rsidTr="004E728C">
        <w:trPr>
          <w:trHeight w:val="626"/>
        </w:trPr>
        <w:tc>
          <w:tcPr>
            <w:cnfStyle w:val="001000000000" w:firstRow="0" w:lastRow="0" w:firstColumn="1" w:lastColumn="0" w:oddVBand="0" w:evenVBand="0" w:oddHBand="0" w:evenHBand="0" w:firstRowFirstColumn="0" w:firstRowLastColumn="0" w:lastRowFirstColumn="0" w:lastRowLastColumn="0"/>
            <w:tcW w:w="1613" w:type="dxa"/>
          </w:tcPr>
          <w:p w14:paraId="6C6ED505" w14:textId="77777777" w:rsidR="00781923" w:rsidRPr="005D0210" w:rsidRDefault="00781923" w:rsidP="004E728C">
            <w:pPr>
              <w:rPr>
                <w:sz w:val="16"/>
                <w:szCs w:val="16"/>
              </w:rPr>
            </w:pPr>
            <w:r w:rsidRPr="005D0210">
              <w:rPr>
                <w:sz w:val="16"/>
                <w:szCs w:val="16"/>
              </w:rPr>
              <w:t>Pearce et al 2017</w:t>
            </w:r>
          </w:p>
        </w:tc>
        <w:tc>
          <w:tcPr>
            <w:tcW w:w="1417" w:type="dxa"/>
          </w:tcPr>
          <w:p w14:paraId="72EF05F8"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sz w:val="16"/>
                <w:szCs w:val="16"/>
              </w:rPr>
            </w:pPr>
            <w:r w:rsidRPr="005D0210">
              <w:rPr>
                <w:sz w:val="16"/>
                <w:szCs w:val="16"/>
              </w:rPr>
              <w:t>Cohort</w:t>
            </w:r>
          </w:p>
        </w:tc>
        <w:tc>
          <w:tcPr>
            <w:tcW w:w="760" w:type="dxa"/>
          </w:tcPr>
          <w:p w14:paraId="56C4DD53"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sz w:val="16"/>
                <w:szCs w:val="16"/>
              </w:rPr>
            </w:pPr>
            <w:r w:rsidRPr="005D0210">
              <w:rPr>
                <w:sz w:val="16"/>
                <w:szCs w:val="16"/>
              </w:rPr>
              <w:t>1 year</w:t>
            </w:r>
          </w:p>
        </w:tc>
        <w:tc>
          <w:tcPr>
            <w:tcW w:w="4202" w:type="dxa"/>
          </w:tcPr>
          <w:p w14:paraId="596B9816"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sz w:val="16"/>
                <w:szCs w:val="16"/>
              </w:rPr>
            </w:pPr>
            <w:r w:rsidRPr="005D0210">
              <w:rPr>
                <w:sz w:val="16"/>
                <w:szCs w:val="16"/>
              </w:rPr>
              <w:t>High school students in Scotland who have never smoked (N=2,998)</w:t>
            </w:r>
          </w:p>
        </w:tc>
        <w:tc>
          <w:tcPr>
            <w:tcW w:w="3969" w:type="dxa"/>
          </w:tcPr>
          <w:p w14:paraId="0FB66328" w14:textId="330AF31B"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sz w:val="16"/>
                <w:szCs w:val="16"/>
              </w:rPr>
            </w:pPr>
            <w:r w:rsidRPr="005D0210">
              <w:rPr>
                <w:sz w:val="16"/>
                <w:szCs w:val="16"/>
              </w:rPr>
              <w:t>Exposure: e</w:t>
            </w:r>
            <w:r w:rsidRPr="005D0210">
              <w:rPr>
                <w:sz w:val="16"/>
                <w:szCs w:val="16"/>
              </w:rPr>
              <w:noBreakHyphen/>
              <w:t>cigarette use (ever/never)</w:t>
            </w:r>
            <w:r w:rsidR="00F66844">
              <w:rPr>
                <w:sz w:val="16"/>
                <w:szCs w:val="16"/>
              </w:rPr>
              <w:t>.</w:t>
            </w:r>
          </w:p>
          <w:p w14:paraId="63069CDE" w14:textId="61348F22"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sz w:val="16"/>
                <w:szCs w:val="16"/>
              </w:rPr>
            </w:pPr>
            <w:r w:rsidRPr="005D0210">
              <w:rPr>
                <w:sz w:val="16"/>
                <w:szCs w:val="16"/>
              </w:rPr>
              <w:t>Outcome: smoking initiation</w:t>
            </w:r>
            <w:r w:rsidR="00F66844">
              <w:rPr>
                <w:sz w:val="16"/>
                <w:szCs w:val="16"/>
              </w:rPr>
              <w:t>.</w:t>
            </w:r>
          </w:p>
        </w:tc>
        <w:tc>
          <w:tcPr>
            <w:tcW w:w="3377" w:type="dxa"/>
          </w:tcPr>
          <w:p w14:paraId="0FBCD85A"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sz w:val="16"/>
                <w:szCs w:val="16"/>
              </w:rPr>
            </w:pPr>
            <w:r w:rsidRPr="005D0210">
              <w:rPr>
                <w:sz w:val="16"/>
                <w:szCs w:val="16"/>
              </w:rPr>
              <w:t>Not reported</w:t>
            </w:r>
          </w:p>
        </w:tc>
      </w:tr>
      <w:tr w:rsidR="00781923" w:rsidRPr="005D0210" w14:paraId="48C97FDD" w14:textId="77777777" w:rsidTr="004E728C">
        <w:trPr>
          <w:cnfStyle w:val="000000100000" w:firstRow="0" w:lastRow="0" w:firstColumn="0" w:lastColumn="0" w:oddVBand="0" w:evenVBand="0" w:oddHBand="1" w:evenHBand="0" w:firstRowFirstColumn="0" w:firstRowLastColumn="0" w:lastRowFirstColumn="0" w:lastRowLastColumn="0"/>
          <w:trHeight w:val="711"/>
        </w:trPr>
        <w:tc>
          <w:tcPr>
            <w:cnfStyle w:val="001000000000" w:firstRow="0" w:lastRow="0" w:firstColumn="1" w:lastColumn="0" w:oddVBand="0" w:evenVBand="0" w:oddHBand="0" w:evenHBand="0" w:firstRowFirstColumn="0" w:firstRowLastColumn="0" w:lastRowFirstColumn="0" w:lastRowLastColumn="0"/>
            <w:tcW w:w="1613" w:type="dxa"/>
          </w:tcPr>
          <w:p w14:paraId="47B357CA" w14:textId="77777777" w:rsidR="00781923" w:rsidRPr="005D0210" w:rsidRDefault="00781923" w:rsidP="004E728C">
            <w:pPr>
              <w:rPr>
                <w:sz w:val="16"/>
                <w:szCs w:val="16"/>
              </w:rPr>
            </w:pPr>
            <w:r w:rsidRPr="005D0210">
              <w:rPr>
                <w:sz w:val="16"/>
                <w:szCs w:val="16"/>
              </w:rPr>
              <w:t>Penzes et al 2018</w:t>
            </w:r>
          </w:p>
        </w:tc>
        <w:tc>
          <w:tcPr>
            <w:tcW w:w="1417" w:type="dxa"/>
          </w:tcPr>
          <w:p w14:paraId="463BCD8E"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sz w:val="16"/>
                <w:szCs w:val="16"/>
              </w:rPr>
            </w:pPr>
            <w:r w:rsidRPr="005D0210">
              <w:rPr>
                <w:sz w:val="16"/>
                <w:szCs w:val="16"/>
              </w:rPr>
              <w:t>Cohort</w:t>
            </w:r>
          </w:p>
        </w:tc>
        <w:tc>
          <w:tcPr>
            <w:tcW w:w="760" w:type="dxa"/>
          </w:tcPr>
          <w:p w14:paraId="7F498D02"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sz w:val="16"/>
                <w:szCs w:val="16"/>
              </w:rPr>
            </w:pPr>
            <w:r w:rsidRPr="005D0210">
              <w:rPr>
                <w:sz w:val="16"/>
                <w:szCs w:val="16"/>
              </w:rPr>
              <w:t>6 months</w:t>
            </w:r>
          </w:p>
        </w:tc>
        <w:tc>
          <w:tcPr>
            <w:tcW w:w="4202" w:type="dxa"/>
          </w:tcPr>
          <w:p w14:paraId="43B3906B"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sz w:val="16"/>
                <w:szCs w:val="16"/>
              </w:rPr>
            </w:pPr>
            <w:r w:rsidRPr="005D0210">
              <w:rPr>
                <w:sz w:val="16"/>
                <w:szCs w:val="16"/>
              </w:rPr>
              <w:t>9</w:t>
            </w:r>
            <w:r w:rsidRPr="005D0210">
              <w:rPr>
                <w:sz w:val="16"/>
                <w:szCs w:val="16"/>
                <w:vertAlign w:val="superscript"/>
              </w:rPr>
              <w:t>th</w:t>
            </w:r>
            <w:r w:rsidRPr="005D0210">
              <w:rPr>
                <w:sz w:val="16"/>
                <w:szCs w:val="16"/>
              </w:rPr>
              <w:t xml:space="preserve"> grade students in Tirgu Mures, Romania (N=1,369)</w:t>
            </w:r>
          </w:p>
        </w:tc>
        <w:tc>
          <w:tcPr>
            <w:tcW w:w="3969" w:type="dxa"/>
          </w:tcPr>
          <w:p w14:paraId="5AB83B1A" w14:textId="6D4F0D7C"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sz w:val="16"/>
                <w:szCs w:val="16"/>
              </w:rPr>
            </w:pPr>
            <w:r w:rsidRPr="005D0210">
              <w:rPr>
                <w:sz w:val="16"/>
                <w:szCs w:val="16"/>
              </w:rPr>
              <w:t>Exposure: e</w:t>
            </w:r>
            <w:r w:rsidRPr="005D0210">
              <w:rPr>
                <w:sz w:val="16"/>
                <w:szCs w:val="16"/>
              </w:rPr>
              <w:noBreakHyphen/>
              <w:t>cigarette use (ever/never)</w:t>
            </w:r>
            <w:r w:rsidR="00F66844">
              <w:rPr>
                <w:sz w:val="16"/>
                <w:szCs w:val="16"/>
              </w:rPr>
              <w:t>.</w:t>
            </w:r>
          </w:p>
          <w:p w14:paraId="68C0334D" w14:textId="2FD1AEF3"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sz w:val="16"/>
                <w:szCs w:val="16"/>
              </w:rPr>
            </w:pPr>
            <w:r w:rsidRPr="005D0210">
              <w:rPr>
                <w:sz w:val="16"/>
                <w:szCs w:val="16"/>
              </w:rPr>
              <w:t>Outcome: smoking initiation</w:t>
            </w:r>
            <w:r w:rsidR="00F66844">
              <w:rPr>
                <w:sz w:val="16"/>
                <w:szCs w:val="16"/>
              </w:rPr>
              <w:t>.</w:t>
            </w:r>
          </w:p>
        </w:tc>
        <w:tc>
          <w:tcPr>
            <w:tcW w:w="3377" w:type="dxa"/>
          </w:tcPr>
          <w:p w14:paraId="307D0F87"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sz w:val="16"/>
                <w:szCs w:val="16"/>
              </w:rPr>
            </w:pPr>
            <w:r w:rsidRPr="005D0210">
              <w:rPr>
                <w:sz w:val="16"/>
                <w:szCs w:val="16"/>
              </w:rPr>
              <w:t>Fogarty International Center; National Cancer Institute of the National Institutes of Health</w:t>
            </w:r>
          </w:p>
        </w:tc>
      </w:tr>
      <w:tr w:rsidR="00781923" w:rsidRPr="005D0210" w14:paraId="20280E28" w14:textId="77777777" w:rsidTr="004E728C">
        <w:trPr>
          <w:trHeight w:val="1020"/>
        </w:trPr>
        <w:tc>
          <w:tcPr>
            <w:cnfStyle w:val="001000000000" w:firstRow="0" w:lastRow="0" w:firstColumn="1" w:lastColumn="0" w:oddVBand="0" w:evenVBand="0" w:oddHBand="0" w:evenHBand="0" w:firstRowFirstColumn="0" w:firstRowLastColumn="0" w:lastRowFirstColumn="0" w:lastRowLastColumn="0"/>
            <w:tcW w:w="1613" w:type="dxa"/>
          </w:tcPr>
          <w:p w14:paraId="753B289C" w14:textId="77777777" w:rsidR="00781923" w:rsidRPr="005D0210" w:rsidRDefault="00781923" w:rsidP="004E728C">
            <w:pPr>
              <w:rPr>
                <w:sz w:val="16"/>
                <w:szCs w:val="16"/>
              </w:rPr>
            </w:pPr>
            <w:r w:rsidRPr="005D0210">
              <w:rPr>
                <w:sz w:val="16"/>
                <w:szCs w:val="16"/>
              </w:rPr>
              <w:t>Treur et al 2017</w:t>
            </w:r>
          </w:p>
        </w:tc>
        <w:tc>
          <w:tcPr>
            <w:tcW w:w="1417" w:type="dxa"/>
          </w:tcPr>
          <w:p w14:paraId="7991D504"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sz w:val="16"/>
                <w:szCs w:val="16"/>
              </w:rPr>
            </w:pPr>
            <w:r w:rsidRPr="005D0210">
              <w:rPr>
                <w:sz w:val="16"/>
                <w:szCs w:val="16"/>
              </w:rPr>
              <w:t>Cohort</w:t>
            </w:r>
          </w:p>
        </w:tc>
        <w:tc>
          <w:tcPr>
            <w:tcW w:w="760" w:type="dxa"/>
          </w:tcPr>
          <w:p w14:paraId="6AA5ED77"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sz w:val="16"/>
                <w:szCs w:val="16"/>
              </w:rPr>
            </w:pPr>
            <w:r w:rsidRPr="005D0210">
              <w:rPr>
                <w:sz w:val="16"/>
                <w:szCs w:val="16"/>
              </w:rPr>
              <w:t>6 months</w:t>
            </w:r>
          </w:p>
        </w:tc>
        <w:tc>
          <w:tcPr>
            <w:tcW w:w="4202" w:type="dxa"/>
          </w:tcPr>
          <w:p w14:paraId="7A93E789"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sz w:val="16"/>
                <w:szCs w:val="16"/>
              </w:rPr>
            </w:pPr>
            <w:r w:rsidRPr="005D0210">
              <w:rPr>
                <w:sz w:val="16"/>
                <w:szCs w:val="16"/>
              </w:rPr>
              <w:t>School students aged 11</w:t>
            </w:r>
            <w:r w:rsidRPr="005D0210">
              <w:rPr>
                <w:sz w:val="16"/>
                <w:szCs w:val="16"/>
              </w:rPr>
              <w:noBreakHyphen/>
              <w:t>17 years in the Netherlands who have never smoked (N=2,100)</w:t>
            </w:r>
          </w:p>
        </w:tc>
        <w:tc>
          <w:tcPr>
            <w:tcW w:w="3969" w:type="dxa"/>
          </w:tcPr>
          <w:p w14:paraId="172675E6" w14:textId="345D9E92"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sz w:val="16"/>
                <w:szCs w:val="16"/>
              </w:rPr>
            </w:pPr>
            <w:r w:rsidRPr="005D0210">
              <w:rPr>
                <w:sz w:val="16"/>
                <w:szCs w:val="16"/>
              </w:rPr>
              <w:t>Exposures: ever and past month use of e</w:t>
            </w:r>
            <w:r w:rsidRPr="005D0210">
              <w:rPr>
                <w:sz w:val="16"/>
                <w:szCs w:val="16"/>
              </w:rPr>
              <w:noBreakHyphen/>
              <w:t>cigarettes with nicotine and without nicotine</w:t>
            </w:r>
            <w:r w:rsidR="00F66844">
              <w:rPr>
                <w:sz w:val="16"/>
                <w:szCs w:val="16"/>
              </w:rPr>
              <w:t>.</w:t>
            </w:r>
          </w:p>
          <w:p w14:paraId="3985A73C" w14:textId="5CACF18F"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sz w:val="16"/>
                <w:szCs w:val="16"/>
              </w:rPr>
            </w:pPr>
            <w:r w:rsidRPr="005D0210">
              <w:rPr>
                <w:sz w:val="16"/>
                <w:szCs w:val="16"/>
              </w:rPr>
              <w:t>Outcomes: conventional smoking (ever/never); smoking status (never/former/current)</w:t>
            </w:r>
            <w:r w:rsidR="00F66844">
              <w:rPr>
                <w:sz w:val="16"/>
                <w:szCs w:val="16"/>
              </w:rPr>
              <w:t>.</w:t>
            </w:r>
          </w:p>
        </w:tc>
        <w:tc>
          <w:tcPr>
            <w:tcW w:w="3377" w:type="dxa"/>
          </w:tcPr>
          <w:p w14:paraId="576D88DB"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sz w:val="16"/>
                <w:szCs w:val="16"/>
              </w:rPr>
            </w:pPr>
            <w:r w:rsidRPr="005D0210">
              <w:rPr>
                <w:sz w:val="16"/>
                <w:szCs w:val="16"/>
              </w:rPr>
              <w:t>European Research Council; Netherlands Organisation for Health Research and Development; the National Institute for Public Health and the Environment</w:t>
            </w:r>
          </w:p>
        </w:tc>
      </w:tr>
      <w:tr w:rsidR="00781923" w:rsidRPr="005D0210" w14:paraId="73EDE076" w14:textId="77777777" w:rsidTr="004E728C">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1613" w:type="dxa"/>
          </w:tcPr>
          <w:p w14:paraId="3BB3CAC8" w14:textId="77777777" w:rsidR="00781923" w:rsidRPr="005D0210" w:rsidRDefault="00781923" w:rsidP="004E728C">
            <w:pPr>
              <w:rPr>
                <w:sz w:val="16"/>
                <w:szCs w:val="16"/>
              </w:rPr>
            </w:pPr>
            <w:r w:rsidRPr="005D0210">
              <w:rPr>
                <w:sz w:val="16"/>
                <w:szCs w:val="16"/>
              </w:rPr>
              <w:t xml:space="preserve">Choi et al 2017 </w:t>
            </w:r>
          </w:p>
        </w:tc>
        <w:tc>
          <w:tcPr>
            <w:tcW w:w="1417" w:type="dxa"/>
          </w:tcPr>
          <w:p w14:paraId="7B77219C"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sz w:val="16"/>
                <w:szCs w:val="16"/>
              </w:rPr>
            </w:pPr>
            <w:r w:rsidRPr="005D0210">
              <w:rPr>
                <w:sz w:val="16"/>
                <w:szCs w:val="16"/>
              </w:rPr>
              <w:t>Cross</w:t>
            </w:r>
            <w:r w:rsidRPr="005D0210">
              <w:rPr>
                <w:sz w:val="16"/>
                <w:szCs w:val="16"/>
              </w:rPr>
              <w:noBreakHyphen/>
              <w:t>sectional</w:t>
            </w:r>
          </w:p>
        </w:tc>
        <w:tc>
          <w:tcPr>
            <w:tcW w:w="760" w:type="dxa"/>
          </w:tcPr>
          <w:p w14:paraId="24515E67"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sz w:val="16"/>
                <w:szCs w:val="16"/>
              </w:rPr>
            </w:pPr>
            <w:r w:rsidRPr="005D0210">
              <w:rPr>
                <w:sz w:val="16"/>
                <w:szCs w:val="16"/>
              </w:rPr>
              <w:t>N/A</w:t>
            </w:r>
          </w:p>
        </w:tc>
        <w:tc>
          <w:tcPr>
            <w:tcW w:w="4202" w:type="dxa"/>
          </w:tcPr>
          <w:p w14:paraId="609F4B4A"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sz w:val="16"/>
                <w:szCs w:val="16"/>
              </w:rPr>
            </w:pPr>
            <w:r w:rsidRPr="005D0210">
              <w:rPr>
                <w:sz w:val="16"/>
                <w:szCs w:val="16"/>
              </w:rPr>
              <w:t>Middle and high school students in Florida (N=68,928)</w:t>
            </w:r>
          </w:p>
        </w:tc>
        <w:tc>
          <w:tcPr>
            <w:tcW w:w="3969" w:type="dxa"/>
          </w:tcPr>
          <w:p w14:paraId="5A1846B9" w14:textId="3ED4566E"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sz w:val="16"/>
                <w:szCs w:val="16"/>
              </w:rPr>
            </w:pPr>
            <w:r w:rsidRPr="005D0210">
              <w:rPr>
                <w:sz w:val="16"/>
                <w:szCs w:val="16"/>
              </w:rPr>
              <w:t>Exposures: ENDs use (ever/never; past 30</w:t>
            </w:r>
            <w:r w:rsidRPr="005D0210">
              <w:rPr>
                <w:sz w:val="16"/>
                <w:szCs w:val="16"/>
              </w:rPr>
              <w:noBreakHyphen/>
              <w:t>day use/non</w:t>
            </w:r>
            <w:r w:rsidRPr="005D0210">
              <w:rPr>
                <w:sz w:val="16"/>
                <w:szCs w:val="16"/>
              </w:rPr>
              <w:noBreakHyphen/>
              <w:t>past 30</w:t>
            </w:r>
            <w:r w:rsidRPr="005D0210">
              <w:rPr>
                <w:sz w:val="16"/>
                <w:szCs w:val="16"/>
              </w:rPr>
              <w:noBreakHyphen/>
              <w:t>day use/never)</w:t>
            </w:r>
            <w:r w:rsidR="00F66844">
              <w:rPr>
                <w:sz w:val="16"/>
                <w:szCs w:val="16"/>
              </w:rPr>
              <w:t>.</w:t>
            </w:r>
          </w:p>
          <w:p w14:paraId="705E162C" w14:textId="0F8D6955"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sz w:val="16"/>
                <w:szCs w:val="16"/>
              </w:rPr>
            </w:pPr>
            <w:r w:rsidRPr="005D0210">
              <w:rPr>
                <w:sz w:val="16"/>
                <w:szCs w:val="16"/>
              </w:rPr>
              <w:t>Outcomes: Peer and community acceptability of adult cigarette smoking; susceptibility to cigarette smokin</w:t>
            </w:r>
            <w:r w:rsidR="008E6600">
              <w:rPr>
                <w:sz w:val="16"/>
                <w:szCs w:val="16"/>
              </w:rPr>
              <w:t>g</w:t>
            </w:r>
            <w:r w:rsidR="00F66844">
              <w:rPr>
                <w:sz w:val="16"/>
                <w:szCs w:val="16"/>
              </w:rPr>
              <w:t>.</w:t>
            </w:r>
          </w:p>
        </w:tc>
        <w:tc>
          <w:tcPr>
            <w:tcW w:w="3377" w:type="dxa"/>
          </w:tcPr>
          <w:p w14:paraId="6485968F"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sz w:val="16"/>
                <w:szCs w:val="16"/>
              </w:rPr>
            </w:pPr>
            <w:r w:rsidRPr="005D0210">
              <w:rPr>
                <w:sz w:val="16"/>
                <w:szCs w:val="16"/>
              </w:rPr>
              <w:t>National Cancer Institute; National Institute on Minority Health and Health Disparities Division of Intramural Research</w:t>
            </w:r>
          </w:p>
        </w:tc>
      </w:tr>
      <w:tr w:rsidR="00781923" w:rsidRPr="005D0210" w14:paraId="0955F901" w14:textId="77777777" w:rsidTr="004E728C">
        <w:trPr>
          <w:trHeight w:val="1119"/>
        </w:trPr>
        <w:tc>
          <w:tcPr>
            <w:cnfStyle w:val="001000000000" w:firstRow="0" w:lastRow="0" w:firstColumn="1" w:lastColumn="0" w:oddVBand="0" w:evenVBand="0" w:oddHBand="0" w:evenHBand="0" w:firstRowFirstColumn="0" w:firstRowLastColumn="0" w:lastRowFirstColumn="0" w:lastRowLastColumn="0"/>
            <w:tcW w:w="1613" w:type="dxa"/>
          </w:tcPr>
          <w:p w14:paraId="07C8FA05" w14:textId="77777777" w:rsidR="00781923" w:rsidRPr="005D0210" w:rsidRDefault="00781923" w:rsidP="004E728C">
            <w:pPr>
              <w:rPr>
                <w:sz w:val="16"/>
                <w:szCs w:val="16"/>
              </w:rPr>
            </w:pPr>
            <w:r w:rsidRPr="005D0210">
              <w:rPr>
                <w:sz w:val="16"/>
                <w:szCs w:val="16"/>
              </w:rPr>
              <w:lastRenderedPageBreak/>
              <w:t>De Lacy et al 2017</w:t>
            </w:r>
          </w:p>
        </w:tc>
        <w:tc>
          <w:tcPr>
            <w:tcW w:w="1417" w:type="dxa"/>
          </w:tcPr>
          <w:p w14:paraId="442C3BB4"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sz w:val="16"/>
                <w:szCs w:val="16"/>
              </w:rPr>
            </w:pPr>
            <w:r w:rsidRPr="005D0210">
              <w:rPr>
                <w:sz w:val="16"/>
                <w:szCs w:val="16"/>
              </w:rPr>
              <w:t>Cross</w:t>
            </w:r>
            <w:r w:rsidRPr="005D0210">
              <w:rPr>
                <w:sz w:val="16"/>
                <w:szCs w:val="16"/>
              </w:rPr>
              <w:noBreakHyphen/>
              <w:t>sectional</w:t>
            </w:r>
          </w:p>
        </w:tc>
        <w:tc>
          <w:tcPr>
            <w:tcW w:w="760" w:type="dxa"/>
          </w:tcPr>
          <w:p w14:paraId="6FFB3078"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sz w:val="16"/>
                <w:szCs w:val="16"/>
              </w:rPr>
            </w:pPr>
            <w:r w:rsidRPr="005D0210">
              <w:rPr>
                <w:sz w:val="16"/>
                <w:szCs w:val="16"/>
              </w:rPr>
              <w:t>N/A</w:t>
            </w:r>
          </w:p>
        </w:tc>
        <w:tc>
          <w:tcPr>
            <w:tcW w:w="4202" w:type="dxa"/>
          </w:tcPr>
          <w:p w14:paraId="127F61C2"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sz w:val="16"/>
                <w:szCs w:val="16"/>
              </w:rPr>
            </w:pPr>
            <w:r w:rsidRPr="005D0210">
              <w:rPr>
                <w:sz w:val="16"/>
                <w:szCs w:val="16"/>
              </w:rPr>
              <w:t>Students aged 11</w:t>
            </w:r>
            <w:r w:rsidRPr="005D0210">
              <w:rPr>
                <w:sz w:val="16"/>
                <w:szCs w:val="16"/>
              </w:rPr>
              <w:noBreakHyphen/>
              <w:t>16 years in network schools in Wales (N=32,479)</w:t>
            </w:r>
          </w:p>
        </w:tc>
        <w:tc>
          <w:tcPr>
            <w:tcW w:w="3969" w:type="dxa"/>
          </w:tcPr>
          <w:p w14:paraId="3BD61430" w14:textId="70EA29D0"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sz w:val="16"/>
                <w:szCs w:val="16"/>
              </w:rPr>
            </w:pPr>
            <w:r w:rsidRPr="005D0210">
              <w:rPr>
                <w:sz w:val="16"/>
                <w:szCs w:val="16"/>
              </w:rPr>
              <w:t>Exposure: e</w:t>
            </w:r>
            <w:r w:rsidRPr="005D0210">
              <w:rPr>
                <w:sz w:val="16"/>
                <w:szCs w:val="16"/>
              </w:rPr>
              <w:noBreakHyphen/>
              <w:t>cigarette use (regular (≥once/week), occasional (&lt;once/week), never)</w:t>
            </w:r>
            <w:r w:rsidR="00F66844">
              <w:rPr>
                <w:sz w:val="16"/>
                <w:szCs w:val="16"/>
              </w:rPr>
              <w:t>.</w:t>
            </w:r>
          </w:p>
          <w:p w14:paraId="1ED13E92" w14:textId="040ABA46"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sz w:val="16"/>
                <w:szCs w:val="16"/>
              </w:rPr>
            </w:pPr>
            <w:r w:rsidRPr="005D0210">
              <w:rPr>
                <w:sz w:val="16"/>
                <w:szCs w:val="16"/>
              </w:rPr>
              <w:t>Outcome: smoking status; used first (e</w:t>
            </w:r>
            <w:r w:rsidRPr="005D0210">
              <w:rPr>
                <w:sz w:val="16"/>
                <w:szCs w:val="16"/>
              </w:rPr>
              <w:noBreakHyphen/>
              <w:t>cigarette or cigarette) in those who have tried both</w:t>
            </w:r>
            <w:r w:rsidR="00F66844">
              <w:rPr>
                <w:sz w:val="16"/>
                <w:szCs w:val="16"/>
              </w:rPr>
              <w:t>.</w:t>
            </w:r>
          </w:p>
        </w:tc>
        <w:tc>
          <w:tcPr>
            <w:tcW w:w="3377" w:type="dxa"/>
          </w:tcPr>
          <w:p w14:paraId="5C5A254E"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sz w:val="16"/>
                <w:szCs w:val="16"/>
              </w:rPr>
            </w:pPr>
            <w:r w:rsidRPr="005D0210">
              <w:rPr>
                <w:sz w:val="16"/>
                <w:szCs w:val="16"/>
              </w:rPr>
              <w:t>Health and Care Research Wales via the National Centre for Health and Well</w:t>
            </w:r>
            <w:r w:rsidRPr="005D0210">
              <w:rPr>
                <w:sz w:val="16"/>
                <w:szCs w:val="16"/>
              </w:rPr>
              <w:noBreakHyphen/>
              <w:t>being Research; DECIPHer, a UKCRC Public Health Research Centre of Excellence; the British Heart Foundation; Cancer Research UK; Economic and Social Research Council; Medical Research Council; the Welsh Government; the Wellcome Trust, under the auspices of the UK Clinical Research Collaboration</w:t>
            </w:r>
          </w:p>
        </w:tc>
      </w:tr>
      <w:tr w:rsidR="00781923" w:rsidRPr="005D0210" w14:paraId="6617D328" w14:textId="77777777" w:rsidTr="004E728C">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1613" w:type="dxa"/>
          </w:tcPr>
          <w:p w14:paraId="423E62C5" w14:textId="77777777" w:rsidR="00781923" w:rsidRPr="005D0210" w:rsidRDefault="00781923" w:rsidP="004E728C">
            <w:pPr>
              <w:rPr>
                <w:sz w:val="16"/>
                <w:szCs w:val="16"/>
              </w:rPr>
            </w:pPr>
            <w:r w:rsidRPr="005D0210">
              <w:rPr>
                <w:sz w:val="16"/>
                <w:szCs w:val="16"/>
              </w:rPr>
              <w:t>Farsalinos et al 2018</w:t>
            </w:r>
          </w:p>
        </w:tc>
        <w:tc>
          <w:tcPr>
            <w:tcW w:w="1417" w:type="dxa"/>
          </w:tcPr>
          <w:p w14:paraId="6E5FFD60"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sz w:val="16"/>
                <w:szCs w:val="16"/>
              </w:rPr>
            </w:pPr>
            <w:r w:rsidRPr="005D0210">
              <w:rPr>
                <w:sz w:val="16"/>
                <w:szCs w:val="16"/>
              </w:rPr>
              <w:t>Cross</w:t>
            </w:r>
            <w:r w:rsidRPr="005D0210">
              <w:rPr>
                <w:sz w:val="16"/>
                <w:szCs w:val="16"/>
              </w:rPr>
              <w:noBreakHyphen/>
              <w:t>sectional</w:t>
            </w:r>
          </w:p>
        </w:tc>
        <w:tc>
          <w:tcPr>
            <w:tcW w:w="760" w:type="dxa"/>
          </w:tcPr>
          <w:p w14:paraId="73883599"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sz w:val="16"/>
                <w:szCs w:val="16"/>
              </w:rPr>
            </w:pPr>
            <w:r w:rsidRPr="005D0210">
              <w:rPr>
                <w:sz w:val="16"/>
                <w:szCs w:val="16"/>
              </w:rPr>
              <w:t>N/A</w:t>
            </w:r>
          </w:p>
        </w:tc>
        <w:tc>
          <w:tcPr>
            <w:tcW w:w="4202" w:type="dxa"/>
          </w:tcPr>
          <w:p w14:paraId="4B7D13CF"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sz w:val="16"/>
                <w:szCs w:val="16"/>
              </w:rPr>
            </w:pPr>
            <w:r w:rsidRPr="005D0210">
              <w:rPr>
                <w:sz w:val="16"/>
                <w:szCs w:val="16"/>
              </w:rPr>
              <w:t>Representative sample of adults living in Attica prefecture, Greece (N=4,058)</w:t>
            </w:r>
          </w:p>
        </w:tc>
        <w:tc>
          <w:tcPr>
            <w:tcW w:w="3969" w:type="dxa"/>
          </w:tcPr>
          <w:p w14:paraId="186DD554" w14:textId="611ADAAE"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sz w:val="16"/>
                <w:szCs w:val="16"/>
              </w:rPr>
            </w:pPr>
            <w:r w:rsidRPr="005D0210">
              <w:rPr>
                <w:sz w:val="16"/>
                <w:szCs w:val="16"/>
              </w:rPr>
              <w:t>Exposure: e</w:t>
            </w:r>
            <w:r w:rsidRPr="005D0210">
              <w:rPr>
                <w:sz w:val="16"/>
                <w:szCs w:val="16"/>
              </w:rPr>
              <w:noBreakHyphen/>
              <w:t>cigarette use (ever/never; past 30</w:t>
            </w:r>
            <w:r w:rsidRPr="005D0210">
              <w:rPr>
                <w:sz w:val="16"/>
                <w:szCs w:val="16"/>
              </w:rPr>
              <w:noBreakHyphen/>
              <w:t>day use (yes/no))</w:t>
            </w:r>
            <w:r w:rsidR="00F66844">
              <w:rPr>
                <w:sz w:val="16"/>
                <w:szCs w:val="16"/>
              </w:rPr>
              <w:t>.</w:t>
            </w:r>
          </w:p>
          <w:p w14:paraId="489DA4EC" w14:textId="61F58030"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sz w:val="16"/>
                <w:szCs w:val="16"/>
              </w:rPr>
            </w:pPr>
            <w:r w:rsidRPr="005D0210">
              <w:rPr>
                <w:sz w:val="16"/>
                <w:szCs w:val="16"/>
              </w:rPr>
              <w:t>Outcome: smoking status (never, former, current)</w:t>
            </w:r>
            <w:r w:rsidR="00F66844">
              <w:rPr>
                <w:sz w:val="16"/>
                <w:szCs w:val="16"/>
              </w:rPr>
              <w:t>.</w:t>
            </w:r>
          </w:p>
        </w:tc>
        <w:tc>
          <w:tcPr>
            <w:tcW w:w="3377" w:type="dxa"/>
          </w:tcPr>
          <w:p w14:paraId="62CCCE6B"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sz w:val="16"/>
                <w:szCs w:val="16"/>
              </w:rPr>
            </w:pPr>
            <w:r w:rsidRPr="005D0210">
              <w:rPr>
                <w:sz w:val="16"/>
                <w:szCs w:val="16"/>
              </w:rPr>
              <w:t>Not reported</w:t>
            </w:r>
          </w:p>
        </w:tc>
      </w:tr>
      <w:tr w:rsidR="00781923" w:rsidRPr="005D0210" w14:paraId="06CF34E4" w14:textId="77777777" w:rsidTr="004E728C">
        <w:trPr>
          <w:trHeight w:val="658"/>
        </w:trPr>
        <w:tc>
          <w:tcPr>
            <w:cnfStyle w:val="001000000000" w:firstRow="0" w:lastRow="0" w:firstColumn="1" w:lastColumn="0" w:oddVBand="0" w:evenVBand="0" w:oddHBand="0" w:evenHBand="0" w:firstRowFirstColumn="0" w:firstRowLastColumn="0" w:lastRowFirstColumn="0" w:lastRowLastColumn="0"/>
            <w:tcW w:w="1613" w:type="dxa"/>
          </w:tcPr>
          <w:p w14:paraId="3B0CA223" w14:textId="77777777" w:rsidR="00781923" w:rsidRPr="005D0210" w:rsidRDefault="00781923" w:rsidP="004E728C">
            <w:pPr>
              <w:rPr>
                <w:sz w:val="16"/>
                <w:szCs w:val="16"/>
              </w:rPr>
            </w:pPr>
            <w:r w:rsidRPr="005D0210">
              <w:rPr>
                <w:sz w:val="16"/>
                <w:szCs w:val="16"/>
              </w:rPr>
              <w:t xml:space="preserve">Hammond et al 2017 </w:t>
            </w:r>
          </w:p>
        </w:tc>
        <w:tc>
          <w:tcPr>
            <w:tcW w:w="1417" w:type="dxa"/>
          </w:tcPr>
          <w:p w14:paraId="6EB4F52D"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sz w:val="16"/>
                <w:szCs w:val="16"/>
              </w:rPr>
            </w:pPr>
            <w:r w:rsidRPr="005D0210">
              <w:rPr>
                <w:sz w:val="16"/>
                <w:szCs w:val="16"/>
              </w:rPr>
              <w:t>Cross</w:t>
            </w:r>
            <w:r w:rsidRPr="005D0210">
              <w:rPr>
                <w:sz w:val="16"/>
                <w:szCs w:val="16"/>
              </w:rPr>
              <w:noBreakHyphen/>
              <w:t>sectional</w:t>
            </w:r>
          </w:p>
        </w:tc>
        <w:tc>
          <w:tcPr>
            <w:tcW w:w="760" w:type="dxa"/>
          </w:tcPr>
          <w:p w14:paraId="2F2E9EBC"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sz w:val="16"/>
                <w:szCs w:val="16"/>
              </w:rPr>
            </w:pPr>
            <w:r w:rsidRPr="005D0210">
              <w:rPr>
                <w:sz w:val="16"/>
                <w:szCs w:val="16"/>
              </w:rPr>
              <w:t>N/A</w:t>
            </w:r>
          </w:p>
        </w:tc>
        <w:tc>
          <w:tcPr>
            <w:tcW w:w="4202" w:type="dxa"/>
          </w:tcPr>
          <w:p w14:paraId="2A8C4E9E"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sz w:val="16"/>
                <w:szCs w:val="16"/>
              </w:rPr>
            </w:pPr>
            <w:r w:rsidRPr="005D0210">
              <w:rPr>
                <w:sz w:val="16"/>
                <w:szCs w:val="16"/>
              </w:rPr>
              <w:t>Grades 9</w:t>
            </w:r>
            <w:r w:rsidRPr="005D0210">
              <w:rPr>
                <w:sz w:val="16"/>
                <w:szCs w:val="16"/>
              </w:rPr>
              <w:noBreakHyphen/>
              <w:t>12 secondary school students in Ontario and Alberta, Canada (N=44,163)</w:t>
            </w:r>
          </w:p>
        </w:tc>
        <w:tc>
          <w:tcPr>
            <w:tcW w:w="3969" w:type="dxa"/>
          </w:tcPr>
          <w:p w14:paraId="63B0BF57" w14:textId="429E7D42"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sz w:val="16"/>
                <w:szCs w:val="16"/>
              </w:rPr>
            </w:pPr>
            <w:r w:rsidRPr="005D0210">
              <w:rPr>
                <w:sz w:val="16"/>
                <w:szCs w:val="16"/>
              </w:rPr>
              <w:t>Exposure: past 30</w:t>
            </w:r>
            <w:r w:rsidRPr="005D0210">
              <w:rPr>
                <w:sz w:val="16"/>
                <w:szCs w:val="16"/>
              </w:rPr>
              <w:noBreakHyphen/>
              <w:t>day use of e</w:t>
            </w:r>
            <w:r w:rsidRPr="005D0210">
              <w:rPr>
                <w:sz w:val="16"/>
                <w:szCs w:val="16"/>
              </w:rPr>
              <w:noBreakHyphen/>
              <w:t>cigarettes (yes/no)</w:t>
            </w:r>
            <w:r w:rsidR="00F66844">
              <w:rPr>
                <w:sz w:val="16"/>
                <w:szCs w:val="16"/>
              </w:rPr>
              <w:t>.</w:t>
            </w:r>
          </w:p>
          <w:p w14:paraId="0EA95270" w14:textId="1B144A6E"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sz w:val="16"/>
                <w:szCs w:val="16"/>
              </w:rPr>
            </w:pPr>
            <w:r w:rsidRPr="005D0210">
              <w:rPr>
                <w:sz w:val="16"/>
                <w:szCs w:val="16"/>
              </w:rPr>
              <w:t>Outcome: smoking (never tried, not susceptible/never tried, susceptible/puffer/experimental smoker/former smoker/current occasional smoker/current daily smoker)</w:t>
            </w:r>
            <w:r w:rsidR="00F66844">
              <w:rPr>
                <w:sz w:val="16"/>
                <w:szCs w:val="16"/>
              </w:rPr>
              <w:t>.</w:t>
            </w:r>
          </w:p>
        </w:tc>
        <w:tc>
          <w:tcPr>
            <w:tcW w:w="3377" w:type="dxa"/>
          </w:tcPr>
          <w:p w14:paraId="10CC4066"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sz w:val="16"/>
                <w:szCs w:val="16"/>
              </w:rPr>
            </w:pPr>
            <w:r w:rsidRPr="005D0210">
              <w:rPr>
                <w:sz w:val="16"/>
                <w:szCs w:val="16"/>
              </w:rPr>
              <w:t>Canada institutes of health research (CIHR)</w:t>
            </w:r>
          </w:p>
        </w:tc>
      </w:tr>
      <w:tr w:rsidR="00781923" w:rsidRPr="005D0210" w14:paraId="63297EF2" w14:textId="77777777" w:rsidTr="004E728C">
        <w:trPr>
          <w:cnfStyle w:val="000000100000" w:firstRow="0" w:lastRow="0" w:firstColumn="0" w:lastColumn="0" w:oddVBand="0" w:evenVBand="0" w:oddHBand="1"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1613" w:type="dxa"/>
          </w:tcPr>
          <w:p w14:paraId="562CCC45" w14:textId="77777777" w:rsidR="00781923" w:rsidRPr="005D0210" w:rsidRDefault="00781923" w:rsidP="004E728C">
            <w:pPr>
              <w:rPr>
                <w:sz w:val="16"/>
                <w:szCs w:val="16"/>
              </w:rPr>
            </w:pPr>
            <w:r w:rsidRPr="005D0210">
              <w:rPr>
                <w:sz w:val="16"/>
                <w:szCs w:val="16"/>
              </w:rPr>
              <w:t>Hines et al 2017</w:t>
            </w:r>
          </w:p>
        </w:tc>
        <w:tc>
          <w:tcPr>
            <w:tcW w:w="1417" w:type="dxa"/>
          </w:tcPr>
          <w:p w14:paraId="0FA54AD0"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sz w:val="16"/>
                <w:szCs w:val="16"/>
              </w:rPr>
            </w:pPr>
            <w:r w:rsidRPr="005D0210">
              <w:rPr>
                <w:sz w:val="16"/>
                <w:szCs w:val="16"/>
              </w:rPr>
              <w:t>Cross</w:t>
            </w:r>
            <w:r w:rsidRPr="005D0210">
              <w:rPr>
                <w:sz w:val="16"/>
                <w:szCs w:val="16"/>
              </w:rPr>
              <w:noBreakHyphen/>
              <w:t>sectional</w:t>
            </w:r>
          </w:p>
        </w:tc>
        <w:tc>
          <w:tcPr>
            <w:tcW w:w="760" w:type="dxa"/>
          </w:tcPr>
          <w:p w14:paraId="5333B593"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sz w:val="16"/>
                <w:szCs w:val="16"/>
              </w:rPr>
            </w:pPr>
            <w:r w:rsidRPr="005D0210">
              <w:rPr>
                <w:sz w:val="16"/>
                <w:szCs w:val="16"/>
              </w:rPr>
              <w:t>N/A</w:t>
            </w:r>
          </w:p>
        </w:tc>
        <w:tc>
          <w:tcPr>
            <w:tcW w:w="4202" w:type="dxa"/>
          </w:tcPr>
          <w:p w14:paraId="01C9A218"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sz w:val="16"/>
                <w:szCs w:val="16"/>
              </w:rPr>
            </w:pPr>
            <w:r w:rsidRPr="005D0210">
              <w:rPr>
                <w:sz w:val="16"/>
                <w:szCs w:val="16"/>
              </w:rPr>
              <w:t>8</w:t>
            </w:r>
            <w:r w:rsidRPr="005D0210">
              <w:rPr>
                <w:sz w:val="16"/>
                <w:szCs w:val="16"/>
                <w:vertAlign w:val="superscript"/>
              </w:rPr>
              <w:t>th</w:t>
            </w:r>
            <w:r w:rsidRPr="005D0210">
              <w:rPr>
                <w:sz w:val="16"/>
                <w:szCs w:val="16"/>
              </w:rPr>
              <w:t xml:space="preserve"> and 11</w:t>
            </w:r>
            <w:r w:rsidRPr="005D0210">
              <w:rPr>
                <w:sz w:val="16"/>
                <w:szCs w:val="16"/>
                <w:vertAlign w:val="superscript"/>
              </w:rPr>
              <w:t>th</w:t>
            </w:r>
            <w:r w:rsidRPr="005D0210">
              <w:rPr>
                <w:sz w:val="16"/>
                <w:szCs w:val="16"/>
              </w:rPr>
              <w:t xml:space="preserve"> grade students in Oregon, USA (N=29,674)</w:t>
            </w:r>
          </w:p>
        </w:tc>
        <w:tc>
          <w:tcPr>
            <w:tcW w:w="3969" w:type="dxa"/>
          </w:tcPr>
          <w:p w14:paraId="2F5C3675" w14:textId="1D07784A"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sz w:val="16"/>
                <w:szCs w:val="16"/>
              </w:rPr>
            </w:pPr>
            <w:r w:rsidRPr="005D0210">
              <w:rPr>
                <w:sz w:val="16"/>
                <w:szCs w:val="16"/>
              </w:rPr>
              <w:t>Exposure: introductory tobacco product used</w:t>
            </w:r>
            <w:r w:rsidR="00F66844">
              <w:rPr>
                <w:sz w:val="16"/>
                <w:szCs w:val="16"/>
              </w:rPr>
              <w:t>.</w:t>
            </w:r>
          </w:p>
          <w:p w14:paraId="7FA1E1C5" w14:textId="52C9E6FE"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sz w:val="16"/>
                <w:szCs w:val="16"/>
              </w:rPr>
            </w:pPr>
            <w:r w:rsidRPr="005D0210">
              <w:rPr>
                <w:sz w:val="16"/>
                <w:szCs w:val="16"/>
              </w:rPr>
              <w:t>Outcome: ever and current tobacco product use (used in the past 30 days)</w:t>
            </w:r>
            <w:r w:rsidR="00F66844">
              <w:rPr>
                <w:sz w:val="16"/>
                <w:szCs w:val="16"/>
              </w:rPr>
              <w:t>.</w:t>
            </w:r>
          </w:p>
        </w:tc>
        <w:tc>
          <w:tcPr>
            <w:tcW w:w="3377" w:type="dxa"/>
          </w:tcPr>
          <w:p w14:paraId="005F4D6A"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sz w:val="16"/>
                <w:szCs w:val="16"/>
              </w:rPr>
            </w:pPr>
            <w:r w:rsidRPr="005D0210">
              <w:rPr>
                <w:sz w:val="16"/>
                <w:szCs w:val="16"/>
              </w:rPr>
              <w:t>Not reported</w:t>
            </w:r>
          </w:p>
        </w:tc>
      </w:tr>
      <w:tr w:rsidR="00781923" w:rsidRPr="005D0210" w14:paraId="075655D5" w14:textId="77777777" w:rsidTr="004E728C">
        <w:trPr>
          <w:trHeight w:val="330"/>
        </w:trPr>
        <w:tc>
          <w:tcPr>
            <w:cnfStyle w:val="001000000000" w:firstRow="0" w:lastRow="0" w:firstColumn="1" w:lastColumn="0" w:oddVBand="0" w:evenVBand="0" w:oddHBand="0" w:evenHBand="0" w:firstRowFirstColumn="0" w:firstRowLastColumn="0" w:lastRowFirstColumn="0" w:lastRowLastColumn="0"/>
            <w:tcW w:w="1613" w:type="dxa"/>
          </w:tcPr>
          <w:p w14:paraId="49F806E5" w14:textId="77777777" w:rsidR="00781923" w:rsidRPr="005D0210" w:rsidRDefault="00781923" w:rsidP="004E728C">
            <w:pPr>
              <w:rPr>
                <w:sz w:val="16"/>
                <w:szCs w:val="16"/>
              </w:rPr>
            </w:pPr>
            <w:r w:rsidRPr="005D0210">
              <w:rPr>
                <w:sz w:val="16"/>
                <w:szCs w:val="16"/>
              </w:rPr>
              <w:t>Kinouani et al 2017</w:t>
            </w:r>
          </w:p>
        </w:tc>
        <w:tc>
          <w:tcPr>
            <w:tcW w:w="1417" w:type="dxa"/>
          </w:tcPr>
          <w:p w14:paraId="4B2D6684"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sz w:val="16"/>
                <w:szCs w:val="16"/>
              </w:rPr>
            </w:pPr>
            <w:r w:rsidRPr="005D0210">
              <w:rPr>
                <w:sz w:val="16"/>
                <w:szCs w:val="16"/>
              </w:rPr>
              <w:t>Cross</w:t>
            </w:r>
            <w:r w:rsidRPr="005D0210">
              <w:rPr>
                <w:sz w:val="16"/>
                <w:szCs w:val="16"/>
              </w:rPr>
              <w:noBreakHyphen/>
              <w:t>sectional</w:t>
            </w:r>
          </w:p>
        </w:tc>
        <w:tc>
          <w:tcPr>
            <w:tcW w:w="760" w:type="dxa"/>
          </w:tcPr>
          <w:p w14:paraId="27C2C24D"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sz w:val="16"/>
                <w:szCs w:val="16"/>
              </w:rPr>
            </w:pPr>
            <w:r w:rsidRPr="005D0210">
              <w:rPr>
                <w:sz w:val="16"/>
                <w:szCs w:val="16"/>
              </w:rPr>
              <w:t>N/A</w:t>
            </w:r>
          </w:p>
        </w:tc>
        <w:tc>
          <w:tcPr>
            <w:tcW w:w="4202" w:type="dxa"/>
          </w:tcPr>
          <w:p w14:paraId="75A4D079"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sz w:val="16"/>
                <w:szCs w:val="16"/>
              </w:rPr>
            </w:pPr>
            <w:r w:rsidRPr="005D0210">
              <w:rPr>
                <w:sz w:val="16"/>
                <w:szCs w:val="16"/>
              </w:rPr>
              <w:t>Higher education students in France (mean age: 21 years) (N=2,720)</w:t>
            </w:r>
          </w:p>
        </w:tc>
        <w:tc>
          <w:tcPr>
            <w:tcW w:w="3969" w:type="dxa"/>
          </w:tcPr>
          <w:p w14:paraId="4EDE9D41" w14:textId="7CB0D2E1"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sz w:val="16"/>
                <w:szCs w:val="16"/>
              </w:rPr>
            </w:pPr>
            <w:r w:rsidRPr="005D0210">
              <w:rPr>
                <w:sz w:val="16"/>
                <w:szCs w:val="16"/>
              </w:rPr>
              <w:t>Exposure: e</w:t>
            </w:r>
            <w:r w:rsidRPr="005D0210">
              <w:rPr>
                <w:sz w:val="16"/>
                <w:szCs w:val="16"/>
              </w:rPr>
              <w:noBreakHyphen/>
              <w:t>cigarette use (current user/former user (tried but not currently using)/never tried)</w:t>
            </w:r>
            <w:r w:rsidR="00F66844">
              <w:rPr>
                <w:sz w:val="16"/>
                <w:szCs w:val="16"/>
              </w:rPr>
              <w:t>.</w:t>
            </w:r>
          </w:p>
          <w:p w14:paraId="4D43A4A6" w14:textId="43811109"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sz w:val="16"/>
                <w:szCs w:val="16"/>
              </w:rPr>
            </w:pPr>
            <w:r w:rsidRPr="005D0210">
              <w:rPr>
                <w:sz w:val="16"/>
                <w:szCs w:val="16"/>
              </w:rPr>
              <w:t>Outcome: cigarette smoking (current/former/never)</w:t>
            </w:r>
            <w:r w:rsidR="00F66844">
              <w:rPr>
                <w:sz w:val="16"/>
                <w:szCs w:val="16"/>
              </w:rPr>
              <w:t>.</w:t>
            </w:r>
          </w:p>
        </w:tc>
        <w:tc>
          <w:tcPr>
            <w:tcW w:w="3377" w:type="dxa"/>
          </w:tcPr>
          <w:p w14:paraId="37104C92"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sz w:val="16"/>
                <w:szCs w:val="16"/>
              </w:rPr>
            </w:pPr>
            <w:r w:rsidRPr="005D0210">
              <w:rPr>
                <w:sz w:val="16"/>
                <w:szCs w:val="16"/>
              </w:rPr>
              <w:t>French National Research Agency; Institut National du Cancer</w:t>
            </w:r>
          </w:p>
        </w:tc>
      </w:tr>
      <w:tr w:rsidR="00781923" w:rsidRPr="005D0210" w14:paraId="02C9AEC3" w14:textId="77777777" w:rsidTr="004E728C">
        <w:trPr>
          <w:cnfStyle w:val="000000100000" w:firstRow="0" w:lastRow="0" w:firstColumn="0" w:lastColumn="0" w:oddVBand="0" w:evenVBand="0" w:oddHBand="1" w:evenHBand="0"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1613" w:type="dxa"/>
          </w:tcPr>
          <w:p w14:paraId="16278939" w14:textId="77777777" w:rsidR="00781923" w:rsidRPr="005D0210" w:rsidRDefault="00781923" w:rsidP="004E728C">
            <w:pPr>
              <w:rPr>
                <w:sz w:val="16"/>
                <w:szCs w:val="16"/>
              </w:rPr>
            </w:pPr>
            <w:r w:rsidRPr="005D0210">
              <w:rPr>
                <w:sz w:val="16"/>
                <w:szCs w:val="16"/>
              </w:rPr>
              <w:t>Lanza et al 2017</w:t>
            </w:r>
          </w:p>
        </w:tc>
        <w:tc>
          <w:tcPr>
            <w:tcW w:w="1417" w:type="dxa"/>
          </w:tcPr>
          <w:p w14:paraId="05C81612"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sz w:val="16"/>
                <w:szCs w:val="16"/>
              </w:rPr>
            </w:pPr>
            <w:r w:rsidRPr="005D0210">
              <w:rPr>
                <w:sz w:val="16"/>
                <w:szCs w:val="16"/>
              </w:rPr>
              <w:t>Cross</w:t>
            </w:r>
            <w:r w:rsidRPr="005D0210">
              <w:rPr>
                <w:sz w:val="16"/>
                <w:szCs w:val="16"/>
              </w:rPr>
              <w:noBreakHyphen/>
              <w:t>sectional</w:t>
            </w:r>
          </w:p>
        </w:tc>
        <w:tc>
          <w:tcPr>
            <w:tcW w:w="760" w:type="dxa"/>
          </w:tcPr>
          <w:p w14:paraId="68035327"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sz w:val="16"/>
                <w:szCs w:val="16"/>
              </w:rPr>
            </w:pPr>
            <w:r w:rsidRPr="005D0210">
              <w:rPr>
                <w:sz w:val="16"/>
                <w:szCs w:val="16"/>
              </w:rPr>
              <w:t>N/A</w:t>
            </w:r>
          </w:p>
        </w:tc>
        <w:tc>
          <w:tcPr>
            <w:tcW w:w="4202" w:type="dxa"/>
          </w:tcPr>
          <w:p w14:paraId="6299FC39"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sz w:val="16"/>
                <w:szCs w:val="16"/>
              </w:rPr>
            </w:pPr>
            <w:r w:rsidRPr="005D0210">
              <w:rPr>
                <w:sz w:val="16"/>
                <w:szCs w:val="16"/>
              </w:rPr>
              <w:t>US school students aged 11</w:t>
            </w:r>
            <w:r w:rsidRPr="005D0210">
              <w:rPr>
                <w:sz w:val="16"/>
                <w:szCs w:val="16"/>
              </w:rPr>
              <w:noBreakHyphen/>
              <w:t>19 years (N=21,798)</w:t>
            </w:r>
          </w:p>
        </w:tc>
        <w:tc>
          <w:tcPr>
            <w:tcW w:w="3969" w:type="dxa"/>
          </w:tcPr>
          <w:p w14:paraId="486DF69D" w14:textId="132E5073"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sz w:val="16"/>
                <w:szCs w:val="16"/>
              </w:rPr>
            </w:pPr>
            <w:r w:rsidRPr="005D0210">
              <w:rPr>
                <w:sz w:val="16"/>
                <w:szCs w:val="16"/>
              </w:rPr>
              <w:t>Exposure: use of e</w:t>
            </w:r>
            <w:r w:rsidRPr="005D0210">
              <w:rPr>
                <w:sz w:val="16"/>
                <w:szCs w:val="16"/>
              </w:rPr>
              <w:noBreakHyphen/>
              <w:t>cigarettes in the past 30 days (Yes/No)</w:t>
            </w:r>
            <w:r w:rsidR="00F66844">
              <w:rPr>
                <w:sz w:val="16"/>
                <w:szCs w:val="16"/>
              </w:rPr>
              <w:t>.</w:t>
            </w:r>
          </w:p>
          <w:p w14:paraId="3D9AD20E" w14:textId="3A5592D9"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sz w:val="16"/>
                <w:szCs w:val="16"/>
              </w:rPr>
            </w:pPr>
            <w:r w:rsidRPr="005D0210">
              <w:rPr>
                <w:sz w:val="16"/>
                <w:szCs w:val="16"/>
              </w:rPr>
              <w:t>Outcome: cigarette smoking in the past 30 days (yes/No)</w:t>
            </w:r>
            <w:r w:rsidR="00F66844">
              <w:rPr>
                <w:sz w:val="16"/>
                <w:szCs w:val="16"/>
              </w:rPr>
              <w:t>.</w:t>
            </w:r>
          </w:p>
        </w:tc>
        <w:tc>
          <w:tcPr>
            <w:tcW w:w="3377" w:type="dxa"/>
          </w:tcPr>
          <w:p w14:paraId="777947F0"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sz w:val="16"/>
                <w:szCs w:val="16"/>
              </w:rPr>
            </w:pPr>
            <w:r w:rsidRPr="005D0210">
              <w:rPr>
                <w:sz w:val="16"/>
                <w:szCs w:val="16"/>
              </w:rPr>
              <w:t>National Institute on Drug Abuse; the National Cancer Institute</w:t>
            </w:r>
          </w:p>
        </w:tc>
      </w:tr>
      <w:tr w:rsidR="00781923" w:rsidRPr="005D0210" w14:paraId="4DA16FB0" w14:textId="77777777" w:rsidTr="004E728C">
        <w:trPr>
          <w:trHeight w:val="650"/>
        </w:trPr>
        <w:tc>
          <w:tcPr>
            <w:cnfStyle w:val="001000000000" w:firstRow="0" w:lastRow="0" w:firstColumn="1" w:lastColumn="0" w:oddVBand="0" w:evenVBand="0" w:oddHBand="0" w:evenHBand="0" w:firstRowFirstColumn="0" w:firstRowLastColumn="0" w:lastRowFirstColumn="0" w:lastRowLastColumn="0"/>
            <w:tcW w:w="1613" w:type="dxa"/>
          </w:tcPr>
          <w:p w14:paraId="0E4229F6" w14:textId="77777777" w:rsidR="00781923" w:rsidRPr="005D0210" w:rsidRDefault="00781923" w:rsidP="004E728C">
            <w:pPr>
              <w:rPr>
                <w:sz w:val="16"/>
                <w:szCs w:val="16"/>
              </w:rPr>
            </w:pPr>
            <w:r w:rsidRPr="005D0210">
              <w:rPr>
                <w:sz w:val="16"/>
                <w:szCs w:val="16"/>
              </w:rPr>
              <w:t>Lanza et al 2018</w:t>
            </w:r>
          </w:p>
        </w:tc>
        <w:tc>
          <w:tcPr>
            <w:tcW w:w="1417" w:type="dxa"/>
          </w:tcPr>
          <w:p w14:paraId="1B5081E9"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sz w:val="16"/>
                <w:szCs w:val="16"/>
              </w:rPr>
            </w:pPr>
            <w:r w:rsidRPr="005D0210">
              <w:rPr>
                <w:sz w:val="16"/>
                <w:szCs w:val="16"/>
              </w:rPr>
              <w:t>Cross</w:t>
            </w:r>
            <w:r w:rsidRPr="005D0210">
              <w:rPr>
                <w:sz w:val="16"/>
                <w:szCs w:val="16"/>
              </w:rPr>
              <w:noBreakHyphen/>
              <w:t>sectional</w:t>
            </w:r>
          </w:p>
        </w:tc>
        <w:tc>
          <w:tcPr>
            <w:tcW w:w="760" w:type="dxa"/>
          </w:tcPr>
          <w:p w14:paraId="7A949352"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sz w:val="16"/>
                <w:szCs w:val="16"/>
              </w:rPr>
            </w:pPr>
            <w:r w:rsidRPr="005D0210">
              <w:rPr>
                <w:sz w:val="16"/>
                <w:szCs w:val="16"/>
              </w:rPr>
              <w:t>N/A</w:t>
            </w:r>
          </w:p>
        </w:tc>
        <w:tc>
          <w:tcPr>
            <w:tcW w:w="4202" w:type="dxa"/>
          </w:tcPr>
          <w:p w14:paraId="30E49C2A"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sz w:val="16"/>
                <w:szCs w:val="16"/>
              </w:rPr>
            </w:pPr>
            <w:r w:rsidRPr="005D0210">
              <w:rPr>
                <w:sz w:val="16"/>
                <w:szCs w:val="16"/>
              </w:rPr>
              <w:t>Undergraduate students at California State University, USA (N=452)</w:t>
            </w:r>
          </w:p>
        </w:tc>
        <w:tc>
          <w:tcPr>
            <w:tcW w:w="3969" w:type="dxa"/>
          </w:tcPr>
          <w:p w14:paraId="4D47B5F9" w14:textId="52863C0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sz w:val="16"/>
                <w:szCs w:val="16"/>
              </w:rPr>
            </w:pPr>
            <w:r w:rsidRPr="005D0210">
              <w:rPr>
                <w:sz w:val="16"/>
                <w:szCs w:val="16"/>
              </w:rPr>
              <w:t>Exposure: e</w:t>
            </w:r>
            <w:r w:rsidRPr="005D0210">
              <w:rPr>
                <w:sz w:val="16"/>
                <w:szCs w:val="16"/>
              </w:rPr>
              <w:noBreakHyphen/>
              <w:t>cigarette use (ever/never)</w:t>
            </w:r>
            <w:r w:rsidR="00F66844">
              <w:rPr>
                <w:sz w:val="16"/>
                <w:szCs w:val="16"/>
              </w:rPr>
              <w:t>.</w:t>
            </w:r>
          </w:p>
          <w:p w14:paraId="531CEC92" w14:textId="55A5FBE8"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sz w:val="16"/>
                <w:szCs w:val="16"/>
              </w:rPr>
            </w:pPr>
            <w:r w:rsidRPr="005D0210">
              <w:rPr>
                <w:sz w:val="16"/>
                <w:szCs w:val="16"/>
              </w:rPr>
              <w:t>Outcomes: early cigarette initiation (≤14 years), smoked a cigarette (ever/never), current smoker (≥5 times in last 30 days), former smoker (ever ≥ 5 times in 30 days)</w:t>
            </w:r>
            <w:r w:rsidR="00F66844">
              <w:rPr>
                <w:sz w:val="16"/>
                <w:szCs w:val="16"/>
              </w:rPr>
              <w:t>.</w:t>
            </w:r>
          </w:p>
        </w:tc>
        <w:tc>
          <w:tcPr>
            <w:tcW w:w="3377" w:type="dxa"/>
          </w:tcPr>
          <w:p w14:paraId="17AC7216"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sz w:val="16"/>
                <w:szCs w:val="16"/>
              </w:rPr>
            </w:pPr>
            <w:r w:rsidRPr="005D0210">
              <w:rPr>
                <w:sz w:val="16"/>
                <w:szCs w:val="16"/>
              </w:rPr>
              <w:t>National Institute of General Medical Sciences of the National Institutes of Health</w:t>
            </w:r>
          </w:p>
        </w:tc>
      </w:tr>
      <w:tr w:rsidR="00781923" w:rsidRPr="005D0210" w14:paraId="0A61DA1E" w14:textId="77777777" w:rsidTr="004E728C">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1613" w:type="dxa"/>
          </w:tcPr>
          <w:p w14:paraId="45468788" w14:textId="77777777" w:rsidR="00781923" w:rsidRPr="005D0210" w:rsidRDefault="00781923" w:rsidP="004E728C">
            <w:pPr>
              <w:rPr>
                <w:sz w:val="16"/>
                <w:szCs w:val="16"/>
              </w:rPr>
            </w:pPr>
            <w:r w:rsidRPr="005D0210">
              <w:rPr>
                <w:sz w:val="16"/>
                <w:szCs w:val="16"/>
              </w:rPr>
              <w:t xml:space="preserve">Milicic et al 2017 </w:t>
            </w:r>
          </w:p>
        </w:tc>
        <w:tc>
          <w:tcPr>
            <w:tcW w:w="1417" w:type="dxa"/>
          </w:tcPr>
          <w:p w14:paraId="3DCA4905"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sz w:val="16"/>
                <w:szCs w:val="16"/>
              </w:rPr>
            </w:pPr>
            <w:r w:rsidRPr="005D0210">
              <w:rPr>
                <w:sz w:val="16"/>
                <w:szCs w:val="16"/>
              </w:rPr>
              <w:t>Cross</w:t>
            </w:r>
            <w:r w:rsidRPr="005D0210">
              <w:rPr>
                <w:sz w:val="16"/>
                <w:szCs w:val="16"/>
              </w:rPr>
              <w:noBreakHyphen/>
              <w:t>sectional</w:t>
            </w:r>
          </w:p>
        </w:tc>
        <w:tc>
          <w:tcPr>
            <w:tcW w:w="760" w:type="dxa"/>
          </w:tcPr>
          <w:p w14:paraId="14600BC7"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sz w:val="16"/>
                <w:szCs w:val="16"/>
              </w:rPr>
            </w:pPr>
            <w:r w:rsidRPr="005D0210">
              <w:rPr>
                <w:sz w:val="16"/>
                <w:szCs w:val="16"/>
              </w:rPr>
              <w:t>N/A</w:t>
            </w:r>
          </w:p>
        </w:tc>
        <w:tc>
          <w:tcPr>
            <w:tcW w:w="4202" w:type="dxa"/>
          </w:tcPr>
          <w:p w14:paraId="43B0854B"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sz w:val="16"/>
                <w:szCs w:val="16"/>
              </w:rPr>
            </w:pPr>
            <w:r w:rsidRPr="005D0210">
              <w:rPr>
                <w:sz w:val="16"/>
                <w:szCs w:val="16"/>
              </w:rPr>
              <w:t>Grades 9</w:t>
            </w:r>
            <w:r w:rsidRPr="005D0210">
              <w:rPr>
                <w:sz w:val="16"/>
                <w:szCs w:val="16"/>
              </w:rPr>
              <w:noBreakHyphen/>
              <w:t>12 secondary school students in Ontario and Alberta, Canada (N=39,897)</w:t>
            </w:r>
          </w:p>
        </w:tc>
        <w:tc>
          <w:tcPr>
            <w:tcW w:w="3969" w:type="dxa"/>
          </w:tcPr>
          <w:p w14:paraId="65F66A55" w14:textId="2FBEA703"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sz w:val="16"/>
                <w:szCs w:val="16"/>
              </w:rPr>
            </w:pPr>
            <w:r w:rsidRPr="005D0210">
              <w:rPr>
                <w:sz w:val="16"/>
                <w:szCs w:val="16"/>
              </w:rPr>
              <w:t>Exposure: e</w:t>
            </w:r>
            <w:r w:rsidRPr="005D0210">
              <w:rPr>
                <w:sz w:val="16"/>
                <w:szCs w:val="16"/>
              </w:rPr>
              <w:noBreakHyphen/>
              <w:t>cigarette use in the past 30 days (Yes/No)</w:t>
            </w:r>
            <w:r w:rsidR="00F66844">
              <w:rPr>
                <w:sz w:val="16"/>
                <w:szCs w:val="16"/>
              </w:rPr>
              <w:t>.</w:t>
            </w:r>
          </w:p>
          <w:p w14:paraId="395A21C9" w14:textId="4C172A4D"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sz w:val="16"/>
                <w:szCs w:val="16"/>
              </w:rPr>
            </w:pPr>
            <w:r w:rsidRPr="005D0210">
              <w:rPr>
                <w:sz w:val="16"/>
                <w:szCs w:val="16"/>
              </w:rPr>
              <w:t>Outcome: smoking status (current/former/non</w:t>
            </w:r>
            <w:r w:rsidR="00F66844">
              <w:rPr>
                <w:sz w:val="16"/>
                <w:szCs w:val="16"/>
              </w:rPr>
              <w:t>-</w:t>
            </w:r>
            <w:r w:rsidRPr="005D0210">
              <w:rPr>
                <w:sz w:val="16"/>
                <w:szCs w:val="16"/>
              </w:rPr>
              <w:t>smoker based on ever smoked 100 cigarettes and any use in the past 30 days)</w:t>
            </w:r>
            <w:r w:rsidR="00F66844">
              <w:rPr>
                <w:sz w:val="16"/>
                <w:szCs w:val="16"/>
              </w:rPr>
              <w:t>.</w:t>
            </w:r>
          </w:p>
        </w:tc>
        <w:tc>
          <w:tcPr>
            <w:tcW w:w="3377" w:type="dxa"/>
          </w:tcPr>
          <w:p w14:paraId="51CEECDE"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sz w:val="16"/>
                <w:szCs w:val="16"/>
              </w:rPr>
            </w:pPr>
            <w:r w:rsidRPr="005D0210">
              <w:rPr>
                <w:sz w:val="16"/>
                <w:szCs w:val="16"/>
              </w:rPr>
              <w:t>Canadian Institutes of Health Research (CIHR) Institute of Nutrition, Metabolism and Diabetes (INMD); Canadian Institutes of Health Research (CIHR) Institute of Population and Public Health</w:t>
            </w:r>
          </w:p>
        </w:tc>
      </w:tr>
      <w:tr w:rsidR="00781923" w:rsidRPr="005D0210" w14:paraId="2493280D" w14:textId="77777777" w:rsidTr="004E728C">
        <w:trPr>
          <w:trHeight w:val="524"/>
        </w:trPr>
        <w:tc>
          <w:tcPr>
            <w:cnfStyle w:val="001000000000" w:firstRow="0" w:lastRow="0" w:firstColumn="1" w:lastColumn="0" w:oddVBand="0" w:evenVBand="0" w:oddHBand="0" w:evenHBand="0" w:firstRowFirstColumn="0" w:firstRowLastColumn="0" w:lastRowFirstColumn="0" w:lastRowLastColumn="0"/>
            <w:tcW w:w="1613" w:type="dxa"/>
          </w:tcPr>
          <w:p w14:paraId="66F95FBA" w14:textId="77777777" w:rsidR="00781923" w:rsidRPr="005D0210" w:rsidRDefault="00781923" w:rsidP="004E728C">
            <w:pPr>
              <w:rPr>
                <w:sz w:val="16"/>
                <w:szCs w:val="16"/>
              </w:rPr>
            </w:pPr>
            <w:r w:rsidRPr="005D0210">
              <w:rPr>
                <w:sz w:val="16"/>
                <w:szCs w:val="16"/>
              </w:rPr>
              <w:t>Parikh et al 2018</w:t>
            </w:r>
          </w:p>
        </w:tc>
        <w:tc>
          <w:tcPr>
            <w:tcW w:w="1417" w:type="dxa"/>
          </w:tcPr>
          <w:p w14:paraId="07DA5092"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sz w:val="16"/>
                <w:szCs w:val="16"/>
              </w:rPr>
            </w:pPr>
            <w:r w:rsidRPr="005D0210">
              <w:rPr>
                <w:sz w:val="16"/>
                <w:szCs w:val="16"/>
              </w:rPr>
              <w:t>Cross</w:t>
            </w:r>
            <w:r w:rsidRPr="005D0210">
              <w:rPr>
                <w:sz w:val="16"/>
                <w:szCs w:val="16"/>
              </w:rPr>
              <w:noBreakHyphen/>
              <w:t>sectional</w:t>
            </w:r>
          </w:p>
        </w:tc>
        <w:tc>
          <w:tcPr>
            <w:tcW w:w="760" w:type="dxa"/>
          </w:tcPr>
          <w:p w14:paraId="5D519707"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sz w:val="16"/>
                <w:szCs w:val="16"/>
              </w:rPr>
            </w:pPr>
            <w:r w:rsidRPr="005D0210">
              <w:rPr>
                <w:sz w:val="16"/>
                <w:szCs w:val="16"/>
              </w:rPr>
              <w:t>N/A</w:t>
            </w:r>
          </w:p>
        </w:tc>
        <w:tc>
          <w:tcPr>
            <w:tcW w:w="4202" w:type="dxa"/>
          </w:tcPr>
          <w:p w14:paraId="1E1BC4E8"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sz w:val="16"/>
                <w:szCs w:val="16"/>
              </w:rPr>
            </w:pPr>
            <w:r w:rsidRPr="005D0210">
              <w:rPr>
                <w:sz w:val="16"/>
                <w:szCs w:val="16"/>
              </w:rPr>
              <w:t>Adults in the USA (mean age 47.1 years) (N=162,048)</w:t>
            </w:r>
          </w:p>
        </w:tc>
        <w:tc>
          <w:tcPr>
            <w:tcW w:w="3969" w:type="dxa"/>
          </w:tcPr>
          <w:p w14:paraId="2A5DB832" w14:textId="38A65410"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sz w:val="16"/>
                <w:szCs w:val="16"/>
              </w:rPr>
            </w:pPr>
            <w:r w:rsidRPr="005D0210">
              <w:rPr>
                <w:sz w:val="16"/>
                <w:szCs w:val="16"/>
              </w:rPr>
              <w:t>Exposure: e</w:t>
            </w:r>
            <w:r w:rsidRPr="005D0210">
              <w:rPr>
                <w:sz w:val="16"/>
                <w:szCs w:val="16"/>
              </w:rPr>
              <w:noBreakHyphen/>
              <w:t>cigarette use (non</w:t>
            </w:r>
            <w:r w:rsidRPr="005D0210">
              <w:rPr>
                <w:sz w:val="16"/>
                <w:szCs w:val="16"/>
              </w:rPr>
              <w:noBreakHyphen/>
              <w:t>user/occasional user/daily user)</w:t>
            </w:r>
            <w:r w:rsidR="00F66844">
              <w:rPr>
                <w:sz w:val="16"/>
                <w:szCs w:val="16"/>
              </w:rPr>
              <w:t>.</w:t>
            </w:r>
          </w:p>
          <w:p w14:paraId="68702DAE" w14:textId="0F87182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sz w:val="16"/>
                <w:szCs w:val="16"/>
              </w:rPr>
            </w:pPr>
            <w:r w:rsidRPr="005D0210">
              <w:rPr>
                <w:sz w:val="16"/>
                <w:szCs w:val="16"/>
              </w:rPr>
              <w:t>Outcome: conventional cigarette use (non</w:t>
            </w:r>
            <w:r w:rsidRPr="005D0210">
              <w:rPr>
                <w:sz w:val="16"/>
                <w:szCs w:val="16"/>
              </w:rPr>
              <w:noBreakHyphen/>
              <w:t>smoker/occasional smoker/daily smoker)</w:t>
            </w:r>
            <w:r w:rsidR="00F66844">
              <w:rPr>
                <w:sz w:val="16"/>
                <w:szCs w:val="16"/>
              </w:rPr>
              <w:t>.</w:t>
            </w:r>
          </w:p>
        </w:tc>
        <w:tc>
          <w:tcPr>
            <w:tcW w:w="3377" w:type="dxa"/>
          </w:tcPr>
          <w:p w14:paraId="32954C0C"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sz w:val="16"/>
                <w:szCs w:val="16"/>
              </w:rPr>
            </w:pPr>
            <w:r w:rsidRPr="005D0210">
              <w:rPr>
                <w:sz w:val="16"/>
                <w:szCs w:val="16"/>
              </w:rPr>
              <w:t>Not reported</w:t>
            </w:r>
          </w:p>
        </w:tc>
      </w:tr>
      <w:tr w:rsidR="00781923" w:rsidRPr="005D0210" w14:paraId="2898270F" w14:textId="77777777" w:rsidTr="004E728C">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1613" w:type="dxa"/>
          </w:tcPr>
          <w:p w14:paraId="3C743D56" w14:textId="77777777" w:rsidR="00781923" w:rsidRPr="005D0210" w:rsidRDefault="00781923" w:rsidP="004E728C">
            <w:pPr>
              <w:rPr>
                <w:sz w:val="16"/>
                <w:szCs w:val="16"/>
              </w:rPr>
            </w:pPr>
            <w:r w:rsidRPr="005D0210">
              <w:rPr>
                <w:sz w:val="16"/>
                <w:szCs w:val="16"/>
              </w:rPr>
              <w:lastRenderedPageBreak/>
              <w:t xml:space="preserve">Park et al 2017 </w:t>
            </w:r>
          </w:p>
        </w:tc>
        <w:tc>
          <w:tcPr>
            <w:tcW w:w="1417" w:type="dxa"/>
          </w:tcPr>
          <w:p w14:paraId="5261D213"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sz w:val="16"/>
                <w:szCs w:val="16"/>
              </w:rPr>
            </w:pPr>
            <w:r w:rsidRPr="005D0210">
              <w:rPr>
                <w:sz w:val="16"/>
                <w:szCs w:val="16"/>
              </w:rPr>
              <w:t>Cross</w:t>
            </w:r>
            <w:r w:rsidRPr="005D0210">
              <w:rPr>
                <w:sz w:val="16"/>
                <w:szCs w:val="16"/>
              </w:rPr>
              <w:noBreakHyphen/>
              <w:t>sectional</w:t>
            </w:r>
          </w:p>
        </w:tc>
        <w:tc>
          <w:tcPr>
            <w:tcW w:w="760" w:type="dxa"/>
          </w:tcPr>
          <w:p w14:paraId="0DC507D6"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sz w:val="16"/>
                <w:szCs w:val="16"/>
              </w:rPr>
            </w:pPr>
            <w:r w:rsidRPr="005D0210">
              <w:rPr>
                <w:sz w:val="16"/>
                <w:szCs w:val="16"/>
              </w:rPr>
              <w:t>N/A</w:t>
            </w:r>
          </w:p>
        </w:tc>
        <w:tc>
          <w:tcPr>
            <w:tcW w:w="4202" w:type="dxa"/>
          </w:tcPr>
          <w:p w14:paraId="5ACA438E"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sz w:val="16"/>
                <w:szCs w:val="16"/>
              </w:rPr>
            </w:pPr>
            <w:r w:rsidRPr="005D0210">
              <w:rPr>
                <w:sz w:val="16"/>
                <w:szCs w:val="16"/>
              </w:rPr>
              <w:t>Korean adolescents who smoked on at least one day in the past 30 days (N=6,307)</w:t>
            </w:r>
          </w:p>
        </w:tc>
        <w:tc>
          <w:tcPr>
            <w:tcW w:w="3969" w:type="dxa"/>
          </w:tcPr>
          <w:p w14:paraId="1C8E7BE0" w14:textId="70AB1582"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sz w:val="16"/>
                <w:szCs w:val="16"/>
              </w:rPr>
            </w:pPr>
            <w:r w:rsidRPr="005D0210">
              <w:rPr>
                <w:sz w:val="16"/>
                <w:szCs w:val="16"/>
              </w:rPr>
              <w:t xml:space="preserve">Exposures: cigarette smoking </w:t>
            </w:r>
            <w:r w:rsidRPr="005D0210">
              <w:rPr>
                <w:sz w:val="16"/>
                <w:szCs w:val="16"/>
              </w:rPr>
              <w:noBreakHyphen/>
              <w:t xml:space="preserve"> past 30 day use, daily use, cigarettes/day</w:t>
            </w:r>
            <w:r w:rsidR="00F66844">
              <w:rPr>
                <w:sz w:val="16"/>
                <w:szCs w:val="16"/>
              </w:rPr>
              <w:t>.</w:t>
            </w:r>
          </w:p>
          <w:p w14:paraId="2132F953" w14:textId="4F501020"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sz w:val="16"/>
                <w:szCs w:val="16"/>
              </w:rPr>
            </w:pPr>
            <w:r w:rsidRPr="005D0210">
              <w:rPr>
                <w:sz w:val="16"/>
                <w:szCs w:val="16"/>
              </w:rPr>
              <w:t>Outcome: e</w:t>
            </w:r>
            <w:r w:rsidRPr="005D0210">
              <w:rPr>
                <w:sz w:val="16"/>
                <w:szCs w:val="16"/>
              </w:rPr>
              <w:noBreakHyphen/>
              <w:t>cigarette use (non</w:t>
            </w:r>
            <w:r w:rsidRPr="005D0210">
              <w:rPr>
                <w:sz w:val="16"/>
                <w:szCs w:val="16"/>
              </w:rPr>
              <w:noBreakHyphen/>
              <w:t>use/former use/current use)</w:t>
            </w:r>
            <w:r w:rsidR="00F66844">
              <w:rPr>
                <w:sz w:val="16"/>
                <w:szCs w:val="16"/>
              </w:rPr>
              <w:t>.</w:t>
            </w:r>
          </w:p>
        </w:tc>
        <w:tc>
          <w:tcPr>
            <w:tcW w:w="3377" w:type="dxa"/>
          </w:tcPr>
          <w:p w14:paraId="3B939A6D"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sz w:val="16"/>
                <w:szCs w:val="16"/>
              </w:rPr>
            </w:pPr>
            <w:r w:rsidRPr="005D0210">
              <w:rPr>
                <w:sz w:val="16"/>
                <w:szCs w:val="16"/>
              </w:rPr>
              <w:t>Not reported</w:t>
            </w:r>
          </w:p>
        </w:tc>
      </w:tr>
      <w:tr w:rsidR="00781923" w:rsidRPr="005D0210" w14:paraId="2BB67612" w14:textId="77777777" w:rsidTr="004E728C">
        <w:trPr>
          <w:trHeight w:val="1020"/>
        </w:trPr>
        <w:tc>
          <w:tcPr>
            <w:cnfStyle w:val="001000000000" w:firstRow="0" w:lastRow="0" w:firstColumn="1" w:lastColumn="0" w:oddVBand="0" w:evenVBand="0" w:oddHBand="0" w:evenHBand="0" w:firstRowFirstColumn="0" w:firstRowLastColumn="0" w:lastRowFirstColumn="0" w:lastRowLastColumn="0"/>
            <w:tcW w:w="1613" w:type="dxa"/>
          </w:tcPr>
          <w:p w14:paraId="701F2DA8" w14:textId="77777777" w:rsidR="00781923" w:rsidRPr="005D0210" w:rsidRDefault="00781923" w:rsidP="004E728C">
            <w:pPr>
              <w:rPr>
                <w:sz w:val="16"/>
                <w:szCs w:val="16"/>
              </w:rPr>
            </w:pPr>
            <w:r w:rsidRPr="005D0210">
              <w:rPr>
                <w:sz w:val="16"/>
                <w:szCs w:val="16"/>
              </w:rPr>
              <w:t>Pepper et al 2018</w:t>
            </w:r>
          </w:p>
        </w:tc>
        <w:tc>
          <w:tcPr>
            <w:tcW w:w="1417" w:type="dxa"/>
          </w:tcPr>
          <w:p w14:paraId="7727839C"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sz w:val="16"/>
                <w:szCs w:val="16"/>
              </w:rPr>
            </w:pPr>
            <w:r w:rsidRPr="005D0210">
              <w:rPr>
                <w:sz w:val="16"/>
                <w:szCs w:val="16"/>
              </w:rPr>
              <w:t>Cross</w:t>
            </w:r>
            <w:r w:rsidRPr="005D0210">
              <w:rPr>
                <w:sz w:val="16"/>
                <w:szCs w:val="16"/>
              </w:rPr>
              <w:noBreakHyphen/>
              <w:t>sectional</w:t>
            </w:r>
          </w:p>
        </w:tc>
        <w:tc>
          <w:tcPr>
            <w:tcW w:w="760" w:type="dxa"/>
          </w:tcPr>
          <w:p w14:paraId="41F0E1FF"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sz w:val="16"/>
                <w:szCs w:val="16"/>
              </w:rPr>
            </w:pPr>
            <w:r w:rsidRPr="005D0210">
              <w:rPr>
                <w:sz w:val="16"/>
                <w:szCs w:val="16"/>
              </w:rPr>
              <w:t>N/A</w:t>
            </w:r>
          </w:p>
        </w:tc>
        <w:tc>
          <w:tcPr>
            <w:tcW w:w="4202" w:type="dxa"/>
          </w:tcPr>
          <w:p w14:paraId="511AC3E2"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sz w:val="16"/>
                <w:szCs w:val="16"/>
              </w:rPr>
            </w:pPr>
            <w:r w:rsidRPr="005D0210">
              <w:rPr>
                <w:sz w:val="16"/>
                <w:szCs w:val="16"/>
              </w:rPr>
              <w:t>US adolescents aged 15</w:t>
            </w:r>
            <w:r w:rsidRPr="005D0210">
              <w:rPr>
                <w:sz w:val="16"/>
                <w:szCs w:val="16"/>
              </w:rPr>
              <w:noBreakHyphen/>
              <w:t>17 years who are using e</w:t>
            </w:r>
            <w:r w:rsidRPr="005D0210">
              <w:rPr>
                <w:sz w:val="16"/>
                <w:szCs w:val="16"/>
              </w:rPr>
              <w:noBreakHyphen/>
              <w:t>cigarettes were recruited from Facebook and Instagram (N=1,589. Analysis included 896 participants with complete data)</w:t>
            </w:r>
          </w:p>
        </w:tc>
        <w:tc>
          <w:tcPr>
            <w:tcW w:w="3969" w:type="dxa"/>
          </w:tcPr>
          <w:p w14:paraId="0AD9A38D"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sz w:val="16"/>
                <w:szCs w:val="16"/>
              </w:rPr>
            </w:pPr>
            <w:r w:rsidRPr="005D0210">
              <w:rPr>
                <w:sz w:val="16"/>
                <w:szCs w:val="16"/>
              </w:rPr>
              <w:t>Exposure: Use of cigarettes in the past 30 days (any/none)</w:t>
            </w:r>
          </w:p>
          <w:p w14:paraId="5A6401A8" w14:textId="06B57D16"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sz w:val="16"/>
                <w:szCs w:val="16"/>
              </w:rPr>
            </w:pPr>
            <w:r w:rsidRPr="005D0210">
              <w:rPr>
                <w:sz w:val="16"/>
                <w:szCs w:val="16"/>
              </w:rPr>
              <w:t>Outcome: Usual type of e</w:t>
            </w:r>
            <w:r w:rsidRPr="005D0210">
              <w:rPr>
                <w:sz w:val="16"/>
                <w:szCs w:val="16"/>
              </w:rPr>
              <w:noBreakHyphen/>
              <w:t>cigarette used (with nicotine/without nicotine)</w:t>
            </w:r>
            <w:r w:rsidR="00F66844">
              <w:rPr>
                <w:sz w:val="16"/>
                <w:szCs w:val="16"/>
              </w:rPr>
              <w:t>.</w:t>
            </w:r>
          </w:p>
        </w:tc>
        <w:tc>
          <w:tcPr>
            <w:tcW w:w="3377" w:type="dxa"/>
          </w:tcPr>
          <w:p w14:paraId="49A07507"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sz w:val="16"/>
                <w:szCs w:val="16"/>
              </w:rPr>
            </w:pPr>
            <w:r w:rsidRPr="005D0210">
              <w:rPr>
                <w:sz w:val="16"/>
                <w:szCs w:val="16"/>
              </w:rPr>
              <w:t>Strategic Investment Funds from RTI International (an independent nonprofit research institute)</w:t>
            </w:r>
          </w:p>
        </w:tc>
      </w:tr>
      <w:tr w:rsidR="00781923" w:rsidRPr="005D0210" w14:paraId="492E696E" w14:textId="77777777" w:rsidTr="004E728C">
        <w:trPr>
          <w:cnfStyle w:val="000000100000" w:firstRow="0" w:lastRow="0" w:firstColumn="0" w:lastColumn="0" w:oddVBand="0" w:evenVBand="0" w:oddHBand="1"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1613" w:type="dxa"/>
          </w:tcPr>
          <w:p w14:paraId="11DC52EE" w14:textId="77777777" w:rsidR="00781923" w:rsidRPr="005D0210" w:rsidRDefault="00781923" w:rsidP="004E728C">
            <w:pPr>
              <w:rPr>
                <w:sz w:val="16"/>
                <w:szCs w:val="16"/>
              </w:rPr>
            </w:pPr>
            <w:r w:rsidRPr="005D0210">
              <w:rPr>
                <w:sz w:val="16"/>
                <w:szCs w:val="16"/>
              </w:rPr>
              <w:t>Ramji et al 2017</w:t>
            </w:r>
          </w:p>
        </w:tc>
        <w:tc>
          <w:tcPr>
            <w:tcW w:w="1417" w:type="dxa"/>
          </w:tcPr>
          <w:p w14:paraId="4C662564"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sz w:val="16"/>
                <w:szCs w:val="16"/>
              </w:rPr>
            </w:pPr>
            <w:r w:rsidRPr="005D0210">
              <w:rPr>
                <w:sz w:val="16"/>
                <w:szCs w:val="16"/>
              </w:rPr>
              <w:t>Cross</w:t>
            </w:r>
            <w:r w:rsidRPr="005D0210">
              <w:rPr>
                <w:sz w:val="16"/>
                <w:szCs w:val="16"/>
              </w:rPr>
              <w:noBreakHyphen/>
              <w:t>sectional</w:t>
            </w:r>
          </w:p>
        </w:tc>
        <w:tc>
          <w:tcPr>
            <w:tcW w:w="760" w:type="dxa"/>
          </w:tcPr>
          <w:p w14:paraId="05B53843"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sz w:val="16"/>
                <w:szCs w:val="16"/>
              </w:rPr>
            </w:pPr>
            <w:r w:rsidRPr="005D0210">
              <w:rPr>
                <w:sz w:val="16"/>
                <w:szCs w:val="16"/>
              </w:rPr>
              <w:t>N/A</w:t>
            </w:r>
          </w:p>
        </w:tc>
        <w:tc>
          <w:tcPr>
            <w:tcW w:w="4202" w:type="dxa"/>
          </w:tcPr>
          <w:p w14:paraId="143C0808"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sz w:val="16"/>
                <w:szCs w:val="16"/>
              </w:rPr>
            </w:pPr>
            <w:r w:rsidRPr="005D0210">
              <w:rPr>
                <w:sz w:val="16"/>
                <w:szCs w:val="16"/>
              </w:rPr>
              <w:t>Adolescent high</w:t>
            </w:r>
            <w:r w:rsidRPr="005D0210">
              <w:rPr>
                <w:sz w:val="16"/>
                <w:szCs w:val="16"/>
              </w:rPr>
              <w:noBreakHyphen/>
              <w:t>school students aged 16–19 years in Umea, Sweden (N=1,006)</w:t>
            </w:r>
          </w:p>
        </w:tc>
        <w:tc>
          <w:tcPr>
            <w:tcW w:w="3969" w:type="dxa"/>
          </w:tcPr>
          <w:p w14:paraId="5E0CDC64" w14:textId="256761D3"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sz w:val="16"/>
                <w:szCs w:val="16"/>
              </w:rPr>
            </w:pPr>
            <w:r w:rsidRPr="005D0210">
              <w:rPr>
                <w:sz w:val="16"/>
                <w:szCs w:val="16"/>
              </w:rPr>
              <w:t>Exposure: ever use of cigarettes, e</w:t>
            </w:r>
            <w:r w:rsidRPr="005D0210">
              <w:rPr>
                <w:sz w:val="16"/>
                <w:szCs w:val="16"/>
              </w:rPr>
              <w:noBreakHyphen/>
              <w:t>cigarettes, snus, alcohol, narcotics</w:t>
            </w:r>
            <w:r w:rsidR="00F66844">
              <w:rPr>
                <w:sz w:val="16"/>
                <w:szCs w:val="16"/>
              </w:rPr>
              <w:t>.</w:t>
            </w:r>
          </w:p>
          <w:p w14:paraId="2E6FDF17" w14:textId="28495B2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sz w:val="16"/>
                <w:szCs w:val="16"/>
              </w:rPr>
            </w:pPr>
            <w:r w:rsidRPr="005D0210">
              <w:rPr>
                <w:sz w:val="16"/>
                <w:szCs w:val="16"/>
              </w:rPr>
              <w:t>Outcome: ever water pipe use</w:t>
            </w:r>
            <w:r w:rsidR="00F66844">
              <w:rPr>
                <w:sz w:val="16"/>
                <w:szCs w:val="16"/>
              </w:rPr>
              <w:t>.</w:t>
            </w:r>
          </w:p>
        </w:tc>
        <w:tc>
          <w:tcPr>
            <w:tcW w:w="3377" w:type="dxa"/>
          </w:tcPr>
          <w:p w14:paraId="14CE4B60"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sz w:val="16"/>
                <w:szCs w:val="16"/>
              </w:rPr>
            </w:pPr>
            <w:r w:rsidRPr="005D0210">
              <w:rPr>
                <w:sz w:val="16"/>
                <w:szCs w:val="16"/>
              </w:rPr>
              <w:t>The Public Health Agency of Sweden</w:t>
            </w:r>
          </w:p>
        </w:tc>
      </w:tr>
      <w:tr w:rsidR="00781923" w:rsidRPr="005D0210" w14:paraId="2309440C" w14:textId="77777777" w:rsidTr="004E728C">
        <w:trPr>
          <w:trHeight w:val="430"/>
        </w:trPr>
        <w:tc>
          <w:tcPr>
            <w:cnfStyle w:val="001000000000" w:firstRow="0" w:lastRow="0" w:firstColumn="1" w:lastColumn="0" w:oddVBand="0" w:evenVBand="0" w:oddHBand="0" w:evenHBand="0" w:firstRowFirstColumn="0" w:firstRowLastColumn="0" w:lastRowFirstColumn="0" w:lastRowLastColumn="0"/>
            <w:tcW w:w="1613" w:type="dxa"/>
          </w:tcPr>
          <w:p w14:paraId="148F8CB6" w14:textId="77777777" w:rsidR="00781923" w:rsidRPr="005D0210" w:rsidRDefault="00781923" w:rsidP="004E728C">
            <w:pPr>
              <w:rPr>
                <w:sz w:val="16"/>
                <w:szCs w:val="16"/>
              </w:rPr>
            </w:pPr>
            <w:r w:rsidRPr="005D0210">
              <w:rPr>
                <w:sz w:val="16"/>
                <w:szCs w:val="16"/>
              </w:rPr>
              <w:t>Temple et al 2017</w:t>
            </w:r>
          </w:p>
        </w:tc>
        <w:tc>
          <w:tcPr>
            <w:tcW w:w="1417" w:type="dxa"/>
          </w:tcPr>
          <w:p w14:paraId="6215DD3C"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sz w:val="16"/>
                <w:szCs w:val="16"/>
              </w:rPr>
            </w:pPr>
            <w:r w:rsidRPr="005D0210">
              <w:rPr>
                <w:sz w:val="16"/>
                <w:szCs w:val="16"/>
              </w:rPr>
              <w:t>Cross</w:t>
            </w:r>
            <w:r w:rsidRPr="005D0210">
              <w:rPr>
                <w:sz w:val="16"/>
                <w:szCs w:val="16"/>
              </w:rPr>
              <w:noBreakHyphen/>
              <w:t>sectional</w:t>
            </w:r>
          </w:p>
        </w:tc>
        <w:tc>
          <w:tcPr>
            <w:tcW w:w="760" w:type="dxa"/>
          </w:tcPr>
          <w:p w14:paraId="7BD52CB2"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sz w:val="16"/>
                <w:szCs w:val="16"/>
              </w:rPr>
            </w:pPr>
            <w:r w:rsidRPr="005D0210">
              <w:rPr>
                <w:sz w:val="16"/>
                <w:szCs w:val="16"/>
              </w:rPr>
              <w:t>N/A</w:t>
            </w:r>
          </w:p>
        </w:tc>
        <w:tc>
          <w:tcPr>
            <w:tcW w:w="4202" w:type="dxa"/>
          </w:tcPr>
          <w:p w14:paraId="3C20AA11"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sz w:val="16"/>
                <w:szCs w:val="16"/>
              </w:rPr>
            </w:pPr>
            <w:r w:rsidRPr="005D0210">
              <w:rPr>
                <w:sz w:val="16"/>
                <w:szCs w:val="16"/>
              </w:rPr>
              <w:t>Sample recruited from public high schools in southeast Texas, USA as part of a longitudinal study. Data from wave 6 of study. Age range: 18</w:t>
            </w:r>
            <w:r w:rsidRPr="005D0210">
              <w:rPr>
                <w:sz w:val="16"/>
                <w:szCs w:val="16"/>
              </w:rPr>
              <w:noBreakHyphen/>
              <w:t>23 years. (N=662)</w:t>
            </w:r>
          </w:p>
        </w:tc>
        <w:tc>
          <w:tcPr>
            <w:tcW w:w="3969" w:type="dxa"/>
          </w:tcPr>
          <w:p w14:paraId="4C291C53" w14:textId="3077BA4C"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sz w:val="16"/>
                <w:szCs w:val="16"/>
              </w:rPr>
            </w:pPr>
            <w:r w:rsidRPr="005D0210">
              <w:rPr>
                <w:sz w:val="16"/>
                <w:szCs w:val="16"/>
              </w:rPr>
              <w:t>Exposure: past year use of e</w:t>
            </w:r>
            <w:r w:rsidRPr="005D0210">
              <w:rPr>
                <w:sz w:val="16"/>
                <w:szCs w:val="16"/>
              </w:rPr>
              <w:noBreakHyphen/>
              <w:t>cigarettes (Yes/No)</w:t>
            </w:r>
            <w:r w:rsidR="00F66844">
              <w:rPr>
                <w:sz w:val="16"/>
                <w:szCs w:val="16"/>
              </w:rPr>
              <w:t>.</w:t>
            </w:r>
          </w:p>
          <w:p w14:paraId="6030874C" w14:textId="68350000"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sz w:val="16"/>
                <w:szCs w:val="16"/>
              </w:rPr>
            </w:pPr>
            <w:r w:rsidRPr="005D0210">
              <w:rPr>
                <w:sz w:val="16"/>
                <w:szCs w:val="16"/>
              </w:rPr>
              <w:t>Outcome: past year use of cigarettes (Yes/No)</w:t>
            </w:r>
            <w:r w:rsidR="00F66844">
              <w:rPr>
                <w:sz w:val="16"/>
                <w:szCs w:val="16"/>
              </w:rPr>
              <w:t>.</w:t>
            </w:r>
          </w:p>
        </w:tc>
        <w:tc>
          <w:tcPr>
            <w:tcW w:w="3377" w:type="dxa"/>
          </w:tcPr>
          <w:p w14:paraId="40C36512"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sz w:val="16"/>
                <w:szCs w:val="16"/>
              </w:rPr>
            </w:pPr>
            <w:r w:rsidRPr="005D0210">
              <w:rPr>
                <w:sz w:val="16"/>
                <w:szCs w:val="16"/>
              </w:rPr>
              <w:t>Eunice Kennedy Shriver National Institute of Child Health &amp; Human Development (NICHD), Methesda, MD, and the National Institute of Justice (NIJ), Washington, DC.</w:t>
            </w:r>
          </w:p>
        </w:tc>
      </w:tr>
    </w:tbl>
    <w:p w14:paraId="35845867" w14:textId="77777777" w:rsidR="00781923" w:rsidRPr="005D0210" w:rsidRDefault="00781923" w:rsidP="00781923">
      <w:pPr>
        <w:pStyle w:val="BodyText"/>
      </w:pPr>
    </w:p>
    <w:p w14:paraId="31402B4E" w14:textId="77777777" w:rsidR="00781923" w:rsidRPr="005D0210" w:rsidRDefault="00781923" w:rsidP="00781923">
      <w:pPr>
        <w:spacing w:after="0"/>
      </w:pPr>
      <w:r w:rsidRPr="005D0210">
        <w:br w:type="page"/>
      </w:r>
    </w:p>
    <w:p w14:paraId="05CA188B" w14:textId="77777777" w:rsidR="00781923" w:rsidRPr="005D0210" w:rsidRDefault="003D2CBD" w:rsidP="003D2CBD">
      <w:pPr>
        <w:pStyle w:val="Caption"/>
      </w:pPr>
      <w:bookmarkStart w:id="142" w:name="_Toc515229967"/>
      <w:bookmarkStart w:id="143" w:name="_Toc517707420"/>
      <w:r w:rsidRPr="005D0210">
        <w:lastRenderedPageBreak/>
        <w:t xml:space="preserve">Table </w:t>
      </w:r>
      <w:r w:rsidR="0048064B">
        <w:rPr>
          <w:noProof/>
        </w:rPr>
        <w:fldChar w:fldCharType="begin"/>
      </w:r>
      <w:r w:rsidR="0048064B">
        <w:rPr>
          <w:noProof/>
        </w:rPr>
        <w:instrText xml:space="preserve"> SEQ Table \* ARABIC </w:instrText>
      </w:r>
      <w:r w:rsidR="0048064B">
        <w:rPr>
          <w:noProof/>
        </w:rPr>
        <w:fldChar w:fldCharType="separate"/>
      </w:r>
      <w:r w:rsidR="000C06DA">
        <w:rPr>
          <w:noProof/>
        </w:rPr>
        <w:t>11</w:t>
      </w:r>
      <w:r w:rsidR="0048064B">
        <w:rPr>
          <w:noProof/>
        </w:rPr>
        <w:fldChar w:fldCharType="end"/>
      </w:r>
      <w:r w:rsidR="00781923" w:rsidRPr="005D0210">
        <w:t>: E</w:t>
      </w:r>
      <w:r w:rsidR="00781923" w:rsidRPr="005D0210">
        <w:noBreakHyphen/>
        <w:t>cigarette use and the use of other substances studies</w:t>
      </w:r>
      <w:bookmarkEnd w:id="142"/>
      <w:bookmarkEnd w:id="143"/>
    </w:p>
    <w:tbl>
      <w:tblPr>
        <w:tblStyle w:val="TableCSIRO"/>
        <w:tblW w:w="15338" w:type="dxa"/>
        <w:tblLook w:val="04A0" w:firstRow="1" w:lastRow="0" w:firstColumn="1" w:lastColumn="0" w:noHBand="0" w:noVBand="1"/>
      </w:tblPr>
      <w:tblGrid>
        <w:gridCol w:w="1163"/>
        <w:gridCol w:w="1276"/>
        <w:gridCol w:w="850"/>
        <w:gridCol w:w="2552"/>
        <w:gridCol w:w="6804"/>
        <w:gridCol w:w="2693"/>
      </w:tblGrid>
      <w:tr w:rsidR="00781923" w:rsidRPr="005D0210" w14:paraId="6A227C2B" w14:textId="77777777" w:rsidTr="004E728C">
        <w:trPr>
          <w:cnfStyle w:val="100000000000" w:firstRow="1" w:lastRow="0" w:firstColumn="0" w:lastColumn="0" w:oddVBand="0" w:evenVBand="0" w:oddHBand="0" w:evenHBand="0" w:firstRowFirstColumn="0" w:firstRowLastColumn="0" w:lastRowFirstColumn="0" w:lastRowLastColumn="0"/>
          <w:trHeight w:val="316"/>
          <w:tblHeader/>
        </w:trPr>
        <w:tc>
          <w:tcPr>
            <w:cnfStyle w:val="001000000000" w:firstRow="0" w:lastRow="0" w:firstColumn="1" w:lastColumn="0" w:oddVBand="0" w:evenVBand="0" w:oddHBand="0" w:evenHBand="0" w:firstRowFirstColumn="0" w:firstRowLastColumn="0" w:lastRowFirstColumn="0" w:lastRowLastColumn="0"/>
            <w:tcW w:w="1163" w:type="dxa"/>
          </w:tcPr>
          <w:p w14:paraId="351C51BB" w14:textId="77777777" w:rsidR="00781923" w:rsidRPr="005D0210" w:rsidRDefault="00781923" w:rsidP="004E728C">
            <w:pPr>
              <w:rPr>
                <w:color w:val="FFFFFF" w:themeColor="background1"/>
                <w:sz w:val="16"/>
                <w:szCs w:val="16"/>
              </w:rPr>
            </w:pPr>
            <w:r w:rsidRPr="005D0210">
              <w:rPr>
                <w:color w:val="FFFFFF" w:themeColor="background1"/>
                <w:sz w:val="16"/>
                <w:szCs w:val="16"/>
              </w:rPr>
              <w:t>Study</w:t>
            </w:r>
          </w:p>
        </w:tc>
        <w:tc>
          <w:tcPr>
            <w:tcW w:w="1276" w:type="dxa"/>
          </w:tcPr>
          <w:p w14:paraId="1A78467B" w14:textId="77777777" w:rsidR="00781923" w:rsidRPr="005D0210" w:rsidRDefault="00781923" w:rsidP="004E728C">
            <w:pP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5D0210">
              <w:rPr>
                <w:color w:val="FFFFFF" w:themeColor="background1"/>
                <w:sz w:val="16"/>
                <w:szCs w:val="16"/>
              </w:rPr>
              <w:t>Design</w:t>
            </w:r>
          </w:p>
        </w:tc>
        <w:tc>
          <w:tcPr>
            <w:tcW w:w="850" w:type="dxa"/>
          </w:tcPr>
          <w:p w14:paraId="1334A478" w14:textId="77777777" w:rsidR="00781923" w:rsidRPr="005D0210" w:rsidRDefault="00781923" w:rsidP="004E728C">
            <w:pP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5D0210">
              <w:rPr>
                <w:color w:val="FFFFFF" w:themeColor="background1"/>
                <w:sz w:val="16"/>
                <w:szCs w:val="16"/>
              </w:rPr>
              <w:t>Duration</w:t>
            </w:r>
          </w:p>
        </w:tc>
        <w:tc>
          <w:tcPr>
            <w:tcW w:w="2552" w:type="dxa"/>
          </w:tcPr>
          <w:p w14:paraId="65964384" w14:textId="77777777" w:rsidR="00781923" w:rsidRPr="005D0210" w:rsidRDefault="00781923" w:rsidP="004E728C">
            <w:pP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5D0210">
              <w:rPr>
                <w:color w:val="FFFFFF" w:themeColor="background1"/>
                <w:sz w:val="16"/>
                <w:szCs w:val="16"/>
              </w:rPr>
              <w:t>Population</w:t>
            </w:r>
          </w:p>
        </w:tc>
        <w:tc>
          <w:tcPr>
            <w:tcW w:w="6804" w:type="dxa"/>
          </w:tcPr>
          <w:p w14:paraId="50A91A6F" w14:textId="77777777" w:rsidR="00781923" w:rsidRPr="005D0210" w:rsidRDefault="00781923" w:rsidP="004E728C">
            <w:pP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5D0210">
              <w:rPr>
                <w:color w:val="FFFFFF" w:themeColor="background1"/>
                <w:sz w:val="16"/>
                <w:szCs w:val="16"/>
              </w:rPr>
              <w:t>Comparisons</w:t>
            </w:r>
          </w:p>
        </w:tc>
        <w:tc>
          <w:tcPr>
            <w:tcW w:w="2693" w:type="dxa"/>
          </w:tcPr>
          <w:p w14:paraId="0267FB5B" w14:textId="77777777" w:rsidR="00781923" w:rsidRPr="005D0210" w:rsidRDefault="00781923" w:rsidP="004E728C">
            <w:pP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5D0210">
              <w:rPr>
                <w:color w:val="FFFFFF" w:themeColor="background1"/>
                <w:sz w:val="16"/>
                <w:szCs w:val="16"/>
              </w:rPr>
              <w:t>Funding</w:t>
            </w:r>
          </w:p>
        </w:tc>
      </w:tr>
      <w:tr w:rsidR="00781923" w:rsidRPr="005D0210" w14:paraId="0693926E" w14:textId="77777777" w:rsidTr="004E728C">
        <w:trPr>
          <w:cnfStyle w:val="000000100000" w:firstRow="0" w:lastRow="0" w:firstColumn="0" w:lastColumn="0" w:oddVBand="0" w:evenVBand="0" w:oddHBand="1" w:evenHBand="0"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1163" w:type="dxa"/>
          </w:tcPr>
          <w:p w14:paraId="48025A9C" w14:textId="77777777" w:rsidR="00781923" w:rsidRPr="005D0210" w:rsidRDefault="00781923" w:rsidP="004E728C">
            <w:pPr>
              <w:rPr>
                <w:sz w:val="16"/>
                <w:szCs w:val="16"/>
              </w:rPr>
            </w:pPr>
            <w:r w:rsidRPr="005D0210">
              <w:rPr>
                <w:sz w:val="16"/>
                <w:szCs w:val="16"/>
              </w:rPr>
              <w:t>Dai et al 2018</w:t>
            </w:r>
          </w:p>
        </w:tc>
        <w:tc>
          <w:tcPr>
            <w:tcW w:w="1276" w:type="dxa"/>
          </w:tcPr>
          <w:p w14:paraId="1D5AED1D"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sz w:val="16"/>
                <w:szCs w:val="16"/>
              </w:rPr>
            </w:pPr>
            <w:r w:rsidRPr="005D0210">
              <w:rPr>
                <w:sz w:val="16"/>
                <w:szCs w:val="16"/>
              </w:rPr>
              <w:t>Cohort</w:t>
            </w:r>
          </w:p>
        </w:tc>
        <w:tc>
          <w:tcPr>
            <w:tcW w:w="850" w:type="dxa"/>
          </w:tcPr>
          <w:p w14:paraId="44472E3A"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sz w:val="16"/>
                <w:szCs w:val="16"/>
              </w:rPr>
            </w:pPr>
            <w:r w:rsidRPr="005D0210">
              <w:rPr>
                <w:sz w:val="16"/>
                <w:szCs w:val="16"/>
              </w:rPr>
              <w:t>1 year</w:t>
            </w:r>
          </w:p>
        </w:tc>
        <w:tc>
          <w:tcPr>
            <w:tcW w:w="2552" w:type="dxa"/>
          </w:tcPr>
          <w:p w14:paraId="79C545DA"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sz w:val="16"/>
                <w:szCs w:val="16"/>
              </w:rPr>
            </w:pPr>
            <w:r w:rsidRPr="005D0210">
              <w:rPr>
                <w:sz w:val="16"/>
                <w:szCs w:val="16"/>
              </w:rPr>
              <w:t>Nationally representative sample of US adolescents aged 12</w:t>
            </w:r>
            <w:r w:rsidRPr="005D0210">
              <w:rPr>
                <w:sz w:val="16"/>
                <w:szCs w:val="16"/>
              </w:rPr>
              <w:noBreakHyphen/>
              <w:t>17 years who have never used marijuana (N=10,364)</w:t>
            </w:r>
          </w:p>
        </w:tc>
        <w:tc>
          <w:tcPr>
            <w:tcW w:w="6804" w:type="dxa"/>
          </w:tcPr>
          <w:p w14:paraId="2015B3C8" w14:textId="62AFB33A"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sz w:val="16"/>
                <w:szCs w:val="16"/>
              </w:rPr>
            </w:pPr>
            <w:r w:rsidRPr="005D0210">
              <w:rPr>
                <w:sz w:val="16"/>
                <w:szCs w:val="16"/>
              </w:rPr>
              <w:t>Exposure: e</w:t>
            </w:r>
            <w:r w:rsidRPr="005D0210">
              <w:rPr>
                <w:sz w:val="16"/>
                <w:szCs w:val="16"/>
              </w:rPr>
              <w:noBreakHyphen/>
              <w:t>cigarette use (ever vs never;</w:t>
            </w:r>
            <w:r w:rsidR="008146F9">
              <w:rPr>
                <w:sz w:val="16"/>
                <w:szCs w:val="16"/>
              </w:rPr>
              <w:t xml:space="preserve"> </w:t>
            </w:r>
            <w:r w:rsidRPr="005D0210">
              <w:rPr>
                <w:sz w:val="16"/>
                <w:szCs w:val="16"/>
              </w:rPr>
              <w:t>number of e</w:t>
            </w:r>
            <w:r w:rsidRPr="005D0210">
              <w:rPr>
                <w:sz w:val="16"/>
                <w:szCs w:val="16"/>
              </w:rPr>
              <w:noBreakHyphen/>
              <w:t>cigarettes and/or cartridges used in life (categorical ranging from 0 (no use) to 7 (100 or more))</w:t>
            </w:r>
            <w:r w:rsidR="00F66844">
              <w:rPr>
                <w:sz w:val="16"/>
                <w:szCs w:val="16"/>
              </w:rPr>
              <w:t>.</w:t>
            </w:r>
          </w:p>
          <w:p w14:paraId="7B9ED598" w14:textId="01829DB4" w:rsidR="00781923" w:rsidRPr="005D0210" w:rsidRDefault="00781923" w:rsidP="008E6600">
            <w:pPr>
              <w:cnfStyle w:val="000000100000" w:firstRow="0" w:lastRow="0" w:firstColumn="0" w:lastColumn="0" w:oddVBand="0" w:evenVBand="0" w:oddHBand="1" w:evenHBand="0" w:firstRowFirstColumn="0" w:firstRowLastColumn="0" w:lastRowFirstColumn="0" w:lastRowLastColumn="0"/>
              <w:rPr>
                <w:sz w:val="16"/>
                <w:szCs w:val="16"/>
              </w:rPr>
            </w:pPr>
            <w:r w:rsidRPr="005D0210">
              <w:rPr>
                <w:sz w:val="16"/>
                <w:szCs w:val="16"/>
              </w:rPr>
              <w:t>Outcome: marijuana use in the past 12 months (ever/never); heavy marijuana use (weekly or more)</w:t>
            </w:r>
            <w:r w:rsidR="00F66844">
              <w:rPr>
                <w:sz w:val="16"/>
                <w:szCs w:val="16"/>
              </w:rPr>
              <w:t>.</w:t>
            </w:r>
          </w:p>
        </w:tc>
        <w:tc>
          <w:tcPr>
            <w:tcW w:w="2693" w:type="dxa"/>
          </w:tcPr>
          <w:p w14:paraId="17753589"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sz w:val="16"/>
                <w:szCs w:val="16"/>
              </w:rPr>
            </w:pPr>
            <w:r w:rsidRPr="005D0210">
              <w:rPr>
                <w:sz w:val="16"/>
                <w:szCs w:val="16"/>
              </w:rPr>
              <w:t>Not reported</w:t>
            </w:r>
          </w:p>
        </w:tc>
      </w:tr>
      <w:tr w:rsidR="00781923" w:rsidRPr="005D0210" w14:paraId="7FF4A412" w14:textId="77777777" w:rsidTr="004E728C">
        <w:trPr>
          <w:trHeight w:val="698"/>
        </w:trPr>
        <w:tc>
          <w:tcPr>
            <w:cnfStyle w:val="001000000000" w:firstRow="0" w:lastRow="0" w:firstColumn="1" w:lastColumn="0" w:oddVBand="0" w:evenVBand="0" w:oddHBand="0" w:evenHBand="0" w:firstRowFirstColumn="0" w:firstRowLastColumn="0" w:lastRowFirstColumn="0" w:lastRowLastColumn="0"/>
            <w:tcW w:w="1163" w:type="dxa"/>
          </w:tcPr>
          <w:p w14:paraId="66652847" w14:textId="77777777" w:rsidR="00781923" w:rsidRPr="005D0210" w:rsidRDefault="00781923" w:rsidP="004E728C">
            <w:pPr>
              <w:rPr>
                <w:sz w:val="16"/>
                <w:szCs w:val="16"/>
              </w:rPr>
            </w:pPr>
            <w:r w:rsidRPr="005D0210">
              <w:rPr>
                <w:sz w:val="16"/>
                <w:szCs w:val="16"/>
              </w:rPr>
              <w:t>Lozano et al 2017</w:t>
            </w:r>
          </w:p>
        </w:tc>
        <w:tc>
          <w:tcPr>
            <w:tcW w:w="1276" w:type="dxa"/>
          </w:tcPr>
          <w:p w14:paraId="51C70CF9"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sz w:val="16"/>
                <w:szCs w:val="16"/>
              </w:rPr>
            </w:pPr>
            <w:r w:rsidRPr="005D0210">
              <w:rPr>
                <w:sz w:val="16"/>
                <w:szCs w:val="16"/>
              </w:rPr>
              <w:t>Cohort</w:t>
            </w:r>
          </w:p>
        </w:tc>
        <w:tc>
          <w:tcPr>
            <w:tcW w:w="850" w:type="dxa"/>
          </w:tcPr>
          <w:p w14:paraId="5C499CD9"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sz w:val="16"/>
                <w:szCs w:val="16"/>
              </w:rPr>
            </w:pPr>
            <w:r w:rsidRPr="005D0210">
              <w:rPr>
                <w:sz w:val="16"/>
                <w:szCs w:val="16"/>
              </w:rPr>
              <w:t>20 months</w:t>
            </w:r>
          </w:p>
        </w:tc>
        <w:tc>
          <w:tcPr>
            <w:tcW w:w="2552" w:type="dxa"/>
          </w:tcPr>
          <w:p w14:paraId="0F131C5C"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sz w:val="16"/>
                <w:szCs w:val="16"/>
              </w:rPr>
            </w:pPr>
            <w:r w:rsidRPr="005D0210">
              <w:rPr>
                <w:sz w:val="16"/>
                <w:szCs w:val="16"/>
              </w:rPr>
              <w:t>Middle school students in 3 largest cities in Mexico (N=4,695)</w:t>
            </w:r>
          </w:p>
        </w:tc>
        <w:tc>
          <w:tcPr>
            <w:tcW w:w="6804" w:type="dxa"/>
          </w:tcPr>
          <w:p w14:paraId="6B339BA2" w14:textId="761428B8"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sz w:val="16"/>
                <w:szCs w:val="16"/>
              </w:rPr>
            </w:pPr>
            <w:r w:rsidRPr="005D0210">
              <w:rPr>
                <w:sz w:val="16"/>
                <w:szCs w:val="16"/>
              </w:rPr>
              <w:t>Exposure: e</w:t>
            </w:r>
            <w:r w:rsidRPr="005D0210">
              <w:rPr>
                <w:sz w:val="16"/>
                <w:szCs w:val="16"/>
              </w:rPr>
              <w:noBreakHyphen/>
              <w:t>cigarette use (ever/never)</w:t>
            </w:r>
            <w:r w:rsidR="00F66844">
              <w:rPr>
                <w:sz w:val="16"/>
                <w:szCs w:val="16"/>
              </w:rPr>
              <w:t>.</w:t>
            </w:r>
          </w:p>
          <w:p w14:paraId="35E6881E" w14:textId="385710C2"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sz w:val="16"/>
                <w:szCs w:val="16"/>
              </w:rPr>
            </w:pPr>
            <w:r w:rsidRPr="005D0210">
              <w:rPr>
                <w:sz w:val="16"/>
                <w:szCs w:val="16"/>
              </w:rPr>
              <w:t>Outcome: marijuana use in the past 12 months</w:t>
            </w:r>
            <w:r w:rsidR="00F66844">
              <w:rPr>
                <w:sz w:val="16"/>
                <w:szCs w:val="16"/>
              </w:rPr>
              <w:t>.</w:t>
            </w:r>
          </w:p>
        </w:tc>
        <w:tc>
          <w:tcPr>
            <w:tcW w:w="2693" w:type="dxa"/>
          </w:tcPr>
          <w:p w14:paraId="6800C0E3"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sz w:val="16"/>
                <w:szCs w:val="16"/>
              </w:rPr>
            </w:pPr>
            <w:r w:rsidRPr="005D0210">
              <w:rPr>
                <w:sz w:val="16"/>
                <w:szCs w:val="16"/>
              </w:rPr>
              <w:t>Fogarty International Center; National Cancer Institute of the US National Institute of Health</w:t>
            </w:r>
          </w:p>
        </w:tc>
      </w:tr>
      <w:tr w:rsidR="00781923" w:rsidRPr="005D0210" w14:paraId="16980212" w14:textId="77777777" w:rsidTr="004E728C">
        <w:trPr>
          <w:cnfStyle w:val="000000100000" w:firstRow="0" w:lastRow="0" w:firstColumn="0" w:lastColumn="0" w:oddVBand="0" w:evenVBand="0" w:oddHBand="1" w:evenHBand="0"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1163" w:type="dxa"/>
          </w:tcPr>
          <w:p w14:paraId="67473E0C" w14:textId="77777777" w:rsidR="00781923" w:rsidRPr="005D0210" w:rsidRDefault="00781923" w:rsidP="004E728C">
            <w:pPr>
              <w:rPr>
                <w:sz w:val="16"/>
                <w:szCs w:val="16"/>
              </w:rPr>
            </w:pPr>
            <w:r w:rsidRPr="005D0210">
              <w:rPr>
                <w:sz w:val="16"/>
                <w:szCs w:val="16"/>
              </w:rPr>
              <w:t>Azagba et al 2018</w:t>
            </w:r>
          </w:p>
        </w:tc>
        <w:tc>
          <w:tcPr>
            <w:tcW w:w="1276" w:type="dxa"/>
          </w:tcPr>
          <w:p w14:paraId="332447C6"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sz w:val="16"/>
                <w:szCs w:val="16"/>
              </w:rPr>
            </w:pPr>
            <w:r w:rsidRPr="005D0210">
              <w:rPr>
                <w:sz w:val="16"/>
                <w:szCs w:val="16"/>
              </w:rPr>
              <w:t>Cross</w:t>
            </w:r>
            <w:r w:rsidRPr="005D0210">
              <w:rPr>
                <w:sz w:val="16"/>
                <w:szCs w:val="16"/>
              </w:rPr>
              <w:noBreakHyphen/>
              <w:t>sectional</w:t>
            </w:r>
          </w:p>
        </w:tc>
        <w:tc>
          <w:tcPr>
            <w:tcW w:w="850" w:type="dxa"/>
          </w:tcPr>
          <w:p w14:paraId="11E2429C"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sz w:val="16"/>
                <w:szCs w:val="16"/>
              </w:rPr>
            </w:pPr>
            <w:r w:rsidRPr="005D0210">
              <w:rPr>
                <w:sz w:val="16"/>
                <w:szCs w:val="16"/>
              </w:rPr>
              <w:t>N/A</w:t>
            </w:r>
          </w:p>
        </w:tc>
        <w:tc>
          <w:tcPr>
            <w:tcW w:w="2552" w:type="dxa"/>
          </w:tcPr>
          <w:p w14:paraId="30221FAF"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sz w:val="16"/>
                <w:szCs w:val="16"/>
              </w:rPr>
            </w:pPr>
            <w:r w:rsidRPr="005D0210">
              <w:rPr>
                <w:sz w:val="16"/>
                <w:szCs w:val="16"/>
              </w:rPr>
              <w:t>Grades 6</w:t>
            </w:r>
            <w:r w:rsidRPr="005D0210">
              <w:rPr>
                <w:sz w:val="16"/>
                <w:szCs w:val="16"/>
              </w:rPr>
              <w:noBreakHyphen/>
              <w:t>12 school students in Canada (N=23,429)</w:t>
            </w:r>
          </w:p>
        </w:tc>
        <w:tc>
          <w:tcPr>
            <w:tcW w:w="6804" w:type="dxa"/>
          </w:tcPr>
          <w:p w14:paraId="28263B37" w14:textId="4FD12ED9"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sz w:val="16"/>
                <w:szCs w:val="16"/>
              </w:rPr>
            </w:pPr>
            <w:r w:rsidRPr="005D0210">
              <w:rPr>
                <w:sz w:val="16"/>
                <w:szCs w:val="16"/>
              </w:rPr>
              <w:t>Exposures: e</w:t>
            </w:r>
            <w:r w:rsidRPr="005D0210">
              <w:rPr>
                <w:sz w:val="16"/>
                <w:szCs w:val="16"/>
              </w:rPr>
              <w:noBreakHyphen/>
              <w:t>cigarette use, cigarette use or dual use in the past 30 days (any vs none)</w:t>
            </w:r>
            <w:r w:rsidR="00F66844">
              <w:rPr>
                <w:sz w:val="16"/>
                <w:szCs w:val="16"/>
              </w:rPr>
              <w:t>.</w:t>
            </w:r>
          </w:p>
          <w:p w14:paraId="5DBA8120"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sz w:val="16"/>
                <w:szCs w:val="16"/>
              </w:rPr>
            </w:pPr>
            <w:r w:rsidRPr="005D0210">
              <w:rPr>
                <w:sz w:val="16"/>
                <w:szCs w:val="16"/>
              </w:rPr>
              <w:t>Outcome: frequency of past 30</w:t>
            </w:r>
            <w:r w:rsidRPr="005D0210">
              <w:rPr>
                <w:sz w:val="16"/>
                <w:szCs w:val="16"/>
              </w:rPr>
              <w:noBreakHyphen/>
              <w:t>day cannabis use (none, once or twice, 1</w:t>
            </w:r>
            <w:r w:rsidRPr="005D0210">
              <w:rPr>
                <w:sz w:val="16"/>
                <w:szCs w:val="16"/>
              </w:rPr>
              <w:noBreakHyphen/>
              <w:t>2 times/week, 3</w:t>
            </w:r>
            <w:r w:rsidRPr="005D0210">
              <w:rPr>
                <w:sz w:val="16"/>
                <w:szCs w:val="16"/>
              </w:rPr>
              <w:noBreakHyphen/>
              <w:t>6 times/week, every day)</w:t>
            </w:r>
          </w:p>
        </w:tc>
        <w:tc>
          <w:tcPr>
            <w:tcW w:w="2693" w:type="dxa"/>
          </w:tcPr>
          <w:p w14:paraId="56F881CA"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sz w:val="16"/>
                <w:szCs w:val="16"/>
              </w:rPr>
            </w:pPr>
            <w:r w:rsidRPr="005D0210">
              <w:rPr>
                <w:sz w:val="16"/>
                <w:szCs w:val="16"/>
              </w:rPr>
              <w:t>Not reported</w:t>
            </w:r>
          </w:p>
        </w:tc>
      </w:tr>
      <w:tr w:rsidR="00781923" w:rsidRPr="005D0210" w14:paraId="638F8080" w14:textId="77777777" w:rsidTr="004E728C">
        <w:trPr>
          <w:trHeight w:val="698"/>
        </w:trPr>
        <w:tc>
          <w:tcPr>
            <w:cnfStyle w:val="001000000000" w:firstRow="0" w:lastRow="0" w:firstColumn="1" w:lastColumn="0" w:oddVBand="0" w:evenVBand="0" w:oddHBand="0" w:evenHBand="0" w:firstRowFirstColumn="0" w:firstRowLastColumn="0" w:lastRowFirstColumn="0" w:lastRowLastColumn="0"/>
            <w:tcW w:w="1163" w:type="dxa"/>
          </w:tcPr>
          <w:p w14:paraId="60941E4A" w14:textId="77777777" w:rsidR="00781923" w:rsidRPr="005D0210" w:rsidRDefault="00781923" w:rsidP="004E728C">
            <w:pPr>
              <w:rPr>
                <w:sz w:val="16"/>
                <w:szCs w:val="16"/>
              </w:rPr>
            </w:pPr>
            <w:r w:rsidRPr="005D0210">
              <w:rPr>
                <w:sz w:val="16"/>
                <w:szCs w:val="16"/>
              </w:rPr>
              <w:t>Curran et al 2018</w:t>
            </w:r>
          </w:p>
        </w:tc>
        <w:tc>
          <w:tcPr>
            <w:tcW w:w="1276" w:type="dxa"/>
          </w:tcPr>
          <w:p w14:paraId="2D5AEE1A"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sz w:val="16"/>
                <w:szCs w:val="16"/>
              </w:rPr>
            </w:pPr>
            <w:r w:rsidRPr="005D0210">
              <w:rPr>
                <w:sz w:val="16"/>
                <w:szCs w:val="16"/>
              </w:rPr>
              <w:t>Cross</w:t>
            </w:r>
            <w:r w:rsidRPr="005D0210">
              <w:rPr>
                <w:sz w:val="16"/>
                <w:szCs w:val="16"/>
              </w:rPr>
              <w:noBreakHyphen/>
              <w:t>sectional</w:t>
            </w:r>
          </w:p>
        </w:tc>
        <w:tc>
          <w:tcPr>
            <w:tcW w:w="850" w:type="dxa"/>
          </w:tcPr>
          <w:p w14:paraId="146D2088"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sz w:val="16"/>
                <w:szCs w:val="16"/>
              </w:rPr>
            </w:pPr>
            <w:r w:rsidRPr="005D0210">
              <w:rPr>
                <w:sz w:val="16"/>
                <w:szCs w:val="16"/>
              </w:rPr>
              <w:t>N/A</w:t>
            </w:r>
          </w:p>
        </w:tc>
        <w:tc>
          <w:tcPr>
            <w:tcW w:w="2552" w:type="dxa"/>
          </w:tcPr>
          <w:p w14:paraId="3985C704"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sz w:val="16"/>
                <w:szCs w:val="16"/>
              </w:rPr>
            </w:pPr>
            <w:r w:rsidRPr="005D0210">
              <w:rPr>
                <w:sz w:val="16"/>
                <w:szCs w:val="16"/>
              </w:rPr>
              <w:t>US school students in grades 9</w:t>
            </w:r>
            <w:r w:rsidRPr="005D0210">
              <w:rPr>
                <w:sz w:val="16"/>
                <w:szCs w:val="16"/>
              </w:rPr>
              <w:noBreakHyphen/>
              <w:t>12 (N=15,624)</w:t>
            </w:r>
          </w:p>
        </w:tc>
        <w:tc>
          <w:tcPr>
            <w:tcW w:w="6804" w:type="dxa"/>
          </w:tcPr>
          <w:p w14:paraId="5C30B47A" w14:textId="0F256385"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sz w:val="16"/>
                <w:szCs w:val="16"/>
              </w:rPr>
            </w:pPr>
            <w:r w:rsidRPr="005D0210">
              <w:rPr>
                <w:sz w:val="16"/>
                <w:szCs w:val="16"/>
              </w:rPr>
              <w:t>Exposures: past 30</w:t>
            </w:r>
            <w:r w:rsidRPr="005D0210">
              <w:rPr>
                <w:sz w:val="16"/>
                <w:szCs w:val="16"/>
              </w:rPr>
              <w:noBreakHyphen/>
              <w:t>day e</w:t>
            </w:r>
            <w:r w:rsidRPr="005D0210">
              <w:rPr>
                <w:sz w:val="16"/>
                <w:szCs w:val="16"/>
              </w:rPr>
              <w:noBreakHyphen/>
              <w:t>cigarette use (any/none); past 30</w:t>
            </w:r>
            <w:r w:rsidRPr="005D0210">
              <w:rPr>
                <w:sz w:val="16"/>
                <w:szCs w:val="16"/>
              </w:rPr>
              <w:noBreakHyphen/>
              <w:t>day use of conventional cigarettes (any/none); past 30</w:t>
            </w:r>
            <w:r w:rsidRPr="005D0210">
              <w:rPr>
                <w:sz w:val="16"/>
                <w:szCs w:val="16"/>
              </w:rPr>
              <w:noBreakHyphen/>
              <w:t>day use of other tobacco products (any/none)</w:t>
            </w:r>
            <w:r w:rsidR="00F66844">
              <w:rPr>
                <w:sz w:val="16"/>
                <w:szCs w:val="16"/>
              </w:rPr>
              <w:t>.</w:t>
            </w:r>
          </w:p>
          <w:p w14:paraId="538885DC" w14:textId="2A4199F2"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sz w:val="16"/>
                <w:szCs w:val="16"/>
              </w:rPr>
            </w:pPr>
            <w:r w:rsidRPr="005D0210">
              <w:rPr>
                <w:sz w:val="16"/>
                <w:szCs w:val="16"/>
              </w:rPr>
              <w:t>Outcomes: Alcohol use (ever/never; past 30 day use (any/none)); marijuana use (ever/never; past 30 day use (any/none)); lifetime use of other drugs (cocaine; glue; aerosols/paints; injected illegal drugs; heroin, methamphetamines, or ecstasy; or steroids without a doctor’s prescription) (ever/never); prescription drug misuse (ever/never)</w:t>
            </w:r>
            <w:r w:rsidR="00F66844">
              <w:rPr>
                <w:sz w:val="16"/>
                <w:szCs w:val="16"/>
              </w:rPr>
              <w:t>.</w:t>
            </w:r>
          </w:p>
        </w:tc>
        <w:tc>
          <w:tcPr>
            <w:tcW w:w="2693" w:type="dxa"/>
          </w:tcPr>
          <w:p w14:paraId="37842516"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sz w:val="16"/>
                <w:szCs w:val="16"/>
              </w:rPr>
            </w:pPr>
            <w:r w:rsidRPr="005D0210">
              <w:rPr>
                <w:sz w:val="16"/>
                <w:szCs w:val="16"/>
              </w:rPr>
              <w:t>Mr Thad Burk’s position was funded by grants from the Department of Health and Human Services, US Centers for Disease Control and Prevention. No other funding disclosed.</w:t>
            </w:r>
          </w:p>
        </w:tc>
      </w:tr>
      <w:tr w:rsidR="00781923" w:rsidRPr="005D0210" w14:paraId="5D754460" w14:textId="77777777" w:rsidTr="004E728C">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1163" w:type="dxa"/>
          </w:tcPr>
          <w:p w14:paraId="1341A198" w14:textId="77777777" w:rsidR="00781923" w:rsidRPr="005D0210" w:rsidRDefault="00781923" w:rsidP="004E728C">
            <w:pPr>
              <w:rPr>
                <w:sz w:val="16"/>
                <w:szCs w:val="16"/>
              </w:rPr>
            </w:pPr>
            <w:r w:rsidRPr="005D0210">
              <w:rPr>
                <w:sz w:val="16"/>
                <w:szCs w:val="16"/>
              </w:rPr>
              <w:t>Kristjansson et al 2017</w:t>
            </w:r>
          </w:p>
        </w:tc>
        <w:tc>
          <w:tcPr>
            <w:tcW w:w="1276" w:type="dxa"/>
          </w:tcPr>
          <w:p w14:paraId="57E0F7B1"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sz w:val="16"/>
                <w:szCs w:val="16"/>
              </w:rPr>
            </w:pPr>
            <w:r w:rsidRPr="005D0210">
              <w:rPr>
                <w:sz w:val="16"/>
                <w:szCs w:val="16"/>
              </w:rPr>
              <w:t>Cross</w:t>
            </w:r>
            <w:r w:rsidRPr="005D0210">
              <w:rPr>
                <w:sz w:val="16"/>
                <w:szCs w:val="16"/>
              </w:rPr>
              <w:noBreakHyphen/>
              <w:t>sectional</w:t>
            </w:r>
          </w:p>
        </w:tc>
        <w:tc>
          <w:tcPr>
            <w:tcW w:w="850" w:type="dxa"/>
          </w:tcPr>
          <w:p w14:paraId="6C8B3955"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sz w:val="16"/>
                <w:szCs w:val="16"/>
              </w:rPr>
            </w:pPr>
            <w:r w:rsidRPr="005D0210">
              <w:rPr>
                <w:sz w:val="16"/>
                <w:szCs w:val="16"/>
              </w:rPr>
              <w:t>N/A</w:t>
            </w:r>
          </w:p>
        </w:tc>
        <w:tc>
          <w:tcPr>
            <w:tcW w:w="2552" w:type="dxa"/>
          </w:tcPr>
          <w:p w14:paraId="342371A2"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sz w:val="16"/>
                <w:szCs w:val="16"/>
              </w:rPr>
            </w:pPr>
            <w:r w:rsidRPr="005D0210">
              <w:rPr>
                <w:sz w:val="16"/>
                <w:szCs w:val="16"/>
              </w:rPr>
              <w:t>Grades 6</w:t>
            </w:r>
            <w:r w:rsidRPr="005D0210">
              <w:rPr>
                <w:sz w:val="16"/>
                <w:szCs w:val="16"/>
              </w:rPr>
              <w:noBreakHyphen/>
              <w:t>8 middle school students in West Virginia, USA (N=6,547)</w:t>
            </w:r>
          </w:p>
        </w:tc>
        <w:tc>
          <w:tcPr>
            <w:tcW w:w="6804" w:type="dxa"/>
          </w:tcPr>
          <w:p w14:paraId="4ECB2227" w14:textId="6B745AE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sz w:val="16"/>
                <w:szCs w:val="16"/>
              </w:rPr>
            </w:pPr>
            <w:r w:rsidRPr="005D0210">
              <w:rPr>
                <w:sz w:val="16"/>
                <w:szCs w:val="16"/>
              </w:rPr>
              <w:t>Exposure: smoking status (Never, ever e</w:t>
            </w:r>
            <w:r w:rsidRPr="005D0210">
              <w:rPr>
                <w:sz w:val="16"/>
                <w:szCs w:val="16"/>
              </w:rPr>
              <w:noBreakHyphen/>
              <w:t>cigarette only, ever cigarette only, ever use both)</w:t>
            </w:r>
            <w:r w:rsidR="00F66844">
              <w:rPr>
                <w:sz w:val="16"/>
                <w:szCs w:val="16"/>
              </w:rPr>
              <w:t>.</w:t>
            </w:r>
          </w:p>
          <w:p w14:paraId="61EA04E3" w14:textId="25813B91"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sz w:val="16"/>
                <w:szCs w:val="16"/>
              </w:rPr>
            </w:pPr>
            <w:r w:rsidRPr="005D0210">
              <w:rPr>
                <w:sz w:val="16"/>
                <w:szCs w:val="16"/>
              </w:rPr>
              <w:t>Outcome: ever chewing tobacco; ever alcohol (more than just a few sips); ever been drunk; ever sniffing (glue,sprays, paints); ever prescription drugs without prescription; ever synthetic marijuana; ever bath salts; ever marijuana; ever hallucinogenic drugs (all Yes/No)</w:t>
            </w:r>
            <w:r w:rsidR="00F66844">
              <w:rPr>
                <w:sz w:val="16"/>
                <w:szCs w:val="16"/>
              </w:rPr>
              <w:t>.</w:t>
            </w:r>
          </w:p>
        </w:tc>
        <w:tc>
          <w:tcPr>
            <w:tcW w:w="2693" w:type="dxa"/>
          </w:tcPr>
          <w:p w14:paraId="69CA66AF"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sz w:val="16"/>
                <w:szCs w:val="16"/>
              </w:rPr>
            </w:pPr>
            <w:r w:rsidRPr="005D0210">
              <w:rPr>
                <w:sz w:val="16"/>
                <w:szCs w:val="16"/>
              </w:rPr>
              <w:t>Sisters Health Foundation in Parkersburg, West Virginia; Substance</w:t>
            </w:r>
          </w:p>
          <w:p w14:paraId="14D228D6"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sz w:val="16"/>
                <w:szCs w:val="16"/>
              </w:rPr>
            </w:pPr>
            <w:r w:rsidRPr="005D0210">
              <w:rPr>
                <w:sz w:val="16"/>
                <w:szCs w:val="16"/>
              </w:rPr>
              <w:t>Abuse and Mental Health Services Administration</w:t>
            </w:r>
          </w:p>
        </w:tc>
      </w:tr>
      <w:tr w:rsidR="00781923" w:rsidRPr="005D0210" w14:paraId="5C03EB68" w14:textId="77777777" w:rsidTr="004E728C">
        <w:trPr>
          <w:trHeight w:val="230"/>
        </w:trPr>
        <w:tc>
          <w:tcPr>
            <w:cnfStyle w:val="001000000000" w:firstRow="0" w:lastRow="0" w:firstColumn="1" w:lastColumn="0" w:oddVBand="0" w:evenVBand="0" w:oddHBand="0" w:evenHBand="0" w:firstRowFirstColumn="0" w:firstRowLastColumn="0" w:lastRowFirstColumn="0" w:lastRowLastColumn="0"/>
            <w:tcW w:w="1163" w:type="dxa"/>
          </w:tcPr>
          <w:p w14:paraId="76CCFE46" w14:textId="77777777" w:rsidR="00781923" w:rsidRPr="005D0210" w:rsidRDefault="00781923" w:rsidP="004E728C">
            <w:pPr>
              <w:rPr>
                <w:sz w:val="16"/>
                <w:szCs w:val="16"/>
              </w:rPr>
            </w:pPr>
            <w:r w:rsidRPr="005D0210">
              <w:rPr>
                <w:sz w:val="16"/>
                <w:szCs w:val="16"/>
              </w:rPr>
              <w:t>Lanza et al 2018</w:t>
            </w:r>
          </w:p>
        </w:tc>
        <w:tc>
          <w:tcPr>
            <w:tcW w:w="1276" w:type="dxa"/>
          </w:tcPr>
          <w:p w14:paraId="3143B6BF"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sz w:val="16"/>
                <w:szCs w:val="16"/>
              </w:rPr>
            </w:pPr>
            <w:r w:rsidRPr="005D0210">
              <w:rPr>
                <w:sz w:val="16"/>
                <w:szCs w:val="16"/>
              </w:rPr>
              <w:t>Cross</w:t>
            </w:r>
            <w:r w:rsidRPr="005D0210">
              <w:rPr>
                <w:sz w:val="16"/>
                <w:szCs w:val="16"/>
              </w:rPr>
              <w:noBreakHyphen/>
              <w:t>sectional</w:t>
            </w:r>
          </w:p>
        </w:tc>
        <w:tc>
          <w:tcPr>
            <w:tcW w:w="850" w:type="dxa"/>
          </w:tcPr>
          <w:p w14:paraId="0DC685D9"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sz w:val="16"/>
                <w:szCs w:val="16"/>
              </w:rPr>
            </w:pPr>
            <w:r w:rsidRPr="005D0210">
              <w:rPr>
                <w:sz w:val="16"/>
                <w:szCs w:val="16"/>
              </w:rPr>
              <w:t>N/A</w:t>
            </w:r>
          </w:p>
        </w:tc>
        <w:tc>
          <w:tcPr>
            <w:tcW w:w="2552" w:type="dxa"/>
          </w:tcPr>
          <w:p w14:paraId="14097BC0"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sz w:val="16"/>
                <w:szCs w:val="16"/>
              </w:rPr>
            </w:pPr>
            <w:r w:rsidRPr="005D0210">
              <w:rPr>
                <w:sz w:val="16"/>
                <w:szCs w:val="16"/>
              </w:rPr>
              <w:t>Undergraduate students at California State University, USA (N=452)</w:t>
            </w:r>
          </w:p>
        </w:tc>
        <w:tc>
          <w:tcPr>
            <w:tcW w:w="6804" w:type="dxa"/>
          </w:tcPr>
          <w:p w14:paraId="4ADD24C7" w14:textId="61B5BA83"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sz w:val="16"/>
                <w:szCs w:val="16"/>
              </w:rPr>
            </w:pPr>
            <w:r w:rsidRPr="005D0210">
              <w:rPr>
                <w:sz w:val="16"/>
                <w:szCs w:val="16"/>
              </w:rPr>
              <w:t>Exposure: e</w:t>
            </w:r>
            <w:r w:rsidRPr="005D0210">
              <w:rPr>
                <w:sz w:val="16"/>
                <w:szCs w:val="16"/>
              </w:rPr>
              <w:noBreakHyphen/>
              <w:t>cigarette use (ever/never)</w:t>
            </w:r>
            <w:r w:rsidR="00F66844">
              <w:rPr>
                <w:sz w:val="16"/>
                <w:szCs w:val="16"/>
              </w:rPr>
              <w:t>.</w:t>
            </w:r>
          </w:p>
          <w:p w14:paraId="20D8D0B2" w14:textId="368A61C0"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sz w:val="16"/>
                <w:szCs w:val="16"/>
              </w:rPr>
            </w:pPr>
            <w:r w:rsidRPr="005D0210">
              <w:rPr>
                <w:sz w:val="16"/>
                <w:szCs w:val="16"/>
              </w:rPr>
              <w:t>Outcomes: Early alcohol initiation (</w:t>
            </w:r>
            <w:r w:rsidRPr="005D0210">
              <w:rPr>
                <w:rFonts w:cstheme="minorHAnsi"/>
                <w:sz w:val="16"/>
                <w:szCs w:val="16"/>
              </w:rPr>
              <w:t>≤</w:t>
            </w:r>
            <w:r w:rsidRPr="005D0210">
              <w:rPr>
                <w:sz w:val="16"/>
                <w:szCs w:val="16"/>
              </w:rPr>
              <w:t>14 years), ever binge drinking (≥ 4 drinks in one sitting for females, 5 for males (yes/no)), binge drinking in the last month (yes/no), Drunk in the past month (yes/no)</w:t>
            </w:r>
            <w:r w:rsidR="00F66844">
              <w:rPr>
                <w:sz w:val="16"/>
                <w:szCs w:val="16"/>
              </w:rPr>
              <w:t>.</w:t>
            </w:r>
          </w:p>
        </w:tc>
        <w:tc>
          <w:tcPr>
            <w:tcW w:w="2693" w:type="dxa"/>
          </w:tcPr>
          <w:p w14:paraId="38CAED71"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sz w:val="16"/>
                <w:szCs w:val="16"/>
              </w:rPr>
            </w:pPr>
            <w:r w:rsidRPr="005D0210">
              <w:rPr>
                <w:sz w:val="16"/>
                <w:szCs w:val="16"/>
              </w:rPr>
              <w:t>National Institute of General Medical Sciences of the National Institutes of Health</w:t>
            </w:r>
          </w:p>
        </w:tc>
      </w:tr>
      <w:tr w:rsidR="00781923" w:rsidRPr="005D0210" w14:paraId="4D6E3523" w14:textId="77777777" w:rsidTr="004E728C">
        <w:trPr>
          <w:cnfStyle w:val="000000100000" w:firstRow="0" w:lastRow="0" w:firstColumn="0" w:lastColumn="0" w:oddVBand="0" w:evenVBand="0" w:oddHBand="1" w:evenHBand="0" w:firstRowFirstColumn="0" w:firstRowLastColumn="0" w:lastRowFirstColumn="0" w:lastRowLastColumn="0"/>
          <w:trHeight w:val="782"/>
        </w:trPr>
        <w:tc>
          <w:tcPr>
            <w:cnfStyle w:val="001000000000" w:firstRow="0" w:lastRow="0" w:firstColumn="1" w:lastColumn="0" w:oddVBand="0" w:evenVBand="0" w:oddHBand="0" w:evenHBand="0" w:firstRowFirstColumn="0" w:firstRowLastColumn="0" w:lastRowFirstColumn="0" w:lastRowLastColumn="0"/>
            <w:tcW w:w="1163" w:type="dxa"/>
          </w:tcPr>
          <w:p w14:paraId="1D6AC914" w14:textId="77777777" w:rsidR="00781923" w:rsidRPr="005D0210" w:rsidRDefault="00781923" w:rsidP="004E728C">
            <w:pPr>
              <w:rPr>
                <w:sz w:val="16"/>
                <w:szCs w:val="16"/>
              </w:rPr>
            </w:pPr>
            <w:r w:rsidRPr="005D0210">
              <w:rPr>
                <w:sz w:val="16"/>
                <w:szCs w:val="16"/>
              </w:rPr>
              <w:t xml:space="preserve">Milicic et al 2017 </w:t>
            </w:r>
          </w:p>
        </w:tc>
        <w:tc>
          <w:tcPr>
            <w:tcW w:w="1276" w:type="dxa"/>
          </w:tcPr>
          <w:p w14:paraId="24B0C501"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sz w:val="16"/>
                <w:szCs w:val="16"/>
              </w:rPr>
            </w:pPr>
            <w:r w:rsidRPr="005D0210">
              <w:rPr>
                <w:sz w:val="16"/>
                <w:szCs w:val="16"/>
              </w:rPr>
              <w:t>Cross</w:t>
            </w:r>
            <w:r w:rsidRPr="005D0210">
              <w:rPr>
                <w:sz w:val="16"/>
                <w:szCs w:val="16"/>
              </w:rPr>
              <w:noBreakHyphen/>
              <w:t>sectional</w:t>
            </w:r>
          </w:p>
        </w:tc>
        <w:tc>
          <w:tcPr>
            <w:tcW w:w="850" w:type="dxa"/>
          </w:tcPr>
          <w:p w14:paraId="2C828ECE"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sz w:val="16"/>
                <w:szCs w:val="16"/>
              </w:rPr>
            </w:pPr>
            <w:r w:rsidRPr="005D0210">
              <w:rPr>
                <w:sz w:val="16"/>
                <w:szCs w:val="16"/>
              </w:rPr>
              <w:t>N/A</w:t>
            </w:r>
          </w:p>
        </w:tc>
        <w:tc>
          <w:tcPr>
            <w:tcW w:w="2552" w:type="dxa"/>
          </w:tcPr>
          <w:p w14:paraId="27AD4DB4"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sz w:val="16"/>
                <w:szCs w:val="16"/>
              </w:rPr>
            </w:pPr>
            <w:r w:rsidRPr="005D0210">
              <w:rPr>
                <w:sz w:val="16"/>
                <w:szCs w:val="16"/>
              </w:rPr>
              <w:t>Grades 9</w:t>
            </w:r>
            <w:r w:rsidRPr="005D0210">
              <w:rPr>
                <w:sz w:val="16"/>
                <w:szCs w:val="16"/>
              </w:rPr>
              <w:noBreakHyphen/>
              <w:t>12 secondary school students in Ontario and Alberta, Canada (N=39,897)</w:t>
            </w:r>
          </w:p>
        </w:tc>
        <w:tc>
          <w:tcPr>
            <w:tcW w:w="6804" w:type="dxa"/>
          </w:tcPr>
          <w:p w14:paraId="3E8AB633" w14:textId="795C66D8"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sz w:val="16"/>
                <w:szCs w:val="16"/>
              </w:rPr>
            </w:pPr>
            <w:r w:rsidRPr="005D0210">
              <w:rPr>
                <w:sz w:val="16"/>
                <w:szCs w:val="16"/>
              </w:rPr>
              <w:t>Exposure: e</w:t>
            </w:r>
            <w:r w:rsidRPr="005D0210">
              <w:rPr>
                <w:sz w:val="16"/>
                <w:szCs w:val="16"/>
              </w:rPr>
              <w:noBreakHyphen/>
              <w:t>cigarette use in the past 30 days (Yes/No)</w:t>
            </w:r>
            <w:r w:rsidR="00F66844">
              <w:rPr>
                <w:sz w:val="16"/>
                <w:szCs w:val="16"/>
              </w:rPr>
              <w:t>.</w:t>
            </w:r>
          </w:p>
          <w:p w14:paraId="6A7CAB20" w14:textId="625BAA65"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sz w:val="16"/>
                <w:szCs w:val="16"/>
              </w:rPr>
            </w:pPr>
            <w:r w:rsidRPr="005D0210">
              <w:rPr>
                <w:sz w:val="16"/>
                <w:szCs w:val="16"/>
              </w:rPr>
              <w:t>Outcomes: binge drinking (non</w:t>
            </w:r>
            <w:r w:rsidRPr="005D0210">
              <w:rPr>
                <w:sz w:val="16"/>
                <w:szCs w:val="16"/>
              </w:rPr>
              <w:noBreakHyphen/>
              <w:t>binge drinker (none), ocassional binge drinker (&lt;1/month), monthly binge drinker (1</w:t>
            </w:r>
            <w:r w:rsidRPr="005D0210">
              <w:rPr>
                <w:sz w:val="16"/>
                <w:szCs w:val="16"/>
              </w:rPr>
              <w:noBreakHyphen/>
              <w:t>3 times/month), weekly binge drinker (1</w:t>
            </w:r>
            <w:r w:rsidRPr="005D0210">
              <w:rPr>
                <w:sz w:val="16"/>
                <w:szCs w:val="16"/>
              </w:rPr>
              <w:noBreakHyphen/>
              <w:t>7 times/week); marijuana use (never, non</w:t>
            </w:r>
            <w:r w:rsidRPr="005D0210">
              <w:rPr>
                <w:sz w:val="16"/>
                <w:szCs w:val="16"/>
              </w:rPr>
              <w:noBreakHyphen/>
              <w:t>current (&lt; 1/month), current (1/month or more)</w:t>
            </w:r>
            <w:r w:rsidR="00F66844">
              <w:rPr>
                <w:sz w:val="16"/>
                <w:szCs w:val="16"/>
              </w:rPr>
              <w:t>.</w:t>
            </w:r>
          </w:p>
        </w:tc>
        <w:tc>
          <w:tcPr>
            <w:tcW w:w="2693" w:type="dxa"/>
          </w:tcPr>
          <w:p w14:paraId="4BBDDA58"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sz w:val="16"/>
                <w:szCs w:val="16"/>
              </w:rPr>
            </w:pPr>
            <w:r w:rsidRPr="005D0210">
              <w:rPr>
                <w:sz w:val="16"/>
                <w:szCs w:val="16"/>
              </w:rPr>
              <w:t>Canadian Institutes of Health Research (CIHR) Institute of Nutrition, Metabolism and Diabetes (INMD); Canadian Institutes of Health Research (CIHR) Institute of Population and Public Health</w:t>
            </w:r>
          </w:p>
        </w:tc>
      </w:tr>
      <w:tr w:rsidR="00781923" w:rsidRPr="005D0210" w14:paraId="0680259B" w14:textId="77777777" w:rsidTr="004E728C">
        <w:trPr>
          <w:trHeight w:val="828"/>
        </w:trPr>
        <w:tc>
          <w:tcPr>
            <w:cnfStyle w:val="001000000000" w:firstRow="0" w:lastRow="0" w:firstColumn="1" w:lastColumn="0" w:oddVBand="0" w:evenVBand="0" w:oddHBand="0" w:evenHBand="0" w:firstRowFirstColumn="0" w:firstRowLastColumn="0" w:lastRowFirstColumn="0" w:lastRowLastColumn="0"/>
            <w:tcW w:w="1163" w:type="dxa"/>
          </w:tcPr>
          <w:p w14:paraId="17F97162" w14:textId="77777777" w:rsidR="00781923" w:rsidRPr="005D0210" w:rsidRDefault="00781923" w:rsidP="004E728C">
            <w:pPr>
              <w:rPr>
                <w:sz w:val="16"/>
                <w:szCs w:val="16"/>
              </w:rPr>
            </w:pPr>
            <w:r w:rsidRPr="005D0210">
              <w:rPr>
                <w:sz w:val="16"/>
                <w:szCs w:val="16"/>
              </w:rPr>
              <w:t>Morean et al 2017</w:t>
            </w:r>
          </w:p>
        </w:tc>
        <w:tc>
          <w:tcPr>
            <w:tcW w:w="1276" w:type="dxa"/>
          </w:tcPr>
          <w:p w14:paraId="577F8522"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sz w:val="16"/>
                <w:szCs w:val="16"/>
              </w:rPr>
            </w:pPr>
            <w:r w:rsidRPr="005D0210">
              <w:rPr>
                <w:sz w:val="16"/>
                <w:szCs w:val="16"/>
              </w:rPr>
              <w:t>Cross</w:t>
            </w:r>
            <w:r w:rsidRPr="005D0210">
              <w:rPr>
                <w:sz w:val="16"/>
                <w:szCs w:val="16"/>
              </w:rPr>
              <w:noBreakHyphen/>
              <w:t>sectional</w:t>
            </w:r>
          </w:p>
        </w:tc>
        <w:tc>
          <w:tcPr>
            <w:tcW w:w="850" w:type="dxa"/>
          </w:tcPr>
          <w:p w14:paraId="52233C99"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sz w:val="16"/>
                <w:szCs w:val="16"/>
              </w:rPr>
            </w:pPr>
            <w:r w:rsidRPr="005D0210">
              <w:rPr>
                <w:sz w:val="16"/>
                <w:szCs w:val="16"/>
              </w:rPr>
              <w:t>N/A</w:t>
            </w:r>
          </w:p>
        </w:tc>
        <w:tc>
          <w:tcPr>
            <w:tcW w:w="2552" w:type="dxa"/>
          </w:tcPr>
          <w:p w14:paraId="2CD88BDB"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sz w:val="16"/>
                <w:szCs w:val="16"/>
              </w:rPr>
            </w:pPr>
            <w:r w:rsidRPr="005D0210">
              <w:rPr>
                <w:sz w:val="16"/>
                <w:szCs w:val="16"/>
              </w:rPr>
              <w:t>Adult e</w:t>
            </w:r>
            <w:r w:rsidRPr="005D0210">
              <w:rPr>
                <w:sz w:val="16"/>
                <w:szCs w:val="16"/>
              </w:rPr>
              <w:noBreakHyphen/>
              <w:t>cigarette users in the USA (N=552)</w:t>
            </w:r>
          </w:p>
        </w:tc>
        <w:tc>
          <w:tcPr>
            <w:tcW w:w="6804" w:type="dxa"/>
          </w:tcPr>
          <w:p w14:paraId="0A7A14F9" w14:textId="2A997085"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sz w:val="16"/>
                <w:szCs w:val="16"/>
              </w:rPr>
            </w:pPr>
            <w:r w:rsidRPr="005D0210">
              <w:rPr>
                <w:sz w:val="16"/>
                <w:szCs w:val="16"/>
              </w:rPr>
              <w:t>Exposures: age of e</w:t>
            </w:r>
            <w:r w:rsidRPr="005D0210">
              <w:rPr>
                <w:sz w:val="16"/>
                <w:szCs w:val="16"/>
              </w:rPr>
              <w:noBreakHyphen/>
              <w:t>cigarette onset, e</w:t>
            </w:r>
            <w:r w:rsidRPr="005D0210">
              <w:rPr>
                <w:sz w:val="16"/>
                <w:szCs w:val="16"/>
              </w:rPr>
              <w:noBreakHyphen/>
              <w:t>cigarette use frequency</w:t>
            </w:r>
            <w:r w:rsidR="00F66844">
              <w:rPr>
                <w:sz w:val="16"/>
                <w:szCs w:val="16"/>
              </w:rPr>
              <w:t>.</w:t>
            </w:r>
          </w:p>
          <w:p w14:paraId="088341B8" w14:textId="73F43E96"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sz w:val="16"/>
                <w:szCs w:val="16"/>
              </w:rPr>
            </w:pPr>
            <w:r w:rsidRPr="005D0210">
              <w:rPr>
                <w:sz w:val="16"/>
                <w:szCs w:val="16"/>
              </w:rPr>
              <w:t>Outcomes: lifetime cannabis vaporization, past</w:t>
            </w:r>
            <w:r w:rsidRPr="005D0210">
              <w:rPr>
                <w:sz w:val="16"/>
                <w:szCs w:val="16"/>
              </w:rPr>
              <w:noBreakHyphen/>
              <w:t>month cannabis vaporization, cannabis vaping frequency</w:t>
            </w:r>
            <w:r w:rsidR="00F66844">
              <w:rPr>
                <w:sz w:val="16"/>
                <w:szCs w:val="16"/>
              </w:rPr>
              <w:t>.</w:t>
            </w:r>
          </w:p>
        </w:tc>
        <w:tc>
          <w:tcPr>
            <w:tcW w:w="2693" w:type="dxa"/>
          </w:tcPr>
          <w:p w14:paraId="2E7CD83B"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sz w:val="16"/>
                <w:szCs w:val="16"/>
              </w:rPr>
            </w:pPr>
            <w:r w:rsidRPr="005D0210">
              <w:rPr>
                <w:sz w:val="16"/>
                <w:szCs w:val="16"/>
              </w:rPr>
              <w:t>Not reported</w:t>
            </w:r>
          </w:p>
        </w:tc>
      </w:tr>
      <w:tr w:rsidR="00781923" w:rsidRPr="005D0210" w14:paraId="5105CD5A" w14:textId="77777777" w:rsidTr="004E728C">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1163" w:type="dxa"/>
          </w:tcPr>
          <w:p w14:paraId="7D2F5A6F" w14:textId="77777777" w:rsidR="00781923" w:rsidRPr="005D0210" w:rsidRDefault="00781923" w:rsidP="004E728C">
            <w:pPr>
              <w:rPr>
                <w:sz w:val="16"/>
                <w:szCs w:val="16"/>
              </w:rPr>
            </w:pPr>
            <w:r w:rsidRPr="005D0210">
              <w:rPr>
                <w:sz w:val="16"/>
                <w:szCs w:val="16"/>
              </w:rPr>
              <w:t>Parikh et al 2018</w:t>
            </w:r>
          </w:p>
        </w:tc>
        <w:tc>
          <w:tcPr>
            <w:tcW w:w="1276" w:type="dxa"/>
          </w:tcPr>
          <w:p w14:paraId="1CAD5E32"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sz w:val="16"/>
                <w:szCs w:val="16"/>
              </w:rPr>
            </w:pPr>
            <w:r w:rsidRPr="005D0210">
              <w:rPr>
                <w:sz w:val="16"/>
                <w:szCs w:val="16"/>
              </w:rPr>
              <w:t>Cross</w:t>
            </w:r>
            <w:r w:rsidRPr="005D0210">
              <w:rPr>
                <w:sz w:val="16"/>
                <w:szCs w:val="16"/>
              </w:rPr>
              <w:noBreakHyphen/>
              <w:t>sectional</w:t>
            </w:r>
          </w:p>
        </w:tc>
        <w:tc>
          <w:tcPr>
            <w:tcW w:w="850" w:type="dxa"/>
          </w:tcPr>
          <w:p w14:paraId="42036008"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sz w:val="16"/>
                <w:szCs w:val="16"/>
              </w:rPr>
            </w:pPr>
            <w:r w:rsidRPr="005D0210">
              <w:rPr>
                <w:sz w:val="16"/>
                <w:szCs w:val="16"/>
              </w:rPr>
              <w:t>N/A</w:t>
            </w:r>
          </w:p>
        </w:tc>
        <w:tc>
          <w:tcPr>
            <w:tcW w:w="2552" w:type="dxa"/>
          </w:tcPr>
          <w:p w14:paraId="1687F1C5"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sz w:val="16"/>
                <w:szCs w:val="16"/>
              </w:rPr>
            </w:pPr>
            <w:r w:rsidRPr="005D0210">
              <w:rPr>
                <w:sz w:val="16"/>
                <w:szCs w:val="16"/>
              </w:rPr>
              <w:t>Adults in the USA (mean age 47.1 years) (N=162,048)</w:t>
            </w:r>
          </w:p>
        </w:tc>
        <w:tc>
          <w:tcPr>
            <w:tcW w:w="6804" w:type="dxa"/>
          </w:tcPr>
          <w:p w14:paraId="7852C464" w14:textId="7E2E1F49"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sz w:val="16"/>
                <w:szCs w:val="16"/>
              </w:rPr>
            </w:pPr>
            <w:r w:rsidRPr="005D0210">
              <w:rPr>
                <w:sz w:val="16"/>
                <w:szCs w:val="16"/>
              </w:rPr>
              <w:t>Exposure: e</w:t>
            </w:r>
            <w:r w:rsidRPr="005D0210">
              <w:rPr>
                <w:sz w:val="16"/>
                <w:szCs w:val="16"/>
              </w:rPr>
              <w:noBreakHyphen/>
              <w:t>cigarette use (non</w:t>
            </w:r>
            <w:r w:rsidRPr="005D0210">
              <w:rPr>
                <w:sz w:val="16"/>
                <w:szCs w:val="16"/>
              </w:rPr>
              <w:noBreakHyphen/>
              <w:t>user/occasional user/daily user)</w:t>
            </w:r>
            <w:r w:rsidR="00F66844">
              <w:rPr>
                <w:sz w:val="16"/>
                <w:szCs w:val="16"/>
              </w:rPr>
              <w:t>.</w:t>
            </w:r>
          </w:p>
          <w:p w14:paraId="1A452884" w14:textId="1A99B42D"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sz w:val="16"/>
                <w:szCs w:val="16"/>
              </w:rPr>
            </w:pPr>
            <w:r w:rsidRPr="005D0210">
              <w:rPr>
                <w:sz w:val="16"/>
                <w:szCs w:val="16"/>
              </w:rPr>
              <w:t>Outcome: alcohol use (non</w:t>
            </w:r>
            <w:r w:rsidRPr="005D0210">
              <w:rPr>
                <w:sz w:val="16"/>
                <w:szCs w:val="16"/>
              </w:rPr>
              <w:noBreakHyphen/>
              <w:t>drinker, occasional drinker, light drinker, moderate/heavy drinker)</w:t>
            </w:r>
            <w:r w:rsidR="00F66844">
              <w:rPr>
                <w:sz w:val="16"/>
                <w:szCs w:val="16"/>
              </w:rPr>
              <w:t>.</w:t>
            </w:r>
          </w:p>
        </w:tc>
        <w:tc>
          <w:tcPr>
            <w:tcW w:w="2693" w:type="dxa"/>
          </w:tcPr>
          <w:p w14:paraId="6A3010EA"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sz w:val="16"/>
                <w:szCs w:val="16"/>
              </w:rPr>
            </w:pPr>
            <w:r w:rsidRPr="005D0210">
              <w:rPr>
                <w:sz w:val="16"/>
                <w:szCs w:val="16"/>
              </w:rPr>
              <w:t>Not reported</w:t>
            </w:r>
          </w:p>
        </w:tc>
      </w:tr>
      <w:tr w:rsidR="00781923" w:rsidRPr="005D0210" w14:paraId="765F1708" w14:textId="77777777" w:rsidTr="004E728C">
        <w:trPr>
          <w:trHeight w:val="280"/>
        </w:trPr>
        <w:tc>
          <w:tcPr>
            <w:cnfStyle w:val="001000000000" w:firstRow="0" w:lastRow="0" w:firstColumn="1" w:lastColumn="0" w:oddVBand="0" w:evenVBand="0" w:oddHBand="0" w:evenHBand="0" w:firstRowFirstColumn="0" w:firstRowLastColumn="0" w:lastRowFirstColumn="0" w:lastRowLastColumn="0"/>
            <w:tcW w:w="1163" w:type="dxa"/>
          </w:tcPr>
          <w:p w14:paraId="66A3E88F" w14:textId="77777777" w:rsidR="00781923" w:rsidRPr="005D0210" w:rsidRDefault="00781923" w:rsidP="004E728C">
            <w:pPr>
              <w:rPr>
                <w:sz w:val="16"/>
                <w:szCs w:val="16"/>
              </w:rPr>
            </w:pPr>
            <w:r w:rsidRPr="005D0210">
              <w:rPr>
                <w:sz w:val="16"/>
                <w:szCs w:val="16"/>
              </w:rPr>
              <w:lastRenderedPageBreak/>
              <w:t xml:space="preserve">Park et al 2017 </w:t>
            </w:r>
          </w:p>
        </w:tc>
        <w:tc>
          <w:tcPr>
            <w:tcW w:w="1276" w:type="dxa"/>
          </w:tcPr>
          <w:p w14:paraId="391DA13F"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sz w:val="16"/>
                <w:szCs w:val="16"/>
              </w:rPr>
            </w:pPr>
            <w:r w:rsidRPr="005D0210">
              <w:rPr>
                <w:sz w:val="16"/>
                <w:szCs w:val="16"/>
              </w:rPr>
              <w:t>Cross</w:t>
            </w:r>
            <w:r w:rsidRPr="005D0210">
              <w:rPr>
                <w:sz w:val="16"/>
                <w:szCs w:val="16"/>
              </w:rPr>
              <w:noBreakHyphen/>
              <w:t>sectional</w:t>
            </w:r>
          </w:p>
        </w:tc>
        <w:tc>
          <w:tcPr>
            <w:tcW w:w="850" w:type="dxa"/>
          </w:tcPr>
          <w:p w14:paraId="40BFCBEC"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sz w:val="16"/>
                <w:szCs w:val="16"/>
              </w:rPr>
            </w:pPr>
            <w:r w:rsidRPr="005D0210">
              <w:rPr>
                <w:sz w:val="16"/>
                <w:szCs w:val="16"/>
              </w:rPr>
              <w:t>N/A</w:t>
            </w:r>
          </w:p>
        </w:tc>
        <w:tc>
          <w:tcPr>
            <w:tcW w:w="2552" w:type="dxa"/>
          </w:tcPr>
          <w:p w14:paraId="18FEF501"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sz w:val="16"/>
                <w:szCs w:val="16"/>
              </w:rPr>
            </w:pPr>
            <w:r w:rsidRPr="005D0210">
              <w:rPr>
                <w:sz w:val="16"/>
                <w:szCs w:val="16"/>
              </w:rPr>
              <w:t>Korean adolescents who smoked on at least one day in the past 30 days (N=6,307)</w:t>
            </w:r>
          </w:p>
        </w:tc>
        <w:tc>
          <w:tcPr>
            <w:tcW w:w="6804" w:type="dxa"/>
          </w:tcPr>
          <w:p w14:paraId="0809D9CB" w14:textId="0EC6138B"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sz w:val="16"/>
                <w:szCs w:val="16"/>
              </w:rPr>
            </w:pPr>
            <w:r w:rsidRPr="005D0210">
              <w:rPr>
                <w:sz w:val="16"/>
                <w:szCs w:val="16"/>
              </w:rPr>
              <w:t>Exposures: at risk drinking in the past 30 days (yes/no), lifetime use of drugs or butane gas (yes/no)</w:t>
            </w:r>
            <w:r w:rsidR="00F66844">
              <w:rPr>
                <w:sz w:val="16"/>
                <w:szCs w:val="16"/>
              </w:rPr>
              <w:t>.</w:t>
            </w:r>
          </w:p>
          <w:p w14:paraId="7CF4FD96" w14:textId="4E200D55"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sz w:val="16"/>
                <w:szCs w:val="16"/>
              </w:rPr>
            </w:pPr>
            <w:r w:rsidRPr="005D0210">
              <w:rPr>
                <w:sz w:val="16"/>
                <w:szCs w:val="16"/>
              </w:rPr>
              <w:t>Outcome: e</w:t>
            </w:r>
            <w:r w:rsidRPr="005D0210">
              <w:rPr>
                <w:sz w:val="16"/>
                <w:szCs w:val="16"/>
              </w:rPr>
              <w:noBreakHyphen/>
              <w:t>cigarette use (non</w:t>
            </w:r>
            <w:r w:rsidRPr="005D0210">
              <w:rPr>
                <w:sz w:val="16"/>
                <w:szCs w:val="16"/>
              </w:rPr>
              <w:noBreakHyphen/>
              <w:t>use/former use/current use)</w:t>
            </w:r>
            <w:r w:rsidR="00F66844">
              <w:rPr>
                <w:sz w:val="16"/>
                <w:szCs w:val="16"/>
              </w:rPr>
              <w:t>.</w:t>
            </w:r>
          </w:p>
        </w:tc>
        <w:tc>
          <w:tcPr>
            <w:tcW w:w="2693" w:type="dxa"/>
          </w:tcPr>
          <w:p w14:paraId="5DB15036"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sz w:val="16"/>
                <w:szCs w:val="16"/>
              </w:rPr>
            </w:pPr>
            <w:r w:rsidRPr="005D0210">
              <w:rPr>
                <w:sz w:val="16"/>
                <w:szCs w:val="16"/>
              </w:rPr>
              <w:t>Not reported</w:t>
            </w:r>
          </w:p>
        </w:tc>
      </w:tr>
      <w:tr w:rsidR="00781923" w:rsidRPr="005D0210" w14:paraId="145E6D3E" w14:textId="77777777" w:rsidTr="004E728C">
        <w:trPr>
          <w:cnfStyle w:val="000000100000" w:firstRow="0" w:lastRow="0" w:firstColumn="0" w:lastColumn="0" w:oddVBand="0" w:evenVBand="0" w:oddHBand="1" w:evenHBand="0" w:firstRowFirstColumn="0" w:firstRowLastColumn="0" w:lastRowFirstColumn="0" w:lastRowLastColumn="0"/>
          <w:trHeight w:val="1303"/>
        </w:trPr>
        <w:tc>
          <w:tcPr>
            <w:cnfStyle w:val="001000000000" w:firstRow="0" w:lastRow="0" w:firstColumn="1" w:lastColumn="0" w:oddVBand="0" w:evenVBand="0" w:oddHBand="0" w:evenHBand="0" w:firstRowFirstColumn="0" w:firstRowLastColumn="0" w:lastRowFirstColumn="0" w:lastRowLastColumn="0"/>
            <w:tcW w:w="1163" w:type="dxa"/>
          </w:tcPr>
          <w:p w14:paraId="390391EE" w14:textId="77777777" w:rsidR="00781923" w:rsidRPr="005D0210" w:rsidRDefault="00781923" w:rsidP="004E728C">
            <w:pPr>
              <w:rPr>
                <w:sz w:val="16"/>
                <w:szCs w:val="16"/>
              </w:rPr>
            </w:pPr>
            <w:r w:rsidRPr="005D0210">
              <w:rPr>
                <w:sz w:val="16"/>
                <w:szCs w:val="16"/>
              </w:rPr>
              <w:t>Richter et al 2017</w:t>
            </w:r>
          </w:p>
        </w:tc>
        <w:tc>
          <w:tcPr>
            <w:tcW w:w="1276" w:type="dxa"/>
          </w:tcPr>
          <w:p w14:paraId="59023366"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sz w:val="16"/>
                <w:szCs w:val="16"/>
              </w:rPr>
            </w:pPr>
            <w:r w:rsidRPr="005D0210">
              <w:rPr>
                <w:sz w:val="16"/>
                <w:szCs w:val="16"/>
              </w:rPr>
              <w:t>Cross</w:t>
            </w:r>
            <w:r w:rsidRPr="005D0210">
              <w:rPr>
                <w:sz w:val="16"/>
                <w:szCs w:val="16"/>
              </w:rPr>
              <w:noBreakHyphen/>
              <w:t>sectional</w:t>
            </w:r>
          </w:p>
        </w:tc>
        <w:tc>
          <w:tcPr>
            <w:tcW w:w="850" w:type="dxa"/>
          </w:tcPr>
          <w:p w14:paraId="447AA506"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sz w:val="16"/>
                <w:szCs w:val="16"/>
              </w:rPr>
            </w:pPr>
            <w:r w:rsidRPr="005D0210">
              <w:rPr>
                <w:sz w:val="16"/>
                <w:szCs w:val="16"/>
              </w:rPr>
              <w:t>N/A</w:t>
            </w:r>
          </w:p>
        </w:tc>
        <w:tc>
          <w:tcPr>
            <w:tcW w:w="2552" w:type="dxa"/>
          </w:tcPr>
          <w:p w14:paraId="3019B045"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sz w:val="16"/>
                <w:szCs w:val="16"/>
              </w:rPr>
            </w:pPr>
            <w:r w:rsidRPr="005D0210">
              <w:rPr>
                <w:sz w:val="16"/>
                <w:szCs w:val="16"/>
              </w:rPr>
              <w:t>8</w:t>
            </w:r>
            <w:r w:rsidRPr="005D0210">
              <w:rPr>
                <w:sz w:val="16"/>
                <w:szCs w:val="16"/>
                <w:vertAlign w:val="superscript"/>
              </w:rPr>
              <w:t>th</w:t>
            </w:r>
            <w:r w:rsidRPr="005D0210">
              <w:rPr>
                <w:sz w:val="16"/>
                <w:szCs w:val="16"/>
              </w:rPr>
              <w:t>, 10</w:t>
            </w:r>
            <w:r w:rsidRPr="005D0210">
              <w:rPr>
                <w:sz w:val="16"/>
                <w:szCs w:val="16"/>
                <w:vertAlign w:val="superscript"/>
              </w:rPr>
              <w:t>th</w:t>
            </w:r>
            <w:r w:rsidRPr="005D0210">
              <w:rPr>
                <w:sz w:val="16"/>
                <w:szCs w:val="16"/>
              </w:rPr>
              <w:t xml:space="preserve"> and 12</w:t>
            </w:r>
            <w:r w:rsidRPr="005D0210">
              <w:rPr>
                <w:sz w:val="16"/>
                <w:szCs w:val="16"/>
                <w:vertAlign w:val="superscript"/>
              </w:rPr>
              <w:t>th</w:t>
            </w:r>
            <w:r w:rsidRPr="005D0210">
              <w:rPr>
                <w:sz w:val="16"/>
                <w:szCs w:val="16"/>
              </w:rPr>
              <w:t xml:space="preserve"> grade students in the USA (N=28,536 8th and 10th graders; N=13,015 12th graders)</w:t>
            </w:r>
          </w:p>
        </w:tc>
        <w:tc>
          <w:tcPr>
            <w:tcW w:w="6804" w:type="dxa"/>
          </w:tcPr>
          <w:p w14:paraId="648C1FC8" w14:textId="7C928C8D"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sz w:val="16"/>
                <w:szCs w:val="16"/>
              </w:rPr>
            </w:pPr>
            <w:r w:rsidRPr="005D0210">
              <w:rPr>
                <w:sz w:val="16"/>
                <w:szCs w:val="16"/>
              </w:rPr>
              <w:t>Exposure: past 30</w:t>
            </w:r>
            <w:r w:rsidRPr="005D0210">
              <w:rPr>
                <w:sz w:val="16"/>
                <w:szCs w:val="16"/>
              </w:rPr>
              <w:noBreakHyphen/>
              <w:t>day use of combustible cigarettes only, e</w:t>
            </w:r>
            <w:r w:rsidRPr="005D0210">
              <w:rPr>
                <w:sz w:val="16"/>
                <w:szCs w:val="16"/>
              </w:rPr>
              <w:noBreakHyphen/>
              <w:t>cigarettes only, other nicotine products only, or multiple nicotine products</w:t>
            </w:r>
            <w:r w:rsidR="00F66844">
              <w:rPr>
                <w:sz w:val="16"/>
                <w:szCs w:val="16"/>
              </w:rPr>
              <w:t>.</w:t>
            </w:r>
          </w:p>
          <w:p w14:paraId="6EAC17E4" w14:textId="05D24214"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sz w:val="16"/>
                <w:szCs w:val="16"/>
              </w:rPr>
            </w:pPr>
            <w:r w:rsidRPr="005D0210">
              <w:rPr>
                <w:sz w:val="16"/>
                <w:szCs w:val="16"/>
              </w:rPr>
              <w:t>Outcome: current use of alcohol, marijuana, other illicit drugs (hallucinogens, LSD, heroin, cocaine), the misuse of controlled prescription drugs (narcotics, stimulants, sedatives, tranquilizers), poly substance use (≥ 2 substances used in the past 30 days vs ≤ 1 substance used)</w:t>
            </w:r>
            <w:r w:rsidR="00F66844">
              <w:rPr>
                <w:sz w:val="16"/>
                <w:szCs w:val="16"/>
              </w:rPr>
              <w:t>.</w:t>
            </w:r>
          </w:p>
        </w:tc>
        <w:tc>
          <w:tcPr>
            <w:tcW w:w="2693" w:type="dxa"/>
          </w:tcPr>
          <w:p w14:paraId="5B1D76AB"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sz w:val="16"/>
                <w:szCs w:val="16"/>
              </w:rPr>
            </w:pPr>
            <w:r w:rsidRPr="005D0210">
              <w:rPr>
                <w:sz w:val="16"/>
                <w:szCs w:val="16"/>
              </w:rPr>
              <w:t>No funding received</w:t>
            </w:r>
          </w:p>
        </w:tc>
      </w:tr>
      <w:tr w:rsidR="00781923" w:rsidRPr="005D0210" w14:paraId="3D2C94B8" w14:textId="77777777" w:rsidTr="004E728C">
        <w:trPr>
          <w:trHeight w:val="1210"/>
        </w:trPr>
        <w:tc>
          <w:tcPr>
            <w:cnfStyle w:val="001000000000" w:firstRow="0" w:lastRow="0" w:firstColumn="1" w:lastColumn="0" w:oddVBand="0" w:evenVBand="0" w:oddHBand="0" w:evenHBand="0" w:firstRowFirstColumn="0" w:firstRowLastColumn="0" w:lastRowFirstColumn="0" w:lastRowLastColumn="0"/>
            <w:tcW w:w="1163" w:type="dxa"/>
          </w:tcPr>
          <w:p w14:paraId="0591A550" w14:textId="77777777" w:rsidR="00781923" w:rsidRPr="005D0210" w:rsidRDefault="00781923" w:rsidP="004E728C">
            <w:pPr>
              <w:rPr>
                <w:sz w:val="16"/>
                <w:szCs w:val="16"/>
              </w:rPr>
            </w:pPr>
            <w:r w:rsidRPr="005D0210">
              <w:rPr>
                <w:sz w:val="16"/>
                <w:szCs w:val="16"/>
              </w:rPr>
              <w:t>Temple et al 2017</w:t>
            </w:r>
          </w:p>
        </w:tc>
        <w:tc>
          <w:tcPr>
            <w:tcW w:w="1276" w:type="dxa"/>
          </w:tcPr>
          <w:p w14:paraId="3F7FB3F9"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sz w:val="16"/>
                <w:szCs w:val="16"/>
              </w:rPr>
            </w:pPr>
            <w:r w:rsidRPr="005D0210">
              <w:rPr>
                <w:sz w:val="16"/>
                <w:szCs w:val="16"/>
              </w:rPr>
              <w:t>Cross</w:t>
            </w:r>
            <w:r w:rsidRPr="005D0210">
              <w:rPr>
                <w:sz w:val="16"/>
                <w:szCs w:val="16"/>
              </w:rPr>
              <w:noBreakHyphen/>
              <w:t>sectional</w:t>
            </w:r>
          </w:p>
        </w:tc>
        <w:tc>
          <w:tcPr>
            <w:tcW w:w="850" w:type="dxa"/>
          </w:tcPr>
          <w:p w14:paraId="21281CFE"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sz w:val="16"/>
                <w:szCs w:val="16"/>
              </w:rPr>
            </w:pPr>
            <w:r w:rsidRPr="005D0210">
              <w:rPr>
                <w:sz w:val="16"/>
                <w:szCs w:val="16"/>
              </w:rPr>
              <w:t>N/A</w:t>
            </w:r>
          </w:p>
        </w:tc>
        <w:tc>
          <w:tcPr>
            <w:tcW w:w="2552" w:type="dxa"/>
          </w:tcPr>
          <w:p w14:paraId="1AED0555"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sz w:val="16"/>
                <w:szCs w:val="16"/>
              </w:rPr>
            </w:pPr>
            <w:r w:rsidRPr="005D0210">
              <w:rPr>
                <w:sz w:val="16"/>
                <w:szCs w:val="16"/>
              </w:rPr>
              <w:t>Sample recruited from public high schools in southeast Texas, USA as part of a longitudinal study. Data from wave 6 of study. Age range: 18</w:t>
            </w:r>
            <w:r w:rsidRPr="005D0210">
              <w:rPr>
                <w:sz w:val="16"/>
                <w:szCs w:val="16"/>
              </w:rPr>
              <w:noBreakHyphen/>
              <w:t>23 years. (N=662)</w:t>
            </w:r>
          </w:p>
        </w:tc>
        <w:tc>
          <w:tcPr>
            <w:tcW w:w="6804" w:type="dxa"/>
          </w:tcPr>
          <w:p w14:paraId="11F2452E" w14:textId="32248643"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sz w:val="16"/>
                <w:szCs w:val="16"/>
              </w:rPr>
            </w:pPr>
            <w:r w:rsidRPr="005D0210">
              <w:rPr>
                <w:sz w:val="16"/>
                <w:szCs w:val="16"/>
              </w:rPr>
              <w:t>Exposure: past year use of e</w:t>
            </w:r>
            <w:r w:rsidRPr="005D0210">
              <w:rPr>
                <w:sz w:val="16"/>
                <w:szCs w:val="16"/>
              </w:rPr>
              <w:noBreakHyphen/>
              <w:t>cigarettes (Yes/No)</w:t>
            </w:r>
            <w:r w:rsidR="00F66844">
              <w:rPr>
                <w:sz w:val="16"/>
                <w:szCs w:val="16"/>
              </w:rPr>
              <w:t>.</w:t>
            </w:r>
          </w:p>
          <w:p w14:paraId="1654AB23" w14:textId="4C8B2859"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sz w:val="16"/>
                <w:szCs w:val="16"/>
              </w:rPr>
            </w:pPr>
            <w:r w:rsidRPr="005D0210">
              <w:rPr>
                <w:sz w:val="16"/>
                <w:szCs w:val="16"/>
              </w:rPr>
              <w:t>Outcome: past year use of alcohol (more than just a few sips), marijuana, hard drugs (cocaine, amphetamines, inhalants, hallucinogens, ecstasy, misuse of over</w:t>
            </w:r>
            <w:r w:rsidRPr="005D0210">
              <w:rPr>
                <w:sz w:val="16"/>
                <w:szCs w:val="16"/>
              </w:rPr>
              <w:noBreakHyphen/>
              <w:t>the</w:t>
            </w:r>
            <w:r w:rsidRPr="005D0210">
              <w:rPr>
                <w:sz w:val="16"/>
                <w:szCs w:val="16"/>
              </w:rPr>
              <w:noBreakHyphen/>
              <w:t>counter cold or cough medication, misuse of prescription medication) (all Yes/No)</w:t>
            </w:r>
            <w:r w:rsidR="00F66844">
              <w:rPr>
                <w:sz w:val="16"/>
                <w:szCs w:val="16"/>
              </w:rPr>
              <w:t>.</w:t>
            </w:r>
          </w:p>
        </w:tc>
        <w:tc>
          <w:tcPr>
            <w:tcW w:w="2693" w:type="dxa"/>
          </w:tcPr>
          <w:p w14:paraId="493624BF"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sz w:val="16"/>
                <w:szCs w:val="16"/>
              </w:rPr>
            </w:pPr>
            <w:r w:rsidRPr="005D0210">
              <w:rPr>
                <w:sz w:val="16"/>
                <w:szCs w:val="16"/>
              </w:rPr>
              <w:t>Eunice Kennedy Shriver National Institute of Child Health &amp; Human Development (NICHD), Methesda, MD, and the National Institute of Justice (NIJ), Washington, DC.</w:t>
            </w:r>
          </w:p>
        </w:tc>
      </w:tr>
      <w:tr w:rsidR="00781923" w:rsidRPr="005D0210" w14:paraId="6A128C97" w14:textId="77777777" w:rsidTr="004E728C">
        <w:trPr>
          <w:cnfStyle w:val="000000100000" w:firstRow="0" w:lastRow="0" w:firstColumn="0" w:lastColumn="0" w:oddVBand="0" w:evenVBand="0" w:oddHBand="1" w:evenHBand="0" w:firstRowFirstColumn="0" w:firstRowLastColumn="0" w:lastRowFirstColumn="0" w:lastRowLastColumn="0"/>
          <w:trHeight w:val="873"/>
        </w:trPr>
        <w:tc>
          <w:tcPr>
            <w:cnfStyle w:val="001000000000" w:firstRow="0" w:lastRow="0" w:firstColumn="1" w:lastColumn="0" w:oddVBand="0" w:evenVBand="0" w:oddHBand="0" w:evenHBand="0" w:firstRowFirstColumn="0" w:firstRowLastColumn="0" w:lastRowFirstColumn="0" w:lastRowLastColumn="0"/>
            <w:tcW w:w="1163" w:type="dxa"/>
          </w:tcPr>
          <w:p w14:paraId="72522ECF" w14:textId="77777777" w:rsidR="00781923" w:rsidRPr="005D0210" w:rsidRDefault="00781923" w:rsidP="004E728C">
            <w:pPr>
              <w:rPr>
                <w:sz w:val="16"/>
                <w:szCs w:val="16"/>
              </w:rPr>
            </w:pPr>
            <w:r w:rsidRPr="005D0210">
              <w:rPr>
                <w:sz w:val="16"/>
                <w:szCs w:val="16"/>
              </w:rPr>
              <w:t>Wong et al 2018</w:t>
            </w:r>
          </w:p>
        </w:tc>
        <w:tc>
          <w:tcPr>
            <w:tcW w:w="1276" w:type="dxa"/>
          </w:tcPr>
          <w:p w14:paraId="55DA9E7A"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sz w:val="16"/>
                <w:szCs w:val="16"/>
              </w:rPr>
            </w:pPr>
            <w:r w:rsidRPr="005D0210">
              <w:rPr>
                <w:sz w:val="16"/>
                <w:szCs w:val="16"/>
              </w:rPr>
              <w:t>Cross</w:t>
            </w:r>
            <w:r w:rsidRPr="005D0210">
              <w:rPr>
                <w:sz w:val="16"/>
                <w:szCs w:val="16"/>
              </w:rPr>
              <w:noBreakHyphen/>
              <w:t>sectional</w:t>
            </w:r>
          </w:p>
        </w:tc>
        <w:tc>
          <w:tcPr>
            <w:tcW w:w="850" w:type="dxa"/>
          </w:tcPr>
          <w:p w14:paraId="3EFEA216"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sz w:val="16"/>
                <w:szCs w:val="16"/>
              </w:rPr>
            </w:pPr>
            <w:r w:rsidRPr="005D0210">
              <w:rPr>
                <w:sz w:val="16"/>
                <w:szCs w:val="16"/>
              </w:rPr>
              <w:t>N/A</w:t>
            </w:r>
          </w:p>
        </w:tc>
        <w:tc>
          <w:tcPr>
            <w:tcW w:w="2552" w:type="dxa"/>
          </w:tcPr>
          <w:p w14:paraId="499CF1D2"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sz w:val="16"/>
                <w:szCs w:val="16"/>
              </w:rPr>
            </w:pPr>
            <w:r w:rsidRPr="005D0210">
              <w:rPr>
                <w:sz w:val="16"/>
                <w:szCs w:val="16"/>
              </w:rPr>
              <w:t>Representative sample of adolescents aged 12</w:t>
            </w:r>
            <w:r w:rsidRPr="005D0210">
              <w:rPr>
                <w:sz w:val="16"/>
                <w:szCs w:val="16"/>
              </w:rPr>
              <w:noBreakHyphen/>
              <w:t xml:space="preserve">17 in California, USA (N=1,806) </w:t>
            </w:r>
          </w:p>
        </w:tc>
        <w:tc>
          <w:tcPr>
            <w:tcW w:w="6804" w:type="dxa"/>
          </w:tcPr>
          <w:p w14:paraId="24F5D83D" w14:textId="1FF29343"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sz w:val="16"/>
                <w:szCs w:val="16"/>
              </w:rPr>
            </w:pPr>
            <w:r w:rsidRPr="005D0210">
              <w:rPr>
                <w:sz w:val="16"/>
                <w:szCs w:val="16"/>
              </w:rPr>
              <w:t>Exposure: e</w:t>
            </w:r>
            <w:r w:rsidRPr="005D0210">
              <w:rPr>
                <w:sz w:val="16"/>
                <w:szCs w:val="16"/>
              </w:rPr>
              <w:noBreakHyphen/>
              <w:t>cigarette use (ever/never)</w:t>
            </w:r>
            <w:r w:rsidR="00F66844">
              <w:rPr>
                <w:sz w:val="16"/>
                <w:szCs w:val="16"/>
              </w:rPr>
              <w:t>.</w:t>
            </w:r>
          </w:p>
          <w:p w14:paraId="06755290" w14:textId="307783B1"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sz w:val="16"/>
                <w:szCs w:val="16"/>
              </w:rPr>
            </w:pPr>
            <w:r w:rsidRPr="005D0210">
              <w:rPr>
                <w:sz w:val="16"/>
                <w:szCs w:val="16"/>
              </w:rPr>
              <w:t>Outcome: alcohol use (more than just a few sips; ever/never)</w:t>
            </w:r>
            <w:r w:rsidR="00F66844">
              <w:rPr>
                <w:sz w:val="16"/>
                <w:szCs w:val="16"/>
              </w:rPr>
              <w:t>.</w:t>
            </w:r>
          </w:p>
        </w:tc>
        <w:tc>
          <w:tcPr>
            <w:tcW w:w="2693" w:type="dxa"/>
          </w:tcPr>
          <w:p w14:paraId="5DED0CD7"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sz w:val="16"/>
                <w:szCs w:val="16"/>
              </w:rPr>
            </w:pPr>
            <w:r w:rsidRPr="005D0210">
              <w:rPr>
                <w:sz w:val="16"/>
                <w:szCs w:val="16"/>
              </w:rPr>
              <w:t>Not reported</w:t>
            </w:r>
          </w:p>
        </w:tc>
      </w:tr>
    </w:tbl>
    <w:p w14:paraId="64A859B1" w14:textId="77777777" w:rsidR="00781923" w:rsidRPr="005D0210" w:rsidRDefault="00781923" w:rsidP="00781923">
      <w:pPr>
        <w:spacing w:after="0"/>
        <w:rPr>
          <w:sz w:val="24"/>
        </w:rPr>
      </w:pPr>
      <w:r w:rsidRPr="005D0210">
        <w:br w:type="page"/>
      </w:r>
    </w:p>
    <w:p w14:paraId="2985B72A" w14:textId="77777777" w:rsidR="00781923" w:rsidRPr="005D0210" w:rsidRDefault="003D2CBD" w:rsidP="003D2CBD">
      <w:pPr>
        <w:pStyle w:val="Caption"/>
      </w:pPr>
      <w:bookmarkStart w:id="144" w:name="_Toc515229968"/>
      <w:bookmarkStart w:id="145" w:name="_Toc517707421"/>
      <w:r w:rsidRPr="005D0210">
        <w:lastRenderedPageBreak/>
        <w:t xml:space="preserve">Table </w:t>
      </w:r>
      <w:r w:rsidR="0048064B">
        <w:rPr>
          <w:noProof/>
        </w:rPr>
        <w:fldChar w:fldCharType="begin"/>
      </w:r>
      <w:r w:rsidR="0048064B">
        <w:rPr>
          <w:noProof/>
        </w:rPr>
        <w:instrText xml:space="preserve"> SEQ Table \* ARABIC </w:instrText>
      </w:r>
      <w:r w:rsidR="0048064B">
        <w:rPr>
          <w:noProof/>
        </w:rPr>
        <w:fldChar w:fldCharType="separate"/>
      </w:r>
      <w:r w:rsidR="000C06DA">
        <w:rPr>
          <w:noProof/>
        </w:rPr>
        <w:t>12</w:t>
      </w:r>
      <w:r w:rsidR="0048064B">
        <w:rPr>
          <w:noProof/>
        </w:rPr>
        <w:fldChar w:fldCharType="end"/>
      </w:r>
      <w:r w:rsidR="00781923" w:rsidRPr="005D0210">
        <w:t>: Cross</w:t>
      </w:r>
      <w:r w:rsidR="00781923" w:rsidRPr="005D0210">
        <w:noBreakHyphen/>
        <w:t>sectional smoking cessation studies</w:t>
      </w:r>
      <w:bookmarkEnd w:id="144"/>
      <w:bookmarkEnd w:id="145"/>
    </w:p>
    <w:tbl>
      <w:tblPr>
        <w:tblStyle w:val="TableCSIRO"/>
        <w:tblW w:w="15338" w:type="dxa"/>
        <w:tblLayout w:type="fixed"/>
        <w:tblLook w:val="04A0" w:firstRow="1" w:lastRow="0" w:firstColumn="1" w:lastColumn="0" w:noHBand="0" w:noVBand="1"/>
      </w:tblPr>
      <w:tblGrid>
        <w:gridCol w:w="988"/>
        <w:gridCol w:w="1559"/>
        <w:gridCol w:w="850"/>
        <w:gridCol w:w="993"/>
        <w:gridCol w:w="992"/>
        <w:gridCol w:w="992"/>
        <w:gridCol w:w="1134"/>
        <w:gridCol w:w="851"/>
        <w:gridCol w:w="1701"/>
        <w:gridCol w:w="992"/>
        <w:gridCol w:w="2302"/>
        <w:gridCol w:w="1984"/>
      </w:tblGrid>
      <w:tr w:rsidR="00781923" w:rsidRPr="005D0210" w14:paraId="6DB5606E" w14:textId="77777777" w:rsidTr="004E728C">
        <w:trPr>
          <w:cnfStyle w:val="100000000000" w:firstRow="1" w:lastRow="0" w:firstColumn="0" w:lastColumn="0" w:oddVBand="0" w:evenVBand="0" w:oddHBand="0" w:evenHBand="0" w:firstRowFirstColumn="0" w:firstRowLastColumn="0" w:lastRowFirstColumn="0" w:lastRowLastColumn="0"/>
          <w:trHeight w:val="53"/>
          <w:tblHeader/>
        </w:trPr>
        <w:tc>
          <w:tcPr>
            <w:cnfStyle w:val="001000000000" w:firstRow="0" w:lastRow="0" w:firstColumn="1" w:lastColumn="0" w:oddVBand="0" w:evenVBand="0" w:oddHBand="0" w:evenHBand="0" w:firstRowFirstColumn="0" w:firstRowLastColumn="0" w:lastRowFirstColumn="0" w:lastRowLastColumn="0"/>
            <w:tcW w:w="988" w:type="dxa"/>
            <w:hideMark/>
          </w:tcPr>
          <w:p w14:paraId="09D09443" w14:textId="77777777" w:rsidR="00781923" w:rsidRPr="005D0210" w:rsidRDefault="00781923" w:rsidP="004E728C">
            <w:pPr>
              <w:rPr>
                <w:rFonts w:eastAsia="Times New Roman" w:cstheme="minorHAnsi"/>
                <w:b w:val="0"/>
                <w:bCs w:val="0"/>
                <w:color w:val="FFFFFF" w:themeColor="background1"/>
                <w:sz w:val="16"/>
                <w:szCs w:val="16"/>
              </w:rPr>
            </w:pPr>
            <w:r w:rsidRPr="005D0210">
              <w:rPr>
                <w:rFonts w:eastAsia="Times New Roman" w:cstheme="minorHAnsi"/>
                <w:color w:val="FFFFFF" w:themeColor="background1"/>
                <w:sz w:val="16"/>
                <w:szCs w:val="16"/>
              </w:rPr>
              <w:t>Study reference</w:t>
            </w:r>
          </w:p>
        </w:tc>
        <w:tc>
          <w:tcPr>
            <w:tcW w:w="1559" w:type="dxa"/>
            <w:hideMark/>
          </w:tcPr>
          <w:p w14:paraId="21D48531" w14:textId="77777777" w:rsidR="00781923" w:rsidRPr="005D0210" w:rsidRDefault="00781923" w:rsidP="004E728C">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FFFFFF" w:themeColor="background1"/>
                <w:sz w:val="16"/>
                <w:szCs w:val="16"/>
              </w:rPr>
            </w:pPr>
            <w:r w:rsidRPr="005D0210">
              <w:rPr>
                <w:rFonts w:eastAsia="Times New Roman" w:cstheme="minorHAnsi"/>
                <w:color w:val="FFFFFF" w:themeColor="background1"/>
                <w:sz w:val="16"/>
                <w:szCs w:val="16"/>
              </w:rPr>
              <w:t>Study objectives</w:t>
            </w:r>
          </w:p>
        </w:tc>
        <w:tc>
          <w:tcPr>
            <w:tcW w:w="850" w:type="dxa"/>
            <w:hideMark/>
          </w:tcPr>
          <w:p w14:paraId="71065AC6" w14:textId="77777777" w:rsidR="00781923" w:rsidRPr="005D0210" w:rsidRDefault="00781923" w:rsidP="004E728C">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FFFFFF" w:themeColor="background1"/>
                <w:sz w:val="16"/>
                <w:szCs w:val="16"/>
              </w:rPr>
            </w:pPr>
            <w:r w:rsidRPr="005D0210">
              <w:rPr>
                <w:rFonts w:eastAsia="Times New Roman" w:cstheme="minorHAnsi"/>
                <w:color w:val="FFFFFF" w:themeColor="background1"/>
                <w:sz w:val="16"/>
                <w:szCs w:val="16"/>
              </w:rPr>
              <w:t xml:space="preserve">Survey name </w:t>
            </w:r>
          </w:p>
        </w:tc>
        <w:tc>
          <w:tcPr>
            <w:tcW w:w="993" w:type="dxa"/>
            <w:hideMark/>
          </w:tcPr>
          <w:p w14:paraId="1BD5640E" w14:textId="77777777" w:rsidR="00781923" w:rsidRPr="005D0210" w:rsidRDefault="00781923" w:rsidP="004E728C">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FFFFFF" w:themeColor="background1"/>
                <w:sz w:val="16"/>
                <w:szCs w:val="16"/>
              </w:rPr>
            </w:pPr>
            <w:r w:rsidRPr="005D0210">
              <w:rPr>
                <w:rFonts w:eastAsia="Times New Roman" w:cstheme="minorHAnsi"/>
                <w:color w:val="FFFFFF" w:themeColor="background1"/>
                <w:sz w:val="16"/>
                <w:szCs w:val="16"/>
              </w:rPr>
              <w:t>Country/ location</w:t>
            </w:r>
          </w:p>
        </w:tc>
        <w:tc>
          <w:tcPr>
            <w:tcW w:w="992" w:type="dxa"/>
            <w:hideMark/>
          </w:tcPr>
          <w:p w14:paraId="646C25F4" w14:textId="77777777" w:rsidR="00781923" w:rsidRPr="005D0210" w:rsidRDefault="00781923" w:rsidP="004E728C">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FFFFFF" w:themeColor="background1"/>
                <w:sz w:val="16"/>
                <w:szCs w:val="16"/>
              </w:rPr>
            </w:pPr>
            <w:r w:rsidRPr="005D0210">
              <w:rPr>
                <w:rFonts w:eastAsia="Times New Roman" w:cstheme="minorHAnsi"/>
                <w:color w:val="FFFFFF" w:themeColor="background1"/>
                <w:sz w:val="16"/>
                <w:szCs w:val="16"/>
              </w:rPr>
              <w:t>Year data collected</w:t>
            </w:r>
          </w:p>
        </w:tc>
        <w:tc>
          <w:tcPr>
            <w:tcW w:w="992" w:type="dxa"/>
            <w:hideMark/>
          </w:tcPr>
          <w:p w14:paraId="23F8FCAD" w14:textId="77777777" w:rsidR="00781923" w:rsidRPr="005D0210" w:rsidRDefault="00781923" w:rsidP="004E728C">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FFFFFF" w:themeColor="background1"/>
                <w:sz w:val="16"/>
                <w:szCs w:val="16"/>
              </w:rPr>
            </w:pPr>
            <w:r w:rsidRPr="005D0210">
              <w:rPr>
                <w:rFonts w:eastAsia="Times New Roman" w:cstheme="minorHAnsi"/>
                <w:color w:val="FFFFFF" w:themeColor="background1"/>
                <w:sz w:val="16"/>
                <w:szCs w:val="16"/>
              </w:rPr>
              <w:t xml:space="preserve">Participants (n) </w:t>
            </w:r>
          </w:p>
        </w:tc>
        <w:tc>
          <w:tcPr>
            <w:tcW w:w="1134" w:type="dxa"/>
            <w:hideMark/>
          </w:tcPr>
          <w:p w14:paraId="22023611" w14:textId="77777777" w:rsidR="00781923" w:rsidRPr="005D0210" w:rsidRDefault="00781923" w:rsidP="004E728C">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FFFFFF" w:themeColor="background1"/>
                <w:sz w:val="16"/>
                <w:szCs w:val="16"/>
              </w:rPr>
            </w:pPr>
            <w:r w:rsidRPr="005D0210">
              <w:rPr>
                <w:rFonts w:eastAsia="Times New Roman" w:cstheme="minorHAnsi"/>
                <w:color w:val="FFFFFF" w:themeColor="background1"/>
                <w:sz w:val="16"/>
                <w:szCs w:val="16"/>
              </w:rPr>
              <w:t xml:space="preserve">Age (years) </w:t>
            </w:r>
            <w:r w:rsidRPr="005D0210">
              <w:rPr>
                <w:rFonts w:eastAsia="Times New Roman" w:cstheme="minorHAnsi"/>
                <w:color w:val="FFFFFF" w:themeColor="background1"/>
                <w:sz w:val="16"/>
                <w:szCs w:val="16"/>
              </w:rPr>
              <w:br/>
              <w:t>M±SD</w:t>
            </w:r>
          </w:p>
        </w:tc>
        <w:tc>
          <w:tcPr>
            <w:tcW w:w="851" w:type="dxa"/>
            <w:hideMark/>
          </w:tcPr>
          <w:p w14:paraId="49E0ED03" w14:textId="77777777" w:rsidR="00781923" w:rsidRPr="005D0210" w:rsidRDefault="00781923" w:rsidP="004E728C">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FFFFFF" w:themeColor="background1"/>
                <w:sz w:val="16"/>
                <w:szCs w:val="16"/>
              </w:rPr>
            </w:pPr>
            <w:r w:rsidRPr="005D0210">
              <w:rPr>
                <w:rFonts w:eastAsia="Times New Roman" w:cstheme="minorHAnsi"/>
                <w:color w:val="FFFFFF" w:themeColor="background1"/>
                <w:sz w:val="16"/>
                <w:szCs w:val="16"/>
              </w:rPr>
              <w:t>% female</w:t>
            </w:r>
          </w:p>
        </w:tc>
        <w:tc>
          <w:tcPr>
            <w:tcW w:w="1701" w:type="dxa"/>
            <w:hideMark/>
          </w:tcPr>
          <w:p w14:paraId="54F166D4" w14:textId="77777777" w:rsidR="00781923" w:rsidRPr="005D0210" w:rsidRDefault="00781923" w:rsidP="004E728C">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FFFFFF" w:themeColor="background1"/>
                <w:sz w:val="16"/>
                <w:szCs w:val="16"/>
              </w:rPr>
            </w:pPr>
            <w:r w:rsidRPr="005D0210">
              <w:rPr>
                <w:rFonts w:eastAsia="Times New Roman" w:cstheme="minorHAnsi"/>
                <w:color w:val="FFFFFF" w:themeColor="background1"/>
                <w:sz w:val="16"/>
                <w:szCs w:val="16"/>
              </w:rPr>
              <w:t>Recruitment method</w:t>
            </w:r>
          </w:p>
        </w:tc>
        <w:tc>
          <w:tcPr>
            <w:tcW w:w="992" w:type="dxa"/>
            <w:hideMark/>
          </w:tcPr>
          <w:p w14:paraId="4C02AB95" w14:textId="77777777" w:rsidR="00781923" w:rsidRPr="005D0210" w:rsidRDefault="00781923" w:rsidP="004E728C">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FFFFFF" w:themeColor="background1"/>
                <w:sz w:val="16"/>
                <w:szCs w:val="16"/>
              </w:rPr>
            </w:pPr>
            <w:r w:rsidRPr="005D0210">
              <w:rPr>
                <w:rFonts w:eastAsia="Times New Roman" w:cstheme="minorHAnsi"/>
                <w:color w:val="FFFFFF" w:themeColor="background1"/>
                <w:sz w:val="16"/>
                <w:szCs w:val="16"/>
              </w:rPr>
              <w:t>Response rate (%)</w:t>
            </w:r>
          </w:p>
        </w:tc>
        <w:tc>
          <w:tcPr>
            <w:tcW w:w="2302" w:type="dxa"/>
            <w:hideMark/>
          </w:tcPr>
          <w:p w14:paraId="1D7D416E" w14:textId="77777777" w:rsidR="00781923" w:rsidRPr="005D0210" w:rsidRDefault="00781923" w:rsidP="004E728C">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FFFFFF" w:themeColor="background1"/>
                <w:sz w:val="16"/>
                <w:szCs w:val="16"/>
              </w:rPr>
            </w:pPr>
            <w:r w:rsidRPr="005D0210">
              <w:rPr>
                <w:rFonts w:eastAsia="Times New Roman" w:cstheme="minorHAnsi"/>
                <w:color w:val="FFFFFF" w:themeColor="background1"/>
                <w:sz w:val="16"/>
                <w:szCs w:val="16"/>
              </w:rPr>
              <w:t>Findings</w:t>
            </w:r>
          </w:p>
        </w:tc>
        <w:tc>
          <w:tcPr>
            <w:tcW w:w="1984" w:type="dxa"/>
            <w:hideMark/>
          </w:tcPr>
          <w:p w14:paraId="6943EBAE" w14:textId="77777777" w:rsidR="00781923" w:rsidRPr="005D0210" w:rsidRDefault="00781923" w:rsidP="004E728C">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FFFFFF" w:themeColor="background1"/>
                <w:sz w:val="16"/>
                <w:szCs w:val="16"/>
              </w:rPr>
            </w:pPr>
            <w:r w:rsidRPr="005D0210">
              <w:rPr>
                <w:rFonts w:eastAsia="Times New Roman" w:cstheme="minorHAnsi"/>
                <w:color w:val="FFFFFF" w:themeColor="background1"/>
                <w:sz w:val="16"/>
                <w:szCs w:val="16"/>
              </w:rPr>
              <w:t>Conclusion</w:t>
            </w:r>
          </w:p>
        </w:tc>
      </w:tr>
      <w:tr w:rsidR="00781923" w:rsidRPr="005D0210" w14:paraId="5599825C" w14:textId="77777777" w:rsidTr="004E728C">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988" w:type="dxa"/>
            <w:hideMark/>
          </w:tcPr>
          <w:p w14:paraId="62413D37" w14:textId="77777777" w:rsidR="00781923" w:rsidRPr="005D0210" w:rsidRDefault="00781923" w:rsidP="004E728C">
            <w:pPr>
              <w:rPr>
                <w:rFonts w:eastAsia="Times New Roman" w:cstheme="minorHAnsi"/>
                <w:sz w:val="16"/>
                <w:szCs w:val="16"/>
              </w:rPr>
            </w:pPr>
            <w:r w:rsidRPr="005D0210">
              <w:rPr>
                <w:rFonts w:eastAsia="Times New Roman" w:cstheme="minorHAnsi"/>
                <w:sz w:val="16"/>
                <w:szCs w:val="16"/>
              </w:rPr>
              <w:t>Anic 2018</w:t>
            </w:r>
          </w:p>
        </w:tc>
        <w:tc>
          <w:tcPr>
            <w:tcW w:w="1559" w:type="dxa"/>
            <w:hideMark/>
          </w:tcPr>
          <w:p w14:paraId="7BD65E7D"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Estimated the prevalence of e</w:t>
            </w:r>
            <w:r w:rsidRPr="005D0210">
              <w:rPr>
                <w:rFonts w:eastAsia="Times New Roman" w:cstheme="minorHAnsi"/>
                <w:sz w:val="16"/>
                <w:szCs w:val="16"/>
              </w:rPr>
              <w:noBreakHyphen/>
              <w:t>cigarette and smokeless tobacco use and switching among current and recent former adult cigarette smokers.</w:t>
            </w:r>
          </w:p>
        </w:tc>
        <w:tc>
          <w:tcPr>
            <w:tcW w:w="850" w:type="dxa"/>
            <w:hideMark/>
          </w:tcPr>
          <w:p w14:paraId="69F3D6BF"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National Adult Tobacco Survey</w:t>
            </w:r>
          </w:p>
        </w:tc>
        <w:tc>
          <w:tcPr>
            <w:tcW w:w="993" w:type="dxa"/>
            <w:hideMark/>
          </w:tcPr>
          <w:p w14:paraId="4A82489C"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USA</w:t>
            </w:r>
          </w:p>
        </w:tc>
        <w:tc>
          <w:tcPr>
            <w:tcW w:w="992" w:type="dxa"/>
            <w:hideMark/>
          </w:tcPr>
          <w:p w14:paraId="03285FBE"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 xml:space="preserve">2012–2013 &amp; 2013–2014 </w:t>
            </w:r>
          </w:p>
        </w:tc>
        <w:tc>
          <w:tcPr>
            <w:tcW w:w="992" w:type="dxa"/>
            <w:hideMark/>
          </w:tcPr>
          <w:p w14:paraId="3EEDB20C"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2012–2013: 8,891</w:t>
            </w:r>
          </w:p>
          <w:p w14:paraId="3FD44EC7"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2013–2014: 11,379)</w:t>
            </w:r>
          </w:p>
        </w:tc>
        <w:tc>
          <w:tcPr>
            <w:tcW w:w="1134" w:type="dxa"/>
            <w:hideMark/>
          </w:tcPr>
          <w:p w14:paraId="4EDEFFA9"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2012</w:t>
            </w:r>
            <w:r w:rsidRPr="005D0210">
              <w:rPr>
                <w:rFonts w:eastAsia="Times New Roman" w:cstheme="minorHAnsi"/>
                <w:sz w:val="16"/>
                <w:szCs w:val="16"/>
              </w:rPr>
              <w:noBreakHyphen/>
              <w:t>13: 41 (IQR: 29.0</w:t>
            </w:r>
            <w:r w:rsidRPr="005D0210">
              <w:rPr>
                <w:rFonts w:eastAsia="Times New Roman" w:cstheme="minorHAnsi"/>
                <w:sz w:val="16"/>
                <w:szCs w:val="16"/>
              </w:rPr>
              <w:noBreakHyphen/>
              <w:t>53.2)</w:t>
            </w:r>
            <w:r w:rsidRPr="005D0210">
              <w:rPr>
                <w:rFonts w:eastAsia="Times New Roman" w:cstheme="minorHAnsi"/>
                <w:sz w:val="16"/>
                <w:szCs w:val="16"/>
              </w:rPr>
              <w:br/>
              <w:t>2013</w:t>
            </w:r>
            <w:r w:rsidRPr="005D0210">
              <w:rPr>
                <w:rFonts w:eastAsia="Times New Roman" w:cstheme="minorHAnsi"/>
                <w:sz w:val="16"/>
                <w:szCs w:val="16"/>
              </w:rPr>
              <w:noBreakHyphen/>
              <w:t>2014: 41.4 (IQR: 29.6</w:t>
            </w:r>
            <w:r w:rsidRPr="005D0210">
              <w:rPr>
                <w:rFonts w:eastAsia="Times New Roman" w:cstheme="minorHAnsi"/>
                <w:sz w:val="16"/>
                <w:szCs w:val="16"/>
              </w:rPr>
              <w:noBreakHyphen/>
              <w:t>53.7)</w:t>
            </w:r>
          </w:p>
        </w:tc>
        <w:tc>
          <w:tcPr>
            <w:tcW w:w="851" w:type="dxa"/>
            <w:hideMark/>
          </w:tcPr>
          <w:p w14:paraId="5C02C84A"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42.5</w:t>
            </w:r>
          </w:p>
        </w:tc>
        <w:tc>
          <w:tcPr>
            <w:tcW w:w="1701" w:type="dxa"/>
            <w:hideMark/>
          </w:tcPr>
          <w:p w14:paraId="71CAAD2D"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iCs/>
                <w:sz w:val="16"/>
                <w:szCs w:val="16"/>
              </w:rPr>
            </w:pPr>
            <w:r w:rsidRPr="005D0210">
              <w:rPr>
                <w:rFonts w:eastAsia="Times New Roman" w:cstheme="minorHAnsi"/>
                <w:iCs/>
                <w:sz w:val="16"/>
                <w:szCs w:val="16"/>
              </w:rPr>
              <w:t>Nationally representative, random</w:t>
            </w:r>
            <w:r w:rsidRPr="005D0210">
              <w:rPr>
                <w:rFonts w:eastAsia="Times New Roman" w:cstheme="minorHAnsi"/>
                <w:iCs/>
                <w:sz w:val="16"/>
                <w:szCs w:val="16"/>
              </w:rPr>
              <w:noBreakHyphen/>
              <w:t>digit dialled telephone survey. Participants were aged ≥18 yrs and were some or every day cigarette smokers.</w:t>
            </w:r>
          </w:p>
        </w:tc>
        <w:tc>
          <w:tcPr>
            <w:tcW w:w="992" w:type="dxa"/>
            <w:hideMark/>
          </w:tcPr>
          <w:p w14:paraId="07627F94"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44.9% and 36.1%</w:t>
            </w:r>
          </w:p>
        </w:tc>
        <w:tc>
          <w:tcPr>
            <w:tcW w:w="2302" w:type="dxa"/>
            <w:hideMark/>
          </w:tcPr>
          <w:p w14:paraId="68C4F75A"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iCs/>
                <w:sz w:val="16"/>
                <w:szCs w:val="16"/>
              </w:rPr>
            </w:pPr>
            <w:r w:rsidRPr="005D0210">
              <w:rPr>
                <w:rFonts w:eastAsia="Times New Roman" w:cstheme="minorHAnsi"/>
                <w:iCs/>
                <w:sz w:val="16"/>
                <w:szCs w:val="16"/>
              </w:rPr>
              <w:t>More recent quitters completely switched to e</w:t>
            </w:r>
            <w:r w:rsidRPr="005D0210">
              <w:rPr>
                <w:rFonts w:eastAsia="Times New Roman" w:cstheme="minorHAnsi"/>
                <w:iCs/>
                <w:sz w:val="16"/>
                <w:szCs w:val="16"/>
              </w:rPr>
              <w:noBreakHyphen/>
              <w:t>cigarettes in the past year (15.3% in 2012–2013, 25.7% in 2013–2014) than to smokeless tobacco (4.6% in 2012–2013, 4.5% in 2013–2014).</w:t>
            </w:r>
          </w:p>
        </w:tc>
        <w:tc>
          <w:tcPr>
            <w:tcW w:w="1984" w:type="dxa"/>
            <w:hideMark/>
          </w:tcPr>
          <w:p w14:paraId="67522670"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iCs/>
                <w:sz w:val="16"/>
                <w:szCs w:val="16"/>
              </w:rPr>
            </w:pPr>
            <w:r w:rsidRPr="005D0210">
              <w:rPr>
                <w:rFonts w:eastAsia="Times New Roman" w:cstheme="minorHAnsi"/>
                <w:iCs/>
                <w:sz w:val="16"/>
                <w:szCs w:val="16"/>
              </w:rPr>
              <w:t>Current e</w:t>
            </w:r>
            <w:r w:rsidRPr="005D0210">
              <w:rPr>
                <w:rFonts w:eastAsia="Times New Roman" w:cstheme="minorHAnsi"/>
                <w:iCs/>
                <w:sz w:val="16"/>
                <w:szCs w:val="16"/>
              </w:rPr>
              <w:noBreakHyphen/>
              <w:t>cigarette use was most prevalent among unsuccessful quitters and recent quitters, who were substantially more likely to report complete switching to e</w:t>
            </w:r>
            <w:r w:rsidRPr="005D0210">
              <w:rPr>
                <w:rFonts w:eastAsia="Times New Roman" w:cstheme="minorHAnsi"/>
                <w:iCs/>
                <w:sz w:val="16"/>
                <w:szCs w:val="16"/>
              </w:rPr>
              <w:noBreakHyphen/>
              <w:t>cigarettes than smokeless tobacco.</w:t>
            </w:r>
          </w:p>
        </w:tc>
      </w:tr>
      <w:tr w:rsidR="00781923" w:rsidRPr="005D0210" w14:paraId="28AC7616" w14:textId="77777777" w:rsidTr="004E728C">
        <w:trPr>
          <w:trHeight w:val="2519"/>
        </w:trPr>
        <w:tc>
          <w:tcPr>
            <w:cnfStyle w:val="001000000000" w:firstRow="0" w:lastRow="0" w:firstColumn="1" w:lastColumn="0" w:oddVBand="0" w:evenVBand="0" w:oddHBand="0" w:evenHBand="0" w:firstRowFirstColumn="0" w:firstRowLastColumn="0" w:lastRowFirstColumn="0" w:lastRowLastColumn="0"/>
            <w:tcW w:w="988" w:type="dxa"/>
          </w:tcPr>
          <w:p w14:paraId="7D2ADDEF" w14:textId="77777777" w:rsidR="00781923" w:rsidRPr="005D0210" w:rsidRDefault="00781923" w:rsidP="004E728C">
            <w:pPr>
              <w:rPr>
                <w:rFonts w:eastAsia="Times New Roman" w:cstheme="minorHAnsi"/>
                <w:sz w:val="16"/>
                <w:szCs w:val="16"/>
              </w:rPr>
            </w:pPr>
            <w:r w:rsidRPr="005D0210">
              <w:rPr>
                <w:sz w:val="16"/>
                <w:szCs w:val="16"/>
              </w:rPr>
              <w:t>Bunch 2018</w:t>
            </w:r>
          </w:p>
        </w:tc>
        <w:tc>
          <w:tcPr>
            <w:tcW w:w="1559" w:type="dxa"/>
          </w:tcPr>
          <w:p w14:paraId="709103D8"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5D0210">
              <w:rPr>
                <w:sz w:val="16"/>
                <w:szCs w:val="16"/>
              </w:rPr>
              <w:t>This study seeks to describe current e</w:t>
            </w:r>
            <w:r w:rsidRPr="005D0210">
              <w:rPr>
                <w:sz w:val="16"/>
                <w:szCs w:val="16"/>
              </w:rPr>
              <w:noBreakHyphen/>
              <w:t>cigarette users’ patterns of use including primary motivation for use, dual use, use with nicotine and principal flavour used, according to individuals’ sociodemographic characteristics and conventional tobacco consumption in Barcelona, Spain.</w:t>
            </w:r>
          </w:p>
        </w:tc>
        <w:tc>
          <w:tcPr>
            <w:tcW w:w="850" w:type="dxa"/>
          </w:tcPr>
          <w:p w14:paraId="064D7693"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5D0210">
              <w:rPr>
                <w:sz w:val="16"/>
                <w:szCs w:val="16"/>
              </w:rPr>
              <w:t>Own data</w:t>
            </w:r>
          </w:p>
        </w:tc>
        <w:tc>
          <w:tcPr>
            <w:tcW w:w="993" w:type="dxa"/>
          </w:tcPr>
          <w:p w14:paraId="64CA97AD"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5D0210">
              <w:rPr>
                <w:sz w:val="16"/>
                <w:szCs w:val="16"/>
              </w:rPr>
              <w:t>Barcelona, Spain</w:t>
            </w:r>
          </w:p>
        </w:tc>
        <w:tc>
          <w:tcPr>
            <w:tcW w:w="992" w:type="dxa"/>
          </w:tcPr>
          <w:p w14:paraId="4B29C37B"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5D0210">
              <w:rPr>
                <w:sz w:val="16"/>
                <w:szCs w:val="16"/>
              </w:rPr>
              <w:t>2015</w:t>
            </w:r>
          </w:p>
        </w:tc>
        <w:tc>
          <w:tcPr>
            <w:tcW w:w="992" w:type="dxa"/>
          </w:tcPr>
          <w:p w14:paraId="1C3D1449"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5D0210">
              <w:rPr>
                <w:sz w:val="16"/>
                <w:szCs w:val="16"/>
              </w:rPr>
              <w:t>600</w:t>
            </w:r>
          </w:p>
        </w:tc>
        <w:tc>
          <w:tcPr>
            <w:tcW w:w="1134" w:type="dxa"/>
          </w:tcPr>
          <w:p w14:paraId="6E3FFCBF"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5D0210">
              <w:rPr>
                <w:sz w:val="16"/>
                <w:szCs w:val="16"/>
              </w:rPr>
              <w:t>25</w:t>
            </w:r>
            <w:r w:rsidRPr="005D0210">
              <w:rPr>
                <w:sz w:val="16"/>
                <w:szCs w:val="16"/>
              </w:rPr>
              <w:noBreakHyphen/>
              <w:t>44: 49.8%</w:t>
            </w:r>
          </w:p>
        </w:tc>
        <w:tc>
          <w:tcPr>
            <w:tcW w:w="851" w:type="dxa"/>
          </w:tcPr>
          <w:p w14:paraId="27D02F7D"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5D0210">
              <w:rPr>
                <w:sz w:val="16"/>
                <w:szCs w:val="16"/>
              </w:rPr>
              <w:t>63.50%</w:t>
            </w:r>
          </w:p>
        </w:tc>
        <w:tc>
          <w:tcPr>
            <w:tcW w:w="1701" w:type="dxa"/>
          </w:tcPr>
          <w:p w14:paraId="78BA8AE0"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5D0210">
              <w:rPr>
                <w:sz w:val="16"/>
                <w:szCs w:val="16"/>
              </w:rPr>
              <w:t>Trained sensors (people trained to recruit participants for studies of uncommon products) recruited e</w:t>
            </w:r>
            <w:r w:rsidRPr="005D0210">
              <w:rPr>
                <w:sz w:val="16"/>
                <w:szCs w:val="16"/>
              </w:rPr>
              <w:noBreakHyphen/>
              <w:t>cigarette users in all neighbourhoods of the city of Barcelona. They identified individuals using or carrying an e</w:t>
            </w:r>
            <w:r w:rsidRPr="005D0210">
              <w:rPr>
                <w:sz w:val="16"/>
                <w:szCs w:val="16"/>
              </w:rPr>
              <w:noBreakHyphen/>
              <w:t>cigarette in public. All participants were current e</w:t>
            </w:r>
            <w:r w:rsidRPr="005D0210">
              <w:rPr>
                <w:sz w:val="16"/>
                <w:szCs w:val="16"/>
              </w:rPr>
              <w:noBreakHyphen/>
              <w:t xml:space="preserve">cigarette users at the moment of the interview, independent of whether they used it daily or occasionally. </w:t>
            </w:r>
          </w:p>
        </w:tc>
        <w:tc>
          <w:tcPr>
            <w:tcW w:w="992" w:type="dxa"/>
          </w:tcPr>
          <w:p w14:paraId="276EA39F"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5D0210">
              <w:rPr>
                <w:sz w:val="16"/>
                <w:szCs w:val="16"/>
              </w:rPr>
              <w:t>90.3</w:t>
            </w:r>
          </w:p>
        </w:tc>
        <w:tc>
          <w:tcPr>
            <w:tcW w:w="2302" w:type="dxa"/>
          </w:tcPr>
          <w:p w14:paraId="5A87C222"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iCs/>
                <w:sz w:val="16"/>
                <w:szCs w:val="16"/>
              </w:rPr>
            </w:pPr>
            <w:r w:rsidRPr="005D0210">
              <w:rPr>
                <w:sz w:val="16"/>
                <w:szCs w:val="16"/>
              </w:rPr>
              <w:t>The most prevalent motivation for using e</w:t>
            </w:r>
            <w:r w:rsidRPr="005D0210">
              <w:rPr>
                <w:sz w:val="16"/>
                <w:szCs w:val="16"/>
              </w:rPr>
              <w:noBreakHyphen/>
              <w:t>cigarettes was to reduce tobacco smoking (48%, n=288), followed by quitting smoking (39.2%, n=235), and to use e</w:t>
            </w:r>
            <w:r w:rsidRPr="005D0210">
              <w:rPr>
                <w:sz w:val="16"/>
                <w:szCs w:val="16"/>
              </w:rPr>
              <w:noBreakHyphen/>
              <w:t>cigarettes in places where tobacco smoking was prohibited (10.2%, n=61). People younger than 25 years old (OR=4.36, 95% CI 1.99 to 9.57) and women (OR=1.87, 95% CI 1.02 to 3.43) were more likely to state their main motivation for use as to use e</w:t>
            </w:r>
            <w:r w:rsidRPr="005D0210">
              <w:rPr>
                <w:sz w:val="16"/>
                <w:szCs w:val="16"/>
              </w:rPr>
              <w:noBreakHyphen/>
              <w:t>cigarettes where cigarettes were prohibited, while older people were more likely to use them to quit smoking tobacco (≥65, OR=13.8, 95% CI 2.62 to 72.41).</w:t>
            </w:r>
          </w:p>
        </w:tc>
        <w:tc>
          <w:tcPr>
            <w:tcW w:w="1984" w:type="dxa"/>
          </w:tcPr>
          <w:p w14:paraId="252F751C"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iCs/>
                <w:sz w:val="16"/>
                <w:szCs w:val="16"/>
              </w:rPr>
            </w:pPr>
            <w:r w:rsidRPr="005D0210">
              <w:rPr>
                <w:sz w:val="16"/>
                <w:szCs w:val="16"/>
              </w:rPr>
              <w:t>Younger users of e</w:t>
            </w:r>
            <w:r w:rsidRPr="005D0210">
              <w:rPr>
                <w:sz w:val="16"/>
                <w:szCs w:val="16"/>
              </w:rPr>
              <w:noBreakHyphen/>
              <w:t>cigarettes and non</w:t>
            </w:r>
            <w:r w:rsidRPr="005D0210">
              <w:rPr>
                <w:sz w:val="16"/>
                <w:szCs w:val="16"/>
              </w:rPr>
              <w:noBreakHyphen/>
              <w:t>smokers are more likely to use flavours other than tobacco and to use e</w:t>
            </w:r>
            <w:r w:rsidRPr="005D0210">
              <w:rPr>
                <w:sz w:val="16"/>
                <w:szCs w:val="16"/>
              </w:rPr>
              <w:noBreakHyphen/>
              <w:t>cigarettes mainly for recreational purposes.</w:t>
            </w:r>
          </w:p>
        </w:tc>
      </w:tr>
      <w:tr w:rsidR="00781923" w:rsidRPr="005D0210" w14:paraId="2ACFF58D" w14:textId="77777777" w:rsidTr="004E728C">
        <w:trPr>
          <w:cnfStyle w:val="000000100000" w:firstRow="0" w:lastRow="0" w:firstColumn="0" w:lastColumn="0" w:oddVBand="0" w:evenVBand="0" w:oddHBand="1" w:evenHBand="0" w:firstRowFirstColumn="0" w:firstRowLastColumn="0" w:lastRowFirstColumn="0" w:lastRowLastColumn="0"/>
          <w:trHeight w:val="2519"/>
        </w:trPr>
        <w:tc>
          <w:tcPr>
            <w:cnfStyle w:val="001000000000" w:firstRow="0" w:lastRow="0" w:firstColumn="1" w:lastColumn="0" w:oddVBand="0" w:evenVBand="0" w:oddHBand="0" w:evenHBand="0" w:firstRowFirstColumn="0" w:firstRowLastColumn="0" w:lastRowFirstColumn="0" w:lastRowLastColumn="0"/>
            <w:tcW w:w="988" w:type="dxa"/>
            <w:hideMark/>
          </w:tcPr>
          <w:p w14:paraId="7B3AE555" w14:textId="77777777" w:rsidR="00781923" w:rsidRPr="005D0210" w:rsidRDefault="00781923" w:rsidP="004E728C">
            <w:pPr>
              <w:rPr>
                <w:rFonts w:eastAsia="Times New Roman" w:cstheme="minorHAnsi"/>
                <w:sz w:val="16"/>
                <w:szCs w:val="16"/>
              </w:rPr>
            </w:pPr>
            <w:r w:rsidRPr="005D0210">
              <w:rPr>
                <w:rFonts w:eastAsia="Times New Roman" w:cstheme="minorHAnsi"/>
                <w:sz w:val="16"/>
                <w:szCs w:val="16"/>
              </w:rPr>
              <w:t>Camenga 2017</w:t>
            </w:r>
          </w:p>
        </w:tc>
        <w:tc>
          <w:tcPr>
            <w:tcW w:w="1559" w:type="dxa"/>
            <w:hideMark/>
          </w:tcPr>
          <w:p w14:paraId="1D7CE8B0"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This exploratory study examines the prevalence and predictors of current and former smokers’ use of e</w:t>
            </w:r>
            <w:r w:rsidRPr="005D0210">
              <w:rPr>
                <w:rFonts w:eastAsia="Times New Roman" w:cstheme="minorHAnsi"/>
                <w:sz w:val="16"/>
                <w:szCs w:val="16"/>
              </w:rPr>
              <w:noBreakHyphen/>
              <w:t>cigarettes for smoking cessation among a sample of adolescent and young adult established smokers.</w:t>
            </w:r>
          </w:p>
        </w:tc>
        <w:tc>
          <w:tcPr>
            <w:tcW w:w="850" w:type="dxa"/>
            <w:hideMark/>
          </w:tcPr>
          <w:p w14:paraId="5BF776B0"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Own survey</w:t>
            </w:r>
          </w:p>
        </w:tc>
        <w:tc>
          <w:tcPr>
            <w:tcW w:w="993" w:type="dxa"/>
            <w:hideMark/>
          </w:tcPr>
          <w:p w14:paraId="3F91141B"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USA</w:t>
            </w:r>
          </w:p>
        </w:tc>
        <w:tc>
          <w:tcPr>
            <w:tcW w:w="992" w:type="dxa"/>
            <w:hideMark/>
          </w:tcPr>
          <w:p w14:paraId="3BBD254D"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2013</w:t>
            </w:r>
            <w:r w:rsidRPr="005D0210">
              <w:rPr>
                <w:rFonts w:eastAsia="Times New Roman" w:cstheme="minorHAnsi"/>
                <w:sz w:val="16"/>
                <w:szCs w:val="16"/>
              </w:rPr>
              <w:noBreakHyphen/>
              <w:t>14</w:t>
            </w:r>
          </w:p>
        </w:tc>
        <w:tc>
          <w:tcPr>
            <w:tcW w:w="992" w:type="dxa"/>
            <w:hideMark/>
          </w:tcPr>
          <w:p w14:paraId="624CDE7A"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Middle school: 1166</w:t>
            </w:r>
            <w:r w:rsidRPr="005D0210">
              <w:rPr>
                <w:rFonts w:eastAsia="Times New Roman" w:cstheme="minorHAnsi"/>
                <w:sz w:val="16"/>
                <w:szCs w:val="16"/>
              </w:rPr>
              <w:br/>
              <w:t>High school: 3614</w:t>
            </w:r>
            <w:r w:rsidRPr="005D0210">
              <w:rPr>
                <w:rFonts w:eastAsia="Times New Roman" w:cstheme="minorHAnsi"/>
                <w:sz w:val="16"/>
                <w:szCs w:val="16"/>
              </w:rPr>
              <w:br/>
              <w:t>College: 625</w:t>
            </w:r>
            <w:r w:rsidRPr="005D0210">
              <w:rPr>
                <w:rFonts w:eastAsia="Times New Roman" w:cstheme="minorHAnsi"/>
                <w:sz w:val="16"/>
                <w:szCs w:val="16"/>
              </w:rPr>
              <w:br/>
              <w:t>[189]</w:t>
            </w:r>
          </w:p>
        </w:tc>
        <w:tc>
          <w:tcPr>
            <w:tcW w:w="1134" w:type="dxa"/>
            <w:hideMark/>
          </w:tcPr>
          <w:p w14:paraId="39FFD08D"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18.3±2.8</w:t>
            </w:r>
          </w:p>
        </w:tc>
        <w:tc>
          <w:tcPr>
            <w:tcW w:w="851" w:type="dxa"/>
            <w:hideMark/>
          </w:tcPr>
          <w:p w14:paraId="25F09015"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50.7</w:t>
            </w:r>
          </w:p>
        </w:tc>
        <w:tc>
          <w:tcPr>
            <w:tcW w:w="1701" w:type="dxa"/>
            <w:hideMark/>
          </w:tcPr>
          <w:p w14:paraId="18D44DD2"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Through schools. Only included participants who were established smokers.</w:t>
            </w:r>
          </w:p>
        </w:tc>
        <w:tc>
          <w:tcPr>
            <w:tcW w:w="992" w:type="dxa"/>
            <w:hideMark/>
          </w:tcPr>
          <w:p w14:paraId="23BA431D"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87.1</w:t>
            </w:r>
            <w:r w:rsidRPr="005D0210">
              <w:rPr>
                <w:rFonts w:eastAsia="Times New Roman" w:cstheme="minorHAnsi"/>
                <w:sz w:val="16"/>
                <w:szCs w:val="16"/>
              </w:rPr>
              <w:noBreakHyphen/>
              <w:t>94.1%</w:t>
            </w:r>
          </w:p>
        </w:tc>
        <w:tc>
          <w:tcPr>
            <w:tcW w:w="2302" w:type="dxa"/>
            <w:hideMark/>
          </w:tcPr>
          <w:p w14:paraId="3BAD7080"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iCs/>
                <w:sz w:val="16"/>
                <w:szCs w:val="16"/>
              </w:rPr>
            </w:pPr>
            <w:r w:rsidRPr="005D0210">
              <w:rPr>
                <w:rFonts w:eastAsia="Times New Roman" w:cstheme="minorHAnsi"/>
                <w:iCs/>
                <w:sz w:val="16"/>
                <w:szCs w:val="16"/>
              </w:rPr>
              <w:t>Overall, 41.8% of the sample reported that they “have used an e</w:t>
            </w:r>
            <w:r w:rsidRPr="005D0210">
              <w:rPr>
                <w:rFonts w:eastAsia="Times New Roman" w:cstheme="minorHAnsi"/>
                <w:iCs/>
                <w:sz w:val="16"/>
                <w:szCs w:val="16"/>
              </w:rPr>
              <w:noBreakHyphen/>
              <w:t>cigarette to quit smoking.” In adjusted models, older age, White race, higher e</w:t>
            </w:r>
            <w:r w:rsidRPr="005D0210">
              <w:rPr>
                <w:rFonts w:eastAsia="Times New Roman" w:cstheme="minorHAnsi"/>
                <w:iCs/>
                <w:sz w:val="16"/>
                <w:szCs w:val="16"/>
              </w:rPr>
              <w:noBreakHyphen/>
              <w:t>cigarette frequency, and preference for using a combination of e</w:t>
            </w:r>
            <w:r w:rsidRPr="005D0210">
              <w:rPr>
                <w:rFonts w:eastAsia="Times New Roman" w:cstheme="minorHAnsi"/>
                <w:iCs/>
                <w:sz w:val="16"/>
                <w:szCs w:val="16"/>
              </w:rPr>
              <w:noBreakHyphen/>
              <w:t>cigarette flavours predicted increased odds of having used e</w:t>
            </w:r>
            <w:r w:rsidRPr="005D0210">
              <w:rPr>
                <w:rFonts w:eastAsia="Times New Roman" w:cstheme="minorHAnsi"/>
                <w:iCs/>
                <w:sz w:val="16"/>
                <w:szCs w:val="16"/>
              </w:rPr>
              <w:noBreakHyphen/>
              <w:t>cigarettes to quit smoking (p&lt;0.05). Using e</w:t>
            </w:r>
            <w:r w:rsidRPr="005D0210">
              <w:rPr>
                <w:rFonts w:eastAsia="Times New Roman" w:cstheme="minorHAnsi"/>
                <w:iCs/>
                <w:sz w:val="16"/>
                <w:szCs w:val="16"/>
              </w:rPr>
              <w:noBreakHyphen/>
              <w:t>cigarettes to quit smoking was not associated with current or former cigarette smoking status.</w:t>
            </w:r>
          </w:p>
        </w:tc>
        <w:tc>
          <w:tcPr>
            <w:tcW w:w="1984" w:type="dxa"/>
            <w:hideMark/>
          </w:tcPr>
          <w:p w14:paraId="07C1A47D"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iCs/>
                <w:sz w:val="16"/>
                <w:szCs w:val="16"/>
              </w:rPr>
            </w:pPr>
            <w:r w:rsidRPr="005D0210">
              <w:rPr>
                <w:rFonts w:eastAsia="Times New Roman" w:cstheme="minorHAnsi"/>
                <w:iCs/>
                <w:sz w:val="16"/>
                <w:szCs w:val="16"/>
              </w:rPr>
              <w:t>Adolescents and young adults who report more frequent e</w:t>
            </w:r>
            <w:r w:rsidRPr="005D0210">
              <w:rPr>
                <w:rFonts w:eastAsia="Times New Roman" w:cstheme="minorHAnsi"/>
                <w:iCs/>
                <w:sz w:val="16"/>
                <w:szCs w:val="16"/>
              </w:rPr>
              <w:noBreakHyphen/>
              <w:t>cigarette use and preference for using flavor combinations are more likely to use e</w:t>
            </w:r>
            <w:r w:rsidRPr="005D0210">
              <w:rPr>
                <w:rFonts w:eastAsia="Times New Roman" w:cstheme="minorHAnsi"/>
                <w:iCs/>
                <w:sz w:val="16"/>
                <w:szCs w:val="16"/>
              </w:rPr>
              <w:noBreakHyphen/>
              <w:t xml:space="preserve">cigarettes for smoking cessation. </w:t>
            </w:r>
          </w:p>
        </w:tc>
      </w:tr>
      <w:tr w:rsidR="00781923" w:rsidRPr="005D0210" w14:paraId="5F023034" w14:textId="77777777" w:rsidTr="004E728C">
        <w:trPr>
          <w:trHeight w:val="2519"/>
        </w:trPr>
        <w:tc>
          <w:tcPr>
            <w:cnfStyle w:val="001000000000" w:firstRow="0" w:lastRow="0" w:firstColumn="1" w:lastColumn="0" w:oddVBand="0" w:evenVBand="0" w:oddHBand="0" w:evenHBand="0" w:firstRowFirstColumn="0" w:firstRowLastColumn="0" w:lastRowFirstColumn="0" w:lastRowLastColumn="0"/>
            <w:tcW w:w="988" w:type="dxa"/>
          </w:tcPr>
          <w:p w14:paraId="070BE729" w14:textId="77777777" w:rsidR="00781923" w:rsidRPr="005D0210" w:rsidRDefault="00781923" w:rsidP="004E728C">
            <w:pPr>
              <w:rPr>
                <w:rFonts w:eastAsia="Times New Roman" w:cstheme="minorHAnsi"/>
                <w:sz w:val="16"/>
                <w:szCs w:val="16"/>
              </w:rPr>
            </w:pPr>
            <w:r w:rsidRPr="005D0210">
              <w:rPr>
                <w:sz w:val="16"/>
                <w:szCs w:val="16"/>
              </w:rPr>
              <w:lastRenderedPageBreak/>
              <w:t>Chen 2018</w:t>
            </w:r>
          </w:p>
        </w:tc>
        <w:tc>
          <w:tcPr>
            <w:tcW w:w="1559" w:type="dxa"/>
          </w:tcPr>
          <w:p w14:paraId="6EAFC790"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5D0210">
              <w:rPr>
                <w:sz w:val="16"/>
                <w:szCs w:val="16"/>
              </w:rPr>
              <w:t>This study seeks to understand which e</w:t>
            </w:r>
            <w:r w:rsidRPr="005D0210">
              <w:rPr>
                <w:sz w:val="16"/>
                <w:szCs w:val="16"/>
              </w:rPr>
              <w:noBreakHyphen/>
              <w:t>cigarette flavours</w:t>
            </w:r>
            <w:r w:rsidRPr="005D0210">
              <w:rPr>
                <w:sz w:val="16"/>
                <w:szCs w:val="16"/>
              </w:rPr>
              <w:noBreakHyphen/>
              <w:t>sweet and fruity or tobacco and menthol/mint</w:t>
            </w:r>
            <w:r w:rsidRPr="005D0210">
              <w:rPr>
                <w:sz w:val="16"/>
                <w:szCs w:val="16"/>
              </w:rPr>
              <w:noBreakHyphen/>
              <w:t>are more likely to be associated with smoking reduction and cessation among young adults.</w:t>
            </w:r>
          </w:p>
        </w:tc>
        <w:tc>
          <w:tcPr>
            <w:tcW w:w="850" w:type="dxa"/>
          </w:tcPr>
          <w:p w14:paraId="6887DDF0"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5D0210">
              <w:rPr>
                <w:sz w:val="16"/>
                <w:szCs w:val="16"/>
              </w:rPr>
              <w:t>PATH study (Population Assessment of Tobacco and Health), a nationally representative random sample.</w:t>
            </w:r>
          </w:p>
        </w:tc>
        <w:tc>
          <w:tcPr>
            <w:tcW w:w="993" w:type="dxa"/>
          </w:tcPr>
          <w:p w14:paraId="3F5A3F7E"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5D0210">
              <w:rPr>
                <w:sz w:val="16"/>
                <w:szCs w:val="16"/>
              </w:rPr>
              <w:t>USA</w:t>
            </w:r>
          </w:p>
        </w:tc>
        <w:tc>
          <w:tcPr>
            <w:tcW w:w="992" w:type="dxa"/>
          </w:tcPr>
          <w:p w14:paraId="04428F8E"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5D0210">
              <w:rPr>
                <w:sz w:val="16"/>
                <w:szCs w:val="16"/>
              </w:rPr>
              <w:t>2013</w:t>
            </w:r>
            <w:r w:rsidRPr="005D0210">
              <w:rPr>
                <w:sz w:val="16"/>
                <w:szCs w:val="16"/>
              </w:rPr>
              <w:noBreakHyphen/>
              <w:t>14, 2014</w:t>
            </w:r>
            <w:r w:rsidRPr="005D0210">
              <w:rPr>
                <w:sz w:val="16"/>
                <w:szCs w:val="16"/>
              </w:rPr>
              <w:noBreakHyphen/>
              <w:t>15</w:t>
            </w:r>
          </w:p>
        </w:tc>
        <w:tc>
          <w:tcPr>
            <w:tcW w:w="992" w:type="dxa"/>
          </w:tcPr>
          <w:p w14:paraId="0889F8B5"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5D0210">
              <w:rPr>
                <w:sz w:val="16"/>
                <w:szCs w:val="16"/>
              </w:rPr>
              <w:t>4645</w:t>
            </w:r>
          </w:p>
        </w:tc>
        <w:tc>
          <w:tcPr>
            <w:tcW w:w="1134" w:type="dxa"/>
          </w:tcPr>
          <w:p w14:paraId="3016DB1F"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5D0210">
              <w:rPr>
                <w:sz w:val="16"/>
                <w:szCs w:val="16"/>
              </w:rPr>
              <w:t>42.9</w:t>
            </w:r>
          </w:p>
        </w:tc>
        <w:tc>
          <w:tcPr>
            <w:tcW w:w="851" w:type="dxa"/>
          </w:tcPr>
          <w:p w14:paraId="77E103E8"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5D0210">
              <w:rPr>
                <w:sz w:val="16"/>
                <w:szCs w:val="16"/>
              </w:rPr>
              <w:t>"18</w:t>
            </w:r>
            <w:r w:rsidRPr="005D0210">
              <w:rPr>
                <w:sz w:val="16"/>
                <w:szCs w:val="16"/>
              </w:rPr>
              <w:noBreakHyphen/>
              <w:t>24: 39.1%</w:t>
            </w:r>
          </w:p>
        </w:tc>
        <w:tc>
          <w:tcPr>
            <w:tcW w:w="1701" w:type="dxa"/>
          </w:tcPr>
          <w:p w14:paraId="0E5FDEB5"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Included young adults (ages 18</w:t>
            </w:r>
            <w:r w:rsidRPr="005D0210">
              <w:rPr>
                <w:rFonts w:eastAsia="Times New Roman" w:cstheme="minorHAnsi"/>
                <w:sz w:val="16"/>
                <w:szCs w:val="16"/>
              </w:rPr>
              <w:noBreakHyphen/>
              <w:t>34) smokers who had smoked at least 100 cigarettes at wave 1 and had complete data for analysis.</w:t>
            </w:r>
          </w:p>
        </w:tc>
        <w:tc>
          <w:tcPr>
            <w:tcW w:w="992" w:type="dxa"/>
          </w:tcPr>
          <w:p w14:paraId="0EEF9050"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5D0210">
              <w:rPr>
                <w:rFonts w:cs="Calibri"/>
                <w:sz w:val="16"/>
                <w:szCs w:val="16"/>
              </w:rPr>
              <w:t>NR</w:t>
            </w:r>
          </w:p>
        </w:tc>
        <w:tc>
          <w:tcPr>
            <w:tcW w:w="2302" w:type="dxa"/>
          </w:tcPr>
          <w:p w14:paraId="177FF647"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iCs/>
                <w:sz w:val="16"/>
                <w:szCs w:val="16"/>
              </w:rPr>
            </w:pPr>
            <w:r w:rsidRPr="005D0210">
              <w:rPr>
                <w:rFonts w:cs="Calibri"/>
                <w:iCs/>
                <w:sz w:val="16"/>
                <w:szCs w:val="16"/>
              </w:rPr>
              <w:t>The top three endorsed reasons for using e</w:t>
            </w:r>
            <w:r w:rsidRPr="005D0210">
              <w:rPr>
                <w:rFonts w:cs="Calibri"/>
                <w:iCs/>
                <w:sz w:val="16"/>
                <w:szCs w:val="16"/>
              </w:rPr>
              <w:noBreakHyphen/>
              <w:t>cigarettes among current users were that e</w:t>
            </w:r>
            <w:r w:rsidRPr="005D0210">
              <w:rPr>
                <w:rFonts w:cs="Calibri"/>
                <w:iCs/>
                <w:sz w:val="16"/>
                <w:szCs w:val="16"/>
              </w:rPr>
              <w:noBreakHyphen/>
              <w:t>cigarettes (1) “might be less harmful to people around me than cigarettes” (85.4%), (2) “can be used where smoking cigarettes is not allowed” (82.2%), and (3) “come in flavours I like” (80.2%).</w:t>
            </w:r>
          </w:p>
        </w:tc>
        <w:tc>
          <w:tcPr>
            <w:tcW w:w="1984" w:type="dxa"/>
          </w:tcPr>
          <w:p w14:paraId="2317B186"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iCs/>
                <w:sz w:val="16"/>
                <w:szCs w:val="16"/>
              </w:rPr>
            </w:pPr>
            <w:r w:rsidRPr="005D0210">
              <w:rPr>
                <w:rFonts w:cs="Calibri"/>
                <w:iCs/>
                <w:sz w:val="16"/>
                <w:szCs w:val="16"/>
              </w:rPr>
              <w:t>The positive association between past</w:t>
            </w:r>
            <w:r w:rsidRPr="005D0210">
              <w:rPr>
                <w:rFonts w:cs="Calibri"/>
                <w:iCs/>
                <w:sz w:val="16"/>
                <w:szCs w:val="16"/>
              </w:rPr>
              <w:noBreakHyphen/>
              <w:t>year smoking reduction and cessation and current NTM flavoured e</w:t>
            </w:r>
            <w:r w:rsidRPr="005D0210">
              <w:rPr>
                <w:rFonts w:cs="Calibri"/>
                <w:iCs/>
                <w:sz w:val="16"/>
                <w:szCs w:val="16"/>
              </w:rPr>
              <w:noBreakHyphen/>
              <w:t>cigarette use may be explained by young adults’ escalated e</w:t>
            </w:r>
            <w:r w:rsidRPr="005D0210">
              <w:rPr>
                <w:rFonts w:cs="Calibri"/>
                <w:iCs/>
                <w:sz w:val="16"/>
                <w:szCs w:val="16"/>
              </w:rPr>
              <w:noBreakHyphen/>
              <w:t xml:space="preserve">cigarette use with NTM flavours. </w:t>
            </w:r>
          </w:p>
        </w:tc>
      </w:tr>
      <w:tr w:rsidR="00781923" w:rsidRPr="005D0210" w14:paraId="38D307A7" w14:textId="77777777" w:rsidTr="004E728C">
        <w:trPr>
          <w:cnfStyle w:val="000000100000" w:firstRow="0" w:lastRow="0" w:firstColumn="0" w:lastColumn="0" w:oddVBand="0" w:evenVBand="0" w:oddHBand="1" w:evenHBand="0" w:firstRowFirstColumn="0" w:firstRowLastColumn="0" w:lastRowFirstColumn="0" w:lastRowLastColumn="0"/>
          <w:trHeight w:val="1814"/>
        </w:trPr>
        <w:tc>
          <w:tcPr>
            <w:cnfStyle w:val="001000000000" w:firstRow="0" w:lastRow="0" w:firstColumn="1" w:lastColumn="0" w:oddVBand="0" w:evenVBand="0" w:oddHBand="0" w:evenHBand="0" w:firstRowFirstColumn="0" w:firstRowLastColumn="0" w:lastRowFirstColumn="0" w:lastRowLastColumn="0"/>
            <w:tcW w:w="988" w:type="dxa"/>
            <w:hideMark/>
          </w:tcPr>
          <w:p w14:paraId="72002284" w14:textId="77777777" w:rsidR="00781923" w:rsidRPr="005D0210" w:rsidRDefault="00781923" w:rsidP="004E728C">
            <w:pPr>
              <w:rPr>
                <w:rFonts w:eastAsia="Times New Roman" w:cstheme="minorHAnsi"/>
                <w:sz w:val="16"/>
                <w:szCs w:val="16"/>
              </w:rPr>
            </w:pPr>
            <w:r w:rsidRPr="005D0210">
              <w:rPr>
                <w:rFonts w:eastAsia="Times New Roman" w:cstheme="minorHAnsi"/>
                <w:sz w:val="16"/>
                <w:szCs w:val="16"/>
              </w:rPr>
              <w:t>Cockburn 2018</w:t>
            </w:r>
          </w:p>
        </w:tc>
        <w:tc>
          <w:tcPr>
            <w:tcW w:w="1559" w:type="dxa"/>
            <w:hideMark/>
          </w:tcPr>
          <w:p w14:paraId="0A3903D0" w14:textId="29EA3E58"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This study measured tobacco and e</w:t>
            </w:r>
            <w:r w:rsidRPr="005D0210">
              <w:rPr>
                <w:rFonts w:eastAsia="Times New Roman" w:cstheme="minorHAnsi"/>
                <w:sz w:val="16"/>
                <w:szCs w:val="16"/>
              </w:rPr>
              <w:noBreakHyphen/>
              <w:t>cigarette use, knowledge of smoking related health effects, motivations to quit and interest in cessation aids in Indigenous Australians</w:t>
            </w:r>
            <w:r w:rsidR="00F66844">
              <w:rPr>
                <w:rFonts w:eastAsia="Times New Roman" w:cstheme="minorHAnsi"/>
                <w:sz w:val="16"/>
                <w:szCs w:val="16"/>
              </w:rPr>
              <w:t>.</w:t>
            </w:r>
          </w:p>
        </w:tc>
        <w:tc>
          <w:tcPr>
            <w:tcW w:w="850" w:type="dxa"/>
            <w:hideMark/>
          </w:tcPr>
          <w:p w14:paraId="4853FEBB"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Own survey</w:t>
            </w:r>
          </w:p>
        </w:tc>
        <w:tc>
          <w:tcPr>
            <w:tcW w:w="993" w:type="dxa"/>
            <w:hideMark/>
          </w:tcPr>
          <w:p w14:paraId="5960204D"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Southeast Queensland, Australia</w:t>
            </w:r>
          </w:p>
        </w:tc>
        <w:tc>
          <w:tcPr>
            <w:tcW w:w="992" w:type="dxa"/>
            <w:hideMark/>
          </w:tcPr>
          <w:p w14:paraId="57C4180B"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2014</w:t>
            </w:r>
            <w:r w:rsidRPr="005D0210">
              <w:rPr>
                <w:rFonts w:eastAsia="Times New Roman" w:cstheme="minorHAnsi"/>
                <w:sz w:val="16"/>
                <w:szCs w:val="16"/>
              </w:rPr>
              <w:noBreakHyphen/>
              <w:t>15</w:t>
            </w:r>
          </w:p>
        </w:tc>
        <w:tc>
          <w:tcPr>
            <w:tcW w:w="992" w:type="dxa"/>
            <w:hideMark/>
          </w:tcPr>
          <w:p w14:paraId="18DB3152"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421 [390]</w:t>
            </w:r>
          </w:p>
        </w:tc>
        <w:tc>
          <w:tcPr>
            <w:tcW w:w="1134" w:type="dxa"/>
            <w:hideMark/>
          </w:tcPr>
          <w:p w14:paraId="2BFFC9AB"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Median: 37, IQR: 21</w:t>
            </w:r>
          </w:p>
        </w:tc>
        <w:tc>
          <w:tcPr>
            <w:tcW w:w="851" w:type="dxa"/>
            <w:hideMark/>
          </w:tcPr>
          <w:p w14:paraId="0EE8656A"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59.3</w:t>
            </w:r>
          </w:p>
        </w:tc>
        <w:tc>
          <w:tcPr>
            <w:tcW w:w="1701" w:type="dxa"/>
            <w:hideMark/>
          </w:tcPr>
          <w:p w14:paraId="04874125"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iCs/>
                <w:sz w:val="16"/>
                <w:szCs w:val="16"/>
              </w:rPr>
            </w:pPr>
            <w:r w:rsidRPr="005D0210">
              <w:rPr>
                <w:rFonts w:eastAsia="Times New Roman" w:cstheme="minorHAnsi"/>
                <w:iCs/>
                <w:sz w:val="16"/>
                <w:szCs w:val="16"/>
              </w:rPr>
              <w:t>Clients of Aboriginal &amp; Torres Strait Islander Community Health Service dental clinics in Southeast Queensland (n=421) completed a brief written questionnaire while in the waiting room.</w:t>
            </w:r>
          </w:p>
        </w:tc>
        <w:tc>
          <w:tcPr>
            <w:tcW w:w="992" w:type="dxa"/>
            <w:hideMark/>
          </w:tcPr>
          <w:p w14:paraId="53DACD4E"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92.5</w:t>
            </w:r>
          </w:p>
        </w:tc>
        <w:tc>
          <w:tcPr>
            <w:tcW w:w="2302" w:type="dxa"/>
            <w:hideMark/>
          </w:tcPr>
          <w:p w14:paraId="0C031144"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iCs/>
                <w:sz w:val="16"/>
                <w:szCs w:val="16"/>
              </w:rPr>
            </w:pPr>
            <w:r w:rsidRPr="005D0210">
              <w:rPr>
                <w:rFonts w:eastAsia="Times New Roman" w:cstheme="minorHAnsi"/>
                <w:iCs/>
                <w:sz w:val="16"/>
                <w:szCs w:val="16"/>
              </w:rPr>
              <w:t>For current smokers, previously used quit methods were abrupt cessation (42%), nicotine replacement therapies (NRT; 25%), prescription medications (23%), e</w:t>
            </w:r>
            <w:r w:rsidRPr="005D0210">
              <w:rPr>
                <w:rFonts w:eastAsia="Times New Roman" w:cstheme="minorHAnsi"/>
                <w:iCs/>
                <w:sz w:val="16"/>
                <w:szCs w:val="16"/>
              </w:rPr>
              <w:noBreakHyphen/>
              <w:t>cigarettes (9%, n=17) and other methods (3%). Current smokers were most interested in cutting down (85%), abrupt cessation (75%) and free NRT (72%).</w:t>
            </w:r>
          </w:p>
        </w:tc>
        <w:tc>
          <w:tcPr>
            <w:tcW w:w="1984" w:type="dxa"/>
            <w:hideMark/>
          </w:tcPr>
          <w:p w14:paraId="6CBA0EB4"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iCs/>
                <w:sz w:val="16"/>
                <w:szCs w:val="16"/>
              </w:rPr>
            </w:pPr>
            <w:r w:rsidRPr="005D0210">
              <w:rPr>
                <w:rFonts w:eastAsia="Times New Roman" w:cstheme="minorHAnsi"/>
                <w:iCs/>
                <w:sz w:val="16"/>
                <w:szCs w:val="16"/>
              </w:rPr>
              <w:t>Our study found there was interest in accessing smoking cessation aids among the clients of this community</w:t>
            </w:r>
            <w:r w:rsidRPr="005D0210">
              <w:rPr>
                <w:rFonts w:eastAsia="Times New Roman" w:cstheme="minorHAnsi"/>
                <w:iCs/>
                <w:sz w:val="16"/>
                <w:szCs w:val="16"/>
              </w:rPr>
              <w:noBreakHyphen/>
              <w:t xml:space="preserve">controlled health clinic, particularly if provided free of charge. </w:t>
            </w:r>
          </w:p>
        </w:tc>
      </w:tr>
      <w:tr w:rsidR="00781923" w:rsidRPr="005D0210" w14:paraId="7C9408C4" w14:textId="77777777" w:rsidTr="004E728C">
        <w:trPr>
          <w:trHeight w:val="1642"/>
        </w:trPr>
        <w:tc>
          <w:tcPr>
            <w:cnfStyle w:val="001000000000" w:firstRow="0" w:lastRow="0" w:firstColumn="1" w:lastColumn="0" w:oddVBand="0" w:evenVBand="0" w:oddHBand="0" w:evenHBand="0" w:firstRowFirstColumn="0" w:firstRowLastColumn="0" w:lastRowFirstColumn="0" w:lastRowLastColumn="0"/>
            <w:tcW w:w="988" w:type="dxa"/>
            <w:hideMark/>
          </w:tcPr>
          <w:p w14:paraId="12D959AD" w14:textId="77777777" w:rsidR="00781923" w:rsidRPr="005D0210" w:rsidRDefault="00781923" w:rsidP="004E728C">
            <w:pPr>
              <w:rPr>
                <w:rFonts w:eastAsia="Times New Roman" w:cstheme="minorHAnsi"/>
                <w:sz w:val="16"/>
                <w:szCs w:val="16"/>
              </w:rPr>
            </w:pPr>
            <w:r w:rsidRPr="005D0210">
              <w:rPr>
                <w:rFonts w:eastAsia="Times New Roman" w:cstheme="minorHAnsi"/>
                <w:sz w:val="16"/>
                <w:szCs w:val="16"/>
              </w:rPr>
              <w:t>Ekanem 2017</w:t>
            </w:r>
          </w:p>
        </w:tc>
        <w:tc>
          <w:tcPr>
            <w:tcW w:w="1559" w:type="dxa"/>
            <w:hideMark/>
          </w:tcPr>
          <w:p w14:paraId="37520AAE"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iCs/>
                <w:sz w:val="16"/>
                <w:szCs w:val="16"/>
              </w:rPr>
            </w:pPr>
            <w:r w:rsidRPr="005D0210">
              <w:rPr>
                <w:rFonts w:eastAsia="Times New Roman" w:cstheme="minorHAnsi"/>
                <w:iCs/>
                <w:sz w:val="16"/>
                <w:szCs w:val="16"/>
              </w:rPr>
              <w:t>To determine the prevalence of ENDS use, the impact of ENDS use on smoking cessation, and beliefs about ENDS use in Arkansas.</w:t>
            </w:r>
          </w:p>
        </w:tc>
        <w:tc>
          <w:tcPr>
            <w:tcW w:w="850" w:type="dxa"/>
            <w:hideMark/>
          </w:tcPr>
          <w:p w14:paraId="61707DF7" w14:textId="186109F1"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Arkansas Behavioural Risk Factor Surveillance System</w:t>
            </w:r>
            <w:r w:rsidR="00F66844">
              <w:rPr>
                <w:rFonts w:eastAsia="Times New Roman" w:cstheme="minorHAnsi"/>
                <w:sz w:val="16"/>
                <w:szCs w:val="16"/>
              </w:rPr>
              <w:t>.</w:t>
            </w:r>
          </w:p>
        </w:tc>
        <w:tc>
          <w:tcPr>
            <w:tcW w:w="993" w:type="dxa"/>
            <w:hideMark/>
          </w:tcPr>
          <w:p w14:paraId="339D54E2"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Arkansas, USA</w:t>
            </w:r>
          </w:p>
        </w:tc>
        <w:tc>
          <w:tcPr>
            <w:tcW w:w="992" w:type="dxa"/>
            <w:hideMark/>
          </w:tcPr>
          <w:p w14:paraId="35CE2803"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2014</w:t>
            </w:r>
          </w:p>
        </w:tc>
        <w:tc>
          <w:tcPr>
            <w:tcW w:w="992" w:type="dxa"/>
            <w:hideMark/>
          </w:tcPr>
          <w:p w14:paraId="40E1C0A0"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1083</w:t>
            </w:r>
          </w:p>
        </w:tc>
        <w:tc>
          <w:tcPr>
            <w:tcW w:w="1134" w:type="dxa"/>
            <w:hideMark/>
          </w:tcPr>
          <w:p w14:paraId="2FA7832E"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 xml:space="preserve">Total study (n=4465): </w:t>
            </w:r>
            <w:r w:rsidRPr="005D0210">
              <w:rPr>
                <w:rFonts w:eastAsia="Times New Roman" w:cstheme="minorHAnsi"/>
                <w:sz w:val="16"/>
                <w:szCs w:val="16"/>
              </w:rPr>
              <w:br/>
              <w:t>18</w:t>
            </w:r>
            <w:r w:rsidRPr="005D0210">
              <w:rPr>
                <w:rFonts w:eastAsia="Times New Roman" w:cstheme="minorHAnsi"/>
                <w:sz w:val="16"/>
                <w:szCs w:val="16"/>
              </w:rPr>
              <w:noBreakHyphen/>
              <w:t>24: 3%</w:t>
            </w:r>
            <w:r w:rsidRPr="005D0210">
              <w:rPr>
                <w:rFonts w:eastAsia="Times New Roman" w:cstheme="minorHAnsi"/>
                <w:sz w:val="16"/>
                <w:szCs w:val="16"/>
              </w:rPr>
              <w:br/>
              <w:t>25</w:t>
            </w:r>
            <w:r w:rsidRPr="005D0210">
              <w:rPr>
                <w:rFonts w:eastAsia="Times New Roman" w:cstheme="minorHAnsi"/>
                <w:sz w:val="16"/>
                <w:szCs w:val="16"/>
              </w:rPr>
              <w:noBreakHyphen/>
              <w:t>34: 6.6%</w:t>
            </w:r>
            <w:r w:rsidRPr="005D0210">
              <w:rPr>
                <w:rFonts w:eastAsia="Times New Roman" w:cstheme="minorHAnsi"/>
                <w:sz w:val="16"/>
                <w:szCs w:val="16"/>
              </w:rPr>
              <w:br/>
              <w:t>35</w:t>
            </w:r>
            <w:r w:rsidRPr="005D0210">
              <w:rPr>
                <w:rFonts w:eastAsia="Times New Roman" w:cstheme="minorHAnsi"/>
                <w:sz w:val="16"/>
                <w:szCs w:val="16"/>
              </w:rPr>
              <w:noBreakHyphen/>
              <w:t>44: 8.4%</w:t>
            </w:r>
            <w:r w:rsidRPr="005D0210">
              <w:rPr>
                <w:rFonts w:eastAsia="Times New Roman" w:cstheme="minorHAnsi"/>
                <w:sz w:val="16"/>
                <w:szCs w:val="16"/>
              </w:rPr>
              <w:br/>
              <w:t>45</w:t>
            </w:r>
            <w:r w:rsidRPr="005D0210">
              <w:rPr>
                <w:rFonts w:eastAsia="Times New Roman" w:cstheme="minorHAnsi"/>
                <w:sz w:val="16"/>
                <w:szCs w:val="16"/>
              </w:rPr>
              <w:noBreakHyphen/>
              <w:t>54: 13.7%</w:t>
            </w:r>
            <w:r w:rsidRPr="005D0210">
              <w:rPr>
                <w:rFonts w:eastAsia="Times New Roman" w:cstheme="minorHAnsi"/>
                <w:sz w:val="16"/>
                <w:szCs w:val="16"/>
              </w:rPr>
              <w:br/>
              <w:t>55</w:t>
            </w:r>
            <w:r w:rsidRPr="005D0210">
              <w:rPr>
                <w:rFonts w:eastAsia="Times New Roman" w:cstheme="minorHAnsi"/>
                <w:sz w:val="16"/>
                <w:szCs w:val="16"/>
              </w:rPr>
              <w:noBreakHyphen/>
              <w:t>64: 22.1%</w:t>
            </w:r>
            <w:r w:rsidRPr="005D0210">
              <w:rPr>
                <w:rFonts w:eastAsia="Times New Roman" w:cstheme="minorHAnsi"/>
                <w:sz w:val="16"/>
                <w:szCs w:val="16"/>
              </w:rPr>
              <w:br/>
              <w:t>≥65: 46.1%</w:t>
            </w:r>
          </w:p>
        </w:tc>
        <w:tc>
          <w:tcPr>
            <w:tcW w:w="851" w:type="dxa"/>
            <w:hideMark/>
          </w:tcPr>
          <w:p w14:paraId="4860595F"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63.7</w:t>
            </w:r>
          </w:p>
        </w:tc>
        <w:tc>
          <w:tcPr>
            <w:tcW w:w="1701" w:type="dxa"/>
            <w:hideMark/>
          </w:tcPr>
          <w:p w14:paraId="33516D4D"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Random</w:t>
            </w:r>
            <w:r w:rsidRPr="005D0210">
              <w:rPr>
                <w:rFonts w:eastAsia="Times New Roman" w:cstheme="minorHAnsi"/>
                <w:sz w:val="16"/>
                <w:szCs w:val="16"/>
              </w:rPr>
              <w:noBreakHyphen/>
              <w:t>digital</w:t>
            </w:r>
            <w:r w:rsidRPr="005D0210">
              <w:rPr>
                <w:rFonts w:eastAsia="Times New Roman" w:cstheme="minorHAnsi"/>
                <w:sz w:val="16"/>
                <w:szCs w:val="16"/>
              </w:rPr>
              <w:noBreakHyphen/>
              <w:t>dial health survey. Included participants who were current smoking or had quit in the last 5 years.</w:t>
            </w:r>
          </w:p>
        </w:tc>
        <w:tc>
          <w:tcPr>
            <w:tcW w:w="992" w:type="dxa"/>
            <w:hideMark/>
          </w:tcPr>
          <w:p w14:paraId="55DAEA01"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NR</w:t>
            </w:r>
          </w:p>
        </w:tc>
        <w:tc>
          <w:tcPr>
            <w:tcW w:w="2302" w:type="dxa"/>
            <w:hideMark/>
          </w:tcPr>
          <w:p w14:paraId="4A5009B2"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iCs/>
                <w:sz w:val="16"/>
                <w:szCs w:val="16"/>
              </w:rPr>
            </w:pPr>
            <w:r w:rsidRPr="005D0210">
              <w:rPr>
                <w:rFonts w:eastAsia="Times New Roman" w:cstheme="minorHAnsi"/>
                <w:iCs/>
                <w:sz w:val="16"/>
                <w:szCs w:val="16"/>
              </w:rPr>
              <w:t>Of the current smokers or those who had quit smoking within the past 5 years, 515 (54.1%) had used ENDS. Of the 515 ENDS users, 404 (80.3%) had continued smoking. ENDS use was significantly associated with reduced odds of quitting smoking (weighted OR= 0.53; 95% CI, 0.34</w:t>
            </w:r>
            <w:r w:rsidRPr="005D0210">
              <w:rPr>
                <w:rFonts w:eastAsia="Times New Roman" w:cstheme="minorHAnsi"/>
                <w:iCs/>
                <w:sz w:val="16"/>
                <w:szCs w:val="16"/>
              </w:rPr>
              <w:noBreakHyphen/>
              <w:t>0.83).</w:t>
            </w:r>
          </w:p>
        </w:tc>
        <w:tc>
          <w:tcPr>
            <w:tcW w:w="1984" w:type="dxa"/>
            <w:hideMark/>
          </w:tcPr>
          <w:p w14:paraId="7B90C9A0"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iCs/>
                <w:sz w:val="16"/>
                <w:szCs w:val="16"/>
              </w:rPr>
            </w:pPr>
            <w:r w:rsidRPr="005D0210">
              <w:rPr>
                <w:rFonts w:eastAsia="Times New Roman" w:cstheme="minorHAnsi"/>
                <w:iCs/>
                <w:sz w:val="16"/>
                <w:szCs w:val="16"/>
              </w:rPr>
              <w:t xml:space="preserve">Most smokers who indicated smoking in the past 5 years and who tried ENDS did not stop smoking. ENDS use was inversely associated with smoking cessation. </w:t>
            </w:r>
          </w:p>
        </w:tc>
      </w:tr>
      <w:tr w:rsidR="00781923" w:rsidRPr="005D0210" w14:paraId="3B66F709" w14:textId="77777777" w:rsidTr="004E728C">
        <w:trPr>
          <w:cnfStyle w:val="000000100000" w:firstRow="0" w:lastRow="0" w:firstColumn="0" w:lastColumn="0" w:oddVBand="0" w:evenVBand="0" w:oddHBand="1"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988" w:type="dxa"/>
            <w:hideMark/>
          </w:tcPr>
          <w:p w14:paraId="56213AF7" w14:textId="77777777" w:rsidR="00781923" w:rsidRPr="005D0210" w:rsidRDefault="00781923" w:rsidP="004E728C">
            <w:pPr>
              <w:rPr>
                <w:rFonts w:eastAsia="Times New Roman" w:cstheme="minorHAnsi"/>
                <w:sz w:val="16"/>
                <w:szCs w:val="16"/>
              </w:rPr>
            </w:pPr>
            <w:r w:rsidRPr="005D0210">
              <w:rPr>
                <w:rFonts w:eastAsia="Times New Roman" w:cstheme="minorHAnsi"/>
                <w:sz w:val="16"/>
                <w:szCs w:val="16"/>
              </w:rPr>
              <w:t>El</w:t>
            </w:r>
            <w:r w:rsidRPr="005D0210">
              <w:rPr>
                <w:rFonts w:eastAsia="Times New Roman" w:cstheme="minorHAnsi"/>
                <w:sz w:val="16"/>
                <w:szCs w:val="16"/>
              </w:rPr>
              <w:noBreakHyphen/>
              <w:t>Khoury 2018</w:t>
            </w:r>
          </w:p>
        </w:tc>
        <w:tc>
          <w:tcPr>
            <w:tcW w:w="1559" w:type="dxa"/>
            <w:hideMark/>
          </w:tcPr>
          <w:p w14:paraId="53E007FF"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iCs/>
                <w:sz w:val="16"/>
                <w:szCs w:val="16"/>
              </w:rPr>
            </w:pPr>
            <w:r w:rsidRPr="005D0210">
              <w:rPr>
                <w:rFonts w:eastAsia="Times New Roman" w:cstheme="minorHAnsi"/>
                <w:iCs/>
                <w:sz w:val="16"/>
                <w:szCs w:val="16"/>
              </w:rPr>
              <w:t>We examine the role of tobacco use characteristics, other substance</w:t>
            </w:r>
            <w:r w:rsidRPr="005D0210">
              <w:rPr>
                <w:rFonts w:eastAsia="Times New Roman" w:cstheme="minorHAnsi"/>
                <w:iCs/>
                <w:sz w:val="16"/>
                <w:szCs w:val="16"/>
              </w:rPr>
              <w:noBreakHyphen/>
              <w:t>related factors, as well as socio</w:t>
            </w:r>
            <w:r w:rsidRPr="005D0210">
              <w:rPr>
                <w:rFonts w:eastAsia="Times New Roman" w:cstheme="minorHAnsi"/>
                <w:iCs/>
                <w:sz w:val="16"/>
                <w:szCs w:val="16"/>
              </w:rPr>
              <w:noBreakHyphen/>
              <w:t>demographic characteristics in relation to successful and unsuccessful smoking cessation.</w:t>
            </w:r>
          </w:p>
        </w:tc>
        <w:tc>
          <w:tcPr>
            <w:tcW w:w="850" w:type="dxa"/>
            <w:hideMark/>
          </w:tcPr>
          <w:p w14:paraId="549F9B8D"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DePICT (Description des Perceptions, Images, et Comportements liés au Tabagisme)</w:t>
            </w:r>
          </w:p>
        </w:tc>
        <w:tc>
          <w:tcPr>
            <w:tcW w:w="993" w:type="dxa"/>
            <w:hideMark/>
          </w:tcPr>
          <w:p w14:paraId="0A1F48DE"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France</w:t>
            </w:r>
          </w:p>
        </w:tc>
        <w:tc>
          <w:tcPr>
            <w:tcW w:w="992" w:type="dxa"/>
            <w:hideMark/>
          </w:tcPr>
          <w:p w14:paraId="6D3B1B8D"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2016</w:t>
            </w:r>
          </w:p>
        </w:tc>
        <w:tc>
          <w:tcPr>
            <w:tcW w:w="992" w:type="dxa"/>
            <w:hideMark/>
          </w:tcPr>
          <w:p w14:paraId="0F9CE530"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2110</w:t>
            </w:r>
          </w:p>
        </w:tc>
        <w:tc>
          <w:tcPr>
            <w:tcW w:w="1134" w:type="dxa"/>
            <w:hideMark/>
          </w:tcPr>
          <w:p w14:paraId="11112ABF"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NR</w:t>
            </w:r>
          </w:p>
        </w:tc>
        <w:tc>
          <w:tcPr>
            <w:tcW w:w="851" w:type="dxa"/>
            <w:hideMark/>
          </w:tcPr>
          <w:p w14:paraId="5AA19FBA"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NR</w:t>
            </w:r>
          </w:p>
        </w:tc>
        <w:tc>
          <w:tcPr>
            <w:tcW w:w="1701" w:type="dxa"/>
            <w:hideMark/>
          </w:tcPr>
          <w:p w14:paraId="05798135"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 xml:space="preserve">Randomly generated telephone lists. </w:t>
            </w:r>
          </w:p>
        </w:tc>
        <w:tc>
          <w:tcPr>
            <w:tcW w:w="992" w:type="dxa"/>
            <w:hideMark/>
          </w:tcPr>
          <w:p w14:paraId="215E918B"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~67%</w:t>
            </w:r>
          </w:p>
        </w:tc>
        <w:tc>
          <w:tcPr>
            <w:tcW w:w="2302" w:type="dxa"/>
            <w:hideMark/>
          </w:tcPr>
          <w:p w14:paraId="44023951"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iCs/>
                <w:sz w:val="16"/>
                <w:szCs w:val="16"/>
              </w:rPr>
            </w:pPr>
            <w:r w:rsidRPr="005D0210">
              <w:rPr>
                <w:rFonts w:eastAsia="Times New Roman" w:cstheme="minorHAnsi"/>
                <w:iCs/>
                <w:sz w:val="16"/>
                <w:szCs w:val="16"/>
              </w:rPr>
              <w:t>...substance use factors associated with a higher likelihood of successful smoking cessation, as compared with no attempt to quit smoking, included characteristics of tobacco and other substance use: smoking&gt; 19 cigarettes per day, no lifetime use of e</w:t>
            </w:r>
            <w:r w:rsidRPr="005D0210">
              <w:rPr>
                <w:rFonts w:eastAsia="Times New Roman" w:cstheme="minorHAnsi"/>
                <w:iCs/>
                <w:sz w:val="16"/>
                <w:szCs w:val="16"/>
              </w:rPr>
              <w:noBreakHyphen/>
              <w:t xml:space="preserve">cigarettes (OR=6.05, 95% CI, 462–7.92), no lifetime use of nicotine replacement products, </w:t>
            </w:r>
            <w:r w:rsidRPr="005D0210">
              <w:rPr>
                <w:rFonts w:eastAsia="Times New Roman" w:cstheme="minorHAnsi"/>
                <w:iCs/>
                <w:sz w:val="16"/>
                <w:szCs w:val="16"/>
              </w:rPr>
              <w:lastRenderedPageBreak/>
              <w:t>no exposure to environmental tobacco, and no cannabis use.</w:t>
            </w:r>
          </w:p>
        </w:tc>
        <w:tc>
          <w:tcPr>
            <w:tcW w:w="1984" w:type="dxa"/>
            <w:hideMark/>
          </w:tcPr>
          <w:p w14:paraId="245DBEA1"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iCs/>
                <w:sz w:val="16"/>
                <w:szCs w:val="16"/>
              </w:rPr>
            </w:pPr>
            <w:r w:rsidRPr="005D0210">
              <w:rPr>
                <w:rFonts w:eastAsia="Times New Roman" w:cstheme="minorHAnsi"/>
                <w:iCs/>
                <w:sz w:val="16"/>
                <w:szCs w:val="16"/>
              </w:rPr>
              <w:lastRenderedPageBreak/>
              <w:t>Our data also suggest that e</w:t>
            </w:r>
            <w:r w:rsidRPr="005D0210">
              <w:rPr>
                <w:rFonts w:eastAsia="Times New Roman" w:cstheme="minorHAnsi"/>
                <w:iCs/>
                <w:sz w:val="16"/>
                <w:szCs w:val="16"/>
              </w:rPr>
              <w:noBreakHyphen/>
              <w:t>cigarette use is associated with unsuccessful rather than successful smoking cessation, which should be verified in additional, longitudinal, studies.</w:t>
            </w:r>
          </w:p>
        </w:tc>
      </w:tr>
      <w:tr w:rsidR="00781923" w:rsidRPr="005D0210" w14:paraId="27F34D32" w14:textId="77777777" w:rsidTr="004E728C">
        <w:trPr>
          <w:trHeight w:val="1690"/>
        </w:trPr>
        <w:tc>
          <w:tcPr>
            <w:cnfStyle w:val="001000000000" w:firstRow="0" w:lastRow="0" w:firstColumn="1" w:lastColumn="0" w:oddVBand="0" w:evenVBand="0" w:oddHBand="0" w:evenHBand="0" w:firstRowFirstColumn="0" w:firstRowLastColumn="0" w:lastRowFirstColumn="0" w:lastRowLastColumn="0"/>
            <w:tcW w:w="988" w:type="dxa"/>
          </w:tcPr>
          <w:p w14:paraId="781FF839" w14:textId="77777777" w:rsidR="00781923" w:rsidRPr="005D0210" w:rsidRDefault="00781923" w:rsidP="004E728C">
            <w:pPr>
              <w:rPr>
                <w:rFonts w:eastAsia="Times New Roman" w:cstheme="minorHAnsi"/>
                <w:sz w:val="16"/>
                <w:szCs w:val="16"/>
              </w:rPr>
            </w:pPr>
            <w:r w:rsidRPr="005D0210">
              <w:rPr>
                <w:rFonts w:cs="Calibri"/>
                <w:sz w:val="16"/>
                <w:szCs w:val="16"/>
              </w:rPr>
              <w:t>Filipidis 2018</w:t>
            </w:r>
          </w:p>
        </w:tc>
        <w:tc>
          <w:tcPr>
            <w:tcW w:w="1559" w:type="dxa"/>
          </w:tcPr>
          <w:p w14:paraId="7D828862"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iCs/>
                <w:sz w:val="16"/>
                <w:szCs w:val="16"/>
              </w:rPr>
            </w:pPr>
            <w:r w:rsidRPr="005D0210">
              <w:rPr>
                <w:rFonts w:cs="Calibri"/>
                <w:iCs/>
                <w:sz w:val="16"/>
                <w:szCs w:val="16"/>
              </w:rPr>
              <w:t>To identify changes in use of smoking cessation assistance in the European Union (EU) and factors associated with use of cessation assistance.</w:t>
            </w:r>
          </w:p>
        </w:tc>
        <w:tc>
          <w:tcPr>
            <w:tcW w:w="850" w:type="dxa"/>
          </w:tcPr>
          <w:p w14:paraId="13B7042D"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5D0210">
              <w:rPr>
                <w:rFonts w:cs="Calibri"/>
                <w:sz w:val="16"/>
                <w:szCs w:val="16"/>
              </w:rPr>
              <w:t>Eurobarometer 2012, 2017</w:t>
            </w:r>
          </w:p>
        </w:tc>
        <w:tc>
          <w:tcPr>
            <w:tcW w:w="993" w:type="dxa"/>
          </w:tcPr>
          <w:p w14:paraId="6F27ED77"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5D0210">
              <w:rPr>
                <w:rFonts w:cs="Calibri"/>
                <w:sz w:val="16"/>
                <w:szCs w:val="16"/>
              </w:rPr>
              <w:t>Europe</w:t>
            </w:r>
          </w:p>
        </w:tc>
        <w:tc>
          <w:tcPr>
            <w:tcW w:w="992" w:type="dxa"/>
          </w:tcPr>
          <w:p w14:paraId="69CDD421"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5D0210">
              <w:rPr>
                <w:rFonts w:cs="Calibri"/>
                <w:sz w:val="16"/>
                <w:szCs w:val="16"/>
              </w:rPr>
              <w:t>2012, 2017</w:t>
            </w:r>
          </w:p>
        </w:tc>
        <w:tc>
          <w:tcPr>
            <w:tcW w:w="992" w:type="dxa"/>
          </w:tcPr>
          <w:p w14:paraId="184FF764"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5D0210">
              <w:rPr>
                <w:rFonts w:cs="Calibri"/>
                <w:sz w:val="16"/>
                <w:szCs w:val="16"/>
              </w:rPr>
              <w:t>2012: 9921</w:t>
            </w:r>
            <w:r w:rsidRPr="005D0210">
              <w:rPr>
                <w:rFonts w:cs="Calibri"/>
                <w:sz w:val="16"/>
                <w:szCs w:val="16"/>
              </w:rPr>
              <w:br/>
              <w:t>2017: 9489</w:t>
            </w:r>
          </w:p>
        </w:tc>
        <w:tc>
          <w:tcPr>
            <w:tcW w:w="1134" w:type="dxa"/>
          </w:tcPr>
          <w:p w14:paraId="4ED28567"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5D0210">
              <w:rPr>
                <w:rFonts w:cs="Calibri"/>
                <w:sz w:val="16"/>
                <w:szCs w:val="16"/>
              </w:rPr>
              <w:t>&gt;15 years</w:t>
            </w:r>
          </w:p>
        </w:tc>
        <w:tc>
          <w:tcPr>
            <w:tcW w:w="851" w:type="dxa"/>
          </w:tcPr>
          <w:p w14:paraId="7D54A498"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5D0210">
              <w:rPr>
                <w:rFonts w:cs="Calibri"/>
                <w:sz w:val="16"/>
                <w:szCs w:val="16"/>
              </w:rPr>
              <w:t>NR</w:t>
            </w:r>
          </w:p>
        </w:tc>
        <w:tc>
          <w:tcPr>
            <w:tcW w:w="1701" w:type="dxa"/>
          </w:tcPr>
          <w:p w14:paraId="333B55CD"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5D0210">
              <w:rPr>
                <w:rFonts w:cs="Calibri"/>
                <w:sz w:val="16"/>
                <w:szCs w:val="16"/>
              </w:rPr>
              <w:t xml:space="preserve">Multistage probability sample of European countries. </w:t>
            </w:r>
          </w:p>
        </w:tc>
        <w:tc>
          <w:tcPr>
            <w:tcW w:w="992" w:type="dxa"/>
          </w:tcPr>
          <w:p w14:paraId="0657799C"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5D0210">
              <w:rPr>
                <w:rFonts w:cs="Calibri"/>
                <w:sz w:val="16"/>
                <w:szCs w:val="16"/>
              </w:rPr>
              <w:t>NR</w:t>
            </w:r>
          </w:p>
        </w:tc>
        <w:tc>
          <w:tcPr>
            <w:tcW w:w="2302" w:type="dxa"/>
          </w:tcPr>
          <w:p w14:paraId="64E10ADE"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iCs/>
                <w:sz w:val="16"/>
                <w:szCs w:val="16"/>
              </w:rPr>
            </w:pPr>
            <w:r w:rsidRPr="005D0210">
              <w:rPr>
                <w:rFonts w:cs="Calibri"/>
                <w:sz w:val="16"/>
                <w:szCs w:val="16"/>
              </w:rPr>
              <w:t>Researchers adjusted for socio</w:t>
            </w:r>
            <w:r w:rsidRPr="005D0210">
              <w:rPr>
                <w:rFonts w:cs="Calibri"/>
                <w:sz w:val="16"/>
                <w:szCs w:val="16"/>
              </w:rPr>
              <w:noBreakHyphen/>
              <w:t xml:space="preserve">demographic characteristics. </w:t>
            </w:r>
            <w:r w:rsidRPr="005D0210">
              <w:rPr>
                <w:rFonts w:cs="Calibri"/>
                <w:iCs/>
                <w:sz w:val="16"/>
                <w:szCs w:val="16"/>
              </w:rPr>
              <w:t>The use of any self</w:t>
            </w:r>
            <w:r w:rsidRPr="005D0210">
              <w:rPr>
                <w:rFonts w:cs="Calibri"/>
                <w:iCs/>
                <w:sz w:val="16"/>
                <w:szCs w:val="16"/>
              </w:rPr>
              <w:noBreakHyphen/>
              <w:t>reported smoking cessation assistance decreased in the EU between 2012 and 2017.</w:t>
            </w:r>
          </w:p>
        </w:tc>
        <w:tc>
          <w:tcPr>
            <w:tcW w:w="1984" w:type="dxa"/>
          </w:tcPr>
          <w:p w14:paraId="286AE581"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iCs/>
                <w:sz w:val="16"/>
                <w:szCs w:val="16"/>
              </w:rPr>
            </w:pPr>
            <w:r w:rsidRPr="005D0210">
              <w:rPr>
                <w:rFonts w:cs="Calibri"/>
                <w:iCs/>
                <w:sz w:val="16"/>
                <w:szCs w:val="16"/>
              </w:rPr>
              <w:t>The use of established aids such as pharmacotherapy have become less popular, while e</w:t>
            </w:r>
            <w:r w:rsidRPr="005D0210">
              <w:rPr>
                <w:rFonts w:cs="Calibri"/>
                <w:iCs/>
                <w:sz w:val="16"/>
                <w:szCs w:val="16"/>
              </w:rPr>
              <w:noBreakHyphen/>
              <w:t>cigarettes as a potential cessation or switching method has grown between 2012 and 2017.</w:t>
            </w:r>
          </w:p>
        </w:tc>
      </w:tr>
      <w:tr w:rsidR="00781923" w:rsidRPr="005D0210" w14:paraId="03521C6D" w14:textId="77777777" w:rsidTr="004E728C">
        <w:trPr>
          <w:cnfStyle w:val="000000100000" w:firstRow="0" w:lastRow="0" w:firstColumn="0" w:lastColumn="0" w:oddVBand="0" w:evenVBand="0" w:oddHBand="1" w:evenHBand="0" w:firstRowFirstColumn="0" w:firstRowLastColumn="0" w:lastRowFirstColumn="0" w:lastRowLastColumn="0"/>
          <w:trHeight w:val="3345"/>
        </w:trPr>
        <w:tc>
          <w:tcPr>
            <w:cnfStyle w:val="001000000000" w:firstRow="0" w:lastRow="0" w:firstColumn="1" w:lastColumn="0" w:oddVBand="0" w:evenVBand="0" w:oddHBand="0" w:evenHBand="0" w:firstRowFirstColumn="0" w:firstRowLastColumn="0" w:lastRowFirstColumn="0" w:lastRowLastColumn="0"/>
            <w:tcW w:w="988" w:type="dxa"/>
            <w:hideMark/>
          </w:tcPr>
          <w:p w14:paraId="3BE54E02" w14:textId="77777777" w:rsidR="00781923" w:rsidRPr="005D0210" w:rsidRDefault="00781923" w:rsidP="004E728C">
            <w:pPr>
              <w:rPr>
                <w:rFonts w:eastAsia="Times New Roman" w:cstheme="minorHAnsi"/>
                <w:sz w:val="16"/>
                <w:szCs w:val="16"/>
              </w:rPr>
            </w:pPr>
            <w:r w:rsidRPr="005D0210">
              <w:rPr>
                <w:rFonts w:eastAsia="Times New Roman" w:cstheme="minorHAnsi"/>
                <w:sz w:val="16"/>
                <w:szCs w:val="16"/>
              </w:rPr>
              <w:t>Giovenco 2018</w:t>
            </w:r>
          </w:p>
        </w:tc>
        <w:tc>
          <w:tcPr>
            <w:tcW w:w="1559" w:type="dxa"/>
            <w:hideMark/>
          </w:tcPr>
          <w:p w14:paraId="66EE6A35"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iCs/>
                <w:sz w:val="16"/>
                <w:szCs w:val="16"/>
              </w:rPr>
            </w:pPr>
            <w:r w:rsidRPr="005D0210">
              <w:rPr>
                <w:rFonts w:eastAsia="Times New Roman" w:cstheme="minorHAnsi"/>
                <w:iCs/>
                <w:sz w:val="16"/>
                <w:szCs w:val="16"/>
              </w:rPr>
              <w:t>To describe patterns of e</w:t>
            </w:r>
            <w:r w:rsidRPr="005D0210">
              <w:rPr>
                <w:rFonts w:eastAsia="Times New Roman" w:cstheme="minorHAnsi"/>
                <w:iCs/>
                <w:sz w:val="16"/>
                <w:szCs w:val="16"/>
              </w:rPr>
              <w:noBreakHyphen/>
              <w:t>cigarette use between smokers who have quit and those who are currently smoking, and examine e</w:t>
            </w:r>
            <w:r w:rsidRPr="005D0210">
              <w:rPr>
                <w:rFonts w:eastAsia="Times New Roman" w:cstheme="minorHAnsi"/>
                <w:iCs/>
                <w:sz w:val="16"/>
                <w:szCs w:val="16"/>
              </w:rPr>
              <w:noBreakHyphen/>
              <w:t>cigarette use as an independent correlate of population smoking cessation after controlling for other factors known to predict quitting.</w:t>
            </w:r>
          </w:p>
        </w:tc>
        <w:tc>
          <w:tcPr>
            <w:tcW w:w="850" w:type="dxa"/>
            <w:hideMark/>
          </w:tcPr>
          <w:p w14:paraId="636D5808"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NHIS</w:t>
            </w:r>
          </w:p>
        </w:tc>
        <w:tc>
          <w:tcPr>
            <w:tcW w:w="993" w:type="dxa"/>
            <w:hideMark/>
          </w:tcPr>
          <w:p w14:paraId="74D71082"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USA</w:t>
            </w:r>
          </w:p>
        </w:tc>
        <w:tc>
          <w:tcPr>
            <w:tcW w:w="992" w:type="dxa"/>
            <w:hideMark/>
          </w:tcPr>
          <w:p w14:paraId="79A130C0"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2014</w:t>
            </w:r>
            <w:r w:rsidRPr="005D0210">
              <w:rPr>
                <w:rFonts w:eastAsia="Times New Roman" w:cstheme="minorHAnsi"/>
                <w:sz w:val="16"/>
                <w:szCs w:val="16"/>
              </w:rPr>
              <w:noBreakHyphen/>
              <w:t>2015</w:t>
            </w:r>
          </w:p>
        </w:tc>
        <w:tc>
          <w:tcPr>
            <w:tcW w:w="992" w:type="dxa"/>
            <w:hideMark/>
          </w:tcPr>
          <w:p w14:paraId="37D83AC0"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15532</w:t>
            </w:r>
          </w:p>
        </w:tc>
        <w:tc>
          <w:tcPr>
            <w:tcW w:w="1134" w:type="dxa"/>
            <w:hideMark/>
          </w:tcPr>
          <w:p w14:paraId="7D529B1B"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18</w:t>
            </w:r>
            <w:r w:rsidRPr="005D0210">
              <w:rPr>
                <w:rFonts w:eastAsia="Times New Roman" w:cstheme="minorHAnsi"/>
                <w:sz w:val="16"/>
                <w:szCs w:val="16"/>
              </w:rPr>
              <w:noBreakHyphen/>
              <w:t>24: 11.8%</w:t>
            </w:r>
            <w:r w:rsidRPr="005D0210">
              <w:rPr>
                <w:rFonts w:eastAsia="Times New Roman" w:cstheme="minorHAnsi"/>
                <w:sz w:val="16"/>
                <w:szCs w:val="16"/>
              </w:rPr>
              <w:br/>
              <w:t>25</w:t>
            </w:r>
            <w:r w:rsidRPr="005D0210">
              <w:rPr>
                <w:rFonts w:eastAsia="Times New Roman" w:cstheme="minorHAnsi"/>
                <w:sz w:val="16"/>
                <w:szCs w:val="16"/>
              </w:rPr>
              <w:noBreakHyphen/>
              <w:t>34: 22.8%</w:t>
            </w:r>
            <w:r w:rsidRPr="005D0210">
              <w:rPr>
                <w:rFonts w:eastAsia="Times New Roman" w:cstheme="minorHAnsi"/>
                <w:sz w:val="16"/>
                <w:szCs w:val="16"/>
              </w:rPr>
              <w:br/>
              <w:t>35</w:t>
            </w:r>
            <w:r w:rsidRPr="005D0210">
              <w:rPr>
                <w:rFonts w:eastAsia="Times New Roman" w:cstheme="minorHAnsi"/>
                <w:sz w:val="16"/>
                <w:szCs w:val="16"/>
              </w:rPr>
              <w:noBreakHyphen/>
              <w:t>44: 19.2%</w:t>
            </w:r>
            <w:r w:rsidRPr="005D0210">
              <w:rPr>
                <w:rFonts w:eastAsia="Times New Roman" w:cstheme="minorHAnsi"/>
                <w:sz w:val="16"/>
                <w:szCs w:val="16"/>
              </w:rPr>
              <w:br/>
              <w:t>45</w:t>
            </w:r>
            <w:r w:rsidRPr="005D0210">
              <w:rPr>
                <w:rFonts w:eastAsia="Times New Roman" w:cstheme="minorHAnsi"/>
                <w:sz w:val="16"/>
                <w:szCs w:val="16"/>
              </w:rPr>
              <w:noBreakHyphen/>
              <w:t>64: 36.1%</w:t>
            </w:r>
            <w:r w:rsidRPr="005D0210">
              <w:rPr>
                <w:rFonts w:eastAsia="Times New Roman" w:cstheme="minorHAnsi"/>
                <w:sz w:val="16"/>
                <w:szCs w:val="16"/>
              </w:rPr>
              <w:br/>
              <w:t>65+: 10.2%</w:t>
            </w:r>
          </w:p>
        </w:tc>
        <w:tc>
          <w:tcPr>
            <w:tcW w:w="851" w:type="dxa"/>
            <w:hideMark/>
          </w:tcPr>
          <w:p w14:paraId="65156653"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46.40%</w:t>
            </w:r>
          </w:p>
        </w:tc>
        <w:tc>
          <w:tcPr>
            <w:tcW w:w="1701" w:type="dxa"/>
            <w:hideMark/>
          </w:tcPr>
          <w:p w14:paraId="01036063"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Complex, multistage probability design.</w:t>
            </w:r>
          </w:p>
        </w:tc>
        <w:tc>
          <w:tcPr>
            <w:tcW w:w="992" w:type="dxa"/>
            <w:hideMark/>
          </w:tcPr>
          <w:p w14:paraId="79956E75"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NR</w:t>
            </w:r>
          </w:p>
        </w:tc>
        <w:tc>
          <w:tcPr>
            <w:tcW w:w="2302" w:type="dxa"/>
            <w:hideMark/>
          </w:tcPr>
          <w:p w14:paraId="74BB7D0E"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iCs/>
                <w:sz w:val="16"/>
                <w:szCs w:val="16"/>
              </w:rPr>
            </w:pPr>
            <w:r w:rsidRPr="005D0210">
              <w:rPr>
                <w:rFonts w:eastAsia="Times New Roman" w:cstheme="minorHAnsi"/>
                <w:iCs/>
                <w:sz w:val="16"/>
                <w:szCs w:val="16"/>
              </w:rPr>
              <w:t>The prevalence of being quit was significantly higher among daily e</w:t>
            </w:r>
            <w:r w:rsidRPr="005D0210">
              <w:rPr>
                <w:rFonts w:eastAsia="Times New Roman" w:cstheme="minorHAnsi"/>
                <w:iCs/>
                <w:sz w:val="16"/>
                <w:szCs w:val="16"/>
              </w:rPr>
              <w:noBreakHyphen/>
              <w:t>cigarette users compared to those who had never used e</w:t>
            </w:r>
            <w:r w:rsidRPr="005D0210">
              <w:rPr>
                <w:rFonts w:eastAsia="Times New Roman" w:cstheme="minorHAnsi"/>
                <w:iCs/>
                <w:sz w:val="16"/>
                <w:szCs w:val="16"/>
              </w:rPr>
              <w:noBreakHyphen/>
              <w:t>cigarettes [52.2% vs. 28.2%, aPR: 3.15 (2.66, 3.73)]… Relationships held even after accounting for making a quit attempt and use of other tobacco products. Notably, over half of daily e</w:t>
            </w:r>
            <w:r w:rsidRPr="005D0210">
              <w:rPr>
                <w:rFonts w:eastAsia="Times New Roman" w:cstheme="minorHAnsi"/>
                <w:iCs/>
                <w:sz w:val="16"/>
                <w:szCs w:val="16"/>
              </w:rPr>
              <w:noBreakHyphen/>
              <w:t>cigarette users (52.2%) quit smoking in the last 5 years, a higher prevalence than any other demographic or behavioural subgroup. Across all four sample restrictions, daily e</w:t>
            </w:r>
            <w:r w:rsidRPr="005D0210">
              <w:rPr>
                <w:rFonts w:eastAsia="Times New Roman" w:cstheme="minorHAnsi"/>
                <w:iCs/>
                <w:sz w:val="16"/>
                <w:szCs w:val="16"/>
              </w:rPr>
              <w:noBreakHyphen/>
              <w:t>cigarette use was consistently the strongest independent correlate of smoking cessation.</w:t>
            </w:r>
          </w:p>
        </w:tc>
        <w:tc>
          <w:tcPr>
            <w:tcW w:w="1984" w:type="dxa"/>
            <w:hideMark/>
          </w:tcPr>
          <w:p w14:paraId="57B985E2"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iCs/>
                <w:sz w:val="16"/>
                <w:szCs w:val="16"/>
              </w:rPr>
            </w:pPr>
            <w:r w:rsidRPr="005D0210">
              <w:rPr>
                <w:rFonts w:eastAsia="Times New Roman" w:cstheme="minorHAnsi"/>
                <w:iCs/>
                <w:sz w:val="16"/>
                <w:szCs w:val="16"/>
              </w:rPr>
              <w:t>Among those with a recent history of smoking, daily e</w:t>
            </w:r>
            <w:r w:rsidRPr="005D0210">
              <w:rPr>
                <w:rFonts w:eastAsia="Times New Roman" w:cstheme="minorHAnsi"/>
                <w:iCs/>
                <w:sz w:val="16"/>
                <w:szCs w:val="16"/>
              </w:rPr>
              <w:noBreakHyphen/>
              <w:t>cigarette use was the strongest correlate of being quit at the time of the survey, suggesting that some smokers may have quit with frequent e</w:t>
            </w:r>
            <w:r w:rsidRPr="005D0210">
              <w:rPr>
                <w:rFonts w:eastAsia="Times New Roman" w:cstheme="minorHAnsi"/>
                <w:iCs/>
                <w:sz w:val="16"/>
                <w:szCs w:val="16"/>
              </w:rPr>
              <w:noBreakHyphen/>
              <w:t xml:space="preserve">cigarette use or are using the products regularly to prevent smoking relapse. </w:t>
            </w:r>
          </w:p>
        </w:tc>
      </w:tr>
      <w:tr w:rsidR="00781923" w:rsidRPr="005D0210" w14:paraId="1972FBE8" w14:textId="77777777" w:rsidTr="004E728C">
        <w:trPr>
          <w:trHeight w:val="273"/>
        </w:trPr>
        <w:tc>
          <w:tcPr>
            <w:cnfStyle w:val="001000000000" w:firstRow="0" w:lastRow="0" w:firstColumn="1" w:lastColumn="0" w:oddVBand="0" w:evenVBand="0" w:oddHBand="0" w:evenHBand="0" w:firstRowFirstColumn="0" w:firstRowLastColumn="0" w:lastRowFirstColumn="0" w:lastRowLastColumn="0"/>
            <w:tcW w:w="988" w:type="dxa"/>
            <w:hideMark/>
          </w:tcPr>
          <w:p w14:paraId="0019359A" w14:textId="77777777" w:rsidR="00781923" w:rsidRPr="005D0210" w:rsidRDefault="00781923" w:rsidP="004E728C">
            <w:pPr>
              <w:rPr>
                <w:rFonts w:eastAsia="Times New Roman" w:cstheme="minorHAnsi"/>
                <w:sz w:val="16"/>
                <w:szCs w:val="16"/>
              </w:rPr>
            </w:pPr>
            <w:r w:rsidRPr="005D0210">
              <w:rPr>
                <w:rFonts w:eastAsia="Times New Roman" w:cstheme="minorHAnsi"/>
                <w:sz w:val="16"/>
                <w:szCs w:val="16"/>
              </w:rPr>
              <w:t>Gorini 2017</w:t>
            </w:r>
          </w:p>
        </w:tc>
        <w:tc>
          <w:tcPr>
            <w:tcW w:w="1559" w:type="dxa"/>
            <w:hideMark/>
          </w:tcPr>
          <w:p w14:paraId="622A0AAB"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iCs/>
                <w:sz w:val="16"/>
                <w:szCs w:val="16"/>
              </w:rPr>
            </w:pPr>
            <w:r w:rsidRPr="005D0210">
              <w:rPr>
                <w:rFonts w:eastAsia="Times New Roman" w:cstheme="minorHAnsi"/>
                <w:iCs/>
                <w:sz w:val="16"/>
                <w:szCs w:val="16"/>
              </w:rPr>
              <w:t>This study explored e</w:t>
            </w:r>
            <w:r w:rsidRPr="005D0210">
              <w:rPr>
                <w:rFonts w:eastAsia="Times New Roman" w:cstheme="minorHAnsi"/>
                <w:iCs/>
                <w:sz w:val="16"/>
                <w:szCs w:val="16"/>
              </w:rPr>
              <w:noBreakHyphen/>
              <w:t>cigarette use as an aid to quit smoking and compared abstinence rates for different quitting methods.</w:t>
            </w:r>
          </w:p>
        </w:tc>
        <w:tc>
          <w:tcPr>
            <w:tcW w:w="850" w:type="dxa"/>
            <w:hideMark/>
          </w:tcPr>
          <w:p w14:paraId="01E83C07"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PASSI</w:t>
            </w:r>
          </w:p>
        </w:tc>
        <w:tc>
          <w:tcPr>
            <w:tcW w:w="993" w:type="dxa"/>
            <w:hideMark/>
          </w:tcPr>
          <w:p w14:paraId="45538F64"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Italy</w:t>
            </w:r>
          </w:p>
        </w:tc>
        <w:tc>
          <w:tcPr>
            <w:tcW w:w="992" w:type="dxa"/>
            <w:hideMark/>
          </w:tcPr>
          <w:p w14:paraId="31B0C7AC"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2014</w:t>
            </w:r>
            <w:r w:rsidRPr="005D0210">
              <w:rPr>
                <w:rFonts w:eastAsia="Times New Roman" w:cstheme="minorHAnsi"/>
                <w:sz w:val="16"/>
                <w:szCs w:val="16"/>
              </w:rPr>
              <w:noBreakHyphen/>
              <w:t>2015</w:t>
            </w:r>
          </w:p>
        </w:tc>
        <w:tc>
          <w:tcPr>
            <w:tcW w:w="992" w:type="dxa"/>
            <w:hideMark/>
          </w:tcPr>
          <w:p w14:paraId="65E8E1E1"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6112</w:t>
            </w:r>
          </w:p>
        </w:tc>
        <w:tc>
          <w:tcPr>
            <w:tcW w:w="1134" w:type="dxa"/>
            <w:hideMark/>
          </w:tcPr>
          <w:p w14:paraId="322E711F"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18</w:t>
            </w:r>
            <w:r w:rsidRPr="005D0210">
              <w:rPr>
                <w:rFonts w:eastAsia="Times New Roman" w:cstheme="minorHAnsi"/>
                <w:sz w:val="16"/>
                <w:szCs w:val="16"/>
              </w:rPr>
              <w:noBreakHyphen/>
              <w:t>34: 36%</w:t>
            </w:r>
            <w:r w:rsidRPr="005D0210">
              <w:rPr>
                <w:rFonts w:eastAsia="Times New Roman" w:cstheme="minorHAnsi"/>
                <w:sz w:val="16"/>
                <w:szCs w:val="16"/>
              </w:rPr>
              <w:br/>
              <w:t>35</w:t>
            </w:r>
            <w:r w:rsidRPr="005D0210">
              <w:rPr>
                <w:rFonts w:eastAsia="Times New Roman" w:cstheme="minorHAnsi"/>
                <w:sz w:val="16"/>
                <w:szCs w:val="16"/>
              </w:rPr>
              <w:noBreakHyphen/>
              <w:t>49: 35%</w:t>
            </w:r>
            <w:r w:rsidRPr="005D0210">
              <w:rPr>
                <w:rFonts w:eastAsia="Times New Roman" w:cstheme="minorHAnsi"/>
                <w:sz w:val="16"/>
                <w:szCs w:val="16"/>
              </w:rPr>
              <w:br/>
              <w:t>50</w:t>
            </w:r>
            <w:r w:rsidRPr="005D0210">
              <w:rPr>
                <w:rFonts w:eastAsia="Times New Roman" w:cstheme="minorHAnsi"/>
                <w:sz w:val="16"/>
                <w:szCs w:val="16"/>
              </w:rPr>
              <w:noBreakHyphen/>
              <w:t>69: 29%</w:t>
            </w:r>
          </w:p>
        </w:tc>
        <w:tc>
          <w:tcPr>
            <w:tcW w:w="851" w:type="dxa"/>
            <w:hideMark/>
          </w:tcPr>
          <w:p w14:paraId="3AB679D2"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43.9</w:t>
            </w:r>
          </w:p>
        </w:tc>
        <w:tc>
          <w:tcPr>
            <w:tcW w:w="1701" w:type="dxa"/>
            <w:hideMark/>
          </w:tcPr>
          <w:p w14:paraId="056C32AD"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iCs/>
                <w:sz w:val="16"/>
                <w:szCs w:val="16"/>
              </w:rPr>
            </w:pPr>
            <w:r w:rsidRPr="005D0210">
              <w:rPr>
                <w:rFonts w:eastAsia="Times New Roman" w:cstheme="minorHAnsi"/>
                <w:iCs/>
                <w:sz w:val="16"/>
                <w:szCs w:val="16"/>
              </w:rPr>
              <w:t>Randomly sampled residents with an available telephone number and capable of being interviewed. Stratified to represent population. Included adults who smoked and made at least one quit attempt in the previous 12 months.</w:t>
            </w:r>
          </w:p>
        </w:tc>
        <w:tc>
          <w:tcPr>
            <w:tcW w:w="992" w:type="dxa"/>
            <w:hideMark/>
          </w:tcPr>
          <w:p w14:paraId="22E0D1F8"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83% 2014; 82% 2015</w:t>
            </w:r>
          </w:p>
        </w:tc>
        <w:tc>
          <w:tcPr>
            <w:tcW w:w="2302" w:type="dxa"/>
            <w:hideMark/>
          </w:tcPr>
          <w:p w14:paraId="25E3D6A3"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iCs/>
                <w:sz w:val="16"/>
                <w:szCs w:val="16"/>
              </w:rPr>
            </w:pPr>
            <w:r w:rsidRPr="005D0210">
              <w:rPr>
                <w:rFonts w:eastAsia="Times New Roman" w:cstheme="minorHAnsi"/>
                <w:iCs/>
                <w:sz w:val="16"/>
                <w:szCs w:val="16"/>
              </w:rPr>
              <w:t>11% used e</w:t>
            </w:r>
            <w:r w:rsidRPr="005D0210">
              <w:rPr>
                <w:rFonts w:eastAsia="Times New Roman" w:cstheme="minorHAnsi"/>
                <w:iCs/>
                <w:sz w:val="16"/>
                <w:szCs w:val="16"/>
              </w:rPr>
              <w:noBreakHyphen/>
              <w:t>cigarettes only, 86% no aid, 3% other quitting methods. Smoking abstinence was reported among 9% of those using no aid; 8% of e</w:t>
            </w:r>
            <w:r w:rsidRPr="005D0210">
              <w:rPr>
                <w:rFonts w:eastAsia="Times New Roman" w:cstheme="minorHAnsi"/>
                <w:iCs/>
                <w:sz w:val="16"/>
                <w:szCs w:val="16"/>
              </w:rPr>
              <w:noBreakHyphen/>
              <w:t>cigarette users; 15% of those using other methods. No significant differences in abstinence were observed for e</w:t>
            </w:r>
            <w:r w:rsidRPr="005D0210">
              <w:rPr>
                <w:rFonts w:eastAsia="Times New Roman" w:cstheme="minorHAnsi"/>
                <w:iCs/>
                <w:sz w:val="16"/>
                <w:szCs w:val="16"/>
              </w:rPr>
              <w:noBreakHyphen/>
              <w:t>cigarette users compared with those reporting no aid (adjusted Prevalence Ratio [aPR]=0.81; 95%Confidence Interval (CI) =0.58–1.14). Changing the reference group to e</w:t>
            </w:r>
            <w:r w:rsidRPr="005D0210">
              <w:rPr>
                <w:rFonts w:eastAsia="Times New Roman" w:cstheme="minorHAnsi"/>
                <w:iCs/>
                <w:sz w:val="16"/>
                <w:szCs w:val="16"/>
              </w:rPr>
              <w:noBreakHyphen/>
              <w:t xml:space="preserve">cigarette users, those using other quitting methods were significantly </w:t>
            </w:r>
            <w:r w:rsidRPr="005D0210">
              <w:rPr>
                <w:rFonts w:eastAsia="Times New Roman" w:cstheme="minorHAnsi"/>
                <w:iCs/>
                <w:sz w:val="16"/>
                <w:szCs w:val="16"/>
              </w:rPr>
              <w:lastRenderedPageBreak/>
              <w:t>more likely to report abstinence than e</w:t>
            </w:r>
            <w:r w:rsidRPr="005D0210">
              <w:rPr>
                <w:rFonts w:eastAsia="Times New Roman" w:cstheme="minorHAnsi"/>
                <w:iCs/>
                <w:sz w:val="16"/>
                <w:szCs w:val="16"/>
              </w:rPr>
              <w:noBreakHyphen/>
              <w:t>cigarette users (aPR=1.76; 95%CI=1.07–2.88).</w:t>
            </w:r>
          </w:p>
        </w:tc>
        <w:tc>
          <w:tcPr>
            <w:tcW w:w="1984" w:type="dxa"/>
            <w:hideMark/>
          </w:tcPr>
          <w:p w14:paraId="30ADDFE4"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iCs/>
                <w:sz w:val="16"/>
                <w:szCs w:val="16"/>
              </w:rPr>
            </w:pPr>
            <w:r w:rsidRPr="005D0210">
              <w:rPr>
                <w:rFonts w:eastAsia="Times New Roman" w:cstheme="minorHAnsi"/>
                <w:iCs/>
                <w:sz w:val="16"/>
                <w:szCs w:val="16"/>
              </w:rPr>
              <w:lastRenderedPageBreak/>
              <w:t>One out often smokers who attempted to quit in 2014–2015 in Italy used e</w:t>
            </w:r>
            <w:r w:rsidRPr="005D0210">
              <w:rPr>
                <w:rFonts w:eastAsia="Times New Roman" w:cstheme="minorHAnsi"/>
                <w:iCs/>
                <w:sz w:val="16"/>
                <w:szCs w:val="16"/>
              </w:rPr>
              <w:noBreakHyphen/>
              <w:t>cigarettes. E</w:t>
            </w:r>
            <w:r w:rsidRPr="005D0210">
              <w:rPr>
                <w:rFonts w:eastAsia="Times New Roman" w:cstheme="minorHAnsi"/>
                <w:iCs/>
                <w:sz w:val="16"/>
                <w:szCs w:val="16"/>
              </w:rPr>
              <w:noBreakHyphen/>
              <w:t>cigarettes users were as likely to report abstinence as those using no aid, but were less likely to report abstinence than users of established quitting methods.</w:t>
            </w:r>
          </w:p>
        </w:tc>
      </w:tr>
      <w:tr w:rsidR="00781923" w:rsidRPr="005D0210" w14:paraId="7E0FEC96" w14:textId="77777777" w:rsidTr="004E728C">
        <w:trPr>
          <w:cnfStyle w:val="000000100000" w:firstRow="0" w:lastRow="0" w:firstColumn="0" w:lastColumn="0" w:oddVBand="0" w:evenVBand="0" w:oddHBand="1" w:evenHBand="0" w:firstRowFirstColumn="0" w:firstRowLastColumn="0" w:lastRowFirstColumn="0" w:lastRowLastColumn="0"/>
          <w:trHeight w:val="2941"/>
        </w:trPr>
        <w:tc>
          <w:tcPr>
            <w:cnfStyle w:val="001000000000" w:firstRow="0" w:lastRow="0" w:firstColumn="1" w:lastColumn="0" w:oddVBand="0" w:evenVBand="0" w:oddHBand="0" w:evenHBand="0" w:firstRowFirstColumn="0" w:firstRowLastColumn="0" w:lastRowFirstColumn="0" w:lastRowLastColumn="0"/>
            <w:tcW w:w="988" w:type="dxa"/>
            <w:hideMark/>
          </w:tcPr>
          <w:p w14:paraId="6B36B118" w14:textId="77777777" w:rsidR="00781923" w:rsidRPr="005D0210" w:rsidRDefault="00781923" w:rsidP="004E728C">
            <w:pPr>
              <w:rPr>
                <w:rFonts w:eastAsia="Times New Roman" w:cstheme="minorHAnsi"/>
                <w:sz w:val="16"/>
                <w:szCs w:val="16"/>
              </w:rPr>
            </w:pPr>
            <w:r w:rsidRPr="005D0210">
              <w:rPr>
                <w:rFonts w:eastAsia="Times New Roman" w:cstheme="minorHAnsi"/>
                <w:sz w:val="16"/>
                <w:szCs w:val="16"/>
              </w:rPr>
              <w:t>Gucht 2017</w:t>
            </w:r>
          </w:p>
        </w:tc>
        <w:tc>
          <w:tcPr>
            <w:tcW w:w="1559" w:type="dxa"/>
            <w:hideMark/>
          </w:tcPr>
          <w:p w14:paraId="2C34E04E"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iCs/>
                <w:sz w:val="16"/>
                <w:szCs w:val="16"/>
              </w:rPr>
            </w:pPr>
            <w:r w:rsidRPr="005D0210">
              <w:rPr>
                <w:rFonts w:eastAsia="Times New Roman" w:cstheme="minorHAnsi"/>
                <w:iCs/>
                <w:sz w:val="16"/>
                <w:szCs w:val="16"/>
              </w:rPr>
              <w:t>This study aimed to provide an answer to the question: What is the typical profile of the (Dutch or Flemish) online vape shop customer?</w:t>
            </w:r>
          </w:p>
        </w:tc>
        <w:tc>
          <w:tcPr>
            <w:tcW w:w="850" w:type="dxa"/>
            <w:hideMark/>
          </w:tcPr>
          <w:p w14:paraId="038DCA1C"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Own survey</w:t>
            </w:r>
          </w:p>
        </w:tc>
        <w:tc>
          <w:tcPr>
            <w:tcW w:w="993" w:type="dxa"/>
            <w:hideMark/>
          </w:tcPr>
          <w:p w14:paraId="718F495E"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Netherland online store (European customers)</w:t>
            </w:r>
          </w:p>
        </w:tc>
        <w:tc>
          <w:tcPr>
            <w:tcW w:w="992" w:type="dxa"/>
            <w:hideMark/>
          </w:tcPr>
          <w:p w14:paraId="20FE9A01"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Dec 2015</w:t>
            </w:r>
            <w:r w:rsidRPr="005D0210">
              <w:rPr>
                <w:rFonts w:eastAsia="Times New Roman" w:cstheme="minorHAnsi"/>
                <w:sz w:val="16"/>
                <w:szCs w:val="16"/>
              </w:rPr>
              <w:noBreakHyphen/>
              <w:t>Jan 2016</w:t>
            </w:r>
          </w:p>
        </w:tc>
        <w:tc>
          <w:tcPr>
            <w:tcW w:w="992" w:type="dxa"/>
            <w:hideMark/>
          </w:tcPr>
          <w:p w14:paraId="6266DFC5"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203</w:t>
            </w:r>
          </w:p>
        </w:tc>
        <w:tc>
          <w:tcPr>
            <w:tcW w:w="1134" w:type="dxa"/>
            <w:hideMark/>
          </w:tcPr>
          <w:p w14:paraId="1FA36661"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46±12.5</w:t>
            </w:r>
          </w:p>
        </w:tc>
        <w:tc>
          <w:tcPr>
            <w:tcW w:w="851" w:type="dxa"/>
            <w:hideMark/>
          </w:tcPr>
          <w:p w14:paraId="5A9B5A99"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42.9</w:t>
            </w:r>
          </w:p>
        </w:tc>
        <w:tc>
          <w:tcPr>
            <w:tcW w:w="1701" w:type="dxa"/>
            <w:hideMark/>
          </w:tcPr>
          <w:p w14:paraId="14EF84BD"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All customers who made a purchase through an online vape shop over 1 month were contacted to be involved in an online survey.</w:t>
            </w:r>
          </w:p>
        </w:tc>
        <w:tc>
          <w:tcPr>
            <w:tcW w:w="992" w:type="dxa"/>
            <w:hideMark/>
          </w:tcPr>
          <w:p w14:paraId="43C40261"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16</w:t>
            </w:r>
          </w:p>
        </w:tc>
        <w:tc>
          <w:tcPr>
            <w:tcW w:w="2302" w:type="dxa"/>
            <w:hideMark/>
          </w:tcPr>
          <w:p w14:paraId="519C1429"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iCs/>
                <w:sz w:val="16"/>
                <w:szCs w:val="16"/>
              </w:rPr>
            </w:pPr>
            <w:r w:rsidRPr="005D0210">
              <w:rPr>
                <w:rFonts w:eastAsia="Times New Roman" w:cstheme="minorHAnsi"/>
                <w:iCs/>
                <w:sz w:val="16"/>
                <w:szCs w:val="16"/>
              </w:rPr>
              <w:t>Almost everyone (99%, 95% CI 0.96, 1.00) smoked before they started vaping. A great majority agreed that unlike with other smoking</w:t>
            </w:r>
            <w:r w:rsidRPr="005D0210">
              <w:rPr>
                <w:rFonts w:eastAsia="Times New Roman" w:cstheme="minorHAnsi"/>
                <w:iCs/>
                <w:sz w:val="16"/>
                <w:szCs w:val="16"/>
              </w:rPr>
              <w:noBreakHyphen/>
              <w:t xml:space="preserve">cessation aids, they could quit smoking (81%, 95% CI 0.79, 0.90) due to vaping. </w:t>
            </w:r>
            <w:r w:rsidRPr="005D0210">
              <w:rPr>
                <w:rFonts w:eastAsia="Times New Roman" w:cstheme="minorHAnsi"/>
                <w:iCs/>
                <w:sz w:val="16"/>
                <w:szCs w:val="16"/>
              </w:rPr>
              <w:br/>
              <w:t>Vapers indicated that they were/are mainly using e</w:t>
            </w:r>
            <w:r w:rsidRPr="005D0210">
              <w:rPr>
                <w:rFonts w:eastAsia="Times New Roman" w:cstheme="minorHAnsi"/>
                <w:iCs/>
                <w:sz w:val="16"/>
                <w:szCs w:val="16"/>
              </w:rPr>
              <w:noBreakHyphen/>
              <w:t>cigarettes to quit smoking (73.3%, 95% CI 0.67, 0.79), because it is healthier than smoking (57.4%), because of financial reasons (27.7%), to decrease their tobacco cigarette consumption (16.9%), because smoking is prohibited in several contexts (15.9%), and out of curiosity (14.4%).</w:t>
            </w:r>
          </w:p>
        </w:tc>
        <w:tc>
          <w:tcPr>
            <w:tcW w:w="1984" w:type="dxa"/>
            <w:hideMark/>
          </w:tcPr>
          <w:p w14:paraId="6BBE4953"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Findings are similar to those obtained in other vape shop studies, but also to the results of convenience samples of less</w:t>
            </w:r>
            <w:r w:rsidRPr="005D0210">
              <w:rPr>
                <w:rFonts w:eastAsia="Times New Roman" w:cstheme="minorHAnsi"/>
                <w:sz w:val="16"/>
                <w:szCs w:val="16"/>
              </w:rPr>
              <w:noBreakHyphen/>
              <w:t>well</w:t>
            </w:r>
            <w:r w:rsidRPr="005D0210">
              <w:rPr>
                <w:rFonts w:eastAsia="Times New Roman" w:cstheme="minorHAnsi"/>
                <w:sz w:val="16"/>
                <w:szCs w:val="16"/>
              </w:rPr>
              <w:noBreakHyphen/>
              <w:t>defined populations.</w:t>
            </w:r>
          </w:p>
        </w:tc>
      </w:tr>
      <w:tr w:rsidR="00781923" w:rsidRPr="005D0210" w14:paraId="47595C0F" w14:textId="77777777" w:rsidTr="004E728C">
        <w:trPr>
          <w:trHeight w:val="2444"/>
        </w:trPr>
        <w:tc>
          <w:tcPr>
            <w:cnfStyle w:val="001000000000" w:firstRow="0" w:lastRow="0" w:firstColumn="1" w:lastColumn="0" w:oddVBand="0" w:evenVBand="0" w:oddHBand="0" w:evenHBand="0" w:firstRowFirstColumn="0" w:firstRowLastColumn="0" w:lastRowFirstColumn="0" w:lastRowLastColumn="0"/>
            <w:tcW w:w="988" w:type="dxa"/>
            <w:hideMark/>
          </w:tcPr>
          <w:p w14:paraId="43F42503" w14:textId="77777777" w:rsidR="00781923" w:rsidRPr="005D0210" w:rsidRDefault="00781923" w:rsidP="004E728C">
            <w:pPr>
              <w:rPr>
                <w:rFonts w:eastAsia="Times New Roman" w:cstheme="minorHAnsi"/>
                <w:sz w:val="16"/>
                <w:szCs w:val="16"/>
              </w:rPr>
            </w:pPr>
            <w:r w:rsidRPr="005D0210">
              <w:rPr>
                <w:rFonts w:eastAsia="Times New Roman" w:cstheme="minorHAnsi"/>
                <w:sz w:val="16"/>
                <w:szCs w:val="16"/>
              </w:rPr>
              <w:t>Hirano 2017</w:t>
            </w:r>
          </w:p>
        </w:tc>
        <w:tc>
          <w:tcPr>
            <w:tcW w:w="1559" w:type="dxa"/>
            <w:hideMark/>
          </w:tcPr>
          <w:p w14:paraId="083CBAEF"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iCs/>
                <w:sz w:val="16"/>
                <w:szCs w:val="16"/>
              </w:rPr>
            </w:pPr>
            <w:r w:rsidRPr="005D0210">
              <w:rPr>
                <w:rFonts w:eastAsia="Times New Roman" w:cstheme="minorHAnsi"/>
                <w:iCs/>
                <w:sz w:val="16"/>
                <w:szCs w:val="16"/>
              </w:rPr>
              <w:t>We conducted an online survey to collect information on tobacco use, difficulties in smoking cessation, socio</w:t>
            </w:r>
            <w:r w:rsidRPr="005D0210">
              <w:rPr>
                <w:rFonts w:eastAsia="Times New Roman" w:cstheme="minorHAnsi"/>
                <w:iCs/>
                <w:sz w:val="16"/>
                <w:szCs w:val="16"/>
              </w:rPr>
              <w:noBreakHyphen/>
              <w:t>demographic factors, and health</w:t>
            </w:r>
            <w:r w:rsidRPr="005D0210">
              <w:rPr>
                <w:rFonts w:eastAsia="Times New Roman" w:cstheme="minorHAnsi"/>
                <w:iCs/>
                <w:sz w:val="16"/>
                <w:szCs w:val="16"/>
              </w:rPr>
              <w:noBreakHyphen/>
              <w:t>related factors in Japan.</w:t>
            </w:r>
          </w:p>
        </w:tc>
        <w:tc>
          <w:tcPr>
            <w:tcW w:w="850" w:type="dxa"/>
            <w:hideMark/>
          </w:tcPr>
          <w:p w14:paraId="1CDC2A4F"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Own survey</w:t>
            </w:r>
          </w:p>
        </w:tc>
        <w:tc>
          <w:tcPr>
            <w:tcW w:w="993" w:type="dxa"/>
            <w:hideMark/>
          </w:tcPr>
          <w:p w14:paraId="454FD71D"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Japan</w:t>
            </w:r>
          </w:p>
        </w:tc>
        <w:tc>
          <w:tcPr>
            <w:tcW w:w="992" w:type="dxa"/>
            <w:hideMark/>
          </w:tcPr>
          <w:p w14:paraId="22FC5924"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2015</w:t>
            </w:r>
          </w:p>
        </w:tc>
        <w:tc>
          <w:tcPr>
            <w:tcW w:w="992" w:type="dxa"/>
            <w:hideMark/>
          </w:tcPr>
          <w:p w14:paraId="45F4793E"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798</w:t>
            </w:r>
          </w:p>
        </w:tc>
        <w:tc>
          <w:tcPr>
            <w:tcW w:w="1134" w:type="dxa"/>
            <w:hideMark/>
          </w:tcPr>
          <w:p w14:paraId="4EDC1E15"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20</w:t>
            </w:r>
            <w:r w:rsidRPr="005D0210">
              <w:rPr>
                <w:rFonts w:eastAsia="Times New Roman" w:cstheme="minorHAnsi"/>
                <w:sz w:val="16"/>
                <w:szCs w:val="16"/>
              </w:rPr>
              <w:noBreakHyphen/>
              <w:t>29: 12.4%</w:t>
            </w:r>
            <w:r w:rsidRPr="005D0210">
              <w:rPr>
                <w:rFonts w:eastAsia="Times New Roman" w:cstheme="minorHAnsi"/>
                <w:sz w:val="16"/>
                <w:szCs w:val="16"/>
              </w:rPr>
              <w:br/>
              <w:t>30</w:t>
            </w:r>
            <w:r w:rsidRPr="005D0210">
              <w:rPr>
                <w:rFonts w:eastAsia="Times New Roman" w:cstheme="minorHAnsi"/>
                <w:sz w:val="16"/>
                <w:szCs w:val="16"/>
              </w:rPr>
              <w:noBreakHyphen/>
              <w:t>39: 22.2%</w:t>
            </w:r>
            <w:r w:rsidRPr="005D0210">
              <w:rPr>
                <w:rFonts w:eastAsia="Times New Roman" w:cstheme="minorHAnsi"/>
                <w:sz w:val="16"/>
                <w:szCs w:val="16"/>
              </w:rPr>
              <w:br/>
              <w:t>40</w:t>
            </w:r>
            <w:r w:rsidRPr="005D0210">
              <w:rPr>
                <w:rFonts w:eastAsia="Times New Roman" w:cstheme="minorHAnsi"/>
                <w:sz w:val="16"/>
                <w:szCs w:val="16"/>
              </w:rPr>
              <w:noBreakHyphen/>
              <w:t>49: 23.8</w:t>
            </w:r>
            <w:r w:rsidRPr="005D0210">
              <w:rPr>
                <w:rFonts w:eastAsia="Times New Roman" w:cstheme="minorHAnsi"/>
                <w:sz w:val="16"/>
                <w:szCs w:val="16"/>
              </w:rPr>
              <w:br/>
              <w:t>50</w:t>
            </w:r>
            <w:r w:rsidRPr="005D0210">
              <w:rPr>
                <w:rFonts w:eastAsia="Times New Roman" w:cstheme="minorHAnsi"/>
                <w:sz w:val="16"/>
                <w:szCs w:val="16"/>
              </w:rPr>
              <w:noBreakHyphen/>
              <w:t>59: 22.7</w:t>
            </w:r>
            <w:r w:rsidRPr="005D0210">
              <w:rPr>
                <w:rFonts w:eastAsia="Times New Roman" w:cstheme="minorHAnsi"/>
                <w:sz w:val="16"/>
                <w:szCs w:val="16"/>
              </w:rPr>
              <w:br/>
              <w:t>60</w:t>
            </w:r>
            <w:r w:rsidRPr="005D0210">
              <w:rPr>
                <w:rFonts w:eastAsia="Times New Roman" w:cstheme="minorHAnsi"/>
                <w:sz w:val="16"/>
                <w:szCs w:val="16"/>
              </w:rPr>
              <w:noBreakHyphen/>
              <w:t>69: 18.9%</w:t>
            </w:r>
          </w:p>
        </w:tc>
        <w:tc>
          <w:tcPr>
            <w:tcW w:w="851" w:type="dxa"/>
            <w:hideMark/>
          </w:tcPr>
          <w:p w14:paraId="6D7AEE4F"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33.3</w:t>
            </w:r>
          </w:p>
        </w:tc>
        <w:tc>
          <w:tcPr>
            <w:tcW w:w="1701" w:type="dxa"/>
            <w:hideMark/>
          </w:tcPr>
          <w:p w14:paraId="20152F02" w14:textId="0DCE0064"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Via a commercial research provider to ensure a representative sample.</w:t>
            </w:r>
            <w:r w:rsidR="008146F9">
              <w:rPr>
                <w:rFonts w:eastAsia="Times New Roman" w:cstheme="minorHAnsi"/>
                <w:sz w:val="16"/>
                <w:szCs w:val="16"/>
              </w:rPr>
              <w:t xml:space="preserve"> </w:t>
            </w:r>
            <w:r w:rsidRPr="005D0210">
              <w:rPr>
                <w:rFonts w:eastAsia="Times New Roman" w:cstheme="minorHAnsi"/>
                <w:sz w:val="16"/>
                <w:szCs w:val="16"/>
              </w:rPr>
              <w:t>Conducted survey online.</w:t>
            </w:r>
          </w:p>
        </w:tc>
        <w:tc>
          <w:tcPr>
            <w:tcW w:w="992" w:type="dxa"/>
            <w:hideMark/>
          </w:tcPr>
          <w:p w14:paraId="67B91F30"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8.5</w:t>
            </w:r>
          </w:p>
        </w:tc>
        <w:tc>
          <w:tcPr>
            <w:tcW w:w="2302" w:type="dxa"/>
            <w:hideMark/>
          </w:tcPr>
          <w:p w14:paraId="43EE6EDF"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iCs/>
                <w:sz w:val="16"/>
                <w:szCs w:val="16"/>
              </w:rPr>
            </w:pPr>
            <w:r w:rsidRPr="005D0210">
              <w:rPr>
                <w:rFonts w:eastAsia="Times New Roman" w:cstheme="minorHAnsi"/>
                <w:iCs/>
                <w:sz w:val="16"/>
                <w:szCs w:val="16"/>
              </w:rPr>
              <w:t>E</w:t>
            </w:r>
            <w:r w:rsidRPr="005D0210">
              <w:rPr>
                <w:rFonts w:eastAsia="Times New Roman" w:cstheme="minorHAnsi"/>
                <w:iCs/>
                <w:sz w:val="16"/>
                <w:szCs w:val="16"/>
              </w:rPr>
              <w:noBreakHyphen/>
              <w:t>cigarette use was negatively associated with smoking cessation (odds ratio (OR)=0.632; 95% confidence interval (CI)=0.414–0.964) after adjusting for gender, age, health</w:t>
            </w:r>
            <w:r w:rsidRPr="005D0210">
              <w:rPr>
                <w:rFonts w:eastAsia="Times New Roman" w:cstheme="minorHAnsi"/>
                <w:iCs/>
                <w:sz w:val="16"/>
                <w:szCs w:val="16"/>
              </w:rPr>
              <w:noBreakHyphen/>
              <w:t>related factors, and other quitting methods. Conversely, smoking cessation therapy (i.e. varenicline) was significantly associated with smoking cessation (OR=1.885; 95% CI=1.018–3.492).</w:t>
            </w:r>
          </w:p>
        </w:tc>
        <w:tc>
          <w:tcPr>
            <w:tcW w:w="1984" w:type="dxa"/>
            <w:hideMark/>
          </w:tcPr>
          <w:p w14:paraId="2D203336"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iCs/>
                <w:sz w:val="16"/>
                <w:szCs w:val="16"/>
              </w:rPr>
            </w:pPr>
            <w:r w:rsidRPr="005D0210">
              <w:rPr>
                <w:rFonts w:eastAsia="Times New Roman" w:cstheme="minorHAnsi"/>
                <w:iCs/>
                <w:sz w:val="16"/>
                <w:szCs w:val="16"/>
              </w:rPr>
              <w:t>For effective smoking cessation, e</w:t>
            </w:r>
            <w:r w:rsidRPr="005D0210">
              <w:rPr>
                <w:rFonts w:eastAsia="Times New Roman" w:cstheme="minorHAnsi"/>
                <w:iCs/>
                <w:sz w:val="16"/>
                <w:szCs w:val="16"/>
              </w:rPr>
              <w:noBreakHyphen/>
              <w:t xml:space="preserve">cigarette use appears to have low efficacy among smokers in Japan. </w:t>
            </w:r>
          </w:p>
        </w:tc>
      </w:tr>
      <w:tr w:rsidR="00781923" w:rsidRPr="005D0210" w14:paraId="3AFA286B" w14:textId="77777777" w:rsidTr="004E728C">
        <w:trPr>
          <w:cnfStyle w:val="000000100000" w:firstRow="0" w:lastRow="0" w:firstColumn="0" w:lastColumn="0" w:oddVBand="0" w:evenVBand="0" w:oddHBand="1" w:evenHBand="0" w:firstRowFirstColumn="0" w:firstRowLastColumn="0" w:lastRowFirstColumn="0" w:lastRowLastColumn="0"/>
          <w:trHeight w:val="2257"/>
        </w:trPr>
        <w:tc>
          <w:tcPr>
            <w:cnfStyle w:val="001000000000" w:firstRow="0" w:lastRow="0" w:firstColumn="1" w:lastColumn="0" w:oddVBand="0" w:evenVBand="0" w:oddHBand="0" w:evenHBand="0" w:firstRowFirstColumn="0" w:firstRowLastColumn="0" w:lastRowFirstColumn="0" w:lastRowLastColumn="0"/>
            <w:tcW w:w="988" w:type="dxa"/>
            <w:noWrap/>
            <w:hideMark/>
          </w:tcPr>
          <w:p w14:paraId="4A2D8331" w14:textId="77777777" w:rsidR="00781923" w:rsidRPr="005D0210" w:rsidRDefault="00781923" w:rsidP="004E728C">
            <w:pPr>
              <w:rPr>
                <w:rFonts w:eastAsia="Times New Roman" w:cstheme="minorHAnsi"/>
                <w:sz w:val="16"/>
                <w:szCs w:val="16"/>
              </w:rPr>
            </w:pPr>
            <w:r w:rsidRPr="005D0210">
              <w:rPr>
                <w:rFonts w:eastAsia="Times New Roman" w:cstheme="minorHAnsi"/>
                <w:sz w:val="16"/>
                <w:szCs w:val="16"/>
              </w:rPr>
              <w:t>Kulik 2018</w:t>
            </w:r>
          </w:p>
        </w:tc>
        <w:tc>
          <w:tcPr>
            <w:tcW w:w="1559" w:type="dxa"/>
            <w:hideMark/>
          </w:tcPr>
          <w:p w14:paraId="4F0EBD2D"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iCs/>
                <w:sz w:val="16"/>
                <w:szCs w:val="16"/>
              </w:rPr>
            </w:pPr>
            <w:r w:rsidRPr="005D0210">
              <w:rPr>
                <w:rFonts w:eastAsia="Times New Roman" w:cstheme="minorHAnsi"/>
                <w:iCs/>
                <w:sz w:val="16"/>
                <w:szCs w:val="16"/>
              </w:rPr>
              <w:t>In 2016–2017, the relationship between e</w:t>
            </w:r>
            <w:r w:rsidRPr="005D0210">
              <w:rPr>
                <w:rFonts w:eastAsia="Times New Roman" w:cstheme="minorHAnsi"/>
                <w:iCs/>
                <w:sz w:val="16"/>
                <w:szCs w:val="16"/>
              </w:rPr>
              <w:noBreakHyphen/>
              <w:t>cigarette use and having stopped smoking among ever (current and former) smokers was assessed in the European Union and Great Britain by itself.</w:t>
            </w:r>
          </w:p>
        </w:tc>
        <w:tc>
          <w:tcPr>
            <w:tcW w:w="850" w:type="dxa"/>
            <w:hideMark/>
          </w:tcPr>
          <w:p w14:paraId="037C410A"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Eurobarometer survey</w:t>
            </w:r>
          </w:p>
        </w:tc>
        <w:tc>
          <w:tcPr>
            <w:tcW w:w="993" w:type="dxa"/>
            <w:hideMark/>
          </w:tcPr>
          <w:p w14:paraId="50D7E05E"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European Union and Great Britain</w:t>
            </w:r>
          </w:p>
        </w:tc>
        <w:tc>
          <w:tcPr>
            <w:tcW w:w="992" w:type="dxa"/>
            <w:hideMark/>
          </w:tcPr>
          <w:p w14:paraId="04C757C9"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2014</w:t>
            </w:r>
          </w:p>
        </w:tc>
        <w:tc>
          <w:tcPr>
            <w:tcW w:w="992" w:type="dxa"/>
            <w:hideMark/>
          </w:tcPr>
          <w:p w14:paraId="6E7F6121"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12608</w:t>
            </w:r>
          </w:p>
        </w:tc>
        <w:tc>
          <w:tcPr>
            <w:tcW w:w="1134" w:type="dxa"/>
            <w:hideMark/>
          </w:tcPr>
          <w:p w14:paraId="27BE2826"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49.9±16.8</w:t>
            </w:r>
          </w:p>
        </w:tc>
        <w:tc>
          <w:tcPr>
            <w:tcW w:w="851" w:type="dxa"/>
            <w:hideMark/>
          </w:tcPr>
          <w:p w14:paraId="451708B4"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44.4</w:t>
            </w:r>
          </w:p>
        </w:tc>
        <w:tc>
          <w:tcPr>
            <w:tcW w:w="1701" w:type="dxa"/>
            <w:hideMark/>
          </w:tcPr>
          <w:p w14:paraId="1FB5C57F"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Multistage probability sample, weighted. Home</w:t>
            </w:r>
            <w:r w:rsidRPr="005D0210">
              <w:rPr>
                <w:rFonts w:eastAsia="Times New Roman" w:cstheme="minorHAnsi"/>
                <w:sz w:val="16"/>
                <w:szCs w:val="16"/>
              </w:rPr>
              <w:noBreakHyphen/>
              <w:t>based interviews. Analysed data from current or former smokers.</w:t>
            </w:r>
          </w:p>
        </w:tc>
        <w:tc>
          <w:tcPr>
            <w:tcW w:w="992" w:type="dxa"/>
            <w:hideMark/>
          </w:tcPr>
          <w:p w14:paraId="1B666664"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NR</w:t>
            </w:r>
          </w:p>
        </w:tc>
        <w:tc>
          <w:tcPr>
            <w:tcW w:w="2302" w:type="dxa"/>
            <w:hideMark/>
          </w:tcPr>
          <w:p w14:paraId="4272C838"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iCs/>
                <w:sz w:val="16"/>
                <w:szCs w:val="16"/>
              </w:rPr>
            </w:pPr>
            <w:r w:rsidRPr="005D0210">
              <w:rPr>
                <w:rFonts w:eastAsia="Times New Roman" w:cstheme="minorHAnsi"/>
                <w:iCs/>
                <w:sz w:val="16"/>
                <w:szCs w:val="16"/>
              </w:rPr>
              <w:t>In unadjusted models, daily use (OR=0.42, 95% CI=0.31, 0.56); occasional use (OR=0.25, 95% CI=0.18, 0.35); and experimentation (OR=0.24, 95% CI=0.19, 0.30) of nicotine e</w:t>
            </w:r>
            <w:r w:rsidRPr="005D0210">
              <w:rPr>
                <w:rFonts w:eastAsia="Times New Roman" w:cstheme="minorHAnsi"/>
                <w:iCs/>
                <w:sz w:val="16"/>
                <w:szCs w:val="16"/>
              </w:rPr>
              <w:noBreakHyphen/>
              <w:t>cigarettes were associated with lower odds of being a former smoker compared with having never used nicotine</w:t>
            </w:r>
            <w:r w:rsidRPr="005D0210">
              <w:rPr>
                <w:rFonts w:eastAsia="Times New Roman" w:cstheme="minorHAnsi"/>
                <w:iCs/>
                <w:sz w:val="16"/>
                <w:szCs w:val="16"/>
              </w:rPr>
              <w:noBreakHyphen/>
              <w:t>containing e</w:t>
            </w:r>
            <w:r w:rsidRPr="005D0210">
              <w:rPr>
                <w:rFonts w:eastAsia="Times New Roman" w:cstheme="minorHAnsi"/>
                <w:iCs/>
                <w:sz w:val="16"/>
                <w:szCs w:val="16"/>
              </w:rPr>
              <w:noBreakHyphen/>
              <w:t xml:space="preserve">cigarettes. Comparable results were found </w:t>
            </w:r>
            <w:r w:rsidRPr="005D0210">
              <w:rPr>
                <w:rFonts w:eastAsia="Times New Roman" w:cstheme="minorHAnsi"/>
                <w:iCs/>
                <w:sz w:val="16"/>
                <w:szCs w:val="16"/>
              </w:rPr>
              <w:lastRenderedPageBreak/>
              <w:t>in adjusted models. Results were similar in Great Britain alone.</w:t>
            </w:r>
          </w:p>
        </w:tc>
        <w:tc>
          <w:tcPr>
            <w:tcW w:w="1984" w:type="dxa"/>
            <w:hideMark/>
          </w:tcPr>
          <w:p w14:paraId="4877E788"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iCs/>
                <w:sz w:val="16"/>
                <w:szCs w:val="16"/>
              </w:rPr>
            </w:pPr>
            <w:r w:rsidRPr="005D0210">
              <w:rPr>
                <w:rFonts w:eastAsia="Times New Roman" w:cstheme="minorHAnsi"/>
                <w:iCs/>
                <w:sz w:val="16"/>
                <w:szCs w:val="16"/>
              </w:rPr>
              <w:lastRenderedPageBreak/>
              <w:t>These results suggest that e</w:t>
            </w:r>
            <w:r w:rsidRPr="005D0210">
              <w:rPr>
                <w:rFonts w:eastAsia="Times New Roman" w:cstheme="minorHAnsi"/>
                <w:iCs/>
                <w:sz w:val="16"/>
                <w:szCs w:val="16"/>
              </w:rPr>
              <w:noBreakHyphen/>
              <w:t>cigarettes are associated with inhibiting rather than assisting in smoking cessation. On the population level, the net effect of the entry of e</w:t>
            </w:r>
            <w:r w:rsidRPr="005D0210">
              <w:rPr>
                <w:rFonts w:eastAsia="Times New Roman" w:cstheme="minorHAnsi"/>
                <w:iCs/>
                <w:sz w:val="16"/>
                <w:szCs w:val="16"/>
              </w:rPr>
              <w:noBreakHyphen/>
              <w:t xml:space="preserve">cigarettes into the European Union (and Great Britain) is associated with depressed smoking </w:t>
            </w:r>
            <w:r w:rsidRPr="005D0210">
              <w:rPr>
                <w:rFonts w:eastAsia="Times New Roman" w:cstheme="minorHAnsi"/>
                <w:iCs/>
                <w:sz w:val="16"/>
                <w:szCs w:val="16"/>
              </w:rPr>
              <w:lastRenderedPageBreak/>
              <w:t>cessation of conventional cigarettes.</w:t>
            </w:r>
          </w:p>
        </w:tc>
      </w:tr>
      <w:tr w:rsidR="00781923" w:rsidRPr="005D0210" w14:paraId="3E9C0B23" w14:textId="77777777" w:rsidTr="004E728C">
        <w:trPr>
          <w:trHeight w:val="1833"/>
        </w:trPr>
        <w:tc>
          <w:tcPr>
            <w:cnfStyle w:val="001000000000" w:firstRow="0" w:lastRow="0" w:firstColumn="1" w:lastColumn="0" w:oddVBand="0" w:evenVBand="0" w:oddHBand="0" w:evenHBand="0" w:firstRowFirstColumn="0" w:firstRowLastColumn="0" w:lastRowFirstColumn="0" w:lastRowLastColumn="0"/>
            <w:tcW w:w="988" w:type="dxa"/>
            <w:hideMark/>
          </w:tcPr>
          <w:p w14:paraId="29ED6CCF" w14:textId="77777777" w:rsidR="00781923" w:rsidRPr="005D0210" w:rsidRDefault="00781923" w:rsidP="004E728C">
            <w:pPr>
              <w:rPr>
                <w:rFonts w:eastAsia="Times New Roman" w:cstheme="minorHAnsi"/>
                <w:sz w:val="16"/>
                <w:szCs w:val="16"/>
              </w:rPr>
            </w:pPr>
            <w:r w:rsidRPr="005D0210">
              <w:rPr>
                <w:rFonts w:eastAsia="Times New Roman" w:cstheme="minorHAnsi"/>
                <w:sz w:val="16"/>
                <w:szCs w:val="16"/>
              </w:rPr>
              <w:lastRenderedPageBreak/>
              <w:t>Levy 2017</w:t>
            </w:r>
          </w:p>
        </w:tc>
        <w:tc>
          <w:tcPr>
            <w:tcW w:w="1559" w:type="dxa"/>
            <w:hideMark/>
          </w:tcPr>
          <w:p w14:paraId="1474162C"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iCs/>
                <w:sz w:val="16"/>
                <w:szCs w:val="16"/>
              </w:rPr>
            </w:pPr>
            <w:r w:rsidRPr="005D0210">
              <w:rPr>
                <w:rFonts w:eastAsia="Times New Roman" w:cstheme="minorHAnsi"/>
                <w:iCs/>
                <w:sz w:val="16"/>
                <w:szCs w:val="16"/>
              </w:rPr>
              <w:t>This study examines the role of e</w:t>
            </w:r>
            <w:r w:rsidRPr="005D0210">
              <w:rPr>
                <w:rFonts w:eastAsia="Times New Roman" w:cstheme="minorHAnsi"/>
                <w:iCs/>
                <w:sz w:val="16"/>
                <w:szCs w:val="16"/>
              </w:rPr>
              <w:noBreakHyphen/>
              <w:t>cigarettes in quit attempts and 3</w:t>
            </w:r>
            <w:r w:rsidRPr="005D0210">
              <w:rPr>
                <w:rFonts w:eastAsia="Times New Roman" w:cstheme="minorHAnsi"/>
                <w:iCs/>
                <w:sz w:val="16"/>
                <w:szCs w:val="16"/>
              </w:rPr>
              <w:noBreakHyphen/>
              <w:t>month cigarette abstinence using a large, recent nationally representative US sample.</w:t>
            </w:r>
          </w:p>
        </w:tc>
        <w:tc>
          <w:tcPr>
            <w:tcW w:w="850" w:type="dxa"/>
            <w:hideMark/>
          </w:tcPr>
          <w:p w14:paraId="448348B6"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Tobacco Use Supplement</w:t>
            </w:r>
            <w:r w:rsidRPr="005D0210">
              <w:rPr>
                <w:rFonts w:eastAsia="Times New Roman" w:cstheme="minorHAnsi"/>
                <w:sz w:val="16"/>
                <w:szCs w:val="16"/>
              </w:rPr>
              <w:noBreakHyphen/>
              <w:t>Current Population Survey (TUS</w:t>
            </w:r>
            <w:r w:rsidRPr="005D0210">
              <w:rPr>
                <w:rFonts w:eastAsia="Times New Roman" w:cstheme="minorHAnsi"/>
                <w:sz w:val="16"/>
                <w:szCs w:val="16"/>
              </w:rPr>
              <w:noBreakHyphen/>
              <w:t>CPS)</w:t>
            </w:r>
          </w:p>
        </w:tc>
        <w:tc>
          <w:tcPr>
            <w:tcW w:w="993" w:type="dxa"/>
            <w:hideMark/>
          </w:tcPr>
          <w:p w14:paraId="7B8946D4"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USA</w:t>
            </w:r>
          </w:p>
        </w:tc>
        <w:tc>
          <w:tcPr>
            <w:tcW w:w="992" w:type="dxa"/>
            <w:hideMark/>
          </w:tcPr>
          <w:p w14:paraId="5C6F359D"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2014</w:t>
            </w:r>
            <w:r w:rsidRPr="005D0210">
              <w:rPr>
                <w:rFonts w:eastAsia="Times New Roman" w:cstheme="minorHAnsi"/>
                <w:sz w:val="16"/>
                <w:szCs w:val="16"/>
              </w:rPr>
              <w:noBreakHyphen/>
              <w:t>15</w:t>
            </w:r>
          </w:p>
        </w:tc>
        <w:tc>
          <w:tcPr>
            <w:tcW w:w="992" w:type="dxa"/>
            <w:hideMark/>
          </w:tcPr>
          <w:p w14:paraId="3168B8F4"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21226</w:t>
            </w:r>
          </w:p>
        </w:tc>
        <w:tc>
          <w:tcPr>
            <w:tcW w:w="1134" w:type="dxa"/>
            <w:hideMark/>
          </w:tcPr>
          <w:p w14:paraId="198C3838"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18</w:t>
            </w:r>
            <w:r w:rsidRPr="005D0210">
              <w:rPr>
                <w:rFonts w:eastAsia="Times New Roman" w:cstheme="minorHAnsi"/>
                <w:sz w:val="16"/>
                <w:szCs w:val="16"/>
              </w:rPr>
              <w:noBreakHyphen/>
              <w:t>21: 2.4%</w:t>
            </w:r>
            <w:r w:rsidRPr="005D0210">
              <w:rPr>
                <w:rFonts w:eastAsia="Times New Roman" w:cstheme="minorHAnsi"/>
                <w:sz w:val="16"/>
                <w:szCs w:val="16"/>
              </w:rPr>
              <w:br/>
              <w:t>22</w:t>
            </w:r>
            <w:r w:rsidRPr="005D0210">
              <w:rPr>
                <w:rFonts w:eastAsia="Times New Roman" w:cstheme="minorHAnsi"/>
                <w:sz w:val="16"/>
                <w:szCs w:val="16"/>
              </w:rPr>
              <w:noBreakHyphen/>
              <w:t>25: 6.1%</w:t>
            </w:r>
            <w:r w:rsidRPr="005D0210">
              <w:rPr>
                <w:rFonts w:eastAsia="Times New Roman" w:cstheme="minorHAnsi"/>
                <w:sz w:val="16"/>
                <w:szCs w:val="16"/>
              </w:rPr>
              <w:br/>
              <w:t>26</w:t>
            </w:r>
            <w:r w:rsidRPr="005D0210">
              <w:rPr>
                <w:rFonts w:eastAsia="Times New Roman" w:cstheme="minorHAnsi"/>
                <w:sz w:val="16"/>
                <w:szCs w:val="16"/>
              </w:rPr>
              <w:noBreakHyphen/>
              <w:t>29: 7.4%</w:t>
            </w:r>
            <w:r w:rsidRPr="005D0210">
              <w:rPr>
                <w:rFonts w:eastAsia="Times New Roman" w:cstheme="minorHAnsi"/>
                <w:sz w:val="16"/>
                <w:szCs w:val="16"/>
              </w:rPr>
              <w:br/>
              <w:t>30</w:t>
            </w:r>
            <w:r w:rsidRPr="005D0210">
              <w:rPr>
                <w:rFonts w:eastAsia="Times New Roman" w:cstheme="minorHAnsi"/>
                <w:sz w:val="16"/>
                <w:szCs w:val="16"/>
              </w:rPr>
              <w:noBreakHyphen/>
              <w:t>34: 10.7%</w:t>
            </w:r>
            <w:r w:rsidRPr="005D0210">
              <w:rPr>
                <w:rFonts w:eastAsia="Times New Roman" w:cstheme="minorHAnsi"/>
                <w:sz w:val="16"/>
                <w:szCs w:val="16"/>
              </w:rPr>
              <w:br/>
              <w:t>35</w:t>
            </w:r>
            <w:r w:rsidRPr="005D0210">
              <w:rPr>
                <w:rFonts w:eastAsia="Times New Roman" w:cstheme="minorHAnsi"/>
                <w:sz w:val="16"/>
                <w:szCs w:val="16"/>
              </w:rPr>
              <w:noBreakHyphen/>
              <w:t>44: 18.9%</w:t>
            </w:r>
            <w:r w:rsidRPr="005D0210">
              <w:rPr>
                <w:rFonts w:eastAsia="Times New Roman" w:cstheme="minorHAnsi"/>
                <w:sz w:val="16"/>
                <w:szCs w:val="16"/>
              </w:rPr>
              <w:br/>
              <w:t>45</w:t>
            </w:r>
            <w:r w:rsidRPr="005D0210">
              <w:rPr>
                <w:rFonts w:eastAsia="Times New Roman" w:cstheme="minorHAnsi"/>
                <w:sz w:val="16"/>
                <w:szCs w:val="16"/>
              </w:rPr>
              <w:noBreakHyphen/>
              <w:t>64: 42.2%</w:t>
            </w:r>
            <w:r w:rsidRPr="005D0210">
              <w:rPr>
                <w:rFonts w:eastAsia="Times New Roman" w:cstheme="minorHAnsi"/>
                <w:sz w:val="16"/>
                <w:szCs w:val="16"/>
              </w:rPr>
              <w:br/>
              <w:t>65+: 12.5%</w:t>
            </w:r>
          </w:p>
        </w:tc>
        <w:tc>
          <w:tcPr>
            <w:tcW w:w="851" w:type="dxa"/>
            <w:hideMark/>
          </w:tcPr>
          <w:p w14:paraId="33556C13"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50.2</w:t>
            </w:r>
          </w:p>
        </w:tc>
        <w:tc>
          <w:tcPr>
            <w:tcW w:w="1701" w:type="dxa"/>
            <w:hideMark/>
          </w:tcPr>
          <w:p w14:paraId="6F1FE36D"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iCs/>
                <w:sz w:val="16"/>
                <w:szCs w:val="16"/>
              </w:rPr>
            </w:pPr>
            <w:r w:rsidRPr="005D0210">
              <w:rPr>
                <w:rFonts w:eastAsia="Times New Roman" w:cstheme="minorHAnsi"/>
                <w:iCs/>
                <w:sz w:val="16"/>
                <w:szCs w:val="16"/>
              </w:rPr>
              <w:t>A probability sample employs stratified clusters of households drawn from an initial sampling frame that covers the civilian, non</w:t>
            </w:r>
            <w:r w:rsidRPr="005D0210">
              <w:rPr>
                <w:rFonts w:eastAsia="Times New Roman" w:cstheme="minorHAnsi"/>
                <w:iCs/>
                <w:sz w:val="16"/>
                <w:szCs w:val="16"/>
              </w:rPr>
              <w:noBreakHyphen/>
              <w:t xml:space="preserve">institutionalized population. </w:t>
            </w:r>
          </w:p>
        </w:tc>
        <w:tc>
          <w:tcPr>
            <w:tcW w:w="992" w:type="dxa"/>
            <w:hideMark/>
          </w:tcPr>
          <w:p w14:paraId="3564B439"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NR</w:t>
            </w:r>
          </w:p>
        </w:tc>
        <w:tc>
          <w:tcPr>
            <w:tcW w:w="2302" w:type="dxa"/>
            <w:hideMark/>
          </w:tcPr>
          <w:p w14:paraId="7362D0A3"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iCs/>
                <w:sz w:val="16"/>
                <w:szCs w:val="16"/>
              </w:rPr>
            </w:pPr>
            <w:r w:rsidRPr="005D0210">
              <w:rPr>
                <w:rFonts w:eastAsia="Times New Roman" w:cstheme="minorHAnsi"/>
                <w:iCs/>
                <w:sz w:val="16"/>
                <w:szCs w:val="16"/>
              </w:rPr>
              <w:t>Having made a quit attempt was more likely among smokers using e</w:t>
            </w:r>
            <w:r w:rsidRPr="005D0210">
              <w:rPr>
                <w:rFonts w:eastAsia="Times New Roman" w:cstheme="minorHAnsi"/>
                <w:iCs/>
                <w:sz w:val="16"/>
                <w:szCs w:val="16"/>
              </w:rPr>
              <w:noBreakHyphen/>
              <w:t>cigarettes than non</w:t>
            </w:r>
            <w:r w:rsidRPr="005D0210">
              <w:rPr>
                <w:rFonts w:eastAsia="Times New Roman" w:cstheme="minorHAnsi"/>
                <w:iCs/>
                <w:sz w:val="16"/>
                <w:szCs w:val="16"/>
              </w:rPr>
              <w:noBreakHyphen/>
              <w:t>users. Among those making at least one quit attempt, quit success was lower among ever users, but higher among those with at least 5 days use of e</w:t>
            </w:r>
            <w:r w:rsidRPr="005D0210">
              <w:rPr>
                <w:rFonts w:eastAsia="Times New Roman" w:cstheme="minorHAnsi"/>
                <w:iCs/>
                <w:sz w:val="16"/>
                <w:szCs w:val="16"/>
              </w:rPr>
              <w:noBreakHyphen/>
              <w:t>cigarettes in the last month. A negative relationship was obtained between quit success and e</w:t>
            </w:r>
            <w:r w:rsidRPr="005D0210">
              <w:rPr>
                <w:rFonts w:eastAsia="Times New Roman" w:cstheme="minorHAnsi"/>
                <w:iCs/>
                <w:sz w:val="16"/>
                <w:szCs w:val="16"/>
              </w:rPr>
              <w:noBreakHyphen/>
              <w:t>cigarette ever use, but a positive relationship was observed with current e</w:t>
            </w:r>
            <w:r w:rsidRPr="005D0210">
              <w:rPr>
                <w:rFonts w:eastAsia="Times New Roman" w:cstheme="minorHAnsi"/>
                <w:iCs/>
                <w:sz w:val="16"/>
                <w:szCs w:val="16"/>
              </w:rPr>
              <w:noBreakHyphen/>
              <w:t xml:space="preserve">cigarette use measures. Moreover, the AOR of quit success was 59% higher with 5+ days use and 181% higher with 20+ days use. </w:t>
            </w:r>
          </w:p>
        </w:tc>
        <w:tc>
          <w:tcPr>
            <w:tcW w:w="1984" w:type="dxa"/>
            <w:hideMark/>
          </w:tcPr>
          <w:p w14:paraId="30EAE691"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iCs/>
                <w:sz w:val="16"/>
                <w:szCs w:val="16"/>
              </w:rPr>
            </w:pPr>
            <w:r w:rsidRPr="005D0210">
              <w:rPr>
                <w:rFonts w:eastAsia="Times New Roman" w:cstheme="minorHAnsi"/>
                <w:iCs/>
                <w:sz w:val="16"/>
                <w:szCs w:val="16"/>
              </w:rPr>
              <w:t>Both quit attempts and quit success were positively associated with increased frequency of e</w:t>
            </w:r>
            <w:r w:rsidRPr="005D0210">
              <w:rPr>
                <w:rFonts w:eastAsia="Times New Roman" w:cstheme="minorHAnsi"/>
                <w:iCs/>
                <w:sz w:val="16"/>
                <w:szCs w:val="16"/>
              </w:rPr>
              <w:noBreakHyphen/>
              <w:t>cigarette use. Frequency of e</w:t>
            </w:r>
            <w:r w:rsidRPr="005D0210">
              <w:rPr>
                <w:rFonts w:eastAsia="Times New Roman" w:cstheme="minorHAnsi"/>
                <w:iCs/>
                <w:sz w:val="16"/>
                <w:szCs w:val="16"/>
              </w:rPr>
              <w:noBreakHyphen/>
              <w:t>cigarette use was important in gauging the nature of these relationships.</w:t>
            </w:r>
          </w:p>
        </w:tc>
      </w:tr>
      <w:tr w:rsidR="00781923" w:rsidRPr="005D0210" w14:paraId="50C38D09" w14:textId="77777777" w:rsidTr="004E728C">
        <w:trPr>
          <w:cnfStyle w:val="000000100000" w:firstRow="0" w:lastRow="0" w:firstColumn="0" w:lastColumn="0" w:oddVBand="0" w:evenVBand="0" w:oddHBand="1" w:evenHBand="0" w:firstRowFirstColumn="0" w:firstRowLastColumn="0" w:lastRowFirstColumn="0" w:lastRowLastColumn="0"/>
          <w:trHeight w:val="2967"/>
        </w:trPr>
        <w:tc>
          <w:tcPr>
            <w:cnfStyle w:val="001000000000" w:firstRow="0" w:lastRow="0" w:firstColumn="1" w:lastColumn="0" w:oddVBand="0" w:evenVBand="0" w:oddHBand="0" w:evenHBand="0" w:firstRowFirstColumn="0" w:firstRowLastColumn="0" w:lastRowFirstColumn="0" w:lastRowLastColumn="0"/>
            <w:tcW w:w="988" w:type="dxa"/>
            <w:hideMark/>
          </w:tcPr>
          <w:p w14:paraId="03641BFB" w14:textId="77777777" w:rsidR="00781923" w:rsidRPr="005D0210" w:rsidRDefault="00781923" w:rsidP="004E728C">
            <w:pPr>
              <w:rPr>
                <w:rFonts w:eastAsia="Times New Roman" w:cstheme="minorHAnsi"/>
                <w:sz w:val="16"/>
                <w:szCs w:val="16"/>
              </w:rPr>
            </w:pPr>
            <w:r w:rsidRPr="005D0210">
              <w:rPr>
                <w:rFonts w:eastAsia="Times New Roman" w:cstheme="minorHAnsi"/>
                <w:sz w:val="16"/>
                <w:szCs w:val="16"/>
              </w:rPr>
              <w:t>O'Connor 2017</w:t>
            </w:r>
          </w:p>
        </w:tc>
        <w:tc>
          <w:tcPr>
            <w:tcW w:w="1559" w:type="dxa"/>
            <w:hideMark/>
          </w:tcPr>
          <w:p w14:paraId="32920CA1" w14:textId="33926D36"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iCs/>
                <w:sz w:val="16"/>
                <w:szCs w:val="16"/>
              </w:rPr>
            </w:pPr>
            <w:r w:rsidRPr="005D0210">
              <w:rPr>
                <w:rFonts w:eastAsia="Times New Roman" w:cstheme="minorHAnsi"/>
                <w:iCs/>
                <w:sz w:val="16"/>
                <w:szCs w:val="16"/>
              </w:rPr>
              <w:t>This study examined correlates of smoking self</w:t>
            </w:r>
            <w:r w:rsidRPr="005D0210">
              <w:rPr>
                <w:rFonts w:eastAsia="Times New Roman" w:cstheme="minorHAnsi"/>
                <w:iCs/>
                <w:sz w:val="16"/>
                <w:szCs w:val="16"/>
              </w:rPr>
              <w:noBreakHyphen/>
              <w:t>and felt</w:t>
            </w:r>
            <w:r w:rsidRPr="005D0210">
              <w:rPr>
                <w:rFonts w:eastAsia="Times New Roman" w:cstheme="minorHAnsi"/>
                <w:iCs/>
                <w:sz w:val="16"/>
                <w:szCs w:val="16"/>
              </w:rPr>
              <w:noBreakHyphen/>
              <w:t>stigma and discrimination, among current smokers.</w:t>
            </w:r>
          </w:p>
        </w:tc>
        <w:tc>
          <w:tcPr>
            <w:tcW w:w="850" w:type="dxa"/>
            <w:hideMark/>
          </w:tcPr>
          <w:p w14:paraId="27FB48EB"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Own survey</w:t>
            </w:r>
          </w:p>
        </w:tc>
        <w:tc>
          <w:tcPr>
            <w:tcW w:w="993" w:type="dxa"/>
            <w:hideMark/>
          </w:tcPr>
          <w:p w14:paraId="6E291D56"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USA</w:t>
            </w:r>
          </w:p>
        </w:tc>
        <w:tc>
          <w:tcPr>
            <w:tcW w:w="992" w:type="dxa"/>
            <w:hideMark/>
          </w:tcPr>
          <w:p w14:paraId="3A574E66"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2015</w:t>
            </w:r>
          </w:p>
        </w:tc>
        <w:tc>
          <w:tcPr>
            <w:tcW w:w="992" w:type="dxa"/>
            <w:hideMark/>
          </w:tcPr>
          <w:p w14:paraId="42677718"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1528</w:t>
            </w:r>
          </w:p>
        </w:tc>
        <w:tc>
          <w:tcPr>
            <w:tcW w:w="1134" w:type="dxa"/>
            <w:hideMark/>
          </w:tcPr>
          <w:p w14:paraId="1650BDF8"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14</w:t>
            </w:r>
            <w:r w:rsidRPr="005D0210">
              <w:rPr>
                <w:rFonts w:eastAsia="Times New Roman" w:cstheme="minorHAnsi"/>
                <w:sz w:val="16"/>
                <w:szCs w:val="16"/>
              </w:rPr>
              <w:noBreakHyphen/>
              <w:t>17: 5.4%</w:t>
            </w:r>
            <w:r w:rsidRPr="005D0210">
              <w:rPr>
                <w:rFonts w:eastAsia="Times New Roman" w:cstheme="minorHAnsi"/>
                <w:sz w:val="16"/>
                <w:szCs w:val="16"/>
              </w:rPr>
              <w:br/>
              <w:t>18</w:t>
            </w:r>
            <w:r w:rsidRPr="005D0210">
              <w:rPr>
                <w:rFonts w:eastAsia="Times New Roman" w:cstheme="minorHAnsi"/>
                <w:sz w:val="16"/>
                <w:szCs w:val="16"/>
              </w:rPr>
              <w:noBreakHyphen/>
              <w:t>25: 4.2%</w:t>
            </w:r>
            <w:r w:rsidRPr="005D0210">
              <w:rPr>
                <w:rFonts w:eastAsia="Times New Roman" w:cstheme="minorHAnsi"/>
                <w:sz w:val="16"/>
                <w:szCs w:val="16"/>
              </w:rPr>
              <w:br/>
              <w:t>26</w:t>
            </w:r>
            <w:r w:rsidRPr="005D0210">
              <w:rPr>
                <w:rFonts w:eastAsia="Times New Roman" w:cstheme="minorHAnsi"/>
                <w:sz w:val="16"/>
                <w:szCs w:val="16"/>
              </w:rPr>
              <w:noBreakHyphen/>
              <w:t>35: 38.6%</w:t>
            </w:r>
            <w:r w:rsidRPr="005D0210">
              <w:rPr>
                <w:rFonts w:eastAsia="Times New Roman" w:cstheme="minorHAnsi"/>
                <w:sz w:val="16"/>
                <w:szCs w:val="16"/>
              </w:rPr>
              <w:br/>
              <w:t>36</w:t>
            </w:r>
            <w:r w:rsidRPr="005D0210">
              <w:rPr>
                <w:rFonts w:eastAsia="Times New Roman" w:cstheme="minorHAnsi"/>
                <w:sz w:val="16"/>
                <w:szCs w:val="16"/>
              </w:rPr>
              <w:noBreakHyphen/>
              <w:t>45: 22.5%</w:t>
            </w:r>
            <w:r w:rsidRPr="005D0210">
              <w:rPr>
                <w:rFonts w:eastAsia="Times New Roman" w:cstheme="minorHAnsi"/>
                <w:sz w:val="16"/>
                <w:szCs w:val="16"/>
              </w:rPr>
              <w:br/>
              <w:t>46</w:t>
            </w:r>
            <w:r w:rsidRPr="005D0210">
              <w:rPr>
                <w:rFonts w:eastAsia="Times New Roman" w:cstheme="minorHAnsi"/>
                <w:sz w:val="16"/>
                <w:szCs w:val="16"/>
              </w:rPr>
              <w:noBreakHyphen/>
              <w:t>55: 16.5%</w:t>
            </w:r>
            <w:r w:rsidRPr="005D0210">
              <w:rPr>
                <w:rFonts w:eastAsia="Times New Roman" w:cstheme="minorHAnsi"/>
                <w:sz w:val="16"/>
                <w:szCs w:val="16"/>
              </w:rPr>
              <w:br/>
              <w:t>56+: 12.8%</w:t>
            </w:r>
          </w:p>
        </w:tc>
        <w:tc>
          <w:tcPr>
            <w:tcW w:w="851" w:type="dxa"/>
            <w:hideMark/>
          </w:tcPr>
          <w:p w14:paraId="32949C4D"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43</w:t>
            </w:r>
          </w:p>
        </w:tc>
        <w:tc>
          <w:tcPr>
            <w:tcW w:w="1701" w:type="dxa"/>
            <w:hideMark/>
          </w:tcPr>
          <w:p w14:paraId="0A3CFB36"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Recruited through a national commercial consumer panel. Web</w:t>
            </w:r>
            <w:r w:rsidRPr="005D0210">
              <w:rPr>
                <w:rFonts w:eastAsia="Times New Roman" w:cstheme="minorHAnsi"/>
                <w:sz w:val="16"/>
                <w:szCs w:val="16"/>
              </w:rPr>
              <w:noBreakHyphen/>
              <w:t xml:space="preserve">based survey. </w:t>
            </w:r>
          </w:p>
        </w:tc>
        <w:tc>
          <w:tcPr>
            <w:tcW w:w="992" w:type="dxa"/>
            <w:hideMark/>
          </w:tcPr>
          <w:p w14:paraId="607DF3CC"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NR</w:t>
            </w:r>
          </w:p>
        </w:tc>
        <w:tc>
          <w:tcPr>
            <w:tcW w:w="2302" w:type="dxa"/>
            <w:hideMark/>
          </w:tcPr>
          <w:p w14:paraId="5AFEC741"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iCs/>
                <w:sz w:val="16"/>
                <w:szCs w:val="16"/>
              </w:rPr>
            </w:pPr>
            <w:r w:rsidRPr="005D0210">
              <w:rPr>
                <w:rFonts w:eastAsia="Times New Roman" w:cstheme="minorHAnsi"/>
                <w:iCs/>
                <w:sz w:val="16"/>
                <w:szCs w:val="16"/>
              </w:rPr>
              <w:t>Self</w:t>
            </w:r>
            <w:r w:rsidRPr="005D0210">
              <w:rPr>
                <w:rFonts w:eastAsia="Times New Roman" w:cstheme="minorHAnsi"/>
                <w:iCs/>
                <w:sz w:val="16"/>
                <w:szCs w:val="16"/>
              </w:rPr>
              <w:noBreakHyphen/>
              <w:t>stigma was significantly associated with higher intent to quit in the next 6 months and in the next 30 days, relative to no intention to quit, as well as having made 1 or 2 quit attempts in the past year or 3 or more quit attempts and associated with daily e</w:t>
            </w:r>
            <w:r w:rsidRPr="005D0210">
              <w:rPr>
                <w:rFonts w:eastAsia="Times New Roman" w:cstheme="minorHAnsi"/>
                <w:iCs/>
                <w:sz w:val="16"/>
                <w:szCs w:val="16"/>
              </w:rPr>
              <w:noBreakHyphen/>
              <w:t>cigarette use (OR D 1.73, p&lt;0.05). Felt</w:t>
            </w:r>
            <w:r w:rsidRPr="005D0210">
              <w:rPr>
                <w:rFonts w:eastAsia="Times New Roman" w:cstheme="minorHAnsi"/>
                <w:iCs/>
                <w:sz w:val="16"/>
                <w:szCs w:val="16"/>
              </w:rPr>
              <w:noBreakHyphen/>
              <w:t xml:space="preserve">stigma was positively associated with intent to quit in the next 30, having made 3 or more quit attempts in the past year, and both daily (OR D 2.05, </w:t>
            </w:r>
            <w:r w:rsidRPr="005D0210">
              <w:rPr>
                <w:rFonts w:eastAsia="Times New Roman" w:cstheme="minorHAnsi"/>
                <w:iCs/>
                <w:sz w:val="16"/>
                <w:szCs w:val="16"/>
              </w:rPr>
              <w:lastRenderedPageBreak/>
              <w:t>p&lt;0.05) and some</w:t>
            </w:r>
            <w:r w:rsidRPr="005D0210">
              <w:rPr>
                <w:rFonts w:eastAsia="Times New Roman" w:cstheme="minorHAnsi"/>
                <w:iCs/>
                <w:sz w:val="16"/>
                <w:szCs w:val="16"/>
              </w:rPr>
              <w:noBreakHyphen/>
              <w:t>day (OR D 1.30, p&lt;0.05) e</w:t>
            </w:r>
            <w:r w:rsidRPr="005D0210">
              <w:rPr>
                <w:rFonts w:eastAsia="Times New Roman" w:cstheme="minorHAnsi"/>
                <w:iCs/>
                <w:sz w:val="16"/>
                <w:szCs w:val="16"/>
              </w:rPr>
              <w:noBreakHyphen/>
              <w:t xml:space="preserve">cigarette use. </w:t>
            </w:r>
          </w:p>
        </w:tc>
        <w:tc>
          <w:tcPr>
            <w:tcW w:w="1984" w:type="dxa"/>
            <w:hideMark/>
          </w:tcPr>
          <w:p w14:paraId="7B2EE2E6"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iCs/>
                <w:sz w:val="16"/>
                <w:szCs w:val="16"/>
              </w:rPr>
            </w:pPr>
            <w:r w:rsidRPr="005D0210">
              <w:rPr>
                <w:rFonts w:eastAsia="Times New Roman" w:cstheme="minorHAnsi"/>
                <w:iCs/>
                <w:sz w:val="16"/>
                <w:szCs w:val="16"/>
              </w:rPr>
              <w:lastRenderedPageBreak/>
              <w:t>Smokers who reported greater feelings of stigmatization about their smoking were more likely to report having made recent quit attempts, report a stronger intention quit smoking in the future, and report use of e</w:t>
            </w:r>
            <w:r w:rsidRPr="005D0210">
              <w:rPr>
                <w:rFonts w:eastAsia="Times New Roman" w:cstheme="minorHAnsi"/>
                <w:iCs/>
                <w:sz w:val="16"/>
                <w:szCs w:val="16"/>
              </w:rPr>
              <w:noBreakHyphen/>
              <w:t>cigarettes, suggesting that feelings of self</w:t>
            </w:r>
            <w:r w:rsidRPr="005D0210">
              <w:rPr>
                <w:rFonts w:eastAsia="Times New Roman" w:cstheme="minorHAnsi"/>
                <w:iCs/>
                <w:sz w:val="16"/>
                <w:szCs w:val="16"/>
              </w:rPr>
              <w:noBreakHyphen/>
              <w:t>and felt</w:t>
            </w:r>
            <w:r w:rsidRPr="005D0210">
              <w:rPr>
                <w:rFonts w:eastAsia="Times New Roman" w:cstheme="minorHAnsi"/>
                <w:iCs/>
                <w:sz w:val="16"/>
                <w:szCs w:val="16"/>
              </w:rPr>
              <w:noBreakHyphen/>
              <w:t>stigmatization are related to greater motivation to stop smoking.</w:t>
            </w:r>
          </w:p>
        </w:tc>
      </w:tr>
      <w:tr w:rsidR="00781923" w:rsidRPr="005D0210" w14:paraId="4E9A849A" w14:textId="77777777" w:rsidTr="004E728C">
        <w:trPr>
          <w:trHeight w:val="2444"/>
        </w:trPr>
        <w:tc>
          <w:tcPr>
            <w:cnfStyle w:val="001000000000" w:firstRow="0" w:lastRow="0" w:firstColumn="1" w:lastColumn="0" w:oddVBand="0" w:evenVBand="0" w:oddHBand="0" w:evenHBand="0" w:firstRowFirstColumn="0" w:firstRowLastColumn="0" w:lastRowFirstColumn="0" w:lastRowLastColumn="0"/>
            <w:tcW w:w="988" w:type="dxa"/>
            <w:hideMark/>
          </w:tcPr>
          <w:p w14:paraId="7906794B" w14:textId="77777777" w:rsidR="00781923" w:rsidRPr="005D0210" w:rsidRDefault="00781923" w:rsidP="004E728C">
            <w:pPr>
              <w:rPr>
                <w:rFonts w:eastAsia="Times New Roman" w:cstheme="minorHAnsi"/>
                <w:sz w:val="16"/>
                <w:szCs w:val="16"/>
              </w:rPr>
            </w:pPr>
            <w:r w:rsidRPr="005D0210">
              <w:rPr>
                <w:rFonts w:eastAsia="Times New Roman" w:cstheme="minorHAnsi"/>
                <w:sz w:val="16"/>
                <w:szCs w:val="16"/>
              </w:rPr>
              <w:t>Phung 2017</w:t>
            </w:r>
          </w:p>
        </w:tc>
        <w:tc>
          <w:tcPr>
            <w:tcW w:w="1559" w:type="dxa"/>
            <w:hideMark/>
          </w:tcPr>
          <w:p w14:paraId="08682916"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iCs/>
                <w:sz w:val="16"/>
                <w:szCs w:val="16"/>
              </w:rPr>
            </w:pPr>
            <w:r w:rsidRPr="005D0210">
              <w:rPr>
                <w:rFonts w:eastAsia="Times New Roman" w:cstheme="minorHAnsi"/>
                <w:iCs/>
                <w:sz w:val="16"/>
                <w:szCs w:val="16"/>
              </w:rPr>
              <w:t>This study examined the use of smoking cessation agents, including nicotine replacement products and prescription medications, in a sample of smokers in the city of Winnipeg.</w:t>
            </w:r>
          </w:p>
        </w:tc>
        <w:tc>
          <w:tcPr>
            <w:tcW w:w="850" w:type="dxa"/>
            <w:hideMark/>
          </w:tcPr>
          <w:p w14:paraId="1EFCE7C4"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Own survey</w:t>
            </w:r>
          </w:p>
        </w:tc>
        <w:tc>
          <w:tcPr>
            <w:tcW w:w="993" w:type="dxa"/>
            <w:hideMark/>
          </w:tcPr>
          <w:p w14:paraId="67541B93"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Winnapeg, Canada</w:t>
            </w:r>
          </w:p>
        </w:tc>
        <w:tc>
          <w:tcPr>
            <w:tcW w:w="992" w:type="dxa"/>
            <w:hideMark/>
          </w:tcPr>
          <w:p w14:paraId="20B2BA49"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2015</w:t>
            </w:r>
          </w:p>
        </w:tc>
        <w:tc>
          <w:tcPr>
            <w:tcW w:w="992" w:type="dxa"/>
            <w:hideMark/>
          </w:tcPr>
          <w:p w14:paraId="03A13ADF"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180</w:t>
            </w:r>
          </w:p>
        </w:tc>
        <w:tc>
          <w:tcPr>
            <w:tcW w:w="1134" w:type="dxa"/>
            <w:hideMark/>
          </w:tcPr>
          <w:p w14:paraId="5B5C20E7"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26</w:t>
            </w:r>
            <w:r w:rsidRPr="005D0210">
              <w:rPr>
                <w:rFonts w:eastAsia="Times New Roman" w:cstheme="minorHAnsi"/>
                <w:sz w:val="16"/>
                <w:szCs w:val="16"/>
              </w:rPr>
              <w:noBreakHyphen/>
              <w:t>55: 63%</w:t>
            </w:r>
          </w:p>
        </w:tc>
        <w:tc>
          <w:tcPr>
            <w:tcW w:w="851" w:type="dxa"/>
            <w:hideMark/>
          </w:tcPr>
          <w:p w14:paraId="786717FB"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48.9</w:t>
            </w:r>
          </w:p>
        </w:tc>
        <w:tc>
          <w:tcPr>
            <w:tcW w:w="1701" w:type="dxa"/>
            <w:hideMark/>
          </w:tcPr>
          <w:p w14:paraId="260FDEC3"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Approached with paper</w:t>
            </w:r>
            <w:r w:rsidRPr="005D0210">
              <w:rPr>
                <w:rFonts w:eastAsia="Times New Roman" w:cstheme="minorHAnsi"/>
                <w:sz w:val="16"/>
                <w:szCs w:val="16"/>
              </w:rPr>
              <w:noBreakHyphen/>
              <w:t>based survey in a pharmacy.</w:t>
            </w:r>
          </w:p>
        </w:tc>
        <w:tc>
          <w:tcPr>
            <w:tcW w:w="992" w:type="dxa"/>
            <w:hideMark/>
          </w:tcPr>
          <w:p w14:paraId="49E1ABF1"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30.7</w:t>
            </w:r>
          </w:p>
        </w:tc>
        <w:tc>
          <w:tcPr>
            <w:tcW w:w="2302" w:type="dxa"/>
            <w:hideMark/>
          </w:tcPr>
          <w:p w14:paraId="718E12DE"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iCs/>
                <w:sz w:val="16"/>
                <w:szCs w:val="16"/>
              </w:rPr>
            </w:pPr>
            <w:r w:rsidRPr="005D0210">
              <w:rPr>
                <w:rFonts w:eastAsia="Times New Roman" w:cstheme="minorHAnsi"/>
                <w:iCs/>
                <w:sz w:val="16"/>
                <w:szCs w:val="16"/>
              </w:rPr>
              <w:t>The product most commonly used by current smokers was nicotine gum (16.3%). Use of electronic cigarettes was reported by 14.7% of users, nicotine patches by 10.8% and varenicline by 7.6%; none of the participants reported use of bupropion or nicotine inhalers. While 25.6% of all responders felt that none of the smoking cessation methods were effective, electronic cigarettes were rated as the preferred method (97.2%) by those who had tried them.</w:t>
            </w:r>
          </w:p>
        </w:tc>
        <w:tc>
          <w:tcPr>
            <w:tcW w:w="1984" w:type="dxa"/>
            <w:hideMark/>
          </w:tcPr>
          <w:p w14:paraId="7276B213"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iCs/>
                <w:sz w:val="16"/>
                <w:szCs w:val="16"/>
              </w:rPr>
            </w:pPr>
            <w:r w:rsidRPr="005D0210">
              <w:rPr>
                <w:rFonts w:eastAsia="Times New Roman" w:cstheme="minorHAnsi"/>
                <w:iCs/>
                <w:sz w:val="16"/>
                <w:szCs w:val="16"/>
              </w:rPr>
              <w:t xml:space="preserve">Smokers wanting to quit undergo many attempts. Pharmacists should assume a key role in reaching out to smokers. </w:t>
            </w:r>
          </w:p>
        </w:tc>
      </w:tr>
      <w:tr w:rsidR="00781923" w:rsidRPr="005D0210" w14:paraId="30FD7E4F" w14:textId="77777777" w:rsidTr="004E728C">
        <w:trPr>
          <w:cnfStyle w:val="000000100000" w:firstRow="0" w:lastRow="0" w:firstColumn="0" w:lastColumn="0" w:oddVBand="0" w:evenVBand="0" w:oddHBand="1" w:evenHBand="0" w:firstRowFirstColumn="0" w:firstRowLastColumn="0" w:lastRowFirstColumn="0" w:lastRowLastColumn="0"/>
          <w:trHeight w:val="1550"/>
        </w:trPr>
        <w:tc>
          <w:tcPr>
            <w:cnfStyle w:val="001000000000" w:firstRow="0" w:lastRow="0" w:firstColumn="1" w:lastColumn="0" w:oddVBand="0" w:evenVBand="0" w:oddHBand="0" w:evenHBand="0" w:firstRowFirstColumn="0" w:firstRowLastColumn="0" w:lastRowFirstColumn="0" w:lastRowLastColumn="0"/>
            <w:tcW w:w="988" w:type="dxa"/>
            <w:hideMark/>
          </w:tcPr>
          <w:p w14:paraId="18DDF1F9" w14:textId="77777777" w:rsidR="00781923" w:rsidRPr="005D0210" w:rsidRDefault="00781923" w:rsidP="004E728C">
            <w:pPr>
              <w:rPr>
                <w:rFonts w:eastAsia="Times New Roman" w:cstheme="minorHAnsi"/>
                <w:sz w:val="16"/>
                <w:szCs w:val="16"/>
              </w:rPr>
            </w:pPr>
            <w:r w:rsidRPr="005D0210">
              <w:rPr>
                <w:rFonts w:eastAsia="Times New Roman" w:cstheme="minorHAnsi"/>
                <w:sz w:val="16"/>
                <w:szCs w:val="16"/>
              </w:rPr>
              <w:t>Rodu 2017</w:t>
            </w:r>
          </w:p>
        </w:tc>
        <w:tc>
          <w:tcPr>
            <w:tcW w:w="1559" w:type="dxa"/>
            <w:hideMark/>
          </w:tcPr>
          <w:p w14:paraId="159891C3"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iCs/>
                <w:sz w:val="16"/>
                <w:szCs w:val="16"/>
              </w:rPr>
            </w:pPr>
            <w:r w:rsidRPr="005D0210">
              <w:rPr>
                <w:rFonts w:eastAsia="Times New Roman" w:cstheme="minorHAnsi"/>
                <w:iCs/>
                <w:sz w:val="16"/>
                <w:szCs w:val="16"/>
              </w:rPr>
              <w:t xml:space="preserve">This report describes the quit methods used in the past 12 months by current and former smokers in the baseline Population Assessment of Tobacco and Health (PATH) Study during 2013–2014. </w:t>
            </w:r>
          </w:p>
        </w:tc>
        <w:tc>
          <w:tcPr>
            <w:tcW w:w="850" w:type="dxa"/>
            <w:hideMark/>
          </w:tcPr>
          <w:p w14:paraId="191C9114"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 xml:space="preserve">Population Assessment of Tobacco and Health (PATH) Study </w:t>
            </w:r>
          </w:p>
        </w:tc>
        <w:tc>
          <w:tcPr>
            <w:tcW w:w="993" w:type="dxa"/>
            <w:hideMark/>
          </w:tcPr>
          <w:p w14:paraId="77F65852"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USA</w:t>
            </w:r>
          </w:p>
        </w:tc>
        <w:tc>
          <w:tcPr>
            <w:tcW w:w="992" w:type="dxa"/>
            <w:hideMark/>
          </w:tcPr>
          <w:p w14:paraId="40A73A80"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2013</w:t>
            </w:r>
            <w:r w:rsidRPr="005D0210">
              <w:rPr>
                <w:rFonts w:eastAsia="Times New Roman" w:cstheme="minorHAnsi"/>
                <w:sz w:val="16"/>
                <w:szCs w:val="16"/>
              </w:rPr>
              <w:noBreakHyphen/>
              <w:t>14</w:t>
            </w:r>
          </w:p>
        </w:tc>
        <w:tc>
          <w:tcPr>
            <w:tcW w:w="992" w:type="dxa"/>
            <w:hideMark/>
          </w:tcPr>
          <w:p w14:paraId="6A7C0BF3"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16321</w:t>
            </w:r>
          </w:p>
        </w:tc>
        <w:tc>
          <w:tcPr>
            <w:tcW w:w="1134" w:type="dxa"/>
            <w:hideMark/>
          </w:tcPr>
          <w:p w14:paraId="33E3661C"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NR</w:t>
            </w:r>
          </w:p>
        </w:tc>
        <w:tc>
          <w:tcPr>
            <w:tcW w:w="851" w:type="dxa"/>
            <w:hideMark/>
          </w:tcPr>
          <w:p w14:paraId="35D10B2D"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NR</w:t>
            </w:r>
          </w:p>
        </w:tc>
        <w:tc>
          <w:tcPr>
            <w:tcW w:w="1701" w:type="dxa"/>
            <w:hideMark/>
          </w:tcPr>
          <w:p w14:paraId="2FA6905F"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Representative population sample as per PATH protocol. Interviews of non</w:t>
            </w:r>
            <w:r w:rsidRPr="005D0210">
              <w:rPr>
                <w:rFonts w:eastAsia="Times New Roman" w:cstheme="minorHAnsi"/>
                <w:sz w:val="16"/>
                <w:szCs w:val="16"/>
              </w:rPr>
              <w:noBreakHyphen/>
              <w:t>institutionalised American’s.</w:t>
            </w:r>
          </w:p>
        </w:tc>
        <w:tc>
          <w:tcPr>
            <w:tcW w:w="992" w:type="dxa"/>
            <w:hideMark/>
          </w:tcPr>
          <w:p w14:paraId="23FD49E1"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NR</w:t>
            </w:r>
          </w:p>
        </w:tc>
        <w:tc>
          <w:tcPr>
            <w:tcW w:w="2302" w:type="dxa"/>
            <w:hideMark/>
          </w:tcPr>
          <w:p w14:paraId="47080D83"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iCs/>
                <w:sz w:val="16"/>
                <w:szCs w:val="16"/>
              </w:rPr>
            </w:pPr>
            <w:r w:rsidRPr="005D0210">
              <w:rPr>
                <w:rFonts w:eastAsia="Times New Roman" w:cstheme="minorHAnsi"/>
                <w:iCs/>
                <w:sz w:val="16"/>
                <w:szCs w:val="16"/>
              </w:rPr>
              <w:t>Unaided quit attempts were the most common; the number was almost as high as all single methods combined (n=1797 and n=1831 respectively). The most frequently used single method was help from friends and family (n=676) followed by e</w:t>
            </w:r>
            <w:r w:rsidRPr="005D0210">
              <w:rPr>
                <w:rFonts w:eastAsia="Times New Roman" w:cstheme="minorHAnsi"/>
                <w:iCs/>
                <w:sz w:val="16"/>
                <w:szCs w:val="16"/>
              </w:rPr>
              <w:noBreakHyphen/>
              <w:t>cigarettes (n=587). Use of e</w:t>
            </w:r>
            <w:r w:rsidRPr="005D0210">
              <w:rPr>
                <w:rFonts w:eastAsia="Times New Roman" w:cstheme="minorHAnsi"/>
                <w:iCs/>
                <w:sz w:val="16"/>
                <w:szCs w:val="16"/>
              </w:rPr>
              <w:noBreakHyphen/>
              <w:t>cigarettes was the only method with higher odds of users being a former smoker than unaided attempts (OR=1.42, 95% CI 1.12–1.81). Current use of e</w:t>
            </w:r>
            <w:r w:rsidRPr="005D0210">
              <w:rPr>
                <w:rFonts w:eastAsia="Times New Roman" w:cstheme="minorHAnsi"/>
                <w:iCs/>
                <w:sz w:val="16"/>
                <w:szCs w:val="16"/>
              </w:rPr>
              <w:noBreakHyphen/>
              <w:t xml:space="preserve">cigarettes among current (34%) and former (54%) smokers was significantly higher than current </w:t>
            </w:r>
            <w:r w:rsidRPr="005D0210">
              <w:rPr>
                <w:rFonts w:eastAsia="Times New Roman" w:cstheme="minorHAnsi"/>
                <w:iCs/>
                <w:sz w:val="16"/>
                <w:szCs w:val="16"/>
              </w:rPr>
              <w:lastRenderedPageBreak/>
              <w:t xml:space="preserve">use of nicotine replacement therapy (NRT). </w:t>
            </w:r>
          </w:p>
        </w:tc>
        <w:tc>
          <w:tcPr>
            <w:tcW w:w="1984" w:type="dxa"/>
            <w:hideMark/>
          </w:tcPr>
          <w:p w14:paraId="1AFB2D17"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iCs/>
                <w:sz w:val="16"/>
                <w:szCs w:val="16"/>
              </w:rPr>
            </w:pPr>
            <w:r w:rsidRPr="005D0210">
              <w:rPr>
                <w:rFonts w:eastAsia="Times New Roman" w:cstheme="minorHAnsi"/>
                <w:iCs/>
                <w:sz w:val="16"/>
                <w:szCs w:val="16"/>
              </w:rPr>
              <w:lastRenderedPageBreak/>
              <w:t>In 2013–2014 e</w:t>
            </w:r>
            <w:r w:rsidRPr="005D0210">
              <w:rPr>
                <w:rFonts w:eastAsia="Times New Roman" w:cstheme="minorHAnsi"/>
                <w:iCs/>
                <w:sz w:val="16"/>
                <w:szCs w:val="16"/>
              </w:rPr>
              <w:noBreakHyphen/>
              <w:t>cigarettes were used by American adult smokers as quit</w:t>
            </w:r>
            <w:r w:rsidRPr="005D0210">
              <w:rPr>
                <w:rFonts w:eastAsia="Times New Roman" w:cstheme="minorHAnsi"/>
                <w:iCs/>
                <w:sz w:val="16"/>
                <w:szCs w:val="16"/>
              </w:rPr>
              <w:noBreakHyphen/>
              <w:t>smoking aids more frequently than NRT products or prescription drugs.</w:t>
            </w:r>
          </w:p>
        </w:tc>
      </w:tr>
      <w:tr w:rsidR="00781923" w:rsidRPr="005D0210" w14:paraId="0F6F7E60" w14:textId="77777777" w:rsidTr="004E728C">
        <w:trPr>
          <w:trHeight w:val="416"/>
        </w:trPr>
        <w:tc>
          <w:tcPr>
            <w:cnfStyle w:val="001000000000" w:firstRow="0" w:lastRow="0" w:firstColumn="1" w:lastColumn="0" w:oddVBand="0" w:evenVBand="0" w:oddHBand="0" w:evenHBand="0" w:firstRowFirstColumn="0" w:firstRowLastColumn="0" w:lastRowFirstColumn="0" w:lastRowLastColumn="0"/>
            <w:tcW w:w="988" w:type="dxa"/>
            <w:hideMark/>
          </w:tcPr>
          <w:p w14:paraId="07E363F6" w14:textId="77777777" w:rsidR="00781923" w:rsidRPr="005D0210" w:rsidRDefault="00781923" w:rsidP="004E728C">
            <w:pPr>
              <w:rPr>
                <w:rFonts w:eastAsia="Times New Roman" w:cstheme="minorHAnsi"/>
                <w:sz w:val="16"/>
                <w:szCs w:val="16"/>
              </w:rPr>
            </w:pPr>
            <w:r w:rsidRPr="005D0210">
              <w:rPr>
                <w:rFonts w:eastAsia="Times New Roman" w:cstheme="minorHAnsi"/>
                <w:sz w:val="16"/>
                <w:szCs w:val="16"/>
              </w:rPr>
              <w:t>Serpen 2017 (conference abstract only)</w:t>
            </w:r>
          </w:p>
        </w:tc>
        <w:tc>
          <w:tcPr>
            <w:tcW w:w="1559" w:type="dxa"/>
            <w:hideMark/>
          </w:tcPr>
          <w:p w14:paraId="397E7DE1"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iCs/>
                <w:sz w:val="16"/>
                <w:szCs w:val="16"/>
              </w:rPr>
            </w:pPr>
            <w:r w:rsidRPr="005D0210">
              <w:rPr>
                <w:rFonts w:eastAsia="Times New Roman" w:cstheme="minorHAnsi"/>
                <w:iCs/>
                <w:sz w:val="16"/>
                <w:szCs w:val="16"/>
              </w:rPr>
              <w:t>To analyse the associated behaviour and patterns of e</w:t>
            </w:r>
            <w:r w:rsidRPr="005D0210">
              <w:rPr>
                <w:rFonts w:eastAsia="Times New Roman" w:cstheme="minorHAnsi"/>
                <w:iCs/>
                <w:sz w:val="16"/>
                <w:szCs w:val="16"/>
              </w:rPr>
              <w:noBreakHyphen/>
              <w:t>cigarette usage among patients with IBD.</w:t>
            </w:r>
          </w:p>
        </w:tc>
        <w:tc>
          <w:tcPr>
            <w:tcW w:w="850" w:type="dxa"/>
            <w:hideMark/>
          </w:tcPr>
          <w:p w14:paraId="44AFEC57"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Own survey</w:t>
            </w:r>
          </w:p>
        </w:tc>
        <w:tc>
          <w:tcPr>
            <w:tcW w:w="993" w:type="dxa"/>
            <w:hideMark/>
          </w:tcPr>
          <w:p w14:paraId="2C0AAA03"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USA</w:t>
            </w:r>
          </w:p>
        </w:tc>
        <w:tc>
          <w:tcPr>
            <w:tcW w:w="992" w:type="dxa"/>
            <w:hideMark/>
          </w:tcPr>
          <w:p w14:paraId="3028F7DA"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NR</w:t>
            </w:r>
          </w:p>
        </w:tc>
        <w:tc>
          <w:tcPr>
            <w:tcW w:w="992" w:type="dxa"/>
            <w:hideMark/>
          </w:tcPr>
          <w:p w14:paraId="2EB939F7"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27</w:t>
            </w:r>
          </w:p>
        </w:tc>
        <w:tc>
          <w:tcPr>
            <w:tcW w:w="1134" w:type="dxa"/>
            <w:hideMark/>
          </w:tcPr>
          <w:p w14:paraId="12F1956B"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NR</w:t>
            </w:r>
          </w:p>
        </w:tc>
        <w:tc>
          <w:tcPr>
            <w:tcW w:w="851" w:type="dxa"/>
            <w:hideMark/>
          </w:tcPr>
          <w:p w14:paraId="58FDF7CC"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NR</w:t>
            </w:r>
          </w:p>
        </w:tc>
        <w:tc>
          <w:tcPr>
            <w:tcW w:w="1701" w:type="dxa"/>
            <w:hideMark/>
          </w:tcPr>
          <w:p w14:paraId="2218235B"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 xml:space="preserve">Used a retrospective database of smoking behaviours in an IBD population. Phone questionnaire and medical record audit. </w:t>
            </w:r>
          </w:p>
        </w:tc>
        <w:tc>
          <w:tcPr>
            <w:tcW w:w="992" w:type="dxa"/>
            <w:hideMark/>
          </w:tcPr>
          <w:p w14:paraId="13111029"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67.5</w:t>
            </w:r>
          </w:p>
        </w:tc>
        <w:tc>
          <w:tcPr>
            <w:tcW w:w="2302" w:type="dxa"/>
            <w:hideMark/>
          </w:tcPr>
          <w:p w14:paraId="10A5ADEB"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iCs/>
                <w:sz w:val="16"/>
                <w:szCs w:val="16"/>
              </w:rPr>
            </w:pPr>
            <w:r w:rsidRPr="005D0210">
              <w:rPr>
                <w:rFonts w:eastAsia="Times New Roman" w:cstheme="minorHAnsi"/>
                <w:iCs/>
                <w:sz w:val="16"/>
                <w:szCs w:val="16"/>
              </w:rPr>
              <w:t>Current e</w:t>
            </w:r>
            <w:r w:rsidRPr="005D0210">
              <w:rPr>
                <w:rFonts w:eastAsia="Times New Roman" w:cstheme="minorHAnsi"/>
                <w:iCs/>
                <w:sz w:val="16"/>
                <w:szCs w:val="16"/>
              </w:rPr>
              <w:noBreakHyphen/>
              <w:t>cigarette users, however were less likely to be current smokers (0% versus 50%, p=0.0261). Current e</w:t>
            </w:r>
            <w:r w:rsidRPr="005D0210">
              <w:rPr>
                <w:rFonts w:eastAsia="Times New Roman" w:cstheme="minorHAnsi"/>
                <w:iCs/>
                <w:sz w:val="16"/>
                <w:szCs w:val="16"/>
              </w:rPr>
              <w:noBreakHyphen/>
              <w:t>cigarette users tended to use e</w:t>
            </w:r>
            <w:r w:rsidRPr="005D0210">
              <w:rPr>
                <w:rFonts w:eastAsia="Times New Roman" w:cstheme="minorHAnsi"/>
                <w:iCs/>
                <w:sz w:val="16"/>
                <w:szCs w:val="16"/>
              </w:rPr>
              <w:noBreakHyphen/>
              <w:t>cigarettes for a longer duration of time (34 versus 6 mo, p=0.0355) with fewer times per day (6 versus 12.5) and a lower nicotine content (3 versus 11 mg/mL). Use of e</w:t>
            </w:r>
            <w:r w:rsidRPr="005D0210">
              <w:rPr>
                <w:rFonts w:eastAsia="Times New Roman" w:cstheme="minorHAnsi"/>
                <w:iCs/>
                <w:sz w:val="16"/>
                <w:szCs w:val="16"/>
              </w:rPr>
              <w:noBreakHyphen/>
              <w:t>cigarettes was found to reduce cravings for regular cigarettes in 21 of 27 people but sustained smoking cessation was only seen in 17 of the 27.</w:t>
            </w:r>
          </w:p>
        </w:tc>
        <w:tc>
          <w:tcPr>
            <w:tcW w:w="1984" w:type="dxa"/>
            <w:hideMark/>
          </w:tcPr>
          <w:p w14:paraId="3F0DCC9D"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iCs/>
                <w:sz w:val="16"/>
                <w:szCs w:val="16"/>
              </w:rPr>
            </w:pPr>
            <w:r w:rsidRPr="005D0210">
              <w:rPr>
                <w:rFonts w:eastAsia="Times New Roman" w:cstheme="minorHAnsi"/>
                <w:iCs/>
                <w:sz w:val="16"/>
                <w:szCs w:val="16"/>
              </w:rPr>
              <w:t>E</w:t>
            </w:r>
            <w:r w:rsidRPr="005D0210">
              <w:rPr>
                <w:rFonts w:eastAsia="Times New Roman" w:cstheme="minorHAnsi"/>
                <w:iCs/>
                <w:sz w:val="16"/>
                <w:szCs w:val="16"/>
              </w:rPr>
              <w:noBreakHyphen/>
              <w:t>cigarette users experienced a lessened craving for regular cigarettes while using e</w:t>
            </w:r>
            <w:r w:rsidRPr="005D0210">
              <w:rPr>
                <w:rFonts w:eastAsia="Times New Roman" w:cstheme="minorHAnsi"/>
                <w:iCs/>
                <w:sz w:val="16"/>
                <w:szCs w:val="16"/>
              </w:rPr>
              <w:noBreakHyphen/>
              <w:t>cigarettes but did not experience significance in sustained smoking remission.</w:t>
            </w:r>
          </w:p>
        </w:tc>
      </w:tr>
      <w:tr w:rsidR="00781923" w:rsidRPr="005D0210" w14:paraId="6385BA9A" w14:textId="77777777" w:rsidTr="004E728C">
        <w:trPr>
          <w:cnfStyle w:val="000000100000" w:firstRow="0" w:lastRow="0" w:firstColumn="0" w:lastColumn="0" w:oddVBand="0" w:evenVBand="0" w:oddHBand="1" w:evenHBand="0" w:firstRowFirstColumn="0" w:firstRowLastColumn="0" w:lastRowFirstColumn="0" w:lastRowLastColumn="0"/>
          <w:trHeight w:val="2399"/>
        </w:trPr>
        <w:tc>
          <w:tcPr>
            <w:cnfStyle w:val="001000000000" w:firstRow="0" w:lastRow="0" w:firstColumn="1" w:lastColumn="0" w:oddVBand="0" w:evenVBand="0" w:oddHBand="0" w:evenHBand="0" w:firstRowFirstColumn="0" w:firstRowLastColumn="0" w:lastRowFirstColumn="0" w:lastRowLastColumn="0"/>
            <w:tcW w:w="988" w:type="dxa"/>
            <w:hideMark/>
          </w:tcPr>
          <w:p w14:paraId="434FEC76" w14:textId="77777777" w:rsidR="00781923" w:rsidRPr="005D0210" w:rsidRDefault="00781923" w:rsidP="004E728C">
            <w:pPr>
              <w:rPr>
                <w:rFonts w:eastAsia="Times New Roman" w:cstheme="minorHAnsi"/>
                <w:sz w:val="16"/>
                <w:szCs w:val="16"/>
              </w:rPr>
            </w:pPr>
            <w:r w:rsidRPr="005D0210">
              <w:rPr>
                <w:rFonts w:eastAsia="Times New Roman" w:cstheme="minorHAnsi"/>
                <w:sz w:val="16"/>
                <w:szCs w:val="16"/>
              </w:rPr>
              <w:t>Simonavicius 2017</w:t>
            </w:r>
          </w:p>
        </w:tc>
        <w:tc>
          <w:tcPr>
            <w:tcW w:w="1559" w:type="dxa"/>
            <w:hideMark/>
          </w:tcPr>
          <w:p w14:paraId="6C2F3E8F"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iCs/>
                <w:sz w:val="16"/>
                <w:szCs w:val="16"/>
              </w:rPr>
            </w:pPr>
            <w:r w:rsidRPr="005D0210">
              <w:rPr>
                <w:rFonts w:eastAsia="Times New Roman" w:cstheme="minorHAnsi"/>
                <w:iCs/>
                <w:sz w:val="16"/>
                <w:szCs w:val="16"/>
              </w:rPr>
              <w:t>The aim was to assess factors associated with ongoing e</w:t>
            </w:r>
            <w:r w:rsidRPr="005D0210">
              <w:rPr>
                <w:rFonts w:eastAsia="Times New Roman" w:cstheme="minorHAnsi"/>
                <w:iCs/>
                <w:sz w:val="16"/>
                <w:szCs w:val="16"/>
              </w:rPr>
              <w:noBreakHyphen/>
              <w:t>cigarette use and discontinuation among smokers.</w:t>
            </w:r>
          </w:p>
        </w:tc>
        <w:tc>
          <w:tcPr>
            <w:tcW w:w="850" w:type="dxa"/>
            <w:hideMark/>
          </w:tcPr>
          <w:p w14:paraId="6B7FF007"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ASH Smokefree GB surveys</w:t>
            </w:r>
          </w:p>
        </w:tc>
        <w:tc>
          <w:tcPr>
            <w:tcW w:w="993" w:type="dxa"/>
            <w:hideMark/>
          </w:tcPr>
          <w:p w14:paraId="262834F4"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Great Britain</w:t>
            </w:r>
          </w:p>
        </w:tc>
        <w:tc>
          <w:tcPr>
            <w:tcW w:w="992" w:type="dxa"/>
            <w:hideMark/>
          </w:tcPr>
          <w:p w14:paraId="6F844A95"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2016</w:t>
            </w:r>
          </w:p>
        </w:tc>
        <w:tc>
          <w:tcPr>
            <w:tcW w:w="992" w:type="dxa"/>
            <w:hideMark/>
          </w:tcPr>
          <w:p w14:paraId="412E1D15"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12157</w:t>
            </w:r>
          </w:p>
        </w:tc>
        <w:tc>
          <w:tcPr>
            <w:tcW w:w="1134" w:type="dxa"/>
            <w:hideMark/>
          </w:tcPr>
          <w:p w14:paraId="211E7849"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NR</w:t>
            </w:r>
          </w:p>
        </w:tc>
        <w:tc>
          <w:tcPr>
            <w:tcW w:w="851" w:type="dxa"/>
            <w:hideMark/>
          </w:tcPr>
          <w:p w14:paraId="28F95134"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NR</w:t>
            </w:r>
          </w:p>
        </w:tc>
        <w:tc>
          <w:tcPr>
            <w:tcW w:w="1701" w:type="dxa"/>
            <w:hideMark/>
          </w:tcPr>
          <w:p w14:paraId="7FACF2B5"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Online survey of smokers in UK.</w:t>
            </w:r>
          </w:p>
        </w:tc>
        <w:tc>
          <w:tcPr>
            <w:tcW w:w="992" w:type="dxa"/>
            <w:hideMark/>
          </w:tcPr>
          <w:p w14:paraId="28E7FA26"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NR</w:t>
            </w:r>
          </w:p>
        </w:tc>
        <w:tc>
          <w:tcPr>
            <w:tcW w:w="2302" w:type="dxa"/>
            <w:hideMark/>
          </w:tcPr>
          <w:p w14:paraId="667448F6"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iCs/>
                <w:sz w:val="16"/>
                <w:szCs w:val="16"/>
              </w:rPr>
            </w:pPr>
            <w:r w:rsidRPr="005D0210">
              <w:rPr>
                <w:rFonts w:eastAsia="Times New Roman" w:cstheme="minorHAnsi"/>
                <w:iCs/>
                <w:sz w:val="16"/>
                <w:szCs w:val="16"/>
              </w:rPr>
              <w:t>Current dual users were more motivated to stop smoking than past users (AOR=1.95, 95% CI: 1.10</w:t>
            </w:r>
            <w:r w:rsidRPr="005D0210">
              <w:rPr>
                <w:rFonts w:eastAsia="Times New Roman" w:cstheme="minorHAnsi"/>
                <w:iCs/>
                <w:sz w:val="16"/>
                <w:szCs w:val="16"/>
              </w:rPr>
              <w:noBreakHyphen/>
              <w:t>3.46); never users’ or past triers’ motivation did not differ from past users’. Dual users were less dependent on cigarettes (AOR=0.54, 95% CI: 0.35–0.86) and more likely to use e</w:t>
            </w:r>
            <w:r w:rsidRPr="005D0210">
              <w:rPr>
                <w:rFonts w:eastAsia="Times New Roman" w:cstheme="minorHAnsi"/>
                <w:iCs/>
                <w:sz w:val="16"/>
                <w:szCs w:val="16"/>
              </w:rPr>
              <w:noBreakHyphen/>
              <w:t xml:space="preserve">cigarettes as an aid to reduce smoking (AOR=2.40, 95% CI: 1.59–3.64) and to deal with smoking restrictions (AOR=2.03, 95% CI: 1.22–3.38) than past users. </w:t>
            </w:r>
          </w:p>
        </w:tc>
        <w:tc>
          <w:tcPr>
            <w:tcW w:w="1984" w:type="dxa"/>
            <w:hideMark/>
          </w:tcPr>
          <w:p w14:paraId="161FF84F"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iCs/>
                <w:sz w:val="16"/>
                <w:szCs w:val="16"/>
              </w:rPr>
            </w:pPr>
            <w:r w:rsidRPr="005D0210">
              <w:rPr>
                <w:rFonts w:eastAsia="Times New Roman" w:cstheme="minorHAnsi"/>
                <w:iCs/>
                <w:sz w:val="16"/>
                <w:szCs w:val="16"/>
              </w:rPr>
              <w:t>Among smokers, ongoing use of e</w:t>
            </w:r>
            <w:r w:rsidRPr="005D0210">
              <w:rPr>
                <w:rFonts w:eastAsia="Times New Roman" w:cstheme="minorHAnsi"/>
                <w:iCs/>
                <w:sz w:val="16"/>
                <w:szCs w:val="16"/>
              </w:rPr>
              <w:noBreakHyphen/>
              <w:t>cigarettes is associated with reasons for reducing smoking and dealing with smoking restrictions, heightened motivation to stop smoking, and lower dependence on smoking.</w:t>
            </w:r>
          </w:p>
        </w:tc>
      </w:tr>
      <w:tr w:rsidR="00781923" w:rsidRPr="005D0210" w14:paraId="4EC2C091" w14:textId="77777777" w:rsidTr="004E728C">
        <w:trPr>
          <w:trHeight w:val="1407"/>
        </w:trPr>
        <w:tc>
          <w:tcPr>
            <w:cnfStyle w:val="001000000000" w:firstRow="0" w:lastRow="0" w:firstColumn="1" w:lastColumn="0" w:oddVBand="0" w:evenVBand="0" w:oddHBand="0" w:evenHBand="0" w:firstRowFirstColumn="0" w:firstRowLastColumn="0" w:lastRowFirstColumn="0" w:lastRowLastColumn="0"/>
            <w:tcW w:w="988" w:type="dxa"/>
          </w:tcPr>
          <w:p w14:paraId="1C547FDD" w14:textId="77777777" w:rsidR="00781923" w:rsidRPr="005D0210" w:rsidRDefault="00781923" w:rsidP="004E728C">
            <w:pPr>
              <w:rPr>
                <w:rFonts w:eastAsia="Times New Roman" w:cstheme="minorHAnsi"/>
                <w:sz w:val="16"/>
                <w:szCs w:val="16"/>
              </w:rPr>
            </w:pPr>
            <w:r w:rsidRPr="005D0210">
              <w:rPr>
                <w:rFonts w:cs="Calibri"/>
                <w:sz w:val="16"/>
                <w:szCs w:val="16"/>
              </w:rPr>
              <w:t>Stokes 2018</w:t>
            </w:r>
          </w:p>
        </w:tc>
        <w:tc>
          <w:tcPr>
            <w:tcW w:w="1559" w:type="dxa"/>
          </w:tcPr>
          <w:p w14:paraId="70B9F38F"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iCs/>
                <w:sz w:val="16"/>
                <w:szCs w:val="16"/>
              </w:rPr>
            </w:pPr>
            <w:r w:rsidRPr="005D0210">
              <w:rPr>
                <w:rFonts w:cs="Calibri"/>
                <w:iCs/>
                <w:sz w:val="16"/>
                <w:szCs w:val="16"/>
              </w:rPr>
              <w:t>We examined e</w:t>
            </w:r>
            <w:r w:rsidRPr="005D0210">
              <w:rPr>
                <w:rFonts w:cs="Calibri"/>
                <w:iCs/>
                <w:sz w:val="16"/>
                <w:szCs w:val="16"/>
              </w:rPr>
              <w:noBreakHyphen/>
              <w:t xml:space="preserve">cigarette use in adults aged 18 to 89 years with a history of CVD, using data from the 2014 </w:t>
            </w:r>
            <w:r w:rsidRPr="005D0210">
              <w:rPr>
                <w:rFonts w:cs="Calibri"/>
                <w:iCs/>
                <w:sz w:val="16"/>
                <w:szCs w:val="16"/>
              </w:rPr>
              <w:lastRenderedPageBreak/>
              <w:t>National Health Interview Survey</w:t>
            </w:r>
          </w:p>
        </w:tc>
        <w:tc>
          <w:tcPr>
            <w:tcW w:w="850" w:type="dxa"/>
          </w:tcPr>
          <w:p w14:paraId="28C1B095"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5D0210">
              <w:rPr>
                <w:rFonts w:cs="Calibri"/>
                <w:sz w:val="16"/>
                <w:szCs w:val="16"/>
              </w:rPr>
              <w:lastRenderedPageBreak/>
              <w:t>NHIS 2014</w:t>
            </w:r>
          </w:p>
        </w:tc>
        <w:tc>
          <w:tcPr>
            <w:tcW w:w="993" w:type="dxa"/>
          </w:tcPr>
          <w:p w14:paraId="29A012E1"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5D0210">
              <w:rPr>
                <w:rFonts w:cs="Calibri"/>
                <w:sz w:val="16"/>
                <w:szCs w:val="16"/>
              </w:rPr>
              <w:t>USA</w:t>
            </w:r>
          </w:p>
        </w:tc>
        <w:tc>
          <w:tcPr>
            <w:tcW w:w="992" w:type="dxa"/>
          </w:tcPr>
          <w:p w14:paraId="7D0117E7"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5D0210">
              <w:rPr>
                <w:rFonts w:cs="Calibri"/>
                <w:sz w:val="16"/>
                <w:szCs w:val="16"/>
              </w:rPr>
              <w:t>2014</w:t>
            </w:r>
          </w:p>
        </w:tc>
        <w:tc>
          <w:tcPr>
            <w:tcW w:w="992" w:type="dxa"/>
          </w:tcPr>
          <w:p w14:paraId="2DFEF4C7"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5D0210">
              <w:rPr>
                <w:rFonts w:cs="Calibri"/>
                <w:sz w:val="16"/>
                <w:szCs w:val="16"/>
              </w:rPr>
              <w:t>4966</w:t>
            </w:r>
          </w:p>
        </w:tc>
        <w:tc>
          <w:tcPr>
            <w:tcW w:w="1134" w:type="dxa"/>
          </w:tcPr>
          <w:p w14:paraId="29013383"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5D0210">
              <w:rPr>
                <w:rFonts w:cs="Calibri"/>
                <w:sz w:val="16"/>
                <w:szCs w:val="16"/>
              </w:rPr>
              <w:t>NR</w:t>
            </w:r>
          </w:p>
        </w:tc>
        <w:tc>
          <w:tcPr>
            <w:tcW w:w="851" w:type="dxa"/>
          </w:tcPr>
          <w:p w14:paraId="2E21EB6D"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5D0210">
              <w:rPr>
                <w:rFonts w:cs="Calibri"/>
                <w:sz w:val="16"/>
                <w:szCs w:val="16"/>
              </w:rPr>
              <w:t>53.2</w:t>
            </w:r>
          </w:p>
        </w:tc>
        <w:tc>
          <w:tcPr>
            <w:tcW w:w="1701" w:type="dxa"/>
          </w:tcPr>
          <w:p w14:paraId="66518F55"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5D0210">
              <w:rPr>
                <w:rFonts w:cs="Calibri"/>
                <w:sz w:val="16"/>
                <w:szCs w:val="16"/>
              </w:rPr>
              <w:t xml:space="preserve">Nationally representative sample. Participants included in this survey were diagnosed with CVD. </w:t>
            </w:r>
          </w:p>
        </w:tc>
        <w:tc>
          <w:tcPr>
            <w:tcW w:w="992" w:type="dxa"/>
          </w:tcPr>
          <w:p w14:paraId="61F4AECE"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5D0210">
              <w:rPr>
                <w:rFonts w:cs="Calibri"/>
                <w:sz w:val="16"/>
                <w:szCs w:val="16"/>
              </w:rPr>
              <w:t>NR</w:t>
            </w:r>
          </w:p>
        </w:tc>
        <w:tc>
          <w:tcPr>
            <w:tcW w:w="2302" w:type="dxa"/>
          </w:tcPr>
          <w:p w14:paraId="02E30981"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iCs/>
                <w:sz w:val="16"/>
                <w:szCs w:val="16"/>
              </w:rPr>
            </w:pPr>
            <w:r w:rsidRPr="005D0210">
              <w:rPr>
                <w:rFonts w:cs="Calibri"/>
                <w:sz w:val="16"/>
                <w:szCs w:val="16"/>
              </w:rPr>
              <w:t>There was increased odds of ever (OR=1.70 (95% CI, 1.25, 2.30)) and current (OR=1.97; 95% CI, 1.32, 2.95)) e</w:t>
            </w:r>
            <w:r w:rsidRPr="005D0210">
              <w:rPr>
                <w:rFonts w:cs="Calibri"/>
                <w:sz w:val="16"/>
                <w:szCs w:val="16"/>
              </w:rPr>
              <w:noBreakHyphen/>
              <w:t xml:space="preserve">cigarette use among smokers who had attempted to quit in the past year. </w:t>
            </w:r>
          </w:p>
        </w:tc>
        <w:tc>
          <w:tcPr>
            <w:tcW w:w="1984" w:type="dxa"/>
          </w:tcPr>
          <w:p w14:paraId="5AF04638"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iCs/>
                <w:sz w:val="16"/>
                <w:szCs w:val="16"/>
              </w:rPr>
            </w:pPr>
            <w:r w:rsidRPr="005D0210">
              <w:rPr>
                <w:rFonts w:cs="Calibri"/>
                <w:iCs/>
                <w:sz w:val="16"/>
                <w:szCs w:val="16"/>
              </w:rPr>
              <w:t>Individuals with CVD who recently quit smoking or reported a recent quit attempt were significantly more likely to use e</w:t>
            </w:r>
            <w:r w:rsidRPr="005D0210">
              <w:rPr>
                <w:rFonts w:cs="Calibri"/>
                <w:iCs/>
                <w:sz w:val="16"/>
                <w:szCs w:val="16"/>
              </w:rPr>
              <w:noBreakHyphen/>
              <w:t xml:space="preserve">cigarettes than current </w:t>
            </w:r>
            <w:r w:rsidRPr="005D0210">
              <w:rPr>
                <w:rFonts w:cs="Calibri"/>
                <w:iCs/>
                <w:sz w:val="16"/>
                <w:szCs w:val="16"/>
              </w:rPr>
              <w:lastRenderedPageBreak/>
              <w:t>smokers and those who did not report a quit attempt.</w:t>
            </w:r>
          </w:p>
        </w:tc>
      </w:tr>
      <w:tr w:rsidR="00781923" w:rsidRPr="005D0210" w14:paraId="2DC1C8F6" w14:textId="77777777" w:rsidTr="004E728C">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988" w:type="dxa"/>
            <w:hideMark/>
          </w:tcPr>
          <w:p w14:paraId="20624C93" w14:textId="77777777" w:rsidR="00781923" w:rsidRPr="005D0210" w:rsidRDefault="00781923" w:rsidP="004E728C">
            <w:pPr>
              <w:rPr>
                <w:rFonts w:eastAsia="Times New Roman" w:cstheme="minorHAnsi"/>
                <w:sz w:val="16"/>
                <w:szCs w:val="16"/>
              </w:rPr>
            </w:pPr>
            <w:r w:rsidRPr="005D0210">
              <w:rPr>
                <w:rFonts w:eastAsia="Times New Roman" w:cstheme="minorHAnsi"/>
                <w:sz w:val="16"/>
                <w:szCs w:val="16"/>
              </w:rPr>
              <w:lastRenderedPageBreak/>
              <w:t>Sung 2018</w:t>
            </w:r>
          </w:p>
        </w:tc>
        <w:tc>
          <w:tcPr>
            <w:tcW w:w="1559" w:type="dxa"/>
            <w:hideMark/>
          </w:tcPr>
          <w:p w14:paraId="76206B55" w14:textId="096C0EDB" w:rsidR="00781923" w:rsidRPr="005D0210" w:rsidRDefault="007D18D8"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iCs/>
                <w:sz w:val="16"/>
                <w:szCs w:val="16"/>
              </w:rPr>
            </w:pPr>
            <w:r>
              <w:rPr>
                <w:rFonts w:eastAsia="Times New Roman" w:cstheme="minorHAnsi"/>
                <w:iCs/>
                <w:sz w:val="16"/>
                <w:szCs w:val="16"/>
              </w:rPr>
              <w:t>T</w:t>
            </w:r>
            <w:r w:rsidR="00781923" w:rsidRPr="005D0210">
              <w:rPr>
                <w:rFonts w:eastAsia="Times New Roman" w:cstheme="minorHAnsi"/>
                <w:iCs/>
                <w:sz w:val="16"/>
                <w:szCs w:val="16"/>
              </w:rPr>
              <w:t>he objective of this study was to identify the relationship between e</w:t>
            </w:r>
            <w:r w:rsidR="00781923" w:rsidRPr="005D0210">
              <w:rPr>
                <w:rFonts w:eastAsia="Times New Roman" w:cstheme="minorHAnsi"/>
                <w:iCs/>
                <w:sz w:val="16"/>
                <w:szCs w:val="16"/>
              </w:rPr>
              <w:noBreakHyphen/>
              <w:t>cigarette use and smoking cessation among South Korean adult smokers.</w:t>
            </w:r>
          </w:p>
        </w:tc>
        <w:tc>
          <w:tcPr>
            <w:tcW w:w="850" w:type="dxa"/>
            <w:hideMark/>
          </w:tcPr>
          <w:p w14:paraId="54C2841A"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Korea National Health and Nutrition Examination Survey</w:t>
            </w:r>
          </w:p>
        </w:tc>
        <w:tc>
          <w:tcPr>
            <w:tcW w:w="993" w:type="dxa"/>
            <w:hideMark/>
          </w:tcPr>
          <w:p w14:paraId="4552CCC3"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South Korea</w:t>
            </w:r>
          </w:p>
        </w:tc>
        <w:tc>
          <w:tcPr>
            <w:tcW w:w="992" w:type="dxa"/>
            <w:hideMark/>
          </w:tcPr>
          <w:p w14:paraId="14861D39"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2013</w:t>
            </w:r>
            <w:r w:rsidRPr="005D0210">
              <w:rPr>
                <w:rFonts w:eastAsia="Times New Roman" w:cstheme="minorHAnsi"/>
                <w:sz w:val="16"/>
                <w:szCs w:val="16"/>
              </w:rPr>
              <w:noBreakHyphen/>
              <w:t>15</w:t>
            </w:r>
          </w:p>
        </w:tc>
        <w:tc>
          <w:tcPr>
            <w:tcW w:w="992" w:type="dxa"/>
            <w:hideMark/>
          </w:tcPr>
          <w:p w14:paraId="781BD903"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2965</w:t>
            </w:r>
          </w:p>
        </w:tc>
        <w:tc>
          <w:tcPr>
            <w:tcW w:w="1134" w:type="dxa"/>
            <w:hideMark/>
          </w:tcPr>
          <w:p w14:paraId="5F6148F7"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19</w:t>
            </w:r>
            <w:r w:rsidRPr="005D0210">
              <w:rPr>
                <w:rFonts w:eastAsia="Times New Roman" w:cstheme="minorHAnsi"/>
                <w:sz w:val="16"/>
                <w:szCs w:val="16"/>
              </w:rPr>
              <w:noBreakHyphen/>
              <w:t>29: 14.1%</w:t>
            </w:r>
            <w:r w:rsidRPr="005D0210">
              <w:rPr>
                <w:rFonts w:eastAsia="Times New Roman" w:cstheme="minorHAnsi"/>
                <w:sz w:val="16"/>
                <w:szCs w:val="16"/>
              </w:rPr>
              <w:br/>
              <w:t>30</w:t>
            </w:r>
            <w:r w:rsidRPr="005D0210">
              <w:rPr>
                <w:rFonts w:eastAsia="Times New Roman" w:cstheme="minorHAnsi"/>
                <w:sz w:val="16"/>
                <w:szCs w:val="16"/>
              </w:rPr>
              <w:noBreakHyphen/>
              <w:t>39: 21.7%</w:t>
            </w:r>
            <w:r w:rsidRPr="005D0210">
              <w:rPr>
                <w:rFonts w:eastAsia="Times New Roman" w:cstheme="minorHAnsi"/>
                <w:sz w:val="16"/>
                <w:szCs w:val="16"/>
              </w:rPr>
              <w:br/>
              <w:t>40</w:t>
            </w:r>
            <w:r w:rsidRPr="005D0210">
              <w:rPr>
                <w:rFonts w:eastAsia="Times New Roman" w:cstheme="minorHAnsi"/>
                <w:sz w:val="16"/>
                <w:szCs w:val="16"/>
              </w:rPr>
              <w:noBreakHyphen/>
              <w:t>49: 23.0%</w:t>
            </w:r>
            <w:r w:rsidRPr="005D0210">
              <w:rPr>
                <w:rFonts w:eastAsia="Times New Roman" w:cstheme="minorHAnsi"/>
                <w:sz w:val="16"/>
                <w:szCs w:val="16"/>
              </w:rPr>
              <w:br/>
              <w:t>50</w:t>
            </w:r>
            <w:r w:rsidRPr="005D0210">
              <w:rPr>
                <w:rFonts w:eastAsia="Times New Roman" w:cstheme="minorHAnsi"/>
                <w:sz w:val="16"/>
                <w:szCs w:val="16"/>
              </w:rPr>
              <w:noBreakHyphen/>
              <w:t>59: 19.4%</w:t>
            </w:r>
            <w:r w:rsidRPr="005D0210">
              <w:rPr>
                <w:rFonts w:eastAsia="Times New Roman" w:cstheme="minorHAnsi"/>
                <w:sz w:val="16"/>
                <w:szCs w:val="16"/>
              </w:rPr>
              <w:br/>
              <w:t>60</w:t>
            </w:r>
            <w:r w:rsidRPr="005D0210">
              <w:rPr>
                <w:rFonts w:eastAsia="Times New Roman" w:cstheme="minorHAnsi"/>
                <w:sz w:val="16"/>
                <w:szCs w:val="16"/>
              </w:rPr>
              <w:noBreakHyphen/>
              <w:t>64: 7.4%</w:t>
            </w:r>
            <w:r w:rsidRPr="005D0210">
              <w:rPr>
                <w:rFonts w:eastAsia="Times New Roman" w:cstheme="minorHAnsi"/>
                <w:sz w:val="16"/>
                <w:szCs w:val="16"/>
              </w:rPr>
              <w:br/>
              <w:t>≥65: 14.2%</w:t>
            </w:r>
          </w:p>
        </w:tc>
        <w:tc>
          <w:tcPr>
            <w:tcW w:w="851" w:type="dxa"/>
            <w:hideMark/>
          </w:tcPr>
          <w:p w14:paraId="323915C1"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14.5</w:t>
            </w:r>
          </w:p>
        </w:tc>
        <w:tc>
          <w:tcPr>
            <w:tcW w:w="1701" w:type="dxa"/>
            <w:hideMark/>
          </w:tcPr>
          <w:p w14:paraId="530467C7"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Nationally representative sample of Koreans.</w:t>
            </w:r>
          </w:p>
        </w:tc>
        <w:tc>
          <w:tcPr>
            <w:tcW w:w="992" w:type="dxa"/>
            <w:hideMark/>
          </w:tcPr>
          <w:p w14:paraId="6B0E0EE3"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NR</w:t>
            </w:r>
          </w:p>
        </w:tc>
        <w:tc>
          <w:tcPr>
            <w:tcW w:w="2302" w:type="dxa"/>
            <w:hideMark/>
          </w:tcPr>
          <w:p w14:paraId="155E1341"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iCs/>
                <w:sz w:val="16"/>
                <w:szCs w:val="16"/>
              </w:rPr>
            </w:pPr>
            <w:r w:rsidRPr="005D0210">
              <w:rPr>
                <w:rFonts w:eastAsia="Times New Roman" w:cstheme="minorHAnsi"/>
                <w:iCs/>
                <w:sz w:val="16"/>
                <w:szCs w:val="16"/>
              </w:rPr>
              <w:t>Adult smokers who had not used e</w:t>
            </w:r>
            <w:r w:rsidRPr="005D0210">
              <w:rPr>
                <w:rFonts w:eastAsia="Times New Roman" w:cstheme="minorHAnsi"/>
                <w:iCs/>
                <w:sz w:val="16"/>
                <w:szCs w:val="16"/>
              </w:rPr>
              <w:noBreakHyphen/>
              <w:t>cigarettes were more likely to attempt to quit smoking than those who had used e</w:t>
            </w:r>
            <w:r w:rsidRPr="005D0210">
              <w:rPr>
                <w:rFonts w:eastAsia="Times New Roman" w:cstheme="minorHAnsi"/>
                <w:iCs/>
                <w:sz w:val="16"/>
                <w:szCs w:val="16"/>
              </w:rPr>
              <w:noBreakHyphen/>
              <w:t>cigarettes in the pre</w:t>
            </w:r>
            <w:r w:rsidRPr="005D0210">
              <w:rPr>
                <w:rFonts w:eastAsia="Times New Roman" w:cstheme="minorHAnsi"/>
                <w:iCs/>
                <w:sz w:val="16"/>
                <w:szCs w:val="16"/>
              </w:rPr>
              <w:noBreakHyphen/>
              <w:t>matching (OR=1.58; 95% CI=1.18</w:t>
            </w:r>
            <w:r w:rsidRPr="005D0210">
              <w:rPr>
                <w:rFonts w:eastAsia="Times New Roman" w:cstheme="minorHAnsi"/>
                <w:iCs/>
                <w:sz w:val="16"/>
                <w:szCs w:val="16"/>
              </w:rPr>
              <w:noBreakHyphen/>
              <w:t>2.12) and post</w:t>
            </w:r>
            <w:r w:rsidRPr="005D0210">
              <w:rPr>
                <w:rFonts w:eastAsia="Times New Roman" w:cstheme="minorHAnsi"/>
                <w:iCs/>
                <w:sz w:val="16"/>
                <w:szCs w:val="16"/>
              </w:rPr>
              <w:noBreakHyphen/>
              <w:t>matching (OR=1.62; 95% CI=1.08</w:t>
            </w:r>
            <w:r w:rsidRPr="005D0210">
              <w:rPr>
                <w:rFonts w:eastAsia="Times New Roman" w:cstheme="minorHAnsi"/>
                <w:iCs/>
                <w:sz w:val="16"/>
                <w:szCs w:val="16"/>
              </w:rPr>
              <w:noBreakHyphen/>
              <w:t>2.44) samples.</w:t>
            </w:r>
          </w:p>
        </w:tc>
        <w:tc>
          <w:tcPr>
            <w:tcW w:w="1984" w:type="dxa"/>
            <w:hideMark/>
          </w:tcPr>
          <w:p w14:paraId="55155098"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iCs/>
                <w:sz w:val="16"/>
                <w:szCs w:val="16"/>
              </w:rPr>
            </w:pPr>
            <w:r w:rsidRPr="005D0210">
              <w:rPr>
                <w:rFonts w:eastAsia="Times New Roman" w:cstheme="minorHAnsi"/>
                <w:iCs/>
                <w:sz w:val="16"/>
                <w:szCs w:val="16"/>
              </w:rPr>
              <w:t>This study suggests that e</w:t>
            </w:r>
            <w:r w:rsidRPr="005D0210">
              <w:rPr>
                <w:rFonts w:eastAsia="Times New Roman" w:cstheme="minorHAnsi"/>
                <w:iCs/>
                <w:sz w:val="16"/>
                <w:szCs w:val="16"/>
              </w:rPr>
              <w:noBreakHyphen/>
              <w:t>cigarette use among South Korean adult smokers was not related to smoking cessation.</w:t>
            </w:r>
          </w:p>
        </w:tc>
      </w:tr>
      <w:tr w:rsidR="00781923" w:rsidRPr="005D0210" w14:paraId="214A9A0D" w14:textId="77777777" w:rsidTr="004E728C">
        <w:trPr>
          <w:trHeight w:val="1696"/>
        </w:trPr>
        <w:tc>
          <w:tcPr>
            <w:cnfStyle w:val="001000000000" w:firstRow="0" w:lastRow="0" w:firstColumn="1" w:lastColumn="0" w:oddVBand="0" w:evenVBand="0" w:oddHBand="0" w:evenHBand="0" w:firstRowFirstColumn="0" w:firstRowLastColumn="0" w:lastRowFirstColumn="0" w:lastRowLastColumn="0"/>
            <w:tcW w:w="988" w:type="dxa"/>
            <w:noWrap/>
            <w:hideMark/>
          </w:tcPr>
          <w:p w14:paraId="7E4754DD" w14:textId="77777777" w:rsidR="00781923" w:rsidRPr="005D0210" w:rsidRDefault="00781923" w:rsidP="004E728C">
            <w:pPr>
              <w:rPr>
                <w:rFonts w:eastAsia="Times New Roman" w:cstheme="minorHAnsi"/>
                <w:sz w:val="16"/>
                <w:szCs w:val="16"/>
              </w:rPr>
            </w:pPr>
            <w:r w:rsidRPr="005D0210">
              <w:rPr>
                <w:rFonts w:eastAsia="Times New Roman" w:cstheme="minorHAnsi"/>
                <w:sz w:val="16"/>
                <w:szCs w:val="16"/>
              </w:rPr>
              <w:t>Sussan 2017</w:t>
            </w:r>
          </w:p>
        </w:tc>
        <w:tc>
          <w:tcPr>
            <w:tcW w:w="1559" w:type="dxa"/>
            <w:hideMark/>
          </w:tcPr>
          <w:p w14:paraId="118F97C7"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iCs/>
                <w:sz w:val="16"/>
                <w:szCs w:val="16"/>
              </w:rPr>
            </w:pPr>
            <w:r w:rsidRPr="005D0210">
              <w:rPr>
                <w:rFonts w:eastAsia="Times New Roman" w:cstheme="minorHAnsi"/>
                <w:iCs/>
                <w:sz w:val="16"/>
                <w:szCs w:val="16"/>
              </w:rPr>
              <w:t xml:space="preserve">The goal of our current study was to investigate behaviours, perceptions, and motivations underlying the use of ECs in adults. </w:t>
            </w:r>
          </w:p>
        </w:tc>
        <w:tc>
          <w:tcPr>
            <w:tcW w:w="850" w:type="dxa"/>
            <w:hideMark/>
          </w:tcPr>
          <w:p w14:paraId="4CBE5993"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Own survey</w:t>
            </w:r>
          </w:p>
        </w:tc>
        <w:tc>
          <w:tcPr>
            <w:tcW w:w="993" w:type="dxa"/>
            <w:hideMark/>
          </w:tcPr>
          <w:p w14:paraId="3D7F43A7"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USA</w:t>
            </w:r>
          </w:p>
        </w:tc>
        <w:tc>
          <w:tcPr>
            <w:tcW w:w="992" w:type="dxa"/>
            <w:hideMark/>
          </w:tcPr>
          <w:p w14:paraId="5653430B"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2014</w:t>
            </w:r>
            <w:r w:rsidRPr="005D0210">
              <w:rPr>
                <w:rFonts w:eastAsia="Times New Roman" w:cstheme="minorHAnsi"/>
                <w:sz w:val="16"/>
                <w:szCs w:val="16"/>
              </w:rPr>
              <w:noBreakHyphen/>
              <w:t>15</w:t>
            </w:r>
          </w:p>
        </w:tc>
        <w:tc>
          <w:tcPr>
            <w:tcW w:w="992" w:type="dxa"/>
            <w:hideMark/>
          </w:tcPr>
          <w:p w14:paraId="533FF3FB"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320</w:t>
            </w:r>
          </w:p>
        </w:tc>
        <w:tc>
          <w:tcPr>
            <w:tcW w:w="1134" w:type="dxa"/>
            <w:hideMark/>
          </w:tcPr>
          <w:p w14:paraId="577FCF1B"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18</w:t>
            </w:r>
            <w:r w:rsidRPr="005D0210">
              <w:rPr>
                <w:rFonts w:eastAsia="Times New Roman" w:cstheme="minorHAnsi"/>
                <w:sz w:val="16"/>
                <w:szCs w:val="16"/>
              </w:rPr>
              <w:noBreakHyphen/>
              <w:t>24: 18%</w:t>
            </w:r>
            <w:r w:rsidRPr="005D0210">
              <w:rPr>
                <w:rFonts w:eastAsia="Times New Roman" w:cstheme="minorHAnsi"/>
                <w:sz w:val="16"/>
                <w:szCs w:val="16"/>
              </w:rPr>
              <w:br/>
              <w:t>25</w:t>
            </w:r>
            <w:r w:rsidRPr="005D0210">
              <w:rPr>
                <w:rFonts w:eastAsia="Times New Roman" w:cstheme="minorHAnsi"/>
                <w:sz w:val="16"/>
                <w:szCs w:val="16"/>
              </w:rPr>
              <w:noBreakHyphen/>
              <w:t>34: 40%</w:t>
            </w:r>
            <w:r w:rsidRPr="005D0210">
              <w:rPr>
                <w:rFonts w:eastAsia="Times New Roman" w:cstheme="minorHAnsi"/>
                <w:sz w:val="16"/>
                <w:szCs w:val="16"/>
              </w:rPr>
              <w:br/>
              <w:t>≥35: 42%</w:t>
            </w:r>
          </w:p>
        </w:tc>
        <w:tc>
          <w:tcPr>
            <w:tcW w:w="851" w:type="dxa"/>
            <w:hideMark/>
          </w:tcPr>
          <w:p w14:paraId="5D39205D"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22</w:t>
            </w:r>
          </w:p>
        </w:tc>
        <w:tc>
          <w:tcPr>
            <w:tcW w:w="1701" w:type="dxa"/>
            <w:hideMark/>
          </w:tcPr>
          <w:p w14:paraId="739B7CA7"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Through online recruitment or in vape shops in Baltimore.</w:t>
            </w:r>
          </w:p>
        </w:tc>
        <w:tc>
          <w:tcPr>
            <w:tcW w:w="992" w:type="dxa"/>
            <w:hideMark/>
          </w:tcPr>
          <w:p w14:paraId="2F0A0FF3"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NR</w:t>
            </w:r>
          </w:p>
        </w:tc>
        <w:tc>
          <w:tcPr>
            <w:tcW w:w="2302" w:type="dxa"/>
            <w:hideMark/>
          </w:tcPr>
          <w:p w14:paraId="3012ABBB"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iCs/>
                <w:sz w:val="16"/>
                <w:szCs w:val="16"/>
              </w:rPr>
            </w:pPr>
            <w:r w:rsidRPr="005D0210">
              <w:rPr>
                <w:rFonts w:eastAsia="Times New Roman" w:cstheme="minorHAnsi"/>
                <w:iCs/>
                <w:sz w:val="16"/>
                <w:szCs w:val="16"/>
              </w:rPr>
              <w:t xml:space="preserve">For former and current smokers, the primary motivation for EC use was assistance to quit smoking, and nearly half indicated that they plan to reduce their nicotine concentration and eventually quit using ECs. </w:t>
            </w:r>
          </w:p>
        </w:tc>
        <w:tc>
          <w:tcPr>
            <w:tcW w:w="1984" w:type="dxa"/>
            <w:hideMark/>
          </w:tcPr>
          <w:p w14:paraId="5752DF3A"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iCs/>
                <w:sz w:val="16"/>
                <w:szCs w:val="16"/>
              </w:rPr>
            </w:pPr>
            <w:r w:rsidRPr="005D0210">
              <w:rPr>
                <w:rFonts w:eastAsia="Times New Roman" w:cstheme="minorHAnsi"/>
                <w:iCs/>
                <w:sz w:val="16"/>
                <w:szCs w:val="16"/>
              </w:rPr>
              <w:t>These responses provide insight into the underlying thoughts and behaviours of smoking and non</w:t>
            </w:r>
            <w:r w:rsidRPr="005D0210">
              <w:rPr>
                <w:rFonts w:eastAsia="Times New Roman" w:cstheme="minorHAnsi"/>
                <w:iCs/>
                <w:sz w:val="16"/>
                <w:szCs w:val="16"/>
              </w:rPr>
              <w:noBreakHyphen/>
              <w:t>smoking EC users and also suggest that never smoking EC users are an emerging demographic with different motivations and perceptions than those of current and former smokers.</w:t>
            </w:r>
          </w:p>
        </w:tc>
      </w:tr>
      <w:tr w:rsidR="00781923" w:rsidRPr="005D0210" w14:paraId="14E7C2BC" w14:textId="77777777" w:rsidTr="004E728C">
        <w:trPr>
          <w:cnfStyle w:val="000000100000" w:firstRow="0" w:lastRow="0" w:firstColumn="0" w:lastColumn="0" w:oddVBand="0" w:evenVBand="0" w:oddHBand="1" w:evenHBand="0" w:firstRowFirstColumn="0" w:firstRowLastColumn="0" w:lastRowFirstColumn="0" w:lastRowLastColumn="0"/>
          <w:trHeight w:val="1696"/>
        </w:trPr>
        <w:tc>
          <w:tcPr>
            <w:cnfStyle w:val="001000000000" w:firstRow="0" w:lastRow="0" w:firstColumn="1" w:lastColumn="0" w:oddVBand="0" w:evenVBand="0" w:oddHBand="0" w:evenHBand="0" w:firstRowFirstColumn="0" w:firstRowLastColumn="0" w:lastRowFirstColumn="0" w:lastRowLastColumn="0"/>
            <w:tcW w:w="988" w:type="dxa"/>
            <w:noWrap/>
          </w:tcPr>
          <w:p w14:paraId="4604A05E" w14:textId="77777777" w:rsidR="00781923" w:rsidRPr="005D0210" w:rsidRDefault="00781923" w:rsidP="004E728C">
            <w:pPr>
              <w:rPr>
                <w:rFonts w:eastAsia="Times New Roman" w:cstheme="minorHAnsi"/>
                <w:sz w:val="16"/>
                <w:szCs w:val="16"/>
              </w:rPr>
            </w:pPr>
            <w:r w:rsidRPr="005D0210">
              <w:rPr>
                <w:rFonts w:cs="Calibri"/>
                <w:sz w:val="16"/>
                <w:szCs w:val="16"/>
              </w:rPr>
              <w:t>Wong 2018</w:t>
            </w:r>
          </w:p>
        </w:tc>
        <w:tc>
          <w:tcPr>
            <w:tcW w:w="1559" w:type="dxa"/>
          </w:tcPr>
          <w:p w14:paraId="3A89001A"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iCs/>
                <w:sz w:val="16"/>
                <w:szCs w:val="16"/>
              </w:rPr>
            </w:pPr>
            <w:r w:rsidRPr="005D0210">
              <w:rPr>
                <w:rFonts w:cs="Calibri"/>
                <w:iCs/>
                <w:sz w:val="16"/>
                <w:szCs w:val="16"/>
              </w:rPr>
              <w:t>This study focuses on the adolescent group in China and examines their perception and use of e</w:t>
            </w:r>
            <w:r w:rsidRPr="005D0210">
              <w:rPr>
                <w:rFonts w:cs="Calibri"/>
                <w:iCs/>
                <w:sz w:val="16"/>
                <w:szCs w:val="16"/>
              </w:rPr>
              <w:noBreakHyphen/>
              <w:t>cigarettes and the association with smoking abstinence.</w:t>
            </w:r>
          </w:p>
        </w:tc>
        <w:tc>
          <w:tcPr>
            <w:tcW w:w="850" w:type="dxa"/>
          </w:tcPr>
          <w:p w14:paraId="34D5CA00"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5D0210">
              <w:rPr>
                <w:rFonts w:cs="Calibri"/>
                <w:sz w:val="16"/>
                <w:szCs w:val="16"/>
              </w:rPr>
              <w:t>Own survey</w:t>
            </w:r>
          </w:p>
        </w:tc>
        <w:tc>
          <w:tcPr>
            <w:tcW w:w="993" w:type="dxa"/>
          </w:tcPr>
          <w:p w14:paraId="08B332B4"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5D0210">
              <w:rPr>
                <w:rFonts w:cs="Calibri"/>
                <w:sz w:val="16"/>
                <w:szCs w:val="16"/>
              </w:rPr>
              <w:t>China</w:t>
            </w:r>
          </w:p>
        </w:tc>
        <w:tc>
          <w:tcPr>
            <w:tcW w:w="992" w:type="dxa"/>
          </w:tcPr>
          <w:p w14:paraId="5DACC88E"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5D0210">
              <w:rPr>
                <w:rFonts w:cs="Calibri"/>
                <w:sz w:val="16"/>
                <w:szCs w:val="16"/>
              </w:rPr>
              <w:t>2015</w:t>
            </w:r>
          </w:p>
        </w:tc>
        <w:tc>
          <w:tcPr>
            <w:tcW w:w="992" w:type="dxa"/>
          </w:tcPr>
          <w:p w14:paraId="4896CD05"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5D0210">
              <w:rPr>
                <w:rFonts w:cs="Calibri"/>
                <w:sz w:val="16"/>
                <w:szCs w:val="16"/>
              </w:rPr>
              <w:t>2042</w:t>
            </w:r>
          </w:p>
        </w:tc>
        <w:tc>
          <w:tcPr>
            <w:tcW w:w="1134" w:type="dxa"/>
          </w:tcPr>
          <w:p w14:paraId="5C44260F"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5D0210">
              <w:rPr>
                <w:rFonts w:cs="Calibri"/>
                <w:sz w:val="16"/>
                <w:szCs w:val="16"/>
              </w:rPr>
              <w:t>ages 15</w:t>
            </w:r>
            <w:r w:rsidRPr="005D0210">
              <w:rPr>
                <w:rFonts w:cs="Calibri"/>
                <w:sz w:val="16"/>
                <w:szCs w:val="16"/>
              </w:rPr>
              <w:noBreakHyphen/>
              <w:t>18</w:t>
            </w:r>
          </w:p>
        </w:tc>
        <w:tc>
          <w:tcPr>
            <w:tcW w:w="851" w:type="dxa"/>
          </w:tcPr>
          <w:p w14:paraId="3D750735"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5D0210">
              <w:rPr>
                <w:rFonts w:cs="Calibri"/>
                <w:sz w:val="16"/>
                <w:szCs w:val="16"/>
              </w:rPr>
              <w:t>16.45</w:t>
            </w:r>
          </w:p>
        </w:tc>
        <w:tc>
          <w:tcPr>
            <w:tcW w:w="1701" w:type="dxa"/>
          </w:tcPr>
          <w:p w14:paraId="4DA25C76"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5D0210">
              <w:rPr>
                <w:rFonts w:cs="Calibri"/>
                <w:sz w:val="16"/>
                <w:szCs w:val="16"/>
              </w:rPr>
              <w:t xml:space="preserve">Recruited participants through mobile app to answer survey. </w:t>
            </w:r>
          </w:p>
        </w:tc>
        <w:tc>
          <w:tcPr>
            <w:tcW w:w="992" w:type="dxa"/>
          </w:tcPr>
          <w:p w14:paraId="68C1FD65"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5D0210">
              <w:rPr>
                <w:rFonts w:cs="Calibri"/>
                <w:sz w:val="16"/>
                <w:szCs w:val="16"/>
              </w:rPr>
              <w:t>NR</w:t>
            </w:r>
          </w:p>
        </w:tc>
        <w:tc>
          <w:tcPr>
            <w:tcW w:w="2302" w:type="dxa"/>
          </w:tcPr>
          <w:p w14:paraId="7523066C"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iCs/>
                <w:sz w:val="16"/>
                <w:szCs w:val="16"/>
              </w:rPr>
            </w:pPr>
            <w:r w:rsidRPr="005D0210">
              <w:rPr>
                <w:rFonts w:cs="Calibri"/>
                <w:iCs/>
                <w:sz w:val="16"/>
                <w:szCs w:val="16"/>
              </w:rPr>
              <w:t>Chinese adolescents picked up e</w:t>
            </w:r>
            <w:r w:rsidRPr="005D0210">
              <w:rPr>
                <w:rFonts w:cs="Calibri"/>
                <w:iCs/>
                <w:sz w:val="16"/>
                <w:szCs w:val="16"/>
              </w:rPr>
              <w:noBreakHyphen/>
              <w:t>cigarettes because they wanted to avoid the harm of cigarettes (44.63%), or to avoid the second hand harm of smoking to others (26.30%), or they expected e</w:t>
            </w:r>
            <w:r w:rsidRPr="005D0210">
              <w:rPr>
                <w:rFonts w:cs="Calibri"/>
                <w:iCs/>
                <w:sz w:val="16"/>
                <w:szCs w:val="16"/>
              </w:rPr>
              <w:noBreakHyphen/>
              <w:t>cigarettes to help quit smoking (24.26%). Meanwhile, a significant portion of the respondents used e</w:t>
            </w:r>
            <w:r w:rsidRPr="005D0210">
              <w:rPr>
                <w:rFonts w:cs="Calibri"/>
                <w:iCs/>
                <w:sz w:val="16"/>
                <w:szCs w:val="16"/>
              </w:rPr>
              <w:noBreakHyphen/>
              <w:t>cigarettes because they thought it was fashionable to do so (15.37%) or simply because they were curious of e</w:t>
            </w:r>
            <w:r w:rsidRPr="005D0210">
              <w:rPr>
                <w:rFonts w:cs="Calibri"/>
                <w:iCs/>
                <w:sz w:val="16"/>
                <w:szCs w:val="16"/>
              </w:rPr>
              <w:noBreakHyphen/>
              <w:t>cigarettes (25.56%). Among the 192 former smokers or those who had successfully quit, 17.19% used patches, 13.54% used e</w:t>
            </w:r>
            <w:r w:rsidRPr="005D0210">
              <w:rPr>
                <w:rFonts w:cs="Calibri"/>
                <w:iCs/>
                <w:sz w:val="16"/>
                <w:szCs w:val="16"/>
              </w:rPr>
              <w:noBreakHyphen/>
              <w:t xml:space="preserve">cigarettes, and 69.72% </w:t>
            </w:r>
            <w:r w:rsidRPr="005D0210">
              <w:rPr>
                <w:rFonts w:cs="Calibri"/>
                <w:iCs/>
                <w:sz w:val="16"/>
                <w:szCs w:val="16"/>
              </w:rPr>
              <w:lastRenderedPageBreak/>
              <w:t xml:space="preserve">used other methods to help quit. </w:t>
            </w:r>
          </w:p>
        </w:tc>
        <w:tc>
          <w:tcPr>
            <w:tcW w:w="1984" w:type="dxa"/>
          </w:tcPr>
          <w:p w14:paraId="5BBA4B4D"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theme="minorHAnsi"/>
                <w:iCs/>
                <w:sz w:val="16"/>
                <w:szCs w:val="16"/>
              </w:rPr>
            </w:pPr>
            <w:r w:rsidRPr="005D0210">
              <w:rPr>
                <w:rFonts w:cs="Calibri"/>
                <w:iCs/>
                <w:sz w:val="16"/>
                <w:szCs w:val="16"/>
              </w:rPr>
              <w:lastRenderedPageBreak/>
              <w:t>E</w:t>
            </w:r>
            <w:r w:rsidRPr="005D0210">
              <w:rPr>
                <w:rFonts w:cs="Calibri"/>
                <w:iCs/>
                <w:sz w:val="16"/>
                <w:szCs w:val="16"/>
              </w:rPr>
              <w:noBreakHyphen/>
              <w:t>cigarettes are widely known and quite popular among Chinese adolescents. However, the association between e</w:t>
            </w:r>
            <w:r w:rsidRPr="005D0210">
              <w:rPr>
                <w:rFonts w:cs="Calibri"/>
                <w:iCs/>
                <w:sz w:val="16"/>
                <w:szCs w:val="16"/>
              </w:rPr>
              <w:noBreakHyphen/>
              <w:t>cigarette use and smoking cessation deserves further examination until a clearer picture is revealed.</w:t>
            </w:r>
          </w:p>
        </w:tc>
      </w:tr>
      <w:tr w:rsidR="00781923" w:rsidRPr="005D0210" w14:paraId="2CC95D6B" w14:textId="77777777" w:rsidTr="004E728C">
        <w:trPr>
          <w:trHeight w:val="2211"/>
        </w:trPr>
        <w:tc>
          <w:tcPr>
            <w:cnfStyle w:val="001000000000" w:firstRow="0" w:lastRow="0" w:firstColumn="1" w:lastColumn="0" w:oddVBand="0" w:evenVBand="0" w:oddHBand="0" w:evenHBand="0" w:firstRowFirstColumn="0" w:firstRowLastColumn="0" w:lastRowFirstColumn="0" w:lastRowLastColumn="0"/>
            <w:tcW w:w="988" w:type="dxa"/>
            <w:hideMark/>
          </w:tcPr>
          <w:p w14:paraId="1A266025" w14:textId="77777777" w:rsidR="00781923" w:rsidRPr="005D0210" w:rsidRDefault="00781923" w:rsidP="004E728C">
            <w:pPr>
              <w:rPr>
                <w:rFonts w:eastAsia="Times New Roman" w:cstheme="minorHAnsi"/>
                <w:sz w:val="16"/>
                <w:szCs w:val="16"/>
              </w:rPr>
            </w:pPr>
            <w:r w:rsidRPr="005D0210">
              <w:rPr>
                <w:rFonts w:eastAsia="Times New Roman" w:cstheme="minorHAnsi"/>
                <w:sz w:val="16"/>
                <w:szCs w:val="16"/>
              </w:rPr>
              <w:t>Zhu 2017</w:t>
            </w:r>
          </w:p>
        </w:tc>
        <w:tc>
          <w:tcPr>
            <w:tcW w:w="1559" w:type="dxa"/>
            <w:hideMark/>
          </w:tcPr>
          <w:p w14:paraId="4D43279C"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iCs/>
                <w:sz w:val="16"/>
                <w:szCs w:val="16"/>
              </w:rPr>
            </w:pPr>
            <w:r w:rsidRPr="005D0210">
              <w:rPr>
                <w:rFonts w:eastAsia="Times New Roman" w:cstheme="minorHAnsi"/>
                <w:iCs/>
                <w:sz w:val="16"/>
                <w:szCs w:val="16"/>
              </w:rPr>
              <w:t>To examine whether the increase in use of electronic cigarettes in the USA, which became noticeable around 2010 and increased dramatically by 2014, was associated with a change in overall smoking cessation rate at the population level.</w:t>
            </w:r>
          </w:p>
        </w:tc>
        <w:tc>
          <w:tcPr>
            <w:tcW w:w="850" w:type="dxa"/>
            <w:hideMark/>
          </w:tcPr>
          <w:p w14:paraId="2453600B"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US Current Population Survey</w:t>
            </w:r>
            <w:r w:rsidRPr="005D0210">
              <w:rPr>
                <w:rFonts w:eastAsia="Times New Roman" w:cstheme="minorHAnsi"/>
                <w:sz w:val="16"/>
                <w:szCs w:val="16"/>
              </w:rPr>
              <w:noBreakHyphen/>
              <w:t xml:space="preserve">Tobacco Use Supplement </w:t>
            </w:r>
          </w:p>
        </w:tc>
        <w:tc>
          <w:tcPr>
            <w:tcW w:w="993" w:type="dxa"/>
            <w:hideMark/>
          </w:tcPr>
          <w:p w14:paraId="2D984DB4"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USA</w:t>
            </w:r>
          </w:p>
        </w:tc>
        <w:tc>
          <w:tcPr>
            <w:tcW w:w="992" w:type="dxa"/>
            <w:hideMark/>
          </w:tcPr>
          <w:p w14:paraId="46E9C5B6"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2001</w:t>
            </w:r>
            <w:r w:rsidRPr="005D0210">
              <w:rPr>
                <w:rFonts w:eastAsia="Times New Roman" w:cstheme="minorHAnsi"/>
                <w:sz w:val="16"/>
                <w:szCs w:val="16"/>
              </w:rPr>
              <w:noBreakHyphen/>
              <w:t>02, 2003, 2006</w:t>
            </w:r>
            <w:r w:rsidRPr="005D0210">
              <w:rPr>
                <w:rFonts w:eastAsia="Times New Roman" w:cstheme="minorHAnsi"/>
                <w:sz w:val="16"/>
                <w:szCs w:val="16"/>
              </w:rPr>
              <w:noBreakHyphen/>
              <w:t>07, 2010</w:t>
            </w:r>
            <w:r w:rsidRPr="005D0210">
              <w:rPr>
                <w:rFonts w:eastAsia="Times New Roman" w:cstheme="minorHAnsi"/>
                <w:sz w:val="16"/>
                <w:szCs w:val="16"/>
              </w:rPr>
              <w:noBreakHyphen/>
              <w:t>11, 2014</w:t>
            </w:r>
            <w:r w:rsidRPr="005D0210">
              <w:rPr>
                <w:rFonts w:eastAsia="Times New Roman" w:cstheme="minorHAnsi"/>
                <w:sz w:val="16"/>
                <w:szCs w:val="16"/>
              </w:rPr>
              <w:noBreakHyphen/>
              <w:t>15</w:t>
            </w:r>
          </w:p>
        </w:tc>
        <w:tc>
          <w:tcPr>
            <w:tcW w:w="992" w:type="dxa"/>
            <w:hideMark/>
          </w:tcPr>
          <w:p w14:paraId="1152B05C"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 xml:space="preserve">Ranged between 23270 </w:t>
            </w:r>
            <w:r w:rsidRPr="005D0210">
              <w:rPr>
                <w:rFonts w:eastAsia="Times New Roman" w:cstheme="minorHAnsi"/>
                <w:sz w:val="16"/>
                <w:szCs w:val="16"/>
              </w:rPr>
              <w:noBreakHyphen/>
              <w:t xml:space="preserve"> 163920 depending on survey and question analysed</w:t>
            </w:r>
          </w:p>
        </w:tc>
        <w:tc>
          <w:tcPr>
            <w:tcW w:w="1134" w:type="dxa"/>
            <w:hideMark/>
          </w:tcPr>
          <w:p w14:paraId="2C4479B6"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18</w:t>
            </w:r>
            <w:r w:rsidRPr="005D0210">
              <w:rPr>
                <w:rFonts w:eastAsia="Times New Roman" w:cstheme="minorHAnsi"/>
                <w:sz w:val="16"/>
                <w:szCs w:val="16"/>
              </w:rPr>
              <w:noBreakHyphen/>
              <w:t>24: 6.6%</w:t>
            </w:r>
            <w:r w:rsidRPr="005D0210">
              <w:rPr>
                <w:rFonts w:eastAsia="Times New Roman" w:cstheme="minorHAnsi"/>
                <w:sz w:val="16"/>
                <w:szCs w:val="16"/>
              </w:rPr>
              <w:br/>
              <w:t>25</w:t>
            </w:r>
            <w:r w:rsidRPr="005D0210">
              <w:rPr>
                <w:rFonts w:eastAsia="Times New Roman" w:cstheme="minorHAnsi"/>
                <w:sz w:val="16"/>
                <w:szCs w:val="16"/>
              </w:rPr>
              <w:noBreakHyphen/>
              <w:t>44: 32.8%</w:t>
            </w:r>
            <w:r w:rsidRPr="005D0210">
              <w:rPr>
                <w:rFonts w:eastAsia="Times New Roman" w:cstheme="minorHAnsi"/>
                <w:sz w:val="16"/>
                <w:szCs w:val="16"/>
              </w:rPr>
              <w:br/>
              <w:t>45</w:t>
            </w:r>
            <w:r w:rsidRPr="005D0210">
              <w:rPr>
                <w:rFonts w:eastAsia="Times New Roman" w:cstheme="minorHAnsi"/>
                <w:sz w:val="16"/>
                <w:szCs w:val="16"/>
              </w:rPr>
              <w:noBreakHyphen/>
              <w:t>64: 36.8%</w:t>
            </w:r>
            <w:r w:rsidRPr="005D0210">
              <w:rPr>
                <w:rFonts w:eastAsia="Times New Roman" w:cstheme="minorHAnsi"/>
                <w:sz w:val="16"/>
                <w:szCs w:val="16"/>
              </w:rPr>
              <w:br/>
              <w:t>≥65: 23.8%</w:t>
            </w:r>
          </w:p>
        </w:tc>
        <w:tc>
          <w:tcPr>
            <w:tcW w:w="851" w:type="dxa"/>
            <w:hideMark/>
          </w:tcPr>
          <w:p w14:paraId="59FE0F1C"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55.4</w:t>
            </w:r>
          </w:p>
        </w:tc>
        <w:tc>
          <w:tcPr>
            <w:tcW w:w="1701" w:type="dxa"/>
            <w:hideMark/>
          </w:tcPr>
          <w:p w14:paraId="029696C4"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Via Census</w:t>
            </w:r>
          </w:p>
        </w:tc>
        <w:tc>
          <w:tcPr>
            <w:tcW w:w="992" w:type="dxa"/>
            <w:hideMark/>
          </w:tcPr>
          <w:p w14:paraId="66229EC3"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5D0210">
              <w:rPr>
                <w:rFonts w:eastAsia="Times New Roman" w:cstheme="minorHAnsi"/>
                <w:sz w:val="16"/>
                <w:szCs w:val="16"/>
              </w:rPr>
              <w:t>64.0%, 63.6%, 62.0%, 61.2%, and 54.2% for 2001</w:t>
            </w:r>
            <w:r w:rsidRPr="005D0210">
              <w:rPr>
                <w:rFonts w:eastAsia="Times New Roman" w:cstheme="minorHAnsi"/>
                <w:sz w:val="16"/>
                <w:szCs w:val="16"/>
              </w:rPr>
              <w:noBreakHyphen/>
              <w:t>02, 2003, 2006</w:t>
            </w:r>
            <w:r w:rsidRPr="005D0210">
              <w:rPr>
                <w:rFonts w:eastAsia="Times New Roman" w:cstheme="minorHAnsi"/>
                <w:sz w:val="16"/>
                <w:szCs w:val="16"/>
              </w:rPr>
              <w:noBreakHyphen/>
              <w:t>07, 2010</w:t>
            </w:r>
            <w:r w:rsidRPr="005D0210">
              <w:rPr>
                <w:rFonts w:eastAsia="Times New Roman" w:cstheme="minorHAnsi"/>
                <w:sz w:val="16"/>
                <w:szCs w:val="16"/>
              </w:rPr>
              <w:noBreakHyphen/>
              <w:t>11, and 2014</w:t>
            </w:r>
            <w:r w:rsidRPr="005D0210">
              <w:rPr>
                <w:rFonts w:eastAsia="Times New Roman" w:cstheme="minorHAnsi"/>
                <w:sz w:val="16"/>
                <w:szCs w:val="16"/>
              </w:rPr>
              <w:noBreakHyphen/>
              <w:t>15, respectively.</w:t>
            </w:r>
          </w:p>
        </w:tc>
        <w:tc>
          <w:tcPr>
            <w:tcW w:w="2302" w:type="dxa"/>
            <w:hideMark/>
          </w:tcPr>
          <w:p w14:paraId="59319C92"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iCs/>
                <w:sz w:val="16"/>
                <w:szCs w:val="16"/>
              </w:rPr>
            </w:pPr>
            <w:r w:rsidRPr="005D0210">
              <w:rPr>
                <w:rFonts w:eastAsia="Times New Roman" w:cstheme="minorHAnsi"/>
                <w:iCs/>
                <w:sz w:val="16"/>
                <w:szCs w:val="16"/>
              </w:rPr>
              <w:t>E</w:t>
            </w:r>
            <w:r w:rsidRPr="005D0210">
              <w:rPr>
                <w:rFonts w:eastAsia="Times New Roman" w:cstheme="minorHAnsi"/>
                <w:iCs/>
                <w:sz w:val="16"/>
                <w:szCs w:val="16"/>
              </w:rPr>
              <w:noBreakHyphen/>
              <w:t>cigarette users were more likely than non</w:t>
            </w:r>
            <w:r w:rsidRPr="005D0210">
              <w:rPr>
                <w:rFonts w:eastAsia="Times New Roman" w:cstheme="minorHAnsi"/>
                <w:iCs/>
                <w:sz w:val="16"/>
                <w:szCs w:val="16"/>
              </w:rPr>
              <w:noBreakHyphen/>
              <w:t>users to attempt to quit smoking, 65.1% v 40.1% (change=25.0%, 95% confidence interval 23.2% to 26.9%), and more likely to succeed in quitting, 8.2% v 4.8% (3.5%, 2.5% to 4.5%). Recent quitters had the highest ever use rate, 49.3%, compared with current smokers (38.2%) and never smokers: 2%</w:t>
            </w:r>
          </w:p>
        </w:tc>
        <w:tc>
          <w:tcPr>
            <w:tcW w:w="1984" w:type="dxa"/>
            <w:hideMark/>
          </w:tcPr>
          <w:p w14:paraId="5F5075F0"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theme="minorHAnsi"/>
                <w:iCs/>
                <w:sz w:val="16"/>
                <w:szCs w:val="16"/>
              </w:rPr>
            </w:pPr>
            <w:r w:rsidRPr="005D0210">
              <w:rPr>
                <w:rFonts w:eastAsia="Times New Roman" w:cstheme="minorHAnsi"/>
                <w:iCs/>
                <w:sz w:val="16"/>
                <w:szCs w:val="16"/>
              </w:rPr>
              <w:t>The substantial increase in e</w:t>
            </w:r>
            <w:r w:rsidRPr="005D0210">
              <w:rPr>
                <w:rFonts w:eastAsia="Times New Roman" w:cstheme="minorHAnsi"/>
                <w:iCs/>
                <w:sz w:val="16"/>
                <w:szCs w:val="16"/>
              </w:rPr>
              <w:noBreakHyphen/>
              <w:t>cigarette use among US adult smokers was associated with a statistically significant increase in the smoking cessation rate at the population level.</w:t>
            </w:r>
          </w:p>
        </w:tc>
      </w:tr>
    </w:tbl>
    <w:p w14:paraId="4411948F" w14:textId="77777777" w:rsidR="00781923" w:rsidRPr="005D0210" w:rsidRDefault="00781923" w:rsidP="00781923">
      <w:r w:rsidRPr="005D0210">
        <w:br w:type="page"/>
      </w:r>
    </w:p>
    <w:p w14:paraId="717CFEBF" w14:textId="77777777" w:rsidR="00781923" w:rsidRPr="005D0210" w:rsidRDefault="003D2CBD" w:rsidP="003D2CBD">
      <w:pPr>
        <w:pStyle w:val="Caption"/>
      </w:pPr>
      <w:bookmarkStart w:id="146" w:name="_Toc515229969"/>
      <w:bookmarkStart w:id="147" w:name="_Toc517707422"/>
      <w:r w:rsidRPr="005D0210">
        <w:lastRenderedPageBreak/>
        <w:t xml:space="preserve">Table </w:t>
      </w:r>
      <w:r w:rsidR="0048064B">
        <w:rPr>
          <w:noProof/>
        </w:rPr>
        <w:fldChar w:fldCharType="begin"/>
      </w:r>
      <w:r w:rsidR="0048064B">
        <w:rPr>
          <w:noProof/>
        </w:rPr>
        <w:instrText xml:space="preserve"> SEQ Table \* ARABIC </w:instrText>
      </w:r>
      <w:r w:rsidR="0048064B">
        <w:rPr>
          <w:noProof/>
        </w:rPr>
        <w:fldChar w:fldCharType="separate"/>
      </w:r>
      <w:r w:rsidR="000C06DA">
        <w:rPr>
          <w:noProof/>
        </w:rPr>
        <w:t>13</w:t>
      </w:r>
      <w:r w:rsidR="0048064B">
        <w:rPr>
          <w:noProof/>
        </w:rPr>
        <w:fldChar w:fldCharType="end"/>
      </w:r>
      <w:r w:rsidR="00781923" w:rsidRPr="005D0210">
        <w:t>: Longitudinal smoking cessation studies: characteristics</w:t>
      </w:r>
      <w:bookmarkEnd w:id="146"/>
      <w:bookmarkEnd w:id="147"/>
    </w:p>
    <w:tbl>
      <w:tblPr>
        <w:tblStyle w:val="TableCSIRO"/>
        <w:tblW w:w="15446" w:type="dxa"/>
        <w:tblLayout w:type="fixed"/>
        <w:tblLook w:val="04A0" w:firstRow="1" w:lastRow="0" w:firstColumn="1" w:lastColumn="0" w:noHBand="0" w:noVBand="1"/>
      </w:tblPr>
      <w:tblGrid>
        <w:gridCol w:w="1269"/>
        <w:gridCol w:w="2837"/>
        <w:gridCol w:w="2727"/>
        <w:gridCol w:w="4219"/>
        <w:gridCol w:w="1276"/>
        <w:gridCol w:w="850"/>
        <w:gridCol w:w="992"/>
        <w:gridCol w:w="1276"/>
      </w:tblGrid>
      <w:tr w:rsidR="00781923" w:rsidRPr="005D0210" w14:paraId="6416D268" w14:textId="77777777" w:rsidTr="004E728C">
        <w:trPr>
          <w:cnfStyle w:val="100000000000" w:firstRow="1" w:lastRow="0" w:firstColumn="0" w:lastColumn="0" w:oddVBand="0" w:evenVBand="0" w:oddHBand="0" w:evenHBand="0" w:firstRowFirstColumn="0" w:firstRowLastColumn="0" w:lastRowFirstColumn="0" w:lastRowLastColumn="0"/>
          <w:trHeight w:val="250"/>
          <w:tblHeader/>
        </w:trPr>
        <w:tc>
          <w:tcPr>
            <w:cnfStyle w:val="001000000000" w:firstRow="0" w:lastRow="0" w:firstColumn="1" w:lastColumn="0" w:oddVBand="0" w:evenVBand="0" w:oddHBand="0" w:evenHBand="0" w:firstRowFirstColumn="0" w:firstRowLastColumn="0" w:lastRowFirstColumn="0" w:lastRowLastColumn="0"/>
            <w:tcW w:w="1269" w:type="dxa"/>
            <w:vMerge w:val="restart"/>
            <w:vAlign w:val="center"/>
            <w:hideMark/>
          </w:tcPr>
          <w:p w14:paraId="6345EC8E" w14:textId="77777777" w:rsidR="00781923" w:rsidRPr="005D0210" w:rsidRDefault="00781923" w:rsidP="004E728C">
            <w:pPr>
              <w:rPr>
                <w:rFonts w:eastAsia="Times New Roman" w:cs="Calibri"/>
                <w:b w:val="0"/>
                <w:bCs w:val="0"/>
                <w:color w:val="FFFFFF" w:themeColor="background1"/>
                <w:sz w:val="16"/>
                <w:szCs w:val="16"/>
              </w:rPr>
            </w:pPr>
            <w:r w:rsidRPr="005D0210">
              <w:rPr>
                <w:rFonts w:eastAsia="Times New Roman" w:cs="Calibri"/>
                <w:color w:val="FFFFFF" w:themeColor="background1"/>
                <w:sz w:val="16"/>
                <w:szCs w:val="16"/>
              </w:rPr>
              <w:t>Study reference</w:t>
            </w:r>
          </w:p>
        </w:tc>
        <w:tc>
          <w:tcPr>
            <w:tcW w:w="2837" w:type="dxa"/>
            <w:vMerge w:val="restart"/>
            <w:vAlign w:val="center"/>
            <w:hideMark/>
          </w:tcPr>
          <w:p w14:paraId="0C90F781" w14:textId="77777777" w:rsidR="00781923" w:rsidRPr="005D0210" w:rsidRDefault="00781923" w:rsidP="004E728C">
            <w:pP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themeColor="background1"/>
                <w:sz w:val="16"/>
                <w:szCs w:val="16"/>
              </w:rPr>
            </w:pPr>
            <w:r w:rsidRPr="005D0210">
              <w:rPr>
                <w:rFonts w:eastAsia="Times New Roman" w:cs="Calibri"/>
                <w:color w:val="FFFFFF" w:themeColor="background1"/>
                <w:sz w:val="16"/>
                <w:szCs w:val="16"/>
              </w:rPr>
              <w:t>Study objectives</w:t>
            </w:r>
          </w:p>
        </w:tc>
        <w:tc>
          <w:tcPr>
            <w:tcW w:w="11340" w:type="dxa"/>
            <w:gridSpan w:val="6"/>
            <w:hideMark/>
          </w:tcPr>
          <w:p w14:paraId="3073C344" w14:textId="77777777" w:rsidR="00781923" w:rsidRPr="005D0210" w:rsidRDefault="00781923" w:rsidP="004E728C">
            <w:pPr>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themeColor="background1"/>
                <w:sz w:val="16"/>
                <w:szCs w:val="16"/>
              </w:rPr>
            </w:pPr>
            <w:r w:rsidRPr="005D0210">
              <w:rPr>
                <w:rFonts w:eastAsia="Times New Roman" w:cs="Calibri"/>
                <w:color w:val="FFFFFF" w:themeColor="background1"/>
                <w:sz w:val="16"/>
                <w:szCs w:val="16"/>
              </w:rPr>
              <w:t>Study Population</w:t>
            </w:r>
          </w:p>
        </w:tc>
      </w:tr>
      <w:tr w:rsidR="00781923" w:rsidRPr="005D0210" w14:paraId="2A9F7CE2" w14:textId="77777777" w:rsidTr="004E728C">
        <w:trPr>
          <w:cnfStyle w:val="100000000000" w:firstRow="1" w:lastRow="0" w:firstColumn="0" w:lastColumn="0" w:oddVBand="0" w:evenVBand="0" w:oddHBand="0" w:evenHBand="0" w:firstRowFirstColumn="0" w:firstRowLastColumn="0" w:lastRowFirstColumn="0" w:lastRowLastColumn="0"/>
          <w:trHeight w:val="559"/>
          <w:tblHeader/>
        </w:trPr>
        <w:tc>
          <w:tcPr>
            <w:cnfStyle w:val="001000000000" w:firstRow="0" w:lastRow="0" w:firstColumn="1" w:lastColumn="0" w:oddVBand="0" w:evenVBand="0" w:oddHBand="0" w:evenHBand="0" w:firstRowFirstColumn="0" w:firstRowLastColumn="0" w:lastRowFirstColumn="0" w:lastRowLastColumn="0"/>
            <w:tcW w:w="1269" w:type="dxa"/>
            <w:vMerge/>
            <w:hideMark/>
          </w:tcPr>
          <w:p w14:paraId="5A92BD4A" w14:textId="77777777" w:rsidR="00781923" w:rsidRPr="005D0210" w:rsidRDefault="00781923" w:rsidP="004E728C">
            <w:pPr>
              <w:rPr>
                <w:rFonts w:eastAsia="Times New Roman" w:cs="Calibri"/>
                <w:b w:val="0"/>
                <w:bCs w:val="0"/>
                <w:sz w:val="16"/>
                <w:szCs w:val="16"/>
              </w:rPr>
            </w:pPr>
          </w:p>
        </w:tc>
        <w:tc>
          <w:tcPr>
            <w:tcW w:w="2837" w:type="dxa"/>
            <w:vMerge/>
            <w:hideMark/>
          </w:tcPr>
          <w:p w14:paraId="4A74B419" w14:textId="77777777" w:rsidR="00781923" w:rsidRPr="005D0210" w:rsidRDefault="00781923" w:rsidP="004E728C">
            <w:pPr>
              <w:cnfStyle w:val="100000000000" w:firstRow="1" w:lastRow="0" w:firstColumn="0" w:lastColumn="0" w:oddVBand="0" w:evenVBand="0" w:oddHBand="0" w:evenHBand="0" w:firstRowFirstColumn="0" w:firstRowLastColumn="0" w:lastRowFirstColumn="0" w:lastRowLastColumn="0"/>
              <w:rPr>
                <w:rFonts w:eastAsia="Times New Roman" w:cs="Calibri"/>
                <w:b w:val="0"/>
                <w:bCs w:val="0"/>
                <w:sz w:val="16"/>
                <w:szCs w:val="16"/>
              </w:rPr>
            </w:pPr>
          </w:p>
        </w:tc>
        <w:tc>
          <w:tcPr>
            <w:tcW w:w="2727" w:type="dxa"/>
            <w:hideMark/>
          </w:tcPr>
          <w:p w14:paraId="7A2DF25A" w14:textId="77777777" w:rsidR="00781923" w:rsidRPr="005D0210" w:rsidRDefault="00781923" w:rsidP="004E728C">
            <w:pPr>
              <w:cnfStyle w:val="100000000000" w:firstRow="1" w:lastRow="0" w:firstColumn="0" w:lastColumn="0" w:oddVBand="0" w:evenVBand="0" w:oddHBand="0" w:evenHBand="0" w:firstRowFirstColumn="0" w:firstRowLastColumn="0" w:lastRowFirstColumn="0" w:lastRowLastColumn="0"/>
              <w:rPr>
                <w:rFonts w:eastAsia="Times New Roman" w:cs="Calibri"/>
                <w:bCs w:val="0"/>
                <w:color w:val="FFFFFF" w:themeColor="background1"/>
                <w:sz w:val="16"/>
                <w:szCs w:val="16"/>
              </w:rPr>
            </w:pPr>
            <w:r w:rsidRPr="005D0210">
              <w:rPr>
                <w:rFonts w:eastAsia="Times New Roman" w:cs="Calibri"/>
                <w:bCs w:val="0"/>
                <w:color w:val="FFFFFF" w:themeColor="background1"/>
                <w:sz w:val="16"/>
                <w:szCs w:val="16"/>
              </w:rPr>
              <w:t>Selection method</w:t>
            </w:r>
          </w:p>
        </w:tc>
        <w:tc>
          <w:tcPr>
            <w:tcW w:w="4219" w:type="dxa"/>
            <w:hideMark/>
          </w:tcPr>
          <w:p w14:paraId="4FB76DA4" w14:textId="77777777" w:rsidR="00781923" w:rsidRPr="005D0210" w:rsidRDefault="00781923" w:rsidP="004E728C">
            <w:pPr>
              <w:cnfStyle w:val="100000000000" w:firstRow="1" w:lastRow="0" w:firstColumn="0" w:lastColumn="0" w:oddVBand="0" w:evenVBand="0" w:oddHBand="0" w:evenHBand="0" w:firstRowFirstColumn="0" w:firstRowLastColumn="0" w:lastRowFirstColumn="0" w:lastRowLastColumn="0"/>
              <w:rPr>
                <w:rFonts w:eastAsia="Times New Roman" w:cs="Calibri"/>
                <w:bCs w:val="0"/>
                <w:color w:val="FFFFFF" w:themeColor="background1"/>
                <w:sz w:val="16"/>
                <w:szCs w:val="16"/>
              </w:rPr>
            </w:pPr>
            <w:r w:rsidRPr="005D0210">
              <w:rPr>
                <w:rFonts w:eastAsia="Times New Roman" w:cs="Calibri"/>
                <w:bCs w:val="0"/>
                <w:color w:val="FFFFFF" w:themeColor="background1"/>
                <w:sz w:val="16"/>
                <w:szCs w:val="16"/>
              </w:rPr>
              <w:t>Inclusion criteria</w:t>
            </w:r>
          </w:p>
        </w:tc>
        <w:tc>
          <w:tcPr>
            <w:tcW w:w="1276" w:type="dxa"/>
            <w:hideMark/>
          </w:tcPr>
          <w:p w14:paraId="4AF60BA9" w14:textId="77777777" w:rsidR="00781923" w:rsidRPr="005D0210" w:rsidRDefault="00781923" w:rsidP="004E728C">
            <w:pPr>
              <w:cnfStyle w:val="100000000000" w:firstRow="1" w:lastRow="0" w:firstColumn="0" w:lastColumn="0" w:oddVBand="0" w:evenVBand="0" w:oddHBand="0" w:evenHBand="0" w:firstRowFirstColumn="0" w:firstRowLastColumn="0" w:lastRowFirstColumn="0" w:lastRowLastColumn="0"/>
              <w:rPr>
                <w:rFonts w:eastAsia="Times New Roman" w:cs="Calibri"/>
                <w:bCs w:val="0"/>
                <w:color w:val="FFFFFF" w:themeColor="background1"/>
                <w:sz w:val="16"/>
                <w:szCs w:val="16"/>
              </w:rPr>
            </w:pPr>
            <w:r w:rsidRPr="005D0210">
              <w:rPr>
                <w:rFonts w:eastAsia="Times New Roman" w:cs="Calibri"/>
                <w:bCs w:val="0"/>
                <w:color w:val="FFFFFF" w:themeColor="background1"/>
                <w:sz w:val="16"/>
                <w:szCs w:val="16"/>
              </w:rPr>
              <w:t>Year of data collection</w:t>
            </w:r>
          </w:p>
        </w:tc>
        <w:tc>
          <w:tcPr>
            <w:tcW w:w="850" w:type="dxa"/>
            <w:hideMark/>
          </w:tcPr>
          <w:p w14:paraId="5C2A3F7D" w14:textId="77777777" w:rsidR="00781923" w:rsidRPr="005D0210" w:rsidRDefault="00781923" w:rsidP="004E728C">
            <w:pPr>
              <w:cnfStyle w:val="100000000000" w:firstRow="1" w:lastRow="0" w:firstColumn="0" w:lastColumn="0" w:oddVBand="0" w:evenVBand="0" w:oddHBand="0" w:evenHBand="0" w:firstRowFirstColumn="0" w:firstRowLastColumn="0" w:lastRowFirstColumn="0" w:lastRowLastColumn="0"/>
              <w:rPr>
                <w:rFonts w:eastAsia="Times New Roman" w:cs="Calibri"/>
                <w:bCs w:val="0"/>
                <w:color w:val="FFFFFF" w:themeColor="background1"/>
                <w:sz w:val="16"/>
                <w:szCs w:val="16"/>
              </w:rPr>
            </w:pPr>
            <w:r w:rsidRPr="005D0210">
              <w:rPr>
                <w:rFonts w:eastAsia="Times New Roman" w:cs="Calibri"/>
                <w:bCs w:val="0"/>
                <w:color w:val="FFFFFF" w:themeColor="background1"/>
                <w:sz w:val="16"/>
                <w:szCs w:val="16"/>
              </w:rPr>
              <w:t>Participants (n)</w:t>
            </w:r>
          </w:p>
        </w:tc>
        <w:tc>
          <w:tcPr>
            <w:tcW w:w="992" w:type="dxa"/>
            <w:hideMark/>
          </w:tcPr>
          <w:p w14:paraId="5BD28A3B" w14:textId="77777777" w:rsidR="00781923" w:rsidRPr="005D0210" w:rsidRDefault="00781923" w:rsidP="004E728C">
            <w:pPr>
              <w:cnfStyle w:val="100000000000" w:firstRow="1" w:lastRow="0" w:firstColumn="0" w:lastColumn="0" w:oddVBand="0" w:evenVBand="0" w:oddHBand="0" w:evenHBand="0" w:firstRowFirstColumn="0" w:firstRowLastColumn="0" w:lastRowFirstColumn="0" w:lastRowLastColumn="0"/>
              <w:rPr>
                <w:rFonts w:eastAsia="Times New Roman" w:cs="Calibri"/>
                <w:bCs w:val="0"/>
                <w:color w:val="FFFFFF" w:themeColor="background1"/>
                <w:sz w:val="16"/>
                <w:szCs w:val="16"/>
              </w:rPr>
            </w:pPr>
            <w:r w:rsidRPr="005D0210">
              <w:rPr>
                <w:rFonts w:eastAsia="Times New Roman" w:cs="Calibri"/>
                <w:bCs w:val="0"/>
                <w:color w:val="FFFFFF" w:themeColor="background1"/>
                <w:sz w:val="16"/>
                <w:szCs w:val="16"/>
              </w:rPr>
              <w:t xml:space="preserve">Female </w:t>
            </w:r>
            <w:r w:rsidRPr="005D0210">
              <w:rPr>
                <w:rFonts w:eastAsia="Times New Roman" w:cs="Calibri"/>
                <w:bCs w:val="0"/>
                <w:color w:val="FFFFFF" w:themeColor="background1"/>
                <w:sz w:val="16"/>
                <w:szCs w:val="16"/>
              </w:rPr>
              <w:br/>
              <w:t>(%)</w:t>
            </w:r>
          </w:p>
        </w:tc>
        <w:tc>
          <w:tcPr>
            <w:tcW w:w="1276" w:type="dxa"/>
            <w:hideMark/>
          </w:tcPr>
          <w:p w14:paraId="370DE1E2" w14:textId="77777777" w:rsidR="00781923" w:rsidRPr="005D0210" w:rsidRDefault="00781923" w:rsidP="004E728C">
            <w:pPr>
              <w:cnfStyle w:val="100000000000" w:firstRow="1" w:lastRow="0" w:firstColumn="0" w:lastColumn="0" w:oddVBand="0" w:evenVBand="0" w:oddHBand="0" w:evenHBand="0" w:firstRowFirstColumn="0" w:firstRowLastColumn="0" w:lastRowFirstColumn="0" w:lastRowLastColumn="0"/>
              <w:rPr>
                <w:rFonts w:eastAsia="Times New Roman" w:cs="Calibri"/>
                <w:bCs w:val="0"/>
                <w:color w:val="FFFFFF" w:themeColor="background1"/>
                <w:sz w:val="16"/>
                <w:szCs w:val="16"/>
              </w:rPr>
            </w:pPr>
            <w:r w:rsidRPr="005D0210">
              <w:rPr>
                <w:rFonts w:eastAsia="Times New Roman" w:cs="Calibri"/>
                <w:bCs w:val="0"/>
                <w:color w:val="FFFFFF" w:themeColor="background1"/>
                <w:sz w:val="16"/>
                <w:szCs w:val="16"/>
              </w:rPr>
              <w:t xml:space="preserve">Age </w:t>
            </w:r>
            <w:r w:rsidRPr="005D0210">
              <w:rPr>
                <w:rFonts w:eastAsia="Times New Roman" w:cs="Calibri"/>
                <w:bCs w:val="0"/>
                <w:color w:val="FFFFFF" w:themeColor="background1"/>
                <w:sz w:val="16"/>
                <w:szCs w:val="16"/>
              </w:rPr>
              <w:br/>
              <w:t>M±SD</w:t>
            </w:r>
          </w:p>
        </w:tc>
      </w:tr>
      <w:tr w:rsidR="00781923" w:rsidRPr="005D0210" w14:paraId="26F82D2E" w14:textId="77777777" w:rsidTr="004E728C">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1269" w:type="dxa"/>
          </w:tcPr>
          <w:p w14:paraId="4386C584" w14:textId="77777777" w:rsidR="00781923" w:rsidRPr="005D0210" w:rsidRDefault="00781923" w:rsidP="004E728C">
            <w:pPr>
              <w:rPr>
                <w:rFonts w:eastAsia="Times New Roman" w:cs="Calibri"/>
                <w:sz w:val="16"/>
                <w:szCs w:val="16"/>
              </w:rPr>
            </w:pPr>
            <w:r w:rsidRPr="005D0210">
              <w:rPr>
                <w:rFonts w:cs="Calibri"/>
                <w:sz w:val="16"/>
                <w:szCs w:val="16"/>
              </w:rPr>
              <w:t>Berry 2018</w:t>
            </w:r>
          </w:p>
        </w:tc>
        <w:tc>
          <w:tcPr>
            <w:tcW w:w="2837" w:type="dxa"/>
          </w:tcPr>
          <w:p w14:paraId="24542382"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5D0210">
              <w:rPr>
                <w:rFonts w:cs="Calibri"/>
                <w:iCs/>
                <w:sz w:val="16"/>
                <w:szCs w:val="16"/>
              </w:rPr>
              <w:t>To investigate the associations between e</w:t>
            </w:r>
            <w:r w:rsidRPr="005D0210">
              <w:rPr>
                <w:rFonts w:cs="Calibri"/>
                <w:iCs/>
                <w:sz w:val="16"/>
                <w:szCs w:val="16"/>
              </w:rPr>
              <w:noBreakHyphen/>
              <w:t xml:space="preserve">cigarette initiation and cigarette cessation/ reduction in the USA. </w:t>
            </w:r>
          </w:p>
        </w:tc>
        <w:tc>
          <w:tcPr>
            <w:tcW w:w="2727" w:type="dxa"/>
          </w:tcPr>
          <w:p w14:paraId="4AE301CD"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5D0210">
              <w:rPr>
                <w:rFonts w:cs="Calibri"/>
                <w:sz w:val="16"/>
                <w:szCs w:val="16"/>
              </w:rPr>
              <w:t>Used data from the PATH study (Population Assessment of Tobacco and Health), a nationally representative random sample.</w:t>
            </w:r>
          </w:p>
        </w:tc>
        <w:tc>
          <w:tcPr>
            <w:tcW w:w="4219" w:type="dxa"/>
          </w:tcPr>
          <w:p w14:paraId="01C8EB92"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5D0210">
              <w:rPr>
                <w:rFonts w:cs="Calibri"/>
                <w:iCs/>
                <w:sz w:val="16"/>
                <w:szCs w:val="16"/>
              </w:rPr>
              <w:t>The current analysis was restricted to adults 25 years and older who were current established tobacco cigarette smokers but not current e</w:t>
            </w:r>
            <w:r w:rsidRPr="005D0210">
              <w:rPr>
                <w:rFonts w:cs="Calibri"/>
                <w:iCs/>
                <w:sz w:val="16"/>
                <w:szCs w:val="16"/>
              </w:rPr>
              <w:noBreakHyphen/>
              <w:t>cigarette users at wave 1.</w:t>
            </w:r>
          </w:p>
        </w:tc>
        <w:tc>
          <w:tcPr>
            <w:tcW w:w="1276" w:type="dxa"/>
          </w:tcPr>
          <w:p w14:paraId="1401E834"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5D0210">
              <w:rPr>
                <w:rFonts w:cs="Calibri"/>
                <w:sz w:val="16"/>
                <w:szCs w:val="16"/>
              </w:rPr>
              <w:t>2013</w:t>
            </w:r>
            <w:r w:rsidRPr="005D0210">
              <w:rPr>
                <w:rFonts w:cs="Calibri"/>
                <w:sz w:val="16"/>
                <w:szCs w:val="16"/>
              </w:rPr>
              <w:noBreakHyphen/>
              <w:t>14, 2014</w:t>
            </w:r>
            <w:r w:rsidRPr="005D0210">
              <w:rPr>
                <w:rFonts w:cs="Calibri"/>
                <w:sz w:val="16"/>
                <w:szCs w:val="16"/>
              </w:rPr>
              <w:noBreakHyphen/>
              <w:t>15</w:t>
            </w:r>
          </w:p>
        </w:tc>
        <w:tc>
          <w:tcPr>
            <w:tcW w:w="850" w:type="dxa"/>
          </w:tcPr>
          <w:p w14:paraId="2835D428"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5D0210">
              <w:rPr>
                <w:rFonts w:cs="Calibri"/>
                <w:sz w:val="16"/>
                <w:szCs w:val="16"/>
              </w:rPr>
              <w:t>5124</w:t>
            </w:r>
          </w:p>
        </w:tc>
        <w:tc>
          <w:tcPr>
            <w:tcW w:w="992" w:type="dxa"/>
          </w:tcPr>
          <w:p w14:paraId="3418D507"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5D0210">
              <w:rPr>
                <w:rFonts w:cs="Calibri"/>
                <w:sz w:val="16"/>
                <w:szCs w:val="16"/>
              </w:rPr>
              <w:t>45</w:t>
            </w:r>
          </w:p>
        </w:tc>
        <w:tc>
          <w:tcPr>
            <w:tcW w:w="1276" w:type="dxa"/>
          </w:tcPr>
          <w:p w14:paraId="37B146DC" w14:textId="389A1F7E"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5D0210">
              <w:rPr>
                <w:rFonts w:cs="Calibri"/>
                <w:sz w:val="16"/>
                <w:szCs w:val="16"/>
              </w:rPr>
              <w:t>25</w:t>
            </w:r>
            <w:r w:rsidRPr="005D0210">
              <w:rPr>
                <w:rFonts w:cs="Calibri"/>
                <w:sz w:val="16"/>
                <w:szCs w:val="16"/>
              </w:rPr>
              <w:noBreakHyphen/>
              <w:t>34: 28.1%</w:t>
            </w:r>
            <w:r w:rsidRPr="005D0210">
              <w:rPr>
                <w:rFonts w:cs="Calibri"/>
                <w:sz w:val="16"/>
                <w:szCs w:val="16"/>
              </w:rPr>
              <w:br/>
              <w:t>35</w:t>
            </w:r>
            <w:r w:rsidRPr="005D0210">
              <w:rPr>
                <w:rFonts w:cs="Calibri"/>
                <w:sz w:val="16"/>
                <w:szCs w:val="16"/>
              </w:rPr>
              <w:noBreakHyphen/>
              <w:t>44: 22.7%</w:t>
            </w:r>
            <w:r w:rsidR="008146F9">
              <w:rPr>
                <w:rFonts w:cs="Calibri"/>
                <w:sz w:val="16"/>
                <w:szCs w:val="16"/>
              </w:rPr>
              <w:t xml:space="preserve"> </w:t>
            </w:r>
            <w:r w:rsidRPr="005D0210">
              <w:rPr>
                <w:rFonts w:cs="Calibri"/>
                <w:sz w:val="16"/>
                <w:szCs w:val="16"/>
              </w:rPr>
              <w:t>45</w:t>
            </w:r>
            <w:r w:rsidRPr="005D0210">
              <w:rPr>
                <w:rFonts w:cs="Calibri"/>
                <w:sz w:val="16"/>
                <w:szCs w:val="16"/>
              </w:rPr>
              <w:noBreakHyphen/>
              <w:t>54: 23.2%</w:t>
            </w:r>
            <w:r w:rsidR="008146F9">
              <w:rPr>
                <w:rFonts w:cs="Calibri"/>
                <w:sz w:val="16"/>
                <w:szCs w:val="16"/>
              </w:rPr>
              <w:t xml:space="preserve"> </w:t>
            </w:r>
            <w:r w:rsidRPr="005D0210">
              <w:rPr>
                <w:rFonts w:cs="Calibri"/>
                <w:sz w:val="16"/>
                <w:szCs w:val="16"/>
              </w:rPr>
              <w:t>55</w:t>
            </w:r>
            <w:r w:rsidRPr="005D0210">
              <w:rPr>
                <w:rFonts w:cs="Calibri"/>
                <w:sz w:val="16"/>
                <w:szCs w:val="16"/>
              </w:rPr>
              <w:noBreakHyphen/>
              <w:t>64: 18.1%</w:t>
            </w:r>
            <w:r w:rsidR="008146F9">
              <w:rPr>
                <w:rFonts w:cs="Calibri"/>
                <w:sz w:val="16"/>
                <w:szCs w:val="16"/>
              </w:rPr>
              <w:t xml:space="preserve"> </w:t>
            </w:r>
            <w:r w:rsidRPr="005D0210">
              <w:rPr>
                <w:rFonts w:cs="Calibri"/>
                <w:sz w:val="16"/>
                <w:szCs w:val="16"/>
              </w:rPr>
              <w:t>65</w:t>
            </w:r>
            <w:r w:rsidRPr="005D0210">
              <w:rPr>
                <w:rFonts w:cs="Calibri"/>
                <w:sz w:val="16"/>
                <w:szCs w:val="16"/>
              </w:rPr>
              <w:noBreakHyphen/>
              <w:t>74: 6.5%  ≥75: 1.5%</w:t>
            </w:r>
          </w:p>
        </w:tc>
      </w:tr>
      <w:tr w:rsidR="00781923" w:rsidRPr="005D0210" w14:paraId="472D72C0" w14:textId="77777777" w:rsidTr="004E728C">
        <w:trPr>
          <w:trHeight w:val="568"/>
        </w:trPr>
        <w:tc>
          <w:tcPr>
            <w:cnfStyle w:val="001000000000" w:firstRow="0" w:lastRow="0" w:firstColumn="1" w:lastColumn="0" w:oddVBand="0" w:evenVBand="0" w:oddHBand="0" w:evenHBand="0" w:firstRowFirstColumn="0" w:firstRowLastColumn="0" w:lastRowFirstColumn="0" w:lastRowLastColumn="0"/>
            <w:tcW w:w="1269" w:type="dxa"/>
          </w:tcPr>
          <w:p w14:paraId="19EA0D96" w14:textId="77777777" w:rsidR="00781923" w:rsidRPr="005D0210" w:rsidRDefault="00781923" w:rsidP="004E728C">
            <w:pPr>
              <w:rPr>
                <w:rFonts w:eastAsia="Times New Roman" w:cs="Calibri"/>
                <w:sz w:val="16"/>
                <w:szCs w:val="16"/>
              </w:rPr>
            </w:pPr>
            <w:r w:rsidRPr="005D0210">
              <w:rPr>
                <w:rFonts w:eastAsia="Times New Roman" w:cs="Calibri"/>
                <w:sz w:val="16"/>
                <w:szCs w:val="16"/>
              </w:rPr>
              <w:t>Brikmanis 2017</w:t>
            </w:r>
          </w:p>
        </w:tc>
        <w:tc>
          <w:tcPr>
            <w:tcW w:w="2837" w:type="dxa"/>
          </w:tcPr>
          <w:p w14:paraId="4317FF18"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5D0210">
              <w:rPr>
                <w:rFonts w:eastAsia="Times New Roman" w:cs="Calibri"/>
                <w:sz w:val="16"/>
                <w:szCs w:val="16"/>
              </w:rPr>
              <w:t>To investigate perceptions of e</w:t>
            </w:r>
            <w:r w:rsidRPr="005D0210">
              <w:rPr>
                <w:rFonts w:eastAsia="Times New Roman" w:cs="Calibri"/>
                <w:sz w:val="16"/>
                <w:szCs w:val="16"/>
              </w:rPr>
              <w:noBreakHyphen/>
              <w:t>cigarettes, cigarette smoking intentions, and their associations with e</w:t>
            </w:r>
            <w:r w:rsidRPr="005D0210">
              <w:rPr>
                <w:rFonts w:eastAsia="Times New Roman" w:cs="Calibri"/>
                <w:sz w:val="16"/>
                <w:szCs w:val="16"/>
              </w:rPr>
              <w:noBreakHyphen/>
              <w:t xml:space="preserve">cigarette use over time. </w:t>
            </w:r>
          </w:p>
        </w:tc>
        <w:tc>
          <w:tcPr>
            <w:tcW w:w="2727" w:type="dxa"/>
          </w:tcPr>
          <w:p w14:paraId="0AA22020"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5D0210">
              <w:rPr>
                <w:rFonts w:eastAsia="Times New Roman" w:cs="Calibri"/>
                <w:sz w:val="16"/>
                <w:szCs w:val="16"/>
              </w:rPr>
              <w:t>Recruited from community.</w:t>
            </w:r>
          </w:p>
        </w:tc>
        <w:tc>
          <w:tcPr>
            <w:tcW w:w="4219" w:type="dxa"/>
          </w:tcPr>
          <w:p w14:paraId="08B72E64" w14:textId="361D8611"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5D0210">
              <w:rPr>
                <w:rFonts w:eastAsia="Times New Roman" w:cs="Calibri"/>
                <w:sz w:val="16"/>
                <w:szCs w:val="16"/>
              </w:rPr>
              <w:t>Monthly cigarette smoking for 6 months, never having smoked daily for one month or more, California residency and own a smartphone or have regular internet access</w:t>
            </w:r>
            <w:r w:rsidR="00F66844">
              <w:rPr>
                <w:rFonts w:eastAsia="Times New Roman" w:cs="Calibri"/>
                <w:sz w:val="16"/>
                <w:szCs w:val="16"/>
              </w:rPr>
              <w:t>.</w:t>
            </w:r>
          </w:p>
        </w:tc>
        <w:tc>
          <w:tcPr>
            <w:tcW w:w="1276" w:type="dxa"/>
          </w:tcPr>
          <w:p w14:paraId="767B5FBB"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5D0210">
              <w:rPr>
                <w:rFonts w:eastAsia="Times New Roman" w:cs="Calibri"/>
                <w:sz w:val="16"/>
                <w:szCs w:val="16"/>
              </w:rPr>
              <w:t>2015</w:t>
            </w:r>
            <w:r w:rsidRPr="005D0210">
              <w:rPr>
                <w:rFonts w:eastAsia="Times New Roman" w:cs="Calibri"/>
                <w:sz w:val="16"/>
                <w:szCs w:val="16"/>
              </w:rPr>
              <w:noBreakHyphen/>
              <w:t>16</w:t>
            </w:r>
          </w:p>
        </w:tc>
        <w:tc>
          <w:tcPr>
            <w:tcW w:w="850" w:type="dxa"/>
          </w:tcPr>
          <w:p w14:paraId="76148BFB"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5D0210">
              <w:rPr>
                <w:rFonts w:eastAsia="Times New Roman" w:cs="Calibri"/>
                <w:sz w:val="16"/>
                <w:szCs w:val="16"/>
              </w:rPr>
              <w:t xml:space="preserve">408 </w:t>
            </w:r>
          </w:p>
        </w:tc>
        <w:tc>
          <w:tcPr>
            <w:tcW w:w="992" w:type="dxa"/>
          </w:tcPr>
          <w:p w14:paraId="0D4B108D"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5D0210">
              <w:rPr>
                <w:rFonts w:eastAsia="Times New Roman" w:cs="Calibri"/>
                <w:sz w:val="16"/>
                <w:szCs w:val="16"/>
              </w:rPr>
              <w:t>43</w:t>
            </w:r>
          </w:p>
        </w:tc>
        <w:tc>
          <w:tcPr>
            <w:tcW w:w="1276" w:type="dxa"/>
          </w:tcPr>
          <w:p w14:paraId="13C6A826"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5D0210">
              <w:rPr>
                <w:rFonts w:eastAsia="Times New Roman" w:cs="Calibri"/>
                <w:sz w:val="16"/>
                <w:szCs w:val="16"/>
              </w:rPr>
              <w:t>20.5 ±1.8</w:t>
            </w:r>
          </w:p>
        </w:tc>
      </w:tr>
      <w:tr w:rsidR="00781923" w:rsidRPr="005D0210" w14:paraId="55410FBD" w14:textId="77777777" w:rsidTr="004E728C">
        <w:trPr>
          <w:cnfStyle w:val="000000100000" w:firstRow="0" w:lastRow="0" w:firstColumn="0" w:lastColumn="0" w:oddVBand="0" w:evenVBand="0" w:oddHBand="1" w:evenHBand="0" w:firstRowFirstColumn="0" w:firstRowLastColumn="0" w:lastRowFirstColumn="0" w:lastRowLastColumn="0"/>
          <w:trHeight w:val="895"/>
        </w:trPr>
        <w:tc>
          <w:tcPr>
            <w:cnfStyle w:val="001000000000" w:firstRow="0" w:lastRow="0" w:firstColumn="1" w:lastColumn="0" w:oddVBand="0" w:evenVBand="0" w:oddHBand="0" w:evenHBand="0" w:firstRowFirstColumn="0" w:firstRowLastColumn="0" w:lastRowFirstColumn="0" w:lastRowLastColumn="0"/>
            <w:tcW w:w="1269" w:type="dxa"/>
            <w:hideMark/>
          </w:tcPr>
          <w:p w14:paraId="35980B63" w14:textId="77777777" w:rsidR="00781923" w:rsidRPr="005D0210" w:rsidRDefault="00781923" w:rsidP="004E728C">
            <w:pPr>
              <w:rPr>
                <w:rFonts w:eastAsia="Times New Roman" w:cs="Calibri"/>
                <w:sz w:val="16"/>
                <w:szCs w:val="16"/>
              </w:rPr>
            </w:pPr>
            <w:r w:rsidRPr="005D0210">
              <w:rPr>
                <w:rFonts w:eastAsia="Times New Roman" w:cs="Calibri"/>
                <w:sz w:val="16"/>
                <w:szCs w:val="16"/>
              </w:rPr>
              <w:t>Caraballo 2017</w:t>
            </w:r>
          </w:p>
        </w:tc>
        <w:tc>
          <w:tcPr>
            <w:tcW w:w="2837" w:type="dxa"/>
            <w:hideMark/>
          </w:tcPr>
          <w:p w14:paraId="24F9B46D" w14:textId="458F05BD"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5D0210">
              <w:rPr>
                <w:rFonts w:eastAsia="Times New Roman" w:cs="Calibri"/>
                <w:sz w:val="16"/>
                <w:szCs w:val="16"/>
              </w:rPr>
              <w:t>To quantify the prevalence of 10 quit methods commonly used by adult cigarette smokers</w:t>
            </w:r>
            <w:r w:rsidR="00F66844">
              <w:rPr>
                <w:rFonts w:eastAsia="Times New Roman" w:cs="Calibri"/>
                <w:sz w:val="16"/>
                <w:szCs w:val="16"/>
              </w:rPr>
              <w:t>.</w:t>
            </w:r>
          </w:p>
        </w:tc>
        <w:tc>
          <w:tcPr>
            <w:tcW w:w="2727" w:type="dxa"/>
            <w:hideMark/>
          </w:tcPr>
          <w:p w14:paraId="1A8B7CD0"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5D0210">
              <w:rPr>
                <w:rFonts w:eastAsia="Times New Roman" w:cs="Calibri"/>
                <w:sz w:val="16"/>
                <w:szCs w:val="16"/>
              </w:rPr>
              <w:t>Probability sample of residential mailing addresses, covering approximately 95% of all US households.</w:t>
            </w:r>
          </w:p>
        </w:tc>
        <w:tc>
          <w:tcPr>
            <w:tcW w:w="4219" w:type="dxa"/>
            <w:hideMark/>
          </w:tcPr>
          <w:p w14:paraId="743FE86A"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5D0210">
              <w:rPr>
                <w:rFonts w:eastAsia="Times New Roman" w:cs="Calibri"/>
                <w:sz w:val="16"/>
                <w:szCs w:val="16"/>
              </w:rPr>
              <w:t>Current smoker.</w:t>
            </w:r>
          </w:p>
        </w:tc>
        <w:tc>
          <w:tcPr>
            <w:tcW w:w="1276" w:type="dxa"/>
            <w:hideMark/>
          </w:tcPr>
          <w:p w14:paraId="52C414D5"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5D0210">
              <w:rPr>
                <w:rFonts w:eastAsia="Times New Roman" w:cs="Calibri"/>
                <w:sz w:val="16"/>
                <w:szCs w:val="16"/>
              </w:rPr>
              <w:t>2014</w:t>
            </w:r>
            <w:r w:rsidRPr="005D0210">
              <w:rPr>
                <w:rFonts w:eastAsia="Times New Roman" w:cs="Calibri"/>
                <w:sz w:val="16"/>
                <w:szCs w:val="16"/>
              </w:rPr>
              <w:noBreakHyphen/>
              <w:t>16</w:t>
            </w:r>
          </w:p>
        </w:tc>
        <w:tc>
          <w:tcPr>
            <w:tcW w:w="850" w:type="dxa"/>
            <w:hideMark/>
          </w:tcPr>
          <w:p w14:paraId="475FFFA1"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5D0210">
              <w:rPr>
                <w:rFonts w:eastAsia="Times New Roman" w:cs="Calibri"/>
                <w:sz w:val="16"/>
                <w:szCs w:val="16"/>
              </w:rPr>
              <w:t>15943</w:t>
            </w:r>
          </w:p>
        </w:tc>
        <w:tc>
          <w:tcPr>
            <w:tcW w:w="992" w:type="dxa"/>
            <w:hideMark/>
          </w:tcPr>
          <w:p w14:paraId="48DE8B92"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5D0210">
              <w:rPr>
                <w:rFonts w:eastAsia="Times New Roman" w:cs="Calibri"/>
                <w:sz w:val="16"/>
                <w:szCs w:val="16"/>
              </w:rPr>
              <w:t>48.7</w:t>
            </w:r>
          </w:p>
        </w:tc>
        <w:tc>
          <w:tcPr>
            <w:tcW w:w="1276" w:type="dxa"/>
            <w:hideMark/>
          </w:tcPr>
          <w:p w14:paraId="1C9D2FD7"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5D0210">
              <w:rPr>
                <w:rFonts w:eastAsia="Times New Roman" w:cs="Calibri"/>
                <w:sz w:val="16"/>
                <w:szCs w:val="16"/>
              </w:rPr>
              <w:t>35</w:t>
            </w:r>
            <w:r w:rsidRPr="005D0210">
              <w:rPr>
                <w:rFonts w:eastAsia="Times New Roman" w:cs="Calibri"/>
                <w:sz w:val="16"/>
                <w:szCs w:val="16"/>
              </w:rPr>
              <w:noBreakHyphen/>
              <w:t>54: 36.9%</w:t>
            </w:r>
          </w:p>
        </w:tc>
      </w:tr>
      <w:tr w:rsidR="00781923" w:rsidRPr="005D0210" w14:paraId="06C8044D" w14:textId="77777777" w:rsidTr="004E728C">
        <w:trPr>
          <w:trHeight w:val="486"/>
        </w:trPr>
        <w:tc>
          <w:tcPr>
            <w:cnfStyle w:val="001000000000" w:firstRow="0" w:lastRow="0" w:firstColumn="1" w:lastColumn="0" w:oddVBand="0" w:evenVBand="0" w:oddHBand="0" w:evenHBand="0" w:firstRowFirstColumn="0" w:firstRowLastColumn="0" w:lastRowFirstColumn="0" w:lastRowLastColumn="0"/>
            <w:tcW w:w="1269" w:type="dxa"/>
            <w:hideMark/>
          </w:tcPr>
          <w:p w14:paraId="3C05AE30" w14:textId="77777777" w:rsidR="00781923" w:rsidRPr="005D0210" w:rsidRDefault="00781923" w:rsidP="004E728C">
            <w:pPr>
              <w:rPr>
                <w:rFonts w:eastAsia="Times New Roman" w:cs="Calibri"/>
                <w:color w:val="auto"/>
                <w:sz w:val="16"/>
                <w:szCs w:val="16"/>
              </w:rPr>
            </w:pPr>
            <w:r w:rsidRPr="005D0210">
              <w:rPr>
                <w:rFonts w:eastAsia="Times New Roman" w:cs="Calibri"/>
                <w:color w:val="auto"/>
                <w:sz w:val="16"/>
                <w:szCs w:val="16"/>
              </w:rPr>
              <w:t>Curry 2017</w:t>
            </w:r>
          </w:p>
        </w:tc>
        <w:tc>
          <w:tcPr>
            <w:tcW w:w="2837" w:type="dxa"/>
            <w:hideMark/>
          </w:tcPr>
          <w:p w14:paraId="40F829D3"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5D0210">
              <w:rPr>
                <w:rFonts w:eastAsia="Times New Roman" w:cs="Calibri"/>
                <w:color w:val="auto"/>
                <w:sz w:val="16"/>
                <w:szCs w:val="16"/>
              </w:rPr>
              <w:t>To describe the association between use of e</w:t>
            </w:r>
            <w:r w:rsidRPr="005D0210">
              <w:rPr>
                <w:rFonts w:eastAsia="Times New Roman" w:cs="Calibri"/>
                <w:color w:val="auto"/>
                <w:sz w:val="16"/>
                <w:szCs w:val="16"/>
              </w:rPr>
              <w:noBreakHyphen/>
              <w:t xml:space="preserve">cigarettes before and after cessation treatment and tobacco abstinence at 12 months. </w:t>
            </w:r>
          </w:p>
        </w:tc>
        <w:tc>
          <w:tcPr>
            <w:tcW w:w="2727" w:type="dxa"/>
            <w:hideMark/>
          </w:tcPr>
          <w:p w14:paraId="0B695AF3"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5D0210">
              <w:rPr>
                <w:rFonts w:eastAsia="Times New Roman" w:cs="Calibri"/>
                <w:color w:val="auto"/>
                <w:sz w:val="16"/>
                <w:szCs w:val="16"/>
              </w:rPr>
              <w:t>Appalachian smokers enrolled in a community</w:t>
            </w:r>
            <w:r w:rsidRPr="005D0210">
              <w:rPr>
                <w:rFonts w:eastAsia="Times New Roman" w:cs="Calibri"/>
                <w:color w:val="auto"/>
                <w:sz w:val="16"/>
                <w:szCs w:val="16"/>
              </w:rPr>
              <w:noBreakHyphen/>
              <w:t>based tobacco dependence treatment trial.</w:t>
            </w:r>
          </w:p>
        </w:tc>
        <w:tc>
          <w:tcPr>
            <w:tcW w:w="4219" w:type="dxa"/>
            <w:hideMark/>
          </w:tcPr>
          <w:p w14:paraId="63D2C0D7"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5D0210">
              <w:rPr>
                <w:rFonts w:eastAsia="Times New Roman" w:cs="Calibri"/>
                <w:color w:val="auto"/>
                <w:sz w:val="16"/>
                <w:szCs w:val="16"/>
              </w:rPr>
              <w:t>Age≥ 18, daily use of combustible tobacco, resident of a participating county, no contraindication to NRT, if female, non</w:t>
            </w:r>
            <w:r w:rsidRPr="005D0210">
              <w:rPr>
                <w:rFonts w:eastAsia="Times New Roman" w:cs="Calibri"/>
                <w:color w:val="auto"/>
                <w:sz w:val="16"/>
                <w:szCs w:val="16"/>
              </w:rPr>
              <w:noBreakHyphen/>
              <w:t>pregnant, willing to participate in study protocol, and provision of written informed consent.</w:t>
            </w:r>
          </w:p>
        </w:tc>
        <w:tc>
          <w:tcPr>
            <w:tcW w:w="1276" w:type="dxa"/>
            <w:hideMark/>
          </w:tcPr>
          <w:p w14:paraId="273CEA86"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5D0210">
              <w:rPr>
                <w:rFonts w:eastAsia="Times New Roman" w:cs="Calibri"/>
                <w:color w:val="auto"/>
                <w:sz w:val="16"/>
                <w:szCs w:val="16"/>
              </w:rPr>
              <w:t>2012</w:t>
            </w:r>
            <w:r w:rsidRPr="005D0210">
              <w:rPr>
                <w:rFonts w:eastAsia="Times New Roman" w:cs="Calibri"/>
                <w:color w:val="auto"/>
                <w:sz w:val="16"/>
                <w:szCs w:val="16"/>
              </w:rPr>
              <w:noBreakHyphen/>
              <w:t>13</w:t>
            </w:r>
          </w:p>
        </w:tc>
        <w:tc>
          <w:tcPr>
            <w:tcW w:w="850" w:type="dxa"/>
            <w:hideMark/>
          </w:tcPr>
          <w:p w14:paraId="66FDD82A"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5D0210">
              <w:rPr>
                <w:rFonts w:eastAsia="Times New Roman" w:cs="Calibri"/>
                <w:color w:val="auto"/>
                <w:sz w:val="16"/>
                <w:szCs w:val="16"/>
              </w:rPr>
              <w:t>217</w:t>
            </w:r>
          </w:p>
        </w:tc>
        <w:tc>
          <w:tcPr>
            <w:tcW w:w="992" w:type="dxa"/>
            <w:hideMark/>
          </w:tcPr>
          <w:p w14:paraId="335ABA05"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5D0210">
              <w:rPr>
                <w:rFonts w:eastAsia="Times New Roman" w:cs="Calibri"/>
                <w:color w:val="auto"/>
                <w:sz w:val="16"/>
                <w:szCs w:val="16"/>
              </w:rPr>
              <w:t>76.7</w:t>
            </w:r>
          </w:p>
        </w:tc>
        <w:tc>
          <w:tcPr>
            <w:tcW w:w="1276" w:type="dxa"/>
            <w:hideMark/>
          </w:tcPr>
          <w:p w14:paraId="3A9F27D6"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5D0210">
              <w:rPr>
                <w:rFonts w:eastAsia="Times New Roman" w:cs="Calibri"/>
                <w:color w:val="auto"/>
                <w:sz w:val="16"/>
                <w:szCs w:val="16"/>
              </w:rPr>
              <w:t>25</w:t>
            </w:r>
            <w:r w:rsidRPr="005D0210">
              <w:rPr>
                <w:rFonts w:eastAsia="Times New Roman" w:cs="Calibri"/>
                <w:color w:val="auto"/>
                <w:sz w:val="16"/>
                <w:szCs w:val="16"/>
              </w:rPr>
              <w:noBreakHyphen/>
              <w:t>54: 53.5%</w:t>
            </w:r>
          </w:p>
        </w:tc>
      </w:tr>
      <w:tr w:rsidR="00781923" w:rsidRPr="005D0210" w14:paraId="397A8FD6" w14:textId="77777777" w:rsidTr="004E728C">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269" w:type="dxa"/>
            <w:hideMark/>
          </w:tcPr>
          <w:p w14:paraId="4259C35B" w14:textId="77777777" w:rsidR="00781923" w:rsidRPr="005D0210" w:rsidRDefault="00781923" w:rsidP="004E728C">
            <w:pPr>
              <w:rPr>
                <w:rFonts w:eastAsia="Times New Roman" w:cs="Calibri"/>
                <w:sz w:val="16"/>
                <w:szCs w:val="16"/>
              </w:rPr>
            </w:pPr>
            <w:r w:rsidRPr="005D0210">
              <w:rPr>
                <w:rFonts w:eastAsia="Times New Roman" w:cs="Calibri"/>
                <w:sz w:val="16"/>
                <w:szCs w:val="16"/>
              </w:rPr>
              <w:t>Etter 2017</w:t>
            </w:r>
          </w:p>
        </w:tc>
        <w:tc>
          <w:tcPr>
            <w:tcW w:w="2837" w:type="dxa"/>
            <w:hideMark/>
          </w:tcPr>
          <w:p w14:paraId="08A85B8B"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5D0210">
              <w:rPr>
                <w:rFonts w:eastAsia="Times New Roman" w:cs="Calibri"/>
                <w:sz w:val="16"/>
                <w:szCs w:val="16"/>
              </w:rPr>
              <w:t>We assessed change in vaping and smoking behaviours over 12 months in regular vapers.</w:t>
            </w:r>
          </w:p>
        </w:tc>
        <w:tc>
          <w:tcPr>
            <w:tcW w:w="2727" w:type="dxa"/>
            <w:hideMark/>
          </w:tcPr>
          <w:p w14:paraId="3DCCA309"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5D0210">
              <w:rPr>
                <w:rFonts w:eastAsia="Times New Roman" w:cs="Calibri"/>
                <w:sz w:val="16"/>
                <w:szCs w:val="16"/>
              </w:rPr>
              <w:t>Posted a questionnaire on website: Stop</w:t>
            </w:r>
            <w:r w:rsidRPr="005D0210">
              <w:rPr>
                <w:rFonts w:eastAsia="Times New Roman" w:cs="Calibri"/>
                <w:sz w:val="16"/>
                <w:szCs w:val="16"/>
              </w:rPr>
              <w:noBreakHyphen/>
              <w:t>Tabac.ch</w:t>
            </w:r>
          </w:p>
        </w:tc>
        <w:tc>
          <w:tcPr>
            <w:tcW w:w="4219" w:type="dxa"/>
            <w:hideMark/>
          </w:tcPr>
          <w:p w14:paraId="6E976B4E"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5D0210">
              <w:rPr>
                <w:rFonts w:eastAsia="Times New Roman" w:cs="Calibri"/>
                <w:sz w:val="16"/>
                <w:szCs w:val="16"/>
              </w:rPr>
              <w:t>&gt;18yrs, used e</w:t>
            </w:r>
            <w:r w:rsidRPr="005D0210">
              <w:rPr>
                <w:rFonts w:eastAsia="Times New Roman" w:cs="Calibri"/>
                <w:sz w:val="16"/>
                <w:szCs w:val="16"/>
              </w:rPr>
              <w:noBreakHyphen/>
              <w:t xml:space="preserve">cigarettes. </w:t>
            </w:r>
          </w:p>
        </w:tc>
        <w:tc>
          <w:tcPr>
            <w:tcW w:w="1276" w:type="dxa"/>
            <w:hideMark/>
          </w:tcPr>
          <w:p w14:paraId="41FC83C6"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5D0210">
              <w:rPr>
                <w:rFonts w:eastAsia="Times New Roman" w:cs="Calibri"/>
                <w:sz w:val="16"/>
                <w:szCs w:val="16"/>
              </w:rPr>
              <w:t>2012</w:t>
            </w:r>
            <w:r w:rsidRPr="005D0210">
              <w:rPr>
                <w:rFonts w:eastAsia="Times New Roman" w:cs="Calibri"/>
                <w:sz w:val="16"/>
                <w:szCs w:val="16"/>
              </w:rPr>
              <w:noBreakHyphen/>
              <w:t>16</w:t>
            </w:r>
          </w:p>
        </w:tc>
        <w:tc>
          <w:tcPr>
            <w:tcW w:w="850" w:type="dxa"/>
            <w:hideMark/>
          </w:tcPr>
          <w:p w14:paraId="0F582743"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5D0210">
              <w:rPr>
                <w:rFonts w:eastAsia="Times New Roman" w:cs="Calibri"/>
                <w:sz w:val="16"/>
                <w:szCs w:val="16"/>
              </w:rPr>
              <w:t xml:space="preserve">3868 </w:t>
            </w:r>
          </w:p>
        </w:tc>
        <w:tc>
          <w:tcPr>
            <w:tcW w:w="992" w:type="dxa"/>
            <w:hideMark/>
          </w:tcPr>
          <w:p w14:paraId="43E6F122"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5D0210">
              <w:rPr>
                <w:rFonts w:eastAsia="Times New Roman" w:cs="Calibri"/>
                <w:sz w:val="16"/>
                <w:szCs w:val="16"/>
              </w:rPr>
              <w:t>42</w:t>
            </w:r>
          </w:p>
        </w:tc>
        <w:tc>
          <w:tcPr>
            <w:tcW w:w="1276" w:type="dxa"/>
            <w:hideMark/>
          </w:tcPr>
          <w:p w14:paraId="0DBD7D3F"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5D0210">
              <w:rPr>
                <w:rFonts w:eastAsia="Times New Roman" w:cs="Calibri"/>
                <w:sz w:val="16"/>
                <w:szCs w:val="16"/>
              </w:rPr>
              <w:t>41±NR</w:t>
            </w:r>
          </w:p>
        </w:tc>
      </w:tr>
      <w:tr w:rsidR="00781923" w:rsidRPr="005D0210" w14:paraId="30FB20B5" w14:textId="77777777" w:rsidTr="004E728C">
        <w:trPr>
          <w:trHeight w:val="699"/>
        </w:trPr>
        <w:tc>
          <w:tcPr>
            <w:cnfStyle w:val="001000000000" w:firstRow="0" w:lastRow="0" w:firstColumn="1" w:lastColumn="0" w:oddVBand="0" w:evenVBand="0" w:oddHBand="0" w:evenHBand="0" w:firstRowFirstColumn="0" w:firstRowLastColumn="0" w:lastRowFirstColumn="0" w:lastRowLastColumn="0"/>
            <w:tcW w:w="1269" w:type="dxa"/>
            <w:hideMark/>
          </w:tcPr>
          <w:p w14:paraId="2DECD631" w14:textId="77777777" w:rsidR="00781923" w:rsidRPr="005D0210" w:rsidRDefault="00781923" w:rsidP="004E728C">
            <w:pPr>
              <w:rPr>
                <w:rFonts w:eastAsia="Times New Roman" w:cs="Calibri"/>
                <w:sz w:val="16"/>
                <w:szCs w:val="16"/>
              </w:rPr>
            </w:pPr>
            <w:r w:rsidRPr="005D0210">
              <w:rPr>
                <w:rFonts w:eastAsia="Times New Roman" w:cs="Calibri"/>
                <w:sz w:val="16"/>
                <w:szCs w:val="16"/>
              </w:rPr>
              <w:t>Pasquereau 2017</w:t>
            </w:r>
          </w:p>
        </w:tc>
        <w:tc>
          <w:tcPr>
            <w:tcW w:w="2837" w:type="dxa"/>
            <w:hideMark/>
          </w:tcPr>
          <w:p w14:paraId="71E1DA48"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5D0210">
              <w:rPr>
                <w:rFonts w:eastAsia="Times New Roman" w:cs="Calibri"/>
                <w:sz w:val="16"/>
                <w:szCs w:val="16"/>
              </w:rPr>
              <w:t>To assess whether regular use of e</w:t>
            </w:r>
            <w:r w:rsidRPr="005D0210">
              <w:rPr>
                <w:rFonts w:eastAsia="Times New Roman" w:cs="Calibri"/>
                <w:sz w:val="16"/>
                <w:szCs w:val="16"/>
              </w:rPr>
              <w:noBreakHyphen/>
              <w:t>cigarettes while smoking is associated with subsequent smoking cessation.</w:t>
            </w:r>
          </w:p>
        </w:tc>
        <w:tc>
          <w:tcPr>
            <w:tcW w:w="2727" w:type="dxa"/>
            <w:hideMark/>
          </w:tcPr>
          <w:p w14:paraId="007FFD1D"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5D0210">
              <w:rPr>
                <w:rFonts w:eastAsia="Times New Roman" w:cs="Calibri"/>
                <w:sz w:val="16"/>
                <w:szCs w:val="16"/>
              </w:rPr>
              <w:t>Recruited from internet in order to assess success of internet campaign. Weighted responses to reflect population.</w:t>
            </w:r>
          </w:p>
        </w:tc>
        <w:tc>
          <w:tcPr>
            <w:tcW w:w="4219" w:type="dxa"/>
            <w:hideMark/>
          </w:tcPr>
          <w:p w14:paraId="491DE5E0"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5D0210">
              <w:rPr>
                <w:rFonts w:eastAsia="Times New Roman" w:cs="Calibri"/>
                <w:sz w:val="16"/>
                <w:szCs w:val="16"/>
              </w:rPr>
              <w:t>NR</w:t>
            </w:r>
          </w:p>
        </w:tc>
        <w:tc>
          <w:tcPr>
            <w:tcW w:w="1276" w:type="dxa"/>
            <w:hideMark/>
          </w:tcPr>
          <w:p w14:paraId="1B089FE4"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5D0210">
              <w:rPr>
                <w:rFonts w:eastAsia="Times New Roman" w:cs="Calibri"/>
                <w:sz w:val="16"/>
                <w:szCs w:val="16"/>
              </w:rPr>
              <w:t>2014</w:t>
            </w:r>
            <w:r w:rsidRPr="005D0210">
              <w:rPr>
                <w:rFonts w:eastAsia="Times New Roman" w:cs="Calibri"/>
                <w:sz w:val="16"/>
                <w:szCs w:val="16"/>
              </w:rPr>
              <w:noBreakHyphen/>
              <w:t>15</w:t>
            </w:r>
          </w:p>
        </w:tc>
        <w:tc>
          <w:tcPr>
            <w:tcW w:w="850" w:type="dxa"/>
            <w:hideMark/>
          </w:tcPr>
          <w:p w14:paraId="34EAA0C8"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5D0210">
              <w:rPr>
                <w:rFonts w:eastAsia="Times New Roman" w:cs="Calibri"/>
                <w:sz w:val="16"/>
                <w:szCs w:val="16"/>
              </w:rPr>
              <w:t xml:space="preserve">2057 </w:t>
            </w:r>
          </w:p>
        </w:tc>
        <w:tc>
          <w:tcPr>
            <w:tcW w:w="992" w:type="dxa"/>
            <w:hideMark/>
          </w:tcPr>
          <w:p w14:paraId="2826DFEA"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5D0210">
              <w:rPr>
                <w:rFonts w:eastAsia="Times New Roman" w:cs="Calibri"/>
                <w:sz w:val="16"/>
                <w:szCs w:val="16"/>
              </w:rPr>
              <w:t>45.9</w:t>
            </w:r>
          </w:p>
        </w:tc>
        <w:tc>
          <w:tcPr>
            <w:tcW w:w="1276" w:type="dxa"/>
            <w:hideMark/>
          </w:tcPr>
          <w:p w14:paraId="7668E3E1"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5D0210">
              <w:rPr>
                <w:rFonts w:eastAsia="Times New Roman" w:cs="Calibri"/>
                <w:sz w:val="16"/>
                <w:szCs w:val="16"/>
              </w:rPr>
              <w:t>15</w:t>
            </w:r>
            <w:r w:rsidRPr="005D0210">
              <w:rPr>
                <w:rFonts w:eastAsia="Times New Roman" w:cs="Calibri"/>
                <w:sz w:val="16"/>
                <w:szCs w:val="16"/>
              </w:rPr>
              <w:noBreakHyphen/>
              <w:t>24: 18.1%</w:t>
            </w:r>
            <w:r w:rsidRPr="005D0210">
              <w:rPr>
                <w:rFonts w:eastAsia="Times New Roman" w:cs="Calibri"/>
                <w:sz w:val="16"/>
                <w:szCs w:val="16"/>
              </w:rPr>
              <w:br/>
              <w:t>25</w:t>
            </w:r>
            <w:r w:rsidRPr="005D0210">
              <w:rPr>
                <w:rFonts w:eastAsia="Times New Roman" w:cs="Calibri"/>
                <w:sz w:val="16"/>
                <w:szCs w:val="16"/>
              </w:rPr>
              <w:noBreakHyphen/>
              <w:t>34: 23.8%</w:t>
            </w:r>
            <w:r w:rsidRPr="005D0210">
              <w:rPr>
                <w:rFonts w:eastAsia="Times New Roman" w:cs="Calibri"/>
                <w:sz w:val="16"/>
                <w:szCs w:val="16"/>
              </w:rPr>
              <w:br/>
              <w:t>35</w:t>
            </w:r>
            <w:r w:rsidRPr="005D0210">
              <w:rPr>
                <w:rFonts w:eastAsia="Times New Roman" w:cs="Calibri"/>
                <w:sz w:val="16"/>
                <w:szCs w:val="16"/>
              </w:rPr>
              <w:noBreakHyphen/>
              <w:t>49: 34.8%</w:t>
            </w:r>
            <w:r w:rsidRPr="005D0210">
              <w:rPr>
                <w:rFonts w:eastAsia="Times New Roman" w:cs="Calibri"/>
                <w:sz w:val="16"/>
                <w:szCs w:val="16"/>
              </w:rPr>
              <w:br/>
              <w:t>50</w:t>
            </w:r>
            <w:r w:rsidRPr="005D0210">
              <w:rPr>
                <w:rFonts w:eastAsia="Times New Roman" w:cs="Calibri"/>
                <w:sz w:val="16"/>
                <w:szCs w:val="16"/>
              </w:rPr>
              <w:noBreakHyphen/>
              <w:t>85: 23.4%</w:t>
            </w:r>
          </w:p>
        </w:tc>
      </w:tr>
      <w:tr w:rsidR="00781923" w:rsidRPr="005D0210" w14:paraId="723A80B9" w14:textId="77777777" w:rsidTr="004E728C">
        <w:trPr>
          <w:cnfStyle w:val="000000100000" w:firstRow="0" w:lastRow="0" w:firstColumn="0" w:lastColumn="0" w:oddVBand="0" w:evenVBand="0" w:oddHBand="1" w:evenHBand="0" w:firstRowFirstColumn="0" w:firstRowLastColumn="0" w:lastRowFirstColumn="0" w:lastRowLastColumn="0"/>
          <w:trHeight w:val="1087"/>
        </w:trPr>
        <w:tc>
          <w:tcPr>
            <w:cnfStyle w:val="001000000000" w:firstRow="0" w:lastRow="0" w:firstColumn="1" w:lastColumn="0" w:oddVBand="0" w:evenVBand="0" w:oddHBand="0" w:evenHBand="0" w:firstRowFirstColumn="0" w:firstRowLastColumn="0" w:lastRowFirstColumn="0" w:lastRowLastColumn="0"/>
            <w:tcW w:w="1269" w:type="dxa"/>
            <w:hideMark/>
          </w:tcPr>
          <w:p w14:paraId="2D227DDF" w14:textId="77777777" w:rsidR="00781923" w:rsidRPr="005D0210" w:rsidRDefault="00781923" w:rsidP="004E728C">
            <w:pPr>
              <w:rPr>
                <w:rFonts w:eastAsia="Times New Roman" w:cs="Calibri"/>
                <w:sz w:val="16"/>
                <w:szCs w:val="16"/>
              </w:rPr>
            </w:pPr>
            <w:r w:rsidRPr="005D0210">
              <w:rPr>
                <w:rFonts w:eastAsia="Times New Roman" w:cs="Calibri"/>
                <w:sz w:val="16"/>
                <w:szCs w:val="16"/>
              </w:rPr>
              <w:t>Pulvers 2018</w:t>
            </w:r>
          </w:p>
        </w:tc>
        <w:tc>
          <w:tcPr>
            <w:tcW w:w="2837" w:type="dxa"/>
            <w:hideMark/>
          </w:tcPr>
          <w:p w14:paraId="1F439DBE"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Calibri"/>
                <w:iCs/>
                <w:sz w:val="16"/>
                <w:szCs w:val="16"/>
              </w:rPr>
            </w:pPr>
            <w:r w:rsidRPr="005D0210">
              <w:rPr>
                <w:rFonts w:eastAsia="Times New Roman" w:cs="Calibri"/>
                <w:iCs/>
                <w:sz w:val="16"/>
                <w:szCs w:val="16"/>
              </w:rPr>
              <w:t>To better understand the risk–benefit ratio of ECs, more information is needed about net nicotine consumption and toxicant exposure of cigarette smokers switching to ECs.</w:t>
            </w:r>
          </w:p>
        </w:tc>
        <w:tc>
          <w:tcPr>
            <w:tcW w:w="2727" w:type="dxa"/>
            <w:hideMark/>
          </w:tcPr>
          <w:p w14:paraId="000751AD"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Calibri"/>
                <w:iCs/>
                <w:sz w:val="16"/>
                <w:szCs w:val="16"/>
              </w:rPr>
            </w:pPr>
            <w:r w:rsidRPr="005D0210">
              <w:rPr>
                <w:rFonts w:eastAsia="Times New Roman" w:cs="Calibri"/>
                <w:iCs/>
                <w:sz w:val="16"/>
                <w:szCs w:val="16"/>
              </w:rPr>
              <w:t>Using flyers, internet postings, and newspaper advertisements seeking smokers with a statement that “free electronic cigarettes and $100 would be provided for qualified smokers’ participation in a research study.”</w:t>
            </w:r>
          </w:p>
        </w:tc>
        <w:tc>
          <w:tcPr>
            <w:tcW w:w="4219" w:type="dxa"/>
            <w:hideMark/>
          </w:tcPr>
          <w:p w14:paraId="33D5108C"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5D0210">
              <w:rPr>
                <w:rFonts w:eastAsia="Times New Roman" w:cs="Calibri"/>
                <w:sz w:val="16"/>
                <w:szCs w:val="16"/>
              </w:rPr>
              <w:t>Interested in switching to ECs but not necessarily quitting smoking.</w:t>
            </w:r>
          </w:p>
        </w:tc>
        <w:tc>
          <w:tcPr>
            <w:tcW w:w="1276" w:type="dxa"/>
            <w:hideMark/>
          </w:tcPr>
          <w:p w14:paraId="0FE89545"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5D0210">
              <w:rPr>
                <w:rFonts w:eastAsia="Times New Roman" w:cs="Calibri"/>
                <w:sz w:val="16"/>
                <w:szCs w:val="16"/>
              </w:rPr>
              <w:t>2015</w:t>
            </w:r>
          </w:p>
        </w:tc>
        <w:tc>
          <w:tcPr>
            <w:tcW w:w="850" w:type="dxa"/>
            <w:hideMark/>
          </w:tcPr>
          <w:p w14:paraId="68B320FA"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5D0210">
              <w:rPr>
                <w:rFonts w:eastAsia="Times New Roman" w:cs="Calibri"/>
                <w:sz w:val="16"/>
                <w:szCs w:val="16"/>
              </w:rPr>
              <w:t>40</w:t>
            </w:r>
          </w:p>
        </w:tc>
        <w:tc>
          <w:tcPr>
            <w:tcW w:w="992" w:type="dxa"/>
            <w:hideMark/>
          </w:tcPr>
          <w:p w14:paraId="3B04F767"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5D0210">
              <w:rPr>
                <w:rFonts w:eastAsia="Times New Roman" w:cs="Calibri"/>
                <w:sz w:val="16"/>
                <w:szCs w:val="16"/>
              </w:rPr>
              <w:t>27</w:t>
            </w:r>
          </w:p>
        </w:tc>
        <w:tc>
          <w:tcPr>
            <w:tcW w:w="1276" w:type="dxa"/>
            <w:hideMark/>
          </w:tcPr>
          <w:p w14:paraId="4894096D"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5D0210">
              <w:rPr>
                <w:rFonts w:eastAsia="Times New Roman" w:cs="Calibri"/>
                <w:sz w:val="16"/>
                <w:szCs w:val="16"/>
              </w:rPr>
              <w:t>30.08±8.82</w:t>
            </w:r>
          </w:p>
        </w:tc>
      </w:tr>
      <w:tr w:rsidR="00781923" w:rsidRPr="005D0210" w14:paraId="7D8FC6EA" w14:textId="77777777" w:rsidTr="004E728C">
        <w:trPr>
          <w:trHeight w:val="1087"/>
        </w:trPr>
        <w:tc>
          <w:tcPr>
            <w:cnfStyle w:val="001000000000" w:firstRow="0" w:lastRow="0" w:firstColumn="1" w:lastColumn="0" w:oddVBand="0" w:evenVBand="0" w:oddHBand="0" w:evenHBand="0" w:firstRowFirstColumn="0" w:firstRowLastColumn="0" w:lastRowFirstColumn="0" w:lastRowLastColumn="0"/>
            <w:tcW w:w="1269" w:type="dxa"/>
          </w:tcPr>
          <w:p w14:paraId="49692926" w14:textId="77777777" w:rsidR="00781923" w:rsidRPr="005D0210" w:rsidRDefault="00781923" w:rsidP="004E728C">
            <w:pPr>
              <w:rPr>
                <w:rFonts w:eastAsia="Times New Roman" w:cs="Calibri"/>
                <w:sz w:val="16"/>
                <w:szCs w:val="16"/>
              </w:rPr>
            </w:pPr>
            <w:r w:rsidRPr="005D0210">
              <w:rPr>
                <w:rFonts w:cs="Calibri"/>
                <w:sz w:val="16"/>
              </w:rPr>
              <w:t>Rigotti 2018</w:t>
            </w:r>
          </w:p>
        </w:tc>
        <w:tc>
          <w:tcPr>
            <w:tcW w:w="2837" w:type="dxa"/>
          </w:tcPr>
          <w:p w14:paraId="625C7F07"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Calibri"/>
                <w:iCs/>
                <w:sz w:val="16"/>
                <w:szCs w:val="16"/>
              </w:rPr>
            </w:pPr>
            <w:r w:rsidRPr="005D0210">
              <w:rPr>
                <w:rFonts w:cs="Calibri"/>
                <w:iCs/>
                <w:sz w:val="16"/>
              </w:rPr>
              <w:t>To determine whether e</w:t>
            </w:r>
            <w:r w:rsidRPr="005D0210">
              <w:rPr>
                <w:rFonts w:cs="Calibri"/>
                <w:iCs/>
                <w:sz w:val="16"/>
              </w:rPr>
              <w:noBreakHyphen/>
              <w:t>cigarette use after hospital discharge is associated with subsequent tobacco abstinence among smokers who plan to quit and are advised to use evidence</w:t>
            </w:r>
            <w:r w:rsidRPr="005D0210">
              <w:rPr>
                <w:rFonts w:cs="Calibri"/>
                <w:iCs/>
                <w:sz w:val="16"/>
              </w:rPr>
              <w:noBreakHyphen/>
              <w:t>based treatment.</w:t>
            </w:r>
          </w:p>
        </w:tc>
        <w:tc>
          <w:tcPr>
            <w:tcW w:w="2727" w:type="dxa"/>
          </w:tcPr>
          <w:p w14:paraId="118222C9"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Calibri"/>
                <w:iCs/>
                <w:sz w:val="16"/>
                <w:szCs w:val="16"/>
              </w:rPr>
            </w:pPr>
            <w:r w:rsidRPr="005D0210">
              <w:rPr>
                <w:rFonts w:cs="Calibri"/>
                <w:sz w:val="16"/>
              </w:rPr>
              <w:t xml:space="preserve">Secondary analysis of data from a clinical trial. Recruited hospitalised cigarette smokers. Clinical trial randomised participants to receive FDA approved tobacco medication and 5 telephone calls OR recommended them to contact a free quitline. </w:t>
            </w:r>
          </w:p>
        </w:tc>
        <w:tc>
          <w:tcPr>
            <w:tcW w:w="4219" w:type="dxa"/>
          </w:tcPr>
          <w:p w14:paraId="487D3A6F"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5D0210">
              <w:rPr>
                <w:rFonts w:cs="Calibri"/>
                <w:sz w:val="16"/>
              </w:rPr>
              <w:t>Hospitalized adult cigarette smokers who planned to stop smoking.</w:t>
            </w:r>
          </w:p>
        </w:tc>
        <w:tc>
          <w:tcPr>
            <w:tcW w:w="1276" w:type="dxa"/>
          </w:tcPr>
          <w:p w14:paraId="07377DC2"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5D0210">
              <w:rPr>
                <w:rFonts w:cs="Calibri"/>
                <w:sz w:val="16"/>
              </w:rPr>
              <w:t>2012</w:t>
            </w:r>
            <w:r w:rsidRPr="005D0210">
              <w:rPr>
                <w:rFonts w:cs="Calibri"/>
                <w:sz w:val="16"/>
              </w:rPr>
              <w:noBreakHyphen/>
              <w:t>15</w:t>
            </w:r>
          </w:p>
        </w:tc>
        <w:tc>
          <w:tcPr>
            <w:tcW w:w="850" w:type="dxa"/>
          </w:tcPr>
          <w:p w14:paraId="76E02F40"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5D0210">
              <w:rPr>
                <w:rFonts w:cs="Calibri"/>
                <w:sz w:val="16"/>
              </w:rPr>
              <w:t>1357</w:t>
            </w:r>
          </w:p>
        </w:tc>
        <w:tc>
          <w:tcPr>
            <w:tcW w:w="992" w:type="dxa"/>
          </w:tcPr>
          <w:p w14:paraId="118197CC"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5D0210">
              <w:rPr>
                <w:rFonts w:cs="Calibri"/>
                <w:sz w:val="16"/>
              </w:rPr>
              <w:t>50.5</w:t>
            </w:r>
          </w:p>
        </w:tc>
        <w:tc>
          <w:tcPr>
            <w:tcW w:w="1276" w:type="dxa"/>
          </w:tcPr>
          <w:p w14:paraId="33A9362A"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5D0210">
              <w:rPr>
                <w:rFonts w:cs="Calibri"/>
                <w:sz w:val="16"/>
              </w:rPr>
              <w:t>E</w:t>
            </w:r>
            <w:r w:rsidRPr="005D0210">
              <w:rPr>
                <w:rFonts w:cs="Calibri"/>
                <w:sz w:val="16"/>
              </w:rPr>
              <w:noBreakHyphen/>
              <w:t>cigarette users: 49±12</w:t>
            </w:r>
            <w:r w:rsidRPr="005D0210">
              <w:rPr>
                <w:rFonts w:cs="Calibri"/>
                <w:sz w:val="16"/>
              </w:rPr>
              <w:br/>
              <w:t>E</w:t>
            </w:r>
            <w:r w:rsidRPr="005D0210">
              <w:rPr>
                <w:rFonts w:cs="Calibri"/>
                <w:sz w:val="16"/>
              </w:rPr>
              <w:noBreakHyphen/>
              <w:t>cigarette non</w:t>
            </w:r>
            <w:r w:rsidRPr="005D0210">
              <w:rPr>
                <w:rFonts w:cs="Calibri"/>
                <w:sz w:val="16"/>
              </w:rPr>
              <w:noBreakHyphen/>
              <w:t>users: 52 ±12</w:t>
            </w:r>
          </w:p>
        </w:tc>
      </w:tr>
      <w:tr w:rsidR="00781923" w:rsidRPr="005D0210" w14:paraId="4D44D57C" w14:textId="77777777" w:rsidTr="004E728C">
        <w:trPr>
          <w:cnfStyle w:val="000000100000" w:firstRow="0" w:lastRow="0" w:firstColumn="0" w:lastColumn="0" w:oddVBand="0" w:evenVBand="0" w:oddHBand="1" w:evenHBand="0" w:firstRowFirstColumn="0" w:firstRowLastColumn="0" w:lastRowFirstColumn="0" w:lastRowLastColumn="0"/>
          <w:trHeight w:val="923"/>
        </w:trPr>
        <w:tc>
          <w:tcPr>
            <w:cnfStyle w:val="001000000000" w:firstRow="0" w:lastRow="0" w:firstColumn="1" w:lastColumn="0" w:oddVBand="0" w:evenVBand="0" w:oddHBand="0" w:evenHBand="0" w:firstRowFirstColumn="0" w:firstRowLastColumn="0" w:lastRowFirstColumn="0" w:lastRowLastColumn="0"/>
            <w:tcW w:w="1269" w:type="dxa"/>
            <w:hideMark/>
          </w:tcPr>
          <w:p w14:paraId="0FCF0129" w14:textId="77777777" w:rsidR="00781923" w:rsidRPr="005D0210" w:rsidRDefault="00781923" w:rsidP="004E728C">
            <w:pPr>
              <w:rPr>
                <w:rFonts w:eastAsia="Times New Roman" w:cs="Calibri"/>
                <w:sz w:val="16"/>
                <w:szCs w:val="16"/>
              </w:rPr>
            </w:pPr>
            <w:r w:rsidRPr="005D0210">
              <w:rPr>
                <w:rFonts w:eastAsia="Times New Roman" w:cs="Calibri"/>
                <w:sz w:val="16"/>
                <w:szCs w:val="16"/>
              </w:rPr>
              <w:lastRenderedPageBreak/>
              <w:t>Selya 2017</w:t>
            </w:r>
          </w:p>
        </w:tc>
        <w:tc>
          <w:tcPr>
            <w:tcW w:w="2837" w:type="dxa"/>
            <w:hideMark/>
          </w:tcPr>
          <w:p w14:paraId="136C4901" w14:textId="58DCF5A0" w:rsidR="00781923" w:rsidRPr="005D0210" w:rsidRDefault="007D18D8" w:rsidP="004E728C">
            <w:pPr>
              <w:cnfStyle w:val="000000100000" w:firstRow="0" w:lastRow="0" w:firstColumn="0" w:lastColumn="0" w:oddVBand="0" w:evenVBand="0" w:oddHBand="1" w:evenHBand="0" w:firstRowFirstColumn="0" w:firstRowLastColumn="0" w:lastRowFirstColumn="0" w:lastRowLastColumn="0"/>
              <w:rPr>
                <w:rFonts w:eastAsia="Times New Roman" w:cs="Calibri"/>
                <w:iCs/>
                <w:sz w:val="16"/>
                <w:szCs w:val="16"/>
              </w:rPr>
            </w:pPr>
            <w:r>
              <w:rPr>
                <w:rFonts w:eastAsia="Times New Roman" w:cs="Calibri"/>
                <w:iCs/>
                <w:sz w:val="16"/>
                <w:szCs w:val="16"/>
              </w:rPr>
              <w:t>W</w:t>
            </w:r>
            <w:r w:rsidR="00781923" w:rsidRPr="005D0210">
              <w:rPr>
                <w:rFonts w:eastAsia="Times New Roman" w:cs="Calibri"/>
                <w:iCs/>
                <w:sz w:val="16"/>
                <w:szCs w:val="16"/>
              </w:rPr>
              <w:t>e examined whether e</w:t>
            </w:r>
            <w:r w:rsidR="00781923" w:rsidRPr="005D0210">
              <w:rPr>
                <w:rFonts w:eastAsia="Times New Roman" w:cs="Calibri"/>
                <w:iCs/>
                <w:sz w:val="16"/>
                <w:szCs w:val="16"/>
              </w:rPr>
              <w:noBreakHyphen/>
              <w:t>cigarette use predicted future conventional smoking behaviour among youth who reported using e</w:t>
            </w:r>
            <w:r w:rsidR="00781923" w:rsidRPr="005D0210">
              <w:rPr>
                <w:rFonts w:eastAsia="Times New Roman" w:cs="Calibri"/>
                <w:iCs/>
                <w:sz w:val="16"/>
                <w:szCs w:val="16"/>
              </w:rPr>
              <w:noBreakHyphen/>
              <w:t>cigarettes to help them quit smoking.</w:t>
            </w:r>
          </w:p>
        </w:tc>
        <w:tc>
          <w:tcPr>
            <w:tcW w:w="2727" w:type="dxa"/>
            <w:hideMark/>
          </w:tcPr>
          <w:p w14:paraId="3C396D4D"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5D0210">
              <w:rPr>
                <w:rFonts w:eastAsia="Times New Roman" w:cs="Calibri"/>
                <w:sz w:val="16"/>
                <w:szCs w:val="16"/>
              </w:rPr>
              <w:t>Through schools in the Chicago area.</w:t>
            </w:r>
          </w:p>
        </w:tc>
        <w:tc>
          <w:tcPr>
            <w:tcW w:w="4219" w:type="dxa"/>
            <w:hideMark/>
          </w:tcPr>
          <w:p w14:paraId="0222F6D2"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5D0210">
              <w:rPr>
                <w:rFonts w:eastAsia="Times New Roman" w:cs="Calibri"/>
                <w:sz w:val="16"/>
                <w:szCs w:val="16"/>
              </w:rPr>
              <w:t>9th and 10th graders, qualifying as novice smokers (smoked &lt;100 cigarettes/lifetime) and light smokers (smoked &gt;100 cigarettes/lifetime and smoked within the past 30 days, but smoked ≤5 cigarettes/day), as well as random samples of non</w:t>
            </w:r>
            <w:r w:rsidRPr="005D0210">
              <w:rPr>
                <w:rFonts w:eastAsia="Times New Roman" w:cs="Calibri"/>
                <w:sz w:val="16"/>
                <w:szCs w:val="16"/>
              </w:rPr>
              <w:noBreakHyphen/>
              <w:t>smokers, were invited to participate (N=3654).</w:t>
            </w:r>
          </w:p>
        </w:tc>
        <w:tc>
          <w:tcPr>
            <w:tcW w:w="1276" w:type="dxa"/>
            <w:hideMark/>
          </w:tcPr>
          <w:p w14:paraId="12639395"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5D0210">
              <w:rPr>
                <w:rFonts w:eastAsia="Times New Roman" w:cs="Calibri"/>
                <w:sz w:val="16"/>
                <w:szCs w:val="16"/>
              </w:rPr>
              <w:t>NR</w:t>
            </w:r>
          </w:p>
        </w:tc>
        <w:tc>
          <w:tcPr>
            <w:tcW w:w="850" w:type="dxa"/>
            <w:hideMark/>
          </w:tcPr>
          <w:p w14:paraId="112184F0"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5D0210">
              <w:rPr>
                <w:rFonts w:eastAsia="Times New Roman" w:cs="Calibri"/>
                <w:sz w:val="16"/>
                <w:szCs w:val="16"/>
              </w:rPr>
              <w:t xml:space="preserve">1263 </w:t>
            </w:r>
          </w:p>
        </w:tc>
        <w:tc>
          <w:tcPr>
            <w:tcW w:w="992" w:type="dxa"/>
            <w:hideMark/>
          </w:tcPr>
          <w:p w14:paraId="4DF5B272"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5D0210">
              <w:rPr>
                <w:rFonts w:eastAsia="Times New Roman" w:cs="Calibri"/>
                <w:sz w:val="16"/>
                <w:szCs w:val="16"/>
              </w:rPr>
              <w:t>86.90</w:t>
            </w:r>
          </w:p>
        </w:tc>
        <w:tc>
          <w:tcPr>
            <w:tcW w:w="1276" w:type="dxa"/>
            <w:hideMark/>
          </w:tcPr>
          <w:p w14:paraId="65CB8F49"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5D0210">
              <w:rPr>
                <w:rFonts w:eastAsia="Times New Roman" w:cs="Calibri"/>
                <w:sz w:val="16"/>
                <w:szCs w:val="16"/>
              </w:rPr>
              <w:t>23.6</w:t>
            </w:r>
          </w:p>
        </w:tc>
      </w:tr>
      <w:tr w:rsidR="00781923" w:rsidRPr="005D0210" w14:paraId="7AFB13F9" w14:textId="77777777" w:rsidTr="004E728C">
        <w:trPr>
          <w:trHeight w:val="53"/>
        </w:trPr>
        <w:tc>
          <w:tcPr>
            <w:cnfStyle w:val="001000000000" w:firstRow="0" w:lastRow="0" w:firstColumn="1" w:lastColumn="0" w:oddVBand="0" w:evenVBand="0" w:oddHBand="0" w:evenHBand="0" w:firstRowFirstColumn="0" w:firstRowLastColumn="0" w:lastRowFirstColumn="0" w:lastRowLastColumn="0"/>
            <w:tcW w:w="1269" w:type="dxa"/>
            <w:hideMark/>
          </w:tcPr>
          <w:p w14:paraId="64BEDA73" w14:textId="77777777" w:rsidR="00781923" w:rsidRPr="005D0210" w:rsidRDefault="00781923" w:rsidP="004E728C">
            <w:pPr>
              <w:rPr>
                <w:rFonts w:eastAsia="Times New Roman" w:cs="Calibri"/>
                <w:sz w:val="16"/>
                <w:szCs w:val="16"/>
              </w:rPr>
            </w:pPr>
            <w:r w:rsidRPr="005D0210">
              <w:rPr>
                <w:rFonts w:eastAsia="Times New Roman" w:cs="Calibri"/>
                <w:sz w:val="16"/>
                <w:szCs w:val="16"/>
              </w:rPr>
              <w:t>Subialka Nowariak 2018</w:t>
            </w:r>
          </w:p>
        </w:tc>
        <w:tc>
          <w:tcPr>
            <w:tcW w:w="2837" w:type="dxa"/>
            <w:hideMark/>
          </w:tcPr>
          <w:p w14:paraId="08CF56E8"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Calibri"/>
                <w:iCs/>
                <w:sz w:val="16"/>
                <w:szCs w:val="16"/>
              </w:rPr>
            </w:pPr>
            <w:r w:rsidRPr="005D0210">
              <w:rPr>
                <w:rFonts w:eastAsia="Times New Roman" w:cs="Calibri"/>
                <w:iCs/>
                <w:sz w:val="16"/>
                <w:szCs w:val="16"/>
              </w:rPr>
              <w:t>This study looks at the relationship between e</w:t>
            </w:r>
            <w:r w:rsidRPr="005D0210">
              <w:rPr>
                <w:rFonts w:eastAsia="Times New Roman" w:cs="Calibri"/>
                <w:iCs/>
                <w:sz w:val="16"/>
                <w:szCs w:val="16"/>
              </w:rPr>
              <w:noBreakHyphen/>
              <w:t>cigarette use frequency and abstinence among a sample of treatment</w:t>
            </w:r>
            <w:r w:rsidRPr="005D0210">
              <w:rPr>
                <w:rFonts w:eastAsia="Times New Roman" w:cs="Calibri"/>
                <w:iCs/>
                <w:sz w:val="16"/>
                <w:szCs w:val="16"/>
              </w:rPr>
              <w:noBreakHyphen/>
              <w:t>seeking tobacco users.</w:t>
            </w:r>
          </w:p>
        </w:tc>
        <w:tc>
          <w:tcPr>
            <w:tcW w:w="2727" w:type="dxa"/>
            <w:hideMark/>
          </w:tcPr>
          <w:p w14:paraId="1545AFB1"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5D0210">
              <w:rPr>
                <w:rFonts w:eastAsia="Times New Roman" w:cs="Calibri"/>
                <w:sz w:val="16"/>
                <w:szCs w:val="16"/>
              </w:rPr>
              <w:t>Through quit lines.</w:t>
            </w:r>
          </w:p>
        </w:tc>
        <w:tc>
          <w:tcPr>
            <w:tcW w:w="4219" w:type="dxa"/>
            <w:hideMark/>
          </w:tcPr>
          <w:p w14:paraId="2D71CFA0"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5D0210">
              <w:rPr>
                <w:rFonts w:eastAsia="Times New Roman" w:cs="Calibri"/>
                <w:sz w:val="16"/>
                <w:szCs w:val="16"/>
              </w:rPr>
              <w:t>NR</w:t>
            </w:r>
          </w:p>
        </w:tc>
        <w:tc>
          <w:tcPr>
            <w:tcW w:w="1276" w:type="dxa"/>
            <w:hideMark/>
          </w:tcPr>
          <w:p w14:paraId="0236FB0E"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5D0210">
              <w:rPr>
                <w:rFonts w:eastAsia="Times New Roman" w:cs="Calibri"/>
                <w:sz w:val="16"/>
                <w:szCs w:val="16"/>
              </w:rPr>
              <w:t>2013</w:t>
            </w:r>
            <w:r w:rsidRPr="005D0210">
              <w:rPr>
                <w:rFonts w:eastAsia="Times New Roman" w:cs="Calibri"/>
                <w:sz w:val="16"/>
                <w:szCs w:val="16"/>
              </w:rPr>
              <w:noBreakHyphen/>
              <w:t>14</w:t>
            </w:r>
          </w:p>
        </w:tc>
        <w:tc>
          <w:tcPr>
            <w:tcW w:w="850" w:type="dxa"/>
            <w:hideMark/>
          </w:tcPr>
          <w:p w14:paraId="1249F7F8"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5D0210">
              <w:rPr>
                <w:rFonts w:eastAsia="Times New Roman" w:cs="Calibri"/>
                <w:sz w:val="16"/>
                <w:szCs w:val="16"/>
              </w:rPr>
              <w:t>2760</w:t>
            </w:r>
          </w:p>
        </w:tc>
        <w:tc>
          <w:tcPr>
            <w:tcW w:w="992" w:type="dxa"/>
            <w:hideMark/>
          </w:tcPr>
          <w:p w14:paraId="3ABA9B32"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5D0210">
              <w:rPr>
                <w:rFonts w:eastAsia="Times New Roman" w:cs="Calibri"/>
                <w:sz w:val="16"/>
                <w:szCs w:val="16"/>
              </w:rPr>
              <w:t>57.9</w:t>
            </w:r>
          </w:p>
        </w:tc>
        <w:tc>
          <w:tcPr>
            <w:tcW w:w="1276" w:type="dxa"/>
            <w:hideMark/>
          </w:tcPr>
          <w:p w14:paraId="23E09D31"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5D0210">
              <w:rPr>
                <w:rFonts w:eastAsia="Times New Roman" w:cs="Calibri"/>
                <w:sz w:val="16"/>
                <w:szCs w:val="16"/>
              </w:rPr>
              <w:t>18</w:t>
            </w:r>
            <w:r w:rsidRPr="005D0210">
              <w:rPr>
                <w:rFonts w:eastAsia="Times New Roman" w:cs="Calibri"/>
                <w:sz w:val="16"/>
                <w:szCs w:val="16"/>
              </w:rPr>
              <w:noBreakHyphen/>
              <w:t>24: 7.8%</w:t>
            </w:r>
            <w:r w:rsidRPr="005D0210">
              <w:rPr>
                <w:rFonts w:eastAsia="Times New Roman" w:cs="Calibri"/>
                <w:sz w:val="16"/>
                <w:szCs w:val="16"/>
              </w:rPr>
              <w:br/>
              <w:t>25</w:t>
            </w:r>
            <w:r w:rsidRPr="005D0210">
              <w:rPr>
                <w:rFonts w:eastAsia="Times New Roman" w:cs="Calibri"/>
                <w:sz w:val="16"/>
                <w:szCs w:val="16"/>
              </w:rPr>
              <w:noBreakHyphen/>
              <w:t>34: 18.5%</w:t>
            </w:r>
            <w:r w:rsidRPr="005D0210">
              <w:rPr>
                <w:rFonts w:eastAsia="Times New Roman" w:cs="Calibri"/>
                <w:sz w:val="16"/>
                <w:szCs w:val="16"/>
              </w:rPr>
              <w:br/>
              <w:t>35</w:t>
            </w:r>
            <w:r w:rsidRPr="005D0210">
              <w:rPr>
                <w:rFonts w:eastAsia="Times New Roman" w:cs="Calibri"/>
                <w:sz w:val="16"/>
                <w:szCs w:val="16"/>
              </w:rPr>
              <w:noBreakHyphen/>
              <w:t>44: 17.1%</w:t>
            </w:r>
            <w:r w:rsidRPr="005D0210">
              <w:rPr>
                <w:rFonts w:eastAsia="Times New Roman" w:cs="Calibri"/>
                <w:sz w:val="16"/>
                <w:szCs w:val="16"/>
              </w:rPr>
              <w:br/>
              <w:t>45</w:t>
            </w:r>
            <w:r w:rsidRPr="005D0210">
              <w:rPr>
                <w:rFonts w:eastAsia="Times New Roman" w:cs="Calibri"/>
                <w:sz w:val="16"/>
                <w:szCs w:val="16"/>
              </w:rPr>
              <w:noBreakHyphen/>
              <w:t>54: 24.6%</w:t>
            </w:r>
            <w:r w:rsidRPr="005D0210">
              <w:rPr>
                <w:rFonts w:eastAsia="Times New Roman" w:cs="Calibri"/>
                <w:sz w:val="16"/>
                <w:szCs w:val="16"/>
              </w:rPr>
              <w:br/>
              <w:t>55</w:t>
            </w:r>
            <w:r w:rsidRPr="005D0210">
              <w:rPr>
                <w:rFonts w:eastAsia="Times New Roman" w:cs="Calibri"/>
                <w:sz w:val="16"/>
                <w:szCs w:val="16"/>
              </w:rPr>
              <w:noBreakHyphen/>
              <w:t>64: 21.7%</w:t>
            </w:r>
            <w:r w:rsidRPr="005D0210">
              <w:rPr>
                <w:rFonts w:eastAsia="Times New Roman" w:cs="Calibri"/>
                <w:sz w:val="16"/>
                <w:szCs w:val="16"/>
              </w:rPr>
              <w:br/>
              <w:t>65+: 10.2%</w:t>
            </w:r>
          </w:p>
        </w:tc>
      </w:tr>
      <w:tr w:rsidR="00781923" w:rsidRPr="005D0210" w14:paraId="38C44B08" w14:textId="77777777" w:rsidTr="004E728C">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269" w:type="dxa"/>
            <w:hideMark/>
          </w:tcPr>
          <w:p w14:paraId="0D3A39FC" w14:textId="77777777" w:rsidR="00781923" w:rsidRPr="005D0210" w:rsidRDefault="00781923" w:rsidP="004E728C">
            <w:pPr>
              <w:rPr>
                <w:rFonts w:eastAsia="Times New Roman" w:cs="Calibri"/>
                <w:sz w:val="16"/>
                <w:szCs w:val="16"/>
              </w:rPr>
            </w:pPr>
            <w:r w:rsidRPr="005D0210">
              <w:rPr>
                <w:rFonts w:eastAsia="Times New Roman" w:cs="Calibri"/>
                <w:sz w:val="16"/>
                <w:szCs w:val="16"/>
              </w:rPr>
              <w:t>Truman 2018</w:t>
            </w:r>
          </w:p>
        </w:tc>
        <w:tc>
          <w:tcPr>
            <w:tcW w:w="2837" w:type="dxa"/>
            <w:hideMark/>
          </w:tcPr>
          <w:p w14:paraId="0DCF3C36"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Calibri"/>
                <w:iCs/>
                <w:sz w:val="16"/>
                <w:szCs w:val="16"/>
              </w:rPr>
            </w:pPr>
            <w:r w:rsidRPr="005D0210">
              <w:rPr>
                <w:rFonts w:eastAsia="Times New Roman" w:cs="Calibri"/>
                <w:iCs/>
                <w:sz w:val="16"/>
                <w:szCs w:val="16"/>
              </w:rPr>
              <w:t>This paper reports the results of an electronic survey of vapers in New Zealand, a country where the sale and supply of e</w:t>
            </w:r>
            <w:r w:rsidRPr="005D0210">
              <w:rPr>
                <w:rFonts w:eastAsia="Times New Roman" w:cs="Calibri"/>
                <w:iCs/>
                <w:sz w:val="16"/>
                <w:szCs w:val="16"/>
              </w:rPr>
              <w:noBreakHyphen/>
              <w:t>liquids containing nicotine is illegal, although vapers can legally access e</w:t>
            </w:r>
            <w:r w:rsidRPr="005D0210">
              <w:rPr>
                <w:rFonts w:eastAsia="Times New Roman" w:cs="Calibri"/>
                <w:iCs/>
                <w:sz w:val="16"/>
                <w:szCs w:val="16"/>
              </w:rPr>
              <w:noBreakHyphen/>
              <w:t xml:space="preserve">liquids from overseas. </w:t>
            </w:r>
          </w:p>
        </w:tc>
        <w:tc>
          <w:tcPr>
            <w:tcW w:w="2727" w:type="dxa"/>
            <w:hideMark/>
          </w:tcPr>
          <w:p w14:paraId="624597EA"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5D0210">
              <w:rPr>
                <w:rFonts w:eastAsia="Times New Roman" w:cs="Calibri"/>
                <w:sz w:val="16"/>
                <w:szCs w:val="16"/>
              </w:rPr>
              <w:t>Online recruitment using vaper and smoking cessation networks.</w:t>
            </w:r>
          </w:p>
        </w:tc>
        <w:tc>
          <w:tcPr>
            <w:tcW w:w="4219" w:type="dxa"/>
            <w:hideMark/>
          </w:tcPr>
          <w:p w14:paraId="22E1E3F8"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5D0210">
              <w:rPr>
                <w:rFonts w:eastAsia="Times New Roman" w:cs="Calibri"/>
                <w:sz w:val="16"/>
                <w:szCs w:val="16"/>
              </w:rPr>
              <w:t>NR</w:t>
            </w:r>
          </w:p>
        </w:tc>
        <w:tc>
          <w:tcPr>
            <w:tcW w:w="1276" w:type="dxa"/>
            <w:hideMark/>
          </w:tcPr>
          <w:p w14:paraId="4EF37384"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5D0210">
              <w:rPr>
                <w:rFonts w:eastAsia="Times New Roman" w:cs="Calibri"/>
                <w:sz w:val="16"/>
                <w:szCs w:val="16"/>
              </w:rPr>
              <w:t>2016</w:t>
            </w:r>
          </w:p>
        </w:tc>
        <w:tc>
          <w:tcPr>
            <w:tcW w:w="850" w:type="dxa"/>
            <w:hideMark/>
          </w:tcPr>
          <w:p w14:paraId="6CA3614C"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5D0210">
              <w:rPr>
                <w:rFonts w:eastAsia="Times New Roman" w:cs="Calibri"/>
                <w:sz w:val="16"/>
                <w:szCs w:val="16"/>
              </w:rPr>
              <w:t>118</w:t>
            </w:r>
          </w:p>
        </w:tc>
        <w:tc>
          <w:tcPr>
            <w:tcW w:w="992" w:type="dxa"/>
            <w:hideMark/>
          </w:tcPr>
          <w:p w14:paraId="52D8925A"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5D0210">
              <w:rPr>
                <w:rFonts w:eastAsia="Times New Roman" w:cs="Calibri"/>
                <w:sz w:val="16"/>
                <w:szCs w:val="16"/>
              </w:rPr>
              <w:t>30</w:t>
            </w:r>
          </w:p>
        </w:tc>
        <w:tc>
          <w:tcPr>
            <w:tcW w:w="1276" w:type="dxa"/>
            <w:hideMark/>
          </w:tcPr>
          <w:p w14:paraId="59735658"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5D0210">
              <w:rPr>
                <w:rFonts w:eastAsia="Times New Roman" w:cs="Calibri"/>
                <w:sz w:val="16"/>
                <w:szCs w:val="16"/>
              </w:rPr>
              <w:t>&lt;20: 2%</w:t>
            </w:r>
            <w:r w:rsidRPr="005D0210">
              <w:rPr>
                <w:rFonts w:eastAsia="Times New Roman" w:cs="Calibri"/>
                <w:sz w:val="16"/>
                <w:szCs w:val="16"/>
              </w:rPr>
              <w:br/>
              <w:t>20–30: 40%</w:t>
            </w:r>
            <w:r w:rsidRPr="005D0210">
              <w:rPr>
                <w:rFonts w:eastAsia="Times New Roman" w:cs="Calibri"/>
                <w:sz w:val="16"/>
                <w:szCs w:val="16"/>
              </w:rPr>
              <w:br/>
              <w:t>31–40: 28%</w:t>
            </w:r>
            <w:r w:rsidRPr="005D0210">
              <w:rPr>
                <w:rFonts w:eastAsia="Times New Roman" w:cs="Calibri"/>
                <w:sz w:val="16"/>
                <w:szCs w:val="16"/>
              </w:rPr>
              <w:br/>
              <w:t xml:space="preserve">41–50: 21% 51–60: 37% </w:t>
            </w:r>
            <w:r w:rsidRPr="005D0210">
              <w:rPr>
                <w:rFonts w:eastAsia="Times New Roman" w:cs="Calibri"/>
                <w:sz w:val="16"/>
                <w:szCs w:val="16"/>
              </w:rPr>
              <w:br/>
              <w:t xml:space="preserve">&gt;60: 55% </w:t>
            </w:r>
          </w:p>
        </w:tc>
      </w:tr>
      <w:tr w:rsidR="00781923" w:rsidRPr="005D0210" w14:paraId="470EE819" w14:textId="77777777" w:rsidTr="004E728C">
        <w:trPr>
          <w:trHeight w:val="1422"/>
        </w:trPr>
        <w:tc>
          <w:tcPr>
            <w:cnfStyle w:val="001000000000" w:firstRow="0" w:lastRow="0" w:firstColumn="1" w:lastColumn="0" w:oddVBand="0" w:evenVBand="0" w:oddHBand="0" w:evenHBand="0" w:firstRowFirstColumn="0" w:firstRowLastColumn="0" w:lastRowFirstColumn="0" w:lastRowLastColumn="0"/>
            <w:tcW w:w="1269" w:type="dxa"/>
            <w:hideMark/>
          </w:tcPr>
          <w:p w14:paraId="5D7F3C4F" w14:textId="77777777" w:rsidR="00781923" w:rsidRPr="005D0210" w:rsidRDefault="00781923" w:rsidP="004E728C">
            <w:pPr>
              <w:rPr>
                <w:rFonts w:eastAsia="Times New Roman" w:cs="Calibri"/>
                <w:sz w:val="16"/>
                <w:szCs w:val="16"/>
              </w:rPr>
            </w:pPr>
            <w:r w:rsidRPr="005D0210">
              <w:rPr>
                <w:rFonts w:eastAsia="Times New Roman" w:cs="Calibri"/>
                <w:sz w:val="16"/>
                <w:szCs w:val="16"/>
              </w:rPr>
              <w:t>Valentine 2017</w:t>
            </w:r>
          </w:p>
        </w:tc>
        <w:tc>
          <w:tcPr>
            <w:tcW w:w="2837" w:type="dxa"/>
            <w:hideMark/>
          </w:tcPr>
          <w:p w14:paraId="75398AB2"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5D0210">
              <w:rPr>
                <w:rFonts w:eastAsia="Times New Roman" w:cs="Calibri"/>
                <w:sz w:val="16"/>
                <w:szCs w:val="16"/>
              </w:rPr>
              <w:t>To examine impact of e</w:t>
            </w:r>
            <w:r w:rsidRPr="005D0210">
              <w:rPr>
                <w:rFonts w:eastAsia="Times New Roman" w:cs="Calibri"/>
                <w:sz w:val="16"/>
                <w:szCs w:val="16"/>
              </w:rPr>
              <w:noBreakHyphen/>
              <w:t>cigarette use on combustible tobacco use as well as on the readiness to quit smoking and changes in nicotine dependence in a multi</w:t>
            </w:r>
            <w:r w:rsidRPr="005D0210">
              <w:rPr>
                <w:rFonts w:eastAsia="Times New Roman" w:cs="Calibri"/>
                <w:sz w:val="16"/>
                <w:szCs w:val="16"/>
              </w:rPr>
              <w:noBreakHyphen/>
              <w:t>morbid population.</w:t>
            </w:r>
          </w:p>
        </w:tc>
        <w:tc>
          <w:tcPr>
            <w:tcW w:w="2727" w:type="dxa"/>
            <w:hideMark/>
          </w:tcPr>
          <w:p w14:paraId="3B8AD35D" w14:textId="2FC7E766" w:rsidR="00781923" w:rsidRPr="005D0210" w:rsidRDefault="007D18D8" w:rsidP="004E728C">
            <w:pPr>
              <w:cnfStyle w:val="000000000000" w:firstRow="0" w:lastRow="0" w:firstColumn="0" w:lastColumn="0" w:oddVBand="0" w:evenVBand="0" w:oddHBand="0" w:evenHBand="0" w:firstRowFirstColumn="0" w:firstRowLastColumn="0" w:lastRowFirstColumn="0" w:lastRowLastColumn="0"/>
              <w:rPr>
                <w:rFonts w:eastAsia="Times New Roman" w:cs="Calibri"/>
                <w:iCs/>
                <w:sz w:val="16"/>
                <w:szCs w:val="16"/>
              </w:rPr>
            </w:pPr>
            <w:r>
              <w:rPr>
                <w:rFonts w:eastAsia="Times New Roman" w:cs="Calibri"/>
                <w:iCs/>
                <w:sz w:val="16"/>
                <w:szCs w:val="16"/>
              </w:rPr>
              <w:t>R</w:t>
            </w:r>
            <w:r w:rsidR="00781923" w:rsidRPr="005D0210">
              <w:rPr>
                <w:rFonts w:eastAsia="Times New Roman" w:cs="Calibri"/>
                <w:iCs/>
                <w:sz w:val="16"/>
                <w:szCs w:val="16"/>
              </w:rPr>
              <w:t xml:space="preserve">ecruited from within the Department of Veterans Affairs (VA) Connecticut Healthcare System by word of mouth. </w:t>
            </w:r>
          </w:p>
        </w:tc>
        <w:tc>
          <w:tcPr>
            <w:tcW w:w="4219" w:type="dxa"/>
            <w:hideMark/>
          </w:tcPr>
          <w:p w14:paraId="57DB64A2"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5D0210">
              <w:rPr>
                <w:rFonts w:eastAsia="Times New Roman" w:cs="Calibri"/>
                <w:sz w:val="16"/>
                <w:szCs w:val="16"/>
              </w:rPr>
              <w:t>Military Veteran Smokers receiving psychiatric services, without intention to immediately stop smoking (30 days), smoking history of ≥5 cigarettes/d.</w:t>
            </w:r>
            <w:r w:rsidRPr="005D0210">
              <w:rPr>
                <w:rFonts w:eastAsia="Times New Roman" w:cs="Calibri"/>
                <w:sz w:val="16"/>
                <w:szCs w:val="16"/>
              </w:rPr>
              <w:br/>
              <w:t>Exclusion: untreated medical or psychiatric and/or substance use disorders as determined by a review of the veteran’s electronic medical record, current use of nicotine replacement or other cessation pharmacotherapies, and use of e</w:t>
            </w:r>
            <w:r w:rsidRPr="005D0210">
              <w:rPr>
                <w:rFonts w:eastAsia="Times New Roman" w:cs="Calibri"/>
                <w:sz w:val="16"/>
                <w:szCs w:val="16"/>
              </w:rPr>
              <w:noBreakHyphen/>
              <w:t>cigarettes or smokeless tobacco products for more than 2 of the past 30 days.</w:t>
            </w:r>
          </w:p>
        </w:tc>
        <w:tc>
          <w:tcPr>
            <w:tcW w:w="1276" w:type="dxa"/>
            <w:hideMark/>
          </w:tcPr>
          <w:p w14:paraId="16B0907E"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5D0210">
              <w:rPr>
                <w:rFonts w:eastAsia="Times New Roman" w:cs="Calibri"/>
                <w:sz w:val="16"/>
                <w:szCs w:val="16"/>
              </w:rPr>
              <w:t>NR</w:t>
            </w:r>
          </w:p>
        </w:tc>
        <w:tc>
          <w:tcPr>
            <w:tcW w:w="850" w:type="dxa"/>
            <w:hideMark/>
          </w:tcPr>
          <w:p w14:paraId="0EA3EBFF"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5D0210">
              <w:rPr>
                <w:rFonts w:eastAsia="Times New Roman" w:cs="Calibri"/>
                <w:sz w:val="16"/>
                <w:szCs w:val="16"/>
              </w:rPr>
              <w:t>50</w:t>
            </w:r>
          </w:p>
        </w:tc>
        <w:tc>
          <w:tcPr>
            <w:tcW w:w="992" w:type="dxa"/>
            <w:hideMark/>
          </w:tcPr>
          <w:p w14:paraId="41A14E48"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5D0210">
              <w:rPr>
                <w:rFonts w:eastAsia="Times New Roman" w:cs="Calibri"/>
                <w:sz w:val="16"/>
                <w:szCs w:val="16"/>
              </w:rPr>
              <w:t>7</w:t>
            </w:r>
          </w:p>
        </w:tc>
        <w:tc>
          <w:tcPr>
            <w:tcW w:w="1276" w:type="dxa"/>
            <w:hideMark/>
          </w:tcPr>
          <w:p w14:paraId="64450648"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5D0210">
              <w:rPr>
                <w:rFonts w:eastAsia="Times New Roman" w:cs="Calibri"/>
                <w:sz w:val="16"/>
                <w:szCs w:val="16"/>
              </w:rPr>
              <w:t>56.9±8.0</w:t>
            </w:r>
          </w:p>
        </w:tc>
      </w:tr>
      <w:tr w:rsidR="00781923" w:rsidRPr="005D0210" w14:paraId="4B87E66F" w14:textId="77777777" w:rsidTr="004E728C">
        <w:trPr>
          <w:cnfStyle w:val="000000100000" w:firstRow="0" w:lastRow="0" w:firstColumn="0" w:lastColumn="0" w:oddVBand="0" w:evenVBand="0" w:oddHBand="1" w:evenHBand="0" w:firstRowFirstColumn="0" w:firstRowLastColumn="0" w:lastRowFirstColumn="0" w:lastRowLastColumn="0"/>
          <w:trHeight w:val="1422"/>
        </w:trPr>
        <w:tc>
          <w:tcPr>
            <w:cnfStyle w:val="001000000000" w:firstRow="0" w:lastRow="0" w:firstColumn="1" w:lastColumn="0" w:oddVBand="0" w:evenVBand="0" w:oddHBand="0" w:evenHBand="0" w:firstRowFirstColumn="0" w:firstRowLastColumn="0" w:lastRowFirstColumn="0" w:lastRowLastColumn="0"/>
            <w:tcW w:w="1269" w:type="dxa"/>
          </w:tcPr>
          <w:p w14:paraId="21EAEF29" w14:textId="77777777" w:rsidR="00781923" w:rsidRPr="005D0210" w:rsidRDefault="00781923" w:rsidP="004E728C">
            <w:pPr>
              <w:rPr>
                <w:rFonts w:eastAsia="Times New Roman" w:cs="Calibri"/>
                <w:sz w:val="16"/>
                <w:szCs w:val="16"/>
              </w:rPr>
            </w:pPr>
            <w:r w:rsidRPr="005D0210">
              <w:rPr>
                <w:rFonts w:cs="Calibri"/>
                <w:sz w:val="16"/>
                <w:szCs w:val="16"/>
              </w:rPr>
              <w:t>Yong 2018</w:t>
            </w:r>
          </w:p>
        </w:tc>
        <w:tc>
          <w:tcPr>
            <w:tcW w:w="2837" w:type="dxa"/>
          </w:tcPr>
          <w:p w14:paraId="4CE5B6D5"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5D0210">
              <w:rPr>
                <w:rFonts w:cs="Calibri"/>
                <w:iCs/>
                <w:sz w:val="16"/>
                <w:szCs w:val="16"/>
              </w:rPr>
              <w:t>To investigate the effects of ever use of electronic cigarettes (ECs), many of which lack nicotine, on abstinence from convention cigarettes among Hong Kong adult smokers.</w:t>
            </w:r>
          </w:p>
        </w:tc>
        <w:tc>
          <w:tcPr>
            <w:tcW w:w="2727" w:type="dxa"/>
          </w:tcPr>
          <w:p w14:paraId="23A3F966"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Calibri"/>
                <w:iCs/>
                <w:sz w:val="16"/>
                <w:szCs w:val="16"/>
              </w:rPr>
            </w:pPr>
            <w:r w:rsidRPr="005D0210">
              <w:rPr>
                <w:rFonts w:cs="Calibri"/>
                <w:sz w:val="16"/>
                <w:szCs w:val="16"/>
              </w:rPr>
              <w:t xml:space="preserve">Used data from the </w:t>
            </w:r>
            <w:r w:rsidRPr="005D0210">
              <w:rPr>
                <w:rFonts w:cs="Calibri"/>
                <w:iCs/>
                <w:sz w:val="16"/>
                <w:szCs w:val="16"/>
              </w:rPr>
              <w:t>Quit to Win</w:t>
            </w:r>
            <w:r w:rsidRPr="005D0210">
              <w:rPr>
                <w:rFonts w:cs="Calibri"/>
                <w:sz w:val="16"/>
                <w:szCs w:val="16"/>
              </w:rPr>
              <w:t xml:space="preserve"> contest, a competition with incentives and social support to promote abstinence from cigarettes. </w:t>
            </w:r>
          </w:p>
        </w:tc>
        <w:tc>
          <w:tcPr>
            <w:tcW w:w="4219" w:type="dxa"/>
          </w:tcPr>
          <w:p w14:paraId="64A386BC"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5D0210">
              <w:rPr>
                <w:rFonts w:cs="Calibri"/>
                <w:sz w:val="16"/>
                <w:szCs w:val="16"/>
              </w:rPr>
              <w:t>Smokers who were residents of Hong Kong, aged 18 or above, able to communicate in Cantonese, and not involved in other smoking cessation programs were recruited. Excluded light smokers.</w:t>
            </w:r>
          </w:p>
        </w:tc>
        <w:tc>
          <w:tcPr>
            <w:tcW w:w="1276" w:type="dxa"/>
          </w:tcPr>
          <w:p w14:paraId="7074BB7A"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5D0210">
              <w:rPr>
                <w:rFonts w:cs="Calibri"/>
                <w:sz w:val="16"/>
                <w:szCs w:val="16"/>
              </w:rPr>
              <w:t>2014</w:t>
            </w:r>
            <w:r w:rsidRPr="005D0210">
              <w:rPr>
                <w:rFonts w:cs="Calibri"/>
                <w:sz w:val="16"/>
                <w:szCs w:val="16"/>
              </w:rPr>
              <w:noBreakHyphen/>
              <w:t>15</w:t>
            </w:r>
          </w:p>
        </w:tc>
        <w:tc>
          <w:tcPr>
            <w:tcW w:w="850" w:type="dxa"/>
          </w:tcPr>
          <w:p w14:paraId="494927B6"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5D0210">
              <w:rPr>
                <w:rFonts w:cs="Calibri"/>
                <w:sz w:val="16"/>
                <w:szCs w:val="16"/>
              </w:rPr>
              <w:t>956</w:t>
            </w:r>
          </w:p>
        </w:tc>
        <w:tc>
          <w:tcPr>
            <w:tcW w:w="992" w:type="dxa"/>
          </w:tcPr>
          <w:p w14:paraId="16855CA4"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5D0210">
              <w:rPr>
                <w:rFonts w:cs="Calibri"/>
                <w:sz w:val="16"/>
                <w:szCs w:val="16"/>
              </w:rPr>
              <w:t>18.2</w:t>
            </w:r>
          </w:p>
        </w:tc>
        <w:tc>
          <w:tcPr>
            <w:tcW w:w="1276" w:type="dxa"/>
          </w:tcPr>
          <w:p w14:paraId="153FCC28"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5D0210">
              <w:rPr>
                <w:rFonts w:cs="Calibri"/>
                <w:sz w:val="16"/>
                <w:szCs w:val="16"/>
              </w:rPr>
              <w:t xml:space="preserve">28 </w:t>
            </w:r>
            <w:r w:rsidRPr="005D0210">
              <w:rPr>
                <w:rFonts w:cs="Calibri"/>
                <w:sz w:val="16"/>
                <w:szCs w:val="16"/>
              </w:rPr>
              <w:noBreakHyphen/>
              <w:t xml:space="preserve"> 55</w:t>
            </w:r>
          </w:p>
        </w:tc>
      </w:tr>
    </w:tbl>
    <w:p w14:paraId="37A00A3D" w14:textId="77777777" w:rsidR="00781923" w:rsidRPr="005D0210" w:rsidRDefault="00781923" w:rsidP="00781923">
      <w:r w:rsidRPr="005D0210">
        <w:br w:type="page"/>
      </w:r>
    </w:p>
    <w:p w14:paraId="11B59ECE" w14:textId="77777777" w:rsidR="00781923" w:rsidRPr="005D0210" w:rsidRDefault="003D2CBD" w:rsidP="003D2CBD">
      <w:pPr>
        <w:pStyle w:val="Caption"/>
      </w:pPr>
      <w:bookmarkStart w:id="148" w:name="_Toc515229970"/>
      <w:bookmarkStart w:id="149" w:name="_Toc517707423"/>
      <w:r w:rsidRPr="005D0210">
        <w:lastRenderedPageBreak/>
        <w:t xml:space="preserve">Table </w:t>
      </w:r>
      <w:r w:rsidR="0048064B">
        <w:rPr>
          <w:noProof/>
        </w:rPr>
        <w:fldChar w:fldCharType="begin"/>
      </w:r>
      <w:r w:rsidR="0048064B">
        <w:rPr>
          <w:noProof/>
        </w:rPr>
        <w:instrText xml:space="preserve"> SEQ Table \* ARABIC </w:instrText>
      </w:r>
      <w:r w:rsidR="0048064B">
        <w:rPr>
          <w:noProof/>
        </w:rPr>
        <w:fldChar w:fldCharType="separate"/>
      </w:r>
      <w:r w:rsidR="000C06DA">
        <w:rPr>
          <w:noProof/>
        </w:rPr>
        <w:t>14</w:t>
      </w:r>
      <w:r w:rsidR="0048064B">
        <w:rPr>
          <w:noProof/>
        </w:rPr>
        <w:fldChar w:fldCharType="end"/>
      </w:r>
      <w:r w:rsidR="00781923" w:rsidRPr="005D0210">
        <w:t>: Longitudinal smoking cessation studies: outcomes</w:t>
      </w:r>
      <w:bookmarkEnd w:id="148"/>
      <w:bookmarkEnd w:id="149"/>
    </w:p>
    <w:tbl>
      <w:tblPr>
        <w:tblStyle w:val="TableCSIRO"/>
        <w:tblW w:w="15588" w:type="dxa"/>
        <w:tblLayout w:type="fixed"/>
        <w:tblLook w:val="04A0" w:firstRow="1" w:lastRow="0" w:firstColumn="1" w:lastColumn="0" w:noHBand="0" w:noVBand="1"/>
      </w:tblPr>
      <w:tblGrid>
        <w:gridCol w:w="1078"/>
        <w:gridCol w:w="3737"/>
        <w:gridCol w:w="5386"/>
        <w:gridCol w:w="993"/>
        <w:gridCol w:w="928"/>
        <w:gridCol w:w="3466"/>
      </w:tblGrid>
      <w:tr w:rsidR="00781923" w:rsidRPr="005D0210" w14:paraId="32DC4A91" w14:textId="77777777" w:rsidTr="004E728C">
        <w:trPr>
          <w:cnfStyle w:val="100000000000" w:firstRow="1" w:lastRow="0" w:firstColumn="0" w:lastColumn="0" w:oddVBand="0" w:evenVBand="0" w:oddHBand="0" w:evenHBand="0" w:firstRowFirstColumn="0" w:firstRowLastColumn="0" w:lastRowFirstColumn="0" w:lastRowLastColumn="0"/>
          <w:trHeight w:val="568"/>
          <w:tblHeader/>
        </w:trPr>
        <w:tc>
          <w:tcPr>
            <w:cnfStyle w:val="001000000000" w:firstRow="0" w:lastRow="0" w:firstColumn="1" w:lastColumn="0" w:oddVBand="0" w:evenVBand="0" w:oddHBand="0" w:evenHBand="0" w:firstRowFirstColumn="0" w:firstRowLastColumn="0" w:lastRowFirstColumn="0" w:lastRowLastColumn="0"/>
            <w:tcW w:w="1078" w:type="dxa"/>
            <w:hideMark/>
          </w:tcPr>
          <w:p w14:paraId="7F99F3BD" w14:textId="77777777" w:rsidR="00781923" w:rsidRPr="005D0210" w:rsidRDefault="00781923" w:rsidP="004E728C">
            <w:pPr>
              <w:rPr>
                <w:rFonts w:eastAsia="Times New Roman" w:cs="Calibri"/>
                <w:b w:val="0"/>
                <w:bCs w:val="0"/>
                <w:color w:val="FFFFFF" w:themeColor="background1"/>
                <w:sz w:val="16"/>
                <w:szCs w:val="16"/>
              </w:rPr>
            </w:pPr>
            <w:r w:rsidRPr="005D0210">
              <w:rPr>
                <w:rFonts w:eastAsia="Times New Roman" w:cs="Calibri"/>
                <w:color w:val="FFFFFF" w:themeColor="background1"/>
                <w:sz w:val="16"/>
                <w:szCs w:val="16"/>
              </w:rPr>
              <w:t>Study reference</w:t>
            </w:r>
          </w:p>
        </w:tc>
        <w:tc>
          <w:tcPr>
            <w:tcW w:w="3737" w:type="dxa"/>
            <w:hideMark/>
          </w:tcPr>
          <w:p w14:paraId="50288E9F" w14:textId="77777777" w:rsidR="00781923" w:rsidRPr="005D0210" w:rsidRDefault="00781923" w:rsidP="004E728C">
            <w:pP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themeColor="background1"/>
                <w:sz w:val="16"/>
                <w:szCs w:val="16"/>
              </w:rPr>
            </w:pPr>
            <w:r w:rsidRPr="005D0210">
              <w:rPr>
                <w:rFonts w:eastAsia="Times New Roman" w:cs="Calibri"/>
                <w:color w:val="FFFFFF" w:themeColor="background1"/>
                <w:sz w:val="16"/>
                <w:szCs w:val="16"/>
              </w:rPr>
              <w:t>Survey description</w:t>
            </w:r>
          </w:p>
        </w:tc>
        <w:tc>
          <w:tcPr>
            <w:tcW w:w="5386" w:type="dxa"/>
            <w:hideMark/>
          </w:tcPr>
          <w:p w14:paraId="3EF4586E" w14:textId="77777777" w:rsidR="00781923" w:rsidRPr="005D0210" w:rsidRDefault="00781923" w:rsidP="004E728C">
            <w:pP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themeColor="background1"/>
                <w:sz w:val="16"/>
                <w:szCs w:val="16"/>
              </w:rPr>
            </w:pPr>
            <w:r w:rsidRPr="005D0210">
              <w:rPr>
                <w:rFonts w:eastAsia="Times New Roman" w:cs="Calibri"/>
                <w:color w:val="FFFFFF" w:themeColor="background1"/>
                <w:sz w:val="16"/>
                <w:szCs w:val="16"/>
              </w:rPr>
              <w:t>Outcome</w:t>
            </w:r>
          </w:p>
        </w:tc>
        <w:tc>
          <w:tcPr>
            <w:tcW w:w="993" w:type="dxa"/>
            <w:hideMark/>
          </w:tcPr>
          <w:p w14:paraId="3EF158AA" w14:textId="77777777" w:rsidR="00781923" w:rsidRPr="005D0210" w:rsidRDefault="00781923" w:rsidP="004E728C">
            <w:pP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themeColor="background1"/>
                <w:sz w:val="16"/>
                <w:szCs w:val="16"/>
              </w:rPr>
            </w:pPr>
            <w:r w:rsidRPr="005D0210">
              <w:rPr>
                <w:rFonts w:eastAsia="Times New Roman" w:cs="Calibri"/>
                <w:color w:val="FFFFFF" w:themeColor="background1"/>
                <w:sz w:val="16"/>
                <w:szCs w:val="16"/>
              </w:rPr>
              <w:t>Follow</w:t>
            </w:r>
            <w:r w:rsidRPr="005D0210">
              <w:rPr>
                <w:rFonts w:eastAsia="Times New Roman" w:cs="Calibri"/>
                <w:color w:val="FFFFFF" w:themeColor="background1"/>
                <w:sz w:val="16"/>
                <w:szCs w:val="16"/>
              </w:rPr>
              <w:noBreakHyphen/>
              <w:t>up (months)</w:t>
            </w:r>
          </w:p>
        </w:tc>
        <w:tc>
          <w:tcPr>
            <w:tcW w:w="928" w:type="dxa"/>
            <w:hideMark/>
          </w:tcPr>
          <w:p w14:paraId="4BE35064" w14:textId="77777777" w:rsidR="00781923" w:rsidRPr="005D0210" w:rsidRDefault="00781923" w:rsidP="004E728C">
            <w:pP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themeColor="background1"/>
                <w:sz w:val="16"/>
                <w:szCs w:val="16"/>
              </w:rPr>
            </w:pPr>
            <w:r w:rsidRPr="005D0210">
              <w:rPr>
                <w:rFonts w:eastAsia="Times New Roman" w:cs="Calibri"/>
                <w:color w:val="FFFFFF" w:themeColor="background1"/>
                <w:sz w:val="16"/>
                <w:szCs w:val="16"/>
              </w:rPr>
              <w:t>Country/ region</w:t>
            </w:r>
          </w:p>
        </w:tc>
        <w:tc>
          <w:tcPr>
            <w:tcW w:w="3466" w:type="dxa"/>
            <w:hideMark/>
          </w:tcPr>
          <w:p w14:paraId="6A8FF5FA" w14:textId="77777777" w:rsidR="00781923" w:rsidRPr="005D0210" w:rsidRDefault="00781923" w:rsidP="004E728C">
            <w:pP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themeColor="background1"/>
                <w:sz w:val="16"/>
                <w:szCs w:val="16"/>
              </w:rPr>
            </w:pPr>
            <w:r w:rsidRPr="005D0210">
              <w:rPr>
                <w:rFonts w:eastAsia="Times New Roman" w:cs="Calibri"/>
                <w:color w:val="FFFFFF" w:themeColor="background1"/>
                <w:sz w:val="16"/>
                <w:szCs w:val="16"/>
              </w:rPr>
              <w:t>Conclusion statement</w:t>
            </w:r>
          </w:p>
          <w:p w14:paraId="2FDC5602" w14:textId="77777777" w:rsidR="00781923" w:rsidRPr="005D0210" w:rsidRDefault="00781923" w:rsidP="004E728C">
            <w:pP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themeColor="background1"/>
                <w:sz w:val="16"/>
                <w:szCs w:val="16"/>
              </w:rPr>
            </w:pPr>
            <w:r w:rsidRPr="005D0210">
              <w:rPr>
                <w:rFonts w:eastAsia="Times New Roman" w:cs="Calibri"/>
                <w:color w:val="FFFFFF" w:themeColor="background1"/>
                <w:sz w:val="16"/>
                <w:szCs w:val="16"/>
              </w:rPr>
              <w:t> </w:t>
            </w:r>
          </w:p>
        </w:tc>
      </w:tr>
      <w:tr w:rsidR="00781923" w:rsidRPr="005D0210" w14:paraId="4C4DC7FC" w14:textId="77777777" w:rsidTr="004E728C">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1078" w:type="dxa"/>
          </w:tcPr>
          <w:p w14:paraId="48256D39" w14:textId="77777777" w:rsidR="00781923" w:rsidRPr="005D0210" w:rsidRDefault="00781923" w:rsidP="004E728C">
            <w:pPr>
              <w:rPr>
                <w:rFonts w:eastAsia="Times New Roman" w:cs="Calibri"/>
                <w:sz w:val="16"/>
                <w:szCs w:val="16"/>
              </w:rPr>
            </w:pPr>
            <w:r w:rsidRPr="005D0210">
              <w:rPr>
                <w:rFonts w:cs="Calibri"/>
                <w:sz w:val="16"/>
                <w:szCs w:val="16"/>
              </w:rPr>
              <w:t>Berry 2018</w:t>
            </w:r>
          </w:p>
        </w:tc>
        <w:tc>
          <w:tcPr>
            <w:tcW w:w="3737" w:type="dxa"/>
          </w:tcPr>
          <w:p w14:paraId="5EDC07A9"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5D0210">
              <w:rPr>
                <w:rFonts w:cs="Calibri"/>
                <w:sz w:val="16"/>
                <w:szCs w:val="16"/>
              </w:rPr>
              <w:t>Data was collected on age, sex, race/ethnicity, household income, education, region, cigarette use, e</w:t>
            </w:r>
            <w:r w:rsidRPr="005D0210">
              <w:rPr>
                <w:rFonts w:cs="Calibri"/>
                <w:sz w:val="16"/>
                <w:szCs w:val="16"/>
              </w:rPr>
              <w:noBreakHyphen/>
              <w:t>cigarette use, quit attempts, successful quit attempts.</w:t>
            </w:r>
          </w:p>
        </w:tc>
        <w:tc>
          <w:tcPr>
            <w:tcW w:w="5386" w:type="dxa"/>
          </w:tcPr>
          <w:p w14:paraId="3A1EC413"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Calibri"/>
                <w:iCs/>
                <w:sz w:val="16"/>
                <w:szCs w:val="16"/>
              </w:rPr>
            </w:pPr>
            <w:r w:rsidRPr="005D0210">
              <w:rPr>
                <w:rFonts w:cs="Calibri"/>
                <w:iCs/>
                <w:sz w:val="16"/>
                <w:szCs w:val="16"/>
              </w:rPr>
              <w:t>Between waves 1 and 2, 6.9% of cigarette smokers who were not current e</w:t>
            </w:r>
            <w:r w:rsidRPr="005D0210">
              <w:rPr>
                <w:rFonts w:cs="Calibri"/>
                <w:iCs/>
                <w:sz w:val="16"/>
                <w:szCs w:val="16"/>
              </w:rPr>
              <w:noBreakHyphen/>
              <w:t>cigarette users transitioned to former smokers. After adjusting for covariates, cigarette smokers who initiated e</w:t>
            </w:r>
            <w:r w:rsidRPr="005D0210">
              <w:rPr>
                <w:rFonts w:cs="Calibri"/>
                <w:iCs/>
                <w:sz w:val="16"/>
                <w:szCs w:val="16"/>
              </w:rPr>
              <w:noBreakHyphen/>
              <w:t>cigarette use between waves and reported they used e</w:t>
            </w:r>
            <w:r w:rsidRPr="005D0210">
              <w:rPr>
                <w:rFonts w:cs="Calibri"/>
                <w:iCs/>
                <w:sz w:val="16"/>
                <w:szCs w:val="16"/>
              </w:rPr>
              <w:noBreakHyphen/>
              <w:t>cigarettes daily at wave 2 had 7.88 (95% CI 4.45 to 13.95) times the odds of 30</w:t>
            </w:r>
            <w:r w:rsidRPr="005D0210">
              <w:rPr>
                <w:rFonts w:cs="Calibri"/>
                <w:iCs/>
                <w:sz w:val="16"/>
                <w:szCs w:val="16"/>
              </w:rPr>
              <w:noBreakHyphen/>
              <w:t>day cigarette cessation compared with non</w:t>
            </w:r>
            <w:r w:rsidRPr="005D0210">
              <w:rPr>
                <w:rFonts w:cs="Calibri"/>
                <w:iCs/>
                <w:sz w:val="16"/>
                <w:szCs w:val="16"/>
              </w:rPr>
              <w:noBreakHyphen/>
              <w:t>users of e</w:t>
            </w:r>
            <w:r w:rsidRPr="005D0210">
              <w:rPr>
                <w:rFonts w:cs="Calibri"/>
                <w:iCs/>
                <w:sz w:val="16"/>
                <w:szCs w:val="16"/>
              </w:rPr>
              <w:noBreakHyphen/>
              <w:t>cigarettes at wave 2. Cigarette smokers who began using e</w:t>
            </w:r>
            <w:r w:rsidRPr="005D0210">
              <w:rPr>
                <w:rFonts w:cs="Calibri"/>
                <w:iCs/>
                <w:sz w:val="16"/>
                <w:szCs w:val="16"/>
              </w:rPr>
              <w:noBreakHyphen/>
              <w:t>cigarettes every day and did not achieve cessation had 5.70 (95% CI 3.47 to 9.35) times the odds of reducing their average daily cigarette use by at least 50% between waves 1 and 2 compared with e</w:t>
            </w:r>
            <w:r w:rsidRPr="005D0210">
              <w:rPr>
                <w:rFonts w:cs="Calibri"/>
                <w:iCs/>
                <w:sz w:val="16"/>
                <w:szCs w:val="16"/>
              </w:rPr>
              <w:noBreakHyphen/>
              <w:t>cigarette non</w:t>
            </w:r>
            <w:r w:rsidRPr="005D0210">
              <w:rPr>
                <w:rFonts w:cs="Calibri"/>
                <w:iCs/>
                <w:sz w:val="16"/>
                <w:szCs w:val="16"/>
              </w:rPr>
              <w:noBreakHyphen/>
              <w:t>users.</w:t>
            </w:r>
          </w:p>
        </w:tc>
        <w:tc>
          <w:tcPr>
            <w:tcW w:w="993" w:type="dxa"/>
          </w:tcPr>
          <w:p w14:paraId="4954D309"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5D0210">
              <w:rPr>
                <w:rFonts w:cs="Calibri"/>
                <w:sz w:val="16"/>
                <w:szCs w:val="16"/>
              </w:rPr>
              <w:t>12</w:t>
            </w:r>
          </w:p>
        </w:tc>
        <w:tc>
          <w:tcPr>
            <w:tcW w:w="928" w:type="dxa"/>
          </w:tcPr>
          <w:p w14:paraId="5630DAB5"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5D0210">
              <w:rPr>
                <w:rFonts w:cs="Calibri"/>
                <w:sz w:val="16"/>
                <w:szCs w:val="16"/>
              </w:rPr>
              <w:t>USA</w:t>
            </w:r>
          </w:p>
        </w:tc>
        <w:tc>
          <w:tcPr>
            <w:tcW w:w="3466" w:type="dxa"/>
          </w:tcPr>
          <w:p w14:paraId="2B4334D0"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Calibri"/>
                <w:iCs/>
                <w:sz w:val="16"/>
                <w:szCs w:val="16"/>
              </w:rPr>
            </w:pPr>
            <w:r w:rsidRPr="005D0210">
              <w:rPr>
                <w:rFonts w:cs="Calibri"/>
                <w:iCs/>
                <w:sz w:val="16"/>
                <w:szCs w:val="16"/>
              </w:rPr>
              <w:t>Daily e</w:t>
            </w:r>
            <w:r w:rsidRPr="005D0210">
              <w:rPr>
                <w:rFonts w:cs="Calibri"/>
                <w:iCs/>
                <w:sz w:val="16"/>
                <w:szCs w:val="16"/>
              </w:rPr>
              <w:noBreakHyphen/>
              <w:t>cigarette initiators were more likely to have quit smoking cigarettes or reduced use compared with non</w:t>
            </w:r>
            <w:r w:rsidRPr="005D0210">
              <w:rPr>
                <w:rFonts w:cs="Calibri"/>
                <w:iCs/>
                <w:sz w:val="16"/>
                <w:szCs w:val="16"/>
              </w:rPr>
              <w:noBreakHyphen/>
              <w:t>users. However, less frequent e</w:t>
            </w:r>
            <w:r w:rsidRPr="005D0210">
              <w:rPr>
                <w:rFonts w:cs="Calibri"/>
                <w:iCs/>
                <w:sz w:val="16"/>
                <w:szCs w:val="16"/>
              </w:rPr>
              <w:noBreakHyphen/>
              <w:t>cigarette use was not associated with cigarette cessation/reduction.</w:t>
            </w:r>
          </w:p>
        </w:tc>
      </w:tr>
      <w:tr w:rsidR="00781923" w:rsidRPr="005D0210" w14:paraId="148BD827" w14:textId="77777777" w:rsidTr="004E728C">
        <w:trPr>
          <w:trHeight w:val="109"/>
        </w:trPr>
        <w:tc>
          <w:tcPr>
            <w:cnfStyle w:val="001000000000" w:firstRow="0" w:lastRow="0" w:firstColumn="1" w:lastColumn="0" w:oddVBand="0" w:evenVBand="0" w:oddHBand="0" w:evenHBand="0" w:firstRowFirstColumn="0" w:firstRowLastColumn="0" w:lastRowFirstColumn="0" w:lastRowLastColumn="0"/>
            <w:tcW w:w="1078" w:type="dxa"/>
            <w:hideMark/>
          </w:tcPr>
          <w:p w14:paraId="5EFDDFC5" w14:textId="77777777" w:rsidR="00781923" w:rsidRPr="005D0210" w:rsidRDefault="00781923" w:rsidP="004E728C">
            <w:pPr>
              <w:rPr>
                <w:rFonts w:eastAsia="Times New Roman" w:cs="Calibri"/>
                <w:sz w:val="16"/>
                <w:szCs w:val="16"/>
              </w:rPr>
            </w:pPr>
            <w:r w:rsidRPr="005D0210">
              <w:rPr>
                <w:rFonts w:eastAsia="Times New Roman" w:cs="Calibri"/>
                <w:sz w:val="16"/>
                <w:szCs w:val="16"/>
              </w:rPr>
              <w:t>Brikmanis 2017</w:t>
            </w:r>
          </w:p>
        </w:tc>
        <w:tc>
          <w:tcPr>
            <w:tcW w:w="3737" w:type="dxa"/>
            <w:hideMark/>
          </w:tcPr>
          <w:p w14:paraId="4C7E5E82"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5D0210">
              <w:rPr>
                <w:rFonts w:eastAsia="Times New Roman" w:cs="Calibri"/>
                <w:sz w:val="16"/>
                <w:szCs w:val="16"/>
              </w:rPr>
              <w:t>Participants reported e</w:t>
            </w:r>
            <w:r w:rsidRPr="005D0210">
              <w:rPr>
                <w:rFonts w:eastAsia="Times New Roman" w:cs="Calibri"/>
                <w:sz w:val="16"/>
                <w:szCs w:val="16"/>
              </w:rPr>
              <w:noBreakHyphen/>
              <w:t>cigarette use over the past 14 days at baseline, and for the past 9 days at 3, 6, and 9 months.</w:t>
            </w:r>
          </w:p>
        </w:tc>
        <w:tc>
          <w:tcPr>
            <w:tcW w:w="5386" w:type="dxa"/>
            <w:hideMark/>
          </w:tcPr>
          <w:p w14:paraId="26FC882E"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Calibri"/>
                <w:iCs/>
                <w:sz w:val="16"/>
                <w:szCs w:val="16"/>
              </w:rPr>
            </w:pPr>
            <w:r w:rsidRPr="005D0210">
              <w:rPr>
                <w:rFonts w:eastAsia="Times New Roman" w:cs="Calibri"/>
                <w:iCs/>
                <w:sz w:val="16"/>
                <w:szCs w:val="16"/>
              </w:rPr>
              <w:t>Intent to quit smoking cigarettes and intent to maintain smoking were unrelated to e</w:t>
            </w:r>
            <w:r w:rsidRPr="005D0210">
              <w:rPr>
                <w:rFonts w:eastAsia="Times New Roman" w:cs="Calibri"/>
                <w:iCs/>
                <w:sz w:val="16"/>
                <w:szCs w:val="16"/>
              </w:rPr>
              <w:noBreakHyphen/>
              <w:t>cigarette frequency.</w:t>
            </w:r>
            <w:r w:rsidRPr="005D0210">
              <w:rPr>
                <w:rFonts w:eastAsia="Times New Roman" w:cs="Calibri"/>
                <w:iCs/>
                <w:sz w:val="16"/>
                <w:szCs w:val="16"/>
              </w:rPr>
              <w:br/>
              <w:t>The remaining cigarette intent items, including intent to maintain or increase over the next year (d =0.06, z =1.02, p=0.307), intent to quit over the next month (d=</w:t>
            </w:r>
            <w:r w:rsidRPr="005D0210">
              <w:rPr>
                <w:rFonts w:eastAsia="Times New Roman" w:cs="Calibri"/>
                <w:iCs/>
                <w:sz w:val="16"/>
                <w:szCs w:val="16"/>
              </w:rPr>
              <w:noBreakHyphen/>
              <w:t>0.07, z =</w:t>
            </w:r>
            <w:r w:rsidRPr="005D0210">
              <w:rPr>
                <w:rFonts w:eastAsia="Times New Roman" w:cs="Calibri"/>
                <w:iCs/>
                <w:sz w:val="16"/>
                <w:szCs w:val="16"/>
              </w:rPr>
              <w:noBreakHyphen/>
              <w:t>1.25, p=.210), and intent to quit over the next year (d=</w:t>
            </w:r>
            <w:r w:rsidRPr="005D0210">
              <w:rPr>
                <w:rFonts w:eastAsia="Times New Roman" w:cs="Calibri"/>
                <w:iCs/>
                <w:sz w:val="16"/>
                <w:szCs w:val="16"/>
              </w:rPr>
              <w:noBreakHyphen/>
              <w:t>0.09, z=</w:t>
            </w:r>
            <w:r w:rsidRPr="005D0210">
              <w:rPr>
                <w:rFonts w:eastAsia="Times New Roman" w:cs="Calibri"/>
                <w:iCs/>
                <w:sz w:val="16"/>
                <w:szCs w:val="16"/>
              </w:rPr>
              <w:noBreakHyphen/>
              <w:t>1.41, p=.158) were in the expected direction but not significant.</w:t>
            </w:r>
          </w:p>
        </w:tc>
        <w:tc>
          <w:tcPr>
            <w:tcW w:w="993" w:type="dxa"/>
            <w:hideMark/>
          </w:tcPr>
          <w:p w14:paraId="41011637"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5D0210">
              <w:rPr>
                <w:rFonts w:eastAsia="Times New Roman" w:cs="Calibri"/>
                <w:sz w:val="16"/>
                <w:szCs w:val="16"/>
              </w:rPr>
              <w:t>9</w:t>
            </w:r>
          </w:p>
        </w:tc>
        <w:tc>
          <w:tcPr>
            <w:tcW w:w="928" w:type="dxa"/>
            <w:hideMark/>
          </w:tcPr>
          <w:p w14:paraId="61BE1D16"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5D0210">
              <w:rPr>
                <w:rFonts w:eastAsia="Times New Roman" w:cs="Calibri"/>
                <w:sz w:val="16"/>
                <w:szCs w:val="16"/>
              </w:rPr>
              <w:t>USA</w:t>
            </w:r>
          </w:p>
        </w:tc>
        <w:tc>
          <w:tcPr>
            <w:tcW w:w="3466" w:type="dxa"/>
            <w:hideMark/>
          </w:tcPr>
          <w:p w14:paraId="556EBE6A"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Calibri"/>
                <w:iCs/>
                <w:sz w:val="16"/>
                <w:szCs w:val="16"/>
              </w:rPr>
            </w:pPr>
            <w:r w:rsidRPr="005D0210">
              <w:rPr>
                <w:rFonts w:eastAsia="Times New Roman" w:cs="Calibri"/>
                <w:iCs/>
                <w:sz w:val="16"/>
                <w:szCs w:val="16"/>
              </w:rPr>
              <w:t>Findings suggest e</w:t>
            </w:r>
            <w:r w:rsidRPr="005D0210">
              <w:rPr>
                <w:rFonts w:eastAsia="Times New Roman" w:cs="Calibri"/>
                <w:iCs/>
                <w:sz w:val="16"/>
                <w:szCs w:val="16"/>
              </w:rPr>
              <w:noBreakHyphen/>
              <w:t>cigarettes may be more often used to supplement cigarette smoking. Including e</w:t>
            </w:r>
            <w:r w:rsidRPr="005D0210">
              <w:rPr>
                <w:rFonts w:eastAsia="Times New Roman" w:cs="Calibri"/>
                <w:iCs/>
                <w:sz w:val="16"/>
                <w:szCs w:val="16"/>
              </w:rPr>
              <w:noBreakHyphen/>
              <w:t>cigarettes under smoking restrictions and educating young adults about potential long</w:t>
            </w:r>
            <w:r w:rsidRPr="005D0210">
              <w:rPr>
                <w:rFonts w:eastAsia="Times New Roman" w:cs="Calibri"/>
                <w:iCs/>
                <w:sz w:val="16"/>
                <w:szCs w:val="16"/>
              </w:rPr>
              <w:noBreakHyphen/>
              <w:t>term consequences may help prevent and reduce e</w:t>
            </w:r>
            <w:r w:rsidRPr="005D0210">
              <w:rPr>
                <w:rFonts w:eastAsia="Times New Roman" w:cs="Calibri"/>
                <w:iCs/>
                <w:sz w:val="16"/>
                <w:szCs w:val="16"/>
              </w:rPr>
              <w:noBreakHyphen/>
              <w:t>cigarette use.</w:t>
            </w:r>
          </w:p>
        </w:tc>
      </w:tr>
      <w:tr w:rsidR="00781923" w:rsidRPr="005D0210" w14:paraId="6AB50633" w14:textId="77777777" w:rsidTr="004E728C">
        <w:trPr>
          <w:cnfStyle w:val="000000100000" w:firstRow="0" w:lastRow="0" w:firstColumn="0" w:lastColumn="0" w:oddVBand="0" w:evenVBand="0" w:oddHBand="1" w:evenHBand="0" w:firstRowFirstColumn="0" w:firstRowLastColumn="0" w:lastRowFirstColumn="0" w:lastRowLastColumn="0"/>
          <w:trHeight w:val="816"/>
        </w:trPr>
        <w:tc>
          <w:tcPr>
            <w:cnfStyle w:val="001000000000" w:firstRow="0" w:lastRow="0" w:firstColumn="1" w:lastColumn="0" w:oddVBand="0" w:evenVBand="0" w:oddHBand="0" w:evenHBand="0" w:firstRowFirstColumn="0" w:firstRowLastColumn="0" w:lastRowFirstColumn="0" w:lastRowLastColumn="0"/>
            <w:tcW w:w="1078" w:type="dxa"/>
            <w:hideMark/>
          </w:tcPr>
          <w:p w14:paraId="53F01C5F" w14:textId="77777777" w:rsidR="00781923" w:rsidRPr="005D0210" w:rsidRDefault="00781923" w:rsidP="004E728C">
            <w:pPr>
              <w:rPr>
                <w:rFonts w:eastAsia="Times New Roman" w:cs="Calibri"/>
                <w:sz w:val="16"/>
                <w:szCs w:val="16"/>
              </w:rPr>
            </w:pPr>
            <w:r w:rsidRPr="005D0210">
              <w:rPr>
                <w:rFonts w:eastAsia="Times New Roman" w:cs="Calibri"/>
                <w:sz w:val="16"/>
                <w:szCs w:val="16"/>
              </w:rPr>
              <w:t>Caraballo 2017</w:t>
            </w:r>
          </w:p>
        </w:tc>
        <w:tc>
          <w:tcPr>
            <w:tcW w:w="3737" w:type="dxa"/>
            <w:hideMark/>
          </w:tcPr>
          <w:p w14:paraId="3D7D37F0"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5D0210">
              <w:rPr>
                <w:rFonts w:eastAsia="Times New Roman" w:cs="Calibri"/>
                <w:sz w:val="16"/>
                <w:szCs w:val="16"/>
              </w:rPr>
              <w:t xml:space="preserve">Assessed smoking cessation attempts, methods and smoking habits. </w:t>
            </w:r>
          </w:p>
        </w:tc>
        <w:tc>
          <w:tcPr>
            <w:tcW w:w="5386" w:type="dxa"/>
            <w:hideMark/>
          </w:tcPr>
          <w:p w14:paraId="07D7BA59"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Calibri"/>
                <w:iCs/>
                <w:sz w:val="16"/>
                <w:szCs w:val="16"/>
              </w:rPr>
            </w:pPr>
            <w:r w:rsidRPr="005D0210">
              <w:rPr>
                <w:rFonts w:eastAsia="Times New Roman" w:cs="Calibri"/>
                <w:iCs/>
                <w:sz w:val="16"/>
                <w:szCs w:val="16"/>
              </w:rPr>
              <w:t>Overall, 74.7% of adult current cigarette smokers used multiple quit methods during their most recent quit attempt (Table 1). Giving up cigarettes all at once (65.3%) and gradually cutting back on cigarettes (62.0%) were the most commonly used methods to try to quit, followed by substituting some cigarettes with e</w:t>
            </w:r>
            <w:r w:rsidRPr="005D0210">
              <w:rPr>
                <w:rFonts w:eastAsia="Times New Roman" w:cs="Calibri"/>
                <w:iCs/>
                <w:sz w:val="16"/>
                <w:szCs w:val="16"/>
              </w:rPr>
              <w:noBreakHyphen/>
              <w:t>cigarettes (35.3%), using a nicotine patch or gum (25.4%), switching completely from cigarettes to e</w:t>
            </w:r>
            <w:r w:rsidRPr="005D0210">
              <w:rPr>
                <w:rFonts w:eastAsia="Times New Roman" w:cs="Calibri"/>
                <w:iCs/>
                <w:sz w:val="16"/>
                <w:szCs w:val="16"/>
              </w:rPr>
              <w:noBreakHyphen/>
              <w:t>cigarettes (24.7%), and switching from “regular” cigarettes to “mild” cigarettes (20.4%). Quit methods used less often were getting help from a doctor or other health professional (15.2%), using smoking cessation medications approved by the US Food and Drug Administration (FDA) (12.2%), and getting help from a website (7.1%) or a telephone quitline (5.4%).</w:t>
            </w:r>
          </w:p>
        </w:tc>
        <w:tc>
          <w:tcPr>
            <w:tcW w:w="993" w:type="dxa"/>
            <w:hideMark/>
          </w:tcPr>
          <w:p w14:paraId="7A1498BC"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5D0210">
              <w:rPr>
                <w:rFonts w:eastAsia="Times New Roman" w:cs="Calibri"/>
                <w:sz w:val="16"/>
                <w:szCs w:val="16"/>
              </w:rPr>
              <w:t>24</w:t>
            </w:r>
          </w:p>
        </w:tc>
        <w:tc>
          <w:tcPr>
            <w:tcW w:w="928" w:type="dxa"/>
            <w:hideMark/>
          </w:tcPr>
          <w:p w14:paraId="03344B2D"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5D0210">
              <w:rPr>
                <w:rFonts w:eastAsia="Times New Roman" w:cs="Calibri"/>
                <w:sz w:val="16"/>
                <w:szCs w:val="16"/>
              </w:rPr>
              <w:t>USA</w:t>
            </w:r>
          </w:p>
        </w:tc>
        <w:tc>
          <w:tcPr>
            <w:tcW w:w="3466" w:type="dxa"/>
            <w:hideMark/>
          </w:tcPr>
          <w:p w14:paraId="0834BFF6"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Calibri"/>
                <w:iCs/>
                <w:sz w:val="16"/>
                <w:szCs w:val="16"/>
              </w:rPr>
            </w:pPr>
            <w:r w:rsidRPr="005D0210">
              <w:rPr>
                <w:rFonts w:eastAsia="Times New Roman" w:cs="Calibri"/>
                <w:iCs/>
                <w:sz w:val="16"/>
                <w:szCs w:val="16"/>
              </w:rPr>
              <w:t>Giving up cigarettes all at once (65.3%) and reducing the number of cigarettes smoked (62.0%) were the most prevalent methods. Substituting some cigarettes with e</w:t>
            </w:r>
            <w:r w:rsidRPr="005D0210">
              <w:rPr>
                <w:rFonts w:eastAsia="Times New Roman" w:cs="Calibri"/>
                <w:iCs/>
                <w:sz w:val="16"/>
                <w:szCs w:val="16"/>
              </w:rPr>
              <w:noBreakHyphen/>
              <w:t xml:space="preserve">cigarettes was used by a greater percentage of smokers than the nicotine patch, nicotine gum, or other cessation aids approved by the US Food and Drug Administration. </w:t>
            </w:r>
          </w:p>
        </w:tc>
      </w:tr>
      <w:tr w:rsidR="00781923" w:rsidRPr="005D0210" w14:paraId="1B61D299" w14:textId="77777777" w:rsidTr="004E728C">
        <w:trPr>
          <w:trHeight w:val="558"/>
        </w:trPr>
        <w:tc>
          <w:tcPr>
            <w:cnfStyle w:val="001000000000" w:firstRow="0" w:lastRow="0" w:firstColumn="1" w:lastColumn="0" w:oddVBand="0" w:evenVBand="0" w:oddHBand="0" w:evenHBand="0" w:firstRowFirstColumn="0" w:firstRowLastColumn="0" w:lastRowFirstColumn="0" w:lastRowLastColumn="0"/>
            <w:tcW w:w="1078" w:type="dxa"/>
            <w:hideMark/>
          </w:tcPr>
          <w:p w14:paraId="3DBBCE73" w14:textId="77777777" w:rsidR="00781923" w:rsidRPr="005D0210" w:rsidRDefault="00781923" w:rsidP="004E728C">
            <w:pPr>
              <w:rPr>
                <w:rFonts w:eastAsia="Times New Roman" w:cs="Calibri"/>
                <w:color w:val="auto"/>
                <w:sz w:val="16"/>
                <w:szCs w:val="16"/>
              </w:rPr>
            </w:pPr>
            <w:r w:rsidRPr="005D0210">
              <w:rPr>
                <w:rFonts w:eastAsia="Times New Roman" w:cs="Calibri"/>
                <w:color w:val="auto"/>
                <w:sz w:val="16"/>
                <w:szCs w:val="16"/>
              </w:rPr>
              <w:t>Curry 2017</w:t>
            </w:r>
          </w:p>
        </w:tc>
        <w:tc>
          <w:tcPr>
            <w:tcW w:w="3737" w:type="dxa"/>
            <w:hideMark/>
          </w:tcPr>
          <w:p w14:paraId="68EBECF7"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5D0210">
              <w:rPr>
                <w:rFonts w:eastAsia="Times New Roman" w:cs="Calibri"/>
                <w:color w:val="auto"/>
                <w:sz w:val="16"/>
                <w:szCs w:val="16"/>
              </w:rPr>
              <w:t>Six counties each were randomly assigned to one of two treatment conditions: face</w:t>
            </w:r>
            <w:r w:rsidRPr="005D0210">
              <w:rPr>
                <w:rFonts w:eastAsia="Times New Roman" w:cs="Calibri"/>
                <w:color w:val="auto"/>
                <w:sz w:val="16"/>
                <w:szCs w:val="16"/>
              </w:rPr>
              <w:noBreakHyphen/>
              <w:t>to</w:t>
            </w:r>
            <w:r w:rsidRPr="005D0210">
              <w:rPr>
                <w:rFonts w:eastAsia="Times New Roman" w:cs="Calibri"/>
                <w:color w:val="auto"/>
                <w:sz w:val="16"/>
                <w:szCs w:val="16"/>
              </w:rPr>
              <w:noBreakHyphen/>
              <w:t>face counselling or referral to the Ohio Tobacco Quitline. Both treatment conditions included standardized cognitive</w:t>
            </w:r>
            <w:r w:rsidRPr="005D0210">
              <w:rPr>
                <w:rFonts w:eastAsia="Times New Roman" w:cs="Calibri"/>
                <w:color w:val="auto"/>
                <w:sz w:val="16"/>
                <w:szCs w:val="16"/>
              </w:rPr>
              <w:noBreakHyphen/>
              <w:t>behavioural counselling and free NRT (daily 21 mg patch for 8 weeks) as recommended by the US Public Health Service. While the aim of the trial was to assess treatment methods, none of the main treatment methods were e</w:t>
            </w:r>
            <w:r w:rsidRPr="005D0210">
              <w:rPr>
                <w:rFonts w:eastAsia="Times New Roman" w:cs="Calibri"/>
                <w:color w:val="auto"/>
                <w:sz w:val="16"/>
                <w:szCs w:val="16"/>
              </w:rPr>
              <w:noBreakHyphen/>
              <w:t xml:space="preserve">cigarettes. </w:t>
            </w:r>
          </w:p>
        </w:tc>
        <w:tc>
          <w:tcPr>
            <w:tcW w:w="5386" w:type="dxa"/>
            <w:hideMark/>
          </w:tcPr>
          <w:p w14:paraId="3DEE9BBE" w14:textId="25D157B2"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Calibri"/>
                <w:iCs/>
                <w:color w:val="auto"/>
                <w:sz w:val="16"/>
                <w:szCs w:val="16"/>
              </w:rPr>
            </w:pPr>
            <w:r w:rsidRPr="005D0210">
              <w:rPr>
                <w:rFonts w:eastAsia="Times New Roman" w:cs="Calibri"/>
                <w:iCs/>
                <w:color w:val="auto"/>
                <w:sz w:val="16"/>
                <w:szCs w:val="16"/>
              </w:rPr>
              <w:t>Four times as many participants who reported no use of e</w:t>
            </w:r>
            <w:r w:rsidRPr="005D0210">
              <w:rPr>
                <w:rFonts w:eastAsia="Times New Roman" w:cs="Calibri"/>
                <w:iCs/>
                <w:color w:val="auto"/>
                <w:sz w:val="16"/>
                <w:szCs w:val="16"/>
              </w:rPr>
              <w:noBreakHyphen/>
              <w:t>cigarettes post</w:t>
            </w:r>
            <w:r w:rsidRPr="005D0210">
              <w:rPr>
                <w:rFonts w:eastAsia="Times New Roman" w:cs="Calibri"/>
                <w:iCs/>
                <w:color w:val="auto"/>
                <w:sz w:val="16"/>
                <w:szCs w:val="16"/>
              </w:rPr>
              <w:noBreakHyphen/>
              <w:t>treatment were tobacco abstinent at 12 months, as compared to those who used post</w:t>
            </w:r>
            <w:r w:rsidRPr="005D0210">
              <w:rPr>
                <w:rFonts w:eastAsia="Times New Roman" w:cs="Calibri"/>
                <w:iCs/>
                <w:color w:val="auto"/>
                <w:sz w:val="16"/>
                <w:szCs w:val="16"/>
              </w:rPr>
              <w:noBreakHyphen/>
              <w:t>treatment (19.0% vs. 4.7%, p=0.021). This difference corresponded to an odds ratio of 0.21 comparing those who used post</w:t>
            </w:r>
            <w:r w:rsidRPr="005D0210">
              <w:rPr>
                <w:rFonts w:eastAsia="Times New Roman" w:cs="Calibri"/>
                <w:iCs/>
                <w:color w:val="auto"/>
                <w:sz w:val="16"/>
                <w:szCs w:val="16"/>
              </w:rPr>
              <w:noBreakHyphen/>
              <w:t xml:space="preserve">treatment to those who did not use post treatment (95% CI: 0.048, 0.906). </w:t>
            </w:r>
            <w:r w:rsidRPr="005D0210">
              <w:rPr>
                <w:rFonts w:eastAsia="Times New Roman" w:cs="Calibri"/>
                <w:iCs/>
                <w:color w:val="auto"/>
                <w:sz w:val="16"/>
                <w:szCs w:val="16"/>
              </w:rPr>
              <w:br/>
              <w:t>As compared to baseline and posttreatment never users (referent), participants who reported baseline use but no post</w:t>
            </w:r>
            <w:r w:rsidRPr="005D0210">
              <w:rPr>
                <w:rFonts w:eastAsia="Times New Roman" w:cs="Calibri"/>
                <w:iCs/>
                <w:color w:val="auto"/>
                <w:sz w:val="16"/>
                <w:szCs w:val="16"/>
              </w:rPr>
              <w:noBreakHyphen/>
              <w:t>treatment use had lower odds of 12</w:t>
            </w:r>
            <w:r w:rsidRPr="005D0210">
              <w:rPr>
                <w:rFonts w:eastAsia="Times New Roman" w:cs="Calibri"/>
                <w:iCs/>
                <w:color w:val="auto"/>
                <w:sz w:val="16"/>
                <w:szCs w:val="16"/>
              </w:rPr>
              <w:noBreakHyphen/>
              <w:t>month abstinence (OR=0.834; 95% CI 0.265, 2.629). Those who reported use at baseline and post</w:t>
            </w:r>
            <w:r w:rsidRPr="005D0210">
              <w:rPr>
                <w:rFonts w:eastAsia="Times New Roman" w:cs="Calibri"/>
                <w:iCs/>
                <w:color w:val="auto"/>
                <w:sz w:val="16"/>
                <w:szCs w:val="16"/>
              </w:rPr>
              <w:noBreakHyphen/>
              <w:t>treatment, as well those who used e</w:t>
            </w:r>
            <w:r w:rsidRPr="005D0210">
              <w:rPr>
                <w:rFonts w:eastAsia="Times New Roman" w:cs="Calibri"/>
                <w:iCs/>
                <w:color w:val="auto"/>
                <w:sz w:val="16"/>
                <w:szCs w:val="16"/>
              </w:rPr>
              <w:noBreakHyphen/>
              <w:t>cigarettes at post</w:t>
            </w:r>
            <w:r w:rsidRPr="005D0210">
              <w:rPr>
                <w:rFonts w:eastAsia="Times New Roman" w:cs="Calibri"/>
                <w:iCs/>
                <w:color w:val="auto"/>
                <w:sz w:val="16"/>
                <w:szCs w:val="16"/>
              </w:rPr>
              <w:noBreakHyphen/>
              <w:t>treatment only, had lower odds of 12</w:t>
            </w:r>
            <w:r w:rsidRPr="005D0210">
              <w:rPr>
                <w:rFonts w:eastAsia="Times New Roman" w:cs="Calibri"/>
                <w:iCs/>
                <w:color w:val="auto"/>
                <w:sz w:val="16"/>
                <w:szCs w:val="16"/>
              </w:rPr>
              <w:noBreakHyphen/>
              <w:t>month abstinence compared to never e</w:t>
            </w:r>
            <w:r w:rsidRPr="005D0210">
              <w:rPr>
                <w:rFonts w:eastAsia="Times New Roman" w:cs="Calibri"/>
                <w:iCs/>
                <w:color w:val="auto"/>
                <w:sz w:val="16"/>
                <w:szCs w:val="16"/>
              </w:rPr>
              <w:noBreakHyphen/>
              <w:t>cigarette users (OR=0.298; 95% CI 0.038, 2.359 and OR=0.155; 95% CI 0.020, 1.184, respectively)</w:t>
            </w:r>
            <w:r w:rsidR="00F66844">
              <w:rPr>
                <w:rFonts w:eastAsia="Times New Roman" w:cs="Calibri"/>
                <w:iCs/>
                <w:color w:val="auto"/>
                <w:sz w:val="16"/>
                <w:szCs w:val="16"/>
              </w:rPr>
              <w:t>.</w:t>
            </w:r>
          </w:p>
        </w:tc>
        <w:tc>
          <w:tcPr>
            <w:tcW w:w="993" w:type="dxa"/>
            <w:hideMark/>
          </w:tcPr>
          <w:p w14:paraId="05D9A3F7"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5D0210">
              <w:rPr>
                <w:rFonts w:eastAsia="Times New Roman" w:cs="Calibri"/>
                <w:color w:val="auto"/>
                <w:sz w:val="16"/>
                <w:szCs w:val="16"/>
              </w:rPr>
              <w:t>12</w:t>
            </w:r>
          </w:p>
        </w:tc>
        <w:tc>
          <w:tcPr>
            <w:tcW w:w="928" w:type="dxa"/>
            <w:hideMark/>
          </w:tcPr>
          <w:p w14:paraId="0973E957"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5D0210">
              <w:rPr>
                <w:rFonts w:eastAsia="Times New Roman" w:cs="Calibri"/>
                <w:color w:val="auto"/>
                <w:sz w:val="16"/>
                <w:szCs w:val="16"/>
              </w:rPr>
              <w:t>USA</w:t>
            </w:r>
          </w:p>
        </w:tc>
        <w:tc>
          <w:tcPr>
            <w:tcW w:w="3466" w:type="dxa"/>
            <w:hideMark/>
          </w:tcPr>
          <w:p w14:paraId="3ECB6155"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Calibri"/>
                <w:iCs/>
                <w:color w:val="auto"/>
                <w:sz w:val="16"/>
                <w:szCs w:val="16"/>
              </w:rPr>
            </w:pPr>
            <w:r w:rsidRPr="005D0210">
              <w:rPr>
                <w:rFonts w:eastAsia="Times New Roman" w:cs="Calibri"/>
                <w:iCs/>
                <w:color w:val="auto"/>
                <w:sz w:val="16"/>
                <w:szCs w:val="16"/>
              </w:rPr>
              <w:t>Among adult Appalachian smokers enrolled in community</w:t>
            </w:r>
            <w:r w:rsidRPr="005D0210">
              <w:rPr>
                <w:rFonts w:eastAsia="Times New Roman" w:cs="Calibri"/>
                <w:iCs/>
                <w:color w:val="auto"/>
                <w:sz w:val="16"/>
                <w:szCs w:val="16"/>
              </w:rPr>
              <w:noBreakHyphen/>
              <w:t>based tobacco cessation treatment, use of e</w:t>
            </w:r>
            <w:r w:rsidRPr="005D0210">
              <w:rPr>
                <w:rFonts w:eastAsia="Times New Roman" w:cs="Calibri"/>
                <w:iCs/>
                <w:color w:val="auto"/>
                <w:sz w:val="16"/>
                <w:szCs w:val="16"/>
              </w:rPr>
              <w:noBreakHyphen/>
              <w:t>cigarettes post</w:t>
            </w:r>
            <w:r w:rsidRPr="005D0210">
              <w:rPr>
                <w:rFonts w:eastAsia="Times New Roman" w:cs="Calibri"/>
                <w:iCs/>
                <w:color w:val="auto"/>
                <w:sz w:val="16"/>
                <w:szCs w:val="16"/>
              </w:rPr>
              <w:noBreakHyphen/>
              <w:t>treatment was associated with lower abstinence rates at 12 months.</w:t>
            </w:r>
          </w:p>
        </w:tc>
      </w:tr>
      <w:tr w:rsidR="00781923" w:rsidRPr="005D0210" w14:paraId="376131CE" w14:textId="77777777" w:rsidTr="004E728C">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1078" w:type="dxa"/>
            <w:hideMark/>
          </w:tcPr>
          <w:p w14:paraId="12D8ED75" w14:textId="77777777" w:rsidR="00781923" w:rsidRPr="005D0210" w:rsidRDefault="00781923" w:rsidP="004E728C">
            <w:pPr>
              <w:rPr>
                <w:rFonts w:eastAsia="Times New Roman" w:cs="Calibri"/>
                <w:sz w:val="16"/>
                <w:szCs w:val="16"/>
              </w:rPr>
            </w:pPr>
            <w:r w:rsidRPr="005D0210">
              <w:rPr>
                <w:rFonts w:eastAsia="Times New Roman" w:cs="Calibri"/>
                <w:sz w:val="16"/>
                <w:szCs w:val="16"/>
              </w:rPr>
              <w:t>Etter 2017</w:t>
            </w:r>
          </w:p>
        </w:tc>
        <w:tc>
          <w:tcPr>
            <w:tcW w:w="3737" w:type="dxa"/>
            <w:hideMark/>
          </w:tcPr>
          <w:p w14:paraId="271A6BFC"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5D0210">
              <w:rPr>
                <w:rFonts w:eastAsia="Times New Roman" w:cs="Calibri"/>
                <w:sz w:val="16"/>
                <w:szCs w:val="16"/>
              </w:rPr>
              <w:t>Assessed: e</w:t>
            </w:r>
            <w:r w:rsidRPr="005D0210">
              <w:rPr>
                <w:rFonts w:eastAsia="Times New Roman" w:cs="Calibri"/>
                <w:sz w:val="16"/>
                <w:szCs w:val="16"/>
              </w:rPr>
              <w:noBreakHyphen/>
              <w:t>cigarettes use; reasons to vape; perceived difficulty to stop vaping; addiction to e</w:t>
            </w:r>
            <w:r w:rsidRPr="005D0210">
              <w:rPr>
                <w:rFonts w:eastAsia="Times New Roman" w:cs="Calibri"/>
                <w:sz w:val="16"/>
                <w:szCs w:val="16"/>
              </w:rPr>
              <w:noBreakHyphen/>
              <w:t xml:space="preserve">cigarette; strength and frequency of urges to vape; Smoking </w:t>
            </w:r>
            <w:r w:rsidRPr="005D0210">
              <w:rPr>
                <w:rFonts w:eastAsia="Times New Roman" w:cs="Calibri"/>
                <w:sz w:val="16"/>
                <w:szCs w:val="16"/>
              </w:rPr>
              <w:lastRenderedPageBreak/>
              <w:t>behaviour; Tobacco withdrawal symptoms and body weight.</w:t>
            </w:r>
          </w:p>
        </w:tc>
        <w:tc>
          <w:tcPr>
            <w:tcW w:w="5386" w:type="dxa"/>
            <w:hideMark/>
          </w:tcPr>
          <w:p w14:paraId="3BAD6B27"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Calibri"/>
                <w:iCs/>
                <w:sz w:val="16"/>
                <w:szCs w:val="16"/>
              </w:rPr>
            </w:pPr>
            <w:r w:rsidRPr="005D0210">
              <w:rPr>
                <w:rFonts w:eastAsia="Times New Roman" w:cs="Calibri"/>
                <w:iCs/>
                <w:sz w:val="16"/>
                <w:szCs w:val="16"/>
              </w:rPr>
              <w:lastRenderedPageBreak/>
              <w:t>In exclusive vapers (ex</w:t>
            </w:r>
            <w:r w:rsidRPr="005D0210">
              <w:rPr>
                <w:rFonts w:eastAsia="Times New Roman" w:cs="Calibri"/>
                <w:iCs/>
                <w:sz w:val="16"/>
                <w:szCs w:val="16"/>
              </w:rPr>
              <w:noBreakHyphen/>
              <w:t>smokers), nicotine concentration in e</w:t>
            </w:r>
            <w:r w:rsidRPr="005D0210">
              <w:rPr>
                <w:rFonts w:eastAsia="Times New Roman" w:cs="Calibri"/>
                <w:iCs/>
                <w:sz w:val="16"/>
                <w:szCs w:val="16"/>
              </w:rPr>
              <w:noBreakHyphen/>
              <w:t xml:space="preserve">liquids decreased over time (from 12 to 9 mg/mL), but puffs/day remained stable (200 puffs/day). After 12 months, 9% of 687 former smokers relapsed to smoking and 28% of 64 daily smokers (dual users) stopped smoking. After 12 months, when participants stopped vaping, they tended to relapse to smoking (+18% daily </w:t>
            </w:r>
            <w:r w:rsidRPr="005D0210">
              <w:rPr>
                <w:rFonts w:eastAsia="Times New Roman" w:cs="Calibri"/>
                <w:iCs/>
                <w:sz w:val="16"/>
                <w:szCs w:val="16"/>
              </w:rPr>
              <w:lastRenderedPageBreak/>
              <w:t xml:space="preserve">smokers among those who stopped vaping versus </w:t>
            </w:r>
            <w:r w:rsidRPr="005D0210">
              <w:rPr>
                <w:rFonts w:eastAsia="Times New Roman" w:cs="Calibri"/>
                <w:iCs/>
                <w:sz w:val="16"/>
                <w:szCs w:val="16"/>
              </w:rPr>
              <w:noBreakHyphen/>
              <w:t>2% in permanent vapers, p&lt;0.001). When ex</w:t>
            </w:r>
            <w:r w:rsidRPr="005D0210">
              <w:rPr>
                <w:rFonts w:eastAsia="Times New Roman" w:cs="Calibri"/>
                <w:iCs/>
                <w:sz w:val="16"/>
                <w:szCs w:val="16"/>
              </w:rPr>
              <w:noBreakHyphen/>
              <w:t>smokers relapsed to smoking, they tended to stop vaping.</w:t>
            </w:r>
          </w:p>
        </w:tc>
        <w:tc>
          <w:tcPr>
            <w:tcW w:w="993" w:type="dxa"/>
            <w:hideMark/>
          </w:tcPr>
          <w:p w14:paraId="06F49163"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5D0210">
              <w:rPr>
                <w:rFonts w:eastAsia="Times New Roman" w:cs="Calibri"/>
                <w:sz w:val="16"/>
                <w:szCs w:val="16"/>
              </w:rPr>
              <w:lastRenderedPageBreak/>
              <w:t>12</w:t>
            </w:r>
          </w:p>
        </w:tc>
        <w:tc>
          <w:tcPr>
            <w:tcW w:w="928" w:type="dxa"/>
            <w:hideMark/>
          </w:tcPr>
          <w:p w14:paraId="6F7A2AC0"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5D0210">
              <w:rPr>
                <w:rFonts w:eastAsia="Times New Roman" w:cs="Calibri"/>
                <w:sz w:val="16"/>
                <w:szCs w:val="16"/>
              </w:rPr>
              <w:t>Switzerland</w:t>
            </w:r>
          </w:p>
        </w:tc>
        <w:tc>
          <w:tcPr>
            <w:tcW w:w="3466" w:type="dxa"/>
            <w:hideMark/>
          </w:tcPr>
          <w:p w14:paraId="3CC6F2E6"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Calibri"/>
                <w:iCs/>
                <w:sz w:val="16"/>
                <w:szCs w:val="16"/>
              </w:rPr>
            </w:pPr>
            <w:r w:rsidRPr="005D0210">
              <w:rPr>
                <w:rFonts w:eastAsia="Times New Roman" w:cs="Calibri"/>
                <w:iCs/>
                <w:sz w:val="16"/>
                <w:szCs w:val="16"/>
              </w:rPr>
              <w:t xml:space="preserve">After 12 months, enjoyment and relapse prevention were the most important reasons to vape. Rates of relapse to smoking were low in former smokers and quit rates were high in </w:t>
            </w:r>
            <w:r w:rsidRPr="005D0210">
              <w:rPr>
                <w:rFonts w:eastAsia="Times New Roman" w:cs="Calibri"/>
                <w:iCs/>
                <w:sz w:val="16"/>
                <w:szCs w:val="16"/>
              </w:rPr>
              <w:lastRenderedPageBreak/>
              <w:t>current smokers. Stopping vaping was associated with relapsing to smoking.</w:t>
            </w:r>
          </w:p>
        </w:tc>
      </w:tr>
      <w:tr w:rsidR="00781923" w:rsidRPr="005D0210" w14:paraId="2C2E2B6D" w14:textId="77777777" w:rsidTr="004E728C">
        <w:trPr>
          <w:trHeight w:val="147"/>
        </w:trPr>
        <w:tc>
          <w:tcPr>
            <w:cnfStyle w:val="001000000000" w:firstRow="0" w:lastRow="0" w:firstColumn="1" w:lastColumn="0" w:oddVBand="0" w:evenVBand="0" w:oddHBand="0" w:evenHBand="0" w:firstRowFirstColumn="0" w:firstRowLastColumn="0" w:lastRowFirstColumn="0" w:lastRowLastColumn="0"/>
            <w:tcW w:w="1078" w:type="dxa"/>
            <w:hideMark/>
          </w:tcPr>
          <w:p w14:paraId="26C073EB" w14:textId="77777777" w:rsidR="00781923" w:rsidRPr="005D0210" w:rsidRDefault="00781923" w:rsidP="004E728C">
            <w:pPr>
              <w:rPr>
                <w:rFonts w:eastAsia="Times New Roman" w:cs="Calibri"/>
                <w:sz w:val="16"/>
                <w:szCs w:val="16"/>
              </w:rPr>
            </w:pPr>
            <w:r w:rsidRPr="005D0210">
              <w:rPr>
                <w:rFonts w:eastAsia="Times New Roman" w:cs="Calibri"/>
                <w:sz w:val="16"/>
                <w:szCs w:val="16"/>
              </w:rPr>
              <w:lastRenderedPageBreak/>
              <w:t>Pasquereau 2017</w:t>
            </w:r>
          </w:p>
        </w:tc>
        <w:tc>
          <w:tcPr>
            <w:tcW w:w="3737" w:type="dxa"/>
            <w:hideMark/>
          </w:tcPr>
          <w:p w14:paraId="402BCE2C"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Calibri"/>
                <w:iCs/>
                <w:sz w:val="16"/>
                <w:szCs w:val="16"/>
              </w:rPr>
            </w:pPr>
            <w:r w:rsidRPr="005D0210">
              <w:rPr>
                <w:rFonts w:eastAsia="Times New Roman" w:cs="Calibri"/>
                <w:iCs/>
                <w:sz w:val="16"/>
                <w:szCs w:val="16"/>
              </w:rPr>
              <w:t>The three outcomes assessed at 6 months were: a minimum 50% reduction in the number of cigarettes smoked per day, quit attempts of at least 7 days and smoking cessation of at least 7 days at the time of follow</w:t>
            </w:r>
            <w:r w:rsidRPr="005D0210">
              <w:rPr>
                <w:rFonts w:eastAsia="Times New Roman" w:cs="Calibri"/>
                <w:iCs/>
                <w:sz w:val="16"/>
                <w:szCs w:val="16"/>
              </w:rPr>
              <w:noBreakHyphen/>
              <w:t xml:space="preserve">up. </w:t>
            </w:r>
          </w:p>
        </w:tc>
        <w:tc>
          <w:tcPr>
            <w:tcW w:w="5386" w:type="dxa"/>
            <w:hideMark/>
          </w:tcPr>
          <w:p w14:paraId="6B91329E"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Calibri"/>
                <w:iCs/>
                <w:sz w:val="16"/>
                <w:szCs w:val="16"/>
              </w:rPr>
            </w:pPr>
            <w:r w:rsidRPr="005D0210">
              <w:rPr>
                <w:rFonts w:eastAsia="Times New Roman" w:cs="Calibri"/>
                <w:iCs/>
                <w:sz w:val="16"/>
                <w:szCs w:val="16"/>
              </w:rPr>
              <w:t>Baseline dual users were more likely than baseline exclusive tobacco smokers to have halved cigarette consumption [25.9 versus 11.2%, p&lt;0.001, adjusted odds ratio (aOR)=2.6, confidence interval (CI)=1.8– 3.8]. Dual users at baseline were also more likely to have made a quit attempt of at least 7 days (22.8 versus 10.9%, p&lt;0.001, aOR=1.8, CI=1.2–2.6). No significant difference was found for 7</w:t>
            </w:r>
            <w:r w:rsidRPr="005D0210">
              <w:rPr>
                <w:rFonts w:eastAsia="Times New Roman" w:cs="Calibri"/>
                <w:iCs/>
                <w:sz w:val="16"/>
                <w:szCs w:val="16"/>
              </w:rPr>
              <w:noBreakHyphen/>
              <w:t xml:space="preserve">day cessation rates at 6 months (12.5 versus 9.5%, p=0.18, aOR=1.2, CI=0.8–1.9). </w:t>
            </w:r>
          </w:p>
        </w:tc>
        <w:tc>
          <w:tcPr>
            <w:tcW w:w="993" w:type="dxa"/>
            <w:hideMark/>
          </w:tcPr>
          <w:p w14:paraId="3C4FBFED"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5D0210">
              <w:rPr>
                <w:rFonts w:eastAsia="Times New Roman" w:cs="Calibri"/>
                <w:sz w:val="16"/>
                <w:szCs w:val="16"/>
              </w:rPr>
              <w:t>6</w:t>
            </w:r>
          </w:p>
        </w:tc>
        <w:tc>
          <w:tcPr>
            <w:tcW w:w="928" w:type="dxa"/>
            <w:hideMark/>
          </w:tcPr>
          <w:p w14:paraId="5A82A98F"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5D0210">
              <w:rPr>
                <w:rFonts w:eastAsia="Times New Roman" w:cs="Calibri"/>
                <w:sz w:val="16"/>
                <w:szCs w:val="16"/>
              </w:rPr>
              <w:t>France</w:t>
            </w:r>
          </w:p>
        </w:tc>
        <w:tc>
          <w:tcPr>
            <w:tcW w:w="3466" w:type="dxa"/>
            <w:hideMark/>
          </w:tcPr>
          <w:p w14:paraId="61AFB135"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Calibri"/>
                <w:iCs/>
                <w:sz w:val="16"/>
                <w:szCs w:val="16"/>
              </w:rPr>
            </w:pPr>
            <w:r w:rsidRPr="005D0210">
              <w:rPr>
                <w:rFonts w:eastAsia="Times New Roman" w:cs="Calibri"/>
                <w:iCs/>
                <w:sz w:val="16"/>
                <w:szCs w:val="16"/>
              </w:rPr>
              <w:t>Among people who smoke, those also using an e</w:t>
            </w:r>
            <w:r w:rsidRPr="005D0210">
              <w:rPr>
                <w:rFonts w:eastAsia="Times New Roman" w:cs="Calibri"/>
                <w:iCs/>
                <w:sz w:val="16"/>
                <w:szCs w:val="16"/>
              </w:rPr>
              <w:noBreakHyphen/>
              <w:t>cigarette regularly are more likely to try to quit smoking and reduce their cigarette consumption during the next 6 months. It remains unclear whether regular e</w:t>
            </w:r>
            <w:r w:rsidRPr="005D0210">
              <w:rPr>
                <w:rFonts w:eastAsia="Times New Roman" w:cs="Calibri"/>
                <w:iCs/>
                <w:sz w:val="16"/>
                <w:szCs w:val="16"/>
              </w:rPr>
              <w:noBreakHyphen/>
              <w:t>cigarette users are also more likely to stop smoking.</w:t>
            </w:r>
          </w:p>
        </w:tc>
      </w:tr>
      <w:tr w:rsidR="00781923" w:rsidRPr="005D0210" w14:paraId="317803C9" w14:textId="77777777" w:rsidTr="004E728C">
        <w:trPr>
          <w:cnfStyle w:val="000000100000" w:firstRow="0" w:lastRow="0" w:firstColumn="0" w:lastColumn="0" w:oddVBand="0" w:evenVBand="0" w:oddHBand="1" w:evenHBand="0" w:firstRowFirstColumn="0" w:firstRowLastColumn="0" w:lastRowFirstColumn="0" w:lastRowLastColumn="0"/>
          <w:trHeight w:val="785"/>
        </w:trPr>
        <w:tc>
          <w:tcPr>
            <w:cnfStyle w:val="001000000000" w:firstRow="0" w:lastRow="0" w:firstColumn="1" w:lastColumn="0" w:oddVBand="0" w:evenVBand="0" w:oddHBand="0" w:evenHBand="0" w:firstRowFirstColumn="0" w:firstRowLastColumn="0" w:lastRowFirstColumn="0" w:lastRowLastColumn="0"/>
            <w:tcW w:w="1078" w:type="dxa"/>
            <w:hideMark/>
          </w:tcPr>
          <w:p w14:paraId="0244C107" w14:textId="77777777" w:rsidR="00781923" w:rsidRPr="005D0210" w:rsidRDefault="00781923" w:rsidP="004E728C">
            <w:pPr>
              <w:rPr>
                <w:rFonts w:eastAsia="Times New Roman" w:cs="Calibri"/>
                <w:sz w:val="16"/>
                <w:szCs w:val="16"/>
              </w:rPr>
            </w:pPr>
            <w:r w:rsidRPr="005D0210">
              <w:rPr>
                <w:rFonts w:eastAsia="Times New Roman" w:cs="Calibri"/>
                <w:sz w:val="16"/>
                <w:szCs w:val="16"/>
              </w:rPr>
              <w:t>Pulvers 2018</w:t>
            </w:r>
          </w:p>
        </w:tc>
        <w:tc>
          <w:tcPr>
            <w:tcW w:w="3737" w:type="dxa"/>
            <w:hideMark/>
          </w:tcPr>
          <w:p w14:paraId="22ADE783"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Calibri"/>
                <w:iCs/>
                <w:sz w:val="16"/>
                <w:szCs w:val="16"/>
              </w:rPr>
            </w:pPr>
            <w:r w:rsidRPr="005D0210">
              <w:rPr>
                <w:rFonts w:eastAsia="Times New Roman" w:cs="Calibri"/>
                <w:iCs/>
                <w:sz w:val="16"/>
                <w:szCs w:val="16"/>
              </w:rPr>
              <w:t>4</w:t>
            </w:r>
            <w:r w:rsidRPr="005D0210">
              <w:rPr>
                <w:rFonts w:eastAsia="Times New Roman" w:cs="Calibri"/>
                <w:iCs/>
                <w:sz w:val="16"/>
                <w:szCs w:val="16"/>
              </w:rPr>
              <w:noBreakHyphen/>
              <w:t>week observational study and provided an e</w:t>
            </w:r>
            <w:r w:rsidRPr="005D0210">
              <w:rPr>
                <w:rFonts w:eastAsia="Times New Roman" w:cs="Calibri"/>
                <w:iCs/>
                <w:sz w:val="16"/>
                <w:szCs w:val="16"/>
              </w:rPr>
              <w:noBreakHyphen/>
              <w:t>Go C non</w:t>
            </w:r>
            <w:r w:rsidRPr="005D0210">
              <w:rPr>
                <w:rFonts w:eastAsia="Times New Roman" w:cs="Calibri"/>
                <w:iCs/>
                <w:sz w:val="16"/>
                <w:szCs w:val="16"/>
              </w:rPr>
              <w:noBreakHyphen/>
              <w:t>variable battery and refillable atomizers and choice of eight flavours in 12 or 24 mg nicotine dosage. Measurement of urinary cotinine (metabolite of nicotine), 4</w:t>
            </w:r>
            <w:r w:rsidRPr="005D0210">
              <w:rPr>
                <w:rFonts w:eastAsia="Times New Roman" w:cs="Calibri"/>
                <w:iCs/>
                <w:sz w:val="16"/>
                <w:szCs w:val="16"/>
              </w:rPr>
              <w:noBreakHyphen/>
              <w:t>(methylnitrosamino)</w:t>
            </w:r>
            <w:r w:rsidRPr="005D0210">
              <w:rPr>
                <w:rFonts w:eastAsia="Times New Roman" w:cs="Calibri"/>
                <w:iCs/>
                <w:sz w:val="16"/>
                <w:szCs w:val="16"/>
              </w:rPr>
              <w:noBreakHyphen/>
              <w:t>1</w:t>
            </w:r>
            <w:r w:rsidRPr="005D0210">
              <w:rPr>
                <w:rFonts w:eastAsia="Times New Roman" w:cs="Calibri"/>
                <w:iCs/>
                <w:sz w:val="16"/>
                <w:szCs w:val="16"/>
              </w:rPr>
              <w:noBreakHyphen/>
              <w:t>(3pyridyl)</w:t>
            </w:r>
            <w:r w:rsidRPr="005D0210">
              <w:rPr>
                <w:rFonts w:eastAsia="Times New Roman" w:cs="Calibri"/>
                <w:iCs/>
                <w:sz w:val="16"/>
                <w:szCs w:val="16"/>
              </w:rPr>
              <w:noBreakHyphen/>
              <w:t>1</w:t>
            </w:r>
            <w:r w:rsidRPr="005D0210">
              <w:rPr>
                <w:rFonts w:eastAsia="Times New Roman" w:cs="Calibri"/>
                <w:iCs/>
                <w:sz w:val="16"/>
                <w:szCs w:val="16"/>
              </w:rPr>
              <w:noBreakHyphen/>
              <w:t>butanol (NNAL; a pulmonary carcinogen), and eight volatile organic compounds (VOCs) that are toxic tobacco smoke constituents was conducted at baseline and week 4.</w:t>
            </w:r>
          </w:p>
        </w:tc>
        <w:tc>
          <w:tcPr>
            <w:tcW w:w="5386" w:type="dxa"/>
            <w:hideMark/>
          </w:tcPr>
          <w:p w14:paraId="04974864"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Calibri"/>
                <w:iCs/>
                <w:sz w:val="16"/>
                <w:szCs w:val="16"/>
              </w:rPr>
            </w:pPr>
            <w:r w:rsidRPr="005D0210">
              <w:rPr>
                <w:rFonts w:eastAsia="Times New Roman" w:cs="Calibri"/>
                <w:iCs/>
                <w:sz w:val="16"/>
                <w:szCs w:val="16"/>
              </w:rPr>
              <w:t>All participants with follow</w:t>
            </w:r>
            <w:r w:rsidRPr="005D0210">
              <w:rPr>
                <w:rFonts w:eastAsia="Times New Roman" w:cs="Calibri"/>
                <w:iCs/>
                <w:sz w:val="16"/>
                <w:szCs w:val="16"/>
              </w:rPr>
              <w:noBreakHyphen/>
              <w:t>up data (92.5%) reported using the study EC. Of the 40 smokers, 16 reported no cigarettes at week 2 (40%) and six continued to report no cigarettes at week 4 (15%). Change in nicotine intake over the 4 weeks was non</w:t>
            </w:r>
            <w:r w:rsidRPr="005D0210">
              <w:rPr>
                <w:rFonts w:eastAsia="Times New Roman" w:cs="Calibri"/>
                <w:iCs/>
                <w:sz w:val="16"/>
                <w:szCs w:val="16"/>
              </w:rPr>
              <w:noBreakHyphen/>
              <w:t>significant (p=0.90). Carbon monoxide (p&lt;0.001), NNAL (p&lt;0.01) and metabolites of benzene (p&lt;0.01) and acrylonitrile (p=0.001) were significantly decreased in the study sample. Smokers switching exclusively to ECs for at least half of the study period demonstrated significant reductions in metabolites of ethylene oxide (p=0.03) and acrylamide (p&lt;0.01).</w:t>
            </w:r>
          </w:p>
        </w:tc>
        <w:tc>
          <w:tcPr>
            <w:tcW w:w="993" w:type="dxa"/>
            <w:hideMark/>
          </w:tcPr>
          <w:p w14:paraId="3AC0C67F"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5D0210">
              <w:rPr>
                <w:rFonts w:eastAsia="Times New Roman" w:cs="Calibri"/>
                <w:sz w:val="16"/>
                <w:szCs w:val="16"/>
              </w:rPr>
              <w:t>1</w:t>
            </w:r>
          </w:p>
        </w:tc>
        <w:tc>
          <w:tcPr>
            <w:tcW w:w="928" w:type="dxa"/>
            <w:hideMark/>
          </w:tcPr>
          <w:p w14:paraId="108BC963"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5D0210">
              <w:rPr>
                <w:rFonts w:eastAsia="Times New Roman" w:cs="Calibri"/>
                <w:sz w:val="16"/>
                <w:szCs w:val="16"/>
              </w:rPr>
              <w:t>San Diego, USA</w:t>
            </w:r>
          </w:p>
        </w:tc>
        <w:tc>
          <w:tcPr>
            <w:tcW w:w="3466" w:type="dxa"/>
            <w:hideMark/>
          </w:tcPr>
          <w:p w14:paraId="5DB986DF"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Calibri"/>
                <w:iCs/>
                <w:sz w:val="16"/>
                <w:szCs w:val="16"/>
              </w:rPr>
            </w:pPr>
            <w:r w:rsidRPr="005D0210">
              <w:rPr>
                <w:rFonts w:eastAsia="Times New Roman" w:cs="Calibri"/>
                <w:iCs/>
                <w:sz w:val="16"/>
                <w:szCs w:val="16"/>
              </w:rPr>
              <w:t>Smokers using ECs over 4 weeks maintained cotinine levels and experienced significant reductions in carbon monoxide, NNAL, and two out of eight measured VOC metabolites. Those who switched exclusively to ECs for at least half of the study period significantly reduced two additional VOCs.</w:t>
            </w:r>
          </w:p>
        </w:tc>
      </w:tr>
      <w:tr w:rsidR="00781923" w:rsidRPr="005D0210" w14:paraId="078F07EA" w14:textId="77777777" w:rsidTr="004E728C">
        <w:trPr>
          <w:trHeight w:val="785"/>
        </w:trPr>
        <w:tc>
          <w:tcPr>
            <w:cnfStyle w:val="001000000000" w:firstRow="0" w:lastRow="0" w:firstColumn="1" w:lastColumn="0" w:oddVBand="0" w:evenVBand="0" w:oddHBand="0" w:evenHBand="0" w:firstRowFirstColumn="0" w:firstRowLastColumn="0" w:lastRowFirstColumn="0" w:lastRowLastColumn="0"/>
            <w:tcW w:w="1078" w:type="dxa"/>
          </w:tcPr>
          <w:p w14:paraId="643609A3" w14:textId="77777777" w:rsidR="00781923" w:rsidRPr="005D0210" w:rsidRDefault="00781923" w:rsidP="004E728C">
            <w:pPr>
              <w:rPr>
                <w:rFonts w:eastAsia="Times New Roman" w:cs="Calibri"/>
                <w:sz w:val="16"/>
                <w:szCs w:val="16"/>
              </w:rPr>
            </w:pPr>
            <w:r w:rsidRPr="005D0210">
              <w:rPr>
                <w:rFonts w:cs="Calibri"/>
                <w:sz w:val="16"/>
                <w:szCs w:val="16"/>
              </w:rPr>
              <w:t>Rigotti 2018</w:t>
            </w:r>
          </w:p>
        </w:tc>
        <w:tc>
          <w:tcPr>
            <w:tcW w:w="3737" w:type="dxa"/>
          </w:tcPr>
          <w:p w14:paraId="081CA755"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Calibri"/>
                <w:iCs/>
                <w:sz w:val="16"/>
                <w:szCs w:val="16"/>
              </w:rPr>
            </w:pPr>
            <w:r w:rsidRPr="005D0210">
              <w:rPr>
                <w:rFonts w:cs="Calibri"/>
                <w:sz w:val="16"/>
                <w:szCs w:val="16"/>
              </w:rPr>
              <w:t>Data collected: demographic factors</w:t>
            </w:r>
            <w:r w:rsidRPr="005D0210">
              <w:rPr>
                <w:rFonts w:cs="Calibri"/>
                <w:sz w:val="16"/>
                <w:szCs w:val="16"/>
              </w:rPr>
              <w:br/>
              <w:t>(age, sex, race/ethnicity, and education), health insurance status, nicotine dependence (number of cigarettes per day and time to first cigarette after awakening [19]), prior use of tobacco cessation treatment, perceived importance of and confidence in quitting (5point Likert scales), post discharge intention to quit (plan to remain abstinent vs. plan to try to remain abstinent), presence of another smoker at home, screening for alcohol abuse (Alcohol Use Disorders Identification Test), illicit drug use in the past 30 days, and depression and anxiety symptoms (Patient Health Questionnaire</w:t>
            </w:r>
            <w:r w:rsidRPr="005D0210">
              <w:rPr>
                <w:rFonts w:cs="Calibri"/>
                <w:sz w:val="16"/>
                <w:szCs w:val="16"/>
              </w:rPr>
              <w:noBreakHyphen/>
              <w:t>4 [PHQ</w:t>
            </w:r>
            <w:r w:rsidRPr="005D0210">
              <w:rPr>
                <w:rFonts w:cs="Calibri"/>
                <w:sz w:val="16"/>
                <w:szCs w:val="16"/>
              </w:rPr>
              <w:noBreakHyphen/>
              <w:t>4]). Also collected saliva sample for cotinine test and CO testing if using nicotine replacement therapies or e</w:t>
            </w:r>
            <w:r w:rsidRPr="005D0210">
              <w:rPr>
                <w:rFonts w:cs="Calibri"/>
                <w:sz w:val="16"/>
                <w:szCs w:val="16"/>
              </w:rPr>
              <w:noBreakHyphen/>
              <w:t>cigarettes.</w:t>
            </w:r>
          </w:p>
        </w:tc>
        <w:tc>
          <w:tcPr>
            <w:tcW w:w="5386" w:type="dxa"/>
          </w:tcPr>
          <w:p w14:paraId="4E4C17AF"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Calibri"/>
                <w:iCs/>
                <w:sz w:val="16"/>
                <w:szCs w:val="16"/>
              </w:rPr>
            </w:pPr>
            <w:r w:rsidRPr="005D0210">
              <w:rPr>
                <w:rFonts w:cs="Calibri"/>
                <w:sz w:val="16"/>
                <w:szCs w:val="16"/>
              </w:rPr>
              <w:t>75% follow</w:t>
            </w:r>
            <w:r w:rsidRPr="005D0210">
              <w:rPr>
                <w:rFonts w:cs="Calibri"/>
                <w:sz w:val="16"/>
                <w:szCs w:val="16"/>
              </w:rPr>
              <w:noBreakHyphen/>
              <w:t>up rate. Used propensity score matching to compare e</w:t>
            </w:r>
            <w:r w:rsidRPr="005D0210">
              <w:rPr>
                <w:rFonts w:cs="Calibri"/>
                <w:sz w:val="16"/>
                <w:szCs w:val="16"/>
              </w:rPr>
              <w:noBreakHyphen/>
              <w:t>cigarette use and smoking cessation. Found that those who used e</w:t>
            </w:r>
            <w:r w:rsidRPr="005D0210">
              <w:rPr>
                <w:rFonts w:cs="Calibri"/>
                <w:sz w:val="16"/>
                <w:szCs w:val="16"/>
              </w:rPr>
              <w:noBreakHyphen/>
              <w:t>cigarette within the first 3 months were less likely to be biochemically abstinent at 6 months than those not using e</w:t>
            </w:r>
            <w:r w:rsidRPr="005D0210">
              <w:rPr>
                <w:rFonts w:cs="Calibri"/>
                <w:sz w:val="16"/>
                <w:szCs w:val="16"/>
              </w:rPr>
              <w:noBreakHyphen/>
              <w:t xml:space="preserve">cigarettes (10.1% vs. 26.6%; risk difference, </w:t>
            </w:r>
            <w:r w:rsidRPr="005D0210">
              <w:rPr>
                <w:rFonts w:cs="Calibri"/>
                <w:sz w:val="16"/>
                <w:szCs w:val="16"/>
              </w:rPr>
              <w:noBreakHyphen/>
              <w:t xml:space="preserve">16.5% [95% CI, </w:t>
            </w:r>
            <w:r w:rsidRPr="005D0210">
              <w:rPr>
                <w:rFonts w:cs="Calibri"/>
                <w:sz w:val="16"/>
                <w:szCs w:val="16"/>
              </w:rPr>
              <w:noBreakHyphen/>
              <w:t xml:space="preserve">23.3% to </w:t>
            </w:r>
            <w:r w:rsidRPr="005D0210">
              <w:rPr>
                <w:rFonts w:cs="Calibri"/>
                <w:sz w:val="16"/>
                <w:szCs w:val="16"/>
              </w:rPr>
              <w:noBreakHyphen/>
              <w:t xml:space="preserve">9.6%]). </w:t>
            </w:r>
          </w:p>
        </w:tc>
        <w:tc>
          <w:tcPr>
            <w:tcW w:w="993" w:type="dxa"/>
          </w:tcPr>
          <w:p w14:paraId="58356A11"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5D0210">
              <w:rPr>
                <w:rFonts w:cs="Calibri"/>
                <w:sz w:val="16"/>
                <w:szCs w:val="16"/>
              </w:rPr>
              <w:t xml:space="preserve">1, 3, 6 </w:t>
            </w:r>
          </w:p>
        </w:tc>
        <w:tc>
          <w:tcPr>
            <w:tcW w:w="928" w:type="dxa"/>
          </w:tcPr>
          <w:p w14:paraId="1432F1AF"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5D0210">
              <w:rPr>
                <w:rFonts w:cs="Calibri"/>
                <w:sz w:val="16"/>
                <w:szCs w:val="16"/>
              </w:rPr>
              <w:t>USA</w:t>
            </w:r>
          </w:p>
        </w:tc>
        <w:tc>
          <w:tcPr>
            <w:tcW w:w="3466" w:type="dxa"/>
          </w:tcPr>
          <w:p w14:paraId="016E8272"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Calibri"/>
                <w:iCs/>
                <w:sz w:val="16"/>
                <w:szCs w:val="16"/>
              </w:rPr>
            </w:pPr>
            <w:r w:rsidRPr="005D0210">
              <w:rPr>
                <w:rFonts w:cs="Calibri"/>
                <w:iCs/>
                <w:sz w:val="16"/>
                <w:szCs w:val="16"/>
              </w:rPr>
              <w:t>During 3 months after hospital discharge, more than a quarter of smokers attempting to quit used e</w:t>
            </w:r>
            <w:r w:rsidRPr="005D0210">
              <w:rPr>
                <w:rFonts w:cs="Calibri"/>
                <w:iCs/>
                <w:sz w:val="16"/>
                <w:szCs w:val="16"/>
              </w:rPr>
              <w:noBreakHyphen/>
              <w:t>cigarettes, mostly to aid cessation, but few used them regularly. This pattern of use was associated with less tobacco abstinence at 6 months than among smokers who did not use e</w:t>
            </w:r>
            <w:r w:rsidRPr="005D0210">
              <w:rPr>
                <w:rFonts w:cs="Calibri"/>
                <w:iCs/>
                <w:sz w:val="16"/>
                <w:szCs w:val="16"/>
              </w:rPr>
              <w:noBreakHyphen/>
              <w:t>cigarettes. </w:t>
            </w:r>
          </w:p>
        </w:tc>
      </w:tr>
      <w:tr w:rsidR="00781923" w:rsidRPr="005D0210" w14:paraId="60A14E58" w14:textId="77777777" w:rsidTr="004E728C">
        <w:trPr>
          <w:cnfStyle w:val="000000100000" w:firstRow="0" w:lastRow="0" w:firstColumn="0" w:lastColumn="0" w:oddVBand="0" w:evenVBand="0" w:oddHBand="1" w:evenHBand="0"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1078" w:type="dxa"/>
            <w:hideMark/>
          </w:tcPr>
          <w:p w14:paraId="152F4DD7" w14:textId="77777777" w:rsidR="00781923" w:rsidRPr="005D0210" w:rsidRDefault="00781923" w:rsidP="004E728C">
            <w:pPr>
              <w:rPr>
                <w:rFonts w:eastAsia="Times New Roman" w:cs="Calibri"/>
                <w:sz w:val="16"/>
                <w:szCs w:val="16"/>
              </w:rPr>
            </w:pPr>
            <w:r w:rsidRPr="005D0210">
              <w:rPr>
                <w:rFonts w:eastAsia="Times New Roman" w:cs="Calibri"/>
                <w:sz w:val="16"/>
                <w:szCs w:val="16"/>
              </w:rPr>
              <w:t>Selya 2017</w:t>
            </w:r>
          </w:p>
        </w:tc>
        <w:tc>
          <w:tcPr>
            <w:tcW w:w="3737" w:type="dxa"/>
            <w:hideMark/>
          </w:tcPr>
          <w:p w14:paraId="52C9E811"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5D0210">
              <w:rPr>
                <w:rFonts w:eastAsia="Times New Roman" w:cs="Calibri"/>
                <w:sz w:val="16"/>
                <w:szCs w:val="16"/>
              </w:rPr>
              <w:t xml:space="preserve">Surveyed over 4 years. </w:t>
            </w:r>
            <w:r w:rsidRPr="005D0210">
              <w:rPr>
                <w:rFonts w:eastAsia="Times New Roman" w:cs="Calibri"/>
                <w:sz w:val="16"/>
                <w:szCs w:val="16"/>
              </w:rPr>
              <w:br w:type="page"/>
              <w:t>Nicotine dependence was measured using a version of the Nicotine Dependence Syndrome Scale (NDSS)31</w:t>
            </w:r>
            <w:r w:rsidRPr="005D0210">
              <w:rPr>
                <w:rFonts w:eastAsia="Times New Roman" w:cs="Calibri"/>
                <w:sz w:val="16"/>
                <w:szCs w:val="16"/>
              </w:rPr>
              <w:br w:type="page"/>
              <w:t>which was adopted for use in adolescent smoker. Quit attempts were self</w:t>
            </w:r>
            <w:r w:rsidRPr="005D0210">
              <w:rPr>
                <w:rFonts w:eastAsia="Times New Roman" w:cs="Calibri"/>
                <w:sz w:val="16"/>
                <w:szCs w:val="16"/>
              </w:rPr>
              <w:noBreakHyphen/>
              <w:t>reported as a binary (yes/no) variable at each wave.</w:t>
            </w:r>
          </w:p>
        </w:tc>
        <w:tc>
          <w:tcPr>
            <w:tcW w:w="5386" w:type="dxa"/>
            <w:hideMark/>
          </w:tcPr>
          <w:p w14:paraId="26D8A3CA"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Calibri"/>
                <w:iCs/>
                <w:sz w:val="16"/>
                <w:szCs w:val="16"/>
              </w:rPr>
            </w:pPr>
            <w:r w:rsidRPr="005D0210">
              <w:rPr>
                <w:rFonts w:eastAsia="Times New Roman" w:cs="Calibri"/>
                <w:iCs/>
                <w:sz w:val="16"/>
                <w:szCs w:val="16"/>
              </w:rPr>
              <w:t>For those who used e</w:t>
            </w:r>
            <w:r w:rsidRPr="005D0210">
              <w:rPr>
                <w:rFonts w:eastAsia="Times New Roman" w:cs="Calibri"/>
                <w:iCs/>
                <w:sz w:val="16"/>
                <w:szCs w:val="16"/>
              </w:rPr>
              <w:noBreakHyphen/>
              <w:t>cigarettes in a cessation attempt, the frequency of e</w:t>
            </w:r>
            <w:r w:rsidRPr="005D0210">
              <w:rPr>
                <w:rFonts w:eastAsia="Times New Roman" w:cs="Calibri"/>
                <w:iCs/>
                <w:sz w:val="16"/>
                <w:szCs w:val="16"/>
              </w:rPr>
              <w:noBreakHyphen/>
              <w:t>cigarette use was not associated with reductions in future conventional smoking frequency.</w:t>
            </w:r>
            <w:r w:rsidRPr="005D0210">
              <w:rPr>
                <w:rFonts w:eastAsia="Times New Roman" w:cs="Calibri"/>
                <w:iCs/>
                <w:sz w:val="16"/>
                <w:szCs w:val="16"/>
              </w:rPr>
              <w:br w:type="page"/>
            </w:r>
            <w:r w:rsidRPr="005D0210">
              <w:rPr>
                <w:rFonts w:eastAsia="Times New Roman" w:cs="Calibri"/>
                <w:iCs/>
                <w:sz w:val="16"/>
                <w:szCs w:val="16"/>
              </w:rPr>
              <w:br w:type="page"/>
              <w:t>To compare the use of e</w:t>
            </w:r>
            <w:r w:rsidRPr="005D0210">
              <w:rPr>
                <w:rFonts w:eastAsia="Times New Roman" w:cs="Calibri"/>
                <w:iCs/>
                <w:sz w:val="16"/>
                <w:szCs w:val="16"/>
              </w:rPr>
              <w:noBreakHyphen/>
              <w:t>cigarettes as a quit aid with other methods of quitting, follow</w:t>
            </w:r>
            <w:r w:rsidRPr="005D0210">
              <w:rPr>
                <w:rFonts w:eastAsia="Times New Roman" w:cs="Calibri"/>
                <w:iCs/>
                <w:sz w:val="16"/>
                <w:szCs w:val="16"/>
              </w:rPr>
              <w:noBreakHyphen/>
              <w:t>up VCMs were run examining the nicotine dependence varying effects of (1) seeking support from a cessation group, Internet, or phone resource; (2) using a prescription (Zyban or Chantix), (3) using an herbal strategy; and (4) using nicotine replacement products (all reported at the 5</w:t>
            </w:r>
            <w:r w:rsidRPr="005D0210">
              <w:rPr>
                <w:rFonts w:eastAsia="Times New Roman" w:cs="Calibri"/>
                <w:iCs/>
                <w:sz w:val="16"/>
                <w:szCs w:val="16"/>
              </w:rPr>
              <w:noBreakHyphen/>
              <w:t>year follow</w:t>
            </w:r>
            <w:r w:rsidRPr="005D0210">
              <w:rPr>
                <w:rFonts w:eastAsia="Times New Roman" w:cs="Calibri"/>
                <w:iCs/>
                <w:sz w:val="16"/>
                <w:szCs w:val="16"/>
              </w:rPr>
              <w:noBreakHyphen/>
              <w:t xml:space="preserve">up wave) on future smoking frequency (data not shown). Of these methods, only nicotine replacement products were significantly associated with later reductions in smoking frequency (by up to 11 </w:t>
            </w:r>
            <w:r w:rsidRPr="005D0210">
              <w:rPr>
                <w:rFonts w:eastAsia="Times New Roman" w:cs="Calibri"/>
                <w:iCs/>
                <w:sz w:val="16"/>
                <w:szCs w:val="16"/>
              </w:rPr>
              <w:lastRenderedPageBreak/>
              <w:t xml:space="preserve">fewer days smoked out of the past month) and only among those with the highest levels of nicotine dependence (NDSS&gt;3.7). </w:t>
            </w:r>
          </w:p>
        </w:tc>
        <w:tc>
          <w:tcPr>
            <w:tcW w:w="993" w:type="dxa"/>
            <w:hideMark/>
          </w:tcPr>
          <w:p w14:paraId="601042D0"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5D0210">
              <w:rPr>
                <w:rFonts w:eastAsia="Times New Roman" w:cs="Calibri"/>
                <w:sz w:val="16"/>
                <w:szCs w:val="16"/>
              </w:rPr>
              <w:lastRenderedPageBreak/>
              <w:t>48</w:t>
            </w:r>
          </w:p>
        </w:tc>
        <w:tc>
          <w:tcPr>
            <w:tcW w:w="928" w:type="dxa"/>
            <w:hideMark/>
          </w:tcPr>
          <w:p w14:paraId="6AE01BDF"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5D0210">
              <w:rPr>
                <w:rFonts w:eastAsia="Times New Roman" w:cs="Calibri"/>
                <w:sz w:val="16"/>
                <w:szCs w:val="16"/>
              </w:rPr>
              <w:t>Chicago, USA</w:t>
            </w:r>
          </w:p>
        </w:tc>
        <w:tc>
          <w:tcPr>
            <w:tcW w:w="3466" w:type="dxa"/>
            <w:hideMark/>
          </w:tcPr>
          <w:p w14:paraId="329A32F2"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Calibri"/>
                <w:iCs/>
                <w:sz w:val="16"/>
                <w:szCs w:val="16"/>
              </w:rPr>
            </w:pPr>
            <w:r w:rsidRPr="005D0210">
              <w:rPr>
                <w:rFonts w:eastAsia="Times New Roman" w:cs="Calibri"/>
                <w:iCs/>
                <w:sz w:val="16"/>
                <w:szCs w:val="16"/>
              </w:rPr>
              <w:t>These findings offer possible support that e</w:t>
            </w:r>
            <w:r w:rsidRPr="005D0210">
              <w:rPr>
                <w:rFonts w:eastAsia="Times New Roman" w:cs="Calibri"/>
                <w:iCs/>
                <w:sz w:val="16"/>
                <w:szCs w:val="16"/>
              </w:rPr>
              <w:noBreakHyphen/>
              <w:t>cigarettes may act as a smoking reduction method among highly nicotine</w:t>
            </w:r>
            <w:r w:rsidRPr="005D0210">
              <w:rPr>
                <w:rFonts w:eastAsia="Times New Roman" w:cs="Calibri"/>
                <w:iCs/>
                <w:sz w:val="16"/>
                <w:szCs w:val="16"/>
              </w:rPr>
              <w:noBreakHyphen/>
              <w:t>dependent young adult cigarette smokers. However, the opposite was found in non</w:t>
            </w:r>
            <w:r w:rsidRPr="005D0210">
              <w:rPr>
                <w:rFonts w:eastAsia="Times New Roman" w:cs="Calibri"/>
                <w:iCs/>
                <w:sz w:val="16"/>
                <w:szCs w:val="16"/>
              </w:rPr>
              <w:noBreakHyphen/>
              <w:t>dependent smokers, suggesting that e</w:t>
            </w:r>
            <w:r w:rsidRPr="005D0210">
              <w:rPr>
                <w:rFonts w:eastAsia="Times New Roman" w:cs="Calibri"/>
                <w:iCs/>
                <w:sz w:val="16"/>
                <w:szCs w:val="16"/>
              </w:rPr>
              <w:noBreakHyphen/>
              <w:t>cigarette use should be discouraged among novice tobacco users. Additionally, although a substantial proportion of young adults used e</w:t>
            </w:r>
            <w:r w:rsidRPr="005D0210">
              <w:rPr>
                <w:rFonts w:eastAsia="Times New Roman" w:cs="Calibri"/>
                <w:iCs/>
                <w:sz w:val="16"/>
                <w:szCs w:val="16"/>
              </w:rPr>
              <w:noBreakHyphen/>
              <w:t>cigarettes to help them quit smoking, these self</w:t>
            </w:r>
            <w:r w:rsidRPr="005D0210">
              <w:rPr>
                <w:rFonts w:eastAsia="Times New Roman" w:cs="Calibri"/>
                <w:iCs/>
                <w:sz w:val="16"/>
                <w:szCs w:val="16"/>
              </w:rPr>
              <w:noBreakHyphen/>
              <w:t>initiated quit attempts with e</w:t>
            </w:r>
            <w:r w:rsidRPr="005D0210">
              <w:rPr>
                <w:rFonts w:eastAsia="Times New Roman" w:cs="Calibri"/>
                <w:iCs/>
                <w:sz w:val="16"/>
                <w:szCs w:val="16"/>
              </w:rPr>
              <w:noBreakHyphen/>
              <w:t xml:space="preserve">cigarettes were </w:t>
            </w:r>
            <w:r w:rsidRPr="005D0210">
              <w:rPr>
                <w:rFonts w:eastAsia="Times New Roman" w:cs="Calibri"/>
                <w:iCs/>
                <w:sz w:val="16"/>
                <w:szCs w:val="16"/>
              </w:rPr>
              <w:lastRenderedPageBreak/>
              <w:t>not associated with future smoking reduction or cessation.</w:t>
            </w:r>
          </w:p>
        </w:tc>
      </w:tr>
      <w:tr w:rsidR="00781923" w:rsidRPr="005D0210" w14:paraId="2333108C" w14:textId="77777777" w:rsidTr="004E728C">
        <w:trPr>
          <w:trHeight w:val="2268"/>
        </w:trPr>
        <w:tc>
          <w:tcPr>
            <w:cnfStyle w:val="001000000000" w:firstRow="0" w:lastRow="0" w:firstColumn="1" w:lastColumn="0" w:oddVBand="0" w:evenVBand="0" w:oddHBand="0" w:evenHBand="0" w:firstRowFirstColumn="0" w:firstRowLastColumn="0" w:lastRowFirstColumn="0" w:lastRowLastColumn="0"/>
            <w:tcW w:w="1078" w:type="dxa"/>
            <w:hideMark/>
          </w:tcPr>
          <w:p w14:paraId="27477D68" w14:textId="77777777" w:rsidR="00781923" w:rsidRPr="005D0210" w:rsidRDefault="00781923" w:rsidP="004E728C">
            <w:pPr>
              <w:rPr>
                <w:rFonts w:eastAsia="Times New Roman" w:cs="Calibri"/>
                <w:sz w:val="16"/>
                <w:szCs w:val="16"/>
              </w:rPr>
            </w:pPr>
            <w:r w:rsidRPr="005D0210">
              <w:rPr>
                <w:rFonts w:eastAsia="Times New Roman" w:cs="Calibri"/>
                <w:sz w:val="16"/>
                <w:szCs w:val="16"/>
              </w:rPr>
              <w:lastRenderedPageBreak/>
              <w:t>Subialka Nowariak 2018</w:t>
            </w:r>
          </w:p>
        </w:tc>
        <w:tc>
          <w:tcPr>
            <w:tcW w:w="3737" w:type="dxa"/>
            <w:hideMark/>
          </w:tcPr>
          <w:p w14:paraId="7CA2C6C9"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Calibri"/>
                <w:iCs/>
                <w:sz w:val="16"/>
                <w:szCs w:val="16"/>
              </w:rPr>
            </w:pPr>
            <w:r w:rsidRPr="005D0210">
              <w:rPr>
                <w:rFonts w:eastAsia="Times New Roman" w:cs="Calibri"/>
                <w:iCs/>
                <w:sz w:val="16"/>
                <w:szCs w:val="16"/>
              </w:rPr>
              <w:t>Seven</w:t>
            </w:r>
            <w:r w:rsidRPr="005D0210">
              <w:rPr>
                <w:rFonts w:eastAsia="Times New Roman" w:cs="Calibri"/>
                <w:iCs/>
                <w:sz w:val="16"/>
                <w:szCs w:val="16"/>
              </w:rPr>
              <w:noBreakHyphen/>
              <w:t>month follow</w:t>
            </w:r>
            <w:r w:rsidRPr="005D0210">
              <w:rPr>
                <w:rFonts w:eastAsia="Times New Roman" w:cs="Calibri"/>
                <w:iCs/>
                <w:sz w:val="16"/>
                <w:szCs w:val="16"/>
              </w:rPr>
              <w:noBreakHyphen/>
              <w:t>up survey data from N= 2760 treatment</w:t>
            </w:r>
            <w:r w:rsidRPr="005D0210">
              <w:rPr>
                <w:rFonts w:eastAsia="Times New Roman" w:cs="Calibri"/>
                <w:iCs/>
                <w:sz w:val="16"/>
                <w:szCs w:val="16"/>
              </w:rPr>
              <w:noBreakHyphen/>
              <w:t>seeking tobacco users who utilized statewide tobacco quitlines in three states were used to assess the relationship between 30</w:t>
            </w:r>
            <w:r w:rsidRPr="005D0210">
              <w:rPr>
                <w:rFonts w:eastAsia="Times New Roman" w:cs="Calibri"/>
                <w:iCs/>
                <w:sz w:val="16"/>
                <w:szCs w:val="16"/>
              </w:rPr>
              <w:noBreakHyphen/>
              <w:t>day point prevalence abstinence and e</w:t>
            </w:r>
            <w:r w:rsidRPr="005D0210">
              <w:rPr>
                <w:rFonts w:eastAsia="Times New Roman" w:cs="Calibri"/>
                <w:iCs/>
                <w:sz w:val="16"/>
                <w:szCs w:val="16"/>
              </w:rPr>
              <w:noBreakHyphen/>
              <w:t>cigarette use frequency at follow</w:t>
            </w:r>
            <w:r w:rsidRPr="005D0210">
              <w:rPr>
                <w:rFonts w:eastAsia="Times New Roman" w:cs="Calibri"/>
                <w:iCs/>
                <w:sz w:val="16"/>
                <w:szCs w:val="16"/>
              </w:rPr>
              <w:noBreakHyphen/>
              <w:t>up. E</w:t>
            </w:r>
            <w:r w:rsidRPr="005D0210">
              <w:rPr>
                <w:rFonts w:eastAsia="Times New Roman" w:cs="Calibri"/>
                <w:iCs/>
                <w:sz w:val="16"/>
                <w:szCs w:val="16"/>
              </w:rPr>
              <w:noBreakHyphen/>
              <w:t>cigarette use was examined in two ways. First, we looked at any use in the past 30 days versus no use. Additionally, past 30</w:t>
            </w:r>
            <w:r w:rsidRPr="005D0210">
              <w:rPr>
                <w:rFonts w:eastAsia="Times New Roman" w:cs="Calibri"/>
                <w:iCs/>
                <w:sz w:val="16"/>
                <w:szCs w:val="16"/>
              </w:rPr>
              <w:noBreakHyphen/>
              <w:t>day e</w:t>
            </w:r>
            <w:r w:rsidRPr="005D0210">
              <w:rPr>
                <w:rFonts w:eastAsia="Times New Roman" w:cs="Calibri"/>
                <w:iCs/>
                <w:sz w:val="16"/>
                <w:szCs w:val="16"/>
              </w:rPr>
              <w:noBreakHyphen/>
              <w:t>cigarette use frequency was categorized into four groups: 0 days, 1–5 days – infrequent, 6–29 days – intermediate, 30 days – daily. Logistic regression models were constructed predicting 30</w:t>
            </w:r>
            <w:r w:rsidRPr="005D0210">
              <w:rPr>
                <w:rFonts w:eastAsia="Times New Roman" w:cs="Calibri"/>
                <w:iCs/>
                <w:sz w:val="16"/>
                <w:szCs w:val="16"/>
              </w:rPr>
              <w:noBreakHyphen/>
              <w:t>day point prevalence tobacco abstinence.</w:t>
            </w:r>
          </w:p>
        </w:tc>
        <w:tc>
          <w:tcPr>
            <w:tcW w:w="5386" w:type="dxa"/>
            <w:hideMark/>
          </w:tcPr>
          <w:p w14:paraId="0BB0FC37"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Calibri"/>
                <w:iCs/>
                <w:sz w:val="16"/>
                <w:szCs w:val="16"/>
              </w:rPr>
            </w:pPr>
            <w:r w:rsidRPr="005D0210">
              <w:rPr>
                <w:rFonts w:eastAsia="Times New Roman" w:cs="Calibri"/>
                <w:iCs/>
                <w:sz w:val="16"/>
                <w:szCs w:val="16"/>
              </w:rPr>
              <w:t>Any past 30</w:t>
            </w:r>
            <w:r w:rsidRPr="005D0210">
              <w:rPr>
                <w:rFonts w:eastAsia="Times New Roman" w:cs="Calibri"/>
                <w:iCs/>
                <w:sz w:val="16"/>
                <w:szCs w:val="16"/>
              </w:rPr>
              <w:noBreakHyphen/>
              <w:t>day e</w:t>
            </w:r>
            <w:r w:rsidRPr="005D0210">
              <w:rPr>
                <w:rFonts w:eastAsia="Times New Roman" w:cs="Calibri"/>
                <w:iCs/>
                <w:sz w:val="16"/>
                <w:szCs w:val="16"/>
              </w:rPr>
              <w:noBreakHyphen/>
              <w:t>cigarette use at follow</w:t>
            </w:r>
            <w:r w:rsidRPr="005D0210">
              <w:rPr>
                <w:rFonts w:eastAsia="Times New Roman" w:cs="Calibri"/>
                <w:iCs/>
                <w:sz w:val="16"/>
                <w:szCs w:val="16"/>
              </w:rPr>
              <w:noBreakHyphen/>
              <w:t>up had a lower quit rate than those who did not use e</w:t>
            </w:r>
            <w:r w:rsidRPr="005D0210">
              <w:rPr>
                <w:rFonts w:eastAsia="Times New Roman" w:cs="Calibri"/>
                <w:iCs/>
                <w:sz w:val="16"/>
                <w:szCs w:val="16"/>
              </w:rPr>
              <w:noBreakHyphen/>
              <w:t>cigarettes in the past 30 days (AOR=0.63; p= 0.001). The AOR was similar to the unadjusted OR (OR=0.64, p&lt;0.001). Further adjustment (infrequent vs intermediate e</w:t>
            </w:r>
            <w:r w:rsidRPr="005D0210">
              <w:rPr>
                <w:rFonts w:eastAsia="Times New Roman" w:cs="Calibri"/>
                <w:iCs/>
                <w:sz w:val="16"/>
                <w:szCs w:val="16"/>
              </w:rPr>
              <w:noBreakHyphen/>
              <w:t>cigarette use) daily e</w:t>
            </w:r>
            <w:r w:rsidRPr="005D0210">
              <w:rPr>
                <w:rFonts w:eastAsia="Times New Roman" w:cs="Calibri"/>
                <w:iCs/>
                <w:sz w:val="16"/>
                <w:szCs w:val="16"/>
              </w:rPr>
              <w:noBreakHyphen/>
              <w:t>cigarette use (AOR=1.16; p=0.453) compared to no e</w:t>
            </w:r>
            <w:r w:rsidRPr="005D0210">
              <w:rPr>
                <w:rFonts w:eastAsia="Times New Roman" w:cs="Calibri"/>
                <w:iCs/>
                <w:sz w:val="16"/>
                <w:szCs w:val="16"/>
              </w:rPr>
              <w:noBreakHyphen/>
              <w:t>cigarette use was not associated with quit status. Both infrequent (AOR=0.35; CI=0.20–0.59) and intermediate (AOR=0.50; CI=0.32–0.80) past 30</w:t>
            </w:r>
            <w:r w:rsidRPr="005D0210">
              <w:rPr>
                <w:rFonts w:eastAsia="Times New Roman" w:cs="Calibri"/>
                <w:iCs/>
                <w:sz w:val="16"/>
                <w:szCs w:val="16"/>
              </w:rPr>
              <w:noBreakHyphen/>
              <w:t>day e</w:t>
            </w:r>
            <w:r w:rsidRPr="005D0210">
              <w:rPr>
                <w:rFonts w:eastAsia="Times New Roman" w:cs="Calibri"/>
                <w:iCs/>
                <w:sz w:val="16"/>
                <w:szCs w:val="16"/>
              </w:rPr>
              <w:noBreakHyphen/>
              <w:t>cigarette use were associated with lower rates of tobacco abstinence versus no past 30</w:t>
            </w:r>
            <w:r w:rsidRPr="005D0210">
              <w:rPr>
                <w:rFonts w:eastAsia="Times New Roman" w:cs="Calibri"/>
                <w:iCs/>
                <w:sz w:val="16"/>
                <w:szCs w:val="16"/>
              </w:rPr>
              <w:noBreakHyphen/>
              <w:t>day use. However, daily e</w:t>
            </w:r>
            <w:r w:rsidRPr="005D0210">
              <w:rPr>
                <w:rFonts w:eastAsia="Times New Roman" w:cs="Calibri"/>
                <w:iCs/>
                <w:sz w:val="16"/>
                <w:szCs w:val="16"/>
              </w:rPr>
              <w:noBreakHyphen/>
              <w:t>cigarette users (AOR=1.16; CI=0.71–1.70) had similar 30</w:t>
            </w:r>
            <w:r w:rsidRPr="005D0210">
              <w:rPr>
                <w:rFonts w:eastAsia="Times New Roman" w:cs="Calibri"/>
                <w:iCs/>
                <w:sz w:val="16"/>
                <w:szCs w:val="16"/>
              </w:rPr>
              <w:noBreakHyphen/>
              <w:t>day abstinence when compared to non</w:t>
            </w:r>
            <w:r w:rsidRPr="005D0210">
              <w:rPr>
                <w:rFonts w:eastAsia="Times New Roman" w:cs="Calibri"/>
                <w:iCs/>
                <w:sz w:val="16"/>
                <w:szCs w:val="16"/>
              </w:rPr>
              <w:noBreakHyphen/>
              <w:t>users. Controlled for: age, gender, level of education, tobacco type, advice from a health professional, a combined state</w:t>
            </w:r>
            <w:r w:rsidRPr="005D0210">
              <w:rPr>
                <w:rFonts w:eastAsia="Times New Roman" w:cs="Calibri"/>
                <w:iCs/>
                <w:sz w:val="16"/>
                <w:szCs w:val="16"/>
              </w:rPr>
              <w:noBreakHyphen/>
              <w:t>program variable, and stop</w:t>
            </w:r>
            <w:r w:rsidRPr="005D0210">
              <w:rPr>
                <w:rFonts w:eastAsia="Times New Roman" w:cs="Calibri"/>
                <w:iCs/>
                <w:sz w:val="16"/>
                <w:szCs w:val="16"/>
              </w:rPr>
              <w:noBreakHyphen/>
              <w:t>smoking medication use post</w:t>
            </w:r>
            <w:r w:rsidRPr="005D0210">
              <w:rPr>
                <w:rFonts w:eastAsia="Times New Roman" w:cs="Calibri"/>
                <w:iCs/>
                <w:sz w:val="16"/>
                <w:szCs w:val="16"/>
              </w:rPr>
              <w:noBreakHyphen/>
              <w:t>enrolment.</w:t>
            </w:r>
          </w:p>
        </w:tc>
        <w:tc>
          <w:tcPr>
            <w:tcW w:w="993" w:type="dxa"/>
            <w:hideMark/>
          </w:tcPr>
          <w:p w14:paraId="1FC892BD"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5D0210">
              <w:rPr>
                <w:rFonts w:eastAsia="Times New Roman" w:cs="Calibri"/>
                <w:sz w:val="16"/>
                <w:szCs w:val="16"/>
              </w:rPr>
              <w:t>7</w:t>
            </w:r>
          </w:p>
        </w:tc>
        <w:tc>
          <w:tcPr>
            <w:tcW w:w="928" w:type="dxa"/>
            <w:hideMark/>
          </w:tcPr>
          <w:p w14:paraId="6CB21E72"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5D0210">
              <w:rPr>
                <w:rFonts w:eastAsia="Times New Roman" w:cs="Calibri"/>
                <w:sz w:val="16"/>
                <w:szCs w:val="16"/>
              </w:rPr>
              <w:t>USA</w:t>
            </w:r>
          </w:p>
        </w:tc>
        <w:tc>
          <w:tcPr>
            <w:tcW w:w="3466" w:type="dxa"/>
            <w:hideMark/>
          </w:tcPr>
          <w:p w14:paraId="0846E7B0"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Calibri"/>
                <w:iCs/>
                <w:sz w:val="16"/>
                <w:szCs w:val="16"/>
              </w:rPr>
            </w:pPr>
            <w:r w:rsidRPr="005D0210">
              <w:rPr>
                <w:rFonts w:eastAsia="Times New Roman" w:cs="Calibri"/>
                <w:iCs/>
                <w:sz w:val="16"/>
                <w:szCs w:val="16"/>
              </w:rPr>
              <w:t>Results from this study of treatment</w:t>
            </w:r>
            <w:r w:rsidRPr="005D0210">
              <w:rPr>
                <w:rFonts w:eastAsia="Times New Roman" w:cs="Calibri"/>
                <w:iCs/>
                <w:sz w:val="16"/>
                <w:szCs w:val="16"/>
              </w:rPr>
              <w:noBreakHyphen/>
              <w:t>seekers support findings from studies of general population tobacco users that suggest frequency of e</w:t>
            </w:r>
            <w:r w:rsidRPr="005D0210">
              <w:rPr>
                <w:rFonts w:eastAsia="Times New Roman" w:cs="Calibri"/>
                <w:iCs/>
                <w:sz w:val="16"/>
                <w:szCs w:val="16"/>
              </w:rPr>
              <w:noBreakHyphen/>
              <w:t>cigarette use is an important moderating variable in the relationship between e</w:t>
            </w:r>
            <w:r w:rsidRPr="005D0210">
              <w:rPr>
                <w:rFonts w:eastAsia="Times New Roman" w:cs="Calibri"/>
                <w:iCs/>
                <w:sz w:val="16"/>
                <w:szCs w:val="16"/>
              </w:rPr>
              <w:noBreakHyphen/>
              <w:t xml:space="preserve">cigarette use and tobacco cessation. </w:t>
            </w:r>
          </w:p>
        </w:tc>
      </w:tr>
      <w:tr w:rsidR="00781923" w:rsidRPr="005D0210" w14:paraId="241410DD" w14:textId="77777777" w:rsidTr="004E728C">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1078" w:type="dxa"/>
            <w:hideMark/>
          </w:tcPr>
          <w:p w14:paraId="790E9AE1" w14:textId="77777777" w:rsidR="00781923" w:rsidRPr="005D0210" w:rsidRDefault="00781923" w:rsidP="004E728C">
            <w:pPr>
              <w:rPr>
                <w:rFonts w:eastAsia="Times New Roman" w:cs="Calibri"/>
                <w:sz w:val="16"/>
                <w:szCs w:val="16"/>
              </w:rPr>
            </w:pPr>
            <w:r w:rsidRPr="005D0210">
              <w:rPr>
                <w:rFonts w:eastAsia="Times New Roman" w:cs="Calibri"/>
                <w:sz w:val="16"/>
                <w:szCs w:val="16"/>
              </w:rPr>
              <w:t>Truman 2018</w:t>
            </w:r>
          </w:p>
        </w:tc>
        <w:tc>
          <w:tcPr>
            <w:tcW w:w="3737" w:type="dxa"/>
            <w:hideMark/>
          </w:tcPr>
          <w:p w14:paraId="4058A9A4"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5D0210">
              <w:rPr>
                <w:rFonts w:eastAsia="Times New Roman" w:cs="Calibri"/>
                <w:sz w:val="16"/>
                <w:szCs w:val="16"/>
              </w:rPr>
              <w:t>Conducted surveys online, with follow</w:t>
            </w:r>
            <w:r w:rsidRPr="005D0210">
              <w:rPr>
                <w:rFonts w:eastAsia="Times New Roman" w:cs="Calibri"/>
                <w:sz w:val="16"/>
                <w:szCs w:val="16"/>
              </w:rPr>
              <w:noBreakHyphen/>
              <w:t>up surveys at 1 and 2 months.</w:t>
            </w:r>
          </w:p>
        </w:tc>
        <w:tc>
          <w:tcPr>
            <w:tcW w:w="5386" w:type="dxa"/>
            <w:hideMark/>
          </w:tcPr>
          <w:p w14:paraId="2470D4D1"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Calibri"/>
                <w:iCs/>
                <w:sz w:val="16"/>
                <w:szCs w:val="16"/>
              </w:rPr>
            </w:pPr>
            <w:r w:rsidRPr="005D0210">
              <w:rPr>
                <w:rFonts w:eastAsia="Times New Roman" w:cs="Calibri"/>
                <w:iCs/>
                <w:sz w:val="16"/>
                <w:szCs w:val="16"/>
              </w:rPr>
              <w:t>The majority of participants (159, 73%) were smokers when they started vaping, and now only vaped. One had subsequently stopped vaping. All considered that their vaping and their stopping smoking were related. The majority (79%) said that they had used vaping to help them stop smoking. Twenty (12%) reported that they had not intended to stop smoking when they started to vape. The remainder had used vaping to avoid relapse to smoking.51 vaping participants (23%) reported some smoking during the course of these surveys indicating that they were both vaping and smoking. Two of these came from the ex</w:t>
            </w:r>
            <w:r w:rsidRPr="005D0210">
              <w:rPr>
                <w:rFonts w:eastAsia="Times New Roman" w:cs="Calibri"/>
                <w:iCs/>
                <w:sz w:val="16"/>
                <w:szCs w:val="16"/>
              </w:rPr>
              <w:noBreakHyphen/>
              <w:t>smoker group. Of these 51, 34 (67%) only smoked occasionally (less than once a day).</w:t>
            </w:r>
          </w:p>
        </w:tc>
        <w:tc>
          <w:tcPr>
            <w:tcW w:w="993" w:type="dxa"/>
            <w:hideMark/>
          </w:tcPr>
          <w:p w14:paraId="17A12068"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5D0210">
              <w:rPr>
                <w:rFonts w:eastAsia="Times New Roman" w:cs="Calibri"/>
                <w:sz w:val="16"/>
                <w:szCs w:val="16"/>
              </w:rPr>
              <w:t>1 or 2 (varied)</w:t>
            </w:r>
          </w:p>
        </w:tc>
        <w:tc>
          <w:tcPr>
            <w:tcW w:w="928" w:type="dxa"/>
            <w:hideMark/>
          </w:tcPr>
          <w:p w14:paraId="1B64FE64"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5D0210">
              <w:rPr>
                <w:rFonts w:eastAsia="Times New Roman" w:cs="Calibri"/>
                <w:sz w:val="16"/>
                <w:szCs w:val="16"/>
              </w:rPr>
              <w:t>New Zealand</w:t>
            </w:r>
          </w:p>
        </w:tc>
        <w:tc>
          <w:tcPr>
            <w:tcW w:w="3466" w:type="dxa"/>
            <w:hideMark/>
          </w:tcPr>
          <w:p w14:paraId="0C7FF62F"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Calibri"/>
                <w:iCs/>
                <w:sz w:val="16"/>
                <w:szCs w:val="16"/>
              </w:rPr>
            </w:pPr>
            <w:r w:rsidRPr="005D0210">
              <w:rPr>
                <w:rFonts w:eastAsia="Times New Roman" w:cs="Calibri"/>
                <w:iCs/>
                <w:sz w:val="16"/>
                <w:szCs w:val="16"/>
              </w:rPr>
              <w:t>Vaping had resulted in effective smoking cessation for the majority of participants.</w:t>
            </w:r>
          </w:p>
        </w:tc>
      </w:tr>
      <w:tr w:rsidR="00781923" w:rsidRPr="005D0210" w14:paraId="2258A7F8" w14:textId="77777777" w:rsidTr="004E728C">
        <w:trPr>
          <w:trHeight w:val="1141"/>
        </w:trPr>
        <w:tc>
          <w:tcPr>
            <w:cnfStyle w:val="001000000000" w:firstRow="0" w:lastRow="0" w:firstColumn="1" w:lastColumn="0" w:oddVBand="0" w:evenVBand="0" w:oddHBand="0" w:evenHBand="0" w:firstRowFirstColumn="0" w:firstRowLastColumn="0" w:lastRowFirstColumn="0" w:lastRowLastColumn="0"/>
            <w:tcW w:w="1078" w:type="dxa"/>
          </w:tcPr>
          <w:p w14:paraId="30D7B312" w14:textId="77777777" w:rsidR="00781923" w:rsidRPr="005D0210" w:rsidRDefault="00781923" w:rsidP="004E728C">
            <w:pPr>
              <w:rPr>
                <w:rFonts w:eastAsia="Times New Roman" w:cs="Calibri"/>
                <w:sz w:val="16"/>
                <w:szCs w:val="16"/>
              </w:rPr>
            </w:pPr>
            <w:r w:rsidRPr="005D0210">
              <w:rPr>
                <w:sz w:val="16"/>
                <w:szCs w:val="16"/>
              </w:rPr>
              <w:t>Valentine 2017</w:t>
            </w:r>
          </w:p>
        </w:tc>
        <w:tc>
          <w:tcPr>
            <w:tcW w:w="3737" w:type="dxa"/>
          </w:tcPr>
          <w:p w14:paraId="5DFD89A3"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5D0210">
              <w:rPr>
                <w:sz w:val="16"/>
                <w:szCs w:val="16"/>
              </w:rPr>
              <w:t>Participants were provided with a study e</w:t>
            </w:r>
            <w:r w:rsidRPr="005D0210">
              <w:rPr>
                <w:sz w:val="16"/>
                <w:szCs w:val="16"/>
              </w:rPr>
              <w:noBreakHyphen/>
              <w:t>cigarette they could use ad libitum along with other tobacco products and were encouraged to attend weekly laboratory visits and a one</w:t>
            </w:r>
            <w:r w:rsidRPr="005D0210">
              <w:rPr>
                <w:sz w:val="16"/>
                <w:szCs w:val="16"/>
              </w:rPr>
              <w:noBreakHyphen/>
              <w:t>month follow</w:t>
            </w:r>
            <w:r w:rsidRPr="005D0210">
              <w:rPr>
                <w:sz w:val="16"/>
                <w:szCs w:val="16"/>
              </w:rPr>
              <w:noBreakHyphen/>
              <w:t xml:space="preserve">up visit. </w:t>
            </w:r>
          </w:p>
        </w:tc>
        <w:tc>
          <w:tcPr>
            <w:tcW w:w="5386" w:type="dxa"/>
          </w:tcPr>
          <w:p w14:paraId="629612B8"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Calibri"/>
                <w:iCs/>
                <w:sz w:val="16"/>
                <w:szCs w:val="16"/>
              </w:rPr>
            </w:pPr>
            <w:r w:rsidRPr="005D0210">
              <w:rPr>
                <w:sz w:val="16"/>
                <w:szCs w:val="16"/>
              </w:rPr>
              <w:t>Mean e</w:t>
            </w:r>
            <w:r w:rsidRPr="005D0210">
              <w:rPr>
                <w:sz w:val="16"/>
                <w:szCs w:val="16"/>
              </w:rPr>
              <w:noBreakHyphen/>
              <w:t>cigarette use was 5.7 days per week and only 9% of participants used the e</w:t>
            </w:r>
            <w:r w:rsidRPr="005D0210">
              <w:rPr>
                <w:sz w:val="16"/>
                <w:szCs w:val="16"/>
              </w:rPr>
              <w:noBreakHyphen/>
              <w:t xml:space="preserve">cigarette for fewer than 4 days per week. Significant reductions in breath CO (9.3 ppm to 7.3 ppm, p&lt;0.02) and CPD (from 16.6 to 5.7, p&lt;0.001) were observed across study weeks, and no serious adverse events were reported. Three participants (10% of completers) reported smoking cessation that was corroborated biochemically. </w:t>
            </w:r>
          </w:p>
        </w:tc>
        <w:tc>
          <w:tcPr>
            <w:tcW w:w="993" w:type="dxa"/>
          </w:tcPr>
          <w:p w14:paraId="32591B40"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5D0210">
              <w:rPr>
                <w:sz w:val="16"/>
                <w:szCs w:val="16"/>
              </w:rPr>
              <w:t>1</w:t>
            </w:r>
          </w:p>
        </w:tc>
        <w:tc>
          <w:tcPr>
            <w:tcW w:w="928" w:type="dxa"/>
          </w:tcPr>
          <w:p w14:paraId="1F772A23"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5D0210">
              <w:rPr>
                <w:sz w:val="16"/>
                <w:szCs w:val="16"/>
              </w:rPr>
              <w:t>USA</w:t>
            </w:r>
          </w:p>
        </w:tc>
        <w:tc>
          <w:tcPr>
            <w:tcW w:w="3466" w:type="dxa"/>
          </w:tcPr>
          <w:p w14:paraId="399849EC"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Calibri"/>
                <w:iCs/>
                <w:sz w:val="16"/>
                <w:szCs w:val="16"/>
              </w:rPr>
            </w:pPr>
            <w:r w:rsidRPr="005D0210">
              <w:rPr>
                <w:sz w:val="16"/>
                <w:szCs w:val="16"/>
              </w:rPr>
              <w:t>E</w:t>
            </w:r>
            <w:r w:rsidRPr="005D0210">
              <w:rPr>
                <w:sz w:val="16"/>
                <w:szCs w:val="16"/>
              </w:rPr>
              <w:noBreakHyphen/>
              <w:t>cigarettes are acceptable to smokers with psychiatric comorbidities, as indicated by sustained and frequent e</w:t>
            </w:r>
            <w:r w:rsidRPr="005D0210">
              <w:rPr>
                <w:sz w:val="16"/>
                <w:szCs w:val="16"/>
              </w:rPr>
              <w:noBreakHyphen/>
              <w:t>cigarette use by 90% of participants, and may promote reduction and/or cessation of combustible cigarette use. E</w:t>
            </w:r>
            <w:r w:rsidRPr="005D0210">
              <w:rPr>
                <w:sz w:val="16"/>
                <w:szCs w:val="16"/>
              </w:rPr>
              <w:noBreakHyphen/>
              <w:t>cigarettes appear to be a viable harm reduction modality in smokers with psychiatric comorbidities.</w:t>
            </w:r>
          </w:p>
        </w:tc>
      </w:tr>
      <w:tr w:rsidR="00781923" w:rsidRPr="005D0210" w14:paraId="435E90D0" w14:textId="77777777" w:rsidTr="004E728C">
        <w:trPr>
          <w:cnfStyle w:val="000000100000" w:firstRow="0" w:lastRow="0" w:firstColumn="0" w:lastColumn="0" w:oddVBand="0" w:evenVBand="0" w:oddHBand="1" w:evenHBand="0" w:firstRowFirstColumn="0" w:firstRowLastColumn="0" w:lastRowFirstColumn="0" w:lastRowLastColumn="0"/>
          <w:trHeight w:val="1141"/>
        </w:trPr>
        <w:tc>
          <w:tcPr>
            <w:cnfStyle w:val="001000000000" w:firstRow="0" w:lastRow="0" w:firstColumn="1" w:lastColumn="0" w:oddVBand="0" w:evenVBand="0" w:oddHBand="0" w:evenHBand="0" w:firstRowFirstColumn="0" w:firstRowLastColumn="0" w:lastRowFirstColumn="0" w:lastRowLastColumn="0"/>
            <w:tcW w:w="1078" w:type="dxa"/>
          </w:tcPr>
          <w:p w14:paraId="3E30A8A4" w14:textId="77777777" w:rsidR="00781923" w:rsidRPr="005D0210" w:rsidRDefault="00781923" w:rsidP="004E728C">
            <w:pPr>
              <w:rPr>
                <w:sz w:val="16"/>
                <w:szCs w:val="16"/>
              </w:rPr>
            </w:pPr>
            <w:r w:rsidRPr="005D0210">
              <w:rPr>
                <w:rFonts w:cs="Calibri"/>
                <w:sz w:val="16"/>
                <w:szCs w:val="16"/>
              </w:rPr>
              <w:lastRenderedPageBreak/>
              <w:t>Yong 2018</w:t>
            </w:r>
          </w:p>
        </w:tc>
        <w:tc>
          <w:tcPr>
            <w:tcW w:w="3737" w:type="dxa"/>
          </w:tcPr>
          <w:p w14:paraId="6BC2635B"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sz w:val="16"/>
                <w:szCs w:val="16"/>
              </w:rPr>
            </w:pPr>
            <w:r w:rsidRPr="005D0210">
              <w:rPr>
                <w:rFonts w:cs="Calibri"/>
                <w:sz w:val="16"/>
                <w:szCs w:val="16"/>
              </w:rPr>
              <w:t>Data collected on e</w:t>
            </w:r>
            <w:r w:rsidRPr="005D0210">
              <w:rPr>
                <w:rFonts w:cs="Calibri"/>
                <w:sz w:val="16"/>
                <w:szCs w:val="16"/>
              </w:rPr>
              <w:noBreakHyphen/>
              <w:t>cigarette use, smoking behaviours, quit attempts and sociodemographic status. Also measured quit status using a salivary cotinine test.</w:t>
            </w:r>
          </w:p>
        </w:tc>
        <w:tc>
          <w:tcPr>
            <w:tcW w:w="5386" w:type="dxa"/>
          </w:tcPr>
          <w:p w14:paraId="1B6A9AB7"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sz w:val="16"/>
                <w:szCs w:val="16"/>
              </w:rPr>
            </w:pPr>
            <w:r w:rsidRPr="005D0210">
              <w:rPr>
                <w:rFonts w:cs="Calibri"/>
                <w:iCs/>
                <w:sz w:val="16"/>
                <w:szCs w:val="16"/>
              </w:rPr>
              <w:t>Ever e</w:t>
            </w:r>
            <w:r w:rsidRPr="005D0210">
              <w:rPr>
                <w:rFonts w:cs="Calibri"/>
                <w:iCs/>
                <w:sz w:val="16"/>
                <w:szCs w:val="16"/>
              </w:rPr>
              <w:noBreakHyphen/>
              <w:t>cigarette use at baseline did not predict self</w:t>
            </w:r>
            <w:r w:rsidRPr="005D0210">
              <w:rPr>
                <w:rFonts w:cs="Calibri"/>
                <w:iCs/>
                <w:sz w:val="16"/>
                <w:szCs w:val="16"/>
              </w:rPr>
              <w:noBreakHyphen/>
              <w:t>reported PPA (AOR 0.99, 95% CI 0.57–1.73), biochemically validated quitting (AOR 1.22, 95% CI 0.64–2.34), cessation attempt (AOR 0.74, 95% CI 0.48–1.14), or smoking reduction (AOR 0.89, 95% CI 0.54–1.47). E</w:t>
            </w:r>
            <w:r w:rsidRPr="005D0210">
              <w:rPr>
                <w:rFonts w:cs="Calibri"/>
                <w:iCs/>
                <w:sz w:val="16"/>
                <w:szCs w:val="16"/>
              </w:rPr>
              <w:noBreakHyphen/>
              <w:t xml:space="preserve">cigarette use during the first 3 months did not predict quitting (AOR 1.02, 95% CI 0.22–4.71). </w:t>
            </w:r>
            <w:r w:rsidRPr="005D0210">
              <w:rPr>
                <w:rFonts w:cs="Calibri"/>
                <w:iCs/>
                <w:sz w:val="16"/>
                <w:szCs w:val="16"/>
              </w:rPr>
              <w:br/>
              <w:t>Ever e</w:t>
            </w:r>
            <w:r w:rsidRPr="005D0210">
              <w:rPr>
                <w:rFonts w:cs="Calibri"/>
                <w:iCs/>
                <w:sz w:val="16"/>
                <w:szCs w:val="16"/>
              </w:rPr>
              <w:noBreakHyphen/>
              <w:t>cigarette users who achieved abstinence at the 6</w:t>
            </w:r>
            <w:r w:rsidRPr="005D0210">
              <w:rPr>
                <w:rFonts w:cs="Calibri"/>
                <w:iCs/>
                <w:sz w:val="16"/>
                <w:szCs w:val="16"/>
              </w:rPr>
              <w:noBreakHyphen/>
              <w:t>month follow</w:t>
            </w:r>
            <w:r w:rsidRPr="005D0210">
              <w:rPr>
                <w:rFonts w:cs="Calibri"/>
                <w:iCs/>
                <w:sz w:val="16"/>
                <w:szCs w:val="16"/>
              </w:rPr>
              <w:noBreakHyphen/>
              <w:t>up had a low level of nicotine dependence and were readier to quit at baseline than those who had ever used e</w:t>
            </w:r>
            <w:r w:rsidRPr="005D0210">
              <w:rPr>
                <w:rFonts w:cs="Calibri"/>
                <w:iCs/>
                <w:sz w:val="16"/>
                <w:szCs w:val="16"/>
              </w:rPr>
              <w:noBreakHyphen/>
              <w:t>cigarette but remained smoking, suggesting that ever e</w:t>
            </w:r>
            <w:r w:rsidRPr="005D0210">
              <w:rPr>
                <w:rFonts w:cs="Calibri"/>
                <w:iCs/>
                <w:sz w:val="16"/>
                <w:szCs w:val="16"/>
              </w:rPr>
              <w:noBreakHyphen/>
              <w:t xml:space="preserve">cigarette use may have little effect on abstinence from conventional cigarette. </w:t>
            </w:r>
          </w:p>
        </w:tc>
        <w:tc>
          <w:tcPr>
            <w:tcW w:w="993" w:type="dxa"/>
          </w:tcPr>
          <w:p w14:paraId="63BE0D4F"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sz w:val="16"/>
                <w:szCs w:val="16"/>
              </w:rPr>
            </w:pPr>
            <w:r w:rsidRPr="005D0210">
              <w:rPr>
                <w:rFonts w:cs="Calibri"/>
                <w:sz w:val="16"/>
                <w:szCs w:val="16"/>
              </w:rPr>
              <w:t>6</w:t>
            </w:r>
          </w:p>
        </w:tc>
        <w:tc>
          <w:tcPr>
            <w:tcW w:w="928" w:type="dxa"/>
          </w:tcPr>
          <w:p w14:paraId="0D117DB3"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sz w:val="16"/>
                <w:szCs w:val="16"/>
              </w:rPr>
            </w:pPr>
            <w:r w:rsidRPr="005D0210">
              <w:rPr>
                <w:rFonts w:cs="Calibri"/>
                <w:sz w:val="16"/>
                <w:szCs w:val="16"/>
              </w:rPr>
              <w:t>Hong Kong</w:t>
            </w:r>
          </w:p>
        </w:tc>
        <w:tc>
          <w:tcPr>
            <w:tcW w:w="3466" w:type="dxa"/>
          </w:tcPr>
          <w:p w14:paraId="730FE203"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sz w:val="16"/>
                <w:szCs w:val="16"/>
              </w:rPr>
            </w:pPr>
            <w:r w:rsidRPr="005D0210">
              <w:rPr>
                <w:rFonts w:cs="Calibri"/>
                <w:iCs/>
                <w:sz w:val="16"/>
                <w:szCs w:val="16"/>
              </w:rPr>
              <w:t>We found that ever use of EC, many of which were nicotine</w:t>
            </w:r>
            <w:r w:rsidRPr="005D0210">
              <w:rPr>
                <w:rFonts w:cs="Calibri"/>
                <w:iCs/>
                <w:sz w:val="16"/>
                <w:szCs w:val="16"/>
              </w:rPr>
              <w:noBreakHyphen/>
              <w:t>free products, did not predict abstinence from conventional cigarettes among smokers who participated in the QTW contest in Hong Kong and was also not associated with indicators of future successful quitting.</w:t>
            </w:r>
          </w:p>
        </w:tc>
      </w:tr>
    </w:tbl>
    <w:p w14:paraId="1DE661FE" w14:textId="77777777" w:rsidR="00781923" w:rsidRPr="005D0210" w:rsidRDefault="00781923" w:rsidP="00781923">
      <w:pPr>
        <w:rPr>
          <w:iCs/>
          <w:color w:val="000000" w:themeColor="text2"/>
          <w:sz w:val="18"/>
          <w:szCs w:val="18"/>
        </w:rPr>
      </w:pPr>
      <w:r w:rsidRPr="005D0210">
        <w:br w:type="page"/>
      </w:r>
    </w:p>
    <w:p w14:paraId="2A4A0C5D" w14:textId="77777777" w:rsidR="00781923" w:rsidRPr="005D0210" w:rsidRDefault="003D2CBD" w:rsidP="003D2CBD">
      <w:pPr>
        <w:pStyle w:val="Caption"/>
      </w:pPr>
      <w:bookmarkStart w:id="150" w:name="_Toc515229971"/>
      <w:bookmarkStart w:id="151" w:name="_Toc517707424"/>
      <w:r w:rsidRPr="005D0210">
        <w:lastRenderedPageBreak/>
        <w:t xml:space="preserve">Table </w:t>
      </w:r>
      <w:r w:rsidR="0048064B">
        <w:rPr>
          <w:noProof/>
        </w:rPr>
        <w:fldChar w:fldCharType="begin"/>
      </w:r>
      <w:r w:rsidR="0048064B">
        <w:rPr>
          <w:noProof/>
        </w:rPr>
        <w:instrText xml:space="preserve"> SEQ Table \* ARABIC </w:instrText>
      </w:r>
      <w:r w:rsidR="0048064B">
        <w:rPr>
          <w:noProof/>
        </w:rPr>
        <w:fldChar w:fldCharType="separate"/>
      </w:r>
      <w:r w:rsidR="000C06DA">
        <w:rPr>
          <w:noProof/>
        </w:rPr>
        <w:t>15</w:t>
      </w:r>
      <w:r w:rsidR="0048064B">
        <w:rPr>
          <w:noProof/>
        </w:rPr>
        <w:fldChar w:fldCharType="end"/>
      </w:r>
      <w:r w:rsidR="00781923" w:rsidRPr="005D0210">
        <w:t>: Smoking cessation trials: characteristics</w:t>
      </w:r>
      <w:bookmarkEnd w:id="150"/>
      <w:bookmarkEnd w:id="151"/>
    </w:p>
    <w:tbl>
      <w:tblPr>
        <w:tblStyle w:val="TableCSIRO"/>
        <w:tblW w:w="15763" w:type="dxa"/>
        <w:tblLayout w:type="fixed"/>
        <w:tblLook w:val="04A0" w:firstRow="1" w:lastRow="0" w:firstColumn="1" w:lastColumn="0" w:noHBand="0" w:noVBand="1"/>
      </w:tblPr>
      <w:tblGrid>
        <w:gridCol w:w="1129"/>
        <w:gridCol w:w="1985"/>
        <w:gridCol w:w="709"/>
        <w:gridCol w:w="708"/>
        <w:gridCol w:w="709"/>
        <w:gridCol w:w="992"/>
        <w:gridCol w:w="2127"/>
        <w:gridCol w:w="850"/>
        <w:gridCol w:w="992"/>
        <w:gridCol w:w="851"/>
        <w:gridCol w:w="850"/>
        <w:gridCol w:w="709"/>
        <w:gridCol w:w="3152"/>
      </w:tblGrid>
      <w:tr w:rsidR="00781923" w:rsidRPr="005D0210" w14:paraId="3ABB303D" w14:textId="77777777" w:rsidTr="004E728C">
        <w:trPr>
          <w:cnfStyle w:val="100000000000" w:firstRow="1" w:lastRow="0" w:firstColumn="0" w:lastColumn="0" w:oddVBand="0" w:evenVBand="0" w:oddHBand="0" w:evenHBand="0" w:firstRowFirstColumn="0" w:firstRowLastColumn="0" w:lastRowFirstColumn="0" w:lastRowLastColumn="0"/>
          <w:trHeight w:val="293"/>
          <w:tblHeader/>
        </w:trPr>
        <w:tc>
          <w:tcPr>
            <w:cnfStyle w:val="001000000000" w:firstRow="0" w:lastRow="0" w:firstColumn="1" w:lastColumn="0" w:oddVBand="0" w:evenVBand="0" w:oddHBand="0" w:evenHBand="0" w:firstRowFirstColumn="0" w:firstRowLastColumn="0" w:lastRowFirstColumn="0" w:lastRowLastColumn="0"/>
            <w:tcW w:w="1129" w:type="dxa"/>
            <w:vMerge w:val="restart"/>
            <w:hideMark/>
          </w:tcPr>
          <w:p w14:paraId="75C92360" w14:textId="77777777" w:rsidR="00781923" w:rsidRPr="005D0210" w:rsidRDefault="00781923" w:rsidP="004E728C">
            <w:pPr>
              <w:spacing w:after="0"/>
              <w:jc w:val="center"/>
              <w:rPr>
                <w:rFonts w:asciiTheme="minorHAnsi" w:eastAsia="Times New Roman" w:hAnsiTheme="minorHAnsi" w:cstheme="minorHAnsi"/>
                <w:b w:val="0"/>
                <w:bCs w:val="0"/>
                <w:color w:val="FFFFFF" w:themeColor="background1"/>
                <w:sz w:val="16"/>
                <w:szCs w:val="16"/>
              </w:rPr>
            </w:pPr>
            <w:r w:rsidRPr="005D0210">
              <w:rPr>
                <w:rFonts w:asciiTheme="minorHAnsi" w:eastAsia="Times New Roman" w:hAnsiTheme="minorHAnsi" w:cstheme="minorHAnsi"/>
                <w:color w:val="FFFFFF" w:themeColor="background1"/>
                <w:sz w:val="16"/>
                <w:szCs w:val="16"/>
              </w:rPr>
              <w:t>Study reference</w:t>
            </w:r>
          </w:p>
        </w:tc>
        <w:tc>
          <w:tcPr>
            <w:tcW w:w="1985" w:type="dxa"/>
            <w:vMerge w:val="restart"/>
            <w:hideMark/>
          </w:tcPr>
          <w:p w14:paraId="405F00AD" w14:textId="77777777" w:rsidR="00781923" w:rsidRPr="005D0210" w:rsidRDefault="00781923" w:rsidP="004E728C">
            <w:pPr>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FFFFFF" w:themeColor="background1"/>
                <w:sz w:val="16"/>
                <w:szCs w:val="16"/>
              </w:rPr>
            </w:pPr>
            <w:r w:rsidRPr="005D0210">
              <w:rPr>
                <w:rFonts w:asciiTheme="minorHAnsi" w:eastAsia="Times New Roman" w:hAnsiTheme="minorHAnsi" w:cstheme="minorHAnsi"/>
                <w:color w:val="FFFFFF" w:themeColor="background1"/>
                <w:sz w:val="16"/>
                <w:szCs w:val="16"/>
              </w:rPr>
              <w:t>Study objectives</w:t>
            </w:r>
          </w:p>
        </w:tc>
        <w:tc>
          <w:tcPr>
            <w:tcW w:w="709" w:type="dxa"/>
            <w:vMerge w:val="restart"/>
            <w:hideMark/>
          </w:tcPr>
          <w:p w14:paraId="17A9CEC8" w14:textId="77777777" w:rsidR="00781923" w:rsidRPr="005D0210" w:rsidRDefault="00781923" w:rsidP="004E728C">
            <w:pPr>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FFFFFF" w:themeColor="background1"/>
                <w:sz w:val="16"/>
                <w:szCs w:val="16"/>
              </w:rPr>
            </w:pPr>
            <w:r w:rsidRPr="005D0210">
              <w:rPr>
                <w:rFonts w:asciiTheme="minorHAnsi" w:eastAsia="Times New Roman" w:hAnsiTheme="minorHAnsi" w:cstheme="minorHAnsi"/>
                <w:color w:val="FFFFFF" w:themeColor="background1"/>
                <w:sz w:val="16"/>
                <w:szCs w:val="16"/>
              </w:rPr>
              <w:t>Country</w:t>
            </w:r>
          </w:p>
        </w:tc>
        <w:tc>
          <w:tcPr>
            <w:tcW w:w="4536" w:type="dxa"/>
            <w:gridSpan w:val="4"/>
            <w:hideMark/>
          </w:tcPr>
          <w:p w14:paraId="686E91A4" w14:textId="77777777" w:rsidR="00781923" w:rsidRPr="005D0210" w:rsidRDefault="00781923" w:rsidP="004E728C">
            <w:pPr>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FFFFFF" w:themeColor="background1"/>
                <w:sz w:val="16"/>
                <w:szCs w:val="16"/>
              </w:rPr>
            </w:pPr>
            <w:r w:rsidRPr="005D0210">
              <w:rPr>
                <w:rFonts w:asciiTheme="minorHAnsi" w:eastAsia="Times New Roman" w:hAnsiTheme="minorHAnsi" w:cstheme="minorHAnsi"/>
                <w:color w:val="FFFFFF" w:themeColor="background1"/>
                <w:sz w:val="16"/>
                <w:szCs w:val="16"/>
              </w:rPr>
              <w:t>Study Design</w:t>
            </w:r>
          </w:p>
        </w:tc>
        <w:tc>
          <w:tcPr>
            <w:tcW w:w="4252" w:type="dxa"/>
            <w:gridSpan w:val="5"/>
          </w:tcPr>
          <w:p w14:paraId="74D62940" w14:textId="77777777" w:rsidR="00781923" w:rsidRPr="005D0210" w:rsidRDefault="00781923" w:rsidP="004E728C">
            <w:pPr>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FFFFFF" w:themeColor="background1"/>
                <w:sz w:val="16"/>
                <w:szCs w:val="16"/>
              </w:rPr>
            </w:pPr>
            <w:r w:rsidRPr="005D0210">
              <w:rPr>
                <w:rFonts w:asciiTheme="minorHAnsi" w:eastAsia="Times New Roman" w:hAnsiTheme="minorHAnsi" w:cstheme="minorHAnsi"/>
                <w:color w:val="FFFFFF" w:themeColor="background1"/>
                <w:sz w:val="16"/>
                <w:szCs w:val="16"/>
              </w:rPr>
              <w:t>Study population</w:t>
            </w:r>
          </w:p>
        </w:tc>
        <w:tc>
          <w:tcPr>
            <w:tcW w:w="3152" w:type="dxa"/>
          </w:tcPr>
          <w:p w14:paraId="56F972EF" w14:textId="77777777" w:rsidR="00781923" w:rsidRPr="005D0210" w:rsidRDefault="00781923" w:rsidP="004E728C">
            <w:pPr>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FFFFFF" w:themeColor="background1"/>
                <w:sz w:val="16"/>
                <w:szCs w:val="16"/>
              </w:rPr>
            </w:pPr>
            <w:r w:rsidRPr="005D0210">
              <w:rPr>
                <w:rFonts w:asciiTheme="minorHAnsi" w:eastAsia="Times New Roman" w:hAnsiTheme="minorHAnsi" w:cstheme="minorHAnsi"/>
                <w:color w:val="FFFFFF" w:themeColor="background1"/>
                <w:sz w:val="16"/>
                <w:szCs w:val="16"/>
              </w:rPr>
              <w:t>Inclusion/ Exclusion criteria</w:t>
            </w:r>
          </w:p>
        </w:tc>
      </w:tr>
      <w:tr w:rsidR="00781923" w:rsidRPr="005D0210" w14:paraId="7C80E8AE" w14:textId="77777777" w:rsidTr="004E728C">
        <w:trPr>
          <w:cnfStyle w:val="100000000000" w:firstRow="1" w:lastRow="0" w:firstColumn="0" w:lastColumn="0" w:oddVBand="0" w:evenVBand="0" w:oddHBand="0" w:evenHBand="0" w:firstRowFirstColumn="0" w:firstRowLastColumn="0" w:lastRowFirstColumn="0" w:lastRowLastColumn="0"/>
          <w:trHeight w:val="257"/>
          <w:tblHeader/>
        </w:trPr>
        <w:tc>
          <w:tcPr>
            <w:cnfStyle w:val="001000000000" w:firstRow="0" w:lastRow="0" w:firstColumn="1" w:lastColumn="0" w:oddVBand="0" w:evenVBand="0" w:oddHBand="0" w:evenHBand="0" w:firstRowFirstColumn="0" w:firstRowLastColumn="0" w:lastRowFirstColumn="0" w:lastRowLastColumn="0"/>
            <w:tcW w:w="1129" w:type="dxa"/>
            <w:vMerge/>
            <w:hideMark/>
          </w:tcPr>
          <w:p w14:paraId="3A365FD7" w14:textId="77777777" w:rsidR="00781923" w:rsidRPr="005D0210" w:rsidRDefault="00781923" w:rsidP="004E728C">
            <w:pPr>
              <w:spacing w:after="0"/>
              <w:rPr>
                <w:rFonts w:asciiTheme="minorHAnsi" w:eastAsia="Times New Roman" w:hAnsiTheme="minorHAnsi" w:cstheme="minorHAnsi"/>
                <w:b w:val="0"/>
                <w:bCs w:val="0"/>
                <w:color w:val="FFFFFF" w:themeColor="background1"/>
                <w:sz w:val="16"/>
                <w:szCs w:val="16"/>
              </w:rPr>
            </w:pPr>
          </w:p>
        </w:tc>
        <w:tc>
          <w:tcPr>
            <w:tcW w:w="1985" w:type="dxa"/>
            <w:vMerge/>
            <w:hideMark/>
          </w:tcPr>
          <w:p w14:paraId="5307801D" w14:textId="77777777" w:rsidR="00781923" w:rsidRPr="005D0210" w:rsidRDefault="00781923" w:rsidP="004E728C">
            <w:pPr>
              <w:spacing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FFFFFF" w:themeColor="background1"/>
                <w:sz w:val="16"/>
                <w:szCs w:val="16"/>
              </w:rPr>
            </w:pPr>
          </w:p>
        </w:tc>
        <w:tc>
          <w:tcPr>
            <w:tcW w:w="709" w:type="dxa"/>
            <w:vMerge/>
            <w:hideMark/>
          </w:tcPr>
          <w:p w14:paraId="61CABD89" w14:textId="77777777" w:rsidR="00781923" w:rsidRPr="005D0210" w:rsidRDefault="00781923" w:rsidP="004E728C">
            <w:pPr>
              <w:spacing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FFFFFF" w:themeColor="background1"/>
                <w:sz w:val="16"/>
                <w:szCs w:val="16"/>
              </w:rPr>
            </w:pPr>
          </w:p>
        </w:tc>
        <w:tc>
          <w:tcPr>
            <w:tcW w:w="708" w:type="dxa"/>
            <w:vMerge w:val="restart"/>
            <w:hideMark/>
          </w:tcPr>
          <w:p w14:paraId="39D62B47" w14:textId="77777777" w:rsidR="00781923" w:rsidRPr="005D0210" w:rsidRDefault="00781923" w:rsidP="004E728C">
            <w:pPr>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FFFFFF" w:themeColor="background1"/>
                <w:sz w:val="16"/>
                <w:szCs w:val="16"/>
              </w:rPr>
            </w:pPr>
            <w:r w:rsidRPr="005D0210">
              <w:rPr>
                <w:rFonts w:asciiTheme="minorHAnsi" w:eastAsia="Times New Roman" w:hAnsiTheme="minorHAnsi" w:cstheme="minorHAnsi"/>
                <w:color w:val="FFFFFF" w:themeColor="background1"/>
                <w:sz w:val="16"/>
                <w:szCs w:val="16"/>
              </w:rPr>
              <w:t xml:space="preserve">Design type </w:t>
            </w:r>
          </w:p>
        </w:tc>
        <w:tc>
          <w:tcPr>
            <w:tcW w:w="709" w:type="dxa"/>
            <w:vMerge w:val="restart"/>
            <w:hideMark/>
          </w:tcPr>
          <w:p w14:paraId="68471BF5" w14:textId="77777777" w:rsidR="00781923" w:rsidRPr="005D0210" w:rsidRDefault="00781923" w:rsidP="004E728C">
            <w:pPr>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FFFFFF" w:themeColor="background1"/>
                <w:sz w:val="16"/>
                <w:szCs w:val="16"/>
              </w:rPr>
            </w:pPr>
            <w:r w:rsidRPr="005D0210">
              <w:rPr>
                <w:rFonts w:asciiTheme="minorHAnsi" w:eastAsia="Times New Roman" w:hAnsiTheme="minorHAnsi" w:cstheme="minorHAnsi"/>
                <w:color w:val="FFFFFF" w:themeColor="background1"/>
                <w:sz w:val="16"/>
                <w:szCs w:val="16"/>
              </w:rPr>
              <w:t>Duration (wks)</w:t>
            </w:r>
          </w:p>
        </w:tc>
        <w:tc>
          <w:tcPr>
            <w:tcW w:w="992" w:type="dxa"/>
            <w:vMerge w:val="restart"/>
            <w:hideMark/>
          </w:tcPr>
          <w:p w14:paraId="0B0865B1" w14:textId="77777777" w:rsidR="00781923" w:rsidRPr="005D0210" w:rsidRDefault="00781923" w:rsidP="004E728C">
            <w:pPr>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FFFFFF" w:themeColor="background1"/>
                <w:sz w:val="16"/>
                <w:szCs w:val="16"/>
              </w:rPr>
            </w:pPr>
            <w:r w:rsidRPr="005D0210">
              <w:rPr>
                <w:rFonts w:asciiTheme="minorHAnsi" w:eastAsia="Times New Roman" w:hAnsiTheme="minorHAnsi" w:cstheme="minorHAnsi"/>
                <w:color w:val="FFFFFF" w:themeColor="background1"/>
                <w:sz w:val="16"/>
                <w:szCs w:val="16"/>
              </w:rPr>
              <w:t>Blinding type</w:t>
            </w:r>
          </w:p>
        </w:tc>
        <w:tc>
          <w:tcPr>
            <w:tcW w:w="2127" w:type="dxa"/>
            <w:vMerge w:val="restart"/>
            <w:hideMark/>
          </w:tcPr>
          <w:p w14:paraId="5C31E90D" w14:textId="77777777" w:rsidR="00781923" w:rsidRPr="005D0210" w:rsidRDefault="00781923" w:rsidP="004E728C">
            <w:pPr>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FFFFFF" w:themeColor="background1"/>
                <w:sz w:val="16"/>
                <w:szCs w:val="16"/>
              </w:rPr>
            </w:pPr>
            <w:r w:rsidRPr="005D0210">
              <w:rPr>
                <w:rFonts w:asciiTheme="minorHAnsi" w:eastAsia="Times New Roman" w:hAnsiTheme="minorHAnsi" w:cstheme="minorHAnsi"/>
                <w:color w:val="FFFFFF" w:themeColor="background1"/>
                <w:sz w:val="16"/>
                <w:szCs w:val="16"/>
              </w:rPr>
              <w:t>Sampling method</w:t>
            </w:r>
          </w:p>
        </w:tc>
        <w:tc>
          <w:tcPr>
            <w:tcW w:w="2693" w:type="dxa"/>
            <w:gridSpan w:val="3"/>
            <w:hideMark/>
          </w:tcPr>
          <w:p w14:paraId="01C688F2" w14:textId="77777777" w:rsidR="00781923" w:rsidRPr="005D0210" w:rsidRDefault="00781923" w:rsidP="004E728C">
            <w:pPr>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FFFFFF" w:themeColor="background1"/>
                <w:sz w:val="16"/>
                <w:szCs w:val="16"/>
              </w:rPr>
            </w:pPr>
            <w:r w:rsidRPr="005D0210">
              <w:rPr>
                <w:rFonts w:asciiTheme="minorHAnsi" w:eastAsia="Times New Roman" w:hAnsiTheme="minorHAnsi" w:cstheme="minorHAnsi"/>
                <w:color w:val="FFFFFF" w:themeColor="background1"/>
                <w:sz w:val="16"/>
                <w:szCs w:val="16"/>
              </w:rPr>
              <w:t>Sample size (enrolled [completers])</w:t>
            </w:r>
          </w:p>
        </w:tc>
        <w:tc>
          <w:tcPr>
            <w:tcW w:w="850" w:type="dxa"/>
            <w:vMerge w:val="restart"/>
            <w:hideMark/>
          </w:tcPr>
          <w:p w14:paraId="38804AA3" w14:textId="77777777" w:rsidR="00781923" w:rsidRPr="005D0210" w:rsidRDefault="00781923" w:rsidP="004E728C">
            <w:pPr>
              <w:spacing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FFFFFF" w:themeColor="background1"/>
                <w:sz w:val="16"/>
                <w:szCs w:val="16"/>
              </w:rPr>
            </w:pPr>
            <w:r w:rsidRPr="005D0210">
              <w:rPr>
                <w:rFonts w:asciiTheme="minorHAnsi" w:eastAsia="Times New Roman" w:hAnsiTheme="minorHAnsi" w:cstheme="minorHAnsi"/>
                <w:color w:val="FFFFFF" w:themeColor="background1"/>
                <w:sz w:val="16"/>
                <w:szCs w:val="16"/>
              </w:rPr>
              <w:t>Female n(%)</w:t>
            </w:r>
          </w:p>
        </w:tc>
        <w:tc>
          <w:tcPr>
            <w:tcW w:w="709" w:type="dxa"/>
            <w:vMerge w:val="restart"/>
          </w:tcPr>
          <w:p w14:paraId="2CBC14D4" w14:textId="77777777" w:rsidR="00781923" w:rsidRPr="005D0210" w:rsidRDefault="00781923" w:rsidP="004E728C">
            <w:pPr>
              <w:spacing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FFFFFF" w:themeColor="background1"/>
                <w:sz w:val="16"/>
                <w:szCs w:val="16"/>
              </w:rPr>
            </w:pPr>
            <w:r w:rsidRPr="005D0210">
              <w:rPr>
                <w:rFonts w:asciiTheme="minorHAnsi" w:eastAsia="Times New Roman" w:hAnsiTheme="minorHAnsi" w:cstheme="minorHAnsi"/>
                <w:color w:val="FFFFFF" w:themeColor="background1"/>
                <w:sz w:val="16"/>
                <w:szCs w:val="16"/>
              </w:rPr>
              <w:t>Age Mean (SD)</w:t>
            </w:r>
          </w:p>
        </w:tc>
        <w:tc>
          <w:tcPr>
            <w:tcW w:w="3152" w:type="dxa"/>
            <w:vMerge w:val="restart"/>
          </w:tcPr>
          <w:p w14:paraId="4677C9AE" w14:textId="77777777" w:rsidR="00781923" w:rsidRPr="005D0210" w:rsidRDefault="00781923" w:rsidP="004E728C">
            <w:pPr>
              <w:spacing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FFFFFF" w:themeColor="background1"/>
                <w:sz w:val="16"/>
                <w:szCs w:val="16"/>
              </w:rPr>
            </w:pPr>
          </w:p>
        </w:tc>
      </w:tr>
      <w:tr w:rsidR="00781923" w:rsidRPr="005D0210" w14:paraId="3234B34B" w14:textId="77777777" w:rsidTr="004E728C">
        <w:trPr>
          <w:cnfStyle w:val="100000000000" w:firstRow="1" w:lastRow="0" w:firstColumn="0" w:lastColumn="0" w:oddVBand="0" w:evenVBand="0" w:oddHBand="0" w:evenHBand="0" w:firstRowFirstColumn="0" w:firstRowLastColumn="0" w:lastRowFirstColumn="0" w:lastRowLastColumn="0"/>
          <w:trHeight w:val="488"/>
          <w:tblHeader/>
        </w:trPr>
        <w:tc>
          <w:tcPr>
            <w:cnfStyle w:val="001000000000" w:firstRow="0" w:lastRow="0" w:firstColumn="1" w:lastColumn="0" w:oddVBand="0" w:evenVBand="0" w:oddHBand="0" w:evenHBand="0" w:firstRowFirstColumn="0" w:firstRowLastColumn="0" w:lastRowFirstColumn="0" w:lastRowLastColumn="0"/>
            <w:tcW w:w="1129" w:type="dxa"/>
            <w:vMerge/>
            <w:hideMark/>
          </w:tcPr>
          <w:p w14:paraId="786B5E8F" w14:textId="77777777" w:rsidR="00781923" w:rsidRPr="005D0210" w:rsidRDefault="00781923" w:rsidP="004E728C">
            <w:pPr>
              <w:spacing w:after="0"/>
              <w:rPr>
                <w:rFonts w:asciiTheme="minorHAnsi" w:eastAsia="Times New Roman" w:hAnsiTheme="minorHAnsi" w:cstheme="minorHAnsi"/>
                <w:b w:val="0"/>
                <w:bCs w:val="0"/>
                <w:sz w:val="16"/>
                <w:szCs w:val="16"/>
              </w:rPr>
            </w:pPr>
          </w:p>
        </w:tc>
        <w:tc>
          <w:tcPr>
            <w:tcW w:w="1985" w:type="dxa"/>
            <w:vMerge/>
            <w:hideMark/>
          </w:tcPr>
          <w:p w14:paraId="4A177DD3" w14:textId="77777777" w:rsidR="00781923" w:rsidRPr="005D0210" w:rsidRDefault="00781923" w:rsidP="004E728C">
            <w:pPr>
              <w:spacing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16"/>
                <w:szCs w:val="16"/>
              </w:rPr>
            </w:pPr>
          </w:p>
        </w:tc>
        <w:tc>
          <w:tcPr>
            <w:tcW w:w="709" w:type="dxa"/>
            <w:vMerge/>
            <w:hideMark/>
          </w:tcPr>
          <w:p w14:paraId="0242D475" w14:textId="77777777" w:rsidR="00781923" w:rsidRPr="005D0210" w:rsidRDefault="00781923" w:rsidP="004E728C">
            <w:pPr>
              <w:spacing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16"/>
                <w:szCs w:val="16"/>
              </w:rPr>
            </w:pPr>
          </w:p>
        </w:tc>
        <w:tc>
          <w:tcPr>
            <w:tcW w:w="708" w:type="dxa"/>
            <w:vMerge/>
            <w:hideMark/>
          </w:tcPr>
          <w:p w14:paraId="58DD46F2" w14:textId="77777777" w:rsidR="00781923" w:rsidRPr="005D0210" w:rsidRDefault="00781923" w:rsidP="004E728C">
            <w:pPr>
              <w:spacing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16"/>
                <w:szCs w:val="16"/>
              </w:rPr>
            </w:pPr>
          </w:p>
        </w:tc>
        <w:tc>
          <w:tcPr>
            <w:tcW w:w="709" w:type="dxa"/>
            <w:vMerge/>
            <w:hideMark/>
          </w:tcPr>
          <w:p w14:paraId="3BF7A5D5" w14:textId="77777777" w:rsidR="00781923" w:rsidRPr="005D0210" w:rsidRDefault="00781923" w:rsidP="004E728C">
            <w:pPr>
              <w:spacing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16"/>
                <w:szCs w:val="16"/>
              </w:rPr>
            </w:pPr>
          </w:p>
        </w:tc>
        <w:tc>
          <w:tcPr>
            <w:tcW w:w="992" w:type="dxa"/>
            <w:vMerge/>
            <w:hideMark/>
          </w:tcPr>
          <w:p w14:paraId="26A1A6C9" w14:textId="77777777" w:rsidR="00781923" w:rsidRPr="005D0210" w:rsidRDefault="00781923" w:rsidP="004E728C">
            <w:pPr>
              <w:spacing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16"/>
                <w:szCs w:val="16"/>
              </w:rPr>
            </w:pPr>
          </w:p>
        </w:tc>
        <w:tc>
          <w:tcPr>
            <w:tcW w:w="2127" w:type="dxa"/>
            <w:vMerge/>
            <w:hideMark/>
          </w:tcPr>
          <w:p w14:paraId="22882EA9" w14:textId="77777777" w:rsidR="00781923" w:rsidRPr="005D0210" w:rsidRDefault="00781923" w:rsidP="004E728C">
            <w:pPr>
              <w:spacing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16"/>
                <w:szCs w:val="16"/>
              </w:rPr>
            </w:pPr>
          </w:p>
        </w:tc>
        <w:tc>
          <w:tcPr>
            <w:tcW w:w="850" w:type="dxa"/>
            <w:hideMark/>
          </w:tcPr>
          <w:p w14:paraId="5D72C15D" w14:textId="77777777" w:rsidR="00781923" w:rsidRPr="005D0210" w:rsidRDefault="00781923" w:rsidP="004E728C">
            <w:pPr>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FFFFFF" w:themeColor="background1"/>
                <w:sz w:val="16"/>
                <w:szCs w:val="16"/>
              </w:rPr>
            </w:pPr>
            <w:r w:rsidRPr="005D0210">
              <w:rPr>
                <w:rFonts w:asciiTheme="minorHAnsi" w:eastAsia="Times New Roman" w:hAnsiTheme="minorHAnsi" w:cstheme="minorHAnsi"/>
                <w:color w:val="FFFFFF" w:themeColor="background1"/>
                <w:sz w:val="16"/>
                <w:szCs w:val="16"/>
              </w:rPr>
              <w:t>Total</w:t>
            </w:r>
          </w:p>
        </w:tc>
        <w:tc>
          <w:tcPr>
            <w:tcW w:w="992" w:type="dxa"/>
            <w:hideMark/>
          </w:tcPr>
          <w:p w14:paraId="167100ED" w14:textId="77777777" w:rsidR="00781923" w:rsidRPr="005D0210" w:rsidRDefault="00781923" w:rsidP="004E728C">
            <w:pPr>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FFFFFF" w:themeColor="background1"/>
                <w:sz w:val="16"/>
                <w:szCs w:val="16"/>
              </w:rPr>
            </w:pPr>
            <w:r w:rsidRPr="005D0210">
              <w:rPr>
                <w:rFonts w:asciiTheme="minorHAnsi" w:eastAsia="Times New Roman" w:hAnsiTheme="minorHAnsi" w:cstheme="minorHAnsi"/>
                <w:color w:val="FFFFFF" w:themeColor="background1"/>
                <w:sz w:val="16"/>
                <w:szCs w:val="16"/>
              </w:rPr>
              <w:t>Experimental</w:t>
            </w:r>
          </w:p>
        </w:tc>
        <w:tc>
          <w:tcPr>
            <w:tcW w:w="851" w:type="dxa"/>
            <w:hideMark/>
          </w:tcPr>
          <w:p w14:paraId="083D4C68" w14:textId="77777777" w:rsidR="00781923" w:rsidRPr="005D0210" w:rsidRDefault="00781923" w:rsidP="004E728C">
            <w:pPr>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FFFFFF" w:themeColor="background1"/>
                <w:sz w:val="16"/>
                <w:szCs w:val="16"/>
              </w:rPr>
            </w:pPr>
            <w:r w:rsidRPr="005D0210">
              <w:rPr>
                <w:rFonts w:asciiTheme="minorHAnsi" w:eastAsia="Times New Roman" w:hAnsiTheme="minorHAnsi" w:cstheme="minorHAnsi"/>
                <w:color w:val="FFFFFF" w:themeColor="background1"/>
                <w:sz w:val="16"/>
                <w:szCs w:val="16"/>
              </w:rPr>
              <w:t>Control</w:t>
            </w:r>
          </w:p>
        </w:tc>
        <w:tc>
          <w:tcPr>
            <w:tcW w:w="850" w:type="dxa"/>
            <w:vMerge/>
            <w:hideMark/>
          </w:tcPr>
          <w:p w14:paraId="32A8F01F" w14:textId="77777777" w:rsidR="00781923" w:rsidRPr="005D0210" w:rsidRDefault="00781923" w:rsidP="004E728C">
            <w:pPr>
              <w:spacing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16"/>
                <w:szCs w:val="16"/>
              </w:rPr>
            </w:pPr>
          </w:p>
        </w:tc>
        <w:tc>
          <w:tcPr>
            <w:tcW w:w="709" w:type="dxa"/>
            <w:vMerge/>
          </w:tcPr>
          <w:p w14:paraId="1610B3E6" w14:textId="77777777" w:rsidR="00781923" w:rsidRPr="005D0210" w:rsidRDefault="00781923" w:rsidP="004E728C">
            <w:pPr>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16"/>
                <w:szCs w:val="16"/>
              </w:rPr>
            </w:pPr>
          </w:p>
        </w:tc>
        <w:tc>
          <w:tcPr>
            <w:tcW w:w="3152" w:type="dxa"/>
            <w:vMerge/>
          </w:tcPr>
          <w:p w14:paraId="19D241D8" w14:textId="77777777" w:rsidR="00781923" w:rsidRPr="005D0210" w:rsidRDefault="00781923" w:rsidP="004E728C">
            <w:pPr>
              <w:spacing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16"/>
                <w:szCs w:val="16"/>
              </w:rPr>
            </w:pPr>
          </w:p>
        </w:tc>
      </w:tr>
      <w:tr w:rsidR="00781923" w:rsidRPr="005D0210" w14:paraId="1EF05A76" w14:textId="77777777" w:rsidTr="004E728C">
        <w:trPr>
          <w:cnfStyle w:val="000000100000" w:firstRow="0" w:lastRow="0" w:firstColumn="0" w:lastColumn="0" w:oddVBand="0" w:evenVBand="0" w:oddHBand="1" w:evenHBand="0" w:firstRowFirstColumn="0" w:firstRowLastColumn="0" w:lastRowFirstColumn="0" w:lastRowLastColumn="0"/>
          <w:trHeight w:val="1364"/>
        </w:trPr>
        <w:tc>
          <w:tcPr>
            <w:cnfStyle w:val="001000000000" w:firstRow="0" w:lastRow="0" w:firstColumn="1" w:lastColumn="0" w:oddVBand="0" w:evenVBand="0" w:oddHBand="0" w:evenHBand="0" w:firstRowFirstColumn="0" w:firstRowLastColumn="0" w:lastRowFirstColumn="0" w:lastRowLastColumn="0"/>
            <w:tcW w:w="1129" w:type="dxa"/>
            <w:hideMark/>
          </w:tcPr>
          <w:p w14:paraId="2ACF0416" w14:textId="77777777" w:rsidR="00781923" w:rsidRPr="005D0210" w:rsidRDefault="00781923" w:rsidP="004E728C">
            <w:pPr>
              <w:spacing w:after="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t>Baldassarri 2018</w:t>
            </w:r>
          </w:p>
        </w:tc>
        <w:tc>
          <w:tcPr>
            <w:tcW w:w="1985" w:type="dxa"/>
            <w:hideMark/>
          </w:tcPr>
          <w:p w14:paraId="62DC908A" w14:textId="77777777" w:rsidR="00781923" w:rsidRPr="005D0210" w:rsidRDefault="00781923" w:rsidP="004E728C">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t>To establish the feasibility of adding an EC to outpatient tobacco treatment as part of a standard care regimen.</w:t>
            </w:r>
          </w:p>
        </w:tc>
        <w:tc>
          <w:tcPr>
            <w:tcW w:w="709" w:type="dxa"/>
            <w:hideMark/>
          </w:tcPr>
          <w:p w14:paraId="42A1E216" w14:textId="77777777" w:rsidR="00781923" w:rsidRPr="005D0210" w:rsidRDefault="00781923" w:rsidP="004E728C">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t>USA</w:t>
            </w:r>
          </w:p>
        </w:tc>
        <w:tc>
          <w:tcPr>
            <w:tcW w:w="708" w:type="dxa"/>
            <w:hideMark/>
          </w:tcPr>
          <w:p w14:paraId="576B4BAB" w14:textId="77777777" w:rsidR="00781923" w:rsidRPr="005D0210" w:rsidRDefault="00781923" w:rsidP="004E728C">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t>Parallel</w:t>
            </w:r>
          </w:p>
        </w:tc>
        <w:tc>
          <w:tcPr>
            <w:tcW w:w="709" w:type="dxa"/>
            <w:hideMark/>
          </w:tcPr>
          <w:p w14:paraId="4A42CB9E" w14:textId="77777777" w:rsidR="00781923" w:rsidRPr="005D0210" w:rsidRDefault="00781923" w:rsidP="004E728C">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t>24</w:t>
            </w:r>
          </w:p>
        </w:tc>
        <w:tc>
          <w:tcPr>
            <w:tcW w:w="992" w:type="dxa"/>
            <w:hideMark/>
          </w:tcPr>
          <w:p w14:paraId="7F8A46D5" w14:textId="77777777" w:rsidR="00781923" w:rsidRPr="005D0210" w:rsidRDefault="00781923" w:rsidP="004E728C">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t>Double</w:t>
            </w:r>
          </w:p>
        </w:tc>
        <w:tc>
          <w:tcPr>
            <w:tcW w:w="2127" w:type="dxa"/>
            <w:hideMark/>
          </w:tcPr>
          <w:p w14:paraId="76CC62CB" w14:textId="2304F997" w:rsidR="00781923" w:rsidRPr="005D0210" w:rsidRDefault="007D18D8" w:rsidP="004E728C">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Pr>
                <w:rFonts w:asciiTheme="minorHAnsi" w:eastAsia="Times New Roman" w:hAnsiTheme="minorHAnsi" w:cstheme="minorHAnsi"/>
                <w:sz w:val="16"/>
                <w:szCs w:val="16"/>
              </w:rPr>
              <w:t>R</w:t>
            </w:r>
            <w:r w:rsidR="00781923" w:rsidRPr="005D0210">
              <w:rPr>
                <w:rFonts w:asciiTheme="minorHAnsi" w:eastAsia="Times New Roman" w:hAnsiTheme="minorHAnsi" w:cstheme="minorHAnsi"/>
                <w:sz w:val="16"/>
                <w:szCs w:val="16"/>
              </w:rPr>
              <w:t>ecruited from the Yale</w:t>
            </w:r>
            <w:r w:rsidR="00781923" w:rsidRPr="005D0210">
              <w:rPr>
                <w:rFonts w:asciiTheme="minorHAnsi" w:eastAsia="Times New Roman" w:hAnsiTheme="minorHAnsi" w:cstheme="minorHAnsi"/>
                <w:sz w:val="16"/>
                <w:szCs w:val="16"/>
              </w:rPr>
              <w:noBreakHyphen/>
              <w:t>New Haven Hospital</w:t>
            </w:r>
            <w:r w:rsidR="00781923" w:rsidRPr="005D0210">
              <w:rPr>
                <w:rFonts w:asciiTheme="minorHAnsi" w:eastAsia="Times New Roman" w:hAnsiTheme="minorHAnsi" w:cstheme="minorHAnsi"/>
                <w:sz w:val="16"/>
                <w:szCs w:val="16"/>
              </w:rPr>
              <w:br/>
              <w:t>outpatient pulmonary and primary care clinics, Tobacco Treatment Service, and through referrals from medical providers in the Yale</w:t>
            </w:r>
            <w:r w:rsidR="00781923" w:rsidRPr="005D0210">
              <w:rPr>
                <w:rFonts w:asciiTheme="minorHAnsi" w:eastAsia="Times New Roman" w:hAnsiTheme="minorHAnsi" w:cstheme="minorHAnsi"/>
                <w:sz w:val="16"/>
                <w:szCs w:val="16"/>
              </w:rPr>
              <w:noBreakHyphen/>
              <w:t>New Haven Health system</w:t>
            </w:r>
            <w:r w:rsidR="00F66844">
              <w:rPr>
                <w:rFonts w:asciiTheme="minorHAnsi" w:eastAsia="Times New Roman" w:hAnsiTheme="minorHAnsi" w:cstheme="minorHAnsi"/>
                <w:sz w:val="16"/>
                <w:szCs w:val="16"/>
              </w:rPr>
              <w:t>.</w:t>
            </w:r>
          </w:p>
        </w:tc>
        <w:tc>
          <w:tcPr>
            <w:tcW w:w="850" w:type="dxa"/>
            <w:hideMark/>
          </w:tcPr>
          <w:p w14:paraId="19F70B0C" w14:textId="77777777" w:rsidR="00781923" w:rsidRPr="005D0210" w:rsidRDefault="00781923" w:rsidP="004E728C">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t>40 [40]</w:t>
            </w:r>
          </w:p>
        </w:tc>
        <w:tc>
          <w:tcPr>
            <w:tcW w:w="992" w:type="dxa"/>
            <w:hideMark/>
          </w:tcPr>
          <w:p w14:paraId="356F843B" w14:textId="77777777" w:rsidR="00781923" w:rsidRPr="005D0210" w:rsidRDefault="00781923" w:rsidP="004E728C">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t>20 [20]</w:t>
            </w:r>
          </w:p>
        </w:tc>
        <w:tc>
          <w:tcPr>
            <w:tcW w:w="851" w:type="dxa"/>
            <w:hideMark/>
          </w:tcPr>
          <w:p w14:paraId="1230A01B" w14:textId="77777777" w:rsidR="00781923" w:rsidRPr="005D0210" w:rsidRDefault="00781923" w:rsidP="004E728C">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t>20 [20]</w:t>
            </w:r>
          </w:p>
        </w:tc>
        <w:tc>
          <w:tcPr>
            <w:tcW w:w="850" w:type="dxa"/>
            <w:hideMark/>
          </w:tcPr>
          <w:p w14:paraId="6E7AE906" w14:textId="77777777" w:rsidR="00781923" w:rsidRPr="005D0210" w:rsidRDefault="00781923" w:rsidP="004E728C">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t>21 (52.5)</w:t>
            </w:r>
          </w:p>
        </w:tc>
        <w:tc>
          <w:tcPr>
            <w:tcW w:w="709" w:type="dxa"/>
            <w:hideMark/>
          </w:tcPr>
          <w:p w14:paraId="7C4A7460" w14:textId="77777777" w:rsidR="00781923" w:rsidRPr="005D0210" w:rsidRDefault="00781923" w:rsidP="004E728C">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t>53 (10.1)</w:t>
            </w:r>
          </w:p>
        </w:tc>
        <w:tc>
          <w:tcPr>
            <w:tcW w:w="3152" w:type="dxa"/>
            <w:hideMark/>
          </w:tcPr>
          <w:p w14:paraId="4F5F87FA" w14:textId="60755C46" w:rsidR="00781923" w:rsidRPr="005D0210" w:rsidRDefault="00781923" w:rsidP="004E728C">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t xml:space="preserve">Inclusion criteria: Age 18 years or older; Smoking 1 or more tobacco cigarettes per day; Willing to quit smoking. </w:t>
            </w:r>
            <w:r w:rsidRPr="005D0210">
              <w:rPr>
                <w:rFonts w:asciiTheme="minorHAnsi" w:eastAsia="Times New Roman" w:hAnsiTheme="minorHAnsi" w:cstheme="minorHAnsi"/>
                <w:sz w:val="16"/>
                <w:szCs w:val="16"/>
              </w:rPr>
              <w:br/>
              <w:t>Exclusion criteria: Unstable psychiatric or medical conditions requiring hospitalization within the past 4 months; Acute coronary syndromes or stroke within the past 30 days; History of allergic reactions to adhesives; Women who were pregnant, nursing, or not practicing effective contraception; Current use of an EC for the purpose of stopping tobacco cigarette smoking.</w:t>
            </w:r>
          </w:p>
        </w:tc>
      </w:tr>
      <w:tr w:rsidR="00781923" w:rsidRPr="005D0210" w14:paraId="073C4A59" w14:textId="77777777" w:rsidTr="004E728C">
        <w:trPr>
          <w:trHeight w:val="973"/>
        </w:trPr>
        <w:tc>
          <w:tcPr>
            <w:cnfStyle w:val="001000000000" w:firstRow="0" w:lastRow="0" w:firstColumn="1" w:lastColumn="0" w:oddVBand="0" w:evenVBand="0" w:oddHBand="0" w:evenHBand="0" w:firstRowFirstColumn="0" w:firstRowLastColumn="0" w:lastRowFirstColumn="0" w:lastRowLastColumn="0"/>
            <w:tcW w:w="1129" w:type="dxa"/>
            <w:hideMark/>
          </w:tcPr>
          <w:p w14:paraId="05CB3624" w14:textId="77777777" w:rsidR="00781923" w:rsidRPr="005D0210" w:rsidRDefault="00781923" w:rsidP="004E728C">
            <w:pPr>
              <w:spacing w:after="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t>Carpenter 2017</w:t>
            </w:r>
          </w:p>
        </w:tc>
        <w:tc>
          <w:tcPr>
            <w:tcW w:w="1985" w:type="dxa"/>
            <w:hideMark/>
          </w:tcPr>
          <w:p w14:paraId="5FE8AB50" w14:textId="77777777" w:rsidR="00781923" w:rsidRPr="005D0210" w:rsidRDefault="00781923" w:rsidP="004E728C">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t>Our general aim was to approximate the real</w:t>
            </w:r>
            <w:r w:rsidRPr="005D0210">
              <w:rPr>
                <w:rFonts w:asciiTheme="minorHAnsi" w:eastAsia="Times New Roman" w:hAnsiTheme="minorHAnsi" w:cstheme="minorHAnsi"/>
                <w:sz w:val="16"/>
                <w:szCs w:val="16"/>
              </w:rPr>
              <w:noBreakHyphen/>
              <w:t>world scenario in which smokers are exposed to e</w:t>
            </w:r>
            <w:r w:rsidRPr="005D0210">
              <w:rPr>
                <w:rFonts w:asciiTheme="minorHAnsi" w:eastAsia="Times New Roman" w:hAnsiTheme="minorHAnsi" w:cstheme="minorHAnsi"/>
                <w:sz w:val="16"/>
                <w:szCs w:val="16"/>
              </w:rPr>
              <w:noBreakHyphen/>
              <w:t xml:space="preserve">cigarette and decide on their own if and how they will use them. </w:t>
            </w:r>
          </w:p>
        </w:tc>
        <w:tc>
          <w:tcPr>
            <w:tcW w:w="709" w:type="dxa"/>
            <w:hideMark/>
          </w:tcPr>
          <w:p w14:paraId="7C010AA7" w14:textId="77777777" w:rsidR="00781923" w:rsidRPr="005D0210" w:rsidRDefault="00781923" w:rsidP="004E728C">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t>USA</w:t>
            </w:r>
          </w:p>
        </w:tc>
        <w:tc>
          <w:tcPr>
            <w:tcW w:w="708" w:type="dxa"/>
            <w:hideMark/>
          </w:tcPr>
          <w:p w14:paraId="4F02ACC4" w14:textId="77777777" w:rsidR="00781923" w:rsidRPr="005D0210" w:rsidRDefault="00781923" w:rsidP="004E728C">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t>Parallel</w:t>
            </w:r>
          </w:p>
        </w:tc>
        <w:tc>
          <w:tcPr>
            <w:tcW w:w="709" w:type="dxa"/>
            <w:hideMark/>
          </w:tcPr>
          <w:p w14:paraId="34AABE09" w14:textId="77777777" w:rsidR="00781923" w:rsidRPr="005D0210" w:rsidRDefault="00781923" w:rsidP="004E728C">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t>21days, then 16 wk f/up</w:t>
            </w:r>
          </w:p>
        </w:tc>
        <w:tc>
          <w:tcPr>
            <w:tcW w:w="992" w:type="dxa"/>
            <w:hideMark/>
          </w:tcPr>
          <w:p w14:paraId="15492927" w14:textId="77777777" w:rsidR="00781923" w:rsidRPr="005D0210" w:rsidRDefault="00781923" w:rsidP="004E728C">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t>N</w:t>
            </w:r>
          </w:p>
        </w:tc>
        <w:tc>
          <w:tcPr>
            <w:tcW w:w="2127" w:type="dxa"/>
            <w:hideMark/>
          </w:tcPr>
          <w:p w14:paraId="32BC7464" w14:textId="0D3ED591" w:rsidR="00781923" w:rsidRPr="005D0210" w:rsidRDefault="00781923" w:rsidP="004E728C">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t>Recruited from the local community (south eastern U.S. urban area; approximately 30% non</w:t>
            </w:r>
            <w:r w:rsidRPr="005D0210">
              <w:rPr>
                <w:rFonts w:asciiTheme="minorHAnsi" w:eastAsia="Times New Roman" w:hAnsiTheme="minorHAnsi" w:cstheme="minorHAnsi"/>
                <w:sz w:val="16"/>
                <w:szCs w:val="16"/>
              </w:rPr>
              <w:noBreakHyphen/>
              <w:t>white) using various media outlets</w:t>
            </w:r>
            <w:r w:rsidR="00F66844">
              <w:rPr>
                <w:rFonts w:asciiTheme="minorHAnsi" w:eastAsia="Times New Roman" w:hAnsiTheme="minorHAnsi" w:cstheme="minorHAnsi"/>
                <w:sz w:val="16"/>
                <w:szCs w:val="16"/>
              </w:rPr>
              <w:t>.</w:t>
            </w:r>
          </w:p>
        </w:tc>
        <w:tc>
          <w:tcPr>
            <w:tcW w:w="850" w:type="dxa"/>
            <w:hideMark/>
          </w:tcPr>
          <w:p w14:paraId="02C9F527" w14:textId="77777777" w:rsidR="00781923" w:rsidRPr="005D0210" w:rsidRDefault="00781923" w:rsidP="004E728C">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t>68[50]</w:t>
            </w:r>
          </w:p>
        </w:tc>
        <w:tc>
          <w:tcPr>
            <w:tcW w:w="992" w:type="dxa"/>
            <w:hideMark/>
          </w:tcPr>
          <w:p w14:paraId="18CE7DF6" w14:textId="77777777" w:rsidR="00781923" w:rsidRPr="005D0210" w:rsidRDefault="00781923" w:rsidP="004E728C">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t>G1 (16mg nicotine): 25[19]</w:t>
            </w:r>
            <w:r w:rsidRPr="005D0210">
              <w:rPr>
                <w:rFonts w:asciiTheme="minorHAnsi" w:eastAsia="Times New Roman" w:hAnsiTheme="minorHAnsi" w:cstheme="minorHAnsi"/>
                <w:sz w:val="16"/>
                <w:szCs w:val="16"/>
              </w:rPr>
              <w:br/>
              <w:t>G2 (24mg nicotine): 21[15]</w:t>
            </w:r>
          </w:p>
        </w:tc>
        <w:tc>
          <w:tcPr>
            <w:tcW w:w="851" w:type="dxa"/>
            <w:hideMark/>
          </w:tcPr>
          <w:p w14:paraId="44C300F7" w14:textId="77777777" w:rsidR="00781923" w:rsidRPr="005D0210" w:rsidRDefault="00781923" w:rsidP="004E728C">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t>22[16]</w:t>
            </w:r>
          </w:p>
        </w:tc>
        <w:tc>
          <w:tcPr>
            <w:tcW w:w="850" w:type="dxa"/>
            <w:hideMark/>
          </w:tcPr>
          <w:p w14:paraId="0808CFDD" w14:textId="77777777" w:rsidR="00781923" w:rsidRPr="005D0210" w:rsidRDefault="00781923" w:rsidP="004E728C">
            <w:pPr>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t>41 (60)</w:t>
            </w:r>
          </w:p>
        </w:tc>
        <w:tc>
          <w:tcPr>
            <w:tcW w:w="709" w:type="dxa"/>
            <w:hideMark/>
          </w:tcPr>
          <w:p w14:paraId="551AF360" w14:textId="77777777" w:rsidR="00781923" w:rsidRPr="005D0210" w:rsidRDefault="00781923" w:rsidP="004E728C">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t>NR</w:t>
            </w:r>
          </w:p>
        </w:tc>
        <w:tc>
          <w:tcPr>
            <w:tcW w:w="3152" w:type="dxa"/>
            <w:hideMark/>
          </w:tcPr>
          <w:p w14:paraId="05F79C85" w14:textId="77777777" w:rsidR="00781923" w:rsidRPr="005D0210" w:rsidRDefault="00781923" w:rsidP="004E728C">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t>(1) age 18+, (ii) current smoker of 5 cigarettes per day (CPD) for 1 year, (iii) no recent history of cardiovascular distress (heart attack in past 3 months, arrhythmia, uncontrolled hypertension), (iv) neither pregnant nor breastfeeding (verified), (v) absence of any major current psychiatric impairment, (vi) current, active use of email, (vii) at least some concern for health effects of smoking (&gt;none at all on a Likert scale), and (viii) not used any ENDS product in the past 6 months, and (ix) never purchased an ENDS product.</w:t>
            </w:r>
          </w:p>
        </w:tc>
      </w:tr>
      <w:tr w:rsidR="00781923" w:rsidRPr="005D0210" w14:paraId="5B0F6CD1" w14:textId="77777777" w:rsidTr="004E728C">
        <w:trPr>
          <w:cnfStyle w:val="000000100000" w:firstRow="0" w:lastRow="0" w:firstColumn="0" w:lastColumn="0" w:oddVBand="0" w:evenVBand="0" w:oddHBand="1" w:evenHBand="0" w:firstRowFirstColumn="0" w:firstRowLastColumn="0" w:lastRowFirstColumn="0" w:lastRowLastColumn="0"/>
          <w:trHeight w:val="1387"/>
        </w:trPr>
        <w:tc>
          <w:tcPr>
            <w:cnfStyle w:val="001000000000" w:firstRow="0" w:lastRow="0" w:firstColumn="1" w:lastColumn="0" w:oddVBand="0" w:evenVBand="0" w:oddHBand="0" w:evenHBand="0" w:firstRowFirstColumn="0" w:firstRowLastColumn="0" w:lastRowFirstColumn="0" w:lastRowLastColumn="0"/>
            <w:tcW w:w="1129" w:type="dxa"/>
            <w:hideMark/>
          </w:tcPr>
          <w:p w14:paraId="2EFCFC5E" w14:textId="77777777" w:rsidR="00781923" w:rsidRPr="005D0210" w:rsidRDefault="00781923" w:rsidP="004E728C">
            <w:pPr>
              <w:spacing w:after="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t>Harvanko 2017</w:t>
            </w:r>
          </w:p>
        </w:tc>
        <w:tc>
          <w:tcPr>
            <w:tcW w:w="1985" w:type="dxa"/>
            <w:hideMark/>
          </w:tcPr>
          <w:p w14:paraId="3A6A794A" w14:textId="3490733B" w:rsidR="00781923" w:rsidRPr="005D0210" w:rsidRDefault="007D18D8" w:rsidP="004E728C">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Pr>
                <w:rFonts w:asciiTheme="minorHAnsi" w:eastAsia="Times New Roman" w:hAnsiTheme="minorHAnsi" w:cstheme="minorHAnsi"/>
                <w:sz w:val="16"/>
                <w:szCs w:val="16"/>
              </w:rPr>
              <w:t>T</w:t>
            </w:r>
            <w:r w:rsidR="00781923" w:rsidRPr="005D0210">
              <w:rPr>
                <w:rFonts w:asciiTheme="minorHAnsi" w:eastAsia="Times New Roman" w:hAnsiTheme="minorHAnsi" w:cstheme="minorHAnsi"/>
                <w:sz w:val="16"/>
                <w:szCs w:val="16"/>
              </w:rPr>
              <w:t>o examine the behavioural effects of controlled puffs from a CC (participant’s own brand) and EC producing aerosol from commercial solutions containing 0, 8, or 16mg/ml of nicotine following 24 h of smoking deprivation.</w:t>
            </w:r>
          </w:p>
        </w:tc>
        <w:tc>
          <w:tcPr>
            <w:tcW w:w="709" w:type="dxa"/>
            <w:hideMark/>
          </w:tcPr>
          <w:p w14:paraId="21BBEF3D" w14:textId="77777777" w:rsidR="00781923" w:rsidRPr="005D0210" w:rsidRDefault="00781923" w:rsidP="004E728C">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t>USA</w:t>
            </w:r>
          </w:p>
        </w:tc>
        <w:tc>
          <w:tcPr>
            <w:tcW w:w="708" w:type="dxa"/>
            <w:hideMark/>
          </w:tcPr>
          <w:p w14:paraId="41D5CB74" w14:textId="77777777" w:rsidR="00781923" w:rsidRPr="005D0210" w:rsidRDefault="00781923" w:rsidP="004E728C">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t>Cross</w:t>
            </w:r>
            <w:r w:rsidRPr="005D0210">
              <w:rPr>
                <w:rFonts w:asciiTheme="minorHAnsi" w:eastAsia="Times New Roman" w:hAnsiTheme="minorHAnsi" w:cstheme="minorHAnsi"/>
                <w:sz w:val="16"/>
                <w:szCs w:val="16"/>
              </w:rPr>
              <w:noBreakHyphen/>
              <w:t>over</w:t>
            </w:r>
          </w:p>
        </w:tc>
        <w:tc>
          <w:tcPr>
            <w:tcW w:w="709" w:type="dxa"/>
            <w:hideMark/>
          </w:tcPr>
          <w:p w14:paraId="41EB083E" w14:textId="77777777" w:rsidR="00781923" w:rsidRPr="005D0210" w:rsidRDefault="00781923" w:rsidP="004E728C">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t>NR</w:t>
            </w:r>
          </w:p>
        </w:tc>
        <w:tc>
          <w:tcPr>
            <w:tcW w:w="992" w:type="dxa"/>
            <w:hideMark/>
          </w:tcPr>
          <w:p w14:paraId="70A809F6" w14:textId="77777777" w:rsidR="00781923" w:rsidRPr="005D0210" w:rsidRDefault="00781923" w:rsidP="004E728C">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t>Double</w:t>
            </w:r>
          </w:p>
        </w:tc>
        <w:tc>
          <w:tcPr>
            <w:tcW w:w="2127" w:type="dxa"/>
            <w:hideMark/>
          </w:tcPr>
          <w:p w14:paraId="79932198" w14:textId="77777777" w:rsidR="00781923" w:rsidRPr="005D0210" w:rsidRDefault="00781923" w:rsidP="004E728C">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t xml:space="preserve">Participants were recruited from the community using online advertisements. </w:t>
            </w:r>
          </w:p>
        </w:tc>
        <w:tc>
          <w:tcPr>
            <w:tcW w:w="850" w:type="dxa"/>
            <w:hideMark/>
          </w:tcPr>
          <w:p w14:paraId="1C7CAE8B" w14:textId="77777777" w:rsidR="00781923" w:rsidRPr="005D0210" w:rsidRDefault="00781923" w:rsidP="004E728C">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t>9[8]</w:t>
            </w:r>
          </w:p>
        </w:tc>
        <w:tc>
          <w:tcPr>
            <w:tcW w:w="992" w:type="dxa"/>
            <w:hideMark/>
          </w:tcPr>
          <w:p w14:paraId="7640DABE" w14:textId="77777777" w:rsidR="00781923" w:rsidRPr="005D0210" w:rsidRDefault="00781923" w:rsidP="004E728C">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t>9[8]</w:t>
            </w:r>
          </w:p>
        </w:tc>
        <w:tc>
          <w:tcPr>
            <w:tcW w:w="851" w:type="dxa"/>
            <w:hideMark/>
          </w:tcPr>
          <w:p w14:paraId="31149978" w14:textId="77777777" w:rsidR="00781923" w:rsidRPr="005D0210" w:rsidRDefault="00781923" w:rsidP="004E728C">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t>9[8]</w:t>
            </w:r>
          </w:p>
        </w:tc>
        <w:tc>
          <w:tcPr>
            <w:tcW w:w="850" w:type="dxa"/>
            <w:hideMark/>
          </w:tcPr>
          <w:p w14:paraId="7E50608A" w14:textId="77777777" w:rsidR="00781923" w:rsidRPr="005D0210" w:rsidRDefault="00781923" w:rsidP="004E728C">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t>3 (33)</w:t>
            </w:r>
          </w:p>
        </w:tc>
        <w:tc>
          <w:tcPr>
            <w:tcW w:w="709" w:type="dxa"/>
            <w:hideMark/>
          </w:tcPr>
          <w:p w14:paraId="6C948711" w14:textId="77777777" w:rsidR="00781923" w:rsidRPr="005D0210" w:rsidRDefault="00781923" w:rsidP="004E728C">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t>NR</w:t>
            </w:r>
          </w:p>
        </w:tc>
        <w:tc>
          <w:tcPr>
            <w:tcW w:w="3152" w:type="dxa"/>
            <w:hideMark/>
          </w:tcPr>
          <w:p w14:paraId="190E779C" w14:textId="77777777" w:rsidR="00781923" w:rsidRPr="005D0210" w:rsidRDefault="00781923" w:rsidP="004E728C">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t>Inclusion criteria were smoking an average of 10 or more non</w:t>
            </w:r>
            <w:r w:rsidRPr="005D0210">
              <w:rPr>
                <w:rFonts w:asciiTheme="minorHAnsi" w:eastAsia="Times New Roman" w:hAnsiTheme="minorHAnsi" w:cstheme="minorHAnsi"/>
                <w:sz w:val="16"/>
                <w:szCs w:val="16"/>
              </w:rPr>
              <w:noBreakHyphen/>
              <w:t>menthol tobacco cigarettes per day for at least one year, breath carbon monoxide (CO) levels of 10 ppmor higher during screening, and not being a regular EC user (defined as daily use of an EC for the past seven days). Individuals were excluded if they expressed interest or engagement in smoking cessation treatment.</w:t>
            </w:r>
          </w:p>
        </w:tc>
      </w:tr>
      <w:tr w:rsidR="00781923" w:rsidRPr="005D0210" w14:paraId="12AF14BC" w14:textId="77777777" w:rsidTr="004E728C">
        <w:trPr>
          <w:trHeight w:val="558"/>
        </w:trPr>
        <w:tc>
          <w:tcPr>
            <w:cnfStyle w:val="001000000000" w:firstRow="0" w:lastRow="0" w:firstColumn="1" w:lastColumn="0" w:oddVBand="0" w:evenVBand="0" w:oddHBand="0" w:evenHBand="0" w:firstRowFirstColumn="0" w:firstRowLastColumn="0" w:lastRowFirstColumn="0" w:lastRowLastColumn="0"/>
            <w:tcW w:w="1129" w:type="dxa"/>
            <w:hideMark/>
          </w:tcPr>
          <w:p w14:paraId="79CE8343" w14:textId="77777777" w:rsidR="00781923" w:rsidRPr="005D0210" w:rsidRDefault="00781923" w:rsidP="004E728C">
            <w:pPr>
              <w:spacing w:after="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t>Hiler 2017</w:t>
            </w:r>
          </w:p>
        </w:tc>
        <w:tc>
          <w:tcPr>
            <w:tcW w:w="1985" w:type="dxa"/>
            <w:hideMark/>
          </w:tcPr>
          <w:p w14:paraId="028E8C6B" w14:textId="24A16910" w:rsidR="00781923" w:rsidRPr="005D0210" w:rsidRDefault="007D18D8" w:rsidP="004E728C">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rPr>
            </w:pPr>
            <w:r>
              <w:rPr>
                <w:rFonts w:asciiTheme="minorHAnsi" w:eastAsia="Times New Roman" w:hAnsiTheme="minorHAnsi" w:cstheme="minorHAnsi"/>
                <w:sz w:val="16"/>
                <w:szCs w:val="16"/>
              </w:rPr>
              <w:t>T</w:t>
            </w:r>
            <w:r w:rsidR="00781923" w:rsidRPr="005D0210">
              <w:rPr>
                <w:rFonts w:asciiTheme="minorHAnsi" w:eastAsia="Times New Roman" w:hAnsiTheme="minorHAnsi" w:cstheme="minorHAnsi"/>
                <w:sz w:val="16"/>
                <w:szCs w:val="16"/>
              </w:rPr>
              <w:t>o determine if liquid nicotine concentration and user experience directly influences outcomes such as plasma nicotine delivery, HR, puff topography, and user subjective effects.</w:t>
            </w:r>
          </w:p>
        </w:tc>
        <w:tc>
          <w:tcPr>
            <w:tcW w:w="709" w:type="dxa"/>
            <w:hideMark/>
          </w:tcPr>
          <w:p w14:paraId="31AD87B7" w14:textId="77777777" w:rsidR="00781923" w:rsidRPr="005D0210" w:rsidRDefault="00781923" w:rsidP="004E728C">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t>USA</w:t>
            </w:r>
          </w:p>
        </w:tc>
        <w:tc>
          <w:tcPr>
            <w:tcW w:w="708" w:type="dxa"/>
            <w:hideMark/>
          </w:tcPr>
          <w:p w14:paraId="693C3CB7" w14:textId="77777777" w:rsidR="00781923" w:rsidRPr="005D0210" w:rsidRDefault="00781923" w:rsidP="004E728C">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t>Cross</w:t>
            </w:r>
            <w:r w:rsidRPr="005D0210">
              <w:rPr>
                <w:rFonts w:asciiTheme="minorHAnsi" w:eastAsia="Times New Roman" w:hAnsiTheme="minorHAnsi" w:cstheme="minorHAnsi"/>
                <w:sz w:val="16"/>
                <w:szCs w:val="16"/>
              </w:rPr>
              <w:noBreakHyphen/>
              <w:t>over</w:t>
            </w:r>
          </w:p>
        </w:tc>
        <w:tc>
          <w:tcPr>
            <w:tcW w:w="709" w:type="dxa"/>
            <w:hideMark/>
          </w:tcPr>
          <w:p w14:paraId="46F22307" w14:textId="77777777" w:rsidR="00781923" w:rsidRPr="005D0210" w:rsidRDefault="00781923" w:rsidP="004E728C">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t>NR</w:t>
            </w:r>
          </w:p>
        </w:tc>
        <w:tc>
          <w:tcPr>
            <w:tcW w:w="992" w:type="dxa"/>
            <w:hideMark/>
          </w:tcPr>
          <w:p w14:paraId="5236A89F" w14:textId="77777777" w:rsidR="00781923" w:rsidRPr="005D0210" w:rsidRDefault="00781923" w:rsidP="004E728C">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t>Double</w:t>
            </w:r>
          </w:p>
        </w:tc>
        <w:tc>
          <w:tcPr>
            <w:tcW w:w="2127" w:type="dxa"/>
            <w:hideMark/>
          </w:tcPr>
          <w:p w14:paraId="15EFB6E1" w14:textId="77777777" w:rsidR="00781923" w:rsidRPr="005D0210" w:rsidRDefault="00781923" w:rsidP="004E728C">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t>Advertisement and word of mouth</w:t>
            </w:r>
          </w:p>
        </w:tc>
        <w:tc>
          <w:tcPr>
            <w:tcW w:w="850" w:type="dxa"/>
            <w:hideMark/>
          </w:tcPr>
          <w:p w14:paraId="2847846C" w14:textId="77777777" w:rsidR="00781923" w:rsidRPr="005D0210" w:rsidRDefault="00781923" w:rsidP="004E728C">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t>86[64]</w:t>
            </w:r>
          </w:p>
        </w:tc>
        <w:tc>
          <w:tcPr>
            <w:tcW w:w="992" w:type="dxa"/>
            <w:hideMark/>
          </w:tcPr>
          <w:p w14:paraId="5AAFDCEE" w14:textId="77777777" w:rsidR="00781923" w:rsidRPr="005D0210" w:rsidRDefault="00781923" w:rsidP="004E728C">
            <w:pPr>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t>31</w:t>
            </w:r>
          </w:p>
        </w:tc>
        <w:tc>
          <w:tcPr>
            <w:tcW w:w="851" w:type="dxa"/>
            <w:hideMark/>
          </w:tcPr>
          <w:p w14:paraId="27BB6B0F" w14:textId="77777777" w:rsidR="00781923" w:rsidRPr="005D0210" w:rsidRDefault="00781923" w:rsidP="004E728C">
            <w:pPr>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t>33</w:t>
            </w:r>
          </w:p>
        </w:tc>
        <w:tc>
          <w:tcPr>
            <w:tcW w:w="850" w:type="dxa"/>
            <w:hideMark/>
          </w:tcPr>
          <w:p w14:paraId="5C06D4B2" w14:textId="77777777" w:rsidR="00781923" w:rsidRPr="005D0210" w:rsidRDefault="00781923" w:rsidP="004E728C">
            <w:pPr>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t>19 (30)</w:t>
            </w:r>
          </w:p>
        </w:tc>
        <w:tc>
          <w:tcPr>
            <w:tcW w:w="709" w:type="dxa"/>
            <w:hideMark/>
          </w:tcPr>
          <w:p w14:paraId="0D1A9DFD" w14:textId="77777777" w:rsidR="00781923" w:rsidRPr="005D0210" w:rsidRDefault="00781923" w:rsidP="004E728C">
            <w:pPr>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t>30.6 (9.1)</w:t>
            </w:r>
          </w:p>
        </w:tc>
        <w:tc>
          <w:tcPr>
            <w:tcW w:w="3152" w:type="dxa"/>
            <w:hideMark/>
          </w:tcPr>
          <w:p w14:paraId="512BA6E9" w14:textId="77777777" w:rsidR="00781923" w:rsidRPr="005D0210" w:rsidRDefault="00781923" w:rsidP="004E728C">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t>Eligible: healthy, aged 18</w:t>
            </w:r>
            <w:r w:rsidRPr="005D0210">
              <w:rPr>
                <w:rFonts w:asciiTheme="minorHAnsi" w:eastAsia="Times New Roman" w:hAnsiTheme="minorHAnsi" w:cstheme="minorHAnsi"/>
                <w:sz w:val="16"/>
                <w:szCs w:val="16"/>
              </w:rPr>
              <w:noBreakHyphen/>
              <w:t>55y. Control: eligible if used e</w:t>
            </w:r>
            <w:r w:rsidRPr="005D0210">
              <w:rPr>
                <w:rFonts w:asciiTheme="minorHAnsi" w:eastAsia="Times New Roman" w:hAnsiTheme="minorHAnsi" w:cstheme="minorHAnsi"/>
                <w:sz w:val="16"/>
                <w:szCs w:val="16"/>
              </w:rPr>
              <w:noBreakHyphen/>
              <w:t>cigarette for ≥3 months and currently using ≤5 conventional tobacco cigarettes daily, OR using ≥10 tobacco cigarettes/d and &lt;5 e</w:t>
            </w:r>
            <w:r w:rsidRPr="005D0210">
              <w:rPr>
                <w:rFonts w:asciiTheme="minorHAnsi" w:eastAsia="Times New Roman" w:hAnsiTheme="minorHAnsi" w:cstheme="minorHAnsi"/>
                <w:sz w:val="16"/>
                <w:szCs w:val="16"/>
              </w:rPr>
              <w:noBreakHyphen/>
              <w:t xml:space="preserve">cigarette uses ever, carbon monoxide sample ≤10 ppm. Exclusion: history of chronic disease or psychiatric condition, regular use of a prescription medication, marijuana use &gt;10d and alcohol use &gt;25 days in the past 30 days, any illicit </w:t>
            </w:r>
            <w:r w:rsidRPr="005D0210">
              <w:rPr>
                <w:rFonts w:asciiTheme="minorHAnsi" w:eastAsia="Times New Roman" w:hAnsiTheme="minorHAnsi" w:cstheme="minorHAnsi"/>
                <w:sz w:val="16"/>
                <w:szCs w:val="16"/>
              </w:rPr>
              <w:lastRenderedPageBreak/>
              <w:t>drug use in the past 30 days and a positive pregnancy test.</w:t>
            </w:r>
          </w:p>
        </w:tc>
      </w:tr>
      <w:tr w:rsidR="00781923" w:rsidRPr="005D0210" w14:paraId="230E958B" w14:textId="77777777" w:rsidTr="004E728C">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129" w:type="dxa"/>
            <w:hideMark/>
          </w:tcPr>
          <w:p w14:paraId="61BB2CD6" w14:textId="77777777" w:rsidR="00781923" w:rsidRPr="005D0210" w:rsidRDefault="00781923" w:rsidP="004E728C">
            <w:pPr>
              <w:spacing w:after="0"/>
              <w:rPr>
                <w:rFonts w:asciiTheme="minorHAnsi" w:eastAsia="Times New Roman" w:hAnsiTheme="minorHAnsi" w:cstheme="minorHAnsi"/>
                <w:b w:val="0"/>
                <w:sz w:val="16"/>
                <w:szCs w:val="16"/>
              </w:rPr>
            </w:pPr>
            <w:r w:rsidRPr="005D0210">
              <w:rPr>
                <w:rFonts w:asciiTheme="minorHAnsi" w:eastAsia="Times New Roman" w:hAnsiTheme="minorHAnsi" w:cstheme="minorHAnsi"/>
                <w:b w:val="0"/>
                <w:sz w:val="16"/>
                <w:szCs w:val="16"/>
              </w:rPr>
              <w:lastRenderedPageBreak/>
              <w:t>Jorenby 2017</w:t>
            </w:r>
          </w:p>
        </w:tc>
        <w:tc>
          <w:tcPr>
            <w:tcW w:w="1985" w:type="dxa"/>
            <w:hideMark/>
          </w:tcPr>
          <w:p w14:paraId="64B404F4" w14:textId="77777777" w:rsidR="00781923" w:rsidRPr="005D0210" w:rsidRDefault="00781923" w:rsidP="004E728C">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t>To evaluate how experienced dual users used cigarettes and e</w:t>
            </w:r>
            <w:r w:rsidRPr="005D0210">
              <w:rPr>
                <w:rFonts w:asciiTheme="minorHAnsi" w:eastAsia="Times New Roman" w:hAnsiTheme="minorHAnsi" w:cstheme="minorHAnsi"/>
                <w:sz w:val="16"/>
                <w:szCs w:val="16"/>
              </w:rPr>
              <w:noBreakHyphen/>
              <w:t>cigarettes in real</w:t>
            </w:r>
            <w:r w:rsidRPr="005D0210">
              <w:rPr>
                <w:rFonts w:asciiTheme="minorHAnsi" w:eastAsia="Times New Roman" w:hAnsiTheme="minorHAnsi" w:cstheme="minorHAnsi"/>
                <w:sz w:val="16"/>
                <w:szCs w:val="16"/>
              </w:rPr>
              <w:noBreakHyphen/>
              <w:t>world use and under different levels of cigarette availability.</w:t>
            </w:r>
          </w:p>
        </w:tc>
        <w:tc>
          <w:tcPr>
            <w:tcW w:w="709" w:type="dxa"/>
            <w:hideMark/>
          </w:tcPr>
          <w:p w14:paraId="692EDE1A" w14:textId="77777777" w:rsidR="00781923" w:rsidRPr="005D0210" w:rsidRDefault="00781923" w:rsidP="004E728C">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t>USA</w:t>
            </w:r>
          </w:p>
        </w:tc>
        <w:tc>
          <w:tcPr>
            <w:tcW w:w="708" w:type="dxa"/>
            <w:hideMark/>
          </w:tcPr>
          <w:p w14:paraId="460B8701" w14:textId="77777777" w:rsidR="00781923" w:rsidRPr="005D0210" w:rsidRDefault="00781923" w:rsidP="004E728C">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t>Parallel</w:t>
            </w:r>
          </w:p>
        </w:tc>
        <w:tc>
          <w:tcPr>
            <w:tcW w:w="709" w:type="dxa"/>
            <w:hideMark/>
          </w:tcPr>
          <w:p w14:paraId="4346F8FF" w14:textId="77777777" w:rsidR="00781923" w:rsidRPr="005D0210" w:rsidRDefault="00781923" w:rsidP="004E728C">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t>3.7 (27d)</w:t>
            </w:r>
          </w:p>
        </w:tc>
        <w:tc>
          <w:tcPr>
            <w:tcW w:w="992" w:type="dxa"/>
            <w:hideMark/>
          </w:tcPr>
          <w:p w14:paraId="14CB1AFE" w14:textId="77777777" w:rsidR="00781923" w:rsidRPr="005D0210" w:rsidRDefault="00781923" w:rsidP="004E728C">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t>None</w:t>
            </w:r>
          </w:p>
        </w:tc>
        <w:tc>
          <w:tcPr>
            <w:tcW w:w="2127" w:type="dxa"/>
            <w:hideMark/>
          </w:tcPr>
          <w:p w14:paraId="4ED73945" w14:textId="77777777" w:rsidR="00781923" w:rsidRPr="005D0210" w:rsidRDefault="00781923" w:rsidP="004E728C">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t>Via point</w:t>
            </w:r>
            <w:r w:rsidRPr="005D0210">
              <w:rPr>
                <w:rFonts w:asciiTheme="minorHAnsi" w:eastAsia="Times New Roman" w:hAnsiTheme="minorHAnsi" w:cstheme="minorHAnsi"/>
                <w:sz w:val="16"/>
                <w:szCs w:val="16"/>
              </w:rPr>
              <w:noBreakHyphen/>
              <w:t>of</w:t>
            </w:r>
            <w:r w:rsidRPr="005D0210">
              <w:rPr>
                <w:rFonts w:asciiTheme="minorHAnsi" w:eastAsia="Times New Roman" w:hAnsiTheme="minorHAnsi" w:cstheme="minorHAnsi"/>
                <w:sz w:val="16"/>
                <w:szCs w:val="16"/>
              </w:rPr>
              <w:noBreakHyphen/>
              <w:t>purchase displays at convenience stores in southern Wisconsin and the Milwaukee metropolitan area and through a context</w:t>
            </w:r>
            <w:r w:rsidRPr="005D0210">
              <w:rPr>
                <w:rFonts w:asciiTheme="minorHAnsi" w:eastAsia="Times New Roman" w:hAnsiTheme="minorHAnsi" w:cstheme="minorHAnsi"/>
                <w:sz w:val="16"/>
                <w:szCs w:val="16"/>
              </w:rPr>
              <w:noBreakHyphen/>
              <w:t>sensitive Facebook ad seeking both smokers and dual users.</w:t>
            </w:r>
          </w:p>
        </w:tc>
        <w:tc>
          <w:tcPr>
            <w:tcW w:w="850" w:type="dxa"/>
            <w:hideMark/>
          </w:tcPr>
          <w:p w14:paraId="31BCF258" w14:textId="77777777" w:rsidR="00781923" w:rsidRPr="005D0210" w:rsidRDefault="00781923" w:rsidP="004E728C">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t>148</w:t>
            </w:r>
          </w:p>
        </w:tc>
        <w:tc>
          <w:tcPr>
            <w:tcW w:w="992" w:type="dxa"/>
            <w:hideMark/>
          </w:tcPr>
          <w:p w14:paraId="38A9F17C" w14:textId="77777777" w:rsidR="00781923" w:rsidRPr="005D0210" w:rsidRDefault="00781923" w:rsidP="004E728C">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t>74</w:t>
            </w:r>
          </w:p>
        </w:tc>
        <w:tc>
          <w:tcPr>
            <w:tcW w:w="851" w:type="dxa"/>
            <w:hideMark/>
          </w:tcPr>
          <w:p w14:paraId="6AA201E1" w14:textId="77777777" w:rsidR="00781923" w:rsidRPr="005D0210" w:rsidRDefault="00781923" w:rsidP="004E728C">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t>74</w:t>
            </w:r>
          </w:p>
        </w:tc>
        <w:tc>
          <w:tcPr>
            <w:tcW w:w="850" w:type="dxa"/>
            <w:hideMark/>
          </w:tcPr>
          <w:p w14:paraId="642EFACA" w14:textId="77777777" w:rsidR="00781923" w:rsidRPr="005D0210" w:rsidRDefault="00781923" w:rsidP="004E728C">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t>73 (49.3)</w:t>
            </w:r>
          </w:p>
        </w:tc>
        <w:tc>
          <w:tcPr>
            <w:tcW w:w="709" w:type="dxa"/>
            <w:hideMark/>
          </w:tcPr>
          <w:p w14:paraId="7958005B" w14:textId="77777777" w:rsidR="00781923" w:rsidRPr="005D0210" w:rsidRDefault="00781923" w:rsidP="004E728C">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t>NR</w:t>
            </w:r>
          </w:p>
        </w:tc>
        <w:tc>
          <w:tcPr>
            <w:tcW w:w="3152" w:type="dxa"/>
            <w:hideMark/>
          </w:tcPr>
          <w:p w14:paraId="40128F41" w14:textId="77777777" w:rsidR="00781923" w:rsidRPr="005D0210" w:rsidRDefault="00781923" w:rsidP="004E728C">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t>&gt;18 years; able to read and write English; smoking ≥ 5 cigarettes/d for ≥six months; not currently using any smoking cessation medication; planning to remain in the area for the study duration; no history of psychosis or bipolar disorder; not planning to quit tobacco use in the next 30 days; willing to follow study procedures; and if female, not be pregnant or nursing and willing to use acceptable methods of birth control during the study. Smoke Only group: not have used a single type of alternate tobacco products (e.g., e</w:t>
            </w:r>
            <w:r w:rsidRPr="005D0210">
              <w:rPr>
                <w:rFonts w:asciiTheme="minorHAnsi" w:eastAsia="Times New Roman" w:hAnsiTheme="minorHAnsi" w:cstheme="minorHAnsi"/>
                <w:sz w:val="16"/>
                <w:szCs w:val="16"/>
              </w:rPr>
              <w:noBreakHyphen/>
              <w:t xml:space="preserve">cigarettes, snus, or chewing tobacco) &gt;five times in life and not have used alternate tobacco products in the past six months. </w:t>
            </w:r>
            <w:r w:rsidRPr="005D0210">
              <w:rPr>
                <w:rFonts w:asciiTheme="minorHAnsi" w:eastAsia="Times New Roman" w:hAnsiTheme="minorHAnsi" w:cstheme="minorHAnsi"/>
                <w:sz w:val="16"/>
                <w:szCs w:val="16"/>
              </w:rPr>
              <w:br/>
              <w:t>Dual Use group: used e</w:t>
            </w:r>
            <w:r w:rsidRPr="005D0210">
              <w:rPr>
                <w:rFonts w:asciiTheme="minorHAnsi" w:eastAsia="Times New Roman" w:hAnsiTheme="minorHAnsi" w:cstheme="minorHAnsi"/>
                <w:sz w:val="16"/>
                <w:szCs w:val="16"/>
              </w:rPr>
              <w:noBreakHyphen/>
              <w:t>cigarettes at least three times/wk for the past three months.</w:t>
            </w:r>
          </w:p>
        </w:tc>
      </w:tr>
      <w:tr w:rsidR="00781923" w:rsidRPr="005D0210" w14:paraId="3E4675B3" w14:textId="77777777" w:rsidTr="004E728C">
        <w:trPr>
          <w:trHeight w:val="64"/>
        </w:trPr>
        <w:tc>
          <w:tcPr>
            <w:cnfStyle w:val="001000000000" w:firstRow="0" w:lastRow="0" w:firstColumn="1" w:lastColumn="0" w:oddVBand="0" w:evenVBand="0" w:oddHBand="0" w:evenHBand="0" w:firstRowFirstColumn="0" w:firstRowLastColumn="0" w:lastRowFirstColumn="0" w:lastRowLastColumn="0"/>
            <w:tcW w:w="1129" w:type="dxa"/>
          </w:tcPr>
          <w:p w14:paraId="018BC2AD" w14:textId="77777777" w:rsidR="00781923" w:rsidRPr="005D0210" w:rsidRDefault="00781923" w:rsidP="004E728C">
            <w:pPr>
              <w:spacing w:after="0"/>
              <w:rPr>
                <w:rFonts w:asciiTheme="minorHAnsi" w:eastAsia="Times New Roman" w:hAnsiTheme="minorHAnsi" w:cstheme="minorHAnsi"/>
                <w:b w:val="0"/>
                <w:sz w:val="16"/>
                <w:szCs w:val="16"/>
              </w:rPr>
            </w:pPr>
            <w:r w:rsidRPr="005D0210">
              <w:rPr>
                <w:rFonts w:cs="Calibri"/>
                <w:sz w:val="16"/>
                <w:szCs w:val="16"/>
              </w:rPr>
              <w:t>Masiero 2018</w:t>
            </w:r>
          </w:p>
        </w:tc>
        <w:tc>
          <w:tcPr>
            <w:tcW w:w="1985" w:type="dxa"/>
          </w:tcPr>
          <w:p w14:paraId="69B81DC5" w14:textId="77777777" w:rsidR="00781923" w:rsidRPr="005D0210" w:rsidRDefault="00781923" w:rsidP="004E728C">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rPr>
            </w:pPr>
            <w:r w:rsidRPr="005D0210">
              <w:rPr>
                <w:rFonts w:cs="Calibri"/>
                <w:iCs/>
                <w:sz w:val="16"/>
                <w:szCs w:val="16"/>
              </w:rPr>
              <w:t>To assess the efficacy of the use of e</w:t>
            </w:r>
            <w:r w:rsidRPr="005D0210">
              <w:rPr>
                <w:rFonts w:cs="Calibri"/>
                <w:iCs/>
                <w:sz w:val="16"/>
                <w:szCs w:val="16"/>
              </w:rPr>
              <w:noBreakHyphen/>
              <w:t>cigarettes in a tobacco cessation program with a group of chronic smokers voluntarily involved in long</w:t>
            </w:r>
            <w:r w:rsidRPr="005D0210">
              <w:rPr>
                <w:rFonts w:cs="Calibri"/>
                <w:iCs/>
                <w:sz w:val="16"/>
                <w:szCs w:val="16"/>
              </w:rPr>
              <w:noBreakHyphen/>
              <w:t>term lung cancer screening.</w:t>
            </w:r>
          </w:p>
        </w:tc>
        <w:tc>
          <w:tcPr>
            <w:tcW w:w="709" w:type="dxa"/>
          </w:tcPr>
          <w:p w14:paraId="575AEDE0" w14:textId="77777777" w:rsidR="00781923" w:rsidRPr="005D0210" w:rsidRDefault="00781923" w:rsidP="004E728C">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rPr>
            </w:pPr>
            <w:r w:rsidRPr="005D0210">
              <w:rPr>
                <w:rFonts w:cs="Calibri"/>
                <w:sz w:val="16"/>
                <w:szCs w:val="16"/>
              </w:rPr>
              <w:t>Italy</w:t>
            </w:r>
          </w:p>
        </w:tc>
        <w:tc>
          <w:tcPr>
            <w:tcW w:w="708" w:type="dxa"/>
          </w:tcPr>
          <w:p w14:paraId="5664917A" w14:textId="77777777" w:rsidR="00781923" w:rsidRPr="005D0210" w:rsidRDefault="00781923" w:rsidP="004E728C">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rPr>
            </w:pPr>
            <w:r w:rsidRPr="005D0210">
              <w:rPr>
                <w:rFonts w:cs="Calibri"/>
                <w:sz w:val="16"/>
                <w:szCs w:val="16"/>
              </w:rPr>
              <w:t>Parallel</w:t>
            </w:r>
          </w:p>
        </w:tc>
        <w:tc>
          <w:tcPr>
            <w:tcW w:w="709" w:type="dxa"/>
          </w:tcPr>
          <w:p w14:paraId="6B2DCCC2" w14:textId="77777777" w:rsidR="00781923" w:rsidRPr="005D0210" w:rsidRDefault="00781923" w:rsidP="004E728C">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rPr>
            </w:pPr>
            <w:r w:rsidRPr="005D0210">
              <w:rPr>
                <w:rFonts w:cs="Calibri"/>
                <w:sz w:val="16"/>
                <w:szCs w:val="16"/>
              </w:rPr>
              <w:t>12</w:t>
            </w:r>
          </w:p>
        </w:tc>
        <w:tc>
          <w:tcPr>
            <w:tcW w:w="992" w:type="dxa"/>
          </w:tcPr>
          <w:p w14:paraId="57152DB4" w14:textId="77777777" w:rsidR="00781923" w:rsidRPr="005D0210" w:rsidRDefault="00781923" w:rsidP="004E728C">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rPr>
            </w:pPr>
            <w:r w:rsidRPr="005D0210">
              <w:rPr>
                <w:rFonts w:cs="Calibri"/>
                <w:sz w:val="16"/>
                <w:szCs w:val="16"/>
              </w:rPr>
              <w:t>Double</w:t>
            </w:r>
          </w:p>
        </w:tc>
        <w:tc>
          <w:tcPr>
            <w:tcW w:w="2127" w:type="dxa"/>
          </w:tcPr>
          <w:p w14:paraId="62873CB6" w14:textId="77777777" w:rsidR="00781923" w:rsidRPr="005D0210" w:rsidRDefault="00781923" w:rsidP="004E728C">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t>Recruited from long</w:t>
            </w:r>
            <w:r w:rsidRPr="005D0210">
              <w:rPr>
                <w:rFonts w:asciiTheme="minorHAnsi" w:eastAsia="Times New Roman" w:hAnsiTheme="minorHAnsi" w:cstheme="minorHAnsi"/>
                <w:sz w:val="16"/>
                <w:szCs w:val="16"/>
              </w:rPr>
              <w:noBreakHyphen/>
              <w:t xml:space="preserve">term cancer screening program for smokers (COSMOS II (Continuous Observation of SMOking Subjects)). </w:t>
            </w:r>
          </w:p>
        </w:tc>
        <w:tc>
          <w:tcPr>
            <w:tcW w:w="850" w:type="dxa"/>
          </w:tcPr>
          <w:p w14:paraId="793108A7" w14:textId="77777777" w:rsidR="00781923" w:rsidRPr="005D0210" w:rsidRDefault="00781923" w:rsidP="004E728C">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rPr>
            </w:pPr>
            <w:r w:rsidRPr="005D0210">
              <w:rPr>
                <w:rFonts w:cs="Calibri"/>
                <w:sz w:val="16"/>
                <w:szCs w:val="16"/>
              </w:rPr>
              <w:t>210 [170]</w:t>
            </w:r>
          </w:p>
        </w:tc>
        <w:tc>
          <w:tcPr>
            <w:tcW w:w="992" w:type="dxa"/>
          </w:tcPr>
          <w:p w14:paraId="6925D624" w14:textId="77777777" w:rsidR="00781923" w:rsidRPr="005D0210" w:rsidRDefault="00781923" w:rsidP="004E728C">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rPr>
            </w:pPr>
            <w:r w:rsidRPr="005D0210">
              <w:rPr>
                <w:rFonts w:cs="Calibri"/>
                <w:sz w:val="16"/>
                <w:szCs w:val="16"/>
              </w:rPr>
              <w:t>[70]</w:t>
            </w:r>
          </w:p>
        </w:tc>
        <w:tc>
          <w:tcPr>
            <w:tcW w:w="851" w:type="dxa"/>
          </w:tcPr>
          <w:p w14:paraId="6B951D6F" w14:textId="77777777" w:rsidR="00781923" w:rsidRPr="005D0210" w:rsidRDefault="00781923" w:rsidP="004E728C">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rPr>
            </w:pPr>
            <w:r w:rsidRPr="005D0210">
              <w:rPr>
                <w:rFonts w:cs="Calibri"/>
                <w:sz w:val="16"/>
                <w:szCs w:val="16"/>
              </w:rPr>
              <w:t>[70]</w:t>
            </w:r>
            <w:r w:rsidRPr="005D0210">
              <w:rPr>
                <w:rFonts w:cs="Calibri"/>
                <w:sz w:val="16"/>
                <w:szCs w:val="16"/>
              </w:rPr>
              <w:br/>
              <w:t>[70]</w:t>
            </w:r>
          </w:p>
        </w:tc>
        <w:tc>
          <w:tcPr>
            <w:tcW w:w="850" w:type="dxa"/>
          </w:tcPr>
          <w:p w14:paraId="52971CEA" w14:textId="77777777" w:rsidR="00781923" w:rsidRPr="005D0210" w:rsidRDefault="00781923" w:rsidP="004E728C">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rPr>
            </w:pPr>
            <w:r w:rsidRPr="005D0210">
              <w:rPr>
                <w:sz w:val="16"/>
                <w:szCs w:val="16"/>
              </w:rPr>
              <w:t>78 (37)</w:t>
            </w:r>
          </w:p>
        </w:tc>
        <w:tc>
          <w:tcPr>
            <w:tcW w:w="709" w:type="dxa"/>
          </w:tcPr>
          <w:p w14:paraId="0A3D24F0" w14:textId="77777777" w:rsidR="00781923" w:rsidRPr="005D0210" w:rsidRDefault="00781923" w:rsidP="004E728C">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rPr>
            </w:pPr>
            <w:r w:rsidRPr="005D0210">
              <w:rPr>
                <w:sz w:val="16"/>
                <w:szCs w:val="16"/>
              </w:rPr>
              <w:t>62.8 (4.6)</w:t>
            </w:r>
          </w:p>
        </w:tc>
        <w:tc>
          <w:tcPr>
            <w:tcW w:w="3152" w:type="dxa"/>
          </w:tcPr>
          <w:p w14:paraId="66BEBC30" w14:textId="77777777" w:rsidR="00781923" w:rsidRPr="005D0210" w:rsidRDefault="00781923" w:rsidP="004E728C">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rPr>
            </w:pPr>
            <w:r w:rsidRPr="005D0210">
              <w:rPr>
                <w:rFonts w:cs="Calibri"/>
                <w:sz w:val="16"/>
                <w:szCs w:val="16"/>
              </w:rPr>
              <w:t xml:space="preserve">Having smoked at least 10 cigarettes a day for the past 10 years; </w:t>
            </w:r>
            <w:r w:rsidRPr="005D0210">
              <w:rPr>
                <w:rFonts w:cs="Calibri"/>
                <w:bCs/>
                <w:sz w:val="16"/>
                <w:szCs w:val="16"/>
              </w:rPr>
              <w:t>High motivation to stop smoking</w:t>
            </w:r>
            <w:r w:rsidRPr="005D0210">
              <w:rPr>
                <w:rFonts w:cs="Calibri"/>
                <w:sz w:val="16"/>
                <w:szCs w:val="16"/>
              </w:rPr>
              <w:t>; not enrolled in another smoking cessation programme. Exclusion: Severe cardiovascular and respiratory diseases; Use of psychotropic medication; Current or past history of alcohol abuse; Any use of NRTs or e</w:t>
            </w:r>
            <w:r w:rsidRPr="005D0210">
              <w:rPr>
                <w:rFonts w:cs="Calibri"/>
                <w:sz w:val="16"/>
                <w:szCs w:val="16"/>
              </w:rPr>
              <w:noBreakHyphen/>
              <w:t>cigarettes.</w:t>
            </w:r>
          </w:p>
        </w:tc>
      </w:tr>
      <w:tr w:rsidR="00781923" w:rsidRPr="005D0210" w14:paraId="1A8DF7C4" w14:textId="77777777" w:rsidTr="004E728C">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129" w:type="dxa"/>
          </w:tcPr>
          <w:p w14:paraId="301E1BF6" w14:textId="77777777" w:rsidR="00781923" w:rsidRPr="005D0210" w:rsidRDefault="00781923" w:rsidP="004E728C">
            <w:pPr>
              <w:spacing w:after="0"/>
              <w:rPr>
                <w:rFonts w:asciiTheme="minorHAnsi" w:eastAsia="Times New Roman" w:hAnsiTheme="minorHAnsi" w:cstheme="minorHAnsi"/>
                <w:b w:val="0"/>
                <w:sz w:val="16"/>
                <w:szCs w:val="16"/>
              </w:rPr>
            </w:pPr>
            <w:r w:rsidRPr="005D0210">
              <w:rPr>
                <w:rFonts w:cs="Calibri"/>
                <w:sz w:val="16"/>
                <w:szCs w:val="16"/>
              </w:rPr>
              <w:t>Palmer 2018</w:t>
            </w:r>
          </w:p>
        </w:tc>
        <w:tc>
          <w:tcPr>
            <w:tcW w:w="1985" w:type="dxa"/>
          </w:tcPr>
          <w:p w14:paraId="0E236E3C" w14:textId="77777777" w:rsidR="00781923" w:rsidRPr="005D0210" w:rsidRDefault="00781923" w:rsidP="004E728C">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5D0210">
              <w:rPr>
                <w:rFonts w:cs="Calibri"/>
                <w:iCs/>
                <w:sz w:val="16"/>
                <w:szCs w:val="16"/>
              </w:rPr>
              <w:t>The primary goal of the present study was to investigate the effects of nicotine and expectancies on cravings to smoke and cravings to vape.</w:t>
            </w:r>
          </w:p>
        </w:tc>
        <w:tc>
          <w:tcPr>
            <w:tcW w:w="709" w:type="dxa"/>
          </w:tcPr>
          <w:p w14:paraId="00489A50" w14:textId="77777777" w:rsidR="00781923" w:rsidRPr="005D0210" w:rsidRDefault="00781923" w:rsidP="004E728C">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5D0210">
              <w:rPr>
                <w:rFonts w:cs="Calibri"/>
                <w:sz w:val="16"/>
                <w:szCs w:val="16"/>
              </w:rPr>
              <w:t>USA</w:t>
            </w:r>
          </w:p>
        </w:tc>
        <w:tc>
          <w:tcPr>
            <w:tcW w:w="708" w:type="dxa"/>
          </w:tcPr>
          <w:p w14:paraId="7C54B079" w14:textId="77777777" w:rsidR="00781923" w:rsidRPr="005D0210" w:rsidRDefault="00781923" w:rsidP="004E728C">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5D0210">
              <w:rPr>
                <w:rFonts w:cs="Calibri"/>
                <w:sz w:val="16"/>
                <w:szCs w:val="16"/>
              </w:rPr>
              <w:t>Parallel</w:t>
            </w:r>
          </w:p>
        </w:tc>
        <w:tc>
          <w:tcPr>
            <w:tcW w:w="709" w:type="dxa"/>
          </w:tcPr>
          <w:p w14:paraId="580301C0" w14:textId="77777777" w:rsidR="00781923" w:rsidRPr="005D0210" w:rsidRDefault="00781923" w:rsidP="004E728C">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5D0210">
              <w:rPr>
                <w:rFonts w:cs="Calibri"/>
                <w:sz w:val="16"/>
                <w:szCs w:val="16"/>
              </w:rPr>
              <w:t>1 day</w:t>
            </w:r>
          </w:p>
        </w:tc>
        <w:tc>
          <w:tcPr>
            <w:tcW w:w="992" w:type="dxa"/>
          </w:tcPr>
          <w:p w14:paraId="06670B47" w14:textId="77777777" w:rsidR="00781923" w:rsidRPr="005D0210" w:rsidRDefault="00781923" w:rsidP="004E728C">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5D0210">
              <w:rPr>
                <w:rFonts w:cs="Calibri"/>
                <w:sz w:val="16"/>
                <w:szCs w:val="16"/>
              </w:rPr>
              <w:t>Double</w:t>
            </w:r>
          </w:p>
        </w:tc>
        <w:tc>
          <w:tcPr>
            <w:tcW w:w="2127" w:type="dxa"/>
          </w:tcPr>
          <w:p w14:paraId="3A28652E" w14:textId="77777777" w:rsidR="00781923" w:rsidRPr="005D0210" w:rsidRDefault="00781923" w:rsidP="004E728C">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5D0210">
              <w:rPr>
                <w:rFonts w:cs="Calibri"/>
                <w:sz w:val="16"/>
                <w:szCs w:val="16"/>
              </w:rPr>
              <w:t>Predominantly from vape shops.</w:t>
            </w:r>
          </w:p>
        </w:tc>
        <w:tc>
          <w:tcPr>
            <w:tcW w:w="850" w:type="dxa"/>
          </w:tcPr>
          <w:p w14:paraId="3ABE6D01" w14:textId="77777777" w:rsidR="00781923" w:rsidRPr="005D0210" w:rsidRDefault="00781923" w:rsidP="004E728C">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5D0210">
              <w:rPr>
                <w:rFonts w:cs="Calibri"/>
                <w:sz w:val="16"/>
                <w:szCs w:val="16"/>
              </w:rPr>
              <w:t>130 [128]</w:t>
            </w:r>
          </w:p>
        </w:tc>
        <w:tc>
          <w:tcPr>
            <w:tcW w:w="992" w:type="dxa"/>
          </w:tcPr>
          <w:p w14:paraId="36688A4B" w14:textId="77777777" w:rsidR="00781923" w:rsidRPr="005D0210" w:rsidRDefault="00781923" w:rsidP="004E728C">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5D0210">
              <w:rPr>
                <w:rFonts w:cs="Calibri"/>
                <w:sz w:val="16"/>
                <w:szCs w:val="16"/>
              </w:rPr>
              <w:t>NR</w:t>
            </w:r>
          </w:p>
        </w:tc>
        <w:tc>
          <w:tcPr>
            <w:tcW w:w="851" w:type="dxa"/>
          </w:tcPr>
          <w:p w14:paraId="638E2B4C" w14:textId="77777777" w:rsidR="00781923" w:rsidRPr="005D0210" w:rsidRDefault="00781923" w:rsidP="004E728C">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5D0210">
              <w:rPr>
                <w:rFonts w:cs="Calibri"/>
                <w:sz w:val="16"/>
                <w:szCs w:val="16"/>
              </w:rPr>
              <w:t>NR</w:t>
            </w:r>
          </w:p>
        </w:tc>
        <w:tc>
          <w:tcPr>
            <w:tcW w:w="850" w:type="dxa"/>
          </w:tcPr>
          <w:p w14:paraId="601FEA75" w14:textId="77777777" w:rsidR="00781923" w:rsidRPr="005D0210" w:rsidRDefault="00781923" w:rsidP="004E728C">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5D0210">
              <w:rPr>
                <w:sz w:val="16"/>
                <w:szCs w:val="16"/>
              </w:rPr>
              <w:t>49 (38)</w:t>
            </w:r>
          </w:p>
        </w:tc>
        <w:tc>
          <w:tcPr>
            <w:tcW w:w="709" w:type="dxa"/>
          </w:tcPr>
          <w:p w14:paraId="43728144" w14:textId="77777777" w:rsidR="00781923" w:rsidRPr="005D0210" w:rsidRDefault="00781923" w:rsidP="004E728C">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5D0210">
              <w:rPr>
                <w:sz w:val="16"/>
                <w:szCs w:val="16"/>
              </w:rPr>
              <w:t>36.4 (13.8)</w:t>
            </w:r>
          </w:p>
        </w:tc>
        <w:tc>
          <w:tcPr>
            <w:tcW w:w="3152" w:type="dxa"/>
          </w:tcPr>
          <w:p w14:paraId="1AD5E3B9" w14:textId="77777777" w:rsidR="00781923" w:rsidRPr="005D0210" w:rsidRDefault="00781923" w:rsidP="004E728C">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5D0210">
              <w:rPr>
                <w:rFonts w:cs="Calibri"/>
                <w:sz w:val="16"/>
                <w:szCs w:val="16"/>
              </w:rPr>
              <w:t>(1) &gt;18 years old; (2) current e</w:t>
            </w:r>
            <w:r w:rsidRPr="005D0210">
              <w:rPr>
                <w:rFonts w:cs="Calibri"/>
                <w:sz w:val="16"/>
                <w:szCs w:val="16"/>
              </w:rPr>
              <w:noBreakHyphen/>
              <w:t>cigarette users (daily nicotine solution use for &gt;30 days); (3) history of cigarette smoking (&gt;100 lifetime cigarettes; &gt;1 cigarette/day for &gt;30 days); (4) no current e</w:t>
            </w:r>
            <w:r w:rsidRPr="005D0210">
              <w:rPr>
                <w:rFonts w:cs="Calibri"/>
                <w:sz w:val="16"/>
                <w:szCs w:val="16"/>
              </w:rPr>
              <w:noBreakHyphen/>
              <w:t>cigarette cessation attempt; and (5) not currently pregnant, attempting to get pregnant, or nursing.</w:t>
            </w:r>
          </w:p>
        </w:tc>
      </w:tr>
      <w:tr w:rsidR="00781923" w:rsidRPr="005D0210" w14:paraId="4038069E" w14:textId="77777777" w:rsidTr="004E728C">
        <w:trPr>
          <w:trHeight w:val="448"/>
        </w:trPr>
        <w:tc>
          <w:tcPr>
            <w:cnfStyle w:val="001000000000" w:firstRow="0" w:lastRow="0" w:firstColumn="1" w:lastColumn="0" w:oddVBand="0" w:evenVBand="0" w:oddHBand="0" w:evenHBand="0" w:firstRowFirstColumn="0" w:firstRowLastColumn="0" w:lastRowFirstColumn="0" w:lastRowLastColumn="0"/>
            <w:tcW w:w="1129" w:type="dxa"/>
            <w:hideMark/>
          </w:tcPr>
          <w:p w14:paraId="5366DF96" w14:textId="77777777" w:rsidR="00781923" w:rsidRPr="005D0210" w:rsidRDefault="00781923" w:rsidP="004E728C">
            <w:pPr>
              <w:spacing w:after="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t>Perkins 2017 a (study 1)</w:t>
            </w:r>
          </w:p>
        </w:tc>
        <w:tc>
          <w:tcPr>
            <w:tcW w:w="1985" w:type="dxa"/>
            <w:hideMark/>
          </w:tcPr>
          <w:p w14:paraId="2C9C5EFA" w14:textId="5F48615A" w:rsidR="00781923" w:rsidRPr="005D0210" w:rsidRDefault="007D18D8" w:rsidP="004E728C">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rPr>
            </w:pPr>
            <w:r>
              <w:rPr>
                <w:rFonts w:asciiTheme="minorHAnsi" w:eastAsia="Times New Roman" w:hAnsiTheme="minorHAnsi" w:cstheme="minorHAnsi"/>
                <w:sz w:val="16"/>
                <w:szCs w:val="16"/>
              </w:rPr>
              <w:t>T</w:t>
            </w:r>
            <w:r w:rsidR="00781923" w:rsidRPr="005D0210">
              <w:rPr>
                <w:rFonts w:asciiTheme="minorHAnsi" w:eastAsia="Times New Roman" w:hAnsiTheme="minorHAnsi" w:cstheme="minorHAnsi"/>
                <w:sz w:val="16"/>
                <w:szCs w:val="16"/>
              </w:rPr>
              <w:t>o compare withdrawal relief effects of nicotine versus placebo e</w:t>
            </w:r>
            <w:r w:rsidR="00781923" w:rsidRPr="005D0210">
              <w:rPr>
                <w:rFonts w:asciiTheme="minorHAnsi" w:eastAsia="Times New Roman" w:hAnsiTheme="minorHAnsi" w:cstheme="minorHAnsi"/>
                <w:sz w:val="16"/>
                <w:szCs w:val="16"/>
              </w:rPr>
              <w:noBreakHyphen/>
              <w:t>cigarettes versus no e</w:t>
            </w:r>
            <w:r w:rsidR="00781923" w:rsidRPr="005D0210">
              <w:rPr>
                <w:rFonts w:asciiTheme="minorHAnsi" w:eastAsia="Times New Roman" w:hAnsiTheme="minorHAnsi" w:cstheme="minorHAnsi"/>
                <w:sz w:val="16"/>
                <w:szCs w:val="16"/>
              </w:rPr>
              <w:noBreakHyphen/>
              <w:t xml:space="preserve">cigarette, each after overnight abstinence. </w:t>
            </w:r>
          </w:p>
        </w:tc>
        <w:tc>
          <w:tcPr>
            <w:tcW w:w="709" w:type="dxa"/>
            <w:hideMark/>
          </w:tcPr>
          <w:p w14:paraId="05F45C5D" w14:textId="77777777" w:rsidR="00781923" w:rsidRPr="005D0210" w:rsidRDefault="00781923" w:rsidP="004E728C">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t>USA</w:t>
            </w:r>
          </w:p>
        </w:tc>
        <w:tc>
          <w:tcPr>
            <w:tcW w:w="708" w:type="dxa"/>
            <w:hideMark/>
          </w:tcPr>
          <w:p w14:paraId="0A881077" w14:textId="77777777" w:rsidR="00781923" w:rsidRPr="005D0210" w:rsidRDefault="00781923" w:rsidP="004E728C">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t>Parallel</w:t>
            </w:r>
          </w:p>
        </w:tc>
        <w:tc>
          <w:tcPr>
            <w:tcW w:w="709" w:type="dxa"/>
            <w:hideMark/>
          </w:tcPr>
          <w:p w14:paraId="20EC4CF2" w14:textId="77777777" w:rsidR="00781923" w:rsidRPr="005D0210" w:rsidRDefault="00781923" w:rsidP="004E728C">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t>3 d</w:t>
            </w:r>
          </w:p>
        </w:tc>
        <w:tc>
          <w:tcPr>
            <w:tcW w:w="992" w:type="dxa"/>
            <w:hideMark/>
          </w:tcPr>
          <w:p w14:paraId="24509DBB" w14:textId="115EBCBF" w:rsidR="00781923" w:rsidRPr="005D0210" w:rsidRDefault="00781923" w:rsidP="004E728C">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t>Unclear, at least single blind</w:t>
            </w:r>
            <w:r w:rsidR="007D18D8">
              <w:rPr>
                <w:rFonts w:asciiTheme="minorHAnsi" w:eastAsia="Times New Roman" w:hAnsiTheme="minorHAnsi" w:cstheme="minorHAnsi"/>
                <w:sz w:val="16"/>
                <w:szCs w:val="16"/>
              </w:rPr>
              <w:t>.</w:t>
            </w:r>
          </w:p>
        </w:tc>
        <w:tc>
          <w:tcPr>
            <w:tcW w:w="2127" w:type="dxa"/>
            <w:hideMark/>
          </w:tcPr>
          <w:p w14:paraId="43BFE327" w14:textId="77777777" w:rsidR="00781923" w:rsidRPr="005D0210" w:rsidRDefault="00781923" w:rsidP="004E728C">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t>Public notices</w:t>
            </w:r>
          </w:p>
        </w:tc>
        <w:tc>
          <w:tcPr>
            <w:tcW w:w="850" w:type="dxa"/>
            <w:hideMark/>
          </w:tcPr>
          <w:p w14:paraId="337A2F4D" w14:textId="77777777" w:rsidR="00781923" w:rsidRPr="005D0210" w:rsidRDefault="00781923" w:rsidP="004E728C">
            <w:pPr>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t>28</w:t>
            </w:r>
          </w:p>
        </w:tc>
        <w:tc>
          <w:tcPr>
            <w:tcW w:w="992" w:type="dxa"/>
            <w:hideMark/>
          </w:tcPr>
          <w:p w14:paraId="71757888" w14:textId="77777777" w:rsidR="00781923" w:rsidRPr="005D0210" w:rsidRDefault="00781923" w:rsidP="004E728C">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t>NR</w:t>
            </w:r>
          </w:p>
        </w:tc>
        <w:tc>
          <w:tcPr>
            <w:tcW w:w="851" w:type="dxa"/>
            <w:hideMark/>
          </w:tcPr>
          <w:p w14:paraId="429DF843" w14:textId="77777777" w:rsidR="00781923" w:rsidRPr="005D0210" w:rsidRDefault="00781923" w:rsidP="004E728C">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t>NR</w:t>
            </w:r>
          </w:p>
        </w:tc>
        <w:tc>
          <w:tcPr>
            <w:tcW w:w="850" w:type="dxa"/>
            <w:hideMark/>
          </w:tcPr>
          <w:p w14:paraId="4149E9BF" w14:textId="77777777" w:rsidR="00781923" w:rsidRPr="005D0210" w:rsidRDefault="00781923" w:rsidP="004E728C">
            <w:pPr>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t>16 (57.1)</w:t>
            </w:r>
          </w:p>
        </w:tc>
        <w:tc>
          <w:tcPr>
            <w:tcW w:w="709" w:type="dxa"/>
            <w:hideMark/>
          </w:tcPr>
          <w:p w14:paraId="4B992232" w14:textId="77777777" w:rsidR="00781923" w:rsidRPr="005D0210" w:rsidRDefault="00781923" w:rsidP="004E728C">
            <w:pPr>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t>26.5 (6.6)</w:t>
            </w:r>
          </w:p>
        </w:tc>
        <w:tc>
          <w:tcPr>
            <w:tcW w:w="3152" w:type="dxa"/>
            <w:hideMark/>
          </w:tcPr>
          <w:p w14:paraId="4CC1C1E3" w14:textId="77777777" w:rsidR="00781923" w:rsidRPr="005D0210" w:rsidRDefault="00781923" w:rsidP="004E728C">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t>&gt;18y, smoking history of ≥10 cigarettes/d for &gt;1 year, nicotine dependent (as per Diagnostic and statistical manual of mental disorders (4th ed.)), and no interest in quitting in the next 6 months but also e</w:t>
            </w:r>
            <w:r w:rsidRPr="005D0210">
              <w:rPr>
                <w:rFonts w:asciiTheme="minorHAnsi" w:eastAsia="Times New Roman" w:hAnsiTheme="minorHAnsi" w:cstheme="minorHAnsi"/>
                <w:sz w:val="16"/>
                <w:szCs w:val="16"/>
              </w:rPr>
              <w:noBreakHyphen/>
              <w:t xml:space="preserve">cigarette use ≤ once/week. </w:t>
            </w:r>
          </w:p>
        </w:tc>
      </w:tr>
      <w:tr w:rsidR="00781923" w:rsidRPr="005D0210" w14:paraId="6DDBF4A7" w14:textId="77777777" w:rsidTr="004E728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129" w:type="dxa"/>
            <w:hideMark/>
          </w:tcPr>
          <w:p w14:paraId="4062BD7B" w14:textId="77777777" w:rsidR="00781923" w:rsidRPr="005D0210" w:rsidRDefault="00781923" w:rsidP="004E728C">
            <w:pPr>
              <w:spacing w:after="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t>Perkins 2017 b (study 2)</w:t>
            </w:r>
          </w:p>
        </w:tc>
        <w:tc>
          <w:tcPr>
            <w:tcW w:w="1985" w:type="dxa"/>
            <w:hideMark/>
          </w:tcPr>
          <w:p w14:paraId="270BE89C" w14:textId="4275E682" w:rsidR="00781923" w:rsidRPr="005D0210" w:rsidRDefault="007D18D8" w:rsidP="004E728C">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Pr>
                <w:rFonts w:asciiTheme="minorHAnsi" w:eastAsia="Times New Roman" w:hAnsiTheme="minorHAnsi" w:cstheme="minorHAnsi"/>
                <w:sz w:val="16"/>
                <w:szCs w:val="16"/>
              </w:rPr>
              <w:t>T</w:t>
            </w:r>
            <w:r w:rsidR="00781923" w:rsidRPr="005D0210">
              <w:rPr>
                <w:rFonts w:asciiTheme="minorHAnsi" w:eastAsia="Times New Roman" w:hAnsiTheme="minorHAnsi" w:cstheme="minorHAnsi"/>
                <w:sz w:val="16"/>
                <w:szCs w:val="16"/>
              </w:rPr>
              <w:t>o explore effects found in study 1 during separate 4</w:t>
            </w:r>
            <w:r w:rsidR="00781923" w:rsidRPr="005D0210">
              <w:rPr>
                <w:rFonts w:asciiTheme="minorHAnsi" w:eastAsia="Times New Roman" w:hAnsiTheme="minorHAnsi" w:cstheme="minorHAnsi"/>
                <w:sz w:val="16"/>
                <w:szCs w:val="16"/>
              </w:rPr>
              <w:noBreakHyphen/>
              <w:t xml:space="preserve">day periods of ad libitum </w:t>
            </w:r>
            <w:r w:rsidR="00781923" w:rsidRPr="005D0210">
              <w:rPr>
                <w:rFonts w:asciiTheme="minorHAnsi" w:eastAsia="Times New Roman" w:hAnsiTheme="minorHAnsi" w:cstheme="minorHAnsi"/>
                <w:sz w:val="16"/>
                <w:szCs w:val="16"/>
              </w:rPr>
              <w:lastRenderedPageBreak/>
              <w:t>nicotine versus placebo e</w:t>
            </w:r>
            <w:r w:rsidR="00781923" w:rsidRPr="005D0210">
              <w:rPr>
                <w:rFonts w:asciiTheme="minorHAnsi" w:eastAsia="Times New Roman" w:hAnsiTheme="minorHAnsi" w:cstheme="minorHAnsi"/>
                <w:sz w:val="16"/>
                <w:szCs w:val="16"/>
              </w:rPr>
              <w:noBreakHyphen/>
              <w:t xml:space="preserve">cigarette exposure after ≥24 hr abstinence in those who were preparing to quit soon. </w:t>
            </w:r>
          </w:p>
        </w:tc>
        <w:tc>
          <w:tcPr>
            <w:tcW w:w="709" w:type="dxa"/>
            <w:hideMark/>
          </w:tcPr>
          <w:p w14:paraId="0EE762BF" w14:textId="77777777" w:rsidR="00781923" w:rsidRPr="005D0210" w:rsidRDefault="00781923" w:rsidP="004E728C">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lastRenderedPageBreak/>
              <w:t>USA</w:t>
            </w:r>
          </w:p>
        </w:tc>
        <w:tc>
          <w:tcPr>
            <w:tcW w:w="708" w:type="dxa"/>
            <w:hideMark/>
          </w:tcPr>
          <w:p w14:paraId="5DC3E418" w14:textId="77777777" w:rsidR="00781923" w:rsidRPr="005D0210" w:rsidRDefault="00781923" w:rsidP="004E728C">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t>Cross</w:t>
            </w:r>
            <w:r w:rsidRPr="005D0210">
              <w:rPr>
                <w:rFonts w:asciiTheme="minorHAnsi" w:eastAsia="Times New Roman" w:hAnsiTheme="minorHAnsi" w:cstheme="minorHAnsi"/>
                <w:sz w:val="16"/>
                <w:szCs w:val="16"/>
              </w:rPr>
              <w:noBreakHyphen/>
              <w:t xml:space="preserve">over (with 1 </w:t>
            </w:r>
            <w:r w:rsidRPr="005D0210">
              <w:rPr>
                <w:rFonts w:asciiTheme="minorHAnsi" w:eastAsia="Times New Roman" w:hAnsiTheme="minorHAnsi" w:cstheme="minorHAnsi"/>
                <w:sz w:val="16"/>
                <w:szCs w:val="16"/>
              </w:rPr>
              <w:lastRenderedPageBreak/>
              <w:t>wk washout period)</w:t>
            </w:r>
          </w:p>
        </w:tc>
        <w:tc>
          <w:tcPr>
            <w:tcW w:w="709" w:type="dxa"/>
            <w:hideMark/>
          </w:tcPr>
          <w:p w14:paraId="3F125B17" w14:textId="77777777" w:rsidR="00781923" w:rsidRPr="005D0210" w:rsidRDefault="00781923" w:rsidP="004E728C">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lastRenderedPageBreak/>
              <w:t>2x 4d periods</w:t>
            </w:r>
          </w:p>
        </w:tc>
        <w:tc>
          <w:tcPr>
            <w:tcW w:w="992" w:type="dxa"/>
            <w:hideMark/>
          </w:tcPr>
          <w:p w14:paraId="3E3D4A30" w14:textId="3EA80E8C" w:rsidR="00781923" w:rsidRPr="005D0210" w:rsidRDefault="00781923" w:rsidP="004E728C">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t>Unclear, at least single blind</w:t>
            </w:r>
            <w:r w:rsidR="007D18D8">
              <w:rPr>
                <w:rFonts w:asciiTheme="minorHAnsi" w:eastAsia="Times New Roman" w:hAnsiTheme="minorHAnsi" w:cstheme="minorHAnsi"/>
                <w:sz w:val="16"/>
                <w:szCs w:val="16"/>
              </w:rPr>
              <w:t>.</w:t>
            </w:r>
          </w:p>
        </w:tc>
        <w:tc>
          <w:tcPr>
            <w:tcW w:w="2127" w:type="dxa"/>
            <w:hideMark/>
          </w:tcPr>
          <w:p w14:paraId="5053DC31" w14:textId="77777777" w:rsidR="00781923" w:rsidRPr="005D0210" w:rsidRDefault="00781923" w:rsidP="004E728C">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t>Public notices</w:t>
            </w:r>
          </w:p>
        </w:tc>
        <w:tc>
          <w:tcPr>
            <w:tcW w:w="850" w:type="dxa"/>
            <w:hideMark/>
          </w:tcPr>
          <w:p w14:paraId="3C332BF4" w14:textId="77777777" w:rsidR="00781923" w:rsidRPr="005D0210" w:rsidRDefault="00781923" w:rsidP="004E728C">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t>17[12]</w:t>
            </w:r>
          </w:p>
        </w:tc>
        <w:tc>
          <w:tcPr>
            <w:tcW w:w="992" w:type="dxa"/>
            <w:hideMark/>
          </w:tcPr>
          <w:p w14:paraId="1229F58D" w14:textId="77777777" w:rsidR="00781923" w:rsidRPr="005D0210" w:rsidRDefault="00781923" w:rsidP="004E728C">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t>17[12]</w:t>
            </w:r>
          </w:p>
        </w:tc>
        <w:tc>
          <w:tcPr>
            <w:tcW w:w="851" w:type="dxa"/>
            <w:hideMark/>
          </w:tcPr>
          <w:p w14:paraId="6EBDE7C1" w14:textId="77777777" w:rsidR="00781923" w:rsidRPr="005D0210" w:rsidRDefault="00781923" w:rsidP="004E728C">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t>17[12]</w:t>
            </w:r>
          </w:p>
        </w:tc>
        <w:tc>
          <w:tcPr>
            <w:tcW w:w="850" w:type="dxa"/>
            <w:hideMark/>
          </w:tcPr>
          <w:p w14:paraId="0670C689" w14:textId="77777777" w:rsidR="00781923" w:rsidRPr="005D0210" w:rsidRDefault="00781923" w:rsidP="004E728C">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t>5 (41.7)</w:t>
            </w:r>
          </w:p>
        </w:tc>
        <w:tc>
          <w:tcPr>
            <w:tcW w:w="709" w:type="dxa"/>
            <w:hideMark/>
          </w:tcPr>
          <w:p w14:paraId="2F7D2D25" w14:textId="77777777" w:rsidR="00781923" w:rsidRPr="005D0210" w:rsidRDefault="00781923" w:rsidP="004E728C">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t>29.4 (11.3)</w:t>
            </w:r>
          </w:p>
        </w:tc>
        <w:tc>
          <w:tcPr>
            <w:tcW w:w="3152" w:type="dxa"/>
            <w:hideMark/>
          </w:tcPr>
          <w:p w14:paraId="7039A0D5" w14:textId="77777777" w:rsidR="00781923" w:rsidRPr="005D0210" w:rsidRDefault="00781923" w:rsidP="004E728C">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t xml:space="preserve">Intention to quit tobacco permanently within next 2 months, &gt;18y, smoking history of ≥10 cigarettes/d for &gt;1 year, nicotine dependent </w:t>
            </w:r>
            <w:r w:rsidRPr="005D0210">
              <w:rPr>
                <w:rFonts w:asciiTheme="minorHAnsi" w:eastAsia="Times New Roman" w:hAnsiTheme="minorHAnsi" w:cstheme="minorHAnsi"/>
                <w:sz w:val="16"/>
                <w:szCs w:val="16"/>
              </w:rPr>
              <w:lastRenderedPageBreak/>
              <w:t>(as per Diagnostic and statistical manual of mental disorders (4th ed.)), taking medications for serious psychological disorders and e</w:t>
            </w:r>
            <w:r w:rsidRPr="005D0210">
              <w:rPr>
                <w:rFonts w:asciiTheme="minorHAnsi" w:eastAsia="Times New Roman" w:hAnsiTheme="minorHAnsi" w:cstheme="minorHAnsi"/>
                <w:sz w:val="16"/>
                <w:szCs w:val="16"/>
              </w:rPr>
              <w:noBreakHyphen/>
              <w:t xml:space="preserve">cigarette use ≤ once/week. </w:t>
            </w:r>
          </w:p>
        </w:tc>
      </w:tr>
      <w:tr w:rsidR="00781923" w:rsidRPr="005D0210" w14:paraId="07337E35" w14:textId="77777777" w:rsidTr="004E728C">
        <w:trPr>
          <w:trHeight w:val="111"/>
        </w:trPr>
        <w:tc>
          <w:tcPr>
            <w:cnfStyle w:val="001000000000" w:firstRow="0" w:lastRow="0" w:firstColumn="1" w:lastColumn="0" w:oddVBand="0" w:evenVBand="0" w:oddHBand="0" w:evenHBand="0" w:firstRowFirstColumn="0" w:firstRowLastColumn="0" w:lastRowFirstColumn="0" w:lastRowLastColumn="0"/>
            <w:tcW w:w="1129" w:type="dxa"/>
          </w:tcPr>
          <w:p w14:paraId="2A458C73" w14:textId="77777777" w:rsidR="00781923" w:rsidRPr="005D0210" w:rsidRDefault="00781923" w:rsidP="004E728C">
            <w:pPr>
              <w:spacing w:after="0"/>
              <w:rPr>
                <w:rFonts w:asciiTheme="minorHAnsi" w:eastAsia="Times New Roman" w:hAnsiTheme="minorHAnsi" w:cstheme="minorHAnsi"/>
                <w:sz w:val="16"/>
                <w:szCs w:val="16"/>
              </w:rPr>
            </w:pPr>
            <w:r w:rsidRPr="005D0210">
              <w:rPr>
                <w:rFonts w:eastAsia="Times New Roman" w:cs="Calibri"/>
                <w:sz w:val="16"/>
                <w:szCs w:val="16"/>
              </w:rPr>
              <w:lastRenderedPageBreak/>
              <w:t>Rohsenow 2018</w:t>
            </w:r>
          </w:p>
        </w:tc>
        <w:tc>
          <w:tcPr>
            <w:tcW w:w="1985" w:type="dxa"/>
          </w:tcPr>
          <w:p w14:paraId="4929F344" w14:textId="77777777" w:rsidR="00781923" w:rsidRPr="005D0210" w:rsidRDefault="00781923" w:rsidP="004E728C">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rPr>
            </w:pPr>
            <w:r w:rsidRPr="005D0210">
              <w:rPr>
                <w:rFonts w:eastAsia="Times New Roman" w:cs="Calibri"/>
                <w:sz w:val="16"/>
                <w:szCs w:val="16"/>
              </w:rPr>
              <w:t>To investigate the effects of asking smokers to switch to e</w:t>
            </w:r>
            <w:r w:rsidRPr="005D0210">
              <w:rPr>
                <w:rFonts w:eastAsia="Times New Roman" w:cs="Calibri"/>
                <w:sz w:val="16"/>
                <w:szCs w:val="16"/>
              </w:rPr>
              <w:noBreakHyphen/>
              <w:t>cigarettes for 6 weeks on smoking, exhaled carbon monoxide (CO) concentration, dependence, and motivation to quit smoking.</w:t>
            </w:r>
          </w:p>
        </w:tc>
        <w:tc>
          <w:tcPr>
            <w:tcW w:w="709" w:type="dxa"/>
          </w:tcPr>
          <w:p w14:paraId="69664939" w14:textId="77777777" w:rsidR="00781923" w:rsidRPr="005D0210" w:rsidRDefault="00781923" w:rsidP="004E728C">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t>USA</w:t>
            </w:r>
          </w:p>
        </w:tc>
        <w:tc>
          <w:tcPr>
            <w:tcW w:w="708" w:type="dxa"/>
          </w:tcPr>
          <w:p w14:paraId="14140187" w14:textId="77777777" w:rsidR="00781923" w:rsidRPr="005D0210" w:rsidRDefault="00781923" w:rsidP="004E728C">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t>Uncontrolled trial</w:t>
            </w:r>
          </w:p>
        </w:tc>
        <w:tc>
          <w:tcPr>
            <w:tcW w:w="709" w:type="dxa"/>
          </w:tcPr>
          <w:p w14:paraId="5E8B4825" w14:textId="77777777" w:rsidR="00781923" w:rsidRPr="005D0210" w:rsidRDefault="00781923" w:rsidP="004E728C">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t>6 wks</w:t>
            </w:r>
          </w:p>
        </w:tc>
        <w:tc>
          <w:tcPr>
            <w:tcW w:w="992" w:type="dxa"/>
          </w:tcPr>
          <w:p w14:paraId="205BA4CF" w14:textId="504F78F2" w:rsidR="00781923" w:rsidRPr="005D0210" w:rsidRDefault="00781923" w:rsidP="004E728C">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t>Uncontrolled trial</w:t>
            </w:r>
            <w:r w:rsidR="007D18D8">
              <w:rPr>
                <w:rFonts w:asciiTheme="minorHAnsi" w:eastAsia="Times New Roman" w:hAnsiTheme="minorHAnsi" w:cstheme="minorHAnsi"/>
                <w:sz w:val="16"/>
                <w:szCs w:val="16"/>
              </w:rPr>
              <w:t>.</w:t>
            </w:r>
          </w:p>
        </w:tc>
        <w:tc>
          <w:tcPr>
            <w:tcW w:w="2127" w:type="dxa"/>
          </w:tcPr>
          <w:p w14:paraId="76CE6C37"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D0210">
              <w:rPr>
                <w:rFonts w:eastAsia="Times New Roman" w:cs="Calibri"/>
                <w:sz w:val="16"/>
                <w:szCs w:val="16"/>
              </w:rPr>
              <w:t>From community using flyer ads.</w:t>
            </w:r>
          </w:p>
        </w:tc>
        <w:tc>
          <w:tcPr>
            <w:tcW w:w="850" w:type="dxa"/>
          </w:tcPr>
          <w:p w14:paraId="681A8412" w14:textId="77777777" w:rsidR="00781923" w:rsidRPr="005D0210" w:rsidRDefault="00781923" w:rsidP="004E728C">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t>18</w:t>
            </w:r>
          </w:p>
        </w:tc>
        <w:tc>
          <w:tcPr>
            <w:tcW w:w="992" w:type="dxa"/>
          </w:tcPr>
          <w:p w14:paraId="5C499DC0" w14:textId="77777777" w:rsidR="00781923" w:rsidRPr="005D0210" w:rsidRDefault="00781923" w:rsidP="004E728C">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t>N/A</w:t>
            </w:r>
          </w:p>
        </w:tc>
        <w:tc>
          <w:tcPr>
            <w:tcW w:w="851" w:type="dxa"/>
          </w:tcPr>
          <w:p w14:paraId="0F35A838" w14:textId="77777777" w:rsidR="00781923" w:rsidRPr="005D0210" w:rsidRDefault="00781923" w:rsidP="004E728C">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t>N/A</w:t>
            </w:r>
          </w:p>
        </w:tc>
        <w:tc>
          <w:tcPr>
            <w:tcW w:w="850" w:type="dxa"/>
          </w:tcPr>
          <w:p w14:paraId="18831B2D" w14:textId="77777777" w:rsidR="00781923" w:rsidRPr="005D0210" w:rsidRDefault="00781923" w:rsidP="004E728C">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t>61</w:t>
            </w:r>
          </w:p>
        </w:tc>
        <w:tc>
          <w:tcPr>
            <w:tcW w:w="709" w:type="dxa"/>
          </w:tcPr>
          <w:p w14:paraId="78B654FA" w14:textId="77777777" w:rsidR="00781923" w:rsidRPr="005D0210" w:rsidRDefault="00781923" w:rsidP="004E728C">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rPr>
            </w:pPr>
            <w:r w:rsidRPr="005D0210">
              <w:rPr>
                <w:rFonts w:eastAsia="Times New Roman" w:cs="Calibri"/>
                <w:sz w:val="16"/>
                <w:szCs w:val="16"/>
              </w:rPr>
              <w:t>45.1±7.8</w:t>
            </w:r>
          </w:p>
        </w:tc>
        <w:tc>
          <w:tcPr>
            <w:tcW w:w="3152" w:type="dxa"/>
          </w:tcPr>
          <w:p w14:paraId="05E6ED8A" w14:textId="77777777" w:rsidR="00781923" w:rsidRPr="005D0210" w:rsidRDefault="00781923" w:rsidP="004E728C">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rPr>
            </w:pPr>
            <w:r w:rsidRPr="005D0210">
              <w:rPr>
                <w:rFonts w:eastAsia="Times New Roman" w:cs="Calibri"/>
                <w:iCs/>
                <w:sz w:val="16"/>
                <w:szCs w:val="16"/>
              </w:rPr>
              <w:t>Smoker, considering cessation, breath alcohol&lt;0.02 g% and negative urine drug screen (other than marijuana) on day of informed consent and baseline assessment; 18–65 years old; report reliable birth control, menopause or past hysterectomy.</w:t>
            </w:r>
            <w:r w:rsidRPr="005D0210">
              <w:rPr>
                <w:rFonts w:eastAsia="Times New Roman" w:cs="Calibri"/>
                <w:iCs/>
                <w:sz w:val="16"/>
                <w:szCs w:val="16"/>
              </w:rPr>
              <w:br w:type="page"/>
              <w:t xml:space="preserve"> Exclusion criteria: currently quitting smoking, used cessation products, non</w:t>
            </w:r>
            <w:r w:rsidRPr="005D0210">
              <w:rPr>
                <w:rFonts w:eastAsia="Times New Roman" w:cs="Calibri"/>
                <w:iCs/>
                <w:sz w:val="16"/>
                <w:szCs w:val="16"/>
              </w:rPr>
              <w:noBreakHyphen/>
              <w:t>cigarette tobacco or e</w:t>
            </w:r>
            <w:r w:rsidRPr="005D0210">
              <w:rPr>
                <w:rFonts w:eastAsia="Times New Roman" w:cs="Calibri"/>
                <w:iCs/>
                <w:sz w:val="16"/>
                <w:szCs w:val="16"/>
              </w:rPr>
              <w:noBreakHyphen/>
              <w:t>cigarettes in the past 30 days, daily use of marijuana, weekly use of marijuana mixed with tobacco, any other illicit drugs in the past 30 days; medications that could reduce smoking, medical contraindications for inhaled nicotine, unstable medical or psychiatric conditions.</w:t>
            </w:r>
          </w:p>
        </w:tc>
      </w:tr>
      <w:tr w:rsidR="00781923" w:rsidRPr="005D0210" w14:paraId="111D5529" w14:textId="77777777" w:rsidTr="004E728C">
        <w:trPr>
          <w:cnfStyle w:val="000000100000" w:firstRow="0" w:lastRow="0" w:firstColumn="0" w:lastColumn="0" w:oddVBand="0" w:evenVBand="0" w:oddHBand="1" w:evenHBand="0" w:firstRowFirstColumn="0" w:firstRowLastColumn="0" w:lastRowFirstColumn="0" w:lastRowLastColumn="0"/>
          <w:trHeight w:val="2009"/>
        </w:trPr>
        <w:tc>
          <w:tcPr>
            <w:cnfStyle w:val="001000000000" w:firstRow="0" w:lastRow="0" w:firstColumn="1" w:lastColumn="0" w:oddVBand="0" w:evenVBand="0" w:oddHBand="0" w:evenHBand="0" w:firstRowFirstColumn="0" w:firstRowLastColumn="0" w:lastRowFirstColumn="0" w:lastRowLastColumn="0"/>
            <w:tcW w:w="1129" w:type="dxa"/>
          </w:tcPr>
          <w:p w14:paraId="5D7D7E22" w14:textId="77777777" w:rsidR="00781923" w:rsidRPr="005D0210" w:rsidRDefault="00781923" w:rsidP="004E728C">
            <w:pPr>
              <w:spacing w:after="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t>Ruther 2018</w:t>
            </w:r>
          </w:p>
        </w:tc>
        <w:tc>
          <w:tcPr>
            <w:tcW w:w="1985" w:type="dxa"/>
          </w:tcPr>
          <w:p w14:paraId="325CD81C" w14:textId="77777777" w:rsidR="00781923" w:rsidRPr="005D0210" w:rsidRDefault="00781923" w:rsidP="004E728C">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t>We monitored blood nicotine levels and smoking urges during the acute phase in volunteers using disposable cigalikes and a tank model e</w:t>
            </w:r>
            <w:r w:rsidRPr="005D0210">
              <w:rPr>
                <w:rFonts w:asciiTheme="minorHAnsi" w:eastAsia="Times New Roman" w:hAnsiTheme="minorHAnsi" w:cstheme="minorHAnsi"/>
                <w:sz w:val="16"/>
                <w:szCs w:val="16"/>
              </w:rPr>
              <w:noBreakHyphen/>
              <w:t>cigarette and compared them with blood nicotine levels in subjects using a tobacco cigarette.</w:t>
            </w:r>
          </w:p>
        </w:tc>
        <w:tc>
          <w:tcPr>
            <w:tcW w:w="709" w:type="dxa"/>
          </w:tcPr>
          <w:p w14:paraId="2EDB8A62" w14:textId="77777777" w:rsidR="00781923" w:rsidRPr="005D0210" w:rsidRDefault="00781923" w:rsidP="004E728C">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t>Germany</w:t>
            </w:r>
          </w:p>
        </w:tc>
        <w:tc>
          <w:tcPr>
            <w:tcW w:w="708" w:type="dxa"/>
          </w:tcPr>
          <w:p w14:paraId="37588DC5" w14:textId="77777777" w:rsidR="00781923" w:rsidRPr="005D0210" w:rsidRDefault="00781923" w:rsidP="004E728C">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t>Parallel</w:t>
            </w:r>
          </w:p>
        </w:tc>
        <w:tc>
          <w:tcPr>
            <w:tcW w:w="709" w:type="dxa"/>
          </w:tcPr>
          <w:p w14:paraId="5B4392EF" w14:textId="77777777" w:rsidR="00781923" w:rsidRPr="005D0210" w:rsidRDefault="00781923" w:rsidP="004E728C">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t>4 wks</w:t>
            </w:r>
          </w:p>
        </w:tc>
        <w:tc>
          <w:tcPr>
            <w:tcW w:w="992" w:type="dxa"/>
          </w:tcPr>
          <w:p w14:paraId="4A68C8E5" w14:textId="3C4BEEF9" w:rsidR="00781923" w:rsidRPr="005D0210" w:rsidRDefault="00781923" w:rsidP="004E728C">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t>Not blinded, not randomised</w:t>
            </w:r>
            <w:r w:rsidR="007D18D8">
              <w:rPr>
                <w:rFonts w:asciiTheme="minorHAnsi" w:eastAsia="Times New Roman" w:hAnsiTheme="minorHAnsi" w:cstheme="minorHAnsi"/>
                <w:sz w:val="16"/>
                <w:szCs w:val="16"/>
              </w:rPr>
              <w:t>.</w:t>
            </w:r>
          </w:p>
        </w:tc>
        <w:tc>
          <w:tcPr>
            <w:tcW w:w="2127" w:type="dxa"/>
          </w:tcPr>
          <w:p w14:paraId="30EFCC83" w14:textId="286240AE"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5D0210">
              <w:rPr>
                <w:rFonts w:asciiTheme="minorHAnsi" w:hAnsiTheme="minorHAnsi" w:cstheme="minorHAnsi"/>
                <w:sz w:val="16"/>
                <w:szCs w:val="16"/>
              </w:rPr>
              <w:t>Flyers and internet</w:t>
            </w:r>
            <w:r w:rsidR="007D18D8">
              <w:rPr>
                <w:rFonts w:asciiTheme="minorHAnsi" w:hAnsiTheme="minorHAnsi" w:cstheme="minorHAnsi"/>
                <w:sz w:val="16"/>
                <w:szCs w:val="16"/>
              </w:rPr>
              <w:t>.</w:t>
            </w:r>
          </w:p>
        </w:tc>
        <w:tc>
          <w:tcPr>
            <w:tcW w:w="850" w:type="dxa"/>
          </w:tcPr>
          <w:p w14:paraId="7A8596D4" w14:textId="77777777" w:rsidR="00781923" w:rsidRPr="005D0210" w:rsidRDefault="00781923" w:rsidP="004E728C">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t>20 [20]</w:t>
            </w:r>
          </w:p>
        </w:tc>
        <w:tc>
          <w:tcPr>
            <w:tcW w:w="992" w:type="dxa"/>
          </w:tcPr>
          <w:p w14:paraId="71F829AA" w14:textId="77777777" w:rsidR="00781923" w:rsidRPr="005D0210" w:rsidRDefault="00781923" w:rsidP="004E728C">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t xml:space="preserve">9 [9] </w:t>
            </w:r>
          </w:p>
        </w:tc>
        <w:tc>
          <w:tcPr>
            <w:tcW w:w="851" w:type="dxa"/>
          </w:tcPr>
          <w:p w14:paraId="58635944" w14:textId="77777777" w:rsidR="00781923" w:rsidRPr="005D0210" w:rsidRDefault="00781923" w:rsidP="004E728C">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t>11 [11]</w:t>
            </w:r>
          </w:p>
        </w:tc>
        <w:tc>
          <w:tcPr>
            <w:tcW w:w="850" w:type="dxa"/>
          </w:tcPr>
          <w:p w14:paraId="76645EF1" w14:textId="77777777" w:rsidR="00781923" w:rsidRPr="005D0210" w:rsidRDefault="00781923" w:rsidP="004E728C">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t>0</w:t>
            </w:r>
          </w:p>
        </w:tc>
        <w:tc>
          <w:tcPr>
            <w:tcW w:w="709" w:type="dxa"/>
          </w:tcPr>
          <w:p w14:paraId="039B2A35" w14:textId="77777777" w:rsidR="00781923" w:rsidRPr="005D0210" w:rsidRDefault="00781923" w:rsidP="004E728C">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t>Experimental: 28.5 (8.9)</w:t>
            </w:r>
          </w:p>
          <w:p w14:paraId="72AEE108" w14:textId="77777777" w:rsidR="00781923" w:rsidRPr="005D0210" w:rsidRDefault="00781923" w:rsidP="004E728C">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t>Control: 26.2 (6.9)</w:t>
            </w:r>
          </w:p>
        </w:tc>
        <w:tc>
          <w:tcPr>
            <w:tcW w:w="3152" w:type="dxa"/>
          </w:tcPr>
          <w:p w14:paraId="39FBEF6F" w14:textId="3C63F766" w:rsidR="00781923" w:rsidRPr="005D0210" w:rsidRDefault="00781923" w:rsidP="004E728C">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t>Healthy male, &gt;18 yrs, routine user of e</w:t>
            </w:r>
            <w:r w:rsidRPr="005D0210">
              <w:rPr>
                <w:rFonts w:asciiTheme="minorHAnsi" w:eastAsia="Times New Roman" w:hAnsiTheme="minorHAnsi" w:cstheme="minorHAnsi"/>
                <w:sz w:val="16"/>
                <w:szCs w:val="16"/>
              </w:rPr>
              <w:noBreakHyphen/>
              <w:t>cigarettes (e</w:t>
            </w:r>
            <w:r w:rsidRPr="005D0210">
              <w:rPr>
                <w:rFonts w:asciiTheme="minorHAnsi" w:eastAsia="Times New Roman" w:hAnsiTheme="minorHAnsi" w:cstheme="minorHAnsi"/>
                <w:sz w:val="16"/>
                <w:szCs w:val="16"/>
              </w:rPr>
              <w:noBreakHyphen/>
              <w:t>cigarette group) or smoker for &gt;3 years (cigarette group)</w:t>
            </w:r>
            <w:r w:rsidR="007D18D8">
              <w:rPr>
                <w:rFonts w:asciiTheme="minorHAnsi" w:eastAsia="Times New Roman" w:hAnsiTheme="minorHAnsi" w:cstheme="minorHAnsi"/>
                <w:sz w:val="16"/>
                <w:szCs w:val="16"/>
              </w:rPr>
              <w:t>.</w:t>
            </w:r>
          </w:p>
        </w:tc>
      </w:tr>
      <w:tr w:rsidR="00781923" w:rsidRPr="005D0210" w14:paraId="284954C9" w14:textId="77777777" w:rsidTr="004E728C">
        <w:trPr>
          <w:trHeight w:val="3225"/>
        </w:trPr>
        <w:tc>
          <w:tcPr>
            <w:cnfStyle w:val="001000000000" w:firstRow="0" w:lastRow="0" w:firstColumn="1" w:lastColumn="0" w:oddVBand="0" w:evenVBand="0" w:oddHBand="0" w:evenHBand="0" w:firstRowFirstColumn="0" w:firstRowLastColumn="0" w:lastRowFirstColumn="0" w:lastRowLastColumn="0"/>
            <w:tcW w:w="1129" w:type="dxa"/>
            <w:hideMark/>
          </w:tcPr>
          <w:p w14:paraId="2D58C596" w14:textId="77777777" w:rsidR="00781923" w:rsidRPr="005D0210" w:rsidRDefault="00781923" w:rsidP="004E728C">
            <w:pPr>
              <w:spacing w:after="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lastRenderedPageBreak/>
              <w:t>Tucker 2017</w:t>
            </w:r>
          </w:p>
        </w:tc>
        <w:tc>
          <w:tcPr>
            <w:tcW w:w="1985" w:type="dxa"/>
            <w:hideMark/>
          </w:tcPr>
          <w:p w14:paraId="41A0CE1B" w14:textId="77777777" w:rsidR="00781923" w:rsidRPr="005D0210" w:rsidRDefault="00781923" w:rsidP="004E728C">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t>We aimed to: (1) compare self</w:t>
            </w:r>
            <w:r w:rsidRPr="005D0210">
              <w:rPr>
                <w:rFonts w:asciiTheme="minorHAnsi" w:eastAsia="Times New Roman" w:hAnsiTheme="minorHAnsi" w:cstheme="minorHAnsi"/>
                <w:sz w:val="16"/>
                <w:szCs w:val="16"/>
              </w:rPr>
              <w:noBreakHyphen/>
              <w:t>reported smoking behaviour and e</w:t>
            </w:r>
            <w:r w:rsidRPr="005D0210">
              <w:rPr>
                <w:rFonts w:asciiTheme="minorHAnsi" w:eastAsia="Times New Roman" w:hAnsiTheme="minorHAnsi" w:cstheme="minorHAnsi"/>
                <w:sz w:val="16"/>
                <w:szCs w:val="16"/>
              </w:rPr>
              <w:noBreakHyphen/>
              <w:t>cigarette use over a period of 2 weeks for the four different nicotine levels; (2) compare subjective effects ratings of e</w:t>
            </w:r>
            <w:r w:rsidRPr="005D0210">
              <w:rPr>
                <w:rFonts w:asciiTheme="minorHAnsi" w:eastAsia="Times New Roman" w:hAnsiTheme="minorHAnsi" w:cstheme="minorHAnsi"/>
                <w:sz w:val="16"/>
                <w:szCs w:val="16"/>
              </w:rPr>
              <w:noBreakHyphen/>
              <w:t>cigarettes after a 2</w:t>
            </w:r>
            <w:r w:rsidRPr="005D0210">
              <w:rPr>
                <w:rFonts w:asciiTheme="minorHAnsi" w:eastAsia="Times New Roman" w:hAnsiTheme="minorHAnsi" w:cstheme="minorHAnsi"/>
                <w:sz w:val="16"/>
                <w:szCs w:val="16"/>
              </w:rPr>
              <w:noBreakHyphen/>
              <w:t>week period across nicotine levels; and (3) test if the model from Tucker et al., which predicted simulated demand based on subjective effects, could predict actual e</w:t>
            </w:r>
            <w:r w:rsidRPr="005D0210">
              <w:rPr>
                <w:rFonts w:asciiTheme="minorHAnsi" w:eastAsia="Times New Roman" w:hAnsiTheme="minorHAnsi" w:cstheme="minorHAnsi"/>
                <w:sz w:val="16"/>
                <w:szCs w:val="16"/>
              </w:rPr>
              <w:noBreakHyphen/>
              <w:t>cigarette use.</w:t>
            </w:r>
          </w:p>
        </w:tc>
        <w:tc>
          <w:tcPr>
            <w:tcW w:w="709" w:type="dxa"/>
            <w:hideMark/>
          </w:tcPr>
          <w:p w14:paraId="510FA7A4" w14:textId="77777777" w:rsidR="00781923" w:rsidRPr="005D0210" w:rsidRDefault="00781923" w:rsidP="004E728C">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t>New Zealand</w:t>
            </w:r>
          </w:p>
        </w:tc>
        <w:tc>
          <w:tcPr>
            <w:tcW w:w="708" w:type="dxa"/>
            <w:hideMark/>
          </w:tcPr>
          <w:p w14:paraId="609F2381" w14:textId="77777777" w:rsidR="00781923" w:rsidRPr="005D0210" w:rsidRDefault="00781923" w:rsidP="004E728C">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t>Cross</w:t>
            </w:r>
            <w:r w:rsidRPr="005D0210">
              <w:rPr>
                <w:rFonts w:asciiTheme="minorHAnsi" w:eastAsia="Times New Roman" w:hAnsiTheme="minorHAnsi" w:cstheme="minorHAnsi"/>
                <w:sz w:val="16"/>
                <w:szCs w:val="16"/>
              </w:rPr>
              <w:noBreakHyphen/>
              <w:t>over</w:t>
            </w:r>
          </w:p>
        </w:tc>
        <w:tc>
          <w:tcPr>
            <w:tcW w:w="709" w:type="dxa"/>
            <w:hideMark/>
          </w:tcPr>
          <w:p w14:paraId="5421FF67" w14:textId="77777777" w:rsidR="00781923" w:rsidRPr="005D0210" w:rsidRDefault="00781923" w:rsidP="004E728C">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t>4x 2week periods</w:t>
            </w:r>
          </w:p>
        </w:tc>
        <w:tc>
          <w:tcPr>
            <w:tcW w:w="992" w:type="dxa"/>
            <w:hideMark/>
          </w:tcPr>
          <w:p w14:paraId="374FEFB4" w14:textId="77777777" w:rsidR="00781923" w:rsidRPr="005D0210" w:rsidRDefault="00781923" w:rsidP="004E728C">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t>Unclear, at least single blind</w:t>
            </w:r>
          </w:p>
        </w:tc>
        <w:tc>
          <w:tcPr>
            <w:tcW w:w="2127" w:type="dxa"/>
            <w:hideMark/>
          </w:tcPr>
          <w:p w14:paraId="10ABABB4" w14:textId="58735076" w:rsidR="00781923" w:rsidRPr="005D0210" w:rsidRDefault="007D18D8" w:rsidP="004E728C">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rPr>
            </w:pPr>
            <w:r>
              <w:rPr>
                <w:rFonts w:asciiTheme="minorHAnsi" w:eastAsia="Times New Roman" w:hAnsiTheme="minorHAnsi" w:cstheme="minorHAnsi"/>
                <w:sz w:val="16"/>
                <w:szCs w:val="16"/>
              </w:rPr>
              <w:t>R</w:t>
            </w:r>
            <w:r w:rsidR="00781923" w:rsidRPr="005D0210">
              <w:rPr>
                <w:rFonts w:asciiTheme="minorHAnsi" w:eastAsia="Times New Roman" w:hAnsiTheme="minorHAnsi" w:cstheme="minorHAnsi"/>
                <w:sz w:val="16"/>
                <w:szCs w:val="16"/>
              </w:rPr>
              <w:t>ecruited by community and internet advertisement in two New Zealand cities [Christchurch n=22; Wellington n=13]</w:t>
            </w:r>
          </w:p>
        </w:tc>
        <w:tc>
          <w:tcPr>
            <w:tcW w:w="850" w:type="dxa"/>
            <w:hideMark/>
          </w:tcPr>
          <w:p w14:paraId="24E6CDAB" w14:textId="77777777" w:rsidR="00781923" w:rsidRPr="005D0210" w:rsidRDefault="00781923" w:rsidP="004E728C">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t>40 [35]</w:t>
            </w:r>
          </w:p>
        </w:tc>
        <w:tc>
          <w:tcPr>
            <w:tcW w:w="992" w:type="dxa"/>
            <w:hideMark/>
          </w:tcPr>
          <w:p w14:paraId="456CD237" w14:textId="77777777" w:rsidR="00781923" w:rsidRPr="005D0210" w:rsidRDefault="00781923" w:rsidP="004E728C">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t>40 [35]</w:t>
            </w:r>
          </w:p>
        </w:tc>
        <w:tc>
          <w:tcPr>
            <w:tcW w:w="851" w:type="dxa"/>
            <w:hideMark/>
          </w:tcPr>
          <w:p w14:paraId="7AC9718D" w14:textId="77777777" w:rsidR="00781923" w:rsidRPr="005D0210" w:rsidRDefault="00781923" w:rsidP="004E728C">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t>40 [35]</w:t>
            </w:r>
          </w:p>
        </w:tc>
        <w:tc>
          <w:tcPr>
            <w:tcW w:w="850" w:type="dxa"/>
            <w:hideMark/>
          </w:tcPr>
          <w:p w14:paraId="1D162BCE" w14:textId="77777777" w:rsidR="00781923" w:rsidRPr="005D0210" w:rsidRDefault="00781923" w:rsidP="004E728C">
            <w:pPr>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t>12 (26.7)</w:t>
            </w:r>
          </w:p>
        </w:tc>
        <w:tc>
          <w:tcPr>
            <w:tcW w:w="709" w:type="dxa"/>
            <w:hideMark/>
          </w:tcPr>
          <w:p w14:paraId="769B41CB" w14:textId="77777777" w:rsidR="00781923" w:rsidRPr="005D0210" w:rsidRDefault="00781923" w:rsidP="004E728C">
            <w:pPr>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t>26.76 (10.6)</w:t>
            </w:r>
          </w:p>
        </w:tc>
        <w:tc>
          <w:tcPr>
            <w:tcW w:w="3152" w:type="dxa"/>
            <w:hideMark/>
          </w:tcPr>
          <w:p w14:paraId="3D37FF48" w14:textId="77777777" w:rsidR="00781923" w:rsidRPr="005D0210" w:rsidRDefault="00781923" w:rsidP="004E728C">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t>Smoked ≥1 cigarette/d and not be: pregnant or breastfeeding, currently using nicotine replacement products or smoking cessation medication, and suffering from any acute or chronic respiratory, cardiovascular, hepatic, or renal disease.</w:t>
            </w:r>
          </w:p>
        </w:tc>
      </w:tr>
      <w:tr w:rsidR="00781923" w:rsidRPr="005D0210" w14:paraId="2E6AD7A8" w14:textId="77777777" w:rsidTr="004E728C">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1129" w:type="dxa"/>
            <w:noWrap/>
            <w:hideMark/>
          </w:tcPr>
          <w:p w14:paraId="20465E84" w14:textId="77777777" w:rsidR="00781923" w:rsidRPr="005D0210" w:rsidRDefault="00781923" w:rsidP="004E728C">
            <w:pPr>
              <w:spacing w:after="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t>Van Heel 2017</w:t>
            </w:r>
          </w:p>
        </w:tc>
        <w:tc>
          <w:tcPr>
            <w:tcW w:w="1985" w:type="dxa"/>
            <w:hideMark/>
          </w:tcPr>
          <w:p w14:paraId="46A4A9F8" w14:textId="77777777" w:rsidR="00781923" w:rsidRPr="005D0210" w:rsidRDefault="00781923" w:rsidP="004E728C">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t>This study examined the impact of four variables pertaining to the use of e</w:t>
            </w:r>
            <w:r w:rsidRPr="005D0210">
              <w:rPr>
                <w:rFonts w:asciiTheme="minorHAnsi" w:eastAsia="Times New Roman" w:hAnsiTheme="minorHAnsi" w:cstheme="minorHAnsi"/>
                <w:sz w:val="16"/>
                <w:szCs w:val="16"/>
              </w:rPr>
              <w:noBreakHyphen/>
              <w:t>cigarettes (e</w:t>
            </w:r>
            <w:r w:rsidRPr="005D0210">
              <w:rPr>
                <w:rFonts w:asciiTheme="minorHAnsi" w:eastAsia="Times New Roman" w:hAnsiTheme="minorHAnsi" w:cstheme="minorHAnsi"/>
                <w:sz w:val="16"/>
                <w:szCs w:val="16"/>
              </w:rPr>
              <w:noBreakHyphen/>
              <w:t>cigs) on cravings for tobacco cigarettes and for e</w:t>
            </w:r>
            <w:r w:rsidRPr="005D0210">
              <w:rPr>
                <w:rFonts w:asciiTheme="minorHAnsi" w:eastAsia="Times New Roman" w:hAnsiTheme="minorHAnsi" w:cstheme="minorHAnsi"/>
                <w:sz w:val="16"/>
                <w:szCs w:val="16"/>
              </w:rPr>
              <w:noBreakHyphen/>
              <w:t>cigarettes after an overnight abstinence period.</w:t>
            </w:r>
          </w:p>
        </w:tc>
        <w:tc>
          <w:tcPr>
            <w:tcW w:w="709" w:type="dxa"/>
            <w:hideMark/>
          </w:tcPr>
          <w:p w14:paraId="36197BE4" w14:textId="77777777" w:rsidR="00781923" w:rsidRPr="005D0210" w:rsidRDefault="00781923" w:rsidP="004E728C">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t>Leuven, Belgium</w:t>
            </w:r>
          </w:p>
        </w:tc>
        <w:tc>
          <w:tcPr>
            <w:tcW w:w="708" w:type="dxa"/>
            <w:hideMark/>
          </w:tcPr>
          <w:p w14:paraId="0AB2A9C8" w14:textId="77777777" w:rsidR="00781923" w:rsidRPr="005D0210" w:rsidRDefault="00781923" w:rsidP="004E728C">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t>Parallel</w:t>
            </w:r>
          </w:p>
        </w:tc>
        <w:tc>
          <w:tcPr>
            <w:tcW w:w="709" w:type="dxa"/>
            <w:noWrap/>
            <w:hideMark/>
          </w:tcPr>
          <w:p w14:paraId="032809DE" w14:textId="77777777" w:rsidR="00781923" w:rsidRPr="005D0210" w:rsidRDefault="00781923" w:rsidP="004E728C">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t>2</w:t>
            </w:r>
          </w:p>
        </w:tc>
        <w:tc>
          <w:tcPr>
            <w:tcW w:w="992" w:type="dxa"/>
            <w:hideMark/>
          </w:tcPr>
          <w:p w14:paraId="320F4392" w14:textId="77777777" w:rsidR="00781923" w:rsidRPr="005D0210" w:rsidRDefault="00781923" w:rsidP="004E728C">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t>NR</w:t>
            </w:r>
          </w:p>
        </w:tc>
        <w:tc>
          <w:tcPr>
            <w:tcW w:w="2127" w:type="dxa"/>
            <w:hideMark/>
          </w:tcPr>
          <w:p w14:paraId="0E9FFB2E" w14:textId="5F3AA829" w:rsidR="00781923" w:rsidRPr="005D0210" w:rsidRDefault="00781923" w:rsidP="004E728C">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t>Recruited through flyers and online advertisements in local community</w:t>
            </w:r>
            <w:r w:rsidR="007D18D8">
              <w:rPr>
                <w:rFonts w:asciiTheme="minorHAnsi" w:eastAsia="Times New Roman" w:hAnsiTheme="minorHAnsi" w:cstheme="minorHAnsi"/>
                <w:sz w:val="16"/>
                <w:szCs w:val="16"/>
              </w:rPr>
              <w:t>.</w:t>
            </w:r>
          </w:p>
        </w:tc>
        <w:tc>
          <w:tcPr>
            <w:tcW w:w="850" w:type="dxa"/>
            <w:hideMark/>
          </w:tcPr>
          <w:p w14:paraId="2A73D49A" w14:textId="77777777" w:rsidR="00781923" w:rsidRPr="005D0210" w:rsidRDefault="00781923" w:rsidP="004E728C">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t>81</w:t>
            </w:r>
          </w:p>
        </w:tc>
        <w:tc>
          <w:tcPr>
            <w:tcW w:w="992" w:type="dxa"/>
            <w:hideMark/>
          </w:tcPr>
          <w:p w14:paraId="38AFD6F6" w14:textId="77777777" w:rsidR="00781923" w:rsidRPr="005D0210" w:rsidRDefault="00781923" w:rsidP="004E728C">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t>NR</w:t>
            </w:r>
          </w:p>
        </w:tc>
        <w:tc>
          <w:tcPr>
            <w:tcW w:w="851" w:type="dxa"/>
            <w:hideMark/>
          </w:tcPr>
          <w:p w14:paraId="4CD66BFD" w14:textId="77777777" w:rsidR="00781923" w:rsidRPr="005D0210" w:rsidRDefault="00781923" w:rsidP="004E728C">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t>NR</w:t>
            </w:r>
          </w:p>
        </w:tc>
        <w:tc>
          <w:tcPr>
            <w:tcW w:w="850" w:type="dxa"/>
            <w:hideMark/>
          </w:tcPr>
          <w:p w14:paraId="58F9B3D5" w14:textId="77777777" w:rsidR="00781923" w:rsidRPr="005D0210" w:rsidRDefault="00781923" w:rsidP="004E728C">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t>37 (45.7)</w:t>
            </w:r>
          </w:p>
        </w:tc>
        <w:tc>
          <w:tcPr>
            <w:tcW w:w="709" w:type="dxa"/>
            <w:noWrap/>
            <w:hideMark/>
          </w:tcPr>
          <w:p w14:paraId="7E74D3EF" w14:textId="77777777" w:rsidR="00781923" w:rsidRPr="005D0210" w:rsidRDefault="00781923" w:rsidP="004E728C">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t>29.8 (13.2)</w:t>
            </w:r>
          </w:p>
        </w:tc>
        <w:tc>
          <w:tcPr>
            <w:tcW w:w="3152" w:type="dxa"/>
            <w:hideMark/>
          </w:tcPr>
          <w:p w14:paraId="62F364B1" w14:textId="77777777" w:rsidR="00781923" w:rsidRPr="005D0210" w:rsidRDefault="00781923" w:rsidP="004E728C">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rPr>
            </w:pPr>
            <w:r w:rsidRPr="005D0210">
              <w:rPr>
                <w:rFonts w:asciiTheme="minorHAnsi" w:eastAsia="Times New Roman" w:hAnsiTheme="minorHAnsi" w:cstheme="minorHAnsi"/>
                <w:sz w:val="16"/>
                <w:szCs w:val="16"/>
              </w:rPr>
              <w:t>Smoking ~10 cigarettes/d over past 3 yrs, no experience with vaping, and, in women, not pregnant or breastfeeding.</w:t>
            </w:r>
            <w:r w:rsidRPr="005D0210">
              <w:rPr>
                <w:rFonts w:asciiTheme="minorHAnsi" w:eastAsia="Times New Roman" w:hAnsiTheme="minorHAnsi" w:cstheme="minorHAnsi"/>
                <w:sz w:val="16"/>
                <w:szCs w:val="16"/>
              </w:rPr>
              <w:br/>
              <w:t>Exclusion: not currently attempting to quit smoking, nor to have the intention to quit smoking in the near future; diabetes, severe allergies, asthma, other airway disorders, psychiatric problems, chemical dependence other than nicotine, high blood pressure or other cardiovascular diseases.</w:t>
            </w:r>
          </w:p>
        </w:tc>
      </w:tr>
    </w:tbl>
    <w:p w14:paraId="53E01D73" w14:textId="77777777" w:rsidR="00781923" w:rsidRPr="005D0210" w:rsidRDefault="00781923" w:rsidP="00781923">
      <w:pPr>
        <w:pStyle w:val="Caption"/>
      </w:pPr>
    </w:p>
    <w:p w14:paraId="57D6A150" w14:textId="77777777" w:rsidR="00781923" w:rsidRPr="005D0210" w:rsidRDefault="00781923" w:rsidP="00781923">
      <w:pPr>
        <w:rPr>
          <w:iCs/>
          <w:color w:val="000000" w:themeColor="text2"/>
          <w:sz w:val="18"/>
          <w:szCs w:val="18"/>
        </w:rPr>
      </w:pPr>
      <w:r w:rsidRPr="005D0210">
        <w:br w:type="page"/>
      </w:r>
    </w:p>
    <w:p w14:paraId="5FF7606A" w14:textId="77777777" w:rsidR="00781923" w:rsidRPr="005D0210" w:rsidRDefault="003D2CBD" w:rsidP="003D2CBD">
      <w:pPr>
        <w:pStyle w:val="Caption"/>
      </w:pPr>
      <w:bookmarkStart w:id="152" w:name="_Toc515229972"/>
      <w:bookmarkStart w:id="153" w:name="_Toc517707425"/>
      <w:r w:rsidRPr="005D0210">
        <w:lastRenderedPageBreak/>
        <w:t xml:space="preserve">Table </w:t>
      </w:r>
      <w:r w:rsidR="0048064B">
        <w:rPr>
          <w:noProof/>
        </w:rPr>
        <w:fldChar w:fldCharType="begin"/>
      </w:r>
      <w:r w:rsidR="0048064B">
        <w:rPr>
          <w:noProof/>
        </w:rPr>
        <w:instrText xml:space="preserve"> SEQ Table \* ARABIC </w:instrText>
      </w:r>
      <w:r w:rsidR="0048064B">
        <w:rPr>
          <w:noProof/>
        </w:rPr>
        <w:fldChar w:fldCharType="separate"/>
      </w:r>
      <w:r w:rsidR="000C06DA">
        <w:rPr>
          <w:noProof/>
        </w:rPr>
        <w:t>16</w:t>
      </w:r>
      <w:r w:rsidR="0048064B">
        <w:rPr>
          <w:noProof/>
        </w:rPr>
        <w:fldChar w:fldCharType="end"/>
      </w:r>
      <w:r w:rsidR="00781923" w:rsidRPr="005D0210">
        <w:t>: Smoking cessation trials: outcomes</w:t>
      </w:r>
      <w:bookmarkEnd w:id="152"/>
      <w:bookmarkEnd w:id="153"/>
      <w:r w:rsidR="00781923" w:rsidRPr="005D0210">
        <w:t xml:space="preserve"> </w:t>
      </w:r>
    </w:p>
    <w:tbl>
      <w:tblPr>
        <w:tblStyle w:val="TableCSIRO"/>
        <w:tblW w:w="15680" w:type="dxa"/>
        <w:tblLook w:val="04A0" w:firstRow="1" w:lastRow="0" w:firstColumn="1" w:lastColumn="0" w:noHBand="0" w:noVBand="1"/>
      </w:tblPr>
      <w:tblGrid>
        <w:gridCol w:w="1830"/>
        <w:gridCol w:w="1429"/>
        <w:gridCol w:w="1380"/>
        <w:gridCol w:w="2284"/>
        <w:gridCol w:w="3719"/>
        <w:gridCol w:w="2301"/>
        <w:gridCol w:w="2737"/>
      </w:tblGrid>
      <w:tr w:rsidR="00781923" w:rsidRPr="005D0210" w14:paraId="75D82683" w14:textId="77777777" w:rsidTr="004E728C">
        <w:trPr>
          <w:cnfStyle w:val="100000000000" w:firstRow="1" w:lastRow="0" w:firstColumn="0" w:lastColumn="0" w:oddVBand="0" w:evenVBand="0" w:oddHBand="0" w:evenHBand="0" w:firstRowFirstColumn="0" w:firstRowLastColumn="0" w:lastRowFirstColumn="0" w:lastRowLastColumn="0"/>
          <w:trHeight w:val="299"/>
          <w:tblHeader/>
        </w:trPr>
        <w:tc>
          <w:tcPr>
            <w:cnfStyle w:val="001000000000" w:firstRow="0" w:lastRow="0" w:firstColumn="1" w:lastColumn="0" w:oddVBand="0" w:evenVBand="0" w:oddHBand="0" w:evenHBand="0" w:firstRowFirstColumn="0" w:firstRowLastColumn="0" w:lastRowFirstColumn="0" w:lastRowLastColumn="0"/>
            <w:tcW w:w="1835" w:type="dxa"/>
            <w:vMerge w:val="restart"/>
          </w:tcPr>
          <w:p w14:paraId="303AA0FE" w14:textId="77777777" w:rsidR="00781923" w:rsidRPr="005D0210" w:rsidRDefault="00781923" w:rsidP="004E728C">
            <w:pPr>
              <w:jc w:val="center"/>
              <w:rPr>
                <w:rFonts w:eastAsia="Times New Roman" w:cs="Calibri"/>
                <w:b w:val="0"/>
                <w:bCs w:val="0"/>
                <w:color w:val="FFFFFF" w:themeColor="background1"/>
                <w:sz w:val="16"/>
                <w:szCs w:val="16"/>
              </w:rPr>
            </w:pPr>
            <w:r w:rsidRPr="005D0210">
              <w:rPr>
                <w:rFonts w:cs="Calibri"/>
                <w:color w:val="FFFFFF" w:themeColor="background1"/>
                <w:sz w:val="16"/>
                <w:szCs w:val="16"/>
              </w:rPr>
              <w:t>Study reference</w:t>
            </w:r>
          </w:p>
        </w:tc>
        <w:tc>
          <w:tcPr>
            <w:tcW w:w="1397" w:type="dxa"/>
            <w:vMerge w:val="restart"/>
            <w:hideMark/>
          </w:tcPr>
          <w:p w14:paraId="543F0BFC" w14:textId="77777777" w:rsidR="00781923" w:rsidRPr="005D0210" w:rsidRDefault="00781923" w:rsidP="004E728C">
            <w:pPr>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themeColor="background1"/>
                <w:sz w:val="16"/>
                <w:szCs w:val="16"/>
              </w:rPr>
            </w:pPr>
            <w:r w:rsidRPr="005D0210">
              <w:rPr>
                <w:rFonts w:eastAsia="Times New Roman" w:cs="Calibri"/>
                <w:color w:val="FFFFFF" w:themeColor="background1"/>
                <w:sz w:val="16"/>
                <w:szCs w:val="16"/>
              </w:rPr>
              <w:t>Control intervention</w:t>
            </w:r>
          </w:p>
        </w:tc>
        <w:tc>
          <w:tcPr>
            <w:tcW w:w="1381" w:type="dxa"/>
            <w:vMerge w:val="restart"/>
            <w:hideMark/>
          </w:tcPr>
          <w:p w14:paraId="11BBA8FA" w14:textId="77777777" w:rsidR="00781923" w:rsidRPr="005D0210" w:rsidRDefault="00781923" w:rsidP="004E728C">
            <w:pPr>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themeColor="background1"/>
                <w:sz w:val="16"/>
                <w:szCs w:val="16"/>
              </w:rPr>
            </w:pPr>
            <w:r w:rsidRPr="005D0210">
              <w:rPr>
                <w:rFonts w:eastAsia="Times New Roman" w:cs="Calibri"/>
                <w:color w:val="FFFFFF" w:themeColor="background1"/>
                <w:sz w:val="16"/>
                <w:szCs w:val="16"/>
              </w:rPr>
              <w:t>Experimental intervention</w:t>
            </w:r>
          </w:p>
        </w:tc>
        <w:tc>
          <w:tcPr>
            <w:tcW w:w="6017" w:type="dxa"/>
            <w:gridSpan w:val="2"/>
            <w:hideMark/>
          </w:tcPr>
          <w:p w14:paraId="674E3DE8" w14:textId="77777777" w:rsidR="00781923" w:rsidRPr="005D0210" w:rsidRDefault="00781923" w:rsidP="004E728C">
            <w:pPr>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themeColor="background1"/>
                <w:sz w:val="16"/>
                <w:szCs w:val="16"/>
              </w:rPr>
            </w:pPr>
            <w:r w:rsidRPr="005D0210">
              <w:rPr>
                <w:rFonts w:eastAsia="Times New Roman" w:cs="Calibri"/>
                <w:color w:val="FFFFFF" w:themeColor="background1"/>
                <w:sz w:val="16"/>
                <w:szCs w:val="16"/>
              </w:rPr>
              <w:t>Smoking Outcomes</w:t>
            </w:r>
          </w:p>
        </w:tc>
        <w:tc>
          <w:tcPr>
            <w:tcW w:w="2307" w:type="dxa"/>
            <w:vMerge w:val="restart"/>
            <w:hideMark/>
          </w:tcPr>
          <w:p w14:paraId="3FA9EB3C" w14:textId="77777777" w:rsidR="00781923" w:rsidRPr="005D0210" w:rsidRDefault="00781923" w:rsidP="004E728C">
            <w:pPr>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themeColor="background1"/>
                <w:sz w:val="16"/>
                <w:szCs w:val="16"/>
              </w:rPr>
            </w:pPr>
            <w:r w:rsidRPr="005D0210">
              <w:rPr>
                <w:rFonts w:eastAsia="Times New Roman" w:cs="Calibri"/>
                <w:color w:val="FFFFFF" w:themeColor="background1"/>
                <w:sz w:val="16"/>
                <w:szCs w:val="16"/>
              </w:rPr>
              <w:t>Effect measure (i.e. quantitative result of trial)</w:t>
            </w:r>
          </w:p>
        </w:tc>
        <w:tc>
          <w:tcPr>
            <w:tcW w:w="2743" w:type="dxa"/>
            <w:vMerge w:val="restart"/>
            <w:hideMark/>
          </w:tcPr>
          <w:p w14:paraId="74B24398" w14:textId="77777777" w:rsidR="00781923" w:rsidRPr="005D0210" w:rsidRDefault="00781923" w:rsidP="004E728C">
            <w:pPr>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themeColor="background1"/>
                <w:sz w:val="16"/>
                <w:szCs w:val="16"/>
              </w:rPr>
            </w:pPr>
            <w:r w:rsidRPr="005D0210">
              <w:rPr>
                <w:rFonts w:eastAsia="Times New Roman" w:cs="Calibri"/>
                <w:color w:val="FFFFFF" w:themeColor="background1"/>
                <w:sz w:val="16"/>
                <w:szCs w:val="16"/>
              </w:rPr>
              <w:t>Conclusion statement</w:t>
            </w:r>
          </w:p>
        </w:tc>
      </w:tr>
      <w:tr w:rsidR="00781923" w:rsidRPr="005D0210" w14:paraId="15703CA4" w14:textId="77777777" w:rsidTr="004E728C">
        <w:trPr>
          <w:cnfStyle w:val="100000000000" w:firstRow="1" w:lastRow="0" w:firstColumn="0" w:lastColumn="0" w:oddVBand="0" w:evenVBand="0" w:oddHBand="0" w:evenHBand="0" w:firstRowFirstColumn="0" w:firstRowLastColumn="0" w:lastRowFirstColumn="0" w:lastRowLastColumn="0"/>
          <w:trHeight w:val="327"/>
          <w:tblHeader/>
        </w:trPr>
        <w:tc>
          <w:tcPr>
            <w:cnfStyle w:val="001000000000" w:firstRow="0" w:lastRow="0" w:firstColumn="1" w:lastColumn="0" w:oddVBand="0" w:evenVBand="0" w:oddHBand="0" w:evenHBand="0" w:firstRowFirstColumn="0" w:firstRowLastColumn="0" w:lastRowFirstColumn="0" w:lastRowLastColumn="0"/>
            <w:tcW w:w="1835" w:type="dxa"/>
            <w:vMerge/>
          </w:tcPr>
          <w:p w14:paraId="004A5905" w14:textId="77777777" w:rsidR="00781923" w:rsidRPr="005D0210" w:rsidRDefault="00781923" w:rsidP="004E728C">
            <w:pPr>
              <w:rPr>
                <w:rFonts w:eastAsia="Times New Roman" w:cs="Calibri"/>
                <w:b w:val="0"/>
                <w:bCs w:val="0"/>
                <w:sz w:val="16"/>
                <w:szCs w:val="16"/>
              </w:rPr>
            </w:pPr>
          </w:p>
        </w:tc>
        <w:tc>
          <w:tcPr>
            <w:tcW w:w="1397" w:type="dxa"/>
            <w:vMerge/>
            <w:hideMark/>
          </w:tcPr>
          <w:p w14:paraId="3F45B7CF" w14:textId="77777777" w:rsidR="00781923" w:rsidRPr="005D0210" w:rsidRDefault="00781923" w:rsidP="004E728C">
            <w:pPr>
              <w:cnfStyle w:val="100000000000" w:firstRow="1" w:lastRow="0" w:firstColumn="0" w:lastColumn="0" w:oddVBand="0" w:evenVBand="0" w:oddHBand="0" w:evenHBand="0" w:firstRowFirstColumn="0" w:firstRowLastColumn="0" w:lastRowFirstColumn="0" w:lastRowLastColumn="0"/>
              <w:rPr>
                <w:rFonts w:eastAsia="Times New Roman" w:cs="Calibri"/>
                <w:b w:val="0"/>
                <w:bCs w:val="0"/>
                <w:sz w:val="16"/>
                <w:szCs w:val="16"/>
              </w:rPr>
            </w:pPr>
          </w:p>
        </w:tc>
        <w:tc>
          <w:tcPr>
            <w:tcW w:w="1381" w:type="dxa"/>
            <w:vMerge/>
            <w:hideMark/>
          </w:tcPr>
          <w:p w14:paraId="70A9535E" w14:textId="77777777" w:rsidR="00781923" w:rsidRPr="005D0210" w:rsidRDefault="00781923" w:rsidP="004E728C">
            <w:pPr>
              <w:cnfStyle w:val="100000000000" w:firstRow="1" w:lastRow="0" w:firstColumn="0" w:lastColumn="0" w:oddVBand="0" w:evenVBand="0" w:oddHBand="0" w:evenHBand="0" w:firstRowFirstColumn="0" w:firstRowLastColumn="0" w:lastRowFirstColumn="0" w:lastRowLastColumn="0"/>
              <w:rPr>
                <w:rFonts w:eastAsia="Times New Roman" w:cs="Calibri"/>
                <w:b w:val="0"/>
                <w:bCs w:val="0"/>
                <w:sz w:val="16"/>
                <w:szCs w:val="16"/>
              </w:rPr>
            </w:pPr>
          </w:p>
        </w:tc>
        <w:tc>
          <w:tcPr>
            <w:tcW w:w="2288" w:type="dxa"/>
            <w:hideMark/>
          </w:tcPr>
          <w:p w14:paraId="2AF03D34" w14:textId="77777777" w:rsidR="00781923" w:rsidRPr="005D0210" w:rsidRDefault="00781923" w:rsidP="004E728C">
            <w:pPr>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themeColor="background1"/>
                <w:sz w:val="16"/>
                <w:szCs w:val="16"/>
              </w:rPr>
            </w:pPr>
            <w:r w:rsidRPr="005D0210">
              <w:rPr>
                <w:rFonts w:eastAsia="Times New Roman" w:cs="Calibri"/>
                <w:color w:val="FFFFFF" w:themeColor="background1"/>
                <w:sz w:val="16"/>
                <w:szCs w:val="16"/>
              </w:rPr>
              <w:t xml:space="preserve">Methods for measuring smoking outcome </w:t>
            </w:r>
          </w:p>
        </w:tc>
        <w:tc>
          <w:tcPr>
            <w:tcW w:w="3729" w:type="dxa"/>
            <w:hideMark/>
          </w:tcPr>
          <w:p w14:paraId="5D68B7B3" w14:textId="77777777" w:rsidR="00781923" w:rsidRPr="005D0210" w:rsidRDefault="00781923" w:rsidP="004E728C">
            <w:pPr>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themeColor="background1"/>
                <w:sz w:val="16"/>
                <w:szCs w:val="16"/>
              </w:rPr>
            </w:pPr>
            <w:r w:rsidRPr="005D0210">
              <w:rPr>
                <w:rFonts w:eastAsia="Times New Roman" w:cs="Calibri"/>
                <w:color w:val="FFFFFF" w:themeColor="background1"/>
                <w:sz w:val="16"/>
                <w:szCs w:val="16"/>
              </w:rPr>
              <w:t>Results for smoking outcome</w:t>
            </w:r>
          </w:p>
        </w:tc>
        <w:tc>
          <w:tcPr>
            <w:tcW w:w="2307" w:type="dxa"/>
            <w:vMerge/>
            <w:hideMark/>
          </w:tcPr>
          <w:p w14:paraId="155C36A1" w14:textId="77777777" w:rsidR="00781923" w:rsidRPr="005D0210" w:rsidRDefault="00781923" w:rsidP="004E728C">
            <w:pPr>
              <w:cnfStyle w:val="100000000000" w:firstRow="1" w:lastRow="0" w:firstColumn="0" w:lastColumn="0" w:oddVBand="0" w:evenVBand="0" w:oddHBand="0" w:evenHBand="0" w:firstRowFirstColumn="0" w:firstRowLastColumn="0" w:lastRowFirstColumn="0" w:lastRowLastColumn="0"/>
              <w:rPr>
                <w:rFonts w:eastAsia="Times New Roman" w:cs="Calibri"/>
                <w:b w:val="0"/>
                <w:bCs w:val="0"/>
                <w:sz w:val="16"/>
                <w:szCs w:val="16"/>
              </w:rPr>
            </w:pPr>
          </w:p>
        </w:tc>
        <w:tc>
          <w:tcPr>
            <w:tcW w:w="2743" w:type="dxa"/>
            <w:vMerge/>
            <w:hideMark/>
          </w:tcPr>
          <w:p w14:paraId="0DA887D9" w14:textId="77777777" w:rsidR="00781923" w:rsidRPr="005D0210" w:rsidRDefault="00781923" w:rsidP="004E728C">
            <w:pPr>
              <w:cnfStyle w:val="100000000000" w:firstRow="1" w:lastRow="0" w:firstColumn="0" w:lastColumn="0" w:oddVBand="0" w:evenVBand="0" w:oddHBand="0" w:evenHBand="0" w:firstRowFirstColumn="0" w:firstRowLastColumn="0" w:lastRowFirstColumn="0" w:lastRowLastColumn="0"/>
              <w:rPr>
                <w:rFonts w:eastAsia="Times New Roman" w:cs="Calibri"/>
                <w:b w:val="0"/>
                <w:bCs w:val="0"/>
                <w:sz w:val="16"/>
                <w:szCs w:val="16"/>
              </w:rPr>
            </w:pPr>
          </w:p>
        </w:tc>
      </w:tr>
      <w:tr w:rsidR="00781923" w:rsidRPr="005D0210" w14:paraId="688D8FB1" w14:textId="77777777" w:rsidTr="004E728C">
        <w:trPr>
          <w:cnfStyle w:val="000000100000" w:firstRow="0" w:lastRow="0" w:firstColumn="0" w:lastColumn="0" w:oddVBand="0" w:evenVBand="0" w:oddHBand="1" w:evenHBand="0" w:firstRowFirstColumn="0" w:firstRowLastColumn="0" w:lastRowFirstColumn="0" w:lastRowLastColumn="0"/>
          <w:trHeight w:val="1199"/>
        </w:trPr>
        <w:tc>
          <w:tcPr>
            <w:cnfStyle w:val="001000000000" w:firstRow="0" w:lastRow="0" w:firstColumn="1" w:lastColumn="0" w:oddVBand="0" w:evenVBand="0" w:oddHBand="0" w:evenHBand="0" w:firstRowFirstColumn="0" w:firstRowLastColumn="0" w:lastRowFirstColumn="0" w:lastRowLastColumn="0"/>
            <w:tcW w:w="1835" w:type="dxa"/>
          </w:tcPr>
          <w:p w14:paraId="0DD32AE2" w14:textId="77777777" w:rsidR="00781923" w:rsidRPr="005D0210" w:rsidRDefault="00781923" w:rsidP="004E728C">
            <w:pPr>
              <w:rPr>
                <w:rFonts w:eastAsia="Times New Roman" w:cs="Calibri"/>
                <w:sz w:val="16"/>
                <w:szCs w:val="16"/>
              </w:rPr>
            </w:pPr>
            <w:r w:rsidRPr="005D0210">
              <w:rPr>
                <w:rFonts w:cs="Calibri"/>
                <w:sz w:val="16"/>
                <w:szCs w:val="16"/>
              </w:rPr>
              <w:t>Balassarri 2018</w:t>
            </w:r>
          </w:p>
        </w:tc>
        <w:tc>
          <w:tcPr>
            <w:tcW w:w="2778" w:type="dxa"/>
            <w:gridSpan w:val="2"/>
            <w:hideMark/>
          </w:tcPr>
          <w:p w14:paraId="7920E8A1" w14:textId="77777777" w:rsidR="00781923" w:rsidRPr="005D0210" w:rsidRDefault="00781923" w:rsidP="008E6600">
            <w:pP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5D0210">
              <w:rPr>
                <w:rFonts w:eastAsia="Times New Roman" w:cs="Calibri"/>
                <w:sz w:val="16"/>
                <w:szCs w:val="16"/>
              </w:rPr>
              <w:t>Both groups given nicotine patches. Control given nicotine</w:t>
            </w:r>
            <w:r w:rsidRPr="005D0210">
              <w:rPr>
                <w:rFonts w:eastAsia="Times New Roman" w:cs="Calibri"/>
                <w:sz w:val="16"/>
                <w:szCs w:val="16"/>
              </w:rPr>
              <w:noBreakHyphen/>
              <w:t>containing e</w:t>
            </w:r>
            <w:r w:rsidRPr="005D0210">
              <w:rPr>
                <w:rFonts w:eastAsia="Times New Roman" w:cs="Calibri"/>
                <w:sz w:val="16"/>
                <w:szCs w:val="16"/>
              </w:rPr>
              <w:noBreakHyphen/>
              <w:t>cigarettes, experimental given nicotine</w:t>
            </w:r>
            <w:r w:rsidRPr="005D0210">
              <w:rPr>
                <w:rFonts w:eastAsia="Times New Roman" w:cs="Calibri"/>
                <w:sz w:val="16"/>
                <w:szCs w:val="16"/>
              </w:rPr>
              <w:noBreakHyphen/>
              <w:t>free e</w:t>
            </w:r>
            <w:r w:rsidRPr="005D0210">
              <w:rPr>
                <w:rFonts w:eastAsia="Times New Roman" w:cs="Calibri"/>
                <w:sz w:val="16"/>
                <w:szCs w:val="16"/>
              </w:rPr>
              <w:noBreakHyphen/>
              <w:t>cigarettes. Encouraged to use e</w:t>
            </w:r>
            <w:r w:rsidRPr="005D0210">
              <w:rPr>
                <w:rFonts w:eastAsia="Times New Roman" w:cs="Calibri"/>
                <w:sz w:val="16"/>
                <w:szCs w:val="16"/>
              </w:rPr>
              <w:noBreakHyphen/>
              <w:t>cigarettes instead of cigarettes. Encouraged to abstain from use of either e</w:t>
            </w:r>
            <w:r w:rsidRPr="005D0210">
              <w:rPr>
                <w:rFonts w:eastAsia="Times New Roman" w:cs="Calibri"/>
                <w:sz w:val="16"/>
                <w:szCs w:val="16"/>
              </w:rPr>
              <w:noBreakHyphen/>
              <w:t xml:space="preserve">cigarette or cigarettes if possible. </w:t>
            </w:r>
          </w:p>
        </w:tc>
        <w:tc>
          <w:tcPr>
            <w:tcW w:w="2288" w:type="dxa"/>
            <w:hideMark/>
          </w:tcPr>
          <w:p w14:paraId="7E896218" w14:textId="73356C9C"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5D0210">
              <w:rPr>
                <w:rFonts w:eastAsia="Times New Roman" w:cs="Calibri"/>
                <w:sz w:val="16"/>
                <w:szCs w:val="16"/>
              </w:rPr>
              <w:t>Use of cigarettes and e</w:t>
            </w:r>
            <w:r w:rsidRPr="005D0210">
              <w:rPr>
                <w:rFonts w:eastAsia="Times New Roman" w:cs="Calibri"/>
                <w:sz w:val="16"/>
                <w:szCs w:val="16"/>
              </w:rPr>
              <w:noBreakHyphen/>
              <w:t>cigarettes measured by survey</w:t>
            </w:r>
            <w:r w:rsidR="007D18D8">
              <w:rPr>
                <w:rFonts w:eastAsia="Times New Roman" w:cs="Calibri"/>
                <w:sz w:val="16"/>
                <w:szCs w:val="16"/>
              </w:rPr>
              <w:t>.</w:t>
            </w:r>
          </w:p>
        </w:tc>
        <w:tc>
          <w:tcPr>
            <w:tcW w:w="3729" w:type="dxa"/>
            <w:hideMark/>
          </w:tcPr>
          <w:p w14:paraId="77852B6D" w14:textId="5D749F5A"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5D0210">
              <w:rPr>
                <w:rFonts w:eastAsia="Times New Roman" w:cs="Calibri"/>
                <w:sz w:val="16"/>
                <w:szCs w:val="16"/>
              </w:rPr>
              <w:t>No differences in reported cigarette use or abstinence between groups. 15% of all participants were abstinent by the end of the study</w:t>
            </w:r>
            <w:r w:rsidR="007D18D8">
              <w:rPr>
                <w:rFonts w:eastAsia="Times New Roman" w:cs="Calibri"/>
                <w:sz w:val="16"/>
                <w:szCs w:val="16"/>
              </w:rPr>
              <w:t>.</w:t>
            </w:r>
          </w:p>
        </w:tc>
        <w:tc>
          <w:tcPr>
            <w:tcW w:w="2307" w:type="dxa"/>
            <w:hideMark/>
          </w:tcPr>
          <w:p w14:paraId="4ADFE66A"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5D0210">
              <w:rPr>
                <w:rFonts w:eastAsia="Times New Roman" w:cs="Calibri"/>
                <w:sz w:val="16"/>
                <w:szCs w:val="16"/>
              </w:rPr>
              <w:t>Non</w:t>
            </w:r>
            <w:r w:rsidRPr="005D0210">
              <w:rPr>
                <w:rFonts w:eastAsia="Times New Roman" w:cs="Calibri"/>
                <w:sz w:val="16"/>
                <w:szCs w:val="16"/>
              </w:rPr>
              <w:noBreakHyphen/>
              <w:t>smoker at 24 weeks: overall 17.5% (95%CI: 0.056</w:t>
            </w:r>
            <w:r w:rsidRPr="005D0210">
              <w:rPr>
                <w:rFonts w:eastAsia="Times New Roman" w:cs="Calibri"/>
                <w:sz w:val="16"/>
                <w:szCs w:val="16"/>
              </w:rPr>
              <w:noBreakHyphen/>
              <w:t>1.971), p=0.41</w:t>
            </w:r>
          </w:p>
        </w:tc>
        <w:tc>
          <w:tcPr>
            <w:tcW w:w="2743" w:type="dxa"/>
            <w:hideMark/>
          </w:tcPr>
          <w:p w14:paraId="0A97470E"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Calibri"/>
                <w:iCs/>
                <w:sz w:val="16"/>
                <w:szCs w:val="16"/>
              </w:rPr>
            </w:pPr>
            <w:r w:rsidRPr="005D0210">
              <w:rPr>
                <w:rFonts w:eastAsia="Times New Roman" w:cs="Calibri"/>
                <w:iCs/>
                <w:sz w:val="16"/>
                <w:szCs w:val="16"/>
              </w:rPr>
              <w:t>In conclusion, the addition of a 2nd generation EC to outpatient</w:t>
            </w:r>
            <w:r w:rsidRPr="005D0210">
              <w:rPr>
                <w:rFonts w:eastAsia="Times New Roman" w:cs="Calibri"/>
                <w:iCs/>
                <w:sz w:val="16"/>
                <w:szCs w:val="16"/>
              </w:rPr>
              <w:br/>
              <w:t xml:space="preserve">tobacco treatment among tobacco smokers was feasible. Fifteen percent of the subjects were abstinent from tobacco at week 24. Among those who quit smoking, half were still using the EC. </w:t>
            </w:r>
          </w:p>
        </w:tc>
      </w:tr>
      <w:tr w:rsidR="00781923" w:rsidRPr="005D0210" w14:paraId="3834BF1B" w14:textId="77777777" w:rsidTr="004E728C">
        <w:trPr>
          <w:trHeight w:val="1213"/>
        </w:trPr>
        <w:tc>
          <w:tcPr>
            <w:cnfStyle w:val="001000000000" w:firstRow="0" w:lastRow="0" w:firstColumn="1" w:lastColumn="0" w:oddVBand="0" w:evenVBand="0" w:oddHBand="0" w:evenHBand="0" w:firstRowFirstColumn="0" w:firstRowLastColumn="0" w:lastRowFirstColumn="0" w:lastRowLastColumn="0"/>
            <w:tcW w:w="1835" w:type="dxa"/>
          </w:tcPr>
          <w:p w14:paraId="19CE6E91" w14:textId="77777777" w:rsidR="00781923" w:rsidRPr="005D0210" w:rsidRDefault="00781923" w:rsidP="004E728C">
            <w:pPr>
              <w:rPr>
                <w:rFonts w:eastAsia="Times New Roman" w:cs="Calibri"/>
                <w:sz w:val="16"/>
                <w:szCs w:val="16"/>
              </w:rPr>
            </w:pPr>
            <w:r w:rsidRPr="005D0210">
              <w:rPr>
                <w:rFonts w:cs="Calibri"/>
                <w:sz w:val="16"/>
                <w:szCs w:val="16"/>
              </w:rPr>
              <w:t>Carpenter 2017</w:t>
            </w:r>
          </w:p>
        </w:tc>
        <w:tc>
          <w:tcPr>
            <w:tcW w:w="1397" w:type="dxa"/>
            <w:hideMark/>
          </w:tcPr>
          <w:p w14:paraId="1F746E6B" w14:textId="02BD3073"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5D0210">
              <w:rPr>
                <w:rFonts w:eastAsia="Times New Roman" w:cs="Calibri"/>
                <w:sz w:val="16"/>
                <w:szCs w:val="16"/>
              </w:rPr>
              <w:t>No e</w:t>
            </w:r>
            <w:r w:rsidRPr="005D0210">
              <w:rPr>
                <w:rFonts w:eastAsia="Times New Roman" w:cs="Calibri"/>
                <w:sz w:val="16"/>
                <w:szCs w:val="16"/>
              </w:rPr>
              <w:noBreakHyphen/>
              <w:t>cigarette</w:t>
            </w:r>
            <w:r w:rsidR="007D18D8">
              <w:rPr>
                <w:rFonts w:eastAsia="Times New Roman" w:cs="Calibri"/>
                <w:sz w:val="16"/>
                <w:szCs w:val="16"/>
              </w:rPr>
              <w:t>.</w:t>
            </w:r>
          </w:p>
        </w:tc>
        <w:tc>
          <w:tcPr>
            <w:tcW w:w="1381" w:type="dxa"/>
            <w:hideMark/>
          </w:tcPr>
          <w:p w14:paraId="50BCCC1F" w14:textId="0497D0FC"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5D0210">
              <w:rPr>
                <w:rFonts w:eastAsia="Times New Roman" w:cs="Calibri"/>
                <w:sz w:val="16"/>
                <w:szCs w:val="16"/>
              </w:rPr>
              <w:t>E</w:t>
            </w:r>
            <w:r w:rsidRPr="005D0210">
              <w:rPr>
                <w:rFonts w:eastAsia="Times New Roman" w:cs="Calibri"/>
                <w:sz w:val="16"/>
                <w:szCs w:val="16"/>
              </w:rPr>
              <w:noBreakHyphen/>
              <w:t>cigarette provided to participants. 2 groups: 16mg nicotine or 24mg nicotine.</w:t>
            </w:r>
            <w:r w:rsidR="008146F9">
              <w:rPr>
                <w:rFonts w:eastAsia="Times New Roman" w:cs="Calibri"/>
                <w:sz w:val="16"/>
                <w:szCs w:val="16"/>
              </w:rPr>
              <w:t xml:space="preserve"> </w:t>
            </w:r>
            <w:r w:rsidRPr="005D0210">
              <w:rPr>
                <w:rFonts w:eastAsia="Times New Roman" w:cs="Calibri"/>
                <w:sz w:val="16"/>
                <w:szCs w:val="16"/>
              </w:rPr>
              <w:t>Used ad libitum</w:t>
            </w:r>
            <w:r w:rsidR="007D18D8">
              <w:rPr>
                <w:rFonts w:eastAsia="Times New Roman" w:cs="Calibri"/>
                <w:sz w:val="16"/>
                <w:szCs w:val="16"/>
              </w:rPr>
              <w:t>.</w:t>
            </w:r>
          </w:p>
        </w:tc>
        <w:tc>
          <w:tcPr>
            <w:tcW w:w="2288" w:type="dxa"/>
            <w:hideMark/>
          </w:tcPr>
          <w:p w14:paraId="75EFA583"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5D0210">
              <w:rPr>
                <w:rFonts w:eastAsia="Times New Roman" w:cs="Calibri"/>
                <w:sz w:val="16"/>
                <w:szCs w:val="16"/>
              </w:rPr>
              <w:t>Participants were emailed surveys semi</w:t>
            </w:r>
            <w:r w:rsidRPr="005D0210">
              <w:rPr>
                <w:rFonts w:eastAsia="Times New Roman" w:cs="Calibri"/>
                <w:sz w:val="16"/>
                <w:szCs w:val="16"/>
              </w:rPr>
              <w:noBreakHyphen/>
              <w:t>randomly 3x/d to determine how much they had used the e</w:t>
            </w:r>
            <w:r w:rsidRPr="005D0210">
              <w:rPr>
                <w:rFonts w:eastAsia="Times New Roman" w:cs="Calibri"/>
                <w:sz w:val="16"/>
                <w:szCs w:val="16"/>
              </w:rPr>
              <w:noBreakHyphen/>
              <w:t>cigarette and how many cigarettes they had smoked.</w:t>
            </w:r>
          </w:p>
        </w:tc>
        <w:tc>
          <w:tcPr>
            <w:tcW w:w="3729" w:type="dxa"/>
            <w:hideMark/>
          </w:tcPr>
          <w:p w14:paraId="05AD9425"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5D0210">
              <w:rPr>
                <w:rFonts w:eastAsia="Times New Roman" w:cs="Calibri"/>
                <w:sz w:val="16"/>
                <w:szCs w:val="16"/>
              </w:rPr>
              <w:t>32% of 16mg nicotine group used the e</w:t>
            </w:r>
            <w:r w:rsidRPr="005D0210">
              <w:rPr>
                <w:rFonts w:eastAsia="Times New Roman" w:cs="Calibri"/>
                <w:sz w:val="16"/>
                <w:szCs w:val="16"/>
              </w:rPr>
              <w:noBreakHyphen/>
              <w:t>cigarette daily, vs 60% of the 24mg nicotine group vs 13% of the control.</w:t>
            </w:r>
            <w:r w:rsidRPr="005D0210">
              <w:rPr>
                <w:rFonts w:eastAsia="Times New Roman" w:cs="Calibri"/>
                <w:sz w:val="16"/>
                <w:szCs w:val="16"/>
              </w:rPr>
              <w:br/>
              <w:t xml:space="preserve">Ave cigarettes smoked per day: 8.4 for 16mg group (30.2% reduction), 5.3 for 24mg group (45.1% reduction), 11.2 for cigarette group (0.7% increase). </w:t>
            </w:r>
          </w:p>
        </w:tc>
        <w:tc>
          <w:tcPr>
            <w:tcW w:w="2307" w:type="dxa"/>
            <w:hideMark/>
          </w:tcPr>
          <w:p w14:paraId="6F19052A" w14:textId="0D92E17D"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5D0210">
              <w:rPr>
                <w:rFonts w:eastAsia="Times New Roman" w:cs="Calibri"/>
                <w:sz w:val="16"/>
                <w:szCs w:val="16"/>
              </w:rPr>
              <w:t>30% (16 mg nicotine), 35% (24 mg nicotine), and 5% (control) of participants had reduced their smoking by at least 50% since baseline. At the end of the entire study, respective rates of 50% reduction were 16% versus 47% versus 19% (overall p=0.09)</w:t>
            </w:r>
            <w:r w:rsidR="007D18D8">
              <w:rPr>
                <w:rFonts w:eastAsia="Times New Roman" w:cs="Calibri"/>
                <w:sz w:val="16"/>
                <w:szCs w:val="16"/>
              </w:rPr>
              <w:t>.</w:t>
            </w:r>
          </w:p>
        </w:tc>
        <w:tc>
          <w:tcPr>
            <w:tcW w:w="2743" w:type="dxa"/>
            <w:hideMark/>
          </w:tcPr>
          <w:p w14:paraId="2DE7FF2A" w14:textId="4F38FD22" w:rsidR="00781923" w:rsidRPr="005D0210" w:rsidRDefault="007D18D8" w:rsidP="004E728C">
            <w:pPr>
              <w:cnfStyle w:val="000000000000" w:firstRow="0" w:lastRow="0" w:firstColumn="0" w:lastColumn="0" w:oddVBand="0" w:evenVBand="0" w:oddHBand="0" w:evenHBand="0" w:firstRowFirstColumn="0" w:firstRowLastColumn="0" w:lastRowFirstColumn="0" w:lastRowLastColumn="0"/>
              <w:rPr>
                <w:rFonts w:eastAsia="Times New Roman" w:cs="Calibri"/>
                <w:iCs/>
                <w:sz w:val="16"/>
                <w:szCs w:val="16"/>
              </w:rPr>
            </w:pPr>
            <w:r>
              <w:rPr>
                <w:rFonts w:eastAsia="Times New Roman" w:cs="Calibri"/>
                <w:iCs/>
                <w:sz w:val="16"/>
                <w:szCs w:val="16"/>
              </w:rPr>
              <w:t>T</w:t>
            </w:r>
            <w:r w:rsidR="00781923" w:rsidRPr="005D0210">
              <w:rPr>
                <w:rFonts w:eastAsia="Times New Roman" w:cs="Calibri"/>
                <w:iCs/>
                <w:sz w:val="16"/>
                <w:szCs w:val="16"/>
              </w:rPr>
              <w:t>he results of this small pilot study suggest strong interest and uptake of ENDS among smokers, with favourable perception comparable with that of conventional cigarettes, and trends toward positive changes in cessation</w:t>
            </w:r>
            <w:r w:rsidR="00781923" w:rsidRPr="005D0210">
              <w:rPr>
                <w:rFonts w:eastAsia="Times New Roman" w:cs="Calibri"/>
                <w:iCs/>
                <w:sz w:val="16"/>
                <w:szCs w:val="16"/>
              </w:rPr>
              <w:noBreakHyphen/>
              <w:t>related behaviour.</w:t>
            </w:r>
          </w:p>
        </w:tc>
      </w:tr>
      <w:tr w:rsidR="00781923" w:rsidRPr="005D0210" w14:paraId="7C36FC67" w14:textId="77777777" w:rsidTr="004E728C">
        <w:trPr>
          <w:cnfStyle w:val="000000100000" w:firstRow="0" w:lastRow="0" w:firstColumn="0" w:lastColumn="0" w:oddVBand="0" w:evenVBand="0" w:oddHBand="1" w:evenHBand="0" w:firstRowFirstColumn="0" w:firstRowLastColumn="0" w:lastRowFirstColumn="0" w:lastRowLastColumn="0"/>
          <w:trHeight w:val="1722"/>
        </w:trPr>
        <w:tc>
          <w:tcPr>
            <w:cnfStyle w:val="001000000000" w:firstRow="0" w:lastRow="0" w:firstColumn="1" w:lastColumn="0" w:oddVBand="0" w:evenVBand="0" w:oddHBand="0" w:evenHBand="0" w:firstRowFirstColumn="0" w:firstRowLastColumn="0" w:lastRowFirstColumn="0" w:lastRowLastColumn="0"/>
            <w:tcW w:w="1835" w:type="dxa"/>
          </w:tcPr>
          <w:p w14:paraId="5A944846" w14:textId="77777777" w:rsidR="00781923" w:rsidRPr="005D0210" w:rsidRDefault="00781923" w:rsidP="004E728C">
            <w:pPr>
              <w:rPr>
                <w:rFonts w:eastAsia="Times New Roman" w:cs="Calibri"/>
                <w:sz w:val="16"/>
                <w:szCs w:val="16"/>
              </w:rPr>
            </w:pPr>
            <w:r w:rsidRPr="005D0210">
              <w:rPr>
                <w:rFonts w:cs="Calibri"/>
                <w:sz w:val="16"/>
                <w:szCs w:val="16"/>
              </w:rPr>
              <w:t>Harvanko 2017</w:t>
            </w:r>
          </w:p>
        </w:tc>
        <w:tc>
          <w:tcPr>
            <w:tcW w:w="1397" w:type="dxa"/>
            <w:hideMark/>
          </w:tcPr>
          <w:p w14:paraId="05A57AA1" w14:textId="4795B261"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5D0210">
              <w:rPr>
                <w:rFonts w:eastAsia="Times New Roman" w:cs="Calibri"/>
                <w:sz w:val="16"/>
                <w:szCs w:val="16"/>
              </w:rPr>
              <w:t>After 24h of smoking deprivation (verified with breath CO analysis), participants were given 10 puffs of a tobacco cigarette</w:t>
            </w:r>
            <w:r w:rsidR="007D18D8">
              <w:rPr>
                <w:rFonts w:eastAsia="Times New Roman" w:cs="Calibri"/>
                <w:sz w:val="16"/>
                <w:szCs w:val="16"/>
              </w:rPr>
              <w:t>.</w:t>
            </w:r>
          </w:p>
        </w:tc>
        <w:tc>
          <w:tcPr>
            <w:tcW w:w="1381" w:type="dxa"/>
            <w:hideMark/>
          </w:tcPr>
          <w:p w14:paraId="385E13C2"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5D0210">
              <w:rPr>
                <w:rFonts w:eastAsia="Times New Roman" w:cs="Calibri"/>
                <w:sz w:val="16"/>
                <w:szCs w:val="16"/>
              </w:rPr>
              <w:t>After 24h of smoking deprivation (verified with breath CO analysis), participants were given 10 puffs of an e</w:t>
            </w:r>
            <w:r w:rsidRPr="005D0210">
              <w:rPr>
                <w:rFonts w:eastAsia="Times New Roman" w:cs="Calibri"/>
                <w:sz w:val="16"/>
                <w:szCs w:val="16"/>
              </w:rPr>
              <w:noBreakHyphen/>
              <w:t xml:space="preserve">cigarette with either 0mg, 8mg, or 16mg nicotine. </w:t>
            </w:r>
          </w:p>
        </w:tc>
        <w:tc>
          <w:tcPr>
            <w:tcW w:w="2288" w:type="dxa"/>
            <w:hideMark/>
          </w:tcPr>
          <w:p w14:paraId="0C28C5D5" w14:textId="79C5733C"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5D0210">
              <w:rPr>
                <w:rFonts w:eastAsia="Times New Roman" w:cs="Calibri"/>
                <w:sz w:val="16"/>
                <w:szCs w:val="16"/>
              </w:rPr>
              <w:t>Withdrawal symptoms (measured on Minnesota Nicotine Withdrawal Scale), smoking urges (Questionnaire of Smoking Urges</w:t>
            </w:r>
            <w:r w:rsidRPr="005D0210">
              <w:rPr>
                <w:rFonts w:eastAsia="Times New Roman" w:cs="Calibri"/>
                <w:sz w:val="16"/>
                <w:szCs w:val="16"/>
              </w:rPr>
              <w:noBreakHyphen/>
              <w:t>Brief), Visual Analog Scale</w:t>
            </w:r>
            <w:r w:rsidRPr="005D0210">
              <w:rPr>
                <w:rFonts w:eastAsia="Times New Roman" w:cs="Calibri"/>
                <w:sz w:val="16"/>
                <w:szCs w:val="16"/>
              </w:rPr>
              <w:noBreakHyphen/>
              <w:t>Smoking Effects</w:t>
            </w:r>
            <w:r w:rsidR="008146F9">
              <w:rPr>
                <w:rFonts w:eastAsia="Times New Roman" w:cs="Calibri"/>
                <w:sz w:val="16"/>
                <w:szCs w:val="16"/>
              </w:rPr>
              <w:t xml:space="preserve"> </w:t>
            </w:r>
            <w:r w:rsidRPr="005D0210">
              <w:rPr>
                <w:rFonts w:eastAsia="Times New Roman" w:cs="Calibri"/>
                <w:sz w:val="16"/>
                <w:szCs w:val="16"/>
              </w:rPr>
              <w:t>and Visual Analog Scale Post smoking to assess smoking or e</w:t>
            </w:r>
            <w:r w:rsidRPr="005D0210">
              <w:rPr>
                <w:rFonts w:eastAsia="Times New Roman" w:cs="Calibri"/>
                <w:sz w:val="16"/>
                <w:szCs w:val="16"/>
              </w:rPr>
              <w:noBreakHyphen/>
              <w:t>cigarette use effects. Also measured cognition</w:t>
            </w:r>
            <w:r w:rsidR="007D18D8">
              <w:rPr>
                <w:rFonts w:eastAsia="Times New Roman" w:cs="Calibri"/>
                <w:sz w:val="16"/>
                <w:szCs w:val="16"/>
              </w:rPr>
              <w:t>.</w:t>
            </w:r>
          </w:p>
        </w:tc>
        <w:tc>
          <w:tcPr>
            <w:tcW w:w="3729" w:type="dxa"/>
            <w:hideMark/>
          </w:tcPr>
          <w:p w14:paraId="133A3361"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5D0210">
              <w:rPr>
                <w:rFonts w:eastAsia="Times New Roman" w:cs="Calibri"/>
                <w:sz w:val="16"/>
                <w:szCs w:val="16"/>
              </w:rPr>
              <w:t>Cigarette use led to reduction in 'desire or craving to smoke', 'desire for a cigarette right now', 'I am going to smoke as soon as possible.' E</w:t>
            </w:r>
            <w:r w:rsidRPr="005D0210">
              <w:rPr>
                <w:rFonts w:eastAsia="Times New Roman" w:cs="Calibri"/>
                <w:sz w:val="16"/>
                <w:szCs w:val="16"/>
              </w:rPr>
              <w:noBreakHyphen/>
              <w:t xml:space="preserve">cigarette use did not. </w:t>
            </w:r>
          </w:p>
        </w:tc>
        <w:tc>
          <w:tcPr>
            <w:tcW w:w="2307" w:type="dxa"/>
            <w:hideMark/>
          </w:tcPr>
          <w:p w14:paraId="3AD1D027"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5D0210">
              <w:rPr>
                <w:rFonts w:eastAsia="Times New Roman" w:cs="Calibri"/>
                <w:sz w:val="16"/>
                <w:szCs w:val="16"/>
              </w:rPr>
              <w:t>The mixed model for change in total trials on the DSST from before to after cigarette or e</w:t>
            </w:r>
            <w:r w:rsidRPr="005D0210">
              <w:rPr>
                <w:rFonts w:eastAsia="Times New Roman" w:cs="Calibri"/>
                <w:sz w:val="16"/>
                <w:szCs w:val="16"/>
              </w:rPr>
              <w:noBreakHyphen/>
              <w:t>cigarette use during deprivation sessions indicated a significant effect of drug (</w:t>
            </w:r>
            <w:r w:rsidRPr="005D0210">
              <w:rPr>
                <w:rFonts w:eastAsia="Times New Roman" w:cs="Calibri"/>
                <w:iCs/>
                <w:sz w:val="16"/>
                <w:szCs w:val="16"/>
              </w:rPr>
              <w:t>F</w:t>
            </w:r>
            <w:r w:rsidRPr="005D0210">
              <w:rPr>
                <w:rFonts w:eastAsia="Times New Roman" w:cs="Calibri"/>
                <w:sz w:val="16"/>
                <w:szCs w:val="16"/>
              </w:rPr>
              <w:t>[3, 21]=3.18, p=0.045).</w:t>
            </w:r>
          </w:p>
        </w:tc>
        <w:tc>
          <w:tcPr>
            <w:tcW w:w="2743" w:type="dxa"/>
            <w:hideMark/>
          </w:tcPr>
          <w:p w14:paraId="1E2B3FB0"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Calibri"/>
                <w:iCs/>
                <w:sz w:val="16"/>
                <w:szCs w:val="16"/>
              </w:rPr>
            </w:pPr>
            <w:r w:rsidRPr="005D0210">
              <w:rPr>
                <w:rFonts w:eastAsia="Times New Roman" w:cs="Calibri"/>
                <w:iCs/>
                <w:sz w:val="16"/>
                <w:szCs w:val="16"/>
              </w:rPr>
              <w:t>No significant reductions in smoking urges were indicated following use of the EC at any nicotine concentration.</w:t>
            </w:r>
          </w:p>
        </w:tc>
      </w:tr>
      <w:tr w:rsidR="00781923" w:rsidRPr="005D0210" w14:paraId="00907D61" w14:textId="77777777" w:rsidTr="004E728C">
        <w:trPr>
          <w:trHeight w:val="402"/>
        </w:trPr>
        <w:tc>
          <w:tcPr>
            <w:cnfStyle w:val="001000000000" w:firstRow="0" w:lastRow="0" w:firstColumn="1" w:lastColumn="0" w:oddVBand="0" w:evenVBand="0" w:oddHBand="0" w:evenHBand="0" w:firstRowFirstColumn="0" w:firstRowLastColumn="0" w:lastRowFirstColumn="0" w:lastRowLastColumn="0"/>
            <w:tcW w:w="1835" w:type="dxa"/>
          </w:tcPr>
          <w:p w14:paraId="647E07D5" w14:textId="77777777" w:rsidR="00781923" w:rsidRPr="005D0210" w:rsidRDefault="00781923" w:rsidP="004E728C">
            <w:pPr>
              <w:rPr>
                <w:rFonts w:eastAsia="Times New Roman" w:cs="Calibri"/>
                <w:sz w:val="16"/>
                <w:szCs w:val="16"/>
              </w:rPr>
            </w:pPr>
            <w:r w:rsidRPr="005D0210">
              <w:rPr>
                <w:rFonts w:cs="Calibri"/>
                <w:sz w:val="16"/>
                <w:szCs w:val="16"/>
              </w:rPr>
              <w:t>Hiler 2017</w:t>
            </w:r>
          </w:p>
        </w:tc>
        <w:tc>
          <w:tcPr>
            <w:tcW w:w="1397" w:type="dxa"/>
            <w:hideMark/>
          </w:tcPr>
          <w:p w14:paraId="51FF5F81"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5D0210">
              <w:rPr>
                <w:rFonts w:eastAsia="Times New Roman" w:cs="Calibri"/>
                <w:sz w:val="16"/>
                <w:szCs w:val="16"/>
              </w:rPr>
              <w:t>Experienced e</w:t>
            </w:r>
            <w:r w:rsidRPr="005D0210">
              <w:rPr>
                <w:rFonts w:eastAsia="Times New Roman" w:cs="Calibri"/>
                <w:sz w:val="16"/>
                <w:szCs w:val="16"/>
              </w:rPr>
              <w:noBreakHyphen/>
              <w:t xml:space="preserve">cigarette users. </w:t>
            </w:r>
            <w:r w:rsidRPr="005D0210">
              <w:rPr>
                <w:rFonts w:eastAsia="Times New Roman" w:cs="Calibri"/>
                <w:sz w:val="16"/>
                <w:szCs w:val="16"/>
              </w:rPr>
              <w:br/>
              <w:t>Abstained from e</w:t>
            </w:r>
            <w:r w:rsidRPr="005D0210">
              <w:rPr>
                <w:rFonts w:eastAsia="Times New Roman" w:cs="Calibri"/>
                <w:sz w:val="16"/>
                <w:szCs w:val="16"/>
              </w:rPr>
              <w:noBreakHyphen/>
              <w:t>cigarette or cigarette for &gt;12hrs (as proven by CO test). Then given 10 puffs of an e</w:t>
            </w:r>
            <w:r w:rsidRPr="005D0210">
              <w:rPr>
                <w:rFonts w:eastAsia="Times New Roman" w:cs="Calibri"/>
                <w:sz w:val="16"/>
                <w:szCs w:val="16"/>
              </w:rPr>
              <w:noBreakHyphen/>
              <w:t xml:space="preserve">cigarette with 0, 8, 18 or 36mg/mL nicotine (experiment </w:t>
            </w:r>
            <w:r w:rsidRPr="005D0210">
              <w:rPr>
                <w:rFonts w:eastAsia="Times New Roman" w:cs="Calibri"/>
                <w:sz w:val="16"/>
                <w:szCs w:val="16"/>
              </w:rPr>
              <w:lastRenderedPageBreak/>
              <w:t>conducted 4 times).</w:t>
            </w:r>
          </w:p>
        </w:tc>
        <w:tc>
          <w:tcPr>
            <w:tcW w:w="1381" w:type="dxa"/>
            <w:hideMark/>
          </w:tcPr>
          <w:p w14:paraId="4CFFABA2"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5D0210">
              <w:rPr>
                <w:rFonts w:eastAsia="Times New Roman" w:cs="Calibri"/>
                <w:sz w:val="16"/>
                <w:szCs w:val="16"/>
              </w:rPr>
              <w:lastRenderedPageBreak/>
              <w:t>Naive e</w:t>
            </w:r>
            <w:r w:rsidRPr="005D0210">
              <w:rPr>
                <w:rFonts w:eastAsia="Times New Roman" w:cs="Calibri"/>
                <w:sz w:val="16"/>
                <w:szCs w:val="16"/>
              </w:rPr>
              <w:noBreakHyphen/>
              <w:t xml:space="preserve">cigarette users. </w:t>
            </w:r>
            <w:r w:rsidRPr="005D0210">
              <w:rPr>
                <w:rFonts w:eastAsia="Times New Roman" w:cs="Calibri"/>
                <w:sz w:val="16"/>
                <w:szCs w:val="16"/>
              </w:rPr>
              <w:br/>
              <w:t>Abstained from e</w:t>
            </w:r>
            <w:r w:rsidRPr="005D0210">
              <w:rPr>
                <w:rFonts w:eastAsia="Times New Roman" w:cs="Calibri"/>
                <w:sz w:val="16"/>
                <w:szCs w:val="16"/>
              </w:rPr>
              <w:noBreakHyphen/>
              <w:t>cigarette or cigarette for &gt;12hrs (as proven by CO test). Then given 10 puffs of an e</w:t>
            </w:r>
            <w:r w:rsidRPr="005D0210">
              <w:rPr>
                <w:rFonts w:eastAsia="Times New Roman" w:cs="Calibri"/>
                <w:sz w:val="16"/>
                <w:szCs w:val="16"/>
              </w:rPr>
              <w:noBreakHyphen/>
              <w:t xml:space="preserve">cigarette with 0, 8, 18 or 36mg/mL nicotine (experiment </w:t>
            </w:r>
            <w:r w:rsidRPr="005D0210">
              <w:rPr>
                <w:rFonts w:eastAsia="Times New Roman" w:cs="Calibri"/>
                <w:sz w:val="16"/>
                <w:szCs w:val="16"/>
              </w:rPr>
              <w:lastRenderedPageBreak/>
              <w:t>conducted 4 times).</w:t>
            </w:r>
          </w:p>
        </w:tc>
        <w:tc>
          <w:tcPr>
            <w:tcW w:w="2288" w:type="dxa"/>
            <w:hideMark/>
          </w:tcPr>
          <w:p w14:paraId="0768428B"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5D0210">
              <w:rPr>
                <w:rFonts w:eastAsia="Times New Roman" w:cs="Calibri"/>
                <w:sz w:val="16"/>
                <w:szCs w:val="16"/>
              </w:rPr>
              <w:lastRenderedPageBreak/>
              <w:t>Intention to smoke and anticipation of relief from withdrawal symptoms measured via the modified Hughes</w:t>
            </w:r>
            <w:r w:rsidRPr="005D0210">
              <w:rPr>
                <w:rFonts w:eastAsia="Times New Roman" w:cs="Calibri"/>
                <w:sz w:val="16"/>
                <w:szCs w:val="16"/>
              </w:rPr>
              <w:noBreakHyphen/>
              <w:t>Hatsukami Withdrawal Scale, the Direct Effects of Nicotine Scale, the Direct Effects of e</w:t>
            </w:r>
            <w:r w:rsidRPr="005D0210">
              <w:rPr>
                <w:rFonts w:eastAsia="Times New Roman" w:cs="Calibri"/>
                <w:sz w:val="16"/>
                <w:szCs w:val="16"/>
              </w:rPr>
              <w:noBreakHyphen/>
              <w:t xml:space="preserve">cigarettes </w:t>
            </w:r>
            <w:r w:rsidRPr="005D0210">
              <w:rPr>
                <w:rFonts w:eastAsia="Times New Roman" w:cs="Calibri"/>
                <w:sz w:val="16"/>
                <w:szCs w:val="16"/>
              </w:rPr>
              <w:noBreakHyphen/>
              <w:t>use Scale, and the 10</w:t>
            </w:r>
            <w:r w:rsidRPr="005D0210">
              <w:rPr>
                <w:rFonts w:eastAsia="Times New Roman" w:cs="Calibri"/>
                <w:sz w:val="16"/>
                <w:szCs w:val="16"/>
              </w:rPr>
              <w:noBreakHyphen/>
              <w:t>item Tiffany</w:t>
            </w:r>
            <w:r w:rsidRPr="005D0210">
              <w:rPr>
                <w:rFonts w:eastAsia="Times New Roman" w:cs="Calibri"/>
                <w:sz w:val="16"/>
                <w:szCs w:val="16"/>
              </w:rPr>
              <w:noBreakHyphen/>
              <w:t xml:space="preserve">Drobes Questionnaire of Smoking Urges (QSU) Brief. </w:t>
            </w:r>
          </w:p>
        </w:tc>
        <w:tc>
          <w:tcPr>
            <w:tcW w:w="3729" w:type="dxa"/>
            <w:hideMark/>
          </w:tcPr>
          <w:p w14:paraId="45CD760F"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5D0210">
              <w:rPr>
                <w:rFonts w:eastAsia="Times New Roman" w:cs="Calibri"/>
                <w:sz w:val="16"/>
                <w:szCs w:val="16"/>
              </w:rPr>
              <w:t>Results for 'craving', 'depression', 'drowsy', 'sweaty' and 'urge' had larger reductions in higher nicotine conditions. Reductions were significantly larger among e</w:t>
            </w:r>
            <w:r w:rsidRPr="005D0210">
              <w:rPr>
                <w:rFonts w:eastAsia="Times New Roman" w:cs="Calibri"/>
                <w:sz w:val="16"/>
                <w:szCs w:val="16"/>
              </w:rPr>
              <w:noBreakHyphen/>
              <w:t>cigarette experienced individuals compared with e</w:t>
            </w:r>
            <w:r w:rsidRPr="005D0210">
              <w:rPr>
                <w:rFonts w:eastAsia="Times New Roman" w:cs="Calibri"/>
                <w:sz w:val="16"/>
                <w:szCs w:val="16"/>
              </w:rPr>
              <w:noBreakHyphen/>
              <w:t>cigarette naive individuals.</w:t>
            </w:r>
          </w:p>
        </w:tc>
        <w:tc>
          <w:tcPr>
            <w:tcW w:w="2307" w:type="dxa"/>
            <w:hideMark/>
          </w:tcPr>
          <w:p w14:paraId="7636F3B0"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5D0210">
              <w:rPr>
                <w:rFonts w:eastAsia="Times New Roman" w:cs="Calibri"/>
                <w:sz w:val="16"/>
                <w:szCs w:val="16"/>
              </w:rPr>
              <w:t> </w:t>
            </w:r>
          </w:p>
        </w:tc>
        <w:tc>
          <w:tcPr>
            <w:tcW w:w="2743" w:type="dxa"/>
            <w:hideMark/>
          </w:tcPr>
          <w:p w14:paraId="352FA9C3" w14:textId="63285421" w:rsidR="00781923" w:rsidRPr="005D0210" w:rsidRDefault="007D18D8" w:rsidP="004E728C">
            <w:pPr>
              <w:cnfStyle w:val="000000000000" w:firstRow="0" w:lastRow="0" w:firstColumn="0" w:lastColumn="0" w:oddVBand="0" w:evenVBand="0" w:oddHBand="0" w:evenHBand="0" w:firstRowFirstColumn="0" w:firstRowLastColumn="0" w:lastRowFirstColumn="0" w:lastRowLastColumn="0"/>
              <w:rPr>
                <w:rFonts w:eastAsia="Times New Roman" w:cs="Calibri"/>
                <w:iCs/>
                <w:sz w:val="16"/>
                <w:szCs w:val="16"/>
              </w:rPr>
            </w:pPr>
            <w:r>
              <w:rPr>
                <w:rFonts w:eastAsia="Times New Roman" w:cs="Calibri"/>
                <w:iCs/>
                <w:sz w:val="16"/>
                <w:szCs w:val="16"/>
              </w:rPr>
              <w:t>E</w:t>
            </w:r>
            <w:r w:rsidR="00781923" w:rsidRPr="005D0210">
              <w:rPr>
                <w:rFonts w:eastAsia="Times New Roman" w:cs="Calibri"/>
                <w:iCs/>
                <w:sz w:val="16"/>
                <w:szCs w:val="16"/>
              </w:rPr>
              <w:noBreakHyphen/>
              <w:t>cigarettes use also suppressed nicotine/tobacco abstinence symptoms in both groups; the magnitude of abstinence symptom suppression depended on liquid nicotine concentration and user experience.</w:t>
            </w:r>
          </w:p>
        </w:tc>
      </w:tr>
      <w:tr w:rsidR="00781923" w:rsidRPr="005D0210" w14:paraId="5C110E3F" w14:textId="77777777" w:rsidTr="004E728C">
        <w:trPr>
          <w:cnfStyle w:val="000000100000" w:firstRow="0" w:lastRow="0" w:firstColumn="0" w:lastColumn="0" w:oddVBand="0" w:evenVBand="0" w:oddHBand="1" w:evenHBand="0" w:firstRowFirstColumn="0" w:firstRowLastColumn="0" w:lastRowFirstColumn="0" w:lastRowLastColumn="0"/>
          <w:trHeight w:val="1824"/>
        </w:trPr>
        <w:tc>
          <w:tcPr>
            <w:cnfStyle w:val="001000000000" w:firstRow="0" w:lastRow="0" w:firstColumn="1" w:lastColumn="0" w:oddVBand="0" w:evenVBand="0" w:oddHBand="0" w:evenHBand="0" w:firstRowFirstColumn="0" w:firstRowLastColumn="0" w:lastRowFirstColumn="0" w:lastRowLastColumn="0"/>
            <w:tcW w:w="1835" w:type="dxa"/>
          </w:tcPr>
          <w:p w14:paraId="4226960E" w14:textId="77777777" w:rsidR="00781923" w:rsidRPr="005D0210" w:rsidRDefault="00781923" w:rsidP="004E728C">
            <w:pPr>
              <w:rPr>
                <w:rFonts w:eastAsia="Times New Roman" w:cs="Calibri"/>
                <w:sz w:val="16"/>
                <w:szCs w:val="16"/>
              </w:rPr>
            </w:pPr>
            <w:r w:rsidRPr="005D0210">
              <w:rPr>
                <w:rFonts w:cs="Calibri"/>
                <w:sz w:val="16"/>
                <w:szCs w:val="16"/>
              </w:rPr>
              <w:t>Jorenby 2017</w:t>
            </w:r>
          </w:p>
        </w:tc>
        <w:tc>
          <w:tcPr>
            <w:tcW w:w="1397" w:type="dxa"/>
            <w:hideMark/>
          </w:tcPr>
          <w:p w14:paraId="5D576A2E"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5D0210">
              <w:rPr>
                <w:rFonts w:eastAsia="Times New Roman" w:cs="Calibri"/>
                <w:sz w:val="16"/>
                <w:szCs w:val="16"/>
              </w:rPr>
              <w:t>Used only traditional cigarettes. Had 1 week of ad libitum use, then asked to reduce tobacco cigarettes by 75%, then another 1 wk of ad libitum use. Then 3 days of cessation.</w:t>
            </w:r>
          </w:p>
        </w:tc>
        <w:tc>
          <w:tcPr>
            <w:tcW w:w="1381" w:type="dxa"/>
            <w:hideMark/>
          </w:tcPr>
          <w:p w14:paraId="7D915CDF"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5D0210">
              <w:rPr>
                <w:rFonts w:eastAsia="Times New Roman" w:cs="Calibri"/>
                <w:sz w:val="16"/>
                <w:szCs w:val="16"/>
              </w:rPr>
              <w:t>Used traditional cigarettes and e</w:t>
            </w:r>
            <w:r w:rsidRPr="005D0210">
              <w:rPr>
                <w:rFonts w:eastAsia="Times New Roman" w:cs="Calibri"/>
                <w:sz w:val="16"/>
                <w:szCs w:val="16"/>
              </w:rPr>
              <w:noBreakHyphen/>
              <w:t>cigarettes. Had 1 week of ad libitum use, then asked to reduce tobacco cigarettes by 75%, then another 1 wk of ad libitum use. Then 3 days of cessation.</w:t>
            </w:r>
          </w:p>
        </w:tc>
        <w:tc>
          <w:tcPr>
            <w:tcW w:w="2288" w:type="dxa"/>
            <w:hideMark/>
          </w:tcPr>
          <w:p w14:paraId="4CA4C202" w14:textId="0FA4CA12"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5D0210">
              <w:rPr>
                <w:rFonts w:eastAsia="Times New Roman" w:cs="Calibri"/>
                <w:sz w:val="16"/>
                <w:szCs w:val="16"/>
              </w:rPr>
              <w:t>Used smartphone app to record product use, craving, and withdrawal symptoms 3 times/d</w:t>
            </w:r>
            <w:r w:rsidR="007D18D8">
              <w:rPr>
                <w:rFonts w:eastAsia="Times New Roman" w:cs="Calibri"/>
                <w:sz w:val="16"/>
                <w:szCs w:val="16"/>
              </w:rPr>
              <w:t>.</w:t>
            </w:r>
            <w:r w:rsidRPr="005D0210">
              <w:rPr>
                <w:rFonts w:eastAsia="Times New Roman" w:cs="Calibri"/>
                <w:sz w:val="16"/>
                <w:szCs w:val="16"/>
              </w:rPr>
              <w:t xml:space="preserve"> </w:t>
            </w:r>
          </w:p>
        </w:tc>
        <w:tc>
          <w:tcPr>
            <w:tcW w:w="3729" w:type="dxa"/>
            <w:hideMark/>
          </w:tcPr>
          <w:p w14:paraId="67B3AF40"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5D0210">
              <w:rPr>
                <w:rFonts w:eastAsia="Times New Roman" w:cs="Calibri"/>
                <w:sz w:val="16"/>
                <w:szCs w:val="16"/>
              </w:rPr>
              <w:t>Dual users were more able than cigarette</w:t>
            </w:r>
            <w:r w:rsidRPr="005D0210">
              <w:rPr>
                <w:rFonts w:eastAsia="Times New Roman" w:cs="Calibri"/>
                <w:sz w:val="16"/>
                <w:szCs w:val="16"/>
              </w:rPr>
              <w:noBreakHyphen/>
              <w:t>only smokers to achieve brief abstinence from smoking.</w:t>
            </w:r>
            <w:r w:rsidRPr="005D0210">
              <w:rPr>
                <w:rFonts w:eastAsia="Times New Roman" w:cs="Calibri"/>
                <w:sz w:val="16"/>
                <w:szCs w:val="16"/>
              </w:rPr>
              <w:br/>
              <w:t xml:space="preserve">Women dual users had reduced cravings resulting from smoking reduction and abstinence. </w:t>
            </w:r>
          </w:p>
        </w:tc>
        <w:tc>
          <w:tcPr>
            <w:tcW w:w="2307" w:type="dxa"/>
            <w:hideMark/>
          </w:tcPr>
          <w:p w14:paraId="735712FF"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Calibri"/>
                <w:iCs/>
                <w:sz w:val="16"/>
                <w:szCs w:val="16"/>
              </w:rPr>
            </w:pPr>
            <w:r w:rsidRPr="005D0210">
              <w:rPr>
                <w:rFonts w:eastAsia="Times New Roman" w:cs="Calibri"/>
                <w:iCs/>
                <w:sz w:val="16"/>
                <w:szCs w:val="16"/>
              </w:rPr>
              <w:t>Dual users did not smoke fewer cigarettes than smoke</w:t>
            </w:r>
            <w:r w:rsidRPr="005D0210">
              <w:rPr>
                <w:rFonts w:eastAsia="Times New Roman" w:cs="Calibri"/>
                <w:iCs/>
                <w:sz w:val="16"/>
                <w:szCs w:val="16"/>
              </w:rPr>
              <w:noBreakHyphen/>
              <w:t>only participants during ad lib periods, but quadrupled their use of e</w:t>
            </w:r>
            <w:r w:rsidRPr="005D0210">
              <w:rPr>
                <w:rFonts w:eastAsia="Times New Roman" w:cs="Calibri"/>
                <w:iCs/>
                <w:sz w:val="16"/>
                <w:szCs w:val="16"/>
              </w:rPr>
              <w:noBreakHyphen/>
              <w:t>cigarettes during smoking reduction periods. Dual users were significantly more likely to maintain 100% reduction (97.1% vs. 81.2%). Amongst women, dual use was associated with higher nicotine levels and withdrawal suppression.</w:t>
            </w:r>
          </w:p>
        </w:tc>
        <w:tc>
          <w:tcPr>
            <w:tcW w:w="2743" w:type="dxa"/>
            <w:hideMark/>
          </w:tcPr>
          <w:p w14:paraId="6E80BE4A"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5D0210">
              <w:rPr>
                <w:rFonts w:eastAsia="Times New Roman" w:cs="Calibri"/>
                <w:sz w:val="16"/>
                <w:szCs w:val="16"/>
              </w:rPr>
              <w:t>Among a group of experienced dual users, e</w:t>
            </w:r>
            <w:r w:rsidRPr="005D0210">
              <w:rPr>
                <w:rFonts w:eastAsia="Times New Roman" w:cs="Calibri"/>
                <w:sz w:val="16"/>
                <w:szCs w:val="16"/>
              </w:rPr>
              <w:noBreakHyphen/>
              <w:t>cigarettes helped maintain smoking reduction and reduced some withdrawal symptoms, although both withdrawal symptoms and nicotine levels varied as a function of gender.</w:t>
            </w:r>
          </w:p>
        </w:tc>
      </w:tr>
      <w:tr w:rsidR="00781923" w:rsidRPr="005D0210" w14:paraId="7F349036" w14:textId="77777777" w:rsidTr="004E728C">
        <w:trPr>
          <w:trHeight w:val="1824"/>
        </w:trPr>
        <w:tc>
          <w:tcPr>
            <w:cnfStyle w:val="001000000000" w:firstRow="0" w:lastRow="0" w:firstColumn="1" w:lastColumn="0" w:oddVBand="0" w:evenVBand="0" w:oddHBand="0" w:evenHBand="0" w:firstRowFirstColumn="0" w:firstRowLastColumn="0" w:lastRowFirstColumn="0" w:lastRowLastColumn="0"/>
            <w:tcW w:w="1835" w:type="dxa"/>
          </w:tcPr>
          <w:p w14:paraId="155C8059" w14:textId="77777777" w:rsidR="00781923" w:rsidRPr="005D0210" w:rsidRDefault="00781923" w:rsidP="004E728C">
            <w:pPr>
              <w:rPr>
                <w:rFonts w:cs="Calibri"/>
                <w:sz w:val="16"/>
                <w:szCs w:val="16"/>
              </w:rPr>
            </w:pPr>
            <w:r w:rsidRPr="005D0210">
              <w:rPr>
                <w:rFonts w:cs="Calibri"/>
                <w:sz w:val="16"/>
                <w:szCs w:val="16"/>
              </w:rPr>
              <w:t>Masiero 2018</w:t>
            </w:r>
          </w:p>
        </w:tc>
        <w:tc>
          <w:tcPr>
            <w:tcW w:w="1397" w:type="dxa"/>
          </w:tcPr>
          <w:p w14:paraId="18B49AAB" w14:textId="0A6936A3"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5D0210">
              <w:rPr>
                <w:rFonts w:cs="Calibri"/>
                <w:sz w:val="16"/>
                <w:szCs w:val="16"/>
              </w:rPr>
              <w:t>Placebo: Provided with an e</w:t>
            </w:r>
            <w:r w:rsidRPr="005D0210">
              <w:rPr>
                <w:rFonts w:cs="Calibri"/>
                <w:sz w:val="16"/>
                <w:szCs w:val="16"/>
              </w:rPr>
              <w:noBreakHyphen/>
              <w:t>cigarette kit with 0mg/mL nicotine. Told not to use more than 1mL of the e</w:t>
            </w:r>
            <w:r w:rsidRPr="005D0210">
              <w:rPr>
                <w:rFonts w:cs="Calibri"/>
                <w:sz w:val="16"/>
                <w:szCs w:val="16"/>
              </w:rPr>
              <w:noBreakHyphen/>
              <w:t>cigarette liquid/d. Used with cig's for 1 week. Then attempted smoking cessation for 11 wks. Phone counselling every 4 wks.</w:t>
            </w:r>
            <w:r w:rsidR="008146F9">
              <w:rPr>
                <w:rFonts w:cs="Calibri"/>
                <w:sz w:val="16"/>
                <w:szCs w:val="16"/>
              </w:rPr>
              <w:t xml:space="preserve"> </w:t>
            </w:r>
            <w:r w:rsidRPr="005D0210">
              <w:rPr>
                <w:rFonts w:cs="Calibri"/>
                <w:sz w:val="16"/>
                <w:szCs w:val="16"/>
              </w:rPr>
              <w:t>Control: phone counselling every 4 wks.</w:t>
            </w:r>
            <w:r w:rsidR="008146F9">
              <w:rPr>
                <w:rFonts w:cs="Calibri"/>
                <w:sz w:val="16"/>
                <w:szCs w:val="16"/>
              </w:rPr>
              <w:t xml:space="preserve"> </w:t>
            </w:r>
          </w:p>
        </w:tc>
        <w:tc>
          <w:tcPr>
            <w:tcW w:w="1381" w:type="dxa"/>
          </w:tcPr>
          <w:p w14:paraId="639E5EC5" w14:textId="0161C3DD"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5D0210">
              <w:rPr>
                <w:rFonts w:cs="Calibri"/>
                <w:sz w:val="16"/>
                <w:szCs w:val="16"/>
              </w:rPr>
              <w:t>Provided with an e</w:t>
            </w:r>
            <w:r w:rsidRPr="005D0210">
              <w:rPr>
                <w:rFonts w:cs="Calibri"/>
                <w:sz w:val="16"/>
                <w:szCs w:val="16"/>
              </w:rPr>
              <w:noBreakHyphen/>
              <w:t>cigarette kit with 8mg/mL nicotine. Told not to use more than 1mL of the e</w:t>
            </w:r>
            <w:r w:rsidRPr="005D0210">
              <w:rPr>
                <w:rFonts w:cs="Calibri"/>
                <w:sz w:val="16"/>
                <w:szCs w:val="16"/>
              </w:rPr>
              <w:noBreakHyphen/>
              <w:t>cigarette liquid/d. Used with cig's for 1 week. Then attempted smoking abstinence for 11 weeks. Received telephone counselling every 4 wks.</w:t>
            </w:r>
            <w:r w:rsidR="008146F9">
              <w:rPr>
                <w:rFonts w:cs="Calibri"/>
                <w:sz w:val="16"/>
                <w:szCs w:val="16"/>
              </w:rPr>
              <w:t xml:space="preserve"> </w:t>
            </w:r>
          </w:p>
        </w:tc>
        <w:tc>
          <w:tcPr>
            <w:tcW w:w="2288" w:type="dxa"/>
          </w:tcPr>
          <w:p w14:paraId="4DA6A4CD"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5D0210">
              <w:rPr>
                <w:rFonts w:cs="Calibri"/>
                <w:sz w:val="16"/>
                <w:szCs w:val="16"/>
              </w:rPr>
              <w:t xml:space="preserve">Measured motivational questionnaire (motivation to quit). </w:t>
            </w:r>
          </w:p>
        </w:tc>
        <w:tc>
          <w:tcPr>
            <w:tcW w:w="3729" w:type="dxa"/>
          </w:tcPr>
          <w:p w14:paraId="0D0D2245"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5D0210">
              <w:rPr>
                <w:rFonts w:cs="Calibri"/>
                <w:sz w:val="16"/>
                <w:szCs w:val="16"/>
              </w:rPr>
              <w:t>Across study arms, 20% of participants (N=34) stopped smoking at month 3. The percentage was significantly higher in the nicotine (N=15; 25.4%) and nicotine</w:t>
            </w:r>
            <w:r w:rsidRPr="005D0210">
              <w:rPr>
                <w:rFonts w:cs="Calibri"/>
                <w:sz w:val="16"/>
                <w:szCs w:val="16"/>
              </w:rPr>
              <w:noBreakHyphen/>
              <w:t>free (N=13; 23.4%) e</w:t>
            </w:r>
            <w:r w:rsidRPr="005D0210">
              <w:rPr>
                <w:rFonts w:cs="Calibri"/>
                <w:sz w:val="16"/>
                <w:szCs w:val="16"/>
              </w:rPr>
              <w:noBreakHyphen/>
              <w:t xml:space="preserve">cigarette groups than in the control group (N=6; 10.34%) (χ2(2)=4.899, p=.044). </w:t>
            </w:r>
            <w:r w:rsidRPr="005D0210">
              <w:rPr>
                <w:rFonts w:cs="Calibri"/>
                <w:sz w:val="16"/>
                <w:szCs w:val="16"/>
              </w:rPr>
              <w:br/>
              <w:t>Lower consumption of cigarettes in e</w:t>
            </w:r>
            <w:r w:rsidRPr="005D0210">
              <w:rPr>
                <w:rFonts w:cs="Calibri"/>
                <w:sz w:val="16"/>
                <w:szCs w:val="16"/>
              </w:rPr>
              <w:noBreakHyphen/>
              <w:t>cigarette groups, lowest in nicotine</w:t>
            </w:r>
            <w:r w:rsidRPr="005D0210">
              <w:rPr>
                <w:rFonts w:cs="Calibri"/>
                <w:sz w:val="16"/>
                <w:szCs w:val="16"/>
              </w:rPr>
              <w:noBreakHyphen/>
              <w:t>containing e</w:t>
            </w:r>
            <w:r w:rsidRPr="005D0210">
              <w:rPr>
                <w:rFonts w:cs="Calibri"/>
                <w:sz w:val="16"/>
                <w:szCs w:val="16"/>
              </w:rPr>
              <w:noBreakHyphen/>
              <w:t>cigarette group (but not always statistically significant).</w:t>
            </w:r>
          </w:p>
        </w:tc>
        <w:tc>
          <w:tcPr>
            <w:tcW w:w="2307" w:type="dxa"/>
          </w:tcPr>
          <w:p w14:paraId="4BE863B8"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Calibri"/>
                <w:iCs/>
                <w:sz w:val="16"/>
                <w:szCs w:val="16"/>
              </w:rPr>
            </w:pPr>
          </w:p>
        </w:tc>
        <w:tc>
          <w:tcPr>
            <w:tcW w:w="2743" w:type="dxa"/>
          </w:tcPr>
          <w:p w14:paraId="2D465B98"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5D0210">
              <w:rPr>
                <w:rFonts w:cs="Calibri"/>
                <w:iCs/>
                <w:sz w:val="16"/>
                <w:szCs w:val="16"/>
              </w:rPr>
              <w:t>Our findings support the efficacy and safety of e</w:t>
            </w:r>
            <w:r w:rsidRPr="005D0210">
              <w:rPr>
                <w:rFonts w:cs="Calibri"/>
                <w:iCs/>
                <w:sz w:val="16"/>
                <w:szCs w:val="16"/>
              </w:rPr>
              <w:noBreakHyphen/>
              <w:t>cigarettes in a short</w:t>
            </w:r>
            <w:r w:rsidRPr="005D0210">
              <w:rPr>
                <w:rFonts w:cs="Calibri"/>
                <w:iCs/>
                <w:sz w:val="16"/>
                <w:szCs w:val="16"/>
              </w:rPr>
              <w:noBreakHyphen/>
              <w:t>term period. E</w:t>
            </w:r>
            <w:r w:rsidRPr="005D0210">
              <w:rPr>
                <w:rFonts w:cs="Calibri"/>
                <w:iCs/>
                <w:sz w:val="16"/>
                <w:szCs w:val="16"/>
              </w:rPr>
              <w:noBreakHyphen/>
              <w:t>cigarettes use led to a higher cessation rate. Furthermore, although all participants reported a significant reduction of daily cigarette consumption compared to the baseline, the use of e</w:t>
            </w:r>
            <w:r w:rsidRPr="005D0210">
              <w:rPr>
                <w:rFonts w:cs="Calibri"/>
                <w:iCs/>
                <w:sz w:val="16"/>
                <w:szCs w:val="16"/>
              </w:rPr>
              <w:noBreakHyphen/>
              <w:t>cigarettes (including those without nicotine) allowed smokers to achieve better results.</w:t>
            </w:r>
          </w:p>
        </w:tc>
      </w:tr>
      <w:tr w:rsidR="00781923" w:rsidRPr="005D0210" w14:paraId="25776E3A" w14:textId="77777777" w:rsidTr="004E728C">
        <w:trPr>
          <w:cnfStyle w:val="000000100000" w:firstRow="0" w:lastRow="0" w:firstColumn="0" w:lastColumn="0" w:oddVBand="0" w:evenVBand="0" w:oddHBand="1" w:evenHBand="0" w:firstRowFirstColumn="0" w:firstRowLastColumn="0" w:lastRowFirstColumn="0" w:lastRowLastColumn="0"/>
          <w:trHeight w:val="1824"/>
        </w:trPr>
        <w:tc>
          <w:tcPr>
            <w:cnfStyle w:val="001000000000" w:firstRow="0" w:lastRow="0" w:firstColumn="1" w:lastColumn="0" w:oddVBand="0" w:evenVBand="0" w:oddHBand="0" w:evenHBand="0" w:firstRowFirstColumn="0" w:firstRowLastColumn="0" w:lastRowFirstColumn="0" w:lastRowLastColumn="0"/>
            <w:tcW w:w="1835" w:type="dxa"/>
          </w:tcPr>
          <w:p w14:paraId="1E8D5816" w14:textId="77777777" w:rsidR="00781923" w:rsidRPr="005D0210" w:rsidRDefault="00781923" w:rsidP="004E728C">
            <w:pPr>
              <w:rPr>
                <w:rFonts w:cs="Calibri"/>
                <w:sz w:val="16"/>
                <w:szCs w:val="16"/>
              </w:rPr>
            </w:pPr>
            <w:r w:rsidRPr="005D0210">
              <w:rPr>
                <w:rFonts w:cs="Calibri"/>
                <w:sz w:val="16"/>
                <w:szCs w:val="16"/>
              </w:rPr>
              <w:t>Palmer 2018</w:t>
            </w:r>
          </w:p>
        </w:tc>
        <w:tc>
          <w:tcPr>
            <w:tcW w:w="2778" w:type="dxa"/>
            <w:gridSpan w:val="2"/>
          </w:tcPr>
          <w:p w14:paraId="2F791032" w14:textId="77777777" w:rsidR="00781923" w:rsidRPr="005D0210" w:rsidRDefault="00781923" w:rsidP="004E728C">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5D0210">
              <w:rPr>
                <w:rFonts w:cs="Calibri"/>
                <w:sz w:val="16"/>
                <w:szCs w:val="16"/>
              </w:rPr>
              <w:t>Participants were told to abstain from e</w:t>
            </w:r>
            <w:r w:rsidRPr="005D0210">
              <w:rPr>
                <w:rFonts w:cs="Calibri"/>
                <w:sz w:val="16"/>
                <w:szCs w:val="16"/>
              </w:rPr>
              <w:noBreakHyphen/>
              <w:t>cigarettes or cigarettes before 3 hours before testing (compliance checked with CO test). Then given either a nicotine</w:t>
            </w:r>
            <w:r w:rsidRPr="005D0210">
              <w:rPr>
                <w:rFonts w:cs="Calibri"/>
                <w:sz w:val="16"/>
                <w:szCs w:val="16"/>
              </w:rPr>
              <w:noBreakHyphen/>
              <w:t>free or a nicotine</w:t>
            </w:r>
            <w:r w:rsidRPr="005D0210">
              <w:rPr>
                <w:rFonts w:cs="Calibri"/>
                <w:sz w:val="16"/>
                <w:szCs w:val="16"/>
              </w:rPr>
              <w:noBreakHyphen/>
              <w:t>containing e</w:t>
            </w:r>
            <w:r w:rsidRPr="005D0210">
              <w:rPr>
                <w:rFonts w:cs="Calibri"/>
                <w:sz w:val="16"/>
                <w:szCs w:val="16"/>
              </w:rPr>
              <w:noBreakHyphen/>
              <w:t>cigarette and told it was either nicotine</w:t>
            </w:r>
            <w:r w:rsidRPr="005D0210">
              <w:rPr>
                <w:rFonts w:cs="Calibri"/>
                <w:sz w:val="16"/>
                <w:szCs w:val="16"/>
              </w:rPr>
              <w:noBreakHyphen/>
              <w:t>free or nicotine</w:t>
            </w:r>
            <w:r w:rsidRPr="005D0210">
              <w:rPr>
                <w:rFonts w:cs="Calibri"/>
                <w:sz w:val="16"/>
                <w:szCs w:val="16"/>
              </w:rPr>
              <w:noBreakHyphen/>
              <w:t xml:space="preserve">containing (4 conditions; true positive, false positive, true negative, false negative). Allowed 10 puffs over 10 minutes. </w:t>
            </w:r>
          </w:p>
        </w:tc>
        <w:tc>
          <w:tcPr>
            <w:tcW w:w="2288" w:type="dxa"/>
          </w:tcPr>
          <w:p w14:paraId="526F1D96"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5D0210">
              <w:rPr>
                <w:rFonts w:cs="Calibri"/>
                <w:sz w:val="16"/>
                <w:szCs w:val="16"/>
              </w:rPr>
              <w:t>Completed craving measures before and after e</w:t>
            </w:r>
            <w:r w:rsidRPr="005D0210">
              <w:rPr>
                <w:rFonts w:cs="Calibri"/>
                <w:sz w:val="16"/>
                <w:szCs w:val="16"/>
              </w:rPr>
              <w:noBreakHyphen/>
              <w:t xml:space="preserve">cigarette administration. </w:t>
            </w:r>
          </w:p>
        </w:tc>
        <w:tc>
          <w:tcPr>
            <w:tcW w:w="3729" w:type="dxa"/>
          </w:tcPr>
          <w:p w14:paraId="0BCEF204"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5D0210">
              <w:rPr>
                <w:rFonts w:cs="Calibri"/>
                <w:sz w:val="16"/>
                <w:szCs w:val="16"/>
              </w:rPr>
              <w:t>While there was no main effect of drug (nicotine vs non</w:t>
            </w:r>
            <w:r w:rsidRPr="005D0210">
              <w:rPr>
                <w:rFonts w:cs="Calibri"/>
                <w:sz w:val="16"/>
                <w:szCs w:val="16"/>
              </w:rPr>
              <w:noBreakHyphen/>
              <w:t>nicotine), the 'instructional set' did elicit a significant effect on craving reduction for smoking. I.e. participants told that their e</w:t>
            </w:r>
            <w:r w:rsidRPr="005D0210">
              <w:rPr>
                <w:rFonts w:cs="Calibri"/>
                <w:sz w:val="16"/>
                <w:szCs w:val="16"/>
              </w:rPr>
              <w:noBreakHyphen/>
              <w:t xml:space="preserve">cigarette contained nicotine had larger craving reductions for smoking regardless of the actual nicotine content. </w:t>
            </w:r>
            <w:r w:rsidRPr="005D0210">
              <w:rPr>
                <w:rFonts w:cs="Calibri"/>
                <w:sz w:val="16"/>
                <w:szCs w:val="16"/>
              </w:rPr>
              <w:br/>
              <w:t>Craving to vape was only reduced in the group told to expect nicotine who actually received a nicotine</w:t>
            </w:r>
            <w:r w:rsidRPr="005D0210">
              <w:rPr>
                <w:rFonts w:cs="Calibri"/>
                <w:sz w:val="16"/>
                <w:szCs w:val="16"/>
              </w:rPr>
              <w:noBreakHyphen/>
              <w:t>containing e</w:t>
            </w:r>
            <w:r w:rsidRPr="005D0210">
              <w:rPr>
                <w:rFonts w:cs="Calibri"/>
                <w:sz w:val="16"/>
                <w:szCs w:val="16"/>
              </w:rPr>
              <w:noBreakHyphen/>
              <w:t>cigarette.</w:t>
            </w:r>
          </w:p>
        </w:tc>
        <w:tc>
          <w:tcPr>
            <w:tcW w:w="2307" w:type="dxa"/>
          </w:tcPr>
          <w:p w14:paraId="1D2733DC"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Calibri"/>
                <w:iCs/>
                <w:sz w:val="16"/>
                <w:szCs w:val="16"/>
              </w:rPr>
            </w:pPr>
            <w:r w:rsidRPr="005D0210">
              <w:rPr>
                <w:rFonts w:cs="Calibri"/>
                <w:iCs/>
                <w:sz w:val="16"/>
                <w:szCs w:val="16"/>
              </w:rPr>
              <w:t>Among current smokers (n=52), the main effect of instructional set was observed on change in craving to smoke as measured by the QSU, F(1, 44)=4.21, p=.046, n2= 0.09. Greater craving reduction was found</w:t>
            </w:r>
            <w:r w:rsidRPr="005D0210">
              <w:rPr>
                <w:rFonts w:cs="Calibri"/>
                <w:iCs/>
                <w:sz w:val="16"/>
                <w:szCs w:val="16"/>
              </w:rPr>
              <w:br/>
              <w:t xml:space="preserve">among those told they received nicotine (M=7.92, SD=6.59) than among those told they did not </w:t>
            </w:r>
            <w:r w:rsidRPr="005D0210">
              <w:rPr>
                <w:rFonts w:cs="Calibri"/>
                <w:iCs/>
                <w:sz w:val="16"/>
                <w:szCs w:val="16"/>
              </w:rPr>
              <w:lastRenderedPageBreak/>
              <w:t>receive nicotine (M=4.25, SD=5.31).</w:t>
            </w:r>
          </w:p>
        </w:tc>
        <w:tc>
          <w:tcPr>
            <w:tcW w:w="2743" w:type="dxa"/>
          </w:tcPr>
          <w:p w14:paraId="03FD3F70"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5D0210">
              <w:rPr>
                <w:rFonts w:cs="Calibri"/>
                <w:sz w:val="16"/>
                <w:szCs w:val="16"/>
              </w:rPr>
              <w:lastRenderedPageBreak/>
              <w:t>The results of the present study suggest that nicotine delivery may not be necessary for the acute management of cravings to smoke via vaping. Thus, the possibility of further harm</w:t>
            </w:r>
            <w:r w:rsidRPr="005D0210">
              <w:rPr>
                <w:rFonts w:cs="Calibri"/>
                <w:sz w:val="16"/>
                <w:szCs w:val="16"/>
              </w:rPr>
              <w:noBreakHyphen/>
              <w:t>reduction through the elimination or reduction of nicotine content without sacrificing e</w:t>
            </w:r>
            <w:r w:rsidRPr="005D0210">
              <w:rPr>
                <w:rFonts w:cs="Calibri"/>
                <w:sz w:val="16"/>
                <w:szCs w:val="16"/>
              </w:rPr>
              <w:noBreakHyphen/>
              <w:t xml:space="preserve">cigarettes’ potential efficacy for smoking cessation is promising. </w:t>
            </w:r>
          </w:p>
        </w:tc>
      </w:tr>
      <w:tr w:rsidR="00781923" w:rsidRPr="005D0210" w14:paraId="13C00105" w14:textId="77777777" w:rsidTr="008E6600">
        <w:trPr>
          <w:trHeight w:val="2003"/>
        </w:trPr>
        <w:tc>
          <w:tcPr>
            <w:cnfStyle w:val="001000000000" w:firstRow="0" w:lastRow="0" w:firstColumn="1" w:lastColumn="0" w:oddVBand="0" w:evenVBand="0" w:oddHBand="0" w:evenHBand="0" w:firstRowFirstColumn="0" w:firstRowLastColumn="0" w:lastRowFirstColumn="0" w:lastRowLastColumn="0"/>
            <w:tcW w:w="1835" w:type="dxa"/>
          </w:tcPr>
          <w:p w14:paraId="71CC65EF" w14:textId="77777777" w:rsidR="00781923" w:rsidRPr="005D0210" w:rsidRDefault="00781923" w:rsidP="004E728C">
            <w:pPr>
              <w:rPr>
                <w:rFonts w:eastAsia="Times New Roman" w:cs="Calibri"/>
                <w:sz w:val="16"/>
                <w:szCs w:val="16"/>
              </w:rPr>
            </w:pPr>
            <w:r w:rsidRPr="005D0210">
              <w:rPr>
                <w:rFonts w:cs="Calibri"/>
                <w:sz w:val="16"/>
                <w:szCs w:val="16"/>
              </w:rPr>
              <w:t>Perkins 2017 a (study 1)</w:t>
            </w:r>
          </w:p>
        </w:tc>
        <w:tc>
          <w:tcPr>
            <w:tcW w:w="1397" w:type="dxa"/>
            <w:hideMark/>
          </w:tcPr>
          <w:p w14:paraId="496F6AE0" w14:textId="54948922"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5D0210">
              <w:rPr>
                <w:rFonts w:eastAsia="Times New Roman" w:cs="Calibri"/>
                <w:sz w:val="16"/>
                <w:szCs w:val="16"/>
              </w:rPr>
              <w:t>After overnight smoking deprivation (verified with breath CO analysis), participants had measurements taken and waited 2hrs</w:t>
            </w:r>
            <w:r w:rsidR="007D18D8">
              <w:rPr>
                <w:rFonts w:eastAsia="Times New Roman" w:cs="Calibri"/>
                <w:sz w:val="16"/>
                <w:szCs w:val="16"/>
              </w:rPr>
              <w:t>.</w:t>
            </w:r>
          </w:p>
        </w:tc>
        <w:tc>
          <w:tcPr>
            <w:tcW w:w="1381" w:type="dxa"/>
            <w:hideMark/>
          </w:tcPr>
          <w:p w14:paraId="5263E053" w14:textId="4E00F92F"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5D0210">
              <w:rPr>
                <w:rFonts w:eastAsia="Times New Roman" w:cs="Calibri"/>
                <w:sz w:val="16"/>
                <w:szCs w:val="16"/>
              </w:rPr>
              <w:t>After overnight smoking deprivation (verified with breath CO analysis), participants were given 10 puffs of an e</w:t>
            </w:r>
            <w:r w:rsidRPr="005D0210">
              <w:rPr>
                <w:rFonts w:eastAsia="Times New Roman" w:cs="Calibri"/>
                <w:sz w:val="16"/>
                <w:szCs w:val="16"/>
              </w:rPr>
              <w:noBreakHyphen/>
              <w:t>cigarette containing 0mg/ml nicotine OR 36mg/ml nicotine</w:t>
            </w:r>
            <w:r w:rsidR="007D18D8">
              <w:rPr>
                <w:rFonts w:eastAsia="Times New Roman" w:cs="Calibri"/>
                <w:sz w:val="16"/>
                <w:szCs w:val="16"/>
              </w:rPr>
              <w:t>.</w:t>
            </w:r>
          </w:p>
        </w:tc>
        <w:tc>
          <w:tcPr>
            <w:tcW w:w="2288" w:type="dxa"/>
            <w:hideMark/>
          </w:tcPr>
          <w:p w14:paraId="5CA1BEE5"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5D0210">
              <w:rPr>
                <w:rFonts w:eastAsia="Times New Roman" w:cs="Calibri"/>
                <w:sz w:val="16"/>
                <w:szCs w:val="16"/>
              </w:rPr>
              <w:t>Measured withdrawal before and after e</w:t>
            </w:r>
            <w:r w:rsidRPr="005D0210">
              <w:rPr>
                <w:rFonts w:eastAsia="Times New Roman" w:cs="Calibri"/>
                <w:sz w:val="16"/>
                <w:szCs w:val="16"/>
              </w:rPr>
              <w:noBreakHyphen/>
              <w:t xml:space="preserve">cigarette use using the Minnesota Nicotine Withdrawal Scale. </w:t>
            </w:r>
          </w:p>
        </w:tc>
        <w:tc>
          <w:tcPr>
            <w:tcW w:w="3729" w:type="dxa"/>
            <w:hideMark/>
          </w:tcPr>
          <w:p w14:paraId="442542DD"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5D0210">
              <w:rPr>
                <w:rFonts w:eastAsia="Times New Roman" w:cs="Calibri"/>
                <w:sz w:val="16"/>
                <w:szCs w:val="16"/>
              </w:rPr>
              <w:t>Decline in withdrawal was greater in the e</w:t>
            </w:r>
            <w:r w:rsidRPr="005D0210">
              <w:rPr>
                <w:rFonts w:eastAsia="Times New Roman" w:cs="Calibri"/>
                <w:sz w:val="16"/>
                <w:szCs w:val="16"/>
              </w:rPr>
              <w:noBreakHyphen/>
              <w:t>cigarette + nicotine group than the nicotine</w:t>
            </w:r>
            <w:r w:rsidRPr="005D0210">
              <w:rPr>
                <w:rFonts w:eastAsia="Times New Roman" w:cs="Calibri"/>
                <w:sz w:val="16"/>
                <w:szCs w:val="16"/>
              </w:rPr>
              <w:noBreakHyphen/>
              <w:t>free e</w:t>
            </w:r>
            <w:r w:rsidRPr="005D0210">
              <w:rPr>
                <w:rFonts w:eastAsia="Times New Roman" w:cs="Calibri"/>
                <w:sz w:val="16"/>
                <w:szCs w:val="16"/>
              </w:rPr>
              <w:noBreakHyphen/>
              <w:t>cigarette (</w:t>
            </w:r>
            <w:r w:rsidRPr="005D0210">
              <w:rPr>
                <w:rFonts w:eastAsia="Times New Roman" w:cs="Calibri"/>
                <w:iCs/>
                <w:sz w:val="16"/>
                <w:szCs w:val="16"/>
              </w:rPr>
              <w:t>t</w:t>
            </w:r>
            <w:r w:rsidRPr="005D0210">
              <w:rPr>
                <w:rFonts w:eastAsia="Times New Roman" w:cs="Calibri"/>
                <w:sz w:val="16"/>
                <w:szCs w:val="16"/>
              </w:rPr>
              <w:t xml:space="preserve">(27= 2.17, </w:t>
            </w:r>
            <w:r w:rsidRPr="005D0210">
              <w:rPr>
                <w:rFonts w:eastAsia="Times New Roman" w:cs="Calibri"/>
                <w:iCs/>
                <w:sz w:val="16"/>
                <w:szCs w:val="16"/>
              </w:rPr>
              <w:t>p</w:t>
            </w:r>
            <w:r w:rsidRPr="005D0210">
              <w:rPr>
                <w:rFonts w:eastAsia="Times New Roman" w:cs="Calibri"/>
                <w:sz w:val="16"/>
                <w:szCs w:val="16"/>
              </w:rPr>
              <w:t>&lt;0.005,</w:t>
            </w:r>
            <w:r w:rsidRPr="005D0210">
              <w:rPr>
                <w:rFonts w:eastAsia="Times New Roman" w:cs="Calibri"/>
                <w:iCs/>
                <w:sz w:val="16"/>
                <w:szCs w:val="16"/>
              </w:rPr>
              <w:t xml:space="preserve"> d</w:t>
            </w:r>
            <w:r w:rsidRPr="005D0210">
              <w:rPr>
                <w:rFonts w:eastAsia="Times New Roman" w:cs="Calibri"/>
                <w:sz w:val="16"/>
                <w:szCs w:val="16"/>
              </w:rPr>
              <w:t>=0.41). There was no significant difference between nicotine</w:t>
            </w:r>
            <w:r w:rsidRPr="005D0210">
              <w:rPr>
                <w:rFonts w:eastAsia="Times New Roman" w:cs="Calibri"/>
                <w:sz w:val="16"/>
                <w:szCs w:val="16"/>
              </w:rPr>
              <w:noBreakHyphen/>
              <w:t>free e</w:t>
            </w:r>
            <w:r w:rsidRPr="005D0210">
              <w:rPr>
                <w:rFonts w:eastAsia="Times New Roman" w:cs="Calibri"/>
                <w:sz w:val="16"/>
                <w:szCs w:val="16"/>
              </w:rPr>
              <w:noBreakHyphen/>
              <w:t>cigarette and no e</w:t>
            </w:r>
            <w:r w:rsidRPr="005D0210">
              <w:rPr>
                <w:rFonts w:eastAsia="Times New Roman" w:cs="Calibri"/>
                <w:sz w:val="16"/>
                <w:szCs w:val="16"/>
              </w:rPr>
              <w:noBreakHyphen/>
              <w:t>cigarette (</w:t>
            </w:r>
            <w:r w:rsidRPr="005D0210">
              <w:rPr>
                <w:rFonts w:eastAsia="Times New Roman" w:cs="Calibri"/>
                <w:iCs/>
                <w:sz w:val="16"/>
                <w:szCs w:val="16"/>
              </w:rPr>
              <w:t>t</w:t>
            </w:r>
            <w:r w:rsidRPr="005D0210">
              <w:rPr>
                <w:rFonts w:eastAsia="Times New Roman" w:cs="Calibri"/>
                <w:sz w:val="16"/>
                <w:szCs w:val="16"/>
              </w:rPr>
              <w:t xml:space="preserve">(27)= 1.50, </w:t>
            </w:r>
            <w:r w:rsidRPr="005D0210">
              <w:rPr>
                <w:rFonts w:eastAsia="Times New Roman" w:cs="Calibri"/>
                <w:iCs/>
                <w:sz w:val="16"/>
                <w:szCs w:val="16"/>
              </w:rPr>
              <w:t>p</w:t>
            </w:r>
            <w:r w:rsidRPr="005D0210">
              <w:rPr>
                <w:rFonts w:eastAsia="Times New Roman" w:cs="Calibri"/>
                <w:sz w:val="16"/>
                <w:szCs w:val="16"/>
              </w:rPr>
              <w:t xml:space="preserve">=0.14, </w:t>
            </w:r>
            <w:r w:rsidRPr="005D0210">
              <w:rPr>
                <w:rFonts w:eastAsia="Times New Roman" w:cs="Calibri"/>
                <w:iCs/>
                <w:sz w:val="16"/>
                <w:szCs w:val="16"/>
              </w:rPr>
              <w:t>d</w:t>
            </w:r>
            <w:r w:rsidRPr="005D0210">
              <w:rPr>
                <w:rFonts w:eastAsia="Times New Roman" w:cs="Calibri"/>
                <w:sz w:val="16"/>
                <w:szCs w:val="16"/>
              </w:rPr>
              <w:t>=0.28).</w:t>
            </w:r>
          </w:p>
        </w:tc>
        <w:tc>
          <w:tcPr>
            <w:tcW w:w="2307" w:type="dxa"/>
            <w:hideMark/>
          </w:tcPr>
          <w:p w14:paraId="6482F2CC" w14:textId="50EBB605"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5D0210">
              <w:rPr>
                <w:rFonts w:eastAsia="Times New Roman" w:cs="Calibri"/>
                <w:sz w:val="16"/>
                <w:szCs w:val="16"/>
              </w:rPr>
              <w:t>A significant main effect of e</w:t>
            </w:r>
            <w:r w:rsidRPr="005D0210">
              <w:rPr>
                <w:rFonts w:eastAsia="Times New Roman" w:cs="Calibri"/>
                <w:sz w:val="16"/>
                <w:szCs w:val="16"/>
              </w:rPr>
              <w:noBreakHyphen/>
              <w:t xml:space="preserve">cigarette condition on withdrawal was found </w:t>
            </w:r>
            <w:r w:rsidRPr="005D0210">
              <w:rPr>
                <w:rFonts w:eastAsia="Times New Roman" w:cs="Calibri"/>
                <w:iCs/>
                <w:sz w:val="16"/>
                <w:szCs w:val="16"/>
              </w:rPr>
              <w:t>(F</w:t>
            </w:r>
            <w:r w:rsidRPr="005D0210">
              <w:rPr>
                <w:rFonts w:eastAsia="Times New Roman" w:cs="Calibri"/>
                <w:sz w:val="16"/>
                <w:szCs w:val="16"/>
              </w:rPr>
              <w:t>(2, 54)=6.92, p&lt;0.005, np² =.20)</w:t>
            </w:r>
            <w:r w:rsidR="007D18D8">
              <w:rPr>
                <w:rFonts w:eastAsia="Times New Roman" w:cs="Calibri"/>
                <w:sz w:val="16"/>
                <w:szCs w:val="16"/>
              </w:rPr>
              <w:t>.</w:t>
            </w:r>
          </w:p>
        </w:tc>
        <w:tc>
          <w:tcPr>
            <w:tcW w:w="2743" w:type="dxa"/>
            <w:vMerge w:val="restart"/>
            <w:hideMark/>
          </w:tcPr>
          <w:p w14:paraId="0EA96623" w14:textId="5D7FA808"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Calibri"/>
                <w:iCs/>
                <w:sz w:val="16"/>
                <w:szCs w:val="16"/>
              </w:rPr>
            </w:pPr>
            <w:r w:rsidRPr="005D0210">
              <w:rPr>
                <w:rFonts w:eastAsia="Times New Roman" w:cs="Calibri"/>
                <w:iCs/>
                <w:sz w:val="16"/>
                <w:szCs w:val="16"/>
              </w:rPr>
              <w:t>In sum, compared with placebo e</w:t>
            </w:r>
            <w:r w:rsidRPr="005D0210">
              <w:rPr>
                <w:rFonts w:eastAsia="Times New Roman" w:cs="Calibri"/>
                <w:iCs/>
                <w:sz w:val="16"/>
                <w:szCs w:val="16"/>
              </w:rPr>
              <w:noBreakHyphen/>
              <w:t>cig</w:t>
            </w:r>
            <w:r w:rsidR="007D18D8">
              <w:rPr>
                <w:rFonts w:eastAsia="Times New Roman" w:cs="Calibri"/>
                <w:iCs/>
                <w:sz w:val="16"/>
                <w:szCs w:val="16"/>
              </w:rPr>
              <w:t>arette</w:t>
            </w:r>
            <w:r w:rsidRPr="005D0210">
              <w:rPr>
                <w:rFonts w:eastAsia="Times New Roman" w:cs="Calibri"/>
                <w:iCs/>
                <w:sz w:val="16"/>
                <w:szCs w:val="16"/>
              </w:rPr>
              <w:t>s, nicotine e</w:t>
            </w:r>
            <w:r w:rsidRPr="005D0210">
              <w:rPr>
                <w:rFonts w:eastAsia="Times New Roman" w:cs="Calibri"/>
                <w:iCs/>
                <w:sz w:val="16"/>
                <w:szCs w:val="16"/>
              </w:rPr>
              <w:noBreakHyphen/>
              <w:t>cigarettes can relieve smoking abstinence symptoms, perhaps in a manner similar to Food and Drug Administration–approved nicotine replacement therapy products, although much more research with larger samples is needed.</w:t>
            </w:r>
          </w:p>
        </w:tc>
      </w:tr>
      <w:tr w:rsidR="00781923" w:rsidRPr="005D0210" w14:paraId="4928C651" w14:textId="77777777" w:rsidTr="004E728C">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1835" w:type="dxa"/>
          </w:tcPr>
          <w:p w14:paraId="47F3C80D" w14:textId="77777777" w:rsidR="00781923" w:rsidRPr="005D0210" w:rsidRDefault="00781923" w:rsidP="004E728C">
            <w:pPr>
              <w:rPr>
                <w:rFonts w:eastAsia="Times New Roman" w:cs="Calibri"/>
                <w:sz w:val="16"/>
                <w:szCs w:val="16"/>
              </w:rPr>
            </w:pPr>
            <w:r w:rsidRPr="005D0210">
              <w:rPr>
                <w:rFonts w:cs="Calibri"/>
                <w:sz w:val="16"/>
                <w:szCs w:val="16"/>
              </w:rPr>
              <w:t>Perkins 2017 b (study 2)</w:t>
            </w:r>
          </w:p>
        </w:tc>
        <w:tc>
          <w:tcPr>
            <w:tcW w:w="1397" w:type="dxa"/>
            <w:hideMark/>
          </w:tcPr>
          <w:p w14:paraId="6E4E6D24" w14:textId="110FBF9E"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5D0210">
              <w:rPr>
                <w:rFonts w:eastAsia="Times New Roman" w:cs="Calibri"/>
                <w:sz w:val="16"/>
                <w:szCs w:val="16"/>
              </w:rPr>
              <w:t>Given nicotine</w:t>
            </w:r>
            <w:r w:rsidRPr="005D0210">
              <w:rPr>
                <w:rFonts w:eastAsia="Times New Roman" w:cs="Calibri"/>
                <w:sz w:val="16"/>
                <w:szCs w:val="16"/>
              </w:rPr>
              <w:noBreakHyphen/>
              <w:t>containing e</w:t>
            </w:r>
            <w:r w:rsidRPr="005D0210">
              <w:rPr>
                <w:rFonts w:eastAsia="Times New Roman" w:cs="Calibri"/>
                <w:sz w:val="16"/>
                <w:szCs w:val="16"/>
              </w:rPr>
              <w:noBreakHyphen/>
              <w:t>cigarette to use while attempting to abstain from smoking</w:t>
            </w:r>
            <w:r w:rsidR="007D18D8">
              <w:rPr>
                <w:rFonts w:eastAsia="Times New Roman" w:cs="Calibri"/>
                <w:sz w:val="16"/>
                <w:szCs w:val="16"/>
              </w:rPr>
              <w:t>.</w:t>
            </w:r>
          </w:p>
        </w:tc>
        <w:tc>
          <w:tcPr>
            <w:tcW w:w="1381" w:type="dxa"/>
            <w:hideMark/>
          </w:tcPr>
          <w:p w14:paraId="51BDF6C9" w14:textId="483C4BB1"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5D0210">
              <w:rPr>
                <w:rFonts w:eastAsia="Times New Roman" w:cs="Calibri"/>
                <w:sz w:val="16"/>
                <w:szCs w:val="16"/>
              </w:rPr>
              <w:t>Given nicotine</w:t>
            </w:r>
            <w:r w:rsidRPr="005D0210">
              <w:rPr>
                <w:rFonts w:eastAsia="Times New Roman" w:cs="Calibri"/>
                <w:sz w:val="16"/>
                <w:szCs w:val="16"/>
              </w:rPr>
              <w:noBreakHyphen/>
              <w:t>free e</w:t>
            </w:r>
            <w:r w:rsidRPr="005D0210">
              <w:rPr>
                <w:rFonts w:eastAsia="Times New Roman" w:cs="Calibri"/>
                <w:sz w:val="16"/>
                <w:szCs w:val="16"/>
              </w:rPr>
              <w:noBreakHyphen/>
              <w:t>cigarette to use while attempting to abstain from smoking</w:t>
            </w:r>
            <w:r w:rsidR="007D18D8">
              <w:rPr>
                <w:rFonts w:eastAsia="Times New Roman" w:cs="Calibri"/>
                <w:sz w:val="16"/>
                <w:szCs w:val="16"/>
              </w:rPr>
              <w:t>.</w:t>
            </w:r>
          </w:p>
        </w:tc>
        <w:tc>
          <w:tcPr>
            <w:tcW w:w="2288" w:type="dxa"/>
            <w:hideMark/>
          </w:tcPr>
          <w:p w14:paraId="7FB16ED5"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5D0210">
              <w:rPr>
                <w:rFonts w:eastAsia="Times New Roman" w:cs="Calibri"/>
                <w:sz w:val="16"/>
                <w:szCs w:val="16"/>
              </w:rPr>
              <w:t xml:space="preserve">Measured withdrawal and cravings. Measured number of days without cigarettes. </w:t>
            </w:r>
          </w:p>
        </w:tc>
        <w:tc>
          <w:tcPr>
            <w:tcW w:w="3729" w:type="dxa"/>
            <w:hideMark/>
          </w:tcPr>
          <w:p w14:paraId="54F5DE35"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5D0210">
              <w:rPr>
                <w:rFonts w:eastAsia="Times New Roman" w:cs="Calibri"/>
                <w:sz w:val="16"/>
                <w:szCs w:val="16"/>
              </w:rPr>
              <w:t>Withdrawal and craving were reduced because of nicotine versus placebo e</w:t>
            </w:r>
            <w:r w:rsidRPr="005D0210">
              <w:rPr>
                <w:rFonts w:eastAsia="Times New Roman" w:cs="Calibri"/>
                <w:sz w:val="16"/>
                <w:szCs w:val="16"/>
              </w:rPr>
              <w:noBreakHyphen/>
              <w:t>cigarette use (both p&lt;.05).</w:t>
            </w:r>
            <w:r w:rsidRPr="005D0210">
              <w:rPr>
                <w:rFonts w:eastAsia="Times New Roman" w:cs="Calibri"/>
                <w:sz w:val="16"/>
                <w:szCs w:val="16"/>
              </w:rPr>
              <w:br/>
              <w:t>Number of days quit did not differ between groups and neither did ad libitum e</w:t>
            </w:r>
            <w:r w:rsidRPr="005D0210">
              <w:rPr>
                <w:rFonts w:eastAsia="Times New Roman" w:cs="Calibri"/>
                <w:sz w:val="16"/>
                <w:szCs w:val="16"/>
              </w:rPr>
              <w:noBreakHyphen/>
              <w:t>cigarette use.</w:t>
            </w:r>
          </w:p>
        </w:tc>
        <w:tc>
          <w:tcPr>
            <w:tcW w:w="2307" w:type="dxa"/>
            <w:hideMark/>
          </w:tcPr>
          <w:p w14:paraId="775A88C4"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5D0210">
              <w:rPr>
                <w:rFonts w:eastAsia="Times New Roman" w:cs="Calibri"/>
                <w:sz w:val="16"/>
                <w:szCs w:val="16"/>
              </w:rPr>
              <w:t>There was no difference in number of quit days between e</w:t>
            </w:r>
            <w:r w:rsidRPr="005D0210">
              <w:rPr>
                <w:rFonts w:eastAsia="Times New Roman" w:cs="Calibri"/>
                <w:sz w:val="16"/>
                <w:szCs w:val="16"/>
              </w:rPr>
              <w:noBreakHyphen/>
              <w:t>cigarette + nicotine vs nicotine</w:t>
            </w:r>
            <w:r w:rsidRPr="005D0210">
              <w:rPr>
                <w:rFonts w:eastAsia="Times New Roman" w:cs="Calibri"/>
                <w:sz w:val="16"/>
                <w:szCs w:val="16"/>
              </w:rPr>
              <w:noBreakHyphen/>
              <w:t>free e</w:t>
            </w:r>
            <w:r w:rsidRPr="005D0210">
              <w:rPr>
                <w:rFonts w:eastAsia="Times New Roman" w:cs="Calibri"/>
                <w:sz w:val="16"/>
                <w:szCs w:val="16"/>
              </w:rPr>
              <w:noBreakHyphen/>
              <w:t xml:space="preserve">cigarette (2.9 ± 0.3 vs. 2.3 ± 0.3), t(82)=1.6, </w:t>
            </w:r>
            <w:r w:rsidRPr="005D0210">
              <w:rPr>
                <w:rFonts w:eastAsia="Times New Roman" w:cs="Calibri"/>
                <w:iCs/>
                <w:sz w:val="16"/>
                <w:szCs w:val="16"/>
              </w:rPr>
              <w:t>ns</w:t>
            </w:r>
            <w:r w:rsidRPr="005D0210">
              <w:rPr>
                <w:rFonts w:eastAsia="Times New Roman" w:cs="Calibri"/>
                <w:sz w:val="16"/>
                <w:szCs w:val="16"/>
              </w:rPr>
              <w:t>.</w:t>
            </w:r>
          </w:p>
        </w:tc>
        <w:tc>
          <w:tcPr>
            <w:tcW w:w="2743" w:type="dxa"/>
            <w:vMerge/>
            <w:hideMark/>
          </w:tcPr>
          <w:p w14:paraId="673DCE86"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Calibri"/>
                <w:iCs/>
                <w:sz w:val="16"/>
                <w:szCs w:val="16"/>
              </w:rPr>
            </w:pPr>
          </w:p>
        </w:tc>
      </w:tr>
      <w:tr w:rsidR="00781923" w:rsidRPr="005D0210" w14:paraId="07E58D79" w14:textId="77777777" w:rsidTr="004E728C">
        <w:trPr>
          <w:trHeight w:val="362"/>
        </w:trPr>
        <w:tc>
          <w:tcPr>
            <w:cnfStyle w:val="001000000000" w:firstRow="0" w:lastRow="0" w:firstColumn="1" w:lastColumn="0" w:oddVBand="0" w:evenVBand="0" w:oddHBand="0" w:evenHBand="0" w:firstRowFirstColumn="0" w:firstRowLastColumn="0" w:lastRowFirstColumn="0" w:lastRowLastColumn="0"/>
            <w:tcW w:w="1835" w:type="dxa"/>
          </w:tcPr>
          <w:p w14:paraId="3C4CF0E3" w14:textId="77777777" w:rsidR="00781923" w:rsidRPr="005D0210" w:rsidRDefault="00781923" w:rsidP="004E728C">
            <w:pPr>
              <w:rPr>
                <w:rFonts w:cs="Calibri"/>
                <w:sz w:val="16"/>
                <w:szCs w:val="16"/>
              </w:rPr>
            </w:pPr>
            <w:r w:rsidRPr="005D0210">
              <w:rPr>
                <w:rFonts w:eastAsia="Times New Roman" w:cs="Calibri"/>
                <w:sz w:val="16"/>
                <w:szCs w:val="16"/>
              </w:rPr>
              <w:t>Rohsenow 2018</w:t>
            </w:r>
          </w:p>
        </w:tc>
        <w:tc>
          <w:tcPr>
            <w:tcW w:w="2778" w:type="dxa"/>
            <w:gridSpan w:val="2"/>
          </w:tcPr>
          <w:p w14:paraId="6EC1F7AC"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5D0210">
              <w:rPr>
                <w:rFonts w:eastAsia="Times New Roman" w:cs="Calibri"/>
                <w:iCs/>
                <w:sz w:val="16"/>
                <w:szCs w:val="16"/>
              </w:rPr>
              <w:t>Non</w:t>
            </w:r>
            <w:r w:rsidRPr="005D0210">
              <w:rPr>
                <w:rFonts w:eastAsia="Times New Roman" w:cs="Calibri"/>
                <w:iCs/>
                <w:sz w:val="16"/>
                <w:szCs w:val="16"/>
              </w:rPr>
              <w:noBreakHyphen/>
              <w:t>treatment seeking daily smokers (n=18) were given free e</w:t>
            </w:r>
            <w:r w:rsidRPr="005D0210">
              <w:rPr>
                <w:rFonts w:eastAsia="Times New Roman" w:cs="Calibri"/>
                <w:iCs/>
                <w:sz w:val="16"/>
                <w:szCs w:val="16"/>
              </w:rPr>
              <w:noBreakHyphen/>
              <w:t>cigarettes and instructed to use them instead of smoking cigarettes for 6 weeks.</w:t>
            </w:r>
            <w:r w:rsidRPr="005D0210">
              <w:rPr>
                <w:rFonts w:eastAsia="Times New Roman" w:cs="Calibri"/>
                <w:iCs/>
                <w:sz w:val="16"/>
                <w:szCs w:val="16"/>
              </w:rPr>
              <w:br/>
            </w:r>
          </w:p>
        </w:tc>
        <w:tc>
          <w:tcPr>
            <w:tcW w:w="2288" w:type="dxa"/>
          </w:tcPr>
          <w:p w14:paraId="22477F11"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5D0210">
              <w:rPr>
                <w:rFonts w:eastAsia="Times New Roman" w:cs="Calibri"/>
                <w:iCs/>
                <w:sz w:val="16"/>
                <w:szCs w:val="16"/>
              </w:rPr>
              <w:t>Smokers were assessed at baseline, weekly for 6 weeks, and at 8 and 10 weeks for cigarettes/day, e</w:t>
            </w:r>
            <w:r w:rsidRPr="005D0210">
              <w:rPr>
                <w:rFonts w:eastAsia="Times New Roman" w:cs="Calibri"/>
                <w:iCs/>
                <w:sz w:val="16"/>
                <w:szCs w:val="16"/>
              </w:rPr>
              <w:noBreakHyphen/>
              <w:t>cigarette use, CO, cigarette dependence, and Contemplation Ladder.</w:t>
            </w:r>
          </w:p>
        </w:tc>
        <w:tc>
          <w:tcPr>
            <w:tcW w:w="3729" w:type="dxa"/>
          </w:tcPr>
          <w:p w14:paraId="2BE27323"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5D0210">
              <w:rPr>
                <w:rFonts w:eastAsia="Times New Roman" w:cs="Calibri"/>
                <w:iCs/>
                <w:sz w:val="16"/>
                <w:szCs w:val="16"/>
              </w:rPr>
              <w:t>Cigarette dependence scores were a third lower at Weeks 6 (p&lt;0.002) and 10 (p&lt;0.001) than at baseline. Contemplation Ladder scores were higher at Weeks 6 and 10 (p's&lt;0.001) than at baseline. All these statistical effect sizes were large. At Week 6, number of reasons not to use e</w:t>
            </w:r>
            <w:r w:rsidRPr="005D0210">
              <w:rPr>
                <w:rFonts w:eastAsia="Times New Roman" w:cs="Calibri"/>
                <w:iCs/>
                <w:sz w:val="16"/>
                <w:szCs w:val="16"/>
              </w:rPr>
              <w:noBreakHyphen/>
              <w:t>cigarettes increased (p&lt;0.011).</w:t>
            </w:r>
          </w:p>
        </w:tc>
        <w:tc>
          <w:tcPr>
            <w:tcW w:w="2307" w:type="dxa"/>
          </w:tcPr>
          <w:p w14:paraId="2967D5E4"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5D0210">
              <w:rPr>
                <w:rFonts w:eastAsia="Times New Roman" w:cs="Calibri"/>
                <w:iCs/>
                <w:sz w:val="16"/>
                <w:szCs w:val="16"/>
              </w:rPr>
              <w:t>At Week 6, cigarettes/day were reduced by two</w:t>
            </w:r>
            <w:r w:rsidRPr="005D0210">
              <w:rPr>
                <w:rFonts w:eastAsia="Times New Roman" w:cs="Calibri"/>
                <w:iCs/>
                <w:sz w:val="16"/>
                <w:szCs w:val="16"/>
              </w:rPr>
              <w:noBreakHyphen/>
              <w:t>thirds and CO by 45% from baseline (p's&lt;0.001), with reductions maintained at Week 10 (p's&lt;0.005).</w:t>
            </w:r>
          </w:p>
        </w:tc>
        <w:tc>
          <w:tcPr>
            <w:tcW w:w="2743" w:type="dxa"/>
          </w:tcPr>
          <w:p w14:paraId="0F854CF2"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Calibri"/>
                <w:iCs/>
                <w:sz w:val="16"/>
                <w:szCs w:val="16"/>
              </w:rPr>
            </w:pPr>
            <w:r w:rsidRPr="005D0210">
              <w:rPr>
                <w:rFonts w:eastAsia="Times New Roman" w:cs="Calibri"/>
                <w:iCs/>
                <w:sz w:val="16"/>
                <w:szCs w:val="16"/>
              </w:rPr>
              <w:t>Results show preliminary evidence for beneficial effects of short</w:t>
            </w:r>
            <w:r w:rsidRPr="005D0210">
              <w:rPr>
                <w:rFonts w:eastAsia="Times New Roman" w:cs="Calibri"/>
                <w:iCs/>
                <w:sz w:val="16"/>
                <w:szCs w:val="16"/>
              </w:rPr>
              <w:noBreakHyphen/>
              <w:t>term switching to e</w:t>
            </w:r>
            <w:r w:rsidRPr="005D0210">
              <w:rPr>
                <w:rFonts w:eastAsia="Times New Roman" w:cs="Calibri"/>
                <w:iCs/>
                <w:sz w:val="16"/>
                <w:szCs w:val="16"/>
              </w:rPr>
              <w:noBreakHyphen/>
              <w:t>cigarettes by non</w:t>
            </w:r>
            <w:r w:rsidRPr="005D0210">
              <w:rPr>
                <w:rFonts w:eastAsia="Times New Roman" w:cs="Calibri"/>
                <w:iCs/>
                <w:sz w:val="16"/>
                <w:szCs w:val="16"/>
              </w:rPr>
              <w:noBreakHyphen/>
              <w:t>treatment seeking smokers in terms of reduced smoke toxicant exposure and cigarette dependence, and increased motivation to quit, all maintained at least 4 weeks after free e</w:t>
            </w:r>
            <w:r w:rsidRPr="005D0210">
              <w:rPr>
                <w:rFonts w:eastAsia="Times New Roman" w:cs="Calibri"/>
                <w:iCs/>
                <w:sz w:val="16"/>
                <w:szCs w:val="16"/>
              </w:rPr>
              <w:noBreakHyphen/>
              <w:t>cigarettes were no longer provided.</w:t>
            </w:r>
          </w:p>
        </w:tc>
      </w:tr>
      <w:tr w:rsidR="00781923" w:rsidRPr="005D0210" w14:paraId="78CF13DB" w14:textId="77777777" w:rsidTr="004E728C">
        <w:trPr>
          <w:cnfStyle w:val="000000100000" w:firstRow="0" w:lastRow="0" w:firstColumn="0" w:lastColumn="0" w:oddVBand="0" w:evenVBand="0" w:oddHBand="1" w:evenHBand="0" w:firstRowFirstColumn="0" w:firstRowLastColumn="0" w:lastRowFirstColumn="0" w:lastRowLastColumn="0"/>
          <w:trHeight w:val="951"/>
        </w:trPr>
        <w:tc>
          <w:tcPr>
            <w:cnfStyle w:val="001000000000" w:firstRow="0" w:lastRow="0" w:firstColumn="1" w:lastColumn="0" w:oddVBand="0" w:evenVBand="0" w:oddHBand="0" w:evenHBand="0" w:firstRowFirstColumn="0" w:firstRowLastColumn="0" w:lastRowFirstColumn="0" w:lastRowLastColumn="0"/>
            <w:tcW w:w="1835" w:type="dxa"/>
          </w:tcPr>
          <w:p w14:paraId="0C711F38" w14:textId="77777777" w:rsidR="00781923" w:rsidRPr="005D0210" w:rsidRDefault="00781923" w:rsidP="004E728C">
            <w:pPr>
              <w:rPr>
                <w:rFonts w:cs="Calibri"/>
                <w:sz w:val="16"/>
                <w:szCs w:val="16"/>
              </w:rPr>
            </w:pPr>
            <w:r w:rsidRPr="005D0210">
              <w:rPr>
                <w:rFonts w:cs="Calibri"/>
                <w:sz w:val="16"/>
                <w:szCs w:val="16"/>
              </w:rPr>
              <w:t>Ruther 2018</w:t>
            </w:r>
          </w:p>
        </w:tc>
        <w:tc>
          <w:tcPr>
            <w:tcW w:w="1397" w:type="dxa"/>
          </w:tcPr>
          <w:p w14:paraId="6AC76D06" w14:textId="648D204A"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5D0210">
              <w:rPr>
                <w:rFonts w:cs="Calibri"/>
                <w:sz w:val="16"/>
                <w:szCs w:val="16"/>
              </w:rPr>
              <w:t>Abstained from nicotine for &gt;12hrs (confirmed with CO test) then given tobacco cigarette</w:t>
            </w:r>
            <w:r w:rsidR="007D18D8">
              <w:rPr>
                <w:rFonts w:cs="Calibri"/>
                <w:sz w:val="16"/>
                <w:szCs w:val="16"/>
              </w:rPr>
              <w:t>.</w:t>
            </w:r>
          </w:p>
        </w:tc>
        <w:tc>
          <w:tcPr>
            <w:tcW w:w="1381" w:type="dxa"/>
          </w:tcPr>
          <w:p w14:paraId="7FAE7C88"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5D0210">
              <w:rPr>
                <w:rFonts w:cs="Calibri"/>
                <w:sz w:val="16"/>
                <w:szCs w:val="16"/>
              </w:rPr>
              <w:t>Abstained from nicotine for &gt;12hrs (confirmed with CO test) then given either a tank model e</w:t>
            </w:r>
            <w:r w:rsidRPr="005D0210">
              <w:rPr>
                <w:rFonts w:cs="Calibri"/>
                <w:sz w:val="16"/>
                <w:szCs w:val="16"/>
              </w:rPr>
              <w:noBreakHyphen/>
              <w:t xml:space="preserve">cigarette </w:t>
            </w:r>
            <w:r w:rsidRPr="005D0210">
              <w:rPr>
                <w:rFonts w:cs="Calibri"/>
                <w:sz w:val="16"/>
                <w:szCs w:val="16"/>
              </w:rPr>
              <w:lastRenderedPageBreak/>
              <w:t>or a cigalike e</w:t>
            </w:r>
            <w:r w:rsidRPr="005D0210">
              <w:rPr>
                <w:rFonts w:cs="Calibri"/>
                <w:sz w:val="16"/>
                <w:szCs w:val="16"/>
              </w:rPr>
              <w:noBreakHyphen/>
              <w:t>cigarette</w:t>
            </w:r>
          </w:p>
        </w:tc>
        <w:tc>
          <w:tcPr>
            <w:tcW w:w="2288" w:type="dxa"/>
          </w:tcPr>
          <w:p w14:paraId="63EC6943" w14:textId="63C7B38F"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5D0210">
              <w:rPr>
                <w:rFonts w:cs="Calibri"/>
                <w:sz w:val="16"/>
                <w:szCs w:val="16"/>
              </w:rPr>
              <w:lastRenderedPageBreak/>
              <w:t>Questionnaire on Smoking Urges</w:t>
            </w:r>
            <w:r w:rsidR="007D18D8">
              <w:rPr>
                <w:rFonts w:cs="Calibri"/>
                <w:sz w:val="16"/>
                <w:szCs w:val="16"/>
              </w:rPr>
              <w:t>.</w:t>
            </w:r>
          </w:p>
        </w:tc>
        <w:tc>
          <w:tcPr>
            <w:tcW w:w="3729" w:type="dxa"/>
          </w:tcPr>
          <w:p w14:paraId="7F8F12EA"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5D0210">
              <w:rPr>
                <w:rFonts w:cs="Calibri"/>
                <w:sz w:val="16"/>
                <w:szCs w:val="16"/>
              </w:rPr>
              <w:t>Smoking urges decreased significantly in the tobacco group and the tank model e</w:t>
            </w:r>
            <w:r w:rsidRPr="005D0210">
              <w:rPr>
                <w:rFonts w:cs="Calibri"/>
                <w:sz w:val="16"/>
                <w:szCs w:val="16"/>
              </w:rPr>
              <w:noBreakHyphen/>
              <w:t xml:space="preserve">cigarette group. </w:t>
            </w:r>
          </w:p>
        </w:tc>
        <w:tc>
          <w:tcPr>
            <w:tcW w:w="2307" w:type="dxa"/>
          </w:tcPr>
          <w:p w14:paraId="2ED5AA92"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5D0210">
              <w:rPr>
                <w:rFonts w:eastAsia="Times New Roman" w:cs="Calibri"/>
                <w:sz w:val="16"/>
                <w:szCs w:val="16"/>
              </w:rPr>
              <w:t>NR</w:t>
            </w:r>
          </w:p>
        </w:tc>
        <w:tc>
          <w:tcPr>
            <w:tcW w:w="2743" w:type="dxa"/>
          </w:tcPr>
          <w:p w14:paraId="55FD7DC7"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cs="Calibri"/>
                <w:iCs/>
                <w:sz w:val="16"/>
                <w:szCs w:val="16"/>
              </w:rPr>
            </w:pPr>
            <w:r w:rsidRPr="005D0210">
              <w:rPr>
                <w:rFonts w:cs="Calibri"/>
                <w:iCs/>
                <w:sz w:val="16"/>
                <w:szCs w:val="16"/>
              </w:rPr>
              <w:t>Withdrawal and craving for smoking decreased with the TM by the same amount as with the TC, even though less nicotine was delivered to the blood and considerably fewer side effects occurred.</w:t>
            </w:r>
          </w:p>
        </w:tc>
      </w:tr>
      <w:tr w:rsidR="00781923" w:rsidRPr="005D0210" w14:paraId="5266F00D" w14:textId="77777777" w:rsidTr="004E728C">
        <w:trPr>
          <w:trHeight w:val="1372"/>
        </w:trPr>
        <w:tc>
          <w:tcPr>
            <w:cnfStyle w:val="001000000000" w:firstRow="0" w:lastRow="0" w:firstColumn="1" w:lastColumn="0" w:oddVBand="0" w:evenVBand="0" w:oddHBand="0" w:evenHBand="0" w:firstRowFirstColumn="0" w:firstRowLastColumn="0" w:lastRowFirstColumn="0" w:lastRowLastColumn="0"/>
            <w:tcW w:w="1835" w:type="dxa"/>
          </w:tcPr>
          <w:p w14:paraId="3B39AD39" w14:textId="77777777" w:rsidR="00781923" w:rsidRPr="005D0210" w:rsidRDefault="00781923" w:rsidP="004E728C">
            <w:pPr>
              <w:rPr>
                <w:rFonts w:eastAsia="Times New Roman" w:cs="Calibri"/>
                <w:sz w:val="16"/>
                <w:szCs w:val="16"/>
              </w:rPr>
            </w:pPr>
            <w:r w:rsidRPr="005D0210">
              <w:rPr>
                <w:rFonts w:cs="Calibri"/>
                <w:sz w:val="16"/>
                <w:szCs w:val="16"/>
              </w:rPr>
              <w:t>Tucker 2017</w:t>
            </w:r>
          </w:p>
        </w:tc>
        <w:tc>
          <w:tcPr>
            <w:tcW w:w="1397" w:type="dxa"/>
            <w:hideMark/>
          </w:tcPr>
          <w:p w14:paraId="2EB73681"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5D0210">
              <w:rPr>
                <w:rFonts w:eastAsia="Times New Roman" w:cs="Calibri"/>
                <w:sz w:val="16"/>
                <w:szCs w:val="16"/>
              </w:rPr>
              <w:t>Given e</w:t>
            </w:r>
            <w:r w:rsidRPr="005D0210">
              <w:rPr>
                <w:rFonts w:eastAsia="Times New Roman" w:cs="Calibri"/>
                <w:sz w:val="16"/>
                <w:szCs w:val="16"/>
              </w:rPr>
              <w:noBreakHyphen/>
              <w:t>cigarette with 0mg nicotine to use</w:t>
            </w:r>
            <w:r w:rsidRPr="005D0210">
              <w:rPr>
                <w:rFonts w:eastAsia="Times New Roman" w:cs="Calibri"/>
                <w:iCs/>
                <w:sz w:val="16"/>
                <w:szCs w:val="16"/>
              </w:rPr>
              <w:t xml:space="preserve"> ad libitum,</w:t>
            </w:r>
            <w:r w:rsidRPr="005D0210">
              <w:rPr>
                <w:rFonts w:eastAsia="Times New Roman" w:cs="Calibri"/>
                <w:sz w:val="16"/>
                <w:szCs w:val="16"/>
              </w:rPr>
              <w:t xml:space="preserve"> in attempt to substitute it for the regular cigarette, as much as possible. </w:t>
            </w:r>
          </w:p>
        </w:tc>
        <w:tc>
          <w:tcPr>
            <w:tcW w:w="1381" w:type="dxa"/>
            <w:hideMark/>
          </w:tcPr>
          <w:p w14:paraId="45B2C1B0"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5D0210">
              <w:rPr>
                <w:rFonts w:eastAsia="Times New Roman" w:cs="Calibri"/>
                <w:sz w:val="16"/>
                <w:szCs w:val="16"/>
              </w:rPr>
              <w:t>Given e</w:t>
            </w:r>
            <w:r w:rsidRPr="005D0210">
              <w:rPr>
                <w:rFonts w:eastAsia="Times New Roman" w:cs="Calibri"/>
                <w:sz w:val="16"/>
                <w:szCs w:val="16"/>
              </w:rPr>
              <w:noBreakHyphen/>
              <w:t>cigarette with 6, 12, 18mg nicotine to use</w:t>
            </w:r>
            <w:r w:rsidRPr="005D0210">
              <w:rPr>
                <w:rFonts w:eastAsia="Times New Roman" w:cs="Calibri"/>
                <w:iCs/>
                <w:sz w:val="16"/>
                <w:szCs w:val="16"/>
              </w:rPr>
              <w:t xml:space="preserve"> ad libitum,</w:t>
            </w:r>
            <w:r w:rsidRPr="005D0210">
              <w:rPr>
                <w:rFonts w:eastAsia="Times New Roman" w:cs="Calibri"/>
                <w:sz w:val="16"/>
                <w:szCs w:val="16"/>
              </w:rPr>
              <w:t xml:space="preserve"> in attempt to substitute it for the regular cigarette, as much as possible. </w:t>
            </w:r>
          </w:p>
        </w:tc>
        <w:tc>
          <w:tcPr>
            <w:tcW w:w="2288" w:type="dxa"/>
            <w:hideMark/>
          </w:tcPr>
          <w:p w14:paraId="75BD5A12"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5D0210">
              <w:rPr>
                <w:rFonts w:eastAsia="Times New Roman" w:cs="Calibri"/>
                <w:sz w:val="16"/>
                <w:szCs w:val="16"/>
              </w:rPr>
              <w:t>Reported daily cigarette and e</w:t>
            </w:r>
            <w:r w:rsidRPr="005D0210">
              <w:rPr>
                <w:rFonts w:eastAsia="Times New Roman" w:cs="Calibri"/>
                <w:sz w:val="16"/>
                <w:szCs w:val="16"/>
              </w:rPr>
              <w:noBreakHyphen/>
              <w:t xml:space="preserve">cigarette use using SMS text messages. </w:t>
            </w:r>
          </w:p>
        </w:tc>
        <w:tc>
          <w:tcPr>
            <w:tcW w:w="3729" w:type="dxa"/>
            <w:hideMark/>
          </w:tcPr>
          <w:p w14:paraId="7C355C45"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Calibri"/>
                <w:iCs/>
                <w:sz w:val="16"/>
                <w:szCs w:val="16"/>
              </w:rPr>
            </w:pPr>
            <w:r w:rsidRPr="005D0210">
              <w:rPr>
                <w:rFonts w:eastAsia="Times New Roman" w:cs="Calibri"/>
                <w:iCs/>
                <w:sz w:val="16"/>
                <w:szCs w:val="16"/>
              </w:rPr>
              <w:t>Mean cigarettes per day decreased from 9.69 (SD=5.07) at baseline to 6.09 (SD=4.18) when e</w:t>
            </w:r>
            <w:r w:rsidRPr="005D0210">
              <w:rPr>
                <w:rFonts w:eastAsia="Times New Roman" w:cs="Calibri"/>
                <w:iCs/>
                <w:sz w:val="16"/>
                <w:szCs w:val="16"/>
              </w:rPr>
              <w:noBreakHyphen/>
              <w:t>cigarettes were available [t(62)=2.751, p=0.008, d=0.77]; a 37% reduction. The mixed model analysis confirmed a significant effect of e</w:t>
            </w:r>
            <w:r w:rsidRPr="005D0210">
              <w:rPr>
                <w:rFonts w:eastAsia="Times New Roman" w:cs="Calibri"/>
                <w:iCs/>
                <w:sz w:val="16"/>
                <w:szCs w:val="16"/>
              </w:rPr>
              <w:noBreakHyphen/>
              <w:t>cigarette nicotine [F (3, 59.846)=2.952, p=0.040] on cigarettes smoked per day</w:t>
            </w:r>
          </w:p>
        </w:tc>
        <w:tc>
          <w:tcPr>
            <w:tcW w:w="2307" w:type="dxa"/>
            <w:hideMark/>
          </w:tcPr>
          <w:p w14:paraId="2621CD76"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5D0210">
              <w:rPr>
                <w:rFonts w:eastAsia="Times New Roman" w:cs="Calibri"/>
                <w:sz w:val="16"/>
                <w:szCs w:val="16"/>
              </w:rPr>
              <w:t>As per smoking outcome results</w:t>
            </w:r>
          </w:p>
        </w:tc>
        <w:tc>
          <w:tcPr>
            <w:tcW w:w="2743" w:type="dxa"/>
            <w:hideMark/>
          </w:tcPr>
          <w:p w14:paraId="79D3EE39" w14:textId="77777777" w:rsidR="00781923" w:rsidRPr="005D0210" w:rsidRDefault="00781923" w:rsidP="004E728C">
            <w:pPr>
              <w:cnfStyle w:val="000000000000" w:firstRow="0" w:lastRow="0" w:firstColumn="0" w:lastColumn="0" w:oddVBand="0" w:evenVBand="0" w:oddHBand="0" w:evenHBand="0" w:firstRowFirstColumn="0" w:firstRowLastColumn="0" w:lastRowFirstColumn="0" w:lastRowLastColumn="0"/>
              <w:rPr>
                <w:rFonts w:eastAsia="Times New Roman" w:cs="Calibri"/>
                <w:iCs/>
                <w:sz w:val="16"/>
                <w:szCs w:val="16"/>
              </w:rPr>
            </w:pPr>
            <w:r w:rsidRPr="005D0210">
              <w:rPr>
                <w:rFonts w:eastAsia="Times New Roman" w:cs="Calibri"/>
                <w:iCs/>
                <w:sz w:val="16"/>
                <w:szCs w:val="16"/>
              </w:rPr>
              <w:t>Availability of e</w:t>
            </w:r>
            <w:r w:rsidRPr="005D0210">
              <w:rPr>
                <w:rFonts w:eastAsia="Times New Roman" w:cs="Calibri"/>
                <w:iCs/>
                <w:sz w:val="16"/>
                <w:szCs w:val="16"/>
              </w:rPr>
              <w:noBreakHyphen/>
              <w:t>cigarettes reduced cigarette smoking behavior regardless of nicotine content, and e</w:t>
            </w:r>
            <w:r w:rsidRPr="005D0210">
              <w:rPr>
                <w:rFonts w:eastAsia="Times New Roman" w:cs="Calibri"/>
                <w:iCs/>
                <w:sz w:val="16"/>
                <w:szCs w:val="16"/>
              </w:rPr>
              <w:noBreakHyphen/>
              <w:t>cigarette use was greater with nicotine</w:t>
            </w:r>
            <w:r w:rsidRPr="005D0210">
              <w:rPr>
                <w:rFonts w:eastAsia="Times New Roman" w:cs="Calibri"/>
                <w:iCs/>
                <w:sz w:val="16"/>
                <w:szCs w:val="16"/>
              </w:rPr>
              <w:noBreakHyphen/>
              <w:t>containing cartridges.</w:t>
            </w:r>
          </w:p>
        </w:tc>
      </w:tr>
      <w:tr w:rsidR="00781923" w:rsidRPr="005D0210" w14:paraId="4C5A9A21" w14:textId="77777777" w:rsidTr="004E728C">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1835" w:type="dxa"/>
          </w:tcPr>
          <w:p w14:paraId="5213F990" w14:textId="77777777" w:rsidR="00781923" w:rsidRPr="005D0210" w:rsidRDefault="00781923" w:rsidP="004E728C">
            <w:pPr>
              <w:rPr>
                <w:rFonts w:eastAsia="Times New Roman" w:cs="Calibri"/>
                <w:sz w:val="16"/>
                <w:szCs w:val="16"/>
              </w:rPr>
            </w:pPr>
            <w:r w:rsidRPr="005D0210">
              <w:rPr>
                <w:rFonts w:cs="Calibri"/>
                <w:sz w:val="16"/>
                <w:szCs w:val="16"/>
              </w:rPr>
              <w:t>Van Heel 2017</w:t>
            </w:r>
          </w:p>
        </w:tc>
        <w:tc>
          <w:tcPr>
            <w:tcW w:w="1397" w:type="dxa"/>
            <w:hideMark/>
          </w:tcPr>
          <w:p w14:paraId="6359F728"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5D0210">
              <w:rPr>
                <w:rFonts w:eastAsia="Times New Roman" w:cs="Calibri"/>
                <w:sz w:val="16"/>
                <w:szCs w:val="16"/>
              </w:rPr>
              <w:t>12h of smoking abstinence, then a 5 minute lab</w:t>
            </w:r>
            <w:r w:rsidRPr="005D0210">
              <w:rPr>
                <w:rFonts w:eastAsia="Times New Roman" w:cs="Calibri"/>
                <w:sz w:val="16"/>
                <w:szCs w:val="16"/>
              </w:rPr>
              <w:noBreakHyphen/>
              <w:t>based vaping session using 0% nicotine, 'bad apple' or 'tobacco regular' flavoured e</w:t>
            </w:r>
            <w:r w:rsidRPr="005D0210">
              <w:rPr>
                <w:rFonts w:eastAsia="Times New Roman" w:cs="Calibri"/>
                <w:sz w:val="16"/>
                <w:szCs w:val="16"/>
              </w:rPr>
              <w:noBreakHyphen/>
              <w:t>cigarettes with or without a blindfold, either holding the e</w:t>
            </w:r>
            <w:r w:rsidRPr="005D0210">
              <w:rPr>
                <w:rFonts w:eastAsia="Times New Roman" w:cs="Calibri"/>
                <w:sz w:val="16"/>
                <w:szCs w:val="16"/>
              </w:rPr>
              <w:noBreakHyphen/>
              <w:t>cigarette or vaping using a stand.</w:t>
            </w:r>
          </w:p>
        </w:tc>
        <w:tc>
          <w:tcPr>
            <w:tcW w:w="1381" w:type="dxa"/>
            <w:hideMark/>
          </w:tcPr>
          <w:p w14:paraId="0D6B9E50"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5D0210">
              <w:rPr>
                <w:rFonts w:eastAsia="Times New Roman" w:cs="Calibri"/>
                <w:sz w:val="16"/>
                <w:szCs w:val="16"/>
              </w:rPr>
              <w:t>12h of smoking abstinence, then a 5 minute lab</w:t>
            </w:r>
            <w:r w:rsidRPr="005D0210">
              <w:rPr>
                <w:rFonts w:eastAsia="Times New Roman" w:cs="Calibri"/>
                <w:sz w:val="16"/>
                <w:szCs w:val="16"/>
              </w:rPr>
              <w:noBreakHyphen/>
              <w:t>based vaping session using 3.6% nicotine, 'bad apple' or 'tobacco regular' flavoured e</w:t>
            </w:r>
            <w:r w:rsidRPr="005D0210">
              <w:rPr>
                <w:rFonts w:eastAsia="Times New Roman" w:cs="Calibri"/>
                <w:sz w:val="16"/>
                <w:szCs w:val="16"/>
              </w:rPr>
              <w:noBreakHyphen/>
              <w:t>cigarettes with or without a blindfold, either holding the e</w:t>
            </w:r>
            <w:r w:rsidRPr="005D0210">
              <w:rPr>
                <w:rFonts w:eastAsia="Times New Roman" w:cs="Calibri"/>
                <w:sz w:val="16"/>
                <w:szCs w:val="16"/>
              </w:rPr>
              <w:noBreakHyphen/>
              <w:t>cigarette or vaping using a stand.</w:t>
            </w:r>
          </w:p>
        </w:tc>
        <w:tc>
          <w:tcPr>
            <w:tcW w:w="2288" w:type="dxa"/>
            <w:hideMark/>
          </w:tcPr>
          <w:p w14:paraId="74A5224D" w14:textId="055E3425"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5D0210">
              <w:rPr>
                <w:rFonts w:eastAsia="Times New Roman" w:cs="Calibri"/>
                <w:sz w:val="16"/>
                <w:szCs w:val="16"/>
              </w:rPr>
              <w:t>Measured cravings for tobacco cigarette and e</w:t>
            </w:r>
            <w:r w:rsidRPr="005D0210">
              <w:rPr>
                <w:rFonts w:eastAsia="Times New Roman" w:cs="Calibri"/>
                <w:sz w:val="16"/>
                <w:szCs w:val="16"/>
              </w:rPr>
              <w:noBreakHyphen/>
              <w:t>cigarette, perceptions of e</w:t>
            </w:r>
            <w:r w:rsidRPr="005D0210">
              <w:rPr>
                <w:rFonts w:eastAsia="Times New Roman" w:cs="Calibri"/>
                <w:sz w:val="16"/>
                <w:szCs w:val="16"/>
              </w:rPr>
              <w:noBreakHyphen/>
              <w:t>cigarettes</w:t>
            </w:r>
            <w:r w:rsidR="007D18D8">
              <w:rPr>
                <w:rFonts w:eastAsia="Times New Roman" w:cs="Calibri"/>
                <w:sz w:val="16"/>
                <w:szCs w:val="16"/>
              </w:rPr>
              <w:t>.</w:t>
            </w:r>
          </w:p>
        </w:tc>
        <w:tc>
          <w:tcPr>
            <w:tcW w:w="3729" w:type="dxa"/>
            <w:hideMark/>
          </w:tcPr>
          <w:p w14:paraId="7E21C97F"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Calibri"/>
                <w:iCs/>
                <w:sz w:val="16"/>
                <w:szCs w:val="16"/>
              </w:rPr>
            </w:pPr>
            <w:r w:rsidRPr="005D0210">
              <w:rPr>
                <w:rFonts w:eastAsia="Times New Roman" w:cs="Calibri"/>
                <w:iCs/>
                <w:sz w:val="16"/>
                <w:szCs w:val="16"/>
              </w:rPr>
              <w:t>A mixed</w:t>
            </w:r>
            <w:r w:rsidRPr="005D0210">
              <w:rPr>
                <w:rFonts w:eastAsia="Times New Roman" w:cs="Calibri"/>
                <w:iCs/>
                <w:sz w:val="16"/>
                <w:szCs w:val="16"/>
              </w:rPr>
              <w:noBreakHyphen/>
              <w:t>effects model clearly showed the importance of nicotine in craving reduction. However, also non</w:t>
            </w:r>
            <w:r w:rsidRPr="005D0210">
              <w:rPr>
                <w:rFonts w:eastAsia="Times New Roman" w:cs="Calibri"/>
                <w:iCs/>
                <w:sz w:val="16"/>
                <w:szCs w:val="16"/>
              </w:rPr>
              <w:noBreakHyphen/>
              <w:t>nicotine factors, in particular the sensorimotor component, were shown to contribute to craving reduction. Handling cues interacted with the level (presence/absence) of nicotine: it was only when the standard hand</w:t>
            </w:r>
            <w:r w:rsidRPr="005D0210">
              <w:rPr>
                <w:rFonts w:eastAsia="Times New Roman" w:cs="Calibri"/>
                <w:iCs/>
                <w:sz w:val="16"/>
                <w:szCs w:val="16"/>
              </w:rPr>
              <w:noBreakHyphen/>
              <w:t>to</w:t>
            </w:r>
            <w:r w:rsidRPr="005D0210">
              <w:rPr>
                <w:rFonts w:eastAsia="Times New Roman" w:cs="Calibri"/>
                <w:iCs/>
                <w:sz w:val="16"/>
                <w:szCs w:val="16"/>
              </w:rPr>
              <w:noBreakHyphen/>
              <w:t>mouth action cues were omitted that the craving reducing effects of nicotine were observed.</w:t>
            </w:r>
            <w:r w:rsidRPr="005D0210">
              <w:rPr>
                <w:rFonts w:eastAsia="Times New Roman" w:cs="Calibri"/>
                <w:iCs/>
                <w:sz w:val="16"/>
                <w:szCs w:val="16"/>
              </w:rPr>
              <w:br/>
              <w:t>E</w:t>
            </w:r>
            <w:r w:rsidRPr="005D0210">
              <w:rPr>
                <w:rFonts w:eastAsia="Times New Roman" w:cs="Calibri"/>
                <w:iCs/>
                <w:sz w:val="16"/>
                <w:szCs w:val="16"/>
              </w:rPr>
              <w:noBreakHyphen/>
              <w:t>cigarette cravings: In the nicotine group, we observed a reduction of 5.57 TCQ points (p&lt;0.01), and, in the no</w:t>
            </w:r>
            <w:r w:rsidRPr="005D0210">
              <w:rPr>
                <w:rFonts w:eastAsia="Times New Roman" w:cs="Calibri"/>
                <w:iCs/>
                <w:sz w:val="16"/>
                <w:szCs w:val="16"/>
              </w:rPr>
              <w:noBreakHyphen/>
              <w:t>nicotine group, we observed a decline of 1.68 TCQ points that was non</w:t>
            </w:r>
            <w:r w:rsidRPr="005D0210">
              <w:rPr>
                <w:rFonts w:eastAsia="Times New Roman" w:cs="Calibri"/>
                <w:iCs/>
                <w:sz w:val="16"/>
                <w:szCs w:val="16"/>
              </w:rPr>
              <w:noBreakHyphen/>
              <w:t xml:space="preserve">significant. </w:t>
            </w:r>
            <w:r w:rsidRPr="005D0210">
              <w:rPr>
                <w:rFonts w:eastAsia="Times New Roman" w:cs="Calibri"/>
                <w:iCs/>
                <w:sz w:val="16"/>
                <w:szCs w:val="16"/>
              </w:rPr>
              <w:br/>
              <w:t>Tobacco cravings: reduced after e</w:t>
            </w:r>
            <w:r w:rsidRPr="005D0210">
              <w:rPr>
                <w:rFonts w:eastAsia="Times New Roman" w:cs="Calibri"/>
                <w:iCs/>
                <w:sz w:val="16"/>
                <w:szCs w:val="16"/>
              </w:rPr>
              <w:noBreakHyphen/>
              <w:t xml:space="preserve">cigarette use, reduced more after nicotine use. </w:t>
            </w:r>
          </w:p>
        </w:tc>
        <w:tc>
          <w:tcPr>
            <w:tcW w:w="2307" w:type="dxa"/>
            <w:hideMark/>
          </w:tcPr>
          <w:p w14:paraId="713C1222" w14:textId="3EAC3ADE"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Calibri"/>
                <w:iCs/>
                <w:sz w:val="16"/>
                <w:szCs w:val="16"/>
              </w:rPr>
            </w:pPr>
            <w:r w:rsidRPr="005D0210">
              <w:rPr>
                <w:rFonts w:eastAsia="Times New Roman" w:cs="Calibri"/>
                <w:iCs/>
                <w:sz w:val="16"/>
                <w:szCs w:val="16"/>
              </w:rPr>
              <w:t>Across Nicotine Level conditions, there was an overall effect of Measurement Moment (p&lt;0.01), implying a craving reduction for tobacco cigarettes of 5.51 points on the TCQ scale (p&lt;0.01). In addition, there was an interaction between Nicotine Level and Measurement Moment for tobacco cigarette craving (p&lt;0.01). In the nicotine group, we observed a reduction of 7.75 TCQ points (p&lt;0.01), and, in the no</w:t>
            </w:r>
            <w:r w:rsidRPr="005D0210">
              <w:rPr>
                <w:rFonts w:eastAsia="Times New Roman" w:cs="Calibri"/>
                <w:iCs/>
                <w:sz w:val="16"/>
                <w:szCs w:val="16"/>
              </w:rPr>
              <w:noBreakHyphen/>
              <w:t>nicotine group, we observed a decline of 3.34 TCQ points (p&lt;0.01)</w:t>
            </w:r>
            <w:r w:rsidR="007D18D8">
              <w:rPr>
                <w:rFonts w:eastAsia="Times New Roman" w:cs="Calibri"/>
                <w:iCs/>
                <w:sz w:val="16"/>
                <w:szCs w:val="16"/>
              </w:rPr>
              <w:t>.</w:t>
            </w:r>
          </w:p>
        </w:tc>
        <w:tc>
          <w:tcPr>
            <w:tcW w:w="2743" w:type="dxa"/>
            <w:hideMark/>
          </w:tcPr>
          <w:p w14:paraId="28908C14" w14:textId="77777777" w:rsidR="00781923" w:rsidRPr="005D0210" w:rsidRDefault="00781923" w:rsidP="004E728C">
            <w:pPr>
              <w:cnfStyle w:val="000000100000" w:firstRow="0" w:lastRow="0" w:firstColumn="0" w:lastColumn="0" w:oddVBand="0" w:evenVBand="0" w:oddHBand="1" w:evenHBand="0" w:firstRowFirstColumn="0" w:firstRowLastColumn="0" w:lastRowFirstColumn="0" w:lastRowLastColumn="0"/>
              <w:rPr>
                <w:rFonts w:eastAsia="Times New Roman" w:cs="Calibri"/>
                <w:iCs/>
                <w:sz w:val="16"/>
                <w:szCs w:val="16"/>
              </w:rPr>
            </w:pPr>
            <w:r w:rsidRPr="005D0210">
              <w:rPr>
                <w:rFonts w:eastAsia="Times New Roman" w:cs="Calibri"/>
                <w:iCs/>
                <w:sz w:val="16"/>
                <w:szCs w:val="16"/>
              </w:rPr>
              <w:t>Our findings indicate that nicotine is an important variable in craving reduction. However, we also observed reliable craving reduction when the e</w:t>
            </w:r>
            <w:r w:rsidRPr="005D0210">
              <w:rPr>
                <w:rFonts w:eastAsia="Times New Roman" w:cs="Calibri"/>
                <w:iCs/>
                <w:sz w:val="16"/>
                <w:szCs w:val="16"/>
              </w:rPr>
              <w:noBreakHyphen/>
              <w:t>cigarette contained no nicotine, be it to a lesser degree than with nicotine. For one thing, this clearly demonstrates that the non</w:t>
            </w:r>
            <w:r w:rsidRPr="005D0210">
              <w:rPr>
                <w:rFonts w:eastAsia="Times New Roman" w:cs="Calibri"/>
                <w:iCs/>
                <w:sz w:val="16"/>
                <w:szCs w:val="16"/>
              </w:rPr>
              <w:noBreakHyphen/>
              <w:t>nicotine CSs that are present when using an e</w:t>
            </w:r>
            <w:r w:rsidRPr="005D0210">
              <w:rPr>
                <w:rFonts w:eastAsia="Times New Roman" w:cs="Calibri"/>
                <w:iCs/>
                <w:sz w:val="16"/>
                <w:szCs w:val="16"/>
              </w:rPr>
              <w:noBreakHyphen/>
              <w:t xml:space="preserve">cigarette do contribute to craving reduction. </w:t>
            </w:r>
          </w:p>
        </w:tc>
      </w:tr>
    </w:tbl>
    <w:p w14:paraId="4AD7CD0A" w14:textId="77777777" w:rsidR="00781923" w:rsidRPr="005D0210" w:rsidRDefault="00781923" w:rsidP="00781923">
      <w:pPr>
        <w:pStyle w:val="Caption"/>
      </w:pPr>
    </w:p>
    <w:p w14:paraId="53E1C56F" w14:textId="77777777" w:rsidR="00866396" w:rsidRPr="005D0210" w:rsidRDefault="00866396" w:rsidP="00866396">
      <w:pPr>
        <w:pStyle w:val="BodyText"/>
      </w:pPr>
    </w:p>
    <w:p w14:paraId="17601422" w14:textId="77777777" w:rsidR="00866396" w:rsidRPr="005D0210" w:rsidRDefault="00866396" w:rsidP="00866396">
      <w:pPr>
        <w:pStyle w:val="BodyText"/>
        <w:sectPr w:rsidR="00866396" w:rsidRPr="005D0210" w:rsidSect="00866396">
          <w:pgSz w:w="16838" w:h="11906" w:orient="landscape" w:code="9"/>
          <w:pgMar w:top="720" w:right="720" w:bottom="720" w:left="720" w:header="510" w:footer="624" w:gutter="0"/>
          <w:cols w:space="850"/>
          <w:docGrid w:linePitch="360"/>
        </w:sectPr>
      </w:pPr>
    </w:p>
    <w:bookmarkStart w:id="154" w:name="_Toc517706690" w:displacedByCustomXml="next"/>
    <w:sdt>
      <w:sdtPr>
        <w:rPr>
          <w:b w:val="0"/>
          <w:color w:val="000000"/>
          <w:sz w:val="24"/>
        </w:rPr>
        <w:id w:val="436496737"/>
        <w:docPartObj>
          <w:docPartGallery w:val="Cover Pages"/>
          <w:docPartUnique/>
        </w:docPartObj>
      </w:sdtPr>
      <w:sdtEndPr/>
      <w:sdtContent>
        <w:p w14:paraId="5BF129E7" w14:textId="77777777" w:rsidR="00637800" w:rsidRPr="008F64BD" w:rsidRDefault="00737D53" w:rsidP="0013396C">
          <w:pPr>
            <w:pStyle w:val="PartTitle"/>
          </w:pPr>
          <w:r>
            <w:t>PART</w:t>
          </w:r>
          <w:r w:rsidR="00637800">
            <w:t xml:space="preserve"> 3: Impact on health of e-cigarettes and personal vaporisers</w:t>
          </w:r>
          <w:r w:rsidR="00637800" w:rsidRPr="008F64BD">
            <w:t xml:space="preserve"> </w:t>
          </w:r>
          <w:r w:rsidR="00637800">
            <w:t xml:space="preserve">in countries where they </w:t>
          </w:r>
          <w:r w:rsidR="00A53F7E">
            <w:t xml:space="preserve">have </w:t>
          </w:r>
          <w:r w:rsidR="00637800">
            <w:t>been allowed</w:t>
          </w:r>
          <w:bookmarkEnd w:id="154"/>
          <w:r w:rsidR="00637800">
            <w:t xml:space="preserve"> </w:t>
          </w:r>
        </w:p>
        <w:p w14:paraId="4DE15CAE" w14:textId="77777777" w:rsidR="00637800" w:rsidRDefault="00637800" w:rsidP="00637800">
          <w:pPr>
            <w:pStyle w:val="BodyText"/>
          </w:pPr>
        </w:p>
        <w:p w14:paraId="59AD7047" w14:textId="77777777" w:rsidR="00637800" w:rsidRDefault="00637800" w:rsidP="00637800">
          <w:pPr>
            <w:pStyle w:val="BodyText"/>
          </w:pPr>
          <w:r>
            <w:br w:type="page"/>
          </w:r>
        </w:p>
      </w:sdtContent>
    </w:sdt>
    <w:p w14:paraId="6DB9314D" w14:textId="77777777" w:rsidR="00637800" w:rsidRDefault="00637800" w:rsidP="00637800">
      <w:pPr>
        <w:pStyle w:val="Heading1notnumbered"/>
      </w:pPr>
      <w:bookmarkStart w:id="155" w:name="_Toc514010116"/>
      <w:bookmarkStart w:id="156" w:name="_Toc517706691"/>
      <w:r>
        <w:lastRenderedPageBreak/>
        <w:t>Executive summary</w:t>
      </w:r>
      <w:bookmarkEnd w:id="155"/>
      <w:bookmarkEnd w:id="156"/>
    </w:p>
    <w:p w14:paraId="74A54B2F" w14:textId="6CA134A0" w:rsidR="00BE47DF" w:rsidRDefault="00BE47DF" w:rsidP="00BE47DF">
      <w:pPr>
        <w:pStyle w:val="BodyText"/>
      </w:pPr>
      <w:r>
        <w:t>A country-level impact of e</w:t>
      </w:r>
      <w:r>
        <w:noBreakHyphen/>
        <w:t xml:space="preserve">cigarettes would be suggested by a change in the trend in a health </w:t>
      </w:r>
      <w:r w:rsidR="00A056E1">
        <w:t xml:space="preserve">index </w:t>
      </w:r>
      <w:r>
        <w:t>(such as a mortality rate, or disease rate) from the trend that was present prior to the uptake of e</w:t>
      </w:r>
      <w:r>
        <w:noBreakHyphen/>
        <w:t>cigarettes, and that wasn’t explicable for other reasons.</w:t>
      </w:r>
      <w:r w:rsidRPr="004073C9">
        <w:t xml:space="preserve"> </w:t>
      </w:r>
    </w:p>
    <w:p w14:paraId="04423FCA" w14:textId="77777777" w:rsidR="00BE47DF" w:rsidRDefault="00BE47DF" w:rsidP="00BE47DF">
      <w:pPr>
        <w:pStyle w:val="BodyText"/>
      </w:pPr>
      <w:r>
        <w:t>The difficulty in demonstrating this is that the prevalence of use of e</w:t>
      </w:r>
      <w:r>
        <w:noBreakHyphen/>
        <w:t>cigarettes is low in all countries, diseases often have long latent periods (periods during which they are developing), and are often due to multiple factors combined.</w:t>
      </w:r>
    </w:p>
    <w:p w14:paraId="7C95E9A4" w14:textId="615EC9B8" w:rsidR="00BE47DF" w:rsidRDefault="00BE47DF" w:rsidP="00BE47DF">
      <w:pPr>
        <w:pStyle w:val="BodyText"/>
      </w:pPr>
      <w:r>
        <w:t>A country such as the US has a history of use of e</w:t>
      </w:r>
      <w:r>
        <w:noBreakHyphen/>
        <w:t xml:space="preserve">cigarettes of more than 10 years, and a good national health surveillance system. </w:t>
      </w:r>
      <w:r w:rsidR="00F632ED">
        <w:t xml:space="preserve">It also has a high global market share of e-cigarette use (estimated at 56% by 2015 </w:t>
      </w:r>
      <w:r w:rsidR="00F632ED">
        <w:fldChar w:fldCharType="begin"/>
      </w:r>
      <w:r w:rsidR="00F632ED">
        <w:instrText xml:space="preserve"> ADDIN EN.CITE &lt;EndNote&gt;&lt;Cite&gt;&lt;Author&gt;World Health Organization&lt;/Author&gt;&lt;Year&gt;2016&lt;/Year&gt;&lt;RecNum&gt;13026&lt;/RecNum&gt;&lt;DisplayText&gt;(World Health Organization 2016)&lt;/DisplayText&gt;&lt;record&gt;&lt;rec-number&gt;13026&lt;/rec-number&gt;&lt;foreign-keys&gt;&lt;key app="EN" db-id="5xv5w5t2bdxtxfezx02xtxdft5rz5ptvvt29" timestamp="1524018676"&gt;13026&lt;/key&gt;&lt;/foreign-keys&gt;&lt;ref-type name="Journal Article"&gt;17&lt;/ref-type&gt;&lt;contributors&gt;&lt;authors&gt;&lt;author&gt;World Health Organization,&lt;/author&gt;&lt;/authors&gt;&lt;/contributors&gt;&lt;titles&gt;&lt;title&gt;Electronic Nicotine Delivery Systems and Electronic Non-Nicotine Delivery Systems (ENDS/ENNDS)&lt;/title&gt;&lt;/titles&gt;&lt;dates&gt;&lt;year&gt;2016&lt;/year&gt;&lt;/dates&gt;&lt;urls&gt;&lt;/urls&gt;&lt;/record&gt;&lt;/Cite&gt;&lt;/EndNote&gt;</w:instrText>
      </w:r>
      <w:r w:rsidR="00F632ED">
        <w:fldChar w:fldCharType="separate"/>
      </w:r>
      <w:r w:rsidR="00F632ED">
        <w:rPr>
          <w:noProof/>
        </w:rPr>
        <w:t>(World Health Organization 2016)</w:t>
      </w:r>
      <w:r w:rsidR="00F632ED">
        <w:fldChar w:fldCharType="end"/>
      </w:r>
      <w:r w:rsidR="00F632ED">
        <w:t xml:space="preserve">). </w:t>
      </w:r>
      <w:r>
        <w:t xml:space="preserve">It is therefore </w:t>
      </w:r>
      <w:r w:rsidR="004769EC">
        <w:t xml:space="preserve">relevant </w:t>
      </w:r>
      <w:r>
        <w:t>to examine time trends of health indices for this country. There is no apparent change in the decreasing trend of age</w:t>
      </w:r>
      <w:r>
        <w:noBreakHyphen/>
        <w:t>adjusted Chronic Obstructive Pulmonary Disease deaths over the period of 2000</w:t>
      </w:r>
      <w:r>
        <w:noBreakHyphen/>
        <w:t>2014, and no change in the trend for no change in the prevalence of age</w:t>
      </w:r>
      <w:r>
        <w:noBreakHyphen/>
        <w:t>adjusted hypertension from 1999</w:t>
      </w:r>
      <w:r>
        <w:noBreakHyphen/>
        <w:t xml:space="preserve">2016. </w:t>
      </w:r>
    </w:p>
    <w:p w14:paraId="1E3140CD" w14:textId="77777777" w:rsidR="00BE47DF" w:rsidRDefault="00BE47DF" w:rsidP="00BE47DF">
      <w:pPr>
        <w:pStyle w:val="BodyText"/>
      </w:pPr>
      <w:r>
        <w:t>In examining the trend for cigarette smoking, the long</w:t>
      </w:r>
      <w:r>
        <w:noBreakHyphen/>
        <w:t>term decrease in prevalence of current smoking continues over 2005</w:t>
      </w:r>
      <w:r>
        <w:noBreakHyphen/>
        <w:t>2016 except that the prevalence was not different in 2015 (15.1%) and 2016 (15.6%). It is too early to describe this as a change in trend, however a plateau in the smoking trend would be an adverse indicator for population health. Consistent with the trend towards less current smokers, the Quit ratio (the ratio of former smokers to ever smokers) is slowly increasing over 2005</w:t>
      </w:r>
      <w:r>
        <w:noBreakHyphen/>
        <w:t>2016. There is not a break in trend to indicate an effect of e</w:t>
      </w:r>
      <w:r>
        <w:noBreakHyphen/>
        <w:t>cigarettes in any of the four age groups shown although the low prevalence of e</w:t>
      </w:r>
      <w:r>
        <w:noBreakHyphen/>
        <w:t>cigarettes use would not be expected to have a marked impact.</w:t>
      </w:r>
    </w:p>
    <w:p w14:paraId="628FB4A3" w14:textId="77777777" w:rsidR="00BE47DF" w:rsidRDefault="00BE47DF" w:rsidP="00BE47DF">
      <w:pPr>
        <w:pStyle w:val="BodyText"/>
      </w:pPr>
      <w:r>
        <w:t>Health impact can also be assessed by modelling population data, however in all models it is necessary to make simplifications and assumptions in the absence of evidence. Population models of the health harms and benefits of e</w:t>
      </w:r>
      <w:r>
        <w:noBreakHyphen/>
        <w:t>cigarettes have been constructed for the United States, and one result is that the question of whether e</w:t>
      </w:r>
      <w:r>
        <w:noBreakHyphen/>
        <w:t>cigarettes cause initiation of conventional smoking in young people who otherwise wouldn’t smoke becomes very important, as does the question of whether e</w:t>
      </w:r>
      <w:r>
        <w:noBreakHyphen/>
        <w:t xml:space="preserve">cigarettes are an effective method for smokers to stop smoking. </w:t>
      </w:r>
    </w:p>
    <w:p w14:paraId="3E11CBF3" w14:textId="77777777" w:rsidR="00BE47DF" w:rsidRDefault="00BE47DF" w:rsidP="00BE47DF">
      <w:pPr>
        <w:pStyle w:val="BodyText"/>
      </w:pPr>
      <w:r>
        <w:t>If the answer to both questions is affirmative, then the magnitude of the effects is critical to determine whether e</w:t>
      </w:r>
      <w:r>
        <w:noBreakHyphen/>
        <w:t>cigarettes have a net population health benefit or health harm. None of the population models incorporated possible harms coming from e</w:t>
      </w:r>
      <w:r>
        <w:noBreakHyphen/>
        <w:t>cigarettes in non</w:t>
      </w:r>
      <w:r>
        <w:noBreakHyphen/>
        <w:t xml:space="preserve">smokers (other than transitioning to tobacco smoking) probably because understanding of the magnitude of such harms is not yet conclusive. </w:t>
      </w:r>
    </w:p>
    <w:p w14:paraId="4BC9F0FC" w14:textId="77777777" w:rsidR="00BE47DF" w:rsidRPr="00BE47DF" w:rsidRDefault="00BE47DF" w:rsidP="00BE47DF">
      <w:pPr>
        <w:pStyle w:val="BodyText"/>
      </w:pPr>
      <w:r>
        <w:t>There is no conclusive evidence of a positive or negative health impact of e</w:t>
      </w:r>
      <w:r>
        <w:noBreakHyphen/>
        <w:t>cigarettes on a population. Modelling of different scenarios is hampered by lack of knowledge of the impact of e</w:t>
      </w:r>
      <w:r>
        <w:noBreakHyphen/>
        <w:t>cigarettes, such that there cannot yet be agreement about the direction of any health impact.</w:t>
      </w:r>
    </w:p>
    <w:p w14:paraId="1D2EC6DF" w14:textId="77777777" w:rsidR="00637800" w:rsidRDefault="00637800" w:rsidP="00637800">
      <w:pPr>
        <w:spacing w:after="0"/>
      </w:pPr>
      <w:r>
        <w:br w:type="page"/>
      </w:r>
    </w:p>
    <w:bookmarkStart w:id="157" w:name="_Toc514010117" w:displacedByCustomXml="next"/>
    <w:bookmarkStart w:id="158" w:name="_Toc517706692" w:displacedByCustomXml="next"/>
    <w:bookmarkStart w:id="159" w:name="_Toc316902172" w:displacedByCustomXml="next"/>
    <w:sdt>
      <w:sdtPr>
        <w:rPr>
          <w:rStyle w:val="PartNumber"/>
        </w:rPr>
        <w:id w:val="4893490"/>
        <w:docPartObj>
          <w:docPartGallery w:val="Cover Pages"/>
        </w:docPartObj>
      </w:sdtPr>
      <w:sdtEndPr>
        <w:rPr>
          <w:rStyle w:val="DefaultParagraphFont"/>
        </w:rPr>
      </w:sdtEndPr>
      <w:sdtContent>
        <w:bookmarkEnd w:id="157" w:displacedByCustomXml="prev"/>
        <w:p w14:paraId="26900BE4" w14:textId="77777777" w:rsidR="00BE47DF" w:rsidRPr="00A96BC4" w:rsidRDefault="00BE47DF" w:rsidP="00A96BC4">
          <w:pPr>
            <w:pStyle w:val="Heading1"/>
          </w:pPr>
          <w:r w:rsidRPr="00A96BC4">
            <w:t>National health impacts</w:t>
          </w:r>
        </w:p>
      </w:sdtContent>
    </w:sdt>
    <w:bookmarkEnd w:id="158" w:displacedByCustomXml="prev"/>
    <w:p w14:paraId="7F24EA1D" w14:textId="77777777" w:rsidR="00035F43" w:rsidRDefault="00035F43" w:rsidP="00035F43">
      <w:pPr>
        <w:pStyle w:val="Heading2"/>
        <w:ind w:left="1134" w:hanging="1134"/>
      </w:pPr>
      <w:bookmarkStart w:id="160" w:name="_Toc517706693"/>
      <w:bookmarkEnd w:id="159"/>
      <w:r w:rsidRPr="009A20E5">
        <w:t>Introduction</w:t>
      </w:r>
      <w:bookmarkEnd w:id="160"/>
      <w:r>
        <w:t xml:space="preserve"> </w:t>
      </w:r>
    </w:p>
    <w:p w14:paraId="463654E5" w14:textId="77777777" w:rsidR="008744C7" w:rsidRPr="008744C7" w:rsidRDefault="008744C7" w:rsidP="008744C7">
      <w:pPr>
        <w:pStyle w:val="BodyText"/>
      </w:pPr>
      <w:r>
        <w:t>This section addresses the assigned task to ‘a</w:t>
      </w:r>
      <w:r w:rsidRPr="008744C7">
        <w:t>ssess the impacts on health of allowing the use of e</w:t>
      </w:r>
      <w:r>
        <w:noBreakHyphen/>
      </w:r>
      <w:r w:rsidRPr="008744C7">
        <w:t>cigarettes and personal vaporisers in countries where they have been permitted</w:t>
      </w:r>
      <w:r>
        <w:t>’</w:t>
      </w:r>
      <w:r w:rsidRPr="008744C7">
        <w:t>.</w:t>
      </w:r>
    </w:p>
    <w:p w14:paraId="2D63A07F" w14:textId="77D30394" w:rsidR="00035F43" w:rsidRDefault="00035F43" w:rsidP="00035F43">
      <w:pPr>
        <w:pStyle w:val="BodyText"/>
      </w:pPr>
      <w:r>
        <w:t>An impact of e</w:t>
      </w:r>
      <w:r>
        <w:noBreakHyphen/>
        <w:t>cigarettes on health at a national level can be conceptualised to occur by e</w:t>
      </w:r>
      <w:r>
        <w:noBreakHyphen/>
        <w:t>cigarettes causing direct harm or benefit to health by their use, or by use of e</w:t>
      </w:r>
      <w:r>
        <w:noBreakHyphen/>
        <w:t>cigarettes having an indirect effect through modification of other behaviours, for example, by reducing tobacco smoking. The most obvious country to examine in relation to an impact on health is the United States of America because it has had a relatively long history of popularised e</w:t>
      </w:r>
      <w:r>
        <w:noBreakHyphen/>
        <w:t>cigarette use (although still only just over a single decade which is short for exposures that might be expected to impact on rates of chronic disease), and has a relatively good monitoring system for population health parameters.</w:t>
      </w:r>
      <w:r w:rsidR="008146F9">
        <w:t xml:space="preserve"> </w:t>
      </w:r>
    </w:p>
    <w:p w14:paraId="6210F0AA" w14:textId="355F6A00" w:rsidR="00035F43" w:rsidRDefault="00035F43" w:rsidP="00035F43">
      <w:pPr>
        <w:pStyle w:val="BodyText"/>
      </w:pPr>
      <w:r>
        <w:t>It is relevant to note that with a behaviour such as tobacco smoking, changes in the national smoking rate have a delayed effect on health indices such as disease and mortality rates even though it is well</w:t>
      </w:r>
      <w:r>
        <w:noBreakHyphen/>
        <w:t>accepted that smoking tobacco causes the disease and the deaths. This occurs because there is a lag time between exposure and manifestation of disease, and the risk of disease increases with cumulative exposure. For cigarette smoking, the pattern of mortality for a population increasing their smoking rate followed by reducing their s</w:t>
      </w:r>
      <w:r w:rsidR="00270246">
        <w:t>moking rate is shown in Figure 3</w:t>
      </w:r>
      <w:r>
        <w:t xml:space="preserve"> </w:t>
      </w:r>
      <w:r>
        <w:fldChar w:fldCharType="begin"/>
      </w:r>
      <w:r w:rsidR="00903735">
        <w:instrText xml:space="preserve"> ADDIN EN.CITE &lt;EndNote&gt;&lt;Cite&gt;&lt;Author&gt;Lopez AD&lt;/Author&gt;&lt;Year&gt;1994&lt;/Year&gt;&lt;RecNum&gt;13421&lt;/RecNum&gt;&lt;DisplayText&gt;(Lopez AD 1994)&lt;/DisplayText&gt;&lt;record&gt;&lt;rec-number&gt;13421&lt;/rec-number&gt;&lt;foreign-keys&gt;&lt;key app="EN" db-id="5xv5w5t2bdxtxfezx02xtxdft5rz5ptvvt29" timestamp="1526198595"&gt;13421&lt;/key&gt;&lt;/foreign-keys&gt;&lt;ref-type name="Journal Article"&gt;17&lt;/ref-type&gt;&lt;contributors&gt;&lt;authors&gt;&lt;author&gt;Lopez AD, Collishaw NE, Piha T. &lt;/author&gt;&lt;/authors&gt;&lt;/contributors&gt;&lt;titles&gt;&lt;title&gt;A descriptive model of the cigarette epidemic in developed countries.&lt;/title&gt;&lt;secondary-title&gt;Tobacco Control&lt;/secondary-title&gt;&lt;/titles&gt;&lt;periodical&gt;&lt;full-title&gt;Tob Control&lt;/full-title&gt;&lt;abbr-1&gt;Tobacco control&lt;/abbr-1&gt;&lt;/periodical&gt;&lt;pages&gt;242-247&lt;/pages&gt;&lt;volume&gt;3&lt;/volume&gt;&lt;dates&gt;&lt;year&gt;1994&lt;/year&gt;&lt;/dates&gt;&lt;urls&gt;&lt;/urls&gt;&lt;/record&gt;&lt;/Cite&gt;&lt;/EndNote&gt;</w:instrText>
      </w:r>
      <w:r>
        <w:fldChar w:fldCharType="separate"/>
      </w:r>
      <w:r>
        <w:rPr>
          <w:noProof/>
        </w:rPr>
        <w:t>(Lopez AD 1994)</w:t>
      </w:r>
      <w:r>
        <w:fldChar w:fldCharType="end"/>
      </w:r>
      <w:r>
        <w:t>. This pattern shows an increasing rate of smoking for adults (to a lower peak for women and lagging behind men) followed by a very substantial decrease in the smoking prevalence rate in both groups. However the percentage of deaths due to cigarette smoking in men continues to rise for the next 30 years following the peak of smoking prevalence – for the first three decades of the cigarette smoking prevalence falling, the percentage of deaths due to smoking continues to increase.</w:t>
      </w:r>
      <w:r w:rsidR="008146F9">
        <w:t xml:space="preserve"> </w:t>
      </w:r>
    </w:p>
    <w:p w14:paraId="3EEDA35E" w14:textId="6157AD5F" w:rsidR="00035F43" w:rsidRPr="00684268" w:rsidRDefault="0049340A" w:rsidP="00035F43">
      <w:pPr>
        <w:pStyle w:val="Caption"/>
      </w:pPr>
      <w:bookmarkStart w:id="161" w:name="_Toc516647201"/>
      <w:bookmarkStart w:id="162" w:name="_Toc517707389"/>
      <w:r>
        <w:t xml:space="preserve">Figure </w:t>
      </w:r>
      <w:r w:rsidR="0048064B">
        <w:rPr>
          <w:noProof/>
        </w:rPr>
        <w:fldChar w:fldCharType="begin"/>
      </w:r>
      <w:r w:rsidR="0048064B">
        <w:rPr>
          <w:noProof/>
        </w:rPr>
        <w:instrText xml:space="preserve"> SEQ Figure \* ARABIC </w:instrText>
      </w:r>
      <w:r w:rsidR="0048064B">
        <w:rPr>
          <w:noProof/>
        </w:rPr>
        <w:fldChar w:fldCharType="separate"/>
      </w:r>
      <w:r w:rsidR="000C06DA">
        <w:rPr>
          <w:noProof/>
        </w:rPr>
        <w:t>3</w:t>
      </w:r>
      <w:r w:rsidR="0048064B">
        <w:rPr>
          <w:noProof/>
        </w:rPr>
        <w:fldChar w:fldCharType="end"/>
      </w:r>
      <w:r w:rsidR="00035F43">
        <w:t>: Four stages of the tobacco epidemic</w:t>
      </w:r>
      <w:bookmarkEnd w:id="161"/>
      <w:bookmarkEnd w:id="162"/>
      <w:r w:rsidR="008146F9">
        <w:t xml:space="preserve"> </w:t>
      </w:r>
    </w:p>
    <w:p w14:paraId="3DA11F6C" w14:textId="77777777" w:rsidR="00035F43" w:rsidRDefault="00035F43" w:rsidP="00035F43">
      <w:pPr>
        <w:pStyle w:val="BodyText"/>
        <w:jc w:val="center"/>
      </w:pPr>
      <w:r>
        <w:rPr>
          <w:noProof/>
        </w:rPr>
        <w:drawing>
          <wp:inline distT="0" distB="0" distL="0" distR="0" wp14:anchorId="4E611E37" wp14:editId="454CDD16">
            <wp:extent cx="4762500" cy="2552700"/>
            <wp:effectExtent l="0" t="0" r="0" b="0"/>
            <wp:docPr id="20" name="Picture 20" descr="Figure 1.3.2" title="chart showing ther percentage of deaths caused by smopking in different age r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1.3.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62500" cy="2552700"/>
                    </a:xfrm>
                    <a:prstGeom prst="rect">
                      <a:avLst/>
                    </a:prstGeom>
                    <a:noFill/>
                    <a:ln>
                      <a:noFill/>
                    </a:ln>
                  </pic:spPr>
                </pic:pic>
              </a:graphicData>
            </a:graphic>
          </wp:inline>
        </w:drawing>
      </w:r>
    </w:p>
    <w:p w14:paraId="693F36A4" w14:textId="77777777" w:rsidR="00035F43" w:rsidRPr="00684268" w:rsidRDefault="00035F43" w:rsidP="00035F43">
      <w:pPr>
        <w:pStyle w:val="FigureTableSource"/>
      </w:pPr>
      <w:r>
        <w:t>Source: Lopez et al 1994</w:t>
      </w:r>
    </w:p>
    <w:p w14:paraId="39202B90" w14:textId="3BD8C4F3" w:rsidR="00035F43" w:rsidRDefault="00035F43" w:rsidP="00035F43">
      <w:pPr>
        <w:pStyle w:val="BodyText"/>
      </w:pPr>
      <w:r>
        <w:lastRenderedPageBreak/>
        <w:t xml:space="preserve">Countries such as Canada, New Zealand, the United States, Australia and the United Kingdom fit into </w:t>
      </w:r>
      <w:r w:rsidR="00AC228D">
        <w:t>S</w:t>
      </w:r>
      <w:r>
        <w:t xml:space="preserve">tage </w:t>
      </w:r>
      <w:r w:rsidR="004769EC">
        <w:t xml:space="preserve">Four </w:t>
      </w:r>
      <w:r>
        <w:t xml:space="preserve">of this model. </w:t>
      </w:r>
    </w:p>
    <w:p w14:paraId="22340210" w14:textId="77777777" w:rsidR="00035F43" w:rsidRDefault="00035F43" w:rsidP="00035F43">
      <w:pPr>
        <w:pStyle w:val="Heading2"/>
        <w:ind w:left="1134" w:hanging="1134"/>
      </w:pPr>
      <w:bookmarkStart w:id="163" w:name="_Toc517706694"/>
      <w:r>
        <w:t>Trends for rates of disease potentially relevant to e-cigarette use</w:t>
      </w:r>
      <w:bookmarkEnd w:id="163"/>
    </w:p>
    <w:p w14:paraId="403FF5FB" w14:textId="77777777" w:rsidR="00035F43" w:rsidRDefault="00035F43" w:rsidP="00035F43">
      <w:pPr>
        <w:pStyle w:val="BodyText"/>
      </w:pPr>
      <w:r>
        <w:t>Direct benefit on health from e</w:t>
      </w:r>
      <w:r>
        <w:noBreakHyphen/>
        <w:t>cigarettes has not been proposed and direct harmful impact on health is proposed to be much lower than from conventional tobacco smoking. The prevalence of current e</w:t>
      </w:r>
      <w:r>
        <w:noBreakHyphen/>
        <w:t xml:space="preserve">cigarette use in the United States is relatively low (estimated to be 3.7% for US adults in 2014) </w:t>
      </w:r>
      <w:r>
        <w:fldChar w:fldCharType="begin"/>
      </w:r>
      <w:r w:rsidR="00903735">
        <w:instrText xml:space="preserve"> ADDIN EN.CITE &lt;EndNote&gt;&lt;Cite&gt;&lt;Author&gt;Schoenborn&lt;/Author&gt;&lt;Year&gt;2015&lt;/Year&gt;&lt;RecNum&gt;13424&lt;/RecNum&gt;&lt;DisplayText&gt;(Schoenborn and Gindi 2015)&lt;/DisplayText&gt;&lt;record&gt;&lt;rec-number&gt;13424&lt;/rec-number&gt;&lt;foreign-keys&gt;&lt;key app="EN" db-id="5xv5w5t2bdxtxfezx02xtxdft5rz5ptvvt29" timestamp="1526261362"&gt;13424&lt;/key&gt;&lt;/foreign-keys&gt;&lt;ref-type name="Journal Article"&gt;17&lt;/ref-type&gt;&lt;contributors&gt;&lt;authors&gt;&lt;author&gt;Schoenborn, C. A.&lt;/author&gt;&lt;author&gt;Gindi, R. M.&lt;/author&gt;&lt;/authors&gt;&lt;/contributors&gt;&lt;titles&gt;&lt;title&gt;Electronic Cigarette Use Among Adults: United States, 2014&lt;/title&gt;&lt;secondary-title&gt;NCHS Data Brief&lt;/secondary-title&gt;&lt;alt-title&gt;NCHS data brief&lt;/alt-title&gt;&lt;/titles&gt;&lt;periodical&gt;&lt;full-title&gt;NCHS Data Brief&lt;/full-title&gt;&lt;abbr-1&gt;NCHS data brief&lt;/abbr-1&gt;&lt;/periodical&gt;&lt;alt-periodical&gt;&lt;full-title&gt;NCHS Data Brief&lt;/full-title&gt;&lt;abbr-1&gt;NCHS data brief&lt;/abbr-1&gt;&lt;/alt-periodical&gt;&lt;pages&gt;1-8&lt;/pages&gt;&lt;number&gt;217&lt;/number&gt;&lt;edition&gt;2015/11/12&lt;/edition&gt;&lt;keywords&gt;&lt;keyword&gt;Adolescent&lt;/keyword&gt;&lt;keyword&gt;Adult&lt;/keyword&gt;&lt;keyword&gt;Age Distribution&lt;/keyword&gt;&lt;keyword&gt;Aged&lt;/keyword&gt;&lt;keyword&gt;Continental Population Groups&lt;/keyword&gt;&lt;keyword&gt;Electronic Nicotine Delivery Systems/*statistics &amp;amp; numerical data&lt;/keyword&gt;&lt;keyword&gt;Female&lt;/keyword&gt;&lt;keyword&gt;Humans&lt;/keyword&gt;&lt;keyword&gt;Male&lt;/keyword&gt;&lt;keyword&gt;Middle Aged&lt;/keyword&gt;&lt;keyword&gt;Prevalence&lt;/keyword&gt;&lt;keyword&gt;Sex Distribution&lt;/keyword&gt;&lt;keyword&gt;Smoking/epidemiology&lt;/keyword&gt;&lt;keyword&gt;Smoking Cessation/statistics &amp;amp; numerical data&lt;/keyword&gt;&lt;keyword&gt;United States&lt;/keyword&gt;&lt;keyword&gt;Young Adult&lt;/keyword&gt;&lt;/keywords&gt;&lt;dates&gt;&lt;year&gt;2015&lt;/year&gt;&lt;pub-dates&gt;&lt;date&gt;Oct&lt;/date&gt;&lt;/pub-dates&gt;&lt;/dates&gt;&lt;isbn&gt;1941-4935&lt;/isbn&gt;&lt;accession-num&gt;26555932&lt;/accession-num&gt;&lt;urls&gt;&lt;/urls&gt;&lt;remote-database-provider&gt;NLM&lt;/remote-database-provider&gt;&lt;language&gt;eng&lt;/language&gt;&lt;/record&gt;&lt;/Cite&gt;&lt;/EndNote&gt;</w:instrText>
      </w:r>
      <w:r>
        <w:fldChar w:fldCharType="separate"/>
      </w:r>
      <w:r>
        <w:rPr>
          <w:noProof/>
        </w:rPr>
        <w:t>(Schoenborn and Gindi 2015)</w:t>
      </w:r>
      <w:r>
        <w:fldChar w:fldCharType="end"/>
      </w:r>
      <w:r>
        <w:t xml:space="preserve"> although the percentage who had ever tried an e</w:t>
      </w:r>
      <w:r>
        <w:noBreakHyphen/>
        <w:t>cigarettes is higher (12.6%). Therefore there is substantial difficulty in demonstrating a direct impact on health due to increased use of e</w:t>
      </w:r>
      <w:r>
        <w:noBreakHyphen/>
        <w:t>cigarettes. For example, the trend in the rate of Chronic Obstructive Pulmonary Disease (COPD) related deaths in US adults aged 25 years and over has decreased over the time period 2000</w:t>
      </w:r>
      <w:r>
        <w:noBreakHyphen/>
        <w:t xml:space="preserve">2014 </w:t>
      </w:r>
      <w:r>
        <w:fldChar w:fldCharType="begin"/>
      </w:r>
      <w:r w:rsidR="00903735">
        <w:instrText xml:space="preserve"> ADDIN EN.CITE &lt;EndNote&gt;&lt;Cite&gt;&lt;Author&gt;Ni&lt;/Author&gt;&lt;Year&gt;2016&lt;/Year&gt;&lt;RecNum&gt;13423&lt;/RecNum&gt;&lt;DisplayText&gt;(Ni and Xu 2016)&lt;/DisplayText&gt;&lt;record&gt;&lt;rec-number&gt;13423&lt;/rec-number&gt;&lt;foreign-keys&gt;&lt;key app="EN" db-id="5xv5w5t2bdxtxfezx02xtxdft5rz5ptvvt29" timestamp="1526261357"&gt;13423&lt;/key&gt;&lt;/foreign-keys&gt;&lt;ref-type name="Journal Article"&gt;17&lt;/ref-type&gt;&lt;contributors&gt;&lt;authors&gt;&lt;author&gt;Ni, H.&lt;/author&gt;&lt;author&gt;Xu, J.&lt;/author&gt;&lt;/authors&gt;&lt;/contributors&gt;&lt;titles&gt;&lt;title&gt;COPD-related Mortality by Sex and Race Among Adults Aged 25 and Over: United States, 2000-2014&lt;/title&gt;&lt;secondary-title&gt;NCHS Data Brief&lt;/secondary-title&gt;&lt;alt-title&gt;NCHS data brief&lt;/alt-title&gt;&lt;/titles&gt;&lt;periodical&gt;&lt;full-title&gt;NCHS Data Brief&lt;/full-title&gt;&lt;abbr-1&gt;NCHS data brief&lt;/abbr-1&gt;&lt;/periodical&gt;&lt;alt-periodical&gt;&lt;full-title&gt;NCHS Data Brief&lt;/full-title&gt;&lt;abbr-1&gt;NCHS data brief&lt;/abbr-1&gt;&lt;/alt-periodical&gt;&lt;pages&gt;1-8&lt;/pages&gt;&lt;number&gt;256&lt;/number&gt;&lt;edition&gt;2016/09/21&lt;/edition&gt;&lt;keywords&gt;&lt;keyword&gt;Adult&lt;/keyword&gt;&lt;keyword&gt;Age Distribution&lt;/keyword&gt;&lt;keyword&gt;Age Factors&lt;/keyword&gt;&lt;keyword&gt;Aged&lt;/keyword&gt;&lt;keyword&gt;Aged, 80 and over&lt;/keyword&gt;&lt;keyword&gt;Cause of Death/trends&lt;/keyword&gt;&lt;keyword&gt;Female&lt;/keyword&gt;&lt;keyword&gt;Humans&lt;/keyword&gt;&lt;keyword&gt;Male&lt;/keyword&gt;&lt;keyword&gt;Middle Aged&lt;/keyword&gt;&lt;keyword&gt;Pulmonary Disease, Chronic Obstructive/*ethnology/*mortality&lt;/keyword&gt;&lt;keyword&gt;Sex Factors&lt;/keyword&gt;&lt;keyword&gt;United States/epidemiology&lt;/keyword&gt;&lt;/keywords&gt;&lt;dates&gt;&lt;year&gt;2016&lt;/year&gt;&lt;pub-dates&gt;&lt;date&gt;Sep&lt;/date&gt;&lt;/pub-dates&gt;&lt;/dates&gt;&lt;isbn&gt;1941-4935&lt;/isbn&gt;&lt;accession-num&gt;27648679&lt;/accession-num&gt;&lt;urls&gt;&lt;/urls&gt;&lt;remote-database-provider&gt;NLM&lt;/remote-database-provider&gt;&lt;language&gt;eng&lt;/language&gt;&lt;/record&gt;&lt;/Cite&gt;&lt;/EndNote&gt;</w:instrText>
      </w:r>
      <w:r>
        <w:fldChar w:fldCharType="separate"/>
      </w:r>
      <w:r>
        <w:rPr>
          <w:noProof/>
        </w:rPr>
        <w:t>(Ni and Xu 2016)</w:t>
      </w:r>
      <w:r>
        <w:fldChar w:fldCharType="end"/>
      </w:r>
      <w:r>
        <w:t xml:space="preserve"> (Figure </w:t>
      </w:r>
      <w:r w:rsidR="00270246">
        <w:t>4</w:t>
      </w:r>
      <w:r>
        <w:t xml:space="preserve">). The reason for the decrease has been attributed to the decrease in smoking prevalence rate over the same period – part of a long term trend for decrease from 1965 </w:t>
      </w:r>
      <w:r>
        <w:fldChar w:fldCharType="begin"/>
      </w:r>
      <w:r w:rsidR="00903735">
        <w:instrText xml:space="preserve"> ADDIN EN.CITE &lt;EndNote&gt;&lt;Cite&gt;&lt;Author&gt;Courtney&lt;/Author&gt;&lt;Year&gt;2015&lt;/Year&gt;&lt;RecNum&gt;13426&lt;/RecNum&gt;&lt;DisplayText&gt;(Courtney 2015)&lt;/DisplayText&gt;&lt;record&gt;&lt;rec-number&gt;13426&lt;/rec-number&gt;&lt;foreign-keys&gt;&lt;key app="EN" db-id="5xv5w5t2bdxtxfezx02xtxdft5rz5ptvvt29" timestamp="1526261377"&gt;13426&lt;/key&gt;&lt;/foreign-keys&gt;&lt;ref-type name="Generic"&gt;13&lt;/ref-type&gt;&lt;contributors&gt;&lt;authors&gt;&lt;author&gt;Courtney, Ryan&lt;/author&gt;&lt;/authors&gt;&lt;/contributors&gt;&lt;titles&gt;&lt;title&gt;The Health Consequences of Smoking—50 Years of Progress: A Report of the Surgeon General, 2014Us Department of Health and Human Services Atlanta, GA: Department of Health and Human Services, Centers for Disease Control and Prevention, National Center for Chronic Disease Prevention and Health Promotion, Office on Smoking and Health, 20141081 pp. Online (grey literature): http://www.surgeongeneral.gov/library/reports/50‐years‐of‐progress&lt;/title&gt;&lt;/titles&gt;&lt;pages&gt;694-695&lt;/pages&gt;&lt;volume&gt;34&lt;/volume&gt;&lt;keywords&gt;&lt;keyword&gt;Physicians&lt;/keyword&gt;&lt;keyword&gt;Social Services&lt;/keyword&gt;&lt;/keywords&gt;&lt;dates&gt;&lt;year&gt;2015&lt;/year&gt;&lt;/dates&gt;&lt;isbn&gt;0959-5236&lt;/isbn&gt;&lt;urls&gt;&lt;/urls&gt;&lt;electronic-resource-num&gt;10.1111/dar.12309&lt;/electronic-resource-num&gt;&lt;/record&gt;&lt;/Cite&gt;&lt;/EndNote&gt;</w:instrText>
      </w:r>
      <w:r>
        <w:fldChar w:fldCharType="separate"/>
      </w:r>
      <w:r>
        <w:rPr>
          <w:noProof/>
        </w:rPr>
        <w:t>(Courtney 2015)</w:t>
      </w:r>
      <w:r>
        <w:fldChar w:fldCharType="end"/>
      </w:r>
      <w:r>
        <w:t xml:space="preserve"> due to multiple tobacco control strategies. The increase in use of e</w:t>
      </w:r>
      <w:r>
        <w:noBreakHyphen/>
        <w:t>cigarettes occurs in the latter half of this figure (from 2006 onwards), and no marked interruption to the trend is seen.</w:t>
      </w:r>
    </w:p>
    <w:p w14:paraId="70CC73AD" w14:textId="77777777" w:rsidR="00035F43" w:rsidRDefault="00035F43" w:rsidP="00035F43">
      <w:pPr>
        <w:pStyle w:val="BodyText"/>
      </w:pPr>
    </w:p>
    <w:p w14:paraId="6E7E975A" w14:textId="77777777" w:rsidR="00035F43" w:rsidRPr="009B730E" w:rsidRDefault="0049340A" w:rsidP="00035F43">
      <w:pPr>
        <w:pStyle w:val="Caption"/>
      </w:pPr>
      <w:bookmarkStart w:id="164" w:name="_Toc516647202"/>
      <w:bookmarkStart w:id="165" w:name="_Toc517707390"/>
      <w:r>
        <w:t xml:space="preserve">Figure </w:t>
      </w:r>
      <w:r w:rsidR="0048064B">
        <w:rPr>
          <w:noProof/>
        </w:rPr>
        <w:fldChar w:fldCharType="begin"/>
      </w:r>
      <w:r w:rsidR="0048064B">
        <w:rPr>
          <w:noProof/>
        </w:rPr>
        <w:instrText xml:space="preserve"> SEQ Figure \* ARABIC </w:instrText>
      </w:r>
      <w:r w:rsidR="0048064B">
        <w:rPr>
          <w:noProof/>
        </w:rPr>
        <w:fldChar w:fldCharType="separate"/>
      </w:r>
      <w:r w:rsidR="000C06DA">
        <w:rPr>
          <w:noProof/>
        </w:rPr>
        <w:t>4</w:t>
      </w:r>
      <w:r w:rsidR="0048064B">
        <w:rPr>
          <w:noProof/>
        </w:rPr>
        <w:fldChar w:fldCharType="end"/>
      </w:r>
      <w:r w:rsidR="00035F43" w:rsidRPr="009B730E">
        <w:t>: Crude and age</w:t>
      </w:r>
      <w:r w:rsidR="00035F43">
        <w:noBreakHyphen/>
      </w:r>
      <w:r w:rsidR="00035F43" w:rsidRPr="009B730E">
        <w:t>adjusted rates for COPD</w:t>
      </w:r>
      <w:r w:rsidR="00035F43">
        <w:noBreakHyphen/>
      </w:r>
      <w:r w:rsidR="00035F43" w:rsidRPr="009B730E">
        <w:t>related deaths for adults aged 25 and over, by sex: United States, 2000–2014</w:t>
      </w:r>
      <w:bookmarkEnd w:id="164"/>
      <w:bookmarkEnd w:id="165"/>
    </w:p>
    <w:p w14:paraId="098139EE" w14:textId="77777777" w:rsidR="00035F43" w:rsidRDefault="00035F43" w:rsidP="00035F43">
      <w:pPr>
        <w:pStyle w:val="BodyText"/>
      </w:pPr>
      <w:r>
        <w:rPr>
          <w:noProof/>
        </w:rPr>
        <w:drawing>
          <wp:inline distT="0" distB="0" distL="0" distR="0" wp14:anchorId="32C5D18A" wp14:editId="24DBA8CD">
            <wp:extent cx="5730240" cy="3676650"/>
            <wp:effectExtent l="0" t="0" r="3810" b="0"/>
            <wp:docPr id="8" name="Picture 8" descr="https://www.cdc.gov/nchs/images/databriefs/251-300/db256_fig1.png" title="Chart showing the number of deaths from Chronic Obstructive Pulmonary Disease related deaths by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cdc.gov/nchs/images/databriefs/251-300/db256_fig1.png"/>
                    <pic:cNvPicPr>
                      <a:picLocks noChangeAspect="1" noChangeArrowheads="1"/>
                    </pic:cNvPicPr>
                  </pic:nvPicPr>
                  <pic:blipFill rotWithShape="1">
                    <a:blip r:embed="rId31">
                      <a:extLst>
                        <a:ext uri="{28A0092B-C50C-407E-A947-70E740481C1C}">
                          <a14:useLocalDpi xmlns:a14="http://schemas.microsoft.com/office/drawing/2010/main" val="0"/>
                        </a:ext>
                      </a:extLst>
                    </a:blip>
                    <a:srcRect t="6312" b="8682"/>
                    <a:stretch/>
                  </pic:blipFill>
                  <pic:spPr bwMode="auto">
                    <a:xfrm>
                      <a:off x="0" y="0"/>
                      <a:ext cx="5731510" cy="3677465"/>
                    </a:xfrm>
                    <a:prstGeom prst="rect">
                      <a:avLst/>
                    </a:prstGeom>
                    <a:noFill/>
                    <a:ln>
                      <a:noFill/>
                    </a:ln>
                    <a:extLst>
                      <a:ext uri="{53640926-AAD7-44D8-BBD7-CCE9431645EC}">
                        <a14:shadowObscured xmlns:a14="http://schemas.microsoft.com/office/drawing/2010/main"/>
                      </a:ext>
                    </a:extLst>
                  </pic:spPr>
                </pic:pic>
              </a:graphicData>
            </a:graphic>
          </wp:inline>
        </w:drawing>
      </w:r>
    </w:p>
    <w:p w14:paraId="3D981808" w14:textId="77777777" w:rsidR="00035F43" w:rsidRDefault="00035F43" w:rsidP="00035F43">
      <w:pPr>
        <w:pStyle w:val="FigureTableSource"/>
      </w:pPr>
      <w:r>
        <w:t xml:space="preserve"> Source: </w:t>
      </w:r>
      <w:r>
        <w:fldChar w:fldCharType="begin"/>
      </w:r>
      <w:r w:rsidR="00903735">
        <w:instrText xml:space="preserve"> ADDIN EN.CITE &lt;EndNote&gt;&lt;Cite&gt;&lt;Author&gt;Ni&lt;/Author&gt;&lt;Year&gt;2016&lt;/Year&gt;&lt;RecNum&gt;13423&lt;/RecNum&gt;&lt;DisplayText&gt;(Ni and Xu 2016)&lt;/DisplayText&gt;&lt;record&gt;&lt;rec-number&gt;13423&lt;/rec-number&gt;&lt;foreign-keys&gt;&lt;key app="EN" db-id="5xv5w5t2bdxtxfezx02xtxdft5rz5ptvvt29" timestamp="1526261357"&gt;13423&lt;/key&gt;&lt;/foreign-keys&gt;&lt;ref-type name="Journal Article"&gt;17&lt;/ref-type&gt;&lt;contributors&gt;&lt;authors&gt;&lt;author&gt;Ni, H.&lt;/author&gt;&lt;author&gt;Xu, J.&lt;/author&gt;&lt;/authors&gt;&lt;/contributors&gt;&lt;titles&gt;&lt;title&gt;COPD-related Mortality by Sex and Race Among Adults Aged 25 and Over: United States, 2000-2014&lt;/title&gt;&lt;secondary-title&gt;NCHS Data Brief&lt;/secondary-title&gt;&lt;alt-title&gt;NCHS data brief&lt;/alt-title&gt;&lt;/titles&gt;&lt;periodical&gt;&lt;full-title&gt;NCHS Data Brief&lt;/full-title&gt;&lt;abbr-1&gt;NCHS data brief&lt;/abbr-1&gt;&lt;/periodical&gt;&lt;alt-periodical&gt;&lt;full-title&gt;NCHS Data Brief&lt;/full-title&gt;&lt;abbr-1&gt;NCHS data brief&lt;/abbr-1&gt;&lt;/alt-periodical&gt;&lt;pages&gt;1-8&lt;/pages&gt;&lt;number&gt;256&lt;/number&gt;&lt;edition&gt;2016/09/21&lt;/edition&gt;&lt;keywords&gt;&lt;keyword&gt;Adult&lt;/keyword&gt;&lt;keyword&gt;Age Distribution&lt;/keyword&gt;&lt;keyword&gt;Age Factors&lt;/keyword&gt;&lt;keyword&gt;Aged&lt;/keyword&gt;&lt;keyword&gt;Aged, 80 and over&lt;/keyword&gt;&lt;keyword&gt;Cause of Death/trends&lt;/keyword&gt;&lt;keyword&gt;Female&lt;/keyword&gt;&lt;keyword&gt;Humans&lt;/keyword&gt;&lt;keyword&gt;Male&lt;/keyword&gt;&lt;keyword&gt;Middle Aged&lt;/keyword&gt;&lt;keyword&gt;Pulmonary Disease, Chronic Obstructive/*ethnology/*mortality&lt;/keyword&gt;&lt;keyword&gt;Sex Factors&lt;/keyword&gt;&lt;keyword&gt;United States/epidemiology&lt;/keyword&gt;&lt;/keywords&gt;&lt;dates&gt;&lt;year&gt;2016&lt;/year&gt;&lt;pub-dates&gt;&lt;date&gt;Sep&lt;/date&gt;&lt;/pub-dates&gt;&lt;/dates&gt;&lt;isbn&gt;1941-4935&lt;/isbn&gt;&lt;accession-num&gt;27648679&lt;/accession-num&gt;&lt;urls&gt;&lt;/urls&gt;&lt;remote-database-provider&gt;NLM&lt;/remote-database-provider&gt;&lt;language&gt;eng&lt;/language&gt;&lt;/record&gt;&lt;/Cite&gt;&lt;/EndNote&gt;</w:instrText>
      </w:r>
      <w:r>
        <w:fldChar w:fldCharType="separate"/>
      </w:r>
      <w:r>
        <w:rPr>
          <w:noProof/>
        </w:rPr>
        <w:t>(Ni and Xu 2016)</w:t>
      </w:r>
      <w:r>
        <w:fldChar w:fldCharType="end"/>
      </w:r>
    </w:p>
    <w:p w14:paraId="0EDECA12" w14:textId="77777777" w:rsidR="00035F43" w:rsidRDefault="00035F43" w:rsidP="00035F43">
      <w:pPr>
        <w:pStyle w:val="BodyText"/>
      </w:pPr>
    </w:p>
    <w:p w14:paraId="13FABBE1" w14:textId="2637082B" w:rsidR="00035F43" w:rsidRPr="00F4198E" w:rsidRDefault="00035F43" w:rsidP="00035F43">
      <w:pPr>
        <w:pStyle w:val="BodyText"/>
      </w:pPr>
      <w:r>
        <w:lastRenderedPageBreak/>
        <w:t xml:space="preserve">For high blood pressure, Figure </w:t>
      </w:r>
      <w:r w:rsidR="00270246">
        <w:t>5</w:t>
      </w:r>
      <w:r>
        <w:t xml:space="preserve"> shows the rate of diagnosed hypertension within the adult population of the US over the period 1999</w:t>
      </w:r>
      <w:r>
        <w:noBreakHyphen/>
        <w:t>2016. Hypertension is defined as taking medication for hypertension, or systolic blood pressure greater than or equal to 140mmHg, or diastolic blood pressure greater than or equal to 90 mmHg. Controlled hypertension refers to those who are using medication who have blood pressure in the normal range. From the figure it can be seen that prevalence of hypertension does not change over the period of the surveys included.</w:t>
      </w:r>
      <w:r w:rsidR="008146F9">
        <w:t xml:space="preserve"> </w:t>
      </w:r>
    </w:p>
    <w:p w14:paraId="15066814" w14:textId="77777777" w:rsidR="00035F43" w:rsidRDefault="0049340A" w:rsidP="0049340A">
      <w:pPr>
        <w:pStyle w:val="Caption"/>
      </w:pPr>
      <w:bookmarkStart w:id="166" w:name="_Toc516647203"/>
      <w:bookmarkStart w:id="167" w:name="_Toc517707391"/>
      <w:r>
        <w:t xml:space="preserve">Figure </w:t>
      </w:r>
      <w:r w:rsidR="0048064B">
        <w:rPr>
          <w:noProof/>
        </w:rPr>
        <w:fldChar w:fldCharType="begin"/>
      </w:r>
      <w:r w:rsidR="0048064B">
        <w:rPr>
          <w:noProof/>
        </w:rPr>
        <w:instrText xml:space="preserve"> SEQ Figure \* ARABIC </w:instrText>
      </w:r>
      <w:r w:rsidR="0048064B">
        <w:rPr>
          <w:noProof/>
        </w:rPr>
        <w:fldChar w:fldCharType="separate"/>
      </w:r>
      <w:r w:rsidR="000C06DA">
        <w:rPr>
          <w:noProof/>
        </w:rPr>
        <w:t>5</w:t>
      </w:r>
      <w:r w:rsidR="0048064B">
        <w:rPr>
          <w:noProof/>
        </w:rPr>
        <w:fldChar w:fldCharType="end"/>
      </w:r>
      <w:r w:rsidR="00035F43">
        <w:t xml:space="preserve">: </w:t>
      </w:r>
      <w:r w:rsidR="00035F43">
        <w:rPr>
          <w:lang w:val="en-US"/>
        </w:rPr>
        <w:t>Age</w:t>
      </w:r>
      <w:r w:rsidR="00035F43">
        <w:rPr>
          <w:lang w:val="en-US"/>
        </w:rPr>
        <w:noBreakHyphen/>
        <w:t>adjusted trends in hypertension and controlled hypertension among adults aged 18 and over: United States, 1999–2016</w:t>
      </w:r>
      <w:bookmarkEnd w:id="166"/>
      <w:bookmarkEnd w:id="167"/>
    </w:p>
    <w:p w14:paraId="31D389BA" w14:textId="77777777" w:rsidR="00035F43" w:rsidRDefault="00035F43" w:rsidP="00035F43">
      <w:pPr>
        <w:pStyle w:val="BodyText"/>
      </w:pPr>
      <w:r>
        <w:rPr>
          <w:rFonts w:ascii="Helvetica" w:hAnsi="Helvetica" w:cs="Helvetica"/>
          <w:noProof/>
          <w:color w:val="075290"/>
          <w:sz w:val="21"/>
          <w:szCs w:val="21"/>
        </w:rPr>
        <w:drawing>
          <wp:inline distT="0" distB="0" distL="0" distR="0" wp14:anchorId="46EE92CD" wp14:editId="19E77A78">
            <wp:extent cx="5334000" cy="3130550"/>
            <wp:effectExtent l="0" t="0" r="0" b="0"/>
            <wp:docPr id="45" name="Picture 45" descr="Figure 5 is a line graph on the age-adjusted trends in hypertension and controlled hypertension among adults aged 18 and over for 1999 through 2016." title="a line graph on the age-adjusted trends in hypertension and controlled hypertension among adults aged 18 and over for 1999 through 2016.">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5 is a line graph on the age-adjusted trends in hypertension and controlled hypertension among adults aged 18 and over for 1999 through 2016.">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34000" cy="3130550"/>
                    </a:xfrm>
                    <a:prstGeom prst="rect">
                      <a:avLst/>
                    </a:prstGeom>
                    <a:noFill/>
                    <a:ln>
                      <a:noFill/>
                    </a:ln>
                  </pic:spPr>
                </pic:pic>
              </a:graphicData>
            </a:graphic>
          </wp:inline>
        </w:drawing>
      </w:r>
    </w:p>
    <w:p w14:paraId="1B5782D5" w14:textId="77777777" w:rsidR="00035F43" w:rsidRDefault="00035F43" w:rsidP="00035F43">
      <w:pPr>
        <w:pStyle w:val="FigureTableSource"/>
      </w:pPr>
      <w:r>
        <w:t xml:space="preserve">Source: </w:t>
      </w:r>
      <w:r>
        <w:fldChar w:fldCharType="begin"/>
      </w:r>
      <w:r w:rsidR="00903735">
        <w:instrText xml:space="preserve"> ADDIN EN.CITE &lt;EndNote&gt;&lt;Cite&gt;&lt;Author&gt;Fryar&lt;/Author&gt;&lt;Year&gt;2017&lt;/Year&gt;&lt;RecNum&gt;13422&lt;/RecNum&gt;&lt;DisplayText&gt;(Fryar, Ostchega et al. 2017)&lt;/DisplayText&gt;&lt;record&gt;&lt;rec-number&gt;13422&lt;/rec-number&gt;&lt;foreign-keys&gt;&lt;key app="EN" db-id="5xv5w5t2bdxtxfezx02xtxdft5rz5ptvvt29" timestamp="1526261352"&gt;13422&lt;/key&gt;&lt;/foreign-keys&gt;&lt;ref-type name="Journal Article"&gt;17&lt;/ref-type&gt;&lt;contributors&gt;&lt;authors&gt;&lt;author&gt;Fryar, C. D.&lt;/author&gt;&lt;author&gt;Ostchega, Y.&lt;/author&gt;&lt;author&gt;Hales, C. M.&lt;/author&gt;&lt;author&gt;Zhang, G.&lt;/author&gt;&lt;author&gt;Kruszon-Moran, D.&lt;/author&gt;&lt;/authors&gt;&lt;/contributors&gt;&lt;titles&gt;&lt;title&gt;Hypertension Prevalence and Control Among Adults: United States, 2015-2016&lt;/title&gt;&lt;secondary-title&gt;NCHS Data Brief&lt;/secondary-title&gt;&lt;alt-title&gt;NCHS data brief&lt;/alt-title&gt;&lt;/titles&gt;&lt;periodical&gt;&lt;full-title&gt;NCHS Data Brief&lt;/full-title&gt;&lt;abbr-1&gt;NCHS data brief&lt;/abbr-1&gt;&lt;/periodical&gt;&lt;alt-periodical&gt;&lt;full-title&gt;NCHS Data Brief&lt;/full-title&gt;&lt;abbr-1&gt;NCHS data brief&lt;/abbr-1&gt;&lt;/alt-periodical&gt;&lt;pages&gt;1-8&lt;/pages&gt;&lt;number&gt;289&lt;/number&gt;&lt;edition&gt;2017/11/21&lt;/edition&gt;&lt;dates&gt;&lt;year&gt;2017&lt;/year&gt;&lt;pub-dates&gt;&lt;date&gt;Oct&lt;/date&gt;&lt;/pub-dates&gt;&lt;/dates&gt;&lt;isbn&gt;1941-4935&lt;/isbn&gt;&lt;accession-num&gt;29155682&lt;/accession-num&gt;&lt;urls&gt;&lt;/urls&gt;&lt;remote-database-provider&gt;NLM&lt;/remote-database-provider&gt;&lt;language&gt;eng&lt;/language&gt;&lt;/record&gt;&lt;/Cite&gt;&lt;/EndNote&gt;</w:instrText>
      </w:r>
      <w:r>
        <w:fldChar w:fldCharType="separate"/>
      </w:r>
      <w:r>
        <w:rPr>
          <w:noProof/>
        </w:rPr>
        <w:t>(Fryar, Ostchega et al. 2017)</w:t>
      </w:r>
      <w:r>
        <w:fldChar w:fldCharType="end"/>
      </w:r>
    </w:p>
    <w:p w14:paraId="0742EC31" w14:textId="77777777" w:rsidR="00035F43" w:rsidRDefault="00035F43" w:rsidP="00035F43">
      <w:pPr>
        <w:pStyle w:val="BodyText"/>
      </w:pPr>
    </w:p>
    <w:p w14:paraId="2D6BB9DE" w14:textId="77777777" w:rsidR="00035F43" w:rsidRDefault="00035F43" w:rsidP="00035F43">
      <w:pPr>
        <w:pStyle w:val="BodyText"/>
      </w:pPr>
      <w:r>
        <w:t xml:space="preserve">This highlights the difficulty of assessing impact on health of one factor used by a small percentage of the population for diseases and conditions that are multifactorial. </w:t>
      </w:r>
    </w:p>
    <w:p w14:paraId="18C6379E" w14:textId="7563CF0F" w:rsidR="00035F43" w:rsidRDefault="00035F43" w:rsidP="00035F43">
      <w:pPr>
        <w:pStyle w:val="BodyText"/>
      </w:pPr>
      <w:r>
        <w:t>Therefore, while the analysis is not exhaustive, the direct impact of e</w:t>
      </w:r>
      <w:r>
        <w:noBreakHyphen/>
        <w:t>cigarettes on health in a country where e</w:t>
      </w:r>
      <w:r>
        <w:noBreakHyphen/>
        <w:t>cigarettes are used are used are not detectable. This is not surprising in view of the low prevalence of current use across the population, and the lag time of disease development for many conditions.</w:t>
      </w:r>
      <w:r w:rsidR="008146F9">
        <w:t xml:space="preserve"> </w:t>
      </w:r>
    </w:p>
    <w:p w14:paraId="07506432" w14:textId="77777777" w:rsidR="00035F43" w:rsidRDefault="00035F43" w:rsidP="00035F43">
      <w:pPr>
        <w:pStyle w:val="BodyText"/>
      </w:pPr>
    </w:p>
    <w:p w14:paraId="322083B1" w14:textId="77777777" w:rsidR="00035F43" w:rsidRDefault="00035F43" w:rsidP="00035F43">
      <w:pPr>
        <w:pStyle w:val="Heading2"/>
        <w:ind w:left="1134" w:hanging="1134"/>
      </w:pPr>
      <w:bookmarkStart w:id="168" w:name="_Toc514010119"/>
      <w:bookmarkStart w:id="169" w:name="_Toc517706695"/>
      <w:r>
        <w:t>Potential impact of e</w:t>
      </w:r>
      <w:r>
        <w:noBreakHyphen/>
        <w:t>cigarettes on conventional cigarette smoking</w:t>
      </w:r>
      <w:bookmarkEnd w:id="168"/>
      <w:bookmarkEnd w:id="169"/>
    </w:p>
    <w:p w14:paraId="2468F99D" w14:textId="77777777" w:rsidR="00035F43" w:rsidRDefault="00035F43" w:rsidP="00035F43">
      <w:pPr>
        <w:pStyle w:val="BodyText"/>
      </w:pPr>
      <w:r>
        <w:t>A plausible pathway for e</w:t>
      </w:r>
      <w:r>
        <w:noBreakHyphen/>
        <w:t>cigarettes to impact on health is by changing the prevalence of conventional tobacco smoking.</w:t>
      </w:r>
    </w:p>
    <w:p w14:paraId="6A3CCD7B" w14:textId="2D6423F7" w:rsidR="00035F43" w:rsidRDefault="00035F43" w:rsidP="00035F43">
      <w:pPr>
        <w:pStyle w:val="BodyText"/>
      </w:pPr>
      <w:r>
        <w:lastRenderedPageBreak/>
        <w:t xml:space="preserve">The prevalence of current conventional cigarette smoking amongst US adults has decreased from 20.9% in 2005 to 15.5% in 2016 </w:t>
      </w:r>
      <w:r>
        <w:fldChar w:fldCharType="begin"/>
      </w:r>
      <w:r w:rsidR="00903735">
        <w:instrText xml:space="preserve"> ADDIN EN.CITE &lt;EndNote&gt;&lt;Cite&gt;&lt;Author&gt;Jamal&lt;/Author&gt;&lt;Year&gt;2018&lt;/Year&gt;&lt;RecNum&gt;13425&lt;/RecNum&gt;&lt;DisplayText&gt;(Jamal, Phillips et al. 2018)&lt;/DisplayText&gt;&lt;record&gt;&lt;rec-number&gt;13425&lt;/rec-number&gt;&lt;foreign-keys&gt;&lt;key app="EN" db-id="5xv5w5t2bdxtxfezx02xtxdft5rz5ptvvt29" timestamp="1526261368"&gt;13425&lt;/key&gt;&lt;/foreign-keys&gt;&lt;ref-type name="Journal Article"&gt;17&lt;/ref-type&gt;&lt;contributors&gt;&lt;authors&gt;&lt;author&gt;Jamal, Ahmed&lt;/author&gt;&lt;author&gt;Phillips, Elyse&lt;/author&gt;&lt;author&gt;Gentzke, Andrea S.&lt;/author&gt;&lt;author&gt;Homa, David M.&lt;/author&gt;&lt;author&gt;Babb, Stephen D.&lt;/author&gt;&lt;author&gt;King, Brian A.&lt;/author&gt;&lt;author&gt;Neff, Linda J.&lt;/author&gt;&lt;/authors&gt;&lt;/contributors&gt;&lt;titles&gt;&lt;title&gt;Current Cigarette Smoking Among Adults — United States, 2016&lt;/title&gt;&lt;secondary-title&gt;Morbidity and Mortality Weekly Report&lt;/secondary-title&gt;&lt;/titles&gt;&lt;periodical&gt;&lt;full-title&gt;Morbidity and Mortality Weekly Report&lt;/full-title&gt;&lt;/periodical&gt;&lt;pages&gt;53-59&lt;/pages&gt;&lt;volume&gt;67&lt;/volume&gt;&lt;number&gt;2&lt;/number&gt;&lt;keywords&gt;&lt;keyword&gt;Full Report&lt;/keyword&gt;&lt;/keywords&gt;&lt;dates&gt;&lt;year&gt;2018&lt;/year&gt;&lt;/dates&gt;&lt;isbn&gt;0149-2195&lt;/isbn&gt;&lt;urls&gt;&lt;/urls&gt;&lt;electronic-resource-num&gt;10.15585/mmwr.mm6702a1&lt;/electronic-resource-num&gt;&lt;/record&gt;&lt;/Cite&gt;&lt;/EndNote&gt;</w:instrText>
      </w:r>
      <w:r>
        <w:fldChar w:fldCharType="separate"/>
      </w:r>
      <w:r>
        <w:rPr>
          <w:noProof/>
        </w:rPr>
        <w:t>(Jamal, Phillips et al. 2018)</w:t>
      </w:r>
      <w:r>
        <w:fldChar w:fldCharType="end"/>
      </w:r>
      <w:r>
        <w:t xml:space="preserve">. This represents a change from 45.1 million people in 2005 to 37.8 million in 2016. However the prevalence for current smoking did not change from 2015 (15.1%) to 2016. The prevalence of current smokers varies by many demographic factors being higher in men than women, lower for people over 65 years of age, higher for people living below the poverty line, higher for people identifying as Gay/Lesbian/Bisexual, lower for people with higher educational attainment and much higher (35.8%) for people assessed as being in serious psychological distress.  </w:t>
      </w:r>
    </w:p>
    <w:p w14:paraId="39A3D288" w14:textId="7B072B53" w:rsidR="00035F43" w:rsidRDefault="00035F43" w:rsidP="00035F43">
      <w:pPr>
        <w:pStyle w:val="BodyText"/>
      </w:pPr>
      <w:r>
        <w:t xml:space="preserve">The quit ratio has been increasing over the period 2005 to 2016 (Figure </w:t>
      </w:r>
      <w:r w:rsidR="0049340A">
        <w:t>6</w:t>
      </w:r>
      <w:r>
        <w:t xml:space="preserve">) although it may have also flattened for 2015 and 2016. The quit ratio is the percentage of former smokers amongst ever smokers, and therefore an increasing quit ratio is consistent with a decreasing prevalence of current smokers. The authors of this report </w:t>
      </w:r>
      <w:r>
        <w:fldChar w:fldCharType="begin"/>
      </w:r>
      <w:r w:rsidR="00903735">
        <w:instrText xml:space="preserve"> ADDIN EN.CITE &lt;EndNote&gt;&lt;Cite&gt;&lt;Author&gt;Jamal&lt;/Author&gt;&lt;Year&gt;2018&lt;/Year&gt;&lt;RecNum&gt;13425&lt;/RecNum&gt;&lt;DisplayText&gt;(Jamal, Phillips et al. 2018)&lt;/DisplayText&gt;&lt;record&gt;&lt;rec-number&gt;13425&lt;/rec-number&gt;&lt;foreign-keys&gt;&lt;key app="EN" db-id="5xv5w5t2bdxtxfezx02xtxdft5rz5ptvvt29" timestamp="1526261368"&gt;13425&lt;/key&gt;&lt;/foreign-keys&gt;&lt;ref-type name="Journal Article"&gt;17&lt;/ref-type&gt;&lt;contributors&gt;&lt;authors&gt;&lt;author&gt;Jamal, Ahmed&lt;/author&gt;&lt;author&gt;Phillips, Elyse&lt;/author&gt;&lt;author&gt;Gentzke, Andrea S.&lt;/author&gt;&lt;author&gt;Homa, David M.&lt;/author&gt;&lt;author&gt;Babb, Stephen D.&lt;/author&gt;&lt;author&gt;King, Brian A.&lt;/author&gt;&lt;author&gt;Neff, Linda J.&lt;/author&gt;&lt;/authors&gt;&lt;/contributors&gt;&lt;titles&gt;&lt;title&gt;Current Cigarette Smoking Among Adults — United States, 2016&lt;/title&gt;&lt;secondary-title&gt;Morbidity and Mortality Weekly Report&lt;/secondary-title&gt;&lt;/titles&gt;&lt;periodical&gt;&lt;full-title&gt;Morbidity and Mortality Weekly Report&lt;/full-title&gt;&lt;/periodical&gt;&lt;pages&gt;53-59&lt;/pages&gt;&lt;volume&gt;67&lt;/volume&gt;&lt;number&gt;2&lt;/number&gt;&lt;keywords&gt;&lt;keyword&gt;Full Report&lt;/keyword&gt;&lt;/keywords&gt;&lt;dates&gt;&lt;year&gt;2018&lt;/year&gt;&lt;/dates&gt;&lt;isbn&gt;0149-2195&lt;/isbn&gt;&lt;urls&gt;&lt;/urls&gt;&lt;electronic-resource-num&gt;10.15585/mmwr.mm6702a1&lt;/electronic-resource-num&gt;&lt;/record&gt;&lt;/Cite&gt;&lt;/EndNote&gt;</w:instrText>
      </w:r>
      <w:r>
        <w:fldChar w:fldCharType="separate"/>
      </w:r>
      <w:r>
        <w:rPr>
          <w:noProof/>
        </w:rPr>
        <w:t>(Jamal, Phillips et al. 2018)</w:t>
      </w:r>
      <w:r>
        <w:fldChar w:fldCharType="end"/>
      </w:r>
      <w:r>
        <w:t xml:space="preserve"> suggest that one reason for the flattening of the trend may be increased nicotine dependence from the concurrent use of other products. The prevalence of ever use, or current use, of e</w:t>
      </w:r>
      <w:r>
        <w:noBreakHyphen/>
        <w:t>cigarettes among US adults is higher for younger age groups, however the trend of the quit ratio lines do not appear to differ by age group which argues against use of e</w:t>
      </w:r>
      <w:r>
        <w:noBreakHyphen/>
        <w:t>cigarettes having much impact on the quit ratio. However, even among the age group that uses e</w:t>
      </w:r>
      <w:r>
        <w:noBreakHyphen/>
        <w:t>cigarettes the most (18</w:t>
      </w:r>
      <w:r>
        <w:noBreakHyphen/>
        <w:t>24 year olds), the prevalence of current e</w:t>
      </w:r>
      <w:r>
        <w:noBreakHyphen/>
        <w:t xml:space="preserve">cigarette users is only 5.1% </w:t>
      </w:r>
      <w:r>
        <w:fldChar w:fldCharType="begin"/>
      </w:r>
      <w:r>
        <w:instrText xml:space="preserve"> ADDIN EN.CITE &lt;EndNote&gt;&lt;Cite&gt;&lt;Author&gt;Schoenborn&lt;/Author&gt;&lt;Year&gt;2017&lt;/Year&gt;&lt;RecNum&gt;5952&lt;/RecNum&gt;&lt;DisplayText&gt;(Schoenborn and Clarke 2017)&lt;/DisplayText&gt;&lt;record&gt;&lt;rec-number&gt;5952&lt;/rec-number&gt;&lt;foreign-keys&gt;&lt;key app="EN" db-id="5xv5w5t2bdxtxfezx02xtxdft5rz5ptvvt29" timestamp="1520573642"&gt;5952&lt;/key&gt;&lt;/foreign-keys&gt;&lt;ref-type name="Journal Article"&gt;17&lt;/ref-type&gt;&lt;contributors&gt;&lt;authors&gt;&lt;author&gt;Schoenborn, Charlotte A.&lt;/author&gt;&lt;author&gt;Clarke, Tainya C.&lt;/author&gt;&lt;/authors&gt;&lt;/contributors&gt;&lt;titles&gt;&lt;title&gt;Percentage of Adults Who Ever Used an E-cigarette and Percentage Who Currently Use E-cigarettes, by Age Group - National Health Interview Survey, United States, 2016&lt;/title&gt;&lt;secondary-title&gt;Mmwr-Morbidity and Mortality Weekly Report&lt;/secondary-title&gt;&lt;/titles&gt;&lt;periodical&gt;&lt;full-title&gt;Mmwr-Morbidity and Mortality Weekly Report&lt;/full-title&gt;&lt;/periodical&gt;&lt;pages&gt;892-892&lt;/pages&gt;&lt;volume&gt;66&lt;/volume&gt;&lt;number&gt;33&lt;/number&gt;&lt;dates&gt;&lt;year&gt;2017&lt;/year&gt;&lt;pub-dates&gt;&lt;date&gt;Aug 25&lt;/date&gt;&lt;/pub-dates&gt;&lt;/dates&gt;&lt;isbn&gt;0149-2195&lt;/isbn&gt;&lt;accession-num&gt;WOS:000408306200006&lt;/accession-num&gt;&lt;urls&gt;&lt;related-urls&gt;&lt;url&gt;&amp;lt;Go to ISI&amp;gt;://WOS:000408306200006&lt;/url&gt;&lt;url&gt;https://www.cdc.gov/mmwr/volumes/66/wr/mm6633a6.htm&lt;/url&gt;&lt;/related-urls&gt;&lt;/urls&gt;&lt;/record&gt;&lt;/Cite&gt;&lt;/EndNote&gt;</w:instrText>
      </w:r>
      <w:r>
        <w:fldChar w:fldCharType="separate"/>
      </w:r>
      <w:r>
        <w:rPr>
          <w:noProof/>
        </w:rPr>
        <w:t>(Schoenborn and Clarke 2017)</w:t>
      </w:r>
      <w:r>
        <w:fldChar w:fldCharType="end"/>
      </w:r>
      <w:r>
        <w:t xml:space="preserve">.  </w:t>
      </w:r>
      <w:r w:rsidR="008146F9">
        <w:t xml:space="preserve"> </w:t>
      </w:r>
    </w:p>
    <w:p w14:paraId="5CD085FE" w14:textId="77777777" w:rsidR="00035F43" w:rsidRDefault="00035F43" w:rsidP="00035F43">
      <w:pPr>
        <w:pStyle w:val="BodyText"/>
      </w:pPr>
    </w:p>
    <w:p w14:paraId="46B15244" w14:textId="77777777" w:rsidR="00035F43" w:rsidRDefault="0049340A" w:rsidP="0049340A">
      <w:pPr>
        <w:pStyle w:val="Caption"/>
      </w:pPr>
      <w:bookmarkStart w:id="170" w:name="_Toc516647204"/>
      <w:bookmarkStart w:id="171" w:name="_Toc517707392"/>
      <w:r>
        <w:t xml:space="preserve">Figure </w:t>
      </w:r>
      <w:r w:rsidR="0048064B">
        <w:rPr>
          <w:noProof/>
        </w:rPr>
        <w:fldChar w:fldCharType="begin"/>
      </w:r>
      <w:r w:rsidR="0048064B">
        <w:rPr>
          <w:noProof/>
        </w:rPr>
        <w:instrText xml:space="preserve"> SEQ Figure \* ARABIC </w:instrText>
      </w:r>
      <w:r w:rsidR="0048064B">
        <w:rPr>
          <w:noProof/>
        </w:rPr>
        <w:fldChar w:fldCharType="separate"/>
      </w:r>
      <w:r w:rsidR="000C06DA">
        <w:rPr>
          <w:noProof/>
        </w:rPr>
        <w:t>6</w:t>
      </w:r>
      <w:r w:rsidR="0048064B">
        <w:rPr>
          <w:noProof/>
        </w:rPr>
        <w:fldChar w:fldCharType="end"/>
      </w:r>
      <w:r w:rsidR="00035F43">
        <w:t xml:space="preserve">: The Quit Ratio* among US ever smokers aged </w:t>
      </w:r>
      <w:r w:rsidR="00035F43" w:rsidRPr="0034108D">
        <w:rPr>
          <w:u w:val="single"/>
        </w:rPr>
        <w:t>&gt;</w:t>
      </w:r>
      <w:r w:rsidR="00035F43">
        <w:t xml:space="preserve"> 18 years</w:t>
      </w:r>
      <w:bookmarkEnd w:id="170"/>
      <w:bookmarkEnd w:id="171"/>
      <w:r w:rsidR="00035F43">
        <w:t xml:space="preserve"> </w:t>
      </w:r>
    </w:p>
    <w:p w14:paraId="1BADD13F" w14:textId="77777777" w:rsidR="00035F43" w:rsidRDefault="00035F43" w:rsidP="00035F43">
      <w:pPr>
        <w:pStyle w:val="BodyText"/>
      </w:pPr>
      <w:r>
        <w:rPr>
          <w:rFonts w:ascii="Helvetica" w:hAnsi="Helvetica" w:cs="Helvetica"/>
          <w:noProof/>
          <w:color w:val="333333"/>
          <w:sz w:val="21"/>
          <w:szCs w:val="21"/>
        </w:rPr>
        <w:drawing>
          <wp:inline distT="0" distB="0" distL="0" distR="0" wp14:anchorId="35AA5898" wp14:editId="605217B2">
            <wp:extent cx="6120130" cy="2495060"/>
            <wp:effectExtent l="0" t="0" r="0" b="635"/>
            <wp:docPr id="17" name="Picture 17" descr="The figure above is a line graph showing the quit ratios among ever smokers aged ≥18 years, overall and by age group, in the United States, during 2005–2016." title="a line graph showing the quit ratios among ever smokers aged ≥18 years, overall and by age group, in the United States, during 2005–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figure above is a line graph showing the quit ratios among ever smokers aged ≥18 years, overall and by age group, in the United States, during 2005–20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0130" cy="2495060"/>
                    </a:xfrm>
                    <a:prstGeom prst="rect">
                      <a:avLst/>
                    </a:prstGeom>
                    <a:noFill/>
                    <a:ln>
                      <a:noFill/>
                    </a:ln>
                  </pic:spPr>
                </pic:pic>
              </a:graphicData>
            </a:graphic>
          </wp:inline>
        </w:drawing>
      </w:r>
    </w:p>
    <w:p w14:paraId="76412FDB" w14:textId="77777777" w:rsidR="00035F43" w:rsidRDefault="00035F43" w:rsidP="00035F43">
      <w:pPr>
        <w:pStyle w:val="FigureTableSource"/>
        <w:spacing w:before="0" w:after="0"/>
        <w:rPr>
          <w:lang w:val="en-US"/>
        </w:rPr>
      </w:pPr>
      <w:r>
        <w:rPr>
          <w:lang w:val="en-US"/>
        </w:rPr>
        <w:t xml:space="preserve">* Quit ratio is defined as the ratio of former smokers to ever smokers for each survey year. </w:t>
      </w:r>
    </w:p>
    <w:p w14:paraId="3DD5D9D2" w14:textId="77777777" w:rsidR="00035F43" w:rsidRPr="007E357C" w:rsidRDefault="00035F43" w:rsidP="007E357C">
      <w:pPr>
        <w:pStyle w:val="FigureTableSource"/>
        <w:spacing w:before="0" w:after="0"/>
        <w:rPr>
          <w:lang w:val="en-US"/>
        </w:rPr>
      </w:pPr>
      <w:r>
        <w:rPr>
          <w:lang w:val="en-US"/>
        </w:rPr>
        <w:t>The ethnicity</w:t>
      </w:r>
      <w:r>
        <w:rPr>
          <w:lang w:val="en-US"/>
        </w:rPr>
        <w:noBreakHyphen/>
        <w:t xml:space="preserve"> and age</w:t>
      </w:r>
      <w:r>
        <w:rPr>
          <w:lang w:val="en-US"/>
        </w:rPr>
        <w:noBreakHyphen/>
        <w:t xml:space="preserve">adjusted trend is significant overall and for all age groups </w:t>
      </w:r>
    </w:p>
    <w:p w14:paraId="50123178" w14:textId="3395704D" w:rsidR="00035F43" w:rsidRDefault="00035F43" w:rsidP="00035F43">
      <w:pPr>
        <w:pStyle w:val="Heading2"/>
        <w:ind w:left="1134" w:hanging="1134"/>
      </w:pPr>
      <w:bookmarkStart w:id="172" w:name="_Toc517706696"/>
      <w:r>
        <w:t xml:space="preserve">Key </w:t>
      </w:r>
      <w:r w:rsidR="0021563A">
        <w:t>f</w:t>
      </w:r>
      <w:r>
        <w:t>indings</w:t>
      </w:r>
      <w:bookmarkEnd w:id="172"/>
    </w:p>
    <w:p w14:paraId="65009CD0" w14:textId="77777777" w:rsidR="00035F43" w:rsidRPr="009D1969" w:rsidRDefault="00035F43" w:rsidP="00634034">
      <w:pPr>
        <w:pStyle w:val="BodyText"/>
        <w:numPr>
          <w:ilvl w:val="0"/>
          <w:numId w:val="71"/>
        </w:numPr>
      </w:pPr>
      <w:r w:rsidRPr="009D1969">
        <w:t>There is no apparent change in the decreasing trend of age</w:t>
      </w:r>
      <w:r w:rsidRPr="009D1969">
        <w:noBreakHyphen/>
        <w:t>adjusted Chronic Obstructive Pulmonary Disease deaths over the period of 2000</w:t>
      </w:r>
      <w:r w:rsidRPr="009D1969">
        <w:noBreakHyphen/>
        <w:t>2014</w:t>
      </w:r>
      <w:r>
        <w:t xml:space="preserve"> in the US when use of e-cigarettes was increasing in prevalence.</w:t>
      </w:r>
    </w:p>
    <w:p w14:paraId="638CB7B2" w14:textId="5C949A93" w:rsidR="00035F43" w:rsidRPr="009D1969" w:rsidRDefault="00035F43" w:rsidP="00634034">
      <w:pPr>
        <w:pStyle w:val="BodyText"/>
        <w:numPr>
          <w:ilvl w:val="0"/>
          <w:numId w:val="71"/>
        </w:numPr>
      </w:pPr>
      <w:r w:rsidRPr="009D1969">
        <w:t>The trend for no change in the prevalence of age</w:t>
      </w:r>
      <w:r w:rsidRPr="009D1969">
        <w:noBreakHyphen/>
        <w:t xml:space="preserve">adjusted hypertension </w:t>
      </w:r>
      <w:r>
        <w:t>over the period</w:t>
      </w:r>
      <w:r w:rsidRPr="009D1969">
        <w:t xml:space="preserve"> 1999</w:t>
      </w:r>
      <w:r w:rsidRPr="009D1969">
        <w:noBreakHyphen/>
        <w:t>2016</w:t>
      </w:r>
      <w:r>
        <w:t xml:space="preserve"> in the US</w:t>
      </w:r>
      <w:r w:rsidR="004769EC">
        <w:t xml:space="preserve"> does not show any break in trend that could be attributed to e</w:t>
      </w:r>
      <w:r w:rsidR="004769EC">
        <w:noBreakHyphen/>
        <w:t>cigarettes</w:t>
      </w:r>
      <w:r w:rsidRPr="009D1969">
        <w:t>.</w:t>
      </w:r>
    </w:p>
    <w:p w14:paraId="2870033A" w14:textId="77777777" w:rsidR="00637800" w:rsidRDefault="00035F43" w:rsidP="00634034">
      <w:pPr>
        <w:pStyle w:val="BodyText"/>
        <w:numPr>
          <w:ilvl w:val="0"/>
          <w:numId w:val="71"/>
        </w:numPr>
      </w:pPr>
      <w:r w:rsidRPr="009D1969">
        <w:lastRenderedPageBreak/>
        <w:t>Consistent with the trend towards less current smokers, the Quit ratio (the ratio of former smokers to ever smokers) is slowly increasing over 2005</w:t>
      </w:r>
      <w:r w:rsidRPr="009D1969">
        <w:noBreakHyphen/>
        <w:t>2016</w:t>
      </w:r>
      <w:r>
        <w:t xml:space="preserve"> in the US</w:t>
      </w:r>
      <w:r w:rsidRPr="009D1969">
        <w:t>. There is no break in trend to indicate an effect of e</w:t>
      </w:r>
      <w:r w:rsidRPr="009D1969">
        <w:noBreakHyphen/>
        <w:t>cigarettes although the low prevalence of e</w:t>
      </w:r>
      <w:r w:rsidRPr="009D1969">
        <w:noBreakHyphen/>
        <w:t>cigarettes use would not be expected to have a marked impact.</w:t>
      </w:r>
    </w:p>
    <w:p w14:paraId="6C38A08F" w14:textId="77777777" w:rsidR="00A53F7E" w:rsidRDefault="00A53F7E" w:rsidP="00035F43">
      <w:pPr>
        <w:pStyle w:val="BodyText"/>
      </w:pPr>
    </w:p>
    <w:p w14:paraId="53747BA5" w14:textId="77777777" w:rsidR="00A53F7E" w:rsidRDefault="00A53F7E" w:rsidP="00A53F7E">
      <w:pPr>
        <w:pStyle w:val="Heading1"/>
      </w:pPr>
      <w:bookmarkStart w:id="173" w:name="_Toc517706697"/>
      <w:r>
        <w:lastRenderedPageBreak/>
        <w:t>Modelling studies</w:t>
      </w:r>
      <w:bookmarkEnd w:id="173"/>
    </w:p>
    <w:p w14:paraId="36B83FC9" w14:textId="77777777" w:rsidR="00A53F7E" w:rsidRPr="009A20E5" w:rsidRDefault="00A53F7E" w:rsidP="00A53F7E">
      <w:pPr>
        <w:pStyle w:val="Heading2"/>
        <w:ind w:left="1134" w:hanging="1134"/>
      </w:pPr>
      <w:bookmarkStart w:id="174" w:name="_Toc517706698"/>
      <w:r w:rsidRPr="009A20E5">
        <w:t>Introduction</w:t>
      </w:r>
      <w:bookmarkEnd w:id="174"/>
      <w:r>
        <w:t xml:space="preserve"> </w:t>
      </w:r>
    </w:p>
    <w:p w14:paraId="5573C980" w14:textId="77777777" w:rsidR="00A53F7E" w:rsidRDefault="00A53F7E" w:rsidP="00A53F7E">
      <w:pPr>
        <w:pStyle w:val="BodyText"/>
      </w:pPr>
      <w:r>
        <w:t xml:space="preserve">Modelling studies are a possible approach to </w:t>
      </w:r>
      <w:r w:rsidR="008744C7">
        <w:t>estimat</w:t>
      </w:r>
      <w:r>
        <w:t>ing the health impact of a factor in a complex system. Mathematical models are always simplifications and are often developed in the context of incomplete information. Assumptions are required to be made to construct models, and some of the model parameters may need to be estimated rather than measured. For this reason, while models may be informative, a weakness is their dependence on specific conditions and assumptions.</w:t>
      </w:r>
    </w:p>
    <w:p w14:paraId="56061847" w14:textId="77777777" w:rsidR="00A53F7E" w:rsidRDefault="00A53F7E" w:rsidP="00A53F7E">
      <w:pPr>
        <w:pStyle w:val="Heading2"/>
        <w:ind w:left="1134" w:hanging="1134"/>
      </w:pPr>
      <w:bookmarkStart w:id="175" w:name="_Toc514010122"/>
      <w:bookmarkStart w:id="176" w:name="_Toc517706699"/>
      <w:r>
        <w:t>Population health benefits and harms from e</w:t>
      </w:r>
      <w:r>
        <w:noBreakHyphen/>
        <w:t>cigarettes in the United States.</w:t>
      </w:r>
      <w:bookmarkEnd w:id="175"/>
      <w:bookmarkEnd w:id="176"/>
    </w:p>
    <w:p w14:paraId="42DE4165" w14:textId="77777777" w:rsidR="00A53F7E" w:rsidRDefault="00A53F7E" w:rsidP="00A53F7E">
      <w:pPr>
        <w:pStyle w:val="BodyText"/>
      </w:pPr>
      <w:r>
        <w:t xml:space="preserve">Researchers from the US undertook simulation modelling </w:t>
      </w:r>
      <w:r>
        <w:fldChar w:fldCharType="begin"/>
      </w:r>
      <w:r w:rsidR="00903735">
        <w:instrText xml:space="preserve"> ADDIN EN.CITE &lt;EndNote&gt;&lt;Cite&gt;&lt;Author&gt;Soneji&lt;/Author&gt;&lt;Year&gt;2018&lt;/Year&gt;&lt;RecNum&gt;13420&lt;/RecNum&gt;&lt;DisplayText&gt;(Soneji 2018)&lt;/DisplayText&gt;&lt;record&gt;&lt;rec-number&gt;13420&lt;/rec-number&gt;&lt;foreign-keys&gt;&lt;key app="EN" db-id="5xv5w5t2bdxtxfezx02xtxdft5rz5ptvvt29" timestamp="1526190598"&gt;13420&lt;/key&gt;&lt;/foreign-keys&gt;&lt;ref-type name="Journal Article"&gt;17&lt;/ref-type&gt;&lt;contributors&gt;&lt;authors&gt;&lt;author&gt;Soneji, S., Sung, H-Y, Primack, BA, Pierce, JP,  Sargent, JD.&lt;/author&gt;&lt;/authors&gt;&lt;/contributors&gt;&lt;titles&gt;&lt;title&gt;Quantifying population-level health benefits and harms of e-cigarette use in the United States.&lt;/title&gt;&lt;secondary-title&gt;PLoS One&lt;/secondary-title&gt;&lt;/titles&gt;&lt;periodical&gt;&lt;full-title&gt;PLoS One&lt;/full-title&gt;&lt;abbr-1&gt;PloS one&lt;/abbr-1&gt;&lt;/periodical&gt;&lt;pages&gt;e0193328&lt;/pages&gt;&lt;volume&gt;13&lt;/volume&gt;&lt;number&gt;3&lt;/number&gt;&lt;section&gt;e0193328&lt;/section&gt;&lt;dates&gt;&lt;year&gt;2018&lt;/year&gt;&lt;/dates&gt;&lt;urls&gt;&lt;/urls&gt;&lt;electronic-resource-num&gt;https:// doi.org/10.1371/journal.pone.0193328&lt;/electronic-resource-num&gt;&lt;/record&gt;&lt;/Cite&gt;&lt;/EndNote&gt;</w:instrText>
      </w:r>
      <w:r>
        <w:fldChar w:fldCharType="separate"/>
      </w:r>
      <w:r>
        <w:rPr>
          <w:noProof/>
        </w:rPr>
        <w:t>(Soneji 2018)</w:t>
      </w:r>
      <w:r>
        <w:fldChar w:fldCharType="end"/>
      </w:r>
      <w:r>
        <w:t xml:space="preserve"> to quantify the health benefits and harms of e</w:t>
      </w:r>
      <w:r>
        <w:noBreakHyphen/>
        <w:t>cigarette use in the United States. The approach taken was firstly, to</w:t>
      </w:r>
      <w:r w:rsidRPr="005E226E">
        <w:t xml:space="preserve"> estimate the number of years of life gained among the additional number of current cigarette smokers who quit smoking through the use of e</w:t>
      </w:r>
      <w:r>
        <w:noBreakHyphen/>
      </w:r>
      <w:r w:rsidRPr="005E226E">
        <w:t>cigarettes as a cessation tool, compared to those who did not use e</w:t>
      </w:r>
      <w:r>
        <w:noBreakHyphen/>
      </w:r>
      <w:r w:rsidRPr="005E226E">
        <w:t>cigarettes as a cessation tool, and remain continu</w:t>
      </w:r>
      <w:r>
        <w:t>ally abstinent from smoking for seven</w:t>
      </w:r>
      <w:r w:rsidRPr="005E226E">
        <w:t xml:space="preserve"> years</w:t>
      </w:r>
      <w:r>
        <w:t xml:space="preserve"> or more</w:t>
      </w:r>
      <w:r w:rsidRPr="005E226E">
        <w:t>.</w:t>
      </w:r>
      <w:r>
        <w:t xml:space="preserve"> Smokers who are abstinent for seven years rarely relapse, and the risk of death for ex</w:t>
      </w:r>
      <w:r>
        <w:noBreakHyphen/>
        <w:t>smokers after seven years approaches that of never smokers. For current cigarette smokers who use e</w:t>
      </w:r>
      <w:r>
        <w:noBreakHyphen/>
        <w:t xml:space="preserve">cigarettes to successfully quit smoking, harm reduction is assumed to be 95%. The second step was to quantify </w:t>
      </w:r>
      <w:r w:rsidRPr="00612825">
        <w:t>the number of years of life lost among the additional number of never</w:t>
      </w:r>
      <w:r>
        <w:noBreakHyphen/>
      </w:r>
      <w:r w:rsidRPr="00612825">
        <w:t>cigarette smoking adolescents and young adults who eventually become current daily cig</w:t>
      </w:r>
      <w:r>
        <w:t xml:space="preserve">arette smokers (and also smoked &gt; </w:t>
      </w:r>
      <w:r w:rsidRPr="00612825">
        <w:t>100 cigarettes in lifetime) at age 35–39</w:t>
      </w:r>
      <w:r>
        <w:t xml:space="preserve"> years</w:t>
      </w:r>
      <w:r w:rsidRPr="00612825">
        <w:t xml:space="preserve"> through the use of e</w:t>
      </w:r>
      <w:r>
        <w:noBreakHyphen/>
      </w:r>
      <w:r w:rsidRPr="00612825">
        <w:t>cigarettes</w:t>
      </w:r>
      <w:r>
        <w:t xml:space="preserve">. </w:t>
      </w:r>
    </w:p>
    <w:p w14:paraId="637FA538" w14:textId="77777777" w:rsidR="00A53F7E" w:rsidRDefault="00A53F7E" w:rsidP="00A53F7E">
      <w:pPr>
        <w:pStyle w:val="BodyText"/>
      </w:pPr>
      <w:r>
        <w:t xml:space="preserve">Four key parameters were varied in a sensitivity analysis. These were: </w:t>
      </w:r>
    </w:p>
    <w:p w14:paraId="32F233E8" w14:textId="77777777" w:rsidR="00A53F7E" w:rsidRDefault="00A53F7E" w:rsidP="00634034">
      <w:pPr>
        <w:pStyle w:val="BodyText"/>
        <w:numPr>
          <w:ilvl w:val="0"/>
          <w:numId w:val="72"/>
        </w:numPr>
      </w:pPr>
      <w:r w:rsidRPr="00612825">
        <w:t>the adjusted odds ratio of smoking cessati</w:t>
      </w:r>
      <w:r>
        <w:t>on (i.e. adjusted for using e</w:t>
      </w:r>
      <w:r>
        <w:noBreakHyphen/>
        <w:t xml:space="preserve">cigarettes or not); </w:t>
      </w:r>
    </w:p>
    <w:p w14:paraId="10BE079A" w14:textId="77777777" w:rsidR="00A53F7E" w:rsidRDefault="00A53F7E" w:rsidP="00634034">
      <w:pPr>
        <w:pStyle w:val="BodyText"/>
        <w:numPr>
          <w:ilvl w:val="0"/>
          <w:numId w:val="72"/>
        </w:numPr>
      </w:pPr>
      <w:r w:rsidRPr="00612825">
        <w:t>the adjusted odds ratio of</w:t>
      </w:r>
      <w:r>
        <w:t xml:space="preserve"> cigarette smoking initiation;</w:t>
      </w:r>
    </w:p>
    <w:p w14:paraId="65365AE3" w14:textId="77777777" w:rsidR="00A53F7E" w:rsidRDefault="00A53F7E" w:rsidP="00634034">
      <w:pPr>
        <w:pStyle w:val="BodyText"/>
        <w:numPr>
          <w:ilvl w:val="0"/>
          <w:numId w:val="72"/>
        </w:numPr>
      </w:pPr>
      <w:r>
        <w:t xml:space="preserve">the </w:t>
      </w:r>
      <w:r w:rsidRPr="00612825">
        <w:t>age</w:t>
      </w:r>
      <w:r>
        <w:noBreakHyphen/>
      </w:r>
      <w:r w:rsidRPr="00612825">
        <w:t>group</w:t>
      </w:r>
      <w:r>
        <w:noBreakHyphen/>
      </w:r>
      <w:r w:rsidRPr="00612825">
        <w:t>specific prevalence of current e</w:t>
      </w:r>
      <w:r>
        <w:noBreakHyphen/>
      </w:r>
      <w:r w:rsidRPr="00612825">
        <w:t>cigarette use among current cigarette smokers who tried quit</w:t>
      </w:r>
      <w:r>
        <w:t xml:space="preserve">ting within the past year; </w:t>
      </w:r>
    </w:p>
    <w:p w14:paraId="71499C4A" w14:textId="22B80EF1" w:rsidR="00A53F7E" w:rsidRDefault="00A53F7E" w:rsidP="00634034">
      <w:pPr>
        <w:pStyle w:val="BodyText"/>
        <w:numPr>
          <w:ilvl w:val="0"/>
          <w:numId w:val="72"/>
        </w:numPr>
      </w:pPr>
      <w:r>
        <w:t xml:space="preserve">the </w:t>
      </w:r>
      <w:r w:rsidRPr="00612825">
        <w:t>age</w:t>
      </w:r>
      <w:r>
        <w:noBreakHyphen/>
      </w:r>
      <w:r w:rsidRPr="00612825">
        <w:t>specific prevalence of ever having tried e</w:t>
      </w:r>
      <w:r>
        <w:noBreakHyphen/>
      </w:r>
      <w:r w:rsidRPr="00612825">
        <w:t>cigarettes among never cigarette smokers.</w:t>
      </w:r>
      <w:r w:rsidR="008146F9">
        <w:t xml:space="preserve"> </w:t>
      </w:r>
    </w:p>
    <w:p w14:paraId="2FFDBD51" w14:textId="77777777" w:rsidR="00A53F7E" w:rsidRDefault="00A53F7E" w:rsidP="00A53F7E">
      <w:pPr>
        <w:pStyle w:val="BodyText"/>
      </w:pPr>
      <w:r w:rsidRPr="004230D5">
        <w:t>Finally, the relative harm of e</w:t>
      </w:r>
      <w:r>
        <w:noBreakHyphen/>
      </w:r>
      <w:r w:rsidRPr="004230D5">
        <w:t>cigarette use, compared to cigarette smoking, in terms of the number of years of life gained from quitting cigarette smoking was varied from 0% to 100%.</w:t>
      </w:r>
    </w:p>
    <w:p w14:paraId="34549EC6" w14:textId="77777777" w:rsidR="00A53F7E" w:rsidRDefault="00A53F7E" w:rsidP="00A53F7E">
      <w:pPr>
        <w:pStyle w:val="BodyText"/>
      </w:pPr>
      <w:r w:rsidRPr="004230D5">
        <w:lastRenderedPageBreak/>
        <w:t>The model estimated that the 2,070 additional long</w:t>
      </w:r>
      <w:r>
        <w:noBreakHyphen/>
      </w:r>
      <w:r w:rsidRPr="004230D5">
        <w:t xml:space="preserve">term quitters would gain 3,000 years of life (95% CI: </w:t>
      </w:r>
      <w:r>
        <w:noBreakHyphen/>
      </w:r>
      <w:r w:rsidRPr="004230D5">
        <w:t>3</w:t>
      </w:r>
      <w:r>
        <w:t>2</w:t>
      </w:r>
      <w:r w:rsidRPr="004230D5">
        <w:t>5</w:t>
      </w:r>
      <w:r>
        <w:t>,000 to 3</w:t>
      </w:r>
      <w:r w:rsidRPr="004230D5">
        <w:t>5</w:t>
      </w:r>
      <w:r>
        <w:t>1</w:t>
      </w:r>
      <w:r w:rsidRPr="004230D5">
        <w:t>,000). The model also estimated the additional 168,000 adolescent and young adult cigarette smoking initiators who eventually become daily cigarette smokers at age 35</w:t>
      </w:r>
      <w:r>
        <w:noBreakHyphen/>
      </w:r>
      <w:r w:rsidRPr="004230D5">
        <w:t>39</w:t>
      </w:r>
      <w:r>
        <w:t xml:space="preserve"> years wou</w:t>
      </w:r>
      <w:r w:rsidRPr="004230D5">
        <w:t>l</w:t>
      </w:r>
      <w:r>
        <w:t>d</w:t>
      </w:r>
      <w:r w:rsidRPr="004230D5">
        <w:t xml:space="preserve"> lose 1,510,000 years of life (95% CI: 1,030,000 to 2,060,000). </w:t>
      </w:r>
      <w:r>
        <w:t xml:space="preserve">Considering </w:t>
      </w:r>
      <w:r w:rsidRPr="004230D5">
        <w:t>all population subgroups, the model estimated that e</w:t>
      </w:r>
      <w:r>
        <w:noBreakHyphen/>
      </w:r>
      <w:r w:rsidRPr="004230D5">
        <w:t>cigarette use in 2014 would lead to 1,510,000 years of life lost (95% CI: 9</w:t>
      </w:r>
      <w:r>
        <w:t>20,000 to 2,160,000</w:t>
      </w:r>
      <w:r w:rsidRPr="004230D5">
        <w:t>) assuming an approximate 95% relative harm reduction of e</w:t>
      </w:r>
      <w:r>
        <w:noBreakHyphen/>
      </w:r>
      <w:r w:rsidRPr="004230D5">
        <w:t>cigarette use compared to cigarette smoking.</w:t>
      </w:r>
      <w:r>
        <w:t xml:space="preserve"> The model was not very sensitive to the percentage of relative harm reduction of e-cigarette use compared to cigarette smoking because the impact of quitting smoking because of e-cigarettes was overwhelmed by the impact of taking up smoking because of e-cigarettes. </w:t>
      </w:r>
    </w:p>
    <w:p w14:paraId="2D5BDD4F" w14:textId="77777777" w:rsidR="00A53F7E" w:rsidRDefault="00A53F7E" w:rsidP="00A53F7E">
      <w:pPr>
        <w:pStyle w:val="BodyText"/>
      </w:pPr>
      <w:r>
        <w:t>The authors conclude</w:t>
      </w:r>
      <w:r w:rsidRPr="004230D5">
        <w:t>, based on currently available evidence on the e</w:t>
      </w:r>
      <w:r>
        <w:noBreakHyphen/>
      </w:r>
      <w:r w:rsidRPr="004230D5">
        <w:t xml:space="preserve">cigarette associated transition probabilities of cigarette smoking cessation and initiation, </w:t>
      </w:r>
      <w:r>
        <w:t xml:space="preserve">that </w:t>
      </w:r>
      <w:r w:rsidRPr="004230D5">
        <w:t>e</w:t>
      </w:r>
      <w:r>
        <w:noBreakHyphen/>
      </w:r>
      <w:r w:rsidRPr="004230D5">
        <w:t xml:space="preserve">cigarettes </w:t>
      </w:r>
      <w:r>
        <w:t>will result in</w:t>
      </w:r>
      <w:r w:rsidRPr="004230D5">
        <w:t xml:space="preserve"> more harm than they confer benefit at the population level.</w:t>
      </w:r>
      <w:r>
        <w:t xml:space="preserve"> </w:t>
      </w:r>
    </w:p>
    <w:p w14:paraId="3845EF33" w14:textId="77777777" w:rsidR="00A53F7E" w:rsidRDefault="00A53F7E" w:rsidP="00A53F7E">
      <w:pPr>
        <w:pStyle w:val="BodyText"/>
      </w:pPr>
      <w:r>
        <w:t>The authors did not model an effect of e</w:t>
      </w:r>
      <w:r>
        <w:noBreakHyphen/>
        <w:t>cigarette use among current smokers to reduce the amount of conventional cigarettes smoked, although there is uncertainty about whether this occurs. The result for year of life lost would improve if e</w:t>
      </w:r>
      <w:r>
        <w:noBreakHyphen/>
        <w:t>cigarettes were a much more effective means of cigarette cessation than other methods – the threshold for an overall positive result is that e</w:t>
      </w:r>
      <w:r>
        <w:noBreakHyphen/>
        <w:t>cigarettes would need to be at least 2.55 times more effective than other smoking cessation methods. It should be emphasised that many parameters in the model are not known – for example, the transition to smoking from e</w:t>
      </w:r>
      <w:r>
        <w:noBreakHyphen/>
        <w:t>cigarette use for youth, the rate of smoking cessation and relapse using different smoking cessation methods.</w:t>
      </w:r>
    </w:p>
    <w:p w14:paraId="6DF646A6" w14:textId="4BFAE7B2" w:rsidR="00A53F7E" w:rsidRDefault="00A53F7E" w:rsidP="00A53F7E">
      <w:pPr>
        <w:pStyle w:val="BodyText"/>
      </w:pPr>
      <w:r>
        <w:t>However this model highlights the very large public health issue of young people initiating cigarette smoking because of trying e</w:t>
      </w:r>
      <w:r>
        <w:noBreakHyphen/>
        <w:t>cigarettes (if this is, in fact, a causal relationship – there is some strong observational evidence for it following meta</w:t>
      </w:r>
      <w:r>
        <w:noBreakHyphen/>
        <w:t xml:space="preserve">analysis </w:t>
      </w:r>
      <w:r>
        <w:fldChar w:fldCharType="begin">
          <w:fldData xml:space="preserve">PEVuZE5vdGU+PENpdGU+PEF1dGhvcj5Tb25lamk8L0F1dGhvcj48WWVhcj4yMDE3PC9ZZWFyPjxS
ZWNOdW0+NTQwPC9SZWNOdW0+PERpc3BsYXlUZXh0PihTb25lamksIEJhcnJpbmd0b24tVHJpbWlz
IGV0IGFsLiAyMDE3KTwvRGlzcGxheVRleHQ+PHJlY29yZD48cmVjLW51bWJlcj41NDA8L3JlYy1u
dW1iZXI+PGZvcmVpZ24ta2V5cz48a2V5IGFwcD0iRU4iIGRiLWlkPSI1eHY1dzV0MmJkeHR4ZmV6
eDAyeHR4ZGZ0NXJ6NXB0dnZ0MjkiIHRpbWVzdGFtcD0iMTUyMDU2ODQ2NSI+NTQwPC9rZXk+PGtl
eSBhcHA9IkVOV2ViIiBkYi1pZD0iIj4wPC9rZXk+PC9mb3JlaWduLWtleXM+PHJlZi10eXBlIG5h
bWU9IkpvdXJuYWwgQXJ0aWNsZSI+MTc8L3JlZi10eXBlPjxjb250cmlidXRvcnM+PGF1dGhvcnM+
PGF1dGhvcj5Tb25lamksIFMuPC9hdXRob3I+PGF1dGhvcj5CYXJyaW5ndG9uLVRyaW1pcywgSi4g
TC48L2F1dGhvcj48YXV0aG9yPldpbGxzLCBULiBBLjwvYXV0aG9yPjxhdXRob3I+TGV2ZW50aGFs
LCBBLiBNLjwvYXV0aG9yPjxhdXRob3I+VW5nZXIsIEouIEIuPC9hdXRob3I+PGF1dGhvcj5HaWJz
b24sIEwuIEEuPC9hdXRob3I+PGF1dGhvcj5ZYW5nLCBKLjwvYXV0aG9yPjxhdXRob3I+UHJpbWFj
aywgQi4gQS48L2F1dGhvcj48YXV0aG9yPkFuZHJld3MsIEouIEEuPC9hdXRob3I+PGF1dGhvcj5N
aWVjaCwgUi4gQS48L2F1dGhvcj48YXV0aG9yPlNwaW5kbGUsIFQuIFIuPC9hdXRob3I+PGF1dGhv
cj5EaWNrLCBELiBNLjwvYXV0aG9yPjxhdXRob3I+RWlzc2VuYmVyZywgVC48L2F1dGhvcj48YXV0
aG9yPkhvcm5paywgUi4gQy48L2F1dGhvcj48YXV0aG9yPkRhbmcsIFIuPC9hdXRob3I+PGF1dGhv
cj5TYXJnZW50LCBKLiBELjwvYXV0aG9yPjwvYXV0aG9ycz48L2NvbnRyaWJ1dG9ycz48YXV0aC1h
ZGRyZXNzPkRhcnRtb3V0aC1IaXRjaGNvY2sgTm9ycmlzIENvdHRvbiBDYW5jZXIgQ2VudGVyLCBE
YXJ0bW91dGggR2Vpc2VsIFNjaG9vbCBvZiBNZWRpY2luZSwgTGViYW5vbiwgTmV3IEhhbXBzaGly
ZS4mI3hEO1RoZSBEYXJ0bW91dGggSW5zdGl0dXRlIGZvciBIZWFsdGggUG9saWN5IGFuZCBDbGlu
aWNhbCBQcmFjdGljZSwgRGFydG1vdXRoIEdlaXNlbCBTY2hvb2wgb2YgTWVkaWNpbmUsIExlYmFu
b24sIE5ldyBIYW1wc2hpcmUuJiN4RDtEZXBhcnRtZW50IG9mIFByZXZlbnRpdmUgTWVkaWNpbmUs
IEtlY2sgU2Nob29sIG9mIE1lZGljaW5lIG9mIFVTQywgVW5pdmVyc2l0eSBvZiBTb3V0aGVybiBD
YWxpZm9ybmlhLCBMb3MgQW5nZWxlcy4mI3hEO1VuaXZlcnNpdHkgb2YgSGF3YWlpIENhbmNlciBD
ZW50ZXIsIEhvbm9sdWx1LiYjeEQ7QW5uZW5iZXJnIFNjaG9vbCBmb3IgQ29tbXVuaWNhdGlvbiwg
VW5pdmVyc2l0eSBvZiBQZW5uc3lsdmFuaWEsIFBoaWxhZGVscGhpYS4mI3hEO2N1cnJlbnRseSBh
IG1lZGljYWwgc3R1ZGVudCBhdCBXYXJyZW4gQWxwZXJ0IE1lZGljYWwgU2Nob29sIG9mIEJyb3du
IFVuaXZlcnNpdHksIFByb3ZpZGVuY2UsIFJob2RlIElzbGFuZC4mI3hEO0RpdmlzaW9uIG9mIEdl
bmVyYWwgSW50ZXJuYWwgTWVkaWNpbmUsIERlcGFydG1lbnQgb2YgTWVkaWNpbmUsIFNjaG9vbCBv
ZiBNZWRpY2luZSwgVW5pdmVyc2l0eSBvZiBQaXR0c2J1cmdoLCBQaXR0c2J1cmdoLCBQZW5uc3ls
dmFuaWEuJiN4RDtPcmVnb24gUmVzZWFyY2ggSW5zdGl0dXRlLCBFdWdlbmUuJiN4RDtJbnN0aXR1
dGUgZm9yIFNvY2lhbCBSZXNlYXJjaCwgVW5pdmVyc2l0eSBvZiBNaWNoaWdhbiwgQW5uIEFyYm9y
LiYjeEQ7RGVwYXJ0bWVudCBvZiBQc3ljaG9sb2d5LCBWaXJnaW5pYSBDb21tb253ZWFsdGggVW5p
dmVyc2l0eSwgUmljaG1vbmQuPC9hdXRoLWFkZHJlc3M+PHRpdGxlcz48dGl0bGU+QXNzb2NpYXRp
b24gQmV0d2VlbiBJbml0aWFsIFVzZSBvZiBlLUNpZ2FyZXR0ZXMgYW5kIFN1YnNlcXVlbnQgQ2ln
YXJldHRlIFNtb2tpbmcgQW1vbmcgQWRvbGVzY2VudHMgYW5kIFlvdW5nIEFkdWx0czogQSBTeXN0
ZW1hdGljIFJldmlldyBhbmQgTWV0YS1hbmFseXNpczwvdGl0bGU+PHNlY29uZGFyeS10aXRsZT5K
QU1BIFBlZGlhdHI8L3NlY29uZGFyeS10aXRsZT48YWx0LXRpdGxlPkpBTUEgcGVkaWF0cmljczwv
YWx0LXRpdGxlPjwvdGl0bGVzPjxwZXJpb2RpY2FsPjxmdWxsLXRpdGxlPkpBTUEgUGVkaWF0cjwv
ZnVsbC10aXRsZT48YWJici0xPkpBTUEgcGVkaWF0cmljczwvYWJici0xPjwvcGVyaW9kaWNhbD48
YWx0LXBlcmlvZGljYWw+PGZ1bGwtdGl0bGU+SkFNQSBQZWRpYXRyPC9mdWxsLXRpdGxlPjxhYmJy
LTE+SkFNQSBwZWRpYXRyaWNzPC9hYmJyLTE+PC9hbHQtcGVyaW9kaWNhbD48cGFnZXM+Nzg4LTc5
NzwvcGFnZXM+PHZvbHVtZT4xNzE8L3ZvbHVtZT48bnVtYmVyPjg8L251bWJlcj48ZWRpdGlvbj4y
MDE3LzA2LzI4PC9lZGl0aW9uPjxrZXl3b3Jkcz48a2V5d29yZD5BZG9sZXNjZW50PC9rZXl3b3Jk
PjxrZXl3b3JkPipBZG9sZXNjZW50IEJlaGF2aW9yPC9rZXl3b3JkPjxrZXl3b3JkPkRpc2Vhc2Ug
UHJvZ3Jlc3Npb248L2tleXdvcmQ+PGtleXdvcmQ+RWxlY3Ryb25pYyBOaWNvdGluZSBEZWxpdmVy
eSBTeXN0ZW1zL3BzeWNob2xvZ3kvKnN0YXRpc3RpY3MgJmFtcDsgbnVtZXJpY2FsIGRhdGE8L2tl
eXdvcmQ+PGtleXdvcmQ+RmVtYWxlPC9rZXl3b3JkPjxrZXl3b3JkPkh1bWFuczwva2V5d29yZD48
a2V5d29yZD5NYWxlPC9rZXl3b3JkPjxrZXl3b3JkPlJpc2sgRmFjdG9yczwva2V5d29yZD48a2V5
d29yZD5TbW9raW5nLyplcGlkZW1pb2xvZ3kvcHN5Y2hvbG9neTwva2V5d29yZD48a2V5d29yZD5T
bW9raW5nIENlc3NhdGlvbi9zdGF0aXN0aWNzICZhbXA7IG51bWVyaWNhbCBkYXRhPC9rZXl3b3Jk
PjxrZXl3b3JkPlRvYmFjY28gVXNlIERpc29yZGVyLyplcGlkZW1pb2xvZ3kvcHN5Y2hvbG9neTwv
a2V5d29yZD48a2V5d29yZD5Zb3VuZyBBZHVsdDwva2V5d29yZD48L2tleXdvcmRzPjxkYXRlcz48
eWVhcj4yMDE3PC95ZWFyPjxwdWItZGF0ZXM+PGRhdGU+QXVnIDE8L2RhdGU+PC9wdWItZGF0ZXM+
PC9kYXRlcz48aXNibj4yMTY4LTYyMDM8L2lzYm4+PGFjY2Vzc2lvbi1udW0+Mjg2NTQ5ODY8L2Fj
Y2Vzc2lvbi1udW0+PHVybHM+PHJlbGF0ZWQtdXJscz48dXJsPmh0dHBzOi8vd3d3Lm5jYmkubmxt
Lm5paC5nb3YvcG1jL2FydGljbGVzL1BNQzU2NTYyMzcvcGRmL25paG1zOTA3MzEyLnBkZjwvdXJs
PjwvcmVsYXRlZC11cmxzPjwvdXJscz48Y3VzdG9tMj5QTUM1NjU2MjM3PC9jdXN0b20yPjxjdXN0
b202Pk5JSE1TOTA3MzEyPC9jdXN0b202PjxlbGVjdHJvbmljLXJlc291cmNlLW51bT4xMC4xMDAx
L2phbWFwZWRpYXRyaWNzLjIwMTcuMTQ4ODwvZWxlY3Ryb25pYy1yZXNvdXJjZS1udW0+PHJlbW90
ZS1kYXRhYmFzZS1wcm92aWRlcj5OTE08L3JlbW90ZS1kYXRhYmFzZS1wcm92aWRlcj48bGFuZ3Vh
Z2U+ZW5nPC9sYW5ndWFnZT48L3JlY29yZD48L0NpdGU+PC9FbmROb3RlPgB=
</w:fldData>
        </w:fldChar>
      </w:r>
      <w:r>
        <w:instrText xml:space="preserve"> ADDIN EN.CITE </w:instrText>
      </w:r>
      <w:r>
        <w:fldChar w:fldCharType="begin">
          <w:fldData xml:space="preserve">PEVuZE5vdGU+PENpdGU+PEF1dGhvcj5Tb25lamk8L0F1dGhvcj48WWVhcj4yMDE3PC9ZZWFyPjxS
ZWNOdW0+NTQwPC9SZWNOdW0+PERpc3BsYXlUZXh0PihTb25lamksIEJhcnJpbmd0b24tVHJpbWlz
IGV0IGFsLiAyMDE3KTwvRGlzcGxheVRleHQ+PHJlY29yZD48cmVjLW51bWJlcj41NDA8L3JlYy1u
dW1iZXI+PGZvcmVpZ24ta2V5cz48a2V5IGFwcD0iRU4iIGRiLWlkPSI1eHY1dzV0MmJkeHR4ZmV6
eDAyeHR4ZGZ0NXJ6NXB0dnZ0MjkiIHRpbWVzdGFtcD0iMTUyMDU2ODQ2NSI+NTQwPC9rZXk+PGtl
eSBhcHA9IkVOV2ViIiBkYi1pZD0iIj4wPC9rZXk+PC9mb3JlaWduLWtleXM+PHJlZi10eXBlIG5h
bWU9IkpvdXJuYWwgQXJ0aWNsZSI+MTc8L3JlZi10eXBlPjxjb250cmlidXRvcnM+PGF1dGhvcnM+
PGF1dGhvcj5Tb25lamksIFMuPC9hdXRob3I+PGF1dGhvcj5CYXJyaW5ndG9uLVRyaW1pcywgSi4g
TC48L2F1dGhvcj48YXV0aG9yPldpbGxzLCBULiBBLjwvYXV0aG9yPjxhdXRob3I+TGV2ZW50aGFs
LCBBLiBNLjwvYXV0aG9yPjxhdXRob3I+VW5nZXIsIEouIEIuPC9hdXRob3I+PGF1dGhvcj5HaWJz
b24sIEwuIEEuPC9hdXRob3I+PGF1dGhvcj5ZYW5nLCBKLjwvYXV0aG9yPjxhdXRob3I+UHJpbWFj
aywgQi4gQS48L2F1dGhvcj48YXV0aG9yPkFuZHJld3MsIEouIEEuPC9hdXRob3I+PGF1dGhvcj5N
aWVjaCwgUi4gQS48L2F1dGhvcj48YXV0aG9yPlNwaW5kbGUsIFQuIFIuPC9hdXRob3I+PGF1dGhv
cj5EaWNrLCBELiBNLjwvYXV0aG9yPjxhdXRob3I+RWlzc2VuYmVyZywgVC48L2F1dGhvcj48YXV0
aG9yPkhvcm5paywgUi4gQy48L2F1dGhvcj48YXV0aG9yPkRhbmcsIFIuPC9hdXRob3I+PGF1dGhv
cj5TYXJnZW50LCBKLiBELjwvYXV0aG9yPjwvYXV0aG9ycz48L2NvbnRyaWJ1dG9ycz48YXV0aC1h
ZGRyZXNzPkRhcnRtb3V0aC1IaXRjaGNvY2sgTm9ycmlzIENvdHRvbiBDYW5jZXIgQ2VudGVyLCBE
YXJ0bW91dGggR2Vpc2VsIFNjaG9vbCBvZiBNZWRpY2luZSwgTGViYW5vbiwgTmV3IEhhbXBzaGly
ZS4mI3hEO1RoZSBEYXJ0bW91dGggSW5zdGl0dXRlIGZvciBIZWFsdGggUG9saWN5IGFuZCBDbGlu
aWNhbCBQcmFjdGljZSwgRGFydG1vdXRoIEdlaXNlbCBTY2hvb2wgb2YgTWVkaWNpbmUsIExlYmFu
b24sIE5ldyBIYW1wc2hpcmUuJiN4RDtEZXBhcnRtZW50IG9mIFByZXZlbnRpdmUgTWVkaWNpbmUs
IEtlY2sgU2Nob29sIG9mIE1lZGljaW5lIG9mIFVTQywgVW5pdmVyc2l0eSBvZiBTb3V0aGVybiBD
YWxpZm9ybmlhLCBMb3MgQW5nZWxlcy4mI3hEO1VuaXZlcnNpdHkgb2YgSGF3YWlpIENhbmNlciBD
ZW50ZXIsIEhvbm9sdWx1LiYjeEQ7QW5uZW5iZXJnIFNjaG9vbCBmb3IgQ29tbXVuaWNhdGlvbiwg
VW5pdmVyc2l0eSBvZiBQZW5uc3lsdmFuaWEsIFBoaWxhZGVscGhpYS4mI3hEO2N1cnJlbnRseSBh
IG1lZGljYWwgc3R1ZGVudCBhdCBXYXJyZW4gQWxwZXJ0IE1lZGljYWwgU2Nob29sIG9mIEJyb3du
IFVuaXZlcnNpdHksIFByb3ZpZGVuY2UsIFJob2RlIElzbGFuZC4mI3hEO0RpdmlzaW9uIG9mIEdl
bmVyYWwgSW50ZXJuYWwgTWVkaWNpbmUsIERlcGFydG1lbnQgb2YgTWVkaWNpbmUsIFNjaG9vbCBv
ZiBNZWRpY2luZSwgVW5pdmVyc2l0eSBvZiBQaXR0c2J1cmdoLCBQaXR0c2J1cmdoLCBQZW5uc3ls
dmFuaWEuJiN4RDtPcmVnb24gUmVzZWFyY2ggSW5zdGl0dXRlLCBFdWdlbmUuJiN4RDtJbnN0aXR1
dGUgZm9yIFNvY2lhbCBSZXNlYXJjaCwgVW5pdmVyc2l0eSBvZiBNaWNoaWdhbiwgQW5uIEFyYm9y
LiYjeEQ7RGVwYXJ0bWVudCBvZiBQc3ljaG9sb2d5LCBWaXJnaW5pYSBDb21tb253ZWFsdGggVW5p
dmVyc2l0eSwgUmljaG1vbmQuPC9hdXRoLWFkZHJlc3M+PHRpdGxlcz48dGl0bGU+QXNzb2NpYXRp
b24gQmV0d2VlbiBJbml0aWFsIFVzZSBvZiBlLUNpZ2FyZXR0ZXMgYW5kIFN1YnNlcXVlbnQgQ2ln
YXJldHRlIFNtb2tpbmcgQW1vbmcgQWRvbGVzY2VudHMgYW5kIFlvdW5nIEFkdWx0czogQSBTeXN0
ZW1hdGljIFJldmlldyBhbmQgTWV0YS1hbmFseXNpczwvdGl0bGU+PHNlY29uZGFyeS10aXRsZT5K
QU1BIFBlZGlhdHI8L3NlY29uZGFyeS10aXRsZT48YWx0LXRpdGxlPkpBTUEgcGVkaWF0cmljczwv
YWx0LXRpdGxlPjwvdGl0bGVzPjxwZXJpb2RpY2FsPjxmdWxsLXRpdGxlPkpBTUEgUGVkaWF0cjwv
ZnVsbC10aXRsZT48YWJici0xPkpBTUEgcGVkaWF0cmljczwvYWJici0xPjwvcGVyaW9kaWNhbD48
YWx0LXBlcmlvZGljYWw+PGZ1bGwtdGl0bGU+SkFNQSBQZWRpYXRyPC9mdWxsLXRpdGxlPjxhYmJy
LTE+SkFNQSBwZWRpYXRyaWNzPC9hYmJyLTE+PC9hbHQtcGVyaW9kaWNhbD48cGFnZXM+Nzg4LTc5
NzwvcGFnZXM+PHZvbHVtZT4xNzE8L3ZvbHVtZT48bnVtYmVyPjg8L251bWJlcj48ZWRpdGlvbj4y
MDE3LzA2LzI4PC9lZGl0aW9uPjxrZXl3b3Jkcz48a2V5d29yZD5BZG9sZXNjZW50PC9rZXl3b3Jk
PjxrZXl3b3JkPipBZG9sZXNjZW50IEJlaGF2aW9yPC9rZXl3b3JkPjxrZXl3b3JkPkRpc2Vhc2Ug
UHJvZ3Jlc3Npb248L2tleXdvcmQ+PGtleXdvcmQ+RWxlY3Ryb25pYyBOaWNvdGluZSBEZWxpdmVy
eSBTeXN0ZW1zL3BzeWNob2xvZ3kvKnN0YXRpc3RpY3MgJmFtcDsgbnVtZXJpY2FsIGRhdGE8L2tl
eXdvcmQ+PGtleXdvcmQ+RmVtYWxlPC9rZXl3b3JkPjxrZXl3b3JkPkh1bWFuczwva2V5d29yZD48
a2V5d29yZD5NYWxlPC9rZXl3b3JkPjxrZXl3b3JkPlJpc2sgRmFjdG9yczwva2V5d29yZD48a2V5
d29yZD5TbW9raW5nLyplcGlkZW1pb2xvZ3kvcHN5Y2hvbG9neTwva2V5d29yZD48a2V5d29yZD5T
bW9raW5nIENlc3NhdGlvbi9zdGF0aXN0aWNzICZhbXA7IG51bWVyaWNhbCBkYXRhPC9rZXl3b3Jk
PjxrZXl3b3JkPlRvYmFjY28gVXNlIERpc29yZGVyLyplcGlkZW1pb2xvZ3kvcHN5Y2hvbG9neTwv
a2V5d29yZD48a2V5d29yZD5Zb3VuZyBBZHVsdDwva2V5d29yZD48L2tleXdvcmRzPjxkYXRlcz48
eWVhcj4yMDE3PC95ZWFyPjxwdWItZGF0ZXM+PGRhdGU+QXVnIDE8L2RhdGU+PC9wdWItZGF0ZXM+
PC9kYXRlcz48aXNibj4yMTY4LTYyMDM8L2lzYm4+PGFjY2Vzc2lvbi1udW0+Mjg2NTQ5ODY8L2Fj
Y2Vzc2lvbi1udW0+PHVybHM+PHJlbGF0ZWQtdXJscz48dXJsPmh0dHBzOi8vd3d3Lm5jYmkubmxt
Lm5paC5nb3YvcG1jL2FydGljbGVzL1BNQzU2NTYyMzcvcGRmL25paG1zOTA3MzEyLnBkZjwvdXJs
PjwvcmVsYXRlZC11cmxzPjwvdXJscz48Y3VzdG9tMj5QTUM1NjU2MjM3PC9jdXN0b20yPjxjdXN0
b202Pk5JSE1TOTA3MzEyPC9jdXN0b202PjxlbGVjdHJvbmljLXJlc291cmNlLW51bT4xMC4xMDAx
L2phbWFwZWRpYXRyaWNzLjIwMTcuMTQ4ODwvZWxlY3Ryb25pYy1yZXNvdXJjZS1udW0+PHJlbW90
ZS1kYXRhYmFzZS1wcm92aWRlcj5OTE08L3JlbW90ZS1kYXRhYmFzZS1wcm92aWRlcj48bGFuZ3Vh
Z2U+ZW5nPC9sYW5ndWFnZT48L3JlY29yZD48L0NpdGU+PC9FbmROb3RlPgB=
</w:fldData>
        </w:fldChar>
      </w:r>
      <w:r>
        <w:instrText xml:space="preserve"> ADDIN EN.CITE.DATA </w:instrText>
      </w:r>
      <w:r>
        <w:fldChar w:fldCharType="end"/>
      </w:r>
      <w:r>
        <w:fldChar w:fldCharType="separate"/>
      </w:r>
      <w:r>
        <w:rPr>
          <w:noProof/>
        </w:rPr>
        <w:t>(Soneji, Barrington-Trimis et al. 2017)</w:t>
      </w:r>
      <w:r>
        <w:fldChar w:fldCharType="end"/>
      </w:r>
      <w:r>
        <w:t>).</w:t>
      </w:r>
      <w:r w:rsidR="008146F9">
        <w:t xml:space="preserve"> </w:t>
      </w:r>
    </w:p>
    <w:p w14:paraId="1C014751" w14:textId="77777777" w:rsidR="00A53F7E" w:rsidRDefault="00A53F7E" w:rsidP="00A53F7E">
      <w:pPr>
        <w:pStyle w:val="BodyText"/>
      </w:pPr>
      <w:r>
        <w:t xml:space="preserve">A second US modelling study </w:t>
      </w:r>
      <w:r>
        <w:fldChar w:fldCharType="begin"/>
      </w:r>
      <w:r>
        <w:instrText xml:space="preserve"> ADDIN EN.CITE &lt;EndNote&gt;&lt;Cite&gt;&lt;Author&gt;Warner&lt;/Author&gt;&lt;Year&gt;2018&lt;/Year&gt;&lt;RecNum&gt;10536&lt;/RecNum&gt;&lt;DisplayText&gt;(Warner and Mendez 2018)&lt;/DisplayText&gt;&lt;record&gt;&lt;rec-number&gt;10536&lt;/rec-number&gt;&lt;foreign-keys&gt;&lt;key app="EN" db-id="9z05dz0praadfuee0zoxzedk9zfe5fxx50z5" timestamp="1526869878"&gt;10536&lt;/key&gt;&lt;key app="ENWeb" db-id=""&gt;0&lt;/key&gt;&lt;/foreign-keys&gt;&lt;ref-type name="Journal Article"&gt;17&lt;/ref-type&gt;&lt;contributors&gt;&lt;authors&gt;&lt;author&gt;Warner, Kenneth E.&lt;/author&gt;&lt;author&gt;Mendez, David&lt;/author&gt;&lt;/authors&gt;&lt;/contributors&gt;&lt;titles&gt;&lt;title&gt;E-cigarettes: Comparing the Possible Risks of Increasing Smoking Initiation with the Potential Benefits of Increasing Smoking Cessation&lt;/title&gt;&lt;secondary-title&gt;Nicotine &amp;amp; tobacco research : official journal of the Society for Research on Nicotine and Tobacco&lt;/secondary-title&gt;&lt;/titles&gt;&lt;periodical&gt;&lt;full-title&gt;Nicotine Tob Res&lt;/full-title&gt;&lt;abbr-1&gt;Nicotine &amp;amp; tobacco research : official journal of the Society for Research on Nicotine and Tobacco&lt;/abbr-1&gt;&lt;/periodical&gt;&lt;dates&gt;&lt;year&gt;2018&lt;/year&gt;&lt;pub-dates&gt;&lt;date&gt;2018-Mar-29&lt;/date&gt;&lt;/pub-dates&gt;&lt;/dates&gt;&lt;accession-num&gt;MEDLINE:29617887&lt;/accession-num&gt;&lt;urls&gt;&lt;related-urls&gt;&lt;url&gt;&amp;lt;Go to ISI&amp;gt;://MEDLINE:29617887&lt;/url&gt;&lt;url&gt;https://watermark.silverchair.com/nty062.pdf?token=AQECAHi208BE49Ooan9kkhW_Ercy7Dm3ZL_9Cf3qfKAc485ysgAAAdIwggHOBgkqhkiG9w0BBwagggG_MIIBuwIBADCCAbQGCSqGSIb3DQEHATAeBglghkgBZQMEAS4wEQQM4fnhmqR4Z9dUtVdiAgEQgIIBhZMMHQ1hd8qP8Xc-V5kNOMQDOrEfCsGhSRFCHZDd7AEEIpVbz-ZMRzS0ATrmkJ_LpJJlyk1RxQRIUCmJJ5_fx971J8aTf9EU6h6aD2dRH3lmW132OB2JWlrwKWXUkZ9wmEUsAYrHMBbFlkzvbelXdl47aNqkwxckuZXBbgOG9rj_GLEqYcKKagnF2Xk8jr2TsrqW5Q2HDMbqJwPuCqTNJg_BTaJYFTqMX6SNjDqFxu1gN2HWiH5zdtFHtvB1k4-IZ-7ZwamLZ_500rTCu5dJ9HCc5caeCqyX2YtZdpyN5PW4jQNYjbkPfBYwlryP7hiFWG9U4i5LFznsv1dgZrV4jKD-Id0yBO7LV0niYJ-35Kkyxm1mM3Rw71YNpq5TJXBzdsQmRHKoyQYP4fSHU1BU7mrv3wGpLP440QK0IeCwEH3TrE8iTd1yB-vfSonW1Rs4mk8JAWU30r5n_9t8mS3qjoXaUsiI2wgAt7lfL5653InqiiAp2GrEO1T7KptKmCG47biNU8xg&lt;/url&gt;&lt;/related-urls&gt;&lt;/urls&gt;&lt;electronic-resource-num&gt;10.1093/ntr/nty062&lt;/electronic-resource-num&gt;&lt;/record&gt;&lt;/Cite&gt;&lt;/EndNote&gt;</w:instrText>
      </w:r>
      <w:r>
        <w:fldChar w:fldCharType="separate"/>
      </w:r>
      <w:r>
        <w:rPr>
          <w:noProof/>
        </w:rPr>
        <w:t>(Warner and Mendez 2018)</w:t>
      </w:r>
      <w:r>
        <w:fldChar w:fldCharType="end"/>
      </w:r>
      <w:r>
        <w:t xml:space="preserve"> simulated the effects of vaping induced smoking initiation and cessation to the year 2070 with contrasting results. In this model the base case considered vaping to increase smoking initiation by 2% and smoking cessation by 10%. Under this scenario, the US population gains 3.3 million life years by 2070. If it is assumed that all people who quit smoking by vaping lose 10% of the benefit of quitting smoking, the life year gain falls to 2.4 million life years. Under their worst case scenario (where vaping increases smoking initiation by 6% and smoking cessation by 5%, with all those who quit smoking by vaping losing 10% of the health benefit, the population still gains over 580,000 years of life.</w:t>
      </w:r>
    </w:p>
    <w:p w14:paraId="7819AF63" w14:textId="77777777" w:rsidR="00A53F7E" w:rsidRDefault="00A53F7E" w:rsidP="00A53F7E">
      <w:pPr>
        <w:pStyle w:val="BodyText"/>
      </w:pPr>
      <w:r>
        <w:t xml:space="preserve">Thus two recent modelling studies provide opposite conclusions despite including an effect of e-cigarettes to increase both smoking initiation and smoking cessation. </w:t>
      </w:r>
    </w:p>
    <w:p w14:paraId="0C6A5551" w14:textId="77777777" w:rsidR="00A53F7E" w:rsidRDefault="00A53F7E" w:rsidP="00A53F7E">
      <w:pPr>
        <w:pStyle w:val="BodyText"/>
      </w:pPr>
      <w:r>
        <w:t xml:space="preserve"> </w:t>
      </w:r>
    </w:p>
    <w:p w14:paraId="6657AAB6" w14:textId="77777777" w:rsidR="00A53F7E" w:rsidRPr="00672CA7" w:rsidRDefault="00A53F7E" w:rsidP="00A53F7E">
      <w:pPr>
        <w:pStyle w:val="Heading2"/>
        <w:ind w:left="1134" w:hanging="1134"/>
      </w:pPr>
      <w:bookmarkStart w:id="177" w:name="_Toc514010123"/>
      <w:bookmarkStart w:id="178" w:name="_Toc517706700"/>
      <w:r>
        <w:lastRenderedPageBreak/>
        <w:t>Potential deaths averted in the US by replacing cigarettes with e</w:t>
      </w:r>
      <w:r>
        <w:noBreakHyphen/>
        <w:t>cigarettes</w:t>
      </w:r>
      <w:bookmarkEnd w:id="177"/>
      <w:bookmarkEnd w:id="178"/>
    </w:p>
    <w:p w14:paraId="4C3D015A" w14:textId="6F07678F" w:rsidR="00A53F7E" w:rsidRDefault="00A53F7E" w:rsidP="00A53F7E">
      <w:pPr>
        <w:pStyle w:val="BodyText"/>
      </w:pPr>
      <w:r>
        <w:t>T</w:t>
      </w:r>
      <w:r w:rsidRPr="009D4179">
        <w:t xml:space="preserve">he </w:t>
      </w:r>
      <w:r>
        <w:t xml:space="preserve">US study by Levy et al </w:t>
      </w:r>
      <w:r>
        <w:fldChar w:fldCharType="begin">
          <w:fldData xml:space="preserve">PEVuZE5vdGU+PENpdGU+PEF1dGhvcj5MZXZ5PC9BdXRob3I+PFllYXI+MjAxODwvWWVhcj48UmVj
TnVtPjEyMzMwPC9SZWNOdW0+PERpc3BsYXlUZXh0PihMZXZ5LCBCb3JsYW5kIGV0IGFsLiAyMDE4
KTwvRGlzcGxheVRleHQ+PHJlY29yZD48cmVjLW51bWJlcj4xMjMzMDwvcmVjLW51bWJlcj48Zm9y
ZWlnbi1rZXlzPjxrZXkgYXBwPSJFTiIgZGItaWQ9IjV4djV3NXQyYmR4dHhmZXp4MDJ4dHhkZnQ1
cno1cHR2dnQyOSIgdGltZXN0YW1wPSIxNTIzODY4OTc3Ij4xMjMzMDwva2V5PjxrZXkgYXBwPSJF
TldlYiIgZGItaWQ9IiI+MDwva2V5PjwvZm9yZWlnbi1rZXlzPjxyZWYtdHlwZSBuYW1lPSJKb3Vy
bmFsIEFydGljbGUiPjE3PC9yZWYtdHlwZT48Y29udHJpYnV0b3JzPjxhdXRob3JzPjxhdXRob3I+
TGV2eSwgRC4gVC48L2F1dGhvcj48YXV0aG9yPkJvcmxhbmQsIFIuPC9hdXRob3I+PGF1dGhvcj5M
aW5kYmxvbSwgRS4gTi48L2F1dGhvcj48YXV0aG9yPkdvbmlld2ljeiwgTS4gTC48L2F1dGhvcj48
YXV0aG9yPk1lemEsIFIuPC9hdXRob3I+PGF1dGhvcj5Ib2xmb3JkLCBULiBSLjwvYXV0aG9yPjxh
dXRob3I+WXVhbiwgWi48L2F1dGhvcj48YXV0aG9yPkx1bywgWS48L2F1dGhvcj48YXV0aG9yPk8m
YXBvcztDb25ub3IsIFIuIEouPC9hdXRob3I+PGF1dGhvcj5OaWF1cmEsIFIuPC9hdXRob3I+PGF1
dGhvcj5BYnJhbXMsIEQuIEIuPC9hdXRob3I+PC9hdXRob3JzPjwvY29udHJpYnV0b3JzPjxhdXRo
LWFkZHJlc3M+RGVwYXJ0bWVudCBvZiBPbmNvbG9neSwgTG9tYmFyZGkgQ29tcHJlaGVuc2l2ZSBD
YW5jZXIgQ2VudGVyLCBHZW9yZ2V0b3duIFVuaXZlcnNpdHkgTWVkaWNhbCBDZW50ZXIsIFdhc2hp
bmd0b24sIERpc3RyaWN0IG9mIENvbHVtYmlhLCBVU0EuJiN4RDtOaWdlbCBHcmF5IERpc3Rpbmd1
aXNoZWQgRmVsbG93IGluIENhbmNlciBQcmV2ZW50aW9uLCBWaWNIZWFsdGggQ2VudHJlIGZvciBU
b2JhY2NvIENvbnRyb2wsIFRoZSBDYW5jZXIgQ291bmNpbCBWaWN0b3JpYSwgTWVsYm91cm5lLCBW
aWN0b3JpYSwgQXVzdHJhbGlhLiYjeEQ7TyZhcG9zO05laWxsIEluc3RpdHV0ZSBmb3IgTmF0aW9u
YWwgJmFtcDsgR2xvYmFsIEhlYWx0aCBMYXcsIEdlb3JnZXRvd24gVW5pdmVyc2l0eSBMYXcgQ2Vu
dGVyLCBXYXNoaW5ndG9uLCBEaXN0cmljdCBvZiBDb2x1bWJpYSwgVVNBLiYjeEQ7RGVwYXJ0bWVu
dCBvZiBIZWFsdGggQmVoYXZpb3IsIERpdmlzaW9uIG9mIENhbmNlciBQcmV2ZW50aW9uIGFuZCBQ
b3B1bGF0aW9uIFN0dWRpZXMsIFJvc3dlbGwgUGFyayBDYW5jZXIgSW5zdGl0dXRlLCBCdWZmYWxv
LCBOZXcgWW9yaywgVVNBLiYjeEQ7RGVwYXJ0bWVudCBvZiBFcGlkZW1pb2xvZ3ksIFNjaG9vbCBv
ZiBQdWJsaWMgSGVhbHRoLCBVbml2ZXJzaXR5IG9mIE1pY2hpZ2FuLCBBbm4gQXJib3IsIE1pY2hp
Z2FuLCBVU0EuJiN4RDtEZXBhcnRtZW50IG9mIEJpb3N0YXRpc3RpY3MsIFlhbGUgVW5pdmVyc2l0
eSwgTmV3IEhhdmVuLCBDb25uZWN0aWN1dCwgVVNBLiYjeEQ7TG9tYmFyZGkgQ29tcHJlaGVuc2l2
ZSBDYW5jZXIgQ2VudGVyLCBHZW9yZ2V0b3duIFVuaXZlcnNpdHksIFdhc2hpbmd0b24sIERpc3Ry
aWN0IG9mIENvbHVtYmlhLCBVU0EuJiN4RDtTY2hyb2VkZXIgSW5zdGl0dXRlIGZvciBUb2JhY2Nv
IFJlc2VhcmNoIGFuZCBQb2xpY3kgU3R1ZGllcywgVHJ1dGggSW5pdGlhdGl2ZSwgV2FzaGluZ3Rv
biwgRGlzdHJpY3Qgb2YgQ29sdW1iaWEsIFVTQS48L2F1dGgtYWRkcmVzcz48dGl0bGVzPjx0aXRs
ZT5Qb3RlbnRpYWwgZGVhdGhzIGF2ZXJ0ZWQgaW4gVVNBIGJ5IHJlcGxhY2luZyBjaWdhcmV0dGVz
IHdpdGggZS1jaWdhcmV0dGVzPC90aXRsZT48c2Vjb25kYXJ5LXRpdGxlPlRvYiBDb250cm9sPC9z
ZWNvbmRhcnktdGl0bGU+PGFsdC10aXRsZT5Ub2JhY2NvIGNvbnRyb2w8L2FsdC10aXRsZT48L3Rp
dGxlcz48cGVyaW9kaWNhbD48ZnVsbC10aXRsZT5Ub2IgQ29udHJvbDwvZnVsbC10aXRsZT48YWJi
ci0xPlRvYmFjY28gY29udHJvbDwvYWJici0xPjwvcGVyaW9kaWNhbD48YWx0LXBlcmlvZGljYWw+
PGZ1bGwtdGl0bGU+VG9iIENvbnRyb2w8L2Z1bGwtdGl0bGU+PGFiYnItMT5Ub2JhY2NvIGNvbnRy
b2w8L2FiYnItMT48L2FsdC1wZXJpb2RpY2FsPjxwYWdlcz4xOC0yNTwvcGFnZXM+PHZvbHVtZT4y
Nzwvdm9sdW1lPjxudW1iZXI+MTwvbnVtYmVyPjxlZGl0aW9uPjIwMTcvMTAvMDQ8L2VkaXRpb24+
PGtleXdvcmRzPjxrZXl3b3JkPmVsZWN0cm9uaWMgbmljb3RpbmUgZGVsaXZlcnkgZGV2aWNlczwv
a2V5d29yZD48a2V5d29yZD5lbmQgZ2FtZTwva2V5d29yZD48a2V5d29yZD5oYXJtIHJlZHVjdGlv
bjwva2V5d29yZD48a2V5d29yZD5wdWJsaWMgcG9saWN5PC9rZXl3b3JkPjxrZXl3b3JkPmFkdmlz
b3J5IGJvYXJkIG1lbWJlciB0byBKb2huc29uICZhbXA7IEpvaG5zb24sIG1hbnVmYWN0dXJlcnMg
b2Ygc21va2luZyBjZXNzYXRpb248L2tleXdvcmQ+PGtleXdvcmQ+bWVkaWNhdGlvbnMuIE5vIG90
aGVyIGNvbmZsaWN0cyBvZiBpbnRlcmVzdCBhcmUgZGVjbGFyZWQuPC9rZXl3b3JkPjwva2V5d29y
ZHM+PGRhdGVzPjx5ZWFyPjIwMTg8L3llYXI+PHB1Yi1kYXRlcz48ZGF0ZT5KYW48L2RhdGU+PC9w
dWItZGF0ZXM+PC9kYXRlcz48aXNibj4wOTY0LTQ1NjM8L2lzYm4+PGFjY2Vzc2lvbi1udW0+Mjg5
NzAzMjg8L2FjY2Vzc2lvbi1udW0+PHVybHM+PHJlbGF0ZWQtdXJscz48dXJsPmh0dHA6Ly90b2Jh
Y2NvY29udHJvbC5ibWouY29tL2NvbnRlbnQvdG9iYWNjb2NvbnRyb2wvMjcvMS8xOC5mdWxsLnBk
ZjwvdXJsPjwvcmVsYXRlZC11cmxzPjwvdXJscz48Y3VzdG9tMj5QTUM1ODAxNjUzPC9jdXN0b20y
PjxlbGVjdHJvbmljLXJlc291cmNlLW51bT4xMC4xMTM2L3RvYmFjY29jb250cm9sLTIwMTctMDUz
NzU5PC9lbGVjdHJvbmljLXJlc291cmNlLW51bT48cmVtb3RlLWRhdGFiYXNlLXByb3ZpZGVyPk5M
TTwvcmVtb3RlLWRhdGFiYXNlLXByb3ZpZGVyPjxsYW5ndWFnZT5lbmc8L2xhbmd1YWdlPjwvcmVj
b3JkPjwvQ2l0ZT48L0VuZE5vdGU+
</w:fldData>
        </w:fldChar>
      </w:r>
      <w:r>
        <w:instrText xml:space="preserve"> ADDIN EN.CITE </w:instrText>
      </w:r>
      <w:r>
        <w:fldChar w:fldCharType="begin">
          <w:fldData xml:space="preserve">PEVuZE5vdGU+PENpdGU+PEF1dGhvcj5MZXZ5PC9BdXRob3I+PFllYXI+MjAxODwvWWVhcj48UmVj
TnVtPjEyMzMwPC9SZWNOdW0+PERpc3BsYXlUZXh0PihMZXZ5LCBCb3JsYW5kIGV0IGFsLiAyMDE4
KTwvRGlzcGxheVRleHQ+PHJlY29yZD48cmVjLW51bWJlcj4xMjMzMDwvcmVjLW51bWJlcj48Zm9y
ZWlnbi1rZXlzPjxrZXkgYXBwPSJFTiIgZGItaWQ9IjV4djV3NXQyYmR4dHhmZXp4MDJ4dHhkZnQ1
cno1cHR2dnQyOSIgdGltZXN0YW1wPSIxNTIzODY4OTc3Ij4xMjMzMDwva2V5PjxrZXkgYXBwPSJF
TldlYiIgZGItaWQ9IiI+MDwva2V5PjwvZm9yZWlnbi1rZXlzPjxyZWYtdHlwZSBuYW1lPSJKb3Vy
bmFsIEFydGljbGUiPjE3PC9yZWYtdHlwZT48Y29udHJpYnV0b3JzPjxhdXRob3JzPjxhdXRob3I+
TGV2eSwgRC4gVC48L2F1dGhvcj48YXV0aG9yPkJvcmxhbmQsIFIuPC9hdXRob3I+PGF1dGhvcj5M
aW5kYmxvbSwgRS4gTi48L2F1dGhvcj48YXV0aG9yPkdvbmlld2ljeiwgTS4gTC48L2F1dGhvcj48
YXV0aG9yPk1lemEsIFIuPC9hdXRob3I+PGF1dGhvcj5Ib2xmb3JkLCBULiBSLjwvYXV0aG9yPjxh
dXRob3I+WXVhbiwgWi48L2F1dGhvcj48YXV0aG9yPkx1bywgWS48L2F1dGhvcj48YXV0aG9yPk8m
YXBvcztDb25ub3IsIFIuIEouPC9hdXRob3I+PGF1dGhvcj5OaWF1cmEsIFIuPC9hdXRob3I+PGF1
dGhvcj5BYnJhbXMsIEQuIEIuPC9hdXRob3I+PC9hdXRob3JzPjwvY29udHJpYnV0b3JzPjxhdXRo
LWFkZHJlc3M+RGVwYXJ0bWVudCBvZiBPbmNvbG9neSwgTG9tYmFyZGkgQ29tcHJlaGVuc2l2ZSBD
YW5jZXIgQ2VudGVyLCBHZW9yZ2V0b3duIFVuaXZlcnNpdHkgTWVkaWNhbCBDZW50ZXIsIFdhc2hp
bmd0b24sIERpc3RyaWN0IG9mIENvbHVtYmlhLCBVU0EuJiN4RDtOaWdlbCBHcmF5IERpc3Rpbmd1
aXNoZWQgRmVsbG93IGluIENhbmNlciBQcmV2ZW50aW9uLCBWaWNIZWFsdGggQ2VudHJlIGZvciBU
b2JhY2NvIENvbnRyb2wsIFRoZSBDYW5jZXIgQ291bmNpbCBWaWN0b3JpYSwgTWVsYm91cm5lLCBW
aWN0b3JpYSwgQXVzdHJhbGlhLiYjeEQ7TyZhcG9zO05laWxsIEluc3RpdHV0ZSBmb3IgTmF0aW9u
YWwgJmFtcDsgR2xvYmFsIEhlYWx0aCBMYXcsIEdlb3JnZXRvd24gVW5pdmVyc2l0eSBMYXcgQ2Vu
dGVyLCBXYXNoaW5ndG9uLCBEaXN0cmljdCBvZiBDb2x1bWJpYSwgVVNBLiYjeEQ7RGVwYXJ0bWVu
dCBvZiBIZWFsdGggQmVoYXZpb3IsIERpdmlzaW9uIG9mIENhbmNlciBQcmV2ZW50aW9uIGFuZCBQ
b3B1bGF0aW9uIFN0dWRpZXMsIFJvc3dlbGwgUGFyayBDYW5jZXIgSW5zdGl0dXRlLCBCdWZmYWxv
LCBOZXcgWW9yaywgVVNBLiYjeEQ7RGVwYXJ0bWVudCBvZiBFcGlkZW1pb2xvZ3ksIFNjaG9vbCBv
ZiBQdWJsaWMgSGVhbHRoLCBVbml2ZXJzaXR5IG9mIE1pY2hpZ2FuLCBBbm4gQXJib3IsIE1pY2hp
Z2FuLCBVU0EuJiN4RDtEZXBhcnRtZW50IG9mIEJpb3N0YXRpc3RpY3MsIFlhbGUgVW5pdmVyc2l0
eSwgTmV3IEhhdmVuLCBDb25uZWN0aWN1dCwgVVNBLiYjeEQ7TG9tYmFyZGkgQ29tcHJlaGVuc2l2
ZSBDYW5jZXIgQ2VudGVyLCBHZW9yZ2V0b3duIFVuaXZlcnNpdHksIFdhc2hpbmd0b24sIERpc3Ry
aWN0IG9mIENvbHVtYmlhLCBVU0EuJiN4RDtTY2hyb2VkZXIgSW5zdGl0dXRlIGZvciBUb2JhY2Nv
IFJlc2VhcmNoIGFuZCBQb2xpY3kgU3R1ZGllcywgVHJ1dGggSW5pdGlhdGl2ZSwgV2FzaGluZ3Rv
biwgRGlzdHJpY3Qgb2YgQ29sdW1iaWEsIFVTQS48L2F1dGgtYWRkcmVzcz48dGl0bGVzPjx0aXRs
ZT5Qb3RlbnRpYWwgZGVhdGhzIGF2ZXJ0ZWQgaW4gVVNBIGJ5IHJlcGxhY2luZyBjaWdhcmV0dGVz
IHdpdGggZS1jaWdhcmV0dGVzPC90aXRsZT48c2Vjb25kYXJ5LXRpdGxlPlRvYiBDb250cm9sPC9z
ZWNvbmRhcnktdGl0bGU+PGFsdC10aXRsZT5Ub2JhY2NvIGNvbnRyb2w8L2FsdC10aXRsZT48L3Rp
dGxlcz48cGVyaW9kaWNhbD48ZnVsbC10aXRsZT5Ub2IgQ29udHJvbDwvZnVsbC10aXRsZT48YWJi
ci0xPlRvYmFjY28gY29udHJvbDwvYWJici0xPjwvcGVyaW9kaWNhbD48YWx0LXBlcmlvZGljYWw+
PGZ1bGwtdGl0bGU+VG9iIENvbnRyb2w8L2Z1bGwtdGl0bGU+PGFiYnItMT5Ub2JhY2NvIGNvbnRy
b2w8L2FiYnItMT48L2FsdC1wZXJpb2RpY2FsPjxwYWdlcz4xOC0yNTwvcGFnZXM+PHZvbHVtZT4y
Nzwvdm9sdW1lPjxudW1iZXI+MTwvbnVtYmVyPjxlZGl0aW9uPjIwMTcvMTAvMDQ8L2VkaXRpb24+
PGtleXdvcmRzPjxrZXl3b3JkPmVsZWN0cm9uaWMgbmljb3RpbmUgZGVsaXZlcnkgZGV2aWNlczwv
a2V5d29yZD48a2V5d29yZD5lbmQgZ2FtZTwva2V5d29yZD48a2V5d29yZD5oYXJtIHJlZHVjdGlv
bjwva2V5d29yZD48a2V5d29yZD5wdWJsaWMgcG9saWN5PC9rZXl3b3JkPjxrZXl3b3JkPmFkdmlz
b3J5IGJvYXJkIG1lbWJlciB0byBKb2huc29uICZhbXA7IEpvaG5zb24sIG1hbnVmYWN0dXJlcnMg
b2Ygc21va2luZyBjZXNzYXRpb248L2tleXdvcmQ+PGtleXdvcmQ+bWVkaWNhdGlvbnMuIE5vIG90
aGVyIGNvbmZsaWN0cyBvZiBpbnRlcmVzdCBhcmUgZGVjbGFyZWQuPC9rZXl3b3JkPjwva2V5d29y
ZHM+PGRhdGVzPjx5ZWFyPjIwMTg8L3llYXI+PHB1Yi1kYXRlcz48ZGF0ZT5KYW48L2RhdGU+PC9w
dWItZGF0ZXM+PC9kYXRlcz48aXNibj4wOTY0LTQ1NjM8L2lzYm4+PGFjY2Vzc2lvbi1udW0+Mjg5
NzAzMjg8L2FjY2Vzc2lvbi1udW0+PHVybHM+PHJlbGF0ZWQtdXJscz48dXJsPmh0dHA6Ly90b2Jh
Y2NvY29udHJvbC5ibWouY29tL2NvbnRlbnQvdG9iYWNjb2NvbnRyb2wvMjcvMS8xOC5mdWxsLnBk
ZjwvdXJsPjwvcmVsYXRlZC11cmxzPjwvdXJscz48Y3VzdG9tMj5QTUM1ODAxNjUzPC9jdXN0b20y
PjxlbGVjdHJvbmljLXJlc291cmNlLW51bT4xMC4xMTM2L3RvYmFjY29jb250cm9sLTIwMTctMDUz
NzU5PC9lbGVjdHJvbmljLXJlc291cmNlLW51bT48cmVtb3RlLWRhdGFiYXNlLXByb3ZpZGVyPk5M
TTwvcmVtb3RlLWRhdGFiYXNlLXByb3ZpZGVyPjxsYW5ndWFnZT5lbmc8L2xhbmd1YWdlPjwvcmVj
b3JkPjwvQ2l0ZT48L0VuZE5vdGU+
</w:fldData>
        </w:fldChar>
      </w:r>
      <w:r>
        <w:instrText xml:space="preserve"> ADDIN EN.CITE.DATA </w:instrText>
      </w:r>
      <w:r>
        <w:fldChar w:fldCharType="end"/>
      </w:r>
      <w:r>
        <w:fldChar w:fldCharType="separate"/>
      </w:r>
      <w:r>
        <w:rPr>
          <w:noProof/>
        </w:rPr>
        <w:t>(Levy, Borland et al. 2018)</w:t>
      </w:r>
      <w:r>
        <w:fldChar w:fldCharType="end"/>
      </w:r>
      <w:r w:rsidRPr="009D4179">
        <w:t xml:space="preserve"> </w:t>
      </w:r>
      <w:r>
        <w:t>aimed</w:t>
      </w:r>
      <w:r w:rsidRPr="009D4179">
        <w:t xml:space="preserve"> to demonstrate the potential health impact from replacing all or most cigarette smoking </w:t>
      </w:r>
      <w:r>
        <w:t xml:space="preserve">in the US </w:t>
      </w:r>
      <w:r w:rsidRPr="009D4179">
        <w:t>by e</w:t>
      </w:r>
      <w:r>
        <w:noBreakHyphen/>
      </w:r>
      <w:r w:rsidRPr="009D4179">
        <w:t>cigarette use</w:t>
      </w:r>
      <w:r>
        <w:t xml:space="preserve">. This tobacco industry funded study is considered in detail in </w:t>
      </w:r>
      <w:r w:rsidR="000376C7">
        <w:t>Part</w:t>
      </w:r>
      <w:r>
        <w:t xml:space="preserve"> 4 (The impact of e-cigarettes in smokers) because it does not consider any possibility that non-smokers would take up smoking because of using e-cigarettes. The positive results of the optimistic modelling study therefore only relate to public health benefit to smokers.</w:t>
      </w:r>
      <w:r w:rsidR="008146F9">
        <w:t xml:space="preserve"> </w:t>
      </w:r>
    </w:p>
    <w:p w14:paraId="5B69AF7D" w14:textId="77777777" w:rsidR="00A53F7E" w:rsidRPr="00AB590B" w:rsidRDefault="00A53F7E" w:rsidP="00A53F7E">
      <w:pPr>
        <w:spacing w:before="120" w:line="264" w:lineRule="auto"/>
        <w:rPr>
          <w:sz w:val="24"/>
        </w:rPr>
      </w:pPr>
    </w:p>
    <w:p w14:paraId="007E276E" w14:textId="77777777" w:rsidR="00A53F7E" w:rsidRPr="00AB590B" w:rsidRDefault="00A53F7E" w:rsidP="00A53F7E">
      <w:pPr>
        <w:keepNext/>
        <w:keepLines/>
        <w:numPr>
          <w:ilvl w:val="2"/>
          <w:numId w:val="13"/>
        </w:numPr>
        <w:tabs>
          <w:tab w:val="left" w:pos="1134"/>
        </w:tabs>
        <w:spacing w:before="360" w:after="240"/>
        <w:outlineLvl w:val="2"/>
        <w:rPr>
          <w:rFonts w:eastAsiaTheme="majorEastAsia" w:cstheme="majorBidi"/>
          <w:b/>
          <w:bCs/>
          <w:color w:val="auto"/>
          <w:sz w:val="26"/>
          <w:szCs w:val="26"/>
        </w:rPr>
      </w:pPr>
      <w:r w:rsidRPr="00AB590B">
        <w:rPr>
          <w:rFonts w:eastAsiaTheme="majorEastAsia" w:cstheme="majorBidi"/>
          <w:b/>
          <w:bCs/>
          <w:color w:val="auto"/>
          <w:sz w:val="26"/>
          <w:szCs w:val="26"/>
        </w:rPr>
        <w:t>What the new studies add to what is already known about e</w:t>
      </w:r>
      <w:r w:rsidRPr="00AB590B">
        <w:rPr>
          <w:rFonts w:eastAsiaTheme="majorEastAsia" w:cstheme="majorBidi"/>
          <w:b/>
          <w:bCs/>
          <w:color w:val="auto"/>
          <w:sz w:val="26"/>
          <w:szCs w:val="26"/>
        </w:rPr>
        <w:noBreakHyphen/>
        <w:t>cigarettes</w:t>
      </w:r>
    </w:p>
    <w:p w14:paraId="02BB5259" w14:textId="77777777" w:rsidR="00A53F7E" w:rsidRPr="00AB590B" w:rsidRDefault="00A53F7E" w:rsidP="00A53F7E">
      <w:pPr>
        <w:spacing w:before="120" w:line="264" w:lineRule="auto"/>
        <w:rPr>
          <w:sz w:val="24"/>
        </w:rPr>
      </w:pPr>
      <w:r w:rsidRPr="00AB590B">
        <w:rPr>
          <w:sz w:val="24"/>
        </w:rPr>
        <w:t>Modelling studies are so</w:t>
      </w:r>
      <w:r>
        <w:rPr>
          <w:sz w:val="24"/>
        </w:rPr>
        <w:t xml:space="preserve">mewhat premature at this stage </w:t>
      </w:r>
      <w:r w:rsidRPr="00AB590B">
        <w:rPr>
          <w:sz w:val="24"/>
        </w:rPr>
        <w:t>as a greater understanding of the health effects of e</w:t>
      </w:r>
      <w:r w:rsidRPr="00AB590B">
        <w:rPr>
          <w:sz w:val="24"/>
        </w:rPr>
        <w:noBreakHyphen/>
        <w:t xml:space="preserve">cigarettes is needed before accurate models can be developed. Further studies are required to identify the variables that should be included in such modelling simulations and </w:t>
      </w:r>
      <w:r>
        <w:rPr>
          <w:sz w:val="24"/>
        </w:rPr>
        <w:t xml:space="preserve">to </w:t>
      </w:r>
      <w:r w:rsidRPr="00AB590B">
        <w:rPr>
          <w:sz w:val="24"/>
        </w:rPr>
        <w:t>make appropriate assumptions and estimations regarding health outcomes.</w:t>
      </w:r>
    </w:p>
    <w:p w14:paraId="6752DA53" w14:textId="77777777" w:rsidR="00A53F7E" w:rsidRDefault="00A53F7E" w:rsidP="00A53F7E">
      <w:pPr>
        <w:spacing w:after="0"/>
      </w:pPr>
    </w:p>
    <w:p w14:paraId="708E9E1E" w14:textId="77777777" w:rsidR="00A53F7E" w:rsidRDefault="00A53F7E" w:rsidP="00A53F7E">
      <w:pPr>
        <w:pStyle w:val="Heading2"/>
        <w:ind w:left="1134" w:hanging="1134"/>
      </w:pPr>
      <w:bookmarkStart w:id="179" w:name="_Toc517706701"/>
      <w:r>
        <w:t>Key findings</w:t>
      </w:r>
      <w:bookmarkEnd w:id="179"/>
    </w:p>
    <w:p w14:paraId="2A54CF13" w14:textId="77777777" w:rsidR="00A53F7E" w:rsidRPr="00EB20E9" w:rsidRDefault="00A53F7E" w:rsidP="00634034">
      <w:pPr>
        <w:pStyle w:val="BodyText"/>
        <w:numPr>
          <w:ilvl w:val="0"/>
          <w:numId w:val="73"/>
        </w:numPr>
      </w:pPr>
      <w:r w:rsidRPr="00EB20E9">
        <w:t>None of the population models incorporated possible harms coming from e</w:t>
      </w:r>
      <w:r w:rsidRPr="00EB20E9">
        <w:noBreakHyphen/>
        <w:t>cigarettes in non</w:t>
      </w:r>
      <w:r w:rsidRPr="00EB20E9">
        <w:noBreakHyphen/>
        <w:t>smokers (other than transitioning to tobacco smoking) probably because understanding of the magnitude of such harms is not yet conclusive.</w:t>
      </w:r>
    </w:p>
    <w:p w14:paraId="1298CE38" w14:textId="77777777" w:rsidR="00A53F7E" w:rsidRPr="00EB20E9" w:rsidRDefault="00A53F7E" w:rsidP="00634034">
      <w:pPr>
        <w:pStyle w:val="BodyText"/>
        <w:numPr>
          <w:ilvl w:val="0"/>
          <w:numId w:val="73"/>
        </w:numPr>
      </w:pPr>
      <w:r w:rsidRPr="00EB20E9">
        <w:t xml:space="preserve">Modelling of different scenarios </w:t>
      </w:r>
      <w:r>
        <w:t xml:space="preserve">in the US population </w:t>
      </w:r>
      <w:r w:rsidRPr="00EB20E9">
        <w:t xml:space="preserve">is hampered by lack of knowledge of the </w:t>
      </w:r>
      <w:r>
        <w:t xml:space="preserve">correct parameters for the </w:t>
      </w:r>
      <w:r w:rsidRPr="00EB20E9">
        <w:t>impact of e</w:t>
      </w:r>
      <w:r w:rsidRPr="00EB20E9">
        <w:noBreakHyphen/>
        <w:t xml:space="preserve">cigarettes, </w:t>
      </w:r>
      <w:r>
        <w:t>to the extent</w:t>
      </w:r>
      <w:r w:rsidRPr="00EB20E9">
        <w:t xml:space="preserve"> that there cannot yet be agreement about the direction of any </w:t>
      </w:r>
      <w:r>
        <w:t xml:space="preserve">future </w:t>
      </w:r>
      <w:r w:rsidRPr="00EB20E9">
        <w:t>health impact.</w:t>
      </w:r>
    </w:p>
    <w:p w14:paraId="0B2BE44F" w14:textId="77777777" w:rsidR="00A53F7E" w:rsidRPr="009D1969" w:rsidRDefault="00A53F7E" w:rsidP="00634034">
      <w:pPr>
        <w:pStyle w:val="BodyText"/>
        <w:numPr>
          <w:ilvl w:val="0"/>
          <w:numId w:val="73"/>
        </w:numPr>
      </w:pPr>
      <w:r w:rsidRPr="009D1969">
        <w:t xml:space="preserve">There is </w:t>
      </w:r>
      <w:r>
        <w:t>support from population based models for</w:t>
      </w:r>
      <w:r w:rsidRPr="009D1969">
        <w:t xml:space="preserve"> a positive or </w:t>
      </w:r>
      <w:r>
        <w:t xml:space="preserve">a </w:t>
      </w:r>
      <w:r w:rsidRPr="009D1969">
        <w:t xml:space="preserve">negative health </w:t>
      </w:r>
      <w:r>
        <w:t xml:space="preserve">overall </w:t>
      </w:r>
      <w:r w:rsidRPr="009D1969">
        <w:t>impact of e</w:t>
      </w:r>
      <w:r w:rsidRPr="009D1969">
        <w:rPr>
          <w:rFonts w:ascii="Cambria Math" w:hAnsi="Cambria Math" w:cs="Cambria Math"/>
        </w:rPr>
        <w:t>‑</w:t>
      </w:r>
      <w:r w:rsidRPr="009D1969">
        <w:t>cigarette</w:t>
      </w:r>
      <w:r>
        <w:t xml:space="preserve"> u</w:t>
      </w:r>
      <w:r w:rsidRPr="009D1969">
        <w:t>s</w:t>
      </w:r>
      <w:r>
        <w:t>e</w:t>
      </w:r>
      <w:r w:rsidRPr="009D1969">
        <w:t xml:space="preserve"> on </w:t>
      </w:r>
      <w:r>
        <w:t>the US</w:t>
      </w:r>
      <w:r w:rsidRPr="009D1969">
        <w:t xml:space="preserve"> population.</w:t>
      </w:r>
    </w:p>
    <w:p w14:paraId="2DE25363" w14:textId="77777777" w:rsidR="0013396C" w:rsidRDefault="0013396C">
      <w:pPr>
        <w:spacing w:after="0"/>
        <w:rPr>
          <w:sz w:val="24"/>
        </w:rPr>
      </w:pPr>
      <w:r>
        <w:br w:type="page"/>
      </w:r>
    </w:p>
    <w:p w14:paraId="5EA5C8A4" w14:textId="77777777" w:rsidR="00A53F7E" w:rsidRPr="00A53F7E" w:rsidRDefault="00A53F7E" w:rsidP="00A53F7E">
      <w:pPr>
        <w:pStyle w:val="BodyText"/>
      </w:pPr>
    </w:p>
    <w:p w14:paraId="190F26F4" w14:textId="77777777" w:rsidR="00BD60C7" w:rsidRDefault="00BD60C7" w:rsidP="0013396C">
      <w:pPr>
        <w:pStyle w:val="PartTitle"/>
      </w:pPr>
      <w:bookmarkStart w:id="180" w:name="_Toc517706702"/>
      <w:r>
        <w:t xml:space="preserve">PART 4: </w:t>
      </w:r>
      <w:r w:rsidRPr="00AB55B3">
        <w:t>Impact on health of e-cigarettes and personal vaporisers in smokers</w:t>
      </w:r>
      <w:bookmarkEnd w:id="180"/>
      <w:r w:rsidRPr="00AB55B3">
        <w:t xml:space="preserve"> </w:t>
      </w:r>
    </w:p>
    <w:p w14:paraId="75561D47" w14:textId="77777777" w:rsidR="00BD60C7" w:rsidRDefault="00BD60C7">
      <w:pPr>
        <w:spacing w:after="0"/>
      </w:pPr>
      <w:r>
        <w:br w:type="page"/>
      </w:r>
    </w:p>
    <w:p w14:paraId="03AE274E" w14:textId="77777777" w:rsidR="00BD60C7" w:rsidRPr="00AB55B3" w:rsidRDefault="00BD60C7" w:rsidP="00BD60C7">
      <w:pPr>
        <w:pStyle w:val="Heading1noTOC"/>
      </w:pPr>
      <w:bookmarkStart w:id="181" w:name="_Toc515229035"/>
      <w:r w:rsidRPr="00AB55B3">
        <w:lastRenderedPageBreak/>
        <w:t>Executive summary</w:t>
      </w:r>
      <w:bookmarkEnd w:id="181"/>
    </w:p>
    <w:p w14:paraId="4B268E36" w14:textId="77777777" w:rsidR="00BD60C7" w:rsidRPr="00AB55B3" w:rsidRDefault="00BD60C7" w:rsidP="00BD60C7">
      <w:pPr>
        <w:pStyle w:val="Heading4"/>
      </w:pPr>
      <w:bookmarkStart w:id="182" w:name="_Toc515229036"/>
      <w:r w:rsidRPr="00AB55B3">
        <w:t>Health risks of e-cigarettes for smokers</w:t>
      </w:r>
      <w:bookmarkEnd w:id="182"/>
    </w:p>
    <w:p w14:paraId="212A9445" w14:textId="77777777" w:rsidR="00A0187A" w:rsidRDefault="00A0187A" w:rsidP="00634034">
      <w:pPr>
        <w:pStyle w:val="ListParagraph"/>
        <w:numPr>
          <w:ilvl w:val="0"/>
          <w:numId w:val="74"/>
        </w:numPr>
        <w:spacing w:before="0" w:after="160" w:line="256" w:lineRule="auto"/>
      </w:pPr>
      <w:r>
        <w:t>The Public Health England report concluded that risk of cardiovascular disease has not been quantified for e</w:t>
      </w:r>
      <w:r>
        <w:noBreakHyphen/>
        <w:t>cigarettes. No new evidence on cardiovascular disease is available to alter this conclusion, however limited new results for cardiovascular risk factors suggest that:</w:t>
      </w:r>
    </w:p>
    <w:p w14:paraId="7986EF0F" w14:textId="77777777" w:rsidR="00A0187A" w:rsidRDefault="00A0187A" w:rsidP="00634034">
      <w:pPr>
        <w:pStyle w:val="ListParagraph"/>
        <w:numPr>
          <w:ilvl w:val="1"/>
          <w:numId w:val="74"/>
        </w:numPr>
        <w:spacing w:before="0" w:after="160" w:line="256" w:lineRule="auto"/>
      </w:pPr>
      <w:r w:rsidRPr="00AB55B3">
        <w:t>T</w:t>
      </w:r>
      <w:r>
        <w:t>he blood pressure of smokers can be lowered over a month</w:t>
      </w:r>
      <w:r w:rsidRPr="00AB55B3">
        <w:t xml:space="preserve"> when e</w:t>
      </w:r>
      <w:r>
        <w:noBreakHyphen/>
      </w:r>
      <w:r w:rsidRPr="00AB55B3">
        <w:t>cigarettes are used instead of conventional cigarettes.</w:t>
      </w:r>
      <w:r>
        <w:t xml:space="preserve"> </w:t>
      </w:r>
    </w:p>
    <w:p w14:paraId="488E040A" w14:textId="77777777" w:rsidR="00A0187A" w:rsidRDefault="00A0187A" w:rsidP="00634034">
      <w:pPr>
        <w:pStyle w:val="ListParagraph"/>
        <w:numPr>
          <w:ilvl w:val="0"/>
          <w:numId w:val="74"/>
        </w:numPr>
        <w:spacing w:before="0" w:after="160" w:line="256" w:lineRule="auto"/>
      </w:pPr>
      <w:r>
        <w:t>There may be limited benefits for respiratory function immediately after using an e</w:t>
      </w:r>
      <w:r>
        <w:noBreakHyphen/>
        <w:t>cigarette. In the short</w:t>
      </w:r>
      <w:r>
        <w:noBreakHyphen/>
        <w:t>term, small improvements in l</w:t>
      </w:r>
      <w:r w:rsidRPr="00AB55B3">
        <w:t xml:space="preserve">ung function </w:t>
      </w:r>
      <w:r>
        <w:t>has been reported in smokers who use e</w:t>
      </w:r>
      <w:r>
        <w:noBreakHyphen/>
        <w:t>cigarettes</w:t>
      </w:r>
      <w:r w:rsidRPr="00AB55B3">
        <w:t>.</w:t>
      </w:r>
      <w:r>
        <w:t xml:space="preserve"> This is consistent with conclusions from the recent US Academies of Science review.</w:t>
      </w:r>
    </w:p>
    <w:p w14:paraId="0B3DDB90" w14:textId="77777777" w:rsidR="00A0187A" w:rsidRPr="00AB55B3" w:rsidRDefault="00A0187A" w:rsidP="00634034">
      <w:pPr>
        <w:pStyle w:val="ListParagraph"/>
        <w:numPr>
          <w:ilvl w:val="0"/>
          <w:numId w:val="74"/>
        </w:numPr>
        <w:spacing w:before="0" w:after="160" w:line="256" w:lineRule="auto"/>
      </w:pPr>
      <w:r>
        <w:t>No new studies report on lung disease in smokers who use e</w:t>
      </w:r>
      <w:r>
        <w:noBreakHyphen/>
        <w:t xml:space="preserve">cigarettes. </w:t>
      </w:r>
    </w:p>
    <w:p w14:paraId="5F1CD450" w14:textId="77777777" w:rsidR="00A0187A" w:rsidRDefault="00A0187A" w:rsidP="00634034">
      <w:pPr>
        <w:pStyle w:val="ListParagraph"/>
        <w:numPr>
          <w:ilvl w:val="0"/>
          <w:numId w:val="74"/>
        </w:numPr>
        <w:spacing w:before="0" w:after="160" w:line="256" w:lineRule="auto"/>
      </w:pPr>
      <w:r w:rsidRPr="00AB55B3">
        <w:t xml:space="preserve">The level of specific carcinogenic compounds and resulting metabolites is lower </w:t>
      </w:r>
      <w:r>
        <w:t>after e</w:t>
      </w:r>
      <w:r>
        <w:noBreakHyphen/>
        <w:t xml:space="preserve">cigarette use compared to </w:t>
      </w:r>
      <w:r w:rsidRPr="00AB55B3">
        <w:t>conventional cigarette</w:t>
      </w:r>
      <w:r>
        <w:t xml:space="preserve"> use</w:t>
      </w:r>
      <w:r w:rsidRPr="00AB55B3">
        <w:t xml:space="preserve">. </w:t>
      </w:r>
      <w:r>
        <w:t>This is consistent with conclusions in previous reports.</w:t>
      </w:r>
    </w:p>
    <w:p w14:paraId="7009F952" w14:textId="77777777" w:rsidR="00A0187A" w:rsidRDefault="00A0187A" w:rsidP="00634034">
      <w:pPr>
        <w:pStyle w:val="ListParagraph"/>
        <w:numPr>
          <w:ilvl w:val="0"/>
          <w:numId w:val="74"/>
        </w:numPr>
        <w:spacing w:before="0" w:after="160" w:line="256" w:lineRule="auto"/>
      </w:pPr>
      <w:r w:rsidRPr="00AB55B3">
        <w:t>Long term studies are lacking however it is speculated that the cancer risk is much lower (and unknown) for e</w:t>
      </w:r>
      <w:r>
        <w:noBreakHyphen/>
      </w:r>
      <w:r w:rsidRPr="00AB55B3">
        <w:t>cigarettes than for conventional cigarettes</w:t>
      </w:r>
      <w:r>
        <w:t xml:space="preserve"> based on exposure levels to carcinogens</w:t>
      </w:r>
      <w:r w:rsidRPr="00AB55B3">
        <w:t xml:space="preserve">. </w:t>
      </w:r>
    </w:p>
    <w:p w14:paraId="49AEAD15" w14:textId="67FB51B5" w:rsidR="00A0187A" w:rsidRDefault="00A0187A" w:rsidP="00634034">
      <w:pPr>
        <w:pStyle w:val="ListParagraph"/>
        <w:numPr>
          <w:ilvl w:val="0"/>
          <w:numId w:val="74"/>
        </w:numPr>
        <w:spacing w:before="0" w:after="160" w:line="256" w:lineRule="auto"/>
      </w:pPr>
      <w:r w:rsidRPr="00AB55B3">
        <w:t>The range of toxic compounds is not the same for e</w:t>
      </w:r>
      <w:r>
        <w:noBreakHyphen/>
      </w:r>
      <w:r w:rsidRPr="00AB55B3">
        <w:t>cigarettes and combustible tobacco. For e</w:t>
      </w:r>
      <w:r>
        <w:noBreakHyphen/>
      </w:r>
      <w:r w:rsidRPr="00AB55B3">
        <w:t>cigarettes, potentially toxic compounds arise from the e</w:t>
      </w:r>
      <w:r>
        <w:noBreakHyphen/>
      </w:r>
      <w:r w:rsidRPr="00AB55B3">
        <w:t xml:space="preserve">fluid which varies in composition, and from the heating elements (which typically contribute metal vapour for example).  </w:t>
      </w:r>
    </w:p>
    <w:p w14:paraId="4D32E6DB" w14:textId="77777777" w:rsidR="00A0187A" w:rsidRPr="00AB55B3" w:rsidRDefault="00A0187A" w:rsidP="00634034">
      <w:pPr>
        <w:pStyle w:val="ListParagraph"/>
        <w:numPr>
          <w:ilvl w:val="0"/>
          <w:numId w:val="74"/>
        </w:numPr>
        <w:spacing w:before="0" w:after="160" w:line="256" w:lineRule="auto"/>
      </w:pPr>
      <w:r>
        <w:t>There is no consistency in results of nicotine absorption and nicotine dependency in smokers who use e</w:t>
      </w:r>
      <w:r>
        <w:noBreakHyphen/>
        <w:t>cigarettes. This may be because the way in which devices are used in terms of puffs and intensity can determine the amounts of nicotine inhaled. Furthermore, some studies included people using both conventional and e</w:t>
      </w:r>
      <w:r>
        <w:noBreakHyphen/>
        <w:t>cigarettes making it difficult to draw conclusions.</w:t>
      </w:r>
    </w:p>
    <w:p w14:paraId="34CF2C70" w14:textId="77777777" w:rsidR="00A0187A" w:rsidRDefault="00A0187A" w:rsidP="00634034">
      <w:pPr>
        <w:pStyle w:val="ListParagraph"/>
        <w:numPr>
          <w:ilvl w:val="0"/>
          <w:numId w:val="74"/>
        </w:numPr>
        <w:spacing w:before="0" w:after="160" w:line="256" w:lineRule="auto"/>
      </w:pPr>
      <w:r>
        <w:t>Results from single studies on broader health outcomes suggest:</w:t>
      </w:r>
    </w:p>
    <w:p w14:paraId="0AE8861A" w14:textId="77777777" w:rsidR="00A0187A" w:rsidRDefault="00A0187A" w:rsidP="00634034">
      <w:pPr>
        <w:pStyle w:val="ListParagraph"/>
        <w:numPr>
          <w:ilvl w:val="1"/>
          <w:numId w:val="74"/>
        </w:numPr>
        <w:spacing w:before="0" w:after="160" w:line="256" w:lineRule="auto"/>
      </w:pPr>
      <w:r>
        <w:t>O</w:t>
      </w:r>
      <w:r w:rsidRPr="00AB55B3">
        <w:t xml:space="preserve">ral lesions </w:t>
      </w:r>
      <w:r>
        <w:t>are worse in e</w:t>
      </w:r>
      <w:r>
        <w:noBreakHyphen/>
        <w:t>cigarette</w:t>
      </w:r>
      <w:r w:rsidRPr="00AB55B3">
        <w:t xml:space="preserve"> users compared to former smokers, suggesting that smoking cessation was superior to e</w:t>
      </w:r>
      <w:r>
        <w:noBreakHyphen/>
      </w:r>
      <w:r w:rsidRPr="00AB55B3">
        <w:t xml:space="preserve">cigarette use for improving </w:t>
      </w:r>
      <w:r>
        <w:t xml:space="preserve">the </w:t>
      </w:r>
      <w:r w:rsidRPr="00AB55B3">
        <w:t xml:space="preserve">oral health of smokers. </w:t>
      </w:r>
    </w:p>
    <w:p w14:paraId="156D5CE1" w14:textId="77777777" w:rsidR="00A0187A" w:rsidRDefault="00A0187A" w:rsidP="00634034">
      <w:pPr>
        <w:pStyle w:val="ListParagraph"/>
        <w:numPr>
          <w:ilvl w:val="1"/>
          <w:numId w:val="74"/>
        </w:numPr>
        <w:spacing w:before="0" w:after="160" w:line="256" w:lineRule="auto"/>
      </w:pPr>
      <w:r>
        <w:t>Smokers who use e</w:t>
      </w:r>
      <w:r>
        <w:noBreakHyphen/>
        <w:t xml:space="preserve">cigarettes demonstrate low levels of skin hypoxia (limited oxygen) </w:t>
      </w:r>
    </w:p>
    <w:p w14:paraId="1F90D784" w14:textId="77777777" w:rsidR="00A0187A" w:rsidRDefault="00A0187A" w:rsidP="00634034">
      <w:pPr>
        <w:pStyle w:val="ListParagraph"/>
        <w:numPr>
          <w:ilvl w:val="1"/>
          <w:numId w:val="74"/>
        </w:numPr>
        <w:spacing w:before="0" w:after="160" w:line="256" w:lineRule="auto"/>
      </w:pPr>
      <w:r>
        <w:t>More needs to be understood about the relationship between depression and use of e</w:t>
      </w:r>
      <w:r>
        <w:noBreakHyphen/>
        <w:t>cigarettes in smokers.</w:t>
      </w:r>
    </w:p>
    <w:p w14:paraId="12A8AA23" w14:textId="266E573D" w:rsidR="00A0187A" w:rsidRPr="00AB55B3" w:rsidRDefault="00A0187A" w:rsidP="00634034">
      <w:pPr>
        <w:pStyle w:val="ListParagraph"/>
        <w:numPr>
          <w:ilvl w:val="1"/>
          <w:numId w:val="74"/>
        </w:numPr>
        <w:spacing w:before="0" w:after="160" w:line="256" w:lineRule="auto"/>
      </w:pPr>
      <w:r>
        <w:t>The use of e-cigarettes may prevent weight gain in smokers who quit</w:t>
      </w:r>
      <w:r w:rsidR="00C3531A">
        <w:t>.</w:t>
      </w:r>
    </w:p>
    <w:p w14:paraId="6B93C99E" w14:textId="77777777" w:rsidR="00BD60C7" w:rsidRPr="00AB55B3" w:rsidRDefault="00BD60C7" w:rsidP="00BD60C7"/>
    <w:p w14:paraId="1FAAA87D" w14:textId="77777777" w:rsidR="00BD60C7" w:rsidRPr="00A96BC4" w:rsidRDefault="00BD60C7" w:rsidP="00A96BC4">
      <w:pPr>
        <w:pStyle w:val="Heading1"/>
      </w:pPr>
      <w:bookmarkStart w:id="183" w:name="_Toc515229037"/>
      <w:bookmarkStart w:id="184" w:name="_Toc517706703"/>
      <w:r w:rsidRPr="00A96BC4">
        <w:lastRenderedPageBreak/>
        <w:t>Introduction</w:t>
      </w:r>
      <w:bookmarkEnd w:id="183"/>
      <w:bookmarkEnd w:id="184"/>
    </w:p>
    <w:p w14:paraId="710E8113" w14:textId="2384AB77" w:rsidR="00A0187A" w:rsidRDefault="00A0187A" w:rsidP="00A0187A">
      <w:pPr>
        <w:pStyle w:val="CCSNormalText"/>
        <w:rPr>
          <w:rFonts w:asciiTheme="minorHAnsi" w:hAnsiTheme="minorHAnsi" w:cstheme="minorHAnsi"/>
          <w:sz w:val="24"/>
          <w:szCs w:val="24"/>
        </w:rPr>
      </w:pPr>
      <w:r w:rsidRPr="00AC549F">
        <w:rPr>
          <w:rFonts w:asciiTheme="minorHAnsi" w:hAnsiTheme="minorHAnsi" w:cstheme="minorHAnsi"/>
          <w:sz w:val="24"/>
          <w:szCs w:val="24"/>
        </w:rPr>
        <w:t>This report reviews the</w:t>
      </w:r>
      <w:r w:rsidR="008744C7">
        <w:rPr>
          <w:rFonts w:asciiTheme="minorHAnsi" w:hAnsiTheme="minorHAnsi" w:cstheme="minorHAnsi"/>
          <w:sz w:val="24"/>
          <w:szCs w:val="24"/>
        </w:rPr>
        <w:t xml:space="preserve"> recent literature relevant to the assigned task to ‘review the</w:t>
      </w:r>
      <w:r w:rsidRPr="00AC549F">
        <w:rPr>
          <w:rFonts w:asciiTheme="minorHAnsi" w:hAnsiTheme="minorHAnsi" w:cstheme="minorHAnsi"/>
          <w:sz w:val="24"/>
          <w:szCs w:val="24"/>
        </w:rPr>
        <w:t xml:space="preserve"> impact of e</w:t>
      </w:r>
      <w:r>
        <w:rPr>
          <w:rFonts w:asciiTheme="minorHAnsi" w:hAnsiTheme="minorHAnsi" w:cstheme="minorHAnsi"/>
          <w:sz w:val="24"/>
          <w:szCs w:val="24"/>
        </w:rPr>
        <w:noBreakHyphen/>
      </w:r>
      <w:r w:rsidRPr="00AC549F">
        <w:rPr>
          <w:rFonts w:asciiTheme="minorHAnsi" w:hAnsiTheme="minorHAnsi" w:cstheme="minorHAnsi"/>
          <w:sz w:val="24"/>
          <w:szCs w:val="24"/>
        </w:rPr>
        <w:t>cigarettes and personal vaporisers on individual health as an alternative to smoking</w:t>
      </w:r>
      <w:r w:rsidR="008744C7">
        <w:rPr>
          <w:rFonts w:asciiTheme="minorHAnsi" w:hAnsiTheme="minorHAnsi" w:cstheme="minorHAnsi"/>
          <w:sz w:val="24"/>
          <w:szCs w:val="24"/>
        </w:rPr>
        <w:t>’</w:t>
      </w:r>
      <w:r>
        <w:rPr>
          <w:rFonts w:asciiTheme="minorHAnsi" w:hAnsiTheme="minorHAnsi" w:cstheme="minorHAnsi"/>
          <w:sz w:val="24"/>
          <w:szCs w:val="24"/>
        </w:rPr>
        <w:t>.</w:t>
      </w:r>
      <w:r w:rsidR="008744C7" w:rsidRPr="001022DF">
        <w:rPr>
          <w:rFonts w:cs="Calibri"/>
          <w:szCs w:val="24"/>
        </w:rPr>
        <w:t xml:space="preserve"> </w:t>
      </w:r>
      <w:r w:rsidR="008744C7" w:rsidRPr="001F6DB6">
        <w:rPr>
          <w:rFonts w:asciiTheme="minorHAnsi" w:hAnsiTheme="minorHAnsi" w:cstheme="minorHAnsi"/>
          <w:sz w:val="24"/>
          <w:szCs w:val="24"/>
        </w:rPr>
        <w:t>In order to achieve this, studies were reviewed where a health outcome related to e-cigarette use was examined in conventional smokers or ex-smokers.</w:t>
      </w:r>
      <w:r w:rsidR="008146F9">
        <w:rPr>
          <w:rFonts w:cs="Calibri"/>
          <w:szCs w:val="24"/>
        </w:rPr>
        <w:t xml:space="preserve"> </w:t>
      </w:r>
    </w:p>
    <w:p w14:paraId="7FBABD61" w14:textId="5F7B1DBA" w:rsidR="00A0187A" w:rsidRDefault="001F6DB6" w:rsidP="00A0187A">
      <w:pPr>
        <w:pStyle w:val="BodyText"/>
      </w:pPr>
      <w:r>
        <w:t>Therefore, s</w:t>
      </w:r>
      <w:r w:rsidR="00A0187A">
        <w:t xml:space="preserve">tudies were included where the health outcome </w:t>
      </w:r>
      <w:r w:rsidR="00583373">
        <w:t xml:space="preserve">of e-cigarette use </w:t>
      </w:r>
      <w:r w:rsidR="00A0187A">
        <w:t>was examined in smokers or ex</w:t>
      </w:r>
      <w:r w:rsidR="00A0187A">
        <w:noBreakHyphen/>
        <w:t>smokers. These consisted of studies where subjects had ceased smoking (i.e. where e</w:t>
      </w:r>
      <w:r w:rsidR="00A0187A">
        <w:noBreakHyphen/>
        <w:t>cigarettes were substituted as an alternative for smoking) and where subjects continued to smoke cigarettes at a reduced rate to previously, in addition to using e</w:t>
      </w:r>
      <w:r w:rsidR="00A0187A">
        <w:noBreakHyphen/>
        <w:t>cigarettes (called dual users).</w:t>
      </w:r>
      <w:r w:rsidR="008146F9">
        <w:t xml:space="preserve"> </w:t>
      </w:r>
    </w:p>
    <w:p w14:paraId="36D7F123" w14:textId="77777777" w:rsidR="00A0187A" w:rsidRDefault="00A0187A" w:rsidP="00A0187A">
      <w:pPr>
        <w:pStyle w:val="BodyText"/>
      </w:pPr>
      <w:r>
        <w:t>In total, 24 recent papers were extracted that examined the health outcomes of e</w:t>
      </w:r>
      <w:r>
        <w:noBreakHyphen/>
        <w:t>cigarettes in conventional cigarette smokers</w:t>
      </w:r>
      <w:r w:rsidR="00583373">
        <w:t xml:space="preserve"> or ex-smokers,</w:t>
      </w:r>
      <w:r>
        <w:t xml:space="preserve"> alone or relative to other groups (i.e. relative to users of e</w:t>
      </w:r>
      <w:r>
        <w:noBreakHyphen/>
        <w:t>cigarettes only, or to non</w:t>
      </w:r>
      <w:r>
        <w:noBreakHyphen/>
        <w:t>smokers). Seven of these papers reported on RCT studies, nine reported on cross</w:t>
      </w:r>
      <w:r>
        <w:noBreakHyphen/>
        <w:t>sectional data collection (largely collected in surveys), three reported on short</w:t>
      </w:r>
      <w:r>
        <w:noBreakHyphen/>
        <w:t xml:space="preserve">term experimental studies, four reported on larger prospective cohort studies, and one reported on a case control study. Description of the studies and their results are categorised </w:t>
      </w:r>
      <w:r w:rsidR="00583373">
        <w:t>by the body systems involved</w:t>
      </w:r>
      <w:r>
        <w:t>.</w:t>
      </w:r>
    </w:p>
    <w:p w14:paraId="154AA495" w14:textId="77777777" w:rsidR="00A0187A" w:rsidRPr="00A0187A" w:rsidRDefault="00A0187A" w:rsidP="00A0187A">
      <w:pPr>
        <w:pStyle w:val="BodyText"/>
      </w:pPr>
    </w:p>
    <w:p w14:paraId="6B98ABF0" w14:textId="77777777" w:rsidR="00A0187A" w:rsidRDefault="00A0187A" w:rsidP="00A0187A">
      <w:pPr>
        <w:pStyle w:val="Heading1"/>
        <w:ind w:left="1134" w:hanging="1134"/>
      </w:pPr>
      <w:bookmarkStart w:id="185" w:name="_Toc517706704"/>
      <w:bookmarkStart w:id="186" w:name="_Toc515229039"/>
      <w:r>
        <w:lastRenderedPageBreak/>
        <w:t>Health effects of e-cigarettes on smokers or former smokers</w:t>
      </w:r>
      <w:bookmarkEnd w:id="185"/>
    </w:p>
    <w:p w14:paraId="5B08FEC9" w14:textId="5C24276C" w:rsidR="00430400" w:rsidRPr="00430400" w:rsidRDefault="00430400" w:rsidP="00430400">
      <w:pPr>
        <w:pStyle w:val="Heading2"/>
      </w:pPr>
      <w:bookmarkStart w:id="187" w:name="_Toc516848612"/>
      <w:bookmarkEnd w:id="186"/>
      <w:r>
        <w:t xml:space="preserve"> </w:t>
      </w:r>
      <w:bookmarkStart w:id="188" w:name="_Toc517706705"/>
      <w:r w:rsidRPr="00430400">
        <w:t>Cardiovascular system</w:t>
      </w:r>
      <w:bookmarkEnd w:id="187"/>
      <w:bookmarkEnd w:id="188"/>
      <w:r w:rsidRPr="00430400">
        <w:t xml:space="preserve"> </w:t>
      </w:r>
    </w:p>
    <w:p w14:paraId="032354BE" w14:textId="23210726" w:rsidR="00430400" w:rsidRDefault="00430400" w:rsidP="00430400">
      <w:pPr>
        <w:spacing w:before="120" w:line="264" w:lineRule="auto"/>
        <w:rPr>
          <w:sz w:val="24"/>
        </w:rPr>
      </w:pPr>
      <w:r w:rsidRPr="00430400">
        <w:rPr>
          <w:sz w:val="24"/>
        </w:rPr>
        <w:t>A UK industry</w:t>
      </w:r>
      <w:r w:rsidR="004D62CC">
        <w:rPr>
          <w:sz w:val="24"/>
        </w:rPr>
        <w:t>-</w:t>
      </w:r>
      <w:r w:rsidRPr="00430400">
        <w:rPr>
          <w:sz w:val="24"/>
        </w:rPr>
        <w:t xml:space="preserve">funded prospective cohort study </w:t>
      </w:r>
      <w:r w:rsidRPr="00430400">
        <w:rPr>
          <w:sz w:val="24"/>
        </w:rPr>
        <w:fldChar w:fldCharType="begin">
          <w:fldData xml:space="preserve">PEVuZE5vdGU+PENpdGU+PEF1dGhvcj5XYWxlbGU8L0F1dGhvcj48WWVhcj4yMDE4PC9ZZWFyPjxS
ZWNOdW0+MTg2PC9SZWNOdW0+PERpc3BsYXlUZXh0PihXYWxlbGUsIEJ1c2ggZXQgYWwuIDIwMTgp
PC9EaXNwbGF5VGV4dD48cmVjb3JkPjxyZWMtbnVtYmVyPjE4NjwvcmVjLW51bWJlcj48Zm9yZWln
bi1rZXlzPjxrZXkgYXBwPSJFTiIgZGItaWQ9IjV4djV3NXQyYmR4dHhmZXp4MDJ4dHhkZnQ1cno1
cHR2dnQyOSIgdGltZXN0YW1wPSIxNTIwNTY4NDIwIj4xODY8L2tleT48a2V5IGFwcD0iRU5XZWIi
IGRiLWlkPSIiPjA8L2tleT48L2ZvcmVpZ24ta2V5cz48cmVmLXR5cGUgbmFtZT0iSm91cm5hbCBB
cnRpY2xlIj4xNzwvcmVmLXR5cGU+PGNvbnRyaWJ1dG9ycz48YXV0aG9ycz48YXV0aG9yPldhbGVs
ZSwgVC48L2F1dGhvcj48YXV0aG9yPkJ1c2gsIEouPC9hdXRob3I+PGF1dGhvcj5Lb2NoLCBBLjwv
YXV0aG9yPjxhdXRob3I+U2F2aW96LCBSLjwvYXV0aG9yPjxhdXRob3I+TWFydGluLCBDLjwvYXV0
aG9yPjxhdXRob3I+TyZhcG9zO0Nvbm5lbGwsIEcuPC9hdXRob3I+PC9hdXRob3JzPjwvY29udHJp
YnV0b3JzPjxhdXRoLWFkZHJlc3M+Rm9udGVtIFZlbnR1cmVzLCBCYXJiYXJhIFN0cm96emlsYWFu
IDEwMSwgMTA4MyBITiBBbXN0ZXJkYW0sIFRoZSBOZXRoZXJsYW5kcy4gRWxlY3Ryb25pYyBhZGRy
ZXNzOiB0YW52aXIud2FsZWxlQGZvbnRlbXZlbnR1cmVzLmNvbS4mI3hEO0NvdmFuY2UgQ2xpbmlj
YWwgUmVzZWFyY2ggVW5pdCwgSHlkZSBTdHJlZXQsIExlZWRzLCBMUzIgOUxILCBVSy4mI3hEO1Np
bWJlYyBSZXNlYXJjaCwgTWVydGh5ciBUeWRmaWwsIENGNDggNERSLCBVSy4mI3hEO0NsaW5vcHNp
cyBTLkEuLCBKYXJkaW5zIDYsIDE0MjYgQ29uY2lzZSwgU3dpdHplcmxhbmQuJiN4RDtGb250ZW0g
VmVudHVyZXMsIEJhcmJhcmEgU3Ryb3p6aWxhYW4gMTAxLCAxMDgzIEhOIEFtc3RlcmRhbSwgVGhl
IE5ldGhlcmxhbmRzLjwvYXV0aC1hZGRyZXNzPjx0aXRsZXM+PHRpdGxlPkV2YWx1YXRpb24gb2Yg
dGhlIHNhZmV0eSBwcm9maWxlIG9mIGFuIGVsZWN0cm9uaWMgdmFwb3VyIHByb2R1Y3QgdXNlZCBm
b3IgdHdvIHllYXJzIGJ5IHNtb2tlcnMgaW4gYSByZWFsLWxpZmUgc2V0dGluZzwvdGl0bGU+PHNl
Y29uZGFyeS10aXRsZT5SZWd1bCBUb3hpY29sIFBoYXJtYWNvbDwvc2Vjb25kYXJ5LXRpdGxlPjxh
bHQtdGl0bGU+UmVndWxhdG9yeSB0b3hpY29sb2d5IGFuZCBwaGFybWFjb2xvZ3kgOiBSVFA8L2Fs
dC10aXRsZT48L3RpdGxlcz48cGVyaW9kaWNhbD48ZnVsbC10aXRsZT5SZWd1bCBUb3hpY29sIFBo
YXJtYWNvbDwvZnVsbC10aXRsZT48YWJici0xPlJlZ3VsYXRvcnkgdG94aWNvbG9neSBhbmQgcGhh
cm1hY29sb2d5IDogUlRQPC9hYmJyLTE+PC9wZXJpb2RpY2FsPjxhbHQtcGVyaW9kaWNhbD48ZnVs
bC10aXRsZT5SZWd1bCBUb3hpY29sIFBoYXJtYWNvbDwvZnVsbC10aXRsZT48YWJici0xPlJlZ3Vs
YXRvcnkgdG94aWNvbG9neSBhbmQgcGhhcm1hY29sb2d5IDogUlRQPC9hYmJyLTE+PC9hbHQtcGVy
aW9kaWNhbD48cGFnZXM+MjI2LTIzODwvcGFnZXM+PHZvbHVtZT45Mjwvdm9sdW1lPjxlZGl0aW9u
PjIwMTcvMTIvMTk8L2VkaXRpb24+PGtleXdvcmRzPjxrZXl3b3JkPkFkdmVyc2UgZXZlbnRzPC9r
ZXl3b3JkPjxrZXl3b3JkPkJpb21hcmtlcnMgb2YgZXhwb3N1cmU8L2tleXdvcmQ+PGtleXdvcmQ+
Q2xpbmljYWwgc3R1ZHk8L2tleXdvcmQ+PGtleXdvcmQ+RWxlY3Ryb25pYyBjaWdhcmV0dGU8L2tl
eXdvcmQ+PGtleXdvcmQ+RWxlY3Ryb25pYyB2YXBvdXIgcHJvZHVjdDwva2V5d29yZD48a2V5d29y
ZD5TYWZldHk8L2tleXdvcmQ+PGtleXdvcmQ+U3ViamVjdGl2ZSBlZmZlY3RzPC9rZXl3b3JkPjwv
a2V5d29yZHM+PGRhdGVzPjx5ZWFyPjIwMTg8L3llYXI+PHB1Yi1kYXRlcz48ZGF0ZT5GZWI8L2Rh
dGU+PC9wdWItZGF0ZXM+PC9kYXRlcz48aXNibj4wMjczLTIzMDA8L2lzYm4+PGFjY2Vzc2lvbi1u
dW0+MjkyNDg0ODc8L2FjY2Vzc2lvbi1udW0+PHVybHM+PC91cmxzPjxlbGVjdHJvbmljLXJlc291
cmNlLW51bT4xMC4xMDE2L2oueXJ0cGguMjAxNy4xMi4wMTA8L2VsZWN0cm9uaWMtcmVzb3VyY2Ut
bnVtPjxyZW1vdGUtZGF0YWJhc2UtcHJvdmlkZXI+TkxNPC9yZW1vdGUtZGF0YWJhc2UtcHJvdmlk
ZXI+PGxhbmd1YWdlPmVuZzwvbGFuZ3VhZ2U+PC9yZWNvcmQ+PC9DaXRlPjwvRW5kTm90ZT4A
</w:fldData>
        </w:fldChar>
      </w:r>
      <w:r w:rsidRPr="00430400">
        <w:rPr>
          <w:sz w:val="24"/>
        </w:rPr>
        <w:instrText xml:space="preserve"> ADDIN EN.CITE </w:instrText>
      </w:r>
      <w:r w:rsidRPr="00430400">
        <w:rPr>
          <w:sz w:val="24"/>
        </w:rPr>
        <w:fldChar w:fldCharType="begin">
          <w:fldData xml:space="preserve">PEVuZE5vdGU+PENpdGU+PEF1dGhvcj5XYWxlbGU8L0F1dGhvcj48WWVhcj4yMDE4PC9ZZWFyPjxS
ZWNOdW0+MTg2PC9SZWNOdW0+PERpc3BsYXlUZXh0PihXYWxlbGUsIEJ1c2ggZXQgYWwuIDIwMTgp
PC9EaXNwbGF5VGV4dD48cmVjb3JkPjxyZWMtbnVtYmVyPjE4NjwvcmVjLW51bWJlcj48Zm9yZWln
bi1rZXlzPjxrZXkgYXBwPSJFTiIgZGItaWQ9IjV4djV3NXQyYmR4dHhmZXp4MDJ4dHhkZnQ1cno1
cHR2dnQyOSIgdGltZXN0YW1wPSIxNTIwNTY4NDIwIj4xODY8L2tleT48a2V5IGFwcD0iRU5XZWIi
IGRiLWlkPSIiPjA8L2tleT48L2ZvcmVpZ24ta2V5cz48cmVmLXR5cGUgbmFtZT0iSm91cm5hbCBB
cnRpY2xlIj4xNzwvcmVmLXR5cGU+PGNvbnRyaWJ1dG9ycz48YXV0aG9ycz48YXV0aG9yPldhbGVs
ZSwgVC48L2F1dGhvcj48YXV0aG9yPkJ1c2gsIEouPC9hdXRob3I+PGF1dGhvcj5Lb2NoLCBBLjwv
YXV0aG9yPjxhdXRob3I+U2F2aW96LCBSLjwvYXV0aG9yPjxhdXRob3I+TWFydGluLCBDLjwvYXV0
aG9yPjxhdXRob3I+TyZhcG9zO0Nvbm5lbGwsIEcuPC9hdXRob3I+PC9hdXRob3JzPjwvY29udHJp
YnV0b3JzPjxhdXRoLWFkZHJlc3M+Rm9udGVtIFZlbnR1cmVzLCBCYXJiYXJhIFN0cm96emlsYWFu
IDEwMSwgMTA4MyBITiBBbXN0ZXJkYW0sIFRoZSBOZXRoZXJsYW5kcy4gRWxlY3Ryb25pYyBhZGRy
ZXNzOiB0YW52aXIud2FsZWxlQGZvbnRlbXZlbnR1cmVzLmNvbS4mI3hEO0NvdmFuY2UgQ2xpbmlj
YWwgUmVzZWFyY2ggVW5pdCwgSHlkZSBTdHJlZXQsIExlZWRzLCBMUzIgOUxILCBVSy4mI3hEO1Np
bWJlYyBSZXNlYXJjaCwgTWVydGh5ciBUeWRmaWwsIENGNDggNERSLCBVSy4mI3hEO0NsaW5vcHNp
cyBTLkEuLCBKYXJkaW5zIDYsIDE0MjYgQ29uY2lzZSwgU3dpdHplcmxhbmQuJiN4RDtGb250ZW0g
VmVudHVyZXMsIEJhcmJhcmEgU3Ryb3p6aWxhYW4gMTAxLCAxMDgzIEhOIEFtc3RlcmRhbSwgVGhl
IE5ldGhlcmxhbmRzLjwvYXV0aC1hZGRyZXNzPjx0aXRsZXM+PHRpdGxlPkV2YWx1YXRpb24gb2Yg
dGhlIHNhZmV0eSBwcm9maWxlIG9mIGFuIGVsZWN0cm9uaWMgdmFwb3VyIHByb2R1Y3QgdXNlZCBm
b3IgdHdvIHllYXJzIGJ5IHNtb2tlcnMgaW4gYSByZWFsLWxpZmUgc2V0dGluZzwvdGl0bGU+PHNl
Y29uZGFyeS10aXRsZT5SZWd1bCBUb3hpY29sIFBoYXJtYWNvbDwvc2Vjb25kYXJ5LXRpdGxlPjxh
bHQtdGl0bGU+UmVndWxhdG9yeSB0b3hpY29sb2d5IGFuZCBwaGFybWFjb2xvZ3kgOiBSVFA8L2Fs
dC10aXRsZT48L3RpdGxlcz48cGVyaW9kaWNhbD48ZnVsbC10aXRsZT5SZWd1bCBUb3hpY29sIFBo
YXJtYWNvbDwvZnVsbC10aXRsZT48YWJici0xPlJlZ3VsYXRvcnkgdG94aWNvbG9neSBhbmQgcGhh
cm1hY29sb2d5IDogUlRQPC9hYmJyLTE+PC9wZXJpb2RpY2FsPjxhbHQtcGVyaW9kaWNhbD48ZnVs
bC10aXRsZT5SZWd1bCBUb3hpY29sIFBoYXJtYWNvbDwvZnVsbC10aXRsZT48YWJici0xPlJlZ3Vs
YXRvcnkgdG94aWNvbG9neSBhbmQgcGhhcm1hY29sb2d5IDogUlRQPC9hYmJyLTE+PC9hbHQtcGVy
aW9kaWNhbD48cGFnZXM+MjI2LTIzODwvcGFnZXM+PHZvbHVtZT45Mjwvdm9sdW1lPjxlZGl0aW9u
PjIwMTcvMTIvMTk8L2VkaXRpb24+PGtleXdvcmRzPjxrZXl3b3JkPkFkdmVyc2UgZXZlbnRzPC9r
ZXl3b3JkPjxrZXl3b3JkPkJpb21hcmtlcnMgb2YgZXhwb3N1cmU8L2tleXdvcmQ+PGtleXdvcmQ+
Q2xpbmljYWwgc3R1ZHk8L2tleXdvcmQ+PGtleXdvcmQ+RWxlY3Ryb25pYyBjaWdhcmV0dGU8L2tl
eXdvcmQ+PGtleXdvcmQ+RWxlY3Ryb25pYyB2YXBvdXIgcHJvZHVjdDwva2V5d29yZD48a2V5d29y
ZD5TYWZldHk8L2tleXdvcmQ+PGtleXdvcmQ+U3ViamVjdGl2ZSBlZmZlY3RzPC9rZXl3b3JkPjwv
a2V5d29yZHM+PGRhdGVzPjx5ZWFyPjIwMTg8L3llYXI+PHB1Yi1kYXRlcz48ZGF0ZT5GZWI8L2Rh
dGU+PC9wdWItZGF0ZXM+PC9kYXRlcz48aXNibj4wMjczLTIzMDA8L2lzYm4+PGFjY2Vzc2lvbi1u
dW0+MjkyNDg0ODc8L2FjY2Vzc2lvbi1udW0+PHVybHM+PC91cmxzPjxlbGVjdHJvbmljLXJlc291
cmNlLW51bT4xMC4xMDE2L2oueXJ0cGguMjAxNy4xMi4wMTA8L2VsZWN0cm9uaWMtcmVzb3VyY2Ut
bnVtPjxyZW1vdGUtZGF0YWJhc2UtcHJvdmlkZXI+TkxNPC9yZW1vdGUtZGF0YWJhc2UtcHJvdmlk
ZXI+PGxhbmd1YWdlPmVuZzwvbGFuZ3VhZ2U+PC9yZWNvcmQ+PC9DaXRlPjwvRW5kTm90ZT4A
</w:fldData>
        </w:fldChar>
      </w:r>
      <w:r w:rsidRPr="00430400">
        <w:rPr>
          <w:sz w:val="24"/>
        </w:rPr>
        <w:instrText xml:space="preserve"> ADDIN EN.CITE.DATA </w:instrText>
      </w:r>
      <w:r w:rsidRPr="00430400">
        <w:rPr>
          <w:sz w:val="24"/>
        </w:rPr>
      </w:r>
      <w:r w:rsidRPr="00430400">
        <w:rPr>
          <w:sz w:val="24"/>
        </w:rPr>
        <w:fldChar w:fldCharType="end"/>
      </w:r>
      <w:r w:rsidRPr="00430400">
        <w:rPr>
          <w:sz w:val="24"/>
        </w:rPr>
      </w:r>
      <w:r w:rsidRPr="00430400">
        <w:rPr>
          <w:sz w:val="24"/>
        </w:rPr>
        <w:fldChar w:fldCharType="separate"/>
      </w:r>
      <w:r w:rsidRPr="00430400">
        <w:rPr>
          <w:noProof/>
          <w:sz w:val="24"/>
        </w:rPr>
        <w:t>(Walele, Bush et al. 2018)</w:t>
      </w:r>
      <w:r w:rsidRPr="00430400">
        <w:rPr>
          <w:sz w:val="24"/>
        </w:rPr>
        <w:fldChar w:fldCharType="end"/>
      </w:r>
      <w:r w:rsidRPr="00430400">
        <w:rPr>
          <w:sz w:val="24"/>
        </w:rPr>
        <w:t xml:space="preserve"> enrolled former smokers (n=206, mean age 36.6 years, range 21 to 65 years) who were asked to use an electronic vapour product (EVP) (Puritane, with 16mg/g of nicotine) used as often as desired for a period of </w:t>
      </w:r>
      <w:r w:rsidRPr="00E9656F">
        <w:rPr>
          <w:sz w:val="24"/>
        </w:rPr>
        <w:t>two years</w:t>
      </w:r>
      <w:r w:rsidRPr="00430400">
        <w:rPr>
          <w:sz w:val="24"/>
        </w:rPr>
        <w:t>.</w:t>
      </w:r>
      <w:r w:rsidR="008146F9">
        <w:rPr>
          <w:sz w:val="24"/>
        </w:rPr>
        <w:t xml:space="preserve"> </w:t>
      </w:r>
      <w:r w:rsidRPr="00430400">
        <w:rPr>
          <w:sz w:val="24"/>
        </w:rPr>
        <w:t>Subjects were required not to use any other nicotine containing product for the duration of the study. Use of conventional cigarettes during the study did not lead to termination, but subjects were reminded to use the Puritane device. Subjects were identified for this study because they had participated in a previous 12 week trial where they had used either conventional cigarettes or an electronic vaping product.</w:t>
      </w:r>
    </w:p>
    <w:p w14:paraId="4C5E1BAF" w14:textId="3704AD93" w:rsidR="00430400" w:rsidRPr="00430400" w:rsidRDefault="00430400" w:rsidP="00430400">
      <w:pPr>
        <w:spacing w:before="120" w:line="264" w:lineRule="auto"/>
        <w:rPr>
          <w:sz w:val="24"/>
        </w:rPr>
      </w:pPr>
      <w:r w:rsidRPr="00430400">
        <w:rPr>
          <w:sz w:val="24"/>
        </w:rPr>
        <w:t xml:space="preserve">Only 102 subjects completed the trial, with 69 withdrawing consent, 22 lost to follow-up, </w:t>
      </w:r>
      <w:r w:rsidR="003B0D09">
        <w:rPr>
          <w:sz w:val="24"/>
        </w:rPr>
        <w:t>five</w:t>
      </w:r>
      <w:r w:rsidRPr="00430400">
        <w:rPr>
          <w:sz w:val="24"/>
        </w:rPr>
        <w:t xml:space="preserve"> based on an investigators decision and 11 due to adverse events stated to be unrelated or unlikely to be related to the use of the product.</w:t>
      </w:r>
    </w:p>
    <w:p w14:paraId="5ACD4459" w14:textId="77777777" w:rsidR="00430400" w:rsidRPr="00430400" w:rsidRDefault="00430400" w:rsidP="00430400">
      <w:pPr>
        <w:spacing w:before="120" w:line="264" w:lineRule="auto"/>
        <w:rPr>
          <w:sz w:val="24"/>
        </w:rPr>
      </w:pPr>
      <w:r w:rsidRPr="00430400">
        <w:rPr>
          <w:sz w:val="24"/>
        </w:rPr>
        <w:t>During the two year follow</w:t>
      </w:r>
      <w:r w:rsidRPr="00430400">
        <w:rPr>
          <w:sz w:val="24"/>
        </w:rPr>
        <w:noBreakHyphen/>
        <w:t xml:space="preserve">up period, subjects attended the study centres for assessment at months 1, 2, 3, 6, 9, 12, 15, 18, 21, 24 (end of study). At each visit, exhaled carbon monoxide (eCO) and blood carboxyhaemoglobin (COHb) were measured, adverse events recorded and subjects completed a questionnaire to assess nicotine withdrawal (MWS-R) and a questionnaire to assess smoking desire (QSU-Brief). Weight, vital signs, a 12-lead ECG, lung function, clinical chemistry, haematology and urinalysis were checked at months 1, 3, 6, 12, 18 and 24. </w:t>
      </w:r>
    </w:p>
    <w:p w14:paraId="6DD24714" w14:textId="1020AA90" w:rsidR="00430400" w:rsidRPr="00430400" w:rsidRDefault="00430400" w:rsidP="00430400">
      <w:pPr>
        <w:spacing w:before="120" w:line="264" w:lineRule="auto"/>
        <w:rPr>
          <w:sz w:val="24"/>
        </w:rPr>
      </w:pPr>
      <w:r w:rsidRPr="00430400">
        <w:rPr>
          <w:sz w:val="24"/>
        </w:rPr>
        <w:t xml:space="preserve">The mean use of conventional cigarettes dropped over the first </w:t>
      </w:r>
      <w:r w:rsidR="003B0D09">
        <w:rPr>
          <w:sz w:val="24"/>
        </w:rPr>
        <w:t>eight</w:t>
      </w:r>
      <w:r w:rsidR="003B0D09" w:rsidRPr="00430400">
        <w:rPr>
          <w:sz w:val="24"/>
        </w:rPr>
        <w:t xml:space="preserve"> </w:t>
      </w:r>
      <w:r w:rsidRPr="00430400">
        <w:rPr>
          <w:sz w:val="24"/>
        </w:rPr>
        <w:t xml:space="preserve">months of the study to an average of about </w:t>
      </w:r>
      <w:r w:rsidR="003B0D09">
        <w:rPr>
          <w:sz w:val="24"/>
        </w:rPr>
        <w:t>one</w:t>
      </w:r>
      <w:r w:rsidRPr="00430400">
        <w:rPr>
          <w:sz w:val="24"/>
        </w:rPr>
        <w:t xml:space="preserve"> cigarette a day. Baseline characteristics of subjects who had been on a conventional cigarette treatment in the 12 week trial prior to this study were similar to those who had been on an EVP treatment except for eCO and COHb. </w:t>
      </w:r>
    </w:p>
    <w:p w14:paraId="3F53461A" w14:textId="77777777" w:rsidR="00430400" w:rsidRPr="00430400" w:rsidRDefault="00430400" w:rsidP="00430400">
      <w:pPr>
        <w:spacing w:before="120" w:line="264" w:lineRule="auto"/>
        <w:rPr>
          <w:sz w:val="24"/>
        </w:rPr>
      </w:pPr>
      <w:r w:rsidRPr="00430400">
        <w:rPr>
          <w:sz w:val="24"/>
        </w:rPr>
        <w:t xml:space="preserve">Mean systolic blood pressure, diastolic blood pressure and pulse rate remained steady throughout the study. There were some instances of increased systolic (n=16, 7.8%) and diastolic (n=11, 5.3%) blood pressure (shifts from normal blood pressure at baseline to high blood pressure at one of the study visits). There were </w:t>
      </w:r>
      <w:r w:rsidRPr="00E9656F">
        <w:rPr>
          <w:sz w:val="24"/>
        </w:rPr>
        <w:t>no increases in the heart rate</w:t>
      </w:r>
      <w:r w:rsidRPr="00430400">
        <w:rPr>
          <w:sz w:val="24"/>
        </w:rPr>
        <w:noBreakHyphen/>
        <w:t xml:space="preserve">corrected QT interval (QTcB) from baseline of 60ms or greater. ECG parameters were considered stable with some abnormal ECG results found although not considered clinically significant. Although some out of range clinical chemistry or haematology values were observed, most were considered clinically insignificant. Weight also remained stable throughout the study. The authors conclude that there were no changes in blood pressure, heart rate or weight for participants. </w:t>
      </w:r>
    </w:p>
    <w:p w14:paraId="5A073625" w14:textId="2D91F68D" w:rsidR="00430400" w:rsidRPr="00430400" w:rsidRDefault="00430400" w:rsidP="00430400">
      <w:pPr>
        <w:spacing w:before="120" w:line="264" w:lineRule="auto"/>
        <w:rPr>
          <w:sz w:val="24"/>
        </w:rPr>
      </w:pPr>
      <w:r w:rsidRPr="00430400">
        <w:rPr>
          <w:sz w:val="24"/>
        </w:rPr>
        <w:t xml:space="preserve"> Adverse events were recorded for a high proportion of subjects (n=159, 76.1%), the commonest being headache (28.7%), nasopharyngitis (28.7%), sore throat (19.6%) and cough (16.7%). During the first 8</w:t>
      </w:r>
      <w:r w:rsidRPr="00430400">
        <w:rPr>
          <w:sz w:val="24"/>
        </w:rPr>
        <w:noBreakHyphen/>
        <w:t xml:space="preserve">9 months of the trial, the group who had changed from conventional cigarette use in the previous 12 week trial experienced more adverse events than those who had used an EVP in the previous trial. The selection process for the study raises concern about selection bias. A higher </w:t>
      </w:r>
      <w:r w:rsidRPr="00430400">
        <w:rPr>
          <w:sz w:val="24"/>
        </w:rPr>
        <w:lastRenderedPageBreak/>
        <w:t xml:space="preserve">proportion of the subjects who had been using the EVP in the previous 12 week trial joined the </w:t>
      </w:r>
      <w:r w:rsidR="0021563A">
        <w:rPr>
          <w:sz w:val="24"/>
        </w:rPr>
        <w:t>two</w:t>
      </w:r>
      <w:r w:rsidRPr="00430400">
        <w:rPr>
          <w:sz w:val="24"/>
        </w:rPr>
        <w:t xml:space="preserve"> year study compared to the subjects who had been using conventional cigarettes. Of these a higher proportion of the subjects previously using EVP completed the study. Unsurprisingly, subjects who were switching directly from conventional cigarettes were less likely to join the study and more likely to drop out of the study. This has implications for generalisability from the study results because the selection process means subjects were more likely to have familiarised themselves with EVP prior to the study, and liked or tolerated it.</w:t>
      </w:r>
    </w:p>
    <w:p w14:paraId="7CE63DCD" w14:textId="5D6AAE2D" w:rsidR="00430400" w:rsidRPr="00430400" w:rsidRDefault="00430400" w:rsidP="00430400">
      <w:pPr>
        <w:spacing w:before="120" w:line="264" w:lineRule="auto"/>
        <w:rPr>
          <w:sz w:val="24"/>
        </w:rPr>
      </w:pPr>
      <w:r w:rsidRPr="00430400">
        <w:rPr>
          <w:sz w:val="24"/>
        </w:rPr>
        <w:t xml:space="preserve">In the Walele et al. study </w:t>
      </w:r>
      <w:r w:rsidRPr="00430400">
        <w:rPr>
          <w:sz w:val="24"/>
        </w:rPr>
        <w:fldChar w:fldCharType="begin">
          <w:fldData xml:space="preserve">PEVuZE5vdGU+PENpdGU+PEF1dGhvcj5XYWxlbGU8L0F1dGhvcj48WWVhcj4yMDE4PC9ZZWFyPjxS
ZWNOdW0+MTg2PC9SZWNOdW0+PERpc3BsYXlUZXh0PihXYWxlbGUsIEJ1c2ggZXQgYWwuIDIwMTgp
PC9EaXNwbGF5VGV4dD48cmVjb3JkPjxyZWMtbnVtYmVyPjE4NjwvcmVjLW51bWJlcj48Zm9yZWln
bi1rZXlzPjxrZXkgYXBwPSJFTiIgZGItaWQ9IjV4djV3NXQyYmR4dHhmZXp4MDJ4dHhkZnQ1cno1
cHR2dnQyOSIgdGltZXN0YW1wPSIxNTIwNTY4NDIwIj4xODY8L2tleT48a2V5IGFwcD0iRU5XZWIi
IGRiLWlkPSIiPjA8L2tleT48L2ZvcmVpZ24ta2V5cz48cmVmLXR5cGUgbmFtZT0iSm91cm5hbCBB
cnRpY2xlIj4xNzwvcmVmLXR5cGU+PGNvbnRyaWJ1dG9ycz48YXV0aG9ycz48YXV0aG9yPldhbGVs
ZSwgVC48L2F1dGhvcj48YXV0aG9yPkJ1c2gsIEouPC9hdXRob3I+PGF1dGhvcj5Lb2NoLCBBLjwv
YXV0aG9yPjxhdXRob3I+U2F2aW96LCBSLjwvYXV0aG9yPjxhdXRob3I+TWFydGluLCBDLjwvYXV0
aG9yPjxhdXRob3I+TyZhcG9zO0Nvbm5lbGwsIEcuPC9hdXRob3I+PC9hdXRob3JzPjwvY29udHJp
YnV0b3JzPjxhdXRoLWFkZHJlc3M+Rm9udGVtIFZlbnR1cmVzLCBCYXJiYXJhIFN0cm96emlsYWFu
IDEwMSwgMTA4MyBITiBBbXN0ZXJkYW0sIFRoZSBOZXRoZXJsYW5kcy4gRWxlY3Ryb25pYyBhZGRy
ZXNzOiB0YW52aXIud2FsZWxlQGZvbnRlbXZlbnR1cmVzLmNvbS4mI3hEO0NvdmFuY2UgQ2xpbmlj
YWwgUmVzZWFyY2ggVW5pdCwgSHlkZSBTdHJlZXQsIExlZWRzLCBMUzIgOUxILCBVSy4mI3hEO1Np
bWJlYyBSZXNlYXJjaCwgTWVydGh5ciBUeWRmaWwsIENGNDggNERSLCBVSy4mI3hEO0NsaW5vcHNp
cyBTLkEuLCBKYXJkaW5zIDYsIDE0MjYgQ29uY2lzZSwgU3dpdHplcmxhbmQuJiN4RDtGb250ZW0g
VmVudHVyZXMsIEJhcmJhcmEgU3Ryb3p6aWxhYW4gMTAxLCAxMDgzIEhOIEFtc3RlcmRhbSwgVGhl
IE5ldGhlcmxhbmRzLjwvYXV0aC1hZGRyZXNzPjx0aXRsZXM+PHRpdGxlPkV2YWx1YXRpb24gb2Yg
dGhlIHNhZmV0eSBwcm9maWxlIG9mIGFuIGVsZWN0cm9uaWMgdmFwb3VyIHByb2R1Y3QgdXNlZCBm
b3IgdHdvIHllYXJzIGJ5IHNtb2tlcnMgaW4gYSByZWFsLWxpZmUgc2V0dGluZzwvdGl0bGU+PHNl
Y29uZGFyeS10aXRsZT5SZWd1bCBUb3hpY29sIFBoYXJtYWNvbDwvc2Vjb25kYXJ5LXRpdGxlPjxh
bHQtdGl0bGU+UmVndWxhdG9yeSB0b3hpY29sb2d5IGFuZCBwaGFybWFjb2xvZ3kgOiBSVFA8L2Fs
dC10aXRsZT48L3RpdGxlcz48cGVyaW9kaWNhbD48ZnVsbC10aXRsZT5SZWd1bCBUb3hpY29sIFBo
YXJtYWNvbDwvZnVsbC10aXRsZT48YWJici0xPlJlZ3VsYXRvcnkgdG94aWNvbG9neSBhbmQgcGhh
cm1hY29sb2d5IDogUlRQPC9hYmJyLTE+PC9wZXJpb2RpY2FsPjxhbHQtcGVyaW9kaWNhbD48ZnVs
bC10aXRsZT5SZWd1bCBUb3hpY29sIFBoYXJtYWNvbDwvZnVsbC10aXRsZT48YWJici0xPlJlZ3Vs
YXRvcnkgdG94aWNvbG9neSBhbmQgcGhhcm1hY29sb2d5IDogUlRQPC9hYmJyLTE+PC9hbHQtcGVy
aW9kaWNhbD48cGFnZXM+MjI2LTIzODwvcGFnZXM+PHZvbHVtZT45Mjwvdm9sdW1lPjxlZGl0aW9u
PjIwMTcvMTIvMTk8L2VkaXRpb24+PGtleXdvcmRzPjxrZXl3b3JkPkFkdmVyc2UgZXZlbnRzPC9r
ZXl3b3JkPjxrZXl3b3JkPkJpb21hcmtlcnMgb2YgZXhwb3N1cmU8L2tleXdvcmQ+PGtleXdvcmQ+
Q2xpbmljYWwgc3R1ZHk8L2tleXdvcmQ+PGtleXdvcmQ+RWxlY3Ryb25pYyBjaWdhcmV0dGU8L2tl
eXdvcmQ+PGtleXdvcmQ+RWxlY3Ryb25pYyB2YXBvdXIgcHJvZHVjdDwva2V5d29yZD48a2V5d29y
ZD5TYWZldHk8L2tleXdvcmQ+PGtleXdvcmQ+U3ViamVjdGl2ZSBlZmZlY3RzPC9rZXl3b3JkPjwv
a2V5d29yZHM+PGRhdGVzPjx5ZWFyPjIwMTg8L3llYXI+PHB1Yi1kYXRlcz48ZGF0ZT5GZWI8L2Rh
dGU+PC9wdWItZGF0ZXM+PC9kYXRlcz48aXNibj4wMjczLTIzMDA8L2lzYm4+PGFjY2Vzc2lvbi1u
dW0+MjkyNDg0ODc8L2FjY2Vzc2lvbi1udW0+PHVybHM+PC91cmxzPjxlbGVjdHJvbmljLXJlc291
cmNlLW51bT4xMC4xMDE2L2oueXJ0cGguMjAxNy4xMi4wMTA8L2VsZWN0cm9uaWMtcmVzb3VyY2Ut
bnVtPjxyZW1vdGUtZGF0YWJhc2UtcHJvdmlkZXI+TkxNPC9yZW1vdGUtZGF0YWJhc2UtcHJvdmlk
ZXI+PGxhbmd1YWdlPmVuZzwvbGFuZ3VhZ2U+PC9yZWNvcmQ+PC9DaXRlPjwvRW5kTm90ZT4A
</w:fldData>
        </w:fldChar>
      </w:r>
      <w:r w:rsidRPr="00430400">
        <w:rPr>
          <w:sz w:val="24"/>
        </w:rPr>
        <w:instrText xml:space="preserve"> ADDIN EN.CITE </w:instrText>
      </w:r>
      <w:r w:rsidRPr="00430400">
        <w:rPr>
          <w:sz w:val="24"/>
        </w:rPr>
        <w:fldChar w:fldCharType="begin">
          <w:fldData xml:space="preserve">PEVuZE5vdGU+PENpdGU+PEF1dGhvcj5XYWxlbGU8L0F1dGhvcj48WWVhcj4yMDE4PC9ZZWFyPjxS
ZWNOdW0+MTg2PC9SZWNOdW0+PERpc3BsYXlUZXh0PihXYWxlbGUsIEJ1c2ggZXQgYWwuIDIwMTgp
PC9EaXNwbGF5VGV4dD48cmVjb3JkPjxyZWMtbnVtYmVyPjE4NjwvcmVjLW51bWJlcj48Zm9yZWln
bi1rZXlzPjxrZXkgYXBwPSJFTiIgZGItaWQ9IjV4djV3NXQyYmR4dHhmZXp4MDJ4dHhkZnQ1cno1
cHR2dnQyOSIgdGltZXN0YW1wPSIxNTIwNTY4NDIwIj4xODY8L2tleT48a2V5IGFwcD0iRU5XZWIi
IGRiLWlkPSIiPjA8L2tleT48L2ZvcmVpZ24ta2V5cz48cmVmLXR5cGUgbmFtZT0iSm91cm5hbCBB
cnRpY2xlIj4xNzwvcmVmLXR5cGU+PGNvbnRyaWJ1dG9ycz48YXV0aG9ycz48YXV0aG9yPldhbGVs
ZSwgVC48L2F1dGhvcj48YXV0aG9yPkJ1c2gsIEouPC9hdXRob3I+PGF1dGhvcj5Lb2NoLCBBLjwv
YXV0aG9yPjxhdXRob3I+U2F2aW96LCBSLjwvYXV0aG9yPjxhdXRob3I+TWFydGluLCBDLjwvYXV0
aG9yPjxhdXRob3I+TyZhcG9zO0Nvbm5lbGwsIEcuPC9hdXRob3I+PC9hdXRob3JzPjwvY29udHJp
YnV0b3JzPjxhdXRoLWFkZHJlc3M+Rm9udGVtIFZlbnR1cmVzLCBCYXJiYXJhIFN0cm96emlsYWFu
IDEwMSwgMTA4MyBITiBBbXN0ZXJkYW0sIFRoZSBOZXRoZXJsYW5kcy4gRWxlY3Ryb25pYyBhZGRy
ZXNzOiB0YW52aXIud2FsZWxlQGZvbnRlbXZlbnR1cmVzLmNvbS4mI3hEO0NvdmFuY2UgQ2xpbmlj
YWwgUmVzZWFyY2ggVW5pdCwgSHlkZSBTdHJlZXQsIExlZWRzLCBMUzIgOUxILCBVSy4mI3hEO1Np
bWJlYyBSZXNlYXJjaCwgTWVydGh5ciBUeWRmaWwsIENGNDggNERSLCBVSy4mI3hEO0NsaW5vcHNp
cyBTLkEuLCBKYXJkaW5zIDYsIDE0MjYgQ29uY2lzZSwgU3dpdHplcmxhbmQuJiN4RDtGb250ZW0g
VmVudHVyZXMsIEJhcmJhcmEgU3Ryb3p6aWxhYW4gMTAxLCAxMDgzIEhOIEFtc3RlcmRhbSwgVGhl
IE5ldGhlcmxhbmRzLjwvYXV0aC1hZGRyZXNzPjx0aXRsZXM+PHRpdGxlPkV2YWx1YXRpb24gb2Yg
dGhlIHNhZmV0eSBwcm9maWxlIG9mIGFuIGVsZWN0cm9uaWMgdmFwb3VyIHByb2R1Y3QgdXNlZCBm
b3IgdHdvIHllYXJzIGJ5IHNtb2tlcnMgaW4gYSByZWFsLWxpZmUgc2V0dGluZzwvdGl0bGU+PHNl
Y29uZGFyeS10aXRsZT5SZWd1bCBUb3hpY29sIFBoYXJtYWNvbDwvc2Vjb25kYXJ5LXRpdGxlPjxh
bHQtdGl0bGU+UmVndWxhdG9yeSB0b3hpY29sb2d5IGFuZCBwaGFybWFjb2xvZ3kgOiBSVFA8L2Fs
dC10aXRsZT48L3RpdGxlcz48cGVyaW9kaWNhbD48ZnVsbC10aXRsZT5SZWd1bCBUb3hpY29sIFBo
YXJtYWNvbDwvZnVsbC10aXRsZT48YWJici0xPlJlZ3VsYXRvcnkgdG94aWNvbG9neSBhbmQgcGhh
cm1hY29sb2d5IDogUlRQPC9hYmJyLTE+PC9wZXJpb2RpY2FsPjxhbHQtcGVyaW9kaWNhbD48ZnVs
bC10aXRsZT5SZWd1bCBUb3hpY29sIFBoYXJtYWNvbDwvZnVsbC10aXRsZT48YWJici0xPlJlZ3Vs
YXRvcnkgdG94aWNvbG9neSBhbmQgcGhhcm1hY29sb2d5IDogUlRQPC9hYmJyLTE+PC9hbHQtcGVy
aW9kaWNhbD48cGFnZXM+MjI2LTIzODwvcGFnZXM+PHZvbHVtZT45Mjwvdm9sdW1lPjxlZGl0aW9u
PjIwMTcvMTIvMTk8L2VkaXRpb24+PGtleXdvcmRzPjxrZXl3b3JkPkFkdmVyc2UgZXZlbnRzPC9r
ZXl3b3JkPjxrZXl3b3JkPkJpb21hcmtlcnMgb2YgZXhwb3N1cmU8L2tleXdvcmQ+PGtleXdvcmQ+
Q2xpbmljYWwgc3R1ZHk8L2tleXdvcmQ+PGtleXdvcmQ+RWxlY3Ryb25pYyBjaWdhcmV0dGU8L2tl
eXdvcmQ+PGtleXdvcmQ+RWxlY3Ryb25pYyB2YXBvdXIgcHJvZHVjdDwva2V5d29yZD48a2V5d29y
ZD5TYWZldHk8L2tleXdvcmQ+PGtleXdvcmQ+U3ViamVjdGl2ZSBlZmZlY3RzPC9rZXl3b3JkPjwv
a2V5d29yZHM+PGRhdGVzPjx5ZWFyPjIwMTg8L3llYXI+PHB1Yi1kYXRlcz48ZGF0ZT5GZWI8L2Rh
dGU+PC9wdWItZGF0ZXM+PC9kYXRlcz48aXNibj4wMjczLTIzMDA8L2lzYm4+PGFjY2Vzc2lvbi1u
dW0+MjkyNDg0ODc8L2FjY2Vzc2lvbi1udW0+PHVybHM+PC91cmxzPjxlbGVjdHJvbmljLXJlc291
cmNlLW51bT4xMC4xMDE2L2oueXJ0cGguMjAxNy4xMi4wMTA8L2VsZWN0cm9uaWMtcmVzb3VyY2Ut
bnVtPjxyZW1vdGUtZGF0YWJhc2UtcHJvdmlkZXI+TkxNPC9yZW1vdGUtZGF0YWJhc2UtcHJvdmlk
ZXI+PGxhbmd1YWdlPmVuZzwvbGFuZ3VhZ2U+PC9yZWNvcmQ+PC9DaXRlPjwvRW5kTm90ZT4A
</w:fldData>
        </w:fldChar>
      </w:r>
      <w:r w:rsidRPr="00430400">
        <w:rPr>
          <w:sz w:val="24"/>
        </w:rPr>
        <w:instrText xml:space="preserve"> ADDIN EN.CITE.DATA </w:instrText>
      </w:r>
      <w:r w:rsidRPr="00430400">
        <w:rPr>
          <w:sz w:val="24"/>
        </w:rPr>
      </w:r>
      <w:r w:rsidRPr="00430400">
        <w:rPr>
          <w:sz w:val="24"/>
        </w:rPr>
        <w:fldChar w:fldCharType="end"/>
      </w:r>
      <w:r w:rsidRPr="00430400">
        <w:rPr>
          <w:sz w:val="24"/>
        </w:rPr>
      </w:r>
      <w:r w:rsidRPr="00430400">
        <w:rPr>
          <w:sz w:val="24"/>
        </w:rPr>
        <w:fldChar w:fldCharType="separate"/>
      </w:r>
      <w:r w:rsidRPr="00430400">
        <w:rPr>
          <w:noProof/>
          <w:sz w:val="24"/>
        </w:rPr>
        <w:t>(Walele, Bush et al. 2018)</w:t>
      </w:r>
      <w:r w:rsidRPr="00430400">
        <w:rPr>
          <w:sz w:val="24"/>
        </w:rPr>
        <w:fldChar w:fldCharType="end"/>
      </w:r>
      <w:r w:rsidRPr="00430400">
        <w:rPr>
          <w:sz w:val="24"/>
        </w:rPr>
        <w:t xml:space="preserve"> measurements indicating exposure to carbon monoxide (CO) were undertaken, including exhaled CO (eCO) and carboxyhaemoglobin (COHb).</w:t>
      </w:r>
      <w:r w:rsidR="008146F9">
        <w:rPr>
          <w:sz w:val="24"/>
        </w:rPr>
        <w:t xml:space="preserve"> </w:t>
      </w:r>
      <w:r w:rsidRPr="00430400">
        <w:rPr>
          <w:sz w:val="24"/>
        </w:rPr>
        <w:t xml:space="preserve">The group that had been involved in the conventional smoking group in the prior 12-week trial showed a rapid decline in both eCO and COHb by month </w:t>
      </w:r>
      <w:r w:rsidR="0021563A">
        <w:rPr>
          <w:sz w:val="24"/>
        </w:rPr>
        <w:t>one</w:t>
      </w:r>
      <w:r w:rsidRPr="00430400">
        <w:rPr>
          <w:sz w:val="24"/>
        </w:rPr>
        <w:t>, reaching levels similar to the group that had been in the EVP arm of the 12 week trial.</w:t>
      </w:r>
      <w:r w:rsidR="008146F9">
        <w:rPr>
          <w:sz w:val="24"/>
        </w:rPr>
        <w:t xml:space="preserve"> </w:t>
      </w:r>
      <w:r w:rsidRPr="00430400">
        <w:rPr>
          <w:sz w:val="24"/>
        </w:rPr>
        <w:t xml:space="preserve">Levels of eCO decreased for all subjects over the two year study (mean concentration 8.7ppm (SD 6.5) at month </w:t>
      </w:r>
      <w:r w:rsidR="0021563A">
        <w:rPr>
          <w:sz w:val="24"/>
        </w:rPr>
        <w:t>one</w:t>
      </w:r>
      <w:r w:rsidRPr="00430400">
        <w:rPr>
          <w:sz w:val="24"/>
        </w:rPr>
        <w:t xml:space="preserve"> and 4.1 ppm (SD 3.1) at </w:t>
      </w:r>
      <w:r w:rsidR="0021563A">
        <w:rPr>
          <w:sz w:val="24"/>
        </w:rPr>
        <w:t>two</w:t>
      </w:r>
      <w:r w:rsidRPr="00430400">
        <w:rPr>
          <w:sz w:val="24"/>
        </w:rPr>
        <w:t xml:space="preserve"> years). Previously reported eCO in non-smokers is a mean of 3.6 ppm, and 17.1 ppm for smokers</w:t>
      </w:r>
      <w:r w:rsidR="00903735">
        <w:rPr>
          <w:sz w:val="24"/>
        </w:rPr>
        <w:t xml:space="preserve"> </w:t>
      </w:r>
      <w:r w:rsidR="00903735">
        <w:rPr>
          <w:sz w:val="24"/>
        </w:rPr>
        <w:fldChar w:fldCharType="begin"/>
      </w:r>
      <w:r w:rsidR="00903735">
        <w:rPr>
          <w:sz w:val="24"/>
        </w:rPr>
        <w:instrText xml:space="preserve"> ADDIN EN.CITE &lt;EndNote&gt;&lt;Cite&gt;&lt;Author&gt;Deveci SE&lt;/Author&gt;&lt;Year&gt;2004&lt;/Year&gt;&lt;RecNum&gt;17001&lt;/RecNum&gt;&lt;DisplayText&gt;(Deveci SE 2004)&lt;/DisplayText&gt;&lt;record&gt;&lt;rec-number&gt;17001&lt;/rec-number&gt;&lt;foreign-keys&gt;&lt;key app="EN" db-id="5xv5w5t2bdxtxfezx02xtxdft5rz5ptvvt29" timestamp="1529068367"&gt;17001&lt;/key&gt;&lt;/foreign-keys&gt;&lt;ref-type name="Journal Article"&gt;17&lt;/ref-type&gt;&lt;contributors&gt;&lt;authors&gt;&lt;author&gt;Deveci SE, Deveci F, Acik Y, Ozan AT&lt;/author&gt;&lt;/authors&gt;&lt;/contributors&gt;&lt;titles&gt;&lt;title&gt;The measurement of exhaled carbon monoxide in healthy smokers and non-smokers&lt;/title&gt;&lt;secondary-title&gt;Respiratory Medicine&lt;/secondary-title&gt;&lt;/titles&gt;&lt;periodical&gt;&lt;full-title&gt;Respiratory Medicine&lt;/full-title&gt;&lt;/periodical&gt;&lt;pages&gt;551-556&lt;/pages&gt;&lt;volume&gt;98&lt;/volume&gt;&lt;section&gt;551&lt;/section&gt;&lt;dates&gt;&lt;year&gt;2004&lt;/year&gt;&lt;/dates&gt;&lt;urls&gt;&lt;/urls&gt;&lt;/record&gt;&lt;/Cite&gt;&lt;/EndNote&gt;</w:instrText>
      </w:r>
      <w:r w:rsidR="00903735">
        <w:rPr>
          <w:sz w:val="24"/>
        </w:rPr>
        <w:fldChar w:fldCharType="separate"/>
      </w:r>
      <w:r w:rsidR="00903735">
        <w:rPr>
          <w:noProof/>
          <w:sz w:val="24"/>
        </w:rPr>
        <w:t>(Deveci SE 2004)</w:t>
      </w:r>
      <w:r w:rsidR="00903735">
        <w:rPr>
          <w:sz w:val="24"/>
        </w:rPr>
        <w:fldChar w:fldCharType="end"/>
      </w:r>
      <w:r w:rsidRPr="00430400">
        <w:rPr>
          <w:sz w:val="24"/>
        </w:rPr>
        <w:t xml:space="preserve">.The mean COHb level remained stable in both groups from month </w:t>
      </w:r>
      <w:r w:rsidR="0021563A">
        <w:rPr>
          <w:sz w:val="24"/>
        </w:rPr>
        <w:t>one</w:t>
      </w:r>
      <w:r w:rsidRPr="00430400">
        <w:rPr>
          <w:sz w:val="24"/>
        </w:rPr>
        <w:t xml:space="preserve"> at 4.33% (SD 1.37%) to 4.27% (SD 0.87%) at </w:t>
      </w:r>
      <w:r w:rsidR="0021563A">
        <w:rPr>
          <w:sz w:val="24"/>
        </w:rPr>
        <w:t>two</w:t>
      </w:r>
      <w:r w:rsidRPr="00430400">
        <w:rPr>
          <w:sz w:val="24"/>
        </w:rPr>
        <w:t xml:space="preserve"> years.</w:t>
      </w:r>
      <w:r w:rsidR="008146F9">
        <w:rPr>
          <w:sz w:val="24"/>
        </w:rPr>
        <w:t xml:space="preserve"> </w:t>
      </w:r>
      <w:r w:rsidRPr="00430400">
        <w:rPr>
          <w:sz w:val="24"/>
        </w:rPr>
        <w:t xml:space="preserve">Previously reported levels for COHb in </w:t>
      </w:r>
      <w:r w:rsidR="00903735">
        <w:rPr>
          <w:sz w:val="24"/>
        </w:rPr>
        <w:t>non-</w:t>
      </w:r>
      <w:r w:rsidRPr="00430400">
        <w:rPr>
          <w:sz w:val="24"/>
        </w:rPr>
        <w:t>smokers is up to 3%, while values up to 10</w:t>
      </w:r>
      <w:r w:rsidR="00903735">
        <w:rPr>
          <w:sz w:val="24"/>
        </w:rPr>
        <w:noBreakHyphen/>
      </w:r>
      <w:r w:rsidRPr="00430400">
        <w:rPr>
          <w:sz w:val="24"/>
        </w:rPr>
        <w:t xml:space="preserve">15% have been reported in smokers </w:t>
      </w:r>
      <w:r w:rsidR="00903735">
        <w:rPr>
          <w:sz w:val="24"/>
        </w:rPr>
        <w:fldChar w:fldCharType="begin"/>
      </w:r>
      <w:r w:rsidR="00903735">
        <w:rPr>
          <w:sz w:val="24"/>
        </w:rPr>
        <w:instrText xml:space="preserve"> ADDIN EN.CITE &lt;EndNote&gt;&lt;Cite&gt;&lt;Author&gt;Deveci SE&lt;/Author&gt;&lt;Year&gt;2004&lt;/Year&gt;&lt;RecNum&gt;17001&lt;/RecNum&gt;&lt;DisplayText&gt;(Deveci SE 2004)&lt;/DisplayText&gt;&lt;record&gt;&lt;rec-number&gt;17001&lt;/rec-number&gt;&lt;foreign-keys&gt;&lt;key app="EN" db-id="5xv5w5t2bdxtxfezx02xtxdft5rz5ptvvt29" timestamp="1529068367"&gt;17001&lt;/key&gt;&lt;/foreign-keys&gt;&lt;ref-type name="Journal Article"&gt;17&lt;/ref-type&gt;&lt;contributors&gt;&lt;authors&gt;&lt;author&gt;Deveci SE, Deveci F, Acik Y, Ozan AT&lt;/author&gt;&lt;/authors&gt;&lt;/contributors&gt;&lt;titles&gt;&lt;title&gt;The measurement of exhaled carbon monoxide in healthy smokers and non-smokers&lt;/title&gt;&lt;secondary-title&gt;Respiratory Medicine&lt;/secondary-title&gt;&lt;/titles&gt;&lt;periodical&gt;&lt;full-title&gt;Respiratory Medicine&lt;/full-title&gt;&lt;/periodical&gt;&lt;pages&gt;551-556&lt;/pages&gt;&lt;volume&gt;98&lt;/volume&gt;&lt;section&gt;551&lt;/section&gt;&lt;dates&gt;&lt;year&gt;2004&lt;/year&gt;&lt;/dates&gt;&lt;urls&gt;&lt;/urls&gt;&lt;/record&gt;&lt;/Cite&gt;&lt;/EndNote&gt;</w:instrText>
      </w:r>
      <w:r w:rsidR="00903735">
        <w:rPr>
          <w:sz w:val="24"/>
        </w:rPr>
        <w:fldChar w:fldCharType="separate"/>
      </w:r>
      <w:r w:rsidR="00903735">
        <w:rPr>
          <w:noProof/>
          <w:sz w:val="24"/>
        </w:rPr>
        <w:t>(Deveci SE 2004)</w:t>
      </w:r>
      <w:r w:rsidR="00903735">
        <w:rPr>
          <w:sz w:val="24"/>
        </w:rPr>
        <w:fldChar w:fldCharType="end"/>
      </w:r>
      <w:r w:rsidRPr="00430400">
        <w:rPr>
          <w:sz w:val="24"/>
        </w:rPr>
        <w:t>.</w:t>
      </w:r>
    </w:p>
    <w:p w14:paraId="27DDDF94" w14:textId="0667D0BA" w:rsidR="00430400" w:rsidRPr="00430400" w:rsidRDefault="00430400" w:rsidP="00430400">
      <w:pPr>
        <w:spacing w:before="120" w:line="264" w:lineRule="auto"/>
        <w:rPr>
          <w:sz w:val="24"/>
        </w:rPr>
      </w:pPr>
    </w:p>
    <w:p w14:paraId="05D6FF38" w14:textId="3BD4ABE3" w:rsidR="00430400" w:rsidRPr="00430400" w:rsidRDefault="00430400" w:rsidP="00430400">
      <w:pPr>
        <w:spacing w:before="120" w:line="264" w:lineRule="auto"/>
        <w:rPr>
          <w:sz w:val="24"/>
        </w:rPr>
      </w:pPr>
      <w:r w:rsidRPr="00430400">
        <w:rPr>
          <w:sz w:val="24"/>
        </w:rPr>
        <w:t xml:space="preserve">A Greek study reported in a research letter by Ikonomidis </w:t>
      </w:r>
      <w:r w:rsidR="00C205D7">
        <w:rPr>
          <w:sz w:val="24"/>
        </w:rPr>
        <w:t>and colleagues</w:t>
      </w:r>
      <w:r w:rsidRPr="00430400">
        <w:rPr>
          <w:sz w:val="24"/>
        </w:rPr>
        <w:t xml:space="preserve"> </w:t>
      </w:r>
      <w:r w:rsidRPr="00430400">
        <w:rPr>
          <w:sz w:val="24"/>
        </w:rPr>
        <w:fldChar w:fldCharType="begin">
          <w:fldData xml:space="preserve">PEVuZE5vdGU+PENpdGU+PEF1dGhvcj5Ja29ub21pZGlzPC9BdXRob3I+PFllYXI+MjAxODwvWWVh
cj48UmVjTnVtPjY1NjwvUmVjTnVtPjxEaXNwbGF5VGV4dD4oSWtvbm9taWRpcywgVmxhc3RvcyBl
dCBhbC4gMjAxOCk8L0Rpc3BsYXlUZXh0PjxyZWNvcmQ+PHJlYy1udW1iZXI+NjU2PC9yZWMtbnVt
YmVyPjxmb3JlaWduLWtleXM+PGtleSBhcHA9IkVOIiBkYi1pZD0idnp4ZHBmd2R1eGZlZDJldDlw
YXZ4OTlqenNzeGVhcHd0NXA1IiB0aW1lc3RhbXA9IjE1MjEwOTkyNTIiPjY1Njwva2V5PjxrZXkg
YXBwPSJFTldlYiIgZGItaWQ9IiI+MDwva2V5PjwvZm9yZWlnbi1rZXlzPjxyZWYtdHlwZSBuYW1l
PSJKb3VybmFsIEFydGljbGUiPjE3PC9yZWYtdHlwZT48Y29udHJpYnV0b3JzPjxhdXRob3JzPjxh
dXRob3I+SWtvbm9taWRpcywgSS48L2F1dGhvcj48YXV0aG9yPlZsYXN0b3MsIEQuPC9hdXRob3I+
PGF1dGhvcj5Lb3VyZWEsIEsuPC9hdXRob3I+PGF1dGhvcj5Lb3N0ZWxsaSwgRy48L2F1dGhvcj48
YXV0aG9yPlZhcm91ZGksIE0uPC9hdXRob3I+PGF1dGhvcj5QYXZsaWRpcywgRy48L2F1dGhvcj48
YXV0aG9yPkVmZW50YWtpcywgUC48L2F1dGhvcj48YXV0aG9yPlRyaWFudGFmeWxsaWRpLCBILjwv
YXV0aG9yPjxhdXRob3I+UGFyaXNzaXMsIEouPC9hdXRob3I+PGF1dGhvcj5BbmRyZWFkb3UsIEku
PC9hdXRob3I+PGF1dGhvcj5JbGlvZHJvbWl0aXMsIEUuPC9hdXRob3I+PGF1dGhvcj5MZWtha2lz
LCBKLjwvYXV0aG9yPjwvYXV0aG9ycz48L2NvbnRyaWJ1dG9ycz48YXV0aC1hZGRyZXNzPjJuZCBD
YXJkaW9sb2d5IERlcGFydG1lbnQsIEF0dGlrb24gSG9zcGl0YWwsIE5hdGlvbmFsIGFuZCBLYXBv
ZGlzdHJpYW4gVW5pdmVyc2l0eSBvZiBBdGhlbnMsIE1lZGljYWwgU2Nob29sLCBHcmVlY2UgKEku
SS4sIEQuVi4sIEsuSy4sIEcuSy4sIE0uVi4sIEcuUC4sIEguVC4sIEouUC4sIEUuSS4sIEouTC4p
IGlnbm9pa0BnbWFpbC5jb20uJiN4RDsybmQgQ2FyZGlvbG9neSBEZXBhcnRtZW50LCBBdHRpa29u
IEhvc3BpdGFsLCBOYXRpb25hbCBhbmQgS2Fwb2Rpc3RyaWFuIFVuaXZlcnNpdHkgb2YgQXRoZW5z
LCBNZWRpY2FsIFNjaG9vbCwgR3JlZWNlIChJLkkuLCBELlYuLCBLLksuLCBHLksuLCBNLlYuLCBH
LlAuLCBILlQuLCBKLlAuLCBFLkkuLCBKLkwuKS4mI3hEO0RlcGFydG1lbnQgb2YgUGhhcm1hY2V1
dGljYWwgQ2hlbWlzdHJ5LCBOYXRpb25hbCBhbmQgS2Fwb2Rpc3RyaWFuIFVuaXZlcnNpdHkgb2Yg
QXRoZW5zLCBTY2hvb2wgb2YgUGhhcm1hY3ksIEdyZWVjZSAoUC5FLiwgSS5BLikuPC9hdXRoLWFk
ZHJlc3M+PHRpdGxlcz48dGl0bGU+RWxlY3Ryb25pYyBDaWdhcmV0dGUgU21va2luZyBJbmNyZWFz
ZXMgQXJ0ZXJpYWwgU3RpZmZuZXNzIGFuZCBPeGlkYXRpdmUgU3RyZXNzIHRvIGEgTGVzc2VyIEV4
dGVudCBUaGFuIGEgU2luZ2xlIENvbnZlbnRpb25hbCBDaWdhcmV0dGU6IEFuIEFjdXRlIGFuZCBD
aHJvbmljIFN0dWR5PC90aXRsZT48c2Vjb25kYXJ5LXRpdGxlPkNpcmN1bGF0aW9uPC9zZWNvbmRh
cnktdGl0bGU+PGFsdC10aXRsZT5DaXJjdWxhdGlvbjwvYWx0LXRpdGxlPjwvdGl0bGVzPjxwZXJp
b2RpY2FsPjxmdWxsLXRpdGxlPkNpcmN1bGF0aW9uPC9mdWxsLXRpdGxlPjwvcGVyaW9kaWNhbD48
YWx0LXBlcmlvZGljYWw+PGZ1bGwtdGl0bGU+Q2lyY3VsYXRpb248L2Z1bGwtdGl0bGU+PC9hbHQt
cGVyaW9kaWNhbD48cGFnZXM+MzAzLTMwNjwvcGFnZXM+PHZvbHVtZT4xMzc8L3ZvbHVtZT48bnVt
YmVyPjM8L251bWJlcj48ZWRpdGlvbj4yMDE4LzAxLzE4PC9lZGl0aW9uPjxrZXl3b3Jkcz48a2V5
d29yZD5jaWdhcmV0dGUgc21va2luZzwva2V5d29yZD48a2V5d29yZD5lbGVjdHJvbmljIG5pY290
aW5lIGRlbGl2ZXJ5IHN5c3RlbXM8L2tleXdvcmQ+PGtleXdvcmQ+b3hpZGF0aXZlIHN0cmVzczwv
a2V5d29yZD48a2V5d29yZD5zbW9raW5nIGNlc3NhdGlvbjwva2V5d29yZD48a2V5d29yZD52YXBp
bmc8L2tleXdvcmQ+PGtleXdvcmQ+dmFzY3VsYXIgc3RpZmZuZXNzPC9rZXl3b3JkPjwva2V5d29y
ZHM+PGRhdGVzPjx5ZWFyPjIwMTg8L3llYXI+PHB1Yi1kYXRlcz48ZGF0ZT5KYW4gMTY8L2RhdGU+
PC9wdWItZGF0ZXM+PC9kYXRlcz48aXNibj4wMDA5LTczMjI8L2lzYm4+PGFjY2Vzc2lvbi1udW0+
MjkzMzUyOTE8L2FjY2Vzc2lvbi1udW0+PHVybHM+PC91cmxzPjxlbGVjdHJvbmljLXJlc291cmNl
LW51bT4xMC4xMTYxL2NpcmN1bGF0aW9uYWhhLjExNy4wMjkxNTM8L2VsZWN0cm9uaWMtcmVzb3Vy
Y2UtbnVtPjxyZW1vdGUtZGF0YWJhc2UtcHJvdmlkZXI+TkxNPC9yZW1vdGUtZGF0YWJhc2UtcHJv
dmlkZXI+PGxhbmd1YWdlPmVuZzwvbGFuZ3VhZ2U+PC9yZWNvcmQ+PC9DaXRlPjwvRW5kTm90ZT4A
</w:fldData>
        </w:fldChar>
      </w:r>
      <w:r w:rsidRPr="00430400">
        <w:rPr>
          <w:sz w:val="24"/>
        </w:rPr>
        <w:instrText xml:space="preserve"> ADDIN EN.CITE </w:instrText>
      </w:r>
      <w:r w:rsidRPr="00430400">
        <w:rPr>
          <w:sz w:val="24"/>
        </w:rPr>
        <w:fldChar w:fldCharType="begin">
          <w:fldData xml:space="preserve">PEVuZE5vdGU+PENpdGU+PEF1dGhvcj5Ja29ub21pZGlzPC9BdXRob3I+PFllYXI+MjAxODwvWWVh
cj48UmVjTnVtPjY1NjwvUmVjTnVtPjxEaXNwbGF5VGV4dD4oSWtvbm9taWRpcywgVmxhc3RvcyBl
dCBhbC4gMjAxOCk8L0Rpc3BsYXlUZXh0PjxyZWNvcmQ+PHJlYy1udW1iZXI+NjU2PC9yZWMtbnVt
YmVyPjxmb3JlaWduLWtleXM+PGtleSBhcHA9IkVOIiBkYi1pZD0idnp4ZHBmd2R1eGZlZDJldDlw
YXZ4OTlqenNzeGVhcHd0NXA1IiB0aW1lc3RhbXA9IjE1MjEwOTkyNTIiPjY1Njwva2V5PjxrZXkg
YXBwPSJFTldlYiIgZGItaWQ9IiI+MDwva2V5PjwvZm9yZWlnbi1rZXlzPjxyZWYtdHlwZSBuYW1l
PSJKb3VybmFsIEFydGljbGUiPjE3PC9yZWYtdHlwZT48Y29udHJpYnV0b3JzPjxhdXRob3JzPjxh
dXRob3I+SWtvbm9taWRpcywgSS48L2F1dGhvcj48YXV0aG9yPlZsYXN0b3MsIEQuPC9hdXRob3I+
PGF1dGhvcj5Lb3VyZWEsIEsuPC9hdXRob3I+PGF1dGhvcj5Lb3N0ZWxsaSwgRy48L2F1dGhvcj48
YXV0aG9yPlZhcm91ZGksIE0uPC9hdXRob3I+PGF1dGhvcj5QYXZsaWRpcywgRy48L2F1dGhvcj48
YXV0aG9yPkVmZW50YWtpcywgUC48L2F1dGhvcj48YXV0aG9yPlRyaWFudGFmeWxsaWRpLCBILjwv
YXV0aG9yPjxhdXRob3I+UGFyaXNzaXMsIEouPC9hdXRob3I+PGF1dGhvcj5BbmRyZWFkb3UsIEku
PC9hdXRob3I+PGF1dGhvcj5JbGlvZHJvbWl0aXMsIEUuPC9hdXRob3I+PGF1dGhvcj5MZWtha2lz
LCBKLjwvYXV0aG9yPjwvYXV0aG9ycz48L2NvbnRyaWJ1dG9ycz48YXV0aC1hZGRyZXNzPjJuZCBD
YXJkaW9sb2d5IERlcGFydG1lbnQsIEF0dGlrb24gSG9zcGl0YWwsIE5hdGlvbmFsIGFuZCBLYXBv
ZGlzdHJpYW4gVW5pdmVyc2l0eSBvZiBBdGhlbnMsIE1lZGljYWwgU2Nob29sLCBHcmVlY2UgKEku
SS4sIEQuVi4sIEsuSy4sIEcuSy4sIE0uVi4sIEcuUC4sIEguVC4sIEouUC4sIEUuSS4sIEouTC4p
IGlnbm9pa0BnbWFpbC5jb20uJiN4RDsybmQgQ2FyZGlvbG9neSBEZXBhcnRtZW50LCBBdHRpa29u
IEhvc3BpdGFsLCBOYXRpb25hbCBhbmQgS2Fwb2Rpc3RyaWFuIFVuaXZlcnNpdHkgb2YgQXRoZW5z
LCBNZWRpY2FsIFNjaG9vbCwgR3JlZWNlIChJLkkuLCBELlYuLCBLLksuLCBHLksuLCBNLlYuLCBH
LlAuLCBILlQuLCBKLlAuLCBFLkkuLCBKLkwuKS4mI3hEO0RlcGFydG1lbnQgb2YgUGhhcm1hY2V1
dGljYWwgQ2hlbWlzdHJ5LCBOYXRpb25hbCBhbmQgS2Fwb2Rpc3RyaWFuIFVuaXZlcnNpdHkgb2Yg
QXRoZW5zLCBTY2hvb2wgb2YgUGhhcm1hY3ksIEdyZWVjZSAoUC5FLiwgSS5BLikuPC9hdXRoLWFk
ZHJlc3M+PHRpdGxlcz48dGl0bGU+RWxlY3Ryb25pYyBDaWdhcmV0dGUgU21va2luZyBJbmNyZWFz
ZXMgQXJ0ZXJpYWwgU3RpZmZuZXNzIGFuZCBPeGlkYXRpdmUgU3RyZXNzIHRvIGEgTGVzc2VyIEV4
dGVudCBUaGFuIGEgU2luZ2xlIENvbnZlbnRpb25hbCBDaWdhcmV0dGU6IEFuIEFjdXRlIGFuZCBD
aHJvbmljIFN0dWR5PC90aXRsZT48c2Vjb25kYXJ5LXRpdGxlPkNpcmN1bGF0aW9uPC9zZWNvbmRh
cnktdGl0bGU+PGFsdC10aXRsZT5DaXJjdWxhdGlvbjwvYWx0LXRpdGxlPjwvdGl0bGVzPjxwZXJp
b2RpY2FsPjxmdWxsLXRpdGxlPkNpcmN1bGF0aW9uPC9mdWxsLXRpdGxlPjwvcGVyaW9kaWNhbD48
YWx0LXBlcmlvZGljYWw+PGZ1bGwtdGl0bGU+Q2lyY3VsYXRpb248L2Z1bGwtdGl0bGU+PC9hbHQt
cGVyaW9kaWNhbD48cGFnZXM+MzAzLTMwNjwvcGFnZXM+PHZvbHVtZT4xMzc8L3ZvbHVtZT48bnVt
YmVyPjM8L251bWJlcj48ZWRpdGlvbj4yMDE4LzAxLzE4PC9lZGl0aW9uPjxrZXl3b3Jkcz48a2V5
d29yZD5jaWdhcmV0dGUgc21va2luZzwva2V5d29yZD48a2V5d29yZD5lbGVjdHJvbmljIG5pY290
aW5lIGRlbGl2ZXJ5IHN5c3RlbXM8L2tleXdvcmQ+PGtleXdvcmQ+b3hpZGF0aXZlIHN0cmVzczwv
a2V5d29yZD48a2V5d29yZD5zbW9raW5nIGNlc3NhdGlvbjwva2V5d29yZD48a2V5d29yZD52YXBp
bmc8L2tleXdvcmQ+PGtleXdvcmQ+dmFzY3VsYXIgc3RpZmZuZXNzPC9rZXl3b3JkPjwva2V5d29y
ZHM+PGRhdGVzPjx5ZWFyPjIwMTg8L3llYXI+PHB1Yi1kYXRlcz48ZGF0ZT5KYW4gMTY8L2RhdGU+
PC9wdWItZGF0ZXM+PC9kYXRlcz48aXNibj4wMDA5LTczMjI8L2lzYm4+PGFjY2Vzc2lvbi1udW0+
MjkzMzUyOTE8L2FjY2Vzc2lvbi1udW0+PHVybHM+PC91cmxzPjxlbGVjdHJvbmljLXJlc291cmNl
LW51bT4xMC4xMTYxL2NpcmN1bGF0aW9uYWhhLjExNy4wMjkxNTM8L2VsZWN0cm9uaWMtcmVzb3Vy
Y2UtbnVtPjxyZW1vdGUtZGF0YWJhc2UtcHJvdmlkZXI+TkxNPC9yZW1vdGUtZGF0YWJhc2UtcHJv
dmlkZXI+PGxhbmd1YWdlPmVuZzwvbGFuZ3VhZ2U+PC9yZWNvcmQ+PC9DaXRlPjwvRW5kTm90ZT4A
</w:fldData>
        </w:fldChar>
      </w:r>
      <w:r w:rsidRPr="00430400">
        <w:rPr>
          <w:sz w:val="24"/>
        </w:rPr>
        <w:instrText xml:space="preserve"> ADDIN EN.CITE.DATA </w:instrText>
      </w:r>
      <w:r w:rsidRPr="00430400">
        <w:rPr>
          <w:sz w:val="24"/>
        </w:rPr>
      </w:r>
      <w:r w:rsidRPr="00430400">
        <w:rPr>
          <w:sz w:val="24"/>
        </w:rPr>
        <w:fldChar w:fldCharType="end"/>
      </w:r>
      <w:r w:rsidRPr="00430400">
        <w:rPr>
          <w:sz w:val="24"/>
        </w:rPr>
      </w:r>
      <w:r w:rsidRPr="00430400">
        <w:rPr>
          <w:sz w:val="24"/>
        </w:rPr>
        <w:fldChar w:fldCharType="separate"/>
      </w:r>
      <w:r w:rsidRPr="00430400">
        <w:rPr>
          <w:noProof/>
          <w:sz w:val="24"/>
        </w:rPr>
        <w:t>(Ikonomidis, Vlastos et al. 2018)</w:t>
      </w:r>
      <w:r w:rsidRPr="00430400">
        <w:rPr>
          <w:sz w:val="24"/>
        </w:rPr>
        <w:fldChar w:fldCharType="end"/>
      </w:r>
      <w:r w:rsidRPr="00430400">
        <w:rPr>
          <w:sz w:val="24"/>
        </w:rPr>
        <w:t xml:space="preserve"> was a randomised cross</w:t>
      </w:r>
      <w:r w:rsidRPr="00430400">
        <w:rPr>
          <w:sz w:val="24"/>
        </w:rPr>
        <w:noBreakHyphen/>
        <w:t>over trial (n=70) which sought to examine the effects of e</w:t>
      </w:r>
      <w:r w:rsidRPr="00430400">
        <w:rPr>
          <w:sz w:val="24"/>
        </w:rPr>
        <w:noBreakHyphen/>
        <w:t xml:space="preserve">cigarettes on </w:t>
      </w:r>
      <w:r w:rsidRPr="00430400">
        <w:rPr>
          <w:b/>
          <w:sz w:val="24"/>
        </w:rPr>
        <w:t>aortic stiffness</w:t>
      </w:r>
      <w:r w:rsidRPr="00430400">
        <w:rPr>
          <w:sz w:val="24"/>
        </w:rPr>
        <w:t xml:space="preserve"> (as measured by pulse wave velocity [PWV] and augmentation index [AIW75]) (as well as exhaled </w:t>
      </w:r>
      <w:r w:rsidRPr="00430400">
        <w:rPr>
          <w:b/>
          <w:sz w:val="24"/>
        </w:rPr>
        <w:t>carbon monoxide</w:t>
      </w:r>
      <w:r w:rsidRPr="00430400">
        <w:rPr>
          <w:sz w:val="24"/>
        </w:rPr>
        <w:t xml:space="preserve"> (eCO) and oxidative stress, as measured by malondialdehyde [MDA] plasma concentrations). The study involved two phases, an acute phase where conventional cigarette smokers either smoked a conventional cigarette, or an e</w:t>
      </w:r>
      <w:r w:rsidRPr="00430400">
        <w:rPr>
          <w:sz w:val="24"/>
        </w:rPr>
        <w:noBreakHyphen/>
        <w:t xml:space="preserve">cigarette (half of the group used nicotine free e-fluid, and the other half nicotine containing e-fluid (12mg/mL) for </w:t>
      </w:r>
      <w:r w:rsidRPr="00430400">
        <w:rPr>
          <w:b/>
          <w:sz w:val="24"/>
        </w:rPr>
        <w:t xml:space="preserve">one </w:t>
      </w:r>
      <w:r w:rsidR="0021563A">
        <w:rPr>
          <w:b/>
          <w:sz w:val="24"/>
        </w:rPr>
        <w:t>seven</w:t>
      </w:r>
      <w:r w:rsidRPr="00430400">
        <w:rPr>
          <w:b/>
          <w:sz w:val="24"/>
        </w:rPr>
        <w:noBreakHyphen/>
        <w:t>minute period</w:t>
      </w:r>
      <w:r w:rsidRPr="00430400">
        <w:rPr>
          <w:sz w:val="24"/>
        </w:rPr>
        <w:t>, then subjects crossed over after one hour. In the chronic phase, the same 70 smokers were asked to replace conventional cigarettes by e</w:t>
      </w:r>
      <w:r w:rsidRPr="00430400">
        <w:rPr>
          <w:sz w:val="24"/>
        </w:rPr>
        <w:noBreakHyphen/>
        <w:t>cigarettes (with 12mg/dL nicotine in the e</w:t>
      </w:r>
      <w:r w:rsidRPr="00430400">
        <w:rPr>
          <w:sz w:val="24"/>
        </w:rPr>
        <w:noBreakHyphen/>
        <w:t xml:space="preserve">fluid) for </w:t>
      </w:r>
      <w:r w:rsidRPr="00430400">
        <w:rPr>
          <w:b/>
          <w:sz w:val="24"/>
        </w:rPr>
        <w:t>one month</w:t>
      </w:r>
      <w:r w:rsidRPr="00430400">
        <w:rPr>
          <w:sz w:val="24"/>
        </w:rPr>
        <w:t xml:space="preserve"> </w:t>
      </w:r>
      <w:r w:rsidRPr="00430400">
        <w:rPr>
          <w:sz w:val="24"/>
        </w:rPr>
        <w:fldChar w:fldCharType="begin">
          <w:fldData xml:space="preserve">PEVuZE5vdGU+PENpdGU+PEF1dGhvcj5Ja29ub21pZGlzPC9BdXRob3I+PFllYXI+MjAxODwvWWVh
cj48UmVjTnVtPjY1NjwvUmVjTnVtPjxEaXNwbGF5VGV4dD4oSWtvbm9taWRpcywgVmxhc3RvcyBl
dCBhbC4gMjAxOCk8L0Rpc3BsYXlUZXh0PjxyZWNvcmQ+PHJlYy1udW1iZXI+NjU2PC9yZWMtbnVt
YmVyPjxmb3JlaWduLWtleXM+PGtleSBhcHA9IkVOIiBkYi1pZD0idnp4ZHBmd2R1eGZlZDJldDlw
YXZ4OTlqenNzeGVhcHd0NXA1IiB0aW1lc3RhbXA9IjE1MjEwOTkyNTIiPjY1Njwva2V5PjxrZXkg
YXBwPSJFTldlYiIgZGItaWQ9IiI+MDwva2V5PjwvZm9yZWlnbi1rZXlzPjxyZWYtdHlwZSBuYW1l
PSJKb3VybmFsIEFydGljbGUiPjE3PC9yZWYtdHlwZT48Y29udHJpYnV0b3JzPjxhdXRob3JzPjxh
dXRob3I+SWtvbm9taWRpcywgSS48L2F1dGhvcj48YXV0aG9yPlZsYXN0b3MsIEQuPC9hdXRob3I+
PGF1dGhvcj5Lb3VyZWEsIEsuPC9hdXRob3I+PGF1dGhvcj5Lb3N0ZWxsaSwgRy48L2F1dGhvcj48
YXV0aG9yPlZhcm91ZGksIE0uPC9hdXRob3I+PGF1dGhvcj5QYXZsaWRpcywgRy48L2F1dGhvcj48
YXV0aG9yPkVmZW50YWtpcywgUC48L2F1dGhvcj48YXV0aG9yPlRyaWFudGFmeWxsaWRpLCBILjwv
YXV0aG9yPjxhdXRob3I+UGFyaXNzaXMsIEouPC9hdXRob3I+PGF1dGhvcj5BbmRyZWFkb3UsIEku
PC9hdXRob3I+PGF1dGhvcj5JbGlvZHJvbWl0aXMsIEUuPC9hdXRob3I+PGF1dGhvcj5MZWtha2lz
LCBKLjwvYXV0aG9yPjwvYXV0aG9ycz48L2NvbnRyaWJ1dG9ycz48YXV0aC1hZGRyZXNzPjJuZCBD
YXJkaW9sb2d5IERlcGFydG1lbnQsIEF0dGlrb24gSG9zcGl0YWwsIE5hdGlvbmFsIGFuZCBLYXBv
ZGlzdHJpYW4gVW5pdmVyc2l0eSBvZiBBdGhlbnMsIE1lZGljYWwgU2Nob29sLCBHcmVlY2UgKEku
SS4sIEQuVi4sIEsuSy4sIEcuSy4sIE0uVi4sIEcuUC4sIEguVC4sIEouUC4sIEUuSS4sIEouTC4p
IGlnbm9pa0BnbWFpbC5jb20uJiN4RDsybmQgQ2FyZGlvbG9neSBEZXBhcnRtZW50LCBBdHRpa29u
IEhvc3BpdGFsLCBOYXRpb25hbCBhbmQgS2Fwb2Rpc3RyaWFuIFVuaXZlcnNpdHkgb2YgQXRoZW5z
LCBNZWRpY2FsIFNjaG9vbCwgR3JlZWNlIChJLkkuLCBELlYuLCBLLksuLCBHLksuLCBNLlYuLCBH
LlAuLCBILlQuLCBKLlAuLCBFLkkuLCBKLkwuKS4mI3hEO0RlcGFydG1lbnQgb2YgUGhhcm1hY2V1
dGljYWwgQ2hlbWlzdHJ5LCBOYXRpb25hbCBhbmQgS2Fwb2Rpc3RyaWFuIFVuaXZlcnNpdHkgb2Yg
QXRoZW5zLCBTY2hvb2wgb2YgUGhhcm1hY3ksIEdyZWVjZSAoUC5FLiwgSS5BLikuPC9hdXRoLWFk
ZHJlc3M+PHRpdGxlcz48dGl0bGU+RWxlY3Ryb25pYyBDaWdhcmV0dGUgU21va2luZyBJbmNyZWFz
ZXMgQXJ0ZXJpYWwgU3RpZmZuZXNzIGFuZCBPeGlkYXRpdmUgU3RyZXNzIHRvIGEgTGVzc2VyIEV4
dGVudCBUaGFuIGEgU2luZ2xlIENvbnZlbnRpb25hbCBDaWdhcmV0dGU6IEFuIEFjdXRlIGFuZCBD
aHJvbmljIFN0dWR5PC90aXRsZT48c2Vjb25kYXJ5LXRpdGxlPkNpcmN1bGF0aW9uPC9zZWNvbmRh
cnktdGl0bGU+PGFsdC10aXRsZT5DaXJjdWxhdGlvbjwvYWx0LXRpdGxlPjwvdGl0bGVzPjxwZXJp
b2RpY2FsPjxmdWxsLXRpdGxlPkNpcmN1bGF0aW9uPC9mdWxsLXRpdGxlPjwvcGVyaW9kaWNhbD48
YWx0LXBlcmlvZGljYWw+PGZ1bGwtdGl0bGU+Q2lyY3VsYXRpb248L2Z1bGwtdGl0bGU+PC9hbHQt
cGVyaW9kaWNhbD48cGFnZXM+MzAzLTMwNjwvcGFnZXM+PHZvbHVtZT4xMzc8L3ZvbHVtZT48bnVt
YmVyPjM8L251bWJlcj48ZWRpdGlvbj4yMDE4LzAxLzE4PC9lZGl0aW9uPjxrZXl3b3Jkcz48a2V5
d29yZD5jaWdhcmV0dGUgc21va2luZzwva2V5d29yZD48a2V5d29yZD5lbGVjdHJvbmljIG5pY290
aW5lIGRlbGl2ZXJ5IHN5c3RlbXM8L2tleXdvcmQ+PGtleXdvcmQ+b3hpZGF0aXZlIHN0cmVzczwv
a2V5d29yZD48a2V5d29yZD5zbW9raW5nIGNlc3NhdGlvbjwva2V5d29yZD48a2V5d29yZD52YXBp
bmc8L2tleXdvcmQ+PGtleXdvcmQ+dmFzY3VsYXIgc3RpZmZuZXNzPC9rZXl3b3JkPjwva2V5d29y
ZHM+PGRhdGVzPjx5ZWFyPjIwMTg8L3llYXI+PHB1Yi1kYXRlcz48ZGF0ZT5KYW4gMTY8L2RhdGU+
PC9wdWItZGF0ZXM+PC9kYXRlcz48aXNibj4wMDA5LTczMjI8L2lzYm4+PGFjY2Vzc2lvbi1udW0+
MjkzMzUyOTE8L2FjY2Vzc2lvbi1udW0+PHVybHM+PC91cmxzPjxlbGVjdHJvbmljLXJlc291cmNl
LW51bT4xMC4xMTYxL2NpcmN1bGF0aW9uYWhhLjExNy4wMjkxNTM8L2VsZWN0cm9uaWMtcmVzb3Vy
Y2UtbnVtPjxyZW1vdGUtZGF0YWJhc2UtcHJvdmlkZXI+TkxNPC9yZW1vdGUtZGF0YWJhc2UtcHJv
dmlkZXI+PGxhbmd1YWdlPmVuZzwvbGFuZ3VhZ2U+PC9yZWNvcmQ+PC9DaXRlPjwvRW5kTm90ZT4A
</w:fldData>
        </w:fldChar>
      </w:r>
      <w:r w:rsidRPr="00430400">
        <w:rPr>
          <w:sz w:val="24"/>
        </w:rPr>
        <w:instrText xml:space="preserve"> ADDIN EN.CITE </w:instrText>
      </w:r>
      <w:r w:rsidRPr="00430400">
        <w:rPr>
          <w:sz w:val="24"/>
        </w:rPr>
        <w:fldChar w:fldCharType="begin">
          <w:fldData xml:space="preserve">PEVuZE5vdGU+PENpdGU+PEF1dGhvcj5Ja29ub21pZGlzPC9BdXRob3I+PFllYXI+MjAxODwvWWVh
cj48UmVjTnVtPjY1NjwvUmVjTnVtPjxEaXNwbGF5VGV4dD4oSWtvbm9taWRpcywgVmxhc3RvcyBl
dCBhbC4gMjAxOCk8L0Rpc3BsYXlUZXh0PjxyZWNvcmQ+PHJlYy1udW1iZXI+NjU2PC9yZWMtbnVt
YmVyPjxmb3JlaWduLWtleXM+PGtleSBhcHA9IkVOIiBkYi1pZD0idnp4ZHBmd2R1eGZlZDJldDlw
YXZ4OTlqenNzeGVhcHd0NXA1IiB0aW1lc3RhbXA9IjE1MjEwOTkyNTIiPjY1Njwva2V5PjxrZXkg
YXBwPSJFTldlYiIgZGItaWQ9IiI+MDwva2V5PjwvZm9yZWlnbi1rZXlzPjxyZWYtdHlwZSBuYW1l
PSJKb3VybmFsIEFydGljbGUiPjE3PC9yZWYtdHlwZT48Y29udHJpYnV0b3JzPjxhdXRob3JzPjxh
dXRob3I+SWtvbm9taWRpcywgSS48L2F1dGhvcj48YXV0aG9yPlZsYXN0b3MsIEQuPC9hdXRob3I+
PGF1dGhvcj5Lb3VyZWEsIEsuPC9hdXRob3I+PGF1dGhvcj5Lb3N0ZWxsaSwgRy48L2F1dGhvcj48
YXV0aG9yPlZhcm91ZGksIE0uPC9hdXRob3I+PGF1dGhvcj5QYXZsaWRpcywgRy48L2F1dGhvcj48
YXV0aG9yPkVmZW50YWtpcywgUC48L2F1dGhvcj48YXV0aG9yPlRyaWFudGFmeWxsaWRpLCBILjwv
YXV0aG9yPjxhdXRob3I+UGFyaXNzaXMsIEouPC9hdXRob3I+PGF1dGhvcj5BbmRyZWFkb3UsIEku
PC9hdXRob3I+PGF1dGhvcj5JbGlvZHJvbWl0aXMsIEUuPC9hdXRob3I+PGF1dGhvcj5MZWtha2lz
LCBKLjwvYXV0aG9yPjwvYXV0aG9ycz48L2NvbnRyaWJ1dG9ycz48YXV0aC1hZGRyZXNzPjJuZCBD
YXJkaW9sb2d5IERlcGFydG1lbnQsIEF0dGlrb24gSG9zcGl0YWwsIE5hdGlvbmFsIGFuZCBLYXBv
ZGlzdHJpYW4gVW5pdmVyc2l0eSBvZiBBdGhlbnMsIE1lZGljYWwgU2Nob29sLCBHcmVlY2UgKEku
SS4sIEQuVi4sIEsuSy4sIEcuSy4sIE0uVi4sIEcuUC4sIEguVC4sIEouUC4sIEUuSS4sIEouTC4p
IGlnbm9pa0BnbWFpbC5jb20uJiN4RDsybmQgQ2FyZGlvbG9neSBEZXBhcnRtZW50LCBBdHRpa29u
IEhvc3BpdGFsLCBOYXRpb25hbCBhbmQgS2Fwb2Rpc3RyaWFuIFVuaXZlcnNpdHkgb2YgQXRoZW5z
LCBNZWRpY2FsIFNjaG9vbCwgR3JlZWNlIChJLkkuLCBELlYuLCBLLksuLCBHLksuLCBNLlYuLCBH
LlAuLCBILlQuLCBKLlAuLCBFLkkuLCBKLkwuKS4mI3hEO0RlcGFydG1lbnQgb2YgUGhhcm1hY2V1
dGljYWwgQ2hlbWlzdHJ5LCBOYXRpb25hbCBhbmQgS2Fwb2Rpc3RyaWFuIFVuaXZlcnNpdHkgb2Yg
QXRoZW5zLCBTY2hvb2wgb2YgUGhhcm1hY3ksIEdyZWVjZSAoUC5FLiwgSS5BLikuPC9hdXRoLWFk
ZHJlc3M+PHRpdGxlcz48dGl0bGU+RWxlY3Ryb25pYyBDaWdhcmV0dGUgU21va2luZyBJbmNyZWFz
ZXMgQXJ0ZXJpYWwgU3RpZmZuZXNzIGFuZCBPeGlkYXRpdmUgU3RyZXNzIHRvIGEgTGVzc2VyIEV4
dGVudCBUaGFuIGEgU2luZ2xlIENvbnZlbnRpb25hbCBDaWdhcmV0dGU6IEFuIEFjdXRlIGFuZCBD
aHJvbmljIFN0dWR5PC90aXRsZT48c2Vjb25kYXJ5LXRpdGxlPkNpcmN1bGF0aW9uPC9zZWNvbmRh
cnktdGl0bGU+PGFsdC10aXRsZT5DaXJjdWxhdGlvbjwvYWx0LXRpdGxlPjwvdGl0bGVzPjxwZXJp
b2RpY2FsPjxmdWxsLXRpdGxlPkNpcmN1bGF0aW9uPC9mdWxsLXRpdGxlPjwvcGVyaW9kaWNhbD48
YWx0LXBlcmlvZGljYWw+PGZ1bGwtdGl0bGU+Q2lyY3VsYXRpb248L2Z1bGwtdGl0bGU+PC9hbHQt
cGVyaW9kaWNhbD48cGFnZXM+MzAzLTMwNjwvcGFnZXM+PHZvbHVtZT4xMzc8L3ZvbHVtZT48bnVt
YmVyPjM8L251bWJlcj48ZWRpdGlvbj4yMDE4LzAxLzE4PC9lZGl0aW9uPjxrZXl3b3Jkcz48a2V5
d29yZD5jaWdhcmV0dGUgc21va2luZzwva2V5d29yZD48a2V5d29yZD5lbGVjdHJvbmljIG5pY290
aW5lIGRlbGl2ZXJ5IHN5c3RlbXM8L2tleXdvcmQ+PGtleXdvcmQ+b3hpZGF0aXZlIHN0cmVzczwv
a2V5d29yZD48a2V5d29yZD5zbW9raW5nIGNlc3NhdGlvbjwva2V5d29yZD48a2V5d29yZD52YXBp
bmc8L2tleXdvcmQ+PGtleXdvcmQ+dmFzY3VsYXIgc3RpZmZuZXNzPC9rZXl3b3JkPjwva2V5d29y
ZHM+PGRhdGVzPjx5ZWFyPjIwMTg8L3llYXI+PHB1Yi1kYXRlcz48ZGF0ZT5KYW4gMTY8L2RhdGU+
PC9wdWItZGF0ZXM+PC9kYXRlcz48aXNibj4wMDA5LTczMjI8L2lzYm4+PGFjY2Vzc2lvbi1udW0+
MjkzMzUyOTE8L2FjY2Vzc2lvbi1udW0+PHVybHM+PC91cmxzPjxlbGVjdHJvbmljLXJlc291cmNl
LW51bT4xMC4xMTYxL2NpcmN1bGF0aW9uYWhhLjExNy4wMjkxNTM8L2VsZWN0cm9uaWMtcmVzb3Vy
Y2UtbnVtPjxyZW1vdGUtZGF0YWJhc2UtcHJvdmlkZXI+TkxNPC9yZW1vdGUtZGF0YWJhc2UtcHJv
dmlkZXI+PGxhbmd1YWdlPmVuZzwvbGFuZ3VhZ2U+PC9yZWNvcmQ+PC9DaXRlPjwvRW5kTm90ZT4A
</w:fldData>
        </w:fldChar>
      </w:r>
      <w:r w:rsidRPr="00430400">
        <w:rPr>
          <w:sz w:val="24"/>
        </w:rPr>
        <w:instrText xml:space="preserve"> ADDIN EN.CITE.DATA </w:instrText>
      </w:r>
      <w:r w:rsidRPr="00430400">
        <w:rPr>
          <w:sz w:val="24"/>
        </w:rPr>
      </w:r>
      <w:r w:rsidRPr="00430400">
        <w:rPr>
          <w:sz w:val="24"/>
        </w:rPr>
        <w:fldChar w:fldCharType="end"/>
      </w:r>
      <w:r w:rsidRPr="00430400">
        <w:rPr>
          <w:sz w:val="24"/>
        </w:rPr>
      </w:r>
      <w:r w:rsidRPr="00430400">
        <w:rPr>
          <w:sz w:val="24"/>
        </w:rPr>
        <w:fldChar w:fldCharType="separate"/>
      </w:r>
      <w:r w:rsidRPr="00430400">
        <w:rPr>
          <w:noProof/>
          <w:sz w:val="24"/>
        </w:rPr>
        <w:t>(Ikonomidis, Vlastos et al. 2018)</w:t>
      </w:r>
      <w:r w:rsidRPr="00430400">
        <w:rPr>
          <w:sz w:val="24"/>
        </w:rPr>
        <w:fldChar w:fldCharType="end"/>
      </w:r>
      <w:r w:rsidRPr="00430400">
        <w:rPr>
          <w:sz w:val="24"/>
        </w:rPr>
        <w:t xml:space="preserve">. There was also a control group (n=20) of conventional cigarette smokers who maintained their smoking habit. </w:t>
      </w:r>
    </w:p>
    <w:p w14:paraId="2409C1A4" w14:textId="77777777" w:rsidR="00430400" w:rsidRPr="00430400" w:rsidRDefault="00430400" w:rsidP="00430400">
      <w:pPr>
        <w:spacing w:before="120" w:line="264" w:lineRule="auto"/>
        <w:rPr>
          <w:sz w:val="24"/>
        </w:rPr>
      </w:pPr>
      <w:r w:rsidRPr="00430400">
        <w:rPr>
          <w:sz w:val="24"/>
        </w:rPr>
        <w:t>Results showed that both conventional cigarette and e</w:t>
      </w:r>
      <w:r w:rsidRPr="00430400">
        <w:rPr>
          <w:sz w:val="24"/>
        </w:rPr>
        <w:noBreakHyphen/>
        <w:t>cigarette use adversely affected arterial elasticity in the acute phase. PWV increased from 10</w:t>
      </w:r>
      <w:r w:rsidRPr="00430400">
        <w:rPr>
          <w:sz w:val="24"/>
          <w:u w:val="single"/>
        </w:rPr>
        <w:t>+</w:t>
      </w:r>
      <w:r w:rsidRPr="00430400">
        <w:rPr>
          <w:sz w:val="24"/>
        </w:rPr>
        <w:t>0.2 m/s to 10.5</w:t>
      </w:r>
      <w:r w:rsidRPr="00430400">
        <w:rPr>
          <w:sz w:val="24"/>
          <w:u w:val="single"/>
        </w:rPr>
        <w:t>+</w:t>
      </w:r>
      <w:r w:rsidRPr="00430400">
        <w:rPr>
          <w:sz w:val="24"/>
        </w:rPr>
        <w:t>0.2 m/s for e-cigarettes, and to 11.0</w:t>
      </w:r>
      <w:r w:rsidRPr="00903735">
        <w:rPr>
          <w:sz w:val="24"/>
          <w:u w:val="single"/>
        </w:rPr>
        <w:t>+</w:t>
      </w:r>
      <w:r w:rsidRPr="00430400">
        <w:rPr>
          <w:sz w:val="24"/>
        </w:rPr>
        <w:t>0.2 m/s for conventional cigarettes, both p&lt;0.05 while AIX75 increased from 28.4</w:t>
      </w:r>
      <w:r w:rsidRPr="00430400">
        <w:rPr>
          <w:sz w:val="24"/>
          <w:u w:val="single"/>
        </w:rPr>
        <w:t>+</w:t>
      </w:r>
      <w:r w:rsidRPr="00430400">
        <w:rPr>
          <w:sz w:val="24"/>
        </w:rPr>
        <w:t>7% to 32.1</w:t>
      </w:r>
      <w:r w:rsidRPr="00430400">
        <w:rPr>
          <w:sz w:val="24"/>
          <w:u w:val="single"/>
        </w:rPr>
        <w:t>+</w:t>
      </w:r>
      <w:r w:rsidRPr="00430400">
        <w:rPr>
          <w:sz w:val="24"/>
        </w:rPr>
        <w:t>7% for e</w:t>
      </w:r>
      <w:r w:rsidRPr="00430400">
        <w:rPr>
          <w:sz w:val="24"/>
        </w:rPr>
        <w:noBreakHyphen/>
        <w:t>cigarettes and 38.2</w:t>
      </w:r>
      <w:r w:rsidRPr="00430400">
        <w:rPr>
          <w:sz w:val="24"/>
          <w:u w:val="single"/>
        </w:rPr>
        <w:t>+</w:t>
      </w:r>
      <w:r w:rsidRPr="00430400">
        <w:rPr>
          <w:sz w:val="24"/>
        </w:rPr>
        <w:t>9% for conventional cigarettes, both p</w:t>
      </w:r>
      <w:r w:rsidRPr="00430400">
        <w:rPr>
          <w:rFonts w:cs="Calibri"/>
          <w:sz w:val="24"/>
        </w:rPr>
        <w:t>˂</w:t>
      </w:r>
      <w:r w:rsidRPr="00430400">
        <w:rPr>
          <w:sz w:val="24"/>
        </w:rPr>
        <w:t>0.05). However, nicotine</w:t>
      </w:r>
      <w:r w:rsidRPr="00430400">
        <w:rPr>
          <w:sz w:val="24"/>
        </w:rPr>
        <w:noBreakHyphen/>
        <w:t>free e</w:t>
      </w:r>
      <w:r w:rsidRPr="00430400">
        <w:rPr>
          <w:sz w:val="24"/>
        </w:rPr>
        <w:noBreakHyphen/>
        <w:t>cigarettes resulted in a comparatively smaller increase of arterial stiffness. Exhaled CO was lower after e</w:t>
      </w:r>
      <w:r w:rsidRPr="00430400">
        <w:rPr>
          <w:sz w:val="24"/>
        </w:rPr>
        <w:noBreakHyphen/>
        <w:t>cigarette vaping than after conventional cigarette smoking (12.1</w:t>
      </w:r>
      <w:r w:rsidRPr="00430400">
        <w:rPr>
          <w:sz w:val="24"/>
          <w:u w:val="single"/>
        </w:rPr>
        <w:t>+</w:t>
      </w:r>
      <w:r w:rsidRPr="00430400">
        <w:rPr>
          <w:sz w:val="24"/>
        </w:rPr>
        <w:t xml:space="preserve"> 0.5 ppm compared to 14.2</w:t>
      </w:r>
      <w:r w:rsidRPr="00430400">
        <w:rPr>
          <w:sz w:val="24"/>
          <w:u w:val="single"/>
        </w:rPr>
        <w:t>+</w:t>
      </w:r>
      <w:r w:rsidRPr="00430400">
        <w:rPr>
          <w:sz w:val="24"/>
        </w:rPr>
        <w:t>0.8 ppm for the nicotine containing e-cigarette group, p</w:t>
      </w:r>
      <w:r w:rsidRPr="00430400">
        <w:rPr>
          <w:rFonts w:cs="Calibri"/>
          <w:sz w:val="24"/>
        </w:rPr>
        <w:t>˂</w:t>
      </w:r>
      <w:r w:rsidRPr="00430400">
        <w:rPr>
          <w:sz w:val="24"/>
        </w:rPr>
        <w:t>0.05; 12.0+0.6ppm compared to 15.6+0.7ppm for the nicotine free e-cigarette group, p&lt;0.05). In the chronic phase, at follow</w:t>
      </w:r>
      <w:r w:rsidRPr="00430400">
        <w:rPr>
          <w:sz w:val="24"/>
        </w:rPr>
        <w:noBreakHyphen/>
        <w:t>up 60% self</w:t>
      </w:r>
      <w:r w:rsidRPr="00430400">
        <w:rPr>
          <w:sz w:val="24"/>
        </w:rPr>
        <w:noBreakHyphen/>
        <w:t>reported using only e</w:t>
      </w:r>
      <w:r w:rsidRPr="00430400">
        <w:rPr>
          <w:sz w:val="24"/>
        </w:rPr>
        <w:noBreakHyphen/>
        <w:t>cigarettes, 34% reported using e</w:t>
      </w:r>
      <w:r w:rsidRPr="00430400">
        <w:rPr>
          <w:sz w:val="24"/>
        </w:rPr>
        <w:noBreakHyphen/>
        <w:t>cigarettes and conventional cigarettes and 6% were non</w:t>
      </w:r>
      <w:r w:rsidRPr="00430400">
        <w:rPr>
          <w:sz w:val="24"/>
        </w:rPr>
        <w:noBreakHyphen/>
        <w:t xml:space="preserve">compliant (used only conventional cigarettes). </w:t>
      </w:r>
    </w:p>
    <w:p w14:paraId="25567032" w14:textId="77777777" w:rsidR="00430400" w:rsidRPr="00430400" w:rsidRDefault="00430400" w:rsidP="00430400">
      <w:pPr>
        <w:spacing w:before="120" w:line="264" w:lineRule="auto"/>
        <w:rPr>
          <w:sz w:val="24"/>
        </w:rPr>
      </w:pPr>
      <w:r w:rsidRPr="00430400">
        <w:rPr>
          <w:sz w:val="24"/>
        </w:rPr>
        <w:t>Replacement of conventional cigarette by nicotine</w:t>
      </w:r>
      <w:r w:rsidRPr="00430400">
        <w:rPr>
          <w:sz w:val="24"/>
        </w:rPr>
        <w:noBreakHyphen/>
        <w:t>containing e</w:t>
      </w:r>
      <w:r w:rsidRPr="00430400">
        <w:rPr>
          <w:sz w:val="24"/>
        </w:rPr>
        <w:noBreakHyphen/>
        <w:t>cigarettes (for both the dual user group and e</w:t>
      </w:r>
      <w:r w:rsidRPr="00430400">
        <w:rPr>
          <w:sz w:val="24"/>
        </w:rPr>
        <w:noBreakHyphen/>
        <w:t xml:space="preserve">cigarette only groups) resulted in </w:t>
      </w:r>
      <w:r w:rsidRPr="00430400">
        <w:rPr>
          <w:b/>
          <w:sz w:val="24"/>
        </w:rPr>
        <w:t xml:space="preserve">reduced central systolic blood pressure </w:t>
      </w:r>
      <w:r w:rsidRPr="00430400">
        <w:rPr>
          <w:sz w:val="24"/>
        </w:rPr>
        <w:t>(dual users 124.9</w:t>
      </w:r>
      <w:r w:rsidRPr="00430400">
        <w:rPr>
          <w:sz w:val="24"/>
          <w:u w:val="single"/>
        </w:rPr>
        <w:t>+</w:t>
      </w:r>
      <w:r w:rsidRPr="00430400">
        <w:rPr>
          <w:sz w:val="24"/>
        </w:rPr>
        <w:t>8mmHg to 123.1</w:t>
      </w:r>
      <w:r w:rsidRPr="00430400">
        <w:rPr>
          <w:sz w:val="24"/>
          <w:u w:val="single"/>
        </w:rPr>
        <w:t>+</w:t>
      </w:r>
      <w:r w:rsidRPr="00430400">
        <w:rPr>
          <w:sz w:val="24"/>
        </w:rPr>
        <w:t>9, p=0.04; e</w:t>
      </w:r>
      <w:r w:rsidRPr="00430400">
        <w:rPr>
          <w:sz w:val="24"/>
        </w:rPr>
        <w:noBreakHyphen/>
        <w:t>cigarette use only 124.1</w:t>
      </w:r>
      <w:r w:rsidRPr="00430400">
        <w:rPr>
          <w:sz w:val="24"/>
          <w:u w:val="single"/>
        </w:rPr>
        <w:t>+</w:t>
      </w:r>
      <w:r w:rsidRPr="00430400">
        <w:rPr>
          <w:sz w:val="24"/>
        </w:rPr>
        <w:t>9 to 122.2</w:t>
      </w:r>
      <w:r w:rsidRPr="00430400">
        <w:rPr>
          <w:sz w:val="24"/>
          <w:u w:val="single"/>
        </w:rPr>
        <w:t>+</w:t>
      </w:r>
      <w:r w:rsidRPr="00430400">
        <w:rPr>
          <w:sz w:val="24"/>
        </w:rPr>
        <w:t xml:space="preserve">8, p=0.04) </w:t>
      </w:r>
      <w:r w:rsidRPr="00430400">
        <w:rPr>
          <w:b/>
          <w:sz w:val="24"/>
        </w:rPr>
        <w:t>and reduced brachial systolic blood pressure</w:t>
      </w:r>
      <w:r w:rsidRPr="00430400">
        <w:rPr>
          <w:sz w:val="24"/>
        </w:rPr>
        <w:t xml:space="preserve"> (SBP) (dual users 127.5</w:t>
      </w:r>
      <w:r w:rsidRPr="00430400">
        <w:rPr>
          <w:sz w:val="24"/>
          <w:u w:val="single"/>
        </w:rPr>
        <w:t>+</w:t>
      </w:r>
      <w:r w:rsidRPr="00430400">
        <w:rPr>
          <w:sz w:val="24"/>
        </w:rPr>
        <w:t>9mmHg to 123.9</w:t>
      </w:r>
      <w:r w:rsidRPr="00430400">
        <w:rPr>
          <w:sz w:val="24"/>
          <w:u w:val="single"/>
        </w:rPr>
        <w:t>+</w:t>
      </w:r>
      <w:r w:rsidRPr="00430400">
        <w:rPr>
          <w:sz w:val="24"/>
        </w:rPr>
        <w:t>7, p=0.04; e</w:t>
      </w:r>
      <w:r w:rsidRPr="00430400">
        <w:rPr>
          <w:sz w:val="24"/>
        </w:rPr>
        <w:noBreakHyphen/>
        <w:t xml:space="preserve">cigarette </w:t>
      </w:r>
      <w:r w:rsidRPr="00430400">
        <w:rPr>
          <w:sz w:val="24"/>
        </w:rPr>
        <w:lastRenderedPageBreak/>
        <w:t>use only 127.1</w:t>
      </w:r>
      <w:r w:rsidRPr="00430400">
        <w:rPr>
          <w:sz w:val="24"/>
          <w:u w:val="single"/>
        </w:rPr>
        <w:t>+</w:t>
      </w:r>
      <w:r w:rsidRPr="00430400">
        <w:rPr>
          <w:sz w:val="24"/>
        </w:rPr>
        <w:t>6 to 124.5</w:t>
      </w:r>
      <w:r w:rsidRPr="00430400">
        <w:rPr>
          <w:sz w:val="24"/>
          <w:u w:val="single"/>
        </w:rPr>
        <w:t>+</w:t>
      </w:r>
      <w:r w:rsidRPr="00430400">
        <w:rPr>
          <w:sz w:val="24"/>
        </w:rPr>
        <w:t xml:space="preserve">9, p=0.03) and </w:t>
      </w:r>
      <w:r w:rsidRPr="00430400">
        <w:rPr>
          <w:b/>
          <w:sz w:val="24"/>
        </w:rPr>
        <w:t>reduced augmentation index</w:t>
      </w:r>
      <w:r w:rsidRPr="00430400">
        <w:rPr>
          <w:sz w:val="24"/>
        </w:rPr>
        <w:t xml:space="preserve"> (AIW75, 29.3</w:t>
      </w:r>
      <w:r w:rsidRPr="00430400">
        <w:rPr>
          <w:sz w:val="24"/>
          <w:u w:val="single"/>
        </w:rPr>
        <w:t>+</w:t>
      </w:r>
      <w:r w:rsidRPr="00430400">
        <w:rPr>
          <w:sz w:val="24"/>
        </w:rPr>
        <w:t>8% to 25.6</w:t>
      </w:r>
      <w:r w:rsidRPr="00430400">
        <w:rPr>
          <w:sz w:val="24"/>
          <w:u w:val="single"/>
        </w:rPr>
        <w:t>+</w:t>
      </w:r>
      <w:r w:rsidRPr="00430400">
        <w:rPr>
          <w:sz w:val="24"/>
        </w:rPr>
        <w:t>9%, p=0.01 for the dual user group and 28.9</w:t>
      </w:r>
      <w:r w:rsidRPr="00430400">
        <w:rPr>
          <w:sz w:val="24"/>
          <w:u w:val="single"/>
        </w:rPr>
        <w:t>+</w:t>
      </w:r>
      <w:r w:rsidRPr="00430400">
        <w:rPr>
          <w:sz w:val="24"/>
        </w:rPr>
        <w:t>9% to 23.9</w:t>
      </w:r>
      <w:r w:rsidRPr="00430400">
        <w:rPr>
          <w:sz w:val="24"/>
          <w:u w:val="single"/>
        </w:rPr>
        <w:t>+</w:t>
      </w:r>
      <w:r w:rsidRPr="00430400">
        <w:rPr>
          <w:sz w:val="24"/>
        </w:rPr>
        <w:t>7%, p=0.001 for the e</w:t>
      </w:r>
      <w:r w:rsidRPr="00430400">
        <w:rPr>
          <w:sz w:val="24"/>
        </w:rPr>
        <w:noBreakHyphen/>
        <w:t>cigarette only group) within one month, likely because of the reduction in smoking conventional cigarettes. In the chronic phase, reductions in exhaled CO compared to baseline were significant for both the dual users (15</w:t>
      </w:r>
      <w:r w:rsidRPr="00430400">
        <w:rPr>
          <w:rFonts w:cs="Calibri"/>
          <w:sz w:val="24"/>
        </w:rPr>
        <w:t>±</w:t>
      </w:r>
      <w:r w:rsidRPr="00430400">
        <w:rPr>
          <w:sz w:val="24"/>
        </w:rPr>
        <w:t>0.6 to 12.5</w:t>
      </w:r>
      <w:r w:rsidRPr="00430400">
        <w:rPr>
          <w:rFonts w:cs="Calibri"/>
          <w:sz w:val="24"/>
        </w:rPr>
        <w:t>±</w:t>
      </w:r>
      <w:r w:rsidRPr="00430400">
        <w:rPr>
          <w:sz w:val="24"/>
        </w:rPr>
        <w:t>0.6 ppm, p=0.04) and e</w:t>
      </w:r>
      <w:r w:rsidRPr="00430400">
        <w:rPr>
          <w:sz w:val="24"/>
        </w:rPr>
        <w:noBreakHyphen/>
        <w:t>cigarette only users (13.9</w:t>
      </w:r>
      <w:r w:rsidRPr="00430400">
        <w:rPr>
          <w:rFonts w:cs="Calibri"/>
          <w:sz w:val="24"/>
        </w:rPr>
        <w:t>±</w:t>
      </w:r>
      <w:r w:rsidRPr="00430400">
        <w:rPr>
          <w:sz w:val="24"/>
        </w:rPr>
        <w:t>0.7 to 4.2</w:t>
      </w:r>
      <w:r w:rsidRPr="00430400">
        <w:rPr>
          <w:rFonts w:cs="Calibri"/>
          <w:sz w:val="24"/>
        </w:rPr>
        <w:t>±</w:t>
      </w:r>
      <w:r w:rsidRPr="00430400">
        <w:rPr>
          <w:sz w:val="24"/>
        </w:rPr>
        <w:t>0.6 ppm, p</w:t>
      </w:r>
      <w:r w:rsidRPr="00430400">
        <w:rPr>
          <w:rFonts w:cs="Calibri"/>
          <w:sz w:val="24"/>
        </w:rPr>
        <w:t>˂</w:t>
      </w:r>
      <w:r w:rsidRPr="00430400">
        <w:rPr>
          <w:sz w:val="24"/>
        </w:rPr>
        <w:t xml:space="preserve">0.001). Heart rate, pulse wave velocity and diastolic blood pressure were unchanged for both groups. </w:t>
      </w:r>
    </w:p>
    <w:p w14:paraId="001AE9D0" w14:textId="77777777" w:rsidR="00430400" w:rsidRPr="00430400" w:rsidRDefault="00430400" w:rsidP="00430400">
      <w:pPr>
        <w:spacing w:before="120" w:line="264" w:lineRule="auto"/>
        <w:rPr>
          <w:sz w:val="24"/>
        </w:rPr>
      </w:pPr>
      <w:r w:rsidRPr="00430400">
        <w:rPr>
          <w:sz w:val="24"/>
        </w:rPr>
        <w:t>This study provides a good comparison of outcomes using a non</w:t>
      </w:r>
      <w:r w:rsidRPr="00430400">
        <w:rPr>
          <w:sz w:val="24"/>
        </w:rPr>
        <w:noBreakHyphen/>
        <w:t>randomised control group and a longer time frame than other studies (detailed below) to try and capture more real world effects. It was clear that a small percentage of cigarette users could not switch to e</w:t>
      </w:r>
      <w:r w:rsidRPr="00430400">
        <w:rPr>
          <w:sz w:val="24"/>
        </w:rPr>
        <w:noBreakHyphen/>
        <w:t>cigarettes (6%). However, there appeared to be benefits for those that did, at least in the short</w:t>
      </w:r>
      <w:r w:rsidRPr="00430400">
        <w:rPr>
          <w:sz w:val="24"/>
        </w:rPr>
        <w:noBreakHyphen/>
        <w:t>term, and even if they continued to use cigarettes.</w:t>
      </w:r>
    </w:p>
    <w:p w14:paraId="23887428" w14:textId="15616445" w:rsidR="00430400" w:rsidRPr="00430400" w:rsidRDefault="00430400" w:rsidP="00430400">
      <w:pPr>
        <w:spacing w:before="120" w:line="264" w:lineRule="auto"/>
        <w:rPr>
          <w:sz w:val="24"/>
        </w:rPr>
      </w:pPr>
    </w:p>
    <w:p w14:paraId="44DCE0B9" w14:textId="00EAAF69" w:rsidR="00430400" w:rsidRPr="00430400" w:rsidRDefault="00430400" w:rsidP="00430400">
      <w:pPr>
        <w:spacing w:before="120" w:line="264" w:lineRule="auto"/>
        <w:rPr>
          <w:sz w:val="24"/>
        </w:rPr>
      </w:pPr>
      <w:r w:rsidRPr="00430400">
        <w:rPr>
          <w:sz w:val="24"/>
        </w:rPr>
        <w:t xml:space="preserve">An industry funded randomised trial (n=105) by D’Ruiz et al. involved a clinician measuring </w:t>
      </w:r>
      <w:r w:rsidRPr="00430400">
        <w:rPr>
          <w:b/>
          <w:sz w:val="24"/>
        </w:rPr>
        <w:t xml:space="preserve">systolic (SBP) and diastolic blood pressure (DBP) </w:t>
      </w:r>
      <w:r w:rsidRPr="00430400">
        <w:rPr>
          <w:sz w:val="24"/>
        </w:rPr>
        <w:t>and</w:t>
      </w:r>
      <w:r w:rsidRPr="00430400">
        <w:rPr>
          <w:b/>
          <w:sz w:val="24"/>
        </w:rPr>
        <w:t xml:space="preserve"> heart rate (HR)</w:t>
      </w:r>
      <w:r w:rsidRPr="00430400">
        <w:rPr>
          <w:sz w:val="24"/>
        </w:rPr>
        <w:t xml:space="preserve"> following </w:t>
      </w:r>
      <w:r w:rsidR="003A4F0C">
        <w:rPr>
          <w:sz w:val="24"/>
        </w:rPr>
        <w:t>four</w:t>
      </w:r>
      <w:r w:rsidRPr="00430400">
        <w:rPr>
          <w:sz w:val="24"/>
        </w:rPr>
        <w:t xml:space="preserve"> days of use of different types of e</w:t>
      </w:r>
      <w:r w:rsidRPr="00430400">
        <w:rPr>
          <w:sz w:val="24"/>
        </w:rPr>
        <w:noBreakHyphen/>
        <w:t xml:space="preserve">cigarettes </w:t>
      </w:r>
      <w:r w:rsidRPr="00430400">
        <w:rPr>
          <w:sz w:val="24"/>
        </w:rPr>
        <w:fldChar w:fldCharType="begin">
          <w:fldData xml:space="preserve">PEVuZE5vdGU+PENpdGU+PEF1dGhvcj5EJmFwb3M7UnVpejwvQXV0aG9yPjxZZWFyPjIwMTc8L1ll
YXI+PFJlY051bT4xMTY4PC9SZWNOdW0+PERpc3BsYXlUZXh0PihEJmFwb3M7UnVpeiwgTyZhcG9z
O0Nvbm5lbGwgZXQgYWwuIDIwMTcpPC9EaXNwbGF5VGV4dD48cmVjb3JkPjxyZWMtbnVtYmVyPjEx
Njg8L3JlYy1udW1iZXI+PGZvcmVpZ24ta2V5cz48a2V5IGFwcD0iRU4iIGRiLWlkPSJ2enhkcGZ3
ZHV4ZmVkMmV0OXBhdng5OWp6c3N4ZWFwd3Q1cDUiIHRpbWVzdGFtcD0iMTUyMTA5OTM4MyI+MTE2
ODwva2V5PjxrZXkgYXBwPSJFTldlYiIgZGItaWQ9IiI+MDwva2V5PjwvZm9yZWlnbi1rZXlzPjxy
ZWYtdHlwZSBuYW1lPSJKb3VybmFsIEFydGljbGUiPjE3PC9yZWYtdHlwZT48Y29udHJpYnV0b3Jz
PjxhdXRob3JzPjxhdXRob3I+RCZhcG9zO1J1aXosIEMuIEQuPC9hdXRob3I+PGF1dGhvcj5PJmFw
b3M7Q29ubmVsbCwgRy48L2F1dGhvcj48YXV0aG9yPkdyYWZmLCBELiBXLjwvYXV0aG9yPjxhdXRo
b3I+WWFuLCBYLiBTLjwvYXV0aG9yPjwvYXV0aG9ycz48L2NvbnRyaWJ1dG9ycz48YXV0aC1hZGRy
ZXNzPkNsaW5pY2FsIFN0dWR5IENvbnN1bHRhbnQsIEZvbnRlbSBWZW50dXJlcywgR3JlZW5zYm9y
bywgTkMsIFVTQS4gRWxlY3Ryb25pYyBhZGRyZXNzOiBjYXJsZHJ1aXpAZ21haWwuY29tLiYjeEQ7
Rm9udGVtIFZlbnR1cmVzLCBTY2llbnRpZmljIGFuZCBSZWd1bGF0b3J5IEFmZmFpcnMsIEFtc3Rl
cmRhbSwgVGhlIE5ldGhlcmxhbmRzLiBFbGVjdHJvbmljIGFkZHJlc3M6IGdyYW50Lm9jb25uZWxs
QGZvbnRlbXZlbnR1cmVzLmNvbS4mI3hEO0NlbGVyaW9uLCBMaW5jb2xuLCBORSwgVVNBLiBFbGVj
dHJvbmljIGFkZHJlc3M6IERvbmFsZC5ncmFmZkBjZWxlcmlvbi5jb20uJiN4RDtMb3JpbGxhcmQg
VG9iYWNjbyBDb21wYW55IChmb3JtZXJseSksIEdyZWVuc2Jvcm8sIE5DLCBVU0EuIEVsZWN0cm9u
aWMgYWRkcmVzczogeHlhbjEyMDlAZ21haWwuY29tLjwvYXV0aC1hZGRyZXNzPjx0aXRsZXM+PHRp
dGxlPk1lYXN1cmVtZW50IG9mIGNhcmRpb3Zhc2N1bGFyIGFuZCBwdWxtb25hcnkgZnVuY3Rpb24g
ZW5kcG9pbnRzIGFuZCBvdGhlciBwaHlzaW9sb2dpY2FsIGVmZmVjdHMgZm9sbG93aW5nIHBhcnRp
YWwgb3IgY29tcGxldGUgc3Vic3RpdHV0aW9uIG9mIGNpZ2FyZXR0ZXMgd2l0aCBlbGVjdHJvbmlj
IGNpZ2FyZXR0ZXMgaW4gYWR1bHQgc21va2VyczwvdGl0bGU+PHNlY29uZGFyeS10aXRsZT5SZWd1
bCBUb3hpY29sIFBoYXJtYWNvbDwvc2Vjb25kYXJ5LXRpdGxlPjxhbHQtdGl0bGU+UmVndWxhdG9y
eSB0b3hpY29sb2d5IGFuZCBwaGFybWFjb2xvZ3kgOiBSVFA8L2FsdC10aXRsZT48L3RpdGxlcz48
cGVyaW9kaWNhbD48ZnVsbC10aXRsZT5SZWd1bCBUb3hpY29sIFBoYXJtYWNvbDwvZnVsbC10aXRs
ZT48YWJici0xPlJlZ3VsYXRvcnkgdG94aWNvbG9neSBhbmQgcGhhcm1hY29sb2d5IDogUlRQPC9h
YmJyLTE+PC9wZXJpb2RpY2FsPjxhbHQtcGVyaW9kaWNhbD48ZnVsbC10aXRsZT5SZWd1bCBUb3hp
Y29sIFBoYXJtYWNvbDwvZnVsbC10aXRsZT48YWJici0xPlJlZ3VsYXRvcnkgdG94aWNvbG9neSBh
bmQgcGhhcm1hY29sb2d5IDogUlRQPC9hYmJyLTE+PC9hbHQtcGVyaW9kaWNhbD48cGFnZXM+MzYt
NTM8L3BhZ2VzPjx2b2x1bWU+ODc8L3ZvbHVtZT48ZWRpdGlvbj4yMDE3LzA1LzEwPC9lZGl0aW9u
PjxrZXl3b3Jkcz48a2V5d29yZD5BZHZlcnNlIGVmZmVjdHM8L2tleXdvcmQ+PGtleXdvcmQ+Q2Fy
ZGlvdmFzY3VsYXIgZWZmZWN0czwva2V5d29yZD48a2V5d29yZD5FLWNpZ2FyZXR0ZTwva2V5d29y
ZD48a2V5d29yZD5FeGNsdXNpdmUgYW5kIGR1YWwgdXNlPC9rZXl3b3JkPjxrZXl3b3JkPkhhcm0g
cmVkdWN0aW9uPC9rZXl3b3JkPjxrZXl3b3JkPlBoeXNpb2xvZ2ljYWwgZWZmZWN0czwva2V5d29y
ZD48a2V5d29yZD5QdWxtb25hcnkgZWZmZWN0czwva2V5d29yZD48L2tleXdvcmRzPjxkYXRlcz48
eWVhcj4yMDE3PC95ZWFyPjxwdWItZGF0ZXM+PGRhdGU+SnVsPC9kYXRlPjwvcHViLWRhdGVzPjwv
ZGF0ZXM+PGlzYm4+MDI3My0yMzAwPC9pc2JuPjxhY2Nlc3Npb24tbnVtPjI4NDc2NTUzPC9hY2Nl
c3Npb24tbnVtPjx1cmxzPjwvdXJscz48ZWxlY3Ryb25pYy1yZXNvdXJjZS1udW0+MTAuMTAxNi9q
LnlydHBoLjIwMTcuMDUuMDAyPC9lbGVjdHJvbmljLXJlc291cmNlLW51bT48cmVtb3RlLWRhdGFi
YXNlLXByb3ZpZGVyPk5MTTwvcmVtb3RlLWRhdGFiYXNlLXByb3ZpZGVyPjxsYW5ndWFnZT5lbmc8
L2xhbmd1YWdlPjwvcmVjb3JkPjwvQ2l0ZT48L0VuZE5vdGU+
</w:fldData>
        </w:fldChar>
      </w:r>
      <w:r w:rsidRPr="00430400">
        <w:rPr>
          <w:sz w:val="24"/>
        </w:rPr>
        <w:instrText xml:space="preserve"> ADDIN EN.CITE </w:instrText>
      </w:r>
      <w:r w:rsidRPr="00430400">
        <w:rPr>
          <w:sz w:val="24"/>
        </w:rPr>
        <w:fldChar w:fldCharType="begin">
          <w:fldData xml:space="preserve">PEVuZE5vdGU+PENpdGU+PEF1dGhvcj5EJmFwb3M7UnVpejwvQXV0aG9yPjxZZWFyPjIwMTc8L1ll
YXI+PFJlY051bT4xMTY4PC9SZWNOdW0+PERpc3BsYXlUZXh0PihEJmFwb3M7UnVpeiwgTyZhcG9z
O0Nvbm5lbGwgZXQgYWwuIDIwMTcpPC9EaXNwbGF5VGV4dD48cmVjb3JkPjxyZWMtbnVtYmVyPjEx
Njg8L3JlYy1udW1iZXI+PGZvcmVpZ24ta2V5cz48a2V5IGFwcD0iRU4iIGRiLWlkPSJ2enhkcGZ3
ZHV4ZmVkMmV0OXBhdng5OWp6c3N4ZWFwd3Q1cDUiIHRpbWVzdGFtcD0iMTUyMTA5OTM4MyI+MTE2
ODwva2V5PjxrZXkgYXBwPSJFTldlYiIgZGItaWQ9IiI+MDwva2V5PjwvZm9yZWlnbi1rZXlzPjxy
ZWYtdHlwZSBuYW1lPSJKb3VybmFsIEFydGljbGUiPjE3PC9yZWYtdHlwZT48Y29udHJpYnV0b3Jz
PjxhdXRob3JzPjxhdXRob3I+RCZhcG9zO1J1aXosIEMuIEQuPC9hdXRob3I+PGF1dGhvcj5PJmFw
b3M7Q29ubmVsbCwgRy48L2F1dGhvcj48YXV0aG9yPkdyYWZmLCBELiBXLjwvYXV0aG9yPjxhdXRo
b3I+WWFuLCBYLiBTLjwvYXV0aG9yPjwvYXV0aG9ycz48L2NvbnRyaWJ1dG9ycz48YXV0aC1hZGRy
ZXNzPkNsaW5pY2FsIFN0dWR5IENvbnN1bHRhbnQsIEZvbnRlbSBWZW50dXJlcywgR3JlZW5zYm9y
bywgTkMsIFVTQS4gRWxlY3Ryb25pYyBhZGRyZXNzOiBjYXJsZHJ1aXpAZ21haWwuY29tLiYjeEQ7
Rm9udGVtIFZlbnR1cmVzLCBTY2llbnRpZmljIGFuZCBSZWd1bGF0b3J5IEFmZmFpcnMsIEFtc3Rl
cmRhbSwgVGhlIE5ldGhlcmxhbmRzLiBFbGVjdHJvbmljIGFkZHJlc3M6IGdyYW50Lm9jb25uZWxs
QGZvbnRlbXZlbnR1cmVzLmNvbS4mI3hEO0NlbGVyaW9uLCBMaW5jb2xuLCBORSwgVVNBLiBFbGVj
dHJvbmljIGFkZHJlc3M6IERvbmFsZC5ncmFmZkBjZWxlcmlvbi5jb20uJiN4RDtMb3JpbGxhcmQg
VG9iYWNjbyBDb21wYW55IChmb3JtZXJseSksIEdyZWVuc2Jvcm8sIE5DLCBVU0EuIEVsZWN0cm9u
aWMgYWRkcmVzczogeHlhbjEyMDlAZ21haWwuY29tLjwvYXV0aC1hZGRyZXNzPjx0aXRsZXM+PHRp
dGxlPk1lYXN1cmVtZW50IG9mIGNhcmRpb3Zhc2N1bGFyIGFuZCBwdWxtb25hcnkgZnVuY3Rpb24g
ZW5kcG9pbnRzIGFuZCBvdGhlciBwaHlzaW9sb2dpY2FsIGVmZmVjdHMgZm9sbG93aW5nIHBhcnRp
YWwgb3IgY29tcGxldGUgc3Vic3RpdHV0aW9uIG9mIGNpZ2FyZXR0ZXMgd2l0aCBlbGVjdHJvbmlj
IGNpZ2FyZXR0ZXMgaW4gYWR1bHQgc21va2VyczwvdGl0bGU+PHNlY29uZGFyeS10aXRsZT5SZWd1
bCBUb3hpY29sIFBoYXJtYWNvbDwvc2Vjb25kYXJ5LXRpdGxlPjxhbHQtdGl0bGU+UmVndWxhdG9y
eSB0b3hpY29sb2d5IGFuZCBwaGFybWFjb2xvZ3kgOiBSVFA8L2FsdC10aXRsZT48L3RpdGxlcz48
cGVyaW9kaWNhbD48ZnVsbC10aXRsZT5SZWd1bCBUb3hpY29sIFBoYXJtYWNvbDwvZnVsbC10aXRs
ZT48YWJici0xPlJlZ3VsYXRvcnkgdG94aWNvbG9neSBhbmQgcGhhcm1hY29sb2d5IDogUlRQPC9h
YmJyLTE+PC9wZXJpb2RpY2FsPjxhbHQtcGVyaW9kaWNhbD48ZnVsbC10aXRsZT5SZWd1bCBUb3hp
Y29sIFBoYXJtYWNvbDwvZnVsbC10aXRsZT48YWJici0xPlJlZ3VsYXRvcnkgdG94aWNvbG9neSBh
bmQgcGhhcm1hY29sb2d5IDogUlRQPC9hYmJyLTE+PC9hbHQtcGVyaW9kaWNhbD48cGFnZXM+MzYt
NTM8L3BhZ2VzPjx2b2x1bWU+ODc8L3ZvbHVtZT48ZWRpdGlvbj4yMDE3LzA1LzEwPC9lZGl0aW9u
PjxrZXl3b3Jkcz48a2V5d29yZD5BZHZlcnNlIGVmZmVjdHM8L2tleXdvcmQ+PGtleXdvcmQ+Q2Fy
ZGlvdmFzY3VsYXIgZWZmZWN0czwva2V5d29yZD48a2V5d29yZD5FLWNpZ2FyZXR0ZTwva2V5d29y
ZD48a2V5d29yZD5FeGNsdXNpdmUgYW5kIGR1YWwgdXNlPC9rZXl3b3JkPjxrZXl3b3JkPkhhcm0g
cmVkdWN0aW9uPC9rZXl3b3JkPjxrZXl3b3JkPlBoeXNpb2xvZ2ljYWwgZWZmZWN0czwva2V5d29y
ZD48a2V5d29yZD5QdWxtb25hcnkgZWZmZWN0czwva2V5d29yZD48L2tleXdvcmRzPjxkYXRlcz48
eWVhcj4yMDE3PC95ZWFyPjxwdWItZGF0ZXM+PGRhdGU+SnVsPC9kYXRlPjwvcHViLWRhdGVzPjwv
ZGF0ZXM+PGlzYm4+MDI3My0yMzAwPC9pc2JuPjxhY2Nlc3Npb24tbnVtPjI4NDc2NTUzPC9hY2Nl
c3Npb24tbnVtPjx1cmxzPjwvdXJscz48ZWxlY3Ryb25pYy1yZXNvdXJjZS1udW0+MTAuMTAxNi9q
LnlydHBoLjIwMTcuMDUuMDAyPC9lbGVjdHJvbmljLXJlc291cmNlLW51bT48cmVtb3RlLWRhdGFi
YXNlLXByb3ZpZGVyPk5MTTwvcmVtb3RlLWRhdGFiYXNlLXByb3ZpZGVyPjxsYW5ndWFnZT5lbmc8
L2xhbmd1YWdlPjwvcmVjb3JkPjwvQ2l0ZT48L0VuZE5vdGU+
</w:fldData>
        </w:fldChar>
      </w:r>
      <w:r w:rsidRPr="00430400">
        <w:rPr>
          <w:sz w:val="24"/>
        </w:rPr>
        <w:instrText xml:space="preserve"> ADDIN EN.CITE.DATA </w:instrText>
      </w:r>
      <w:r w:rsidRPr="00430400">
        <w:rPr>
          <w:sz w:val="24"/>
        </w:rPr>
      </w:r>
      <w:r w:rsidRPr="00430400">
        <w:rPr>
          <w:sz w:val="24"/>
        </w:rPr>
        <w:fldChar w:fldCharType="end"/>
      </w:r>
      <w:r w:rsidRPr="00430400">
        <w:rPr>
          <w:sz w:val="24"/>
        </w:rPr>
      </w:r>
      <w:r w:rsidRPr="00430400">
        <w:rPr>
          <w:sz w:val="24"/>
        </w:rPr>
        <w:fldChar w:fldCharType="separate"/>
      </w:r>
      <w:r w:rsidRPr="00430400">
        <w:rPr>
          <w:noProof/>
          <w:sz w:val="24"/>
        </w:rPr>
        <w:t>(D'Ruiz, O'Connell et al. 2017)</w:t>
      </w:r>
      <w:r w:rsidRPr="00430400">
        <w:rPr>
          <w:sz w:val="24"/>
        </w:rPr>
        <w:fldChar w:fldCharType="end"/>
      </w:r>
      <w:r w:rsidRPr="00430400">
        <w:rPr>
          <w:sz w:val="24"/>
        </w:rPr>
        <w:t>. The objective of the study was to measure changes in select physiological endpoints such as cardiovascular, pulmonary function and safety and tolerability following short</w:t>
      </w:r>
      <w:r w:rsidRPr="00430400">
        <w:rPr>
          <w:sz w:val="24"/>
        </w:rPr>
        <w:noBreakHyphen/>
        <w:t>term (</w:t>
      </w:r>
      <w:r w:rsidR="003A4F0C">
        <w:rPr>
          <w:sz w:val="24"/>
        </w:rPr>
        <w:t>four</w:t>
      </w:r>
      <w:r w:rsidRPr="00430400">
        <w:rPr>
          <w:sz w:val="24"/>
        </w:rPr>
        <w:t xml:space="preserve"> days) </w:t>
      </w:r>
      <w:r w:rsidRPr="00430400">
        <w:rPr>
          <w:i/>
          <w:sz w:val="24"/>
        </w:rPr>
        <w:t xml:space="preserve">ad libitum </w:t>
      </w:r>
      <w:r w:rsidRPr="00430400">
        <w:rPr>
          <w:sz w:val="24"/>
        </w:rPr>
        <w:t>(as desired) use of e</w:t>
      </w:r>
      <w:r w:rsidRPr="00430400">
        <w:rPr>
          <w:sz w:val="24"/>
        </w:rPr>
        <w:noBreakHyphen/>
        <w:t>cigarettes by established adult smokers under exclusive use, dual use and cessation of all tobacco and nicotine product conditions. Participants (mean age=37.8 years) were conventional cigarette smokers in the US who were randomised into groups that either completely (n=45) or partially (n=45) switched to e</w:t>
      </w:r>
      <w:r w:rsidRPr="00430400">
        <w:rPr>
          <w:sz w:val="24"/>
        </w:rPr>
        <w:noBreakHyphen/>
        <w:t xml:space="preserve">cigarette use or completely discontinued using tobacco and nicotine products (n=15). </w:t>
      </w:r>
    </w:p>
    <w:p w14:paraId="68A5F84A" w14:textId="63FDC18D" w:rsidR="00430400" w:rsidRPr="00430400" w:rsidRDefault="00430400" w:rsidP="00430400">
      <w:pPr>
        <w:spacing w:before="120" w:line="264" w:lineRule="auto"/>
        <w:rPr>
          <w:sz w:val="24"/>
        </w:rPr>
      </w:pPr>
      <w:r w:rsidRPr="00430400">
        <w:rPr>
          <w:sz w:val="24"/>
        </w:rPr>
        <w:t>Subjects in the e</w:t>
      </w:r>
      <w:r w:rsidRPr="00430400">
        <w:rPr>
          <w:sz w:val="24"/>
        </w:rPr>
        <w:noBreakHyphen/>
        <w:t>cigarette and dual use groups tested six e</w:t>
      </w:r>
      <w:r w:rsidRPr="00430400">
        <w:rPr>
          <w:sz w:val="24"/>
        </w:rPr>
        <w:noBreakHyphen/>
        <w:t>cigarette products (n=15 in each flavour group). All e</w:t>
      </w:r>
      <w:r w:rsidRPr="00430400">
        <w:rPr>
          <w:sz w:val="24"/>
        </w:rPr>
        <w:noBreakHyphen/>
        <w:t>cigarette products contained 24 mg/ml (2.4%) USP grade nicotine, USP grade vegetable glycerol (~50% in cherry flavour and ~80% in tobacco flavour), USP grade propylene glycol (~45% in cherry flavour and ~10% in tobacco flavour), distilled water, and flavourings. Each e</w:t>
      </w:r>
      <w:r w:rsidRPr="00430400">
        <w:rPr>
          <w:sz w:val="24"/>
        </w:rPr>
        <w:noBreakHyphen/>
        <w:t>cigarette contained ~1 ml of e</w:t>
      </w:r>
      <w:r w:rsidRPr="00430400">
        <w:rPr>
          <w:sz w:val="24"/>
        </w:rPr>
        <w:noBreakHyphen/>
        <w:t xml:space="preserve">liquid per volume. On day 1 subjects smoked their usual conventional cigarettes </w:t>
      </w:r>
      <w:r w:rsidRPr="00430400">
        <w:rPr>
          <w:i/>
          <w:sz w:val="24"/>
        </w:rPr>
        <w:t>ad libitum</w:t>
      </w:r>
      <w:r w:rsidRPr="00430400">
        <w:rPr>
          <w:sz w:val="24"/>
        </w:rPr>
        <w:t xml:space="preserve"> (as desired). All e</w:t>
      </w:r>
      <w:r w:rsidRPr="00430400">
        <w:rPr>
          <w:sz w:val="24"/>
        </w:rPr>
        <w:noBreakHyphen/>
        <w:t xml:space="preserve">cigarette product use was ad libitum from 7.30am to 23.00pm on </w:t>
      </w:r>
      <w:r w:rsidR="003A4F0C">
        <w:rPr>
          <w:sz w:val="24"/>
        </w:rPr>
        <w:t>d</w:t>
      </w:r>
      <w:r w:rsidR="003A4F0C" w:rsidRPr="00430400">
        <w:rPr>
          <w:sz w:val="24"/>
        </w:rPr>
        <w:t xml:space="preserve">ays </w:t>
      </w:r>
      <w:r w:rsidRPr="00430400">
        <w:rPr>
          <w:sz w:val="24"/>
        </w:rPr>
        <w:t xml:space="preserve">2 to 5. Subjects in the dual use group were required to reduce their consumption of conventional cigarettes. </w:t>
      </w:r>
    </w:p>
    <w:p w14:paraId="42331BFB" w14:textId="77777777" w:rsidR="00430400" w:rsidRPr="00430400" w:rsidRDefault="00430400" w:rsidP="00430400">
      <w:pPr>
        <w:spacing w:before="120" w:line="264" w:lineRule="auto"/>
        <w:rPr>
          <w:sz w:val="24"/>
        </w:rPr>
      </w:pPr>
      <w:r w:rsidRPr="00430400">
        <w:rPr>
          <w:sz w:val="24"/>
        </w:rPr>
        <w:t xml:space="preserve">The results showed small reductions in </w:t>
      </w:r>
      <w:r w:rsidRPr="00430400">
        <w:rPr>
          <w:b/>
          <w:sz w:val="24"/>
        </w:rPr>
        <w:t>blood pressure (BP)</w:t>
      </w:r>
      <w:r w:rsidRPr="00430400">
        <w:rPr>
          <w:sz w:val="24"/>
        </w:rPr>
        <w:t xml:space="preserve"> and </w:t>
      </w:r>
      <w:r w:rsidRPr="00430400">
        <w:rPr>
          <w:b/>
          <w:sz w:val="24"/>
        </w:rPr>
        <w:t>heart rate (HR)</w:t>
      </w:r>
      <w:r w:rsidRPr="00430400">
        <w:rPr>
          <w:sz w:val="24"/>
        </w:rPr>
        <w:t xml:space="preserve"> in most of the participants that either ceased tobacco and nicotine product use altogether, or switched completely to use of e</w:t>
      </w:r>
      <w:r w:rsidRPr="00430400">
        <w:rPr>
          <w:sz w:val="24"/>
        </w:rPr>
        <w:noBreakHyphen/>
        <w:t xml:space="preserve">cigarettes. </w:t>
      </w:r>
    </w:p>
    <w:p w14:paraId="3DC531A5" w14:textId="77777777" w:rsidR="00430400" w:rsidRPr="00430400" w:rsidRDefault="00430400" w:rsidP="00430400">
      <w:pPr>
        <w:spacing w:before="120" w:line="264" w:lineRule="auto"/>
        <w:rPr>
          <w:sz w:val="24"/>
        </w:rPr>
      </w:pPr>
      <w:r w:rsidRPr="00430400">
        <w:rPr>
          <w:sz w:val="24"/>
        </w:rPr>
        <w:t>Overall, this study indicated limited cardiovascular system benefits for smokers when switching to e</w:t>
      </w:r>
      <w:r w:rsidRPr="00430400">
        <w:rPr>
          <w:sz w:val="24"/>
        </w:rPr>
        <w:noBreakHyphen/>
        <w:t>cigarette products however the results are not compelling because of design issues. A major limitation for this study was the short</w:t>
      </w:r>
      <w:r w:rsidRPr="00430400">
        <w:rPr>
          <w:sz w:val="24"/>
        </w:rPr>
        <w:noBreakHyphen/>
        <w:t>term use (i.e. 4 days) of e</w:t>
      </w:r>
      <w:r w:rsidRPr="00430400">
        <w:rPr>
          <w:sz w:val="24"/>
        </w:rPr>
        <w:noBreakHyphen/>
        <w:t xml:space="preserve">cigarettes in the trial, and the lack of a control group that continued to smoke conventional cigarettes. Blood pressure and heart rate might be expected to drop over the course of a short study without any treatment as subjects become familiar with measurement processes. </w:t>
      </w:r>
    </w:p>
    <w:p w14:paraId="510E4907" w14:textId="77777777" w:rsidR="00430400" w:rsidRPr="00430400" w:rsidRDefault="00430400" w:rsidP="00430400">
      <w:pPr>
        <w:spacing w:before="120" w:line="264" w:lineRule="auto"/>
        <w:rPr>
          <w:sz w:val="24"/>
        </w:rPr>
      </w:pPr>
    </w:p>
    <w:p w14:paraId="2C147353" w14:textId="2F61AEE6" w:rsidR="00430400" w:rsidRPr="00430400" w:rsidRDefault="00430400" w:rsidP="00430400">
      <w:pPr>
        <w:spacing w:before="120" w:line="264" w:lineRule="auto"/>
        <w:rPr>
          <w:sz w:val="24"/>
        </w:rPr>
      </w:pPr>
      <w:r w:rsidRPr="00430400">
        <w:rPr>
          <w:sz w:val="24"/>
        </w:rPr>
        <w:lastRenderedPageBreak/>
        <w:t>A randomised cross</w:t>
      </w:r>
      <w:r w:rsidRPr="00430400">
        <w:rPr>
          <w:sz w:val="24"/>
        </w:rPr>
        <w:noBreakHyphen/>
        <w:t>over study (n=64) from the US sought to test the hypothesis that different liquid nicotine concentration in e</w:t>
      </w:r>
      <w:r w:rsidRPr="00430400">
        <w:rPr>
          <w:sz w:val="24"/>
        </w:rPr>
        <w:noBreakHyphen/>
        <w:t>cigarettes, and users’ prior experience with e</w:t>
      </w:r>
      <w:r w:rsidRPr="00430400">
        <w:rPr>
          <w:sz w:val="24"/>
        </w:rPr>
        <w:noBreakHyphen/>
        <w:t xml:space="preserve">cigarettes, directly influences outcomes such as plasma nicotine delivery, </w:t>
      </w:r>
      <w:r w:rsidRPr="00430400">
        <w:rPr>
          <w:b/>
          <w:sz w:val="24"/>
        </w:rPr>
        <w:t>heart rate (HR)</w:t>
      </w:r>
      <w:r w:rsidRPr="00430400">
        <w:rPr>
          <w:sz w:val="24"/>
        </w:rPr>
        <w:t>, puff topography (</w:t>
      </w:r>
      <w:r w:rsidRPr="00430400">
        <w:rPr>
          <w:rFonts w:cs="Calibri"/>
          <w:sz w:val="24"/>
        </w:rPr>
        <w:t>duration of puffs, volume of vapour inhaled per puff and period of time between puffs</w:t>
      </w:r>
      <w:r w:rsidRPr="00430400">
        <w:rPr>
          <w:sz w:val="24"/>
        </w:rPr>
        <w:t xml:space="preserve">) and subjective effects for the user </w:t>
      </w:r>
      <w:r w:rsidRPr="00430400">
        <w:rPr>
          <w:sz w:val="24"/>
        </w:rPr>
        <w:fldChar w:fldCharType="begin"/>
      </w:r>
      <w:r w:rsidRPr="00430400">
        <w:rPr>
          <w:sz w:val="24"/>
        </w:rPr>
        <w:instrText xml:space="preserve"> ADDIN EN.CITE &lt;EndNote&gt;&lt;Cite&gt;&lt;Author&gt;Hiler&lt;/Author&gt;&lt;Year&gt;2017&lt;/Year&gt;&lt;RecNum&gt;853&lt;/RecNum&gt;&lt;DisplayText&gt;(Hiler, Breland et al. 2017)&lt;/DisplayText&gt;&lt;record&gt;&lt;rec-number&gt;853&lt;/rec-number&gt;&lt;foreign-keys&gt;&lt;key app="EN" db-id="vzxdpfwduxfed2et9pavx99jzssxeapwt5p5" timestamp="1521099310"&gt;853&lt;/key&gt;&lt;key app="ENWeb" db-id=""&gt;0&lt;/key&gt;&lt;/foreign-keys&gt;&lt;ref-type name="Journal Article"&gt;17&lt;/ref-type&gt;&lt;contributors&gt;&lt;authors&gt;&lt;author&gt;Hiler, M.&lt;/author&gt;&lt;author&gt;Breland, A.&lt;/author&gt;&lt;author&gt;Spindle, T.&lt;/author&gt;&lt;author&gt;Maloney, S.&lt;/author&gt;&lt;author&gt;Lipato, T.&lt;/author&gt;&lt;author&gt;Karaoghlanian, N.&lt;/author&gt;&lt;author&gt;Shihadeh, A.&lt;/author&gt;&lt;author&gt;Lopez, A.&lt;/author&gt;&lt;author&gt;Ramoa, C.&lt;/author&gt;&lt;author&gt;Eissenberg, T.&lt;/author&gt;&lt;/authors&gt;&lt;/contributors&gt;&lt;auth-address&gt;Center for the Study of Tobacco Products, Department of Psychology, Virginia Commonwealth University.&amp;#xD;Department of Mechanical Engineering, American University of Beirut.&lt;/auth-address&gt;&lt;titles&gt;&lt;title&gt;Electronic cigarette user plasma nicotine concentration, puff topography, heart rate, and subjective effects: Influence of liquid nicotine concentration and user experience&lt;/title&gt;&lt;secondary-title&gt;Exp Clin Psychopharmacol&lt;/secondary-title&gt;&lt;alt-title&gt;Experimental and clinical psychopharmacology&lt;/alt-title&gt;&lt;/titles&gt;&lt;periodical&gt;&lt;full-title&gt;Exp Clin Psychopharmacol&lt;/full-title&gt;&lt;abbr-1&gt;Experimental and clinical psychopharmacology&lt;/abbr-1&gt;&lt;/periodical&gt;&lt;alt-periodical&gt;&lt;full-title&gt;Exp Clin Psychopharmacol&lt;/full-title&gt;&lt;abbr-1&gt;Experimental and clinical psychopharmacology&lt;/abbr-1&gt;&lt;/alt-periodical&gt;&lt;pages&gt;380-392&lt;/pages&gt;&lt;volume&gt;25&lt;/volume&gt;&lt;number&gt;5&lt;/number&gt;&lt;edition&gt;2017/10/20&lt;/edition&gt;&lt;dates&gt;&lt;year&gt;2017&lt;/year&gt;&lt;pub-dates&gt;&lt;date&gt;Oct&lt;/date&gt;&lt;/pub-dates&gt;&lt;/dates&gt;&lt;isbn&gt;1064-1297&lt;/isbn&gt;&lt;accession-num&gt;29048187&lt;/accession-num&gt;&lt;urls&gt;&lt;/urls&gt;&lt;custom2&gt;PMC5657238&lt;/custom2&gt;&lt;custom6&gt;NIHMS888203&lt;/custom6&gt;&lt;electronic-resource-num&gt;10.1037/pha0000140&lt;/electronic-resource-num&gt;&lt;remote-database-provider&gt;NLM&lt;/remote-database-provider&gt;&lt;language&gt;eng&lt;/language&gt;&lt;/record&gt;&lt;/Cite&gt;&lt;/EndNote&gt;</w:instrText>
      </w:r>
      <w:r w:rsidRPr="00430400">
        <w:rPr>
          <w:sz w:val="24"/>
        </w:rPr>
        <w:fldChar w:fldCharType="separate"/>
      </w:r>
      <w:r w:rsidRPr="00430400">
        <w:rPr>
          <w:noProof/>
          <w:sz w:val="24"/>
        </w:rPr>
        <w:t>(Hiler, Breland et al. 2017)</w:t>
      </w:r>
      <w:r w:rsidRPr="00430400">
        <w:rPr>
          <w:sz w:val="24"/>
        </w:rPr>
        <w:fldChar w:fldCharType="end"/>
      </w:r>
      <w:r w:rsidRPr="00430400">
        <w:rPr>
          <w:sz w:val="24"/>
        </w:rPr>
        <w:t>. Subjects (mean age=30.3 years) were either conventional cigarette smokers who had smoked e</w:t>
      </w:r>
      <w:r w:rsidRPr="00430400">
        <w:rPr>
          <w:sz w:val="24"/>
        </w:rPr>
        <w:noBreakHyphen/>
        <w:t>cigarettes (n=33) or conventional smokers who had not smoked e</w:t>
      </w:r>
      <w:r w:rsidRPr="00430400">
        <w:rPr>
          <w:sz w:val="24"/>
        </w:rPr>
        <w:noBreakHyphen/>
        <w:t>cigarettes (n=31). Participants used an 'eGo' 3.3V e</w:t>
      </w:r>
      <w:r w:rsidRPr="00430400">
        <w:rPr>
          <w:sz w:val="24"/>
        </w:rPr>
        <w:noBreakHyphen/>
        <w:t>cigarette, with 1</w:t>
      </w:r>
      <w:r w:rsidR="003A4F0C">
        <w:rPr>
          <w:sz w:val="24"/>
        </w:rPr>
        <w:t>,</w:t>
      </w:r>
      <w:r w:rsidRPr="00430400">
        <w:rPr>
          <w:sz w:val="24"/>
        </w:rPr>
        <w:t>000 mAh battery and a 1.5, dual</w:t>
      </w:r>
      <w:r w:rsidRPr="00430400">
        <w:rPr>
          <w:sz w:val="24"/>
        </w:rPr>
        <w:noBreakHyphen/>
        <w:t>coil, 510</w:t>
      </w:r>
      <w:r w:rsidRPr="00430400">
        <w:rPr>
          <w:sz w:val="24"/>
        </w:rPr>
        <w:noBreakHyphen/>
        <w:t>style cartomizer (7.3W), loaded with 1 ml of flavoured liquid (tobacco or menthol) (70%PG and 30%VG). This device was chosen after testing indicated that its nicotine emissions approached those of a tobacco cigarette under some conditions.</w:t>
      </w:r>
      <w:r w:rsidR="008146F9">
        <w:rPr>
          <w:sz w:val="24"/>
        </w:rPr>
        <w:t xml:space="preserve"> </w:t>
      </w:r>
      <w:r w:rsidRPr="00430400">
        <w:rPr>
          <w:sz w:val="24"/>
        </w:rPr>
        <w:t xml:space="preserve">Different nicotine concentration levels (0mg/ml, 8mg/ml, 18mg/ml and 36 mg/ml) were tested across four sessions. There were </w:t>
      </w:r>
      <w:r w:rsidRPr="00430400">
        <w:rPr>
          <w:b/>
          <w:sz w:val="24"/>
        </w:rPr>
        <w:t>two 2.5 hour bouts of smoking</w:t>
      </w:r>
      <w:r w:rsidRPr="00430400">
        <w:rPr>
          <w:sz w:val="24"/>
        </w:rPr>
        <w:t xml:space="preserve"> this device (two 10 puff e</w:t>
      </w:r>
      <w:r w:rsidRPr="00430400">
        <w:rPr>
          <w:sz w:val="24"/>
        </w:rPr>
        <w:noBreakHyphen/>
        <w:t>cigarette use bouts separated by 60 minutes), separated by 48 hours. Participants completed four double</w:t>
      </w:r>
      <w:r w:rsidRPr="00430400">
        <w:rPr>
          <w:sz w:val="24"/>
        </w:rPr>
        <w:noBreakHyphen/>
        <w:t xml:space="preserve">blind sessions (according to the four levels of nicotine) at the laboratory, and session order was randomised. </w:t>
      </w:r>
    </w:p>
    <w:p w14:paraId="27991291" w14:textId="77777777" w:rsidR="00430400" w:rsidRPr="00430400" w:rsidRDefault="00430400" w:rsidP="00430400">
      <w:pPr>
        <w:spacing w:before="120" w:line="264" w:lineRule="auto"/>
        <w:rPr>
          <w:sz w:val="24"/>
        </w:rPr>
      </w:pPr>
      <w:r w:rsidRPr="00430400">
        <w:rPr>
          <w:sz w:val="24"/>
        </w:rPr>
        <w:t>For both e</w:t>
      </w:r>
      <w:r w:rsidRPr="00430400">
        <w:rPr>
          <w:sz w:val="24"/>
        </w:rPr>
        <w:noBreakHyphen/>
        <w:t>cigarette users and e</w:t>
      </w:r>
      <w:r w:rsidRPr="00430400">
        <w:rPr>
          <w:sz w:val="24"/>
        </w:rPr>
        <w:noBreakHyphen/>
        <w:t xml:space="preserve">cigarette naïve groups, HR increased significantly from baseline immediately after bout 1 and 2 in all active liquid nicotine concentrations (8, 18 and 36 mg/ml) but not the 0 mg/ml condition. In the </w:t>
      </w:r>
      <w:r w:rsidRPr="00430400">
        <w:rPr>
          <w:b/>
          <w:sz w:val="24"/>
        </w:rPr>
        <w:t>8mg/ml</w:t>
      </w:r>
      <w:r w:rsidRPr="00430400">
        <w:rPr>
          <w:sz w:val="24"/>
        </w:rPr>
        <w:t xml:space="preserve"> nicotine group, mean </w:t>
      </w:r>
      <w:r w:rsidRPr="00430400">
        <w:rPr>
          <w:b/>
          <w:sz w:val="24"/>
        </w:rPr>
        <w:t xml:space="preserve">HR </w:t>
      </w:r>
      <w:r w:rsidRPr="00430400">
        <w:rPr>
          <w:sz w:val="24"/>
        </w:rPr>
        <w:t>increased from 66.4bpm (SD6.5) before bout 1 to 73bpm (SD7.4) after bout 1 and from 65.1 bpm (SD6.5) before bout 2 to 69.9 bpm (SD7.8) after bout 2 (both significant increases, p</w:t>
      </w:r>
      <w:r w:rsidRPr="00430400">
        <w:rPr>
          <w:rFonts w:cs="Calibri"/>
          <w:sz w:val="24"/>
        </w:rPr>
        <w:t>˂</w:t>
      </w:r>
      <w:r w:rsidRPr="00430400">
        <w:rPr>
          <w:sz w:val="24"/>
        </w:rPr>
        <w:t xml:space="preserve">0.05). In the </w:t>
      </w:r>
      <w:r w:rsidRPr="00430400">
        <w:rPr>
          <w:b/>
          <w:sz w:val="24"/>
        </w:rPr>
        <w:t>18mg/ml</w:t>
      </w:r>
      <w:r w:rsidRPr="00430400">
        <w:rPr>
          <w:sz w:val="24"/>
        </w:rPr>
        <w:t xml:space="preserve"> group, </w:t>
      </w:r>
      <w:r w:rsidRPr="00430400">
        <w:rPr>
          <w:b/>
          <w:sz w:val="24"/>
        </w:rPr>
        <w:t>HR</w:t>
      </w:r>
      <w:r w:rsidRPr="00430400">
        <w:rPr>
          <w:sz w:val="24"/>
        </w:rPr>
        <w:t xml:space="preserve"> increased from 66.4bpm (SD7.6) before bout 1 to 75.8bpm (SD8.2) after bout 2 (increases both significant p</w:t>
      </w:r>
      <w:r w:rsidRPr="00430400">
        <w:rPr>
          <w:rFonts w:cs="Calibri"/>
          <w:sz w:val="24"/>
        </w:rPr>
        <w:t>˂</w:t>
      </w:r>
      <w:r w:rsidRPr="00430400">
        <w:rPr>
          <w:sz w:val="24"/>
        </w:rPr>
        <w:t xml:space="preserve">0.05). In the </w:t>
      </w:r>
      <w:r w:rsidRPr="00430400">
        <w:rPr>
          <w:b/>
          <w:sz w:val="24"/>
        </w:rPr>
        <w:t>36 mg/ml</w:t>
      </w:r>
      <w:r w:rsidRPr="00430400">
        <w:rPr>
          <w:sz w:val="24"/>
        </w:rPr>
        <w:t xml:space="preserve"> group, </w:t>
      </w:r>
      <w:r w:rsidRPr="00430400">
        <w:rPr>
          <w:b/>
          <w:sz w:val="24"/>
        </w:rPr>
        <w:t>HR</w:t>
      </w:r>
      <w:r w:rsidRPr="00430400">
        <w:rPr>
          <w:sz w:val="24"/>
        </w:rPr>
        <w:t xml:space="preserve"> increased from 66.6bpm (SD7.1) before bout 1 to 77bpm (SD8.6) after bout 1 and from 67.3 (SD7.8) before bout 2 to 72.7bpm (SD9.3) after bout 2 (increases both significant, p</w:t>
      </w:r>
      <w:r w:rsidRPr="00430400">
        <w:rPr>
          <w:rFonts w:cs="Calibri"/>
          <w:sz w:val="24"/>
        </w:rPr>
        <w:t>˂</w:t>
      </w:r>
      <w:r w:rsidRPr="00430400">
        <w:rPr>
          <w:sz w:val="24"/>
        </w:rPr>
        <w:t>0.05). There were no significant between group differences in HR at baseline or immediately after bout 1 or 2 (</w:t>
      </w:r>
      <w:r w:rsidRPr="00430400">
        <w:rPr>
          <w:i/>
          <w:sz w:val="24"/>
        </w:rPr>
        <w:t>ts</w:t>
      </w:r>
      <w:r w:rsidRPr="00430400">
        <w:rPr>
          <w:sz w:val="24"/>
        </w:rPr>
        <w:t xml:space="preserve"> (37) all </w:t>
      </w:r>
      <w:r w:rsidRPr="00430400">
        <w:rPr>
          <w:rFonts w:cs="Calibri"/>
          <w:sz w:val="24"/>
        </w:rPr>
        <w:t>&gt;</w:t>
      </w:r>
      <w:r w:rsidRPr="00430400">
        <w:rPr>
          <w:sz w:val="24"/>
        </w:rPr>
        <w:noBreakHyphen/>
        <w:t xml:space="preserve">2.1, ns). </w:t>
      </w:r>
    </w:p>
    <w:p w14:paraId="366A0F3B" w14:textId="77777777" w:rsidR="00430400" w:rsidRPr="00430400" w:rsidRDefault="00430400" w:rsidP="00430400">
      <w:pPr>
        <w:spacing w:before="120" w:line="264" w:lineRule="auto"/>
        <w:rPr>
          <w:rFonts w:asciiTheme="minorHAnsi" w:hAnsiTheme="minorHAnsi" w:cstheme="minorHAnsi"/>
          <w:iCs/>
          <w:sz w:val="24"/>
          <w:szCs w:val="24"/>
        </w:rPr>
      </w:pPr>
      <w:r w:rsidRPr="00430400">
        <w:rPr>
          <w:sz w:val="24"/>
        </w:rPr>
        <w:t>This study focused only on the acute effects of e</w:t>
      </w:r>
      <w:r w:rsidRPr="00430400">
        <w:rPr>
          <w:sz w:val="24"/>
        </w:rPr>
        <w:noBreakHyphen/>
        <w:t>cigarette use (within 48 hours) but indicates that nicotine delivered through e</w:t>
      </w:r>
      <w:r w:rsidRPr="00430400">
        <w:rPr>
          <w:sz w:val="24"/>
        </w:rPr>
        <w:noBreakHyphen/>
        <w:t xml:space="preserve">cigarettes is physiologically active as shown by its observable and predictable impact on HR. </w:t>
      </w:r>
      <w:r w:rsidRPr="00430400">
        <w:rPr>
          <w:rFonts w:asciiTheme="minorHAnsi" w:hAnsiTheme="minorHAnsi" w:cstheme="minorHAnsi"/>
          <w:iCs/>
          <w:sz w:val="24"/>
          <w:szCs w:val="24"/>
        </w:rPr>
        <w:t xml:space="preserve">The study of Hiler et al. also highlighted the association between </w:t>
      </w:r>
      <w:r w:rsidRPr="00430400">
        <w:rPr>
          <w:rFonts w:asciiTheme="minorHAnsi" w:hAnsiTheme="minorHAnsi" w:cstheme="minorHAnsi"/>
          <w:b/>
          <w:iCs/>
          <w:sz w:val="24"/>
          <w:szCs w:val="24"/>
        </w:rPr>
        <w:t>user experience with e</w:t>
      </w:r>
      <w:r w:rsidRPr="00430400">
        <w:rPr>
          <w:rFonts w:asciiTheme="minorHAnsi" w:hAnsiTheme="minorHAnsi" w:cstheme="minorHAnsi"/>
          <w:b/>
          <w:iCs/>
          <w:sz w:val="24"/>
          <w:szCs w:val="24"/>
        </w:rPr>
        <w:noBreakHyphen/>
        <w:t>cigarettes and nicotine delivery</w:t>
      </w:r>
      <w:r w:rsidRPr="00430400">
        <w:rPr>
          <w:rFonts w:asciiTheme="minorHAnsi" w:hAnsiTheme="minorHAnsi" w:cstheme="minorHAnsi"/>
          <w:iCs/>
          <w:sz w:val="24"/>
          <w:szCs w:val="24"/>
        </w:rPr>
        <w:t xml:space="preserve">, with experienced users taking longer and more frequent puffs and achieving higher levels of nicotine in plasma (see nicotine section, below). </w:t>
      </w:r>
    </w:p>
    <w:p w14:paraId="1DD71A03" w14:textId="77777777" w:rsidR="00430400" w:rsidRPr="00430400" w:rsidRDefault="00430400" w:rsidP="00430400">
      <w:pPr>
        <w:spacing w:before="120" w:line="264" w:lineRule="auto"/>
        <w:rPr>
          <w:rFonts w:asciiTheme="minorHAnsi" w:hAnsiTheme="minorHAnsi" w:cstheme="minorHAnsi"/>
          <w:iCs/>
          <w:sz w:val="24"/>
          <w:szCs w:val="24"/>
        </w:rPr>
      </w:pPr>
    </w:p>
    <w:p w14:paraId="600D94D1" w14:textId="77777777" w:rsidR="00430400" w:rsidRPr="00430400" w:rsidRDefault="00430400" w:rsidP="00430400">
      <w:pPr>
        <w:spacing w:before="120" w:line="264" w:lineRule="auto"/>
        <w:rPr>
          <w:sz w:val="24"/>
        </w:rPr>
      </w:pPr>
      <w:r w:rsidRPr="00430400">
        <w:rPr>
          <w:sz w:val="24"/>
        </w:rPr>
        <w:t xml:space="preserve">A small (n=20) randomised crossover study reported in an abstract by Kerr et al. included only male smokers from the UK and considered </w:t>
      </w:r>
      <w:r w:rsidRPr="00430400">
        <w:rPr>
          <w:b/>
          <w:sz w:val="24"/>
        </w:rPr>
        <w:t xml:space="preserve">systolic </w:t>
      </w:r>
      <w:r w:rsidRPr="00430400">
        <w:rPr>
          <w:sz w:val="24"/>
        </w:rPr>
        <w:t xml:space="preserve">(SBP) and </w:t>
      </w:r>
      <w:r w:rsidRPr="00430400">
        <w:rPr>
          <w:b/>
          <w:sz w:val="24"/>
        </w:rPr>
        <w:t>diastolic blood pressure</w:t>
      </w:r>
      <w:r w:rsidRPr="00430400">
        <w:rPr>
          <w:sz w:val="24"/>
        </w:rPr>
        <w:t xml:space="preserve"> (DBP), </w:t>
      </w:r>
      <w:r w:rsidRPr="00430400">
        <w:rPr>
          <w:b/>
          <w:sz w:val="24"/>
        </w:rPr>
        <w:t>reactive hyperaemia index</w:t>
      </w:r>
      <w:r w:rsidRPr="00430400">
        <w:rPr>
          <w:sz w:val="24"/>
        </w:rPr>
        <w:t xml:space="preserve"> (RHI) and </w:t>
      </w:r>
      <w:r w:rsidRPr="00430400">
        <w:rPr>
          <w:b/>
          <w:sz w:val="24"/>
        </w:rPr>
        <w:t>aortic stiffness</w:t>
      </w:r>
      <w:r w:rsidRPr="00430400">
        <w:rPr>
          <w:sz w:val="24"/>
        </w:rPr>
        <w:t xml:space="preserve"> via the augmentation index (AI) immediately after vaping and smoking a traditional cigarette </w:t>
      </w:r>
      <w:r w:rsidRPr="00430400">
        <w:rPr>
          <w:sz w:val="24"/>
        </w:rPr>
        <w:fldChar w:fldCharType="begin"/>
      </w:r>
      <w:r w:rsidRPr="00430400">
        <w:rPr>
          <w:sz w:val="24"/>
        </w:rPr>
        <w:instrText xml:space="preserve"> ADDIN EN.CITE &lt;EndNote&gt;&lt;Cite&gt;&lt;Author&gt;Kerr&lt;/Author&gt;&lt;Year&gt;2017&lt;/Year&gt;&lt;RecNum&gt;1877&lt;/RecNum&gt;&lt;DisplayText&gt;(Kerr, Touyz et al. 2017)&lt;/DisplayText&gt;&lt;record&gt;&lt;rec-number&gt;1877&lt;/rec-number&gt;&lt;foreign-keys&gt;&lt;key app="EN" db-id="vzxdpfwduxfed2et9pavx99jzssxeapwt5p5" timestamp="1521099513"&gt;1877&lt;/key&gt;&lt;key app="ENWeb" db-id=""&gt;0&lt;/key&gt;&lt;/foreign-keys&gt;&lt;ref-type name="Journal Article"&gt;17&lt;/ref-type&gt;&lt;contributors&gt;&lt;authors&gt;&lt;author&gt;Kerr, Daniele&lt;/author&gt;&lt;author&gt;Touyz, Rhian&lt;/author&gt;&lt;author&gt;Delles, Christian&lt;/author&gt;&lt;/authors&gt;&lt;/contributors&gt;&lt;titles&gt;&lt;title&gt;The immediate effects of electronic cigarette use and tobacco smoking on vascular and respiratory function in healthy volunteers: a crossover study&lt;/title&gt;&lt;secondary-title&gt;Journal of Human Hypertension&lt;/secondary-title&gt;&lt;/titles&gt;&lt;periodical&gt;&lt;full-title&gt;Journal of Human Hypertension&lt;/full-title&gt;&lt;/periodical&gt;&lt;pages&gt;662-662&lt;/pages&gt;&lt;volume&gt;31&lt;/volume&gt;&lt;number&gt;10&lt;/number&gt;&lt;dates&gt;&lt;year&gt;2017&lt;/year&gt;&lt;pub-dates&gt;&lt;date&gt;Oct&lt;/date&gt;&lt;/pub-dates&gt;&lt;/dates&gt;&lt;isbn&gt;0950-9240&lt;/isbn&gt;&lt;accession-num&gt;WOS:000412219400020&lt;/accession-num&gt;&lt;urls&gt;&lt;related-urls&gt;&lt;url&gt;&amp;lt;Go to ISI&amp;gt;://WOS:000412219400020&lt;/url&gt;&lt;/related-urls&gt;&lt;/urls&gt;&lt;/record&gt;&lt;/Cite&gt;&lt;/EndNote&gt;</w:instrText>
      </w:r>
      <w:r w:rsidRPr="00430400">
        <w:rPr>
          <w:sz w:val="24"/>
        </w:rPr>
        <w:fldChar w:fldCharType="separate"/>
      </w:r>
      <w:r w:rsidRPr="00430400">
        <w:rPr>
          <w:noProof/>
          <w:sz w:val="24"/>
        </w:rPr>
        <w:t>(Kerr, Touyz et al. 2017)</w:t>
      </w:r>
      <w:r w:rsidRPr="00430400">
        <w:rPr>
          <w:sz w:val="24"/>
        </w:rPr>
        <w:fldChar w:fldCharType="end"/>
      </w:r>
      <w:r w:rsidRPr="00430400">
        <w:rPr>
          <w:sz w:val="24"/>
        </w:rPr>
        <w:t xml:space="preserve">. </w:t>
      </w:r>
    </w:p>
    <w:p w14:paraId="04130AD1" w14:textId="517F732A" w:rsidR="00430400" w:rsidRPr="00430400" w:rsidRDefault="00430400" w:rsidP="00430400">
      <w:pPr>
        <w:spacing w:before="120" w:line="264" w:lineRule="auto"/>
        <w:rPr>
          <w:sz w:val="24"/>
        </w:rPr>
      </w:pPr>
      <w:r w:rsidRPr="00430400">
        <w:rPr>
          <w:sz w:val="24"/>
        </w:rPr>
        <w:t>It was found that following vaping an e</w:t>
      </w:r>
      <w:r w:rsidRPr="00430400">
        <w:rPr>
          <w:sz w:val="24"/>
        </w:rPr>
        <w:noBreakHyphen/>
        <w:t>cigarette, there was a significant increase in RHI (2.0 ± 0.4 vs 1.7 ± 0.3; p=0.006) and decrease in AI (</w:t>
      </w:r>
      <w:r w:rsidRPr="00430400">
        <w:rPr>
          <w:sz w:val="24"/>
        </w:rPr>
        <w:noBreakHyphen/>
        <w:t xml:space="preserve">6.9 ± 13.5 vs </w:t>
      </w:r>
      <w:r w:rsidRPr="00430400">
        <w:rPr>
          <w:sz w:val="24"/>
        </w:rPr>
        <w:noBreakHyphen/>
        <w:t>10.5 ± 13.2%; p=0.010). However, no such significant changes were found before and after smoking a traditional cigarette. Heart rate increased after both vaping (73 ±0 vs 65 ±9 bpm; p&lt;0.001) and smoking a traditional cigarette (86</w:t>
      </w:r>
      <w:r w:rsidR="003B0D09">
        <w:rPr>
          <w:sz w:val="24"/>
        </w:rPr>
        <w:t> </w:t>
      </w:r>
      <w:r w:rsidRPr="00430400">
        <w:rPr>
          <w:sz w:val="24"/>
        </w:rPr>
        <w:t>±13 vs 64 ±8 bpm; p&lt;0.001). There were no significant changes in SBP or DBP immediately after vaping or smoking a traditional cigarette. Tobacco smoking resulted in a significant increase in exhaled CO (20.3</w:t>
      </w:r>
      <w:r w:rsidRPr="00430400">
        <w:rPr>
          <w:rFonts w:cs="Calibri"/>
          <w:sz w:val="24"/>
        </w:rPr>
        <w:t>±</w:t>
      </w:r>
      <w:r w:rsidRPr="00430400">
        <w:rPr>
          <w:sz w:val="24"/>
        </w:rPr>
        <w:t>9.5 vs 8.6</w:t>
      </w:r>
      <w:r w:rsidRPr="00430400">
        <w:rPr>
          <w:rFonts w:cs="Calibri"/>
          <w:sz w:val="24"/>
        </w:rPr>
        <w:t>±</w:t>
      </w:r>
      <w:r w:rsidRPr="00430400">
        <w:rPr>
          <w:sz w:val="24"/>
        </w:rPr>
        <w:t>10 ppm p</w:t>
      </w:r>
      <w:r w:rsidRPr="00430400">
        <w:rPr>
          <w:rFonts w:cs="Calibri"/>
          <w:sz w:val="24"/>
        </w:rPr>
        <w:t>˂</w:t>
      </w:r>
      <w:r w:rsidRPr="00430400">
        <w:rPr>
          <w:sz w:val="24"/>
        </w:rPr>
        <w:t xml:space="preserve">0.001) that was not evident among vapers. Without </w:t>
      </w:r>
      <w:r w:rsidRPr="00430400">
        <w:rPr>
          <w:sz w:val="24"/>
        </w:rPr>
        <w:lastRenderedPageBreak/>
        <w:t>further data on longer term implications, it is difficult to interpret these findings in terms of likely health outcomes for users of e</w:t>
      </w:r>
      <w:r w:rsidRPr="00430400">
        <w:rPr>
          <w:sz w:val="24"/>
        </w:rPr>
        <w:noBreakHyphen/>
        <w:t>cigarettes although reduced exposure to CO is likely to be beneﬁcial if maintained over the long term.</w:t>
      </w:r>
    </w:p>
    <w:p w14:paraId="6992B530" w14:textId="2171E249" w:rsidR="00430400" w:rsidRPr="00430400" w:rsidRDefault="00430400" w:rsidP="00430400">
      <w:pPr>
        <w:spacing w:before="120" w:line="264" w:lineRule="auto"/>
        <w:rPr>
          <w:sz w:val="24"/>
        </w:rPr>
      </w:pPr>
      <w:r w:rsidRPr="00430400">
        <w:rPr>
          <w:sz w:val="24"/>
        </w:rPr>
        <w:t xml:space="preserve">In a very small UK trial (n=15, only </w:t>
      </w:r>
      <w:r w:rsidR="003A4F0C">
        <w:rPr>
          <w:sz w:val="24"/>
        </w:rPr>
        <w:t>seven</w:t>
      </w:r>
      <w:r w:rsidRPr="00430400">
        <w:rPr>
          <w:sz w:val="24"/>
        </w:rPr>
        <w:t xml:space="preserve"> of whom were smokers) using convenience sampling among young adults (mean age 26 years), Pywell et al considered whether smoking </w:t>
      </w:r>
      <w:r w:rsidRPr="00430400">
        <w:rPr>
          <w:b/>
          <w:sz w:val="24"/>
        </w:rPr>
        <w:t xml:space="preserve">nicotine </w:t>
      </w:r>
      <w:r w:rsidRPr="00430400">
        <w:rPr>
          <w:sz w:val="24"/>
        </w:rPr>
        <w:t>e</w:t>
      </w:r>
      <w:r w:rsidRPr="00430400">
        <w:rPr>
          <w:sz w:val="24"/>
        </w:rPr>
        <w:noBreakHyphen/>
        <w:t xml:space="preserve">cigarettes had any effect on </w:t>
      </w:r>
      <w:r w:rsidRPr="00430400">
        <w:rPr>
          <w:b/>
          <w:sz w:val="24"/>
        </w:rPr>
        <w:t>blood flow</w:t>
      </w:r>
      <w:r w:rsidRPr="00430400">
        <w:rPr>
          <w:sz w:val="24"/>
        </w:rPr>
        <w:t xml:space="preserve"> in the hand (superficial and deep measurements of hand microcirculation) in the </w:t>
      </w:r>
      <w:r w:rsidRPr="00430400">
        <w:rPr>
          <w:b/>
          <w:sz w:val="24"/>
        </w:rPr>
        <w:t>short term</w:t>
      </w:r>
      <w:r w:rsidRPr="00430400">
        <w:rPr>
          <w:sz w:val="24"/>
        </w:rPr>
        <w:t xml:space="preserve"> (10 inhalations) as compared with smoking nicotine free e</w:t>
      </w:r>
      <w:r w:rsidRPr="00430400">
        <w:rPr>
          <w:sz w:val="24"/>
        </w:rPr>
        <w:noBreakHyphen/>
        <w:t>cigarettes, and compared results between conventional cigarette smokers (average 0.3</w:t>
      </w:r>
      <w:r w:rsidRPr="00430400">
        <w:rPr>
          <w:sz w:val="24"/>
        </w:rPr>
        <w:noBreakHyphen/>
        <w:t>3 packs per week) and non</w:t>
      </w:r>
      <w:r w:rsidRPr="00430400">
        <w:rPr>
          <w:sz w:val="24"/>
        </w:rPr>
        <w:noBreakHyphen/>
        <w:t xml:space="preserve">smokers </w:t>
      </w:r>
      <w:r w:rsidRPr="00430400">
        <w:rPr>
          <w:sz w:val="24"/>
        </w:rPr>
        <w:fldChar w:fldCharType="begin"/>
      </w:r>
      <w:r w:rsidRPr="00430400">
        <w:rPr>
          <w:sz w:val="24"/>
        </w:rPr>
        <w:instrText xml:space="preserve"> ADDIN EN.CITE &lt;EndNote&gt;&lt;Cite&gt;&lt;Author&gt;Pywell&lt;/Author&gt;&lt;Year&gt;2018&lt;/Year&gt;&lt;RecNum&gt;617&lt;/RecNum&gt;&lt;DisplayText&gt;(Pywell, Wordsworth et al. 2018)&lt;/DisplayText&gt;&lt;record&gt;&lt;rec-number&gt;617&lt;/rec-number&gt;&lt;foreign-keys&gt;&lt;key app="EN" db-id="vzxdpfwduxfed2et9pavx99jzssxeapwt5p5" timestamp="1521099242"&gt;617&lt;/key&gt;&lt;key app="ENWeb" db-id=""&gt;0&lt;/key&gt;&lt;/foreign-keys&gt;&lt;ref-type name="Journal Article"&gt;17&lt;/ref-type&gt;&lt;contributors&gt;&lt;authors&gt;&lt;author&gt;Pywell, M. J.&lt;/author&gt;&lt;author&gt;Wordsworth, M.&lt;/author&gt;&lt;author&gt;Kwasnicki, R. M.&lt;/author&gt;&lt;author&gt;Chadha, P.&lt;/author&gt;&lt;author&gt;Hettiaratchy, S.&lt;/author&gt;&lt;author&gt;Halsey, T.&lt;/author&gt;&lt;/authors&gt;&lt;/contributors&gt;&lt;auth-address&gt;Imperial College Healthcare NHS Trust, London, United Kingdom. Electronic address: mjpywell@gmail.com.&amp;#xD;Imperial College Healthcare NHS Trust, London, United Kingdom.&amp;#xD;Chelsea and Westminster NHS Foundation Trust, Chelsea, London, United Kingdom.&lt;/auth-address&gt;&lt;titles&gt;&lt;title&gt;The Effect of Electronic Cigarettes on Hand Microcirculation&lt;/title&gt;&lt;secondary-title&gt;J Hand Surg Am&lt;/secondary-title&gt;&lt;alt-title&gt;The Journal of hand surgery&lt;/alt-title&gt;&lt;/titles&gt;&lt;periodical&gt;&lt;full-title&gt;J Hand Surg Am&lt;/full-title&gt;&lt;abbr-1&gt;The Journal of hand surgery&lt;/abbr-1&gt;&lt;/periodical&gt;&lt;alt-periodical&gt;&lt;full-title&gt;J Hand Surg Am&lt;/full-title&gt;&lt;abbr-1&gt;The Journal of hand surgery&lt;/abbr-1&gt;&lt;/alt-periodical&gt;&lt;edition&gt;2018/02/06&lt;/edition&gt;&lt;keywords&gt;&lt;keyword&gt;eCigarette&lt;/keyword&gt;&lt;keyword&gt;laser Doppler&lt;/keyword&gt;&lt;keyword&gt;microcirculation&lt;/keyword&gt;&lt;keyword&gt;smoking&lt;/keyword&gt;&lt;keyword&gt;vaping&lt;/keyword&gt;&lt;/keywords&gt;&lt;dates&gt;&lt;year&gt;2018&lt;/year&gt;&lt;pub-dates&gt;&lt;date&gt;Feb 2&lt;/date&gt;&lt;/pub-dates&gt;&lt;/dates&gt;&lt;isbn&gt;0363-5023&lt;/isbn&gt;&lt;accession-num&gt;29398329&lt;/accession-num&gt;&lt;urls&gt;&lt;/urls&gt;&lt;electronic-resource-num&gt;10.1016/j.jhsa.2017.12.003&lt;/electronic-resource-num&gt;&lt;remote-database-provider&gt;NLM&lt;/remote-database-provider&gt;&lt;language&gt;eng&lt;/language&gt;&lt;/record&gt;&lt;/Cite&gt;&lt;/EndNote&gt;</w:instrText>
      </w:r>
      <w:r w:rsidRPr="00430400">
        <w:rPr>
          <w:sz w:val="24"/>
        </w:rPr>
        <w:fldChar w:fldCharType="separate"/>
      </w:r>
      <w:r w:rsidRPr="00430400">
        <w:rPr>
          <w:noProof/>
          <w:sz w:val="24"/>
        </w:rPr>
        <w:t>(Pywell, Wordsworth et al. 2018)</w:t>
      </w:r>
      <w:r w:rsidRPr="00430400">
        <w:rPr>
          <w:sz w:val="24"/>
        </w:rPr>
        <w:fldChar w:fldCharType="end"/>
      </w:r>
      <w:r w:rsidRPr="00430400">
        <w:rPr>
          <w:sz w:val="24"/>
        </w:rPr>
        <w:t xml:space="preserve">. </w:t>
      </w:r>
    </w:p>
    <w:p w14:paraId="3C3DD44B" w14:textId="42DFA768" w:rsidR="00430400" w:rsidRPr="00430400" w:rsidRDefault="00430400" w:rsidP="00430400">
      <w:pPr>
        <w:spacing w:before="120" w:line="264" w:lineRule="auto"/>
        <w:rPr>
          <w:sz w:val="24"/>
        </w:rPr>
      </w:pPr>
      <w:r w:rsidRPr="00430400">
        <w:rPr>
          <w:sz w:val="24"/>
        </w:rPr>
        <w:t>Baseline measures of blood flow in smokers and non</w:t>
      </w:r>
      <w:r w:rsidRPr="00430400">
        <w:rPr>
          <w:sz w:val="24"/>
        </w:rPr>
        <w:noBreakHyphen/>
        <w:t>smokers showed no significant differences. Comparing smokers and non</w:t>
      </w:r>
      <w:r w:rsidRPr="00430400">
        <w:rPr>
          <w:sz w:val="24"/>
        </w:rPr>
        <w:noBreakHyphen/>
        <w:t>smokers confirmed that there was a statistically significant difference between the effects of vaping the 24mg nicotine e</w:t>
      </w:r>
      <w:r w:rsidRPr="00430400">
        <w:rPr>
          <w:sz w:val="24"/>
        </w:rPr>
        <w:noBreakHyphen/>
        <w:t>cigarette (p&lt;0.05) for all time points (during and after inhalation) and the 0mg e</w:t>
      </w:r>
      <w:r w:rsidRPr="00430400">
        <w:rPr>
          <w:sz w:val="24"/>
        </w:rPr>
        <w:noBreakHyphen/>
        <w:t xml:space="preserve">cigarette (p&lt;0.05 for all time points after inhalation) on </w:t>
      </w:r>
      <w:r w:rsidRPr="00430400">
        <w:rPr>
          <w:b/>
          <w:sz w:val="24"/>
        </w:rPr>
        <w:t>superficial blood flow</w:t>
      </w:r>
      <w:r w:rsidRPr="00430400">
        <w:rPr>
          <w:sz w:val="24"/>
        </w:rPr>
        <w:t>. Smokers and non</w:t>
      </w:r>
      <w:r w:rsidRPr="00430400">
        <w:rPr>
          <w:sz w:val="24"/>
        </w:rPr>
        <w:noBreakHyphen/>
        <w:t xml:space="preserve">smokers were then analysed independently, and it was found that </w:t>
      </w:r>
      <w:r w:rsidRPr="00430400">
        <w:rPr>
          <w:b/>
          <w:sz w:val="24"/>
        </w:rPr>
        <w:t>smokers had a significant reduction in superficial blood flow</w:t>
      </w:r>
      <w:r w:rsidRPr="00430400">
        <w:rPr>
          <w:sz w:val="24"/>
        </w:rPr>
        <w:t xml:space="preserve"> at all time points after inhaling a 24mg nicotine e</w:t>
      </w:r>
      <w:r w:rsidRPr="00430400">
        <w:rPr>
          <w:sz w:val="24"/>
        </w:rPr>
        <w:noBreakHyphen/>
        <w:t>cigarette, with the maximum reduction of superficial blood flow being 76.9% (p&lt;0.05) at 10 to 15 minutes. Non</w:t>
      </w:r>
      <w:r w:rsidRPr="00430400">
        <w:rPr>
          <w:sz w:val="24"/>
        </w:rPr>
        <w:noBreakHyphen/>
        <w:t>smokers had no significant change in superficial blood flow during or after inhaling either 24mg or 0mg e</w:t>
      </w:r>
      <w:r w:rsidRPr="00430400">
        <w:rPr>
          <w:sz w:val="24"/>
        </w:rPr>
        <w:noBreakHyphen/>
        <w:t xml:space="preserve">cigarettes. </w:t>
      </w:r>
    </w:p>
    <w:p w14:paraId="2B0623A1" w14:textId="769B87BD" w:rsidR="00430400" w:rsidRPr="00430400" w:rsidRDefault="00430400" w:rsidP="00430400">
      <w:pPr>
        <w:spacing w:before="120" w:line="264" w:lineRule="auto"/>
        <w:rPr>
          <w:sz w:val="24"/>
        </w:rPr>
      </w:pPr>
      <w:r w:rsidRPr="00430400">
        <w:rPr>
          <w:sz w:val="24"/>
        </w:rPr>
        <w:t>Regarding deep blood flow, comparing smokers with non</w:t>
      </w:r>
      <w:r w:rsidRPr="00430400">
        <w:rPr>
          <w:sz w:val="24"/>
        </w:rPr>
        <w:noBreakHyphen/>
        <w:t>smokers showed a statistically significant difference between the effects of smoking 24mg nicotine e</w:t>
      </w:r>
      <w:r w:rsidRPr="00430400">
        <w:rPr>
          <w:sz w:val="24"/>
        </w:rPr>
        <w:noBreakHyphen/>
        <w:t xml:space="preserve">cigarettes (&lt;0.05) for all time points after inhalation, but no difference with 0mg cigarettes. When analysing the </w:t>
      </w:r>
      <w:r w:rsidRPr="00430400">
        <w:rPr>
          <w:b/>
          <w:sz w:val="24"/>
        </w:rPr>
        <w:t xml:space="preserve">deep blood flow </w:t>
      </w:r>
      <w:r w:rsidRPr="00430400">
        <w:rPr>
          <w:sz w:val="24"/>
        </w:rPr>
        <w:t>of smokers and non</w:t>
      </w:r>
      <w:r w:rsidRPr="00430400">
        <w:rPr>
          <w:sz w:val="24"/>
        </w:rPr>
        <w:noBreakHyphen/>
        <w:t>smokers independently</w:t>
      </w:r>
      <w:r w:rsidRPr="00430400">
        <w:rPr>
          <w:b/>
          <w:sz w:val="24"/>
        </w:rPr>
        <w:t xml:space="preserve">, smokers had a significantly reduced blood flow </w:t>
      </w:r>
      <w:r w:rsidRPr="00430400">
        <w:rPr>
          <w:sz w:val="24"/>
        </w:rPr>
        <w:t xml:space="preserve">at all points during and after inhaling a 24mg nicotine cigarette. There was a mean </w:t>
      </w:r>
      <w:r w:rsidRPr="00430400">
        <w:rPr>
          <w:b/>
          <w:sz w:val="24"/>
        </w:rPr>
        <w:t>reduction in flow of 19.3%</w:t>
      </w:r>
      <w:r w:rsidRPr="00430400">
        <w:rPr>
          <w:sz w:val="24"/>
        </w:rPr>
        <w:t xml:space="preserve"> (p&lt;0.05) during e</w:t>
      </w:r>
      <w:r w:rsidRPr="00430400">
        <w:rPr>
          <w:sz w:val="24"/>
        </w:rPr>
        <w:noBreakHyphen/>
        <w:t xml:space="preserve">cigarette use and a maximum </w:t>
      </w:r>
      <w:r w:rsidRPr="00430400">
        <w:rPr>
          <w:b/>
          <w:sz w:val="24"/>
        </w:rPr>
        <w:t>reduction of 28.4%</w:t>
      </w:r>
      <w:r w:rsidRPr="00430400">
        <w:rPr>
          <w:sz w:val="24"/>
        </w:rPr>
        <w:t xml:space="preserve"> (&lt;0.05) </w:t>
      </w:r>
      <w:r w:rsidRPr="00430400">
        <w:rPr>
          <w:b/>
          <w:sz w:val="24"/>
        </w:rPr>
        <w:t>after 10 to 15 minutes</w:t>
      </w:r>
      <w:r w:rsidRPr="00430400">
        <w:rPr>
          <w:sz w:val="24"/>
        </w:rPr>
        <w:t>. Smokers had no significant change in deep blood flow after inhaling a 0mg nicotine e</w:t>
      </w:r>
      <w:r w:rsidRPr="00430400">
        <w:rPr>
          <w:sz w:val="24"/>
        </w:rPr>
        <w:noBreakHyphen/>
        <w:t xml:space="preserve">cigarette. </w:t>
      </w:r>
      <w:r w:rsidRPr="00430400">
        <w:rPr>
          <w:b/>
          <w:sz w:val="24"/>
        </w:rPr>
        <w:t>Non</w:t>
      </w:r>
      <w:r w:rsidRPr="00430400">
        <w:rPr>
          <w:b/>
          <w:sz w:val="24"/>
        </w:rPr>
        <w:noBreakHyphen/>
        <w:t>smokers had no significant change in deep blood flow</w:t>
      </w:r>
      <w:r w:rsidRPr="00430400">
        <w:rPr>
          <w:sz w:val="24"/>
        </w:rPr>
        <w:t xml:space="preserve"> during or after inhaling either 24mg or 0 mg nicotine e</w:t>
      </w:r>
      <w:r w:rsidRPr="00430400">
        <w:rPr>
          <w:sz w:val="24"/>
        </w:rPr>
        <w:noBreakHyphen/>
        <w:t xml:space="preserve">cigarettes. </w:t>
      </w:r>
    </w:p>
    <w:p w14:paraId="25919DEC" w14:textId="77777777" w:rsidR="00430400" w:rsidRPr="00430400" w:rsidRDefault="00430400" w:rsidP="00430400">
      <w:pPr>
        <w:spacing w:before="120" w:line="264" w:lineRule="auto"/>
        <w:rPr>
          <w:sz w:val="24"/>
        </w:rPr>
      </w:pPr>
      <w:r w:rsidRPr="00430400">
        <w:rPr>
          <w:sz w:val="24"/>
        </w:rPr>
        <w:t xml:space="preserve">The study concluded that the results should be considered when counselling smokers in a hand surgery setting, and that further studies are required to determine if the blood flow reduction found during and following vaping could result in impaired wound healing. </w:t>
      </w:r>
    </w:p>
    <w:p w14:paraId="5E6436AE" w14:textId="77777777" w:rsidR="00430400" w:rsidRPr="00430400" w:rsidRDefault="00430400" w:rsidP="00430400">
      <w:pPr>
        <w:spacing w:before="120" w:line="264" w:lineRule="auto"/>
        <w:rPr>
          <w:sz w:val="24"/>
        </w:rPr>
      </w:pPr>
    </w:p>
    <w:p w14:paraId="4592AA25" w14:textId="77777777" w:rsidR="00430400" w:rsidRPr="00430400" w:rsidRDefault="00430400" w:rsidP="00430400">
      <w:pPr>
        <w:spacing w:before="120" w:line="264" w:lineRule="auto"/>
        <w:rPr>
          <w:sz w:val="24"/>
        </w:rPr>
      </w:pPr>
      <w:r w:rsidRPr="00430400">
        <w:rPr>
          <w:sz w:val="24"/>
        </w:rPr>
        <w:t>A small (n=27) US cross</w:t>
      </w:r>
      <w:r w:rsidRPr="00430400">
        <w:rPr>
          <w:sz w:val="24"/>
        </w:rPr>
        <w:noBreakHyphen/>
        <w:t>sectional (analytic) study by Boas et al. sought to consider the effect of e</w:t>
      </w:r>
      <w:r w:rsidRPr="00430400">
        <w:rPr>
          <w:sz w:val="24"/>
        </w:rPr>
        <w:noBreakHyphen/>
        <w:t xml:space="preserve">cigarettes and conventional cigarettes on activation of the </w:t>
      </w:r>
      <w:r w:rsidRPr="00430400">
        <w:rPr>
          <w:b/>
          <w:sz w:val="24"/>
        </w:rPr>
        <w:t>Splenocardiac Axis</w:t>
      </w:r>
      <w:r w:rsidRPr="00430400">
        <w:rPr>
          <w:sz w:val="24"/>
          <w:vertAlign w:val="superscript"/>
        </w:rPr>
        <w:footnoteReference w:id="4"/>
      </w:r>
      <w:r w:rsidRPr="00430400">
        <w:rPr>
          <w:sz w:val="24"/>
        </w:rPr>
        <w:t xml:space="preserve"> among healthy young adults (21</w:t>
      </w:r>
      <w:r w:rsidRPr="00430400">
        <w:rPr>
          <w:sz w:val="24"/>
        </w:rPr>
        <w:noBreakHyphen/>
        <w:t xml:space="preserve">45 years old) </w:t>
      </w:r>
      <w:r w:rsidRPr="00430400">
        <w:rPr>
          <w:sz w:val="24"/>
        </w:rPr>
        <w:fldChar w:fldCharType="begin">
          <w:fldData xml:space="preserve">PEVuZE5vdGU+PENpdGU+PEF1dGhvcj5Cb2FzPC9BdXRob3I+PFllYXI+MjAxNzwvWWVhcj48UmVj
TnVtPjkxODwvUmVjTnVtPjxEaXNwbGF5VGV4dD4oQm9hcywgR3VwdGEgZXQgYWwuIDIwMTcpPC9E
aXNwbGF5VGV4dD48cmVjb3JkPjxyZWMtbnVtYmVyPjkxODwvcmVjLW51bWJlcj48Zm9yZWlnbi1r
ZXlzPjxrZXkgYXBwPSJFTiIgZGItaWQ9InZ6eGRwZndkdXhmZWQyZXQ5cGF2eDk5anpzc3hlYXB3
dDVwNSIgdGltZXN0YW1wPSIxNTIxMDk5MzI2Ij45MTg8L2tleT48a2V5IGFwcD0iRU5XZWIiIGRi
LWlkPSIiPjA8L2tleT48L2ZvcmVpZ24ta2V5cz48cmVmLXR5cGUgbmFtZT0iSm91cm5hbCBBcnRp
Y2xlIj4xNzwvcmVmLXR5cGU+PGNvbnRyaWJ1dG9ycz48YXV0aG9ycz48YXV0aG9yPkJvYXMsIFou
PC9hdXRob3I+PGF1dGhvcj5HdXB0YSwgUC48L2F1dGhvcj48YXV0aG9yPk1vaGVpbWFuaSwgUi4g
Uy48L2F1dGhvcj48YXV0aG9yPkJoZXRyYXJhdGFuYSwgTS48L2F1dGhvcj48YXV0aG9yPllpbiwg
Ri48L2F1dGhvcj48YXV0aG9yPlBldGVycywgSy4gTS48L2F1dGhvcj48YXV0aG9yPkdvcm5iZWlu
LCBKLjwvYXV0aG9yPjxhdXRob3I+QXJhdWpvLCBKLiBBLjwvYXV0aG9yPjxhdXRob3I+Q3plcm5p
biwgSi48L2F1dGhvcj48YXV0aG9yPk1pZGRsZWthdWZmLCBILiBSLjwvYXV0aG9yPjwvYXV0aG9y
cz48L2NvbnRyaWJ1dG9ycz48YXV0aC1hZGRyZXNzPkRpdmlzaW9uIG9mIENhcmRpb2xvZ3ksIERl
cGFydG1lbnQgb2YgTWVkaWNpbmUsIERhdmlkIEdlZmZlbiBTY2hvb2wgb2YgTWVkaWNpbmUgYXQg
VUNMQSwgTG9zIEFuZ2VsZXMsIENhbGlmb3JuaWEuJiN4RDtEZXBhcnRtZW50IG9mIE1vbGVjdWxh
ciBhbmQgTWVkaWNhbCBQaGFybWFjb2xvZ3ksIEFobWFuc29uIFRyYW5zbGF0aW9uYWwgSW1hZ2lu
ZyBEaXZpc2lvbiwgRGF2aWQgR2VmZmVuIFNjaG9vbCBvZiBNZWRpY2luZSBhdCBVQ0xBLCBMb3Mg
QW5nZWxlcywgQ2FsaWZvcm5pYS4mI3hEO0RhdmlkIEdlZmZlbiBTY2hvb2wgb2YgTWVkaWNpbmUg
YXQgVUNMQSwgTG9zIEFuZ2VsZXMsIENhbGlmb3JuaWEuJiN4RDtEZXBhcnRtZW50IG9mIEVudmly
b25tZW50YWwgSGVhbHRoIFNjaWVuY2VzLCBTY2hvb2wgb2YgUHVibGljIEhlYWx0aCwgTG9zIEFu
Z2VsZXMsIENhbGlmb3JuaWEuJiN4RDtEZXBhcnRtZW50IG9mIEJpb21hdGhlbWF0aWNzLCBEYXZp
ZCBHZWZmZW4gU2Nob29sIG9mIE1lZGljaW5lIGF0IFVDTEEsIExvcyBBbmdlbGVzLCBDYWxpZm9y
bmlhLiYjeEQ7RGl2aXNpb24gb2YgQ2FyZGlvbG9neSwgRGVwYXJ0bWVudCBvZiBNZWRpY2luZSwg
RGF2aWQgR2VmZmVuIFNjaG9vbCBvZiBNZWRpY2luZSBhdCBVQ0xBLCBMb3MgQW5nZWxlcywgQ2Fs
aWZvcm5pYSBobWlkZGxla2F1ZmZAbWVkbmV0LnVjbGEuZWR1LjwvYXV0aC1hZGRyZXNzPjx0aXRs
ZXM+PHRpdGxlPkFjdGl2YXRpb24gb2YgdGhlICZxdW90O1NwbGVub2NhcmRpYWMgQXhpcyZxdW90
OyBieSBlbGVjdHJvbmljIGFuZCB0b2JhY2NvIGNpZ2FyZXR0ZXMgaW4gb3RoZXJ3aXNlIGhlYWx0
aHkgeW91bmcgYWR1bHRzPC90aXRsZT48c2Vjb25kYXJ5LXRpdGxlPlBoeXNpb2wgUmVwPC9zZWNv
bmRhcnktdGl0bGU+PGFsdC10aXRsZT5QaHlzaW9sb2dpY2FsIHJlcG9ydHM8L2FsdC10aXRsZT48
L3RpdGxlcz48YWx0LXBlcmlvZGljYWw+PGZ1bGwtdGl0bGU+UGh5c2lvbG9naWNhbCBSZXBvcnRz
PC9mdWxsLXRpdGxlPjwvYWx0LXBlcmlvZGljYWw+PHZvbHVtZT41PC92b2x1bWU+PG51bWJlcj4x
NzwvbnVtYmVyPjxlZGl0aW9uPjIwMTcvMDkvMTQ8L2VkaXRpb24+PGtleXdvcmRzPjxrZXl3b3Jk
PkFydGVyaWFsIGluZmxhbW1hdGlvbjwva2V5d29yZD48a2V5d29yZD5GZGctcGV0L2N0PC9rZXl3
b3JkPjxrZXl3b3JkPmVsZWN0cm9uaWMgY2lnYXJldHRlczwva2V5d29yZD48a2V5d29yZD5oZW1h
dG9wb2lldGljIGFjdGl2YXRpb248L2tleXdvcmQ+PGtleXdvcmQ+dG9iYWNjbyBjaWdhcmV0dGVz
PC9rZXl3b3JkPjwva2V5d29yZHM+PGRhdGVzPjx5ZWFyPjIwMTc8L3llYXI+PHB1Yi1kYXRlcz48
ZGF0ZT5TZXA8L2RhdGU+PC9wdWItZGF0ZXM+PC9kYXRlcz48aXNibj4yMDUxLTgxN3g8L2lzYm4+
PGFjY2Vzc2lvbi1udW0+Mjg4OTk5MDg8L2FjY2Vzc2lvbi1udW0+PHVybHM+PC91cmxzPjxjdXN0
b20yPlBNQzU1OTk4NTg8L2N1c3RvbTI+PGVsZWN0cm9uaWMtcmVzb3VyY2UtbnVtPjEwLjE0ODE0
L3BoeTIuMTMzOTM8L2VsZWN0cm9uaWMtcmVzb3VyY2UtbnVtPjxyZW1vdGUtZGF0YWJhc2UtcHJv
dmlkZXI+TkxNPC9yZW1vdGUtZGF0YWJhc2UtcHJvdmlkZXI+PGxhbmd1YWdlPmVuZzwvbGFuZ3Vh
Z2U+PC9yZWNvcmQ+PC9DaXRlPjwvRW5kTm90ZT5=
</w:fldData>
        </w:fldChar>
      </w:r>
      <w:r w:rsidRPr="00430400">
        <w:rPr>
          <w:sz w:val="24"/>
        </w:rPr>
        <w:instrText xml:space="preserve"> ADDIN EN.CITE </w:instrText>
      </w:r>
      <w:r w:rsidRPr="00430400">
        <w:rPr>
          <w:sz w:val="24"/>
        </w:rPr>
        <w:fldChar w:fldCharType="begin">
          <w:fldData xml:space="preserve">PEVuZE5vdGU+PENpdGU+PEF1dGhvcj5Cb2FzPC9BdXRob3I+PFllYXI+MjAxNzwvWWVhcj48UmVj
TnVtPjkxODwvUmVjTnVtPjxEaXNwbGF5VGV4dD4oQm9hcywgR3VwdGEgZXQgYWwuIDIwMTcpPC9E
aXNwbGF5VGV4dD48cmVjb3JkPjxyZWMtbnVtYmVyPjkxODwvcmVjLW51bWJlcj48Zm9yZWlnbi1r
ZXlzPjxrZXkgYXBwPSJFTiIgZGItaWQ9InZ6eGRwZndkdXhmZWQyZXQ5cGF2eDk5anpzc3hlYXB3
dDVwNSIgdGltZXN0YW1wPSIxNTIxMDk5MzI2Ij45MTg8L2tleT48a2V5IGFwcD0iRU5XZWIiIGRi
LWlkPSIiPjA8L2tleT48L2ZvcmVpZ24ta2V5cz48cmVmLXR5cGUgbmFtZT0iSm91cm5hbCBBcnRp
Y2xlIj4xNzwvcmVmLXR5cGU+PGNvbnRyaWJ1dG9ycz48YXV0aG9ycz48YXV0aG9yPkJvYXMsIFou
PC9hdXRob3I+PGF1dGhvcj5HdXB0YSwgUC48L2F1dGhvcj48YXV0aG9yPk1vaGVpbWFuaSwgUi4g
Uy48L2F1dGhvcj48YXV0aG9yPkJoZXRyYXJhdGFuYSwgTS48L2F1dGhvcj48YXV0aG9yPllpbiwg
Ri48L2F1dGhvcj48YXV0aG9yPlBldGVycywgSy4gTS48L2F1dGhvcj48YXV0aG9yPkdvcm5iZWlu
LCBKLjwvYXV0aG9yPjxhdXRob3I+QXJhdWpvLCBKLiBBLjwvYXV0aG9yPjxhdXRob3I+Q3plcm5p
biwgSi48L2F1dGhvcj48YXV0aG9yPk1pZGRsZWthdWZmLCBILiBSLjwvYXV0aG9yPjwvYXV0aG9y
cz48L2NvbnRyaWJ1dG9ycz48YXV0aC1hZGRyZXNzPkRpdmlzaW9uIG9mIENhcmRpb2xvZ3ksIERl
cGFydG1lbnQgb2YgTWVkaWNpbmUsIERhdmlkIEdlZmZlbiBTY2hvb2wgb2YgTWVkaWNpbmUgYXQg
VUNMQSwgTG9zIEFuZ2VsZXMsIENhbGlmb3JuaWEuJiN4RDtEZXBhcnRtZW50IG9mIE1vbGVjdWxh
ciBhbmQgTWVkaWNhbCBQaGFybWFjb2xvZ3ksIEFobWFuc29uIFRyYW5zbGF0aW9uYWwgSW1hZ2lu
ZyBEaXZpc2lvbiwgRGF2aWQgR2VmZmVuIFNjaG9vbCBvZiBNZWRpY2luZSBhdCBVQ0xBLCBMb3Mg
QW5nZWxlcywgQ2FsaWZvcm5pYS4mI3hEO0RhdmlkIEdlZmZlbiBTY2hvb2wgb2YgTWVkaWNpbmUg
YXQgVUNMQSwgTG9zIEFuZ2VsZXMsIENhbGlmb3JuaWEuJiN4RDtEZXBhcnRtZW50IG9mIEVudmly
b25tZW50YWwgSGVhbHRoIFNjaWVuY2VzLCBTY2hvb2wgb2YgUHVibGljIEhlYWx0aCwgTG9zIEFu
Z2VsZXMsIENhbGlmb3JuaWEuJiN4RDtEZXBhcnRtZW50IG9mIEJpb21hdGhlbWF0aWNzLCBEYXZp
ZCBHZWZmZW4gU2Nob29sIG9mIE1lZGljaW5lIGF0IFVDTEEsIExvcyBBbmdlbGVzLCBDYWxpZm9y
bmlhLiYjeEQ7RGl2aXNpb24gb2YgQ2FyZGlvbG9neSwgRGVwYXJ0bWVudCBvZiBNZWRpY2luZSwg
RGF2aWQgR2VmZmVuIFNjaG9vbCBvZiBNZWRpY2luZSBhdCBVQ0xBLCBMb3MgQW5nZWxlcywgQ2Fs
aWZvcm5pYSBobWlkZGxla2F1ZmZAbWVkbmV0LnVjbGEuZWR1LjwvYXV0aC1hZGRyZXNzPjx0aXRs
ZXM+PHRpdGxlPkFjdGl2YXRpb24gb2YgdGhlICZxdW90O1NwbGVub2NhcmRpYWMgQXhpcyZxdW90
OyBieSBlbGVjdHJvbmljIGFuZCB0b2JhY2NvIGNpZ2FyZXR0ZXMgaW4gb3RoZXJ3aXNlIGhlYWx0
aHkgeW91bmcgYWR1bHRzPC90aXRsZT48c2Vjb25kYXJ5LXRpdGxlPlBoeXNpb2wgUmVwPC9zZWNv
bmRhcnktdGl0bGU+PGFsdC10aXRsZT5QaHlzaW9sb2dpY2FsIHJlcG9ydHM8L2FsdC10aXRsZT48
L3RpdGxlcz48YWx0LXBlcmlvZGljYWw+PGZ1bGwtdGl0bGU+UGh5c2lvbG9naWNhbCBSZXBvcnRz
PC9mdWxsLXRpdGxlPjwvYWx0LXBlcmlvZGljYWw+PHZvbHVtZT41PC92b2x1bWU+PG51bWJlcj4x
NzwvbnVtYmVyPjxlZGl0aW9uPjIwMTcvMDkvMTQ8L2VkaXRpb24+PGtleXdvcmRzPjxrZXl3b3Jk
PkFydGVyaWFsIGluZmxhbW1hdGlvbjwva2V5d29yZD48a2V5d29yZD5GZGctcGV0L2N0PC9rZXl3
b3JkPjxrZXl3b3JkPmVsZWN0cm9uaWMgY2lnYXJldHRlczwva2V5d29yZD48a2V5d29yZD5oZW1h
dG9wb2lldGljIGFjdGl2YXRpb248L2tleXdvcmQ+PGtleXdvcmQ+dG9iYWNjbyBjaWdhcmV0dGVz
PC9rZXl3b3JkPjwva2V5d29yZHM+PGRhdGVzPjx5ZWFyPjIwMTc8L3llYXI+PHB1Yi1kYXRlcz48
ZGF0ZT5TZXA8L2RhdGU+PC9wdWItZGF0ZXM+PC9kYXRlcz48aXNibj4yMDUxLTgxN3g8L2lzYm4+
PGFjY2Vzc2lvbi1udW0+Mjg4OTk5MDg8L2FjY2Vzc2lvbi1udW0+PHVybHM+PC91cmxzPjxjdXN0
b20yPlBNQzU1OTk4NTg8L2N1c3RvbTI+PGVsZWN0cm9uaWMtcmVzb3VyY2UtbnVtPjEwLjE0ODE0
L3BoeTIuMTMzOTM8L2VsZWN0cm9uaWMtcmVzb3VyY2UtbnVtPjxyZW1vdGUtZGF0YWJhc2UtcHJv
dmlkZXI+TkxNPC9yZW1vdGUtZGF0YWJhc2UtcHJvdmlkZXI+PGxhbmd1YWdlPmVuZzwvbGFuZ3Vh
Z2U+PC9yZWNvcmQ+PC9DaXRlPjwvRW5kTm90ZT5=
</w:fldData>
        </w:fldChar>
      </w:r>
      <w:r w:rsidRPr="00430400">
        <w:rPr>
          <w:sz w:val="24"/>
        </w:rPr>
        <w:instrText xml:space="preserve"> ADDIN EN.CITE.DATA </w:instrText>
      </w:r>
      <w:r w:rsidRPr="00430400">
        <w:rPr>
          <w:sz w:val="24"/>
        </w:rPr>
      </w:r>
      <w:r w:rsidRPr="00430400">
        <w:rPr>
          <w:sz w:val="24"/>
        </w:rPr>
        <w:fldChar w:fldCharType="end"/>
      </w:r>
      <w:r w:rsidRPr="00430400">
        <w:rPr>
          <w:sz w:val="24"/>
        </w:rPr>
      </w:r>
      <w:r w:rsidRPr="00430400">
        <w:rPr>
          <w:sz w:val="24"/>
        </w:rPr>
        <w:fldChar w:fldCharType="separate"/>
      </w:r>
      <w:r w:rsidRPr="00430400">
        <w:rPr>
          <w:noProof/>
          <w:sz w:val="24"/>
        </w:rPr>
        <w:t>(Boas, Gupta et al. 2017)</w:t>
      </w:r>
      <w:r w:rsidRPr="00430400">
        <w:rPr>
          <w:sz w:val="24"/>
        </w:rPr>
        <w:fldChar w:fldCharType="end"/>
      </w:r>
      <w:r w:rsidRPr="00430400">
        <w:rPr>
          <w:sz w:val="24"/>
        </w:rPr>
        <w:t>. Subjects were healthy non-users (n=9), habitual conventional cigarette smokers (n=9) or habitual e</w:t>
      </w:r>
      <w:r w:rsidRPr="00430400">
        <w:rPr>
          <w:sz w:val="24"/>
        </w:rPr>
        <w:noBreakHyphen/>
        <w:t xml:space="preserve">cigarette users (not dual users, n=9) who had smoked their respective products for a </w:t>
      </w:r>
      <w:r w:rsidRPr="00430400">
        <w:rPr>
          <w:b/>
          <w:sz w:val="24"/>
        </w:rPr>
        <w:t>minimum of one year</w:t>
      </w:r>
      <w:r w:rsidRPr="00430400">
        <w:rPr>
          <w:sz w:val="24"/>
        </w:rPr>
        <w:t xml:space="preserve">. </w:t>
      </w:r>
    </w:p>
    <w:p w14:paraId="26962DBA" w14:textId="47B3650E" w:rsidR="00430400" w:rsidRPr="00430400" w:rsidRDefault="00430400" w:rsidP="00430400">
      <w:pPr>
        <w:spacing w:before="120" w:line="264" w:lineRule="auto"/>
        <w:rPr>
          <w:sz w:val="24"/>
        </w:rPr>
      </w:pPr>
      <w:r w:rsidRPr="00430400">
        <w:rPr>
          <w:sz w:val="24"/>
        </w:rPr>
        <w:t>F</w:t>
      </w:r>
      <w:r w:rsidRPr="00430400">
        <w:rPr>
          <w:sz w:val="24"/>
        </w:rPr>
        <w:noBreakHyphen/>
        <w:t xml:space="preserve">fluorodeoxyglucose (FDG) positron emission tomography/computer tomography was performed to measure FDG uptake in the spleen. FDG uptake is a measure of the metabolic activity of cells, particularly glycolytic activity, so that increased FDG uptake indicates more metabolically active </w:t>
      </w:r>
      <w:r w:rsidRPr="00430400">
        <w:rPr>
          <w:sz w:val="24"/>
        </w:rPr>
        <w:lastRenderedPageBreak/>
        <w:t>cells.</w:t>
      </w:r>
      <w:r w:rsidR="008146F9">
        <w:rPr>
          <w:sz w:val="24"/>
        </w:rPr>
        <w:t xml:space="preserve"> </w:t>
      </w:r>
      <w:r w:rsidRPr="00430400">
        <w:rPr>
          <w:sz w:val="24"/>
        </w:rPr>
        <w:t xml:space="preserve">This can occur in physiological conditions (e.g. activated inﬂammatory cells) and in pathological conditions (e.g. malignant cells), and it also varies according to the fasting/non-fasting state. </w:t>
      </w:r>
    </w:p>
    <w:p w14:paraId="6A64FBB4" w14:textId="4838AC9E" w:rsidR="00430400" w:rsidRPr="00430400" w:rsidRDefault="00430400" w:rsidP="00430400">
      <w:pPr>
        <w:spacing w:before="120" w:line="264" w:lineRule="auto"/>
        <w:rPr>
          <w:sz w:val="24"/>
        </w:rPr>
      </w:pPr>
      <w:r w:rsidRPr="00430400">
        <w:rPr>
          <w:sz w:val="24"/>
        </w:rPr>
        <w:t>FDG uptake in the spleen (in units of maximum standardised uptake value) increased from non</w:t>
      </w:r>
      <w:r w:rsidRPr="00430400">
        <w:rPr>
          <w:sz w:val="24"/>
        </w:rPr>
        <w:noBreakHyphen/>
        <w:t>user controls (1.62 ± 0.07) to the e</w:t>
      </w:r>
      <w:r w:rsidRPr="00430400">
        <w:rPr>
          <w:sz w:val="24"/>
        </w:rPr>
        <w:noBreakHyphen/>
        <w:t>cigarette users (1.73 ± 0.04) and was highest in tobacco cigarette smokers (1.82 ± 0.09); (p for trend=0.05). FDG uptake in bone marrow was lowest in the controls (1.88 ± 0.06) and was higher in both e</w:t>
      </w:r>
      <w:r w:rsidRPr="00430400">
        <w:rPr>
          <w:sz w:val="24"/>
        </w:rPr>
        <w:noBreakHyphen/>
        <w:t>cigarette users (2.17 ± 0.12) and tobacco cigarette smokers (2.14 ± 0.15), but the monotonic trend did not reach significance (p for trend=0.12). FDG uptake in skeletal muscle was not different between groups.</w:t>
      </w:r>
      <w:r w:rsidR="008146F9">
        <w:rPr>
          <w:sz w:val="24"/>
        </w:rPr>
        <w:t xml:space="preserve"> </w:t>
      </w:r>
      <w:r w:rsidRPr="00430400">
        <w:rPr>
          <w:sz w:val="24"/>
        </w:rPr>
        <w:t>Aortic wall metabolic activity was increased from nonuser controls (1.87 ± 0.07) to the e</w:t>
      </w:r>
      <w:r w:rsidRPr="00430400">
        <w:rPr>
          <w:sz w:val="24"/>
        </w:rPr>
        <w:noBreakHyphen/>
        <w:t xml:space="preserve">cigarette users (1.98 ± 0.07) and was highest in tobacco cigarette smokers (2.10 ± 0.07); p for trend=0.04) [differences were not found when measured by another method]. Plasma cotinine was weakly correlated with bone marrow activity (r=0.39, p=0.05). </w:t>
      </w:r>
    </w:p>
    <w:p w14:paraId="3F191F01" w14:textId="77777777" w:rsidR="00430400" w:rsidRPr="00430400" w:rsidRDefault="00430400" w:rsidP="00430400">
      <w:pPr>
        <w:spacing w:before="120" w:line="264" w:lineRule="auto"/>
        <w:rPr>
          <w:sz w:val="24"/>
        </w:rPr>
      </w:pPr>
      <w:r w:rsidRPr="00430400">
        <w:rPr>
          <w:sz w:val="24"/>
        </w:rPr>
        <w:t>These findings are difficult to interpret in terms of the future risk of cardiovascular events for both conventional cigarette smokers and e</w:t>
      </w:r>
      <w:r w:rsidRPr="00430400">
        <w:rPr>
          <w:sz w:val="24"/>
        </w:rPr>
        <w:noBreakHyphen/>
        <w:t>cigarette users. However, this is a small cross</w:t>
      </w:r>
      <w:r w:rsidRPr="00430400">
        <w:rPr>
          <w:sz w:val="24"/>
        </w:rPr>
        <w:noBreakHyphen/>
        <w:t>sectional study based on indirect measurement of presumed susceptibility to cardiovascular events and in any case, by design does not directly address the impact of e</w:t>
      </w:r>
      <w:r w:rsidRPr="00430400">
        <w:rPr>
          <w:sz w:val="24"/>
        </w:rPr>
        <w:noBreakHyphen/>
        <w:t>cigarettes on smokers.</w:t>
      </w:r>
    </w:p>
    <w:p w14:paraId="41C73172" w14:textId="77777777" w:rsidR="00430400" w:rsidRPr="00430400" w:rsidRDefault="00430400" w:rsidP="00430400">
      <w:pPr>
        <w:spacing w:before="120" w:line="264" w:lineRule="auto"/>
        <w:rPr>
          <w:sz w:val="24"/>
        </w:rPr>
      </w:pPr>
    </w:p>
    <w:p w14:paraId="11C0B237" w14:textId="77777777" w:rsidR="00430400" w:rsidRPr="00430400" w:rsidRDefault="00430400" w:rsidP="00430400">
      <w:pPr>
        <w:pStyle w:val="Heading3"/>
      </w:pPr>
      <w:r w:rsidRPr="00430400">
        <w:t>Conclusion</w:t>
      </w:r>
    </w:p>
    <w:p w14:paraId="2881AC9E" w14:textId="77777777" w:rsidR="00430400" w:rsidRPr="00430400" w:rsidRDefault="00430400" w:rsidP="00430400">
      <w:pPr>
        <w:spacing w:before="120" w:line="264" w:lineRule="auto"/>
        <w:rPr>
          <w:rFonts w:asciiTheme="minorHAnsi" w:hAnsiTheme="minorHAnsi" w:cstheme="minorHAnsi"/>
          <w:sz w:val="24"/>
          <w:szCs w:val="24"/>
        </w:rPr>
      </w:pPr>
      <w:r w:rsidRPr="00430400">
        <w:rPr>
          <w:rFonts w:asciiTheme="minorHAnsi" w:hAnsiTheme="minorHAnsi" w:cstheme="minorHAnsi"/>
          <w:sz w:val="24"/>
          <w:szCs w:val="24"/>
        </w:rPr>
        <w:t xml:space="preserve">For cardiovascular system associated outcomes, the new studies add some information. </w:t>
      </w:r>
    </w:p>
    <w:p w14:paraId="11C7EB90" w14:textId="3541239B" w:rsidR="00430400" w:rsidRPr="00430400" w:rsidRDefault="00430400" w:rsidP="00430400">
      <w:pPr>
        <w:spacing w:before="120" w:line="264" w:lineRule="auto"/>
        <w:rPr>
          <w:rFonts w:asciiTheme="minorHAnsi" w:hAnsiTheme="minorHAnsi" w:cstheme="minorHAnsi"/>
          <w:sz w:val="24"/>
        </w:rPr>
      </w:pPr>
      <w:r w:rsidRPr="00430400">
        <w:rPr>
          <w:rFonts w:asciiTheme="minorHAnsi" w:hAnsiTheme="minorHAnsi" w:cstheme="minorHAnsi"/>
          <w:sz w:val="24"/>
          <w:szCs w:val="24"/>
        </w:rPr>
        <w:t>One small study (Kerr et al, 2017) concluded that acute effects following the use of a single e</w:t>
      </w:r>
      <w:r w:rsidRPr="00430400">
        <w:rPr>
          <w:rFonts w:asciiTheme="minorHAnsi" w:hAnsiTheme="minorHAnsi" w:cstheme="minorHAnsi"/>
          <w:sz w:val="24"/>
          <w:szCs w:val="24"/>
        </w:rPr>
        <w:noBreakHyphen/>
        <w:t>cigarette compared to smoking a conventional cigarette by smokers reduced some indicators of cardiovascular risk (e.g. aortic stiffness) but showed no difference for others such as blood pressure or heart rate. Where conventional cigarettes were replaced by e</w:t>
      </w:r>
      <w:r w:rsidRPr="00430400">
        <w:rPr>
          <w:rFonts w:asciiTheme="minorHAnsi" w:hAnsiTheme="minorHAnsi" w:cstheme="minorHAnsi"/>
          <w:sz w:val="24"/>
          <w:szCs w:val="24"/>
        </w:rPr>
        <w:noBreakHyphen/>
        <w:t>cigarettes for four days (</w:t>
      </w:r>
      <w:r w:rsidRPr="00430400">
        <w:rPr>
          <w:rFonts w:asciiTheme="minorHAnsi" w:hAnsiTheme="minorHAnsi" w:cstheme="minorHAnsi"/>
          <w:sz w:val="24"/>
        </w:rPr>
        <w:t>D‘Ruiz et al 2017)</w:t>
      </w:r>
      <w:r w:rsidRPr="00430400">
        <w:rPr>
          <w:rFonts w:asciiTheme="minorHAnsi" w:hAnsiTheme="minorHAnsi" w:cstheme="minorHAnsi"/>
          <w:sz w:val="24"/>
          <w:szCs w:val="24"/>
        </w:rPr>
        <w:t>, a reduction in systolic blood pressure was seen for most e</w:t>
      </w:r>
      <w:r w:rsidRPr="00430400">
        <w:rPr>
          <w:rFonts w:asciiTheme="minorHAnsi" w:hAnsiTheme="minorHAnsi" w:cstheme="minorHAnsi"/>
          <w:sz w:val="24"/>
          <w:szCs w:val="24"/>
        </w:rPr>
        <w:noBreakHyphen/>
        <w:t>cigarette groups.</w:t>
      </w:r>
      <w:r w:rsidR="008146F9">
        <w:rPr>
          <w:rFonts w:asciiTheme="minorHAnsi" w:hAnsiTheme="minorHAnsi" w:cstheme="minorHAnsi"/>
          <w:sz w:val="24"/>
          <w:szCs w:val="24"/>
        </w:rPr>
        <w:t xml:space="preserve"> </w:t>
      </w:r>
      <w:r w:rsidRPr="00430400">
        <w:rPr>
          <w:rFonts w:asciiTheme="minorHAnsi" w:hAnsiTheme="minorHAnsi" w:cstheme="minorHAnsi"/>
          <w:sz w:val="24"/>
          <w:szCs w:val="24"/>
        </w:rPr>
        <w:t>However, this study had no control group, and the eﬀects on BP may have been related to the known reduction of BP that occurs in clinical trials. When e</w:t>
      </w:r>
      <w:r w:rsidRPr="00430400">
        <w:rPr>
          <w:rFonts w:asciiTheme="minorHAnsi" w:hAnsiTheme="minorHAnsi" w:cstheme="minorHAnsi"/>
          <w:sz w:val="24"/>
          <w:szCs w:val="24"/>
        </w:rPr>
        <w:noBreakHyphen/>
        <w:t xml:space="preserve">cigarettes replaced conventional cigarettes for a month </w:t>
      </w:r>
      <w:r w:rsidRPr="00430400">
        <w:rPr>
          <w:rFonts w:asciiTheme="minorHAnsi" w:hAnsiTheme="minorHAnsi" w:cstheme="minorHAnsi"/>
          <w:sz w:val="24"/>
        </w:rPr>
        <w:t>(Ikonomidis et al. 2018), reductions in systolic blood pressure were seen. However, a follow</w:t>
      </w:r>
      <w:r w:rsidRPr="00430400">
        <w:rPr>
          <w:rFonts w:asciiTheme="minorHAnsi" w:hAnsiTheme="minorHAnsi" w:cstheme="minorHAnsi"/>
          <w:sz w:val="24"/>
        </w:rPr>
        <w:noBreakHyphen/>
        <w:t>up of smokers who had used e</w:t>
      </w:r>
      <w:r w:rsidRPr="00430400">
        <w:rPr>
          <w:rFonts w:asciiTheme="minorHAnsi" w:hAnsiTheme="minorHAnsi" w:cstheme="minorHAnsi"/>
          <w:sz w:val="24"/>
        </w:rPr>
        <w:noBreakHyphen/>
        <w:t xml:space="preserve">cigarettes for two years (Walele et al, 2018) showed no difference in blood pressure, heart rate or weight. This trial had no control group, suffered from poor retention and subjects continued to smoke at a lower rate than previously. </w:t>
      </w:r>
    </w:p>
    <w:p w14:paraId="3DA4B5B3" w14:textId="77777777" w:rsidR="00430400" w:rsidRPr="00430400" w:rsidRDefault="00430400" w:rsidP="00430400">
      <w:pPr>
        <w:spacing w:before="120" w:line="264" w:lineRule="auto"/>
        <w:rPr>
          <w:rFonts w:asciiTheme="minorHAnsi" w:hAnsiTheme="minorHAnsi" w:cstheme="minorHAnsi"/>
          <w:sz w:val="24"/>
        </w:rPr>
      </w:pPr>
      <w:r w:rsidRPr="00430400">
        <w:rPr>
          <w:rFonts w:asciiTheme="minorHAnsi" w:hAnsiTheme="minorHAnsi" w:cstheme="minorHAnsi"/>
          <w:sz w:val="24"/>
        </w:rPr>
        <w:t xml:space="preserve">A small study </w:t>
      </w:r>
      <w:r w:rsidRPr="00430400">
        <w:rPr>
          <w:rFonts w:asciiTheme="minorHAnsi" w:hAnsiTheme="minorHAnsi" w:cstheme="minorHAnsi"/>
          <w:sz w:val="24"/>
        </w:rPr>
        <w:fldChar w:fldCharType="begin">
          <w:fldData xml:space="preserve">PEVuZE5vdGU+PENpdGU+PEF1dGhvcj5Cb2FzPC9BdXRob3I+PFllYXI+MjAxNzwvWWVhcj48UmVj
TnVtPjM0NTI8L1JlY051bT48RGlzcGxheVRleHQ+KEJvYXMsIEd1cHRhIGV0IGFsLiAyMDE3KTwv
RGlzcGxheVRleHQ+PHJlY29yZD48cmVjLW51bWJlcj4zNDUyPC9yZWMtbnVtYmVyPjxmb3JlaWdu
LWtleXM+PGtleSBhcHA9IkVOIiBkYi1pZD0iZnB0OXB0dHJtNXpmc2Flc3A5ZnBzZGR2MDlld3N2
NXhld2ZkIiB0aW1lc3RhbXA9IjE1MjM4NDA4NTYiPjM0NTI8L2tleT48a2V5IGFwcD0iRU5XZWIi
IGRiLWlkPSIiPjA8L2tleT48L2ZvcmVpZ24ta2V5cz48cmVmLXR5cGUgbmFtZT0iSm91cm5hbCBB
cnRpY2xlIj4xNzwvcmVmLXR5cGU+PGNvbnRyaWJ1dG9ycz48YXV0aG9ycz48YXV0aG9yPkJvYXMs
IFouPC9hdXRob3I+PGF1dGhvcj5HdXB0YSwgUC48L2F1dGhvcj48YXV0aG9yPk1vaGVpbWFuaSwg
Ui4gUy48L2F1dGhvcj48YXV0aG9yPkJoZXRyYXJhdGFuYSwgTS48L2F1dGhvcj48YXV0aG9yPllp
biwgRi48L2F1dGhvcj48YXV0aG9yPlBldGVycywgSy4gTS48L2F1dGhvcj48YXV0aG9yPkdvcm5i
ZWluLCBKLjwvYXV0aG9yPjxhdXRob3I+QXJhdWpvLCBKLiBBLjwvYXV0aG9yPjxhdXRob3I+Q3pl
cm5pbiwgSi48L2F1dGhvcj48YXV0aG9yPk1pZGRsZWthdWZmLCBILiBSLjwvYXV0aG9yPjwvYXV0
aG9ycz48L2NvbnRyaWJ1dG9ycz48YXV0aC1hZGRyZXNzPkRpdmlzaW9uIG9mIENhcmRpb2xvZ3ks
IERlcGFydG1lbnQgb2YgTWVkaWNpbmUsIERhdmlkIEdlZmZlbiBTY2hvb2wgb2YgTWVkaWNpbmUg
YXQgVUNMQSwgTG9zIEFuZ2VsZXMsIENhbGlmb3JuaWEuJiN4RDtEZXBhcnRtZW50IG9mIE1vbGVj
dWxhciBhbmQgTWVkaWNhbCBQaGFybWFjb2xvZ3ksIEFobWFuc29uIFRyYW5zbGF0aW9uYWwgSW1h
Z2luZyBEaXZpc2lvbiwgRGF2aWQgR2VmZmVuIFNjaG9vbCBvZiBNZWRpY2luZSBhdCBVQ0xBLCBM
b3MgQW5nZWxlcywgQ2FsaWZvcm5pYS4mI3hEO0RhdmlkIEdlZmZlbiBTY2hvb2wgb2YgTWVkaWNp
bmUgYXQgVUNMQSwgTG9zIEFuZ2VsZXMsIENhbGlmb3JuaWEuJiN4RDtEZXBhcnRtZW50IG9mIEVu
dmlyb25tZW50YWwgSGVhbHRoIFNjaWVuY2VzLCBTY2hvb2wgb2YgUHVibGljIEhlYWx0aCwgTG9z
IEFuZ2VsZXMsIENhbGlmb3JuaWEuJiN4RDtEZXBhcnRtZW50IG9mIEJpb21hdGhlbWF0aWNzLCBE
YXZpZCBHZWZmZW4gU2Nob29sIG9mIE1lZGljaW5lIGF0IFVDTEEsIExvcyBBbmdlbGVzLCBDYWxp
Zm9ybmlhLiYjeEQ7RGl2aXNpb24gb2YgQ2FyZGlvbG9neSwgRGVwYXJ0bWVudCBvZiBNZWRpY2lu
ZSwgRGF2aWQgR2VmZmVuIFNjaG9vbCBvZiBNZWRpY2luZSBhdCBVQ0xBLCBMb3MgQW5nZWxlcywg
Q2FsaWZvcm5pYSBobWlkZGxla2F1ZmZAbWVkbmV0LnVjbGEuZWR1LjwvYXV0aC1hZGRyZXNzPjx0
aXRsZXM+PHRpdGxlPkFjdGl2YXRpb24gb2YgdGhlICZxdW90O1NwbGVub2NhcmRpYWMgQXhpcyZx
dW90OyBieSBlbGVjdHJvbmljIGFuZCB0b2JhY2NvIGNpZ2FyZXR0ZXMgaW4gb3RoZXJ3aXNlIGhl
YWx0aHkgeW91bmcgYWR1bHRzPC90aXRsZT48c2Vjb25kYXJ5LXRpdGxlPlBoeXNpb2wgUmVwPC9z
ZWNvbmRhcnktdGl0bGU+PGFsdC10aXRsZT5QaHlzaW9sb2dpY2FsIHJlcG9ydHM8L2FsdC10aXRs
ZT48L3RpdGxlcz48YWx0LXBlcmlvZGljYWw+PGZ1bGwtdGl0bGU+UGh5c2lvbG9naWNhbCBSZXBv
cnRzPC9mdWxsLXRpdGxlPjwvYWx0LXBlcmlvZGljYWw+PHZvbHVtZT41PC92b2x1bWU+PG51bWJl
cj4xNzwvbnVtYmVyPjxlZGl0aW9uPjIwMTcvMDkvMTQ8L2VkaXRpb24+PGtleXdvcmRzPjxrZXl3
b3JkPkFydGVyaWFsIGluZmxhbW1hdGlvbjwva2V5d29yZD48a2V5d29yZD5GZGctcGV0L2N0PC9r
ZXl3b3JkPjxrZXl3b3JkPmVsZWN0cm9uaWMgY2lnYXJldHRlczwva2V5d29yZD48a2V5d29yZD5o
ZW1hdG9wb2lldGljIGFjdGl2YXRpb248L2tleXdvcmQ+PGtleXdvcmQ+dG9iYWNjbyBjaWdhcmV0
dGVzPC9rZXl3b3JkPjwva2V5d29yZHM+PGRhdGVzPjx5ZWFyPjIwMTc8L3llYXI+PHB1Yi1kYXRl
cz48ZGF0ZT5TZXA8L2RhdGU+PC9wdWItZGF0ZXM+PC9kYXRlcz48aXNibj4yMDUxLTgxN3g8L2lz
Ym4+PGFjY2Vzc2lvbi1udW0+Mjg4OTk5MDg8L2FjY2Vzc2lvbi1udW0+PHVybHM+PC91cmxzPjxj
dXN0b20yPlBNQzU1OTk4NTg8L2N1c3RvbTI+PGVsZWN0cm9uaWMtcmVzb3VyY2UtbnVtPjEwLjE0
ODE0L3BoeTIuMTMzOTM8L2VsZWN0cm9uaWMtcmVzb3VyY2UtbnVtPjxyZW1vdGUtZGF0YWJhc2Ut
cHJvdmlkZXI+TkxNPC9yZW1vdGUtZGF0YWJhc2UtcHJvdmlkZXI+PGxhbmd1YWdlPmVuZzwvbGFu
Z3VhZ2U+PC9yZWNvcmQ+PC9DaXRlPjwvRW5kTm90ZT4A
</w:fldData>
        </w:fldChar>
      </w:r>
      <w:r w:rsidRPr="00430400">
        <w:rPr>
          <w:rFonts w:asciiTheme="minorHAnsi" w:hAnsiTheme="minorHAnsi" w:cstheme="minorHAnsi"/>
          <w:sz w:val="24"/>
        </w:rPr>
        <w:instrText xml:space="preserve"> ADDIN EN.CITE </w:instrText>
      </w:r>
      <w:r w:rsidRPr="00430400">
        <w:rPr>
          <w:rFonts w:asciiTheme="minorHAnsi" w:hAnsiTheme="minorHAnsi" w:cstheme="minorHAnsi"/>
          <w:sz w:val="24"/>
        </w:rPr>
        <w:fldChar w:fldCharType="begin">
          <w:fldData xml:space="preserve">PEVuZE5vdGU+PENpdGU+PEF1dGhvcj5Cb2FzPC9BdXRob3I+PFllYXI+MjAxNzwvWWVhcj48UmVj
TnVtPjM0NTI8L1JlY051bT48RGlzcGxheVRleHQ+KEJvYXMsIEd1cHRhIGV0IGFsLiAyMDE3KTwv
RGlzcGxheVRleHQ+PHJlY29yZD48cmVjLW51bWJlcj4zNDUyPC9yZWMtbnVtYmVyPjxmb3JlaWdu
LWtleXM+PGtleSBhcHA9IkVOIiBkYi1pZD0iZnB0OXB0dHJtNXpmc2Flc3A5ZnBzZGR2MDlld3N2
NXhld2ZkIiB0aW1lc3RhbXA9IjE1MjM4NDA4NTYiPjM0NTI8L2tleT48a2V5IGFwcD0iRU5XZWIi
IGRiLWlkPSIiPjA8L2tleT48L2ZvcmVpZ24ta2V5cz48cmVmLXR5cGUgbmFtZT0iSm91cm5hbCBB
cnRpY2xlIj4xNzwvcmVmLXR5cGU+PGNvbnRyaWJ1dG9ycz48YXV0aG9ycz48YXV0aG9yPkJvYXMs
IFouPC9hdXRob3I+PGF1dGhvcj5HdXB0YSwgUC48L2F1dGhvcj48YXV0aG9yPk1vaGVpbWFuaSwg
Ui4gUy48L2F1dGhvcj48YXV0aG9yPkJoZXRyYXJhdGFuYSwgTS48L2F1dGhvcj48YXV0aG9yPllp
biwgRi48L2F1dGhvcj48YXV0aG9yPlBldGVycywgSy4gTS48L2F1dGhvcj48YXV0aG9yPkdvcm5i
ZWluLCBKLjwvYXV0aG9yPjxhdXRob3I+QXJhdWpvLCBKLiBBLjwvYXV0aG9yPjxhdXRob3I+Q3pl
cm5pbiwgSi48L2F1dGhvcj48YXV0aG9yPk1pZGRsZWthdWZmLCBILiBSLjwvYXV0aG9yPjwvYXV0
aG9ycz48L2NvbnRyaWJ1dG9ycz48YXV0aC1hZGRyZXNzPkRpdmlzaW9uIG9mIENhcmRpb2xvZ3ks
IERlcGFydG1lbnQgb2YgTWVkaWNpbmUsIERhdmlkIEdlZmZlbiBTY2hvb2wgb2YgTWVkaWNpbmUg
YXQgVUNMQSwgTG9zIEFuZ2VsZXMsIENhbGlmb3JuaWEuJiN4RDtEZXBhcnRtZW50IG9mIE1vbGVj
dWxhciBhbmQgTWVkaWNhbCBQaGFybWFjb2xvZ3ksIEFobWFuc29uIFRyYW5zbGF0aW9uYWwgSW1h
Z2luZyBEaXZpc2lvbiwgRGF2aWQgR2VmZmVuIFNjaG9vbCBvZiBNZWRpY2luZSBhdCBVQ0xBLCBM
b3MgQW5nZWxlcywgQ2FsaWZvcm5pYS4mI3hEO0RhdmlkIEdlZmZlbiBTY2hvb2wgb2YgTWVkaWNp
bmUgYXQgVUNMQSwgTG9zIEFuZ2VsZXMsIENhbGlmb3JuaWEuJiN4RDtEZXBhcnRtZW50IG9mIEVu
dmlyb25tZW50YWwgSGVhbHRoIFNjaWVuY2VzLCBTY2hvb2wgb2YgUHVibGljIEhlYWx0aCwgTG9z
IEFuZ2VsZXMsIENhbGlmb3JuaWEuJiN4RDtEZXBhcnRtZW50IG9mIEJpb21hdGhlbWF0aWNzLCBE
YXZpZCBHZWZmZW4gU2Nob29sIG9mIE1lZGljaW5lIGF0IFVDTEEsIExvcyBBbmdlbGVzLCBDYWxp
Zm9ybmlhLiYjeEQ7RGl2aXNpb24gb2YgQ2FyZGlvbG9neSwgRGVwYXJ0bWVudCBvZiBNZWRpY2lu
ZSwgRGF2aWQgR2VmZmVuIFNjaG9vbCBvZiBNZWRpY2luZSBhdCBVQ0xBLCBMb3MgQW5nZWxlcywg
Q2FsaWZvcm5pYSBobWlkZGxla2F1ZmZAbWVkbmV0LnVjbGEuZWR1LjwvYXV0aC1hZGRyZXNzPjx0
aXRsZXM+PHRpdGxlPkFjdGl2YXRpb24gb2YgdGhlICZxdW90O1NwbGVub2NhcmRpYWMgQXhpcyZx
dW90OyBieSBlbGVjdHJvbmljIGFuZCB0b2JhY2NvIGNpZ2FyZXR0ZXMgaW4gb3RoZXJ3aXNlIGhl
YWx0aHkgeW91bmcgYWR1bHRzPC90aXRsZT48c2Vjb25kYXJ5LXRpdGxlPlBoeXNpb2wgUmVwPC9z
ZWNvbmRhcnktdGl0bGU+PGFsdC10aXRsZT5QaHlzaW9sb2dpY2FsIHJlcG9ydHM8L2FsdC10aXRs
ZT48L3RpdGxlcz48YWx0LXBlcmlvZGljYWw+PGZ1bGwtdGl0bGU+UGh5c2lvbG9naWNhbCBSZXBv
cnRzPC9mdWxsLXRpdGxlPjwvYWx0LXBlcmlvZGljYWw+PHZvbHVtZT41PC92b2x1bWU+PG51bWJl
cj4xNzwvbnVtYmVyPjxlZGl0aW9uPjIwMTcvMDkvMTQ8L2VkaXRpb24+PGtleXdvcmRzPjxrZXl3
b3JkPkFydGVyaWFsIGluZmxhbW1hdGlvbjwva2V5d29yZD48a2V5d29yZD5GZGctcGV0L2N0PC9r
ZXl3b3JkPjxrZXl3b3JkPmVsZWN0cm9uaWMgY2lnYXJldHRlczwva2V5d29yZD48a2V5d29yZD5o
ZW1hdG9wb2lldGljIGFjdGl2YXRpb248L2tleXdvcmQ+PGtleXdvcmQ+dG9iYWNjbyBjaWdhcmV0
dGVzPC9rZXl3b3JkPjwva2V5d29yZHM+PGRhdGVzPjx5ZWFyPjIwMTc8L3llYXI+PHB1Yi1kYXRl
cz48ZGF0ZT5TZXA8L2RhdGU+PC9wdWItZGF0ZXM+PC9kYXRlcz48aXNibj4yMDUxLTgxN3g8L2lz
Ym4+PGFjY2Vzc2lvbi1udW0+Mjg4OTk5MDg8L2FjY2Vzc2lvbi1udW0+PHVybHM+PC91cmxzPjxj
dXN0b20yPlBNQzU1OTk4NTg8L2N1c3RvbTI+PGVsZWN0cm9uaWMtcmVzb3VyY2UtbnVtPjEwLjE0
ODE0L3BoeTIuMTMzOTM8L2VsZWN0cm9uaWMtcmVzb3VyY2UtbnVtPjxyZW1vdGUtZGF0YWJhc2Ut
cHJvdmlkZXI+TkxNPC9yZW1vdGUtZGF0YWJhc2UtcHJvdmlkZXI+PGxhbmd1YWdlPmVuZzwvbGFu
Z3VhZ2U+PC9yZWNvcmQ+PC9DaXRlPjwvRW5kTm90ZT4A
</w:fldData>
        </w:fldChar>
      </w:r>
      <w:r w:rsidRPr="00430400">
        <w:rPr>
          <w:rFonts w:asciiTheme="minorHAnsi" w:hAnsiTheme="minorHAnsi" w:cstheme="minorHAnsi"/>
          <w:sz w:val="24"/>
        </w:rPr>
        <w:instrText xml:space="preserve"> ADDIN EN.CITE.DATA </w:instrText>
      </w:r>
      <w:r w:rsidRPr="00430400">
        <w:rPr>
          <w:rFonts w:asciiTheme="minorHAnsi" w:hAnsiTheme="minorHAnsi" w:cstheme="minorHAnsi"/>
          <w:sz w:val="24"/>
        </w:rPr>
      </w:r>
      <w:r w:rsidRPr="00430400">
        <w:rPr>
          <w:rFonts w:asciiTheme="minorHAnsi" w:hAnsiTheme="minorHAnsi" w:cstheme="minorHAnsi"/>
          <w:sz w:val="24"/>
        </w:rPr>
        <w:fldChar w:fldCharType="end"/>
      </w:r>
      <w:r w:rsidRPr="00430400">
        <w:rPr>
          <w:rFonts w:asciiTheme="minorHAnsi" w:hAnsiTheme="minorHAnsi" w:cstheme="minorHAnsi"/>
          <w:sz w:val="24"/>
        </w:rPr>
      </w:r>
      <w:r w:rsidRPr="00430400">
        <w:rPr>
          <w:rFonts w:asciiTheme="minorHAnsi" w:hAnsiTheme="minorHAnsi" w:cstheme="minorHAnsi"/>
          <w:sz w:val="24"/>
        </w:rPr>
        <w:fldChar w:fldCharType="separate"/>
      </w:r>
      <w:r w:rsidRPr="00430400">
        <w:rPr>
          <w:rFonts w:asciiTheme="minorHAnsi" w:hAnsiTheme="minorHAnsi" w:cstheme="minorHAnsi"/>
          <w:noProof/>
          <w:sz w:val="24"/>
        </w:rPr>
        <w:t>(Boas, Gupta et al. 2017)</w:t>
      </w:r>
      <w:r w:rsidRPr="00430400">
        <w:rPr>
          <w:rFonts w:asciiTheme="minorHAnsi" w:hAnsiTheme="minorHAnsi" w:cstheme="minorHAnsi"/>
          <w:sz w:val="24"/>
        </w:rPr>
        <w:fldChar w:fldCharType="end"/>
      </w:r>
      <w:r w:rsidRPr="00430400">
        <w:rPr>
          <w:rFonts w:asciiTheme="minorHAnsi" w:hAnsiTheme="minorHAnsi" w:cstheme="minorHAnsi"/>
          <w:sz w:val="24"/>
        </w:rPr>
        <w:t xml:space="preserve"> showed differences between conventional cigarette users and never smokers in the metabolic activity of the aorta and the spleen (but not the bone marrow) with users of e</w:t>
      </w:r>
      <w:r w:rsidRPr="00430400">
        <w:rPr>
          <w:rFonts w:asciiTheme="minorHAnsi" w:hAnsiTheme="minorHAnsi" w:cstheme="minorHAnsi"/>
          <w:sz w:val="24"/>
        </w:rPr>
        <w:noBreakHyphen/>
        <w:t xml:space="preserve">cigarettes having an intermediate position. It was suggested this represented the relative risk of cardiac ischemia among the groups however results were somewhat inconsistent. </w:t>
      </w:r>
    </w:p>
    <w:p w14:paraId="72DB6B51" w14:textId="77777777" w:rsidR="00430400" w:rsidRPr="00430400" w:rsidRDefault="00430400" w:rsidP="00430400">
      <w:pPr>
        <w:spacing w:before="120" w:line="264" w:lineRule="auto"/>
        <w:rPr>
          <w:rFonts w:asciiTheme="minorHAnsi" w:hAnsiTheme="minorHAnsi" w:cstheme="minorHAnsi"/>
          <w:sz w:val="24"/>
          <w:szCs w:val="24"/>
        </w:rPr>
      </w:pPr>
      <w:r w:rsidRPr="00430400">
        <w:rPr>
          <w:rFonts w:asciiTheme="minorHAnsi" w:hAnsiTheme="minorHAnsi" w:cstheme="minorHAnsi"/>
          <w:sz w:val="24"/>
          <w:szCs w:val="24"/>
        </w:rPr>
        <w:t>A final small study (n=7 smokers) showed a significant reduction in superficial blood flow and deep blood flow in the hand following use of an e</w:t>
      </w:r>
      <w:r w:rsidRPr="00430400">
        <w:rPr>
          <w:rFonts w:asciiTheme="minorHAnsi" w:hAnsiTheme="minorHAnsi" w:cstheme="minorHAnsi"/>
          <w:sz w:val="24"/>
          <w:szCs w:val="24"/>
        </w:rPr>
        <w:noBreakHyphen/>
        <w:t>cigarette, an effect which did not occur in non</w:t>
      </w:r>
      <w:r w:rsidRPr="00430400">
        <w:rPr>
          <w:rFonts w:asciiTheme="minorHAnsi" w:hAnsiTheme="minorHAnsi" w:cstheme="minorHAnsi"/>
          <w:sz w:val="24"/>
          <w:szCs w:val="24"/>
        </w:rPr>
        <w:noBreakHyphen/>
        <w:t xml:space="preserve">smokers </w:t>
      </w:r>
      <w:r w:rsidRPr="00430400">
        <w:rPr>
          <w:rFonts w:asciiTheme="minorHAnsi" w:hAnsiTheme="minorHAnsi" w:cstheme="minorHAnsi"/>
          <w:sz w:val="24"/>
          <w:szCs w:val="24"/>
        </w:rPr>
        <w:fldChar w:fldCharType="begin"/>
      </w:r>
      <w:r w:rsidRPr="00430400">
        <w:rPr>
          <w:rFonts w:asciiTheme="minorHAnsi" w:hAnsiTheme="minorHAnsi" w:cstheme="minorHAnsi"/>
          <w:sz w:val="24"/>
          <w:szCs w:val="24"/>
        </w:rPr>
        <w:instrText xml:space="preserve"> ADDIN EN.CITE &lt;EndNote&gt;&lt;Cite&gt;&lt;Author&gt;Pywell&lt;/Author&gt;&lt;Year&gt;2018&lt;/Year&gt;&lt;RecNum&gt;3487&lt;/RecNum&gt;&lt;DisplayText&gt;(Pywell, Wordsworth et al. 2018)&lt;/DisplayText&gt;&lt;record&gt;&lt;rec-number&gt;3487&lt;/rec-number&gt;&lt;foreign-keys&gt;&lt;key app="EN" db-id="fpt9pttrm5zfsaesp9fpsddv09ewsv5xewfd" timestamp="1523840970"&gt;3487&lt;/key&gt;&lt;key app="ENWeb" db-id=""&gt;0&lt;/key&gt;&lt;/foreign-keys&gt;&lt;ref-type name="Journal Article"&gt;17&lt;/ref-type&gt;&lt;contributors&gt;&lt;authors&gt;&lt;author&gt;Pywell, M. J.&lt;/author&gt;&lt;author&gt;Wordsworth, M.&lt;/author&gt;&lt;author&gt;Kwasnicki, R. M.&lt;/author&gt;&lt;author&gt;Chadha, P.&lt;/author&gt;&lt;author&gt;Hettiaratchy, S.&lt;/author&gt;&lt;author&gt;Halsey, T.&lt;/author&gt;&lt;/authors&gt;&lt;/contributors&gt;&lt;auth-address&gt;Imperial College Healthcare NHS Trust, London, United Kingdom. Electronic address: mjpywell@gmail.com.&amp;#xD;Imperial College Healthcare NHS Trust, London, United Kingdom.&amp;#xD;Chelsea and Westminster NHS Foundation Trust, Chelsea, London, United Kingdom.&lt;/auth-address&gt;&lt;titles&gt;&lt;title&gt;The Effect of Electronic Cigarettes on Hand Microcirculation&lt;/title&gt;&lt;secondary-title&gt;J Hand Surg Am&lt;/secondary-title&gt;&lt;alt-title&gt;The Journal of hand surgery&lt;/alt-title&gt;&lt;/titles&gt;&lt;periodical&gt;&lt;full-title&gt;J Hand Surg Am&lt;/full-title&gt;&lt;abbr-1&gt;The Journal of hand surgery&lt;/abbr-1&gt;&lt;/periodical&gt;&lt;alt-periodical&gt;&lt;full-title&gt;J Hand Surg Am&lt;/full-title&gt;&lt;abbr-1&gt;The Journal of hand surgery&lt;/abbr-1&gt;&lt;/alt-periodical&gt;&lt;edition&gt;2018/02/06&lt;/edition&gt;&lt;keywords&gt;&lt;keyword&gt;eCigarette&lt;/keyword&gt;&lt;keyword&gt;laser Doppler&lt;/keyword&gt;&lt;keyword&gt;microcirculation&lt;/keyword&gt;&lt;keyword&gt;smoking&lt;/keyword&gt;&lt;keyword&gt;vaping&lt;/keyword&gt;&lt;/keywords&gt;&lt;dates&gt;&lt;year&gt;2018&lt;/year&gt;&lt;pub-dates&gt;&lt;date&gt;Feb 2&lt;/date&gt;&lt;/pub-dates&gt;&lt;/dates&gt;&lt;isbn&gt;0363-5023&lt;/isbn&gt;&lt;accession-num&gt;29398329&lt;/accession-num&gt;&lt;urls&gt;&lt;/urls&gt;&lt;electronic-resource-num&gt;10.1016/j.jhsa.2017.12.003&lt;/electronic-resource-num&gt;&lt;remote-database-provider&gt;NLM&lt;/remote-database-provider&gt;&lt;language&gt;eng&lt;/language&gt;&lt;/record&gt;&lt;/Cite&gt;&lt;/EndNote&gt;</w:instrText>
      </w:r>
      <w:r w:rsidRPr="00430400">
        <w:rPr>
          <w:rFonts w:asciiTheme="minorHAnsi" w:hAnsiTheme="minorHAnsi" w:cstheme="minorHAnsi"/>
          <w:sz w:val="24"/>
          <w:szCs w:val="24"/>
        </w:rPr>
        <w:fldChar w:fldCharType="separate"/>
      </w:r>
      <w:r w:rsidRPr="00430400">
        <w:rPr>
          <w:rFonts w:asciiTheme="minorHAnsi" w:hAnsiTheme="minorHAnsi" w:cstheme="minorHAnsi"/>
          <w:noProof/>
          <w:sz w:val="24"/>
          <w:szCs w:val="24"/>
        </w:rPr>
        <w:t>(Pywell, Wordsworth et al. 2018)</w:t>
      </w:r>
      <w:r w:rsidRPr="00430400">
        <w:rPr>
          <w:rFonts w:asciiTheme="minorHAnsi" w:hAnsiTheme="minorHAnsi" w:cstheme="minorHAnsi"/>
          <w:sz w:val="24"/>
          <w:szCs w:val="24"/>
        </w:rPr>
        <w:fldChar w:fldCharType="end"/>
      </w:r>
      <w:r w:rsidRPr="00430400">
        <w:rPr>
          <w:rFonts w:asciiTheme="minorHAnsi" w:hAnsiTheme="minorHAnsi" w:cstheme="minorHAnsi"/>
          <w:sz w:val="24"/>
          <w:szCs w:val="24"/>
        </w:rPr>
        <w:t>. It is not clear whether this is relevant to cardiovascular health.</w:t>
      </w:r>
    </w:p>
    <w:p w14:paraId="66B0F3B7" w14:textId="77777777" w:rsidR="00430400" w:rsidRPr="00430400" w:rsidRDefault="00430400" w:rsidP="00430400">
      <w:pPr>
        <w:spacing w:before="120" w:line="264" w:lineRule="auto"/>
        <w:rPr>
          <w:rFonts w:asciiTheme="minorHAnsi" w:hAnsiTheme="minorHAnsi" w:cstheme="minorHAnsi"/>
          <w:sz w:val="24"/>
          <w:szCs w:val="24"/>
        </w:rPr>
      </w:pPr>
    </w:p>
    <w:p w14:paraId="2D82A5E6" w14:textId="77777777" w:rsidR="00430400" w:rsidRPr="00430400" w:rsidRDefault="00430400" w:rsidP="00430400">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1F6FF" w:themeFill="accent2" w:themeFillTint="1A"/>
        <w:spacing w:before="180" w:after="180"/>
        <w:ind w:right="227"/>
        <w:rPr>
          <w:b/>
          <w:sz w:val="28"/>
          <w:szCs w:val="28"/>
        </w:rPr>
      </w:pPr>
      <w:r w:rsidRPr="00430400">
        <w:rPr>
          <w:b/>
          <w:sz w:val="28"/>
          <w:szCs w:val="28"/>
        </w:rPr>
        <w:lastRenderedPageBreak/>
        <w:t>Previous studies</w:t>
      </w:r>
    </w:p>
    <w:p w14:paraId="08232A0C" w14:textId="77777777" w:rsidR="00430400" w:rsidRPr="00430400" w:rsidRDefault="00430400" w:rsidP="00430400">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1F6FF" w:themeFill="accent2" w:themeFillTint="1A"/>
        <w:spacing w:before="180" w:after="180"/>
        <w:ind w:right="227"/>
        <w:rPr>
          <w:sz w:val="24"/>
          <w:szCs w:val="24"/>
        </w:rPr>
      </w:pPr>
      <w:r w:rsidRPr="00430400">
        <w:rPr>
          <w:sz w:val="24"/>
          <w:szCs w:val="24"/>
        </w:rPr>
        <w:t xml:space="preserve"> ‘comparative risks of cardiovascular disease…have not been quantified but are likely to be ..substantially below the risks of smoking.’</w:t>
      </w:r>
      <w:r w:rsidRPr="00430400">
        <w:rPr>
          <w:sz w:val="24"/>
          <w:szCs w:val="24"/>
        </w:rPr>
        <w:fldChar w:fldCharType="begin"/>
      </w:r>
      <w:r w:rsidRPr="00430400">
        <w:rPr>
          <w:sz w:val="24"/>
          <w:szCs w:val="24"/>
        </w:rPr>
        <w:instrText xml:space="preserve"> ADDIN EN.CITE &lt;EndNote&gt;&lt;Cite&gt;&lt;Author&gt;McNeill A&lt;/Author&gt;&lt;Year&gt;2018&lt;/Year&gt;&lt;RecNum&gt;13025&lt;/RecNum&gt;&lt;DisplayText&gt;(McNeill A 2018)&lt;/DisplayText&gt;&lt;record&gt;&lt;rec-number&gt;13025&lt;/rec-number&gt;&lt;foreign-keys&gt;&lt;key app="EN" db-id="5xv5w5t2bdxtxfezx02xtxdft5rz5ptvvt29" timestamp="1524018409"&gt;13025&lt;/key&gt;&lt;/foreign-keys&gt;&lt;ref-type name="Journal Article"&gt;17&lt;/ref-type&gt;&lt;contributors&gt;&lt;authors&gt;&lt;author&gt;McNeill A,  Brose LS, Calder R,  Bauld L, Robson D.&lt;/author&gt;&lt;/authors&gt;&lt;/contributors&gt;&lt;titles&gt;&lt;title&gt;Evidence Review of e-cigarettes and heated tobacco products 2018. A Report comissioned by Public Health England.&lt;/title&gt;&lt;/titles&gt;&lt;dates&gt;&lt;year&gt;2018&lt;/year&gt;&lt;/dates&gt;&lt;urls&gt;&lt;/urls&gt;&lt;/record&gt;&lt;/Cite&gt;&lt;/EndNote&gt;</w:instrText>
      </w:r>
      <w:r w:rsidRPr="00430400">
        <w:rPr>
          <w:sz w:val="24"/>
          <w:szCs w:val="24"/>
        </w:rPr>
        <w:fldChar w:fldCharType="separate"/>
      </w:r>
      <w:r w:rsidRPr="00430400">
        <w:rPr>
          <w:noProof/>
          <w:sz w:val="24"/>
          <w:szCs w:val="24"/>
        </w:rPr>
        <w:t>(McNeill A 2018)</w:t>
      </w:r>
      <w:r w:rsidRPr="00430400">
        <w:rPr>
          <w:sz w:val="24"/>
          <w:szCs w:val="24"/>
        </w:rPr>
        <w:fldChar w:fldCharType="end"/>
      </w:r>
    </w:p>
    <w:p w14:paraId="4810B865" w14:textId="77777777" w:rsidR="00430400" w:rsidRPr="00430400" w:rsidRDefault="00430400" w:rsidP="00430400">
      <w:pPr>
        <w:spacing w:before="120" w:line="264" w:lineRule="auto"/>
        <w:rPr>
          <w:sz w:val="24"/>
        </w:rPr>
      </w:pPr>
    </w:p>
    <w:p w14:paraId="447ED0B6" w14:textId="2C0BAE30" w:rsidR="00430400" w:rsidRPr="00430400" w:rsidRDefault="008146F9" w:rsidP="00430400">
      <w:pPr>
        <w:pStyle w:val="Heading2"/>
      </w:pPr>
      <w:bookmarkStart w:id="189" w:name="_Toc516848613"/>
      <w:r>
        <w:t xml:space="preserve"> </w:t>
      </w:r>
      <w:bookmarkStart w:id="190" w:name="_Toc517706706"/>
      <w:r w:rsidR="00430400" w:rsidRPr="00430400">
        <w:t>Respiratory system</w:t>
      </w:r>
      <w:bookmarkEnd w:id="189"/>
      <w:bookmarkEnd w:id="190"/>
    </w:p>
    <w:p w14:paraId="50199DAC" w14:textId="77777777" w:rsidR="00430400" w:rsidRPr="00430400" w:rsidRDefault="00430400" w:rsidP="00430400">
      <w:pPr>
        <w:spacing w:before="120" w:line="264" w:lineRule="auto"/>
        <w:rPr>
          <w:sz w:val="24"/>
        </w:rPr>
      </w:pPr>
      <w:r w:rsidRPr="00430400">
        <w:rPr>
          <w:sz w:val="24"/>
        </w:rPr>
        <w:t xml:space="preserve">Three of the studies summarised above also assessed respiratory function outcomes </w:t>
      </w:r>
      <w:r w:rsidRPr="00430400">
        <w:rPr>
          <w:sz w:val="24"/>
        </w:rPr>
        <w:fldChar w:fldCharType="begin">
          <w:fldData xml:space="preserve">PEVuZE5vdGU+PENpdGU+PEF1dGhvcj5EJmFwb3M7UnVpejwvQXV0aG9yPjxZZWFyPjIwMTc8L1ll
YXI+PFJlY051bT4zMzk4PC9SZWNOdW0+PERpc3BsYXlUZXh0PihEJmFwb3M7UnVpeiwgTyZhcG9z
O0Nvbm5lbGwgZXQgYWwuIDIwMTcsIEtlcnIsIFRvdXl6IGV0IGFsLiAyMDE3LCBXYWxlbGUsIEJ1
c2ggZXQgYWwuIDIwMTgpPC9EaXNwbGF5VGV4dD48cmVjb3JkPjxyZWMtbnVtYmVyPjMzOTg8L3Jl
Yy1udW1iZXI+PGZvcmVpZ24ta2V5cz48a2V5IGFwcD0iRU4iIGRiLWlkPSJmcHQ5cHR0cm01emZz
YWVzcDlmcHNkZHYwOWV3c3Y1eGV3ZmQiIHRpbWVzdGFtcD0iMTUyMzg0MDY0NiI+MzM5ODwva2V5
PjxrZXkgYXBwPSJFTldlYiIgZGItaWQ9IiI+MDwva2V5PjwvZm9yZWlnbi1rZXlzPjxyZWYtdHlw
ZSBuYW1lPSJKb3VybmFsIEFydGljbGUiPjE3PC9yZWYtdHlwZT48Y29udHJpYnV0b3JzPjxhdXRo
b3JzPjxhdXRob3I+RCZhcG9zO1J1aXosIEMuIEQuPC9hdXRob3I+PGF1dGhvcj5PJmFwb3M7Q29u
bmVsbCwgRy48L2F1dGhvcj48YXV0aG9yPkdyYWZmLCBELiBXLjwvYXV0aG9yPjxhdXRob3I+WWFu
LCBYLiBTLjwvYXV0aG9yPjwvYXV0aG9ycz48L2NvbnRyaWJ1dG9ycz48YXV0aC1hZGRyZXNzPkNs
aW5pY2FsIFN0dWR5IENvbnN1bHRhbnQsIEZvbnRlbSBWZW50dXJlcywgR3JlZW5zYm9ybywgTkMs
IFVTQS4gRWxlY3Ryb25pYyBhZGRyZXNzOiBjYXJsZHJ1aXpAZ21haWwuY29tLiYjeEQ7Rm9udGVt
IFZlbnR1cmVzLCBTY2llbnRpZmljIGFuZCBSZWd1bGF0b3J5IEFmZmFpcnMsIEFtc3RlcmRhbSwg
VGhlIE5ldGhlcmxhbmRzLiBFbGVjdHJvbmljIGFkZHJlc3M6IGdyYW50Lm9jb25uZWxsQGZvbnRl
bXZlbnR1cmVzLmNvbS4mI3hEO0NlbGVyaW9uLCBMaW5jb2xuLCBORSwgVVNBLiBFbGVjdHJvbmlj
IGFkZHJlc3M6IERvbmFsZC5ncmFmZkBjZWxlcmlvbi5jb20uJiN4RDtMb3JpbGxhcmQgVG9iYWNj
byBDb21wYW55IChmb3JtZXJseSksIEdyZWVuc2Jvcm8sIE5DLCBVU0EuIEVsZWN0cm9uaWMgYWRk
cmVzczogeHlhbjEyMDlAZ21haWwuY29tLjwvYXV0aC1hZGRyZXNzPjx0aXRsZXM+PHRpdGxlPk1l
YXN1cmVtZW50IG9mIGNhcmRpb3Zhc2N1bGFyIGFuZCBwdWxtb25hcnkgZnVuY3Rpb24gZW5kcG9p
bnRzIGFuZCBvdGhlciBwaHlzaW9sb2dpY2FsIGVmZmVjdHMgZm9sbG93aW5nIHBhcnRpYWwgb3Ig
Y29tcGxldGUgc3Vic3RpdHV0aW9uIG9mIGNpZ2FyZXR0ZXMgd2l0aCBlbGVjdHJvbmljIGNpZ2Fy
ZXR0ZXMgaW4gYWR1bHQgc21va2VyczwvdGl0bGU+PHNlY29uZGFyeS10aXRsZT5SZWd1bCBUb3hp
Y29sIFBoYXJtYWNvbDwvc2Vjb25kYXJ5LXRpdGxlPjxhbHQtdGl0bGU+UmVndWxhdG9yeSB0b3hp
Y29sb2d5IGFuZCBwaGFybWFjb2xvZ3kgOiBSVFA8L2FsdC10aXRsZT48L3RpdGxlcz48cGVyaW9k
aWNhbD48ZnVsbC10aXRsZT5SZWd1bCBUb3hpY29sIFBoYXJtYWNvbDwvZnVsbC10aXRsZT48YWJi
ci0xPlJlZ3VsYXRvcnkgdG94aWNvbG9neSBhbmQgcGhhcm1hY29sb2d5IDogUlRQPC9hYmJyLTE+
PC9wZXJpb2RpY2FsPjxhbHQtcGVyaW9kaWNhbD48ZnVsbC10aXRsZT5SZWd1bCBUb3hpY29sIFBo
YXJtYWNvbDwvZnVsbC10aXRsZT48YWJici0xPlJlZ3VsYXRvcnkgdG94aWNvbG9neSBhbmQgcGhh
cm1hY29sb2d5IDogUlRQPC9hYmJyLTE+PC9hbHQtcGVyaW9kaWNhbD48cGFnZXM+MzYtNTM8L3Bh
Z2VzPjx2b2x1bWU+ODc8L3ZvbHVtZT48ZWRpdGlvbj4yMDE3LzA1LzEwPC9lZGl0aW9uPjxrZXl3
b3Jkcz48a2V5d29yZD5BZHZlcnNlIGVmZmVjdHM8L2tleXdvcmQ+PGtleXdvcmQ+Q2FyZGlvdmFz
Y3VsYXIgZWZmZWN0czwva2V5d29yZD48a2V5d29yZD5FLWNpZ2FyZXR0ZTwva2V5d29yZD48a2V5
d29yZD5FeGNsdXNpdmUgYW5kIGR1YWwgdXNlPC9rZXl3b3JkPjxrZXl3b3JkPkhhcm0gcmVkdWN0
aW9uPC9rZXl3b3JkPjxrZXl3b3JkPlBoeXNpb2xvZ2ljYWwgZWZmZWN0czwva2V5d29yZD48a2V5
d29yZD5QdWxtb25hcnkgZWZmZWN0czwva2V5d29yZD48L2tleXdvcmRzPjxkYXRlcz48eWVhcj4y
MDE3PC95ZWFyPjxwdWItZGF0ZXM+PGRhdGU+SnVsPC9kYXRlPjwvcHViLWRhdGVzPjwvZGF0ZXM+
PGlzYm4+MDI3My0yMzAwPC9pc2JuPjxhY2Nlc3Npb24tbnVtPjI4NDc2NTUzPC9hY2Nlc3Npb24t
bnVtPjx1cmxzPjwvdXJscz48ZWxlY3Ryb25pYy1yZXNvdXJjZS1udW0+MTAuMTAxNi9qLnlydHBo
LjIwMTcuMDUuMDAyPC9lbGVjdHJvbmljLXJlc291cmNlLW51bT48cmVtb3RlLWRhdGFiYXNlLXBy
b3ZpZGVyPk5MTTwvcmVtb3RlLWRhdGFiYXNlLXByb3ZpZGVyPjxsYW5ndWFnZT5lbmc8L2xhbmd1
YWdlPjwvcmVjb3JkPjwvQ2l0ZT48Q2l0ZT48QXV0aG9yPktlcnI8L0F1dGhvcj48WWVhcj4yMDE3
PC9ZZWFyPjxSZWNOdW0+NDU0ODwvUmVjTnVtPjxyZWNvcmQ+PHJlYy1udW1iZXI+NDU0ODwvcmVj
LW51bWJlcj48Zm9yZWlnbi1rZXlzPjxrZXkgYXBwPSJFTiIgZGItaWQ9ImZwdDlwdHRybTV6ZnNh
ZXNwOWZwc2RkdjA5ZXdzdjV4ZXdmZCIgdGltZXN0YW1wPSIxNTIzODQyNTg3Ij40NTQ4PC9rZXk+
PGtleSBhcHA9IkVOV2ViIiBkYi1pZD0iIj4wPC9rZXk+PC9mb3JlaWduLWtleXM+PHJlZi10eXBl
IG5hbWU9IkpvdXJuYWwgQXJ0aWNsZSI+MTc8L3JlZi10eXBlPjxjb250cmlidXRvcnM+PGF1dGhv
cnM+PGF1dGhvcj5LZXJyLCBEYW5pZWxlPC9hdXRob3I+PGF1dGhvcj5Ub3V5eiwgUmhpYW48L2F1
dGhvcj48YXV0aG9yPkRlbGxlcywgQ2hyaXN0aWFuPC9hdXRob3I+PC9hdXRob3JzPjwvY29udHJp
YnV0b3JzPjx0aXRsZXM+PHRpdGxlPlRoZSBpbW1lZGlhdGUgZWZmZWN0cyBvZiBlbGVjdHJvbmlj
IGNpZ2FyZXR0ZSB1c2UgYW5kIHRvYmFjY28gc21va2luZyBvbiB2YXNjdWxhciBhbmQgcmVzcGly
YXRvcnkgZnVuY3Rpb24gaW4gaGVhbHRoeSB2b2x1bnRlZXJzOiBhIGNyb3Nzb3ZlciBzdHVkeTwv
dGl0bGU+PHNlY29uZGFyeS10aXRsZT5Kb3VybmFsIG9mIEh1bWFuIEh5cGVydGVuc2lvbjwvc2Vj
b25kYXJ5LXRpdGxlPjwvdGl0bGVzPjxwZXJpb2RpY2FsPjxmdWxsLXRpdGxlPkpvdXJuYWwgb2Yg
SHVtYW4gSHlwZXJ0ZW5zaW9uPC9mdWxsLXRpdGxlPjwvcGVyaW9kaWNhbD48cGFnZXM+NjYyLTY2
MjwvcGFnZXM+PHZvbHVtZT4zMTwvdm9sdW1lPjxudW1iZXI+MTA8L251bWJlcj48ZGF0ZXM+PHll
YXI+MjAxNzwveWVhcj48cHViLWRhdGVzPjxkYXRlPk9jdDwvZGF0ZT48L3B1Yi1kYXRlcz48L2Rh
dGVzPjxpc2JuPjA5NTAtOTI0MDwvaXNibj48YWNjZXNzaW9uLW51bT5XT1M6MDAwNDEyMjE5NDAw
MDIwPC9hY2Nlc3Npb24tbnVtPjx1cmxzPjxyZWxhdGVkLXVybHM+PHVybD4mbHQ7R28gdG8gSVNJ
Jmd0OzovL1dPUzowMDA0MTIyMTk0MDAwMjA8L3VybD48L3JlbGF0ZWQtdXJscz48L3VybHM+PC9y
ZWNvcmQ+PC9DaXRlPjxDaXRlPjxBdXRob3I+RCZhcG9zO1J1aXo8L0F1dGhvcj48WWVhcj4yMDE3
PC9ZZWFyPjxSZWNOdW0+MzM5ODwvUmVjTnVtPjxyZWNvcmQ+PHJlYy1udW1iZXI+MzM5ODwvcmVj
LW51bWJlcj48Zm9yZWlnbi1rZXlzPjxrZXkgYXBwPSJFTiIgZGItaWQ9ImZwdDlwdHRybTV6ZnNh
ZXNwOWZwc2RkdjA5ZXdzdjV4ZXdmZCIgdGltZXN0YW1wPSIxNTIzODQwNjQ2Ij4zMzk4PC9rZXk+
PGtleSBhcHA9IkVOV2ViIiBkYi1pZD0iIj4wPC9rZXk+PC9mb3JlaWduLWtleXM+PHJlZi10eXBl
IG5hbWU9IkpvdXJuYWwgQXJ0aWNsZSI+MTc8L3JlZi10eXBlPjxjb250cmlidXRvcnM+PGF1dGhv
cnM+PGF1dGhvcj5EJmFwb3M7UnVpeiwgQy4gRC48L2F1dGhvcj48YXV0aG9yPk8mYXBvcztDb25u
ZWxsLCBHLjwvYXV0aG9yPjxhdXRob3I+R3JhZmYsIEQuIFcuPC9hdXRob3I+PGF1dGhvcj5ZYW4s
IFguIFMuPC9hdXRob3I+PC9hdXRob3JzPjwvY29udHJpYnV0b3JzPjxhdXRoLWFkZHJlc3M+Q2xp
bmljYWwgU3R1ZHkgQ29uc3VsdGFudCwgRm9udGVtIFZlbnR1cmVzLCBHcmVlbnNib3JvLCBOQywg
VVNBLiBFbGVjdHJvbmljIGFkZHJlc3M6IGNhcmxkcnVpekBnbWFpbC5jb20uJiN4RDtGb250ZW0g
VmVudHVyZXMsIFNjaWVudGlmaWMgYW5kIFJlZ3VsYXRvcnkgQWZmYWlycywgQW1zdGVyZGFtLCBU
aGUgTmV0aGVybGFuZHMuIEVsZWN0cm9uaWMgYWRkcmVzczogZ3JhbnQub2Nvbm5lbGxAZm9udGVt
dmVudHVyZXMuY29tLiYjeEQ7Q2VsZXJpb24sIExpbmNvbG4sIE5FLCBVU0EuIEVsZWN0cm9uaWMg
YWRkcmVzczogRG9uYWxkLmdyYWZmQGNlbGVyaW9uLmNvbS4mI3hEO0xvcmlsbGFyZCBUb2JhY2Nv
IENvbXBhbnkgKGZvcm1lcmx5KSwgR3JlZW5zYm9ybywgTkMsIFVTQS4gRWxlY3Ryb25pYyBhZGRy
ZXNzOiB4eWFuMTIwOUBnbWFpbC5jb20uPC9hdXRoLWFkZHJlc3M+PHRpdGxlcz48dGl0bGU+TWVh
c3VyZW1lbnQgb2YgY2FyZGlvdmFzY3VsYXIgYW5kIHB1bG1vbmFyeSBmdW5jdGlvbiBlbmRwb2lu
dHMgYW5kIG90aGVyIHBoeXNpb2xvZ2ljYWwgZWZmZWN0cyBmb2xsb3dpbmcgcGFydGlhbCBvciBj
b21wbGV0ZSBzdWJzdGl0dXRpb24gb2YgY2lnYXJldHRlcyB3aXRoIGVsZWN0cm9uaWMgY2lnYXJl
dHRlcyBpbiBhZHVsdCBzbW9rZXJzPC90aXRsZT48c2Vjb25kYXJ5LXRpdGxlPlJlZ3VsIFRveGlj
b2wgUGhhcm1hY29sPC9zZWNvbmRhcnktdGl0bGU+PGFsdC10aXRsZT5SZWd1bGF0b3J5IHRveGlj
b2xvZ3kgYW5kIHBoYXJtYWNvbG9neSA6IFJUUDwvYWx0LXRpdGxlPjwvdGl0bGVzPjxwZXJpb2Rp
Y2FsPjxmdWxsLXRpdGxlPlJlZ3VsIFRveGljb2wgUGhhcm1hY29sPC9mdWxsLXRpdGxlPjxhYmJy
LTE+UmVndWxhdG9yeSB0b3hpY29sb2d5IGFuZCBwaGFybWFjb2xvZ3kgOiBSVFA8L2FiYnItMT48
L3BlcmlvZGljYWw+PGFsdC1wZXJpb2RpY2FsPjxmdWxsLXRpdGxlPlJlZ3VsIFRveGljb2wgUGhh
cm1hY29sPC9mdWxsLXRpdGxlPjxhYmJyLTE+UmVndWxhdG9yeSB0b3hpY29sb2d5IGFuZCBwaGFy
bWFjb2xvZ3kgOiBSVFA8L2FiYnItMT48L2FsdC1wZXJpb2RpY2FsPjxwYWdlcz4zNi01MzwvcGFn
ZXM+PHZvbHVtZT44Nzwvdm9sdW1lPjxlZGl0aW9uPjIwMTcvMDUvMTA8L2VkaXRpb24+PGtleXdv
cmRzPjxrZXl3b3JkPkFkdmVyc2UgZWZmZWN0czwva2V5d29yZD48a2V5d29yZD5DYXJkaW92YXNj
dWxhciBlZmZlY3RzPC9rZXl3b3JkPjxrZXl3b3JkPkUtY2lnYXJldHRlPC9rZXl3b3JkPjxrZXl3
b3JkPkV4Y2x1c2l2ZSBhbmQgZHVhbCB1c2U8L2tleXdvcmQ+PGtleXdvcmQ+SGFybSByZWR1Y3Rp
b248L2tleXdvcmQ+PGtleXdvcmQ+UGh5c2lvbG9naWNhbCBlZmZlY3RzPC9rZXl3b3JkPjxrZXl3
b3JkPlB1bG1vbmFyeSBlZmZlY3RzPC9rZXl3b3JkPjwva2V5d29yZHM+PGRhdGVzPjx5ZWFyPjIw
MTc8L3llYXI+PHB1Yi1kYXRlcz48ZGF0ZT5KdWw8L2RhdGU+PC9wdWItZGF0ZXM+PC9kYXRlcz48
aXNibj4wMjczLTIzMDA8L2lzYm4+PGFjY2Vzc2lvbi1udW0+Mjg0NzY1NTM8L2FjY2Vzc2lvbi1u
dW0+PHVybHM+PC91cmxzPjxlbGVjdHJvbmljLXJlc291cmNlLW51bT4xMC4xMDE2L2oueXJ0cGgu
MjAxNy4wNS4wMDI8L2VsZWN0cm9uaWMtcmVzb3VyY2UtbnVtPjxyZW1vdGUtZGF0YWJhc2UtcHJv
dmlkZXI+TkxNPC9yZW1vdGUtZGF0YWJhc2UtcHJvdmlkZXI+PGxhbmd1YWdlPmVuZzwvbGFuZ3Vh
Z2U+PC9yZWNvcmQ+PC9DaXRlPjxDaXRlPjxBdXRob3I+S2VycjwvQXV0aG9yPjxZZWFyPjIwMTc8
L1llYXI+PFJlY051bT40NTQ4PC9SZWNOdW0+PHJlY29yZD48cmVjLW51bWJlcj40NTQ4PC9yZWMt
bnVtYmVyPjxmb3JlaWduLWtleXM+PGtleSBhcHA9IkVOIiBkYi1pZD0iZnB0OXB0dHJtNXpmc2Fl
c3A5ZnBzZGR2MDlld3N2NXhld2ZkIiB0aW1lc3RhbXA9IjE1MjM4NDI1ODciPjQ1NDg8L2tleT48
a2V5IGFwcD0iRU5XZWIiIGRiLWlkPSIiPjA8L2tleT48L2ZvcmVpZ24ta2V5cz48cmVmLXR5cGUg
bmFtZT0iSm91cm5hbCBBcnRpY2xlIj4xNzwvcmVmLXR5cGU+PGNvbnRyaWJ1dG9ycz48YXV0aG9y
cz48YXV0aG9yPktlcnIsIERhbmllbGU8L2F1dGhvcj48YXV0aG9yPlRvdXl6LCBSaGlhbjwvYXV0
aG9yPjxhdXRob3I+RGVsbGVzLCBDaHJpc3RpYW48L2F1dGhvcj48L2F1dGhvcnM+PC9jb250cmli
dXRvcnM+PHRpdGxlcz48dGl0bGU+VGhlIGltbWVkaWF0ZSBlZmZlY3RzIG9mIGVsZWN0cm9uaWMg
Y2lnYXJldHRlIHVzZSBhbmQgdG9iYWNjbyBzbW9raW5nIG9uIHZhc2N1bGFyIGFuZCByZXNwaXJh
dG9yeSBmdW5jdGlvbiBpbiBoZWFsdGh5IHZvbHVudGVlcnM6IGEgY3Jvc3NvdmVyIHN0dWR5PC90
aXRsZT48c2Vjb25kYXJ5LXRpdGxlPkpvdXJuYWwgb2YgSHVtYW4gSHlwZXJ0ZW5zaW9uPC9zZWNv
bmRhcnktdGl0bGU+PC90aXRsZXM+PHBlcmlvZGljYWw+PGZ1bGwtdGl0bGU+Sm91cm5hbCBvZiBI
dW1hbiBIeXBlcnRlbnNpb248L2Z1bGwtdGl0bGU+PC9wZXJpb2RpY2FsPjxwYWdlcz42NjItNjYy
PC9wYWdlcz48dm9sdW1lPjMxPC92b2x1bWU+PG51bWJlcj4xMDwvbnVtYmVyPjxkYXRlcz48eWVh
cj4yMDE3PC95ZWFyPjxwdWItZGF0ZXM+PGRhdGU+T2N0PC9kYXRlPjwvcHViLWRhdGVzPjwvZGF0
ZXM+PGlzYm4+MDk1MC05MjQwPC9pc2JuPjxhY2Nlc3Npb24tbnVtPldPUzowMDA0MTIyMTk0MDAw
MjA8L2FjY2Vzc2lvbi1udW0+PHVybHM+PHJlbGF0ZWQtdXJscz48dXJsPiZsdDtHbyB0byBJU0km
Z3Q7Oi8vV09TOjAwMDQxMjIxOTQwMDAyMDwvdXJsPjwvcmVsYXRlZC11cmxzPjwvdXJscz48L3Jl
Y29yZD48L0NpdGU+PENpdGU+PEF1dGhvcj5XYWxlbGU8L0F1dGhvcj48WWVhcj4yMDE4PC9ZZWFy
PjxSZWNOdW0+MTg2PC9SZWNOdW0+PHJlY29yZD48cmVjLW51bWJlcj4xODY8L3JlYy1udW1iZXI+
PGZvcmVpZ24ta2V5cz48a2V5IGFwcD0iRU4iIGRiLWlkPSI1eHY1dzV0MmJkeHR4ZmV6eDAyeHR4
ZGZ0NXJ6NXB0dnZ0MjkiIHRpbWVzdGFtcD0iMTUyMDU2ODQyMCI+MTg2PC9rZXk+PGtleSBhcHA9
IkVOV2ViIiBkYi1pZD0iIj4wPC9rZXk+PC9mb3JlaWduLWtleXM+PHJlZi10eXBlIG5hbWU9Ikpv
dXJuYWwgQXJ0aWNsZSI+MTc8L3JlZi10eXBlPjxjb250cmlidXRvcnM+PGF1dGhvcnM+PGF1dGhv
cj5XYWxlbGUsIFQuPC9hdXRob3I+PGF1dGhvcj5CdXNoLCBKLjwvYXV0aG9yPjxhdXRob3I+S29j
aCwgQS48L2F1dGhvcj48YXV0aG9yPlNhdmlveiwgUi48L2F1dGhvcj48YXV0aG9yPk1hcnRpbiwg
Qy48L2F1dGhvcj48YXV0aG9yPk8mYXBvcztDb25uZWxsLCBHLjwvYXV0aG9yPjwvYXV0aG9ycz48
L2NvbnRyaWJ1dG9ycz48YXV0aC1hZGRyZXNzPkZvbnRlbSBWZW50dXJlcywgQmFyYmFyYSBTdHJv
enppbGFhbiAxMDEsIDEwODMgSE4gQW1zdGVyZGFtLCBUaGUgTmV0aGVybGFuZHMuIEVsZWN0cm9u
aWMgYWRkcmVzczogdGFudmlyLndhbGVsZUBmb250ZW12ZW50dXJlcy5jb20uJiN4RDtDb3ZhbmNl
IENsaW5pY2FsIFJlc2VhcmNoIFVuaXQsIEh5ZGUgU3RyZWV0LCBMZWVkcywgTFMyIDlMSCwgVUsu
JiN4RDtTaW1iZWMgUmVzZWFyY2gsIE1lcnRoeXIgVHlkZmlsLCBDRjQ4IDREUiwgVUsuJiN4RDtD
bGlub3BzaXMgUy5BLiwgSmFyZGlucyA2LCAxNDI2IENvbmNpc2UsIFN3aXR6ZXJsYW5kLiYjeEQ7
Rm9udGVtIFZlbnR1cmVzLCBCYXJiYXJhIFN0cm96emlsYWFuIDEwMSwgMTA4MyBITiBBbXN0ZXJk
YW0sIFRoZSBOZXRoZXJsYW5kcy48L2F1dGgtYWRkcmVzcz48dGl0bGVzPjx0aXRsZT5FdmFsdWF0
aW9uIG9mIHRoZSBzYWZldHkgcHJvZmlsZSBvZiBhbiBlbGVjdHJvbmljIHZhcG91ciBwcm9kdWN0
IHVzZWQgZm9yIHR3byB5ZWFycyBieSBzbW9rZXJzIGluIGEgcmVhbC1saWZlIHNldHRpbmc8L3Rp
dGxlPjxzZWNvbmRhcnktdGl0bGU+UmVndWwgVG94aWNvbCBQaGFybWFjb2w8L3NlY29uZGFyeS10
aXRsZT48YWx0LXRpdGxlPlJlZ3VsYXRvcnkgdG94aWNvbG9neSBhbmQgcGhhcm1hY29sb2d5IDog
UlRQPC9hbHQtdGl0bGU+PC90aXRsZXM+PHBlcmlvZGljYWw+PGZ1bGwtdGl0bGU+UmVndWwgVG94
aWNvbCBQaGFybWFjb2w8L2Z1bGwtdGl0bGU+PGFiYnItMT5SZWd1bGF0b3J5IHRveGljb2xvZ3kg
YW5kIHBoYXJtYWNvbG9neSA6IFJUUDwvYWJici0xPjwvcGVyaW9kaWNhbD48YWx0LXBlcmlvZGlj
YWw+PGZ1bGwtdGl0bGU+UmVndWwgVG94aWNvbCBQaGFybWFjb2w8L2Z1bGwtdGl0bGU+PGFiYnIt
MT5SZWd1bGF0b3J5IHRveGljb2xvZ3kgYW5kIHBoYXJtYWNvbG9neSA6IFJUUDwvYWJici0xPjwv
YWx0LXBlcmlvZGljYWw+PHBhZ2VzPjIyNi0yMzg8L3BhZ2VzPjx2b2x1bWU+OTI8L3ZvbHVtZT48
ZWRpdGlvbj4yMDE3LzEyLzE5PC9lZGl0aW9uPjxrZXl3b3Jkcz48a2V5d29yZD5BZHZlcnNlIGV2
ZW50czwva2V5d29yZD48a2V5d29yZD5CaW9tYXJrZXJzIG9mIGV4cG9zdXJlPC9rZXl3b3JkPjxr
ZXl3b3JkPkNsaW5pY2FsIHN0dWR5PC9rZXl3b3JkPjxrZXl3b3JkPkVsZWN0cm9uaWMgY2lnYXJl
dHRlPC9rZXl3b3JkPjxrZXl3b3JkPkVsZWN0cm9uaWMgdmFwb3VyIHByb2R1Y3Q8L2tleXdvcmQ+
PGtleXdvcmQ+U2FmZXR5PC9rZXl3b3JkPjxrZXl3b3JkPlN1YmplY3RpdmUgZWZmZWN0czwva2V5
d29yZD48L2tleXdvcmRzPjxkYXRlcz48eWVhcj4yMDE4PC95ZWFyPjxwdWItZGF0ZXM+PGRhdGU+
RmViPC9kYXRlPjwvcHViLWRhdGVzPjwvZGF0ZXM+PGlzYm4+MDI3My0yMzAwPC9pc2JuPjxhY2Nl
c3Npb24tbnVtPjI5MjQ4NDg3PC9hY2Nlc3Npb24tbnVtPjx1cmxzPjwvdXJscz48ZWxlY3Ryb25p
Yy1yZXNvdXJjZS1udW0+MTAuMTAxNi9qLnlydHBoLjIwMTcuMTIuMDEwPC9lbGVjdHJvbmljLXJl
c291cmNlLW51bT48cmVtb3RlLWRhdGFiYXNlLXByb3ZpZGVyPk5MTTwvcmVtb3RlLWRhdGFiYXNl
LXByb3ZpZGVyPjxsYW5ndWFnZT5lbmc8L2xhbmd1YWdlPjwvcmVjb3JkPjwvQ2l0ZT48L0VuZE5v
dGU+AG==
</w:fldData>
        </w:fldChar>
      </w:r>
      <w:r w:rsidRPr="00430400">
        <w:rPr>
          <w:sz w:val="24"/>
        </w:rPr>
        <w:instrText xml:space="preserve"> ADDIN EN.CITE </w:instrText>
      </w:r>
      <w:r w:rsidRPr="00430400">
        <w:rPr>
          <w:sz w:val="24"/>
        </w:rPr>
        <w:fldChar w:fldCharType="begin">
          <w:fldData xml:space="preserve">PEVuZE5vdGU+PENpdGU+PEF1dGhvcj5EJmFwb3M7UnVpejwvQXV0aG9yPjxZZWFyPjIwMTc8L1ll
YXI+PFJlY051bT4zMzk4PC9SZWNOdW0+PERpc3BsYXlUZXh0PihEJmFwb3M7UnVpeiwgTyZhcG9z
O0Nvbm5lbGwgZXQgYWwuIDIwMTcsIEtlcnIsIFRvdXl6IGV0IGFsLiAyMDE3LCBXYWxlbGUsIEJ1
c2ggZXQgYWwuIDIwMTgpPC9EaXNwbGF5VGV4dD48cmVjb3JkPjxyZWMtbnVtYmVyPjMzOTg8L3Jl
Yy1udW1iZXI+PGZvcmVpZ24ta2V5cz48a2V5IGFwcD0iRU4iIGRiLWlkPSJmcHQ5cHR0cm01emZz
YWVzcDlmcHNkZHYwOWV3c3Y1eGV3ZmQiIHRpbWVzdGFtcD0iMTUyMzg0MDY0NiI+MzM5ODwva2V5
PjxrZXkgYXBwPSJFTldlYiIgZGItaWQ9IiI+MDwva2V5PjwvZm9yZWlnbi1rZXlzPjxyZWYtdHlw
ZSBuYW1lPSJKb3VybmFsIEFydGljbGUiPjE3PC9yZWYtdHlwZT48Y29udHJpYnV0b3JzPjxhdXRo
b3JzPjxhdXRob3I+RCZhcG9zO1J1aXosIEMuIEQuPC9hdXRob3I+PGF1dGhvcj5PJmFwb3M7Q29u
bmVsbCwgRy48L2F1dGhvcj48YXV0aG9yPkdyYWZmLCBELiBXLjwvYXV0aG9yPjxhdXRob3I+WWFu
LCBYLiBTLjwvYXV0aG9yPjwvYXV0aG9ycz48L2NvbnRyaWJ1dG9ycz48YXV0aC1hZGRyZXNzPkNs
aW5pY2FsIFN0dWR5IENvbnN1bHRhbnQsIEZvbnRlbSBWZW50dXJlcywgR3JlZW5zYm9ybywgTkMs
IFVTQS4gRWxlY3Ryb25pYyBhZGRyZXNzOiBjYXJsZHJ1aXpAZ21haWwuY29tLiYjeEQ7Rm9udGVt
IFZlbnR1cmVzLCBTY2llbnRpZmljIGFuZCBSZWd1bGF0b3J5IEFmZmFpcnMsIEFtc3RlcmRhbSwg
VGhlIE5ldGhlcmxhbmRzLiBFbGVjdHJvbmljIGFkZHJlc3M6IGdyYW50Lm9jb25uZWxsQGZvbnRl
bXZlbnR1cmVzLmNvbS4mI3hEO0NlbGVyaW9uLCBMaW5jb2xuLCBORSwgVVNBLiBFbGVjdHJvbmlj
IGFkZHJlc3M6IERvbmFsZC5ncmFmZkBjZWxlcmlvbi5jb20uJiN4RDtMb3JpbGxhcmQgVG9iYWNj
byBDb21wYW55IChmb3JtZXJseSksIEdyZWVuc2Jvcm8sIE5DLCBVU0EuIEVsZWN0cm9uaWMgYWRk
cmVzczogeHlhbjEyMDlAZ21haWwuY29tLjwvYXV0aC1hZGRyZXNzPjx0aXRsZXM+PHRpdGxlPk1l
YXN1cmVtZW50IG9mIGNhcmRpb3Zhc2N1bGFyIGFuZCBwdWxtb25hcnkgZnVuY3Rpb24gZW5kcG9p
bnRzIGFuZCBvdGhlciBwaHlzaW9sb2dpY2FsIGVmZmVjdHMgZm9sbG93aW5nIHBhcnRpYWwgb3Ig
Y29tcGxldGUgc3Vic3RpdHV0aW9uIG9mIGNpZ2FyZXR0ZXMgd2l0aCBlbGVjdHJvbmljIGNpZ2Fy
ZXR0ZXMgaW4gYWR1bHQgc21va2VyczwvdGl0bGU+PHNlY29uZGFyeS10aXRsZT5SZWd1bCBUb3hp
Y29sIFBoYXJtYWNvbDwvc2Vjb25kYXJ5LXRpdGxlPjxhbHQtdGl0bGU+UmVndWxhdG9yeSB0b3hp
Y29sb2d5IGFuZCBwaGFybWFjb2xvZ3kgOiBSVFA8L2FsdC10aXRsZT48L3RpdGxlcz48cGVyaW9k
aWNhbD48ZnVsbC10aXRsZT5SZWd1bCBUb3hpY29sIFBoYXJtYWNvbDwvZnVsbC10aXRsZT48YWJi
ci0xPlJlZ3VsYXRvcnkgdG94aWNvbG9neSBhbmQgcGhhcm1hY29sb2d5IDogUlRQPC9hYmJyLTE+
PC9wZXJpb2RpY2FsPjxhbHQtcGVyaW9kaWNhbD48ZnVsbC10aXRsZT5SZWd1bCBUb3hpY29sIFBo
YXJtYWNvbDwvZnVsbC10aXRsZT48YWJici0xPlJlZ3VsYXRvcnkgdG94aWNvbG9neSBhbmQgcGhh
cm1hY29sb2d5IDogUlRQPC9hYmJyLTE+PC9hbHQtcGVyaW9kaWNhbD48cGFnZXM+MzYtNTM8L3Bh
Z2VzPjx2b2x1bWU+ODc8L3ZvbHVtZT48ZWRpdGlvbj4yMDE3LzA1LzEwPC9lZGl0aW9uPjxrZXl3
b3Jkcz48a2V5d29yZD5BZHZlcnNlIGVmZmVjdHM8L2tleXdvcmQ+PGtleXdvcmQ+Q2FyZGlvdmFz
Y3VsYXIgZWZmZWN0czwva2V5d29yZD48a2V5d29yZD5FLWNpZ2FyZXR0ZTwva2V5d29yZD48a2V5
d29yZD5FeGNsdXNpdmUgYW5kIGR1YWwgdXNlPC9rZXl3b3JkPjxrZXl3b3JkPkhhcm0gcmVkdWN0
aW9uPC9rZXl3b3JkPjxrZXl3b3JkPlBoeXNpb2xvZ2ljYWwgZWZmZWN0czwva2V5d29yZD48a2V5
d29yZD5QdWxtb25hcnkgZWZmZWN0czwva2V5d29yZD48L2tleXdvcmRzPjxkYXRlcz48eWVhcj4y
MDE3PC95ZWFyPjxwdWItZGF0ZXM+PGRhdGU+SnVsPC9kYXRlPjwvcHViLWRhdGVzPjwvZGF0ZXM+
PGlzYm4+MDI3My0yMzAwPC9pc2JuPjxhY2Nlc3Npb24tbnVtPjI4NDc2NTUzPC9hY2Nlc3Npb24t
bnVtPjx1cmxzPjwvdXJscz48ZWxlY3Ryb25pYy1yZXNvdXJjZS1udW0+MTAuMTAxNi9qLnlydHBo
LjIwMTcuMDUuMDAyPC9lbGVjdHJvbmljLXJlc291cmNlLW51bT48cmVtb3RlLWRhdGFiYXNlLXBy
b3ZpZGVyPk5MTTwvcmVtb3RlLWRhdGFiYXNlLXByb3ZpZGVyPjxsYW5ndWFnZT5lbmc8L2xhbmd1
YWdlPjwvcmVjb3JkPjwvQ2l0ZT48Q2l0ZT48QXV0aG9yPktlcnI8L0F1dGhvcj48WWVhcj4yMDE3
PC9ZZWFyPjxSZWNOdW0+NDU0ODwvUmVjTnVtPjxyZWNvcmQ+PHJlYy1udW1iZXI+NDU0ODwvcmVj
LW51bWJlcj48Zm9yZWlnbi1rZXlzPjxrZXkgYXBwPSJFTiIgZGItaWQ9ImZwdDlwdHRybTV6ZnNh
ZXNwOWZwc2RkdjA5ZXdzdjV4ZXdmZCIgdGltZXN0YW1wPSIxNTIzODQyNTg3Ij40NTQ4PC9rZXk+
PGtleSBhcHA9IkVOV2ViIiBkYi1pZD0iIj4wPC9rZXk+PC9mb3JlaWduLWtleXM+PHJlZi10eXBl
IG5hbWU9IkpvdXJuYWwgQXJ0aWNsZSI+MTc8L3JlZi10eXBlPjxjb250cmlidXRvcnM+PGF1dGhv
cnM+PGF1dGhvcj5LZXJyLCBEYW5pZWxlPC9hdXRob3I+PGF1dGhvcj5Ub3V5eiwgUmhpYW48L2F1
dGhvcj48YXV0aG9yPkRlbGxlcywgQ2hyaXN0aWFuPC9hdXRob3I+PC9hdXRob3JzPjwvY29udHJp
YnV0b3JzPjx0aXRsZXM+PHRpdGxlPlRoZSBpbW1lZGlhdGUgZWZmZWN0cyBvZiBlbGVjdHJvbmlj
IGNpZ2FyZXR0ZSB1c2UgYW5kIHRvYmFjY28gc21va2luZyBvbiB2YXNjdWxhciBhbmQgcmVzcGly
YXRvcnkgZnVuY3Rpb24gaW4gaGVhbHRoeSB2b2x1bnRlZXJzOiBhIGNyb3Nzb3ZlciBzdHVkeTwv
dGl0bGU+PHNlY29uZGFyeS10aXRsZT5Kb3VybmFsIG9mIEh1bWFuIEh5cGVydGVuc2lvbjwvc2Vj
b25kYXJ5LXRpdGxlPjwvdGl0bGVzPjxwZXJpb2RpY2FsPjxmdWxsLXRpdGxlPkpvdXJuYWwgb2Yg
SHVtYW4gSHlwZXJ0ZW5zaW9uPC9mdWxsLXRpdGxlPjwvcGVyaW9kaWNhbD48cGFnZXM+NjYyLTY2
MjwvcGFnZXM+PHZvbHVtZT4zMTwvdm9sdW1lPjxudW1iZXI+MTA8L251bWJlcj48ZGF0ZXM+PHll
YXI+MjAxNzwveWVhcj48cHViLWRhdGVzPjxkYXRlPk9jdDwvZGF0ZT48L3B1Yi1kYXRlcz48L2Rh
dGVzPjxpc2JuPjA5NTAtOTI0MDwvaXNibj48YWNjZXNzaW9uLW51bT5XT1M6MDAwNDEyMjE5NDAw
MDIwPC9hY2Nlc3Npb24tbnVtPjx1cmxzPjxyZWxhdGVkLXVybHM+PHVybD4mbHQ7R28gdG8gSVNJ
Jmd0OzovL1dPUzowMDA0MTIyMTk0MDAwMjA8L3VybD48L3JlbGF0ZWQtdXJscz48L3VybHM+PC9y
ZWNvcmQ+PC9DaXRlPjxDaXRlPjxBdXRob3I+RCZhcG9zO1J1aXo8L0F1dGhvcj48WWVhcj4yMDE3
PC9ZZWFyPjxSZWNOdW0+MzM5ODwvUmVjTnVtPjxyZWNvcmQ+PHJlYy1udW1iZXI+MzM5ODwvcmVj
LW51bWJlcj48Zm9yZWlnbi1rZXlzPjxrZXkgYXBwPSJFTiIgZGItaWQ9ImZwdDlwdHRybTV6ZnNh
ZXNwOWZwc2RkdjA5ZXdzdjV4ZXdmZCIgdGltZXN0YW1wPSIxNTIzODQwNjQ2Ij4zMzk4PC9rZXk+
PGtleSBhcHA9IkVOV2ViIiBkYi1pZD0iIj4wPC9rZXk+PC9mb3JlaWduLWtleXM+PHJlZi10eXBl
IG5hbWU9IkpvdXJuYWwgQXJ0aWNsZSI+MTc8L3JlZi10eXBlPjxjb250cmlidXRvcnM+PGF1dGhv
cnM+PGF1dGhvcj5EJmFwb3M7UnVpeiwgQy4gRC48L2F1dGhvcj48YXV0aG9yPk8mYXBvcztDb25u
ZWxsLCBHLjwvYXV0aG9yPjxhdXRob3I+R3JhZmYsIEQuIFcuPC9hdXRob3I+PGF1dGhvcj5ZYW4s
IFguIFMuPC9hdXRob3I+PC9hdXRob3JzPjwvY29udHJpYnV0b3JzPjxhdXRoLWFkZHJlc3M+Q2xp
bmljYWwgU3R1ZHkgQ29uc3VsdGFudCwgRm9udGVtIFZlbnR1cmVzLCBHcmVlbnNib3JvLCBOQywg
VVNBLiBFbGVjdHJvbmljIGFkZHJlc3M6IGNhcmxkcnVpekBnbWFpbC5jb20uJiN4RDtGb250ZW0g
VmVudHVyZXMsIFNjaWVudGlmaWMgYW5kIFJlZ3VsYXRvcnkgQWZmYWlycywgQW1zdGVyZGFtLCBU
aGUgTmV0aGVybGFuZHMuIEVsZWN0cm9uaWMgYWRkcmVzczogZ3JhbnQub2Nvbm5lbGxAZm9udGVt
dmVudHVyZXMuY29tLiYjeEQ7Q2VsZXJpb24sIExpbmNvbG4sIE5FLCBVU0EuIEVsZWN0cm9uaWMg
YWRkcmVzczogRG9uYWxkLmdyYWZmQGNlbGVyaW9uLmNvbS4mI3hEO0xvcmlsbGFyZCBUb2JhY2Nv
IENvbXBhbnkgKGZvcm1lcmx5KSwgR3JlZW5zYm9ybywgTkMsIFVTQS4gRWxlY3Ryb25pYyBhZGRy
ZXNzOiB4eWFuMTIwOUBnbWFpbC5jb20uPC9hdXRoLWFkZHJlc3M+PHRpdGxlcz48dGl0bGU+TWVh
c3VyZW1lbnQgb2YgY2FyZGlvdmFzY3VsYXIgYW5kIHB1bG1vbmFyeSBmdW5jdGlvbiBlbmRwb2lu
dHMgYW5kIG90aGVyIHBoeXNpb2xvZ2ljYWwgZWZmZWN0cyBmb2xsb3dpbmcgcGFydGlhbCBvciBj
b21wbGV0ZSBzdWJzdGl0dXRpb24gb2YgY2lnYXJldHRlcyB3aXRoIGVsZWN0cm9uaWMgY2lnYXJl
dHRlcyBpbiBhZHVsdCBzbW9rZXJzPC90aXRsZT48c2Vjb25kYXJ5LXRpdGxlPlJlZ3VsIFRveGlj
b2wgUGhhcm1hY29sPC9zZWNvbmRhcnktdGl0bGU+PGFsdC10aXRsZT5SZWd1bGF0b3J5IHRveGlj
b2xvZ3kgYW5kIHBoYXJtYWNvbG9neSA6IFJUUDwvYWx0LXRpdGxlPjwvdGl0bGVzPjxwZXJpb2Rp
Y2FsPjxmdWxsLXRpdGxlPlJlZ3VsIFRveGljb2wgUGhhcm1hY29sPC9mdWxsLXRpdGxlPjxhYmJy
LTE+UmVndWxhdG9yeSB0b3hpY29sb2d5IGFuZCBwaGFybWFjb2xvZ3kgOiBSVFA8L2FiYnItMT48
L3BlcmlvZGljYWw+PGFsdC1wZXJpb2RpY2FsPjxmdWxsLXRpdGxlPlJlZ3VsIFRveGljb2wgUGhh
cm1hY29sPC9mdWxsLXRpdGxlPjxhYmJyLTE+UmVndWxhdG9yeSB0b3hpY29sb2d5IGFuZCBwaGFy
bWFjb2xvZ3kgOiBSVFA8L2FiYnItMT48L2FsdC1wZXJpb2RpY2FsPjxwYWdlcz4zNi01MzwvcGFn
ZXM+PHZvbHVtZT44Nzwvdm9sdW1lPjxlZGl0aW9uPjIwMTcvMDUvMTA8L2VkaXRpb24+PGtleXdv
cmRzPjxrZXl3b3JkPkFkdmVyc2UgZWZmZWN0czwva2V5d29yZD48a2V5d29yZD5DYXJkaW92YXNj
dWxhciBlZmZlY3RzPC9rZXl3b3JkPjxrZXl3b3JkPkUtY2lnYXJldHRlPC9rZXl3b3JkPjxrZXl3
b3JkPkV4Y2x1c2l2ZSBhbmQgZHVhbCB1c2U8L2tleXdvcmQ+PGtleXdvcmQ+SGFybSByZWR1Y3Rp
b248L2tleXdvcmQ+PGtleXdvcmQ+UGh5c2lvbG9naWNhbCBlZmZlY3RzPC9rZXl3b3JkPjxrZXl3
b3JkPlB1bG1vbmFyeSBlZmZlY3RzPC9rZXl3b3JkPjwva2V5d29yZHM+PGRhdGVzPjx5ZWFyPjIw
MTc8L3llYXI+PHB1Yi1kYXRlcz48ZGF0ZT5KdWw8L2RhdGU+PC9wdWItZGF0ZXM+PC9kYXRlcz48
aXNibj4wMjczLTIzMDA8L2lzYm4+PGFjY2Vzc2lvbi1udW0+Mjg0NzY1NTM8L2FjY2Vzc2lvbi1u
dW0+PHVybHM+PC91cmxzPjxlbGVjdHJvbmljLXJlc291cmNlLW51bT4xMC4xMDE2L2oueXJ0cGgu
MjAxNy4wNS4wMDI8L2VsZWN0cm9uaWMtcmVzb3VyY2UtbnVtPjxyZW1vdGUtZGF0YWJhc2UtcHJv
dmlkZXI+TkxNPC9yZW1vdGUtZGF0YWJhc2UtcHJvdmlkZXI+PGxhbmd1YWdlPmVuZzwvbGFuZ3Vh
Z2U+PC9yZWNvcmQ+PC9DaXRlPjxDaXRlPjxBdXRob3I+S2VycjwvQXV0aG9yPjxZZWFyPjIwMTc8
L1llYXI+PFJlY051bT40NTQ4PC9SZWNOdW0+PHJlY29yZD48cmVjLW51bWJlcj40NTQ4PC9yZWMt
bnVtYmVyPjxmb3JlaWduLWtleXM+PGtleSBhcHA9IkVOIiBkYi1pZD0iZnB0OXB0dHJtNXpmc2Fl
c3A5ZnBzZGR2MDlld3N2NXhld2ZkIiB0aW1lc3RhbXA9IjE1MjM4NDI1ODciPjQ1NDg8L2tleT48
a2V5IGFwcD0iRU5XZWIiIGRiLWlkPSIiPjA8L2tleT48L2ZvcmVpZ24ta2V5cz48cmVmLXR5cGUg
bmFtZT0iSm91cm5hbCBBcnRpY2xlIj4xNzwvcmVmLXR5cGU+PGNvbnRyaWJ1dG9ycz48YXV0aG9y
cz48YXV0aG9yPktlcnIsIERhbmllbGU8L2F1dGhvcj48YXV0aG9yPlRvdXl6LCBSaGlhbjwvYXV0
aG9yPjxhdXRob3I+RGVsbGVzLCBDaHJpc3RpYW48L2F1dGhvcj48L2F1dGhvcnM+PC9jb250cmli
dXRvcnM+PHRpdGxlcz48dGl0bGU+VGhlIGltbWVkaWF0ZSBlZmZlY3RzIG9mIGVsZWN0cm9uaWMg
Y2lnYXJldHRlIHVzZSBhbmQgdG9iYWNjbyBzbW9raW5nIG9uIHZhc2N1bGFyIGFuZCByZXNwaXJh
dG9yeSBmdW5jdGlvbiBpbiBoZWFsdGh5IHZvbHVudGVlcnM6IGEgY3Jvc3NvdmVyIHN0dWR5PC90
aXRsZT48c2Vjb25kYXJ5LXRpdGxlPkpvdXJuYWwgb2YgSHVtYW4gSHlwZXJ0ZW5zaW9uPC9zZWNv
bmRhcnktdGl0bGU+PC90aXRsZXM+PHBlcmlvZGljYWw+PGZ1bGwtdGl0bGU+Sm91cm5hbCBvZiBI
dW1hbiBIeXBlcnRlbnNpb248L2Z1bGwtdGl0bGU+PC9wZXJpb2RpY2FsPjxwYWdlcz42NjItNjYy
PC9wYWdlcz48dm9sdW1lPjMxPC92b2x1bWU+PG51bWJlcj4xMDwvbnVtYmVyPjxkYXRlcz48eWVh
cj4yMDE3PC95ZWFyPjxwdWItZGF0ZXM+PGRhdGU+T2N0PC9kYXRlPjwvcHViLWRhdGVzPjwvZGF0
ZXM+PGlzYm4+MDk1MC05MjQwPC9pc2JuPjxhY2Nlc3Npb24tbnVtPldPUzowMDA0MTIyMTk0MDAw
MjA8L2FjY2Vzc2lvbi1udW0+PHVybHM+PHJlbGF0ZWQtdXJscz48dXJsPiZsdDtHbyB0byBJU0km
Z3Q7Oi8vV09TOjAwMDQxMjIxOTQwMDAyMDwvdXJsPjwvcmVsYXRlZC11cmxzPjwvdXJscz48L3Jl
Y29yZD48L0NpdGU+PENpdGU+PEF1dGhvcj5XYWxlbGU8L0F1dGhvcj48WWVhcj4yMDE4PC9ZZWFy
PjxSZWNOdW0+MTg2PC9SZWNOdW0+PHJlY29yZD48cmVjLW51bWJlcj4xODY8L3JlYy1udW1iZXI+
PGZvcmVpZ24ta2V5cz48a2V5IGFwcD0iRU4iIGRiLWlkPSI1eHY1dzV0MmJkeHR4ZmV6eDAyeHR4
ZGZ0NXJ6NXB0dnZ0MjkiIHRpbWVzdGFtcD0iMTUyMDU2ODQyMCI+MTg2PC9rZXk+PGtleSBhcHA9
IkVOV2ViIiBkYi1pZD0iIj4wPC9rZXk+PC9mb3JlaWduLWtleXM+PHJlZi10eXBlIG5hbWU9Ikpv
dXJuYWwgQXJ0aWNsZSI+MTc8L3JlZi10eXBlPjxjb250cmlidXRvcnM+PGF1dGhvcnM+PGF1dGhv
cj5XYWxlbGUsIFQuPC9hdXRob3I+PGF1dGhvcj5CdXNoLCBKLjwvYXV0aG9yPjxhdXRob3I+S29j
aCwgQS48L2F1dGhvcj48YXV0aG9yPlNhdmlveiwgUi48L2F1dGhvcj48YXV0aG9yPk1hcnRpbiwg
Qy48L2F1dGhvcj48YXV0aG9yPk8mYXBvcztDb25uZWxsLCBHLjwvYXV0aG9yPjwvYXV0aG9ycz48
L2NvbnRyaWJ1dG9ycz48YXV0aC1hZGRyZXNzPkZvbnRlbSBWZW50dXJlcywgQmFyYmFyYSBTdHJv
enppbGFhbiAxMDEsIDEwODMgSE4gQW1zdGVyZGFtLCBUaGUgTmV0aGVybGFuZHMuIEVsZWN0cm9u
aWMgYWRkcmVzczogdGFudmlyLndhbGVsZUBmb250ZW12ZW50dXJlcy5jb20uJiN4RDtDb3ZhbmNl
IENsaW5pY2FsIFJlc2VhcmNoIFVuaXQsIEh5ZGUgU3RyZWV0LCBMZWVkcywgTFMyIDlMSCwgVUsu
JiN4RDtTaW1iZWMgUmVzZWFyY2gsIE1lcnRoeXIgVHlkZmlsLCBDRjQ4IDREUiwgVUsuJiN4RDtD
bGlub3BzaXMgUy5BLiwgSmFyZGlucyA2LCAxNDI2IENvbmNpc2UsIFN3aXR6ZXJsYW5kLiYjeEQ7
Rm9udGVtIFZlbnR1cmVzLCBCYXJiYXJhIFN0cm96emlsYWFuIDEwMSwgMTA4MyBITiBBbXN0ZXJk
YW0sIFRoZSBOZXRoZXJsYW5kcy48L2F1dGgtYWRkcmVzcz48dGl0bGVzPjx0aXRsZT5FdmFsdWF0
aW9uIG9mIHRoZSBzYWZldHkgcHJvZmlsZSBvZiBhbiBlbGVjdHJvbmljIHZhcG91ciBwcm9kdWN0
IHVzZWQgZm9yIHR3byB5ZWFycyBieSBzbW9rZXJzIGluIGEgcmVhbC1saWZlIHNldHRpbmc8L3Rp
dGxlPjxzZWNvbmRhcnktdGl0bGU+UmVndWwgVG94aWNvbCBQaGFybWFjb2w8L3NlY29uZGFyeS10
aXRsZT48YWx0LXRpdGxlPlJlZ3VsYXRvcnkgdG94aWNvbG9neSBhbmQgcGhhcm1hY29sb2d5IDog
UlRQPC9hbHQtdGl0bGU+PC90aXRsZXM+PHBlcmlvZGljYWw+PGZ1bGwtdGl0bGU+UmVndWwgVG94
aWNvbCBQaGFybWFjb2w8L2Z1bGwtdGl0bGU+PGFiYnItMT5SZWd1bGF0b3J5IHRveGljb2xvZ3kg
YW5kIHBoYXJtYWNvbG9neSA6IFJUUDwvYWJici0xPjwvcGVyaW9kaWNhbD48YWx0LXBlcmlvZGlj
YWw+PGZ1bGwtdGl0bGU+UmVndWwgVG94aWNvbCBQaGFybWFjb2w8L2Z1bGwtdGl0bGU+PGFiYnIt
MT5SZWd1bGF0b3J5IHRveGljb2xvZ3kgYW5kIHBoYXJtYWNvbG9neSA6IFJUUDwvYWJici0xPjwv
YWx0LXBlcmlvZGljYWw+PHBhZ2VzPjIyNi0yMzg8L3BhZ2VzPjx2b2x1bWU+OTI8L3ZvbHVtZT48
ZWRpdGlvbj4yMDE3LzEyLzE5PC9lZGl0aW9uPjxrZXl3b3Jkcz48a2V5d29yZD5BZHZlcnNlIGV2
ZW50czwva2V5d29yZD48a2V5d29yZD5CaW9tYXJrZXJzIG9mIGV4cG9zdXJlPC9rZXl3b3JkPjxr
ZXl3b3JkPkNsaW5pY2FsIHN0dWR5PC9rZXl3b3JkPjxrZXl3b3JkPkVsZWN0cm9uaWMgY2lnYXJl
dHRlPC9rZXl3b3JkPjxrZXl3b3JkPkVsZWN0cm9uaWMgdmFwb3VyIHByb2R1Y3Q8L2tleXdvcmQ+
PGtleXdvcmQ+U2FmZXR5PC9rZXl3b3JkPjxrZXl3b3JkPlN1YmplY3RpdmUgZWZmZWN0czwva2V5
d29yZD48L2tleXdvcmRzPjxkYXRlcz48eWVhcj4yMDE4PC95ZWFyPjxwdWItZGF0ZXM+PGRhdGU+
RmViPC9kYXRlPjwvcHViLWRhdGVzPjwvZGF0ZXM+PGlzYm4+MDI3My0yMzAwPC9pc2JuPjxhY2Nl
c3Npb24tbnVtPjI5MjQ4NDg3PC9hY2Nlc3Npb24tbnVtPjx1cmxzPjwvdXJscz48ZWxlY3Ryb25p
Yy1yZXNvdXJjZS1udW0+MTAuMTAxNi9qLnlydHBoLjIwMTcuMTIuMDEwPC9lbGVjdHJvbmljLXJl
c291cmNlLW51bT48cmVtb3RlLWRhdGFiYXNlLXByb3ZpZGVyPk5MTTwvcmVtb3RlLWRhdGFiYXNl
LXByb3ZpZGVyPjxsYW5ndWFnZT5lbmc8L2xhbmd1YWdlPjwvcmVjb3JkPjwvQ2l0ZT48L0VuZE5v
dGU+AG==
</w:fldData>
        </w:fldChar>
      </w:r>
      <w:r w:rsidRPr="00430400">
        <w:rPr>
          <w:sz w:val="24"/>
        </w:rPr>
        <w:instrText xml:space="preserve"> ADDIN EN.CITE.DATA </w:instrText>
      </w:r>
      <w:r w:rsidRPr="00430400">
        <w:rPr>
          <w:sz w:val="24"/>
        </w:rPr>
      </w:r>
      <w:r w:rsidRPr="00430400">
        <w:rPr>
          <w:sz w:val="24"/>
        </w:rPr>
        <w:fldChar w:fldCharType="end"/>
      </w:r>
      <w:r w:rsidRPr="00430400">
        <w:rPr>
          <w:sz w:val="24"/>
        </w:rPr>
      </w:r>
      <w:r w:rsidRPr="00430400">
        <w:rPr>
          <w:sz w:val="24"/>
        </w:rPr>
        <w:fldChar w:fldCharType="separate"/>
      </w:r>
      <w:r w:rsidRPr="00430400">
        <w:rPr>
          <w:noProof/>
          <w:sz w:val="24"/>
        </w:rPr>
        <w:t>(D'Ruiz, O'Connell et al. 2017, Kerr, Touyz et al. 2017, Walele, Bush et al. 2018)</w:t>
      </w:r>
      <w:r w:rsidRPr="00430400">
        <w:rPr>
          <w:sz w:val="24"/>
        </w:rPr>
        <w:fldChar w:fldCharType="end"/>
      </w:r>
      <w:r w:rsidRPr="00430400">
        <w:rPr>
          <w:sz w:val="24"/>
        </w:rPr>
        <w:t xml:space="preserve">. </w:t>
      </w:r>
    </w:p>
    <w:p w14:paraId="01C2BB3C" w14:textId="77777777" w:rsidR="00430400" w:rsidRPr="00430400" w:rsidRDefault="00430400" w:rsidP="00430400">
      <w:pPr>
        <w:spacing w:before="120" w:line="264" w:lineRule="auto"/>
        <w:rPr>
          <w:sz w:val="24"/>
        </w:rPr>
      </w:pPr>
    </w:p>
    <w:p w14:paraId="2695A7EB" w14:textId="35ECEF3D" w:rsidR="00430400" w:rsidRPr="00430400" w:rsidRDefault="00430400" w:rsidP="00430400">
      <w:pPr>
        <w:spacing w:before="120" w:line="264" w:lineRule="auto"/>
        <w:rPr>
          <w:sz w:val="24"/>
        </w:rPr>
      </w:pPr>
      <w:r w:rsidRPr="00430400">
        <w:rPr>
          <w:sz w:val="24"/>
        </w:rPr>
        <w:t xml:space="preserve">In the UK prospective cohort study by Walele et al. </w:t>
      </w:r>
      <w:r w:rsidRPr="00430400">
        <w:rPr>
          <w:sz w:val="24"/>
        </w:rPr>
        <w:fldChar w:fldCharType="begin">
          <w:fldData xml:space="preserve">PEVuZE5vdGU+PENpdGU+PEF1dGhvcj5XYWxlbGU8L0F1dGhvcj48WWVhcj4yMDE4PC9ZZWFyPjxS
ZWNOdW0+MTg2PC9SZWNOdW0+PERpc3BsYXlUZXh0PihXYWxlbGUsIEJ1c2ggZXQgYWwuIDIwMTgp
PC9EaXNwbGF5VGV4dD48cmVjb3JkPjxyZWMtbnVtYmVyPjE4NjwvcmVjLW51bWJlcj48Zm9yZWln
bi1rZXlzPjxrZXkgYXBwPSJFTiIgZGItaWQ9IjV4djV3NXQyYmR4dHhmZXp4MDJ4dHhkZnQ1cno1
cHR2dnQyOSIgdGltZXN0YW1wPSIxNTIwNTY4NDIwIj4xODY8L2tleT48a2V5IGFwcD0iRU5XZWIi
IGRiLWlkPSIiPjA8L2tleT48L2ZvcmVpZ24ta2V5cz48cmVmLXR5cGUgbmFtZT0iSm91cm5hbCBB
cnRpY2xlIj4xNzwvcmVmLXR5cGU+PGNvbnRyaWJ1dG9ycz48YXV0aG9ycz48YXV0aG9yPldhbGVs
ZSwgVC48L2F1dGhvcj48YXV0aG9yPkJ1c2gsIEouPC9hdXRob3I+PGF1dGhvcj5Lb2NoLCBBLjwv
YXV0aG9yPjxhdXRob3I+U2F2aW96LCBSLjwvYXV0aG9yPjxhdXRob3I+TWFydGluLCBDLjwvYXV0
aG9yPjxhdXRob3I+TyZhcG9zO0Nvbm5lbGwsIEcuPC9hdXRob3I+PC9hdXRob3JzPjwvY29udHJp
YnV0b3JzPjxhdXRoLWFkZHJlc3M+Rm9udGVtIFZlbnR1cmVzLCBCYXJiYXJhIFN0cm96emlsYWFu
IDEwMSwgMTA4MyBITiBBbXN0ZXJkYW0sIFRoZSBOZXRoZXJsYW5kcy4gRWxlY3Ryb25pYyBhZGRy
ZXNzOiB0YW52aXIud2FsZWxlQGZvbnRlbXZlbnR1cmVzLmNvbS4mI3hEO0NvdmFuY2UgQ2xpbmlj
YWwgUmVzZWFyY2ggVW5pdCwgSHlkZSBTdHJlZXQsIExlZWRzLCBMUzIgOUxILCBVSy4mI3hEO1Np
bWJlYyBSZXNlYXJjaCwgTWVydGh5ciBUeWRmaWwsIENGNDggNERSLCBVSy4mI3hEO0NsaW5vcHNp
cyBTLkEuLCBKYXJkaW5zIDYsIDE0MjYgQ29uY2lzZSwgU3dpdHplcmxhbmQuJiN4RDtGb250ZW0g
VmVudHVyZXMsIEJhcmJhcmEgU3Ryb3p6aWxhYW4gMTAxLCAxMDgzIEhOIEFtc3RlcmRhbSwgVGhl
IE5ldGhlcmxhbmRzLjwvYXV0aC1hZGRyZXNzPjx0aXRsZXM+PHRpdGxlPkV2YWx1YXRpb24gb2Yg
dGhlIHNhZmV0eSBwcm9maWxlIG9mIGFuIGVsZWN0cm9uaWMgdmFwb3VyIHByb2R1Y3QgdXNlZCBm
b3IgdHdvIHllYXJzIGJ5IHNtb2tlcnMgaW4gYSByZWFsLWxpZmUgc2V0dGluZzwvdGl0bGU+PHNl
Y29uZGFyeS10aXRsZT5SZWd1bCBUb3hpY29sIFBoYXJtYWNvbDwvc2Vjb25kYXJ5LXRpdGxlPjxh
bHQtdGl0bGU+UmVndWxhdG9yeSB0b3hpY29sb2d5IGFuZCBwaGFybWFjb2xvZ3kgOiBSVFA8L2Fs
dC10aXRsZT48L3RpdGxlcz48cGVyaW9kaWNhbD48ZnVsbC10aXRsZT5SZWd1bCBUb3hpY29sIFBo
YXJtYWNvbDwvZnVsbC10aXRsZT48YWJici0xPlJlZ3VsYXRvcnkgdG94aWNvbG9neSBhbmQgcGhh
cm1hY29sb2d5IDogUlRQPC9hYmJyLTE+PC9wZXJpb2RpY2FsPjxhbHQtcGVyaW9kaWNhbD48ZnVs
bC10aXRsZT5SZWd1bCBUb3hpY29sIFBoYXJtYWNvbDwvZnVsbC10aXRsZT48YWJici0xPlJlZ3Vs
YXRvcnkgdG94aWNvbG9neSBhbmQgcGhhcm1hY29sb2d5IDogUlRQPC9hYmJyLTE+PC9hbHQtcGVy
aW9kaWNhbD48cGFnZXM+MjI2LTIzODwvcGFnZXM+PHZvbHVtZT45Mjwvdm9sdW1lPjxlZGl0aW9u
PjIwMTcvMTIvMTk8L2VkaXRpb24+PGtleXdvcmRzPjxrZXl3b3JkPkFkdmVyc2UgZXZlbnRzPC9r
ZXl3b3JkPjxrZXl3b3JkPkJpb21hcmtlcnMgb2YgZXhwb3N1cmU8L2tleXdvcmQ+PGtleXdvcmQ+
Q2xpbmljYWwgc3R1ZHk8L2tleXdvcmQ+PGtleXdvcmQ+RWxlY3Ryb25pYyBjaWdhcmV0dGU8L2tl
eXdvcmQ+PGtleXdvcmQ+RWxlY3Ryb25pYyB2YXBvdXIgcHJvZHVjdDwva2V5d29yZD48a2V5d29y
ZD5TYWZldHk8L2tleXdvcmQ+PGtleXdvcmQ+U3ViamVjdGl2ZSBlZmZlY3RzPC9rZXl3b3JkPjwv
a2V5d29yZHM+PGRhdGVzPjx5ZWFyPjIwMTg8L3llYXI+PHB1Yi1kYXRlcz48ZGF0ZT5GZWI8L2Rh
dGU+PC9wdWItZGF0ZXM+PC9kYXRlcz48aXNibj4wMjczLTIzMDA8L2lzYm4+PGFjY2Vzc2lvbi1u
dW0+MjkyNDg0ODc8L2FjY2Vzc2lvbi1udW0+PHVybHM+PC91cmxzPjxlbGVjdHJvbmljLXJlc291
cmNlLW51bT4xMC4xMDE2L2oueXJ0cGguMjAxNy4xMi4wMTA8L2VsZWN0cm9uaWMtcmVzb3VyY2Ut
bnVtPjxyZW1vdGUtZGF0YWJhc2UtcHJvdmlkZXI+TkxNPC9yZW1vdGUtZGF0YWJhc2UtcHJvdmlk
ZXI+PGxhbmd1YWdlPmVuZzwvbGFuZ3VhZ2U+PC9yZWNvcmQ+PC9DaXRlPjwvRW5kTm90ZT4A
</w:fldData>
        </w:fldChar>
      </w:r>
      <w:r w:rsidRPr="00430400">
        <w:rPr>
          <w:sz w:val="24"/>
        </w:rPr>
        <w:instrText xml:space="preserve"> ADDIN EN.CITE </w:instrText>
      </w:r>
      <w:r w:rsidRPr="00430400">
        <w:rPr>
          <w:sz w:val="24"/>
        </w:rPr>
        <w:fldChar w:fldCharType="begin">
          <w:fldData xml:space="preserve">PEVuZE5vdGU+PENpdGU+PEF1dGhvcj5XYWxlbGU8L0F1dGhvcj48WWVhcj4yMDE4PC9ZZWFyPjxS
ZWNOdW0+MTg2PC9SZWNOdW0+PERpc3BsYXlUZXh0PihXYWxlbGUsIEJ1c2ggZXQgYWwuIDIwMTgp
PC9EaXNwbGF5VGV4dD48cmVjb3JkPjxyZWMtbnVtYmVyPjE4NjwvcmVjLW51bWJlcj48Zm9yZWln
bi1rZXlzPjxrZXkgYXBwPSJFTiIgZGItaWQ9IjV4djV3NXQyYmR4dHhmZXp4MDJ4dHhkZnQ1cno1
cHR2dnQyOSIgdGltZXN0YW1wPSIxNTIwNTY4NDIwIj4xODY8L2tleT48a2V5IGFwcD0iRU5XZWIi
IGRiLWlkPSIiPjA8L2tleT48L2ZvcmVpZ24ta2V5cz48cmVmLXR5cGUgbmFtZT0iSm91cm5hbCBB
cnRpY2xlIj4xNzwvcmVmLXR5cGU+PGNvbnRyaWJ1dG9ycz48YXV0aG9ycz48YXV0aG9yPldhbGVs
ZSwgVC48L2F1dGhvcj48YXV0aG9yPkJ1c2gsIEouPC9hdXRob3I+PGF1dGhvcj5Lb2NoLCBBLjwv
YXV0aG9yPjxhdXRob3I+U2F2aW96LCBSLjwvYXV0aG9yPjxhdXRob3I+TWFydGluLCBDLjwvYXV0
aG9yPjxhdXRob3I+TyZhcG9zO0Nvbm5lbGwsIEcuPC9hdXRob3I+PC9hdXRob3JzPjwvY29udHJp
YnV0b3JzPjxhdXRoLWFkZHJlc3M+Rm9udGVtIFZlbnR1cmVzLCBCYXJiYXJhIFN0cm96emlsYWFu
IDEwMSwgMTA4MyBITiBBbXN0ZXJkYW0sIFRoZSBOZXRoZXJsYW5kcy4gRWxlY3Ryb25pYyBhZGRy
ZXNzOiB0YW52aXIud2FsZWxlQGZvbnRlbXZlbnR1cmVzLmNvbS4mI3hEO0NvdmFuY2UgQ2xpbmlj
YWwgUmVzZWFyY2ggVW5pdCwgSHlkZSBTdHJlZXQsIExlZWRzLCBMUzIgOUxILCBVSy4mI3hEO1Np
bWJlYyBSZXNlYXJjaCwgTWVydGh5ciBUeWRmaWwsIENGNDggNERSLCBVSy4mI3hEO0NsaW5vcHNp
cyBTLkEuLCBKYXJkaW5zIDYsIDE0MjYgQ29uY2lzZSwgU3dpdHplcmxhbmQuJiN4RDtGb250ZW0g
VmVudHVyZXMsIEJhcmJhcmEgU3Ryb3p6aWxhYW4gMTAxLCAxMDgzIEhOIEFtc3RlcmRhbSwgVGhl
IE5ldGhlcmxhbmRzLjwvYXV0aC1hZGRyZXNzPjx0aXRsZXM+PHRpdGxlPkV2YWx1YXRpb24gb2Yg
dGhlIHNhZmV0eSBwcm9maWxlIG9mIGFuIGVsZWN0cm9uaWMgdmFwb3VyIHByb2R1Y3QgdXNlZCBm
b3IgdHdvIHllYXJzIGJ5IHNtb2tlcnMgaW4gYSByZWFsLWxpZmUgc2V0dGluZzwvdGl0bGU+PHNl
Y29uZGFyeS10aXRsZT5SZWd1bCBUb3hpY29sIFBoYXJtYWNvbDwvc2Vjb25kYXJ5LXRpdGxlPjxh
bHQtdGl0bGU+UmVndWxhdG9yeSB0b3hpY29sb2d5IGFuZCBwaGFybWFjb2xvZ3kgOiBSVFA8L2Fs
dC10aXRsZT48L3RpdGxlcz48cGVyaW9kaWNhbD48ZnVsbC10aXRsZT5SZWd1bCBUb3hpY29sIFBo
YXJtYWNvbDwvZnVsbC10aXRsZT48YWJici0xPlJlZ3VsYXRvcnkgdG94aWNvbG9neSBhbmQgcGhh
cm1hY29sb2d5IDogUlRQPC9hYmJyLTE+PC9wZXJpb2RpY2FsPjxhbHQtcGVyaW9kaWNhbD48ZnVs
bC10aXRsZT5SZWd1bCBUb3hpY29sIFBoYXJtYWNvbDwvZnVsbC10aXRsZT48YWJici0xPlJlZ3Vs
YXRvcnkgdG94aWNvbG9neSBhbmQgcGhhcm1hY29sb2d5IDogUlRQPC9hYmJyLTE+PC9hbHQtcGVy
aW9kaWNhbD48cGFnZXM+MjI2LTIzODwvcGFnZXM+PHZvbHVtZT45Mjwvdm9sdW1lPjxlZGl0aW9u
PjIwMTcvMTIvMTk8L2VkaXRpb24+PGtleXdvcmRzPjxrZXl3b3JkPkFkdmVyc2UgZXZlbnRzPC9r
ZXl3b3JkPjxrZXl3b3JkPkJpb21hcmtlcnMgb2YgZXhwb3N1cmU8L2tleXdvcmQ+PGtleXdvcmQ+
Q2xpbmljYWwgc3R1ZHk8L2tleXdvcmQ+PGtleXdvcmQ+RWxlY3Ryb25pYyBjaWdhcmV0dGU8L2tl
eXdvcmQ+PGtleXdvcmQ+RWxlY3Ryb25pYyB2YXBvdXIgcHJvZHVjdDwva2V5d29yZD48a2V5d29y
ZD5TYWZldHk8L2tleXdvcmQ+PGtleXdvcmQ+U3ViamVjdGl2ZSBlZmZlY3RzPC9rZXl3b3JkPjwv
a2V5d29yZHM+PGRhdGVzPjx5ZWFyPjIwMTg8L3llYXI+PHB1Yi1kYXRlcz48ZGF0ZT5GZWI8L2Rh
dGU+PC9wdWItZGF0ZXM+PC9kYXRlcz48aXNibj4wMjczLTIzMDA8L2lzYm4+PGFjY2Vzc2lvbi1u
dW0+MjkyNDg0ODc8L2FjY2Vzc2lvbi1udW0+PHVybHM+PC91cmxzPjxlbGVjdHJvbmljLXJlc291
cmNlLW51bT4xMC4xMDE2L2oueXJ0cGguMjAxNy4xMi4wMTA8L2VsZWN0cm9uaWMtcmVzb3VyY2Ut
bnVtPjxyZW1vdGUtZGF0YWJhc2UtcHJvdmlkZXI+TkxNPC9yZW1vdGUtZGF0YWJhc2UtcHJvdmlk
ZXI+PGxhbmd1YWdlPmVuZzwvbGFuZ3VhZ2U+PC9yZWNvcmQ+PC9DaXRlPjwvRW5kTm90ZT4A
</w:fldData>
        </w:fldChar>
      </w:r>
      <w:r w:rsidRPr="00430400">
        <w:rPr>
          <w:sz w:val="24"/>
        </w:rPr>
        <w:instrText xml:space="preserve"> ADDIN EN.CITE.DATA </w:instrText>
      </w:r>
      <w:r w:rsidRPr="00430400">
        <w:rPr>
          <w:sz w:val="24"/>
        </w:rPr>
      </w:r>
      <w:r w:rsidRPr="00430400">
        <w:rPr>
          <w:sz w:val="24"/>
        </w:rPr>
        <w:fldChar w:fldCharType="end"/>
      </w:r>
      <w:r w:rsidRPr="00430400">
        <w:rPr>
          <w:sz w:val="24"/>
        </w:rPr>
      </w:r>
      <w:r w:rsidRPr="00430400">
        <w:rPr>
          <w:sz w:val="24"/>
        </w:rPr>
        <w:fldChar w:fldCharType="separate"/>
      </w:r>
      <w:r w:rsidRPr="00430400">
        <w:rPr>
          <w:noProof/>
          <w:sz w:val="24"/>
        </w:rPr>
        <w:t>(Walele, Bush et al. 2018)</w:t>
      </w:r>
      <w:r w:rsidRPr="00430400">
        <w:rPr>
          <w:sz w:val="24"/>
        </w:rPr>
        <w:fldChar w:fldCharType="end"/>
      </w:r>
      <w:r w:rsidRPr="00430400">
        <w:rPr>
          <w:sz w:val="24"/>
        </w:rPr>
        <w:t>, a closed system electronic vapour product (EVP) was tested for 24 months in a real life setting (n=209 started, n=102 completed the study). Lung function was measured via spirometry. One single cartomizer provided 300</w:t>
      </w:r>
      <w:r w:rsidRPr="00430400">
        <w:rPr>
          <w:sz w:val="24"/>
        </w:rPr>
        <w:noBreakHyphen/>
        <w:t>350 puffs and contained 1ml of e</w:t>
      </w:r>
      <w:r w:rsidRPr="00430400">
        <w:rPr>
          <w:sz w:val="24"/>
        </w:rPr>
        <w:noBreakHyphen/>
        <w:t>liquid, with 67.5</w:t>
      </w:r>
      <w:r w:rsidRPr="00430400">
        <w:rPr>
          <w:sz w:val="24"/>
        </w:rPr>
        <w:noBreakHyphen/>
        <w:t>69% of propylene glycol (PG), 30% glycerol, 1.6% nicotine (16mg/g) and 0.54</w:t>
      </w:r>
      <w:r w:rsidRPr="00430400">
        <w:rPr>
          <w:sz w:val="24"/>
        </w:rPr>
        <w:noBreakHyphen/>
        <w:t xml:space="preserve">1% flavouring (tobacco or menthol flavour). A small decrease from baseline in each mean lung function test parameter was observed, for FVC (4%), </w:t>
      </w:r>
      <w:r w:rsidR="00FD25EC" w:rsidRPr="00430400">
        <w:rPr>
          <w:sz w:val="24"/>
        </w:rPr>
        <w:t>FEV</w:t>
      </w:r>
      <w:r w:rsidR="00FD25EC" w:rsidRPr="00430400">
        <w:rPr>
          <w:sz w:val="24"/>
          <w:vertAlign w:val="subscript"/>
        </w:rPr>
        <w:t>1</w:t>
      </w:r>
      <w:r w:rsidRPr="00430400">
        <w:rPr>
          <w:sz w:val="24"/>
        </w:rPr>
        <w:t xml:space="preserve"> (5.4%), FEF25</w:t>
      </w:r>
      <w:r w:rsidRPr="00430400">
        <w:rPr>
          <w:sz w:val="24"/>
        </w:rPr>
        <w:noBreakHyphen/>
        <w:t>75 (8.3%) and Peak Expiratory Flow (PEF) (2.5%), which were all statistically significant from 3 months into the study (p&lt;0.05). It should be noted that participants continued to smoke some cigarettes, and, because there was no control group, it is not clear whether lung function would be different if subjects used conventional cigarettes exclusively, or neither e</w:t>
      </w:r>
      <w:r w:rsidRPr="00430400">
        <w:rPr>
          <w:sz w:val="24"/>
        </w:rPr>
        <w:noBreakHyphen/>
        <w:t>cigarettes or conventional cigarettes.</w:t>
      </w:r>
    </w:p>
    <w:p w14:paraId="5657A1E9" w14:textId="77777777" w:rsidR="00430400" w:rsidRPr="00430400" w:rsidRDefault="00430400" w:rsidP="00430400">
      <w:pPr>
        <w:spacing w:before="120" w:line="264" w:lineRule="auto"/>
        <w:rPr>
          <w:sz w:val="24"/>
        </w:rPr>
      </w:pPr>
    </w:p>
    <w:p w14:paraId="7AEB59AF" w14:textId="77777777" w:rsidR="00430400" w:rsidRPr="00430400" w:rsidRDefault="00430400" w:rsidP="00430400">
      <w:pPr>
        <w:spacing w:before="120" w:line="264" w:lineRule="auto"/>
        <w:rPr>
          <w:sz w:val="24"/>
        </w:rPr>
      </w:pPr>
      <w:r w:rsidRPr="00430400">
        <w:rPr>
          <w:sz w:val="24"/>
        </w:rPr>
        <w:t xml:space="preserve">The industry funded US randomised trial by D’Ruiz et al. summarised above </w:t>
      </w:r>
      <w:r w:rsidRPr="00430400">
        <w:rPr>
          <w:sz w:val="24"/>
        </w:rPr>
        <w:fldChar w:fldCharType="begin">
          <w:fldData xml:space="preserve">PEVuZE5vdGU+PENpdGU+PEF1dGhvcj5EJmFwb3M7UnVpejwvQXV0aG9yPjxZZWFyPjIwMTc8L1ll
YXI+PFJlY051bT4xMTY4PC9SZWNOdW0+PERpc3BsYXlUZXh0PihEJmFwb3M7UnVpeiwgTyZhcG9z
O0Nvbm5lbGwgZXQgYWwuIDIwMTcpPC9EaXNwbGF5VGV4dD48cmVjb3JkPjxyZWMtbnVtYmVyPjEx
Njg8L3JlYy1udW1iZXI+PGZvcmVpZ24ta2V5cz48a2V5IGFwcD0iRU4iIGRiLWlkPSJ2enhkcGZ3
ZHV4ZmVkMmV0OXBhdng5OWp6c3N4ZWFwd3Q1cDUiIHRpbWVzdGFtcD0iMTUyMTA5OTM4MyI+MTE2
ODwva2V5PjxrZXkgYXBwPSJFTldlYiIgZGItaWQ9IiI+MDwva2V5PjwvZm9yZWlnbi1rZXlzPjxy
ZWYtdHlwZSBuYW1lPSJKb3VybmFsIEFydGljbGUiPjE3PC9yZWYtdHlwZT48Y29udHJpYnV0b3Jz
PjxhdXRob3JzPjxhdXRob3I+RCZhcG9zO1J1aXosIEMuIEQuPC9hdXRob3I+PGF1dGhvcj5PJmFw
b3M7Q29ubmVsbCwgRy48L2F1dGhvcj48YXV0aG9yPkdyYWZmLCBELiBXLjwvYXV0aG9yPjxhdXRo
b3I+WWFuLCBYLiBTLjwvYXV0aG9yPjwvYXV0aG9ycz48L2NvbnRyaWJ1dG9ycz48YXV0aC1hZGRy
ZXNzPkNsaW5pY2FsIFN0dWR5IENvbnN1bHRhbnQsIEZvbnRlbSBWZW50dXJlcywgR3JlZW5zYm9y
bywgTkMsIFVTQS4gRWxlY3Ryb25pYyBhZGRyZXNzOiBjYXJsZHJ1aXpAZ21haWwuY29tLiYjeEQ7
Rm9udGVtIFZlbnR1cmVzLCBTY2llbnRpZmljIGFuZCBSZWd1bGF0b3J5IEFmZmFpcnMsIEFtc3Rl
cmRhbSwgVGhlIE5ldGhlcmxhbmRzLiBFbGVjdHJvbmljIGFkZHJlc3M6IGdyYW50Lm9jb25uZWxs
QGZvbnRlbXZlbnR1cmVzLmNvbS4mI3hEO0NlbGVyaW9uLCBMaW5jb2xuLCBORSwgVVNBLiBFbGVj
dHJvbmljIGFkZHJlc3M6IERvbmFsZC5ncmFmZkBjZWxlcmlvbi5jb20uJiN4RDtMb3JpbGxhcmQg
VG9iYWNjbyBDb21wYW55IChmb3JtZXJseSksIEdyZWVuc2Jvcm8sIE5DLCBVU0EuIEVsZWN0cm9u
aWMgYWRkcmVzczogeHlhbjEyMDlAZ21haWwuY29tLjwvYXV0aC1hZGRyZXNzPjx0aXRsZXM+PHRp
dGxlPk1lYXN1cmVtZW50IG9mIGNhcmRpb3Zhc2N1bGFyIGFuZCBwdWxtb25hcnkgZnVuY3Rpb24g
ZW5kcG9pbnRzIGFuZCBvdGhlciBwaHlzaW9sb2dpY2FsIGVmZmVjdHMgZm9sbG93aW5nIHBhcnRp
YWwgb3IgY29tcGxldGUgc3Vic3RpdHV0aW9uIG9mIGNpZ2FyZXR0ZXMgd2l0aCBlbGVjdHJvbmlj
IGNpZ2FyZXR0ZXMgaW4gYWR1bHQgc21va2VyczwvdGl0bGU+PHNlY29uZGFyeS10aXRsZT5SZWd1
bCBUb3hpY29sIFBoYXJtYWNvbDwvc2Vjb25kYXJ5LXRpdGxlPjxhbHQtdGl0bGU+UmVndWxhdG9y
eSB0b3hpY29sb2d5IGFuZCBwaGFybWFjb2xvZ3kgOiBSVFA8L2FsdC10aXRsZT48L3RpdGxlcz48
cGVyaW9kaWNhbD48ZnVsbC10aXRsZT5SZWd1bCBUb3hpY29sIFBoYXJtYWNvbDwvZnVsbC10aXRs
ZT48YWJici0xPlJlZ3VsYXRvcnkgdG94aWNvbG9neSBhbmQgcGhhcm1hY29sb2d5IDogUlRQPC9h
YmJyLTE+PC9wZXJpb2RpY2FsPjxhbHQtcGVyaW9kaWNhbD48ZnVsbC10aXRsZT5SZWd1bCBUb3hp
Y29sIFBoYXJtYWNvbDwvZnVsbC10aXRsZT48YWJici0xPlJlZ3VsYXRvcnkgdG94aWNvbG9neSBh
bmQgcGhhcm1hY29sb2d5IDogUlRQPC9hYmJyLTE+PC9hbHQtcGVyaW9kaWNhbD48cGFnZXM+MzYt
NTM8L3BhZ2VzPjx2b2x1bWU+ODc8L3ZvbHVtZT48ZWRpdGlvbj4yMDE3LzA1LzEwPC9lZGl0aW9u
PjxrZXl3b3Jkcz48a2V5d29yZD5BZHZlcnNlIGVmZmVjdHM8L2tleXdvcmQ+PGtleXdvcmQ+Q2Fy
ZGlvdmFzY3VsYXIgZWZmZWN0czwva2V5d29yZD48a2V5d29yZD5FLWNpZ2FyZXR0ZTwva2V5d29y
ZD48a2V5d29yZD5FeGNsdXNpdmUgYW5kIGR1YWwgdXNlPC9rZXl3b3JkPjxrZXl3b3JkPkhhcm0g
cmVkdWN0aW9uPC9rZXl3b3JkPjxrZXl3b3JkPlBoeXNpb2xvZ2ljYWwgZWZmZWN0czwva2V5d29y
ZD48a2V5d29yZD5QdWxtb25hcnkgZWZmZWN0czwva2V5d29yZD48L2tleXdvcmRzPjxkYXRlcz48
eWVhcj4yMDE3PC95ZWFyPjxwdWItZGF0ZXM+PGRhdGU+SnVsPC9kYXRlPjwvcHViLWRhdGVzPjwv
ZGF0ZXM+PGlzYm4+MDI3My0yMzAwPC9pc2JuPjxhY2Nlc3Npb24tbnVtPjI4NDc2NTUzPC9hY2Nl
c3Npb24tbnVtPjx1cmxzPjwvdXJscz48ZWxlY3Ryb25pYy1yZXNvdXJjZS1udW0+MTAuMTAxNi9q
LnlydHBoLjIwMTcuMDUuMDAyPC9lbGVjdHJvbmljLXJlc291cmNlLW51bT48cmVtb3RlLWRhdGFi
YXNlLXByb3ZpZGVyPk5MTTwvcmVtb3RlLWRhdGFiYXNlLXByb3ZpZGVyPjxsYW5ndWFnZT5lbmc8
L2xhbmd1YWdlPjwvcmVjb3JkPjwvQ2l0ZT48L0VuZE5vdGU+
</w:fldData>
        </w:fldChar>
      </w:r>
      <w:r w:rsidRPr="00430400">
        <w:rPr>
          <w:sz w:val="24"/>
        </w:rPr>
        <w:instrText xml:space="preserve"> ADDIN EN.CITE </w:instrText>
      </w:r>
      <w:r w:rsidRPr="00430400">
        <w:rPr>
          <w:sz w:val="24"/>
        </w:rPr>
        <w:fldChar w:fldCharType="begin">
          <w:fldData xml:space="preserve">PEVuZE5vdGU+PENpdGU+PEF1dGhvcj5EJmFwb3M7UnVpejwvQXV0aG9yPjxZZWFyPjIwMTc8L1ll
YXI+PFJlY051bT4xMTY4PC9SZWNOdW0+PERpc3BsYXlUZXh0PihEJmFwb3M7UnVpeiwgTyZhcG9z
O0Nvbm5lbGwgZXQgYWwuIDIwMTcpPC9EaXNwbGF5VGV4dD48cmVjb3JkPjxyZWMtbnVtYmVyPjEx
Njg8L3JlYy1udW1iZXI+PGZvcmVpZ24ta2V5cz48a2V5IGFwcD0iRU4iIGRiLWlkPSJ2enhkcGZ3
ZHV4ZmVkMmV0OXBhdng5OWp6c3N4ZWFwd3Q1cDUiIHRpbWVzdGFtcD0iMTUyMTA5OTM4MyI+MTE2
ODwva2V5PjxrZXkgYXBwPSJFTldlYiIgZGItaWQ9IiI+MDwva2V5PjwvZm9yZWlnbi1rZXlzPjxy
ZWYtdHlwZSBuYW1lPSJKb3VybmFsIEFydGljbGUiPjE3PC9yZWYtdHlwZT48Y29udHJpYnV0b3Jz
PjxhdXRob3JzPjxhdXRob3I+RCZhcG9zO1J1aXosIEMuIEQuPC9hdXRob3I+PGF1dGhvcj5PJmFw
b3M7Q29ubmVsbCwgRy48L2F1dGhvcj48YXV0aG9yPkdyYWZmLCBELiBXLjwvYXV0aG9yPjxhdXRo
b3I+WWFuLCBYLiBTLjwvYXV0aG9yPjwvYXV0aG9ycz48L2NvbnRyaWJ1dG9ycz48YXV0aC1hZGRy
ZXNzPkNsaW5pY2FsIFN0dWR5IENvbnN1bHRhbnQsIEZvbnRlbSBWZW50dXJlcywgR3JlZW5zYm9y
bywgTkMsIFVTQS4gRWxlY3Ryb25pYyBhZGRyZXNzOiBjYXJsZHJ1aXpAZ21haWwuY29tLiYjeEQ7
Rm9udGVtIFZlbnR1cmVzLCBTY2llbnRpZmljIGFuZCBSZWd1bGF0b3J5IEFmZmFpcnMsIEFtc3Rl
cmRhbSwgVGhlIE5ldGhlcmxhbmRzLiBFbGVjdHJvbmljIGFkZHJlc3M6IGdyYW50Lm9jb25uZWxs
QGZvbnRlbXZlbnR1cmVzLmNvbS4mI3hEO0NlbGVyaW9uLCBMaW5jb2xuLCBORSwgVVNBLiBFbGVj
dHJvbmljIGFkZHJlc3M6IERvbmFsZC5ncmFmZkBjZWxlcmlvbi5jb20uJiN4RDtMb3JpbGxhcmQg
VG9iYWNjbyBDb21wYW55IChmb3JtZXJseSksIEdyZWVuc2Jvcm8sIE5DLCBVU0EuIEVsZWN0cm9u
aWMgYWRkcmVzczogeHlhbjEyMDlAZ21haWwuY29tLjwvYXV0aC1hZGRyZXNzPjx0aXRsZXM+PHRp
dGxlPk1lYXN1cmVtZW50IG9mIGNhcmRpb3Zhc2N1bGFyIGFuZCBwdWxtb25hcnkgZnVuY3Rpb24g
ZW5kcG9pbnRzIGFuZCBvdGhlciBwaHlzaW9sb2dpY2FsIGVmZmVjdHMgZm9sbG93aW5nIHBhcnRp
YWwgb3IgY29tcGxldGUgc3Vic3RpdHV0aW9uIG9mIGNpZ2FyZXR0ZXMgd2l0aCBlbGVjdHJvbmlj
IGNpZ2FyZXR0ZXMgaW4gYWR1bHQgc21va2VyczwvdGl0bGU+PHNlY29uZGFyeS10aXRsZT5SZWd1
bCBUb3hpY29sIFBoYXJtYWNvbDwvc2Vjb25kYXJ5LXRpdGxlPjxhbHQtdGl0bGU+UmVndWxhdG9y
eSB0b3hpY29sb2d5IGFuZCBwaGFybWFjb2xvZ3kgOiBSVFA8L2FsdC10aXRsZT48L3RpdGxlcz48
cGVyaW9kaWNhbD48ZnVsbC10aXRsZT5SZWd1bCBUb3hpY29sIFBoYXJtYWNvbDwvZnVsbC10aXRs
ZT48YWJici0xPlJlZ3VsYXRvcnkgdG94aWNvbG9neSBhbmQgcGhhcm1hY29sb2d5IDogUlRQPC9h
YmJyLTE+PC9wZXJpb2RpY2FsPjxhbHQtcGVyaW9kaWNhbD48ZnVsbC10aXRsZT5SZWd1bCBUb3hp
Y29sIFBoYXJtYWNvbDwvZnVsbC10aXRsZT48YWJici0xPlJlZ3VsYXRvcnkgdG94aWNvbG9neSBh
bmQgcGhhcm1hY29sb2d5IDogUlRQPC9hYmJyLTE+PC9hbHQtcGVyaW9kaWNhbD48cGFnZXM+MzYt
NTM8L3BhZ2VzPjx2b2x1bWU+ODc8L3ZvbHVtZT48ZWRpdGlvbj4yMDE3LzA1LzEwPC9lZGl0aW9u
PjxrZXl3b3Jkcz48a2V5d29yZD5BZHZlcnNlIGVmZmVjdHM8L2tleXdvcmQ+PGtleXdvcmQ+Q2Fy
ZGlvdmFzY3VsYXIgZWZmZWN0czwva2V5d29yZD48a2V5d29yZD5FLWNpZ2FyZXR0ZTwva2V5d29y
ZD48a2V5d29yZD5FeGNsdXNpdmUgYW5kIGR1YWwgdXNlPC9rZXl3b3JkPjxrZXl3b3JkPkhhcm0g
cmVkdWN0aW9uPC9rZXl3b3JkPjxrZXl3b3JkPlBoeXNpb2xvZ2ljYWwgZWZmZWN0czwva2V5d29y
ZD48a2V5d29yZD5QdWxtb25hcnkgZWZmZWN0czwva2V5d29yZD48L2tleXdvcmRzPjxkYXRlcz48
eWVhcj4yMDE3PC95ZWFyPjxwdWItZGF0ZXM+PGRhdGU+SnVsPC9kYXRlPjwvcHViLWRhdGVzPjwv
ZGF0ZXM+PGlzYm4+MDI3My0yMzAwPC9pc2JuPjxhY2Nlc3Npb24tbnVtPjI4NDc2NTUzPC9hY2Nl
c3Npb24tbnVtPjx1cmxzPjwvdXJscz48ZWxlY3Ryb25pYy1yZXNvdXJjZS1udW0+MTAuMTAxNi9q
LnlydHBoLjIwMTcuMDUuMDAyPC9lbGVjdHJvbmljLXJlc291cmNlLW51bT48cmVtb3RlLWRhdGFi
YXNlLXByb3ZpZGVyPk5MTTwvcmVtb3RlLWRhdGFiYXNlLXByb3ZpZGVyPjxsYW5ndWFnZT5lbmc8
L2xhbmd1YWdlPjwvcmVjb3JkPjwvQ2l0ZT48L0VuZE5vdGU+
</w:fldData>
        </w:fldChar>
      </w:r>
      <w:r w:rsidRPr="00430400">
        <w:rPr>
          <w:sz w:val="24"/>
        </w:rPr>
        <w:instrText xml:space="preserve"> ADDIN EN.CITE.DATA </w:instrText>
      </w:r>
      <w:r w:rsidRPr="00430400">
        <w:rPr>
          <w:sz w:val="24"/>
        </w:rPr>
      </w:r>
      <w:r w:rsidRPr="00430400">
        <w:rPr>
          <w:sz w:val="24"/>
        </w:rPr>
        <w:fldChar w:fldCharType="end"/>
      </w:r>
      <w:r w:rsidRPr="00430400">
        <w:rPr>
          <w:sz w:val="24"/>
        </w:rPr>
      </w:r>
      <w:r w:rsidRPr="00430400">
        <w:rPr>
          <w:sz w:val="24"/>
        </w:rPr>
        <w:fldChar w:fldCharType="separate"/>
      </w:r>
      <w:r w:rsidRPr="00430400">
        <w:rPr>
          <w:noProof/>
          <w:sz w:val="24"/>
        </w:rPr>
        <w:t>(D'Ruiz, O'Connell et al. 2017)</w:t>
      </w:r>
      <w:r w:rsidRPr="00430400">
        <w:rPr>
          <w:sz w:val="24"/>
        </w:rPr>
        <w:fldChar w:fldCharType="end"/>
      </w:r>
      <w:r w:rsidRPr="00430400">
        <w:rPr>
          <w:sz w:val="24"/>
        </w:rPr>
        <w:t xml:space="preserve"> (n=105) also measured </w:t>
      </w:r>
      <w:r w:rsidRPr="00430400">
        <w:rPr>
          <w:b/>
          <w:sz w:val="24"/>
        </w:rPr>
        <w:t>lung function</w:t>
      </w:r>
      <w:r w:rsidRPr="00430400">
        <w:rPr>
          <w:sz w:val="24"/>
        </w:rPr>
        <w:t xml:space="preserve"> following short term (4 day) use of e</w:t>
      </w:r>
      <w:r w:rsidRPr="00430400">
        <w:rPr>
          <w:sz w:val="24"/>
        </w:rPr>
        <w:noBreakHyphen/>
        <w:t>cigarettes in conventional tobacco smokers. Exclusive e</w:t>
      </w:r>
      <w:r w:rsidRPr="00430400">
        <w:rPr>
          <w:sz w:val="24"/>
        </w:rPr>
        <w:noBreakHyphen/>
        <w:t xml:space="preserve">cigarette use (n=45) (three groups testing three flavourings), dual use (n=45) (three groups testing three flavourings) and those who ceased both tobacco and nicotine products (n=15) were compared. </w:t>
      </w:r>
    </w:p>
    <w:p w14:paraId="31DC79F3" w14:textId="4A77FBD4" w:rsidR="00430400" w:rsidRPr="00430400" w:rsidRDefault="00430400" w:rsidP="00430400">
      <w:pPr>
        <w:spacing w:before="120" w:line="264" w:lineRule="auto"/>
        <w:rPr>
          <w:sz w:val="24"/>
        </w:rPr>
      </w:pPr>
      <w:r w:rsidRPr="00430400">
        <w:rPr>
          <w:sz w:val="24"/>
        </w:rPr>
        <w:t xml:space="preserve">Observed changes in measured forced vital capacity (FVC) from baseline to day 5 were small (from </w:t>
      </w:r>
      <w:r w:rsidRPr="00430400">
        <w:rPr>
          <w:sz w:val="24"/>
        </w:rPr>
        <w:noBreakHyphen/>
        <w:t>0.9% to 3.1%), with small increases for exclusive tobacco flavoured rechargeable e</w:t>
      </w:r>
      <w:r w:rsidRPr="00430400">
        <w:rPr>
          <w:sz w:val="24"/>
        </w:rPr>
        <w:noBreakHyphen/>
        <w:t>cigarette use (p= 0.02) and cherry flavoured rechargeable (p=0.01) e</w:t>
      </w:r>
      <w:r w:rsidRPr="00430400">
        <w:rPr>
          <w:sz w:val="24"/>
        </w:rPr>
        <w:noBreakHyphen/>
        <w:t>cigarette groups. There were no significant differences between any of the product use groups and nicotine cessation group on FVC. Increases in forced expiratory volume (</w:t>
      </w:r>
      <w:r w:rsidR="00FD25EC" w:rsidRPr="00430400">
        <w:rPr>
          <w:sz w:val="24"/>
        </w:rPr>
        <w:t>FEV</w:t>
      </w:r>
      <w:r w:rsidR="00FD25EC" w:rsidRPr="00430400">
        <w:rPr>
          <w:sz w:val="24"/>
          <w:vertAlign w:val="subscript"/>
        </w:rPr>
        <w:t>1</w:t>
      </w:r>
      <w:r w:rsidRPr="00430400">
        <w:rPr>
          <w:sz w:val="24"/>
        </w:rPr>
        <w:t>) were observed (from baseline to day 5) for the exclusive e</w:t>
      </w:r>
      <w:r w:rsidRPr="00430400">
        <w:rPr>
          <w:sz w:val="24"/>
        </w:rPr>
        <w:noBreakHyphen/>
        <w:t xml:space="preserve">cigarette tobacco flavoured rechargeable (p=0.015), exclusive cherry rechargeable (p=0.028) and dual cherry rechargeable product use groups (p=0.019). There were no differences in </w:t>
      </w:r>
      <w:r w:rsidR="00FD25EC" w:rsidRPr="00430400">
        <w:rPr>
          <w:sz w:val="24"/>
        </w:rPr>
        <w:t>FEV</w:t>
      </w:r>
      <w:r w:rsidR="00FD25EC" w:rsidRPr="00430400">
        <w:rPr>
          <w:sz w:val="24"/>
          <w:vertAlign w:val="subscript"/>
        </w:rPr>
        <w:t>1</w:t>
      </w:r>
      <w:r w:rsidRPr="00430400">
        <w:rPr>
          <w:sz w:val="24"/>
        </w:rPr>
        <w:t xml:space="preserve"> between any of the product use groups and nicotine cessation groups. No measurement of conventional cigarette use was given for the smoking cessation control group, but the study took place in a clinic environment, so it is assumed that cessation was successful. Frequent Adverse Events (AE) reported were headache, followed by cough and sore throat (2</w:t>
      </w:r>
      <w:r w:rsidRPr="00430400">
        <w:rPr>
          <w:sz w:val="24"/>
        </w:rPr>
        <w:noBreakHyphen/>
        <w:t xml:space="preserve">7/15 subjects across all groups and 1 in the cessation group reported AEs). This study would have benefited by having a </w:t>
      </w:r>
      <w:r w:rsidRPr="00430400">
        <w:rPr>
          <w:sz w:val="24"/>
        </w:rPr>
        <w:lastRenderedPageBreak/>
        <w:t>control group, and has questionable statistical power to detect differences between groups over a relatively short time period</w:t>
      </w:r>
      <w:r w:rsidR="00AF78AB">
        <w:rPr>
          <w:sz w:val="24"/>
        </w:rPr>
        <w:t>.</w:t>
      </w:r>
    </w:p>
    <w:p w14:paraId="723F1DFD" w14:textId="77777777" w:rsidR="00430400" w:rsidRPr="00430400" w:rsidRDefault="00430400" w:rsidP="00430400">
      <w:pPr>
        <w:spacing w:before="120" w:line="264" w:lineRule="auto"/>
        <w:rPr>
          <w:sz w:val="24"/>
        </w:rPr>
      </w:pPr>
    </w:p>
    <w:p w14:paraId="7A6E7462" w14:textId="1FDEC86D" w:rsidR="00430400" w:rsidRPr="00430400" w:rsidRDefault="00430400" w:rsidP="00430400">
      <w:pPr>
        <w:spacing w:before="120" w:line="264" w:lineRule="auto"/>
        <w:rPr>
          <w:sz w:val="24"/>
        </w:rPr>
      </w:pPr>
      <w:r w:rsidRPr="00430400">
        <w:rPr>
          <w:sz w:val="24"/>
        </w:rPr>
        <w:t xml:space="preserve">In a randomised crossover trial design, Kerr et al. </w:t>
      </w:r>
      <w:r w:rsidRPr="00430400">
        <w:rPr>
          <w:sz w:val="24"/>
        </w:rPr>
        <w:fldChar w:fldCharType="begin"/>
      </w:r>
      <w:r w:rsidRPr="00430400">
        <w:rPr>
          <w:sz w:val="24"/>
        </w:rPr>
        <w:instrText xml:space="preserve"> ADDIN EN.CITE &lt;EndNote&gt;&lt;Cite&gt;&lt;Author&gt;Kerr&lt;/Author&gt;&lt;Year&gt;2017&lt;/Year&gt;&lt;RecNum&gt;1877&lt;/RecNum&gt;&lt;DisplayText&gt;(Kerr, Touyz et al. 2017)&lt;/DisplayText&gt;&lt;record&gt;&lt;rec-number&gt;1877&lt;/rec-number&gt;&lt;foreign-keys&gt;&lt;key app="EN" db-id="vzxdpfwduxfed2et9pavx99jzssxeapwt5p5" timestamp="1521099513"&gt;1877&lt;/key&gt;&lt;key app="ENWeb" db-id=""&gt;0&lt;/key&gt;&lt;/foreign-keys&gt;&lt;ref-type name="Journal Article"&gt;17&lt;/ref-type&gt;&lt;contributors&gt;&lt;authors&gt;&lt;author&gt;Kerr, Daniele&lt;/author&gt;&lt;author&gt;Touyz, Rhian&lt;/author&gt;&lt;author&gt;Delles, Christian&lt;/author&gt;&lt;/authors&gt;&lt;/contributors&gt;&lt;titles&gt;&lt;title&gt;The immediate effects of electronic cigarette use and tobacco smoking on vascular and respiratory function in healthy volunteers: a crossover study&lt;/title&gt;&lt;secondary-title&gt;Journal of Human Hypertension&lt;/secondary-title&gt;&lt;/titles&gt;&lt;periodical&gt;&lt;full-title&gt;Journal of Human Hypertension&lt;/full-title&gt;&lt;/periodical&gt;&lt;pages&gt;662-662&lt;/pages&gt;&lt;volume&gt;31&lt;/volume&gt;&lt;number&gt;10&lt;/number&gt;&lt;dates&gt;&lt;year&gt;2017&lt;/year&gt;&lt;pub-dates&gt;&lt;date&gt;Oct&lt;/date&gt;&lt;/pub-dates&gt;&lt;/dates&gt;&lt;isbn&gt;0950-9240&lt;/isbn&gt;&lt;accession-num&gt;WOS:000412219400020&lt;/accession-num&gt;&lt;urls&gt;&lt;related-urls&gt;&lt;url&gt;&amp;lt;Go to ISI&amp;gt;://WOS:000412219400020&lt;/url&gt;&lt;/related-urls&gt;&lt;/urls&gt;&lt;/record&gt;&lt;/Cite&gt;&lt;/EndNote&gt;</w:instrText>
      </w:r>
      <w:r w:rsidRPr="00430400">
        <w:rPr>
          <w:sz w:val="24"/>
        </w:rPr>
        <w:fldChar w:fldCharType="separate"/>
      </w:r>
      <w:r w:rsidRPr="00430400">
        <w:rPr>
          <w:noProof/>
          <w:sz w:val="24"/>
        </w:rPr>
        <w:t>(Kerr, Touyz et al. 2017)</w:t>
      </w:r>
      <w:r w:rsidRPr="00430400">
        <w:rPr>
          <w:sz w:val="24"/>
        </w:rPr>
        <w:fldChar w:fldCharType="end"/>
      </w:r>
      <w:r w:rsidRPr="00430400">
        <w:rPr>
          <w:sz w:val="24"/>
        </w:rPr>
        <w:t xml:space="preserve"> compared the immediate effects of vaping an e</w:t>
      </w:r>
      <w:r w:rsidRPr="00430400">
        <w:rPr>
          <w:sz w:val="24"/>
        </w:rPr>
        <w:noBreakHyphen/>
        <w:t>cigarette with conventional smoking in 20 male smokers from the UK on various respiratory outcomes. Following smoking an e</w:t>
      </w:r>
      <w:r w:rsidRPr="00430400">
        <w:rPr>
          <w:sz w:val="24"/>
        </w:rPr>
        <w:noBreakHyphen/>
        <w:t xml:space="preserve">cigarette, there was a significantly smaller Peak Expiratory Flow (PEF) (531 ± 97 vs 567 ± 62 L/min, p=0.03) whereas no significant change was observed with conventional cigarette smoking. There were also no statistically significant changes observed in </w:t>
      </w:r>
      <w:r w:rsidR="00FD25EC" w:rsidRPr="00430400">
        <w:rPr>
          <w:sz w:val="24"/>
        </w:rPr>
        <w:t>FEV</w:t>
      </w:r>
      <w:r w:rsidR="00FD25EC" w:rsidRPr="00430400">
        <w:rPr>
          <w:sz w:val="24"/>
          <w:vertAlign w:val="subscript"/>
        </w:rPr>
        <w:t>1</w:t>
      </w:r>
      <w:r w:rsidR="003B0D09">
        <w:rPr>
          <w:sz w:val="24"/>
        </w:rPr>
        <w:t xml:space="preserve">, </w:t>
      </w:r>
      <w:r w:rsidRPr="00430400">
        <w:rPr>
          <w:sz w:val="24"/>
        </w:rPr>
        <w:t>FVC and FEV</w:t>
      </w:r>
      <w:r w:rsidRPr="00430400">
        <w:rPr>
          <w:sz w:val="24"/>
          <w:vertAlign w:val="subscript"/>
        </w:rPr>
        <w:t>1</w:t>
      </w:r>
      <w:r w:rsidRPr="00430400">
        <w:rPr>
          <w:sz w:val="24"/>
        </w:rPr>
        <w:t xml:space="preserve">/FVC after vaping or conventional cigarette smoking (all p&gt;0.05). </w:t>
      </w:r>
    </w:p>
    <w:p w14:paraId="7A73CF01" w14:textId="77777777" w:rsidR="00430400" w:rsidRPr="00430400" w:rsidRDefault="00430400" w:rsidP="00430400">
      <w:pPr>
        <w:spacing w:before="120" w:line="264" w:lineRule="auto"/>
        <w:rPr>
          <w:sz w:val="24"/>
        </w:rPr>
      </w:pPr>
    </w:p>
    <w:p w14:paraId="47D95FDC" w14:textId="77777777" w:rsidR="00430400" w:rsidRPr="00430400" w:rsidRDefault="00430400" w:rsidP="00430400">
      <w:pPr>
        <w:spacing w:before="120" w:line="264" w:lineRule="auto"/>
        <w:rPr>
          <w:sz w:val="24"/>
        </w:rPr>
      </w:pPr>
      <w:r w:rsidRPr="00430400">
        <w:rPr>
          <w:sz w:val="24"/>
        </w:rPr>
        <w:t>A private foundation funded randomised crossover study (n=54) by Lappas et al. conducted in Greece also considered the immediate effects of e</w:t>
      </w:r>
      <w:r w:rsidRPr="00430400">
        <w:rPr>
          <w:sz w:val="24"/>
        </w:rPr>
        <w:noBreakHyphen/>
        <w:t xml:space="preserve">cigarette use in dual smokers who were either mild asthmatics (MA, n=27) or healthy smokers (HS, n=27) </w:t>
      </w:r>
      <w:r w:rsidRPr="00430400">
        <w:rPr>
          <w:sz w:val="24"/>
        </w:rPr>
        <w:fldChar w:fldCharType="begin">
          <w:fldData xml:space="preserve">PEVuZE5vdGU+PENpdGU+PEF1dGhvcj5MYXBwYXM8L0F1dGhvcj48WWVhcj4yMDE4PC9ZZWFyPjxS
ZWNOdW0+ODk4PC9SZWNOdW0+PERpc3BsYXlUZXh0PihMYXBwYXMsIFR6b3J0emkgZXQgYWwuIDIw
MTgpPC9EaXNwbGF5VGV4dD48cmVjb3JkPjxyZWMtbnVtYmVyPjg5ODwvcmVjLW51bWJlcj48Zm9y
ZWlnbi1rZXlzPjxrZXkgYXBwPSJFTiIgZGItaWQ9InZ6eGRwZndkdXhmZWQyZXQ5cGF2eDk5anpz
c3hlYXB3dDVwNSIgdGltZXN0YW1wPSIxNTIxMDk5MzIwIj44OTg8L2tleT48a2V5IGFwcD0iRU5X
ZWIiIGRiLWlkPSIiPjA8L2tleT48L2ZvcmVpZ24ta2V5cz48cmVmLXR5cGUgbmFtZT0iSm91cm5h
bCBBcnRpY2xlIj4xNzwvcmVmLXR5cGU+PGNvbnRyaWJ1dG9ycz48YXV0aG9ycz48YXV0aG9yPkxh
cHBhcywgQS4gUy48L2F1dGhvcj48YXV0aG9yPlR6b3J0emksIEEuIFMuPC9hdXRob3I+PGF1dGhv
cj5Lb25zdGFudGluaWRpLCBFLiBNLjwvYXV0aG9yPjxhdXRob3I+VGVsb25pYXRpcywgUy4gSS48
L2F1dGhvcj48YXV0aG9yPlR6YXZhcmEsIEMuIEsuPC9hdXRob3I+PGF1dGhvcj5HZW5uaW1hdGEs
IFMuIEEuPC9hdXRob3I+PGF1dGhvcj5Lb3Vsb3VyaXMsIE4uIEcuPC9hdXRob3I+PGF1dGhvcj5C
ZWhyYWtpcywgUC4gSy48L2F1dGhvcj48L2F1dGhvcnM+PC9jb250cmlidXRvcnM+PGF1dGgtYWRk
cmVzcz4mcXVvdDtHZW9yZ2UgRC4gQmVocmFraXMgUmVzZWFyY2ggTGFiJnF1b3Q7IEhlbGxlbmlj
IENhbmNlciBTb2NpZXR5LCBBdGhlbnMsIEdyZWVjZS4mI3hEO0Jpb21lZGljYWwgUmVzZWFyY2gg
Rm91bmRhdGlvbiwgQWNhZGVteSBvZiBBdGhlbnMsIEF0aGVucywgR3JlZWNlLiYjeEQ7SW5zdGl0
dXRlIG9mIFB1YmxpYyBIZWFsdGgsIFRoZSBBbWVyaWNhbiBDb2xsZWdlIG9mIEdyZWVjZSwgQXRo
ZW5zLCBHcmVlY2UuJiN4RDtEZXBhcnRtZW50IG9mIEh5Z2llbmUsIEVwaWRlbWlvbG9neSBhbmQg
TWVkaWNhbCBTdGF0aXN0aWNzLCBOYXRpb25hbCBhbmQgS2Fwb2Rpc3RyaWFuIFVuaXZlcnNpdHkg
b2YgQXRoZW5zLCBNZWRpY2FsIFNjaG9vbCwgQXRoZW5zLCBHcmVlY2UuJiN4RDtSZXNwaXJhdG9y
eSBGdW5jdGlvbiBMYWJvcmF0b3J5LCAxc3QgUmVzcGlyYXRvcnkgTWVkaWNpbmUgRGVwYXJ0bWVu
dCwgU290aXJpYSBHZW5lcmFsIEhvc3BpdGFsLCBOYXRpb25hbCBhbmQgS2Fwb2Rpc3RyaWFuIFVu
aXZlcnNpdHkgb2YgQXRoZW5zLCBNZWRpY2FsIFNjaG9vbCwgQXRoZW5zLCBHcmVlY2UuPC9hdXRo
LWFkZHJlc3M+PHRpdGxlcz48dGl0bGU+U2hvcnQtdGVybSByZXNwaXJhdG9yeSBlZmZlY3RzIG9m
IGUtY2lnYXJldHRlcyBpbiBoZWFsdGh5IGluZGl2aWR1YWxzIGFuZCBzbW9rZXJzIHdpdGggYXN0
aG1hPC90aXRsZT48c2Vjb25kYXJ5LXRpdGxlPlJlc3Bpcm9sb2d5PC9zZWNvbmRhcnktdGl0bGU+
PGFsdC10aXRsZT5SZXNwaXJvbG9neSAoQ2FybHRvbiwgVmljLik8L2FsdC10aXRsZT48L3RpdGxl
cz48cGVyaW9kaWNhbD48ZnVsbC10aXRsZT5SZXNwaXJvbG9neTwvZnVsbC10aXRsZT48YWJici0x
PlJlc3Bpcm9sb2d5IChDYXJsdG9uLCBWaWMuKTwvYWJici0xPjwvcGVyaW9kaWNhbD48YWx0LXBl
cmlvZGljYWw+PGZ1bGwtdGl0bGU+UmVzcGlyb2xvZ3k8L2Z1bGwtdGl0bGU+PGFiYnItMT5SZXNw
aXJvbG9neSAoQ2FybHRvbiwgVmljLik8L2FiYnItMT48L2FsdC1wZXJpb2RpY2FsPjxwYWdlcz4y
OTEtMjk3PC9wYWdlcz48dm9sdW1lPjIzPC92b2x1bWU+PG51bWJlcj4zPC9udW1iZXI+PGVkaXRp
b24+MjAxNy8wOS8yNjwvZWRpdGlvbj48a2V5d29yZHM+PGtleXdvcmQ+YXN0aG1hPC9rZXl3b3Jk
PjxrZXl3b3JkPmUtY2lnYXJldHRlPC9rZXl3b3JkPjxrZXl3b3JkPmV4aGFsZWQgbml0cmljIG94
aWRlPC9rZXl3b3JkPjxrZXl3b3JkPmltcHVsc2Ugb3NjaWxsb21ldHJ5IHN5c3RlbTwva2V5d29y
ZD48a2V5d29yZD5wZXJpcGhlcmFsIGFpcndheSBvYnN0cnVjdGlvbjwva2V5d29yZD48L2tleXdv
cmRzPjxkYXRlcz48eWVhcj4yMDE4PC95ZWFyPjxwdWItZGF0ZXM+PGRhdGU+TWFyPC9kYXRlPjwv
cHViLWRhdGVzPjwvZGF0ZXM+PGlzYm4+MTMyMy03Nzk5PC9pc2JuPjxhY2Nlc3Npb24tbnVtPjI4
OTQ0NTMxPC9hY2Nlc3Npb24tbnVtPjx1cmxzPjwvdXJscz48ZWxlY3Ryb25pYy1yZXNvdXJjZS1u
dW0+MTAuMTExMS9yZXNwLjEzMTgwPC9lbGVjdHJvbmljLXJlc291cmNlLW51bT48cmVtb3RlLWRh
dGFiYXNlLXByb3ZpZGVyPk5MTTwvcmVtb3RlLWRhdGFiYXNlLXByb3ZpZGVyPjxsYW5ndWFnZT5l
bmc8L2xhbmd1YWdlPjwvcmVjb3JkPjwvQ2l0ZT48L0VuZE5vdGU+AG==
</w:fldData>
        </w:fldChar>
      </w:r>
      <w:r w:rsidRPr="00430400">
        <w:rPr>
          <w:sz w:val="24"/>
        </w:rPr>
        <w:instrText xml:space="preserve"> ADDIN EN.CITE </w:instrText>
      </w:r>
      <w:r w:rsidRPr="00430400">
        <w:rPr>
          <w:sz w:val="24"/>
        </w:rPr>
        <w:fldChar w:fldCharType="begin">
          <w:fldData xml:space="preserve">PEVuZE5vdGU+PENpdGU+PEF1dGhvcj5MYXBwYXM8L0F1dGhvcj48WWVhcj4yMDE4PC9ZZWFyPjxS
ZWNOdW0+ODk4PC9SZWNOdW0+PERpc3BsYXlUZXh0PihMYXBwYXMsIFR6b3J0emkgZXQgYWwuIDIw
MTgpPC9EaXNwbGF5VGV4dD48cmVjb3JkPjxyZWMtbnVtYmVyPjg5ODwvcmVjLW51bWJlcj48Zm9y
ZWlnbi1rZXlzPjxrZXkgYXBwPSJFTiIgZGItaWQ9InZ6eGRwZndkdXhmZWQyZXQ5cGF2eDk5anpz
c3hlYXB3dDVwNSIgdGltZXN0YW1wPSIxNTIxMDk5MzIwIj44OTg8L2tleT48a2V5IGFwcD0iRU5X
ZWIiIGRiLWlkPSIiPjA8L2tleT48L2ZvcmVpZ24ta2V5cz48cmVmLXR5cGUgbmFtZT0iSm91cm5h
bCBBcnRpY2xlIj4xNzwvcmVmLXR5cGU+PGNvbnRyaWJ1dG9ycz48YXV0aG9ycz48YXV0aG9yPkxh
cHBhcywgQS4gUy48L2F1dGhvcj48YXV0aG9yPlR6b3J0emksIEEuIFMuPC9hdXRob3I+PGF1dGhv
cj5Lb25zdGFudGluaWRpLCBFLiBNLjwvYXV0aG9yPjxhdXRob3I+VGVsb25pYXRpcywgUy4gSS48
L2F1dGhvcj48YXV0aG9yPlR6YXZhcmEsIEMuIEsuPC9hdXRob3I+PGF1dGhvcj5HZW5uaW1hdGEs
IFMuIEEuPC9hdXRob3I+PGF1dGhvcj5Lb3Vsb3VyaXMsIE4uIEcuPC9hdXRob3I+PGF1dGhvcj5C
ZWhyYWtpcywgUC4gSy48L2F1dGhvcj48L2F1dGhvcnM+PC9jb250cmlidXRvcnM+PGF1dGgtYWRk
cmVzcz4mcXVvdDtHZW9yZ2UgRC4gQmVocmFraXMgUmVzZWFyY2ggTGFiJnF1b3Q7IEhlbGxlbmlj
IENhbmNlciBTb2NpZXR5LCBBdGhlbnMsIEdyZWVjZS4mI3hEO0Jpb21lZGljYWwgUmVzZWFyY2gg
Rm91bmRhdGlvbiwgQWNhZGVteSBvZiBBdGhlbnMsIEF0aGVucywgR3JlZWNlLiYjeEQ7SW5zdGl0
dXRlIG9mIFB1YmxpYyBIZWFsdGgsIFRoZSBBbWVyaWNhbiBDb2xsZWdlIG9mIEdyZWVjZSwgQXRo
ZW5zLCBHcmVlY2UuJiN4RDtEZXBhcnRtZW50IG9mIEh5Z2llbmUsIEVwaWRlbWlvbG9neSBhbmQg
TWVkaWNhbCBTdGF0aXN0aWNzLCBOYXRpb25hbCBhbmQgS2Fwb2Rpc3RyaWFuIFVuaXZlcnNpdHkg
b2YgQXRoZW5zLCBNZWRpY2FsIFNjaG9vbCwgQXRoZW5zLCBHcmVlY2UuJiN4RDtSZXNwaXJhdG9y
eSBGdW5jdGlvbiBMYWJvcmF0b3J5LCAxc3QgUmVzcGlyYXRvcnkgTWVkaWNpbmUgRGVwYXJ0bWVu
dCwgU290aXJpYSBHZW5lcmFsIEhvc3BpdGFsLCBOYXRpb25hbCBhbmQgS2Fwb2Rpc3RyaWFuIFVu
aXZlcnNpdHkgb2YgQXRoZW5zLCBNZWRpY2FsIFNjaG9vbCwgQXRoZW5zLCBHcmVlY2UuPC9hdXRo
LWFkZHJlc3M+PHRpdGxlcz48dGl0bGU+U2hvcnQtdGVybSByZXNwaXJhdG9yeSBlZmZlY3RzIG9m
IGUtY2lnYXJldHRlcyBpbiBoZWFsdGh5IGluZGl2aWR1YWxzIGFuZCBzbW9rZXJzIHdpdGggYXN0
aG1hPC90aXRsZT48c2Vjb25kYXJ5LXRpdGxlPlJlc3Bpcm9sb2d5PC9zZWNvbmRhcnktdGl0bGU+
PGFsdC10aXRsZT5SZXNwaXJvbG9neSAoQ2FybHRvbiwgVmljLik8L2FsdC10aXRsZT48L3RpdGxl
cz48cGVyaW9kaWNhbD48ZnVsbC10aXRsZT5SZXNwaXJvbG9neTwvZnVsbC10aXRsZT48YWJici0x
PlJlc3Bpcm9sb2d5IChDYXJsdG9uLCBWaWMuKTwvYWJici0xPjwvcGVyaW9kaWNhbD48YWx0LXBl
cmlvZGljYWw+PGZ1bGwtdGl0bGU+UmVzcGlyb2xvZ3k8L2Z1bGwtdGl0bGU+PGFiYnItMT5SZXNw
aXJvbG9neSAoQ2FybHRvbiwgVmljLik8L2FiYnItMT48L2FsdC1wZXJpb2RpY2FsPjxwYWdlcz4y
OTEtMjk3PC9wYWdlcz48dm9sdW1lPjIzPC92b2x1bWU+PG51bWJlcj4zPC9udW1iZXI+PGVkaXRp
b24+MjAxNy8wOS8yNjwvZWRpdGlvbj48a2V5d29yZHM+PGtleXdvcmQ+YXN0aG1hPC9rZXl3b3Jk
PjxrZXl3b3JkPmUtY2lnYXJldHRlPC9rZXl3b3JkPjxrZXl3b3JkPmV4aGFsZWQgbml0cmljIG94
aWRlPC9rZXl3b3JkPjxrZXl3b3JkPmltcHVsc2Ugb3NjaWxsb21ldHJ5IHN5c3RlbTwva2V5d29y
ZD48a2V5d29yZD5wZXJpcGhlcmFsIGFpcndheSBvYnN0cnVjdGlvbjwva2V5d29yZD48L2tleXdv
cmRzPjxkYXRlcz48eWVhcj4yMDE4PC95ZWFyPjxwdWItZGF0ZXM+PGRhdGU+TWFyPC9kYXRlPjwv
cHViLWRhdGVzPjwvZGF0ZXM+PGlzYm4+MTMyMy03Nzk5PC9pc2JuPjxhY2Nlc3Npb24tbnVtPjI4
OTQ0NTMxPC9hY2Nlc3Npb24tbnVtPjx1cmxzPjwvdXJscz48ZWxlY3Ryb25pYy1yZXNvdXJjZS1u
dW0+MTAuMTExMS9yZXNwLjEzMTgwPC9lbGVjdHJvbmljLXJlc291cmNlLW51bT48cmVtb3RlLWRh
dGFiYXNlLXByb3ZpZGVyPk5MTTwvcmVtb3RlLWRhdGFiYXNlLXByb3ZpZGVyPjxsYW5ndWFnZT5l
bmc8L2xhbmd1YWdlPjwvcmVjb3JkPjwvQ2l0ZT48L0VuZE5vdGU+AG==
</w:fldData>
        </w:fldChar>
      </w:r>
      <w:r w:rsidRPr="00430400">
        <w:rPr>
          <w:sz w:val="24"/>
        </w:rPr>
        <w:instrText xml:space="preserve"> ADDIN EN.CITE.DATA </w:instrText>
      </w:r>
      <w:r w:rsidRPr="00430400">
        <w:rPr>
          <w:sz w:val="24"/>
        </w:rPr>
      </w:r>
      <w:r w:rsidRPr="00430400">
        <w:rPr>
          <w:sz w:val="24"/>
        </w:rPr>
        <w:fldChar w:fldCharType="end"/>
      </w:r>
      <w:r w:rsidRPr="00430400">
        <w:rPr>
          <w:sz w:val="24"/>
        </w:rPr>
      </w:r>
      <w:r w:rsidRPr="00430400">
        <w:rPr>
          <w:sz w:val="24"/>
        </w:rPr>
        <w:fldChar w:fldCharType="separate"/>
      </w:r>
      <w:r w:rsidRPr="00430400">
        <w:rPr>
          <w:noProof/>
          <w:sz w:val="24"/>
        </w:rPr>
        <w:t>(Lappas, Tzortzi et al. 2018)</w:t>
      </w:r>
      <w:r w:rsidRPr="00430400">
        <w:rPr>
          <w:sz w:val="24"/>
        </w:rPr>
        <w:fldChar w:fldCharType="end"/>
      </w:r>
      <w:r w:rsidRPr="00430400">
        <w:rPr>
          <w:sz w:val="24"/>
        </w:rPr>
        <w:t>. There was a control session where there were no liquid or resistance coils used and an experimental session where participants puffed on an e</w:t>
      </w:r>
      <w:r w:rsidRPr="00430400">
        <w:rPr>
          <w:sz w:val="24"/>
        </w:rPr>
        <w:noBreakHyphen/>
        <w:t xml:space="preserve">cigarette for 5 minutes only (containing propylene glycol 46.13% w/v, glycerol 34.3% w/v, nicotine 1.18% w/v, 12mg/ml nicotine, set to 3.7V). </w:t>
      </w:r>
      <w:r w:rsidRPr="00430400">
        <w:rPr>
          <w:b/>
          <w:sz w:val="24"/>
        </w:rPr>
        <w:t xml:space="preserve">Lung function </w:t>
      </w:r>
      <w:r w:rsidRPr="00430400">
        <w:rPr>
          <w:sz w:val="24"/>
        </w:rPr>
        <w:t>spirometry was used to test forced expiratory flow (FEF) (FEF25</w:t>
      </w:r>
      <w:r w:rsidRPr="00430400">
        <w:rPr>
          <w:sz w:val="24"/>
        </w:rPr>
        <w:noBreakHyphen/>
        <w:t>75%, FEF 25, FEF 50%, FEF 75%), forced expiratory volume in 1s (FEV</w:t>
      </w:r>
      <w:r w:rsidRPr="00430400">
        <w:rPr>
          <w:sz w:val="24"/>
          <w:vertAlign w:val="subscript"/>
        </w:rPr>
        <w:t>1</w:t>
      </w:r>
      <w:r w:rsidRPr="00430400">
        <w:rPr>
          <w:sz w:val="24"/>
        </w:rPr>
        <w:t>), forced vital capacity (FVC), FEV</w:t>
      </w:r>
      <w:r w:rsidRPr="00430400">
        <w:rPr>
          <w:sz w:val="24"/>
          <w:vertAlign w:val="subscript"/>
        </w:rPr>
        <w:t>1</w:t>
      </w:r>
      <w:r w:rsidRPr="00430400">
        <w:rPr>
          <w:sz w:val="24"/>
        </w:rPr>
        <w:t xml:space="preserve">/FVC ratio and resonance frequency (f </w:t>
      </w:r>
      <w:r w:rsidRPr="00430400">
        <w:rPr>
          <w:sz w:val="24"/>
          <w:vertAlign w:val="subscript"/>
        </w:rPr>
        <w:t>res</w:t>
      </w:r>
      <w:r w:rsidRPr="00430400">
        <w:rPr>
          <w:sz w:val="24"/>
        </w:rPr>
        <w:t xml:space="preserve">), as well as fractional exhaled nitric oxide (FeNO) and parameters of the impulse oscillometry system (IOS). Mild asthmatics exhibited lower baseline values on </w:t>
      </w:r>
      <w:r w:rsidRPr="00430400">
        <w:rPr>
          <w:b/>
          <w:sz w:val="24"/>
        </w:rPr>
        <w:t>spirometry</w:t>
      </w:r>
      <w:r w:rsidRPr="00430400">
        <w:rPr>
          <w:sz w:val="24"/>
        </w:rPr>
        <w:t xml:space="preserve"> tests for all parameters (p</w:t>
      </w:r>
      <w:r w:rsidRPr="00430400">
        <w:rPr>
          <w:rFonts w:cs="Calibri"/>
          <w:sz w:val="24"/>
        </w:rPr>
        <w:t>˂</w:t>
      </w:r>
      <w:r w:rsidRPr="00430400">
        <w:rPr>
          <w:sz w:val="24"/>
        </w:rPr>
        <w:t xml:space="preserve">0.05) except FVC. Mild asthmatics showed higher baseline </w:t>
      </w:r>
      <w:r w:rsidRPr="00430400">
        <w:rPr>
          <w:b/>
          <w:sz w:val="24"/>
        </w:rPr>
        <w:t xml:space="preserve">IOS </w:t>
      </w:r>
      <w:r w:rsidRPr="00430400">
        <w:rPr>
          <w:sz w:val="24"/>
        </w:rPr>
        <w:t>(Impulse Oscillometry System)</w:t>
      </w:r>
      <w:r w:rsidRPr="00430400">
        <w:rPr>
          <w:b/>
          <w:sz w:val="24"/>
        </w:rPr>
        <w:t xml:space="preserve"> values</w:t>
      </w:r>
      <w:r w:rsidRPr="00430400">
        <w:rPr>
          <w:sz w:val="24"/>
        </w:rPr>
        <w:t xml:space="preserve"> than healthy smokers for respiratory system total impedance at 5Hz (Z5), respiratory system resistance at HZ (R10) and resonance frequency (f</w:t>
      </w:r>
      <w:r w:rsidRPr="00430400">
        <w:rPr>
          <w:sz w:val="24"/>
          <w:vertAlign w:val="subscript"/>
        </w:rPr>
        <w:t>res</w:t>
      </w:r>
      <w:r w:rsidRPr="00430400">
        <w:rPr>
          <w:sz w:val="24"/>
        </w:rPr>
        <w:t>) (all p</w:t>
      </w:r>
      <w:r w:rsidRPr="00430400">
        <w:rPr>
          <w:rFonts w:cs="Calibri"/>
          <w:sz w:val="24"/>
        </w:rPr>
        <w:t>˂</w:t>
      </w:r>
      <w:r w:rsidRPr="00430400">
        <w:rPr>
          <w:sz w:val="24"/>
        </w:rPr>
        <w:t xml:space="preserve">0.05). FeNO values at baseline were not significantly different between groups for the control or experimental groups. </w:t>
      </w:r>
    </w:p>
    <w:p w14:paraId="793F568E" w14:textId="77777777" w:rsidR="00430400" w:rsidRPr="00430400" w:rsidRDefault="00430400" w:rsidP="00430400">
      <w:pPr>
        <w:spacing w:before="120" w:line="264" w:lineRule="auto"/>
        <w:rPr>
          <w:sz w:val="24"/>
        </w:rPr>
      </w:pPr>
      <w:r w:rsidRPr="00430400">
        <w:rPr>
          <w:sz w:val="24"/>
        </w:rPr>
        <w:t>For the experimental sessions, immediately post e</w:t>
      </w:r>
      <w:r w:rsidRPr="00430400">
        <w:rPr>
          <w:sz w:val="24"/>
        </w:rPr>
        <w:noBreakHyphen/>
        <w:t>cigarette use, both groups (healthy and mild asthmatic) exhibited a significant increase in respiratory system total impedance (as shown by IOS</w:t>
      </w:r>
      <w:r w:rsidRPr="00430400">
        <w:rPr>
          <w:b/>
          <w:sz w:val="24"/>
        </w:rPr>
        <w:t xml:space="preserve"> </w:t>
      </w:r>
      <w:r w:rsidRPr="00430400">
        <w:rPr>
          <w:sz w:val="24"/>
        </w:rPr>
        <w:t>values) at 5Hz (p&lt;0.001), respiratory system resistance at 5Hz (p&lt;0.001) at 10Hz (p</w:t>
      </w:r>
      <w:r w:rsidRPr="00430400">
        <w:rPr>
          <w:rFonts w:cs="Calibri"/>
          <w:sz w:val="24"/>
        </w:rPr>
        <w:t>˂</w:t>
      </w:r>
      <w:r w:rsidRPr="00430400">
        <w:rPr>
          <w:sz w:val="24"/>
        </w:rPr>
        <w:t>0.001) and 20 Hz (p&lt;0.05), resonant frequency (p&lt;0.001) and reactance area (p&lt;0.05). Mild asthmatics also showed greater effects (higher degree of change over time) after smoking an e</w:t>
      </w:r>
      <w:r w:rsidRPr="00430400">
        <w:rPr>
          <w:sz w:val="24"/>
        </w:rPr>
        <w:noBreakHyphen/>
        <w:t xml:space="preserve">cigarette than healthy smokers, as indicated by differences between respiratory system total impedance at 5Hz (P&lt;0.022), respiratory system resistance at 5Hz (p&lt;0.01) and respiratory system resistance at 10Hz (p&lt;0.01). </w:t>
      </w:r>
      <w:r w:rsidRPr="00430400">
        <w:rPr>
          <w:b/>
          <w:sz w:val="24"/>
        </w:rPr>
        <w:t>Fractional exhaled nitric oxide</w:t>
      </w:r>
      <w:r w:rsidRPr="00430400">
        <w:rPr>
          <w:sz w:val="24"/>
        </w:rPr>
        <w:t xml:space="preserve"> (FeNO) decreased significantly in both groups immediately after e</w:t>
      </w:r>
      <w:r w:rsidRPr="00430400">
        <w:rPr>
          <w:sz w:val="24"/>
        </w:rPr>
        <w:noBreakHyphen/>
        <w:t>cigarette use (p&lt;0.001). For FeNO, healthy smokers returned to baseline values in ≤ 15 minutes while the mild asthmatics maintained significantly lower values for an additional 15 minutes (p&lt;0.05) and returned to baseline values at 30 minutes post e</w:t>
      </w:r>
      <w:r w:rsidRPr="00430400">
        <w:rPr>
          <w:sz w:val="24"/>
        </w:rPr>
        <w:noBreakHyphen/>
        <w:t xml:space="preserve">cigarette use. </w:t>
      </w:r>
    </w:p>
    <w:p w14:paraId="0DE88B69" w14:textId="77777777" w:rsidR="00430400" w:rsidRPr="00430400" w:rsidRDefault="00430400" w:rsidP="00430400">
      <w:pPr>
        <w:spacing w:before="120" w:line="264" w:lineRule="auto"/>
        <w:rPr>
          <w:sz w:val="24"/>
        </w:rPr>
      </w:pPr>
      <w:r w:rsidRPr="00430400">
        <w:rPr>
          <w:sz w:val="24"/>
        </w:rPr>
        <w:t>The study showed that use of EVP was associated with greater short-term respiratory eﬀects indicating increased airway obstruction in dual users with mild asthma compared with those without.</w:t>
      </w:r>
    </w:p>
    <w:p w14:paraId="2D38FE82" w14:textId="77777777" w:rsidR="00430400" w:rsidRPr="00430400" w:rsidRDefault="00430400" w:rsidP="00430400">
      <w:pPr>
        <w:spacing w:before="120" w:line="264" w:lineRule="auto"/>
        <w:rPr>
          <w:sz w:val="24"/>
        </w:rPr>
      </w:pPr>
      <w:r w:rsidRPr="00430400">
        <w:rPr>
          <w:sz w:val="24"/>
        </w:rPr>
        <w:t xml:space="preserve">A prospective cohort study focussing on chronic obstructive pulmonary disorder (COPD) </w:t>
      </w:r>
      <w:r w:rsidRPr="00430400">
        <w:rPr>
          <w:sz w:val="24"/>
        </w:rPr>
        <w:fldChar w:fldCharType="begin"/>
      </w:r>
      <w:r w:rsidRPr="00430400">
        <w:rPr>
          <w:sz w:val="24"/>
        </w:rPr>
        <w:instrText xml:space="preserve"> ADDIN EN.CITE &lt;EndNote&gt;&lt;Cite&gt;&lt;Author&gt;Oelsner&lt;/Author&gt;&lt;Year&gt;2017&lt;/Year&gt;&lt;RecNum&gt;2026&lt;/RecNum&gt;&lt;DisplayText&gt;(Oelsner, Hoffman et al. 2017)&lt;/DisplayText&gt;&lt;record&gt;&lt;rec-number&gt;2026&lt;/rec-number&gt;&lt;foreign-keys&gt;&lt;key app="EN" db-id="vzxdpfwduxfed2et9pavx99jzssxeapwt5p5" timestamp="1521099534"&gt;2026&lt;/key&gt;&lt;key app="ENWeb" db-id=""&gt;0&lt;/key&gt;&lt;/foreign-keys&gt;&lt;ref-type name="Journal Article"&gt;17&lt;/ref-type&gt;&lt;contributors&gt;&lt;authors&gt;&lt;author&gt;Oelsner, E.&lt;/author&gt;&lt;author&gt;Hoffman, E. A.&lt;/author&gt;&lt;author&gt;Barjaktarevic, I.&lt;/author&gt;&lt;author&gt;Bleecker, E.&lt;/author&gt;&lt;author&gt;Cooper, C. B.&lt;/author&gt;&lt;author&gt;Comellas, A. P.&lt;/author&gt;&lt;author&gt;Couper, D.&lt;/author&gt;&lt;author&gt;Criner, G. J.&lt;/author&gt;&lt;author&gt;Dransfield, M.&lt;/author&gt;&lt;author&gt;Drummond, M. B.&lt;/author&gt;&lt;author&gt;Han, M. K.&lt;/author&gt;&lt;author&gt;Kanner, R. E.&lt;/author&gt;&lt;author&gt;Krishnan, J. A.&lt;/author&gt;&lt;author&gt;Martinez, F. J.&lt;/author&gt;&lt;author&gt;Paine, R.&lt;/author&gt;&lt;author&gt;Woodruff, P. G.&lt;/author&gt;&lt;author&gt;Bowled, R.&lt;/author&gt;&lt;author&gt;Hansel, N. N.&lt;/author&gt;&lt;author&gt;Barr, R. G.&lt;/author&gt;&lt;/authors&gt;&lt;/contributors&gt;&lt;titles&gt;&lt;title&gt;E-Cigarette Use And Lung Density On Computed Tomography. Subpopulations And Intermediate Outcome Measures In COPD Study (spiromics)&lt;/title&gt;&lt;secondary-title&gt;American Journal of Respiratory and Critical Care Medicine&lt;/secondary-title&gt;&lt;/titles&gt;&lt;periodical&gt;&lt;full-title&gt;Am J Respir Crit Care Med&lt;/full-title&gt;&lt;abbr-1&gt;American journal of respiratory and critical care medicine&lt;/abbr-1&gt;&lt;/periodical&gt;&lt;volume&gt;195&lt;/volume&gt;&lt;dates&gt;&lt;year&gt;2017&lt;/year&gt;&lt;pub-dates&gt;&lt;date&gt;2017&lt;/date&gt;&lt;/pub-dates&gt;&lt;/dates&gt;&lt;isbn&gt;1073-449X&lt;/isbn&gt;&lt;accession-num&gt;WOS:000400372507436&lt;/accession-num&gt;&lt;urls&gt;&lt;related-urls&gt;&lt;url&gt;&amp;lt;Go to ISI&amp;gt;://WOS:000400372507436&lt;/url&gt;&lt;/related-urls&gt;&lt;/urls&gt;&lt;/record&gt;&lt;/Cite&gt;&lt;/EndNote&gt;</w:instrText>
      </w:r>
      <w:r w:rsidRPr="00430400">
        <w:rPr>
          <w:sz w:val="24"/>
        </w:rPr>
        <w:fldChar w:fldCharType="separate"/>
      </w:r>
      <w:r w:rsidRPr="00430400">
        <w:rPr>
          <w:noProof/>
          <w:sz w:val="24"/>
        </w:rPr>
        <w:t>(Oelsner, Hoffman et al. 2017)</w:t>
      </w:r>
      <w:r w:rsidRPr="00430400">
        <w:rPr>
          <w:sz w:val="24"/>
        </w:rPr>
        <w:fldChar w:fldCharType="end"/>
      </w:r>
      <w:r w:rsidRPr="00430400">
        <w:rPr>
          <w:sz w:val="24"/>
        </w:rPr>
        <w:t xml:space="preserve"> included a cross sectional analysis of </w:t>
      </w:r>
      <w:r w:rsidRPr="00430400">
        <w:rPr>
          <w:b/>
          <w:sz w:val="24"/>
        </w:rPr>
        <w:t>lung density</w:t>
      </w:r>
      <w:r w:rsidRPr="00430400">
        <w:rPr>
          <w:sz w:val="24"/>
        </w:rPr>
        <w:t xml:space="preserve"> amongst its (self</w:t>
      </w:r>
      <w:r w:rsidRPr="00430400">
        <w:rPr>
          <w:sz w:val="24"/>
        </w:rPr>
        <w:noBreakHyphen/>
        <w:t xml:space="preserve">reported) </w:t>
      </w:r>
      <w:r w:rsidRPr="00430400">
        <w:rPr>
          <w:sz w:val="24"/>
        </w:rPr>
        <w:lastRenderedPageBreak/>
        <w:t>ever</w:t>
      </w:r>
      <w:r w:rsidRPr="00430400">
        <w:rPr>
          <w:sz w:val="24"/>
        </w:rPr>
        <w:noBreakHyphen/>
        <w:t>smokers (n=981), including ever e</w:t>
      </w:r>
      <w:r w:rsidRPr="00430400">
        <w:rPr>
          <w:sz w:val="24"/>
        </w:rPr>
        <w:noBreakHyphen/>
        <w:t xml:space="preserve">cigarette users (n=125) with and without COPD </w:t>
      </w:r>
      <w:r w:rsidRPr="00430400">
        <w:rPr>
          <w:sz w:val="24"/>
        </w:rPr>
        <w:fldChar w:fldCharType="begin"/>
      </w:r>
      <w:r w:rsidRPr="00430400">
        <w:rPr>
          <w:sz w:val="24"/>
        </w:rPr>
        <w:instrText xml:space="preserve"> ADDIN EN.CITE &lt;EndNote&gt;&lt;Cite&gt;&lt;Author&gt;Oelsner&lt;/Author&gt;&lt;Year&gt;2017&lt;/Year&gt;&lt;RecNum&gt;2026&lt;/RecNum&gt;&lt;DisplayText&gt;(Oelsner, Hoffman et al. 2017)&lt;/DisplayText&gt;&lt;record&gt;&lt;rec-number&gt;2026&lt;/rec-number&gt;&lt;foreign-keys&gt;&lt;key app="EN" db-id="vzxdpfwduxfed2et9pavx99jzssxeapwt5p5" timestamp="1521099534"&gt;2026&lt;/key&gt;&lt;key app="ENWeb" db-id=""&gt;0&lt;/key&gt;&lt;/foreign-keys&gt;&lt;ref-type name="Journal Article"&gt;17&lt;/ref-type&gt;&lt;contributors&gt;&lt;authors&gt;&lt;author&gt;Oelsner, E.&lt;/author&gt;&lt;author&gt;Hoffman, E. A.&lt;/author&gt;&lt;author&gt;Barjaktarevic, I.&lt;/author&gt;&lt;author&gt;Bleecker, E.&lt;/author&gt;&lt;author&gt;Cooper, C. B.&lt;/author&gt;&lt;author&gt;Comellas, A. P.&lt;/author&gt;&lt;author&gt;Couper, D.&lt;/author&gt;&lt;author&gt;Criner, G. J.&lt;/author&gt;&lt;author&gt;Dransfield, M.&lt;/author&gt;&lt;author&gt;Drummond, M. B.&lt;/author&gt;&lt;author&gt;Han, M. K.&lt;/author&gt;&lt;author&gt;Kanner, R. E.&lt;/author&gt;&lt;author&gt;Krishnan, J. A.&lt;/author&gt;&lt;author&gt;Martinez, F. J.&lt;/author&gt;&lt;author&gt;Paine, R.&lt;/author&gt;&lt;author&gt;Woodruff, P. G.&lt;/author&gt;&lt;author&gt;Bowled, R.&lt;/author&gt;&lt;author&gt;Hansel, N. N.&lt;/author&gt;&lt;author&gt;Barr, R. G.&lt;/author&gt;&lt;/authors&gt;&lt;/contributors&gt;&lt;titles&gt;&lt;title&gt;E-Cigarette Use And Lung Density On Computed Tomography. Subpopulations And Intermediate Outcome Measures In COPD Study (spiromics)&lt;/title&gt;&lt;secondary-title&gt;American Journal of Respiratory and Critical Care Medicine&lt;/secondary-title&gt;&lt;/titles&gt;&lt;periodical&gt;&lt;full-title&gt;Am J Respir Crit Care Med&lt;/full-title&gt;&lt;abbr-1&gt;American journal of respiratory and critical care medicine&lt;/abbr-1&gt;&lt;/periodical&gt;&lt;volume&gt;195&lt;/volume&gt;&lt;dates&gt;&lt;year&gt;2017&lt;/year&gt;&lt;pub-dates&gt;&lt;date&gt;2017&lt;/date&gt;&lt;/pub-dates&gt;&lt;/dates&gt;&lt;isbn&gt;1073-449X&lt;/isbn&gt;&lt;accession-num&gt;WOS:000400372507436&lt;/accession-num&gt;&lt;urls&gt;&lt;related-urls&gt;&lt;url&gt;&amp;lt;Go to ISI&amp;gt;://WOS:000400372507436&lt;/url&gt;&lt;/related-urls&gt;&lt;/urls&gt;&lt;/record&gt;&lt;/Cite&gt;&lt;/EndNote&gt;</w:instrText>
      </w:r>
      <w:r w:rsidRPr="00430400">
        <w:rPr>
          <w:sz w:val="24"/>
        </w:rPr>
        <w:fldChar w:fldCharType="separate"/>
      </w:r>
      <w:r w:rsidRPr="00430400">
        <w:rPr>
          <w:noProof/>
          <w:sz w:val="24"/>
        </w:rPr>
        <w:t>(Oelsner, Hoffman et al. 2017)</w:t>
      </w:r>
      <w:r w:rsidRPr="00430400">
        <w:rPr>
          <w:sz w:val="24"/>
        </w:rPr>
        <w:fldChar w:fldCharType="end"/>
      </w:r>
      <w:r w:rsidRPr="00430400">
        <w:rPr>
          <w:sz w:val="24"/>
        </w:rPr>
        <w:t>. The study undertook CT scans to determine the lung density of dual users of conventional and e</w:t>
      </w:r>
      <w:r w:rsidRPr="00430400">
        <w:rPr>
          <w:sz w:val="24"/>
        </w:rPr>
        <w:noBreakHyphen/>
        <w:t>cigarettes (n=16), current conventional cigarette smokers without e</w:t>
      </w:r>
      <w:r w:rsidRPr="00430400">
        <w:rPr>
          <w:sz w:val="24"/>
        </w:rPr>
        <w:noBreakHyphen/>
        <w:t>cigarette use (n=326), former conventional cigarette smokers with current e</w:t>
      </w:r>
      <w:r w:rsidRPr="00430400">
        <w:rPr>
          <w:sz w:val="24"/>
        </w:rPr>
        <w:noBreakHyphen/>
        <w:t>cigarette use (n=9) and former smokers without e</w:t>
      </w:r>
      <w:r w:rsidRPr="00430400">
        <w:rPr>
          <w:sz w:val="24"/>
        </w:rPr>
        <w:noBreakHyphen/>
        <w:t>cigarette use (n=628). Lung density was measured by Low Attenuation Areas in the lungs (LAA</w:t>
      </w:r>
      <w:r w:rsidRPr="00430400">
        <w:rPr>
          <w:sz w:val="24"/>
        </w:rPr>
        <w:noBreakHyphen/>
        <w:t xml:space="preserve">910) – this is defined as a percentage of total lung voxels less than </w:t>
      </w:r>
      <w:r w:rsidRPr="00430400">
        <w:rPr>
          <w:sz w:val="24"/>
        </w:rPr>
        <w:noBreakHyphen/>
        <w:t>910 Hounsfield Units on inspiratory CT (LAA</w:t>
      </w:r>
      <w:r w:rsidRPr="00430400">
        <w:rPr>
          <w:sz w:val="24"/>
        </w:rPr>
        <w:noBreakHyphen/>
        <w:t xml:space="preserve">910) (higher scores show a lower lung density/lung attenuation). </w:t>
      </w:r>
    </w:p>
    <w:p w14:paraId="7E888003" w14:textId="77777777" w:rsidR="00430400" w:rsidRPr="00430400" w:rsidRDefault="00430400" w:rsidP="00430400">
      <w:pPr>
        <w:spacing w:before="120" w:line="264" w:lineRule="auto"/>
        <w:rPr>
          <w:sz w:val="24"/>
        </w:rPr>
      </w:pPr>
      <w:r w:rsidRPr="00430400">
        <w:rPr>
          <w:sz w:val="24"/>
        </w:rPr>
        <w:t>It was found that the mean LAA</w:t>
      </w:r>
      <w:r w:rsidRPr="00430400">
        <w:rPr>
          <w:sz w:val="24"/>
        </w:rPr>
        <w:noBreakHyphen/>
        <w:t>910 was higher in 16 dual users of conventional and e</w:t>
      </w:r>
      <w:r w:rsidRPr="00430400">
        <w:rPr>
          <w:sz w:val="24"/>
        </w:rPr>
        <w:noBreakHyphen/>
        <w:t>cigarettes compared to 326 current smokers without e</w:t>
      </w:r>
      <w:r w:rsidRPr="00430400">
        <w:rPr>
          <w:sz w:val="24"/>
        </w:rPr>
        <w:noBreakHyphen/>
        <w:t>cigarette use (27% vs 19%) and in 9 former smokers with current e</w:t>
      </w:r>
      <w:r w:rsidRPr="00430400">
        <w:rPr>
          <w:sz w:val="24"/>
        </w:rPr>
        <w:noBreakHyphen/>
        <w:t>cigarette use versus 628 former smokers without e</w:t>
      </w:r>
      <w:r w:rsidRPr="00430400">
        <w:rPr>
          <w:sz w:val="24"/>
        </w:rPr>
        <w:noBreakHyphen/>
        <w:t>cigarette use (38% vs 31%). Current use of e</w:t>
      </w:r>
      <w:r w:rsidRPr="00430400">
        <w:rPr>
          <w:sz w:val="24"/>
        </w:rPr>
        <w:noBreakHyphen/>
        <w:t>cigarettes was associated with significantly higher LAA</w:t>
      </w:r>
      <w:r w:rsidRPr="00430400">
        <w:rPr>
          <w:sz w:val="24"/>
        </w:rPr>
        <w:noBreakHyphen/>
        <w:t>910 (p=0.028) whereas conventional cigarette use was associated with lower LAA</w:t>
      </w:r>
      <w:r w:rsidRPr="00430400">
        <w:rPr>
          <w:sz w:val="24"/>
        </w:rPr>
        <w:noBreakHyphen/>
        <w:t xml:space="preserve">910 (p </w:t>
      </w:r>
      <w:r w:rsidRPr="00430400">
        <w:rPr>
          <w:rFonts w:cs="Calibri"/>
          <w:sz w:val="24"/>
        </w:rPr>
        <w:t>˂</w:t>
      </w:r>
      <w:r w:rsidRPr="00430400">
        <w:rPr>
          <w:sz w:val="24"/>
        </w:rPr>
        <w:t xml:space="preserve"> 0.001). In adjusted models, </w:t>
      </w:r>
      <w:r w:rsidRPr="00430400">
        <w:rPr>
          <w:b/>
          <w:sz w:val="24"/>
        </w:rPr>
        <w:t>current e</w:t>
      </w:r>
      <w:r w:rsidRPr="00430400">
        <w:rPr>
          <w:b/>
          <w:sz w:val="24"/>
        </w:rPr>
        <w:noBreakHyphen/>
        <w:t>cigarette use showed a trend towards higher LAA</w:t>
      </w:r>
      <w:r w:rsidRPr="00430400">
        <w:rPr>
          <w:b/>
          <w:sz w:val="24"/>
        </w:rPr>
        <w:noBreakHyphen/>
        <w:t>910</w:t>
      </w:r>
      <w:r w:rsidRPr="00430400">
        <w:rPr>
          <w:sz w:val="24"/>
        </w:rPr>
        <w:t xml:space="preserve"> (+5.1%, 95% CI </w:t>
      </w:r>
      <w:r w:rsidRPr="00430400">
        <w:rPr>
          <w:sz w:val="24"/>
        </w:rPr>
        <w:noBreakHyphen/>
        <w:t>0.7% to 10.9%, p=0.086), however this association was not independent of total lung volume on CT, which was significantly higher in e</w:t>
      </w:r>
      <w:r w:rsidRPr="00430400">
        <w:rPr>
          <w:sz w:val="24"/>
        </w:rPr>
        <w:noBreakHyphen/>
        <w:t xml:space="preserve">cigarette users (+0.60 L, 95%CI 0.16 to 1.05, p=0.008). </w:t>
      </w:r>
    </w:p>
    <w:p w14:paraId="55A3FB89" w14:textId="77777777" w:rsidR="00430400" w:rsidRPr="00430400" w:rsidRDefault="00430400" w:rsidP="00430400">
      <w:pPr>
        <w:spacing w:before="120" w:line="264" w:lineRule="auto"/>
        <w:rPr>
          <w:sz w:val="24"/>
        </w:rPr>
      </w:pPr>
      <w:r w:rsidRPr="00430400">
        <w:rPr>
          <w:sz w:val="24"/>
        </w:rPr>
        <w:t>The study (reported in abstract form) concluded that current e</w:t>
      </w:r>
      <w:r w:rsidRPr="00430400">
        <w:rPr>
          <w:sz w:val="24"/>
        </w:rPr>
        <w:noBreakHyphen/>
        <w:t>cigarette use showed a trend towards association with lower CT lung density, attributed to larger lung volume. There was only a small number of current e</w:t>
      </w:r>
      <w:r w:rsidRPr="00430400">
        <w:rPr>
          <w:sz w:val="24"/>
        </w:rPr>
        <w:noBreakHyphen/>
        <w:t>cigarette users in the study (i.e. only 9 former smokers with current e</w:t>
      </w:r>
      <w:r w:rsidRPr="00430400">
        <w:rPr>
          <w:sz w:val="24"/>
        </w:rPr>
        <w:noBreakHyphen/>
        <w:t>cigarette use) and further investigation is required. It was also unclear how long the e</w:t>
      </w:r>
      <w:r w:rsidRPr="00430400">
        <w:rPr>
          <w:sz w:val="24"/>
        </w:rPr>
        <w:noBreakHyphen/>
        <w:t>cigarette users had used e</w:t>
      </w:r>
      <w:r w:rsidRPr="00430400">
        <w:rPr>
          <w:sz w:val="24"/>
        </w:rPr>
        <w:noBreakHyphen/>
        <w:t>cigarettes based on information reported.</w:t>
      </w:r>
    </w:p>
    <w:p w14:paraId="0EF587C5" w14:textId="77777777" w:rsidR="00430400" w:rsidRPr="00430400" w:rsidRDefault="00430400" w:rsidP="00430400">
      <w:pPr>
        <w:spacing w:before="120" w:line="264" w:lineRule="auto"/>
        <w:rPr>
          <w:sz w:val="24"/>
        </w:rPr>
      </w:pPr>
    </w:p>
    <w:p w14:paraId="74A3F704" w14:textId="77777777" w:rsidR="00EC7C92" w:rsidRDefault="00430400" w:rsidP="00430400">
      <w:pPr>
        <w:spacing w:before="120" w:line="264" w:lineRule="auto"/>
        <w:rPr>
          <w:sz w:val="24"/>
        </w:rPr>
      </w:pPr>
      <w:r w:rsidRPr="00430400">
        <w:rPr>
          <w:sz w:val="24"/>
        </w:rPr>
        <w:t>Reidel et al.’s US cross</w:t>
      </w:r>
      <w:r w:rsidRPr="00430400">
        <w:rPr>
          <w:sz w:val="24"/>
        </w:rPr>
        <w:noBreakHyphen/>
        <w:t>sectional study (n=44) sought to understand how exposure to e</w:t>
      </w:r>
      <w:r w:rsidRPr="00430400">
        <w:rPr>
          <w:sz w:val="24"/>
        </w:rPr>
        <w:noBreakHyphen/>
        <w:t xml:space="preserve">cigarette vapours modifies </w:t>
      </w:r>
      <w:r w:rsidRPr="00430400">
        <w:rPr>
          <w:b/>
          <w:sz w:val="24"/>
        </w:rPr>
        <w:t>human airway biology</w:t>
      </w:r>
      <w:r w:rsidRPr="00430400">
        <w:rPr>
          <w:sz w:val="24"/>
        </w:rPr>
        <w:t xml:space="preserve"> compared with traditional cigarette smoking, to identify the effects e</w:t>
      </w:r>
      <w:r w:rsidRPr="00430400">
        <w:rPr>
          <w:sz w:val="24"/>
        </w:rPr>
        <w:noBreakHyphen/>
        <w:t>cigarettes might have on lung physiology and to determine how the use of e</w:t>
      </w:r>
      <w:r w:rsidRPr="00430400">
        <w:rPr>
          <w:sz w:val="24"/>
        </w:rPr>
        <w:noBreakHyphen/>
        <w:t xml:space="preserve">cigarettes and conventional cigarettes impacts the airway innate immune response </w:t>
      </w:r>
      <w:r w:rsidRPr="00430400">
        <w:rPr>
          <w:sz w:val="24"/>
        </w:rPr>
        <w:fldChar w:fldCharType="begin">
          <w:fldData xml:space="preserve">PEVuZE5vdGU+PENpdGU+PEF1dGhvcj5SZWlkZWw8L0F1dGhvcj48WWVhcj4yMDE4PC9ZZWFyPjxS
ZWNOdW0+ODUxPC9SZWNOdW0+PERpc3BsYXlUZXh0PihSZWlkZWwsIFJhZGljaW9uaSBldCBhbC4g
MjAxOCk8L0Rpc3BsYXlUZXh0PjxyZWNvcmQ+PHJlYy1udW1iZXI+ODUxPC9yZWMtbnVtYmVyPjxm
b3JlaWduLWtleXM+PGtleSBhcHA9IkVOIiBkYi1pZD0idnp4ZHBmd2R1eGZlZDJldDlwYXZ4OTlq
enNzeGVhcHd0NXA1IiB0aW1lc3RhbXA9IjE1MjEwOTkzMTAiPjg1MTwva2V5PjxrZXkgYXBwPSJF
TldlYiIgZGItaWQ9IiI+MDwva2V5PjwvZm9yZWlnbi1rZXlzPjxyZWYtdHlwZSBuYW1lPSJKb3Vy
bmFsIEFydGljbGUiPjE3PC9yZWYtdHlwZT48Y29udHJpYnV0b3JzPjxhdXRob3JzPjxhdXRob3I+
UmVpZGVsLCBCLjwvYXV0aG9yPjxhdXRob3I+UmFkaWNpb25pLCBHLjwvYXV0aG9yPjxhdXRob3I+
Q2xhcHAsIFAuIFcuPC9hdXRob3I+PGF1dGhvcj5Gb3JkLCBBLiBBLjwvYXV0aG9yPjxhdXRob3I+
QWJkZWx3YWhhYiwgUy48L2F1dGhvcj48YXV0aG9yPlJlYnVsaSwgTS4gRS48L2F1dGhvcj48YXV0
aG9yPkhhcmlkYXNzLCBQLjwvYXV0aG9yPjxhdXRob3I+QWxleGlzLCBOLiBFLjwvYXV0aG9yPjxh
dXRob3I+SmFzcGVycywgSS48L2F1dGhvcj48YXV0aG9yPktlc2ltZXIsIE0uPC9hdXRob3I+PC9h
dXRob3JzPjwvY29udHJpYnV0b3JzPjxhdXRoLWFkZHJlc3M+MSBNYXJzaWNvIEx1bmcgSW5zdGl0
dXRlLiYjeEQ7MiBEZXBhcnRtZW50IG9mIFBhdGhvbG9neSBhbmQgTGFib3JhdG9yeSBNZWRpY2lu
ZSwgYW5kLiYjeEQ7MyBEZXBhcnRtZW50IG9mIFBlZGlhdHJpY3MsIFRoZSBVbml2ZXJzaXR5IG9m
IE5vcnRoIENhcm9saW5hIGF0IENoYXBlbCBIaWxsLCBDaGFwZWwgSGlsbCwgTm9ydGggQ2Fyb2xp
bmEuPC9hdXRoLWFkZHJlc3M+PHRpdGxlcz48dGl0bGU+RS1DaWdhcmV0dGUgVXNlIENhdXNlcyBh
IFVuaXF1ZSBJbm5hdGUgSW1tdW5lIFJlc3BvbnNlIGluIHRoZSBMdW5nLCBJbnZvbHZpbmcgSW5j
cmVhc2VkIE5ldXRyb3BoaWxpYyBBY3RpdmF0aW9uIGFuZCBBbHRlcmVkIE11Y2luIFNlY3JldGlv
bjwvdGl0bGU+PHNlY29uZGFyeS10aXRsZT5BbSBKIFJlc3BpciBDcml0IENhcmUgTWVkPC9zZWNv
bmRhcnktdGl0bGU+PGFsdC10aXRsZT5BbWVyaWNhbiBqb3VybmFsIG9mIHJlc3BpcmF0b3J5IGFu
ZCBjcml0aWNhbCBjYXJlIG1lZGljaW5lPC9hbHQtdGl0bGU+PC90aXRsZXM+PHBlcmlvZGljYWw+
PGZ1bGwtdGl0bGU+QW0gSiBSZXNwaXIgQ3JpdCBDYXJlIE1lZDwvZnVsbC10aXRsZT48YWJici0x
PkFtZXJpY2FuIGpvdXJuYWwgb2YgcmVzcGlyYXRvcnkgYW5kIGNyaXRpY2FsIGNhcmUgbWVkaWNp
bmU8L2FiYnItMT48L3BlcmlvZGljYWw+PGFsdC1wZXJpb2RpY2FsPjxmdWxsLXRpdGxlPkFtIEog
UmVzcGlyIENyaXQgQ2FyZSBNZWQ8L2Z1bGwtdGl0bGU+PGFiYnItMT5BbWVyaWNhbiBqb3VybmFs
IG9mIHJlc3BpcmF0b3J5IGFuZCBjcml0aWNhbCBjYXJlIG1lZGljaW5lPC9hYmJyLTE+PC9hbHQt
cGVyaW9kaWNhbD48cGFnZXM+NDkyLTUwMTwvcGFnZXM+PHZvbHVtZT4xOTc8L3ZvbHVtZT48bnVt
YmVyPjQ8L251bWJlcj48ZWRpdGlvbj4yMDE3LzEwLzIxPC9lZGl0aW9uPjxrZXl3b3Jkcz48a2V5
d29yZD5OZXQ8L2tleXdvcmQ+PGtleXdvcmQ+ZS1jaWdhcmV0dGU8L2tleXdvcmQ+PGtleXdvcmQ+
bHVuZzwva2V5d29yZD48a2V5d29yZD5tdWNpbjwva2V5d29yZD48a2V5d29yZD5uZXV0cm9waGls
PC9rZXl3b3JkPjwva2V5d29yZHM+PGRhdGVzPjx5ZWFyPjIwMTg8L3llYXI+PHB1Yi1kYXRlcz48
ZGF0ZT5GZWIgMTU8L2RhdGU+PC9wdWItZGF0ZXM+PC9kYXRlcz48aXNibj4xMDczLTQ0OXg8L2lz
Ym4+PGFjY2Vzc2lvbi1udW0+MjkwNTMwMjU8L2FjY2Vzc2lvbi1udW0+PHVybHM+PC91cmxzPjxj
dXN0b20yPlBNQzU4MjE5MDk8L2N1c3RvbTI+PGVsZWN0cm9uaWMtcmVzb3VyY2UtbnVtPjEwLjEx
NjQvcmNjbS4yMDE3MDgtMTU5ME9DPC9lbGVjdHJvbmljLXJlc291cmNlLW51bT48cmVtb3RlLWRh
dGFiYXNlLXByb3ZpZGVyPk5MTTwvcmVtb3RlLWRhdGFiYXNlLXByb3ZpZGVyPjxsYW5ndWFnZT5l
bmc8L2xhbmd1YWdlPjwvcmVjb3JkPjwvQ2l0ZT48L0VuZE5vdGU+
</w:fldData>
        </w:fldChar>
      </w:r>
      <w:r w:rsidRPr="00430400">
        <w:rPr>
          <w:sz w:val="24"/>
        </w:rPr>
        <w:instrText xml:space="preserve"> ADDIN EN.CITE </w:instrText>
      </w:r>
      <w:r w:rsidRPr="00430400">
        <w:rPr>
          <w:sz w:val="24"/>
        </w:rPr>
        <w:fldChar w:fldCharType="begin">
          <w:fldData xml:space="preserve">PEVuZE5vdGU+PENpdGU+PEF1dGhvcj5SZWlkZWw8L0F1dGhvcj48WWVhcj4yMDE4PC9ZZWFyPjxS
ZWNOdW0+ODUxPC9SZWNOdW0+PERpc3BsYXlUZXh0PihSZWlkZWwsIFJhZGljaW9uaSBldCBhbC4g
MjAxOCk8L0Rpc3BsYXlUZXh0PjxyZWNvcmQ+PHJlYy1udW1iZXI+ODUxPC9yZWMtbnVtYmVyPjxm
b3JlaWduLWtleXM+PGtleSBhcHA9IkVOIiBkYi1pZD0idnp4ZHBmd2R1eGZlZDJldDlwYXZ4OTlq
enNzeGVhcHd0NXA1IiB0aW1lc3RhbXA9IjE1MjEwOTkzMTAiPjg1MTwva2V5PjxrZXkgYXBwPSJF
TldlYiIgZGItaWQ9IiI+MDwva2V5PjwvZm9yZWlnbi1rZXlzPjxyZWYtdHlwZSBuYW1lPSJKb3Vy
bmFsIEFydGljbGUiPjE3PC9yZWYtdHlwZT48Y29udHJpYnV0b3JzPjxhdXRob3JzPjxhdXRob3I+
UmVpZGVsLCBCLjwvYXV0aG9yPjxhdXRob3I+UmFkaWNpb25pLCBHLjwvYXV0aG9yPjxhdXRob3I+
Q2xhcHAsIFAuIFcuPC9hdXRob3I+PGF1dGhvcj5Gb3JkLCBBLiBBLjwvYXV0aG9yPjxhdXRob3I+
QWJkZWx3YWhhYiwgUy48L2F1dGhvcj48YXV0aG9yPlJlYnVsaSwgTS4gRS48L2F1dGhvcj48YXV0
aG9yPkhhcmlkYXNzLCBQLjwvYXV0aG9yPjxhdXRob3I+QWxleGlzLCBOLiBFLjwvYXV0aG9yPjxh
dXRob3I+SmFzcGVycywgSS48L2F1dGhvcj48YXV0aG9yPktlc2ltZXIsIE0uPC9hdXRob3I+PC9h
dXRob3JzPjwvY29udHJpYnV0b3JzPjxhdXRoLWFkZHJlc3M+MSBNYXJzaWNvIEx1bmcgSW5zdGl0
dXRlLiYjeEQ7MiBEZXBhcnRtZW50IG9mIFBhdGhvbG9neSBhbmQgTGFib3JhdG9yeSBNZWRpY2lu
ZSwgYW5kLiYjeEQ7MyBEZXBhcnRtZW50IG9mIFBlZGlhdHJpY3MsIFRoZSBVbml2ZXJzaXR5IG9m
IE5vcnRoIENhcm9saW5hIGF0IENoYXBlbCBIaWxsLCBDaGFwZWwgSGlsbCwgTm9ydGggQ2Fyb2xp
bmEuPC9hdXRoLWFkZHJlc3M+PHRpdGxlcz48dGl0bGU+RS1DaWdhcmV0dGUgVXNlIENhdXNlcyBh
IFVuaXF1ZSBJbm5hdGUgSW1tdW5lIFJlc3BvbnNlIGluIHRoZSBMdW5nLCBJbnZvbHZpbmcgSW5j
cmVhc2VkIE5ldXRyb3BoaWxpYyBBY3RpdmF0aW9uIGFuZCBBbHRlcmVkIE11Y2luIFNlY3JldGlv
bjwvdGl0bGU+PHNlY29uZGFyeS10aXRsZT5BbSBKIFJlc3BpciBDcml0IENhcmUgTWVkPC9zZWNv
bmRhcnktdGl0bGU+PGFsdC10aXRsZT5BbWVyaWNhbiBqb3VybmFsIG9mIHJlc3BpcmF0b3J5IGFu
ZCBjcml0aWNhbCBjYXJlIG1lZGljaW5lPC9hbHQtdGl0bGU+PC90aXRsZXM+PHBlcmlvZGljYWw+
PGZ1bGwtdGl0bGU+QW0gSiBSZXNwaXIgQ3JpdCBDYXJlIE1lZDwvZnVsbC10aXRsZT48YWJici0x
PkFtZXJpY2FuIGpvdXJuYWwgb2YgcmVzcGlyYXRvcnkgYW5kIGNyaXRpY2FsIGNhcmUgbWVkaWNp
bmU8L2FiYnItMT48L3BlcmlvZGljYWw+PGFsdC1wZXJpb2RpY2FsPjxmdWxsLXRpdGxlPkFtIEog
UmVzcGlyIENyaXQgQ2FyZSBNZWQ8L2Z1bGwtdGl0bGU+PGFiYnItMT5BbWVyaWNhbiBqb3VybmFs
IG9mIHJlc3BpcmF0b3J5IGFuZCBjcml0aWNhbCBjYXJlIG1lZGljaW5lPC9hYmJyLTE+PC9hbHQt
cGVyaW9kaWNhbD48cGFnZXM+NDkyLTUwMTwvcGFnZXM+PHZvbHVtZT4xOTc8L3ZvbHVtZT48bnVt
YmVyPjQ8L251bWJlcj48ZWRpdGlvbj4yMDE3LzEwLzIxPC9lZGl0aW9uPjxrZXl3b3Jkcz48a2V5
d29yZD5OZXQ8L2tleXdvcmQ+PGtleXdvcmQ+ZS1jaWdhcmV0dGU8L2tleXdvcmQ+PGtleXdvcmQ+
bHVuZzwva2V5d29yZD48a2V5d29yZD5tdWNpbjwva2V5d29yZD48a2V5d29yZD5uZXV0cm9waGls
PC9rZXl3b3JkPjwva2V5d29yZHM+PGRhdGVzPjx5ZWFyPjIwMTg8L3llYXI+PHB1Yi1kYXRlcz48
ZGF0ZT5GZWIgMTU8L2RhdGU+PC9wdWItZGF0ZXM+PC9kYXRlcz48aXNibj4xMDczLTQ0OXg8L2lz
Ym4+PGFjY2Vzc2lvbi1udW0+MjkwNTMwMjU8L2FjY2Vzc2lvbi1udW0+PHVybHM+PC91cmxzPjxj
dXN0b20yPlBNQzU4MjE5MDk8L2N1c3RvbTI+PGVsZWN0cm9uaWMtcmVzb3VyY2UtbnVtPjEwLjEx
NjQvcmNjbS4yMDE3MDgtMTU5ME9DPC9lbGVjdHJvbmljLXJlc291cmNlLW51bT48cmVtb3RlLWRh
dGFiYXNlLXByb3ZpZGVyPk5MTTwvcmVtb3RlLWRhdGFiYXNlLXByb3ZpZGVyPjxsYW5ndWFnZT5l
bmc8L2xhbmd1YWdlPjwvcmVjb3JkPjwvQ2l0ZT48L0VuZE5vdGU+
</w:fldData>
        </w:fldChar>
      </w:r>
      <w:r w:rsidRPr="00430400">
        <w:rPr>
          <w:sz w:val="24"/>
        </w:rPr>
        <w:instrText xml:space="preserve"> ADDIN EN.CITE.DATA </w:instrText>
      </w:r>
      <w:r w:rsidRPr="00430400">
        <w:rPr>
          <w:sz w:val="24"/>
        </w:rPr>
      </w:r>
      <w:r w:rsidRPr="00430400">
        <w:rPr>
          <w:sz w:val="24"/>
        </w:rPr>
        <w:fldChar w:fldCharType="end"/>
      </w:r>
      <w:r w:rsidRPr="00430400">
        <w:rPr>
          <w:sz w:val="24"/>
        </w:rPr>
      </w:r>
      <w:r w:rsidRPr="00430400">
        <w:rPr>
          <w:sz w:val="24"/>
        </w:rPr>
        <w:fldChar w:fldCharType="separate"/>
      </w:r>
      <w:r w:rsidRPr="00430400">
        <w:rPr>
          <w:noProof/>
          <w:sz w:val="24"/>
        </w:rPr>
        <w:t>(Reidel, Radicioni et al. 2018)</w:t>
      </w:r>
      <w:r w:rsidRPr="00430400">
        <w:rPr>
          <w:sz w:val="24"/>
        </w:rPr>
        <w:fldChar w:fldCharType="end"/>
      </w:r>
      <w:r w:rsidRPr="00430400">
        <w:rPr>
          <w:sz w:val="24"/>
        </w:rPr>
        <w:t>. The primarily in</w:t>
      </w:r>
      <w:r w:rsidRPr="00430400">
        <w:rPr>
          <w:sz w:val="24"/>
        </w:rPr>
        <w:noBreakHyphen/>
        <w:t>vitro study collected sputum, plasma and urine samples (the latter two samples in order to test cotinine and NNAL, discussed elsewhere) from 14 current cigarette smokers, 15 current e</w:t>
      </w:r>
      <w:r w:rsidRPr="00430400">
        <w:rPr>
          <w:sz w:val="24"/>
        </w:rPr>
        <w:noBreakHyphen/>
        <w:t>cigarette users and 15 never smokers. Compared with non</w:t>
      </w:r>
      <w:r w:rsidRPr="00430400">
        <w:rPr>
          <w:sz w:val="24"/>
        </w:rPr>
        <w:noBreakHyphen/>
        <w:t>smokers, induced sputum from e</w:t>
      </w:r>
      <w:r w:rsidRPr="00430400">
        <w:rPr>
          <w:sz w:val="24"/>
        </w:rPr>
        <w:noBreakHyphen/>
        <w:t xml:space="preserve">cigarette users contained approximately 81 proteins with significantly altered abundance, compared with approximately 44 proteins with altered abundance in sputum from cigarette smokers. </w:t>
      </w:r>
    </w:p>
    <w:p w14:paraId="7C66519A" w14:textId="51485122" w:rsidR="00430400" w:rsidRPr="00430400" w:rsidRDefault="00430400" w:rsidP="00430400">
      <w:pPr>
        <w:spacing w:before="120" w:line="264" w:lineRule="auto"/>
        <w:rPr>
          <w:sz w:val="24"/>
        </w:rPr>
      </w:pPr>
      <w:r w:rsidRPr="00430400">
        <w:rPr>
          <w:sz w:val="24"/>
        </w:rPr>
        <w:t xml:space="preserve">The Reidel et al. study particularly noted: </w:t>
      </w:r>
    </w:p>
    <w:p w14:paraId="7C557442" w14:textId="77777777" w:rsidR="00430400" w:rsidRPr="00430400" w:rsidRDefault="00430400" w:rsidP="00430400">
      <w:pPr>
        <w:numPr>
          <w:ilvl w:val="0"/>
          <w:numId w:val="75"/>
        </w:numPr>
        <w:spacing w:before="120" w:line="264" w:lineRule="auto"/>
        <w:rPr>
          <w:sz w:val="24"/>
        </w:rPr>
      </w:pPr>
      <w:r w:rsidRPr="00430400">
        <w:rPr>
          <w:sz w:val="24"/>
        </w:rPr>
        <w:t>The increased abundance in the sputum of e</w:t>
      </w:r>
      <w:r w:rsidRPr="00430400">
        <w:rPr>
          <w:sz w:val="24"/>
        </w:rPr>
        <w:noBreakHyphen/>
        <w:t>cigarette users of secreted proteins related to the innate defence functions of leukocytes: these included primary neutrophil granule proteins, such as neutrophil elastase (NE), proteinase 3, azurocidin 1 and myeloperoxidase (MPO) where levels were significantly higher in e</w:t>
      </w:r>
      <w:r w:rsidRPr="00430400">
        <w:rPr>
          <w:sz w:val="24"/>
        </w:rPr>
        <w:noBreakHyphen/>
        <w:t>cigarette users than in cigarette smokers or non</w:t>
      </w:r>
      <w:r w:rsidRPr="00430400">
        <w:rPr>
          <w:sz w:val="24"/>
        </w:rPr>
        <w:noBreakHyphen/>
        <w:t>smokers, with slightly (but non</w:t>
      </w:r>
      <w:r w:rsidRPr="00430400">
        <w:rPr>
          <w:sz w:val="24"/>
        </w:rPr>
        <w:noBreakHyphen/>
        <w:t xml:space="preserve">significantly) increased levels in the cigarette user group. </w:t>
      </w:r>
    </w:p>
    <w:p w14:paraId="7559F6CB" w14:textId="77777777" w:rsidR="00430400" w:rsidRPr="00430400" w:rsidRDefault="00430400" w:rsidP="00430400">
      <w:pPr>
        <w:numPr>
          <w:ilvl w:val="0"/>
          <w:numId w:val="75"/>
        </w:numPr>
        <w:spacing w:before="120" w:line="264" w:lineRule="auto"/>
        <w:rPr>
          <w:sz w:val="24"/>
        </w:rPr>
      </w:pPr>
      <w:r w:rsidRPr="00430400">
        <w:rPr>
          <w:sz w:val="24"/>
        </w:rPr>
        <w:t>E</w:t>
      </w:r>
      <w:r w:rsidRPr="00430400">
        <w:rPr>
          <w:sz w:val="24"/>
        </w:rPr>
        <w:noBreakHyphen/>
        <w:t>cigarette users had significantly higher aldehyde</w:t>
      </w:r>
      <w:r w:rsidRPr="00430400">
        <w:rPr>
          <w:sz w:val="24"/>
        </w:rPr>
        <w:noBreakHyphen/>
        <w:t>detoxification and oxidative stress</w:t>
      </w:r>
      <w:r w:rsidRPr="00430400">
        <w:rPr>
          <w:sz w:val="24"/>
        </w:rPr>
        <w:noBreakHyphen/>
        <w:t>related proteins associated with cigarette smoke compared with non</w:t>
      </w:r>
      <w:r w:rsidRPr="00430400">
        <w:rPr>
          <w:sz w:val="24"/>
        </w:rPr>
        <w:noBreakHyphen/>
        <w:t xml:space="preserve">smokers. </w:t>
      </w:r>
    </w:p>
    <w:p w14:paraId="175DBC77" w14:textId="77777777" w:rsidR="00430400" w:rsidRPr="00430400" w:rsidRDefault="00430400" w:rsidP="00430400">
      <w:pPr>
        <w:numPr>
          <w:ilvl w:val="0"/>
          <w:numId w:val="75"/>
        </w:numPr>
        <w:spacing w:before="120" w:line="264" w:lineRule="auto"/>
        <w:rPr>
          <w:sz w:val="24"/>
        </w:rPr>
      </w:pPr>
      <w:r w:rsidRPr="00430400">
        <w:rPr>
          <w:sz w:val="24"/>
        </w:rPr>
        <w:t>In cigarette smokers, there was an upregulation of markers known to be associated with smoking (the secreted aldehyde</w:t>
      </w:r>
      <w:r w:rsidRPr="00430400">
        <w:rPr>
          <w:sz w:val="24"/>
        </w:rPr>
        <w:noBreakHyphen/>
        <w:t xml:space="preserve">detoxifying enzyme aldehyde dehydrogenase 3A1 </w:t>
      </w:r>
      <w:r w:rsidRPr="00430400">
        <w:rPr>
          <w:sz w:val="24"/>
        </w:rPr>
        <w:lastRenderedPageBreak/>
        <w:t>ALDH3A1, microseminoprotein B and nucleobindin</w:t>
      </w:r>
      <w:r w:rsidRPr="00430400">
        <w:rPr>
          <w:sz w:val="24"/>
        </w:rPr>
        <w:noBreakHyphen/>
        <w:t>1 and antithrombin 3) as well as oxidative stress response proteins (e.g. thioredoxin and gluthione S</w:t>
      </w:r>
      <w:r w:rsidRPr="00430400">
        <w:rPr>
          <w:sz w:val="24"/>
        </w:rPr>
        <w:noBreakHyphen/>
        <w:t>transferase). However, the levels of other known in vivo and in vitro markers of cigarette smoke exposure were also elevated in the e</w:t>
      </w:r>
      <w:r w:rsidRPr="00430400">
        <w:rPr>
          <w:sz w:val="24"/>
        </w:rPr>
        <w:noBreakHyphen/>
        <w:t>cigarette users (e.g. ALDH3A1, thioredoxin and glutathione S</w:t>
      </w:r>
      <w:r w:rsidRPr="00430400">
        <w:rPr>
          <w:sz w:val="24"/>
        </w:rPr>
        <w:noBreakHyphen/>
        <w:t xml:space="preserve">transferase). </w:t>
      </w:r>
    </w:p>
    <w:p w14:paraId="0213D84F" w14:textId="77777777" w:rsidR="00430400" w:rsidRPr="00430400" w:rsidRDefault="00430400" w:rsidP="00430400">
      <w:pPr>
        <w:numPr>
          <w:ilvl w:val="0"/>
          <w:numId w:val="75"/>
        </w:numPr>
        <w:spacing w:before="120" w:line="264" w:lineRule="auto"/>
        <w:rPr>
          <w:sz w:val="24"/>
        </w:rPr>
      </w:pPr>
      <w:r w:rsidRPr="00430400">
        <w:rPr>
          <w:sz w:val="24"/>
        </w:rPr>
        <w:t>There were elevated levels of mucosal defence proteins in the sputum of cigarette smokers but not e</w:t>
      </w:r>
      <w:r w:rsidRPr="00430400">
        <w:rPr>
          <w:sz w:val="24"/>
        </w:rPr>
        <w:noBreakHyphen/>
        <w:t>cigarette users. Conversely, levels of defence proteins such as deleted in malignant brain tumors 1 (DMBT1) and Endoproteinase Lys</w:t>
      </w:r>
      <w:r w:rsidRPr="00430400">
        <w:rPr>
          <w:sz w:val="24"/>
        </w:rPr>
        <w:noBreakHyphen/>
        <w:t>C (LYSC) were significantly lower in e</w:t>
      </w:r>
      <w:r w:rsidRPr="00430400">
        <w:rPr>
          <w:sz w:val="24"/>
        </w:rPr>
        <w:noBreakHyphen/>
        <w:t>cigarette users when compared with non</w:t>
      </w:r>
      <w:r w:rsidRPr="00430400">
        <w:rPr>
          <w:sz w:val="24"/>
        </w:rPr>
        <w:noBreakHyphen/>
        <w:t xml:space="preserve">smokers. </w:t>
      </w:r>
    </w:p>
    <w:p w14:paraId="4E5DEF38" w14:textId="77777777" w:rsidR="00430400" w:rsidRPr="00430400" w:rsidRDefault="00430400" w:rsidP="00430400">
      <w:pPr>
        <w:numPr>
          <w:ilvl w:val="0"/>
          <w:numId w:val="75"/>
        </w:numPr>
        <w:spacing w:before="120" w:line="264" w:lineRule="auto"/>
        <w:rPr>
          <w:sz w:val="24"/>
        </w:rPr>
      </w:pPr>
      <w:r w:rsidRPr="00430400">
        <w:rPr>
          <w:sz w:val="24"/>
        </w:rPr>
        <w:t>Levels of innate defence proteins associated with chronic obstructive pulmonary disease, such as elastase and matrix metalloproteinase</w:t>
      </w:r>
      <w:r w:rsidRPr="00430400">
        <w:rPr>
          <w:sz w:val="24"/>
        </w:rPr>
        <w:noBreakHyphen/>
        <w:t>9, were also significantly elevated in e</w:t>
      </w:r>
      <w:r w:rsidRPr="00430400">
        <w:rPr>
          <w:sz w:val="24"/>
        </w:rPr>
        <w:noBreakHyphen/>
        <w:t>cigarette users.</w:t>
      </w:r>
    </w:p>
    <w:p w14:paraId="04AF0ABF" w14:textId="51D7C191" w:rsidR="00430400" w:rsidRPr="00430400" w:rsidRDefault="00430400" w:rsidP="00430400">
      <w:pPr>
        <w:numPr>
          <w:ilvl w:val="0"/>
          <w:numId w:val="75"/>
        </w:numPr>
        <w:spacing w:before="120" w:line="264" w:lineRule="auto"/>
        <w:rPr>
          <w:sz w:val="24"/>
        </w:rPr>
      </w:pPr>
      <w:r w:rsidRPr="00430400">
        <w:rPr>
          <w:sz w:val="24"/>
        </w:rPr>
        <w:t>E</w:t>
      </w:r>
      <w:r w:rsidRPr="00430400">
        <w:rPr>
          <w:sz w:val="24"/>
        </w:rPr>
        <w:noBreakHyphen/>
        <w:t>cigarette users' sputum also exhibited significant abundance of neutrophil granulocyte</w:t>
      </w:r>
      <w:r w:rsidRPr="00430400">
        <w:rPr>
          <w:sz w:val="24"/>
        </w:rPr>
        <w:noBreakHyphen/>
        <w:t>related and NET related proteins, such as myeloperoxidase (MPO), azurocidin</w:t>
      </w:r>
      <w:r w:rsidR="001E52F0">
        <w:rPr>
          <w:sz w:val="24"/>
        </w:rPr>
        <w:t> </w:t>
      </w:r>
      <w:r w:rsidRPr="00430400">
        <w:rPr>
          <w:sz w:val="24"/>
        </w:rPr>
        <w:t>1, and protein</w:t>
      </w:r>
      <w:r w:rsidRPr="00430400">
        <w:rPr>
          <w:sz w:val="24"/>
        </w:rPr>
        <w:noBreakHyphen/>
        <w:t>arginine deiminase 4, despite no significant elevation in neutrophil cell counts. Peripheral neutrophils from e</w:t>
      </w:r>
      <w:r w:rsidRPr="00430400">
        <w:rPr>
          <w:sz w:val="24"/>
        </w:rPr>
        <w:noBreakHyphen/>
        <w:t>cigarette users showed increased susceptibility to phorbol 12</w:t>
      </w:r>
      <w:r w:rsidRPr="00430400">
        <w:rPr>
          <w:sz w:val="24"/>
        </w:rPr>
        <w:noBreakHyphen/>
        <w:t>myristate 13 acetate</w:t>
      </w:r>
      <w:r w:rsidRPr="00430400">
        <w:rPr>
          <w:sz w:val="24"/>
        </w:rPr>
        <w:noBreakHyphen/>
        <w:t xml:space="preserve">induced NETosis. </w:t>
      </w:r>
    </w:p>
    <w:p w14:paraId="4A3BEBDF" w14:textId="77777777" w:rsidR="00430400" w:rsidRPr="00430400" w:rsidRDefault="00430400" w:rsidP="00430400">
      <w:pPr>
        <w:numPr>
          <w:ilvl w:val="0"/>
          <w:numId w:val="75"/>
        </w:numPr>
        <w:spacing w:before="120" w:line="264" w:lineRule="auto"/>
        <w:rPr>
          <w:sz w:val="24"/>
        </w:rPr>
      </w:pPr>
      <w:r w:rsidRPr="00430400">
        <w:rPr>
          <w:sz w:val="24"/>
        </w:rPr>
        <w:t>A compositional change in the gel</w:t>
      </w:r>
      <w:r w:rsidRPr="00430400">
        <w:rPr>
          <w:sz w:val="24"/>
        </w:rPr>
        <w:noBreakHyphen/>
        <w:t>forming building blocks of airway mucus (i.e. elevated concentration of mucin) was observed in both cigarette smokers and e</w:t>
      </w:r>
      <w:r w:rsidRPr="00430400">
        <w:rPr>
          <w:sz w:val="24"/>
        </w:rPr>
        <w:noBreakHyphen/>
        <w:t xml:space="preserve">cigarette users </w:t>
      </w:r>
      <w:r w:rsidRPr="00430400">
        <w:rPr>
          <w:sz w:val="24"/>
        </w:rPr>
        <w:fldChar w:fldCharType="begin">
          <w:fldData xml:space="preserve">PEVuZE5vdGU+PENpdGU+PEF1dGhvcj5SZWlkZWw8L0F1dGhvcj48WWVhcj4yMDE4PC9ZZWFyPjxS
ZWNOdW0+ODUxPC9SZWNOdW0+PERpc3BsYXlUZXh0PihSZWlkZWwsIFJhZGljaW9uaSBldCBhbC4g
MjAxOCk8L0Rpc3BsYXlUZXh0PjxyZWNvcmQ+PHJlYy1udW1iZXI+ODUxPC9yZWMtbnVtYmVyPjxm
b3JlaWduLWtleXM+PGtleSBhcHA9IkVOIiBkYi1pZD0idnp4ZHBmd2R1eGZlZDJldDlwYXZ4OTlq
enNzeGVhcHd0NXA1IiB0aW1lc3RhbXA9IjE1MjEwOTkzMTAiPjg1MTwva2V5PjxrZXkgYXBwPSJF
TldlYiIgZGItaWQ9IiI+MDwva2V5PjwvZm9yZWlnbi1rZXlzPjxyZWYtdHlwZSBuYW1lPSJKb3Vy
bmFsIEFydGljbGUiPjE3PC9yZWYtdHlwZT48Y29udHJpYnV0b3JzPjxhdXRob3JzPjxhdXRob3I+
UmVpZGVsLCBCLjwvYXV0aG9yPjxhdXRob3I+UmFkaWNpb25pLCBHLjwvYXV0aG9yPjxhdXRob3I+
Q2xhcHAsIFAuIFcuPC9hdXRob3I+PGF1dGhvcj5Gb3JkLCBBLiBBLjwvYXV0aG9yPjxhdXRob3I+
QWJkZWx3YWhhYiwgUy48L2F1dGhvcj48YXV0aG9yPlJlYnVsaSwgTS4gRS48L2F1dGhvcj48YXV0
aG9yPkhhcmlkYXNzLCBQLjwvYXV0aG9yPjxhdXRob3I+QWxleGlzLCBOLiBFLjwvYXV0aG9yPjxh
dXRob3I+SmFzcGVycywgSS48L2F1dGhvcj48YXV0aG9yPktlc2ltZXIsIE0uPC9hdXRob3I+PC9h
dXRob3JzPjwvY29udHJpYnV0b3JzPjxhdXRoLWFkZHJlc3M+MSBNYXJzaWNvIEx1bmcgSW5zdGl0
dXRlLiYjeEQ7MiBEZXBhcnRtZW50IG9mIFBhdGhvbG9neSBhbmQgTGFib3JhdG9yeSBNZWRpY2lu
ZSwgYW5kLiYjeEQ7MyBEZXBhcnRtZW50IG9mIFBlZGlhdHJpY3MsIFRoZSBVbml2ZXJzaXR5IG9m
IE5vcnRoIENhcm9saW5hIGF0IENoYXBlbCBIaWxsLCBDaGFwZWwgSGlsbCwgTm9ydGggQ2Fyb2xp
bmEuPC9hdXRoLWFkZHJlc3M+PHRpdGxlcz48dGl0bGU+RS1DaWdhcmV0dGUgVXNlIENhdXNlcyBh
IFVuaXF1ZSBJbm5hdGUgSW1tdW5lIFJlc3BvbnNlIGluIHRoZSBMdW5nLCBJbnZvbHZpbmcgSW5j
cmVhc2VkIE5ldXRyb3BoaWxpYyBBY3RpdmF0aW9uIGFuZCBBbHRlcmVkIE11Y2luIFNlY3JldGlv
bjwvdGl0bGU+PHNlY29uZGFyeS10aXRsZT5BbSBKIFJlc3BpciBDcml0IENhcmUgTWVkPC9zZWNv
bmRhcnktdGl0bGU+PGFsdC10aXRsZT5BbWVyaWNhbiBqb3VybmFsIG9mIHJlc3BpcmF0b3J5IGFu
ZCBjcml0aWNhbCBjYXJlIG1lZGljaW5lPC9hbHQtdGl0bGU+PC90aXRsZXM+PHBlcmlvZGljYWw+
PGZ1bGwtdGl0bGU+QW0gSiBSZXNwaXIgQ3JpdCBDYXJlIE1lZDwvZnVsbC10aXRsZT48YWJici0x
PkFtZXJpY2FuIGpvdXJuYWwgb2YgcmVzcGlyYXRvcnkgYW5kIGNyaXRpY2FsIGNhcmUgbWVkaWNp
bmU8L2FiYnItMT48L3BlcmlvZGljYWw+PGFsdC1wZXJpb2RpY2FsPjxmdWxsLXRpdGxlPkFtIEog
UmVzcGlyIENyaXQgQ2FyZSBNZWQ8L2Z1bGwtdGl0bGU+PGFiYnItMT5BbWVyaWNhbiBqb3VybmFs
IG9mIHJlc3BpcmF0b3J5IGFuZCBjcml0aWNhbCBjYXJlIG1lZGljaW5lPC9hYmJyLTE+PC9hbHQt
cGVyaW9kaWNhbD48cGFnZXM+NDkyLTUwMTwvcGFnZXM+PHZvbHVtZT4xOTc8L3ZvbHVtZT48bnVt
YmVyPjQ8L251bWJlcj48ZWRpdGlvbj4yMDE3LzEwLzIxPC9lZGl0aW9uPjxrZXl3b3Jkcz48a2V5
d29yZD5OZXQ8L2tleXdvcmQ+PGtleXdvcmQ+ZS1jaWdhcmV0dGU8L2tleXdvcmQ+PGtleXdvcmQ+
bHVuZzwva2V5d29yZD48a2V5d29yZD5tdWNpbjwva2V5d29yZD48a2V5d29yZD5uZXV0cm9waGls
PC9rZXl3b3JkPjwva2V5d29yZHM+PGRhdGVzPjx5ZWFyPjIwMTg8L3llYXI+PHB1Yi1kYXRlcz48
ZGF0ZT5GZWIgMTU8L2RhdGU+PC9wdWItZGF0ZXM+PC9kYXRlcz48aXNibj4xMDczLTQ0OXg8L2lz
Ym4+PGFjY2Vzc2lvbi1udW0+MjkwNTMwMjU8L2FjY2Vzc2lvbi1udW0+PHVybHM+PC91cmxzPjxj
dXN0b20yPlBNQzU4MjE5MDk8L2N1c3RvbTI+PGVsZWN0cm9uaWMtcmVzb3VyY2UtbnVtPjEwLjEx
NjQvcmNjbS4yMDE3MDgtMTU5ME9DPC9lbGVjdHJvbmljLXJlc291cmNlLW51bT48cmVtb3RlLWRh
dGFiYXNlLXByb3ZpZGVyPk5MTTwvcmVtb3RlLWRhdGFiYXNlLXByb3ZpZGVyPjxsYW5ndWFnZT5l
bmc8L2xhbmd1YWdlPjwvcmVjb3JkPjwvQ2l0ZT48L0VuZE5vdGU+
</w:fldData>
        </w:fldChar>
      </w:r>
      <w:r w:rsidRPr="00430400">
        <w:rPr>
          <w:sz w:val="24"/>
        </w:rPr>
        <w:instrText xml:space="preserve"> ADDIN EN.CITE </w:instrText>
      </w:r>
      <w:r w:rsidRPr="00430400">
        <w:rPr>
          <w:sz w:val="24"/>
        </w:rPr>
        <w:fldChar w:fldCharType="begin">
          <w:fldData xml:space="preserve">PEVuZE5vdGU+PENpdGU+PEF1dGhvcj5SZWlkZWw8L0F1dGhvcj48WWVhcj4yMDE4PC9ZZWFyPjxS
ZWNOdW0+ODUxPC9SZWNOdW0+PERpc3BsYXlUZXh0PihSZWlkZWwsIFJhZGljaW9uaSBldCBhbC4g
MjAxOCk8L0Rpc3BsYXlUZXh0PjxyZWNvcmQ+PHJlYy1udW1iZXI+ODUxPC9yZWMtbnVtYmVyPjxm
b3JlaWduLWtleXM+PGtleSBhcHA9IkVOIiBkYi1pZD0idnp4ZHBmd2R1eGZlZDJldDlwYXZ4OTlq
enNzeGVhcHd0NXA1IiB0aW1lc3RhbXA9IjE1MjEwOTkzMTAiPjg1MTwva2V5PjxrZXkgYXBwPSJF
TldlYiIgZGItaWQ9IiI+MDwva2V5PjwvZm9yZWlnbi1rZXlzPjxyZWYtdHlwZSBuYW1lPSJKb3Vy
bmFsIEFydGljbGUiPjE3PC9yZWYtdHlwZT48Y29udHJpYnV0b3JzPjxhdXRob3JzPjxhdXRob3I+
UmVpZGVsLCBCLjwvYXV0aG9yPjxhdXRob3I+UmFkaWNpb25pLCBHLjwvYXV0aG9yPjxhdXRob3I+
Q2xhcHAsIFAuIFcuPC9hdXRob3I+PGF1dGhvcj5Gb3JkLCBBLiBBLjwvYXV0aG9yPjxhdXRob3I+
QWJkZWx3YWhhYiwgUy48L2F1dGhvcj48YXV0aG9yPlJlYnVsaSwgTS4gRS48L2F1dGhvcj48YXV0
aG9yPkhhcmlkYXNzLCBQLjwvYXV0aG9yPjxhdXRob3I+QWxleGlzLCBOLiBFLjwvYXV0aG9yPjxh
dXRob3I+SmFzcGVycywgSS48L2F1dGhvcj48YXV0aG9yPktlc2ltZXIsIE0uPC9hdXRob3I+PC9h
dXRob3JzPjwvY29udHJpYnV0b3JzPjxhdXRoLWFkZHJlc3M+MSBNYXJzaWNvIEx1bmcgSW5zdGl0
dXRlLiYjeEQ7MiBEZXBhcnRtZW50IG9mIFBhdGhvbG9neSBhbmQgTGFib3JhdG9yeSBNZWRpY2lu
ZSwgYW5kLiYjeEQ7MyBEZXBhcnRtZW50IG9mIFBlZGlhdHJpY3MsIFRoZSBVbml2ZXJzaXR5IG9m
IE5vcnRoIENhcm9saW5hIGF0IENoYXBlbCBIaWxsLCBDaGFwZWwgSGlsbCwgTm9ydGggQ2Fyb2xp
bmEuPC9hdXRoLWFkZHJlc3M+PHRpdGxlcz48dGl0bGU+RS1DaWdhcmV0dGUgVXNlIENhdXNlcyBh
IFVuaXF1ZSBJbm5hdGUgSW1tdW5lIFJlc3BvbnNlIGluIHRoZSBMdW5nLCBJbnZvbHZpbmcgSW5j
cmVhc2VkIE5ldXRyb3BoaWxpYyBBY3RpdmF0aW9uIGFuZCBBbHRlcmVkIE11Y2luIFNlY3JldGlv
bjwvdGl0bGU+PHNlY29uZGFyeS10aXRsZT5BbSBKIFJlc3BpciBDcml0IENhcmUgTWVkPC9zZWNv
bmRhcnktdGl0bGU+PGFsdC10aXRsZT5BbWVyaWNhbiBqb3VybmFsIG9mIHJlc3BpcmF0b3J5IGFu
ZCBjcml0aWNhbCBjYXJlIG1lZGljaW5lPC9hbHQtdGl0bGU+PC90aXRsZXM+PHBlcmlvZGljYWw+
PGZ1bGwtdGl0bGU+QW0gSiBSZXNwaXIgQ3JpdCBDYXJlIE1lZDwvZnVsbC10aXRsZT48YWJici0x
PkFtZXJpY2FuIGpvdXJuYWwgb2YgcmVzcGlyYXRvcnkgYW5kIGNyaXRpY2FsIGNhcmUgbWVkaWNp
bmU8L2FiYnItMT48L3BlcmlvZGljYWw+PGFsdC1wZXJpb2RpY2FsPjxmdWxsLXRpdGxlPkFtIEog
UmVzcGlyIENyaXQgQ2FyZSBNZWQ8L2Z1bGwtdGl0bGU+PGFiYnItMT5BbWVyaWNhbiBqb3VybmFs
IG9mIHJlc3BpcmF0b3J5IGFuZCBjcml0aWNhbCBjYXJlIG1lZGljaW5lPC9hYmJyLTE+PC9hbHQt
cGVyaW9kaWNhbD48cGFnZXM+NDkyLTUwMTwvcGFnZXM+PHZvbHVtZT4xOTc8L3ZvbHVtZT48bnVt
YmVyPjQ8L251bWJlcj48ZWRpdGlvbj4yMDE3LzEwLzIxPC9lZGl0aW9uPjxrZXl3b3Jkcz48a2V5
d29yZD5OZXQ8L2tleXdvcmQ+PGtleXdvcmQ+ZS1jaWdhcmV0dGU8L2tleXdvcmQ+PGtleXdvcmQ+
bHVuZzwva2V5d29yZD48a2V5d29yZD5tdWNpbjwva2V5d29yZD48a2V5d29yZD5uZXV0cm9waGls
PC9rZXl3b3JkPjwva2V5d29yZHM+PGRhdGVzPjx5ZWFyPjIwMTg8L3llYXI+PHB1Yi1kYXRlcz48
ZGF0ZT5GZWIgMTU8L2RhdGU+PC9wdWItZGF0ZXM+PC9kYXRlcz48aXNibj4xMDczLTQ0OXg8L2lz
Ym4+PGFjY2Vzc2lvbi1udW0+MjkwNTMwMjU8L2FjY2Vzc2lvbi1udW0+PHVybHM+PC91cmxzPjxj
dXN0b20yPlBNQzU4MjE5MDk8L2N1c3RvbTI+PGVsZWN0cm9uaWMtcmVzb3VyY2UtbnVtPjEwLjEx
NjQvcmNjbS4yMDE3MDgtMTU5ME9DPC9lbGVjdHJvbmljLXJlc291cmNlLW51bT48cmVtb3RlLWRh
dGFiYXNlLXByb3ZpZGVyPk5MTTwvcmVtb3RlLWRhdGFiYXNlLXByb3ZpZGVyPjxsYW5ndWFnZT5l
bmc8L2xhbmd1YWdlPjwvcmVjb3JkPjwvQ2l0ZT48L0VuZE5vdGU+
</w:fldData>
        </w:fldChar>
      </w:r>
      <w:r w:rsidRPr="00430400">
        <w:rPr>
          <w:sz w:val="24"/>
        </w:rPr>
        <w:instrText xml:space="preserve"> ADDIN EN.CITE.DATA </w:instrText>
      </w:r>
      <w:r w:rsidRPr="00430400">
        <w:rPr>
          <w:sz w:val="24"/>
        </w:rPr>
      </w:r>
      <w:r w:rsidRPr="00430400">
        <w:rPr>
          <w:sz w:val="24"/>
        </w:rPr>
        <w:fldChar w:fldCharType="end"/>
      </w:r>
      <w:r w:rsidRPr="00430400">
        <w:rPr>
          <w:sz w:val="24"/>
        </w:rPr>
      </w:r>
      <w:r w:rsidRPr="00430400">
        <w:rPr>
          <w:sz w:val="24"/>
        </w:rPr>
        <w:fldChar w:fldCharType="separate"/>
      </w:r>
      <w:r w:rsidRPr="00430400">
        <w:rPr>
          <w:noProof/>
          <w:sz w:val="24"/>
        </w:rPr>
        <w:t>(Reidel, Radicioni et al. 2018)</w:t>
      </w:r>
      <w:r w:rsidRPr="00430400">
        <w:rPr>
          <w:sz w:val="24"/>
        </w:rPr>
        <w:fldChar w:fldCharType="end"/>
      </w:r>
      <w:r w:rsidRPr="00430400">
        <w:rPr>
          <w:sz w:val="24"/>
        </w:rPr>
        <w:t xml:space="preserve">. </w:t>
      </w:r>
    </w:p>
    <w:p w14:paraId="77D4A379" w14:textId="77777777" w:rsidR="00430400" w:rsidRPr="00430400" w:rsidRDefault="00430400" w:rsidP="00430400">
      <w:pPr>
        <w:spacing w:before="120" w:line="264" w:lineRule="auto"/>
        <w:rPr>
          <w:sz w:val="24"/>
        </w:rPr>
      </w:pPr>
      <w:r w:rsidRPr="00430400">
        <w:rPr>
          <w:sz w:val="24"/>
        </w:rPr>
        <w:t xml:space="preserve">The Reidel et al. </w:t>
      </w:r>
      <w:r w:rsidRPr="00430400">
        <w:rPr>
          <w:sz w:val="24"/>
        </w:rPr>
        <w:fldChar w:fldCharType="begin">
          <w:fldData xml:space="preserve">PEVuZE5vdGU+PENpdGU+PEF1dGhvcj5SZWlkZWw8L0F1dGhvcj48WWVhcj4yMDE4PC9ZZWFyPjxS
ZWNOdW0+ODUwPC9SZWNOdW0+PERpc3BsYXlUZXh0PihSZWlkZWwsIFJhZGljaW9uaSBldCBhbC4g
MjAxOCk8L0Rpc3BsYXlUZXh0PjxyZWNvcmQ+PHJlYy1udW1iZXI+ODUwPC9yZWMtbnVtYmVyPjxm
b3JlaWduLWtleXM+PGtleSBhcHA9IkVOIiBkYi1pZD0iOXowNWR6MHByYWFkZnVlZTB6b3h6ZWRr
OXpmZTVmeHg1MHo1IiB0aW1lc3RhbXA9IjE1MjE1MDY5NDIiPjg1MDwva2V5PjxrZXkgYXBwPSJF
TldlYiIgZGItaWQ9IiI+MDwva2V5PjwvZm9yZWlnbi1rZXlzPjxyZWYtdHlwZSBuYW1lPSJKb3Vy
bmFsIEFydGljbGUiPjE3PC9yZWYtdHlwZT48Y29udHJpYnV0b3JzPjxhdXRob3JzPjxhdXRob3I+
UmVpZGVsLCBCLjwvYXV0aG9yPjxhdXRob3I+UmFkaWNpb25pLCBHLjwvYXV0aG9yPjxhdXRob3I+
Q2xhcHAsIFAuIFcuPC9hdXRob3I+PGF1dGhvcj5Gb3JkLCBBLiBBLjwvYXV0aG9yPjxhdXRob3I+
QWJkZWx3YWhhYiwgUy48L2F1dGhvcj48YXV0aG9yPlJlYnVsaSwgTS4gRS48L2F1dGhvcj48YXV0
aG9yPkhhcmlkYXNzLCBQLjwvYXV0aG9yPjxhdXRob3I+QWxleGlzLCBOLiBFLjwvYXV0aG9yPjxh
dXRob3I+SmFzcGVycywgSS48L2F1dGhvcj48YXV0aG9yPktlc2ltZXIsIE0uPC9hdXRob3I+PC9h
dXRob3JzPjwvY29udHJpYnV0b3JzPjxhdXRoLWFkZHJlc3M+MSBNYXJzaWNvIEx1bmcgSW5zdGl0
dXRlLiYjeEQ7MiBEZXBhcnRtZW50IG9mIFBhdGhvbG9neSBhbmQgTGFib3JhdG9yeSBNZWRpY2lu
ZSwgYW5kLiYjeEQ7MyBEZXBhcnRtZW50IG9mIFBlZGlhdHJpY3MsIFRoZSBVbml2ZXJzaXR5IG9m
IE5vcnRoIENhcm9saW5hIGF0IENoYXBlbCBIaWxsLCBDaGFwZWwgSGlsbCwgTm9ydGggQ2Fyb2xp
bmEuPC9hdXRoLWFkZHJlc3M+PHRpdGxlcz48dGl0bGU+RS1DaWdhcmV0dGUgVXNlIENhdXNlcyBh
IFVuaXF1ZSBJbm5hdGUgSW1tdW5lIFJlc3BvbnNlIGluIHRoZSBMdW5nLCBJbnZvbHZpbmcgSW5j
cmVhc2VkIE5ldXRyb3BoaWxpYyBBY3RpdmF0aW9uIGFuZCBBbHRlcmVkIE11Y2luIFNlY3JldGlv
bjwvdGl0bGU+PHNlY29uZGFyeS10aXRsZT5BbSBKIFJlc3BpciBDcml0IENhcmUgTWVkPC9zZWNv
bmRhcnktdGl0bGU+PGFsdC10aXRsZT5BbWVyaWNhbiBqb3VybmFsIG9mIHJlc3BpcmF0b3J5IGFu
ZCBjcml0aWNhbCBjYXJlIG1lZGljaW5lPC9hbHQtdGl0bGU+PC90aXRsZXM+PHBlcmlvZGljYWw+
PGZ1bGwtdGl0bGU+QW0gSiBSZXNwaXIgQ3JpdCBDYXJlIE1lZDwvZnVsbC10aXRsZT48YWJici0x
PkFtZXJpY2FuIGpvdXJuYWwgb2YgcmVzcGlyYXRvcnkgYW5kIGNyaXRpY2FsIGNhcmUgbWVkaWNp
bmU8L2FiYnItMT48L3BlcmlvZGljYWw+PGFsdC1wZXJpb2RpY2FsPjxmdWxsLXRpdGxlPkFtIEog
UmVzcGlyIENyaXQgQ2FyZSBNZWQ8L2Z1bGwtdGl0bGU+PGFiYnItMT5BbWVyaWNhbiBqb3VybmFs
IG9mIHJlc3BpcmF0b3J5IGFuZCBjcml0aWNhbCBjYXJlIG1lZGljaW5lPC9hYmJyLTE+PC9hbHQt
cGVyaW9kaWNhbD48cGFnZXM+NDkyLTUwMTwvcGFnZXM+PHZvbHVtZT4xOTc8L3ZvbHVtZT48bnVt
YmVyPjQ8L251bWJlcj48ZWRpdGlvbj4yMDE3LzEwLzIxPC9lZGl0aW9uPjxrZXl3b3Jkcz48a2V5
d29yZD5OZXQ8L2tleXdvcmQ+PGtleXdvcmQ+ZS1jaWdhcmV0dGU8L2tleXdvcmQ+PGtleXdvcmQ+
bHVuZzwva2V5d29yZD48a2V5d29yZD5tdWNpbjwva2V5d29yZD48a2V5d29yZD5uZXV0cm9waGls
PC9rZXl3b3JkPjwva2V5d29yZHM+PGRhdGVzPjx5ZWFyPjIwMTg8L3llYXI+PHB1Yi1kYXRlcz48
ZGF0ZT5GZWIgMTU8L2RhdGU+PC9wdWItZGF0ZXM+PC9kYXRlcz48aXNibj4xMDczLTQ0OXg8L2lz
Ym4+PGFjY2Vzc2lvbi1udW0+MjkwNTMwMjU8L2FjY2Vzc2lvbi1udW0+PHVybHM+PC91cmxzPjxj
dXN0b20yPlBNQzU4MjE5MDk8L2N1c3RvbTI+PGVsZWN0cm9uaWMtcmVzb3VyY2UtbnVtPjEwLjEx
NjQvcmNjbS4yMDE3MDgtMTU5ME9DPC9lbGVjdHJvbmljLXJlc291cmNlLW51bT48cmVtb3RlLWRh
dGFiYXNlLXByb3ZpZGVyPk5MTTwvcmVtb3RlLWRhdGFiYXNlLXByb3ZpZGVyPjxsYW5ndWFnZT5l
bmc8L2xhbmd1YWdlPjwvcmVjb3JkPjwvQ2l0ZT48L0VuZE5vdGU+
</w:fldData>
        </w:fldChar>
      </w:r>
      <w:r w:rsidRPr="00430400">
        <w:rPr>
          <w:sz w:val="24"/>
        </w:rPr>
        <w:instrText xml:space="preserve"> ADDIN EN.CITE </w:instrText>
      </w:r>
      <w:r w:rsidRPr="00430400">
        <w:rPr>
          <w:sz w:val="24"/>
        </w:rPr>
        <w:fldChar w:fldCharType="begin">
          <w:fldData xml:space="preserve">PEVuZE5vdGU+PENpdGU+PEF1dGhvcj5SZWlkZWw8L0F1dGhvcj48WWVhcj4yMDE4PC9ZZWFyPjxS
ZWNOdW0+ODUwPC9SZWNOdW0+PERpc3BsYXlUZXh0PihSZWlkZWwsIFJhZGljaW9uaSBldCBhbC4g
MjAxOCk8L0Rpc3BsYXlUZXh0PjxyZWNvcmQ+PHJlYy1udW1iZXI+ODUwPC9yZWMtbnVtYmVyPjxm
b3JlaWduLWtleXM+PGtleSBhcHA9IkVOIiBkYi1pZD0iOXowNWR6MHByYWFkZnVlZTB6b3h6ZWRr
OXpmZTVmeHg1MHo1IiB0aW1lc3RhbXA9IjE1MjE1MDY5NDIiPjg1MDwva2V5PjxrZXkgYXBwPSJF
TldlYiIgZGItaWQ9IiI+MDwva2V5PjwvZm9yZWlnbi1rZXlzPjxyZWYtdHlwZSBuYW1lPSJKb3Vy
bmFsIEFydGljbGUiPjE3PC9yZWYtdHlwZT48Y29udHJpYnV0b3JzPjxhdXRob3JzPjxhdXRob3I+
UmVpZGVsLCBCLjwvYXV0aG9yPjxhdXRob3I+UmFkaWNpb25pLCBHLjwvYXV0aG9yPjxhdXRob3I+
Q2xhcHAsIFAuIFcuPC9hdXRob3I+PGF1dGhvcj5Gb3JkLCBBLiBBLjwvYXV0aG9yPjxhdXRob3I+
QWJkZWx3YWhhYiwgUy48L2F1dGhvcj48YXV0aG9yPlJlYnVsaSwgTS4gRS48L2F1dGhvcj48YXV0
aG9yPkhhcmlkYXNzLCBQLjwvYXV0aG9yPjxhdXRob3I+QWxleGlzLCBOLiBFLjwvYXV0aG9yPjxh
dXRob3I+SmFzcGVycywgSS48L2F1dGhvcj48YXV0aG9yPktlc2ltZXIsIE0uPC9hdXRob3I+PC9h
dXRob3JzPjwvY29udHJpYnV0b3JzPjxhdXRoLWFkZHJlc3M+MSBNYXJzaWNvIEx1bmcgSW5zdGl0
dXRlLiYjeEQ7MiBEZXBhcnRtZW50IG9mIFBhdGhvbG9neSBhbmQgTGFib3JhdG9yeSBNZWRpY2lu
ZSwgYW5kLiYjeEQ7MyBEZXBhcnRtZW50IG9mIFBlZGlhdHJpY3MsIFRoZSBVbml2ZXJzaXR5IG9m
IE5vcnRoIENhcm9saW5hIGF0IENoYXBlbCBIaWxsLCBDaGFwZWwgSGlsbCwgTm9ydGggQ2Fyb2xp
bmEuPC9hdXRoLWFkZHJlc3M+PHRpdGxlcz48dGl0bGU+RS1DaWdhcmV0dGUgVXNlIENhdXNlcyBh
IFVuaXF1ZSBJbm5hdGUgSW1tdW5lIFJlc3BvbnNlIGluIHRoZSBMdW5nLCBJbnZvbHZpbmcgSW5j
cmVhc2VkIE5ldXRyb3BoaWxpYyBBY3RpdmF0aW9uIGFuZCBBbHRlcmVkIE11Y2luIFNlY3JldGlv
bjwvdGl0bGU+PHNlY29uZGFyeS10aXRsZT5BbSBKIFJlc3BpciBDcml0IENhcmUgTWVkPC9zZWNv
bmRhcnktdGl0bGU+PGFsdC10aXRsZT5BbWVyaWNhbiBqb3VybmFsIG9mIHJlc3BpcmF0b3J5IGFu
ZCBjcml0aWNhbCBjYXJlIG1lZGljaW5lPC9hbHQtdGl0bGU+PC90aXRsZXM+PHBlcmlvZGljYWw+
PGZ1bGwtdGl0bGU+QW0gSiBSZXNwaXIgQ3JpdCBDYXJlIE1lZDwvZnVsbC10aXRsZT48YWJici0x
PkFtZXJpY2FuIGpvdXJuYWwgb2YgcmVzcGlyYXRvcnkgYW5kIGNyaXRpY2FsIGNhcmUgbWVkaWNp
bmU8L2FiYnItMT48L3BlcmlvZGljYWw+PGFsdC1wZXJpb2RpY2FsPjxmdWxsLXRpdGxlPkFtIEog
UmVzcGlyIENyaXQgQ2FyZSBNZWQ8L2Z1bGwtdGl0bGU+PGFiYnItMT5BbWVyaWNhbiBqb3VybmFs
IG9mIHJlc3BpcmF0b3J5IGFuZCBjcml0aWNhbCBjYXJlIG1lZGljaW5lPC9hYmJyLTE+PC9hbHQt
cGVyaW9kaWNhbD48cGFnZXM+NDkyLTUwMTwvcGFnZXM+PHZvbHVtZT4xOTc8L3ZvbHVtZT48bnVt
YmVyPjQ8L251bWJlcj48ZWRpdGlvbj4yMDE3LzEwLzIxPC9lZGl0aW9uPjxrZXl3b3Jkcz48a2V5
d29yZD5OZXQ8L2tleXdvcmQ+PGtleXdvcmQ+ZS1jaWdhcmV0dGU8L2tleXdvcmQ+PGtleXdvcmQ+
bHVuZzwva2V5d29yZD48a2V5d29yZD5tdWNpbjwva2V5d29yZD48a2V5d29yZD5uZXV0cm9waGls
PC9rZXl3b3JkPjwva2V5d29yZHM+PGRhdGVzPjx5ZWFyPjIwMTg8L3llYXI+PHB1Yi1kYXRlcz48
ZGF0ZT5GZWIgMTU8L2RhdGU+PC9wdWItZGF0ZXM+PC9kYXRlcz48aXNibj4xMDczLTQ0OXg8L2lz
Ym4+PGFjY2Vzc2lvbi1udW0+MjkwNTMwMjU8L2FjY2Vzc2lvbi1udW0+PHVybHM+PC91cmxzPjxj
dXN0b20yPlBNQzU4MjE5MDk8L2N1c3RvbTI+PGVsZWN0cm9uaWMtcmVzb3VyY2UtbnVtPjEwLjEx
NjQvcmNjbS4yMDE3MDgtMTU5ME9DPC9lbGVjdHJvbmljLXJlc291cmNlLW51bT48cmVtb3RlLWRh
dGFiYXNlLXByb3ZpZGVyPk5MTTwvcmVtb3RlLWRhdGFiYXNlLXByb3ZpZGVyPjxsYW5ndWFnZT5l
bmc8L2xhbmd1YWdlPjwvcmVjb3JkPjwvQ2l0ZT48L0VuZE5vdGU+
</w:fldData>
        </w:fldChar>
      </w:r>
      <w:r w:rsidRPr="00430400">
        <w:rPr>
          <w:sz w:val="24"/>
        </w:rPr>
        <w:instrText xml:space="preserve"> ADDIN EN.CITE.DATA </w:instrText>
      </w:r>
      <w:r w:rsidRPr="00430400">
        <w:rPr>
          <w:sz w:val="24"/>
        </w:rPr>
      </w:r>
      <w:r w:rsidRPr="00430400">
        <w:rPr>
          <w:sz w:val="24"/>
        </w:rPr>
        <w:fldChar w:fldCharType="end"/>
      </w:r>
      <w:r w:rsidRPr="00430400">
        <w:rPr>
          <w:sz w:val="24"/>
        </w:rPr>
      </w:r>
      <w:r w:rsidRPr="00430400">
        <w:rPr>
          <w:sz w:val="24"/>
        </w:rPr>
        <w:fldChar w:fldCharType="separate"/>
      </w:r>
      <w:r w:rsidRPr="00430400">
        <w:rPr>
          <w:noProof/>
          <w:sz w:val="24"/>
        </w:rPr>
        <w:t>(Reidel, Radicioni et al. 2018)</w:t>
      </w:r>
      <w:r w:rsidRPr="00430400">
        <w:rPr>
          <w:sz w:val="24"/>
        </w:rPr>
        <w:fldChar w:fldCharType="end"/>
      </w:r>
      <w:r w:rsidRPr="00430400">
        <w:rPr>
          <w:sz w:val="24"/>
        </w:rPr>
        <w:t xml:space="preserve"> study adds support to other research on chemical exposure from e-cigarette use regarding aldehydes and on oxidative stress, particularly in relation to its findings regarding sputum containing aldehyde detoxification and oxidative stress related proteins. However, in two animal studies cited in the US Academies of Sciences review, levels of the antioxidant enzyme glutathione S transferase decreased rather than increased as they had in Reidel et al.’s study. In regards to conventional cigarette versus e-cigarette use, the authors conclude that e-cigarette use alters airway physiology in humans in some ways that are similar to the eﬀects of conventional smoking, and in others that diﬀer.</w:t>
      </w:r>
    </w:p>
    <w:p w14:paraId="33905484" w14:textId="77777777" w:rsidR="00430400" w:rsidRPr="00430400" w:rsidRDefault="00430400" w:rsidP="00430400">
      <w:pPr>
        <w:spacing w:before="120" w:line="264" w:lineRule="auto"/>
        <w:rPr>
          <w:sz w:val="24"/>
        </w:rPr>
      </w:pPr>
    </w:p>
    <w:p w14:paraId="430713A9" w14:textId="77777777" w:rsidR="00430400" w:rsidRPr="00430400" w:rsidRDefault="00430400" w:rsidP="00430400">
      <w:pPr>
        <w:spacing w:before="120" w:line="264" w:lineRule="auto"/>
        <w:rPr>
          <w:sz w:val="24"/>
        </w:rPr>
      </w:pPr>
      <w:r w:rsidRPr="00430400">
        <w:rPr>
          <w:sz w:val="24"/>
        </w:rPr>
        <w:t xml:space="preserve">In cross sectional study (n=203) </w:t>
      </w:r>
      <w:r w:rsidRPr="00430400">
        <w:rPr>
          <w:sz w:val="24"/>
        </w:rPr>
        <w:fldChar w:fldCharType="begin">
          <w:fldData xml:space="preserve">PEVuZE5vdGU+PENpdGU+PEF1dGhvcj5HdWNodDwvQXV0aG9yPjxZZWFyPjIwMTc8L1llYXI+PFJl
Y051bT4xMDIxPC9SZWNOdW0+PERpc3BsYXlUZXh0PihHdWNodCwgQWRyaWFlbnMgZXQgYWwuIDIw
MTcpPC9EaXNwbGF5VGV4dD48cmVjb3JkPjxyZWMtbnVtYmVyPjEwMjE8L3JlYy1udW1iZXI+PGZv
cmVpZ24ta2V5cz48a2V5IGFwcD0iRU4iIGRiLWlkPSI5dnM5cHpmem5hcHhwaGVmYTI4eHp3OTVz
ZjVhdjBzdjlyZHoiIHRpbWVzdGFtcD0iMTUyMTE1OTM5NyI+MTAyMTwva2V5PjxrZXkgYXBwPSJF
TldlYiIgZGItaWQ9IiI+MDwva2V5PjwvZm9yZWlnbi1rZXlzPjxyZWYtdHlwZSBuYW1lPSJKb3Vy
bmFsIEFydGljbGUiPjE3PC9yZWYtdHlwZT48Y29udHJpYnV0b3JzPjxhdXRob3JzPjxhdXRob3I+
R3VjaHQsIEQuIFYuPC9hdXRob3I+PGF1dGhvcj5BZHJpYWVucywgSy48L2F1dGhvcj48YXV0aG9y
PkJhZXllbnMsIEYuPC9hdXRob3I+PC9hdXRob3JzPjwvY29udHJpYnV0b3JzPjxhdXRoLWFkZHJl
c3M+QXBwbGllZCBQc3ljaG9sb2d5IFVuaXQsIFRob21hcyBNb3JlIE1lY2hlbGVuLUFudHdlcnAg
VW5pdmVyc2l0eSBDb2xsZWdlLCBNb2xlbnN0cmFhdCA4LCAyMDE4IEFudHdlcnAsIEJlbGdpdW0u
IGRpbnNrYS52YW5ndWNodEB0aG9tYXNtb3JlLmJlLiYjeEQ7RmFjdWx0eSBvZiBQc3ljaG9sb2d5
IGFuZCBFZHVjYXRpb25hbCBTY2llbmNlcywgS1UgTGV1dmVuLVVuaXZlcnNpdHkgb2YgTGV1dmVu
LCBUaWVuc2VzdHJhYXQgMTAyLCAzMDAwIExldXZlbiwgQmVsZ2l1bS4gZGluc2thLnZhbmd1Y2h0
QHRob21hc21vcmUuYmUuJiN4RDtGYWN1bHR5IG9mIFBzeWNob2xvZ3kgYW5kIEVkdWNhdGlvbmFs
IFNjaWVuY2VzLCBLVSBMZXV2ZW4tVW5pdmVyc2l0eSBvZiBMZXV2ZW4sIFRpZW5zZXN0cmFhdCAx
MDIsIDMwMDAgTGV1dmVuLCBCZWxnaXVtLiBrYXJvbGllbi5hZHJpYWVuc0BrdWxldXZlbi5iZS4m
I3hEO0ZhY3VsdHkgb2YgUHN5Y2hvbG9neSBhbmQgRWR1Y2F0aW9uYWwgU2NpZW5jZXMsIEtVIExl
dXZlbi1Vbml2ZXJzaXR5IG9mIExldXZlbiwgVGllbnNlc3RyYWF0IDEwMiwgMzAwMCBMZXV2ZW4s
IEJlbGdpdW0uIGZyYW5rLmJhZXllbnNAa3VsZXV2ZW4uYmUuPC9hdXRoLWFkZHJlc3M+PHRpdGxl
cz48dGl0bGU+T25saW5lIFZhcGUgU2hvcCBDdXN0b21lcnMgV2hvIFVzZSBFLUNpZ2FyZXR0ZXMg
UmVwb3J0IEFic3RpbmVuY2UgZnJvbSBTbW9raW5nIGFuZCBJbXByb3ZlZCBRdWFsaXR5IG9mIExp
ZmUsIEJ1dCBhIFN1YnN0YW50aWFsIE1pbm9yaXR5IFN0aWxsIEhhdmUgVmFwaW5nLVJlbGF0ZWQg
SGVhbHRoIENvbmNlcm5zPC90aXRsZT48c2Vjb25kYXJ5LXRpdGxlPkludCBKIEVudmlyb24gUmVz
IFB1YmxpYyBIZWFsdGg8L3NlY29uZGFyeS10aXRsZT48YWx0LXRpdGxlPkludGVybmF0aW9uYWwg
am91cm5hbCBvZiBlbnZpcm9ubWVudGFsIHJlc2VhcmNoIGFuZCBwdWJsaWMgaGVhbHRoPC9hbHQt
dGl0bGU+PC90aXRsZXM+PGFsdC1wZXJpb2RpY2FsPjxmdWxsLXRpdGxlPkludGVybmF0aW9uYWwg
Sm91cm5hbCBvZiBFbnZpcm9ubWVudGFsIFJlc2VhcmNoIGFuZCBQdWJsaWMgSGVhbHRoPC9mdWxs
LXRpdGxlPjwvYWx0LXBlcmlvZGljYWw+PHZvbHVtZT4xNDwvdm9sdW1lPjxudW1iZXI+NzwvbnVt
YmVyPjxlZGl0aW9uPjIwMTcvMDcvMTg8L2VkaXRpb24+PGtleXdvcmRzPjxrZXl3b3JkPkFkdWx0
PC9rZXl3b3JkPjxrZXl3b3JkPipFbGVjdHJvbmljIE5pY290aW5lIERlbGl2ZXJ5IFN5c3RlbXM8
L2tleXdvcmQ+PGtleXdvcmQ+RmVtYWxlPC9rZXl3b3JkPjxrZXl3b3JkPkh1bWFuczwva2V5d29y
ZD48a2V5d29yZD5NYWxlPC9rZXl3b3JkPjxrZXl3b3JkPk1pZGRsZSBBZ2VkPC9rZXl3b3JkPjxr
ZXl3b3JkPk5ldGhlcmxhbmRzPC9rZXl3b3JkPjxrZXl3b3JkPk5pY290aW5lL2FkbWluaXN0cmF0
aW9uICZhbXA7IGRvc2FnZTwva2V5d29yZD48a2V5d29yZD5QZXJjZXB0aW9uPC9rZXl3b3JkPjxr
ZXl3b3JkPlF1YWxpdHkgSW1wcm92ZW1lbnQ8L2tleXdvcmQ+PGtleXdvcmQ+UXVhbGl0eSBvZiBM
aWZlPC9rZXl3b3JkPjxrZXl3b3JkPlNtb2tpbmcgQ2Vzc2F0aW9uLyptZXRob2RzPC9rZXl3b3Jk
PjxrZXl3b3JkPlRvYmFjY28gU21va2luZy90aGVyYXB5PC9rZXl3b3JkPjxrZXl3b3JkPlRvYmFj
Y28gVXNlIERpc29yZGVyL3BzeWNob2xvZ3kvdGhlcmFweTwva2V5d29yZD48a2V5d29yZD4qVmFw
aW5nL3BzeWNob2xvZ3k8L2tleXdvcmQ+PGtleXdvcmQ+KmVsZWN0cm9uaWMgY2lnYXJldHRlPC9r
ZXl3b3JkPjxrZXl3b3JkPipvbmxpbmUgdmFwZSBzaG9wIGN1c3RvbWVyczwva2V5d29yZD48a2V5
d29yZD4qcGVyY2VwdGlvbjwva2V5d29yZD48a2V5d29yZD4qc21va2luZyBjZXNzYXRpb248L2tl
eXdvcmQ+PGtleXdvcmQ+KnZhcGluZzwva2V5d29yZD48a2V5d29yZD5hZHZvY2F0ZXMgZm9yIGUt
Y2lnLWJhc2VkIFRIUi48L2tleXdvcmQ+PC9rZXl3b3Jkcz48ZGF0ZXM+PHllYXI+MjAxNzwveWVh
cj48cHViLWRhdGVzPjxkYXRlPkp1bCAxNzwvZGF0ZT48L3B1Yi1kYXRlcz48L2RhdGVzPjxpc2Ju
PjE2NjAtNDYwMTwvaXNibj48YWNjZXNzaW9uLW51bT4yODcxNDkxNDwvYWNjZXNzaW9uLW51bT48
dXJscz48L3VybHM+PGN1c3RvbTI+UE1DNTU1MTIzNjwvY3VzdG9tMj48ZWxlY3Ryb25pYy1yZXNv
dXJjZS1udW0+MTAuMzM5MC9pamVycGgxNDA3MDc5ODwvZWxlY3Ryb25pYy1yZXNvdXJjZS1udW0+
PHJlbW90ZS1kYXRhYmFzZS1wcm92aWRlcj5OTE08L3JlbW90ZS1kYXRhYmFzZS1wcm92aWRlcj48
bGFuZ3VhZ2U+ZW5nPC9sYW5ndWFnZT48L3JlY29yZD48L0NpdGU+PC9FbmROb3RlPn==
</w:fldData>
        </w:fldChar>
      </w:r>
      <w:r w:rsidRPr="00430400">
        <w:rPr>
          <w:sz w:val="24"/>
        </w:rPr>
        <w:instrText xml:space="preserve"> ADDIN EN.CITE </w:instrText>
      </w:r>
      <w:r w:rsidRPr="00430400">
        <w:rPr>
          <w:sz w:val="24"/>
        </w:rPr>
        <w:fldChar w:fldCharType="begin">
          <w:fldData xml:space="preserve">PEVuZE5vdGU+PENpdGU+PEF1dGhvcj5HdWNodDwvQXV0aG9yPjxZZWFyPjIwMTc8L1llYXI+PFJl
Y051bT4xMDIxPC9SZWNOdW0+PERpc3BsYXlUZXh0PihHdWNodCwgQWRyaWFlbnMgZXQgYWwuIDIw
MTcpPC9EaXNwbGF5VGV4dD48cmVjb3JkPjxyZWMtbnVtYmVyPjEwMjE8L3JlYy1udW1iZXI+PGZv
cmVpZ24ta2V5cz48a2V5IGFwcD0iRU4iIGRiLWlkPSI5dnM5cHpmem5hcHhwaGVmYTI4eHp3OTVz
ZjVhdjBzdjlyZHoiIHRpbWVzdGFtcD0iMTUyMTE1OTM5NyI+MTAyMTwva2V5PjxrZXkgYXBwPSJF
TldlYiIgZGItaWQ9IiI+MDwva2V5PjwvZm9yZWlnbi1rZXlzPjxyZWYtdHlwZSBuYW1lPSJKb3Vy
bmFsIEFydGljbGUiPjE3PC9yZWYtdHlwZT48Y29udHJpYnV0b3JzPjxhdXRob3JzPjxhdXRob3I+
R3VjaHQsIEQuIFYuPC9hdXRob3I+PGF1dGhvcj5BZHJpYWVucywgSy48L2F1dGhvcj48YXV0aG9y
PkJhZXllbnMsIEYuPC9hdXRob3I+PC9hdXRob3JzPjwvY29udHJpYnV0b3JzPjxhdXRoLWFkZHJl
c3M+QXBwbGllZCBQc3ljaG9sb2d5IFVuaXQsIFRob21hcyBNb3JlIE1lY2hlbGVuLUFudHdlcnAg
VW5pdmVyc2l0eSBDb2xsZWdlLCBNb2xlbnN0cmFhdCA4LCAyMDE4IEFudHdlcnAsIEJlbGdpdW0u
IGRpbnNrYS52YW5ndWNodEB0aG9tYXNtb3JlLmJlLiYjeEQ7RmFjdWx0eSBvZiBQc3ljaG9sb2d5
IGFuZCBFZHVjYXRpb25hbCBTY2llbmNlcywgS1UgTGV1dmVuLVVuaXZlcnNpdHkgb2YgTGV1dmVu
LCBUaWVuc2VzdHJhYXQgMTAyLCAzMDAwIExldXZlbiwgQmVsZ2l1bS4gZGluc2thLnZhbmd1Y2h0
QHRob21hc21vcmUuYmUuJiN4RDtGYWN1bHR5IG9mIFBzeWNob2xvZ3kgYW5kIEVkdWNhdGlvbmFs
IFNjaWVuY2VzLCBLVSBMZXV2ZW4tVW5pdmVyc2l0eSBvZiBMZXV2ZW4sIFRpZW5zZXN0cmFhdCAx
MDIsIDMwMDAgTGV1dmVuLCBCZWxnaXVtLiBrYXJvbGllbi5hZHJpYWVuc0BrdWxldXZlbi5iZS4m
I3hEO0ZhY3VsdHkgb2YgUHN5Y2hvbG9neSBhbmQgRWR1Y2F0aW9uYWwgU2NpZW5jZXMsIEtVIExl
dXZlbi1Vbml2ZXJzaXR5IG9mIExldXZlbiwgVGllbnNlc3RyYWF0IDEwMiwgMzAwMCBMZXV2ZW4s
IEJlbGdpdW0uIGZyYW5rLmJhZXllbnNAa3VsZXV2ZW4uYmUuPC9hdXRoLWFkZHJlc3M+PHRpdGxl
cz48dGl0bGU+T25saW5lIFZhcGUgU2hvcCBDdXN0b21lcnMgV2hvIFVzZSBFLUNpZ2FyZXR0ZXMg
UmVwb3J0IEFic3RpbmVuY2UgZnJvbSBTbW9raW5nIGFuZCBJbXByb3ZlZCBRdWFsaXR5IG9mIExp
ZmUsIEJ1dCBhIFN1YnN0YW50aWFsIE1pbm9yaXR5IFN0aWxsIEhhdmUgVmFwaW5nLVJlbGF0ZWQg
SGVhbHRoIENvbmNlcm5zPC90aXRsZT48c2Vjb25kYXJ5LXRpdGxlPkludCBKIEVudmlyb24gUmVz
IFB1YmxpYyBIZWFsdGg8L3NlY29uZGFyeS10aXRsZT48YWx0LXRpdGxlPkludGVybmF0aW9uYWwg
am91cm5hbCBvZiBlbnZpcm9ubWVudGFsIHJlc2VhcmNoIGFuZCBwdWJsaWMgaGVhbHRoPC9hbHQt
dGl0bGU+PC90aXRsZXM+PGFsdC1wZXJpb2RpY2FsPjxmdWxsLXRpdGxlPkludGVybmF0aW9uYWwg
Sm91cm5hbCBvZiBFbnZpcm9ubWVudGFsIFJlc2VhcmNoIGFuZCBQdWJsaWMgSGVhbHRoPC9mdWxs
LXRpdGxlPjwvYWx0LXBlcmlvZGljYWw+PHZvbHVtZT4xNDwvdm9sdW1lPjxudW1iZXI+NzwvbnVt
YmVyPjxlZGl0aW9uPjIwMTcvMDcvMTg8L2VkaXRpb24+PGtleXdvcmRzPjxrZXl3b3JkPkFkdWx0
PC9rZXl3b3JkPjxrZXl3b3JkPipFbGVjdHJvbmljIE5pY290aW5lIERlbGl2ZXJ5IFN5c3RlbXM8
L2tleXdvcmQ+PGtleXdvcmQ+RmVtYWxlPC9rZXl3b3JkPjxrZXl3b3JkPkh1bWFuczwva2V5d29y
ZD48a2V5d29yZD5NYWxlPC9rZXl3b3JkPjxrZXl3b3JkPk1pZGRsZSBBZ2VkPC9rZXl3b3JkPjxr
ZXl3b3JkPk5ldGhlcmxhbmRzPC9rZXl3b3JkPjxrZXl3b3JkPk5pY290aW5lL2FkbWluaXN0cmF0
aW9uICZhbXA7IGRvc2FnZTwva2V5d29yZD48a2V5d29yZD5QZXJjZXB0aW9uPC9rZXl3b3JkPjxr
ZXl3b3JkPlF1YWxpdHkgSW1wcm92ZW1lbnQ8L2tleXdvcmQ+PGtleXdvcmQ+UXVhbGl0eSBvZiBM
aWZlPC9rZXl3b3JkPjxrZXl3b3JkPlNtb2tpbmcgQ2Vzc2F0aW9uLyptZXRob2RzPC9rZXl3b3Jk
PjxrZXl3b3JkPlRvYmFjY28gU21va2luZy90aGVyYXB5PC9rZXl3b3JkPjxrZXl3b3JkPlRvYmFj
Y28gVXNlIERpc29yZGVyL3BzeWNob2xvZ3kvdGhlcmFweTwva2V5d29yZD48a2V5d29yZD4qVmFw
aW5nL3BzeWNob2xvZ3k8L2tleXdvcmQ+PGtleXdvcmQ+KmVsZWN0cm9uaWMgY2lnYXJldHRlPC9r
ZXl3b3JkPjxrZXl3b3JkPipvbmxpbmUgdmFwZSBzaG9wIGN1c3RvbWVyczwva2V5d29yZD48a2V5
d29yZD4qcGVyY2VwdGlvbjwva2V5d29yZD48a2V5d29yZD4qc21va2luZyBjZXNzYXRpb248L2tl
eXdvcmQ+PGtleXdvcmQ+KnZhcGluZzwva2V5d29yZD48a2V5d29yZD5hZHZvY2F0ZXMgZm9yIGUt
Y2lnLWJhc2VkIFRIUi48L2tleXdvcmQ+PC9rZXl3b3Jkcz48ZGF0ZXM+PHllYXI+MjAxNzwveWVh
cj48cHViLWRhdGVzPjxkYXRlPkp1bCAxNzwvZGF0ZT48L3B1Yi1kYXRlcz48L2RhdGVzPjxpc2Ju
PjE2NjAtNDYwMTwvaXNibj48YWNjZXNzaW9uLW51bT4yODcxNDkxNDwvYWNjZXNzaW9uLW51bT48
dXJscz48L3VybHM+PGN1c3RvbTI+UE1DNTU1MTIzNjwvY3VzdG9tMj48ZWxlY3Ryb25pYy1yZXNv
dXJjZS1udW0+MTAuMzM5MC9pamVycGgxNDA3MDc5ODwvZWxlY3Ryb25pYy1yZXNvdXJjZS1udW0+
PHJlbW90ZS1kYXRhYmFzZS1wcm92aWRlcj5OTE08L3JlbW90ZS1kYXRhYmFzZS1wcm92aWRlcj48
bGFuZ3VhZ2U+ZW5nPC9sYW5ndWFnZT48L3JlY29yZD48L0NpdGU+PC9FbmROb3RlPn==
</w:fldData>
        </w:fldChar>
      </w:r>
      <w:r w:rsidRPr="00430400">
        <w:rPr>
          <w:sz w:val="24"/>
        </w:rPr>
        <w:instrText xml:space="preserve"> ADDIN EN.CITE.DATA </w:instrText>
      </w:r>
      <w:r w:rsidRPr="00430400">
        <w:rPr>
          <w:sz w:val="24"/>
        </w:rPr>
      </w:r>
      <w:r w:rsidRPr="00430400">
        <w:rPr>
          <w:sz w:val="24"/>
        </w:rPr>
        <w:fldChar w:fldCharType="end"/>
      </w:r>
      <w:r w:rsidRPr="00430400">
        <w:rPr>
          <w:sz w:val="24"/>
        </w:rPr>
      </w:r>
      <w:r w:rsidRPr="00430400">
        <w:rPr>
          <w:sz w:val="24"/>
        </w:rPr>
        <w:fldChar w:fldCharType="separate"/>
      </w:r>
      <w:r w:rsidRPr="00430400">
        <w:rPr>
          <w:noProof/>
          <w:sz w:val="24"/>
        </w:rPr>
        <w:t>(Gucht, Adriaens et al. 2017)</w:t>
      </w:r>
      <w:r w:rsidRPr="00430400">
        <w:rPr>
          <w:sz w:val="24"/>
        </w:rPr>
        <w:fldChar w:fldCharType="end"/>
      </w:r>
      <w:r w:rsidRPr="00430400">
        <w:rPr>
          <w:sz w:val="24"/>
        </w:rPr>
        <w:t>, vape shop owners referred their customers (mean age 46 years), most of whom had been conventional cigarette smokers, to an online survey. The most frequently reported benefits of vaping e</w:t>
      </w:r>
      <w:r w:rsidRPr="00430400">
        <w:rPr>
          <w:sz w:val="24"/>
        </w:rPr>
        <w:noBreakHyphen/>
        <w:t>cigarettes were improved breathing (44.7%, 95% CI 0.37, 0.53), less coughing (34.9%, 95% CI 0.28,0.43), better physical health (34.2%, 95% CI 0.27, 0.42), feeling fitter (17.1%, 95% CI 0.12, 0.24), improved sense of taste (15.1%, 95% CI 0.10, 0.22), improved sense of smell (11.1%, 95% CI 0.07, 0.17), improved skin (9.2%, 95% CI 0.05, 0.15) and improved gums and teeth (5.9%, 95% CI 0.03, 0.11). The most obvious limitation of this study is the bias inherent in selection, and the reliance on self</w:t>
      </w:r>
      <w:r w:rsidRPr="00430400">
        <w:rPr>
          <w:sz w:val="24"/>
        </w:rPr>
        <w:noBreakHyphen/>
        <w:t>reporting. However, it may represent the perceptions of improved health of many vapers who had previously smoked.</w:t>
      </w:r>
    </w:p>
    <w:p w14:paraId="018A0DB8" w14:textId="77777777" w:rsidR="00430400" w:rsidRPr="00430400" w:rsidRDefault="00430400" w:rsidP="00430400">
      <w:pPr>
        <w:spacing w:before="120" w:line="264" w:lineRule="auto"/>
        <w:rPr>
          <w:sz w:val="24"/>
        </w:rPr>
      </w:pPr>
    </w:p>
    <w:p w14:paraId="283CFEB9" w14:textId="77777777" w:rsidR="00430400" w:rsidRPr="00430400" w:rsidRDefault="00430400" w:rsidP="00430400">
      <w:pPr>
        <w:pStyle w:val="Heading3"/>
      </w:pPr>
      <w:r w:rsidRPr="00430400">
        <w:lastRenderedPageBreak/>
        <w:t>Conclusion</w:t>
      </w:r>
    </w:p>
    <w:p w14:paraId="4704BF7F" w14:textId="5F32E795" w:rsidR="00430400" w:rsidRPr="00430400" w:rsidRDefault="00430400" w:rsidP="00430400">
      <w:pPr>
        <w:spacing w:before="120" w:line="264" w:lineRule="auto"/>
        <w:rPr>
          <w:sz w:val="24"/>
        </w:rPr>
      </w:pPr>
      <w:r w:rsidRPr="00430400">
        <w:rPr>
          <w:sz w:val="24"/>
        </w:rPr>
        <w:t>There appears to be little immediate difference on the lung function of smokers following smoking a cigarette compared to vaping an e</w:t>
      </w:r>
      <w:r w:rsidRPr="00430400">
        <w:rPr>
          <w:sz w:val="24"/>
        </w:rPr>
        <w:noBreakHyphen/>
        <w:t xml:space="preserve">cigarette </w:t>
      </w:r>
      <w:r w:rsidRPr="00430400">
        <w:rPr>
          <w:sz w:val="24"/>
        </w:rPr>
        <w:fldChar w:fldCharType="begin"/>
      </w:r>
      <w:r w:rsidRPr="00430400">
        <w:rPr>
          <w:sz w:val="24"/>
        </w:rPr>
        <w:instrText xml:space="preserve"> ADDIN EN.CITE &lt;EndNote&gt;&lt;Cite&gt;&lt;Author&gt;Kerr&lt;/Author&gt;&lt;Year&gt;2017&lt;/Year&gt;&lt;RecNum&gt;4548&lt;/RecNum&gt;&lt;DisplayText&gt;(Kerr, Touyz et al. 2017)&lt;/DisplayText&gt;&lt;record&gt;&lt;rec-number&gt;4548&lt;/rec-number&gt;&lt;foreign-keys&gt;&lt;key app="EN" db-id="fpt9pttrm5zfsaesp9fpsddv09ewsv5xewfd" timestamp="1523842587"&gt;4548&lt;/key&gt;&lt;key app="ENWeb" db-id=""&gt;0&lt;/key&gt;&lt;/foreign-keys&gt;&lt;ref-type name="Journal Article"&gt;17&lt;/ref-type&gt;&lt;contributors&gt;&lt;authors&gt;&lt;author&gt;Kerr, Daniele&lt;/author&gt;&lt;author&gt;Touyz, Rhian&lt;/author&gt;&lt;author&gt;Delles, Christian&lt;/author&gt;&lt;/authors&gt;&lt;/contributors&gt;&lt;titles&gt;&lt;title&gt;The immediate effects of electronic cigarette use and tobacco smoking on vascular and respiratory function in healthy volunteers: a crossover study&lt;/title&gt;&lt;secondary-title&gt;Journal of Human Hypertension&lt;/secondary-title&gt;&lt;/titles&gt;&lt;periodical&gt;&lt;full-title&gt;Journal of Human Hypertension&lt;/full-title&gt;&lt;/periodical&gt;&lt;pages&gt;662-662&lt;/pages&gt;&lt;volume&gt;31&lt;/volume&gt;&lt;number&gt;10&lt;/number&gt;&lt;dates&gt;&lt;year&gt;2017&lt;/year&gt;&lt;pub-dates&gt;&lt;date&gt;Oct&lt;/date&gt;&lt;/pub-dates&gt;&lt;/dates&gt;&lt;isbn&gt;0950-9240&lt;/isbn&gt;&lt;accession-num&gt;WOS:000412219400020&lt;/accession-num&gt;&lt;urls&gt;&lt;related-urls&gt;&lt;url&gt;&amp;lt;Go to ISI&amp;gt;://WOS:000412219400020&lt;/url&gt;&lt;/related-urls&gt;&lt;/urls&gt;&lt;/record&gt;&lt;/Cite&gt;&lt;/EndNote&gt;</w:instrText>
      </w:r>
      <w:r w:rsidRPr="00430400">
        <w:rPr>
          <w:sz w:val="24"/>
        </w:rPr>
        <w:fldChar w:fldCharType="separate"/>
      </w:r>
      <w:r w:rsidRPr="00430400">
        <w:rPr>
          <w:noProof/>
          <w:sz w:val="24"/>
        </w:rPr>
        <w:t>(Kerr, Touyz et al. 2017)</w:t>
      </w:r>
      <w:r w:rsidRPr="00430400">
        <w:rPr>
          <w:sz w:val="24"/>
        </w:rPr>
        <w:fldChar w:fldCharType="end"/>
      </w:r>
      <w:r w:rsidRPr="00430400">
        <w:rPr>
          <w:sz w:val="24"/>
        </w:rPr>
        <w:t xml:space="preserve">, and a suggestion of small improvement in </w:t>
      </w:r>
      <w:r w:rsidR="00FD25EC" w:rsidRPr="00430400">
        <w:rPr>
          <w:sz w:val="24"/>
        </w:rPr>
        <w:t>FEV</w:t>
      </w:r>
      <w:r w:rsidR="00FD25EC" w:rsidRPr="00430400">
        <w:rPr>
          <w:sz w:val="24"/>
          <w:vertAlign w:val="subscript"/>
        </w:rPr>
        <w:t>1</w:t>
      </w:r>
      <w:r w:rsidRPr="00430400">
        <w:rPr>
          <w:sz w:val="24"/>
        </w:rPr>
        <w:t xml:space="preserve"> after four days among smokers who switched to e</w:t>
      </w:r>
      <w:r w:rsidRPr="00430400">
        <w:rPr>
          <w:sz w:val="24"/>
        </w:rPr>
        <w:noBreakHyphen/>
        <w:t xml:space="preserve">cigarettes or dual use </w:t>
      </w:r>
      <w:r w:rsidRPr="00430400">
        <w:rPr>
          <w:sz w:val="24"/>
        </w:rPr>
        <w:fldChar w:fldCharType="begin">
          <w:fldData xml:space="preserve">PEVuZE5vdGU+PENpdGU+PEF1dGhvcj5EJmFwb3M7UnVpejwvQXV0aG9yPjxZZWFyPjIwMTc8L1ll
YXI+PFJlY051bT4zMzk4PC9SZWNOdW0+PERpc3BsYXlUZXh0PihEJmFwb3M7UnVpeiwgTyZhcG9z
O0Nvbm5lbGwgZXQgYWwuIDIwMTcpPC9EaXNwbGF5VGV4dD48cmVjb3JkPjxyZWMtbnVtYmVyPjMz
OTg8L3JlYy1udW1iZXI+PGZvcmVpZ24ta2V5cz48a2V5IGFwcD0iRU4iIGRiLWlkPSJmcHQ5cHR0
cm01emZzYWVzcDlmcHNkZHYwOWV3c3Y1eGV3ZmQiIHRpbWVzdGFtcD0iMTUyMzg0MDY0NiI+MzM5
ODwva2V5PjxrZXkgYXBwPSJFTldlYiIgZGItaWQ9IiI+MDwva2V5PjwvZm9yZWlnbi1rZXlzPjxy
ZWYtdHlwZSBuYW1lPSJKb3VybmFsIEFydGljbGUiPjE3PC9yZWYtdHlwZT48Y29udHJpYnV0b3Jz
PjxhdXRob3JzPjxhdXRob3I+RCZhcG9zO1J1aXosIEMuIEQuPC9hdXRob3I+PGF1dGhvcj5PJmFw
b3M7Q29ubmVsbCwgRy48L2F1dGhvcj48YXV0aG9yPkdyYWZmLCBELiBXLjwvYXV0aG9yPjxhdXRo
b3I+WWFuLCBYLiBTLjwvYXV0aG9yPjwvYXV0aG9ycz48L2NvbnRyaWJ1dG9ycz48YXV0aC1hZGRy
ZXNzPkNsaW5pY2FsIFN0dWR5IENvbnN1bHRhbnQsIEZvbnRlbSBWZW50dXJlcywgR3JlZW5zYm9y
bywgTkMsIFVTQS4gRWxlY3Ryb25pYyBhZGRyZXNzOiBjYXJsZHJ1aXpAZ21haWwuY29tLiYjeEQ7
Rm9udGVtIFZlbnR1cmVzLCBTY2llbnRpZmljIGFuZCBSZWd1bGF0b3J5IEFmZmFpcnMsIEFtc3Rl
cmRhbSwgVGhlIE5ldGhlcmxhbmRzLiBFbGVjdHJvbmljIGFkZHJlc3M6IGdyYW50Lm9jb25uZWxs
QGZvbnRlbXZlbnR1cmVzLmNvbS4mI3hEO0NlbGVyaW9uLCBMaW5jb2xuLCBORSwgVVNBLiBFbGVj
dHJvbmljIGFkZHJlc3M6IERvbmFsZC5ncmFmZkBjZWxlcmlvbi5jb20uJiN4RDtMb3JpbGxhcmQg
VG9iYWNjbyBDb21wYW55IChmb3JtZXJseSksIEdyZWVuc2Jvcm8sIE5DLCBVU0EuIEVsZWN0cm9u
aWMgYWRkcmVzczogeHlhbjEyMDlAZ21haWwuY29tLjwvYXV0aC1hZGRyZXNzPjx0aXRsZXM+PHRp
dGxlPk1lYXN1cmVtZW50IG9mIGNhcmRpb3Zhc2N1bGFyIGFuZCBwdWxtb25hcnkgZnVuY3Rpb24g
ZW5kcG9pbnRzIGFuZCBvdGhlciBwaHlzaW9sb2dpY2FsIGVmZmVjdHMgZm9sbG93aW5nIHBhcnRp
YWwgb3IgY29tcGxldGUgc3Vic3RpdHV0aW9uIG9mIGNpZ2FyZXR0ZXMgd2l0aCBlbGVjdHJvbmlj
IGNpZ2FyZXR0ZXMgaW4gYWR1bHQgc21va2VyczwvdGl0bGU+PHNlY29uZGFyeS10aXRsZT5SZWd1
bCBUb3hpY29sIFBoYXJtYWNvbDwvc2Vjb25kYXJ5LXRpdGxlPjxhbHQtdGl0bGU+UmVndWxhdG9y
eSB0b3hpY29sb2d5IGFuZCBwaGFybWFjb2xvZ3kgOiBSVFA8L2FsdC10aXRsZT48L3RpdGxlcz48
cGVyaW9kaWNhbD48ZnVsbC10aXRsZT5SZWd1bCBUb3hpY29sIFBoYXJtYWNvbDwvZnVsbC10aXRs
ZT48YWJici0xPlJlZ3VsYXRvcnkgdG94aWNvbG9neSBhbmQgcGhhcm1hY29sb2d5IDogUlRQPC9h
YmJyLTE+PC9wZXJpb2RpY2FsPjxhbHQtcGVyaW9kaWNhbD48ZnVsbC10aXRsZT5SZWd1bCBUb3hp
Y29sIFBoYXJtYWNvbDwvZnVsbC10aXRsZT48YWJici0xPlJlZ3VsYXRvcnkgdG94aWNvbG9neSBh
bmQgcGhhcm1hY29sb2d5IDogUlRQPC9hYmJyLTE+PC9hbHQtcGVyaW9kaWNhbD48cGFnZXM+MzYt
NTM8L3BhZ2VzPjx2b2x1bWU+ODc8L3ZvbHVtZT48ZWRpdGlvbj4yMDE3LzA1LzEwPC9lZGl0aW9u
PjxrZXl3b3Jkcz48a2V5d29yZD5BZHZlcnNlIGVmZmVjdHM8L2tleXdvcmQ+PGtleXdvcmQ+Q2Fy
ZGlvdmFzY3VsYXIgZWZmZWN0czwva2V5d29yZD48a2V5d29yZD5FLWNpZ2FyZXR0ZTwva2V5d29y
ZD48a2V5d29yZD5FeGNsdXNpdmUgYW5kIGR1YWwgdXNlPC9rZXl3b3JkPjxrZXl3b3JkPkhhcm0g
cmVkdWN0aW9uPC9rZXl3b3JkPjxrZXl3b3JkPlBoeXNpb2xvZ2ljYWwgZWZmZWN0czwva2V5d29y
ZD48a2V5d29yZD5QdWxtb25hcnkgZWZmZWN0czwva2V5d29yZD48L2tleXdvcmRzPjxkYXRlcz48
eWVhcj4yMDE3PC95ZWFyPjxwdWItZGF0ZXM+PGRhdGU+SnVsPC9kYXRlPjwvcHViLWRhdGVzPjwv
ZGF0ZXM+PGlzYm4+MDI3My0yMzAwPC9pc2JuPjxhY2Nlc3Npb24tbnVtPjI4NDc2NTUzPC9hY2Nl
c3Npb24tbnVtPjx1cmxzPjwvdXJscz48ZWxlY3Ryb25pYy1yZXNvdXJjZS1udW0+MTAuMTAxNi9q
LnlydHBoLjIwMTcuMDUuMDAyPC9lbGVjdHJvbmljLXJlc291cmNlLW51bT48cmVtb3RlLWRhdGFi
YXNlLXByb3ZpZGVyPk5MTTwvcmVtb3RlLWRhdGFiYXNlLXByb3ZpZGVyPjxsYW5ndWFnZT5lbmc8
L2xhbmd1YWdlPjwvcmVjb3JkPjwvQ2l0ZT48L0VuZE5vdGU+
</w:fldData>
        </w:fldChar>
      </w:r>
      <w:r w:rsidRPr="00430400">
        <w:rPr>
          <w:sz w:val="24"/>
        </w:rPr>
        <w:instrText xml:space="preserve"> ADDIN EN.CITE </w:instrText>
      </w:r>
      <w:r w:rsidRPr="00430400">
        <w:rPr>
          <w:sz w:val="24"/>
        </w:rPr>
        <w:fldChar w:fldCharType="begin">
          <w:fldData xml:space="preserve">PEVuZE5vdGU+PENpdGU+PEF1dGhvcj5EJmFwb3M7UnVpejwvQXV0aG9yPjxZZWFyPjIwMTc8L1ll
YXI+PFJlY051bT4zMzk4PC9SZWNOdW0+PERpc3BsYXlUZXh0PihEJmFwb3M7UnVpeiwgTyZhcG9z
O0Nvbm5lbGwgZXQgYWwuIDIwMTcpPC9EaXNwbGF5VGV4dD48cmVjb3JkPjxyZWMtbnVtYmVyPjMz
OTg8L3JlYy1udW1iZXI+PGZvcmVpZ24ta2V5cz48a2V5IGFwcD0iRU4iIGRiLWlkPSJmcHQ5cHR0
cm01emZzYWVzcDlmcHNkZHYwOWV3c3Y1eGV3ZmQiIHRpbWVzdGFtcD0iMTUyMzg0MDY0NiI+MzM5
ODwva2V5PjxrZXkgYXBwPSJFTldlYiIgZGItaWQ9IiI+MDwva2V5PjwvZm9yZWlnbi1rZXlzPjxy
ZWYtdHlwZSBuYW1lPSJKb3VybmFsIEFydGljbGUiPjE3PC9yZWYtdHlwZT48Y29udHJpYnV0b3Jz
PjxhdXRob3JzPjxhdXRob3I+RCZhcG9zO1J1aXosIEMuIEQuPC9hdXRob3I+PGF1dGhvcj5PJmFw
b3M7Q29ubmVsbCwgRy48L2F1dGhvcj48YXV0aG9yPkdyYWZmLCBELiBXLjwvYXV0aG9yPjxhdXRo
b3I+WWFuLCBYLiBTLjwvYXV0aG9yPjwvYXV0aG9ycz48L2NvbnRyaWJ1dG9ycz48YXV0aC1hZGRy
ZXNzPkNsaW5pY2FsIFN0dWR5IENvbnN1bHRhbnQsIEZvbnRlbSBWZW50dXJlcywgR3JlZW5zYm9y
bywgTkMsIFVTQS4gRWxlY3Ryb25pYyBhZGRyZXNzOiBjYXJsZHJ1aXpAZ21haWwuY29tLiYjeEQ7
Rm9udGVtIFZlbnR1cmVzLCBTY2llbnRpZmljIGFuZCBSZWd1bGF0b3J5IEFmZmFpcnMsIEFtc3Rl
cmRhbSwgVGhlIE5ldGhlcmxhbmRzLiBFbGVjdHJvbmljIGFkZHJlc3M6IGdyYW50Lm9jb25uZWxs
QGZvbnRlbXZlbnR1cmVzLmNvbS4mI3hEO0NlbGVyaW9uLCBMaW5jb2xuLCBORSwgVVNBLiBFbGVj
dHJvbmljIGFkZHJlc3M6IERvbmFsZC5ncmFmZkBjZWxlcmlvbi5jb20uJiN4RDtMb3JpbGxhcmQg
VG9iYWNjbyBDb21wYW55IChmb3JtZXJseSksIEdyZWVuc2Jvcm8sIE5DLCBVU0EuIEVsZWN0cm9u
aWMgYWRkcmVzczogeHlhbjEyMDlAZ21haWwuY29tLjwvYXV0aC1hZGRyZXNzPjx0aXRsZXM+PHRp
dGxlPk1lYXN1cmVtZW50IG9mIGNhcmRpb3Zhc2N1bGFyIGFuZCBwdWxtb25hcnkgZnVuY3Rpb24g
ZW5kcG9pbnRzIGFuZCBvdGhlciBwaHlzaW9sb2dpY2FsIGVmZmVjdHMgZm9sbG93aW5nIHBhcnRp
YWwgb3IgY29tcGxldGUgc3Vic3RpdHV0aW9uIG9mIGNpZ2FyZXR0ZXMgd2l0aCBlbGVjdHJvbmlj
IGNpZ2FyZXR0ZXMgaW4gYWR1bHQgc21va2VyczwvdGl0bGU+PHNlY29uZGFyeS10aXRsZT5SZWd1
bCBUb3hpY29sIFBoYXJtYWNvbDwvc2Vjb25kYXJ5LXRpdGxlPjxhbHQtdGl0bGU+UmVndWxhdG9y
eSB0b3hpY29sb2d5IGFuZCBwaGFybWFjb2xvZ3kgOiBSVFA8L2FsdC10aXRsZT48L3RpdGxlcz48
cGVyaW9kaWNhbD48ZnVsbC10aXRsZT5SZWd1bCBUb3hpY29sIFBoYXJtYWNvbDwvZnVsbC10aXRs
ZT48YWJici0xPlJlZ3VsYXRvcnkgdG94aWNvbG9neSBhbmQgcGhhcm1hY29sb2d5IDogUlRQPC9h
YmJyLTE+PC9wZXJpb2RpY2FsPjxhbHQtcGVyaW9kaWNhbD48ZnVsbC10aXRsZT5SZWd1bCBUb3hp
Y29sIFBoYXJtYWNvbDwvZnVsbC10aXRsZT48YWJici0xPlJlZ3VsYXRvcnkgdG94aWNvbG9neSBh
bmQgcGhhcm1hY29sb2d5IDogUlRQPC9hYmJyLTE+PC9hbHQtcGVyaW9kaWNhbD48cGFnZXM+MzYt
NTM8L3BhZ2VzPjx2b2x1bWU+ODc8L3ZvbHVtZT48ZWRpdGlvbj4yMDE3LzA1LzEwPC9lZGl0aW9u
PjxrZXl3b3Jkcz48a2V5d29yZD5BZHZlcnNlIGVmZmVjdHM8L2tleXdvcmQ+PGtleXdvcmQ+Q2Fy
ZGlvdmFzY3VsYXIgZWZmZWN0czwva2V5d29yZD48a2V5d29yZD5FLWNpZ2FyZXR0ZTwva2V5d29y
ZD48a2V5d29yZD5FeGNsdXNpdmUgYW5kIGR1YWwgdXNlPC9rZXl3b3JkPjxrZXl3b3JkPkhhcm0g
cmVkdWN0aW9uPC9rZXl3b3JkPjxrZXl3b3JkPlBoeXNpb2xvZ2ljYWwgZWZmZWN0czwva2V5d29y
ZD48a2V5d29yZD5QdWxtb25hcnkgZWZmZWN0czwva2V5d29yZD48L2tleXdvcmRzPjxkYXRlcz48
eWVhcj4yMDE3PC95ZWFyPjxwdWItZGF0ZXM+PGRhdGU+SnVsPC9kYXRlPjwvcHViLWRhdGVzPjwv
ZGF0ZXM+PGlzYm4+MDI3My0yMzAwPC9pc2JuPjxhY2Nlc3Npb24tbnVtPjI4NDc2NTUzPC9hY2Nl
c3Npb24tbnVtPjx1cmxzPjwvdXJscz48ZWxlY3Ryb25pYy1yZXNvdXJjZS1udW0+MTAuMTAxNi9q
LnlydHBoLjIwMTcuMDUuMDAyPC9lbGVjdHJvbmljLXJlc291cmNlLW51bT48cmVtb3RlLWRhdGFi
YXNlLXByb3ZpZGVyPk5MTTwvcmVtb3RlLWRhdGFiYXNlLXByb3ZpZGVyPjxsYW5ndWFnZT5lbmc8
L2xhbmd1YWdlPjwvcmVjb3JkPjwvQ2l0ZT48L0VuZE5vdGU+
</w:fldData>
        </w:fldChar>
      </w:r>
      <w:r w:rsidRPr="00430400">
        <w:rPr>
          <w:sz w:val="24"/>
        </w:rPr>
        <w:instrText xml:space="preserve"> ADDIN EN.CITE.DATA </w:instrText>
      </w:r>
      <w:r w:rsidRPr="00430400">
        <w:rPr>
          <w:sz w:val="24"/>
        </w:rPr>
      </w:r>
      <w:r w:rsidRPr="00430400">
        <w:rPr>
          <w:sz w:val="24"/>
        </w:rPr>
        <w:fldChar w:fldCharType="end"/>
      </w:r>
      <w:r w:rsidRPr="00430400">
        <w:rPr>
          <w:sz w:val="24"/>
        </w:rPr>
      </w:r>
      <w:r w:rsidRPr="00430400">
        <w:rPr>
          <w:sz w:val="24"/>
        </w:rPr>
        <w:fldChar w:fldCharType="separate"/>
      </w:r>
      <w:r w:rsidRPr="00430400">
        <w:rPr>
          <w:noProof/>
          <w:sz w:val="24"/>
        </w:rPr>
        <w:t>(D'Ruiz, O'Connell et al. 2017)</w:t>
      </w:r>
      <w:r w:rsidRPr="00430400">
        <w:rPr>
          <w:sz w:val="24"/>
        </w:rPr>
        <w:fldChar w:fldCharType="end"/>
      </w:r>
      <w:r w:rsidRPr="00430400">
        <w:rPr>
          <w:sz w:val="24"/>
        </w:rPr>
        <w:t xml:space="preserve"> which were statistically significant for some groups only. There was not a statistically significant difference in </w:t>
      </w:r>
      <w:r w:rsidR="00FD25EC" w:rsidRPr="00430400">
        <w:rPr>
          <w:sz w:val="24"/>
        </w:rPr>
        <w:t>FEV</w:t>
      </w:r>
      <w:r w:rsidR="00FD25EC" w:rsidRPr="00430400">
        <w:rPr>
          <w:sz w:val="24"/>
          <w:vertAlign w:val="subscript"/>
        </w:rPr>
        <w:t>1</w:t>
      </w:r>
      <w:r w:rsidRPr="00430400">
        <w:rPr>
          <w:sz w:val="24"/>
        </w:rPr>
        <w:t xml:space="preserve"> after four days in the group of smokers who ceased cigarette use (and all sources of nicotine). Over two years, Walele et al. </w:t>
      </w:r>
      <w:r w:rsidRPr="00430400">
        <w:rPr>
          <w:sz w:val="24"/>
        </w:rPr>
        <w:fldChar w:fldCharType="begin">
          <w:fldData xml:space="preserve">PEVuZE5vdGU+PENpdGU+PEF1dGhvcj5XYWxlbGU8L0F1dGhvcj48WWVhcj4yMDE4PC9ZZWFyPjxS
ZWNOdW0+MTg2PC9SZWNOdW0+PERpc3BsYXlUZXh0PihXYWxlbGUsIEJ1c2ggZXQgYWwuIDIwMTgp
PC9EaXNwbGF5VGV4dD48cmVjb3JkPjxyZWMtbnVtYmVyPjE4NjwvcmVjLW51bWJlcj48Zm9yZWln
bi1rZXlzPjxrZXkgYXBwPSJFTiIgZGItaWQ9IjV4djV3NXQyYmR4dHhmZXp4MDJ4dHhkZnQ1cno1
cHR2dnQyOSIgdGltZXN0YW1wPSIxNTIwNTY4NDIwIj4xODY8L2tleT48a2V5IGFwcD0iRU5XZWIi
IGRiLWlkPSIiPjA8L2tleT48L2ZvcmVpZ24ta2V5cz48cmVmLXR5cGUgbmFtZT0iSm91cm5hbCBB
cnRpY2xlIj4xNzwvcmVmLXR5cGU+PGNvbnRyaWJ1dG9ycz48YXV0aG9ycz48YXV0aG9yPldhbGVs
ZSwgVC48L2F1dGhvcj48YXV0aG9yPkJ1c2gsIEouPC9hdXRob3I+PGF1dGhvcj5Lb2NoLCBBLjwv
YXV0aG9yPjxhdXRob3I+U2F2aW96LCBSLjwvYXV0aG9yPjxhdXRob3I+TWFydGluLCBDLjwvYXV0
aG9yPjxhdXRob3I+TyZhcG9zO0Nvbm5lbGwsIEcuPC9hdXRob3I+PC9hdXRob3JzPjwvY29udHJp
YnV0b3JzPjxhdXRoLWFkZHJlc3M+Rm9udGVtIFZlbnR1cmVzLCBCYXJiYXJhIFN0cm96emlsYWFu
IDEwMSwgMTA4MyBITiBBbXN0ZXJkYW0sIFRoZSBOZXRoZXJsYW5kcy4gRWxlY3Ryb25pYyBhZGRy
ZXNzOiB0YW52aXIud2FsZWxlQGZvbnRlbXZlbnR1cmVzLmNvbS4mI3hEO0NvdmFuY2UgQ2xpbmlj
YWwgUmVzZWFyY2ggVW5pdCwgSHlkZSBTdHJlZXQsIExlZWRzLCBMUzIgOUxILCBVSy4mI3hEO1Np
bWJlYyBSZXNlYXJjaCwgTWVydGh5ciBUeWRmaWwsIENGNDggNERSLCBVSy4mI3hEO0NsaW5vcHNp
cyBTLkEuLCBKYXJkaW5zIDYsIDE0MjYgQ29uY2lzZSwgU3dpdHplcmxhbmQuJiN4RDtGb250ZW0g
VmVudHVyZXMsIEJhcmJhcmEgU3Ryb3p6aWxhYW4gMTAxLCAxMDgzIEhOIEFtc3RlcmRhbSwgVGhl
IE5ldGhlcmxhbmRzLjwvYXV0aC1hZGRyZXNzPjx0aXRsZXM+PHRpdGxlPkV2YWx1YXRpb24gb2Yg
dGhlIHNhZmV0eSBwcm9maWxlIG9mIGFuIGVsZWN0cm9uaWMgdmFwb3VyIHByb2R1Y3QgdXNlZCBm
b3IgdHdvIHllYXJzIGJ5IHNtb2tlcnMgaW4gYSByZWFsLWxpZmUgc2V0dGluZzwvdGl0bGU+PHNl
Y29uZGFyeS10aXRsZT5SZWd1bCBUb3hpY29sIFBoYXJtYWNvbDwvc2Vjb25kYXJ5LXRpdGxlPjxh
bHQtdGl0bGU+UmVndWxhdG9yeSB0b3hpY29sb2d5IGFuZCBwaGFybWFjb2xvZ3kgOiBSVFA8L2Fs
dC10aXRsZT48L3RpdGxlcz48cGVyaW9kaWNhbD48ZnVsbC10aXRsZT5SZWd1bCBUb3hpY29sIFBo
YXJtYWNvbDwvZnVsbC10aXRsZT48YWJici0xPlJlZ3VsYXRvcnkgdG94aWNvbG9neSBhbmQgcGhh
cm1hY29sb2d5IDogUlRQPC9hYmJyLTE+PC9wZXJpb2RpY2FsPjxhbHQtcGVyaW9kaWNhbD48ZnVs
bC10aXRsZT5SZWd1bCBUb3hpY29sIFBoYXJtYWNvbDwvZnVsbC10aXRsZT48YWJici0xPlJlZ3Vs
YXRvcnkgdG94aWNvbG9neSBhbmQgcGhhcm1hY29sb2d5IDogUlRQPC9hYmJyLTE+PC9hbHQtcGVy
aW9kaWNhbD48cGFnZXM+MjI2LTIzODwvcGFnZXM+PHZvbHVtZT45Mjwvdm9sdW1lPjxlZGl0aW9u
PjIwMTcvMTIvMTk8L2VkaXRpb24+PGtleXdvcmRzPjxrZXl3b3JkPkFkdmVyc2UgZXZlbnRzPC9r
ZXl3b3JkPjxrZXl3b3JkPkJpb21hcmtlcnMgb2YgZXhwb3N1cmU8L2tleXdvcmQ+PGtleXdvcmQ+
Q2xpbmljYWwgc3R1ZHk8L2tleXdvcmQ+PGtleXdvcmQ+RWxlY3Ryb25pYyBjaWdhcmV0dGU8L2tl
eXdvcmQ+PGtleXdvcmQ+RWxlY3Ryb25pYyB2YXBvdXIgcHJvZHVjdDwva2V5d29yZD48a2V5d29y
ZD5TYWZldHk8L2tleXdvcmQ+PGtleXdvcmQ+U3ViamVjdGl2ZSBlZmZlY3RzPC9rZXl3b3JkPjwv
a2V5d29yZHM+PGRhdGVzPjx5ZWFyPjIwMTg8L3llYXI+PHB1Yi1kYXRlcz48ZGF0ZT5GZWI8L2Rh
dGU+PC9wdWItZGF0ZXM+PC9kYXRlcz48aXNibj4wMjczLTIzMDA8L2lzYm4+PGFjY2Vzc2lvbi1u
dW0+MjkyNDg0ODc8L2FjY2Vzc2lvbi1udW0+PHVybHM+PC91cmxzPjxlbGVjdHJvbmljLXJlc291
cmNlLW51bT4xMC4xMDE2L2oueXJ0cGguMjAxNy4xMi4wMTA8L2VsZWN0cm9uaWMtcmVzb3VyY2Ut
bnVtPjxyZW1vdGUtZGF0YWJhc2UtcHJvdmlkZXI+TkxNPC9yZW1vdGUtZGF0YWJhc2UtcHJvdmlk
ZXI+PGxhbmd1YWdlPmVuZzwvbGFuZ3VhZ2U+PC9yZWNvcmQ+PC9DaXRlPjwvRW5kTm90ZT4A
</w:fldData>
        </w:fldChar>
      </w:r>
      <w:r w:rsidRPr="00430400">
        <w:rPr>
          <w:sz w:val="24"/>
        </w:rPr>
        <w:instrText xml:space="preserve"> ADDIN EN.CITE </w:instrText>
      </w:r>
      <w:r w:rsidRPr="00430400">
        <w:rPr>
          <w:sz w:val="24"/>
        </w:rPr>
        <w:fldChar w:fldCharType="begin">
          <w:fldData xml:space="preserve">PEVuZE5vdGU+PENpdGU+PEF1dGhvcj5XYWxlbGU8L0F1dGhvcj48WWVhcj4yMDE4PC9ZZWFyPjxS
ZWNOdW0+MTg2PC9SZWNOdW0+PERpc3BsYXlUZXh0PihXYWxlbGUsIEJ1c2ggZXQgYWwuIDIwMTgp
PC9EaXNwbGF5VGV4dD48cmVjb3JkPjxyZWMtbnVtYmVyPjE4NjwvcmVjLW51bWJlcj48Zm9yZWln
bi1rZXlzPjxrZXkgYXBwPSJFTiIgZGItaWQ9IjV4djV3NXQyYmR4dHhmZXp4MDJ4dHhkZnQ1cno1
cHR2dnQyOSIgdGltZXN0YW1wPSIxNTIwNTY4NDIwIj4xODY8L2tleT48a2V5IGFwcD0iRU5XZWIi
IGRiLWlkPSIiPjA8L2tleT48L2ZvcmVpZ24ta2V5cz48cmVmLXR5cGUgbmFtZT0iSm91cm5hbCBB
cnRpY2xlIj4xNzwvcmVmLXR5cGU+PGNvbnRyaWJ1dG9ycz48YXV0aG9ycz48YXV0aG9yPldhbGVs
ZSwgVC48L2F1dGhvcj48YXV0aG9yPkJ1c2gsIEouPC9hdXRob3I+PGF1dGhvcj5Lb2NoLCBBLjwv
YXV0aG9yPjxhdXRob3I+U2F2aW96LCBSLjwvYXV0aG9yPjxhdXRob3I+TWFydGluLCBDLjwvYXV0
aG9yPjxhdXRob3I+TyZhcG9zO0Nvbm5lbGwsIEcuPC9hdXRob3I+PC9hdXRob3JzPjwvY29udHJp
YnV0b3JzPjxhdXRoLWFkZHJlc3M+Rm9udGVtIFZlbnR1cmVzLCBCYXJiYXJhIFN0cm96emlsYWFu
IDEwMSwgMTA4MyBITiBBbXN0ZXJkYW0sIFRoZSBOZXRoZXJsYW5kcy4gRWxlY3Ryb25pYyBhZGRy
ZXNzOiB0YW52aXIud2FsZWxlQGZvbnRlbXZlbnR1cmVzLmNvbS4mI3hEO0NvdmFuY2UgQ2xpbmlj
YWwgUmVzZWFyY2ggVW5pdCwgSHlkZSBTdHJlZXQsIExlZWRzLCBMUzIgOUxILCBVSy4mI3hEO1Np
bWJlYyBSZXNlYXJjaCwgTWVydGh5ciBUeWRmaWwsIENGNDggNERSLCBVSy4mI3hEO0NsaW5vcHNp
cyBTLkEuLCBKYXJkaW5zIDYsIDE0MjYgQ29uY2lzZSwgU3dpdHplcmxhbmQuJiN4RDtGb250ZW0g
VmVudHVyZXMsIEJhcmJhcmEgU3Ryb3p6aWxhYW4gMTAxLCAxMDgzIEhOIEFtc3RlcmRhbSwgVGhl
IE5ldGhlcmxhbmRzLjwvYXV0aC1hZGRyZXNzPjx0aXRsZXM+PHRpdGxlPkV2YWx1YXRpb24gb2Yg
dGhlIHNhZmV0eSBwcm9maWxlIG9mIGFuIGVsZWN0cm9uaWMgdmFwb3VyIHByb2R1Y3QgdXNlZCBm
b3IgdHdvIHllYXJzIGJ5IHNtb2tlcnMgaW4gYSByZWFsLWxpZmUgc2V0dGluZzwvdGl0bGU+PHNl
Y29uZGFyeS10aXRsZT5SZWd1bCBUb3hpY29sIFBoYXJtYWNvbDwvc2Vjb25kYXJ5LXRpdGxlPjxh
bHQtdGl0bGU+UmVndWxhdG9yeSB0b3hpY29sb2d5IGFuZCBwaGFybWFjb2xvZ3kgOiBSVFA8L2Fs
dC10aXRsZT48L3RpdGxlcz48cGVyaW9kaWNhbD48ZnVsbC10aXRsZT5SZWd1bCBUb3hpY29sIFBo
YXJtYWNvbDwvZnVsbC10aXRsZT48YWJici0xPlJlZ3VsYXRvcnkgdG94aWNvbG9neSBhbmQgcGhh
cm1hY29sb2d5IDogUlRQPC9hYmJyLTE+PC9wZXJpb2RpY2FsPjxhbHQtcGVyaW9kaWNhbD48ZnVs
bC10aXRsZT5SZWd1bCBUb3hpY29sIFBoYXJtYWNvbDwvZnVsbC10aXRsZT48YWJici0xPlJlZ3Vs
YXRvcnkgdG94aWNvbG9neSBhbmQgcGhhcm1hY29sb2d5IDogUlRQPC9hYmJyLTE+PC9hbHQtcGVy
aW9kaWNhbD48cGFnZXM+MjI2LTIzODwvcGFnZXM+PHZvbHVtZT45Mjwvdm9sdW1lPjxlZGl0aW9u
PjIwMTcvMTIvMTk8L2VkaXRpb24+PGtleXdvcmRzPjxrZXl3b3JkPkFkdmVyc2UgZXZlbnRzPC9r
ZXl3b3JkPjxrZXl3b3JkPkJpb21hcmtlcnMgb2YgZXhwb3N1cmU8L2tleXdvcmQ+PGtleXdvcmQ+
Q2xpbmljYWwgc3R1ZHk8L2tleXdvcmQ+PGtleXdvcmQ+RWxlY3Ryb25pYyBjaWdhcmV0dGU8L2tl
eXdvcmQ+PGtleXdvcmQ+RWxlY3Ryb25pYyB2YXBvdXIgcHJvZHVjdDwva2V5d29yZD48a2V5d29y
ZD5TYWZldHk8L2tleXdvcmQ+PGtleXdvcmQ+U3ViamVjdGl2ZSBlZmZlY3RzPC9rZXl3b3JkPjwv
a2V5d29yZHM+PGRhdGVzPjx5ZWFyPjIwMTg8L3llYXI+PHB1Yi1kYXRlcz48ZGF0ZT5GZWI8L2Rh
dGU+PC9wdWItZGF0ZXM+PC9kYXRlcz48aXNibj4wMjczLTIzMDA8L2lzYm4+PGFjY2Vzc2lvbi1u
dW0+MjkyNDg0ODc8L2FjY2Vzc2lvbi1udW0+PHVybHM+PC91cmxzPjxlbGVjdHJvbmljLXJlc291
cmNlLW51bT4xMC4xMDE2L2oueXJ0cGguMjAxNy4xMi4wMTA8L2VsZWN0cm9uaWMtcmVzb3VyY2Ut
bnVtPjxyZW1vdGUtZGF0YWJhc2UtcHJvdmlkZXI+TkxNPC9yZW1vdGUtZGF0YWJhc2UtcHJvdmlk
ZXI+PGxhbmd1YWdlPmVuZzwvbGFuZ3VhZ2U+PC9yZWNvcmQ+PC9DaXRlPjwvRW5kTm90ZT4A
</w:fldData>
        </w:fldChar>
      </w:r>
      <w:r w:rsidRPr="00430400">
        <w:rPr>
          <w:sz w:val="24"/>
        </w:rPr>
        <w:instrText xml:space="preserve"> ADDIN EN.CITE.DATA </w:instrText>
      </w:r>
      <w:r w:rsidRPr="00430400">
        <w:rPr>
          <w:sz w:val="24"/>
        </w:rPr>
      </w:r>
      <w:r w:rsidRPr="00430400">
        <w:rPr>
          <w:sz w:val="24"/>
        </w:rPr>
        <w:fldChar w:fldCharType="end"/>
      </w:r>
      <w:r w:rsidRPr="00430400">
        <w:rPr>
          <w:sz w:val="24"/>
        </w:rPr>
      </w:r>
      <w:r w:rsidRPr="00430400">
        <w:rPr>
          <w:sz w:val="24"/>
        </w:rPr>
        <w:fldChar w:fldCharType="separate"/>
      </w:r>
      <w:r w:rsidRPr="00430400">
        <w:rPr>
          <w:noProof/>
          <w:sz w:val="24"/>
        </w:rPr>
        <w:t>(Walele, Bush et al. 2018)</w:t>
      </w:r>
      <w:r w:rsidRPr="00430400">
        <w:rPr>
          <w:sz w:val="24"/>
        </w:rPr>
        <w:fldChar w:fldCharType="end"/>
      </w:r>
      <w:r w:rsidRPr="00430400">
        <w:rPr>
          <w:sz w:val="24"/>
        </w:rPr>
        <w:t xml:space="preserve"> reported small decreases in lung function for former smokers who used e</w:t>
      </w:r>
      <w:r w:rsidRPr="00430400">
        <w:rPr>
          <w:sz w:val="24"/>
        </w:rPr>
        <w:noBreakHyphen/>
        <w:t>cigarettes which the authors classify as not clinically relevant. However, this study had an attrition rate above 50%, and did not have a comparison group of continuing smokers to assess whether the smokers switching to e</w:t>
      </w:r>
      <w:r w:rsidRPr="00430400">
        <w:rPr>
          <w:sz w:val="24"/>
        </w:rPr>
        <w:noBreakHyphen/>
        <w:t>cigarettes had a benefit in lung function over continuing smokers. The literature reviewed does not provide strong evidence that use of e</w:t>
      </w:r>
      <w:r w:rsidRPr="00430400">
        <w:rPr>
          <w:sz w:val="24"/>
        </w:rPr>
        <w:noBreakHyphen/>
        <w:t xml:space="preserve">cigarettes improves lung function in smokers. </w:t>
      </w:r>
    </w:p>
    <w:p w14:paraId="1C334AA3" w14:textId="51AC541B" w:rsidR="00430400" w:rsidRPr="00430400" w:rsidRDefault="00430400" w:rsidP="00430400">
      <w:pPr>
        <w:spacing w:before="120" w:line="264" w:lineRule="auto"/>
        <w:rPr>
          <w:sz w:val="24"/>
        </w:rPr>
      </w:pPr>
      <w:r w:rsidRPr="00430400">
        <w:rPr>
          <w:sz w:val="24"/>
        </w:rPr>
        <w:t xml:space="preserve">Two studies </w:t>
      </w:r>
      <w:r w:rsidRPr="00430400">
        <w:rPr>
          <w:sz w:val="24"/>
        </w:rPr>
        <w:fldChar w:fldCharType="begin">
          <w:fldData xml:space="preserve">PEVuZE5vdGU+PENpdGU+PEF1dGhvcj5PZWxzbmVyPC9BdXRob3I+PFllYXI+MjAxNzwvWWVhcj48
UmVjTnVtPjExNDM1PC9SZWNOdW0+PERpc3BsYXlUZXh0PihPZWxzbmVyLCBIb2ZmbWFuIGV0IGFs
LiAyMDE3LCBSZWlkZWwsIFJhZGljaW9uaSBldCBhbC4gMjAxOCk8L0Rpc3BsYXlUZXh0PjxyZWNv
cmQ+PHJlYy1udW1iZXI+MTE0MzU8L3JlYy1udW1iZXI+PGZvcmVpZ24ta2V5cz48a2V5IGFwcD0i
RU4iIGRiLWlkPSI1eHY1dzV0MmJkeHR4ZmV6eDAyeHR4ZGZ0NXJ6NXB0dnZ0MjkiIHRpbWVzdGFt
cD0iMTUyMzg2MTg2MyI+MTE0MzU8L2tleT48a2V5IGFwcD0iRU5XZWIiIGRiLWlkPSIiPjA8L2tl
eT48L2ZvcmVpZ24ta2V5cz48cmVmLXR5cGUgbmFtZT0iSm91cm5hbCBBcnRpY2xlIj4xNzwvcmVm
LXR5cGU+PGNvbnRyaWJ1dG9ycz48YXV0aG9ycz48YXV0aG9yPk9lbHNuZXIsIEUuPC9hdXRob3I+
PGF1dGhvcj5Ib2ZmbWFuLCBFLiBBLjwvYXV0aG9yPjxhdXRob3I+QmFyamFrdGFyZXZpYywgSS48
L2F1dGhvcj48YXV0aG9yPkJsZWVja2VyLCBFLjwvYXV0aG9yPjxhdXRob3I+Q29vcGVyLCBDLiBC
LjwvYXV0aG9yPjxhdXRob3I+Q29tZWxsYXMsIEEuIFAuPC9hdXRob3I+PGF1dGhvcj5Db3VwZXIs
IEQuPC9hdXRob3I+PGF1dGhvcj5DcmluZXIsIEcuIEouPC9hdXRob3I+PGF1dGhvcj5EcmFuc2Zp
ZWxkLCBNLjwvYXV0aG9yPjxhdXRob3I+RHJ1bW1vbmQsIE0uIEIuPC9hdXRob3I+PGF1dGhvcj5I
YW4sIE0uIEsuPC9hdXRob3I+PGF1dGhvcj5LYW5uZXIsIFIuIEUuPC9hdXRob3I+PGF1dGhvcj5L
cmlzaG5hbiwgSi4gQS48L2F1dGhvcj48YXV0aG9yPk1hcnRpbmV6LCBGLiBKLjwvYXV0aG9yPjxh
dXRob3I+UGFpbmUsIFIuPC9hdXRob3I+PGF1dGhvcj5Xb29kcnVmZiwgUC4gRy48L2F1dGhvcj48
YXV0aG9yPkJvd2xlZCwgUi48L2F1dGhvcj48YXV0aG9yPkhhbnNlbCwgTi4gTi48L2F1dGhvcj48
YXV0aG9yPkJhcnIsIFIuIEcuPC9hdXRob3I+PC9hdXRob3JzPjwvY29udHJpYnV0b3JzPjx0aXRs
ZXM+PHRpdGxlPkUtQ2lnYXJldHRlIFVzZSBBbmQgTHVuZyBEZW5zaXR5IE9uIENvbXB1dGVkIFRv
bW9ncmFwaHkuIFN1YnBvcHVsYXRpb25zIEFuZCBJbnRlcm1lZGlhdGUgT3V0Y29tZSBNZWFzdXJl
cyBJbiBDT1BEIFN0dWR5IChzcGlyb21pY3MpPC90aXRsZT48c2Vjb25kYXJ5LXRpdGxlPkFtZXJp
Y2FuIEpvdXJuYWwgb2YgUmVzcGlyYXRvcnkgYW5kIENyaXRpY2FsIENhcmUgTWVkaWNpbmU8L3Nl
Y29uZGFyeS10aXRsZT48L3RpdGxlcz48cGVyaW9kaWNhbD48ZnVsbC10aXRsZT5BbSBKIFJlc3Bp
ciBDcml0IENhcmUgTWVkPC9mdWxsLXRpdGxlPjxhYmJyLTE+QW1lcmljYW4gam91cm5hbCBvZiBy
ZXNwaXJhdG9yeSBhbmQgY3JpdGljYWwgY2FyZSBtZWRpY2luZTwvYWJici0xPjwvcGVyaW9kaWNh
bD48dm9sdW1lPjE5NTwvdm9sdW1lPjxkYXRlcz48eWVhcj4yMDE3PC95ZWFyPjxwdWItZGF0ZXM+
PGRhdGU+MjAxNzwvZGF0ZT48L3B1Yi1kYXRlcz48L2RhdGVzPjxpc2JuPjEwNzMtNDQ5WDwvaXNi
bj48YWNjZXNzaW9uLW51bT5XT1M6MDAwNDAwMzcyNTA3NDM2PC9hY2Nlc3Npb24tbnVtPjx1cmxz
PjxyZWxhdGVkLXVybHM+PHVybD4mbHQ7R28gdG8gSVNJJmd0OzovL1dPUzowMDA0MDAzNzI1MDc0
MzY8L3VybD48L3JlbGF0ZWQtdXJscz48L3VybHM+PC9yZWNvcmQ+PC9DaXRlPjxDaXRlPjxBdXRo
b3I+UmVpZGVsPC9BdXRob3I+PFllYXI+MjAxODwvWWVhcj48UmVjTnVtPjg1MTwvUmVjTnVtPjxy
ZWNvcmQ+PHJlYy1udW1iZXI+ODUxPC9yZWMtbnVtYmVyPjxmb3JlaWduLWtleXM+PGtleSBhcHA9
IkVOIiBkYi1pZD0idnp4ZHBmd2R1eGZlZDJldDlwYXZ4OTlqenNzeGVhcHd0NXA1IiB0aW1lc3Rh
bXA9IjE1MjEwOTkzMTAiPjg1MTwva2V5PjxrZXkgYXBwPSJFTldlYiIgZGItaWQ9IiI+MDwva2V5
PjwvZm9yZWlnbi1rZXlzPjxyZWYtdHlwZSBuYW1lPSJKb3VybmFsIEFydGljbGUiPjE3PC9yZWYt
dHlwZT48Y29udHJpYnV0b3JzPjxhdXRob3JzPjxhdXRob3I+UmVpZGVsLCBCLjwvYXV0aG9yPjxh
dXRob3I+UmFkaWNpb25pLCBHLjwvYXV0aG9yPjxhdXRob3I+Q2xhcHAsIFAuIFcuPC9hdXRob3I+
PGF1dGhvcj5Gb3JkLCBBLiBBLjwvYXV0aG9yPjxhdXRob3I+QWJkZWx3YWhhYiwgUy48L2F1dGhv
cj48YXV0aG9yPlJlYnVsaSwgTS4gRS48L2F1dGhvcj48YXV0aG9yPkhhcmlkYXNzLCBQLjwvYXV0
aG9yPjxhdXRob3I+QWxleGlzLCBOLiBFLjwvYXV0aG9yPjxhdXRob3I+SmFzcGVycywgSS48L2F1
dGhvcj48YXV0aG9yPktlc2ltZXIsIE0uPC9hdXRob3I+PC9hdXRob3JzPjwvY29udHJpYnV0b3Jz
PjxhdXRoLWFkZHJlc3M+MSBNYXJzaWNvIEx1bmcgSW5zdGl0dXRlLiYjeEQ7MiBEZXBhcnRtZW50
IG9mIFBhdGhvbG9neSBhbmQgTGFib3JhdG9yeSBNZWRpY2luZSwgYW5kLiYjeEQ7MyBEZXBhcnRt
ZW50IG9mIFBlZGlhdHJpY3MsIFRoZSBVbml2ZXJzaXR5IG9mIE5vcnRoIENhcm9saW5hIGF0IENo
YXBlbCBIaWxsLCBDaGFwZWwgSGlsbCwgTm9ydGggQ2Fyb2xpbmEuPC9hdXRoLWFkZHJlc3M+PHRp
dGxlcz48dGl0bGU+RS1DaWdhcmV0dGUgVXNlIENhdXNlcyBhIFVuaXF1ZSBJbm5hdGUgSW1tdW5l
IFJlc3BvbnNlIGluIHRoZSBMdW5nLCBJbnZvbHZpbmcgSW5jcmVhc2VkIE5ldXRyb3BoaWxpYyBB
Y3RpdmF0aW9uIGFuZCBBbHRlcmVkIE11Y2luIFNlY3JldGlvbjwvdGl0bGU+PHNlY29uZGFyeS10
aXRsZT5BbSBKIFJlc3BpciBDcml0IENhcmUgTWVkPC9zZWNvbmRhcnktdGl0bGU+PGFsdC10aXRs
ZT5BbWVyaWNhbiBqb3VybmFsIG9mIHJlc3BpcmF0b3J5IGFuZCBjcml0aWNhbCBjYXJlIG1lZGlj
aW5lPC9hbHQtdGl0bGU+PC90aXRsZXM+PHBlcmlvZGljYWw+PGZ1bGwtdGl0bGU+QW0gSiBSZXNw
aXIgQ3JpdCBDYXJlIE1lZDwvZnVsbC10aXRsZT48YWJici0xPkFtZXJpY2FuIGpvdXJuYWwgb2Yg
cmVzcGlyYXRvcnkgYW5kIGNyaXRpY2FsIGNhcmUgbWVkaWNpbmU8L2FiYnItMT48L3BlcmlvZGlj
YWw+PGFsdC1wZXJpb2RpY2FsPjxmdWxsLXRpdGxlPkFtIEogUmVzcGlyIENyaXQgQ2FyZSBNZWQ8
L2Z1bGwtdGl0bGU+PGFiYnItMT5BbWVyaWNhbiBqb3VybmFsIG9mIHJlc3BpcmF0b3J5IGFuZCBj
cml0aWNhbCBjYXJlIG1lZGljaW5lPC9hYmJyLTE+PC9hbHQtcGVyaW9kaWNhbD48cGFnZXM+NDky
LTUwMTwvcGFnZXM+PHZvbHVtZT4xOTc8L3ZvbHVtZT48bnVtYmVyPjQ8L251bWJlcj48ZWRpdGlv
bj4yMDE3LzEwLzIxPC9lZGl0aW9uPjxrZXl3b3Jkcz48a2V5d29yZD5OZXQ8L2tleXdvcmQ+PGtl
eXdvcmQ+ZS1jaWdhcmV0dGU8L2tleXdvcmQ+PGtleXdvcmQ+bHVuZzwva2V5d29yZD48a2V5d29y
ZD5tdWNpbjwva2V5d29yZD48a2V5d29yZD5uZXV0cm9waGlsPC9rZXl3b3JkPjwva2V5d29yZHM+
PGRhdGVzPjx5ZWFyPjIwMTg8L3llYXI+PHB1Yi1kYXRlcz48ZGF0ZT5GZWIgMTU8L2RhdGU+PC9w
dWItZGF0ZXM+PC9kYXRlcz48aXNibj4xMDczLTQ0OXg8L2lzYm4+PGFjY2Vzc2lvbi1udW0+Mjkw
NTMwMjU8L2FjY2Vzc2lvbi1udW0+PHVybHM+PC91cmxzPjxjdXN0b20yPlBNQzU4MjE5MDk8L2N1
c3RvbTI+PGVsZWN0cm9uaWMtcmVzb3VyY2UtbnVtPjEwLjExNjQvcmNjbS4yMDE3MDgtMTU5ME9D
PC9lbGVjdHJvbmljLXJlc291cmNlLW51bT48cmVtb3RlLWRhdGFiYXNlLXByb3ZpZGVyPk5MTTwv
cmVtb3RlLWRhdGFiYXNlLXByb3ZpZGVyPjxsYW5ndWFnZT5lbmc8L2xhbmd1YWdlPjwvcmVjb3Jk
PjwvQ2l0ZT48L0VuZE5vdGU+
</w:fldData>
        </w:fldChar>
      </w:r>
      <w:r w:rsidRPr="00430400">
        <w:rPr>
          <w:sz w:val="24"/>
        </w:rPr>
        <w:instrText xml:space="preserve"> ADDIN EN.CITE </w:instrText>
      </w:r>
      <w:r w:rsidRPr="00430400">
        <w:rPr>
          <w:sz w:val="24"/>
        </w:rPr>
        <w:fldChar w:fldCharType="begin">
          <w:fldData xml:space="preserve">PEVuZE5vdGU+PENpdGU+PEF1dGhvcj5PZWxzbmVyPC9BdXRob3I+PFllYXI+MjAxNzwvWWVhcj48
UmVjTnVtPjExNDM1PC9SZWNOdW0+PERpc3BsYXlUZXh0PihPZWxzbmVyLCBIb2ZmbWFuIGV0IGFs
LiAyMDE3LCBSZWlkZWwsIFJhZGljaW9uaSBldCBhbC4gMjAxOCk8L0Rpc3BsYXlUZXh0PjxyZWNv
cmQ+PHJlYy1udW1iZXI+MTE0MzU8L3JlYy1udW1iZXI+PGZvcmVpZ24ta2V5cz48a2V5IGFwcD0i
RU4iIGRiLWlkPSI1eHY1dzV0MmJkeHR4ZmV6eDAyeHR4ZGZ0NXJ6NXB0dnZ0MjkiIHRpbWVzdGFt
cD0iMTUyMzg2MTg2MyI+MTE0MzU8L2tleT48a2V5IGFwcD0iRU5XZWIiIGRiLWlkPSIiPjA8L2tl
eT48L2ZvcmVpZ24ta2V5cz48cmVmLXR5cGUgbmFtZT0iSm91cm5hbCBBcnRpY2xlIj4xNzwvcmVm
LXR5cGU+PGNvbnRyaWJ1dG9ycz48YXV0aG9ycz48YXV0aG9yPk9lbHNuZXIsIEUuPC9hdXRob3I+
PGF1dGhvcj5Ib2ZmbWFuLCBFLiBBLjwvYXV0aG9yPjxhdXRob3I+QmFyamFrdGFyZXZpYywgSS48
L2F1dGhvcj48YXV0aG9yPkJsZWVja2VyLCBFLjwvYXV0aG9yPjxhdXRob3I+Q29vcGVyLCBDLiBC
LjwvYXV0aG9yPjxhdXRob3I+Q29tZWxsYXMsIEEuIFAuPC9hdXRob3I+PGF1dGhvcj5Db3VwZXIs
IEQuPC9hdXRob3I+PGF1dGhvcj5DcmluZXIsIEcuIEouPC9hdXRob3I+PGF1dGhvcj5EcmFuc2Zp
ZWxkLCBNLjwvYXV0aG9yPjxhdXRob3I+RHJ1bW1vbmQsIE0uIEIuPC9hdXRob3I+PGF1dGhvcj5I
YW4sIE0uIEsuPC9hdXRob3I+PGF1dGhvcj5LYW5uZXIsIFIuIEUuPC9hdXRob3I+PGF1dGhvcj5L
cmlzaG5hbiwgSi4gQS48L2F1dGhvcj48YXV0aG9yPk1hcnRpbmV6LCBGLiBKLjwvYXV0aG9yPjxh
dXRob3I+UGFpbmUsIFIuPC9hdXRob3I+PGF1dGhvcj5Xb29kcnVmZiwgUC4gRy48L2F1dGhvcj48
YXV0aG9yPkJvd2xlZCwgUi48L2F1dGhvcj48YXV0aG9yPkhhbnNlbCwgTi4gTi48L2F1dGhvcj48
YXV0aG9yPkJhcnIsIFIuIEcuPC9hdXRob3I+PC9hdXRob3JzPjwvY29udHJpYnV0b3JzPjx0aXRs
ZXM+PHRpdGxlPkUtQ2lnYXJldHRlIFVzZSBBbmQgTHVuZyBEZW5zaXR5IE9uIENvbXB1dGVkIFRv
bW9ncmFwaHkuIFN1YnBvcHVsYXRpb25zIEFuZCBJbnRlcm1lZGlhdGUgT3V0Y29tZSBNZWFzdXJl
cyBJbiBDT1BEIFN0dWR5IChzcGlyb21pY3MpPC90aXRsZT48c2Vjb25kYXJ5LXRpdGxlPkFtZXJp
Y2FuIEpvdXJuYWwgb2YgUmVzcGlyYXRvcnkgYW5kIENyaXRpY2FsIENhcmUgTWVkaWNpbmU8L3Nl
Y29uZGFyeS10aXRsZT48L3RpdGxlcz48cGVyaW9kaWNhbD48ZnVsbC10aXRsZT5BbSBKIFJlc3Bp
ciBDcml0IENhcmUgTWVkPC9mdWxsLXRpdGxlPjxhYmJyLTE+QW1lcmljYW4gam91cm5hbCBvZiBy
ZXNwaXJhdG9yeSBhbmQgY3JpdGljYWwgY2FyZSBtZWRpY2luZTwvYWJici0xPjwvcGVyaW9kaWNh
bD48dm9sdW1lPjE5NTwvdm9sdW1lPjxkYXRlcz48eWVhcj4yMDE3PC95ZWFyPjxwdWItZGF0ZXM+
PGRhdGU+MjAxNzwvZGF0ZT48L3B1Yi1kYXRlcz48L2RhdGVzPjxpc2JuPjEwNzMtNDQ5WDwvaXNi
bj48YWNjZXNzaW9uLW51bT5XT1M6MDAwNDAwMzcyNTA3NDM2PC9hY2Nlc3Npb24tbnVtPjx1cmxz
PjxyZWxhdGVkLXVybHM+PHVybD4mbHQ7R28gdG8gSVNJJmd0OzovL1dPUzowMDA0MDAzNzI1MDc0
MzY8L3VybD48L3JlbGF0ZWQtdXJscz48L3VybHM+PC9yZWNvcmQ+PC9DaXRlPjxDaXRlPjxBdXRo
b3I+UmVpZGVsPC9BdXRob3I+PFllYXI+MjAxODwvWWVhcj48UmVjTnVtPjg1MTwvUmVjTnVtPjxy
ZWNvcmQ+PHJlYy1udW1iZXI+ODUxPC9yZWMtbnVtYmVyPjxmb3JlaWduLWtleXM+PGtleSBhcHA9
IkVOIiBkYi1pZD0idnp4ZHBmd2R1eGZlZDJldDlwYXZ4OTlqenNzeGVhcHd0NXA1IiB0aW1lc3Rh
bXA9IjE1MjEwOTkzMTAiPjg1MTwva2V5PjxrZXkgYXBwPSJFTldlYiIgZGItaWQ9IiI+MDwva2V5
PjwvZm9yZWlnbi1rZXlzPjxyZWYtdHlwZSBuYW1lPSJKb3VybmFsIEFydGljbGUiPjE3PC9yZWYt
dHlwZT48Y29udHJpYnV0b3JzPjxhdXRob3JzPjxhdXRob3I+UmVpZGVsLCBCLjwvYXV0aG9yPjxh
dXRob3I+UmFkaWNpb25pLCBHLjwvYXV0aG9yPjxhdXRob3I+Q2xhcHAsIFAuIFcuPC9hdXRob3I+
PGF1dGhvcj5Gb3JkLCBBLiBBLjwvYXV0aG9yPjxhdXRob3I+QWJkZWx3YWhhYiwgUy48L2F1dGhv
cj48YXV0aG9yPlJlYnVsaSwgTS4gRS48L2F1dGhvcj48YXV0aG9yPkhhcmlkYXNzLCBQLjwvYXV0
aG9yPjxhdXRob3I+QWxleGlzLCBOLiBFLjwvYXV0aG9yPjxhdXRob3I+SmFzcGVycywgSS48L2F1
dGhvcj48YXV0aG9yPktlc2ltZXIsIE0uPC9hdXRob3I+PC9hdXRob3JzPjwvY29udHJpYnV0b3Jz
PjxhdXRoLWFkZHJlc3M+MSBNYXJzaWNvIEx1bmcgSW5zdGl0dXRlLiYjeEQ7MiBEZXBhcnRtZW50
IG9mIFBhdGhvbG9neSBhbmQgTGFib3JhdG9yeSBNZWRpY2luZSwgYW5kLiYjeEQ7MyBEZXBhcnRt
ZW50IG9mIFBlZGlhdHJpY3MsIFRoZSBVbml2ZXJzaXR5IG9mIE5vcnRoIENhcm9saW5hIGF0IENo
YXBlbCBIaWxsLCBDaGFwZWwgSGlsbCwgTm9ydGggQ2Fyb2xpbmEuPC9hdXRoLWFkZHJlc3M+PHRp
dGxlcz48dGl0bGU+RS1DaWdhcmV0dGUgVXNlIENhdXNlcyBhIFVuaXF1ZSBJbm5hdGUgSW1tdW5l
IFJlc3BvbnNlIGluIHRoZSBMdW5nLCBJbnZvbHZpbmcgSW5jcmVhc2VkIE5ldXRyb3BoaWxpYyBB
Y3RpdmF0aW9uIGFuZCBBbHRlcmVkIE11Y2luIFNlY3JldGlvbjwvdGl0bGU+PHNlY29uZGFyeS10
aXRsZT5BbSBKIFJlc3BpciBDcml0IENhcmUgTWVkPC9zZWNvbmRhcnktdGl0bGU+PGFsdC10aXRs
ZT5BbWVyaWNhbiBqb3VybmFsIG9mIHJlc3BpcmF0b3J5IGFuZCBjcml0aWNhbCBjYXJlIG1lZGlj
aW5lPC9hbHQtdGl0bGU+PC90aXRsZXM+PHBlcmlvZGljYWw+PGZ1bGwtdGl0bGU+QW0gSiBSZXNw
aXIgQ3JpdCBDYXJlIE1lZDwvZnVsbC10aXRsZT48YWJici0xPkFtZXJpY2FuIGpvdXJuYWwgb2Yg
cmVzcGlyYXRvcnkgYW5kIGNyaXRpY2FsIGNhcmUgbWVkaWNpbmU8L2FiYnItMT48L3BlcmlvZGlj
YWw+PGFsdC1wZXJpb2RpY2FsPjxmdWxsLXRpdGxlPkFtIEogUmVzcGlyIENyaXQgQ2FyZSBNZWQ8
L2Z1bGwtdGl0bGU+PGFiYnItMT5BbWVyaWNhbiBqb3VybmFsIG9mIHJlc3BpcmF0b3J5IGFuZCBj
cml0aWNhbCBjYXJlIG1lZGljaW5lPC9hYmJyLTE+PC9hbHQtcGVyaW9kaWNhbD48cGFnZXM+NDky
LTUwMTwvcGFnZXM+PHZvbHVtZT4xOTc8L3ZvbHVtZT48bnVtYmVyPjQ8L251bWJlcj48ZWRpdGlv
bj4yMDE3LzEwLzIxPC9lZGl0aW9uPjxrZXl3b3Jkcz48a2V5d29yZD5OZXQ8L2tleXdvcmQ+PGtl
eXdvcmQ+ZS1jaWdhcmV0dGU8L2tleXdvcmQ+PGtleXdvcmQ+bHVuZzwva2V5d29yZD48a2V5d29y
ZD5tdWNpbjwva2V5d29yZD48a2V5d29yZD5uZXV0cm9waGlsPC9rZXl3b3JkPjwva2V5d29yZHM+
PGRhdGVzPjx5ZWFyPjIwMTg8L3llYXI+PHB1Yi1kYXRlcz48ZGF0ZT5GZWIgMTU8L2RhdGU+PC9w
dWItZGF0ZXM+PC9kYXRlcz48aXNibj4xMDczLTQ0OXg8L2lzYm4+PGFjY2Vzc2lvbi1udW0+Mjkw
NTMwMjU8L2FjY2Vzc2lvbi1udW0+PHVybHM+PC91cmxzPjxjdXN0b20yPlBNQzU4MjE5MDk8L2N1
c3RvbTI+PGVsZWN0cm9uaWMtcmVzb3VyY2UtbnVtPjEwLjExNjQvcmNjbS4yMDE3MDgtMTU5ME9D
PC9lbGVjdHJvbmljLXJlc291cmNlLW51bT48cmVtb3RlLWRhdGFiYXNlLXByb3ZpZGVyPk5MTTwv
cmVtb3RlLWRhdGFiYXNlLXByb3ZpZGVyPjxsYW5ndWFnZT5lbmc8L2xhbmd1YWdlPjwvcmVjb3Jk
PjwvQ2l0ZT48L0VuZE5vdGU+
</w:fldData>
        </w:fldChar>
      </w:r>
      <w:r w:rsidRPr="00430400">
        <w:rPr>
          <w:sz w:val="24"/>
        </w:rPr>
        <w:instrText xml:space="preserve"> ADDIN EN.CITE.DATA </w:instrText>
      </w:r>
      <w:r w:rsidRPr="00430400">
        <w:rPr>
          <w:sz w:val="24"/>
        </w:rPr>
      </w:r>
      <w:r w:rsidRPr="00430400">
        <w:rPr>
          <w:sz w:val="24"/>
        </w:rPr>
        <w:fldChar w:fldCharType="end"/>
      </w:r>
      <w:r w:rsidRPr="00430400">
        <w:rPr>
          <w:sz w:val="24"/>
        </w:rPr>
      </w:r>
      <w:r w:rsidRPr="00430400">
        <w:rPr>
          <w:sz w:val="24"/>
        </w:rPr>
        <w:fldChar w:fldCharType="separate"/>
      </w:r>
      <w:r w:rsidRPr="00430400">
        <w:rPr>
          <w:noProof/>
          <w:sz w:val="24"/>
        </w:rPr>
        <w:t>(Oelsner, Hoffman et al. 2017, Reidel, Radicioni et al. 2018)</w:t>
      </w:r>
      <w:r w:rsidRPr="00430400">
        <w:rPr>
          <w:sz w:val="24"/>
        </w:rPr>
        <w:fldChar w:fldCharType="end"/>
      </w:r>
      <w:r w:rsidRPr="00430400">
        <w:rPr>
          <w:sz w:val="24"/>
        </w:rPr>
        <w:t xml:space="preserve"> highlight that e</w:t>
      </w:r>
      <w:r w:rsidRPr="00430400">
        <w:rPr>
          <w:sz w:val="24"/>
        </w:rPr>
        <w:noBreakHyphen/>
        <w:t>cigarettes have an impact on the lungs that is different to that of conventional cigarettes, however the implications of these differences on lung health is not known.</w:t>
      </w:r>
      <w:r w:rsidR="008146F9">
        <w:rPr>
          <w:sz w:val="24"/>
        </w:rPr>
        <w:t xml:space="preserve"> </w:t>
      </w:r>
    </w:p>
    <w:p w14:paraId="76C302C3" w14:textId="77777777" w:rsidR="00430400" w:rsidRPr="00430400" w:rsidRDefault="00430400" w:rsidP="00430400">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1F6FF" w:themeFill="accent2" w:themeFillTint="1A"/>
        <w:spacing w:before="360" w:after="240"/>
        <w:ind w:left="227" w:right="227"/>
        <w:rPr>
          <w:b/>
          <w:sz w:val="28"/>
          <w:szCs w:val="28"/>
        </w:rPr>
      </w:pPr>
      <w:r w:rsidRPr="00430400">
        <w:rPr>
          <w:b/>
          <w:sz w:val="28"/>
          <w:szCs w:val="28"/>
        </w:rPr>
        <w:t>Previous reviews</w:t>
      </w:r>
    </w:p>
    <w:p w14:paraId="324DF1D8" w14:textId="77777777" w:rsidR="00430400" w:rsidRPr="00430400" w:rsidRDefault="00430400" w:rsidP="00430400">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1F6FF" w:themeFill="accent2" w:themeFillTint="1A"/>
        <w:spacing w:after="0"/>
        <w:ind w:left="227" w:right="227"/>
        <w:contextualSpacing/>
        <w:rPr>
          <w:sz w:val="24"/>
          <w:szCs w:val="24"/>
        </w:rPr>
      </w:pPr>
      <w:r w:rsidRPr="00430400">
        <w:rPr>
          <w:sz w:val="24"/>
          <w:szCs w:val="24"/>
        </w:rPr>
        <w:t xml:space="preserve">The US Academies of Science Review </w:t>
      </w:r>
      <w:r w:rsidRPr="00430400">
        <w:rPr>
          <w:sz w:val="24"/>
          <w:szCs w:val="24"/>
        </w:rPr>
        <w:fldChar w:fldCharType="begin"/>
      </w:r>
      <w:r w:rsidRPr="00430400">
        <w:rPr>
          <w:sz w:val="24"/>
          <w:szCs w:val="24"/>
        </w:rPr>
        <w:instrText xml:space="preserve"> ADDIN EN.CITE &lt;EndNote&gt;&lt;Cite&gt;&lt;Author&gt;Stratton&lt;/Author&gt;&lt;Year&gt;2018&lt;/Year&gt;&lt;RecNum&gt;7073&lt;/RecNum&gt;&lt;DisplayText&gt;(Stratton, Kwan et al. 2018)&lt;/DisplayText&gt;&lt;record&gt;&lt;rec-number&gt;7073&lt;/rec-number&gt;&lt;foreign-keys&gt;&lt;key app="EN" db-id="5xv5w5t2bdxtxfezx02xtxdft5rz5ptvvt29" timestamp="1521076678"&gt;7073&lt;/key&gt;&lt;/foreign-keys&gt;&lt;ref-type name="Report"&gt;27&lt;/ref-type&gt;&lt;contributors&gt;&lt;authors&gt;&lt;author&gt;Kathleen Stratton&lt;/author&gt;&lt;author&gt;Leslie Y Kwan&lt;/author&gt;&lt;author&gt;David L Eaton&lt;/author&gt;&lt;/authors&gt;&lt;tertiary-authors&gt;&lt;author&gt;The National Academies Press&lt;/author&gt;&lt;/tertiary-authors&gt;&lt;/contributors&gt;&lt;titles&gt;&lt;title&gt;Public Health Consequences of e-Cigarettes&lt;/title&gt;&lt;/titles&gt;&lt;dates&gt;&lt;year&gt;2018&lt;/year&gt;&lt;/dates&gt;&lt;pub-location&gt;Washington DC&lt;/pub-location&gt;&lt;publisher&gt;Board on Population Health and Public Health Practice, Health and Medicine Division, The National Academies of Sciences, Engineering and Medicine&lt;/publisher&gt;&lt;urls&gt;&lt;/urls&gt;&lt;/record&gt;&lt;/Cite&gt;&lt;/EndNote&gt;</w:instrText>
      </w:r>
      <w:r w:rsidRPr="00430400">
        <w:rPr>
          <w:sz w:val="24"/>
          <w:szCs w:val="24"/>
        </w:rPr>
        <w:fldChar w:fldCharType="separate"/>
      </w:r>
      <w:r w:rsidRPr="00430400">
        <w:rPr>
          <w:noProof/>
          <w:sz w:val="24"/>
          <w:szCs w:val="24"/>
        </w:rPr>
        <w:t>(Stratton, Kwan et al. 2018)</w:t>
      </w:r>
      <w:r w:rsidRPr="00430400">
        <w:rPr>
          <w:sz w:val="24"/>
          <w:szCs w:val="24"/>
        </w:rPr>
        <w:fldChar w:fldCharType="end"/>
      </w:r>
      <w:r w:rsidRPr="00430400">
        <w:rPr>
          <w:sz w:val="24"/>
          <w:szCs w:val="24"/>
        </w:rPr>
        <w:t xml:space="preserve"> concluded in relation to respiratory diseases that:</w:t>
      </w:r>
    </w:p>
    <w:p w14:paraId="7343C0CF" w14:textId="77777777" w:rsidR="00430400" w:rsidRPr="00430400" w:rsidRDefault="00430400" w:rsidP="00430400">
      <w:pPr>
        <w:numPr>
          <w:ilvl w:val="0"/>
          <w:numId w:val="16"/>
        </w:num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1F6FF" w:themeFill="accent2" w:themeFillTint="1A"/>
        <w:spacing w:after="0"/>
        <w:ind w:left="454" w:right="227" w:hanging="227"/>
        <w:contextualSpacing/>
        <w:rPr>
          <w:sz w:val="24"/>
          <w:szCs w:val="24"/>
        </w:rPr>
      </w:pPr>
      <w:r w:rsidRPr="00430400">
        <w:rPr>
          <w:sz w:val="24"/>
          <w:szCs w:val="24"/>
        </w:rPr>
        <w:t xml:space="preserve">There is </w:t>
      </w:r>
      <w:r w:rsidRPr="00430400">
        <w:rPr>
          <w:b/>
          <w:bCs/>
          <w:sz w:val="24"/>
          <w:szCs w:val="24"/>
        </w:rPr>
        <w:t xml:space="preserve">limited evidence </w:t>
      </w:r>
      <w:r w:rsidRPr="00430400">
        <w:rPr>
          <w:sz w:val="24"/>
          <w:szCs w:val="24"/>
        </w:rPr>
        <w:t>for improvement in lung function and respiratory symptoms among adult smokers with asthma who switch to e</w:t>
      </w:r>
      <w:r w:rsidRPr="00430400">
        <w:rPr>
          <w:sz w:val="24"/>
          <w:szCs w:val="24"/>
        </w:rPr>
        <w:noBreakHyphen/>
        <w:t>cigarettes completely or in part (dual use).</w:t>
      </w:r>
    </w:p>
    <w:p w14:paraId="0948C122" w14:textId="77777777" w:rsidR="00430400" w:rsidRPr="00430400" w:rsidRDefault="00430400" w:rsidP="00430400">
      <w:pPr>
        <w:numPr>
          <w:ilvl w:val="0"/>
          <w:numId w:val="16"/>
        </w:num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1F6FF" w:themeFill="accent2" w:themeFillTint="1A"/>
        <w:spacing w:after="0"/>
        <w:ind w:left="454" w:right="227" w:hanging="227"/>
        <w:contextualSpacing/>
        <w:rPr>
          <w:sz w:val="24"/>
          <w:szCs w:val="24"/>
        </w:rPr>
      </w:pPr>
      <w:r w:rsidRPr="00430400">
        <w:rPr>
          <w:sz w:val="24"/>
          <w:szCs w:val="24"/>
        </w:rPr>
        <w:t xml:space="preserve">There is </w:t>
      </w:r>
      <w:r w:rsidRPr="00430400">
        <w:rPr>
          <w:b/>
          <w:bCs/>
          <w:sz w:val="24"/>
          <w:szCs w:val="24"/>
        </w:rPr>
        <w:t xml:space="preserve">limited evidence </w:t>
      </w:r>
      <w:r w:rsidRPr="00430400">
        <w:rPr>
          <w:sz w:val="24"/>
          <w:szCs w:val="24"/>
        </w:rPr>
        <w:t>for reduction of chronic obstructive pulmonary disease (COPD) exacerbations among adult smokers with COPD who switch to e</w:t>
      </w:r>
      <w:r w:rsidRPr="00430400">
        <w:rPr>
          <w:sz w:val="24"/>
          <w:szCs w:val="24"/>
        </w:rPr>
        <w:noBreakHyphen/>
        <w:t>cigarettes completely or in part (dual use).</w:t>
      </w:r>
    </w:p>
    <w:p w14:paraId="4725F99C" w14:textId="77777777" w:rsidR="00430400" w:rsidRPr="00430400" w:rsidRDefault="00430400" w:rsidP="00430400">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1F6FF" w:themeFill="accent2" w:themeFillTint="1A"/>
        <w:spacing w:after="0"/>
        <w:ind w:left="227" w:right="227"/>
        <w:contextualSpacing/>
        <w:rPr>
          <w:sz w:val="24"/>
          <w:szCs w:val="24"/>
        </w:rPr>
      </w:pPr>
    </w:p>
    <w:p w14:paraId="16E5C1B9" w14:textId="77777777" w:rsidR="00430400" w:rsidRPr="00430400" w:rsidRDefault="00430400" w:rsidP="00430400">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1F6FF" w:themeFill="accent2" w:themeFillTint="1A"/>
        <w:spacing w:after="0"/>
        <w:ind w:left="227" w:right="227"/>
        <w:contextualSpacing/>
        <w:rPr>
          <w:sz w:val="24"/>
          <w:szCs w:val="24"/>
        </w:rPr>
      </w:pPr>
      <w:r w:rsidRPr="00430400">
        <w:rPr>
          <w:sz w:val="24"/>
          <w:szCs w:val="24"/>
        </w:rPr>
        <w:t xml:space="preserve">Key findings from the Public Health England </w:t>
      </w:r>
      <w:r w:rsidRPr="00430400">
        <w:rPr>
          <w:sz w:val="24"/>
          <w:szCs w:val="24"/>
        </w:rPr>
        <w:fldChar w:fldCharType="begin"/>
      </w:r>
      <w:r w:rsidRPr="00430400">
        <w:rPr>
          <w:sz w:val="24"/>
          <w:szCs w:val="24"/>
        </w:rPr>
        <w:instrText xml:space="preserve"> ADDIN EN.CITE &lt;EndNote&gt;&lt;Cite&gt;&lt;Author&gt;McNeill A&lt;/Author&gt;&lt;Year&gt;2018&lt;/Year&gt;&lt;RecNum&gt;13025&lt;/RecNum&gt;&lt;DisplayText&gt;(McNeill A 2018)&lt;/DisplayText&gt;&lt;record&gt;&lt;rec-number&gt;13025&lt;/rec-number&gt;&lt;foreign-keys&gt;&lt;key app="EN" db-id="5xv5w5t2bdxtxfezx02xtxdft5rz5ptvvt29" timestamp="1524018409"&gt;13025&lt;/key&gt;&lt;/foreign-keys&gt;&lt;ref-type name="Journal Article"&gt;17&lt;/ref-type&gt;&lt;contributors&gt;&lt;authors&gt;&lt;author&gt;McNeill A,  Brose LS, Calder R,  Bauld L, Robson D.&lt;/author&gt;&lt;/authors&gt;&lt;/contributors&gt;&lt;titles&gt;&lt;title&gt;Evidence Review of e-cigarettes and heated tobacco products 2018. A Report comissioned by Public Health England.&lt;/title&gt;&lt;/titles&gt;&lt;dates&gt;&lt;year&gt;2018&lt;/year&gt;&lt;/dates&gt;&lt;urls&gt;&lt;/urls&gt;&lt;/record&gt;&lt;/Cite&gt;&lt;/EndNote&gt;</w:instrText>
      </w:r>
      <w:r w:rsidRPr="00430400">
        <w:rPr>
          <w:sz w:val="24"/>
          <w:szCs w:val="24"/>
        </w:rPr>
        <w:fldChar w:fldCharType="separate"/>
      </w:r>
      <w:r w:rsidRPr="00430400">
        <w:rPr>
          <w:noProof/>
          <w:sz w:val="24"/>
          <w:szCs w:val="24"/>
        </w:rPr>
        <w:t>(McNeill A 2018)</w:t>
      </w:r>
      <w:r w:rsidRPr="00430400">
        <w:rPr>
          <w:sz w:val="24"/>
          <w:szCs w:val="24"/>
        </w:rPr>
        <w:fldChar w:fldCharType="end"/>
      </w:r>
      <w:r w:rsidRPr="00430400">
        <w:rPr>
          <w:sz w:val="24"/>
          <w:szCs w:val="24"/>
        </w:rPr>
        <w:t xml:space="preserve"> review were that:</w:t>
      </w:r>
    </w:p>
    <w:p w14:paraId="074586D7" w14:textId="77777777" w:rsidR="00430400" w:rsidRPr="00430400" w:rsidRDefault="00430400" w:rsidP="00430400">
      <w:pPr>
        <w:numPr>
          <w:ilvl w:val="0"/>
          <w:numId w:val="16"/>
        </w:num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1F6FF" w:themeFill="accent2" w:themeFillTint="1A"/>
        <w:spacing w:after="0"/>
        <w:ind w:left="454" w:right="227" w:hanging="227"/>
        <w:contextualSpacing/>
        <w:rPr>
          <w:sz w:val="24"/>
          <w:szCs w:val="24"/>
        </w:rPr>
      </w:pPr>
      <w:r w:rsidRPr="00430400">
        <w:rPr>
          <w:sz w:val="24"/>
          <w:szCs w:val="24"/>
        </w:rPr>
        <w:t>‘Comparative risks of ... lung disease have not been quantified but are likely to be also substantially below the risks of smoking.</w:t>
      </w:r>
    </w:p>
    <w:p w14:paraId="1152952A" w14:textId="77777777" w:rsidR="00430400" w:rsidRPr="00430400" w:rsidRDefault="00430400" w:rsidP="00430400">
      <w:pPr>
        <w:numPr>
          <w:ilvl w:val="0"/>
          <w:numId w:val="16"/>
        </w:num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1F6FF" w:themeFill="accent2" w:themeFillTint="1A"/>
        <w:spacing w:after="0"/>
        <w:ind w:left="454" w:right="227" w:hanging="227"/>
        <w:contextualSpacing/>
        <w:rPr>
          <w:sz w:val="24"/>
          <w:szCs w:val="24"/>
        </w:rPr>
      </w:pPr>
      <w:r w:rsidRPr="00430400">
        <w:rPr>
          <w:sz w:val="24"/>
          <w:szCs w:val="24"/>
        </w:rPr>
        <w:t>‘… small scale or uncontrolled switching studies from smoking to vaping have demonstrated some respiratory improvements.’</w:t>
      </w:r>
    </w:p>
    <w:p w14:paraId="2831226F" w14:textId="77777777" w:rsidR="00430400" w:rsidRPr="00430400" w:rsidRDefault="00430400" w:rsidP="00430400">
      <w:pPr>
        <w:spacing w:before="120" w:line="264" w:lineRule="auto"/>
        <w:rPr>
          <w:sz w:val="24"/>
        </w:rPr>
      </w:pPr>
    </w:p>
    <w:p w14:paraId="0002BC51" w14:textId="14584236" w:rsidR="00430400" w:rsidRPr="00430400" w:rsidRDefault="00430400" w:rsidP="00430400">
      <w:pPr>
        <w:pStyle w:val="Heading2"/>
      </w:pPr>
      <w:bookmarkStart w:id="191" w:name="_Toc516848614"/>
      <w:r>
        <w:t xml:space="preserve"> </w:t>
      </w:r>
      <w:bookmarkStart w:id="192" w:name="_Toc517706707"/>
      <w:r w:rsidRPr="00430400">
        <w:t>Exposure to toxins and carcinogens</w:t>
      </w:r>
      <w:bookmarkEnd w:id="191"/>
      <w:bookmarkEnd w:id="192"/>
    </w:p>
    <w:p w14:paraId="03FF278D" w14:textId="0C5CDC6B" w:rsidR="00430400" w:rsidRPr="00430400" w:rsidRDefault="00430400" w:rsidP="00430400">
      <w:pPr>
        <w:spacing w:before="120" w:line="264" w:lineRule="auto"/>
        <w:rPr>
          <w:sz w:val="24"/>
          <w:szCs w:val="24"/>
        </w:rPr>
      </w:pPr>
      <w:r w:rsidRPr="00430400">
        <w:rPr>
          <w:sz w:val="24"/>
          <w:szCs w:val="24"/>
        </w:rPr>
        <w:t>The US cross</w:t>
      </w:r>
      <w:r w:rsidRPr="00430400">
        <w:rPr>
          <w:sz w:val="24"/>
          <w:szCs w:val="24"/>
        </w:rPr>
        <w:noBreakHyphen/>
        <w:t xml:space="preserve">sectional study (n=44) by Reidel et al. </w:t>
      </w:r>
      <w:r w:rsidRPr="00430400">
        <w:rPr>
          <w:sz w:val="24"/>
          <w:szCs w:val="24"/>
        </w:rPr>
        <w:fldChar w:fldCharType="begin">
          <w:fldData xml:space="preserve">PEVuZE5vdGU+PENpdGU+PEF1dGhvcj5SZWlkZWw8L0F1dGhvcj48WWVhcj4yMDE4PC9ZZWFyPjxS
ZWNOdW0+ODUxPC9SZWNOdW0+PERpc3BsYXlUZXh0PihSZWlkZWwsIFJhZGljaW9uaSBldCBhbC4g
MjAxOCk8L0Rpc3BsYXlUZXh0PjxyZWNvcmQ+PHJlYy1udW1iZXI+ODUxPC9yZWMtbnVtYmVyPjxm
b3JlaWduLWtleXM+PGtleSBhcHA9IkVOIiBkYi1pZD0idnp4ZHBmd2R1eGZlZDJldDlwYXZ4OTlq
enNzeGVhcHd0NXA1IiB0aW1lc3RhbXA9IjE1MjEwOTkzMTAiPjg1MTwva2V5PjxrZXkgYXBwPSJF
TldlYiIgZGItaWQ9IiI+MDwva2V5PjwvZm9yZWlnbi1rZXlzPjxyZWYtdHlwZSBuYW1lPSJKb3Vy
bmFsIEFydGljbGUiPjE3PC9yZWYtdHlwZT48Y29udHJpYnV0b3JzPjxhdXRob3JzPjxhdXRob3I+
UmVpZGVsLCBCLjwvYXV0aG9yPjxhdXRob3I+UmFkaWNpb25pLCBHLjwvYXV0aG9yPjxhdXRob3I+
Q2xhcHAsIFAuIFcuPC9hdXRob3I+PGF1dGhvcj5Gb3JkLCBBLiBBLjwvYXV0aG9yPjxhdXRob3I+
QWJkZWx3YWhhYiwgUy48L2F1dGhvcj48YXV0aG9yPlJlYnVsaSwgTS4gRS48L2F1dGhvcj48YXV0
aG9yPkhhcmlkYXNzLCBQLjwvYXV0aG9yPjxhdXRob3I+QWxleGlzLCBOLiBFLjwvYXV0aG9yPjxh
dXRob3I+SmFzcGVycywgSS48L2F1dGhvcj48YXV0aG9yPktlc2ltZXIsIE0uPC9hdXRob3I+PC9h
dXRob3JzPjwvY29udHJpYnV0b3JzPjxhdXRoLWFkZHJlc3M+MSBNYXJzaWNvIEx1bmcgSW5zdGl0
dXRlLiYjeEQ7MiBEZXBhcnRtZW50IG9mIFBhdGhvbG9neSBhbmQgTGFib3JhdG9yeSBNZWRpY2lu
ZSwgYW5kLiYjeEQ7MyBEZXBhcnRtZW50IG9mIFBlZGlhdHJpY3MsIFRoZSBVbml2ZXJzaXR5IG9m
IE5vcnRoIENhcm9saW5hIGF0IENoYXBlbCBIaWxsLCBDaGFwZWwgSGlsbCwgTm9ydGggQ2Fyb2xp
bmEuPC9hdXRoLWFkZHJlc3M+PHRpdGxlcz48dGl0bGU+RS1DaWdhcmV0dGUgVXNlIENhdXNlcyBh
IFVuaXF1ZSBJbm5hdGUgSW1tdW5lIFJlc3BvbnNlIGluIHRoZSBMdW5nLCBJbnZvbHZpbmcgSW5j
cmVhc2VkIE5ldXRyb3BoaWxpYyBBY3RpdmF0aW9uIGFuZCBBbHRlcmVkIE11Y2luIFNlY3JldGlv
bjwvdGl0bGU+PHNlY29uZGFyeS10aXRsZT5BbSBKIFJlc3BpciBDcml0IENhcmUgTWVkPC9zZWNv
bmRhcnktdGl0bGU+PGFsdC10aXRsZT5BbWVyaWNhbiBqb3VybmFsIG9mIHJlc3BpcmF0b3J5IGFu
ZCBjcml0aWNhbCBjYXJlIG1lZGljaW5lPC9hbHQtdGl0bGU+PC90aXRsZXM+PHBlcmlvZGljYWw+
PGZ1bGwtdGl0bGU+QW0gSiBSZXNwaXIgQ3JpdCBDYXJlIE1lZDwvZnVsbC10aXRsZT48YWJici0x
PkFtZXJpY2FuIGpvdXJuYWwgb2YgcmVzcGlyYXRvcnkgYW5kIGNyaXRpY2FsIGNhcmUgbWVkaWNp
bmU8L2FiYnItMT48L3BlcmlvZGljYWw+PGFsdC1wZXJpb2RpY2FsPjxmdWxsLXRpdGxlPkFtIEog
UmVzcGlyIENyaXQgQ2FyZSBNZWQ8L2Z1bGwtdGl0bGU+PGFiYnItMT5BbWVyaWNhbiBqb3VybmFs
IG9mIHJlc3BpcmF0b3J5IGFuZCBjcml0aWNhbCBjYXJlIG1lZGljaW5lPC9hYmJyLTE+PC9hbHQt
cGVyaW9kaWNhbD48cGFnZXM+NDkyLTUwMTwvcGFnZXM+PHZvbHVtZT4xOTc8L3ZvbHVtZT48bnVt
YmVyPjQ8L251bWJlcj48ZWRpdGlvbj4yMDE3LzEwLzIxPC9lZGl0aW9uPjxrZXl3b3Jkcz48a2V5
d29yZD5OZXQ8L2tleXdvcmQ+PGtleXdvcmQ+ZS1jaWdhcmV0dGU8L2tleXdvcmQ+PGtleXdvcmQ+
bHVuZzwva2V5d29yZD48a2V5d29yZD5tdWNpbjwva2V5d29yZD48a2V5d29yZD5uZXV0cm9waGls
PC9rZXl3b3JkPjwva2V5d29yZHM+PGRhdGVzPjx5ZWFyPjIwMTg8L3llYXI+PHB1Yi1kYXRlcz48
ZGF0ZT5GZWIgMTU8L2RhdGU+PC9wdWItZGF0ZXM+PC9kYXRlcz48aXNibj4xMDczLTQ0OXg8L2lz
Ym4+PGFjY2Vzc2lvbi1udW0+MjkwNTMwMjU8L2FjY2Vzc2lvbi1udW0+PHVybHM+PC91cmxzPjxj
dXN0b20yPlBNQzU4MjE5MDk8L2N1c3RvbTI+PGVsZWN0cm9uaWMtcmVzb3VyY2UtbnVtPjEwLjEx
NjQvcmNjbS4yMDE3MDgtMTU5ME9DPC9lbGVjdHJvbmljLXJlc291cmNlLW51bT48cmVtb3RlLWRh
dGFiYXNlLXByb3ZpZGVyPk5MTTwvcmVtb3RlLWRhdGFiYXNlLXByb3ZpZGVyPjxsYW5ndWFnZT5l
bmc8L2xhbmd1YWdlPjwvcmVjb3JkPjwvQ2l0ZT48L0VuZE5vdGU+
</w:fldData>
        </w:fldChar>
      </w:r>
      <w:r w:rsidRPr="00430400">
        <w:rPr>
          <w:sz w:val="24"/>
          <w:szCs w:val="24"/>
        </w:rPr>
        <w:instrText xml:space="preserve"> ADDIN EN.CITE </w:instrText>
      </w:r>
      <w:r w:rsidRPr="00430400">
        <w:rPr>
          <w:sz w:val="24"/>
          <w:szCs w:val="24"/>
        </w:rPr>
        <w:fldChar w:fldCharType="begin">
          <w:fldData xml:space="preserve">PEVuZE5vdGU+PENpdGU+PEF1dGhvcj5SZWlkZWw8L0F1dGhvcj48WWVhcj4yMDE4PC9ZZWFyPjxS
ZWNOdW0+ODUxPC9SZWNOdW0+PERpc3BsYXlUZXh0PihSZWlkZWwsIFJhZGljaW9uaSBldCBhbC4g
MjAxOCk8L0Rpc3BsYXlUZXh0PjxyZWNvcmQ+PHJlYy1udW1iZXI+ODUxPC9yZWMtbnVtYmVyPjxm
b3JlaWduLWtleXM+PGtleSBhcHA9IkVOIiBkYi1pZD0idnp4ZHBmd2R1eGZlZDJldDlwYXZ4OTlq
enNzeGVhcHd0NXA1IiB0aW1lc3RhbXA9IjE1MjEwOTkzMTAiPjg1MTwva2V5PjxrZXkgYXBwPSJF
TldlYiIgZGItaWQ9IiI+MDwva2V5PjwvZm9yZWlnbi1rZXlzPjxyZWYtdHlwZSBuYW1lPSJKb3Vy
bmFsIEFydGljbGUiPjE3PC9yZWYtdHlwZT48Y29udHJpYnV0b3JzPjxhdXRob3JzPjxhdXRob3I+
UmVpZGVsLCBCLjwvYXV0aG9yPjxhdXRob3I+UmFkaWNpb25pLCBHLjwvYXV0aG9yPjxhdXRob3I+
Q2xhcHAsIFAuIFcuPC9hdXRob3I+PGF1dGhvcj5Gb3JkLCBBLiBBLjwvYXV0aG9yPjxhdXRob3I+
QWJkZWx3YWhhYiwgUy48L2F1dGhvcj48YXV0aG9yPlJlYnVsaSwgTS4gRS48L2F1dGhvcj48YXV0
aG9yPkhhcmlkYXNzLCBQLjwvYXV0aG9yPjxhdXRob3I+QWxleGlzLCBOLiBFLjwvYXV0aG9yPjxh
dXRob3I+SmFzcGVycywgSS48L2F1dGhvcj48YXV0aG9yPktlc2ltZXIsIE0uPC9hdXRob3I+PC9h
dXRob3JzPjwvY29udHJpYnV0b3JzPjxhdXRoLWFkZHJlc3M+MSBNYXJzaWNvIEx1bmcgSW5zdGl0
dXRlLiYjeEQ7MiBEZXBhcnRtZW50IG9mIFBhdGhvbG9neSBhbmQgTGFib3JhdG9yeSBNZWRpY2lu
ZSwgYW5kLiYjeEQ7MyBEZXBhcnRtZW50IG9mIFBlZGlhdHJpY3MsIFRoZSBVbml2ZXJzaXR5IG9m
IE5vcnRoIENhcm9saW5hIGF0IENoYXBlbCBIaWxsLCBDaGFwZWwgSGlsbCwgTm9ydGggQ2Fyb2xp
bmEuPC9hdXRoLWFkZHJlc3M+PHRpdGxlcz48dGl0bGU+RS1DaWdhcmV0dGUgVXNlIENhdXNlcyBh
IFVuaXF1ZSBJbm5hdGUgSW1tdW5lIFJlc3BvbnNlIGluIHRoZSBMdW5nLCBJbnZvbHZpbmcgSW5j
cmVhc2VkIE5ldXRyb3BoaWxpYyBBY3RpdmF0aW9uIGFuZCBBbHRlcmVkIE11Y2luIFNlY3JldGlv
bjwvdGl0bGU+PHNlY29uZGFyeS10aXRsZT5BbSBKIFJlc3BpciBDcml0IENhcmUgTWVkPC9zZWNv
bmRhcnktdGl0bGU+PGFsdC10aXRsZT5BbWVyaWNhbiBqb3VybmFsIG9mIHJlc3BpcmF0b3J5IGFu
ZCBjcml0aWNhbCBjYXJlIG1lZGljaW5lPC9hbHQtdGl0bGU+PC90aXRsZXM+PHBlcmlvZGljYWw+
PGZ1bGwtdGl0bGU+QW0gSiBSZXNwaXIgQ3JpdCBDYXJlIE1lZDwvZnVsbC10aXRsZT48YWJici0x
PkFtZXJpY2FuIGpvdXJuYWwgb2YgcmVzcGlyYXRvcnkgYW5kIGNyaXRpY2FsIGNhcmUgbWVkaWNp
bmU8L2FiYnItMT48L3BlcmlvZGljYWw+PGFsdC1wZXJpb2RpY2FsPjxmdWxsLXRpdGxlPkFtIEog
UmVzcGlyIENyaXQgQ2FyZSBNZWQ8L2Z1bGwtdGl0bGU+PGFiYnItMT5BbWVyaWNhbiBqb3VybmFs
IG9mIHJlc3BpcmF0b3J5IGFuZCBjcml0aWNhbCBjYXJlIG1lZGljaW5lPC9hYmJyLTE+PC9hbHQt
cGVyaW9kaWNhbD48cGFnZXM+NDkyLTUwMTwvcGFnZXM+PHZvbHVtZT4xOTc8L3ZvbHVtZT48bnVt
YmVyPjQ8L251bWJlcj48ZWRpdGlvbj4yMDE3LzEwLzIxPC9lZGl0aW9uPjxrZXl3b3Jkcz48a2V5
d29yZD5OZXQ8L2tleXdvcmQ+PGtleXdvcmQ+ZS1jaWdhcmV0dGU8L2tleXdvcmQ+PGtleXdvcmQ+
bHVuZzwva2V5d29yZD48a2V5d29yZD5tdWNpbjwva2V5d29yZD48a2V5d29yZD5uZXV0cm9waGls
PC9rZXl3b3JkPjwva2V5d29yZHM+PGRhdGVzPjx5ZWFyPjIwMTg8L3llYXI+PHB1Yi1kYXRlcz48
ZGF0ZT5GZWIgMTU8L2RhdGU+PC9wdWItZGF0ZXM+PC9kYXRlcz48aXNibj4xMDczLTQ0OXg8L2lz
Ym4+PGFjY2Vzc2lvbi1udW0+MjkwNTMwMjU8L2FjY2Vzc2lvbi1udW0+PHVybHM+PC91cmxzPjxj
dXN0b20yPlBNQzU4MjE5MDk8L2N1c3RvbTI+PGVsZWN0cm9uaWMtcmVzb3VyY2UtbnVtPjEwLjEx
NjQvcmNjbS4yMDE3MDgtMTU5ME9DPC9lbGVjdHJvbmljLXJlc291cmNlLW51bT48cmVtb3RlLWRh
dGFiYXNlLXByb3ZpZGVyPk5MTTwvcmVtb3RlLWRhdGFiYXNlLXByb3ZpZGVyPjxsYW5ndWFnZT5l
bmc8L2xhbmd1YWdlPjwvcmVjb3JkPjwvQ2l0ZT48L0VuZE5vdGU+
</w:fldData>
        </w:fldChar>
      </w:r>
      <w:r w:rsidRPr="00430400">
        <w:rPr>
          <w:sz w:val="24"/>
          <w:szCs w:val="24"/>
        </w:rPr>
        <w:instrText xml:space="preserve"> ADDIN EN.CITE.DATA </w:instrText>
      </w:r>
      <w:r w:rsidRPr="00430400">
        <w:rPr>
          <w:sz w:val="24"/>
          <w:szCs w:val="24"/>
        </w:rPr>
      </w:r>
      <w:r w:rsidRPr="00430400">
        <w:rPr>
          <w:sz w:val="24"/>
          <w:szCs w:val="24"/>
        </w:rPr>
        <w:fldChar w:fldCharType="end"/>
      </w:r>
      <w:r w:rsidRPr="00430400">
        <w:rPr>
          <w:sz w:val="24"/>
          <w:szCs w:val="24"/>
        </w:rPr>
      </w:r>
      <w:r w:rsidRPr="00430400">
        <w:rPr>
          <w:sz w:val="24"/>
          <w:szCs w:val="24"/>
        </w:rPr>
        <w:fldChar w:fldCharType="separate"/>
      </w:r>
      <w:r w:rsidRPr="00430400">
        <w:rPr>
          <w:noProof/>
          <w:sz w:val="24"/>
          <w:szCs w:val="24"/>
        </w:rPr>
        <w:t>(Reidel, Radicioni et al. 2018)</w:t>
      </w:r>
      <w:r w:rsidRPr="00430400">
        <w:rPr>
          <w:sz w:val="24"/>
          <w:szCs w:val="24"/>
        </w:rPr>
        <w:fldChar w:fldCharType="end"/>
      </w:r>
      <w:r w:rsidRPr="00430400">
        <w:rPr>
          <w:sz w:val="24"/>
          <w:szCs w:val="24"/>
        </w:rPr>
        <w:t xml:space="preserve"> considered carcinogens including NNAL levels in the urine samples of 14 current cigarette smokers (smoking 11 cigarettes/day on average), 15 current e</w:t>
      </w:r>
      <w:r w:rsidRPr="00430400">
        <w:rPr>
          <w:sz w:val="24"/>
          <w:szCs w:val="24"/>
        </w:rPr>
        <w:noBreakHyphen/>
        <w:t>cigarette users and 15 never smokers. For e</w:t>
      </w:r>
      <w:r w:rsidRPr="00430400">
        <w:rPr>
          <w:sz w:val="24"/>
          <w:szCs w:val="24"/>
        </w:rPr>
        <w:noBreakHyphen/>
        <w:t xml:space="preserve">cigarette users in this study, the average number of puffs inhaled per day was 280 (they had been predominantly exclusive users for </w:t>
      </w:r>
      <w:r w:rsidR="00D22FD7">
        <w:rPr>
          <w:sz w:val="24"/>
          <w:szCs w:val="24"/>
        </w:rPr>
        <w:t>six</w:t>
      </w:r>
      <w:r w:rsidRPr="00430400">
        <w:rPr>
          <w:sz w:val="24"/>
          <w:szCs w:val="24"/>
        </w:rPr>
        <w:t xml:space="preserve"> months, but 12/15 had previously smoked cigarettes and 5/15 still occasionally smoked cigarettes). Average urine NNAL levels were significantly lower in e</w:t>
      </w:r>
      <w:r w:rsidRPr="00430400">
        <w:rPr>
          <w:sz w:val="24"/>
          <w:szCs w:val="24"/>
        </w:rPr>
        <w:noBreakHyphen/>
        <w:t xml:space="preserve">cigarette users compared with smokers. In smokers, NNAL levels were significantly correlated </w:t>
      </w:r>
      <w:r w:rsidRPr="00430400">
        <w:rPr>
          <w:sz w:val="24"/>
          <w:szCs w:val="24"/>
        </w:rPr>
        <w:lastRenderedPageBreak/>
        <w:t>with the number of cigarettes smoked per day (p&lt;0.05). NNAL levels were not correlated with number of puffs per day in e</w:t>
      </w:r>
      <w:r w:rsidRPr="00430400">
        <w:rPr>
          <w:sz w:val="24"/>
          <w:szCs w:val="24"/>
        </w:rPr>
        <w:noBreakHyphen/>
        <w:t>cigarette users. Most e</w:t>
      </w:r>
      <w:r w:rsidRPr="00430400">
        <w:rPr>
          <w:sz w:val="24"/>
          <w:szCs w:val="24"/>
        </w:rPr>
        <w:noBreakHyphen/>
        <w:t>cigarette users had urine NNAL levels comparable with those observed in non</w:t>
      </w:r>
      <w:r w:rsidRPr="00430400">
        <w:rPr>
          <w:sz w:val="24"/>
          <w:szCs w:val="24"/>
        </w:rPr>
        <w:noBreakHyphen/>
        <w:t>smokers – which was said to indicate exclusive e</w:t>
      </w:r>
      <w:r w:rsidRPr="00430400">
        <w:rPr>
          <w:sz w:val="24"/>
          <w:szCs w:val="24"/>
        </w:rPr>
        <w:noBreakHyphen/>
        <w:t>cigarette use.</w:t>
      </w:r>
    </w:p>
    <w:p w14:paraId="6E9D0192" w14:textId="77777777" w:rsidR="00430400" w:rsidRPr="00430400" w:rsidRDefault="00430400" w:rsidP="00430400">
      <w:pPr>
        <w:spacing w:before="120" w:line="264" w:lineRule="auto"/>
        <w:rPr>
          <w:sz w:val="24"/>
        </w:rPr>
      </w:pPr>
      <w:r w:rsidRPr="00430400">
        <w:rPr>
          <w:sz w:val="24"/>
        </w:rPr>
        <w:t xml:space="preserve">Another US cross sectional study </w:t>
      </w:r>
      <w:r w:rsidRPr="00430400">
        <w:rPr>
          <w:sz w:val="24"/>
        </w:rPr>
        <w:fldChar w:fldCharType="begin"/>
      </w:r>
      <w:r w:rsidRPr="00430400">
        <w:rPr>
          <w:sz w:val="24"/>
        </w:rPr>
        <w:instrText xml:space="preserve"> ADDIN EN.CITE &lt;EndNote&gt;&lt;Cite&gt;&lt;Author&gt;Rubinstein&lt;/Author&gt;&lt;Year&gt;2018&lt;/Year&gt;&lt;RecNum&gt;560&lt;/RecNum&gt;&lt;DisplayText&gt;(Rubinstein, Delucchi et al. 2018)&lt;/DisplayText&gt;&lt;record&gt;&lt;rec-number&gt;560&lt;/rec-number&gt;&lt;foreign-keys&gt;&lt;key app="EN" db-id="vzxdpfwduxfed2et9pavx99jzssxeapwt5p5" timestamp="1521099229"&gt;560&lt;/key&gt;&lt;key app="ENWeb" db-id=""&gt;0&lt;/key&gt;&lt;/foreign-keys&gt;&lt;ref-type name="Journal Article"&gt;17&lt;/ref-type&gt;&lt;contributors&gt;&lt;authors&gt;&lt;author&gt;Rubinstein, M. L.&lt;/author&gt;&lt;author&gt;Delucchi, K.&lt;/author&gt;&lt;author&gt;Benowitz, N. L.&lt;/author&gt;&lt;author&gt;Ramo, D. E.&lt;/author&gt;&lt;/authors&gt;&lt;/contributors&gt;&lt;auth-address&gt;Division of Adolescent Medicine, mark.rubinstein@ucsf.edu.&amp;#xD;Department of Psychiatry, and.&amp;#xD;Weill Institute for Neurosciences, University of California, San Francisco, San Francisco, California.&amp;#xD;Division of Clinical Pharmacology and Experimental Therapeutics, Departments of Medicine and Bioengineering and Therapeutic Sciences.&lt;/auth-address&gt;&lt;titles&gt;&lt;title&gt;Adolescent Exposure to Toxic Volatile Organic Chemicals From E-Cigarettes&lt;/title&gt;&lt;secondary-title&gt;Pediatrics&lt;/secondary-title&gt;&lt;alt-title&gt;Pediatrics&lt;/alt-title&gt;&lt;/titles&gt;&lt;periodical&gt;&lt;full-title&gt;Pediatrics&lt;/full-title&gt;&lt;/periodical&gt;&lt;alt-periodical&gt;&lt;full-title&gt;Pediatrics&lt;/full-title&gt;&lt;/alt-periodical&gt;&lt;edition&gt;2018/03/07&lt;/edition&gt;&lt;dates&gt;&lt;year&gt;2018&lt;/year&gt;&lt;pub-dates&gt;&lt;date&gt;Mar 5&lt;/date&gt;&lt;/pub-dates&gt;&lt;/dates&gt;&lt;isbn&gt;0031-4005&lt;/isbn&gt;&lt;accession-num&gt;29507165&lt;/accession-num&gt;&lt;urls&gt;&lt;/urls&gt;&lt;electronic-resource-num&gt;10.1542/peds.2017-3557&lt;/electronic-resource-num&gt;&lt;remote-database-provider&gt;NLM&lt;/remote-database-provider&gt;&lt;language&gt;eng&lt;/language&gt;&lt;/record&gt;&lt;/Cite&gt;&lt;/EndNote&gt;</w:instrText>
      </w:r>
      <w:r w:rsidRPr="00430400">
        <w:rPr>
          <w:sz w:val="24"/>
        </w:rPr>
        <w:fldChar w:fldCharType="separate"/>
      </w:r>
      <w:r w:rsidRPr="00430400">
        <w:rPr>
          <w:noProof/>
          <w:sz w:val="24"/>
        </w:rPr>
        <w:t>(Rubinstein, Delucchi et al. 2018)</w:t>
      </w:r>
      <w:r w:rsidRPr="00430400">
        <w:rPr>
          <w:sz w:val="24"/>
        </w:rPr>
        <w:fldChar w:fldCharType="end"/>
      </w:r>
      <w:r w:rsidRPr="00430400">
        <w:rPr>
          <w:sz w:val="24"/>
        </w:rPr>
        <w:t xml:space="preserve"> sought to assess in </w:t>
      </w:r>
      <w:r w:rsidRPr="00430400">
        <w:rPr>
          <w:b/>
          <w:sz w:val="24"/>
        </w:rPr>
        <w:t xml:space="preserve">adolescents </w:t>
      </w:r>
      <w:r w:rsidRPr="00430400">
        <w:rPr>
          <w:sz w:val="24"/>
        </w:rPr>
        <w:t>(aged 13</w:t>
      </w:r>
      <w:r w:rsidRPr="00430400">
        <w:rPr>
          <w:sz w:val="24"/>
        </w:rPr>
        <w:noBreakHyphen/>
        <w:t xml:space="preserve">18 years, n=103) the presence of certain </w:t>
      </w:r>
      <w:r w:rsidRPr="00430400">
        <w:rPr>
          <w:b/>
          <w:sz w:val="24"/>
        </w:rPr>
        <w:t>carcinogenic toxicants</w:t>
      </w:r>
      <w:r w:rsidRPr="00430400">
        <w:rPr>
          <w:sz w:val="24"/>
        </w:rPr>
        <w:t xml:space="preserve"> linked to e</w:t>
      </w:r>
      <w:r w:rsidRPr="00430400">
        <w:rPr>
          <w:sz w:val="24"/>
        </w:rPr>
        <w:noBreakHyphen/>
        <w:t>cigarette use and examine how specific behavioural patterns of use may influence exposure to toxicants. The study population was 67 e</w:t>
      </w:r>
      <w:r w:rsidRPr="00430400">
        <w:rPr>
          <w:sz w:val="24"/>
        </w:rPr>
        <w:noBreakHyphen/>
        <w:t>cigarette only users, 16 dual users of conventional cigarettes and e</w:t>
      </w:r>
      <w:r w:rsidRPr="00430400">
        <w:rPr>
          <w:sz w:val="24"/>
        </w:rPr>
        <w:noBreakHyphen/>
        <w:t>cigarettes and 20 age matched controls (not using e</w:t>
      </w:r>
      <w:r w:rsidRPr="00430400">
        <w:rPr>
          <w:sz w:val="24"/>
        </w:rPr>
        <w:noBreakHyphen/>
        <w:t xml:space="preserve">cigarettes or conventional cigarettes). </w:t>
      </w:r>
    </w:p>
    <w:p w14:paraId="1852324D" w14:textId="77777777" w:rsidR="00430400" w:rsidRPr="00430400" w:rsidRDefault="00430400" w:rsidP="00430400">
      <w:pPr>
        <w:spacing w:before="120" w:line="264" w:lineRule="auto"/>
        <w:rPr>
          <w:sz w:val="24"/>
        </w:rPr>
      </w:pPr>
      <w:r w:rsidRPr="00430400">
        <w:rPr>
          <w:sz w:val="24"/>
        </w:rPr>
        <w:t>The groups substantially differed in their use of e</w:t>
      </w:r>
      <w:r w:rsidRPr="00430400">
        <w:rPr>
          <w:sz w:val="24"/>
        </w:rPr>
        <w:noBreakHyphen/>
        <w:t>cigarettes, with e</w:t>
      </w:r>
      <w:r w:rsidRPr="00430400">
        <w:rPr>
          <w:sz w:val="24"/>
        </w:rPr>
        <w:noBreakHyphen/>
        <w:t>cigarette only users reporting their e</w:t>
      </w:r>
      <w:r w:rsidRPr="00430400">
        <w:rPr>
          <w:sz w:val="24"/>
        </w:rPr>
        <w:noBreakHyphen/>
        <w:t>cigarettes use to be a mean of 12.8 days/month (SD 8.9) compared with 25.5 days/month (SD6.6) for dual users (p&lt;0.001). E</w:t>
      </w:r>
      <w:r w:rsidRPr="00430400">
        <w:rPr>
          <w:sz w:val="24"/>
        </w:rPr>
        <w:noBreakHyphen/>
        <w:t>cigarette only users who used nicotine containing e</w:t>
      </w:r>
      <w:r w:rsidRPr="00430400">
        <w:rPr>
          <w:sz w:val="24"/>
        </w:rPr>
        <w:noBreakHyphen/>
        <w:t>cigarettes also reported using these more frequently, with an average use of 15.1 days/month (SD9.2) compared with 7.6 days/month (SD5.6) (p&lt;0.001) for e</w:t>
      </w:r>
      <w:r w:rsidRPr="00430400">
        <w:rPr>
          <w:sz w:val="24"/>
        </w:rPr>
        <w:noBreakHyphen/>
        <w:t>cigarette users who did not use nicotine containing e</w:t>
      </w:r>
      <w:r w:rsidRPr="00430400">
        <w:rPr>
          <w:sz w:val="24"/>
        </w:rPr>
        <w:noBreakHyphen/>
        <w:t>liquids. The study tested for the presence of five carcinogenic Volatile Organic Toxicants (VOCs): acrylonitrile (CNEMA), acrolein (3</w:t>
      </w:r>
      <w:r w:rsidRPr="00430400">
        <w:rPr>
          <w:sz w:val="24"/>
        </w:rPr>
        <w:noBreakHyphen/>
        <w:t>HPMA), propylene oxide (2</w:t>
      </w:r>
      <w:r w:rsidRPr="00430400">
        <w:rPr>
          <w:sz w:val="24"/>
        </w:rPr>
        <w:noBreakHyphen/>
        <w:t>HPMA), acrylamide (AAMA) and crotonaldehyde HMPMA). It also considered biomarkers of nicotine (see below) and tobacco</w:t>
      </w:r>
      <w:r w:rsidRPr="00430400">
        <w:rPr>
          <w:sz w:val="24"/>
        </w:rPr>
        <w:noBreakHyphen/>
        <w:t xml:space="preserve">specific nitrosamine. </w:t>
      </w:r>
    </w:p>
    <w:p w14:paraId="246082E0" w14:textId="21A7C921" w:rsidR="00430400" w:rsidRPr="00430400" w:rsidRDefault="00430400" w:rsidP="00E9656F">
      <w:pPr>
        <w:pStyle w:val="BodyText"/>
      </w:pPr>
      <w:r w:rsidRPr="00430400">
        <w:t>Urine excretion of metabolites of benzene (PMA), ethylene oxide (HEMA), acrylonitrile (CNEMA), acrolein (3</w:t>
      </w:r>
      <w:r w:rsidRPr="00430400">
        <w:noBreakHyphen/>
        <w:t>HPMA), and acrylamide (AAMA) was significantly higher in dual users compared to e</w:t>
      </w:r>
      <w:r w:rsidRPr="00430400">
        <w:noBreakHyphen/>
        <w:t>cigarette only users and controls (all p&lt;0.05). Urine excretion of PMA, HEMA, CNEMA, 3</w:t>
      </w:r>
      <w:r w:rsidRPr="00430400">
        <w:noBreakHyphen/>
        <w:t>HPMA, and AAMA was significantly higher in dual users versus e</w:t>
      </w:r>
      <w:r w:rsidRPr="00430400">
        <w:noBreakHyphen/>
        <w:t>cigarette–only users and controls. However, excretion of metabolites of the five VOCs was significantly higher in e</w:t>
      </w:r>
      <w:r w:rsidRPr="00430400">
        <w:noBreakHyphen/>
        <w:t>cigarette only users compared with controls (all p&lt;0.05): acrylonitrile (341% higher than controls but 327% lower than in dual users), acrolein (20% higher than controls but 11% lower than in dual users), propylene oxide (51% higher than controls but 8% lower than in dual users: 2HPMA), acrylamide (30% higher than controls but 23% lower than dual users), and crotonaldehyde (20% higher than controls but 7% lower than in dual users: HMPMA). The average number of sessions of e</w:t>
      </w:r>
      <w:r w:rsidRPr="00430400">
        <w:noBreakHyphen/>
        <w:t>cigarette use per day was associated with increased levels of CNEMA (r=0.36, p=0.003). Days of e</w:t>
      </w:r>
      <w:r w:rsidRPr="00430400">
        <w:noBreakHyphen/>
        <w:t>cigarette use in the past month was not associated with any increases in urinary VOC levels among e</w:t>
      </w:r>
      <w:r w:rsidRPr="00430400">
        <w:noBreakHyphen/>
        <w:t>cigarette users only.</w:t>
      </w:r>
      <w:r w:rsidR="008146F9">
        <w:t xml:space="preserve"> </w:t>
      </w:r>
      <w:r w:rsidRPr="00430400">
        <w:t>There were no differences in levels of the five VOCs that were based on the type of e</w:t>
      </w:r>
      <w:r w:rsidRPr="00430400">
        <w:noBreakHyphen/>
        <w:t xml:space="preserve">cigarette product used. Participants who reported using fruit flavours in the past month had higher CNEMA levels than those who did not (p=0.03). </w:t>
      </w:r>
    </w:p>
    <w:p w14:paraId="2589891E" w14:textId="52FBC35B" w:rsidR="00430400" w:rsidRPr="00430400" w:rsidRDefault="00430400" w:rsidP="00430400">
      <w:pPr>
        <w:spacing w:before="120" w:line="264" w:lineRule="auto"/>
        <w:rPr>
          <w:sz w:val="24"/>
        </w:rPr>
      </w:pPr>
      <w:r w:rsidRPr="00430400">
        <w:rPr>
          <w:sz w:val="24"/>
        </w:rPr>
        <w:t>The study also notes that among e</w:t>
      </w:r>
      <w:r w:rsidRPr="00430400">
        <w:rPr>
          <w:sz w:val="24"/>
        </w:rPr>
        <w:noBreakHyphen/>
        <w:t>cigarette users only, the VOCs CNEMA and AAMA were higher in users of nicotine containing e</w:t>
      </w:r>
      <w:r w:rsidRPr="00430400">
        <w:rPr>
          <w:sz w:val="24"/>
        </w:rPr>
        <w:noBreakHyphen/>
        <w:t>cigarettes. Levels of the three other significant and likely toxic VOCs were just as high in users of non</w:t>
      </w:r>
      <w:r w:rsidRPr="00430400">
        <w:rPr>
          <w:sz w:val="24"/>
        </w:rPr>
        <w:noBreakHyphen/>
        <w:t xml:space="preserve">nicotine products </w:t>
      </w:r>
      <w:r w:rsidRPr="00430400">
        <w:rPr>
          <w:sz w:val="24"/>
        </w:rPr>
        <w:noBreakHyphen/>
        <w:t xml:space="preserve"> this was considered important because adolescents often initiate e</w:t>
      </w:r>
      <w:r w:rsidRPr="00430400">
        <w:rPr>
          <w:sz w:val="24"/>
        </w:rPr>
        <w:noBreakHyphen/>
        <w:t>cigarette use with nicotine free products. The use of fruit flavoured products produced significantly higher levels of the metabolites of acrylonitrile. Fruit flavours were also the most popular choice among the adolescent e</w:t>
      </w:r>
      <w:r w:rsidRPr="00430400">
        <w:rPr>
          <w:sz w:val="24"/>
        </w:rPr>
        <w:noBreakHyphen/>
        <w:t>cigarette users in the study. Levels of VOCs detected in adolescent e</w:t>
      </w:r>
      <w:r w:rsidRPr="00430400">
        <w:rPr>
          <w:sz w:val="24"/>
        </w:rPr>
        <w:noBreakHyphen/>
        <w:t xml:space="preserve">cigarette users were on average lower than those reported among adults in other studies. In the absence of a group that used conventional cigarettes only, it is relevant that the urinary levels of the </w:t>
      </w:r>
      <w:r w:rsidR="00956843">
        <w:rPr>
          <w:sz w:val="24"/>
        </w:rPr>
        <w:t>five</w:t>
      </w:r>
      <w:r w:rsidRPr="00430400">
        <w:rPr>
          <w:sz w:val="24"/>
        </w:rPr>
        <w:t xml:space="preserve"> VOCs were higher in the dual users than the e-cigarette only </w:t>
      </w:r>
      <w:r w:rsidRPr="00430400">
        <w:rPr>
          <w:sz w:val="24"/>
        </w:rPr>
        <w:lastRenderedPageBreak/>
        <w:t>group. This suggests that replacing conventional cigarettes with e-cigarettes lowers exposure to these chemicals.</w:t>
      </w:r>
      <w:r w:rsidR="008146F9">
        <w:rPr>
          <w:sz w:val="24"/>
        </w:rPr>
        <w:t xml:space="preserve"> </w:t>
      </w:r>
    </w:p>
    <w:p w14:paraId="285E1127" w14:textId="77777777" w:rsidR="00430400" w:rsidRPr="00430400" w:rsidRDefault="00430400" w:rsidP="00430400">
      <w:pPr>
        <w:spacing w:before="120" w:line="264" w:lineRule="auto"/>
        <w:rPr>
          <w:sz w:val="24"/>
        </w:rPr>
      </w:pPr>
    </w:p>
    <w:p w14:paraId="3BC4C30F" w14:textId="69296A13" w:rsidR="00430400" w:rsidRPr="00430400" w:rsidRDefault="00430400" w:rsidP="00430400">
      <w:pPr>
        <w:spacing w:before="120" w:line="264" w:lineRule="auto"/>
        <w:rPr>
          <w:sz w:val="24"/>
        </w:rPr>
      </w:pPr>
      <w:r w:rsidRPr="00430400">
        <w:rPr>
          <w:sz w:val="24"/>
        </w:rPr>
        <w:t xml:space="preserve">A small (n=20) Polish experimental study (a </w:t>
      </w:r>
      <w:r w:rsidR="00360355">
        <w:rPr>
          <w:sz w:val="24"/>
        </w:rPr>
        <w:t>two</w:t>
      </w:r>
      <w:r w:rsidRPr="00430400">
        <w:rPr>
          <w:sz w:val="24"/>
        </w:rPr>
        <w:t xml:space="preserve"> week trial with no control group) by Goniewicz et al. examined exposure to </w:t>
      </w:r>
      <w:r w:rsidRPr="00430400">
        <w:rPr>
          <w:b/>
          <w:sz w:val="24"/>
        </w:rPr>
        <w:t>selected carcinogens and toxicants</w:t>
      </w:r>
      <w:r w:rsidRPr="00430400">
        <w:rPr>
          <w:sz w:val="24"/>
        </w:rPr>
        <w:t xml:space="preserve"> as a result of e</w:t>
      </w:r>
      <w:r w:rsidRPr="00430400">
        <w:rPr>
          <w:sz w:val="24"/>
        </w:rPr>
        <w:noBreakHyphen/>
        <w:t xml:space="preserve">cigarette use </w:t>
      </w:r>
      <w:r w:rsidRPr="00430400">
        <w:rPr>
          <w:sz w:val="24"/>
        </w:rPr>
        <w:fldChar w:fldCharType="begin">
          <w:fldData xml:space="preserve">PEVuZE5vdGU+PENpdGU+PEF1dGhvcj5Hb25pZXdpY3o8L0F1dGhvcj48WWVhcj4yMDE3PC9ZZWFy
PjxSZWNOdW0+MTQyNzwvUmVjTnVtPjxEaXNwbGF5VGV4dD4oR29uaWV3aWN6LCBHYXdyb24gZXQg
YWwuIDIwMTcpPC9EaXNwbGF5VGV4dD48cmVjb3JkPjxyZWMtbnVtYmVyPjE0Mjc8L3JlYy1udW1i
ZXI+PGZvcmVpZ24ta2V5cz48a2V5IGFwcD0iRU4iIGRiLWlkPSJ2enhkcGZ3ZHV4ZmVkMmV0OXBh
dng5OWp6c3N4ZWFwd3Q1cDUiIHRpbWVzdGFtcD0iMTUyMTA5OTQzMiI+MTQyNzwva2V5PjxrZXkg
YXBwPSJFTldlYiIgZGItaWQ9IiI+MDwva2V5PjwvZm9yZWlnbi1rZXlzPjxyZWYtdHlwZSBuYW1l
PSJKb3VybmFsIEFydGljbGUiPjE3PC9yZWYtdHlwZT48Y29udHJpYnV0b3JzPjxhdXRob3JzPjxh
dXRob3I+R29uaWV3aWN6LCBNLiBMLjwvYXV0aG9yPjxhdXRob3I+R2F3cm9uLCBNLjwvYXV0aG9y
PjxhdXRob3I+U21pdGgsIEQuIE0uPC9hdXRob3I+PGF1dGhvcj5QZW5nLCBNLjwvYXV0aG9yPjxh
dXRob3I+SmFjb2IsIFAuLCAzcmQ8L2F1dGhvcj48YXV0aG9yPkJlbm93aXR6LCBOLiBMLjwvYXV0
aG9yPjwvYXV0aG9ycz48L2NvbnRyaWJ1dG9ycz48YXV0aC1hZGRyZXNzPkRlcGFydG1lbnQgb2Yg
SGVhbHRoIEJlaGF2aW9yLCBSb3N3ZWxsIFBhcmsgQ2FuY2VyIEluc3RpdHV0ZSwgQnVmZmFsbywg
TlkuJiN4RDtEZXBhcnRtZW50IG9mIEdlbmVyYWwgYW5kIEFuYWx5dGljYWwgQ2hlbWlzdHJ5LCBN
ZWRpY2FsIFVuaXZlcnNpdHkgb2YgU2lsZXNpYSwgU29zbm93aWVjLCBQb2xhbmQuJiN4RDtEaXZp
c2lvbiBvZiBDbGluaWNhbCBQaGFybWFjb2xvZ3kgYW5kIEV4cGVyaW1lbnRhbCBUaGVyYXBldXRp
Y3MsIERlcGFydG1lbnRzIG9mIE1lZGljaW5lIGFuZCBCaW9lbmdpbmVlcmluZyBhbmQgVGhlcmFw
ZXV0aWMgU2NpZW5jZXMsIFVuaXZlcnNpdHkgb2YgQ2FsaWZvcm5pYSBTYW4gRnJhbmNpc2NvLCBT
YW4gRnJhbmNpc2NvLCBDQS48L2F1dGgtYWRkcmVzcz48dGl0bGVzPjx0aXRsZT5FeHBvc3VyZSB0
byBOaWNvdGluZSBhbmQgU2VsZWN0ZWQgVG94aWNhbnRzIGluIENpZ2FyZXR0ZSBTbW9rZXJzIFdo
byBTd2l0Y2hlZCB0byBFbGVjdHJvbmljIENpZ2FyZXR0ZXM6IEEgTG9uZ2l0dWRpbmFsIFdpdGhp
bi1TdWJqZWN0cyBPYnNlcnZhdGlvbmFsIFN0dWR5PC90aXRsZT48c2Vjb25kYXJ5LXRpdGxlPk5p
Y290aW5lIFRvYiBSZXM8L3NlY29uZGFyeS10aXRsZT48YWx0LXRpdGxlPk5pY290aW5lICZhbXA7
IHRvYmFjY28gcmVzZWFyY2ggOiBvZmZpY2lhbCBqb3VybmFsIG9mIHRoZSBTb2NpZXR5IGZvciBS
ZXNlYXJjaCBvbiBOaWNvdGluZSBhbmQgVG9iYWNjbzwvYWx0LXRpdGxlPjwvdGl0bGVzPjxwZXJp
b2RpY2FsPjxmdWxsLXRpdGxlPk5pY290aW5lIFRvYiBSZXM8L2Z1bGwtdGl0bGU+PGFiYnItMT5O
aWNvdGluZSAmYW1wOyB0b2JhY2NvIHJlc2VhcmNoIDogb2ZmaWNpYWwgam91cm5hbCBvZiB0aGUg
U29jaWV0eSBmb3IgUmVzZWFyY2ggb24gTmljb3RpbmUgYW5kIFRvYmFjY288L2FiYnItMT48L3Bl
cmlvZGljYWw+PGFsdC1wZXJpb2RpY2FsPjxmdWxsLXRpdGxlPk5pY290aW5lIFRvYiBSZXM8L2Z1
bGwtdGl0bGU+PGFiYnItMT5OaWNvdGluZSAmYW1wOyB0b2JhY2NvIHJlc2VhcmNoIDogb2ZmaWNp
YWwgam91cm5hbCBvZiB0aGUgU29jaWV0eSBmb3IgUmVzZWFyY2ggb24gTmljb3RpbmUgYW5kIFRv
YmFjY288L2FiYnItMT48L2FsdC1wZXJpb2RpY2FsPjxwYWdlcz4xNjAtMTY3PC9wYWdlcz48dm9s
dW1lPjE5PC92b2x1bWU+PG51bWJlcj4yPC9udW1iZXI+PGVkaXRpb24+MjAxNi8wOS8xMTwvZWRp
dGlvbj48a2V5d29yZHM+PGtleXdvcmQ+QWR1bHQ8L2tleXdvcmQ+PGtleXdvcmQ+QmlvbWFya2Vy
cy8qYW5hbHlzaXMvdXJpbmU8L2tleXdvcmQ+PGtleXdvcmQ+Q2FyY2lub2dlbnMvKmFuYWx5c2lz
PC9rZXl3b3JkPjxrZXl3b3JkPkVsZWN0cm9uaWMgTmljb3RpbmUgRGVsaXZlcnkgU3lzdGVtcy8q
YWR2ZXJzZSBlZmZlY3RzPC9rZXl3b3JkPjxrZXl3b3JkPkZlbWFsZTwva2V5d29yZD48a2V5d29y
ZD5IdW1hbnM8L2tleXdvcmQ+PGtleXdvcmQ+TG9uZ2l0dWRpbmFsIFN0dWRpZXM8L2tleXdvcmQ+
PGtleXdvcmQ+TWFsZTwva2V5d29yZD48a2V5d29yZD5NaWRkbGUgQWdlZDwva2V5d29yZD48a2V5
d29yZD5OaWNvdGluZS8qYW5hbHlzaXMvdXJpbmU8L2tleXdvcmQ+PGtleXdvcmQ+UG9sYW5kPC9r
ZXl3b3JkPjxrZXl3b3JkPlNtb2tpbmcgQ2Vzc2F0aW9uLyptZXRob2RzPC9rZXl3b3JkPjxrZXl3
b3JkPipTbW9raW5nIFByZXZlbnRpb248L2tleXdvcmQ+PGtleXdvcmQ+U3VydmV5cyBhbmQgUXVl
c3Rpb25uYWlyZXM8L2tleXdvcmQ+PGtleXdvcmQ+WW91bmcgQWR1bHQ8L2tleXdvcmQ+PC9rZXl3
b3Jkcz48ZGF0ZXM+PHllYXI+MjAxNzwveWVhcj48cHViLWRhdGVzPjxkYXRlPkZlYjwvZGF0ZT48
L3B1Yi1kYXRlcz48L2RhdGVzPjxpc2JuPjE0NjItMjIwMzwvaXNibj48YWNjZXNzaW9uLW51bT4y
NzYxMzg5NjwvYWNjZXNzaW9uLW51bT48dXJscz48L3VybHM+PGN1c3RvbTI+UE1DNTIzNDM2MDwv
Y3VzdG9tMj48ZWxlY3Ryb25pYy1yZXNvdXJjZS1udW0+MTAuMTA5My9udHIvbnR3MTYwPC9lbGVj
dHJvbmljLXJlc291cmNlLW51bT48cmVtb3RlLWRhdGFiYXNlLXByb3ZpZGVyPk5MTTwvcmVtb3Rl
LWRhdGFiYXNlLXByb3ZpZGVyPjxsYW5ndWFnZT5lbmc8L2xhbmd1YWdlPjwvcmVjb3JkPjwvQ2l0
ZT48L0VuZE5vdGU+
</w:fldData>
        </w:fldChar>
      </w:r>
      <w:r w:rsidRPr="00430400">
        <w:rPr>
          <w:sz w:val="24"/>
        </w:rPr>
        <w:instrText xml:space="preserve"> ADDIN EN.CITE </w:instrText>
      </w:r>
      <w:r w:rsidRPr="00430400">
        <w:rPr>
          <w:sz w:val="24"/>
        </w:rPr>
        <w:fldChar w:fldCharType="begin">
          <w:fldData xml:space="preserve">PEVuZE5vdGU+PENpdGU+PEF1dGhvcj5Hb25pZXdpY3o8L0F1dGhvcj48WWVhcj4yMDE3PC9ZZWFy
PjxSZWNOdW0+MTQyNzwvUmVjTnVtPjxEaXNwbGF5VGV4dD4oR29uaWV3aWN6LCBHYXdyb24gZXQg
YWwuIDIwMTcpPC9EaXNwbGF5VGV4dD48cmVjb3JkPjxyZWMtbnVtYmVyPjE0Mjc8L3JlYy1udW1i
ZXI+PGZvcmVpZ24ta2V5cz48a2V5IGFwcD0iRU4iIGRiLWlkPSJ2enhkcGZ3ZHV4ZmVkMmV0OXBh
dng5OWp6c3N4ZWFwd3Q1cDUiIHRpbWVzdGFtcD0iMTUyMTA5OTQzMiI+MTQyNzwva2V5PjxrZXkg
YXBwPSJFTldlYiIgZGItaWQ9IiI+MDwva2V5PjwvZm9yZWlnbi1rZXlzPjxyZWYtdHlwZSBuYW1l
PSJKb3VybmFsIEFydGljbGUiPjE3PC9yZWYtdHlwZT48Y29udHJpYnV0b3JzPjxhdXRob3JzPjxh
dXRob3I+R29uaWV3aWN6LCBNLiBMLjwvYXV0aG9yPjxhdXRob3I+R2F3cm9uLCBNLjwvYXV0aG9y
PjxhdXRob3I+U21pdGgsIEQuIE0uPC9hdXRob3I+PGF1dGhvcj5QZW5nLCBNLjwvYXV0aG9yPjxh
dXRob3I+SmFjb2IsIFAuLCAzcmQ8L2F1dGhvcj48YXV0aG9yPkJlbm93aXR6LCBOLiBMLjwvYXV0
aG9yPjwvYXV0aG9ycz48L2NvbnRyaWJ1dG9ycz48YXV0aC1hZGRyZXNzPkRlcGFydG1lbnQgb2Yg
SGVhbHRoIEJlaGF2aW9yLCBSb3N3ZWxsIFBhcmsgQ2FuY2VyIEluc3RpdHV0ZSwgQnVmZmFsbywg
TlkuJiN4RDtEZXBhcnRtZW50IG9mIEdlbmVyYWwgYW5kIEFuYWx5dGljYWwgQ2hlbWlzdHJ5LCBN
ZWRpY2FsIFVuaXZlcnNpdHkgb2YgU2lsZXNpYSwgU29zbm93aWVjLCBQb2xhbmQuJiN4RDtEaXZp
c2lvbiBvZiBDbGluaWNhbCBQaGFybWFjb2xvZ3kgYW5kIEV4cGVyaW1lbnRhbCBUaGVyYXBldXRp
Y3MsIERlcGFydG1lbnRzIG9mIE1lZGljaW5lIGFuZCBCaW9lbmdpbmVlcmluZyBhbmQgVGhlcmFw
ZXV0aWMgU2NpZW5jZXMsIFVuaXZlcnNpdHkgb2YgQ2FsaWZvcm5pYSBTYW4gRnJhbmNpc2NvLCBT
YW4gRnJhbmNpc2NvLCBDQS48L2F1dGgtYWRkcmVzcz48dGl0bGVzPjx0aXRsZT5FeHBvc3VyZSB0
byBOaWNvdGluZSBhbmQgU2VsZWN0ZWQgVG94aWNhbnRzIGluIENpZ2FyZXR0ZSBTbW9rZXJzIFdo
byBTd2l0Y2hlZCB0byBFbGVjdHJvbmljIENpZ2FyZXR0ZXM6IEEgTG9uZ2l0dWRpbmFsIFdpdGhp
bi1TdWJqZWN0cyBPYnNlcnZhdGlvbmFsIFN0dWR5PC90aXRsZT48c2Vjb25kYXJ5LXRpdGxlPk5p
Y290aW5lIFRvYiBSZXM8L3NlY29uZGFyeS10aXRsZT48YWx0LXRpdGxlPk5pY290aW5lICZhbXA7
IHRvYmFjY28gcmVzZWFyY2ggOiBvZmZpY2lhbCBqb3VybmFsIG9mIHRoZSBTb2NpZXR5IGZvciBS
ZXNlYXJjaCBvbiBOaWNvdGluZSBhbmQgVG9iYWNjbzwvYWx0LXRpdGxlPjwvdGl0bGVzPjxwZXJp
b2RpY2FsPjxmdWxsLXRpdGxlPk5pY290aW5lIFRvYiBSZXM8L2Z1bGwtdGl0bGU+PGFiYnItMT5O
aWNvdGluZSAmYW1wOyB0b2JhY2NvIHJlc2VhcmNoIDogb2ZmaWNpYWwgam91cm5hbCBvZiB0aGUg
U29jaWV0eSBmb3IgUmVzZWFyY2ggb24gTmljb3RpbmUgYW5kIFRvYmFjY288L2FiYnItMT48L3Bl
cmlvZGljYWw+PGFsdC1wZXJpb2RpY2FsPjxmdWxsLXRpdGxlPk5pY290aW5lIFRvYiBSZXM8L2Z1
bGwtdGl0bGU+PGFiYnItMT5OaWNvdGluZSAmYW1wOyB0b2JhY2NvIHJlc2VhcmNoIDogb2ZmaWNp
YWwgam91cm5hbCBvZiB0aGUgU29jaWV0eSBmb3IgUmVzZWFyY2ggb24gTmljb3RpbmUgYW5kIFRv
YmFjY288L2FiYnItMT48L2FsdC1wZXJpb2RpY2FsPjxwYWdlcz4xNjAtMTY3PC9wYWdlcz48dm9s
dW1lPjE5PC92b2x1bWU+PG51bWJlcj4yPC9udW1iZXI+PGVkaXRpb24+MjAxNi8wOS8xMTwvZWRp
dGlvbj48a2V5d29yZHM+PGtleXdvcmQ+QWR1bHQ8L2tleXdvcmQ+PGtleXdvcmQ+QmlvbWFya2Vy
cy8qYW5hbHlzaXMvdXJpbmU8L2tleXdvcmQ+PGtleXdvcmQ+Q2FyY2lub2dlbnMvKmFuYWx5c2lz
PC9rZXl3b3JkPjxrZXl3b3JkPkVsZWN0cm9uaWMgTmljb3RpbmUgRGVsaXZlcnkgU3lzdGVtcy8q
YWR2ZXJzZSBlZmZlY3RzPC9rZXl3b3JkPjxrZXl3b3JkPkZlbWFsZTwva2V5d29yZD48a2V5d29y
ZD5IdW1hbnM8L2tleXdvcmQ+PGtleXdvcmQ+TG9uZ2l0dWRpbmFsIFN0dWRpZXM8L2tleXdvcmQ+
PGtleXdvcmQ+TWFsZTwva2V5d29yZD48a2V5d29yZD5NaWRkbGUgQWdlZDwva2V5d29yZD48a2V5
d29yZD5OaWNvdGluZS8qYW5hbHlzaXMvdXJpbmU8L2tleXdvcmQ+PGtleXdvcmQ+UG9sYW5kPC9r
ZXl3b3JkPjxrZXl3b3JkPlNtb2tpbmcgQ2Vzc2F0aW9uLyptZXRob2RzPC9rZXl3b3JkPjxrZXl3
b3JkPipTbW9raW5nIFByZXZlbnRpb248L2tleXdvcmQ+PGtleXdvcmQ+U3VydmV5cyBhbmQgUXVl
c3Rpb25uYWlyZXM8L2tleXdvcmQ+PGtleXdvcmQ+WW91bmcgQWR1bHQ8L2tleXdvcmQ+PC9rZXl3
b3Jkcz48ZGF0ZXM+PHllYXI+MjAxNzwveWVhcj48cHViLWRhdGVzPjxkYXRlPkZlYjwvZGF0ZT48
L3B1Yi1kYXRlcz48L2RhdGVzPjxpc2JuPjE0NjItMjIwMzwvaXNibj48YWNjZXNzaW9uLW51bT4y
NzYxMzg5NjwvYWNjZXNzaW9uLW51bT48dXJscz48L3VybHM+PGN1c3RvbTI+UE1DNTIzNDM2MDwv
Y3VzdG9tMj48ZWxlY3Ryb25pYy1yZXNvdXJjZS1udW0+MTAuMTA5My9udHIvbnR3MTYwPC9lbGVj
dHJvbmljLXJlc291cmNlLW51bT48cmVtb3RlLWRhdGFiYXNlLXByb3ZpZGVyPk5MTTwvcmVtb3Rl
LWRhdGFiYXNlLXByb3ZpZGVyPjxsYW5ndWFnZT5lbmc8L2xhbmd1YWdlPjwvcmVjb3JkPjwvQ2l0
ZT48L0VuZE5vdGU+
</w:fldData>
        </w:fldChar>
      </w:r>
      <w:r w:rsidRPr="00430400">
        <w:rPr>
          <w:sz w:val="24"/>
        </w:rPr>
        <w:instrText xml:space="preserve"> ADDIN EN.CITE.DATA </w:instrText>
      </w:r>
      <w:r w:rsidRPr="00430400">
        <w:rPr>
          <w:sz w:val="24"/>
        </w:rPr>
      </w:r>
      <w:r w:rsidRPr="00430400">
        <w:rPr>
          <w:sz w:val="24"/>
        </w:rPr>
        <w:fldChar w:fldCharType="end"/>
      </w:r>
      <w:r w:rsidRPr="00430400">
        <w:rPr>
          <w:sz w:val="24"/>
        </w:rPr>
      </w:r>
      <w:r w:rsidRPr="00430400">
        <w:rPr>
          <w:sz w:val="24"/>
        </w:rPr>
        <w:fldChar w:fldCharType="separate"/>
      </w:r>
      <w:r w:rsidRPr="00430400">
        <w:rPr>
          <w:noProof/>
          <w:sz w:val="24"/>
        </w:rPr>
        <w:t>(Goniewicz, Gawron et al. 2017)</w:t>
      </w:r>
      <w:r w:rsidRPr="00430400">
        <w:rPr>
          <w:sz w:val="24"/>
        </w:rPr>
        <w:fldChar w:fldCharType="end"/>
      </w:r>
      <w:r w:rsidRPr="00430400">
        <w:rPr>
          <w:sz w:val="24"/>
        </w:rPr>
        <w:t>. Subjects (aged 20</w:t>
      </w:r>
      <w:r w:rsidRPr="00430400">
        <w:rPr>
          <w:sz w:val="24"/>
        </w:rPr>
        <w:noBreakHyphen/>
        <w:t>52 years, mean age 31 years) switched from smoking conventional cigarettes (for an average of 12.1 years, and 16 cigarettes per day) to smoking e</w:t>
      </w:r>
      <w:r w:rsidRPr="00430400">
        <w:rPr>
          <w:sz w:val="24"/>
        </w:rPr>
        <w:noBreakHyphen/>
        <w:t>cigarettes for a period of just two weeks (pen</w:t>
      </w:r>
      <w:r w:rsidRPr="00430400">
        <w:rPr>
          <w:sz w:val="24"/>
        </w:rPr>
        <w:noBreakHyphen/>
        <w:t>style M201 e</w:t>
      </w:r>
      <w:r w:rsidRPr="00430400">
        <w:rPr>
          <w:sz w:val="24"/>
        </w:rPr>
        <w:noBreakHyphen/>
        <w:t>cigarette with nicotine levels 8.4 ± 1.1mg with 150 puffs). However, subjects did not give up smoking completely: the average number of conventional cigarettes smoked per day declined at week 1 to 0.8 (p&lt;0.001) and at week 2 to 0.6 (p&lt;0.001) per day for all participants (</w:t>
      </w:r>
      <w:r w:rsidR="00360355">
        <w:rPr>
          <w:sz w:val="24"/>
        </w:rPr>
        <w:t>nine</w:t>
      </w:r>
      <w:r w:rsidRPr="00430400">
        <w:rPr>
          <w:sz w:val="24"/>
        </w:rPr>
        <w:t xml:space="preserve"> had ceased altogether). The study measured seven nicotine metabolites and 17 tobacco smoke biomarkers in urine. Biomarkers were metabolites of 13 major carcinogens and toxicants in cigarette smoke: one tobacco specific nitrosamine (NNK), eight volatile organic compounds (1,3</w:t>
      </w:r>
      <w:r w:rsidRPr="00430400">
        <w:rPr>
          <w:sz w:val="24"/>
        </w:rPr>
        <w:noBreakHyphen/>
        <w:t xml:space="preserve">butadiene, crotonaldehyde, acrolein, benzene, acrylamide, acrylonitrile, ethylene oxide, and propylene oxide) and four polycyclic aromatic hydrocarbons (naphthalene, fluorene, phenanthrene and pyrene). Expired carbon monoxide was also measured. </w:t>
      </w:r>
      <w:r w:rsidRPr="00430400">
        <w:rPr>
          <w:b/>
          <w:sz w:val="24"/>
        </w:rPr>
        <w:t>Statistically significant declines in 12 out of 17 measured biomarkers of exposure to toxicants were observed</w:t>
      </w:r>
      <w:r w:rsidRPr="00430400">
        <w:rPr>
          <w:sz w:val="24"/>
        </w:rPr>
        <w:t xml:space="preserve">. </w:t>
      </w:r>
    </w:p>
    <w:p w14:paraId="067BF1A4" w14:textId="00C6FAEA" w:rsidR="00430400" w:rsidRPr="00430400" w:rsidRDefault="00430400" w:rsidP="00E9656F">
      <w:pPr>
        <w:pStyle w:val="BodyText"/>
      </w:pPr>
      <w:r w:rsidRPr="00430400">
        <w:t>Exposure to several tobacco related carcinogens was substantially reduced, namely NNK, 1,3</w:t>
      </w:r>
      <w:r w:rsidRPr="00430400">
        <w:noBreakHyphen/>
        <w:t>butadiene and benzene. Declines in some biomarkers (PAHs) were mainly driven by participants who switched completely from tobacco cigarettes to e</w:t>
      </w:r>
      <w:r w:rsidRPr="00430400">
        <w:noBreakHyphen/>
        <w:t>cigarettes. Total mean levels of nicotine (p=0.53) and some polycyclic aromatic hydrocarbon metabolites remained largely unchanged after switching from tobacco to e</w:t>
      </w:r>
      <w:r w:rsidRPr="00430400">
        <w:noBreakHyphen/>
        <w:t xml:space="preserve">cigarettes (nicotine results reported below). All other biomarkers aside from nicotine significantly decreased after </w:t>
      </w:r>
      <w:r w:rsidR="0042339A">
        <w:t>one</w:t>
      </w:r>
      <w:r w:rsidRPr="00430400">
        <w:t xml:space="preserve"> week of using e</w:t>
      </w:r>
      <w:r w:rsidRPr="00430400">
        <w:noBreakHyphen/>
        <w:t xml:space="preserve">cigarettes (p&lt;0.05). After </w:t>
      </w:r>
      <w:r w:rsidR="0042339A">
        <w:t>one</w:t>
      </w:r>
      <w:r w:rsidRPr="00430400">
        <w:t xml:space="preserve"> week, the greatest percentage reductions in biomarker levels were observed for metabolites of 1,3</w:t>
      </w:r>
      <w:r w:rsidRPr="00430400">
        <w:noBreakHyphen/>
        <w:t>butadiene, benzene, and acrylonitrile (all p&lt;0.05). Total nitrosamine (NNAL)</w:t>
      </w:r>
      <w:r w:rsidRPr="00430400">
        <w:rPr>
          <w:vertAlign w:val="superscript"/>
        </w:rPr>
        <w:footnoteReference w:id="5"/>
      </w:r>
      <w:r w:rsidRPr="00430400">
        <w:t xml:space="preserve">, a metabolite of NNK, declined by 57% and 64% (p&lt;0.001) after one and two weeks respectively. </w:t>
      </w:r>
    </w:p>
    <w:p w14:paraId="5BF1D63A" w14:textId="7B25AF2E" w:rsidR="00430400" w:rsidRPr="00430400" w:rsidRDefault="00430400" w:rsidP="00430400">
      <w:pPr>
        <w:spacing w:before="120" w:line="264" w:lineRule="auto"/>
        <w:rPr>
          <w:sz w:val="24"/>
        </w:rPr>
      </w:pPr>
      <w:r w:rsidRPr="00430400">
        <w:rPr>
          <w:sz w:val="24"/>
        </w:rPr>
        <w:t>Among biomarkers of exposure to PAHs, mean levels of 1</w:t>
      </w:r>
      <w:r w:rsidRPr="00430400">
        <w:rPr>
          <w:sz w:val="24"/>
        </w:rPr>
        <w:noBreakHyphen/>
        <w:t>hydroxyflourene, 2</w:t>
      </w:r>
      <w:r w:rsidRPr="00430400">
        <w:rPr>
          <w:sz w:val="24"/>
        </w:rPr>
        <w:noBreakHyphen/>
        <w:t>hydroxyflourene and 3</w:t>
      </w:r>
      <w:r w:rsidRPr="00430400">
        <w:rPr>
          <w:sz w:val="24"/>
        </w:rPr>
        <w:noBreakHyphen/>
        <w:t>hydroxyfluorene significantly declined (all p&lt;0.05). Levels of 3</w:t>
      </w:r>
      <w:r w:rsidRPr="00430400">
        <w:rPr>
          <w:sz w:val="24"/>
        </w:rPr>
        <w:noBreakHyphen/>
        <w:t xml:space="preserve">hydroxyfluorene levels declined by 46% at week </w:t>
      </w:r>
      <w:r w:rsidR="005D1576">
        <w:rPr>
          <w:sz w:val="24"/>
        </w:rPr>
        <w:t>one</w:t>
      </w:r>
      <w:r w:rsidRPr="00430400">
        <w:rPr>
          <w:sz w:val="24"/>
        </w:rPr>
        <w:t xml:space="preserve">, and 34% at week </w:t>
      </w:r>
      <w:r w:rsidR="001D73E2">
        <w:rPr>
          <w:sz w:val="24"/>
        </w:rPr>
        <w:t>two</w:t>
      </w:r>
      <w:r w:rsidRPr="00430400">
        <w:rPr>
          <w:sz w:val="24"/>
        </w:rPr>
        <w:t>. There were no statistically significant changes in mean levels of 3</w:t>
      </w:r>
      <w:r w:rsidRPr="00430400">
        <w:rPr>
          <w:sz w:val="24"/>
        </w:rPr>
        <w:noBreakHyphen/>
        <w:t>, 4</w:t>
      </w:r>
      <w:r w:rsidRPr="00430400">
        <w:rPr>
          <w:sz w:val="24"/>
        </w:rPr>
        <w:noBreakHyphen/>
        <w:t>hydroxyphenanthrene (p=0.38), 1</w:t>
      </w:r>
      <w:r w:rsidRPr="00430400">
        <w:rPr>
          <w:sz w:val="24"/>
        </w:rPr>
        <w:noBreakHyphen/>
        <w:t>hydroxypyrene (p=0.32), 2</w:t>
      </w:r>
      <w:r w:rsidRPr="00430400">
        <w:rPr>
          <w:sz w:val="24"/>
        </w:rPr>
        <w:noBreakHyphen/>
        <w:t>hydroxyphenanthrene (p=0.126), 1</w:t>
      </w:r>
      <w:r w:rsidRPr="00430400">
        <w:rPr>
          <w:sz w:val="24"/>
        </w:rPr>
        <w:noBreakHyphen/>
        <w:t>hydroxyphenanthrene (p=0.076) or 2</w:t>
      </w:r>
      <w:r w:rsidRPr="00430400">
        <w:rPr>
          <w:sz w:val="24"/>
        </w:rPr>
        <w:noBreakHyphen/>
        <w:t>naphthol (p=0.095). The overall decline in levels of 3</w:t>
      </w:r>
      <w:r w:rsidRPr="00430400">
        <w:rPr>
          <w:sz w:val="24"/>
        </w:rPr>
        <w:noBreakHyphen/>
        <w:t xml:space="preserve">hydroxyfluorene were significant among those who were abstinent at week </w:t>
      </w:r>
      <w:r w:rsidR="00C02E6B">
        <w:rPr>
          <w:sz w:val="24"/>
        </w:rPr>
        <w:t>one</w:t>
      </w:r>
      <w:r w:rsidRPr="00430400">
        <w:rPr>
          <w:sz w:val="24"/>
        </w:rPr>
        <w:t xml:space="preserve"> (p=0.004) and those who were abstinent at week </w:t>
      </w:r>
      <w:r w:rsidR="00C02E6B">
        <w:rPr>
          <w:sz w:val="24"/>
        </w:rPr>
        <w:t>two</w:t>
      </w:r>
      <w:r w:rsidRPr="00430400">
        <w:rPr>
          <w:sz w:val="24"/>
        </w:rPr>
        <w:t xml:space="preserve"> (p=0.001) whilst no statistically significant declines were observed among those who continued to use conventional cigarettes. Significant improvements in chest tightness (p=0.024) and visual disturbances (p=0.02) were also reported. Notably, the M201 model of e</w:t>
      </w:r>
      <w:r w:rsidRPr="00430400">
        <w:rPr>
          <w:sz w:val="24"/>
        </w:rPr>
        <w:noBreakHyphen/>
        <w:t xml:space="preserve">cigarette used in the study was screened for selected toxicants and </w:t>
      </w:r>
      <w:r w:rsidRPr="00430400">
        <w:rPr>
          <w:sz w:val="24"/>
        </w:rPr>
        <w:lastRenderedPageBreak/>
        <w:t>it was found that it generated aerosol with significantly less potential toxicants when compared with other similar e</w:t>
      </w:r>
      <w:r w:rsidRPr="00430400">
        <w:rPr>
          <w:sz w:val="24"/>
        </w:rPr>
        <w:noBreakHyphen/>
        <w:t>cigarette models.</w:t>
      </w:r>
    </w:p>
    <w:p w14:paraId="67B44B01" w14:textId="77777777" w:rsidR="00430400" w:rsidRPr="00430400" w:rsidRDefault="00430400" w:rsidP="00430400">
      <w:pPr>
        <w:spacing w:before="120" w:line="264" w:lineRule="auto"/>
        <w:rPr>
          <w:sz w:val="24"/>
        </w:rPr>
      </w:pPr>
    </w:p>
    <w:p w14:paraId="0AAE60B3" w14:textId="77777777" w:rsidR="00430400" w:rsidRPr="00430400" w:rsidRDefault="00430400" w:rsidP="00430400">
      <w:pPr>
        <w:spacing w:before="120" w:line="264" w:lineRule="auto"/>
        <w:rPr>
          <w:sz w:val="24"/>
        </w:rPr>
      </w:pPr>
      <w:r w:rsidRPr="00430400">
        <w:rPr>
          <w:sz w:val="24"/>
        </w:rPr>
        <w:t>In a UK cross</w:t>
      </w:r>
      <w:r w:rsidRPr="00430400">
        <w:rPr>
          <w:sz w:val="24"/>
        </w:rPr>
        <w:noBreakHyphen/>
        <w:t xml:space="preserve">sectional study by Shahab et al. (n=71, mean age 37.8 years), exposure to </w:t>
      </w:r>
      <w:r w:rsidRPr="00430400">
        <w:rPr>
          <w:b/>
          <w:sz w:val="24"/>
        </w:rPr>
        <w:t>carcinogens and toxins</w:t>
      </w:r>
      <w:r w:rsidRPr="00430400">
        <w:rPr>
          <w:sz w:val="24"/>
        </w:rPr>
        <w:t xml:space="preserve"> (and nicotine, reported below) was considered among long term users of e</w:t>
      </w:r>
      <w:r w:rsidRPr="00430400">
        <w:rPr>
          <w:sz w:val="24"/>
        </w:rPr>
        <w:noBreakHyphen/>
        <w:t xml:space="preserve">cigarettes </w:t>
      </w:r>
      <w:r w:rsidRPr="00430400">
        <w:rPr>
          <w:sz w:val="24"/>
        </w:rPr>
        <w:fldChar w:fldCharType="begin"/>
      </w:r>
      <w:r w:rsidRPr="00430400">
        <w:rPr>
          <w:sz w:val="24"/>
        </w:rPr>
        <w:instrText xml:space="preserve"> ADDIN EN.CITE &lt;EndNote&gt;&lt;Cite&gt;&lt;Author&gt;Shahab&lt;/Author&gt;&lt;Year&gt;2017&lt;/Year&gt;&lt;RecNum&gt;1964&lt;/RecNum&gt;&lt;DisplayText&gt;(Shahab, Goniewicz et al. 2017)&lt;/DisplayText&gt;&lt;record&gt;&lt;rec-number&gt;1964&lt;/rec-number&gt;&lt;foreign-keys&gt;&lt;key app="EN" db-id="vzxdpfwduxfed2et9pavx99jzssxeapwt5p5" timestamp="1521099525"&gt;1964&lt;/key&gt;&lt;key app="ENWeb" db-id=""&gt;0&lt;/key&gt;&lt;/foreign-keys&gt;&lt;ref-type name="Journal Article"&gt;17&lt;/ref-type&gt;&lt;contributors&gt;&lt;authors&gt;&lt;author&gt;Shahab, Lion&lt;/author&gt;&lt;author&gt;Goniewicz, Maciej L.&lt;/author&gt;&lt;author&gt;Blount, Benjamin C.&lt;/author&gt;&lt;author&gt;Brown, Jamie&lt;/author&gt;&lt;author&gt;McNeill, Ann&lt;/author&gt;&lt;author&gt;Alwis, K. Udeni&lt;/author&gt;&lt;author&gt;Feng, June&lt;/author&gt;&lt;author&gt;Wang, Lanqing&lt;/author&gt;&lt;author&gt;West, Robert&lt;/author&gt;&lt;/authors&gt;&lt;/contributors&gt;&lt;titles&gt;&lt;title&gt;Nicotine, Carcinogen, and Toxin Exposure in Long-Term E-Cigarette and Nicotine Replacement Therapy Users A Cross-sectional Study&lt;/title&gt;&lt;secondary-title&gt;Annals of Internal Medicine&lt;/secondary-title&gt;&lt;/titles&gt;&lt;periodical&gt;&lt;full-title&gt;Ann Intern Med&lt;/full-title&gt;&lt;abbr-1&gt;Annals of internal medicine&lt;/abbr-1&gt;&lt;/periodical&gt;&lt;pages&gt;390-+&lt;/pages&gt;&lt;volume&gt;166&lt;/volume&gt;&lt;number&gt;6&lt;/number&gt;&lt;dates&gt;&lt;year&gt;2017&lt;/year&gt;&lt;pub-dates&gt;&lt;date&gt;Mar 21&lt;/date&gt;&lt;/pub-dates&gt;&lt;/dates&gt;&lt;isbn&gt;0003-4819&lt;/isbn&gt;&lt;accession-num&gt;WOS:000397025800014&lt;/accession-num&gt;&lt;urls&gt;&lt;related-urls&gt;&lt;url&gt;&amp;lt;Go to ISI&amp;gt;://WOS:000397025800014&lt;/url&gt;&lt;/related-urls&gt;&lt;/urls&gt;&lt;electronic-resource-num&gt;10.7326/m16-1107&lt;/electronic-resource-num&gt;&lt;/record&gt;&lt;/Cite&gt;&lt;/EndNote&gt;</w:instrText>
      </w:r>
      <w:r w:rsidRPr="00430400">
        <w:rPr>
          <w:sz w:val="24"/>
        </w:rPr>
        <w:fldChar w:fldCharType="separate"/>
      </w:r>
      <w:r w:rsidRPr="00430400">
        <w:rPr>
          <w:noProof/>
          <w:sz w:val="24"/>
        </w:rPr>
        <w:t>(Shahab, Goniewicz et al. 2017)</w:t>
      </w:r>
      <w:r w:rsidRPr="00430400">
        <w:rPr>
          <w:sz w:val="24"/>
        </w:rPr>
        <w:fldChar w:fldCharType="end"/>
      </w:r>
      <w:r w:rsidRPr="00430400">
        <w:rPr>
          <w:sz w:val="24"/>
        </w:rPr>
        <w:t xml:space="preserve">. The study sought to compare such exposure among five groups: </w:t>
      </w:r>
    </w:p>
    <w:p w14:paraId="5EC065C1" w14:textId="77777777" w:rsidR="00430400" w:rsidRPr="00430400" w:rsidRDefault="00430400" w:rsidP="00E9656F">
      <w:pPr>
        <w:numPr>
          <w:ilvl w:val="0"/>
          <w:numId w:val="76"/>
        </w:numPr>
        <w:spacing w:after="0" w:line="264" w:lineRule="auto"/>
        <w:rPr>
          <w:sz w:val="24"/>
        </w:rPr>
      </w:pPr>
      <w:r w:rsidRPr="00430400">
        <w:rPr>
          <w:sz w:val="24"/>
        </w:rPr>
        <w:t xml:space="preserve">Smokers of conventional cigarettes only (average of </w:t>
      </w:r>
      <w:r w:rsidRPr="00430400">
        <w:rPr>
          <w:rFonts w:cs="Calibri"/>
          <w:sz w:val="24"/>
        </w:rPr>
        <w:t xml:space="preserve">&gt; </w:t>
      </w:r>
      <w:r w:rsidRPr="00430400">
        <w:rPr>
          <w:sz w:val="24"/>
        </w:rPr>
        <w:t>5 per day for at least 6 months).</w:t>
      </w:r>
    </w:p>
    <w:p w14:paraId="160C75D5" w14:textId="77777777" w:rsidR="00430400" w:rsidRPr="00430400" w:rsidRDefault="00430400" w:rsidP="00E9656F">
      <w:pPr>
        <w:numPr>
          <w:ilvl w:val="0"/>
          <w:numId w:val="76"/>
        </w:numPr>
        <w:spacing w:after="0" w:line="264" w:lineRule="auto"/>
        <w:rPr>
          <w:sz w:val="24"/>
        </w:rPr>
      </w:pPr>
      <w:r w:rsidRPr="00430400">
        <w:rPr>
          <w:sz w:val="24"/>
        </w:rPr>
        <w:t>Former smokers (ceased for at least 6 months) with long</w:t>
      </w:r>
      <w:r w:rsidRPr="00430400">
        <w:rPr>
          <w:sz w:val="24"/>
        </w:rPr>
        <w:noBreakHyphen/>
        <w:t>term e</w:t>
      </w:r>
      <w:r w:rsidRPr="00430400">
        <w:rPr>
          <w:sz w:val="24"/>
        </w:rPr>
        <w:noBreakHyphen/>
        <w:t>cigarette use (at least weekly for ≥6 months) only.</w:t>
      </w:r>
    </w:p>
    <w:p w14:paraId="77112240" w14:textId="77777777" w:rsidR="00430400" w:rsidRPr="00430400" w:rsidRDefault="00430400" w:rsidP="00E9656F">
      <w:pPr>
        <w:numPr>
          <w:ilvl w:val="0"/>
          <w:numId w:val="76"/>
        </w:numPr>
        <w:spacing w:after="0" w:line="264" w:lineRule="auto"/>
        <w:rPr>
          <w:sz w:val="24"/>
        </w:rPr>
      </w:pPr>
      <w:r w:rsidRPr="00430400">
        <w:rPr>
          <w:sz w:val="24"/>
        </w:rPr>
        <w:t>Former smokers with long</w:t>
      </w:r>
      <w:r w:rsidRPr="00430400">
        <w:rPr>
          <w:sz w:val="24"/>
        </w:rPr>
        <w:noBreakHyphen/>
        <w:t>term nicotine replacement therapy (NRT) use (at least weekly for ≥6 months) only.</w:t>
      </w:r>
    </w:p>
    <w:p w14:paraId="675BE217" w14:textId="77777777" w:rsidR="00430400" w:rsidRPr="00430400" w:rsidRDefault="00430400" w:rsidP="00E9656F">
      <w:pPr>
        <w:numPr>
          <w:ilvl w:val="0"/>
          <w:numId w:val="76"/>
        </w:numPr>
        <w:spacing w:after="0" w:line="264" w:lineRule="auto"/>
        <w:rPr>
          <w:sz w:val="24"/>
        </w:rPr>
      </w:pPr>
      <w:r w:rsidRPr="00430400">
        <w:rPr>
          <w:sz w:val="24"/>
        </w:rPr>
        <w:t>Long</w:t>
      </w:r>
      <w:r w:rsidRPr="00430400">
        <w:rPr>
          <w:sz w:val="24"/>
        </w:rPr>
        <w:noBreakHyphen/>
        <w:t>term dual users of both conventional cigarettes and e</w:t>
      </w:r>
      <w:r w:rsidRPr="00430400">
        <w:rPr>
          <w:sz w:val="24"/>
        </w:rPr>
        <w:noBreakHyphen/>
        <w:t>cigarettes.</w:t>
      </w:r>
    </w:p>
    <w:p w14:paraId="4AFD7B79" w14:textId="77777777" w:rsidR="00430400" w:rsidRPr="00430400" w:rsidRDefault="00430400" w:rsidP="00E9656F">
      <w:pPr>
        <w:numPr>
          <w:ilvl w:val="0"/>
          <w:numId w:val="76"/>
        </w:numPr>
        <w:spacing w:after="0" w:line="264" w:lineRule="auto"/>
        <w:rPr>
          <w:sz w:val="24"/>
        </w:rPr>
      </w:pPr>
      <w:r w:rsidRPr="00430400">
        <w:rPr>
          <w:sz w:val="24"/>
        </w:rPr>
        <w:t>Long</w:t>
      </w:r>
      <w:r w:rsidRPr="00430400">
        <w:rPr>
          <w:sz w:val="24"/>
        </w:rPr>
        <w:noBreakHyphen/>
        <w:t xml:space="preserve">term users of both conventional cigarettes and NRT. </w:t>
      </w:r>
    </w:p>
    <w:p w14:paraId="7976B91B" w14:textId="77777777" w:rsidR="00430400" w:rsidRPr="00430400" w:rsidRDefault="00430400" w:rsidP="00E9656F">
      <w:pPr>
        <w:pStyle w:val="BodyText"/>
      </w:pPr>
      <w:r w:rsidRPr="00430400">
        <w:t>Long term NRT use or e</w:t>
      </w:r>
      <w:r w:rsidRPr="00430400">
        <w:noBreakHyphen/>
        <w:t>cigarette only use among former smokers was associated with substantially reduced levels of selected carcinogens and toxins compared with conventional cigarette smoking, but dual use of NRT and conventional cigarettes and dual use of e</w:t>
      </w:r>
      <w:r w:rsidRPr="00430400">
        <w:noBreakHyphen/>
        <w:t>cigarettes and conventional cigarettes did not show the same reductions. E</w:t>
      </w:r>
      <w:r w:rsidRPr="00430400">
        <w:noBreakHyphen/>
        <w:t>cigarette use only was not associated with greater benefits than NRT use only. The NRT only and e</w:t>
      </w:r>
      <w:r w:rsidRPr="00430400">
        <w:noBreakHyphen/>
        <w:t>cigarette only users had significantly lower NNAL levels than conventional cigarette only, dual conventional cigarette</w:t>
      </w:r>
      <w:r w:rsidRPr="00430400">
        <w:noBreakHyphen/>
        <w:t>NRT and dual conventional cigarette</w:t>
      </w:r>
      <w:r w:rsidRPr="00430400">
        <w:noBreakHyphen/>
        <w:t>e</w:t>
      </w:r>
      <w:r w:rsidRPr="00430400">
        <w:noBreakHyphen/>
        <w:t xml:space="preserve">cigarette users (p&lt;0.001). </w:t>
      </w:r>
      <w:r w:rsidRPr="00430400">
        <w:rPr>
          <w:b/>
        </w:rPr>
        <w:t>E</w:t>
      </w:r>
      <w:r w:rsidRPr="00430400">
        <w:rPr>
          <w:b/>
        </w:rPr>
        <w:noBreakHyphen/>
        <w:t>cigarette only users had significantly lower NNAL levels</w:t>
      </w:r>
      <w:r w:rsidRPr="00430400">
        <w:t xml:space="preserve"> than all other groups, a </w:t>
      </w:r>
      <w:r w:rsidRPr="00430400">
        <w:rPr>
          <w:b/>
        </w:rPr>
        <w:t xml:space="preserve">97% reduction </w:t>
      </w:r>
      <w:r w:rsidRPr="00430400">
        <w:t>compared with levels of conventional cigarette</w:t>
      </w:r>
      <w:r w:rsidRPr="00430400">
        <w:noBreakHyphen/>
        <w:t>only users. Compared with conventional cigarette only users, there were no large differences in NNAL levels for dual conventional cigarette</w:t>
      </w:r>
      <w:r w:rsidRPr="00430400">
        <w:noBreakHyphen/>
        <w:t>e</w:t>
      </w:r>
      <w:r w:rsidRPr="00430400">
        <w:noBreakHyphen/>
        <w:t>cigarette users, but dual conventional cigarette</w:t>
      </w:r>
      <w:r w:rsidRPr="00430400">
        <w:noBreakHyphen/>
        <w:t xml:space="preserve">NRT users had 'somewhat' lower NNAL levels. </w:t>
      </w:r>
      <w:r w:rsidRPr="00430400">
        <w:rPr>
          <w:b/>
        </w:rPr>
        <w:t>E</w:t>
      </w:r>
      <w:r w:rsidRPr="00430400">
        <w:rPr>
          <w:b/>
        </w:rPr>
        <w:noBreakHyphen/>
        <w:t>cigarette users had the lowest levels of VOCs overall</w:t>
      </w:r>
      <w:r w:rsidRPr="00430400">
        <w:t>; compared with all other groups, NRT only and e</w:t>
      </w:r>
      <w:r w:rsidRPr="00430400">
        <w:noBreakHyphen/>
        <w:t>cigarette only users had at least half of the reference values of conventional cigarette only users, and had significantly lower levels of all major metabolites of selected toxic and carcinogenic VOCs (all p&lt;0.001). E</w:t>
      </w:r>
      <w:r w:rsidRPr="00430400">
        <w:noBreakHyphen/>
        <w:t>cigarette only users had a level of acrylonitrile that was 2.9% of that of conventional smoker levels (range 1.7%</w:t>
      </w:r>
      <w:r w:rsidRPr="00430400">
        <w:noBreakHyphen/>
        <w:t>4.7%), whilst for NRT</w:t>
      </w:r>
      <w:r w:rsidRPr="00430400">
        <w:noBreakHyphen/>
        <w:t>only users it was 10.5% (range 5.4%</w:t>
      </w:r>
      <w:r w:rsidRPr="00430400">
        <w:noBreakHyphen/>
        <w:t>20.6%). Dual conventional cigarette</w:t>
      </w:r>
      <w:r w:rsidRPr="00430400">
        <w:noBreakHyphen/>
        <w:t>NRT, dual conventional cigarette</w:t>
      </w:r>
      <w:r w:rsidRPr="00430400">
        <w:noBreakHyphen/>
        <w:t>e</w:t>
      </w:r>
      <w:r w:rsidRPr="00430400">
        <w:noBreakHyphen/>
        <w:t xml:space="preserve">cigarette and conventional cigarette only users all had very similar urinary VOC metabolite levels. </w:t>
      </w:r>
    </w:p>
    <w:p w14:paraId="5AA82D14" w14:textId="77777777" w:rsidR="00430400" w:rsidRPr="00430400" w:rsidRDefault="00430400" w:rsidP="00430400">
      <w:pPr>
        <w:spacing w:before="120" w:line="264" w:lineRule="auto"/>
        <w:rPr>
          <w:sz w:val="24"/>
        </w:rPr>
      </w:pPr>
      <w:r w:rsidRPr="00430400">
        <w:rPr>
          <w:sz w:val="24"/>
        </w:rPr>
        <w:t>The study concludes that e</w:t>
      </w:r>
      <w:r w:rsidRPr="00430400">
        <w:rPr>
          <w:sz w:val="24"/>
        </w:rPr>
        <w:noBreakHyphen/>
        <w:t>cigarettes are likely to be beneficial only if there is complete cessation of conventional cigarette smoking, and that full cessation of nicotine products is the best option.</w:t>
      </w:r>
    </w:p>
    <w:p w14:paraId="00D6443E" w14:textId="77777777" w:rsidR="00430400" w:rsidRPr="00430400" w:rsidRDefault="00430400" w:rsidP="00430400">
      <w:pPr>
        <w:spacing w:before="120" w:line="264" w:lineRule="auto"/>
        <w:rPr>
          <w:sz w:val="24"/>
        </w:rPr>
      </w:pPr>
    </w:p>
    <w:p w14:paraId="3704A82F" w14:textId="473A432A" w:rsidR="00430400" w:rsidRPr="00430400" w:rsidRDefault="00430400" w:rsidP="00430400">
      <w:pPr>
        <w:spacing w:before="120" w:line="264" w:lineRule="auto"/>
        <w:rPr>
          <w:sz w:val="24"/>
        </w:rPr>
      </w:pPr>
      <w:r w:rsidRPr="00430400">
        <w:rPr>
          <w:sz w:val="24"/>
        </w:rPr>
        <w:t xml:space="preserve">In Walele et al.’s </w:t>
      </w:r>
      <w:r w:rsidRPr="00430400">
        <w:rPr>
          <w:sz w:val="24"/>
        </w:rPr>
        <w:fldChar w:fldCharType="begin">
          <w:fldData xml:space="preserve">PEVuZE5vdGU+PENpdGU+PEF1dGhvcj5XYWxlbGU8L0F1dGhvcj48WWVhcj4yMDE4PC9ZZWFyPjxS
ZWNOdW0+MTg2PC9SZWNOdW0+PERpc3BsYXlUZXh0PihXYWxlbGUsIEJ1c2ggZXQgYWwuIDIwMTgp
PC9EaXNwbGF5VGV4dD48cmVjb3JkPjxyZWMtbnVtYmVyPjE4NjwvcmVjLW51bWJlcj48Zm9yZWln
bi1rZXlzPjxrZXkgYXBwPSJFTiIgZGItaWQ9IjV4djV3NXQyYmR4dHhmZXp4MDJ4dHhkZnQ1cno1
cHR2dnQyOSIgdGltZXN0YW1wPSIxNTIwNTY4NDIwIj4xODY8L2tleT48a2V5IGFwcD0iRU5XZWIi
IGRiLWlkPSIiPjA8L2tleT48L2ZvcmVpZ24ta2V5cz48cmVmLXR5cGUgbmFtZT0iSm91cm5hbCBB
cnRpY2xlIj4xNzwvcmVmLXR5cGU+PGNvbnRyaWJ1dG9ycz48YXV0aG9ycz48YXV0aG9yPldhbGVs
ZSwgVC48L2F1dGhvcj48YXV0aG9yPkJ1c2gsIEouPC9hdXRob3I+PGF1dGhvcj5Lb2NoLCBBLjwv
YXV0aG9yPjxhdXRob3I+U2F2aW96LCBSLjwvYXV0aG9yPjxhdXRob3I+TWFydGluLCBDLjwvYXV0
aG9yPjxhdXRob3I+TyZhcG9zO0Nvbm5lbGwsIEcuPC9hdXRob3I+PC9hdXRob3JzPjwvY29udHJp
YnV0b3JzPjxhdXRoLWFkZHJlc3M+Rm9udGVtIFZlbnR1cmVzLCBCYXJiYXJhIFN0cm96emlsYWFu
IDEwMSwgMTA4MyBITiBBbXN0ZXJkYW0sIFRoZSBOZXRoZXJsYW5kcy4gRWxlY3Ryb25pYyBhZGRy
ZXNzOiB0YW52aXIud2FsZWxlQGZvbnRlbXZlbnR1cmVzLmNvbS4mI3hEO0NvdmFuY2UgQ2xpbmlj
YWwgUmVzZWFyY2ggVW5pdCwgSHlkZSBTdHJlZXQsIExlZWRzLCBMUzIgOUxILCBVSy4mI3hEO1Np
bWJlYyBSZXNlYXJjaCwgTWVydGh5ciBUeWRmaWwsIENGNDggNERSLCBVSy4mI3hEO0NsaW5vcHNp
cyBTLkEuLCBKYXJkaW5zIDYsIDE0MjYgQ29uY2lzZSwgU3dpdHplcmxhbmQuJiN4RDtGb250ZW0g
VmVudHVyZXMsIEJhcmJhcmEgU3Ryb3p6aWxhYW4gMTAxLCAxMDgzIEhOIEFtc3RlcmRhbSwgVGhl
IE5ldGhlcmxhbmRzLjwvYXV0aC1hZGRyZXNzPjx0aXRsZXM+PHRpdGxlPkV2YWx1YXRpb24gb2Yg
dGhlIHNhZmV0eSBwcm9maWxlIG9mIGFuIGVsZWN0cm9uaWMgdmFwb3VyIHByb2R1Y3QgdXNlZCBm
b3IgdHdvIHllYXJzIGJ5IHNtb2tlcnMgaW4gYSByZWFsLWxpZmUgc2V0dGluZzwvdGl0bGU+PHNl
Y29uZGFyeS10aXRsZT5SZWd1bCBUb3hpY29sIFBoYXJtYWNvbDwvc2Vjb25kYXJ5LXRpdGxlPjxh
bHQtdGl0bGU+UmVndWxhdG9yeSB0b3hpY29sb2d5IGFuZCBwaGFybWFjb2xvZ3kgOiBSVFA8L2Fs
dC10aXRsZT48L3RpdGxlcz48cGVyaW9kaWNhbD48ZnVsbC10aXRsZT5SZWd1bCBUb3hpY29sIFBo
YXJtYWNvbDwvZnVsbC10aXRsZT48YWJici0xPlJlZ3VsYXRvcnkgdG94aWNvbG9neSBhbmQgcGhh
cm1hY29sb2d5IDogUlRQPC9hYmJyLTE+PC9wZXJpb2RpY2FsPjxhbHQtcGVyaW9kaWNhbD48ZnVs
bC10aXRsZT5SZWd1bCBUb3hpY29sIFBoYXJtYWNvbDwvZnVsbC10aXRsZT48YWJici0xPlJlZ3Vs
YXRvcnkgdG94aWNvbG9neSBhbmQgcGhhcm1hY29sb2d5IDogUlRQPC9hYmJyLTE+PC9hbHQtcGVy
aW9kaWNhbD48cGFnZXM+MjI2LTIzODwvcGFnZXM+PHZvbHVtZT45Mjwvdm9sdW1lPjxlZGl0aW9u
PjIwMTcvMTIvMTk8L2VkaXRpb24+PGtleXdvcmRzPjxrZXl3b3JkPkFkdmVyc2UgZXZlbnRzPC9r
ZXl3b3JkPjxrZXl3b3JkPkJpb21hcmtlcnMgb2YgZXhwb3N1cmU8L2tleXdvcmQ+PGtleXdvcmQ+
Q2xpbmljYWwgc3R1ZHk8L2tleXdvcmQ+PGtleXdvcmQ+RWxlY3Ryb25pYyBjaWdhcmV0dGU8L2tl
eXdvcmQ+PGtleXdvcmQ+RWxlY3Ryb25pYyB2YXBvdXIgcHJvZHVjdDwva2V5d29yZD48a2V5d29y
ZD5TYWZldHk8L2tleXdvcmQ+PGtleXdvcmQ+U3ViamVjdGl2ZSBlZmZlY3RzPC9rZXl3b3JkPjwv
a2V5d29yZHM+PGRhdGVzPjx5ZWFyPjIwMTg8L3llYXI+PHB1Yi1kYXRlcz48ZGF0ZT5GZWI8L2Rh
dGU+PC9wdWItZGF0ZXM+PC9kYXRlcz48aXNibj4wMjczLTIzMDA8L2lzYm4+PGFjY2Vzc2lvbi1u
dW0+MjkyNDg0ODc8L2FjY2Vzc2lvbi1udW0+PHVybHM+PC91cmxzPjxlbGVjdHJvbmljLXJlc291
cmNlLW51bT4xMC4xMDE2L2oueXJ0cGguMjAxNy4xMi4wMTA8L2VsZWN0cm9uaWMtcmVzb3VyY2Ut
bnVtPjxyZW1vdGUtZGF0YWJhc2UtcHJvdmlkZXI+TkxNPC9yZW1vdGUtZGF0YWJhc2UtcHJvdmlk
ZXI+PGxhbmd1YWdlPmVuZzwvbGFuZ3VhZ2U+PC9yZWNvcmQ+PC9DaXRlPjwvRW5kTm90ZT4A
</w:fldData>
        </w:fldChar>
      </w:r>
      <w:r w:rsidRPr="00430400">
        <w:rPr>
          <w:sz w:val="24"/>
        </w:rPr>
        <w:instrText xml:space="preserve"> ADDIN EN.CITE </w:instrText>
      </w:r>
      <w:r w:rsidRPr="00430400">
        <w:rPr>
          <w:sz w:val="24"/>
        </w:rPr>
        <w:fldChar w:fldCharType="begin">
          <w:fldData xml:space="preserve">PEVuZE5vdGU+PENpdGU+PEF1dGhvcj5XYWxlbGU8L0F1dGhvcj48WWVhcj4yMDE4PC9ZZWFyPjxS
ZWNOdW0+MTg2PC9SZWNOdW0+PERpc3BsYXlUZXh0PihXYWxlbGUsIEJ1c2ggZXQgYWwuIDIwMTgp
PC9EaXNwbGF5VGV4dD48cmVjb3JkPjxyZWMtbnVtYmVyPjE4NjwvcmVjLW51bWJlcj48Zm9yZWln
bi1rZXlzPjxrZXkgYXBwPSJFTiIgZGItaWQ9IjV4djV3NXQyYmR4dHhmZXp4MDJ4dHhkZnQ1cno1
cHR2dnQyOSIgdGltZXN0YW1wPSIxNTIwNTY4NDIwIj4xODY8L2tleT48a2V5IGFwcD0iRU5XZWIi
IGRiLWlkPSIiPjA8L2tleT48L2ZvcmVpZ24ta2V5cz48cmVmLXR5cGUgbmFtZT0iSm91cm5hbCBB
cnRpY2xlIj4xNzwvcmVmLXR5cGU+PGNvbnRyaWJ1dG9ycz48YXV0aG9ycz48YXV0aG9yPldhbGVs
ZSwgVC48L2F1dGhvcj48YXV0aG9yPkJ1c2gsIEouPC9hdXRob3I+PGF1dGhvcj5Lb2NoLCBBLjwv
YXV0aG9yPjxhdXRob3I+U2F2aW96LCBSLjwvYXV0aG9yPjxhdXRob3I+TWFydGluLCBDLjwvYXV0
aG9yPjxhdXRob3I+TyZhcG9zO0Nvbm5lbGwsIEcuPC9hdXRob3I+PC9hdXRob3JzPjwvY29udHJp
YnV0b3JzPjxhdXRoLWFkZHJlc3M+Rm9udGVtIFZlbnR1cmVzLCBCYXJiYXJhIFN0cm96emlsYWFu
IDEwMSwgMTA4MyBITiBBbXN0ZXJkYW0sIFRoZSBOZXRoZXJsYW5kcy4gRWxlY3Ryb25pYyBhZGRy
ZXNzOiB0YW52aXIud2FsZWxlQGZvbnRlbXZlbnR1cmVzLmNvbS4mI3hEO0NvdmFuY2UgQ2xpbmlj
YWwgUmVzZWFyY2ggVW5pdCwgSHlkZSBTdHJlZXQsIExlZWRzLCBMUzIgOUxILCBVSy4mI3hEO1Np
bWJlYyBSZXNlYXJjaCwgTWVydGh5ciBUeWRmaWwsIENGNDggNERSLCBVSy4mI3hEO0NsaW5vcHNp
cyBTLkEuLCBKYXJkaW5zIDYsIDE0MjYgQ29uY2lzZSwgU3dpdHplcmxhbmQuJiN4RDtGb250ZW0g
VmVudHVyZXMsIEJhcmJhcmEgU3Ryb3p6aWxhYW4gMTAxLCAxMDgzIEhOIEFtc3RlcmRhbSwgVGhl
IE5ldGhlcmxhbmRzLjwvYXV0aC1hZGRyZXNzPjx0aXRsZXM+PHRpdGxlPkV2YWx1YXRpb24gb2Yg
dGhlIHNhZmV0eSBwcm9maWxlIG9mIGFuIGVsZWN0cm9uaWMgdmFwb3VyIHByb2R1Y3QgdXNlZCBm
b3IgdHdvIHllYXJzIGJ5IHNtb2tlcnMgaW4gYSByZWFsLWxpZmUgc2V0dGluZzwvdGl0bGU+PHNl
Y29uZGFyeS10aXRsZT5SZWd1bCBUb3hpY29sIFBoYXJtYWNvbDwvc2Vjb25kYXJ5LXRpdGxlPjxh
bHQtdGl0bGU+UmVndWxhdG9yeSB0b3hpY29sb2d5IGFuZCBwaGFybWFjb2xvZ3kgOiBSVFA8L2Fs
dC10aXRsZT48L3RpdGxlcz48cGVyaW9kaWNhbD48ZnVsbC10aXRsZT5SZWd1bCBUb3hpY29sIFBo
YXJtYWNvbDwvZnVsbC10aXRsZT48YWJici0xPlJlZ3VsYXRvcnkgdG94aWNvbG9neSBhbmQgcGhh
cm1hY29sb2d5IDogUlRQPC9hYmJyLTE+PC9wZXJpb2RpY2FsPjxhbHQtcGVyaW9kaWNhbD48ZnVs
bC10aXRsZT5SZWd1bCBUb3hpY29sIFBoYXJtYWNvbDwvZnVsbC10aXRsZT48YWJici0xPlJlZ3Vs
YXRvcnkgdG94aWNvbG9neSBhbmQgcGhhcm1hY29sb2d5IDogUlRQPC9hYmJyLTE+PC9hbHQtcGVy
aW9kaWNhbD48cGFnZXM+MjI2LTIzODwvcGFnZXM+PHZvbHVtZT45Mjwvdm9sdW1lPjxlZGl0aW9u
PjIwMTcvMTIvMTk8L2VkaXRpb24+PGtleXdvcmRzPjxrZXl3b3JkPkFkdmVyc2UgZXZlbnRzPC9r
ZXl3b3JkPjxrZXl3b3JkPkJpb21hcmtlcnMgb2YgZXhwb3N1cmU8L2tleXdvcmQ+PGtleXdvcmQ+
Q2xpbmljYWwgc3R1ZHk8L2tleXdvcmQ+PGtleXdvcmQ+RWxlY3Ryb25pYyBjaWdhcmV0dGU8L2tl
eXdvcmQ+PGtleXdvcmQ+RWxlY3Ryb25pYyB2YXBvdXIgcHJvZHVjdDwva2V5d29yZD48a2V5d29y
ZD5TYWZldHk8L2tleXdvcmQ+PGtleXdvcmQ+U3ViamVjdGl2ZSBlZmZlY3RzPC9rZXl3b3JkPjwv
a2V5d29yZHM+PGRhdGVzPjx5ZWFyPjIwMTg8L3llYXI+PHB1Yi1kYXRlcz48ZGF0ZT5GZWI8L2Rh
dGU+PC9wdWItZGF0ZXM+PC9kYXRlcz48aXNibj4wMjczLTIzMDA8L2lzYm4+PGFjY2Vzc2lvbi1u
dW0+MjkyNDg0ODc8L2FjY2Vzc2lvbi1udW0+PHVybHM+PC91cmxzPjxlbGVjdHJvbmljLXJlc291
cmNlLW51bT4xMC4xMDE2L2oueXJ0cGguMjAxNy4xMi4wMTA8L2VsZWN0cm9uaWMtcmVzb3VyY2Ut
bnVtPjxyZW1vdGUtZGF0YWJhc2UtcHJvdmlkZXI+TkxNPC9yZW1vdGUtZGF0YWJhc2UtcHJvdmlk
ZXI+PGxhbmd1YWdlPmVuZzwvbGFuZ3VhZ2U+PC9yZWNvcmQ+PC9DaXRlPjwvRW5kTm90ZT4A
</w:fldData>
        </w:fldChar>
      </w:r>
      <w:r w:rsidRPr="00430400">
        <w:rPr>
          <w:sz w:val="24"/>
        </w:rPr>
        <w:instrText xml:space="preserve"> ADDIN EN.CITE.DATA </w:instrText>
      </w:r>
      <w:r w:rsidRPr="00430400">
        <w:rPr>
          <w:sz w:val="24"/>
        </w:rPr>
      </w:r>
      <w:r w:rsidRPr="00430400">
        <w:rPr>
          <w:sz w:val="24"/>
        </w:rPr>
        <w:fldChar w:fldCharType="end"/>
      </w:r>
      <w:r w:rsidRPr="00430400">
        <w:rPr>
          <w:sz w:val="24"/>
        </w:rPr>
      </w:r>
      <w:r w:rsidRPr="00430400">
        <w:rPr>
          <w:sz w:val="24"/>
        </w:rPr>
        <w:fldChar w:fldCharType="separate"/>
      </w:r>
      <w:r w:rsidRPr="00430400">
        <w:rPr>
          <w:noProof/>
          <w:sz w:val="24"/>
        </w:rPr>
        <w:t>(Walele, Bush et al. 2018)</w:t>
      </w:r>
      <w:r w:rsidRPr="00430400">
        <w:rPr>
          <w:sz w:val="24"/>
        </w:rPr>
        <w:fldChar w:fldCharType="end"/>
      </w:r>
      <w:r w:rsidRPr="00430400">
        <w:rPr>
          <w:sz w:val="24"/>
        </w:rPr>
        <w:t xml:space="preserve"> two year industry</w:t>
      </w:r>
      <w:r w:rsidRPr="00430400">
        <w:rPr>
          <w:sz w:val="24"/>
        </w:rPr>
        <w:noBreakHyphen/>
        <w:t>funded UK study in which an electronic vapour product (EVP) was tested by former smokers for two years in a real life setting (n=206), the following compounds were measured in 24 hr urine collections: 3</w:t>
      </w:r>
      <w:r w:rsidRPr="00430400">
        <w:rPr>
          <w:sz w:val="24"/>
        </w:rPr>
        <w:noBreakHyphen/>
        <w:t>hydroxpypropyl mercapturic acid (3</w:t>
      </w:r>
      <w:r w:rsidRPr="00430400">
        <w:rPr>
          <w:sz w:val="24"/>
        </w:rPr>
        <w:noBreakHyphen/>
        <w:t>HPMA; a biological marker of exposure to acrolein), S</w:t>
      </w:r>
      <w:r w:rsidRPr="00430400">
        <w:rPr>
          <w:sz w:val="24"/>
        </w:rPr>
        <w:noBreakHyphen/>
        <w:t>phenylmercapturic acid (S</w:t>
      </w:r>
      <w:r w:rsidRPr="00430400">
        <w:rPr>
          <w:sz w:val="24"/>
        </w:rPr>
        <w:noBreakHyphen/>
        <w:t>PMA; a biological marker of exposure</w:t>
      </w:r>
      <w:r w:rsidRPr="00430400" w:rsidDel="007934F7">
        <w:rPr>
          <w:sz w:val="24"/>
        </w:rPr>
        <w:t xml:space="preserve"> </w:t>
      </w:r>
      <w:r w:rsidRPr="00430400">
        <w:rPr>
          <w:sz w:val="24"/>
        </w:rPr>
        <w:t>to benzene), total 4</w:t>
      </w:r>
      <w:r w:rsidRPr="00430400">
        <w:rPr>
          <w:sz w:val="24"/>
        </w:rPr>
        <w:noBreakHyphen/>
        <w:t>(methylnitrosamino)</w:t>
      </w:r>
      <w:r w:rsidRPr="00430400">
        <w:rPr>
          <w:sz w:val="24"/>
        </w:rPr>
        <w:noBreakHyphen/>
        <w:t>1</w:t>
      </w:r>
      <w:r w:rsidRPr="00430400">
        <w:rPr>
          <w:sz w:val="24"/>
        </w:rPr>
        <w:noBreakHyphen/>
        <w:t>(3</w:t>
      </w:r>
      <w:r w:rsidRPr="00430400">
        <w:rPr>
          <w:sz w:val="24"/>
        </w:rPr>
        <w:noBreakHyphen/>
        <w:t>pyridyl)</w:t>
      </w:r>
      <w:r w:rsidRPr="00430400">
        <w:rPr>
          <w:sz w:val="24"/>
        </w:rPr>
        <w:noBreakHyphen/>
        <w:t>1</w:t>
      </w:r>
      <w:r w:rsidRPr="00430400">
        <w:rPr>
          <w:sz w:val="24"/>
        </w:rPr>
        <w:noBreakHyphen/>
        <w:t>butanol (NNAL, a biological marker of exposure</w:t>
      </w:r>
      <w:r w:rsidRPr="00430400" w:rsidDel="007934F7">
        <w:rPr>
          <w:sz w:val="24"/>
        </w:rPr>
        <w:t xml:space="preserve"> </w:t>
      </w:r>
      <w:r w:rsidRPr="00430400">
        <w:rPr>
          <w:sz w:val="24"/>
        </w:rPr>
        <w:t>to 4</w:t>
      </w:r>
      <w:r w:rsidRPr="00430400">
        <w:rPr>
          <w:sz w:val="24"/>
        </w:rPr>
        <w:noBreakHyphen/>
        <w:t>[methylnitrosamino]</w:t>
      </w:r>
      <w:r w:rsidRPr="00430400">
        <w:rPr>
          <w:sz w:val="24"/>
        </w:rPr>
        <w:noBreakHyphen/>
        <w:t>1</w:t>
      </w:r>
      <w:r w:rsidRPr="00430400">
        <w:rPr>
          <w:sz w:val="24"/>
        </w:rPr>
        <w:noBreakHyphen/>
        <w:t>[3</w:t>
      </w:r>
      <w:r w:rsidRPr="00430400">
        <w:rPr>
          <w:sz w:val="24"/>
        </w:rPr>
        <w:noBreakHyphen/>
        <w:t>pyridyl]</w:t>
      </w:r>
      <w:r w:rsidRPr="00430400">
        <w:rPr>
          <w:sz w:val="24"/>
        </w:rPr>
        <w:noBreakHyphen/>
        <w:t>1</w:t>
      </w:r>
      <w:r w:rsidRPr="00430400">
        <w:rPr>
          <w:sz w:val="24"/>
        </w:rPr>
        <w:noBreakHyphen/>
        <w:t xml:space="preserve">butanone [NNK]) and Propylene Glycol (PG). Over the </w:t>
      </w:r>
      <w:r w:rsidRPr="00430400">
        <w:rPr>
          <w:sz w:val="24"/>
        </w:rPr>
        <w:lastRenderedPageBreak/>
        <w:t xml:space="preserve">course of </w:t>
      </w:r>
      <w:r w:rsidR="005D1576">
        <w:rPr>
          <w:sz w:val="24"/>
        </w:rPr>
        <w:t>two</w:t>
      </w:r>
      <w:r w:rsidRPr="00430400">
        <w:rPr>
          <w:sz w:val="24"/>
        </w:rPr>
        <w:t xml:space="preserve"> years, where most subjects continued to also smoke conventional cigarettes, the urinary level of PG increased, with the other biological markers remaining steady (haven fallen over the </w:t>
      </w:r>
      <w:r w:rsidR="005D1576">
        <w:rPr>
          <w:sz w:val="24"/>
        </w:rPr>
        <w:t>first</w:t>
      </w:r>
      <w:r w:rsidR="005D1576" w:rsidRPr="00430400">
        <w:rPr>
          <w:sz w:val="24"/>
        </w:rPr>
        <w:t xml:space="preserve"> </w:t>
      </w:r>
      <w:r w:rsidRPr="00430400">
        <w:rPr>
          <w:sz w:val="24"/>
        </w:rPr>
        <w:t>month for subjects smoking only conventional cigarettes immediately prior to the initiation of the study).</w:t>
      </w:r>
    </w:p>
    <w:p w14:paraId="48B4EC9D" w14:textId="77777777" w:rsidR="00430400" w:rsidRPr="00430400" w:rsidRDefault="00430400" w:rsidP="00430400">
      <w:pPr>
        <w:spacing w:before="120" w:line="264" w:lineRule="auto"/>
        <w:rPr>
          <w:sz w:val="24"/>
        </w:rPr>
      </w:pPr>
      <w:r w:rsidRPr="00430400">
        <w:rPr>
          <w:sz w:val="24"/>
        </w:rPr>
        <w:t>A US cross</w:t>
      </w:r>
      <w:r w:rsidRPr="00430400">
        <w:rPr>
          <w:sz w:val="24"/>
        </w:rPr>
        <w:noBreakHyphen/>
        <w:t xml:space="preserve">sectional study </w:t>
      </w:r>
      <w:r w:rsidRPr="00430400">
        <w:rPr>
          <w:sz w:val="24"/>
        </w:rPr>
        <w:fldChar w:fldCharType="begin">
          <w:fldData xml:space="preserve">PEVuZE5vdGU+PENpdGU+PEF1dGhvcj5BaGVycmVyYTwvQXV0aG9yPjxZZWFyPjIwMTc8L1llYXI+
PFJlY051bT45NTY8L1JlY051bT48RGlzcGxheVRleHQ+KEFoZXJyZXJhLCBPbG1lZG8gZXQgYWwu
IDIwMTcpPC9EaXNwbGF5VGV4dD48cmVjb3JkPjxyZWMtbnVtYmVyPjk1NjwvcmVjLW51bWJlcj48
Zm9yZWlnbi1rZXlzPjxrZXkgYXBwPSJFTiIgZGItaWQ9InZ6eGRwZndkdXhmZWQyZXQ5cGF2eDk5
anpzc3hlYXB3dDVwNSIgdGltZXN0YW1wPSIxNTIxMDk5MzM0Ij45NTY8L2tleT48a2V5IGFwcD0i
RU5XZWIiIGRiLWlkPSIiPjA8L2tleT48L2ZvcmVpZ24ta2V5cz48cmVmLXR5cGUgbmFtZT0iSm91
cm5hbCBBcnRpY2xlIj4xNzwvcmVmLXR5cGU+PGNvbnRyaWJ1dG9ycz48YXV0aG9ycz48YXV0aG9y
PkFoZXJyZXJhLCBBLjwvYXV0aG9yPjxhdXRob3I+T2xtZWRvLCBQLjwvYXV0aG9yPjxhdXRob3I+
R3JhdS1QZXJleiwgTS48L2F1dGhvcj48YXV0aG9yPlRhbmRhLCBTLjwvYXV0aG9yPjxhdXRob3I+
R29lc3NsZXIsIFcuPC9hdXRob3I+PGF1dGhvcj5KYXJtdWwsIFMuPC9hdXRob3I+PGF1dGhvcj5D
aGVuLCBSLjwvYXV0aG9yPjxhdXRob3I+Q29oZW4sIEouIEUuPC9hdXRob3I+PGF1dGhvcj5SdWxl
LCBBLiBNLjwvYXV0aG9yPjxhdXRob3I+TmF2YXMtQWNpZW4sIEEuPC9hdXRob3I+PC9hdXRob3Jz
PjwvY29udHJpYnV0b3JzPjxhdXRoLWFkZHJlc3M+Sm9obnMgSG9wa2lucyBCbG9vbWJlcmcgU2No
b29sIG9mIFB1YmxpYyBIZWFsdGgsIERlcGFydG1lbnQgb2YgRW52aXJvbm1lbnRhbCBIZWFsdGgg
YW5kIEVuZ2luZWVyaW5nLCBKb2hucyBIb3BraW5zIFVuaXZlcnNpdHksIEJhbHRpbW9yZSwgTUQs
IFVTQS4gRWxlY3Ryb25pYyBhZGRyZXNzOiBhYWhlcnJlMkBqaHUuZWR1LiYjeEQ7Sm9obnMgSG9w
a2lucyBCbG9vbWJlcmcgU2Nob29sIG9mIFB1YmxpYyBIZWFsdGgsIERlcGFydG1lbnQgb2YgRW52
aXJvbm1lbnRhbCBIZWFsdGggYW5kIEVuZ2luZWVyaW5nLCBKb2hucyBIb3BraW5zIFVuaXZlcnNp
dHksIEJhbHRpbW9yZSwgTUQsIFVTQTsgQ29sdW1iaWEgVW5pdmVyc2l0eSBNYWlsbWFuIFNjaG9v
bCBvZiBQdWJsaWMgSGVhbHRoLCBEZXBhcnRtZW50IG9mIEVudmlyb25tZW50YWwgSGVhbHRoIFNj
aWVuY2VzLCBDb2x1bWJpYSBVbml2ZXJzaXR5LCBOZXcgWW9yaywgTlksIFVTQS4mI3hEO0luc3Rp
dHV0ZSBvZiBDaGVtaXN0cnkgQW5hbHl0aWNhbCBDaGVtaXN0cnksIFVuaXZlcnNpdHkgb2YgR3Jh
eiwgQXVzdHJpYS4mI3hEO0pvaG5zIEhvcGtpbnMgQmxvb21iZXJnIFNjaG9vbCBvZiBQdWJsaWMg
SGVhbHRoLCBEZXBhcnRtZW50IG9mIEVudmlyb25tZW50YWwgSGVhbHRoIGFuZCBFbmdpbmVlcmlu
ZywgSm9obnMgSG9wa2lucyBVbml2ZXJzaXR5LCBCYWx0aW1vcmUsIE1ELCBVU0EuJiN4RDtJbnN0
aXR1dGUgZm9yIEdsb2JhbCBUb2JhY2NvIENvbnRyb2wsIEpvaG5zIEhvcGtpbnMgVW5pdmVyc2l0
eSwgQmFsdGltb3JlLCBNRCwgVVNBOyBKb2hucyBIb3BraW5zIEJsb29tYmVyZyBTY2hvb2wgb2Yg
UHVibGljIEhlYWx0aCwgRGVwYXJ0bWVudCBvZiBIZWFsdGgsIEJlaGF2aW9yLCBhbmQgU29jaWV0
eSwgSm9obnMgSG9wa2lucyBVbml2ZXJzaXR5LCBCYWx0aW1vcmUsIE1ELCBVU0EuJiN4RDtKb2hu
cyBIb3BraW5zIEJsb29tYmVyZyBTY2hvb2wgb2YgUHVibGljIEhlYWx0aCwgRGVwYXJ0bWVudCBv
ZiBFbnZpcm9ubWVudGFsIEhlYWx0aCBhbmQgRW5naW5lZXJpbmcsIEpvaG5zIEhvcGtpbnMgVW5p
dmVyc2l0eSwgQmFsdGltb3JlLCBNRCwgVVNBOyBDb2x1bWJpYSBVbml2ZXJzaXR5IE1haWxtYW4g
U2Nob29sIG9mIFB1YmxpYyBIZWFsdGgsIERlcGFydG1lbnQgb2YgRW52aXJvbm1lbnRhbCBIZWFs
dGggU2NpZW5jZXMsIENvbHVtYmlhIFVuaXZlcnNpdHksIE5ldyBZb3JrLCBOWSwgVVNBOyBKb2hu
cyBIb3BraW5zIEJsb29tYmVyZyBTY2hvb2wgb2YgUHVibGljIEhlYWx0aCwgRGVwYXJ0bWVudCBv
ZiBFcGlkZW1pb2xvZ3ksIEpvaG5zIEhvcGtpbnMgVW5pdmVyc2l0eSwgQmFsdGltb3JlLCBNRCwg
VVNBLjwvYXV0aC1hZGRyZXNzPjx0aXRsZXM+PHRpdGxlPlRoZSBhc3NvY2lhdGlvbiBvZiBlLWNp
Z2FyZXR0ZSB1c2Ugd2l0aCBleHBvc3VyZSB0byBuaWNrZWwgYW5kIGNocm9taXVtOiBBIHByZWxp
bWluYXJ5IHN0dWR5IG9mIG5vbi1pbnZhc2l2ZSBiaW9tYXJrZXJzPC90aXRsZT48c2Vjb25kYXJ5
LXRpdGxlPkVudmlyb24gUmVzPC9zZWNvbmRhcnktdGl0bGU+PGFsdC10aXRsZT5FbnZpcm9ubWVu
dGFsIHJlc2VhcmNoPC9hbHQtdGl0bGU+PC90aXRsZXM+PHBlcmlvZGljYWw+PGZ1bGwtdGl0bGU+
RW52aXJvbiBSZXM8L2Z1bGwtdGl0bGU+PGFiYnItMT5FbnZpcm9ubWVudGFsIHJlc2VhcmNoPC9h
YmJyLTE+PC9wZXJpb2RpY2FsPjxhbHQtcGVyaW9kaWNhbD48ZnVsbC10aXRsZT5FbnZpcm9uIFJl
czwvZnVsbC10aXRsZT48YWJici0xPkVudmlyb25tZW50YWwgcmVzZWFyY2g8L2FiYnItMT48L2Fs
dC1wZXJpb2RpY2FsPjxwYWdlcz4zMTMtMzIwPC9wYWdlcz48dm9sdW1lPjE1OTwvdm9sdW1lPjxl
ZGl0aW9uPjIwMTcvMDgvMjU8L2VkaXRpb24+PGtleXdvcmRzPjxrZXl3b3JkPkFkdWx0PC9rZXl3
b3JkPjxrZXl3b3JkPkFpciBQb2xsdXRhbnRzLyptZXRhYm9saXNtL3VyaW5lPC9rZXl3b3JkPjxr
ZXl3b3JkPkJhbHRpbW9yZTwva2V5d29yZD48a2V5d29yZD5CaW9tYXJrZXJzL21ldGFib2xpc20v
dXJpbmU8L2tleXdvcmQ+PGtleXdvcmQ+QnJlYXRoIFRlc3RzPC9rZXl3b3JkPjxrZXl3b3JkPkNo
cm9taXVtLyptZXRhYm9saXNtL3VyaW5lPC9rZXl3b3JkPjxrZXl3b3JkPkVsZWN0cm9uaWMgTmlj
b3RpbmUgRGVsaXZlcnkgU3lzdGVtcy8qc3RhdGlzdGljcyAmYW1wOyBudW1lcmljYWwgZGF0YTwv
a2V5d29yZD48a2V5d29yZD5FbnZpcm9ubWVudGFsIEV4cG9zdXJlPC9rZXl3b3JkPjxrZXl3b3Jk
PkVudmlyb25tZW50YWwgTW9uaXRvcmluZzwva2V5d29yZD48a2V5d29yZD5GZW1hbGU8L2tleXdv
cmQ+PGtleXdvcmQ+SHVtYW5zPC9rZXl3b3JkPjxrZXl3b3JkPk1hbGU8L2tleXdvcmQ+PGtleXdv
cmQ+TWlkZGxlIEFnZWQ8L2tleXdvcmQ+PGtleXdvcmQ+Tmlja2VsLyptZXRhYm9saXNtL3VyaW5l
PC9rZXl3b3JkPjxrZXl3b3JkPlNhbGl2YS9jaGVtaXN0cnk8L2tleXdvcmQ+PGtleXdvcmQ+WW91
bmcgQWR1bHQ8L2tleXdvcmQ+PC9rZXl3b3Jkcz48ZGF0ZXM+PHllYXI+MjAxNzwveWVhcj48cHVi
LWRhdGVzPjxkYXRlPk5vdjwvZGF0ZT48L3B1Yi1kYXRlcz48L2RhdGVzPjxpc2JuPjAwMTMtOTM1
MTwvaXNibj48YWNjZXNzaW9uLW51bT4yODgzNzkwMzwvYWNjZXNzaW9uLW51bT48dXJscz48L3Vy
bHM+PGVsZWN0cm9uaWMtcmVzb3VyY2UtbnVtPjEwLjEwMTYvai5lbnZyZXMuMjAxNy4wOC4wMTQ8
L2VsZWN0cm9uaWMtcmVzb3VyY2UtbnVtPjxyZW1vdGUtZGF0YWJhc2UtcHJvdmlkZXI+TkxNPC9y
ZW1vdGUtZGF0YWJhc2UtcHJvdmlkZXI+PGxhbmd1YWdlPmVuZzwvbGFuZ3VhZ2U+PC9yZWNvcmQ+
PC9DaXRlPjwvRW5kTm90ZT4A
</w:fldData>
        </w:fldChar>
      </w:r>
      <w:r w:rsidRPr="00430400">
        <w:rPr>
          <w:sz w:val="24"/>
        </w:rPr>
        <w:instrText xml:space="preserve"> ADDIN EN.CITE </w:instrText>
      </w:r>
      <w:r w:rsidRPr="00430400">
        <w:rPr>
          <w:sz w:val="24"/>
        </w:rPr>
        <w:fldChar w:fldCharType="begin">
          <w:fldData xml:space="preserve">PEVuZE5vdGU+PENpdGU+PEF1dGhvcj5BaGVycmVyYTwvQXV0aG9yPjxZZWFyPjIwMTc8L1llYXI+
PFJlY051bT45NTY8L1JlY051bT48RGlzcGxheVRleHQ+KEFoZXJyZXJhLCBPbG1lZG8gZXQgYWwu
IDIwMTcpPC9EaXNwbGF5VGV4dD48cmVjb3JkPjxyZWMtbnVtYmVyPjk1NjwvcmVjLW51bWJlcj48
Zm9yZWlnbi1rZXlzPjxrZXkgYXBwPSJFTiIgZGItaWQ9InZ6eGRwZndkdXhmZWQyZXQ5cGF2eDk5
anpzc3hlYXB3dDVwNSIgdGltZXN0YW1wPSIxNTIxMDk5MzM0Ij45NTY8L2tleT48a2V5IGFwcD0i
RU5XZWIiIGRiLWlkPSIiPjA8L2tleT48L2ZvcmVpZ24ta2V5cz48cmVmLXR5cGUgbmFtZT0iSm91
cm5hbCBBcnRpY2xlIj4xNzwvcmVmLXR5cGU+PGNvbnRyaWJ1dG9ycz48YXV0aG9ycz48YXV0aG9y
PkFoZXJyZXJhLCBBLjwvYXV0aG9yPjxhdXRob3I+T2xtZWRvLCBQLjwvYXV0aG9yPjxhdXRob3I+
R3JhdS1QZXJleiwgTS48L2F1dGhvcj48YXV0aG9yPlRhbmRhLCBTLjwvYXV0aG9yPjxhdXRob3I+
R29lc3NsZXIsIFcuPC9hdXRob3I+PGF1dGhvcj5KYXJtdWwsIFMuPC9hdXRob3I+PGF1dGhvcj5D
aGVuLCBSLjwvYXV0aG9yPjxhdXRob3I+Q29oZW4sIEouIEUuPC9hdXRob3I+PGF1dGhvcj5SdWxl
LCBBLiBNLjwvYXV0aG9yPjxhdXRob3I+TmF2YXMtQWNpZW4sIEEuPC9hdXRob3I+PC9hdXRob3Jz
PjwvY29udHJpYnV0b3JzPjxhdXRoLWFkZHJlc3M+Sm9obnMgSG9wa2lucyBCbG9vbWJlcmcgU2No
b29sIG9mIFB1YmxpYyBIZWFsdGgsIERlcGFydG1lbnQgb2YgRW52aXJvbm1lbnRhbCBIZWFsdGgg
YW5kIEVuZ2luZWVyaW5nLCBKb2hucyBIb3BraW5zIFVuaXZlcnNpdHksIEJhbHRpbW9yZSwgTUQs
IFVTQS4gRWxlY3Ryb25pYyBhZGRyZXNzOiBhYWhlcnJlMkBqaHUuZWR1LiYjeEQ7Sm9obnMgSG9w
a2lucyBCbG9vbWJlcmcgU2Nob29sIG9mIFB1YmxpYyBIZWFsdGgsIERlcGFydG1lbnQgb2YgRW52
aXJvbm1lbnRhbCBIZWFsdGggYW5kIEVuZ2luZWVyaW5nLCBKb2hucyBIb3BraW5zIFVuaXZlcnNp
dHksIEJhbHRpbW9yZSwgTUQsIFVTQTsgQ29sdW1iaWEgVW5pdmVyc2l0eSBNYWlsbWFuIFNjaG9v
bCBvZiBQdWJsaWMgSGVhbHRoLCBEZXBhcnRtZW50IG9mIEVudmlyb25tZW50YWwgSGVhbHRoIFNj
aWVuY2VzLCBDb2x1bWJpYSBVbml2ZXJzaXR5LCBOZXcgWW9yaywgTlksIFVTQS4mI3hEO0luc3Rp
dHV0ZSBvZiBDaGVtaXN0cnkgQW5hbHl0aWNhbCBDaGVtaXN0cnksIFVuaXZlcnNpdHkgb2YgR3Jh
eiwgQXVzdHJpYS4mI3hEO0pvaG5zIEhvcGtpbnMgQmxvb21iZXJnIFNjaG9vbCBvZiBQdWJsaWMg
SGVhbHRoLCBEZXBhcnRtZW50IG9mIEVudmlyb25tZW50YWwgSGVhbHRoIGFuZCBFbmdpbmVlcmlu
ZywgSm9obnMgSG9wa2lucyBVbml2ZXJzaXR5LCBCYWx0aW1vcmUsIE1ELCBVU0EuJiN4RDtJbnN0
aXR1dGUgZm9yIEdsb2JhbCBUb2JhY2NvIENvbnRyb2wsIEpvaG5zIEhvcGtpbnMgVW5pdmVyc2l0
eSwgQmFsdGltb3JlLCBNRCwgVVNBOyBKb2hucyBIb3BraW5zIEJsb29tYmVyZyBTY2hvb2wgb2Yg
UHVibGljIEhlYWx0aCwgRGVwYXJ0bWVudCBvZiBIZWFsdGgsIEJlaGF2aW9yLCBhbmQgU29jaWV0
eSwgSm9obnMgSG9wa2lucyBVbml2ZXJzaXR5LCBCYWx0aW1vcmUsIE1ELCBVU0EuJiN4RDtKb2hu
cyBIb3BraW5zIEJsb29tYmVyZyBTY2hvb2wgb2YgUHVibGljIEhlYWx0aCwgRGVwYXJ0bWVudCBv
ZiBFbnZpcm9ubWVudGFsIEhlYWx0aCBhbmQgRW5naW5lZXJpbmcsIEpvaG5zIEhvcGtpbnMgVW5p
dmVyc2l0eSwgQmFsdGltb3JlLCBNRCwgVVNBOyBDb2x1bWJpYSBVbml2ZXJzaXR5IE1haWxtYW4g
U2Nob29sIG9mIFB1YmxpYyBIZWFsdGgsIERlcGFydG1lbnQgb2YgRW52aXJvbm1lbnRhbCBIZWFs
dGggU2NpZW5jZXMsIENvbHVtYmlhIFVuaXZlcnNpdHksIE5ldyBZb3JrLCBOWSwgVVNBOyBKb2hu
cyBIb3BraW5zIEJsb29tYmVyZyBTY2hvb2wgb2YgUHVibGljIEhlYWx0aCwgRGVwYXJ0bWVudCBv
ZiBFcGlkZW1pb2xvZ3ksIEpvaG5zIEhvcGtpbnMgVW5pdmVyc2l0eSwgQmFsdGltb3JlLCBNRCwg
VVNBLjwvYXV0aC1hZGRyZXNzPjx0aXRsZXM+PHRpdGxlPlRoZSBhc3NvY2lhdGlvbiBvZiBlLWNp
Z2FyZXR0ZSB1c2Ugd2l0aCBleHBvc3VyZSB0byBuaWNrZWwgYW5kIGNocm9taXVtOiBBIHByZWxp
bWluYXJ5IHN0dWR5IG9mIG5vbi1pbnZhc2l2ZSBiaW9tYXJrZXJzPC90aXRsZT48c2Vjb25kYXJ5
LXRpdGxlPkVudmlyb24gUmVzPC9zZWNvbmRhcnktdGl0bGU+PGFsdC10aXRsZT5FbnZpcm9ubWVu
dGFsIHJlc2VhcmNoPC9hbHQtdGl0bGU+PC90aXRsZXM+PHBlcmlvZGljYWw+PGZ1bGwtdGl0bGU+
RW52aXJvbiBSZXM8L2Z1bGwtdGl0bGU+PGFiYnItMT5FbnZpcm9ubWVudGFsIHJlc2VhcmNoPC9h
YmJyLTE+PC9wZXJpb2RpY2FsPjxhbHQtcGVyaW9kaWNhbD48ZnVsbC10aXRsZT5FbnZpcm9uIFJl
czwvZnVsbC10aXRsZT48YWJici0xPkVudmlyb25tZW50YWwgcmVzZWFyY2g8L2FiYnItMT48L2Fs
dC1wZXJpb2RpY2FsPjxwYWdlcz4zMTMtMzIwPC9wYWdlcz48dm9sdW1lPjE1OTwvdm9sdW1lPjxl
ZGl0aW9uPjIwMTcvMDgvMjU8L2VkaXRpb24+PGtleXdvcmRzPjxrZXl3b3JkPkFkdWx0PC9rZXl3
b3JkPjxrZXl3b3JkPkFpciBQb2xsdXRhbnRzLyptZXRhYm9saXNtL3VyaW5lPC9rZXl3b3JkPjxr
ZXl3b3JkPkJhbHRpbW9yZTwva2V5d29yZD48a2V5d29yZD5CaW9tYXJrZXJzL21ldGFib2xpc20v
dXJpbmU8L2tleXdvcmQ+PGtleXdvcmQ+QnJlYXRoIFRlc3RzPC9rZXl3b3JkPjxrZXl3b3JkPkNo
cm9taXVtLyptZXRhYm9saXNtL3VyaW5lPC9rZXl3b3JkPjxrZXl3b3JkPkVsZWN0cm9uaWMgTmlj
b3RpbmUgRGVsaXZlcnkgU3lzdGVtcy8qc3RhdGlzdGljcyAmYW1wOyBudW1lcmljYWwgZGF0YTwv
a2V5d29yZD48a2V5d29yZD5FbnZpcm9ubWVudGFsIEV4cG9zdXJlPC9rZXl3b3JkPjxrZXl3b3Jk
PkVudmlyb25tZW50YWwgTW9uaXRvcmluZzwva2V5d29yZD48a2V5d29yZD5GZW1hbGU8L2tleXdv
cmQ+PGtleXdvcmQ+SHVtYW5zPC9rZXl3b3JkPjxrZXl3b3JkPk1hbGU8L2tleXdvcmQ+PGtleXdv
cmQ+TWlkZGxlIEFnZWQ8L2tleXdvcmQ+PGtleXdvcmQ+Tmlja2VsLyptZXRhYm9saXNtL3VyaW5l
PC9rZXl3b3JkPjxrZXl3b3JkPlNhbGl2YS9jaGVtaXN0cnk8L2tleXdvcmQ+PGtleXdvcmQ+WW91
bmcgQWR1bHQ8L2tleXdvcmQ+PC9rZXl3b3Jkcz48ZGF0ZXM+PHllYXI+MjAxNzwveWVhcj48cHVi
LWRhdGVzPjxkYXRlPk5vdjwvZGF0ZT48L3B1Yi1kYXRlcz48L2RhdGVzPjxpc2JuPjAwMTMtOTM1
MTwvaXNibj48YWNjZXNzaW9uLW51bT4yODgzNzkwMzwvYWNjZXNzaW9uLW51bT48dXJscz48L3Vy
bHM+PGVsZWN0cm9uaWMtcmVzb3VyY2UtbnVtPjEwLjEwMTYvai5lbnZyZXMuMjAxNy4wOC4wMTQ8
L2VsZWN0cm9uaWMtcmVzb3VyY2UtbnVtPjxyZW1vdGUtZGF0YWJhc2UtcHJvdmlkZXI+TkxNPC9y
ZW1vdGUtZGF0YWJhc2UtcHJvdmlkZXI+PGxhbmd1YWdlPmVuZzwvbGFuZ3VhZ2U+PC9yZWNvcmQ+
PC9DaXRlPjwvRW5kTm90ZT4A
</w:fldData>
        </w:fldChar>
      </w:r>
      <w:r w:rsidRPr="00430400">
        <w:rPr>
          <w:sz w:val="24"/>
        </w:rPr>
        <w:instrText xml:space="preserve"> ADDIN EN.CITE.DATA </w:instrText>
      </w:r>
      <w:r w:rsidRPr="00430400">
        <w:rPr>
          <w:sz w:val="24"/>
        </w:rPr>
      </w:r>
      <w:r w:rsidRPr="00430400">
        <w:rPr>
          <w:sz w:val="24"/>
        </w:rPr>
        <w:fldChar w:fldCharType="end"/>
      </w:r>
      <w:r w:rsidRPr="00430400">
        <w:rPr>
          <w:sz w:val="24"/>
        </w:rPr>
      </w:r>
      <w:r w:rsidRPr="00430400">
        <w:rPr>
          <w:sz w:val="24"/>
        </w:rPr>
        <w:fldChar w:fldCharType="separate"/>
      </w:r>
      <w:r w:rsidRPr="00430400">
        <w:rPr>
          <w:noProof/>
          <w:sz w:val="24"/>
        </w:rPr>
        <w:t>(Aherrera, Olmedo et al. 2017)</w:t>
      </w:r>
      <w:r w:rsidRPr="00430400">
        <w:rPr>
          <w:sz w:val="24"/>
        </w:rPr>
        <w:fldChar w:fldCharType="end"/>
      </w:r>
      <w:r w:rsidRPr="00430400">
        <w:rPr>
          <w:sz w:val="24"/>
        </w:rPr>
        <w:t xml:space="preserve"> focused on exposure to metals from e</w:t>
      </w:r>
      <w:r w:rsidRPr="00430400">
        <w:rPr>
          <w:sz w:val="24"/>
        </w:rPr>
        <w:noBreakHyphen/>
        <w:t>cigarette use and aimed to assess whether e</w:t>
      </w:r>
      <w:r w:rsidRPr="00430400">
        <w:rPr>
          <w:sz w:val="24"/>
        </w:rPr>
        <w:noBreakHyphen/>
        <w:t>cigarette use is associated with increased nickel (Ni) and chromium (Cr) exposure as determined by non</w:t>
      </w:r>
      <w:r w:rsidRPr="00430400">
        <w:rPr>
          <w:sz w:val="24"/>
        </w:rPr>
        <w:noBreakHyphen/>
        <w:t>invasive biomarkers (urine, saliva and exhaled breath condensate, EBC). The investigators hypothesized a positive association between Ni and Cr biomarkers with increased e</w:t>
      </w:r>
      <w:r w:rsidRPr="00430400">
        <w:rPr>
          <w:sz w:val="24"/>
        </w:rPr>
        <w:noBreakHyphen/>
        <w:t xml:space="preserve">cigarette use and increased Ni and Cr concentrations in the aerosol and tank samples. </w:t>
      </w:r>
    </w:p>
    <w:p w14:paraId="5FE62AA9" w14:textId="212F8A1C" w:rsidR="00430400" w:rsidRPr="00430400" w:rsidRDefault="00430400" w:rsidP="00430400">
      <w:pPr>
        <w:spacing w:before="120" w:line="264" w:lineRule="auto"/>
        <w:rPr>
          <w:sz w:val="24"/>
        </w:rPr>
      </w:pPr>
      <w:r w:rsidRPr="00430400">
        <w:rPr>
          <w:sz w:val="24"/>
        </w:rPr>
        <w:t xml:space="preserve">For nickel, the US Centre for Disease Control notes health complications in the respiratory tract, immune system and reproductive system following inhalation and/or oral exposure </w:t>
      </w:r>
      <w:r w:rsidRPr="00430400">
        <w:rPr>
          <w:sz w:val="24"/>
        </w:rPr>
        <w:fldChar w:fldCharType="begin"/>
      </w:r>
      <w:r w:rsidRPr="00430400">
        <w:rPr>
          <w:sz w:val="24"/>
        </w:rPr>
        <w:instrText xml:space="preserve"> ADDIN EN.CITE &lt;EndNote&gt;&lt;Cite&gt;&lt;Author&gt;ATSDR&lt;/Author&gt;&lt;Year&gt;2014&lt;/Year&gt;&lt;RecNum&gt;10841&lt;/RecNum&gt;&lt;DisplayText&gt;(ATSDR 2014)&lt;/DisplayText&gt;&lt;record&gt;&lt;rec-number&gt;10841&lt;/rec-number&gt;&lt;foreign-keys&gt;&lt;key app="EN" db-id="9z05dz0praadfuee0zoxzedk9zfe5fxx50z5" timestamp="1528956731"&gt;10841&lt;/key&gt;&lt;/foreign-keys&gt;&lt;ref-type name="Web Page"&gt;12&lt;/ref-type&gt;&lt;contributors&gt;&lt;authors&gt;&lt;author&gt;ATSDR&lt;/author&gt;&lt;/authors&gt;&lt;/contributors&gt;&lt;titles&gt;&lt;title&gt;Nickel&lt;/title&gt;&lt;secondary-title&gt;Toxic Substances Portal&lt;/secondary-title&gt;&lt;/titles&gt;&lt;volume&gt;2018&lt;/volume&gt;&lt;number&gt;14.06&lt;/number&gt;&lt;dates&gt;&lt;year&gt;2014&lt;/year&gt;&lt;/dates&gt;&lt;publisher&gt;CDC&lt;/publisher&gt;&lt;urls&gt;&lt;related-urls&gt;&lt;url&gt;https://www.atsdr.cdc.gov/toxfaqs/tf.asp?id=244&amp;amp;tid=44&lt;/url&gt;&lt;/related-urls&gt;&lt;/urls&gt;&lt;/record&gt;&lt;/Cite&gt;&lt;/EndNote&gt;</w:instrText>
      </w:r>
      <w:r w:rsidRPr="00430400">
        <w:rPr>
          <w:sz w:val="24"/>
        </w:rPr>
        <w:fldChar w:fldCharType="separate"/>
      </w:r>
      <w:r w:rsidRPr="00430400">
        <w:rPr>
          <w:noProof/>
          <w:sz w:val="24"/>
        </w:rPr>
        <w:t>(ATSDR 2014)</w:t>
      </w:r>
      <w:r w:rsidRPr="00430400">
        <w:rPr>
          <w:sz w:val="24"/>
        </w:rPr>
        <w:fldChar w:fldCharType="end"/>
      </w:r>
      <w:r w:rsidRPr="00430400">
        <w:rPr>
          <w:sz w:val="24"/>
        </w:rPr>
        <w:t xml:space="preserve">. Chromium is a recognised carcinogen which when inhaled is a respiratory irritant and can cause pulmonary sensitisation </w:t>
      </w:r>
      <w:r w:rsidRPr="00430400">
        <w:rPr>
          <w:sz w:val="24"/>
        </w:rPr>
        <w:fldChar w:fldCharType="begin"/>
      </w:r>
      <w:r w:rsidRPr="00430400">
        <w:rPr>
          <w:sz w:val="24"/>
        </w:rPr>
        <w:instrText xml:space="preserve"> ADDIN EN.CITE &lt;EndNote&gt;&lt;Cite&gt;&lt;Author&gt;ATSDR&lt;/Author&gt;&lt;Year&gt;2013&lt;/Year&gt;&lt;RecNum&gt;10840&lt;/RecNum&gt;&lt;DisplayText&gt;(ATSDR 2013)&lt;/DisplayText&gt;&lt;record&gt;&lt;rec-number&gt;10840&lt;/rec-number&gt;&lt;foreign-keys&gt;&lt;key app="EN" db-id="9z05dz0praadfuee0zoxzedk9zfe5fxx50z5" timestamp="1528956562"&gt;10840&lt;/key&gt;&lt;/foreign-keys&gt;&lt;ref-type name="Web Page"&gt;12&lt;/ref-type&gt;&lt;contributors&gt;&lt;authors&gt;&lt;author&gt;ATSDR&lt;/author&gt;&lt;/authors&gt;&lt;/contributors&gt;&lt;titles&gt;&lt;title&gt;Chromium Toxicity - What Are the Physiologic Effects of Chromium Exposure?&lt;/title&gt;&lt;/titles&gt;&lt;volume&gt;2018&lt;/volume&gt;&lt;number&gt;14.06&lt;/number&gt;&lt;dates&gt;&lt;year&gt;2013&lt;/year&gt;&lt;/dates&gt;&lt;publisher&gt;CDC&lt;/publisher&gt;&lt;urls&gt;&lt;related-urls&gt;&lt;url&gt;https://www.atsdr.cdc.gov/csem/csem.asp?csem=10&amp;amp;po=10&lt;/url&gt;&lt;/related-urls&gt;&lt;/urls&gt;&lt;/record&gt;&lt;/Cite&gt;&lt;/EndNote&gt;</w:instrText>
      </w:r>
      <w:r w:rsidRPr="00430400">
        <w:rPr>
          <w:sz w:val="24"/>
        </w:rPr>
        <w:fldChar w:fldCharType="separate"/>
      </w:r>
      <w:r w:rsidRPr="00430400">
        <w:rPr>
          <w:noProof/>
          <w:sz w:val="24"/>
        </w:rPr>
        <w:t>(ATSDR 2013)</w:t>
      </w:r>
      <w:r w:rsidRPr="00430400">
        <w:rPr>
          <w:sz w:val="24"/>
        </w:rPr>
        <w:fldChar w:fldCharType="end"/>
      </w:r>
      <w:r w:rsidRPr="00430400">
        <w:rPr>
          <w:sz w:val="24"/>
        </w:rPr>
        <w:t>.</w:t>
      </w:r>
      <w:r w:rsidR="008146F9">
        <w:rPr>
          <w:sz w:val="24"/>
        </w:rPr>
        <w:t xml:space="preserve"> </w:t>
      </w:r>
    </w:p>
    <w:p w14:paraId="1BFF7741" w14:textId="77777777" w:rsidR="00430400" w:rsidRPr="00430400" w:rsidRDefault="00430400" w:rsidP="00430400">
      <w:pPr>
        <w:spacing w:before="120" w:line="264" w:lineRule="auto"/>
        <w:rPr>
          <w:sz w:val="24"/>
        </w:rPr>
      </w:pPr>
      <w:r w:rsidRPr="00430400">
        <w:rPr>
          <w:sz w:val="24"/>
        </w:rPr>
        <w:t xml:space="preserve">Subjects (n=59) were </w:t>
      </w:r>
      <w:r w:rsidRPr="00430400">
        <w:rPr>
          <w:b/>
          <w:sz w:val="24"/>
        </w:rPr>
        <w:t>users of e</w:t>
      </w:r>
      <w:r w:rsidRPr="00430400">
        <w:rPr>
          <w:b/>
          <w:sz w:val="24"/>
        </w:rPr>
        <w:noBreakHyphen/>
        <w:t>cigarettes only</w:t>
      </w:r>
      <w:r w:rsidRPr="00430400">
        <w:rPr>
          <w:sz w:val="24"/>
        </w:rPr>
        <w:t xml:space="preserve"> and </w:t>
      </w:r>
      <w:r w:rsidRPr="00430400">
        <w:rPr>
          <w:b/>
          <w:sz w:val="24"/>
        </w:rPr>
        <w:t>dual users</w:t>
      </w:r>
      <w:r w:rsidRPr="00430400">
        <w:rPr>
          <w:sz w:val="24"/>
        </w:rPr>
        <w:t xml:space="preserve"> of conventional and e</w:t>
      </w:r>
      <w:r w:rsidRPr="00430400">
        <w:rPr>
          <w:sz w:val="24"/>
        </w:rPr>
        <w:noBreakHyphen/>
        <w:t>cigarettes who usually used second or third generation tank style/mechanical modified devices. Participants completed four double blind, 2.5 hr sessions where in each session they completed two 10</w:t>
      </w:r>
      <w:r w:rsidRPr="00430400">
        <w:rPr>
          <w:sz w:val="24"/>
        </w:rPr>
        <w:noBreakHyphen/>
        <w:t>puff e</w:t>
      </w:r>
      <w:r w:rsidRPr="00430400">
        <w:rPr>
          <w:sz w:val="24"/>
        </w:rPr>
        <w:noBreakHyphen/>
        <w:t xml:space="preserve">cigarettes use bouts (with a 30 sec interpuff interval), separated by 60 minutes. Liquid nicotine concentrations differed by session (0, 8, 18, or 36 mg/ml). </w:t>
      </w:r>
    </w:p>
    <w:p w14:paraId="328EB4A2" w14:textId="1224001D" w:rsidR="00430400" w:rsidRPr="00430400" w:rsidRDefault="00430400" w:rsidP="00430400">
      <w:pPr>
        <w:spacing w:before="120" w:line="264" w:lineRule="auto"/>
        <w:rPr>
          <w:sz w:val="24"/>
        </w:rPr>
      </w:pPr>
      <w:r w:rsidRPr="00430400">
        <w:rPr>
          <w:sz w:val="24"/>
        </w:rPr>
        <w:t xml:space="preserve">The study found that compared to dual users, </w:t>
      </w:r>
      <w:r w:rsidRPr="00430400">
        <w:rPr>
          <w:b/>
          <w:sz w:val="24"/>
        </w:rPr>
        <w:t>e</w:t>
      </w:r>
      <w:r w:rsidRPr="00430400">
        <w:rPr>
          <w:b/>
          <w:sz w:val="24"/>
        </w:rPr>
        <w:noBreakHyphen/>
        <w:t>cigarette users only had higher levels of Ni and Cr in urine</w:t>
      </w:r>
      <w:r w:rsidRPr="00430400">
        <w:rPr>
          <w:sz w:val="24"/>
        </w:rPr>
        <w:t>. Increased tertiles of e</w:t>
      </w:r>
      <w:r w:rsidRPr="00430400">
        <w:rPr>
          <w:sz w:val="24"/>
        </w:rPr>
        <w:noBreakHyphen/>
        <w:t>liquid consumption per week was associated with higher urinary, saliva and EBC Ni levels, but in fully adjusted models the association was only statistically significant for the second tertile of e</w:t>
      </w:r>
      <w:r w:rsidRPr="00430400">
        <w:rPr>
          <w:sz w:val="24"/>
        </w:rPr>
        <w:noBreakHyphen/>
        <w:t>liquid per week and saliva Ni (Geometric Mean Ratio (GMR) 2.88, 95% CI 1.11, 7.51). Participants who vaped within 15 minutes of waking had a 79% (GMR</w:t>
      </w:r>
      <w:r w:rsidR="001E52F0">
        <w:rPr>
          <w:sz w:val="24"/>
        </w:rPr>
        <w:t> </w:t>
      </w:r>
      <w:r w:rsidRPr="00430400">
        <w:rPr>
          <w:sz w:val="24"/>
        </w:rPr>
        <w:t>1.79, CI 95%, 1.14,2.82) higher urine Ni levels compared to those taking longer to vape. For self</w:t>
      </w:r>
      <w:r w:rsidRPr="00430400">
        <w:rPr>
          <w:sz w:val="24"/>
        </w:rPr>
        <w:noBreakHyphen/>
        <w:t>reported use of higher voltage devices, there was a non</w:t>
      </w:r>
      <w:r w:rsidRPr="00430400">
        <w:rPr>
          <w:sz w:val="24"/>
        </w:rPr>
        <w:noBreakHyphen/>
        <w:t>statistically significant trend with higher urine Ni levels, with the association only observed for the second tertile (4.06</w:t>
      </w:r>
      <w:r w:rsidRPr="00430400">
        <w:rPr>
          <w:sz w:val="24"/>
        </w:rPr>
        <w:noBreakHyphen/>
        <w:t>4.47 V) (GMR</w:t>
      </w:r>
      <w:r w:rsidR="001E52F0">
        <w:rPr>
          <w:sz w:val="24"/>
        </w:rPr>
        <w:t> </w:t>
      </w:r>
      <w:r w:rsidRPr="00430400">
        <w:rPr>
          <w:sz w:val="24"/>
        </w:rPr>
        <w:t xml:space="preserve">3.65, 95% CI, 1.47,9.07). Changing coils more than </w:t>
      </w:r>
      <w:r w:rsidR="001E52F0">
        <w:rPr>
          <w:sz w:val="24"/>
        </w:rPr>
        <w:t>three</w:t>
      </w:r>
      <w:r w:rsidRPr="00430400">
        <w:rPr>
          <w:sz w:val="24"/>
        </w:rPr>
        <w:t xml:space="preserve"> times per month was associated with 91% higher (1.91, 95% CI, 1.23,2.98) urinary Ni levels. Tertiles 2 and 3 of urinary cotinine were associated with 38% and 80% higher urinary Ni levels (p</w:t>
      </w:r>
      <w:r w:rsidRPr="00430400">
        <w:rPr>
          <w:sz w:val="24"/>
        </w:rPr>
        <w:noBreakHyphen/>
        <w:t>trend 0.04). Ni levels in e</w:t>
      </w:r>
      <w:r w:rsidRPr="00430400">
        <w:rPr>
          <w:sz w:val="24"/>
        </w:rPr>
        <w:noBreakHyphen/>
        <w:t xml:space="preserve">cigarette dispensers were not associated with Ni biomarkers. </w:t>
      </w:r>
    </w:p>
    <w:p w14:paraId="27B47149" w14:textId="77777777" w:rsidR="00430400" w:rsidRPr="00430400" w:rsidRDefault="00430400" w:rsidP="00430400">
      <w:pPr>
        <w:spacing w:before="120" w:line="264" w:lineRule="auto"/>
        <w:rPr>
          <w:sz w:val="24"/>
        </w:rPr>
      </w:pPr>
      <w:r w:rsidRPr="00430400">
        <w:rPr>
          <w:sz w:val="24"/>
        </w:rPr>
        <w:t xml:space="preserve">For Cr biomarkers, although adjusted associations were not statistically significant, the two highest compared to the lowest tertile of liquid consumption per week were associated with 28% and 71% higher levels in EBC (p for trend 0.08), 21% and 56% higher in saliva (p for trend 0.26) and 14% and 30% higher levels in urine (p for trend 0.29). Cr levels in dispenser samples were not associated with Cr biomarkers. In adjusted models, comparing the two highest to the lowest aerosol Cr levels was associated with 98% and 193% higher saliva Cr (p for trend 0.02) and Tertile 3 of Cr in tank samples was associated with 178% higher Cr levels in saliva (GMR 95% CI, 1.19, 6.49). </w:t>
      </w:r>
    </w:p>
    <w:p w14:paraId="506ACD78" w14:textId="77777777" w:rsidR="00430400" w:rsidRPr="00430400" w:rsidRDefault="00430400" w:rsidP="00430400">
      <w:pPr>
        <w:spacing w:before="120" w:line="264" w:lineRule="auto"/>
        <w:rPr>
          <w:sz w:val="24"/>
        </w:rPr>
      </w:pPr>
      <w:r w:rsidRPr="00430400">
        <w:rPr>
          <w:sz w:val="24"/>
        </w:rPr>
        <w:t xml:space="preserve">The higher biological levels of nickel and chromium associated with use of e-cigarette suggests that attention should be given to preventing the metals entering the e-cigarette aerosols. </w:t>
      </w:r>
    </w:p>
    <w:p w14:paraId="2C59472B" w14:textId="77777777" w:rsidR="00430400" w:rsidRPr="00430400" w:rsidRDefault="00430400" w:rsidP="00430400">
      <w:pPr>
        <w:spacing w:before="120" w:line="264" w:lineRule="auto"/>
        <w:rPr>
          <w:sz w:val="24"/>
        </w:rPr>
      </w:pPr>
      <w:r w:rsidRPr="00430400">
        <w:rPr>
          <w:sz w:val="24"/>
        </w:rPr>
        <w:t xml:space="preserve">A secondary analysis of the National Health and Nutrition Examination Surveys in US adults examined concentrations of metals in blood (n=483), serum (n=315) and urine (n=321) in people </w:t>
      </w:r>
      <w:r w:rsidRPr="00430400">
        <w:rPr>
          <w:sz w:val="24"/>
        </w:rPr>
        <w:lastRenderedPageBreak/>
        <w:t>exclusively using cigarettes, cigars or e</w:t>
      </w:r>
      <w:r w:rsidRPr="00430400">
        <w:rPr>
          <w:sz w:val="24"/>
        </w:rPr>
        <w:noBreakHyphen/>
        <w:t xml:space="preserve">cigarettes </w:t>
      </w:r>
      <w:r w:rsidRPr="00430400">
        <w:rPr>
          <w:sz w:val="24"/>
        </w:rPr>
        <w:fldChar w:fldCharType="begin"/>
      </w:r>
      <w:r w:rsidRPr="00430400">
        <w:rPr>
          <w:sz w:val="24"/>
        </w:rPr>
        <w:instrText xml:space="preserve"> ADDIN EN.CITE &lt;EndNote&gt;&lt;Cite&gt;&lt;Author&gt;Jain&lt;/Author&gt;&lt;Year&gt;2018&lt;/Year&gt;&lt;RecNum&gt;10793&lt;/RecNum&gt;&lt;DisplayText&gt;(Jain 2018)&lt;/DisplayText&gt;&lt;record&gt;&lt;rec-number&gt;10793&lt;/rec-number&gt;&lt;foreign-keys&gt;&lt;key app="EN" db-id="9z05dz0praadfuee0zoxzedk9zfe5fxx50z5" timestamp="1526869879"&gt;10793&lt;/key&gt;&lt;key app="ENWeb" db-id=""&gt;0&lt;/key&gt;&lt;/foreign-keys&gt;&lt;ref-type name="Journal Article"&gt;17&lt;/ref-type&gt;&lt;contributors&gt;&lt;authors&gt;&lt;author&gt;Jain, Ram B.&lt;/author&gt;&lt;/authors&gt;&lt;/contributors&gt;&lt;titles&gt;&lt;title&gt;Concentrations of selected metals in blood, serum, and urine among US adult exclusive users of cigarettes, cigars, and electronic cigarettes&lt;/title&gt;&lt;secondary-title&gt;Toxicological and Environmental Chemistry&lt;/secondary-title&gt;&lt;/titles&gt;&lt;periodical&gt;&lt;full-title&gt;Toxicological and Environmental Chemistry&lt;/full-title&gt;&lt;/periodical&gt;&lt;pages&gt;134-142&lt;/pages&gt;&lt;volume&gt;100&lt;/volume&gt;&lt;number&gt;1&lt;/number&gt;&lt;dates&gt;&lt;year&gt;2018&lt;/year&gt;&lt;pub-dates&gt;&lt;date&gt;2018&lt;/date&gt;&lt;/pub-dates&gt;&lt;/dates&gt;&lt;isbn&gt;0277-2248&lt;/isbn&gt;&lt;accession-num&gt;WOS:000428058900012&lt;/accession-num&gt;&lt;urls&gt;&lt;related-urls&gt;&lt;url&gt;&amp;lt;Go to ISI&amp;gt;://WOS:000428058900012&lt;/url&gt;&lt;url&gt;https://www.tandfonline.com/doi/pdf/10.1080/02772248.2018.1426764?needAccess=true&lt;/url&gt;&lt;/related-urls&gt;&lt;/urls&gt;&lt;electronic-resource-num&gt;10.1080/02772248.2018.1426764&lt;/electronic-resource-num&gt;&lt;/record&gt;&lt;/Cite&gt;&lt;/EndNote&gt;</w:instrText>
      </w:r>
      <w:r w:rsidRPr="00430400">
        <w:rPr>
          <w:sz w:val="24"/>
        </w:rPr>
        <w:fldChar w:fldCharType="separate"/>
      </w:r>
      <w:r w:rsidRPr="00430400">
        <w:rPr>
          <w:noProof/>
          <w:sz w:val="24"/>
        </w:rPr>
        <w:t>(Jain 2018)</w:t>
      </w:r>
      <w:r w:rsidRPr="00430400">
        <w:rPr>
          <w:sz w:val="24"/>
        </w:rPr>
        <w:fldChar w:fldCharType="end"/>
      </w:r>
      <w:r w:rsidRPr="00430400">
        <w:rPr>
          <w:sz w:val="24"/>
        </w:rPr>
        <w:t xml:space="preserve">. Metals analysed included 15 different metals in analyses comparing levels between the three groups. For analysis of zinc, copper and selenium the investigators controlled for dietary intake using values estimated from dietary data collected as part of the survey. Adjusted means were significantly different for cobalt and antimony with urine levels lower in the cigar sample compared to the cigarette smokers. Blood levels of </w:t>
      </w:r>
      <w:r w:rsidRPr="00430400">
        <w:rPr>
          <w:b/>
          <w:sz w:val="24"/>
        </w:rPr>
        <w:t>manganese were significantly higher (23.3%) in e</w:t>
      </w:r>
      <w:r w:rsidRPr="00430400">
        <w:rPr>
          <w:b/>
          <w:sz w:val="24"/>
        </w:rPr>
        <w:noBreakHyphen/>
        <w:t>cigarette users but only when compared to cigar smokers</w:t>
      </w:r>
      <w:r w:rsidRPr="00430400">
        <w:rPr>
          <w:sz w:val="24"/>
        </w:rPr>
        <w:t>. There were no differences between e</w:t>
      </w:r>
      <w:r w:rsidRPr="00430400">
        <w:rPr>
          <w:sz w:val="24"/>
        </w:rPr>
        <w:noBreakHyphen/>
        <w:t>cigarette users and conventional cigarette smokers for any of the 15 metals. It should be noted that the sample size was as low as 14 e</w:t>
      </w:r>
      <w:r w:rsidRPr="00430400">
        <w:rPr>
          <w:sz w:val="24"/>
        </w:rPr>
        <w:noBreakHyphen/>
        <w:t>cigarette users in the analysis of urine and serum metals which raises doubt about the power to detect meaningful differences. According the US Centre for Disease Control, toxic levels of manganese can affect neurological function. Normal serum levels range from 4</w:t>
      </w:r>
      <w:r w:rsidRPr="00430400">
        <w:rPr>
          <w:sz w:val="24"/>
        </w:rPr>
        <w:noBreakHyphen/>
        <w:t xml:space="preserve">15μg/L </w:t>
      </w:r>
      <w:r w:rsidRPr="00430400">
        <w:rPr>
          <w:sz w:val="24"/>
        </w:rPr>
        <w:fldChar w:fldCharType="begin"/>
      </w:r>
      <w:r w:rsidRPr="00430400">
        <w:rPr>
          <w:sz w:val="24"/>
        </w:rPr>
        <w:instrText xml:space="preserve"> ADDIN EN.CITE &lt;EndNote&gt;&lt;Cite&gt;&lt;Author&gt;ATSDR&lt;/Author&gt;&lt;Year&gt;2012&lt;/Year&gt;&lt;RecNum&gt;10842&lt;/RecNum&gt;&lt;DisplayText&gt;(ATSDR 2012)&lt;/DisplayText&gt;&lt;record&gt;&lt;rec-number&gt;10842&lt;/rec-number&gt;&lt;foreign-keys&gt;&lt;key app="EN" db-id="9z05dz0praadfuee0zoxzedk9zfe5fxx50z5" timestamp="1528956910"&gt;10842&lt;/key&gt;&lt;/foreign-keys&gt;&lt;ref-type name="Web Page"&gt;12&lt;/ref-type&gt;&lt;contributors&gt;&lt;authors&gt;&lt;author&gt;ATSDR&lt;/author&gt;&lt;/authors&gt;&lt;/contributors&gt;&lt;titles&gt;&lt;title&gt;Manganese&lt;/title&gt;&lt;secondary-title&gt;Toxic Substances Portal&lt;/secondary-title&gt;&lt;/titles&gt;&lt;volume&gt;2018&lt;/volume&gt;&lt;number&gt;14.06&lt;/number&gt;&lt;dates&gt;&lt;year&gt;2012&lt;/year&gt;&lt;/dates&gt;&lt;publisher&gt;CDC&lt;/publisher&gt;&lt;urls&gt;&lt;related-urls&gt;&lt;url&gt;https://www.atsdr.cdc.gov/ToxProfiles/tp.asp?id=102&amp;amp;tid=23&lt;/url&gt;&lt;/related-urls&gt;&lt;/urls&gt;&lt;/record&gt;&lt;/Cite&gt;&lt;/EndNote&gt;</w:instrText>
      </w:r>
      <w:r w:rsidRPr="00430400">
        <w:rPr>
          <w:sz w:val="24"/>
        </w:rPr>
        <w:fldChar w:fldCharType="separate"/>
      </w:r>
      <w:r w:rsidRPr="00430400">
        <w:rPr>
          <w:noProof/>
          <w:sz w:val="24"/>
        </w:rPr>
        <w:t>(ATSDR 2012)</w:t>
      </w:r>
      <w:r w:rsidRPr="00430400">
        <w:rPr>
          <w:sz w:val="24"/>
        </w:rPr>
        <w:fldChar w:fldCharType="end"/>
      </w:r>
      <w:r w:rsidRPr="00430400">
        <w:rPr>
          <w:sz w:val="24"/>
        </w:rPr>
        <w:t xml:space="preserve"> and e</w:t>
      </w:r>
      <w:r w:rsidRPr="00430400">
        <w:rPr>
          <w:sz w:val="24"/>
        </w:rPr>
        <w:noBreakHyphen/>
        <w:t>cigarette users in this study had a mean level of 10.3μg/L.</w:t>
      </w:r>
    </w:p>
    <w:p w14:paraId="780BF68A" w14:textId="77777777" w:rsidR="00430400" w:rsidRPr="00430400" w:rsidRDefault="00430400" w:rsidP="00430400">
      <w:pPr>
        <w:spacing w:before="120" w:line="264" w:lineRule="auto"/>
        <w:rPr>
          <w:sz w:val="24"/>
        </w:rPr>
      </w:pPr>
    </w:p>
    <w:p w14:paraId="7DFDF5A1" w14:textId="77777777" w:rsidR="00430400" w:rsidRPr="00430400" w:rsidRDefault="00430400" w:rsidP="00430400">
      <w:pPr>
        <w:spacing w:before="120" w:line="264" w:lineRule="auto"/>
        <w:rPr>
          <w:sz w:val="24"/>
        </w:rPr>
      </w:pPr>
      <w:r w:rsidRPr="00430400">
        <w:rPr>
          <w:sz w:val="24"/>
        </w:rPr>
        <w:t>A large US cross</w:t>
      </w:r>
      <w:r w:rsidRPr="00430400">
        <w:rPr>
          <w:sz w:val="24"/>
        </w:rPr>
        <w:noBreakHyphen/>
        <w:t xml:space="preserve">sectional study by Wei et al. (n=1572) </w:t>
      </w:r>
      <w:r w:rsidRPr="00430400">
        <w:rPr>
          <w:sz w:val="24"/>
        </w:rPr>
        <w:fldChar w:fldCharType="begin">
          <w:fldData xml:space="preserve">PEVuZE5vdGU+PENpdGU+PEF1dGhvcj5XZWk8L0F1dGhvcj48WWVhcj4yMDE4PC9ZZWFyPjxSZWNO
dW0+MTE0NjY8L1JlY051bT48RGlzcGxheVRleHQ+KFdlaSwgR29uaWV3aWN6IGV0IGFsLiAyMDE4
KTwvRGlzcGxheVRleHQ+PHJlY29yZD48cmVjLW51bWJlcj4xMTQ2NjwvcmVjLW51bWJlcj48Zm9y
ZWlnbi1rZXlzPjxrZXkgYXBwPSJFTiIgZGItaWQ9IjV4djV3NXQyYmR4dHhmZXp4MDJ4dHhkZnQ1
cno1cHR2dnQyOSIgdGltZXN0YW1wPSIxNTIzODYyMTg4Ij4xMTQ2Njwva2V5PjxrZXkgYXBwPSJF
TldlYiIgZGItaWQ9IiI+MDwva2V5PjwvZm9yZWlnbi1rZXlzPjxyZWYtdHlwZSBuYW1lPSJKb3Vy
bmFsIEFydGljbGUiPjE3PC9yZWYtdHlwZT48Y29udHJpYnV0b3JzPjxhdXRob3JzPjxhdXRob3I+
V2VpLCBCLjwvYXV0aG9yPjxhdXRob3I+R29uaWV3aWN6LCBNLiBMLjwvYXV0aG9yPjxhdXRob3I+
T+KAmUNvbm5vciwgUi4gSi48L2F1dGhvcj48YXV0aG9yPlRyYXZlcnMsIE0uIEouPC9hdXRob3I+
PGF1dGhvcj5IeWxhbmQsIEEuIEouPC9hdXRob3I+PC9hdXRob3JzPjwvY29udHJpYnV0b3JzPjx0
aXRsZXM+PHRpdGxlPlVyaW5hcnkgbWV0YWJvbGl0ZSBsZXZlbHMgb2YgZmxhbWUgcmV0YXJkYW50
cyBpbiBlbGVjdHJvbmljIGNpZ2FyZXR0ZSB1c2VyczogQSBzdHVkeSB1c2luZyB0aGUgZGF0YSBm
cm9tIE5IQU5FUyAyMDEz4oCTMjAxNDwvdGl0bGU+PHNlY29uZGFyeS10aXRsZT5JbnRlcm5hdGlv
bmFsIEpvdXJuYWwgb2YgRW52aXJvbm1lbnRhbCBSZXNlYXJjaCBhbmQgUHVibGljIEhlYWx0aDwv
c2Vjb25kYXJ5LXRpdGxlPjwvdGl0bGVzPjxwZXJpb2RpY2FsPjxmdWxsLXRpdGxlPkludCBKIEVu
dmlyb24gUmVzIFB1YmxpYyBIZWFsdGg8L2Z1bGwtdGl0bGU+PGFiYnItMT5JbnRlcm5hdGlvbmFs
IGpvdXJuYWwgb2YgZW52aXJvbm1lbnRhbCByZXNlYXJjaCBhbmQgcHVibGljIGhlYWx0aDwvYWJi
ci0xPjwvcGVyaW9kaWNhbD48dm9sdW1lPjE1PC92b2x1bWU+PG51bWJlcj4yPC9udW1iZXI+PGtl
eXdvcmRzPjxrZXl3b3JkPmJpcygxLDMgZGljaGxvcm8gMiBwcm9weWwpcGhvc3BoYXRlPC9rZXl3
b3JkPjxrZXl3b3JkPmJpcygyIGNobG9yb2V0aHlsKXBob3NwaGF0ZTwva2V5d29yZD48a2V5d29y
ZD5kaWJ1dHlscGhvc3BoYXRlPC9rZXl3b3JkPjxrZXl3b3JkPmRpcGhlbnlscGhvc3BoYXRlPC9r
ZXl3b3JkPjxrZXl3b3JkPmZsYW1lIHJldGFyZGFudDwva2V5d29yZD48a2V5d29yZD5vcmdhbm9w
aG9zcGhhdGU8L2tleXdvcmQ+PGtleXdvcmQ+cGhvc3Bob3JpYyBhY2lkIHRyaXMoMiBjaGxvcm9l
dGh5bCkgZXN0ZXI8L2tleXdvcmQ+PGtleXdvcmQ+dW5jbGFzc2lmaWVkIGRydWc8L2tleXdvcmQ+
PGtleXdvcmQ+YmlvbWFya2VyPC9rZXl3b3JkPjxrZXl3b3JkPmNvbmNlbnRyYXRpb24gKGNvbXBv
c2l0aW9uKTwva2V5d29yZD48a2V5d29yZD5oZWFsdGggcmlzazwva2V5d29yZD48a2V5d29yZD5t
ZXRhYm9saXRlPC9rZXl3b3JkPjxrZXl3b3JkPnB1YmxpYyBoZWFsdGg8L2tleXdvcmQ+PGtleXdv
cmQ+dG9iYWNjbzwva2V5d29yZD48a2V5d29yZD51cmluZTwva2V5d29yZD48a2V5d29yZD5hZHVs
dDwva2V5d29yZD48a2V5d29yZD5BcnRpY2xlPC9rZXl3b3JkPjxrZXl3b3JkPmJvZHkgYnVyZGVu
PC9rZXl3b3JkPjxrZXl3b3JkPmNpZ2FyIHNtb2tpbmc8L2tleXdvcmQ+PGtleXdvcmQ+Y2lnYXJl
dHRlIHNtb2tpbmc8L2tleXdvcmQ+PGtleXdvcmQ+Y29udHJvbGxlZCBzdHVkeTwva2V5d29yZD48
a2V5d29yZD5mZW1hbGU8L2tleXdvcmQ+PGtleXdvcmQ+aHVtYW48L2tleXdvcmQ+PGtleXdvcmQ+
bWFsZTwva2V5d29yZD48a2V5d29yZD5waWxvdCBzdHVkeTwva2V5d29yZD48a2V5d29yZD5zbW9r
ZWxlc3MgdG9iYWNjbzwva2V5d29yZD48a2V5d29yZD51cmluYWx5c2lzPC9rZXl3b3JkPjxrZXl3
b3JkPnZhcGluZzwva2V5d29yZD48a2V5d29yZD5OaWNvdGlhbmEgdGFiYWN1bTwva2V5d29yZD48
L2tleXdvcmRzPjxkYXRlcz48eWVhcj4yMDE4PC95ZWFyPjwvZGF0ZXM+PHVybHM+PHJlbGF0ZWQt
dXJscz48dXJsPmh0dHBzOi8vd3d3LnNjb3B1cy5jb20vaW53YXJkL3JlY29yZC51cmk/ZWlkPTIt
czIuMC04NTA0MTExNTY2MCZhbXA7ZG9pPTEwLjMzOTAlMmZpamVycGgxNTAyMDIwMSZhbXA7cGFy
dG5lcklEPTQwJmFtcDttZDU9MGQzNDZjYzNkOTk3NmU5MTNkODMyZTkxMjk2NDFjMzM8L3VybD48
L3JlbGF0ZWQtdXJscz48L3VybHM+PGVsZWN0cm9uaWMtcmVzb3VyY2UtbnVtPjEwLjMzOTAvaWpl
cnBoMTUwMjAyMDE8L2VsZWN0cm9uaWMtcmVzb3VyY2UtbnVtPjxyZW1vdGUtZGF0YWJhc2UtbmFt
ZT5TY29wdXMgQzcgLSAyMDE8L3JlbW90ZS1kYXRhYmFzZS1uYW1lPjwvcmVjb3JkPjwvQ2l0ZT48
L0VuZE5vdGU+AG==
</w:fldData>
        </w:fldChar>
      </w:r>
      <w:r w:rsidRPr="00430400">
        <w:rPr>
          <w:sz w:val="24"/>
        </w:rPr>
        <w:instrText xml:space="preserve"> ADDIN EN.CITE </w:instrText>
      </w:r>
      <w:r w:rsidRPr="00430400">
        <w:rPr>
          <w:sz w:val="24"/>
        </w:rPr>
        <w:fldChar w:fldCharType="begin">
          <w:fldData xml:space="preserve">PEVuZE5vdGU+PENpdGU+PEF1dGhvcj5XZWk8L0F1dGhvcj48WWVhcj4yMDE4PC9ZZWFyPjxSZWNO
dW0+MTE0NjY8L1JlY051bT48RGlzcGxheVRleHQ+KFdlaSwgR29uaWV3aWN6IGV0IGFsLiAyMDE4
KTwvRGlzcGxheVRleHQ+PHJlY29yZD48cmVjLW51bWJlcj4xMTQ2NjwvcmVjLW51bWJlcj48Zm9y
ZWlnbi1rZXlzPjxrZXkgYXBwPSJFTiIgZGItaWQ9IjV4djV3NXQyYmR4dHhmZXp4MDJ4dHhkZnQ1
cno1cHR2dnQyOSIgdGltZXN0YW1wPSIxNTIzODYyMTg4Ij4xMTQ2Njwva2V5PjxrZXkgYXBwPSJF
TldlYiIgZGItaWQ9IiI+MDwva2V5PjwvZm9yZWlnbi1rZXlzPjxyZWYtdHlwZSBuYW1lPSJKb3Vy
bmFsIEFydGljbGUiPjE3PC9yZWYtdHlwZT48Y29udHJpYnV0b3JzPjxhdXRob3JzPjxhdXRob3I+
V2VpLCBCLjwvYXV0aG9yPjxhdXRob3I+R29uaWV3aWN6LCBNLiBMLjwvYXV0aG9yPjxhdXRob3I+
T+KAmUNvbm5vciwgUi4gSi48L2F1dGhvcj48YXV0aG9yPlRyYXZlcnMsIE0uIEouPC9hdXRob3I+
PGF1dGhvcj5IeWxhbmQsIEEuIEouPC9hdXRob3I+PC9hdXRob3JzPjwvY29udHJpYnV0b3JzPjx0
aXRsZXM+PHRpdGxlPlVyaW5hcnkgbWV0YWJvbGl0ZSBsZXZlbHMgb2YgZmxhbWUgcmV0YXJkYW50
cyBpbiBlbGVjdHJvbmljIGNpZ2FyZXR0ZSB1c2VyczogQSBzdHVkeSB1c2luZyB0aGUgZGF0YSBm
cm9tIE5IQU5FUyAyMDEz4oCTMjAxNDwvdGl0bGU+PHNlY29uZGFyeS10aXRsZT5JbnRlcm5hdGlv
bmFsIEpvdXJuYWwgb2YgRW52aXJvbm1lbnRhbCBSZXNlYXJjaCBhbmQgUHVibGljIEhlYWx0aDwv
c2Vjb25kYXJ5LXRpdGxlPjwvdGl0bGVzPjxwZXJpb2RpY2FsPjxmdWxsLXRpdGxlPkludCBKIEVu
dmlyb24gUmVzIFB1YmxpYyBIZWFsdGg8L2Z1bGwtdGl0bGU+PGFiYnItMT5JbnRlcm5hdGlvbmFs
IGpvdXJuYWwgb2YgZW52aXJvbm1lbnRhbCByZXNlYXJjaCBhbmQgcHVibGljIGhlYWx0aDwvYWJi
ci0xPjwvcGVyaW9kaWNhbD48dm9sdW1lPjE1PC92b2x1bWU+PG51bWJlcj4yPC9udW1iZXI+PGtl
eXdvcmRzPjxrZXl3b3JkPmJpcygxLDMgZGljaGxvcm8gMiBwcm9weWwpcGhvc3BoYXRlPC9rZXl3
b3JkPjxrZXl3b3JkPmJpcygyIGNobG9yb2V0aHlsKXBob3NwaGF0ZTwva2V5d29yZD48a2V5d29y
ZD5kaWJ1dHlscGhvc3BoYXRlPC9rZXl3b3JkPjxrZXl3b3JkPmRpcGhlbnlscGhvc3BoYXRlPC9r
ZXl3b3JkPjxrZXl3b3JkPmZsYW1lIHJldGFyZGFudDwva2V5d29yZD48a2V5d29yZD5vcmdhbm9w
aG9zcGhhdGU8L2tleXdvcmQ+PGtleXdvcmQ+cGhvc3Bob3JpYyBhY2lkIHRyaXMoMiBjaGxvcm9l
dGh5bCkgZXN0ZXI8L2tleXdvcmQ+PGtleXdvcmQ+dW5jbGFzc2lmaWVkIGRydWc8L2tleXdvcmQ+
PGtleXdvcmQ+YmlvbWFya2VyPC9rZXl3b3JkPjxrZXl3b3JkPmNvbmNlbnRyYXRpb24gKGNvbXBv
c2l0aW9uKTwva2V5d29yZD48a2V5d29yZD5oZWFsdGggcmlzazwva2V5d29yZD48a2V5d29yZD5t
ZXRhYm9saXRlPC9rZXl3b3JkPjxrZXl3b3JkPnB1YmxpYyBoZWFsdGg8L2tleXdvcmQ+PGtleXdv
cmQ+dG9iYWNjbzwva2V5d29yZD48a2V5d29yZD51cmluZTwva2V5d29yZD48a2V5d29yZD5hZHVs
dDwva2V5d29yZD48a2V5d29yZD5BcnRpY2xlPC9rZXl3b3JkPjxrZXl3b3JkPmJvZHkgYnVyZGVu
PC9rZXl3b3JkPjxrZXl3b3JkPmNpZ2FyIHNtb2tpbmc8L2tleXdvcmQ+PGtleXdvcmQ+Y2lnYXJl
dHRlIHNtb2tpbmc8L2tleXdvcmQ+PGtleXdvcmQ+Y29udHJvbGxlZCBzdHVkeTwva2V5d29yZD48
a2V5d29yZD5mZW1hbGU8L2tleXdvcmQ+PGtleXdvcmQ+aHVtYW48L2tleXdvcmQ+PGtleXdvcmQ+
bWFsZTwva2V5d29yZD48a2V5d29yZD5waWxvdCBzdHVkeTwva2V5d29yZD48a2V5d29yZD5zbW9r
ZWxlc3MgdG9iYWNjbzwva2V5d29yZD48a2V5d29yZD51cmluYWx5c2lzPC9rZXl3b3JkPjxrZXl3
b3JkPnZhcGluZzwva2V5d29yZD48a2V5d29yZD5OaWNvdGlhbmEgdGFiYWN1bTwva2V5d29yZD48
L2tleXdvcmRzPjxkYXRlcz48eWVhcj4yMDE4PC95ZWFyPjwvZGF0ZXM+PHVybHM+PHJlbGF0ZWQt
dXJscz48dXJsPmh0dHBzOi8vd3d3LnNjb3B1cy5jb20vaW53YXJkL3JlY29yZC51cmk/ZWlkPTIt
czIuMC04NTA0MTExNTY2MCZhbXA7ZG9pPTEwLjMzOTAlMmZpamVycGgxNTAyMDIwMSZhbXA7cGFy
dG5lcklEPTQwJmFtcDttZDU9MGQzNDZjYzNkOTk3NmU5MTNkODMyZTkxMjk2NDFjMzM8L3VybD48
L3JlbGF0ZWQtdXJscz48L3VybHM+PGVsZWN0cm9uaWMtcmVzb3VyY2UtbnVtPjEwLjMzOTAvaWpl
cnBoMTUwMjAyMDE8L2VsZWN0cm9uaWMtcmVzb3VyY2UtbnVtPjxyZW1vdGUtZGF0YWJhc2UtbmFt
ZT5TY29wdXMgQzcgLSAyMDE8L3JlbW90ZS1kYXRhYmFzZS1uYW1lPjwvcmVjb3JkPjwvQ2l0ZT48
L0VuZE5vdGU+AG==
</w:fldData>
        </w:fldChar>
      </w:r>
      <w:r w:rsidRPr="00430400">
        <w:rPr>
          <w:sz w:val="24"/>
        </w:rPr>
        <w:instrText xml:space="preserve"> ADDIN EN.CITE.DATA </w:instrText>
      </w:r>
      <w:r w:rsidRPr="00430400">
        <w:rPr>
          <w:sz w:val="24"/>
        </w:rPr>
      </w:r>
      <w:r w:rsidRPr="00430400">
        <w:rPr>
          <w:sz w:val="24"/>
        </w:rPr>
        <w:fldChar w:fldCharType="end"/>
      </w:r>
      <w:r w:rsidRPr="00430400">
        <w:rPr>
          <w:sz w:val="24"/>
        </w:rPr>
      </w:r>
      <w:r w:rsidRPr="00430400">
        <w:rPr>
          <w:sz w:val="24"/>
        </w:rPr>
        <w:fldChar w:fldCharType="separate"/>
      </w:r>
      <w:r w:rsidRPr="00430400">
        <w:rPr>
          <w:noProof/>
          <w:sz w:val="24"/>
        </w:rPr>
        <w:t>(Wei, Goniewicz et al. 2018)</w:t>
      </w:r>
      <w:r w:rsidRPr="00430400">
        <w:rPr>
          <w:sz w:val="24"/>
        </w:rPr>
        <w:fldChar w:fldCharType="end"/>
      </w:r>
      <w:r w:rsidRPr="00430400">
        <w:rPr>
          <w:sz w:val="24"/>
        </w:rPr>
        <w:t xml:space="preserve"> examined whether the use of e</w:t>
      </w:r>
      <w:r w:rsidRPr="00430400">
        <w:rPr>
          <w:sz w:val="24"/>
        </w:rPr>
        <w:noBreakHyphen/>
        <w:t>cigarettes potentially increases the body burden of flame retardants in e</w:t>
      </w:r>
      <w:r w:rsidRPr="00430400">
        <w:rPr>
          <w:sz w:val="24"/>
        </w:rPr>
        <w:noBreakHyphen/>
        <w:t>cigarette users (n=14), by testing urinary metabolites of organophosphate flame retardants (OPFRs). Also tested were users of smokeless tobacco products (STP) (n=15), conventional cigarette users (n=298), and cigar users (n=22) and non</w:t>
      </w:r>
      <w:r w:rsidRPr="00430400">
        <w:rPr>
          <w:sz w:val="24"/>
        </w:rPr>
        <w:noBreakHyphen/>
        <w:t>users (n=1201). The chemicals diphenyl phosphate (DPhP), bis(1,3</w:t>
      </w:r>
      <w:r w:rsidRPr="00430400">
        <w:rPr>
          <w:sz w:val="24"/>
        </w:rPr>
        <w:noBreakHyphen/>
        <w:t>dichloro</w:t>
      </w:r>
      <w:r w:rsidRPr="00430400">
        <w:rPr>
          <w:sz w:val="24"/>
        </w:rPr>
        <w:noBreakHyphen/>
        <w:t>2</w:t>
      </w:r>
      <w:r w:rsidRPr="00430400">
        <w:rPr>
          <w:sz w:val="24"/>
        </w:rPr>
        <w:noBreakHyphen/>
        <w:t>propyl) phosphate (BDCPP), bis(2</w:t>
      </w:r>
      <w:r w:rsidRPr="00430400">
        <w:rPr>
          <w:sz w:val="24"/>
        </w:rPr>
        <w:noBreakHyphen/>
        <w:t>chloroethyl) phosphate (BCEP), and dibutyl phosphate (DBUP) were detected in all e</w:t>
      </w:r>
      <w:r w:rsidRPr="00430400">
        <w:rPr>
          <w:sz w:val="24"/>
        </w:rPr>
        <w:noBreakHyphen/>
        <w:t>cigarette users. The adjusted geometric mean (GM) of BCEP, the metabolite of tris(2</w:t>
      </w:r>
      <w:r w:rsidRPr="00430400">
        <w:rPr>
          <w:sz w:val="24"/>
        </w:rPr>
        <w:noBreakHyphen/>
        <w:t xml:space="preserve">chloroethyl) phosphate (TCEP), was </w:t>
      </w:r>
      <w:r w:rsidRPr="00430400">
        <w:rPr>
          <w:b/>
          <w:sz w:val="24"/>
        </w:rPr>
        <w:t>81% higher in e</w:t>
      </w:r>
      <w:r w:rsidRPr="00430400">
        <w:rPr>
          <w:b/>
          <w:sz w:val="24"/>
        </w:rPr>
        <w:noBreakHyphen/>
        <w:t>cigarette users</w:t>
      </w:r>
      <w:r w:rsidRPr="00430400">
        <w:rPr>
          <w:sz w:val="24"/>
        </w:rPr>
        <w:t xml:space="preserve"> than non-users (p=0.012) and significantly higher than that for both conventional cigarette and cigar users (p&lt;0.05) where the GM for both was similar to non-users. The adjusted GM of DBUP, DPhP and BDCPP for e</w:t>
      </w:r>
      <w:r w:rsidRPr="00430400">
        <w:rPr>
          <w:sz w:val="24"/>
        </w:rPr>
        <w:noBreakHyphen/>
        <w:t xml:space="preserve">cigarette users, and for cigarette users, was not significantly different to that of non-users. </w:t>
      </w:r>
    </w:p>
    <w:p w14:paraId="12C5181A" w14:textId="77777777" w:rsidR="00430400" w:rsidRPr="00430400" w:rsidRDefault="00430400" w:rsidP="00430400">
      <w:pPr>
        <w:spacing w:before="120" w:line="264" w:lineRule="auto"/>
        <w:rPr>
          <w:sz w:val="24"/>
        </w:rPr>
      </w:pPr>
      <w:r w:rsidRPr="00430400">
        <w:rPr>
          <w:sz w:val="24"/>
        </w:rPr>
        <w:t>It should be noted for this study that the number of subjects in the e</w:t>
      </w:r>
      <w:r w:rsidRPr="00430400">
        <w:rPr>
          <w:sz w:val="24"/>
        </w:rPr>
        <w:noBreakHyphen/>
        <w:t>cigarette and the smokeless tobacco product group was small (n=14 and n=15 respectively).</w:t>
      </w:r>
    </w:p>
    <w:p w14:paraId="2E3A659A" w14:textId="77777777" w:rsidR="00430400" w:rsidRPr="00430400" w:rsidRDefault="00430400" w:rsidP="00430400">
      <w:pPr>
        <w:spacing w:before="120" w:line="264" w:lineRule="auto"/>
        <w:rPr>
          <w:sz w:val="24"/>
        </w:rPr>
      </w:pPr>
    </w:p>
    <w:p w14:paraId="11589BB7" w14:textId="77777777" w:rsidR="00430400" w:rsidRPr="00430400" w:rsidRDefault="00430400" w:rsidP="00430400">
      <w:pPr>
        <w:pStyle w:val="Heading3"/>
      </w:pPr>
      <w:r w:rsidRPr="00430400">
        <w:t>Conclusion</w:t>
      </w:r>
    </w:p>
    <w:p w14:paraId="0F5A7BFF" w14:textId="77777777" w:rsidR="00430400" w:rsidRPr="00430400" w:rsidRDefault="00430400" w:rsidP="00430400">
      <w:pPr>
        <w:spacing w:before="120" w:line="264" w:lineRule="auto"/>
        <w:rPr>
          <w:sz w:val="24"/>
        </w:rPr>
      </w:pPr>
      <w:r w:rsidRPr="00430400">
        <w:rPr>
          <w:sz w:val="24"/>
        </w:rPr>
        <w:t>The studies reviewed here provide a consistent picture of lower or reduced carcinogens and toxicants in people who use e</w:t>
      </w:r>
      <w:r w:rsidRPr="00430400">
        <w:rPr>
          <w:sz w:val="24"/>
        </w:rPr>
        <w:noBreakHyphen/>
        <w:t>cigarettes exclusively relative to conventional cigarette use. These conclusions are consistent across the different study conditions including duration of use. Studies also indicated higher levels of nickel and chromium in exclusive e</w:t>
      </w:r>
      <w:r w:rsidRPr="00430400">
        <w:rPr>
          <w:sz w:val="24"/>
        </w:rPr>
        <w:noBreakHyphen/>
        <w:t xml:space="preserve">cigarette users </w:t>
      </w:r>
      <w:r w:rsidRPr="00430400">
        <w:rPr>
          <w:sz w:val="24"/>
        </w:rPr>
        <w:fldChar w:fldCharType="begin">
          <w:fldData xml:space="preserve">PEVuZE5vdGU+PENpdGU+PEF1dGhvcj5BaGVycmVyYTwvQXV0aG9yPjxZZWFyPjIwMTc8L1llYXI+
PFJlY051bT4zNDQ3PC9SZWNOdW0+PERpc3BsYXlUZXh0PihBaGVycmVyYSwgT2xtZWRvIGV0IGFs
LiAyMDE3KTwvRGlzcGxheVRleHQ+PHJlY29yZD48cmVjLW51bWJlcj4zNDQ3PC9yZWMtbnVtYmVy
Pjxmb3JlaWduLWtleXM+PGtleSBhcHA9IkVOIiBkYi1pZD0iZnB0OXB0dHJtNXpmc2Flc3A5ZnBz
ZGR2MDlld3N2NXhld2ZkIiB0aW1lc3RhbXA9IjE1MjM4NDA4MzkiPjM0NDc8L2tleT48a2V5IGFw
cD0iRU5XZWIiIGRiLWlkPSIiPjA8L2tleT48L2ZvcmVpZ24ta2V5cz48cmVmLXR5cGUgbmFtZT0i
Sm91cm5hbCBBcnRpY2xlIj4xNzwvcmVmLXR5cGU+PGNvbnRyaWJ1dG9ycz48YXV0aG9ycz48YXV0
aG9yPkFoZXJyZXJhLCBBLjwvYXV0aG9yPjxhdXRob3I+T2xtZWRvLCBQLjwvYXV0aG9yPjxhdXRo
b3I+R3JhdS1QZXJleiwgTS48L2F1dGhvcj48YXV0aG9yPlRhbmRhLCBTLjwvYXV0aG9yPjxhdXRo
b3I+R29lc3NsZXIsIFcuPC9hdXRob3I+PGF1dGhvcj5KYXJtdWwsIFMuPC9hdXRob3I+PGF1dGhv
cj5DaGVuLCBSLjwvYXV0aG9yPjxhdXRob3I+Q29oZW4sIEouIEUuPC9hdXRob3I+PGF1dGhvcj5S
dWxlLCBBLiBNLjwvYXV0aG9yPjxhdXRob3I+TmF2YXMtQWNpZW4sIEEuPC9hdXRob3I+PC9hdXRo
b3JzPjwvY29udHJpYnV0b3JzPjxhdXRoLWFkZHJlc3M+Sm9obnMgSG9wa2lucyBCbG9vbWJlcmcg
U2Nob29sIG9mIFB1YmxpYyBIZWFsdGgsIERlcGFydG1lbnQgb2YgRW52aXJvbm1lbnRhbCBIZWFs
dGggYW5kIEVuZ2luZWVyaW5nLCBKb2hucyBIb3BraW5zIFVuaXZlcnNpdHksIEJhbHRpbW9yZSwg
TUQsIFVTQS4gRWxlY3Ryb25pYyBhZGRyZXNzOiBhYWhlcnJlMkBqaHUuZWR1LiYjeEQ7Sm9obnMg
SG9wa2lucyBCbG9vbWJlcmcgU2Nob29sIG9mIFB1YmxpYyBIZWFsdGgsIERlcGFydG1lbnQgb2Yg
RW52aXJvbm1lbnRhbCBIZWFsdGggYW5kIEVuZ2luZWVyaW5nLCBKb2hucyBIb3BraW5zIFVuaXZl
cnNpdHksIEJhbHRpbW9yZSwgTUQsIFVTQTsgQ29sdW1iaWEgVW5pdmVyc2l0eSBNYWlsbWFuIFNj
aG9vbCBvZiBQdWJsaWMgSGVhbHRoLCBEZXBhcnRtZW50IG9mIEVudmlyb25tZW50YWwgSGVhbHRo
IFNjaWVuY2VzLCBDb2x1bWJpYSBVbml2ZXJzaXR5LCBOZXcgWW9yaywgTlksIFVTQS4mI3hEO0lu
c3RpdHV0ZSBvZiBDaGVtaXN0cnkgQW5hbHl0aWNhbCBDaGVtaXN0cnksIFVuaXZlcnNpdHkgb2Yg
R3JheiwgQXVzdHJpYS4mI3hEO0pvaG5zIEhvcGtpbnMgQmxvb21iZXJnIFNjaG9vbCBvZiBQdWJs
aWMgSGVhbHRoLCBEZXBhcnRtZW50IG9mIEVudmlyb25tZW50YWwgSGVhbHRoIGFuZCBFbmdpbmVl
cmluZywgSm9obnMgSG9wa2lucyBVbml2ZXJzaXR5LCBCYWx0aW1vcmUsIE1ELCBVU0EuJiN4RDtJ
bnN0aXR1dGUgZm9yIEdsb2JhbCBUb2JhY2NvIENvbnRyb2wsIEpvaG5zIEhvcGtpbnMgVW5pdmVy
c2l0eSwgQmFsdGltb3JlLCBNRCwgVVNBOyBKb2hucyBIb3BraW5zIEJsb29tYmVyZyBTY2hvb2wg
b2YgUHVibGljIEhlYWx0aCwgRGVwYXJ0bWVudCBvZiBIZWFsdGgsIEJlaGF2aW9yLCBhbmQgU29j
aWV0eSwgSm9obnMgSG9wa2lucyBVbml2ZXJzaXR5LCBCYWx0aW1vcmUsIE1ELCBVU0EuJiN4RDtK
b2hucyBIb3BraW5zIEJsb29tYmVyZyBTY2hvb2wgb2YgUHVibGljIEhlYWx0aCwgRGVwYXJ0bWVu
dCBvZiBFbnZpcm9ubWVudGFsIEhlYWx0aCBhbmQgRW5naW5lZXJpbmcsIEpvaG5zIEhvcGtpbnMg
VW5pdmVyc2l0eSwgQmFsdGltb3JlLCBNRCwgVVNBOyBDb2x1bWJpYSBVbml2ZXJzaXR5IE1haWxt
YW4gU2Nob29sIG9mIFB1YmxpYyBIZWFsdGgsIERlcGFydG1lbnQgb2YgRW52aXJvbm1lbnRhbCBI
ZWFsdGggU2NpZW5jZXMsIENvbHVtYmlhIFVuaXZlcnNpdHksIE5ldyBZb3JrLCBOWSwgVVNBOyBK
b2hucyBIb3BraW5zIEJsb29tYmVyZyBTY2hvb2wgb2YgUHVibGljIEhlYWx0aCwgRGVwYXJ0bWVu
dCBvZiBFcGlkZW1pb2xvZ3ksIEpvaG5zIEhvcGtpbnMgVW5pdmVyc2l0eSwgQmFsdGltb3JlLCBN
RCwgVVNBLjwvYXV0aC1hZGRyZXNzPjx0aXRsZXM+PHRpdGxlPlRoZSBhc3NvY2lhdGlvbiBvZiBl
LWNpZ2FyZXR0ZSB1c2Ugd2l0aCBleHBvc3VyZSB0byBuaWNrZWwgYW5kIGNocm9taXVtOiBBIHBy
ZWxpbWluYXJ5IHN0dWR5IG9mIG5vbi1pbnZhc2l2ZSBiaW9tYXJrZXJzPC90aXRsZT48c2Vjb25k
YXJ5LXRpdGxlPkVudmlyb24gUmVzPC9zZWNvbmRhcnktdGl0bGU+PGFsdC10aXRsZT5FbnZpcm9u
bWVudGFsIHJlc2VhcmNoPC9hbHQtdGl0bGU+PC90aXRsZXM+PHBlcmlvZGljYWw+PGZ1bGwtdGl0
bGU+RW52aXJvbiBSZXM8L2Z1bGwtdGl0bGU+PGFiYnItMT5FbnZpcm9ubWVudGFsIHJlc2VhcmNo
PC9hYmJyLTE+PC9wZXJpb2RpY2FsPjxhbHQtcGVyaW9kaWNhbD48ZnVsbC10aXRsZT5FbnZpcm9u
IFJlczwvZnVsbC10aXRsZT48YWJici0xPkVudmlyb25tZW50YWwgcmVzZWFyY2g8L2FiYnItMT48
L2FsdC1wZXJpb2RpY2FsPjxwYWdlcz4zMTMtMzIwPC9wYWdlcz48dm9sdW1lPjE1OTwvdm9sdW1l
PjxlZGl0aW9uPjIwMTcvMDgvMjU8L2VkaXRpb24+PGtleXdvcmRzPjxrZXl3b3JkPkFkdWx0PC9r
ZXl3b3JkPjxrZXl3b3JkPkFpciBQb2xsdXRhbnRzLyptZXRhYm9saXNtL3VyaW5lPC9rZXl3b3Jk
PjxrZXl3b3JkPkJhbHRpbW9yZTwva2V5d29yZD48a2V5d29yZD5CaW9tYXJrZXJzL21ldGFib2xp
c20vdXJpbmU8L2tleXdvcmQ+PGtleXdvcmQ+QnJlYXRoIFRlc3RzPC9rZXl3b3JkPjxrZXl3b3Jk
PkNocm9taXVtLyptZXRhYm9saXNtL3VyaW5lPC9rZXl3b3JkPjxrZXl3b3JkPkVsZWN0cm9uaWMg
Tmljb3RpbmUgRGVsaXZlcnkgU3lzdGVtcy8qc3RhdGlzdGljcyAmYW1wOyBudW1lcmljYWwgZGF0
YTwva2V5d29yZD48a2V5d29yZD5FbnZpcm9ubWVudGFsIEV4cG9zdXJlPC9rZXl3b3JkPjxrZXl3
b3JkPkVudmlyb25tZW50YWwgTW9uaXRvcmluZzwva2V5d29yZD48a2V5d29yZD5GZW1hbGU8L2tl
eXdvcmQ+PGtleXdvcmQ+SHVtYW5zPC9rZXl3b3JkPjxrZXl3b3JkPk1hbGU8L2tleXdvcmQ+PGtl
eXdvcmQ+TWlkZGxlIEFnZWQ8L2tleXdvcmQ+PGtleXdvcmQ+Tmlja2VsLyptZXRhYm9saXNtL3Vy
aW5lPC9rZXl3b3JkPjxrZXl3b3JkPlNhbGl2YS9jaGVtaXN0cnk8L2tleXdvcmQ+PGtleXdvcmQ+
WW91bmcgQWR1bHQ8L2tleXdvcmQ+PC9rZXl3b3Jkcz48ZGF0ZXM+PHllYXI+MjAxNzwveWVhcj48
cHViLWRhdGVzPjxkYXRlPk5vdjwvZGF0ZT48L3B1Yi1kYXRlcz48L2RhdGVzPjxpc2JuPjAwMTMt
OTM1MTwvaXNibj48YWNjZXNzaW9uLW51bT4yODgzNzkwMzwvYWNjZXNzaW9uLW51bT48dXJscz48
L3VybHM+PGVsZWN0cm9uaWMtcmVzb3VyY2UtbnVtPjEwLjEwMTYvai5lbnZyZXMuMjAxNy4wOC4w
MTQ8L2VsZWN0cm9uaWMtcmVzb3VyY2UtbnVtPjxyZW1vdGUtZGF0YWJhc2UtcHJvdmlkZXI+TkxN
PC9yZW1vdGUtZGF0YWJhc2UtcHJvdmlkZXI+PGxhbmd1YWdlPmVuZzwvbGFuZ3VhZ2U+PC9yZWNv
cmQ+PC9DaXRlPjwvRW5kTm90ZT5=
</w:fldData>
        </w:fldChar>
      </w:r>
      <w:r w:rsidRPr="00430400">
        <w:rPr>
          <w:sz w:val="24"/>
        </w:rPr>
        <w:instrText xml:space="preserve"> ADDIN EN.CITE </w:instrText>
      </w:r>
      <w:r w:rsidRPr="00430400">
        <w:rPr>
          <w:sz w:val="24"/>
        </w:rPr>
        <w:fldChar w:fldCharType="begin">
          <w:fldData xml:space="preserve">PEVuZE5vdGU+PENpdGU+PEF1dGhvcj5BaGVycmVyYTwvQXV0aG9yPjxZZWFyPjIwMTc8L1llYXI+
PFJlY051bT4zNDQ3PC9SZWNOdW0+PERpc3BsYXlUZXh0PihBaGVycmVyYSwgT2xtZWRvIGV0IGFs
LiAyMDE3KTwvRGlzcGxheVRleHQ+PHJlY29yZD48cmVjLW51bWJlcj4zNDQ3PC9yZWMtbnVtYmVy
Pjxmb3JlaWduLWtleXM+PGtleSBhcHA9IkVOIiBkYi1pZD0iZnB0OXB0dHJtNXpmc2Flc3A5ZnBz
ZGR2MDlld3N2NXhld2ZkIiB0aW1lc3RhbXA9IjE1MjM4NDA4MzkiPjM0NDc8L2tleT48a2V5IGFw
cD0iRU5XZWIiIGRiLWlkPSIiPjA8L2tleT48L2ZvcmVpZ24ta2V5cz48cmVmLXR5cGUgbmFtZT0i
Sm91cm5hbCBBcnRpY2xlIj4xNzwvcmVmLXR5cGU+PGNvbnRyaWJ1dG9ycz48YXV0aG9ycz48YXV0
aG9yPkFoZXJyZXJhLCBBLjwvYXV0aG9yPjxhdXRob3I+T2xtZWRvLCBQLjwvYXV0aG9yPjxhdXRo
b3I+R3JhdS1QZXJleiwgTS48L2F1dGhvcj48YXV0aG9yPlRhbmRhLCBTLjwvYXV0aG9yPjxhdXRo
b3I+R29lc3NsZXIsIFcuPC9hdXRob3I+PGF1dGhvcj5KYXJtdWwsIFMuPC9hdXRob3I+PGF1dGhv
cj5DaGVuLCBSLjwvYXV0aG9yPjxhdXRob3I+Q29oZW4sIEouIEUuPC9hdXRob3I+PGF1dGhvcj5S
dWxlLCBBLiBNLjwvYXV0aG9yPjxhdXRob3I+TmF2YXMtQWNpZW4sIEEuPC9hdXRob3I+PC9hdXRo
b3JzPjwvY29udHJpYnV0b3JzPjxhdXRoLWFkZHJlc3M+Sm9obnMgSG9wa2lucyBCbG9vbWJlcmcg
U2Nob29sIG9mIFB1YmxpYyBIZWFsdGgsIERlcGFydG1lbnQgb2YgRW52aXJvbm1lbnRhbCBIZWFs
dGggYW5kIEVuZ2luZWVyaW5nLCBKb2hucyBIb3BraW5zIFVuaXZlcnNpdHksIEJhbHRpbW9yZSwg
TUQsIFVTQS4gRWxlY3Ryb25pYyBhZGRyZXNzOiBhYWhlcnJlMkBqaHUuZWR1LiYjeEQ7Sm9obnMg
SG9wa2lucyBCbG9vbWJlcmcgU2Nob29sIG9mIFB1YmxpYyBIZWFsdGgsIERlcGFydG1lbnQgb2Yg
RW52aXJvbm1lbnRhbCBIZWFsdGggYW5kIEVuZ2luZWVyaW5nLCBKb2hucyBIb3BraW5zIFVuaXZl
cnNpdHksIEJhbHRpbW9yZSwgTUQsIFVTQTsgQ29sdW1iaWEgVW5pdmVyc2l0eSBNYWlsbWFuIFNj
aG9vbCBvZiBQdWJsaWMgSGVhbHRoLCBEZXBhcnRtZW50IG9mIEVudmlyb25tZW50YWwgSGVhbHRo
IFNjaWVuY2VzLCBDb2x1bWJpYSBVbml2ZXJzaXR5LCBOZXcgWW9yaywgTlksIFVTQS4mI3hEO0lu
c3RpdHV0ZSBvZiBDaGVtaXN0cnkgQW5hbHl0aWNhbCBDaGVtaXN0cnksIFVuaXZlcnNpdHkgb2Yg
R3JheiwgQXVzdHJpYS4mI3hEO0pvaG5zIEhvcGtpbnMgQmxvb21iZXJnIFNjaG9vbCBvZiBQdWJs
aWMgSGVhbHRoLCBEZXBhcnRtZW50IG9mIEVudmlyb25tZW50YWwgSGVhbHRoIGFuZCBFbmdpbmVl
cmluZywgSm9obnMgSG9wa2lucyBVbml2ZXJzaXR5LCBCYWx0aW1vcmUsIE1ELCBVU0EuJiN4RDtJ
bnN0aXR1dGUgZm9yIEdsb2JhbCBUb2JhY2NvIENvbnRyb2wsIEpvaG5zIEhvcGtpbnMgVW5pdmVy
c2l0eSwgQmFsdGltb3JlLCBNRCwgVVNBOyBKb2hucyBIb3BraW5zIEJsb29tYmVyZyBTY2hvb2wg
b2YgUHVibGljIEhlYWx0aCwgRGVwYXJ0bWVudCBvZiBIZWFsdGgsIEJlaGF2aW9yLCBhbmQgU29j
aWV0eSwgSm9obnMgSG9wa2lucyBVbml2ZXJzaXR5LCBCYWx0aW1vcmUsIE1ELCBVU0EuJiN4RDtK
b2hucyBIb3BraW5zIEJsb29tYmVyZyBTY2hvb2wgb2YgUHVibGljIEhlYWx0aCwgRGVwYXJ0bWVu
dCBvZiBFbnZpcm9ubWVudGFsIEhlYWx0aCBhbmQgRW5naW5lZXJpbmcsIEpvaG5zIEhvcGtpbnMg
VW5pdmVyc2l0eSwgQmFsdGltb3JlLCBNRCwgVVNBOyBDb2x1bWJpYSBVbml2ZXJzaXR5IE1haWxt
YW4gU2Nob29sIG9mIFB1YmxpYyBIZWFsdGgsIERlcGFydG1lbnQgb2YgRW52aXJvbm1lbnRhbCBI
ZWFsdGggU2NpZW5jZXMsIENvbHVtYmlhIFVuaXZlcnNpdHksIE5ldyBZb3JrLCBOWSwgVVNBOyBK
b2hucyBIb3BraW5zIEJsb29tYmVyZyBTY2hvb2wgb2YgUHVibGljIEhlYWx0aCwgRGVwYXJ0bWVu
dCBvZiBFcGlkZW1pb2xvZ3ksIEpvaG5zIEhvcGtpbnMgVW5pdmVyc2l0eSwgQmFsdGltb3JlLCBN
RCwgVVNBLjwvYXV0aC1hZGRyZXNzPjx0aXRsZXM+PHRpdGxlPlRoZSBhc3NvY2lhdGlvbiBvZiBl
LWNpZ2FyZXR0ZSB1c2Ugd2l0aCBleHBvc3VyZSB0byBuaWNrZWwgYW5kIGNocm9taXVtOiBBIHBy
ZWxpbWluYXJ5IHN0dWR5IG9mIG5vbi1pbnZhc2l2ZSBiaW9tYXJrZXJzPC90aXRsZT48c2Vjb25k
YXJ5LXRpdGxlPkVudmlyb24gUmVzPC9zZWNvbmRhcnktdGl0bGU+PGFsdC10aXRsZT5FbnZpcm9u
bWVudGFsIHJlc2VhcmNoPC9hbHQtdGl0bGU+PC90aXRsZXM+PHBlcmlvZGljYWw+PGZ1bGwtdGl0
bGU+RW52aXJvbiBSZXM8L2Z1bGwtdGl0bGU+PGFiYnItMT5FbnZpcm9ubWVudGFsIHJlc2VhcmNo
PC9hYmJyLTE+PC9wZXJpb2RpY2FsPjxhbHQtcGVyaW9kaWNhbD48ZnVsbC10aXRsZT5FbnZpcm9u
IFJlczwvZnVsbC10aXRsZT48YWJici0xPkVudmlyb25tZW50YWwgcmVzZWFyY2g8L2FiYnItMT48
L2FsdC1wZXJpb2RpY2FsPjxwYWdlcz4zMTMtMzIwPC9wYWdlcz48dm9sdW1lPjE1OTwvdm9sdW1l
PjxlZGl0aW9uPjIwMTcvMDgvMjU8L2VkaXRpb24+PGtleXdvcmRzPjxrZXl3b3JkPkFkdWx0PC9r
ZXl3b3JkPjxrZXl3b3JkPkFpciBQb2xsdXRhbnRzLyptZXRhYm9saXNtL3VyaW5lPC9rZXl3b3Jk
PjxrZXl3b3JkPkJhbHRpbW9yZTwva2V5d29yZD48a2V5d29yZD5CaW9tYXJrZXJzL21ldGFib2xp
c20vdXJpbmU8L2tleXdvcmQ+PGtleXdvcmQ+QnJlYXRoIFRlc3RzPC9rZXl3b3JkPjxrZXl3b3Jk
PkNocm9taXVtLyptZXRhYm9saXNtL3VyaW5lPC9rZXl3b3JkPjxrZXl3b3JkPkVsZWN0cm9uaWMg
Tmljb3RpbmUgRGVsaXZlcnkgU3lzdGVtcy8qc3RhdGlzdGljcyAmYW1wOyBudW1lcmljYWwgZGF0
YTwva2V5d29yZD48a2V5d29yZD5FbnZpcm9ubWVudGFsIEV4cG9zdXJlPC9rZXl3b3JkPjxrZXl3
b3JkPkVudmlyb25tZW50YWwgTW9uaXRvcmluZzwva2V5d29yZD48a2V5d29yZD5GZW1hbGU8L2tl
eXdvcmQ+PGtleXdvcmQ+SHVtYW5zPC9rZXl3b3JkPjxrZXl3b3JkPk1hbGU8L2tleXdvcmQ+PGtl
eXdvcmQ+TWlkZGxlIEFnZWQ8L2tleXdvcmQ+PGtleXdvcmQ+Tmlja2VsLyptZXRhYm9saXNtL3Vy
aW5lPC9rZXl3b3JkPjxrZXl3b3JkPlNhbGl2YS9jaGVtaXN0cnk8L2tleXdvcmQ+PGtleXdvcmQ+
WW91bmcgQWR1bHQ8L2tleXdvcmQ+PC9rZXl3b3Jkcz48ZGF0ZXM+PHllYXI+MjAxNzwveWVhcj48
cHViLWRhdGVzPjxkYXRlPk5vdjwvZGF0ZT48L3B1Yi1kYXRlcz48L2RhdGVzPjxpc2JuPjAwMTMt
OTM1MTwvaXNibj48YWNjZXNzaW9uLW51bT4yODgzNzkwMzwvYWNjZXNzaW9uLW51bT48dXJscz48
L3VybHM+PGVsZWN0cm9uaWMtcmVzb3VyY2UtbnVtPjEwLjEwMTYvai5lbnZyZXMuMjAxNy4wOC4w
MTQ8L2VsZWN0cm9uaWMtcmVzb3VyY2UtbnVtPjxyZW1vdGUtZGF0YWJhc2UtcHJvdmlkZXI+TkxN
PC9yZW1vdGUtZGF0YWJhc2UtcHJvdmlkZXI+PGxhbmd1YWdlPmVuZzwvbGFuZ3VhZ2U+PC9yZWNv
cmQ+PC9DaXRlPjwvRW5kTm90ZT5=
</w:fldData>
        </w:fldChar>
      </w:r>
      <w:r w:rsidRPr="00430400">
        <w:rPr>
          <w:sz w:val="24"/>
        </w:rPr>
        <w:instrText xml:space="preserve"> ADDIN EN.CITE.DATA </w:instrText>
      </w:r>
      <w:r w:rsidRPr="00430400">
        <w:rPr>
          <w:sz w:val="24"/>
        </w:rPr>
      </w:r>
      <w:r w:rsidRPr="00430400">
        <w:rPr>
          <w:sz w:val="24"/>
        </w:rPr>
        <w:fldChar w:fldCharType="end"/>
      </w:r>
      <w:r w:rsidRPr="00430400">
        <w:rPr>
          <w:sz w:val="24"/>
        </w:rPr>
      </w:r>
      <w:r w:rsidRPr="00430400">
        <w:rPr>
          <w:sz w:val="24"/>
        </w:rPr>
        <w:fldChar w:fldCharType="separate"/>
      </w:r>
      <w:r w:rsidRPr="00430400">
        <w:rPr>
          <w:noProof/>
          <w:sz w:val="24"/>
        </w:rPr>
        <w:t>(Aherrera, Olmedo et al. 2017)</w:t>
      </w:r>
      <w:r w:rsidRPr="00430400">
        <w:rPr>
          <w:sz w:val="24"/>
        </w:rPr>
        <w:fldChar w:fldCharType="end"/>
      </w:r>
      <w:r w:rsidRPr="00430400">
        <w:rPr>
          <w:sz w:val="24"/>
        </w:rPr>
        <w:t xml:space="preserve"> and flame retardants </w:t>
      </w:r>
      <w:r w:rsidRPr="00430400">
        <w:rPr>
          <w:sz w:val="24"/>
        </w:rPr>
        <w:fldChar w:fldCharType="begin">
          <w:fldData xml:space="preserve">PEVuZE5vdGU+PENpdGU+PEF1dGhvcj5XZWk8L0F1dGhvcj48WWVhcj4yMDE4PC9ZZWFyPjxSZWNO
dW0+MTE0NjY8L1JlY051bT48RGlzcGxheVRleHQ+KFdlaSwgR29uaWV3aWN6IGV0IGFsLiAyMDE4
KTwvRGlzcGxheVRleHQ+PHJlY29yZD48cmVjLW51bWJlcj4xMTQ2NjwvcmVjLW51bWJlcj48Zm9y
ZWlnbi1rZXlzPjxrZXkgYXBwPSJFTiIgZGItaWQ9IjV4djV3NXQyYmR4dHhmZXp4MDJ4dHhkZnQ1
cno1cHR2dnQyOSIgdGltZXN0YW1wPSIxNTIzODYyMTg4Ij4xMTQ2Njwva2V5PjxrZXkgYXBwPSJF
TldlYiIgZGItaWQ9IiI+MDwva2V5PjwvZm9yZWlnbi1rZXlzPjxyZWYtdHlwZSBuYW1lPSJKb3Vy
bmFsIEFydGljbGUiPjE3PC9yZWYtdHlwZT48Y29udHJpYnV0b3JzPjxhdXRob3JzPjxhdXRob3I+
V2VpLCBCLjwvYXV0aG9yPjxhdXRob3I+R29uaWV3aWN6LCBNLiBMLjwvYXV0aG9yPjxhdXRob3I+
T+KAmUNvbm5vciwgUi4gSi48L2F1dGhvcj48YXV0aG9yPlRyYXZlcnMsIE0uIEouPC9hdXRob3I+
PGF1dGhvcj5IeWxhbmQsIEEuIEouPC9hdXRob3I+PC9hdXRob3JzPjwvY29udHJpYnV0b3JzPjx0
aXRsZXM+PHRpdGxlPlVyaW5hcnkgbWV0YWJvbGl0ZSBsZXZlbHMgb2YgZmxhbWUgcmV0YXJkYW50
cyBpbiBlbGVjdHJvbmljIGNpZ2FyZXR0ZSB1c2VyczogQSBzdHVkeSB1c2luZyB0aGUgZGF0YSBm
cm9tIE5IQU5FUyAyMDEz4oCTMjAxNDwvdGl0bGU+PHNlY29uZGFyeS10aXRsZT5JbnRlcm5hdGlv
bmFsIEpvdXJuYWwgb2YgRW52aXJvbm1lbnRhbCBSZXNlYXJjaCBhbmQgUHVibGljIEhlYWx0aDwv
c2Vjb25kYXJ5LXRpdGxlPjwvdGl0bGVzPjxwZXJpb2RpY2FsPjxmdWxsLXRpdGxlPkludCBKIEVu
dmlyb24gUmVzIFB1YmxpYyBIZWFsdGg8L2Z1bGwtdGl0bGU+PGFiYnItMT5JbnRlcm5hdGlvbmFs
IGpvdXJuYWwgb2YgZW52aXJvbm1lbnRhbCByZXNlYXJjaCBhbmQgcHVibGljIGhlYWx0aDwvYWJi
ci0xPjwvcGVyaW9kaWNhbD48dm9sdW1lPjE1PC92b2x1bWU+PG51bWJlcj4yPC9udW1iZXI+PGtl
eXdvcmRzPjxrZXl3b3JkPmJpcygxLDMgZGljaGxvcm8gMiBwcm9weWwpcGhvc3BoYXRlPC9rZXl3
b3JkPjxrZXl3b3JkPmJpcygyIGNobG9yb2V0aHlsKXBob3NwaGF0ZTwva2V5d29yZD48a2V5d29y
ZD5kaWJ1dHlscGhvc3BoYXRlPC9rZXl3b3JkPjxrZXl3b3JkPmRpcGhlbnlscGhvc3BoYXRlPC9r
ZXl3b3JkPjxrZXl3b3JkPmZsYW1lIHJldGFyZGFudDwva2V5d29yZD48a2V5d29yZD5vcmdhbm9w
aG9zcGhhdGU8L2tleXdvcmQ+PGtleXdvcmQ+cGhvc3Bob3JpYyBhY2lkIHRyaXMoMiBjaGxvcm9l
dGh5bCkgZXN0ZXI8L2tleXdvcmQ+PGtleXdvcmQ+dW5jbGFzc2lmaWVkIGRydWc8L2tleXdvcmQ+
PGtleXdvcmQ+YmlvbWFya2VyPC9rZXl3b3JkPjxrZXl3b3JkPmNvbmNlbnRyYXRpb24gKGNvbXBv
c2l0aW9uKTwva2V5d29yZD48a2V5d29yZD5oZWFsdGggcmlzazwva2V5d29yZD48a2V5d29yZD5t
ZXRhYm9saXRlPC9rZXl3b3JkPjxrZXl3b3JkPnB1YmxpYyBoZWFsdGg8L2tleXdvcmQ+PGtleXdv
cmQ+dG9iYWNjbzwva2V5d29yZD48a2V5d29yZD51cmluZTwva2V5d29yZD48a2V5d29yZD5hZHVs
dDwva2V5d29yZD48a2V5d29yZD5BcnRpY2xlPC9rZXl3b3JkPjxrZXl3b3JkPmJvZHkgYnVyZGVu
PC9rZXl3b3JkPjxrZXl3b3JkPmNpZ2FyIHNtb2tpbmc8L2tleXdvcmQ+PGtleXdvcmQ+Y2lnYXJl
dHRlIHNtb2tpbmc8L2tleXdvcmQ+PGtleXdvcmQ+Y29udHJvbGxlZCBzdHVkeTwva2V5d29yZD48
a2V5d29yZD5mZW1hbGU8L2tleXdvcmQ+PGtleXdvcmQ+aHVtYW48L2tleXdvcmQ+PGtleXdvcmQ+
bWFsZTwva2V5d29yZD48a2V5d29yZD5waWxvdCBzdHVkeTwva2V5d29yZD48a2V5d29yZD5zbW9r
ZWxlc3MgdG9iYWNjbzwva2V5d29yZD48a2V5d29yZD51cmluYWx5c2lzPC9rZXl3b3JkPjxrZXl3
b3JkPnZhcGluZzwva2V5d29yZD48a2V5d29yZD5OaWNvdGlhbmEgdGFiYWN1bTwva2V5d29yZD48
L2tleXdvcmRzPjxkYXRlcz48eWVhcj4yMDE4PC95ZWFyPjwvZGF0ZXM+PHVybHM+PHJlbGF0ZWQt
dXJscz48dXJsPmh0dHBzOi8vd3d3LnNjb3B1cy5jb20vaW53YXJkL3JlY29yZC51cmk/ZWlkPTIt
czIuMC04NTA0MTExNTY2MCZhbXA7ZG9pPTEwLjMzOTAlMmZpamVycGgxNTAyMDIwMSZhbXA7cGFy
dG5lcklEPTQwJmFtcDttZDU9MGQzNDZjYzNkOTk3NmU5MTNkODMyZTkxMjk2NDFjMzM8L3VybD48
L3JlbGF0ZWQtdXJscz48L3VybHM+PGVsZWN0cm9uaWMtcmVzb3VyY2UtbnVtPjEwLjMzOTAvaWpl
cnBoMTUwMjAyMDE8L2VsZWN0cm9uaWMtcmVzb3VyY2UtbnVtPjxyZW1vdGUtZGF0YWJhc2UtbmFt
ZT5TY29wdXMgQzcgLSAyMDE8L3JlbW90ZS1kYXRhYmFzZS1uYW1lPjwvcmVjb3JkPjwvQ2l0ZT48
L0VuZE5vdGU+AG==
</w:fldData>
        </w:fldChar>
      </w:r>
      <w:r w:rsidRPr="00430400">
        <w:rPr>
          <w:sz w:val="24"/>
        </w:rPr>
        <w:instrText xml:space="preserve"> ADDIN EN.CITE </w:instrText>
      </w:r>
      <w:r w:rsidRPr="00430400">
        <w:rPr>
          <w:sz w:val="24"/>
        </w:rPr>
        <w:fldChar w:fldCharType="begin">
          <w:fldData xml:space="preserve">PEVuZE5vdGU+PENpdGU+PEF1dGhvcj5XZWk8L0F1dGhvcj48WWVhcj4yMDE4PC9ZZWFyPjxSZWNO
dW0+MTE0NjY8L1JlY051bT48RGlzcGxheVRleHQ+KFdlaSwgR29uaWV3aWN6IGV0IGFsLiAyMDE4
KTwvRGlzcGxheVRleHQ+PHJlY29yZD48cmVjLW51bWJlcj4xMTQ2NjwvcmVjLW51bWJlcj48Zm9y
ZWlnbi1rZXlzPjxrZXkgYXBwPSJFTiIgZGItaWQ9IjV4djV3NXQyYmR4dHhmZXp4MDJ4dHhkZnQ1
cno1cHR2dnQyOSIgdGltZXN0YW1wPSIxNTIzODYyMTg4Ij4xMTQ2Njwva2V5PjxrZXkgYXBwPSJF
TldlYiIgZGItaWQ9IiI+MDwva2V5PjwvZm9yZWlnbi1rZXlzPjxyZWYtdHlwZSBuYW1lPSJKb3Vy
bmFsIEFydGljbGUiPjE3PC9yZWYtdHlwZT48Y29udHJpYnV0b3JzPjxhdXRob3JzPjxhdXRob3I+
V2VpLCBCLjwvYXV0aG9yPjxhdXRob3I+R29uaWV3aWN6LCBNLiBMLjwvYXV0aG9yPjxhdXRob3I+
T+KAmUNvbm5vciwgUi4gSi48L2F1dGhvcj48YXV0aG9yPlRyYXZlcnMsIE0uIEouPC9hdXRob3I+
PGF1dGhvcj5IeWxhbmQsIEEuIEouPC9hdXRob3I+PC9hdXRob3JzPjwvY29udHJpYnV0b3JzPjx0
aXRsZXM+PHRpdGxlPlVyaW5hcnkgbWV0YWJvbGl0ZSBsZXZlbHMgb2YgZmxhbWUgcmV0YXJkYW50
cyBpbiBlbGVjdHJvbmljIGNpZ2FyZXR0ZSB1c2VyczogQSBzdHVkeSB1c2luZyB0aGUgZGF0YSBm
cm9tIE5IQU5FUyAyMDEz4oCTMjAxNDwvdGl0bGU+PHNlY29uZGFyeS10aXRsZT5JbnRlcm5hdGlv
bmFsIEpvdXJuYWwgb2YgRW52aXJvbm1lbnRhbCBSZXNlYXJjaCBhbmQgUHVibGljIEhlYWx0aDwv
c2Vjb25kYXJ5LXRpdGxlPjwvdGl0bGVzPjxwZXJpb2RpY2FsPjxmdWxsLXRpdGxlPkludCBKIEVu
dmlyb24gUmVzIFB1YmxpYyBIZWFsdGg8L2Z1bGwtdGl0bGU+PGFiYnItMT5JbnRlcm5hdGlvbmFs
IGpvdXJuYWwgb2YgZW52aXJvbm1lbnRhbCByZXNlYXJjaCBhbmQgcHVibGljIGhlYWx0aDwvYWJi
ci0xPjwvcGVyaW9kaWNhbD48dm9sdW1lPjE1PC92b2x1bWU+PG51bWJlcj4yPC9udW1iZXI+PGtl
eXdvcmRzPjxrZXl3b3JkPmJpcygxLDMgZGljaGxvcm8gMiBwcm9weWwpcGhvc3BoYXRlPC9rZXl3
b3JkPjxrZXl3b3JkPmJpcygyIGNobG9yb2V0aHlsKXBob3NwaGF0ZTwva2V5d29yZD48a2V5d29y
ZD5kaWJ1dHlscGhvc3BoYXRlPC9rZXl3b3JkPjxrZXl3b3JkPmRpcGhlbnlscGhvc3BoYXRlPC9r
ZXl3b3JkPjxrZXl3b3JkPmZsYW1lIHJldGFyZGFudDwva2V5d29yZD48a2V5d29yZD5vcmdhbm9w
aG9zcGhhdGU8L2tleXdvcmQ+PGtleXdvcmQ+cGhvc3Bob3JpYyBhY2lkIHRyaXMoMiBjaGxvcm9l
dGh5bCkgZXN0ZXI8L2tleXdvcmQ+PGtleXdvcmQ+dW5jbGFzc2lmaWVkIGRydWc8L2tleXdvcmQ+
PGtleXdvcmQ+YmlvbWFya2VyPC9rZXl3b3JkPjxrZXl3b3JkPmNvbmNlbnRyYXRpb24gKGNvbXBv
c2l0aW9uKTwva2V5d29yZD48a2V5d29yZD5oZWFsdGggcmlzazwva2V5d29yZD48a2V5d29yZD5t
ZXRhYm9saXRlPC9rZXl3b3JkPjxrZXl3b3JkPnB1YmxpYyBoZWFsdGg8L2tleXdvcmQ+PGtleXdv
cmQ+dG9iYWNjbzwva2V5d29yZD48a2V5d29yZD51cmluZTwva2V5d29yZD48a2V5d29yZD5hZHVs
dDwva2V5d29yZD48a2V5d29yZD5BcnRpY2xlPC9rZXl3b3JkPjxrZXl3b3JkPmJvZHkgYnVyZGVu
PC9rZXl3b3JkPjxrZXl3b3JkPmNpZ2FyIHNtb2tpbmc8L2tleXdvcmQ+PGtleXdvcmQ+Y2lnYXJl
dHRlIHNtb2tpbmc8L2tleXdvcmQ+PGtleXdvcmQ+Y29udHJvbGxlZCBzdHVkeTwva2V5d29yZD48
a2V5d29yZD5mZW1hbGU8L2tleXdvcmQ+PGtleXdvcmQ+aHVtYW48L2tleXdvcmQ+PGtleXdvcmQ+
bWFsZTwva2V5d29yZD48a2V5d29yZD5waWxvdCBzdHVkeTwva2V5d29yZD48a2V5d29yZD5zbW9r
ZWxlc3MgdG9iYWNjbzwva2V5d29yZD48a2V5d29yZD51cmluYWx5c2lzPC9rZXl3b3JkPjxrZXl3
b3JkPnZhcGluZzwva2V5d29yZD48a2V5d29yZD5OaWNvdGlhbmEgdGFiYWN1bTwva2V5d29yZD48
L2tleXdvcmRzPjxkYXRlcz48eWVhcj4yMDE4PC95ZWFyPjwvZGF0ZXM+PHVybHM+PHJlbGF0ZWQt
dXJscz48dXJsPmh0dHBzOi8vd3d3LnNjb3B1cy5jb20vaW53YXJkL3JlY29yZC51cmk/ZWlkPTIt
czIuMC04NTA0MTExNTY2MCZhbXA7ZG9pPTEwLjMzOTAlMmZpamVycGgxNTAyMDIwMSZhbXA7cGFy
dG5lcklEPTQwJmFtcDttZDU9MGQzNDZjYzNkOTk3NmU5MTNkODMyZTkxMjk2NDFjMzM8L3VybD48
L3JlbGF0ZWQtdXJscz48L3VybHM+PGVsZWN0cm9uaWMtcmVzb3VyY2UtbnVtPjEwLjMzOTAvaWpl
cnBoMTUwMjAyMDE8L2VsZWN0cm9uaWMtcmVzb3VyY2UtbnVtPjxyZW1vdGUtZGF0YWJhc2UtbmFt
ZT5TY29wdXMgQzcgLSAyMDE8L3JlbW90ZS1kYXRhYmFzZS1uYW1lPjwvcmVjb3JkPjwvQ2l0ZT48
L0VuZE5vdGU+AG==
</w:fldData>
        </w:fldChar>
      </w:r>
      <w:r w:rsidRPr="00430400">
        <w:rPr>
          <w:sz w:val="24"/>
        </w:rPr>
        <w:instrText xml:space="preserve"> ADDIN EN.CITE.DATA </w:instrText>
      </w:r>
      <w:r w:rsidRPr="00430400">
        <w:rPr>
          <w:sz w:val="24"/>
        </w:rPr>
      </w:r>
      <w:r w:rsidRPr="00430400">
        <w:rPr>
          <w:sz w:val="24"/>
        </w:rPr>
        <w:fldChar w:fldCharType="end"/>
      </w:r>
      <w:r w:rsidRPr="00430400">
        <w:rPr>
          <w:sz w:val="24"/>
        </w:rPr>
      </w:r>
      <w:r w:rsidRPr="00430400">
        <w:rPr>
          <w:sz w:val="24"/>
        </w:rPr>
        <w:fldChar w:fldCharType="separate"/>
      </w:r>
      <w:r w:rsidRPr="00430400">
        <w:rPr>
          <w:noProof/>
          <w:sz w:val="24"/>
        </w:rPr>
        <w:t>(Wei, Goniewicz et al. 2018)</w:t>
      </w:r>
      <w:r w:rsidRPr="00430400">
        <w:rPr>
          <w:sz w:val="24"/>
        </w:rPr>
        <w:fldChar w:fldCharType="end"/>
      </w:r>
      <w:r w:rsidRPr="00430400">
        <w:rPr>
          <w:sz w:val="24"/>
        </w:rPr>
        <w:t>, indicating that there may be toxicant risk specific to the e</w:t>
      </w:r>
      <w:r w:rsidRPr="00430400">
        <w:rPr>
          <w:sz w:val="24"/>
        </w:rPr>
        <w:noBreakHyphen/>
        <w:t xml:space="preserve">cigarette device. </w:t>
      </w:r>
    </w:p>
    <w:p w14:paraId="1D53A82D" w14:textId="77777777" w:rsidR="00430400" w:rsidRPr="00430400" w:rsidRDefault="00430400" w:rsidP="00430400">
      <w:pPr>
        <w:spacing w:before="120" w:line="264" w:lineRule="auto"/>
        <w:rPr>
          <w:sz w:val="24"/>
        </w:rPr>
      </w:pPr>
    </w:p>
    <w:p w14:paraId="2D678537" w14:textId="77777777" w:rsidR="00430400" w:rsidRPr="00430400" w:rsidRDefault="00430400" w:rsidP="00430400">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1F6FF" w:themeFill="accent2" w:themeFillTint="1A"/>
        <w:spacing w:before="360" w:after="240"/>
        <w:ind w:left="227" w:right="227"/>
        <w:rPr>
          <w:b/>
          <w:sz w:val="28"/>
          <w:szCs w:val="28"/>
        </w:rPr>
      </w:pPr>
      <w:r w:rsidRPr="00430400">
        <w:rPr>
          <w:b/>
          <w:sz w:val="28"/>
          <w:szCs w:val="28"/>
        </w:rPr>
        <w:t>Previous reviews</w:t>
      </w:r>
    </w:p>
    <w:p w14:paraId="776E51AA" w14:textId="77777777" w:rsidR="00430400" w:rsidRPr="00430400" w:rsidRDefault="00430400" w:rsidP="00430400">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1F6FF" w:themeFill="accent2" w:themeFillTint="1A"/>
        <w:spacing w:after="0"/>
        <w:ind w:left="454" w:right="227" w:hanging="227"/>
        <w:contextualSpacing/>
        <w:rPr>
          <w:sz w:val="24"/>
          <w:szCs w:val="24"/>
        </w:rPr>
      </w:pPr>
      <w:r w:rsidRPr="00430400">
        <w:rPr>
          <w:sz w:val="24"/>
          <w:szCs w:val="24"/>
        </w:rPr>
        <w:t>The US National Academies of Sciences, Engineering and Medicine Review [3] concluded that:</w:t>
      </w:r>
    </w:p>
    <w:p w14:paraId="5E3FD9EC" w14:textId="77777777" w:rsidR="00430400" w:rsidRPr="00430400" w:rsidRDefault="00430400" w:rsidP="00430400">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1F6FF" w:themeFill="accent2" w:themeFillTint="1A"/>
        <w:spacing w:after="0"/>
        <w:ind w:left="454" w:right="227" w:hanging="227"/>
        <w:contextualSpacing/>
        <w:rPr>
          <w:sz w:val="24"/>
          <w:szCs w:val="24"/>
        </w:rPr>
      </w:pPr>
      <w:r w:rsidRPr="00430400">
        <w:rPr>
          <w:sz w:val="24"/>
          <w:szCs w:val="24"/>
        </w:rPr>
        <w:lastRenderedPageBreak/>
        <w:t>•</w:t>
      </w:r>
      <w:r w:rsidRPr="00430400">
        <w:rPr>
          <w:sz w:val="24"/>
          <w:szCs w:val="24"/>
        </w:rPr>
        <w:tab/>
        <w:t xml:space="preserve">‘There is </w:t>
      </w:r>
      <w:r w:rsidRPr="00430400">
        <w:rPr>
          <w:b/>
          <w:sz w:val="24"/>
          <w:szCs w:val="24"/>
        </w:rPr>
        <w:t>no available evidence</w:t>
      </w:r>
      <w:r w:rsidRPr="00430400">
        <w:rPr>
          <w:sz w:val="24"/>
          <w:szCs w:val="24"/>
        </w:rPr>
        <w:t xml:space="preserve"> whether or not e</w:t>
      </w:r>
      <w:r w:rsidRPr="00430400">
        <w:rPr>
          <w:sz w:val="24"/>
          <w:szCs w:val="24"/>
        </w:rPr>
        <w:noBreakHyphen/>
        <w:t>cigarette use is associated with intermediate cancer endpoints in humans. This holds true for comparisons of e</w:t>
      </w:r>
      <w:r w:rsidRPr="00430400">
        <w:rPr>
          <w:sz w:val="24"/>
          <w:szCs w:val="24"/>
        </w:rPr>
        <w:noBreakHyphen/>
        <w:t>cigarette use compared with combustible tobacco cigarettes and e</w:t>
      </w:r>
      <w:r w:rsidRPr="00430400">
        <w:rPr>
          <w:sz w:val="24"/>
          <w:szCs w:val="24"/>
        </w:rPr>
        <w:noBreakHyphen/>
        <w:t>cigarette use compared with no use of tobacco products.</w:t>
      </w:r>
    </w:p>
    <w:p w14:paraId="5298139E" w14:textId="77777777" w:rsidR="00430400" w:rsidRPr="00430400" w:rsidRDefault="00430400" w:rsidP="00430400">
      <w:pPr>
        <w:spacing w:before="120" w:line="264" w:lineRule="auto"/>
        <w:rPr>
          <w:sz w:val="24"/>
        </w:rPr>
      </w:pPr>
    </w:p>
    <w:p w14:paraId="2F3568EB" w14:textId="0BC3475D" w:rsidR="00430400" w:rsidRPr="00430400" w:rsidRDefault="00430400" w:rsidP="00430400">
      <w:pPr>
        <w:pStyle w:val="Heading2"/>
      </w:pPr>
      <w:bookmarkStart w:id="193" w:name="_Toc516848615"/>
      <w:r>
        <w:t xml:space="preserve"> </w:t>
      </w:r>
      <w:bookmarkStart w:id="194" w:name="_Toc517706708"/>
      <w:r w:rsidRPr="00430400">
        <w:t>Nicotine exposure and dependency</w:t>
      </w:r>
      <w:bookmarkEnd w:id="193"/>
      <w:bookmarkEnd w:id="194"/>
    </w:p>
    <w:p w14:paraId="2F06D504" w14:textId="0E374C79" w:rsidR="00430400" w:rsidRPr="00430400" w:rsidRDefault="00430400" w:rsidP="00430400">
      <w:pPr>
        <w:spacing w:before="120" w:line="264" w:lineRule="auto"/>
        <w:rPr>
          <w:sz w:val="24"/>
        </w:rPr>
      </w:pPr>
      <w:r w:rsidRPr="00430400">
        <w:rPr>
          <w:sz w:val="24"/>
        </w:rPr>
        <w:t xml:space="preserve">In Walele et al.’s </w:t>
      </w:r>
      <w:r w:rsidRPr="00430400">
        <w:rPr>
          <w:sz w:val="24"/>
        </w:rPr>
        <w:fldChar w:fldCharType="begin">
          <w:fldData xml:space="preserve">PEVuZE5vdGU+PENpdGU+PEF1dGhvcj5XYWxlbGU8L0F1dGhvcj48WWVhcj4yMDE4PC9ZZWFyPjxS
ZWNOdW0+MTg2PC9SZWNOdW0+PERpc3BsYXlUZXh0PihXYWxlbGUsIEJ1c2ggZXQgYWwuIDIwMTgp
PC9EaXNwbGF5VGV4dD48cmVjb3JkPjxyZWMtbnVtYmVyPjE4NjwvcmVjLW51bWJlcj48Zm9yZWln
bi1rZXlzPjxrZXkgYXBwPSJFTiIgZGItaWQ9IjV4djV3NXQyYmR4dHhmZXp4MDJ4dHhkZnQ1cno1
cHR2dnQyOSIgdGltZXN0YW1wPSIxNTIwNTY4NDIwIj4xODY8L2tleT48a2V5IGFwcD0iRU5XZWIi
IGRiLWlkPSIiPjA8L2tleT48L2ZvcmVpZ24ta2V5cz48cmVmLXR5cGUgbmFtZT0iSm91cm5hbCBB
cnRpY2xlIj4xNzwvcmVmLXR5cGU+PGNvbnRyaWJ1dG9ycz48YXV0aG9ycz48YXV0aG9yPldhbGVs
ZSwgVC48L2F1dGhvcj48YXV0aG9yPkJ1c2gsIEouPC9hdXRob3I+PGF1dGhvcj5Lb2NoLCBBLjwv
YXV0aG9yPjxhdXRob3I+U2F2aW96LCBSLjwvYXV0aG9yPjxhdXRob3I+TWFydGluLCBDLjwvYXV0
aG9yPjxhdXRob3I+TyZhcG9zO0Nvbm5lbGwsIEcuPC9hdXRob3I+PC9hdXRob3JzPjwvY29udHJp
YnV0b3JzPjxhdXRoLWFkZHJlc3M+Rm9udGVtIFZlbnR1cmVzLCBCYXJiYXJhIFN0cm96emlsYWFu
IDEwMSwgMTA4MyBITiBBbXN0ZXJkYW0sIFRoZSBOZXRoZXJsYW5kcy4gRWxlY3Ryb25pYyBhZGRy
ZXNzOiB0YW52aXIud2FsZWxlQGZvbnRlbXZlbnR1cmVzLmNvbS4mI3hEO0NvdmFuY2UgQ2xpbmlj
YWwgUmVzZWFyY2ggVW5pdCwgSHlkZSBTdHJlZXQsIExlZWRzLCBMUzIgOUxILCBVSy4mI3hEO1Np
bWJlYyBSZXNlYXJjaCwgTWVydGh5ciBUeWRmaWwsIENGNDggNERSLCBVSy4mI3hEO0NsaW5vcHNp
cyBTLkEuLCBKYXJkaW5zIDYsIDE0MjYgQ29uY2lzZSwgU3dpdHplcmxhbmQuJiN4RDtGb250ZW0g
VmVudHVyZXMsIEJhcmJhcmEgU3Ryb3p6aWxhYW4gMTAxLCAxMDgzIEhOIEFtc3RlcmRhbSwgVGhl
IE5ldGhlcmxhbmRzLjwvYXV0aC1hZGRyZXNzPjx0aXRsZXM+PHRpdGxlPkV2YWx1YXRpb24gb2Yg
dGhlIHNhZmV0eSBwcm9maWxlIG9mIGFuIGVsZWN0cm9uaWMgdmFwb3VyIHByb2R1Y3QgdXNlZCBm
b3IgdHdvIHllYXJzIGJ5IHNtb2tlcnMgaW4gYSByZWFsLWxpZmUgc2V0dGluZzwvdGl0bGU+PHNl
Y29uZGFyeS10aXRsZT5SZWd1bCBUb3hpY29sIFBoYXJtYWNvbDwvc2Vjb25kYXJ5LXRpdGxlPjxh
bHQtdGl0bGU+UmVndWxhdG9yeSB0b3hpY29sb2d5IGFuZCBwaGFybWFjb2xvZ3kgOiBSVFA8L2Fs
dC10aXRsZT48L3RpdGxlcz48cGVyaW9kaWNhbD48ZnVsbC10aXRsZT5SZWd1bCBUb3hpY29sIFBo
YXJtYWNvbDwvZnVsbC10aXRsZT48YWJici0xPlJlZ3VsYXRvcnkgdG94aWNvbG9neSBhbmQgcGhh
cm1hY29sb2d5IDogUlRQPC9hYmJyLTE+PC9wZXJpb2RpY2FsPjxhbHQtcGVyaW9kaWNhbD48ZnVs
bC10aXRsZT5SZWd1bCBUb3hpY29sIFBoYXJtYWNvbDwvZnVsbC10aXRsZT48YWJici0xPlJlZ3Vs
YXRvcnkgdG94aWNvbG9neSBhbmQgcGhhcm1hY29sb2d5IDogUlRQPC9hYmJyLTE+PC9hbHQtcGVy
aW9kaWNhbD48cGFnZXM+MjI2LTIzODwvcGFnZXM+PHZvbHVtZT45Mjwvdm9sdW1lPjxlZGl0aW9u
PjIwMTcvMTIvMTk8L2VkaXRpb24+PGtleXdvcmRzPjxrZXl3b3JkPkFkdmVyc2UgZXZlbnRzPC9r
ZXl3b3JkPjxrZXl3b3JkPkJpb21hcmtlcnMgb2YgZXhwb3N1cmU8L2tleXdvcmQ+PGtleXdvcmQ+
Q2xpbmljYWwgc3R1ZHk8L2tleXdvcmQ+PGtleXdvcmQ+RWxlY3Ryb25pYyBjaWdhcmV0dGU8L2tl
eXdvcmQ+PGtleXdvcmQ+RWxlY3Ryb25pYyB2YXBvdXIgcHJvZHVjdDwva2V5d29yZD48a2V5d29y
ZD5TYWZldHk8L2tleXdvcmQ+PGtleXdvcmQ+U3ViamVjdGl2ZSBlZmZlY3RzPC9rZXl3b3JkPjwv
a2V5d29yZHM+PGRhdGVzPjx5ZWFyPjIwMTg8L3llYXI+PHB1Yi1kYXRlcz48ZGF0ZT5GZWI8L2Rh
dGU+PC9wdWItZGF0ZXM+PC9kYXRlcz48aXNibj4wMjczLTIzMDA8L2lzYm4+PGFjY2Vzc2lvbi1u
dW0+MjkyNDg0ODc8L2FjY2Vzc2lvbi1udW0+PHVybHM+PC91cmxzPjxlbGVjdHJvbmljLXJlc291
cmNlLW51bT4xMC4xMDE2L2oueXJ0cGguMjAxNy4xMi4wMTA8L2VsZWN0cm9uaWMtcmVzb3VyY2Ut
bnVtPjxyZW1vdGUtZGF0YWJhc2UtcHJvdmlkZXI+TkxNPC9yZW1vdGUtZGF0YWJhc2UtcHJvdmlk
ZXI+PGxhbmd1YWdlPmVuZzwvbGFuZ3VhZ2U+PC9yZWNvcmQ+PC9DaXRlPjwvRW5kTm90ZT4A
</w:fldData>
        </w:fldChar>
      </w:r>
      <w:r w:rsidRPr="00430400">
        <w:rPr>
          <w:sz w:val="24"/>
        </w:rPr>
        <w:instrText xml:space="preserve"> ADDIN EN.CITE </w:instrText>
      </w:r>
      <w:r w:rsidRPr="00430400">
        <w:rPr>
          <w:sz w:val="24"/>
        </w:rPr>
        <w:fldChar w:fldCharType="begin">
          <w:fldData xml:space="preserve">PEVuZE5vdGU+PENpdGU+PEF1dGhvcj5XYWxlbGU8L0F1dGhvcj48WWVhcj4yMDE4PC9ZZWFyPjxS
ZWNOdW0+MTg2PC9SZWNOdW0+PERpc3BsYXlUZXh0PihXYWxlbGUsIEJ1c2ggZXQgYWwuIDIwMTgp
PC9EaXNwbGF5VGV4dD48cmVjb3JkPjxyZWMtbnVtYmVyPjE4NjwvcmVjLW51bWJlcj48Zm9yZWln
bi1rZXlzPjxrZXkgYXBwPSJFTiIgZGItaWQ9IjV4djV3NXQyYmR4dHhmZXp4MDJ4dHhkZnQ1cno1
cHR2dnQyOSIgdGltZXN0YW1wPSIxNTIwNTY4NDIwIj4xODY8L2tleT48a2V5IGFwcD0iRU5XZWIi
IGRiLWlkPSIiPjA8L2tleT48L2ZvcmVpZ24ta2V5cz48cmVmLXR5cGUgbmFtZT0iSm91cm5hbCBB
cnRpY2xlIj4xNzwvcmVmLXR5cGU+PGNvbnRyaWJ1dG9ycz48YXV0aG9ycz48YXV0aG9yPldhbGVs
ZSwgVC48L2F1dGhvcj48YXV0aG9yPkJ1c2gsIEouPC9hdXRob3I+PGF1dGhvcj5Lb2NoLCBBLjwv
YXV0aG9yPjxhdXRob3I+U2F2aW96LCBSLjwvYXV0aG9yPjxhdXRob3I+TWFydGluLCBDLjwvYXV0
aG9yPjxhdXRob3I+TyZhcG9zO0Nvbm5lbGwsIEcuPC9hdXRob3I+PC9hdXRob3JzPjwvY29udHJp
YnV0b3JzPjxhdXRoLWFkZHJlc3M+Rm9udGVtIFZlbnR1cmVzLCBCYXJiYXJhIFN0cm96emlsYWFu
IDEwMSwgMTA4MyBITiBBbXN0ZXJkYW0sIFRoZSBOZXRoZXJsYW5kcy4gRWxlY3Ryb25pYyBhZGRy
ZXNzOiB0YW52aXIud2FsZWxlQGZvbnRlbXZlbnR1cmVzLmNvbS4mI3hEO0NvdmFuY2UgQ2xpbmlj
YWwgUmVzZWFyY2ggVW5pdCwgSHlkZSBTdHJlZXQsIExlZWRzLCBMUzIgOUxILCBVSy4mI3hEO1Np
bWJlYyBSZXNlYXJjaCwgTWVydGh5ciBUeWRmaWwsIENGNDggNERSLCBVSy4mI3hEO0NsaW5vcHNp
cyBTLkEuLCBKYXJkaW5zIDYsIDE0MjYgQ29uY2lzZSwgU3dpdHplcmxhbmQuJiN4RDtGb250ZW0g
VmVudHVyZXMsIEJhcmJhcmEgU3Ryb3p6aWxhYW4gMTAxLCAxMDgzIEhOIEFtc3RlcmRhbSwgVGhl
IE5ldGhlcmxhbmRzLjwvYXV0aC1hZGRyZXNzPjx0aXRsZXM+PHRpdGxlPkV2YWx1YXRpb24gb2Yg
dGhlIHNhZmV0eSBwcm9maWxlIG9mIGFuIGVsZWN0cm9uaWMgdmFwb3VyIHByb2R1Y3QgdXNlZCBm
b3IgdHdvIHllYXJzIGJ5IHNtb2tlcnMgaW4gYSByZWFsLWxpZmUgc2V0dGluZzwvdGl0bGU+PHNl
Y29uZGFyeS10aXRsZT5SZWd1bCBUb3hpY29sIFBoYXJtYWNvbDwvc2Vjb25kYXJ5LXRpdGxlPjxh
bHQtdGl0bGU+UmVndWxhdG9yeSB0b3hpY29sb2d5IGFuZCBwaGFybWFjb2xvZ3kgOiBSVFA8L2Fs
dC10aXRsZT48L3RpdGxlcz48cGVyaW9kaWNhbD48ZnVsbC10aXRsZT5SZWd1bCBUb3hpY29sIFBo
YXJtYWNvbDwvZnVsbC10aXRsZT48YWJici0xPlJlZ3VsYXRvcnkgdG94aWNvbG9neSBhbmQgcGhh
cm1hY29sb2d5IDogUlRQPC9hYmJyLTE+PC9wZXJpb2RpY2FsPjxhbHQtcGVyaW9kaWNhbD48ZnVs
bC10aXRsZT5SZWd1bCBUb3hpY29sIFBoYXJtYWNvbDwvZnVsbC10aXRsZT48YWJici0xPlJlZ3Vs
YXRvcnkgdG94aWNvbG9neSBhbmQgcGhhcm1hY29sb2d5IDogUlRQPC9hYmJyLTE+PC9hbHQtcGVy
aW9kaWNhbD48cGFnZXM+MjI2LTIzODwvcGFnZXM+PHZvbHVtZT45Mjwvdm9sdW1lPjxlZGl0aW9u
PjIwMTcvMTIvMTk8L2VkaXRpb24+PGtleXdvcmRzPjxrZXl3b3JkPkFkdmVyc2UgZXZlbnRzPC9r
ZXl3b3JkPjxrZXl3b3JkPkJpb21hcmtlcnMgb2YgZXhwb3N1cmU8L2tleXdvcmQ+PGtleXdvcmQ+
Q2xpbmljYWwgc3R1ZHk8L2tleXdvcmQ+PGtleXdvcmQ+RWxlY3Ryb25pYyBjaWdhcmV0dGU8L2tl
eXdvcmQ+PGtleXdvcmQ+RWxlY3Ryb25pYyB2YXBvdXIgcHJvZHVjdDwva2V5d29yZD48a2V5d29y
ZD5TYWZldHk8L2tleXdvcmQ+PGtleXdvcmQ+U3ViamVjdGl2ZSBlZmZlY3RzPC9rZXl3b3JkPjwv
a2V5d29yZHM+PGRhdGVzPjx5ZWFyPjIwMTg8L3llYXI+PHB1Yi1kYXRlcz48ZGF0ZT5GZWI8L2Rh
dGU+PC9wdWItZGF0ZXM+PC9kYXRlcz48aXNibj4wMjczLTIzMDA8L2lzYm4+PGFjY2Vzc2lvbi1u
dW0+MjkyNDg0ODc8L2FjY2Vzc2lvbi1udW0+PHVybHM+PC91cmxzPjxlbGVjdHJvbmljLXJlc291
cmNlLW51bT4xMC4xMDE2L2oueXJ0cGguMjAxNy4xMi4wMTA8L2VsZWN0cm9uaWMtcmVzb3VyY2Ut
bnVtPjxyZW1vdGUtZGF0YWJhc2UtcHJvdmlkZXI+TkxNPC9yZW1vdGUtZGF0YWJhc2UtcHJvdmlk
ZXI+PGxhbmd1YWdlPmVuZzwvbGFuZ3VhZ2U+PC9yZWNvcmQ+PC9DaXRlPjwvRW5kTm90ZT4A
</w:fldData>
        </w:fldChar>
      </w:r>
      <w:r w:rsidRPr="00430400">
        <w:rPr>
          <w:sz w:val="24"/>
        </w:rPr>
        <w:instrText xml:space="preserve"> ADDIN EN.CITE.DATA </w:instrText>
      </w:r>
      <w:r w:rsidRPr="00430400">
        <w:rPr>
          <w:sz w:val="24"/>
        </w:rPr>
      </w:r>
      <w:r w:rsidRPr="00430400">
        <w:rPr>
          <w:sz w:val="24"/>
        </w:rPr>
        <w:fldChar w:fldCharType="end"/>
      </w:r>
      <w:r w:rsidRPr="00430400">
        <w:rPr>
          <w:sz w:val="24"/>
        </w:rPr>
      </w:r>
      <w:r w:rsidRPr="00430400">
        <w:rPr>
          <w:sz w:val="24"/>
        </w:rPr>
        <w:fldChar w:fldCharType="separate"/>
      </w:r>
      <w:r w:rsidRPr="00430400">
        <w:rPr>
          <w:noProof/>
          <w:sz w:val="24"/>
        </w:rPr>
        <w:t>(Walele, Bush et al. 2018)</w:t>
      </w:r>
      <w:r w:rsidRPr="00430400">
        <w:rPr>
          <w:sz w:val="24"/>
        </w:rPr>
        <w:fldChar w:fldCharType="end"/>
      </w:r>
      <w:r w:rsidRPr="00430400">
        <w:rPr>
          <w:sz w:val="24"/>
        </w:rPr>
        <w:t xml:space="preserve"> </w:t>
      </w:r>
      <w:r w:rsidR="00360355">
        <w:rPr>
          <w:sz w:val="24"/>
        </w:rPr>
        <w:t>two</w:t>
      </w:r>
      <w:r w:rsidRPr="00430400">
        <w:rPr>
          <w:sz w:val="24"/>
        </w:rPr>
        <w:t xml:space="preserve"> year industry</w:t>
      </w:r>
      <w:r w:rsidRPr="00430400">
        <w:rPr>
          <w:sz w:val="24"/>
        </w:rPr>
        <w:noBreakHyphen/>
        <w:t xml:space="preserve">funded UK study in which an electronic vapour product (EVP) was tested by former smokers for two years in a real life setting (n=206), nicotine equivalents (NEQ) were measured in urine. In this study, subjects were allowed to continue smoking conventional cigarettes. The study found that </w:t>
      </w:r>
      <w:r w:rsidRPr="00430400">
        <w:rPr>
          <w:b/>
          <w:sz w:val="24"/>
        </w:rPr>
        <w:t>NEQ levels had decreased by 12.4% from baseline to month 1, but increased to the end of the two year study</w:t>
      </w:r>
      <w:r w:rsidRPr="00430400">
        <w:rPr>
          <w:sz w:val="24"/>
        </w:rPr>
        <w:t>, and at the end of the study, mean NEQ levels for all subjects were 10.1% higher than at baseline (95%CI). Nicotine withdrawal effects were measured using the Minnesota Nicotine Withdrawal Scale (MWS</w:t>
      </w:r>
      <w:r w:rsidRPr="00430400">
        <w:rPr>
          <w:sz w:val="24"/>
        </w:rPr>
        <w:noBreakHyphen/>
        <w:t>R). The overall mean MWS</w:t>
      </w:r>
      <w:r w:rsidRPr="00430400">
        <w:rPr>
          <w:sz w:val="24"/>
        </w:rPr>
        <w:noBreakHyphen/>
        <w:t>R score initially slightly increased from baseline 4.6 (±6.1) rising to 5.4 (</w:t>
      </w:r>
      <w:r w:rsidRPr="00430400">
        <w:rPr>
          <w:rFonts w:cs="Calibri"/>
          <w:sz w:val="24"/>
        </w:rPr>
        <w:t>±</w:t>
      </w:r>
      <w:r w:rsidRPr="00430400">
        <w:rPr>
          <w:sz w:val="24"/>
        </w:rPr>
        <w:t>5.5) at month one, before decreasing to 3.3 (±4.2) at the end of the study. Smoking desire as measured by QSU</w:t>
      </w:r>
      <w:r w:rsidRPr="00430400">
        <w:rPr>
          <w:sz w:val="24"/>
        </w:rPr>
        <w:noBreakHyphen/>
        <w:t>brief also decreased, going from an overall mean baseline score of 19.2 (±11.5) to 13.3</w:t>
      </w:r>
      <w:r w:rsidR="001E52F0">
        <w:rPr>
          <w:sz w:val="24"/>
        </w:rPr>
        <w:t> </w:t>
      </w:r>
      <w:r w:rsidRPr="00430400">
        <w:rPr>
          <w:sz w:val="24"/>
        </w:rPr>
        <w:t>(</w:t>
      </w:r>
      <w:r w:rsidRPr="00430400">
        <w:rPr>
          <w:rFonts w:cs="Calibri"/>
          <w:sz w:val="24"/>
        </w:rPr>
        <w:t>±</w:t>
      </w:r>
      <w:r w:rsidRPr="00430400">
        <w:rPr>
          <w:sz w:val="24"/>
        </w:rPr>
        <w:t>5.2) at 12 months, and remained stable to be 12.4 (±5.5) by the end of the study. The authors make the important point that the study had a high attrition rate, with only 102 subjects completing the study. Desire to smoke conventional cigarettes might be higher amongst those who left the study.</w:t>
      </w:r>
      <w:r w:rsidR="008146F9">
        <w:rPr>
          <w:sz w:val="24"/>
        </w:rPr>
        <w:t xml:space="preserve"> </w:t>
      </w:r>
    </w:p>
    <w:p w14:paraId="3426C588" w14:textId="77777777" w:rsidR="00430400" w:rsidRPr="00430400" w:rsidRDefault="00430400" w:rsidP="00430400">
      <w:pPr>
        <w:spacing w:before="120" w:line="264" w:lineRule="auto"/>
        <w:rPr>
          <w:sz w:val="24"/>
        </w:rPr>
      </w:pPr>
    </w:p>
    <w:p w14:paraId="4E74CC65" w14:textId="59F5BECA" w:rsidR="00430400" w:rsidRPr="00430400" w:rsidRDefault="00430400" w:rsidP="00430400">
      <w:pPr>
        <w:spacing w:before="120" w:line="264" w:lineRule="auto"/>
        <w:rPr>
          <w:sz w:val="24"/>
        </w:rPr>
      </w:pPr>
      <w:r w:rsidRPr="00430400">
        <w:rPr>
          <w:sz w:val="24"/>
        </w:rPr>
        <w:t>In Goniewicz et al.’s small and short term experimental study (n=20) conducted in Poland, where conventional smokers switched to e</w:t>
      </w:r>
      <w:r w:rsidRPr="00430400">
        <w:rPr>
          <w:sz w:val="24"/>
        </w:rPr>
        <w:noBreakHyphen/>
        <w:t>cigarette use, the effects of e</w:t>
      </w:r>
      <w:r w:rsidRPr="00430400">
        <w:rPr>
          <w:sz w:val="24"/>
        </w:rPr>
        <w:noBreakHyphen/>
        <w:t>cigarettes on nicotine delivery was measured as well as exposure to selected carcinogens (as described above). Subjects (average age 31 years) were smokers who switched to pen</w:t>
      </w:r>
      <w:r w:rsidRPr="00430400">
        <w:rPr>
          <w:sz w:val="24"/>
        </w:rPr>
        <w:noBreakHyphen/>
        <w:t>style M201 e</w:t>
      </w:r>
      <w:r w:rsidRPr="00430400">
        <w:rPr>
          <w:sz w:val="24"/>
        </w:rPr>
        <w:noBreakHyphen/>
        <w:t>cigarettes (containing 11.0</w:t>
      </w:r>
      <w:r w:rsidR="001E52F0">
        <w:rPr>
          <w:sz w:val="24"/>
        </w:rPr>
        <w:t> </w:t>
      </w:r>
      <w:r w:rsidRPr="00430400">
        <w:rPr>
          <w:sz w:val="24"/>
        </w:rPr>
        <w:t>±</w:t>
      </w:r>
      <w:r w:rsidR="001E52F0">
        <w:rPr>
          <w:sz w:val="24"/>
        </w:rPr>
        <w:t> </w:t>
      </w:r>
      <w:r w:rsidRPr="00430400">
        <w:rPr>
          <w:sz w:val="24"/>
        </w:rPr>
        <w:t xml:space="preserve">1.5mg of nicotine in a mixture of propylene glycol and vegetable glycerin (50:50), which under laboratory conditions generated nicotine levels of 8.4 ± 1.1mg with 150 puffs) for </w:t>
      </w:r>
      <w:r w:rsidR="001E52F0">
        <w:rPr>
          <w:sz w:val="24"/>
        </w:rPr>
        <w:t>two</w:t>
      </w:r>
      <w:r w:rsidRPr="00430400">
        <w:rPr>
          <w:sz w:val="24"/>
        </w:rPr>
        <w:t xml:space="preserve"> weeks. It was found that total mean </w:t>
      </w:r>
      <w:r w:rsidRPr="00430400">
        <w:rPr>
          <w:b/>
          <w:sz w:val="24"/>
        </w:rPr>
        <w:t xml:space="preserve">levels of nicotine equivalents </w:t>
      </w:r>
      <w:r w:rsidRPr="00430400">
        <w:rPr>
          <w:sz w:val="24"/>
        </w:rPr>
        <w:t>measured in</w:t>
      </w:r>
      <w:r w:rsidRPr="00430400">
        <w:rPr>
          <w:b/>
          <w:sz w:val="24"/>
        </w:rPr>
        <w:t xml:space="preserve"> </w:t>
      </w:r>
      <w:r w:rsidRPr="00430400">
        <w:rPr>
          <w:sz w:val="24"/>
        </w:rPr>
        <w:t xml:space="preserve">urine did not change (p=0.53) and some polycyclic aromatic hydrocarbon metabolites also </w:t>
      </w:r>
      <w:r w:rsidRPr="00430400">
        <w:rPr>
          <w:b/>
          <w:sz w:val="24"/>
        </w:rPr>
        <w:t>remained largely unchanged</w:t>
      </w:r>
      <w:r w:rsidRPr="00430400">
        <w:rPr>
          <w:sz w:val="24"/>
        </w:rPr>
        <w:t xml:space="preserve"> after switching from tobacco to e</w:t>
      </w:r>
      <w:r w:rsidRPr="00430400">
        <w:rPr>
          <w:sz w:val="24"/>
        </w:rPr>
        <w:noBreakHyphen/>
        <w:t xml:space="preserve">cigarettes. At week one, four (20%) participants increased total nicotine equivalents by greater than 50%, while six (30%) experienced a reduction in total nicotine levels. Results on the Minnesota Nicotine Withdrawal Scale showed an overall significant </w:t>
      </w:r>
      <w:r w:rsidRPr="00430400">
        <w:rPr>
          <w:b/>
          <w:sz w:val="24"/>
        </w:rPr>
        <w:t>decline in withdrawal symptoms</w:t>
      </w:r>
      <w:r w:rsidRPr="00430400">
        <w:rPr>
          <w:sz w:val="24"/>
        </w:rPr>
        <w:t xml:space="preserve"> (reduction in MNWS scores) over the </w:t>
      </w:r>
      <w:r w:rsidR="001E52F0">
        <w:rPr>
          <w:sz w:val="24"/>
        </w:rPr>
        <w:t>two</w:t>
      </w:r>
      <w:r w:rsidRPr="00430400">
        <w:rPr>
          <w:sz w:val="24"/>
        </w:rPr>
        <w:noBreakHyphen/>
        <w:t>week period (n=0.005), driven by significant declines in 'desire or craving to smoke' (p=0.002) and ‘restlessness’ (p=0.049).</w:t>
      </w:r>
    </w:p>
    <w:p w14:paraId="71D21E4C" w14:textId="77777777" w:rsidR="00430400" w:rsidRPr="00430400" w:rsidRDefault="00430400" w:rsidP="00430400">
      <w:pPr>
        <w:spacing w:before="120" w:line="264" w:lineRule="auto"/>
        <w:rPr>
          <w:sz w:val="24"/>
        </w:rPr>
      </w:pPr>
    </w:p>
    <w:p w14:paraId="24E1411F" w14:textId="43A52393" w:rsidR="00430400" w:rsidRPr="00430400" w:rsidRDefault="00430400" w:rsidP="00430400">
      <w:pPr>
        <w:spacing w:before="120" w:line="264" w:lineRule="auto"/>
        <w:rPr>
          <w:rFonts w:cs="Calibri"/>
          <w:sz w:val="24"/>
        </w:rPr>
      </w:pPr>
      <w:r w:rsidRPr="00430400">
        <w:rPr>
          <w:sz w:val="24"/>
        </w:rPr>
        <w:t>In a US cross</w:t>
      </w:r>
      <w:r w:rsidRPr="00430400">
        <w:rPr>
          <w:sz w:val="24"/>
        </w:rPr>
        <w:noBreakHyphen/>
        <w:t>sectional study with adolescents (aged 13</w:t>
      </w:r>
      <w:r w:rsidRPr="00430400">
        <w:rPr>
          <w:sz w:val="24"/>
        </w:rPr>
        <w:noBreakHyphen/>
        <w:t>18 years, mean age of e</w:t>
      </w:r>
      <w:r w:rsidRPr="00430400">
        <w:rPr>
          <w:sz w:val="24"/>
        </w:rPr>
        <w:noBreakHyphen/>
        <w:t xml:space="preserve">cigarette only users 16.3 years and dual users 17.1 years), Rubinstein et al. </w:t>
      </w:r>
      <w:r w:rsidRPr="00430400">
        <w:rPr>
          <w:sz w:val="24"/>
        </w:rPr>
        <w:fldChar w:fldCharType="begin"/>
      </w:r>
      <w:r w:rsidRPr="00430400">
        <w:rPr>
          <w:sz w:val="24"/>
        </w:rPr>
        <w:instrText xml:space="preserve"> ADDIN EN.CITE &lt;EndNote&gt;&lt;Cite&gt;&lt;Author&gt;Rubinstein&lt;/Author&gt;&lt;Year&gt;2018&lt;/Year&gt;&lt;RecNum&gt;560&lt;/RecNum&gt;&lt;DisplayText&gt;(Rubinstein, Delucchi et al. 2018)&lt;/DisplayText&gt;&lt;record&gt;&lt;rec-number&gt;560&lt;/rec-number&gt;&lt;foreign-keys&gt;&lt;key app="EN" db-id="vzxdpfwduxfed2et9pavx99jzssxeapwt5p5" timestamp="1521099229"&gt;560&lt;/key&gt;&lt;key app="ENWeb" db-id=""&gt;0&lt;/key&gt;&lt;/foreign-keys&gt;&lt;ref-type name="Journal Article"&gt;17&lt;/ref-type&gt;&lt;contributors&gt;&lt;authors&gt;&lt;author&gt;Rubinstein, M. L.&lt;/author&gt;&lt;author&gt;Delucchi, K.&lt;/author&gt;&lt;author&gt;Benowitz, N. L.&lt;/author&gt;&lt;author&gt;Ramo, D. E.&lt;/author&gt;&lt;/authors&gt;&lt;/contributors&gt;&lt;auth-address&gt;Division of Adolescent Medicine, mark.rubinstein@ucsf.edu.&amp;#xD;Department of Psychiatry, and.&amp;#xD;Weill Institute for Neurosciences, University of California, San Francisco, San Francisco, California.&amp;#xD;Division of Clinical Pharmacology and Experimental Therapeutics, Departments of Medicine and Bioengineering and Therapeutic Sciences.&lt;/auth-address&gt;&lt;titles&gt;&lt;title&gt;Adolescent Exposure to Toxic Volatile Organic Chemicals From E-Cigarettes&lt;/title&gt;&lt;secondary-title&gt;Pediatrics&lt;/secondary-title&gt;&lt;alt-title&gt;Pediatrics&lt;/alt-title&gt;&lt;/titles&gt;&lt;periodical&gt;&lt;full-title&gt;Pediatrics&lt;/full-title&gt;&lt;/periodical&gt;&lt;alt-periodical&gt;&lt;full-title&gt;Pediatrics&lt;/full-title&gt;&lt;/alt-periodical&gt;&lt;edition&gt;2018/03/07&lt;/edition&gt;&lt;dates&gt;&lt;year&gt;2018&lt;/year&gt;&lt;pub-dates&gt;&lt;date&gt;Mar 5&lt;/date&gt;&lt;/pub-dates&gt;&lt;/dates&gt;&lt;isbn&gt;0031-4005&lt;/isbn&gt;&lt;accession-num&gt;29507165&lt;/accession-num&gt;&lt;urls&gt;&lt;/urls&gt;&lt;electronic-resource-num&gt;10.1542/peds.2017-3557&lt;/electronic-resource-num&gt;&lt;remote-database-provider&gt;NLM&lt;/remote-database-provider&gt;&lt;language&gt;eng&lt;/language&gt;&lt;/record&gt;&lt;/Cite&gt;&lt;/EndNote&gt;</w:instrText>
      </w:r>
      <w:r w:rsidRPr="00430400">
        <w:rPr>
          <w:sz w:val="24"/>
        </w:rPr>
        <w:fldChar w:fldCharType="separate"/>
      </w:r>
      <w:r w:rsidRPr="00430400">
        <w:rPr>
          <w:noProof/>
          <w:sz w:val="24"/>
        </w:rPr>
        <w:t>(Rubinstein, Delucchi et al. 2018)</w:t>
      </w:r>
      <w:r w:rsidRPr="00430400">
        <w:rPr>
          <w:sz w:val="24"/>
        </w:rPr>
        <w:fldChar w:fldCharType="end"/>
      </w:r>
      <w:r w:rsidRPr="00430400">
        <w:rPr>
          <w:sz w:val="24"/>
        </w:rPr>
        <w:t xml:space="preserve"> found the levels of salivary cotinine among e</w:t>
      </w:r>
      <w:r w:rsidRPr="00430400">
        <w:rPr>
          <w:sz w:val="24"/>
        </w:rPr>
        <w:noBreakHyphen/>
        <w:t>cigarette only users to be significantly associated with the number of days using an e</w:t>
      </w:r>
      <w:r w:rsidRPr="00430400">
        <w:rPr>
          <w:sz w:val="24"/>
        </w:rPr>
        <w:noBreakHyphen/>
        <w:t>cigarette in the past 30 days (r=0.34, p</w:t>
      </w:r>
      <w:r w:rsidRPr="00430400">
        <w:rPr>
          <w:rFonts w:cs="Calibri"/>
          <w:sz w:val="24"/>
        </w:rPr>
        <w:t xml:space="preserve">˂0.01) and the mean </w:t>
      </w:r>
      <w:r w:rsidRPr="00430400">
        <w:rPr>
          <w:rFonts w:cs="Calibri"/>
          <w:sz w:val="24"/>
        </w:rPr>
        <w:lastRenderedPageBreak/>
        <w:t xml:space="preserve">number of use sessions a day (r=0.75, p˂0.001). </w:t>
      </w:r>
      <w:r w:rsidRPr="00430400">
        <w:rPr>
          <w:rFonts w:cs="Calibri"/>
          <w:b/>
          <w:sz w:val="24"/>
        </w:rPr>
        <w:t>Dual users</w:t>
      </w:r>
      <w:r w:rsidRPr="00430400">
        <w:rPr>
          <w:rFonts w:cs="Calibri"/>
          <w:sz w:val="24"/>
        </w:rPr>
        <w:t xml:space="preserve"> of e</w:t>
      </w:r>
      <w:r w:rsidRPr="00430400">
        <w:rPr>
          <w:rFonts w:cs="Calibri"/>
          <w:sz w:val="24"/>
        </w:rPr>
        <w:noBreakHyphen/>
        <w:t>cigarettes used their e</w:t>
      </w:r>
      <w:r w:rsidRPr="00430400">
        <w:rPr>
          <w:rFonts w:cs="Calibri"/>
          <w:sz w:val="24"/>
        </w:rPr>
        <w:noBreakHyphen/>
        <w:t>cigarettes more frequently than e</w:t>
      </w:r>
      <w:r w:rsidRPr="00430400">
        <w:rPr>
          <w:rFonts w:cs="Calibri"/>
          <w:sz w:val="24"/>
        </w:rPr>
        <w:noBreakHyphen/>
        <w:t>cigarette only users (25.5 (SD 6.6) days versus 12.8 days (SD 8.9), p˂0.001). E</w:t>
      </w:r>
      <w:r w:rsidRPr="00430400">
        <w:rPr>
          <w:rFonts w:cs="Calibri"/>
          <w:sz w:val="24"/>
        </w:rPr>
        <w:noBreakHyphen/>
        <w:t>cigarette with nicotine only users reported using their e</w:t>
      </w:r>
      <w:r w:rsidRPr="00430400">
        <w:rPr>
          <w:rFonts w:cs="Calibri"/>
          <w:sz w:val="24"/>
        </w:rPr>
        <w:noBreakHyphen/>
        <w:t>cigarettes more frequently than e</w:t>
      </w:r>
      <w:r w:rsidRPr="00430400">
        <w:rPr>
          <w:rFonts w:cs="Calibri"/>
          <w:sz w:val="24"/>
        </w:rPr>
        <w:noBreakHyphen/>
        <w:t>cigarette only users who did not have nicotine in their e</w:t>
      </w:r>
      <w:r w:rsidRPr="00430400">
        <w:rPr>
          <w:rFonts w:cs="Calibri"/>
          <w:sz w:val="24"/>
        </w:rPr>
        <w:noBreakHyphen/>
        <w:t>cigarettes, with an average use of 15.1</w:t>
      </w:r>
      <w:r w:rsidR="001E52F0">
        <w:rPr>
          <w:rFonts w:cs="Calibri"/>
          <w:sz w:val="24"/>
        </w:rPr>
        <w:t> </w:t>
      </w:r>
      <w:r w:rsidRPr="00430400">
        <w:rPr>
          <w:rFonts w:cs="Calibri"/>
          <w:sz w:val="24"/>
        </w:rPr>
        <w:t>days (SD 9.2) per month compared to 7.6 (SD 5.6) days per (p˂0.001), and averaged 2.5 (SD 4) sessions per day versus 0.65 (SD 0.61) sessions per day (p˂0.01).</w:t>
      </w:r>
    </w:p>
    <w:p w14:paraId="708C114F" w14:textId="77777777" w:rsidR="00430400" w:rsidRPr="00430400" w:rsidRDefault="00430400" w:rsidP="00430400">
      <w:pPr>
        <w:spacing w:before="120" w:line="264" w:lineRule="auto"/>
        <w:rPr>
          <w:sz w:val="24"/>
        </w:rPr>
      </w:pPr>
    </w:p>
    <w:p w14:paraId="4880F5BD" w14:textId="3152903A" w:rsidR="00430400" w:rsidRPr="00430400" w:rsidRDefault="00430400" w:rsidP="00430400">
      <w:pPr>
        <w:spacing w:before="120" w:line="264" w:lineRule="auto"/>
        <w:rPr>
          <w:sz w:val="24"/>
        </w:rPr>
      </w:pPr>
      <w:r w:rsidRPr="00430400">
        <w:rPr>
          <w:sz w:val="24"/>
        </w:rPr>
        <w:t>In Shahab et al.’s UK cross</w:t>
      </w:r>
      <w:r w:rsidRPr="00430400">
        <w:rPr>
          <w:sz w:val="24"/>
        </w:rPr>
        <w:noBreakHyphen/>
        <w:t xml:space="preserve">sectional study </w:t>
      </w:r>
      <w:r w:rsidRPr="00430400">
        <w:rPr>
          <w:sz w:val="24"/>
        </w:rPr>
        <w:fldChar w:fldCharType="begin"/>
      </w:r>
      <w:r w:rsidRPr="00430400">
        <w:rPr>
          <w:sz w:val="24"/>
        </w:rPr>
        <w:instrText xml:space="preserve"> ADDIN EN.CITE &lt;EndNote&gt;&lt;Cite&gt;&lt;Author&gt;Shahab&lt;/Author&gt;&lt;Year&gt;2017&lt;/Year&gt;&lt;RecNum&gt;1964&lt;/RecNum&gt;&lt;DisplayText&gt;(Shahab, Goniewicz et al. 2017)&lt;/DisplayText&gt;&lt;record&gt;&lt;rec-number&gt;1964&lt;/rec-number&gt;&lt;foreign-keys&gt;&lt;key app="EN" db-id="vzxdpfwduxfed2et9pavx99jzssxeapwt5p5" timestamp="1521099525"&gt;1964&lt;/key&gt;&lt;key app="ENWeb" db-id=""&gt;0&lt;/key&gt;&lt;/foreign-keys&gt;&lt;ref-type name="Journal Article"&gt;17&lt;/ref-type&gt;&lt;contributors&gt;&lt;authors&gt;&lt;author&gt;Shahab, Lion&lt;/author&gt;&lt;author&gt;Goniewicz, Maciej L.&lt;/author&gt;&lt;author&gt;Blount, Benjamin C.&lt;/author&gt;&lt;author&gt;Brown, Jamie&lt;/author&gt;&lt;author&gt;McNeill, Ann&lt;/author&gt;&lt;author&gt;Alwis, K. Udeni&lt;/author&gt;&lt;author&gt;Feng, June&lt;/author&gt;&lt;author&gt;Wang, Lanqing&lt;/author&gt;&lt;author&gt;West, Robert&lt;/author&gt;&lt;/authors&gt;&lt;/contributors&gt;&lt;titles&gt;&lt;title&gt;Nicotine, Carcinogen, and Toxin Exposure in Long-Term E-Cigarette and Nicotine Replacement Therapy Users A Cross-sectional Study&lt;/title&gt;&lt;secondary-title&gt;Annals of Internal Medicine&lt;/secondary-title&gt;&lt;/titles&gt;&lt;periodical&gt;&lt;full-title&gt;Ann Intern Med&lt;/full-title&gt;&lt;abbr-1&gt;Annals of internal medicine&lt;/abbr-1&gt;&lt;/periodical&gt;&lt;pages&gt;390-+&lt;/pages&gt;&lt;volume&gt;166&lt;/volume&gt;&lt;number&gt;6&lt;/number&gt;&lt;dates&gt;&lt;year&gt;2017&lt;/year&gt;&lt;pub-dates&gt;&lt;date&gt;Mar 21&lt;/date&gt;&lt;/pub-dates&gt;&lt;/dates&gt;&lt;isbn&gt;0003-4819&lt;/isbn&gt;&lt;accession-num&gt;WOS:000397025800014&lt;/accession-num&gt;&lt;urls&gt;&lt;related-urls&gt;&lt;url&gt;&amp;lt;Go to ISI&amp;gt;://WOS:000397025800014&lt;/url&gt;&lt;/related-urls&gt;&lt;/urls&gt;&lt;electronic-resource-num&gt;10.7326/m16-1107&lt;/electronic-resource-num&gt;&lt;/record&gt;&lt;/Cite&gt;&lt;/EndNote&gt;</w:instrText>
      </w:r>
      <w:r w:rsidRPr="00430400">
        <w:rPr>
          <w:sz w:val="24"/>
        </w:rPr>
        <w:fldChar w:fldCharType="separate"/>
      </w:r>
      <w:r w:rsidRPr="00430400">
        <w:rPr>
          <w:noProof/>
          <w:sz w:val="24"/>
        </w:rPr>
        <w:t>(Shahab, Goniewicz et al. 2017)</w:t>
      </w:r>
      <w:r w:rsidRPr="00430400">
        <w:rPr>
          <w:sz w:val="24"/>
        </w:rPr>
        <w:fldChar w:fldCharType="end"/>
      </w:r>
      <w:r w:rsidRPr="00430400">
        <w:rPr>
          <w:sz w:val="24"/>
        </w:rPr>
        <w:t>, nicotine was measured in conventional cigarette only users, formers smokers with long term (</w:t>
      </w:r>
      <w:r w:rsidRPr="00430400">
        <w:rPr>
          <w:rFonts w:cs="Calibri"/>
          <w:sz w:val="24"/>
        </w:rPr>
        <w:t>&gt;</w:t>
      </w:r>
      <w:r w:rsidRPr="00430400">
        <w:rPr>
          <w:sz w:val="24"/>
        </w:rPr>
        <w:t>6 months) e</w:t>
      </w:r>
      <w:r w:rsidRPr="00430400">
        <w:rPr>
          <w:sz w:val="24"/>
        </w:rPr>
        <w:noBreakHyphen/>
        <w:t>cigarette only or NRT use, and long term dual conventional cigarette</w:t>
      </w:r>
      <w:r w:rsidRPr="00430400">
        <w:rPr>
          <w:sz w:val="24"/>
        </w:rPr>
        <w:noBreakHyphen/>
        <w:t>e</w:t>
      </w:r>
      <w:r w:rsidRPr="00430400">
        <w:rPr>
          <w:sz w:val="24"/>
        </w:rPr>
        <w:noBreakHyphen/>
        <w:t>cigarette or conventional cigarette</w:t>
      </w:r>
      <w:r w:rsidRPr="00430400">
        <w:rPr>
          <w:sz w:val="24"/>
        </w:rPr>
        <w:noBreakHyphen/>
        <w:t>NRT users (n=36 to 37 per group, total n=181). In the adjusted analysis, users of all products had nicotine equivalent levels (urinary biomarkers) at least as high as conventional cigarette only users, however findings related to salivary biomarkers varied. In adjusted models with adjusted nicotine biomarker levels by group as a proportion of cigarette</w:t>
      </w:r>
      <w:r w:rsidRPr="00430400">
        <w:rPr>
          <w:sz w:val="24"/>
        </w:rPr>
        <w:noBreakHyphen/>
        <w:t>only smoker levels, nicotine (in saliva) was lowest in e</w:t>
      </w:r>
      <w:r w:rsidRPr="00430400">
        <w:rPr>
          <w:sz w:val="24"/>
        </w:rPr>
        <w:noBreakHyphen/>
        <w:t>cigarette only users (60.4, 35.8</w:t>
      </w:r>
      <w:r w:rsidRPr="00430400">
        <w:rPr>
          <w:sz w:val="24"/>
        </w:rPr>
        <w:noBreakHyphen/>
        <w:t>101.8) and dual cigarette</w:t>
      </w:r>
      <w:r w:rsidRPr="00430400">
        <w:rPr>
          <w:sz w:val="24"/>
        </w:rPr>
        <w:noBreakHyphen/>
        <w:t>NRT users (64.2,</w:t>
      </w:r>
      <w:r w:rsidR="001E52F0">
        <w:rPr>
          <w:sz w:val="24"/>
        </w:rPr>
        <w:t> </w:t>
      </w:r>
      <w:r w:rsidRPr="00430400">
        <w:rPr>
          <w:sz w:val="24"/>
        </w:rPr>
        <w:t>39.2</w:t>
      </w:r>
      <w:r w:rsidRPr="00430400">
        <w:rPr>
          <w:sz w:val="24"/>
        </w:rPr>
        <w:noBreakHyphen/>
        <w:t>104.9) and highest in dual cigarette</w:t>
      </w:r>
      <w:r w:rsidRPr="00430400">
        <w:rPr>
          <w:sz w:val="24"/>
        </w:rPr>
        <w:noBreakHyphen/>
        <w:t>e</w:t>
      </w:r>
      <w:r w:rsidRPr="00430400">
        <w:rPr>
          <w:sz w:val="24"/>
        </w:rPr>
        <w:noBreakHyphen/>
        <w:t>cigarette users (152.2, 90.7</w:t>
      </w:r>
      <w:r w:rsidRPr="00430400">
        <w:rPr>
          <w:sz w:val="24"/>
        </w:rPr>
        <w:noBreakHyphen/>
        <w:t>255.1) and NRT</w:t>
      </w:r>
      <w:r w:rsidRPr="00430400">
        <w:rPr>
          <w:sz w:val="24"/>
        </w:rPr>
        <w:noBreakHyphen/>
        <w:t>only users (135.1, 68.1</w:t>
      </w:r>
      <w:r w:rsidRPr="00430400">
        <w:rPr>
          <w:sz w:val="24"/>
        </w:rPr>
        <w:noBreakHyphen/>
        <w:t>268.0). As nicotine intake from e</w:t>
      </w:r>
      <w:r w:rsidRPr="00430400">
        <w:rPr>
          <w:sz w:val="24"/>
        </w:rPr>
        <w:noBreakHyphen/>
        <w:t>cigarette use was considered to be largely similar with NRT only use, greater craving reductions observed in e</w:t>
      </w:r>
      <w:r w:rsidRPr="00430400">
        <w:rPr>
          <w:sz w:val="24"/>
        </w:rPr>
        <w:noBreakHyphen/>
        <w:t>cigarette users from previous studies was linked to the greater similarity between conventional smoking and vaping e</w:t>
      </w:r>
      <w:r w:rsidRPr="00430400">
        <w:rPr>
          <w:sz w:val="24"/>
        </w:rPr>
        <w:noBreakHyphen/>
        <w:t>cigarettes.</w:t>
      </w:r>
    </w:p>
    <w:p w14:paraId="16603F2F" w14:textId="77777777" w:rsidR="00430400" w:rsidRPr="00430400" w:rsidRDefault="00430400" w:rsidP="00430400">
      <w:pPr>
        <w:spacing w:before="120" w:line="264" w:lineRule="auto"/>
        <w:rPr>
          <w:sz w:val="24"/>
        </w:rPr>
      </w:pPr>
    </w:p>
    <w:p w14:paraId="0564BAA8" w14:textId="00CD7B83" w:rsidR="00430400" w:rsidRPr="00430400" w:rsidRDefault="00430400" w:rsidP="00430400">
      <w:pPr>
        <w:spacing w:before="120" w:line="264" w:lineRule="auto"/>
        <w:rPr>
          <w:sz w:val="24"/>
        </w:rPr>
      </w:pPr>
      <w:r w:rsidRPr="00430400">
        <w:rPr>
          <w:sz w:val="24"/>
        </w:rPr>
        <w:t xml:space="preserve">Hiler et al.’s </w:t>
      </w:r>
      <w:r w:rsidRPr="00430400">
        <w:rPr>
          <w:sz w:val="24"/>
        </w:rPr>
        <w:fldChar w:fldCharType="begin"/>
      </w:r>
      <w:r w:rsidRPr="00430400">
        <w:rPr>
          <w:sz w:val="24"/>
        </w:rPr>
        <w:instrText xml:space="preserve"> ADDIN EN.CITE &lt;EndNote&gt;&lt;Cite&gt;&lt;Author&gt;Hiler&lt;/Author&gt;&lt;Year&gt;2017&lt;/Year&gt;&lt;RecNum&gt;853&lt;/RecNum&gt;&lt;DisplayText&gt;(Hiler, Breland et al. 2017)&lt;/DisplayText&gt;&lt;record&gt;&lt;rec-number&gt;853&lt;/rec-number&gt;&lt;foreign-keys&gt;&lt;key app="EN" db-id="vzxdpfwduxfed2et9pavx99jzssxeapwt5p5" timestamp="1521099310"&gt;853&lt;/key&gt;&lt;key app="ENWeb" db-id=""&gt;0&lt;/key&gt;&lt;/foreign-keys&gt;&lt;ref-type name="Journal Article"&gt;17&lt;/ref-type&gt;&lt;contributors&gt;&lt;authors&gt;&lt;author&gt;Hiler, M.&lt;/author&gt;&lt;author&gt;Breland, A.&lt;/author&gt;&lt;author&gt;Spindle, T.&lt;/author&gt;&lt;author&gt;Maloney, S.&lt;/author&gt;&lt;author&gt;Lipato, T.&lt;/author&gt;&lt;author&gt;Karaoghlanian, N.&lt;/author&gt;&lt;author&gt;Shihadeh, A.&lt;/author&gt;&lt;author&gt;Lopez, A.&lt;/author&gt;&lt;author&gt;Ramoa, C.&lt;/author&gt;&lt;author&gt;Eissenberg, T.&lt;/author&gt;&lt;/authors&gt;&lt;/contributors&gt;&lt;auth-address&gt;Center for the Study of Tobacco Products, Department of Psychology, Virginia Commonwealth University.&amp;#xD;Department of Mechanical Engineering, American University of Beirut.&lt;/auth-address&gt;&lt;titles&gt;&lt;title&gt;Electronic cigarette user plasma nicotine concentration, puff topography, heart rate, and subjective effects: Influence of liquid nicotine concentration and user experience&lt;/title&gt;&lt;secondary-title&gt;Exp Clin Psychopharmacol&lt;/secondary-title&gt;&lt;alt-title&gt;Experimental and clinical psychopharmacology&lt;/alt-title&gt;&lt;/titles&gt;&lt;periodical&gt;&lt;full-title&gt;Exp Clin Psychopharmacol&lt;/full-title&gt;&lt;abbr-1&gt;Experimental and clinical psychopharmacology&lt;/abbr-1&gt;&lt;/periodical&gt;&lt;alt-periodical&gt;&lt;full-title&gt;Exp Clin Psychopharmacol&lt;/full-title&gt;&lt;abbr-1&gt;Experimental and clinical psychopharmacology&lt;/abbr-1&gt;&lt;/alt-periodical&gt;&lt;pages&gt;380-392&lt;/pages&gt;&lt;volume&gt;25&lt;/volume&gt;&lt;number&gt;5&lt;/number&gt;&lt;edition&gt;2017/10/20&lt;/edition&gt;&lt;dates&gt;&lt;year&gt;2017&lt;/year&gt;&lt;pub-dates&gt;&lt;date&gt;Oct&lt;/date&gt;&lt;/pub-dates&gt;&lt;/dates&gt;&lt;isbn&gt;1064-1297&lt;/isbn&gt;&lt;accession-num&gt;29048187&lt;/accession-num&gt;&lt;urls&gt;&lt;/urls&gt;&lt;custom2&gt;PMC5657238&lt;/custom2&gt;&lt;custom6&gt;NIHMS888203&lt;/custom6&gt;&lt;electronic-resource-num&gt;10.1037/pha0000140&lt;/electronic-resource-num&gt;&lt;remote-database-provider&gt;NLM&lt;/remote-database-provider&gt;&lt;language&gt;eng&lt;/language&gt;&lt;/record&gt;&lt;/Cite&gt;&lt;/EndNote&gt;</w:instrText>
      </w:r>
      <w:r w:rsidRPr="00430400">
        <w:rPr>
          <w:sz w:val="24"/>
        </w:rPr>
        <w:fldChar w:fldCharType="separate"/>
      </w:r>
      <w:r w:rsidRPr="00430400">
        <w:rPr>
          <w:noProof/>
          <w:sz w:val="24"/>
        </w:rPr>
        <w:t>(Hiler, Breland et al. 2017)</w:t>
      </w:r>
      <w:r w:rsidRPr="00430400">
        <w:rPr>
          <w:sz w:val="24"/>
        </w:rPr>
        <w:fldChar w:fldCharType="end"/>
      </w:r>
      <w:r w:rsidRPr="00430400">
        <w:rPr>
          <w:sz w:val="24"/>
        </w:rPr>
        <w:t xml:space="preserve"> US randomised crossover study (n=64) tested whether liquid nicotine concentration and users’ experience with e</w:t>
      </w:r>
      <w:r w:rsidRPr="00430400">
        <w:rPr>
          <w:sz w:val="24"/>
        </w:rPr>
        <w:noBreakHyphen/>
        <w:t>cigarettes influenced outcomes such as nicotine delivery (as measured by plasma nicotine levels) in smokers who were experienced with e</w:t>
      </w:r>
      <w:r w:rsidRPr="00430400">
        <w:rPr>
          <w:sz w:val="24"/>
        </w:rPr>
        <w:noBreakHyphen/>
        <w:t>cigarettes (n=33) and those who were new to e</w:t>
      </w:r>
      <w:r w:rsidRPr="00430400">
        <w:rPr>
          <w:sz w:val="24"/>
        </w:rPr>
        <w:noBreakHyphen/>
        <w:t>cigarettes (n=31). Participants used an 'eGo' 3.3V, 1000 mAh battery with a 1.5, dual</w:t>
      </w:r>
      <w:r w:rsidRPr="00430400">
        <w:rPr>
          <w:sz w:val="24"/>
        </w:rPr>
        <w:noBreakHyphen/>
        <w:t>coil, 510</w:t>
      </w:r>
      <w:r w:rsidRPr="00430400">
        <w:rPr>
          <w:sz w:val="24"/>
        </w:rPr>
        <w:noBreakHyphen/>
        <w:t xml:space="preserve">style cartomizer (7.3W), loaded with 1 ml of flavoured liquid (tobacco or menthol) (70%PG and 30%VG) and differing nicotine levels (0, 8, 18, 36 mg/ml). This device was chosen after testing revealed that their nicotine emissions approached those of a tobacco cigarette under some conditions. </w:t>
      </w:r>
      <w:r w:rsidRPr="00430400">
        <w:rPr>
          <w:b/>
          <w:sz w:val="24"/>
        </w:rPr>
        <w:t>Plasma nicotine levels were higher for those who were more experienced with e</w:t>
      </w:r>
      <w:r w:rsidRPr="00430400">
        <w:rPr>
          <w:b/>
          <w:sz w:val="24"/>
        </w:rPr>
        <w:noBreakHyphen/>
        <w:t>cigarettes</w:t>
      </w:r>
      <w:r w:rsidRPr="00430400">
        <w:rPr>
          <w:sz w:val="24"/>
        </w:rPr>
        <w:t>: when using 36mg/ml nicotine e</w:t>
      </w:r>
      <w:r w:rsidRPr="00430400">
        <w:rPr>
          <w:sz w:val="24"/>
        </w:rPr>
        <w:noBreakHyphen/>
        <w:t>cigarettes, mean plasma nicotine increase for e</w:t>
      </w:r>
      <w:r w:rsidRPr="00430400">
        <w:rPr>
          <w:sz w:val="24"/>
        </w:rPr>
        <w:noBreakHyphen/>
        <w:t>cigarette experienced individuals was 17.9 mg/ml (SD 17.2) and 6.9 mg/ml (SD7.1, p&lt;0.05) for individuals</w:t>
      </w:r>
      <w:r w:rsidR="00E9656F">
        <w:rPr>
          <w:sz w:val="24"/>
        </w:rPr>
        <w:t xml:space="preserve"> unfamiliar with the use of e-cigarettes</w:t>
      </w:r>
      <w:r w:rsidRPr="00430400">
        <w:rPr>
          <w:sz w:val="24"/>
        </w:rPr>
        <w:t>. Between group differences were attributed to longer/larger puffs being taken by experienced e</w:t>
      </w:r>
      <w:r w:rsidRPr="00430400">
        <w:rPr>
          <w:sz w:val="24"/>
        </w:rPr>
        <w:noBreakHyphen/>
        <w:t>cigarette users. E</w:t>
      </w:r>
      <w:r w:rsidRPr="00430400">
        <w:rPr>
          <w:sz w:val="24"/>
        </w:rPr>
        <w:noBreakHyphen/>
        <w:t>cigarette use suppressed nicotine/tobacco abstinence symptoms in both groups.</w:t>
      </w:r>
    </w:p>
    <w:p w14:paraId="04596493" w14:textId="77777777" w:rsidR="00430400" w:rsidRPr="00430400" w:rsidRDefault="00430400" w:rsidP="00430400">
      <w:pPr>
        <w:spacing w:before="120" w:line="264" w:lineRule="auto"/>
        <w:rPr>
          <w:sz w:val="24"/>
        </w:rPr>
      </w:pPr>
    </w:p>
    <w:p w14:paraId="74740EF3" w14:textId="5D4309D4" w:rsidR="00430400" w:rsidRPr="00430400" w:rsidRDefault="00430400" w:rsidP="00430400">
      <w:pPr>
        <w:spacing w:before="120" w:line="264" w:lineRule="auto"/>
        <w:rPr>
          <w:sz w:val="24"/>
        </w:rPr>
      </w:pPr>
      <w:r w:rsidRPr="00430400">
        <w:rPr>
          <w:sz w:val="24"/>
        </w:rPr>
        <w:t>A number of studies have considered nicotine dependence. Ashford et al.’s US prospective cohort study sought to ascertain the patterns and predictors of prenatal dual cigarette use (n=117) and studied pregnant women (18</w:t>
      </w:r>
      <w:r w:rsidRPr="00430400">
        <w:rPr>
          <w:sz w:val="24"/>
        </w:rPr>
        <w:noBreakHyphen/>
        <w:t>44 years) in their first trimester who used conventional cigarettes, e</w:t>
      </w:r>
      <w:r w:rsidRPr="00430400">
        <w:rPr>
          <w:sz w:val="24"/>
        </w:rPr>
        <w:noBreakHyphen/>
        <w:t xml:space="preserve">cigarettes and dual users </w:t>
      </w:r>
      <w:r w:rsidRPr="00430400">
        <w:rPr>
          <w:sz w:val="24"/>
        </w:rPr>
        <w:fldChar w:fldCharType="begin"/>
      </w:r>
      <w:r w:rsidRPr="00430400">
        <w:rPr>
          <w:sz w:val="24"/>
        </w:rPr>
        <w:instrText xml:space="preserve"> ADDIN EN.CITE &lt;EndNote&gt;&lt;Cite&gt;&lt;Author&gt;Ashford&lt;/Author&gt;&lt;Year&gt;2018&lt;/Year&gt;&lt;RecNum&gt;1850&lt;/RecNum&gt;&lt;DisplayText&gt;(Ashford, Chavan et al. 2018)&lt;/DisplayText&gt;&lt;record&gt;&lt;rec-number&gt;1850&lt;/rec-number&gt;&lt;foreign-keys&gt;&lt;key app="EN" db-id="vzxdpfwduxfed2et9pavx99jzssxeapwt5p5" timestamp="1521099510"&gt;1850&lt;/key&gt;&lt;key app="ENWeb" db-id=""&gt;0&lt;/key&gt;&lt;/foreign-keys&gt;&lt;ref-type name="Journal Article"&gt;17&lt;/ref-type&gt;&lt;contributors&gt;&lt;authors&gt;&lt;author&gt;Ashford, Kristin B.&lt;/author&gt;&lt;author&gt;Chavan, Niraj R.&lt;/author&gt;&lt;author&gt;Wiggins, Amanda&lt;/author&gt;&lt;author&gt;Barnett, Janine&lt;/author&gt;&lt;author&gt;McCubbin, Andrea&lt;/author&gt;&lt;author&gt;Ducas, Leticia&lt;/author&gt;&lt;author&gt;O&amp;apos;Brien, John M.&lt;/author&gt;&lt;/authors&gt;&lt;/contributors&gt;&lt;titles&gt;&lt;title&gt;Prenatal electronic cigarette, dual use and nicotine dependency&lt;/title&gt;&lt;secondary-title&gt;American Journal of Obstetrics and Gynecology&lt;/secondary-title&gt;&lt;/titles&gt;&lt;periodical&gt;&lt;full-title&gt;American Journal of Obstetrics and Gynecology&lt;/full-title&gt;&lt;/periodical&gt;&lt;pages&gt;S431-S432&lt;/pages&gt;&lt;volume&gt;218&lt;/volume&gt;&lt;number&gt;1&lt;/number&gt;&lt;dates&gt;&lt;year&gt;2018&lt;/year&gt;&lt;pub-dates&gt;&lt;date&gt;Jan&lt;/date&gt;&lt;/pub-dates&gt;&lt;/dates&gt;&lt;isbn&gt;0002-9378&lt;/isbn&gt;&lt;accession-num&gt;WOS:000423616600216&lt;/accession-num&gt;&lt;urls&gt;&lt;related-urls&gt;&lt;url&gt;&amp;lt;Go to ISI&amp;gt;://WOS:000423616600216&lt;/url&gt;&lt;/related-urls&gt;&lt;/urls&gt;&lt;/record&gt;&lt;/Cite&gt;&lt;/EndNote&gt;</w:instrText>
      </w:r>
      <w:r w:rsidRPr="00430400">
        <w:rPr>
          <w:sz w:val="24"/>
        </w:rPr>
        <w:fldChar w:fldCharType="separate"/>
      </w:r>
      <w:r w:rsidRPr="00430400">
        <w:rPr>
          <w:noProof/>
          <w:sz w:val="24"/>
        </w:rPr>
        <w:t>(Ashford, Chavan et al. 2018)</w:t>
      </w:r>
      <w:r w:rsidRPr="00430400">
        <w:rPr>
          <w:sz w:val="24"/>
        </w:rPr>
        <w:fldChar w:fldCharType="end"/>
      </w:r>
      <w:r w:rsidRPr="00430400">
        <w:rPr>
          <w:sz w:val="24"/>
        </w:rPr>
        <w:t xml:space="preserve">. Nicotine dependence was measured using the Fagerstrom Test for Nicotine Dependence (FTND – a questionnaire of </w:t>
      </w:r>
      <w:r w:rsidR="001E52F0">
        <w:rPr>
          <w:sz w:val="24"/>
        </w:rPr>
        <w:t>six</w:t>
      </w:r>
      <w:r w:rsidRPr="00430400">
        <w:rPr>
          <w:sz w:val="24"/>
        </w:rPr>
        <w:t xml:space="preserve"> questions) which has a range of 0</w:t>
      </w:r>
      <w:r w:rsidRPr="00430400">
        <w:rPr>
          <w:sz w:val="24"/>
        </w:rPr>
        <w:noBreakHyphen/>
        <w:t xml:space="preserve">10. The study found that prenatal </w:t>
      </w:r>
      <w:r w:rsidRPr="00430400">
        <w:rPr>
          <w:b/>
          <w:sz w:val="24"/>
        </w:rPr>
        <w:t>dual use</w:t>
      </w:r>
      <w:r w:rsidRPr="00430400">
        <w:rPr>
          <w:sz w:val="24"/>
        </w:rPr>
        <w:t xml:space="preserve"> of both conventional and e</w:t>
      </w:r>
      <w:r w:rsidRPr="00430400">
        <w:rPr>
          <w:sz w:val="24"/>
        </w:rPr>
        <w:noBreakHyphen/>
        <w:t xml:space="preserve">cigarettes and increased depressive symptoms were significantly associated with higher nicotine dependence (p=0.007). Dual users also had an average of </w:t>
      </w:r>
      <w:r w:rsidR="00DC5EB8">
        <w:rPr>
          <w:sz w:val="24"/>
        </w:rPr>
        <w:t>one</w:t>
      </w:r>
      <w:r w:rsidRPr="00430400">
        <w:rPr>
          <w:sz w:val="24"/>
        </w:rPr>
        <w:t xml:space="preserve"> point higher on the Fagerstrom Test </w:t>
      </w:r>
      <w:r w:rsidRPr="00430400">
        <w:rPr>
          <w:sz w:val="24"/>
        </w:rPr>
        <w:lastRenderedPageBreak/>
        <w:t>for Nicotine Dependence (beta =0.93; p=0.034) compared to conventional cigarette users. Every 5</w:t>
      </w:r>
      <w:r w:rsidRPr="00430400">
        <w:rPr>
          <w:sz w:val="24"/>
        </w:rPr>
        <w:noBreakHyphen/>
        <w:t>point increase in depressive symptoms was associated with a 0.5 point increase in nicotine dependence (p=0.019).</w:t>
      </w:r>
    </w:p>
    <w:p w14:paraId="236E7F48" w14:textId="77777777" w:rsidR="00430400" w:rsidRPr="00430400" w:rsidRDefault="00430400" w:rsidP="00430400">
      <w:pPr>
        <w:spacing w:before="120" w:line="264" w:lineRule="auto"/>
        <w:rPr>
          <w:sz w:val="24"/>
        </w:rPr>
      </w:pPr>
    </w:p>
    <w:p w14:paraId="6115C27F" w14:textId="77777777" w:rsidR="00430400" w:rsidRPr="00430400" w:rsidRDefault="00430400" w:rsidP="00430400">
      <w:pPr>
        <w:spacing w:before="120" w:line="264" w:lineRule="auto"/>
        <w:rPr>
          <w:sz w:val="24"/>
        </w:rPr>
      </w:pPr>
      <w:r w:rsidRPr="00430400">
        <w:rPr>
          <w:sz w:val="24"/>
        </w:rPr>
        <w:t>In Gonzalez</w:t>
      </w:r>
      <w:r w:rsidRPr="00430400">
        <w:rPr>
          <w:sz w:val="24"/>
        </w:rPr>
        <w:noBreakHyphen/>
        <w:t>Roz et al.’s cross</w:t>
      </w:r>
      <w:r w:rsidRPr="00430400">
        <w:rPr>
          <w:sz w:val="24"/>
        </w:rPr>
        <w:noBreakHyphen/>
        <w:t xml:space="preserve">sectional study </w:t>
      </w:r>
      <w:r w:rsidRPr="00430400">
        <w:rPr>
          <w:sz w:val="24"/>
        </w:rPr>
        <w:fldChar w:fldCharType="begin"/>
      </w:r>
      <w:r w:rsidRPr="00430400">
        <w:rPr>
          <w:sz w:val="24"/>
        </w:rPr>
        <w:instrText xml:space="preserve"> ADDIN EN.CITE &lt;EndNote&gt;&lt;Cite&gt;&lt;Author&gt;Gonzalez Roz&lt;/Author&gt;&lt;Year&gt;2017&lt;/Year&gt;&lt;RecNum&gt;1331&lt;/RecNum&gt;&lt;DisplayText&gt;(Gonzalez Roz, Secades Villa et al. 2017)&lt;/DisplayText&gt;&lt;record&gt;&lt;rec-number&gt;1331&lt;/rec-number&gt;&lt;foreign-keys&gt;&lt;key app="EN" db-id="vzxdpfwduxfed2et9pavx99jzssxeapwt5p5" timestamp="1521099415"&gt;1331&lt;/key&gt;&lt;key app="ENWeb" db-id=""&gt;0&lt;/key&gt;&lt;/foreign-keys&gt;&lt;ref-type name="Journal Article"&gt;17&lt;/ref-type&gt;&lt;contributors&gt;&lt;authors&gt;&lt;author&gt;Gonzalez Roz, A.&lt;/author&gt;&lt;author&gt;Secades Villa, R.&lt;/author&gt;&lt;author&gt;Weidberg, S.&lt;/author&gt;&lt;/authors&gt;&lt;/contributors&gt;&lt;auth-address&gt;Universidad de Oviedo. albagroz@cop.es.&lt;/auth-address&gt;&lt;titles&gt;&lt;title&gt;Evaluating nicotine dependence levels in e-cigarette users&lt;/title&gt;&lt;secondary-title&gt;Adicciones&lt;/secondary-title&gt;&lt;alt-title&gt;Adicciones&lt;/alt-title&gt;&lt;/titles&gt;&lt;periodical&gt;&lt;full-title&gt;Adicciones&lt;/full-title&gt;&lt;abbr-1&gt;Adicciones&lt;/abbr-1&gt;&lt;/periodical&gt;&lt;alt-periodical&gt;&lt;full-title&gt;Adicciones&lt;/full-title&gt;&lt;abbr-1&gt;Adicciones&lt;/abbr-1&gt;&lt;/alt-periodical&gt;&lt;pages&gt;136-138&lt;/pages&gt;&lt;volume&gt;29&lt;/volume&gt;&lt;number&gt;2&lt;/number&gt;&lt;edition&gt;2017/02/09&lt;/edition&gt;&lt;dates&gt;&lt;year&gt;2017&lt;/year&gt;&lt;pub-dates&gt;&lt;date&gt;Jan 11&lt;/date&gt;&lt;/pub-dates&gt;&lt;/dates&gt;&lt;orig-pub&gt;Evaluacion de los niveles de dependencia de la nicotina en usuarios de cigarrillos electronicos.&lt;/orig-pub&gt;&lt;isbn&gt;0214-4840 (Print)&amp;#xD;0214-4840&lt;/isbn&gt;&lt;accession-num&gt;28170058&lt;/accession-num&gt;&lt;urls&gt;&lt;/urls&gt;&lt;electronic-resource-num&gt;10.20882/adicciones.905&lt;/electronic-resource-num&gt;&lt;remote-database-provider&gt;NLM&lt;/remote-database-provider&gt;&lt;language&gt;eng&amp;#xD;spa&lt;/language&gt;&lt;/record&gt;&lt;/Cite&gt;&lt;/EndNote&gt;</w:instrText>
      </w:r>
      <w:r w:rsidRPr="00430400">
        <w:rPr>
          <w:sz w:val="24"/>
        </w:rPr>
        <w:fldChar w:fldCharType="separate"/>
      </w:r>
      <w:r w:rsidRPr="00430400">
        <w:rPr>
          <w:noProof/>
          <w:sz w:val="24"/>
        </w:rPr>
        <w:t>(Gonzalez Roz, Secades Villa et al. 2017)</w:t>
      </w:r>
      <w:r w:rsidRPr="00430400">
        <w:rPr>
          <w:sz w:val="24"/>
        </w:rPr>
        <w:fldChar w:fldCharType="end"/>
      </w:r>
      <w:r w:rsidRPr="00430400">
        <w:rPr>
          <w:sz w:val="24"/>
        </w:rPr>
        <w:t xml:space="preserve"> conducted in Spain, nicotine dependence was evaluated in e</w:t>
      </w:r>
      <w:r w:rsidRPr="00430400">
        <w:rPr>
          <w:sz w:val="24"/>
        </w:rPr>
        <w:noBreakHyphen/>
        <w:t>cigarette users (who were former smokers) (n=39) and current conventional tobacco users (n=42), using the Fagerstrom Test for Nicotine Dependence (FTND) and the Nicotine Dependency Syndrome Scale (NDSS), along with a urinary cotinine analysis. It was found that e</w:t>
      </w:r>
      <w:r w:rsidRPr="00430400">
        <w:rPr>
          <w:sz w:val="24"/>
        </w:rPr>
        <w:noBreakHyphen/>
        <w:t>cigarette users were dependent on e</w:t>
      </w:r>
      <w:r w:rsidRPr="00430400">
        <w:rPr>
          <w:sz w:val="24"/>
        </w:rPr>
        <w:noBreakHyphen/>
        <w:t>liquids containing nicotine but were less nicotine dependent than current tobacco cigarette smokers. Biochemical measures of carbon monoxide and self</w:t>
      </w:r>
      <w:r w:rsidRPr="00430400">
        <w:rPr>
          <w:sz w:val="24"/>
        </w:rPr>
        <w:noBreakHyphen/>
        <w:t>reported questionnaires found nicotine dependence on e</w:t>
      </w:r>
      <w:r w:rsidRPr="00430400">
        <w:rPr>
          <w:sz w:val="24"/>
        </w:rPr>
        <w:noBreakHyphen/>
        <w:t>cigarettes to be lower than was observed in cigarette smokers. On the FTND measure, the overall difference between groups was significant (e</w:t>
      </w:r>
      <w:r w:rsidRPr="00430400">
        <w:rPr>
          <w:sz w:val="24"/>
        </w:rPr>
        <w:noBreakHyphen/>
        <w:t>cigarette 4.38</w:t>
      </w:r>
      <w:r w:rsidRPr="00430400">
        <w:rPr>
          <w:rFonts w:cs="Calibri"/>
          <w:sz w:val="24"/>
        </w:rPr>
        <w:t>±</w:t>
      </w:r>
      <w:r w:rsidRPr="00430400">
        <w:rPr>
          <w:sz w:val="24"/>
        </w:rPr>
        <w:t>1.93 vs tobacco 5.57</w:t>
      </w:r>
      <w:r w:rsidRPr="00430400">
        <w:rPr>
          <w:rFonts w:cs="Calibri"/>
          <w:sz w:val="24"/>
        </w:rPr>
        <w:t>±</w:t>
      </w:r>
      <w:r w:rsidRPr="00430400">
        <w:rPr>
          <w:sz w:val="24"/>
        </w:rPr>
        <w:t>1.48, t</w:t>
      </w:r>
      <w:r w:rsidRPr="00430400">
        <w:rPr>
          <w:sz w:val="24"/>
        </w:rPr>
        <w:noBreakHyphen/>
        <w:t>3.1,p=0.003) as were the differences for the NDSS</w:t>
      </w:r>
      <w:r w:rsidRPr="00430400">
        <w:rPr>
          <w:sz w:val="24"/>
        </w:rPr>
        <w:noBreakHyphen/>
        <w:t>T (e</w:t>
      </w:r>
      <w:r w:rsidRPr="00430400">
        <w:rPr>
          <w:sz w:val="24"/>
        </w:rPr>
        <w:noBreakHyphen/>
        <w:t>cigarette 26.26</w:t>
      </w:r>
      <w:r w:rsidRPr="00430400">
        <w:rPr>
          <w:rFonts w:cs="Calibri"/>
          <w:sz w:val="24"/>
        </w:rPr>
        <w:t>±</w:t>
      </w:r>
      <w:r w:rsidRPr="00430400">
        <w:rPr>
          <w:sz w:val="24"/>
        </w:rPr>
        <w:t>5.9 vs tobacco 40.50</w:t>
      </w:r>
      <w:r w:rsidRPr="00430400">
        <w:rPr>
          <w:rFonts w:cs="Calibri"/>
          <w:sz w:val="24"/>
        </w:rPr>
        <w:t>±</w:t>
      </w:r>
      <w:r w:rsidRPr="00430400">
        <w:rPr>
          <w:sz w:val="24"/>
        </w:rPr>
        <w:t>8.14, t</w:t>
      </w:r>
      <w:r w:rsidRPr="00430400">
        <w:rPr>
          <w:sz w:val="24"/>
        </w:rPr>
        <w:noBreakHyphen/>
        <w:t>9.4, p</w:t>
      </w:r>
      <w:r w:rsidRPr="00430400">
        <w:rPr>
          <w:rFonts w:cs="Calibri"/>
          <w:sz w:val="24"/>
        </w:rPr>
        <w:t>˂</w:t>
      </w:r>
      <w:r w:rsidRPr="00430400">
        <w:rPr>
          <w:sz w:val="24"/>
        </w:rPr>
        <w:t>0.001), NDSS Impulsivity (e</w:t>
      </w:r>
      <w:r w:rsidRPr="00430400">
        <w:rPr>
          <w:sz w:val="24"/>
        </w:rPr>
        <w:noBreakHyphen/>
        <w:t>cigarette 10.46</w:t>
      </w:r>
      <w:r w:rsidRPr="00430400">
        <w:rPr>
          <w:rFonts w:cs="Calibri"/>
          <w:sz w:val="24"/>
        </w:rPr>
        <w:t>±</w:t>
      </w:r>
      <w:r w:rsidRPr="00430400">
        <w:rPr>
          <w:sz w:val="24"/>
        </w:rPr>
        <w:t>4.72 vs tobacco 19.98</w:t>
      </w:r>
      <w:r w:rsidRPr="00430400">
        <w:rPr>
          <w:rFonts w:cs="Calibri"/>
          <w:sz w:val="24"/>
        </w:rPr>
        <w:t>±</w:t>
      </w:r>
      <w:r w:rsidRPr="00430400">
        <w:rPr>
          <w:sz w:val="24"/>
        </w:rPr>
        <w:t>5.14, t</w:t>
      </w:r>
      <w:r w:rsidRPr="00430400">
        <w:rPr>
          <w:sz w:val="24"/>
        </w:rPr>
        <w:noBreakHyphen/>
        <w:t>8.7, p</w:t>
      </w:r>
      <w:r w:rsidRPr="00430400">
        <w:rPr>
          <w:rFonts w:cs="Calibri"/>
          <w:sz w:val="24"/>
        </w:rPr>
        <w:t>˂</w:t>
      </w:r>
      <w:r w:rsidRPr="00430400">
        <w:rPr>
          <w:sz w:val="24"/>
        </w:rPr>
        <w:t>0.001), NDSS Priority (e</w:t>
      </w:r>
      <w:r w:rsidRPr="00430400">
        <w:rPr>
          <w:sz w:val="24"/>
        </w:rPr>
        <w:noBreakHyphen/>
        <w:t>cigarette 4.82</w:t>
      </w:r>
      <w:r w:rsidRPr="00430400">
        <w:rPr>
          <w:rFonts w:cs="Calibri"/>
          <w:sz w:val="24"/>
        </w:rPr>
        <w:t>±</w:t>
      </w:r>
      <w:r w:rsidRPr="00430400">
        <w:rPr>
          <w:sz w:val="24"/>
        </w:rPr>
        <w:t>1.57 vs tobacco 7.81</w:t>
      </w:r>
      <w:r w:rsidRPr="00430400">
        <w:rPr>
          <w:rFonts w:cs="Calibri"/>
          <w:sz w:val="24"/>
        </w:rPr>
        <w:t>±</w:t>
      </w:r>
      <w:r w:rsidRPr="00430400">
        <w:rPr>
          <w:sz w:val="24"/>
        </w:rPr>
        <w:t>3.07, t</w:t>
      </w:r>
      <w:r w:rsidRPr="00430400">
        <w:rPr>
          <w:sz w:val="24"/>
        </w:rPr>
        <w:noBreakHyphen/>
        <w:t>5.5, p</w:t>
      </w:r>
      <w:r w:rsidRPr="00430400">
        <w:rPr>
          <w:rFonts w:cs="Calibri"/>
          <w:sz w:val="24"/>
        </w:rPr>
        <w:t>˂</w:t>
      </w:r>
      <w:r w:rsidRPr="00430400">
        <w:rPr>
          <w:sz w:val="24"/>
        </w:rPr>
        <w:t>0.001), NDSS Tolerance (e</w:t>
      </w:r>
      <w:r w:rsidRPr="00430400">
        <w:rPr>
          <w:sz w:val="24"/>
        </w:rPr>
        <w:noBreakHyphen/>
        <w:t>cigarette 14</w:t>
      </w:r>
      <w:r w:rsidRPr="00430400">
        <w:rPr>
          <w:rFonts w:cs="Calibri"/>
          <w:sz w:val="24"/>
        </w:rPr>
        <w:t>±</w:t>
      </w:r>
      <w:r w:rsidRPr="00430400">
        <w:rPr>
          <w:sz w:val="24"/>
        </w:rPr>
        <w:t>3.41 vs tobacco 22.19</w:t>
      </w:r>
      <w:r w:rsidRPr="00430400">
        <w:rPr>
          <w:rFonts w:cs="Calibri"/>
          <w:sz w:val="24"/>
        </w:rPr>
        <w:t>±</w:t>
      </w:r>
      <w:r w:rsidRPr="00430400">
        <w:rPr>
          <w:sz w:val="24"/>
        </w:rPr>
        <w:t>3.93, t</w:t>
      </w:r>
      <w:r w:rsidRPr="00430400">
        <w:rPr>
          <w:sz w:val="24"/>
        </w:rPr>
        <w:noBreakHyphen/>
        <w:t>10.0, p&lt;0.001), NDSS</w:t>
      </w:r>
      <w:r w:rsidRPr="00430400">
        <w:rPr>
          <w:sz w:val="24"/>
        </w:rPr>
        <w:noBreakHyphen/>
        <w:t>Continuity (e</w:t>
      </w:r>
      <w:r w:rsidRPr="00430400">
        <w:rPr>
          <w:sz w:val="24"/>
        </w:rPr>
        <w:noBreakHyphen/>
        <w:t>cigarette 23.13</w:t>
      </w:r>
      <w:r w:rsidRPr="00430400">
        <w:rPr>
          <w:rFonts w:cs="Calibri"/>
          <w:sz w:val="24"/>
        </w:rPr>
        <w:t>±</w:t>
      </w:r>
      <w:r w:rsidRPr="00430400">
        <w:rPr>
          <w:sz w:val="24"/>
        </w:rPr>
        <w:t>3.91 vs tobacco 25.90</w:t>
      </w:r>
      <w:r w:rsidRPr="00430400">
        <w:rPr>
          <w:rFonts w:cs="Calibri"/>
          <w:sz w:val="24"/>
        </w:rPr>
        <w:t>±</w:t>
      </w:r>
      <w:r w:rsidRPr="00430400">
        <w:rPr>
          <w:sz w:val="24"/>
        </w:rPr>
        <w:t>4.86, t</w:t>
      </w:r>
      <w:r w:rsidRPr="00430400">
        <w:rPr>
          <w:sz w:val="24"/>
        </w:rPr>
        <w:noBreakHyphen/>
        <w:t>2.8, p=0.006) and NDSS Stereotype (e</w:t>
      </w:r>
      <w:r w:rsidRPr="00430400">
        <w:rPr>
          <w:sz w:val="24"/>
        </w:rPr>
        <w:noBreakHyphen/>
        <w:t>cigarette 11.64</w:t>
      </w:r>
      <w:r w:rsidRPr="00430400">
        <w:rPr>
          <w:rFonts w:cs="Calibri"/>
          <w:sz w:val="24"/>
        </w:rPr>
        <w:t>±</w:t>
      </w:r>
      <w:r w:rsidRPr="00430400">
        <w:rPr>
          <w:sz w:val="24"/>
        </w:rPr>
        <w:t>2.95 vs tobacco 13.21, t</w:t>
      </w:r>
      <w:r w:rsidRPr="00430400">
        <w:rPr>
          <w:sz w:val="24"/>
        </w:rPr>
        <w:noBreakHyphen/>
        <w:t>2.2, p=0.031) sub</w:t>
      </w:r>
      <w:r w:rsidRPr="00430400">
        <w:rPr>
          <w:sz w:val="24"/>
        </w:rPr>
        <w:noBreakHyphen/>
        <w:t>scales. It was noted that validated measures of the scales were not able to be used in the study due to the small sample size of e</w:t>
      </w:r>
      <w:r w:rsidRPr="00430400">
        <w:rPr>
          <w:sz w:val="24"/>
        </w:rPr>
        <w:noBreakHyphen/>
        <w:t>cigarette users. Lack of a randomised trial design means that the difference in nicotine dependence cannot be attributed to the use of e</w:t>
      </w:r>
      <w:r w:rsidRPr="00430400">
        <w:rPr>
          <w:sz w:val="24"/>
        </w:rPr>
        <w:noBreakHyphen/>
        <w:t>cigarettes – people who are less nicotine dependent may be more likely to become e</w:t>
      </w:r>
      <w:r w:rsidRPr="00430400">
        <w:rPr>
          <w:sz w:val="24"/>
        </w:rPr>
        <w:noBreakHyphen/>
        <w:t xml:space="preserve">cigarette users and maintain that use, for example. </w:t>
      </w:r>
    </w:p>
    <w:p w14:paraId="1AD37E12" w14:textId="77777777" w:rsidR="00430400" w:rsidRPr="00430400" w:rsidRDefault="00430400" w:rsidP="00430400">
      <w:pPr>
        <w:spacing w:before="120" w:line="264" w:lineRule="auto"/>
        <w:rPr>
          <w:sz w:val="24"/>
        </w:rPr>
      </w:pPr>
    </w:p>
    <w:p w14:paraId="3E983CA6" w14:textId="77777777" w:rsidR="00430400" w:rsidRPr="00430400" w:rsidRDefault="00430400" w:rsidP="00430400">
      <w:pPr>
        <w:spacing w:before="120" w:line="264" w:lineRule="auto"/>
        <w:rPr>
          <w:sz w:val="24"/>
        </w:rPr>
      </w:pPr>
      <w:r w:rsidRPr="00430400">
        <w:rPr>
          <w:sz w:val="24"/>
        </w:rPr>
        <w:t xml:space="preserve">Finally, Brown and Todd </w:t>
      </w:r>
      <w:r w:rsidRPr="00430400">
        <w:rPr>
          <w:sz w:val="24"/>
        </w:rPr>
        <w:fldChar w:fldCharType="begin"/>
      </w:r>
      <w:r w:rsidRPr="00430400">
        <w:rPr>
          <w:sz w:val="24"/>
        </w:rPr>
        <w:instrText xml:space="preserve"> ADDIN EN.CITE &lt;EndNote&gt;&lt;Cite&gt;&lt;Author&gt;Browne&lt;/Author&gt;&lt;Year&gt;2018&lt;/Year&gt;&lt;RecNum&gt;6986&lt;/RecNum&gt;&lt;DisplayText&gt;(Browne and Todd 2018)&lt;/DisplayText&gt;&lt;record&gt;&lt;rec-number&gt;6986&lt;/rec-number&gt;&lt;foreign-keys&gt;&lt;key app="EN" db-id="fpt9pttrm5zfsaesp9fpsddv09ewsv5xewfd" timestamp="1526279852"&gt;6986&lt;/key&gt;&lt;/foreign-keys&gt;&lt;ref-type name="Journal Article"&gt;17&lt;/ref-type&gt;&lt;contributors&gt;&lt;authors&gt;&lt;author&gt;Browne, M.&lt;/author&gt;&lt;author&gt;Todd, D. G.&lt;/author&gt;&lt;/authors&gt;&lt;/contributors&gt;&lt;auth-address&gt;Central Queensland University, Australia. Electronic address: m.browne@cqu.edu.au.&amp;#xD;Central Queensland University, Australia.&lt;/auth-address&gt;&lt;titles&gt;&lt;title&gt;Then and now: Consumption and dependence in e-cigarette users who formerly smoked cigarettes&lt;/title&gt;&lt;secondary-title&gt;Addict Behav&lt;/secondary-title&gt;&lt;alt-title&gt;Addictive behaviors&lt;/alt-title&gt;&lt;/titles&gt;&lt;alt-periodical&gt;&lt;full-title&gt;Addictive Behaviors&lt;/full-title&gt;&lt;/alt-periodical&gt;&lt;pages&gt;113-121&lt;/pages&gt;&lt;volume&gt;76&lt;/volume&gt;&lt;edition&gt;2017/08/07&lt;/edition&gt;&lt;keywords&gt;&lt;keyword&gt;Consumption&lt;/keyword&gt;&lt;keyword&gt;Dependence&lt;/keyword&gt;&lt;keyword&gt;E-cigarettes&lt;/keyword&gt;&lt;keyword&gt;Nicotine&lt;/keyword&gt;&lt;keyword&gt;Vaping&lt;/keyword&gt;&lt;/keywords&gt;&lt;dates&gt;&lt;year&gt;2018&lt;/year&gt;&lt;pub-dates&gt;&lt;date&gt;Jan&lt;/date&gt;&lt;/pub-dates&gt;&lt;/dates&gt;&lt;isbn&gt;0306-4603&lt;/isbn&gt;&lt;accession-num&gt;28780356&lt;/accession-num&gt;&lt;urls&gt;&lt;related-urls&gt;&lt;url&gt;https://www.sciencedirect.com/science/article/pii/S0306460317302885?via%3Dihub&lt;/url&gt;&lt;/related-urls&gt;&lt;/urls&gt;&lt;electronic-resource-num&gt;10.1016/j.addbeh.2017.07.034&lt;/electronic-resource-num&gt;&lt;remote-database-provider&gt;NLM&lt;/remote-database-provider&gt;&lt;language&gt;eng&lt;/language&gt;&lt;/record&gt;&lt;/Cite&gt;&lt;/EndNote&gt;</w:instrText>
      </w:r>
      <w:r w:rsidRPr="00430400">
        <w:rPr>
          <w:sz w:val="24"/>
        </w:rPr>
        <w:fldChar w:fldCharType="separate"/>
      </w:r>
      <w:r w:rsidRPr="00430400">
        <w:rPr>
          <w:noProof/>
          <w:sz w:val="24"/>
        </w:rPr>
        <w:t>(Browne and Todd 2018)</w:t>
      </w:r>
      <w:r w:rsidRPr="00430400">
        <w:rPr>
          <w:sz w:val="24"/>
        </w:rPr>
        <w:fldChar w:fldCharType="end"/>
      </w:r>
      <w:r w:rsidRPr="00430400">
        <w:rPr>
          <w:sz w:val="24"/>
        </w:rPr>
        <w:t xml:space="preserve"> report on e</w:t>
      </w:r>
      <w:r w:rsidRPr="00430400">
        <w:rPr>
          <w:sz w:val="24"/>
        </w:rPr>
        <w:noBreakHyphen/>
        <w:t>cigarette use in a sample of former smokers recruited online from discussion forums. The 436 participants (80% male) completed the FTND, a version modified to suit current vaping, and various measures of consumption. Questions on past behaviours were asked retrospectively. Average cigarettes per day among ex</w:t>
      </w:r>
      <w:r w:rsidRPr="00430400">
        <w:rPr>
          <w:sz w:val="24"/>
        </w:rPr>
        <w:noBreakHyphen/>
        <w:t>smoking vapers in this sample was reported to have dropped dramatically from 15.72 to 0.28 after users starting vaping. The investigators found a strong and consistent reduction in dependence after transitioning to vaping. However they also report that nicotine levels increased over time; noting that this is moderated by intention to reduce nicotine intake. Overall, dependence did not increase with the number of years a subject had been vaping.</w:t>
      </w:r>
    </w:p>
    <w:p w14:paraId="715B8A69" w14:textId="77777777" w:rsidR="00430400" w:rsidRPr="00430400" w:rsidRDefault="00430400" w:rsidP="00430400">
      <w:pPr>
        <w:spacing w:before="120" w:line="264" w:lineRule="auto"/>
        <w:rPr>
          <w:sz w:val="24"/>
        </w:rPr>
      </w:pPr>
    </w:p>
    <w:p w14:paraId="5FD9E3BD" w14:textId="77777777" w:rsidR="00430400" w:rsidRPr="00430400" w:rsidRDefault="00430400" w:rsidP="00430400">
      <w:pPr>
        <w:pStyle w:val="Heading3"/>
      </w:pPr>
      <w:r w:rsidRPr="00430400">
        <w:t>Conclusion</w:t>
      </w:r>
    </w:p>
    <w:p w14:paraId="4502C4C4" w14:textId="6FDCFBE7" w:rsidR="00430400" w:rsidRPr="00430400" w:rsidRDefault="00430400" w:rsidP="00430400">
      <w:pPr>
        <w:spacing w:before="120" w:line="264" w:lineRule="auto"/>
        <w:rPr>
          <w:sz w:val="24"/>
        </w:rPr>
      </w:pPr>
      <w:r w:rsidRPr="00430400">
        <w:rPr>
          <w:sz w:val="24"/>
        </w:rPr>
        <w:t>While a Spanish study suggested that e</w:t>
      </w:r>
      <w:r w:rsidRPr="00430400">
        <w:rPr>
          <w:sz w:val="24"/>
        </w:rPr>
        <w:noBreakHyphen/>
        <w:t xml:space="preserve">cigarette users may be less addicted to nicotine relative to conventional smokers </w:t>
      </w:r>
      <w:r w:rsidRPr="00430400">
        <w:rPr>
          <w:sz w:val="24"/>
        </w:rPr>
        <w:fldChar w:fldCharType="begin"/>
      </w:r>
      <w:r w:rsidRPr="00430400">
        <w:rPr>
          <w:sz w:val="24"/>
        </w:rPr>
        <w:instrText xml:space="preserve"> ADDIN EN.CITE &lt;EndNote&gt;&lt;Cite&gt;&lt;Author&gt;Gonzalez Roz&lt;/Author&gt;&lt;Year&gt;2017&lt;/Year&gt;&lt;RecNum&gt;3416&lt;/RecNum&gt;&lt;DisplayText&gt;(Gonzalez Roz, Secades Villa et al. 2017)&lt;/DisplayText&gt;&lt;record&gt;&lt;rec-number&gt;3416&lt;/rec-number&gt;&lt;foreign-keys&gt;&lt;key app="EN" db-id="fpt9pttrm5zfsaesp9fpsddv09ewsv5xewfd" timestamp="1523840728"&gt;3416&lt;/key&gt;&lt;key app="ENWeb" db-id=""&gt;0&lt;/key&gt;&lt;/foreign-keys&gt;&lt;ref-type name="Journal Article"&gt;17&lt;/ref-type&gt;&lt;contributors&gt;&lt;authors&gt;&lt;author&gt;Gonzalez Roz, A.&lt;/author&gt;&lt;author&gt;Secades Villa, R.&lt;/author&gt;&lt;author&gt;Weidberg, S.&lt;/author&gt;&lt;/authors&gt;&lt;/contributors&gt;&lt;auth-address&gt;Universidad de Oviedo. albagroz@cop.es.&lt;/auth-address&gt;&lt;titles&gt;&lt;title&gt;Evaluating nicotine dependence levels in e-cigarette users&lt;/title&gt;&lt;secondary-title&gt;Adicciones&lt;/secondary-title&gt;&lt;alt-title&gt;Adicciones&lt;/alt-title&gt;&lt;/titles&gt;&lt;periodical&gt;&lt;full-title&gt;Adicciones&lt;/full-title&gt;&lt;/periodical&gt;&lt;alt-periodical&gt;&lt;full-title&gt;Adicciones&lt;/full-title&gt;&lt;/alt-periodical&gt;&lt;pages&gt;136-138&lt;/pages&gt;&lt;volume&gt;29&lt;/volume&gt;&lt;number&gt;2&lt;/number&gt;&lt;edition&gt;2017/02/09&lt;/edition&gt;&lt;dates&gt;&lt;year&gt;2017&lt;/year&gt;&lt;pub-dates&gt;&lt;date&gt;Jan 11&lt;/date&gt;&lt;/pub-dates&gt;&lt;/dates&gt;&lt;orig-pub&gt;Evaluacion de los niveles de dependencia de la nicotina en usuarios de cigarrillos electronicos.&lt;/orig-pub&gt;&lt;isbn&gt;0214-4840 (Print)&amp;#xD;0214-4840&lt;/isbn&gt;&lt;accession-num&gt;28170058&lt;/accession-num&gt;&lt;urls&gt;&lt;/urls&gt;&lt;electronic-resource-num&gt;10.20882/adicciones.905&lt;/electronic-resource-num&gt;&lt;remote-database-provider&gt;NLM&lt;/remote-database-provider&gt;&lt;language&gt;eng&amp;#xD;spa&lt;/language&gt;&lt;/record&gt;&lt;/Cite&gt;&lt;/EndNote&gt;</w:instrText>
      </w:r>
      <w:r w:rsidRPr="00430400">
        <w:rPr>
          <w:sz w:val="24"/>
        </w:rPr>
        <w:fldChar w:fldCharType="separate"/>
      </w:r>
      <w:r w:rsidRPr="00430400">
        <w:rPr>
          <w:noProof/>
          <w:sz w:val="24"/>
        </w:rPr>
        <w:t>(Gonzalez Roz, Secades Villa et al. 2017)</w:t>
      </w:r>
      <w:r w:rsidRPr="00430400">
        <w:rPr>
          <w:sz w:val="24"/>
        </w:rPr>
        <w:fldChar w:fldCharType="end"/>
      </w:r>
      <w:r w:rsidRPr="00430400">
        <w:rPr>
          <w:sz w:val="24"/>
        </w:rPr>
        <w:t xml:space="preserve">, another in pregnant women suggests that dual users may be more addicted than conventional cigarette smokers </w:t>
      </w:r>
      <w:r w:rsidRPr="00430400">
        <w:rPr>
          <w:sz w:val="24"/>
        </w:rPr>
        <w:fldChar w:fldCharType="begin"/>
      </w:r>
      <w:r w:rsidRPr="00430400">
        <w:rPr>
          <w:sz w:val="24"/>
        </w:rPr>
        <w:instrText xml:space="preserve"> ADDIN EN.CITE &lt;EndNote&gt;&lt;Cite&gt;&lt;Author&gt;Ashford&lt;/Author&gt;&lt;Year&gt;2018&lt;/Year&gt;&lt;RecNum&gt;3448&lt;/RecNum&gt;&lt;DisplayText&gt;(Ashford, Chavan et al. 2018)&lt;/DisplayText&gt;&lt;record&gt;&lt;rec-number&gt;3448&lt;/rec-number&gt;&lt;foreign-keys&gt;&lt;key app="EN" db-id="fpt9pttrm5zfsaesp9fpsddv09ewsv5xewfd" timestamp="1523840842"&gt;3448&lt;/key&gt;&lt;key app="ENWeb" db-id=""&gt;0&lt;/key&gt;&lt;/foreign-keys&gt;&lt;ref-type name="Journal Article"&gt;17&lt;/ref-type&gt;&lt;contributors&gt;&lt;authors&gt;&lt;author&gt;Ashford, Kristin B.&lt;/author&gt;&lt;author&gt;Chavan, Niraj R.&lt;/author&gt;&lt;author&gt;Wiggins, Amanda&lt;/author&gt;&lt;author&gt;Barnett, Janine&lt;/author&gt;&lt;author&gt;McCubbin, Andrea&lt;/author&gt;&lt;author&gt;Ducas, Leticia&lt;/author&gt;&lt;author&gt;O&amp;apos;Brien, John M.&lt;/author&gt;&lt;/authors&gt;&lt;/contributors&gt;&lt;titles&gt;&lt;title&gt;Prenatal electronic cigarette, dual use and nicotine dependency&lt;/title&gt;&lt;secondary-title&gt;American Journal of Obstetrics and Gynecology&lt;/secondary-title&gt;&lt;/titles&gt;&lt;periodical&gt;&lt;full-title&gt;American Journal of Obstetrics and Gynecology&lt;/full-title&gt;&lt;/periodical&gt;&lt;pages&gt;S431-S432&lt;/pages&gt;&lt;volume&gt;218&lt;/volume&gt;&lt;number&gt;1&lt;/number&gt;&lt;dates&gt;&lt;year&gt;2018&lt;/year&gt;&lt;pub-dates&gt;&lt;date&gt;Jan&lt;/date&gt;&lt;/pub-dates&gt;&lt;/dates&gt;&lt;isbn&gt;0002-9378&lt;/isbn&gt;&lt;accession-num&gt;WOS:000423616600216&lt;/accession-num&gt;&lt;urls&gt;&lt;related-urls&gt;&lt;url&gt;&amp;lt;Go to ISI&amp;gt;://WOS:000423616600216&lt;/url&gt;&lt;/related-urls&gt;&lt;/urls&gt;&lt;/record&gt;&lt;/Cite&gt;&lt;/EndNote&gt;</w:instrText>
      </w:r>
      <w:r w:rsidRPr="00430400">
        <w:rPr>
          <w:sz w:val="24"/>
        </w:rPr>
        <w:fldChar w:fldCharType="separate"/>
      </w:r>
      <w:r w:rsidRPr="00430400">
        <w:rPr>
          <w:noProof/>
          <w:sz w:val="24"/>
        </w:rPr>
        <w:t>(Ashford, Chavan et al. 2018)</w:t>
      </w:r>
      <w:r w:rsidRPr="00430400">
        <w:rPr>
          <w:sz w:val="24"/>
        </w:rPr>
        <w:fldChar w:fldCharType="end"/>
      </w:r>
      <w:r w:rsidRPr="00430400">
        <w:rPr>
          <w:sz w:val="24"/>
        </w:rPr>
        <w:t xml:space="preserve">. The Walele et al </w:t>
      </w:r>
      <w:r w:rsidRPr="00430400">
        <w:rPr>
          <w:sz w:val="24"/>
        </w:rPr>
        <w:fldChar w:fldCharType="begin">
          <w:fldData xml:space="preserve">PEVuZE5vdGU+PENpdGU+PEF1dGhvcj5XYWxlbGU8L0F1dGhvcj48WWVhcj4yMDE4PC9ZZWFyPjxS
ZWNOdW0+MTg2PC9SZWNOdW0+PERpc3BsYXlUZXh0PihXYWxlbGUsIEJ1c2ggZXQgYWwuIDIwMTgp
PC9EaXNwbGF5VGV4dD48cmVjb3JkPjxyZWMtbnVtYmVyPjE4NjwvcmVjLW51bWJlcj48Zm9yZWln
bi1rZXlzPjxrZXkgYXBwPSJFTiIgZGItaWQ9IjV4djV3NXQyYmR4dHhmZXp4MDJ4dHhkZnQ1cno1
cHR2dnQyOSIgdGltZXN0YW1wPSIxNTIwNTY4NDIwIj4xODY8L2tleT48a2V5IGFwcD0iRU5XZWIi
IGRiLWlkPSIiPjA8L2tleT48L2ZvcmVpZ24ta2V5cz48cmVmLXR5cGUgbmFtZT0iSm91cm5hbCBB
cnRpY2xlIj4xNzwvcmVmLXR5cGU+PGNvbnRyaWJ1dG9ycz48YXV0aG9ycz48YXV0aG9yPldhbGVs
ZSwgVC48L2F1dGhvcj48YXV0aG9yPkJ1c2gsIEouPC9hdXRob3I+PGF1dGhvcj5Lb2NoLCBBLjwv
YXV0aG9yPjxhdXRob3I+U2F2aW96LCBSLjwvYXV0aG9yPjxhdXRob3I+TWFydGluLCBDLjwvYXV0
aG9yPjxhdXRob3I+TyZhcG9zO0Nvbm5lbGwsIEcuPC9hdXRob3I+PC9hdXRob3JzPjwvY29udHJp
YnV0b3JzPjxhdXRoLWFkZHJlc3M+Rm9udGVtIFZlbnR1cmVzLCBCYXJiYXJhIFN0cm96emlsYWFu
IDEwMSwgMTA4MyBITiBBbXN0ZXJkYW0sIFRoZSBOZXRoZXJsYW5kcy4gRWxlY3Ryb25pYyBhZGRy
ZXNzOiB0YW52aXIud2FsZWxlQGZvbnRlbXZlbnR1cmVzLmNvbS4mI3hEO0NvdmFuY2UgQ2xpbmlj
YWwgUmVzZWFyY2ggVW5pdCwgSHlkZSBTdHJlZXQsIExlZWRzLCBMUzIgOUxILCBVSy4mI3hEO1Np
bWJlYyBSZXNlYXJjaCwgTWVydGh5ciBUeWRmaWwsIENGNDggNERSLCBVSy4mI3hEO0NsaW5vcHNp
cyBTLkEuLCBKYXJkaW5zIDYsIDE0MjYgQ29uY2lzZSwgU3dpdHplcmxhbmQuJiN4RDtGb250ZW0g
VmVudHVyZXMsIEJhcmJhcmEgU3Ryb3p6aWxhYW4gMTAxLCAxMDgzIEhOIEFtc3RlcmRhbSwgVGhl
IE5ldGhlcmxhbmRzLjwvYXV0aC1hZGRyZXNzPjx0aXRsZXM+PHRpdGxlPkV2YWx1YXRpb24gb2Yg
dGhlIHNhZmV0eSBwcm9maWxlIG9mIGFuIGVsZWN0cm9uaWMgdmFwb3VyIHByb2R1Y3QgdXNlZCBm
b3IgdHdvIHllYXJzIGJ5IHNtb2tlcnMgaW4gYSByZWFsLWxpZmUgc2V0dGluZzwvdGl0bGU+PHNl
Y29uZGFyeS10aXRsZT5SZWd1bCBUb3hpY29sIFBoYXJtYWNvbDwvc2Vjb25kYXJ5LXRpdGxlPjxh
bHQtdGl0bGU+UmVndWxhdG9yeSB0b3hpY29sb2d5IGFuZCBwaGFybWFjb2xvZ3kgOiBSVFA8L2Fs
dC10aXRsZT48L3RpdGxlcz48cGVyaW9kaWNhbD48ZnVsbC10aXRsZT5SZWd1bCBUb3hpY29sIFBo
YXJtYWNvbDwvZnVsbC10aXRsZT48YWJici0xPlJlZ3VsYXRvcnkgdG94aWNvbG9neSBhbmQgcGhh
cm1hY29sb2d5IDogUlRQPC9hYmJyLTE+PC9wZXJpb2RpY2FsPjxhbHQtcGVyaW9kaWNhbD48ZnVs
bC10aXRsZT5SZWd1bCBUb3hpY29sIFBoYXJtYWNvbDwvZnVsbC10aXRsZT48YWJici0xPlJlZ3Vs
YXRvcnkgdG94aWNvbG9neSBhbmQgcGhhcm1hY29sb2d5IDogUlRQPC9hYmJyLTE+PC9hbHQtcGVy
aW9kaWNhbD48cGFnZXM+MjI2LTIzODwvcGFnZXM+PHZvbHVtZT45Mjwvdm9sdW1lPjxlZGl0aW9u
PjIwMTcvMTIvMTk8L2VkaXRpb24+PGtleXdvcmRzPjxrZXl3b3JkPkFkdmVyc2UgZXZlbnRzPC9r
ZXl3b3JkPjxrZXl3b3JkPkJpb21hcmtlcnMgb2YgZXhwb3N1cmU8L2tleXdvcmQ+PGtleXdvcmQ+
Q2xpbmljYWwgc3R1ZHk8L2tleXdvcmQ+PGtleXdvcmQ+RWxlY3Ryb25pYyBjaWdhcmV0dGU8L2tl
eXdvcmQ+PGtleXdvcmQ+RWxlY3Ryb25pYyB2YXBvdXIgcHJvZHVjdDwva2V5d29yZD48a2V5d29y
ZD5TYWZldHk8L2tleXdvcmQ+PGtleXdvcmQ+U3ViamVjdGl2ZSBlZmZlY3RzPC9rZXl3b3JkPjwv
a2V5d29yZHM+PGRhdGVzPjx5ZWFyPjIwMTg8L3llYXI+PHB1Yi1kYXRlcz48ZGF0ZT5GZWI8L2Rh
dGU+PC9wdWItZGF0ZXM+PC9kYXRlcz48aXNibj4wMjczLTIzMDA8L2lzYm4+PGFjY2Vzc2lvbi1u
dW0+MjkyNDg0ODc8L2FjY2Vzc2lvbi1udW0+PHVybHM+PC91cmxzPjxlbGVjdHJvbmljLXJlc291
cmNlLW51bT4xMC4xMDE2L2oueXJ0cGguMjAxNy4xMi4wMTA8L2VsZWN0cm9uaWMtcmVzb3VyY2Ut
bnVtPjxyZW1vdGUtZGF0YWJhc2UtcHJvdmlkZXI+TkxNPC9yZW1vdGUtZGF0YWJhc2UtcHJvdmlk
ZXI+PGxhbmd1YWdlPmVuZzwvbGFuZ3VhZ2U+PC9yZWNvcmQ+PC9DaXRlPjwvRW5kTm90ZT4A
</w:fldData>
        </w:fldChar>
      </w:r>
      <w:r w:rsidRPr="00430400">
        <w:rPr>
          <w:sz w:val="24"/>
        </w:rPr>
        <w:instrText xml:space="preserve"> ADDIN EN.CITE </w:instrText>
      </w:r>
      <w:r w:rsidRPr="00430400">
        <w:rPr>
          <w:sz w:val="24"/>
        </w:rPr>
        <w:fldChar w:fldCharType="begin">
          <w:fldData xml:space="preserve">PEVuZE5vdGU+PENpdGU+PEF1dGhvcj5XYWxlbGU8L0F1dGhvcj48WWVhcj4yMDE4PC9ZZWFyPjxS
ZWNOdW0+MTg2PC9SZWNOdW0+PERpc3BsYXlUZXh0PihXYWxlbGUsIEJ1c2ggZXQgYWwuIDIwMTgp
PC9EaXNwbGF5VGV4dD48cmVjb3JkPjxyZWMtbnVtYmVyPjE4NjwvcmVjLW51bWJlcj48Zm9yZWln
bi1rZXlzPjxrZXkgYXBwPSJFTiIgZGItaWQ9IjV4djV3NXQyYmR4dHhmZXp4MDJ4dHhkZnQ1cno1
cHR2dnQyOSIgdGltZXN0YW1wPSIxNTIwNTY4NDIwIj4xODY8L2tleT48a2V5IGFwcD0iRU5XZWIi
IGRiLWlkPSIiPjA8L2tleT48L2ZvcmVpZ24ta2V5cz48cmVmLXR5cGUgbmFtZT0iSm91cm5hbCBB
cnRpY2xlIj4xNzwvcmVmLXR5cGU+PGNvbnRyaWJ1dG9ycz48YXV0aG9ycz48YXV0aG9yPldhbGVs
ZSwgVC48L2F1dGhvcj48YXV0aG9yPkJ1c2gsIEouPC9hdXRob3I+PGF1dGhvcj5Lb2NoLCBBLjwv
YXV0aG9yPjxhdXRob3I+U2F2aW96LCBSLjwvYXV0aG9yPjxhdXRob3I+TWFydGluLCBDLjwvYXV0
aG9yPjxhdXRob3I+TyZhcG9zO0Nvbm5lbGwsIEcuPC9hdXRob3I+PC9hdXRob3JzPjwvY29udHJp
YnV0b3JzPjxhdXRoLWFkZHJlc3M+Rm9udGVtIFZlbnR1cmVzLCBCYXJiYXJhIFN0cm96emlsYWFu
IDEwMSwgMTA4MyBITiBBbXN0ZXJkYW0sIFRoZSBOZXRoZXJsYW5kcy4gRWxlY3Ryb25pYyBhZGRy
ZXNzOiB0YW52aXIud2FsZWxlQGZvbnRlbXZlbnR1cmVzLmNvbS4mI3hEO0NvdmFuY2UgQ2xpbmlj
YWwgUmVzZWFyY2ggVW5pdCwgSHlkZSBTdHJlZXQsIExlZWRzLCBMUzIgOUxILCBVSy4mI3hEO1Np
bWJlYyBSZXNlYXJjaCwgTWVydGh5ciBUeWRmaWwsIENGNDggNERSLCBVSy4mI3hEO0NsaW5vcHNp
cyBTLkEuLCBKYXJkaW5zIDYsIDE0MjYgQ29uY2lzZSwgU3dpdHplcmxhbmQuJiN4RDtGb250ZW0g
VmVudHVyZXMsIEJhcmJhcmEgU3Ryb3p6aWxhYW4gMTAxLCAxMDgzIEhOIEFtc3RlcmRhbSwgVGhl
IE5ldGhlcmxhbmRzLjwvYXV0aC1hZGRyZXNzPjx0aXRsZXM+PHRpdGxlPkV2YWx1YXRpb24gb2Yg
dGhlIHNhZmV0eSBwcm9maWxlIG9mIGFuIGVsZWN0cm9uaWMgdmFwb3VyIHByb2R1Y3QgdXNlZCBm
b3IgdHdvIHllYXJzIGJ5IHNtb2tlcnMgaW4gYSByZWFsLWxpZmUgc2V0dGluZzwvdGl0bGU+PHNl
Y29uZGFyeS10aXRsZT5SZWd1bCBUb3hpY29sIFBoYXJtYWNvbDwvc2Vjb25kYXJ5LXRpdGxlPjxh
bHQtdGl0bGU+UmVndWxhdG9yeSB0b3hpY29sb2d5IGFuZCBwaGFybWFjb2xvZ3kgOiBSVFA8L2Fs
dC10aXRsZT48L3RpdGxlcz48cGVyaW9kaWNhbD48ZnVsbC10aXRsZT5SZWd1bCBUb3hpY29sIFBo
YXJtYWNvbDwvZnVsbC10aXRsZT48YWJici0xPlJlZ3VsYXRvcnkgdG94aWNvbG9neSBhbmQgcGhh
cm1hY29sb2d5IDogUlRQPC9hYmJyLTE+PC9wZXJpb2RpY2FsPjxhbHQtcGVyaW9kaWNhbD48ZnVs
bC10aXRsZT5SZWd1bCBUb3hpY29sIFBoYXJtYWNvbDwvZnVsbC10aXRsZT48YWJici0xPlJlZ3Vs
YXRvcnkgdG94aWNvbG9neSBhbmQgcGhhcm1hY29sb2d5IDogUlRQPC9hYmJyLTE+PC9hbHQtcGVy
aW9kaWNhbD48cGFnZXM+MjI2LTIzODwvcGFnZXM+PHZvbHVtZT45Mjwvdm9sdW1lPjxlZGl0aW9u
PjIwMTcvMTIvMTk8L2VkaXRpb24+PGtleXdvcmRzPjxrZXl3b3JkPkFkdmVyc2UgZXZlbnRzPC9r
ZXl3b3JkPjxrZXl3b3JkPkJpb21hcmtlcnMgb2YgZXhwb3N1cmU8L2tleXdvcmQ+PGtleXdvcmQ+
Q2xpbmljYWwgc3R1ZHk8L2tleXdvcmQ+PGtleXdvcmQ+RWxlY3Ryb25pYyBjaWdhcmV0dGU8L2tl
eXdvcmQ+PGtleXdvcmQ+RWxlY3Ryb25pYyB2YXBvdXIgcHJvZHVjdDwva2V5d29yZD48a2V5d29y
ZD5TYWZldHk8L2tleXdvcmQ+PGtleXdvcmQ+U3ViamVjdGl2ZSBlZmZlY3RzPC9rZXl3b3JkPjwv
a2V5d29yZHM+PGRhdGVzPjx5ZWFyPjIwMTg8L3llYXI+PHB1Yi1kYXRlcz48ZGF0ZT5GZWI8L2Rh
dGU+PC9wdWItZGF0ZXM+PC9kYXRlcz48aXNibj4wMjczLTIzMDA8L2lzYm4+PGFjY2Vzc2lvbi1u
dW0+MjkyNDg0ODc8L2FjY2Vzc2lvbi1udW0+PHVybHM+PC91cmxzPjxlbGVjdHJvbmljLXJlc291
cmNlLW51bT4xMC4xMDE2L2oueXJ0cGguMjAxNy4xMi4wMTA8L2VsZWN0cm9uaWMtcmVzb3VyY2Ut
bnVtPjxyZW1vdGUtZGF0YWJhc2UtcHJvdmlkZXI+TkxNPC9yZW1vdGUtZGF0YWJhc2UtcHJvdmlk
ZXI+PGxhbmd1YWdlPmVuZzwvbGFuZ3VhZ2U+PC9yZWNvcmQ+PC9DaXRlPjwvRW5kTm90ZT4A
</w:fldData>
        </w:fldChar>
      </w:r>
      <w:r w:rsidRPr="00430400">
        <w:rPr>
          <w:sz w:val="24"/>
        </w:rPr>
        <w:instrText xml:space="preserve"> ADDIN EN.CITE.DATA </w:instrText>
      </w:r>
      <w:r w:rsidRPr="00430400">
        <w:rPr>
          <w:sz w:val="24"/>
        </w:rPr>
      </w:r>
      <w:r w:rsidRPr="00430400">
        <w:rPr>
          <w:sz w:val="24"/>
        </w:rPr>
        <w:fldChar w:fldCharType="end"/>
      </w:r>
      <w:r w:rsidRPr="00430400">
        <w:rPr>
          <w:sz w:val="24"/>
        </w:rPr>
      </w:r>
      <w:r w:rsidRPr="00430400">
        <w:rPr>
          <w:sz w:val="24"/>
        </w:rPr>
        <w:fldChar w:fldCharType="separate"/>
      </w:r>
      <w:r w:rsidRPr="00430400">
        <w:rPr>
          <w:noProof/>
          <w:sz w:val="24"/>
        </w:rPr>
        <w:t>(Walele, Bush et al. 2018)</w:t>
      </w:r>
      <w:r w:rsidRPr="00430400">
        <w:rPr>
          <w:sz w:val="24"/>
        </w:rPr>
        <w:fldChar w:fldCharType="end"/>
      </w:r>
      <w:r w:rsidRPr="00430400">
        <w:rPr>
          <w:sz w:val="24"/>
        </w:rPr>
        <w:t xml:space="preserve"> study suggests a decline in the desire to smoke over 12 months which remains consistent at </w:t>
      </w:r>
      <w:r w:rsidR="001E52F0">
        <w:rPr>
          <w:sz w:val="24"/>
        </w:rPr>
        <w:t>two</w:t>
      </w:r>
      <w:r w:rsidRPr="00430400">
        <w:rPr>
          <w:sz w:val="24"/>
        </w:rPr>
        <w:t xml:space="preserve"> years, however the high attrition rate means that this applies only to those who remained in the study.</w:t>
      </w:r>
    </w:p>
    <w:p w14:paraId="16437DC1" w14:textId="21FC9166" w:rsidR="00430400" w:rsidRPr="00430400" w:rsidRDefault="00430400" w:rsidP="00430400">
      <w:pPr>
        <w:spacing w:before="120" w:line="264" w:lineRule="auto"/>
        <w:rPr>
          <w:sz w:val="24"/>
        </w:rPr>
      </w:pPr>
      <w:r w:rsidRPr="00430400">
        <w:rPr>
          <w:sz w:val="24"/>
        </w:rPr>
        <w:lastRenderedPageBreak/>
        <w:t>In terms of nicotine levels associated with e</w:t>
      </w:r>
      <w:r w:rsidRPr="00430400">
        <w:rPr>
          <w:sz w:val="24"/>
        </w:rPr>
        <w:noBreakHyphen/>
        <w:t xml:space="preserve">cigarette use in smokers, the results are mixed. Walele et al </w:t>
      </w:r>
      <w:r w:rsidRPr="00430400">
        <w:rPr>
          <w:sz w:val="24"/>
        </w:rPr>
        <w:fldChar w:fldCharType="begin">
          <w:fldData xml:space="preserve">PEVuZE5vdGU+PENpdGU+PEF1dGhvcj5XYWxlbGU8L0F1dGhvcj48WWVhcj4yMDE4PC9ZZWFyPjxS
ZWNOdW0+MTg2PC9SZWNOdW0+PERpc3BsYXlUZXh0PihXYWxlbGUsIEJ1c2ggZXQgYWwuIDIwMTgp
PC9EaXNwbGF5VGV4dD48cmVjb3JkPjxyZWMtbnVtYmVyPjE4NjwvcmVjLW51bWJlcj48Zm9yZWln
bi1rZXlzPjxrZXkgYXBwPSJFTiIgZGItaWQ9IjV4djV3NXQyYmR4dHhmZXp4MDJ4dHhkZnQ1cno1
cHR2dnQyOSIgdGltZXN0YW1wPSIxNTIwNTY4NDIwIj4xODY8L2tleT48a2V5IGFwcD0iRU5XZWIi
IGRiLWlkPSIiPjA8L2tleT48L2ZvcmVpZ24ta2V5cz48cmVmLXR5cGUgbmFtZT0iSm91cm5hbCBB
cnRpY2xlIj4xNzwvcmVmLXR5cGU+PGNvbnRyaWJ1dG9ycz48YXV0aG9ycz48YXV0aG9yPldhbGVs
ZSwgVC48L2F1dGhvcj48YXV0aG9yPkJ1c2gsIEouPC9hdXRob3I+PGF1dGhvcj5Lb2NoLCBBLjwv
YXV0aG9yPjxhdXRob3I+U2F2aW96LCBSLjwvYXV0aG9yPjxhdXRob3I+TWFydGluLCBDLjwvYXV0
aG9yPjxhdXRob3I+TyZhcG9zO0Nvbm5lbGwsIEcuPC9hdXRob3I+PC9hdXRob3JzPjwvY29udHJp
YnV0b3JzPjxhdXRoLWFkZHJlc3M+Rm9udGVtIFZlbnR1cmVzLCBCYXJiYXJhIFN0cm96emlsYWFu
IDEwMSwgMTA4MyBITiBBbXN0ZXJkYW0sIFRoZSBOZXRoZXJsYW5kcy4gRWxlY3Ryb25pYyBhZGRy
ZXNzOiB0YW52aXIud2FsZWxlQGZvbnRlbXZlbnR1cmVzLmNvbS4mI3hEO0NvdmFuY2UgQ2xpbmlj
YWwgUmVzZWFyY2ggVW5pdCwgSHlkZSBTdHJlZXQsIExlZWRzLCBMUzIgOUxILCBVSy4mI3hEO1Np
bWJlYyBSZXNlYXJjaCwgTWVydGh5ciBUeWRmaWwsIENGNDggNERSLCBVSy4mI3hEO0NsaW5vcHNp
cyBTLkEuLCBKYXJkaW5zIDYsIDE0MjYgQ29uY2lzZSwgU3dpdHplcmxhbmQuJiN4RDtGb250ZW0g
VmVudHVyZXMsIEJhcmJhcmEgU3Ryb3p6aWxhYW4gMTAxLCAxMDgzIEhOIEFtc3RlcmRhbSwgVGhl
IE5ldGhlcmxhbmRzLjwvYXV0aC1hZGRyZXNzPjx0aXRsZXM+PHRpdGxlPkV2YWx1YXRpb24gb2Yg
dGhlIHNhZmV0eSBwcm9maWxlIG9mIGFuIGVsZWN0cm9uaWMgdmFwb3VyIHByb2R1Y3QgdXNlZCBm
b3IgdHdvIHllYXJzIGJ5IHNtb2tlcnMgaW4gYSByZWFsLWxpZmUgc2V0dGluZzwvdGl0bGU+PHNl
Y29uZGFyeS10aXRsZT5SZWd1bCBUb3hpY29sIFBoYXJtYWNvbDwvc2Vjb25kYXJ5LXRpdGxlPjxh
bHQtdGl0bGU+UmVndWxhdG9yeSB0b3hpY29sb2d5IGFuZCBwaGFybWFjb2xvZ3kgOiBSVFA8L2Fs
dC10aXRsZT48L3RpdGxlcz48cGVyaW9kaWNhbD48ZnVsbC10aXRsZT5SZWd1bCBUb3hpY29sIFBo
YXJtYWNvbDwvZnVsbC10aXRsZT48YWJici0xPlJlZ3VsYXRvcnkgdG94aWNvbG9neSBhbmQgcGhh
cm1hY29sb2d5IDogUlRQPC9hYmJyLTE+PC9wZXJpb2RpY2FsPjxhbHQtcGVyaW9kaWNhbD48ZnVs
bC10aXRsZT5SZWd1bCBUb3hpY29sIFBoYXJtYWNvbDwvZnVsbC10aXRsZT48YWJici0xPlJlZ3Vs
YXRvcnkgdG94aWNvbG9neSBhbmQgcGhhcm1hY29sb2d5IDogUlRQPC9hYmJyLTE+PC9hbHQtcGVy
aW9kaWNhbD48cGFnZXM+MjI2LTIzODwvcGFnZXM+PHZvbHVtZT45Mjwvdm9sdW1lPjxlZGl0aW9u
PjIwMTcvMTIvMTk8L2VkaXRpb24+PGtleXdvcmRzPjxrZXl3b3JkPkFkdmVyc2UgZXZlbnRzPC9r
ZXl3b3JkPjxrZXl3b3JkPkJpb21hcmtlcnMgb2YgZXhwb3N1cmU8L2tleXdvcmQ+PGtleXdvcmQ+
Q2xpbmljYWwgc3R1ZHk8L2tleXdvcmQ+PGtleXdvcmQ+RWxlY3Ryb25pYyBjaWdhcmV0dGU8L2tl
eXdvcmQ+PGtleXdvcmQ+RWxlY3Ryb25pYyB2YXBvdXIgcHJvZHVjdDwva2V5d29yZD48a2V5d29y
ZD5TYWZldHk8L2tleXdvcmQ+PGtleXdvcmQ+U3ViamVjdGl2ZSBlZmZlY3RzPC9rZXl3b3JkPjwv
a2V5d29yZHM+PGRhdGVzPjx5ZWFyPjIwMTg8L3llYXI+PHB1Yi1kYXRlcz48ZGF0ZT5GZWI8L2Rh
dGU+PC9wdWItZGF0ZXM+PC9kYXRlcz48aXNibj4wMjczLTIzMDA8L2lzYm4+PGFjY2Vzc2lvbi1u
dW0+MjkyNDg0ODc8L2FjY2Vzc2lvbi1udW0+PHVybHM+PC91cmxzPjxlbGVjdHJvbmljLXJlc291
cmNlLW51bT4xMC4xMDE2L2oueXJ0cGguMjAxNy4xMi4wMTA8L2VsZWN0cm9uaWMtcmVzb3VyY2Ut
bnVtPjxyZW1vdGUtZGF0YWJhc2UtcHJvdmlkZXI+TkxNPC9yZW1vdGUtZGF0YWJhc2UtcHJvdmlk
ZXI+PGxhbmd1YWdlPmVuZzwvbGFuZ3VhZ2U+PC9yZWNvcmQ+PC9DaXRlPjwvRW5kTm90ZT4A
</w:fldData>
        </w:fldChar>
      </w:r>
      <w:r w:rsidRPr="00430400">
        <w:rPr>
          <w:sz w:val="24"/>
        </w:rPr>
        <w:instrText xml:space="preserve"> ADDIN EN.CITE </w:instrText>
      </w:r>
      <w:r w:rsidRPr="00430400">
        <w:rPr>
          <w:sz w:val="24"/>
        </w:rPr>
        <w:fldChar w:fldCharType="begin">
          <w:fldData xml:space="preserve">PEVuZE5vdGU+PENpdGU+PEF1dGhvcj5XYWxlbGU8L0F1dGhvcj48WWVhcj4yMDE4PC9ZZWFyPjxS
ZWNOdW0+MTg2PC9SZWNOdW0+PERpc3BsYXlUZXh0PihXYWxlbGUsIEJ1c2ggZXQgYWwuIDIwMTgp
PC9EaXNwbGF5VGV4dD48cmVjb3JkPjxyZWMtbnVtYmVyPjE4NjwvcmVjLW51bWJlcj48Zm9yZWln
bi1rZXlzPjxrZXkgYXBwPSJFTiIgZGItaWQ9IjV4djV3NXQyYmR4dHhmZXp4MDJ4dHhkZnQ1cno1
cHR2dnQyOSIgdGltZXN0YW1wPSIxNTIwNTY4NDIwIj4xODY8L2tleT48a2V5IGFwcD0iRU5XZWIi
IGRiLWlkPSIiPjA8L2tleT48L2ZvcmVpZ24ta2V5cz48cmVmLXR5cGUgbmFtZT0iSm91cm5hbCBB
cnRpY2xlIj4xNzwvcmVmLXR5cGU+PGNvbnRyaWJ1dG9ycz48YXV0aG9ycz48YXV0aG9yPldhbGVs
ZSwgVC48L2F1dGhvcj48YXV0aG9yPkJ1c2gsIEouPC9hdXRob3I+PGF1dGhvcj5Lb2NoLCBBLjwv
YXV0aG9yPjxhdXRob3I+U2F2aW96LCBSLjwvYXV0aG9yPjxhdXRob3I+TWFydGluLCBDLjwvYXV0
aG9yPjxhdXRob3I+TyZhcG9zO0Nvbm5lbGwsIEcuPC9hdXRob3I+PC9hdXRob3JzPjwvY29udHJp
YnV0b3JzPjxhdXRoLWFkZHJlc3M+Rm9udGVtIFZlbnR1cmVzLCBCYXJiYXJhIFN0cm96emlsYWFu
IDEwMSwgMTA4MyBITiBBbXN0ZXJkYW0sIFRoZSBOZXRoZXJsYW5kcy4gRWxlY3Ryb25pYyBhZGRy
ZXNzOiB0YW52aXIud2FsZWxlQGZvbnRlbXZlbnR1cmVzLmNvbS4mI3hEO0NvdmFuY2UgQ2xpbmlj
YWwgUmVzZWFyY2ggVW5pdCwgSHlkZSBTdHJlZXQsIExlZWRzLCBMUzIgOUxILCBVSy4mI3hEO1Np
bWJlYyBSZXNlYXJjaCwgTWVydGh5ciBUeWRmaWwsIENGNDggNERSLCBVSy4mI3hEO0NsaW5vcHNp
cyBTLkEuLCBKYXJkaW5zIDYsIDE0MjYgQ29uY2lzZSwgU3dpdHplcmxhbmQuJiN4RDtGb250ZW0g
VmVudHVyZXMsIEJhcmJhcmEgU3Ryb3p6aWxhYW4gMTAxLCAxMDgzIEhOIEFtc3RlcmRhbSwgVGhl
IE5ldGhlcmxhbmRzLjwvYXV0aC1hZGRyZXNzPjx0aXRsZXM+PHRpdGxlPkV2YWx1YXRpb24gb2Yg
dGhlIHNhZmV0eSBwcm9maWxlIG9mIGFuIGVsZWN0cm9uaWMgdmFwb3VyIHByb2R1Y3QgdXNlZCBm
b3IgdHdvIHllYXJzIGJ5IHNtb2tlcnMgaW4gYSByZWFsLWxpZmUgc2V0dGluZzwvdGl0bGU+PHNl
Y29uZGFyeS10aXRsZT5SZWd1bCBUb3hpY29sIFBoYXJtYWNvbDwvc2Vjb25kYXJ5LXRpdGxlPjxh
bHQtdGl0bGU+UmVndWxhdG9yeSB0b3hpY29sb2d5IGFuZCBwaGFybWFjb2xvZ3kgOiBSVFA8L2Fs
dC10aXRsZT48L3RpdGxlcz48cGVyaW9kaWNhbD48ZnVsbC10aXRsZT5SZWd1bCBUb3hpY29sIFBo
YXJtYWNvbDwvZnVsbC10aXRsZT48YWJici0xPlJlZ3VsYXRvcnkgdG94aWNvbG9neSBhbmQgcGhh
cm1hY29sb2d5IDogUlRQPC9hYmJyLTE+PC9wZXJpb2RpY2FsPjxhbHQtcGVyaW9kaWNhbD48ZnVs
bC10aXRsZT5SZWd1bCBUb3hpY29sIFBoYXJtYWNvbDwvZnVsbC10aXRsZT48YWJici0xPlJlZ3Vs
YXRvcnkgdG94aWNvbG9neSBhbmQgcGhhcm1hY29sb2d5IDogUlRQPC9hYmJyLTE+PC9hbHQtcGVy
aW9kaWNhbD48cGFnZXM+MjI2LTIzODwvcGFnZXM+PHZvbHVtZT45Mjwvdm9sdW1lPjxlZGl0aW9u
PjIwMTcvMTIvMTk8L2VkaXRpb24+PGtleXdvcmRzPjxrZXl3b3JkPkFkdmVyc2UgZXZlbnRzPC9r
ZXl3b3JkPjxrZXl3b3JkPkJpb21hcmtlcnMgb2YgZXhwb3N1cmU8L2tleXdvcmQ+PGtleXdvcmQ+
Q2xpbmljYWwgc3R1ZHk8L2tleXdvcmQ+PGtleXdvcmQ+RWxlY3Ryb25pYyBjaWdhcmV0dGU8L2tl
eXdvcmQ+PGtleXdvcmQ+RWxlY3Ryb25pYyB2YXBvdXIgcHJvZHVjdDwva2V5d29yZD48a2V5d29y
ZD5TYWZldHk8L2tleXdvcmQ+PGtleXdvcmQ+U3ViamVjdGl2ZSBlZmZlY3RzPC9rZXl3b3JkPjwv
a2V5d29yZHM+PGRhdGVzPjx5ZWFyPjIwMTg8L3llYXI+PHB1Yi1kYXRlcz48ZGF0ZT5GZWI8L2Rh
dGU+PC9wdWItZGF0ZXM+PC9kYXRlcz48aXNibj4wMjczLTIzMDA8L2lzYm4+PGFjY2Vzc2lvbi1u
dW0+MjkyNDg0ODc8L2FjY2Vzc2lvbi1udW0+PHVybHM+PC91cmxzPjxlbGVjdHJvbmljLXJlc291
cmNlLW51bT4xMC4xMDE2L2oueXJ0cGguMjAxNy4xMi4wMTA8L2VsZWN0cm9uaWMtcmVzb3VyY2Ut
bnVtPjxyZW1vdGUtZGF0YWJhc2UtcHJvdmlkZXI+TkxNPC9yZW1vdGUtZGF0YWJhc2UtcHJvdmlk
ZXI+PGxhbmd1YWdlPmVuZzwvbGFuZ3VhZ2U+PC9yZWNvcmQ+PC9DaXRlPjwvRW5kTm90ZT4A
</w:fldData>
        </w:fldChar>
      </w:r>
      <w:r w:rsidRPr="00430400">
        <w:rPr>
          <w:sz w:val="24"/>
        </w:rPr>
        <w:instrText xml:space="preserve"> ADDIN EN.CITE.DATA </w:instrText>
      </w:r>
      <w:r w:rsidRPr="00430400">
        <w:rPr>
          <w:sz w:val="24"/>
        </w:rPr>
      </w:r>
      <w:r w:rsidRPr="00430400">
        <w:rPr>
          <w:sz w:val="24"/>
        </w:rPr>
        <w:fldChar w:fldCharType="end"/>
      </w:r>
      <w:r w:rsidRPr="00430400">
        <w:rPr>
          <w:sz w:val="24"/>
        </w:rPr>
      </w:r>
      <w:r w:rsidRPr="00430400">
        <w:rPr>
          <w:sz w:val="24"/>
        </w:rPr>
        <w:fldChar w:fldCharType="separate"/>
      </w:r>
      <w:r w:rsidRPr="00430400">
        <w:rPr>
          <w:noProof/>
          <w:sz w:val="24"/>
        </w:rPr>
        <w:t>(Walele, Bush et al. 2018)</w:t>
      </w:r>
      <w:r w:rsidRPr="00430400">
        <w:rPr>
          <w:sz w:val="24"/>
        </w:rPr>
        <w:fldChar w:fldCharType="end"/>
      </w:r>
      <w:r w:rsidRPr="00430400">
        <w:rPr>
          <w:sz w:val="24"/>
        </w:rPr>
        <w:t xml:space="preserve"> reported an initial decrease in nicotine level followed by an increase over the following </w:t>
      </w:r>
      <w:r w:rsidR="00D653EE">
        <w:rPr>
          <w:sz w:val="24"/>
        </w:rPr>
        <w:t>two</w:t>
      </w:r>
      <w:r w:rsidRPr="00430400">
        <w:rPr>
          <w:sz w:val="24"/>
        </w:rPr>
        <w:t xml:space="preserve"> years based on their real world study where smokers combined cigarettes and e</w:t>
      </w:r>
      <w:r w:rsidRPr="00430400">
        <w:rPr>
          <w:sz w:val="24"/>
        </w:rPr>
        <w:noBreakHyphen/>
        <w:t>cigarette use. Whether e</w:t>
      </w:r>
      <w:r w:rsidRPr="00430400">
        <w:rPr>
          <w:sz w:val="24"/>
        </w:rPr>
        <w:noBreakHyphen/>
        <w:t>cigarettes are used in combination with conventional cigarettes, and whether the subjects are aiming for smoking cessation are likely to be important factors in regard to ongoing nicotine dependency amongst smokers. Each of these studies reports on designs with various levels of control over use of conventional cigarettes along with e</w:t>
      </w:r>
      <w:r w:rsidRPr="00430400">
        <w:rPr>
          <w:sz w:val="24"/>
        </w:rPr>
        <w:noBreakHyphen/>
        <w:t>cigarettes and participant compliance to use the product. Additionally, the Hiler et al. study demonstrated that nicotine exposure with e</w:t>
      </w:r>
      <w:r w:rsidRPr="00430400">
        <w:rPr>
          <w:sz w:val="24"/>
        </w:rPr>
        <w:noBreakHyphen/>
        <w:t>cigarettes is associated with how they are used, with experienced e</w:t>
      </w:r>
      <w:r w:rsidRPr="00430400">
        <w:rPr>
          <w:sz w:val="24"/>
        </w:rPr>
        <w:noBreakHyphen/>
        <w:t>cigarette users having longer and more frequent puffs of e</w:t>
      </w:r>
      <w:r w:rsidRPr="00430400">
        <w:rPr>
          <w:sz w:val="24"/>
        </w:rPr>
        <w:noBreakHyphen/>
        <w:t xml:space="preserve">liquid and therefore receiving higher amounts of nicotine. </w:t>
      </w:r>
    </w:p>
    <w:p w14:paraId="363C13D4" w14:textId="77777777" w:rsidR="00430400" w:rsidRPr="00430400" w:rsidRDefault="00430400" w:rsidP="00430400">
      <w:pPr>
        <w:spacing w:before="120" w:line="264" w:lineRule="auto"/>
        <w:rPr>
          <w:sz w:val="24"/>
        </w:rPr>
      </w:pPr>
    </w:p>
    <w:p w14:paraId="39D18721" w14:textId="04A009A8" w:rsidR="00430400" w:rsidRPr="00430400" w:rsidRDefault="00430400" w:rsidP="00430400">
      <w:pPr>
        <w:pStyle w:val="Heading2"/>
      </w:pPr>
      <w:bookmarkStart w:id="195" w:name="_Toc516848616"/>
      <w:r>
        <w:t xml:space="preserve"> </w:t>
      </w:r>
      <w:bookmarkStart w:id="196" w:name="_Toc517706709"/>
      <w:r w:rsidRPr="00430400">
        <w:t>Other health outcomes</w:t>
      </w:r>
      <w:bookmarkEnd w:id="195"/>
      <w:bookmarkEnd w:id="196"/>
    </w:p>
    <w:p w14:paraId="3639D208" w14:textId="77777777" w:rsidR="00430400" w:rsidRPr="00430400" w:rsidRDefault="00430400" w:rsidP="00430400">
      <w:pPr>
        <w:pStyle w:val="Heading3"/>
      </w:pPr>
      <w:r w:rsidRPr="00430400">
        <w:t xml:space="preserve">Oxidative stress </w:t>
      </w:r>
    </w:p>
    <w:p w14:paraId="633B5CF6" w14:textId="0A9F1E9E" w:rsidR="00430400" w:rsidRPr="00430400" w:rsidRDefault="00430400" w:rsidP="00430400">
      <w:pPr>
        <w:spacing w:before="120" w:line="264" w:lineRule="auto"/>
        <w:rPr>
          <w:sz w:val="24"/>
        </w:rPr>
      </w:pPr>
      <w:r w:rsidRPr="00430400">
        <w:rPr>
          <w:sz w:val="24"/>
        </w:rPr>
        <w:t xml:space="preserve">Chaumont et al. </w:t>
      </w:r>
      <w:r w:rsidRPr="00430400">
        <w:rPr>
          <w:sz w:val="24"/>
        </w:rPr>
        <w:fldChar w:fldCharType="begin">
          <w:fldData xml:space="preserve">PEVuZE5vdGU+PENpdGU+PEF1dGhvcj5DaGF1bW9udDwvQXV0aG9yPjxZZWFyPjIwMTg8L1llYXI+
PFJlY051bT41Njc8L1JlY051bT48RGlzcGxheVRleHQ+KENoYXVtb250LCBCZXJuYXJkIGV0IGFs
LiAyMDE4KTwvRGlzcGxheVRleHQ+PHJlY29yZD48cmVjLW51bWJlcj41Njc8L3JlYy1udW1iZXI+
PGZvcmVpZ24ta2V5cz48a2V5IGFwcD0iRU4iIGRiLWlkPSJ2enhkcGZ3ZHV4ZmVkMmV0OXBhdng5
OWp6c3N4ZWFwd3Q1cDUiIHRpbWVzdGFtcD0iMTUyMTA5OTIzMCI+NTY3PC9rZXk+PGtleSBhcHA9
IkVOV2ViIiBkYi1pZD0iIj4wPC9rZXk+PC9mb3JlaWduLWtleXM+PHJlZi10eXBlIG5hbWU9Ikpv
dXJuYWwgQXJ0aWNsZSI+MTc8L3JlZi10eXBlPjxjb250cmlidXRvcnM+PGF1dGhvcnM+PGF1dGhv
cj5DaGF1bW9udCwgTS48L2F1dGhvcj48YXV0aG9yPkJlcm5hcmQsIEEuPC9hdXRob3I+PGF1dGhv
cj5Qb2NoZXQsIFMuPC9hdXRob3I+PGF1dGhvcj5NZWxvdCwgQy48L2F1dGhvcj48YXV0aG9yPkVs
IEtoYXR0YWJpLCBDLjwvYXV0aG9yPjxhdXRob3I+UmV5ZSwgRi48L2F1dGhvcj48YXV0aG9yPlpv
dWFvdWkgQm91ZGplbHRpYSwgSy48L2F1dGhvcj48YXV0aG9yPlZhbiBBbnR3ZXJwZW4sIFAuPC9h
dXRob3I+PGF1dGhvcj5EZWxwb3J0ZSwgQy48L2F1dGhvcj48YXV0aG9yPnZhbiBkZSBCb3JuZSwg
UC48L2F1dGhvcj48L2F1dGhvcnM+PC9jb250cmlidXRvcnM+PGF1dGgtYWRkcmVzcz5Ib3BpdGFs
IEVyYXNtZSwgQ2FyZGlvbG9neSwgQnJ1c3NlbHMsIEJlbGdpdW0gOyBtYXJ0aW4uY2hhdW1vbnRA
dWxiLmFjLmJlLiYjeEQ7Q2F0aG9saWMgdW5pdmVyc2l0eSBvZiBMb3V2YWluICwgQnJ1c3NlbHMs
IEJlbGdpdW0uJiN4RDtVbml2ZXJzaXRlIExpYnJlIGRlIEJydXhlbGxlcyBGYWN1bHRlIGRlIFBo
YXJtYWNpZSwgODQ5NzYsIFBoYXJtYWN5LCBCcnVzc2VscywgQmVsZ2l1bS4mI3hEO1VuaXZlcnNp
dGUgTGlicmUgZGUgQnJ1eGVsbGVzLCBFbWVyZ2VuY3kgTWVkaWNpbmUgRGVwYXJ0bWVudCwgQnJ1
c3NlbHMsIEJlbGdpdW0uJiN4RDtVbml2ZXJzaXRlIExpYnJlIGRlIEJydXhlbGxlcyBGYWN1bHRl
IGRlIFBoYXJtYWNpZSwgODQ5NzYsIE1lZGljaW5lLCBCcnVzc2VscywgQmVsZ2l1bS4mI3hEO0hv
cGl0YWwgRXJhc21lLCBCcnVzc2VscywgQmVsZ2l1bS48L2F1dGgtYWRkcmVzcz48dGl0bGVzPjx0
aXRsZT5IaWdoIFdhdHRhZ2UgRS1jaWdhcmV0dGVzIEluZHVjZSBUaXNzdWUgSHlwb3hpYSBhbmQg
TG93ZXIgQWlyd2F5IEluanVyeTogQSBSYW5kb21pemVkIFRyaWFsPC90aXRsZT48c2Vjb25kYXJ5
LXRpdGxlPkFtIEogUmVzcGlyIENyaXQgQ2FyZSBNZWQ8L3NlY29uZGFyeS10aXRsZT48YWx0LXRp
dGxlPkFtZXJpY2FuIGpvdXJuYWwgb2YgcmVzcGlyYXRvcnkgYW5kIGNyaXRpY2FsIGNhcmUgbWVk
aWNpbmU8L2FsdC10aXRsZT48L3RpdGxlcz48cGVyaW9kaWNhbD48ZnVsbC10aXRsZT5BbSBKIFJl
c3BpciBDcml0IENhcmUgTWVkPC9mdWxsLXRpdGxlPjxhYmJyLTE+QW1lcmljYW4gam91cm5hbCBv
ZiByZXNwaXJhdG9yeSBhbmQgY3JpdGljYWwgY2FyZSBtZWRpY2luZTwvYWJici0xPjwvcGVyaW9k
aWNhbD48YWx0LXBlcmlvZGljYWw+PGZ1bGwtdGl0bGU+QW0gSiBSZXNwaXIgQ3JpdCBDYXJlIE1l
ZDwvZnVsbC10aXRsZT48YWJici0xPkFtZXJpY2FuIGpvdXJuYWwgb2YgcmVzcGlyYXRvcnkgYW5k
IGNyaXRpY2FsIGNhcmUgbWVkaWNpbmU8L2FiYnItMT48L2FsdC1wZXJpb2RpY2FsPjxlZGl0aW9u
PjIwMTgvMDIvMTc8L2VkaXRpb24+PGtleXdvcmRzPjxrZXl3b3JkPkNsdWIgY2VsbCAxNiBwcm90
ZWluPC9rZXl3b3JkPjxrZXl3b3JkPkVsZWN0cm9uaWMgY2lnYXJldHRlPC9rZXl3b3JkPjxrZXl3
b3JkPlRpc3N1ZSBoeXBveGlhPC9rZXl3b3JkPjwva2V5d29yZHM+PGRhdGVzPjx5ZWFyPjIwMTg8
L3llYXI+PHB1Yi1kYXRlcz48ZGF0ZT5GZWIgMTY8L2RhdGU+PC9wdWItZGF0ZXM+PC9kYXRlcz48
aXNibj4xMDczLTQ0OXg8L2lzYm4+PGFjY2Vzc2lvbi1udW0+Mjk0NTE4MDY8L2FjY2Vzc2lvbi1u
dW0+PHVybHM+PC91cmxzPjxlbGVjdHJvbmljLXJlc291cmNlLW51bT4xMC4xMTY0L3JjY20uMjAx
NzExLTIxOThMRTwvZWxlY3Ryb25pYy1yZXNvdXJjZS1udW0+PHJlbW90ZS1kYXRhYmFzZS1wcm92
aWRlcj5OTE08L3JlbW90ZS1kYXRhYmFzZS1wcm92aWRlcj48bGFuZ3VhZ2U+ZW5nPC9sYW5ndWFn
ZT48L3JlY29yZD48L0NpdGU+PC9FbmROb3RlPgB=
</w:fldData>
        </w:fldChar>
      </w:r>
      <w:r w:rsidRPr="00430400">
        <w:rPr>
          <w:sz w:val="24"/>
        </w:rPr>
        <w:instrText xml:space="preserve"> ADDIN EN.CITE </w:instrText>
      </w:r>
      <w:r w:rsidRPr="00430400">
        <w:rPr>
          <w:sz w:val="24"/>
        </w:rPr>
        <w:fldChar w:fldCharType="begin">
          <w:fldData xml:space="preserve">PEVuZE5vdGU+PENpdGU+PEF1dGhvcj5DaGF1bW9udDwvQXV0aG9yPjxZZWFyPjIwMTg8L1llYXI+
PFJlY051bT41Njc8L1JlY051bT48RGlzcGxheVRleHQ+KENoYXVtb250LCBCZXJuYXJkIGV0IGFs
LiAyMDE4KTwvRGlzcGxheVRleHQ+PHJlY29yZD48cmVjLW51bWJlcj41Njc8L3JlYy1udW1iZXI+
PGZvcmVpZ24ta2V5cz48a2V5IGFwcD0iRU4iIGRiLWlkPSJ2enhkcGZ3ZHV4ZmVkMmV0OXBhdng5
OWp6c3N4ZWFwd3Q1cDUiIHRpbWVzdGFtcD0iMTUyMTA5OTIzMCI+NTY3PC9rZXk+PGtleSBhcHA9
IkVOV2ViIiBkYi1pZD0iIj4wPC9rZXk+PC9mb3JlaWduLWtleXM+PHJlZi10eXBlIG5hbWU9Ikpv
dXJuYWwgQXJ0aWNsZSI+MTc8L3JlZi10eXBlPjxjb250cmlidXRvcnM+PGF1dGhvcnM+PGF1dGhv
cj5DaGF1bW9udCwgTS48L2F1dGhvcj48YXV0aG9yPkJlcm5hcmQsIEEuPC9hdXRob3I+PGF1dGhv
cj5Qb2NoZXQsIFMuPC9hdXRob3I+PGF1dGhvcj5NZWxvdCwgQy48L2F1dGhvcj48YXV0aG9yPkVs
IEtoYXR0YWJpLCBDLjwvYXV0aG9yPjxhdXRob3I+UmV5ZSwgRi48L2F1dGhvcj48YXV0aG9yPlpv
dWFvdWkgQm91ZGplbHRpYSwgSy48L2F1dGhvcj48YXV0aG9yPlZhbiBBbnR3ZXJwZW4sIFAuPC9h
dXRob3I+PGF1dGhvcj5EZWxwb3J0ZSwgQy48L2F1dGhvcj48YXV0aG9yPnZhbiBkZSBCb3JuZSwg
UC48L2F1dGhvcj48L2F1dGhvcnM+PC9jb250cmlidXRvcnM+PGF1dGgtYWRkcmVzcz5Ib3BpdGFs
IEVyYXNtZSwgQ2FyZGlvbG9neSwgQnJ1c3NlbHMsIEJlbGdpdW0gOyBtYXJ0aW4uY2hhdW1vbnRA
dWxiLmFjLmJlLiYjeEQ7Q2F0aG9saWMgdW5pdmVyc2l0eSBvZiBMb3V2YWluICwgQnJ1c3NlbHMs
IEJlbGdpdW0uJiN4RDtVbml2ZXJzaXRlIExpYnJlIGRlIEJydXhlbGxlcyBGYWN1bHRlIGRlIFBo
YXJtYWNpZSwgODQ5NzYsIFBoYXJtYWN5LCBCcnVzc2VscywgQmVsZ2l1bS4mI3hEO1VuaXZlcnNp
dGUgTGlicmUgZGUgQnJ1eGVsbGVzLCBFbWVyZ2VuY3kgTWVkaWNpbmUgRGVwYXJ0bWVudCwgQnJ1
c3NlbHMsIEJlbGdpdW0uJiN4RDtVbml2ZXJzaXRlIExpYnJlIGRlIEJydXhlbGxlcyBGYWN1bHRl
IGRlIFBoYXJtYWNpZSwgODQ5NzYsIE1lZGljaW5lLCBCcnVzc2VscywgQmVsZ2l1bS4mI3hEO0hv
cGl0YWwgRXJhc21lLCBCcnVzc2VscywgQmVsZ2l1bS48L2F1dGgtYWRkcmVzcz48dGl0bGVzPjx0
aXRsZT5IaWdoIFdhdHRhZ2UgRS1jaWdhcmV0dGVzIEluZHVjZSBUaXNzdWUgSHlwb3hpYSBhbmQg
TG93ZXIgQWlyd2F5IEluanVyeTogQSBSYW5kb21pemVkIFRyaWFsPC90aXRsZT48c2Vjb25kYXJ5
LXRpdGxlPkFtIEogUmVzcGlyIENyaXQgQ2FyZSBNZWQ8L3NlY29uZGFyeS10aXRsZT48YWx0LXRp
dGxlPkFtZXJpY2FuIGpvdXJuYWwgb2YgcmVzcGlyYXRvcnkgYW5kIGNyaXRpY2FsIGNhcmUgbWVk
aWNpbmU8L2FsdC10aXRsZT48L3RpdGxlcz48cGVyaW9kaWNhbD48ZnVsbC10aXRsZT5BbSBKIFJl
c3BpciBDcml0IENhcmUgTWVkPC9mdWxsLXRpdGxlPjxhYmJyLTE+QW1lcmljYW4gam91cm5hbCBv
ZiByZXNwaXJhdG9yeSBhbmQgY3JpdGljYWwgY2FyZSBtZWRpY2luZTwvYWJici0xPjwvcGVyaW9k
aWNhbD48YWx0LXBlcmlvZGljYWw+PGZ1bGwtdGl0bGU+QW0gSiBSZXNwaXIgQ3JpdCBDYXJlIE1l
ZDwvZnVsbC10aXRsZT48YWJici0xPkFtZXJpY2FuIGpvdXJuYWwgb2YgcmVzcGlyYXRvcnkgYW5k
IGNyaXRpY2FsIGNhcmUgbWVkaWNpbmU8L2FiYnItMT48L2FsdC1wZXJpb2RpY2FsPjxlZGl0aW9u
PjIwMTgvMDIvMTc8L2VkaXRpb24+PGtleXdvcmRzPjxrZXl3b3JkPkNsdWIgY2VsbCAxNiBwcm90
ZWluPC9rZXl3b3JkPjxrZXl3b3JkPkVsZWN0cm9uaWMgY2lnYXJldHRlPC9rZXl3b3JkPjxrZXl3
b3JkPlRpc3N1ZSBoeXBveGlhPC9rZXl3b3JkPjwva2V5d29yZHM+PGRhdGVzPjx5ZWFyPjIwMTg8
L3llYXI+PHB1Yi1kYXRlcz48ZGF0ZT5GZWIgMTY8L2RhdGU+PC9wdWItZGF0ZXM+PC9kYXRlcz48
aXNibj4xMDczLTQ0OXg8L2lzYm4+PGFjY2Vzc2lvbi1udW0+Mjk0NTE4MDY8L2FjY2Vzc2lvbi1u
dW0+PHVybHM+PC91cmxzPjxlbGVjdHJvbmljLXJlc291cmNlLW51bT4xMC4xMTY0L3JjY20uMjAx
NzExLTIxOThMRTwvZWxlY3Ryb25pYy1yZXNvdXJjZS1udW0+PHJlbW90ZS1kYXRhYmFzZS1wcm92
aWRlcj5OTE08L3JlbW90ZS1kYXRhYmFzZS1wcm92aWRlcj48bGFuZ3VhZ2U+ZW5nPC9sYW5ndWFn
ZT48L3JlY29yZD48L0NpdGU+PC9FbmROb3RlPgB=
</w:fldData>
        </w:fldChar>
      </w:r>
      <w:r w:rsidRPr="00430400">
        <w:rPr>
          <w:sz w:val="24"/>
        </w:rPr>
        <w:instrText xml:space="preserve"> ADDIN EN.CITE.DATA </w:instrText>
      </w:r>
      <w:r w:rsidRPr="00430400">
        <w:rPr>
          <w:sz w:val="24"/>
        </w:rPr>
      </w:r>
      <w:r w:rsidRPr="00430400">
        <w:rPr>
          <w:sz w:val="24"/>
        </w:rPr>
        <w:fldChar w:fldCharType="end"/>
      </w:r>
      <w:r w:rsidRPr="00430400">
        <w:rPr>
          <w:sz w:val="24"/>
        </w:rPr>
      </w:r>
      <w:r w:rsidRPr="00430400">
        <w:rPr>
          <w:sz w:val="24"/>
        </w:rPr>
        <w:fldChar w:fldCharType="separate"/>
      </w:r>
      <w:r w:rsidRPr="00430400">
        <w:rPr>
          <w:noProof/>
          <w:sz w:val="24"/>
        </w:rPr>
        <w:t>(Chaumont, Bernard et al. 2018)</w:t>
      </w:r>
      <w:r w:rsidRPr="00430400">
        <w:rPr>
          <w:sz w:val="24"/>
        </w:rPr>
        <w:fldChar w:fldCharType="end"/>
      </w:r>
      <w:r w:rsidRPr="00430400">
        <w:rPr>
          <w:sz w:val="24"/>
        </w:rPr>
        <w:t xml:space="preserve"> engaged 23 occasional smokers to test e</w:t>
      </w:r>
      <w:r w:rsidRPr="00430400">
        <w:rPr>
          <w:sz w:val="24"/>
        </w:rPr>
        <w:noBreakHyphen/>
        <w:t>cigarettes, and found that a single session of e</w:t>
      </w:r>
      <w:r w:rsidRPr="00430400">
        <w:rPr>
          <w:sz w:val="24"/>
        </w:rPr>
        <w:noBreakHyphen/>
        <w:t xml:space="preserve">cigarette use (25 puffs) did not lead to a rise in plasma oxidative stress biomarkers or superoxide anion production in human umbilical vein endothelial cells incubated with participants sera over </w:t>
      </w:r>
      <w:r w:rsidR="001E52F0">
        <w:rPr>
          <w:sz w:val="24"/>
        </w:rPr>
        <w:t>two</w:t>
      </w:r>
      <w:r w:rsidRPr="00430400">
        <w:rPr>
          <w:sz w:val="24"/>
        </w:rPr>
        <w:t xml:space="preserve"> hours. There was no difference compared to sham vaping (i.e. same puffin</w:t>
      </w:r>
      <w:r w:rsidR="00AF78AB">
        <w:rPr>
          <w:sz w:val="24"/>
        </w:rPr>
        <w:t>g</w:t>
      </w:r>
      <w:r w:rsidRPr="00430400">
        <w:rPr>
          <w:sz w:val="24"/>
        </w:rPr>
        <w:t xml:space="preserve"> procedure without the e-cigarette turned on).</w:t>
      </w:r>
    </w:p>
    <w:p w14:paraId="776A4452" w14:textId="156649CD" w:rsidR="00430400" w:rsidRPr="00430400" w:rsidRDefault="00430400" w:rsidP="00430400">
      <w:pPr>
        <w:spacing w:before="120" w:line="264" w:lineRule="auto"/>
        <w:rPr>
          <w:sz w:val="24"/>
        </w:rPr>
      </w:pPr>
      <w:r w:rsidRPr="00430400">
        <w:rPr>
          <w:sz w:val="24"/>
        </w:rPr>
        <w:t xml:space="preserve">However, a Greek study </w:t>
      </w:r>
      <w:r w:rsidRPr="00430400">
        <w:rPr>
          <w:sz w:val="24"/>
        </w:rPr>
        <w:fldChar w:fldCharType="begin">
          <w:fldData xml:space="preserve">PEVuZE5vdGU+PENpdGU+PEF1dGhvcj5Ja29ub21pZGlzPC9BdXRob3I+PFllYXI+MjAxODwvWWVh
cj48UmVjTnVtPjY1NjwvUmVjTnVtPjxEaXNwbGF5VGV4dD4oSWtvbm9taWRpcywgVmxhc3RvcyBl
dCBhbC4gMjAxOCk8L0Rpc3BsYXlUZXh0PjxyZWNvcmQ+PHJlYy1udW1iZXI+NjU2PC9yZWMtbnVt
YmVyPjxmb3JlaWduLWtleXM+PGtleSBhcHA9IkVOIiBkYi1pZD0idnp4ZHBmd2R1eGZlZDJldDlw
YXZ4OTlqenNzeGVhcHd0NXA1IiB0aW1lc3RhbXA9IjE1MjEwOTkyNTIiPjY1Njwva2V5PjxrZXkg
YXBwPSJFTldlYiIgZGItaWQ9IiI+MDwva2V5PjwvZm9yZWlnbi1rZXlzPjxyZWYtdHlwZSBuYW1l
PSJKb3VybmFsIEFydGljbGUiPjE3PC9yZWYtdHlwZT48Y29udHJpYnV0b3JzPjxhdXRob3JzPjxh
dXRob3I+SWtvbm9taWRpcywgSS48L2F1dGhvcj48YXV0aG9yPlZsYXN0b3MsIEQuPC9hdXRob3I+
PGF1dGhvcj5Lb3VyZWEsIEsuPC9hdXRob3I+PGF1dGhvcj5Lb3N0ZWxsaSwgRy48L2F1dGhvcj48
YXV0aG9yPlZhcm91ZGksIE0uPC9hdXRob3I+PGF1dGhvcj5QYXZsaWRpcywgRy48L2F1dGhvcj48
YXV0aG9yPkVmZW50YWtpcywgUC48L2F1dGhvcj48YXV0aG9yPlRyaWFudGFmeWxsaWRpLCBILjwv
YXV0aG9yPjxhdXRob3I+UGFyaXNzaXMsIEouPC9hdXRob3I+PGF1dGhvcj5BbmRyZWFkb3UsIEku
PC9hdXRob3I+PGF1dGhvcj5JbGlvZHJvbWl0aXMsIEUuPC9hdXRob3I+PGF1dGhvcj5MZWtha2lz
LCBKLjwvYXV0aG9yPjwvYXV0aG9ycz48L2NvbnRyaWJ1dG9ycz48YXV0aC1hZGRyZXNzPjJuZCBD
YXJkaW9sb2d5IERlcGFydG1lbnQsIEF0dGlrb24gSG9zcGl0YWwsIE5hdGlvbmFsIGFuZCBLYXBv
ZGlzdHJpYW4gVW5pdmVyc2l0eSBvZiBBdGhlbnMsIE1lZGljYWwgU2Nob29sLCBHcmVlY2UgKEku
SS4sIEQuVi4sIEsuSy4sIEcuSy4sIE0uVi4sIEcuUC4sIEguVC4sIEouUC4sIEUuSS4sIEouTC4p
IGlnbm9pa0BnbWFpbC5jb20uJiN4RDsybmQgQ2FyZGlvbG9neSBEZXBhcnRtZW50LCBBdHRpa29u
IEhvc3BpdGFsLCBOYXRpb25hbCBhbmQgS2Fwb2Rpc3RyaWFuIFVuaXZlcnNpdHkgb2YgQXRoZW5z
LCBNZWRpY2FsIFNjaG9vbCwgR3JlZWNlIChJLkkuLCBELlYuLCBLLksuLCBHLksuLCBNLlYuLCBH
LlAuLCBILlQuLCBKLlAuLCBFLkkuLCBKLkwuKS4mI3hEO0RlcGFydG1lbnQgb2YgUGhhcm1hY2V1
dGljYWwgQ2hlbWlzdHJ5LCBOYXRpb25hbCBhbmQgS2Fwb2Rpc3RyaWFuIFVuaXZlcnNpdHkgb2Yg
QXRoZW5zLCBTY2hvb2wgb2YgUGhhcm1hY3ksIEdyZWVjZSAoUC5FLiwgSS5BLikuPC9hdXRoLWFk
ZHJlc3M+PHRpdGxlcz48dGl0bGU+RWxlY3Ryb25pYyBDaWdhcmV0dGUgU21va2luZyBJbmNyZWFz
ZXMgQXJ0ZXJpYWwgU3RpZmZuZXNzIGFuZCBPeGlkYXRpdmUgU3RyZXNzIHRvIGEgTGVzc2VyIEV4
dGVudCBUaGFuIGEgU2luZ2xlIENvbnZlbnRpb25hbCBDaWdhcmV0dGU6IEFuIEFjdXRlIGFuZCBD
aHJvbmljIFN0dWR5PC90aXRsZT48c2Vjb25kYXJ5LXRpdGxlPkNpcmN1bGF0aW9uPC9zZWNvbmRh
cnktdGl0bGU+PGFsdC10aXRsZT5DaXJjdWxhdGlvbjwvYWx0LXRpdGxlPjwvdGl0bGVzPjxwZXJp
b2RpY2FsPjxmdWxsLXRpdGxlPkNpcmN1bGF0aW9uPC9mdWxsLXRpdGxlPjwvcGVyaW9kaWNhbD48
YWx0LXBlcmlvZGljYWw+PGZ1bGwtdGl0bGU+Q2lyY3VsYXRpb248L2Z1bGwtdGl0bGU+PC9hbHQt
cGVyaW9kaWNhbD48cGFnZXM+MzAzLTMwNjwvcGFnZXM+PHZvbHVtZT4xMzc8L3ZvbHVtZT48bnVt
YmVyPjM8L251bWJlcj48ZWRpdGlvbj4yMDE4LzAxLzE4PC9lZGl0aW9uPjxrZXl3b3Jkcz48a2V5
d29yZD5jaWdhcmV0dGUgc21va2luZzwva2V5d29yZD48a2V5d29yZD5lbGVjdHJvbmljIG5pY290
aW5lIGRlbGl2ZXJ5IHN5c3RlbXM8L2tleXdvcmQ+PGtleXdvcmQ+b3hpZGF0aXZlIHN0cmVzczwv
a2V5d29yZD48a2V5d29yZD5zbW9raW5nIGNlc3NhdGlvbjwva2V5d29yZD48a2V5d29yZD52YXBp
bmc8L2tleXdvcmQ+PGtleXdvcmQ+dmFzY3VsYXIgc3RpZmZuZXNzPC9rZXl3b3JkPjwva2V5d29y
ZHM+PGRhdGVzPjx5ZWFyPjIwMTg8L3llYXI+PHB1Yi1kYXRlcz48ZGF0ZT5KYW4gMTY8L2RhdGU+
PC9wdWItZGF0ZXM+PC9kYXRlcz48aXNibj4wMDA5LTczMjI8L2lzYm4+PGFjY2Vzc2lvbi1udW0+
MjkzMzUyOTE8L2FjY2Vzc2lvbi1udW0+PHVybHM+PC91cmxzPjxlbGVjdHJvbmljLXJlc291cmNl
LW51bT4xMC4xMTYxL2NpcmN1bGF0aW9uYWhhLjExNy4wMjkxNTM8L2VsZWN0cm9uaWMtcmVzb3Vy
Y2UtbnVtPjxyZW1vdGUtZGF0YWJhc2UtcHJvdmlkZXI+TkxNPC9yZW1vdGUtZGF0YWJhc2UtcHJv
dmlkZXI+PGxhbmd1YWdlPmVuZzwvbGFuZ3VhZ2U+PC9yZWNvcmQ+PC9DaXRlPjwvRW5kTm90ZT4A
</w:fldData>
        </w:fldChar>
      </w:r>
      <w:r w:rsidRPr="00430400">
        <w:rPr>
          <w:sz w:val="24"/>
        </w:rPr>
        <w:instrText xml:space="preserve"> ADDIN EN.CITE </w:instrText>
      </w:r>
      <w:r w:rsidRPr="00430400">
        <w:rPr>
          <w:sz w:val="24"/>
        </w:rPr>
        <w:fldChar w:fldCharType="begin">
          <w:fldData xml:space="preserve">PEVuZE5vdGU+PENpdGU+PEF1dGhvcj5Ja29ub21pZGlzPC9BdXRob3I+PFllYXI+MjAxODwvWWVh
cj48UmVjTnVtPjY1NjwvUmVjTnVtPjxEaXNwbGF5VGV4dD4oSWtvbm9taWRpcywgVmxhc3RvcyBl
dCBhbC4gMjAxOCk8L0Rpc3BsYXlUZXh0PjxyZWNvcmQ+PHJlYy1udW1iZXI+NjU2PC9yZWMtbnVt
YmVyPjxmb3JlaWduLWtleXM+PGtleSBhcHA9IkVOIiBkYi1pZD0idnp4ZHBmd2R1eGZlZDJldDlw
YXZ4OTlqenNzeGVhcHd0NXA1IiB0aW1lc3RhbXA9IjE1MjEwOTkyNTIiPjY1Njwva2V5PjxrZXkg
YXBwPSJFTldlYiIgZGItaWQ9IiI+MDwva2V5PjwvZm9yZWlnbi1rZXlzPjxyZWYtdHlwZSBuYW1l
PSJKb3VybmFsIEFydGljbGUiPjE3PC9yZWYtdHlwZT48Y29udHJpYnV0b3JzPjxhdXRob3JzPjxh
dXRob3I+SWtvbm9taWRpcywgSS48L2F1dGhvcj48YXV0aG9yPlZsYXN0b3MsIEQuPC9hdXRob3I+
PGF1dGhvcj5Lb3VyZWEsIEsuPC9hdXRob3I+PGF1dGhvcj5Lb3N0ZWxsaSwgRy48L2F1dGhvcj48
YXV0aG9yPlZhcm91ZGksIE0uPC9hdXRob3I+PGF1dGhvcj5QYXZsaWRpcywgRy48L2F1dGhvcj48
YXV0aG9yPkVmZW50YWtpcywgUC48L2F1dGhvcj48YXV0aG9yPlRyaWFudGFmeWxsaWRpLCBILjwv
YXV0aG9yPjxhdXRob3I+UGFyaXNzaXMsIEouPC9hdXRob3I+PGF1dGhvcj5BbmRyZWFkb3UsIEku
PC9hdXRob3I+PGF1dGhvcj5JbGlvZHJvbWl0aXMsIEUuPC9hdXRob3I+PGF1dGhvcj5MZWtha2lz
LCBKLjwvYXV0aG9yPjwvYXV0aG9ycz48L2NvbnRyaWJ1dG9ycz48YXV0aC1hZGRyZXNzPjJuZCBD
YXJkaW9sb2d5IERlcGFydG1lbnQsIEF0dGlrb24gSG9zcGl0YWwsIE5hdGlvbmFsIGFuZCBLYXBv
ZGlzdHJpYW4gVW5pdmVyc2l0eSBvZiBBdGhlbnMsIE1lZGljYWwgU2Nob29sLCBHcmVlY2UgKEku
SS4sIEQuVi4sIEsuSy4sIEcuSy4sIE0uVi4sIEcuUC4sIEguVC4sIEouUC4sIEUuSS4sIEouTC4p
IGlnbm9pa0BnbWFpbC5jb20uJiN4RDsybmQgQ2FyZGlvbG9neSBEZXBhcnRtZW50LCBBdHRpa29u
IEhvc3BpdGFsLCBOYXRpb25hbCBhbmQgS2Fwb2Rpc3RyaWFuIFVuaXZlcnNpdHkgb2YgQXRoZW5z
LCBNZWRpY2FsIFNjaG9vbCwgR3JlZWNlIChJLkkuLCBELlYuLCBLLksuLCBHLksuLCBNLlYuLCBH
LlAuLCBILlQuLCBKLlAuLCBFLkkuLCBKLkwuKS4mI3hEO0RlcGFydG1lbnQgb2YgUGhhcm1hY2V1
dGljYWwgQ2hlbWlzdHJ5LCBOYXRpb25hbCBhbmQgS2Fwb2Rpc3RyaWFuIFVuaXZlcnNpdHkgb2Yg
QXRoZW5zLCBTY2hvb2wgb2YgUGhhcm1hY3ksIEdyZWVjZSAoUC5FLiwgSS5BLikuPC9hdXRoLWFk
ZHJlc3M+PHRpdGxlcz48dGl0bGU+RWxlY3Ryb25pYyBDaWdhcmV0dGUgU21va2luZyBJbmNyZWFz
ZXMgQXJ0ZXJpYWwgU3RpZmZuZXNzIGFuZCBPeGlkYXRpdmUgU3RyZXNzIHRvIGEgTGVzc2VyIEV4
dGVudCBUaGFuIGEgU2luZ2xlIENvbnZlbnRpb25hbCBDaWdhcmV0dGU6IEFuIEFjdXRlIGFuZCBD
aHJvbmljIFN0dWR5PC90aXRsZT48c2Vjb25kYXJ5LXRpdGxlPkNpcmN1bGF0aW9uPC9zZWNvbmRh
cnktdGl0bGU+PGFsdC10aXRsZT5DaXJjdWxhdGlvbjwvYWx0LXRpdGxlPjwvdGl0bGVzPjxwZXJp
b2RpY2FsPjxmdWxsLXRpdGxlPkNpcmN1bGF0aW9uPC9mdWxsLXRpdGxlPjwvcGVyaW9kaWNhbD48
YWx0LXBlcmlvZGljYWw+PGZ1bGwtdGl0bGU+Q2lyY3VsYXRpb248L2Z1bGwtdGl0bGU+PC9hbHQt
cGVyaW9kaWNhbD48cGFnZXM+MzAzLTMwNjwvcGFnZXM+PHZvbHVtZT4xMzc8L3ZvbHVtZT48bnVt
YmVyPjM8L251bWJlcj48ZWRpdGlvbj4yMDE4LzAxLzE4PC9lZGl0aW9uPjxrZXl3b3Jkcz48a2V5
d29yZD5jaWdhcmV0dGUgc21va2luZzwva2V5d29yZD48a2V5d29yZD5lbGVjdHJvbmljIG5pY290
aW5lIGRlbGl2ZXJ5IHN5c3RlbXM8L2tleXdvcmQ+PGtleXdvcmQ+b3hpZGF0aXZlIHN0cmVzczwv
a2V5d29yZD48a2V5d29yZD5zbW9raW5nIGNlc3NhdGlvbjwva2V5d29yZD48a2V5d29yZD52YXBp
bmc8L2tleXdvcmQ+PGtleXdvcmQ+dmFzY3VsYXIgc3RpZmZuZXNzPC9rZXl3b3JkPjwva2V5d29y
ZHM+PGRhdGVzPjx5ZWFyPjIwMTg8L3llYXI+PHB1Yi1kYXRlcz48ZGF0ZT5KYW4gMTY8L2RhdGU+
PC9wdWItZGF0ZXM+PC9kYXRlcz48aXNibj4wMDA5LTczMjI8L2lzYm4+PGFjY2Vzc2lvbi1udW0+
MjkzMzUyOTE8L2FjY2Vzc2lvbi1udW0+PHVybHM+PC91cmxzPjxlbGVjdHJvbmljLXJlc291cmNl
LW51bT4xMC4xMTYxL2NpcmN1bGF0aW9uYWhhLjExNy4wMjkxNTM8L2VsZWN0cm9uaWMtcmVzb3Vy
Y2UtbnVtPjxyZW1vdGUtZGF0YWJhc2UtcHJvdmlkZXI+TkxNPC9yZW1vdGUtZGF0YWJhc2UtcHJv
dmlkZXI+PGxhbmd1YWdlPmVuZzwvbGFuZ3VhZ2U+PC9yZWNvcmQ+PC9DaXRlPjwvRW5kTm90ZT4A
</w:fldData>
        </w:fldChar>
      </w:r>
      <w:r w:rsidRPr="00430400">
        <w:rPr>
          <w:sz w:val="24"/>
        </w:rPr>
        <w:instrText xml:space="preserve"> ADDIN EN.CITE.DATA </w:instrText>
      </w:r>
      <w:r w:rsidRPr="00430400">
        <w:rPr>
          <w:sz w:val="24"/>
        </w:rPr>
      </w:r>
      <w:r w:rsidRPr="00430400">
        <w:rPr>
          <w:sz w:val="24"/>
        </w:rPr>
        <w:fldChar w:fldCharType="end"/>
      </w:r>
      <w:r w:rsidRPr="00430400">
        <w:rPr>
          <w:sz w:val="24"/>
        </w:rPr>
      </w:r>
      <w:r w:rsidRPr="00430400">
        <w:rPr>
          <w:sz w:val="24"/>
        </w:rPr>
        <w:fldChar w:fldCharType="separate"/>
      </w:r>
      <w:r w:rsidRPr="00430400">
        <w:rPr>
          <w:noProof/>
          <w:sz w:val="24"/>
        </w:rPr>
        <w:t>(Ikonomidis, Vlastos et al. 2018)</w:t>
      </w:r>
      <w:r w:rsidRPr="00430400">
        <w:rPr>
          <w:sz w:val="24"/>
        </w:rPr>
        <w:fldChar w:fldCharType="end"/>
      </w:r>
      <w:r w:rsidRPr="00430400">
        <w:rPr>
          <w:sz w:val="24"/>
        </w:rPr>
        <w:t xml:space="preserve"> in smokers indicated increased oxidative stress (MDA plasma concentrations increased) immediately following use of e</w:t>
      </w:r>
      <w:r w:rsidRPr="00430400">
        <w:rPr>
          <w:sz w:val="24"/>
        </w:rPr>
        <w:noBreakHyphen/>
        <w:t>cigarettes and conventional cigarettes, however the increase in MDA concentration was less for e</w:t>
      </w:r>
      <w:r w:rsidRPr="00430400">
        <w:rPr>
          <w:sz w:val="24"/>
        </w:rPr>
        <w:noBreakHyphen/>
        <w:t>cigarettes than for conventional cigarettes (P&lt;0.05). After use for one month, MDA concentration was significantly reduced in both a dual use group and an e</w:t>
      </w:r>
      <w:r w:rsidRPr="00430400">
        <w:rPr>
          <w:sz w:val="24"/>
        </w:rPr>
        <w:noBreakHyphen/>
        <w:t xml:space="preserve">cigarette group, however this was in a context where conventional cigarette use was strongly reduced in both groups. A lower number of cigarettes smoked per day was associated with a lower MDA concentration (r=0.32, p=0.02).  </w:t>
      </w:r>
    </w:p>
    <w:p w14:paraId="42CC00C4" w14:textId="77777777" w:rsidR="00430400" w:rsidRPr="00430400" w:rsidRDefault="00430400" w:rsidP="00430400">
      <w:pPr>
        <w:spacing w:before="120" w:line="264" w:lineRule="auto"/>
        <w:rPr>
          <w:sz w:val="24"/>
        </w:rPr>
      </w:pPr>
    </w:p>
    <w:p w14:paraId="27462629" w14:textId="77777777" w:rsidR="00430400" w:rsidRPr="00430400" w:rsidRDefault="00430400" w:rsidP="00430400">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1F6FF" w:themeFill="accent2" w:themeFillTint="1A"/>
        <w:spacing w:before="360" w:after="240"/>
        <w:ind w:left="227" w:right="227"/>
        <w:rPr>
          <w:b/>
          <w:sz w:val="28"/>
          <w:szCs w:val="28"/>
        </w:rPr>
      </w:pPr>
      <w:r w:rsidRPr="00430400">
        <w:rPr>
          <w:b/>
          <w:sz w:val="28"/>
          <w:szCs w:val="28"/>
        </w:rPr>
        <w:t>Previous reviews</w:t>
      </w:r>
    </w:p>
    <w:p w14:paraId="4932CD42" w14:textId="77777777" w:rsidR="00430400" w:rsidRPr="00430400" w:rsidRDefault="00430400" w:rsidP="00430400">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1F6FF" w:themeFill="accent2" w:themeFillTint="1A"/>
        <w:spacing w:before="180" w:after="180"/>
        <w:ind w:left="227" w:right="227"/>
        <w:rPr>
          <w:sz w:val="24"/>
          <w:szCs w:val="24"/>
        </w:rPr>
      </w:pPr>
      <w:r w:rsidRPr="00430400">
        <w:rPr>
          <w:sz w:val="24"/>
          <w:szCs w:val="24"/>
        </w:rPr>
        <w:t xml:space="preserve">The US Academies of Science review concluded that </w:t>
      </w:r>
    </w:p>
    <w:p w14:paraId="3CF93910" w14:textId="77777777" w:rsidR="00430400" w:rsidRPr="00430400" w:rsidRDefault="00430400" w:rsidP="00430400">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1F6FF" w:themeFill="accent2" w:themeFillTint="1A"/>
        <w:spacing w:before="180" w:after="180"/>
        <w:ind w:left="227" w:right="227"/>
        <w:rPr>
          <w:sz w:val="24"/>
          <w:szCs w:val="24"/>
        </w:rPr>
      </w:pPr>
      <w:r w:rsidRPr="00430400">
        <w:rPr>
          <w:sz w:val="24"/>
          <w:szCs w:val="24"/>
        </w:rPr>
        <w:t>‘There is substantial evidence that components of e</w:t>
      </w:r>
      <w:r w:rsidRPr="00430400">
        <w:rPr>
          <w:sz w:val="24"/>
          <w:szCs w:val="24"/>
        </w:rPr>
        <w:noBreakHyphen/>
        <w:t>cigarette aerosols can promote formation of reactive oxygen species/oxidative stress. Although this supports the biological plausibility of tissue injury and disease from long</w:t>
      </w:r>
      <w:r w:rsidRPr="00430400">
        <w:rPr>
          <w:sz w:val="24"/>
          <w:szCs w:val="24"/>
        </w:rPr>
        <w:noBreakHyphen/>
        <w:t>term exposure to e</w:t>
      </w:r>
      <w:r w:rsidRPr="00430400">
        <w:rPr>
          <w:sz w:val="24"/>
          <w:szCs w:val="24"/>
        </w:rPr>
        <w:noBreakHyphen/>
        <w:t>cigarette aerosols, generation of reactive oxygen species and oxidative stress induction is generally lower from e</w:t>
      </w:r>
      <w:r w:rsidRPr="00430400">
        <w:rPr>
          <w:sz w:val="24"/>
          <w:szCs w:val="24"/>
        </w:rPr>
        <w:noBreakHyphen/>
        <w:t>cigarettes than from combustible tobacco cigarette smoke.’</w:t>
      </w:r>
    </w:p>
    <w:p w14:paraId="400EFDB8" w14:textId="77777777" w:rsidR="00430400" w:rsidRPr="00430400" w:rsidRDefault="00430400" w:rsidP="00430400">
      <w:pPr>
        <w:spacing w:before="120" w:line="264" w:lineRule="auto"/>
        <w:rPr>
          <w:sz w:val="24"/>
        </w:rPr>
      </w:pPr>
    </w:p>
    <w:p w14:paraId="1A284CB2" w14:textId="77777777" w:rsidR="00430400" w:rsidRPr="00430400" w:rsidRDefault="00430400" w:rsidP="00430400">
      <w:pPr>
        <w:pStyle w:val="Heading3"/>
      </w:pPr>
      <w:r w:rsidRPr="00430400">
        <w:lastRenderedPageBreak/>
        <w:t>Skin microcirculation</w:t>
      </w:r>
    </w:p>
    <w:p w14:paraId="1712FBC5" w14:textId="19EDA66B" w:rsidR="00430400" w:rsidRPr="00430400" w:rsidRDefault="00430400" w:rsidP="00430400">
      <w:pPr>
        <w:spacing w:before="120" w:line="264" w:lineRule="auto"/>
        <w:rPr>
          <w:sz w:val="24"/>
        </w:rPr>
      </w:pPr>
      <w:r w:rsidRPr="00430400">
        <w:rPr>
          <w:sz w:val="24"/>
        </w:rPr>
        <w:t xml:space="preserve">A small study from Belgium </w:t>
      </w:r>
      <w:r w:rsidRPr="00430400">
        <w:rPr>
          <w:sz w:val="24"/>
        </w:rPr>
        <w:fldChar w:fldCharType="begin">
          <w:fldData xml:space="preserve">PEVuZE5vdGU+PENpdGU+PEF1dGhvcj5DaGF1bW9udDwvQXV0aG9yPjxZZWFyPjIwMTg8L1llYXI+
PFJlY051bT41Njc8L1JlY051bT48RGlzcGxheVRleHQ+KENoYXVtb250LCBCZXJuYXJkIGV0IGFs
LiAyMDE4KTwvRGlzcGxheVRleHQ+PHJlY29yZD48cmVjLW51bWJlcj41Njc8L3JlYy1udW1iZXI+
PGZvcmVpZ24ta2V5cz48a2V5IGFwcD0iRU4iIGRiLWlkPSJ2enhkcGZ3ZHV4ZmVkMmV0OXBhdng5
OWp6c3N4ZWFwd3Q1cDUiIHRpbWVzdGFtcD0iMTUyMTA5OTIzMCI+NTY3PC9rZXk+PGtleSBhcHA9
IkVOV2ViIiBkYi1pZD0iIj4wPC9rZXk+PC9mb3JlaWduLWtleXM+PHJlZi10eXBlIG5hbWU9Ikpv
dXJuYWwgQXJ0aWNsZSI+MTc8L3JlZi10eXBlPjxjb250cmlidXRvcnM+PGF1dGhvcnM+PGF1dGhv
cj5DaGF1bW9udCwgTS48L2F1dGhvcj48YXV0aG9yPkJlcm5hcmQsIEEuPC9hdXRob3I+PGF1dGhv
cj5Qb2NoZXQsIFMuPC9hdXRob3I+PGF1dGhvcj5NZWxvdCwgQy48L2F1dGhvcj48YXV0aG9yPkVs
IEtoYXR0YWJpLCBDLjwvYXV0aG9yPjxhdXRob3I+UmV5ZSwgRi48L2F1dGhvcj48YXV0aG9yPlpv
dWFvdWkgQm91ZGplbHRpYSwgSy48L2F1dGhvcj48YXV0aG9yPlZhbiBBbnR3ZXJwZW4sIFAuPC9h
dXRob3I+PGF1dGhvcj5EZWxwb3J0ZSwgQy48L2F1dGhvcj48YXV0aG9yPnZhbiBkZSBCb3JuZSwg
UC48L2F1dGhvcj48L2F1dGhvcnM+PC9jb250cmlidXRvcnM+PGF1dGgtYWRkcmVzcz5Ib3BpdGFs
IEVyYXNtZSwgQ2FyZGlvbG9neSwgQnJ1c3NlbHMsIEJlbGdpdW0gOyBtYXJ0aW4uY2hhdW1vbnRA
dWxiLmFjLmJlLiYjeEQ7Q2F0aG9saWMgdW5pdmVyc2l0eSBvZiBMb3V2YWluICwgQnJ1c3NlbHMs
IEJlbGdpdW0uJiN4RDtVbml2ZXJzaXRlIExpYnJlIGRlIEJydXhlbGxlcyBGYWN1bHRlIGRlIFBo
YXJtYWNpZSwgODQ5NzYsIFBoYXJtYWN5LCBCcnVzc2VscywgQmVsZ2l1bS4mI3hEO1VuaXZlcnNp
dGUgTGlicmUgZGUgQnJ1eGVsbGVzLCBFbWVyZ2VuY3kgTWVkaWNpbmUgRGVwYXJ0bWVudCwgQnJ1
c3NlbHMsIEJlbGdpdW0uJiN4RDtVbml2ZXJzaXRlIExpYnJlIGRlIEJydXhlbGxlcyBGYWN1bHRl
IGRlIFBoYXJtYWNpZSwgODQ5NzYsIE1lZGljaW5lLCBCcnVzc2VscywgQmVsZ2l1bS4mI3hEO0hv
cGl0YWwgRXJhc21lLCBCcnVzc2VscywgQmVsZ2l1bS48L2F1dGgtYWRkcmVzcz48dGl0bGVzPjx0
aXRsZT5IaWdoIFdhdHRhZ2UgRS1jaWdhcmV0dGVzIEluZHVjZSBUaXNzdWUgSHlwb3hpYSBhbmQg
TG93ZXIgQWlyd2F5IEluanVyeTogQSBSYW5kb21pemVkIFRyaWFsPC90aXRsZT48c2Vjb25kYXJ5
LXRpdGxlPkFtIEogUmVzcGlyIENyaXQgQ2FyZSBNZWQ8L3NlY29uZGFyeS10aXRsZT48YWx0LXRp
dGxlPkFtZXJpY2FuIGpvdXJuYWwgb2YgcmVzcGlyYXRvcnkgYW5kIGNyaXRpY2FsIGNhcmUgbWVk
aWNpbmU8L2FsdC10aXRsZT48L3RpdGxlcz48cGVyaW9kaWNhbD48ZnVsbC10aXRsZT5BbSBKIFJl
c3BpciBDcml0IENhcmUgTWVkPC9mdWxsLXRpdGxlPjxhYmJyLTE+QW1lcmljYW4gam91cm5hbCBv
ZiByZXNwaXJhdG9yeSBhbmQgY3JpdGljYWwgY2FyZSBtZWRpY2luZTwvYWJici0xPjwvcGVyaW9k
aWNhbD48YWx0LXBlcmlvZGljYWw+PGZ1bGwtdGl0bGU+QW0gSiBSZXNwaXIgQ3JpdCBDYXJlIE1l
ZDwvZnVsbC10aXRsZT48YWJici0xPkFtZXJpY2FuIGpvdXJuYWwgb2YgcmVzcGlyYXRvcnkgYW5k
IGNyaXRpY2FsIGNhcmUgbWVkaWNpbmU8L2FiYnItMT48L2FsdC1wZXJpb2RpY2FsPjxlZGl0aW9u
PjIwMTgvMDIvMTc8L2VkaXRpb24+PGtleXdvcmRzPjxrZXl3b3JkPkNsdWIgY2VsbCAxNiBwcm90
ZWluPC9rZXl3b3JkPjxrZXl3b3JkPkVsZWN0cm9uaWMgY2lnYXJldHRlPC9rZXl3b3JkPjxrZXl3
b3JkPlRpc3N1ZSBoeXBveGlhPC9rZXl3b3JkPjwva2V5d29yZHM+PGRhdGVzPjx5ZWFyPjIwMTg8
L3llYXI+PHB1Yi1kYXRlcz48ZGF0ZT5GZWIgMTY8L2RhdGU+PC9wdWItZGF0ZXM+PC9kYXRlcz48
aXNibj4xMDczLTQ0OXg8L2lzYm4+PGFjY2Vzc2lvbi1udW0+Mjk0NTE4MDY8L2FjY2Vzc2lvbi1u
dW0+PHVybHM+PC91cmxzPjxlbGVjdHJvbmljLXJlc291cmNlLW51bT4xMC4xMTY0L3JjY20uMjAx
NzExLTIxOThMRTwvZWxlY3Ryb25pYy1yZXNvdXJjZS1udW0+PHJlbW90ZS1kYXRhYmFzZS1wcm92
aWRlcj5OTE08L3JlbW90ZS1kYXRhYmFzZS1wcm92aWRlcj48bGFuZ3VhZ2U+ZW5nPC9sYW5ndWFn
ZT48L3JlY29yZD48L0NpdGU+PC9FbmROb3RlPgB=
</w:fldData>
        </w:fldChar>
      </w:r>
      <w:r w:rsidRPr="00430400">
        <w:rPr>
          <w:sz w:val="24"/>
        </w:rPr>
        <w:instrText xml:space="preserve"> ADDIN EN.CITE </w:instrText>
      </w:r>
      <w:r w:rsidRPr="00430400">
        <w:rPr>
          <w:sz w:val="24"/>
        </w:rPr>
        <w:fldChar w:fldCharType="begin">
          <w:fldData xml:space="preserve">PEVuZE5vdGU+PENpdGU+PEF1dGhvcj5DaGF1bW9udDwvQXV0aG9yPjxZZWFyPjIwMTg8L1llYXI+
PFJlY051bT41Njc8L1JlY051bT48RGlzcGxheVRleHQ+KENoYXVtb250LCBCZXJuYXJkIGV0IGFs
LiAyMDE4KTwvRGlzcGxheVRleHQ+PHJlY29yZD48cmVjLW51bWJlcj41Njc8L3JlYy1udW1iZXI+
PGZvcmVpZ24ta2V5cz48a2V5IGFwcD0iRU4iIGRiLWlkPSJ2enhkcGZ3ZHV4ZmVkMmV0OXBhdng5
OWp6c3N4ZWFwd3Q1cDUiIHRpbWVzdGFtcD0iMTUyMTA5OTIzMCI+NTY3PC9rZXk+PGtleSBhcHA9
IkVOV2ViIiBkYi1pZD0iIj4wPC9rZXk+PC9mb3JlaWduLWtleXM+PHJlZi10eXBlIG5hbWU9Ikpv
dXJuYWwgQXJ0aWNsZSI+MTc8L3JlZi10eXBlPjxjb250cmlidXRvcnM+PGF1dGhvcnM+PGF1dGhv
cj5DaGF1bW9udCwgTS48L2F1dGhvcj48YXV0aG9yPkJlcm5hcmQsIEEuPC9hdXRob3I+PGF1dGhv
cj5Qb2NoZXQsIFMuPC9hdXRob3I+PGF1dGhvcj5NZWxvdCwgQy48L2F1dGhvcj48YXV0aG9yPkVs
IEtoYXR0YWJpLCBDLjwvYXV0aG9yPjxhdXRob3I+UmV5ZSwgRi48L2F1dGhvcj48YXV0aG9yPlpv
dWFvdWkgQm91ZGplbHRpYSwgSy48L2F1dGhvcj48YXV0aG9yPlZhbiBBbnR3ZXJwZW4sIFAuPC9h
dXRob3I+PGF1dGhvcj5EZWxwb3J0ZSwgQy48L2F1dGhvcj48YXV0aG9yPnZhbiBkZSBCb3JuZSwg
UC48L2F1dGhvcj48L2F1dGhvcnM+PC9jb250cmlidXRvcnM+PGF1dGgtYWRkcmVzcz5Ib3BpdGFs
IEVyYXNtZSwgQ2FyZGlvbG9neSwgQnJ1c3NlbHMsIEJlbGdpdW0gOyBtYXJ0aW4uY2hhdW1vbnRA
dWxiLmFjLmJlLiYjeEQ7Q2F0aG9saWMgdW5pdmVyc2l0eSBvZiBMb3V2YWluICwgQnJ1c3NlbHMs
IEJlbGdpdW0uJiN4RDtVbml2ZXJzaXRlIExpYnJlIGRlIEJydXhlbGxlcyBGYWN1bHRlIGRlIFBo
YXJtYWNpZSwgODQ5NzYsIFBoYXJtYWN5LCBCcnVzc2VscywgQmVsZ2l1bS4mI3hEO1VuaXZlcnNp
dGUgTGlicmUgZGUgQnJ1eGVsbGVzLCBFbWVyZ2VuY3kgTWVkaWNpbmUgRGVwYXJ0bWVudCwgQnJ1
c3NlbHMsIEJlbGdpdW0uJiN4RDtVbml2ZXJzaXRlIExpYnJlIGRlIEJydXhlbGxlcyBGYWN1bHRl
IGRlIFBoYXJtYWNpZSwgODQ5NzYsIE1lZGljaW5lLCBCcnVzc2VscywgQmVsZ2l1bS4mI3hEO0hv
cGl0YWwgRXJhc21lLCBCcnVzc2VscywgQmVsZ2l1bS48L2F1dGgtYWRkcmVzcz48dGl0bGVzPjx0
aXRsZT5IaWdoIFdhdHRhZ2UgRS1jaWdhcmV0dGVzIEluZHVjZSBUaXNzdWUgSHlwb3hpYSBhbmQg
TG93ZXIgQWlyd2F5IEluanVyeTogQSBSYW5kb21pemVkIFRyaWFsPC90aXRsZT48c2Vjb25kYXJ5
LXRpdGxlPkFtIEogUmVzcGlyIENyaXQgQ2FyZSBNZWQ8L3NlY29uZGFyeS10aXRsZT48YWx0LXRp
dGxlPkFtZXJpY2FuIGpvdXJuYWwgb2YgcmVzcGlyYXRvcnkgYW5kIGNyaXRpY2FsIGNhcmUgbWVk
aWNpbmU8L2FsdC10aXRsZT48L3RpdGxlcz48cGVyaW9kaWNhbD48ZnVsbC10aXRsZT5BbSBKIFJl
c3BpciBDcml0IENhcmUgTWVkPC9mdWxsLXRpdGxlPjxhYmJyLTE+QW1lcmljYW4gam91cm5hbCBv
ZiByZXNwaXJhdG9yeSBhbmQgY3JpdGljYWwgY2FyZSBtZWRpY2luZTwvYWJici0xPjwvcGVyaW9k
aWNhbD48YWx0LXBlcmlvZGljYWw+PGZ1bGwtdGl0bGU+QW0gSiBSZXNwaXIgQ3JpdCBDYXJlIE1l
ZDwvZnVsbC10aXRsZT48YWJici0xPkFtZXJpY2FuIGpvdXJuYWwgb2YgcmVzcGlyYXRvcnkgYW5k
IGNyaXRpY2FsIGNhcmUgbWVkaWNpbmU8L2FiYnItMT48L2FsdC1wZXJpb2RpY2FsPjxlZGl0aW9u
PjIwMTgvMDIvMTc8L2VkaXRpb24+PGtleXdvcmRzPjxrZXl3b3JkPkNsdWIgY2VsbCAxNiBwcm90
ZWluPC9rZXl3b3JkPjxrZXl3b3JkPkVsZWN0cm9uaWMgY2lnYXJldHRlPC9rZXl3b3JkPjxrZXl3
b3JkPlRpc3N1ZSBoeXBveGlhPC9rZXl3b3JkPjwva2V5d29yZHM+PGRhdGVzPjx5ZWFyPjIwMTg8
L3llYXI+PHB1Yi1kYXRlcz48ZGF0ZT5GZWIgMTY8L2RhdGU+PC9wdWItZGF0ZXM+PC9kYXRlcz48
aXNibj4xMDczLTQ0OXg8L2lzYm4+PGFjY2Vzc2lvbi1udW0+Mjk0NTE4MDY8L2FjY2Vzc2lvbi1u
dW0+PHVybHM+PC91cmxzPjxlbGVjdHJvbmljLXJlc291cmNlLW51bT4xMC4xMTY0L3JjY20uMjAx
NzExLTIxOThMRTwvZWxlY3Ryb25pYy1yZXNvdXJjZS1udW0+PHJlbW90ZS1kYXRhYmFzZS1wcm92
aWRlcj5OTE08L3JlbW90ZS1kYXRhYmFzZS1wcm92aWRlcj48bGFuZ3VhZ2U+ZW5nPC9sYW5ndWFn
ZT48L3JlY29yZD48L0NpdGU+PC9FbmROb3RlPgB=
</w:fldData>
        </w:fldChar>
      </w:r>
      <w:r w:rsidRPr="00430400">
        <w:rPr>
          <w:sz w:val="24"/>
        </w:rPr>
        <w:instrText xml:space="preserve"> ADDIN EN.CITE.DATA </w:instrText>
      </w:r>
      <w:r w:rsidRPr="00430400">
        <w:rPr>
          <w:sz w:val="24"/>
        </w:rPr>
      </w:r>
      <w:r w:rsidRPr="00430400">
        <w:rPr>
          <w:sz w:val="24"/>
        </w:rPr>
        <w:fldChar w:fldCharType="end"/>
      </w:r>
      <w:r w:rsidRPr="00430400">
        <w:rPr>
          <w:sz w:val="24"/>
        </w:rPr>
      </w:r>
      <w:r w:rsidRPr="00430400">
        <w:rPr>
          <w:sz w:val="24"/>
        </w:rPr>
        <w:fldChar w:fldCharType="separate"/>
      </w:r>
      <w:r w:rsidRPr="00430400">
        <w:rPr>
          <w:noProof/>
          <w:sz w:val="24"/>
        </w:rPr>
        <w:t>(Chaumont, Bernard et al. 2018)</w:t>
      </w:r>
      <w:r w:rsidRPr="00430400">
        <w:rPr>
          <w:sz w:val="24"/>
        </w:rPr>
        <w:fldChar w:fldCharType="end"/>
      </w:r>
      <w:r w:rsidRPr="00430400">
        <w:rPr>
          <w:sz w:val="24"/>
        </w:rPr>
        <w:t xml:space="preserve"> also considered </w:t>
      </w:r>
      <w:r w:rsidRPr="00430400">
        <w:rPr>
          <w:b/>
          <w:sz w:val="24"/>
        </w:rPr>
        <w:t>skin microcirculatory flow</w:t>
      </w:r>
      <w:r w:rsidRPr="00430400">
        <w:rPr>
          <w:sz w:val="24"/>
        </w:rPr>
        <w:t xml:space="preserve"> after smoking just </w:t>
      </w:r>
      <w:r w:rsidRPr="00430400">
        <w:rPr>
          <w:b/>
          <w:sz w:val="24"/>
        </w:rPr>
        <w:t>one e</w:t>
      </w:r>
      <w:r w:rsidRPr="00430400">
        <w:rPr>
          <w:b/>
          <w:sz w:val="24"/>
        </w:rPr>
        <w:noBreakHyphen/>
        <w:t xml:space="preserve">cigarette </w:t>
      </w:r>
      <w:r w:rsidRPr="00430400">
        <w:rPr>
          <w:sz w:val="24"/>
        </w:rPr>
        <w:t xml:space="preserve">for just 25 puffs (as compared with sham vaping). Subjects were young occasional smokers (mean age=23 years, 0.25 pack/year) who were selected on the basis of their ‘vaping tolerability’ </w:t>
      </w:r>
      <w:r w:rsidRPr="00430400">
        <w:rPr>
          <w:sz w:val="24"/>
        </w:rPr>
        <w:fldChar w:fldCharType="begin">
          <w:fldData xml:space="preserve">PEVuZE5vdGU+PENpdGU+PEF1dGhvcj5DaGF1bW9udDwvQXV0aG9yPjxZZWFyPjIwMTg8L1llYXI+
PFJlY051bT41Njc8L1JlY051bT48RGlzcGxheVRleHQ+KENoYXVtb250LCBCZXJuYXJkIGV0IGFs
LiAyMDE4KTwvRGlzcGxheVRleHQ+PHJlY29yZD48cmVjLW51bWJlcj41Njc8L3JlYy1udW1iZXI+
PGZvcmVpZ24ta2V5cz48a2V5IGFwcD0iRU4iIGRiLWlkPSJ2enhkcGZ3ZHV4ZmVkMmV0OXBhdng5
OWp6c3N4ZWFwd3Q1cDUiIHRpbWVzdGFtcD0iMTUyMTA5OTIzMCI+NTY3PC9rZXk+PGtleSBhcHA9
IkVOV2ViIiBkYi1pZD0iIj4wPC9rZXk+PC9mb3JlaWduLWtleXM+PHJlZi10eXBlIG5hbWU9Ikpv
dXJuYWwgQXJ0aWNsZSI+MTc8L3JlZi10eXBlPjxjb250cmlidXRvcnM+PGF1dGhvcnM+PGF1dGhv
cj5DaGF1bW9udCwgTS48L2F1dGhvcj48YXV0aG9yPkJlcm5hcmQsIEEuPC9hdXRob3I+PGF1dGhv
cj5Qb2NoZXQsIFMuPC9hdXRob3I+PGF1dGhvcj5NZWxvdCwgQy48L2F1dGhvcj48YXV0aG9yPkVs
IEtoYXR0YWJpLCBDLjwvYXV0aG9yPjxhdXRob3I+UmV5ZSwgRi48L2F1dGhvcj48YXV0aG9yPlpv
dWFvdWkgQm91ZGplbHRpYSwgSy48L2F1dGhvcj48YXV0aG9yPlZhbiBBbnR3ZXJwZW4sIFAuPC9h
dXRob3I+PGF1dGhvcj5EZWxwb3J0ZSwgQy48L2F1dGhvcj48YXV0aG9yPnZhbiBkZSBCb3JuZSwg
UC48L2F1dGhvcj48L2F1dGhvcnM+PC9jb250cmlidXRvcnM+PGF1dGgtYWRkcmVzcz5Ib3BpdGFs
IEVyYXNtZSwgQ2FyZGlvbG9neSwgQnJ1c3NlbHMsIEJlbGdpdW0gOyBtYXJ0aW4uY2hhdW1vbnRA
dWxiLmFjLmJlLiYjeEQ7Q2F0aG9saWMgdW5pdmVyc2l0eSBvZiBMb3V2YWluICwgQnJ1c3NlbHMs
IEJlbGdpdW0uJiN4RDtVbml2ZXJzaXRlIExpYnJlIGRlIEJydXhlbGxlcyBGYWN1bHRlIGRlIFBo
YXJtYWNpZSwgODQ5NzYsIFBoYXJtYWN5LCBCcnVzc2VscywgQmVsZ2l1bS4mI3hEO1VuaXZlcnNp
dGUgTGlicmUgZGUgQnJ1eGVsbGVzLCBFbWVyZ2VuY3kgTWVkaWNpbmUgRGVwYXJ0bWVudCwgQnJ1
c3NlbHMsIEJlbGdpdW0uJiN4RDtVbml2ZXJzaXRlIExpYnJlIGRlIEJydXhlbGxlcyBGYWN1bHRl
IGRlIFBoYXJtYWNpZSwgODQ5NzYsIE1lZGljaW5lLCBCcnVzc2VscywgQmVsZ2l1bS4mI3hEO0hv
cGl0YWwgRXJhc21lLCBCcnVzc2VscywgQmVsZ2l1bS48L2F1dGgtYWRkcmVzcz48dGl0bGVzPjx0
aXRsZT5IaWdoIFdhdHRhZ2UgRS1jaWdhcmV0dGVzIEluZHVjZSBUaXNzdWUgSHlwb3hpYSBhbmQg
TG93ZXIgQWlyd2F5IEluanVyeTogQSBSYW5kb21pemVkIFRyaWFsPC90aXRsZT48c2Vjb25kYXJ5
LXRpdGxlPkFtIEogUmVzcGlyIENyaXQgQ2FyZSBNZWQ8L3NlY29uZGFyeS10aXRsZT48YWx0LXRp
dGxlPkFtZXJpY2FuIGpvdXJuYWwgb2YgcmVzcGlyYXRvcnkgYW5kIGNyaXRpY2FsIGNhcmUgbWVk
aWNpbmU8L2FsdC10aXRsZT48L3RpdGxlcz48cGVyaW9kaWNhbD48ZnVsbC10aXRsZT5BbSBKIFJl
c3BpciBDcml0IENhcmUgTWVkPC9mdWxsLXRpdGxlPjxhYmJyLTE+QW1lcmljYW4gam91cm5hbCBv
ZiByZXNwaXJhdG9yeSBhbmQgY3JpdGljYWwgY2FyZSBtZWRpY2luZTwvYWJici0xPjwvcGVyaW9k
aWNhbD48YWx0LXBlcmlvZGljYWw+PGZ1bGwtdGl0bGU+QW0gSiBSZXNwaXIgQ3JpdCBDYXJlIE1l
ZDwvZnVsbC10aXRsZT48YWJici0xPkFtZXJpY2FuIGpvdXJuYWwgb2YgcmVzcGlyYXRvcnkgYW5k
IGNyaXRpY2FsIGNhcmUgbWVkaWNpbmU8L2FiYnItMT48L2FsdC1wZXJpb2RpY2FsPjxlZGl0aW9u
PjIwMTgvMDIvMTc8L2VkaXRpb24+PGtleXdvcmRzPjxrZXl3b3JkPkNsdWIgY2VsbCAxNiBwcm90
ZWluPC9rZXl3b3JkPjxrZXl3b3JkPkVsZWN0cm9uaWMgY2lnYXJldHRlPC9rZXl3b3JkPjxrZXl3
b3JkPlRpc3N1ZSBoeXBveGlhPC9rZXl3b3JkPjwva2V5d29yZHM+PGRhdGVzPjx5ZWFyPjIwMTg8
L3llYXI+PHB1Yi1kYXRlcz48ZGF0ZT5GZWIgMTY8L2RhdGU+PC9wdWItZGF0ZXM+PC9kYXRlcz48
aXNibj4xMDczLTQ0OXg8L2lzYm4+PGFjY2Vzc2lvbi1udW0+Mjk0NTE4MDY8L2FjY2Vzc2lvbi1u
dW0+PHVybHM+PC91cmxzPjxlbGVjdHJvbmljLXJlc291cmNlLW51bT4xMC4xMTY0L3JjY20uMjAx
NzExLTIxOThMRTwvZWxlY3Ryb25pYy1yZXNvdXJjZS1udW0+PHJlbW90ZS1kYXRhYmFzZS1wcm92
aWRlcj5OTE08L3JlbW90ZS1kYXRhYmFzZS1wcm92aWRlcj48bGFuZ3VhZ2U+ZW5nPC9sYW5ndWFn
ZT48L3JlY29yZD48L0NpdGU+PC9FbmROb3RlPgB=
</w:fldData>
        </w:fldChar>
      </w:r>
      <w:r w:rsidRPr="00430400">
        <w:rPr>
          <w:sz w:val="24"/>
        </w:rPr>
        <w:instrText xml:space="preserve"> ADDIN EN.CITE </w:instrText>
      </w:r>
      <w:r w:rsidRPr="00430400">
        <w:rPr>
          <w:sz w:val="24"/>
        </w:rPr>
        <w:fldChar w:fldCharType="begin">
          <w:fldData xml:space="preserve">PEVuZE5vdGU+PENpdGU+PEF1dGhvcj5DaGF1bW9udDwvQXV0aG9yPjxZZWFyPjIwMTg8L1llYXI+
PFJlY051bT41Njc8L1JlY051bT48RGlzcGxheVRleHQ+KENoYXVtb250LCBCZXJuYXJkIGV0IGFs
LiAyMDE4KTwvRGlzcGxheVRleHQ+PHJlY29yZD48cmVjLW51bWJlcj41Njc8L3JlYy1udW1iZXI+
PGZvcmVpZ24ta2V5cz48a2V5IGFwcD0iRU4iIGRiLWlkPSJ2enhkcGZ3ZHV4ZmVkMmV0OXBhdng5
OWp6c3N4ZWFwd3Q1cDUiIHRpbWVzdGFtcD0iMTUyMTA5OTIzMCI+NTY3PC9rZXk+PGtleSBhcHA9
IkVOV2ViIiBkYi1pZD0iIj4wPC9rZXk+PC9mb3JlaWduLWtleXM+PHJlZi10eXBlIG5hbWU9Ikpv
dXJuYWwgQXJ0aWNsZSI+MTc8L3JlZi10eXBlPjxjb250cmlidXRvcnM+PGF1dGhvcnM+PGF1dGhv
cj5DaGF1bW9udCwgTS48L2F1dGhvcj48YXV0aG9yPkJlcm5hcmQsIEEuPC9hdXRob3I+PGF1dGhv
cj5Qb2NoZXQsIFMuPC9hdXRob3I+PGF1dGhvcj5NZWxvdCwgQy48L2F1dGhvcj48YXV0aG9yPkVs
IEtoYXR0YWJpLCBDLjwvYXV0aG9yPjxhdXRob3I+UmV5ZSwgRi48L2F1dGhvcj48YXV0aG9yPlpv
dWFvdWkgQm91ZGplbHRpYSwgSy48L2F1dGhvcj48YXV0aG9yPlZhbiBBbnR3ZXJwZW4sIFAuPC9h
dXRob3I+PGF1dGhvcj5EZWxwb3J0ZSwgQy48L2F1dGhvcj48YXV0aG9yPnZhbiBkZSBCb3JuZSwg
UC48L2F1dGhvcj48L2F1dGhvcnM+PC9jb250cmlidXRvcnM+PGF1dGgtYWRkcmVzcz5Ib3BpdGFs
IEVyYXNtZSwgQ2FyZGlvbG9neSwgQnJ1c3NlbHMsIEJlbGdpdW0gOyBtYXJ0aW4uY2hhdW1vbnRA
dWxiLmFjLmJlLiYjeEQ7Q2F0aG9saWMgdW5pdmVyc2l0eSBvZiBMb3V2YWluICwgQnJ1c3NlbHMs
IEJlbGdpdW0uJiN4RDtVbml2ZXJzaXRlIExpYnJlIGRlIEJydXhlbGxlcyBGYWN1bHRlIGRlIFBo
YXJtYWNpZSwgODQ5NzYsIFBoYXJtYWN5LCBCcnVzc2VscywgQmVsZ2l1bS4mI3hEO1VuaXZlcnNp
dGUgTGlicmUgZGUgQnJ1eGVsbGVzLCBFbWVyZ2VuY3kgTWVkaWNpbmUgRGVwYXJ0bWVudCwgQnJ1
c3NlbHMsIEJlbGdpdW0uJiN4RDtVbml2ZXJzaXRlIExpYnJlIGRlIEJydXhlbGxlcyBGYWN1bHRl
IGRlIFBoYXJtYWNpZSwgODQ5NzYsIE1lZGljaW5lLCBCcnVzc2VscywgQmVsZ2l1bS4mI3hEO0hv
cGl0YWwgRXJhc21lLCBCcnVzc2VscywgQmVsZ2l1bS48L2F1dGgtYWRkcmVzcz48dGl0bGVzPjx0
aXRsZT5IaWdoIFdhdHRhZ2UgRS1jaWdhcmV0dGVzIEluZHVjZSBUaXNzdWUgSHlwb3hpYSBhbmQg
TG93ZXIgQWlyd2F5IEluanVyeTogQSBSYW5kb21pemVkIFRyaWFsPC90aXRsZT48c2Vjb25kYXJ5
LXRpdGxlPkFtIEogUmVzcGlyIENyaXQgQ2FyZSBNZWQ8L3NlY29uZGFyeS10aXRsZT48YWx0LXRp
dGxlPkFtZXJpY2FuIGpvdXJuYWwgb2YgcmVzcGlyYXRvcnkgYW5kIGNyaXRpY2FsIGNhcmUgbWVk
aWNpbmU8L2FsdC10aXRsZT48L3RpdGxlcz48cGVyaW9kaWNhbD48ZnVsbC10aXRsZT5BbSBKIFJl
c3BpciBDcml0IENhcmUgTWVkPC9mdWxsLXRpdGxlPjxhYmJyLTE+QW1lcmljYW4gam91cm5hbCBv
ZiByZXNwaXJhdG9yeSBhbmQgY3JpdGljYWwgY2FyZSBtZWRpY2luZTwvYWJici0xPjwvcGVyaW9k
aWNhbD48YWx0LXBlcmlvZGljYWw+PGZ1bGwtdGl0bGU+QW0gSiBSZXNwaXIgQ3JpdCBDYXJlIE1l
ZDwvZnVsbC10aXRsZT48YWJici0xPkFtZXJpY2FuIGpvdXJuYWwgb2YgcmVzcGlyYXRvcnkgYW5k
IGNyaXRpY2FsIGNhcmUgbWVkaWNpbmU8L2FiYnItMT48L2FsdC1wZXJpb2RpY2FsPjxlZGl0aW9u
PjIwMTgvMDIvMTc8L2VkaXRpb24+PGtleXdvcmRzPjxrZXl3b3JkPkNsdWIgY2VsbCAxNiBwcm90
ZWluPC9rZXl3b3JkPjxrZXl3b3JkPkVsZWN0cm9uaWMgY2lnYXJldHRlPC9rZXl3b3JkPjxrZXl3
b3JkPlRpc3N1ZSBoeXBveGlhPC9rZXl3b3JkPjwva2V5d29yZHM+PGRhdGVzPjx5ZWFyPjIwMTg8
L3llYXI+PHB1Yi1kYXRlcz48ZGF0ZT5GZWIgMTY8L2RhdGU+PC9wdWItZGF0ZXM+PC9kYXRlcz48
aXNibj4xMDczLTQ0OXg8L2lzYm4+PGFjY2Vzc2lvbi1udW0+Mjk0NTE4MDY8L2FjY2Vzc2lvbi1u
dW0+PHVybHM+PC91cmxzPjxlbGVjdHJvbmljLXJlc291cmNlLW51bT4xMC4xMTY0L3JjY20uMjAx
NzExLTIxOThMRTwvZWxlY3Ryb25pYy1yZXNvdXJjZS1udW0+PHJlbW90ZS1kYXRhYmFzZS1wcm92
aWRlcj5OTE08L3JlbW90ZS1kYXRhYmFzZS1wcm92aWRlcj48bGFuZ3VhZ2U+ZW5nPC9sYW5ndWFn
ZT48L3JlY29yZD48L0NpdGU+PC9FbmROb3RlPgB=
</w:fldData>
        </w:fldChar>
      </w:r>
      <w:r w:rsidRPr="00430400">
        <w:rPr>
          <w:sz w:val="24"/>
        </w:rPr>
        <w:instrText xml:space="preserve"> ADDIN EN.CITE.DATA </w:instrText>
      </w:r>
      <w:r w:rsidRPr="00430400">
        <w:rPr>
          <w:sz w:val="24"/>
        </w:rPr>
      </w:r>
      <w:r w:rsidRPr="00430400">
        <w:rPr>
          <w:sz w:val="24"/>
        </w:rPr>
        <w:fldChar w:fldCharType="end"/>
      </w:r>
      <w:r w:rsidRPr="00430400">
        <w:rPr>
          <w:sz w:val="24"/>
        </w:rPr>
      </w:r>
      <w:r w:rsidRPr="00430400">
        <w:rPr>
          <w:sz w:val="24"/>
        </w:rPr>
        <w:fldChar w:fldCharType="separate"/>
      </w:r>
      <w:r w:rsidRPr="00430400">
        <w:rPr>
          <w:noProof/>
          <w:sz w:val="24"/>
        </w:rPr>
        <w:t>(Chaumont, Bernard et al. 2018)</w:t>
      </w:r>
      <w:r w:rsidRPr="00430400">
        <w:rPr>
          <w:sz w:val="24"/>
        </w:rPr>
        <w:fldChar w:fldCharType="end"/>
      </w:r>
      <w:r w:rsidRPr="00430400">
        <w:rPr>
          <w:sz w:val="24"/>
        </w:rPr>
        <w:t>. The e</w:t>
      </w:r>
      <w:r w:rsidRPr="00430400">
        <w:rPr>
          <w:sz w:val="24"/>
        </w:rPr>
        <w:noBreakHyphen/>
        <w:t>cigarette fluid dose used contained 24mg of nicotine (propylene glycol mix (50:50), vaporised at 60 watts). The study found that exposure to this e</w:t>
      </w:r>
      <w:r w:rsidRPr="00430400">
        <w:rPr>
          <w:sz w:val="24"/>
        </w:rPr>
        <w:noBreakHyphen/>
        <w:t xml:space="preserve">cigarette led to a skin tissue hypoxia (assessed by the PeriFlow system 5000, PF5040) with the nadir reached 30 minutes after exposure (mean </w:t>
      </w:r>
      <w:r w:rsidRPr="00430400">
        <w:rPr>
          <w:rFonts w:cs="Calibri"/>
          <w:sz w:val="24"/>
        </w:rPr>
        <w:t>±</w:t>
      </w:r>
      <w:r w:rsidRPr="00430400">
        <w:rPr>
          <w:sz w:val="24"/>
        </w:rPr>
        <w:t xml:space="preserve">SEM) (84 </w:t>
      </w:r>
      <w:r w:rsidRPr="00430400">
        <w:rPr>
          <w:rFonts w:cs="Calibri"/>
          <w:sz w:val="24"/>
        </w:rPr>
        <w:t xml:space="preserve">± </w:t>
      </w:r>
      <w:r w:rsidRPr="00430400">
        <w:rPr>
          <w:sz w:val="24"/>
        </w:rPr>
        <w:t>2 mmHg to 70</w:t>
      </w:r>
      <w:r w:rsidR="001E52F0">
        <w:rPr>
          <w:sz w:val="24"/>
        </w:rPr>
        <w:t> </w:t>
      </w:r>
      <w:r w:rsidRPr="00430400">
        <w:rPr>
          <w:rFonts w:cs="Calibri"/>
          <w:sz w:val="24"/>
        </w:rPr>
        <w:t>±</w:t>
      </w:r>
      <w:r w:rsidRPr="00430400">
        <w:rPr>
          <w:sz w:val="24"/>
        </w:rPr>
        <w:t xml:space="preserve"> 4 mmHg; p</w:t>
      </w:r>
      <w:r w:rsidRPr="00430400">
        <w:rPr>
          <w:rFonts w:cs="Calibri"/>
          <w:sz w:val="24"/>
        </w:rPr>
        <w:t>˂</w:t>
      </w:r>
      <w:r w:rsidRPr="00430400">
        <w:rPr>
          <w:sz w:val="24"/>
        </w:rPr>
        <w:t>0.001 vs baseline).</w:t>
      </w:r>
    </w:p>
    <w:p w14:paraId="4E516365" w14:textId="77777777" w:rsidR="00430400" w:rsidRPr="00430400" w:rsidRDefault="00430400" w:rsidP="00430400">
      <w:pPr>
        <w:spacing w:before="120" w:line="264" w:lineRule="auto"/>
        <w:rPr>
          <w:sz w:val="24"/>
        </w:rPr>
      </w:pPr>
    </w:p>
    <w:p w14:paraId="235F07B0" w14:textId="77777777" w:rsidR="00430400" w:rsidRPr="00430400" w:rsidRDefault="00430400" w:rsidP="00430400">
      <w:pPr>
        <w:pStyle w:val="Heading3"/>
      </w:pPr>
      <w:r w:rsidRPr="00430400">
        <w:t>Cognitive performance and mental health</w:t>
      </w:r>
    </w:p>
    <w:p w14:paraId="0FB6B74B" w14:textId="4763CCE9" w:rsidR="00430400" w:rsidRPr="00430400" w:rsidRDefault="00430400" w:rsidP="00430400">
      <w:pPr>
        <w:spacing w:before="120" w:line="264" w:lineRule="auto"/>
        <w:rPr>
          <w:rFonts w:asciiTheme="minorHAnsi" w:hAnsiTheme="minorHAnsi" w:cstheme="minorHAnsi"/>
          <w:sz w:val="24"/>
        </w:rPr>
      </w:pPr>
      <w:r w:rsidRPr="00430400">
        <w:rPr>
          <w:sz w:val="24"/>
        </w:rPr>
        <w:t xml:space="preserve">Caponnetto et al.’s </w:t>
      </w:r>
      <w:r w:rsidRPr="00430400">
        <w:rPr>
          <w:sz w:val="24"/>
        </w:rPr>
        <w:fldChar w:fldCharType="begin">
          <w:fldData xml:space="preserve">PEVuZE5vdGU+PENpdGU+PEF1dGhvcj5DYXBvbm5ldHRvPC9BdXRob3I+PFllYXI+MjAxNzwvWWVh
cj48UmVjTnVtPjEyNjM8L1JlY051bT48RGlzcGxheVRleHQ+KENhcG9ubmV0dG8sIE1hZ2xpYSBl
dCBhbC4gMjAxNyk8L0Rpc3BsYXlUZXh0PjxyZWNvcmQ+PHJlYy1udW1iZXI+MTI2MzwvcmVjLW51
bWJlcj48Zm9yZWlnbi1rZXlzPjxrZXkgYXBwPSJFTiIgZGItaWQ9InZ6eGRwZndkdXhmZWQyZXQ5
cGF2eDk5anpzc3hlYXB3dDVwNSIgdGltZXN0YW1wPSIxNTIxMDk5NDAzIj4xMjYzPC9rZXk+PGtl
eSBhcHA9IkVOV2ViIiBkYi1pZD0iIj4wPC9rZXk+PC9mb3JlaWduLWtleXM+PHJlZi10eXBlIG5h
bWU9IkpvdXJuYWwgQXJ0aWNsZSI+MTc8L3JlZi10eXBlPjxjb250cmlidXRvcnM+PGF1dGhvcnM+
PGF1dGhvcj5DYXBvbm5ldHRvLCBQLjwvYXV0aG9yPjxhdXRob3I+TWFnbGlhLCBNLjwvYXV0aG9y
PjxhdXRob3I+Q2FubmVsbGEsIE0uIEMuPC9hdXRob3I+PGF1dGhvcj5Jbmd1c2NpbywgTC48L2F1
dGhvcj48YXV0aG9yPkJ1b25vY29yZSwgTS48L2F1dGhvcj48YXV0aG9yPlNjb2dsaW8sIEMuPC9h
dXRob3I+PGF1dGhvcj5Qb2xvc2EsIFIuPC9hdXRob3I+PGF1dGhvcj5WaW5jaSwgVi48L2F1dGhv
cj48L2F1dGhvcnM+PC9jb250cmlidXRvcnM+PGF1dGgtYWRkcmVzcz5DZW50cm8gcGVyIGxhIFBy
ZXZlbnppb25lIGUgQ3VyYSBkZWwgVGFiYWdpc21vLCBBemllbmRhIE9zcGVkYWxpZXJvLVVuaXZl
cnNpdGFyaWEgJnF1b3Q7UG9saWNsaW5pY28tVi4gRW1hbnVlbGUsJnF1b3Q7IFVuaXZlcnNpdGEg
ZGkgQ2F0YW5pYUNhdGFuaWEsIEl0YWx5OyBJbnN0aXR1dGUgb2YgSW50ZXJuYWwgTWVkaWNpbmUs
IEcuIFJvZG9saWNvIEhvc3BpdGFsLCBBemllbmRhIE9zcGVkYWxpZXJvLVVuaXZlcnNpdGFyaWEg
JnF1b3Q7UG9saWNsaW5pY28tVi4gRW1hbnVlbGUsJnF1b3Q7IFVuaXZlcnNpdGEgZGkgQ2F0YW5p
YUNhdGFuaWEsIEl0YWx5OyBJbnN0aXR1dGUgZm9yIFNvY2lhbCBNYXJrZXRpbmcsIFVuaXZlcnNp
dHkgb2YgU3RpcmxpbmdTdGlybGluZywgVUsuJiN4RDtDZW50cm8gcGVyIGxhIFByZXZlbnppb25l
IGUgQ3VyYSBkZWwgVGFiYWdpc21vLCBBemllbmRhIE9zcGVkYWxpZXJvLVVuaXZlcnNpdGFyaWEg
JnF1b3Q7UG9saWNsaW5pY28tVi4gRW1hbnVlbGUsJnF1b3Q7IFVuaXZlcnNpdGEgZGkgQ2F0YW5p
YSBDYXRhbmlhLCBJdGFseS4mI3hEO1BzeWNob2xvZ3kgU2VydmljZSwgQVNQIENhdGFuaWEgQ2F0
YW5pYSwgSXRhbHkuJiN4RDtEZXBhcnRtZW50IG9mIFBzeWNob2xvZ3ksIFVuaXZlcnNpdHkgb2Yg
Um9tZSBMYSBTYXBpZW56YSBSb21lLCBJdGFseS4mI3hEO0RlcGFydG1lbnQgb2YgQ2xpbmljYWwg
TmV1cm9zY2llbmNlcywgU2FuIFJhZmZhZWxlIFNjaWVudGlmaWMgSW5zdGl0dXRlIE1pbGFuLCBJ
dGFseS4mI3hEO0NlbnRybyBwZXIgbGEgUHJldmVuemlvbmUgZSBDdXJhIGRlbCBUYWJhZ2lzbW8s
IEF6aWVuZGEgT3NwZWRhbGllcm8tVW5pdmVyc2l0YXJpYSAmcXVvdDtQb2xpY2xpbmljby1WLiBF
bWFudWVsZSwmcXVvdDsgVW5pdmVyc2l0YSBkaSBDYXRhbmlhQ2F0YW5pYSwgSXRhbHk7IEluc3Rp
dHV0ZSBvZiBJbnRlcm5hbCBNZWRpY2luZSwgRy4gUm9kb2xpY28gSG9zcGl0YWwsIEF6aWVuZGEg
T3NwZWRhbGllcm8tVW5pdmVyc2l0YXJpYSAmcXVvdDtQb2xpY2xpbmljby1WLiBFbWFudWVsZSwm
cXVvdDsgVW5pdmVyc2l0YSBkaSBDYXRhbmlhQ2F0YW5pYSwgSXRhbHkuPC9hdXRoLWFkZHJlc3M+
PHRpdGxlcz48dGl0bGU+SW1wYWN0IG9mIERpZmZlcmVudCBlLUNpZ2FyZXR0ZSBHZW5lcmF0aW9u
IGFuZCBNb2RlbHMgb24gQ29nbml0aXZlIFBlcmZvcm1hbmNlcywgQ3JhdmluZyBhbmQgR2VzdHVy
ZTogQSBSYW5kb21pemVkIENyb3NzLU92ZXIgVHJpYWwgKENvZ0VjaWcpPC90aXRsZT48c2Vjb25k
YXJ5LXRpdGxlPkZyb250IFBzeWNob2w8L3NlY29uZGFyeS10aXRsZT48YWx0LXRpdGxlPkZyb250
aWVycyBpbiBwc3ljaG9sb2d5PC9hbHQtdGl0bGU+PC90aXRsZXM+PHBlcmlvZGljYWw+PGZ1bGwt
dGl0bGU+RnJvbnQgUHN5Y2hvbDwvZnVsbC10aXRsZT48YWJici0xPkZyb250aWVycyBpbiBwc3lj
aG9sb2d5PC9hYmJyLTE+PC9wZXJpb2RpY2FsPjxhbHQtcGVyaW9kaWNhbD48ZnVsbC10aXRsZT5G
cm9udCBQc3ljaG9sPC9mdWxsLXRpdGxlPjxhYmJyLTE+RnJvbnRpZXJzIGluIHBzeWNob2xvZ3k8
L2FiYnItMT48L2FsdC1wZXJpb2RpY2FsPjxwYWdlcz4xMjc8L3BhZ2VzPjx2b2x1bWU+ODwvdm9s
dW1lPjxlZGl0aW9uPjIwMTcvMDMvMjU8L2VkaXRpb24+PGtleXdvcmRzPjxrZXl3b3JkPmFkdmVy
c2UgZXZlbnRzPC9rZXl3b3JkPjxrZXl3b3JkPmNpZ2FyZXR0ZSBzdWJzdGl0dXRlczwva2V5d29y
ZD48a2V5d29yZD5jb2duaXRpb248L2tleXdvcmQ+PGtleXdvcmQ+ZWxlY3Ryb25pYyBjaWdhcmV0
dGVzPC9rZXl3b3JkPjxrZXl3b3JkPmVsZWN0cm9uaWMgbmljb3RpbmUgZGVsaXZlcnkgZGV2aWNl
czwva2V5d29yZD48a2V5d29yZD5zbW9raW5nIGNlc3NhdGlvbjwva2V5d29yZD48a2V5d29yZD5z
bW9raW5nIHJlZHVjdGlvbjwva2V5d29yZD48L2tleXdvcmRzPjxkYXRlcz48eWVhcj4yMDE3PC95
ZWFyPjwvZGF0ZXM+PGlzYm4+MTY2NC0xMDc4IChQcmludCkmI3hEOzE2NjQtMTA3ODwvaXNibj48
YWNjZXNzaW9uLW51bT4yODMzNzE1NTwvYWNjZXNzaW9uLW51bT48dXJscz48L3VybHM+PGN1c3Rv
bTI+UE1DNTM0MzAyNjwvY3VzdG9tMj48ZWxlY3Ryb25pYy1yZXNvdXJjZS1udW0+MTAuMzM4OS9m
cHN5Zy4yMDE3LjAwMTI3PC9lbGVjdHJvbmljLXJlc291cmNlLW51bT48cmVtb3RlLWRhdGFiYXNl
LXByb3ZpZGVyPk5MTTwvcmVtb3RlLWRhdGFiYXNlLXByb3ZpZGVyPjxsYW5ndWFnZT5lbmc8L2xh
bmd1YWdlPjwvcmVjb3JkPjwvQ2l0ZT48L0VuZE5vdGU+
</w:fldData>
        </w:fldChar>
      </w:r>
      <w:r w:rsidRPr="00430400">
        <w:rPr>
          <w:sz w:val="24"/>
        </w:rPr>
        <w:instrText xml:space="preserve"> ADDIN EN.CITE </w:instrText>
      </w:r>
      <w:r w:rsidRPr="00430400">
        <w:rPr>
          <w:sz w:val="24"/>
        </w:rPr>
        <w:fldChar w:fldCharType="begin">
          <w:fldData xml:space="preserve">PEVuZE5vdGU+PENpdGU+PEF1dGhvcj5DYXBvbm5ldHRvPC9BdXRob3I+PFllYXI+MjAxNzwvWWVh
cj48UmVjTnVtPjEyNjM8L1JlY051bT48RGlzcGxheVRleHQ+KENhcG9ubmV0dG8sIE1hZ2xpYSBl
dCBhbC4gMjAxNyk8L0Rpc3BsYXlUZXh0PjxyZWNvcmQ+PHJlYy1udW1iZXI+MTI2MzwvcmVjLW51
bWJlcj48Zm9yZWlnbi1rZXlzPjxrZXkgYXBwPSJFTiIgZGItaWQ9InZ6eGRwZndkdXhmZWQyZXQ5
cGF2eDk5anpzc3hlYXB3dDVwNSIgdGltZXN0YW1wPSIxNTIxMDk5NDAzIj4xMjYzPC9rZXk+PGtl
eSBhcHA9IkVOV2ViIiBkYi1pZD0iIj4wPC9rZXk+PC9mb3JlaWduLWtleXM+PHJlZi10eXBlIG5h
bWU9IkpvdXJuYWwgQXJ0aWNsZSI+MTc8L3JlZi10eXBlPjxjb250cmlidXRvcnM+PGF1dGhvcnM+
PGF1dGhvcj5DYXBvbm5ldHRvLCBQLjwvYXV0aG9yPjxhdXRob3I+TWFnbGlhLCBNLjwvYXV0aG9y
PjxhdXRob3I+Q2FubmVsbGEsIE0uIEMuPC9hdXRob3I+PGF1dGhvcj5Jbmd1c2NpbywgTC48L2F1
dGhvcj48YXV0aG9yPkJ1b25vY29yZSwgTS48L2F1dGhvcj48YXV0aG9yPlNjb2dsaW8sIEMuPC9h
dXRob3I+PGF1dGhvcj5Qb2xvc2EsIFIuPC9hdXRob3I+PGF1dGhvcj5WaW5jaSwgVi48L2F1dGhv
cj48L2F1dGhvcnM+PC9jb250cmlidXRvcnM+PGF1dGgtYWRkcmVzcz5DZW50cm8gcGVyIGxhIFBy
ZXZlbnppb25lIGUgQ3VyYSBkZWwgVGFiYWdpc21vLCBBemllbmRhIE9zcGVkYWxpZXJvLVVuaXZl
cnNpdGFyaWEgJnF1b3Q7UG9saWNsaW5pY28tVi4gRW1hbnVlbGUsJnF1b3Q7IFVuaXZlcnNpdGEg
ZGkgQ2F0YW5pYUNhdGFuaWEsIEl0YWx5OyBJbnN0aXR1dGUgb2YgSW50ZXJuYWwgTWVkaWNpbmUs
IEcuIFJvZG9saWNvIEhvc3BpdGFsLCBBemllbmRhIE9zcGVkYWxpZXJvLVVuaXZlcnNpdGFyaWEg
JnF1b3Q7UG9saWNsaW5pY28tVi4gRW1hbnVlbGUsJnF1b3Q7IFVuaXZlcnNpdGEgZGkgQ2F0YW5p
YUNhdGFuaWEsIEl0YWx5OyBJbnN0aXR1dGUgZm9yIFNvY2lhbCBNYXJrZXRpbmcsIFVuaXZlcnNp
dHkgb2YgU3RpcmxpbmdTdGlybGluZywgVUsuJiN4RDtDZW50cm8gcGVyIGxhIFByZXZlbnppb25l
IGUgQ3VyYSBkZWwgVGFiYWdpc21vLCBBemllbmRhIE9zcGVkYWxpZXJvLVVuaXZlcnNpdGFyaWEg
JnF1b3Q7UG9saWNsaW5pY28tVi4gRW1hbnVlbGUsJnF1b3Q7IFVuaXZlcnNpdGEgZGkgQ2F0YW5p
YSBDYXRhbmlhLCBJdGFseS4mI3hEO1BzeWNob2xvZ3kgU2VydmljZSwgQVNQIENhdGFuaWEgQ2F0
YW5pYSwgSXRhbHkuJiN4RDtEZXBhcnRtZW50IG9mIFBzeWNob2xvZ3ksIFVuaXZlcnNpdHkgb2Yg
Um9tZSBMYSBTYXBpZW56YSBSb21lLCBJdGFseS4mI3hEO0RlcGFydG1lbnQgb2YgQ2xpbmljYWwg
TmV1cm9zY2llbmNlcywgU2FuIFJhZmZhZWxlIFNjaWVudGlmaWMgSW5zdGl0dXRlIE1pbGFuLCBJ
dGFseS4mI3hEO0NlbnRybyBwZXIgbGEgUHJldmVuemlvbmUgZSBDdXJhIGRlbCBUYWJhZ2lzbW8s
IEF6aWVuZGEgT3NwZWRhbGllcm8tVW5pdmVyc2l0YXJpYSAmcXVvdDtQb2xpY2xpbmljby1WLiBF
bWFudWVsZSwmcXVvdDsgVW5pdmVyc2l0YSBkaSBDYXRhbmlhQ2F0YW5pYSwgSXRhbHk7IEluc3Rp
dHV0ZSBvZiBJbnRlcm5hbCBNZWRpY2luZSwgRy4gUm9kb2xpY28gSG9zcGl0YWwsIEF6aWVuZGEg
T3NwZWRhbGllcm8tVW5pdmVyc2l0YXJpYSAmcXVvdDtQb2xpY2xpbmljby1WLiBFbWFudWVsZSwm
cXVvdDsgVW5pdmVyc2l0YSBkaSBDYXRhbmlhQ2F0YW5pYSwgSXRhbHkuPC9hdXRoLWFkZHJlc3M+
PHRpdGxlcz48dGl0bGU+SW1wYWN0IG9mIERpZmZlcmVudCBlLUNpZ2FyZXR0ZSBHZW5lcmF0aW9u
IGFuZCBNb2RlbHMgb24gQ29nbml0aXZlIFBlcmZvcm1hbmNlcywgQ3JhdmluZyBhbmQgR2VzdHVy
ZTogQSBSYW5kb21pemVkIENyb3NzLU92ZXIgVHJpYWwgKENvZ0VjaWcpPC90aXRsZT48c2Vjb25k
YXJ5LXRpdGxlPkZyb250IFBzeWNob2w8L3NlY29uZGFyeS10aXRsZT48YWx0LXRpdGxlPkZyb250
aWVycyBpbiBwc3ljaG9sb2d5PC9hbHQtdGl0bGU+PC90aXRsZXM+PHBlcmlvZGljYWw+PGZ1bGwt
dGl0bGU+RnJvbnQgUHN5Y2hvbDwvZnVsbC10aXRsZT48YWJici0xPkZyb250aWVycyBpbiBwc3lj
aG9sb2d5PC9hYmJyLTE+PC9wZXJpb2RpY2FsPjxhbHQtcGVyaW9kaWNhbD48ZnVsbC10aXRsZT5G
cm9udCBQc3ljaG9sPC9mdWxsLXRpdGxlPjxhYmJyLTE+RnJvbnRpZXJzIGluIHBzeWNob2xvZ3k8
L2FiYnItMT48L2FsdC1wZXJpb2RpY2FsPjxwYWdlcz4xMjc8L3BhZ2VzPjx2b2x1bWU+ODwvdm9s
dW1lPjxlZGl0aW9uPjIwMTcvMDMvMjU8L2VkaXRpb24+PGtleXdvcmRzPjxrZXl3b3JkPmFkdmVy
c2UgZXZlbnRzPC9rZXl3b3JkPjxrZXl3b3JkPmNpZ2FyZXR0ZSBzdWJzdGl0dXRlczwva2V5d29y
ZD48a2V5d29yZD5jb2duaXRpb248L2tleXdvcmQ+PGtleXdvcmQ+ZWxlY3Ryb25pYyBjaWdhcmV0
dGVzPC9rZXl3b3JkPjxrZXl3b3JkPmVsZWN0cm9uaWMgbmljb3RpbmUgZGVsaXZlcnkgZGV2aWNl
czwva2V5d29yZD48a2V5d29yZD5zbW9raW5nIGNlc3NhdGlvbjwva2V5d29yZD48a2V5d29yZD5z
bW9raW5nIHJlZHVjdGlvbjwva2V5d29yZD48L2tleXdvcmRzPjxkYXRlcz48eWVhcj4yMDE3PC95
ZWFyPjwvZGF0ZXM+PGlzYm4+MTY2NC0xMDc4IChQcmludCkmI3hEOzE2NjQtMTA3ODwvaXNibj48
YWNjZXNzaW9uLW51bT4yODMzNzE1NTwvYWNjZXNzaW9uLW51bT48dXJscz48L3VybHM+PGN1c3Rv
bTI+UE1DNTM0MzAyNjwvY3VzdG9tMj48ZWxlY3Ryb25pYy1yZXNvdXJjZS1udW0+MTAuMzM4OS9m
cHN5Zy4yMDE3LjAwMTI3PC9lbGVjdHJvbmljLXJlc291cmNlLW51bT48cmVtb3RlLWRhdGFiYXNl
LXByb3ZpZGVyPk5MTTwvcmVtb3RlLWRhdGFiYXNlLXByb3ZpZGVyPjxsYW5ndWFnZT5lbmc8L2xh
bmd1YWdlPjwvcmVjb3JkPjwvQ2l0ZT48L0VuZE5vdGU+
</w:fldData>
        </w:fldChar>
      </w:r>
      <w:r w:rsidRPr="00430400">
        <w:rPr>
          <w:sz w:val="24"/>
        </w:rPr>
        <w:instrText xml:space="preserve"> ADDIN EN.CITE.DATA </w:instrText>
      </w:r>
      <w:r w:rsidRPr="00430400">
        <w:rPr>
          <w:sz w:val="24"/>
        </w:rPr>
      </w:r>
      <w:r w:rsidRPr="00430400">
        <w:rPr>
          <w:sz w:val="24"/>
        </w:rPr>
        <w:fldChar w:fldCharType="end"/>
      </w:r>
      <w:r w:rsidRPr="00430400">
        <w:rPr>
          <w:sz w:val="24"/>
        </w:rPr>
      </w:r>
      <w:r w:rsidRPr="00430400">
        <w:rPr>
          <w:sz w:val="24"/>
        </w:rPr>
        <w:fldChar w:fldCharType="separate"/>
      </w:r>
      <w:r w:rsidRPr="00430400">
        <w:rPr>
          <w:noProof/>
          <w:sz w:val="24"/>
        </w:rPr>
        <w:t>(Caponnetto, Maglia et al. 2017)</w:t>
      </w:r>
      <w:r w:rsidRPr="00430400">
        <w:rPr>
          <w:sz w:val="24"/>
        </w:rPr>
        <w:fldChar w:fldCharType="end"/>
      </w:r>
      <w:r w:rsidRPr="00430400">
        <w:rPr>
          <w:sz w:val="24"/>
        </w:rPr>
        <w:t xml:space="preserve"> small, industry</w:t>
      </w:r>
      <w:r w:rsidRPr="00430400">
        <w:rPr>
          <w:sz w:val="24"/>
        </w:rPr>
        <w:noBreakHyphen/>
        <w:t>funded Italian randomised cross</w:t>
      </w:r>
      <w:r w:rsidRPr="00430400">
        <w:rPr>
          <w:sz w:val="24"/>
        </w:rPr>
        <w:noBreakHyphen/>
        <w:t>over study of cigarette users (n=34) sought to determine if different e</w:t>
      </w:r>
      <w:r w:rsidRPr="00430400">
        <w:rPr>
          <w:sz w:val="24"/>
        </w:rPr>
        <w:noBreakHyphen/>
        <w:t>cigarette models (use for around 1 day per product) and/or smokers’ conventional cigarette use had an impact on cognitive performance, craving and gesture. In relation to craving measures, craving significantly increased in the conventional cigarette (F</w:t>
      </w:r>
      <w:r w:rsidRPr="00430400">
        <w:rPr>
          <w:sz w:val="24"/>
          <w:vertAlign w:val="subscript"/>
        </w:rPr>
        <w:t>(5,29)</w:t>
      </w:r>
      <w:r w:rsidRPr="00430400">
        <w:rPr>
          <w:sz w:val="24"/>
        </w:rPr>
        <w:t>=18.3, p</w:t>
      </w:r>
      <w:r w:rsidRPr="00430400">
        <w:rPr>
          <w:rFonts w:cs="Calibri"/>
          <w:sz w:val="24"/>
        </w:rPr>
        <w:t>˂</w:t>
      </w:r>
      <w:r w:rsidRPr="00430400">
        <w:rPr>
          <w:sz w:val="24"/>
        </w:rPr>
        <w:t>0.001), second generation cigalike with 24mg nicotine (F</w:t>
      </w:r>
      <w:r w:rsidRPr="00430400">
        <w:rPr>
          <w:sz w:val="24"/>
          <w:vertAlign w:val="subscript"/>
        </w:rPr>
        <w:t>(5, 29)</w:t>
      </w:r>
      <w:r w:rsidRPr="00430400">
        <w:rPr>
          <w:sz w:val="24"/>
        </w:rPr>
        <w:t>=3.9, p</w:t>
      </w:r>
      <w:r w:rsidRPr="00430400">
        <w:rPr>
          <w:rFonts w:cs="Calibri"/>
          <w:sz w:val="24"/>
        </w:rPr>
        <w:t>˂</w:t>
      </w:r>
      <w:r w:rsidRPr="00430400">
        <w:rPr>
          <w:sz w:val="24"/>
        </w:rPr>
        <w:t>0.001) and personal vaporiser with 24mg nicotine groups (F</w:t>
      </w:r>
      <w:r w:rsidRPr="00430400">
        <w:rPr>
          <w:sz w:val="24"/>
          <w:vertAlign w:val="subscript"/>
        </w:rPr>
        <w:t>(5,29)</w:t>
      </w:r>
      <w:r w:rsidRPr="00430400">
        <w:rPr>
          <w:sz w:val="24"/>
        </w:rPr>
        <w:t>=4.19,</w:t>
      </w:r>
      <w:r w:rsidR="00735A9C">
        <w:rPr>
          <w:sz w:val="24"/>
        </w:rPr>
        <w:t> </w:t>
      </w:r>
      <w:r w:rsidRPr="00430400">
        <w:rPr>
          <w:sz w:val="24"/>
        </w:rPr>
        <w:t>p</w:t>
      </w:r>
      <w:r w:rsidRPr="00430400">
        <w:rPr>
          <w:rFonts w:cs="Calibri"/>
          <w:sz w:val="24"/>
        </w:rPr>
        <w:t>˂</w:t>
      </w:r>
      <w:r w:rsidRPr="00430400">
        <w:rPr>
          <w:sz w:val="24"/>
        </w:rPr>
        <w:t>0.001), but not in the first generation rechargeable with 24mg nicotine or second generation rechargeable with 0mg nicotine. The authors report that all cognitive measures of attention, executive function and working memory were not influenced by the different e</w:t>
      </w:r>
      <w:r w:rsidRPr="00430400">
        <w:rPr>
          <w:sz w:val="24"/>
        </w:rPr>
        <w:noBreakHyphen/>
        <w:t xml:space="preserve">cigarettes (including those with and without nicotine) or by gender. </w:t>
      </w:r>
      <w:r w:rsidRPr="00430400">
        <w:rPr>
          <w:rFonts w:asciiTheme="minorHAnsi" w:hAnsiTheme="minorHAnsi" w:cstheme="minorHAnsi"/>
          <w:sz w:val="24"/>
        </w:rPr>
        <w:t>Therefore, Caponnetto</w:t>
      </w:r>
      <w:r w:rsidR="00735A9C">
        <w:rPr>
          <w:rFonts w:asciiTheme="minorHAnsi" w:hAnsiTheme="minorHAnsi" w:cstheme="minorHAnsi"/>
          <w:sz w:val="24"/>
        </w:rPr>
        <w:t> </w:t>
      </w:r>
      <w:r w:rsidRPr="00430400">
        <w:rPr>
          <w:rFonts w:asciiTheme="minorHAnsi" w:hAnsiTheme="minorHAnsi" w:cstheme="minorHAnsi"/>
          <w:sz w:val="24"/>
        </w:rPr>
        <w:t>et</w:t>
      </w:r>
      <w:r w:rsidR="00735A9C">
        <w:rPr>
          <w:rFonts w:asciiTheme="minorHAnsi" w:hAnsiTheme="minorHAnsi" w:cstheme="minorHAnsi"/>
          <w:sz w:val="24"/>
        </w:rPr>
        <w:t> </w:t>
      </w:r>
      <w:r w:rsidRPr="00430400">
        <w:rPr>
          <w:rFonts w:asciiTheme="minorHAnsi" w:hAnsiTheme="minorHAnsi" w:cstheme="minorHAnsi"/>
          <w:sz w:val="24"/>
        </w:rPr>
        <w:t>al.’s short term study showed an increase in withdrawal symptoms for some types of e</w:t>
      </w:r>
      <w:r w:rsidRPr="00430400">
        <w:rPr>
          <w:rFonts w:asciiTheme="minorHAnsi" w:hAnsiTheme="minorHAnsi" w:cstheme="minorHAnsi"/>
          <w:sz w:val="24"/>
        </w:rPr>
        <w:noBreakHyphen/>
        <w:t>cigarettes but no effects on cognitive function.</w:t>
      </w:r>
    </w:p>
    <w:p w14:paraId="6FA26F3E" w14:textId="77777777" w:rsidR="00430400" w:rsidRPr="00430400" w:rsidRDefault="00430400" w:rsidP="00430400">
      <w:pPr>
        <w:spacing w:before="120" w:line="264" w:lineRule="auto"/>
        <w:rPr>
          <w:rFonts w:asciiTheme="minorHAnsi" w:hAnsiTheme="minorHAnsi" w:cstheme="minorHAnsi"/>
          <w:sz w:val="24"/>
        </w:rPr>
      </w:pPr>
    </w:p>
    <w:p w14:paraId="459283CD" w14:textId="77777777" w:rsidR="00430400" w:rsidRPr="00430400" w:rsidRDefault="00430400" w:rsidP="00430400">
      <w:pPr>
        <w:spacing w:before="120" w:line="264" w:lineRule="auto"/>
        <w:rPr>
          <w:sz w:val="24"/>
        </w:rPr>
      </w:pPr>
      <w:r w:rsidRPr="00430400">
        <w:rPr>
          <w:sz w:val="24"/>
        </w:rPr>
        <w:t xml:space="preserve">Ashford’s </w:t>
      </w:r>
      <w:r w:rsidRPr="00430400">
        <w:rPr>
          <w:sz w:val="24"/>
        </w:rPr>
        <w:fldChar w:fldCharType="begin"/>
      </w:r>
      <w:r w:rsidRPr="00430400">
        <w:rPr>
          <w:sz w:val="24"/>
        </w:rPr>
        <w:instrText xml:space="preserve"> ADDIN EN.CITE &lt;EndNote&gt;&lt;Cite&gt;&lt;Author&gt;Ashford&lt;/Author&gt;&lt;Year&gt;2018&lt;/Year&gt;&lt;RecNum&gt;1850&lt;/RecNum&gt;&lt;DisplayText&gt;(Ashford, Chavan et al. 2018)&lt;/DisplayText&gt;&lt;record&gt;&lt;rec-number&gt;1850&lt;/rec-number&gt;&lt;foreign-keys&gt;&lt;key app="EN" db-id="vzxdpfwduxfed2et9pavx99jzssxeapwt5p5" timestamp="1521099510"&gt;1850&lt;/key&gt;&lt;key app="ENWeb" db-id=""&gt;0&lt;/key&gt;&lt;/foreign-keys&gt;&lt;ref-type name="Journal Article"&gt;17&lt;/ref-type&gt;&lt;contributors&gt;&lt;authors&gt;&lt;author&gt;Ashford, Kristin B.&lt;/author&gt;&lt;author&gt;Chavan, Niraj R.&lt;/author&gt;&lt;author&gt;Wiggins, Amanda&lt;/author&gt;&lt;author&gt;Barnett, Janine&lt;/author&gt;&lt;author&gt;McCubbin, Andrea&lt;/author&gt;&lt;author&gt;Ducas, Leticia&lt;/author&gt;&lt;author&gt;O&amp;apos;Brien, John M.&lt;/author&gt;&lt;/authors&gt;&lt;/contributors&gt;&lt;titles&gt;&lt;title&gt;Prenatal electronic cigarette, dual use and nicotine dependency&lt;/title&gt;&lt;secondary-title&gt;American Journal of Obstetrics and Gynecology&lt;/secondary-title&gt;&lt;/titles&gt;&lt;periodical&gt;&lt;full-title&gt;American Journal of Obstetrics and Gynecology&lt;/full-title&gt;&lt;/periodical&gt;&lt;pages&gt;S431-S432&lt;/pages&gt;&lt;volume&gt;218&lt;/volume&gt;&lt;number&gt;1&lt;/number&gt;&lt;dates&gt;&lt;year&gt;2018&lt;/year&gt;&lt;pub-dates&gt;&lt;date&gt;Jan&lt;/date&gt;&lt;/pub-dates&gt;&lt;/dates&gt;&lt;isbn&gt;0002-9378&lt;/isbn&gt;&lt;accession-num&gt;WOS:000423616600216&lt;/accession-num&gt;&lt;urls&gt;&lt;related-urls&gt;&lt;url&gt;&amp;lt;Go to ISI&amp;gt;://WOS:000423616600216&lt;/url&gt;&lt;/related-urls&gt;&lt;/urls&gt;&lt;/record&gt;&lt;/Cite&gt;&lt;/EndNote&gt;</w:instrText>
      </w:r>
      <w:r w:rsidRPr="00430400">
        <w:rPr>
          <w:sz w:val="24"/>
        </w:rPr>
        <w:fldChar w:fldCharType="separate"/>
      </w:r>
      <w:r w:rsidRPr="00430400">
        <w:rPr>
          <w:noProof/>
          <w:sz w:val="24"/>
        </w:rPr>
        <w:t>(Ashford, Chavan et al. 2018)</w:t>
      </w:r>
      <w:r w:rsidRPr="00430400">
        <w:rPr>
          <w:sz w:val="24"/>
        </w:rPr>
        <w:fldChar w:fldCharType="end"/>
      </w:r>
      <w:r w:rsidRPr="00430400">
        <w:rPr>
          <w:sz w:val="24"/>
        </w:rPr>
        <w:t xml:space="preserve"> US prospective cohort study demonstrated an association between nicotine dependence and depression in pre</w:t>
      </w:r>
      <w:r w:rsidRPr="00430400">
        <w:rPr>
          <w:sz w:val="24"/>
        </w:rPr>
        <w:noBreakHyphen/>
        <w:t xml:space="preserve">natal women: every 5 point increase in depressive symptoms was associated with a 0.5 point increase in nicotine dependence (p=0.019) as determined by the Fagerstrom Test for Nicotine Dependence. </w:t>
      </w:r>
    </w:p>
    <w:p w14:paraId="20D72711" w14:textId="77777777" w:rsidR="00430400" w:rsidRPr="00430400" w:rsidRDefault="00430400" w:rsidP="00430400">
      <w:pPr>
        <w:spacing w:before="120" w:line="264" w:lineRule="auto"/>
        <w:rPr>
          <w:sz w:val="24"/>
        </w:rPr>
      </w:pPr>
    </w:p>
    <w:p w14:paraId="7902779C" w14:textId="4827E208" w:rsidR="00430400" w:rsidRPr="00430400" w:rsidRDefault="00430400" w:rsidP="00430400">
      <w:pPr>
        <w:spacing w:before="120" w:line="264" w:lineRule="auto"/>
        <w:rPr>
          <w:sz w:val="24"/>
        </w:rPr>
      </w:pPr>
      <w:r w:rsidRPr="00430400">
        <w:rPr>
          <w:sz w:val="24"/>
        </w:rPr>
        <w:t xml:space="preserve">The Lechner study </w:t>
      </w:r>
      <w:r w:rsidRPr="00430400">
        <w:rPr>
          <w:sz w:val="24"/>
        </w:rPr>
        <w:fldChar w:fldCharType="begin">
          <w:fldData xml:space="preserve">PEVuZE5vdGU+PENpdGU+PEF1dGhvcj5MZWNobmVyPC9BdXRob3I+PFllYXI+MjAxNzwvWWVhcj48
UmVjTnVtPjE0MTQ8L1JlY051bT48RGlzcGxheVRleHQ+KExlY2huZXIsIEphbnNzZW4gZXQgYWwu
IDIwMTcpPC9EaXNwbGF5VGV4dD48cmVjb3JkPjxyZWMtbnVtYmVyPjE0MTQ8L3JlYy1udW1iZXI+
PGZvcmVpZ24ta2V5cz48a2V5IGFwcD0iRU4iIGRiLWlkPSJ2enhkcGZ3ZHV4ZmVkMmV0OXBhdng5
OWp6c3N4ZWFwd3Q1cDUiIHRpbWVzdGFtcD0iMTUyMTA5OTQzMCI+MTQxNDwva2V5PjxrZXkgYXBw
PSJFTldlYiIgZGItaWQ9IiI+MDwva2V5PjwvZm9yZWlnbi1rZXlzPjxyZWYtdHlwZSBuYW1lPSJK
b3VybmFsIEFydGljbGUiPjE3PC9yZWYtdHlwZT48Y29udHJpYnV0b3JzPjxhdXRob3JzPjxhdXRo
b3I+TGVjaG5lciwgVy4gVi48L2F1dGhvcj48YXV0aG9yPkphbnNzZW4sIFQuPC9hdXRob3I+PGF1
dGhvcj5LYWhsZXIsIEMuIFcuPC9hdXRob3I+PGF1dGhvcj5BdWRyYWluLU1jR292ZXJuLCBKLjwv
YXV0aG9yPjxhdXRob3I+TGV2ZW50aGFsLCBBLiBNLjwvYXV0aG9yPjwvYXV0aG9ycz48L2NvbnRy
aWJ1dG9ycz48YXV0aC1hZGRyZXNzPkNlbnRlciBmb3IgQWxjb2hvbCBhbmQgQWRkaWN0aW9uIFN0
dWRpZXMsIEJyb3duIFVuaXZlcnNpdHksIFNjaG9vbCBvZiBQdWJsaWMgSGVhbHRoLCBQcm92aWRl
bmNlLCBSSSwgVVNBLiBFbGVjdHJvbmljIGFkZHJlc3M6IHdpbGxpYW1fbGVjaG5lckBicm93bi5l
ZHUuJiN4RDtDZW50ZXIgZm9yIEFsY29ob2wgYW5kIEFkZGljdGlvbiBTdHVkaWVzLCBCcm93biBV
bml2ZXJzaXR5LCBTY2hvb2wgb2YgUHVibGljIEhlYWx0aCwgUHJvdmlkZW5jZSwgUkksIFVTQS4m
I3hEO0RlcGFydG1lbnQgb2YgUHN5Y2hpYXRyeSwgVW5pdmVyc2l0eSBvZiBQZW5uc3lsdmFuaWEs
IFBlcmVsbWFuIFNjaG9vbCBvZiBNZWRpY2luZSwgUEEsIFVTQS4mI3hEO0RlcGFydG1lbnQgb2Yg
UHJldmVudGl2ZSBNZWRpY2luZSwgVW5pdmVyc2l0eSBvZiBTb3V0aGVybiBDYWxpZm9ybmlhLCBL
ZWNrIFNjaG9vbCBvZiBNZWRpY2luZSwgTG9zIEFuZ2VsZXMsIENBLCBVU0EuPC9hdXRoLWFkZHJl
c3M+PHRpdGxlcz48dGl0bGU+QmktZGlyZWN0aW9uYWwgYXNzb2NpYXRpb25zIG9mIGVsZWN0cm9u
aWMgYW5kIGNvbWJ1c3RpYmxlIGNpZ2FyZXR0ZSB1c2Ugb25zZXQgcGF0dGVybnMgd2l0aCBkZXBy
ZXNzaXZlIHN5bXB0b21zIGluIGFkb2xlc2NlbnRzPC90aXRsZT48c2Vjb25kYXJ5LXRpdGxlPlBy
ZXYgTWVkPC9zZWNvbmRhcnktdGl0bGU+PGFsdC10aXRsZT5QcmV2ZW50aXZlIG1lZGljaW5lPC9h
bHQtdGl0bGU+PC90aXRsZXM+PGFsdC1wZXJpb2RpY2FsPjxmdWxsLXRpdGxlPlByZXZlbnRpdmUg
TWVkaWNpbmU8L2Z1bGwtdGl0bGU+PC9hbHQtcGVyaW9kaWNhbD48cGFnZXM+NzMtNzg8L3BhZ2Vz
Pjx2b2x1bWU+OTY8L3ZvbHVtZT48ZWRpdGlvbj4yMDE2LzEyLzI4PC9lZGl0aW9uPjxrZXl3b3Jk
cz48a2V5d29yZD5BZG9sZXNjZW50PC9rZXl3b3JkPjxrZXl3b3JkPkFkb2xlc2NlbnQgQmVoYXZp
b3I8L2tleXdvcmQ+PGtleXdvcmQ+Q2lnYXJldHRlIFNtb2tpbmcvKmVwaWRlbWlvbG9neTwva2V5
d29yZD48a2V5d29yZD5EZXByZXNzaW9uLypldGhub2xvZ3k8L2tleXdvcmQ+PGtleXdvcmQ+RWxl
Y3Ryb25pYyBOaWNvdGluZSBEZWxpdmVyeSBTeXN0ZW1zLypzdGF0aXN0aWNzICZhbXA7IG51bWVy
aWNhbCBkYXRhPC9rZXl3b3JkPjxrZXl3b3JkPkZlbWFsZTwva2V5d29yZD48a2V5d29yZD5IdW1h
bnM8L2tleXdvcmQ+PGtleXdvcmQ+TG9zIEFuZ2VsZXM8L2tleXdvcmQ+PGtleXdvcmQ+TWFsZTwv
a2V5d29yZD48a2V5d29yZD5SaXNrIEZhY3RvcnM8L2tleXdvcmQ+PGtleXdvcmQ+QWRvbGVzY2Vu
dHM8L2tleXdvcmQ+PGtleXdvcmQ+RGVwcmVzc2lvbjwva2V5d29yZD48a2V5d29yZD5EZXByZXNz
aXZlIHN5bXB0b21zPC9rZXl3b3JkPjxrZXl3b3JkPkRldmVsb3BtZW50YWw8L2tleXdvcmQ+PGtl
eXdvcmQ+RS1jaWdhcmV0dGVzPC9rZXl3b3JkPjxrZXl3b3JkPkVsZWN0cm9uaWMgY2lnYXJldHRl
czwva2V5d29yZD48a2V5d29yZD5Hcm93dGggY3VydmUgbW9kZWw8L2tleXdvcmQ+PGtleXdvcmQ+
U3RydWN0dXJhbCBlcXVhdGlvbiBtb2RlbGluZzwva2V5d29yZD48L2tleXdvcmRzPjxkYXRlcz48
eWVhcj4yMDE3PC95ZWFyPjxwdWItZGF0ZXM+PGRhdGU+TWFyPC9kYXRlPjwvcHViLWRhdGVzPjwv
ZGF0ZXM+PGlzYm4+MDA5MS03NDM1PC9pc2JuPjxhY2Nlc3Npb24tbnVtPjI4MDI0ODU5PC9hY2Nl
c3Npb24tbnVtPjx1cmxzPjwvdXJscz48Y3VzdG9tMj5QTUM1NTEwNTk0PC9jdXN0b20yPjxjdXN0
b202Pk5JSE1TODczNDI1PC9jdXN0b202PjxlbGVjdHJvbmljLXJlc291cmNlLW51bT4xMC4xMDE2
L2oueXBtZWQuMjAxNi4xMi4wMzQ8L2VsZWN0cm9uaWMtcmVzb3VyY2UtbnVtPjxyZW1vdGUtZGF0
YWJhc2UtcHJvdmlkZXI+TkxNPC9yZW1vdGUtZGF0YWJhc2UtcHJvdmlkZXI+PGxhbmd1YWdlPmVu
ZzwvbGFuZ3VhZ2U+PC9yZWNvcmQ+PC9DaXRlPjwvRW5kTm90ZT5=
</w:fldData>
        </w:fldChar>
      </w:r>
      <w:r w:rsidRPr="00430400">
        <w:rPr>
          <w:sz w:val="24"/>
        </w:rPr>
        <w:instrText xml:space="preserve"> ADDIN EN.CITE </w:instrText>
      </w:r>
      <w:r w:rsidRPr="00430400">
        <w:rPr>
          <w:sz w:val="24"/>
        </w:rPr>
        <w:fldChar w:fldCharType="begin">
          <w:fldData xml:space="preserve">PEVuZE5vdGU+PENpdGU+PEF1dGhvcj5MZWNobmVyPC9BdXRob3I+PFllYXI+MjAxNzwvWWVhcj48
UmVjTnVtPjE0MTQ8L1JlY051bT48RGlzcGxheVRleHQ+KExlY2huZXIsIEphbnNzZW4gZXQgYWwu
IDIwMTcpPC9EaXNwbGF5VGV4dD48cmVjb3JkPjxyZWMtbnVtYmVyPjE0MTQ8L3JlYy1udW1iZXI+
PGZvcmVpZ24ta2V5cz48a2V5IGFwcD0iRU4iIGRiLWlkPSJ2enhkcGZ3ZHV4ZmVkMmV0OXBhdng5
OWp6c3N4ZWFwd3Q1cDUiIHRpbWVzdGFtcD0iMTUyMTA5OTQzMCI+MTQxNDwva2V5PjxrZXkgYXBw
PSJFTldlYiIgZGItaWQ9IiI+MDwva2V5PjwvZm9yZWlnbi1rZXlzPjxyZWYtdHlwZSBuYW1lPSJK
b3VybmFsIEFydGljbGUiPjE3PC9yZWYtdHlwZT48Y29udHJpYnV0b3JzPjxhdXRob3JzPjxhdXRo
b3I+TGVjaG5lciwgVy4gVi48L2F1dGhvcj48YXV0aG9yPkphbnNzZW4sIFQuPC9hdXRob3I+PGF1
dGhvcj5LYWhsZXIsIEMuIFcuPC9hdXRob3I+PGF1dGhvcj5BdWRyYWluLU1jR292ZXJuLCBKLjwv
YXV0aG9yPjxhdXRob3I+TGV2ZW50aGFsLCBBLiBNLjwvYXV0aG9yPjwvYXV0aG9ycz48L2NvbnRy
aWJ1dG9ycz48YXV0aC1hZGRyZXNzPkNlbnRlciBmb3IgQWxjb2hvbCBhbmQgQWRkaWN0aW9uIFN0
dWRpZXMsIEJyb3duIFVuaXZlcnNpdHksIFNjaG9vbCBvZiBQdWJsaWMgSGVhbHRoLCBQcm92aWRl
bmNlLCBSSSwgVVNBLiBFbGVjdHJvbmljIGFkZHJlc3M6IHdpbGxpYW1fbGVjaG5lckBicm93bi5l
ZHUuJiN4RDtDZW50ZXIgZm9yIEFsY29ob2wgYW5kIEFkZGljdGlvbiBTdHVkaWVzLCBCcm93biBV
bml2ZXJzaXR5LCBTY2hvb2wgb2YgUHVibGljIEhlYWx0aCwgUHJvdmlkZW5jZSwgUkksIFVTQS4m
I3hEO0RlcGFydG1lbnQgb2YgUHN5Y2hpYXRyeSwgVW5pdmVyc2l0eSBvZiBQZW5uc3lsdmFuaWEs
IFBlcmVsbWFuIFNjaG9vbCBvZiBNZWRpY2luZSwgUEEsIFVTQS4mI3hEO0RlcGFydG1lbnQgb2Yg
UHJldmVudGl2ZSBNZWRpY2luZSwgVW5pdmVyc2l0eSBvZiBTb3V0aGVybiBDYWxpZm9ybmlhLCBL
ZWNrIFNjaG9vbCBvZiBNZWRpY2luZSwgTG9zIEFuZ2VsZXMsIENBLCBVU0EuPC9hdXRoLWFkZHJl
c3M+PHRpdGxlcz48dGl0bGU+QmktZGlyZWN0aW9uYWwgYXNzb2NpYXRpb25zIG9mIGVsZWN0cm9u
aWMgYW5kIGNvbWJ1c3RpYmxlIGNpZ2FyZXR0ZSB1c2Ugb25zZXQgcGF0dGVybnMgd2l0aCBkZXBy
ZXNzaXZlIHN5bXB0b21zIGluIGFkb2xlc2NlbnRzPC90aXRsZT48c2Vjb25kYXJ5LXRpdGxlPlBy
ZXYgTWVkPC9zZWNvbmRhcnktdGl0bGU+PGFsdC10aXRsZT5QcmV2ZW50aXZlIG1lZGljaW5lPC9h
bHQtdGl0bGU+PC90aXRsZXM+PGFsdC1wZXJpb2RpY2FsPjxmdWxsLXRpdGxlPlByZXZlbnRpdmUg
TWVkaWNpbmU8L2Z1bGwtdGl0bGU+PC9hbHQtcGVyaW9kaWNhbD48cGFnZXM+NzMtNzg8L3BhZ2Vz
Pjx2b2x1bWU+OTY8L3ZvbHVtZT48ZWRpdGlvbj4yMDE2LzEyLzI4PC9lZGl0aW9uPjxrZXl3b3Jk
cz48a2V5d29yZD5BZG9sZXNjZW50PC9rZXl3b3JkPjxrZXl3b3JkPkFkb2xlc2NlbnQgQmVoYXZp
b3I8L2tleXdvcmQ+PGtleXdvcmQ+Q2lnYXJldHRlIFNtb2tpbmcvKmVwaWRlbWlvbG9neTwva2V5
d29yZD48a2V5d29yZD5EZXByZXNzaW9uLypldGhub2xvZ3k8L2tleXdvcmQ+PGtleXdvcmQ+RWxl
Y3Ryb25pYyBOaWNvdGluZSBEZWxpdmVyeSBTeXN0ZW1zLypzdGF0aXN0aWNzICZhbXA7IG51bWVy
aWNhbCBkYXRhPC9rZXl3b3JkPjxrZXl3b3JkPkZlbWFsZTwva2V5d29yZD48a2V5d29yZD5IdW1h
bnM8L2tleXdvcmQ+PGtleXdvcmQ+TG9zIEFuZ2VsZXM8L2tleXdvcmQ+PGtleXdvcmQ+TWFsZTwv
a2V5d29yZD48a2V5d29yZD5SaXNrIEZhY3RvcnM8L2tleXdvcmQ+PGtleXdvcmQ+QWRvbGVzY2Vu
dHM8L2tleXdvcmQ+PGtleXdvcmQ+RGVwcmVzc2lvbjwva2V5d29yZD48a2V5d29yZD5EZXByZXNz
aXZlIHN5bXB0b21zPC9rZXl3b3JkPjxrZXl3b3JkPkRldmVsb3BtZW50YWw8L2tleXdvcmQ+PGtl
eXdvcmQ+RS1jaWdhcmV0dGVzPC9rZXl3b3JkPjxrZXl3b3JkPkVsZWN0cm9uaWMgY2lnYXJldHRl
czwva2V5d29yZD48a2V5d29yZD5Hcm93dGggY3VydmUgbW9kZWw8L2tleXdvcmQ+PGtleXdvcmQ+
U3RydWN0dXJhbCBlcXVhdGlvbiBtb2RlbGluZzwva2V5d29yZD48L2tleXdvcmRzPjxkYXRlcz48
eWVhcj4yMDE3PC95ZWFyPjxwdWItZGF0ZXM+PGRhdGU+TWFyPC9kYXRlPjwvcHViLWRhdGVzPjwv
ZGF0ZXM+PGlzYm4+MDA5MS03NDM1PC9pc2JuPjxhY2Nlc3Npb24tbnVtPjI4MDI0ODU5PC9hY2Nl
c3Npb24tbnVtPjx1cmxzPjwvdXJscz48Y3VzdG9tMj5QTUM1NTEwNTk0PC9jdXN0b20yPjxjdXN0
b202Pk5JSE1TODczNDI1PC9jdXN0b202PjxlbGVjdHJvbmljLXJlc291cmNlLW51bT4xMC4xMDE2
L2oueXBtZWQuMjAxNi4xMi4wMzQ8L2VsZWN0cm9uaWMtcmVzb3VyY2UtbnVtPjxyZW1vdGUtZGF0
YWJhc2UtcHJvdmlkZXI+TkxNPC9yZW1vdGUtZGF0YWJhc2UtcHJvdmlkZXI+PGxhbmd1YWdlPmVu
ZzwvbGFuZ3VhZ2U+PC9yZWNvcmQ+PC9DaXRlPjwvRW5kTm90ZT5=
</w:fldData>
        </w:fldChar>
      </w:r>
      <w:r w:rsidRPr="00430400">
        <w:rPr>
          <w:sz w:val="24"/>
        </w:rPr>
        <w:instrText xml:space="preserve"> ADDIN EN.CITE.DATA </w:instrText>
      </w:r>
      <w:r w:rsidRPr="00430400">
        <w:rPr>
          <w:sz w:val="24"/>
        </w:rPr>
      </w:r>
      <w:r w:rsidRPr="00430400">
        <w:rPr>
          <w:sz w:val="24"/>
        </w:rPr>
        <w:fldChar w:fldCharType="end"/>
      </w:r>
      <w:r w:rsidRPr="00430400">
        <w:rPr>
          <w:sz w:val="24"/>
        </w:rPr>
      </w:r>
      <w:r w:rsidRPr="00430400">
        <w:rPr>
          <w:sz w:val="24"/>
        </w:rPr>
        <w:fldChar w:fldCharType="separate"/>
      </w:r>
      <w:r w:rsidRPr="00430400">
        <w:rPr>
          <w:noProof/>
          <w:sz w:val="24"/>
        </w:rPr>
        <w:t>(Lechner, Janssen et al. 2017)</w:t>
      </w:r>
      <w:r w:rsidRPr="00430400">
        <w:rPr>
          <w:sz w:val="24"/>
        </w:rPr>
        <w:fldChar w:fldCharType="end"/>
      </w:r>
      <w:r w:rsidRPr="00430400">
        <w:rPr>
          <w:sz w:val="24"/>
        </w:rPr>
        <w:t xml:space="preserve"> also highlights that young people with depression take up and maintain use of e</w:t>
      </w:r>
      <w:r w:rsidRPr="00430400">
        <w:rPr>
          <w:sz w:val="24"/>
        </w:rPr>
        <w:noBreakHyphen/>
        <w:t xml:space="preserve">cigarettes. The US prospective cohort study </w:t>
      </w:r>
      <w:r w:rsidRPr="00430400">
        <w:rPr>
          <w:sz w:val="24"/>
        </w:rPr>
        <w:fldChar w:fldCharType="begin">
          <w:fldData xml:space="preserve">PEVuZE5vdGU+PENpdGU+PEF1dGhvcj5MZWNobmVyPC9BdXRob3I+PFllYXI+MjAxNzwvWWVhcj48
UmVjTnVtPjE0MTQ8L1JlY051bT48RGlzcGxheVRleHQ+KExlY2huZXIsIEphbnNzZW4gZXQgYWwu
IDIwMTcpPC9EaXNwbGF5VGV4dD48cmVjb3JkPjxyZWMtbnVtYmVyPjE0MTQ8L3JlYy1udW1iZXI+
PGZvcmVpZ24ta2V5cz48a2V5IGFwcD0iRU4iIGRiLWlkPSJ2enhkcGZ3ZHV4ZmVkMmV0OXBhdng5
OWp6c3N4ZWFwd3Q1cDUiIHRpbWVzdGFtcD0iMTUyMTA5OTQzMCI+MTQxNDwva2V5PjxrZXkgYXBw
PSJFTldlYiIgZGItaWQ9IiI+MDwva2V5PjwvZm9yZWlnbi1rZXlzPjxyZWYtdHlwZSBuYW1lPSJK
b3VybmFsIEFydGljbGUiPjE3PC9yZWYtdHlwZT48Y29udHJpYnV0b3JzPjxhdXRob3JzPjxhdXRo
b3I+TGVjaG5lciwgVy4gVi48L2F1dGhvcj48YXV0aG9yPkphbnNzZW4sIFQuPC9hdXRob3I+PGF1
dGhvcj5LYWhsZXIsIEMuIFcuPC9hdXRob3I+PGF1dGhvcj5BdWRyYWluLU1jR292ZXJuLCBKLjwv
YXV0aG9yPjxhdXRob3I+TGV2ZW50aGFsLCBBLiBNLjwvYXV0aG9yPjwvYXV0aG9ycz48L2NvbnRy
aWJ1dG9ycz48YXV0aC1hZGRyZXNzPkNlbnRlciBmb3IgQWxjb2hvbCBhbmQgQWRkaWN0aW9uIFN0
dWRpZXMsIEJyb3duIFVuaXZlcnNpdHksIFNjaG9vbCBvZiBQdWJsaWMgSGVhbHRoLCBQcm92aWRl
bmNlLCBSSSwgVVNBLiBFbGVjdHJvbmljIGFkZHJlc3M6IHdpbGxpYW1fbGVjaG5lckBicm93bi5l
ZHUuJiN4RDtDZW50ZXIgZm9yIEFsY29ob2wgYW5kIEFkZGljdGlvbiBTdHVkaWVzLCBCcm93biBV
bml2ZXJzaXR5LCBTY2hvb2wgb2YgUHVibGljIEhlYWx0aCwgUHJvdmlkZW5jZSwgUkksIFVTQS4m
I3hEO0RlcGFydG1lbnQgb2YgUHN5Y2hpYXRyeSwgVW5pdmVyc2l0eSBvZiBQZW5uc3lsdmFuaWEs
IFBlcmVsbWFuIFNjaG9vbCBvZiBNZWRpY2luZSwgUEEsIFVTQS4mI3hEO0RlcGFydG1lbnQgb2Yg
UHJldmVudGl2ZSBNZWRpY2luZSwgVW5pdmVyc2l0eSBvZiBTb3V0aGVybiBDYWxpZm9ybmlhLCBL
ZWNrIFNjaG9vbCBvZiBNZWRpY2luZSwgTG9zIEFuZ2VsZXMsIENBLCBVU0EuPC9hdXRoLWFkZHJl
c3M+PHRpdGxlcz48dGl0bGU+QmktZGlyZWN0aW9uYWwgYXNzb2NpYXRpb25zIG9mIGVsZWN0cm9u
aWMgYW5kIGNvbWJ1c3RpYmxlIGNpZ2FyZXR0ZSB1c2Ugb25zZXQgcGF0dGVybnMgd2l0aCBkZXBy
ZXNzaXZlIHN5bXB0b21zIGluIGFkb2xlc2NlbnRzPC90aXRsZT48c2Vjb25kYXJ5LXRpdGxlPlBy
ZXYgTWVkPC9zZWNvbmRhcnktdGl0bGU+PGFsdC10aXRsZT5QcmV2ZW50aXZlIG1lZGljaW5lPC9h
bHQtdGl0bGU+PC90aXRsZXM+PGFsdC1wZXJpb2RpY2FsPjxmdWxsLXRpdGxlPlByZXZlbnRpdmUg
TWVkaWNpbmU8L2Z1bGwtdGl0bGU+PC9hbHQtcGVyaW9kaWNhbD48cGFnZXM+NzMtNzg8L3BhZ2Vz
Pjx2b2x1bWU+OTY8L3ZvbHVtZT48ZWRpdGlvbj4yMDE2LzEyLzI4PC9lZGl0aW9uPjxrZXl3b3Jk
cz48a2V5d29yZD5BZG9sZXNjZW50PC9rZXl3b3JkPjxrZXl3b3JkPkFkb2xlc2NlbnQgQmVoYXZp
b3I8L2tleXdvcmQ+PGtleXdvcmQ+Q2lnYXJldHRlIFNtb2tpbmcvKmVwaWRlbWlvbG9neTwva2V5
d29yZD48a2V5d29yZD5EZXByZXNzaW9uLypldGhub2xvZ3k8L2tleXdvcmQ+PGtleXdvcmQ+RWxl
Y3Ryb25pYyBOaWNvdGluZSBEZWxpdmVyeSBTeXN0ZW1zLypzdGF0aXN0aWNzICZhbXA7IG51bWVy
aWNhbCBkYXRhPC9rZXl3b3JkPjxrZXl3b3JkPkZlbWFsZTwva2V5d29yZD48a2V5d29yZD5IdW1h
bnM8L2tleXdvcmQ+PGtleXdvcmQ+TG9zIEFuZ2VsZXM8L2tleXdvcmQ+PGtleXdvcmQ+TWFsZTwv
a2V5d29yZD48a2V5d29yZD5SaXNrIEZhY3RvcnM8L2tleXdvcmQ+PGtleXdvcmQ+QWRvbGVzY2Vu
dHM8L2tleXdvcmQ+PGtleXdvcmQ+RGVwcmVzc2lvbjwva2V5d29yZD48a2V5d29yZD5EZXByZXNz
aXZlIHN5bXB0b21zPC9rZXl3b3JkPjxrZXl3b3JkPkRldmVsb3BtZW50YWw8L2tleXdvcmQ+PGtl
eXdvcmQ+RS1jaWdhcmV0dGVzPC9rZXl3b3JkPjxrZXl3b3JkPkVsZWN0cm9uaWMgY2lnYXJldHRl
czwva2V5d29yZD48a2V5d29yZD5Hcm93dGggY3VydmUgbW9kZWw8L2tleXdvcmQ+PGtleXdvcmQ+
U3RydWN0dXJhbCBlcXVhdGlvbiBtb2RlbGluZzwva2V5d29yZD48L2tleXdvcmRzPjxkYXRlcz48
eWVhcj4yMDE3PC95ZWFyPjxwdWItZGF0ZXM+PGRhdGU+TWFyPC9kYXRlPjwvcHViLWRhdGVzPjwv
ZGF0ZXM+PGlzYm4+MDA5MS03NDM1PC9pc2JuPjxhY2Nlc3Npb24tbnVtPjI4MDI0ODU5PC9hY2Nl
c3Npb24tbnVtPjx1cmxzPjwvdXJscz48Y3VzdG9tMj5QTUM1NTEwNTk0PC9jdXN0b20yPjxjdXN0
b202Pk5JSE1TODczNDI1PC9jdXN0b202PjxlbGVjdHJvbmljLXJlc291cmNlLW51bT4xMC4xMDE2
L2oueXBtZWQuMjAxNi4xMi4wMzQ8L2VsZWN0cm9uaWMtcmVzb3VyY2UtbnVtPjxyZW1vdGUtZGF0
YWJhc2UtcHJvdmlkZXI+TkxNPC9yZW1vdGUtZGF0YWJhc2UtcHJvdmlkZXI+PGxhbmd1YWdlPmVu
ZzwvbGFuZ3VhZ2U+PC9yZWNvcmQ+PC9DaXRlPjwvRW5kTm90ZT5=
</w:fldData>
        </w:fldChar>
      </w:r>
      <w:r w:rsidRPr="00430400">
        <w:rPr>
          <w:sz w:val="24"/>
        </w:rPr>
        <w:instrText xml:space="preserve"> ADDIN EN.CITE </w:instrText>
      </w:r>
      <w:r w:rsidRPr="00430400">
        <w:rPr>
          <w:sz w:val="24"/>
        </w:rPr>
        <w:fldChar w:fldCharType="begin">
          <w:fldData xml:space="preserve">PEVuZE5vdGU+PENpdGU+PEF1dGhvcj5MZWNobmVyPC9BdXRob3I+PFllYXI+MjAxNzwvWWVhcj48
UmVjTnVtPjE0MTQ8L1JlY051bT48RGlzcGxheVRleHQ+KExlY2huZXIsIEphbnNzZW4gZXQgYWwu
IDIwMTcpPC9EaXNwbGF5VGV4dD48cmVjb3JkPjxyZWMtbnVtYmVyPjE0MTQ8L3JlYy1udW1iZXI+
PGZvcmVpZ24ta2V5cz48a2V5IGFwcD0iRU4iIGRiLWlkPSJ2enhkcGZ3ZHV4ZmVkMmV0OXBhdng5
OWp6c3N4ZWFwd3Q1cDUiIHRpbWVzdGFtcD0iMTUyMTA5OTQzMCI+MTQxNDwva2V5PjxrZXkgYXBw
PSJFTldlYiIgZGItaWQ9IiI+MDwva2V5PjwvZm9yZWlnbi1rZXlzPjxyZWYtdHlwZSBuYW1lPSJK
b3VybmFsIEFydGljbGUiPjE3PC9yZWYtdHlwZT48Y29udHJpYnV0b3JzPjxhdXRob3JzPjxhdXRo
b3I+TGVjaG5lciwgVy4gVi48L2F1dGhvcj48YXV0aG9yPkphbnNzZW4sIFQuPC9hdXRob3I+PGF1
dGhvcj5LYWhsZXIsIEMuIFcuPC9hdXRob3I+PGF1dGhvcj5BdWRyYWluLU1jR292ZXJuLCBKLjwv
YXV0aG9yPjxhdXRob3I+TGV2ZW50aGFsLCBBLiBNLjwvYXV0aG9yPjwvYXV0aG9ycz48L2NvbnRy
aWJ1dG9ycz48YXV0aC1hZGRyZXNzPkNlbnRlciBmb3IgQWxjb2hvbCBhbmQgQWRkaWN0aW9uIFN0
dWRpZXMsIEJyb3duIFVuaXZlcnNpdHksIFNjaG9vbCBvZiBQdWJsaWMgSGVhbHRoLCBQcm92aWRl
bmNlLCBSSSwgVVNBLiBFbGVjdHJvbmljIGFkZHJlc3M6IHdpbGxpYW1fbGVjaG5lckBicm93bi5l
ZHUuJiN4RDtDZW50ZXIgZm9yIEFsY29ob2wgYW5kIEFkZGljdGlvbiBTdHVkaWVzLCBCcm93biBV
bml2ZXJzaXR5LCBTY2hvb2wgb2YgUHVibGljIEhlYWx0aCwgUHJvdmlkZW5jZSwgUkksIFVTQS4m
I3hEO0RlcGFydG1lbnQgb2YgUHN5Y2hpYXRyeSwgVW5pdmVyc2l0eSBvZiBQZW5uc3lsdmFuaWEs
IFBlcmVsbWFuIFNjaG9vbCBvZiBNZWRpY2luZSwgUEEsIFVTQS4mI3hEO0RlcGFydG1lbnQgb2Yg
UHJldmVudGl2ZSBNZWRpY2luZSwgVW5pdmVyc2l0eSBvZiBTb3V0aGVybiBDYWxpZm9ybmlhLCBL
ZWNrIFNjaG9vbCBvZiBNZWRpY2luZSwgTG9zIEFuZ2VsZXMsIENBLCBVU0EuPC9hdXRoLWFkZHJl
c3M+PHRpdGxlcz48dGl0bGU+QmktZGlyZWN0aW9uYWwgYXNzb2NpYXRpb25zIG9mIGVsZWN0cm9u
aWMgYW5kIGNvbWJ1c3RpYmxlIGNpZ2FyZXR0ZSB1c2Ugb25zZXQgcGF0dGVybnMgd2l0aCBkZXBy
ZXNzaXZlIHN5bXB0b21zIGluIGFkb2xlc2NlbnRzPC90aXRsZT48c2Vjb25kYXJ5LXRpdGxlPlBy
ZXYgTWVkPC9zZWNvbmRhcnktdGl0bGU+PGFsdC10aXRsZT5QcmV2ZW50aXZlIG1lZGljaW5lPC9h
bHQtdGl0bGU+PC90aXRsZXM+PGFsdC1wZXJpb2RpY2FsPjxmdWxsLXRpdGxlPlByZXZlbnRpdmUg
TWVkaWNpbmU8L2Z1bGwtdGl0bGU+PC9hbHQtcGVyaW9kaWNhbD48cGFnZXM+NzMtNzg8L3BhZ2Vz
Pjx2b2x1bWU+OTY8L3ZvbHVtZT48ZWRpdGlvbj4yMDE2LzEyLzI4PC9lZGl0aW9uPjxrZXl3b3Jk
cz48a2V5d29yZD5BZG9sZXNjZW50PC9rZXl3b3JkPjxrZXl3b3JkPkFkb2xlc2NlbnQgQmVoYXZp
b3I8L2tleXdvcmQ+PGtleXdvcmQ+Q2lnYXJldHRlIFNtb2tpbmcvKmVwaWRlbWlvbG9neTwva2V5
d29yZD48a2V5d29yZD5EZXByZXNzaW9uLypldGhub2xvZ3k8L2tleXdvcmQ+PGtleXdvcmQ+RWxl
Y3Ryb25pYyBOaWNvdGluZSBEZWxpdmVyeSBTeXN0ZW1zLypzdGF0aXN0aWNzICZhbXA7IG51bWVy
aWNhbCBkYXRhPC9rZXl3b3JkPjxrZXl3b3JkPkZlbWFsZTwva2V5d29yZD48a2V5d29yZD5IdW1h
bnM8L2tleXdvcmQ+PGtleXdvcmQ+TG9zIEFuZ2VsZXM8L2tleXdvcmQ+PGtleXdvcmQ+TWFsZTwv
a2V5d29yZD48a2V5d29yZD5SaXNrIEZhY3RvcnM8L2tleXdvcmQ+PGtleXdvcmQ+QWRvbGVzY2Vu
dHM8L2tleXdvcmQ+PGtleXdvcmQ+RGVwcmVzc2lvbjwva2V5d29yZD48a2V5d29yZD5EZXByZXNz
aXZlIHN5bXB0b21zPC9rZXl3b3JkPjxrZXl3b3JkPkRldmVsb3BtZW50YWw8L2tleXdvcmQ+PGtl
eXdvcmQ+RS1jaWdhcmV0dGVzPC9rZXl3b3JkPjxrZXl3b3JkPkVsZWN0cm9uaWMgY2lnYXJldHRl
czwva2V5d29yZD48a2V5d29yZD5Hcm93dGggY3VydmUgbW9kZWw8L2tleXdvcmQ+PGtleXdvcmQ+
U3RydWN0dXJhbCBlcXVhdGlvbiBtb2RlbGluZzwva2V5d29yZD48L2tleXdvcmRzPjxkYXRlcz48
eWVhcj4yMDE3PC95ZWFyPjxwdWItZGF0ZXM+PGRhdGU+TWFyPC9kYXRlPjwvcHViLWRhdGVzPjwv
ZGF0ZXM+PGlzYm4+MDA5MS03NDM1PC9pc2JuPjxhY2Nlc3Npb24tbnVtPjI4MDI0ODU5PC9hY2Nl
c3Npb24tbnVtPjx1cmxzPjwvdXJscz48Y3VzdG9tMj5QTUM1NTEwNTk0PC9jdXN0b20yPjxjdXN0
b202Pk5JSE1TODczNDI1PC9jdXN0b202PjxlbGVjdHJvbmljLXJlc291cmNlLW51bT4xMC4xMDE2
L2oueXBtZWQuMjAxNi4xMi4wMzQ8L2VsZWN0cm9uaWMtcmVzb3VyY2UtbnVtPjxyZW1vdGUtZGF0
YWJhc2UtcHJvdmlkZXI+TkxNPC9yZW1vdGUtZGF0YWJhc2UtcHJvdmlkZXI+PGxhbmd1YWdlPmVu
ZzwvbGFuZ3VhZ2U+PC9yZWNvcmQ+PC9DaXRlPjwvRW5kTm90ZT5=
</w:fldData>
        </w:fldChar>
      </w:r>
      <w:r w:rsidRPr="00430400">
        <w:rPr>
          <w:sz w:val="24"/>
        </w:rPr>
        <w:instrText xml:space="preserve"> ADDIN EN.CITE.DATA </w:instrText>
      </w:r>
      <w:r w:rsidRPr="00430400">
        <w:rPr>
          <w:sz w:val="24"/>
        </w:rPr>
      </w:r>
      <w:r w:rsidRPr="00430400">
        <w:rPr>
          <w:sz w:val="24"/>
        </w:rPr>
        <w:fldChar w:fldCharType="end"/>
      </w:r>
      <w:r w:rsidRPr="00430400">
        <w:rPr>
          <w:sz w:val="24"/>
        </w:rPr>
      </w:r>
      <w:r w:rsidRPr="00430400">
        <w:rPr>
          <w:sz w:val="24"/>
        </w:rPr>
        <w:fldChar w:fldCharType="separate"/>
      </w:r>
      <w:r w:rsidRPr="00430400">
        <w:rPr>
          <w:noProof/>
          <w:sz w:val="24"/>
        </w:rPr>
        <w:t>(Lechner, Janssen et al. 2017)</w:t>
      </w:r>
      <w:r w:rsidRPr="00430400">
        <w:rPr>
          <w:sz w:val="24"/>
        </w:rPr>
        <w:fldChar w:fldCharType="end"/>
      </w:r>
      <w:r w:rsidRPr="00430400">
        <w:rPr>
          <w:sz w:val="24"/>
        </w:rPr>
        <w:t xml:space="preserve"> considered the bi</w:t>
      </w:r>
      <w:r w:rsidRPr="00430400">
        <w:rPr>
          <w:sz w:val="24"/>
        </w:rPr>
        <w:noBreakHyphen/>
        <w:t>directional relationship between e</w:t>
      </w:r>
      <w:r w:rsidRPr="00430400">
        <w:rPr>
          <w:sz w:val="24"/>
        </w:rPr>
        <w:noBreakHyphen/>
        <w:t>cigarette uptake and sustained use and depressive symptoms in adolescents (n=3</w:t>
      </w:r>
      <w:r w:rsidR="00735A9C">
        <w:rPr>
          <w:sz w:val="24"/>
        </w:rPr>
        <w:t>,</w:t>
      </w:r>
      <w:r w:rsidRPr="00430400">
        <w:rPr>
          <w:sz w:val="24"/>
        </w:rPr>
        <w:t>383, mean baseline age 14.1 years). Higher baseline depressive symptoms predicted subsequent use of cigarette (OR=1.02, 95% CI=1.01</w:t>
      </w:r>
      <w:r w:rsidRPr="00430400">
        <w:rPr>
          <w:sz w:val="24"/>
        </w:rPr>
        <w:noBreakHyphen/>
        <w:t>1.05), e</w:t>
      </w:r>
      <w:r w:rsidRPr="00430400">
        <w:rPr>
          <w:sz w:val="24"/>
        </w:rPr>
        <w:noBreakHyphen/>
        <w:t>cigarette (OR=1.01, CI=1.003</w:t>
      </w:r>
      <w:r w:rsidRPr="00430400">
        <w:rPr>
          <w:sz w:val="24"/>
        </w:rPr>
        <w:noBreakHyphen/>
        <w:t>1.02), and dual use of both products (OR=1.02, CI=1.003</w:t>
      </w:r>
      <w:r w:rsidRPr="00430400">
        <w:rPr>
          <w:sz w:val="24"/>
        </w:rPr>
        <w:noBreakHyphen/>
        <w:t>1.04) but the odds ratios are very small. Conversely, sustained use of e</w:t>
      </w:r>
      <w:r w:rsidRPr="00430400">
        <w:rPr>
          <w:sz w:val="24"/>
        </w:rPr>
        <w:noBreakHyphen/>
        <w:t>cigarettes over 12 months was associated with a greater rate of increase in depressive symptoms over time (when compared with non</w:t>
      </w:r>
      <w:r w:rsidRPr="00430400">
        <w:rPr>
          <w:sz w:val="24"/>
        </w:rPr>
        <w:noBreakHyphen/>
        <w:t xml:space="preserve">users) (b=1.272, SE=0.513, p=0.01). </w:t>
      </w:r>
    </w:p>
    <w:p w14:paraId="6EB3A3F7" w14:textId="77777777" w:rsidR="00430400" w:rsidRPr="00430400" w:rsidRDefault="00430400" w:rsidP="00430400">
      <w:pPr>
        <w:spacing w:before="120" w:line="264" w:lineRule="auto"/>
        <w:rPr>
          <w:sz w:val="24"/>
        </w:rPr>
      </w:pPr>
      <w:r w:rsidRPr="00430400">
        <w:rPr>
          <w:sz w:val="24"/>
        </w:rPr>
        <w:t>It should be noted that for depressive symptoms at 12 months follow up, only self</w:t>
      </w:r>
      <w:r w:rsidRPr="00430400">
        <w:rPr>
          <w:sz w:val="24"/>
        </w:rPr>
        <w:noBreakHyphen/>
        <w:t xml:space="preserve">reported symptoms for the past week were used in analysis (based on Center for Epidemiological </w:t>
      </w:r>
      <w:r w:rsidRPr="00430400">
        <w:rPr>
          <w:sz w:val="24"/>
        </w:rPr>
        <w:lastRenderedPageBreak/>
        <w:t>Studies</w:t>
      </w:r>
      <w:r w:rsidRPr="00430400">
        <w:rPr>
          <w:sz w:val="24"/>
        </w:rPr>
        <w:noBreakHyphen/>
        <w:t>Depression Scale, CES</w:t>
      </w:r>
      <w:r w:rsidRPr="00430400">
        <w:rPr>
          <w:sz w:val="24"/>
        </w:rPr>
        <w:noBreakHyphen/>
        <w:t>D). Therefore the study suggests that young people with depression are more likely to use e</w:t>
      </w:r>
      <w:r w:rsidRPr="00430400">
        <w:rPr>
          <w:sz w:val="24"/>
        </w:rPr>
        <w:noBreakHyphen/>
        <w:t>cigarettes (and/or conventional cigarettes) and, conversely, people who use e</w:t>
      </w:r>
      <w:r w:rsidRPr="00430400">
        <w:rPr>
          <w:sz w:val="24"/>
        </w:rPr>
        <w:noBreakHyphen/>
        <w:t xml:space="preserve">cigarettes over a 12 month period are more likely to show an increase in depressive symptoms. However, this is the expression of an association rather than implying causality. </w:t>
      </w:r>
    </w:p>
    <w:p w14:paraId="7CA62427" w14:textId="77777777" w:rsidR="00430400" w:rsidRPr="00430400" w:rsidRDefault="00430400" w:rsidP="00430400">
      <w:pPr>
        <w:spacing w:before="120" w:line="264" w:lineRule="auto"/>
        <w:rPr>
          <w:sz w:val="24"/>
        </w:rPr>
      </w:pPr>
    </w:p>
    <w:p w14:paraId="0CC5DBE4" w14:textId="77777777" w:rsidR="00430400" w:rsidRPr="00430400" w:rsidRDefault="00430400" w:rsidP="00430400">
      <w:pPr>
        <w:pStyle w:val="Heading3"/>
      </w:pPr>
      <w:r w:rsidRPr="00430400">
        <w:t xml:space="preserve">Oral health </w:t>
      </w:r>
    </w:p>
    <w:p w14:paraId="1D9166B6" w14:textId="77777777" w:rsidR="00430400" w:rsidRPr="00430400" w:rsidRDefault="00430400" w:rsidP="00430400">
      <w:pPr>
        <w:spacing w:before="120" w:line="264" w:lineRule="auto"/>
        <w:rPr>
          <w:sz w:val="24"/>
        </w:rPr>
      </w:pPr>
      <w:r w:rsidRPr="00430400">
        <w:rPr>
          <w:sz w:val="24"/>
        </w:rPr>
        <w:t>A Saudi Arabian case</w:t>
      </w:r>
      <w:r w:rsidRPr="00430400">
        <w:rPr>
          <w:sz w:val="24"/>
        </w:rPr>
        <w:noBreakHyphen/>
        <w:t xml:space="preserve">control study (n=94) by Javed et al. </w:t>
      </w:r>
      <w:r w:rsidRPr="00430400">
        <w:rPr>
          <w:sz w:val="24"/>
        </w:rPr>
        <w:fldChar w:fldCharType="begin">
          <w:fldData xml:space="preserve">PEVuZE5vdGU+PENpdGU+PEF1dGhvcj5KYXZlZDwvQXV0aG9yPjxZZWFyPjIwMTc8L1llYXI+PFJl
Y051bT4xMDY4PC9SZWNOdW0+PERpc3BsYXlUZXh0PihKYXZlZCwgQWJkdWxqYWJiYXIgZXQgYWwu
IDIwMTcpPC9EaXNwbGF5VGV4dD48cmVjb3JkPjxyZWMtbnVtYmVyPjEwNjg8L3JlYy1udW1iZXI+
PGZvcmVpZ24ta2V5cz48a2V5IGFwcD0iRU4iIGRiLWlkPSJ2enhkcGZ3ZHV4ZmVkMmV0OXBhdng5
OWp6c3N4ZWFwd3Q1cDUiIHRpbWVzdGFtcD0iMTUyMTA5OTM2MSI+MTA2ODwva2V5PjxrZXkgYXBw
PSJFTldlYiIgZGItaWQ9IiI+MDwva2V5PjwvZm9yZWlnbi1rZXlzPjxyZWYtdHlwZSBuYW1lPSJK
b3VybmFsIEFydGljbGUiPjE3PC9yZWYtdHlwZT48Y29udHJpYnV0b3JzPjxhdXRob3JzPjxhdXRo
b3I+SmF2ZWQsIEYuPC9hdXRob3I+PGF1dGhvcj5BYmR1bGphYmJhciwgVC48L2F1dGhvcj48YXV0
aG9yPlZvaHJhLCBGLjwvYXV0aG9yPjxhdXRob3I+TWFsbXN0cm9tLCBILjwvYXV0aG9yPjxhdXRo
b3I+UmFobWFuLCBJLjwvYXV0aG9yPjxhdXRob3I+Um9tYW5vcywgRy4gRS48L2F1dGhvcj48L2F1
dGhvcnM+PC9jb250cmlidXRvcnM+PGF1dGgtYWRkcmVzcz5EZXBhcnRtZW50IG9mIEdlbmVyYWwg
RGVudGlzdHJ5LCBFYXN0bWFuIEluc3RpdHV0ZSBmb3IgT3JhbCBIZWFsdGgsIFVuaXZlcnNpdHkg
b2YgUm9jaGVzdGVyLCBSb2NoZXN0ZXIsIE5ZLiYjeEQ7RGVwYXJ0bWVudCBvZiBQcm9zdGhldGlj
IERlbnRhbCBTY2llbmNlcywgQ29sbGVnZSBvZiBEZW50aXN0cnksIEtpbmcgU2F1ZCBVbml2ZXJz
aXR5LCBSaXlhZGgsIFNhdWRpIEFyYWJpYS4mI3hEO0RlcGFydG1lbnQgb2YgRW52aXJvbm1lbnRh
bCBNZWRpY2luZSwgVW5pdmVyc2l0eSBvZiBSb2NoZXN0ZXIgTWVkaWNhbCBDZW50ZXIsIFJvY2hl
c3RlciwgTlkuJiN4RDtEZXBhcnRtZW50IG9mIE9yYWwgU3VyZ2VyeSBhbmQgSW1wbGFudCBEZW50
aXN0cnksIERlbnRhbCBTY2hvb2wsIEpvaGFubiBXb2xmZ2FuZyBHb2V0aGUsIFVuaXZlcnNpdHkg
b2YgRnJhbmtmdXJ0LCBGcmFua2Z1cnQsIEdlcm1hbnkuJiN4RDtEZXBhcnRtZW50IG9mIFBlcmlv
ZG9udG9sb2d5LCBTY2hvb2wgb2YgRGVudGFsIE1lZGljaW5lLCBTdG9ueSBCcm9vayBVbml2ZXJz
aXR5LCBTdG9ueSBCcm9vaywgTlkuPC9hdXRoLWFkZHJlc3M+PHRpdGxlcz48dGl0bGU+Q29tcGFy
aXNvbiBvZiBQZXJpb2RvbnRhbCBQYXJhbWV0ZXJzIGFuZCBTZWxmLVBlcmNlaXZlZCBPcmFsIFN5
bXB0b21zIEFtb25nIENpZ2FyZXR0ZSBTbW9rZXJzLCBJbmRpdmlkdWFscyBWYXBpbmcgRWxlY3Ry
b25pYyBDaWdhcmV0dGVzLCBhbmQgTmV2ZXItU21va2VyczwvdGl0bGU+PHNlY29uZGFyeS10aXRs
ZT5KIFBlcmlvZG9udG9sPC9zZWNvbmRhcnktdGl0bGU+PGFsdC10aXRsZT5Kb3VybmFsIG9mIHBl
cmlvZG9udG9sb2d5PC9hbHQtdGl0bGU+PC90aXRsZXM+PHBlcmlvZGljYWw+PGZ1bGwtdGl0bGU+
SiBQZXJpb2RvbnRvbDwvZnVsbC10aXRsZT48YWJici0xPkpvdXJuYWwgb2YgcGVyaW9kb250b2xv
Z3k8L2FiYnItMT48L3BlcmlvZGljYWw+PGFsdC1wZXJpb2RpY2FsPjxmdWxsLXRpdGxlPkogUGVy
aW9kb250b2w8L2Z1bGwtdGl0bGU+PGFiYnItMT5Kb3VybmFsIG9mIHBlcmlvZG9udG9sb2d5PC9h
YmJyLTE+PC9hbHQtcGVyaW9kaWNhbD48cGFnZXM+MTA1OS0xMDY1PC9wYWdlcz48dm9sdW1lPjg4
PC92b2x1bWU+PG51bWJlcj4xMDwvbnVtYmVyPjxlZGl0aW9uPjIwMTcvMDYvMjQ8L2VkaXRpb24+
PGtleXdvcmRzPjxrZXl3b3JkPkRlbnRhbCBwbGFxdWUgaW5kZXg8L2tleXdvcmQ+PGtleXdvcmQ+
ZWxlY3Ryb25pYyBjaWdhcmV0dGVzPC9rZXl3b3JkPjxrZXl3b3JkPnBlcmlvZG9udGFsIGluZGV4
PC9rZXl3b3JkPjxrZXl3b3JkPnBlcmlvZG9udGFsIHBvY2tldDwva2V5d29yZD48a2V5d29yZD5z
bW9raW5nPC9rZXl3b3JkPjxrZXl3b3JkPnRvb3RoIGxvc3M8L2tleXdvcmQ+PC9rZXl3b3Jkcz48
ZGF0ZXM+PHllYXI+MjAxNzwveWVhcj48cHViLWRhdGVzPjxkYXRlPk9jdDwvZGF0ZT48L3B1Yi1k
YXRlcz48L2RhdGVzPjxpc2JuPjAwMjItMzQ5MjwvaXNibj48YWNjZXNzaW9uLW51bT4yODY0NDEw
ODwvYWNjZXNzaW9uLW51bT48dXJscz48L3VybHM+PGVsZWN0cm9uaWMtcmVzb3VyY2UtbnVtPjEw
LjE5MDIvam9wLjIwMTcuMTcwMTk3PC9lbGVjdHJvbmljLXJlc291cmNlLW51bT48cmVtb3RlLWRh
dGFiYXNlLXByb3ZpZGVyPk5MTTwvcmVtb3RlLWRhdGFiYXNlLXByb3ZpZGVyPjxsYW5ndWFnZT5l
bmc8L2xhbmd1YWdlPjwvcmVjb3JkPjwvQ2l0ZT48L0VuZE5vdGU+AG==
</w:fldData>
        </w:fldChar>
      </w:r>
      <w:r w:rsidRPr="00430400">
        <w:rPr>
          <w:sz w:val="24"/>
        </w:rPr>
        <w:instrText xml:space="preserve"> ADDIN EN.CITE </w:instrText>
      </w:r>
      <w:r w:rsidRPr="00430400">
        <w:rPr>
          <w:sz w:val="24"/>
        </w:rPr>
        <w:fldChar w:fldCharType="begin">
          <w:fldData xml:space="preserve">PEVuZE5vdGU+PENpdGU+PEF1dGhvcj5KYXZlZDwvQXV0aG9yPjxZZWFyPjIwMTc8L1llYXI+PFJl
Y051bT4xMDY4PC9SZWNOdW0+PERpc3BsYXlUZXh0PihKYXZlZCwgQWJkdWxqYWJiYXIgZXQgYWwu
IDIwMTcpPC9EaXNwbGF5VGV4dD48cmVjb3JkPjxyZWMtbnVtYmVyPjEwNjg8L3JlYy1udW1iZXI+
PGZvcmVpZ24ta2V5cz48a2V5IGFwcD0iRU4iIGRiLWlkPSJ2enhkcGZ3ZHV4ZmVkMmV0OXBhdng5
OWp6c3N4ZWFwd3Q1cDUiIHRpbWVzdGFtcD0iMTUyMTA5OTM2MSI+MTA2ODwva2V5PjxrZXkgYXBw
PSJFTldlYiIgZGItaWQ9IiI+MDwva2V5PjwvZm9yZWlnbi1rZXlzPjxyZWYtdHlwZSBuYW1lPSJK
b3VybmFsIEFydGljbGUiPjE3PC9yZWYtdHlwZT48Y29udHJpYnV0b3JzPjxhdXRob3JzPjxhdXRo
b3I+SmF2ZWQsIEYuPC9hdXRob3I+PGF1dGhvcj5BYmR1bGphYmJhciwgVC48L2F1dGhvcj48YXV0
aG9yPlZvaHJhLCBGLjwvYXV0aG9yPjxhdXRob3I+TWFsbXN0cm9tLCBILjwvYXV0aG9yPjxhdXRo
b3I+UmFobWFuLCBJLjwvYXV0aG9yPjxhdXRob3I+Um9tYW5vcywgRy4gRS48L2F1dGhvcj48L2F1
dGhvcnM+PC9jb250cmlidXRvcnM+PGF1dGgtYWRkcmVzcz5EZXBhcnRtZW50IG9mIEdlbmVyYWwg
RGVudGlzdHJ5LCBFYXN0bWFuIEluc3RpdHV0ZSBmb3IgT3JhbCBIZWFsdGgsIFVuaXZlcnNpdHkg
b2YgUm9jaGVzdGVyLCBSb2NoZXN0ZXIsIE5ZLiYjeEQ7RGVwYXJ0bWVudCBvZiBQcm9zdGhldGlj
IERlbnRhbCBTY2llbmNlcywgQ29sbGVnZSBvZiBEZW50aXN0cnksIEtpbmcgU2F1ZCBVbml2ZXJz
aXR5LCBSaXlhZGgsIFNhdWRpIEFyYWJpYS4mI3hEO0RlcGFydG1lbnQgb2YgRW52aXJvbm1lbnRh
bCBNZWRpY2luZSwgVW5pdmVyc2l0eSBvZiBSb2NoZXN0ZXIgTWVkaWNhbCBDZW50ZXIsIFJvY2hl
c3RlciwgTlkuJiN4RDtEZXBhcnRtZW50IG9mIE9yYWwgU3VyZ2VyeSBhbmQgSW1wbGFudCBEZW50
aXN0cnksIERlbnRhbCBTY2hvb2wsIEpvaGFubiBXb2xmZ2FuZyBHb2V0aGUsIFVuaXZlcnNpdHkg
b2YgRnJhbmtmdXJ0LCBGcmFua2Z1cnQsIEdlcm1hbnkuJiN4RDtEZXBhcnRtZW50IG9mIFBlcmlv
ZG9udG9sb2d5LCBTY2hvb2wgb2YgRGVudGFsIE1lZGljaW5lLCBTdG9ueSBCcm9vayBVbml2ZXJz
aXR5LCBTdG9ueSBCcm9vaywgTlkuPC9hdXRoLWFkZHJlc3M+PHRpdGxlcz48dGl0bGU+Q29tcGFy
aXNvbiBvZiBQZXJpb2RvbnRhbCBQYXJhbWV0ZXJzIGFuZCBTZWxmLVBlcmNlaXZlZCBPcmFsIFN5
bXB0b21zIEFtb25nIENpZ2FyZXR0ZSBTbW9rZXJzLCBJbmRpdmlkdWFscyBWYXBpbmcgRWxlY3Ry
b25pYyBDaWdhcmV0dGVzLCBhbmQgTmV2ZXItU21va2VyczwvdGl0bGU+PHNlY29uZGFyeS10aXRs
ZT5KIFBlcmlvZG9udG9sPC9zZWNvbmRhcnktdGl0bGU+PGFsdC10aXRsZT5Kb3VybmFsIG9mIHBl
cmlvZG9udG9sb2d5PC9hbHQtdGl0bGU+PC90aXRsZXM+PHBlcmlvZGljYWw+PGZ1bGwtdGl0bGU+
SiBQZXJpb2RvbnRvbDwvZnVsbC10aXRsZT48YWJici0xPkpvdXJuYWwgb2YgcGVyaW9kb250b2xv
Z3k8L2FiYnItMT48L3BlcmlvZGljYWw+PGFsdC1wZXJpb2RpY2FsPjxmdWxsLXRpdGxlPkogUGVy
aW9kb250b2w8L2Z1bGwtdGl0bGU+PGFiYnItMT5Kb3VybmFsIG9mIHBlcmlvZG9udG9sb2d5PC9h
YmJyLTE+PC9hbHQtcGVyaW9kaWNhbD48cGFnZXM+MTA1OS0xMDY1PC9wYWdlcz48dm9sdW1lPjg4
PC92b2x1bWU+PG51bWJlcj4xMDwvbnVtYmVyPjxlZGl0aW9uPjIwMTcvMDYvMjQ8L2VkaXRpb24+
PGtleXdvcmRzPjxrZXl3b3JkPkRlbnRhbCBwbGFxdWUgaW5kZXg8L2tleXdvcmQ+PGtleXdvcmQ+
ZWxlY3Ryb25pYyBjaWdhcmV0dGVzPC9rZXl3b3JkPjxrZXl3b3JkPnBlcmlvZG9udGFsIGluZGV4
PC9rZXl3b3JkPjxrZXl3b3JkPnBlcmlvZG9udGFsIHBvY2tldDwva2V5d29yZD48a2V5d29yZD5z
bW9raW5nPC9rZXl3b3JkPjxrZXl3b3JkPnRvb3RoIGxvc3M8L2tleXdvcmQ+PC9rZXl3b3Jkcz48
ZGF0ZXM+PHllYXI+MjAxNzwveWVhcj48cHViLWRhdGVzPjxkYXRlPk9jdDwvZGF0ZT48L3B1Yi1k
YXRlcz48L2RhdGVzPjxpc2JuPjAwMjItMzQ5MjwvaXNibj48YWNjZXNzaW9uLW51bT4yODY0NDEw
ODwvYWNjZXNzaW9uLW51bT48dXJscz48L3VybHM+PGVsZWN0cm9uaWMtcmVzb3VyY2UtbnVtPjEw
LjE5MDIvam9wLjIwMTcuMTcwMTk3PC9lbGVjdHJvbmljLXJlc291cmNlLW51bT48cmVtb3RlLWRh
dGFiYXNlLXByb3ZpZGVyPk5MTTwvcmVtb3RlLWRhdGFiYXNlLXByb3ZpZGVyPjxsYW5ndWFnZT5l
bmc8L2xhbmd1YWdlPjwvcmVjb3JkPjwvQ2l0ZT48L0VuZE5vdGU+AG==
</w:fldData>
        </w:fldChar>
      </w:r>
      <w:r w:rsidRPr="00430400">
        <w:rPr>
          <w:sz w:val="24"/>
        </w:rPr>
        <w:instrText xml:space="preserve"> ADDIN EN.CITE.DATA </w:instrText>
      </w:r>
      <w:r w:rsidRPr="00430400">
        <w:rPr>
          <w:sz w:val="24"/>
        </w:rPr>
      </w:r>
      <w:r w:rsidRPr="00430400">
        <w:rPr>
          <w:sz w:val="24"/>
        </w:rPr>
        <w:fldChar w:fldCharType="end"/>
      </w:r>
      <w:r w:rsidRPr="00430400">
        <w:rPr>
          <w:sz w:val="24"/>
        </w:rPr>
      </w:r>
      <w:r w:rsidRPr="00430400">
        <w:rPr>
          <w:sz w:val="24"/>
        </w:rPr>
        <w:fldChar w:fldCharType="separate"/>
      </w:r>
      <w:r w:rsidRPr="00430400">
        <w:rPr>
          <w:noProof/>
          <w:sz w:val="24"/>
        </w:rPr>
        <w:t>(Javed, Abduljabbar et al. 2017)</w:t>
      </w:r>
      <w:r w:rsidRPr="00430400">
        <w:rPr>
          <w:sz w:val="24"/>
        </w:rPr>
        <w:fldChar w:fldCharType="end"/>
      </w:r>
      <w:r w:rsidRPr="00430400">
        <w:rPr>
          <w:sz w:val="24"/>
        </w:rPr>
        <w:t xml:space="preserve"> assessed and compared periodontal parameters (via a clinical periodontal examination) and self</w:t>
      </w:r>
      <w:r w:rsidRPr="00430400">
        <w:rPr>
          <w:sz w:val="24"/>
        </w:rPr>
        <w:noBreakHyphen/>
        <w:t>reported oral symptoms among those exclusively vaping e</w:t>
      </w:r>
      <w:r w:rsidRPr="00430400">
        <w:rPr>
          <w:sz w:val="24"/>
        </w:rPr>
        <w:noBreakHyphen/>
        <w:t>cigarettes, conventional cigarette smokers (CS) and never</w:t>
      </w:r>
      <w:r w:rsidRPr="00430400">
        <w:rPr>
          <w:sz w:val="24"/>
        </w:rPr>
        <w:noBreakHyphen/>
        <w:t xml:space="preserve">smokers (NS). Full mouth plaque index (PI), bleeding on probing (BOP), probing depth (PD) ≥ 4mm, and clinical attachment loss (AL) were measured, along with marginal bone loss (MBL) around teeth recorded using digital radiographs and number of teeth missing (MT). </w:t>
      </w:r>
      <w:r w:rsidRPr="00430400">
        <w:rPr>
          <w:b/>
          <w:sz w:val="24"/>
        </w:rPr>
        <w:t>Plaque index</w:t>
      </w:r>
      <w:r w:rsidRPr="00430400">
        <w:rPr>
          <w:sz w:val="24"/>
        </w:rPr>
        <w:t xml:space="preserve"> (PI%) (52.1</w:t>
      </w:r>
      <w:r w:rsidRPr="00430400">
        <w:rPr>
          <w:rFonts w:cs="Calibri"/>
          <w:sz w:val="24"/>
        </w:rPr>
        <w:t>±</w:t>
      </w:r>
      <w:r w:rsidRPr="00430400">
        <w:rPr>
          <w:sz w:val="24"/>
        </w:rPr>
        <w:t>6.6 (CS) vs 23.3</w:t>
      </w:r>
      <w:r w:rsidRPr="00430400">
        <w:rPr>
          <w:rFonts w:cs="Calibri"/>
          <w:sz w:val="24"/>
        </w:rPr>
        <w:t>±</w:t>
      </w:r>
      <w:r w:rsidRPr="00430400">
        <w:rPr>
          <w:sz w:val="24"/>
        </w:rPr>
        <w:t xml:space="preserve">3.4 (vapers), p&lt;0.01) and </w:t>
      </w:r>
      <w:r w:rsidRPr="00430400">
        <w:rPr>
          <w:b/>
          <w:sz w:val="24"/>
        </w:rPr>
        <w:t>probing depth ≥ 4mm</w:t>
      </w:r>
      <w:r w:rsidRPr="00430400">
        <w:rPr>
          <w:sz w:val="24"/>
        </w:rPr>
        <w:t xml:space="preserve"> (PD%) (29.3</w:t>
      </w:r>
      <w:r w:rsidRPr="00430400">
        <w:rPr>
          <w:rFonts w:cs="Calibri"/>
          <w:sz w:val="24"/>
        </w:rPr>
        <w:t>±</w:t>
      </w:r>
      <w:r w:rsidRPr="00430400">
        <w:rPr>
          <w:sz w:val="24"/>
        </w:rPr>
        <w:t>1.7 (CS) vs 5.1</w:t>
      </w:r>
      <w:r w:rsidRPr="00430400">
        <w:rPr>
          <w:rFonts w:cs="Calibri"/>
          <w:sz w:val="24"/>
        </w:rPr>
        <w:t>±</w:t>
      </w:r>
      <w:r w:rsidRPr="00430400">
        <w:rPr>
          <w:sz w:val="24"/>
        </w:rPr>
        <w:t>1.2 (vapers) p&lt;0.01) were significantly higher for smokers than for e</w:t>
      </w:r>
      <w:r w:rsidRPr="00430400">
        <w:rPr>
          <w:sz w:val="24"/>
        </w:rPr>
        <w:noBreakHyphen/>
        <w:t>cigarette users and also never smokers (who did not differ from each other). Bleeding on probing (BOP) was significantly higher in never smokers than for cigarette smokers (27.5</w:t>
      </w:r>
      <w:r w:rsidRPr="00430400">
        <w:rPr>
          <w:rFonts w:cs="Calibri"/>
          <w:sz w:val="24"/>
        </w:rPr>
        <w:t>±</w:t>
      </w:r>
      <w:r w:rsidRPr="00430400">
        <w:rPr>
          <w:sz w:val="24"/>
        </w:rPr>
        <w:t>3.2 (NS) vs 5.8</w:t>
      </w:r>
      <w:r w:rsidRPr="00430400">
        <w:rPr>
          <w:rFonts w:cs="Calibri"/>
          <w:sz w:val="24"/>
        </w:rPr>
        <w:t>±</w:t>
      </w:r>
      <w:r w:rsidRPr="00430400">
        <w:rPr>
          <w:sz w:val="24"/>
        </w:rPr>
        <w:t>0.8 (CS), p&lt;0.01) and e</w:t>
      </w:r>
      <w:r w:rsidRPr="00430400">
        <w:rPr>
          <w:sz w:val="24"/>
        </w:rPr>
        <w:noBreakHyphen/>
        <w:t>cigarette user groups (27.5</w:t>
      </w:r>
      <w:r w:rsidRPr="00430400">
        <w:rPr>
          <w:rFonts w:cs="Calibri"/>
          <w:sz w:val="24"/>
        </w:rPr>
        <w:t>±</w:t>
      </w:r>
      <w:r w:rsidRPr="00430400">
        <w:rPr>
          <w:sz w:val="24"/>
        </w:rPr>
        <w:t>3.2 (NS) vs 4.6</w:t>
      </w:r>
      <w:r w:rsidRPr="00430400">
        <w:rPr>
          <w:rFonts w:cs="Calibri"/>
          <w:sz w:val="24"/>
        </w:rPr>
        <w:t>±</w:t>
      </w:r>
      <w:r w:rsidRPr="00430400">
        <w:rPr>
          <w:sz w:val="24"/>
        </w:rPr>
        <w:t>2.9, p&lt;0.01). There were no differences in number of missing teeth (MT), clinical attachment loss (AL) and marginal bone loss (MBL) across all groups. Gingival pain was more often self</w:t>
      </w:r>
      <w:r w:rsidRPr="00430400">
        <w:rPr>
          <w:sz w:val="24"/>
        </w:rPr>
        <w:noBreakHyphen/>
        <w:t>reported among cigarette smokers than by individuals in the e</w:t>
      </w:r>
      <w:r w:rsidRPr="00430400">
        <w:rPr>
          <w:sz w:val="24"/>
        </w:rPr>
        <w:noBreakHyphen/>
        <w:t xml:space="preserve">cigarette (p&lt;0.01) and never smoker (p&lt;0.01) groups. </w:t>
      </w:r>
    </w:p>
    <w:p w14:paraId="6E1E2663" w14:textId="52B3EB53" w:rsidR="00430400" w:rsidRPr="00430400" w:rsidRDefault="00430400" w:rsidP="00430400">
      <w:pPr>
        <w:spacing w:before="120" w:line="264" w:lineRule="auto"/>
        <w:rPr>
          <w:sz w:val="24"/>
        </w:rPr>
      </w:pPr>
      <w:r w:rsidRPr="00430400">
        <w:rPr>
          <w:sz w:val="24"/>
        </w:rPr>
        <w:t>The e</w:t>
      </w:r>
      <w:r w:rsidRPr="00430400">
        <w:rPr>
          <w:sz w:val="24"/>
        </w:rPr>
        <w:noBreakHyphen/>
        <w:t>cigarette users in this study had been using e</w:t>
      </w:r>
      <w:r w:rsidRPr="00430400">
        <w:rPr>
          <w:sz w:val="24"/>
        </w:rPr>
        <w:noBreakHyphen/>
        <w:t>cigarettes daily and exclusively for at least the previous 12 months, so this study does not directly address the impact of e</w:t>
      </w:r>
      <w:r w:rsidRPr="00430400">
        <w:rPr>
          <w:sz w:val="24"/>
        </w:rPr>
        <w:noBreakHyphen/>
        <w:t>cigarettes on the oral health of smokers. It does, however, suggest that the oral health of regular vapers is better in some respects than conventional cigarette smokers.</w:t>
      </w:r>
      <w:r w:rsidR="008146F9">
        <w:rPr>
          <w:sz w:val="24"/>
        </w:rPr>
        <w:t xml:space="preserve"> </w:t>
      </w:r>
    </w:p>
    <w:p w14:paraId="15B38EBE" w14:textId="77777777" w:rsidR="001D0255" w:rsidRDefault="001D0255" w:rsidP="001D0255">
      <w:pPr>
        <w:pStyle w:val="BodyText"/>
      </w:pPr>
    </w:p>
    <w:p w14:paraId="2477BC5B" w14:textId="77777777" w:rsidR="001D0255" w:rsidRDefault="001D0255" w:rsidP="001D0255">
      <w:pPr>
        <w:pStyle w:val="Heading3"/>
        <w:ind w:left="1134" w:hanging="1134"/>
      </w:pPr>
      <w:r>
        <w:t>Microbiota</w:t>
      </w:r>
    </w:p>
    <w:p w14:paraId="2081C4C7" w14:textId="77777777" w:rsidR="001D0255" w:rsidRDefault="001D0255" w:rsidP="001D0255">
      <w:pPr>
        <w:pStyle w:val="BodyText"/>
      </w:pPr>
      <w:r>
        <w:t xml:space="preserve">Stewart et al </w:t>
      </w:r>
      <w:r>
        <w:fldChar w:fldCharType="begin"/>
      </w:r>
      <w:r>
        <w:instrText xml:space="preserve"> ADDIN EN.CITE &lt;EndNote&gt;&lt;Cite&gt;&lt;Author&gt;Stewart&lt;/Author&gt;&lt;Year&gt;2018&lt;/Year&gt;&lt;RecNum&gt;10418&lt;/RecNum&gt;&lt;DisplayText&gt;(Stewart, Auchtung et al. 2018)&lt;/DisplayText&gt;&lt;record&gt;&lt;rec-number&gt;10418&lt;/rec-number&gt;&lt;foreign-keys&gt;&lt;key app="EN" db-id="9z05dz0praadfuee0zoxzedk9zfe5fxx50z5" timestamp="1526869878"&gt;10418&lt;/key&gt;&lt;key app="ENWeb" db-id=""&gt;0&lt;/key&gt;&lt;/foreign-keys&gt;&lt;ref-type name="Journal Article"&gt;17&lt;/ref-type&gt;&lt;contributors&gt;&lt;authors&gt;&lt;author&gt;Stewart, Christopher J.&lt;/author&gt;&lt;author&gt;Auchtung, Thomas A.&lt;/author&gt;&lt;author&gt;Ajami, Nadim J.&lt;/author&gt;&lt;author&gt;Velasquez, Kenia&lt;/author&gt;&lt;author&gt;Smith, Daniel P.&lt;/author&gt;&lt;author&gt;De La Garza, Richard, II&lt;/author&gt;&lt;author&gt;Salas, Ramiro&lt;/author&gt;&lt;author&gt;Petrosino, Joseph F.&lt;/author&gt;&lt;/authors&gt;&lt;/contributors&gt;&lt;titles&gt;&lt;title&gt;Effects of tobacco smoke and electronic cigarette vapor exposure on the oral and gut microbiota in humans: a pilot study&lt;/title&gt;&lt;secondary-title&gt;Peerj&lt;/secondary-title&gt;&lt;/titles&gt;&lt;periodical&gt;&lt;full-title&gt;Peerj&lt;/full-title&gt;&lt;/periodical&gt;&lt;volume&gt;6&lt;/volume&gt;&lt;dates&gt;&lt;year&gt;2018&lt;/year&gt;&lt;pub-dates&gt;&lt;date&gt;Apr 30&lt;/date&gt;&lt;/pub-dates&gt;&lt;/dates&gt;&lt;isbn&gt;2167-8359&lt;/isbn&gt;&lt;accession-num&gt;WOS:000431379100013&lt;/accession-num&gt;&lt;urls&gt;&lt;related-urls&gt;&lt;url&gt;&amp;lt;Go to ISI&amp;gt;://WOS:000431379100013&lt;/url&gt;&lt;url&gt;https://peerj.com/articles/4693.pdf&lt;/url&gt;&lt;/related-urls&gt;&lt;/urls&gt;&lt;custom7&gt;e4693&lt;/custom7&gt;&lt;electronic-resource-num&gt;10.7717/peerj.4693&lt;/electronic-resource-num&gt;&lt;/record&gt;&lt;/Cite&gt;&lt;/EndNote&gt;</w:instrText>
      </w:r>
      <w:r>
        <w:fldChar w:fldCharType="separate"/>
      </w:r>
      <w:r>
        <w:rPr>
          <w:noProof/>
        </w:rPr>
        <w:t>(Stewart, Auchtung et al. 2018)</w:t>
      </w:r>
      <w:r>
        <w:fldChar w:fldCharType="end"/>
      </w:r>
      <w:r>
        <w:t xml:space="preserve"> recruited a small group (n=30) of e</w:t>
      </w:r>
      <w:r>
        <w:noBreakHyphen/>
        <w:t>cigarette users, tobacco smokers and matched controls in the Houston area in an effort to determine if smoking influences gut and mouth microbiota. They collected and analysed once</w:t>
      </w:r>
      <w:r>
        <w:noBreakHyphen/>
        <w:t xml:space="preserve">off faecal samples, buccal cheek cells and saliva samples and performed gene sequencing. The investigators calculated a diversity score (Simpsons Index) in order to assess the relative abundance of difference species of bacteria. Reduced bacterial diversity can be associated with inflammatory bowel disease, obesity, colorectal cancer and asthma </w:t>
      </w:r>
      <w:r>
        <w:fldChar w:fldCharType="begin"/>
      </w:r>
      <w:r>
        <w:instrText xml:space="preserve"> ADDIN EN.CITE &lt;EndNote&gt;&lt;Cite&gt;&lt;Author&gt;Stewart&lt;/Author&gt;&lt;Year&gt;2018&lt;/Year&gt;&lt;RecNum&gt;10418&lt;/RecNum&gt;&lt;DisplayText&gt;(Stewart, Auchtung et al. 2018)&lt;/DisplayText&gt;&lt;record&gt;&lt;rec-number&gt;10418&lt;/rec-number&gt;&lt;foreign-keys&gt;&lt;key app="EN" db-id="9z05dz0praadfuee0zoxzedk9zfe5fxx50z5" timestamp="1526869878"&gt;10418&lt;/key&gt;&lt;key app="ENWeb" db-id=""&gt;0&lt;/key&gt;&lt;/foreign-keys&gt;&lt;ref-type name="Journal Article"&gt;17&lt;/ref-type&gt;&lt;contributors&gt;&lt;authors&gt;&lt;author&gt;Stewart, Christopher J.&lt;/author&gt;&lt;author&gt;Auchtung, Thomas A.&lt;/author&gt;&lt;author&gt;Ajami, Nadim J.&lt;/author&gt;&lt;author&gt;Velasquez, Kenia&lt;/author&gt;&lt;author&gt;Smith, Daniel P.&lt;/author&gt;&lt;author&gt;De La Garza, Richard, II&lt;/author&gt;&lt;author&gt;Salas, Ramiro&lt;/author&gt;&lt;author&gt;Petrosino, Joseph F.&lt;/author&gt;&lt;/authors&gt;&lt;/contributors&gt;&lt;titles&gt;&lt;title&gt;Effects of tobacco smoke and electronic cigarette vapor exposure on the oral and gut microbiota in humans: a pilot study&lt;/title&gt;&lt;secondary-title&gt;Peerj&lt;/secondary-title&gt;&lt;/titles&gt;&lt;periodical&gt;&lt;full-title&gt;Peerj&lt;/full-title&gt;&lt;/periodical&gt;&lt;volume&gt;6&lt;/volume&gt;&lt;dates&gt;&lt;year&gt;2018&lt;/year&gt;&lt;pub-dates&gt;&lt;date&gt;Apr 30&lt;/date&gt;&lt;/pub-dates&gt;&lt;/dates&gt;&lt;isbn&gt;2167-8359&lt;/isbn&gt;&lt;accession-num&gt;WOS:000431379100013&lt;/accession-num&gt;&lt;urls&gt;&lt;related-urls&gt;&lt;url&gt;&amp;lt;Go to ISI&amp;gt;://WOS:000431379100013&lt;/url&gt;&lt;url&gt;https://peerj.com/articles/4693.pdf&lt;/url&gt;&lt;/related-urls&gt;&lt;/urls&gt;&lt;custom7&gt;e4693&lt;/custom7&gt;&lt;electronic-resource-num&gt;10.7717/peerj.4693&lt;/electronic-resource-num&gt;&lt;/record&gt;&lt;/Cite&gt;&lt;/EndNote&gt;</w:instrText>
      </w:r>
      <w:r>
        <w:fldChar w:fldCharType="separate"/>
      </w:r>
      <w:r>
        <w:rPr>
          <w:noProof/>
        </w:rPr>
        <w:t>(Stewart, Auchtung et al. 2018)</w:t>
      </w:r>
      <w:r>
        <w:fldChar w:fldCharType="end"/>
      </w:r>
      <w:r>
        <w:t>. Results indicated that regular use of e</w:t>
      </w:r>
      <w:r>
        <w:noBreakHyphen/>
        <w:t>cigarettes did not influence oral or gut bacterial communities. However, tobacco use did when compared to control participants. Specifically tobacco smokers had reduced diversity in faecal samples at levels at which the authors describe as “striking”. Given the small sample and the fact that this was designed as a pilot study, these results should be interpreted cautiously. Nonetheless, they provide an interesting direction for further understanding the health effects of smoking.</w:t>
      </w:r>
    </w:p>
    <w:p w14:paraId="2D66D857" w14:textId="77777777" w:rsidR="003178F6" w:rsidRDefault="003178F6" w:rsidP="001D0255">
      <w:pPr>
        <w:pStyle w:val="BodyText"/>
      </w:pPr>
    </w:p>
    <w:p w14:paraId="5D865779" w14:textId="77777777" w:rsidR="003178F6" w:rsidRPr="003B7866" w:rsidRDefault="003178F6" w:rsidP="003178F6">
      <w:pPr>
        <w:pStyle w:val="Heading3"/>
        <w:ind w:left="1134" w:hanging="1134"/>
      </w:pPr>
      <w:r>
        <w:t>Body weight</w:t>
      </w:r>
    </w:p>
    <w:p w14:paraId="05D69CF2" w14:textId="789C216E" w:rsidR="003178F6" w:rsidRDefault="00955544" w:rsidP="003178F6">
      <w:pPr>
        <w:pStyle w:val="BodyText"/>
      </w:pPr>
      <w:r>
        <w:rPr>
          <w:noProof/>
        </w:rPr>
        <mc:AlternateContent>
          <mc:Choice Requires="wps">
            <w:drawing>
              <wp:anchor distT="0" distB="0" distL="114300" distR="114300" simplePos="0" relativeHeight="251658249" behindDoc="0" locked="0" layoutInCell="1" allowOverlap="1" wp14:anchorId="4C7B7EB1" wp14:editId="491A5BA2">
                <wp:simplePos x="0" y="0"/>
                <wp:positionH relativeFrom="column">
                  <wp:posOffset>41910</wp:posOffset>
                </wp:positionH>
                <wp:positionV relativeFrom="paragraph">
                  <wp:posOffset>3159760</wp:posOffset>
                </wp:positionV>
                <wp:extent cx="3519805" cy="450850"/>
                <wp:effectExtent l="0" t="0" r="4445" b="6350"/>
                <wp:wrapSquare wrapText="bothSides"/>
                <wp:docPr id="27" name="Text Box 27" title="Chart showing Body weight change of smokers and ex-smokers at 12 months follow-up"/>
                <wp:cNvGraphicFramePr/>
                <a:graphic xmlns:a="http://schemas.openxmlformats.org/drawingml/2006/main">
                  <a:graphicData uri="http://schemas.microsoft.com/office/word/2010/wordprocessingShape">
                    <wps:wsp>
                      <wps:cNvSpPr txBox="1"/>
                      <wps:spPr>
                        <a:xfrm>
                          <a:off x="0" y="0"/>
                          <a:ext cx="3519805" cy="450850"/>
                        </a:xfrm>
                        <a:prstGeom prst="rect">
                          <a:avLst/>
                        </a:prstGeom>
                        <a:solidFill>
                          <a:prstClr val="white"/>
                        </a:solidFill>
                        <a:ln>
                          <a:noFill/>
                        </a:ln>
                        <a:effectLst/>
                      </wps:spPr>
                      <wps:txbx>
                        <w:txbxContent>
                          <w:p w14:paraId="192BE1CE" w14:textId="77777777" w:rsidR="0048064B" w:rsidRPr="00A74FD0" w:rsidRDefault="0048064B" w:rsidP="00955544">
                            <w:pPr>
                              <w:pStyle w:val="Caption"/>
                              <w:rPr>
                                <w:noProof/>
                                <w:color w:val="000000"/>
                                <w:sz w:val="24"/>
                              </w:rPr>
                            </w:pPr>
                            <w:bookmarkStart w:id="197" w:name="_Toc517707393"/>
                            <w:r>
                              <w:t xml:space="preserve">Figure </w:t>
                            </w:r>
                            <w:r>
                              <w:rPr>
                                <w:noProof/>
                              </w:rPr>
                              <w:fldChar w:fldCharType="begin"/>
                            </w:r>
                            <w:r>
                              <w:rPr>
                                <w:noProof/>
                              </w:rPr>
                              <w:instrText xml:space="preserve"> SEQ Figure \* ARABIC </w:instrText>
                            </w:r>
                            <w:r>
                              <w:rPr>
                                <w:noProof/>
                              </w:rPr>
                              <w:fldChar w:fldCharType="separate"/>
                            </w:r>
                            <w:r>
                              <w:rPr>
                                <w:noProof/>
                              </w:rPr>
                              <w:t>7</w:t>
                            </w:r>
                            <w:r>
                              <w:rPr>
                                <w:noProof/>
                              </w:rPr>
                              <w:fldChar w:fldCharType="end"/>
                            </w:r>
                            <w:r>
                              <w:t xml:space="preserve">: Body weight change of smokers and ex-smokers at 12 months follow-up. Figure from </w:t>
                            </w:r>
                            <w:r>
                              <w:fldChar w:fldCharType="begin"/>
                            </w:r>
                            <w:r>
                              <w:instrText xml:space="preserve"> ADDIN EN.CITE &lt;EndNote&gt;&lt;Cite&gt;&lt;Author&gt;Russo&lt;/Author&gt;&lt;Year&gt;2018&lt;/Year&gt;&lt;RecNum&gt;10550&lt;/RecNum&gt;&lt;DisplayText&gt;(Russo, Cibella et al. 2018)&lt;/DisplayText&gt;&lt;record&gt;&lt;rec-number&gt;10550&lt;/rec-number&gt;&lt;foreign-keys&gt;&lt;key app="EN" db-id="9z05dz0praadfuee0zoxzedk9zfe5fxx50z5" timestamp="1526869879"&gt;10550&lt;/key&gt;&lt;key app="ENWeb" db-id=""&gt;0&lt;/key&gt;&lt;/foreign-keys&gt;&lt;ref-type name="Journal Article"&gt;17&lt;/ref-type&gt;&lt;contributors&gt;&lt;authors&gt;&lt;author&gt;Russo, Cristina&lt;/author&gt;&lt;author&gt;Cibella, Fabio&lt;/author&gt;&lt;author&gt;Mondati, Enrico&lt;/author&gt;&lt;author&gt;Caponnetto, Pasquale&lt;/author&gt;&lt;author&gt;Frazzetto, Evelise&lt;/author&gt;&lt;author&gt;Caruso, Massimo&lt;/author&gt;&lt;author&gt;Caci, Grazia&lt;/author&gt;&lt;author&gt;Polosa, Riccardo&lt;/author&gt;&lt;/authors&gt;&lt;/contributors&gt;&lt;titles&gt;&lt;title&gt;Lack of Substantial Post-Cessation Weight Increase in Electronic Cigarettes Users&lt;/title&gt;&lt;secondary-title&gt;International journal of environmental research and public health&lt;/secondary-title&gt;&lt;/titles&gt;&lt;periodical&gt;&lt;full-title&gt;International Journal of Environmental Research and Public Health&lt;/full-title&gt;&lt;/periodical&gt;&lt;volume&gt;15&lt;/volume&gt;&lt;number&gt;4&lt;/number&gt;&lt;dates&gt;&lt;year&gt;2018&lt;/year&gt;&lt;pub-dates&gt;&lt;date&gt;2018 Mar&lt;/date&gt;&lt;/pub-dates&gt;&lt;/dates&gt;&lt;accession-num&gt;MEDLINE:29570695&lt;/accession-num&gt;&lt;urls&gt;&lt;related-urls&gt;&lt;url&gt;&amp;lt;Go to ISI&amp;gt;://MEDLINE:29570695&lt;/url&gt;&lt;url&gt;http://www.mdpi.com/1660-4601/15/4/581/pdf&lt;/url&gt;&lt;/related-urls&gt;&lt;/urls&gt;&lt;electronic-resource-num&gt;10.3390/ijerph15040581&lt;/electronic-resource-num&gt;&lt;/record&gt;&lt;/Cite&gt;&lt;/EndNote&gt;</w:instrText>
                            </w:r>
                            <w:r>
                              <w:fldChar w:fldCharType="separate"/>
                            </w:r>
                            <w:r>
                              <w:rPr>
                                <w:noProof/>
                              </w:rPr>
                              <w:t>(Russo, Cibella et al. 2018)</w:t>
                            </w:r>
                            <w:r>
                              <w:fldChar w:fldCharType="end"/>
                            </w:r>
                            <w:r>
                              <w:t>.</w:t>
                            </w:r>
                            <w:bookmarkEnd w:id="197"/>
                          </w:p>
                          <w:p w14:paraId="438251C9" w14:textId="77777777" w:rsidR="0048064B" w:rsidRPr="000D19EE" w:rsidRDefault="0048064B" w:rsidP="00955544">
                            <w:pPr>
                              <w:pStyle w:val="Caption"/>
                              <w:rPr>
                                <w:noProof/>
                                <w:color w:val="000000"/>
                                <w:sz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B7EB1" id="Text Box 27" o:spid="_x0000_s1052" type="#_x0000_t202" alt="Title: Chart showing Body weight change of smokers and ex-smokers at 12 months follow-up" style="position:absolute;margin-left:3.3pt;margin-top:248.8pt;width:277.15pt;height:35.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7eOcAIAANEEAAAOAAAAZHJzL2Uyb0RvYy54bWysVE1v2zAMvQ/YfxB0b52ky9YFdYosRYcB&#10;RVugHXpWZCkWJomaxMTufv0oOU63bqdhF5kiKX68R/risneW7VVMBnzNp6cTzpSX0Bi/rfnXx+uT&#10;c84SCt8IC17V/Fklfrl8++aiCws1gxZsoyKjID4tulDzFjEsqirJVjmRTiEoT0YN0Qmka9xWTRQd&#10;RXe2mk0m76sOYhMiSJUSaa8GI1+W+ForiXdaJ4XM1pxqw3LGcm7yWS0vxGIbRWiNPJQh/qEKJ4yn&#10;pMdQVwIF20XzRyhnZIQEGk8luAq0NlKVHqib6eRVNw+tCKr0QuCkcIQp/b+w8nZ/H5lpaj77wJkX&#10;jjh6VD2yT9CzrEKDlnTrVkRkqYWMPRmbZ9Yps22RyVb4rWKgWXLwjSaBEdtM9SfHK7LpjDnw2Cam&#10;wVroTnYhI9+FtKACHgKVgD1lpAka9YmUGdBeR5e/BBUjO3H4fOQt1ylJeTaffjyfzDmTZHs3n5zP&#10;C7HVy+sQE35W4FgWah5pLgpdYn+TkCoh19ElJ0tgTXNtrM2XbFjbyPaCZqhrDapcI734zcv67Osh&#10;vxrMg0aVITxkyQ0PjWUJ+01foD8bm94QroRFhGFOU5DXhrLfiIT3ItJgUvu0bHhHhyYcaw4HibMW&#10;4o+/6bM/zQtZOeto0Guevu9EVJzZL54mKW/FKMRR2IyC37k1UN9TWuMgi0gPItpR1BHcE+3gKmch&#10;k/CSctUcR3GNw7rRDku1WhUnmv0g8MY/BJlDjyg/9k8ihgNHSOzewrgCYvGKqsF3wHy1Q9Cm8Jhx&#10;HVAkivKF9qaQddjxvJi/3ovXy59o+RMAAP//AwBQSwMEFAAGAAgAAAAhALBxBCfeAAAACQEAAA8A&#10;AABkcnMvZG93bnJldi54bWxMj81OwzAQhO9IvIO1SFwQdaggtGmcClq4lUN/1PM2NklEvI5sp0nf&#10;nu0JbrOa0bcz+XK0rTgbHxpHCp4mCQhDpdMNVQoO+8/HGYgQkTS2joyCiwmwLG5vcsy0G2hrzrtY&#10;CYZQyFBBHWOXSRnK2lgME9cZYu/beYuRT19J7XFguG3lNElSabEh/lBjZ1a1KX92vVWQrn0/bGn1&#10;sD58bPCrq6bH98tRqfu78W0BIpox/oXhWp+rQ8GdTq4nHUTLjJSDCp7nryzYf0mTOYjTVcxSkEUu&#10;/y8ofgEAAP//AwBQSwECLQAUAAYACAAAACEAtoM4kv4AAADhAQAAEwAAAAAAAAAAAAAAAAAAAAAA&#10;W0NvbnRlbnRfVHlwZXNdLnhtbFBLAQItABQABgAIAAAAIQA4/SH/1gAAAJQBAAALAAAAAAAAAAAA&#10;AAAAAC8BAABfcmVscy8ucmVsc1BLAQItABQABgAIAAAAIQBjR7eOcAIAANEEAAAOAAAAAAAAAAAA&#10;AAAAAC4CAABkcnMvZTJvRG9jLnhtbFBLAQItABQABgAIAAAAIQCwcQQn3gAAAAkBAAAPAAAAAAAA&#10;AAAAAAAAAMoEAABkcnMvZG93bnJldi54bWxQSwUGAAAAAAQABADzAAAA1QUAAAAA&#10;" stroked="f">
                <v:textbox inset="0,0,0,0">
                  <w:txbxContent>
                    <w:p w14:paraId="192BE1CE" w14:textId="77777777" w:rsidR="0048064B" w:rsidRPr="00A74FD0" w:rsidRDefault="0048064B" w:rsidP="00955544">
                      <w:pPr>
                        <w:pStyle w:val="Caption"/>
                        <w:rPr>
                          <w:noProof/>
                          <w:color w:val="000000"/>
                          <w:sz w:val="24"/>
                        </w:rPr>
                      </w:pPr>
                      <w:bookmarkStart w:id="202" w:name="_Toc517707393"/>
                      <w:r>
                        <w:t xml:space="preserve">Figure </w:t>
                      </w:r>
                      <w:r>
                        <w:rPr>
                          <w:noProof/>
                        </w:rPr>
                        <w:fldChar w:fldCharType="begin"/>
                      </w:r>
                      <w:r>
                        <w:rPr>
                          <w:noProof/>
                        </w:rPr>
                        <w:instrText xml:space="preserve"> SEQ Figure \* ARABIC </w:instrText>
                      </w:r>
                      <w:r>
                        <w:rPr>
                          <w:noProof/>
                        </w:rPr>
                        <w:fldChar w:fldCharType="separate"/>
                      </w:r>
                      <w:r>
                        <w:rPr>
                          <w:noProof/>
                        </w:rPr>
                        <w:t>7</w:t>
                      </w:r>
                      <w:r>
                        <w:rPr>
                          <w:noProof/>
                        </w:rPr>
                        <w:fldChar w:fldCharType="end"/>
                      </w:r>
                      <w:r>
                        <w:t xml:space="preserve">: Body weight change of smokers and ex-smokers at 12 months follow-up. Figure from </w:t>
                      </w:r>
                      <w:r>
                        <w:fldChar w:fldCharType="begin"/>
                      </w:r>
                      <w:r>
                        <w:instrText xml:space="preserve"> ADDIN EN.CITE &lt;EndNote&gt;&lt;Cite&gt;&lt;Author&gt;Russo&lt;/Author&gt;&lt;Year&gt;2018&lt;/Year&gt;&lt;RecNum&gt;10550&lt;/RecNum&gt;&lt;DisplayText&gt;(Russo, Cibella et al. 2018)&lt;/DisplayText&gt;&lt;record&gt;&lt;rec-number&gt;10550&lt;/rec-number&gt;&lt;foreign-keys&gt;&lt;key app="EN" db-id="9z05dz0praadfuee0zoxzedk9zfe5fxx50z5" timestamp="1526869879"&gt;10550&lt;/key&gt;&lt;key app="ENWeb" db-id=""&gt;0&lt;/key&gt;&lt;/foreign-keys&gt;&lt;ref-type name="Journal Article"&gt;17&lt;/ref-type&gt;&lt;contributors&gt;&lt;authors&gt;&lt;author&gt;Russo, Cristina&lt;/author&gt;&lt;author&gt;Cibella, Fabio&lt;/author&gt;&lt;author&gt;Mondati, Enrico&lt;/author&gt;&lt;author&gt;Caponnetto, Pasquale&lt;/author&gt;&lt;author&gt;Frazzetto, Evelise&lt;/author&gt;&lt;author&gt;Caruso, Massimo&lt;/author&gt;&lt;author&gt;Caci, Grazia&lt;/author&gt;&lt;author&gt;Polosa, Riccardo&lt;/author&gt;&lt;/authors&gt;&lt;/contributors&gt;&lt;titles&gt;&lt;title&gt;Lack of Substantial Post-Cessation Weight Increase in Electronic Cigarettes Users&lt;/title&gt;&lt;secondary-title&gt;International journal of environmental research and public health&lt;/secondary-title&gt;&lt;/titles&gt;&lt;periodical&gt;&lt;full-title&gt;International Journal of Environmental Research and Public Health&lt;/full-title&gt;&lt;/periodical&gt;&lt;volume&gt;15&lt;/volume&gt;&lt;number&gt;4&lt;/number&gt;&lt;dates&gt;&lt;year&gt;2018&lt;/year&gt;&lt;pub-dates&gt;&lt;date&gt;2018 Mar&lt;/date&gt;&lt;/pub-dates&gt;&lt;/dates&gt;&lt;accession-num&gt;MEDLINE:29570695&lt;/accession-num&gt;&lt;urls&gt;&lt;related-urls&gt;&lt;url&gt;&amp;lt;Go to ISI&amp;gt;://MEDLINE:29570695&lt;/url&gt;&lt;url&gt;http://www.mdpi.com/1660-4601/15/4/581/pdf&lt;/url&gt;&lt;/related-urls&gt;&lt;/urls&gt;&lt;electronic-resource-num&gt;10.3390/ijerph15040581&lt;/electronic-resource-num&gt;&lt;/record&gt;&lt;/Cite&gt;&lt;/EndNote&gt;</w:instrText>
                      </w:r>
                      <w:r>
                        <w:fldChar w:fldCharType="separate"/>
                      </w:r>
                      <w:r>
                        <w:rPr>
                          <w:noProof/>
                        </w:rPr>
                        <w:t>(Russo, Cibella et al. 2018)</w:t>
                      </w:r>
                      <w:r>
                        <w:fldChar w:fldCharType="end"/>
                      </w:r>
                      <w:r>
                        <w:t>.</w:t>
                      </w:r>
                      <w:bookmarkEnd w:id="202"/>
                    </w:p>
                    <w:p w14:paraId="438251C9" w14:textId="77777777" w:rsidR="0048064B" w:rsidRPr="000D19EE" w:rsidRDefault="0048064B" w:rsidP="00955544">
                      <w:pPr>
                        <w:pStyle w:val="Caption"/>
                        <w:rPr>
                          <w:noProof/>
                          <w:color w:val="000000"/>
                          <w:sz w:val="24"/>
                        </w:rPr>
                      </w:pPr>
                    </w:p>
                  </w:txbxContent>
                </v:textbox>
                <w10:wrap type="square"/>
              </v:shape>
            </w:pict>
          </mc:Fallback>
        </mc:AlternateContent>
      </w:r>
      <w:r>
        <w:rPr>
          <w:noProof/>
        </w:rPr>
        <w:drawing>
          <wp:anchor distT="0" distB="0" distL="114300" distR="114300" simplePos="0" relativeHeight="251658248" behindDoc="0" locked="0" layoutInCell="1" allowOverlap="1" wp14:anchorId="0DE66A5F" wp14:editId="5B8B74D5">
            <wp:simplePos x="0" y="0"/>
            <wp:positionH relativeFrom="column">
              <wp:posOffset>3810</wp:posOffset>
            </wp:positionH>
            <wp:positionV relativeFrom="paragraph">
              <wp:posOffset>1186815</wp:posOffset>
            </wp:positionV>
            <wp:extent cx="3557905" cy="2007784"/>
            <wp:effectExtent l="0" t="0" r="444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rotWithShape="1">
                    <a:blip r:embed="rId35">
                      <a:extLst>
                        <a:ext uri="{28A0092B-C50C-407E-A947-70E740481C1C}">
                          <a14:useLocalDpi xmlns:a14="http://schemas.microsoft.com/office/drawing/2010/main" val="0"/>
                        </a:ext>
                      </a:extLst>
                    </a:blip>
                    <a:srcRect l="17626" t="54541" r="59775" b="11428"/>
                    <a:stretch/>
                  </pic:blipFill>
                  <pic:spPr bwMode="auto">
                    <a:xfrm>
                      <a:off x="0" y="0"/>
                      <a:ext cx="3557905" cy="2007784"/>
                    </a:xfrm>
                    <a:prstGeom prst="rect">
                      <a:avLst/>
                    </a:prstGeom>
                    <a:ln>
                      <a:noFill/>
                    </a:ln>
                    <a:extLst>
                      <a:ext uri="{53640926-AAD7-44D8-BBD7-CCE9431645EC}">
                        <a14:shadowObscured xmlns:a14="http://schemas.microsoft.com/office/drawing/2010/main"/>
                      </a:ext>
                    </a:extLst>
                  </pic:spPr>
                </pic:pic>
              </a:graphicData>
            </a:graphic>
          </wp:anchor>
        </w:drawing>
      </w:r>
      <w:r w:rsidR="003178F6">
        <w:t xml:space="preserve">Russo et al </w:t>
      </w:r>
      <w:r w:rsidR="003178F6">
        <w:fldChar w:fldCharType="begin"/>
      </w:r>
      <w:r w:rsidR="003178F6">
        <w:instrText xml:space="preserve"> ADDIN EN.CITE &lt;EndNote&gt;&lt;Cite&gt;&lt;Author&gt;Russo&lt;/Author&gt;&lt;Year&gt;2018&lt;/Year&gt;&lt;RecNum&gt;10550&lt;/RecNum&gt;&lt;DisplayText&gt;(Russo, Cibella et al. 2018)&lt;/DisplayText&gt;&lt;record&gt;&lt;rec-number&gt;10550&lt;/rec-number&gt;&lt;foreign-keys&gt;&lt;key app="EN" db-id="9z05dz0praadfuee0zoxzedk9zfe5fxx50z5" timestamp="1526869879"&gt;10550&lt;/key&gt;&lt;key app="ENWeb" db-id=""&gt;0&lt;/key&gt;&lt;/foreign-keys&gt;&lt;ref-type name="Journal Article"&gt;17&lt;/ref-type&gt;&lt;contributors&gt;&lt;authors&gt;&lt;author&gt;Russo, Cristina&lt;/author&gt;&lt;author&gt;Cibella, Fabio&lt;/author&gt;&lt;author&gt;Mondati, Enrico&lt;/author&gt;&lt;author&gt;Caponnetto, Pasquale&lt;/author&gt;&lt;author&gt;Frazzetto, Evelise&lt;/author&gt;&lt;author&gt;Caruso, Massimo&lt;/author&gt;&lt;author&gt;Caci, Grazia&lt;/author&gt;&lt;author&gt;Polosa, Riccardo&lt;/author&gt;&lt;/authors&gt;&lt;/contributors&gt;&lt;titles&gt;&lt;title&gt;Lack of Substantial Post-Cessation Weight Increase in Electronic Cigarettes Users&lt;/title&gt;&lt;secondary-title&gt;International journal of environmental research and public health&lt;/secondary-title&gt;&lt;/titles&gt;&lt;periodical&gt;&lt;full-title&gt;International Journal of Environmental Research and Public Health&lt;/full-title&gt;&lt;/periodical&gt;&lt;volume&gt;15&lt;/volume&gt;&lt;number&gt;4&lt;/number&gt;&lt;dates&gt;&lt;year&gt;2018&lt;/year&gt;&lt;pub-dates&gt;&lt;date&gt;2018 Mar&lt;/date&gt;&lt;/pub-dates&gt;&lt;/dates&gt;&lt;accession-num&gt;MEDLINE:29570695&lt;/accession-num&gt;&lt;urls&gt;&lt;related-urls&gt;&lt;url&gt;&amp;lt;Go to ISI&amp;gt;://MEDLINE:29570695&lt;/url&gt;&lt;url&gt;http://www.mdpi.com/1660-4601/15/4/581/pdf&lt;/url&gt;&lt;/related-urls&gt;&lt;/urls&gt;&lt;electronic-resource-num&gt;10.3390/ijerph15040581&lt;/electronic-resource-num&gt;&lt;/record&gt;&lt;/Cite&gt;&lt;/EndNote&gt;</w:instrText>
      </w:r>
      <w:r w:rsidR="003178F6">
        <w:fldChar w:fldCharType="separate"/>
      </w:r>
      <w:r w:rsidR="003178F6">
        <w:rPr>
          <w:noProof/>
        </w:rPr>
        <w:t>(Russo, Cibella et al. 2018)</w:t>
      </w:r>
      <w:r w:rsidR="003178F6">
        <w:fldChar w:fldCharType="end"/>
      </w:r>
      <w:r w:rsidR="003178F6">
        <w:t xml:space="preserve"> used hospital records obtained from four Italian hospitals to determine any relationship between smoking cessation and weight gain in e</w:t>
      </w:r>
      <w:r w:rsidR="003178F6">
        <w:noBreakHyphen/>
        <w:t xml:space="preserve">cigarette users. Records over </w:t>
      </w:r>
      <w:r w:rsidR="00AF78AB">
        <w:t>three and a half</w:t>
      </w:r>
      <w:r w:rsidR="003178F6">
        <w:t xml:space="preserve"> years were collected and those from patients with cardiorespiratory conditions were divided into three groups: e</w:t>
      </w:r>
      <w:r w:rsidR="003178F6">
        <w:noBreakHyphen/>
        <w:t>cigarette users (n=86, including 50% dual users), and age and sex matched smokers (n=93) and patients who had stopped smoking for at least six months (n=44). 1</w:t>
      </w:r>
      <w:r w:rsidR="00735A9C">
        <w:t>,</w:t>
      </w:r>
      <w:r w:rsidR="003178F6">
        <w:t>258 medical records were reviewed. Data were taken from</w:t>
      </w:r>
      <w:r w:rsidR="00AF78AB">
        <w:t xml:space="preserve"> six</w:t>
      </w:r>
      <w:r w:rsidR="003178F6">
        <w:t xml:space="preserve"> and 12</w:t>
      </w:r>
      <w:r w:rsidR="00AF78AB">
        <w:t xml:space="preserve"> </w:t>
      </w:r>
      <w:r w:rsidR="003178F6">
        <w:t>mo</w:t>
      </w:r>
      <w:r w:rsidR="00AF78AB">
        <w:t>nths</w:t>
      </w:r>
      <w:r w:rsidR="003178F6">
        <w:t xml:space="preserve"> follow</w:t>
      </w:r>
      <w:r w:rsidR="003178F6">
        <w:noBreakHyphen/>
        <w:t xml:space="preserve">up visits. The primary outcome of interest was body weight at </w:t>
      </w:r>
      <w:r w:rsidR="00AF78AB">
        <w:t>one</w:t>
      </w:r>
      <w:r w:rsidR="003178F6">
        <w:t xml:space="preserve"> year. Body weight change extracted from the paper is shown </w:t>
      </w:r>
      <w:r w:rsidR="0049340A">
        <w:t>in Figure 7</w:t>
      </w:r>
      <w:r w:rsidR="003178F6">
        <w:t xml:space="preserve">. Quitters gained 4.8% of their body weight over </w:t>
      </w:r>
      <w:r w:rsidR="00AF78AB">
        <w:t>one</w:t>
      </w:r>
      <w:r w:rsidR="003178F6">
        <w:t xml:space="preserve"> year whereas e</w:t>
      </w:r>
      <w:r w:rsidR="003178F6">
        <w:noBreakHyphen/>
        <w:t>cigarette users gained 1.5% of their baseline weight. This study was conducted only among people with cardiorespiratory conditions and may not be generalisable to the general population. The investigators suggest that e</w:t>
      </w:r>
      <w:r w:rsidR="003178F6">
        <w:noBreakHyphen/>
        <w:t>cigarettes may help smokers minimise post</w:t>
      </w:r>
      <w:r w:rsidR="003178F6">
        <w:noBreakHyphen/>
        <w:t>cessation weight gain.</w:t>
      </w:r>
    </w:p>
    <w:p w14:paraId="154F972E" w14:textId="77777777" w:rsidR="00A0187A" w:rsidRDefault="00A0187A" w:rsidP="0066126F">
      <w:pPr>
        <w:pStyle w:val="Heading1"/>
        <w:rPr>
          <w:rStyle w:val="Heading1Char"/>
          <w:b/>
          <w:bCs/>
        </w:rPr>
      </w:pPr>
      <w:bookmarkStart w:id="198" w:name="_Toc517706710"/>
      <w:bookmarkStart w:id="199" w:name="_Toc515229044"/>
      <w:r>
        <w:rPr>
          <w:rStyle w:val="Heading1Char"/>
          <w:b/>
          <w:bCs/>
        </w:rPr>
        <w:lastRenderedPageBreak/>
        <w:t>Modelling studies</w:t>
      </w:r>
      <w:bookmarkEnd w:id="198"/>
    </w:p>
    <w:p w14:paraId="29677A15" w14:textId="77777777" w:rsidR="003178F6" w:rsidRPr="00750430" w:rsidRDefault="003178F6" w:rsidP="003178F6">
      <w:pPr>
        <w:pStyle w:val="BodyText"/>
      </w:pPr>
      <w:r>
        <w:t>A</w:t>
      </w:r>
      <w:r w:rsidRPr="00750430">
        <w:t xml:space="preserve"> modelling study explored the potential mortality avoided by conventional cigarette smokers taking up e</w:t>
      </w:r>
      <w:r w:rsidRPr="00750430">
        <w:noBreakHyphen/>
        <w:t>cigarettes.</w:t>
      </w:r>
    </w:p>
    <w:p w14:paraId="01C33E37" w14:textId="77777777" w:rsidR="003178F6" w:rsidRDefault="003178F6" w:rsidP="003178F6">
      <w:pPr>
        <w:pStyle w:val="BodyText"/>
      </w:pPr>
      <w:r w:rsidRPr="00750430">
        <w:t xml:space="preserve">In </w:t>
      </w:r>
      <w:r>
        <w:t>a</w:t>
      </w:r>
      <w:r w:rsidRPr="00750430">
        <w:t xml:space="preserve"> US study</w:t>
      </w:r>
      <w:r>
        <w:t xml:space="preserve"> funded by the tobacco industry</w:t>
      </w:r>
      <w:r w:rsidRPr="00750430">
        <w:t xml:space="preserve"> </w:t>
      </w:r>
      <w:r w:rsidRPr="00750430">
        <w:fldChar w:fldCharType="begin">
          <w:fldData xml:space="preserve">PEVuZE5vdGU+PENpdGU+PEF1dGhvcj5MZXZ5PC9BdXRob3I+PFllYXI+MjAxODwvWWVhcj48UmVj
TnVtPjg4MzwvUmVjTnVtPjxEaXNwbGF5VGV4dD4oTGV2eSwgQm9ybGFuZCBldCBhbC4gMjAxOCk8
L0Rpc3BsYXlUZXh0PjxyZWNvcmQ+PHJlYy1udW1iZXI+ODgzPC9yZWMtbnVtYmVyPjxmb3JlaWdu
LWtleXM+PGtleSBhcHA9IkVOIiBkYi1pZD0iOXZzOXB6ZnpuYXB4cGhlZmEyOHh6dzk1c2Y1YXYw
c3Y5cmR6IiB0aW1lc3RhbXA9IjE1MjExNTkzODUiPjg4Mzwva2V5PjwvZm9yZWlnbi1rZXlzPjxy
ZWYtdHlwZSBuYW1lPSJKb3VybmFsIEFydGljbGUiPjE3PC9yZWYtdHlwZT48Y29udHJpYnV0b3Jz
PjxhdXRob3JzPjxhdXRob3I+TGV2eSwgRC4gVC48L2F1dGhvcj48YXV0aG9yPkJvcmxhbmQsIFIu
PC9hdXRob3I+PGF1dGhvcj5MaW5kYmxvbSwgRS4gTi48L2F1dGhvcj48YXV0aG9yPkdvbmlld2lj
eiwgTS4gTC48L2F1dGhvcj48YXV0aG9yPk1lemEsIFIuPC9hdXRob3I+PGF1dGhvcj5Ib2xmb3Jk
LCBULiBSLjwvYXV0aG9yPjxhdXRob3I+WXVhbiwgWi48L2F1dGhvcj48YXV0aG9yPkx1bywgWS48
L2F1dGhvcj48YXV0aG9yPk8mYXBvcztDb25ub3IsIFIuIEouPC9hdXRob3I+PGF1dGhvcj5OaWF1
cmEsIFIuPC9hdXRob3I+PGF1dGhvcj5BYnJhbXMsIEQuIEIuPC9hdXRob3I+PC9hdXRob3JzPjwv
Y29udHJpYnV0b3JzPjxhdXRoLWFkZHJlc3M+RGVwYXJ0bWVudCBvZiBPbmNvbG9neSwgTG9tYmFy
ZGkgQ29tcHJlaGVuc2l2ZSBDYW5jZXIgQ2VudGVyLCBHZW9yZ2V0b3duIFVuaXZlcnNpdHkgTWVk
aWNhbCBDZW50ZXIsIFdhc2hpbmd0b24sIERpc3RyaWN0IG9mIENvbHVtYmlhLCBVU0EuJiN4RDtO
aWdlbCBHcmF5IERpc3Rpbmd1aXNoZWQgRmVsbG93IGluIENhbmNlciBQcmV2ZW50aW9uLCBWaWNI
ZWFsdGggQ2VudHJlIGZvciBUb2JhY2NvIENvbnRyb2wsIFRoZSBDYW5jZXIgQ291bmNpbCBWaWN0
b3JpYSwgTWVsYm91cm5lLCBWaWN0b3JpYSwgQXVzdHJhbGlhLiYjeEQ7TyZhcG9zO05laWxsIElu
c3RpdHV0ZSBmb3IgTmF0aW9uYWwgJmFtcDsgR2xvYmFsIEhlYWx0aCBMYXcsIEdlb3JnZXRvd24g
VW5pdmVyc2l0eSBMYXcgQ2VudGVyLCBXYXNoaW5ndG9uLCBEaXN0cmljdCBvZiBDb2x1bWJpYSwg
VVNBLiYjeEQ7RGVwYXJ0bWVudCBvZiBIZWFsdGggQmVoYXZpb3IsIERpdmlzaW9uIG9mIENhbmNl
ciBQcmV2ZW50aW9uIGFuZCBQb3B1bGF0aW9uIFN0dWRpZXMsIFJvc3dlbGwgUGFyayBDYW5jZXIg
SW5zdGl0dXRlLCBCdWZmYWxvLCBOZXcgWW9yaywgVVNBLiYjeEQ7RGVwYXJ0bWVudCBvZiBFcGlk
ZW1pb2xvZ3ksIFNjaG9vbCBvZiBQdWJsaWMgSGVhbHRoLCBVbml2ZXJzaXR5IG9mIE1pY2hpZ2Fu
LCBBbm4gQXJib3IsIE1pY2hpZ2FuLCBVU0EuJiN4RDtEZXBhcnRtZW50IG9mIEJpb3N0YXRpc3Rp
Y3MsIFlhbGUgVW5pdmVyc2l0eSwgTmV3IEhhdmVuLCBDb25uZWN0aWN1dCwgVVNBLiYjeEQ7TG9t
YmFyZGkgQ29tcHJlaGVuc2l2ZSBDYW5jZXIgQ2VudGVyLCBHZW9yZ2V0b3duIFVuaXZlcnNpdHks
IFdhc2hpbmd0b24sIERpc3RyaWN0IG9mIENvbHVtYmlhLCBVU0EuJiN4RDtTY2hyb2VkZXIgSW5z
dGl0dXRlIGZvciBUb2JhY2NvIFJlc2VhcmNoIGFuZCBQb2xpY3kgU3R1ZGllcywgVHJ1dGggSW5p
dGlhdGl2ZSwgV2FzaGluZ3RvbiwgRGlzdHJpY3Qgb2YgQ29sdW1iaWEsIFVTQS48L2F1dGgtYWRk
cmVzcz48dGl0bGVzPjx0aXRsZT5Qb3RlbnRpYWwgZGVhdGhzIGF2ZXJ0ZWQgaW4gVVNBIGJ5IHJl
cGxhY2luZyBjaWdhcmV0dGVzIHdpdGggZS1jaWdhcmV0dGVzPC90aXRsZT48c2Vjb25kYXJ5LXRp
dGxlPlRvYiBDb250cm9sPC9zZWNvbmRhcnktdGl0bGU+PGFsdC10aXRsZT5Ub2JhY2NvIGNvbnRy
b2w8L2FsdC10aXRsZT48L3RpdGxlcz48YWx0LXBlcmlvZGljYWw+PGZ1bGwtdGl0bGU+VG9iYWNj
byBDb250cm9sPC9mdWxsLXRpdGxlPjwvYWx0LXBlcmlvZGljYWw+PHBhZ2VzPjE4LTI1PC9wYWdl
cz48dm9sdW1lPjI3PC92b2x1bWU+PG51bWJlcj4xPC9udW1iZXI+PGVkaXRpb24+MjAxNy8xMC8w
NDwvZWRpdGlvbj48a2V5d29yZHM+PGtleXdvcmQ+ZWxlY3Ryb25pYyBuaWNvdGluZSBkZWxpdmVy
eSBkZXZpY2VzPC9rZXl3b3JkPjxrZXl3b3JkPmVuZCBnYW1lPC9rZXl3b3JkPjxrZXl3b3JkPmhh
cm0gcmVkdWN0aW9uPC9rZXl3b3JkPjxrZXl3b3JkPnB1YmxpYyBwb2xpY3k8L2tleXdvcmQ+PGtl
eXdvcmQ+YWR2aXNvcnkgYm9hcmQgbWVtYmVyIHRvIEpvaG5zb24gJmFtcDsgSm9obnNvbiwgbWFu
dWZhY3R1cmVycyBvZiBzbW9raW5nIGNlc3NhdGlvbjwva2V5d29yZD48a2V5d29yZD5tZWRpY2F0
aW9ucy4gTm8gb3RoZXIgY29uZmxpY3RzIG9mIGludGVyZXN0IGFyZSBkZWNsYXJlZC48L2tleXdv
cmQ+PC9rZXl3b3Jkcz48ZGF0ZXM+PHllYXI+MjAxODwveWVhcj48cHViLWRhdGVzPjxkYXRlPkph
bjwvZGF0ZT48L3B1Yi1kYXRlcz48L2RhdGVzPjxpc2JuPjA5NjQtNDU2MzwvaXNibj48YWNjZXNz
aW9uLW51bT4yODk3MDMyODwvYWNjZXNzaW9uLW51bT48dXJscz48L3VybHM+PGN1c3RvbTI+UE1D
NTgwMTY1MzwvY3VzdG9tMj48ZWxlY3Ryb25pYy1yZXNvdXJjZS1udW0+MTAuMTEzNi90b2JhY2Nv
Y29udHJvbC0yMDE3LTA1Mzc1OTwvZWxlY3Ryb25pYy1yZXNvdXJjZS1udW0+PHJlbW90ZS1kYXRh
YmFzZS1wcm92aWRlcj5OTE08L3JlbW90ZS1kYXRhYmFzZS1wcm92aWRlcj48bGFuZ3VhZ2U+ZW5n
PC9sYW5ndWFnZT48L3JlY29yZD48L0NpdGU+PC9FbmROb3RlPgB=
</w:fldData>
        </w:fldChar>
      </w:r>
      <w:r w:rsidRPr="00750430">
        <w:instrText xml:space="preserve"> ADDIN EN.CITE </w:instrText>
      </w:r>
      <w:r w:rsidRPr="00750430">
        <w:fldChar w:fldCharType="begin">
          <w:fldData xml:space="preserve">PEVuZE5vdGU+PENpdGU+PEF1dGhvcj5MZXZ5PC9BdXRob3I+PFllYXI+MjAxODwvWWVhcj48UmVj
TnVtPjg4MzwvUmVjTnVtPjxEaXNwbGF5VGV4dD4oTGV2eSwgQm9ybGFuZCBldCBhbC4gMjAxOCk8
L0Rpc3BsYXlUZXh0PjxyZWNvcmQ+PHJlYy1udW1iZXI+ODgzPC9yZWMtbnVtYmVyPjxmb3JlaWdu
LWtleXM+PGtleSBhcHA9IkVOIiBkYi1pZD0iOXZzOXB6ZnpuYXB4cGhlZmEyOHh6dzk1c2Y1YXYw
c3Y5cmR6IiB0aW1lc3RhbXA9IjE1MjExNTkzODUiPjg4Mzwva2V5PjwvZm9yZWlnbi1rZXlzPjxy
ZWYtdHlwZSBuYW1lPSJKb3VybmFsIEFydGljbGUiPjE3PC9yZWYtdHlwZT48Y29udHJpYnV0b3Jz
PjxhdXRob3JzPjxhdXRob3I+TGV2eSwgRC4gVC48L2F1dGhvcj48YXV0aG9yPkJvcmxhbmQsIFIu
PC9hdXRob3I+PGF1dGhvcj5MaW5kYmxvbSwgRS4gTi48L2F1dGhvcj48YXV0aG9yPkdvbmlld2lj
eiwgTS4gTC48L2F1dGhvcj48YXV0aG9yPk1lemEsIFIuPC9hdXRob3I+PGF1dGhvcj5Ib2xmb3Jk
LCBULiBSLjwvYXV0aG9yPjxhdXRob3I+WXVhbiwgWi48L2F1dGhvcj48YXV0aG9yPkx1bywgWS48
L2F1dGhvcj48YXV0aG9yPk8mYXBvcztDb25ub3IsIFIuIEouPC9hdXRob3I+PGF1dGhvcj5OaWF1
cmEsIFIuPC9hdXRob3I+PGF1dGhvcj5BYnJhbXMsIEQuIEIuPC9hdXRob3I+PC9hdXRob3JzPjwv
Y29udHJpYnV0b3JzPjxhdXRoLWFkZHJlc3M+RGVwYXJ0bWVudCBvZiBPbmNvbG9neSwgTG9tYmFy
ZGkgQ29tcHJlaGVuc2l2ZSBDYW5jZXIgQ2VudGVyLCBHZW9yZ2V0b3duIFVuaXZlcnNpdHkgTWVk
aWNhbCBDZW50ZXIsIFdhc2hpbmd0b24sIERpc3RyaWN0IG9mIENvbHVtYmlhLCBVU0EuJiN4RDtO
aWdlbCBHcmF5IERpc3Rpbmd1aXNoZWQgRmVsbG93IGluIENhbmNlciBQcmV2ZW50aW9uLCBWaWNI
ZWFsdGggQ2VudHJlIGZvciBUb2JhY2NvIENvbnRyb2wsIFRoZSBDYW5jZXIgQ291bmNpbCBWaWN0
b3JpYSwgTWVsYm91cm5lLCBWaWN0b3JpYSwgQXVzdHJhbGlhLiYjeEQ7TyZhcG9zO05laWxsIElu
c3RpdHV0ZSBmb3IgTmF0aW9uYWwgJmFtcDsgR2xvYmFsIEhlYWx0aCBMYXcsIEdlb3JnZXRvd24g
VW5pdmVyc2l0eSBMYXcgQ2VudGVyLCBXYXNoaW5ndG9uLCBEaXN0cmljdCBvZiBDb2x1bWJpYSwg
VVNBLiYjeEQ7RGVwYXJ0bWVudCBvZiBIZWFsdGggQmVoYXZpb3IsIERpdmlzaW9uIG9mIENhbmNl
ciBQcmV2ZW50aW9uIGFuZCBQb3B1bGF0aW9uIFN0dWRpZXMsIFJvc3dlbGwgUGFyayBDYW5jZXIg
SW5zdGl0dXRlLCBCdWZmYWxvLCBOZXcgWW9yaywgVVNBLiYjeEQ7RGVwYXJ0bWVudCBvZiBFcGlk
ZW1pb2xvZ3ksIFNjaG9vbCBvZiBQdWJsaWMgSGVhbHRoLCBVbml2ZXJzaXR5IG9mIE1pY2hpZ2Fu
LCBBbm4gQXJib3IsIE1pY2hpZ2FuLCBVU0EuJiN4RDtEZXBhcnRtZW50IG9mIEJpb3N0YXRpc3Rp
Y3MsIFlhbGUgVW5pdmVyc2l0eSwgTmV3IEhhdmVuLCBDb25uZWN0aWN1dCwgVVNBLiYjeEQ7TG9t
YmFyZGkgQ29tcHJlaGVuc2l2ZSBDYW5jZXIgQ2VudGVyLCBHZW9yZ2V0b3duIFVuaXZlcnNpdHks
IFdhc2hpbmd0b24sIERpc3RyaWN0IG9mIENvbHVtYmlhLCBVU0EuJiN4RDtTY2hyb2VkZXIgSW5z
dGl0dXRlIGZvciBUb2JhY2NvIFJlc2VhcmNoIGFuZCBQb2xpY3kgU3R1ZGllcywgVHJ1dGggSW5p
dGlhdGl2ZSwgV2FzaGluZ3RvbiwgRGlzdHJpY3Qgb2YgQ29sdW1iaWEsIFVTQS48L2F1dGgtYWRk
cmVzcz48dGl0bGVzPjx0aXRsZT5Qb3RlbnRpYWwgZGVhdGhzIGF2ZXJ0ZWQgaW4gVVNBIGJ5IHJl
cGxhY2luZyBjaWdhcmV0dGVzIHdpdGggZS1jaWdhcmV0dGVzPC90aXRsZT48c2Vjb25kYXJ5LXRp
dGxlPlRvYiBDb250cm9sPC9zZWNvbmRhcnktdGl0bGU+PGFsdC10aXRsZT5Ub2JhY2NvIGNvbnRy
b2w8L2FsdC10aXRsZT48L3RpdGxlcz48YWx0LXBlcmlvZGljYWw+PGZ1bGwtdGl0bGU+VG9iYWNj
byBDb250cm9sPC9mdWxsLXRpdGxlPjwvYWx0LXBlcmlvZGljYWw+PHBhZ2VzPjE4LTI1PC9wYWdl
cz48dm9sdW1lPjI3PC92b2x1bWU+PG51bWJlcj4xPC9udW1iZXI+PGVkaXRpb24+MjAxNy8xMC8w
NDwvZWRpdGlvbj48a2V5d29yZHM+PGtleXdvcmQ+ZWxlY3Ryb25pYyBuaWNvdGluZSBkZWxpdmVy
eSBkZXZpY2VzPC9rZXl3b3JkPjxrZXl3b3JkPmVuZCBnYW1lPC9rZXl3b3JkPjxrZXl3b3JkPmhh
cm0gcmVkdWN0aW9uPC9rZXl3b3JkPjxrZXl3b3JkPnB1YmxpYyBwb2xpY3k8L2tleXdvcmQ+PGtl
eXdvcmQ+YWR2aXNvcnkgYm9hcmQgbWVtYmVyIHRvIEpvaG5zb24gJmFtcDsgSm9obnNvbiwgbWFu
dWZhY3R1cmVycyBvZiBzbW9raW5nIGNlc3NhdGlvbjwva2V5d29yZD48a2V5d29yZD5tZWRpY2F0
aW9ucy4gTm8gb3RoZXIgY29uZmxpY3RzIG9mIGludGVyZXN0IGFyZSBkZWNsYXJlZC48L2tleXdv
cmQ+PC9rZXl3b3Jkcz48ZGF0ZXM+PHllYXI+MjAxODwveWVhcj48cHViLWRhdGVzPjxkYXRlPkph
bjwvZGF0ZT48L3B1Yi1kYXRlcz48L2RhdGVzPjxpc2JuPjA5NjQtNDU2MzwvaXNibj48YWNjZXNz
aW9uLW51bT4yODk3MDMyODwvYWNjZXNzaW9uLW51bT48dXJscz48L3VybHM+PGN1c3RvbTI+UE1D
NTgwMTY1MzwvY3VzdG9tMj48ZWxlY3Ryb25pYy1yZXNvdXJjZS1udW0+MTAuMTEzNi90b2JhY2Nv
Y29udHJvbC0yMDE3LTA1Mzc1OTwvZWxlY3Ryb25pYy1yZXNvdXJjZS1udW0+PHJlbW90ZS1kYXRh
YmFzZS1wcm92aWRlcj5OTE08L3JlbW90ZS1kYXRhYmFzZS1wcm92aWRlcj48bGFuZ3VhZ2U+ZW5n
PC9sYW5ndWFnZT48L3JlY29yZD48L0NpdGU+PC9FbmROb3RlPgB=
</w:fldData>
        </w:fldChar>
      </w:r>
      <w:r w:rsidRPr="00750430">
        <w:instrText xml:space="preserve"> ADDIN EN.CITE.DATA </w:instrText>
      </w:r>
      <w:r w:rsidRPr="00750430">
        <w:fldChar w:fldCharType="end"/>
      </w:r>
      <w:r w:rsidRPr="00750430">
        <w:fldChar w:fldCharType="separate"/>
      </w:r>
      <w:r w:rsidRPr="00750430">
        <w:rPr>
          <w:noProof/>
        </w:rPr>
        <w:t>(Levy, Borland et al. 2018)</w:t>
      </w:r>
      <w:r w:rsidRPr="00750430">
        <w:fldChar w:fldCharType="end"/>
      </w:r>
      <w:r w:rsidRPr="00750430">
        <w:t>, the aim was to demonstrate the potential health impact from a strategy directed at replacing all or most cigarette smoking by e</w:t>
      </w:r>
      <w:r w:rsidRPr="00750430">
        <w:noBreakHyphen/>
        <w:t>cigarette use (taking into account current smokers, never smokers and e</w:t>
      </w:r>
      <w:r w:rsidRPr="00750430">
        <w:noBreakHyphen/>
        <w:t>cigarette users). A model is used to consider potential health outcomes/deaths averted if cigarette smokers switched to vaping e</w:t>
      </w:r>
      <w:r w:rsidRPr="00750430">
        <w:noBreakHyphen/>
        <w:t>cigarettes (comparing a status quo scenario with a substitution model where vaping replaces cigarettes over a 10</w:t>
      </w:r>
      <w:r w:rsidRPr="00750430">
        <w:noBreakHyphen/>
        <w:t>year period). Considering the population aged 15 to 99 years in 2016, modelling included groups such as e</w:t>
      </w:r>
      <w:r w:rsidRPr="00750430">
        <w:noBreakHyphen/>
        <w:t>cigarette users that never smoked, e</w:t>
      </w:r>
      <w:r w:rsidRPr="00750430">
        <w:noBreakHyphen/>
        <w:t>cigarette users among former smokers, former e</w:t>
      </w:r>
      <w:r w:rsidRPr="00750430">
        <w:noBreakHyphen/>
        <w:t>cigarette users and current and former smokers who have not yet switched to e</w:t>
      </w:r>
      <w:r w:rsidRPr="00750430">
        <w:noBreakHyphen/>
        <w:t xml:space="preserve">cigarette use. </w:t>
      </w:r>
    </w:p>
    <w:p w14:paraId="3A367B81" w14:textId="77777777" w:rsidR="003178F6" w:rsidRDefault="003178F6" w:rsidP="003178F6">
      <w:pPr>
        <w:pStyle w:val="BodyText"/>
      </w:pPr>
      <w:r w:rsidRPr="00750430">
        <w:t xml:space="preserve">In the </w:t>
      </w:r>
      <w:r>
        <w:t>s</w:t>
      </w:r>
      <w:r w:rsidRPr="00750430">
        <w:t xml:space="preserve">tatus </w:t>
      </w:r>
      <w:r>
        <w:t>q</w:t>
      </w:r>
      <w:r w:rsidRPr="00750430">
        <w:t>uo scenario</w:t>
      </w:r>
      <w:r>
        <w:t>,</w:t>
      </w:r>
      <w:r w:rsidRPr="00750430">
        <w:t xml:space="preserve"> the number of smoking attributable deaths for current smokers was calculated by age, sex and year as the product of their excess mortality risks (i.e. current smoker mortality rate minus never smoker mortality rate) multiplied by the number of smokers. A similar rate was calculated for former smokers, then smoking attributable deaths combined for current and former smokers. In the optimistic scenario </w:t>
      </w:r>
      <w:r>
        <w:t>(</w:t>
      </w:r>
      <w:r w:rsidRPr="00750430">
        <w:t>e</w:t>
      </w:r>
      <w:r w:rsidRPr="00750430">
        <w:noBreakHyphen/>
        <w:t>cigarette use</w:t>
      </w:r>
      <w:r>
        <w:t>)</w:t>
      </w:r>
      <w:r w:rsidRPr="00750430">
        <w:t xml:space="preserve"> it is assumed that the prevalence of cigarette use will be reduced to 5% residual prevalence of cigarette use. </w:t>
      </w:r>
    </w:p>
    <w:p w14:paraId="572CCE32" w14:textId="77777777" w:rsidR="003178F6" w:rsidRDefault="003178F6" w:rsidP="003178F6">
      <w:pPr>
        <w:pStyle w:val="BodyText"/>
      </w:pPr>
      <w:r w:rsidRPr="00750430">
        <w:t>In the pessimistic scenario, a 10% residual prevalence of cigarette use is assumed. It is claimed that replacement of conventional cigarettes with e</w:t>
      </w:r>
      <w:r w:rsidRPr="00750430">
        <w:noBreakHyphen/>
        <w:t>cigarettes over a 10</w:t>
      </w:r>
      <w:r w:rsidRPr="00750430">
        <w:noBreakHyphen/>
        <w:t>year period will prevent 6.6</w:t>
      </w:r>
      <w:r>
        <w:t xml:space="preserve"> </w:t>
      </w:r>
      <w:r w:rsidRPr="00750430">
        <w:t xml:space="preserve">million deaths and result in 86.7 million fewer life years lost in </w:t>
      </w:r>
      <w:r>
        <w:t>the</w:t>
      </w:r>
      <w:r w:rsidRPr="00750430">
        <w:t xml:space="preserve"> ‘optimistic scenario’. In </w:t>
      </w:r>
      <w:r>
        <w:t>the</w:t>
      </w:r>
      <w:r w:rsidRPr="00750430">
        <w:t xml:space="preserve"> pessimistic scenario, 1.6 million deaths would be averted and 20.8</w:t>
      </w:r>
      <w:r>
        <w:t xml:space="preserve"> </w:t>
      </w:r>
      <w:r w:rsidRPr="00750430">
        <w:t xml:space="preserve">million fewer life years lost. Separate analyses were provided for cohorts aged 15 years and 35 years in 2016. </w:t>
      </w:r>
    </w:p>
    <w:p w14:paraId="6CEF25D5" w14:textId="77777777" w:rsidR="003178F6" w:rsidRDefault="003178F6" w:rsidP="003178F6">
      <w:pPr>
        <w:pStyle w:val="BodyText"/>
      </w:pPr>
      <w:r w:rsidRPr="00750430">
        <w:t>It is estimated that the largest gains in terms of life expectancy as a result of switching to e</w:t>
      </w:r>
      <w:r w:rsidRPr="00750430">
        <w:noBreakHyphen/>
        <w:t>cigarettes would be among the younger cohort (age 15 cohort).</w:t>
      </w:r>
    </w:p>
    <w:p w14:paraId="2D8B5C22" w14:textId="77777777" w:rsidR="003178F6" w:rsidRPr="00AB590B" w:rsidRDefault="003178F6" w:rsidP="003178F6">
      <w:pPr>
        <w:spacing w:before="120" w:line="264" w:lineRule="auto"/>
        <w:rPr>
          <w:sz w:val="24"/>
        </w:rPr>
      </w:pPr>
      <w:r w:rsidRPr="00750430">
        <w:rPr>
          <w:sz w:val="24"/>
        </w:rPr>
        <w:t xml:space="preserve">The Levy et al. study is included in the Public Health England review </w:t>
      </w:r>
      <w:r w:rsidRPr="00750430">
        <w:rPr>
          <w:sz w:val="24"/>
        </w:rPr>
        <w:fldChar w:fldCharType="begin"/>
      </w:r>
      <w:r w:rsidRPr="00750430">
        <w:rPr>
          <w:sz w:val="24"/>
        </w:rPr>
        <w:instrText xml:space="preserve"> ADDIN EN.CITE &lt;EndNote&gt;&lt;Cite&gt;&lt;Author&gt;McNeill A&lt;/Author&gt;&lt;Year&gt;2018&lt;/Year&gt;&lt;RecNum&gt;13025&lt;/RecNum&gt;&lt;DisplayText&gt;(McNeill A 2018)&lt;/DisplayText&gt;&lt;record&gt;&lt;rec-number&gt;13025&lt;/rec-number&gt;&lt;foreign-keys&gt;&lt;key app="EN" db-id="5xv5w5t2bdxtxfezx02xtxdft5rz5ptvvt29" timestamp="1524018409"&gt;13025&lt;/key&gt;&lt;/foreign-keys&gt;&lt;ref-type name="Journal Article"&gt;17&lt;/ref-type&gt;&lt;contributors&gt;&lt;authors&gt;&lt;author&gt;McNeill A,  Brose LS, Calder R,  Bauld L, Robson D.&lt;/author&gt;&lt;/authors&gt;&lt;/contributors&gt;&lt;titles&gt;&lt;title&gt;Evidence Review of e-cigarettes and heated tobacco products 2018. A Report comissioned by Public Health England.&lt;/title&gt;&lt;/titles&gt;&lt;dates&gt;&lt;year&gt;2018&lt;/year&gt;&lt;/dates&gt;&lt;urls&gt;&lt;/urls&gt;&lt;/record&gt;&lt;/Cite&gt;&lt;/EndNote&gt;</w:instrText>
      </w:r>
      <w:r w:rsidRPr="00750430">
        <w:rPr>
          <w:sz w:val="24"/>
        </w:rPr>
        <w:fldChar w:fldCharType="separate"/>
      </w:r>
      <w:r w:rsidRPr="00750430">
        <w:rPr>
          <w:noProof/>
          <w:sz w:val="24"/>
        </w:rPr>
        <w:t>(McNeill A 2018)</w:t>
      </w:r>
      <w:r w:rsidRPr="00750430">
        <w:rPr>
          <w:sz w:val="24"/>
        </w:rPr>
        <w:fldChar w:fldCharType="end"/>
      </w:r>
      <w:r w:rsidRPr="00750430">
        <w:rPr>
          <w:sz w:val="24"/>
        </w:rPr>
        <w:t>, Modelling studies have highlighted the harm reduction potential of e</w:t>
      </w:r>
      <w:r w:rsidRPr="00750430">
        <w:rPr>
          <w:sz w:val="24"/>
        </w:rPr>
        <w:noBreakHyphen/>
        <w:t>cigarettes where conventional tobacco smokers switch to e</w:t>
      </w:r>
      <w:r w:rsidRPr="00750430">
        <w:rPr>
          <w:sz w:val="24"/>
        </w:rPr>
        <w:noBreakHyphen/>
        <w:t>cigarettes. Modelling studies are somewhat premature at this stage, however, as a greater understanding of the health effects of e</w:t>
      </w:r>
      <w:r w:rsidRPr="00750430">
        <w:rPr>
          <w:sz w:val="24"/>
        </w:rPr>
        <w:noBreakHyphen/>
        <w:t xml:space="preserve">cigarettes is needed before accurate models can be developed. Further studies are required to identify the variables that should be included in such modelling simulations and </w:t>
      </w:r>
      <w:r>
        <w:rPr>
          <w:sz w:val="24"/>
        </w:rPr>
        <w:t xml:space="preserve">to </w:t>
      </w:r>
      <w:r w:rsidRPr="00750430">
        <w:rPr>
          <w:sz w:val="24"/>
        </w:rPr>
        <w:t>make appropriate assumptions and estimations regarding health outcomes.</w:t>
      </w:r>
    </w:p>
    <w:p w14:paraId="565A52A7" w14:textId="77777777" w:rsidR="003178F6" w:rsidRPr="003178F6" w:rsidRDefault="003178F6" w:rsidP="003178F6">
      <w:pPr>
        <w:pStyle w:val="BodyText"/>
      </w:pPr>
    </w:p>
    <w:p w14:paraId="6221A363" w14:textId="77777777" w:rsidR="00BD60C7" w:rsidRDefault="00BD60C7" w:rsidP="0066126F">
      <w:pPr>
        <w:pStyle w:val="Heading1"/>
      </w:pPr>
      <w:bookmarkStart w:id="200" w:name="_Toc517706711"/>
      <w:r w:rsidRPr="003E3C88">
        <w:rPr>
          <w:rStyle w:val="Heading1Char"/>
          <w:b/>
          <w:bCs/>
        </w:rPr>
        <w:lastRenderedPageBreak/>
        <w:t xml:space="preserve">Summary of health effects </w:t>
      </w:r>
      <w:r>
        <w:rPr>
          <w:rStyle w:val="Heading1Char"/>
          <w:b/>
          <w:bCs/>
        </w:rPr>
        <w:t xml:space="preserve">of e-cigarettes </w:t>
      </w:r>
      <w:r w:rsidRPr="003E3C88">
        <w:rPr>
          <w:rStyle w:val="Heading1Char"/>
          <w:b/>
          <w:bCs/>
        </w:rPr>
        <w:t>for smoke</w:t>
      </w:r>
      <w:r w:rsidRPr="003E3C88">
        <w:t>rs</w:t>
      </w:r>
      <w:bookmarkEnd w:id="199"/>
      <w:bookmarkEnd w:id="200"/>
    </w:p>
    <w:p w14:paraId="3F85FB2F" w14:textId="537EF3D4" w:rsidR="003178F6" w:rsidRDefault="003178F6" w:rsidP="003178F6">
      <w:pPr>
        <w:pStyle w:val="BodyText"/>
      </w:pPr>
      <w:r>
        <w:t>The health effects of e</w:t>
      </w:r>
      <w:r>
        <w:noBreakHyphen/>
        <w:t>cigarettes for smokers are a combination of the reduction in conventional smoking in addition to the increase in use of e</w:t>
      </w:r>
      <w:r>
        <w:noBreakHyphen/>
        <w:t>cigarettes. Conventional cigarette smoking has health effects for a period after smoking has ceased, and e</w:t>
      </w:r>
      <w:r>
        <w:noBreakHyphen/>
        <w:t>cigarette use can be presumed to have a latent period before its effects are apparent. Chronic health effects occur in the context of the effects of ageing. Ideally, health effects of the use of e</w:t>
      </w:r>
      <w:r>
        <w:noBreakHyphen/>
        <w:t>cigarettes in smokers would be examined where they could be compared to the health effects of continuing to smoke</w:t>
      </w:r>
      <w:r w:rsidR="009738E7">
        <w:t>. They</w:t>
      </w:r>
      <w:r>
        <w:t xml:space="preserve"> would</w:t>
      </w:r>
      <w:r w:rsidR="009738E7">
        <w:t xml:space="preserve"> also</w:t>
      </w:r>
      <w:r>
        <w:t xml:space="preserve"> be examined over sufficient time for health effects to occur, and the possibility of results being influenced by more health conscious smokers switching to e</w:t>
      </w:r>
      <w:r>
        <w:noBreakHyphen/>
        <w:t xml:space="preserve">cigarettes, while less health conscious smokers continue smoking could be avoided (by randomisation of smokers seeking to quit for example). However, for a range of reasons, published studies may not achieve an ideal design. </w:t>
      </w:r>
      <w:r w:rsidR="008146F9">
        <w:t xml:space="preserve"> </w:t>
      </w:r>
      <w:r>
        <w:t xml:space="preserve"> </w:t>
      </w:r>
    </w:p>
    <w:p w14:paraId="12021B56" w14:textId="30C51EE5" w:rsidR="003178F6" w:rsidRDefault="003178F6" w:rsidP="003178F6">
      <w:pPr>
        <w:pStyle w:val="BodyText"/>
      </w:pPr>
      <w:r>
        <w:t>In total, this review included 24 recent studies that addressed health outcomes associated with e</w:t>
      </w:r>
      <w:r>
        <w:noBreakHyphen/>
        <w:t xml:space="preserve">cigarette use in smokers. These studies used a range of designs which provide different information relevant to this relationship. For example, Caponnetto et al. </w:t>
      </w:r>
      <w:r>
        <w:fldChar w:fldCharType="begin">
          <w:fldData xml:space="preserve">PEVuZE5vdGU+PENpdGU+PEF1dGhvcj5DYXBvbm5ldHRvPC9BdXRob3I+PFllYXI+MjAxNzwvWWVh
cj48UmVjTnVtPjMzODY8L1JlY051bT48RGlzcGxheVRleHQ+KENhcG9ubmV0dG8sIE1hZ2xpYSBl
dCBhbC4gMjAxNyk8L0Rpc3BsYXlUZXh0PjxyZWNvcmQ+PHJlYy1udW1iZXI+MzM4NjwvcmVjLW51
bWJlcj48Zm9yZWlnbi1rZXlzPjxrZXkgYXBwPSJFTiIgZGItaWQ9ImZwdDlwdHRybTV6ZnNhZXNw
OWZwc2RkdjA5ZXdzdjV4ZXdmZCIgdGltZXN0YW1wPSIxNTIzODQwNjIxIj4zMzg2PC9rZXk+PGtl
eSBhcHA9IkVOV2ViIiBkYi1pZD0iIj4wPC9rZXk+PC9mb3JlaWduLWtleXM+PHJlZi10eXBlIG5h
bWU9IkpvdXJuYWwgQXJ0aWNsZSI+MTc8L3JlZi10eXBlPjxjb250cmlidXRvcnM+PGF1dGhvcnM+
PGF1dGhvcj5DYXBvbm5ldHRvLCBQLjwvYXV0aG9yPjxhdXRob3I+TWFnbGlhLCBNLjwvYXV0aG9y
PjxhdXRob3I+Q2FubmVsbGEsIE0uIEMuPC9hdXRob3I+PGF1dGhvcj5Jbmd1c2NpbywgTC48L2F1
dGhvcj48YXV0aG9yPkJ1b25vY29yZSwgTS48L2F1dGhvcj48YXV0aG9yPlNjb2dsaW8sIEMuPC9h
dXRob3I+PGF1dGhvcj5Qb2xvc2EsIFIuPC9hdXRob3I+PGF1dGhvcj5WaW5jaSwgVi48L2F1dGhv
cj48L2F1dGhvcnM+PC9jb250cmlidXRvcnM+PGF1dGgtYWRkcmVzcz5DZW50cm8gcGVyIGxhIFBy
ZXZlbnppb25lIGUgQ3VyYSBkZWwgVGFiYWdpc21vLCBBemllbmRhIE9zcGVkYWxpZXJvLVVuaXZl
cnNpdGFyaWEgJnF1b3Q7UG9saWNsaW5pY28tVi4gRW1hbnVlbGUsJnF1b3Q7IFVuaXZlcnNpdGEg
ZGkgQ2F0YW5pYUNhdGFuaWEsIEl0YWx5OyBJbnN0aXR1dGUgb2YgSW50ZXJuYWwgTWVkaWNpbmUs
IEcuIFJvZG9saWNvIEhvc3BpdGFsLCBBemllbmRhIE9zcGVkYWxpZXJvLVVuaXZlcnNpdGFyaWEg
JnF1b3Q7UG9saWNsaW5pY28tVi4gRW1hbnVlbGUsJnF1b3Q7IFVuaXZlcnNpdGEgZGkgQ2F0YW5p
YUNhdGFuaWEsIEl0YWx5OyBJbnN0aXR1dGUgZm9yIFNvY2lhbCBNYXJrZXRpbmcsIFVuaXZlcnNp
dHkgb2YgU3RpcmxpbmdTdGlybGluZywgVUsuJiN4RDtDZW50cm8gcGVyIGxhIFByZXZlbnppb25l
IGUgQ3VyYSBkZWwgVGFiYWdpc21vLCBBemllbmRhIE9zcGVkYWxpZXJvLVVuaXZlcnNpdGFyaWEg
JnF1b3Q7UG9saWNsaW5pY28tVi4gRW1hbnVlbGUsJnF1b3Q7IFVuaXZlcnNpdGEgZGkgQ2F0YW5p
YSBDYXRhbmlhLCBJdGFseS4mI3hEO1BzeWNob2xvZ3kgU2VydmljZSwgQVNQIENhdGFuaWEgQ2F0
YW5pYSwgSXRhbHkuJiN4RDtEZXBhcnRtZW50IG9mIFBzeWNob2xvZ3ksIFVuaXZlcnNpdHkgb2Yg
Um9tZSBMYSBTYXBpZW56YSBSb21lLCBJdGFseS4mI3hEO0RlcGFydG1lbnQgb2YgQ2xpbmljYWwg
TmV1cm9zY2llbmNlcywgU2FuIFJhZmZhZWxlIFNjaWVudGlmaWMgSW5zdGl0dXRlIE1pbGFuLCBJ
dGFseS4mI3hEO0NlbnRybyBwZXIgbGEgUHJldmVuemlvbmUgZSBDdXJhIGRlbCBUYWJhZ2lzbW8s
IEF6aWVuZGEgT3NwZWRhbGllcm8tVW5pdmVyc2l0YXJpYSAmcXVvdDtQb2xpY2xpbmljby1WLiBF
bWFudWVsZSwmcXVvdDsgVW5pdmVyc2l0YSBkaSBDYXRhbmlhQ2F0YW5pYSwgSXRhbHk7IEluc3Rp
dHV0ZSBvZiBJbnRlcm5hbCBNZWRpY2luZSwgRy4gUm9kb2xpY28gSG9zcGl0YWwsIEF6aWVuZGEg
T3NwZWRhbGllcm8tVW5pdmVyc2l0YXJpYSAmcXVvdDtQb2xpY2xpbmljby1WLiBFbWFudWVsZSwm
cXVvdDsgVW5pdmVyc2l0YSBkaSBDYXRhbmlhQ2F0YW5pYSwgSXRhbHkuPC9hdXRoLWFkZHJlc3M+
PHRpdGxlcz48dGl0bGU+SW1wYWN0IG9mIERpZmZlcmVudCBlLUNpZ2FyZXR0ZSBHZW5lcmF0aW9u
IGFuZCBNb2RlbHMgb24gQ29nbml0aXZlIFBlcmZvcm1hbmNlcywgQ3JhdmluZyBhbmQgR2VzdHVy
ZTogQSBSYW5kb21pemVkIENyb3NzLU92ZXIgVHJpYWwgKENvZ0VjaWcpPC90aXRsZT48c2Vjb25k
YXJ5LXRpdGxlPkZyb250IFBzeWNob2w8L3NlY29uZGFyeS10aXRsZT48YWx0LXRpdGxlPkZyb250
aWVycyBpbiBwc3ljaG9sb2d5PC9hbHQtdGl0bGU+PC90aXRsZXM+PGFsdC1wZXJpb2RpY2FsPjxm
dWxsLXRpdGxlPkZyb250aWVycyBpbiBQc3ljaG9sb2d5PC9mdWxsLXRpdGxlPjwvYWx0LXBlcmlv
ZGljYWw+PHBhZ2VzPjEyNzwvcGFnZXM+PHZvbHVtZT44PC92b2x1bWU+PGVkaXRpb24+MjAxNy8w
My8yNTwvZWRpdGlvbj48a2V5d29yZHM+PGtleXdvcmQ+YWR2ZXJzZSBldmVudHM8L2tleXdvcmQ+
PGtleXdvcmQ+Y2lnYXJldHRlIHN1YnN0aXR1dGVzPC9rZXl3b3JkPjxrZXl3b3JkPmNvZ25pdGlv
bjwva2V5d29yZD48a2V5d29yZD5lbGVjdHJvbmljIGNpZ2FyZXR0ZXM8L2tleXdvcmQ+PGtleXdv
cmQ+ZWxlY3Ryb25pYyBuaWNvdGluZSBkZWxpdmVyeSBkZXZpY2VzPC9rZXl3b3JkPjxrZXl3b3Jk
PnNtb2tpbmcgY2Vzc2F0aW9uPC9rZXl3b3JkPjxrZXl3b3JkPnNtb2tpbmcgcmVkdWN0aW9uPC9r
ZXl3b3JkPjwva2V5d29yZHM+PGRhdGVzPjx5ZWFyPjIwMTc8L3llYXI+PC9kYXRlcz48aXNibj4x
NjY0LTEwNzggKFByaW50KSYjeEQ7MTY2NC0xMDc4PC9pc2JuPjxhY2Nlc3Npb24tbnVtPjI4MzM3
MTU1PC9hY2Nlc3Npb24tbnVtPjx1cmxzPjwvdXJscz48Y3VzdG9tMj5QTUM1MzQzMDI2PC9jdXN0
b20yPjxlbGVjdHJvbmljLXJlc291cmNlLW51bT4xMC4zMzg5L2Zwc3lnLjIwMTcuMDAxMjc8L2Vs
ZWN0cm9uaWMtcmVzb3VyY2UtbnVtPjxyZW1vdGUtZGF0YWJhc2UtcHJvdmlkZXI+TkxNPC9yZW1v
dGUtZGF0YWJhc2UtcHJvdmlkZXI+PGxhbmd1YWdlPmVuZzwvbGFuZ3VhZ2U+PC9yZWNvcmQ+PC9D
aXRlPjwvRW5kTm90ZT4A
</w:fldData>
        </w:fldChar>
      </w:r>
      <w:r>
        <w:instrText xml:space="preserve"> ADDIN EN.CITE </w:instrText>
      </w:r>
      <w:r>
        <w:fldChar w:fldCharType="begin">
          <w:fldData xml:space="preserve">PEVuZE5vdGU+PENpdGU+PEF1dGhvcj5DYXBvbm5ldHRvPC9BdXRob3I+PFllYXI+MjAxNzwvWWVh
cj48UmVjTnVtPjMzODY8L1JlY051bT48RGlzcGxheVRleHQ+KENhcG9ubmV0dG8sIE1hZ2xpYSBl
dCBhbC4gMjAxNyk8L0Rpc3BsYXlUZXh0PjxyZWNvcmQ+PHJlYy1udW1iZXI+MzM4NjwvcmVjLW51
bWJlcj48Zm9yZWlnbi1rZXlzPjxrZXkgYXBwPSJFTiIgZGItaWQ9ImZwdDlwdHRybTV6ZnNhZXNw
OWZwc2RkdjA5ZXdzdjV4ZXdmZCIgdGltZXN0YW1wPSIxNTIzODQwNjIxIj4zMzg2PC9rZXk+PGtl
eSBhcHA9IkVOV2ViIiBkYi1pZD0iIj4wPC9rZXk+PC9mb3JlaWduLWtleXM+PHJlZi10eXBlIG5h
bWU9IkpvdXJuYWwgQXJ0aWNsZSI+MTc8L3JlZi10eXBlPjxjb250cmlidXRvcnM+PGF1dGhvcnM+
PGF1dGhvcj5DYXBvbm5ldHRvLCBQLjwvYXV0aG9yPjxhdXRob3I+TWFnbGlhLCBNLjwvYXV0aG9y
PjxhdXRob3I+Q2FubmVsbGEsIE0uIEMuPC9hdXRob3I+PGF1dGhvcj5Jbmd1c2NpbywgTC48L2F1
dGhvcj48YXV0aG9yPkJ1b25vY29yZSwgTS48L2F1dGhvcj48YXV0aG9yPlNjb2dsaW8sIEMuPC9h
dXRob3I+PGF1dGhvcj5Qb2xvc2EsIFIuPC9hdXRob3I+PGF1dGhvcj5WaW5jaSwgVi48L2F1dGhv
cj48L2F1dGhvcnM+PC9jb250cmlidXRvcnM+PGF1dGgtYWRkcmVzcz5DZW50cm8gcGVyIGxhIFBy
ZXZlbnppb25lIGUgQ3VyYSBkZWwgVGFiYWdpc21vLCBBemllbmRhIE9zcGVkYWxpZXJvLVVuaXZl
cnNpdGFyaWEgJnF1b3Q7UG9saWNsaW5pY28tVi4gRW1hbnVlbGUsJnF1b3Q7IFVuaXZlcnNpdGEg
ZGkgQ2F0YW5pYUNhdGFuaWEsIEl0YWx5OyBJbnN0aXR1dGUgb2YgSW50ZXJuYWwgTWVkaWNpbmUs
IEcuIFJvZG9saWNvIEhvc3BpdGFsLCBBemllbmRhIE9zcGVkYWxpZXJvLVVuaXZlcnNpdGFyaWEg
JnF1b3Q7UG9saWNsaW5pY28tVi4gRW1hbnVlbGUsJnF1b3Q7IFVuaXZlcnNpdGEgZGkgQ2F0YW5p
YUNhdGFuaWEsIEl0YWx5OyBJbnN0aXR1dGUgZm9yIFNvY2lhbCBNYXJrZXRpbmcsIFVuaXZlcnNp
dHkgb2YgU3RpcmxpbmdTdGlybGluZywgVUsuJiN4RDtDZW50cm8gcGVyIGxhIFByZXZlbnppb25l
IGUgQ3VyYSBkZWwgVGFiYWdpc21vLCBBemllbmRhIE9zcGVkYWxpZXJvLVVuaXZlcnNpdGFyaWEg
JnF1b3Q7UG9saWNsaW5pY28tVi4gRW1hbnVlbGUsJnF1b3Q7IFVuaXZlcnNpdGEgZGkgQ2F0YW5p
YSBDYXRhbmlhLCBJdGFseS4mI3hEO1BzeWNob2xvZ3kgU2VydmljZSwgQVNQIENhdGFuaWEgQ2F0
YW5pYSwgSXRhbHkuJiN4RDtEZXBhcnRtZW50IG9mIFBzeWNob2xvZ3ksIFVuaXZlcnNpdHkgb2Yg
Um9tZSBMYSBTYXBpZW56YSBSb21lLCBJdGFseS4mI3hEO0RlcGFydG1lbnQgb2YgQ2xpbmljYWwg
TmV1cm9zY2llbmNlcywgU2FuIFJhZmZhZWxlIFNjaWVudGlmaWMgSW5zdGl0dXRlIE1pbGFuLCBJ
dGFseS4mI3hEO0NlbnRybyBwZXIgbGEgUHJldmVuemlvbmUgZSBDdXJhIGRlbCBUYWJhZ2lzbW8s
IEF6aWVuZGEgT3NwZWRhbGllcm8tVW5pdmVyc2l0YXJpYSAmcXVvdDtQb2xpY2xpbmljby1WLiBF
bWFudWVsZSwmcXVvdDsgVW5pdmVyc2l0YSBkaSBDYXRhbmlhQ2F0YW5pYSwgSXRhbHk7IEluc3Rp
dHV0ZSBvZiBJbnRlcm5hbCBNZWRpY2luZSwgRy4gUm9kb2xpY28gSG9zcGl0YWwsIEF6aWVuZGEg
T3NwZWRhbGllcm8tVW5pdmVyc2l0YXJpYSAmcXVvdDtQb2xpY2xpbmljby1WLiBFbWFudWVsZSwm
cXVvdDsgVW5pdmVyc2l0YSBkaSBDYXRhbmlhQ2F0YW5pYSwgSXRhbHkuPC9hdXRoLWFkZHJlc3M+
PHRpdGxlcz48dGl0bGU+SW1wYWN0IG9mIERpZmZlcmVudCBlLUNpZ2FyZXR0ZSBHZW5lcmF0aW9u
IGFuZCBNb2RlbHMgb24gQ29nbml0aXZlIFBlcmZvcm1hbmNlcywgQ3JhdmluZyBhbmQgR2VzdHVy
ZTogQSBSYW5kb21pemVkIENyb3NzLU92ZXIgVHJpYWwgKENvZ0VjaWcpPC90aXRsZT48c2Vjb25k
YXJ5LXRpdGxlPkZyb250IFBzeWNob2w8L3NlY29uZGFyeS10aXRsZT48YWx0LXRpdGxlPkZyb250
aWVycyBpbiBwc3ljaG9sb2d5PC9hbHQtdGl0bGU+PC90aXRsZXM+PGFsdC1wZXJpb2RpY2FsPjxm
dWxsLXRpdGxlPkZyb250aWVycyBpbiBQc3ljaG9sb2d5PC9mdWxsLXRpdGxlPjwvYWx0LXBlcmlv
ZGljYWw+PHBhZ2VzPjEyNzwvcGFnZXM+PHZvbHVtZT44PC92b2x1bWU+PGVkaXRpb24+MjAxNy8w
My8yNTwvZWRpdGlvbj48a2V5d29yZHM+PGtleXdvcmQ+YWR2ZXJzZSBldmVudHM8L2tleXdvcmQ+
PGtleXdvcmQ+Y2lnYXJldHRlIHN1YnN0aXR1dGVzPC9rZXl3b3JkPjxrZXl3b3JkPmNvZ25pdGlv
bjwva2V5d29yZD48a2V5d29yZD5lbGVjdHJvbmljIGNpZ2FyZXR0ZXM8L2tleXdvcmQ+PGtleXdv
cmQ+ZWxlY3Ryb25pYyBuaWNvdGluZSBkZWxpdmVyeSBkZXZpY2VzPC9rZXl3b3JkPjxrZXl3b3Jk
PnNtb2tpbmcgY2Vzc2F0aW9uPC9rZXl3b3JkPjxrZXl3b3JkPnNtb2tpbmcgcmVkdWN0aW9uPC9r
ZXl3b3JkPjwva2V5d29yZHM+PGRhdGVzPjx5ZWFyPjIwMTc8L3llYXI+PC9kYXRlcz48aXNibj4x
NjY0LTEwNzggKFByaW50KSYjeEQ7MTY2NC0xMDc4PC9pc2JuPjxhY2Nlc3Npb24tbnVtPjI4MzM3
MTU1PC9hY2Nlc3Npb24tbnVtPjx1cmxzPjwvdXJscz48Y3VzdG9tMj5QTUM1MzQzMDI2PC9jdXN0
b20yPjxlbGVjdHJvbmljLXJlc291cmNlLW51bT4xMC4zMzg5L2Zwc3lnLjIwMTcuMDAxMjc8L2Vs
ZWN0cm9uaWMtcmVzb3VyY2UtbnVtPjxyZW1vdGUtZGF0YWJhc2UtcHJvdmlkZXI+TkxNPC9yZW1v
dGUtZGF0YWJhc2UtcHJvdmlkZXI+PGxhbmd1YWdlPmVuZzwvbGFuZ3VhZ2U+PC9yZWNvcmQ+PC9D
aXRlPjwvRW5kTm90ZT4A
</w:fldData>
        </w:fldChar>
      </w:r>
      <w:r>
        <w:instrText xml:space="preserve"> ADDIN EN.CITE.DATA </w:instrText>
      </w:r>
      <w:r>
        <w:fldChar w:fldCharType="end"/>
      </w:r>
      <w:r>
        <w:fldChar w:fldCharType="separate"/>
      </w:r>
      <w:r>
        <w:rPr>
          <w:noProof/>
        </w:rPr>
        <w:t>(Caponnetto, Maglia et al. 2017)</w:t>
      </w:r>
      <w:r>
        <w:fldChar w:fldCharType="end"/>
      </w:r>
      <w:r>
        <w:t xml:space="preserve"> had smokers use e</w:t>
      </w:r>
      <w:r>
        <w:noBreakHyphen/>
        <w:t>cigarettes over a short time period (</w:t>
      </w:r>
      <w:r w:rsidR="00AF78AB">
        <w:t>one</w:t>
      </w:r>
      <w:r>
        <w:t xml:space="preserve"> day) to observe any immediate effects while Ikonomidis et al </w:t>
      </w:r>
      <w:r>
        <w:fldChar w:fldCharType="begin">
          <w:fldData xml:space="preserve">PEVuZE5vdGU+PENpdGU+PEF1dGhvcj5Ja29ub21pZGlzPC9BdXRob3I+PFllYXI+MjAxODwvWWVh
cj48UmVjTnVtPjM0MjI8L1JlY051bT48RGlzcGxheVRleHQ+KElrb25vbWlkaXMsIFZsYXN0b3Mg
ZXQgYWwuIDIwMTgpPC9EaXNwbGF5VGV4dD48cmVjb3JkPjxyZWMtbnVtYmVyPjM0MjI8L3JlYy1u
dW1iZXI+PGZvcmVpZ24ta2V5cz48a2V5IGFwcD0iRU4iIGRiLWlkPSJmcHQ5cHR0cm01emZzYWVz
cDlmcHNkZHYwOWV3c3Y1eGV3ZmQiIHRpbWVzdGFtcD0iMTUyMzg0MDc0MCI+MzQyMjwva2V5Pjxr
ZXkgYXBwPSJFTldlYiIgZGItaWQ9IiI+MDwva2V5PjwvZm9yZWlnbi1rZXlzPjxyZWYtdHlwZSBu
YW1lPSJKb3VybmFsIEFydGljbGUiPjE3PC9yZWYtdHlwZT48Y29udHJpYnV0b3JzPjxhdXRob3Jz
PjxhdXRob3I+SWtvbm9taWRpcywgSS48L2F1dGhvcj48YXV0aG9yPlZsYXN0b3MsIEQuPC9hdXRo
b3I+PGF1dGhvcj5Lb3VyZWEsIEsuPC9hdXRob3I+PGF1dGhvcj5Lb3N0ZWxsaSwgRy48L2F1dGhv
cj48YXV0aG9yPlZhcm91ZGksIE0uPC9hdXRob3I+PGF1dGhvcj5QYXZsaWRpcywgRy48L2F1dGhv
cj48YXV0aG9yPkVmZW50YWtpcywgUC48L2F1dGhvcj48YXV0aG9yPlRyaWFudGFmeWxsaWRpLCBI
LjwvYXV0aG9yPjxhdXRob3I+UGFyaXNzaXMsIEouPC9hdXRob3I+PGF1dGhvcj5BbmRyZWFkb3Us
IEkuPC9hdXRob3I+PGF1dGhvcj5JbGlvZHJvbWl0aXMsIEUuPC9hdXRob3I+PGF1dGhvcj5MZWth
a2lzLCBKLjwvYXV0aG9yPjwvYXV0aG9ycz48L2NvbnRyaWJ1dG9ycz48YXV0aC1hZGRyZXNzPjJu
ZCBDYXJkaW9sb2d5IERlcGFydG1lbnQsIEF0dGlrb24gSG9zcGl0YWwsIE5hdGlvbmFsIGFuZCBL
YXBvZGlzdHJpYW4gVW5pdmVyc2l0eSBvZiBBdGhlbnMsIE1lZGljYWwgU2Nob29sLCBHcmVlY2Ug
KEkuSS4sIEQuVi4sIEsuSy4sIEcuSy4sIE0uVi4sIEcuUC4sIEguVC4sIEouUC4sIEUuSS4sIEou
TC4pIGlnbm9pa0BnbWFpbC5jb20uJiN4RDsybmQgQ2FyZGlvbG9neSBEZXBhcnRtZW50LCBBdHRp
a29uIEhvc3BpdGFsLCBOYXRpb25hbCBhbmQgS2Fwb2Rpc3RyaWFuIFVuaXZlcnNpdHkgb2YgQXRo
ZW5zLCBNZWRpY2FsIFNjaG9vbCwgR3JlZWNlIChJLkkuLCBELlYuLCBLLksuLCBHLksuLCBNLlYu
LCBHLlAuLCBILlQuLCBKLlAuLCBFLkkuLCBKLkwuKS4mI3hEO0RlcGFydG1lbnQgb2YgUGhhcm1h
Y2V1dGljYWwgQ2hlbWlzdHJ5LCBOYXRpb25hbCBhbmQgS2Fwb2Rpc3RyaWFuIFVuaXZlcnNpdHkg
b2YgQXRoZW5zLCBTY2hvb2wgb2YgUGhhcm1hY3ksIEdyZWVjZSAoUC5FLiwgSS5BLikuPC9hdXRo
LWFkZHJlc3M+PHRpdGxlcz48dGl0bGU+RWxlY3Ryb25pYyBDaWdhcmV0dGUgU21va2luZyBJbmNy
ZWFzZXMgQXJ0ZXJpYWwgU3RpZmZuZXNzIGFuZCBPeGlkYXRpdmUgU3RyZXNzIHRvIGEgTGVzc2Vy
IEV4dGVudCBUaGFuIGEgU2luZ2xlIENvbnZlbnRpb25hbCBDaWdhcmV0dGU6IEFuIEFjdXRlIGFu
ZCBDaHJvbmljIFN0dWR5PC90aXRsZT48c2Vjb25kYXJ5LXRpdGxlPkNpcmN1bGF0aW9uPC9zZWNv
bmRhcnktdGl0bGU+PGFsdC10aXRsZT5DaXJjdWxhdGlvbjwvYWx0LXRpdGxlPjwvdGl0bGVzPjxw
ZXJpb2RpY2FsPjxmdWxsLXRpdGxlPkNpcmN1bGF0aW9uPC9mdWxsLXRpdGxlPjwvcGVyaW9kaWNh
bD48YWx0LXBlcmlvZGljYWw+PGZ1bGwtdGl0bGU+Q2lyY3VsYXRpb248L2Z1bGwtdGl0bGU+PC9h
bHQtcGVyaW9kaWNhbD48cGFnZXM+MzAzLTMwNjwvcGFnZXM+PHZvbHVtZT4xMzc8L3ZvbHVtZT48
bnVtYmVyPjM8L251bWJlcj48ZWRpdGlvbj4yMDE4LzAxLzE4PC9lZGl0aW9uPjxrZXl3b3Jkcz48
a2V5d29yZD5jaWdhcmV0dGUgc21va2luZzwva2V5d29yZD48a2V5d29yZD5lbGVjdHJvbmljIG5p
Y290aW5lIGRlbGl2ZXJ5IHN5c3RlbXM8L2tleXdvcmQ+PGtleXdvcmQ+b3hpZGF0aXZlIHN0cmVz
czwva2V5d29yZD48a2V5d29yZD5zbW9raW5nIGNlc3NhdGlvbjwva2V5d29yZD48a2V5d29yZD52
YXBpbmc8L2tleXdvcmQ+PGtleXdvcmQ+dmFzY3VsYXIgc3RpZmZuZXNzPC9rZXl3b3JkPjwva2V5
d29yZHM+PGRhdGVzPjx5ZWFyPjIwMTg8L3llYXI+PHB1Yi1kYXRlcz48ZGF0ZT5KYW4gMTY8L2Rh
dGU+PC9wdWItZGF0ZXM+PC9kYXRlcz48aXNibj4wMDA5LTczMjI8L2lzYm4+PGFjY2Vzc2lvbi1u
dW0+MjkzMzUyOTE8L2FjY2Vzc2lvbi1udW0+PHVybHM+PC91cmxzPjxlbGVjdHJvbmljLXJlc291
cmNlLW51bT4xMC4xMTYxL2NpcmN1bGF0aW9uYWhhLjExNy4wMjkxNTM8L2VsZWN0cm9uaWMtcmVz
b3VyY2UtbnVtPjxyZW1vdGUtZGF0YWJhc2UtcHJvdmlkZXI+TkxNPC9yZW1vdGUtZGF0YWJhc2Ut
cHJvdmlkZXI+PGxhbmd1YWdlPmVuZzwvbGFuZ3VhZ2U+PC9yZWNvcmQ+PC9DaXRlPjwvRW5kTm90
ZT5=
</w:fldData>
        </w:fldChar>
      </w:r>
      <w:r>
        <w:instrText xml:space="preserve"> ADDIN EN.CITE </w:instrText>
      </w:r>
      <w:r>
        <w:fldChar w:fldCharType="begin">
          <w:fldData xml:space="preserve">PEVuZE5vdGU+PENpdGU+PEF1dGhvcj5Ja29ub21pZGlzPC9BdXRob3I+PFllYXI+MjAxODwvWWVh
cj48UmVjTnVtPjM0MjI8L1JlY051bT48RGlzcGxheVRleHQ+KElrb25vbWlkaXMsIFZsYXN0b3Mg
ZXQgYWwuIDIwMTgpPC9EaXNwbGF5VGV4dD48cmVjb3JkPjxyZWMtbnVtYmVyPjM0MjI8L3JlYy1u
dW1iZXI+PGZvcmVpZ24ta2V5cz48a2V5IGFwcD0iRU4iIGRiLWlkPSJmcHQ5cHR0cm01emZzYWVz
cDlmcHNkZHYwOWV3c3Y1eGV3ZmQiIHRpbWVzdGFtcD0iMTUyMzg0MDc0MCI+MzQyMjwva2V5Pjxr
ZXkgYXBwPSJFTldlYiIgZGItaWQ9IiI+MDwva2V5PjwvZm9yZWlnbi1rZXlzPjxyZWYtdHlwZSBu
YW1lPSJKb3VybmFsIEFydGljbGUiPjE3PC9yZWYtdHlwZT48Y29udHJpYnV0b3JzPjxhdXRob3Jz
PjxhdXRob3I+SWtvbm9taWRpcywgSS48L2F1dGhvcj48YXV0aG9yPlZsYXN0b3MsIEQuPC9hdXRo
b3I+PGF1dGhvcj5Lb3VyZWEsIEsuPC9hdXRob3I+PGF1dGhvcj5Lb3N0ZWxsaSwgRy48L2F1dGhv
cj48YXV0aG9yPlZhcm91ZGksIE0uPC9hdXRob3I+PGF1dGhvcj5QYXZsaWRpcywgRy48L2F1dGhv
cj48YXV0aG9yPkVmZW50YWtpcywgUC48L2F1dGhvcj48YXV0aG9yPlRyaWFudGFmeWxsaWRpLCBI
LjwvYXV0aG9yPjxhdXRob3I+UGFyaXNzaXMsIEouPC9hdXRob3I+PGF1dGhvcj5BbmRyZWFkb3Us
IEkuPC9hdXRob3I+PGF1dGhvcj5JbGlvZHJvbWl0aXMsIEUuPC9hdXRob3I+PGF1dGhvcj5MZWth
a2lzLCBKLjwvYXV0aG9yPjwvYXV0aG9ycz48L2NvbnRyaWJ1dG9ycz48YXV0aC1hZGRyZXNzPjJu
ZCBDYXJkaW9sb2d5IERlcGFydG1lbnQsIEF0dGlrb24gSG9zcGl0YWwsIE5hdGlvbmFsIGFuZCBL
YXBvZGlzdHJpYW4gVW5pdmVyc2l0eSBvZiBBdGhlbnMsIE1lZGljYWwgU2Nob29sLCBHcmVlY2Ug
KEkuSS4sIEQuVi4sIEsuSy4sIEcuSy4sIE0uVi4sIEcuUC4sIEguVC4sIEouUC4sIEUuSS4sIEou
TC4pIGlnbm9pa0BnbWFpbC5jb20uJiN4RDsybmQgQ2FyZGlvbG9neSBEZXBhcnRtZW50LCBBdHRp
a29uIEhvc3BpdGFsLCBOYXRpb25hbCBhbmQgS2Fwb2Rpc3RyaWFuIFVuaXZlcnNpdHkgb2YgQXRo
ZW5zLCBNZWRpY2FsIFNjaG9vbCwgR3JlZWNlIChJLkkuLCBELlYuLCBLLksuLCBHLksuLCBNLlYu
LCBHLlAuLCBILlQuLCBKLlAuLCBFLkkuLCBKLkwuKS4mI3hEO0RlcGFydG1lbnQgb2YgUGhhcm1h
Y2V1dGljYWwgQ2hlbWlzdHJ5LCBOYXRpb25hbCBhbmQgS2Fwb2Rpc3RyaWFuIFVuaXZlcnNpdHkg
b2YgQXRoZW5zLCBTY2hvb2wgb2YgUGhhcm1hY3ksIEdyZWVjZSAoUC5FLiwgSS5BLikuPC9hdXRo
LWFkZHJlc3M+PHRpdGxlcz48dGl0bGU+RWxlY3Ryb25pYyBDaWdhcmV0dGUgU21va2luZyBJbmNy
ZWFzZXMgQXJ0ZXJpYWwgU3RpZmZuZXNzIGFuZCBPeGlkYXRpdmUgU3RyZXNzIHRvIGEgTGVzc2Vy
IEV4dGVudCBUaGFuIGEgU2luZ2xlIENvbnZlbnRpb25hbCBDaWdhcmV0dGU6IEFuIEFjdXRlIGFu
ZCBDaHJvbmljIFN0dWR5PC90aXRsZT48c2Vjb25kYXJ5LXRpdGxlPkNpcmN1bGF0aW9uPC9zZWNv
bmRhcnktdGl0bGU+PGFsdC10aXRsZT5DaXJjdWxhdGlvbjwvYWx0LXRpdGxlPjwvdGl0bGVzPjxw
ZXJpb2RpY2FsPjxmdWxsLXRpdGxlPkNpcmN1bGF0aW9uPC9mdWxsLXRpdGxlPjwvcGVyaW9kaWNh
bD48YWx0LXBlcmlvZGljYWw+PGZ1bGwtdGl0bGU+Q2lyY3VsYXRpb248L2Z1bGwtdGl0bGU+PC9h
bHQtcGVyaW9kaWNhbD48cGFnZXM+MzAzLTMwNjwvcGFnZXM+PHZvbHVtZT4xMzc8L3ZvbHVtZT48
bnVtYmVyPjM8L251bWJlcj48ZWRpdGlvbj4yMDE4LzAxLzE4PC9lZGl0aW9uPjxrZXl3b3Jkcz48
a2V5d29yZD5jaWdhcmV0dGUgc21va2luZzwva2V5d29yZD48a2V5d29yZD5lbGVjdHJvbmljIG5p
Y290aW5lIGRlbGl2ZXJ5IHN5c3RlbXM8L2tleXdvcmQ+PGtleXdvcmQ+b3hpZGF0aXZlIHN0cmVz
czwva2V5d29yZD48a2V5d29yZD5zbW9raW5nIGNlc3NhdGlvbjwva2V5d29yZD48a2V5d29yZD52
YXBpbmc8L2tleXdvcmQ+PGtleXdvcmQ+dmFzY3VsYXIgc3RpZmZuZXNzPC9rZXl3b3JkPjwva2V5
d29yZHM+PGRhdGVzPjx5ZWFyPjIwMTg8L3llYXI+PHB1Yi1kYXRlcz48ZGF0ZT5KYW4gMTY8L2Rh
dGU+PC9wdWItZGF0ZXM+PC9kYXRlcz48aXNibj4wMDA5LTczMjI8L2lzYm4+PGFjY2Vzc2lvbi1u
dW0+MjkzMzUyOTE8L2FjY2Vzc2lvbi1udW0+PHVybHM+PC91cmxzPjxlbGVjdHJvbmljLXJlc291
cmNlLW51bT4xMC4xMTYxL2NpcmN1bGF0aW9uYWhhLjExNy4wMjkxNTM8L2VsZWN0cm9uaWMtcmVz
b3VyY2UtbnVtPjxyZW1vdGUtZGF0YWJhc2UtcHJvdmlkZXI+TkxNPC9yZW1vdGUtZGF0YWJhc2Ut
cHJvdmlkZXI+PGxhbmd1YWdlPmVuZzwvbGFuZ3VhZ2U+PC9yZWNvcmQ+PC9DaXRlPjwvRW5kTm90
ZT5=
</w:fldData>
        </w:fldChar>
      </w:r>
      <w:r>
        <w:instrText xml:space="preserve"> ADDIN EN.CITE.DATA </w:instrText>
      </w:r>
      <w:r>
        <w:fldChar w:fldCharType="end"/>
      </w:r>
      <w:r>
        <w:fldChar w:fldCharType="separate"/>
      </w:r>
      <w:r>
        <w:rPr>
          <w:noProof/>
        </w:rPr>
        <w:t>(Ikonomidis, Vlastos et al. 2018)</w:t>
      </w:r>
      <w:r>
        <w:fldChar w:fldCharType="end"/>
      </w:r>
      <w:r>
        <w:t xml:space="preserve"> had people smoke either a cigarette or an e</w:t>
      </w:r>
      <w:r>
        <w:noBreakHyphen/>
        <w:t>cigarette for a month. Very few of the studies included a control group which would allow the observation of the effects of e</w:t>
      </w:r>
      <w:r>
        <w:noBreakHyphen/>
        <w:t>cigarette use relative to continued use of tobacco products. No study included long</w:t>
      </w:r>
      <w:r>
        <w:noBreakHyphen/>
        <w:t>term follow</w:t>
      </w:r>
      <w:r>
        <w:noBreakHyphen/>
        <w:t xml:space="preserve">up (beyond </w:t>
      </w:r>
      <w:r w:rsidR="00AF78AB">
        <w:t>two</w:t>
      </w:r>
      <w:r>
        <w:t xml:space="preserve"> years in the study of Walele et al) or were of a size to allow the assessment of disease endpoints such as rate of heart attack or incidence of cancers. Therefore, these studies provide only a weak to moderate level of evidence on health outcomes of e</w:t>
      </w:r>
      <w:r>
        <w:noBreakHyphen/>
        <w:t>cigarette use in smokers. Nonetheless, these studies do provide some guidance about risk of cardiovascular disease, respiratory implications, exposure to carcinogens/toxicants, nicotine dependence, oral and skin health as well as mental health.</w:t>
      </w:r>
    </w:p>
    <w:p w14:paraId="75DF5CE0" w14:textId="77777777" w:rsidR="003178F6" w:rsidRDefault="003178F6" w:rsidP="003178F6">
      <w:pPr>
        <w:pStyle w:val="BodyText"/>
      </w:pPr>
      <w:r>
        <w:t xml:space="preserve">The results were most consistent for observations about exposure to carcinogens </w:t>
      </w:r>
      <w:r>
        <w:fldChar w:fldCharType="begin">
          <w:fldData xml:space="preserve">PEVuZE5vdGU+PENpdGU+PEF1dGhvcj5SZWlkZWw8L0F1dGhvcj48WWVhcj4yMDE4PC9ZZWFyPjxS
ZWNOdW0+NDI5ODwvUmVjTnVtPjxEaXNwbGF5VGV4dD4oUmVpZGVsLCBSYWRpY2lvbmkgZXQgYWwu
IDIwMTgsIFJ1Ymluc3RlaW4sIERlbHVjY2hpIGV0IGFsLiAyMDE4KTwvRGlzcGxheVRleHQ+PHJl
Y29yZD48cmVjLW51bWJlcj40Mjk4PC9yZWMtbnVtYmVyPjxmb3JlaWduLWtleXM+PGtleSBhcHA9
IkVOIiBkYi1pZD0iZnB0OXB0dHJtNXpmc2Flc3A5ZnBzZGR2MDlld3N2NXhld2ZkIiB0aW1lc3Rh
bXA9IjE1MjM4NDE1MDAiPjQyOTg8L2tleT48a2V5IGFwcD0iRU5XZWIiIGRiLWlkPSIiPjA8L2tl
eT48L2ZvcmVpZ24ta2V5cz48cmVmLXR5cGUgbmFtZT0iSm91cm5hbCBBcnRpY2xlIj4xNzwvcmVm
LXR5cGU+PGNvbnRyaWJ1dG9ycz48YXV0aG9ycz48YXV0aG9yPlJlaWRlbCwgQi48L2F1dGhvcj48
YXV0aG9yPlJhZGljaW9uaSwgRy48L2F1dGhvcj48YXV0aG9yPkNsYXBwLCBQLiBXLjwvYXV0aG9y
PjxhdXRob3I+Rm9yZCwgQS4gQS48L2F1dGhvcj48YXV0aG9yPkFiZGVsd2FoYWIsIFMuPC9hdXRo
b3I+PGF1dGhvcj5SZWJ1bGksIE0uIEUuPC9hdXRob3I+PGF1dGhvcj5IYXJpZGFzcywgUC48L2F1
dGhvcj48YXV0aG9yPkFsZXhpcywgTi4gRS48L2F1dGhvcj48YXV0aG9yPkphc3BlcnMsIEkuPC9h
dXRob3I+PGF1dGhvcj5LZXNpbWVyLCBNLjwvYXV0aG9yPjwvYXV0aG9ycz48L2NvbnRyaWJ1dG9y
cz48YXV0aC1hZGRyZXNzPjEgTWFyc2ljbyBMdW5nIEluc3RpdHV0ZS4mI3hEOzIgRGVwYXJ0bWVu
dCBvZiBQYXRob2xvZ3kgYW5kIExhYm9yYXRvcnkgTWVkaWNpbmUsIGFuZC4mI3hEOzMgRGVwYXJ0
bWVudCBvZiBQZWRpYXRyaWNzLCBUaGUgVW5pdmVyc2l0eSBvZiBOb3J0aCBDYXJvbGluYSBhdCBD
aGFwZWwgSGlsbCwgQ2hhcGVsIEhpbGwsIE5vcnRoIENhcm9saW5hLjwvYXV0aC1hZGRyZXNzPjx0
aXRsZXM+PHRpdGxlPkUtQ2lnYXJldHRlIFVzZSBDYXVzZXMgYSBVbmlxdWUgSW5uYXRlIEltbXVu
ZSBSZXNwb25zZSBpbiB0aGUgTHVuZywgSW52b2x2aW5nIEluY3JlYXNlZCBOZXV0cm9waGlsaWMg
QWN0aXZhdGlvbiBhbmQgQWx0ZXJlZCBNdWNpbiBTZWNyZXRpb248L3RpdGxlPjxzZWNvbmRhcnkt
dGl0bGU+QW0gSiBSZXNwaXIgQ3JpdCBDYXJlIE1lZDwvc2Vjb25kYXJ5LXRpdGxlPjxhbHQtdGl0
bGU+QW1lcmljYW4gam91cm5hbCBvZiByZXNwaXJhdG9yeSBhbmQgY3JpdGljYWwgY2FyZSBtZWRp
Y2luZTwvYWx0LXRpdGxlPjwvdGl0bGVzPjxwZXJpb2RpY2FsPjxmdWxsLXRpdGxlPkFtIEogUmVz
cGlyIENyaXQgQ2FyZSBNZWQ8L2Z1bGwtdGl0bGU+PGFiYnItMT5BbWVyaWNhbiBqb3VybmFsIG9m
IHJlc3BpcmF0b3J5IGFuZCBjcml0aWNhbCBjYXJlIG1lZGljaW5lPC9hYmJyLTE+PC9wZXJpb2Rp
Y2FsPjxhbHQtcGVyaW9kaWNhbD48ZnVsbC10aXRsZT5BbSBKIFJlc3BpciBDcml0IENhcmUgTWVk
PC9mdWxsLXRpdGxlPjxhYmJyLTE+QW1lcmljYW4gam91cm5hbCBvZiByZXNwaXJhdG9yeSBhbmQg
Y3JpdGljYWwgY2FyZSBtZWRpY2luZTwvYWJici0xPjwvYWx0LXBlcmlvZGljYWw+PHBhZ2VzPjQ5
Mi01MDE8L3BhZ2VzPjx2b2x1bWU+MTk3PC92b2x1bWU+PG51bWJlcj40PC9udW1iZXI+PGVkaXRp
b24+MjAxNy8xMC8yMTwvZWRpdGlvbj48a2V5d29yZHM+PGtleXdvcmQ+TmV0PC9rZXl3b3JkPjxr
ZXl3b3JkPmUtY2lnYXJldHRlPC9rZXl3b3JkPjxrZXl3b3JkPmx1bmc8L2tleXdvcmQ+PGtleXdv
cmQ+bXVjaW48L2tleXdvcmQ+PGtleXdvcmQ+bmV1dHJvcGhpbDwva2V5d29yZD48L2tleXdvcmRz
PjxkYXRlcz48eWVhcj4yMDE4PC95ZWFyPjxwdWItZGF0ZXM+PGRhdGU+RmViIDE1PC9kYXRlPjwv
cHViLWRhdGVzPjwvZGF0ZXM+PGlzYm4+MTA3My00NDl4PC9pc2JuPjxhY2Nlc3Npb24tbnVtPjI5
MDUzMDI1PC9hY2Nlc3Npb24tbnVtPjx1cmxzPjwvdXJscz48Y3VzdG9tMj5QTUM1ODIxOTA5PC9j
dXN0b20yPjxlbGVjdHJvbmljLXJlc291cmNlLW51bT4xMC4xMTY0L3JjY20uMjAxNzA4LTE1OTBP
QzwvZWxlY3Ryb25pYy1yZXNvdXJjZS1udW0+PHJlbW90ZS1kYXRhYmFzZS1wcm92aWRlcj5OTE08
L3JlbW90ZS1kYXRhYmFzZS1wcm92aWRlcj48bGFuZ3VhZ2U+ZW5nPC9sYW5ndWFnZT48L3JlY29y
ZD48L0NpdGU+PENpdGU+PEF1dGhvcj5SdWJpbnN0ZWluPC9BdXRob3I+PFllYXI+MjAxODwvWWVh
cj48UmVjTnVtPjM0ODA8L1JlY051bT48cmVjb3JkPjxyZWMtbnVtYmVyPjM0ODA8L3JlYy1udW1i
ZXI+PGZvcmVpZ24ta2V5cz48a2V5IGFwcD0iRU4iIGRiLWlkPSJmcHQ5cHR0cm01emZzYWVzcDlm
cHNkZHYwOWV3c3Y1eGV3ZmQiIHRpbWVzdGFtcD0iMTUyMzg0MDk1NiI+MzQ4MDwva2V5PjxrZXkg
YXBwPSJFTldlYiIgZGItaWQ9IiI+MDwva2V5PjwvZm9yZWlnbi1rZXlzPjxyZWYtdHlwZSBuYW1l
PSJKb3VybmFsIEFydGljbGUiPjE3PC9yZWYtdHlwZT48Y29udHJpYnV0b3JzPjxhdXRob3JzPjxh
dXRob3I+UnViaW5zdGVpbiwgTS4gTC48L2F1dGhvcj48YXV0aG9yPkRlbHVjY2hpLCBLLjwvYXV0
aG9yPjxhdXRob3I+QmVub3dpdHosIE4uIEwuPC9hdXRob3I+PGF1dGhvcj5SYW1vLCBELiBFLjwv
YXV0aG9yPjwvYXV0aG9ycz48L2NvbnRyaWJ1dG9ycz48YXV0aC1hZGRyZXNzPkRpdmlzaW9uIG9m
IEFkb2xlc2NlbnQgTWVkaWNpbmUsIG1hcmsucnViaW5zdGVpbkB1Y3NmLmVkdS4mI3hEO0RlcGFy
dG1lbnQgb2YgUHN5Y2hpYXRyeSwgYW5kLiYjeEQ7V2VpbGwgSW5zdGl0dXRlIGZvciBOZXVyb3Nj
aWVuY2VzLCBVbml2ZXJzaXR5IG9mIENhbGlmb3JuaWEsIFNhbiBGcmFuY2lzY28sIFNhbiBGcmFu
Y2lzY28sIENhbGlmb3JuaWEuJiN4RDtEaXZpc2lvbiBvZiBDbGluaWNhbCBQaGFybWFjb2xvZ3kg
YW5kIEV4cGVyaW1lbnRhbCBUaGVyYXBldXRpY3MsIERlcGFydG1lbnRzIG9mIE1lZGljaW5lIGFu
ZCBCaW9lbmdpbmVlcmluZyBhbmQgVGhlcmFwZXV0aWMgU2NpZW5jZXMuPC9hdXRoLWFkZHJlc3M+
PHRpdGxlcz48dGl0bGU+QWRvbGVzY2VudCBFeHBvc3VyZSB0byBUb3hpYyBWb2xhdGlsZSBPcmdh
bmljIENoZW1pY2FscyBGcm9tIEUtQ2lnYXJldHRlczwvdGl0bGU+PHNlY29uZGFyeS10aXRsZT5Q
ZWRpYXRyaWNzPC9zZWNvbmRhcnktdGl0bGU+PGFsdC10aXRsZT5QZWRpYXRyaWNzPC9hbHQtdGl0
bGU+PC90aXRsZXM+PHBlcmlvZGljYWw+PGZ1bGwtdGl0bGU+UGVkaWF0cmljczwvZnVsbC10aXRs
ZT48L3BlcmlvZGljYWw+PGFsdC1wZXJpb2RpY2FsPjxmdWxsLXRpdGxlPlBlZGlhdHJpY3M8L2Z1
bGwtdGl0bGU+PC9hbHQtcGVyaW9kaWNhbD48ZWRpdGlvbj4yMDE4LzAzLzA3PC9lZGl0aW9uPjxk
YXRlcz48eWVhcj4yMDE4PC95ZWFyPjxwdWItZGF0ZXM+PGRhdGU+TWFyIDU8L2RhdGU+PC9wdWIt
ZGF0ZXM+PC9kYXRlcz48aXNibj4wMDMxLTQwMDU8L2lzYm4+PGFjY2Vzc2lvbi1udW0+Mjk1MDcx
NjU8L2FjY2Vzc2lvbi1udW0+PHVybHM+PC91cmxzPjxlbGVjdHJvbmljLXJlc291cmNlLW51bT4x
MC4xNTQyL3BlZHMuMjAxNy0zNTU3PC9lbGVjdHJvbmljLXJlc291cmNlLW51bT48cmVtb3RlLWRh
dGFiYXNlLXByb3ZpZGVyPk5MTTwvcmVtb3RlLWRhdGFiYXNlLXByb3ZpZGVyPjxsYW5ndWFnZT5l
bmc8L2xhbmd1YWdlPjwvcmVjb3JkPjwvQ2l0ZT48L0VuZE5vdGU+AG==
</w:fldData>
        </w:fldChar>
      </w:r>
      <w:r>
        <w:instrText xml:space="preserve"> ADDIN EN.CITE </w:instrText>
      </w:r>
      <w:r>
        <w:fldChar w:fldCharType="begin">
          <w:fldData xml:space="preserve">PEVuZE5vdGU+PENpdGU+PEF1dGhvcj5SZWlkZWw8L0F1dGhvcj48WWVhcj4yMDE4PC9ZZWFyPjxS
ZWNOdW0+NDI5ODwvUmVjTnVtPjxEaXNwbGF5VGV4dD4oUmVpZGVsLCBSYWRpY2lvbmkgZXQgYWwu
IDIwMTgsIFJ1Ymluc3RlaW4sIERlbHVjY2hpIGV0IGFsLiAyMDE4KTwvRGlzcGxheVRleHQ+PHJl
Y29yZD48cmVjLW51bWJlcj40Mjk4PC9yZWMtbnVtYmVyPjxmb3JlaWduLWtleXM+PGtleSBhcHA9
IkVOIiBkYi1pZD0iZnB0OXB0dHJtNXpmc2Flc3A5ZnBzZGR2MDlld3N2NXhld2ZkIiB0aW1lc3Rh
bXA9IjE1MjM4NDE1MDAiPjQyOTg8L2tleT48a2V5IGFwcD0iRU5XZWIiIGRiLWlkPSIiPjA8L2tl
eT48L2ZvcmVpZ24ta2V5cz48cmVmLXR5cGUgbmFtZT0iSm91cm5hbCBBcnRpY2xlIj4xNzwvcmVm
LXR5cGU+PGNvbnRyaWJ1dG9ycz48YXV0aG9ycz48YXV0aG9yPlJlaWRlbCwgQi48L2F1dGhvcj48
YXV0aG9yPlJhZGljaW9uaSwgRy48L2F1dGhvcj48YXV0aG9yPkNsYXBwLCBQLiBXLjwvYXV0aG9y
PjxhdXRob3I+Rm9yZCwgQS4gQS48L2F1dGhvcj48YXV0aG9yPkFiZGVsd2FoYWIsIFMuPC9hdXRo
b3I+PGF1dGhvcj5SZWJ1bGksIE0uIEUuPC9hdXRob3I+PGF1dGhvcj5IYXJpZGFzcywgUC48L2F1
dGhvcj48YXV0aG9yPkFsZXhpcywgTi4gRS48L2F1dGhvcj48YXV0aG9yPkphc3BlcnMsIEkuPC9h
dXRob3I+PGF1dGhvcj5LZXNpbWVyLCBNLjwvYXV0aG9yPjwvYXV0aG9ycz48L2NvbnRyaWJ1dG9y
cz48YXV0aC1hZGRyZXNzPjEgTWFyc2ljbyBMdW5nIEluc3RpdHV0ZS4mI3hEOzIgRGVwYXJ0bWVu
dCBvZiBQYXRob2xvZ3kgYW5kIExhYm9yYXRvcnkgTWVkaWNpbmUsIGFuZC4mI3hEOzMgRGVwYXJ0
bWVudCBvZiBQZWRpYXRyaWNzLCBUaGUgVW5pdmVyc2l0eSBvZiBOb3J0aCBDYXJvbGluYSBhdCBD
aGFwZWwgSGlsbCwgQ2hhcGVsIEhpbGwsIE5vcnRoIENhcm9saW5hLjwvYXV0aC1hZGRyZXNzPjx0
aXRsZXM+PHRpdGxlPkUtQ2lnYXJldHRlIFVzZSBDYXVzZXMgYSBVbmlxdWUgSW5uYXRlIEltbXVu
ZSBSZXNwb25zZSBpbiB0aGUgTHVuZywgSW52b2x2aW5nIEluY3JlYXNlZCBOZXV0cm9waGlsaWMg
QWN0aXZhdGlvbiBhbmQgQWx0ZXJlZCBNdWNpbiBTZWNyZXRpb248L3RpdGxlPjxzZWNvbmRhcnkt
dGl0bGU+QW0gSiBSZXNwaXIgQ3JpdCBDYXJlIE1lZDwvc2Vjb25kYXJ5LXRpdGxlPjxhbHQtdGl0
bGU+QW1lcmljYW4gam91cm5hbCBvZiByZXNwaXJhdG9yeSBhbmQgY3JpdGljYWwgY2FyZSBtZWRp
Y2luZTwvYWx0LXRpdGxlPjwvdGl0bGVzPjxwZXJpb2RpY2FsPjxmdWxsLXRpdGxlPkFtIEogUmVz
cGlyIENyaXQgQ2FyZSBNZWQ8L2Z1bGwtdGl0bGU+PGFiYnItMT5BbWVyaWNhbiBqb3VybmFsIG9m
IHJlc3BpcmF0b3J5IGFuZCBjcml0aWNhbCBjYXJlIG1lZGljaW5lPC9hYmJyLTE+PC9wZXJpb2Rp
Y2FsPjxhbHQtcGVyaW9kaWNhbD48ZnVsbC10aXRsZT5BbSBKIFJlc3BpciBDcml0IENhcmUgTWVk
PC9mdWxsLXRpdGxlPjxhYmJyLTE+QW1lcmljYW4gam91cm5hbCBvZiByZXNwaXJhdG9yeSBhbmQg
Y3JpdGljYWwgY2FyZSBtZWRpY2luZTwvYWJici0xPjwvYWx0LXBlcmlvZGljYWw+PHBhZ2VzPjQ5
Mi01MDE8L3BhZ2VzPjx2b2x1bWU+MTk3PC92b2x1bWU+PG51bWJlcj40PC9udW1iZXI+PGVkaXRp
b24+MjAxNy8xMC8yMTwvZWRpdGlvbj48a2V5d29yZHM+PGtleXdvcmQ+TmV0PC9rZXl3b3JkPjxr
ZXl3b3JkPmUtY2lnYXJldHRlPC9rZXl3b3JkPjxrZXl3b3JkPmx1bmc8L2tleXdvcmQ+PGtleXdv
cmQ+bXVjaW48L2tleXdvcmQ+PGtleXdvcmQ+bmV1dHJvcGhpbDwva2V5d29yZD48L2tleXdvcmRz
PjxkYXRlcz48eWVhcj4yMDE4PC95ZWFyPjxwdWItZGF0ZXM+PGRhdGU+RmViIDE1PC9kYXRlPjwv
cHViLWRhdGVzPjwvZGF0ZXM+PGlzYm4+MTA3My00NDl4PC9pc2JuPjxhY2Nlc3Npb24tbnVtPjI5
MDUzMDI1PC9hY2Nlc3Npb24tbnVtPjx1cmxzPjwvdXJscz48Y3VzdG9tMj5QTUM1ODIxOTA5PC9j
dXN0b20yPjxlbGVjdHJvbmljLXJlc291cmNlLW51bT4xMC4xMTY0L3JjY20uMjAxNzA4LTE1OTBP
QzwvZWxlY3Ryb25pYy1yZXNvdXJjZS1udW0+PHJlbW90ZS1kYXRhYmFzZS1wcm92aWRlcj5OTE08
L3JlbW90ZS1kYXRhYmFzZS1wcm92aWRlcj48bGFuZ3VhZ2U+ZW5nPC9sYW5ndWFnZT48L3JlY29y
ZD48L0NpdGU+PENpdGU+PEF1dGhvcj5SdWJpbnN0ZWluPC9BdXRob3I+PFllYXI+MjAxODwvWWVh
cj48UmVjTnVtPjM0ODA8L1JlY051bT48cmVjb3JkPjxyZWMtbnVtYmVyPjM0ODA8L3JlYy1udW1i
ZXI+PGZvcmVpZ24ta2V5cz48a2V5IGFwcD0iRU4iIGRiLWlkPSJmcHQ5cHR0cm01emZzYWVzcDlm
cHNkZHYwOWV3c3Y1eGV3ZmQiIHRpbWVzdGFtcD0iMTUyMzg0MDk1NiI+MzQ4MDwva2V5PjxrZXkg
YXBwPSJFTldlYiIgZGItaWQ9IiI+MDwva2V5PjwvZm9yZWlnbi1rZXlzPjxyZWYtdHlwZSBuYW1l
PSJKb3VybmFsIEFydGljbGUiPjE3PC9yZWYtdHlwZT48Y29udHJpYnV0b3JzPjxhdXRob3JzPjxh
dXRob3I+UnViaW5zdGVpbiwgTS4gTC48L2F1dGhvcj48YXV0aG9yPkRlbHVjY2hpLCBLLjwvYXV0
aG9yPjxhdXRob3I+QmVub3dpdHosIE4uIEwuPC9hdXRob3I+PGF1dGhvcj5SYW1vLCBELiBFLjwv
YXV0aG9yPjwvYXV0aG9ycz48L2NvbnRyaWJ1dG9ycz48YXV0aC1hZGRyZXNzPkRpdmlzaW9uIG9m
IEFkb2xlc2NlbnQgTWVkaWNpbmUsIG1hcmsucnViaW5zdGVpbkB1Y3NmLmVkdS4mI3hEO0RlcGFy
dG1lbnQgb2YgUHN5Y2hpYXRyeSwgYW5kLiYjeEQ7V2VpbGwgSW5zdGl0dXRlIGZvciBOZXVyb3Nj
aWVuY2VzLCBVbml2ZXJzaXR5IG9mIENhbGlmb3JuaWEsIFNhbiBGcmFuY2lzY28sIFNhbiBGcmFu
Y2lzY28sIENhbGlmb3JuaWEuJiN4RDtEaXZpc2lvbiBvZiBDbGluaWNhbCBQaGFybWFjb2xvZ3kg
YW5kIEV4cGVyaW1lbnRhbCBUaGVyYXBldXRpY3MsIERlcGFydG1lbnRzIG9mIE1lZGljaW5lIGFu
ZCBCaW9lbmdpbmVlcmluZyBhbmQgVGhlcmFwZXV0aWMgU2NpZW5jZXMuPC9hdXRoLWFkZHJlc3M+
PHRpdGxlcz48dGl0bGU+QWRvbGVzY2VudCBFeHBvc3VyZSB0byBUb3hpYyBWb2xhdGlsZSBPcmdh
bmljIENoZW1pY2FscyBGcm9tIEUtQ2lnYXJldHRlczwvdGl0bGU+PHNlY29uZGFyeS10aXRsZT5Q
ZWRpYXRyaWNzPC9zZWNvbmRhcnktdGl0bGU+PGFsdC10aXRsZT5QZWRpYXRyaWNzPC9hbHQtdGl0
bGU+PC90aXRsZXM+PHBlcmlvZGljYWw+PGZ1bGwtdGl0bGU+UGVkaWF0cmljczwvZnVsbC10aXRs
ZT48L3BlcmlvZGljYWw+PGFsdC1wZXJpb2RpY2FsPjxmdWxsLXRpdGxlPlBlZGlhdHJpY3M8L2Z1
bGwtdGl0bGU+PC9hbHQtcGVyaW9kaWNhbD48ZWRpdGlvbj4yMDE4LzAzLzA3PC9lZGl0aW9uPjxk
YXRlcz48eWVhcj4yMDE4PC95ZWFyPjxwdWItZGF0ZXM+PGRhdGU+TWFyIDU8L2RhdGU+PC9wdWIt
ZGF0ZXM+PC9kYXRlcz48aXNibj4wMDMxLTQwMDU8L2lzYm4+PGFjY2Vzc2lvbi1udW0+Mjk1MDcx
NjU8L2FjY2Vzc2lvbi1udW0+PHVybHM+PC91cmxzPjxlbGVjdHJvbmljLXJlc291cmNlLW51bT4x
MC4xNTQyL3BlZHMuMjAxNy0zNTU3PC9lbGVjdHJvbmljLXJlc291cmNlLW51bT48cmVtb3RlLWRh
dGFiYXNlLXByb3ZpZGVyPk5MTTwvcmVtb3RlLWRhdGFiYXNlLXByb3ZpZGVyPjxsYW5ndWFnZT5l
bmc8L2xhbmd1YWdlPjwvcmVjb3JkPjwvQ2l0ZT48L0VuZE5vdGU+AG==
</w:fldData>
        </w:fldChar>
      </w:r>
      <w:r>
        <w:instrText xml:space="preserve"> ADDIN EN.CITE.DATA </w:instrText>
      </w:r>
      <w:r>
        <w:fldChar w:fldCharType="end"/>
      </w:r>
      <w:r>
        <w:fldChar w:fldCharType="separate"/>
      </w:r>
      <w:r>
        <w:rPr>
          <w:noProof/>
        </w:rPr>
        <w:t>(Reidel, Radicioni et al. 2018, Rubinstein, Delucchi et al. 2018)</w:t>
      </w:r>
      <w:r>
        <w:fldChar w:fldCharType="end"/>
      </w:r>
      <w:r>
        <w:t>. Most of the studies report that equivalent use of e</w:t>
      </w:r>
      <w:r>
        <w:noBreakHyphen/>
        <w:t>cigarettes result in less exposure to carcinogens compared to smoking conventional cigarettes. However, studies also provide evidence about use of e</w:t>
      </w:r>
      <w:r>
        <w:noBreakHyphen/>
        <w:t>cigarettes leading to exposure to metals and other compounds inherent in e</w:t>
      </w:r>
      <w:r>
        <w:noBreakHyphen/>
        <w:t xml:space="preserve">cigarettes that are not present in conventional cigarettes </w:t>
      </w:r>
      <w:r>
        <w:fldChar w:fldCharType="begin">
          <w:fldData xml:space="preserve">PEVuZE5vdGU+PENpdGU+PEF1dGhvcj5BaGVycmVyYTwvQXV0aG9yPjxZZWFyPjIwMTc8L1llYXI+
PFJlY051bT4zNDQ3PC9SZWNOdW0+PERpc3BsYXlUZXh0PihBaGVycmVyYSwgT2xtZWRvIGV0IGFs
LiAyMDE3KTwvRGlzcGxheVRleHQ+PHJlY29yZD48cmVjLW51bWJlcj4zNDQ3PC9yZWMtbnVtYmVy
Pjxmb3JlaWduLWtleXM+PGtleSBhcHA9IkVOIiBkYi1pZD0iZnB0OXB0dHJtNXpmc2Flc3A5ZnBz
ZGR2MDlld3N2NXhld2ZkIiB0aW1lc3RhbXA9IjE1MjM4NDA4MzkiPjM0NDc8L2tleT48a2V5IGFw
cD0iRU5XZWIiIGRiLWlkPSIiPjA8L2tleT48L2ZvcmVpZ24ta2V5cz48cmVmLXR5cGUgbmFtZT0i
Sm91cm5hbCBBcnRpY2xlIj4xNzwvcmVmLXR5cGU+PGNvbnRyaWJ1dG9ycz48YXV0aG9ycz48YXV0
aG9yPkFoZXJyZXJhLCBBLjwvYXV0aG9yPjxhdXRob3I+T2xtZWRvLCBQLjwvYXV0aG9yPjxhdXRo
b3I+R3JhdS1QZXJleiwgTS48L2F1dGhvcj48YXV0aG9yPlRhbmRhLCBTLjwvYXV0aG9yPjxhdXRo
b3I+R29lc3NsZXIsIFcuPC9hdXRob3I+PGF1dGhvcj5KYXJtdWwsIFMuPC9hdXRob3I+PGF1dGhv
cj5DaGVuLCBSLjwvYXV0aG9yPjxhdXRob3I+Q29oZW4sIEouIEUuPC9hdXRob3I+PGF1dGhvcj5S
dWxlLCBBLiBNLjwvYXV0aG9yPjxhdXRob3I+TmF2YXMtQWNpZW4sIEEuPC9hdXRob3I+PC9hdXRo
b3JzPjwvY29udHJpYnV0b3JzPjxhdXRoLWFkZHJlc3M+Sm9obnMgSG9wa2lucyBCbG9vbWJlcmcg
U2Nob29sIG9mIFB1YmxpYyBIZWFsdGgsIERlcGFydG1lbnQgb2YgRW52aXJvbm1lbnRhbCBIZWFs
dGggYW5kIEVuZ2luZWVyaW5nLCBKb2hucyBIb3BraW5zIFVuaXZlcnNpdHksIEJhbHRpbW9yZSwg
TUQsIFVTQS4gRWxlY3Ryb25pYyBhZGRyZXNzOiBhYWhlcnJlMkBqaHUuZWR1LiYjeEQ7Sm9obnMg
SG9wa2lucyBCbG9vbWJlcmcgU2Nob29sIG9mIFB1YmxpYyBIZWFsdGgsIERlcGFydG1lbnQgb2Yg
RW52aXJvbm1lbnRhbCBIZWFsdGggYW5kIEVuZ2luZWVyaW5nLCBKb2hucyBIb3BraW5zIFVuaXZl
cnNpdHksIEJhbHRpbW9yZSwgTUQsIFVTQTsgQ29sdW1iaWEgVW5pdmVyc2l0eSBNYWlsbWFuIFNj
aG9vbCBvZiBQdWJsaWMgSGVhbHRoLCBEZXBhcnRtZW50IG9mIEVudmlyb25tZW50YWwgSGVhbHRo
IFNjaWVuY2VzLCBDb2x1bWJpYSBVbml2ZXJzaXR5LCBOZXcgWW9yaywgTlksIFVTQS4mI3hEO0lu
c3RpdHV0ZSBvZiBDaGVtaXN0cnkgQW5hbHl0aWNhbCBDaGVtaXN0cnksIFVuaXZlcnNpdHkgb2Yg
R3JheiwgQXVzdHJpYS4mI3hEO0pvaG5zIEhvcGtpbnMgQmxvb21iZXJnIFNjaG9vbCBvZiBQdWJs
aWMgSGVhbHRoLCBEZXBhcnRtZW50IG9mIEVudmlyb25tZW50YWwgSGVhbHRoIGFuZCBFbmdpbmVl
cmluZywgSm9obnMgSG9wa2lucyBVbml2ZXJzaXR5LCBCYWx0aW1vcmUsIE1ELCBVU0EuJiN4RDtJ
bnN0aXR1dGUgZm9yIEdsb2JhbCBUb2JhY2NvIENvbnRyb2wsIEpvaG5zIEhvcGtpbnMgVW5pdmVy
c2l0eSwgQmFsdGltb3JlLCBNRCwgVVNBOyBKb2hucyBIb3BraW5zIEJsb29tYmVyZyBTY2hvb2wg
b2YgUHVibGljIEhlYWx0aCwgRGVwYXJ0bWVudCBvZiBIZWFsdGgsIEJlaGF2aW9yLCBhbmQgU29j
aWV0eSwgSm9obnMgSG9wa2lucyBVbml2ZXJzaXR5LCBCYWx0aW1vcmUsIE1ELCBVU0EuJiN4RDtK
b2hucyBIb3BraW5zIEJsb29tYmVyZyBTY2hvb2wgb2YgUHVibGljIEhlYWx0aCwgRGVwYXJ0bWVu
dCBvZiBFbnZpcm9ubWVudGFsIEhlYWx0aCBhbmQgRW5naW5lZXJpbmcsIEpvaG5zIEhvcGtpbnMg
VW5pdmVyc2l0eSwgQmFsdGltb3JlLCBNRCwgVVNBOyBDb2x1bWJpYSBVbml2ZXJzaXR5IE1haWxt
YW4gU2Nob29sIG9mIFB1YmxpYyBIZWFsdGgsIERlcGFydG1lbnQgb2YgRW52aXJvbm1lbnRhbCBI
ZWFsdGggU2NpZW5jZXMsIENvbHVtYmlhIFVuaXZlcnNpdHksIE5ldyBZb3JrLCBOWSwgVVNBOyBK
b2hucyBIb3BraW5zIEJsb29tYmVyZyBTY2hvb2wgb2YgUHVibGljIEhlYWx0aCwgRGVwYXJ0bWVu
dCBvZiBFcGlkZW1pb2xvZ3ksIEpvaG5zIEhvcGtpbnMgVW5pdmVyc2l0eSwgQmFsdGltb3JlLCBN
RCwgVVNBLjwvYXV0aC1hZGRyZXNzPjx0aXRsZXM+PHRpdGxlPlRoZSBhc3NvY2lhdGlvbiBvZiBl
LWNpZ2FyZXR0ZSB1c2Ugd2l0aCBleHBvc3VyZSB0byBuaWNrZWwgYW5kIGNocm9taXVtOiBBIHBy
ZWxpbWluYXJ5IHN0dWR5IG9mIG5vbi1pbnZhc2l2ZSBiaW9tYXJrZXJzPC90aXRsZT48c2Vjb25k
YXJ5LXRpdGxlPkVudmlyb24gUmVzPC9zZWNvbmRhcnktdGl0bGU+PGFsdC10aXRsZT5FbnZpcm9u
bWVudGFsIHJlc2VhcmNoPC9hbHQtdGl0bGU+PC90aXRsZXM+PHBlcmlvZGljYWw+PGZ1bGwtdGl0
bGU+RW52aXJvbiBSZXM8L2Z1bGwtdGl0bGU+PGFiYnItMT5FbnZpcm9ubWVudGFsIHJlc2VhcmNo
PC9hYmJyLTE+PC9wZXJpb2RpY2FsPjxhbHQtcGVyaW9kaWNhbD48ZnVsbC10aXRsZT5FbnZpcm9u
IFJlczwvZnVsbC10aXRsZT48YWJici0xPkVudmlyb25tZW50YWwgcmVzZWFyY2g8L2FiYnItMT48
L2FsdC1wZXJpb2RpY2FsPjxwYWdlcz4zMTMtMzIwPC9wYWdlcz48dm9sdW1lPjE1OTwvdm9sdW1l
PjxlZGl0aW9uPjIwMTcvMDgvMjU8L2VkaXRpb24+PGtleXdvcmRzPjxrZXl3b3JkPkFkdWx0PC9r
ZXl3b3JkPjxrZXl3b3JkPkFpciBQb2xsdXRhbnRzLyptZXRhYm9saXNtL3VyaW5lPC9rZXl3b3Jk
PjxrZXl3b3JkPkJhbHRpbW9yZTwva2V5d29yZD48a2V5d29yZD5CaW9tYXJrZXJzL21ldGFib2xp
c20vdXJpbmU8L2tleXdvcmQ+PGtleXdvcmQ+QnJlYXRoIFRlc3RzPC9rZXl3b3JkPjxrZXl3b3Jk
PkNocm9taXVtLyptZXRhYm9saXNtL3VyaW5lPC9rZXl3b3JkPjxrZXl3b3JkPkVsZWN0cm9uaWMg
Tmljb3RpbmUgRGVsaXZlcnkgU3lzdGVtcy8qc3RhdGlzdGljcyAmYW1wOyBudW1lcmljYWwgZGF0
YTwva2V5d29yZD48a2V5d29yZD5FbnZpcm9ubWVudGFsIEV4cG9zdXJlPC9rZXl3b3JkPjxrZXl3
b3JkPkVudmlyb25tZW50YWwgTW9uaXRvcmluZzwva2V5d29yZD48a2V5d29yZD5GZW1hbGU8L2tl
eXdvcmQ+PGtleXdvcmQ+SHVtYW5zPC9rZXl3b3JkPjxrZXl3b3JkPk1hbGU8L2tleXdvcmQ+PGtl
eXdvcmQ+TWlkZGxlIEFnZWQ8L2tleXdvcmQ+PGtleXdvcmQ+Tmlja2VsLyptZXRhYm9saXNtL3Vy
aW5lPC9rZXl3b3JkPjxrZXl3b3JkPlNhbGl2YS9jaGVtaXN0cnk8L2tleXdvcmQ+PGtleXdvcmQ+
WW91bmcgQWR1bHQ8L2tleXdvcmQ+PC9rZXl3b3Jkcz48ZGF0ZXM+PHllYXI+MjAxNzwveWVhcj48
cHViLWRhdGVzPjxkYXRlPk5vdjwvZGF0ZT48L3B1Yi1kYXRlcz48L2RhdGVzPjxpc2JuPjAwMTMt
OTM1MTwvaXNibj48YWNjZXNzaW9uLW51bT4yODgzNzkwMzwvYWNjZXNzaW9uLW51bT48dXJscz48
L3VybHM+PGVsZWN0cm9uaWMtcmVzb3VyY2UtbnVtPjEwLjEwMTYvai5lbnZyZXMuMjAxNy4wOC4w
MTQ8L2VsZWN0cm9uaWMtcmVzb3VyY2UtbnVtPjxyZW1vdGUtZGF0YWJhc2UtcHJvdmlkZXI+TkxN
PC9yZW1vdGUtZGF0YWJhc2UtcHJvdmlkZXI+PGxhbmd1YWdlPmVuZzwvbGFuZ3VhZ2U+PC9yZWNv
cmQ+PC9DaXRlPjwvRW5kTm90ZT5=
</w:fldData>
        </w:fldChar>
      </w:r>
      <w:r>
        <w:instrText xml:space="preserve"> ADDIN EN.CITE </w:instrText>
      </w:r>
      <w:r>
        <w:fldChar w:fldCharType="begin">
          <w:fldData xml:space="preserve">PEVuZE5vdGU+PENpdGU+PEF1dGhvcj5BaGVycmVyYTwvQXV0aG9yPjxZZWFyPjIwMTc8L1llYXI+
PFJlY051bT4zNDQ3PC9SZWNOdW0+PERpc3BsYXlUZXh0PihBaGVycmVyYSwgT2xtZWRvIGV0IGFs
LiAyMDE3KTwvRGlzcGxheVRleHQ+PHJlY29yZD48cmVjLW51bWJlcj4zNDQ3PC9yZWMtbnVtYmVy
Pjxmb3JlaWduLWtleXM+PGtleSBhcHA9IkVOIiBkYi1pZD0iZnB0OXB0dHJtNXpmc2Flc3A5ZnBz
ZGR2MDlld3N2NXhld2ZkIiB0aW1lc3RhbXA9IjE1MjM4NDA4MzkiPjM0NDc8L2tleT48a2V5IGFw
cD0iRU5XZWIiIGRiLWlkPSIiPjA8L2tleT48L2ZvcmVpZ24ta2V5cz48cmVmLXR5cGUgbmFtZT0i
Sm91cm5hbCBBcnRpY2xlIj4xNzwvcmVmLXR5cGU+PGNvbnRyaWJ1dG9ycz48YXV0aG9ycz48YXV0
aG9yPkFoZXJyZXJhLCBBLjwvYXV0aG9yPjxhdXRob3I+T2xtZWRvLCBQLjwvYXV0aG9yPjxhdXRo
b3I+R3JhdS1QZXJleiwgTS48L2F1dGhvcj48YXV0aG9yPlRhbmRhLCBTLjwvYXV0aG9yPjxhdXRo
b3I+R29lc3NsZXIsIFcuPC9hdXRob3I+PGF1dGhvcj5KYXJtdWwsIFMuPC9hdXRob3I+PGF1dGhv
cj5DaGVuLCBSLjwvYXV0aG9yPjxhdXRob3I+Q29oZW4sIEouIEUuPC9hdXRob3I+PGF1dGhvcj5S
dWxlLCBBLiBNLjwvYXV0aG9yPjxhdXRob3I+TmF2YXMtQWNpZW4sIEEuPC9hdXRob3I+PC9hdXRo
b3JzPjwvY29udHJpYnV0b3JzPjxhdXRoLWFkZHJlc3M+Sm9obnMgSG9wa2lucyBCbG9vbWJlcmcg
U2Nob29sIG9mIFB1YmxpYyBIZWFsdGgsIERlcGFydG1lbnQgb2YgRW52aXJvbm1lbnRhbCBIZWFs
dGggYW5kIEVuZ2luZWVyaW5nLCBKb2hucyBIb3BraW5zIFVuaXZlcnNpdHksIEJhbHRpbW9yZSwg
TUQsIFVTQS4gRWxlY3Ryb25pYyBhZGRyZXNzOiBhYWhlcnJlMkBqaHUuZWR1LiYjeEQ7Sm9obnMg
SG9wa2lucyBCbG9vbWJlcmcgU2Nob29sIG9mIFB1YmxpYyBIZWFsdGgsIERlcGFydG1lbnQgb2Yg
RW52aXJvbm1lbnRhbCBIZWFsdGggYW5kIEVuZ2luZWVyaW5nLCBKb2hucyBIb3BraW5zIFVuaXZl
cnNpdHksIEJhbHRpbW9yZSwgTUQsIFVTQTsgQ29sdW1iaWEgVW5pdmVyc2l0eSBNYWlsbWFuIFNj
aG9vbCBvZiBQdWJsaWMgSGVhbHRoLCBEZXBhcnRtZW50IG9mIEVudmlyb25tZW50YWwgSGVhbHRo
IFNjaWVuY2VzLCBDb2x1bWJpYSBVbml2ZXJzaXR5LCBOZXcgWW9yaywgTlksIFVTQS4mI3hEO0lu
c3RpdHV0ZSBvZiBDaGVtaXN0cnkgQW5hbHl0aWNhbCBDaGVtaXN0cnksIFVuaXZlcnNpdHkgb2Yg
R3JheiwgQXVzdHJpYS4mI3hEO0pvaG5zIEhvcGtpbnMgQmxvb21iZXJnIFNjaG9vbCBvZiBQdWJs
aWMgSGVhbHRoLCBEZXBhcnRtZW50IG9mIEVudmlyb25tZW50YWwgSGVhbHRoIGFuZCBFbmdpbmVl
cmluZywgSm9obnMgSG9wa2lucyBVbml2ZXJzaXR5LCBCYWx0aW1vcmUsIE1ELCBVU0EuJiN4RDtJ
bnN0aXR1dGUgZm9yIEdsb2JhbCBUb2JhY2NvIENvbnRyb2wsIEpvaG5zIEhvcGtpbnMgVW5pdmVy
c2l0eSwgQmFsdGltb3JlLCBNRCwgVVNBOyBKb2hucyBIb3BraW5zIEJsb29tYmVyZyBTY2hvb2wg
b2YgUHVibGljIEhlYWx0aCwgRGVwYXJ0bWVudCBvZiBIZWFsdGgsIEJlaGF2aW9yLCBhbmQgU29j
aWV0eSwgSm9obnMgSG9wa2lucyBVbml2ZXJzaXR5LCBCYWx0aW1vcmUsIE1ELCBVU0EuJiN4RDtK
b2hucyBIb3BraW5zIEJsb29tYmVyZyBTY2hvb2wgb2YgUHVibGljIEhlYWx0aCwgRGVwYXJ0bWVu
dCBvZiBFbnZpcm9ubWVudGFsIEhlYWx0aCBhbmQgRW5naW5lZXJpbmcsIEpvaG5zIEhvcGtpbnMg
VW5pdmVyc2l0eSwgQmFsdGltb3JlLCBNRCwgVVNBOyBDb2x1bWJpYSBVbml2ZXJzaXR5IE1haWxt
YW4gU2Nob29sIG9mIFB1YmxpYyBIZWFsdGgsIERlcGFydG1lbnQgb2YgRW52aXJvbm1lbnRhbCBI
ZWFsdGggU2NpZW5jZXMsIENvbHVtYmlhIFVuaXZlcnNpdHksIE5ldyBZb3JrLCBOWSwgVVNBOyBK
b2hucyBIb3BraW5zIEJsb29tYmVyZyBTY2hvb2wgb2YgUHVibGljIEhlYWx0aCwgRGVwYXJ0bWVu
dCBvZiBFcGlkZW1pb2xvZ3ksIEpvaG5zIEhvcGtpbnMgVW5pdmVyc2l0eSwgQmFsdGltb3JlLCBN
RCwgVVNBLjwvYXV0aC1hZGRyZXNzPjx0aXRsZXM+PHRpdGxlPlRoZSBhc3NvY2lhdGlvbiBvZiBl
LWNpZ2FyZXR0ZSB1c2Ugd2l0aCBleHBvc3VyZSB0byBuaWNrZWwgYW5kIGNocm9taXVtOiBBIHBy
ZWxpbWluYXJ5IHN0dWR5IG9mIG5vbi1pbnZhc2l2ZSBiaW9tYXJrZXJzPC90aXRsZT48c2Vjb25k
YXJ5LXRpdGxlPkVudmlyb24gUmVzPC9zZWNvbmRhcnktdGl0bGU+PGFsdC10aXRsZT5FbnZpcm9u
bWVudGFsIHJlc2VhcmNoPC9hbHQtdGl0bGU+PC90aXRsZXM+PHBlcmlvZGljYWw+PGZ1bGwtdGl0
bGU+RW52aXJvbiBSZXM8L2Z1bGwtdGl0bGU+PGFiYnItMT5FbnZpcm9ubWVudGFsIHJlc2VhcmNo
PC9hYmJyLTE+PC9wZXJpb2RpY2FsPjxhbHQtcGVyaW9kaWNhbD48ZnVsbC10aXRsZT5FbnZpcm9u
IFJlczwvZnVsbC10aXRsZT48YWJici0xPkVudmlyb25tZW50YWwgcmVzZWFyY2g8L2FiYnItMT48
L2FsdC1wZXJpb2RpY2FsPjxwYWdlcz4zMTMtMzIwPC9wYWdlcz48dm9sdW1lPjE1OTwvdm9sdW1l
PjxlZGl0aW9uPjIwMTcvMDgvMjU8L2VkaXRpb24+PGtleXdvcmRzPjxrZXl3b3JkPkFkdWx0PC9r
ZXl3b3JkPjxrZXl3b3JkPkFpciBQb2xsdXRhbnRzLyptZXRhYm9saXNtL3VyaW5lPC9rZXl3b3Jk
PjxrZXl3b3JkPkJhbHRpbW9yZTwva2V5d29yZD48a2V5d29yZD5CaW9tYXJrZXJzL21ldGFib2xp
c20vdXJpbmU8L2tleXdvcmQ+PGtleXdvcmQ+QnJlYXRoIFRlc3RzPC9rZXl3b3JkPjxrZXl3b3Jk
PkNocm9taXVtLyptZXRhYm9saXNtL3VyaW5lPC9rZXl3b3JkPjxrZXl3b3JkPkVsZWN0cm9uaWMg
Tmljb3RpbmUgRGVsaXZlcnkgU3lzdGVtcy8qc3RhdGlzdGljcyAmYW1wOyBudW1lcmljYWwgZGF0
YTwva2V5d29yZD48a2V5d29yZD5FbnZpcm9ubWVudGFsIEV4cG9zdXJlPC9rZXl3b3JkPjxrZXl3
b3JkPkVudmlyb25tZW50YWwgTW9uaXRvcmluZzwva2V5d29yZD48a2V5d29yZD5GZW1hbGU8L2tl
eXdvcmQ+PGtleXdvcmQ+SHVtYW5zPC9rZXl3b3JkPjxrZXl3b3JkPk1hbGU8L2tleXdvcmQ+PGtl
eXdvcmQ+TWlkZGxlIEFnZWQ8L2tleXdvcmQ+PGtleXdvcmQ+Tmlja2VsLyptZXRhYm9saXNtL3Vy
aW5lPC9rZXl3b3JkPjxrZXl3b3JkPlNhbGl2YS9jaGVtaXN0cnk8L2tleXdvcmQ+PGtleXdvcmQ+
WW91bmcgQWR1bHQ8L2tleXdvcmQ+PC9rZXl3b3Jkcz48ZGF0ZXM+PHllYXI+MjAxNzwveWVhcj48
cHViLWRhdGVzPjxkYXRlPk5vdjwvZGF0ZT48L3B1Yi1kYXRlcz48L2RhdGVzPjxpc2JuPjAwMTMt
OTM1MTwvaXNibj48YWNjZXNzaW9uLW51bT4yODgzNzkwMzwvYWNjZXNzaW9uLW51bT48dXJscz48
L3VybHM+PGVsZWN0cm9uaWMtcmVzb3VyY2UtbnVtPjEwLjEwMTYvai5lbnZyZXMuMjAxNy4wOC4w
MTQ8L2VsZWN0cm9uaWMtcmVzb3VyY2UtbnVtPjxyZW1vdGUtZGF0YWJhc2UtcHJvdmlkZXI+TkxN
PC9yZW1vdGUtZGF0YWJhc2UtcHJvdmlkZXI+PGxhbmd1YWdlPmVuZzwvbGFuZ3VhZ2U+PC9yZWNv
cmQ+PC9DaXRlPjwvRW5kTm90ZT5=
</w:fldData>
        </w:fldChar>
      </w:r>
      <w:r>
        <w:instrText xml:space="preserve"> ADDIN EN.CITE.DATA </w:instrText>
      </w:r>
      <w:r>
        <w:fldChar w:fldCharType="end"/>
      </w:r>
      <w:r>
        <w:fldChar w:fldCharType="separate"/>
      </w:r>
      <w:r>
        <w:rPr>
          <w:noProof/>
        </w:rPr>
        <w:t>(Aherrera, Olmedo et al. 2017)</w:t>
      </w:r>
      <w:r>
        <w:fldChar w:fldCharType="end"/>
      </w:r>
      <w:r>
        <w:t>. This suggests that attention needs to be given to the constituents of the various e</w:t>
      </w:r>
      <w:r>
        <w:noBreakHyphen/>
        <w:t xml:space="preserve">cigarette products and liquids. </w:t>
      </w:r>
    </w:p>
    <w:p w14:paraId="14FAE4C7" w14:textId="77777777" w:rsidR="003178F6" w:rsidRDefault="003178F6" w:rsidP="003178F6">
      <w:pPr>
        <w:pStyle w:val="BodyText"/>
      </w:pPr>
      <w:r>
        <w:t xml:space="preserve">While reductions in systolic blood pressure are reported </w:t>
      </w:r>
      <w:r>
        <w:rPr>
          <w:rFonts w:asciiTheme="minorHAnsi" w:hAnsiTheme="minorHAnsi" w:cstheme="minorHAnsi"/>
        </w:rPr>
        <w:t>for smokers using e</w:t>
      </w:r>
      <w:r>
        <w:rPr>
          <w:rFonts w:asciiTheme="minorHAnsi" w:hAnsiTheme="minorHAnsi" w:cstheme="minorHAnsi"/>
        </w:rPr>
        <w:noBreakHyphen/>
        <w:t>cigarettes</w:t>
      </w:r>
      <w:r w:rsidRPr="00AB55B3">
        <w:rPr>
          <w:rFonts w:asciiTheme="minorHAnsi" w:hAnsiTheme="minorHAnsi" w:cstheme="minorHAnsi"/>
        </w:rPr>
        <w:t xml:space="preserve"> </w:t>
      </w:r>
      <w:r>
        <w:rPr>
          <w:rFonts w:asciiTheme="minorHAnsi" w:hAnsiTheme="minorHAnsi" w:cstheme="minorHAnsi"/>
        </w:rPr>
        <w:t xml:space="preserve">in some short term studies </w:t>
      </w:r>
      <w:r w:rsidRPr="00AB55B3">
        <w:rPr>
          <w:rFonts w:asciiTheme="minorHAnsi" w:hAnsiTheme="minorHAnsi" w:cstheme="minorHAnsi"/>
        </w:rPr>
        <w:t>(D’Ruiz et al.; Caponnetto et al.)</w:t>
      </w:r>
      <w:r>
        <w:rPr>
          <w:rFonts w:asciiTheme="minorHAnsi" w:hAnsiTheme="minorHAnsi" w:cstheme="minorHAnsi"/>
        </w:rPr>
        <w:t xml:space="preserve">, in the flawed longer term study of </w:t>
      </w:r>
      <w:r>
        <w:t xml:space="preserve">Walele et al no change was seen. </w:t>
      </w:r>
    </w:p>
    <w:p w14:paraId="7827733E" w14:textId="2B418256" w:rsidR="003178F6" w:rsidRDefault="003178F6" w:rsidP="003178F6">
      <w:pPr>
        <w:pStyle w:val="BodyText"/>
      </w:pPr>
      <w:r>
        <w:t>New studies about the impact of e</w:t>
      </w:r>
      <w:r>
        <w:noBreakHyphen/>
        <w:t>cigarette use on respiratory function for smokers do not show benefit in the short term (</w:t>
      </w:r>
      <w:r w:rsidR="00AF78AB">
        <w:t>one</w:t>
      </w:r>
      <w:r>
        <w:t xml:space="preserve"> to </w:t>
      </w:r>
      <w:r w:rsidR="00AF78AB">
        <w:t>four</w:t>
      </w:r>
      <w:r>
        <w:t xml:space="preserve"> days). It is apparent that e</w:t>
      </w:r>
      <w:r>
        <w:noBreakHyphen/>
        <w:t>cigarettes change lung biology in different ways to conventional cigarettes, but the implications of these differences on health are not yet clear.</w:t>
      </w:r>
    </w:p>
    <w:p w14:paraId="1C7D0045" w14:textId="77777777" w:rsidR="003178F6" w:rsidRDefault="003178F6" w:rsidP="003178F6">
      <w:pPr>
        <w:pStyle w:val="BodyText"/>
      </w:pPr>
      <w:r>
        <w:lastRenderedPageBreak/>
        <w:t>Finally, a single cross</w:t>
      </w:r>
      <w:r>
        <w:noBreakHyphen/>
        <w:t>sectional study suggests that e</w:t>
      </w:r>
      <w:r>
        <w:noBreakHyphen/>
        <w:t>cigarette use may be associated with better oral health for many outcomes relative to conventional cigarettes. However, it does not assess whether oral health improves in smokers who switch to e</w:t>
      </w:r>
      <w:r>
        <w:noBreakHyphen/>
        <w:t>cigarettes. Another single study suggests that e</w:t>
      </w:r>
      <w:r>
        <w:noBreakHyphen/>
        <w:t>cigarette use may be beneficial in order to prevent weight gain for smokers who have quit smoking, although this observation was made on subjects with cardiorespiratory conditions.</w:t>
      </w:r>
    </w:p>
    <w:p w14:paraId="02801C87" w14:textId="77777777" w:rsidR="003178F6" w:rsidRDefault="003178F6" w:rsidP="003178F6">
      <w:pPr>
        <w:pStyle w:val="BodyText"/>
      </w:pPr>
    </w:p>
    <w:p w14:paraId="07D32922" w14:textId="77777777" w:rsidR="003178F6" w:rsidRPr="00AB590B" w:rsidRDefault="003178F6" w:rsidP="003178F6">
      <w:pPr>
        <w:keepNext/>
        <w:keepLines/>
        <w:numPr>
          <w:ilvl w:val="2"/>
          <w:numId w:val="13"/>
        </w:numPr>
        <w:tabs>
          <w:tab w:val="left" w:pos="1134"/>
        </w:tabs>
        <w:spacing w:before="360" w:after="240"/>
        <w:outlineLvl w:val="2"/>
        <w:rPr>
          <w:rFonts w:eastAsiaTheme="majorEastAsia" w:cstheme="majorBidi"/>
          <w:b/>
          <w:bCs/>
          <w:color w:val="auto"/>
          <w:sz w:val="26"/>
          <w:szCs w:val="26"/>
        </w:rPr>
      </w:pPr>
      <w:r w:rsidRPr="00AB590B">
        <w:rPr>
          <w:rFonts w:eastAsiaTheme="majorEastAsia" w:cstheme="majorBidi"/>
          <w:b/>
          <w:bCs/>
          <w:color w:val="auto"/>
          <w:sz w:val="26"/>
          <w:szCs w:val="26"/>
        </w:rPr>
        <w:t>What the new studies add to what is already known about e</w:t>
      </w:r>
      <w:r w:rsidRPr="00AB590B">
        <w:rPr>
          <w:rFonts w:eastAsiaTheme="majorEastAsia" w:cstheme="majorBidi"/>
          <w:b/>
          <w:bCs/>
          <w:color w:val="auto"/>
          <w:sz w:val="26"/>
          <w:szCs w:val="26"/>
        </w:rPr>
        <w:noBreakHyphen/>
        <w:t>cigarettes</w:t>
      </w:r>
    </w:p>
    <w:p w14:paraId="4ADDB8C6" w14:textId="0B31E361" w:rsidR="003178F6" w:rsidRDefault="003178F6" w:rsidP="003178F6">
      <w:pPr>
        <w:pStyle w:val="BodyText"/>
      </w:pPr>
      <w:r>
        <w:t>Overall, the results from this review of recent studies are largely consistent with the conclusions drawn in previous reviews. There is still a need for studies which can appropriately allocate treatments to sufficient subjects for a sufficient time to quantify the health effects of e</w:t>
      </w:r>
      <w:r>
        <w:noBreakHyphen/>
        <w:t>cigarettes for conventional cigarette smokers. It is recognised that this is challenging.</w:t>
      </w:r>
      <w:r w:rsidR="008146F9">
        <w:t xml:space="preserve"> </w:t>
      </w:r>
    </w:p>
    <w:p w14:paraId="37064FF9" w14:textId="77777777" w:rsidR="003178F6" w:rsidRPr="00CF1A1B" w:rsidRDefault="003178F6" w:rsidP="00634034">
      <w:pPr>
        <w:pStyle w:val="BodyText"/>
        <w:numPr>
          <w:ilvl w:val="0"/>
          <w:numId w:val="77"/>
        </w:numPr>
      </w:pPr>
      <w:r w:rsidRPr="00CF1A1B">
        <w:t>The Public Health England report states that e</w:t>
      </w:r>
      <w:r w:rsidRPr="00CF1A1B">
        <w:noBreakHyphen/>
        <w:t>cigarettes are ‘unlikely to exceed 5% of the harm from smoking tobacco’ and that risks of cardiovascular disease are likely to be substantially lower for e</w:t>
      </w:r>
      <w:r w:rsidRPr="00CF1A1B">
        <w:noBreakHyphen/>
        <w:t xml:space="preserve">cigarettes </w:t>
      </w:r>
      <w:r w:rsidRPr="00CF1A1B">
        <w:fldChar w:fldCharType="begin"/>
      </w:r>
      <w:r w:rsidRPr="00CF1A1B">
        <w:instrText xml:space="preserve"> ADDIN EN.CITE &lt;EndNote&gt;&lt;Cite&gt;&lt;Author&gt;McNeill A&lt;/Author&gt;&lt;Year&gt;2018&lt;/Year&gt;&lt;RecNum&gt;9330&lt;/RecNum&gt;&lt;DisplayText&gt;(McNeill A 2018)&lt;/DisplayText&gt;&lt;record&gt;&lt;rec-number&gt;9330&lt;/rec-number&gt;&lt;foreign-keys&gt;&lt;key app="EN" db-id="9z05dz0praadfuee0zoxzedk9zfe5fxx50z5" timestamp="1524019080"&gt;9330&lt;/key&gt;&lt;key app="ENWeb" db-id=""&gt;0&lt;/key&gt;&lt;/foreign-keys&gt;&lt;ref-type name="Report"&gt;27&lt;/ref-type&gt;&lt;contributors&gt;&lt;authors&gt;&lt;author&gt;McNeill A,  Brose. L., Calder R,  Bauld L, Robson D.&lt;/author&gt;&lt;/authors&gt;&lt;/contributors&gt;&lt;titles&gt;&lt;title&gt;Evidence Review of e-cigarettes and heated tobacco products 2018. A Report commissioned by Public Health England.&lt;/title&gt;&lt;/titles&gt;&lt;dates&gt;&lt;year&gt;2018&lt;/year&gt;&lt;/dates&gt;&lt;pub-location&gt;London&lt;/pub-location&gt;&lt;publisher&gt;Public Health England&lt;/publisher&gt;&lt;urls&gt;&lt;related-urls&gt;&lt;url&gt;https://www.gov.uk/government/publications/e-cigarettes-and-heated-tobacco-products-evidence-review&lt;/url&gt;&lt;/related-urls&gt;&lt;/urls&gt;&lt;/record&gt;&lt;/Cite&gt;&lt;/EndNote&gt;</w:instrText>
      </w:r>
      <w:r w:rsidRPr="00CF1A1B">
        <w:fldChar w:fldCharType="separate"/>
      </w:r>
      <w:r w:rsidRPr="00CF1A1B">
        <w:rPr>
          <w:noProof/>
        </w:rPr>
        <w:t>(McNeill A 2018)</w:t>
      </w:r>
      <w:r w:rsidRPr="00CF1A1B">
        <w:fldChar w:fldCharType="end"/>
      </w:r>
      <w:r w:rsidRPr="00CF1A1B">
        <w:t xml:space="preserve">. </w:t>
      </w:r>
      <w:r>
        <w:t>In relation</w:t>
      </w:r>
      <w:r w:rsidRPr="00CF1A1B">
        <w:t xml:space="preserve"> to cardiovascular risk, this review identified studies suggesting lower cardiovascular risk for those switching to e</w:t>
      </w:r>
      <w:r w:rsidRPr="00CF1A1B">
        <w:noBreakHyphen/>
        <w:t>cigarettes. Switching to e</w:t>
      </w:r>
      <w:r w:rsidRPr="00CF1A1B">
        <w:noBreakHyphen/>
        <w:t>cigarettes could be associated with either no changes or reduced systolic and diastolic blood pressure. However, a small study linked increased cardiac sympathetic nerve activity to the nicotine in e</w:t>
      </w:r>
      <w:r w:rsidRPr="00CF1A1B">
        <w:noBreakHyphen/>
        <w:t xml:space="preserve">cigarettes </w:t>
      </w:r>
      <w:r w:rsidRPr="00CF1A1B">
        <w:fldChar w:fldCharType="begin"/>
      </w:r>
      <w:r w:rsidRPr="00CF1A1B">
        <w:instrText xml:space="preserve"> ADDIN EN.CITE &lt;EndNote&gt;&lt;Cite&gt;&lt;Author&gt;Kerr&lt;/Author&gt;&lt;Year&gt;2017&lt;/Year&gt;&lt;RecNum&gt;1877&lt;/RecNum&gt;&lt;DisplayText&gt;(Kerr, Touyz et al. 2017)&lt;/DisplayText&gt;&lt;record&gt;&lt;rec-number&gt;1877&lt;/rec-number&gt;&lt;foreign-keys&gt;&lt;key app="EN" db-id="9vs9pzfznapxphefa28xzw95sf5av0sv9rdz" timestamp="1521159485"&gt;1877&lt;/key&gt;&lt;key app="ENWeb" db-id=""&gt;0&lt;/key&gt;&lt;/foreign-keys&gt;&lt;ref-type name="Journal Article"&gt;17&lt;/ref-type&gt;&lt;contributors&gt;&lt;authors&gt;&lt;author&gt;Kerr, Daniele&lt;/author&gt;&lt;author&gt;Touyz, Rhian&lt;/author&gt;&lt;author&gt;Delles, Christian&lt;/author&gt;&lt;/authors&gt;&lt;/contributors&gt;&lt;titles&gt;&lt;title&gt;The immediate effects of electronic cigarette use and tobacco smoking on vascular and respiratory function in healthy volunteers: a crossover study&lt;/title&gt;&lt;secondary-title&gt;Journal of Human Hypertension&lt;/secondary-title&gt;&lt;/titles&gt;&lt;periodical&gt;&lt;full-title&gt;Journal of Human Hypertension&lt;/full-title&gt;&lt;/periodical&gt;&lt;pages&gt;662-662&lt;/pages&gt;&lt;volume&gt;31&lt;/volume&gt;&lt;number&gt;10&lt;/number&gt;&lt;dates&gt;&lt;year&gt;2017&lt;/year&gt;&lt;pub-dates&gt;&lt;date&gt;Oct&lt;/date&gt;&lt;/pub-dates&gt;&lt;/dates&gt;&lt;isbn&gt;0950-9240&lt;/isbn&gt;&lt;accession-num&gt;WOS:000412219400020&lt;/accession-num&gt;&lt;urls&gt;&lt;related-urls&gt;&lt;url&gt;&amp;lt;Go to ISI&amp;gt;://WOS:000412219400020&lt;/url&gt;&lt;/related-urls&gt;&lt;/urls&gt;&lt;/record&gt;&lt;/Cite&gt;&lt;/EndNote&gt;</w:instrText>
      </w:r>
      <w:r w:rsidRPr="00CF1A1B">
        <w:fldChar w:fldCharType="separate"/>
      </w:r>
      <w:r w:rsidRPr="00CF1A1B">
        <w:rPr>
          <w:noProof/>
        </w:rPr>
        <w:t>(Kerr, Touyz et al. 2017)</w:t>
      </w:r>
      <w:r w:rsidRPr="00CF1A1B">
        <w:fldChar w:fldCharType="end"/>
      </w:r>
      <w:r w:rsidRPr="00CF1A1B">
        <w:t>.</w:t>
      </w:r>
    </w:p>
    <w:p w14:paraId="0836DC07" w14:textId="77777777" w:rsidR="003178F6" w:rsidRDefault="003178F6" w:rsidP="003178F6">
      <w:pPr>
        <w:pStyle w:val="BodyText"/>
        <w:ind w:left="720"/>
      </w:pPr>
    </w:p>
    <w:p w14:paraId="3BA3A07B" w14:textId="77777777" w:rsidR="003178F6" w:rsidRDefault="003178F6" w:rsidP="003178F6">
      <w:pPr>
        <w:pStyle w:val="BodyText"/>
      </w:pPr>
    </w:p>
    <w:p w14:paraId="0F506168" w14:textId="77777777" w:rsidR="003178F6" w:rsidRDefault="003178F6" w:rsidP="003178F6">
      <w:pPr>
        <w:pStyle w:val="BodyText"/>
        <w:sectPr w:rsidR="003178F6" w:rsidSect="003178F6">
          <w:footerReference w:type="even" r:id="rId36"/>
          <w:footerReference w:type="default" r:id="rId37"/>
          <w:type w:val="evenPage"/>
          <w:pgSz w:w="11906" w:h="16838" w:code="9"/>
          <w:pgMar w:top="1134" w:right="1134" w:bottom="1134" w:left="1134" w:header="510" w:footer="624" w:gutter="0"/>
          <w:cols w:space="850"/>
          <w:docGrid w:linePitch="360"/>
        </w:sectPr>
      </w:pPr>
    </w:p>
    <w:p w14:paraId="19B59AA4" w14:textId="77777777" w:rsidR="00BD60C7" w:rsidRDefault="00BD60C7" w:rsidP="00BD60C7">
      <w:pPr>
        <w:pStyle w:val="Heading1"/>
      </w:pPr>
      <w:bookmarkStart w:id="201" w:name="_Toc515229045"/>
      <w:bookmarkStart w:id="202" w:name="_Toc517706712"/>
      <w:r>
        <w:lastRenderedPageBreak/>
        <w:t>Tables</w:t>
      </w:r>
      <w:bookmarkEnd w:id="201"/>
      <w:bookmarkEnd w:id="202"/>
    </w:p>
    <w:p w14:paraId="66FA4078" w14:textId="77777777" w:rsidR="003178F6" w:rsidRPr="0076393B" w:rsidRDefault="003D2CBD" w:rsidP="003D2CBD">
      <w:pPr>
        <w:pStyle w:val="Caption"/>
      </w:pPr>
      <w:bookmarkStart w:id="203" w:name="_Toc517707426"/>
      <w:r>
        <w:t xml:space="preserve">Table </w:t>
      </w:r>
      <w:r w:rsidR="0048064B">
        <w:rPr>
          <w:noProof/>
        </w:rPr>
        <w:fldChar w:fldCharType="begin"/>
      </w:r>
      <w:r w:rsidR="0048064B">
        <w:rPr>
          <w:noProof/>
        </w:rPr>
        <w:instrText xml:space="preserve"> SEQ Table \* ARABIC </w:instrText>
      </w:r>
      <w:r w:rsidR="0048064B">
        <w:rPr>
          <w:noProof/>
        </w:rPr>
        <w:fldChar w:fldCharType="separate"/>
      </w:r>
      <w:r w:rsidR="000C06DA">
        <w:rPr>
          <w:noProof/>
        </w:rPr>
        <w:t>17</w:t>
      </w:r>
      <w:r w:rsidR="0048064B">
        <w:rPr>
          <w:noProof/>
        </w:rPr>
        <w:fldChar w:fldCharType="end"/>
      </w:r>
      <w:r w:rsidR="003178F6">
        <w:t xml:space="preserve">: Health outcomes in </w:t>
      </w:r>
      <w:r>
        <w:t xml:space="preserve">studies of </w:t>
      </w:r>
      <w:r w:rsidR="003178F6">
        <w:t>cigarette smokers</w:t>
      </w:r>
      <w:bookmarkEnd w:id="203"/>
      <w:r w:rsidR="003178F6">
        <w:t xml:space="preserve"> </w:t>
      </w:r>
    </w:p>
    <w:tbl>
      <w:tblPr>
        <w:tblW w:w="14880" w:type="dxa"/>
        <w:tblLayout w:type="fixed"/>
        <w:tblLook w:val="04A0" w:firstRow="1" w:lastRow="0" w:firstColumn="1" w:lastColumn="0" w:noHBand="0" w:noVBand="1"/>
      </w:tblPr>
      <w:tblGrid>
        <w:gridCol w:w="1205"/>
        <w:gridCol w:w="1350"/>
        <w:gridCol w:w="1981"/>
        <w:gridCol w:w="3261"/>
        <w:gridCol w:w="3543"/>
        <w:gridCol w:w="3540"/>
      </w:tblGrid>
      <w:tr w:rsidR="003178F6" w:rsidRPr="00806100" w14:paraId="50220CF1" w14:textId="77777777" w:rsidTr="002C0138">
        <w:trPr>
          <w:trHeight w:val="567"/>
          <w:tblHeader/>
        </w:trPr>
        <w:tc>
          <w:tcPr>
            <w:tcW w:w="1205" w:type="dxa"/>
            <w:tcBorders>
              <w:top w:val="single" w:sz="4" w:space="0" w:color="auto"/>
              <w:left w:val="nil"/>
              <w:bottom w:val="nil"/>
              <w:right w:val="nil"/>
            </w:tcBorders>
            <w:shd w:val="clear" w:color="000000" w:fill="000000"/>
            <w:hideMark/>
          </w:tcPr>
          <w:p w14:paraId="298832F5" w14:textId="77777777" w:rsidR="003178F6" w:rsidRPr="00806100" w:rsidRDefault="003178F6" w:rsidP="002C0138">
            <w:pPr>
              <w:spacing w:after="0"/>
              <w:rPr>
                <w:rFonts w:eastAsia="Times New Roman"/>
                <w:b/>
                <w:bCs/>
                <w:color w:val="FFFFFF"/>
                <w:sz w:val="16"/>
                <w:szCs w:val="16"/>
              </w:rPr>
            </w:pPr>
            <w:r w:rsidRPr="00806100">
              <w:rPr>
                <w:rFonts w:eastAsia="Times New Roman"/>
                <w:b/>
                <w:bCs/>
                <w:color w:val="FFFFFF"/>
                <w:sz w:val="16"/>
                <w:szCs w:val="16"/>
              </w:rPr>
              <w:t xml:space="preserve">Study </w:t>
            </w:r>
          </w:p>
        </w:tc>
        <w:tc>
          <w:tcPr>
            <w:tcW w:w="1350" w:type="dxa"/>
            <w:tcBorders>
              <w:top w:val="single" w:sz="4" w:space="0" w:color="auto"/>
              <w:left w:val="nil"/>
              <w:bottom w:val="nil"/>
              <w:right w:val="nil"/>
            </w:tcBorders>
            <w:shd w:val="clear" w:color="000000" w:fill="000000"/>
            <w:hideMark/>
          </w:tcPr>
          <w:p w14:paraId="6917A20A" w14:textId="77777777" w:rsidR="003178F6" w:rsidRPr="00806100" w:rsidRDefault="003178F6" w:rsidP="002C0138">
            <w:pPr>
              <w:spacing w:after="0"/>
              <w:rPr>
                <w:rFonts w:eastAsia="Times New Roman"/>
                <w:b/>
                <w:bCs/>
                <w:color w:val="FFFFFF"/>
                <w:sz w:val="16"/>
                <w:szCs w:val="16"/>
              </w:rPr>
            </w:pPr>
            <w:r w:rsidRPr="00806100">
              <w:rPr>
                <w:rFonts w:eastAsia="Times New Roman"/>
                <w:b/>
                <w:bCs/>
                <w:color w:val="FFFFFF"/>
                <w:sz w:val="16"/>
                <w:szCs w:val="16"/>
              </w:rPr>
              <w:t>Design</w:t>
            </w:r>
          </w:p>
        </w:tc>
        <w:tc>
          <w:tcPr>
            <w:tcW w:w="1981" w:type="dxa"/>
            <w:tcBorders>
              <w:top w:val="single" w:sz="4" w:space="0" w:color="auto"/>
              <w:left w:val="nil"/>
              <w:bottom w:val="nil"/>
              <w:right w:val="nil"/>
            </w:tcBorders>
            <w:shd w:val="clear" w:color="000000" w:fill="000000"/>
            <w:hideMark/>
          </w:tcPr>
          <w:p w14:paraId="4AB04CF2" w14:textId="77777777" w:rsidR="003178F6" w:rsidRPr="00806100" w:rsidRDefault="003178F6" w:rsidP="002C0138">
            <w:pPr>
              <w:spacing w:after="0"/>
              <w:rPr>
                <w:rFonts w:eastAsia="Times New Roman"/>
                <w:b/>
                <w:bCs/>
                <w:color w:val="FFFFFF"/>
                <w:sz w:val="16"/>
                <w:szCs w:val="16"/>
              </w:rPr>
            </w:pPr>
            <w:r w:rsidRPr="00806100">
              <w:rPr>
                <w:rFonts w:eastAsia="Times New Roman"/>
                <w:b/>
                <w:bCs/>
                <w:color w:val="FFFFFF"/>
                <w:sz w:val="16"/>
                <w:szCs w:val="16"/>
              </w:rPr>
              <w:t>Duration</w:t>
            </w:r>
          </w:p>
        </w:tc>
        <w:tc>
          <w:tcPr>
            <w:tcW w:w="3261" w:type="dxa"/>
            <w:tcBorders>
              <w:top w:val="single" w:sz="4" w:space="0" w:color="auto"/>
              <w:left w:val="nil"/>
              <w:bottom w:val="nil"/>
              <w:right w:val="nil"/>
            </w:tcBorders>
            <w:shd w:val="clear" w:color="000000" w:fill="000000"/>
            <w:hideMark/>
          </w:tcPr>
          <w:p w14:paraId="6884CEA8" w14:textId="77777777" w:rsidR="003178F6" w:rsidRPr="00806100" w:rsidRDefault="003178F6" w:rsidP="002C0138">
            <w:pPr>
              <w:spacing w:after="0"/>
              <w:rPr>
                <w:rFonts w:eastAsia="Times New Roman"/>
                <w:b/>
                <w:bCs/>
                <w:color w:val="FFFFFF"/>
                <w:sz w:val="16"/>
                <w:szCs w:val="16"/>
              </w:rPr>
            </w:pPr>
            <w:r w:rsidRPr="00806100">
              <w:rPr>
                <w:rFonts w:eastAsia="Times New Roman"/>
                <w:b/>
                <w:bCs/>
                <w:color w:val="FFFFFF"/>
                <w:sz w:val="16"/>
                <w:szCs w:val="16"/>
              </w:rPr>
              <w:t>Population</w:t>
            </w:r>
          </w:p>
        </w:tc>
        <w:tc>
          <w:tcPr>
            <w:tcW w:w="3543" w:type="dxa"/>
            <w:tcBorders>
              <w:top w:val="single" w:sz="4" w:space="0" w:color="auto"/>
              <w:left w:val="nil"/>
              <w:bottom w:val="nil"/>
              <w:right w:val="nil"/>
            </w:tcBorders>
            <w:shd w:val="clear" w:color="000000" w:fill="000000"/>
            <w:hideMark/>
          </w:tcPr>
          <w:p w14:paraId="49F8EEB4" w14:textId="77777777" w:rsidR="003178F6" w:rsidRPr="00806100" w:rsidRDefault="003178F6" w:rsidP="002C0138">
            <w:pPr>
              <w:spacing w:after="0"/>
              <w:rPr>
                <w:rFonts w:eastAsia="Times New Roman"/>
                <w:b/>
                <w:bCs/>
                <w:color w:val="FFFFFF"/>
                <w:sz w:val="16"/>
                <w:szCs w:val="16"/>
              </w:rPr>
            </w:pPr>
            <w:r w:rsidRPr="00806100">
              <w:rPr>
                <w:rFonts w:eastAsia="Times New Roman"/>
                <w:b/>
                <w:bCs/>
                <w:color w:val="FFFFFF"/>
                <w:sz w:val="16"/>
                <w:szCs w:val="16"/>
              </w:rPr>
              <w:t>Groups/comparisons</w:t>
            </w:r>
          </w:p>
        </w:tc>
        <w:tc>
          <w:tcPr>
            <w:tcW w:w="3540" w:type="dxa"/>
            <w:tcBorders>
              <w:top w:val="single" w:sz="4" w:space="0" w:color="auto"/>
              <w:left w:val="nil"/>
              <w:bottom w:val="nil"/>
              <w:right w:val="nil"/>
            </w:tcBorders>
            <w:shd w:val="clear" w:color="000000" w:fill="000000"/>
            <w:hideMark/>
          </w:tcPr>
          <w:p w14:paraId="6DEA49E7" w14:textId="77777777" w:rsidR="003178F6" w:rsidRPr="00806100" w:rsidRDefault="003178F6" w:rsidP="002C0138">
            <w:pPr>
              <w:spacing w:after="0"/>
              <w:rPr>
                <w:rFonts w:eastAsia="Times New Roman"/>
                <w:b/>
                <w:bCs/>
                <w:color w:val="FFFFFF"/>
                <w:sz w:val="16"/>
                <w:szCs w:val="16"/>
              </w:rPr>
            </w:pPr>
            <w:r w:rsidRPr="00806100">
              <w:rPr>
                <w:rFonts w:eastAsia="Times New Roman"/>
                <w:b/>
                <w:bCs/>
                <w:color w:val="FFFFFF"/>
                <w:sz w:val="16"/>
                <w:szCs w:val="16"/>
              </w:rPr>
              <w:t>Funding</w:t>
            </w:r>
          </w:p>
        </w:tc>
      </w:tr>
      <w:tr w:rsidR="003178F6" w:rsidRPr="00806100" w14:paraId="2D0B4EBD" w14:textId="77777777" w:rsidTr="002C0138">
        <w:trPr>
          <w:trHeight w:val="567"/>
        </w:trPr>
        <w:tc>
          <w:tcPr>
            <w:tcW w:w="1205" w:type="dxa"/>
            <w:tcBorders>
              <w:top w:val="nil"/>
              <w:left w:val="nil"/>
              <w:bottom w:val="nil"/>
              <w:right w:val="nil"/>
            </w:tcBorders>
            <w:shd w:val="clear" w:color="000000" w:fill="F2F2F2"/>
            <w:hideMark/>
          </w:tcPr>
          <w:p w14:paraId="4557544A" w14:textId="77777777" w:rsidR="003178F6" w:rsidRPr="00445908" w:rsidRDefault="003178F6" w:rsidP="002C0138">
            <w:pPr>
              <w:spacing w:after="0"/>
              <w:rPr>
                <w:rFonts w:eastAsia="Times New Roman"/>
                <w:b/>
                <w:bCs/>
                <w:sz w:val="16"/>
                <w:szCs w:val="16"/>
              </w:rPr>
            </w:pPr>
            <w:r w:rsidRPr="00445908">
              <w:rPr>
                <w:rFonts w:eastAsia="Times New Roman"/>
                <w:b/>
                <w:bCs/>
                <w:sz w:val="16"/>
                <w:szCs w:val="16"/>
              </w:rPr>
              <w:t>Aherrera et al. 2017</w:t>
            </w:r>
          </w:p>
        </w:tc>
        <w:tc>
          <w:tcPr>
            <w:tcW w:w="1350" w:type="dxa"/>
            <w:tcBorders>
              <w:top w:val="nil"/>
              <w:left w:val="nil"/>
              <w:bottom w:val="nil"/>
              <w:right w:val="nil"/>
            </w:tcBorders>
            <w:shd w:val="clear" w:color="000000" w:fill="F2F2F2"/>
            <w:hideMark/>
          </w:tcPr>
          <w:p w14:paraId="42497373" w14:textId="77777777" w:rsidR="003178F6" w:rsidRPr="00445908" w:rsidRDefault="003178F6" w:rsidP="002C0138">
            <w:pPr>
              <w:spacing w:after="0"/>
              <w:rPr>
                <w:rFonts w:eastAsia="Times New Roman"/>
                <w:sz w:val="16"/>
                <w:szCs w:val="16"/>
              </w:rPr>
            </w:pPr>
            <w:r w:rsidRPr="00445908">
              <w:rPr>
                <w:rFonts w:eastAsia="Times New Roman"/>
                <w:sz w:val="16"/>
                <w:szCs w:val="16"/>
              </w:rPr>
              <w:t>Short</w:t>
            </w:r>
            <w:r w:rsidRPr="00445908">
              <w:rPr>
                <w:rFonts w:eastAsia="Times New Roman"/>
                <w:sz w:val="16"/>
                <w:szCs w:val="16"/>
              </w:rPr>
              <w:noBreakHyphen/>
              <w:t>term experimental study.</w:t>
            </w:r>
          </w:p>
        </w:tc>
        <w:tc>
          <w:tcPr>
            <w:tcW w:w="1981" w:type="dxa"/>
            <w:tcBorders>
              <w:top w:val="nil"/>
              <w:left w:val="nil"/>
              <w:bottom w:val="nil"/>
              <w:right w:val="nil"/>
            </w:tcBorders>
            <w:shd w:val="clear" w:color="000000" w:fill="F2F2F2"/>
            <w:hideMark/>
          </w:tcPr>
          <w:p w14:paraId="16DED115" w14:textId="1B2ED78B" w:rsidR="003178F6" w:rsidRPr="00445908" w:rsidRDefault="003178F6" w:rsidP="002C0138">
            <w:pPr>
              <w:spacing w:after="0"/>
              <w:rPr>
                <w:rFonts w:eastAsia="Times New Roman"/>
                <w:sz w:val="16"/>
                <w:szCs w:val="16"/>
              </w:rPr>
            </w:pPr>
            <w:r w:rsidRPr="00445908">
              <w:rPr>
                <w:rFonts w:eastAsia="Times New Roman"/>
                <w:sz w:val="16"/>
                <w:szCs w:val="16"/>
              </w:rPr>
              <w:t>Participants completed four double blind, 2.5 hr sessions where in each session participants completed two 10</w:t>
            </w:r>
            <w:r w:rsidRPr="00445908">
              <w:rPr>
                <w:rFonts w:eastAsia="Times New Roman"/>
                <w:sz w:val="16"/>
                <w:szCs w:val="16"/>
              </w:rPr>
              <w:noBreakHyphen/>
              <w:t>puff e</w:t>
            </w:r>
            <w:r w:rsidRPr="00445908">
              <w:rPr>
                <w:rFonts w:eastAsia="Times New Roman"/>
                <w:sz w:val="16"/>
                <w:szCs w:val="16"/>
              </w:rPr>
              <w:noBreakHyphen/>
              <w:t>cigarette</w:t>
            </w:r>
            <w:r w:rsidR="008146F9">
              <w:rPr>
                <w:rFonts w:eastAsia="Times New Roman"/>
                <w:sz w:val="16"/>
                <w:szCs w:val="16"/>
              </w:rPr>
              <w:t xml:space="preserve"> </w:t>
            </w:r>
            <w:r w:rsidRPr="00445908">
              <w:rPr>
                <w:rFonts w:eastAsia="Times New Roman"/>
                <w:sz w:val="16"/>
                <w:szCs w:val="16"/>
              </w:rPr>
              <w:t>use bouts (with a 30 sec interpuff interval) separated by 60 minutes.</w:t>
            </w:r>
          </w:p>
        </w:tc>
        <w:tc>
          <w:tcPr>
            <w:tcW w:w="3261" w:type="dxa"/>
            <w:tcBorders>
              <w:top w:val="nil"/>
              <w:left w:val="nil"/>
              <w:bottom w:val="nil"/>
              <w:right w:val="nil"/>
            </w:tcBorders>
            <w:shd w:val="clear" w:color="000000" w:fill="F2F2F2"/>
            <w:hideMark/>
          </w:tcPr>
          <w:p w14:paraId="7D07BEFC" w14:textId="77777777" w:rsidR="003178F6" w:rsidRPr="00445908" w:rsidRDefault="003178F6" w:rsidP="002C0138">
            <w:pPr>
              <w:spacing w:after="0"/>
              <w:rPr>
                <w:rFonts w:eastAsia="Times New Roman"/>
                <w:sz w:val="16"/>
                <w:szCs w:val="16"/>
              </w:rPr>
            </w:pPr>
            <w:r w:rsidRPr="00445908">
              <w:rPr>
                <w:rFonts w:eastAsia="Times New Roman"/>
                <w:sz w:val="16"/>
                <w:szCs w:val="16"/>
              </w:rPr>
              <w:t>64 e</w:t>
            </w:r>
            <w:r w:rsidRPr="00445908">
              <w:rPr>
                <w:rFonts w:eastAsia="Times New Roman"/>
                <w:sz w:val="16"/>
                <w:szCs w:val="16"/>
              </w:rPr>
              <w:noBreakHyphen/>
              <w:t>cigarette users: 50 sole users of e</w:t>
            </w:r>
            <w:r w:rsidRPr="00445908">
              <w:rPr>
                <w:rFonts w:eastAsia="Times New Roman"/>
                <w:sz w:val="16"/>
                <w:szCs w:val="16"/>
              </w:rPr>
              <w:noBreakHyphen/>
              <w:t>cigarettes and 14 dual users (used combustible cigarettes at least weekly). Analyses restricted to the 59 tank style/mods device users (59). There were 14 dual users in the study – it was not clear how many of the dual users were among the 59 final participants of the study. Male and female, numbers not specified, 18 years and older, mean age not specified.</w:t>
            </w:r>
          </w:p>
        </w:tc>
        <w:tc>
          <w:tcPr>
            <w:tcW w:w="3543" w:type="dxa"/>
            <w:tcBorders>
              <w:top w:val="nil"/>
              <w:left w:val="nil"/>
              <w:bottom w:val="nil"/>
              <w:right w:val="nil"/>
            </w:tcBorders>
            <w:shd w:val="clear" w:color="000000" w:fill="F2F2F2"/>
            <w:hideMark/>
          </w:tcPr>
          <w:p w14:paraId="2D36B7C5" w14:textId="77777777" w:rsidR="003178F6" w:rsidRPr="00445908" w:rsidRDefault="003178F6" w:rsidP="002C0138">
            <w:pPr>
              <w:spacing w:after="0"/>
              <w:rPr>
                <w:rFonts w:eastAsia="Times New Roman"/>
                <w:sz w:val="16"/>
                <w:szCs w:val="16"/>
              </w:rPr>
            </w:pPr>
            <w:r w:rsidRPr="00445908">
              <w:rPr>
                <w:rFonts w:eastAsia="Times New Roman"/>
                <w:sz w:val="16"/>
                <w:szCs w:val="16"/>
              </w:rPr>
              <w:t>No control group. Analyses restricted to the 59 tank</w:t>
            </w:r>
            <w:r w:rsidRPr="00445908">
              <w:rPr>
                <w:rFonts w:eastAsia="Times New Roman"/>
                <w:sz w:val="16"/>
                <w:szCs w:val="16"/>
              </w:rPr>
              <w:noBreakHyphen/>
              <w:t>style/mods device users. Considered variables: e</w:t>
            </w:r>
            <w:r w:rsidRPr="00445908">
              <w:rPr>
                <w:rFonts w:eastAsia="Times New Roman"/>
                <w:sz w:val="16"/>
                <w:szCs w:val="16"/>
              </w:rPr>
              <w:noBreakHyphen/>
              <w:t>liquid consumption per week (tertiles), time to first vape from waking (within 15/more than 15min), preferred voltage for e</w:t>
            </w:r>
            <w:r w:rsidRPr="00445908">
              <w:rPr>
                <w:rFonts w:eastAsia="Times New Roman"/>
                <w:sz w:val="16"/>
                <w:szCs w:val="16"/>
              </w:rPr>
              <w:noBreakHyphen/>
              <w:t>cigarette use (tertiles), coil change per month (1</w:t>
            </w:r>
            <w:r w:rsidRPr="00445908">
              <w:rPr>
                <w:rFonts w:eastAsia="Times New Roman"/>
                <w:sz w:val="16"/>
                <w:szCs w:val="16"/>
              </w:rPr>
              <w:noBreakHyphen/>
              <w:t>2/3 times or more per month) and urinary cotinine (tertiles) as well as corresponding metal levels in samples obtained from the dispenser, aerosol and tank (tertiles).</w:t>
            </w:r>
          </w:p>
        </w:tc>
        <w:tc>
          <w:tcPr>
            <w:tcW w:w="3540" w:type="dxa"/>
            <w:tcBorders>
              <w:top w:val="nil"/>
              <w:left w:val="nil"/>
              <w:bottom w:val="nil"/>
              <w:right w:val="nil"/>
            </w:tcBorders>
            <w:shd w:val="clear" w:color="000000" w:fill="F2F2F2"/>
            <w:hideMark/>
          </w:tcPr>
          <w:p w14:paraId="2734BB89" w14:textId="77777777" w:rsidR="003178F6" w:rsidRPr="00445908" w:rsidRDefault="003178F6" w:rsidP="002C0138">
            <w:pPr>
              <w:spacing w:after="0"/>
              <w:rPr>
                <w:rFonts w:eastAsia="Times New Roman"/>
                <w:sz w:val="16"/>
                <w:szCs w:val="16"/>
              </w:rPr>
            </w:pPr>
            <w:r w:rsidRPr="00445908">
              <w:rPr>
                <w:rFonts w:eastAsia="Times New Roman"/>
                <w:sz w:val="16"/>
                <w:szCs w:val="16"/>
              </w:rPr>
              <w:t>Cigarette Restitution Fund, State of Maryland. In 2000, the Maryland General Assembly created the Cigarette Restitution Fund (CRF) Program with funds derived from the 1998 Master Tobacco Settlement Agreement with the tobacco industry.</w:t>
            </w:r>
          </w:p>
        </w:tc>
      </w:tr>
      <w:tr w:rsidR="003178F6" w:rsidRPr="00806100" w14:paraId="70C8C537" w14:textId="77777777" w:rsidTr="002C0138">
        <w:trPr>
          <w:trHeight w:val="567"/>
        </w:trPr>
        <w:tc>
          <w:tcPr>
            <w:tcW w:w="1205" w:type="dxa"/>
            <w:tcBorders>
              <w:top w:val="nil"/>
              <w:left w:val="nil"/>
              <w:bottom w:val="nil"/>
              <w:right w:val="nil"/>
            </w:tcBorders>
            <w:shd w:val="clear" w:color="000000" w:fill="FFFFFF"/>
            <w:hideMark/>
          </w:tcPr>
          <w:p w14:paraId="25D86594" w14:textId="77777777" w:rsidR="003178F6" w:rsidRPr="00445908" w:rsidRDefault="003178F6" w:rsidP="002C0138">
            <w:pPr>
              <w:spacing w:after="0"/>
              <w:rPr>
                <w:rFonts w:eastAsia="Times New Roman"/>
                <w:b/>
                <w:bCs/>
                <w:sz w:val="16"/>
                <w:szCs w:val="16"/>
              </w:rPr>
            </w:pPr>
            <w:r w:rsidRPr="00445908">
              <w:rPr>
                <w:rFonts w:eastAsia="Times New Roman"/>
                <w:b/>
                <w:bCs/>
                <w:sz w:val="16"/>
                <w:szCs w:val="16"/>
              </w:rPr>
              <w:t>Ashford et al. 2018</w:t>
            </w:r>
          </w:p>
        </w:tc>
        <w:tc>
          <w:tcPr>
            <w:tcW w:w="1350" w:type="dxa"/>
            <w:tcBorders>
              <w:top w:val="nil"/>
              <w:left w:val="nil"/>
              <w:bottom w:val="nil"/>
              <w:right w:val="nil"/>
            </w:tcBorders>
            <w:shd w:val="clear" w:color="000000" w:fill="FFFFFF"/>
            <w:hideMark/>
          </w:tcPr>
          <w:p w14:paraId="79BDAC17" w14:textId="6146C167" w:rsidR="003178F6" w:rsidRPr="00445908" w:rsidRDefault="003178F6" w:rsidP="002C0138">
            <w:pPr>
              <w:spacing w:after="0"/>
              <w:rPr>
                <w:rFonts w:eastAsia="Times New Roman"/>
                <w:sz w:val="16"/>
                <w:szCs w:val="16"/>
              </w:rPr>
            </w:pPr>
            <w:r w:rsidRPr="00445908">
              <w:rPr>
                <w:rFonts w:eastAsia="Times New Roman"/>
                <w:sz w:val="16"/>
                <w:szCs w:val="16"/>
              </w:rPr>
              <w:t>Part of a larger prospective cohort study</w:t>
            </w:r>
            <w:r w:rsidR="00AF78AB">
              <w:rPr>
                <w:rFonts w:eastAsia="Times New Roman"/>
                <w:sz w:val="16"/>
                <w:szCs w:val="16"/>
              </w:rPr>
              <w:t>.</w:t>
            </w:r>
          </w:p>
        </w:tc>
        <w:tc>
          <w:tcPr>
            <w:tcW w:w="1981" w:type="dxa"/>
            <w:tcBorders>
              <w:top w:val="nil"/>
              <w:left w:val="nil"/>
              <w:bottom w:val="nil"/>
              <w:right w:val="nil"/>
            </w:tcBorders>
            <w:shd w:val="clear" w:color="000000" w:fill="FFFFFF"/>
            <w:hideMark/>
          </w:tcPr>
          <w:p w14:paraId="7C7FD993" w14:textId="77777777" w:rsidR="003178F6" w:rsidRPr="00445908" w:rsidRDefault="003178F6" w:rsidP="002C0138">
            <w:pPr>
              <w:spacing w:after="0"/>
              <w:rPr>
                <w:rFonts w:eastAsia="Times New Roman"/>
                <w:sz w:val="16"/>
                <w:szCs w:val="16"/>
              </w:rPr>
            </w:pPr>
            <w:r w:rsidRPr="00445908">
              <w:rPr>
                <w:rFonts w:eastAsia="Times New Roman"/>
                <w:sz w:val="16"/>
                <w:szCs w:val="16"/>
              </w:rPr>
              <w:t>Cross</w:t>
            </w:r>
            <w:r w:rsidRPr="00445908">
              <w:rPr>
                <w:rFonts w:eastAsia="Times New Roman"/>
                <w:sz w:val="16"/>
                <w:szCs w:val="16"/>
              </w:rPr>
              <w:noBreakHyphen/>
              <w:t>sectional snapshot of those in a larger prospective study.</w:t>
            </w:r>
          </w:p>
        </w:tc>
        <w:tc>
          <w:tcPr>
            <w:tcW w:w="3261" w:type="dxa"/>
            <w:tcBorders>
              <w:top w:val="nil"/>
              <w:left w:val="nil"/>
              <w:bottom w:val="nil"/>
              <w:right w:val="nil"/>
            </w:tcBorders>
            <w:shd w:val="clear" w:color="000000" w:fill="FFFFFF"/>
            <w:hideMark/>
          </w:tcPr>
          <w:p w14:paraId="4FCAD9E8" w14:textId="2E4086D7" w:rsidR="003178F6" w:rsidRPr="00445908" w:rsidRDefault="003178F6" w:rsidP="002C0138">
            <w:pPr>
              <w:spacing w:after="0"/>
              <w:rPr>
                <w:rFonts w:eastAsia="Times New Roman"/>
                <w:sz w:val="16"/>
                <w:szCs w:val="16"/>
              </w:rPr>
            </w:pPr>
            <w:r w:rsidRPr="00445908">
              <w:rPr>
                <w:rFonts w:eastAsia="Times New Roman"/>
                <w:sz w:val="16"/>
                <w:szCs w:val="16"/>
              </w:rPr>
              <w:t xml:space="preserve">117 prenatal women. </w:t>
            </w:r>
            <w:r w:rsidR="00AF78AB">
              <w:rPr>
                <w:rFonts w:eastAsia="Times New Roman"/>
                <w:sz w:val="16"/>
                <w:szCs w:val="16"/>
              </w:rPr>
              <w:t>D</w:t>
            </w:r>
            <w:r w:rsidRPr="00445908">
              <w:rPr>
                <w:rFonts w:eastAsia="Times New Roman"/>
                <w:sz w:val="16"/>
                <w:szCs w:val="16"/>
              </w:rPr>
              <w:t xml:space="preserve">ual users n =27. </w:t>
            </w:r>
            <w:r w:rsidR="00AF78AB">
              <w:rPr>
                <w:rFonts w:eastAsia="Times New Roman"/>
                <w:sz w:val="16"/>
                <w:szCs w:val="16"/>
              </w:rPr>
              <w:t>C</w:t>
            </w:r>
            <w:r w:rsidRPr="00445908">
              <w:rPr>
                <w:rFonts w:eastAsia="Times New Roman"/>
                <w:sz w:val="16"/>
                <w:szCs w:val="16"/>
              </w:rPr>
              <w:t>onventional cigarette users n= 90, e</w:t>
            </w:r>
            <w:r w:rsidRPr="00445908">
              <w:rPr>
                <w:rFonts w:eastAsia="Times New Roman"/>
                <w:sz w:val="16"/>
                <w:szCs w:val="16"/>
              </w:rPr>
              <w:noBreakHyphen/>
              <w:t>cigarette users. Aged 18</w:t>
            </w:r>
            <w:r w:rsidRPr="00445908">
              <w:rPr>
                <w:rFonts w:eastAsia="Times New Roman"/>
                <w:sz w:val="16"/>
                <w:szCs w:val="16"/>
              </w:rPr>
              <w:noBreakHyphen/>
              <w:t>44 years.</w:t>
            </w:r>
          </w:p>
        </w:tc>
        <w:tc>
          <w:tcPr>
            <w:tcW w:w="3543" w:type="dxa"/>
            <w:tcBorders>
              <w:top w:val="nil"/>
              <w:left w:val="nil"/>
              <w:bottom w:val="nil"/>
              <w:right w:val="nil"/>
            </w:tcBorders>
            <w:shd w:val="clear" w:color="000000" w:fill="FFFFFF"/>
            <w:hideMark/>
          </w:tcPr>
          <w:p w14:paraId="34167CB6" w14:textId="77777777" w:rsidR="003178F6" w:rsidRPr="00445908" w:rsidRDefault="003178F6" w:rsidP="002C0138">
            <w:pPr>
              <w:spacing w:after="0"/>
              <w:rPr>
                <w:rFonts w:eastAsia="Times New Roman"/>
                <w:sz w:val="16"/>
                <w:szCs w:val="16"/>
              </w:rPr>
            </w:pPr>
            <w:r w:rsidRPr="00445908">
              <w:rPr>
                <w:rFonts w:eastAsia="Times New Roman"/>
                <w:sz w:val="16"/>
                <w:szCs w:val="16"/>
              </w:rPr>
              <w:t>Compared dual users with conventional cigarette users.</w:t>
            </w:r>
          </w:p>
        </w:tc>
        <w:tc>
          <w:tcPr>
            <w:tcW w:w="3540" w:type="dxa"/>
            <w:tcBorders>
              <w:top w:val="nil"/>
              <w:left w:val="nil"/>
              <w:bottom w:val="nil"/>
              <w:right w:val="nil"/>
            </w:tcBorders>
            <w:shd w:val="clear" w:color="000000" w:fill="FFFFFF"/>
            <w:hideMark/>
          </w:tcPr>
          <w:p w14:paraId="5DBB2D61" w14:textId="77777777" w:rsidR="003178F6" w:rsidRPr="00445908" w:rsidRDefault="003178F6" w:rsidP="002C0138">
            <w:pPr>
              <w:spacing w:after="0"/>
              <w:rPr>
                <w:rFonts w:eastAsia="Times New Roman"/>
                <w:sz w:val="16"/>
                <w:szCs w:val="16"/>
              </w:rPr>
            </w:pPr>
            <w:r w:rsidRPr="00445908">
              <w:rPr>
                <w:rFonts w:eastAsia="Times New Roman"/>
                <w:sz w:val="16"/>
                <w:szCs w:val="16"/>
              </w:rPr>
              <w:t>NR.</w:t>
            </w:r>
          </w:p>
        </w:tc>
      </w:tr>
      <w:tr w:rsidR="003178F6" w:rsidRPr="00806100" w14:paraId="0FEA2FAB" w14:textId="77777777" w:rsidTr="002C0138">
        <w:trPr>
          <w:trHeight w:val="567"/>
        </w:trPr>
        <w:tc>
          <w:tcPr>
            <w:tcW w:w="1205" w:type="dxa"/>
            <w:tcBorders>
              <w:top w:val="nil"/>
              <w:left w:val="nil"/>
              <w:bottom w:val="nil"/>
              <w:right w:val="nil"/>
            </w:tcBorders>
            <w:shd w:val="clear" w:color="000000" w:fill="EDEDED"/>
            <w:hideMark/>
          </w:tcPr>
          <w:p w14:paraId="6142CD28" w14:textId="77777777" w:rsidR="003178F6" w:rsidRPr="00445908" w:rsidRDefault="003178F6" w:rsidP="002C0138">
            <w:pPr>
              <w:spacing w:after="0"/>
              <w:rPr>
                <w:rFonts w:eastAsia="Times New Roman"/>
                <w:b/>
                <w:bCs/>
                <w:sz w:val="16"/>
                <w:szCs w:val="16"/>
              </w:rPr>
            </w:pPr>
            <w:r w:rsidRPr="00445908">
              <w:rPr>
                <w:rFonts w:eastAsia="Times New Roman"/>
                <w:b/>
                <w:bCs/>
                <w:sz w:val="16"/>
                <w:szCs w:val="16"/>
              </w:rPr>
              <w:t>Boas et al. 2017</w:t>
            </w:r>
          </w:p>
        </w:tc>
        <w:tc>
          <w:tcPr>
            <w:tcW w:w="1350" w:type="dxa"/>
            <w:tcBorders>
              <w:top w:val="nil"/>
              <w:left w:val="nil"/>
              <w:bottom w:val="nil"/>
              <w:right w:val="nil"/>
            </w:tcBorders>
            <w:shd w:val="clear" w:color="000000" w:fill="EDEDED"/>
            <w:hideMark/>
          </w:tcPr>
          <w:p w14:paraId="5AC5733D" w14:textId="6206BE0C" w:rsidR="003178F6" w:rsidRPr="00445908" w:rsidRDefault="003178F6" w:rsidP="002C0138">
            <w:pPr>
              <w:spacing w:after="0"/>
              <w:rPr>
                <w:rFonts w:eastAsia="Times New Roman"/>
                <w:sz w:val="16"/>
                <w:szCs w:val="16"/>
              </w:rPr>
            </w:pPr>
            <w:r w:rsidRPr="00445908">
              <w:rPr>
                <w:rFonts w:eastAsia="Times New Roman"/>
                <w:sz w:val="16"/>
                <w:szCs w:val="16"/>
              </w:rPr>
              <w:t>Cross</w:t>
            </w:r>
            <w:r w:rsidRPr="00445908">
              <w:rPr>
                <w:rFonts w:eastAsia="Times New Roman"/>
                <w:sz w:val="16"/>
                <w:szCs w:val="16"/>
              </w:rPr>
              <w:noBreakHyphen/>
              <w:t>sectional analytic</w:t>
            </w:r>
            <w:r w:rsidR="00AF78AB">
              <w:rPr>
                <w:rFonts w:eastAsia="Times New Roman"/>
                <w:sz w:val="16"/>
                <w:szCs w:val="16"/>
              </w:rPr>
              <w:t>.</w:t>
            </w:r>
          </w:p>
        </w:tc>
        <w:tc>
          <w:tcPr>
            <w:tcW w:w="1981" w:type="dxa"/>
            <w:tcBorders>
              <w:top w:val="nil"/>
              <w:left w:val="nil"/>
              <w:bottom w:val="nil"/>
              <w:right w:val="nil"/>
            </w:tcBorders>
            <w:shd w:val="clear" w:color="000000" w:fill="EDEDED"/>
            <w:hideMark/>
          </w:tcPr>
          <w:p w14:paraId="63E2C0BA" w14:textId="77777777" w:rsidR="003178F6" w:rsidRPr="00445908" w:rsidRDefault="003178F6" w:rsidP="002C0138">
            <w:pPr>
              <w:spacing w:after="0"/>
              <w:rPr>
                <w:rFonts w:eastAsia="Times New Roman"/>
                <w:sz w:val="16"/>
                <w:szCs w:val="16"/>
              </w:rPr>
            </w:pPr>
            <w:r w:rsidRPr="00445908">
              <w:rPr>
                <w:rFonts w:eastAsia="Times New Roman"/>
                <w:sz w:val="16"/>
                <w:szCs w:val="16"/>
              </w:rPr>
              <w:t>Short</w:t>
            </w:r>
            <w:r w:rsidRPr="00445908">
              <w:rPr>
                <w:rFonts w:eastAsia="Times New Roman"/>
                <w:sz w:val="16"/>
                <w:szCs w:val="16"/>
              </w:rPr>
              <w:noBreakHyphen/>
              <w:t>term. NR.</w:t>
            </w:r>
          </w:p>
        </w:tc>
        <w:tc>
          <w:tcPr>
            <w:tcW w:w="3261" w:type="dxa"/>
            <w:tcBorders>
              <w:top w:val="nil"/>
              <w:left w:val="nil"/>
              <w:bottom w:val="nil"/>
              <w:right w:val="nil"/>
            </w:tcBorders>
            <w:shd w:val="clear" w:color="000000" w:fill="EDEDED"/>
            <w:hideMark/>
          </w:tcPr>
          <w:p w14:paraId="0D088A0C" w14:textId="77777777" w:rsidR="003178F6" w:rsidRPr="00445908" w:rsidRDefault="003178F6" w:rsidP="002C0138">
            <w:pPr>
              <w:spacing w:after="0"/>
              <w:rPr>
                <w:rFonts w:eastAsia="Times New Roman"/>
                <w:sz w:val="16"/>
                <w:szCs w:val="16"/>
              </w:rPr>
            </w:pPr>
            <w:r w:rsidRPr="00445908">
              <w:rPr>
                <w:rFonts w:eastAsia="Times New Roman"/>
                <w:sz w:val="16"/>
                <w:szCs w:val="16"/>
              </w:rPr>
              <w:t>Habitual tobacco cigarette smokers or habitual e</w:t>
            </w:r>
            <w:r w:rsidRPr="00445908">
              <w:rPr>
                <w:rFonts w:eastAsia="Times New Roman"/>
                <w:sz w:val="16"/>
                <w:szCs w:val="16"/>
              </w:rPr>
              <w:noBreakHyphen/>
              <w:t>cigarette users (not dual users) who had used tobacco cigarettes or e</w:t>
            </w:r>
            <w:r w:rsidRPr="00445908">
              <w:rPr>
                <w:rFonts w:eastAsia="Times New Roman"/>
                <w:sz w:val="16"/>
                <w:szCs w:val="16"/>
              </w:rPr>
              <w:noBreakHyphen/>
              <w:t>cigs, respectively, most days for a minimum of 1 year, in who plasma cotinine levels were elevated. 31 patients enrolled, 3 excluded. 9 healthy nonuser controls, 9 e</w:t>
            </w:r>
            <w:r w:rsidRPr="00445908">
              <w:rPr>
                <w:rFonts w:eastAsia="Times New Roman"/>
                <w:sz w:val="16"/>
                <w:szCs w:val="16"/>
              </w:rPr>
              <w:noBreakHyphen/>
              <w:t>cigarette users, 9 tobacco cigarette smokers. M=20, F= 7. Non user control M=6 F=3, e</w:t>
            </w:r>
            <w:r w:rsidRPr="00445908">
              <w:rPr>
                <w:rFonts w:eastAsia="Times New Roman"/>
                <w:sz w:val="16"/>
                <w:szCs w:val="16"/>
              </w:rPr>
              <w:noBreakHyphen/>
              <w:t>cigarette users, M=7, F=2, Tobacco cig smoker M=7, F=2. Aged 21</w:t>
            </w:r>
            <w:r w:rsidRPr="00445908">
              <w:rPr>
                <w:rFonts w:eastAsia="Times New Roman"/>
                <w:sz w:val="16"/>
                <w:szCs w:val="16"/>
              </w:rPr>
              <w:noBreakHyphen/>
              <w:t>45 years old.</w:t>
            </w:r>
          </w:p>
        </w:tc>
        <w:tc>
          <w:tcPr>
            <w:tcW w:w="3543" w:type="dxa"/>
            <w:tcBorders>
              <w:top w:val="nil"/>
              <w:left w:val="nil"/>
              <w:bottom w:val="nil"/>
              <w:right w:val="nil"/>
            </w:tcBorders>
            <w:shd w:val="clear" w:color="000000" w:fill="EDEDED"/>
            <w:hideMark/>
          </w:tcPr>
          <w:p w14:paraId="1BA4A61C" w14:textId="77777777" w:rsidR="003178F6" w:rsidRPr="00445908" w:rsidRDefault="003178F6" w:rsidP="002C0138">
            <w:pPr>
              <w:spacing w:after="0"/>
              <w:rPr>
                <w:rFonts w:eastAsia="Times New Roman"/>
                <w:sz w:val="16"/>
                <w:szCs w:val="16"/>
              </w:rPr>
            </w:pPr>
            <w:r w:rsidRPr="00445908">
              <w:rPr>
                <w:rFonts w:eastAsia="Times New Roman"/>
                <w:sz w:val="16"/>
                <w:szCs w:val="16"/>
              </w:rPr>
              <w:t>Considered activation of the splenocardiac axis (increased metabolic activity of the hematopoietic and vascular tissues) across the 3 groups (e</w:t>
            </w:r>
            <w:r w:rsidRPr="00445908">
              <w:rPr>
                <w:rFonts w:eastAsia="Times New Roman"/>
                <w:sz w:val="16"/>
                <w:szCs w:val="16"/>
              </w:rPr>
              <w:noBreakHyphen/>
              <w:t>cigarette users, tobacco users, non</w:t>
            </w:r>
            <w:r w:rsidRPr="00445908">
              <w:rPr>
                <w:rFonts w:eastAsia="Times New Roman"/>
                <w:sz w:val="16"/>
                <w:szCs w:val="16"/>
              </w:rPr>
              <w:noBreakHyphen/>
              <w:t>users).</w:t>
            </w:r>
          </w:p>
        </w:tc>
        <w:tc>
          <w:tcPr>
            <w:tcW w:w="3540" w:type="dxa"/>
            <w:tcBorders>
              <w:top w:val="nil"/>
              <w:left w:val="nil"/>
              <w:bottom w:val="nil"/>
              <w:right w:val="nil"/>
            </w:tcBorders>
            <w:shd w:val="clear" w:color="000000" w:fill="EDEDED"/>
            <w:hideMark/>
          </w:tcPr>
          <w:p w14:paraId="1685390C" w14:textId="77777777" w:rsidR="003178F6" w:rsidRPr="00445908" w:rsidRDefault="003178F6" w:rsidP="002C0138">
            <w:pPr>
              <w:spacing w:after="0"/>
              <w:rPr>
                <w:rFonts w:eastAsia="Times New Roman"/>
                <w:sz w:val="16"/>
                <w:szCs w:val="16"/>
              </w:rPr>
            </w:pPr>
            <w:r w:rsidRPr="00445908">
              <w:rPr>
                <w:rFonts w:eastAsia="Times New Roman"/>
                <w:sz w:val="16"/>
                <w:szCs w:val="16"/>
              </w:rPr>
              <w:t>Tobacco</w:t>
            </w:r>
            <w:r w:rsidRPr="00445908">
              <w:rPr>
                <w:rFonts w:eastAsia="Times New Roman"/>
                <w:sz w:val="16"/>
                <w:szCs w:val="16"/>
              </w:rPr>
              <w:noBreakHyphen/>
              <w:t>Related Disease Research Program; American Heart Association, Western States Affiliate, Grant in Aid; the National Institute of Environmental Health Sciences, National Institutes of Health; Training Grant in Molecular Toxicology; Irma and Normal Switzer Dean's Leadership and Science Scholarship and UCLA Clinical and Translational Science Institute.</w:t>
            </w:r>
          </w:p>
        </w:tc>
      </w:tr>
      <w:tr w:rsidR="003178F6" w:rsidRPr="00806100" w14:paraId="643AF144" w14:textId="77777777" w:rsidTr="002C0138">
        <w:trPr>
          <w:trHeight w:val="567"/>
        </w:trPr>
        <w:tc>
          <w:tcPr>
            <w:tcW w:w="1205" w:type="dxa"/>
            <w:tcBorders>
              <w:top w:val="nil"/>
              <w:left w:val="nil"/>
              <w:bottom w:val="nil"/>
              <w:right w:val="nil"/>
            </w:tcBorders>
            <w:shd w:val="clear" w:color="000000" w:fill="FFFFFF"/>
            <w:hideMark/>
          </w:tcPr>
          <w:p w14:paraId="26337057" w14:textId="77777777" w:rsidR="003178F6" w:rsidRPr="00445908" w:rsidRDefault="003178F6" w:rsidP="002C0138">
            <w:pPr>
              <w:spacing w:after="0"/>
              <w:rPr>
                <w:rFonts w:eastAsia="Times New Roman"/>
                <w:b/>
                <w:bCs/>
                <w:sz w:val="16"/>
                <w:szCs w:val="16"/>
              </w:rPr>
            </w:pPr>
            <w:r w:rsidRPr="00445908">
              <w:rPr>
                <w:rFonts w:eastAsia="Times New Roman"/>
                <w:b/>
                <w:bCs/>
                <w:sz w:val="16"/>
                <w:szCs w:val="16"/>
              </w:rPr>
              <w:t>Browne, Todd 2018</w:t>
            </w:r>
          </w:p>
        </w:tc>
        <w:tc>
          <w:tcPr>
            <w:tcW w:w="1350" w:type="dxa"/>
            <w:tcBorders>
              <w:top w:val="nil"/>
              <w:left w:val="nil"/>
              <w:bottom w:val="nil"/>
              <w:right w:val="nil"/>
            </w:tcBorders>
            <w:shd w:val="clear" w:color="000000" w:fill="FFFFFF"/>
            <w:noWrap/>
            <w:hideMark/>
          </w:tcPr>
          <w:p w14:paraId="1E697C72" w14:textId="399A4D0B" w:rsidR="003178F6" w:rsidRPr="00445908" w:rsidRDefault="003178F6" w:rsidP="002C0138">
            <w:pPr>
              <w:spacing w:after="0"/>
              <w:rPr>
                <w:rFonts w:eastAsia="Times New Roman"/>
                <w:sz w:val="16"/>
                <w:szCs w:val="16"/>
              </w:rPr>
            </w:pPr>
            <w:r w:rsidRPr="00445908">
              <w:rPr>
                <w:rFonts w:eastAsia="Times New Roman"/>
                <w:sz w:val="16"/>
                <w:szCs w:val="16"/>
              </w:rPr>
              <w:t>Cross</w:t>
            </w:r>
            <w:r w:rsidRPr="00445908">
              <w:rPr>
                <w:rFonts w:eastAsia="Times New Roman"/>
                <w:sz w:val="16"/>
                <w:szCs w:val="16"/>
              </w:rPr>
              <w:noBreakHyphen/>
              <w:t>sectional</w:t>
            </w:r>
            <w:r w:rsidR="00AF78AB">
              <w:rPr>
                <w:rFonts w:eastAsia="Times New Roman"/>
                <w:sz w:val="16"/>
                <w:szCs w:val="16"/>
              </w:rPr>
              <w:t>.</w:t>
            </w:r>
          </w:p>
        </w:tc>
        <w:tc>
          <w:tcPr>
            <w:tcW w:w="1981" w:type="dxa"/>
            <w:tcBorders>
              <w:top w:val="nil"/>
              <w:left w:val="nil"/>
              <w:bottom w:val="nil"/>
              <w:right w:val="nil"/>
            </w:tcBorders>
            <w:shd w:val="clear" w:color="000000" w:fill="FFFFFF"/>
            <w:noWrap/>
            <w:hideMark/>
          </w:tcPr>
          <w:p w14:paraId="4FD7D5CA" w14:textId="77777777" w:rsidR="003178F6" w:rsidRPr="00445908" w:rsidRDefault="003178F6" w:rsidP="002C0138">
            <w:pPr>
              <w:spacing w:after="0"/>
              <w:rPr>
                <w:rFonts w:eastAsia="Times New Roman"/>
                <w:sz w:val="16"/>
                <w:szCs w:val="16"/>
              </w:rPr>
            </w:pPr>
            <w:r w:rsidRPr="00445908">
              <w:rPr>
                <w:rFonts w:eastAsia="Times New Roman"/>
                <w:sz w:val="16"/>
                <w:szCs w:val="16"/>
              </w:rPr>
              <w:t>Retrospective</w:t>
            </w:r>
          </w:p>
        </w:tc>
        <w:tc>
          <w:tcPr>
            <w:tcW w:w="3261" w:type="dxa"/>
            <w:tcBorders>
              <w:top w:val="nil"/>
              <w:left w:val="nil"/>
              <w:bottom w:val="nil"/>
              <w:right w:val="nil"/>
            </w:tcBorders>
            <w:shd w:val="clear" w:color="000000" w:fill="FFFFFF"/>
            <w:hideMark/>
          </w:tcPr>
          <w:p w14:paraId="26317EF3" w14:textId="77777777" w:rsidR="003178F6" w:rsidRPr="00445908" w:rsidRDefault="003178F6" w:rsidP="002C0138">
            <w:pPr>
              <w:spacing w:after="0"/>
              <w:rPr>
                <w:rFonts w:eastAsia="Times New Roman"/>
                <w:sz w:val="16"/>
                <w:szCs w:val="16"/>
              </w:rPr>
            </w:pPr>
            <w:r w:rsidRPr="00445908">
              <w:rPr>
                <w:rFonts w:eastAsia="Times New Roman"/>
                <w:sz w:val="16"/>
                <w:szCs w:val="16"/>
              </w:rPr>
              <w:t xml:space="preserve">436 current vape users recruited via discussion forums. </w:t>
            </w:r>
            <w:r w:rsidRPr="00445908">
              <w:rPr>
                <w:rFonts w:eastAsia="Times New Roman"/>
                <w:sz w:val="16"/>
                <w:szCs w:val="16"/>
              </w:rPr>
              <w:br/>
              <w:t>Participants from UK, Australia, Finalnd, Ireland and the US.</w:t>
            </w:r>
            <w:r w:rsidRPr="00445908">
              <w:rPr>
                <w:rFonts w:eastAsia="Times New Roman"/>
                <w:sz w:val="16"/>
                <w:szCs w:val="16"/>
              </w:rPr>
              <w:br/>
              <w:t>80% Male; mean 41.4(13.1) years old</w:t>
            </w:r>
          </w:p>
        </w:tc>
        <w:tc>
          <w:tcPr>
            <w:tcW w:w="3543" w:type="dxa"/>
            <w:tcBorders>
              <w:top w:val="nil"/>
              <w:left w:val="nil"/>
              <w:bottom w:val="nil"/>
              <w:right w:val="nil"/>
            </w:tcBorders>
            <w:shd w:val="clear" w:color="000000" w:fill="FFFFFF"/>
            <w:noWrap/>
            <w:hideMark/>
          </w:tcPr>
          <w:p w14:paraId="53DFFE94" w14:textId="77777777" w:rsidR="003178F6" w:rsidRPr="00445908" w:rsidRDefault="003178F6" w:rsidP="002C0138">
            <w:pPr>
              <w:spacing w:after="0"/>
              <w:rPr>
                <w:rFonts w:eastAsia="Times New Roman"/>
                <w:sz w:val="16"/>
                <w:szCs w:val="16"/>
              </w:rPr>
            </w:pPr>
            <w:r w:rsidRPr="00445908">
              <w:rPr>
                <w:rFonts w:eastAsia="Times New Roman"/>
                <w:sz w:val="16"/>
                <w:szCs w:val="16"/>
              </w:rPr>
              <w:t>No comparison group.</w:t>
            </w:r>
          </w:p>
        </w:tc>
        <w:tc>
          <w:tcPr>
            <w:tcW w:w="3540" w:type="dxa"/>
            <w:tcBorders>
              <w:top w:val="nil"/>
              <w:left w:val="nil"/>
              <w:bottom w:val="nil"/>
              <w:right w:val="nil"/>
            </w:tcBorders>
            <w:shd w:val="clear" w:color="000000" w:fill="FFFFFF"/>
            <w:hideMark/>
          </w:tcPr>
          <w:p w14:paraId="5336467C" w14:textId="77777777" w:rsidR="003178F6" w:rsidRPr="00445908" w:rsidRDefault="003178F6" w:rsidP="002C0138">
            <w:pPr>
              <w:spacing w:after="0"/>
              <w:rPr>
                <w:rFonts w:eastAsia="Times New Roman"/>
                <w:sz w:val="16"/>
                <w:szCs w:val="16"/>
              </w:rPr>
            </w:pPr>
            <w:r w:rsidRPr="00445908">
              <w:rPr>
                <w:rFonts w:eastAsia="Times New Roman"/>
                <w:sz w:val="16"/>
                <w:szCs w:val="16"/>
              </w:rPr>
              <w:t>Block funding to the School of Health,</w:t>
            </w:r>
            <w:r w:rsidRPr="00445908">
              <w:rPr>
                <w:rFonts w:eastAsia="Times New Roman"/>
                <w:sz w:val="16"/>
                <w:szCs w:val="16"/>
              </w:rPr>
              <w:br/>
              <w:t>Medical and Applied Sciences, Central Queensland University.</w:t>
            </w:r>
          </w:p>
        </w:tc>
      </w:tr>
      <w:tr w:rsidR="003178F6" w:rsidRPr="00806100" w14:paraId="385C7E01" w14:textId="77777777" w:rsidTr="002C0138">
        <w:trPr>
          <w:trHeight w:val="567"/>
        </w:trPr>
        <w:tc>
          <w:tcPr>
            <w:tcW w:w="1205" w:type="dxa"/>
            <w:tcBorders>
              <w:top w:val="nil"/>
              <w:left w:val="nil"/>
              <w:bottom w:val="nil"/>
              <w:right w:val="nil"/>
            </w:tcBorders>
            <w:shd w:val="clear" w:color="000000" w:fill="F2F2F2"/>
            <w:hideMark/>
          </w:tcPr>
          <w:p w14:paraId="44469EF6" w14:textId="77777777" w:rsidR="003178F6" w:rsidRPr="00445908" w:rsidRDefault="003178F6" w:rsidP="002C0138">
            <w:pPr>
              <w:spacing w:after="0"/>
              <w:rPr>
                <w:rFonts w:eastAsia="Times New Roman"/>
                <w:b/>
                <w:bCs/>
                <w:sz w:val="16"/>
                <w:szCs w:val="16"/>
              </w:rPr>
            </w:pPr>
            <w:r w:rsidRPr="00445908">
              <w:rPr>
                <w:rFonts w:eastAsia="Times New Roman"/>
                <w:b/>
                <w:bCs/>
                <w:sz w:val="16"/>
                <w:szCs w:val="16"/>
              </w:rPr>
              <w:t>Caponnetto et al. 2017</w:t>
            </w:r>
          </w:p>
        </w:tc>
        <w:tc>
          <w:tcPr>
            <w:tcW w:w="1350" w:type="dxa"/>
            <w:tcBorders>
              <w:top w:val="nil"/>
              <w:left w:val="nil"/>
              <w:bottom w:val="nil"/>
              <w:right w:val="nil"/>
            </w:tcBorders>
            <w:shd w:val="clear" w:color="000000" w:fill="F2F2F2"/>
            <w:hideMark/>
          </w:tcPr>
          <w:p w14:paraId="644D145D" w14:textId="77777777" w:rsidR="003178F6" w:rsidRPr="00445908" w:rsidRDefault="003178F6" w:rsidP="002C0138">
            <w:pPr>
              <w:spacing w:after="0"/>
              <w:rPr>
                <w:rFonts w:eastAsia="Times New Roman"/>
                <w:sz w:val="16"/>
                <w:szCs w:val="16"/>
              </w:rPr>
            </w:pPr>
            <w:r w:rsidRPr="00445908">
              <w:rPr>
                <w:rFonts w:eastAsia="Times New Roman"/>
                <w:sz w:val="16"/>
                <w:szCs w:val="16"/>
              </w:rPr>
              <w:t>Randomised crossover trial.</w:t>
            </w:r>
          </w:p>
        </w:tc>
        <w:tc>
          <w:tcPr>
            <w:tcW w:w="1981" w:type="dxa"/>
            <w:tcBorders>
              <w:top w:val="nil"/>
              <w:left w:val="nil"/>
              <w:bottom w:val="nil"/>
              <w:right w:val="nil"/>
            </w:tcBorders>
            <w:shd w:val="clear" w:color="000000" w:fill="F2F2F2"/>
            <w:hideMark/>
          </w:tcPr>
          <w:p w14:paraId="7C131B2F" w14:textId="77777777" w:rsidR="003178F6" w:rsidRPr="00445908" w:rsidRDefault="003178F6" w:rsidP="002C0138">
            <w:pPr>
              <w:spacing w:after="0"/>
              <w:rPr>
                <w:rFonts w:eastAsia="Times New Roman"/>
                <w:sz w:val="16"/>
                <w:szCs w:val="16"/>
              </w:rPr>
            </w:pPr>
            <w:r w:rsidRPr="00445908">
              <w:rPr>
                <w:rFonts w:eastAsia="Times New Roman"/>
                <w:sz w:val="16"/>
                <w:szCs w:val="16"/>
              </w:rPr>
              <w:t>Each product tried in one experimental session (15m) and then for the next 10 hours.</w:t>
            </w:r>
          </w:p>
        </w:tc>
        <w:tc>
          <w:tcPr>
            <w:tcW w:w="3261" w:type="dxa"/>
            <w:tcBorders>
              <w:top w:val="nil"/>
              <w:left w:val="nil"/>
              <w:bottom w:val="nil"/>
              <w:right w:val="nil"/>
            </w:tcBorders>
            <w:shd w:val="clear" w:color="000000" w:fill="F2F2F2"/>
            <w:hideMark/>
          </w:tcPr>
          <w:p w14:paraId="0406CD65" w14:textId="433AA78C" w:rsidR="003178F6" w:rsidRPr="00445908" w:rsidRDefault="003178F6" w:rsidP="002C0138">
            <w:pPr>
              <w:spacing w:after="0"/>
              <w:rPr>
                <w:rFonts w:eastAsia="Times New Roman"/>
                <w:sz w:val="16"/>
                <w:szCs w:val="16"/>
              </w:rPr>
            </w:pPr>
            <w:r w:rsidRPr="00445908">
              <w:rPr>
                <w:rFonts w:eastAsia="Times New Roman"/>
                <w:sz w:val="16"/>
                <w:szCs w:val="16"/>
              </w:rPr>
              <w:t>34 cigarette users, mean age 34.8 years</w:t>
            </w:r>
            <w:r w:rsidR="00AF78AB">
              <w:rPr>
                <w:rFonts w:eastAsia="Times New Roman"/>
                <w:sz w:val="16"/>
                <w:szCs w:val="16"/>
              </w:rPr>
              <w:t>.</w:t>
            </w:r>
          </w:p>
        </w:tc>
        <w:tc>
          <w:tcPr>
            <w:tcW w:w="3543" w:type="dxa"/>
            <w:tcBorders>
              <w:top w:val="nil"/>
              <w:left w:val="nil"/>
              <w:bottom w:val="nil"/>
              <w:right w:val="nil"/>
            </w:tcBorders>
            <w:shd w:val="clear" w:color="000000" w:fill="F2F2F2"/>
            <w:hideMark/>
          </w:tcPr>
          <w:p w14:paraId="14023DC9" w14:textId="77777777" w:rsidR="003178F6" w:rsidRPr="00445908" w:rsidRDefault="003178F6" w:rsidP="002C0138">
            <w:pPr>
              <w:spacing w:after="0"/>
              <w:rPr>
                <w:rFonts w:eastAsia="Times New Roman"/>
                <w:sz w:val="16"/>
                <w:szCs w:val="16"/>
              </w:rPr>
            </w:pPr>
            <w:r w:rsidRPr="00445908">
              <w:rPr>
                <w:rFonts w:eastAsia="Times New Roman"/>
                <w:sz w:val="16"/>
                <w:szCs w:val="16"/>
              </w:rPr>
              <w:t>No control group.</w:t>
            </w:r>
            <w:r w:rsidRPr="00445908">
              <w:rPr>
                <w:rFonts w:eastAsia="Times New Roman"/>
                <w:sz w:val="16"/>
                <w:szCs w:val="16"/>
              </w:rPr>
              <w:br/>
              <w:t>Participants were randomised to use one of five different e</w:t>
            </w:r>
            <w:r w:rsidRPr="00445908">
              <w:rPr>
                <w:rFonts w:eastAsia="Times New Roman"/>
                <w:sz w:val="16"/>
                <w:szCs w:val="16"/>
              </w:rPr>
              <w:noBreakHyphen/>
              <w:t>cigarette products, unclear if crossover occurred.</w:t>
            </w:r>
          </w:p>
        </w:tc>
        <w:tc>
          <w:tcPr>
            <w:tcW w:w="3540" w:type="dxa"/>
            <w:tcBorders>
              <w:top w:val="nil"/>
              <w:left w:val="nil"/>
              <w:bottom w:val="nil"/>
              <w:right w:val="nil"/>
            </w:tcBorders>
            <w:shd w:val="clear" w:color="000000" w:fill="F2F2F2"/>
            <w:hideMark/>
          </w:tcPr>
          <w:p w14:paraId="3509144C" w14:textId="77777777" w:rsidR="003178F6" w:rsidRPr="00445908" w:rsidRDefault="003178F6" w:rsidP="002C0138">
            <w:pPr>
              <w:spacing w:after="0"/>
              <w:rPr>
                <w:rFonts w:eastAsia="Times New Roman"/>
                <w:sz w:val="16"/>
                <w:szCs w:val="16"/>
              </w:rPr>
            </w:pPr>
            <w:r w:rsidRPr="00445908">
              <w:rPr>
                <w:rFonts w:eastAsia="Times New Roman"/>
                <w:sz w:val="16"/>
                <w:szCs w:val="16"/>
              </w:rPr>
              <w:t>Industry funded – Happy Liquid.</w:t>
            </w:r>
          </w:p>
        </w:tc>
      </w:tr>
      <w:tr w:rsidR="003178F6" w:rsidRPr="00806100" w14:paraId="2D283661" w14:textId="77777777" w:rsidTr="002C0138">
        <w:trPr>
          <w:trHeight w:val="567"/>
        </w:trPr>
        <w:tc>
          <w:tcPr>
            <w:tcW w:w="1205" w:type="dxa"/>
            <w:tcBorders>
              <w:top w:val="nil"/>
              <w:left w:val="nil"/>
              <w:bottom w:val="nil"/>
              <w:right w:val="nil"/>
            </w:tcBorders>
            <w:shd w:val="clear" w:color="000000" w:fill="FFFFFF"/>
            <w:hideMark/>
          </w:tcPr>
          <w:p w14:paraId="4F5AB066" w14:textId="77777777" w:rsidR="003178F6" w:rsidRPr="00445908" w:rsidRDefault="003178F6" w:rsidP="002C0138">
            <w:pPr>
              <w:spacing w:after="0"/>
              <w:rPr>
                <w:rFonts w:eastAsia="Times New Roman"/>
                <w:b/>
                <w:bCs/>
                <w:sz w:val="16"/>
                <w:szCs w:val="16"/>
              </w:rPr>
            </w:pPr>
            <w:r w:rsidRPr="00445908">
              <w:rPr>
                <w:rFonts w:eastAsia="Times New Roman"/>
                <w:b/>
                <w:bCs/>
                <w:sz w:val="16"/>
                <w:szCs w:val="16"/>
              </w:rPr>
              <w:t>Chaumont et al. 2018</w:t>
            </w:r>
          </w:p>
        </w:tc>
        <w:tc>
          <w:tcPr>
            <w:tcW w:w="1350" w:type="dxa"/>
            <w:tcBorders>
              <w:top w:val="nil"/>
              <w:left w:val="nil"/>
              <w:bottom w:val="nil"/>
              <w:right w:val="nil"/>
            </w:tcBorders>
            <w:shd w:val="clear" w:color="000000" w:fill="FFFFFF"/>
            <w:hideMark/>
          </w:tcPr>
          <w:p w14:paraId="652E1032" w14:textId="77777777" w:rsidR="003178F6" w:rsidRPr="00445908" w:rsidRDefault="003178F6" w:rsidP="002C0138">
            <w:pPr>
              <w:spacing w:after="0"/>
              <w:rPr>
                <w:rFonts w:eastAsia="Times New Roman"/>
                <w:sz w:val="16"/>
                <w:szCs w:val="16"/>
              </w:rPr>
            </w:pPr>
            <w:r w:rsidRPr="00445908">
              <w:rPr>
                <w:rFonts w:eastAsia="Times New Roman"/>
                <w:sz w:val="16"/>
                <w:szCs w:val="16"/>
              </w:rPr>
              <w:t xml:space="preserve">Randomised crossover, single </w:t>
            </w:r>
            <w:r w:rsidRPr="00445908">
              <w:rPr>
                <w:rFonts w:eastAsia="Times New Roman"/>
                <w:sz w:val="16"/>
                <w:szCs w:val="16"/>
              </w:rPr>
              <w:lastRenderedPageBreak/>
              <w:t>blinded, placebo controlled trial.</w:t>
            </w:r>
          </w:p>
        </w:tc>
        <w:tc>
          <w:tcPr>
            <w:tcW w:w="1981" w:type="dxa"/>
            <w:tcBorders>
              <w:top w:val="nil"/>
              <w:left w:val="nil"/>
              <w:bottom w:val="nil"/>
              <w:right w:val="nil"/>
            </w:tcBorders>
            <w:shd w:val="clear" w:color="000000" w:fill="FFFFFF"/>
            <w:hideMark/>
          </w:tcPr>
          <w:p w14:paraId="33303185" w14:textId="77777777" w:rsidR="003178F6" w:rsidRPr="00445908" w:rsidRDefault="003178F6" w:rsidP="002C0138">
            <w:pPr>
              <w:spacing w:after="0"/>
              <w:rPr>
                <w:rFonts w:eastAsia="Times New Roman"/>
                <w:sz w:val="16"/>
                <w:szCs w:val="16"/>
              </w:rPr>
            </w:pPr>
            <w:r w:rsidRPr="00445908">
              <w:rPr>
                <w:rFonts w:eastAsia="Times New Roman"/>
                <w:sz w:val="16"/>
                <w:szCs w:val="16"/>
              </w:rPr>
              <w:lastRenderedPageBreak/>
              <w:t>1 week: 2 experiments occurred 7 days apart.</w:t>
            </w:r>
          </w:p>
        </w:tc>
        <w:tc>
          <w:tcPr>
            <w:tcW w:w="3261" w:type="dxa"/>
            <w:tcBorders>
              <w:top w:val="nil"/>
              <w:left w:val="nil"/>
              <w:bottom w:val="nil"/>
              <w:right w:val="nil"/>
            </w:tcBorders>
            <w:shd w:val="clear" w:color="000000" w:fill="FFFFFF"/>
            <w:hideMark/>
          </w:tcPr>
          <w:p w14:paraId="5AE88F9C" w14:textId="77777777" w:rsidR="003178F6" w:rsidRPr="00445908" w:rsidRDefault="003178F6" w:rsidP="002C0138">
            <w:pPr>
              <w:spacing w:after="0"/>
              <w:rPr>
                <w:rFonts w:eastAsia="Times New Roman"/>
                <w:sz w:val="16"/>
                <w:szCs w:val="16"/>
              </w:rPr>
            </w:pPr>
            <w:r w:rsidRPr="00445908">
              <w:rPr>
                <w:rFonts w:eastAsia="Times New Roman"/>
                <w:sz w:val="16"/>
                <w:szCs w:val="16"/>
              </w:rPr>
              <w:t>Healthy occasional smokers, mean age 23 years.</w:t>
            </w:r>
          </w:p>
        </w:tc>
        <w:tc>
          <w:tcPr>
            <w:tcW w:w="3543" w:type="dxa"/>
            <w:tcBorders>
              <w:top w:val="nil"/>
              <w:left w:val="nil"/>
              <w:bottom w:val="nil"/>
              <w:right w:val="nil"/>
            </w:tcBorders>
            <w:shd w:val="clear" w:color="000000" w:fill="FFFFFF"/>
            <w:hideMark/>
          </w:tcPr>
          <w:p w14:paraId="26DA3AC6" w14:textId="77777777" w:rsidR="003178F6" w:rsidRPr="00445908" w:rsidRDefault="003178F6" w:rsidP="002C0138">
            <w:pPr>
              <w:spacing w:after="0"/>
              <w:rPr>
                <w:rFonts w:eastAsia="Times New Roman"/>
                <w:sz w:val="16"/>
                <w:szCs w:val="16"/>
              </w:rPr>
            </w:pPr>
            <w:r w:rsidRPr="00445908">
              <w:rPr>
                <w:rFonts w:eastAsia="Times New Roman"/>
                <w:sz w:val="16"/>
                <w:szCs w:val="16"/>
              </w:rPr>
              <w:t>Control condition was sham vaping (e</w:t>
            </w:r>
            <w:r w:rsidRPr="00445908">
              <w:rPr>
                <w:rFonts w:eastAsia="Times New Roman"/>
                <w:sz w:val="16"/>
                <w:szCs w:val="16"/>
              </w:rPr>
              <w:noBreakHyphen/>
              <w:t>cigarette turned off).</w:t>
            </w:r>
          </w:p>
        </w:tc>
        <w:tc>
          <w:tcPr>
            <w:tcW w:w="3540" w:type="dxa"/>
            <w:tcBorders>
              <w:top w:val="nil"/>
              <w:left w:val="nil"/>
              <w:bottom w:val="nil"/>
              <w:right w:val="nil"/>
            </w:tcBorders>
            <w:shd w:val="clear" w:color="000000" w:fill="FFFFFF"/>
            <w:hideMark/>
          </w:tcPr>
          <w:p w14:paraId="1D0D9560" w14:textId="77777777" w:rsidR="003178F6" w:rsidRPr="00445908" w:rsidRDefault="003178F6" w:rsidP="002C0138">
            <w:pPr>
              <w:spacing w:after="0"/>
              <w:rPr>
                <w:rFonts w:eastAsia="Times New Roman"/>
                <w:sz w:val="16"/>
                <w:szCs w:val="16"/>
              </w:rPr>
            </w:pPr>
            <w:r w:rsidRPr="00445908">
              <w:rPr>
                <w:rFonts w:eastAsia="Times New Roman"/>
                <w:sz w:val="16"/>
                <w:szCs w:val="16"/>
              </w:rPr>
              <w:t>Fonds Erasme pour la Recherche Medicale, Belgium, Fondation pour la Chirurgie Cardique, Belgium, the Fondation Emile Saucez</w:t>
            </w:r>
            <w:r w:rsidRPr="00445908">
              <w:rPr>
                <w:rFonts w:eastAsia="Times New Roman"/>
                <w:sz w:val="16"/>
                <w:szCs w:val="16"/>
              </w:rPr>
              <w:noBreakHyphen/>
              <w:t xml:space="preserve">Rene Van </w:t>
            </w:r>
            <w:r w:rsidRPr="00445908">
              <w:rPr>
                <w:rFonts w:eastAsia="Times New Roman"/>
                <w:sz w:val="16"/>
                <w:szCs w:val="16"/>
              </w:rPr>
              <w:lastRenderedPageBreak/>
              <w:t>Poucke Belgium, Prix Docteur &amp; Mrs Rene Tagnon, Belgium, Fondation IRIS Belgium, Prix de l'Association Andre Vesale, Belgium, a research grant of Astra Zeneca Belgium, the Fonds Fruit de Deux Vies Belgium, the Fond David &amp; Alice Van Buuren Belgium.</w:t>
            </w:r>
          </w:p>
        </w:tc>
      </w:tr>
      <w:tr w:rsidR="003178F6" w:rsidRPr="00806100" w14:paraId="41D205FE" w14:textId="77777777" w:rsidTr="002C0138">
        <w:trPr>
          <w:trHeight w:val="567"/>
        </w:trPr>
        <w:tc>
          <w:tcPr>
            <w:tcW w:w="1205" w:type="dxa"/>
            <w:tcBorders>
              <w:top w:val="nil"/>
              <w:left w:val="nil"/>
              <w:bottom w:val="nil"/>
              <w:right w:val="nil"/>
            </w:tcBorders>
            <w:shd w:val="clear" w:color="000000" w:fill="F2F2F2"/>
            <w:hideMark/>
          </w:tcPr>
          <w:p w14:paraId="7ABAEB0C" w14:textId="77777777" w:rsidR="003178F6" w:rsidRPr="00445908" w:rsidRDefault="003178F6" w:rsidP="002C0138">
            <w:pPr>
              <w:spacing w:after="0"/>
              <w:rPr>
                <w:rFonts w:eastAsia="Times New Roman"/>
                <w:b/>
                <w:bCs/>
                <w:sz w:val="16"/>
                <w:szCs w:val="16"/>
              </w:rPr>
            </w:pPr>
            <w:r w:rsidRPr="00445908">
              <w:rPr>
                <w:rFonts w:eastAsia="Times New Roman"/>
                <w:b/>
                <w:bCs/>
                <w:sz w:val="16"/>
                <w:szCs w:val="16"/>
              </w:rPr>
              <w:lastRenderedPageBreak/>
              <w:t>D’Ruiz et al. 2017.</w:t>
            </w:r>
          </w:p>
        </w:tc>
        <w:tc>
          <w:tcPr>
            <w:tcW w:w="1350" w:type="dxa"/>
            <w:tcBorders>
              <w:top w:val="nil"/>
              <w:left w:val="nil"/>
              <w:bottom w:val="nil"/>
              <w:right w:val="nil"/>
            </w:tcBorders>
            <w:shd w:val="clear" w:color="000000" w:fill="F2F2F2"/>
            <w:hideMark/>
          </w:tcPr>
          <w:p w14:paraId="6FD813F5" w14:textId="77777777" w:rsidR="003178F6" w:rsidRPr="00445908" w:rsidRDefault="003178F6" w:rsidP="002C0138">
            <w:pPr>
              <w:spacing w:after="0"/>
              <w:rPr>
                <w:rFonts w:eastAsia="Times New Roman"/>
                <w:sz w:val="16"/>
                <w:szCs w:val="16"/>
              </w:rPr>
            </w:pPr>
            <w:r w:rsidRPr="00445908">
              <w:rPr>
                <w:rFonts w:eastAsia="Times New Roman"/>
                <w:sz w:val="16"/>
                <w:szCs w:val="16"/>
              </w:rPr>
              <w:t>Randomised, forced</w:t>
            </w:r>
            <w:r w:rsidRPr="00445908">
              <w:rPr>
                <w:rFonts w:eastAsia="Times New Roman"/>
                <w:sz w:val="16"/>
                <w:szCs w:val="16"/>
              </w:rPr>
              <w:noBreakHyphen/>
              <w:t>witch parallel arm study.</w:t>
            </w:r>
          </w:p>
        </w:tc>
        <w:tc>
          <w:tcPr>
            <w:tcW w:w="1981" w:type="dxa"/>
            <w:tcBorders>
              <w:top w:val="nil"/>
              <w:left w:val="nil"/>
              <w:bottom w:val="nil"/>
              <w:right w:val="nil"/>
            </w:tcBorders>
            <w:shd w:val="clear" w:color="000000" w:fill="F2F2F2"/>
            <w:hideMark/>
          </w:tcPr>
          <w:p w14:paraId="4F828DB9" w14:textId="1297836F" w:rsidR="003178F6" w:rsidRPr="00445908" w:rsidRDefault="003178F6" w:rsidP="002C0138">
            <w:pPr>
              <w:spacing w:after="0"/>
              <w:rPr>
                <w:rFonts w:eastAsia="Times New Roman"/>
                <w:sz w:val="16"/>
                <w:szCs w:val="16"/>
              </w:rPr>
            </w:pPr>
            <w:r w:rsidRPr="00445908">
              <w:rPr>
                <w:rFonts w:eastAsia="Times New Roman"/>
                <w:sz w:val="16"/>
                <w:szCs w:val="16"/>
              </w:rPr>
              <w:t>Use of e</w:t>
            </w:r>
            <w:r w:rsidRPr="00445908">
              <w:rPr>
                <w:rFonts w:eastAsia="Times New Roman"/>
                <w:sz w:val="16"/>
                <w:szCs w:val="16"/>
              </w:rPr>
              <w:noBreakHyphen/>
              <w:t>cig</w:t>
            </w:r>
            <w:r w:rsidR="00735A9C">
              <w:rPr>
                <w:rFonts w:eastAsia="Times New Roman"/>
                <w:sz w:val="16"/>
                <w:szCs w:val="16"/>
              </w:rPr>
              <w:t>arette</w:t>
            </w:r>
            <w:r w:rsidRPr="00445908">
              <w:rPr>
                <w:rFonts w:eastAsia="Times New Roman"/>
                <w:sz w:val="16"/>
                <w:szCs w:val="16"/>
              </w:rPr>
              <w:t>s occurred for 4 days (days 2</w:t>
            </w:r>
            <w:r w:rsidRPr="00445908">
              <w:rPr>
                <w:rFonts w:eastAsia="Times New Roman"/>
                <w:sz w:val="16"/>
                <w:szCs w:val="16"/>
              </w:rPr>
              <w:noBreakHyphen/>
              <w:t>5).</w:t>
            </w:r>
          </w:p>
        </w:tc>
        <w:tc>
          <w:tcPr>
            <w:tcW w:w="3261" w:type="dxa"/>
            <w:tcBorders>
              <w:top w:val="nil"/>
              <w:left w:val="nil"/>
              <w:bottom w:val="nil"/>
              <w:right w:val="nil"/>
            </w:tcBorders>
            <w:shd w:val="clear" w:color="000000" w:fill="F2F2F2"/>
            <w:hideMark/>
          </w:tcPr>
          <w:p w14:paraId="5E83C573" w14:textId="77777777" w:rsidR="003178F6" w:rsidRPr="00445908" w:rsidRDefault="003178F6" w:rsidP="002C0138">
            <w:pPr>
              <w:spacing w:after="0"/>
              <w:rPr>
                <w:rFonts w:eastAsia="Times New Roman"/>
                <w:sz w:val="16"/>
                <w:szCs w:val="16"/>
              </w:rPr>
            </w:pPr>
            <w:r w:rsidRPr="00445908">
              <w:rPr>
                <w:rFonts w:eastAsia="Times New Roman"/>
                <w:sz w:val="16"/>
                <w:szCs w:val="16"/>
              </w:rPr>
              <w:t>Participants were conventional cigarette smokers randomized into groups that either completely or partially switched to e</w:t>
            </w:r>
            <w:r w:rsidRPr="00445908">
              <w:rPr>
                <w:rFonts w:eastAsia="Times New Roman"/>
                <w:sz w:val="16"/>
                <w:szCs w:val="16"/>
              </w:rPr>
              <w:noBreakHyphen/>
              <w:t>cigarette use or completely discontinued using tobacco and nicotine products.</w:t>
            </w:r>
          </w:p>
        </w:tc>
        <w:tc>
          <w:tcPr>
            <w:tcW w:w="3543" w:type="dxa"/>
            <w:tcBorders>
              <w:top w:val="nil"/>
              <w:left w:val="nil"/>
              <w:bottom w:val="nil"/>
              <w:right w:val="nil"/>
            </w:tcBorders>
            <w:shd w:val="clear" w:color="000000" w:fill="F2F2F2"/>
            <w:hideMark/>
          </w:tcPr>
          <w:p w14:paraId="003AC56B" w14:textId="77777777" w:rsidR="003178F6" w:rsidRPr="00445908" w:rsidRDefault="003178F6" w:rsidP="002C0138">
            <w:pPr>
              <w:spacing w:after="0"/>
              <w:rPr>
                <w:rFonts w:eastAsia="Times New Roman"/>
                <w:sz w:val="16"/>
                <w:szCs w:val="16"/>
              </w:rPr>
            </w:pPr>
            <w:r w:rsidRPr="00445908">
              <w:rPr>
                <w:rFonts w:eastAsia="Times New Roman"/>
                <w:sz w:val="16"/>
                <w:szCs w:val="16"/>
              </w:rPr>
              <w:t>45 in e</w:t>
            </w:r>
            <w:r w:rsidRPr="00445908">
              <w:rPr>
                <w:rFonts w:eastAsia="Times New Roman"/>
                <w:sz w:val="16"/>
                <w:szCs w:val="16"/>
              </w:rPr>
              <w:noBreakHyphen/>
              <w:t>cigarette use groups (15 in each flavour group), 45 in dual use groups (15 in each flavour group). Complete tobacco and nicotine product cessation group (15).</w:t>
            </w:r>
          </w:p>
        </w:tc>
        <w:tc>
          <w:tcPr>
            <w:tcW w:w="3540" w:type="dxa"/>
            <w:tcBorders>
              <w:top w:val="nil"/>
              <w:left w:val="nil"/>
              <w:bottom w:val="nil"/>
              <w:right w:val="nil"/>
            </w:tcBorders>
            <w:shd w:val="clear" w:color="000000" w:fill="F2F2F2"/>
            <w:hideMark/>
          </w:tcPr>
          <w:p w14:paraId="69B437EA" w14:textId="77777777" w:rsidR="003178F6" w:rsidRPr="00445908" w:rsidRDefault="003178F6" w:rsidP="002C0138">
            <w:pPr>
              <w:spacing w:after="0"/>
              <w:rPr>
                <w:rFonts w:eastAsia="Times New Roman"/>
                <w:sz w:val="16"/>
                <w:szCs w:val="16"/>
              </w:rPr>
            </w:pPr>
            <w:r w:rsidRPr="00445908">
              <w:rPr>
                <w:rFonts w:eastAsia="Times New Roman"/>
                <w:sz w:val="16"/>
                <w:szCs w:val="16"/>
              </w:rPr>
              <w:t xml:space="preserve">Industry funded </w:t>
            </w:r>
            <w:r w:rsidRPr="00445908">
              <w:rPr>
                <w:rFonts w:eastAsia="Times New Roman"/>
                <w:sz w:val="16"/>
                <w:szCs w:val="16"/>
              </w:rPr>
              <w:noBreakHyphen/>
              <w:t xml:space="preserve"> Fontem Ventures B.V, owned by Imperial Brands plc, the manufacturer of the e</w:t>
            </w:r>
            <w:r w:rsidRPr="00445908">
              <w:rPr>
                <w:rFonts w:eastAsia="Times New Roman"/>
                <w:sz w:val="16"/>
                <w:szCs w:val="16"/>
              </w:rPr>
              <w:noBreakHyphen/>
              <w:t>cigs used in the study.</w:t>
            </w:r>
          </w:p>
        </w:tc>
      </w:tr>
      <w:tr w:rsidR="003178F6" w:rsidRPr="00806100" w14:paraId="79224B32" w14:textId="77777777" w:rsidTr="002C0138">
        <w:trPr>
          <w:trHeight w:val="567"/>
        </w:trPr>
        <w:tc>
          <w:tcPr>
            <w:tcW w:w="1205" w:type="dxa"/>
            <w:tcBorders>
              <w:top w:val="nil"/>
              <w:left w:val="nil"/>
              <w:bottom w:val="nil"/>
              <w:right w:val="nil"/>
            </w:tcBorders>
            <w:shd w:val="clear" w:color="auto" w:fill="auto"/>
            <w:hideMark/>
          </w:tcPr>
          <w:p w14:paraId="313CBE69" w14:textId="77777777" w:rsidR="003178F6" w:rsidRPr="00445908" w:rsidRDefault="003178F6" w:rsidP="002C0138">
            <w:pPr>
              <w:spacing w:after="0"/>
              <w:rPr>
                <w:rFonts w:eastAsia="Times New Roman"/>
                <w:b/>
                <w:bCs/>
                <w:sz w:val="16"/>
                <w:szCs w:val="16"/>
              </w:rPr>
            </w:pPr>
            <w:r w:rsidRPr="00445908">
              <w:rPr>
                <w:rFonts w:eastAsia="Times New Roman"/>
                <w:b/>
                <w:bCs/>
                <w:sz w:val="16"/>
                <w:szCs w:val="16"/>
              </w:rPr>
              <w:t>Goniewicz et al. 2017</w:t>
            </w:r>
          </w:p>
        </w:tc>
        <w:tc>
          <w:tcPr>
            <w:tcW w:w="1350" w:type="dxa"/>
            <w:tcBorders>
              <w:top w:val="nil"/>
              <w:left w:val="nil"/>
              <w:bottom w:val="nil"/>
              <w:right w:val="nil"/>
            </w:tcBorders>
            <w:shd w:val="clear" w:color="auto" w:fill="auto"/>
            <w:hideMark/>
          </w:tcPr>
          <w:p w14:paraId="02619385" w14:textId="77777777" w:rsidR="003178F6" w:rsidRPr="00445908" w:rsidRDefault="003178F6" w:rsidP="002C0138">
            <w:pPr>
              <w:spacing w:after="0"/>
              <w:rPr>
                <w:rFonts w:eastAsia="Times New Roman"/>
                <w:sz w:val="16"/>
                <w:szCs w:val="16"/>
              </w:rPr>
            </w:pPr>
            <w:r w:rsidRPr="00445908">
              <w:rPr>
                <w:rFonts w:eastAsia="Times New Roman"/>
                <w:sz w:val="16"/>
                <w:szCs w:val="16"/>
              </w:rPr>
              <w:t>Short</w:t>
            </w:r>
            <w:r w:rsidRPr="00445908">
              <w:rPr>
                <w:rFonts w:eastAsia="Times New Roman"/>
                <w:sz w:val="16"/>
                <w:szCs w:val="16"/>
              </w:rPr>
              <w:noBreakHyphen/>
              <w:t>term experimental study.</w:t>
            </w:r>
          </w:p>
        </w:tc>
        <w:tc>
          <w:tcPr>
            <w:tcW w:w="1981" w:type="dxa"/>
            <w:tcBorders>
              <w:top w:val="nil"/>
              <w:left w:val="nil"/>
              <w:bottom w:val="nil"/>
              <w:right w:val="nil"/>
            </w:tcBorders>
            <w:shd w:val="clear" w:color="auto" w:fill="auto"/>
            <w:hideMark/>
          </w:tcPr>
          <w:p w14:paraId="746512D4" w14:textId="77777777" w:rsidR="003178F6" w:rsidRPr="00445908" w:rsidRDefault="003178F6" w:rsidP="002C0138">
            <w:pPr>
              <w:spacing w:after="0"/>
              <w:rPr>
                <w:rFonts w:eastAsia="Times New Roman"/>
                <w:sz w:val="16"/>
                <w:szCs w:val="16"/>
              </w:rPr>
            </w:pPr>
            <w:r w:rsidRPr="00445908">
              <w:rPr>
                <w:rFonts w:eastAsia="Times New Roman"/>
                <w:sz w:val="16"/>
                <w:szCs w:val="16"/>
              </w:rPr>
              <w:t>2 weeks.</w:t>
            </w:r>
          </w:p>
        </w:tc>
        <w:tc>
          <w:tcPr>
            <w:tcW w:w="3261" w:type="dxa"/>
            <w:tcBorders>
              <w:top w:val="nil"/>
              <w:left w:val="nil"/>
              <w:bottom w:val="nil"/>
              <w:right w:val="nil"/>
            </w:tcBorders>
            <w:shd w:val="clear" w:color="auto" w:fill="auto"/>
            <w:hideMark/>
          </w:tcPr>
          <w:p w14:paraId="64905417" w14:textId="77777777" w:rsidR="003178F6" w:rsidRPr="00445908" w:rsidRDefault="003178F6" w:rsidP="002C0138">
            <w:pPr>
              <w:spacing w:after="0"/>
              <w:rPr>
                <w:rFonts w:eastAsia="Times New Roman"/>
                <w:sz w:val="16"/>
                <w:szCs w:val="16"/>
              </w:rPr>
            </w:pPr>
            <w:r w:rsidRPr="00445908">
              <w:rPr>
                <w:rFonts w:eastAsia="Times New Roman"/>
                <w:sz w:val="16"/>
                <w:szCs w:val="16"/>
              </w:rPr>
              <w:t>Subjects (n=20) were healthy current cigarette smokers (&gt;5 per day within the last 12 months). Subjects smoked an average of 12.1 (SD 7.5) years and smoked an average 16 cigarettes (SD 9) per day. Average age 31 years. 60% female.</w:t>
            </w:r>
          </w:p>
        </w:tc>
        <w:tc>
          <w:tcPr>
            <w:tcW w:w="3543" w:type="dxa"/>
            <w:tcBorders>
              <w:top w:val="nil"/>
              <w:left w:val="nil"/>
              <w:bottom w:val="nil"/>
              <w:right w:val="nil"/>
            </w:tcBorders>
            <w:shd w:val="clear" w:color="auto" w:fill="auto"/>
            <w:hideMark/>
          </w:tcPr>
          <w:p w14:paraId="0FF6D7B1" w14:textId="65C54E3A" w:rsidR="003178F6" w:rsidRPr="00445908" w:rsidRDefault="003178F6" w:rsidP="002C0138">
            <w:pPr>
              <w:spacing w:after="0"/>
              <w:rPr>
                <w:rFonts w:eastAsia="Times New Roman"/>
                <w:sz w:val="16"/>
                <w:szCs w:val="16"/>
              </w:rPr>
            </w:pPr>
            <w:r w:rsidRPr="00445908">
              <w:rPr>
                <w:rFonts w:eastAsia="Times New Roman"/>
                <w:sz w:val="16"/>
                <w:szCs w:val="16"/>
              </w:rPr>
              <w:t>No control group</w:t>
            </w:r>
            <w:r w:rsidR="00AF78AB">
              <w:rPr>
                <w:rFonts w:eastAsia="Times New Roman"/>
                <w:sz w:val="16"/>
                <w:szCs w:val="16"/>
              </w:rPr>
              <w:t>.</w:t>
            </w:r>
          </w:p>
        </w:tc>
        <w:tc>
          <w:tcPr>
            <w:tcW w:w="3540" w:type="dxa"/>
            <w:tcBorders>
              <w:top w:val="nil"/>
              <w:left w:val="nil"/>
              <w:bottom w:val="nil"/>
              <w:right w:val="nil"/>
            </w:tcBorders>
            <w:shd w:val="clear" w:color="auto" w:fill="auto"/>
            <w:hideMark/>
          </w:tcPr>
          <w:p w14:paraId="0BBD52E8" w14:textId="77777777" w:rsidR="003178F6" w:rsidRPr="00445908" w:rsidRDefault="003178F6" w:rsidP="002C0138">
            <w:pPr>
              <w:spacing w:after="0"/>
              <w:rPr>
                <w:rFonts w:eastAsia="Times New Roman"/>
                <w:sz w:val="16"/>
                <w:szCs w:val="16"/>
              </w:rPr>
            </w:pPr>
            <w:r w:rsidRPr="00445908">
              <w:rPr>
                <w:rFonts w:eastAsia="Times New Roman"/>
                <w:sz w:val="16"/>
                <w:szCs w:val="16"/>
              </w:rPr>
              <w:t>Ministry of Science and Higher Education of Poland and National Institutes of Health.</w:t>
            </w:r>
          </w:p>
        </w:tc>
      </w:tr>
      <w:tr w:rsidR="003178F6" w:rsidRPr="00806100" w14:paraId="40C18CA2" w14:textId="77777777" w:rsidTr="002C0138">
        <w:trPr>
          <w:trHeight w:val="567"/>
        </w:trPr>
        <w:tc>
          <w:tcPr>
            <w:tcW w:w="1205" w:type="dxa"/>
            <w:tcBorders>
              <w:top w:val="nil"/>
              <w:left w:val="nil"/>
              <w:bottom w:val="nil"/>
              <w:right w:val="nil"/>
            </w:tcBorders>
            <w:shd w:val="clear" w:color="000000" w:fill="F2F2F2"/>
            <w:hideMark/>
          </w:tcPr>
          <w:p w14:paraId="33ABB0DB" w14:textId="77777777" w:rsidR="003178F6" w:rsidRPr="00445908" w:rsidRDefault="003178F6" w:rsidP="002C0138">
            <w:pPr>
              <w:spacing w:after="0"/>
              <w:rPr>
                <w:rFonts w:eastAsia="Times New Roman"/>
                <w:b/>
                <w:bCs/>
                <w:sz w:val="16"/>
                <w:szCs w:val="16"/>
              </w:rPr>
            </w:pPr>
            <w:r w:rsidRPr="00445908">
              <w:rPr>
                <w:rFonts w:eastAsia="Times New Roman"/>
                <w:b/>
                <w:bCs/>
                <w:sz w:val="16"/>
                <w:szCs w:val="16"/>
              </w:rPr>
              <w:t>Gonzalez</w:t>
            </w:r>
            <w:r w:rsidRPr="00445908">
              <w:rPr>
                <w:rFonts w:eastAsia="Times New Roman"/>
                <w:b/>
                <w:bCs/>
                <w:sz w:val="16"/>
                <w:szCs w:val="16"/>
              </w:rPr>
              <w:noBreakHyphen/>
              <w:t>Roz et al. 2017</w:t>
            </w:r>
          </w:p>
        </w:tc>
        <w:tc>
          <w:tcPr>
            <w:tcW w:w="1350" w:type="dxa"/>
            <w:tcBorders>
              <w:top w:val="nil"/>
              <w:left w:val="nil"/>
              <w:bottom w:val="nil"/>
              <w:right w:val="nil"/>
            </w:tcBorders>
            <w:shd w:val="clear" w:color="000000" w:fill="F2F2F2"/>
            <w:hideMark/>
          </w:tcPr>
          <w:p w14:paraId="5CAC866B" w14:textId="518E68D3" w:rsidR="003178F6" w:rsidRPr="00445908" w:rsidRDefault="003178F6" w:rsidP="002C0138">
            <w:pPr>
              <w:spacing w:after="0"/>
              <w:rPr>
                <w:rFonts w:eastAsia="Times New Roman"/>
                <w:sz w:val="16"/>
                <w:szCs w:val="16"/>
              </w:rPr>
            </w:pPr>
            <w:r w:rsidRPr="00445908">
              <w:rPr>
                <w:rFonts w:eastAsia="Times New Roman"/>
                <w:sz w:val="16"/>
                <w:szCs w:val="16"/>
              </w:rPr>
              <w:t>Cross</w:t>
            </w:r>
            <w:r w:rsidRPr="00445908">
              <w:rPr>
                <w:rFonts w:eastAsia="Times New Roman"/>
                <w:sz w:val="16"/>
                <w:szCs w:val="16"/>
              </w:rPr>
              <w:noBreakHyphen/>
              <w:t>sectional analytic</w:t>
            </w:r>
            <w:r w:rsidR="00AF78AB">
              <w:rPr>
                <w:rFonts w:eastAsia="Times New Roman"/>
                <w:sz w:val="16"/>
                <w:szCs w:val="16"/>
              </w:rPr>
              <w:t>.</w:t>
            </w:r>
          </w:p>
        </w:tc>
        <w:tc>
          <w:tcPr>
            <w:tcW w:w="1981" w:type="dxa"/>
            <w:tcBorders>
              <w:top w:val="nil"/>
              <w:left w:val="nil"/>
              <w:bottom w:val="nil"/>
              <w:right w:val="nil"/>
            </w:tcBorders>
            <w:shd w:val="clear" w:color="000000" w:fill="F2F2F2"/>
            <w:hideMark/>
          </w:tcPr>
          <w:p w14:paraId="61AD8DF0" w14:textId="77777777" w:rsidR="003178F6" w:rsidRPr="00445908" w:rsidRDefault="003178F6" w:rsidP="002C0138">
            <w:pPr>
              <w:spacing w:after="0"/>
              <w:rPr>
                <w:rFonts w:eastAsia="Times New Roman"/>
                <w:sz w:val="16"/>
                <w:szCs w:val="16"/>
              </w:rPr>
            </w:pPr>
            <w:r w:rsidRPr="00445908">
              <w:rPr>
                <w:rFonts w:eastAsia="Times New Roman"/>
                <w:sz w:val="16"/>
                <w:szCs w:val="16"/>
              </w:rPr>
              <w:t>Short</w:t>
            </w:r>
            <w:r w:rsidRPr="00445908">
              <w:rPr>
                <w:rFonts w:eastAsia="Times New Roman"/>
                <w:sz w:val="16"/>
                <w:szCs w:val="16"/>
              </w:rPr>
              <w:noBreakHyphen/>
              <w:t>term. NR.</w:t>
            </w:r>
          </w:p>
        </w:tc>
        <w:tc>
          <w:tcPr>
            <w:tcW w:w="3261" w:type="dxa"/>
            <w:tcBorders>
              <w:top w:val="nil"/>
              <w:left w:val="nil"/>
              <w:bottom w:val="nil"/>
              <w:right w:val="nil"/>
            </w:tcBorders>
            <w:shd w:val="clear" w:color="000000" w:fill="F2F2F2"/>
            <w:hideMark/>
          </w:tcPr>
          <w:p w14:paraId="5A2B0C93" w14:textId="77777777" w:rsidR="003178F6" w:rsidRPr="00445908" w:rsidRDefault="003178F6" w:rsidP="002C0138">
            <w:pPr>
              <w:spacing w:after="0"/>
              <w:rPr>
                <w:rFonts w:eastAsia="Times New Roman"/>
                <w:sz w:val="16"/>
                <w:szCs w:val="16"/>
              </w:rPr>
            </w:pPr>
            <w:r w:rsidRPr="00445908">
              <w:rPr>
                <w:rFonts w:eastAsia="Times New Roman"/>
                <w:sz w:val="16"/>
                <w:szCs w:val="16"/>
              </w:rPr>
              <w:t>81 in total: 39 e</w:t>
            </w:r>
            <w:r w:rsidRPr="00445908">
              <w:rPr>
                <w:rFonts w:eastAsia="Times New Roman"/>
                <w:sz w:val="16"/>
                <w:szCs w:val="16"/>
              </w:rPr>
              <w:noBreakHyphen/>
              <w:t>cigarette users, 42 current tobacco smokers. E</w:t>
            </w:r>
            <w:r w:rsidRPr="00445908">
              <w:rPr>
                <w:rFonts w:eastAsia="Times New Roman"/>
                <w:sz w:val="16"/>
                <w:szCs w:val="16"/>
              </w:rPr>
              <w:noBreakHyphen/>
              <w:t>cigarette users were former smokers or current tobacco cigarette smokers. E</w:t>
            </w:r>
            <w:r w:rsidRPr="00445908">
              <w:rPr>
                <w:rFonts w:eastAsia="Times New Roman"/>
                <w:sz w:val="16"/>
                <w:szCs w:val="16"/>
              </w:rPr>
              <w:noBreakHyphen/>
              <w:t>cigarette users males 77%, conventional smokers 57% male. Age not recorded.</w:t>
            </w:r>
          </w:p>
        </w:tc>
        <w:tc>
          <w:tcPr>
            <w:tcW w:w="3543" w:type="dxa"/>
            <w:tcBorders>
              <w:top w:val="nil"/>
              <w:left w:val="nil"/>
              <w:bottom w:val="nil"/>
              <w:right w:val="nil"/>
            </w:tcBorders>
            <w:shd w:val="clear" w:color="000000" w:fill="F2F2F2"/>
            <w:hideMark/>
          </w:tcPr>
          <w:p w14:paraId="408E3BD1" w14:textId="77777777" w:rsidR="003178F6" w:rsidRPr="00445908" w:rsidRDefault="003178F6" w:rsidP="002C0138">
            <w:pPr>
              <w:spacing w:after="0"/>
              <w:rPr>
                <w:rFonts w:eastAsia="Times New Roman"/>
                <w:sz w:val="16"/>
                <w:szCs w:val="16"/>
              </w:rPr>
            </w:pPr>
            <w:r w:rsidRPr="00445908">
              <w:rPr>
                <w:rFonts w:eastAsia="Times New Roman"/>
                <w:sz w:val="16"/>
                <w:szCs w:val="16"/>
              </w:rPr>
              <w:t>Compared e</w:t>
            </w:r>
            <w:r w:rsidRPr="00445908">
              <w:rPr>
                <w:rFonts w:eastAsia="Times New Roman"/>
                <w:sz w:val="16"/>
                <w:szCs w:val="16"/>
              </w:rPr>
              <w:noBreakHyphen/>
              <w:t>cigarette users with current tobacco smokers on nicotine dependence.</w:t>
            </w:r>
          </w:p>
        </w:tc>
        <w:tc>
          <w:tcPr>
            <w:tcW w:w="3540" w:type="dxa"/>
            <w:tcBorders>
              <w:top w:val="nil"/>
              <w:left w:val="nil"/>
              <w:bottom w:val="nil"/>
              <w:right w:val="nil"/>
            </w:tcBorders>
            <w:shd w:val="clear" w:color="000000" w:fill="F2F2F2"/>
            <w:hideMark/>
          </w:tcPr>
          <w:p w14:paraId="2B99A7A7" w14:textId="77777777" w:rsidR="003178F6" w:rsidRPr="00445908" w:rsidRDefault="003178F6" w:rsidP="002C0138">
            <w:pPr>
              <w:spacing w:after="0"/>
              <w:rPr>
                <w:rFonts w:eastAsia="Times New Roman"/>
                <w:sz w:val="16"/>
                <w:szCs w:val="16"/>
              </w:rPr>
            </w:pPr>
            <w:r w:rsidRPr="00445908">
              <w:rPr>
                <w:rFonts w:eastAsia="Times New Roman"/>
                <w:sz w:val="16"/>
                <w:szCs w:val="16"/>
              </w:rPr>
              <w:t>BBVA Foundation. Described as a large multinational financial group here: http://terravivagrants.org/grant</w:t>
            </w:r>
            <w:r w:rsidRPr="00445908">
              <w:rPr>
                <w:rFonts w:eastAsia="Times New Roman"/>
                <w:sz w:val="16"/>
                <w:szCs w:val="16"/>
              </w:rPr>
              <w:noBreakHyphen/>
              <w:t>makers/group</w:t>
            </w:r>
            <w:r w:rsidRPr="00445908">
              <w:rPr>
                <w:rFonts w:eastAsia="Times New Roman"/>
                <w:sz w:val="16"/>
                <w:szCs w:val="16"/>
              </w:rPr>
              <w:noBreakHyphen/>
              <w:t>2</w:t>
            </w:r>
            <w:r w:rsidRPr="00445908">
              <w:rPr>
                <w:rFonts w:eastAsia="Times New Roman"/>
                <w:sz w:val="16"/>
                <w:szCs w:val="16"/>
              </w:rPr>
              <w:noBreakHyphen/>
              <w:t>biodiversity</w:t>
            </w:r>
            <w:r w:rsidRPr="00445908">
              <w:rPr>
                <w:rFonts w:eastAsia="Times New Roman"/>
                <w:sz w:val="16"/>
                <w:szCs w:val="16"/>
              </w:rPr>
              <w:noBreakHyphen/>
              <w:t>conservation</w:t>
            </w:r>
            <w:r w:rsidRPr="00445908">
              <w:rPr>
                <w:rFonts w:eastAsia="Times New Roman"/>
                <w:sz w:val="16"/>
                <w:szCs w:val="16"/>
              </w:rPr>
              <w:noBreakHyphen/>
              <w:t>wildlife/bbva</w:t>
            </w:r>
            <w:r w:rsidRPr="00445908">
              <w:rPr>
                <w:rFonts w:eastAsia="Times New Roman"/>
                <w:sz w:val="16"/>
                <w:szCs w:val="16"/>
              </w:rPr>
              <w:noBreakHyphen/>
              <w:t>foundation/</w:t>
            </w:r>
          </w:p>
        </w:tc>
      </w:tr>
      <w:tr w:rsidR="003178F6" w:rsidRPr="00806100" w14:paraId="5CC8DEEA" w14:textId="77777777" w:rsidTr="002C0138">
        <w:trPr>
          <w:trHeight w:val="567"/>
        </w:trPr>
        <w:tc>
          <w:tcPr>
            <w:tcW w:w="1205" w:type="dxa"/>
            <w:tcBorders>
              <w:top w:val="nil"/>
              <w:left w:val="nil"/>
              <w:bottom w:val="nil"/>
              <w:right w:val="nil"/>
            </w:tcBorders>
            <w:shd w:val="clear" w:color="000000" w:fill="FFFFFF"/>
            <w:hideMark/>
          </w:tcPr>
          <w:p w14:paraId="5C3CE9F5" w14:textId="77777777" w:rsidR="003178F6" w:rsidRPr="00445908" w:rsidRDefault="003178F6" w:rsidP="002C0138">
            <w:pPr>
              <w:spacing w:after="0"/>
              <w:rPr>
                <w:rFonts w:eastAsia="Times New Roman"/>
                <w:b/>
                <w:bCs/>
                <w:sz w:val="16"/>
                <w:szCs w:val="16"/>
              </w:rPr>
            </w:pPr>
            <w:r w:rsidRPr="00445908">
              <w:rPr>
                <w:rFonts w:eastAsia="Times New Roman"/>
                <w:b/>
                <w:bCs/>
                <w:sz w:val="16"/>
                <w:szCs w:val="16"/>
              </w:rPr>
              <w:t>Hiler et al. 2017</w:t>
            </w:r>
          </w:p>
        </w:tc>
        <w:tc>
          <w:tcPr>
            <w:tcW w:w="1350" w:type="dxa"/>
            <w:tcBorders>
              <w:top w:val="nil"/>
              <w:left w:val="nil"/>
              <w:bottom w:val="nil"/>
              <w:right w:val="nil"/>
            </w:tcBorders>
            <w:shd w:val="clear" w:color="000000" w:fill="FFFFFF"/>
            <w:hideMark/>
          </w:tcPr>
          <w:p w14:paraId="27E8444E" w14:textId="77777777" w:rsidR="003178F6" w:rsidRPr="00445908" w:rsidRDefault="003178F6" w:rsidP="002C0138">
            <w:pPr>
              <w:spacing w:after="0"/>
              <w:rPr>
                <w:rFonts w:eastAsia="Times New Roman"/>
                <w:sz w:val="16"/>
                <w:szCs w:val="16"/>
              </w:rPr>
            </w:pPr>
            <w:r w:rsidRPr="00445908">
              <w:rPr>
                <w:rFonts w:eastAsia="Times New Roman"/>
                <w:sz w:val="16"/>
                <w:szCs w:val="16"/>
              </w:rPr>
              <w:t>Randomised crossover trial.</w:t>
            </w:r>
          </w:p>
        </w:tc>
        <w:tc>
          <w:tcPr>
            <w:tcW w:w="1981" w:type="dxa"/>
            <w:tcBorders>
              <w:top w:val="nil"/>
              <w:left w:val="nil"/>
              <w:bottom w:val="nil"/>
              <w:right w:val="nil"/>
            </w:tcBorders>
            <w:shd w:val="clear" w:color="000000" w:fill="FFFFFF"/>
            <w:hideMark/>
          </w:tcPr>
          <w:p w14:paraId="1491382F" w14:textId="77777777" w:rsidR="003178F6" w:rsidRPr="00445908" w:rsidRDefault="003178F6" w:rsidP="002C0138">
            <w:pPr>
              <w:spacing w:after="0"/>
              <w:rPr>
                <w:rFonts w:eastAsia="Times New Roman"/>
                <w:sz w:val="16"/>
                <w:szCs w:val="16"/>
              </w:rPr>
            </w:pPr>
            <w:r w:rsidRPr="00445908">
              <w:rPr>
                <w:rFonts w:eastAsia="Times New Roman"/>
                <w:sz w:val="16"/>
                <w:szCs w:val="16"/>
              </w:rPr>
              <w:t>Sessions separated by 48 hrs. No follow up.</w:t>
            </w:r>
          </w:p>
        </w:tc>
        <w:tc>
          <w:tcPr>
            <w:tcW w:w="3261" w:type="dxa"/>
            <w:tcBorders>
              <w:top w:val="nil"/>
              <w:left w:val="nil"/>
              <w:bottom w:val="nil"/>
              <w:right w:val="nil"/>
            </w:tcBorders>
            <w:shd w:val="clear" w:color="000000" w:fill="FFFFFF"/>
            <w:hideMark/>
          </w:tcPr>
          <w:p w14:paraId="2225205E" w14:textId="77777777" w:rsidR="003178F6" w:rsidRPr="00445908" w:rsidRDefault="003178F6" w:rsidP="002C0138">
            <w:pPr>
              <w:spacing w:after="0"/>
              <w:rPr>
                <w:rFonts w:eastAsia="Times New Roman"/>
                <w:sz w:val="16"/>
                <w:szCs w:val="16"/>
              </w:rPr>
            </w:pPr>
            <w:r w:rsidRPr="00445908">
              <w:rPr>
                <w:rFonts w:eastAsia="Times New Roman"/>
                <w:sz w:val="16"/>
                <w:szCs w:val="16"/>
              </w:rPr>
              <w:t>40 participants were Caucasian, 15 were African American, 2 were Hispanic/Latino, 1 was Hawaiian/other Pacific Islander, 1 reported more than one race and 5 reported 'other'. Mean age 30.6 years (9.1) across groups.</w:t>
            </w:r>
          </w:p>
        </w:tc>
        <w:tc>
          <w:tcPr>
            <w:tcW w:w="3543" w:type="dxa"/>
            <w:tcBorders>
              <w:top w:val="nil"/>
              <w:left w:val="nil"/>
              <w:bottom w:val="nil"/>
              <w:right w:val="nil"/>
            </w:tcBorders>
            <w:shd w:val="clear" w:color="000000" w:fill="FFFFFF"/>
            <w:hideMark/>
          </w:tcPr>
          <w:p w14:paraId="05577FF5" w14:textId="7C81AF9B" w:rsidR="003178F6" w:rsidRPr="00445908" w:rsidRDefault="003178F6" w:rsidP="002C0138">
            <w:pPr>
              <w:spacing w:after="0"/>
              <w:rPr>
                <w:rFonts w:eastAsia="Times New Roman"/>
                <w:sz w:val="16"/>
                <w:szCs w:val="16"/>
              </w:rPr>
            </w:pPr>
            <w:r w:rsidRPr="00445908">
              <w:rPr>
                <w:rFonts w:eastAsia="Times New Roman"/>
                <w:sz w:val="16"/>
                <w:szCs w:val="16"/>
              </w:rPr>
              <w:t>64 included in the analysis, smokers who were 33 e</w:t>
            </w:r>
            <w:r w:rsidRPr="00445908">
              <w:rPr>
                <w:rFonts w:eastAsia="Times New Roman"/>
                <w:sz w:val="16"/>
                <w:szCs w:val="16"/>
              </w:rPr>
              <w:noBreakHyphen/>
              <w:t>cigarette experienced individuals and smokers who were e</w:t>
            </w:r>
            <w:r w:rsidRPr="00445908">
              <w:rPr>
                <w:rFonts w:eastAsia="Times New Roman"/>
                <w:sz w:val="16"/>
                <w:szCs w:val="16"/>
              </w:rPr>
              <w:noBreakHyphen/>
              <w:t>cigarette</w:t>
            </w:r>
            <w:r w:rsidR="008146F9">
              <w:rPr>
                <w:rFonts w:eastAsia="Times New Roman"/>
                <w:sz w:val="16"/>
                <w:szCs w:val="16"/>
              </w:rPr>
              <w:t xml:space="preserve"> </w:t>
            </w:r>
            <w:r w:rsidRPr="00445908">
              <w:rPr>
                <w:rFonts w:eastAsia="Times New Roman"/>
                <w:sz w:val="16"/>
                <w:szCs w:val="16"/>
              </w:rPr>
              <w:t>naive (31).</w:t>
            </w:r>
          </w:p>
        </w:tc>
        <w:tc>
          <w:tcPr>
            <w:tcW w:w="3540" w:type="dxa"/>
            <w:tcBorders>
              <w:top w:val="nil"/>
              <w:left w:val="nil"/>
              <w:bottom w:val="nil"/>
              <w:right w:val="nil"/>
            </w:tcBorders>
            <w:shd w:val="clear" w:color="000000" w:fill="FFFFFF"/>
            <w:hideMark/>
          </w:tcPr>
          <w:p w14:paraId="08D48A43" w14:textId="316F85E2" w:rsidR="003178F6" w:rsidRPr="00445908" w:rsidRDefault="003178F6" w:rsidP="002C0138">
            <w:pPr>
              <w:spacing w:after="0"/>
              <w:rPr>
                <w:rFonts w:eastAsia="Times New Roman"/>
                <w:sz w:val="16"/>
                <w:szCs w:val="16"/>
              </w:rPr>
            </w:pPr>
            <w:r w:rsidRPr="00445908">
              <w:rPr>
                <w:rFonts w:eastAsia="Times New Roman"/>
                <w:sz w:val="16"/>
                <w:szCs w:val="16"/>
              </w:rPr>
              <w:t>National Institute on Drug Abuse of the National Institutes of Health</w:t>
            </w:r>
            <w:r w:rsidR="00AF78AB">
              <w:rPr>
                <w:rFonts w:eastAsia="Times New Roman"/>
                <w:sz w:val="16"/>
                <w:szCs w:val="16"/>
              </w:rPr>
              <w:t>.</w:t>
            </w:r>
          </w:p>
        </w:tc>
      </w:tr>
      <w:tr w:rsidR="003178F6" w:rsidRPr="00806100" w14:paraId="503FED79" w14:textId="77777777" w:rsidTr="002C0138">
        <w:trPr>
          <w:trHeight w:val="567"/>
        </w:trPr>
        <w:tc>
          <w:tcPr>
            <w:tcW w:w="1205" w:type="dxa"/>
            <w:tcBorders>
              <w:top w:val="nil"/>
              <w:left w:val="nil"/>
              <w:bottom w:val="nil"/>
              <w:right w:val="nil"/>
            </w:tcBorders>
            <w:shd w:val="clear" w:color="000000" w:fill="F2F2F2"/>
            <w:hideMark/>
          </w:tcPr>
          <w:p w14:paraId="211CA827" w14:textId="77777777" w:rsidR="003178F6" w:rsidRPr="00445908" w:rsidRDefault="003178F6" w:rsidP="002C0138">
            <w:pPr>
              <w:spacing w:after="0"/>
              <w:rPr>
                <w:rFonts w:eastAsia="Times New Roman"/>
                <w:b/>
                <w:bCs/>
                <w:sz w:val="16"/>
                <w:szCs w:val="16"/>
              </w:rPr>
            </w:pPr>
            <w:r w:rsidRPr="00445908">
              <w:rPr>
                <w:rFonts w:eastAsia="Times New Roman"/>
                <w:b/>
                <w:bCs/>
                <w:sz w:val="16"/>
                <w:szCs w:val="16"/>
              </w:rPr>
              <w:t>Ikonomidis et al. 2018.</w:t>
            </w:r>
          </w:p>
        </w:tc>
        <w:tc>
          <w:tcPr>
            <w:tcW w:w="1350" w:type="dxa"/>
            <w:tcBorders>
              <w:top w:val="nil"/>
              <w:left w:val="nil"/>
              <w:bottom w:val="nil"/>
              <w:right w:val="nil"/>
            </w:tcBorders>
            <w:shd w:val="clear" w:color="000000" w:fill="F2F2F2"/>
            <w:hideMark/>
          </w:tcPr>
          <w:p w14:paraId="636B9E48" w14:textId="77777777" w:rsidR="003178F6" w:rsidRPr="00445908" w:rsidRDefault="003178F6" w:rsidP="002C0138">
            <w:pPr>
              <w:spacing w:after="0"/>
              <w:rPr>
                <w:rFonts w:eastAsia="Times New Roman"/>
                <w:sz w:val="16"/>
                <w:szCs w:val="16"/>
              </w:rPr>
            </w:pPr>
            <w:r w:rsidRPr="00445908">
              <w:rPr>
                <w:rFonts w:eastAsia="Times New Roman"/>
                <w:sz w:val="16"/>
                <w:szCs w:val="16"/>
              </w:rPr>
              <w:t>Randomised crossover trial.</w:t>
            </w:r>
          </w:p>
        </w:tc>
        <w:tc>
          <w:tcPr>
            <w:tcW w:w="1981" w:type="dxa"/>
            <w:tcBorders>
              <w:top w:val="nil"/>
              <w:left w:val="nil"/>
              <w:bottom w:val="nil"/>
              <w:right w:val="nil"/>
            </w:tcBorders>
            <w:shd w:val="clear" w:color="000000" w:fill="F2F2F2"/>
            <w:hideMark/>
          </w:tcPr>
          <w:p w14:paraId="32A42040" w14:textId="2859ADB1" w:rsidR="003178F6" w:rsidRPr="00445908" w:rsidRDefault="003178F6" w:rsidP="002C0138">
            <w:pPr>
              <w:spacing w:after="0"/>
              <w:rPr>
                <w:rFonts w:eastAsia="Times New Roman"/>
                <w:sz w:val="16"/>
                <w:szCs w:val="16"/>
              </w:rPr>
            </w:pPr>
            <w:r w:rsidRPr="00445908">
              <w:rPr>
                <w:rFonts w:eastAsia="Times New Roman"/>
                <w:sz w:val="16"/>
                <w:szCs w:val="16"/>
              </w:rPr>
              <w:t>1 month follow up. Acute phase (group that smoked conventional cig and one that smoked e</w:t>
            </w:r>
            <w:r w:rsidRPr="00445908">
              <w:rPr>
                <w:rFonts w:eastAsia="Times New Roman"/>
                <w:sz w:val="16"/>
                <w:szCs w:val="16"/>
              </w:rPr>
              <w:noBreakHyphen/>
              <w:t>cigarette</w:t>
            </w:r>
            <w:r w:rsidR="008146F9">
              <w:rPr>
                <w:rFonts w:eastAsia="Times New Roman"/>
                <w:sz w:val="16"/>
                <w:szCs w:val="16"/>
              </w:rPr>
              <w:t xml:space="preserve"> </w:t>
            </w:r>
            <w:r w:rsidRPr="00445908">
              <w:rPr>
                <w:rFonts w:eastAsia="Times New Roman"/>
                <w:sz w:val="16"/>
                <w:szCs w:val="16"/>
              </w:rPr>
              <w:t>at hospital) and chronic phases (1 month chronic phase)</w:t>
            </w:r>
            <w:r w:rsidR="00AF78AB">
              <w:rPr>
                <w:rFonts w:eastAsia="Times New Roman"/>
                <w:sz w:val="16"/>
                <w:szCs w:val="16"/>
              </w:rPr>
              <w:t>.</w:t>
            </w:r>
          </w:p>
        </w:tc>
        <w:tc>
          <w:tcPr>
            <w:tcW w:w="3261" w:type="dxa"/>
            <w:tcBorders>
              <w:top w:val="nil"/>
              <w:left w:val="nil"/>
              <w:bottom w:val="nil"/>
              <w:right w:val="nil"/>
            </w:tcBorders>
            <w:shd w:val="clear" w:color="000000" w:fill="F2F2F2"/>
            <w:hideMark/>
          </w:tcPr>
          <w:p w14:paraId="5D7606E6" w14:textId="77777777" w:rsidR="003178F6" w:rsidRPr="00445908" w:rsidRDefault="003178F6" w:rsidP="002C0138">
            <w:pPr>
              <w:spacing w:after="0"/>
              <w:rPr>
                <w:rFonts w:eastAsia="Times New Roman"/>
                <w:sz w:val="16"/>
                <w:szCs w:val="16"/>
              </w:rPr>
            </w:pPr>
            <w:r w:rsidRPr="00445908">
              <w:rPr>
                <w:rFonts w:eastAsia="Times New Roman"/>
                <w:sz w:val="16"/>
                <w:szCs w:val="16"/>
              </w:rPr>
              <w:t>Subjects were attending hospital's smoking cessation unit. 70 experimental and 20 in control group.</w:t>
            </w:r>
          </w:p>
        </w:tc>
        <w:tc>
          <w:tcPr>
            <w:tcW w:w="3543" w:type="dxa"/>
            <w:tcBorders>
              <w:top w:val="nil"/>
              <w:left w:val="nil"/>
              <w:bottom w:val="nil"/>
              <w:right w:val="nil"/>
            </w:tcBorders>
            <w:shd w:val="clear" w:color="000000" w:fill="F2F2F2"/>
            <w:hideMark/>
          </w:tcPr>
          <w:p w14:paraId="13F3829E" w14:textId="77777777" w:rsidR="003178F6" w:rsidRPr="00445908" w:rsidRDefault="003178F6" w:rsidP="002C0138">
            <w:pPr>
              <w:spacing w:after="0"/>
              <w:rPr>
                <w:rFonts w:eastAsia="Times New Roman"/>
                <w:sz w:val="16"/>
                <w:szCs w:val="16"/>
              </w:rPr>
            </w:pPr>
            <w:r w:rsidRPr="00445908">
              <w:rPr>
                <w:rFonts w:eastAsia="Times New Roman"/>
                <w:sz w:val="16"/>
                <w:szCs w:val="16"/>
              </w:rPr>
              <w:t>70 in experimental group: 35 were assigned to use nicotine</w:t>
            </w:r>
            <w:r w:rsidRPr="00445908">
              <w:rPr>
                <w:rFonts w:eastAsia="Times New Roman"/>
                <w:sz w:val="16"/>
                <w:szCs w:val="16"/>
              </w:rPr>
              <w:noBreakHyphen/>
              <w:t>free e</w:t>
            </w:r>
            <w:r w:rsidRPr="00445908">
              <w:rPr>
                <w:rFonts w:eastAsia="Times New Roman"/>
                <w:sz w:val="16"/>
                <w:szCs w:val="16"/>
              </w:rPr>
              <w:noBreakHyphen/>
              <w:t>cigarette fluid during the acute</w:t>
            </w:r>
            <w:r w:rsidRPr="00445908">
              <w:rPr>
                <w:rFonts w:eastAsia="Times New Roman"/>
                <w:sz w:val="16"/>
                <w:szCs w:val="16"/>
              </w:rPr>
              <w:noBreakHyphen/>
              <w:t>phase protocol, while the remaining 35 were assigned to an e</w:t>
            </w:r>
            <w:r w:rsidRPr="00445908">
              <w:rPr>
                <w:rFonts w:eastAsia="Times New Roman"/>
                <w:sz w:val="16"/>
                <w:szCs w:val="16"/>
              </w:rPr>
              <w:noBreakHyphen/>
              <w:t>cigarette liquid with concentration of 12 mg/ml (PG 74.3%, G 20%, flavouring 4.5%, nicotine, 1.2%). 20 in control group.</w:t>
            </w:r>
          </w:p>
        </w:tc>
        <w:tc>
          <w:tcPr>
            <w:tcW w:w="3540" w:type="dxa"/>
            <w:tcBorders>
              <w:top w:val="nil"/>
              <w:left w:val="nil"/>
              <w:bottom w:val="nil"/>
              <w:right w:val="nil"/>
            </w:tcBorders>
            <w:shd w:val="clear" w:color="000000" w:fill="F2F2F2"/>
            <w:hideMark/>
          </w:tcPr>
          <w:p w14:paraId="7FE6B1CC" w14:textId="63456B5B" w:rsidR="003178F6" w:rsidRPr="00445908" w:rsidRDefault="003178F6" w:rsidP="002C0138">
            <w:pPr>
              <w:spacing w:after="0"/>
              <w:rPr>
                <w:rFonts w:eastAsia="Times New Roman"/>
                <w:sz w:val="16"/>
                <w:szCs w:val="16"/>
              </w:rPr>
            </w:pPr>
            <w:r w:rsidRPr="00445908">
              <w:rPr>
                <w:rFonts w:eastAsia="Times New Roman"/>
                <w:sz w:val="16"/>
                <w:szCs w:val="16"/>
              </w:rPr>
              <w:t>Hellenic Cardiology Society and Hellenic Society of Lipidiology and Atherosclerosis</w:t>
            </w:r>
            <w:r w:rsidR="00AF78AB">
              <w:rPr>
                <w:rFonts w:eastAsia="Times New Roman"/>
                <w:sz w:val="16"/>
                <w:szCs w:val="16"/>
              </w:rPr>
              <w:t>.</w:t>
            </w:r>
          </w:p>
        </w:tc>
      </w:tr>
      <w:tr w:rsidR="003178F6" w:rsidRPr="00806100" w14:paraId="07A9D970" w14:textId="77777777" w:rsidTr="002C0138">
        <w:trPr>
          <w:trHeight w:val="567"/>
        </w:trPr>
        <w:tc>
          <w:tcPr>
            <w:tcW w:w="1205" w:type="dxa"/>
            <w:tcBorders>
              <w:top w:val="nil"/>
              <w:left w:val="nil"/>
              <w:bottom w:val="nil"/>
              <w:right w:val="nil"/>
            </w:tcBorders>
            <w:shd w:val="clear" w:color="auto" w:fill="auto"/>
          </w:tcPr>
          <w:p w14:paraId="3F86194B" w14:textId="77777777" w:rsidR="003178F6" w:rsidRPr="00445908" w:rsidRDefault="003178F6" w:rsidP="002C0138">
            <w:pPr>
              <w:spacing w:after="0"/>
              <w:rPr>
                <w:rFonts w:eastAsia="Times New Roman"/>
                <w:b/>
                <w:bCs/>
                <w:sz w:val="16"/>
                <w:szCs w:val="16"/>
              </w:rPr>
            </w:pPr>
            <w:r w:rsidRPr="00445908">
              <w:rPr>
                <w:rFonts w:eastAsia="Times New Roman"/>
                <w:b/>
                <w:bCs/>
                <w:sz w:val="16"/>
                <w:szCs w:val="16"/>
              </w:rPr>
              <w:t>Jain 2018</w:t>
            </w:r>
          </w:p>
        </w:tc>
        <w:tc>
          <w:tcPr>
            <w:tcW w:w="1350" w:type="dxa"/>
            <w:tcBorders>
              <w:top w:val="nil"/>
              <w:left w:val="nil"/>
              <w:bottom w:val="nil"/>
              <w:right w:val="nil"/>
            </w:tcBorders>
            <w:shd w:val="clear" w:color="auto" w:fill="auto"/>
          </w:tcPr>
          <w:p w14:paraId="16852006" w14:textId="77777777" w:rsidR="003178F6" w:rsidRPr="00445908" w:rsidRDefault="003178F6" w:rsidP="002C0138">
            <w:pPr>
              <w:spacing w:after="0"/>
              <w:rPr>
                <w:rFonts w:eastAsia="Times New Roman"/>
                <w:sz w:val="16"/>
                <w:szCs w:val="16"/>
              </w:rPr>
            </w:pPr>
            <w:r w:rsidRPr="00445908">
              <w:rPr>
                <w:rFonts w:eastAsia="Times New Roman"/>
                <w:sz w:val="16"/>
                <w:szCs w:val="16"/>
              </w:rPr>
              <w:t>Cross sectional. Analytic.</w:t>
            </w:r>
          </w:p>
        </w:tc>
        <w:tc>
          <w:tcPr>
            <w:tcW w:w="1981" w:type="dxa"/>
            <w:tcBorders>
              <w:top w:val="nil"/>
              <w:left w:val="nil"/>
              <w:bottom w:val="nil"/>
              <w:right w:val="nil"/>
            </w:tcBorders>
            <w:shd w:val="clear" w:color="auto" w:fill="auto"/>
          </w:tcPr>
          <w:p w14:paraId="0C2A4E7D" w14:textId="77777777" w:rsidR="003178F6" w:rsidRPr="00445908" w:rsidRDefault="003178F6" w:rsidP="002C0138">
            <w:pPr>
              <w:spacing w:after="0"/>
              <w:rPr>
                <w:rFonts w:eastAsia="Times New Roman"/>
                <w:sz w:val="16"/>
                <w:szCs w:val="16"/>
              </w:rPr>
            </w:pPr>
            <w:r w:rsidRPr="00445908">
              <w:rPr>
                <w:rFonts w:eastAsia="Times New Roman"/>
                <w:sz w:val="16"/>
                <w:szCs w:val="16"/>
              </w:rPr>
              <w:t>Short</w:t>
            </w:r>
            <w:r w:rsidRPr="00445908">
              <w:rPr>
                <w:rFonts w:eastAsia="Times New Roman"/>
                <w:sz w:val="16"/>
                <w:szCs w:val="16"/>
              </w:rPr>
              <w:noBreakHyphen/>
              <w:t xml:space="preserve">term. </w:t>
            </w:r>
          </w:p>
        </w:tc>
        <w:tc>
          <w:tcPr>
            <w:tcW w:w="3261" w:type="dxa"/>
            <w:tcBorders>
              <w:top w:val="nil"/>
              <w:left w:val="nil"/>
              <w:bottom w:val="nil"/>
              <w:right w:val="nil"/>
            </w:tcBorders>
            <w:shd w:val="clear" w:color="auto" w:fill="auto"/>
          </w:tcPr>
          <w:p w14:paraId="4E11CFC0" w14:textId="77777777" w:rsidR="003178F6" w:rsidRPr="00445908" w:rsidRDefault="003178F6" w:rsidP="002C0138">
            <w:pPr>
              <w:spacing w:after="0"/>
              <w:rPr>
                <w:rFonts w:eastAsia="Times New Roman"/>
                <w:sz w:val="16"/>
                <w:szCs w:val="16"/>
              </w:rPr>
            </w:pPr>
            <w:r w:rsidRPr="00445908">
              <w:rPr>
                <w:rFonts w:eastAsia="Times New Roman"/>
                <w:sz w:val="16"/>
                <w:szCs w:val="16"/>
              </w:rPr>
              <w:t>Participants of the National Health and Nutrition Examination Surveys (NHANES) from 2013 to 2014. Blood metals n=483 (e</w:t>
            </w:r>
            <w:r w:rsidRPr="00445908">
              <w:rPr>
                <w:rFonts w:eastAsia="Times New Roman"/>
                <w:sz w:val="16"/>
                <w:szCs w:val="16"/>
              </w:rPr>
              <w:noBreakHyphen/>
              <w:t>cigarette only 5.5%; cigars 9.6%; cigarettes only 84.9%); Serum metals n=315 (e</w:t>
            </w:r>
            <w:r w:rsidRPr="00445908">
              <w:rPr>
                <w:rFonts w:eastAsia="Times New Roman"/>
                <w:sz w:val="16"/>
                <w:szCs w:val="16"/>
              </w:rPr>
              <w:noBreakHyphen/>
              <w:t>cigarette only 5.4%; cigars 8.5%; cigarettes only 86.1%); Urine metals n=321 (e</w:t>
            </w:r>
            <w:r w:rsidRPr="00445908">
              <w:rPr>
                <w:rFonts w:eastAsia="Times New Roman"/>
                <w:sz w:val="16"/>
                <w:szCs w:val="16"/>
              </w:rPr>
              <w:noBreakHyphen/>
              <w:t>cigarette only 5.4%; cigars 8.8%; cigarettes only 85.8%).</w:t>
            </w:r>
          </w:p>
        </w:tc>
        <w:tc>
          <w:tcPr>
            <w:tcW w:w="3543" w:type="dxa"/>
            <w:tcBorders>
              <w:top w:val="nil"/>
              <w:left w:val="nil"/>
              <w:bottom w:val="nil"/>
              <w:right w:val="nil"/>
            </w:tcBorders>
            <w:shd w:val="clear" w:color="auto" w:fill="auto"/>
          </w:tcPr>
          <w:p w14:paraId="1C5BD763" w14:textId="77777777" w:rsidR="003178F6" w:rsidRPr="00445908" w:rsidRDefault="003178F6" w:rsidP="002C0138">
            <w:pPr>
              <w:spacing w:after="0"/>
              <w:rPr>
                <w:rFonts w:eastAsia="Times New Roman"/>
                <w:sz w:val="16"/>
                <w:szCs w:val="16"/>
              </w:rPr>
            </w:pPr>
            <w:r w:rsidRPr="00445908">
              <w:rPr>
                <w:rFonts w:eastAsia="Times New Roman"/>
                <w:sz w:val="16"/>
                <w:szCs w:val="16"/>
              </w:rPr>
              <w:t>Compared smoker types between cigarettes only, cigars only and e</w:t>
            </w:r>
            <w:r w:rsidRPr="00445908">
              <w:rPr>
                <w:rFonts w:eastAsia="Times New Roman"/>
                <w:sz w:val="16"/>
                <w:szCs w:val="16"/>
              </w:rPr>
              <w:noBreakHyphen/>
              <w:t>cigarettes only. Dual users, pregnant women, and those with missing smoking data excluded.</w:t>
            </w:r>
          </w:p>
        </w:tc>
        <w:tc>
          <w:tcPr>
            <w:tcW w:w="3540" w:type="dxa"/>
            <w:tcBorders>
              <w:top w:val="nil"/>
              <w:left w:val="nil"/>
              <w:bottom w:val="nil"/>
              <w:right w:val="nil"/>
            </w:tcBorders>
            <w:shd w:val="clear" w:color="auto" w:fill="auto"/>
          </w:tcPr>
          <w:p w14:paraId="0A62B441" w14:textId="13692FB4" w:rsidR="003178F6" w:rsidRPr="00445908" w:rsidRDefault="003178F6" w:rsidP="002C0138">
            <w:pPr>
              <w:spacing w:after="0"/>
              <w:rPr>
                <w:rFonts w:eastAsia="Times New Roman"/>
                <w:sz w:val="16"/>
                <w:szCs w:val="16"/>
              </w:rPr>
            </w:pPr>
            <w:r w:rsidRPr="00445908">
              <w:rPr>
                <w:rFonts w:eastAsia="Times New Roman"/>
                <w:sz w:val="16"/>
                <w:szCs w:val="16"/>
              </w:rPr>
              <w:t>No funding received</w:t>
            </w:r>
            <w:r w:rsidR="00AF78AB">
              <w:rPr>
                <w:rFonts w:eastAsia="Times New Roman"/>
                <w:sz w:val="16"/>
                <w:szCs w:val="16"/>
              </w:rPr>
              <w:t>.</w:t>
            </w:r>
          </w:p>
        </w:tc>
      </w:tr>
      <w:tr w:rsidR="003178F6" w:rsidRPr="00806100" w14:paraId="1FADEED6" w14:textId="77777777" w:rsidTr="002C0138">
        <w:trPr>
          <w:trHeight w:val="567"/>
        </w:trPr>
        <w:tc>
          <w:tcPr>
            <w:tcW w:w="1205" w:type="dxa"/>
            <w:tcBorders>
              <w:top w:val="nil"/>
              <w:left w:val="nil"/>
              <w:bottom w:val="nil"/>
              <w:right w:val="nil"/>
            </w:tcBorders>
            <w:shd w:val="clear" w:color="auto" w:fill="auto"/>
            <w:hideMark/>
          </w:tcPr>
          <w:p w14:paraId="1A075D87" w14:textId="77777777" w:rsidR="003178F6" w:rsidRPr="00445908" w:rsidRDefault="003178F6" w:rsidP="002C0138">
            <w:pPr>
              <w:spacing w:after="0"/>
              <w:rPr>
                <w:rFonts w:eastAsia="Times New Roman"/>
                <w:b/>
                <w:bCs/>
                <w:sz w:val="16"/>
                <w:szCs w:val="16"/>
              </w:rPr>
            </w:pPr>
            <w:r w:rsidRPr="00445908">
              <w:rPr>
                <w:rFonts w:eastAsia="Times New Roman"/>
                <w:b/>
                <w:bCs/>
                <w:sz w:val="16"/>
                <w:szCs w:val="16"/>
              </w:rPr>
              <w:lastRenderedPageBreak/>
              <w:t>Javed et al. 2017</w:t>
            </w:r>
          </w:p>
        </w:tc>
        <w:tc>
          <w:tcPr>
            <w:tcW w:w="1350" w:type="dxa"/>
            <w:tcBorders>
              <w:top w:val="nil"/>
              <w:left w:val="nil"/>
              <w:bottom w:val="nil"/>
              <w:right w:val="nil"/>
            </w:tcBorders>
            <w:shd w:val="clear" w:color="auto" w:fill="auto"/>
            <w:hideMark/>
          </w:tcPr>
          <w:p w14:paraId="279BD498" w14:textId="77777777" w:rsidR="003178F6" w:rsidRPr="00445908" w:rsidRDefault="003178F6" w:rsidP="002C0138">
            <w:pPr>
              <w:spacing w:after="0"/>
              <w:rPr>
                <w:rFonts w:eastAsia="Times New Roman"/>
                <w:sz w:val="16"/>
                <w:szCs w:val="16"/>
              </w:rPr>
            </w:pPr>
            <w:r w:rsidRPr="00445908">
              <w:rPr>
                <w:rFonts w:eastAsia="Times New Roman"/>
                <w:sz w:val="16"/>
                <w:szCs w:val="16"/>
              </w:rPr>
              <w:t>Cross sectional.</w:t>
            </w:r>
          </w:p>
        </w:tc>
        <w:tc>
          <w:tcPr>
            <w:tcW w:w="1981" w:type="dxa"/>
            <w:tcBorders>
              <w:top w:val="nil"/>
              <w:left w:val="nil"/>
              <w:bottom w:val="nil"/>
              <w:right w:val="nil"/>
            </w:tcBorders>
            <w:shd w:val="clear" w:color="auto" w:fill="auto"/>
            <w:hideMark/>
          </w:tcPr>
          <w:p w14:paraId="203788D0" w14:textId="77777777" w:rsidR="003178F6" w:rsidRPr="00445908" w:rsidRDefault="003178F6" w:rsidP="002C0138">
            <w:pPr>
              <w:spacing w:after="0"/>
              <w:rPr>
                <w:rFonts w:eastAsia="Times New Roman"/>
                <w:sz w:val="16"/>
                <w:szCs w:val="16"/>
              </w:rPr>
            </w:pPr>
            <w:r w:rsidRPr="00445908">
              <w:rPr>
                <w:rFonts w:eastAsia="Times New Roman"/>
                <w:sz w:val="16"/>
                <w:szCs w:val="16"/>
              </w:rPr>
              <w:t>Subjects accumulated over 9 months.</w:t>
            </w:r>
          </w:p>
        </w:tc>
        <w:tc>
          <w:tcPr>
            <w:tcW w:w="3261" w:type="dxa"/>
            <w:tcBorders>
              <w:top w:val="nil"/>
              <w:left w:val="nil"/>
              <w:bottom w:val="nil"/>
              <w:right w:val="nil"/>
            </w:tcBorders>
            <w:shd w:val="clear" w:color="auto" w:fill="auto"/>
            <w:hideMark/>
          </w:tcPr>
          <w:p w14:paraId="0D8852E1" w14:textId="77777777" w:rsidR="003178F6" w:rsidRPr="00445908" w:rsidRDefault="003178F6" w:rsidP="002C0138">
            <w:pPr>
              <w:spacing w:after="0"/>
              <w:rPr>
                <w:rFonts w:eastAsia="Times New Roman"/>
                <w:sz w:val="16"/>
                <w:szCs w:val="16"/>
              </w:rPr>
            </w:pPr>
            <w:r w:rsidRPr="00445908">
              <w:rPr>
                <w:rFonts w:eastAsia="Times New Roman"/>
                <w:sz w:val="16"/>
                <w:szCs w:val="16"/>
              </w:rPr>
              <w:t>Study participants were 94 male only outpatients at the College of Dentistry, King Saud University, Riyadh, Saudi Arabia. Study period June 2016 to Feb 2017. Mean age 41.3 ± 2.8 (cigarette smokers), 37.6 ± 2.1 (e</w:t>
            </w:r>
            <w:r w:rsidRPr="00445908">
              <w:rPr>
                <w:rFonts w:eastAsia="Times New Roman"/>
                <w:sz w:val="16"/>
                <w:szCs w:val="16"/>
              </w:rPr>
              <w:noBreakHyphen/>
              <w:t>cigarette users) and 40.7 ± 1.6 (never smokers).</w:t>
            </w:r>
          </w:p>
        </w:tc>
        <w:tc>
          <w:tcPr>
            <w:tcW w:w="3543" w:type="dxa"/>
            <w:tcBorders>
              <w:top w:val="nil"/>
              <w:left w:val="nil"/>
              <w:bottom w:val="nil"/>
              <w:right w:val="nil"/>
            </w:tcBorders>
            <w:shd w:val="clear" w:color="auto" w:fill="auto"/>
            <w:hideMark/>
          </w:tcPr>
          <w:p w14:paraId="41E047DF" w14:textId="14FBFFC2" w:rsidR="003178F6" w:rsidRPr="00445908" w:rsidRDefault="003178F6" w:rsidP="002C0138">
            <w:pPr>
              <w:spacing w:after="0"/>
              <w:rPr>
                <w:rFonts w:eastAsia="Times New Roman"/>
                <w:sz w:val="16"/>
                <w:szCs w:val="16"/>
              </w:rPr>
            </w:pPr>
            <w:r w:rsidRPr="00445908">
              <w:rPr>
                <w:rFonts w:eastAsia="Times New Roman"/>
                <w:sz w:val="16"/>
                <w:szCs w:val="16"/>
              </w:rPr>
              <w:t xml:space="preserve">Compared groups: Group 1 cigarette smoking </w:t>
            </w:r>
            <w:r w:rsidRPr="00445908">
              <w:rPr>
                <w:rFonts w:eastAsia="Times New Roman"/>
                <w:sz w:val="16"/>
                <w:szCs w:val="16"/>
              </w:rPr>
              <w:noBreakHyphen/>
              <w:t xml:space="preserve"> those who had been smoking up to 5 cigarettes daily for at least 12 months. Group 2 e</w:t>
            </w:r>
            <w:r w:rsidRPr="00445908">
              <w:rPr>
                <w:rFonts w:eastAsia="Times New Roman"/>
                <w:sz w:val="16"/>
                <w:szCs w:val="16"/>
              </w:rPr>
              <w:noBreakHyphen/>
              <w:t xml:space="preserve">cigarette users </w:t>
            </w:r>
            <w:r w:rsidRPr="00445908">
              <w:rPr>
                <w:rFonts w:eastAsia="Times New Roman"/>
                <w:sz w:val="16"/>
                <w:szCs w:val="16"/>
              </w:rPr>
              <w:noBreakHyphen/>
              <w:t xml:space="preserve"> those who were exclusively e</w:t>
            </w:r>
            <w:r w:rsidRPr="00445908">
              <w:rPr>
                <w:rFonts w:eastAsia="Times New Roman"/>
                <w:sz w:val="16"/>
                <w:szCs w:val="16"/>
              </w:rPr>
              <w:noBreakHyphen/>
              <w:t xml:space="preserve">cigarette vaping at least once per day for 12 months. Group 3 Never smokers </w:t>
            </w:r>
            <w:r w:rsidRPr="00445908">
              <w:rPr>
                <w:rFonts w:eastAsia="Times New Roman"/>
                <w:sz w:val="16"/>
                <w:szCs w:val="16"/>
              </w:rPr>
              <w:noBreakHyphen/>
              <w:t xml:space="preserve"> never used tobacco in any form. Mean duration in years of smoking in group 1:</w:t>
            </w:r>
            <w:r w:rsidR="008146F9">
              <w:rPr>
                <w:rFonts w:eastAsia="Times New Roman"/>
                <w:sz w:val="16"/>
                <w:szCs w:val="16"/>
              </w:rPr>
              <w:t xml:space="preserve"> </w:t>
            </w:r>
            <w:r w:rsidRPr="00445908">
              <w:rPr>
                <w:rFonts w:eastAsia="Times New Roman"/>
                <w:sz w:val="16"/>
                <w:szCs w:val="16"/>
              </w:rPr>
              <w:t>5.4 ± 1.6 years. Mean duration of years vaping in group 2:</w:t>
            </w:r>
            <w:r w:rsidR="008146F9">
              <w:rPr>
                <w:rFonts w:eastAsia="Times New Roman"/>
                <w:sz w:val="16"/>
                <w:szCs w:val="16"/>
              </w:rPr>
              <w:t xml:space="preserve"> </w:t>
            </w:r>
            <w:r w:rsidRPr="00445908">
              <w:rPr>
                <w:rFonts w:eastAsia="Times New Roman"/>
                <w:sz w:val="16"/>
                <w:szCs w:val="16"/>
              </w:rPr>
              <w:t>2.2 ± 0.2 years. Mean daily frequency of smoking in group 1:</w:t>
            </w:r>
            <w:r w:rsidR="008146F9">
              <w:rPr>
                <w:rFonts w:eastAsia="Times New Roman"/>
                <w:sz w:val="16"/>
                <w:szCs w:val="16"/>
              </w:rPr>
              <w:t xml:space="preserve"> </w:t>
            </w:r>
            <w:r w:rsidRPr="00445908">
              <w:rPr>
                <w:rFonts w:eastAsia="Times New Roman"/>
                <w:sz w:val="16"/>
                <w:szCs w:val="16"/>
              </w:rPr>
              <w:t>13.3 ± 2.6 times. Mean daily frequency of vaping in group 2: 6.8 ± 0.8 times.</w:t>
            </w:r>
          </w:p>
        </w:tc>
        <w:tc>
          <w:tcPr>
            <w:tcW w:w="3540" w:type="dxa"/>
            <w:tcBorders>
              <w:top w:val="nil"/>
              <w:left w:val="nil"/>
              <w:bottom w:val="nil"/>
              <w:right w:val="nil"/>
            </w:tcBorders>
            <w:shd w:val="clear" w:color="auto" w:fill="auto"/>
            <w:hideMark/>
          </w:tcPr>
          <w:p w14:paraId="54321073" w14:textId="77777777" w:rsidR="003178F6" w:rsidRPr="00445908" w:rsidRDefault="003178F6" w:rsidP="002C0138">
            <w:pPr>
              <w:spacing w:after="0"/>
              <w:rPr>
                <w:rFonts w:eastAsia="Times New Roman"/>
                <w:sz w:val="16"/>
                <w:szCs w:val="16"/>
              </w:rPr>
            </w:pPr>
            <w:r w:rsidRPr="00445908">
              <w:rPr>
                <w:rFonts w:eastAsia="Times New Roman"/>
                <w:sz w:val="16"/>
                <w:szCs w:val="16"/>
              </w:rPr>
              <w:t>King Saud University.</w:t>
            </w:r>
          </w:p>
        </w:tc>
      </w:tr>
      <w:tr w:rsidR="003178F6" w:rsidRPr="00806100" w14:paraId="4DE9EADA" w14:textId="77777777" w:rsidTr="002C0138">
        <w:trPr>
          <w:trHeight w:val="567"/>
        </w:trPr>
        <w:tc>
          <w:tcPr>
            <w:tcW w:w="1205" w:type="dxa"/>
            <w:tcBorders>
              <w:top w:val="nil"/>
              <w:left w:val="nil"/>
              <w:bottom w:val="nil"/>
              <w:right w:val="nil"/>
            </w:tcBorders>
            <w:shd w:val="clear" w:color="000000" w:fill="EDEDED"/>
            <w:hideMark/>
          </w:tcPr>
          <w:p w14:paraId="6EB04029" w14:textId="77777777" w:rsidR="003178F6" w:rsidRPr="00445908" w:rsidRDefault="003178F6" w:rsidP="002C0138">
            <w:pPr>
              <w:spacing w:after="0"/>
              <w:rPr>
                <w:rFonts w:eastAsia="Times New Roman"/>
                <w:b/>
                <w:bCs/>
                <w:sz w:val="16"/>
                <w:szCs w:val="16"/>
              </w:rPr>
            </w:pPr>
            <w:r w:rsidRPr="00445908">
              <w:rPr>
                <w:rFonts w:eastAsia="Times New Roman"/>
                <w:b/>
                <w:bCs/>
                <w:sz w:val="16"/>
                <w:szCs w:val="16"/>
              </w:rPr>
              <w:t>Kerr et al. 2017</w:t>
            </w:r>
          </w:p>
        </w:tc>
        <w:tc>
          <w:tcPr>
            <w:tcW w:w="1350" w:type="dxa"/>
            <w:tcBorders>
              <w:top w:val="nil"/>
              <w:left w:val="nil"/>
              <w:bottom w:val="nil"/>
              <w:right w:val="nil"/>
            </w:tcBorders>
            <w:shd w:val="clear" w:color="000000" w:fill="EDEDED"/>
            <w:hideMark/>
          </w:tcPr>
          <w:p w14:paraId="7A9A5C7A" w14:textId="77777777" w:rsidR="003178F6" w:rsidRPr="00445908" w:rsidRDefault="003178F6" w:rsidP="002C0138">
            <w:pPr>
              <w:spacing w:after="0"/>
              <w:rPr>
                <w:rFonts w:eastAsia="Times New Roman"/>
                <w:sz w:val="16"/>
                <w:szCs w:val="16"/>
              </w:rPr>
            </w:pPr>
            <w:r w:rsidRPr="00445908">
              <w:rPr>
                <w:rFonts w:eastAsia="Times New Roman"/>
                <w:sz w:val="16"/>
                <w:szCs w:val="16"/>
              </w:rPr>
              <w:t>Randomised crossover trial.</w:t>
            </w:r>
          </w:p>
        </w:tc>
        <w:tc>
          <w:tcPr>
            <w:tcW w:w="1981" w:type="dxa"/>
            <w:tcBorders>
              <w:top w:val="nil"/>
              <w:left w:val="nil"/>
              <w:bottom w:val="nil"/>
              <w:right w:val="nil"/>
            </w:tcBorders>
            <w:shd w:val="clear" w:color="000000" w:fill="EDEDED"/>
            <w:hideMark/>
          </w:tcPr>
          <w:p w14:paraId="0EDAB0A1" w14:textId="77777777" w:rsidR="003178F6" w:rsidRPr="00445908" w:rsidRDefault="003178F6" w:rsidP="002C0138">
            <w:pPr>
              <w:spacing w:after="0"/>
              <w:rPr>
                <w:rFonts w:eastAsia="Times New Roman"/>
                <w:sz w:val="16"/>
                <w:szCs w:val="16"/>
              </w:rPr>
            </w:pPr>
            <w:r w:rsidRPr="00445908">
              <w:rPr>
                <w:rFonts w:eastAsia="Times New Roman"/>
                <w:sz w:val="16"/>
                <w:szCs w:val="16"/>
              </w:rPr>
              <w:t>NR. Immediate physiological effects of vaping measured.</w:t>
            </w:r>
          </w:p>
        </w:tc>
        <w:tc>
          <w:tcPr>
            <w:tcW w:w="3261" w:type="dxa"/>
            <w:tcBorders>
              <w:top w:val="nil"/>
              <w:left w:val="nil"/>
              <w:bottom w:val="nil"/>
              <w:right w:val="nil"/>
            </w:tcBorders>
            <w:shd w:val="clear" w:color="000000" w:fill="EDEDED"/>
            <w:hideMark/>
          </w:tcPr>
          <w:p w14:paraId="76B6D126" w14:textId="77777777" w:rsidR="003178F6" w:rsidRPr="00445908" w:rsidRDefault="003178F6" w:rsidP="002C0138">
            <w:pPr>
              <w:spacing w:after="0"/>
              <w:rPr>
                <w:rFonts w:eastAsia="Times New Roman"/>
                <w:sz w:val="16"/>
                <w:szCs w:val="16"/>
              </w:rPr>
            </w:pPr>
            <w:r w:rsidRPr="00445908">
              <w:rPr>
                <w:rFonts w:eastAsia="Times New Roman"/>
                <w:sz w:val="16"/>
                <w:szCs w:val="16"/>
              </w:rPr>
              <w:t>20 male smokers.</w:t>
            </w:r>
          </w:p>
        </w:tc>
        <w:tc>
          <w:tcPr>
            <w:tcW w:w="3543" w:type="dxa"/>
            <w:tcBorders>
              <w:top w:val="nil"/>
              <w:left w:val="nil"/>
              <w:bottom w:val="nil"/>
              <w:right w:val="nil"/>
            </w:tcBorders>
            <w:shd w:val="clear" w:color="000000" w:fill="EDEDED"/>
            <w:hideMark/>
          </w:tcPr>
          <w:p w14:paraId="5E8295A4" w14:textId="77777777" w:rsidR="003178F6" w:rsidRPr="00445908" w:rsidRDefault="003178F6" w:rsidP="002C0138">
            <w:pPr>
              <w:spacing w:after="0"/>
              <w:rPr>
                <w:rFonts w:eastAsia="Times New Roman"/>
                <w:sz w:val="16"/>
                <w:szCs w:val="16"/>
              </w:rPr>
            </w:pPr>
            <w:r w:rsidRPr="00445908">
              <w:rPr>
                <w:rFonts w:eastAsia="Times New Roman"/>
                <w:sz w:val="16"/>
                <w:szCs w:val="16"/>
              </w:rPr>
              <w:t>Compared vaping with tobacco smoking. No control group.</w:t>
            </w:r>
          </w:p>
        </w:tc>
        <w:tc>
          <w:tcPr>
            <w:tcW w:w="3540" w:type="dxa"/>
            <w:tcBorders>
              <w:top w:val="nil"/>
              <w:left w:val="nil"/>
              <w:bottom w:val="nil"/>
              <w:right w:val="nil"/>
            </w:tcBorders>
            <w:shd w:val="clear" w:color="000000" w:fill="EDEDED"/>
            <w:hideMark/>
          </w:tcPr>
          <w:p w14:paraId="52B391B7" w14:textId="00468DB0" w:rsidR="003178F6" w:rsidRPr="00445908" w:rsidRDefault="003178F6" w:rsidP="002C0138">
            <w:pPr>
              <w:spacing w:after="0"/>
              <w:rPr>
                <w:rFonts w:eastAsia="Times New Roman"/>
                <w:sz w:val="16"/>
                <w:szCs w:val="16"/>
              </w:rPr>
            </w:pPr>
            <w:r w:rsidRPr="00445908">
              <w:rPr>
                <w:rFonts w:eastAsia="Times New Roman"/>
                <w:sz w:val="16"/>
                <w:szCs w:val="16"/>
              </w:rPr>
              <w:t>NR</w:t>
            </w:r>
            <w:r w:rsidR="00AF78AB">
              <w:rPr>
                <w:rFonts w:eastAsia="Times New Roman"/>
                <w:sz w:val="16"/>
                <w:szCs w:val="16"/>
              </w:rPr>
              <w:t xml:space="preserve"> </w:t>
            </w:r>
            <w:r w:rsidRPr="00445908">
              <w:rPr>
                <w:rFonts w:eastAsia="Times New Roman"/>
                <w:sz w:val="16"/>
                <w:szCs w:val="16"/>
              </w:rPr>
              <w:t>(abstract only)</w:t>
            </w:r>
            <w:r w:rsidR="00AF78AB">
              <w:rPr>
                <w:rFonts w:eastAsia="Times New Roman"/>
                <w:sz w:val="16"/>
                <w:szCs w:val="16"/>
              </w:rPr>
              <w:t>.</w:t>
            </w:r>
          </w:p>
        </w:tc>
      </w:tr>
      <w:tr w:rsidR="003178F6" w:rsidRPr="00806100" w14:paraId="194C1CD3" w14:textId="77777777" w:rsidTr="002C0138">
        <w:trPr>
          <w:trHeight w:val="567"/>
        </w:trPr>
        <w:tc>
          <w:tcPr>
            <w:tcW w:w="1205" w:type="dxa"/>
            <w:tcBorders>
              <w:top w:val="nil"/>
              <w:left w:val="nil"/>
              <w:bottom w:val="nil"/>
              <w:right w:val="nil"/>
            </w:tcBorders>
            <w:shd w:val="clear" w:color="000000" w:fill="FFFFFF"/>
            <w:hideMark/>
          </w:tcPr>
          <w:p w14:paraId="21E39114" w14:textId="77777777" w:rsidR="003178F6" w:rsidRPr="00445908" w:rsidRDefault="003178F6" w:rsidP="002C0138">
            <w:pPr>
              <w:spacing w:after="0"/>
              <w:rPr>
                <w:rFonts w:eastAsia="Times New Roman"/>
                <w:b/>
                <w:bCs/>
                <w:sz w:val="16"/>
                <w:szCs w:val="16"/>
              </w:rPr>
            </w:pPr>
            <w:r w:rsidRPr="00445908">
              <w:rPr>
                <w:rFonts w:eastAsia="Times New Roman"/>
                <w:b/>
                <w:bCs/>
                <w:sz w:val="16"/>
                <w:szCs w:val="16"/>
              </w:rPr>
              <w:t>Lappas et al. 2018</w:t>
            </w:r>
          </w:p>
        </w:tc>
        <w:tc>
          <w:tcPr>
            <w:tcW w:w="1350" w:type="dxa"/>
            <w:tcBorders>
              <w:top w:val="nil"/>
              <w:left w:val="nil"/>
              <w:bottom w:val="nil"/>
              <w:right w:val="nil"/>
            </w:tcBorders>
            <w:shd w:val="clear" w:color="000000" w:fill="FFFFFF"/>
            <w:hideMark/>
          </w:tcPr>
          <w:p w14:paraId="3241649D" w14:textId="2DB65794" w:rsidR="003178F6" w:rsidRPr="00445908" w:rsidRDefault="003178F6" w:rsidP="002C0138">
            <w:pPr>
              <w:spacing w:after="0"/>
              <w:rPr>
                <w:rFonts w:eastAsia="Times New Roman"/>
                <w:sz w:val="16"/>
                <w:szCs w:val="16"/>
              </w:rPr>
            </w:pPr>
            <w:r w:rsidRPr="00445908">
              <w:rPr>
                <w:rFonts w:eastAsia="Times New Roman"/>
                <w:sz w:val="16"/>
                <w:szCs w:val="16"/>
              </w:rPr>
              <w:t>Randomised crossover trial</w:t>
            </w:r>
            <w:r w:rsidR="00AF78AB">
              <w:rPr>
                <w:rFonts w:eastAsia="Times New Roman"/>
                <w:sz w:val="16"/>
                <w:szCs w:val="16"/>
              </w:rPr>
              <w:t>.</w:t>
            </w:r>
          </w:p>
        </w:tc>
        <w:tc>
          <w:tcPr>
            <w:tcW w:w="1981" w:type="dxa"/>
            <w:tcBorders>
              <w:top w:val="nil"/>
              <w:left w:val="nil"/>
              <w:bottom w:val="nil"/>
              <w:right w:val="nil"/>
            </w:tcBorders>
            <w:shd w:val="clear" w:color="000000" w:fill="FFFFFF"/>
            <w:hideMark/>
          </w:tcPr>
          <w:p w14:paraId="11BDA54B" w14:textId="77777777" w:rsidR="003178F6" w:rsidRPr="00445908" w:rsidRDefault="003178F6" w:rsidP="002C0138">
            <w:pPr>
              <w:spacing w:after="0"/>
              <w:rPr>
                <w:rFonts w:eastAsia="Times New Roman"/>
                <w:sz w:val="16"/>
                <w:szCs w:val="16"/>
              </w:rPr>
            </w:pPr>
            <w:r w:rsidRPr="00445908">
              <w:rPr>
                <w:rFonts w:eastAsia="Times New Roman"/>
                <w:sz w:val="16"/>
                <w:szCs w:val="16"/>
              </w:rPr>
              <w:t>Three consecutive sessions. No further info provided regarding days elapsed.</w:t>
            </w:r>
          </w:p>
        </w:tc>
        <w:tc>
          <w:tcPr>
            <w:tcW w:w="3261" w:type="dxa"/>
            <w:tcBorders>
              <w:top w:val="nil"/>
              <w:left w:val="nil"/>
              <w:bottom w:val="nil"/>
              <w:right w:val="nil"/>
            </w:tcBorders>
            <w:shd w:val="clear" w:color="000000" w:fill="FFFFFF"/>
            <w:hideMark/>
          </w:tcPr>
          <w:p w14:paraId="337AE1F3" w14:textId="77777777" w:rsidR="003178F6" w:rsidRPr="00445908" w:rsidRDefault="003178F6" w:rsidP="002C0138">
            <w:pPr>
              <w:spacing w:after="0"/>
              <w:rPr>
                <w:rFonts w:eastAsia="Times New Roman"/>
                <w:sz w:val="16"/>
                <w:szCs w:val="16"/>
              </w:rPr>
            </w:pPr>
            <w:r w:rsidRPr="00445908">
              <w:rPr>
                <w:rFonts w:eastAsia="Times New Roman"/>
                <w:sz w:val="16"/>
                <w:szCs w:val="16"/>
              </w:rPr>
              <w:t>54 dual smokers (27 healthy, and 27 with intermittent asthma (mild asthma)) underwent a control session (no liquid, no resistor coil inside e</w:t>
            </w:r>
            <w:r w:rsidRPr="00445908">
              <w:rPr>
                <w:rFonts w:eastAsia="Times New Roman"/>
                <w:sz w:val="16"/>
                <w:szCs w:val="16"/>
              </w:rPr>
              <w:noBreakHyphen/>
              <w:t>cigarette cartridge) and an experimental session. 33/54 male. Average age 23 years.</w:t>
            </w:r>
          </w:p>
        </w:tc>
        <w:tc>
          <w:tcPr>
            <w:tcW w:w="3543" w:type="dxa"/>
            <w:tcBorders>
              <w:top w:val="nil"/>
              <w:left w:val="nil"/>
              <w:bottom w:val="nil"/>
              <w:right w:val="nil"/>
            </w:tcBorders>
            <w:shd w:val="clear" w:color="000000" w:fill="FFFFFF"/>
            <w:hideMark/>
          </w:tcPr>
          <w:p w14:paraId="0C3AE77F" w14:textId="77777777" w:rsidR="003178F6" w:rsidRPr="00445908" w:rsidRDefault="003178F6" w:rsidP="002C0138">
            <w:pPr>
              <w:spacing w:after="0"/>
              <w:rPr>
                <w:rFonts w:eastAsia="Times New Roman"/>
                <w:sz w:val="16"/>
                <w:szCs w:val="16"/>
              </w:rPr>
            </w:pPr>
            <w:r w:rsidRPr="00445908">
              <w:rPr>
                <w:rFonts w:eastAsia="Times New Roman"/>
                <w:sz w:val="16"/>
                <w:szCs w:val="16"/>
              </w:rPr>
              <w:t>Control: no liquid, no resister coil. Crossover trial.</w:t>
            </w:r>
          </w:p>
        </w:tc>
        <w:tc>
          <w:tcPr>
            <w:tcW w:w="3540" w:type="dxa"/>
            <w:tcBorders>
              <w:top w:val="nil"/>
              <w:left w:val="nil"/>
              <w:bottom w:val="nil"/>
              <w:right w:val="nil"/>
            </w:tcBorders>
            <w:shd w:val="clear" w:color="000000" w:fill="FFFFFF"/>
            <w:hideMark/>
          </w:tcPr>
          <w:p w14:paraId="4ACF99CD" w14:textId="77777777" w:rsidR="003178F6" w:rsidRPr="00445908" w:rsidRDefault="003178F6" w:rsidP="002C0138">
            <w:pPr>
              <w:spacing w:after="0"/>
              <w:rPr>
                <w:rFonts w:eastAsia="Times New Roman"/>
                <w:sz w:val="16"/>
                <w:szCs w:val="16"/>
              </w:rPr>
            </w:pPr>
            <w:r w:rsidRPr="00445908">
              <w:rPr>
                <w:rFonts w:eastAsia="Times New Roman"/>
                <w:sz w:val="16"/>
                <w:szCs w:val="16"/>
              </w:rPr>
              <w:t>Behrakis Foundation, Boston, MA.</w:t>
            </w:r>
          </w:p>
        </w:tc>
      </w:tr>
      <w:tr w:rsidR="003178F6" w:rsidRPr="00806100" w14:paraId="172F822C" w14:textId="77777777" w:rsidTr="002C0138">
        <w:trPr>
          <w:trHeight w:val="567"/>
        </w:trPr>
        <w:tc>
          <w:tcPr>
            <w:tcW w:w="1205" w:type="dxa"/>
            <w:tcBorders>
              <w:top w:val="nil"/>
              <w:left w:val="nil"/>
              <w:bottom w:val="nil"/>
              <w:right w:val="nil"/>
            </w:tcBorders>
            <w:shd w:val="clear" w:color="000000" w:fill="EDEDED"/>
            <w:hideMark/>
          </w:tcPr>
          <w:p w14:paraId="17FA8BD8" w14:textId="77777777" w:rsidR="003178F6" w:rsidRPr="00445908" w:rsidRDefault="003178F6" w:rsidP="002C0138">
            <w:pPr>
              <w:spacing w:after="0"/>
              <w:rPr>
                <w:rFonts w:eastAsia="Times New Roman"/>
                <w:b/>
                <w:bCs/>
                <w:sz w:val="16"/>
                <w:szCs w:val="16"/>
              </w:rPr>
            </w:pPr>
            <w:r w:rsidRPr="00445908">
              <w:rPr>
                <w:rFonts w:eastAsia="Times New Roman"/>
                <w:b/>
                <w:bCs/>
                <w:sz w:val="16"/>
                <w:szCs w:val="16"/>
              </w:rPr>
              <w:t xml:space="preserve">Oelsner et al. </w:t>
            </w:r>
          </w:p>
        </w:tc>
        <w:tc>
          <w:tcPr>
            <w:tcW w:w="1350" w:type="dxa"/>
            <w:tcBorders>
              <w:top w:val="nil"/>
              <w:left w:val="nil"/>
              <w:bottom w:val="nil"/>
              <w:right w:val="nil"/>
            </w:tcBorders>
            <w:shd w:val="clear" w:color="000000" w:fill="EDEDED"/>
            <w:hideMark/>
          </w:tcPr>
          <w:p w14:paraId="01D391FF" w14:textId="77777777" w:rsidR="003178F6" w:rsidRPr="00445908" w:rsidRDefault="003178F6" w:rsidP="002C0138">
            <w:pPr>
              <w:spacing w:after="0"/>
              <w:rPr>
                <w:rFonts w:eastAsia="Times New Roman"/>
                <w:sz w:val="16"/>
                <w:szCs w:val="16"/>
              </w:rPr>
            </w:pPr>
            <w:r w:rsidRPr="00445908">
              <w:rPr>
                <w:rFonts w:eastAsia="Times New Roman"/>
                <w:sz w:val="16"/>
                <w:szCs w:val="16"/>
              </w:rPr>
              <w:t>This is a cross sectional component of a broader prospective cohort study.</w:t>
            </w:r>
          </w:p>
        </w:tc>
        <w:tc>
          <w:tcPr>
            <w:tcW w:w="1981" w:type="dxa"/>
            <w:tcBorders>
              <w:top w:val="nil"/>
              <w:left w:val="nil"/>
              <w:bottom w:val="nil"/>
              <w:right w:val="nil"/>
            </w:tcBorders>
            <w:shd w:val="clear" w:color="000000" w:fill="EDEDED"/>
            <w:hideMark/>
          </w:tcPr>
          <w:p w14:paraId="2C94A3C7" w14:textId="77777777" w:rsidR="003178F6" w:rsidRPr="00445908" w:rsidRDefault="003178F6" w:rsidP="002C0138">
            <w:pPr>
              <w:spacing w:after="0"/>
              <w:rPr>
                <w:rFonts w:eastAsia="Times New Roman"/>
                <w:sz w:val="16"/>
                <w:szCs w:val="16"/>
              </w:rPr>
            </w:pPr>
            <w:r w:rsidRPr="00445908">
              <w:rPr>
                <w:rFonts w:eastAsia="Times New Roman"/>
                <w:sz w:val="16"/>
                <w:szCs w:val="16"/>
              </w:rPr>
              <w:t>Cross sectional snapshot of larger prospective cohort study.</w:t>
            </w:r>
          </w:p>
        </w:tc>
        <w:tc>
          <w:tcPr>
            <w:tcW w:w="3261" w:type="dxa"/>
            <w:tcBorders>
              <w:top w:val="nil"/>
              <w:left w:val="nil"/>
              <w:bottom w:val="nil"/>
              <w:right w:val="nil"/>
            </w:tcBorders>
            <w:shd w:val="clear" w:color="000000" w:fill="EDEDED"/>
            <w:hideMark/>
          </w:tcPr>
          <w:p w14:paraId="5D5BCF5A" w14:textId="77777777" w:rsidR="003178F6" w:rsidRPr="00445908" w:rsidRDefault="003178F6" w:rsidP="002C0138">
            <w:pPr>
              <w:spacing w:after="0"/>
              <w:rPr>
                <w:rFonts w:eastAsia="Times New Roman"/>
                <w:sz w:val="16"/>
                <w:szCs w:val="16"/>
              </w:rPr>
            </w:pPr>
            <w:r w:rsidRPr="00445908">
              <w:rPr>
                <w:rFonts w:eastAsia="Times New Roman"/>
                <w:sz w:val="16"/>
                <w:szCs w:val="16"/>
              </w:rPr>
              <w:t>Part of the SPIROMICS prospective study examining people with and without COPD. 2981 participants with and without COPD. 981 of these were ever smokers, with 125 ever using e</w:t>
            </w:r>
            <w:r w:rsidRPr="00445908">
              <w:rPr>
                <w:rFonts w:eastAsia="Times New Roman"/>
                <w:sz w:val="16"/>
                <w:szCs w:val="16"/>
              </w:rPr>
              <w:noBreakHyphen/>
              <w:t>cigarettes (13%) and 25 (3%) having used e</w:t>
            </w:r>
            <w:r w:rsidRPr="00445908">
              <w:rPr>
                <w:rFonts w:eastAsia="Times New Roman"/>
                <w:sz w:val="16"/>
                <w:szCs w:val="16"/>
              </w:rPr>
              <w:noBreakHyphen/>
              <w:t>cigarettes on the day of the CT for the study.</w:t>
            </w:r>
          </w:p>
        </w:tc>
        <w:tc>
          <w:tcPr>
            <w:tcW w:w="3543" w:type="dxa"/>
            <w:tcBorders>
              <w:top w:val="nil"/>
              <w:left w:val="nil"/>
              <w:bottom w:val="nil"/>
              <w:right w:val="nil"/>
            </w:tcBorders>
            <w:shd w:val="clear" w:color="000000" w:fill="EDEDED"/>
            <w:hideMark/>
          </w:tcPr>
          <w:p w14:paraId="262E9A2C" w14:textId="77777777" w:rsidR="003178F6" w:rsidRPr="00445908" w:rsidRDefault="003178F6" w:rsidP="002C0138">
            <w:pPr>
              <w:spacing w:after="0"/>
              <w:rPr>
                <w:rFonts w:eastAsia="Times New Roman"/>
                <w:sz w:val="16"/>
                <w:szCs w:val="16"/>
              </w:rPr>
            </w:pPr>
            <w:r w:rsidRPr="00445908">
              <w:rPr>
                <w:rFonts w:eastAsia="Times New Roman"/>
                <w:sz w:val="16"/>
                <w:szCs w:val="16"/>
              </w:rPr>
              <w:t>Compared lung density of ever smokers and e</w:t>
            </w:r>
            <w:r w:rsidRPr="00445908">
              <w:rPr>
                <w:rFonts w:eastAsia="Times New Roman"/>
                <w:sz w:val="16"/>
                <w:szCs w:val="16"/>
              </w:rPr>
              <w:noBreakHyphen/>
              <w:t>cigarette users.</w:t>
            </w:r>
          </w:p>
        </w:tc>
        <w:tc>
          <w:tcPr>
            <w:tcW w:w="3540" w:type="dxa"/>
            <w:tcBorders>
              <w:top w:val="nil"/>
              <w:left w:val="nil"/>
              <w:bottom w:val="nil"/>
              <w:right w:val="nil"/>
            </w:tcBorders>
            <w:shd w:val="clear" w:color="000000" w:fill="EDEDED"/>
            <w:hideMark/>
          </w:tcPr>
          <w:p w14:paraId="64DD41BB" w14:textId="77777777" w:rsidR="003178F6" w:rsidRPr="00445908" w:rsidRDefault="003178F6" w:rsidP="002C0138">
            <w:pPr>
              <w:spacing w:after="0"/>
              <w:rPr>
                <w:rFonts w:eastAsia="Times New Roman"/>
                <w:sz w:val="16"/>
                <w:szCs w:val="16"/>
              </w:rPr>
            </w:pPr>
            <w:r w:rsidRPr="00445908">
              <w:rPr>
                <w:rFonts w:eastAsia="Times New Roman"/>
                <w:sz w:val="16"/>
                <w:szCs w:val="16"/>
              </w:rPr>
              <w:t>National Heart, Lung and Blood Institute.</w:t>
            </w:r>
            <w:r w:rsidRPr="00445908">
              <w:rPr>
                <w:rFonts w:eastAsia="Times New Roman"/>
                <w:sz w:val="16"/>
                <w:szCs w:val="16"/>
              </w:rPr>
              <w:br/>
              <w:t>(Abstract only).</w:t>
            </w:r>
          </w:p>
        </w:tc>
      </w:tr>
      <w:tr w:rsidR="003178F6" w:rsidRPr="00806100" w14:paraId="0C059001" w14:textId="77777777" w:rsidTr="002C0138">
        <w:trPr>
          <w:trHeight w:val="567"/>
        </w:trPr>
        <w:tc>
          <w:tcPr>
            <w:tcW w:w="1205" w:type="dxa"/>
            <w:tcBorders>
              <w:top w:val="nil"/>
              <w:left w:val="nil"/>
              <w:bottom w:val="nil"/>
              <w:right w:val="nil"/>
            </w:tcBorders>
            <w:shd w:val="clear" w:color="000000" w:fill="FFFFFF"/>
            <w:hideMark/>
          </w:tcPr>
          <w:p w14:paraId="14A1804B" w14:textId="77777777" w:rsidR="003178F6" w:rsidRPr="00445908" w:rsidRDefault="003178F6" w:rsidP="002C0138">
            <w:pPr>
              <w:spacing w:after="0"/>
              <w:rPr>
                <w:rFonts w:eastAsia="Times New Roman"/>
                <w:b/>
                <w:bCs/>
                <w:sz w:val="16"/>
                <w:szCs w:val="16"/>
              </w:rPr>
            </w:pPr>
            <w:r w:rsidRPr="00445908">
              <w:rPr>
                <w:rFonts w:eastAsia="Times New Roman"/>
                <w:b/>
                <w:bCs/>
                <w:sz w:val="16"/>
                <w:szCs w:val="16"/>
              </w:rPr>
              <w:t>Pywell et al. 2018</w:t>
            </w:r>
          </w:p>
        </w:tc>
        <w:tc>
          <w:tcPr>
            <w:tcW w:w="1350" w:type="dxa"/>
            <w:tcBorders>
              <w:top w:val="nil"/>
              <w:left w:val="nil"/>
              <w:bottom w:val="nil"/>
              <w:right w:val="nil"/>
            </w:tcBorders>
            <w:shd w:val="clear" w:color="000000" w:fill="FFFFFF"/>
            <w:hideMark/>
          </w:tcPr>
          <w:p w14:paraId="12C37A77" w14:textId="77777777" w:rsidR="003178F6" w:rsidRPr="00445908" w:rsidRDefault="003178F6" w:rsidP="002C0138">
            <w:pPr>
              <w:spacing w:after="0"/>
              <w:rPr>
                <w:rFonts w:eastAsia="Times New Roman"/>
                <w:sz w:val="16"/>
                <w:szCs w:val="16"/>
              </w:rPr>
            </w:pPr>
            <w:r w:rsidRPr="00445908">
              <w:rPr>
                <w:rFonts w:eastAsia="Times New Roman"/>
                <w:sz w:val="16"/>
                <w:szCs w:val="16"/>
              </w:rPr>
              <w:t>Short</w:t>
            </w:r>
            <w:r w:rsidRPr="00445908">
              <w:rPr>
                <w:rFonts w:eastAsia="Times New Roman"/>
                <w:sz w:val="16"/>
                <w:szCs w:val="16"/>
              </w:rPr>
              <w:noBreakHyphen/>
              <w:t>term experimental study.</w:t>
            </w:r>
          </w:p>
        </w:tc>
        <w:tc>
          <w:tcPr>
            <w:tcW w:w="1981" w:type="dxa"/>
            <w:tcBorders>
              <w:top w:val="nil"/>
              <w:left w:val="nil"/>
              <w:bottom w:val="nil"/>
              <w:right w:val="nil"/>
            </w:tcBorders>
            <w:shd w:val="clear" w:color="000000" w:fill="FFFFFF"/>
            <w:hideMark/>
          </w:tcPr>
          <w:p w14:paraId="703DEA10" w14:textId="77777777" w:rsidR="003178F6" w:rsidRPr="00445908" w:rsidRDefault="003178F6" w:rsidP="002C0138">
            <w:pPr>
              <w:spacing w:after="0"/>
              <w:rPr>
                <w:rFonts w:eastAsia="Times New Roman"/>
                <w:sz w:val="16"/>
                <w:szCs w:val="16"/>
              </w:rPr>
            </w:pPr>
            <w:r w:rsidRPr="00445908">
              <w:rPr>
                <w:rFonts w:eastAsia="Times New Roman"/>
                <w:sz w:val="16"/>
                <w:szCs w:val="16"/>
              </w:rPr>
              <w:t>5 minute smoking protocol of a nonnicotine e</w:t>
            </w:r>
            <w:r w:rsidRPr="00445908">
              <w:rPr>
                <w:rFonts w:eastAsia="Times New Roman"/>
                <w:sz w:val="16"/>
                <w:szCs w:val="16"/>
              </w:rPr>
              <w:noBreakHyphen/>
              <w:t>cigarette was commenced with the participant inhaling at a rate of 1 inhalation every 30 seconds, a total of 10 inhalations.</w:t>
            </w:r>
          </w:p>
        </w:tc>
        <w:tc>
          <w:tcPr>
            <w:tcW w:w="3261" w:type="dxa"/>
            <w:tcBorders>
              <w:top w:val="nil"/>
              <w:left w:val="nil"/>
              <w:bottom w:val="nil"/>
              <w:right w:val="nil"/>
            </w:tcBorders>
            <w:shd w:val="clear" w:color="000000" w:fill="FFFFFF"/>
            <w:hideMark/>
          </w:tcPr>
          <w:p w14:paraId="124968EB" w14:textId="145FFFCE" w:rsidR="003178F6" w:rsidRPr="00445908" w:rsidRDefault="003178F6" w:rsidP="002C0138">
            <w:pPr>
              <w:spacing w:after="0"/>
              <w:rPr>
                <w:rFonts w:eastAsia="Times New Roman"/>
                <w:sz w:val="16"/>
                <w:szCs w:val="16"/>
              </w:rPr>
            </w:pPr>
            <w:r w:rsidRPr="00445908">
              <w:rPr>
                <w:rFonts w:eastAsia="Times New Roman"/>
                <w:sz w:val="16"/>
                <w:szCs w:val="16"/>
              </w:rPr>
              <w:t>7 smokers and 8 non</w:t>
            </w:r>
            <w:r w:rsidR="00735A9C">
              <w:rPr>
                <w:rFonts w:eastAsia="Times New Roman"/>
                <w:sz w:val="16"/>
                <w:szCs w:val="16"/>
              </w:rPr>
              <w:t>-</w:t>
            </w:r>
            <w:r w:rsidRPr="00445908">
              <w:rPr>
                <w:rFonts w:eastAsia="Times New Roman"/>
                <w:sz w:val="16"/>
                <w:szCs w:val="16"/>
              </w:rPr>
              <w:t>smokers. Mean age smokers: 26 years, mean age non</w:t>
            </w:r>
            <w:r w:rsidR="00735A9C">
              <w:rPr>
                <w:rFonts w:eastAsia="Times New Roman"/>
                <w:sz w:val="16"/>
                <w:szCs w:val="16"/>
              </w:rPr>
              <w:t>-</w:t>
            </w:r>
            <w:r w:rsidRPr="00445908">
              <w:rPr>
                <w:rFonts w:eastAsia="Times New Roman"/>
                <w:sz w:val="16"/>
                <w:szCs w:val="16"/>
              </w:rPr>
              <w:t>smokers: 25 years.</w:t>
            </w:r>
          </w:p>
        </w:tc>
        <w:tc>
          <w:tcPr>
            <w:tcW w:w="3543" w:type="dxa"/>
            <w:tcBorders>
              <w:top w:val="nil"/>
              <w:left w:val="nil"/>
              <w:bottom w:val="nil"/>
              <w:right w:val="nil"/>
            </w:tcBorders>
            <w:shd w:val="clear" w:color="000000" w:fill="FFFFFF"/>
            <w:hideMark/>
          </w:tcPr>
          <w:p w14:paraId="254AB1A6" w14:textId="77777777" w:rsidR="003178F6" w:rsidRPr="00445908" w:rsidRDefault="003178F6" w:rsidP="002C0138">
            <w:pPr>
              <w:spacing w:after="0"/>
              <w:rPr>
                <w:rFonts w:eastAsia="Times New Roman"/>
                <w:sz w:val="16"/>
                <w:szCs w:val="16"/>
              </w:rPr>
            </w:pPr>
            <w:r w:rsidRPr="00445908">
              <w:rPr>
                <w:rFonts w:eastAsia="Times New Roman"/>
                <w:sz w:val="16"/>
                <w:szCs w:val="16"/>
              </w:rPr>
              <w:t>Compared results across conventional cigarette users and non</w:t>
            </w:r>
            <w:r w:rsidRPr="00445908">
              <w:rPr>
                <w:rFonts w:eastAsia="Times New Roman"/>
                <w:sz w:val="16"/>
                <w:szCs w:val="16"/>
              </w:rPr>
              <w:noBreakHyphen/>
              <w:t>smokers. No control group.</w:t>
            </w:r>
          </w:p>
        </w:tc>
        <w:tc>
          <w:tcPr>
            <w:tcW w:w="3540" w:type="dxa"/>
            <w:tcBorders>
              <w:top w:val="nil"/>
              <w:left w:val="nil"/>
              <w:bottom w:val="nil"/>
              <w:right w:val="nil"/>
            </w:tcBorders>
            <w:shd w:val="clear" w:color="000000" w:fill="FFFFFF"/>
            <w:hideMark/>
          </w:tcPr>
          <w:p w14:paraId="3D8E0293" w14:textId="77777777" w:rsidR="003178F6" w:rsidRPr="00445908" w:rsidRDefault="003178F6" w:rsidP="002C0138">
            <w:pPr>
              <w:spacing w:after="0"/>
              <w:rPr>
                <w:rFonts w:eastAsia="Times New Roman"/>
                <w:sz w:val="16"/>
                <w:szCs w:val="16"/>
              </w:rPr>
            </w:pPr>
            <w:r w:rsidRPr="00445908">
              <w:rPr>
                <w:rFonts w:eastAsia="Times New Roman"/>
                <w:sz w:val="16"/>
                <w:szCs w:val="16"/>
              </w:rPr>
              <w:t>NR.</w:t>
            </w:r>
          </w:p>
        </w:tc>
      </w:tr>
      <w:tr w:rsidR="003178F6" w:rsidRPr="00806100" w14:paraId="231EB91A" w14:textId="77777777" w:rsidTr="002C0138">
        <w:trPr>
          <w:trHeight w:val="567"/>
        </w:trPr>
        <w:tc>
          <w:tcPr>
            <w:tcW w:w="1205" w:type="dxa"/>
            <w:tcBorders>
              <w:top w:val="nil"/>
              <w:left w:val="nil"/>
              <w:bottom w:val="nil"/>
              <w:right w:val="nil"/>
            </w:tcBorders>
            <w:shd w:val="clear" w:color="000000" w:fill="F2F2F2"/>
            <w:hideMark/>
          </w:tcPr>
          <w:p w14:paraId="4C723E98" w14:textId="77777777" w:rsidR="003178F6" w:rsidRPr="00445908" w:rsidRDefault="003178F6" w:rsidP="002C0138">
            <w:pPr>
              <w:spacing w:after="0"/>
              <w:rPr>
                <w:rFonts w:eastAsia="Times New Roman"/>
                <w:b/>
                <w:bCs/>
                <w:sz w:val="16"/>
                <w:szCs w:val="16"/>
              </w:rPr>
            </w:pPr>
            <w:r w:rsidRPr="00445908">
              <w:rPr>
                <w:rFonts w:eastAsia="Times New Roman"/>
                <w:b/>
                <w:bCs/>
                <w:sz w:val="16"/>
                <w:szCs w:val="16"/>
              </w:rPr>
              <w:t>Reidel et al. 2017</w:t>
            </w:r>
          </w:p>
        </w:tc>
        <w:tc>
          <w:tcPr>
            <w:tcW w:w="1350" w:type="dxa"/>
            <w:tcBorders>
              <w:top w:val="nil"/>
              <w:left w:val="nil"/>
              <w:bottom w:val="nil"/>
              <w:right w:val="nil"/>
            </w:tcBorders>
            <w:shd w:val="clear" w:color="000000" w:fill="F2F2F2"/>
            <w:hideMark/>
          </w:tcPr>
          <w:p w14:paraId="55D82AF4" w14:textId="07601F0E" w:rsidR="003178F6" w:rsidRPr="00445908" w:rsidRDefault="003178F6" w:rsidP="002C0138">
            <w:pPr>
              <w:spacing w:after="0"/>
              <w:rPr>
                <w:rFonts w:eastAsia="Times New Roman"/>
                <w:sz w:val="16"/>
                <w:szCs w:val="16"/>
              </w:rPr>
            </w:pPr>
            <w:r w:rsidRPr="00445908">
              <w:rPr>
                <w:rFonts w:eastAsia="Times New Roman"/>
                <w:sz w:val="16"/>
                <w:szCs w:val="16"/>
              </w:rPr>
              <w:t>Cross</w:t>
            </w:r>
            <w:r w:rsidRPr="00445908">
              <w:rPr>
                <w:rFonts w:eastAsia="Times New Roman"/>
                <w:sz w:val="16"/>
                <w:szCs w:val="16"/>
              </w:rPr>
              <w:noBreakHyphen/>
              <w:t>sectional</w:t>
            </w:r>
            <w:r w:rsidR="00AF78AB">
              <w:rPr>
                <w:rFonts w:eastAsia="Times New Roman"/>
                <w:sz w:val="16"/>
                <w:szCs w:val="16"/>
              </w:rPr>
              <w:t>.</w:t>
            </w:r>
          </w:p>
        </w:tc>
        <w:tc>
          <w:tcPr>
            <w:tcW w:w="1981" w:type="dxa"/>
            <w:tcBorders>
              <w:top w:val="nil"/>
              <w:left w:val="nil"/>
              <w:bottom w:val="nil"/>
              <w:right w:val="nil"/>
            </w:tcBorders>
            <w:shd w:val="clear" w:color="000000" w:fill="F2F2F2"/>
            <w:hideMark/>
          </w:tcPr>
          <w:p w14:paraId="60F4B565" w14:textId="77777777" w:rsidR="003178F6" w:rsidRPr="00445908" w:rsidRDefault="003178F6" w:rsidP="002C0138">
            <w:pPr>
              <w:spacing w:after="0"/>
              <w:rPr>
                <w:rFonts w:eastAsia="Times New Roman"/>
                <w:sz w:val="16"/>
                <w:szCs w:val="16"/>
              </w:rPr>
            </w:pPr>
            <w:r w:rsidRPr="00445908">
              <w:rPr>
                <w:rFonts w:eastAsia="Times New Roman"/>
                <w:sz w:val="16"/>
                <w:szCs w:val="16"/>
              </w:rPr>
              <w:t>Short</w:t>
            </w:r>
            <w:r w:rsidRPr="00445908">
              <w:rPr>
                <w:rFonts w:eastAsia="Times New Roman"/>
                <w:sz w:val="16"/>
                <w:szCs w:val="16"/>
              </w:rPr>
              <w:noBreakHyphen/>
              <w:t>term. NR.</w:t>
            </w:r>
          </w:p>
        </w:tc>
        <w:tc>
          <w:tcPr>
            <w:tcW w:w="3261" w:type="dxa"/>
            <w:tcBorders>
              <w:top w:val="nil"/>
              <w:left w:val="nil"/>
              <w:bottom w:val="nil"/>
              <w:right w:val="nil"/>
            </w:tcBorders>
            <w:shd w:val="clear" w:color="000000" w:fill="F2F2F2"/>
            <w:hideMark/>
          </w:tcPr>
          <w:p w14:paraId="26DFCCF8" w14:textId="77777777" w:rsidR="003178F6" w:rsidRPr="00445908" w:rsidRDefault="003178F6" w:rsidP="002C0138">
            <w:pPr>
              <w:spacing w:after="0"/>
              <w:rPr>
                <w:rFonts w:eastAsia="Times New Roman"/>
                <w:sz w:val="16"/>
                <w:szCs w:val="16"/>
              </w:rPr>
            </w:pPr>
            <w:r w:rsidRPr="00445908">
              <w:rPr>
                <w:rFonts w:eastAsia="Times New Roman"/>
                <w:sz w:val="16"/>
                <w:szCs w:val="16"/>
              </w:rPr>
              <w:t>Collected sputum samples from 14 current tobacco cigarette smokers, 15 current e</w:t>
            </w:r>
            <w:r w:rsidRPr="00445908">
              <w:rPr>
                <w:rFonts w:eastAsia="Times New Roman"/>
                <w:sz w:val="16"/>
                <w:szCs w:val="16"/>
              </w:rPr>
              <w:noBreakHyphen/>
              <w:t>cigarette users and 15 never smokers. Mean age and gender not recorded.</w:t>
            </w:r>
          </w:p>
        </w:tc>
        <w:tc>
          <w:tcPr>
            <w:tcW w:w="3543" w:type="dxa"/>
            <w:tcBorders>
              <w:top w:val="nil"/>
              <w:left w:val="nil"/>
              <w:bottom w:val="nil"/>
              <w:right w:val="nil"/>
            </w:tcBorders>
            <w:shd w:val="clear" w:color="000000" w:fill="F2F2F2"/>
            <w:hideMark/>
          </w:tcPr>
          <w:p w14:paraId="72C7016F" w14:textId="77777777" w:rsidR="003178F6" w:rsidRPr="00445908" w:rsidRDefault="003178F6" w:rsidP="002C0138">
            <w:pPr>
              <w:spacing w:after="0"/>
              <w:rPr>
                <w:rFonts w:eastAsia="Times New Roman"/>
                <w:sz w:val="16"/>
                <w:szCs w:val="16"/>
              </w:rPr>
            </w:pPr>
            <w:r w:rsidRPr="00445908">
              <w:rPr>
                <w:rFonts w:eastAsia="Times New Roman"/>
                <w:sz w:val="16"/>
                <w:szCs w:val="16"/>
              </w:rPr>
              <w:t>Compared e</w:t>
            </w:r>
            <w:r w:rsidRPr="00445908">
              <w:rPr>
                <w:rFonts w:eastAsia="Times New Roman"/>
                <w:sz w:val="16"/>
                <w:szCs w:val="16"/>
              </w:rPr>
              <w:noBreakHyphen/>
              <w:t>cigarette users with tobacco smokers and never smokers. E</w:t>
            </w:r>
            <w:r w:rsidRPr="00445908">
              <w:rPr>
                <w:rFonts w:eastAsia="Times New Roman"/>
                <w:sz w:val="16"/>
                <w:szCs w:val="16"/>
              </w:rPr>
              <w:noBreakHyphen/>
              <w:t>cigarette use, average number of puffs inhaled per day was 280 (had been predominantly exclusive users for 6 months, but 12/15 had previously smoked cigarettes. 5/15 occasionally smoked cigarettes). Conventional cigarette users, average number smoked per day was 11.</w:t>
            </w:r>
          </w:p>
        </w:tc>
        <w:tc>
          <w:tcPr>
            <w:tcW w:w="3540" w:type="dxa"/>
            <w:tcBorders>
              <w:top w:val="nil"/>
              <w:left w:val="nil"/>
              <w:bottom w:val="nil"/>
              <w:right w:val="nil"/>
            </w:tcBorders>
            <w:shd w:val="clear" w:color="000000" w:fill="F2F2F2"/>
            <w:hideMark/>
          </w:tcPr>
          <w:p w14:paraId="578EFA21" w14:textId="77777777" w:rsidR="003178F6" w:rsidRPr="00445908" w:rsidRDefault="003178F6" w:rsidP="002C0138">
            <w:pPr>
              <w:spacing w:after="0"/>
              <w:rPr>
                <w:rFonts w:eastAsia="Times New Roman"/>
                <w:sz w:val="16"/>
                <w:szCs w:val="16"/>
              </w:rPr>
            </w:pPr>
            <w:r w:rsidRPr="00445908">
              <w:rPr>
                <w:rFonts w:eastAsia="Times New Roman"/>
                <w:sz w:val="16"/>
                <w:szCs w:val="16"/>
              </w:rPr>
              <w:t>National Institutes of Health and the Family Smoking Prevention and Tobacco Control Act.</w:t>
            </w:r>
          </w:p>
        </w:tc>
      </w:tr>
      <w:tr w:rsidR="003178F6" w:rsidRPr="00806100" w14:paraId="4D12432D" w14:textId="77777777" w:rsidTr="002C0138">
        <w:trPr>
          <w:trHeight w:val="567"/>
        </w:trPr>
        <w:tc>
          <w:tcPr>
            <w:tcW w:w="1205" w:type="dxa"/>
            <w:tcBorders>
              <w:top w:val="nil"/>
              <w:left w:val="nil"/>
              <w:bottom w:val="nil"/>
              <w:right w:val="nil"/>
            </w:tcBorders>
            <w:shd w:val="clear" w:color="000000" w:fill="FFFFFF"/>
            <w:hideMark/>
          </w:tcPr>
          <w:p w14:paraId="6CAFF09C" w14:textId="77777777" w:rsidR="003178F6" w:rsidRPr="00445908" w:rsidRDefault="003178F6" w:rsidP="002C0138">
            <w:pPr>
              <w:spacing w:after="0"/>
              <w:rPr>
                <w:rFonts w:eastAsia="Times New Roman"/>
                <w:b/>
                <w:bCs/>
                <w:sz w:val="16"/>
                <w:szCs w:val="16"/>
              </w:rPr>
            </w:pPr>
            <w:r w:rsidRPr="00445908">
              <w:rPr>
                <w:rFonts w:eastAsia="Times New Roman"/>
                <w:b/>
                <w:bCs/>
                <w:sz w:val="16"/>
                <w:szCs w:val="16"/>
              </w:rPr>
              <w:lastRenderedPageBreak/>
              <w:t>Rubinstein et al. 2018</w:t>
            </w:r>
          </w:p>
        </w:tc>
        <w:tc>
          <w:tcPr>
            <w:tcW w:w="1350" w:type="dxa"/>
            <w:tcBorders>
              <w:top w:val="nil"/>
              <w:left w:val="nil"/>
              <w:bottom w:val="nil"/>
              <w:right w:val="nil"/>
            </w:tcBorders>
            <w:shd w:val="clear" w:color="000000" w:fill="FFFFFF"/>
            <w:hideMark/>
          </w:tcPr>
          <w:p w14:paraId="34AE8C88" w14:textId="07891EF1" w:rsidR="003178F6" w:rsidRPr="00445908" w:rsidRDefault="003178F6" w:rsidP="002C0138">
            <w:pPr>
              <w:spacing w:after="0"/>
              <w:rPr>
                <w:rFonts w:eastAsia="Times New Roman"/>
                <w:sz w:val="16"/>
                <w:szCs w:val="16"/>
              </w:rPr>
            </w:pPr>
            <w:r w:rsidRPr="00445908">
              <w:rPr>
                <w:rFonts w:eastAsia="Times New Roman"/>
                <w:sz w:val="16"/>
                <w:szCs w:val="16"/>
              </w:rPr>
              <w:t>Cross</w:t>
            </w:r>
            <w:r w:rsidRPr="00445908">
              <w:rPr>
                <w:rFonts w:eastAsia="Times New Roman"/>
                <w:sz w:val="16"/>
                <w:szCs w:val="16"/>
              </w:rPr>
              <w:noBreakHyphen/>
              <w:t>sectional</w:t>
            </w:r>
            <w:r w:rsidR="00AF78AB">
              <w:rPr>
                <w:rFonts w:eastAsia="Times New Roman"/>
                <w:sz w:val="16"/>
                <w:szCs w:val="16"/>
              </w:rPr>
              <w:t>.</w:t>
            </w:r>
          </w:p>
        </w:tc>
        <w:tc>
          <w:tcPr>
            <w:tcW w:w="1981" w:type="dxa"/>
            <w:tcBorders>
              <w:top w:val="nil"/>
              <w:left w:val="nil"/>
              <w:bottom w:val="nil"/>
              <w:right w:val="nil"/>
            </w:tcBorders>
            <w:shd w:val="clear" w:color="000000" w:fill="FFFFFF"/>
            <w:hideMark/>
          </w:tcPr>
          <w:p w14:paraId="2751FAA0" w14:textId="77777777" w:rsidR="003178F6" w:rsidRPr="00445908" w:rsidRDefault="003178F6" w:rsidP="002C0138">
            <w:pPr>
              <w:spacing w:after="0"/>
              <w:rPr>
                <w:rFonts w:eastAsia="Times New Roman"/>
                <w:sz w:val="16"/>
                <w:szCs w:val="16"/>
              </w:rPr>
            </w:pPr>
            <w:r w:rsidRPr="00445908">
              <w:rPr>
                <w:rFonts w:eastAsia="Times New Roman"/>
                <w:sz w:val="16"/>
                <w:szCs w:val="16"/>
              </w:rPr>
              <w:t>Short</w:t>
            </w:r>
            <w:r w:rsidRPr="00445908">
              <w:rPr>
                <w:rFonts w:eastAsia="Times New Roman"/>
                <w:sz w:val="16"/>
                <w:szCs w:val="16"/>
              </w:rPr>
              <w:noBreakHyphen/>
              <w:t>term. NR.</w:t>
            </w:r>
          </w:p>
        </w:tc>
        <w:tc>
          <w:tcPr>
            <w:tcW w:w="3261" w:type="dxa"/>
            <w:tcBorders>
              <w:top w:val="nil"/>
              <w:left w:val="nil"/>
              <w:bottom w:val="nil"/>
              <w:right w:val="nil"/>
            </w:tcBorders>
            <w:shd w:val="clear" w:color="000000" w:fill="FFFFFF"/>
            <w:hideMark/>
          </w:tcPr>
          <w:p w14:paraId="0F088EF7" w14:textId="66A4A8FC" w:rsidR="003178F6" w:rsidRPr="00445908" w:rsidRDefault="003178F6" w:rsidP="002C0138">
            <w:pPr>
              <w:spacing w:after="0"/>
              <w:rPr>
                <w:rFonts w:eastAsia="Times New Roman"/>
                <w:sz w:val="16"/>
                <w:szCs w:val="16"/>
              </w:rPr>
            </w:pPr>
            <w:r w:rsidRPr="00445908">
              <w:rPr>
                <w:rFonts w:eastAsia="Times New Roman"/>
                <w:sz w:val="16"/>
                <w:szCs w:val="16"/>
              </w:rPr>
              <w:t>67 e</w:t>
            </w:r>
            <w:r w:rsidRPr="00445908">
              <w:rPr>
                <w:rFonts w:eastAsia="Times New Roman"/>
                <w:sz w:val="16"/>
                <w:szCs w:val="16"/>
              </w:rPr>
              <w:noBreakHyphen/>
              <w:t>cigarette only users and 16 dual users. There were 20 age matched controls who did not use e</w:t>
            </w:r>
            <w:r w:rsidRPr="00445908">
              <w:rPr>
                <w:rFonts w:eastAsia="Times New Roman"/>
                <w:sz w:val="16"/>
                <w:szCs w:val="16"/>
              </w:rPr>
              <w:noBreakHyphen/>
              <w:t>cig</w:t>
            </w:r>
            <w:r w:rsidR="00735A9C">
              <w:rPr>
                <w:rFonts w:eastAsia="Times New Roman"/>
                <w:sz w:val="16"/>
                <w:szCs w:val="16"/>
              </w:rPr>
              <w:t>arettes</w:t>
            </w:r>
            <w:r w:rsidRPr="00445908">
              <w:rPr>
                <w:rFonts w:eastAsia="Times New Roman"/>
                <w:sz w:val="16"/>
                <w:szCs w:val="16"/>
              </w:rPr>
              <w:t xml:space="preserve"> or cig</w:t>
            </w:r>
            <w:r w:rsidR="00735A9C">
              <w:rPr>
                <w:rFonts w:eastAsia="Times New Roman"/>
                <w:sz w:val="16"/>
                <w:szCs w:val="16"/>
              </w:rPr>
              <w:t>arette</w:t>
            </w:r>
            <w:r w:rsidRPr="00445908">
              <w:rPr>
                <w:rFonts w:eastAsia="Times New Roman"/>
                <w:sz w:val="16"/>
                <w:szCs w:val="16"/>
              </w:rPr>
              <w:t>s. Male: 49 e</w:t>
            </w:r>
            <w:r w:rsidRPr="00445908">
              <w:rPr>
                <w:rFonts w:eastAsia="Times New Roman"/>
                <w:sz w:val="16"/>
                <w:szCs w:val="16"/>
              </w:rPr>
              <w:noBreakHyphen/>
              <w:t>cigarette only (73%), 12 dual users (80%), 7 controls (35%). Aged 13</w:t>
            </w:r>
            <w:r w:rsidRPr="00445908">
              <w:rPr>
                <w:rFonts w:eastAsia="Times New Roman"/>
                <w:sz w:val="16"/>
                <w:szCs w:val="16"/>
              </w:rPr>
              <w:noBreakHyphen/>
              <w:t>18 years.</w:t>
            </w:r>
          </w:p>
        </w:tc>
        <w:tc>
          <w:tcPr>
            <w:tcW w:w="3543" w:type="dxa"/>
            <w:tcBorders>
              <w:top w:val="nil"/>
              <w:left w:val="nil"/>
              <w:bottom w:val="nil"/>
              <w:right w:val="nil"/>
            </w:tcBorders>
            <w:shd w:val="clear" w:color="000000" w:fill="FFFFFF"/>
            <w:hideMark/>
          </w:tcPr>
          <w:p w14:paraId="56614E1B" w14:textId="3B8ACEC3" w:rsidR="003178F6" w:rsidRPr="00445908" w:rsidRDefault="003178F6" w:rsidP="002C0138">
            <w:pPr>
              <w:spacing w:after="0"/>
              <w:rPr>
                <w:rFonts w:eastAsia="Times New Roman"/>
                <w:sz w:val="16"/>
                <w:szCs w:val="16"/>
              </w:rPr>
            </w:pPr>
            <w:r w:rsidRPr="00445908">
              <w:rPr>
                <w:rFonts w:eastAsia="Times New Roman"/>
                <w:sz w:val="16"/>
                <w:szCs w:val="16"/>
              </w:rPr>
              <w:t>Compared e</w:t>
            </w:r>
            <w:r w:rsidRPr="00445908">
              <w:rPr>
                <w:rFonts w:eastAsia="Times New Roman"/>
                <w:sz w:val="16"/>
                <w:szCs w:val="16"/>
              </w:rPr>
              <w:noBreakHyphen/>
              <w:t>cigarette only users with dual users and age</w:t>
            </w:r>
            <w:r w:rsidRPr="00445908">
              <w:rPr>
                <w:rFonts w:eastAsia="Times New Roman"/>
                <w:sz w:val="16"/>
                <w:szCs w:val="16"/>
              </w:rPr>
              <w:noBreakHyphen/>
              <w:t>matched controls. E</w:t>
            </w:r>
            <w:r w:rsidRPr="00445908">
              <w:rPr>
                <w:rFonts w:eastAsia="Times New Roman"/>
                <w:sz w:val="16"/>
                <w:szCs w:val="16"/>
              </w:rPr>
              <w:noBreakHyphen/>
              <w:t>cigarette users only reported using their e</w:t>
            </w:r>
            <w:r w:rsidRPr="00445908">
              <w:rPr>
                <w:rFonts w:eastAsia="Times New Roman"/>
                <w:sz w:val="16"/>
                <w:szCs w:val="16"/>
              </w:rPr>
              <w:noBreakHyphen/>
              <w:t>cig</w:t>
            </w:r>
            <w:r w:rsidR="00735A9C">
              <w:rPr>
                <w:rFonts w:eastAsia="Times New Roman"/>
                <w:sz w:val="16"/>
                <w:szCs w:val="16"/>
              </w:rPr>
              <w:t>arette</w:t>
            </w:r>
            <w:r w:rsidRPr="00445908">
              <w:rPr>
                <w:rFonts w:eastAsia="Times New Roman"/>
                <w:sz w:val="16"/>
                <w:szCs w:val="16"/>
              </w:rPr>
              <w:t>s a mean of 12.8 days/mon (SD 8.9) compared with 25.5 days (SD6.6) for dual users (&lt;0.001). E</w:t>
            </w:r>
            <w:r w:rsidRPr="00445908">
              <w:rPr>
                <w:rFonts w:eastAsia="Times New Roman"/>
                <w:sz w:val="16"/>
                <w:szCs w:val="16"/>
              </w:rPr>
              <w:noBreakHyphen/>
              <w:t>cigarette only users who used nicotine in their e</w:t>
            </w:r>
            <w:r w:rsidRPr="00445908">
              <w:rPr>
                <w:rFonts w:eastAsia="Times New Roman"/>
                <w:sz w:val="16"/>
                <w:szCs w:val="16"/>
              </w:rPr>
              <w:noBreakHyphen/>
              <w:t>cig</w:t>
            </w:r>
            <w:r w:rsidR="00735A9C">
              <w:rPr>
                <w:rFonts w:eastAsia="Times New Roman"/>
                <w:sz w:val="16"/>
                <w:szCs w:val="16"/>
              </w:rPr>
              <w:t>arette</w:t>
            </w:r>
            <w:r w:rsidRPr="00445908">
              <w:rPr>
                <w:rFonts w:eastAsia="Times New Roman"/>
                <w:sz w:val="16"/>
                <w:szCs w:val="16"/>
              </w:rPr>
              <w:t>s reported using their e</w:t>
            </w:r>
            <w:r w:rsidRPr="00445908">
              <w:rPr>
                <w:rFonts w:eastAsia="Times New Roman"/>
                <w:sz w:val="16"/>
                <w:szCs w:val="16"/>
              </w:rPr>
              <w:noBreakHyphen/>
              <w:t>cig</w:t>
            </w:r>
            <w:r w:rsidR="00735A9C">
              <w:rPr>
                <w:rFonts w:eastAsia="Times New Roman"/>
                <w:sz w:val="16"/>
                <w:szCs w:val="16"/>
              </w:rPr>
              <w:t>arette</w:t>
            </w:r>
            <w:r w:rsidRPr="00445908">
              <w:rPr>
                <w:rFonts w:eastAsia="Times New Roman"/>
                <w:sz w:val="16"/>
                <w:szCs w:val="16"/>
              </w:rPr>
              <w:t>s more frequently with an average use of 15.1 days/month (SD9.2) compared with 7.6 days/month (SD5.6) (p&lt;0.001).</w:t>
            </w:r>
          </w:p>
        </w:tc>
        <w:tc>
          <w:tcPr>
            <w:tcW w:w="3540" w:type="dxa"/>
            <w:tcBorders>
              <w:top w:val="nil"/>
              <w:left w:val="nil"/>
              <w:bottom w:val="nil"/>
              <w:right w:val="nil"/>
            </w:tcBorders>
            <w:shd w:val="clear" w:color="000000" w:fill="FFFFFF"/>
            <w:hideMark/>
          </w:tcPr>
          <w:p w14:paraId="6DFE3A5F" w14:textId="77777777" w:rsidR="003178F6" w:rsidRPr="00445908" w:rsidRDefault="003178F6" w:rsidP="002C0138">
            <w:pPr>
              <w:spacing w:after="0"/>
              <w:rPr>
                <w:rFonts w:eastAsia="Times New Roman"/>
                <w:sz w:val="16"/>
                <w:szCs w:val="16"/>
              </w:rPr>
            </w:pPr>
            <w:r w:rsidRPr="00445908">
              <w:rPr>
                <w:rFonts w:eastAsia="Times New Roman"/>
                <w:sz w:val="16"/>
                <w:szCs w:val="16"/>
              </w:rPr>
              <w:t>National Institutes of Health.</w:t>
            </w:r>
          </w:p>
        </w:tc>
      </w:tr>
      <w:tr w:rsidR="003178F6" w:rsidRPr="00806100" w14:paraId="02C51D93" w14:textId="77777777" w:rsidTr="002C0138">
        <w:trPr>
          <w:trHeight w:val="567"/>
        </w:trPr>
        <w:tc>
          <w:tcPr>
            <w:tcW w:w="1205" w:type="dxa"/>
            <w:tcBorders>
              <w:top w:val="nil"/>
              <w:left w:val="nil"/>
              <w:right w:val="nil"/>
            </w:tcBorders>
            <w:shd w:val="clear" w:color="000000" w:fill="EDEDED"/>
          </w:tcPr>
          <w:p w14:paraId="50A7E825" w14:textId="77777777" w:rsidR="003178F6" w:rsidRPr="00445908" w:rsidRDefault="003178F6" w:rsidP="002C0138">
            <w:pPr>
              <w:spacing w:after="0"/>
              <w:rPr>
                <w:rFonts w:eastAsia="Times New Roman"/>
                <w:b/>
                <w:bCs/>
                <w:sz w:val="16"/>
                <w:szCs w:val="16"/>
              </w:rPr>
            </w:pPr>
            <w:r w:rsidRPr="00445908">
              <w:rPr>
                <w:rFonts w:eastAsia="Times New Roman"/>
                <w:b/>
                <w:bCs/>
                <w:sz w:val="16"/>
                <w:szCs w:val="16"/>
              </w:rPr>
              <w:t>Russo, Cibella et al. 2018</w:t>
            </w:r>
          </w:p>
        </w:tc>
        <w:tc>
          <w:tcPr>
            <w:tcW w:w="1350" w:type="dxa"/>
            <w:tcBorders>
              <w:top w:val="nil"/>
              <w:left w:val="nil"/>
              <w:right w:val="nil"/>
            </w:tcBorders>
            <w:shd w:val="clear" w:color="000000" w:fill="EDEDED"/>
          </w:tcPr>
          <w:p w14:paraId="5481A244" w14:textId="28907806" w:rsidR="003178F6" w:rsidRPr="00445908" w:rsidRDefault="003178F6" w:rsidP="002C0138">
            <w:pPr>
              <w:spacing w:after="0"/>
              <w:rPr>
                <w:rFonts w:eastAsia="Times New Roman"/>
                <w:sz w:val="16"/>
                <w:szCs w:val="16"/>
              </w:rPr>
            </w:pPr>
            <w:r w:rsidRPr="00445908">
              <w:rPr>
                <w:rFonts w:eastAsia="Times New Roman"/>
                <w:sz w:val="16"/>
                <w:szCs w:val="16"/>
              </w:rPr>
              <w:t>Prospective cohort</w:t>
            </w:r>
            <w:r w:rsidR="00AF78AB">
              <w:rPr>
                <w:rFonts w:eastAsia="Times New Roman"/>
                <w:sz w:val="16"/>
                <w:szCs w:val="16"/>
              </w:rPr>
              <w:t>.</w:t>
            </w:r>
          </w:p>
        </w:tc>
        <w:tc>
          <w:tcPr>
            <w:tcW w:w="1981" w:type="dxa"/>
            <w:tcBorders>
              <w:top w:val="nil"/>
              <w:left w:val="nil"/>
              <w:right w:val="nil"/>
            </w:tcBorders>
            <w:shd w:val="clear" w:color="000000" w:fill="EDEDED"/>
          </w:tcPr>
          <w:p w14:paraId="0C3AE7D8" w14:textId="077DFC76" w:rsidR="003178F6" w:rsidRPr="00445908" w:rsidRDefault="003178F6" w:rsidP="002C0138">
            <w:pPr>
              <w:spacing w:after="0"/>
              <w:rPr>
                <w:rFonts w:eastAsia="Times New Roman"/>
                <w:sz w:val="16"/>
                <w:szCs w:val="16"/>
              </w:rPr>
            </w:pPr>
            <w:r w:rsidRPr="00445908">
              <w:rPr>
                <w:rFonts w:eastAsia="Times New Roman"/>
                <w:sz w:val="16"/>
                <w:szCs w:val="16"/>
              </w:rPr>
              <w:t>3.5 years of hospital records from March 2012 to December 2015</w:t>
            </w:r>
            <w:r w:rsidR="00AF78AB">
              <w:rPr>
                <w:rFonts w:eastAsia="Times New Roman"/>
                <w:sz w:val="16"/>
                <w:szCs w:val="16"/>
              </w:rPr>
              <w:t>.</w:t>
            </w:r>
          </w:p>
        </w:tc>
        <w:tc>
          <w:tcPr>
            <w:tcW w:w="3261" w:type="dxa"/>
            <w:tcBorders>
              <w:top w:val="nil"/>
              <w:left w:val="nil"/>
              <w:right w:val="nil"/>
            </w:tcBorders>
            <w:shd w:val="clear" w:color="000000" w:fill="EDEDED"/>
          </w:tcPr>
          <w:p w14:paraId="4ADCF47A" w14:textId="55F3B891" w:rsidR="003178F6" w:rsidRPr="00445908" w:rsidRDefault="003178F6" w:rsidP="002C0138">
            <w:pPr>
              <w:spacing w:after="0"/>
              <w:rPr>
                <w:rFonts w:eastAsia="Times New Roman"/>
                <w:sz w:val="16"/>
                <w:szCs w:val="16"/>
              </w:rPr>
            </w:pPr>
            <w:r w:rsidRPr="00445908">
              <w:rPr>
                <w:rFonts w:eastAsia="Times New Roman"/>
                <w:sz w:val="16"/>
                <w:szCs w:val="16"/>
              </w:rPr>
              <w:t>Patients with cardiorespiratory conditions at four Italian hospitals</w:t>
            </w:r>
            <w:r w:rsidR="00AF78AB">
              <w:rPr>
                <w:rFonts w:eastAsia="Times New Roman"/>
                <w:sz w:val="16"/>
                <w:szCs w:val="16"/>
              </w:rPr>
              <w:t>.</w:t>
            </w:r>
          </w:p>
        </w:tc>
        <w:tc>
          <w:tcPr>
            <w:tcW w:w="3543" w:type="dxa"/>
            <w:tcBorders>
              <w:top w:val="nil"/>
              <w:left w:val="nil"/>
              <w:right w:val="nil"/>
            </w:tcBorders>
            <w:shd w:val="clear" w:color="000000" w:fill="EDEDED"/>
          </w:tcPr>
          <w:p w14:paraId="199BD034" w14:textId="77777777" w:rsidR="003178F6" w:rsidRPr="00445908" w:rsidRDefault="003178F6" w:rsidP="002C0138">
            <w:pPr>
              <w:spacing w:after="0"/>
              <w:rPr>
                <w:rFonts w:eastAsia="Times New Roman"/>
                <w:sz w:val="16"/>
                <w:szCs w:val="16"/>
              </w:rPr>
            </w:pPr>
            <w:r w:rsidRPr="00445908">
              <w:rPr>
                <w:rFonts w:eastAsia="Times New Roman"/>
                <w:sz w:val="16"/>
                <w:szCs w:val="16"/>
              </w:rPr>
              <w:t>Patients reporting regular daily use of e</w:t>
            </w:r>
            <w:r w:rsidRPr="00445908">
              <w:rPr>
                <w:rFonts w:eastAsia="Times New Roman"/>
                <w:sz w:val="16"/>
                <w:szCs w:val="16"/>
              </w:rPr>
              <w:noBreakHyphen/>
              <w:t xml:space="preserve">cigarettes on at least 2 visits n=86 (67.4% male, 54.2 years); age and sex matched cigarette smokers n=93; smokers who reported sustained smoking abstinence (&gt;6mo) n=44. </w:t>
            </w:r>
          </w:p>
          <w:p w14:paraId="098F133E" w14:textId="77777777" w:rsidR="003178F6" w:rsidRPr="00445908" w:rsidRDefault="003178F6" w:rsidP="002C0138">
            <w:pPr>
              <w:spacing w:after="0"/>
              <w:rPr>
                <w:rFonts w:eastAsia="Times New Roman"/>
                <w:sz w:val="16"/>
                <w:szCs w:val="16"/>
              </w:rPr>
            </w:pPr>
          </w:p>
        </w:tc>
        <w:tc>
          <w:tcPr>
            <w:tcW w:w="3540" w:type="dxa"/>
            <w:tcBorders>
              <w:top w:val="nil"/>
              <w:left w:val="nil"/>
              <w:right w:val="nil"/>
            </w:tcBorders>
            <w:shd w:val="clear" w:color="000000" w:fill="EDEDED"/>
          </w:tcPr>
          <w:p w14:paraId="50E1D56A" w14:textId="77777777" w:rsidR="003178F6" w:rsidRPr="00445908" w:rsidRDefault="003178F6" w:rsidP="002C0138">
            <w:pPr>
              <w:spacing w:after="0"/>
              <w:rPr>
                <w:rFonts w:eastAsia="Times New Roman"/>
                <w:sz w:val="16"/>
                <w:szCs w:val="16"/>
              </w:rPr>
            </w:pPr>
            <w:r w:rsidRPr="00445908">
              <w:rPr>
                <w:rFonts w:eastAsia="Times New Roman"/>
                <w:sz w:val="16"/>
                <w:szCs w:val="16"/>
              </w:rPr>
              <w:t>This research was supported by university grant No. 21040100 of “Ricerca Scientifica Finanziata dall’Ateneo di Catania”</w:t>
            </w:r>
          </w:p>
        </w:tc>
      </w:tr>
      <w:tr w:rsidR="003178F6" w:rsidRPr="00806100" w14:paraId="3059B9E8" w14:textId="77777777" w:rsidTr="002C0138">
        <w:trPr>
          <w:trHeight w:val="567"/>
        </w:trPr>
        <w:tc>
          <w:tcPr>
            <w:tcW w:w="1205" w:type="dxa"/>
            <w:tcBorders>
              <w:top w:val="nil"/>
              <w:left w:val="nil"/>
              <w:right w:val="nil"/>
            </w:tcBorders>
            <w:shd w:val="clear" w:color="000000" w:fill="EDEDED"/>
            <w:hideMark/>
          </w:tcPr>
          <w:p w14:paraId="5F0C509D" w14:textId="77777777" w:rsidR="003178F6" w:rsidRPr="00445908" w:rsidRDefault="003178F6" w:rsidP="002C0138">
            <w:pPr>
              <w:spacing w:after="0"/>
              <w:rPr>
                <w:rFonts w:eastAsia="Times New Roman"/>
                <w:b/>
                <w:bCs/>
                <w:sz w:val="16"/>
                <w:szCs w:val="16"/>
              </w:rPr>
            </w:pPr>
            <w:r w:rsidRPr="00445908">
              <w:rPr>
                <w:rFonts w:eastAsia="Times New Roman"/>
                <w:b/>
                <w:bCs/>
                <w:sz w:val="16"/>
                <w:szCs w:val="16"/>
              </w:rPr>
              <w:t xml:space="preserve">Shahab et al. </w:t>
            </w:r>
            <w:r w:rsidRPr="00445908">
              <w:rPr>
                <w:rFonts w:eastAsia="Times New Roman"/>
                <w:sz w:val="16"/>
                <w:szCs w:val="16"/>
              </w:rPr>
              <w:t>2017</w:t>
            </w:r>
          </w:p>
        </w:tc>
        <w:tc>
          <w:tcPr>
            <w:tcW w:w="1350" w:type="dxa"/>
            <w:tcBorders>
              <w:top w:val="nil"/>
              <w:left w:val="nil"/>
              <w:right w:val="nil"/>
            </w:tcBorders>
            <w:shd w:val="clear" w:color="000000" w:fill="EDEDED"/>
            <w:hideMark/>
          </w:tcPr>
          <w:p w14:paraId="767D8A6D" w14:textId="2B9E3F09" w:rsidR="003178F6" w:rsidRPr="00445908" w:rsidRDefault="003178F6" w:rsidP="002C0138">
            <w:pPr>
              <w:spacing w:after="0"/>
              <w:rPr>
                <w:rFonts w:eastAsia="Times New Roman"/>
                <w:sz w:val="16"/>
                <w:szCs w:val="16"/>
              </w:rPr>
            </w:pPr>
            <w:r w:rsidRPr="00445908">
              <w:rPr>
                <w:rFonts w:eastAsia="Times New Roman"/>
                <w:sz w:val="16"/>
                <w:szCs w:val="16"/>
              </w:rPr>
              <w:t>Cross</w:t>
            </w:r>
            <w:r w:rsidRPr="00445908">
              <w:rPr>
                <w:rFonts w:eastAsia="Times New Roman"/>
                <w:sz w:val="16"/>
                <w:szCs w:val="16"/>
              </w:rPr>
              <w:noBreakHyphen/>
              <w:t>sectional</w:t>
            </w:r>
            <w:r w:rsidR="00AF78AB">
              <w:rPr>
                <w:rFonts w:eastAsia="Times New Roman"/>
                <w:sz w:val="16"/>
                <w:szCs w:val="16"/>
              </w:rPr>
              <w:t>.</w:t>
            </w:r>
          </w:p>
        </w:tc>
        <w:tc>
          <w:tcPr>
            <w:tcW w:w="1981" w:type="dxa"/>
            <w:tcBorders>
              <w:top w:val="nil"/>
              <w:left w:val="nil"/>
              <w:right w:val="nil"/>
            </w:tcBorders>
            <w:shd w:val="clear" w:color="000000" w:fill="EDEDED"/>
            <w:hideMark/>
          </w:tcPr>
          <w:p w14:paraId="49345DF3" w14:textId="77777777" w:rsidR="003178F6" w:rsidRPr="00445908" w:rsidRDefault="003178F6" w:rsidP="002C0138">
            <w:pPr>
              <w:spacing w:after="0"/>
              <w:rPr>
                <w:rFonts w:eastAsia="Times New Roman"/>
                <w:sz w:val="16"/>
                <w:szCs w:val="16"/>
              </w:rPr>
            </w:pPr>
            <w:r w:rsidRPr="00445908">
              <w:rPr>
                <w:rFonts w:eastAsia="Times New Roman"/>
                <w:sz w:val="16"/>
                <w:szCs w:val="16"/>
              </w:rPr>
              <w:t>Short</w:t>
            </w:r>
            <w:r w:rsidRPr="00445908">
              <w:rPr>
                <w:rFonts w:eastAsia="Times New Roman"/>
                <w:sz w:val="16"/>
                <w:szCs w:val="16"/>
              </w:rPr>
              <w:noBreakHyphen/>
              <w:t>term. Study done from Jan to Jun 2014. No follow</w:t>
            </w:r>
            <w:r w:rsidRPr="00445908">
              <w:rPr>
                <w:rFonts w:eastAsia="Times New Roman"/>
                <w:sz w:val="16"/>
                <w:szCs w:val="16"/>
              </w:rPr>
              <w:noBreakHyphen/>
              <w:t>up. Cross sectional. 'Spot sampling of biomarkers.'</w:t>
            </w:r>
          </w:p>
        </w:tc>
        <w:tc>
          <w:tcPr>
            <w:tcW w:w="3261" w:type="dxa"/>
            <w:tcBorders>
              <w:top w:val="nil"/>
              <w:left w:val="nil"/>
              <w:right w:val="nil"/>
            </w:tcBorders>
            <w:shd w:val="clear" w:color="000000" w:fill="EDEDED"/>
            <w:hideMark/>
          </w:tcPr>
          <w:p w14:paraId="790511E9" w14:textId="77777777" w:rsidR="003178F6" w:rsidRPr="00445908" w:rsidRDefault="003178F6" w:rsidP="002C0138">
            <w:pPr>
              <w:spacing w:after="0"/>
              <w:rPr>
                <w:rFonts w:eastAsia="Times New Roman"/>
                <w:sz w:val="16"/>
                <w:szCs w:val="16"/>
              </w:rPr>
            </w:pPr>
            <w:r w:rsidRPr="00445908">
              <w:rPr>
                <w:rFonts w:eastAsia="Times New Roman"/>
                <w:sz w:val="16"/>
                <w:szCs w:val="16"/>
              </w:rPr>
              <w:t>Total n=181. 71 female (39.2%). Proportion of women ranged across groups, from 19.% in e</w:t>
            </w:r>
            <w:r w:rsidRPr="00445908">
              <w:rPr>
                <w:rFonts w:eastAsia="Times New Roman"/>
                <w:sz w:val="16"/>
                <w:szCs w:val="16"/>
              </w:rPr>
              <w:noBreakHyphen/>
              <w:t>cigarette only group to 61.1% in dual combustible cigarette</w:t>
            </w:r>
            <w:r w:rsidRPr="00445908">
              <w:rPr>
                <w:rFonts w:eastAsia="Times New Roman"/>
                <w:sz w:val="16"/>
                <w:szCs w:val="16"/>
              </w:rPr>
              <w:noBreakHyphen/>
              <w:t>NRT users. Mean age 37.8 years.</w:t>
            </w:r>
          </w:p>
        </w:tc>
        <w:tc>
          <w:tcPr>
            <w:tcW w:w="3543" w:type="dxa"/>
            <w:tcBorders>
              <w:top w:val="nil"/>
              <w:left w:val="nil"/>
              <w:right w:val="nil"/>
            </w:tcBorders>
            <w:shd w:val="clear" w:color="000000" w:fill="EDEDED"/>
            <w:hideMark/>
          </w:tcPr>
          <w:p w14:paraId="528D014B" w14:textId="3A935AA6" w:rsidR="003178F6" w:rsidRPr="00445908" w:rsidRDefault="003178F6" w:rsidP="002C0138">
            <w:pPr>
              <w:spacing w:after="0"/>
              <w:rPr>
                <w:rFonts w:eastAsia="Times New Roman"/>
                <w:sz w:val="16"/>
                <w:szCs w:val="16"/>
              </w:rPr>
            </w:pPr>
            <w:r w:rsidRPr="00445908">
              <w:rPr>
                <w:rFonts w:eastAsia="Times New Roman"/>
                <w:sz w:val="16"/>
                <w:szCs w:val="16"/>
              </w:rPr>
              <w:t>Five groups compared: Current smokers of conventional cigarettes. Former smokers with long term e</w:t>
            </w:r>
            <w:r w:rsidRPr="00445908">
              <w:rPr>
                <w:rFonts w:eastAsia="Times New Roman"/>
                <w:sz w:val="16"/>
                <w:szCs w:val="16"/>
              </w:rPr>
              <w:noBreakHyphen/>
              <w:t>cigarette use (≥ 6 mths) only. Former smokers with long</w:t>
            </w:r>
            <w:r w:rsidRPr="00445908">
              <w:rPr>
                <w:rFonts w:eastAsia="Times New Roman"/>
                <w:sz w:val="16"/>
                <w:szCs w:val="16"/>
              </w:rPr>
              <w:noBreakHyphen/>
              <w:t>term NRT use only. Long term dual users of conventional cigs and e</w:t>
            </w:r>
            <w:r w:rsidRPr="00445908">
              <w:rPr>
                <w:rFonts w:eastAsia="Times New Roman"/>
                <w:sz w:val="16"/>
                <w:szCs w:val="16"/>
              </w:rPr>
              <w:noBreakHyphen/>
              <w:t>cig</w:t>
            </w:r>
            <w:r w:rsidR="00735A9C">
              <w:rPr>
                <w:rFonts w:eastAsia="Times New Roman"/>
                <w:sz w:val="16"/>
                <w:szCs w:val="16"/>
              </w:rPr>
              <w:t>arette</w:t>
            </w:r>
            <w:r w:rsidRPr="00445908">
              <w:rPr>
                <w:rFonts w:eastAsia="Times New Roman"/>
                <w:sz w:val="16"/>
                <w:szCs w:val="16"/>
              </w:rPr>
              <w:t xml:space="preserve">s. Long terms users of both conventional cigs and NRT. N=36 to 37 per group. </w:t>
            </w:r>
          </w:p>
        </w:tc>
        <w:tc>
          <w:tcPr>
            <w:tcW w:w="3540" w:type="dxa"/>
            <w:tcBorders>
              <w:top w:val="nil"/>
              <w:left w:val="nil"/>
              <w:right w:val="nil"/>
            </w:tcBorders>
            <w:shd w:val="clear" w:color="000000" w:fill="EDEDED"/>
            <w:hideMark/>
          </w:tcPr>
          <w:p w14:paraId="06777896" w14:textId="77777777" w:rsidR="003178F6" w:rsidRPr="00445908" w:rsidRDefault="003178F6" w:rsidP="002C0138">
            <w:pPr>
              <w:spacing w:after="0"/>
              <w:rPr>
                <w:rFonts w:eastAsia="Times New Roman"/>
                <w:sz w:val="16"/>
                <w:szCs w:val="16"/>
              </w:rPr>
            </w:pPr>
            <w:r w:rsidRPr="00445908">
              <w:rPr>
                <w:rFonts w:eastAsia="Times New Roman"/>
                <w:sz w:val="16"/>
                <w:szCs w:val="16"/>
              </w:rPr>
              <w:t>Cancer Research UK.</w:t>
            </w:r>
          </w:p>
        </w:tc>
      </w:tr>
      <w:tr w:rsidR="003178F6" w:rsidRPr="00806100" w14:paraId="3DEBA63B" w14:textId="77777777" w:rsidTr="002C0138">
        <w:trPr>
          <w:trHeight w:val="567"/>
        </w:trPr>
        <w:tc>
          <w:tcPr>
            <w:tcW w:w="1205" w:type="dxa"/>
            <w:tcBorders>
              <w:top w:val="nil"/>
              <w:left w:val="nil"/>
            </w:tcBorders>
            <w:shd w:val="clear" w:color="auto" w:fill="auto"/>
          </w:tcPr>
          <w:p w14:paraId="7D3DC195" w14:textId="77777777" w:rsidR="003178F6" w:rsidRPr="00445908" w:rsidRDefault="003178F6" w:rsidP="002C0138">
            <w:pPr>
              <w:rPr>
                <w:b/>
                <w:sz w:val="16"/>
                <w:szCs w:val="16"/>
              </w:rPr>
            </w:pPr>
            <w:r w:rsidRPr="00445908">
              <w:rPr>
                <w:b/>
                <w:sz w:val="16"/>
                <w:szCs w:val="16"/>
              </w:rPr>
              <w:t>Stewart, Auchtung et al. 2018</w:t>
            </w:r>
          </w:p>
        </w:tc>
        <w:tc>
          <w:tcPr>
            <w:tcW w:w="1350" w:type="dxa"/>
            <w:tcBorders>
              <w:top w:val="nil"/>
            </w:tcBorders>
            <w:shd w:val="clear" w:color="auto" w:fill="auto"/>
          </w:tcPr>
          <w:p w14:paraId="45387C32" w14:textId="01FC7789" w:rsidR="003178F6" w:rsidRPr="00445908" w:rsidRDefault="003178F6" w:rsidP="002C0138">
            <w:pPr>
              <w:rPr>
                <w:sz w:val="16"/>
                <w:szCs w:val="16"/>
              </w:rPr>
            </w:pPr>
            <w:r w:rsidRPr="00445908">
              <w:rPr>
                <w:sz w:val="16"/>
                <w:szCs w:val="16"/>
              </w:rPr>
              <w:t>Cross</w:t>
            </w:r>
            <w:r w:rsidRPr="00445908">
              <w:rPr>
                <w:sz w:val="16"/>
                <w:szCs w:val="16"/>
              </w:rPr>
              <w:noBreakHyphen/>
              <w:t>sectional</w:t>
            </w:r>
            <w:r w:rsidR="00AF78AB">
              <w:rPr>
                <w:sz w:val="16"/>
                <w:szCs w:val="16"/>
              </w:rPr>
              <w:t>.</w:t>
            </w:r>
          </w:p>
        </w:tc>
        <w:tc>
          <w:tcPr>
            <w:tcW w:w="1981" w:type="dxa"/>
            <w:tcBorders>
              <w:top w:val="nil"/>
            </w:tcBorders>
            <w:shd w:val="clear" w:color="auto" w:fill="auto"/>
          </w:tcPr>
          <w:p w14:paraId="230168CD" w14:textId="77777777" w:rsidR="003178F6" w:rsidRPr="00445908" w:rsidRDefault="003178F6" w:rsidP="002C0138">
            <w:pPr>
              <w:rPr>
                <w:sz w:val="16"/>
                <w:szCs w:val="16"/>
              </w:rPr>
            </w:pPr>
            <w:r w:rsidRPr="00445908">
              <w:rPr>
                <w:sz w:val="16"/>
                <w:szCs w:val="16"/>
              </w:rPr>
              <w:t>Short</w:t>
            </w:r>
            <w:r w:rsidRPr="00445908">
              <w:rPr>
                <w:sz w:val="16"/>
                <w:szCs w:val="16"/>
              </w:rPr>
              <w:noBreakHyphen/>
              <w:t>term</w:t>
            </w:r>
          </w:p>
        </w:tc>
        <w:tc>
          <w:tcPr>
            <w:tcW w:w="3261" w:type="dxa"/>
            <w:tcBorders>
              <w:top w:val="nil"/>
            </w:tcBorders>
            <w:shd w:val="clear" w:color="auto" w:fill="auto"/>
          </w:tcPr>
          <w:p w14:paraId="081E43C3" w14:textId="77777777" w:rsidR="003178F6" w:rsidRPr="00445908" w:rsidRDefault="003178F6" w:rsidP="002C0138">
            <w:pPr>
              <w:rPr>
                <w:sz w:val="16"/>
                <w:szCs w:val="16"/>
              </w:rPr>
            </w:pPr>
            <w:r w:rsidRPr="00445908">
              <w:rPr>
                <w:sz w:val="16"/>
                <w:szCs w:val="16"/>
              </w:rPr>
              <w:t>Group of 30 individuals recruited in Houston area. Provided single biological samples for analysis.</w:t>
            </w:r>
          </w:p>
        </w:tc>
        <w:tc>
          <w:tcPr>
            <w:tcW w:w="3543" w:type="dxa"/>
            <w:tcBorders>
              <w:top w:val="nil"/>
            </w:tcBorders>
            <w:shd w:val="clear" w:color="auto" w:fill="auto"/>
          </w:tcPr>
          <w:p w14:paraId="0C1A47AA" w14:textId="77777777" w:rsidR="003178F6" w:rsidRPr="00445908" w:rsidRDefault="003178F6" w:rsidP="002C0138">
            <w:pPr>
              <w:rPr>
                <w:sz w:val="16"/>
                <w:szCs w:val="16"/>
              </w:rPr>
            </w:pPr>
            <w:r w:rsidRPr="00445908">
              <w:rPr>
                <w:sz w:val="16"/>
                <w:szCs w:val="16"/>
              </w:rPr>
              <w:t>10 e</w:t>
            </w:r>
            <w:r w:rsidRPr="00445908">
              <w:rPr>
                <w:sz w:val="16"/>
                <w:szCs w:val="16"/>
              </w:rPr>
              <w:noBreakHyphen/>
              <w:t xml:space="preserve">cigarette users (daily for at least 6mo) aged 29y (median); 10 tobacco smokers (nicotine dependent, min 10 cigarettes/day) aged 35y (median); 10 matched controls aged 31y (median). Only 2/30 participants were female. </w:t>
            </w:r>
          </w:p>
        </w:tc>
        <w:tc>
          <w:tcPr>
            <w:tcW w:w="3540" w:type="dxa"/>
            <w:tcBorders>
              <w:top w:val="nil"/>
              <w:right w:val="nil"/>
            </w:tcBorders>
            <w:shd w:val="clear" w:color="auto" w:fill="auto"/>
          </w:tcPr>
          <w:p w14:paraId="673C0498" w14:textId="77777777" w:rsidR="003178F6" w:rsidRPr="00445908" w:rsidRDefault="003178F6" w:rsidP="002C0138">
            <w:pPr>
              <w:rPr>
                <w:sz w:val="16"/>
                <w:szCs w:val="16"/>
              </w:rPr>
            </w:pPr>
            <w:r w:rsidRPr="00445908">
              <w:rPr>
                <w:sz w:val="16"/>
                <w:szCs w:val="16"/>
              </w:rPr>
              <w:t>This work was supported by NCI (3P30CA0125123</w:t>
            </w:r>
            <w:r w:rsidRPr="00445908">
              <w:rPr>
                <w:sz w:val="16"/>
                <w:szCs w:val="16"/>
              </w:rPr>
              <w:noBreakHyphen/>
              <w:t xml:space="preserve">09S1); the Veteran Health Administration (VHA5I01CX000994); and the McNairMedical Institute. This material is partly the result of work supported with resources and the use of facilities at the Michael E. DeBakey VA Medical Center, Houston, TX. </w:t>
            </w:r>
          </w:p>
          <w:p w14:paraId="04893222" w14:textId="451ECEBB" w:rsidR="003178F6" w:rsidRPr="00445908" w:rsidRDefault="003178F6" w:rsidP="002C0138">
            <w:pPr>
              <w:rPr>
                <w:sz w:val="16"/>
                <w:szCs w:val="16"/>
              </w:rPr>
            </w:pPr>
            <w:r w:rsidRPr="00445908">
              <w:rPr>
                <w:sz w:val="16"/>
                <w:szCs w:val="16"/>
              </w:rPr>
              <w:t>The funders had no role in study design, data collection and analysis, decision to publish, or preparation of the manuscript</w:t>
            </w:r>
            <w:r w:rsidR="00AF78AB">
              <w:rPr>
                <w:sz w:val="16"/>
                <w:szCs w:val="16"/>
              </w:rPr>
              <w:t>.</w:t>
            </w:r>
          </w:p>
          <w:p w14:paraId="1E54FFF2" w14:textId="77777777" w:rsidR="003178F6" w:rsidRPr="00445908" w:rsidRDefault="003178F6" w:rsidP="002C0138">
            <w:pPr>
              <w:rPr>
                <w:sz w:val="16"/>
                <w:szCs w:val="16"/>
              </w:rPr>
            </w:pPr>
          </w:p>
        </w:tc>
      </w:tr>
      <w:tr w:rsidR="003178F6" w:rsidRPr="00806100" w14:paraId="7B95115F" w14:textId="77777777" w:rsidTr="002C0138">
        <w:trPr>
          <w:trHeight w:val="567"/>
        </w:trPr>
        <w:tc>
          <w:tcPr>
            <w:tcW w:w="1205" w:type="dxa"/>
            <w:tcBorders>
              <w:top w:val="nil"/>
              <w:left w:val="nil"/>
            </w:tcBorders>
            <w:shd w:val="clear" w:color="auto" w:fill="auto"/>
          </w:tcPr>
          <w:p w14:paraId="1454EB92" w14:textId="77777777" w:rsidR="003178F6" w:rsidRPr="00445908" w:rsidRDefault="003178F6" w:rsidP="002C0138">
            <w:pPr>
              <w:rPr>
                <w:b/>
                <w:sz w:val="16"/>
                <w:szCs w:val="16"/>
              </w:rPr>
            </w:pPr>
            <w:r w:rsidRPr="00445908">
              <w:rPr>
                <w:b/>
                <w:sz w:val="16"/>
                <w:szCs w:val="16"/>
              </w:rPr>
              <w:t>Walele et al. 2018</w:t>
            </w:r>
          </w:p>
        </w:tc>
        <w:tc>
          <w:tcPr>
            <w:tcW w:w="1350" w:type="dxa"/>
            <w:tcBorders>
              <w:top w:val="nil"/>
            </w:tcBorders>
            <w:shd w:val="clear" w:color="auto" w:fill="auto"/>
          </w:tcPr>
          <w:p w14:paraId="18DDF41E" w14:textId="4252F556" w:rsidR="003178F6" w:rsidRPr="00445908" w:rsidRDefault="003178F6" w:rsidP="002C0138">
            <w:pPr>
              <w:rPr>
                <w:sz w:val="16"/>
                <w:szCs w:val="16"/>
              </w:rPr>
            </w:pPr>
            <w:r w:rsidRPr="00445908">
              <w:rPr>
                <w:sz w:val="16"/>
                <w:szCs w:val="16"/>
              </w:rPr>
              <w:t>Prospective cohort study</w:t>
            </w:r>
            <w:r w:rsidR="00AF78AB">
              <w:rPr>
                <w:sz w:val="16"/>
                <w:szCs w:val="16"/>
              </w:rPr>
              <w:t>.</w:t>
            </w:r>
          </w:p>
        </w:tc>
        <w:tc>
          <w:tcPr>
            <w:tcW w:w="1981" w:type="dxa"/>
            <w:tcBorders>
              <w:top w:val="nil"/>
            </w:tcBorders>
            <w:shd w:val="clear" w:color="auto" w:fill="auto"/>
          </w:tcPr>
          <w:p w14:paraId="15EADF98" w14:textId="77777777" w:rsidR="003178F6" w:rsidRPr="00445908" w:rsidRDefault="003178F6" w:rsidP="002C0138">
            <w:pPr>
              <w:rPr>
                <w:sz w:val="16"/>
                <w:szCs w:val="16"/>
              </w:rPr>
            </w:pPr>
            <w:r w:rsidRPr="00445908">
              <w:rPr>
                <w:sz w:val="16"/>
                <w:szCs w:val="16"/>
              </w:rPr>
              <w:t>2 years</w:t>
            </w:r>
          </w:p>
        </w:tc>
        <w:tc>
          <w:tcPr>
            <w:tcW w:w="3261" w:type="dxa"/>
            <w:tcBorders>
              <w:top w:val="nil"/>
            </w:tcBorders>
            <w:shd w:val="clear" w:color="auto" w:fill="auto"/>
          </w:tcPr>
          <w:p w14:paraId="6E9082A3" w14:textId="77777777" w:rsidR="003178F6" w:rsidRPr="00445908" w:rsidRDefault="003178F6" w:rsidP="002C0138">
            <w:pPr>
              <w:rPr>
                <w:sz w:val="16"/>
                <w:szCs w:val="16"/>
              </w:rPr>
            </w:pPr>
            <w:r w:rsidRPr="00445908">
              <w:rPr>
                <w:sz w:val="16"/>
                <w:szCs w:val="16"/>
              </w:rPr>
              <w:t xml:space="preserve">A closed system electronic vapour product (EVP) was used by former smokers of conventional cigarettes (CCs) for 24 months in a real life setting. 209 started. 206 used the product once, 102 (48.8%) went on to use the product for 24 months. 110 were compliant </w:t>
            </w:r>
            <w:r w:rsidRPr="00445908">
              <w:rPr>
                <w:sz w:val="16"/>
                <w:szCs w:val="16"/>
              </w:rPr>
              <w:noBreakHyphen/>
              <w:t xml:space="preserve"> used EVP for 80% of study days. Both male (115, 55%) and female (94, 45%). Completers: 57 male, 45 female. Aged between 21 and 65 years.</w:t>
            </w:r>
          </w:p>
        </w:tc>
        <w:tc>
          <w:tcPr>
            <w:tcW w:w="3543" w:type="dxa"/>
            <w:tcBorders>
              <w:top w:val="nil"/>
            </w:tcBorders>
            <w:shd w:val="clear" w:color="auto" w:fill="auto"/>
          </w:tcPr>
          <w:p w14:paraId="38F09ECD" w14:textId="77777777" w:rsidR="003178F6" w:rsidRPr="00445908" w:rsidRDefault="003178F6" w:rsidP="002C0138">
            <w:pPr>
              <w:rPr>
                <w:sz w:val="16"/>
                <w:szCs w:val="16"/>
              </w:rPr>
            </w:pPr>
            <w:r w:rsidRPr="00445908">
              <w:rPr>
                <w:sz w:val="16"/>
                <w:szCs w:val="16"/>
              </w:rPr>
              <w:t>No control group.</w:t>
            </w:r>
          </w:p>
          <w:p w14:paraId="0208F46B" w14:textId="77777777" w:rsidR="003178F6" w:rsidRPr="00445908" w:rsidRDefault="003178F6" w:rsidP="002C0138">
            <w:pPr>
              <w:rPr>
                <w:sz w:val="16"/>
                <w:szCs w:val="16"/>
              </w:rPr>
            </w:pPr>
            <w:r w:rsidRPr="00445908">
              <w:rPr>
                <w:sz w:val="16"/>
                <w:szCs w:val="16"/>
              </w:rPr>
              <w:t>Compared results of all subjects with EVP compliant subjects (n=110) and completers (n=102).</w:t>
            </w:r>
          </w:p>
        </w:tc>
        <w:tc>
          <w:tcPr>
            <w:tcW w:w="3540" w:type="dxa"/>
            <w:tcBorders>
              <w:top w:val="nil"/>
              <w:right w:val="nil"/>
            </w:tcBorders>
            <w:shd w:val="clear" w:color="auto" w:fill="auto"/>
          </w:tcPr>
          <w:p w14:paraId="2C956D76" w14:textId="77777777" w:rsidR="003178F6" w:rsidRPr="00445908" w:rsidRDefault="003178F6" w:rsidP="002C0138">
            <w:pPr>
              <w:rPr>
                <w:sz w:val="16"/>
                <w:szCs w:val="16"/>
              </w:rPr>
            </w:pPr>
            <w:r w:rsidRPr="00445908">
              <w:rPr>
                <w:sz w:val="16"/>
                <w:szCs w:val="16"/>
              </w:rPr>
              <w:t>Fontem Ventures B.V. Imperial Brands Group plc is the parent company of Fontem Ventures B.V., the manufacturer of the EVP used in this study.</w:t>
            </w:r>
          </w:p>
        </w:tc>
      </w:tr>
      <w:tr w:rsidR="003178F6" w:rsidRPr="00806100" w14:paraId="3F48A73C" w14:textId="77777777" w:rsidTr="002C0138">
        <w:trPr>
          <w:trHeight w:val="567"/>
        </w:trPr>
        <w:tc>
          <w:tcPr>
            <w:tcW w:w="1205" w:type="dxa"/>
            <w:tcBorders>
              <w:left w:val="nil"/>
              <w:bottom w:val="single" w:sz="8" w:space="0" w:color="auto"/>
            </w:tcBorders>
            <w:shd w:val="clear" w:color="auto" w:fill="F2F2F2" w:themeFill="background1" w:themeFillShade="F2"/>
            <w:hideMark/>
          </w:tcPr>
          <w:p w14:paraId="20C861A0" w14:textId="77777777" w:rsidR="003178F6" w:rsidRPr="00445908" w:rsidRDefault="003178F6" w:rsidP="002C0138">
            <w:pPr>
              <w:spacing w:after="0"/>
              <w:rPr>
                <w:rFonts w:eastAsia="Times New Roman"/>
                <w:b/>
                <w:bCs/>
                <w:sz w:val="16"/>
                <w:szCs w:val="16"/>
              </w:rPr>
            </w:pPr>
            <w:r w:rsidRPr="00445908">
              <w:rPr>
                <w:rFonts w:eastAsia="Times New Roman"/>
                <w:b/>
                <w:bCs/>
                <w:sz w:val="16"/>
                <w:szCs w:val="16"/>
              </w:rPr>
              <w:lastRenderedPageBreak/>
              <w:t>Wei et al. 2018</w:t>
            </w:r>
          </w:p>
        </w:tc>
        <w:tc>
          <w:tcPr>
            <w:tcW w:w="1350" w:type="dxa"/>
            <w:tcBorders>
              <w:bottom w:val="single" w:sz="8" w:space="0" w:color="auto"/>
            </w:tcBorders>
            <w:shd w:val="clear" w:color="auto" w:fill="F2F2F2" w:themeFill="background1" w:themeFillShade="F2"/>
            <w:hideMark/>
          </w:tcPr>
          <w:p w14:paraId="4255F132" w14:textId="77777777" w:rsidR="003178F6" w:rsidRPr="00445908" w:rsidRDefault="003178F6" w:rsidP="002C0138">
            <w:pPr>
              <w:spacing w:after="0"/>
              <w:rPr>
                <w:rFonts w:eastAsia="Times New Roman"/>
                <w:sz w:val="16"/>
                <w:szCs w:val="16"/>
              </w:rPr>
            </w:pPr>
            <w:r w:rsidRPr="00445908">
              <w:rPr>
                <w:rFonts w:eastAsia="Times New Roman"/>
                <w:sz w:val="16"/>
                <w:szCs w:val="16"/>
              </w:rPr>
              <w:t>Cross</w:t>
            </w:r>
            <w:r w:rsidRPr="00445908">
              <w:rPr>
                <w:rFonts w:eastAsia="Times New Roman"/>
                <w:sz w:val="16"/>
                <w:szCs w:val="16"/>
              </w:rPr>
              <w:noBreakHyphen/>
              <w:t>sectional analytic</w:t>
            </w:r>
          </w:p>
        </w:tc>
        <w:tc>
          <w:tcPr>
            <w:tcW w:w="1981" w:type="dxa"/>
            <w:tcBorders>
              <w:bottom w:val="single" w:sz="8" w:space="0" w:color="auto"/>
            </w:tcBorders>
            <w:shd w:val="clear" w:color="auto" w:fill="F2F2F2" w:themeFill="background1" w:themeFillShade="F2"/>
            <w:hideMark/>
          </w:tcPr>
          <w:p w14:paraId="7612DC3C" w14:textId="77777777" w:rsidR="003178F6" w:rsidRPr="00445908" w:rsidRDefault="003178F6" w:rsidP="002C0138">
            <w:pPr>
              <w:spacing w:after="0"/>
              <w:rPr>
                <w:rFonts w:eastAsia="Times New Roman"/>
                <w:sz w:val="16"/>
                <w:szCs w:val="16"/>
              </w:rPr>
            </w:pPr>
            <w:r w:rsidRPr="00445908">
              <w:rPr>
                <w:rFonts w:eastAsia="Times New Roman"/>
                <w:sz w:val="16"/>
                <w:szCs w:val="16"/>
              </w:rPr>
              <w:t>Short</w:t>
            </w:r>
            <w:r w:rsidRPr="00445908">
              <w:rPr>
                <w:rFonts w:eastAsia="Times New Roman"/>
                <w:sz w:val="16"/>
                <w:szCs w:val="16"/>
              </w:rPr>
              <w:noBreakHyphen/>
              <w:t>term. NR.</w:t>
            </w:r>
          </w:p>
        </w:tc>
        <w:tc>
          <w:tcPr>
            <w:tcW w:w="3261" w:type="dxa"/>
            <w:tcBorders>
              <w:bottom w:val="single" w:sz="8" w:space="0" w:color="auto"/>
            </w:tcBorders>
            <w:shd w:val="clear" w:color="auto" w:fill="F2F2F2" w:themeFill="background1" w:themeFillShade="F2"/>
            <w:hideMark/>
          </w:tcPr>
          <w:p w14:paraId="4C97D82A" w14:textId="77777777" w:rsidR="003178F6" w:rsidRPr="00445908" w:rsidRDefault="003178F6" w:rsidP="002C0138">
            <w:pPr>
              <w:spacing w:after="0"/>
              <w:rPr>
                <w:rFonts w:eastAsia="Times New Roman"/>
                <w:sz w:val="16"/>
                <w:szCs w:val="16"/>
              </w:rPr>
            </w:pPr>
            <w:r w:rsidRPr="00445908">
              <w:rPr>
                <w:rFonts w:eastAsia="Times New Roman"/>
                <w:sz w:val="16"/>
                <w:szCs w:val="16"/>
              </w:rPr>
              <w:t>Participants of the National Health and Nutrition Examination Surveys (NHANES) from 2013 to 2014. N=1572. Male non user 534/1201, Male cigarette user, 170/298, male cigar user 18/22, male e</w:t>
            </w:r>
            <w:r w:rsidRPr="00445908">
              <w:rPr>
                <w:rFonts w:eastAsia="Times New Roman"/>
                <w:sz w:val="16"/>
                <w:szCs w:val="16"/>
              </w:rPr>
              <w:noBreakHyphen/>
              <w:t>cigarette user 8/14, male user of smokeless tobacco products 15/15. Mean age NR.</w:t>
            </w:r>
          </w:p>
        </w:tc>
        <w:tc>
          <w:tcPr>
            <w:tcW w:w="3543" w:type="dxa"/>
            <w:tcBorders>
              <w:bottom w:val="single" w:sz="8" w:space="0" w:color="auto"/>
            </w:tcBorders>
            <w:shd w:val="clear" w:color="auto" w:fill="F2F2F2" w:themeFill="background1" w:themeFillShade="F2"/>
            <w:hideMark/>
          </w:tcPr>
          <w:p w14:paraId="784CB286" w14:textId="3BD1CF45" w:rsidR="003178F6" w:rsidRPr="00445908" w:rsidRDefault="003178F6" w:rsidP="002C0138">
            <w:pPr>
              <w:spacing w:after="0"/>
              <w:rPr>
                <w:rFonts w:eastAsia="Times New Roman"/>
                <w:sz w:val="16"/>
                <w:szCs w:val="16"/>
              </w:rPr>
            </w:pPr>
            <w:r w:rsidRPr="00445908">
              <w:rPr>
                <w:rFonts w:eastAsia="Times New Roman"/>
                <w:sz w:val="16"/>
                <w:szCs w:val="16"/>
              </w:rPr>
              <w:t>Compared groups such as non users (if not using tobacco or nicotine products within 5 days prior to the NHANES examination), exclusive e</w:t>
            </w:r>
            <w:r w:rsidRPr="00445908">
              <w:rPr>
                <w:rFonts w:eastAsia="Times New Roman"/>
                <w:sz w:val="16"/>
                <w:szCs w:val="16"/>
              </w:rPr>
              <w:noBreakHyphen/>
              <w:t>cigarette</w:t>
            </w:r>
            <w:r w:rsidR="008146F9">
              <w:rPr>
                <w:rFonts w:eastAsia="Times New Roman"/>
                <w:sz w:val="16"/>
                <w:szCs w:val="16"/>
              </w:rPr>
              <w:t xml:space="preserve"> </w:t>
            </w:r>
            <w:r w:rsidRPr="00445908">
              <w:rPr>
                <w:rFonts w:eastAsia="Times New Roman"/>
                <w:sz w:val="16"/>
                <w:szCs w:val="16"/>
              </w:rPr>
              <w:t>users, exclusive cigarette smokers, exclusive cigar smokers and exclusive users of smokeless tobacco products (if using such products within the five days prior to examination).</w:t>
            </w:r>
          </w:p>
        </w:tc>
        <w:tc>
          <w:tcPr>
            <w:tcW w:w="3540" w:type="dxa"/>
            <w:tcBorders>
              <w:bottom w:val="single" w:sz="8" w:space="0" w:color="auto"/>
              <w:right w:val="nil"/>
            </w:tcBorders>
            <w:shd w:val="clear" w:color="auto" w:fill="F2F2F2" w:themeFill="background1" w:themeFillShade="F2"/>
            <w:hideMark/>
          </w:tcPr>
          <w:p w14:paraId="3169B4C5" w14:textId="77777777" w:rsidR="003178F6" w:rsidRPr="00445908" w:rsidRDefault="003178F6" w:rsidP="002C0138">
            <w:pPr>
              <w:spacing w:after="0"/>
              <w:rPr>
                <w:rFonts w:eastAsia="Times New Roman"/>
                <w:sz w:val="16"/>
                <w:szCs w:val="16"/>
              </w:rPr>
            </w:pPr>
            <w:r w:rsidRPr="00445908">
              <w:rPr>
                <w:rFonts w:eastAsia="Times New Roman"/>
                <w:sz w:val="16"/>
                <w:szCs w:val="16"/>
              </w:rPr>
              <w:t>NR.</w:t>
            </w:r>
            <w:r w:rsidRPr="00445908">
              <w:rPr>
                <w:rFonts w:eastAsia="Times New Roman"/>
                <w:sz w:val="16"/>
                <w:szCs w:val="16"/>
              </w:rPr>
              <w:br/>
              <w:t xml:space="preserve"> The NHANES is a study conducted by the National Center for Health Statistics (NCHS) and the US Centers for Disease Control and Prevention (CDC). </w:t>
            </w:r>
            <w:r w:rsidRPr="00445908">
              <w:rPr>
                <w:rFonts w:eastAsia="Times New Roman"/>
                <w:sz w:val="16"/>
                <w:szCs w:val="16"/>
              </w:rPr>
              <w:br/>
              <w:t>One researcher reported receiving a research grant from Pfizer and being a member of an advisory board to Johnson &amp; Johnson.</w:t>
            </w:r>
          </w:p>
        </w:tc>
      </w:tr>
    </w:tbl>
    <w:p w14:paraId="61446F14" w14:textId="77777777" w:rsidR="003178F6" w:rsidRPr="00AF6786" w:rsidRDefault="003178F6" w:rsidP="003178F6">
      <w:pPr>
        <w:pStyle w:val="BodyText"/>
      </w:pPr>
    </w:p>
    <w:p w14:paraId="19663AA5" w14:textId="77777777" w:rsidR="003178F6" w:rsidRDefault="003178F6" w:rsidP="003178F6">
      <w:pPr>
        <w:pStyle w:val="Heading1"/>
        <w:ind w:left="1134" w:hanging="1134"/>
        <w:sectPr w:rsidR="003178F6" w:rsidSect="003178F6">
          <w:type w:val="evenPage"/>
          <w:pgSz w:w="16838" w:h="11906" w:orient="landscape" w:code="9"/>
          <w:pgMar w:top="1134" w:right="1134" w:bottom="1134" w:left="1134" w:header="510" w:footer="624" w:gutter="0"/>
          <w:cols w:space="850"/>
          <w:docGrid w:linePitch="360"/>
        </w:sectPr>
      </w:pPr>
    </w:p>
    <w:bookmarkStart w:id="204" w:name="_Toc517706713" w:displacedByCustomXml="next"/>
    <w:sdt>
      <w:sdtPr>
        <w:rPr>
          <w:b w:val="0"/>
          <w:color w:val="000000"/>
          <w:sz w:val="24"/>
        </w:rPr>
        <w:id w:val="1994288117"/>
        <w:docPartObj>
          <w:docPartGallery w:val="Cover Pages"/>
          <w:docPartUnique/>
        </w:docPartObj>
      </w:sdtPr>
      <w:sdtEndPr/>
      <w:sdtContent>
        <w:p w14:paraId="01E48065" w14:textId="77777777" w:rsidR="000E2E72" w:rsidRPr="008F64BD" w:rsidRDefault="007803D1" w:rsidP="00A96BC4">
          <w:pPr>
            <w:pStyle w:val="PartTitle"/>
          </w:pPr>
          <w:r>
            <w:t>PART</w:t>
          </w:r>
          <w:r w:rsidR="000E2E72">
            <w:t xml:space="preserve"> 5: Potential for e</w:t>
          </w:r>
          <w:r w:rsidR="00A96BC4">
            <w:noBreakHyphen/>
          </w:r>
          <w:r w:rsidR="000E2E72">
            <w:t>cigarettes and personal vaporisers</w:t>
          </w:r>
          <w:r w:rsidR="000E2E72" w:rsidRPr="008F64BD">
            <w:t xml:space="preserve"> </w:t>
          </w:r>
          <w:r w:rsidR="000E2E72">
            <w:t>to reduce rates of smoking in Australia</w:t>
          </w:r>
          <w:bookmarkEnd w:id="204"/>
        </w:p>
        <w:p w14:paraId="361E5BDD" w14:textId="77777777" w:rsidR="000E2E72" w:rsidRDefault="000E2E72" w:rsidP="000E2E72">
          <w:pPr>
            <w:pStyle w:val="BodyText"/>
          </w:pPr>
          <w:r>
            <w:br w:type="page"/>
          </w:r>
        </w:p>
      </w:sdtContent>
    </w:sdt>
    <w:p w14:paraId="45B6F777" w14:textId="77777777" w:rsidR="000E2E72" w:rsidRDefault="000E2E72" w:rsidP="000E2E72">
      <w:pPr>
        <w:pStyle w:val="Heading1notnumbered"/>
      </w:pPr>
      <w:bookmarkStart w:id="205" w:name="_Toc515226672"/>
      <w:bookmarkStart w:id="206" w:name="_Toc517706714"/>
      <w:r>
        <w:lastRenderedPageBreak/>
        <w:t>Executive summary</w:t>
      </w:r>
      <w:bookmarkEnd w:id="205"/>
      <w:bookmarkEnd w:id="206"/>
    </w:p>
    <w:p w14:paraId="17407A55" w14:textId="77777777" w:rsidR="00FE6A89" w:rsidRDefault="00FE6A89" w:rsidP="00FE6A89">
      <w:pPr>
        <w:pStyle w:val="BodyText"/>
      </w:pPr>
      <w:r>
        <w:t xml:space="preserve">The prevalence of regular smoking in Australia has been declining since at least 1945, from very high levels, particularly in men. The most recent national data indicates that 14% of Australian adults are current regular smokers. </w:t>
      </w:r>
    </w:p>
    <w:p w14:paraId="1FA1CA26" w14:textId="77777777" w:rsidR="00FE6A89" w:rsidRDefault="00FE6A89" w:rsidP="00FE6A89">
      <w:pPr>
        <w:pStyle w:val="BodyText"/>
      </w:pPr>
      <w:r>
        <w:t>E</w:t>
      </w:r>
      <w:r>
        <w:noBreakHyphen/>
        <w:t>cigarette use in Australia has generally increased from 2013 and 2016, however current regular use has a prevalence below 8% amongst all adolescent and adult age groups. Among ‘ever users’ of e</w:t>
      </w:r>
      <w:r>
        <w:noBreakHyphen/>
        <w:t>cigarettes, the largest percentage is people who have used e</w:t>
      </w:r>
      <w:r>
        <w:noBreakHyphen/>
        <w:t>cigarettes only once or twice. This group is larger than current users and ex</w:t>
      </w:r>
      <w:r>
        <w:noBreakHyphen/>
        <w:t>users for all age groups, but is particularly large in adolescents and younger adults. E</w:t>
      </w:r>
      <w:r>
        <w:noBreakHyphen/>
        <w:t xml:space="preserve">cigarette use beyond once or twice is very uncommon amongst people who are not current or ex cigarette smokers. </w:t>
      </w:r>
    </w:p>
    <w:p w14:paraId="1CD4E148" w14:textId="77777777" w:rsidR="00FE6A89" w:rsidRDefault="00FE6A89" w:rsidP="00FE6A89">
      <w:pPr>
        <w:pStyle w:val="BodyText"/>
      </w:pPr>
      <w:r>
        <w:t>The most common reason for using e</w:t>
      </w:r>
      <w:r>
        <w:noBreakHyphen/>
        <w:t xml:space="preserve">cigarettes among adolescents and younger adults is ‘out of curiosity’, while among older adults the reasons for use are more likely to be related to tobacco smoking (to cease smoking, to reduce the number of cigarettes smoked, or to avoid recommencing smoking). </w:t>
      </w:r>
    </w:p>
    <w:p w14:paraId="2DD359F4" w14:textId="77777777" w:rsidR="00FE6A89" w:rsidRDefault="00FE6A89" w:rsidP="00FE6A89">
      <w:pPr>
        <w:pStyle w:val="BodyText"/>
      </w:pPr>
      <w:r>
        <w:t>E</w:t>
      </w:r>
      <w:r>
        <w:noBreakHyphen/>
        <w:t>cigarettes are stated to be the preferred smoking cessation method for smokers wishing to cease smoking or to cut down on smoking. Nicotine containing e</w:t>
      </w:r>
      <w:r>
        <w:noBreakHyphen/>
        <w:t>cigarettes have been shown to be effective at reducing the withdrawal symptoms of smokers who have abstained from cigarettes for a short period, and more effective than non</w:t>
      </w:r>
      <w:r>
        <w:noBreakHyphen/>
        <w:t>nicotine e</w:t>
      </w:r>
      <w:r>
        <w:noBreakHyphen/>
        <w:t>cigarettes or nothing at reducing the number of cigarettes smoked by smokers wanting to reduce smoking or to quit.</w:t>
      </w:r>
    </w:p>
    <w:p w14:paraId="202EB478" w14:textId="77777777" w:rsidR="00FE6A89" w:rsidRDefault="00FE6A89" w:rsidP="00FE6A89">
      <w:pPr>
        <w:pStyle w:val="BodyText"/>
      </w:pPr>
      <w:r>
        <w:t>There is insufficient information about the effectiveness of e</w:t>
      </w:r>
      <w:r>
        <w:noBreakHyphen/>
        <w:t>cigarettes for smoking cessation compared to other smoking cessation methods. Such evidence should compare methods over an appropriate period of time with the aim being to cease both smoking and the cessation method used. This information is critical to assess the potential for e</w:t>
      </w:r>
      <w:r>
        <w:noBreakHyphen/>
        <w:t xml:space="preserve">cigarettes to reduce the smoking rate in Australia. </w:t>
      </w:r>
    </w:p>
    <w:p w14:paraId="3ACE165E" w14:textId="77777777" w:rsidR="00FE6A89" w:rsidRDefault="00FE6A89" w:rsidP="00FE6A89">
      <w:pPr>
        <w:pStyle w:val="BodyText"/>
      </w:pPr>
      <w:r>
        <w:t>While it is plausible that e</w:t>
      </w:r>
      <w:r>
        <w:noBreakHyphen/>
        <w:t>cigarettes could increase the smoking rate among people who are not currently tobacco smokers, the evidence for this to occur in Australia to any great extent is not compelling in the current context. However, there are clear similarities between e</w:t>
      </w:r>
      <w:r>
        <w:noBreakHyphen/>
        <w:t>cigarette use and regular cigarette use, and if regular e</w:t>
      </w:r>
      <w:r>
        <w:noBreakHyphen/>
        <w:t xml:space="preserve">cigarette use were to become more widespread, there is at least potential to undermine the progress to decrease the use of tobacco products. However, it is difficult to assess whether social ‘normalisation’ of personal devices for inhaling vapour would impact acceptance of cigarette smoking, or regulations to discourage the smoking of cigarettes. </w:t>
      </w:r>
    </w:p>
    <w:p w14:paraId="0F3CE586" w14:textId="45145BFB" w:rsidR="00FE6A89" w:rsidRDefault="00FE6A89" w:rsidP="00FE6A89">
      <w:pPr>
        <w:pStyle w:val="BodyText"/>
      </w:pPr>
      <w:r>
        <w:t>It is reasonable to consider the potential impact of e</w:t>
      </w:r>
      <w:r>
        <w:noBreakHyphen/>
        <w:t>cigarettes among groups that have a high prevalence of smoking, such as Indigenous Australians or people from a socially disadvantaged background. Unfortunately there is a paucity of information among such groups, and development of effective smoking cessation methods amongst such groups should be a priority.</w:t>
      </w:r>
      <w:r w:rsidR="008146F9">
        <w:t xml:space="preserve"> </w:t>
      </w:r>
    </w:p>
    <w:p w14:paraId="2E3E0332" w14:textId="77777777" w:rsidR="000E2E72" w:rsidRDefault="000E2E72" w:rsidP="000E2E72">
      <w:pPr>
        <w:pStyle w:val="BodyText"/>
      </w:pPr>
    </w:p>
    <w:p w14:paraId="1C0D73E0" w14:textId="77777777" w:rsidR="000E2E72" w:rsidRPr="00D0314F" w:rsidRDefault="000E2E72" w:rsidP="00D0314F">
      <w:pPr>
        <w:pStyle w:val="Heading1"/>
      </w:pPr>
      <w:bookmarkStart w:id="207" w:name="_Toc515226673"/>
      <w:bookmarkStart w:id="208" w:name="_Toc517706715"/>
      <w:r w:rsidRPr="00D0314F">
        <w:lastRenderedPageBreak/>
        <w:t>Introduction</w:t>
      </w:r>
      <w:bookmarkEnd w:id="207"/>
      <w:bookmarkEnd w:id="208"/>
      <w:r w:rsidRPr="00D0314F">
        <w:t xml:space="preserve"> </w:t>
      </w:r>
    </w:p>
    <w:p w14:paraId="4B2322A1" w14:textId="0A748394" w:rsidR="00FE6A89" w:rsidRPr="00ED0CB8" w:rsidRDefault="001F6DB6" w:rsidP="00FE6A89">
      <w:pPr>
        <w:pStyle w:val="BodyText"/>
      </w:pPr>
      <w:r>
        <w:t>T</w:t>
      </w:r>
      <w:r w:rsidR="00FE6A89">
        <w:t xml:space="preserve">his section </w:t>
      </w:r>
      <w:r>
        <w:t>responds to the assigned task ‘to i</w:t>
      </w:r>
      <w:r w:rsidRPr="001F6DB6">
        <w:t>dentify any potential for e-cigarettes to reduce rates of smoking in Australia</w:t>
      </w:r>
      <w:r>
        <w:t>’</w:t>
      </w:r>
      <w:r w:rsidRPr="001F6DB6">
        <w:t xml:space="preserve">. </w:t>
      </w:r>
      <w:r w:rsidR="00FE6A89">
        <w:t xml:space="preserve">The information summarised in other </w:t>
      </w:r>
      <w:r>
        <w:t>pa</w:t>
      </w:r>
      <w:r w:rsidR="00FE6A89">
        <w:t xml:space="preserve">rts in this </w:t>
      </w:r>
      <w:r>
        <w:t>report</w:t>
      </w:r>
      <w:r w:rsidR="00FE6A89">
        <w:t xml:space="preserve"> are relevant to Australia, as is the context in which smoking and e</w:t>
      </w:r>
      <w:r w:rsidR="00FE6A89">
        <w:noBreakHyphen/>
        <w:t>cigarette use occurs. Therefore this report includes an examination of the data on e</w:t>
      </w:r>
      <w:r w:rsidR="00FE6A89">
        <w:noBreakHyphen/>
        <w:t>cigarette use in the Austra</w:t>
      </w:r>
      <w:r>
        <w:t>lian context, and also trends for conventional</w:t>
      </w:r>
      <w:r w:rsidR="00FE6A89">
        <w:t xml:space="preserve"> smoking in Australia. </w:t>
      </w:r>
      <w:r>
        <w:t>A summary is provided of the funding that the Australian National Health and Medical Research Council has provided for research studies relevant to the use of e-cigarettes that are yet to be completed.</w:t>
      </w:r>
      <w:r w:rsidR="008146F9">
        <w:t xml:space="preserve"> </w:t>
      </w:r>
    </w:p>
    <w:p w14:paraId="1DF4548E" w14:textId="77777777" w:rsidR="000E2E72" w:rsidRDefault="000E2E72" w:rsidP="000E2E72">
      <w:pPr>
        <w:pStyle w:val="BodyText"/>
      </w:pPr>
    </w:p>
    <w:p w14:paraId="415C8BCD" w14:textId="77777777" w:rsidR="000E2E72" w:rsidRDefault="000E2E72" w:rsidP="000E2E72">
      <w:pPr>
        <w:pStyle w:val="Heading1"/>
      </w:pPr>
      <w:bookmarkStart w:id="209" w:name="_Toc515226674"/>
      <w:bookmarkStart w:id="210" w:name="_Toc517706716"/>
      <w:r>
        <w:lastRenderedPageBreak/>
        <w:t>Use of e-cigarettes in Australia</w:t>
      </w:r>
      <w:bookmarkEnd w:id="209"/>
      <w:bookmarkEnd w:id="210"/>
    </w:p>
    <w:p w14:paraId="166C0480" w14:textId="77777777" w:rsidR="00FE6A89" w:rsidRDefault="00FE6A89" w:rsidP="00FE6A89">
      <w:pPr>
        <w:pStyle w:val="Heading2"/>
        <w:ind w:left="1134" w:hanging="1134"/>
      </w:pPr>
      <w:bookmarkStart w:id="211" w:name="_Toc516580161"/>
      <w:bookmarkStart w:id="212" w:name="_Toc517706717"/>
      <w:r>
        <w:t>Prevalence of e</w:t>
      </w:r>
      <w:r>
        <w:noBreakHyphen/>
        <w:t>cigarette use in Australia</w:t>
      </w:r>
      <w:bookmarkEnd w:id="211"/>
      <w:bookmarkEnd w:id="212"/>
    </w:p>
    <w:p w14:paraId="48F571D9" w14:textId="77777777" w:rsidR="00FE6A89" w:rsidRDefault="00FE6A89" w:rsidP="00FE6A89">
      <w:pPr>
        <w:pStyle w:val="BodyText"/>
      </w:pPr>
      <w:r>
        <w:t xml:space="preserve">Williams et al </w:t>
      </w:r>
      <w:r>
        <w:fldChar w:fldCharType="begin"/>
      </w:r>
      <w:r w:rsidR="00903735">
        <w:instrText xml:space="preserve"> ADDIN EN.CITE &lt;EndNote&gt;&lt;Cite&gt;&lt;Author&gt;Williams&lt;/Author&gt;&lt;Year&gt;2018&lt;/Year&gt;&lt;RecNum&gt;132&lt;/RecNum&gt;&lt;DisplayText&gt;(Williams and White 2018)&lt;/DisplayText&gt;&lt;record&gt;&lt;rec-number&gt;132&lt;/rec-number&gt;&lt;foreign-keys&gt;&lt;key app="EN" db-id="5xv5w5t2bdxtxfezx02xtxdft5rz5ptvvt29" timestamp="1520568414"&gt;132&lt;/key&gt;&lt;key app="ENWeb" db-id=""&gt;0&lt;/key&gt;&lt;/foreign-keys&gt;&lt;ref-type name="Journal Article"&gt;17&lt;/ref-type&gt;&lt;contributors&gt;&lt;authors&gt;&lt;author&gt;Williams, T.&lt;/author&gt;&lt;author&gt;White, V.&lt;/author&gt;&lt;/authors&gt;&lt;/contributors&gt;&lt;auth-address&gt;a Centre for Behavioural Research in Cancer , Cancer Council Victoria, Melbourne , Australia.&amp;#xD;b School of Psychology , Deakin University , Geelong , Australia.&lt;/auth-address&gt;&lt;titles&gt;&lt;title&gt;What Factors are Associated with Electronic Cigarette, Shisha-Tobacco and Conventional Cigarette Use? Findings from a Cross-Sectional Survey of Australian Adolescents?&lt;/title&gt;&lt;secondary-title&gt;Subst Use Misuse&lt;/secondary-title&gt;&lt;alt-title&gt;Substance use &amp;amp; misuse&lt;/alt-title&gt;&lt;/titles&gt;&lt;periodical&gt;&lt;full-title&gt;Subst Use Misuse&lt;/full-title&gt;&lt;abbr-1&gt;Substance use &amp;amp; misuse&lt;/abbr-1&gt;&lt;/periodical&gt;&lt;alt-periodical&gt;&lt;full-title&gt;Subst Use Misuse&lt;/full-title&gt;&lt;abbr-1&gt;Substance use &amp;amp; misuse&lt;/abbr-1&gt;&lt;/alt-periodical&gt;&lt;pages&gt;1-11&lt;/pages&gt;&lt;edition&gt;2018/01/18&lt;/edition&gt;&lt;keywords&gt;&lt;keyword&gt;Australia&lt;/keyword&gt;&lt;keyword&gt;Tobacco&lt;/keyword&gt;&lt;keyword&gt;adolescents&lt;/keyword&gt;&lt;keyword&gt;electronic cigarettes&lt;/keyword&gt;&lt;keyword&gt;hookah&lt;/keyword&gt;&lt;keyword&gt;shisha&lt;/keyword&gt;&lt;/keywords&gt;&lt;dates&gt;&lt;year&gt;2018&lt;/year&gt;&lt;pub-dates&gt;&lt;date&gt;Jan 16&lt;/date&gt;&lt;/pub-dates&gt;&lt;/dates&gt;&lt;isbn&gt;1082-6084&lt;/isbn&gt;&lt;accession-num&gt;29336657&lt;/accession-num&gt;&lt;urls&gt;&lt;related-urls&gt;&lt;url&gt;https://www.tandfonline.com/doi/pdf/10.1080/10826084.2017.1411367?needAccess=true&lt;/url&gt;&lt;/related-urls&gt;&lt;/urls&gt;&lt;electronic-resource-num&gt;10.1080/10826084.2017.1411367&lt;/electronic-resource-num&gt;&lt;remote-database-provider&gt;NLM&lt;/remote-database-provider&gt;&lt;language&gt;eng&lt;/language&gt;&lt;/record&gt;&lt;/Cite&gt;&lt;/EndNote&gt;</w:instrText>
      </w:r>
      <w:r>
        <w:fldChar w:fldCharType="separate"/>
      </w:r>
      <w:r>
        <w:rPr>
          <w:noProof/>
        </w:rPr>
        <w:t>(Williams and White 2018)</w:t>
      </w:r>
      <w:r>
        <w:fldChar w:fldCharType="end"/>
      </w:r>
      <w:r>
        <w:t xml:space="preserve"> analysed data from the </w:t>
      </w:r>
      <w:r w:rsidRPr="00FF2069">
        <w:t>Australian Secondary Schools Alcohol and Drug survey</w:t>
      </w:r>
      <w:r>
        <w:t xml:space="preserve"> collected from June to December 2014 but restricted their analysis to one state (Victoria). Based on 4,576 adolescents aged 12 to 17 years, they reported a prevalence of 14% ever</w:t>
      </w:r>
      <w:r>
        <w:noBreakHyphen/>
        <w:t>use of e</w:t>
      </w:r>
      <w:r>
        <w:noBreakHyphen/>
        <w:t>cigarettes and 13% ever</w:t>
      </w:r>
      <w:r>
        <w:noBreakHyphen/>
        <w:t>use of shisha tobacco with most students using e</w:t>
      </w:r>
      <w:r>
        <w:noBreakHyphen/>
        <w:t>cigarettes in combination with conventional cigarettes.</w:t>
      </w:r>
    </w:p>
    <w:p w14:paraId="0B1D7963" w14:textId="77777777" w:rsidR="00FE6A89" w:rsidRDefault="00FE6A89" w:rsidP="00FE6A89">
      <w:pPr>
        <w:pStyle w:val="BodyText"/>
      </w:pPr>
    </w:p>
    <w:p w14:paraId="04C67F7E" w14:textId="77777777" w:rsidR="00FE6A89" w:rsidRDefault="00FE6A89" w:rsidP="00FE6A89">
      <w:pPr>
        <w:pStyle w:val="BodyText"/>
      </w:pPr>
      <w:r>
        <w:t xml:space="preserve">In 2016/17, Musk et al </w:t>
      </w:r>
      <w:r>
        <w:fldChar w:fldCharType="begin"/>
      </w:r>
      <w:r w:rsidR="00903735">
        <w:instrText xml:space="preserve"> ADDIN EN.CITE &lt;EndNote&gt;&lt;Cite&gt;&lt;Author&gt;Musk&lt;/Author&gt;&lt;Year&gt;2018&lt;/Year&gt;&lt;RecNum&gt;13428&lt;/RecNum&gt;&lt;DisplayText&gt;(Musk 2018)&lt;/DisplayText&gt;&lt;record&gt;&lt;rec-number&gt;13428&lt;/rec-number&gt;&lt;foreign-keys&gt;&lt;key app="EN" db-id="5xv5w5t2bdxtxfezx02xtxdft5rz5ptvvt29" timestamp="1526263689"&gt;13428&lt;/key&gt;&lt;/foreign-keys&gt;&lt;ref-type name="Journal Article"&gt;17&lt;/ref-type&gt;&lt;contributors&gt;&lt;authors&gt;&lt;author&gt;Musk, B, Hunter M, Larcombe A, Hui J, James A. &lt;/author&gt;&lt;/authors&gt;&lt;/contributors&gt;&lt;titles&gt;&lt;title&gt;Electronic cigarette awareness, use and perception of harmfulness in middle-aged adults: the Bussleton Baby Boomer Study  &lt;/title&gt;&lt;secondary-title&gt;Respirology&lt;/secondary-title&gt;&lt;/titles&gt;&lt;periodical&gt;&lt;full-title&gt;Respirology&lt;/full-title&gt;&lt;abbr-1&gt;Respirology (Carlton, Vic.)&lt;/abbr-1&gt;&lt;/periodical&gt;&lt;pages&gt;171&lt;/pages&gt;&lt;volume&gt;23&lt;/volume&gt;&lt;number&gt;Suppl 1&lt;/number&gt;&lt;section&gt;171&lt;/section&gt;&lt;dates&gt;&lt;year&gt;2018&lt;/year&gt;&lt;/dates&gt;&lt;work-type&gt;conference abstract&lt;/work-type&gt;&lt;urls&gt;&lt;/urls&gt;&lt;/record&gt;&lt;/Cite&gt;&lt;/EndNote&gt;</w:instrText>
      </w:r>
      <w:r>
        <w:fldChar w:fldCharType="separate"/>
      </w:r>
      <w:r>
        <w:rPr>
          <w:noProof/>
        </w:rPr>
        <w:t>(Musk 2018)</w:t>
      </w:r>
      <w:r>
        <w:fldChar w:fldCharType="end"/>
      </w:r>
      <w:r>
        <w:t xml:space="preserve"> surveyed 812 adults aged 51</w:t>
      </w:r>
      <w:r>
        <w:noBreakHyphen/>
        <w:t>71 years as part of the Busselton Baby Boomers Study. Of the current smokers, 30% had tried e</w:t>
      </w:r>
      <w:r>
        <w:noBreakHyphen/>
        <w:t>cigarettes however only 3% were current or recent users (in the last 30 days). Of the responders, 46.6% were never smokers, 48.5% were ex</w:t>
      </w:r>
      <w:r>
        <w:noBreakHyphen/>
        <w:t>smokers, and 4.9% were current smokers. Over 60% of the sample felt they did not know enough about e</w:t>
      </w:r>
      <w:r>
        <w:noBreakHyphen/>
        <w:t>cigarettes to say whether they were more or less harmful than tobacco cigarettes, however 15% believed that e</w:t>
      </w:r>
      <w:r>
        <w:noBreakHyphen/>
        <w:t>cigarettes were equally or more harmful than conventional cigarettes.</w:t>
      </w:r>
    </w:p>
    <w:p w14:paraId="4E15C4E9" w14:textId="77777777" w:rsidR="00FE6A89" w:rsidRDefault="00FE6A89" w:rsidP="00FE6A89">
      <w:pPr>
        <w:pStyle w:val="BodyText"/>
      </w:pPr>
    </w:p>
    <w:p w14:paraId="34300B11" w14:textId="77777777" w:rsidR="00FE6A89" w:rsidRDefault="00FE6A89" w:rsidP="00FE6A89">
      <w:pPr>
        <w:pStyle w:val="BodyText"/>
      </w:pPr>
      <w:r>
        <w:t xml:space="preserve">Bonevski et al </w:t>
      </w:r>
      <w:r>
        <w:fldChar w:fldCharType="begin"/>
      </w:r>
      <w:r>
        <w:instrText xml:space="preserve"> ADDIN EN.CITE &lt;EndNote&gt;&lt;Cite&gt;&lt;Author&gt;Bonevski&lt;/Author&gt;&lt;Year&gt;2017&lt;/Year&gt;&lt;RecNum&gt;1860&lt;/RecNum&gt;&lt;DisplayText&gt;(Bonevski, Guillaumier et al. 2017)&lt;/DisplayText&gt;&lt;record&gt;&lt;rec-number&gt;1860&lt;/rec-number&gt;&lt;foreign-keys&gt;&lt;key app="EN" db-id="9z05dz0praadfuee0zoxzedk9zfe5fxx50z5" timestamp="1521507190"&gt;1860&lt;/key&gt;&lt;key app="ENWeb" db-id=""&gt;0&lt;/key&gt;&lt;/foreign-keys&gt;&lt;ref-type name="Journal Article"&gt;17&lt;/ref-type&gt;&lt;contributors&gt;&lt;authors&gt;&lt;author&gt;Bonevski, Billie&lt;/author&gt;&lt;author&gt;Guillaumier, Ashleigh&lt;/author&gt;&lt;author&gt;Skelton, Eliza&lt;/author&gt;&lt;author&gt;Shakeshaft, Anthony&lt;/author&gt;&lt;author&gt;Farrell, Michael&lt;/author&gt;&lt;author&gt;Tzelepis, Flora&lt;/author&gt;&lt;author&gt;Dunlop, Adrian J.&lt;/author&gt;&lt;author&gt;Paul, Chris&lt;/author&gt;&lt;author&gt;D&amp;apos;Este, Catherine&lt;/author&gt;&lt;/authors&gt;&lt;/contributors&gt;&lt;titles&gt;&lt;title&gt;Alcohol and other drug treatment client perceptions of electronic cigarette use, safety and harm reduction&lt;/title&gt;&lt;secondary-title&gt;Drug and Alcohol Review&lt;/secondary-title&gt;&lt;/titles&gt;&lt;periodical&gt;&lt;full-title&gt;Drug and Alcohol Review&lt;/full-title&gt;&lt;/periodical&gt;&lt;pages&gt;22-22&lt;/pages&gt;&lt;volume&gt;36&lt;/volume&gt;&lt;dates&gt;&lt;year&gt;2017&lt;/year&gt;&lt;pub-dates&gt;&lt;date&gt;Nov&lt;/date&gt;&lt;/pub-dates&gt;&lt;/dates&gt;&lt;isbn&gt;0959-5236&lt;/isbn&gt;&lt;accession-num&gt;WOS:000424000500052&lt;/accession-num&gt;&lt;urls&gt;&lt;related-urls&gt;&lt;url&gt;&amp;lt;Go to ISI&amp;gt;://WOS:000424000500052&lt;/url&gt;&lt;/related-urls&gt;&lt;/urls&gt;&lt;/record&gt;&lt;/Cite&gt;&lt;/EndNote&gt;</w:instrText>
      </w:r>
      <w:r>
        <w:fldChar w:fldCharType="separate"/>
      </w:r>
      <w:r>
        <w:rPr>
          <w:noProof/>
        </w:rPr>
        <w:t>(Bonevski, Guillaumier et al. 2017)</w:t>
      </w:r>
      <w:r>
        <w:fldChar w:fldCharType="end"/>
      </w:r>
      <w:r>
        <w:t xml:space="preserve"> surveyed 427 people at substance use centres by telephone and reported 39% ‘ever use’ of e</w:t>
      </w:r>
      <w:r>
        <w:noBreakHyphen/>
        <w:t>cigarettes and that 70% had used them to try to stop smoking.</w:t>
      </w:r>
    </w:p>
    <w:p w14:paraId="32255EA6" w14:textId="77777777" w:rsidR="00FE6A89" w:rsidRPr="00985CA5" w:rsidRDefault="00FE6A89" w:rsidP="00FE6A89">
      <w:pPr>
        <w:pStyle w:val="BodyText"/>
      </w:pPr>
    </w:p>
    <w:p w14:paraId="5EACC71E" w14:textId="77777777" w:rsidR="00FE6A89" w:rsidRDefault="00FE6A89" w:rsidP="00FE6A89">
      <w:pPr>
        <w:pStyle w:val="BodyText"/>
      </w:pPr>
      <w:r>
        <w:t xml:space="preserve">The 2016 National Drug Strategy Household Survey </w:t>
      </w:r>
      <w:r>
        <w:fldChar w:fldCharType="begin"/>
      </w:r>
      <w:r>
        <w:instrText xml:space="preserve"> ADDIN EN.CITE &lt;EndNote&gt;&lt;Cite&gt;&lt;Author&gt;AIHW&lt;/Author&gt;&lt;Year&gt;2017&lt;/Year&gt;&lt;RecNum&gt;17000&lt;/RecNum&gt;&lt;DisplayText&gt;(AIHW 2017)&lt;/DisplayText&gt;&lt;record&gt;&lt;rec-number&gt;17000&lt;/rec-number&gt;&lt;foreign-keys&gt;&lt;key app="EN" db-id="5xv5w5t2bdxtxfezx02xtxdft5rz5ptvvt29" timestamp="1527416262"&gt;17000&lt;/key&gt;&lt;/foreign-keys&gt;&lt;ref-type name="Web Page"&gt;12&lt;/ref-type&gt;&lt;contributors&gt;&lt;authors&gt;&lt;author&gt;AIHW &lt;/author&gt;&lt;/authors&gt;&lt;/contributors&gt;&lt;titles&gt;&lt;title&gt;National Drug Strategy Household Survey 2016: detailed findings.&lt;/title&gt;&lt;/titles&gt;&lt;number&gt;May 2018&amp;#xD;&lt;/number&gt;&lt;dates&gt;&lt;year&gt;2017&lt;/year&gt;&lt;/dates&gt;&lt;pub-location&gt;Canberra&lt;/pub-location&gt;&lt;publisher&gt;Australian Institute of Health and Welfare&lt;/publisher&gt;&lt;urls&gt;&lt;related-urls&gt;&lt;url&gt;https://www.aihw.gov.au/reports/illicit-use-of-drugs/ndshs-2016-detailed/data&lt;/url&gt;&lt;/related-urls&gt;&lt;/urls&gt;&lt;access-date&gt;May 2018&lt;/access-date&gt;&lt;/record&gt;&lt;/Cite&gt;&lt;/EndNote&gt;</w:instrText>
      </w:r>
      <w:r>
        <w:fldChar w:fldCharType="separate"/>
      </w:r>
      <w:r>
        <w:rPr>
          <w:noProof/>
        </w:rPr>
        <w:t>(AIHW 2017)</w:t>
      </w:r>
      <w:r>
        <w:fldChar w:fldCharType="end"/>
      </w:r>
      <w:r>
        <w:t xml:space="preserve"> indicated that the majority of Australians had never used e</w:t>
      </w:r>
      <w:r>
        <w:noBreakHyphen/>
        <w:t xml:space="preserve">cigarettes, except for the youngest age group </w:t>
      </w:r>
      <w:r w:rsidR="0049340A">
        <w:t>(12</w:t>
      </w:r>
      <w:r w:rsidR="0049340A">
        <w:noBreakHyphen/>
        <w:t>17 years – Table 1</w:t>
      </w:r>
      <w:r w:rsidR="003D2CBD">
        <w:t>8</w:t>
      </w:r>
      <w:r w:rsidR="0049340A">
        <w:t>, Figure 8</w:t>
      </w:r>
      <w:r>
        <w:t xml:space="preserve">). </w:t>
      </w:r>
    </w:p>
    <w:p w14:paraId="255FA84F" w14:textId="77777777" w:rsidR="00FE6A89" w:rsidRDefault="00FE6A89">
      <w:pPr>
        <w:spacing w:after="0"/>
        <w:rPr>
          <w:sz w:val="24"/>
        </w:rPr>
      </w:pPr>
      <w:r>
        <w:br w:type="page"/>
      </w:r>
    </w:p>
    <w:p w14:paraId="61C8B371" w14:textId="77777777" w:rsidR="00FE6A89" w:rsidRDefault="003D2CBD" w:rsidP="003D2CBD">
      <w:pPr>
        <w:pStyle w:val="Caption"/>
      </w:pPr>
      <w:bookmarkStart w:id="213" w:name="_Toc516736711"/>
      <w:bookmarkStart w:id="214" w:name="_Toc517707427"/>
      <w:r>
        <w:lastRenderedPageBreak/>
        <w:t xml:space="preserve">Table </w:t>
      </w:r>
      <w:r w:rsidR="0048064B">
        <w:rPr>
          <w:noProof/>
        </w:rPr>
        <w:fldChar w:fldCharType="begin"/>
      </w:r>
      <w:r w:rsidR="0048064B">
        <w:rPr>
          <w:noProof/>
        </w:rPr>
        <w:instrText xml:space="preserve"> SEQ Table \* ARABIC </w:instrText>
      </w:r>
      <w:r w:rsidR="0048064B">
        <w:rPr>
          <w:noProof/>
        </w:rPr>
        <w:fldChar w:fldCharType="separate"/>
      </w:r>
      <w:r w:rsidR="000C06DA">
        <w:rPr>
          <w:noProof/>
        </w:rPr>
        <w:t>18</w:t>
      </w:r>
      <w:r w:rsidR="0048064B">
        <w:rPr>
          <w:noProof/>
        </w:rPr>
        <w:fldChar w:fldCharType="end"/>
      </w:r>
      <w:r w:rsidR="00FE6A89">
        <w:t>: Prevalence of e</w:t>
      </w:r>
      <w:r w:rsidR="00FE6A89">
        <w:noBreakHyphen/>
        <w:t>cigarette use (%) in Australia by age group (2016).</w:t>
      </w:r>
      <w:bookmarkEnd w:id="213"/>
      <w:bookmarkEnd w:id="214"/>
      <w:r w:rsidR="00FE6A89">
        <w:t xml:space="preserve"> </w:t>
      </w:r>
    </w:p>
    <w:tbl>
      <w:tblPr>
        <w:tblStyle w:val="TableCSIRO"/>
        <w:tblW w:w="0" w:type="auto"/>
        <w:tblLook w:val="04A0" w:firstRow="1" w:lastRow="0" w:firstColumn="1" w:lastColumn="0" w:noHBand="0" w:noVBand="1"/>
      </w:tblPr>
      <w:tblGrid>
        <w:gridCol w:w="1102"/>
        <w:gridCol w:w="933"/>
        <w:gridCol w:w="935"/>
        <w:gridCol w:w="935"/>
        <w:gridCol w:w="935"/>
        <w:gridCol w:w="935"/>
        <w:gridCol w:w="935"/>
        <w:gridCol w:w="935"/>
        <w:gridCol w:w="747"/>
        <w:gridCol w:w="854"/>
      </w:tblGrid>
      <w:tr w:rsidR="00FE6A89" w:rsidRPr="007E2FEB" w14:paraId="40BD5895" w14:textId="77777777" w:rsidTr="006C55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tcPr>
          <w:p w14:paraId="6B98E099" w14:textId="77777777" w:rsidR="00FE6A89" w:rsidRPr="007E2FEB" w:rsidRDefault="00FE6A89" w:rsidP="006C55CC">
            <w:pPr>
              <w:pStyle w:val="BodyText"/>
              <w:rPr>
                <w:color w:val="FFFFFF" w:themeColor="background1"/>
              </w:rPr>
            </w:pPr>
          </w:p>
        </w:tc>
        <w:tc>
          <w:tcPr>
            <w:tcW w:w="8144" w:type="dxa"/>
            <w:gridSpan w:val="9"/>
          </w:tcPr>
          <w:p w14:paraId="62ED32A9" w14:textId="77777777" w:rsidR="00FE6A89" w:rsidRDefault="00FE6A89" w:rsidP="006C55CC">
            <w:pPr>
              <w:pStyle w:val="BodyText"/>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Age group (years)</w:t>
            </w:r>
          </w:p>
        </w:tc>
      </w:tr>
      <w:tr w:rsidR="00FE6A89" w:rsidRPr="007E2FEB" w14:paraId="4BEC73AD" w14:textId="77777777" w:rsidTr="006C55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tcBorders>
              <w:bottom w:val="nil"/>
            </w:tcBorders>
            <w:shd w:val="clear" w:color="auto" w:fill="000000" w:themeFill="text1"/>
          </w:tcPr>
          <w:p w14:paraId="3AFC2824" w14:textId="77777777" w:rsidR="00FE6A89" w:rsidRPr="007E2FEB" w:rsidRDefault="00FE6A89" w:rsidP="006C55CC">
            <w:pPr>
              <w:pStyle w:val="BodyText"/>
              <w:rPr>
                <w:color w:val="FFFFFF" w:themeColor="background1"/>
              </w:rPr>
            </w:pPr>
          </w:p>
        </w:tc>
        <w:tc>
          <w:tcPr>
            <w:tcW w:w="933" w:type="dxa"/>
            <w:tcBorders>
              <w:bottom w:val="nil"/>
            </w:tcBorders>
            <w:shd w:val="clear" w:color="auto" w:fill="000000" w:themeFill="text1"/>
          </w:tcPr>
          <w:p w14:paraId="769CC903" w14:textId="77777777" w:rsidR="00FE6A89" w:rsidRPr="007E2FEB" w:rsidRDefault="00FE6A89" w:rsidP="006C55CC">
            <w:pPr>
              <w:pStyle w:val="BodyText"/>
              <w:cnfStyle w:val="000000100000" w:firstRow="0" w:lastRow="0" w:firstColumn="0" w:lastColumn="0" w:oddVBand="0" w:evenVBand="0" w:oddHBand="1" w:evenHBand="0" w:firstRowFirstColumn="0" w:firstRowLastColumn="0" w:lastRowFirstColumn="0" w:lastRowLastColumn="0"/>
              <w:rPr>
                <w:color w:val="FFFFFF" w:themeColor="background1"/>
              </w:rPr>
            </w:pPr>
            <w:r w:rsidRPr="007E2FEB">
              <w:rPr>
                <w:color w:val="FFFFFF" w:themeColor="background1"/>
              </w:rPr>
              <w:t>12</w:t>
            </w:r>
            <w:r>
              <w:rPr>
                <w:color w:val="FFFFFF" w:themeColor="background1"/>
              </w:rPr>
              <w:noBreakHyphen/>
            </w:r>
            <w:r w:rsidRPr="007E2FEB">
              <w:rPr>
                <w:color w:val="FFFFFF" w:themeColor="background1"/>
              </w:rPr>
              <w:t>17</w:t>
            </w:r>
          </w:p>
        </w:tc>
        <w:tc>
          <w:tcPr>
            <w:tcW w:w="935" w:type="dxa"/>
            <w:tcBorders>
              <w:bottom w:val="nil"/>
            </w:tcBorders>
            <w:shd w:val="clear" w:color="auto" w:fill="000000" w:themeFill="text1"/>
          </w:tcPr>
          <w:p w14:paraId="77D8736B" w14:textId="77777777" w:rsidR="00FE6A89" w:rsidRPr="007E2FEB" w:rsidRDefault="00FE6A89" w:rsidP="006C55CC">
            <w:pPr>
              <w:pStyle w:val="BodyText"/>
              <w:cnfStyle w:val="000000100000" w:firstRow="0" w:lastRow="0" w:firstColumn="0" w:lastColumn="0" w:oddVBand="0" w:evenVBand="0" w:oddHBand="1" w:evenHBand="0" w:firstRowFirstColumn="0" w:firstRowLastColumn="0" w:lastRowFirstColumn="0" w:lastRowLastColumn="0"/>
              <w:rPr>
                <w:color w:val="FFFFFF" w:themeColor="background1"/>
              </w:rPr>
            </w:pPr>
            <w:r>
              <w:rPr>
                <w:color w:val="FFFFFF" w:themeColor="background1"/>
              </w:rPr>
              <w:t>18</w:t>
            </w:r>
            <w:r>
              <w:rPr>
                <w:color w:val="FFFFFF" w:themeColor="background1"/>
              </w:rPr>
              <w:noBreakHyphen/>
              <w:t>24</w:t>
            </w:r>
          </w:p>
        </w:tc>
        <w:tc>
          <w:tcPr>
            <w:tcW w:w="935" w:type="dxa"/>
            <w:tcBorders>
              <w:bottom w:val="nil"/>
            </w:tcBorders>
            <w:shd w:val="clear" w:color="auto" w:fill="000000" w:themeFill="text1"/>
          </w:tcPr>
          <w:p w14:paraId="45D0CF79" w14:textId="77777777" w:rsidR="00FE6A89" w:rsidRPr="007E2FEB" w:rsidRDefault="00FE6A89" w:rsidP="006C55CC">
            <w:pPr>
              <w:pStyle w:val="BodyText"/>
              <w:cnfStyle w:val="000000100000" w:firstRow="0" w:lastRow="0" w:firstColumn="0" w:lastColumn="0" w:oddVBand="0" w:evenVBand="0" w:oddHBand="1" w:evenHBand="0" w:firstRowFirstColumn="0" w:firstRowLastColumn="0" w:lastRowFirstColumn="0" w:lastRowLastColumn="0"/>
              <w:rPr>
                <w:color w:val="FFFFFF" w:themeColor="background1"/>
              </w:rPr>
            </w:pPr>
            <w:r>
              <w:rPr>
                <w:color w:val="FFFFFF" w:themeColor="background1"/>
              </w:rPr>
              <w:t>25</w:t>
            </w:r>
            <w:r>
              <w:rPr>
                <w:color w:val="FFFFFF" w:themeColor="background1"/>
              </w:rPr>
              <w:noBreakHyphen/>
              <w:t>29</w:t>
            </w:r>
          </w:p>
        </w:tc>
        <w:tc>
          <w:tcPr>
            <w:tcW w:w="935" w:type="dxa"/>
            <w:tcBorders>
              <w:bottom w:val="nil"/>
            </w:tcBorders>
            <w:shd w:val="clear" w:color="auto" w:fill="000000" w:themeFill="text1"/>
          </w:tcPr>
          <w:p w14:paraId="76B43BAE" w14:textId="77777777" w:rsidR="00FE6A89" w:rsidRPr="007E2FEB" w:rsidRDefault="00FE6A89" w:rsidP="006C55CC">
            <w:pPr>
              <w:pStyle w:val="BodyText"/>
              <w:cnfStyle w:val="000000100000" w:firstRow="0" w:lastRow="0" w:firstColumn="0" w:lastColumn="0" w:oddVBand="0" w:evenVBand="0" w:oddHBand="1" w:evenHBand="0" w:firstRowFirstColumn="0" w:firstRowLastColumn="0" w:lastRowFirstColumn="0" w:lastRowLastColumn="0"/>
              <w:rPr>
                <w:color w:val="FFFFFF" w:themeColor="background1"/>
              </w:rPr>
            </w:pPr>
            <w:r>
              <w:rPr>
                <w:color w:val="FFFFFF" w:themeColor="background1"/>
              </w:rPr>
              <w:t>30</w:t>
            </w:r>
            <w:r>
              <w:rPr>
                <w:color w:val="FFFFFF" w:themeColor="background1"/>
              </w:rPr>
              <w:noBreakHyphen/>
              <w:t>39</w:t>
            </w:r>
          </w:p>
        </w:tc>
        <w:tc>
          <w:tcPr>
            <w:tcW w:w="935" w:type="dxa"/>
            <w:tcBorders>
              <w:bottom w:val="nil"/>
            </w:tcBorders>
            <w:shd w:val="clear" w:color="auto" w:fill="000000" w:themeFill="text1"/>
          </w:tcPr>
          <w:p w14:paraId="7B628389" w14:textId="77777777" w:rsidR="00FE6A89" w:rsidRPr="007E2FEB" w:rsidRDefault="00FE6A89" w:rsidP="006C55CC">
            <w:pPr>
              <w:pStyle w:val="BodyText"/>
              <w:cnfStyle w:val="000000100000" w:firstRow="0" w:lastRow="0" w:firstColumn="0" w:lastColumn="0" w:oddVBand="0" w:evenVBand="0" w:oddHBand="1" w:evenHBand="0" w:firstRowFirstColumn="0" w:firstRowLastColumn="0" w:lastRowFirstColumn="0" w:lastRowLastColumn="0"/>
              <w:rPr>
                <w:color w:val="FFFFFF" w:themeColor="background1"/>
              </w:rPr>
            </w:pPr>
            <w:r>
              <w:rPr>
                <w:color w:val="FFFFFF" w:themeColor="background1"/>
              </w:rPr>
              <w:t>40</w:t>
            </w:r>
            <w:r>
              <w:rPr>
                <w:color w:val="FFFFFF" w:themeColor="background1"/>
              </w:rPr>
              <w:noBreakHyphen/>
              <w:t>49</w:t>
            </w:r>
          </w:p>
        </w:tc>
        <w:tc>
          <w:tcPr>
            <w:tcW w:w="935" w:type="dxa"/>
            <w:tcBorders>
              <w:bottom w:val="nil"/>
            </w:tcBorders>
            <w:shd w:val="clear" w:color="auto" w:fill="000000" w:themeFill="text1"/>
          </w:tcPr>
          <w:p w14:paraId="0D5D0C65" w14:textId="77777777" w:rsidR="00FE6A89" w:rsidRPr="007E2FEB" w:rsidRDefault="00FE6A89" w:rsidP="006C55CC">
            <w:pPr>
              <w:pStyle w:val="BodyText"/>
              <w:cnfStyle w:val="000000100000" w:firstRow="0" w:lastRow="0" w:firstColumn="0" w:lastColumn="0" w:oddVBand="0" w:evenVBand="0" w:oddHBand="1" w:evenHBand="0" w:firstRowFirstColumn="0" w:firstRowLastColumn="0" w:lastRowFirstColumn="0" w:lastRowLastColumn="0"/>
              <w:rPr>
                <w:color w:val="FFFFFF" w:themeColor="background1"/>
              </w:rPr>
            </w:pPr>
            <w:r>
              <w:rPr>
                <w:color w:val="FFFFFF" w:themeColor="background1"/>
              </w:rPr>
              <w:t>50</w:t>
            </w:r>
            <w:r>
              <w:rPr>
                <w:color w:val="FFFFFF" w:themeColor="background1"/>
              </w:rPr>
              <w:noBreakHyphen/>
              <w:t>59</w:t>
            </w:r>
          </w:p>
        </w:tc>
        <w:tc>
          <w:tcPr>
            <w:tcW w:w="935" w:type="dxa"/>
            <w:tcBorders>
              <w:bottom w:val="nil"/>
            </w:tcBorders>
            <w:shd w:val="clear" w:color="auto" w:fill="000000" w:themeFill="text1"/>
          </w:tcPr>
          <w:p w14:paraId="45B12847" w14:textId="77777777" w:rsidR="00FE6A89" w:rsidRPr="007E2FEB" w:rsidRDefault="00FE6A89" w:rsidP="006C55CC">
            <w:pPr>
              <w:pStyle w:val="BodyText"/>
              <w:cnfStyle w:val="000000100000" w:firstRow="0" w:lastRow="0" w:firstColumn="0" w:lastColumn="0" w:oddVBand="0" w:evenVBand="0" w:oddHBand="1" w:evenHBand="0" w:firstRowFirstColumn="0" w:firstRowLastColumn="0" w:lastRowFirstColumn="0" w:lastRowLastColumn="0"/>
              <w:rPr>
                <w:color w:val="FFFFFF" w:themeColor="background1"/>
              </w:rPr>
            </w:pPr>
            <w:r>
              <w:rPr>
                <w:color w:val="FFFFFF" w:themeColor="background1"/>
              </w:rPr>
              <w:t>60</w:t>
            </w:r>
            <w:r>
              <w:rPr>
                <w:color w:val="FFFFFF" w:themeColor="background1"/>
              </w:rPr>
              <w:noBreakHyphen/>
              <w:t>69</w:t>
            </w:r>
          </w:p>
        </w:tc>
        <w:tc>
          <w:tcPr>
            <w:tcW w:w="747" w:type="dxa"/>
            <w:tcBorders>
              <w:bottom w:val="nil"/>
            </w:tcBorders>
            <w:shd w:val="clear" w:color="auto" w:fill="000000" w:themeFill="text1"/>
          </w:tcPr>
          <w:p w14:paraId="3862FE5D" w14:textId="77777777" w:rsidR="00FE6A89" w:rsidRPr="007E2FEB" w:rsidRDefault="00FE6A89" w:rsidP="006C55CC">
            <w:pPr>
              <w:pStyle w:val="BodyText"/>
              <w:cnfStyle w:val="000000100000" w:firstRow="0" w:lastRow="0" w:firstColumn="0" w:lastColumn="0" w:oddVBand="0" w:evenVBand="0" w:oddHBand="1" w:evenHBand="0" w:firstRowFirstColumn="0" w:firstRowLastColumn="0" w:lastRowFirstColumn="0" w:lastRowLastColumn="0"/>
              <w:rPr>
                <w:color w:val="FFFFFF" w:themeColor="background1"/>
              </w:rPr>
            </w:pPr>
            <w:r>
              <w:rPr>
                <w:color w:val="FFFFFF" w:themeColor="background1"/>
              </w:rPr>
              <w:t>70+</w:t>
            </w:r>
          </w:p>
        </w:tc>
        <w:tc>
          <w:tcPr>
            <w:tcW w:w="854" w:type="dxa"/>
            <w:tcBorders>
              <w:bottom w:val="nil"/>
            </w:tcBorders>
            <w:shd w:val="clear" w:color="auto" w:fill="000000" w:themeFill="text1"/>
          </w:tcPr>
          <w:p w14:paraId="48C51611" w14:textId="77777777" w:rsidR="00FE6A89" w:rsidRPr="007E2FEB" w:rsidRDefault="00FE6A89" w:rsidP="006C55CC">
            <w:pPr>
              <w:pStyle w:val="BodyText"/>
              <w:cnfStyle w:val="000000100000" w:firstRow="0" w:lastRow="0" w:firstColumn="0" w:lastColumn="0" w:oddVBand="0" w:evenVBand="0" w:oddHBand="1" w:evenHBand="0" w:firstRowFirstColumn="0" w:firstRowLastColumn="0" w:lastRowFirstColumn="0" w:lastRowLastColumn="0"/>
              <w:rPr>
                <w:color w:val="FFFFFF" w:themeColor="background1"/>
              </w:rPr>
            </w:pPr>
            <w:r>
              <w:rPr>
                <w:color w:val="FFFFFF" w:themeColor="background1"/>
              </w:rPr>
              <w:t>18+</w:t>
            </w:r>
          </w:p>
        </w:tc>
      </w:tr>
      <w:tr w:rsidR="00FE6A89" w14:paraId="317CF73D" w14:textId="77777777" w:rsidTr="006C55CC">
        <w:tc>
          <w:tcPr>
            <w:cnfStyle w:val="001000000000" w:firstRow="0" w:lastRow="0" w:firstColumn="1" w:lastColumn="0" w:oddVBand="0" w:evenVBand="0" w:oddHBand="0" w:evenHBand="0" w:firstRowFirstColumn="0" w:firstRowLastColumn="0" w:lastRowFirstColumn="0" w:lastRowLastColumn="0"/>
            <w:tcW w:w="1102" w:type="dxa"/>
            <w:tcBorders>
              <w:left w:val="single" w:sz="4" w:space="0" w:color="auto"/>
              <w:bottom w:val="nil"/>
              <w:right w:val="single" w:sz="4" w:space="0" w:color="auto"/>
            </w:tcBorders>
          </w:tcPr>
          <w:p w14:paraId="491E8418" w14:textId="77777777" w:rsidR="00FE6A89" w:rsidRDefault="00FE6A89" w:rsidP="006C55CC">
            <w:pPr>
              <w:pStyle w:val="BodyText"/>
            </w:pPr>
            <w:r>
              <w:t>Currently user</w:t>
            </w:r>
          </w:p>
        </w:tc>
        <w:tc>
          <w:tcPr>
            <w:tcW w:w="933" w:type="dxa"/>
            <w:tcBorders>
              <w:left w:val="single" w:sz="4" w:space="0" w:color="auto"/>
              <w:bottom w:val="nil"/>
              <w:right w:val="single" w:sz="4" w:space="0" w:color="auto"/>
            </w:tcBorders>
          </w:tcPr>
          <w:p w14:paraId="32BE7B2A" w14:textId="77777777" w:rsidR="00FE6A89" w:rsidRDefault="00FE6A89" w:rsidP="006C55CC">
            <w:pPr>
              <w:pStyle w:val="BodyText"/>
              <w:cnfStyle w:val="000000000000" w:firstRow="0" w:lastRow="0" w:firstColumn="0" w:lastColumn="0" w:oddVBand="0" w:evenVBand="0" w:oddHBand="0" w:evenHBand="0" w:firstRowFirstColumn="0" w:firstRowLastColumn="0" w:lastRowFirstColumn="0" w:lastRowLastColumn="0"/>
            </w:pPr>
            <w:r>
              <w:t>4.3</w:t>
            </w:r>
          </w:p>
        </w:tc>
        <w:tc>
          <w:tcPr>
            <w:tcW w:w="935" w:type="dxa"/>
            <w:tcBorders>
              <w:left w:val="single" w:sz="4" w:space="0" w:color="auto"/>
              <w:bottom w:val="nil"/>
              <w:right w:val="single" w:sz="4" w:space="0" w:color="auto"/>
            </w:tcBorders>
          </w:tcPr>
          <w:p w14:paraId="5087CA0E" w14:textId="77777777" w:rsidR="00FE6A89" w:rsidRDefault="00FE6A89" w:rsidP="006C55CC">
            <w:pPr>
              <w:pStyle w:val="BodyText"/>
              <w:cnfStyle w:val="000000000000" w:firstRow="0" w:lastRow="0" w:firstColumn="0" w:lastColumn="0" w:oddVBand="0" w:evenVBand="0" w:oddHBand="0" w:evenHBand="0" w:firstRowFirstColumn="0" w:firstRowLastColumn="0" w:lastRowFirstColumn="0" w:lastRowLastColumn="0"/>
            </w:pPr>
            <w:r>
              <w:t>6.8</w:t>
            </w:r>
          </w:p>
        </w:tc>
        <w:tc>
          <w:tcPr>
            <w:tcW w:w="935" w:type="dxa"/>
            <w:tcBorders>
              <w:left w:val="single" w:sz="4" w:space="0" w:color="auto"/>
              <w:bottom w:val="nil"/>
              <w:right w:val="single" w:sz="4" w:space="0" w:color="auto"/>
            </w:tcBorders>
          </w:tcPr>
          <w:p w14:paraId="045F6616" w14:textId="77777777" w:rsidR="00FE6A89" w:rsidRDefault="00FE6A89" w:rsidP="006C55CC">
            <w:pPr>
              <w:pStyle w:val="BodyText"/>
              <w:cnfStyle w:val="000000000000" w:firstRow="0" w:lastRow="0" w:firstColumn="0" w:lastColumn="0" w:oddVBand="0" w:evenVBand="0" w:oddHBand="0" w:evenHBand="0" w:firstRowFirstColumn="0" w:firstRowLastColumn="0" w:lastRowFirstColumn="0" w:lastRowLastColumn="0"/>
            </w:pPr>
            <w:r>
              <w:t>3.6</w:t>
            </w:r>
          </w:p>
        </w:tc>
        <w:tc>
          <w:tcPr>
            <w:tcW w:w="935" w:type="dxa"/>
            <w:tcBorders>
              <w:left w:val="single" w:sz="4" w:space="0" w:color="auto"/>
              <w:bottom w:val="nil"/>
              <w:right w:val="single" w:sz="4" w:space="0" w:color="auto"/>
            </w:tcBorders>
          </w:tcPr>
          <w:p w14:paraId="5ADC1C27" w14:textId="77777777" w:rsidR="00FE6A89" w:rsidRDefault="00FE6A89" w:rsidP="006C55CC">
            <w:pPr>
              <w:pStyle w:val="BodyText"/>
              <w:cnfStyle w:val="000000000000" w:firstRow="0" w:lastRow="0" w:firstColumn="0" w:lastColumn="0" w:oddVBand="0" w:evenVBand="0" w:oddHBand="0" w:evenHBand="0" w:firstRowFirstColumn="0" w:firstRowLastColumn="0" w:lastRowFirstColumn="0" w:lastRowLastColumn="0"/>
            </w:pPr>
            <w:r>
              <w:t>5.9</w:t>
            </w:r>
          </w:p>
        </w:tc>
        <w:tc>
          <w:tcPr>
            <w:tcW w:w="935" w:type="dxa"/>
            <w:tcBorders>
              <w:left w:val="single" w:sz="4" w:space="0" w:color="auto"/>
              <w:bottom w:val="nil"/>
              <w:right w:val="single" w:sz="4" w:space="0" w:color="auto"/>
            </w:tcBorders>
          </w:tcPr>
          <w:p w14:paraId="4930ECEB" w14:textId="77777777" w:rsidR="00FE6A89" w:rsidRDefault="00FE6A89" w:rsidP="006C55CC">
            <w:pPr>
              <w:pStyle w:val="BodyText"/>
              <w:cnfStyle w:val="000000000000" w:firstRow="0" w:lastRow="0" w:firstColumn="0" w:lastColumn="0" w:oddVBand="0" w:evenVBand="0" w:oddHBand="0" w:evenHBand="0" w:firstRowFirstColumn="0" w:firstRowLastColumn="0" w:lastRowFirstColumn="0" w:lastRowLastColumn="0"/>
            </w:pPr>
            <w:r>
              <w:t>4.3</w:t>
            </w:r>
          </w:p>
        </w:tc>
        <w:tc>
          <w:tcPr>
            <w:tcW w:w="935" w:type="dxa"/>
            <w:tcBorders>
              <w:left w:val="single" w:sz="4" w:space="0" w:color="auto"/>
              <w:bottom w:val="nil"/>
              <w:right w:val="single" w:sz="4" w:space="0" w:color="auto"/>
            </w:tcBorders>
          </w:tcPr>
          <w:p w14:paraId="74FDCAA9" w14:textId="77777777" w:rsidR="00FE6A89" w:rsidRDefault="00FE6A89" w:rsidP="006C55CC">
            <w:pPr>
              <w:pStyle w:val="BodyText"/>
              <w:cnfStyle w:val="000000000000" w:firstRow="0" w:lastRow="0" w:firstColumn="0" w:lastColumn="0" w:oddVBand="0" w:evenVBand="0" w:oddHBand="0" w:evenHBand="0" w:firstRowFirstColumn="0" w:firstRowLastColumn="0" w:lastRowFirstColumn="0" w:lastRowLastColumn="0"/>
            </w:pPr>
            <w:r>
              <w:t>3.3</w:t>
            </w:r>
          </w:p>
        </w:tc>
        <w:tc>
          <w:tcPr>
            <w:tcW w:w="935" w:type="dxa"/>
            <w:tcBorders>
              <w:left w:val="single" w:sz="4" w:space="0" w:color="auto"/>
              <w:bottom w:val="nil"/>
              <w:right w:val="single" w:sz="4" w:space="0" w:color="auto"/>
            </w:tcBorders>
          </w:tcPr>
          <w:p w14:paraId="4754A6B0" w14:textId="77777777" w:rsidR="00FE6A89" w:rsidRDefault="00FE6A89" w:rsidP="006C55CC">
            <w:pPr>
              <w:pStyle w:val="BodyText"/>
              <w:cnfStyle w:val="000000000000" w:firstRow="0" w:lastRow="0" w:firstColumn="0" w:lastColumn="0" w:oddVBand="0" w:evenVBand="0" w:oddHBand="0" w:evenHBand="0" w:firstRowFirstColumn="0" w:firstRowLastColumn="0" w:lastRowFirstColumn="0" w:lastRowLastColumn="0"/>
            </w:pPr>
            <w:r>
              <w:t>2.9</w:t>
            </w:r>
          </w:p>
        </w:tc>
        <w:tc>
          <w:tcPr>
            <w:tcW w:w="747" w:type="dxa"/>
            <w:tcBorders>
              <w:left w:val="single" w:sz="4" w:space="0" w:color="auto"/>
              <w:bottom w:val="nil"/>
              <w:right w:val="single" w:sz="4" w:space="0" w:color="auto"/>
            </w:tcBorders>
          </w:tcPr>
          <w:p w14:paraId="158B79FE" w14:textId="77777777" w:rsidR="00FE6A89" w:rsidRDefault="00FE6A89" w:rsidP="006C55CC">
            <w:pPr>
              <w:pStyle w:val="BodyText"/>
              <w:cnfStyle w:val="000000000000" w:firstRow="0" w:lastRow="0" w:firstColumn="0" w:lastColumn="0" w:oddVBand="0" w:evenVBand="0" w:oddHBand="0" w:evenHBand="0" w:firstRowFirstColumn="0" w:firstRowLastColumn="0" w:lastRowFirstColumn="0" w:lastRowLastColumn="0"/>
            </w:pPr>
            <w:r>
              <w:t>0.8</w:t>
            </w:r>
          </w:p>
        </w:tc>
        <w:tc>
          <w:tcPr>
            <w:tcW w:w="854" w:type="dxa"/>
            <w:tcBorders>
              <w:left w:val="single" w:sz="4" w:space="0" w:color="auto"/>
              <w:bottom w:val="nil"/>
              <w:right w:val="single" w:sz="4" w:space="0" w:color="auto"/>
            </w:tcBorders>
          </w:tcPr>
          <w:p w14:paraId="22D3C6C3" w14:textId="77777777" w:rsidR="00FE6A89" w:rsidRDefault="00FE6A89" w:rsidP="006C55CC">
            <w:pPr>
              <w:pStyle w:val="BodyText"/>
              <w:cnfStyle w:val="000000000000" w:firstRow="0" w:lastRow="0" w:firstColumn="0" w:lastColumn="0" w:oddVBand="0" w:evenVBand="0" w:oddHBand="0" w:evenHBand="0" w:firstRowFirstColumn="0" w:firstRowLastColumn="0" w:lastRowFirstColumn="0" w:lastRowLastColumn="0"/>
            </w:pPr>
            <w:r>
              <w:t>4.4</w:t>
            </w:r>
          </w:p>
        </w:tc>
      </w:tr>
      <w:tr w:rsidR="00FE6A89" w14:paraId="3F699818" w14:textId="77777777" w:rsidTr="006C55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tcBorders>
              <w:left w:val="single" w:sz="4" w:space="0" w:color="auto"/>
              <w:bottom w:val="nil"/>
              <w:right w:val="single" w:sz="4" w:space="0" w:color="auto"/>
            </w:tcBorders>
          </w:tcPr>
          <w:p w14:paraId="2225B52E" w14:textId="77777777" w:rsidR="00FE6A89" w:rsidRDefault="00FE6A89" w:rsidP="006C55CC">
            <w:pPr>
              <w:pStyle w:val="BodyText"/>
            </w:pPr>
            <w:r>
              <w:t>Ex user</w:t>
            </w:r>
          </w:p>
        </w:tc>
        <w:tc>
          <w:tcPr>
            <w:tcW w:w="933" w:type="dxa"/>
            <w:tcBorders>
              <w:left w:val="single" w:sz="4" w:space="0" w:color="auto"/>
              <w:bottom w:val="nil"/>
              <w:right w:val="single" w:sz="4" w:space="0" w:color="auto"/>
            </w:tcBorders>
          </w:tcPr>
          <w:p w14:paraId="1BA46D45" w14:textId="77777777" w:rsidR="00FE6A89" w:rsidRDefault="00FE6A89" w:rsidP="006C55CC">
            <w:pPr>
              <w:pStyle w:val="BodyText"/>
              <w:cnfStyle w:val="000000100000" w:firstRow="0" w:lastRow="0" w:firstColumn="0" w:lastColumn="0" w:oddVBand="0" w:evenVBand="0" w:oddHBand="1" w:evenHBand="0" w:firstRowFirstColumn="0" w:firstRowLastColumn="0" w:lastRowFirstColumn="0" w:lastRowLastColumn="0"/>
            </w:pPr>
            <w:r>
              <w:t>3.4</w:t>
            </w:r>
          </w:p>
        </w:tc>
        <w:tc>
          <w:tcPr>
            <w:tcW w:w="935" w:type="dxa"/>
            <w:tcBorders>
              <w:left w:val="single" w:sz="4" w:space="0" w:color="auto"/>
              <w:bottom w:val="nil"/>
              <w:right w:val="single" w:sz="4" w:space="0" w:color="auto"/>
            </w:tcBorders>
          </w:tcPr>
          <w:p w14:paraId="0E00B574" w14:textId="77777777" w:rsidR="00FE6A89" w:rsidRDefault="00FE6A89" w:rsidP="006C55CC">
            <w:pPr>
              <w:pStyle w:val="BodyText"/>
              <w:cnfStyle w:val="000000100000" w:firstRow="0" w:lastRow="0" w:firstColumn="0" w:lastColumn="0" w:oddVBand="0" w:evenVBand="0" w:oddHBand="1" w:evenHBand="0" w:firstRowFirstColumn="0" w:firstRowLastColumn="0" w:lastRowFirstColumn="0" w:lastRowLastColumn="0"/>
            </w:pPr>
            <w:r>
              <w:t>9.3</w:t>
            </w:r>
          </w:p>
        </w:tc>
        <w:tc>
          <w:tcPr>
            <w:tcW w:w="935" w:type="dxa"/>
            <w:tcBorders>
              <w:left w:val="single" w:sz="4" w:space="0" w:color="auto"/>
              <w:bottom w:val="nil"/>
              <w:right w:val="single" w:sz="4" w:space="0" w:color="auto"/>
            </w:tcBorders>
          </w:tcPr>
          <w:p w14:paraId="4C3DDE42" w14:textId="77777777" w:rsidR="00FE6A89" w:rsidRDefault="00FE6A89" w:rsidP="006C55CC">
            <w:pPr>
              <w:pStyle w:val="BodyText"/>
              <w:cnfStyle w:val="000000100000" w:firstRow="0" w:lastRow="0" w:firstColumn="0" w:lastColumn="0" w:oddVBand="0" w:evenVBand="0" w:oddHBand="1" w:evenHBand="0" w:firstRowFirstColumn="0" w:firstRowLastColumn="0" w:lastRowFirstColumn="0" w:lastRowLastColumn="0"/>
            </w:pPr>
            <w:r>
              <w:t>5.5</w:t>
            </w:r>
          </w:p>
        </w:tc>
        <w:tc>
          <w:tcPr>
            <w:tcW w:w="935" w:type="dxa"/>
            <w:tcBorders>
              <w:left w:val="single" w:sz="4" w:space="0" w:color="auto"/>
              <w:bottom w:val="nil"/>
              <w:right w:val="single" w:sz="4" w:space="0" w:color="auto"/>
            </w:tcBorders>
          </w:tcPr>
          <w:p w14:paraId="7C846FE0" w14:textId="77777777" w:rsidR="00FE6A89" w:rsidRDefault="00FE6A89" w:rsidP="006C55CC">
            <w:pPr>
              <w:pStyle w:val="BodyText"/>
              <w:cnfStyle w:val="000000100000" w:firstRow="0" w:lastRow="0" w:firstColumn="0" w:lastColumn="0" w:oddVBand="0" w:evenVBand="0" w:oddHBand="1" w:evenHBand="0" w:firstRowFirstColumn="0" w:firstRowLastColumn="0" w:lastRowFirstColumn="0" w:lastRowLastColumn="0"/>
            </w:pPr>
            <w:r>
              <w:t>7.9</w:t>
            </w:r>
          </w:p>
        </w:tc>
        <w:tc>
          <w:tcPr>
            <w:tcW w:w="935" w:type="dxa"/>
            <w:tcBorders>
              <w:left w:val="single" w:sz="4" w:space="0" w:color="auto"/>
              <w:bottom w:val="nil"/>
              <w:right w:val="single" w:sz="4" w:space="0" w:color="auto"/>
            </w:tcBorders>
          </w:tcPr>
          <w:p w14:paraId="7FC4E5C6" w14:textId="77777777" w:rsidR="00FE6A89" w:rsidRDefault="00FE6A89" w:rsidP="006C55CC">
            <w:pPr>
              <w:pStyle w:val="BodyText"/>
              <w:cnfStyle w:val="000000100000" w:firstRow="0" w:lastRow="0" w:firstColumn="0" w:lastColumn="0" w:oddVBand="0" w:evenVBand="0" w:oddHBand="1" w:evenHBand="0" w:firstRowFirstColumn="0" w:firstRowLastColumn="0" w:lastRowFirstColumn="0" w:lastRowLastColumn="0"/>
            </w:pPr>
            <w:r>
              <w:t>7.6</w:t>
            </w:r>
          </w:p>
        </w:tc>
        <w:tc>
          <w:tcPr>
            <w:tcW w:w="935" w:type="dxa"/>
            <w:tcBorders>
              <w:left w:val="single" w:sz="4" w:space="0" w:color="auto"/>
              <w:bottom w:val="nil"/>
              <w:right w:val="single" w:sz="4" w:space="0" w:color="auto"/>
            </w:tcBorders>
          </w:tcPr>
          <w:p w14:paraId="3FAFD172" w14:textId="77777777" w:rsidR="00FE6A89" w:rsidRDefault="00FE6A89" w:rsidP="006C55CC">
            <w:pPr>
              <w:pStyle w:val="BodyText"/>
              <w:cnfStyle w:val="000000100000" w:firstRow="0" w:lastRow="0" w:firstColumn="0" w:lastColumn="0" w:oddVBand="0" w:evenVBand="0" w:oddHBand="1" w:evenHBand="0" w:firstRowFirstColumn="0" w:firstRowLastColumn="0" w:lastRowFirstColumn="0" w:lastRowLastColumn="0"/>
            </w:pPr>
            <w:r>
              <w:t>5.9</w:t>
            </w:r>
          </w:p>
        </w:tc>
        <w:tc>
          <w:tcPr>
            <w:tcW w:w="935" w:type="dxa"/>
            <w:tcBorders>
              <w:left w:val="single" w:sz="4" w:space="0" w:color="auto"/>
              <w:bottom w:val="nil"/>
              <w:right w:val="single" w:sz="4" w:space="0" w:color="auto"/>
            </w:tcBorders>
          </w:tcPr>
          <w:p w14:paraId="5702C746" w14:textId="77777777" w:rsidR="00FE6A89" w:rsidRDefault="00FE6A89" w:rsidP="006C55CC">
            <w:pPr>
              <w:pStyle w:val="BodyText"/>
              <w:cnfStyle w:val="000000100000" w:firstRow="0" w:lastRow="0" w:firstColumn="0" w:lastColumn="0" w:oddVBand="0" w:evenVBand="0" w:oddHBand="1" w:evenHBand="0" w:firstRowFirstColumn="0" w:firstRowLastColumn="0" w:lastRowFirstColumn="0" w:lastRowLastColumn="0"/>
            </w:pPr>
            <w:r>
              <w:t>4.0</w:t>
            </w:r>
          </w:p>
        </w:tc>
        <w:tc>
          <w:tcPr>
            <w:tcW w:w="747" w:type="dxa"/>
            <w:tcBorders>
              <w:left w:val="single" w:sz="4" w:space="0" w:color="auto"/>
              <w:bottom w:val="nil"/>
              <w:right w:val="single" w:sz="4" w:space="0" w:color="auto"/>
            </w:tcBorders>
          </w:tcPr>
          <w:p w14:paraId="20A39F80" w14:textId="77777777" w:rsidR="00FE6A89" w:rsidRDefault="00FE6A89" w:rsidP="006C55CC">
            <w:pPr>
              <w:pStyle w:val="BodyText"/>
              <w:cnfStyle w:val="000000100000" w:firstRow="0" w:lastRow="0" w:firstColumn="0" w:lastColumn="0" w:oddVBand="0" w:evenVBand="0" w:oddHBand="1" w:evenHBand="0" w:firstRowFirstColumn="0" w:firstRowLastColumn="0" w:lastRowFirstColumn="0" w:lastRowLastColumn="0"/>
            </w:pPr>
            <w:r>
              <w:t>4.3</w:t>
            </w:r>
          </w:p>
        </w:tc>
        <w:tc>
          <w:tcPr>
            <w:tcW w:w="854" w:type="dxa"/>
            <w:tcBorders>
              <w:left w:val="single" w:sz="4" w:space="0" w:color="auto"/>
              <w:bottom w:val="nil"/>
              <w:right w:val="single" w:sz="4" w:space="0" w:color="auto"/>
            </w:tcBorders>
          </w:tcPr>
          <w:p w14:paraId="402AA786" w14:textId="77777777" w:rsidR="00FE6A89" w:rsidRDefault="00FE6A89" w:rsidP="006C55CC">
            <w:pPr>
              <w:pStyle w:val="BodyText"/>
              <w:cnfStyle w:val="000000100000" w:firstRow="0" w:lastRow="0" w:firstColumn="0" w:lastColumn="0" w:oddVBand="0" w:evenVBand="0" w:oddHBand="1" w:evenHBand="0" w:firstRowFirstColumn="0" w:firstRowLastColumn="0" w:lastRowFirstColumn="0" w:lastRowLastColumn="0"/>
            </w:pPr>
            <w:r>
              <w:t>6.8</w:t>
            </w:r>
          </w:p>
        </w:tc>
      </w:tr>
      <w:tr w:rsidR="00FE6A89" w14:paraId="3E92C98C" w14:textId="77777777" w:rsidTr="006C55CC">
        <w:tc>
          <w:tcPr>
            <w:cnfStyle w:val="001000000000" w:firstRow="0" w:lastRow="0" w:firstColumn="1" w:lastColumn="0" w:oddVBand="0" w:evenVBand="0" w:oddHBand="0" w:evenHBand="0" w:firstRowFirstColumn="0" w:firstRowLastColumn="0" w:lastRowFirstColumn="0" w:lastRowLastColumn="0"/>
            <w:tcW w:w="1102" w:type="dxa"/>
            <w:tcBorders>
              <w:left w:val="single" w:sz="4" w:space="0" w:color="auto"/>
              <w:bottom w:val="nil"/>
              <w:right w:val="single" w:sz="4" w:space="0" w:color="auto"/>
            </w:tcBorders>
          </w:tcPr>
          <w:p w14:paraId="50FCB772" w14:textId="77777777" w:rsidR="00FE6A89" w:rsidRDefault="00FE6A89" w:rsidP="006C55CC">
            <w:pPr>
              <w:pStyle w:val="BodyText"/>
            </w:pPr>
            <w:r>
              <w:t>Tried once or twice</w:t>
            </w:r>
          </w:p>
        </w:tc>
        <w:tc>
          <w:tcPr>
            <w:tcW w:w="933" w:type="dxa"/>
            <w:tcBorders>
              <w:left w:val="single" w:sz="4" w:space="0" w:color="auto"/>
              <w:bottom w:val="nil"/>
              <w:right w:val="single" w:sz="4" w:space="0" w:color="auto"/>
            </w:tcBorders>
          </w:tcPr>
          <w:p w14:paraId="0A166B61" w14:textId="77777777" w:rsidR="00FE6A89" w:rsidRDefault="00FE6A89" w:rsidP="006C55CC">
            <w:pPr>
              <w:pStyle w:val="BodyText"/>
              <w:cnfStyle w:val="000000000000" w:firstRow="0" w:lastRow="0" w:firstColumn="0" w:lastColumn="0" w:oddVBand="0" w:evenVBand="0" w:oddHBand="0" w:evenHBand="0" w:firstRowFirstColumn="0" w:firstRowLastColumn="0" w:lastRowFirstColumn="0" w:lastRowLastColumn="0"/>
            </w:pPr>
            <w:r>
              <w:t>43.1</w:t>
            </w:r>
          </w:p>
        </w:tc>
        <w:tc>
          <w:tcPr>
            <w:tcW w:w="935" w:type="dxa"/>
            <w:tcBorders>
              <w:left w:val="single" w:sz="4" w:space="0" w:color="auto"/>
              <w:bottom w:val="nil"/>
              <w:right w:val="single" w:sz="4" w:space="0" w:color="auto"/>
            </w:tcBorders>
          </w:tcPr>
          <w:p w14:paraId="19222F59" w14:textId="77777777" w:rsidR="00FE6A89" w:rsidRDefault="00FE6A89" w:rsidP="006C55CC">
            <w:pPr>
              <w:pStyle w:val="BodyText"/>
              <w:cnfStyle w:val="000000000000" w:firstRow="0" w:lastRow="0" w:firstColumn="0" w:lastColumn="0" w:oddVBand="0" w:evenVBand="0" w:oddHBand="0" w:evenHBand="0" w:firstRowFirstColumn="0" w:firstRowLastColumn="0" w:lastRowFirstColumn="0" w:lastRowLastColumn="0"/>
            </w:pPr>
            <w:r>
              <w:t>33.1</w:t>
            </w:r>
          </w:p>
        </w:tc>
        <w:tc>
          <w:tcPr>
            <w:tcW w:w="935" w:type="dxa"/>
            <w:tcBorders>
              <w:left w:val="single" w:sz="4" w:space="0" w:color="auto"/>
              <w:bottom w:val="nil"/>
              <w:right w:val="single" w:sz="4" w:space="0" w:color="auto"/>
            </w:tcBorders>
          </w:tcPr>
          <w:p w14:paraId="4F7F2B45" w14:textId="77777777" w:rsidR="00FE6A89" w:rsidRDefault="00FE6A89" w:rsidP="006C55CC">
            <w:pPr>
              <w:pStyle w:val="BodyText"/>
              <w:cnfStyle w:val="000000000000" w:firstRow="0" w:lastRow="0" w:firstColumn="0" w:lastColumn="0" w:oddVBand="0" w:evenVBand="0" w:oddHBand="0" w:evenHBand="0" w:firstRowFirstColumn="0" w:firstRowLastColumn="0" w:lastRowFirstColumn="0" w:lastRowLastColumn="0"/>
            </w:pPr>
            <w:r>
              <w:t>28.4</w:t>
            </w:r>
          </w:p>
        </w:tc>
        <w:tc>
          <w:tcPr>
            <w:tcW w:w="935" w:type="dxa"/>
            <w:tcBorders>
              <w:left w:val="single" w:sz="4" w:space="0" w:color="auto"/>
              <w:bottom w:val="nil"/>
              <w:right w:val="single" w:sz="4" w:space="0" w:color="auto"/>
            </w:tcBorders>
          </w:tcPr>
          <w:p w14:paraId="5CABC9E9" w14:textId="77777777" w:rsidR="00FE6A89" w:rsidRDefault="00FE6A89" w:rsidP="006C55CC">
            <w:pPr>
              <w:pStyle w:val="BodyText"/>
              <w:cnfStyle w:val="000000000000" w:firstRow="0" w:lastRow="0" w:firstColumn="0" w:lastColumn="0" w:oddVBand="0" w:evenVBand="0" w:oddHBand="0" w:evenHBand="0" w:firstRowFirstColumn="0" w:firstRowLastColumn="0" w:lastRowFirstColumn="0" w:lastRowLastColumn="0"/>
            </w:pPr>
            <w:r>
              <w:t>25.3</w:t>
            </w:r>
          </w:p>
        </w:tc>
        <w:tc>
          <w:tcPr>
            <w:tcW w:w="935" w:type="dxa"/>
            <w:tcBorders>
              <w:left w:val="single" w:sz="4" w:space="0" w:color="auto"/>
              <w:bottom w:val="nil"/>
              <w:right w:val="single" w:sz="4" w:space="0" w:color="auto"/>
            </w:tcBorders>
          </w:tcPr>
          <w:p w14:paraId="456DD34D" w14:textId="77777777" w:rsidR="00FE6A89" w:rsidRDefault="00FE6A89" w:rsidP="006C55CC">
            <w:pPr>
              <w:pStyle w:val="BodyText"/>
              <w:cnfStyle w:val="000000000000" w:firstRow="0" w:lastRow="0" w:firstColumn="0" w:lastColumn="0" w:oddVBand="0" w:evenVBand="0" w:oddHBand="0" w:evenHBand="0" w:firstRowFirstColumn="0" w:firstRowLastColumn="0" w:lastRowFirstColumn="0" w:lastRowLastColumn="0"/>
            </w:pPr>
            <w:r>
              <w:t>14.3</w:t>
            </w:r>
          </w:p>
        </w:tc>
        <w:tc>
          <w:tcPr>
            <w:tcW w:w="935" w:type="dxa"/>
            <w:tcBorders>
              <w:left w:val="single" w:sz="4" w:space="0" w:color="auto"/>
              <w:bottom w:val="nil"/>
              <w:right w:val="single" w:sz="4" w:space="0" w:color="auto"/>
            </w:tcBorders>
          </w:tcPr>
          <w:p w14:paraId="214FFAC7" w14:textId="77777777" w:rsidR="00FE6A89" w:rsidRDefault="00FE6A89" w:rsidP="006C55CC">
            <w:pPr>
              <w:pStyle w:val="BodyText"/>
              <w:cnfStyle w:val="000000000000" w:firstRow="0" w:lastRow="0" w:firstColumn="0" w:lastColumn="0" w:oddVBand="0" w:evenVBand="0" w:oddHBand="0" w:evenHBand="0" w:firstRowFirstColumn="0" w:firstRowLastColumn="0" w:lastRowFirstColumn="0" w:lastRowLastColumn="0"/>
            </w:pPr>
            <w:r>
              <w:t>11.6</w:t>
            </w:r>
          </w:p>
        </w:tc>
        <w:tc>
          <w:tcPr>
            <w:tcW w:w="935" w:type="dxa"/>
            <w:tcBorders>
              <w:left w:val="single" w:sz="4" w:space="0" w:color="auto"/>
              <w:bottom w:val="nil"/>
              <w:right w:val="single" w:sz="4" w:space="0" w:color="auto"/>
            </w:tcBorders>
          </w:tcPr>
          <w:p w14:paraId="14547AEA" w14:textId="77777777" w:rsidR="00FE6A89" w:rsidRDefault="00FE6A89" w:rsidP="006C55CC">
            <w:pPr>
              <w:pStyle w:val="BodyText"/>
              <w:cnfStyle w:val="000000000000" w:firstRow="0" w:lastRow="0" w:firstColumn="0" w:lastColumn="0" w:oddVBand="0" w:evenVBand="0" w:oddHBand="0" w:evenHBand="0" w:firstRowFirstColumn="0" w:firstRowLastColumn="0" w:lastRowFirstColumn="0" w:lastRowLastColumn="0"/>
            </w:pPr>
            <w:r>
              <w:t>11.8</w:t>
            </w:r>
          </w:p>
        </w:tc>
        <w:tc>
          <w:tcPr>
            <w:tcW w:w="747" w:type="dxa"/>
            <w:tcBorders>
              <w:left w:val="single" w:sz="4" w:space="0" w:color="auto"/>
              <w:bottom w:val="nil"/>
              <w:right w:val="single" w:sz="4" w:space="0" w:color="auto"/>
            </w:tcBorders>
          </w:tcPr>
          <w:p w14:paraId="07FC1597" w14:textId="77777777" w:rsidR="00FE6A89" w:rsidRDefault="00FE6A89" w:rsidP="006C55CC">
            <w:pPr>
              <w:pStyle w:val="BodyText"/>
              <w:cnfStyle w:val="000000000000" w:firstRow="0" w:lastRow="0" w:firstColumn="0" w:lastColumn="0" w:oddVBand="0" w:evenVBand="0" w:oddHBand="0" w:evenHBand="0" w:firstRowFirstColumn="0" w:firstRowLastColumn="0" w:lastRowFirstColumn="0" w:lastRowLastColumn="0"/>
            </w:pPr>
            <w:r>
              <w:t>6.5</w:t>
            </w:r>
          </w:p>
        </w:tc>
        <w:tc>
          <w:tcPr>
            <w:tcW w:w="854" w:type="dxa"/>
            <w:tcBorders>
              <w:left w:val="single" w:sz="4" w:space="0" w:color="auto"/>
              <w:bottom w:val="nil"/>
              <w:right w:val="single" w:sz="4" w:space="0" w:color="auto"/>
            </w:tcBorders>
          </w:tcPr>
          <w:p w14:paraId="6CD4E645" w14:textId="77777777" w:rsidR="00FE6A89" w:rsidRDefault="00FE6A89" w:rsidP="006C55CC">
            <w:pPr>
              <w:pStyle w:val="BodyText"/>
              <w:cnfStyle w:val="000000000000" w:firstRow="0" w:lastRow="0" w:firstColumn="0" w:lastColumn="0" w:oddVBand="0" w:evenVBand="0" w:oddHBand="0" w:evenHBand="0" w:firstRowFirstColumn="0" w:firstRowLastColumn="0" w:lastRowFirstColumn="0" w:lastRowLastColumn="0"/>
            </w:pPr>
            <w:r>
              <w:t>19.6</w:t>
            </w:r>
          </w:p>
        </w:tc>
      </w:tr>
      <w:tr w:rsidR="00FE6A89" w14:paraId="5BBB8271" w14:textId="77777777" w:rsidTr="006C55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tcBorders>
              <w:left w:val="single" w:sz="4" w:space="0" w:color="auto"/>
              <w:bottom w:val="single" w:sz="4" w:space="0" w:color="auto"/>
              <w:right w:val="single" w:sz="4" w:space="0" w:color="auto"/>
            </w:tcBorders>
          </w:tcPr>
          <w:p w14:paraId="204AC9AA" w14:textId="77777777" w:rsidR="00FE6A89" w:rsidRDefault="00FE6A89" w:rsidP="006C55CC">
            <w:pPr>
              <w:pStyle w:val="BodyText"/>
            </w:pPr>
            <w:r>
              <w:t>Never used</w:t>
            </w:r>
          </w:p>
        </w:tc>
        <w:tc>
          <w:tcPr>
            <w:tcW w:w="933" w:type="dxa"/>
            <w:tcBorders>
              <w:left w:val="single" w:sz="4" w:space="0" w:color="auto"/>
              <w:bottom w:val="single" w:sz="4" w:space="0" w:color="auto"/>
              <w:right w:val="single" w:sz="4" w:space="0" w:color="auto"/>
            </w:tcBorders>
          </w:tcPr>
          <w:p w14:paraId="7027555F" w14:textId="77777777" w:rsidR="00FE6A89" w:rsidRDefault="00FE6A89" w:rsidP="006C55CC">
            <w:pPr>
              <w:pStyle w:val="BodyText"/>
              <w:cnfStyle w:val="000000100000" w:firstRow="0" w:lastRow="0" w:firstColumn="0" w:lastColumn="0" w:oddVBand="0" w:evenVBand="0" w:oddHBand="1" w:evenHBand="0" w:firstRowFirstColumn="0" w:firstRowLastColumn="0" w:lastRowFirstColumn="0" w:lastRowLastColumn="0"/>
            </w:pPr>
            <w:r>
              <w:t>49.2</w:t>
            </w:r>
          </w:p>
        </w:tc>
        <w:tc>
          <w:tcPr>
            <w:tcW w:w="935" w:type="dxa"/>
            <w:tcBorders>
              <w:left w:val="single" w:sz="4" w:space="0" w:color="auto"/>
              <w:bottom w:val="single" w:sz="4" w:space="0" w:color="auto"/>
              <w:right w:val="single" w:sz="4" w:space="0" w:color="auto"/>
            </w:tcBorders>
          </w:tcPr>
          <w:p w14:paraId="30031CD1" w14:textId="77777777" w:rsidR="00FE6A89" w:rsidRDefault="00FE6A89" w:rsidP="006C55CC">
            <w:pPr>
              <w:pStyle w:val="BodyText"/>
              <w:cnfStyle w:val="000000100000" w:firstRow="0" w:lastRow="0" w:firstColumn="0" w:lastColumn="0" w:oddVBand="0" w:evenVBand="0" w:oddHBand="1" w:evenHBand="0" w:firstRowFirstColumn="0" w:firstRowLastColumn="0" w:lastRowFirstColumn="0" w:lastRowLastColumn="0"/>
            </w:pPr>
            <w:r>
              <w:t>50.9</w:t>
            </w:r>
          </w:p>
        </w:tc>
        <w:tc>
          <w:tcPr>
            <w:tcW w:w="935" w:type="dxa"/>
            <w:tcBorders>
              <w:left w:val="single" w:sz="4" w:space="0" w:color="auto"/>
              <w:bottom w:val="single" w:sz="4" w:space="0" w:color="auto"/>
              <w:right w:val="single" w:sz="4" w:space="0" w:color="auto"/>
            </w:tcBorders>
          </w:tcPr>
          <w:p w14:paraId="027548C9" w14:textId="77777777" w:rsidR="00FE6A89" w:rsidRDefault="00FE6A89" w:rsidP="006C55CC">
            <w:pPr>
              <w:pStyle w:val="BodyText"/>
              <w:cnfStyle w:val="000000100000" w:firstRow="0" w:lastRow="0" w:firstColumn="0" w:lastColumn="0" w:oddVBand="0" w:evenVBand="0" w:oddHBand="1" w:evenHBand="0" w:firstRowFirstColumn="0" w:firstRowLastColumn="0" w:lastRowFirstColumn="0" w:lastRowLastColumn="0"/>
            </w:pPr>
            <w:r>
              <w:t>62.4</w:t>
            </w:r>
          </w:p>
        </w:tc>
        <w:tc>
          <w:tcPr>
            <w:tcW w:w="935" w:type="dxa"/>
            <w:tcBorders>
              <w:left w:val="single" w:sz="4" w:space="0" w:color="auto"/>
              <w:bottom w:val="single" w:sz="4" w:space="0" w:color="auto"/>
              <w:right w:val="single" w:sz="4" w:space="0" w:color="auto"/>
            </w:tcBorders>
          </w:tcPr>
          <w:p w14:paraId="6875E5BD" w14:textId="77777777" w:rsidR="00FE6A89" w:rsidRDefault="00FE6A89" w:rsidP="006C55CC">
            <w:pPr>
              <w:pStyle w:val="BodyText"/>
              <w:cnfStyle w:val="000000100000" w:firstRow="0" w:lastRow="0" w:firstColumn="0" w:lastColumn="0" w:oddVBand="0" w:evenVBand="0" w:oddHBand="1" w:evenHBand="0" w:firstRowFirstColumn="0" w:firstRowLastColumn="0" w:lastRowFirstColumn="0" w:lastRowLastColumn="0"/>
            </w:pPr>
            <w:r>
              <w:t>61.0</w:t>
            </w:r>
          </w:p>
        </w:tc>
        <w:tc>
          <w:tcPr>
            <w:tcW w:w="935" w:type="dxa"/>
            <w:tcBorders>
              <w:left w:val="single" w:sz="4" w:space="0" w:color="auto"/>
              <w:bottom w:val="single" w:sz="4" w:space="0" w:color="auto"/>
              <w:right w:val="single" w:sz="4" w:space="0" w:color="auto"/>
            </w:tcBorders>
          </w:tcPr>
          <w:p w14:paraId="0DFB6FA3" w14:textId="77777777" w:rsidR="00FE6A89" w:rsidRDefault="00FE6A89" w:rsidP="006C55CC">
            <w:pPr>
              <w:pStyle w:val="BodyText"/>
              <w:cnfStyle w:val="000000100000" w:firstRow="0" w:lastRow="0" w:firstColumn="0" w:lastColumn="0" w:oddVBand="0" w:evenVBand="0" w:oddHBand="1" w:evenHBand="0" w:firstRowFirstColumn="0" w:firstRowLastColumn="0" w:lastRowFirstColumn="0" w:lastRowLastColumn="0"/>
            </w:pPr>
            <w:r>
              <w:t>73.8</w:t>
            </w:r>
          </w:p>
        </w:tc>
        <w:tc>
          <w:tcPr>
            <w:tcW w:w="935" w:type="dxa"/>
            <w:tcBorders>
              <w:left w:val="single" w:sz="4" w:space="0" w:color="auto"/>
              <w:bottom w:val="single" w:sz="4" w:space="0" w:color="auto"/>
              <w:right w:val="single" w:sz="4" w:space="0" w:color="auto"/>
            </w:tcBorders>
          </w:tcPr>
          <w:p w14:paraId="01F680E2" w14:textId="77777777" w:rsidR="00FE6A89" w:rsidRDefault="00FE6A89" w:rsidP="006C55CC">
            <w:pPr>
              <w:pStyle w:val="BodyText"/>
              <w:cnfStyle w:val="000000100000" w:firstRow="0" w:lastRow="0" w:firstColumn="0" w:lastColumn="0" w:oddVBand="0" w:evenVBand="0" w:oddHBand="1" w:evenHBand="0" w:firstRowFirstColumn="0" w:firstRowLastColumn="0" w:lastRowFirstColumn="0" w:lastRowLastColumn="0"/>
            </w:pPr>
            <w:r>
              <w:t>79.1</w:t>
            </w:r>
          </w:p>
        </w:tc>
        <w:tc>
          <w:tcPr>
            <w:tcW w:w="935" w:type="dxa"/>
            <w:tcBorders>
              <w:left w:val="single" w:sz="4" w:space="0" w:color="auto"/>
              <w:bottom w:val="single" w:sz="4" w:space="0" w:color="auto"/>
              <w:right w:val="single" w:sz="4" w:space="0" w:color="auto"/>
            </w:tcBorders>
          </w:tcPr>
          <w:p w14:paraId="68BB0836" w14:textId="77777777" w:rsidR="00FE6A89" w:rsidRDefault="00FE6A89" w:rsidP="006C55CC">
            <w:pPr>
              <w:pStyle w:val="BodyText"/>
              <w:cnfStyle w:val="000000100000" w:firstRow="0" w:lastRow="0" w:firstColumn="0" w:lastColumn="0" w:oddVBand="0" w:evenVBand="0" w:oddHBand="1" w:evenHBand="0" w:firstRowFirstColumn="0" w:firstRowLastColumn="0" w:lastRowFirstColumn="0" w:lastRowLastColumn="0"/>
            </w:pPr>
            <w:r>
              <w:t>81.3</w:t>
            </w:r>
          </w:p>
        </w:tc>
        <w:tc>
          <w:tcPr>
            <w:tcW w:w="747" w:type="dxa"/>
            <w:tcBorders>
              <w:left w:val="single" w:sz="4" w:space="0" w:color="auto"/>
              <w:bottom w:val="single" w:sz="4" w:space="0" w:color="auto"/>
              <w:right w:val="single" w:sz="4" w:space="0" w:color="auto"/>
            </w:tcBorders>
          </w:tcPr>
          <w:p w14:paraId="6A36DC9A" w14:textId="77777777" w:rsidR="00FE6A89" w:rsidRDefault="00FE6A89" w:rsidP="006C55CC">
            <w:pPr>
              <w:pStyle w:val="BodyText"/>
              <w:cnfStyle w:val="000000100000" w:firstRow="0" w:lastRow="0" w:firstColumn="0" w:lastColumn="0" w:oddVBand="0" w:evenVBand="0" w:oddHBand="1" w:evenHBand="0" w:firstRowFirstColumn="0" w:firstRowLastColumn="0" w:lastRowFirstColumn="0" w:lastRowLastColumn="0"/>
            </w:pPr>
            <w:r>
              <w:t>88.4</w:t>
            </w:r>
          </w:p>
        </w:tc>
        <w:tc>
          <w:tcPr>
            <w:tcW w:w="854" w:type="dxa"/>
            <w:tcBorders>
              <w:left w:val="single" w:sz="4" w:space="0" w:color="auto"/>
              <w:bottom w:val="single" w:sz="4" w:space="0" w:color="auto"/>
              <w:right w:val="single" w:sz="4" w:space="0" w:color="auto"/>
            </w:tcBorders>
          </w:tcPr>
          <w:p w14:paraId="55BA00BF" w14:textId="77777777" w:rsidR="00FE6A89" w:rsidRDefault="00FE6A89" w:rsidP="006C55CC">
            <w:pPr>
              <w:pStyle w:val="BodyText"/>
              <w:cnfStyle w:val="000000100000" w:firstRow="0" w:lastRow="0" w:firstColumn="0" w:lastColumn="0" w:oddVBand="0" w:evenVBand="0" w:oddHBand="1" w:evenHBand="0" w:firstRowFirstColumn="0" w:firstRowLastColumn="0" w:lastRowFirstColumn="0" w:lastRowLastColumn="0"/>
            </w:pPr>
            <w:r>
              <w:t>69.2</w:t>
            </w:r>
          </w:p>
        </w:tc>
      </w:tr>
    </w:tbl>
    <w:p w14:paraId="438807D6" w14:textId="77777777" w:rsidR="00FE6A89" w:rsidRDefault="00FE6A89" w:rsidP="00FE6A89">
      <w:pPr>
        <w:pStyle w:val="Caption"/>
      </w:pPr>
    </w:p>
    <w:p w14:paraId="54A16DF7" w14:textId="77777777" w:rsidR="00FE6A89" w:rsidRDefault="00955544" w:rsidP="00955544">
      <w:pPr>
        <w:pStyle w:val="Caption"/>
      </w:pPr>
      <w:bookmarkStart w:id="215" w:name="_Toc516736709"/>
      <w:bookmarkStart w:id="216" w:name="_Toc517707394"/>
      <w:r>
        <w:t xml:space="preserve">Figure </w:t>
      </w:r>
      <w:r w:rsidR="0048064B">
        <w:rPr>
          <w:noProof/>
        </w:rPr>
        <w:fldChar w:fldCharType="begin"/>
      </w:r>
      <w:r w:rsidR="0048064B">
        <w:rPr>
          <w:noProof/>
        </w:rPr>
        <w:instrText xml:space="preserve"> SEQ Figure \* ARABIC </w:instrText>
      </w:r>
      <w:r w:rsidR="0048064B">
        <w:rPr>
          <w:noProof/>
        </w:rPr>
        <w:fldChar w:fldCharType="separate"/>
      </w:r>
      <w:r w:rsidR="000C06DA">
        <w:rPr>
          <w:noProof/>
        </w:rPr>
        <w:t>8</w:t>
      </w:r>
      <w:r w:rsidR="0048064B">
        <w:rPr>
          <w:noProof/>
        </w:rPr>
        <w:fldChar w:fldCharType="end"/>
      </w:r>
      <w:r w:rsidR="00FE6A89">
        <w:t>: Percentage of e</w:t>
      </w:r>
      <w:r w:rsidR="00FE6A89">
        <w:noBreakHyphen/>
        <w:t>cigarette use in Australia 2016</w:t>
      </w:r>
      <w:bookmarkEnd w:id="215"/>
      <w:bookmarkEnd w:id="216"/>
    </w:p>
    <w:p w14:paraId="500472AC" w14:textId="77777777" w:rsidR="00FE6A89" w:rsidRDefault="00FE6A89" w:rsidP="00FE6A89">
      <w:pPr>
        <w:pStyle w:val="BodyText"/>
      </w:pPr>
      <w:r>
        <w:t xml:space="preserve"> </w:t>
      </w:r>
      <w:r>
        <w:rPr>
          <w:noProof/>
        </w:rPr>
        <w:drawing>
          <wp:inline distT="0" distB="0" distL="0" distR="0" wp14:anchorId="100E03AC" wp14:editId="24CB1F2D">
            <wp:extent cx="5486400" cy="3200400"/>
            <wp:effectExtent l="0" t="0" r="0" b="0"/>
            <wp:docPr id="24" name="Chart 24" title="Chart showing the percentage of e-cigarette use in Australia in 2016 by age range"/>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5B0176F" w14:textId="77777777" w:rsidR="00FE6A89" w:rsidRDefault="00FE6A89" w:rsidP="00FE6A89">
      <w:pPr>
        <w:pStyle w:val="BodyText"/>
      </w:pPr>
    </w:p>
    <w:p w14:paraId="5F7FED31" w14:textId="77777777" w:rsidR="00FE6A89" w:rsidRDefault="0049340A" w:rsidP="00FE6A89">
      <w:pPr>
        <w:pStyle w:val="BodyText"/>
      </w:pPr>
      <w:r>
        <w:t>From Figure 8</w:t>
      </w:r>
      <w:r w:rsidR="00FE6A89">
        <w:t xml:space="preserve"> it can be seen that the percentage of people who have never used e</w:t>
      </w:r>
      <w:r w:rsidR="00FE6A89">
        <w:noBreakHyphen/>
        <w:t>cigarettes increases with age, driven mainly by the percentage of people who try e</w:t>
      </w:r>
      <w:r w:rsidR="00FE6A89">
        <w:noBreakHyphen/>
        <w:t>cigarettes (but don’t continue) being high at a young age but decreasing with age. The percentage of people currently using e</w:t>
      </w:r>
      <w:r w:rsidR="00FE6A89">
        <w:noBreakHyphen/>
        <w:t>cigarettes is low, and lower than the percentage of people who are ex</w:t>
      </w:r>
      <w:r w:rsidR="00FE6A89">
        <w:noBreakHyphen/>
        <w:t xml:space="preserve">users except for the youngest age group. </w:t>
      </w:r>
    </w:p>
    <w:p w14:paraId="49BB51E8" w14:textId="77777777" w:rsidR="00FE6A89" w:rsidRDefault="00FE6A89" w:rsidP="00FE6A89">
      <w:pPr>
        <w:pStyle w:val="BodyText"/>
      </w:pPr>
    </w:p>
    <w:p w14:paraId="32421AB5" w14:textId="32E87EFC" w:rsidR="00FE6A89" w:rsidRDefault="00FE6A89" w:rsidP="00FE6A89">
      <w:pPr>
        <w:pStyle w:val="BodyText"/>
      </w:pPr>
      <w:r>
        <w:lastRenderedPageBreak/>
        <w:t>From the same AIHW survey, more than 98% of current or ex tobacco smokers used conventional tobacco cigarettes prior to using e</w:t>
      </w:r>
      <w:r>
        <w:noBreakHyphen/>
        <w:t>cigarettes. Only about 0.5% of current or ex</w:t>
      </w:r>
      <w:r>
        <w:noBreakHyphen/>
        <w:t>tobacco smokers stated that they had used e</w:t>
      </w:r>
      <w:r>
        <w:noBreakHyphen/>
        <w:t>cigarettes prior to using conventional cigarettes.</w:t>
      </w:r>
      <w:r w:rsidR="008146F9">
        <w:t xml:space="preserve"> </w:t>
      </w:r>
    </w:p>
    <w:p w14:paraId="2D075B09" w14:textId="77777777" w:rsidR="00FE6A89" w:rsidRDefault="003D2CBD" w:rsidP="003D2CBD">
      <w:pPr>
        <w:pStyle w:val="Caption"/>
      </w:pPr>
      <w:bookmarkStart w:id="217" w:name="_Toc516736712"/>
      <w:bookmarkStart w:id="218" w:name="_Toc517707428"/>
      <w:r>
        <w:t xml:space="preserve">Table </w:t>
      </w:r>
      <w:r w:rsidR="0048064B">
        <w:rPr>
          <w:noProof/>
        </w:rPr>
        <w:fldChar w:fldCharType="begin"/>
      </w:r>
      <w:r w:rsidR="0048064B">
        <w:rPr>
          <w:noProof/>
        </w:rPr>
        <w:instrText xml:space="preserve"> SEQ Table \* ARABIC </w:instrText>
      </w:r>
      <w:r w:rsidR="0048064B">
        <w:rPr>
          <w:noProof/>
        </w:rPr>
        <w:fldChar w:fldCharType="separate"/>
      </w:r>
      <w:r w:rsidR="000C06DA">
        <w:rPr>
          <w:noProof/>
        </w:rPr>
        <w:t>19</w:t>
      </w:r>
      <w:r w:rsidR="0048064B">
        <w:rPr>
          <w:noProof/>
        </w:rPr>
        <w:fldChar w:fldCharType="end"/>
      </w:r>
      <w:r w:rsidR="00FE6A89">
        <w:t>: Prevalence of e</w:t>
      </w:r>
      <w:r w:rsidR="00FE6A89">
        <w:noBreakHyphen/>
        <w:t>cigarette ever use (%) in Australia for males and females by age group (2013 and 2016).</w:t>
      </w:r>
      <w:bookmarkEnd w:id="217"/>
      <w:bookmarkEnd w:id="218"/>
      <w:r w:rsidR="00FE6A89">
        <w:t xml:space="preserve"> </w:t>
      </w:r>
    </w:p>
    <w:tbl>
      <w:tblPr>
        <w:tblStyle w:val="TableCSIRO"/>
        <w:tblW w:w="0" w:type="auto"/>
        <w:tblLook w:val="04A0" w:firstRow="1" w:lastRow="0" w:firstColumn="1" w:lastColumn="0" w:noHBand="0" w:noVBand="1"/>
      </w:tblPr>
      <w:tblGrid>
        <w:gridCol w:w="1102"/>
        <w:gridCol w:w="933"/>
        <w:gridCol w:w="935"/>
        <w:gridCol w:w="935"/>
        <w:gridCol w:w="935"/>
        <w:gridCol w:w="935"/>
        <w:gridCol w:w="935"/>
        <w:gridCol w:w="935"/>
        <w:gridCol w:w="938"/>
        <w:gridCol w:w="854"/>
      </w:tblGrid>
      <w:tr w:rsidR="00FE6A89" w:rsidRPr="007E2FEB" w14:paraId="78C7D8C1" w14:textId="77777777" w:rsidTr="006C55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tcPr>
          <w:p w14:paraId="0E3C347A" w14:textId="77777777" w:rsidR="00FE6A89" w:rsidRPr="007E2FEB" w:rsidRDefault="00FE6A89" w:rsidP="006C55CC">
            <w:pPr>
              <w:pStyle w:val="BodyText"/>
              <w:rPr>
                <w:color w:val="FFFFFF" w:themeColor="background1"/>
              </w:rPr>
            </w:pPr>
          </w:p>
        </w:tc>
        <w:tc>
          <w:tcPr>
            <w:tcW w:w="8335" w:type="dxa"/>
            <w:gridSpan w:val="9"/>
          </w:tcPr>
          <w:p w14:paraId="36B5D562" w14:textId="77777777" w:rsidR="00FE6A89" w:rsidRDefault="00FE6A89" w:rsidP="006C55CC">
            <w:pPr>
              <w:pStyle w:val="BodyText"/>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Age group (years)</w:t>
            </w:r>
          </w:p>
        </w:tc>
      </w:tr>
      <w:tr w:rsidR="00FE6A89" w:rsidRPr="007E2FEB" w14:paraId="0026AAD6" w14:textId="77777777" w:rsidTr="006C55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tcBorders>
              <w:bottom w:val="nil"/>
            </w:tcBorders>
            <w:shd w:val="clear" w:color="auto" w:fill="000000" w:themeFill="text1"/>
          </w:tcPr>
          <w:p w14:paraId="25D3613F" w14:textId="77777777" w:rsidR="00FE6A89" w:rsidRPr="007E2FEB" w:rsidRDefault="00FE6A89" w:rsidP="006C55CC">
            <w:pPr>
              <w:pStyle w:val="BodyText"/>
              <w:rPr>
                <w:color w:val="FFFFFF" w:themeColor="background1"/>
              </w:rPr>
            </w:pPr>
          </w:p>
        </w:tc>
        <w:tc>
          <w:tcPr>
            <w:tcW w:w="933" w:type="dxa"/>
            <w:tcBorders>
              <w:bottom w:val="nil"/>
            </w:tcBorders>
            <w:shd w:val="clear" w:color="auto" w:fill="000000" w:themeFill="text1"/>
          </w:tcPr>
          <w:p w14:paraId="39466E8D" w14:textId="77777777" w:rsidR="00FE6A89" w:rsidRPr="007E2FEB" w:rsidRDefault="00FE6A89" w:rsidP="006C55CC">
            <w:pPr>
              <w:pStyle w:val="BodyText"/>
              <w:cnfStyle w:val="000000100000" w:firstRow="0" w:lastRow="0" w:firstColumn="0" w:lastColumn="0" w:oddVBand="0" w:evenVBand="0" w:oddHBand="1" w:evenHBand="0" w:firstRowFirstColumn="0" w:firstRowLastColumn="0" w:lastRowFirstColumn="0" w:lastRowLastColumn="0"/>
              <w:rPr>
                <w:color w:val="FFFFFF" w:themeColor="background1"/>
              </w:rPr>
            </w:pPr>
            <w:r w:rsidRPr="007E2FEB">
              <w:rPr>
                <w:color w:val="FFFFFF" w:themeColor="background1"/>
              </w:rPr>
              <w:t>12</w:t>
            </w:r>
            <w:r>
              <w:rPr>
                <w:color w:val="FFFFFF" w:themeColor="background1"/>
              </w:rPr>
              <w:noBreakHyphen/>
            </w:r>
            <w:r w:rsidRPr="007E2FEB">
              <w:rPr>
                <w:color w:val="FFFFFF" w:themeColor="background1"/>
              </w:rPr>
              <w:t>17</w:t>
            </w:r>
          </w:p>
        </w:tc>
        <w:tc>
          <w:tcPr>
            <w:tcW w:w="935" w:type="dxa"/>
            <w:tcBorders>
              <w:bottom w:val="nil"/>
            </w:tcBorders>
            <w:shd w:val="clear" w:color="auto" w:fill="000000" w:themeFill="text1"/>
          </w:tcPr>
          <w:p w14:paraId="5E0BE7B2" w14:textId="77777777" w:rsidR="00FE6A89" w:rsidRPr="007E2FEB" w:rsidRDefault="00FE6A89" w:rsidP="006C55CC">
            <w:pPr>
              <w:pStyle w:val="BodyText"/>
              <w:cnfStyle w:val="000000100000" w:firstRow="0" w:lastRow="0" w:firstColumn="0" w:lastColumn="0" w:oddVBand="0" w:evenVBand="0" w:oddHBand="1" w:evenHBand="0" w:firstRowFirstColumn="0" w:firstRowLastColumn="0" w:lastRowFirstColumn="0" w:lastRowLastColumn="0"/>
              <w:rPr>
                <w:color w:val="FFFFFF" w:themeColor="background1"/>
              </w:rPr>
            </w:pPr>
            <w:r>
              <w:rPr>
                <w:color w:val="FFFFFF" w:themeColor="background1"/>
              </w:rPr>
              <w:t>18</w:t>
            </w:r>
            <w:r>
              <w:rPr>
                <w:color w:val="FFFFFF" w:themeColor="background1"/>
              </w:rPr>
              <w:noBreakHyphen/>
              <w:t>24</w:t>
            </w:r>
          </w:p>
        </w:tc>
        <w:tc>
          <w:tcPr>
            <w:tcW w:w="935" w:type="dxa"/>
            <w:tcBorders>
              <w:bottom w:val="nil"/>
            </w:tcBorders>
            <w:shd w:val="clear" w:color="auto" w:fill="000000" w:themeFill="text1"/>
          </w:tcPr>
          <w:p w14:paraId="09C474A7" w14:textId="77777777" w:rsidR="00FE6A89" w:rsidRPr="007E2FEB" w:rsidRDefault="00FE6A89" w:rsidP="006C55CC">
            <w:pPr>
              <w:pStyle w:val="BodyText"/>
              <w:cnfStyle w:val="000000100000" w:firstRow="0" w:lastRow="0" w:firstColumn="0" w:lastColumn="0" w:oddVBand="0" w:evenVBand="0" w:oddHBand="1" w:evenHBand="0" w:firstRowFirstColumn="0" w:firstRowLastColumn="0" w:lastRowFirstColumn="0" w:lastRowLastColumn="0"/>
              <w:rPr>
                <w:color w:val="FFFFFF" w:themeColor="background1"/>
              </w:rPr>
            </w:pPr>
            <w:r>
              <w:rPr>
                <w:color w:val="FFFFFF" w:themeColor="background1"/>
              </w:rPr>
              <w:t>25</w:t>
            </w:r>
            <w:r>
              <w:rPr>
                <w:color w:val="FFFFFF" w:themeColor="background1"/>
              </w:rPr>
              <w:noBreakHyphen/>
              <w:t>29</w:t>
            </w:r>
          </w:p>
        </w:tc>
        <w:tc>
          <w:tcPr>
            <w:tcW w:w="935" w:type="dxa"/>
            <w:tcBorders>
              <w:bottom w:val="nil"/>
            </w:tcBorders>
            <w:shd w:val="clear" w:color="auto" w:fill="000000" w:themeFill="text1"/>
          </w:tcPr>
          <w:p w14:paraId="50BBEE1A" w14:textId="77777777" w:rsidR="00FE6A89" w:rsidRPr="007E2FEB" w:rsidRDefault="00FE6A89" w:rsidP="006C55CC">
            <w:pPr>
              <w:pStyle w:val="BodyText"/>
              <w:cnfStyle w:val="000000100000" w:firstRow="0" w:lastRow="0" w:firstColumn="0" w:lastColumn="0" w:oddVBand="0" w:evenVBand="0" w:oddHBand="1" w:evenHBand="0" w:firstRowFirstColumn="0" w:firstRowLastColumn="0" w:lastRowFirstColumn="0" w:lastRowLastColumn="0"/>
              <w:rPr>
                <w:color w:val="FFFFFF" w:themeColor="background1"/>
              </w:rPr>
            </w:pPr>
            <w:r>
              <w:rPr>
                <w:color w:val="FFFFFF" w:themeColor="background1"/>
              </w:rPr>
              <w:t>30</w:t>
            </w:r>
            <w:r>
              <w:rPr>
                <w:color w:val="FFFFFF" w:themeColor="background1"/>
              </w:rPr>
              <w:noBreakHyphen/>
              <w:t>39</w:t>
            </w:r>
          </w:p>
        </w:tc>
        <w:tc>
          <w:tcPr>
            <w:tcW w:w="935" w:type="dxa"/>
            <w:tcBorders>
              <w:bottom w:val="nil"/>
            </w:tcBorders>
            <w:shd w:val="clear" w:color="auto" w:fill="000000" w:themeFill="text1"/>
          </w:tcPr>
          <w:p w14:paraId="54AA4791" w14:textId="77777777" w:rsidR="00FE6A89" w:rsidRPr="007E2FEB" w:rsidRDefault="00FE6A89" w:rsidP="006C55CC">
            <w:pPr>
              <w:pStyle w:val="BodyText"/>
              <w:cnfStyle w:val="000000100000" w:firstRow="0" w:lastRow="0" w:firstColumn="0" w:lastColumn="0" w:oddVBand="0" w:evenVBand="0" w:oddHBand="1" w:evenHBand="0" w:firstRowFirstColumn="0" w:firstRowLastColumn="0" w:lastRowFirstColumn="0" w:lastRowLastColumn="0"/>
              <w:rPr>
                <w:color w:val="FFFFFF" w:themeColor="background1"/>
              </w:rPr>
            </w:pPr>
            <w:r>
              <w:rPr>
                <w:color w:val="FFFFFF" w:themeColor="background1"/>
              </w:rPr>
              <w:t>40</w:t>
            </w:r>
            <w:r>
              <w:rPr>
                <w:color w:val="FFFFFF" w:themeColor="background1"/>
              </w:rPr>
              <w:noBreakHyphen/>
              <w:t>49</w:t>
            </w:r>
          </w:p>
        </w:tc>
        <w:tc>
          <w:tcPr>
            <w:tcW w:w="935" w:type="dxa"/>
            <w:tcBorders>
              <w:bottom w:val="nil"/>
            </w:tcBorders>
            <w:shd w:val="clear" w:color="auto" w:fill="000000" w:themeFill="text1"/>
          </w:tcPr>
          <w:p w14:paraId="238863A3" w14:textId="77777777" w:rsidR="00FE6A89" w:rsidRPr="007E2FEB" w:rsidRDefault="00FE6A89" w:rsidP="006C55CC">
            <w:pPr>
              <w:pStyle w:val="BodyText"/>
              <w:cnfStyle w:val="000000100000" w:firstRow="0" w:lastRow="0" w:firstColumn="0" w:lastColumn="0" w:oddVBand="0" w:evenVBand="0" w:oddHBand="1" w:evenHBand="0" w:firstRowFirstColumn="0" w:firstRowLastColumn="0" w:lastRowFirstColumn="0" w:lastRowLastColumn="0"/>
              <w:rPr>
                <w:color w:val="FFFFFF" w:themeColor="background1"/>
              </w:rPr>
            </w:pPr>
            <w:r>
              <w:rPr>
                <w:color w:val="FFFFFF" w:themeColor="background1"/>
              </w:rPr>
              <w:t>50</w:t>
            </w:r>
            <w:r>
              <w:rPr>
                <w:color w:val="FFFFFF" w:themeColor="background1"/>
              </w:rPr>
              <w:noBreakHyphen/>
              <w:t>59</w:t>
            </w:r>
          </w:p>
        </w:tc>
        <w:tc>
          <w:tcPr>
            <w:tcW w:w="935" w:type="dxa"/>
            <w:tcBorders>
              <w:bottom w:val="nil"/>
            </w:tcBorders>
            <w:shd w:val="clear" w:color="auto" w:fill="000000" w:themeFill="text1"/>
          </w:tcPr>
          <w:p w14:paraId="42633583" w14:textId="77777777" w:rsidR="00FE6A89" w:rsidRPr="007E2FEB" w:rsidRDefault="00FE6A89" w:rsidP="006C55CC">
            <w:pPr>
              <w:pStyle w:val="BodyText"/>
              <w:cnfStyle w:val="000000100000" w:firstRow="0" w:lastRow="0" w:firstColumn="0" w:lastColumn="0" w:oddVBand="0" w:evenVBand="0" w:oddHBand="1" w:evenHBand="0" w:firstRowFirstColumn="0" w:firstRowLastColumn="0" w:lastRowFirstColumn="0" w:lastRowLastColumn="0"/>
              <w:rPr>
                <w:color w:val="FFFFFF" w:themeColor="background1"/>
              </w:rPr>
            </w:pPr>
            <w:r>
              <w:rPr>
                <w:color w:val="FFFFFF" w:themeColor="background1"/>
              </w:rPr>
              <w:t>60</w:t>
            </w:r>
            <w:r>
              <w:rPr>
                <w:color w:val="FFFFFF" w:themeColor="background1"/>
              </w:rPr>
              <w:noBreakHyphen/>
              <w:t>69</w:t>
            </w:r>
          </w:p>
        </w:tc>
        <w:tc>
          <w:tcPr>
            <w:tcW w:w="938" w:type="dxa"/>
            <w:tcBorders>
              <w:bottom w:val="nil"/>
            </w:tcBorders>
            <w:shd w:val="clear" w:color="auto" w:fill="000000" w:themeFill="text1"/>
          </w:tcPr>
          <w:p w14:paraId="7308BF80" w14:textId="77777777" w:rsidR="00FE6A89" w:rsidRPr="007E2FEB" w:rsidRDefault="00FE6A89" w:rsidP="006C55CC">
            <w:pPr>
              <w:pStyle w:val="BodyText"/>
              <w:cnfStyle w:val="000000100000" w:firstRow="0" w:lastRow="0" w:firstColumn="0" w:lastColumn="0" w:oddVBand="0" w:evenVBand="0" w:oddHBand="1" w:evenHBand="0" w:firstRowFirstColumn="0" w:firstRowLastColumn="0" w:lastRowFirstColumn="0" w:lastRowLastColumn="0"/>
              <w:rPr>
                <w:color w:val="FFFFFF" w:themeColor="background1"/>
              </w:rPr>
            </w:pPr>
            <w:r>
              <w:rPr>
                <w:color w:val="FFFFFF" w:themeColor="background1"/>
              </w:rPr>
              <w:t>70+</w:t>
            </w:r>
          </w:p>
        </w:tc>
        <w:tc>
          <w:tcPr>
            <w:tcW w:w="854" w:type="dxa"/>
            <w:tcBorders>
              <w:bottom w:val="nil"/>
            </w:tcBorders>
            <w:shd w:val="clear" w:color="auto" w:fill="000000" w:themeFill="text1"/>
          </w:tcPr>
          <w:p w14:paraId="31A77455" w14:textId="77777777" w:rsidR="00FE6A89" w:rsidRPr="007E2FEB" w:rsidRDefault="00FE6A89" w:rsidP="006C55CC">
            <w:pPr>
              <w:pStyle w:val="BodyText"/>
              <w:cnfStyle w:val="000000100000" w:firstRow="0" w:lastRow="0" w:firstColumn="0" w:lastColumn="0" w:oddVBand="0" w:evenVBand="0" w:oddHBand="1" w:evenHBand="0" w:firstRowFirstColumn="0" w:firstRowLastColumn="0" w:lastRowFirstColumn="0" w:lastRowLastColumn="0"/>
              <w:rPr>
                <w:color w:val="FFFFFF" w:themeColor="background1"/>
              </w:rPr>
            </w:pPr>
            <w:r>
              <w:rPr>
                <w:color w:val="FFFFFF" w:themeColor="background1"/>
              </w:rPr>
              <w:t>18+</w:t>
            </w:r>
          </w:p>
        </w:tc>
      </w:tr>
      <w:tr w:rsidR="00FE6A89" w14:paraId="69AA63C1" w14:textId="77777777" w:rsidTr="006C55CC">
        <w:tc>
          <w:tcPr>
            <w:cnfStyle w:val="001000000000" w:firstRow="0" w:lastRow="0" w:firstColumn="1" w:lastColumn="0" w:oddVBand="0" w:evenVBand="0" w:oddHBand="0" w:evenHBand="0" w:firstRowFirstColumn="0" w:firstRowLastColumn="0" w:lastRowFirstColumn="0" w:lastRowLastColumn="0"/>
            <w:tcW w:w="1102" w:type="dxa"/>
            <w:tcBorders>
              <w:left w:val="single" w:sz="4" w:space="0" w:color="auto"/>
              <w:bottom w:val="nil"/>
              <w:right w:val="single" w:sz="4" w:space="0" w:color="auto"/>
            </w:tcBorders>
          </w:tcPr>
          <w:p w14:paraId="667491EE" w14:textId="77777777" w:rsidR="00FE6A89" w:rsidRDefault="00FE6A89" w:rsidP="006C55CC">
            <w:pPr>
              <w:pStyle w:val="BodyText"/>
            </w:pPr>
            <w:r>
              <w:t>Males (2013)</w:t>
            </w:r>
          </w:p>
        </w:tc>
        <w:tc>
          <w:tcPr>
            <w:tcW w:w="933" w:type="dxa"/>
            <w:tcBorders>
              <w:left w:val="single" w:sz="4" w:space="0" w:color="auto"/>
              <w:bottom w:val="nil"/>
              <w:right w:val="single" w:sz="4" w:space="0" w:color="auto"/>
            </w:tcBorders>
          </w:tcPr>
          <w:p w14:paraId="210F4E87" w14:textId="77777777" w:rsidR="00FE6A89" w:rsidRDefault="00FE6A89" w:rsidP="006C55CC">
            <w:pPr>
              <w:pStyle w:val="BodyText"/>
              <w:cnfStyle w:val="000000000000" w:firstRow="0" w:lastRow="0" w:firstColumn="0" w:lastColumn="0" w:oddVBand="0" w:evenVBand="0" w:oddHBand="0" w:evenHBand="0" w:firstRowFirstColumn="0" w:firstRowLastColumn="0" w:lastRowFirstColumn="0" w:lastRowLastColumn="0"/>
            </w:pPr>
            <w:r>
              <w:t>53.7</w:t>
            </w:r>
          </w:p>
        </w:tc>
        <w:tc>
          <w:tcPr>
            <w:tcW w:w="935" w:type="dxa"/>
            <w:tcBorders>
              <w:left w:val="single" w:sz="4" w:space="0" w:color="auto"/>
              <w:bottom w:val="nil"/>
              <w:right w:val="single" w:sz="4" w:space="0" w:color="auto"/>
            </w:tcBorders>
          </w:tcPr>
          <w:p w14:paraId="63444498" w14:textId="77777777" w:rsidR="00FE6A89" w:rsidRDefault="00FE6A89" w:rsidP="006C55CC">
            <w:pPr>
              <w:pStyle w:val="BodyText"/>
              <w:cnfStyle w:val="000000000000" w:firstRow="0" w:lastRow="0" w:firstColumn="0" w:lastColumn="0" w:oddVBand="0" w:evenVBand="0" w:oddHBand="0" w:evenHBand="0" w:firstRowFirstColumn="0" w:firstRowLastColumn="0" w:lastRowFirstColumn="0" w:lastRowLastColumn="0"/>
            </w:pPr>
            <w:r>
              <w:t>36.2</w:t>
            </w:r>
          </w:p>
        </w:tc>
        <w:tc>
          <w:tcPr>
            <w:tcW w:w="935" w:type="dxa"/>
            <w:tcBorders>
              <w:left w:val="single" w:sz="4" w:space="0" w:color="auto"/>
              <w:bottom w:val="nil"/>
              <w:right w:val="single" w:sz="4" w:space="0" w:color="auto"/>
            </w:tcBorders>
          </w:tcPr>
          <w:p w14:paraId="4D0853DC" w14:textId="77777777" w:rsidR="00FE6A89" w:rsidRDefault="00FE6A89" w:rsidP="006C55CC">
            <w:pPr>
              <w:pStyle w:val="BodyText"/>
              <w:cnfStyle w:val="000000000000" w:firstRow="0" w:lastRow="0" w:firstColumn="0" w:lastColumn="0" w:oddVBand="0" w:evenVBand="0" w:oddHBand="0" w:evenHBand="0" w:firstRowFirstColumn="0" w:firstRowLastColumn="0" w:lastRowFirstColumn="0" w:lastRowLastColumn="0"/>
            </w:pPr>
            <w:r>
              <w:t>26.6</w:t>
            </w:r>
          </w:p>
        </w:tc>
        <w:tc>
          <w:tcPr>
            <w:tcW w:w="935" w:type="dxa"/>
            <w:tcBorders>
              <w:left w:val="single" w:sz="4" w:space="0" w:color="auto"/>
              <w:bottom w:val="nil"/>
              <w:right w:val="single" w:sz="4" w:space="0" w:color="auto"/>
            </w:tcBorders>
          </w:tcPr>
          <w:p w14:paraId="5385F430" w14:textId="77777777" w:rsidR="00FE6A89" w:rsidRDefault="00FE6A89" w:rsidP="006C55CC">
            <w:pPr>
              <w:pStyle w:val="BodyText"/>
              <w:cnfStyle w:val="000000000000" w:firstRow="0" w:lastRow="0" w:firstColumn="0" w:lastColumn="0" w:oddVBand="0" w:evenVBand="0" w:oddHBand="0" w:evenHBand="0" w:firstRowFirstColumn="0" w:firstRowLastColumn="0" w:lastRowFirstColumn="0" w:lastRowLastColumn="0"/>
            </w:pPr>
            <w:r>
              <w:t>21.1</w:t>
            </w:r>
          </w:p>
        </w:tc>
        <w:tc>
          <w:tcPr>
            <w:tcW w:w="935" w:type="dxa"/>
            <w:tcBorders>
              <w:left w:val="single" w:sz="4" w:space="0" w:color="auto"/>
              <w:bottom w:val="nil"/>
              <w:right w:val="single" w:sz="4" w:space="0" w:color="auto"/>
            </w:tcBorders>
          </w:tcPr>
          <w:p w14:paraId="54F5CA66" w14:textId="77777777" w:rsidR="00FE6A89" w:rsidRDefault="00FE6A89" w:rsidP="006C55CC">
            <w:pPr>
              <w:pStyle w:val="BodyText"/>
              <w:cnfStyle w:val="000000000000" w:firstRow="0" w:lastRow="0" w:firstColumn="0" w:lastColumn="0" w:oddVBand="0" w:evenVBand="0" w:oddHBand="0" w:evenHBand="0" w:firstRowFirstColumn="0" w:firstRowLastColumn="0" w:lastRowFirstColumn="0" w:lastRowLastColumn="0"/>
            </w:pPr>
            <w:r>
              <w:t>13.4</w:t>
            </w:r>
          </w:p>
        </w:tc>
        <w:tc>
          <w:tcPr>
            <w:tcW w:w="935" w:type="dxa"/>
            <w:tcBorders>
              <w:left w:val="single" w:sz="4" w:space="0" w:color="auto"/>
              <w:bottom w:val="nil"/>
              <w:right w:val="single" w:sz="4" w:space="0" w:color="auto"/>
            </w:tcBorders>
          </w:tcPr>
          <w:p w14:paraId="746299A5" w14:textId="77777777" w:rsidR="00FE6A89" w:rsidRDefault="00FE6A89" w:rsidP="006C55CC">
            <w:pPr>
              <w:pStyle w:val="BodyText"/>
              <w:cnfStyle w:val="000000000000" w:firstRow="0" w:lastRow="0" w:firstColumn="0" w:lastColumn="0" w:oddVBand="0" w:evenVBand="0" w:oddHBand="0" w:evenHBand="0" w:firstRowFirstColumn="0" w:firstRowLastColumn="0" w:lastRowFirstColumn="0" w:lastRowLastColumn="0"/>
            </w:pPr>
            <w:r>
              <w:t>8.4</w:t>
            </w:r>
          </w:p>
        </w:tc>
        <w:tc>
          <w:tcPr>
            <w:tcW w:w="935" w:type="dxa"/>
            <w:tcBorders>
              <w:left w:val="single" w:sz="4" w:space="0" w:color="auto"/>
              <w:bottom w:val="nil"/>
              <w:right w:val="single" w:sz="4" w:space="0" w:color="auto"/>
            </w:tcBorders>
          </w:tcPr>
          <w:p w14:paraId="05AD530B" w14:textId="77777777" w:rsidR="00FE6A89" w:rsidRDefault="00FE6A89" w:rsidP="006C55CC">
            <w:pPr>
              <w:pStyle w:val="BodyText"/>
              <w:cnfStyle w:val="000000000000" w:firstRow="0" w:lastRow="0" w:firstColumn="0" w:lastColumn="0" w:oddVBand="0" w:evenVBand="0" w:oddHBand="0" w:evenHBand="0" w:firstRowFirstColumn="0" w:firstRowLastColumn="0" w:lastRowFirstColumn="0" w:lastRowLastColumn="0"/>
            </w:pPr>
            <w:r>
              <w:t>7.4</w:t>
            </w:r>
          </w:p>
        </w:tc>
        <w:tc>
          <w:tcPr>
            <w:tcW w:w="938" w:type="dxa"/>
            <w:tcBorders>
              <w:left w:val="single" w:sz="4" w:space="0" w:color="auto"/>
              <w:bottom w:val="nil"/>
              <w:right w:val="single" w:sz="4" w:space="0" w:color="auto"/>
            </w:tcBorders>
          </w:tcPr>
          <w:p w14:paraId="65578976" w14:textId="77777777" w:rsidR="00FE6A89" w:rsidRDefault="00FE6A89" w:rsidP="006C55CC">
            <w:pPr>
              <w:pStyle w:val="BodyText"/>
              <w:cnfStyle w:val="000000000000" w:firstRow="0" w:lastRow="0" w:firstColumn="0" w:lastColumn="0" w:oddVBand="0" w:evenVBand="0" w:oddHBand="0" w:evenHBand="0" w:firstRowFirstColumn="0" w:firstRowLastColumn="0" w:lastRowFirstColumn="0" w:lastRowLastColumn="0"/>
            </w:pPr>
            <w:r>
              <w:t>7.4</w:t>
            </w:r>
          </w:p>
        </w:tc>
        <w:tc>
          <w:tcPr>
            <w:tcW w:w="854" w:type="dxa"/>
            <w:tcBorders>
              <w:left w:val="single" w:sz="4" w:space="0" w:color="auto"/>
              <w:bottom w:val="nil"/>
              <w:right w:val="single" w:sz="4" w:space="0" w:color="auto"/>
            </w:tcBorders>
          </w:tcPr>
          <w:p w14:paraId="6A41641C" w14:textId="77777777" w:rsidR="00FE6A89" w:rsidRDefault="00FE6A89" w:rsidP="006C55CC">
            <w:pPr>
              <w:pStyle w:val="BodyText"/>
              <w:cnfStyle w:val="000000000000" w:firstRow="0" w:lastRow="0" w:firstColumn="0" w:lastColumn="0" w:oddVBand="0" w:evenVBand="0" w:oddHBand="0" w:evenHBand="0" w:firstRowFirstColumn="0" w:firstRowLastColumn="0" w:lastRowFirstColumn="0" w:lastRowLastColumn="0"/>
            </w:pPr>
            <w:r>
              <w:t>18.5</w:t>
            </w:r>
          </w:p>
        </w:tc>
      </w:tr>
      <w:tr w:rsidR="00FE6A89" w14:paraId="56ABDECD" w14:textId="77777777" w:rsidTr="006C55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tcBorders>
              <w:left w:val="single" w:sz="4" w:space="0" w:color="auto"/>
              <w:bottom w:val="nil"/>
              <w:right w:val="single" w:sz="4" w:space="0" w:color="auto"/>
            </w:tcBorders>
          </w:tcPr>
          <w:p w14:paraId="48C1DE4C" w14:textId="77777777" w:rsidR="00FE6A89" w:rsidRDefault="00FE6A89" w:rsidP="006C55CC">
            <w:pPr>
              <w:pStyle w:val="BodyText"/>
            </w:pPr>
            <w:r>
              <w:t>Males (2016)</w:t>
            </w:r>
          </w:p>
        </w:tc>
        <w:tc>
          <w:tcPr>
            <w:tcW w:w="933" w:type="dxa"/>
            <w:tcBorders>
              <w:left w:val="single" w:sz="4" w:space="0" w:color="auto"/>
              <w:bottom w:val="nil"/>
              <w:right w:val="single" w:sz="4" w:space="0" w:color="auto"/>
            </w:tcBorders>
          </w:tcPr>
          <w:p w14:paraId="5079D4C3" w14:textId="77777777" w:rsidR="00FE6A89" w:rsidRDefault="00FE6A89" w:rsidP="006C55CC">
            <w:pPr>
              <w:pStyle w:val="BodyText"/>
              <w:cnfStyle w:val="000000100000" w:firstRow="0" w:lastRow="0" w:firstColumn="0" w:lastColumn="0" w:oddVBand="0" w:evenVBand="0" w:oddHBand="1" w:evenHBand="0" w:firstRowFirstColumn="0" w:firstRowLastColumn="0" w:lastRowFirstColumn="0" w:lastRowLastColumn="0"/>
            </w:pPr>
            <w:r>
              <w:t>46.0</w:t>
            </w:r>
          </w:p>
        </w:tc>
        <w:tc>
          <w:tcPr>
            <w:tcW w:w="935" w:type="dxa"/>
            <w:tcBorders>
              <w:left w:val="single" w:sz="4" w:space="0" w:color="auto"/>
              <w:bottom w:val="nil"/>
              <w:right w:val="single" w:sz="4" w:space="0" w:color="auto"/>
            </w:tcBorders>
          </w:tcPr>
          <w:p w14:paraId="6CE41DCB" w14:textId="77777777" w:rsidR="00FE6A89" w:rsidRDefault="00FE6A89" w:rsidP="006C55CC">
            <w:pPr>
              <w:pStyle w:val="BodyText"/>
              <w:cnfStyle w:val="000000100000" w:firstRow="0" w:lastRow="0" w:firstColumn="0" w:lastColumn="0" w:oddVBand="0" w:evenVBand="0" w:oddHBand="1" w:evenHBand="0" w:firstRowFirstColumn="0" w:firstRowLastColumn="0" w:lastRowFirstColumn="0" w:lastRowLastColumn="0"/>
            </w:pPr>
            <w:r>
              <w:t>47.9</w:t>
            </w:r>
          </w:p>
        </w:tc>
        <w:tc>
          <w:tcPr>
            <w:tcW w:w="935" w:type="dxa"/>
            <w:tcBorders>
              <w:left w:val="single" w:sz="4" w:space="0" w:color="auto"/>
              <w:bottom w:val="nil"/>
              <w:right w:val="single" w:sz="4" w:space="0" w:color="auto"/>
            </w:tcBorders>
          </w:tcPr>
          <w:p w14:paraId="0657F69A" w14:textId="77777777" w:rsidR="00FE6A89" w:rsidRDefault="00FE6A89" w:rsidP="006C55CC">
            <w:pPr>
              <w:pStyle w:val="BodyText"/>
              <w:cnfStyle w:val="000000100000" w:firstRow="0" w:lastRow="0" w:firstColumn="0" w:lastColumn="0" w:oddVBand="0" w:evenVBand="0" w:oddHBand="1" w:evenHBand="0" w:firstRowFirstColumn="0" w:firstRowLastColumn="0" w:lastRowFirstColumn="0" w:lastRowLastColumn="0"/>
            </w:pPr>
            <w:r>
              <w:t>41.8</w:t>
            </w:r>
            <w:r>
              <w:rPr>
                <w:rFonts w:cs="Calibri"/>
              </w:rPr>
              <w:t>†</w:t>
            </w:r>
          </w:p>
        </w:tc>
        <w:tc>
          <w:tcPr>
            <w:tcW w:w="935" w:type="dxa"/>
            <w:tcBorders>
              <w:left w:val="single" w:sz="4" w:space="0" w:color="auto"/>
              <w:bottom w:val="nil"/>
              <w:right w:val="single" w:sz="4" w:space="0" w:color="auto"/>
            </w:tcBorders>
          </w:tcPr>
          <w:p w14:paraId="779C1D2D" w14:textId="77777777" w:rsidR="00FE6A89" w:rsidRDefault="00FE6A89" w:rsidP="006C55CC">
            <w:pPr>
              <w:pStyle w:val="BodyText"/>
              <w:cnfStyle w:val="000000100000" w:firstRow="0" w:lastRow="0" w:firstColumn="0" w:lastColumn="0" w:oddVBand="0" w:evenVBand="0" w:oddHBand="1" w:evenHBand="0" w:firstRowFirstColumn="0" w:firstRowLastColumn="0" w:lastRowFirstColumn="0" w:lastRowLastColumn="0"/>
            </w:pPr>
            <w:r>
              <w:t>39.0</w:t>
            </w:r>
            <w:r>
              <w:rPr>
                <w:rFonts w:cs="Calibri"/>
              </w:rPr>
              <w:t>†</w:t>
            </w:r>
          </w:p>
        </w:tc>
        <w:tc>
          <w:tcPr>
            <w:tcW w:w="935" w:type="dxa"/>
            <w:tcBorders>
              <w:left w:val="single" w:sz="4" w:space="0" w:color="auto"/>
              <w:bottom w:val="nil"/>
              <w:right w:val="single" w:sz="4" w:space="0" w:color="auto"/>
            </w:tcBorders>
          </w:tcPr>
          <w:p w14:paraId="3B184022" w14:textId="77777777" w:rsidR="00FE6A89" w:rsidRDefault="00FE6A89" w:rsidP="006C55CC">
            <w:pPr>
              <w:pStyle w:val="BodyText"/>
              <w:cnfStyle w:val="000000100000" w:firstRow="0" w:lastRow="0" w:firstColumn="0" w:lastColumn="0" w:oddVBand="0" w:evenVBand="0" w:oddHBand="1" w:evenHBand="0" w:firstRowFirstColumn="0" w:firstRowLastColumn="0" w:lastRowFirstColumn="0" w:lastRowLastColumn="0"/>
            </w:pPr>
            <w:r>
              <w:t>29.3</w:t>
            </w:r>
            <w:r>
              <w:rPr>
                <w:rFonts w:cs="Calibri"/>
              </w:rPr>
              <w:t>†</w:t>
            </w:r>
          </w:p>
        </w:tc>
        <w:tc>
          <w:tcPr>
            <w:tcW w:w="935" w:type="dxa"/>
            <w:tcBorders>
              <w:left w:val="single" w:sz="4" w:space="0" w:color="auto"/>
              <w:bottom w:val="nil"/>
              <w:right w:val="single" w:sz="4" w:space="0" w:color="auto"/>
            </w:tcBorders>
          </w:tcPr>
          <w:p w14:paraId="2C612AB3" w14:textId="77777777" w:rsidR="00FE6A89" w:rsidRDefault="00FE6A89" w:rsidP="006C55CC">
            <w:pPr>
              <w:pStyle w:val="BodyText"/>
              <w:cnfStyle w:val="000000100000" w:firstRow="0" w:lastRow="0" w:firstColumn="0" w:lastColumn="0" w:oddVBand="0" w:evenVBand="0" w:oddHBand="1" w:evenHBand="0" w:firstRowFirstColumn="0" w:firstRowLastColumn="0" w:lastRowFirstColumn="0" w:lastRowLastColumn="0"/>
            </w:pPr>
            <w:r>
              <w:t>19.4</w:t>
            </w:r>
            <w:r>
              <w:rPr>
                <w:rFonts w:cs="Calibri"/>
              </w:rPr>
              <w:t>†</w:t>
            </w:r>
          </w:p>
        </w:tc>
        <w:tc>
          <w:tcPr>
            <w:tcW w:w="935" w:type="dxa"/>
            <w:tcBorders>
              <w:left w:val="single" w:sz="4" w:space="0" w:color="auto"/>
              <w:bottom w:val="nil"/>
              <w:right w:val="single" w:sz="4" w:space="0" w:color="auto"/>
            </w:tcBorders>
          </w:tcPr>
          <w:p w14:paraId="26AFE068" w14:textId="77777777" w:rsidR="00FE6A89" w:rsidRDefault="00FE6A89" w:rsidP="006C55CC">
            <w:pPr>
              <w:pStyle w:val="BodyText"/>
              <w:cnfStyle w:val="000000100000" w:firstRow="0" w:lastRow="0" w:firstColumn="0" w:lastColumn="0" w:oddVBand="0" w:evenVBand="0" w:oddHBand="1" w:evenHBand="0" w:firstRowFirstColumn="0" w:firstRowLastColumn="0" w:lastRowFirstColumn="0" w:lastRowLastColumn="0"/>
            </w:pPr>
            <w:r>
              <w:t>15.6</w:t>
            </w:r>
            <w:r>
              <w:rPr>
                <w:rFonts w:cs="Calibri"/>
              </w:rPr>
              <w:t>†</w:t>
            </w:r>
          </w:p>
        </w:tc>
        <w:tc>
          <w:tcPr>
            <w:tcW w:w="938" w:type="dxa"/>
            <w:tcBorders>
              <w:left w:val="single" w:sz="4" w:space="0" w:color="auto"/>
              <w:bottom w:val="nil"/>
              <w:right w:val="single" w:sz="4" w:space="0" w:color="auto"/>
            </w:tcBorders>
          </w:tcPr>
          <w:p w14:paraId="4440C548" w14:textId="77777777" w:rsidR="00FE6A89" w:rsidRDefault="00FE6A89" w:rsidP="006C55CC">
            <w:pPr>
              <w:pStyle w:val="BodyText"/>
              <w:cnfStyle w:val="000000100000" w:firstRow="0" w:lastRow="0" w:firstColumn="0" w:lastColumn="0" w:oddVBand="0" w:evenVBand="0" w:oddHBand="1" w:evenHBand="0" w:firstRowFirstColumn="0" w:firstRowLastColumn="0" w:lastRowFirstColumn="0" w:lastRowLastColumn="0"/>
            </w:pPr>
            <w:r>
              <w:t>8.8</w:t>
            </w:r>
          </w:p>
        </w:tc>
        <w:tc>
          <w:tcPr>
            <w:tcW w:w="854" w:type="dxa"/>
            <w:tcBorders>
              <w:left w:val="single" w:sz="4" w:space="0" w:color="auto"/>
              <w:bottom w:val="nil"/>
              <w:right w:val="single" w:sz="4" w:space="0" w:color="auto"/>
            </w:tcBorders>
          </w:tcPr>
          <w:p w14:paraId="03DD2A49" w14:textId="77777777" w:rsidR="00FE6A89" w:rsidRDefault="00FE6A89" w:rsidP="006C55CC">
            <w:pPr>
              <w:pStyle w:val="BodyText"/>
              <w:cnfStyle w:val="000000100000" w:firstRow="0" w:lastRow="0" w:firstColumn="0" w:lastColumn="0" w:oddVBand="0" w:evenVBand="0" w:oddHBand="1" w:evenHBand="0" w:firstRowFirstColumn="0" w:firstRowLastColumn="0" w:lastRowFirstColumn="0" w:lastRowLastColumn="0"/>
            </w:pPr>
            <w:r>
              <w:t>31.4</w:t>
            </w:r>
            <w:r>
              <w:rPr>
                <w:rFonts w:cs="Calibri"/>
              </w:rPr>
              <w:t>†</w:t>
            </w:r>
          </w:p>
        </w:tc>
      </w:tr>
      <w:tr w:rsidR="00FE6A89" w14:paraId="3C3C8FC0" w14:textId="77777777" w:rsidTr="006C55CC">
        <w:tc>
          <w:tcPr>
            <w:cnfStyle w:val="001000000000" w:firstRow="0" w:lastRow="0" w:firstColumn="1" w:lastColumn="0" w:oddVBand="0" w:evenVBand="0" w:oddHBand="0" w:evenHBand="0" w:firstRowFirstColumn="0" w:firstRowLastColumn="0" w:lastRowFirstColumn="0" w:lastRowLastColumn="0"/>
            <w:tcW w:w="1102" w:type="dxa"/>
            <w:tcBorders>
              <w:left w:val="single" w:sz="4" w:space="0" w:color="auto"/>
              <w:bottom w:val="nil"/>
              <w:right w:val="single" w:sz="4" w:space="0" w:color="auto"/>
            </w:tcBorders>
          </w:tcPr>
          <w:p w14:paraId="1A8F45BA" w14:textId="77777777" w:rsidR="00FE6A89" w:rsidRDefault="00FE6A89" w:rsidP="006C55CC">
            <w:pPr>
              <w:pStyle w:val="BodyText"/>
            </w:pPr>
            <w:r>
              <w:t>Females (2013)</w:t>
            </w:r>
          </w:p>
        </w:tc>
        <w:tc>
          <w:tcPr>
            <w:tcW w:w="933" w:type="dxa"/>
            <w:tcBorders>
              <w:left w:val="single" w:sz="4" w:space="0" w:color="auto"/>
              <w:bottom w:val="nil"/>
              <w:right w:val="single" w:sz="4" w:space="0" w:color="auto"/>
            </w:tcBorders>
          </w:tcPr>
          <w:p w14:paraId="0572AF97" w14:textId="77777777" w:rsidR="00FE6A89" w:rsidRDefault="00FE6A89" w:rsidP="006C55CC">
            <w:pPr>
              <w:pStyle w:val="BodyText"/>
              <w:cnfStyle w:val="000000000000" w:firstRow="0" w:lastRow="0" w:firstColumn="0" w:lastColumn="0" w:oddVBand="0" w:evenVBand="0" w:oddHBand="0" w:evenHBand="0" w:firstRowFirstColumn="0" w:firstRowLastColumn="0" w:lastRowFirstColumn="0" w:lastRowLastColumn="0"/>
            </w:pPr>
            <w:r>
              <w:t>43.4</w:t>
            </w:r>
          </w:p>
        </w:tc>
        <w:tc>
          <w:tcPr>
            <w:tcW w:w="935" w:type="dxa"/>
            <w:tcBorders>
              <w:left w:val="single" w:sz="4" w:space="0" w:color="auto"/>
              <w:bottom w:val="nil"/>
              <w:right w:val="single" w:sz="4" w:space="0" w:color="auto"/>
            </w:tcBorders>
          </w:tcPr>
          <w:p w14:paraId="1BC6DE1E" w14:textId="77777777" w:rsidR="00FE6A89" w:rsidRDefault="00FE6A89" w:rsidP="006C55CC">
            <w:pPr>
              <w:pStyle w:val="BodyText"/>
              <w:cnfStyle w:val="000000000000" w:firstRow="0" w:lastRow="0" w:firstColumn="0" w:lastColumn="0" w:oddVBand="0" w:evenVBand="0" w:oddHBand="0" w:evenHBand="0" w:firstRowFirstColumn="0" w:firstRowLastColumn="0" w:lastRowFirstColumn="0" w:lastRowLastColumn="0"/>
            </w:pPr>
            <w:r>
              <w:t>24.1</w:t>
            </w:r>
          </w:p>
        </w:tc>
        <w:tc>
          <w:tcPr>
            <w:tcW w:w="935" w:type="dxa"/>
            <w:tcBorders>
              <w:left w:val="single" w:sz="4" w:space="0" w:color="auto"/>
              <w:bottom w:val="nil"/>
              <w:right w:val="single" w:sz="4" w:space="0" w:color="auto"/>
            </w:tcBorders>
          </w:tcPr>
          <w:p w14:paraId="3743E975" w14:textId="77777777" w:rsidR="00FE6A89" w:rsidRDefault="00FE6A89" w:rsidP="006C55CC">
            <w:pPr>
              <w:pStyle w:val="BodyText"/>
              <w:cnfStyle w:val="000000000000" w:firstRow="0" w:lastRow="0" w:firstColumn="0" w:lastColumn="0" w:oddVBand="0" w:evenVBand="0" w:oddHBand="0" w:evenHBand="0" w:firstRowFirstColumn="0" w:firstRowLastColumn="0" w:lastRowFirstColumn="0" w:lastRowLastColumn="0"/>
            </w:pPr>
            <w:r>
              <w:t>25.4</w:t>
            </w:r>
          </w:p>
        </w:tc>
        <w:tc>
          <w:tcPr>
            <w:tcW w:w="935" w:type="dxa"/>
            <w:tcBorders>
              <w:left w:val="single" w:sz="4" w:space="0" w:color="auto"/>
              <w:bottom w:val="nil"/>
              <w:right w:val="single" w:sz="4" w:space="0" w:color="auto"/>
            </w:tcBorders>
          </w:tcPr>
          <w:p w14:paraId="43600F10" w14:textId="77777777" w:rsidR="00FE6A89" w:rsidRDefault="00FE6A89" w:rsidP="006C55CC">
            <w:pPr>
              <w:pStyle w:val="BodyText"/>
              <w:cnfStyle w:val="000000000000" w:firstRow="0" w:lastRow="0" w:firstColumn="0" w:lastColumn="0" w:oddVBand="0" w:evenVBand="0" w:oddHBand="0" w:evenHBand="0" w:firstRowFirstColumn="0" w:firstRowLastColumn="0" w:lastRowFirstColumn="0" w:lastRowLastColumn="0"/>
            </w:pPr>
            <w:r>
              <w:t>16.3</w:t>
            </w:r>
          </w:p>
        </w:tc>
        <w:tc>
          <w:tcPr>
            <w:tcW w:w="935" w:type="dxa"/>
            <w:tcBorders>
              <w:left w:val="single" w:sz="4" w:space="0" w:color="auto"/>
              <w:bottom w:val="nil"/>
              <w:right w:val="single" w:sz="4" w:space="0" w:color="auto"/>
            </w:tcBorders>
          </w:tcPr>
          <w:p w14:paraId="572E9F52" w14:textId="77777777" w:rsidR="00FE6A89" w:rsidRDefault="00FE6A89" w:rsidP="006C55CC">
            <w:pPr>
              <w:pStyle w:val="BodyText"/>
              <w:cnfStyle w:val="000000000000" w:firstRow="0" w:lastRow="0" w:firstColumn="0" w:lastColumn="0" w:oddVBand="0" w:evenVBand="0" w:oddHBand="0" w:evenHBand="0" w:firstRowFirstColumn="0" w:firstRowLastColumn="0" w:lastRowFirstColumn="0" w:lastRowLastColumn="0"/>
            </w:pPr>
            <w:r>
              <w:t>14.2</w:t>
            </w:r>
          </w:p>
        </w:tc>
        <w:tc>
          <w:tcPr>
            <w:tcW w:w="935" w:type="dxa"/>
            <w:tcBorders>
              <w:left w:val="single" w:sz="4" w:space="0" w:color="auto"/>
              <w:bottom w:val="nil"/>
              <w:right w:val="single" w:sz="4" w:space="0" w:color="auto"/>
            </w:tcBorders>
          </w:tcPr>
          <w:p w14:paraId="32A2E3B5" w14:textId="77777777" w:rsidR="00FE6A89" w:rsidRDefault="00FE6A89" w:rsidP="006C55CC">
            <w:pPr>
              <w:pStyle w:val="BodyText"/>
              <w:cnfStyle w:val="000000000000" w:firstRow="0" w:lastRow="0" w:firstColumn="0" w:lastColumn="0" w:oddVBand="0" w:evenVBand="0" w:oddHBand="0" w:evenHBand="0" w:firstRowFirstColumn="0" w:firstRowLastColumn="0" w:lastRowFirstColumn="0" w:lastRowLastColumn="0"/>
            </w:pPr>
            <w:r>
              <w:t>15.1</w:t>
            </w:r>
          </w:p>
        </w:tc>
        <w:tc>
          <w:tcPr>
            <w:tcW w:w="935" w:type="dxa"/>
            <w:tcBorders>
              <w:left w:val="single" w:sz="4" w:space="0" w:color="auto"/>
              <w:bottom w:val="nil"/>
              <w:right w:val="single" w:sz="4" w:space="0" w:color="auto"/>
            </w:tcBorders>
          </w:tcPr>
          <w:p w14:paraId="2E066535" w14:textId="77777777" w:rsidR="00FE6A89" w:rsidRDefault="00FE6A89" w:rsidP="006C55CC">
            <w:pPr>
              <w:pStyle w:val="BodyText"/>
              <w:cnfStyle w:val="000000000000" w:firstRow="0" w:lastRow="0" w:firstColumn="0" w:lastColumn="0" w:oddVBand="0" w:evenVBand="0" w:oddHBand="0" w:evenHBand="0" w:firstRowFirstColumn="0" w:firstRowLastColumn="0" w:lastRowFirstColumn="0" w:lastRowLastColumn="0"/>
            </w:pPr>
            <w:r>
              <w:t>10.1</w:t>
            </w:r>
          </w:p>
        </w:tc>
        <w:tc>
          <w:tcPr>
            <w:tcW w:w="938" w:type="dxa"/>
            <w:tcBorders>
              <w:left w:val="single" w:sz="4" w:space="0" w:color="auto"/>
              <w:bottom w:val="nil"/>
              <w:right w:val="single" w:sz="4" w:space="0" w:color="auto"/>
            </w:tcBorders>
          </w:tcPr>
          <w:p w14:paraId="46655C8C" w14:textId="77777777" w:rsidR="00FE6A89" w:rsidRDefault="00FE6A89" w:rsidP="006C55CC">
            <w:pPr>
              <w:pStyle w:val="BodyText"/>
              <w:cnfStyle w:val="000000000000" w:firstRow="0" w:lastRow="0" w:firstColumn="0" w:lastColumn="0" w:oddVBand="0" w:evenVBand="0" w:oddHBand="0" w:evenHBand="0" w:firstRowFirstColumn="0" w:firstRowLastColumn="0" w:lastRowFirstColumn="0" w:lastRowLastColumn="0"/>
            </w:pPr>
            <w:r>
              <w:t>11.8</w:t>
            </w:r>
          </w:p>
        </w:tc>
        <w:tc>
          <w:tcPr>
            <w:tcW w:w="854" w:type="dxa"/>
            <w:tcBorders>
              <w:left w:val="single" w:sz="4" w:space="0" w:color="auto"/>
              <w:bottom w:val="nil"/>
              <w:right w:val="single" w:sz="4" w:space="0" w:color="auto"/>
            </w:tcBorders>
          </w:tcPr>
          <w:p w14:paraId="399C4CD6" w14:textId="77777777" w:rsidR="00FE6A89" w:rsidRDefault="00FE6A89" w:rsidP="006C55CC">
            <w:pPr>
              <w:pStyle w:val="BodyText"/>
              <w:cnfStyle w:val="000000000000" w:firstRow="0" w:lastRow="0" w:firstColumn="0" w:lastColumn="0" w:oddVBand="0" w:evenVBand="0" w:oddHBand="0" w:evenHBand="0" w:firstRowFirstColumn="0" w:firstRowLastColumn="0" w:lastRowFirstColumn="0" w:lastRowLastColumn="0"/>
            </w:pPr>
            <w:r>
              <w:t>17.1</w:t>
            </w:r>
          </w:p>
        </w:tc>
      </w:tr>
      <w:tr w:rsidR="00FE6A89" w14:paraId="3EA55660" w14:textId="77777777" w:rsidTr="006C55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tcBorders>
              <w:left w:val="single" w:sz="4" w:space="0" w:color="auto"/>
              <w:bottom w:val="single" w:sz="4" w:space="0" w:color="auto"/>
              <w:right w:val="single" w:sz="4" w:space="0" w:color="auto"/>
            </w:tcBorders>
          </w:tcPr>
          <w:p w14:paraId="7A6382B3" w14:textId="77777777" w:rsidR="00FE6A89" w:rsidRDefault="00FE6A89" w:rsidP="006C55CC">
            <w:pPr>
              <w:pStyle w:val="BodyText"/>
            </w:pPr>
            <w:r>
              <w:t xml:space="preserve">Females (2016) </w:t>
            </w:r>
          </w:p>
        </w:tc>
        <w:tc>
          <w:tcPr>
            <w:tcW w:w="933" w:type="dxa"/>
            <w:tcBorders>
              <w:left w:val="single" w:sz="4" w:space="0" w:color="auto"/>
              <w:bottom w:val="single" w:sz="4" w:space="0" w:color="auto"/>
              <w:right w:val="single" w:sz="4" w:space="0" w:color="auto"/>
            </w:tcBorders>
          </w:tcPr>
          <w:p w14:paraId="569A17F1" w14:textId="77777777" w:rsidR="00FE6A89" w:rsidRDefault="00FE6A89" w:rsidP="006C55CC">
            <w:pPr>
              <w:pStyle w:val="BodyText"/>
              <w:cnfStyle w:val="000000100000" w:firstRow="0" w:lastRow="0" w:firstColumn="0" w:lastColumn="0" w:oddVBand="0" w:evenVBand="0" w:oddHBand="1" w:evenHBand="0" w:firstRowFirstColumn="0" w:firstRowLastColumn="0" w:lastRowFirstColumn="0" w:lastRowLastColumn="0"/>
            </w:pPr>
            <w:r>
              <w:t>52.1</w:t>
            </w:r>
          </w:p>
        </w:tc>
        <w:tc>
          <w:tcPr>
            <w:tcW w:w="935" w:type="dxa"/>
            <w:tcBorders>
              <w:left w:val="single" w:sz="4" w:space="0" w:color="auto"/>
              <w:bottom w:val="single" w:sz="4" w:space="0" w:color="auto"/>
              <w:right w:val="single" w:sz="4" w:space="0" w:color="auto"/>
            </w:tcBorders>
          </w:tcPr>
          <w:p w14:paraId="70956FC2" w14:textId="77777777" w:rsidR="00FE6A89" w:rsidRDefault="00FE6A89" w:rsidP="006C55CC">
            <w:pPr>
              <w:pStyle w:val="BodyText"/>
              <w:cnfStyle w:val="000000100000" w:firstRow="0" w:lastRow="0" w:firstColumn="0" w:lastColumn="0" w:oddVBand="0" w:evenVBand="0" w:oddHBand="1" w:evenHBand="0" w:firstRowFirstColumn="0" w:firstRowLastColumn="0" w:lastRowFirstColumn="0" w:lastRowLastColumn="0"/>
            </w:pPr>
            <w:r>
              <w:t>50.4</w:t>
            </w:r>
            <w:r>
              <w:rPr>
                <w:rFonts w:cs="Calibri"/>
              </w:rPr>
              <w:t>†</w:t>
            </w:r>
          </w:p>
        </w:tc>
        <w:tc>
          <w:tcPr>
            <w:tcW w:w="935" w:type="dxa"/>
            <w:tcBorders>
              <w:left w:val="single" w:sz="4" w:space="0" w:color="auto"/>
              <w:bottom w:val="single" w:sz="4" w:space="0" w:color="auto"/>
              <w:right w:val="single" w:sz="4" w:space="0" w:color="auto"/>
            </w:tcBorders>
          </w:tcPr>
          <w:p w14:paraId="2FED654E" w14:textId="77777777" w:rsidR="00FE6A89" w:rsidRDefault="00FE6A89" w:rsidP="006C55CC">
            <w:pPr>
              <w:pStyle w:val="BodyText"/>
              <w:cnfStyle w:val="000000100000" w:firstRow="0" w:lastRow="0" w:firstColumn="0" w:lastColumn="0" w:oddVBand="0" w:evenVBand="0" w:oddHBand="1" w:evenHBand="0" w:firstRowFirstColumn="0" w:firstRowLastColumn="0" w:lastRowFirstColumn="0" w:lastRowLastColumn="0"/>
            </w:pPr>
            <w:r>
              <w:t>32.5</w:t>
            </w:r>
          </w:p>
        </w:tc>
        <w:tc>
          <w:tcPr>
            <w:tcW w:w="935" w:type="dxa"/>
            <w:tcBorders>
              <w:left w:val="single" w:sz="4" w:space="0" w:color="auto"/>
              <w:bottom w:val="single" w:sz="4" w:space="0" w:color="auto"/>
              <w:right w:val="single" w:sz="4" w:space="0" w:color="auto"/>
            </w:tcBorders>
          </w:tcPr>
          <w:p w14:paraId="415436AE" w14:textId="77777777" w:rsidR="00FE6A89" w:rsidRDefault="00FE6A89" w:rsidP="006C55CC">
            <w:pPr>
              <w:pStyle w:val="BodyText"/>
              <w:cnfStyle w:val="000000100000" w:firstRow="0" w:lastRow="0" w:firstColumn="0" w:lastColumn="0" w:oddVBand="0" w:evenVBand="0" w:oddHBand="1" w:evenHBand="0" w:firstRowFirstColumn="0" w:firstRowLastColumn="0" w:lastRowFirstColumn="0" w:lastRowLastColumn="0"/>
            </w:pPr>
            <w:r>
              <w:t>39.1</w:t>
            </w:r>
            <w:r>
              <w:rPr>
                <w:rFonts w:cs="Calibri"/>
              </w:rPr>
              <w:t>†</w:t>
            </w:r>
          </w:p>
        </w:tc>
        <w:tc>
          <w:tcPr>
            <w:tcW w:w="935" w:type="dxa"/>
            <w:tcBorders>
              <w:left w:val="single" w:sz="4" w:space="0" w:color="auto"/>
              <w:bottom w:val="single" w:sz="4" w:space="0" w:color="auto"/>
              <w:right w:val="single" w:sz="4" w:space="0" w:color="auto"/>
            </w:tcBorders>
          </w:tcPr>
          <w:p w14:paraId="56C286C7" w14:textId="77777777" w:rsidR="00FE6A89" w:rsidRDefault="00FE6A89" w:rsidP="006C55CC">
            <w:pPr>
              <w:pStyle w:val="BodyText"/>
              <w:cnfStyle w:val="000000100000" w:firstRow="0" w:lastRow="0" w:firstColumn="0" w:lastColumn="0" w:oddVBand="0" w:evenVBand="0" w:oddHBand="1" w:evenHBand="0" w:firstRowFirstColumn="0" w:firstRowLastColumn="0" w:lastRowFirstColumn="0" w:lastRowLastColumn="0"/>
            </w:pPr>
            <w:r>
              <w:t>22.2</w:t>
            </w:r>
            <w:r>
              <w:rPr>
                <w:rFonts w:cs="Calibri"/>
              </w:rPr>
              <w:t>†</w:t>
            </w:r>
          </w:p>
        </w:tc>
        <w:tc>
          <w:tcPr>
            <w:tcW w:w="935" w:type="dxa"/>
            <w:tcBorders>
              <w:left w:val="single" w:sz="4" w:space="0" w:color="auto"/>
              <w:bottom w:val="single" w:sz="4" w:space="0" w:color="auto"/>
              <w:right w:val="single" w:sz="4" w:space="0" w:color="auto"/>
            </w:tcBorders>
          </w:tcPr>
          <w:p w14:paraId="7FB96AC3" w14:textId="77777777" w:rsidR="00FE6A89" w:rsidRDefault="00FE6A89" w:rsidP="006C55CC">
            <w:pPr>
              <w:pStyle w:val="BodyText"/>
              <w:cnfStyle w:val="000000100000" w:firstRow="0" w:lastRow="0" w:firstColumn="0" w:lastColumn="0" w:oddVBand="0" w:evenVBand="0" w:oddHBand="1" w:evenHBand="0" w:firstRowFirstColumn="0" w:firstRowLastColumn="0" w:lastRowFirstColumn="0" w:lastRowLastColumn="0"/>
            </w:pPr>
            <w:r>
              <w:t>22.5</w:t>
            </w:r>
            <w:r>
              <w:rPr>
                <w:rFonts w:cs="Calibri"/>
              </w:rPr>
              <w:t>†</w:t>
            </w:r>
          </w:p>
        </w:tc>
        <w:tc>
          <w:tcPr>
            <w:tcW w:w="935" w:type="dxa"/>
            <w:tcBorders>
              <w:left w:val="single" w:sz="4" w:space="0" w:color="auto"/>
              <w:bottom w:val="single" w:sz="4" w:space="0" w:color="auto"/>
              <w:right w:val="single" w:sz="4" w:space="0" w:color="auto"/>
            </w:tcBorders>
          </w:tcPr>
          <w:p w14:paraId="0741BF51" w14:textId="77777777" w:rsidR="00FE6A89" w:rsidRDefault="00FE6A89" w:rsidP="006C55CC">
            <w:pPr>
              <w:pStyle w:val="BodyText"/>
              <w:cnfStyle w:val="000000100000" w:firstRow="0" w:lastRow="0" w:firstColumn="0" w:lastColumn="0" w:oddVBand="0" w:evenVBand="0" w:oddHBand="1" w:evenHBand="0" w:firstRowFirstColumn="0" w:firstRowLastColumn="0" w:lastRowFirstColumn="0" w:lastRowLastColumn="0"/>
            </w:pPr>
            <w:r>
              <w:t>22.6</w:t>
            </w:r>
            <w:r>
              <w:rPr>
                <w:rFonts w:cs="Calibri"/>
              </w:rPr>
              <w:t>†</w:t>
            </w:r>
          </w:p>
        </w:tc>
        <w:tc>
          <w:tcPr>
            <w:tcW w:w="938" w:type="dxa"/>
            <w:tcBorders>
              <w:left w:val="single" w:sz="4" w:space="0" w:color="auto"/>
              <w:bottom w:val="single" w:sz="4" w:space="0" w:color="auto"/>
              <w:right w:val="single" w:sz="4" w:space="0" w:color="auto"/>
            </w:tcBorders>
          </w:tcPr>
          <w:p w14:paraId="00553F4D" w14:textId="77777777" w:rsidR="00FE6A89" w:rsidRDefault="00FE6A89" w:rsidP="006C55CC">
            <w:pPr>
              <w:pStyle w:val="BodyText"/>
              <w:cnfStyle w:val="000000100000" w:firstRow="0" w:lastRow="0" w:firstColumn="0" w:lastColumn="0" w:oddVBand="0" w:evenVBand="0" w:oddHBand="1" w:evenHBand="0" w:firstRowFirstColumn="0" w:firstRowLastColumn="0" w:lastRowFirstColumn="0" w:lastRowLastColumn="0"/>
            </w:pPr>
            <w:r>
              <w:t>15.3</w:t>
            </w:r>
          </w:p>
        </w:tc>
        <w:tc>
          <w:tcPr>
            <w:tcW w:w="854" w:type="dxa"/>
            <w:tcBorders>
              <w:left w:val="single" w:sz="4" w:space="0" w:color="auto"/>
              <w:bottom w:val="single" w:sz="4" w:space="0" w:color="auto"/>
              <w:right w:val="single" w:sz="4" w:space="0" w:color="auto"/>
            </w:tcBorders>
          </w:tcPr>
          <w:p w14:paraId="616A1B47" w14:textId="77777777" w:rsidR="00FE6A89" w:rsidRDefault="00FE6A89" w:rsidP="006C55CC">
            <w:pPr>
              <w:pStyle w:val="BodyText"/>
              <w:cnfStyle w:val="000000100000" w:firstRow="0" w:lastRow="0" w:firstColumn="0" w:lastColumn="0" w:oddVBand="0" w:evenVBand="0" w:oddHBand="1" w:evenHBand="0" w:firstRowFirstColumn="0" w:firstRowLastColumn="0" w:lastRowFirstColumn="0" w:lastRowLastColumn="0"/>
            </w:pPr>
            <w:r>
              <w:t>30.0</w:t>
            </w:r>
            <w:r>
              <w:rPr>
                <w:rFonts w:cs="Calibri"/>
              </w:rPr>
              <w:t>†</w:t>
            </w:r>
          </w:p>
        </w:tc>
      </w:tr>
    </w:tbl>
    <w:p w14:paraId="67EF7218" w14:textId="77777777" w:rsidR="00FE6A89" w:rsidRDefault="00FE6A89" w:rsidP="00FE6A89">
      <w:pPr>
        <w:pStyle w:val="FigureTableSource"/>
      </w:pPr>
      <w:r>
        <w:rPr>
          <w:rFonts w:cs="Calibri"/>
        </w:rPr>
        <w:t>†</w:t>
      </w:r>
      <w:r>
        <w:t xml:space="preserve"> </w:t>
      </w:r>
      <w:r>
        <w:noBreakHyphen/>
        <w:t xml:space="preserve"> statistically significant difference between 2013 and 2016</w:t>
      </w:r>
    </w:p>
    <w:p w14:paraId="67F8FF06" w14:textId="77777777" w:rsidR="00FE6A89" w:rsidRDefault="00FE6A89" w:rsidP="00FE6A89">
      <w:pPr>
        <w:pStyle w:val="BodyText"/>
      </w:pPr>
      <w:r>
        <w:t>The percentage of ‘ever use’ of e</w:t>
      </w:r>
      <w:r>
        <w:noBreakHyphen/>
        <w:t xml:space="preserve">cigarettes in the Australian adult population has increased between 2013 and 2016 (Table </w:t>
      </w:r>
      <w:r w:rsidR="003D2CBD">
        <w:t>19</w:t>
      </w:r>
      <w:r>
        <w:t>) particularly for age groups between 19 and 69 years. At all ages, experimentation with e</w:t>
      </w:r>
      <w:r>
        <w:noBreakHyphen/>
        <w:t>cigarettes once or twice makes up the largest percentage of the ‘ever use’ category.</w:t>
      </w:r>
    </w:p>
    <w:p w14:paraId="565C7021" w14:textId="77777777" w:rsidR="00FE6A89" w:rsidRDefault="00FE6A89">
      <w:pPr>
        <w:spacing w:after="0"/>
        <w:rPr>
          <w:sz w:val="24"/>
        </w:rPr>
      </w:pPr>
      <w:r>
        <w:br w:type="page"/>
      </w:r>
    </w:p>
    <w:p w14:paraId="334691DB" w14:textId="77777777" w:rsidR="00FE6A89" w:rsidRDefault="00FE6A89" w:rsidP="00FE6A89">
      <w:pPr>
        <w:pStyle w:val="BodyText"/>
      </w:pPr>
    </w:p>
    <w:p w14:paraId="35565FAB" w14:textId="77777777" w:rsidR="00FE6A89" w:rsidRDefault="003D2CBD" w:rsidP="003D2CBD">
      <w:pPr>
        <w:pStyle w:val="Caption"/>
      </w:pPr>
      <w:bookmarkStart w:id="219" w:name="_Toc516736713"/>
      <w:bookmarkStart w:id="220" w:name="_Toc517707429"/>
      <w:r>
        <w:t xml:space="preserve">Table </w:t>
      </w:r>
      <w:r w:rsidR="0048064B">
        <w:rPr>
          <w:noProof/>
        </w:rPr>
        <w:fldChar w:fldCharType="begin"/>
      </w:r>
      <w:r w:rsidR="0048064B">
        <w:rPr>
          <w:noProof/>
        </w:rPr>
        <w:instrText xml:space="preserve"> SEQ Table \* ARABIC </w:instrText>
      </w:r>
      <w:r w:rsidR="0048064B">
        <w:rPr>
          <w:noProof/>
        </w:rPr>
        <w:fldChar w:fldCharType="separate"/>
      </w:r>
      <w:r w:rsidR="000C06DA">
        <w:rPr>
          <w:noProof/>
        </w:rPr>
        <w:t>20</w:t>
      </w:r>
      <w:r w:rsidR="0048064B">
        <w:rPr>
          <w:noProof/>
        </w:rPr>
        <w:fldChar w:fldCharType="end"/>
      </w:r>
      <w:r w:rsidR="00FE6A89">
        <w:t>: Prevalence of e</w:t>
      </w:r>
      <w:r w:rsidR="00FE6A89">
        <w:noBreakHyphen/>
        <w:t>cigarette use (%) in Australia by smoking status (aged 14 years +, 2016).</w:t>
      </w:r>
      <w:bookmarkEnd w:id="219"/>
      <w:bookmarkEnd w:id="220"/>
      <w:r w:rsidR="00FE6A89">
        <w:t xml:space="preserve"> </w:t>
      </w:r>
    </w:p>
    <w:tbl>
      <w:tblPr>
        <w:tblStyle w:val="TableCSIRO"/>
        <w:tblW w:w="0" w:type="auto"/>
        <w:tblLook w:val="04A0" w:firstRow="1" w:lastRow="0" w:firstColumn="1" w:lastColumn="0" w:noHBand="0" w:noVBand="1"/>
      </w:tblPr>
      <w:tblGrid>
        <w:gridCol w:w="1796"/>
        <w:gridCol w:w="1797"/>
        <w:gridCol w:w="899"/>
        <w:gridCol w:w="898"/>
        <w:gridCol w:w="1797"/>
        <w:gridCol w:w="1797"/>
      </w:tblGrid>
      <w:tr w:rsidR="00FE6A89" w:rsidRPr="007E2FEB" w14:paraId="39E90943" w14:textId="77777777" w:rsidTr="006C55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2" w:type="dxa"/>
            <w:gridSpan w:val="3"/>
          </w:tcPr>
          <w:p w14:paraId="4DA0E62E" w14:textId="7295731E" w:rsidR="00FE6A89" w:rsidRPr="007E2FEB" w:rsidRDefault="00FE6A89" w:rsidP="00E9656F">
            <w:pPr>
              <w:pStyle w:val="BodyText"/>
              <w:jc w:val="center"/>
              <w:rPr>
                <w:color w:val="FFFFFF" w:themeColor="background1"/>
              </w:rPr>
            </w:pPr>
          </w:p>
        </w:tc>
        <w:tc>
          <w:tcPr>
            <w:tcW w:w="4492" w:type="dxa"/>
            <w:gridSpan w:val="3"/>
          </w:tcPr>
          <w:p w14:paraId="30AB625B" w14:textId="77777777" w:rsidR="00FE6A89" w:rsidRPr="007E2FEB" w:rsidRDefault="00FE6A89" w:rsidP="00E9656F">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Cigarette use</w:t>
            </w:r>
          </w:p>
        </w:tc>
      </w:tr>
      <w:tr w:rsidR="00FE6A89" w:rsidRPr="007E2FEB" w14:paraId="62EE8898" w14:textId="77777777" w:rsidTr="006C55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6" w:type="dxa"/>
            <w:tcBorders>
              <w:bottom w:val="nil"/>
            </w:tcBorders>
            <w:shd w:val="clear" w:color="auto" w:fill="000000" w:themeFill="text1"/>
          </w:tcPr>
          <w:p w14:paraId="3C151EC4" w14:textId="77777777" w:rsidR="00FE6A89" w:rsidRPr="007E2FEB" w:rsidRDefault="00FE6A89" w:rsidP="006C55CC">
            <w:pPr>
              <w:pStyle w:val="BodyText"/>
              <w:rPr>
                <w:color w:val="FFFFFF" w:themeColor="background1"/>
              </w:rPr>
            </w:pPr>
            <w:r>
              <w:rPr>
                <w:color w:val="FFFFFF" w:themeColor="background1"/>
              </w:rPr>
              <w:t>E</w:t>
            </w:r>
            <w:r>
              <w:rPr>
                <w:color w:val="FFFFFF" w:themeColor="background1"/>
              </w:rPr>
              <w:noBreakHyphen/>
              <w:t>cigarette use</w:t>
            </w:r>
          </w:p>
        </w:tc>
        <w:tc>
          <w:tcPr>
            <w:tcW w:w="1797" w:type="dxa"/>
            <w:tcBorders>
              <w:bottom w:val="nil"/>
            </w:tcBorders>
            <w:shd w:val="clear" w:color="auto" w:fill="000000" w:themeFill="text1"/>
          </w:tcPr>
          <w:p w14:paraId="114A0D5D" w14:textId="77777777" w:rsidR="00FE6A89" w:rsidRPr="007E2FEB" w:rsidRDefault="00FE6A89" w:rsidP="006C55CC">
            <w:pPr>
              <w:pStyle w:val="BodyText"/>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Pr>
                <w:color w:val="FFFFFF" w:themeColor="background1"/>
              </w:rPr>
              <w:t>Smokers</w:t>
            </w:r>
          </w:p>
        </w:tc>
        <w:tc>
          <w:tcPr>
            <w:tcW w:w="1797" w:type="dxa"/>
            <w:gridSpan w:val="2"/>
            <w:tcBorders>
              <w:bottom w:val="nil"/>
            </w:tcBorders>
            <w:shd w:val="clear" w:color="auto" w:fill="000000" w:themeFill="text1"/>
          </w:tcPr>
          <w:p w14:paraId="60EF5930" w14:textId="77777777" w:rsidR="00FE6A89" w:rsidRPr="007E2FEB" w:rsidRDefault="00FE6A89" w:rsidP="006C55CC">
            <w:pPr>
              <w:pStyle w:val="BodyText"/>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Pr>
                <w:color w:val="FFFFFF" w:themeColor="background1"/>
              </w:rPr>
              <w:t>Ex</w:t>
            </w:r>
            <w:r>
              <w:rPr>
                <w:color w:val="FFFFFF" w:themeColor="background1"/>
              </w:rPr>
              <w:noBreakHyphen/>
              <w:t>smokers</w:t>
            </w:r>
          </w:p>
        </w:tc>
        <w:tc>
          <w:tcPr>
            <w:tcW w:w="1797" w:type="dxa"/>
            <w:tcBorders>
              <w:bottom w:val="nil"/>
            </w:tcBorders>
            <w:shd w:val="clear" w:color="auto" w:fill="000000" w:themeFill="text1"/>
          </w:tcPr>
          <w:p w14:paraId="593D6D50" w14:textId="77777777" w:rsidR="00FE6A89" w:rsidRPr="007E2FEB" w:rsidRDefault="00FE6A89" w:rsidP="006C55CC">
            <w:pPr>
              <w:pStyle w:val="BodyText"/>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Pr>
                <w:color w:val="FFFFFF" w:themeColor="background1"/>
              </w:rPr>
              <w:t>Never smokers</w:t>
            </w:r>
          </w:p>
        </w:tc>
        <w:tc>
          <w:tcPr>
            <w:tcW w:w="1797" w:type="dxa"/>
            <w:tcBorders>
              <w:bottom w:val="nil"/>
            </w:tcBorders>
            <w:shd w:val="clear" w:color="auto" w:fill="000000" w:themeFill="text1"/>
          </w:tcPr>
          <w:p w14:paraId="24977EF7" w14:textId="77777777" w:rsidR="00FE6A89" w:rsidRPr="007E2FEB" w:rsidRDefault="00FE6A89" w:rsidP="006C55CC">
            <w:pPr>
              <w:pStyle w:val="BodyText"/>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Pr>
                <w:color w:val="FFFFFF" w:themeColor="background1"/>
              </w:rPr>
              <w:t>Total</w:t>
            </w:r>
          </w:p>
        </w:tc>
      </w:tr>
      <w:tr w:rsidR="00FE6A89" w14:paraId="7E723266" w14:textId="77777777" w:rsidTr="006C55CC">
        <w:tc>
          <w:tcPr>
            <w:cnfStyle w:val="001000000000" w:firstRow="0" w:lastRow="0" w:firstColumn="1" w:lastColumn="0" w:oddVBand="0" w:evenVBand="0" w:oddHBand="0" w:evenHBand="0" w:firstRowFirstColumn="0" w:firstRowLastColumn="0" w:lastRowFirstColumn="0" w:lastRowLastColumn="0"/>
            <w:tcW w:w="1796" w:type="dxa"/>
            <w:tcBorders>
              <w:left w:val="single" w:sz="4" w:space="0" w:color="auto"/>
              <w:bottom w:val="nil"/>
              <w:right w:val="single" w:sz="4" w:space="0" w:color="auto"/>
            </w:tcBorders>
          </w:tcPr>
          <w:p w14:paraId="73FB1844" w14:textId="77777777" w:rsidR="00FE6A89" w:rsidRDefault="00FE6A89" w:rsidP="006C55CC">
            <w:pPr>
              <w:pStyle w:val="BodyText"/>
            </w:pPr>
            <w:r>
              <w:t>Daily</w:t>
            </w:r>
          </w:p>
        </w:tc>
        <w:tc>
          <w:tcPr>
            <w:tcW w:w="1797" w:type="dxa"/>
            <w:tcBorders>
              <w:left w:val="single" w:sz="4" w:space="0" w:color="auto"/>
              <w:bottom w:val="nil"/>
              <w:right w:val="single" w:sz="4" w:space="0" w:color="auto"/>
            </w:tcBorders>
          </w:tcPr>
          <w:p w14:paraId="02DEDBDF" w14:textId="77777777" w:rsidR="00FE6A89" w:rsidRDefault="00FE6A89" w:rsidP="006C55CC">
            <w:pPr>
              <w:pStyle w:val="BodyText"/>
              <w:jc w:val="center"/>
              <w:cnfStyle w:val="000000000000" w:firstRow="0" w:lastRow="0" w:firstColumn="0" w:lastColumn="0" w:oddVBand="0" w:evenVBand="0" w:oddHBand="0" w:evenHBand="0" w:firstRowFirstColumn="0" w:firstRowLastColumn="0" w:lastRowFirstColumn="0" w:lastRowLastColumn="0"/>
            </w:pPr>
            <w:r>
              <w:t>1.5</w:t>
            </w:r>
          </w:p>
        </w:tc>
        <w:tc>
          <w:tcPr>
            <w:tcW w:w="1797" w:type="dxa"/>
            <w:gridSpan w:val="2"/>
            <w:tcBorders>
              <w:left w:val="single" w:sz="4" w:space="0" w:color="auto"/>
              <w:bottom w:val="nil"/>
              <w:right w:val="single" w:sz="4" w:space="0" w:color="auto"/>
            </w:tcBorders>
          </w:tcPr>
          <w:p w14:paraId="3AA5B488" w14:textId="77777777" w:rsidR="00FE6A89" w:rsidRDefault="00FE6A89" w:rsidP="006C55CC">
            <w:pPr>
              <w:pStyle w:val="BodyText"/>
              <w:jc w:val="center"/>
              <w:cnfStyle w:val="000000000000" w:firstRow="0" w:lastRow="0" w:firstColumn="0" w:lastColumn="0" w:oddVBand="0" w:evenVBand="0" w:oddHBand="0" w:evenHBand="0" w:firstRowFirstColumn="0" w:firstRowLastColumn="0" w:lastRowFirstColumn="0" w:lastRowLastColumn="0"/>
            </w:pPr>
            <w:r>
              <w:t>0.8</w:t>
            </w:r>
          </w:p>
        </w:tc>
        <w:tc>
          <w:tcPr>
            <w:tcW w:w="1797" w:type="dxa"/>
            <w:tcBorders>
              <w:left w:val="single" w:sz="4" w:space="0" w:color="auto"/>
              <w:bottom w:val="nil"/>
              <w:right w:val="single" w:sz="4" w:space="0" w:color="auto"/>
            </w:tcBorders>
          </w:tcPr>
          <w:p w14:paraId="020B99EF" w14:textId="77777777" w:rsidR="00FE6A89" w:rsidRDefault="00FE6A89" w:rsidP="006C55CC">
            <w:pPr>
              <w:pStyle w:val="BodyText"/>
              <w:jc w:val="center"/>
              <w:cnfStyle w:val="000000000000" w:firstRow="0" w:lastRow="0" w:firstColumn="0" w:lastColumn="0" w:oddVBand="0" w:evenVBand="0" w:oddHBand="0" w:evenHBand="0" w:firstRowFirstColumn="0" w:firstRowLastColumn="0" w:lastRowFirstColumn="0" w:lastRowLastColumn="0"/>
            </w:pPr>
            <w:r>
              <w:t>0.2</w:t>
            </w:r>
          </w:p>
        </w:tc>
        <w:tc>
          <w:tcPr>
            <w:tcW w:w="1797" w:type="dxa"/>
            <w:tcBorders>
              <w:left w:val="single" w:sz="4" w:space="0" w:color="auto"/>
              <w:bottom w:val="nil"/>
              <w:right w:val="single" w:sz="4" w:space="0" w:color="auto"/>
            </w:tcBorders>
          </w:tcPr>
          <w:p w14:paraId="121D05BF" w14:textId="77777777" w:rsidR="00FE6A89" w:rsidRDefault="00FE6A89" w:rsidP="006C55CC">
            <w:pPr>
              <w:pStyle w:val="BodyText"/>
              <w:jc w:val="center"/>
              <w:cnfStyle w:val="000000000000" w:firstRow="0" w:lastRow="0" w:firstColumn="0" w:lastColumn="0" w:oddVBand="0" w:evenVBand="0" w:oddHBand="0" w:evenHBand="0" w:firstRowFirstColumn="0" w:firstRowLastColumn="0" w:lastRowFirstColumn="0" w:lastRowLastColumn="0"/>
            </w:pPr>
            <w:r>
              <w:t>0.5</w:t>
            </w:r>
          </w:p>
        </w:tc>
      </w:tr>
      <w:tr w:rsidR="00FE6A89" w14:paraId="22361AA5" w14:textId="77777777" w:rsidTr="006C55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6" w:type="dxa"/>
            <w:tcBorders>
              <w:left w:val="single" w:sz="4" w:space="0" w:color="auto"/>
              <w:bottom w:val="nil"/>
              <w:right w:val="single" w:sz="4" w:space="0" w:color="auto"/>
            </w:tcBorders>
          </w:tcPr>
          <w:p w14:paraId="7E0464DE" w14:textId="77777777" w:rsidR="00FE6A89" w:rsidRDefault="00FE6A89" w:rsidP="006C55CC">
            <w:pPr>
              <w:pStyle w:val="BodyText"/>
            </w:pPr>
            <w:r>
              <w:t>At least weekly (but not daily)</w:t>
            </w:r>
          </w:p>
        </w:tc>
        <w:tc>
          <w:tcPr>
            <w:tcW w:w="1797" w:type="dxa"/>
            <w:tcBorders>
              <w:left w:val="single" w:sz="4" w:space="0" w:color="auto"/>
              <w:bottom w:val="nil"/>
              <w:right w:val="single" w:sz="4" w:space="0" w:color="auto"/>
            </w:tcBorders>
          </w:tcPr>
          <w:p w14:paraId="099E958F" w14:textId="77777777" w:rsidR="00FE6A89" w:rsidRDefault="00FE6A89" w:rsidP="006C55CC">
            <w:pPr>
              <w:pStyle w:val="BodyText"/>
              <w:jc w:val="center"/>
              <w:cnfStyle w:val="000000100000" w:firstRow="0" w:lastRow="0" w:firstColumn="0" w:lastColumn="0" w:oddVBand="0" w:evenVBand="0" w:oddHBand="1" w:evenHBand="0" w:firstRowFirstColumn="0" w:firstRowLastColumn="0" w:lastRowFirstColumn="0" w:lastRowLastColumn="0"/>
            </w:pPr>
            <w:r>
              <w:t>1.2</w:t>
            </w:r>
          </w:p>
        </w:tc>
        <w:tc>
          <w:tcPr>
            <w:tcW w:w="1797" w:type="dxa"/>
            <w:gridSpan w:val="2"/>
            <w:tcBorders>
              <w:left w:val="single" w:sz="4" w:space="0" w:color="auto"/>
              <w:bottom w:val="nil"/>
              <w:right w:val="single" w:sz="4" w:space="0" w:color="auto"/>
            </w:tcBorders>
          </w:tcPr>
          <w:p w14:paraId="23DC3AA2" w14:textId="77777777" w:rsidR="00FE6A89" w:rsidRDefault="00FE6A89" w:rsidP="006C55CC">
            <w:pPr>
              <w:pStyle w:val="BodyText"/>
              <w:jc w:val="center"/>
              <w:cnfStyle w:val="000000100000" w:firstRow="0" w:lastRow="0" w:firstColumn="0" w:lastColumn="0" w:oddVBand="0" w:evenVBand="0" w:oddHBand="1" w:evenHBand="0" w:firstRowFirstColumn="0" w:firstRowLastColumn="0" w:lastRowFirstColumn="0" w:lastRowLastColumn="0"/>
            </w:pPr>
            <w:r>
              <w:t>0.1</w:t>
            </w:r>
          </w:p>
        </w:tc>
        <w:tc>
          <w:tcPr>
            <w:tcW w:w="1797" w:type="dxa"/>
            <w:tcBorders>
              <w:left w:val="single" w:sz="4" w:space="0" w:color="auto"/>
              <w:bottom w:val="nil"/>
              <w:right w:val="single" w:sz="4" w:space="0" w:color="auto"/>
            </w:tcBorders>
          </w:tcPr>
          <w:p w14:paraId="52C22EB8" w14:textId="77777777" w:rsidR="00FE6A89" w:rsidRDefault="00FE6A89" w:rsidP="006C55CC">
            <w:pPr>
              <w:pStyle w:val="BodyText"/>
              <w:jc w:val="center"/>
              <w:cnfStyle w:val="000000100000" w:firstRow="0" w:lastRow="0" w:firstColumn="0" w:lastColumn="0" w:oddVBand="0" w:evenVBand="0" w:oddHBand="1" w:evenHBand="0" w:firstRowFirstColumn="0" w:firstRowLastColumn="0" w:lastRowFirstColumn="0" w:lastRowLastColumn="0"/>
            </w:pPr>
            <w:r>
              <w:t>&lt;0.1</w:t>
            </w:r>
          </w:p>
        </w:tc>
        <w:tc>
          <w:tcPr>
            <w:tcW w:w="1797" w:type="dxa"/>
            <w:tcBorders>
              <w:left w:val="single" w:sz="4" w:space="0" w:color="auto"/>
              <w:bottom w:val="nil"/>
              <w:right w:val="single" w:sz="4" w:space="0" w:color="auto"/>
            </w:tcBorders>
          </w:tcPr>
          <w:p w14:paraId="7E8728D3" w14:textId="77777777" w:rsidR="00FE6A89" w:rsidRDefault="00FE6A89" w:rsidP="006C55CC">
            <w:pPr>
              <w:pStyle w:val="BodyText"/>
              <w:jc w:val="center"/>
              <w:cnfStyle w:val="000000100000" w:firstRow="0" w:lastRow="0" w:firstColumn="0" w:lastColumn="0" w:oddVBand="0" w:evenVBand="0" w:oddHBand="1" w:evenHBand="0" w:firstRowFirstColumn="0" w:firstRowLastColumn="0" w:lastRowFirstColumn="0" w:lastRowLastColumn="0"/>
            </w:pPr>
            <w:r>
              <w:t>0.3</w:t>
            </w:r>
          </w:p>
        </w:tc>
      </w:tr>
      <w:tr w:rsidR="00FE6A89" w14:paraId="583F7612" w14:textId="77777777" w:rsidTr="006C55CC">
        <w:tc>
          <w:tcPr>
            <w:cnfStyle w:val="001000000000" w:firstRow="0" w:lastRow="0" w:firstColumn="1" w:lastColumn="0" w:oddVBand="0" w:evenVBand="0" w:oddHBand="0" w:evenHBand="0" w:firstRowFirstColumn="0" w:firstRowLastColumn="0" w:lastRowFirstColumn="0" w:lastRowLastColumn="0"/>
            <w:tcW w:w="1796" w:type="dxa"/>
            <w:tcBorders>
              <w:left w:val="single" w:sz="4" w:space="0" w:color="auto"/>
              <w:bottom w:val="nil"/>
              <w:right w:val="single" w:sz="4" w:space="0" w:color="auto"/>
            </w:tcBorders>
          </w:tcPr>
          <w:p w14:paraId="10A8E650" w14:textId="77777777" w:rsidR="00FE6A89" w:rsidRDefault="00FE6A89" w:rsidP="006C55CC">
            <w:pPr>
              <w:pStyle w:val="BodyText"/>
            </w:pPr>
            <w:r>
              <w:t>At least monthly (but not weekly)</w:t>
            </w:r>
          </w:p>
        </w:tc>
        <w:tc>
          <w:tcPr>
            <w:tcW w:w="1797" w:type="dxa"/>
            <w:tcBorders>
              <w:left w:val="single" w:sz="4" w:space="0" w:color="auto"/>
              <w:bottom w:val="nil"/>
              <w:right w:val="single" w:sz="4" w:space="0" w:color="auto"/>
            </w:tcBorders>
          </w:tcPr>
          <w:p w14:paraId="3A9851A5" w14:textId="77777777" w:rsidR="00FE6A89" w:rsidRDefault="00FE6A89" w:rsidP="006C55CC">
            <w:pPr>
              <w:pStyle w:val="BodyText"/>
              <w:jc w:val="center"/>
              <w:cnfStyle w:val="000000000000" w:firstRow="0" w:lastRow="0" w:firstColumn="0" w:lastColumn="0" w:oddVBand="0" w:evenVBand="0" w:oddHBand="0" w:evenHBand="0" w:firstRowFirstColumn="0" w:firstRowLastColumn="0" w:lastRowFirstColumn="0" w:lastRowLastColumn="0"/>
            </w:pPr>
            <w:r>
              <w:t>0.7</w:t>
            </w:r>
          </w:p>
        </w:tc>
        <w:tc>
          <w:tcPr>
            <w:tcW w:w="1797" w:type="dxa"/>
            <w:gridSpan w:val="2"/>
            <w:tcBorders>
              <w:left w:val="single" w:sz="4" w:space="0" w:color="auto"/>
              <w:bottom w:val="nil"/>
              <w:right w:val="single" w:sz="4" w:space="0" w:color="auto"/>
            </w:tcBorders>
          </w:tcPr>
          <w:p w14:paraId="008104D5" w14:textId="77777777" w:rsidR="00FE6A89" w:rsidRDefault="00FE6A89" w:rsidP="006C55CC">
            <w:pPr>
              <w:pStyle w:val="BodyText"/>
              <w:jc w:val="center"/>
              <w:cnfStyle w:val="000000000000" w:firstRow="0" w:lastRow="0" w:firstColumn="0" w:lastColumn="0" w:oddVBand="0" w:evenVBand="0" w:oddHBand="0" w:evenHBand="0" w:firstRowFirstColumn="0" w:firstRowLastColumn="0" w:lastRowFirstColumn="0" w:lastRowLastColumn="0"/>
            </w:pPr>
            <w:r>
              <w:t>&lt;0.1</w:t>
            </w:r>
          </w:p>
        </w:tc>
        <w:tc>
          <w:tcPr>
            <w:tcW w:w="1797" w:type="dxa"/>
            <w:tcBorders>
              <w:left w:val="single" w:sz="4" w:space="0" w:color="auto"/>
              <w:bottom w:val="nil"/>
              <w:right w:val="single" w:sz="4" w:space="0" w:color="auto"/>
            </w:tcBorders>
          </w:tcPr>
          <w:p w14:paraId="70A30358" w14:textId="77777777" w:rsidR="00FE6A89" w:rsidRDefault="00FE6A89" w:rsidP="006C55CC">
            <w:pPr>
              <w:pStyle w:val="BodyText"/>
              <w:jc w:val="center"/>
              <w:cnfStyle w:val="000000000000" w:firstRow="0" w:lastRow="0" w:firstColumn="0" w:lastColumn="0" w:oddVBand="0" w:evenVBand="0" w:oddHBand="0" w:evenHBand="0" w:firstRowFirstColumn="0" w:firstRowLastColumn="0" w:lastRowFirstColumn="0" w:lastRowLastColumn="0"/>
            </w:pPr>
            <w:r>
              <w:t>&lt;0.1</w:t>
            </w:r>
          </w:p>
        </w:tc>
        <w:tc>
          <w:tcPr>
            <w:tcW w:w="1797" w:type="dxa"/>
            <w:tcBorders>
              <w:left w:val="single" w:sz="4" w:space="0" w:color="auto"/>
              <w:bottom w:val="nil"/>
              <w:right w:val="single" w:sz="4" w:space="0" w:color="auto"/>
            </w:tcBorders>
          </w:tcPr>
          <w:p w14:paraId="38C42801" w14:textId="77777777" w:rsidR="00FE6A89" w:rsidRDefault="00FE6A89" w:rsidP="006C55CC">
            <w:pPr>
              <w:pStyle w:val="BodyText"/>
              <w:jc w:val="center"/>
              <w:cnfStyle w:val="000000000000" w:firstRow="0" w:lastRow="0" w:firstColumn="0" w:lastColumn="0" w:oddVBand="0" w:evenVBand="0" w:oddHBand="0" w:evenHBand="0" w:firstRowFirstColumn="0" w:firstRowLastColumn="0" w:lastRowFirstColumn="0" w:lastRowLastColumn="0"/>
            </w:pPr>
            <w:r>
              <w:t>0.1</w:t>
            </w:r>
          </w:p>
        </w:tc>
      </w:tr>
      <w:tr w:rsidR="00FE6A89" w14:paraId="1EA4C3E1" w14:textId="77777777" w:rsidTr="006C55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6" w:type="dxa"/>
            <w:tcBorders>
              <w:left w:val="single" w:sz="4" w:space="0" w:color="auto"/>
              <w:bottom w:val="nil"/>
              <w:right w:val="single" w:sz="4" w:space="0" w:color="auto"/>
            </w:tcBorders>
          </w:tcPr>
          <w:p w14:paraId="15A163DD" w14:textId="77777777" w:rsidR="00FE6A89" w:rsidRDefault="00FE6A89" w:rsidP="006C55CC">
            <w:pPr>
              <w:pStyle w:val="BodyText"/>
            </w:pPr>
            <w:r>
              <w:t>Less than monthly</w:t>
            </w:r>
          </w:p>
        </w:tc>
        <w:tc>
          <w:tcPr>
            <w:tcW w:w="1797" w:type="dxa"/>
            <w:tcBorders>
              <w:left w:val="single" w:sz="4" w:space="0" w:color="auto"/>
              <w:bottom w:val="nil"/>
              <w:right w:val="single" w:sz="4" w:space="0" w:color="auto"/>
            </w:tcBorders>
          </w:tcPr>
          <w:p w14:paraId="6B80C829" w14:textId="77777777" w:rsidR="00FE6A89" w:rsidRDefault="00FE6A89" w:rsidP="006C55CC">
            <w:pPr>
              <w:pStyle w:val="BodyText"/>
              <w:jc w:val="center"/>
              <w:cnfStyle w:val="000000100000" w:firstRow="0" w:lastRow="0" w:firstColumn="0" w:lastColumn="0" w:oddVBand="0" w:evenVBand="0" w:oddHBand="1" w:evenHBand="0" w:firstRowFirstColumn="0" w:firstRowLastColumn="0" w:lastRowFirstColumn="0" w:lastRowLastColumn="0"/>
            </w:pPr>
            <w:r>
              <w:t>1.0</w:t>
            </w:r>
          </w:p>
        </w:tc>
        <w:tc>
          <w:tcPr>
            <w:tcW w:w="1797" w:type="dxa"/>
            <w:gridSpan w:val="2"/>
            <w:tcBorders>
              <w:left w:val="single" w:sz="4" w:space="0" w:color="auto"/>
              <w:bottom w:val="nil"/>
              <w:right w:val="single" w:sz="4" w:space="0" w:color="auto"/>
            </w:tcBorders>
          </w:tcPr>
          <w:p w14:paraId="468BB38C" w14:textId="77777777" w:rsidR="00FE6A89" w:rsidRDefault="00FE6A89" w:rsidP="006C55CC">
            <w:pPr>
              <w:pStyle w:val="BodyText"/>
              <w:jc w:val="center"/>
              <w:cnfStyle w:val="000000100000" w:firstRow="0" w:lastRow="0" w:firstColumn="0" w:lastColumn="0" w:oddVBand="0" w:evenVBand="0" w:oddHBand="1" w:evenHBand="0" w:firstRowFirstColumn="0" w:firstRowLastColumn="0" w:lastRowFirstColumn="0" w:lastRowLastColumn="0"/>
            </w:pPr>
            <w:r>
              <w:t>0.2</w:t>
            </w:r>
          </w:p>
        </w:tc>
        <w:tc>
          <w:tcPr>
            <w:tcW w:w="1797" w:type="dxa"/>
            <w:tcBorders>
              <w:left w:val="single" w:sz="4" w:space="0" w:color="auto"/>
              <w:bottom w:val="nil"/>
              <w:right w:val="single" w:sz="4" w:space="0" w:color="auto"/>
            </w:tcBorders>
          </w:tcPr>
          <w:p w14:paraId="7873D600" w14:textId="77777777" w:rsidR="00FE6A89" w:rsidRDefault="00FE6A89" w:rsidP="006C55CC">
            <w:pPr>
              <w:pStyle w:val="BodyText"/>
              <w:jc w:val="center"/>
              <w:cnfStyle w:val="000000100000" w:firstRow="0" w:lastRow="0" w:firstColumn="0" w:lastColumn="0" w:oddVBand="0" w:evenVBand="0" w:oddHBand="1" w:evenHBand="0" w:firstRowFirstColumn="0" w:firstRowLastColumn="0" w:lastRowFirstColumn="0" w:lastRowLastColumn="0"/>
            </w:pPr>
            <w:r>
              <w:t>0.2</w:t>
            </w:r>
          </w:p>
        </w:tc>
        <w:tc>
          <w:tcPr>
            <w:tcW w:w="1797" w:type="dxa"/>
            <w:tcBorders>
              <w:left w:val="single" w:sz="4" w:space="0" w:color="auto"/>
              <w:bottom w:val="nil"/>
              <w:right w:val="single" w:sz="4" w:space="0" w:color="auto"/>
            </w:tcBorders>
          </w:tcPr>
          <w:p w14:paraId="0EE5BD88" w14:textId="77777777" w:rsidR="00FE6A89" w:rsidRDefault="00FE6A89" w:rsidP="006C55CC">
            <w:pPr>
              <w:pStyle w:val="BodyText"/>
              <w:jc w:val="center"/>
              <w:cnfStyle w:val="000000100000" w:firstRow="0" w:lastRow="0" w:firstColumn="0" w:lastColumn="0" w:oddVBand="0" w:evenVBand="0" w:oddHBand="1" w:evenHBand="0" w:firstRowFirstColumn="0" w:firstRowLastColumn="0" w:lastRowFirstColumn="0" w:lastRowLastColumn="0"/>
            </w:pPr>
            <w:r>
              <w:t>0.3</w:t>
            </w:r>
          </w:p>
        </w:tc>
      </w:tr>
      <w:tr w:rsidR="00FE6A89" w14:paraId="39173FAC" w14:textId="77777777" w:rsidTr="006C55CC">
        <w:tc>
          <w:tcPr>
            <w:cnfStyle w:val="001000000000" w:firstRow="0" w:lastRow="0" w:firstColumn="1" w:lastColumn="0" w:oddVBand="0" w:evenVBand="0" w:oddHBand="0" w:evenHBand="0" w:firstRowFirstColumn="0" w:firstRowLastColumn="0" w:lastRowFirstColumn="0" w:lastRowLastColumn="0"/>
            <w:tcW w:w="1796" w:type="dxa"/>
            <w:tcBorders>
              <w:left w:val="single" w:sz="4" w:space="0" w:color="auto"/>
              <w:bottom w:val="nil"/>
              <w:right w:val="single" w:sz="4" w:space="0" w:color="auto"/>
            </w:tcBorders>
          </w:tcPr>
          <w:p w14:paraId="31FB4E6E" w14:textId="77777777" w:rsidR="00FE6A89" w:rsidRDefault="00FE6A89" w:rsidP="006C55CC">
            <w:pPr>
              <w:pStyle w:val="BodyText"/>
            </w:pPr>
            <w:r>
              <w:t>Ex</w:t>
            </w:r>
            <w:r>
              <w:noBreakHyphen/>
              <w:t>user</w:t>
            </w:r>
          </w:p>
        </w:tc>
        <w:tc>
          <w:tcPr>
            <w:tcW w:w="1797" w:type="dxa"/>
            <w:tcBorders>
              <w:left w:val="single" w:sz="4" w:space="0" w:color="auto"/>
              <w:bottom w:val="nil"/>
              <w:right w:val="single" w:sz="4" w:space="0" w:color="auto"/>
            </w:tcBorders>
          </w:tcPr>
          <w:p w14:paraId="10FC9493" w14:textId="77777777" w:rsidR="00FE6A89" w:rsidRDefault="00FE6A89" w:rsidP="006C55CC">
            <w:pPr>
              <w:pStyle w:val="BodyText"/>
              <w:jc w:val="center"/>
              <w:cnfStyle w:val="000000000000" w:firstRow="0" w:lastRow="0" w:firstColumn="0" w:lastColumn="0" w:oddVBand="0" w:evenVBand="0" w:oddHBand="0" w:evenHBand="0" w:firstRowFirstColumn="0" w:firstRowLastColumn="0" w:lastRowFirstColumn="0" w:lastRowLastColumn="0"/>
            </w:pPr>
            <w:r>
              <w:t>6.8</w:t>
            </w:r>
          </w:p>
        </w:tc>
        <w:tc>
          <w:tcPr>
            <w:tcW w:w="1797" w:type="dxa"/>
            <w:gridSpan w:val="2"/>
            <w:tcBorders>
              <w:left w:val="single" w:sz="4" w:space="0" w:color="auto"/>
              <w:bottom w:val="nil"/>
              <w:right w:val="single" w:sz="4" w:space="0" w:color="auto"/>
            </w:tcBorders>
          </w:tcPr>
          <w:p w14:paraId="44DC913C" w14:textId="77777777" w:rsidR="00FE6A89" w:rsidRDefault="00FE6A89" w:rsidP="006C55CC">
            <w:pPr>
              <w:pStyle w:val="BodyText"/>
              <w:jc w:val="center"/>
              <w:cnfStyle w:val="000000000000" w:firstRow="0" w:lastRow="0" w:firstColumn="0" w:lastColumn="0" w:oddVBand="0" w:evenVBand="0" w:oddHBand="0" w:evenHBand="0" w:firstRowFirstColumn="0" w:firstRowLastColumn="0" w:lastRowFirstColumn="0" w:lastRowLastColumn="0"/>
            </w:pPr>
            <w:r>
              <w:t>1.7</w:t>
            </w:r>
          </w:p>
        </w:tc>
        <w:tc>
          <w:tcPr>
            <w:tcW w:w="1797" w:type="dxa"/>
            <w:tcBorders>
              <w:left w:val="single" w:sz="4" w:space="0" w:color="auto"/>
              <w:bottom w:val="nil"/>
              <w:right w:val="single" w:sz="4" w:space="0" w:color="auto"/>
            </w:tcBorders>
          </w:tcPr>
          <w:p w14:paraId="5CBC8FB9" w14:textId="77777777" w:rsidR="00FE6A89" w:rsidRDefault="00FE6A89" w:rsidP="006C55CC">
            <w:pPr>
              <w:pStyle w:val="BodyText"/>
              <w:jc w:val="center"/>
              <w:cnfStyle w:val="000000000000" w:firstRow="0" w:lastRow="0" w:firstColumn="0" w:lastColumn="0" w:oddVBand="0" w:evenVBand="0" w:oddHBand="0" w:evenHBand="0" w:firstRowFirstColumn="0" w:firstRowLastColumn="0" w:lastRowFirstColumn="0" w:lastRowLastColumn="0"/>
            </w:pPr>
            <w:r>
              <w:t>0.3</w:t>
            </w:r>
          </w:p>
        </w:tc>
        <w:tc>
          <w:tcPr>
            <w:tcW w:w="1797" w:type="dxa"/>
            <w:tcBorders>
              <w:left w:val="single" w:sz="4" w:space="0" w:color="auto"/>
              <w:bottom w:val="nil"/>
              <w:right w:val="single" w:sz="4" w:space="0" w:color="auto"/>
            </w:tcBorders>
          </w:tcPr>
          <w:p w14:paraId="48E29FBF" w14:textId="77777777" w:rsidR="00FE6A89" w:rsidRDefault="00FE6A89" w:rsidP="006C55CC">
            <w:pPr>
              <w:pStyle w:val="BodyText"/>
              <w:jc w:val="center"/>
              <w:cnfStyle w:val="000000000000" w:firstRow="0" w:lastRow="0" w:firstColumn="0" w:lastColumn="0" w:oddVBand="0" w:evenVBand="0" w:oddHBand="0" w:evenHBand="0" w:firstRowFirstColumn="0" w:firstRowLastColumn="0" w:lastRowFirstColumn="0" w:lastRowLastColumn="0"/>
            </w:pPr>
            <w:r>
              <w:t>1.6</w:t>
            </w:r>
          </w:p>
        </w:tc>
      </w:tr>
      <w:tr w:rsidR="00FE6A89" w14:paraId="3FE39104" w14:textId="77777777" w:rsidTr="006C55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6" w:type="dxa"/>
            <w:tcBorders>
              <w:left w:val="single" w:sz="4" w:space="0" w:color="auto"/>
              <w:bottom w:val="nil"/>
              <w:right w:val="single" w:sz="4" w:space="0" w:color="auto"/>
            </w:tcBorders>
          </w:tcPr>
          <w:p w14:paraId="4BF288CB" w14:textId="77777777" w:rsidR="00FE6A89" w:rsidRDefault="00FE6A89" w:rsidP="006C55CC">
            <w:pPr>
              <w:pStyle w:val="BodyText"/>
            </w:pPr>
            <w:r>
              <w:t>Only used once or twice</w:t>
            </w:r>
          </w:p>
        </w:tc>
        <w:tc>
          <w:tcPr>
            <w:tcW w:w="1797" w:type="dxa"/>
            <w:tcBorders>
              <w:left w:val="single" w:sz="4" w:space="0" w:color="auto"/>
              <w:bottom w:val="nil"/>
              <w:right w:val="single" w:sz="4" w:space="0" w:color="auto"/>
            </w:tcBorders>
          </w:tcPr>
          <w:p w14:paraId="3276AF62" w14:textId="77777777" w:rsidR="00FE6A89" w:rsidRDefault="00FE6A89" w:rsidP="006C55CC">
            <w:pPr>
              <w:pStyle w:val="BodyText"/>
              <w:jc w:val="center"/>
              <w:cnfStyle w:val="000000100000" w:firstRow="0" w:lastRow="0" w:firstColumn="0" w:lastColumn="0" w:oddVBand="0" w:evenVBand="0" w:oddHBand="1" w:evenHBand="0" w:firstRowFirstColumn="0" w:firstRowLastColumn="0" w:lastRowFirstColumn="0" w:lastRowLastColumn="0"/>
            </w:pPr>
            <w:r>
              <w:t>19.9</w:t>
            </w:r>
          </w:p>
        </w:tc>
        <w:tc>
          <w:tcPr>
            <w:tcW w:w="1797" w:type="dxa"/>
            <w:gridSpan w:val="2"/>
            <w:tcBorders>
              <w:left w:val="single" w:sz="4" w:space="0" w:color="auto"/>
              <w:bottom w:val="nil"/>
              <w:right w:val="single" w:sz="4" w:space="0" w:color="auto"/>
            </w:tcBorders>
          </w:tcPr>
          <w:p w14:paraId="0E332210" w14:textId="77777777" w:rsidR="00FE6A89" w:rsidRDefault="00FE6A89" w:rsidP="006C55CC">
            <w:pPr>
              <w:pStyle w:val="BodyText"/>
              <w:jc w:val="center"/>
              <w:cnfStyle w:val="000000100000" w:firstRow="0" w:lastRow="0" w:firstColumn="0" w:lastColumn="0" w:oddVBand="0" w:evenVBand="0" w:oddHBand="1" w:evenHBand="0" w:firstRowFirstColumn="0" w:firstRowLastColumn="0" w:lastRowFirstColumn="0" w:lastRowLastColumn="0"/>
            </w:pPr>
            <w:r>
              <w:t>4.7</w:t>
            </w:r>
          </w:p>
        </w:tc>
        <w:tc>
          <w:tcPr>
            <w:tcW w:w="1797" w:type="dxa"/>
            <w:tcBorders>
              <w:left w:val="single" w:sz="4" w:space="0" w:color="auto"/>
              <w:bottom w:val="nil"/>
              <w:right w:val="single" w:sz="4" w:space="0" w:color="auto"/>
            </w:tcBorders>
          </w:tcPr>
          <w:p w14:paraId="5AAE8306" w14:textId="77777777" w:rsidR="00FE6A89" w:rsidRDefault="00FE6A89" w:rsidP="006C55CC">
            <w:pPr>
              <w:pStyle w:val="BodyText"/>
              <w:jc w:val="center"/>
              <w:cnfStyle w:val="000000100000" w:firstRow="0" w:lastRow="0" w:firstColumn="0" w:lastColumn="0" w:oddVBand="0" w:evenVBand="0" w:oddHBand="1" w:evenHBand="0" w:firstRowFirstColumn="0" w:firstRowLastColumn="0" w:lastRowFirstColumn="0" w:lastRowLastColumn="0"/>
            </w:pPr>
            <w:r>
              <w:t>3.2</w:t>
            </w:r>
          </w:p>
        </w:tc>
        <w:tc>
          <w:tcPr>
            <w:tcW w:w="1797" w:type="dxa"/>
            <w:tcBorders>
              <w:left w:val="single" w:sz="4" w:space="0" w:color="auto"/>
              <w:bottom w:val="nil"/>
              <w:right w:val="single" w:sz="4" w:space="0" w:color="auto"/>
            </w:tcBorders>
          </w:tcPr>
          <w:p w14:paraId="73E55465" w14:textId="77777777" w:rsidR="00FE6A89" w:rsidRDefault="00FE6A89" w:rsidP="006C55CC">
            <w:pPr>
              <w:pStyle w:val="BodyText"/>
              <w:jc w:val="center"/>
              <w:cnfStyle w:val="000000100000" w:firstRow="0" w:lastRow="0" w:firstColumn="0" w:lastColumn="0" w:oddVBand="0" w:evenVBand="0" w:oddHBand="1" w:evenHBand="0" w:firstRowFirstColumn="0" w:firstRowLastColumn="0" w:lastRowFirstColumn="0" w:lastRowLastColumn="0"/>
            </w:pPr>
            <w:r>
              <w:t>6.0</w:t>
            </w:r>
          </w:p>
        </w:tc>
      </w:tr>
      <w:tr w:rsidR="00FE6A89" w14:paraId="765C7A69" w14:textId="77777777" w:rsidTr="006C55CC">
        <w:tc>
          <w:tcPr>
            <w:cnfStyle w:val="001000000000" w:firstRow="0" w:lastRow="0" w:firstColumn="1" w:lastColumn="0" w:oddVBand="0" w:evenVBand="0" w:oddHBand="0" w:evenHBand="0" w:firstRowFirstColumn="0" w:firstRowLastColumn="0" w:lastRowFirstColumn="0" w:lastRowLastColumn="0"/>
            <w:tcW w:w="1796" w:type="dxa"/>
            <w:tcBorders>
              <w:left w:val="single" w:sz="4" w:space="0" w:color="auto"/>
              <w:bottom w:val="single" w:sz="4" w:space="0" w:color="auto"/>
              <w:right w:val="single" w:sz="4" w:space="0" w:color="auto"/>
            </w:tcBorders>
          </w:tcPr>
          <w:p w14:paraId="183F16B4" w14:textId="77777777" w:rsidR="00FE6A89" w:rsidRDefault="00FE6A89" w:rsidP="006C55CC">
            <w:pPr>
              <w:pStyle w:val="BodyText"/>
            </w:pPr>
            <w:r>
              <w:t>Never used</w:t>
            </w:r>
          </w:p>
        </w:tc>
        <w:tc>
          <w:tcPr>
            <w:tcW w:w="1797" w:type="dxa"/>
            <w:tcBorders>
              <w:left w:val="single" w:sz="4" w:space="0" w:color="auto"/>
              <w:bottom w:val="single" w:sz="4" w:space="0" w:color="auto"/>
              <w:right w:val="single" w:sz="4" w:space="0" w:color="auto"/>
            </w:tcBorders>
          </w:tcPr>
          <w:p w14:paraId="4756BF79" w14:textId="77777777" w:rsidR="00FE6A89" w:rsidRDefault="00FE6A89" w:rsidP="006C55CC">
            <w:pPr>
              <w:pStyle w:val="BodyText"/>
              <w:jc w:val="center"/>
              <w:cnfStyle w:val="000000000000" w:firstRow="0" w:lastRow="0" w:firstColumn="0" w:lastColumn="0" w:oddVBand="0" w:evenVBand="0" w:oddHBand="0" w:evenHBand="0" w:firstRowFirstColumn="0" w:firstRowLastColumn="0" w:lastRowFirstColumn="0" w:lastRowLastColumn="0"/>
            </w:pPr>
            <w:r>
              <w:t>69.0</w:t>
            </w:r>
          </w:p>
        </w:tc>
        <w:tc>
          <w:tcPr>
            <w:tcW w:w="1797" w:type="dxa"/>
            <w:gridSpan w:val="2"/>
            <w:tcBorders>
              <w:left w:val="single" w:sz="4" w:space="0" w:color="auto"/>
              <w:bottom w:val="single" w:sz="4" w:space="0" w:color="auto"/>
              <w:right w:val="single" w:sz="4" w:space="0" w:color="auto"/>
            </w:tcBorders>
          </w:tcPr>
          <w:p w14:paraId="65FC54C1" w14:textId="77777777" w:rsidR="00FE6A89" w:rsidRDefault="00FE6A89" w:rsidP="006C55CC">
            <w:pPr>
              <w:pStyle w:val="BodyText"/>
              <w:jc w:val="center"/>
              <w:cnfStyle w:val="000000000000" w:firstRow="0" w:lastRow="0" w:firstColumn="0" w:lastColumn="0" w:oddVBand="0" w:evenVBand="0" w:oddHBand="0" w:evenHBand="0" w:firstRowFirstColumn="0" w:firstRowLastColumn="0" w:lastRowFirstColumn="0" w:lastRowLastColumn="0"/>
            </w:pPr>
            <w:r>
              <w:t>92.5</w:t>
            </w:r>
          </w:p>
        </w:tc>
        <w:tc>
          <w:tcPr>
            <w:tcW w:w="1797" w:type="dxa"/>
            <w:tcBorders>
              <w:left w:val="single" w:sz="4" w:space="0" w:color="auto"/>
              <w:bottom w:val="single" w:sz="4" w:space="0" w:color="auto"/>
              <w:right w:val="single" w:sz="4" w:space="0" w:color="auto"/>
            </w:tcBorders>
          </w:tcPr>
          <w:p w14:paraId="1C4C5B1D" w14:textId="77777777" w:rsidR="00FE6A89" w:rsidRDefault="00FE6A89" w:rsidP="006C55CC">
            <w:pPr>
              <w:pStyle w:val="BodyText"/>
              <w:jc w:val="center"/>
              <w:cnfStyle w:val="000000000000" w:firstRow="0" w:lastRow="0" w:firstColumn="0" w:lastColumn="0" w:oddVBand="0" w:evenVBand="0" w:oddHBand="0" w:evenHBand="0" w:firstRowFirstColumn="0" w:firstRowLastColumn="0" w:lastRowFirstColumn="0" w:lastRowLastColumn="0"/>
            </w:pPr>
            <w:r>
              <w:t>96.1</w:t>
            </w:r>
          </w:p>
        </w:tc>
        <w:tc>
          <w:tcPr>
            <w:tcW w:w="1797" w:type="dxa"/>
            <w:tcBorders>
              <w:left w:val="single" w:sz="4" w:space="0" w:color="auto"/>
              <w:bottom w:val="single" w:sz="4" w:space="0" w:color="auto"/>
              <w:right w:val="single" w:sz="4" w:space="0" w:color="auto"/>
            </w:tcBorders>
          </w:tcPr>
          <w:p w14:paraId="385029B3" w14:textId="77777777" w:rsidR="00FE6A89" w:rsidRDefault="00FE6A89" w:rsidP="006C55CC">
            <w:pPr>
              <w:pStyle w:val="BodyText"/>
              <w:jc w:val="center"/>
              <w:cnfStyle w:val="000000000000" w:firstRow="0" w:lastRow="0" w:firstColumn="0" w:lastColumn="0" w:oddVBand="0" w:evenVBand="0" w:oddHBand="0" w:evenHBand="0" w:firstRowFirstColumn="0" w:firstRowLastColumn="0" w:lastRowFirstColumn="0" w:lastRowLastColumn="0"/>
            </w:pPr>
            <w:r>
              <w:t>91.2</w:t>
            </w:r>
          </w:p>
        </w:tc>
      </w:tr>
    </w:tbl>
    <w:p w14:paraId="54D10BCC" w14:textId="77777777" w:rsidR="00FE6A89" w:rsidRDefault="00FE6A89" w:rsidP="00FE6A89">
      <w:pPr>
        <w:pStyle w:val="BodyText"/>
      </w:pPr>
    </w:p>
    <w:p w14:paraId="72BE8279" w14:textId="77777777" w:rsidR="00FE6A89" w:rsidRDefault="00FE6A89" w:rsidP="00FE6A89">
      <w:pPr>
        <w:pStyle w:val="BodyText"/>
      </w:pPr>
      <w:r>
        <w:t xml:space="preserve">As Table </w:t>
      </w:r>
      <w:r w:rsidR="003D2CBD">
        <w:t xml:space="preserve">20 </w:t>
      </w:r>
      <w:r>
        <w:t>shows, conventional cigarette smokers are more likely to be current users and ‘ever users’ of e</w:t>
      </w:r>
      <w:r>
        <w:noBreakHyphen/>
        <w:t>cigarettes.</w:t>
      </w:r>
    </w:p>
    <w:p w14:paraId="11A05558" w14:textId="77777777" w:rsidR="00FE6A89" w:rsidRPr="00F264F6" w:rsidRDefault="00FE6A89" w:rsidP="00FE6A89">
      <w:pPr>
        <w:pStyle w:val="BodyText"/>
      </w:pPr>
    </w:p>
    <w:p w14:paraId="4EF6CE56" w14:textId="77777777" w:rsidR="000E2E72" w:rsidRPr="00D0314F" w:rsidRDefault="00D0314F" w:rsidP="00D0314F">
      <w:pPr>
        <w:pStyle w:val="Heading2"/>
      </w:pPr>
      <w:bookmarkStart w:id="221" w:name="_Toc515226676"/>
      <w:r w:rsidRPr="00D0314F">
        <w:t xml:space="preserve"> </w:t>
      </w:r>
      <w:bookmarkStart w:id="222" w:name="_Toc517706718"/>
      <w:r w:rsidR="000E2E72" w:rsidRPr="00D0314F">
        <w:t xml:space="preserve">Qualitative information from Australian </w:t>
      </w:r>
      <w:r w:rsidR="00D830ED" w:rsidRPr="00D0314F">
        <w:t>e-cig</w:t>
      </w:r>
      <w:r w:rsidR="000E2E72" w:rsidRPr="00D0314F">
        <w:t>arette studies</w:t>
      </w:r>
      <w:bookmarkEnd w:id="221"/>
      <w:bookmarkEnd w:id="222"/>
    </w:p>
    <w:p w14:paraId="6D568A03" w14:textId="7833779B" w:rsidR="00FE6A89" w:rsidRDefault="00FE6A89" w:rsidP="00FE6A89">
      <w:pPr>
        <w:pStyle w:val="BodyText"/>
      </w:pPr>
      <w:r>
        <w:t xml:space="preserve">The 2016 National Drug Strategy Household Survey </w:t>
      </w:r>
      <w:r>
        <w:fldChar w:fldCharType="begin"/>
      </w:r>
      <w:r>
        <w:instrText xml:space="preserve"> ADDIN EN.CITE &lt;EndNote&gt;&lt;Cite&gt;&lt;Author&gt;AIHW&lt;/Author&gt;&lt;Year&gt;2017&lt;/Year&gt;&lt;RecNum&gt;17000&lt;/RecNum&gt;&lt;DisplayText&gt;(AIHW 2017)&lt;/DisplayText&gt;&lt;record&gt;&lt;rec-number&gt;17000&lt;/rec-number&gt;&lt;foreign-keys&gt;&lt;key app="EN" db-id="5xv5w5t2bdxtxfezx02xtxdft5rz5ptvvt29" timestamp="1527416262"&gt;17000&lt;/key&gt;&lt;/foreign-keys&gt;&lt;ref-type name="Web Page"&gt;12&lt;/ref-type&gt;&lt;contributors&gt;&lt;authors&gt;&lt;author&gt;AIHW &lt;/author&gt;&lt;/authors&gt;&lt;/contributors&gt;&lt;titles&gt;&lt;title&gt;National Drug Strategy Household Survey 2016: detailed findings.&lt;/title&gt;&lt;/titles&gt;&lt;number&gt;May 2018&amp;#xD;&lt;/number&gt;&lt;dates&gt;&lt;year&gt;2017&lt;/year&gt;&lt;/dates&gt;&lt;pub-location&gt;Canberra&lt;/pub-location&gt;&lt;publisher&gt;Australian Institute of Health and Welfare&lt;/publisher&gt;&lt;urls&gt;&lt;related-urls&gt;&lt;url&gt;https://www.aihw.gov.au/reports/illicit-use-of-drugs/ndshs-2016-detailed/data&lt;/url&gt;&lt;/related-urls&gt;&lt;/urls&gt;&lt;access-date&gt;May 2018&lt;/access-date&gt;&lt;/record&gt;&lt;/Cite&gt;&lt;/EndNote&gt;</w:instrText>
      </w:r>
      <w:r>
        <w:fldChar w:fldCharType="separate"/>
      </w:r>
      <w:r>
        <w:rPr>
          <w:noProof/>
        </w:rPr>
        <w:t>(AIHW 2017)</w:t>
      </w:r>
      <w:r>
        <w:fldChar w:fldCharType="end"/>
      </w:r>
      <w:r>
        <w:t xml:space="preserve"> collected data on reasons why e</w:t>
      </w:r>
      <w:r>
        <w:noBreakHyphen/>
        <w:t>cigarette users used e</w:t>
      </w:r>
      <w:r>
        <w:noBreakHyphen/>
        <w:t xml:space="preserve">cigarettes. Table </w:t>
      </w:r>
      <w:r w:rsidR="003D2CBD">
        <w:t>21</w:t>
      </w:r>
      <w:r>
        <w:t xml:space="preserve"> shows that curiosity to try e</w:t>
      </w:r>
      <w:r>
        <w:noBreakHyphen/>
        <w:t>cigarettes was a reason for a large percentage of younger people, but that smoking cessation or reduction was a reason for the largest percentage of older people. Older people were also more likely to have the belief that e</w:t>
      </w:r>
      <w:r>
        <w:noBreakHyphen/>
        <w:t xml:space="preserve">cigarettes are less harmful than regular cigarettes as a reason for use.  </w:t>
      </w:r>
    </w:p>
    <w:p w14:paraId="2BF98DF3" w14:textId="77777777" w:rsidR="00FE6A89" w:rsidRDefault="00FE6A89">
      <w:pPr>
        <w:spacing w:after="0"/>
        <w:rPr>
          <w:b/>
          <w:bCs/>
          <w:color w:val="007E9A" w:themeColor="accent1" w:themeShade="BF"/>
          <w:sz w:val="20"/>
          <w:szCs w:val="18"/>
        </w:rPr>
      </w:pPr>
      <w:bookmarkStart w:id="223" w:name="_Toc516736714"/>
      <w:r>
        <w:br w:type="page"/>
      </w:r>
    </w:p>
    <w:p w14:paraId="1FC77CAB" w14:textId="77777777" w:rsidR="00FE6A89" w:rsidRDefault="003D2CBD" w:rsidP="003D2CBD">
      <w:pPr>
        <w:pStyle w:val="Caption"/>
      </w:pPr>
      <w:bookmarkStart w:id="224" w:name="_Toc517707430"/>
      <w:r>
        <w:lastRenderedPageBreak/>
        <w:t xml:space="preserve">Table </w:t>
      </w:r>
      <w:r w:rsidR="0048064B">
        <w:rPr>
          <w:noProof/>
        </w:rPr>
        <w:fldChar w:fldCharType="begin"/>
      </w:r>
      <w:r w:rsidR="0048064B">
        <w:rPr>
          <w:noProof/>
        </w:rPr>
        <w:instrText xml:space="preserve"> SEQ Table \* ARABIC </w:instrText>
      </w:r>
      <w:r w:rsidR="0048064B">
        <w:rPr>
          <w:noProof/>
        </w:rPr>
        <w:fldChar w:fldCharType="separate"/>
      </w:r>
      <w:r w:rsidR="000C06DA">
        <w:rPr>
          <w:noProof/>
        </w:rPr>
        <w:t>21</w:t>
      </w:r>
      <w:r w:rsidR="0048064B">
        <w:rPr>
          <w:noProof/>
        </w:rPr>
        <w:fldChar w:fldCharType="end"/>
      </w:r>
      <w:r w:rsidR="00FE6A89">
        <w:t>: Reasons for using e</w:t>
      </w:r>
      <w:r w:rsidR="00FE6A89">
        <w:noBreakHyphen/>
        <w:t>cigarettes (%) in Australia by age group (2016).</w:t>
      </w:r>
      <w:bookmarkEnd w:id="223"/>
      <w:bookmarkEnd w:id="224"/>
      <w:r w:rsidR="00FE6A89">
        <w:t xml:space="preserve"> </w:t>
      </w:r>
    </w:p>
    <w:tbl>
      <w:tblPr>
        <w:tblStyle w:val="TableCSIRO"/>
        <w:tblW w:w="9526" w:type="dxa"/>
        <w:tblLayout w:type="fixed"/>
        <w:tblLook w:val="04A0" w:firstRow="1" w:lastRow="0" w:firstColumn="1" w:lastColumn="0" w:noHBand="0" w:noVBand="1"/>
      </w:tblPr>
      <w:tblGrid>
        <w:gridCol w:w="2155"/>
        <w:gridCol w:w="993"/>
        <w:gridCol w:w="850"/>
        <w:gridCol w:w="851"/>
        <w:gridCol w:w="850"/>
        <w:gridCol w:w="851"/>
        <w:gridCol w:w="850"/>
        <w:gridCol w:w="738"/>
        <w:gridCol w:w="12"/>
        <w:gridCol w:w="674"/>
        <w:gridCol w:w="9"/>
        <w:gridCol w:w="683"/>
        <w:gridCol w:w="10"/>
      </w:tblGrid>
      <w:tr w:rsidR="00FE6A89" w:rsidRPr="007E2FEB" w14:paraId="42C23BF8" w14:textId="77777777" w:rsidTr="006C55CC">
        <w:trPr>
          <w:cnfStyle w:val="100000000000" w:firstRow="1" w:lastRow="0" w:firstColumn="0" w:lastColumn="0" w:oddVBand="0" w:evenVBand="0" w:oddHBand="0"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155" w:type="dxa"/>
          </w:tcPr>
          <w:p w14:paraId="43067A59" w14:textId="77777777" w:rsidR="00FE6A89" w:rsidRPr="007E2FEB" w:rsidRDefault="00FE6A89" w:rsidP="006C55CC">
            <w:pPr>
              <w:pStyle w:val="BodyText"/>
              <w:rPr>
                <w:color w:val="FFFFFF" w:themeColor="background1"/>
              </w:rPr>
            </w:pPr>
          </w:p>
        </w:tc>
        <w:tc>
          <w:tcPr>
            <w:tcW w:w="7371" w:type="dxa"/>
            <w:gridSpan w:val="12"/>
          </w:tcPr>
          <w:p w14:paraId="6A907415" w14:textId="77777777" w:rsidR="00FE6A89" w:rsidRDefault="00FE6A89" w:rsidP="006C55CC">
            <w:pPr>
              <w:pStyle w:val="BodyText"/>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Age group (years)</w:t>
            </w:r>
          </w:p>
        </w:tc>
      </w:tr>
      <w:tr w:rsidR="00FE6A89" w:rsidRPr="007E2FEB" w14:paraId="0468FA72" w14:textId="77777777" w:rsidTr="006C55CC">
        <w:trPr>
          <w:gridAfter w:val="1"/>
          <w:cnfStyle w:val="000000100000" w:firstRow="0" w:lastRow="0" w:firstColumn="0" w:lastColumn="0" w:oddVBand="0" w:evenVBand="0" w:oddHBand="1" w:evenHBand="0" w:firstRowFirstColumn="0" w:firstRowLastColumn="0" w:lastRowFirstColumn="0" w:lastRowLastColumn="0"/>
          <w:wAfter w:w="10" w:type="dxa"/>
        </w:trPr>
        <w:tc>
          <w:tcPr>
            <w:cnfStyle w:val="001000000000" w:firstRow="0" w:lastRow="0" w:firstColumn="1" w:lastColumn="0" w:oddVBand="0" w:evenVBand="0" w:oddHBand="0" w:evenHBand="0" w:firstRowFirstColumn="0" w:firstRowLastColumn="0" w:lastRowFirstColumn="0" w:lastRowLastColumn="0"/>
            <w:tcW w:w="2155" w:type="dxa"/>
            <w:tcBorders>
              <w:bottom w:val="nil"/>
              <w:right w:val="single" w:sz="4" w:space="0" w:color="auto"/>
            </w:tcBorders>
            <w:shd w:val="clear" w:color="auto" w:fill="000000" w:themeFill="text1"/>
          </w:tcPr>
          <w:p w14:paraId="308379FA" w14:textId="77777777" w:rsidR="00FE6A89" w:rsidRPr="007E2FEB" w:rsidRDefault="00FE6A89" w:rsidP="006C55CC">
            <w:pPr>
              <w:pStyle w:val="BodyText"/>
              <w:rPr>
                <w:color w:val="FFFFFF" w:themeColor="background1"/>
              </w:rPr>
            </w:pPr>
          </w:p>
        </w:tc>
        <w:tc>
          <w:tcPr>
            <w:tcW w:w="993" w:type="dxa"/>
            <w:tcBorders>
              <w:left w:val="single" w:sz="4" w:space="0" w:color="auto"/>
              <w:bottom w:val="nil"/>
              <w:right w:val="single" w:sz="4" w:space="0" w:color="auto"/>
            </w:tcBorders>
            <w:shd w:val="clear" w:color="auto" w:fill="000000" w:themeFill="text1"/>
            <w:vAlign w:val="center"/>
          </w:tcPr>
          <w:p w14:paraId="3EEB4057" w14:textId="77777777" w:rsidR="00FE6A89" w:rsidRPr="007E2FEB" w:rsidRDefault="00FE6A89" w:rsidP="006C55CC">
            <w:pPr>
              <w:pStyle w:val="BodyText"/>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7E2FEB">
              <w:rPr>
                <w:color w:val="FFFFFF" w:themeColor="background1"/>
              </w:rPr>
              <w:t>12</w:t>
            </w:r>
            <w:r>
              <w:rPr>
                <w:color w:val="FFFFFF" w:themeColor="background1"/>
              </w:rPr>
              <w:noBreakHyphen/>
            </w:r>
            <w:r w:rsidRPr="007E2FEB">
              <w:rPr>
                <w:color w:val="FFFFFF" w:themeColor="background1"/>
              </w:rPr>
              <w:t>17</w:t>
            </w:r>
          </w:p>
        </w:tc>
        <w:tc>
          <w:tcPr>
            <w:tcW w:w="850" w:type="dxa"/>
            <w:tcBorders>
              <w:left w:val="single" w:sz="4" w:space="0" w:color="auto"/>
              <w:bottom w:val="nil"/>
            </w:tcBorders>
            <w:shd w:val="clear" w:color="auto" w:fill="000000" w:themeFill="text1"/>
            <w:vAlign w:val="center"/>
          </w:tcPr>
          <w:p w14:paraId="62101F3F" w14:textId="77777777" w:rsidR="00FE6A89" w:rsidRPr="007E2FEB" w:rsidRDefault="00FE6A89" w:rsidP="006C55CC">
            <w:pPr>
              <w:pStyle w:val="BodyText"/>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Pr>
                <w:color w:val="FFFFFF" w:themeColor="background1"/>
              </w:rPr>
              <w:t>18</w:t>
            </w:r>
            <w:r>
              <w:rPr>
                <w:color w:val="FFFFFF" w:themeColor="background1"/>
              </w:rPr>
              <w:noBreakHyphen/>
              <w:t>24</w:t>
            </w:r>
          </w:p>
        </w:tc>
        <w:tc>
          <w:tcPr>
            <w:tcW w:w="851" w:type="dxa"/>
            <w:tcBorders>
              <w:bottom w:val="nil"/>
            </w:tcBorders>
            <w:shd w:val="clear" w:color="auto" w:fill="000000" w:themeFill="text1"/>
            <w:vAlign w:val="center"/>
          </w:tcPr>
          <w:p w14:paraId="1F8BA555" w14:textId="77777777" w:rsidR="00FE6A89" w:rsidRPr="007E2FEB" w:rsidRDefault="00FE6A89" w:rsidP="006C55CC">
            <w:pPr>
              <w:pStyle w:val="BodyText"/>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Pr>
                <w:color w:val="FFFFFF" w:themeColor="background1"/>
              </w:rPr>
              <w:t>25</w:t>
            </w:r>
            <w:r>
              <w:rPr>
                <w:color w:val="FFFFFF" w:themeColor="background1"/>
              </w:rPr>
              <w:noBreakHyphen/>
              <w:t>29</w:t>
            </w:r>
          </w:p>
        </w:tc>
        <w:tc>
          <w:tcPr>
            <w:tcW w:w="850" w:type="dxa"/>
            <w:tcBorders>
              <w:bottom w:val="nil"/>
            </w:tcBorders>
            <w:shd w:val="clear" w:color="auto" w:fill="000000" w:themeFill="text1"/>
            <w:vAlign w:val="center"/>
          </w:tcPr>
          <w:p w14:paraId="4B526181" w14:textId="77777777" w:rsidR="00FE6A89" w:rsidRPr="007E2FEB" w:rsidRDefault="00FE6A89" w:rsidP="006C55CC">
            <w:pPr>
              <w:pStyle w:val="BodyText"/>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Pr>
                <w:color w:val="FFFFFF" w:themeColor="background1"/>
              </w:rPr>
              <w:t>30</w:t>
            </w:r>
            <w:r>
              <w:rPr>
                <w:color w:val="FFFFFF" w:themeColor="background1"/>
              </w:rPr>
              <w:noBreakHyphen/>
              <w:t>39</w:t>
            </w:r>
          </w:p>
        </w:tc>
        <w:tc>
          <w:tcPr>
            <w:tcW w:w="851" w:type="dxa"/>
            <w:tcBorders>
              <w:bottom w:val="nil"/>
            </w:tcBorders>
            <w:shd w:val="clear" w:color="auto" w:fill="000000" w:themeFill="text1"/>
            <w:vAlign w:val="center"/>
          </w:tcPr>
          <w:p w14:paraId="32737179" w14:textId="77777777" w:rsidR="00FE6A89" w:rsidRPr="007E2FEB" w:rsidRDefault="00FE6A89" w:rsidP="006C55CC">
            <w:pPr>
              <w:pStyle w:val="BodyText"/>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Pr>
                <w:color w:val="FFFFFF" w:themeColor="background1"/>
              </w:rPr>
              <w:t>40</w:t>
            </w:r>
            <w:r>
              <w:rPr>
                <w:color w:val="FFFFFF" w:themeColor="background1"/>
              </w:rPr>
              <w:noBreakHyphen/>
              <w:t>49</w:t>
            </w:r>
          </w:p>
        </w:tc>
        <w:tc>
          <w:tcPr>
            <w:tcW w:w="850" w:type="dxa"/>
            <w:tcBorders>
              <w:bottom w:val="nil"/>
            </w:tcBorders>
            <w:shd w:val="clear" w:color="auto" w:fill="000000" w:themeFill="text1"/>
            <w:vAlign w:val="center"/>
          </w:tcPr>
          <w:p w14:paraId="11D5001C" w14:textId="77777777" w:rsidR="00FE6A89" w:rsidRPr="007E2FEB" w:rsidRDefault="00FE6A89" w:rsidP="006C55CC">
            <w:pPr>
              <w:pStyle w:val="BodyText"/>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Pr>
                <w:color w:val="FFFFFF" w:themeColor="background1"/>
              </w:rPr>
              <w:t>50</w:t>
            </w:r>
            <w:r>
              <w:rPr>
                <w:color w:val="FFFFFF" w:themeColor="background1"/>
              </w:rPr>
              <w:noBreakHyphen/>
              <w:t>59</w:t>
            </w:r>
          </w:p>
        </w:tc>
        <w:tc>
          <w:tcPr>
            <w:tcW w:w="738" w:type="dxa"/>
            <w:tcBorders>
              <w:bottom w:val="nil"/>
            </w:tcBorders>
            <w:shd w:val="clear" w:color="auto" w:fill="000000" w:themeFill="text1"/>
            <w:vAlign w:val="center"/>
          </w:tcPr>
          <w:p w14:paraId="3371DAC9" w14:textId="77777777" w:rsidR="00FE6A89" w:rsidRPr="007E2FEB" w:rsidRDefault="00FE6A89" w:rsidP="006C55CC">
            <w:pPr>
              <w:pStyle w:val="BodyText"/>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Pr>
                <w:color w:val="FFFFFF" w:themeColor="background1"/>
              </w:rPr>
              <w:t>60</w:t>
            </w:r>
            <w:r>
              <w:rPr>
                <w:color w:val="FFFFFF" w:themeColor="background1"/>
              </w:rPr>
              <w:noBreakHyphen/>
              <w:t>69</w:t>
            </w:r>
          </w:p>
        </w:tc>
        <w:tc>
          <w:tcPr>
            <w:tcW w:w="686" w:type="dxa"/>
            <w:gridSpan w:val="2"/>
            <w:tcBorders>
              <w:bottom w:val="nil"/>
            </w:tcBorders>
            <w:shd w:val="clear" w:color="auto" w:fill="000000" w:themeFill="text1"/>
            <w:vAlign w:val="center"/>
          </w:tcPr>
          <w:p w14:paraId="31E315BB" w14:textId="77777777" w:rsidR="00FE6A89" w:rsidRPr="007E2FEB" w:rsidRDefault="00FE6A89" w:rsidP="006C55CC">
            <w:pPr>
              <w:pStyle w:val="BodyText"/>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Pr>
                <w:color w:val="FFFFFF" w:themeColor="background1"/>
              </w:rPr>
              <w:t>70+</w:t>
            </w:r>
          </w:p>
        </w:tc>
        <w:tc>
          <w:tcPr>
            <w:tcW w:w="692" w:type="dxa"/>
            <w:gridSpan w:val="2"/>
            <w:tcBorders>
              <w:bottom w:val="nil"/>
              <w:right w:val="single" w:sz="4" w:space="0" w:color="auto"/>
            </w:tcBorders>
            <w:shd w:val="clear" w:color="auto" w:fill="000000" w:themeFill="text1"/>
            <w:vAlign w:val="center"/>
          </w:tcPr>
          <w:p w14:paraId="6FC57010" w14:textId="77777777" w:rsidR="00FE6A89" w:rsidRPr="007E2FEB" w:rsidRDefault="00FE6A89" w:rsidP="006C55CC">
            <w:pPr>
              <w:pStyle w:val="BodyText"/>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Pr>
                <w:color w:val="FFFFFF" w:themeColor="background1"/>
              </w:rPr>
              <w:t>18+</w:t>
            </w:r>
          </w:p>
        </w:tc>
      </w:tr>
      <w:tr w:rsidR="00FE6A89" w14:paraId="70B3D261" w14:textId="77777777" w:rsidTr="006C55CC">
        <w:tc>
          <w:tcPr>
            <w:cnfStyle w:val="001000000000" w:firstRow="0" w:lastRow="0" w:firstColumn="1" w:lastColumn="0" w:oddVBand="0" w:evenVBand="0" w:oddHBand="0" w:evenHBand="0" w:firstRowFirstColumn="0" w:firstRowLastColumn="0" w:lastRowFirstColumn="0" w:lastRowLastColumn="0"/>
            <w:tcW w:w="2155" w:type="dxa"/>
            <w:tcBorders>
              <w:left w:val="single" w:sz="4" w:space="0" w:color="auto"/>
              <w:bottom w:val="nil"/>
              <w:right w:val="single" w:sz="4" w:space="0" w:color="auto"/>
            </w:tcBorders>
          </w:tcPr>
          <w:p w14:paraId="4A5C98CB" w14:textId="77777777" w:rsidR="00FE6A89" w:rsidRPr="00F7189E" w:rsidRDefault="00FE6A89" w:rsidP="006C55CC">
            <w:pPr>
              <w:pStyle w:val="BodyText"/>
              <w:rPr>
                <w:sz w:val="20"/>
                <w:szCs w:val="20"/>
              </w:rPr>
            </w:pPr>
            <w:r w:rsidRPr="00F7189E">
              <w:rPr>
                <w:sz w:val="20"/>
                <w:szCs w:val="20"/>
              </w:rPr>
              <w:t>To help me quit smoking</w:t>
            </w:r>
          </w:p>
        </w:tc>
        <w:tc>
          <w:tcPr>
            <w:tcW w:w="993" w:type="dxa"/>
            <w:tcBorders>
              <w:left w:val="single" w:sz="4" w:space="0" w:color="auto"/>
              <w:bottom w:val="nil"/>
              <w:right w:val="single" w:sz="4" w:space="0" w:color="auto"/>
            </w:tcBorders>
          </w:tcPr>
          <w:p w14:paraId="5D5E721F" w14:textId="77777777" w:rsidR="00FE6A89" w:rsidRDefault="00FE6A89" w:rsidP="006C55CC">
            <w:pPr>
              <w:pStyle w:val="BodyText"/>
              <w:jc w:val="center"/>
              <w:cnfStyle w:val="000000000000" w:firstRow="0" w:lastRow="0" w:firstColumn="0" w:lastColumn="0" w:oddVBand="0" w:evenVBand="0" w:oddHBand="0" w:evenHBand="0" w:firstRowFirstColumn="0" w:firstRowLastColumn="0" w:lastRowFirstColumn="0" w:lastRowLastColumn="0"/>
            </w:pPr>
            <w:r>
              <w:t>2.3</w:t>
            </w:r>
          </w:p>
        </w:tc>
        <w:tc>
          <w:tcPr>
            <w:tcW w:w="850" w:type="dxa"/>
            <w:tcBorders>
              <w:left w:val="single" w:sz="4" w:space="0" w:color="auto"/>
              <w:bottom w:val="nil"/>
              <w:right w:val="single" w:sz="4" w:space="0" w:color="auto"/>
            </w:tcBorders>
          </w:tcPr>
          <w:p w14:paraId="0B4CE8F4" w14:textId="77777777" w:rsidR="00FE6A89" w:rsidRDefault="00FE6A89" w:rsidP="006C55CC">
            <w:pPr>
              <w:pStyle w:val="BodyText"/>
              <w:jc w:val="center"/>
              <w:cnfStyle w:val="000000000000" w:firstRow="0" w:lastRow="0" w:firstColumn="0" w:lastColumn="0" w:oddVBand="0" w:evenVBand="0" w:oddHBand="0" w:evenHBand="0" w:firstRowFirstColumn="0" w:firstRowLastColumn="0" w:lastRowFirstColumn="0" w:lastRowLastColumn="0"/>
            </w:pPr>
            <w:r>
              <w:t>13.1</w:t>
            </w:r>
          </w:p>
        </w:tc>
        <w:tc>
          <w:tcPr>
            <w:tcW w:w="851" w:type="dxa"/>
            <w:tcBorders>
              <w:left w:val="single" w:sz="4" w:space="0" w:color="auto"/>
              <w:bottom w:val="nil"/>
              <w:right w:val="single" w:sz="4" w:space="0" w:color="auto"/>
            </w:tcBorders>
          </w:tcPr>
          <w:p w14:paraId="20919C61" w14:textId="77777777" w:rsidR="00FE6A89" w:rsidRDefault="00FE6A89" w:rsidP="006C55CC">
            <w:pPr>
              <w:pStyle w:val="BodyText"/>
              <w:jc w:val="center"/>
              <w:cnfStyle w:val="000000000000" w:firstRow="0" w:lastRow="0" w:firstColumn="0" w:lastColumn="0" w:oddVBand="0" w:evenVBand="0" w:oddHBand="0" w:evenHBand="0" w:firstRowFirstColumn="0" w:firstRowLastColumn="0" w:lastRowFirstColumn="0" w:lastRowLastColumn="0"/>
            </w:pPr>
            <w:r>
              <w:t>19.5</w:t>
            </w:r>
          </w:p>
        </w:tc>
        <w:tc>
          <w:tcPr>
            <w:tcW w:w="850" w:type="dxa"/>
            <w:tcBorders>
              <w:left w:val="single" w:sz="4" w:space="0" w:color="auto"/>
              <w:bottom w:val="nil"/>
              <w:right w:val="single" w:sz="4" w:space="0" w:color="auto"/>
            </w:tcBorders>
          </w:tcPr>
          <w:p w14:paraId="0D28F083" w14:textId="77777777" w:rsidR="00FE6A89" w:rsidRDefault="00FE6A89" w:rsidP="006C55CC">
            <w:pPr>
              <w:pStyle w:val="BodyText"/>
              <w:jc w:val="center"/>
              <w:cnfStyle w:val="000000000000" w:firstRow="0" w:lastRow="0" w:firstColumn="0" w:lastColumn="0" w:oddVBand="0" w:evenVBand="0" w:oddHBand="0" w:evenHBand="0" w:firstRowFirstColumn="0" w:firstRowLastColumn="0" w:lastRowFirstColumn="0" w:lastRowLastColumn="0"/>
            </w:pPr>
            <w:r>
              <w:t>39.0</w:t>
            </w:r>
          </w:p>
        </w:tc>
        <w:tc>
          <w:tcPr>
            <w:tcW w:w="851" w:type="dxa"/>
            <w:tcBorders>
              <w:left w:val="single" w:sz="4" w:space="0" w:color="auto"/>
              <w:bottom w:val="nil"/>
              <w:right w:val="single" w:sz="4" w:space="0" w:color="auto"/>
            </w:tcBorders>
          </w:tcPr>
          <w:p w14:paraId="769F78B3" w14:textId="77777777" w:rsidR="00FE6A89" w:rsidRDefault="00FE6A89" w:rsidP="006C55CC">
            <w:pPr>
              <w:pStyle w:val="BodyText"/>
              <w:jc w:val="center"/>
              <w:cnfStyle w:val="000000000000" w:firstRow="0" w:lastRow="0" w:firstColumn="0" w:lastColumn="0" w:oddVBand="0" w:evenVBand="0" w:oddHBand="0" w:evenHBand="0" w:firstRowFirstColumn="0" w:firstRowLastColumn="0" w:lastRowFirstColumn="0" w:lastRowLastColumn="0"/>
            </w:pPr>
            <w:r>
              <w:t>45.0</w:t>
            </w:r>
          </w:p>
        </w:tc>
        <w:tc>
          <w:tcPr>
            <w:tcW w:w="850" w:type="dxa"/>
            <w:tcBorders>
              <w:left w:val="single" w:sz="4" w:space="0" w:color="auto"/>
              <w:bottom w:val="nil"/>
              <w:right w:val="single" w:sz="4" w:space="0" w:color="auto"/>
            </w:tcBorders>
          </w:tcPr>
          <w:p w14:paraId="5EE6642F" w14:textId="77777777" w:rsidR="00FE6A89" w:rsidRDefault="00FE6A89" w:rsidP="006C55CC">
            <w:pPr>
              <w:pStyle w:val="BodyText"/>
              <w:jc w:val="center"/>
              <w:cnfStyle w:val="000000000000" w:firstRow="0" w:lastRow="0" w:firstColumn="0" w:lastColumn="0" w:oddVBand="0" w:evenVBand="0" w:oddHBand="0" w:evenHBand="0" w:firstRowFirstColumn="0" w:firstRowLastColumn="0" w:lastRowFirstColumn="0" w:lastRowLastColumn="0"/>
            </w:pPr>
            <w:r>
              <w:t>51.0</w:t>
            </w:r>
          </w:p>
        </w:tc>
        <w:tc>
          <w:tcPr>
            <w:tcW w:w="750" w:type="dxa"/>
            <w:gridSpan w:val="2"/>
            <w:tcBorders>
              <w:left w:val="single" w:sz="4" w:space="0" w:color="auto"/>
              <w:bottom w:val="nil"/>
              <w:right w:val="single" w:sz="4" w:space="0" w:color="auto"/>
            </w:tcBorders>
          </w:tcPr>
          <w:p w14:paraId="479E5456" w14:textId="77777777" w:rsidR="00FE6A89" w:rsidRDefault="00FE6A89" w:rsidP="006C55CC">
            <w:pPr>
              <w:pStyle w:val="BodyText"/>
              <w:jc w:val="center"/>
              <w:cnfStyle w:val="000000000000" w:firstRow="0" w:lastRow="0" w:firstColumn="0" w:lastColumn="0" w:oddVBand="0" w:evenVBand="0" w:oddHBand="0" w:evenHBand="0" w:firstRowFirstColumn="0" w:firstRowLastColumn="0" w:lastRowFirstColumn="0" w:lastRowLastColumn="0"/>
            </w:pPr>
            <w:r>
              <w:t>59.3</w:t>
            </w:r>
          </w:p>
        </w:tc>
        <w:tc>
          <w:tcPr>
            <w:tcW w:w="683" w:type="dxa"/>
            <w:gridSpan w:val="2"/>
            <w:tcBorders>
              <w:left w:val="single" w:sz="4" w:space="0" w:color="auto"/>
              <w:bottom w:val="nil"/>
              <w:right w:val="single" w:sz="4" w:space="0" w:color="auto"/>
            </w:tcBorders>
          </w:tcPr>
          <w:p w14:paraId="20164B59" w14:textId="77777777" w:rsidR="00FE6A89" w:rsidRDefault="00FE6A89" w:rsidP="006C55CC">
            <w:pPr>
              <w:pStyle w:val="BodyText"/>
              <w:jc w:val="center"/>
              <w:cnfStyle w:val="000000000000" w:firstRow="0" w:lastRow="0" w:firstColumn="0" w:lastColumn="0" w:oddVBand="0" w:evenVBand="0" w:oddHBand="0" w:evenHBand="0" w:firstRowFirstColumn="0" w:firstRowLastColumn="0" w:lastRowFirstColumn="0" w:lastRowLastColumn="0"/>
            </w:pPr>
            <w:r>
              <w:t>61.2</w:t>
            </w:r>
          </w:p>
        </w:tc>
        <w:tc>
          <w:tcPr>
            <w:tcW w:w="693" w:type="dxa"/>
            <w:gridSpan w:val="2"/>
            <w:tcBorders>
              <w:left w:val="single" w:sz="4" w:space="0" w:color="auto"/>
              <w:bottom w:val="nil"/>
              <w:right w:val="single" w:sz="4" w:space="0" w:color="auto"/>
            </w:tcBorders>
          </w:tcPr>
          <w:p w14:paraId="12556296" w14:textId="77777777" w:rsidR="00FE6A89" w:rsidRDefault="00FE6A89" w:rsidP="006C55CC">
            <w:pPr>
              <w:pStyle w:val="BodyText"/>
              <w:jc w:val="center"/>
              <w:cnfStyle w:val="000000000000" w:firstRow="0" w:lastRow="0" w:firstColumn="0" w:lastColumn="0" w:oddVBand="0" w:evenVBand="0" w:oddHBand="0" w:evenHBand="0" w:firstRowFirstColumn="0" w:firstRowLastColumn="0" w:lastRowFirstColumn="0" w:lastRowLastColumn="0"/>
            </w:pPr>
            <w:r>
              <w:t>32.3</w:t>
            </w:r>
          </w:p>
        </w:tc>
      </w:tr>
      <w:tr w:rsidR="00FE6A89" w14:paraId="56092D4A" w14:textId="77777777" w:rsidTr="006C55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Borders>
              <w:left w:val="single" w:sz="4" w:space="0" w:color="auto"/>
              <w:bottom w:val="nil"/>
              <w:right w:val="single" w:sz="4" w:space="0" w:color="auto"/>
            </w:tcBorders>
          </w:tcPr>
          <w:p w14:paraId="3D9AD4CA" w14:textId="77777777" w:rsidR="00FE6A89" w:rsidRPr="00F7189E" w:rsidRDefault="00FE6A89" w:rsidP="006C55CC">
            <w:pPr>
              <w:pStyle w:val="BodyText"/>
              <w:rPr>
                <w:sz w:val="20"/>
                <w:szCs w:val="20"/>
              </w:rPr>
            </w:pPr>
            <w:r w:rsidRPr="00F7189E">
              <w:rPr>
                <w:sz w:val="20"/>
                <w:szCs w:val="20"/>
              </w:rPr>
              <w:t>To try to cut down on the number of cigarettes I smoke</w:t>
            </w:r>
          </w:p>
        </w:tc>
        <w:tc>
          <w:tcPr>
            <w:tcW w:w="993" w:type="dxa"/>
            <w:tcBorders>
              <w:left w:val="single" w:sz="4" w:space="0" w:color="auto"/>
              <w:bottom w:val="nil"/>
              <w:right w:val="single" w:sz="4" w:space="0" w:color="auto"/>
            </w:tcBorders>
          </w:tcPr>
          <w:p w14:paraId="77E22577" w14:textId="77777777" w:rsidR="00FE6A89" w:rsidRDefault="00FE6A89" w:rsidP="006C55CC">
            <w:pPr>
              <w:pStyle w:val="BodyText"/>
              <w:jc w:val="center"/>
              <w:cnfStyle w:val="000000100000" w:firstRow="0" w:lastRow="0" w:firstColumn="0" w:lastColumn="0" w:oddVBand="0" w:evenVBand="0" w:oddHBand="1" w:evenHBand="0" w:firstRowFirstColumn="0" w:firstRowLastColumn="0" w:lastRowFirstColumn="0" w:lastRowLastColumn="0"/>
            </w:pPr>
            <w:r>
              <w:t>2.0</w:t>
            </w:r>
          </w:p>
        </w:tc>
        <w:tc>
          <w:tcPr>
            <w:tcW w:w="850" w:type="dxa"/>
            <w:tcBorders>
              <w:left w:val="single" w:sz="4" w:space="0" w:color="auto"/>
              <w:bottom w:val="nil"/>
              <w:right w:val="single" w:sz="4" w:space="0" w:color="auto"/>
            </w:tcBorders>
          </w:tcPr>
          <w:p w14:paraId="39C44F80" w14:textId="77777777" w:rsidR="00FE6A89" w:rsidRDefault="00FE6A89" w:rsidP="006C55CC">
            <w:pPr>
              <w:pStyle w:val="BodyText"/>
              <w:jc w:val="center"/>
              <w:cnfStyle w:val="000000100000" w:firstRow="0" w:lastRow="0" w:firstColumn="0" w:lastColumn="0" w:oddVBand="0" w:evenVBand="0" w:oddHBand="1" w:evenHBand="0" w:firstRowFirstColumn="0" w:firstRowLastColumn="0" w:lastRowFirstColumn="0" w:lastRowLastColumn="0"/>
            </w:pPr>
            <w:r>
              <w:t>8.8</w:t>
            </w:r>
          </w:p>
        </w:tc>
        <w:tc>
          <w:tcPr>
            <w:tcW w:w="851" w:type="dxa"/>
            <w:tcBorders>
              <w:left w:val="single" w:sz="4" w:space="0" w:color="auto"/>
              <w:bottom w:val="nil"/>
              <w:right w:val="single" w:sz="4" w:space="0" w:color="auto"/>
            </w:tcBorders>
          </w:tcPr>
          <w:p w14:paraId="3B2AB259" w14:textId="77777777" w:rsidR="00FE6A89" w:rsidRDefault="00FE6A89" w:rsidP="006C55CC">
            <w:pPr>
              <w:pStyle w:val="BodyText"/>
              <w:jc w:val="center"/>
              <w:cnfStyle w:val="000000100000" w:firstRow="0" w:lastRow="0" w:firstColumn="0" w:lastColumn="0" w:oddVBand="0" w:evenVBand="0" w:oddHBand="1" w:evenHBand="0" w:firstRowFirstColumn="0" w:firstRowLastColumn="0" w:lastRowFirstColumn="0" w:lastRowLastColumn="0"/>
            </w:pPr>
            <w:r>
              <w:t>15.6</w:t>
            </w:r>
          </w:p>
        </w:tc>
        <w:tc>
          <w:tcPr>
            <w:tcW w:w="850" w:type="dxa"/>
            <w:tcBorders>
              <w:left w:val="single" w:sz="4" w:space="0" w:color="auto"/>
              <w:bottom w:val="nil"/>
              <w:right w:val="single" w:sz="4" w:space="0" w:color="auto"/>
            </w:tcBorders>
          </w:tcPr>
          <w:p w14:paraId="7008D9CB" w14:textId="77777777" w:rsidR="00FE6A89" w:rsidRDefault="00FE6A89" w:rsidP="006C55CC">
            <w:pPr>
              <w:pStyle w:val="BodyText"/>
              <w:jc w:val="center"/>
              <w:cnfStyle w:val="000000100000" w:firstRow="0" w:lastRow="0" w:firstColumn="0" w:lastColumn="0" w:oddVBand="0" w:evenVBand="0" w:oddHBand="1" w:evenHBand="0" w:firstRowFirstColumn="0" w:firstRowLastColumn="0" w:lastRowFirstColumn="0" w:lastRowLastColumn="0"/>
            </w:pPr>
            <w:r>
              <w:t>25.8</w:t>
            </w:r>
          </w:p>
        </w:tc>
        <w:tc>
          <w:tcPr>
            <w:tcW w:w="851" w:type="dxa"/>
            <w:tcBorders>
              <w:left w:val="single" w:sz="4" w:space="0" w:color="auto"/>
              <w:bottom w:val="nil"/>
              <w:right w:val="single" w:sz="4" w:space="0" w:color="auto"/>
            </w:tcBorders>
          </w:tcPr>
          <w:p w14:paraId="1E983C4E" w14:textId="77777777" w:rsidR="00FE6A89" w:rsidRDefault="00FE6A89" w:rsidP="006C55CC">
            <w:pPr>
              <w:pStyle w:val="BodyText"/>
              <w:jc w:val="center"/>
              <w:cnfStyle w:val="000000100000" w:firstRow="0" w:lastRow="0" w:firstColumn="0" w:lastColumn="0" w:oddVBand="0" w:evenVBand="0" w:oddHBand="1" w:evenHBand="0" w:firstRowFirstColumn="0" w:firstRowLastColumn="0" w:lastRowFirstColumn="0" w:lastRowLastColumn="0"/>
            </w:pPr>
            <w:r>
              <w:t>23.4</w:t>
            </w:r>
          </w:p>
        </w:tc>
        <w:tc>
          <w:tcPr>
            <w:tcW w:w="850" w:type="dxa"/>
            <w:tcBorders>
              <w:left w:val="single" w:sz="4" w:space="0" w:color="auto"/>
              <w:bottom w:val="nil"/>
              <w:right w:val="single" w:sz="4" w:space="0" w:color="auto"/>
            </w:tcBorders>
          </w:tcPr>
          <w:p w14:paraId="514E440B" w14:textId="77777777" w:rsidR="00FE6A89" w:rsidRDefault="00FE6A89" w:rsidP="006C55CC">
            <w:pPr>
              <w:pStyle w:val="BodyText"/>
              <w:jc w:val="center"/>
              <w:cnfStyle w:val="000000100000" w:firstRow="0" w:lastRow="0" w:firstColumn="0" w:lastColumn="0" w:oddVBand="0" w:evenVBand="0" w:oddHBand="1" w:evenHBand="0" w:firstRowFirstColumn="0" w:firstRowLastColumn="0" w:lastRowFirstColumn="0" w:lastRowLastColumn="0"/>
            </w:pPr>
            <w:r>
              <w:t>30.5</w:t>
            </w:r>
          </w:p>
        </w:tc>
        <w:tc>
          <w:tcPr>
            <w:tcW w:w="750" w:type="dxa"/>
            <w:gridSpan w:val="2"/>
            <w:tcBorders>
              <w:left w:val="single" w:sz="4" w:space="0" w:color="auto"/>
              <w:bottom w:val="nil"/>
              <w:right w:val="single" w:sz="4" w:space="0" w:color="auto"/>
            </w:tcBorders>
          </w:tcPr>
          <w:p w14:paraId="42952D51" w14:textId="77777777" w:rsidR="00FE6A89" w:rsidRDefault="00FE6A89" w:rsidP="006C55CC">
            <w:pPr>
              <w:pStyle w:val="BodyText"/>
              <w:jc w:val="center"/>
              <w:cnfStyle w:val="000000100000" w:firstRow="0" w:lastRow="0" w:firstColumn="0" w:lastColumn="0" w:oddVBand="0" w:evenVBand="0" w:oddHBand="1" w:evenHBand="0" w:firstRowFirstColumn="0" w:firstRowLastColumn="0" w:lastRowFirstColumn="0" w:lastRowLastColumn="0"/>
            </w:pPr>
            <w:r>
              <w:t>29.5</w:t>
            </w:r>
          </w:p>
        </w:tc>
        <w:tc>
          <w:tcPr>
            <w:tcW w:w="683" w:type="dxa"/>
            <w:gridSpan w:val="2"/>
            <w:tcBorders>
              <w:left w:val="single" w:sz="4" w:space="0" w:color="auto"/>
              <w:bottom w:val="nil"/>
              <w:right w:val="single" w:sz="4" w:space="0" w:color="auto"/>
            </w:tcBorders>
          </w:tcPr>
          <w:p w14:paraId="6FF855AA" w14:textId="77777777" w:rsidR="00FE6A89" w:rsidRDefault="00FE6A89" w:rsidP="006C55CC">
            <w:pPr>
              <w:pStyle w:val="BodyText"/>
              <w:jc w:val="center"/>
              <w:cnfStyle w:val="000000100000" w:firstRow="0" w:lastRow="0" w:firstColumn="0" w:lastColumn="0" w:oddVBand="0" w:evenVBand="0" w:oddHBand="1" w:evenHBand="0" w:firstRowFirstColumn="0" w:firstRowLastColumn="0" w:lastRowFirstColumn="0" w:lastRowLastColumn="0"/>
            </w:pPr>
            <w:r>
              <w:t>20</w:t>
            </w:r>
          </w:p>
        </w:tc>
        <w:tc>
          <w:tcPr>
            <w:tcW w:w="693" w:type="dxa"/>
            <w:gridSpan w:val="2"/>
            <w:tcBorders>
              <w:left w:val="single" w:sz="4" w:space="0" w:color="auto"/>
              <w:bottom w:val="nil"/>
              <w:right w:val="single" w:sz="4" w:space="0" w:color="auto"/>
            </w:tcBorders>
          </w:tcPr>
          <w:p w14:paraId="24FB4169" w14:textId="77777777" w:rsidR="00FE6A89" w:rsidRDefault="00FE6A89" w:rsidP="006C55CC">
            <w:pPr>
              <w:pStyle w:val="BodyText"/>
              <w:jc w:val="center"/>
              <w:cnfStyle w:val="000000100000" w:firstRow="0" w:lastRow="0" w:firstColumn="0" w:lastColumn="0" w:oddVBand="0" w:evenVBand="0" w:oddHBand="1" w:evenHBand="0" w:firstRowFirstColumn="0" w:firstRowLastColumn="0" w:lastRowFirstColumn="0" w:lastRowLastColumn="0"/>
            </w:pPr>
            <w:r>
              <w:t>19.7</w:t>
            </w:r>
          </w:p>
        </w:tc>
      </w:tr>
      <w:tr w:rsidR="00FE6A89" w14:paraId="53D901A9" w14:textId="77777777" w:rsidTr="006C55CC">
        <w:trPr>
          <w:gridAfter w:val="1"/>
          <w:wAfter w:w="10" w:type="dxa"/>
        </w:trPr>
        <w:tc>
          <w:tcPr>
            <w:cnfStyle w:val="001000000000" w:firstRow="0" w:lastRow="0" w:firstColumn="1" w:lastColumn="0" w:oddVBand="0" w:evenVBand="0" w:oddHBand="0" w:evenHBand="0" w:firstRowFirstColumn="0" w:firstRowLastColumn="0" w:lastRowFirstColumn="0" w:lastRowLastColumn="0"/>
            <w:tcW w:w="2155" w:type="dxa"/>
            <w:tcBorders>
              <w:left w:val="single" w:sz="4" w:space="0" w:color="auto"/>
              <w:bottom w:val="nil"/>
              <w:right w:val="single" w:sz="4" w:space="0" w:color="auto"/>
            </w:tcBorders>
          </w:tcPr>
          <w:p w14:paraId="391B490C" w14:textId="77777777" w:rsidR="00FE6A89" w:rsidRPr="00F7189E" w:rsidRDefault="00FE6A89" w:rsidP="006C55CC">
            <w:pPr>
              <w:pStyle w:val="BodyText"/>
              <w:rPr>
                <w:sz w:val="20"/>
                <w:szCs w:val="20"/>
              </w:rPr>
            </w:pPr>
            <w:r w:rsidRPr="00F7189E">
              <w:rPr>
                <w:sz w:val="20"/>
                <w:szCs w:val="20"/>
              </w:rPr>
              <w:t>To try to stop me going back to smoking</w:t>
            </w:r>
          </w:p>
        </w:tc>
        <w:tc>
          <w:tcPr>
            <w:tcW w:w="993" w:type="dxa"/>
            <w:tcBorders>
              <w:left w:val="single" w:sz="4" w:space="0" w:color="auto"/>
              <w:bottom w:val="nil"/>
              <w:right w:val="single" w:sz="4" w:space="0" w:color="auto"/>
            </w:tcBorders>
          </w:tcPr>
          <w:p w14:paraId="66CE310A" w14:textId="77777777" w:rsidR="00FE6A89" w:rsidRDefault="00FE6A89" w:rsidP="006C55CC">
            <w:pPr>
              <w:pStyle w:val="BodyText"/>
              <w:jc w:val="center"/>
              <w:cnfStyle w:val="000000000000" w:firstRow="0" w:lastRow="0" w:firstColumn="0" w:lastColumn="0" w:oddVBand="0" w:evenVBand="0" w:oddHBand="0" w:evenHBand="0" w:firstRowFirstColumn="0" w:firstRowLastColumn="0" w:lastRowFirstColumn="0" w:lastRowLastColumn="0"/>
            </w:pPr>
            <w:r>
              <w:t>1.9</w:t>
            </w:r>
          </w:p>
        </w:tc>
        <w:tc>
          <w:tcPr>
            <w:tcW w:w="850" w:type="dxa"/>
            <w:tcBorders>
              <w:left w:val="single" w:sz="4" w:space="0" w:color="auto"/>
              <w:bottom w:val="nil"/>
              <w:right w:val="single" w:sz="4" w:space="0" w:color="auto"/>
            </w:tcBorders>
          </w:tcPr>
          <w:p w14:paraId="0F3C4B1D" w14:textId="77777777" w:rsidR="00FE6A89" w:rsidRDefault="00FE6A89" w:rsidP="006C55CC">
            <w:pPr>
              <w:pStyle w:val="BodyText"/>
              <w:jc w:val="center"/>
              <w:cnfStyle w:val="000000000000" w:firstRow="0" w:lastRow="0" w:firstColumn="0" w:lastColumn="0" w:oddVBand="0" w:evenVBand="0" w:oddHBand="0" w:evenHBand="0" w:firstRowFirstColumn="0" w:firstRowLastColumn="0" w:lastRowFirstColumn="0" w:lastRowLastColumn="0"/>
            </w:pPr>
            <w:r>
              <w:t>7.2</w:t>
            </w:r>
          </w:p>
        </w:tc>
        <w:tc>
          <w:tcPr>
            <w:tcW w:w="851" w:type="dxa"/>
            <w:tcBorders>
              <w:left w:val="single" w:sz="4" w:space="0" w:color="auto"/>
              <w:bottom w:val="nil"/>
              <w:right w:val="single" w:sz="4" w:space="0" w:color="auto"/>
            </w:tcBorders>
          </w:tcPr>
          <w:p w14:paraId="171A6264" w14:textId="77777777" w:rsidR="00FE6A89" w:rsidRDefault="00FE6A89" w:rsidP="006C55CC">
            <w:pPr>
              <w:pStyle w:val="BodyText"/>
              <w:jc w:val="center"/>
              <w:cnfStyle w:val="000000000000" w:firstRow="0" w:lastRow="0" w:firstColumn="0" w:lastColumn="0" w:oddVBand="0" w:evenVBand="0" w:oddHBand="0" w:evenHBand="0" w:firstRowFirstColumn="0" w:firstRowLastColumn="0" w:lastRowFirstColumn="0" w:lastRowLastColumn="0"/>
            </w:pPr>
            <w:r>
              <w:t>11.6</w:t>
            </w:r>
          </w:p>
        </w:tc>
        <w:tc>
          <w:tcPr>
            <w:tcW w:w="850" w:type="dxa"/>
            <w:tcBorders>
              <w:left w:val="single" w:sz="4" w:space="0" w:color="auto"/>
              <w:bottom w:val="nil"/>
              <w:right w:val="single" w:sz="4" w:space="0" w:color="auto"/>
            </w:tcBorders>
          </w:tcPr>
          <w:p w14:paraId="6A3D5B69" w14:textId="77777777" w:rsidR="00FE6A89" w:rsidRDefault="00FE6A89" w:rsidP="006C55CC">
            <w:pPr>
              <w:pStyle w:val="BodyText"/>
              <w:jc w:val="center"/>
              <w:cnfStyle w:val="000000000000" w:firstRow="0" w:lastRow="0" w:firstColumn="0" w:lastColumn="0" w:oddVBand="0" w:evenVBand="0" w:oddHBand="0" w:evenHBand="0" w:firstRowFirstColumn="0" w:firstRowLastColumn="0" w:lastRowFirstColumn="0" w:lastRowLastColumn="0"/>
            </w:pPr>
            <w:r>
              <w:t>17.1</w:t>
            </w:r>
          </w:p>
        </w:tc>
        <w:tc>
          <w:tcPr>
            <w:tcW w:w="851" w:type="dxa"/>
            <w:tcBorders>
              <w:left w:val="single" w:sz="4" w:space="0" w:color="auto"/>
              <w:bottom w:val="nil"/>
              <w:right w:val="single" w:sz="4" w:space="0" w:color="auto"/>
            </w:tcBorders>
          </w:tcPr>
          <w:p w14:paraId="4EE8B71E" w14:textId="77777777" w:rsidR="00FE6A89" w:rsidRDefault="00FE6A89" w:rsidP="006C55CC">
            <w:pPr>
              <w:pStyle w:val="BodyText"/>
              <w:jc w:val="center"/>
              <w:cnfStyle w:val="000000000000" w:firstRow="0" w:lastRow="0" w:firstColumn="0" w:lastColumn="0" w:oddVBand="0" w:evenVBand="0" w:oddHBand="0" w:evenHBand="0" w:firstRowFirstColumn="0" w:firstRowLastColumn="0" w:lastRowFirstColumn="0" w:lastRowLastColumn="0"/>
            </w:pPr>
            <w:r>
              <w:t>18.9</w:t>
            </w:r>
          </w:p>
        </w:tc>
        <w:tc>
          <w:tcPr>
            <w:tcW w:w="850" w:type="dxa"/>
            <w:tcBorders>
              <w:left w:val="single" w:sz="4" w:space="0" w:color="auto"/>
              <w:bottom w:val="nil"/>
              <w:right w:val="single" w:sz="4" w:space="0" w:color="auto"/>
            </w:tcBorders>
          </w:tcPr>
          <w:p w14:paraId="50C5C9EC" w14:textId="77777777" w:rsidR="00FE6A89" w:rsidRDefault="00FE6A89" w:rsidP="006C55CC">
            <w:pPr>
              <w:pStyle w:val="BodyText"/>
              <w:jc w:val="center"/>
              <w:cnfStyle w:val="000000000000" w:firstRow="0" w:lastRow="0" w:firstColumn="0" w:lastColumn="0" w:oddVBand="0" w:evenVBand="0" w:oddHBand="0" w:evenHBand="0" w:firstRowFirstColumn="0" w:firstRowLastColumn="0" w:lastRowFirstColumn="0" w:lastRowLastColumn="0"/>
            </w:pPr>
            <w:r>
              <w:t>30.0</w:t>
            </w:r>
          </w:p>
        </w:tc>
        <w:tc>
          <w:tcPr>
            <w:tcW w:w="750" w:type="dxa"/>
            <w:gridSpan w:val="2"/>
            <w:tcBorders>
              <w:left w:val="single" w:sz="4" w:space="0" w:color="auto"/>
              <w:bottom w:val="nil"/>
              <w:right w:val="single" w:sz="4" w:space="0" w:color="auto"/>
            </w:tcBorders>
          </w:tcPr>
          <w:p w14:paraId="4EE03C46" w14:textId="77777777" w:rsidR="00FE6A89" w:rsidRDefault="00FE6A89" w:rsidP="006C55CC">
            <w:pPr>
              <w:pStyle w:val="BodyText"/>
              <w:jc w:val="center"/>
              <w:cnfStyle w:val="000000000000" w:firstRow="0" w:lastRow="0" w:firstColumn="0" w:lastColumn="0" w:oddVBand="0" w:evenVBand="0" w:oddHBand="0" w:evenHBand="0" w:firstRowFirstColumn="0" w:firstRowLastColumn="0" w:lastRowFirstColumn="0" w:lastRowLastColumn="0"/>
            </w:pPr>
            <w:r>
              <w:t>22.7</w:t>
            </w:r>
          </w:p>
        </w:tc>
        <w:tc>
          <w:tcPr>
            <w:tcW w:w="683" w:type="dxa"/>
            <w:gridSpan w:val="2"/>
            <w:tcBorders>
              <w:left w:val="single" w:sz="4" w:space="0" w:color="auto"/>
              <w:bottom w:val="nil"/>
              <w:right w:val="single" w:sz="4" w:space="0" w:color="auto"/>
            </w:tcBorders>
          </w:tcPr>
          <w:p w14:paraId="0B752598" w14:textId="77777777" w:rsidR="00FE6A89" w:rsidRDefault="00FE6A89" w:rsidP="006C55CC">
            <w:pPr>
              <w:pStyle w:val="BodyText"/>
              <w:jc w:val="center"/>
              <w:cnfStyle w:val="000000000000" w:firstRow="0" w:lastRow="0" w:firstColumn="0" w:lastColumn="0" w:oddVBand="0" w:evenVBand="0" w:oddHBand="0" w:evenHBand="0" w:firstRowFirstColumn="0" w:firstRowLastColumn="0" w:lastRowFirstColumn="0" w:lastRowLastColumn="0"/>
            </w:pPr>
            <w:r>
              <w:t>12.7</w:t>
            </w:r>
          </w:p>
        </w:tc>
        <w:tc>
          <w:tcPr>
            <w:tcW w:w="683" w:type="dxa"/>
            <w:tcBorders>
              <w:left w:val="single" w:sz="4" w:space="0" w:color="auto"/>
              <w:bottom w:val="nil"/>
              <w:right w:val="single" w:sz="4" w:space="0" w:color="auto"/>
            </w:tcBorders>
          </w:tcPr>
          <w:p w14:paraId="282FFBBB" w14:textId="77777777" w:rsidR="00FE6A89" w:rsidRDefault="00FE6A89" w:rsidP="006C55CC">
            <w:pPr>
              <w:pStyle w:val="BodyText"/>
              <w:jc w:val="center"/>
              <w:cnfStyle w:val="000000000000" w:firstRow="0" w:lastRow="0" w:firstColumn="0" w:lastColumn="0" w:oddVBand="0" w:evenVBand="0" w:oddHBand="0" w:evenHBand="0" w:firstRowFirstColumn="0" w:firstRowLastColumn="0" w:lastRowFirstColumn="0" w:lastRowLastColumn="0"/>
            </w:pPr>
            <w:r>
              <w:t>15.3</w:t>
            </w:r>
          </w:p>
        </w:tc>
      </w:tr>
      <w:tr w:rsidR="00FE6A89" w14:paraId="2C56B713" w14:textId="77777777" w:rsidTr="006C55CC">
        <w:trPr>
          <w:gridAfter w:val="1"/>
          <w:cnfStyle w:val="000000100000" w:firstRow="0" w:lastRow="0" w:firstColumn="0" w:lastColumn="0" w:oddVBand="0" w:evenVBand="0" w:oddHBand="1" w:evenHBand="0" w:firstRowFirstColumn="0" w:firstRowLastColumn="0" w:lastRowFirstColumn="0" w:lastRowLastColumn="0"/>
          <w:wAfter w:w="10" w:type="dxa"/>
        </w:trPr>
        <w:tc>
          <w:tcPr>
            <w:cnfStyle w:val="001000000000" w:firstRow="0" w:lastRow="0" w:firstColumn="1" w:lastColumn="0" w:oddVBand="0" w:evenVBand="0" w:oddHBand="0" w:evenHBand="0" w:firstRowFirstColumn="0" w:firstRowLastColumn="0" w:lastRowFirstColumn="0" w:lastRowLastColumn="0"/>
            <w:tcW w:w="2155" w:type="dxa"/>
            <w:tcBorders>
              <w:left w:val="single" w:sz="4" w:space="0" w:color="auto"/>
              <w:bottom w:val="nil"/>
              <w:right w:val="single" w:sz="4" w:space="0" w:color="auto"/>
            </w:tcBorders>
          </w:tcPr>
          <w:p w14:paraId="47218A3C" w14:textId="77777777" w:rsidR="00FE6A89" w:rsidRPr="00F7189E" w:rsidRDefault="00FE6A89" w:rsidP="006C55CC">
            <w:pPr>
              <w:pStyle w:val="BodyText"/>
              <w:rPr>
                <w:sz w:val="20"/>
                <w:szCs w:val="20"/>
              </w:rPr>
            </w:pPr>
            <w:r w:rsidRPr="00F7189E">
              <w:rPr>
                <w:sz w:val="20"/>
                <w:szCs w:val="20"/>
              </w:rPr>
              <w:t xml:space="preserve">I think they are less harmful than regular cigarettes </w:t>
            </w:r>
          </w:p>
        </w:tc>
        <w:tc>
          <w:tcPr>
            <w:tcW w:w="993" w:type="dxa"/>
            <w:tcBorders>
              <w:left w:val="single" w:sz="4" w:space="0" w:color="auto"/>
              <w:bottom w:val="nil"/>
              <w:right w:val="single" w:sz="4" w:space="0" w:color="auto"/>
            </w:tcBorders>
          </w:tcPr>
          <w:p w14:paraId="6CC0F177" w14:textId="77777777" w:rsidR="00FE6A89" w:rsidRDefault="00FE6A89" w:rsidP="006C55CC">
            <w:pPr>
              <w:pStyle w:val="BodyText"/>
              <w:jc w:val="center"/>
              <w:cnfStyle w:val="000000100000" w:firstRow="0" w:lastRow="0" w:firstColumn="0" w:lastColumn="0" w:oddVBand="0" w:evenVBand="0" w:oddHBand="1" w:evenHBand="0" w:firstRowFirstColumn="0" w:firstRowLastColumn="0" w:lastRowFirstColumn="0" w:lastRowLastColumn="0"/>
            </w:pPr>
            <w:r>
              <w:t>11.1</w:t>
            </w:r>
          </w:p>
        </w:tc>
        <w:tc>
          <w:tcPr>
            <w:tcW w:w="850" w:type="dxa"/>
            <w:tcBorders>
              <w:left w:val="single" w:sz="4" w:space="0" w:color="auto"/>
              <w:bottom w:val="nil"/>
              <w:right w:val="single" w:sz="4" w:space="0" w:color="auto"/>
            </w:tcBorders>
          </w:tcPr>
          <w:p w14:paraId="40FC61FC" w14:textId="77777777" w:rsidR="00FE6A89" w:rsidRDefault="00FE6A89" w:rsidP="006C55CC">
            <w:pPr>
              <w:pStyle w:val="BodyText"/>
              <w:jc w:val="center"/>
              <w:cnfStyle w:val="000000100000" w:firstRow="0" w:lastRow="0" w:firstColumn="0" w:lastColumn="0" w:oddVBand="0" w:evenVBand="0" w:oddHBand="1" w:evenHBand="0" w:firstRowFirstColumn="0" w:firstRowLastColumn="0" w:lastRowFirstColumn="0" w:lastRowLastColumn="0"/>
            </w:pPr>
            <w:r>
              <w:t>15.9</w:t>
            </w:r>
          </w:p>
        </w:tc>
        <w:tc>
          <w:tcPr>
            <w:tcW w:w="851" w:type="dxa"/>
            <w:tcBorders>
              <w:left w:val="single" w:sz="4" w:space="0" w:color="auto"/>
              <w:bottom w:val="nil"/>
              <w:right w:val="single" w:sz="4" w:space="0" w:color="auto"/>
            </w:tcBorders>
          </w:tcPr>
          <w:p w14:paraId="2D47CED9" w14:textId="77777777" w:rsidR="00FE6A89" w:rsidRDefault="00FE6A89" w:rsidP="006C55CC">
            <w:pPr>
              <w:pStyle w:val="BodyText"/>
              <w:jc w:val="center"/>
              <w:cnfStyle w:val="000000100000" w:firstRow="0" w:lastRow="0" w:firstColumn="0" w:lastColumn="0" w:oddVBand="0" w:evenVBand="0" w:oddHBand="1" w:evenHBand="0" w:firstRowFirstColumn="0" w:firstRowLastColumn="0" w:lastRowFirstColumn="0" w:lastRowLastColumn="0"/>
            </w:pPr>
            <w:r>
              <w:t>14.0</w:t>
            </w:r>
          </w:p>
        </w:tc>
        <w:tc>
          <w:tcPr>
            <w:tcW w:w="850" w:type="dxa"/>
            <w:tcBorders>
              <w:left w:val="single" w:sz="4" w:space="0" w:color="auto"/>
              <w:bottom w:val="nil"/>
              <w:right w:val="single" w:sz="4" w:space="0" w:color="auto"/>
            </w:tcBorders>
          </w:tcPr>
          <w:p w14:paraId="36D72D8E" w14:textId="77777777" w:rsidR="00FE6A89" w:rsidRDefault="00FE6A89" w:rsidP="006C55CC">
            <w:pPr>
              <w:pStyle w:val="BodyText"/>
              <w:jc w:val="center"/>
              <w:cnfStyle w:val="000000100000" w:firstRow="0" w:lastRow="0" w:firstColumn="0" w:lastColumn="0" w:oddVBand="0" w:evenVBand="0" w:oddHBand="1" w:evenHBand="0" w:firstRowFirstColumn="0" w:firstRowLastColumn="0" w:lastRowFirstColumn="0" w:lastRowLastColumn="0"/>
            </w:pPr>
            <w:r>
              <w:t>22.6</w:t>
            </w:r>
          </w:p>
        </w:tc>
        <w:tc>
          <w:tcPr>
            <w:tcW w:w="851" w:type="dxa"/>
            <w:tcBorders>
              <w:left w:val="single" w:sz="4" w:space="0" w:color="auto"/>
              <w:bottom w:val="nil"/>
              <w:right w:val="single" w:sz="4" w:space="0" w:color="auto"/>
            </w:tcBorders>
          </w:tcPr>
          <w:p w14:paraId="77FB6870" w14:textId="77777777" w:rsidR="00FE6A89" w:rsidRDefault="00FE6A89" w:rsidP="006C55CC">
            <w:pPr>
              <w:pStyle w:val="BodyText"/>
              <w:jc w:val="center"/>
              <w:cnfStyle w:val="000000100000" w:firstRow="0" w:lastRow="0" w:firstColumn="0" w:lastColumn="0" w:oddVBand="0" w:evenVBand="0" w:oddHBand="1" w:evenHBand="0" w:firstRowFirstColumn="0" w:firstRowLastColumn="0" w:lastRowFirstColumn="0" w:lastRowLastColumn="0"/>
            </w:pPr>
            <w:r>
              <w:t>23.1</w:t>
            </w:r>
          </w:p>
        </w:tc>
        <w:tc>
          <w:tcPr>
            <w:tcW w:w="850" w:type="dxa"/>
            <w:tcBorders>
              <w:left w:val="single" w:sz="4" w:space="0" w:color="auto"/>
              <w:bottom w:val="nil"/>
              <w:right w:val="single" w:sz="4" w:space="0" w:color="auto"/>
            </w:tcBorders>
          </w:tcPr>
          <w:p w14:paraId="02E29850" w14:textId="77777777" w:rsidR="00FE6A89" w:rsidRDefault="00FE6A89" w:rsidP="006C55CC">
            <w:pPr>
              <w:pStyle w:val="BodyText"/>
              <w:jc w:val="center"/>
              <w:cnfStyle w:val="000000100000" w:firstRow="0" w:lastRow="0" w:firstColumn="0" w:lastColumn="0" w:oddVBand="0" w:evenVBand="0" w:oddHBand="1" w:evenHBand="0" w:firstRowFirstColumn="0" w:firstRowLastColumn="0" w:lastRowFirstColumn="0" w:lastRowLastColumn="0"/>
            </w:pPr>
            <w:r>
              <w:t>22.3</w:t>
            </w:r>
          </w:p>
        </w:tc>
        <w:tc>
          <w:tcPr>
            <w:tcW w:w="750" w:type="dxa"/>
            <w:gridSpan w:val="2"/>
            <w:tcBorders>
              <w:left w:val="single" w:sz="4" w:space="0" w:color="auto"/>
              <w:bottom w:val="nil"/>
              <w:right w:val="single" w:sz="4" w:space="0" w:color="auto"/>
            </w:tcBorders>
          </w:tcPr>
          <w:p w14:paraId="49F9DFD9" w14:textId="77777777" w:rsidR="00FE6A89" w:rsidRDefault="00FE6A89" w:rsidP="006C55CC">
            <w:pPr>
              <w:pStyle w:val="BodyText"/>
              <w:jc w:val="center"/>
              <w:cnfStyle w:val="000000100000" w:firstRow="0" w:lastRow="0" w:firstColumn="0" w:lastColumn="0" w:oddVBand="0" w:evenVBand="0" w:oddHBand="1" w:evenHBand="0" w:firstRowFirstColumn="0" w:firstRowLastColumn="0" w:lastRowFirstColumn="0" w:lastRowLastColumn="0"/>
            </w:pPr>
            <w:r>
              <w:t>24.7</w:t>
            </w:r>
          </w:p>
        </w:tc>
        <w:tc>
          <w:tcPr>
            <w:tcW w:w="683" w:type="dxa"/>
            <w:gridSpan w:val="2"/>
            <w:tcBorders>
              <w:left w:val="single" w:sz="4" w:space="0" w:color="auto"/>
              <w:bottom w:val="nil"/>
              <w:right w:val="single" w:sz="4" w:space="0" w:color="auto"/>
            </w:tcBorders>
          </w:tcPr>
          <w:p w14:paraId="120D56D0" w14:textId="77777777" w:rsidR="00FE6A89" w:rsidRDefault="00FE6A89" w:rsidP="006C55CC">
            <w:pPr>
              <w:pStyle w:val="BodyText"/>
              <w:jc w:val="center"/>
              <w:cnfStyle w:val="000000100000" w:firstRow="0" w:lastRow="0" w:firstColumn="0" w:lastColumn="0" w:oddVBand="0" w:evenVBand="0" w:oddHBand="1" w:evenHBand="0" w:firstRowFirstColumn="0" w:firstRowLastColumn="0" w:lastRowFirstColumn="0" w:lastRowLastColumn="0"/>
            </w:pPr>
            <w:r>
              <w:t>38.9</w:t>
            </w:r>
          </w:p>
        </w:tc>
        <w:tc>
          <w:tcPr>
            <w:tcW w:w="683" w:type="dxa"/>
            <w:tcBorders>
              <w:left w:val="single" w:sz="4" w:space="0" w:color="auto"/>
              <w:bottom w:val="nil"/>
              <w:right w:val="single" w:sz="4" w:space="0" w:color="auto"/>
            </w:tcBorders>
          </w:tcPr>
          <w:p w14:paraId="24C81EEA" w14:textId="77777777" w:rsidR="00FE6A89" w:rsidRDefault="00FE6A89" w:rsidP="006C55CC">
            <w:pPr>
              <w:pStyle w:val="BodyText"/>
              <w:jc w:val="center"/>
              <w:cnfStyle w:val="000000100000" w:firstRow="0" w:lastRow="0" w:firstColumn="0" w:lastColumn="0" w:oddVBand="0" w:evenVBand="0" w:oddHBand="1" w:evenHBand="0" w:firstRowFirstColumn="0" w:firstRowLastColumn="0" w:lastRowFirstColumn="0" w:lastRowLastColumn="0"/>
            </w:pPr>
            <w:r>
              <w:t>19.8</w:t>
            </w:r>
          </w:p>
        </w:tc>
      </w:tr>
      <w:tr w:rsidR="00FE6A89" w14:paraId="56411FF1" w14:textId="77777777" w:rsidTr="006C55CC">
        <w:trPr>
          <w:gridAfter w:val="1"/>
          <w:wAfter w:w="10" w:type="dxa"/>
        </w:trPr>
        <w:tc>
          <w:tcPr>
            <w:cnfStyle w:val="001000000000" w:firstRow="0" w:lastRow="0" w:firstColumn="1" w:lastColumn="0" w:oddVBand="0" w:evenVBand="0" w:oddHBand="0" w:evenHBand="0" w:firstRowFirstColumn="0" w:firstRowLastColumn="0" w:lastRowFirstColumn="0" w:lastRowLastColumn="0"/>
            <w:tcW w:w="2155" w:type="dxa"/>
            <w:tcBorders>
              <w:left w:val="single" w:sz="4" w:space="0" w:color="auto"/>
              <w:bottom w:val="nil"/>
              <w:right w:val="single" w:sz="4" w:space="0" w:color="auto"/>
            </w:tcBorders>
          </w:tcPr>
          <w:p w14:paraId="15BA12FF" w14:textId="77777777" w:rsidR="00FE6A89" w:rsidRPr="00F7189E" w:rsidRDefault="00FE6A89" w:rsidP="006C55CC">
            <w:pPr>
              <w:pStyle w:val="BodyText"/>
              <w:rPr>
                <w:sz w:val="20"/>
                <w:szCs w:val="20"/>
              </w:rPr>
            </w:pPr>
            <w:r w:rsidRPr="00F7189E">
              <w:rPr>
                <w:sz w:val="20"/>
                <w:szCs w:val="20"/>
              </w:rPr>
              <w:t>They are cheaper than regular cigarettes</w:t>
            </w:r>
          </w:p>
        </w:tc>
        <w:tc>
          <w:tcPr>
            <w:tcW w:w="993" w:type="dxa"/>
            <w:tcBorders>
              <w:left w:val="single" w:sz="4" w:space="0" w:color="auto"/>
              <w:bottom w:val="nil"/>
              <w:right w:val="single" w:sz="4" w:space="0" w:color="auto"/>
            </w:tcBorders>
          </w:tcPr>
          <w:p w14:paraId="1E7771DE" w14:textId="77777777" w:rsidR="00FE6A89" w:rsidRDefault="00FE6A89" w:rsidP="006C55CC">
            <w:pPr>
              <w:pStyle w:val="BodyText"/>
              <w:jc w:val="center"/>
              <w:cnfStyle w:val="000000000000" w:firstRow="0" w:lastRow="0" w:firstColumn="0" w:lastColumn="0" w:oddVBand="0" w:evenVBand="0" w:oddHBand="0" w:evenHBand="0" w:firstRowFirstColumn="0" w:firstRowLastColumn="0" w:lastRowFirstColumn="0" w:lastRowLastColumn="0"/>
            </w:pPr>
            <w:r>
              <w:t>4.3</w:t>
            </w:r>
          </w:p>
        </w:tc>
        <w:tc>
          <w:tcPr>
            <w:tcW w:w="850" w:type="dxa"/>
            <w:tcBorders>
              <w:left w:val="single" w:sz="4" w:space="0" w:color="auto"/>
              <w:bottom w:val="nil"/>
              <w:right w:val="single" w:sz="4" w:space="0" w:color="auto"/>
            </w:tcBorders>
          </w:tcPr>
          <w:p w14:paraId="67581216" w14:textId="77777777" w:rsidR="00FE6A89" w:rsidRDefault="00FE6A89" w:rsidP="006C55CC">
            <w:pPr>
              <w:pStyle w:val="BodyText"/>
              <w:jc w:val="center"/>
              <w:cnfStyle w:val="000000000000" w:firstRow="0" w:lastRow="0" w:firstColumn="0" w:lastColumn="0" w:oddVBand="0" w:evenVBand="0" w:oddHBand="0" w:evenHBand="0" w:firstRowFirstColumn="0" w:firstRowLastColumn="0" w:lastRowFirstColumn="0" w:lastRowLastColumn="0"/>
            </w:pPr>
            <w:r>
              <w:t>5.9</w:t>
            </w:r>
          </w:p>
        </w:tc>
        <w:tc>
          <w:tcPr>
            <w:tcW w:w="851" w:type="dxa"/>
            <w:tcBorders>
              <w:left w:val="single" w:sz="4" w:space="0" w:color="auto"/>
              <w:bottom w:val="nil"/>
              <w:right w:val="single" w:sz="4" w:space="0" w:color="auto"/>
            </w:tcBorders>
          </w:tcPr>
          <w:p w14:paraId="38BAB7ED" w14:textId="77777777" w:rsidR="00FE6A89" w:rsidRDefault="00FE6A89" w:rsidP="006C55CC">
            <w:pPr>
              <w:pStyle w:val="BodyText"/>
              <w:jc w:val="center"/>
              <w:cnfStyle w:val="000000000000" w:firstRow="0" w:lastRow="0" w:firstColumn="0" w:lastColumn="0" w:oddVBand="0" w:evenVBand="0" w:oddHBand="0" w:evenHBand="0" w:firstRowFirstColumn="0" w:firstRowLastColumn="0" w:lastRowFirstColumn="0" w:lastRowLastColumn="0"/>
            </w:pPr>
            <w:r>
              <w:t>8.5</w:t>
            </w:r>
          </w:p>
        </w:tc>
        <w:tc>
          <w:tcPr>
            <w:tcW w:w="850" w:type="dxa"/>
            <w:tcBorders>
              <w:left w:val="single" w:sz="4" w:space="0" w:color="auto"/>
              <w:bottom w:val="nil"/>
              <w:right w:val="single" w:sz="4" w:space="0" w:color="auto"/>
            </w:tcBorders>
          </w:tcPr>
          <w:p w14:paraId="6E2EC215" w14:textId="77777777" w:rsidR="00FE6A89" w:rsidRDefault="00FE6A89" w:rsidP="006C55CC">
            <w:pPr>
              <w:pStyle w:val="BodyText"/>
              <w:jc w:val="center"/>
              <w:cnfStyle w:val="000000000000" w:firstRow="0" w:lastRow="0" w:firstColumn="0" w:lastColumn="0" w:oddVBand="0" w:evenVBand="0" w:oddHBand="0" w:evenHBand="0" w:firstRowFirstColumn="0" w:firstRowLastColumn="0" w:lastRowFirstColumn="0" w:lastRowLastColumn="0"/>
            </w:pPr>
            <w:r>
              <w:t>12.7</w:t>
            </w:r>
          </w:p>
        </w:tc>
        <w:tc>
          <w:tcPr>
            <w:tcW w:w="851" w:type="dxa"/>
            <w:tcBorders>
              <w:left w:val="single" w:sz="4" w:space="0" w:color="auto"/>
              <w:bottom w:val="nil"/>
              <w:right w:val="single" w:sz="4" w:space="0" w:color="auto"/>
            </w:tcBorders>
          </w:tcPr>
          <w:p w14:paraId="12D8884F" w14:textId="77777777" w:rsidR="00FE6A89" w:rsidRDefault="00FE6A89" w:rsidP="006C55CC">
            <w:pPr>
              <w:pStyle w:val="BodyText"/>
              <w:jc w:val="center"/>
              <w:cnfStyle w:val="000000000000" w:firstRow="0" w:lastRow="0" w:firstColumn="0" w:lastColumn="0" w:oddVBand="0" w:evenVBand="0" w:oddHBand="0" w:evenHBand="0" w:firstRowFirstColumn="0" w:firstRowLastColumn="0" w:lastRowFirstColumn="0" w:lastRowLastColumn="0"/>
            </w:pPr>
            <w:r>
              <w:t>12.8</w:t>
            </w:r>
          </w:p>
        </w:tc>
        <w:tc>
          <w:tcPr>
            <w:tcW w:w="850" w:type="dxa"/>
            <w:tcBorders>
              <w:left w:val="single" w:sz="4" w:space="0" w:color="auto"/>
              <w:bottom w:val="nil"/>
              <w:right w:val="single" w:sz="4" w:space="0" w:color="auto"/>
            </w:tcBorders>
          </w:tcPr>
          <w:p w14:paraId="17F1E8BD" w14:textId="77777777" w:rsidR="00FE6A89" w:rsidRDefault="00FE6A89" w:rsidP="006C55CC">
            <w:pPr>
              <w:pStyle w:val="BodyText"/>
              <w:jc w:val="center"/>
              <w:cnfStyle w:val="000000000000" w:firstRow="0" w:lastRow="0" w:firstColumn="0" w:lastColumn="0" w:oddVBand="0" w:evenVBand="0" w:oddHBand="0" w:evenHBand="0" w:firstRowFirstColumn="0" w:firstRowLastColumn="0" w:lastRowFirstColumn="0" w:lastRowLastColumn="0"/>
            </w:pPr>
            <w:r>
              <w:t>17.4</w:t>
            </w:r>
          </w:p>
        </w:tc>
        <w:tc>
          <w:tcPr>
            <w:tcW w:w="750" w:type="dxa"/>
            <w:gridSpan w:val="2"/>
            <w:tcBorders>
              <w:left w:val="single" w:sz="4" w:space="0" w:color="auto"/>
              <w:bottom w:val="nil"/>
              <w:right w:val="single" w:sz="4" w:space="0" w:color="auto"/>
            </w:tcBorders>
          </w:tcPr>
          <w:p w14:paraId="367A4A51" w14:textId="77777777" w:rsidR="00FE6A89" w:rsidRDefault="00FE6A89" w:rsidP="006C55CC">
            <w:pPr>
              <w:pStyle w:val="BodyText"/>
              <w:jc w:val="center"/>
              <w:cnfStyle w:val="000000000000" w:firstRow="0" w:lastRow="0" w:firstColumn="0" w:lastColumn="0" w:oddVBand="0" w:evenVBand="0" w:oddHBand="0" w:evenHBand="0" w:firstRowFirstColumn="0" w:firstRowLastColumn="0" w:lastRowFirstColumn="0" w:lastRowLastColumn="0"/>
            </w:pPr>
            <w:r>
              <w:t>16.6</w:t>
            </w:r>
          </w:p>
        </w:tc>
        <w:tc>
          <w:tcPr>
            <w:tcW w:w="683" w:type="dxa"/>
            <w:gridSpan w:val="2"/>
            <w:tcBorders>
              <w:left w:val="single" w:sz="4" w:space="0" w:color="auto"/>
              <w:bottom w:val="nil"/>
              <w:right w:val="single" w:sz="4" w:space="0" w:color="auto"/>
            </w:tcBorders>
          </w:tcPr>
          <w:p w14:paraId="0C81CCFC" w14:textId="77777777" w:rsidR="00FE6A89" w:rsidRDefault="00FE6A89" w:rsidP="006C55CC">
            <w:pPr>
              <w:pStyle w:val="BodyText"/>
              <w:jc w:val="center"/>
              <w:cnfStyle w:val="000000000000" w:firstRow="0" w:lastRow="0" w:firstColumn="0" w:lastColumn="0" w:oddVBand="0" w:evenVBand="0" w:oddHBand="0" w:evenHBand="0" w:firstRowFirstColumn="0" w:firstRowLastColumn="0" w:lastRowFirstColumn="0" w:lastRowLastColumn="0"/>
            </w:pPr>
            <w:r>
              <w:t>17.0</w:t>
            </w:r>
          </w:p>
        </w:tc>
        <w:tc>
          <w:tcPr>
            <w:tcW w:w="683" w:type="dxa"/>
            <w:tcBorders>
              <w:left w:val="single" w:sz="4" w:space="0" w:color="auto"/>
              <w:bottom w:val="nil"/>
              <w:right w:val="single" w:sz="4" w:space="0" w:color="auto"/>
            </w:tcBorders>
          </w:tcPr>
          <w:p w14:paraId="6AA1A4EE" w14:textId="77777777" w:rsidR="00FE6A89" w:rsidRDefault="00FE6A89" w:rsidP="006C55CC">
            <w:pPr>
              <w:pStyle w:val="BodyText"/>
              <w:jc w:val="center"/>
              <w:cnfStyle w:val="000000000000" w:firstRow="0" w:lastRow="0" w:firstColumn="0" w:lastColumn="0" w:oddVBand="0" w:evenVBand="0" w:oddHBand="0" w:evenHBand="0" w:firstRowFirstColumn="0" w:firstRowLastColumn="0" w:lastRowFirstColumn="0" w:lastRowLastColumn="0"/>
            </w:pPr>
            <w:r>
              <w:t>10.9</w:t>
            </w:r>
          </w:p>
        </w:tc>
      </w:tr>
      <w:tr w:rsidR="00FE6A89" w14:paraId="130FF7A6" w14:textId="77777777" w:rsidTr="006C55CC">
        <w:trPr>
          <w:gridAfter w:val="1"/>
          <w:cnfStyle w:val="000000100000" w:firstRow="0" w:lastRow="0" w:firstColumn="0" w:lastColumn="0" w:oddVBand="0" w:evenVBand="0" w:oddHBand="1" w:evenHBand="0" w:firstRowFirstColumn="0" w:firstRowLastColumn="0" w:lastRowFirstColumn="0" w:lastRowLastColumn="0"/>
          <w:wAfter w:w="10" w:type="dxa"/>
        </w:trPr>
        <w:tc>
          <w:tcPr>
            <w:cnfStyle w:val="001000000000" w:firstRow="0" w:lastRow="0" w:firstColumn="1" w:lastColumn="0" w:oddVBand="0" w:evenVBand="0" w:oddHBand="0" w:evenHBand="0" w:firstRowFirstColumn="0" w:firstRowLastColumn="0" w:lastRowFirstColumn="0" w:lastRowLastColumn="0"/>
            <w:tcW w:w="2155" w:type="dxa"/>
            <w:tcBorders>
              <w:left w:val="single" w:sz="4" w:space="0" w:color="auto"/>
              <w:bottom w:val="nil"/>
              <w:right w:val="single" w:sz="4" w:space="0" w:color="auto"/>
            </w:tcBorders>
          </w:tcPr>
          <w:p w14:paraId="1B734675" w14:textId="77777777" w:rsidR="00FE6A89" w:rsidRPr="00F7189E" w:rsidRDefault="00FE6A89" w:rsidP="006C55CC">
            <w:pPr>
              <w:pStyle w:val="BodyText"/>
              <w:rPr>
                <w:sz w:val="20"/>
                <w:szCs w:val="20"/>
              </w:rPr>
            </w:pPr>
            <w:r w:rsidRPr="00F7189E">
              <w:rPr>
                <w:sz w:val="20"/>
                <w:szCs w:val="20"/>
              </w:rPr>
              <w:t>I think they taste better than regular cigarettes</w:t>
            </w:r>
          </w:p>
        </w:tc>
        <w:tc>
          <w:tcPr>
            <w:tcW w:w="993" w:type="dxa"/>
            <w:tcBorders>
              <w:left w:val="single" w:sz="4" w:space="0" w:color="auto"/>
              <w:bottom w:val="nil"/>
              <w:right w:val="single" w:sz="4" w:space="0" w:color="auto"/>
            </w:tcBorders>
          </w:tcPr>
          <w:p w14:paraId="3062AB2E" w14:textId="77777777" w:rsidR="00FE6A89" w:rsidRDefault="00FE6A89" w:rsidP="006C55CC">
            <w:pPr>
              <w:pStyle w:val="BodyText"/>
              <w:jc w:val="center"/>
              <w:cnfStyle w:val="000000100000" w:firstRow="0" w:lastRow="0" w:firstColumn="0" w:lastColumn="0" w:oddVBand="0" w:evenVBand="0" w:oddHBand="1" w:evenHBand="0" w:firstRowFirstColumn="0" w:firstRowLastColumn="0" w:lastRowFirstColumn="0" w:lastRowLastColumn="0"/>
            </w:pPr>
            <w:r>
              <w:t>10.8</w:t>
            </w:r>
          </w:p>
        </w:tc>
        <w:tc>
          <w:tcPr>
            <w:tcW w:w="850" w:type="dxa"/>
            <w:tcBorders>
              <w:left w:val="single" w:sz="4" w:space="0" w:color="auto"/>
              <w:bottom w:val="nil"/>
              <w:right w:val="single" w:sz="4" w:space="0" w:color="auto"/>
            </w:tcBorders>
          </w:tcPr>
          <w:p w14:paraId="544DD1C9" w14:textId="77777777" w:rsidR="00FE6A89" w:rsidRDefault="00FE6A89" w:rsidP="006C55CC">
            <w:pPr>
              <w:pStyle w:val="BodyText"/>
              <w:jc w:val="center"/>
              <w:cnfStyle w:val="000000100000" w:firstRow="0" w:lastRow="0" w:firstColumn="0" w:lastColumn="0" w:oddVBand="0" w:evenVBand="0" w:oddHBand="1" w:evenHBand="0" w:firstRowFirstColumn="0" w:firstRowLastColumn="0" w:lastRowFirstColumn="0" w:lastRowLastColumn="0"/>
            </w:pPr>
            <w:r>
              <w:t>12.8</w:t>
            </w:r>
          </w:p>
        </w:tc>
        <w:tc>
          <w:tcPr>
            <w:tcW w:w="851" w:type="dxa"/>
            <w:tcBorders>
              <w:left w:val="single" w:sz="4" w:space="0" w:color="auto"/>
              <w:bottom w:val="nil"/>
              <w:right w:val="single" w:sz="4" w:space="0" w:color="auto"/>
            </w:tcBorders>
          </w:tcPr>
          <w:p w14:paraId="4875F033" w14:textId="77777777" w:rsidR="00FE6A89" w:rsidRDefault="00FE6A89" w:rsidP="006C55CC">
            <w:pPr>
              <w:pStyle w:val="BodyText"/>
              <w:jc w:val="center"/>
              <w:cnfStyle w:val="000000100000" w:firstRow="0" w:lastRow="0" w:firstColumn="0" w:lastColumn="0" w:oddVBand="0" w:evenVBand="0" w:oddHBand="1" w:evenHBand="0" w:firstRowFirstColumn="0" w:firstRowLastColumn="0" w:lastRowFirstColumn="0" w:lastRowLastColumn="0"/>
            </w:pPr>
            <w:r>
              <w:t>11.4</w:t>
            </w:r>
          </w:p>
        </w:tc>
        <w:tc>
          <w:tcPr>
            <w:tcW w:w="850" w:type="dxa"/>
            <w:tcBorders>
              <w:left w:val="single" w:sz="4" w:space="0" w:color="auto"/>
              <w:bottom w:val="nil"/>
              <w:right w:val="single" w:sz="4" w:space="0" w:color="auto"/>
            </w:tcBorders>
          </w:tcPr>
          <w:p w14:paraId="6F8CA8BF" w14:textId="77777777" w:rsidR="00FE6A89" w:rsidRDefault="00FE6A89" w:rsidP="006C55CC">
            <w:pPr>
              <w:pStyle w:val="BodyText"/>
              <w:jc w:val="center"/>
              <w:cnfStyle w:val="000000100000" w:firstRow="0" w:lastRow="0" w:firstColumn="0" w:lastColumn="0" w:oddVBand="0" w:evenVBand="0" w:oddHBand="1" w:evenHBand="0" w:firstRowFirstColumn="0" w:firstRowLastColumn="0" w:lastRowFirstColumn="0" w:lastRowLastColumn="0"/>
            </w:pPr>
            <w:r>
              <w:t>9.8</w:t>
            </w:r>
          </w:p>
        </w:tc>
        <w:tc>
          <w:tcPr>
            <w:tcW w:w="851" w:type="dxa"/>
            <w:tcBorders>
              <w:left w:val="single" w:sz="4" w:space="0" w:color="auto"/>
              <w:bottom w:val="nil"/>
              <w:right w:val="single" w:sz="4" w:space="0" w:color="auto"/>
            </w:tcBorders>
          </w:tcPr>
          <w:p w14:paraId="02328786" w14:textId="77777777" w:rsidR="00FE6A89" w:rsidRDefault="00FE6A89" w:rsidP="006C55CC">
            <w:pPr>
              <w:pStyle w:val="BodyText"/>
              <w:jc w:val="center"/>
              <w:cnfStyle w:val="000000100000" w:firstRow="0" w:lastRow="0" w:firstColumn="0" w:lastColumn="0" w:oddVBand="0" w:evenVBand="0" w:oddHBand="1" w:evenHBand="0" w:firstRowFirstColumn="0" w:firstRowLastColumn="0" w:lastRowFirstColumn="0" w:lastRowLastColumn="0"/>
            </w:pPr>
            <w:r>
              <w:t>6.2</w:t>
            </w:r>
          </w:p>
        </w:tc>
        <w:tc>
          <w:tcPr>
            <w:tcW w:w="850" w:type="dxa"/>
            <w:tcBorders>
              <w:left w:val="single" w:sz="4" w:space="0" w:color="auto"/>
              <w:bottom w:val="nil"/>
              <w:right w:val="single" w:sz="4" w:space="0" w:color="auto"/>
            </w:tcBorders>
          </w:tcPr>
          <w:p w14:paraId="6785D4F4" w14:textId="77777777" w:rsidR="00FE6A89" w:rsidRDefault="00FE6A89" w:rsidP="006C55CC">
            <w:pPr>
              <w:pStyle w:val="BodyText"/>
              <w:jc w:val="center"/>
              <w:cnfStyle w:val="000000100000" w:firstRow="0" w:lastRow="0" w:firstColumn="0" w:lastColumn="0" w:oddVBand="0" w:evenVBand="0" w:oddHBand="1" w:evenHBand="0" w:firstRowFirstColumn="0" w:firstRowLastColumn="0" w:lastRowFirstColumn="0" w:lastRowLastColumn="0"/>
            </w:pPr>
            <w:r>
              <w:t>8.0</w:t>
            </w:r>
          </w:p>
        </w:tc>
        <w:tc>
          <w:tcPr>
            <w:tcW w:w="750" w:type="dxa"/>
            <w:gridSpan w:val="2"/>
            <w:tcBorders>
              <w:left w:val="single" w:sz="4" w:space="0" w:color="auto"/>
              <w:bottom w:val="nil"/>
              <w:right w:val="single" w:sz="4" w:space="0" w:color="auto"/>
            </w:tcBorders>
          </w:tcPr>
          <w:p w14:paraId="1447741B" w14:textId="77777777" w:rsidR="00FE6A89" w:rsidRDefault="00FE6A89" w:rsidP="006C55CC">
            <w:pPr>
              <w:pStyle w:val="BodyText"/>
              <w:jc w:val="center"/>
              <w:cnfStyle w:val="000000100000" w:firstRow="0" w:lastRow="0" w:firstColumn="0" w:lastColumn="0" w:oddVBand="0" w:evenVBand="0" w:oddHBand="1" w:evenHBand="0" w:firstRowFirstColumn="0" w:firstRowLastColumn="0" w:lastRowFirstColumn="0" w:lastRowLastColumn="0"/>
            </w:pPr>
            <w:r>
              <w:t>6.9</w:t>
            </w:r>
          </w:p>
        </w:tc>
        <w:tc>
          <w:tcPr>
            <w:tcW w:w="683" w:type="dxa"/>
            <w:gridSpan w:val="2"/>
            <w:tcBorders>
              <w:left w:val="single" w:sz="4" w:space="0" w:color="auto"/>
              <w:bottom w:val="nil"/>
              <w:right w:val="single" w:sz="4" w:space="0" w:color="auto"/>
            </w:tcBorders>
          </w:tcPr>
          <w:p w14:paraId="143DE3A9" w14:textId="77777777" w:rsidR="00FE6A89" w:rsidRDefault="00FE6A89" w:rsidP="006C55CC">
            <w:pPr>
              <w:pStyle w:val="BodyText"/>
              <w:jc w:val="center"/>
              <w:cnfStyle w:val="000000100000" w:firstRow="0" w:lastRow="0" w:firstColumn="0" w:lastColumn="0" w:oddVBand="0" w:evenVBand="0" w:oddHBand="1" w:evenHBand="0" w:firstRowFirstColumn="0" w:firstRowLastColumn="0" w:lastRowFirstColumn="0" w:lastRowLastColumn="0"/>
            </w:pPr>
            <w:r>
              <w:t>N/A</w:t>
            </w:r>
          </w:p>
        </w:tc>
        <w:tc>
          <w:tcPr>
            <w:tcW w:w="683" w:type="dxa"/>
            <w:tcBorders>
              <w:left w:val="single" w:sz="4" w:space="0" w:color="auto"/>
              <w:bottom w:val="nil"/>
              <w:right w:val="single" w:sz="4" w:space="0" w:color="auto"/>
            </w:tcBorders>
          </w:tcPr>
          <w:p w14:paraId="2553988C" w14:textId="77777777" w:rsidR="00FE6A89" w:rsidRDefault="00FE6A89" w:rsidP="006C55CC">
            <w:pPr>
              <w:pStyle w:val="BodyText"/>
              <w:jc w:val="center"/>
              <w:cnfStyle w:val="000000100000" w:firstRow="0" w:lastRow="0" w:firstColumn="0" w:lastColumn="0" w:oddVBand="0" w:evenVBand="0" w:oddHBand="1" w:evenHBand="0" w:firstRowFirstColumn="0" w:firstRowLastColumn="0" w:lastRowFirstColumn="0" w:lastRowLastColumn="0"/>
            </w:pPr>
            <w:r>
              <w:t>9.8</w:t>
            </w:r>
          </w:p>
        </w:tc>
      </w:tr>
      <w:tr w:rsidR="00FE6A89" w14:paraId="1E5DC061" w14:textId="77777777" w:rsidTr="006C55CC">
        <w:trPr>
          <w:gridAfter w:val="1"/>
          <w:wAfter w:w="10" w:type="dxa"/>
        </w:trPr>
        <w:tc>
          <w:tcPr>
            <w:cnfStyle w:val="001000000000" w:firstRow="0" w:lastRow="0" w:firstColumn="1" w:lastColumn="0" w:oddVBand="0" w:evenVBand="0" w:oddHBand="0" w:evenHBand="0" w:firstRowFirstColumn="0" w:firstRowLastColumn="0" w:lastRowFirstColumn="0" w:lastRowLastColumn="0"/>
            <w:tcW w:w="2155" w:type="dxa"/>
            <w:tcBorders>
              <w:left w:val="single" w:sz="4" w:space="0" w:color="auto"/>
              <w:bottom w:val="nil"/>
              <w:right w:val="single" w:sz="4" w:space="0" w:color="auto"/>
            </w:tcBorders>
          </w:tcPr>
          <w:p w14:paraId="669C450A" w14:textId="77777777" w:rsidR="00FE6A89" w:rsidRPr="00F7189E" w:rsidRDefault="00FE6A89" w:rsidP="006C55CC">
            <w:pPr>
              <w:pStyle w:val="BodyText"/>
              <w:rPr>
                <w:sz w:val="20"/>
                <w:szCs w:val="20"/>
              </w:rPr>
            </w:pPr>
            <w:r w:rsidRPr="00F7189E">
              <w:rPr>
                <w:sz w:val="20"/>
                <w:szCs w:val="20"/>
              </w:rPr>
              <w:t>You can smoke in places where you can’t smoke regular cigarettes</w:t>
            </w:r>
          </w:p>
        </w:tc>
        <w:tc>
          <w:tcPr>
            <w:tcW w:w="993" w:type="dxa"/>
            <w:tcBorders>
              <w:left w:val="single" w:sz="4" w:space="0" w:color="auto"/>
              <w:bottom w:val="nil"/>
              <w:right w:val="single" w:sz="4" w:space="0" w:color="auto"/>
            </w:tcBorders>
          </w:tcPr>
          <w:p w14:paraId="14117125" w14:textId="77777777" w:rsidR="00FE6A89" w:rsidRDefault="00FE6A89" w:rsidP="006C55CC">
            <w:pPr>
              <w:pStyle w:val="BodyText"/>
              <w:jc w:val="center"/>
              <w:cnfStyle w:val="000000000000" w:firstRow="0" w:lastRow="0" w:firstColumn="0" w:lastColumn="0" w:oddVBand="0" w:evenVBand="0" w:oddHBand="0" w:evenHBand="0" w:firstRowFirstColumn="0" w:firstRowLastColumn="0" w:lastRowFirstColumn="0" w:lastRowLastColumn="0"/>
            </w:pPr>
            <w:r>
              <w:t>N/A</w:t>
            </w:r>
          </w:p>
        </w:tc>
        <w:tc>
          <w:tcPr>
            <w:tcW w:w="850" w:type="dxa"/>
            <w:tcBorders>
              <w:left w:val="single" w:sz="4" w:space="0" w:color="auto"/>
              <w:bottom w:val="nil"/>
              <w:right w:val="single" w:sz="4" w:space="0" w:color="auto"/>
            </w:tcBorders>
          </w:tcPr>
          <w:p w14:paraId="7C2E4A1E" w14:textId="77777777" w:rsidR="00FE6A89" w:rsidRDefault="00FE6A89" w:rsidP="006C55CC">
            <w:pPr>
              <w:pStyle w:val="BodyText"/>
              <w:jc w:val="center"/>
              <w:cnfStyle w:val="000000000000" w:firstRow="0" w:lastRow="0" w:firstColumn="0" w:lastColumn="0" w:oddVBand="0" w:evenVBand="0" w:oddHBand="0" w:evenHBand="0" w:firstRowFirstColumn="0" w:firstRowLastColumn="0" w:lastRowFirstColumn="0" w:lastRowLastColumn="0"/>
            </w:pPr>
            <w:r>
              <w:t>6.8</w:t>
            </w:r>
          </w:p>
        </w:tc>
        <w:tc>
          <w:tcPr>
            <w:tcW w:w="851" w:type="dxa"/>
            <w:tcBorders>
              <w:left w:val="single" w:sz="4" w:space="0" w:color="auto"/>
              <w:bottom w:val="nil"/>
              <w:right w:val="single" w:sz="4" w:space="0" w:color="auto"/>
            </w:tcBorders>
          </w:tcPr>
          <w:p w14:paraId="16DE4B26" w14:textId="77777777" w:rsidR="00FE6A89" w:rsidRDefault="00FE6A89" w:rsidP="006C55CC">
            <w:pPr>
              <w:pStyle w:val="BodyText"/>
              <w:jc w:val="center"/>
              <w:cnfStyle w:val="000000000000" w:firstRow="0" w:lastRow="0" w:firstColumn="0" w:lastColumn="0" w:oddVBand="0" w:evenVBand="0" w:oddHBand="0" w:evenHBand="0" w:firstRowFirstColumn="0" w:firstRowLastColumn="0" w:lastRowFirstColumn="0" w:lastRowLastColumn="0"/>
            </w:pPr>
            <w:r>
              <w:t>9.5</w:t>
            </w:r>
          </w:p>
        </w:tc>
        <w:tc>
          <w:tcPr>
            <w:tcW w:w="850" w:type="dxa"/>
            <w:tcBorders>
              <w:left w:val="single" w:sz="4" w:space="0" w:color="auto"/>
              <w:bottom w:val="nil"/>
              <w:right w:val="single" w:sz="4" w:space="0" w:color="auto"/>
            </w:tcBorders>
          </w:tcPr>
          <w:p w14:paraId="68F5BA28" w14:textId="77777777" w:rsidR="00FE6A89" w:rsidRDefault="00FE6A89" w:rsidP="006C55CC">
            <w:pPr>
              <w:pStyle w:val="BodyText"/>
              <w:jc w:val="center"/>
              <w:cnfStyle w:val="000000000000" w:firstRow="0" w:lastRow="0" w:firstColumn="0" w:lastColumn="0" w:oddVBand="0" w:evenVBand="0" w:oddHBand="0" w:evenHBand="0" w:firstRowFirstColumn="0" w:firstRowLastColumn="0" w:lastRowFirstColumn="0" w:lastRowLastColumn="0"/>
            </w:pPr>
            <w:r>
              <w:t>7.7</w:t>
            </w:r>
          </w:p>
        </w:tc>
        <w:tc>
          <w:tcPr>
            <w:tcW w:w="851" w:type="dxa"/>
            <w:tcBorders>
              <w:left w:val="single" w:sz="4" w:space="0" w:color="auto"/>
              <w:bottom w:val="nil"/>
              <w:right w:val="single" w:sz="4" w:space="0" w:color="auto"/>
            </w:tcBorders>
          </w:tcPr>
          <w:p w14:paraId="35F38A11" w14:textId="77777777" w:rsidR="00FE6A89" w:rsidRDefault="00FE6A89" w:rsidP="006C55CC">
            <w:pPr>
              <w:pStyle w:val="BodyText"/>
              <w:jc w:val="center"/>
              <w:cnfStyle w:val="000000000000" w:firstRow="0" w:lastRow="0" w:firstColumn="0" w:lastColumn="0" w:oddVBand="0" w:evenVBand="0" w:oddHBand="0" w:evenHBand="0" w:firstRowFirstColumn="0" w:firstRowLastColumn="0" w:lastRowFirstColumn="0" w:lastRowLastColumn="0"/>
            </w:pPr>
            <w:r>
              <w:t>8.1</w:t>
            </w:r>
          </w:p>
        </w:tc>
        <w:tc>
          <w:tcPr>
            <w:tcW w:w="850" w:type="dxa"/>
            <w:tcBorders>
              <w:left w:val="single" w:sz="4" w:space="0" w:color="auto"/>
              <w:bottom w:val="nil"/>
              <w:right w:val="single" w:sz="4" w:space="0" w:color="auto"/>
            </w:tcBorders>
          </w:tcPr>
          <w:p w14:paraId="5B04797A" w14:textId="77777777" w:rsidR="00FE6A89" w:rsidRDefault="00FE6A89" w:rsidP="006C55CC">
            <w:pPr>
              <w:pStyle w:val="BodyText"/>
              <w:jc w:val="center"/>
              <w:cnfStyle w:val="000000000000" w:firstRow="0" w:lastRow="0" w:firstColumn="0" w:lastColumn="0" w:oddVBand="0" w:evenVBand="0" w:oddHBand="0" w:evenHBand="0" w:firstRowFirstColumn="0" w:firstRowLastColumn="0" w:lastRowFirstColumn="0" w:lastRowLastColumn="0"/>
            </w:pPr>
            <w:r>
              <w:t>7.7</w:t>
            </w:r>
          </w:p>
        </w:tc>
        <w:tc>
          <w:tcPr>
            <w:tcW w:w="750" w:type="dxa"/>
            <w:gridSpan w:val="2"/>
            <w:tcBorders>
              <w:left w:val="single" w:sz="4" w:space="0" w:color="auto"/>
              <w:bottom w:val="nil"/>
              <w:right w:val="single" w:sz="4" w:space="0" w:color="auto"/>
            </w:tcBorders>
          </w:tcPr>
          <w:p w14:paraId="55B52C37" w14:textId="77777777" w:rsidR="00FE6A89" w:rsidRDefault="00FE6A89" w:rsidP="006C55CC">
            <w:pPr>
              <w:pStyle w:val="BodyText"/>
              <w:jc w:val="center"/>
              <w:cnfStyle w:val="000000000000" w:firstRow="0" w:lastRow="0" w:firstColumn="0" w:lastColumn="0" w:oddVBand="0" w:evenVBand="0" w:oddHBand="0" w:evenHBand="0" w:firstRowFirstColumn="0" w:firstRowLastColumn="0" w:lastRowFirstColumn="0" w:lastRowLastColumn="0"/>
            </w:pPr>
            <w:r>
              <w:t>8.7</w:t>
            </w:r>
          </w:p>
        </w:tc>
        <w:tc>
          <w:tcPr>
            <w:tcW w:w="683" w:type="dxa"/>
            <w:gridSpan w:val="2"/>
            <w:tcBorders>
              <w:left w:val="single" w:sz="4" w:space="0" w:color="auto"/>
              <w:bottom w:val="nil"/>
              <w:right w:val="single" w:sz="4" w:space="0" w:color="auto"/>
            </w:tcBorders>
          </w:tcPr>
          <w:p w14:paraId="226E0D3A" w14:textId="77777777" w:rsidR="00FE6A89" w:rsidRDefault="00FE6A89" w:rsidP="006C55CC">
            <w:pPr>
              <w:pStyle w:val="BodyText"/>
              <w:jc w:val="center"/>
              <w:cnfStyle w:val="000000000000" w:firstRow="0" w:lastRow="0" w:firstColumn="0" w:lastColumn="0" w:oddVBand="0" w:evenVBand="0" w:oddHBand="0" w:evenHBand="0" w:firstRowFirstColumn="0" w:firstRowLastColumn="0" w:lastRowFirstColumn="0" w:lastRowLastColumn="0"/>
            </w:pPr>
            <w:r>
              <w:t>4.3</w:t>
            </w:r>
          </w:p>
        </w:tc>
        <w:tc>
          <w:tcPr>
            <w:tcW w:w="683" w:type="dxa"/>
            <w:tcBorders>
              <w:left w:val="single" w:sz="4" w:space="0" w:color="auto"/>
              <w:bottom w:val="nil"/>
              <w:right w:val="single" w:sz="4" w:space="0" w:color="auto"/>
            </w:tcBorders>
          </w:tcPr>
          <w:p w14:paraId="72FE3C57" w14:textId="77777777" w:rsidR="00FE6A89" w:rsidRDefault="00FE6A89" w:rsidP="006C55CC">
            <w:pPr>
              <w:pStyle w:val="BodyText"/>
              <w:jc w:val="center"/>
              <w:cnfStyle w:val="000000000000" w:firstRow="0" w:lastRow="0" w:firstColumn="0" w:lastColumn="0" w:oddVBand="0" w:evenVBand="0" w:oddHBand="0" w:evenHBand="0" w:firstRowFirstColumn="0" w:firstRowLastColumn="0" w:lastRowFirstColumn="0" w:lastRowLastColumn="0"/>
            </w:pPr>
            <w:r>
              <w:t>7.8</w:t>
            </w:r>
          </w:p>
        </w:tc>
      </w:tr>
      <w:tr w:rsidR="00FE6A89" w14:paraId="64B1FB51" w14:textId="77777777" w:rsidTr="006C55CC">
        <w:trPr>
          <w:gridAfter w:val="1"/>
          <w:cnfStyle w:val="000000100000" w:firstRow="0" w:lastRow="0" w:firstColumn="0" w:lastColumn="0" w:oddVBand="0" w:evenVBand="0" w:oddHBand="1" w:evenHBand="0" w:firstRowFirstColumn="0" w:firstRowLastColumn="0" w:lastRowFirstColumn="0" w:lastRowLastColumn="0"/>
          <w:wAfter w:w="10" w:type="dxa"/>
        </w:trPr>
        <w:tc>
          <w:tcPr>
            <w:cnfStyle w:val="001000000000" w:firstRow="0" w:lastRow="0" w:firstColumn="1" w:lastColumn="0" w:oddVBand="0" w:evenVBand="0" w:oddHBand="0" w:evenHBand="0" w:firstRowFirstColumn="0" w:firstRowLastColumn="0" w:lastRowFirstColumn="0" w:lastRowLastColumn="0"/>
            <w:tcW w:w="2155" w:type="dxa"/>
            <w:tcBorders>
              <w:left w:val="single" w:sz="4" w:space="0" w:color="auto"/>
              <w:bottom w:val="nil"/>
              <w:right w:val="single" w:sz="4" w:space="0" w:color="auto"/>
            </w:tcBorders>
          </w:tcPr>
          <w:p w14:paraId="0DAA1CF0" w14:textId="77777777" w:rsidR="00FE6A89" w:rsidRPr="00F7189E" w:rsidRDefault="00FE6A89" w:rsidP="006C55CC">
            <w:pPr>
              <w:pStyle w:val="BodyText"/>
              <w:rPr>
                <w:sz w:val="20"/>
                <w:szCs w:val="20"/>
              </w:rPr>
            </w:pPr>
            <w:r w:rsidRPr="00F7189E">
              <w:rPr>
                <w:sz w:val="20"/>
                <w:szCs w:val="20"/>
              </w:rPr>
              <w:t>They seem more acceptable than regular cigarettes</w:t>
            </w:r>
          </w:p>
        </w:tc>
        <w:tc>
          <w:tcPr>
            <w:tcW w:w="993" w:type="dxa"/>
            <w:tcBorders>
              <w:left w:val="single" w:sz="4" w:space="0" w:color="auto"/>
              <w:bottom w:val="nil"/>
              <w:right w:val="single" w:sz="4" w:space="0" w:color="auto"/>
            </w:tcBorders>
          </w:tcPr>
          <w:p w14:paraId="5224D28B" w14:textId="77777777" w:rsidR="00FE6A89" w:rsidRDefault="00FE6A89" w:rsidP="006C55CC">
            <w:pPr>
              <w:pStyle w:val="BodyText"/>
              <w:jc w:val="center"/>
              <w:cnfStyle w:val="000000100000" w:firstRow="0" w:lastRow="0" w:firstColumn="0" w:lastColumn="0" w:oddVBand="0" w:evenVBand="0" w:oddHBand="1" w:evenHBand="0" w:firstRowFirstColumn="0" w:firstRowLastColumn="0" w:lastRowFirstColumn="0" w:lastRowLastColumn="0"/>
            </w:pPr>
            <w:r>
              <w:t>6.7</w:t>
            </w:r>
          </w:p>
        </w:tc>
        <w:tc>
          <w:tcPr>
            <w:tcW w:w="850" w:type="dxa"/>
            <w:tcBorders>
              <w:left w:val="single" w:sz="4" w:space="0" w:color="auto"/>
              <w:bottom w:val="nil"/>
              <w:right w:val="single" w:sz="4" w:space="0" w:color="auto"/>
            </w:tcBorders>
          </w:tcPr>
          <w:p w14:paraId="69ADF08A" w14:textId="77777777" w:rsidR="00FE6A89" w:rsidRDefault="00FE6A89" w:rsidP="006C55CC">
            <w:pPr>
              <w:pStyle w:val="BodyText"/>
              <w:jc w:val="center"/>
              <w:cnfStyle w:val="000000100000" w:firstRow="0" w:lastRow="0" w:firstColumn="0" w:lastColumn="0" w:oddVBand="0" w:evenVBand="0" w:oddHBand="1" w:evenHBand="0" w:firstRowFirstColumn="0" w:firstRowLastColumn="0" w:lastRowFirstColumn="0" w:lastRowLastColumn="0"/>
            </w:pPr>
            <w:r>
              <w:t>3.6</w:t>
            </w:r>
          </w:p>
        </w:tc>
        <w:tc>
          <w:tcPr>
            <w:tcW w:w="851" w:type="dxa"/>
            <w:tcBorders>
              <w:left w:val="single" w:sz="4" w:space="0" w:color="auto"/>
              <w:bottom w:val="nil"/>
              <w:right w:val="single" w:sz="4" w:space="0" w:color="auto"/>
            </w:tcBorders>
          </w:tcPr>
          <w:p w14:paraId="50F1DA5D" w14:textId="77777777" w:rsidR="00FE6A89" w:rsidRDefault="00FE6A89" w:rsidP="006C55CC">
            <w:pPr>
              <w:pStyle w:val="BodyText"/>
              <w:jc w:val="center"/>
              <w:cnfStyle w:val="000000100000" w:firstRow="0" w:lastRow="0" w:firstColumn="0" w:lastColumn="0" w:oddVBand="0" w:evenVBand="0" w:oddHBand="1" w:evenHBand="0" w:firstRowFirstColumn="0" w:firstRowLastColumn="0" w:lastRowFirstColumn="0" w:lastRowLastColumn="0"/>
            </w:pPr>
            <w:r>
              <w:t>5.2</w:t>
            </w:r>
          </w:p>
        </w:tc>
        <w:tc>
          <w:tcPr>
            <w:tcW w:w="850" w:type="dxa"/>
            <w:tcBorders>
              <w:left w:val="single" w:sz="4" w:space="0" w:color="auto"/>
              <w:bottom w:val="nil"/>
              <w:right w:val="single" w:sz="4" w:space="0" w:color="auto"/>
            </w:tcBorders>
          </w:tcPr>
          <w:p w14:paraId="695301C4" w14:textId="77777777" w:rsidR="00FE6A89" w:rsidRDefault="00FE6A89" w:rsidP="006C55CC">
            <w:pPr>
              <w:pStyle w:val="BodyText"/>
              <w:jc w:val="center"/>
              <w:cnfStyle w:val="000000100000" w:firstRow="0" w:lastRow="0" w:firstColumn="0" w:lastColumn="0" w:oddVBand="0" w:evenVBand="0" w:oddHBand="1" w:evenHBand="0" w:firstRowFirstColumn="0" w:firstRowLastColumn="0" w:lastRowFirstColumn="0" w:lastRowLastColumn="0"/>
            </w:pPr>
            <w:r>
              <w:t>8.2</w:t>
            </w:r>
          </w:p>
        </w:tc>
        <w:tc>
          <w:tcPr>
            <w:tcW w:w="851" w:type="dxa"/>
            <w:tcBorders>
              <w:left w:val="single" w:sz="4" w:space="0" w:color="auto"/>
              <w:bottom w:val="nil"/>
              <w:right w:val="single" w:sz="4" w:space="0" w:color="auto"/>
            </w:tcBorders>
          </w:tcPr>
          <w:p w14:paraId="3077B032" w14:textId="77777777" w:rsidR="00FE6A89" w:rsidRDefault="00FE6A89" w:rsidP="006C55CC">
            <w:pPr>
              <w:pStyle w:val="BodyText"/>
              <w:jc w:val="center"/>
              <w:cnfStyle w:val="000000100000" w:firstRow="0" w:lastRow="0" w:firstColumn="0" w:lastColumn="0" w:oddVBand="0" w:evenVBand="0" w:oddHBand="1" w:evenHBand="0" w:firstRowFirstColumn="0" w:firstRowLastColumn="0" w:lastRowFirstColumn="0" w:lastRowLastColumn="0"/>
            </w:pPr>
            <w:r>
              <w:t>5.9</w:t>
            </w:r>
          </w:p>
        </w:tc>
        <w:tc>
          <w:tcPr>
            <w:tcW w:w="850" w:type="dxa"/>
            <w:tcBorders>
              <w:left w:val="single" w:sz="4" w:space="0" w:color="auto"/>
              <w:bottom w:val="nil"/>
              <w:right w:val="single" w:sz="4" w:space="0" w:color="auto"/>
            </w:tcBorders>
          </w:tcPr>
          <w:p w14:paraId="7AAF2888" w14:textId="77777777" w:rsidR="00FE6A89" w:rsidRDefault="00FE6A89" w:rsidP="006C55CC">
            <w:pPr>
              <w:pStyle w:val="BodyText"/>
              <w:jc w:val="center"/>
              <w:cnfStyle w:val="000000100000" w:firstRow="0" w:lastRow="0" w:firstColumn="0" w:lastColumn="0" w:oddVBand="0" w:evenVBand="0" w:oddHBand="1" w:evenHBand="0" w:firstRowFirstColumn="0" w:firstRowLastColumn="0" w:lastRowFirstColumn="0" w:lastRowLastColumn="0"/>
            </w:pPr>
            <w:r>
              <w:t>5.4</w:t>
            </w:r>
          </w:p>
        </w:tc>
        <w:tc>
          <w:tcPr>
            <w:tcW w:w="750" w:type="dxa"/>
            <w:gridSpan w:val="2"/>
            <w:tcBorders>
              <w:left w:val="single" w:sz="4" w:space="0" w:color="auto"/>
              <w:bottom w:val="nil"/>
              <w:right w:val="single" w:sz="4" w:space="0" w:color="auto"/>
            </w:tcBorders>
          </w:tcPr>
          <w:p w14:paraId="2CB2D65A" w14:textId="77777777" w:rsidR="00FE6A89" w:rsidRDefault="00FE6A89" w:rsidP="006C55CC">
            <w:pPr>
              <w:pStyle w:val="BodyText"/>
              <w:jc w:val="center"/>
              <w:cnfStyle w:val="000000100000" w:firstRow="0" w:lastRow="0" w:firstColumn="0" w:lastColumn="0" w:oddVBand="0" w:evenVBand="0" w:oddHBand="1" w:evenHBand="0" w:firstRowFirstColumn="0" w:firstRowLastColumn="0" w:lastRowFirstColumn="0" w:lastRowLastColumn="0"/>
            </w:pPr>
            <w:r>
              <w:t>11.5</w:t>
            </w:r>
          </w:p>
        </w:tc>
        <w:tc>
          <w:tcPr>
            <w:tcW w:w="683" w:type="dxa"/>
            <w:gridSpan w:val="2"/>
            <w:tcBorders>
              <w:left w:val="single" w:sz="4" w:space="0" w:color="auto"/>
              <w:bottom w:val="nil"/>
              <w:right w:val="single" w:sz="4" w:space="0" w:color="auto"/>
            </w:tcBorders>
          </w:tcPr>
          <w:p w14:paraId="63D618BA" w14:textId="77777777" w:rsidR="00FE6A89" w:rsidRDefault="00FE6A89" w:rsidP="006C55CC">
            <w:pPr>
              <w:pStyle w:val="BodyText"/>
              <w:jc w:val="center"/>
              <w:cnfStyle w:val="000000100000" w:firstRow="0" w:lastRow="0" w:firstColumn="0" w:lastColumn="0" w:oddVBand="0" w:evenVBand="0" w:oddHBand="1" w:evenHBand="0" w:firstRowFirstColumn="0" w:firstRowLastColumn="0" w:lastRowFirstColumn="0" w:lastRowLastColumn="0"/>
            </w:pPr>
            <w:r>
              <w:t>N/A</w:t>
            </w:r>
          </w:p>
        </w:tc>
        <w:tc>
          <w:tcPr>
            <w:tcW w:w="683" w:type="dxa"/>
            <w:tcBorders>
              <w:left w:val="single" w:sz="4" w:space="0" w:color="auto"/>
              <w:bottom w:val="nil"/>
              <w:right w:val="single" w:sz="4" w:space="0" w:color="auto"/>
            </w:tcBorders>
          </w:tcPr>
          <w:p w14:paraId="277F9633" w14:textId="77777777" w:rsidR="00FE6A89" w:rsidRDefault="00FE6A89" w:rsidP="006C55CC">
            <w:pPr>
              <w:pStyle w:val="BodyText"/>
              <w:jc w:val="center"/>
              <w:cnfStyle w:val="000000100000" w:firstRow="0" w:lastRow="0" w:firstColumn="0" w:lastColumn="0" w:oddVBand="0" w:evenVBand="0" w:oddHBand="1" w:evenHBand="0" w:firstRowFirstColumn="0" w:firstRowLastColumn="0" w:lastRowFirstColumn="0" w:lastRowLastColumn="0"/>
            </w:pPr>
            <w:r>
              <w:t>5.9</w:t>
            </w:r>
          </w:p>
        </w:tc>
      </w:tr>
      <w:tr w:rsidR="00FE6A89" w14:paraId="7C67747E" w14:textId="77777777" w:rsidTr="006C55CC">
        <w:trPr>
          <w:gridAfter w:val="1"/>
          <w:wAfter w:w="10" w:type="dxa"/>
        </w:trPr>
        <w:tc>
          <w:tcPr>
            <w:cnfStyle w:val="001000000000" w:firstRow="0" w:lastRow="0" w:firstColumn="1" w:lastColumn="0" w:oddVBand="0" w:evenVBand="0" w:oddHBand="0" w:evenHBand="0" w:firstRowFirstColumn="0" w:firstRowLastColumn="0" w:lastRowFirstColumn="0" w:lastRowLastColumn="0"/>
            <w:tcW w:w="2155" w:type="dxa"/>
            <w:tcBorders>
              <w:left w:val="single" w:sz="4" w:space="0" w:color="auto"/>
              <w:bottom w:val="nil"/>
              <w:right w:val="single" w:sz="4" w:space="0" w:color="auto"/>
            </w:tcBorders>
          </w:tcPr>
          <w:p w14:paraId="1B0335A2" w14:textId="77777777" w:rsidR="00FE6A89" w:rsidRPr="00F7189E" w:rsidRDefault="00FE6A89" w:rsidP="006C55CC">
            <w:pPr>
              <w:pStyle w:val="BodyText"/>
              <w:rPr>
                <w:sz w:val="20"/>
                <w:szCs w:val="20"/>
              </w:rPr>
            </w:pPr>
            <w:r w:rsidRPr="00F7189E">
              <w:rPr>
                <w:sz w:val="20"/>
                <w:szCs w:val="20"/>
              </w:rPr>
              <w:t>Out of curiosity</w:t>
            </w:r>
          </w:p>
        </w:tc>
        <w:tc>
          <w:tcPr>
            <w:tcW w:w="993" w:type="dxa"/>
            <w:tcBorders>
              <w:left w:val="single" w:sz="4" w:space="0" w:color="auto"/>
              <w:bottom w:val="nil"/>
              <w:right w:val="single" w:sz="4" w:space="0" w:color="auto"/>
            </w:tcBorders>
          </w:tcPr>
          <w:p w14:paraId="652D4E35" w14:textId="77777777" w:rsidR="00FE6A89" w:rsidRDefault="00FE6A89" w:rsidP="006C55CC">
            <w:pPr>
              <w:pStyle w:val="BodyText"/>
              <w:jc w:val="center"/>
              <w:cnfStyle w:val="000000000000" w:firstRow="0" w:lastRow="0" w:firstColumn="0" w:lastColumn="0" w:oddVBand="0" w:evenVBand="0" w:oddHBand="0" w:evenHBand="0" w:firstRowFirstColumn="0" w:firstRowLastColumn="0" w:lastRowFirstColumn="0" w:lastRowLastColumn="0"/>
            </w:pPr>
            <w:r>
              <w:t>78.9</w:t>
            </w:r>
          </w:p>
        </w:tc>
        <w:tc>
          <w:tcPr>
            <w:tcW w:w="850" w:type="dxa"/>
            <w:tcBorders>
              <w:left w:val="single" w:sz="4" w:space="0" w:color="auto"/>
              <w:bottom w:val="nil"/>
              <w:right w:val="single" w:sz="4" w:space="0" w:color="auto"/>
            </w:tcBorders>
          </w:tcPr>
          <w:p w14:paraId="161E369A" w14:textId="77777777" w:rsidR="00FE6A89" w:rsidRDefault="00FE6A89" w:rsidP="006C55CC">
            <w:pPr>
              <w:pStyle w:val="BodyText"/>
              <w:jc w:val="center"/>
              <w:cnfStyle w:val="000000000000" w:firstRow="0" w:lastRow="0" w:firstColumn="0" w:lastColumn="0" w:oddVBand="0" w:evenVBand="0" w:oddHBand="0" w:evenHBand="0" w:firstRowFirstColumn="0" w:firstRowLastColumn="0" w:lastRowFirstColumn="0" w:lastRowLastColumn="0"/>
            </w:pPr>
            <w:r>
              <w:t>70.7</w:t>
            </w:r>
          </w:p>
        </w:tc>
        <w:tc>
          <w:tcPr>
            <w:tcW w:w="851" w:type="dxa"/>
            <w:tcBorders>
              <w:left w:val="single" w:sz="4" w:space="0" w:color="auto"/>
              <w:bottom w:val="nil"/>
              <w:right w:val="single" w:sz="4" w:space="0" w:color="auto"/>
            </w:tcBorders>
          </w:tcPr>
          <w:p w14:paraId="20216247" w14:textId="77777777" w:rsidR="00FE6A89" w:rsidRDefault="00FE6A89" w:rsidP="006C55CC">
            <w:pPr>
              <w:pStyle w:val="BodyText"/>
              <w:jc w:val="center"/>
              <w:cnfStyle w:val="000000000000" w:firstRow="0" w:lastRow="0" w:firstColumn="0" w:lastColumn="0" w:oddVBand="0" w:evenVBand="0" w:oddHBand="0" w:evenHBand="0" w:firstRowFirstColumn="0" w:firstRowLastColumn="0" w:lastRowFirstColumn="0" w:lastRowLastColumn="0"/>
            </w:pPr>
            <w:r>
              <w:t>70.4</w:t>
            </w:r>
          </w:p>
        </w:tc>
        <w:tc>
          <w:tcPr>
            <w:tcW w:w="850" w:type="dxa"/>
            <w:tcBorders>
              <w:left w:val="single" w:sz="4" w:space="0" w:color="auto"/>
              <w:bottom w:val="nil"/>
              <w:right w:val="single" w:sz="4" w:space="0" w:color="auto"/>
            </w:tcBorders>
          </w:tcPr>
          <w:p w14:paraId="3BC3F757" w14:textId="77777777" w:rsidR="00FE6A89" w:rsidRDefault="00FE6A89" w:rsidP="006C55CC">
            <w:pPr>
              <w:pStyle w:val="BodyText"/>
              <w:jc w:val="center"/>
              <w:cnfStyle w:val="000000000000" w:firstRow="0" w:lastRow="0" w:firstColumn="0" w:lastColumn="0" w:oddVBand="0" w:evenVBand="0" w:oddHBand="0" w:evenHBand="0" w:firstRowFirstColumn="0" w:firstRowLastColumn="0" w:lastRowFirstColumn="0" w:lastRowLastColumn="0"/>
            </w:pPr>
            <w:r>
              <w:t>53.5</w:t>
            </w:r>
          </w:p>
        </w:tc>
        <w:tc>
          <w:tcPr>
            <w:tcW w:w="851" w:type="dxa"/>
            <w:tcBorders>
              <w:left w:val="single" w:sz="4" w:space="0" w:color="auto"/>
              <w:bottom w:val="nil"/>
              <w:right w:val="single" w:sz="4" w:space="0" w:color="auto"/>
            </w:tcBorders>
          </w:tcPr>
          <w:p w14:paraId="67F48B43" w14:textId="77777777" w:rsidR="00FE6A89" w:rsidRDefault="00FE6A89" w:rsidP="006C55CC">
            <w:pPr>
              <w:pStyle w:val="BodyText"/>
              <w:jc w:val="center"/>
              <w:cnfStyle w:val="000000000000" w:firstRow="0" w:lastRow="0" w:firstColumn="0" w:lastColumn="0" w:oddVBand="0" w:evenVBand="0" w:oddHBand="0" w:evenHBand="0" w:firstRowFirstColumn="0" w:firstRowLastColumn="0" w:lastRowFirstColumn="0" w:lastRowLastColumn="0"/>
            </w:pPr>
            <w:r>
              <w:t>36.3</w:t>
            </w:r>
          </w:p>
        </w:tc>
        <w:tc>
          <w:tcPr>
            <w:tcW w:w="850" w:type="dxa"/>
            <w:tcBorders>
              <w:left w:val="single" w:sz="4" w:space="0" w:color="auto"/>
              <w:bottom w:val="nil"/>
              <w:right w:val="single" w:sz="4" w:space="0" w:color="auto"/>
            </w:tcBorders>
          </w:tcPr>
          <w:p w14:paraId="2B8F6E32" w14:textId="77777777" w:rsidR="00FE6A89" w:rsidRDefault="00FE6A89" w:rsidP="006C55CC">
            <w:pPr>
              <w:pStyle w:val="BodyText"/>
              <w:jc w:val="center"/>
              <w:cnfStyle w:val="000000000000" w:firstRow="0" w:lastRow="0" w:firstColumn="0" w:lastColumn="0" w:oddVBand="0" w:evenVBand="0" w:oddHBand="0" w:evenHBand="0" w:firstRowFirstColumn="0" w:firstRowLastColumn="0" w:lastRowFirstColumn="0" w:lastRowLastColumn="0"/>
            </w:pPr>
            <w:r>
              <w:t>27.7</w:t>
            </w:r>
          </w:p>
        </w:tc>
        <w:tc>
          <w:tcPr>
            <w:tcW w:w="750" w:type="dxa"/>
            <w:gridSpan w:val="2"/>
            <w:tcBorders>
              <w:left w:val="single" w:sz="4" w:space="0" w:color="auto"/>
              <w:bottom w:val="nil"/>
              <w:right w:val="single" w:sz="4" w:space="0" w:color="auto"/>
            </w:tcBorders>
          </w:tcPr>
          <w:p w14:paraId="38833A5F" w14:textId="77777777" w:rsidR="00FE6A89" w:rsidRDefault="00FE6A89" w:rsidP="006C55CC">
            <w:pPr>
              <w:pStyle w:val="BodyText"/>
              <w:jc w:val="center"/>
              <w:cnfStyle w:val="000000000000" w:firstRow="0" w:lastRow="0" w:firstColumn="0" w:lastColumn="0" w:oddVBand="0" w:evenVBand="0" w:oddHBand="0" w:evenHBand="0" w:firstRowFirstColumn="0" w:firstRowLastColumn="0" w:lastRowFirstColumn="0" w:lastRowLastColumn="0"/>
            </w:pPr>
            <w:r>
              <w:t>20.6</w:t>
            </w:r>
          </w:p>
        </w:tc>
        <w:tc>
          <w:tcPr>
            <w:tcW w:w="683" w:type="dxa"/>
            <w:gridSpan w:val="2"/>
            <w:tcBorders>
              <w:left w:val="single" w:sz="4" w:space="0" w:color="auto"/>
              <w:bottom w:val="nil"/>
              <w:right w:val="single" w:sz="4" w:space="0" w:color="auto"/>
            </w:tcBorders>
          </w:tcPr>
          <w:p w14:paraId="1D632FEC" w14:textId="77777777" w:rsidR="00FE6A89" w:rsidRDefault="00FE6A89" w:rsidP="006C55CC">
            <w:pPr>
              <w:pStyle w:val="BodyText"/>
              <w:jc w:val="center"/>
              <w:cnfStyle w:val="000000000000" w:firstRow="0" w:lastRow="0" w:firstColumn="0" w:lastColumn="0" w:oddVBand="0" w:evenVBand="0" w:oddHBand="0" w:evenHBand="0" w:firstRowFirstColumn="0" w:firstRowLastColumn="0" w:lastRowFirstColumn="0" w:lastRowLastColumn="0"/>
            </w:pPr>
            <w:r>
              <w:t>24.8</w:t>
            </w:r>
          </w:p>
        </w:tc>
        <w:tc>
          <w:tcPr>
            <w:tcW w:w="683" w:type="dxa"/>
            <w:tcBorders>
              <w:left w:val="single" w:sz="4" w:space="0" w:color="auto"/>
              <w:bottom w:val="nil"/>
              <w:right w:val="single" w:sz="4" w:space="0" w:color="auto"/>
            </w:tcBorders>
          </w:tcPr>
          <w:p w14:paraId="0132294F" w14:textId="77777777" w:rsidR="00FE6A89" w:rsidRDefault="00FE6A89" w:rsidP="006C55CC">
            <w:pPr>
              <w:pStyle w:val="BodyText"/>
              <w:jc w:val="center"/>
              <w:cnfStyle w:val="000000000000" w:firstRow="0" w:lastRow="0" w:firstColumn="0" w:lastColumn="0" w:oddVBand="0" w:evenVBand="0" w:oddHBand="0" w:evenHBand="0" w:firstRowFirstColumn="0" w:firstRowLastColumn="0" w:lastRowFirstColumn="0" w:lastRowLastColumn="0"/>
            </w:pPr>
            <w:r>
              <w:t>53.6</w:t>
            </w:r>
          </w:p>
        </w:tc>
      </w:tr>
      <w:tr w:rsidR="00FE6A89" w14:paraId="51D3F0F6" w14:textId="77777777" w:rsidTr="006C55CC">
        <w:trPr>
          <w:gridAfter w:val="1"/>
          <w:cnfStyle w:val="000000100000" w:firstRow="0" w:lastRow="0" w:firstColumn="0" w:lastColumn="0" w:oddVBand="0" w:evenVBand="0" w:oddHBand="1" w:evenHBand="0" w:firstRowFirstColumn="0" w:firstRowLastColumn="0" w:lastRowFirstColumn="0" w:lastRowLastColumn="0"/>
          <w:wAfter w:w="10" w:type="dxa"/>
        </w:trPr>
        <w:tc>
          <w:tcPr>
            <w:cnfStyle w:val="001000000000" w:firstRow="0" w:lastRow="0" w:firstColumn="1" w:lastColumn="0" w:oddVBand="0" w:evenVBand="0" w:oddHBand="0" w:evenHBand="0" w:firstRowFirstColumn="0" w:firstRowLastColumn="0" w:lastRowFirstColumn="0" w:lastRowLastColumn="0"/>
            <w:tcW w:w="2155" w:type="dxa"/>
            <w:tcBorders>
              <w:left w:val="single" w:sz="4" w:space="0" w:color="auto"/>
              <w:bottom w:val="single" w:sz="4" w:space="0" w:color="auto"/>
              <w:right w:val="single" w:sz="4" w:space="0" w:color="auto"/>
            </w:tcBorders>
          </w:tcPr>
          <w:p w14:paraId="27ECF9D7" w14:textId="77777777" w:rsidR="00FE6A89" w:rsidRPr="00F7189E" w:rsidRDefault="00FE6A89" w:rsidP="006C55CC">
            <w:pPr>
              <w:pStyle w:val="BodyText"/>
              <w:rPr>
                <w:sz w:val="20"/>
                <w:szCs w:val="20"/>
              </w:rPr>
            </w:pPr>
            <w:r w:rsidRPr="00F7189E">
              <w:rPr>
                <w:sz w:val="20"/>
                <w:szCs w:val="20"/>
              </w:rPr>
              <w:t>Other</w:t>
            </w:r>
          </w:p>
        </w:tc>
        <w:tc>
          <w:tcPr>
            <w:tcW w:w="993" w:type="dxa"/>
            <w:tcBorders>
              <w:left w:val="single" w:sz="4" w:space="0" w:color="auto"/>
              <w:bottom w:val="single" w:sz="4" w:space="0" w:color="auto"/>
              <w:right w:val="single" w:sz="4" w:space="0" w:color="auto"/>
            </w:tcBorders>
          </w:tcPr>
          <w:p w14:paraId="49397A0E" w14:textId="77777777" w:rsidR="00FE6A89" w:rsidRDefault="00FE6A89" w:rsidP="006C55CC">
            <w:pPr>
              <w:pStyle w:val="BodyText"/>
              <w:jc w:val="center"/>
              <w:cnfStyle w:val="000000100000" w:firstRow="0" w:lastRow="0" w:firstColumn="0" w:lastColumn="0" w:oddVBand="0" w:evenVBand="0" w:oddHBand="1" w:evenHBand="0" w:firstRowFirstColumn="0" w:firstRowLastColumn="0" w:lastRowFirstColumn="0" w:lastRowLastColumn="0"/>
            </w:pPr>
            <w:r>
              <w:t>16.4</w:t>
            </w:r>
          </w:p>
        </w:tc>
        <w:tc>
          <w:tcPr>
            <w:tcW w:w="850" w:type="dxa"/>
            <w:tcBorders>
              <w:left w:val="single" w:sz="4" w:space="0" w:color="auto"/>
              <w:bottom w:val="single" w:sz="4" w:space="0" w:color="auto"/>
              <w:right w:val="single" w:sz="4" w:space="0" w:color="auto"/>
            </w:tcBorders>
          </w:tcPr>
          <w:p w14:paraId="3D0C59D5" w14:textId="77777777" w:rsidR="00FE6A89" w:rsidRDefault="00FE6A89" w:rsidP="006C55CC">
            <w:pPr>
              <w:pStyle w:val="BodyText"/>
              <w:jc w:val="center"/>
              <w:cnfStyle w:val="000000100000" w:firstRow="0" w:lastRow="0" w:firstColumn="0" w:lastColumn="0" w:oddVBand="0" w:evenVBand="0" w:oddHBand="1" w:evenHBand="0" w:firstRowFirstColumn="0" w:firstRowLastColumn="0" w:lastRowFirstColumn="0" w:lastRowLastColumn="0"/>
            </w:pPr>
            <w:r>
              <w:t>8.2</w:t>
            </w:r>
          </w:p>
        </w:tc>
        <w:tc>
          <w:tcPr>
            <w:tcW w:w="851" w:type="dxa"/>
            <w:tcBorders>
              <w:left w:val="single" w:sz="4" w:space="0" w:color="auto"/>
              <w:bottom w:val="single" w:sz="4" w:space="0" w:color="auto"/>
              <w:right w:val="single" w:sz="4" w:space="0" w:color="auto"/>
            </w:tcBorders>
          </w:tcPr>
          <w:p w14:paraId="1DDF05B1" w14:textId="77777777" w:rsidR="00FE6A89" w:rsidRDefault="00FE6A89" w:rsidP="006C55CC">
            <w:pPr>
              <w:pStyle w:val="BodyText"/>
              <w:jc w:val="center"/>
              <w:cnfStyle w:val="000000100000" w:firstRow="0" w:lastRow="0" w:firstColumn="0" w:lastColumn="0" w:oddVBand="0" w:evenVBand="0" w:oddHBand="1" w:evenHBand="0" w:firstRowFirstColumn="0" w:firstRowLastColumn="0" w:lastRowFirstColumn="0" w:lastRowLastColumn="0"/>
            </w:pPr>
            <w:r>
              <w:t>7.6</w:t>
            </w:r>
          </w:p>
        </w:tc>
        <w:tc>
          <w:tcPr>
            <w:tcW w:w="850" w:type="dxa"/>
            <w:tcBorders>
              <w:left w:val="single" w:sz="4" w:space="0" w:color="auto"/>
              <w:bottom w:val="single" w:sz="4" w:space="0" w:color="auto"/>
              <w:right w:val="single" w:sz="4" w:space="0" w:color="auto"/>
            </w:tcBorders>
          </w:tcPr>
          <w:p w14:paraId="0FEA0B74" w14:textId="77777777" w:rsidR="00FE6A89" w:rsidRDefault="00FE6A89" w:rsidP="006C55CC">
            <w:pPr>
              <w:pStyle w:val="BodyText"/>
              <w:jc w:val="center"/>
              <w:cnfStyle w:val="000000100000" w:firstRow="0" w:lastRow="0" w:firstColumn="0" w:lastColumn="0" w:oddVBand="0" w:evenVBand="0" w:oddHBand="1" w:evenHBand="0" w:firstRowFirstColumn="0" w:firstRowLastColumn="0" w:lastRowFirstColumn="0" w:lastRowLastColumn="0"/>
            </w:pPr>
            <w:r>
              <w:t>6.0</w:t>
            </w:r>
          </w:p>
        </w:tc>
        <w:tc>
          <w:tcPr>
            <w:tcW w:w="851" w:type="dxa"/>
            <w:tcBorders>
              <w:left w:val="single" w:sz="4" w:space="0" w:color="auto"/>
              <w:bottom w:val="single" w:sz="4" w:space="0" w:color="auto"/>
              <w:right w:val="single" w:sz="4" w:space="0" w:color="auto"/>
            </w:tcBorders>
          </w:tcPr>
          <w:p w14:paraId="20C624CE" w14:textId="77777777" w:rsidR="00FE6A89" w:rsidRDefault="00FE6A89" w:rsidP="006C55CC">
            <w:pPr>
              <w:pStyle w:val="BodyText"/>
              <w:jc w:val="center"/>
              <w:cnfStyle w:val="000000100000" w:firstRow="0" w:lastRow="0" w:firstColumn="0" w:lastColumn="0" w:oddVBand="0" w:evenVBand="0" w:oddHBand="1" w:evenHBand="0" w:firstRowFirstColumn="0" w:firstRowLastColumn="0" w:lastRowFirstColumn="0" w:lastRowLastColumn="0"/>
            </w:pPr>
            <w:r>
              <w:t>5.7</w:t>
            </w:r>
          </w:p>
        </w:tc>
        <w:tc>
          <w:tcPr>
            <w:tcW w:w="850" w:type="dxa"/>
            <w:tcBorders>
              <w:left w:val="single" w:sz="4" w:space="0" w:color="auto"/>
              <w:bottom w:val="single" w:sz="4" w:space="0" w:color="auto"/>
              <w:right w:val="single" w:sz="4" w:space="0" w:color="auto"/>
            </w:tcBorders>
          </w:tcPr>
          <w:p w14:paraId="6C7EA722" w14:textId="77777777" w:rsidR="00FE6A89" w:rsidRDefault="00FE6A89" w:rsidP="006C55CC">
            <w:pPr>
              <w:pStyle w:val="BodyText"/>
              <w:jc w:val="center"/>
              <w:cnfStyle w:val="000000100000" w:firstRow="0" w:lastRow="0" w:firstColumn="0" w:lastColumn="0" w:oddVBand="0" w:evenVBand="0" w:oddHBand="1" w:evenHBand="0" w:firstRowFirstColumn="0" w:firstRowLastColumn="0" w:lastRowFirstColumn="0" w:lastRowLastColumn="0"/>
            </w:pPr>
            <w:r>
              <w:t>4.2</w:t>
            </w:r>
          </w:p>
        </w:tc>
        <w:tc>
          <w:tcPr>
            <w:tcW w:w="750" w:type="dxa"/>
            <w:gridSpan w:val="2"/>
            <w:tcBorders>
              <w:left w:val="single" w:sz="4" w:space="0" w:color="auto"/>
              <w:bottom w:val="single" w:sz="4" w:space="0" w:color="auto"/>
              <w:right w:val="single" w:sz="4" w:space="0" w:color="auto"/>
            </w:tcBorders>
          </w:tcPr>
          <w:p w14:paraId="51DEBB50" w14:textId="77777777" w:rsidR="00FE6A89" w:rsidRDefault="00FE6A89" w:rsidP="006C55CC">
            <w:pPr>
              <w:pStyle w:val="BodyText"/>
              <w:jc w:val="center"/>
              <w:cnfStyle w:val="000000100000" w:firstRow="0" w:lastRow="0" w:firstColumn="0" w:lastColumn="0" w:oddVBand="0" w:evenVBand="0" w:oddHBand="1" w:evenHBand="0" w:firstRowFirstColumn="0" w:firstRowLastColumn="0" w:lastRowFirstColumn="0" w:lastRowLastColumn="0"/>
            </w:pPr>
            <w:r>
              <w:t>5.1</w:t>
            </w:r>
          </w:p>
        </w:tc>
        <w:tc>
          <w:tcPr>
            <w:tcW w:w="683" w:type="dxa"/>
            <w:gridSpan w:val="2"/>
            <w:tcBorders>
              <w:left w:val="single" w:sz="4" w:space="0" w:color="auto"/>
              <w:bottom w:val="single" w:sz="4" w:space="0" w:color="auto"/>
              <w:right w:val="single" w:sz="4" w:space="0" w:color="auto"/>
            </w:tcBorders>
          </w:tcPr>
          <w:p w14:paraId="68C4BE8E" w14:textId="77777777" w:rsidR="00FE6A89" w:rsidRDefault="00FE6A89" w:rsidP="006C55CC">
            <w:pPr>
              <w:pStyle w:val="BodyText"/>
              <w:jc w:val="center"/>
              <w:cnfStyle w:val="000000100000" w:firstRow="0" w:lastRow="0" w:firstColumn="0" w:lastColumn="0" w:oddVBand="0" w:evenVBand="0" w:oddHBand="1" w:evenHBand="0" w:firstRowFirstColumn="0" w:firstRowLastColumn="0" w:lastRowFirstColumn="0" w:lastRowLastColumn="0"/>
            </w:pPr>
            <w:r>
              <w:t>3.3</w:t>
            </w:r>
          </w:p>
        </w:tc>
        <w:tc>
          <w:tcPr>
            <w:tcW w:w="683" w:type="dxa"/>
            <w:tcBorders>
              <w:left w:val="single" w:sz="4" w:space="0" w:color="auto"/>
              <w:bottom w:val="single" w:sz="4" w:space="0" w:color="auto"/>
              <w:right w:val="single" w:sz="4" w:space="0" w:color="auto"/>
            </w:tcBorders>
          </w:tcPr>
          <w:p w14:paraId="5ECF4D43" w14:textId="77777777" w:rsidR="00FE6A89" w:rsidRDefault="00FE6A89" w:rsidP="006C55CC">
            <w:pPr>
              <w:pStyle w:val="BodyText"/>
              <w:jc w:val="center"/>
              <w:cnfStyle w:val="000000100000" w:firstRow="0" w:lastRow="0" w:firstColumn="0" w:lastColumn="0" w:oddVBand="0" w:evenVBand="0" w:oddHBand="1" w:evenHBand="0" w:firstRowFirstColumn="0" w:firstRowLastColumn="0" w:lastRowFirstColumn="0" w:lastRowLastColumn="0"/>
            </w:pPr>
            <w:r>
              <w:t>6.6</w:t>
            </w:r>
          </w:p>
        </w:tc>
      </w:tr>
    </w:tbl>
    <w:p w14:paraId="4ACFDD3E" w14:textId="77777777" w:rsidR="00FE6A89" w:rsidRDefault="00FE6A89" w:rsidP="00FE6A89">
      <w:pPr>
        <w:pStyle w:val="FigureTableSource"/>
      </w:pPr>
      <w:r>
        <w:t>N/A– not available – numbers too small in sample</w:t>
      </w:r>
    </w:p>
    <w:p w14:paraId="23675F21" w14:textId="77777777" w:rsidR="00FE6A89" w:rsidRDefault="00FE6A89" w:rsidP="00FE6A89">
      <w:pPr>
        <w:pStyle w:val="BodyText"/>
      </w:pPr>
    </w:p>
    <w:p w14:paraId="4FB93307" w14:textId="0B49E0A9" w:rsidR="00FE6A89" w:rsidRDefault="00FE6A89" w:rsidP="00FE6A89">
      <w:pPr>
        <w:pStyle w:val="BodyText"/>
      </w:pPr>
      <w:r>
        <w:t>When respondents are categorised by their regular cigarette or e</w:t>
      </w:r>
      <w:r>
        <w:noBreakHyphen/>
        <w:t xml:space="preserve">cigarette use (Table </w:t>
      </w:r>
      <w:r w:rsidR="003D2CBD">
        <w:t>22</w:t>
      </w:r>
      <w:r>
        <w:t>), a large percentage of current e</w:t>
      </w:r>
      <w:r>
        <w:noBreakHyphen/>
        <w:t>cigarette users have a reason to use e</w:t>
      </w:r>
      <w:r>
        <w:noBreakHyphen/>
        <w:t>cigarettes that is related to smoking current cigarettes, whereas a high percentage of ex e</w:t>
      </w:r>
      <w:r>
        <w:noBreakHyphen/>
        <w:t>cigarette users give curiosity as a reason for using e</w:t>
      </w:r>
      <w:r>
        <w:noBreakHyphen/>
        <w:t>cigarettes. This is consistent with the large percentage of younger people who have used e</w:t>
      </w:r>
      <w:r>
        <w:noBreakHyphen/>
        <w:t>cigarettes once or twice and who give curiosity as a reason why they used them. Perhaps surprisingly, the reason given by the highest percentage of smokers and ex</w:t>
      </w:r>
      <w:r>
        <w:noBreakHyphen/>
        <w:t>smokers for using e</w:t>
      </w:r>
      <w:r>
        <w:noBreakHyphen/>
        <w:t xml:space="preserve">cigarettes is also curiosity, followed by ‘to help me to quit smoking’. </w:t>
      </w:r>
      <w:r w:rsidR="008146F9">
        <w:t xml:space="preserve"> </w:t>
      </w:r>
      <w:r>
        <w:br w:type="page"/>
      </w:r>
    </w:p>
    <w:p w14:paraId="0EE77CAC" w14:textId="77777777" w:rsidR="00FE6A89" w:rsidRDefault="003D2CBD" w:rsidP="003D2CBD">
      <w:pPr>
        <w:pStyle w:val="Caption"/>
      </w:pPr>
      <w:bookmarkStart w:id="225" w:name="_Toc516736715"/>
      <w:bookmarkStart w:id="226" w:name="_Toc517707431"/>
      <w:r>
        <w:lastRenderedPageBreak/>
        <w:t xml:space="preserve">Table </w:t>
      </w:r>
      <w:r w:rsidR="0048064B">
        <w:rPr>
          <w:noProof/>
        </w:rPr>
        <w:fldChar w:fldCharType="begin"/>
      </w:r>
      <w:r w:rsidR="0048064B">
        <w:rPr>
          <w:noProof/>
        </w:rPr>
        <w:instrText xml:space="preserve"> SEQ Table \* ARABIC </w:instrText>
      </w:r>
      <w:r w:rsidR="0048064B">
        <w:rPr>
          <w:noProof/>
        </w:rPr>
        <w:fldChar w:fldCharType="separate"/>
      </w:r>
      <w:r w:rsidR="000C06DA">
        <w:rPr>
          <w:noProof/>
        </w:rPr>
        <w:t>22</w:t>
      </w:r>
      <w:r w:rsidR="0048064B">
        <w:rPr>
          <w:noProof/>
        </w:rPr>
        <w:fldChar w:fldCharType="end"/>
      </w:r>
      <w:r w:rsidR="00FE6A89">
        <w:t>: Reasons for using e</w:t>
      </w:r>
      <w:r w:rsidR="00FE6A89">
        <w:noBreakHyphen/>
        <w:t>cigarettes (%) in Australia by smoking or e</w:t>
      </w:r>
      <w:r w:rsidR="00FE6A89">
        <w:noBreakHyphen/>
        <w:t>cigarette use status (2016).</w:t>
      </w:r>
      <w:bookmarkEnd w:id="225"/>
      <w:bookmarkEnd w:id="226"/>
      <w:r w:rsidR="00FE6A89">
        <w:t xml:space="preserve"> </w:t>
      </w:r>
    </w:p>
    <w:tbl>
      <w:tblPr>
        <w:tblStyle w:val="TableCSIRO"/>
        <w:tblW w:w="9243" w:type="dxa"/>
        <w:tblLayout w:type="fixed"/>
        <w:tblLook w:val="04A0" w:firstRow="1" w:lastRow="0" w:firstColumn="1" w:lastColumn="0" w:noHBand="0" w:noVBand="1"/>
      </w:tblPr>
      <w:tblGrid>
        <w:gridCol w:w="3392"/>
        <w:gridCol w:w="1531"/>
        <w:gridCol w:w="1627"/>
        <w:gridCol w:w="1275"/>
        <w:gridCol w:w="1418"/>
      </w:tblGrid>
      <w:tr w:rsidR="00FE6A89" w:rsidRPr="007E2FEB" w14:paraId="4EBCD7E1" w14:textId="77777777" w:rsidTr="006C55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2" w:type="dxa"/>
          </w:tcPr>
          <w:p w14:paraId="61A67FE4" w14:textId="77777777" w:rsidR="00FE6A89" w:rsidRPr="007E2FEB" w:rsidRDefault="00FE6A89" w:rsidP="006C55CC">
            <w:pPr>
              <w:pStyle w:val="BodyText"/>
              <w:rPr>
                <w:color w:val="FFFFFF" w:themeColor="background1"/>
              </w:rPr>
            </w:pPr>
          </w:p>
        </w:tc>
        <w:tc>
          <w:tcPr>
            <w:tcW w:w="5851" w:type="dxa"/>
            <w:gridSpan w:val="4"/>
          </w:tcPr>
          <w:p w14:paraId="4B852A84" w14:textId="77777777" w:rsidR="00FE6A89" w:rsidRDefault="00FE6A89" w:rsidP="006C55CC">
            <w:pPr>
              <w:pStyle w:val="BodyText"/>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 xml:space="preserve">Usage group </w:t>
            </w:r>
          </w:p>
        </w:tc>
      </w:tr>
      <w:tr w:rsidR="00FE6A89" w:rsidRPr="007E2FEB" w14:paraId="7FEDDE82" w14:textId="77777777" w:rsidTr="00E965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2" w:type="dxa"/>
            <w:tcBorders>
              <w:bottom w:val="nil"/>
            </w:tcBorders>
            <w:shd w:val="clear" w:color="auto" w:fill="000000" w:themeFill="text1"/>
          </w:tcPr>
          <w:p w14:paraId="3DB2A8FB" w14:textId="77777777" w:rsidR="00FE6A89" w:rsidRPr="007E2FEB" w:rsidRDefault="00FE6A89" w:rsidP="006C55CC">
            <w:pPr>
              <w:pStyle w:val="BodyText"/>
              <w:rPr>
                <w:color w:val="FFFFFF" w:themeColor="background1"/>
              </w:rPr>
            </w:pPr>
          </w:p>
        </w:tc>
        <w:tc>
          <w:tcPr>
            <w:tcW w:w="1531" w:type="dxa"/>
            <w:tcBorders>
              <w:bottom w:val="nil"/>
            </w:tcBorders>
            <w:shd w:val="clear" w:color="auto" w:fill="000000" w:themeFill="text1"/>
            <w:vAlign w:val="center"/>
          </w:tcPr>
          <w:p w14:paraId="0A0981A6" w14:textId="77777777" w:rsidR="00FE6A89" w:rsidRPr="007E2FEB" w:rsidRDefault="00FE6A89" w:rsidP="006C55CC">
            <w:pPr>
              <w:pStyle w:val="BodyText"/>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Pr>
                <w:color w:val="FFFFFF" w:themeColor="background1"/>
              </w:rPr>
              <w:t>Current e</w:t>
            </w:r>
            <w:r>
              <w:rPr>
                <w:color w:val="FFFFFF" w:themeColor="background1"/>
              </w:rPr>
              <w:noBreakHyphen/>
              <w:t>cigarette user</w:t>
            </w:r>
          </w:p>
        </w:tc>
        <w:tc>
          <w:tcPr>
            <w:tcW w:w="1627" w:type="dxa"/>
            <w:tcBorders>
              <w:bottom w:val="nil"/>
            </w:tcBorders>
            <w:shd w:val="clear" w:color="auto" w:fill="000000" w:themeFill="text1"/>
            <w:vAlign w:val="center"/>
          </w:tcPr>
          <w:p w14:paraId="29BF7654" w14:textId="77777777" w:rsidR="00FE6A89" w:rsidRPr="007E2FEB" w:rsidRDefault="00FE6A89" w:rsidP="006C55CC">
            <w:pPr>
              <w:pStyle w:val="BodyText"/>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Pr>
                <w:color w:val="FFFFFF" w:themeColor="background1"/>
              </w:rPr>
              <w:t>Ex-e</w:t>
            </w:r>
            <w:r>
              <w:rPr>
                <w:color w:val="FFFFFF" w:themeColor="background1"/>
              </w:rPr>
              <w:noBreakHyphen/>
              <w:t>cigarette user</w:t>
            </w:r>
          </w:p>
        </w:tc>
        <w:tc>
          <w:tcPr>
            <w:tcW w:w="1275" w:type="dxa"/>
            <w:tcBorders>
              <w:bottom w:val="nil"/>
            </w:tcBorders>
            <w:shd w:val="clear" w:color="auto" w:fill="000000" w:themeFill="text1"/>
            <w:vAlign w:val="center"/>
          </w:tcPr>
          <w:p w14:paraId="312B30C2" w14:textId="77777777" w:rsidR="00FE6A89" w:rsidRPr="007E2FEB" w:rsidRDefault="00FE6A89" w:rsidP="006C55CC">
            <w:pPr>
              <w:pStyle w:val="BodyText"/>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Pr>
                <w:color w:val="FFFFFF" w:themeColor="background1"/>
              </w:rPr>
              <w:t>Current smoker</w:t>
            </w:r>
          </w:p>
        </w:tc>
        <w:tc>
          <w:tcPr>
            <w:tcW w:w="1418" w:type="dxa"/>
            <w:tcBorders>
              <w:bottom w:val="nil"/>
            </w:tcBorders>
            <w:shd w:val="clear" w:color="auto" w:fill="000000" w:themeFill="text1"/>
            <w:vAlign w:val="center"/>
          </w:tcPr>
          <w:p w14:paraId="60FA5DD0" w14:textId="77777777" w:rsidR="00FE6A89" w:rsidRPr="007E2FEB" w:rsidRDefault="00FE6A89" w:rsidP="006C55CC">
            <w:pPr>
              <w:pStyle w:val="BodyText"/>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Pr>
                <w:color w:val="FFFFFF" w:themeColor="background1"/>
              </w:rPr>
              <w:t>Ex</w:t>
            </w:r>
            <w:r>
              <w:rPr>
                <w:color w:val="FFFFFF" w:themeColor="background1"/>
              </w:rPr>
              <w:noBreakHyphen/>
              <w:t>smoker</w:t>
            </w:r>
          </w:p>
        </w:tc>
      </w:tr>
      <w:tr w:rsidR="00FE6A89" w14:paraId="165118E2" w14:textId="77777777" w:rsidTr="00E9656F">
        <w:tc>
          <w:tcPr>
            <w:cnfStyle w:val="001000000000" w:firstRow="0" w:lastRow="0" w:firstColumn="1" w:lastColumn="0" w:oddVBand="0" w:evenVBand="0" w:oddHBand="0" w:evenHBand="0" w:firstRowFirstColumn="0" w:firstRowLastColumn="0" w:lastRowFirstColumn="0" w:lastRowLastColumn="0"/>
            <w:tcW w:w="3392" w:type="dxa"/>
            <w:tcBorders>
              <w:left w:val="single" w:sz="4" w:space="0" w:color="auto"/>
              <w:bottom w:val="nil"/>
              <w:right w:val="single" w:sz="4" w:space="0" w:color="auto"/>
            </w:tcBorders>
          </w:tcPr>
          <w:p w14:paraId="637E1B48" w14:textId="77777777" w:rsidR="00FE6A89" w:rsidRPr="00F7189E" w:rsidRDefault="00FE6A89" w:rsidP="006C55CC">
            <w:pPr>
              <w:pStyle w:val="BodyText"/>
              <w:rPr>
                <w:sz w:val="20"/>
                <w:szCs w:val="20"/>
              </w:rPr>
            </w:pPr>
            <w:r w:rsidRPr="00F7189E">
              <w:rPr>
                <w:sz w:val="20"/>
                <w:szCs w:val="20"/>
              </w:rPr>
              <w:t>To help me quit smoking</w:t>
            </w:r>
          </w:p>
        </w:tc>
        <w:tc>
          <w:tcPr>
            <w:tcW w:w="1531" w:type="dxa"/>
            <w:tcBorders>
              <w:left w:val="single" w:sz="4" w:space="0" w:color="auto"/>
              <w:bottom w:val="nil"/>
              <w:right w:val="single" w:sz="4" w:space="0" w:color="auto"/>
            </w:tcBorders>
          </w:tcPr>
          <w:p w14:paraId="77E9954F" w14:textId="77777777" w:rsidR="00FE6A89" w:rsidRDefault="00FE6A89" w:rsidP="006C55CC">
            <w:pPr>
              <w:pStyle w:val="BodyText"/>
              <w:jc w:val="center"/>
              <w:cnfStyle w:val="000000000000" w:firstRow="0" w:lastRow="0" w:firstColumn="0" w:lastColumn="0" w:oddVBand="0" w:evenVBand="0" w:oddHBand="0" w:evenHBand="0" w:firstRowFirstColumn="0" w:firstRowLastColumn="0" w:lastRowFirstColumn="0" w:lastRowLastColumn="0"/>
            </w:pPr>
            <w:r>
              <w:t>46.7</w:t>
            </w:r>
          </w:p>
        </w:tc>
        <w:tc>
          <w:tcPr>
            <w:tcW w:w="1627" w:type="dxa"/>
            <w:tcBorders>
              <w:left w:val="single" w:sz="4" w:space="0" w:color="auto"/>
              <w:bottom w:val="nil"/>
              <w:right w:val="single" w:sz="4" w:space="0" w:color="auto"/>
            </w:tcBorders>
          </w:tcPr>
          <w:p w14:paraId="5711F714" w14:textId="77777777" w:rsidR="00FE6A89" w:rsidRDefault="00FE6A89" w:rsidP="006C55CC">
            <w:pPr>
              <w:pStyle w:val="BodyText"/>
              <w:jc w:val="center"/>
              <w:cnfStyle w:val="000000000000" w:firstRow="0" w:lastRow="0" w:firstColumn="0" w:lastColumn="0" w:oddVBand="0" w:evenVBand="0" w:oddHBand="0" w:evenHBand="0" w:firstRowFirstColumn="0" w:firstRowLastColumn="0" w:lastRowFirstColumn="0" w:lastRowLastColumn="0"/>
            </w:pPr>
            <w:r>
              <w:t>28.0</w:t>
            </w:r>
          </w:p>
        </w:tc>
        <w:tc>
          <w:tcPr>
            <w:tcW w:w="1275" w:type="dxa"/>
            <w:tcBorders>
              <w:left w:val="single" w:sz="4" w:space="0" w:color="auto"/>
              <w:bottom w:val="nil"/>
              <w:right w:val="single" w:sz="4" w:space="0" w:color="auto"/>
            </w:tcBorders>
          </w:tcPr>
          <w:p w14:paraId="67408C03" w14:textId="77777777" w:rsidR="00FE6A89" w:rsidRDefault="00FE6A89" w:rsidP="006C55CC">
            <w:pPr>
              <w:pStyle w:val="BodyText"/>
              <w:jc w:val="center"/>
              <w:cnfStyle w:val="000000000000" w:firstRow="0" w:lastRow="0" w:firstColumn="0" w:lastColumn="0" w:oddVBand="0" w:evenVBand="0" w:oddHBand="0" w:evenHBand="0" w:firstRowFirstColumn="0" w:firstRowLastColumn="0" w:lastRowFirstColumn="0" w:lastRowLastColumn="0"/>
            </w:pPr>
            <w:r>
              <w:t>38.9</w:t>
            </w:r>
          </w:p>
        </w:tc>
        <w:tc>
          <w:tcPr>
            <w:tcW w:w="1418" w:type="dxa"/>
            <w:tcBorders>
              <w:left w:val="single" w:sz="4" w:space="0" w:color="auto"/>
              <w:bottom w:val="nil"/>
              <w:right w:val="single" w:sz="4" w:space="0" w:color="auto"/>
            </w:tcBorders>
          </w:tcPr>
          <w:p w14:paraId="32482F73" w14:textId="77777777" w:rsidR="00FE6A89" w:rsidRDefault="00FE6A89" w:rsidP="006C55CC">
            <w:pPr>
              <w:pStyle w:val="BodyText"/>
              <w:jc w:val="center"/>
              <w:cnfStyle w:val="000000000000" w:firstRow="0" w:lastRow="0" w:firstColumn="0" w:lastColumn="0" w:oddVBand="0" w:evenVBand="0" w:oddHBand="0" w:evenHBand="0" w:firstRowFirstColumn="0" w:firstRowLastColumn="0" w:lastRowFirstColumn="0" w:lastRowLastColumn="0"/>
            </w:pPr>
            <w:r>
              <w:t>44.6</w:t>
            </w:r>
          </w:p>
        </w:tc>
      </w:tr>
      <w:tr w:rsidR="00FE6A89" w14:paraId="55D0BF3D" w14:textId="77777777" w:rsidTr="00E965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2" w:type="dxa"/>
            <w:tcBorders>
              <w:left w:val="single" w:sz="4" w:space="0" w:color="auto"/>
              <w:bottom w:val="nil"/>
              <w:right w:val="single" w:sz="4" w:space="0" w:color="auto"/>
            </w:tcBorders>
          </w:tcPr>
          <w:p w14:paraId="4034623B" w14:textId="77777777" w:rsidR="00FE6A89" w:rsidRPr="00F7189E" w:rsidRDefault="00FE6A89" w:rsidP="006C55CC">
            <w:pPr>
              <w:pStyle w:val="BodyText"/>
              <w:rPr>
                <w:sz w:val="20"/>
                <w:szCs w:val="20"/>
              </w:rPr>
            </w:pPr>
            <w:r w:rsidRPr="00F7189E">
              <w:rPr>
                <w:sz w:val="20"/>
                <w:szCs w:val="20"/>
              </w:rPr>
              <w:t>To try to cut down on the number of cigarettes I smoke</w:t>
            </w:r>
          </w:p>
        </w:tc>
        <w:tc>
          <w:tcPr>
            <w:tcW w:w="1531" w:type="dxa"/>
            <w:tcBorders>
              <w:left w:val="single" w:sz="4" w:space="0" w:color="auto"/>
              <w:bottom w:val="nil"/>
              <w:right w:val="single" w:sz="4" w:space="0" w:color="auto"/>
            </w:tcBorders>
          </w:tcPr>
          <w:p w14:paraId="34A939E4" w14:textId="77777777" w:rsidR="00FE6A89" w:rsidRDefault="00FE6A89" w:rsidP="006C55CC">
            <w:pPr>
              <w:pStyle w:val="BodyText"/>
              <w:jc w:val="center"/>
              <w:cnfStyle w:val="000000100000" w:firstRow="0" w:lastRow="0" w:firstColumn="0" w:lastColumn="0" w:oddVBand="0" w:evenVBand="0" w:oddHBand="1" w:evenHBand="0" w:firstRowFirstColumn="0" w:firstRowLastColumn="0" w:lastRowFirstColumn="0" w:lastRowLastColumn="0"/>
            </w:pPr>
            <w:r>
              <w:t>36.0</w:t>
            </w:r>
          </w:p>
        </w:tc>
        <w:tc>
          <w:tcPr>
            <w:tcW w:w="1627" w:type="dxa"/>
            <w:tcBorders>
              <w:left w:val="single" w:sz="4" w:space="0" w:color="auto"/>
              <w:bottom w:val="nil"/>
              <w:right w:val="single" w:sz="4" w:space="0" w:color="auto"/>
            </w:tcBorders>
          </w:tcPr>
          <w:p w14:paraId="5B1EAC1B" w14:textId="77777777" w:rsidR="00FE6A89" w:rsidRDefault="00FE6A89" w:rsidP="006C55CC">
            <w:pPr>
              <w:pStyle w:val="BodyText"/>
              <w:jc w:val="center"/>
              <w:cnfStyle w:val="000000100000" w:firstRow="0" w:lastRow="0" w:firstColumn="0" w:lastColumn="0" w:oddVBand="0" w:evenVBand="0" w:oddHBand="1" w:evenHBand="0" w:firstRowFirstColumn="0" w:firstRowLastColumn="0" w:lastRowFirstColumn="0" w:lastRowLastColumn="0"/>
            </w:pPr>
            <w:r>
              <w:t>16.0</w:t>
            </w:r>
          </w:p>
        </w:tc>
        <w:tc>
          <w:tcPr>
            <w:tcW w:w="1275" w:type="dxa"/>
            <w:tcBorders>
              <w:left w:val="single" w:sz="4" w:space="0" w:color="auto"/>
              <w:bottom w:val="nil"/>
              <w:right w:val="single" w:sz="4" w:space="0" w:color="auto"/>
            </w:tcBorders>
          </w:tcPr>
          <w:p w14:paraId="42BD5E33" w14:textId="77777777" w:rsidR="00FE6A89" w:rsidRDefault="00FE6A89" w:rsidP="006C55CC">
            <w:pPr>
              <w:pStyle w:val="BodyText"/>
              <w:jc w:val="center"/>
              <w:cnfStyle w:val="000000100000" w:firstRow="0" w:lastRow="0" w:firstColumn="0" w:lastColumn="0" w:oddVBand="0" w:evenVBand="0" w:oddHBand="1" w:evenHBand="0" w:firstRowFirstColumn="0" w:firstRowLastColumn="0" w:lastRowFirstColumn="0" w:lastRowLastColumn="0"/>
            </w:pPr>
            <w:r>
              <w:t>28.8</w:t>
            </w:r>
          </w:p>
        </w:tc>
        <w:tc>
          <w:tcPr>
            <w:tcW w:w="1418" w:type="dxa"/>
            <w:tcBorders>
              <w:left w:val="single" w:sz="4" w:space="0" w:color="auto"/>
              <w:bottom w:val="nil"/>
              <w:right w:val="single" w:sz="4" w:space="0" w:color="auto"/>
            </w:tcBorders>
          </w:tcPr>
          <w:p w14:paraId="75D3B4EC" w14:textId="77777777" w:rsidR="00FE6A89" w:rsidRDefault="00FE6A89" w:rsidP="006C55CC">
            <w:pPr>
              <w:pStyle w:val="BodyText"/>
              <w:jc w:val="center"/>
              <w:cnfStyle w:val="000000100000" w:firstRow="0" w:lastRow="0" w:firstColumn="0" w:lastColumn="0" w:oddVBand="0" w:evenVBand="0" w:oddHBand="1" w:evenHBand="0" w:firstRowFirstColumn="0" w:firstRowLastColumn="0" w:lastRowFirstColumn="0" w:lastRowLastColumn="0"/>
            </w:pPr>
            <w:r>
              <w:t>14.1</w:t>
            </w:r>
          </w:p>
        </w:tc>
      </w:tr>
      <w:tr w:rsidR="00FE6A89" w14:paraId="25F4361B" w14:textId="77777777" w:rsidTr="00E9656F">
        <w:tc>
          <w:tcPr>
            <w:cnfStyle w:val="001000000000" w:firstRow="0" w:lastRow="0" w:firstColumn="1" w:lastColumn="0" w:oddVBand="0" w:evenVBand="0" w:oddHBand="0" w:evenHBand="0" w:firstRowFirstColumn="0" w:firstRowLastColumn="0" w:lastRowFirstColumn="0" w:lastRowLastColumn="0"/>
            <w:tcW w:w="3392" w:type="dxa"/>
            <w:tcBorders>
              <w:left w:val="single" w:sz="4" w:space="0" w:color="auto"/>
              <w:bottom w:val="nil"/>
              <w:right w:val="single" w:sz="4" w:space="0" w:color="auto"/>
            </w:tcBorders>
          </w:tcPr>
          <w:p w14:paraId="44456A97" w14:textId="77777777" w:rsidR="00FE6A89" w:rsidRPr="00F7189E" w:rsidRDefault="00FE6A89" w:rsidP="006C55CC">
            <w:pPr>
              <w:pStyle w:val="BodyText"/>
              <w:rPr>
                <w:sz w:val="20"/>
                <w:szCs w:val="20"/>
              </w:rPr>
            </w:pPr>
            <w:r w:rsidRPr="00F7189E">
              <w:rPr>
                <w:sz w:val="20"/>
                <w:szCs w:val="20"/>
              </w:rPr>
              <w:t>To try to stop me going back to smoking</w:t>
            </w:r>
          </w:p>
        </w:tc>
        <w:tc>
          <w:tcPr>
            <w:tcW w:w="1531" w:type="dxa"/>
            <w:tcBorders>
              <w:left w:val="single" w:sz="4" w:space="0" w:color="auto"/>
              <w:bottom w:val="nil"/>
              <w:right w:val="single" w:sz="4" w:space="0" w:color="auto"/>
            </w:tcBorders>
          </w:tcPr>
          <w:p w14:paraId="3616FE1E" w14:textId="77777777" w:rsidR="00FE6A89" w:rsidRDefault="00FE6A89" w:rsidP="006C55CC">
            <w:pPr>
              <w:pStyle w:val="BodyText"/>
              <w:jc w:val="center"/>
              <w:cnfStyle w:val="000000000000" w:firstRow="0" w:lastRow="0" w:firstColumn="0" w:lastColumn="0" w:oddVBand="0" w:evenVBand="0" w:oddHBand="0" w:evenHBand="0" w:firstRowFirstColumn="0" w:firstRowLastColumn="0" w:lastRowFirstColumn="0" w:lastRowLastColumn="0"/>
            </w:pPr>
            <w:r>
              <w:t>31.2</w:t>
            </w:r>
          </w:p>
        </w:tc>
        <w:tc>
          <w:tcPr>
            <w:tcW w:w="1627" w:type="dxa"/>
            <w:tcBorders>
              <w:left w:val="single" w:sz="4" w:space="0" w:color="auto"/>
              <w:bottom w:val="nil"/>
              <w:right w:val="single" w:sz="4" w:space="0" w:color="auto"/>
            </w:tcBorders>
          </w:tcPr>
          <w:p w14:paraId="2B1FA7E1" w14:textId="77777777" w:rsidR="00FE6A89" w:rsidRDefault="00FE6A89" w:rsidP="006C55CC">
            <w:pPr>
              <w:pStyle w:val="BodyText"/>
              <w:jc w:val="center"/>
              <w:cnfStyle w:val="000000000000" w:firstRow="0" w:lastRow="0" w:firstColumn="0" w:lastColumn="0" w:oddVBand="0" w:evenVBand="0" w:oddHBand="0" w:evenHBand="0" w:firstRowFirstColumn="0" w:firstRowLastColumn="0" w:lastRowFirstColumn="0" w:lastRowLastColumn="0"/>
            </w:pPr>
            <w:r>
              <w:t>11.9</w:t>
            </w:r>
          </w:p>
        </w:tc>
        <w:tc>
          <w:tcPr>
            <w:tcW w:w="1275" w:type="dxa"/>
            <w:tcBorders>
              <w:left w:val="single" w:sz="4" w:space="0" w:color="auto"/>
              <w:bottom w:val="nil"/>
              <w:right w:val="single" w:sz="4" w:space="0" w:color="auto"/>
            </w:tcBorders>
          </w:tcPr>
          <w:p w14:paraId="78783A8D" w14:textId="77777777" w:rsidR="00FE6A89" w:rsidRDefault="00FE6A89" w:rsidP="006C55CC">
            <w:pPr>
              <w:pStyle w:val="BodyText"/>
              <w:jc w:val="center"/>
              <w:cnfStyle w:val="000000000000" w:firstRow="0" w:lastRow="0" w:firstColumn="0" w:lastColumn="0" w:oddVBand="0" w:evenVBand="0" w:oddHBand="0" w:evenHBand="0" w:firstRowFirstColumn="0" w:firstRowLastColumn="0" w:lastRowFirstColumn="0" w:lastRowLastColumn="0"/>
            </w:pPr>
            <w:r>
              <w:t>18.5</w:t>
            </w:r>
          </w:p>
        </w:tc>
        <w:tc>
          <w:tcPr>
            <w:tcW w:w="1418" w:type="dxa"/>
            <w:tcBorders>
              <w:left w:val="single" w:sz="4" w:space="0" w:color="auto"/>
              <w:bottom w:val="nil"/>
              <w:right w:val="single" w:sz="4" w:space="0" w:color="auto"/>
            </w:tcBorders>
          </w:tcPr>
          <w:p w14:paraId="376B2EEE" w14:textId="77777777" w:rsidR="00FE6A89" w:rsidRDefault="00FE6A89" w:rsidP="006C55CC">
            <w:pPr>
              <w:pStyle w:val="BodyText"/>
              <w:jc w:val="center"/>
              <w:cnfStyle w:val="000000000000" w:firstRow="0" w:lastRow="0" w:firstColumn="0" w:lastColumn="0" w:oddVBand="0" w:evenVBand="0" w:oddHBand="0" w:evenHBand="0" w:firstRowFirstColumn="0" w:firstRowLastColumn="0" w:lastRowFirstColumn="0" w:lastRowLastColumn="0"/>
            </w:pPr>
            <w:r>
              <w:t>19.4</w:t>
            </w:r>
          </w:p>
        </w:tc>
      </w:tr>
      <w:tr w:rsidR="00FE6A89" w14:paraId="0982411F" w14:textId="77777777" w:rsidTr="00E965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2" w:type="dxa"/>
            <w:tcBorders>
              <w:left w:val="single" w:sz="4" w:space="0" w:color="auto"/>
              <w:bottom w:val="nil"/>
              <w:right w:val="single" w:sz="4" w:space="0" w:color="auto"/>
            </w:tcBorders>
          </w:tcPr>
          <w:p w14:paraId="24CC74E4" w14:textId="77777777" w:rsidR="00FE6A89" w:rsidRPr="00F7189E" w:rsidRDefault="00FE6A89" w:rsidP="006C55CC">
            <w:pPr>
              <w:pStyle w:val="BodyText"/>
              <w:rPr>
                <w:sz w:val="20"/>
                <w:szCs w:val="20"/>
              </w:rPr>
            </w:pPr>
            <w:r w:rsidRPr="00F7189E">
              <w:rPr>
                <w:sz w:val="20"/>
                <w:szCs w:val="20"/>
              </w:rPr>
              <w:t xml:space="preserve">I think they are less harmful than regular cigarettes </w:t>
            </w:r>
          </w:p>
        </w:tc>
        <w:tc>
          <w:tcPr>
            <w:tcW w:w="1531" w:type="dxa"/>
            <w:tcBorders>
              <w:left w:val="single" w:sz="4" w:space="0" w:color="auto"/>
              <w:bottom w:val="nil"/>
              <w:right w:val="single" w:sz="4" w:space="0" w:color="auto"/>
            </w:tcBorders>
          </w:tcPr>
          <w:p w14:paraId="52AD0274" w14:textId="77777777" w:rsidR="00FE6A89" w:rsidRDefault="00FE6A89" w:rsidP="006C55CC">
            <w:pPr>
              <w:pStyle w:val="BodyText"/>
              <w:jc w:val="center"/>
              <w:cnfStyle w:val="000000100000" w:firstRow="0" w:lastRow="0" w:firstColumn="0" w:lastColumn="0" w:oddVBand="0" w:evenVBand="0" w:oddHBand="1" w:evenHBand="0" w:firstRowFirstColumn="0" w:firstRowLastColumn="0" w:lastRowFirstColumn="0" w:lastRowLastColumn="0"/>
            </w:pPr>
            <w:r>
              <w:t>42.4</w:t>
            </w:r>
          </w:p>
        </w:tc>
        <w:tc>
          <w:tcPr>
            <w:tcW w:w="1627" w:type="dxa"/>
            <w:tcBorders>
              <w:left w:val="single" w:sz="4" w:space="0" w:color="auto"/>
              <w:bottom w:val="nil"/>
              <w:right w:val="single" w:sz="4" w:space="0" w:color="auto"/>
            </w:tcBorders>
          </w:tcPr>
          <w:p w14:paraId="5243FBC0" w14:textId="77777777" w:rsidR="00FE6A89" w:rsidRDefault="00FE6A89" w:rsidP="006C55CC">
            <w:pPr>
              <w:pStyle w:val="BodyText"/>
              <w:jc w:val="center"/>
              <w:cnfStyle w:val="000000100000" w:firstRow="0" w:lastRow="0" w:firstColumn="0" w:lastColumn="0" w:oddVBand="0" w:evenVBand="0" w:oddHBand="1" w:evenHBand="0" w:firstRowFirstColumn="0" w:firstRowLastColumn="0" w:lastRowFirstColumn="0" w:lastRowLastColumn="0"/>
            </w:pPr>
            <w:r>
              <w:t>15.6</w:t>
            </w:r>
          </w:p>
        </w:tc>
        <w:tc>
          <w:tcPr>
            <w:tcW w:w="1275" w:type="dxa"/>
            <w:tcBorders>
              <w:left w:val="single" w:sz="4" w:space="0" w:color="auto"/>
              <w:bottom w:val="nil"/>
              <w:right w:val="single" w:sz="4" w:space="0" w:color="auto"/>
            </w:tcBorders>
          </w:tcPr>
          <w:p w14:paraId="151DC5E6" w14:textId="77777777" w:rsidR="00FE6A89" w:rsidRDefault="00FE6A89" w:rsidP="006C55CC">
            <w:pPr>
              <w:pStyle w:val="BodyText"/>
              <w:jc w:val="center"/>
              <w:cnfStyle w:val="000000100000" w:firstRow="0" w:lastRow="0" w:firstColumn="0" w:lastColumn="0" w:oddVBand="0" w:evenVBand="0" w:oddHBand="1" w:evenHBand="0" w:firstRowFirstColumn="0" w:firstRowLastColumn="0" w:lastRowFirstColumn="0" w:lastRowLastColumn="0"/>
            </w:pPr>
            <w:r>
              <w:t>23.0</w:t>
            </w:r>
          </w:p>
        </w:tc>
        <w:tc>
          <w:tcPr>
            <w:tcW w:w="1418" w:type="dxa"/>
            <w:tcBorders>
              <w:left w:val="single" w:sz="4" w:space="0" w:color="auto"/>
              <w:bottom w:val="nil"/>
              <w:right w:val="single" w:sz="4" w:space="0" w:color="auto"/>
            </w:tcBorders>
          </w:tcPr>
          <w:p w14:paraId="323DD788" w14:textId="77777777" w:rsidR="00FE6A89" w:rsidRDefault="00FE6A89" w:rsidP="006C55CC">
            <w:pPr>
              <w:pStyle w:val="BodyText"/>
              <w:jc w:val="center"/>
              <w:cnfStyle w:val="000000100000" w:firstRow="0" w:lastRow="0" w:firstColumn="0" w:lastColumn="0" w:oddVBand="0" w:evenVBand="0" w:oddHBand="1" w:evenHBand="0" w:firstRowFirstColumn="0" w:firstRowLastColumn="0" w:lastRowFirstColumn="0" w:lastRowLastColumn="0"/>
            </w:pPr>
            <w:r>
              <w:t>20.4</w:t>
            </w:r>
          </w:p>
        </w:tc>
      </w:tr>
      <w:tr w:rsidR="00FE6A89" w14:paraId="6D7FF8D7" w14:textId="77777777" w:rsidTr="00E9656F">
        <w:tc>
          <w:tcPr>
            <w:cnfStyle w:val="001000000000" w:firstRow="0" w:lastRow="0" w:firstColumn="1" w:lastColumn="0" w:oddVBand="0" w:evenVBand="0" w:oddHBand="0" w:evenHBand="0" w:firstRowFirstColumn="0" w:firstRowLastColumn="0" w:lastRowFirstColumn="0" w:lastRowLastColumn="0"/>
            <w:tcW w:w="3392" w:type="dxa"/>
            <w:tcBorders>
              <w:left w:val="single" w:sz="4" w:space="0" w:color="auto"/>
              <w:bottom w:val="nil"/>
              <w:right w:val="single" w:sz="4" w:space="0" w:color="auto"/>
            </w:tcBorders>
          </w:tcPr>
          <w:p w14:paraId="6508E507" w14:textId="77777777" w:rsidR="00FE6A89" w:rsidRPr="00F7189E" w:rsidRDefault="00FE6A89" w:rsidP="006C55CC">
            <w:pPr>
              <w:pStyle w:val="BodyText"/>
              <w:rPr>
                <w:sz w:val="20"/>
                <w:szCs w:val="20"/>
              </w:rPr>
            </w:pPr>
            <w:r w:rsidRPr="00F7189E">
              <w:rPr>
                <w:sz w:val="20"/>
                <w:szCs w:val="20"/>
              </w:rPr>
              <w:t>They are cheaper than regular cigarettes</w:t>
            </w:r>
          </w:p>
        </w:tc>
        <w:tc>
          <w:tcPr>
            <w:tcW w:w="1531" w:type="dxa"/>
            <w:tcBorders>
              <w:left w:val="single" w:sz="4" w:space="0" w:color="auto"/>
              <w:bottom w:val="nil"/>
              <w:right w:val="single" w:sz="4" w:space="0" w:color="auto"/>
            </w:tcBorders>
          </w:tcPr>
          <w:p w14:paraId="2147222D" w14:textId="77777777" w:rsidR="00FE6A89" w:rsidRDefault="00FE6A89" w:rsidP="006C55CC">
            <w:pPr>
              <w:pStyle w:val="BodyText"/>
              <w:jc w:val="center"/>
              <w:cnfStyle w:val="000000000000" w:firstRow="0" w:lastRow="0" w:firstColumn="0" w:lastColumn="0" w:oddVBand="0" w:evenVBand="0" w:oddHBand="0" w:evenHBand="0" w:firstRowFirstColumn="0" w:firstRowLastColumn="0" w:lastRowFirstColumn="0" w:lastRowLastColumn="0"/>
            </w:pPr>
            <w:r>
              <w:t>29.6</w:t>
            </w:r>
          </w:p>
        </w:tc>
        <w:tc>
          <w:tcPr>
            <w:tcW w:w="1627" w:type="dxa"/>
            <w:tcBorders>
              <w:left w:val="single" w:sz="4" w:space="0" w:color="auto"/>
              <w:bottom w:val="nil"/>
              <w:right w:val="single" w:sz="4" w:space="0" w:color="auto"/>
            </w:tcBorders>
          </w:tcPr>
          <w:p w14:paraId="40F6C9A7" w14:textId="77777777" w:rsidR="00FE6A89" w:rsidRDefault="00FE6A89" w:rsidP="006C55CC">
            <w:pPr>
              <w:pStyle w:val="BodyText"/>
              <w:jc w:val="center"/>
              <w:cnfStyle w:val="000000000000" w:firstRow="0" w:lastRow="0" w:firstColumn="0" w:lastColumn="0" w:oddVBand="0" w:evenVBand="0" w:oddHBand="0" w:evenHBand="0" w:firstRowFirstColumn="0" w:firstRowLastColumn="0" w:lastRowFirstColumn="0" w:lastRowLastColumn="0"/>
            </w:pPr>
            <w:r>
              <w:t>7.6</w:t>
            </w:r>
          </w:p>
        </w:tc>
        <w:tc>
          <w:tcPr>
            <w:tcW w:w="1275" w:type="dxa"/>
            <w:tcBorders>
              <w:left w:val="single" w:sz="4" w:space="0" w:color="auto"/>
              <w:bottom w:val="nil"/>
              <w:right w:val="single" w:sz="4" w:space="0" w:color="auto"/>
            </w:tcBorders>
          </w:tcPr>
          <w:p w14:paraId="56A2D313" w14:textId="77777777" w:rsidR="00FE6A89" w:rsidRDefault="00FE6A89" w:rsidP="006C55CC">
            <w:pPr>
              <w:pStyle w:val="BodyText"/>
              <w:jc w:val="center"/>
              <w:cnfStyle w:val="000000000000" w:firstRow="0" w:lastRow="0" w:firstColumn="0" w:lastColumn="0" w:oddVBand="0" w:evenVBand="0" w:oddHBand="0" w:evenHBand="0" w:firstRowFirstColumn="0" w:firstRowLastColumn="0" w:lastRowFirstColumn="0" w:lastRowLastColumn="0"/>
            </w:pPr>
            <w:r>
              <w:t>15.3</w:t>
            </w:r>
          </w:p>
        </w:tc>
        <w:tc>
          <w:tcPr>
            <w:tcW w:w="1418" w:type="dxa"/>
            <w:tcBorders>
              <w:left w:val="single" w:sz="4" w:space="0" w:color="auto"/>
              <w:bottom w:val="nil"/>
              <w:right w:val="single" w:sz="4" w:space="0" w:color="auto"/>
            </w:tcBorders>
          </w:tcPr>
          <w:p w14:paraId="3F885DB7" w14:textId="77777777" w:rsidR="00FE6A89" w:rsidRDefault="00FE6A89" w:rsidP="006C55CC">
            <w:pPr>
              <w:pStyle w:val="BodyText"/>
              <w:jc w:val="center"/>
              <w:cnfStyle w:val="000000000000" w:firstRow="0" w:lastRow="0" w:firstColumn="0" w:lastColumn="0" w:oddVBand="0" w:evenVBand="0" w:oddHBand="0" w:evenHBand="0" w:firstRowFirstColumn="0" w:firstRowLastColumn="0" w:lastRowFirstColumn="0" w:lastRowLastColumn="0"/>
            </w:pPr>
            <w:r>
              <w:t>8.9</w:t>
            </w:r>
          </w:p>
        </w:tc>
      </w:tr>
      <w:tr w:rsidR="00FE6A89" w14:paraId="0851A7A8" w14:textId="77777777" w:rsidTr="00E965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2" w:type="dxa"/>
            <w:tcBorders>
              <w:left w:val="single" w:sz="4" w:space="0" w:color="auto"/>
              <w:bottom w:val="nil"/>
              <w:right w:val="single" w:sz="4" w:space="0" w:color="auto"/>
            </w:tcBorders>
          </w:tcPr>
          <w:p w14:paraId="617A3542" w14:textId="77777777" w:rsidR="00FE6A89" w:rsidRPr="00F7189E" w:rsidRDefault="00FE6A89" w:rsidP="006C55CC">
            <w:pPr>
              <w:pStyle w:val="BodyText"/>
              <w:rPr>
                <w:sz w:val="20"/>
                <w:szCs w:val="20"/>
              </w:rPr>
            </w:pPr>
            <w:r w:rsidRPr="00F7189E">
              <w:rPr>
                <w:sz w:val="20"/>
                <w:szCs w:val="20"/>
              </w:rPr>
              <w:t>I think they taste better than regular cigarettes</w:t>
            </w:r>
          </w:p>
        </w:tc>
        <w:tc>
          <w:tcPr>
            <w:tcW w:w="1531" w:type="dxa"/>
            <w:tcBorders>
              <w:left w:val="single" w:sz="4" w:space="0" w:color="auto"/>
              <w:bottom w:val="nil"/>
              <w:right w:val="single" w:sz="4" w:space="0" w:color="auto"/>
            </w:tcBorders>
          </w:tcPr>
          <w:p w14:paraId="285A0736" w14:textId="77777777" w:rsidR="00FE6A89" w:rsidRDefault="00FE6A89" w:rsidP="006C55CC">
            <w:pPr>
              <w:pStyle w:val="BodyText"/>
              <w:jc w:val="center"/>
              <w:cnfStyle w:val="000000100000" w:firstRow="0" w:lastRow="0" w:firstColumn="0" w:lastColumn="0" w:oddVBand="0" w:evenVBand="0" w:oddHBand="1" w:evenHBand="0" w:firstRowFirstColumn="0" w:firstRowLastColumn="0" w:lastRowFirstColumn="0" w:lastRowLastColumn="0"/>
            </w:pPr>
            <w:r>
              <w:t>28.8</w:t>
            </w:r>
          </w:p>
        </w:tc>
        <w:tc>
          <w:tcPr>
            <w:tcW w:w="1627" w:type="dxa"/>
            <w:tcBorders>
              <w:left w:val="single" w:sz="4" w:space="0" w:color="auto"/>
              <w:bottom w:val="nil"/>
              <w:right w:val="single" w:sz="4" w:space="0" w:color="auto"/>
            </w:tcBorders>
          </w:tcPr>
          <w:p w14:paraId="20D35B1E" w14:textId="77777777" w:rsidR="00FE6A89" w:rsidRDefault="00FE6A89" w:rsidP="006C55CC">
            <w:pPr>
              <w:pStyle w:val="BodyText"/>
              <w:jc w:val="center"/>
              <w:cnfStyle w:val="000000100000" w:firstRow="0" w:lastRow="0" w:firstColumn="0" w:lastColumn="0" w:oddVBand="0" w:evenVBand="0" w:oddHBand="1" w:evenHBand="0" w:firstRowFirstColumn="0" w:firstRowLastColumn="0" w:lastRowFirstColumn="0" w:lastRowLastColumn="0"/>
            </w:pPr>
            <w:r>
              <w:t>7.1</w:t>
            </w:r>
          </w:p>
        </w:tc>
        <w:tc>
          <w:tcPr>
            <w:tcW w:w="1275" w:type="dxa"/>
            <w:tcBorders>
              <w:left w:val="single" w:sz="4" w:space="0" w:color="auto"/>
              <w:bottom w:val="nil"/>
              <w:right w:val="single" w:sz="4" w:space="0" w:color="auto"/>
            </w:tcBorders>
          </w:tcPr>
          <w:p w14:paraId="675B3FB9" w14:textId="77777777" w:rsidR="00FE6A89" w:rsidRDefault="00FE6A89" w:rsidP="006C55CC">
            <w:pPr>
              <w:pStyle w:val="BodyText"/>
              <w:jc w:val="center"/>
              <w:cnfStyle w:val="000000100000" w:firstRow="0" w:lastRow="0" w:firstColumn="0" w:lastColumn="0" w:oddVBand="0" w:evenVBand="0" w:oddHBand="1" w:evenHBand="0" w:firstRowFirstColumn="0" w:firstRowLastColumn="0" w:lastRowFirstColumn="0" w:lastRowLastColumn="0"/>
            </w:pPr>
            <w:r>
              <w:t>10.0</w:t>
            </w:r>
          </w:p>
        </w:tc>
        <w:tc>
          <w:tcPr>
            <w:tcW w:w="1418" w:type="dxa"/>
            <w:tcBorders>
              <w:left w:val="single" w:sz="4" w:space="0" w:color="auto"/>
              <w:bottom w:val="nil"/>
              <w:right w:val="single" w:sz="4" w:space="0" w:color="auto"/>
            </w:tcBorders>
          </w:tcPr>
          <w:p w14:paraId="32A89465" w14:textId="77777777" w:rsidR="00FE6A89" w:rsidRDefault="00FE6A89" w:rsidP="006C55CC">
            <w:pPr>
              <w:pStyle w:val="BodyText"/>
              <w:jc w:val="center"/>
              <w:cnfStyle w:val="000000100000" w:firstRow="0" w:lastRow="0" w:firstColumn="0" w:lastColumn="0" w:oddVBand="0" w:evenVBand="0" w:oddHBand="1" w:evenHBand="0" w:firstRowFirstColumn="0" w:firstRowLastColumn="0" w:lastRowFirstColumn="0" w:lastRowLastColumn="0"/>
            </w:pPr>
            <w:r>
              <w:t>10.1</w:t>
            </w:r>
          </w:p>
        </w:tc>
      </w:tr>
      <w:tr w:rsidR="00FE6A89" w14:paraId="336E9A8C" w14:textId="77777777" w:rsidTr="00E9656F">
        <w:tc>
          <w:tcPr>
            <w:cnfStyle w:val="001000000000" w:firstRow="0" w:lastRow="0" w:firstColumn="1" w:lastColumn="0" w:oddVBand="0" w:evenVBand="0" w:oddHBand="0" w:evenHBand="0" w:firstRowFirstColumn="0" w:firstRowLastColumn="0" w:lastRowFirstColumn="0" w:lastRowLastColumn="0"/>
            <w:tcW w:w="3392" w:type="dxa"/>
            <w:tcBorders>
              <w:left w:val="single" w:sz="4" w:space="0" w:color="auto"/>
              <w:bottom w:val="nil"/>
              <w:right w:val="single" w:sz="4" w:space="0" w:color="auto"/>
            </w:tcBorders>
          </w:tcPr>
          <w:p w14:paraId="3F999E04" w14:textId="77777777" w:rsidR="00FE6A89" w:rsidRPr="00F7189E" w:rsidRDefault="00FE6A89" w:rsidP="006C55CC">
            <w:pPr>
              <w:pStyle w:val="BodyText"/>
              <w:rPr>
                <w:sz w:val="20"/>
                <w:szCs w:val="20"/>
              </w:rPr>
            </w:pPr>
            <w:r w:rsidRPr="00F7189E">
              <w:rPr>
                <w:sz w:val="20"/>
                <w:szCs w:val="20"/>
              </w:rPr>
              <w:t>You can smoke in places where you can’t smoke regular cigarettes</w:t>
            </w:r>
          </w:p>
        </w:tc>
        <w:tc>
          <w:tcPr>
            <w:tcW w:w="1531" w:type="dxa"/>
            <w:tcBorders>
              <w:left w:val="single" w:sz="4" w:space="0" w:color="auto"/>
              <w:bottom w:val="nil"/>
              <w:right w:val="single" w:sz="4" w:space="0" w:color="auto"/>
            </w:tcBorders>
          </w:tcPr>
          <w:p w14:paraId="034FCBF5" w14:textId="77777777" w:rsidR="00FE6A89" w:rsidRDefault="00FE6A89" w:rsidP="006C55CC">
            <w:pPr>
              <w:pStyle w:val="BodyText"/>
              <w:jc w:val="center"/>
              <w:cnfStyle w:val="000000000000" w:firstRow="0" w:lastRow="0" w:firstColumn="0" w:lastColumn="0" w:oddVBand="0" w:evenVBand="0" w:oddHBand="0" w:evenHBand="0" w:firstRowFirstColumn="0" w:firstRowLastColumn="0" w:lastRowFirstColumn="0" w:lastRowLastColumn="0"/>
            </w:pPr>
            <w:r>
              <w:t>12.7</w:t>
            </w:r>
          </w:p>
        </w:tc>
        <w:tc>
          <w:tcPr>
            <w:tcW w:w="1627" w:type="dxa"/>
            <w:tcBorders>
              <w:left w:val="single" w:sz="4" w:space="0" w:color="auto"/>
              <w:bottom w:val="nil"/>
              <w:right w:val="single" w:sz="4" w:space="0" w:color="auto"/>
            </w:tcBorders>
          </w:tcPr>
          <w:p w14:paraId="27503AF1" w14:textId="77777777" w:rsidR="00FE6A89" w:rsidRDefault="00FE6A89" w:rsidP="006C55CC">
            <w:pPr>
              <w:pStyle w:val="BodyText"/>
              <w:jc w:val="center"/>
              <w:cnfStyle w:val="000000000000" w:firstRow="0" w:lastRow="0" w:firstColumn="0" w:lastColumn="0" w:oddVBand="0" w:evenVBand="0" w:oddHBand="0" w:evenHBand="0" w:firstRowFirstColumn="0" w:firstRowLastColumn="0" w:lastRowFirstColumn="0" w:lastRowLastColumn="0"/>
            </w:pPr>
            <w:r>
              <w:t>6.5</w:t>
            </w:r>
          </w:p>
        </w:tc>
        <w:tc>
          <w:tcPr>
            <w:tcW w:w="1275" w:type="dxa"/>
            <w:tcBorders>
              <w:left w:val="single" w:sz="4" w:space="0" w:color="auto"/>
              <w:bottom w:val="nil"/>
              <w:right w:val="single" w:sz="4" w:space="0" w:color="auto"/>
            </w:tcBorders>
          </w:tcPr>
          <w:p w14:paraId="4BF1E739" w14:textId="77777777" w:rsidR="00FE6A89" w:rsidRDefault="00FE6A89" w:rsidP="006C55CC">
            <w:pPr>
              <w:pStyle w:val="BodyText"/>
              <w:jc w:val="center"/>
              <w:cnfStyle w:val="000000000000" w:firstRow="0" w:lastRow="0" w:firstColumn="0" w:lastColumn="0" w:oddVBand="0" w:evenVBand="0" w:oddHBand="0" w:evenHBand="0" w:firstRowFirstColumn="0" w:firstRowLastColumn="0" w:lastRowFirstColumn="0" w:lastRowLastColumn="0"/>
            </w:pPr>
            <w:r>
              <w:t>10.1</w:t>
            </w:r>
          </w:p>
        </w:tc>
        <w:tc>
          <w:tcPr>
            <w:tcW w:w="1418" w:type="dxa"/>
            <w:tcBorders>
              <w:left w:val="single" w:sz="4" w:space="0" w:color="auto"/>
              <w:bottom w:val="nil"/>
              <w:right w:val="single" w:sz="4" w:space="0" w:color="auto"/>
            </w:tcBorders>
          </w:tcPr>
          <w:p w14:paraId="1A4064FA" w14:textId="77777777" w:rsidR="00FE6A89" w:rsidRDefault="00FE6A89" w:rsidP="006C55CC">
            <w:pPr>
              <w:pStyle w:val="BodyText"/>
              <w:jc w:val="center"/>
              <w:cnfStyle w:val="000000000000" w:firstRow="0" w:lastRow="0" w:firstColumn="0" w:lastColumn="0" w:oddVBand="0" w:evenVBand="0" w:oddHBand="0" w:evenHBand="0" w:firstRowFirstColumn="0" w:firstRowLastColumn="0" w:lastRowFirstColumn="0" w:lastRowLastColumn="0"/>
            </w:pPr>
            <w:r>
              <w:t>5.9</w:t>
            </w:r>
          </w:p>
        </w:tc>
      </w:tr>
      <w:tr w:rsidR="00FE6A89" w14:paraId="674617E5" w14:textId="77777777" w:rsidTr="00E965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2" w:type="dxa"/>
            <w:tcBorders>
              <w:left w:val="single" w:sz="4" w:space="0" w:color="auto"/>
              <w:bottom w:val="nil"/>
              <w:right w:val="single" w:sz="4" w:space="0" w:color="auto"/>
            </w:tcBorders>
          </w:tcPr>
          <w:p w14:paraId="352BAA87" w14:textId="77777777" w:rsidR="00FE6A89" w:rsidRPr="00F7189E" w:rsidRDefault="00FE6A89" w:rsidP="006C55CC">
            <w:pPr>
              <w:pStyle w:val="BodyText"/>
              <w:rPr>
                <w:sz w:val="20"/>
                <w:szCs w:val="20"/>
              </w:rPr>
            </w:pPr>
            <w:r w:rsidRPr="00F7189E">
              <w:rPr>
                <w:sz w:val="20"/>
                <w:szCs w:val="20"/>
              </w:rPr>
              <w:t>They seem more acceptable than regular cigarettes</w:t>
            </w:r>
          </w:p>
        </w:tc>
        <w:tc>
          <w:tcPr>
            <w:tcW w:w="1531" w:type="dxa"/>
            <w:tcBorders>
              <w:left w:val="single" w:sz="4" w:space="0" w:color="auto"/>
              <w:bottom w:val="nil"/>
              <w:right w:val="single" w:sz="4" w:space="0" w:color="auto"/>
            </w:tcBorders>
          </w:tcPr>
          <w:p w14:paraId="6739C353" w14:textId="77777777" w:rsidR="00FE6A89" w:rsidRDefault="00FE6A89" w:rsidP="006C55CC">
            <w:pPr>
              <w:pStyle w:val="BodyText"/>
              <w:jc w:val="center"/>
              <w:cnfStyle w:val="000000100000" w:firstRow="0" w:lastRow="0" w:firstColumn="0" w:lastColumn="0" w:oddVBand="0" w:evenVBand="0" w:oddHBand="1" w:evenHBand="0" w:firstRowFirstColumn="0" w:firstRowLastColumn="0" w:lastRowFirstColumn="0" w:lastRowLastColumn="0"/>
            </w:pPr>
            <w:r>
              <w:t>14.1</w:t>
            </w:r>
          </w:p>
        </w:tc>
        <w:tc>
          <w:tcPr>
            <w:tcW w:w="1627" w:type="dxa"/>
            <w:tcBorders>
              <w:left w:val="single" w:sz="4" w:space="0" w:color="auto"/>
              <w:bottom w:val="nil"/>
              <w:right w:val="single" w:sz="4" w:space="0" w:color="auto"/>
            </w:tcBorders>
          </w:tcPr>
          <w:p w14:paraId="2E072F87" w14:textId="77777777" w:rsidR="00FE6A89" w:rsidRDefault="00FE6A89" w:rsidP="006C55CC">
            <w:pPr>
              <w:pStyle w:val="BodyText"/>
              <w:jc w:val="center"/>
              <w:cnfStyle w:val="000000100000" w:firstRow="0" w:lastRow="0" w:firstColumn="0" w:lastColumn="0" w:oddVBand="0" w:evenVBand="0" w:oddHBand="1" w:evenHBand="0" w:firstRowFirstColumn="0" w:firstRowLastColumn="0" w:lastRowFirstColumn="0" w:lastRowLastColumn="0"/>
            </w:pPr>
            <w:r>
              <w:t>4.7</w:t>
            </w:r>
          </w:p>
        </w:tc>
        <w:tc>
          <w:tcPr>
            <w:tcW w:w="1275" w:type="dxa"/>
            <w:tcBorders>
              <w:left w:val="single" w:sz="4" w:space="0" w:color="auto"/>
              <w:bottom w:val="nil"/>
              <w:right w:val="single" w:sz="4" w:space="0" w:color="auto"/>
            </w:tcBorders>
          </w:tcPr>
          <w:p w14:paraId="64B728DB" w14:textId="77777777" w:rsidR="00FE6A89" w:rsidRDefault="00FE6A89" w:rsidP="006C55CC">
            <w:pPr>
              <w:pStyle w:val="BodyText"/>
              <w:jc w:val="center"/>
              <w:cnfStyle w:val="000000100000" w:firstRow="0" w:lastRow="0" w:firstColumn="0" w:lastColumn="0" w:oddVBand="0" w:evenVBand="0" w:oddHBand="1" w:evenHBand="0" w:firstRowFirstColumn="0" w:firstRowLastColumn="0" w:lastRowFirstColumn="0" w:lastRowLastColumn="0"/>
            </w:pPr>
            <w:r>
              <w:t>7.8</w:t>
            </w:r>
          </w:p>
        </w:tc>
        <w:tc>
          <w:tcPr>
            <w:tcW w:w="1418" w:type="dxa"/>
            <w:tcBorders>
              <w:left w:val="single" w:sz="4" w:space="0" w:color="auto"/>
              <w:bottom w:val="nil"/>
              <w:right w:val="single" w:sz="4" w:space="0" w:color="auto"/>
            </w:tcBorders>
          </w:tcPr>
          <w:p w14:paraId="61A73917" w14:textId="77777777" w:rsidR="00FE6A89" w:rsidRDefault="00FE6A89" w:rsidP="006C55CC">
            <w:pPr>
              <w:pStyle w:val="BodyText"/>
              <w:jc w:val="center"/>
              <w:cnfStyle w:val="000000100000" w:firstRow="0" w:lastRow="0" w:firstColumn="0" w:lastColumn="0" w:oddVBand="0" w:evenVBand="0" w:oddHBand="1" w:evenHBand="0" w:firstRowFirstColumn="0" w:firstRowLastColumn="0" w:lastRowFirstColumn="0" w:lastRowLastColumn="0"/>
            </w:pPr>
            <w:r>
              <w:t>4.5</w:t>
            </w:r>
          </w:p>
        </w:tc>
      </w:tr>
      <w:tr w:rsidR="00FE6A89" w14:paraId="35719ED2" w14:textId="77777777" w:rsidTr="00E9656F">
        <w:tc>
          <w:tcPr>
            <w:cnfStyle w:val="001000000000" w:firstRow="0" w:lastRow="0" w:firstColumn="1" w:lastColumn="0" w:oddVBand="0" w:evenVBand="0" w:oddHBand="0" w:evenHBand="0" w:firstRowFirstColumn="0" w:firstRowLastColumn="0" w:lastRowFirstColumn="0" w:lastRowLastColumn="0"/>
            <w:tcW w:w="3392" w:type="dxa"/>
            <w:tcBorders>
              <w:left w:val="single" w:sz="4" w:space="0" w:color="auto"/>
              <w:bottom w:val="nil"/>
              <w:right w:val="single" w:sz="4" w:space="0" w:color="auto"/>
            </w:tcBorders>
          </w:tcPr>
          <w:p w14:paraId="070FA5A7" w14:textId="77777777" w:rsidR="00FE6A89" w:rsidRPr="00F7189E" w:rsidRDefault="00FE6A89" w:rsidP="006C55CC">
            <w:pPr>
              <w:pStyle w:val="BodyText"/>
              <w:rPr>
                <w:sz w:val="20"/>
                <w:szCs w:val="20"/>
              </w:rPr>
            </w:pPr>
            <w:r w:rsidRPr="00F7189E">
              <w:rPr>
                <w:sz w:val="20"/>
                <w:szCs w:val="20"/>
              </w:rPr>
              <w:t>Out of curiosity</w:t>
            </w:r>
          </w:p>
        </w:tc>
        <w:tc>
          <w:tcPr>
            <w:tcW w:w="1531" w:type="dxa"/>
            <w:tcBorders>
              <w:left w:val="single" w:sz="4" w:space="0" w:color="auto"/>
              <w:bottom w:val="nil"/>
              <w:right w:val="single" w:sz="4" w:space="0" w:color="auto"/>
            </w:tcBorders>
          </w:tcPr>
          <w:p w14:paraId="7E52BC00" w14:textId="77777777" w:rsidR="00FE6A89" w:rsidRDefault="00FE6A89" w:rsidP="006C55CC">
            <w:pPr>
              <w:pStyle w:val="BodyText"/>
              <w:jc w:val="center"/>
              <w:cnfStyle w:val="000000000000" w:firstRow="0" w:lastRow="0" w:firstColumn="0" w:lastColumn="0" w:oddVBand="0" w:evenVBand="0" w:oddHBand="0" w:evenHBand="0" w:firstRowFirstColumn="0" w:firstRowLastColumn="0" w:lastRowFirstColumn="0" w:lastRowLastColumn="0"/>
            </w:pPr>
            <w:r>
              <w:t>30.5</w:t>
            </w:r>
          </w:p>
        </w:tc>
        <w:tc>
          <w:tcPr>
            <w:tcW w:w="1627" w:type="dxa"/>
            <w:tcBorders>
              <w:left w:val="single" w:sz="4" w:space="0" w:color="auto"/>
              <w:bottom w:val="nil"/>
              <w:right w:val="single" w:sz="4" w:space="0" w:color="auto"/>
            </w:tcBorders>
          </w:tcPr>
          <w:p w14:paraId="47033F04" w14:textId="77777777" w:rsidR="00FE6A89" w:rsidRDefault="00FE6A89" w:rsidP="006C55CC">
            <w:pPr>
              <w:pStyle w:val="BodyText"/>
              <w:jc w:val="center"/>
              <w:cnfStyle w:val="000000000000" w:firstRow="0" w:lastRow="0" w:firstColumn="0" w:lastColumn="0" w:oddVBand="0" w:evenVBand="0" w:oddHBand="0" w:evenHBand="0" w:firstRowFirstColumn="0" w:firstRowLastColumn="0" w:lastRowFirstColumn="0" w:lastRowLastColumn="0"/>
            </w:pPr>
            <w:r>
              <w:t>59.2</w:t>
            </w:r>
          </w:p>
        </w:tc>
        <w:tc>
          <w:tcPr>
            <w:tcW w:w="1275" w:type="dxa"/>
            <w:tcBorders>
              <w:left w:val="single" w:sz="4" w:space="0" w:color="auto"/>
              <w:bottom w:val="nil"/>
              <w:right w:val="single" w:sz="4" w:space="0" w:color="auto"/>
            </w:tcBorders>
          </w:tcPr>
          <w:p w14:paraId="62954F66" w14:textId="77777777" w:rsidR="00FE6A89" w:rsidRDefault="00FE6A89" w:rsidP="006C55CC">
            <w:pPr>
              <w:pStyle w:val="BodyText"/>
              <w:jc w:val="center"/>
              <w:cnfStyle w:val="000000000000" w:firstRow="0" w:lastRow="0" w:firstColumn="0" w:lastColumn="0" w:oddVBand="0" w:evenVBand="0" w:oddHBand="0" w:evenHBand="0" w:firstRowFirstColumn="0" w:firstRowLastColumn="0" w:lastRowFirstColumn="0" w:lastRowLastColumn="0"/>
            </w:pPr>
            <w:r>
              <w:t>46.9</w:t>
            </w:r>
          </w:p>
        </w:tc>
        <w:tc>
          <w:tcPr>
            <w:tcW w:w="1418" w:type="dxa"/>
            <w:tcBorders>
              <w:left w:val="single" w:sz="4" w:space="0" w:color="auto"/>
              <w:bottom w:val="nil"/>
              <w:right w:val="single" w:sz="4" w:space="0" w:color="auto"/>
            </w:tcBorders>
          </w:tcPr>
          <w:p w14:paraId="1513D8D2" w14:textId="77777777" w:rsidR="00FE6A89" w:rsidRDefault="00FE6A89" w:rsidP="006C55CC">
            <w:pPr>
              <w:pStyle w:val="BodyText"/>
              <w:jc w:val="center"/>
              <w:cnfStyle w:val="000000000000" w:firstRow="0" w:lastRow="0" w:firstColumn="0" w:lastColumn="0" w:oddVBand="0" w:evenVBand="0" w:oddHBand="0" w:evenHBand="0" w:firstRowFirstColumn="0" w:firstRowLastColumn="0" w:lastRowFirstColumn="0" w:lastRowLastColumn="0"/>
            </w:pPr>
            <w:r>
              <w:t>46.0</w:t>
            </w:r>
          </w:p>
        </w:tc>
      </w:tr>
      <w:tr w:rsidR="00FE6A89" w14:paraId="42789C10" w14:textId="77777777" w:rsidTr="00E965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2" w:type="dxa"/>
            <w:tcBorders>
              <w:left w:val="single" w:sz="4" w:space="0" w:color="auto"/>
              <w:bottom w:val="single" w:sz="4" w:space="0" w:color="auto"/>
              <w:right w:val="single" w:sz="4" w:space="0" w:color="auto"/>
            </w:tcBorders>
          </w:tcPr>
          <w:p w14:paraId="62E6B069" w14:textId="77777777" w:rsidR="00FE6A89" w:rsidRPr="00F7189E" w:rsidRDefault="00FE6A89" w:rsidP="006C55CC">
            <w:pPr>
              <w:pStyle w:val="BodyText"/>
              <w:rPr>
                <w:sz w:val="20"/>
                <w:szCs w:val="20"/>
              </w:rPr>
            </w:pPr>
            <w:r w:rsidRPr="00F7189E">
              <w:rPr>
                <w:sz w:val="20"/>
                <w:szCs w:val="20"/>
              </w:rPr>
              <w:t>Other</w:t>
            </w:r>
          </w:p>
        </w:tc>
        <w:tc>
          <w:tcPr>
            <w:tcW w:w="1531" w:type="dxa"/>
            <w:tcBorders>
              <w:left w:val="single" w:sz="4" w:space="0" w:color="auto"/>
              <w:bottom w:val="single" w:sz="4" w:space="0" w:color="auto"/>
              <w:right w:val="single" w:sz="4" w:space="0" w:color="auto"/>
            </w:tcBorders>
          </w:tcPr>
          <w:p w14:paraId="470A88FB" w14:textId="77777777" w:rsidR="00FE6A89" w:rsidRDefault="00FE6A89" w:rsidP="006C55CC">
            <w:pPr>
              <w:pStyle w:val="BodyText"/>
              <w:jc w:val="center"/>
              <w:cnfStyle w:val="000000100000" w:firstRow="0" w:lastRow="0" w:firstColumn="0" w:lastColumn="0" w:oddVBand="0" w:evenVBand="0" w:oddHBand="1" w:evenHBand="0" w:firstRowFirstColumn="0" w:firstRowLastColumn="0" w:lastRowFirstColumn="0" w:lastRowLastColumn="0"/>
            </w:pPr>
            <w:r>
              <w:t>7.2</w:t>
            </w:r>
          </w:p>
        </w:tc>
        <w:tc>
          <w:tcPr>
            <w:tcW w:w="1627" w:type="dxa"/>
            <w:tcBorders>
              <w:left w:val="single" w:sz="4" w:space="0" w:color="auto"/>
              <w:bottom w:val="single" w:sz="4" w:space="0" w:color="auto"/>
              <w:right w:val="single" w:sz="4" w:space="0" w:color="auto"/>
            </w:tcBorders>
          </w:tcPr>
          <w:p w14:paraId="7A35E10B" w14:textId="77777777" w:rsidR="00FE6A89" w:rsidRDefault="00FE6A89" w:rsidP="006C55CC">
            <w:pPr>
              <w:pStyle w:val="BodyText"/>
              <w:jc w:val="center"/>
              <w:cnfStyle w:val="000000100000" w:firstRow="0" w:lastRow="0" w:firstColumn="0" w:lastColumn="0" w:oddVBand="0" w:evenVBand="0" w:oddHBand="1" w:evenHBand="0" w:firstRowFirstColumn="0" w:firstRowLastColumn="0" w:lastRowFirstColumn="0" w:lastRowLastColumn="0"/>
            </w:pPr>
            <w:r>
              <w:t>7.1</w:t>
            </w:r>
          </w:p>
        </w:tc>
        <w:tc>
          <w:tcPr>
            <w:tcW w:w="1275" w:type="dxa"/>
            <w:tcBorders>
              <w:left w:val="single" w:sz="4" w:space="0" w:color="auto"/>
              <w:bottom w:val="single" w:sz="4" w:space="0" w:color="auto"/>
              <w:right w:val="single" w:sz="4" w:space="0" w:color="auto"/>
            </w:tcBorders>
          </w:tcPr>
          <w:p w14:paraId="0007575D" w14:textId="77777777" w:rsidR="00FE6A89" w:rsidRDefault="00FE6A89" w:rsidP="006C55CC">
            <w:pPr>
              <w:pStyle w:val="BodyText"/>
              <w:jc w:val="center"/>
              <w:cnfStyle w:val="000000100000" w:firstRow="0" w:lastRow="0" w:firstColumn="0" w:lastColumn="0" w:oddVBand="0" w:evenVBand="0" w:oddHBand="1" w:evenHBand="0" w:firstRowFirstColumn="0" w:firstRowLastColumn="0" w:lastRowFirstColumn="0" w:lastRowLastColumn="0"/>
            </w:pPr>
            <w:r>
              <w:t>5.0</w:t>
            </w:r>
          </w:p>
        </w:tc>
        <w:tc>
          <w:tcPr>
            <w:tcW w:w="1418" w:type="dxa"/>
            <w:tcBorders>
              <w:left w:val="single" w:sz="4" w:space="0" w:color="auto"/>
              <w:bottom w:val="single" w:sz="4" w:space="0" w:color="auto"/>
              <w:right w:val="single" w:sz="4" w:space="0" w:color="auto"/>
            </w:tcBorders>
          </w:tcPr>
          <w:p w14:paraId="34AF41B5" w14:textId="77777777" w:rsidR="00FE6A89" w:rsidRDefault="00FE6A89" w:rsidP="006C55CC">
            <w:pPr>
              <w:pStyle w:val="BodyText"/>
              <w:jc w:val="center"/>
              <w:cnfStyle w:val="000000100000" w:firstRow="0" w:lastRow="0" w:firstColumn="0" w:lastColumn="0" w:oddVBand="0" w:evenVBand="0" w:oddHBand="1" w:evenHBand="0" w:firstRowFirstColumn="0" w:firstRowLastColumn="0" w:lastRowFirstColumn="0" w:lastRowLastColumn="0"/>
            </w:pPr>
            <w:r>
              <w:t>8.3</w:t>
            </w:r>
          </w:p>
        </w:tc>
      </w:tr>
    </w:tbl>
    <w:p w14:paraId="2807FB17" w14:textId="77777777" w:rsidR="00FE6A89" w:rsidRDefault="00FE6A89" w:rsidP="00FE6A89">
      <w:pPr>
        <w:pStyle w:val="BodyText"/>
      </w:pPr>
    </w:p>
    <w:p w14:paraId="55385CB3" w14:textId="77777777" w:rsidR="00FE6A89" w:rsidRDefault="00FE6A89" w:rsidP="00FE6A89">
      <w:pPr>
        <w:pStyle w:val="BodyText"/>
      </w:pPr>
      <w:r>
        <w:t>Two of the relevant Australian qualitative studies focussed on very specific subgroups of e</w:t>
      </w:r>
      <w:r>
        <w:noBreakHyphen/>
        <w:t xml:space="preserve">cigarette users: Indigenous Australians </w:t>
      </w:r>
      <w:r>
        <w:fldChar w:fldCharType="begin"/>
      </w:r>
      <w:r w:rsidR="00903735">
        <w:instrText xml:space="preserve"> ADDIN EN.CITE &lt;EndNote&gt;&lt;Cite&gt;&lt;Author&gt;Yuke&lt;/Author&gt;&lt;Year&gt;2018&lt;/Year&gt;&lt;RecNum&gt;12355&lt;/RecNum&gt;&lt;DisplayText&gt;(Yuke, Ford et al. 2018)&lt;/DisplayText&gt;&lt;record&gt;&lt;rec-number&gt;12355&lt;/rec-number&gt;&lt;foreign-keys&gt;&lt;key app="EN" db-id="5xv5w5t2bdxtxfezx02xtxdft5rz5ptvvt29" timestamp="1523869299"&gt;12355&lt;/key&gt;&lt;key app="ENWeb" db-id=""&gt;0&lt;/key&gt;&lt;/foreign-keys&gt;&lt;ref-type name="Journal Article"&gt;17&lt;/ref-type&gt;&lt;contributors&gt;&lt;authors&gt;&lt;author&gt;Yuke, K.&lt;/author&gt;&lt;author&gt;Ford, P.&lt;/author&gt;&lt;author&gt;Foley, W.&lt;/author&gt;&lt;author&gt;Mutch, A.&lt;/author&gt;&lt;author&gt;Fitzgerald, L.&lt;/author&gt;&lt;author&gt;Gartner, C.&lt;/author&gt;&lt;/authors&gt;&lt;/contributors&gt;&lt;auth-address&gt;Southern Queensland Centre of Excellence in Aboriginal and Torres Strait Islander Primary Health Care, Brisbane, Australia.&amp;#xD;School of Public Health, The University of Queensland, Brisbane, Australia.&amp;#xD;School of Dentistry, The University of Queensland, Brisbane, Australia.&lt;/auth-address&gt;&lt;titles&gt;&lt;title&gt;Australian urban Indigenous smokers&amp;apos; perspectives on nicotine products and tobacco harm reduction&lt;/title&gt;&lt;secondary-title&gt;Drug Alcohol Rev&lt;/secondary-title&gt;&lt;alt-title&gt;Drug and alcohol review&lt;/alt-title&gt;&lt;/titles&gt;&lt;periodical&gt;&lt;full-title&gt;Drug Alcohol Rev&lt;/full-title&gt;&lt;abbr-1&gt;Drug and alcohol review&lt;/abbr-1&gt;&lt;/periodical&gt;&lt;alt-periodical&gt;&lt;full-title&gt;Drug Alcohol Rev&lt;/full-title&gt;&lt;abbr-1&gt;Drug and alcohol review&lt;/abbr-1&gt;&lt;/alt-periodical&gt;&lt;pages&gt;87-96&lt;/pages&gt;&lt;volume&gt;37&lt;/volume&gt;&lt;number&gt;1&lt;/number&gt;&lt;edition&gt;2017/05/12&lt;/edition&gt;&lt;keywords&gt;&lt;keyword&gt;Indigenous&lt;/keyword&gt;&lt;keyword&gt;e-cigarettes&lt;/keyword&gt;&lt;keyword&gt;nicotine replacement therapy&lt;/keyword&gt;&lt;keyword&gt;qualitative research&lt;/keyword&gt;&lt;keyword&gt;tobacco harm reduction&lt;/keyword&gt;&lt;/keywords&gt;&lt;dates&gt;&lt;year&gt;2018&lt;/year&gt;&lt;pub-dates&gt;&lt;date&gt;Jan&lt;/date&gt;&lt;/pub-dates&gt;&lt;/dates&gt;&lt;isbn&gt;0959-5236&lt;/isbn&gt;&lt;accession-num&gt;28493405&lt;/accession-num&gt;&lt;urls&gt;&lt;related-urls&gt;&lt;url&gt;https://onlinelibrary.wiley.com/doi/pdf/10.1111/dar.12549&lt;/url&gt;&lt;/related-urls&gt;&lt;/urls&gt;&lt;electronic-resource-num&gt;10.1111/dar.12549&lt;/electronic-resource-num&gt;&lt;remote-database-provider&gt;NLM&lt;/remote-database-provider&gt;&lt;language&gt;eng&lt;/language&gt;&lt;/record&gt;&lt;/Cite&gt;&lt;/EndNote&gt;</w:instrText>
      </w:r>
      <w:r>
        <w:fldChar w:fldCharType="separate"/>
      </w:r>
      <w:r>
        <w:rPr>
          <w:noProof/>
        </w:rPr>
        <w:t>(Yuke, Ford et al. 2018)</w:t>
      </w:r>
      <w:r>
        <w:fldChar w:fldCharType="end"/>
      </w:r>
      <w:r>
        <w:t xml:space="preserve"> and people with schizophrenia </w:t>
      </w:r>
      <w:r>
        <w:fldChar w:fldCharType="begin"/>
      </w:r>
      <w:r>
        <w:instrText xml:space="preserve"> ADDIN EN.CITE &lt;EndNote&gt;&lt;Cite&gt;&lt;Author&gt;Brown&lt;/Author&gt;&lt;Year&gt;2018&lt;/Year&gt;&lt;RecNum&gt;6343&lt;/RecNum&gt;&lt;DisplayText&gt;(Brown 2018)&lt;/DisplayText&gt;&lt;record&gt;&lt;rec-number&gt;6343&lt;/rec-number&gt;&lt;foreign-keys&gt;&lt;key app="EN" db-id="fpt9pttrm5zfsaesp9fpsddv09ewsv5xewfd" timestamp="1525047202"&gt;6343&lt;/key&gt;&lt;key app="ENWeb" db-id=""&gt;0&lt;/key&gt;&lt;/foreign-keys&gt;&lt;ref-type name="Journal Article"&gt;17&lt;/ref-type&gt;&lt;contributors&gt;&lt;authors&gt;&lt;author&gt;Brown, J. E. H.&lt;/author&gt;&lt;/authors&gt;&lt;/contributors&gt;&lt;titles&gt;&lt;title&gt;‘Doing Things Little by Little’: Smoking and Vaping While Being Pharmaceutically Treated for Schizophrenia&lt;/title&gt;&lt;secondary-title&gt;Anthropological Forum&lt;/secondary-title&gt;&lt;/titles&gt;&lt;periodical&gt;&lt;full-title&gt;Anthropological Forum&lt;/full-title&gt;&lt;/periodical&gt;&lt;pages&gt;1-13&lt;/pages&gt;&lt;dates&gt;&lt;year&gt;2018&lt;/year&gt;&lt;/dates&gt;&lt;urls&gt;&lt;related-urls&gt;&lt;url&gt;https://www.scopus.com/inward/record.uri?eid=2-s2.0-85042231157&amp;amp;doi=10.1080%2f00664677.2018.1440192&amp;amp;partnerID=40&amp;amp;md5=73a9bef709be10a31634f2250ca7dd54&lt;/url&gt;&lt;url&gt;https://www.tandfonline.com/doi/pdf/10.1080/00664677.2018.1440192?needAccess=true&lt;/url&gt;&lt;/related-urls&gt;&lt;/urls&gt;&lt;electronic-resource-num&gt;10.1080/00664677.2018.1440192&lt;/electronic-resource-num&gt;&lt;remote-database-name&gt;Scopus&lt;/remote-database-name&gt;&lt;/record&gt;&lt;/Cite&gt;&lt;/EndNote&gt;</w:instrText>
      </w:r>
      <w:r>
        <w:fldChar w:fldCharType="separate"/>
      </w:r>
      <w:r>
        <w:rPr>
          <w:noProof/>
        </w:rPr>
        <w:t>(Brown 2018)</w:t>
      </w:r>
      <w:r>
        <w:fldChar w:fldCharType="end"/>
      </w:r>
      <w:r>
        <w:t xml:space="preserve">. </w:t>
      </w:r>
    </w:p>
    <w:p w14:paraId="6E491378" w14:textId="77777777" w:rsidR="00FE6A89" w:rsidRDefault="00FE6A89" w:rsidP="00FE6A89">
      <w:pPr>
        <w:pStyle w:val="BodyText"/>
      </w:pPr>
      <w:r>
        <w:t>Brown’s ethnographic study used observations in Australia and the UK to explore experiences of smoking and vaping. Few details are available on the quantity of observations and an in</w:t>
      </w:r>
      <w:r>
        <w:noBreakHyphen/>
        <w:t xml:space="preserve">depth discussion of experiences is provided with the ultimate conclusion that this sample emphasised the harm from smoking relative to vaping. </w:t>
      </w:r>
    </w:p>
    <w:p w14:paraId="047CD7A3" w14:textId="77777777" w:rsidR="00FE6A89" w:rsidRDefault="00FE6A89" w:rsidP="00FE6A89">
      <w:pPr>
        <w:pStyle w:val="BodyText"/>
      </w:pPr>
    </w:p>
    <w:p w14:paraId="44693133" w14:textId="77777777" w:rsidR="00FE6A89" w:rsidRDefault="00FE6A89" w:rsidP="00FE6A89">
      <w:pPr>
        <w:pStyle w:val="BodyText"/>
      </w:pPr>
      <w:r>
        <w:lastRenderedPageBreak/>
        <w:t>Interviews and focus groups were held with a small number of Indigenous Australians (n=27) living in Brisbane and who were smokers with the aim of understanding the acceptability of new nicotine products. While the majority of Indigenous women reported no willingness to try e</w:t>
      </w:r>
      <w:r>
        <w:noBreakHyphen/>
        <w:t>cigarettes (70%), a majority of men were willing (82%). Therefore, in this specific and select group there was a very pronounced difference in willingness to try e</w:t>
      </w:r>
      <w:r>
        <w:noBreakHyphen/>
        <w:t>cigarettes. However, no recent data exist that quantify prevalence of use of e</w:t>
      </w:r>
      <w:r>
        <w:noBreakHyphen/>
        <w:t xml:space="preserve">cigarettes in this population. </w:t>
      </w:r>
    </w:p>
    <w:p w14:paraId="12915915" w14:textId="77777777" w:rsidR="00FE6A89" w:rsidRDefault="00FE6A89" w:rsidP="00FE6A89">
      <w:pPr>
        <w:pStyle w:val="BodyText"/>
      </w:pPr>
    </w:p>
    <w:p w14:paraId="6D132F27" w14:textId="77777777" w:rsidR="00FE6A89" w:rsidRDefault="00FE6A89" w:rsidP="00FE6A89">
      <w:pPr>
        <w:pStyle w:val="BodyText"/>
      </w:pPr>
      <w:r>
        <w:t xml:space="preserve">The final qualitative study </w:t>
      </w:r>
      <w:r>
        <w:fldChar w:fldCharType="begin"/>
      </w:r>
      <w:r>
        <w:instrText xml:space="preserve"> ADDIN EN.CITE &lt;EndNote&gt;&lt;Cite&gt;&lt;Author&gt;Keane&lt;/Author&gt;&lt;Year&gt;2017&lt;/Year&gt;&lt;RecNum&gt;6335&lt;/RecNum&gt;&lt;DisplayText&gt;(Keane, Weier et al. 2017)&lt;/DisplayText&gt;&lt;record&gt;&lt;rec-number&gt;6335&lt;/rec-number&gt;&lt;foreign-keys&gt;&lt;key app="EN" db-id="fpt9pttrm5zfsaesp9fpsddv09ewsv5xewfd" timestamp="1525047178"&gt;6335&lt;/key&gt;&lt;key app="ENWeb" db-id=""&gt;0&lt;/key&gt;&lt;/foreign-keys&gt;&lt;ref-type name="Journal Article"&gt;17&lt;/ref-type&gt;&lt;contributors&gt;&lt;authors&gt;&lt;author&gt;Keane, H.&lt;/author&gt;&lt;author&gt;Weier, M.&lt;/author&gt;&lt;author&gt;Fraser, D.&lt;/author&gt;&lt;author&gt;Gartner, C.&lt;/author&gt;&lt;/authors&gt;&lt;/contributors&gt;&lt;titles&gt;&lt;title&gt;‘Anytime, anywhere’: vaping as social practice&lt;/title&gt;&lt;secondary-title&gt;Critical Public Health&lt;/secondary-title&gt;&lt;/titles&gt;&lt;periodical&gt;&lt;full-title&gt;Critical Public Health&lt;/full-title&gt;&lt;/periodical&gt;&lt;pages&gt;465-476&lt;/pages&gt;&lt;volume&gt;27&lt;/volume&gt;&lt;number&gt;4&lt;/number&gt;&lt;keywords&gt;&lt;keyword&gt;Article&lt;/keyword&gt;&lt;keyword&gt;attitude to health&lt;/keyword&gt;&lt;keyword&gt;cultural competence&lt;/keyword&gt;&lt;keyword&gt;electronic cigarette&lt;/keyword&gt;&lt;keyword&gt;female&lt;/keyword&gt;&lt;keyword&gt;habitual adaptation&lt;/keyword&gt;&lt;keyword&gt;health behavior&lt;/keyword&gt;&lt;keyword&gt;health care policy&lt;/keyword&gt;&lt;keyword&gt;health education&lt;/keyword&gt;&lt;keyword&gt;health survey&lt;/keyword&gt;&lt;keyword&gt;human&lt;/keyword&gt;&lt;keyword&gt;knowledge&lt;/keyword&gt;&lt;keyword&gt;male&lt;/keyword&gt;&lt;keyword&gt;public health&lt;/keyword&gt;&lt;keyword&gt;smoking&lt;/keyword&gt;&lt;keyword&gt;social behavior&lt;/keyword&gt;&lt;keyword&gt;social determinants of health&lt;/keyword&gt;&lt;keyword&gt;tobacco dependence&lt;/keyword&gt;&lt;keyword&gt;vaping&lt;/keyword&gt;&lt;/keywords&gt;&lt;dates&gt;&lt;year&gt;2017&lt;/year&gt;&lt;/dates&gt;&lt;urls&gt;&lt;related-urls&gt;&lt;url&gt;https://www.scopus.com/inward/record.uri?eid=2-s2.0-84994097011&amp;amp;doi=10.1080%2f09581596.2016.1250867&amp;amp;partnerID=40&amp;amp;md5=13494696706e82d1ce298414f52677ae&lt;/url&gt;&lt;url&gt;https://www.tandfonline.com/doi/pdf/10.1080/09581596.2016.1250867?needAccess=true&lt;/url&gt;&lt;/related-urls&gt;&lt;/urls&gt;&lt;electronic-resource-num&gt;10.1080/09581596.2016.1250867&lt;/electronic-resource-num&gt;&lt;remote-database-name&gt;Scopus&lt;/remote-database-name&gt;&lt;/record&gt;&lt;/Cite&gt;&lt;/EndNote&gt;</w:instrText>
      </w:r>
      <w:r>
        <w:fldChar w:fldCharType="separate"/>
      </w:r>
      <w:r>
        <w:rPr>
          <w:noProof/>
        </w:rPr>
        <w:t>(Keane, Weier et al. 2017)</w:t>
      </w:r>
      <w:r>
        <w:fldChar w:fldCharType="end"/>
      </w:r>
      <w:r>
        <w:t xml:space="preserve"> analysed data from an open</w:t>
      </w:r>
      <w:r>
        <w:noBreakHyphen/>
        <w:t>ended question included as part of another survey using Theories of Social Practice. Discussion is strongly grounded in the context of this theory which is beyond the scope of the current summary. However, the authors conclude that health and freedom are important for vaping and that word of mouth is a driver of uptake.</w:t>
      </w:r>
    </w:p>
    <w:p w14:paraId="1404D1AC" w14:textId="77777777" w:rsidR="00FE6A89" w:rsidRDefault="00FE6A89" w:rsidP="00FE6A89">
      <w:pPr>
        <w:pStyle w:val="BodyText"/>
      </w:pPr>
    </w:p>
    <w:p w14:paraId="17EC798C" w14:textId="77777777" w:rsidR="00FE6A89" w:rsidRDefault="00FE6A89" w:rsidP="00FE6A89">
      <w:pPr>
        <w:pStyle w:val="BodyText"/>
      </w:pPr>
      <w:r>
        <w:t xml:space="preserve">Williams et al </w:t>
      </w:r>
      <w:r>
        <w:fldChar w:fldCharType="begin"/>
      </w:r>
      <w:r w:rsidR="00903735">
        <w:instrText xml:space="preserve"> ADDIN EN.CITE &lt;EndNote&gt;&lt;Cite&gt;&lt;Author&gt;Williams&lt;/Author&gt;&lt;Year&gt;2018&lt;/Year&gt;&lt;RecNum&gt;132&lt;/RecNum&gt;&lt;DisplayText&gt;(Williams and White 2018)&lt;/DisplayText&gt;&lt;record&gt;&lt;rec-number&gt;132&lt;/rec-number&gt;&lt;foreign-keys&gt;&lt;key app="EN" db-id="5xv5w5t2bdxtxfezx02xtxdft5rz5ptvvt29" timestamp="1520568414"&gt;132&lt;/key&gt;&lt;key app="ENWeb" db-id=""&gt;0&lt;/key&gt;&lt;/foreign-keys&gt;&lt;ref-type name="Journal Article"&gt;17&lt;/ref-type&gt;&lt;contributors&gt;&lt;authors&gt;&lt;author&gt;Williams, T.&lt;/author&gt;&lt;author&gt;White, V.&lt;/author&gt;&lt;/authors&gt;&lt;/contributors&gt;&lt;auth-address&gt;a Centre for Behavioural Research in Cancer , Cancer Council Victoria, Melbourne , Australia.&amp;#xD;b School of Psychology , Deakin University , Geelong , Australia.&lt;/auth-address&gt;&lt;titles&gt;&lt;title&gt;What Factors are Associated with Electronic Cigarette, Shisha-Tobacco and Conventional Cigarette Use? Findings from a Cross-Sectional Survey of Australian Adolescents?&lt;/title&gt;&lt;secondary-title&gt;Subst Use Misuse&lt;/secondary-title&gt;&lt;alt-title&gt;Substance use &amp;amp; misuse&lt;/alt-title&gt;&lt;/titles&gt;&lt;periodical&gt;&lt;full-title&gt;Subst Use Misuse&lt;/full-title&gt;&lt;abbr-1&gt;Substance use &amp;amp; misuse&lt;/abbr-1&gt;&lt;/periodical&gt;&lt;alt-periodical&gt;&lt;full-title&gt;Subst Use Misuse&lt;/full-title&gt;&lt;abbr-1&gt;Substance use &amp;amp; misuse&lt;/abbr-1&gt;&lt;/alt-periodical&gt;&lt;pages&gt;1-11&lt;/pages&gt;&lt;edition&gt;2018/01/18&lt;/edition&gt;&lt;keywords&gt;&lt;keyword&gt;Australia&lt;/keyword&gt;&lt;keyword&gt;Tobacco&lt;/keyword&gt;&lt;keyword&gt;adolescents&lt;/keyword&gt;&lt;keyword&gt;electronic cigarettes&lt;/keyword&gt;&lt;keyword&gt;hookah&lt;/keyword&gt;&lt;keyword&gt;shisha&lt;/keyword&gt;&lt;/keywords&gt;&lt;dates&gt;&lt;year&gt;2018&lt;/year&gt;&lt;pub-dates&gt;&lt;date&gt;Jan 16&lt;/date&gt;&lt;/pub-dates&gt;&lt;/dates&gt;&lt;isbn&gt;1082-6084&lt;/isbn&gt;&lt;accession-num&gt;29336657&lt;/accession-num&gt;&lt;urls&gt;&lt;related-urls&gt;&lt;url&gt;https://www.tandfonline.com/doi/pdf/10.1080/10826084.2017.1411367?needAccess=true&lt;/url&gt;&lt;/related-urls&gt;&lt;/urls&gt;&lt;electronic-resource-num&gt;10.1080/10826084.2017.1411367&lt;/electronic-resource-num&gt;&lt;remote-database-provider&gt;NLM&lt;/remote-database-provider&gt;&lt;language&gt;eng&lt;/language&gt;&lt;/record&gt;&lt;/Cite&gt;&lt;/EndNote&gt;</w:instrText>
      </w:r>
      <w:r>
        <w:fldChar w:fldCharType="separate"/>
      </w:r>
      <w:r>
        <w:rPr>
          <w:noProof/>
        </w:rPr>
        <w:t>(Williams and White 2018)</w:t>
      </w:r>
      <w:r>
        <w:fldChar w:fldCharType="end"/>
      </w:r>
      <w:r>
        <w:t xml:space="preserve"> analysing data from the </w:t>
      </w:r>
      <w:r w:rsidRPr="00FF2069">
        <w:t>Australian Secondary Schools Alcohol and Drug survey</w:t>
      </w:r>
      <w:r>
        <w:t xml:space="preserve"> for Victoria noted a high rate of shisha use which is not generally reported in other countries. </w:t>
      </w:r>
    </w:p>
    <w:p w14:paraId="65FF9CF7" w14:textId="77777777" w:rsidR="00FE6A89" w:rsidRDefault="00FE6A89" w:rsidP="00FE6A89">
      <w:pPr>
        <w:pStyle w:val="BodyText"/>
      </w:pPr>
    </w:p>
    <w:p w14:paraId="1A3596E9" w14:textId="77777777" w:rsidR="00FE6A89" w:rsidRDefault="00FE6A89" w:rsidP="00FE6A89">
      <w:pPr>
        <w:pStyle w:val="BodyText"/>
      </w:pPr>
      <w:r>
        <w:t xml:space="preserve">Bonevski et al </w:t>
      </w:r>
      <w:r>
        <w:fldChar w:fldCharType="begin"/>
      </w:r>
      <w:r>
        <w:instrText xml:space="preserve"> ADDIN EN.CITE &lt;EndNote&gt;&lt;Cite&gt;&lt;Author&gt;Bonevski&lt;/Author&gt;&lt;Year&gt;2017&lt;/Year&gt;&lt;RecNum&gt;6348&lt;/RecNum&gt;&lt;DisplayText&gt;(Bonevski, Guillaumier et al. 2017)&lt;/DisplayText&gt;&lt;record&gt;&lt;rec-number&gt;6348&lt;/rec-number&gt;&lt;foreign-keys&gt;&lt;key app="EN" db-id="fpt9pttrm5zfsaesp9fpsddv09ewsv5xewfd" timestamp="1525047216"&gt;6348&lt;/key&gt;&lt;key app="ENWeb" db-id=""&gt;0&lt;/key&gt;&lt;/foreign-keys&gt;&lt;ref-type name="Journal Article"&gt;17&lt;/ref-type&gt;&lt;contributors&gt;&lt;authors&gt;&lt;author&gt;Bonevski, Billie&lt;/author&gt;&lt;author&gt;Guillaumier, Ashleigh&lt;/author&gt;&lt;author&gt;Skelton, Eliza&lt;/author&gt;&lt;author&gt;Shakeshaft, Anthony&lt;/author&gt;&lt;author&gt;Farrell, Michael&lt;/author&gt;&lt;author&gt;Tzelepis, Flora&lt;/author&gt;&lt;author&gt;Dunlop, Adrian J.&lt;/author&gt;&lt;author&gt;Paul, Chris&lt;/author&gt;&lt;author&gt;D&amp;apos;Este, Catherine&lt;/author&gt;&lt;/authors&gt;&lt;/contributors&gt;&lt;titles&gt;&lt;title&gt;ALCOHOL AND OTHER DRUG TREATMENT CLIENT PERCEPTIONS OF ELECTRONIC CIGARETTE USE, SAFETY AND HARM REDUCTION&lt;/title&gt;&lt;secondary-title&gt;Drug and Alcohol Review&lt;/secondary-title&gt;&lt;/titles&gt;&lt;periodical&gt;&lt;full-title&gt;Drug and Alcohol Review&lt;/full-title&gt;&lt;/periodical&gt;&lt;pages&gt;22-22&lt;/pages&gt;&lt;volume&gt;36&lt;/volume&gt;&lt;dates&gt;&lt;year&gt;2017&lt;/year&gt;&lt;pub-dates&gt;&lt;date&gt;Nov&lt;/date&gt;&lt;/pub-dates&gt;&lt;/dates&gt;&lt;isbn&gt;0959-5236&lt;/isbn&gt;&lt;accession-num&gt;WOS:000424000500052&lt;/accession-num&gt;&lt;urls&gt;&lt;related-urls&gt;&lt;url&gt;&amp;lt;Go to ISI&amp;gt;://WOS:000424000500052&lt;/url&gt;&lt;/related-urls&gt;&lt;/urls&gt;&lt;/record&gt;&lt;/Cite&gt;&lt;/EndNote&gt;</w:instrText>
      </w:r>
      <w:r>
        <w:fldChar w:fldCharType="separate"/>
      </w:r>
      <w:r>
        <w:rPr>
          <w:noProof/>
        </w:rPr>
        <w:t>(Bonevski, Guillaumier et al. 2017)</w:t>
      </w:r>
      <w:r>
        <w:fldChar w:fldCharType="end"/>
      </w:r>
      <w:r>
        <w:t xml:space="preserve"> surveyed 427 people at substance use centres and reported 39% ever</w:t>
      </w:r>
      <w:r>
        <w:noBreakHyphen/>
        <w:t>use of e</w:t>
      </w:r>
      <w:r>
        <w:noBreakHyphen/>
        <w:t xml:space="preserve">cigarettes and that 70% had used them to try to stop smoking. A survey of 1,127 people in treatment centres across the US </w:t>
      </w:r>
      <w:r>
        <w:fldChar w:fldCharType="begin">
          <w:fldData xml:space="preserve">PEVuZE5vdGU+PENpdGU+PEF1dGhvcj5HdWJuZXI8L0F1dGhvcj48WWVhcj4yMDE3PC9ZZWFyPjxS
ZWNOdW0+NTAzNjwvUmVjTnVtPjxEaXNwbGF5VGV4dD4oR3VibmVyLCBQYWdhbm8gZXQgYWwuIDIw
MTcpPC9EaXNwbGF5VGV4dD48cmVjb3JkPjxyZWMtbnVtYmVyPjUwMzY8L3JlYy1udW1iZXI+PGZv
cmVpZ24ta2V5cz48a2V5IGFwcD0iRU4iIGRiLWlkPSJmcHQ5cHR0cm01emZzYWVzcDlmcHNkZHYw
OWV3c3Y1eGV3ZmQiIHRpbWVzdGFtcD0iMTUyNTA0NTg3MyI+NTAzNjwva2V5PjxrZXkgYXBwPSJF
TldlYiIgZGItaWQ9IiI+MDwva2V5PjwvZm9yZWlnbi1rZXlzPjxyZWYtdHlwZSBuYW1lPSJKb3Vy
bmFsIEFydGljbGUiPjE3PC9yZWYtdHlwZT48Y29udHJpYnV0b3JzPjxhdXRob3JzPjxhdXRob3I+
R3VibmVyLCBOLiBSLjwvYXV0aG9yPjxhdXRob3I+UGFnYW5vLCBBLjwvYXV0aG9yPjxhdXRob3I+
VGFqaW1hLCBCLjwvYXV0aG9yPjxhdXRob3I+R3V5ZGlzaCwgSi48L2F1dGhvcj48L2F1dGhvcnM+
PC9jb250cmlidXRvcnM+PGF1dGgtYWRkcmVzcz5QaGlsaXAgUi4gTGVlIEluc3RpdHV0ZSBmb3Ig
SGVhbHRoIFBvbGljeSBTdHVkaWVzLCBVbml2ZXJzaXR5IG9mIENhbGlmb3JuaWEsIFNhbiBGcmFu
Y2lzY28sIENBLCBVU0EuJiN4RDtEZXBhcnRtZW50IG9mIFBzeWNoaWF0cnkgYW5kIFdlaWxsIElu
c3RpdHV0ZSBmb3IgTmV1cm9zY2llbmNlcywgVW5pdmVyc2l0eSBvZiBDYWxpZm9ybmlhLCBTYW4g
RnJhbmNpc2NvLCBDQSwgVVNBLiYjeEQ7UHJldmVudGlvbiBSZXNlYXJjaCBDZW50ZXIsIFBhY2lm
aWMgSW5zdGl0dXRlIGZvciBSZXNlYXJjaCBhbmQgRXZhbHVhdGlvbiAoUElSRSksIE9ha2xhbmQs
IENBLCBVU0EuPC9hdXRoLWFkZHJlc3M+PHRpdGxlcz48dGl0bGU+QSBjb21wYXJpc29uIG9mIGRh
aWx5IHZlcnN1cyB3ZWVrbHkgZWxlY3Ryb25pYyBjaWdhcmV0dGUgdXNlcnMgaW4gdHJlYXRtZW50
IGZvciBzdWJzdGFuY2UgYWJ1c2U8L3RpdGxlPjxzZWNvbmRhcnktdGl0bGU+Tmljb3RpbmUgVG9i
IFJlczwvc2Vjb25kYXJ5LXRpdGxlPjxhbHQtdGl0bGU+Tmljb3RpbmUgJmFtcDsgdG9iYWNjbyBy
ZXNlYXJjaCA6IG9mZmljaWFsIGpvdXJuYWwgb2YgdGhlIFNvY2lldHkgZm9yIFJlc2VhcmNoIG9u
IE5pY290aW5lIGFuZCBUb2JhY2NvPC9hbHQtdGl0bGU+PC90aXRsZXM+PHBlcmlvZGljYWw+PGZ1
bGwtdGl0bGU+Tmljb3RpbmUgVG9iIFJlczwvZnVsbC10aXRsZT48YWJici0xPk5pY290aW5lICZh
bXA7IHRvYmFjY28gcmVzZWFyY2ggOiBvZmZpY2lhbCBqb3VybmFsIG9mIHRoZSBTb2NpZXR5IGZv
ciBSZXNlYXJjaCBvbiBOaWNvdGluZSBhbmQgVG9iYWNjbzwvYWJici0xPjwvcGVyaW9kaWNhbD48
YWx0LXBlcmlvZGljYWw+PGZ1bGwtdGl0bGU+Tmljb3RpbmUgVG9iIFJlczwvZnVsbC10aXRsZT48
YWJici0xPk5pY290aW5lICZhbXA7IHRvYmFjY28gcmVzZWFyY2ggOiBvZmZpY2lhbCBqb3VybmFs
IG9mIHRoZSBTb2NpZXR5IGZvciBSZXNlYXJjaCBvbiBOaWNvdGluZSBhbmQgVG9iYWNjbzwvYWJi
ci0xPjwvYWx0LXBlcmlvZGljYWw+PGVkaXRpb24+MjAxNy8wNi8wMzwvZWRpdGlvbj48a2V5d29y
ZHM+PGtleXdvcmQ+QWxjb2hvbDwva2V5d29yZD48a2V5d29yZD5EZXBlbmRlbmNlPC9rZXl3b3Jk
PjxrZXl3b3JkPkRydWc8L2tleXdvcmQ+PGtleXdvcmQ+ZHJ1ZyBhYnVzZS48L2tleXdvcmQ+PGtl
eXdvcmQ+ZS1jaWc8L2tleXdvcmQ+PGtleXdvcmQ+ZS1jaWdhcmV0dGU8L2tleXdvcmQ+PGtleXdv
cmQ+bmljb3RpbmU8L2tleXdvcmQ+PC9rZXl3b3Jkcz48ZGF0ZXM+PHllYXI+MjAxNzwveWVhcj48
cHViLWRhdGVzPjxkYXRlPkp1biAxPC9kYXRlPjwvcHViLWRhdGVzPjwvZGF0ZXM+PGlzYm4+MTQ2
Mi0yMjAzPC9pc2JuPjxhY2Nlc3Npb24tbnVtPjI4NTc1NTE5PC9hY2Nlc3Npb24tbnVtPjx1cmxz
PjxyZWxhdGVkLXVybHM+PHVybD5odHRwczovL3dhdGVybWFyay5zaWx2ZXJjaGFpci5jb20vbnR4
MTE2LnBkZj90b2tlbj1BUUVDQUhpMjA4QkU0OU9vYW45a2toV19FcmN5N0RtM1pMXzlDZjNxZktB
YzQ4NXlzZ0FBQWNnd2dnSEVCZ2txaGtpRzl3MEJCd2FnZ2dHMU1JSUJzUUlCQURDQ0Fhb0dDU3FH
U0liM0RRRUhBVEFlQmdsZ2hrZ0JaUU1FQVM0d0VRUU1fenhVNXpnZ3laeDh1RldqQWdFUWdJSUJl
eUhGZ0pPZ0p1ZXNJZzZpTFdLcmhDTm9mUUppalQzZURnbGw3TVJBU1Y4N3l0amZ3cUtIamFtSk12
X0o2bmV1RXFTVlpqMkVlRnlXMzdERkRMN3dnYjBxQ21hSnZKOFBTLVFpaV9hTFdwSGtSVEE5Y1Nz
RzFwMFYzRFhRbi15b0poWTZ3cG5OMTl1V2h3RVBGaGpTTk1JOGRjRGhjRk04ZjRRNElLdGtyTEM4
YzNRa3Y5N25uZnRuZHI2ajRSRXNMc0NkQ3NOdFhFRXlnQ2hYNmd5dktlM0dPSmlMbkhHOUhIZG9n
R2tRWUpEd05NTTJhV0ZXRjFHU1I5dGJ5REwwa2tFZTg3ZU84N2s1S3B5OXI2ekdqSE81VTZGb21a
d1pYcVF4YjNFQk1lR1g3OWRFX0Y5aTJQTGlIV3puMWlkRGNsaXVCNk5pR2ZPUVFPUGVoWlI4ZFg5
cWlHQVh4NUZGZkFZeFh5cXE4aEtzZWhzMC1vVzNEQWpQcWxfWkt0R1NiZENkMlRZazl3VzRHSzNO
c1BJLUtJUUx5QmtKVTduZW1DR3ZWQzdGY2liMEJ1NW1IVDVIQ0lkc2tIdHZTWW5qbzFOSkUtX0xU
WWhZS3hCR3A5SXhWUUZJUzc0bEpoRmcxTFRFWWVZaXFVZjkyVzJyY1VzTDJyS1J0dDQ8L3VybD48
L3JlbGF0ZWQtdXJscz48L3VybHM+PGVsZWN0cm9uaWMtcmVzb3VyY2UtbnVtPjEwLjEwOTMvbnRy
L250eDExNjwvZWxlY3Ryb25pYy1yZXNvdXJjZS1udW0+PHJlbW90ZS1kYXRhYmFzZS1wcm92aWRl
cj5OTE08L3JlbW90ZS1kYXRhYmFzZS1wcm92aWRlcj48bGFuZ3VhZ2U+ZW5nPC9sYW5ndWFnZT48
L3JlY29yZD48L0NpdGU+PC9FbmROb3RlPgB=
</w:fldData>
        </w:fldChar>
      </w:r>
      <w:r>
        <w:instrText xml:space="preserve"> ADDIN EN.CITE </w:instrText>
      </w:r>
      <w:r>
        <w:fldChar w:fldCharType="begin">
          <w:fldData xml:space="preserve">PEVuZE5vdGU+PENpdGU+PEF1dGhvcj5HdWJuZXI8L0F1dGhvcj48WWVhcj4yMDE3PC9ZZWFyPjxS
ZWNOdW0+NTAzNjwvUmVjTnVtPjxEaXNwbGF5VGV4dD4oR3VibmVyLCBQYWdhbm8gZXQgYWwuIDIw
MTcpPC9EaXNwbGF5VGV4dD48cmVjb3JkPjxyZWMtbnVtYmVyPjUwMzY8L3JlYy1udW1iZXI+PGZv
cmVpZ24ta2V5cz48a2V5IGFwcD0iRU4iIGRiLWlkPSJmcHQ5cHR0cm01emZzYWVzcDlmcHNkZHYw
OWV3c3Y1eGV3ZmQiIHRpbWVzdGFtcD0iMTUyNTA0NTg3MyI+NTAzNjwva2V5PjxrZXkgYXBwPSJF
TldlYiIgZGItaWQ9IiI+MDwva2V5PjwvZm9yZWlnbi1rZXlzPjxyZWYtdHlwZSBuYW1lPSJKb3Vy
bmFsIEFydGljbGUiPjE3PC9yZWYtdHlwZT48Y29udHJpYnV0b3JzPjxhdXRob3JzPjxhdXRob3I+
R3VibmVyLCBOLiBSLjwvYXV0aG9yPjxhdXRob3I+UGFnYW5vLCBBLjwvYXV0aG9yPjxhdXRob3I+
VGFqaW1hLCBCLjwvYXV0aG9yPjxhdXRob3I+R3V5ZGlzaCwgSi48L2F1dGhvcj48L2F1dGhvcnM+
PC9jb250cmlidXRvcnM+PGF1dGgtYWRkcmVzcz5QaGlsaXAgUi4gTGVlIEluc3RpdHV0ZSBmb3Ig
SGVhbHRoIFBvbGljeSBTdHVkaWVzLCBVbml2ZXJzaXR5IG9mIENhbGlmb3JuaWEsIFNhbiBGcmFu
Y2lzY28sIENBLCBVU0EuJiN4RDtEZXBhcnRtZW50IG9mIFBzeWNoaWF0cnkgYW5kIFdlaWxsIElu
c3RpdHV0ZSBmb3IgTmV1cm9zY2llbmNlcywgVW5pdmVyc2l0eSBvZiBDYWxpZm9ybmlhLCBTYW4g
RnJhbmNpc2NvLCBDQSwgVVNBLiYjeEQ7UHJldmVudGlvbiBSZXNlYXJjaCBDZW50ZXIsIFBhY2lm
aWMgSW5zdGl0dXRlIGZvciBSZXNlYXJjaCBhbmQgRXZhbHVhdGlvbiAoUElSRSksIE9ha2xhbmQs
IENBLCBVU0EuPC9hdXRoLWFkZHJlc3M+PHRpdGxlcz48dGl0bGU+QSBjb21wYXJpc29uIG9mIGRh
aWx5IHZlcnN1cyB3ZWVrbHkgZWxlY3Ryb25pYyBjaWdhcmV0dGUgdXNlcnMgaW4gdHJlYXRtZW50
IGZvciBzdWJzdGFuY2UgYWJ1c2U8L3RpdGxlPjxzZWNvbmRhcnktdGl0bGU+Tmljb3RpbmUgVG9i
IFJlczwvc2Vjb25kYXJ5LXRpdGxlPjxhbHQtdGl0bGU+Tmljb3RpbmUgJmFtcDsgdG9iYWNjbyBy
ZXNlYXJjaCA6IG9mZmljaWFsIGpvdXJuYWwgb2YgdGhlIFNvY2lldHkgZm9yIFJlc2VhcmNoIG9u
IE5pY290aW5lIGFuZCBUb2JhY2NvPC9hbHQtdGl0bGU+PC90aXRsZXM+PHBlcmlvZGljYWw+PGZ1
bGwtdGl0bGU+Tmljb3RpbmUgVG9iIFJlczwvZnVsbC10aXRsZT48YWJici0xPk5pY290aW5lICZh
bXA7IHRvYmFjY28gcmVzZWFyY2ggOiBvZmZpY2lhbCBqb3VybmFsIG9mIHRoZSBTb2NpZXR5IGZv
ciBSZXNlYXJjaCBvbiBOaWNvdGluZSBhbmQgVG9iYWNjbzwvYWJici0xPjwvcGVyaW9kaWNhbD48
YWx0LXBlcmlvZGljYWw+PGZ1bGwtdGl0bGU+Tmljb3RpbmUgVG9iIFJlczwvZnVsbC10aXRsZT48
YWJici0xPk5pY290aW5lICZhbXA7IHRvYmFjY28gcmVzZWFyY2ggOiBvZmZpY2lhbCBqb3VybmFs
IG9mIHRoZSBTb2NpZXR5IGZvciBSZXNlYXJjaCBvbiBOaWNvdGluZSBhbmQgVG9iYWNjbzwvYWJi
ci0xPjwvYWx0LXBlcmlvZGljYWw+PGVkaXRpb24+MjAxNy8wNi8wMzwvZWRpdGlvbj48a2V5d29y
ZHM+PGtleXdvcmQ+QWxjb2hvbDwva2V5d29yZD48a2V5d29yZD5EZXBlbmRlbmNlPC9rZXl3b3Jk
PjxrZXl3b3JkPkRydWc8L2tleXdvcmQ+PGtleXdvcmQ+ZHJ1ZyBhYnVzZS48L2tleXdvcmQ+PGtl
eXdvcmQ+ZS1jaWc8L2tleXdvcmQ+PGtleXdvcmQ+ZS1jaWdhcmV0dGU8L2tleXdvcmQ+PGtleXdv
cmQ+bmljb3RpbmU8L2tleXdvcmQ+PC9rZXl3b3Jkcz48ZGF0ZXM+PHllYXI+MjAxNzwveWVhcj48
cHViLWRhdGVzPjxkYXRlPkp1biAxPC9kYXRlPjwvcHViLWRhdGVzPjwvZGF0ZXM+PGlzYm4+MTQ2
Mi0yMjAzPC9pc2JuPjxhY2Nlc3Npb24tbnVtPjI4NTc1NTE5PC9hY2Nlc3Npb24tbnVtPjx1cmxz
PjxyZWxhdGVkLXVybHM+PHVybD5odHRwczovL3dhdGVybWFyay5zaWx2ZXJjaGFpci5jb20vbnR4
MTE2LnBkZj90b2tlbj1BUUVDQUhpMjA4QkU0OU9vYW45a2toV19FcmN5N0RtM1pMXzlDZjNxZktB
YzQ4NXlzZ0FBQWNnd2dnSEVCZ2txaGtpRzl3MEJCd2FnZ2dHMU1JSUJzUUlCQURDQ0Fhb0dDU3FH
U0liM0RRRUhBVEFlQmdsZ2hrZ0JaUU1FQVM0d0VRUU1fenhVNXpnZ3laeDh1RldqQWdFUWdJSUJl
eUhGZ0pPZ0p1ZXNJZzZpTFdLcmhDTm9mUUppalQzZURnbGw3TVJBU1Y4N3l0amZ3cUtIamFtSk12
X0o2bmV1RXFTVlpqMkVlRnlXMzdERkRMN3dnYjBxQ21hSnZKOFBTLVFpaV9hTFdwSGtSVEE5Y1Nz
RzFwMFYzRFhRbi15b0poWTZ3cG5OMTl1V2h3RVBGaGpTTk1JOGRjRGhjRk04ZjRRNElLdGtyTEM4
YzNRa3Y5N25uZnRuZHI2ajRSRXNMc0NkQ3NOdFhFRXlnQ2hYNmd5dktlM0dPSmlMbkhHOUhIZG9n
R2tRWUpEd05NTTJhV0ZXRjFHU1I5dGJ5REwwa2tFZTg3ZU84N2s1S3B5OXI2ekdqSE81VTZGb21a
d1pYcVF4YjNFQk1lR1g3OWRFX0Y5aTJQTGlIV3puMWlkRGNsaXVCNk5pR2ZPUVFPUGVoWlI4ZFg5
cWlHQVh4NUZGZkFZeFh5cXE4aEtzZWhzMC1vVzNEQWpQcWxfWkt0R1NiZENkMlRZazl3VzRHSzNO
c1BJLUtJUUx5QmtKVTduZW1DR3ZWQzdGY2liMEJ1NW1IVDVIQ0lkc2tIdHZTWW5qbzFOSkUtX0xU
WWhZS3hCR3A5SXhWUUZJUzc0bEpoRmcxTFRFWWVZaXFVZjkyVzJyY1VzTDJyS1J0dDQ8L3VybD48
L3JlbGF0ZWQtdXJscz48L3VybHM+PGVsZWN0cm9uaWMtcmVzb3VyY2UtbnVtPjEwLjEwOTMvbnRy
L250eDExNjwvZWxlY3Ryb25pYy1yZXNvdXJjZS1udW0+PHJlbW90ZS1kYXRhYmFzZS1wcm92aWRl
cj5OTE08L3JlbW90ZS1kYXRhYmFzZS1wcm92aWRlcj48bGFuZ3VhZ2U+ZW5nPC9sYW5ndWFnZT48
L3JlY29yZD48L0NpdGU+PC9FbmROb3RlPgB=
</w:fldData>
        </w:fldChar>
      </w:r>
      <w:r>
        <w:instrText xml:space="preserve"> ADDIN EN.CITE.DATA </w:instrText>
      </w:r>
      <w:r>
        <w:fldChar w:fldCharType="end"/>
      </w:r>
      <w:r>
        <w:fldChar w:fldCharType="separate"/>
      </w:r>
      <w:r>
        <w:rPr>
          <w:noProof/>
        </w:rPr>
        <w:t>(Gubner, Pagano et al. 2017)</w:t>
      </w:r>
      <w:r>
        <w:fldChar w:fldCharType="end"/>
      </w:r>
      <w:r>
        <w:t xml:space="preserve"> showed the prevalence of e</w:t>
      </w:r>
      <w:r>
        <w:noBreakHyphen/>
        <w:t xml:space="preserve">cigarette use was 59.8% which is much higher than that in the Australian sample. </w:t>
      </w:r>
    </w:p>
    <w:p w14:paraId="14EB20B2" w14:textId="77777777" w:rsidR="00FE6A89" w:rsidRDefault="00FE6A89" w:rsidP="00FE6A89">
      <w:pPr>
        <w:pStyle w:val="BodyText"/>
      </w:pPr>
    </w:p>
    <w:p w14:paraId="1B51FB0C" w14:textId="77777777" w:rsidR="00FE6A89" w:rsidRDefault="00FE6A89" w:rsidP="00FE6A89">
      <w:pPr>
        <w:pStyle w:val="BodyText"/>
      </w:pPr>
      <w:r>
        <w:t xml:space="preserve">In the final Australian study </w:t>
      </w:r>
      <w:r>
        <w:fldChar w:fldCharType="begin">
          <w:fldData xml:space="preserve">PEVuZE5vdGU+PENpdGU+PEF1dGhvcj5MZWU8L0F1dGhvcj48WWVhcj4yMDE4PC9ZZWFyPjxSZWNO
dW0+NDU5NTwvUmVjTnVtPjxEaXNwbGF5VGV4dD4oTGVlLCBZb25nIGV0IGFsLiAyMDE4KTwvRGlz
cGxheVRleHQ+PHJlY29yZD48cmVjLW51bWJlcj40NTk1PC9yZWMtbnVtYmVyPjxmb3JlaWduLWtl
eXM+PGtleSBhcHA9IkVOIiBkYi1pZD0iZnB0OXB0dHJtNXpmc2Flc3A5ZnBzZGR2MDlld3N2NXhl
d2ZkIiB0aW1lc3RhbXA9IjE1MjUwNDUxMjQiPjQ1OTU8L2tleT48a2V5IGFwcD0iRU5XZWIiIGRi
LWlkPSIiPjA8L2tleT48L2ZvcmVpZ24ta2V5cz48cmVmLXR5cGUgbmFtZT0iSm91cm5hbCBBcnRp
Y2xlIj4xNzwvcmVmLXR5cGU+PGNvbnRyaWJ1dG9ycz48YXV0aG9ycz48YXV0aG9yPkxlZSwgQy48
L2F1dGhvcj48YXV0aG9yPllvbmcsIEguIEguPC9hdXRob3I+PGF1dGhvcj5Cb3JsYW5kLCBSLjwv
YXV0aG9yPjxhdXRob3I+TWNOZWlsbCwgQS48L2F1dGhvcj48YXV0aG9yPkhpdGNobWFuLCBTLiBD
LjwvYXV0aG9yPjwvYXV0aG9ycz48L2NvbnRyaWJ1dG9ycz48YXV0aC1hZGRyZXNzPkRlcGFydG1l
bnQgb2YgRmFtaWx5IE1lZGljaW5lLCBIZWFsdGhjYXJlIFN5c3RlbSBHYW5nbmFtIENlbnRlciwg
U2VvdWwgTmF0aW9uYWwgVW5pdmVyc2l0eSBIb3NwaXRhbCwgU2VvdWwsIFNvdXRoIEtvcmVhLiYj
eEQ7TmlnZWwgR3JheSBGZWxsb3dzaGlwIEdyb3VwLCBDYW5jZXIgQ291bmNpbCBWaWN0b3JpYSwg
TWVsYm91cm5lLCBBdXN0cmFsaWEuJiN4RDtOaWdlbCBHcmF5IEZlbGxvd3NoaXAgR3JvdXAsIENh
bmNlciBDb3VuY2lsIFZpY3RvcmlhLCBNZWxib3VybmUsIEF1c3RyYWxpYS4gRWxlY3Ryb25pYyBh
ZGRyZXNzOiBSb24uQm9ybGFuZEBjYW5jZXJ2aWMub3JnLmF1LiYjeEQ7RGVwYXJ0bWVudCBvZiBB
ZGRpY3Rpb25zLCBJbnN0aXR1dGUgb2YgUHN5Y2hpYXRyeSwgUHN5Y2hvbG9neSwgYW5kIE5ldXJv
c2NpZW5jZSwgS2luZyZhcG9zO3MgQ29sbGVnZSBMb25kb24sIFVuaXRlZCBLaW5nZG9tOyBVSyBD
ZW50cmUgZm9yIFRvYmFjY28gYW5kIEFsY29ob2wgU3R1ZGllcyAoVUtDVEFTKSwgVW5pdmVyc2l0
eSBvZiBOb3R0aW5naGFtLCBOb3R0aW5naGFtLCBVbml0ZWQgS2luZ2RvbS48L2F1dGgtYWRkcmVz
cz48dGl0bGVzPjx0aXRsZT5BY2NlcHRhbmNlIGFuZCBwYXR0ZXJucyBvZiBwZXJzb25hbCB2YXBv
cml6ZXIgdXNlIGluIEF1c3RyYWxpYSBhbmQgdGhlIFVuaXRlZCBLaW5nZG9tOiBSZXN1bHRzIGZy
b20gdGhlIEludGVybmF0aW9uYWwgVG9iYWNjbyBDb250cm9sIHN1cnZleTwvdGl0bGU+PHNlY29u
ZGFyeS10aXRsZT5EcnVnIEFsY29ob2wgRGVwZW5kPC9zZWNvbmRhcnktdGl0bGU+PGFsdC10aXRs
ZT5EcnVnIGFuZCBhbGNvaG9sIGRlcGVuZGVuY2U8L2FsdC10aXRsZT48L3RpdGxlcz48YWx0LXBl
cmlvZGljYWw+PGZ1bGwtdGl0bGU+RHJ1ZyBhbmQgQWxjb2hvbCBEZXBlbmRlbmNlPC9mdWxsLXRp
dGxlPjwvYWx0LXBlcmlvZGljYWw+PHBhZ2VzPjE0Mi0xNDg8L3BhZ2VzPjx2b2x1bWU+MTg1PC92
b2x1bWU+PGVkaXRpb24+MjAxOC8wMi8xNjwvZWRpdGlvbj48a2V5d29yZHM+PGtleXdvcmQ+RWxl
Y3Ryb25pYyBjaWdhcmV0dGU8L2tleXdvcmQ+PGtleXdvcmQ+UGVyc29uYWwgdmFwb3JpemVyczwv
a2V5d29yZD48a2V5d29yZD5TbW9rZS1mcmVlIHBsYWNlczwva2V5d29yZD48a2V5d29yZD5Tb2Np
YWwgbm9ybXM8L2tleXdvcmQ+PGtleXdvcmQ+U3VydmV5IHJlc2VhcmNoPC9rZXl3b3JkPjxrZXl3
b3JkPlZhcGluZzwva2V5d29yZD48L2tleXdvcmRzPjxkYXRlcz48eWVhcj4yMDE4PC95ZWFyPjxw
dWItZGF0ZXM+PGRhdGU+RmViIDEwPC9kYXRlPjwvcHViLWRhdGVzPjwvZGF0ZXM+PGlzYm4+MDM3
Ni04NzE2PC9pc2JuPjxhY2Nlc3Npb24tbnVtPjI5NDQ4MTQ3PC9hY2Nlc3Npb24tbnVtPjx1cmxz
PjxyZWxhdGVkLXVybHM+PHVybD5odHRwOi8vd3d3LmRydWdhbmRhbGNvaG9sZGVwZW5kZW5jZS5j
b20vYXJ0aWNsZS9TMDM3Ni04NzE2KDE4KTMwMDc2LTAvcGRmPC91cmw+PC9yZWxhdGVkLXVybHM+
PC91cmxzPjxlbGVjdHJvbmljLXJlc291cmNlLW51bT4xMC4xMDE2L2ouZHJ1Z2FsY2RlcC4yMDE3
LjEyLjAxODwvZWxlY3Ryb25pYy1yZXNvdXJjZS1udW0+PHJlbW90ZS1kYXRhYmFzZS1wcm92aWRl
cj5OTE08L3JlbW90ZS1kYXRhYmFzZS1wcm92aWRlcj48bGFuZ3VhZ2U+ZW5nPC9sYW5ndWFnZT48
L3JlY29yZD48L0NpdGU+PC9FbmROb3RlPn==
</w:fldData>
        </w:fldChar>
      </w:r>
      <w:r>
        <w:instrText xml:space="preserve"> ADDIN EN.CITE </w:instrText>
      </w:r>
      <w:r>
        <w:fldChar w:fldCharType="begin">
          <w:fldData xml:space="preserve">PEVuZE5vdGU+PENpdGU+PEF1dGhvcj5MZWU8L0F1dGhvcj48WWVhcj4yMDE4PC9ZZWFyPjxSZWNO
dW0+NDU5NTwvUmVjTnVtPjxEaXNwbGF5VGV4dD4oTGVlLCBZb25nIGV0IGFsLiAyMDE4KTwvRGlz
cGxheVRleHQ+PHJlY29yZD48cmVjLW51bWJlcj40NTk1PC9yZWMtbnVtYmVyPjxmb3JlaWduLWtl
eXM+PGtleSBhcHA9IkVOIiBkYi1pZD0iZnB0OXB0dHJtNXpmc2Flc3A5ZnBzZGR2MDlld3N2NXhl
d2ZkIiB0aW1lc3RhbXA9IjE1MjUwNDUxMjQiPjQ1OTU8L2tleT48a2V5IGFwcD0iRU5XZWIiIGRi
LWlkPSIiPjA8L2tleT48L2ZvcmVpZ24ta2V5cz48cmVmLXR5cGUgbmFtZT0iSm91cm5hbCBBcnRp
Y2xlIj4xNzwvcmVmLXR5cGU+PGNvbnRyaWJ1dG9ycz48YXV0aG9ycz48YXV0aG9yPkxlZSwgQy48
L2F1dGhvcj48YXV0aG9yPllvbmcsIEguIEguPC9hdXRob3I+PGF1dGhvcj5Cb3JsYW5kLCBSLjwv
YXV0aG9yPjxhdXRob3I+TWNOZWlsbCwgQS48L2F1dGhvcj48YXV0aG9yPkhpdGNobWFuLCBTLiBD
LjwvYXV0aG9yPjwvYXV0aG9ycz48L2NvbnRyaWJ1dG9ycz48YXV0aC1hZGRyZXNzPkRlcGFydG1l
bnQgb2YgRmFtaWx5IE1lZGljaW5lLCBIZWFsdGhjYXJlIFN5c3RlbSBHYW5nbmFtIENlbnRlciwg
U2VvdWwgTmF0aW9uYWwgVW5pdmVyc2l0eSBIb3NwaXRhbCwgU2VvdWwsIFNvdXRoIEtvcmVhLiYj
eEQ7TmlnZWwgR3JheSBGZWxsb3dzaGlwIEdyb3VwLCBDYW5jZXIgQ291bmNpbCBWaWN0b3JpYSwg
TWVsYm91cm5lLCBBdXN0cmFsaWEuJiN4RDtOaWdlbCBHcmF5IEZlbGxvd3NoaXAgR3JvdXAsIENh
bmNlciBDb3VuY2lsIFZpY3RvcmlhLCBNZWxib3VybmUsIEF1c3RyYWxpYS4gRWxlY3Ryb25pYyBh
ZGRyZXNzOiBSb24uQm9ybGFuZEBjYW5jZXJ2aWMub3JnLmF1LiYjeEQ7RGVwYXJ0bWVudCBvZiBB
ZGRpY3Rpb25zLCBJbnN0aXR1dGUgb2YgUHN5Y2hpYXRyeSwgUHN5Y2hvbG9neSwgYW5kIE5ldXJv
c2NpZW5jZSwgS2luZyZhcG9zO3MgQ29sbGVnZSBMb25kb24sIFVuaXRlZCBLaW5nZG9tOyBVSyBD
ZW50cmUgZm9yIFRvYmFjY28gYW5kIEFsY29ob2wgU3R1ZGllcyAoVUtDVEFTKSwgVW5pdmVyc2l0
eSBvZiBOb3R0aW5naGFtLCBOb3R0aW5naGFtLCBVbml0ZWQgS2luZ2RvbS48L2F1dGgtYWRkcmVz
cz48dGl0bGVzPjx0aXRsZT5BY2NlcHRhbmNlIGFuZCBwYXR0ZXJucyBvZiBwZXJzb25hbCB2YXBv
cml6ZXIgdXNlIGluIEF1c3RyYWxpYSBhbmQgdGhlIFVuaXRlZCBLaW5nZG9tOiBSZXN1bHRzIGZy
b20gdGhlIEludGVybmF0aW9uYWwgVG9iYWNjbyBDb250cm9sIHN1cnZleTwvdGl0bGU+PHNlY29u
ZGFyeS10aXRsZT5EcnVnIEFsY29ob2wgRGVwZW5kPC9zZWNvbmRhcnktdGl0bGU+PGFsdC10aXRs
ZT5EcnVnIGFuZCBhbGNvaG9sIGRlcGVuZGVuY2U8L2FsdC10aXRsZT48L3RpdGxlcz48YWx0LXBl
cmlvZGljYWw+PGZ1bGwtdGl0bGU+RHJ1ZyBhbmQgQWxjb2hvbCBEZXBlbmRlbmNlPC9mdWxsLXRp
dGxlPjwvYWx0LXBlcmlvZGljYWw+PHBhZ2VzPjE0Mi0xNDg8L3BhZ2VzPjx2b2x1bWU+MTg1PC92
b2x1bWU+PGVkaXRpb24+MjAxOC8wMi8xNjwvZWRpdGlvbj48a2V5d29yZHM+PGtleXdvcmQ+RWxl
Y3Ryb25pYyBjaWdhcmV0dGU8L2tleXdvcmQ+PGtleXdvcmQ+UGVyc29uYWwgdmFwb3JpemVyczwv
a2V5d29yZD48a2V5d29yZD5TbW9rZS1mcmVlIHBsYWNlczwva2V5d29yZD48a2V5d29yZD5Tb2Np
YWwgbm9ybXM8L2tleXdvcmQ+PGtleXdvcmQ+U3VydmV5IHJlc2VhcmNoPC9rZXl3b3JkPjxrZXl3
b3JkPlZhcGluZzwva2V5d29yZD48L2tleXdvcmRzPjxkYXRlcz48eWVhcj4yMDE4PC95ZWFyPjxw
dWItZGF0ZXM+PGRhdGU+RmViIDEwPC9kYXRlPjwvcHViLWRhdGVzPjwvZGF0ZXM+PGlzYm4+MDM3
Ni04NzE2PC9pc2JuPjxhY2Nlc3Npb24tbnVtPjI5NDQ4MTQ3PC9hY2Nlc3Npb24tbnVtPjx1cmxz
PjxyZWxhdGVkLXVybHM+PHVybD5odHRwOi8vd3d3LmRydWdhbmRhbGNvaG9sZGVwZW5kZW5jZS5j
b20vYXJ0aWNsZS9TMDM3Ni04NzE2KDE4KTMwMDc2LTAvcGRmPC91cmw+PC9yZWxhdGVkLXVybHM+
PC91cmxzPjxlbGVjdHJvbmljLXJlc291cmNlLW51bT4xMC4xMDE2L2ouZHJ1Z2FsY2RlcC4yMDE3
LjEyLjAxODwvZWxlY3Ryb25pYy1yZXNvdXJjZS1udW0+PHJlbW90ZS1kYXRhYmFzZS1wcm92aWRl
cj5OTE08L3JlbW90ZS1kYXRhYmFzZS1wcm92aWRlcj48bGFuZ3VhZ2U+ZW5nPC9sYW5ndWFnZT48
L3JlY29yZD48L0NpdGU+PC9FbmROb3RlPn==
</w:fldData>
        </w:fldChar>
      </w:r>
      <w:r>
        <w:instrText xml:space="preserve"> ADDIN EN.CITE.DATA </w:instrText>
      </w:r>
      <w:r>
        <w:fldChar w:fldCharType="end"/>
      </w:r>
      <w:r>
        <w:fldChar w:fldCharType="separate"/>
      </w:r>
      <w:r>
        <w:rPr>
          <w:noProof/>
        </w:rPr>
        <w:t>(Lee, Yong et al. 2018)</w:t>
      </w:r>
      <w:r>
        <w:fldChar w:fldCharType="end"/>
      </w:r>
      <w:r>
        <w:t>, the authors used data collected as part of the 2014 International Tobacco Control Survey to compare vaping among people in Australia and the UK. The sample for this survey was people who have smoked at least 100 cigarettes over their lifetime. Data analysed were from 2,849 adults, including 1,430 Australians. The prevalence of current vaping in the Australian subjects was 11.9% with 2.5% using e</w:t>
      </w:r>
      <w:r>
        <w:noBreakHyphen/>
        <w:t xml:space="preserve">cigarettes daily. Compared to the survey subjects in the UK, the Australian subjects had lower rates of vaping, stronger opinions about it, and felt that there were less social constraints. </w:t>
      </w:r>
    </w:p>
    <w:p w14:paraId="3318BF8C" w14:textId="77777777" w:rsidR="00FE6A89" w:rsidRDefault="00FE6A89" w:rsidP="00FE6A89">
      <w:pPr>
        <w:pStyle w:val="BodyText"/>
      </w:pPr>
    </w:p>
    <w:p w14:paraId="57791C93" w14:textId="77777777" w:rsidR="00FE6A89" w:rsidRDefault="00FE6A89" w:rsidP="00FE6A89">
      <w:pPr>
        <w:pStyle w:val="BodyText"/>
      </w:pPr>
      <w:r>
        <w:t xml:space="preserve">Data collected in New Zealand focussed on vaping as a means of smoking cessation through an online survey with 218 vapers </w:t>
      </w:r>
      <w:r>
        <w:fldChar w:fldCharType="begin">
          <w:fldData xml:space="preserve">PEVuZE5vdGU+PENpdGU+PEF1dGhvcj5UcnVtYW48L0F1dGhvcj48WWVhcj4yMDE4PC9ZZWFyPjxS
ZWNOdW0+NDY0MDwvUmVjTnVtPjxEaXNwbGF5VGV4dD4oVHJ1bWFuLCBHbG92ZXIgZXQgYWwuIDIw
MTgpPC9EaXNwbGF5VGV4dD48cmVjb3JkPjxyZWMtbnVtYmVyPjQ2NDA8L3JlYy1udW1iZXI+PGZv
cmVpZ24ta2V5cz48a2V5IGFwcD0iRU4iIGRiLWlkPSJmcHQ5cHR0cm01emZzYWVzcDlmcHNkZHYw
OWV3c3Y1eGV3ZmQiIHRpbWVzdGFtcD0iMTUyNTA0NTE5OSI+NDY0MDwva2V5PjxrZXkgYXBwPSJF
TldlYiIgZGItaWQ9IiI+MDwva2V5PjwvZm9yZWlnbi1rZXlzPjxyZWYtdHlwZSBuYW1lPSJKb3Vy
bmFsIEFydGljbGUiPjE3PC9yZWYtdHlwZT48Y29udHJpYnV0b3JzPjxhdXRob3JzPjxhdXRob3I+
VHJ1bWFuLCBQLjwvYXV0aG9yPjxhdXRob3I+R2xvdmVyLCBNLjwvYXV0aG9yPjxhdXRob3I+RnJh
c2VyLCBULjwvYXV0aG9yPjwvYXV0aG9ycz48L2NvbnRyaWJ1dG9ycz48YXV0aC1hZGRyZXNzPlNj
aG9vbCBvZiBIZWFsdGggU2NpZW5jZXMsIE1hc3NleSBVbml2ZXJzaXR5LCBXZWxsaW5ndG9uIDYw
MjEsIE5ldyBaZWFsYW5kLiBwLnRydW1hbkBtYXNzZXkuYWMubnouJiN4RDtJbnN0aXR1dGUgb2Yg
RW52aXJvbm1lbnRhbCBTY2llbmNlIGFuZCBSZXNlYXJjaCBMdGQuLCBQb3JpcnVhIDUyNDAsIE5l
dyBaZWFsYW5kLiBwLnRydW1hbkBtYXNzZXkuYWMubnouJiN4RDtTY2hvb2wgb2YgSGVhbHRoIFNj
aWVuY2VzLCBNYXNzZXkgVW5pdmVyc2l0eSwgQXVja2xhbmQgMDYzMiwgTmV3IFplYWxhbmQuIG0u
Z2xvdmVyQG1hc3NleS5hYy5uei4mI3hEO0dsb2JhbCBQdWJsaWMgSGVhbHRoIEx0ZC4sIEdsZW5v
cmNoeSA5MzUwLCBOZXcgWmVhbGFuZC4gdHJpc2hAdHVrdXdhaGFnbGVub3JjaHkuY29tLjwvYXV0
aC1hZGRyZXNzPjx0aXRsZXM+PHRpdGxlPkFuIE9ubGluZSBTdXJ2ZXkgb2YgTmV3IFplYWxhbmQg
VmFwZXJzPC90aXRsZT48c2Vjb25kYXJ5LXRpdGxlPkludCBKIEVudmlyb24gUmVzIFB1YmxpYyBI
ZWFsdGg8L3NlY29uZGFyeS10aXRsZT48YWx0LXRpdGxlPkludGVybmF0aW9uYWwgam91cm5hbCBv
ZiBlbnZpcm9ubWVudGFsIHJlc2VhcmNoIGFuZCBwdWJsaWMgaGVhbHRoPC9hbHQtdGl0bGU+PC90
aXRsZXM+PGFsdC1wZXJpb2RpY2FsPjxmdWxsLXRpdGxlPkludGVybmF0aW9uYWwgSm91cm5hbCBv
ZiBFbnZpcm9ubWVudGFsIFJlc2VhcmNoIGFuZCBQdWJsaWMgSGVhbHRoPC9mdWxsLXRpdGxlPjwv
YWx0LXBlcmlvZGljYWw+PHZvbHVtZT4xNTwvdm9sdW1lPjxudW1iZXI+MjwvbnVtYmVyPjxlZGl0
aW9uPjIwMTgvMDIvMDE8L2VkaXRpb24+PGtleXdvcmRzPjxrZXl3b3JkPmVsZWN0cm9uaWMgY2ln
YXJldHRlczwva2V5d29yZD48a2V5d29yZD5uaWNvdGluZTwva2V5d29yZD48a2V5d29yZD5zbW9r
aW5nIGNlc3NhdGlvbjwva2V5d29yZD48a2V5d29yZD50b2JhY2NvIGRlcGVuZGVuY2U8L2tleXdv
cmQ+PGtleXdvcmQ+dmFwaW5nPC9rZXl3b3JkPjxrZXl3b3JkPmFyZSBjdXJyZW50IG1lbWJlcnMg
b2YgRW5kU21va2luZyBOZXcgWmVhbGFuZCwgYW4gb3JnYW5pc2F0aW9uIHdoaWNoIGFkdm9jYXRl
czwva2V5d29yZD48a2V5d29yZD5mb3IgaGFybSByZWR1Y3Rpb24gYXBwcm9hY2hlcyB0byBzbW9r
aW5nIGNlc3NhdGlvbi4gRW5kIFNtb2tpbmcgTmV3IFplYWxhbmQgd2FzIGE8L2tleXdvcmQ+PGtl
eXdvcmQ+bWlub3Igc3BvbnNvciBvZiB0aGUgV29ybGQgUHJlbWllcmUgb2YgJmFwb3M7QSBCaWxs
aW9uIExpdmVzJmFwb3M7IChhIGRvY3VtZW50YXJ5IG9uPC9rZXl3b3JkPjxrZXl3b3JkPmUtY2ln
YXJldHRlcykuIFBlbmVsb3BlIFRydW1hbiBpcyBhIG1lbWJlciBvZiB0aGUgVGVjaG5pY2FsIEV4
cGVydCBBZHZpc29yeTwva2V5d29yZD48a2V5d29yZD5Hcm91cDogRWxlY3Ryb25pYyBDaWdhcmV0
dGUgUHJvZHVjdCBTYWZldHksIGFkdmlzaW5nIHRoZSBOZXcgWmVhbGFuZCBNaW5pc3RyeSBvZjwv
a2V5d29yZD48a2V5d29yZD5IZWFsdGggb24gYXBwcm9wcmlhdGUgc3RhbmRhcmRzIGZvciBlLWNp
ZyBsaXF1aWRzLjwva2V5d29yZD48L2tleXdvcmRzPjxkYXRlcz48eWVhcj4yMDE4PC95ZWFyPjxw
dWItZGF0ZXM+PGRhdGU+SmFuIDI5PC9kYXRlPjwvcHViLWRhdGVzPjwvZGF0ZXM+PGlzYm4+MTY2
MC00NjAxPC9pc2JuPjxhY2Nlc3Npb24tbnVtPjI5MzgyMTI5PC9hY2Nlc3Npb24tbnVtPjx1cmxz
PjxyZWxhdGVkLXVybHM+PHVybD5odHRwOi8vd3d3Lm1kcGkuY29tLzE2NjAtNDYwMS8xNS8yLzIy
Mi9wZGY8L3VybD48L3JlbGF0ZWQtdXJscz48L3VybHM+PGVsZWN0cm9uaWMtcmVzb3VyY2UtbnVt
PjEwLjMzOTAvaWplcnBoMTUwMjAyMjI8L2VsZWN0cm9uaWMtcmVzb3VyY2UtbnVtPjxyZW1vdGUt
ZGF0YWJhc2UtcHJvdmlkZXI+TkxNPC9yZW1vdGUtZGF0YWJhc2UtcHJvdmlkZXI+PGxhbmd1YWdl
PmVuZzwvbGFuZ3VhZ2U+PC9yZWNvcmQ+PC9DaXRlPjwvRW5kTm90ZT5=
</w:fldData>
        </w:fldChar>
      </w:r>
      <w:r>
        <w:instrText xml:space="preserve"> ADDIN EN.CITE </w:instrText>
      </w:r>
      <w:r>
        <w:fldChar w:fldCharType="begin">
          <w:fldData xml:space="preserve">PEVuZE5vdGU+PENpdGU+PEF1dGhvcj5UcnVtYW48L0F1dGhvcj48WWVhcj4yMDE4PC9ZZWFyPjxS
ZWNOdW0+NDY0MDwvUmVjTnVtPjxEaXNwbGF5VGV4dD4oVHJ1bWFuLCBHbG92ZXIgZXQgYWwuIDIw
MTgpPC9EaXNwbGF5VGV4dD48cmVjb3JkPjxyZWMtbnVtYmVyPjQ2NDA8L3JlYy1udW1iZXI+PGZv
cmVpZ24ta2V5cz48a2V5IGFwcD0iRU4iIGRiLWlkPSJmcHQ5cHR0cm01emZzYWVzcDlmcHNkZHYw
OWV3c3Y1eGV3ZmQiIHRpbWVzdGFtcD0iMTUyNTA0NTE5OSI+NDY0MDwva2V5PjxrZXkgYXBwPSJF
TldlYiIgZGItaWQ9IiI+MDwva2V5PjwvZm9yZWlnbi1rZXlzPjxyZWYtdHlwZSBuYW1lPSJKb3Vy
bmFsIEFydGljbGUiPjE3PC9yZWYtdHlwZT48Y29udHJpYnV0b3JzPjxhdXRob3JzPjxhdXRob3I+
VHJ1bWFuLCBQLjwvYXV0aG9yPjxhdXRob3I+R2xvdmVyLCBNLjwvYXV0aG9yPjxhdXRob3I+RnJh
c2VyLCBULjwvYXV0aG9yPjwvYXV0aG9ycz48L2NvbnRyaWJ1dG9ycz48YXV0aC1hZGRyZXNzPlNj
aG9vbCBvZiBIZWFsdGggU2NpZW5jZXMsIE1hc3NleSBVbml2ZXJzaXR5LCBXZWxsaW5ndG9uIDYw
MjEsIE5ldyBaZWFsYW5kLiBwLnRydW1hbkBtYXNzZXkuYWMubnouJiN4RDtJbnN0aXR1dGUgb2Yg
RW52aXJvbm1lbnRhbCBTY2llbmNlIGFuZCBSZXNlYXJjaCBMdGQuLCBQb3JpcnVhIDUyNDAsIE5l
dyBaZWFsYW5kLiBwLnRydW1hbkBtYXNzZXkuYWMubnouJiN4RDtTY2hvb2wgb2YgSGVhbHRoIFNj
aWVuY2VzLCBNYXNzZXkgVW5pdmVyc2l0eSwgQXVja2xhbmQgMDYzMiwgTmV3IFplYWxhbmQuIG0u
Z2xvdmVyQG1hc3NleS5hYy5uei4mI3hEO0dsb2JhbCBQdWJsaWMgSGVhbHRoIEx0ZC4sIEdsZW5v
cmNoeSA5MzUwLCBOZXcgWmVhbGFuZC4gdHJpc2hAdHVrdXdhaGFnbGVub3JjaHkuY29tLjwvYXV0
aC1hZGRyZXNzPjx0aXRsZXM+PHRpdGxlPkFuIE9ubGluZSBTdXJ2ZXkgb2YgTmV3IFplYWxhbmQg
VmFwZXJzPC90aXRsZT48c2Vjb25kYXJ5LXRpdGxlPkludCBKIEVudmlyb24gUmVzIFB1YmxpYyBI
ZWFsdGg8L3NlY29uZGFyeS10aXRsZT48YWx0LXRpdGxlPkludGVybmF0aW9uYWwgam91cm5hbCBv
ZiBlbnZpcm9ubWVudGFsIHJlc2VhcmNoIGFuZCBwdWJsaWMgaGVhbHRoPC9hbHQtdGl0bGU+PC90
aXRsZXM+PGFsdC1wZXJpb2RpY2FsPjxmdWxsLXRpdGxlPkludGVybmF0aW9uYWwgSm91cm5hbCBv
ZiBFbnZpcm9ubWVudGFsIFJlc2VhcmNoIGFuZCBQdWJsaWMgSGVhbHRoPC9mdWxsLXRpdGxlPjwv
YWx0LXBlcmlvZGljYWw+PHZvbHVtZT4xNTwvdm9sdW1lPjxudW1iZXI+MjwvbnVtYmVyPjxlZGl0
aW9uPjIwMTgvMDIvMDE8L2VkaXRpb24+PGtleXdvcmRzPjxrZXl3b3JkPmVsZWN0cm9uaWMgY2ln
YXJldHRlczwva2V5d29yZD48a2V5d29yZD5uaWNvdGluZTwva2V5d29yZD48a2V5d29yZD5zbW9r
aW5nIGNlc3NhdGlvbjwva2V5d29yZD48a2V5d29yZD50b2JhY2NvIGRlcGVuZGVuY2U8L2tleXdv
cmQ+PGtleXdvcmQ+dmFwaW5nPC9rZXl3b3JkPjxrZXl3b3JkPmFyZSBjdXJyZW50IG1lbWJlcnMg
b2YgRW5kU21va2luZyBOZXcgWmVhbGFuZCwgYW4gb3JnYW5pc2F0aW9uIHdoaWNoIGFkdm9jYXRl
czwva2V5d29yZD48a2V5d29yZD5mb3IgaGFybSByZWR1Y3Rpb24gYXBwcm9hY2hlcyB0byBzbW9r
aW5nIGNlc3NhdGlvbi4gRW5kIFNtb2tpbmcgTmV3IFplYWxhbmQgd2FzIGE8L2tleXdvcmQ+PGtl
eXdvcmQ+bWlub3Igc3BvbnNvciBvZiB0aGUgV29ybGQgUHJlbWllcmUgb2YgJmFwb3M7QSBCaWxs
aW9uIExpdmVzJmFwb3M7IChhIGRvY3VtZW50YXJ5IG9uPC9rZXl3b3JkPjxrZXl3b3JkPmUtY2ln
YXJldHRlcykuIFBlbmVsb3BlIFRydW1hbiBpcyBhIG1lbWJlciBvZiB0aGUgVGVjaG5pY2FsIEV4
cGVydCBBZHZpc29yeTwva2V5d29yZD48a2V5d29yZD5Hcm91cDogRWxlY3Ryb25pYyBDaWdhcmV0
dGUgUHJvZHVjdCBTYWZldHksIGFkdmlzaW5nIHRoZSBOZXcgWmVhbGFuZCBNaW5pc3RyeSBvZjwv
a2V5d29yZD48a2V5d29yZD5IZWFsdGggb24gYXBwcm9wcmlhdGUgc3RhbmRhcmRzIGZvciBlLWNp
ZyBsaXF1aWRzLjwva2V5d29yZD48L2tleXdvcmRzPjxkYXRlcz48eWVhcj4yMDE4PC95ZWFyPjxw
dWItZGF0ZXM+PGRhdGU+SmFuIDI5PC9kYXRlPjwvcHViLWRhdGVzPjwvZGF0ZXM+PGlzYm4+MTY2
MC00NjAxPC9pc2JuPjxhY2Nlc3Npb24tbnVtPjI5MzgyMTI5PC9hY2Nlc3Npb24tbnVtPjx1cmxz
PjxyZWxhdGVkLXVybHM+PHVybD5odHRwOi8vd3d3Lm1kcGkuY29tLzE2NjAtNDYwMS8xNS8yLzIy
Mi9wZGY8L3VybD48L3JlbGF0ZWQtdXJscz48L3VybHM+PGVsZWN0cm9uaWMtcmVzb3VyY2UtbnVt
PjEwLjMzOTAvaWplcnBoMTUwMjAyMjI8L2VsZWN0cm9uaWMtcmVzb3VyY2UtbnVtPjxyZW1vdGUt
ZGF0YWJhc2UtcHJvdmlkZXI+TkxNPC9yZW1vdGUtZGF0YWJhc2UtcHJvdmlkZXI+PGxhbmd1YWdl
PmVuZzwvbGFuZ3VhZ2U+PC9yZWNvcmQ+PC9DaXRlPjwvRW5kTm90ZT5=
</w:fldData>
        </w:fldChar>
      </w:r>
      <w:r>
        <w:instrText xml:space="preserve"> ADDIN EN.CITE.DATA </w:instrText>
      </w:r>
      <w:r>
        <w:fldChar w:fldCharType="end"/>
      </w:r>
      <w:r>
        <w:fldChar w:fldCharType="separate"/>
      </w:r>
      <w:r>
        <w:rPr>
          <w:noProof/>
        </w:rPr>
        <w:t>(Truman, Glover et al. 2018)</w:t>
      </w:r>
      <w:r>
        <w:fldChar w:fldCharType="end"/>
      </w:r>
      <w:r>
        <w:t xml:space="preserve"> and 20 semi</w:t>
      </w:r>
      <w:r>
        <w:noBreakHyphen/>
        <w:t xml:space="preserve">structured interviews </w:t>
      </w:r>
      <w:r>
        <w:fldChar w:fldCharType="begin">
          <w:fldData xml:space="preserve">PEVuZE5vdGU+PENpdGU+PEF1dGhvcj5Sb2JlcnRzb248L0F1dGhvcj48WWVhcj4yMDE4PC9ZZWFy
PjxSZWNOdW0+NDYxOTwvUmVjTnVtPjxEaXNwbGF5VGV4dD4oUm9iZXJ0c29uLCBIb2VrIGV0IGFs
LiAyMDE4KTwvRGlzcGxheVRleHQ+PHJlY29yZD48cmVjLW51bWJlcj40NjE5PC9yZWMtbnVtYmVy
Pjxmb3JlaWduLWtleXM+PGtleSBhcHA9IkVOIiBkYi1pZD0iZnB0OXB0dHJtNXpmc2Flc3A5ZnBz
ZGR2MDlld3N2NXhld2ZkIiB0aW1lc3RhbXA9IjE1MjUwNDUxNTMiPjQ2MTk8L2tleT48a2V5IGFw
cD0iRU5XZWIiIGRiLWlkPSIiPjA8L2tleT48L2ZvcmVpZ24ta2V5cz48cmVmLXR5cGUgbmFtZT0i
Sm91cm5hbCBBcnRpY2xlIj4xNzwvcmVmLXR5cGU+PGNvbnRyaWJ1dG9ycz48YXV0aG9ycz48YXV0
aG9yPlJvYmVydHNvbiwgTC48L2F1dGhvcj48YXV0aG9yPkhvZWssIEouPC9hdXRob3I+PGF1dGhv
cj5CbGFuaywgTS4gTC48L2F1dGhvcj48YXV0aG9yPlJpY2hhcmRzLCBSLjwvYXV0aG9yPjxhdXRo
b3I+TGluZywgUC48L2F1dGhvcj48YXV0aG9yPlBvcG92YSwgTC48L2F1dGhvcj48L2F1dGhvcnM+
PC9jb250cmlidXRvcnM+PGF1dGgtYWRkcmVzcz5DYW5jZXIgU29jaWV0eSBTb2NpYWwgYW5kIEJl
aGF2aW91cmFsIFJlc2VhcmNoIFVuaXQsIERlcGFydG1lbnQgb2YgUHJldmVudGl2ZSBhbmQgU29j
aWFsIE1lZGljaW5lLCBVbml2ZXJzaXR5IG9mIE90YWdvLCBEdW5lZGluLCBOZXcgWmVhbGFuZC4m
I3hEO0RlcGFydG1lbnRzIG9mIFB1YmxpYyBIZWFsdGggYW5kIE1hcmtldGluZywgVW5pdmVyc2l0
eSBvZiBPdGFnbywgRHVuZWRpbiwgTmV3IFplYWxhbmQuJiN4RDtDZW50ZXIgZm9yIFRvYmFjY28g
Q29udHJvbCBSZXNlYXJjaCBhbmQgRWR1Y2F0aW9uLCBVbml2ZXJzaXR5IG9mIENhbGlmb3JuaWEg
U2FuIEZyYW5jaXNjbywgU2FuIEZyYW5jaXNjbywgQ2FsaWZvcm5pYSwgVVNBLiYjeEQ7U2Nob29s
IG9mIFB1YmxpYyBIZWFsdGgsIEdlb3JnaWEgU3RhdGUgVW5pdmVyc2l0eSwgQXRsYW50YSwgR2Vv
cmdpYSwgVVNBLjwvYXV0aC1hZGRyZXNzPjx0aXRsZXM+PHRpdGxlPkR1YWwgdXNlIG9mIGVsZWN0
cm9uaWMgbmljb3RpbmUgZGVsaXZlcnkgc3lzdGVtcyAoRU5EUykgYW5kIHNtb2tlZCB0b2JhY2Nv
OiBhIHF1YWxpdGF0aXZlIGFuYWx5c2lzPC90aXRsZT48c2Vjb25kYXJ5LXRpdGxlPlRvYiBDb250
cm9sPC9zZWNvbmRhcnktdGl0bGU+PGFsdC10aXRsZT5Ub2JhY2NvIGNvbnRyb2w8L2FsdC10aXRs
ZT48L3RpdGxlcz48YWx0LXBlcmlvZGljYWw+PGZ1bGwtdGl0bGU+VG9iYWNjbyBDb250cm9sPC9m
dWxsLXRpdGxlPjwvYWx0LXBlcmlvZGljYWw+PGVkaXRpb24+MjAxOC8wMi8wOTwvZWRpdGlvbj48
a2V5d29yZHM+PGtleXdvcmQ+ZS1jaWdhcmV0dGVzPC9rZXl3b3JkPjxrZXl3b3JkPmVsZWN0cm9u
aWMgY2lnYXJldHRlczwva2V5d29yZD48a2V5d29yZD5lbGVjdHJvbmljIG5pY290aW5lIGRlbGl2
ZXJ5IHN5c3RlbXMgKEVORFMpPC9rZXl3b3JkPjxrZXl3b3JkPnNtb2tpbmcgY2Vzc2F0aW9uPC9r
ZXl3b3JkPjxrZXl3b3JkPnRvYmFjY288L2tleXdvcmQ+PGtleXdvcmQ+c2FrZSBvZiBmdWxsIHRy
YW5zcGFyZW5jeSB3ZSBub3RlIHRoYXQgYWxsIGF1dGhvcnMgaGF2ZSB1bmRlcnRha2VuIHdvcmsg
Zm9yPC9rZXl3b3JkPjxrZXl3b3JkPmhlYWx0aCBzZWN0b3IgYWdlbmNpZXMgd29ya2luZyBpbiB0
b2JhY2NvIGNvbnRyb2wuPC9rZXl3b3JkPjwva2V5d29yZHM+PGRhdGVzPjx5ZWFyPjIwMTg8L3ll
YXI+PHB1Yi1kYXRlcz48ZGF0ZT5GZWIgMTwvZGF0ZT48L3B1Yi1kYXRlcz48L2RhdGVzPjxpc2Ju
PjA5NjQtNDU2MzwvaXNibj48YWNjZXNzaW9uLW51bT4yOTQxOTQ4ODwvYWNjZXNzaW9uLW51bT48
dXJscz48cmVsYXRlZC11cmxzPjx1cmw+aHR0cDovL3RvYmFjY29jb250cm9sLmJtai5jb20vY29u
dGVudC90b2JhY2NvY29udHJvbC9lYXJseS8yMDE4LzAxLzMxL3RvYmFjY29jb250cm9sLTIwMTct
MDU0MDcwLmZ1bGwucGRmPC91cmw+PC9yZWxhdGVkLXVybHM+PC91cmxzPjxlbGVjdHJvbmljLXJl
c291cmNlLW51bT4xMC4xMTM2L3RvYmFjY29jb250cm9sLTIwMTctMDU0MDcwPC9lbGVjdHJvbmlj
LXJlc291cmNlLW51bT48cmVtb3RlLWRhdGFiYXNlLXByb3ZpZGVyPk5MTTwvcmVtb3RlLWRhdGFi
YXNlLXByb3ZpZGVyPjxsYW5ndWFnZT5lbmc8L2xhbmd1YWdlPjwvcmVjb3JkPjwvQ2l0ZT48L0Vu
ZE5vdGU+AG==
</w:fldData>
        </w:fldChar>
      </w:r>
      <w:r>
        <w:instrText xml:space="preserve"> ADDIN EN.CITE </w:instrText>
      </w:r>
      <w:r>
        <w:fldChar w:fldCharType="begin">
          <w:fldData xml:space="preserve">PEVuZE5vdGU+PENpdGU+PEF1dGhvcj5Sb2JlcnRzb248L0F1dGhvcj48WWVhcj4yMDE4PC9ZZWFy
PjxSZWNOdW0+NDYxOTwvUmVjTnVtPjxEaXNwbGF5VGV4dD4oUm9iZXJ0c29uLCBIb2VrIGV0IGFs
LiAyMDE4KTwvRGlzcGxheVRleHQ+PHJlY29yZD48cmVjLW51bWJlcj40NjE5PC9yZWMtbnVtYmVy
Pjxmb3JlaWduLWtleXM+PGtleSBhcHA9IkVOIiBkYi1pZD0iZnB0OXB0dHJtNXpmc2Flc3A5ZnBz
ZGR2MDlld3N2NXhld2ZkIiB0aW1lc3RhbXA9IjE1MjUwNDUxNTMiPjQ2MTk8L2tleT48a2V5IGFw
cD0iRU5XZWIiIGRiLWlkPSIiPjA8L2tleT48L2ZvcmVpZ24ta2V5cz48cmVmLXR5cGUgbmFtZT0i
Sm91cm5hbCBBcnRpY2xlIj4xNzwvcmVmLXR5cGU+PGNvbnRyaWJ1dG9ycz48YXV0aG9ycz48YXV0
aG9yPlJvYmVydHNvbiwgTC48L2F1dGhvcj48YXV0aG9yPkhvZWssIEouPC9hdXRob3I+PGF1dGhv
cj5CbGFuaywgTS4gTC48L2F1dGhvcj48YXV0aG9yPlJpY2hhcmRzLCBSLjwvYXV0aG9yPjxhdXRo
b3I+TGluZywgUC48L2F1dGhvcj48YXV0aG9yPlBvcG92YSwgTC48L2F1dGhvcj48L2F1dGhvcnM+
PC9jb250cmlidXRvcnM+PGF1dGgtYWRkcmVzcz5DYW5jZXIgU29jaWV0eSBTb2NpYWwgYW5kIEJl
aGF2aW91cmFsIFJlc2VhcmNoIFVuaXQsIERlcGFydG1lbnQgb2YgUHJldmVudGl2ZSBhbmQgU29j
aWFsIE1lZGljaW5lLCBVbml2ZXJzaXR5IG9mIE90YWdvLCBEdW5lZGluLCBOZXcgWmVhbGFuZC4m
I3hEO0RlcGFydG1lbnRzIG9mIFB1YmxpYyBIZWFsdGggYW5kIE1hcmtldGluZywgVW5pdmVyc2l0
eSBvZiBPdGFnbywgRHVuZWRpbiwgTmV3IFplYWxhbmQuJiN4RDtDZW50ZXIgZm9yIFRvYmFjY28g
Q29udHJvbCBSZXNlYXJjaCBhbmQgRWR1Y2F0aW9uLCBVbml2ZXJzaXR5IG9mIENhbGlmb3JuaWEg
U2FuIEZyYW5jaXNjbywgU2FuIEZyYW5jaXNjbywgQ2FsaWZvcm5pYSwgVVNBLiYjeEQ7U2Nob29s
IG9mIFB1YmxpYyBIZWFsdGgsIEdlb3JnaWEgU3RhdGUgVW5pdmVyc2l0eSwgQXRsYW50YSwgR2Vv
cmdpYSwgVVNBLjwvYXV0aC1hZGRyZXNzPjx0aXRsZXM+PHRpdGxlPkR1YWwgdXNlIG9mIGVsZWN0
cm9uaWMgbmljb3RpbmUgZGVsaXZlcnkgc3lzdGVtcyAoRU5EUykgYW5kIHNtb2tlZCB0b2JhY2Nv
OiBhIHF1YWxpdGF0aXZlIGFuYWx5c2lzPC90aXRsZT48c2Vjb25kYXJ5LXRpdGxlPlRvYiBDb250
cm9sPC9zZWNvbmRhcnktdGl0bGU+PGFsdC10aXRsZT5Ub2JhY2NvIGNvbnRyb2w8L2FsdC10aXRs
ZT48L3RpdGxlcz48YWx0LXBlcmlvZGljYWw+PGZ1bGwtdGl0bGU+VG9iYWNjbyBDb250cm9sPC9m
dWxsLXRpdGxlPjwvYWx0LXBlcmlvZGljYWw+PGVkaXRpb24+MjAxOC8wMi8wOTwvZWRpdGlvbj48
a2V5d29yZHM+PGtleXdvcmQ+ZS1jaWdhcmV0dGVzPC9rZXl3b3JkPjxrZXl3b3JkPmVsZWN0cm9u
aWMgY2lnYXJldHRlczwva2V5d29yZD48a2V5d29yZD5lbGVjdHJvbmljIG5pY290aW5lIGRlbGl2
ZXJ5IHN5c3RlbXMgKEVORFMpPC9rZXl3b3JkPjxrZXl3b3JkPnNtb2tpbmcgY2Vzc2F0aW9uPC9r
ZXl3b3JkPjxrZXl3b3JkPnRvYmFjY288L2tleXdvcmQ+PGtleXdvcmQ+c2FrZSBvZiBmdWxsIHRy
YW5zcGFyZW5jeSB3ZSBub3RlIHRoYXQgYWxsIGF1dGhvcnMgaGF2ZSB1bmRlcnRha2VuIHdvcmsg
Zm9yPC9rZXl3b3JkPjxrZXl3b3JkPmhlYWx0aCBzZWN0b3IgYWdlbmNpZXMgd29ya2luZyBpbiB0
b2JhY2NvIGNvbnRyb2wuPC9rZXl3b3JkPjwva2V5d29yZHM+PGRhdGVzPjx5ZWFyPjIwMTg8L3ll
YXI+PHB1Yi1kYXRlcz48ZGF0ZT5GZWIgMTwvZGF0ZT48L3B1Yi1kYXRlcz48L2RhdGVzPjxpc2Ju
PjA5NjQtNDU2MzwvaXNibj48YWNjZXNzaW9uLW51bT4yOTQxOTQ4ODwvYWNjZXNzaW9uLW51bT48
dXJscz48cmVsYXRlZC11cmxzPjx1cmw+aHR0cDovL3RvYmFjY29jb250cm9sLmJtai5jb20vY29u
dGVudC90b2JhY2NvY29udHJvbC9lYXJseS8yMDE4LzAxLzMxL3RvYmFjY29jb250cm9sLTIwMTct
MDU0MDcwLmZ1bGwucGRmPC91cmw+PC9yZWxhdGVkLXVybHM+PC91cmxzPjxlbGVjdHJvbmljLXJl
c291cmNlLW51bT4xMC4xMTM2L3RvYmFjY29jb250cm9sLTIwMTctMDU0MDcwPC9lbGVjdHJvbmlj
LXJlc291cmNlLW51bT48cmVtb3RlLWRhdGFiYXNlLXByb3ZpZGVyPk5MTTwvcmVtb3RlLWRhdGFi
YXNlLXByb3ZpZGVyPjxsYW5ndWFnZT5lbmc8L2xhbmd1YWdlPjwvcmVjb3JkPjwvQ2l0ZT48L0Vu
ZE5vdGU+AG==
</w:fldData>
        </w:fldChar>
      </w:r>
      <w:r>
        <w:instrText xml:space="preserve"> ADDIN EN.CITE.DATA </w:instrText>
      </w:r>
      <w:r>
        <w:fldChar w:fldCharType="end"/>
      </w:r>
      <w:r>
        <w:fldChar w:fldCharType="separate"/>
      </w:r>
      <w:r>
        <w:rPr>
          <w:noProof/>
        </w:rPr>
        <w:t>(Robertson, Hoek et al. 2018)</w:t>
      </w:r>
      <w:r>
        <w:fldChar w:fldCharType="end"/>
      </w:r>
      <w:r>
        <w:t>. Despite their different research approaches, both papers conclude that vaping may be useful for smoking cessation in New Zealand.</w:t>
      </w:r>
    </w:p>
    <w:p w14:paraId="5C4A0E84" w14:textId="77777777" w:rsidR="000E2E72" w:rsidRDefault="000E2E72" w:rsidP="000E2E72">
      <w:pPr>
        <w:pStyle w:val="BodyText"/>
      </w:pPr>
    </w:p>
    <w:p w14:paraId="201BB300" w14:textId="77777777" w:rsidR="000E2E72" w:rsidRDefault="00FE6A89" w:rsidP="000E2E72">
      <w:pPr>
        <w:pStyle w:val="Heading3"/>
      </w:pPr>
      <w:r>
        <w:lastRenderedPageBreak/>
        <w:t>Conclusion</w:t>
      </w:r>
    </w:p>
    <w:p w14:paraId="61AEC0B1" w14:textId="77777777" w:rsidR="00FE6A89" w:rsidRDefault="00FE6A89" w:rsidP="00FE6A89">
      <w:pPr>
        <w:pStyle w:val="BodyText"/>
      </w:pPr>
      <w:r>
        <w:t>Recent data from Australia is limited but provides a mixture of depth through qualitative studies and reach through quantitative surveys. The percentage of people who have ever used e</w:t>
      </w:r>
      <w:r>
        <w:noBreakHyphen/>
        <w:t>cigarettes has increased from 2013 to 2016 however the rate of people currently using e</w:t>
      </w:r>
      <w:r>
        <w:noBreakHyphen/>
        <w:t>cigarettes appears to be well under 10% of the population. For adolescents and young adults, the main reason for use of e</w:t>
      </w:r>
      <w:r>
        <w:noBreakHyphen/>
        <w:t>cigarettes appears to be out of curiosity and most users experiment and cease using them. For older adults, however, the reason for use is related to wanting to stop, cut down or avoid recommencing regular cigarette smoking. With older age groups, a smaller percentage use e</w:t>
      </w:r>
      <w:r>
        <w:noBreakHyphen/>
        <w:t>cigarettes only once or twice compared to younger age groups, but it is still a higher percentage than ex</w:t>
      </w:r>
      <w:r>
        <w:noBreakHyphen/>
        <w:t xml:space="preserve">users or current users. </w:t>
      </w:r>
    </w:p>
    <w:p w14:paraId="08234143" w14:textId="77777777" w:rsidR="00FE6A89" w:rsidRDefault="00FE6A89" w:rsidP="00FE6A89">
      <w:pPr>
        <w:pStyle w:val="BodyText"/>
      </w:pPr>
      <w:r>
        <w:t>There does not appear to be a striking difference between males and females in percentage who have ever used e</w:t>
      </w:r>
      <w:r>
        <w:noBreakHyphen/>
        <w:t>cigarettes. E</w:t>
      </w:r>
      <w:r>
        <w:noBreakHyphen/>
        <w:t>cigarette use, for all frequencies of use, is much more prevalent among people who are current smokers, or ex</w:t>
      </w:r>
      <w:r>
        <w:noBreakHyphen/>
        <w:t xml:space="preserve">smokers of regular cigarettes. </w:t>
      </w:r>
    </w:p>
    <w:p w14:paraId="4B8B5D96" w14:textId="77777777" w:rsidR="00FE6A89" w:rsidRDefault="00FE6A89" w:rsidP="00FE6A89">
      <w:pPr>
        <w:pStyle w:val="BodyText"/>
      </w:pPr>
      <w:r>
        <w:t>A single small study of Indigenous Australian smokers suggested a large difference between males and females in willingness to try e</w:t>
      </w:r>
      <w:r>
        <w:noBreakHyphen/>
        <w:t>cigarettes with a large majority of males willing to try (more than for any other smoking cessation method), but only a small minority of females (the equal lowest of any smoking cessation method). The reason for the large difference in preference is not clear, however the study was small and none of the subjects had any experience with e</w:t>
      </w:r>
      <w:r>
        <w:noBreakHyphen/>
        <w:t xml:space="preserve">cigarettes. </w:t>
      </w:r>
    </w:p>
    <w:p w14:paraId="3C9230D0" w14:textId="6FED871F" w:rsidR="00FE6A89" w:rsidRDefault="00FE6A89" w:rsidP="00FE6A89">
      <w:pPr>
        <w:pStyle w:val="BodyText"/>
      </w:pPr>
      <w:r>
        <w:t>Amongst Victorian secondary school students (in 2014) the ‘ever use’ of shisha tobacco was almost as prevalent as the ‘ever use’ of e</w:t>
      </w:r>
      <w:r>
        <w:noBreakHyphen/>
        <w:t xml:space="preserve">cigarettes, however both may represent use ‘out of curiosity’ that is prevalent in this age group.  </w:t>
      </w:r>
    </w:p>
    <w:p w14:paraId="4F6775ED" w14:textId="77777777" w:rsidR="00FE6A89" w:rsidRPr="00FE6A89" w:rsidRDefault="00FE6A89" w:rsidP="00FE6A89">
      <w:pPr>
        <w:pStyle w:val="BodyText"/>
      </w:pPr>
    </w:p>
    <w:p w14:paraId="4F23E12F" w14:textId="77777777" w:rsidR="000E2E72" w:rsidRPr="00D0314F" w:rsidRDefault="00D0314F" w:rsidP="00D0314F">
      <w:pPr>
        <w:pStyle w:val="Heading2"/>
      </w:pPr>
      <w:bookmarkStart w:id="227" w:name="_Toc515226677"/>
      <w:r>
        <w:t xml:space="preserve"> </w:t>
      </w:r>
      <w:bookmarkStart w:id="228" w:name="_Toc517706719"/>
      <w:r w:rsidR="000E2E72" w:rsidRPr="00D0314F">
        <w:t>Prevalence of smoking in Australia</w:t>
      </w:r>
      <w:bookmarkEnd w:id="227"/>
      <w:bookmarkEnd w:id="228"/>
      <w:r w:rsidR="000E2E72" w:rsidRPr="00D0314F">
        <w:t xml:space="preserve"> </w:t>
      </w:r>
    </w:p>
    <w:p w14:paraId="2E82AAFB" w14:textId="06659E2F" w:rsidR="00FE6A89" w:rsidRPr="00BB3D2E" w:rsidRDefault="00FE6A89" w:rsidP="00FE6A89">
      <w:pPr>
        <w:pStyle w:val="BodyText"/>
      </w:pPr>
      <w:r>
        <w:t xml:space="preserve">When first measured in 1945, the prevalence of current tobacco smoking in Australia was 72% for males and 26% for females </w:t>
      </w:r>
      <w:r>
        <w:fldChar w:fldCharType="begin"/>
      </w:r>
      <w:r>
        <w:instrText xml:space="preserve"> ADDIN EN.CITE &lt;EndNote&gt;&lt;Cite&gt;&lt;Author&gt;Cancer Council Victoria&lt;/Author&gt;&lt;Year&gt;2018&lt;/Year&gt;&lt;RecNum&gt;10836&lt;/RecNum&gt;&lt;DisplayText&gt;(Cancer Council Victoria 2018)&lt;/DisplayText&gt;&lt;record&gt;&lt;rec-number&gt;10836&lt;/rec-number&gt;&lt;foreign-keys&gt;&lt;key app="EN" db-id="9z05dz0praadfuee0zoxzedk9zfe5fxx50z5" timestamp="1528848490"&gt;10836&lt;/key&gt;&lt;/foreign-keys&gt;&lt;ref-type name="Web Page"&gt;12&lt;/ref-type&gt;&lt;contributors&gt;&lt;authors&gt;&lt;author&gt;Cancer Council Victoria,&lt;/author&gt;&lt;/authors&gt;&lt;/contributors&gt;&lt;titles&gt;&lt;title&gt;Prevalence of smoking—adults&lt;/title&gt;&lt;secondary-title&gt;Tobacco in Australia- Facts and Issues&lt;/secondary-title&gt;&lt;/titles&gt;&lt;volume&gt;2018&lt;/volume&gt;&lt;number&gt;13.06&lt;/number&gt;&lt;dates&gt;&lt;year&gt;2018&lt;/year&gt;&lt;/dates&gt;&lt;urls&gt;&lt;related-urls&gt;&lt;url&gt;http://www.tobaccoinaustralia.org.au/chapter-1-prevalence/1-3-prevalence-of-smoking-adults&lt;/url&gt;&lt;/related-urls&gt;&lt;/urls&gt;&lt;/record&gt;&lt;/Cite&gt;&lt;/EndNote&gt;</w:instrText>
      </w:r>
      <w:r>
        <w:fldChar w:fldCharType="separate"/>
      </w:r>
      <w:r>
        <w:rPr>
          <w:noProof/>
        </w:rPr>
        <w:t>(Cancer Council Victoria 2018)</w:t>
      </w:r>
      <w:r>
        <w:fldChar w:fldCharType="end"/>
      </w:r>
      <w:r>
        <w:t>. Since that date the rate among males has been steadily decreasing, while the prevalence rate for females increased in the 1970s and has decreased since.</w:t>
      </w:r>
      <w:r w:rsidR="008146F9">
        <w:t xml:space="preserve"> </w:t>
      </w:r>
    </w:p>
    <w:p w14:paraId="65E63007" w14:textId="77777777" w:rsidR="00FE6A89" w:rsidRPr="00985CA5" w:rsidRDefault="00955544" w:rsidP="00955544">
      <w:pPr>
        <w:pStyle w:val="Caption"/>
      </w:pPr>
      <w:bookmarkStart w:id="229" w:name="_Toc516736710"/>
      <w:bookmarkStart w:id="230" w:name="_Toc517707395"/>
      <w:r>
        <w:lastRenderedPageBreak/>
        <w:t xml:space="preserve">Figure </w:t>
      </w:r>
      <w:r w:rsidR="0048064B">
        <w:rPr>
          <w:noProof/>
        </w:rPr>
        <w:fldChar w:fldCharType="begin"/>
      </w:r>
      <w:r w:rsidR="0048064B">
        <w:rPr>
          <w:noProof/>
        </w:rPr>
        <w:instrText xml:space="preserve"> SEQ Figure \* ARABIC </w:instrText>
      </w:r>
      <w:r w:rsidR="0048064B">
        <w:rPr>
          <w:noProof/>
        </w:rPr>
        <w:fldChar w:fldCharType="separate"/>
      </w:r>
      <w:r w:rsidR="000C06DA">
        <w:rPr>
          <w:noProof/>
        </w:rPr>
        <w:t>9</w:t>
      </w:r>
      <w:r w:rsidR="0048064B">
        <w:rPr>
          <w:noProof/>
        </w:rPr>
        <w:fldChar w:fldCharType="end"/>
      </w:r>
      <w:r w:rsidR="00FE6A89" w:rsidRPr="00985CA5">
        <w:t>: Daily smoking in the general population people aged 18 years and older and key tobacco control measures implemented in Australia since 1990</w:t>
      </w:r>
      <w:bookmarkEnd w:id="229"/>
      <w:bookmarkEnd w:id="230"/>
    </w:p>
    <w:p w14:paraId="4ACD7C5F" w14:textId="77777777" w:rsidR="00FE6A89" w:rsidRPr="00985CA5" w:rsidRDefault="00FE6A89" w:rsidP="00FE6A89">
      <w:pPr>
        <w:spacing w:after="0" w:line="300" w:lineRule="atLeast"/>
        <w:rPr>
          <w:rFonts w:ascii="Helvetica" w:eastAsia="Times New Roman" w:hAnsi="Helvetica" w:cs="Helvetica"/>
          <w:color w:val="222222"/>
          <w:sz w:val="20"/>
          <w:szCs w:val="20"/>
        </w:rPr>
      </w:pPr>
      <w:r w:rsidRPr="00985CA5">
        <w:rPr>
          <w:rFonts w:ascii="Helvetica" w:eastAsia="Times New Roman" w:hAnsi="Helvetica" w:cs="Helvetica"/>
          <w:noProof/>
          <w:color w:val="222222"/>
          <w:sz w:val="20"/>
          <w:szCs w:val="20"/>
        </w:rPr>
        <w:drawing>
          <wp:inline distT="0" distB="0" distL="0" distR="0" wp14:anchorId="5DCF053F" wp14:editId="6F7C2B0D">
            <wp:extent cx="6329969" cy="3575050"/>
            <wp:effectExtent l="0" t="0" r="0" b="6350"/>
            <wp:docPr id="25" name="Picture 25" descr="http://www.health.gov.au/internet/publications/publishing.nsf/650f3eec0dfb990fca25692100069854/756ec9221f4f3de2ca2581ae007941a2/WebPageBody/0.BDE?OpenElement&amp;FieldElemFormat=gif" title="Chart showing Daily smoking in the general population people aged 18 years and older and key tobacco control measures implemented in Australia since 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ealth.gov.au/internet/publications/publishing.nsf/650f3eec0dfb990fca25692100069854/756ec9221f4f3de2ca2581ae007941a2/WebPageBody/0.BDE?OpenElement&amp;FieldElemFormat=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62305" cy="3593313"/>
                    </a:xfrm>
                    <a:prstGeom prst="rect">
                      <a:avLst/>
                    </a:prstGeom>
                    <a:noFill/>
                    <a:ln>
                      <a:noFill/>
                    </a:ln>
                  </pic:spPr>
                </pic:pic>
              </a:graphicData>
            </a:graphic>
          </wp:inline>
        </w:drawing>
      </w:r>
    </w:p>
    <w:p w14:paraId="48291DB4" w14:textId="77777777" w:rsidR="00FE6A89" w:rsidRPr="00985CA5" w:rsidRDefault="00FE6A89" w:rsidP="00FE6A89">
      <w:pPr>
        <w:pStyle w:val="FigureTableSource"/>
      </w:pPr>
      <w:r w:rsidRPr="00985CA5">
        <w:t>Source: National Health Survey results: 1990, 1995, 2001, 2004</w:t>
      </w:r>
      <w:r>
        <w:noBreakHyphen/>
      </w:r>
      <w:r w:rsidRPr="00985CA5">
        <w:t>05, 2007</w:t>
      </w:r>
      <w:r>
        <w:noBreakHyphen/>
      </w:r>
      <w:r w:rsidRPr="00985CA5">
        <w:t>08, 2011</w:t>
      </w:r>
      <w:r>
        <w:noBreakHyphen/>
      </w:r>
      <w:r w:rsidRPr="00985CA5">
        <w:t>12 and 2014</w:t>
      </w:r>
      <w:r>
        <w:noBreakHyphen/>
      </w:r>
      <w:r w:rsidRPr="00985CA5">
        <w:t>15.</w:t>
      </w:r>
    </w:p>
    <w:p w14:paraId="6C657062" w14:textId="77777777" w:rsidR="00FE6A89" w:rsidRDefault="00FE6A89" w:rsidP="00FE6A89">
      <w:pPr>
        <w:pStyle w:val="BodyText"/>
      </w:pPr>
      <w:r>
        <w:t xml:space="preserve">The decline in prevalence rate for daily smoking from 1990 is shown in Figure </w:t>
      </w:r>
      <w:r w:rsidR="0049340A">
        <w:t>9</w:t>
      </w:r>
      <w:r>
        <w:t xml:space="preserve">, with the difference between male and female rates now being only a few percentage points. As highlighted in the figure, the declining rate of regular tobacco use has been assisted by many public health measures. </w:t>
      </w:r>
    </w:p>
    <w:p w14:paraId="0A955252" w14:textId="77777777" w:rsidR="00FE6A89" w:rsidRDefault="00FE6A89" w:rsidP="00FE6A89">
      <w:pPr>
        <w:pStyle w:val="BodyText"/>
      </w:pPr>
      <w:r>
        <w:t>In some population groups, the tobacco smoking prevalence rate remains stubbornly high. In 2014</w:t>
      </w:r>
      <w:r>
        <w:noBreakHyphen/>
        <w:t>15, the prevalence of daily smoking among Aboriginal and Torres Strait Islanders aged 15 years and above was 39%, with little difference between males and females. After adjusting for differences in age</w:t>
      </w:r>
      <w:r>
        <w:noBreakHyphen/>
        <w:t>structure, Indigenous Australians over the age of 15 years were almost 3 times as likely to smoke cigarettes as non</w:t>
      </w:r>
      <w:r>
        <w:noBreakHyphen/>
        <w:t xml:space="preserve">Indigenous Australians </w:t>
      </w:r>
      <w:r>
        <w:fldChar w:fldCharType="begin"/>
      </w:r>
      <w:r>
        <w:instrText xml:space="preserve"> ADDIN EN.CITE &lt;EndNote&gt;&lt;Cite&gt;&lt;Author&gt;Cancer Council Victoria&lt;/Author&gt;&lt;Year&gt;2018&lt;/Year&gt;&lt;RecNum&gt;10837&lt;/RecNum&gt;&lt;DisplayText&gt;(Cancer Council Victoria 2018)&lt;/DisplayText&gt;&lt;record&gt;&lt;rec-number&gt;10837&lt;/rec-number&gt;&lt;foreign-keys&gt;&lt;key app="EN" db-id="9z05dz0praadfuee0zoxzedk9zfe5fxx50z5" timestamp="1528848610"&gt;10837&lt;/key&gt;&lt;/foreign-keys&gt;&lt;ref-type name="Web Page"&gt;12&lt;/ref-type&gt;&lt;contributors&gt;&lt;authors&gt;&lt;author&gt;Cancer Council Victoria,&lt;/author&gt;&lt;/authors&gt;&lt;/contributors&gt;&lt;titles&gt;&lt;title&gt;Prevalence of tobacco use among Aboriginal peoples and Torres Strait Islanders&lt;/title&gt;&lt;secondary-title&gt;Tobacco in Australia- Facts and Issues&lt;/secondary-title&gt;&lt;/titles&gt;&lt;volume&gt;2018&lt;/volume&gt;&lt;number&gt;13.06&lt;/number&gt;&lt;dates&gt;&lt;year&gt;2018&lt;/year&gt;&lt;/dates&gt;&lt;urls&gt;&lt;related-urls&gt;&lt;url&gt;http://www.tobaccoinaustralia.org.au/chapter-1-prevalence/1-9-prevalence-of-tobacco-use-among-aboriginal-peo&lt;/url&gt;&lt;/related-urls&gt;&lt;/urls&gt;&lt;/record&gt;&lt;/Cite&gt;&lt;/EndNote&gt;</w:instrText>
      </w:r>
      <w:r>
        <w:fldChar w:fldCharType="separate"/>
      </w:r>
      <w:r>
        <w:rPr>
          <w:noProof/>
        </w:rPr>
        <w:t>(Cancer Council Victoria 2018)</w:t>
      </w:r>
      <w:r>
        <w:fldChar w:fldCharType="end"/>
      </w:r>
      <w:r>
        <w:t xml:space="preserve">. </w:t>
      </w:r>
    </w:p>
    <w:p w14:paraId="1D83CADD" w14:textId="77777777" w:rsidR="00FE6A89" w:rsidRDefault="00FE6A89" w:rsidP="00FE6A89">
      <w:pPr>
        <w:pStyle w:val="BodyText"/>
      </w:pPr>
      <w:r>
        <w:t xml:space="preserve">Socially disadvantaged groups tend to have higher smoking rates than socially advantaged groups. </w:t>
      </w:r>
    </w:p>
    <w:p w14:paraId="640A472A" w14:textId="77777777" w:rsidR="00FE6A89" w:rsidRDefault="00FE6A89" w:rsidP="00FE6A89">
      <w:pPr>
        <w:pStyle w:val="BodyText"/>
      </w:pPr>
    </w:p>
    <w:p w14:paraId="79591003" w14:textId="2B04A468" w:rsidR="00FE6A89" w:rsidRDefault="00FE6A89" w:rsidP="00FE6A89">
      <w:pPr>
        <w:pStyle w:val="Heading2"/>
        <w:ind w:left="1134" w:hanging="1134"/>
      </w:pPr>
      <w:bookmarkStart w:id="231" w:name="_Toc517706720"/>
      <w:r>
        <w:t xml:space="preserve">Key </w:t>
      </w:r>
      <w:r w:rsidR="00BA0F52">
        <w:t>f</w:t>
      </w:r>
      <w:r>
        <w:t>indings</w:t>
      </w:r>
      <w:bookmarkEnd w:id="231"/>
    </w:p>
    <w:p w14:paraId="68C849A9" w14:textId="77777777" w:rsidR="00FE6A89" w:rsidRDefault="00FE6A89" w:rsidP="00634034">
      <w:pPr>
        <w:pStyle w:val="BodyText"/>
        <w:numPr>
          <w:ilvl w:val="0"/>
          <w:numId w:val="78"/>
        </w:numPr>
      </w:pPr>
      <w:r>
        <w:t xml:space="preserve">The prevalence of regular smoking in Australia has been declining since at least 1945, from very high levels, particularly in men. The most recent national data indicates that 14% of Australian adults are current regular smokers. </w:t>
      </w:r>
    </w:p>
    <w:p w14:paraId="66BEBAEC" w14:textId="77777777" w:rsidR="00FE6A89" w:rsidRDefault="00FE6A89" w:rsidP="00634034">
      <w:pPr>
        <w:pStyle w:val="BodyText"/>
        <w:numPr>
          <w:ilvl w:val="0"/>
          <w:numId w:val="78"/>
        </w:numPr>
      </w:pPr>
      <w:r>
        <w:t xml:space="preserve">E-cigarette use has generally increased from 2013 and 2016, however current regular use has a prevalence below 8% amongst all adolescent and adult age groups. </w:t>
      </w:r>
    </w:p>
    <w:p w14:paraId="3E15EA78" w14:textId="77777777" w:rsidR="00FE6A89" w:rsidRDefault="00FE6A89" w:rsidP="00634034">
      <w:pPr>
        <w:pStyle w:val="BodyText"/>
        <w:numPr>
          <w:ilvl w:val="0"/>
          <w:numId w:val="78"/>
        </w:numPr>
      </w:pPr>
      <w:r>
        <w:lastRenderedPageBreak/>
        <w:t>Among ‘ever users’ of e-cigarettes, the majority percentage is people who have used e</w:t>
      </w:r>
      <w:r>
        <w:noBreakHyphen/>
        <w:t xml:space="preserve">cigarettes only once or twice. This group is larger than current users and ex users for all age groups, but is particularly large in adolescents and younger adults. </w:t>
      </w:r>
    </w:p>
    <w:p w14:paraId="69D0C54C" w14:textId="77777777" w:rsidR="00FE6A89" w:rsidRDefault="00FE6A89" w:rsidP="00634034">
      <w:pPr>
        <w:pStyle w:val="BodyText"/>
        <w:numPr>
          <w:ilvl w:val="0"/>
          <w:numId w:val="78"/>
        </w:numPr>
      </w:pPr>
      <w:r>
        <w:t>E-cigarette use beyond once or twice is very uncommon amongst people who are not current or ex cigarette smokers.</w:t>
      </w:r>
    </w:p>
    <w:p w14:paraId="092DEE4C" w14:textId="77777777" w:rsidR="00FE6A89" w:rsidRPr="00FE6A89" w:rsidRDefault="00FE6A89" w:rsidP="00FE6A89">
      <w:pPr>
        <w:pStyle w:val="BodyText"/>
      </w:pPr>
      <w:r w:rsidRPr="00735725">
        <w:t>The most co</w:t>
      </w:r>
      <w:r>
        <w:t>mmon reason for using e-</w:t>
      </w:r>
      <w:r w:rsidRPr="00735725">
        <w:t>cigarettes among adolescents and younger adults is ‘out of curiosity’, while among older adults the reasons for use are more likely to be related to tobacco smoking (to cease smoking, to reduce the number of cigarettes smoked, or to avoid recommencing smoking).</w:t>
      </w:r>
    </w:p>
    <w:p w14:paraId="421B8C7C" w14:textId="77777777" w:rsidR="000E2E72" w:rsidRDefault="000E2E72" w:rsidP="000E2E72">
      <w:pPr>
        <w:pStyle w:val="Heading1"/>
      </w:pPr>
      <w:bookmarkStart w:id="232" w:name="_Toc515226678"/>
      <w:bookmarkStart w:id="233" w:name="_Toc517706721"/>
      <w:r>
        <w:lastRenderedPageBreak/>
        <w:t>The potential for e-cigarettes to reduce smoking rates in Australia</w:t>
      </w:r>
      <w:bookmarkEnd w:id="232"/>
      <w:bookmarkEnd w:id="233"/>
    </w:p>
    <w:p w14:paraId="35E957B3" w14:textId="77777777" w:rsidR="00634034" w:rsidRDefault="00634034" w:rsidP="00634034">
      <w:pPr>
        <w:pStyle w:val="BodyText"/>
      </w:pPr>
      <w:r>
        <w:t>It is desirable that tobacco smoking rates continue to decline in Australia and elsewhere. In the absence of better information, it is too simplistic to view the use of e</w:t>
      </w:r>
      <w:r>
        <w:noBreakHyphen/>
        <w:t xml:space="preserve">cigarettes as only another potential tool to reduce smoking among smokers by either reducing the number of cigarettes smoked, or by facilitating smoking cessation. </w:t>
      </w:r>
    </w:p>
    <w:p w14:paraId="3097122A" w14:textId="77777777" w:rsidR="00686A20" w:rsidRDefault="00634034" w:rsidP="00634034">
      <w:pPr>
        <w:pStyle w:val="BodyText"/>
      </w:pPr>
      <w:r>
        <w:t>Focusing only on smoking rates (i.e. leaving aside health consequences of using e</w:t>
      </w:r>
      <w:r>
        <w:noBreakHyphen/>
        <w:t xml:space="preserve">cigarettes), the issue should be considered from the point of view of </w:t>
      </w:r>
    </w:p>
    <w:p w14:paraId="39B39928" w14:textId="6DEAC432" w:rsidR="00686A20" w:rsidRDefault="00634034" w:rsidP="00E9656F">
      <w:pPr>
        <w:pStyle w:val="BodyText"/>
        <w:numPr>
          <w:ilvl w:val="0"/>
          <w:numId w:val="90"/>
        </w:numPr>
        <w:spacing w:before="0" w:after="0"/>
      </w:pPr>
      <w:r>
        <w:t>the potential for the use of e</w:t>
      </w:r>
      <w:r>
        <w:noBreakHyphen/>
        <w:t>cigarettes to reduce the smoking rate of people currently smoking regular cigarettes</w:t>
      </w:r>
      <w:r w:rsidR="00686A20">
        <w:t xml:space="preserve"> and</w:t>
      </w:r>
    </w:p>
    <w:p w14:paraId="53D64205" w14:textId="6275B729" w:rsidR="00634034" w:rsidRDefault="00634034" w:rsidP="00E9656F">
      <w:pPr>
        <w:pStyle w:val="BodyText"/>
        <w:numPr>
          <w:ilvl w:val="0"/>
          <w:numId w:val="90"/>
        </w:numPr>
        <w:spacing w:before="0" w:after="0"/>
      </w:pPr>
      <w:r>
        <w:t>the potential for the use of e</w:t>
      </w:r>
      <w:r>
        <w:noBreakHyphen/>
        <w:t xml:space="preserve">cigarettes to influence the future smoking behaviour of people who are currently not smoking regular cigarettes. </w:t>
      </w:r>
    </w:p>
    <w:p w14:paraId="5DAFAB68" w14:textId="77777777" w:rsidR="00634034" w:rsidRDefault="00634034" w:rsidP="00634034">
      <w:pPr>
        <w:pStyle w:val="BodyText"/>
      </w:pPr>
    </w:p>
    <w:p w14:paraId="374F9CB5" w14:textId="43A19F60" w:rsidR="00634034" w:rsidRDefault="00D0314F" w:rsidP="00634034">
      <w:pPr>
        <w:pStyle w:val="Heading2"/>
      </w:pPr>
      <w:bookmarkStart w:id="234" w:name="_Toc516580165"/>
      <w:r>
        <w:t xml:space="preserve"> </w:t>
      </w:r>
      <w:bookmarkStart w:id="235" w:name="_Toc517706722"/>
      <w:r w:rsidR="00634034">
        <w:t xml:space="preserve">The </w:t>
      </w:r>
      <w:r w:rsidR="00634034" w:rsidRPr="00634034">
        <w:t>potential</w:t>
      </w:r>
      <w:r w:rsidR="00634034">
        <w:t xml:space="preserve"> for the use of e</w:t>
      </w:r>
      <w:r w:rsidR="00634034">
        <w:noBreakHyphen/>
        <w:t>cigarettes to reduce smoking among people currently smoking regular cigarettes</w:t>
      </w:r>
      <w:bookmarkEnd w:id="234"/>
      <w:bookmarkEnd w:id="235"/>
    </w:p>
    <w:p w14:paraId="043BA320" w14:textId="77777777" w:rsidR="00634034" w:rsidRDefault="00634034" w:rsidP="00634034">
      <w:pPr>
        <w:pStyle w:val="BodyText"/>
      </w:pPr>
      <w:r>
        <w:t>The second report in this series sets out a number of issues relating to the use of e</w:t>
      </w:r>
      <w:r>
        <w:noBreakHyphen/>
        <w:t>cigarettes for smoking cessation. The first point is that smokers in many populations have stated that they prefer e</w:t>
      </w:r>
      <w:r>
        <w:noBreakHyphen/>
        <w:t>cigarettes as a smoking cessation method. However, preference for the method may reflect the smokers comfort with the method rather than whether it effectively achieves smoking cessation. There is limited evidence for the effectiveness of using e</w:t>
      </w:r>
      <w:r>
        <w:noBreakHyphen/>
        <w:t xml:space="preserve">cigarettes for smoking cessation compared to using other methods. </w:t>
      </w:r>
    </w:p>
    <w:p w14:paraId="7EEDAE28" w14:textId="77777777" w:rsidR="00634034" w:rsidRDefault="00634034" w:rsidP="00634034">
      <w:pPr>
        <w:pStyle w:val="BodyText"/>
      </w:pPr>
      <w:r>
        <w:t>There is good evidence that nicotine containing e</w:t>
      </w:r>
      <w:r>
        <w:noBreakHyphen/>
        <w:t>cigarettes are more effective at reducing conventional cigarette use among smokers than non</w:t>
      </w:r>
      <w:r>
        <w:noBreakHyphen/>
        <w:t>nicotine containing e</w:t>
      </w:r>
      <w:r>
        <w:noBreakHyphen/>
        <w:t>cigarettes, or than no treatment. This is likely to be due to the nicotine replacement effect of e</w:t>
      </w:r>
      <w:r>
        <w:noBreakHyphen/>
        <w:t>cigarettes, similarly for trials that indicate that e</w:t>
      </w:r>
      <w:r>
        <w:noBreakHyphen/>
        <w:t xml:space="preserve">cigarettes reduce withdrawal symptoms after a short period of cigarette abstinence in smokers. </w:t>
      </w:r>
    </w:p>
    <w:p w14:paraId="7F3F22D2" w14:textId="77777777" w:rsidR="00634034" w:rsidRDefault="00634034" w:rsidP="00634034">
      <w:pPr>
        <w:pStyle w:val="BodyText"/>
      </w:pPr>
      <w:r>
        <w:t>In order to assess the potential for e</w:t>
      </w:r>
      <w:r>
        <w:noBreakHyphen/>
        <w:t>cigarettes to reduce smoking rates among smokers, methods using e</w:t>
      </w:r>
      <w:r>
        <w:noBreakHyphen/>
        <w:t xml:space="preserve">cigarettes need to be compared with other smoking cessation methods over a moderate time period. </w:t>
      </w:r>
    </w:p>
    <w:p w14:paraId="3427E0E1" w14:textId="3C91CFC1" w:rsidR="00634034" w:rsidRDefault="00634034" w:rsidP="00634034">
      <w:pPr>
        <w:pStyle w:val="BodyText"/>
      </w:pPr>
      <w:r>
        <w:t xml:space="preserve">Ideally, an effective smoking cessation method should result in the complete cessation of regular smoking without its long term replacement by other </w:t>
      </w:r>
      <w:r w:rsidR="00686A20">
        <w:t>harmful</w:t>
      </w:r>
      <w:r>
        <w:t xml:space="preserve"> behaviours</w:t>
      </w:r>
      <w:r w:rsidR="00686A20">
        <w:t>.</w:t>
      </w:r>
      <w:bookmarkStart w:id="236" w:name="_Toc516580166"/>
    </w:p>
    <w:p w14:paraId="78EAE4B0" w14:textId="77777777" w:rsidR="00634034" w:rsidRDefault="00634034" w:rsidP="00634034">
      <w:pPr>
        <w:pStyle w:val="BodyText"/>
      </w:pPr>
    </w:p>
    <w:p w14:paraId="665422AE" w14:textId="66580513" w:rsidR="00634034" w:rsidRDefault="00D0314F" w:rsidP="00634034">
      <w:pPr>
        <w:pStyle w:val="Heading2"/>
      </w:pPr>
      <w:r>
        <w:lastRenderedPageBreak/>
        <w:t xml:space="preserve"> </w:t>
      </w:r>
      <w:bookmarkStart w:id="237" w:name="_Toc517706723"/>
      <w:r w:rsidR="00634034">
        <w:t>The potential for e</w:t>
      </w:r>
      <w:r w:rsidR="00634034">
        <w:noBreakHyphen/>
        <w:t>cigarettes to change smoking behaviour among people who are not currently smoking regular cigarettes</w:t>
      </w:r>
      <w:bookmarkEnd w:id="236"/>
      <w:bookmarkEnd w:id="237"/>
    </w:p>
    <w:p w14:paraId="44C35908" w14:textId="48D5E9F6" w:rsidR="00634034" w:rsidRDefault="00634034" w:rsidP="00634034">
      <w:pPr>
        <w:pStyle w:val="BodyText"/>
      </w:pPr>
      <w:r>
        <w:t>While there has been considerable interest in whether the use of e</w:t>
      </w:r>
      <w:r>
        <w:noBreakHyphen/>
        <w:t>cigarettes can result in a gateway effect to use of conventional cigarettes (especially in young people), the evidence for this being an important route to smoking initiation in Australia does not appear strong. The majority of e</w:t>
      </w:r>
      <w:r>
        <w:noBreakHyphen/>
        <w:t>cigarette use in young Australians appears to be short term experimentation out of curiosity. Most ‘ever users’ of e</w:t>
      </w:r>
      <w:r>
        <w:noBreakHyphen/>
        <w:t>cigarettes have used them once or twice and then not again. Only a very small percentage (about 0.5%) of current or ex</w:t>
      </w:r>
      <w:r>
        <w:noBreakHyphen/>
        <w:t>smokers of regular cigarettes had used e</w:t>
      </w:r>
      <w:r>
        <w:noBreakHyphen/>
        <w:t>cigarettes prior to their use of regular cigarettes. In Australia, only a small percentage (4%) of never smokers have reported using e</w:t>
      </w:r>
      <w:r>
        <w:noBreakHyphen/>
        <w:t>cigarettes, and most of these people have used them once or twice only. Less than 1% of never smokers have used e</w:t>
      </w:r>
      <w:r>
        <w:noBreakHyphen/>
        <w:t>cigarettes on a more intensive basis than once or twice.</w:t>
      </w:r>
      <w:r w:rsidR="008146F9">
        <w:t xml:space="preserve"> </w:t>
      </w:r>
    </w:p>
    <w:p w14:paraId="153B705C" w14:textId="77777777" w:rsidR="00634034" w:rsidRDefault="00634034" w:rsidP="00634034">
      <w:pPr>
        <w:pStyle w:val="BodyText"/>
      </w:pPr>
    </w:p>
    <w:p w14:paraId="245234D8" w14:textId="77777777" w:rsidR="00634034" w:rsidRDefault="00634034" w:rsidP="00634034">
      <w:pPr>
        <w:pStyle w:val="BodyText"/>
      </w:pPr>
      <w:r>
        <w:t>However, these observations about use of e</w:t>
      </w:r>
      <w:r>
        <w:noBreakHyphen/>
        <w:t>cigarettes in Australia have occurred under the current regulatory restrictions for use. It is plausible that some continuing users of e</w:t>
      </w:r>
      <w:r>
        <w:noBreakHyphen/>
        <w:t>cigarettes could develop a preference for regular cigarettes. There is a much smaller percentage of smokers in Australia than non</w:t>
      </w:r>
      <w:r>
        <w:noBreakHyphen/>
        <w:t>smokers, and therefore even small effects in the non</w:t>
      </w:r>
      <w:r>
        <w:noBreakHyphen/>
        <w:t>smoking population may be important.</w:t>
      </w:r>
    </w:p>
    <w:p w14:paraId="00C1F786" w14:textId="77777777" w:rsidR="00634034" w:rsidRDefault="00634034" w:rsidP="00634034">
      <w:pPr>
        <w:pStyle w:val="BodyText"/>
      </w:pPr>
    </w:p>
    <w:p w14:paraId="2C4173DF" w14:textId="7D7FEB8C" w:rsidR="00634034" w:rsidRDefault="00634034" w:rsidP="00634034">
      <w:pPr>
        <w:pStyle w:val="BodyText"/>
      </w:pPr>
      <w:r>
        <w:t>E</w:t>
      </w:r>
      <w:r>
        <w:noBreakHyphen/>
        <w:t>cigarette use is similar to cigarette use in that it is a personal device from which a user inhales smoke or vapour that is most often aromatic. It is not possible to easily assess whether there is a social impact of e</w:t>
      </w:r>
      <w:r>
        <w:noBreakHyphen/>
        <w:t xml:space="preserve">cigarettes to reverse the social disapproval of smoking, to normalise the use of personal devices to inhale smoke or vapour, or to make regulation that has been resulting in a decline in tobacco smoking less effective, or future measures less successful. </w:t>
      </w:r>
      <w:r w:rsidR="008146F9">
        <w:t xml:space="preserve"> </w:t>
      </w:r>
      <w:r>
        <w:t xml:space="preserve"> </w:t>
      </w:r>
    </w:p>
    <w:p w14:paraId="66070196" w14:textId="77777777" w:rsidR="00634034" w:rsidRDefault="00634034" w:rsidP="00634034">
      <w:pPr>
        <w:pStyle w:val="BodyText"/>
      </w:pPr>
    </w:p>
    <w:p w14:paraId="35D4B916" w14:textId="2F7C5D96" w:rsidR="00634034" w:rsidRDefault="008146F9" w:rsidP="00634034">
      <w:pPr>
        <w:pStyle w:val="Heading2"/>
      </w:pPr>
      <w:r>
        <w:t xml:space="preserve"> </w:t>
      </w:r>
      <w:bookmarkStart w:id="238" w:name="_Toc517706724"/>
      <w:r w:rsidR="00634034" w:rsidRPr="00634034">
        <w:t>Key</w:t>
      </w:r>
      <w:r w:rsidR="00634034">
        <w:t xml:space="preserve"> findings</w:t>
      </w:r>
      <w:bookmarkEnd w:id="238"/>
    </w:p>
    <w:p w14:paraId="3CCD5E34" w14:textId="77777777" w:rsidR="00634034" w:rsidRDefault="00634034" w:rsidP="00634034">
      <w:pPr>
        <w:pStyle w:val="BodyText"/>
        <w:numPr>
          <w:ilvl w:val="0"/>
          <w:numId w:val="79"/>
        </w:numPr>
      </w:pPr>
      <w:r>
        <w:t>While it is plausible that e-</w:t>
      </w:r>
      <w:r w:rsidRPr="00EE42D7">
        <w:t xml:space="preserve">cigarettes could increase the smoking rate among people who are not currently tobacco smokers, the evidence for this to occur in Australia to any great extent is not compelling in the current context. </w:t>
      </w:r>
    </w:p>
    <w:p w14:paraId="2DA3C93C" w14:textId="77777777" w:rsidR="00634034" w:rsidRDefault="00634034" w:rsidP="00634034">
      <w:pPr>
        <w:pStyle w:val="BodyText"/>
        <w:numPr>
          <w:ilvl w:val="0"/>
          <w:numId w:val="79"/>
        </w:numPr>
      </w:pPr>
      <w:r>
        <w:t>In order to assess the potential for e</w:t>
      </w:r>
      <w:r>
        <w:noBreakHyphen/>
        <w:t>cigarettes to reduce smoking rates among smokers, cessation methods using e</w:t>
      </w:r>
      <w:r>
        <w:noBreakHyphen/>
        <w:t>cigarettes need to be compared with other smoking cessation methods over a moderate time period. There are no long-term studies on e-cigarettes for smoking cessation in Australia.</w:t>
      </w:r>
    </w:p>
    <w:p w14:paraId="7F6BBC30" w14:textId="77777777" w:rsidR="00634034" w:rsidRDefault="00634034" w:rsidP="00634034">
      <w:pPr>
        <w:pStyle w:val="BodyText"/>
        <w:numPr>
          <w:ilvl w:val="0"/>
          <w:numId w:val="79"/>
        </w:numPr>
      </w:pPr>
      <w:r>
        <w:t>Observations about use of e</w:t>
      </w:r>
      <w:r>
        <w:noBreakHyphen/>
        <w:t>cigarettes in Australia have occurred under the current regulatory restrictions for use, thus changes in regulations may lead to different observations.</w:t>
      </w:r>
    </w:p>
    <w:p w14:paraId="631F82E2" w14:textId="77777777" w:rsidR="00634034" w:rsidRDefault="00634034" w:rsidP="00634034">
      <w:pPr>
        <w:pStyle w:val="BodyText"/>
        <w:numPr>
          <w:ilvl w:val="0"/>
          <w:numId w:val="79"/>
        </w:numPr>
      </w:pPr>
      <w:r>
        <w:lastRenderedPageBreak/>
        <w:t>I</w:t>
      </w:r>
      <w:r w:rsidRPr="00EE42D7">
        <w:t>t is difficult to assess whether social ‘normalisation’ of personal devices for inhaling vapour would impact acceptance of cigarette smoking, or regulations to discourage the smoking of cigarettes.</w:t>
      </w:r>
    </w:p>
    <w:sdt>
      <w:sdtPr>
        <w:rPr>
          <w:rStyle w:val="PartNumber"/>
          <w:sz w:val="22"/>
        </w:rPr>
        <w:id w:val="-525328514"/>
        <w:docPartObj>
          <w:docPartGallery w:val="Cover Pages"/>
        </w:docPartObj>
      </w:sdtPr>
      <w:sdtEndPr>
        <w:rPr>
          <w:rStyle w:val="DefaultParagraphFont"/>
          <w:color w:val="000000"/>
          <w:sz w:val="24"/>
        </w:rPr>
      </w:sdtEndPr>
      <w:sdtContent>
        <w:p w14:paraId="4AED0546" w14:textId="77777777" w:rsidR="000E2E72" w:rsidRDefault="000E2E72" w:rsidP="000E2E72">
          <w:pPr>
            <w:pStyle w:val="BodyText"/>
          </w:pPr>
        </w:p>
        <w:p w14:paraId="01F01ADC" w14:textId="7657DAAC" w:rsidR="00D0314F" w:rsidRDefault="00D0314F" w:rsidP="00D0314F">
          <w:pPr>
            <w:pStyle w:val="Heading2"/>
          </w:pPr>
          <w:r>
            <w:t xml:space="preserve"> </w:t>
          </w:r>
          <w:bookmarkStart w:id="239" w:name="_Toc517706725"/>
          <w:r>
            <w:t>NHMRC Funding related to e-cigarettes</w:t>
          </w:r>
          <w:bookmarkEnd w:id="239"/>
        </w:p>
        <w:p w14:paraId="734327E3" w14:textId="77777777" w:rsidR="00634034" w:rsidRDefault="00D0314F" w:rsidP="00D0314F">
          <w:pPr>
            <w:pStyle w:val="BodyText"/>
          </w:pPr>
          <w:r>
            <w:t>Funding awarded by the National Health and Medical Research Council (NHMRC) to projects and programs related to e-cigarettes</w:t>
          </w:r>
          <w:r w:rsidR="00360569">
            <w:t>, and their descriptions,</w:t>
          </w:r>
          <w:r>
            <w:t xml:space="preserve"> </w:t>
          </w:r>
          <w:r w:rsidR="00360569">
            <w:t>are</w:t>
          </w:r>
          <w:r>
            <w:t xml:space="preserve"> listed in Table </w:t>
          </w:r>
          <w:r w:rsidR="003D2CBD">
            <w:t>23</w:t>
          </w:r>
          <w:r>
            <w:t xml:space="preserve">. A substantial commitment </w:t>
          </w:r>
          <w:r w:rsidR="00726029">
            <w:t xml:space="preserve">of </w:t>
          </w:r>
          <w:r w:rsidR="00AE1C68">
            <w:t xml:space="preserve">over $6 million </w:t>
          </w:r>
          <w:r>
            <w:t xml:space="preserve">has been made and </w:t>
          </w:r>
          <w:r w:rsidR="00AE1C68">
            <w:t xml:space="preserve">the results </w:t>
          </w:r>
          <w:r>
            <w:t xml:space="preserve">of </w:t>
          </w:r>
          <w:r w:rsidR="00AE1C68">
            <w:t xml:space="preserve">many of </w:t>
          </w:r>
          <w:r>
            <w:t xml:space="preserve">these </w:t>
          </w:r>
          <w:r w:rsidR="00AE1C68">
            <w:t xml:space="preserve">studies </w:t>
          </w:r>
          <w:r>
            <w:t xml:space="preserve">are expected to </w:t>
          </w:r>
          <w:r w:rsidR="00AE1C68">
            <w:t xml:space="preserve">be </w:t>
          </w:r>
          <w:r>
            <w:t>report</w:t>
          </w:r>
          <w:r w:rsidR="00AE1C68">
            <w:t>ed</w:t>
          </w:r>
          <w:r>
            <w:t xml:space="preserve"> in the next 3</w:t>
          </w:r>
          <w:r w:rsidR="00AE1C68">
            <w:noBreakHyphen/>
          </w:r>
          <w:r>
            <w:t xml:space="preserve">5 years. This will provide </w:t>
          </w:r>
          <w:r w:rsidR="00AE1C68">
            <w:t>m</w:t>
          </w:r>
          <w:r>
            <w:t>uch need</w:t>
          </w:r>
          <w:r w:rsidR="00AE1C68">
            <w:t>ed information of r</w:t>
          </w:r>
          <w:r w:rsidR="00726029">
            <w:t>elevance directly f</w:t>
          </w:r>
          <w:r w:rsidR="00AE1C68">
            <w:t>o</w:t>
          </w:r>
          <w:r w:rsidR="00726029">
            <w:t>r</w:t>
          </w:r>
          <w:r w:rsidR="00AE1C68">
            <w:t xml:space="preserve"> Australia, but also more broadly.</w:t>
          </w:r>
        </w:p>
        <w:p w14:paraId="725E119F" w14:textId="77777777" w:rsidR="00634034" w:rsidRDefault="003D2CBD" w:rsidP="003D2CBD">
          <w:pPr>
            <w:pStyle w:val="Caption"/>
          </w:pPr>
          <w:bookmarkStart w:id="240" w:name="_Toc516736716"/>
          <w:bookmarkStart w:id="241" w:name="_Toc517707432"/>
          <w:r>
            <w:t xml:space="preserve">Table </w:t>
          </w:r>
          <w:r w:rsidR="0048064B">
            <w:rPr>
              <w:noProof/>
            </w:rPr>
            <w:fldChar w:fldCharType="begin"/>
          </w:r>
          <w:r w:rsidR="0048064B">
            <w:rPr>
              <w:noProof/>
            </w:rPr>
            <w:instrText xml:space="preserve"> SEQ Table \* ARABIC </w:instrText>
          </w:r>
          <w:r w:rsidR="0048064B">
            <w:rPr>
              <w:noProof/>
            </w:rPr>
            <w:fldChar w:fldCharType="separate"/>
          </w:r>
          <w:r w:rsidR="000C06DA">
            <w:rPr>
              <w:noProof/>
            </w:rPr>
            <w:t>23</w:t>
          </w:r>
          <w:r w:rsidR="0048064B">
            <w:rPr>
              <w:noProof/>
            </w:rPr>
            <w:fldChar w:fldCharType="end"/>
          </w:r>
          <w:r w:rsidR="00634034">
            <w:t xml:space="preserve">: </w:t>
          </w:r>
          <w:r w:rsidR="00634034" w:rsidRPr="00FA2616">
            <w:t>E-cigarette project</w:t>
          </w:r>
          <w:r w:rsidR="00AE1C68">
            <w:t>s</w:t>
          </w:r>
          <w:r w:rsidR="00634034" w:rsidRPr="00FA2616">
            <w:t xml:space="preserve"> funded by NHMRC grants</w:t>
          </w:r>
          <w:bookmarkEnd w:id="240"/>
          <w:r w:rsidR="00634034">
            <w:t>.</w:t>
          </w:r>
          <w:bookmarkEnd w:id="241"/>
        </w:p>
        <w:tbl>
          <w:tblPr>
            <w:tblStyle w:val="TableCSIRO"/>
            <w:tblW w:w="9668" w:type="dxa"/>
            <w:tblLook w:val="04A0" w:firstRow="1" w:lastRow="0" w:firstColumn="1" w:lastColumn="0" w:noHBand="0" w:noVBand="1"/>
          </w:tblPr>
          <w:tblGrid>
            <w:gridCol w:w="1730"/>
            <w:gridCol w:w="992"/>
            <w:gridCol w:w="899"/>
            <w:gridCol w:w="1369"/>
            <w:gridCol w:w="993"/>
            <w:gridCol w:w="3685"/>
          </w:tblGrid>
          <w:tr w:rsidR="00634034" w:rsidRPr="00E139FA" w14:paraId="3CF5D9A4" w14:textId="77777777" w:rsidTr="006C55C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30" w:type="dxa"/>
              </w:tcPr>
              <w:p w14:paraId="1DD6EFBC" w14:textId="77777777" w:rsidR="00634034" w:rsidRPr="00E139FA" w:rsidRDefault="00634034" w:rsidP="006C55CC">
                <w:pPr>
                  <w:pStyle w:val="BodyText"/>
                  <w:rPr>
                    <w:color w:val="FFFFFF" w:themeColor="background1"/>
                    <w:sz w:val="16"/>
                    <w:szCs w:val="16"/>
                  </w:rPr>
                </w:pPr>
                <w:r w:rsidRPr="00E139FA">
                  <w:rPr>
                    <w:color w:val="FFFFFF" w:themeColor="background1"/>
                    <w:sz w:val="16"/>
                    <w:szCs w:val="16"/>
                  </w:rPr>
                  <w:t>Grant Title</w:t>
                </w:r>
              </w:p>
            </w:tc>
            <w:tc>
              <w:tcPr>
                <w:tcW w:w="992" w:type="dxa"/>
              </w:tcPr>
              <w:p w14:paraId="59B7B339" w14:textId="77777777" w:rsidR="00634034" w:rsidRPr="00E139FA" w:rsidRDefault="00634034" w:rsidP="006C55CC">
                <w:pPr>
                  <w:pStyle w:val="BodyText"/>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Pr>
                    <w:color w:val="FFFFFF" w:themeColor="background1"/>
                    <w:sz w:val="16"/>
                    <w:szCs w:val="16"/>
                  </w:rPr>
                  <w:t>Years active</w:t>
                </w:r>
              </w:p>
            </w:tc>
            <w:tc>
              <w:tcPr>
                <w:tcW w:w="899" w:type="dxa"/>
              </w:tcPr>
              <w:p w14:paraId="776366D3" w14:textId="77777777" w:rsidR="00634034" w:rsidRDefault="00634034" w:rsidP="006C55CC">
                <w:pPr>
                  <w:pStyle w:val="BodyText"/>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Pr>
                    <w:color w:val="FFFFFF" w:themeColor="background1"/>
                    <w:sz w:val="16"/>
                    <w:szCs w:val="16"/>
                  </w:rPr>
                  <w:t>Budget</w:t>
                </w:r>
              </w:p>
            </w:tc>
            <w:tc>
              <w:tcPr>
                <w:tcW w:w="1369" w:type="dxa"/>
              </w:tcPr>
              <w:p w14:paraId="3B6C93AE" w14:textId="77777777" w:rsidR="00634034" w:rsidRPr="00E139FA" w:rsidRDefault="00634034" w:rsidP="006C55CC">
                <w:pPr>
                  <w:pStyle w:val="BodyText"/>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Pr>
                    <w:color w:val="FFFFFF" w:themeColor="background1"/>
                    <w:sz w:val="16"/>
                    <w:szCs w:val="16"/>
                  </w:rPr>
                  <w:t>Chief investigator</w:t>
                </w:r>
              </w:p>
            </w:tc>
            <w:tc>
              <w:tcPr>
                <w:tcW w:w="993" w:type="dxa"/>
              </w:tcPr>
              <w:p w14:paraId="4F6A4AC2" w14:textId="77777777" w:rsidR="00634034" w:rsidRPr="00E139FA" w:rsidRDefault="00634034" w:rsidP="006C55CC">
                <w:pPr>
                  <w:pStyle w:val="BodyText"/>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E139FA">
                  <w:rPr>
                    <w:color w:val="FFFFFF" w:themeColor="background1"/>
                    <w:sz w:val="16"/>
                    <w:szCs w:val="16"/>
                  </w:rPr>
                  <w:t>Institution</w:t>
                </w:r>
              </w:p>
            </w:tc>
            <w:tc>
              <w:tcPr>
                <w:tcW w:w="3685" w:type="dxa"/>
              </w:tcPr>
              <w:p w14:paraId="3BC2D86E" w14:textId="77777777" w:rsidR="00634034" w:rsidRPr="00E139FA" w:rsidRDefault="00634034" w:rsidP="006C55CC">
                <w:pPr>
                  <w:pStyle w:val="BodyText"/>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Pr>
                    <w:color w:val="FFFFFF" w:themeColor="background1"/>
                    <w:sz w:val="16"/>
                    <w:szCs w:val="16"/>
                  </w:rPr>
                  <w:t>Project d</w:t>
                </w:r>
                <w:r w:rsidRPr="00E139FA">
                  <w:rPr>
                    <w:color w:val="FFFFFF" w:themeColor="background1"/>
                    <w:sz w:val="16"/>
                    <w:szCs w:val="16"/>
                  </w:rPr>
                  <w:t xml:space="preserve">escription </w:t>
                </w:r>
              </w:p>
            </w:tc>
          </w:tr>
          <w:tr w:rsidR="00634034" w:rsidRPr="00E139FA" w14:paraId="43C90C26" w14:textId="77777777" w:rsidTr="006C55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0" w:type="dxa"/>
              </w:tcPr>
              <w:p w14:paraId="3EAB2EB6" w14:textId="77777777" w:rsidR="00634034" w:rsidRPr="00E139FA" w:rsidRDefault="00634034" w:rsidP="006C55CC">
                <w:pPr>
                  <w:pStyle w:val="BodyText"/>
                  <w:rPr>
                    <w:sz w:val="16"/>
                    <w:szCs w:val="16"/>
                  </w:rPr>
                </w:pPr>
                <w:r w:rsidRPr="00E139FA">
                  <w:rPr>
                    <w:sz w:val="16"/>
                    <w:szCs w:val="16"/>
                  </w:rPr>
                  <w:t>The health effects of electronic-cigarettes</w:t>
                </w:r>
              </w:p>
            </w:tc>
            <w:tc>
              <w:tcPr>
                <w:tcW w:w="992" w:type="dxa"/>
              </w:tcPr>
              <w:p w14:paraId="482BD68E" w14:textId="77777777" w:rsidR="00634034" w:rsidRPr="00E139FA" w:rsidRDefault="00634034" w:rsidP="006C55CC">
                <w:pPr>
                  <w:pStyle w:val="BodyTex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2017 – 2019 </w:t>
                </w:r>
              </w:p>
            </w:tc>
            <w:tc>
              <w:tcPr>
                <w:tcW w:w="899" w:type="dxa"/>
              </w:tcPr>
              <w:p w14:paraId="54D2E8A4" w14:textId="77777777" w:rsidR="00634034" w:rsidRPr="00E139FA" w:rsidRDefault="00634034" w:rsidP="006C55CC">
                <w:pPr>
                  <w:pStyle w:val="BodyText"/>
                  <w:cnfStyle w:val="000000100000" w:firstRow="0" w:lastRow="0" w:firstColumn="0" w:lastColumn="0" w:oddVBand="0" w:evenVBand="0" w:oddHBand="1" w:evenHBand="0" w:firstRowFirstColumn="0" w:firstRowLastColumn="0" w:lastRowFirstColumn="0" w:lastRowLastColumn="0"/>
                  <w:rPr>
                    <w:sz w:val="16"/>
                    <w:szCs w:val="16"/>
                  </w:rPr>
                </w:pPr>
                <w:r w:rsidRPr="00E139FA">
                  <w:rPr>
                    <w:sz w:val="16"/>
                    <w:szCs w:val="16"/>
                  </w:rPr>
                  <w:t>$571,260</w:t>
                </w:r>
              </w:p>
            </w:tc>
            <w:tc>
              <w:tcPr>
                <w:tcW w:w="1369" w:type="dxa"/>
              </w:tcPr>
              <w:p w14:paraId="3A33BA5D" w14:textId="77777777" w:rsidR="00634034" w:rsidRPr="00E139FA" w:rsidRDefault="00634034" w:rsidP="006C55CC">
                <w:pPr>
                  <w:pStyle w:val="BodyTex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Associate </w:t>
                </w:r>
                <w:r w:rsidRPr="00E139FA">
                  <w:rPr>
                    <w:sz w:val="16"/>
                    <w:szCs w:val="16"/>
                  </w:rPr>
                  <w:t>Pr</w:t>
                </w:r>
                <w:r>
                  <w:rPr>
                    <w:sz w:val="16"/>
                    <w:szCs w:val="16"/>
                  </w:rPr>
                  <w:t>ofessor</w:t>
                </w:r>
                <w:r w:rsidRPr="00E139FA">
                  <w:rPr>
                    <w:sz w:val="16"/>
                    <w:szCs w:val="16"/>
                  </w:rPr>
                  <w:t xml:space="preserve"> </w:t>
                </w:r>
                <w:r w:rsidRPr="00AE2369">
                  <w:rPr>
                    <w:sz w:val="16"/>
                    <w:szCs w:val="16"/>
                  </w:rPr>
                  <w:t>Alexander Larcombe</w:t>
                </w:r>
              </w:p>
            </w:tc>
            <w:tc>
              <w:tcPr>
                <w:tcW w:w="993" w:type="dxa"/>
              </w:tcPr>
              <w:p w14:paraId="6D815301" w14:textId="77777777" w:rsidR="00634034" w:rsidRPr="00E139FA" w:rsidRDefault="00634034" w:rsidP="006C55CC">
                <w:pPr>
                  <w:pStyle w:val="BodyText"/>
                  <w:cnfStyle w:val="000000100000" w:firstRow="0" w:lastRow="0" w:firstColumn="0" w:lastColumn="0" w:oddVBand="0" w:evenVBand="0" w:oddHBand="1" w:evenHBand="0" w:firstRowFirstColumn="0" w:firstRowLastColumn="0" w:lastRowFirstColumn="0" w:lastRowLastColumn="0"/>
                  <w:rPr>
                    <w:sz w:val="16"/>
                    <w:szCs w:val="16"/>
                  </w:rPr>
                </w:pPr>
                <w:r w:rsidRPr="00E139FA">
                  <w:rPr>
                    <w:sz w:val="16"/>
                    <w:szCs w:val="16"/>
                  </w:rPr>
                  <w:t>University of Western Australia</w:t>
                </w:r>
              </w:p>
            </w:tc>
            <w:tc>
              <w:tcPr>
                <w:tcW w:w="3685" w:type="dxa"/>
              </w:tcPr>
              <w:p w14:paraId="155A49AC" w14:textId="77777777" w:rsidR="00634034" w:rsidRPr="00E139FA" w:rsidRDefault="00634034" w:rsidP="006C55CC">
                <w:pPr>
                  <w:pStyle w:val="BodyText"/>
                  <w:cnfStyle w:val="000000100000" w:firstRow="0" w:lastRow="0" w:firstColumn="0" w:lastColumn="0" w:oddVBand="0" w:evenVBand="0" w:oddHBand="1" w:evenHBand="0" w:firstRowFirstColumn="0" w:firstRowLastColumn="0" w:lastRowFirstColumn="0" w:lastRowLastColumn="0"/>
                  <w:rPr>
                    <w:sz w:val="16"/>
                    <w:szCs w:val="16"/>
                  </w:rPr>
                </w:pPr>
                <w:r w:rsidRPr="00AE2369">
                  <w:rPr>
                    <w:sz w:val="16"/>
                    <w:szCs w:val="16"/>
                  </w:rPr>
                  <w:t>The health effects of electronic cigarette use are virtually unknown. They have only recently been introduced into widespread use, and as such their effects on human health will not be known for many years. We will use our expertise in exposure models and health outcome measurement to provide timely hard-data on their potential to impact health – data that are urgently required to guide policy makers in this area.</w:t>
                </w:r>
              </w:p>
            </w:tc>
          </w:tr>
          <w:tr w:rsidR="00634034" w:rsidRPr="00E139FA" w14:paraId="6BE1E40D" w14:textId="77777777" w:rsidTr="006C55CC">
            <w:tc>
              <w:tcPr>
                <w:cnfStyle w:val="001000000000" w:firstRow="0" w:lastRow="0" w:firstColumn="1" w:lastColumn="0" w:oddVBand="0" w:evenVBand="0" w:oddHBand="0" w:evenHBand="0" w:firstRowFirstColumn="0" w:firstRowLastColumn="0" w:lastRowFirstColumn="0" w:lastRowLastColumn="0"/>
                <w:tcW w:w="1730" w:type="dxa"/>
              </w:tcPr>
              <w:p w14:paraId="12E3DE48" w14:textId="77777777" w:rsidR="00634034" w:rsidRPr="00E139FA" w:rsidRDefault="00634034" w:rsidP="006C55CC">
                <w:pPr>
                  <w:pStyle w:val="BodyText"/>
                  <w:rPr>
                    <w:sz w:val="16"/>
                    <w:szCs w:val="16"/>
                  </w:rPr>
                </w:pPr>
                <w:r w:rsidRPr="00E139FA">
                  <w:rPr>
                    <w:sz w:val="16"/>
                    <w:szCs w:val="16"/>
                  </w:rPr>
                  <w:t>Adding an electronic-cigarette to standard behavioural treatment for low-socioeconomic status smokers: A randomised trial.</w:t>
                </w:r>
              </w:p>
            </w:tc>
            <w:tc>
              <w:tcPr>
                <w:tcW w:w="992" w:type="dxa"/>
              </w:tcPr>
              <w:p w14:paraId="4AD326C7" w14:textId="77777777" w:rsidR="00634034" w:rsidRPr="00E139FA" w:rsidRDefault="00634034" w:rsidP="006C55CC">
                <w:pPr>
                  <w:pStyle w:val="BodyTex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2017 – 2020</w:t>
                </w:r>
              </w:p>
            </w:tc>
            <w:tc>
              <w:tcPr>
                <w:tcW w:w="899" w:type="dxa"/>
              </w:tcPr>
              <w:p w14:paraId="21838A18" w14:textId="77777777" w:rsidR="00634034" w:rsidRPr="00E139FA" w:rsidRDefault="00634034" w:rsidP="006C55CC">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E139FA">
                  <w:rPr>
                    <w:sz w:val="16"/>
                    <w:szCs w:val="16"/>
                  </w:rPr>
                  <w:t>$1,381,127</w:t>
                </w:r>
              </w:p>
            </w:tc>
            <w:tc>
              <w:tcPr>
                <w:tcW w:w="1369" w:type="dxa"/>
              </w:tcPr>
              <w:p w14:paraId="4E55807A" w14:textId="77777777" w:rsidR="00634034" w:rsidRPr="00E139FA" w:rsidRDefault="00634034" w:rsidP="006C55CC">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AE2369">
                  <w:rPr>
                    <w:sz w:val="16"/>
                    <w:szCs w:val="16"/>
                  </w:rPr>
                  <w:t>Prof</w:t>
                </w:r>
                <w:r>
                  <w:rPr>
                    <w:sz w:val="16"/>
                    <w:szCs w:val="16"/>
                  </w:rPr>
                  <w:t>essor</w:t>
                </w:r>
                <w:r w:rsidRPr="00AE2369">
                  <w:rPr>
                    <w:sz w:val="16"/>
                    <w:szCs w:val="16"/>
                  </w:rPr>
                  <w:t xml:space="preserve"> Richard Mattick</w:t>
                </w:r>
              </w:p>
            </w:tc>
            <w:tc>
              <w:tcPr>
                <w:tcW w:w="993" w:type="dxa"/>
              </w:tcPr>
              <w:p w14:paraId="412EA648" w14:textId="77777777" w:rsidR="00634034" w:rsidRPr="00E139FA" w:rsidRDefault="00634034" w:rsidP="006C55CC">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E139FA">
                  <w:rPr>
                    <w:sz w:val="16"/>
                    <w:szCs w:val="16"/>
                  </w:rPr>
                  <w:t>University of New South Wales</w:t>
                </w:r>
              </w:p>
            </w:tc>
            <w:tc>
              <w:tcPr>
                <w:tcW w:w="3685" w:type="dxa"/>
              </w:tcPr>
              <w:p w14:paraId="35ADE974" w14:textId="1CDAA3F5" w:rsidR="00634034" w:rsidRPr="00AE2369" w:rsidRDefault="00634034" w:rsidP="006C55CC">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E2369">
                  <w:rPr>
                    <w:rFonts w:cs="Calibri"/>
                    <w:sz w:val="16"/>
                    <w:szCs w:val="16"/>
                  </w:rPr>
                  <w:t>Behavioural and pharmacological approaches to smoking cessation are effective at helping people to quit but long-term quit rates remain low, especially among low-SES Australians. The electronic cigarette may complement current treatment approaches. We will conduct a large-scale trial to determine if “e</w:t>
                </w:r>
                <w:r w:rsidR="00BA015F">
                  <w:rPr>
                    <w:rFonts w:cs="Calibri"/>
                    <w:sz w:val="16"/>
                    <w:szCs w:val="16"/>
                  </w:rPr>
                  <w:noBreakHyphen/>
                </w:r>
                <w:r w:rsidRPr="00AE2369">
                  <w:rPr>
                    <w:rFonts w:cs="Calibri"/>
                    <w:sz w:val="16"/>
                    <w:szCs w:val="16"/>
                  </w:rPr>
                  <w:t>cigarettes” can improve on the efficacy of existing treatments. The findings would have immediate practical implications that could reduce the preventable deaths of many tobacco smokers.</w:t>
                </w:r>
              </w:p>
            </w:tc>
          </w:tr>
          <w:tr w:rsidR="00634034" w:rsidRPr="00E139FA" w14:paraId="664E0BBF" w14:textId="77777777" w:rsidTr="006C55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0" w:type="dxa"/>
              </w:tcPr>
              <w:p w14:paraId="53F6A98D" w14:textId="77777777" w:rsidR="00634034" w:rsidRPr="00E139FA" w:rsidRDefault="00634034" w:rsidP="006C55CC">
                <w:pPr>
                  <w:pStyle w:val="BodyText"/>
                  <w:rPr>
                    <w:sz w:val="16"/>
                    <w:szCs w:val="16"/>
                  </w:rPr>
                </w:pPr>
                <w:r w:rsidRPr="00E139FA">
                  <w:rPr>
                    <w:sz w:val="16"/>
                    <w:szCs w:val="16"/>
                  </w:rPr>
                  <w:t>A Pragmatic Randomised Clinical Trial of Nicotine Vaporisers added to Smoking Cessation Treatment for Priority Populations Living with Comorbidities</w:t>
                </w:r>
              </w:p>
            </w:tc>
            <w:tc>
              <w:tcPr>
                <w:tcW w:w="992" w:type="dxa"/>
              </w:tcPr>
              <w:p w14:paraId="38D3768A" w14:textId="77777777" w:rsidR="00634034" w:rsidRPr="00E139FA" w:rsidRDefault="00634034" w:rsidP="006C55CC">
                <w:pPr>
                  <w:pStyle w:val="BodyTex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2017 – 2021 </w:t>
                </w:r>
              </w:p>
            </w:tc>
            <w:tc>
              <w:tcPr>
                <w:tcW w:w="899" w:type="dxa"/>
              </w:tcPr>
              <w:p w14:paraId="237770B0" w14:textId="77777777" w:rsidR="00634034" w:rsidRPr="00E139FA" w:rsidRDefault="00634034" w:rsidP="006C55CC">
                <w:pPr>
                  <w:pStyle w:val="BodyText"/>
                  <w:cnfStyle w:val="000000100000" w:firstRow="0" w:lastRow="0" w:firstColumn="0" w:lastColumn="0" w:oddVBand="0" w:evenVBand="0" w:oddHBand="1" w:evenHBand="0" w:firstRowFirstColumn="0" w:firstRowLastColumn="0" w:lastRowFirstColumn="0" w:lastRowLastColumn="0"/>
                  <w:rPr>
                    <w:sz w:val="16"/>
                    <w:szCs w:val="16"/>
                  </w:rPr>
                </w:pPr>
                <w:r w:rsidRPr="00E139FA">
                  <w:rPr>
                    <w:sz w:val="16"/>
                    <w:szCs w:val="16"/>
                  </w:rPr>
                  <w:t>$1,499,145</w:t>
                </w:r>
              </w:p>
            </w:tc>
            <w:tc>
              <w:tcPr>
                <w:tcW w:w="1369" w:type="dxa"/>
              </w:tcPr>
              <w:p w14:paraId="382AE0A3" w14:textId="77777777" w:rsidR="00634034" w:rsidRPr="00E139FA" w:rsidRDefault="00634034" w:rsidP="006C55CC">
                <w:pPr>
                  <w:pStyle w:val="BodyText"/>
                  <w:cnfStyle w:val="000000100000" w:firstRow="0" w:lastRow="0" w:firstColumn="0" w:lastColumn="0" w:oddVBand="0" w:evenVBand="0" w:oddHBand="1" w:evenHBand="0" w:firstRowFirstColumn="0" w:firstRowLastColumn="0" w:lastRowFirstColumn="0" w:lastRowLastColumn="0"/>
                  <w:rPr>
                    <w:sz w:val="16"/>
                    <w:szCs w:val="16"/>
                  </w:rPr>
                </w:pPr>
                <w:r w:rsidRPr="00E139FA">
                  <w:rPr>
                    <w:sz w:val="16"/>
                    <w:szCs w:val="16"/>
                  </w:rPr>
                  <w:t>Dr Coral Gartner</w:t>
                </w:r>
              </w:p>
            </w:tc>
            <w:tc>
              <w:tcPr>
                <w:tcW w:w="993" w:type="dxa"/>
              </w:tcPr>
              <w:p w14:paraId="5FF898BE" w14:textId="77777777" w:rsidR="00634034" w:rsidRPr="00E139FA" w:rsidRDefault="00634034" w:rsidP="006C55CC">
                <w:pPr>
                  <w:pStyle w:val="BodyText"/>
                  <w:cnfStyle w:val="000000100000" w:firstRow="0" w:lastRow="0" w:firstColumn="0" w:lastColumn="0" w:oddVBand="0" w:evenVBand="0" w:oddHBand="1" w:evenHBand="0" w:firstRowFirstColumn="0" w:firstRowLastColumn="0" w:lastRowFirstColumn="0" w:lastRowLastColumn="0"/>
                  <w:rPr>
                    <w:sz w:val="16"/>
                    <w:szCs w:val="16"/>
                  </w:rPr>
                </w:pPr>
                <w:r w:rsidRPr="00E139FA">
                  <w:rPr>
                    <w:sz w:val="16"/>
                    <w:szCs w:val="16"/>
                  </w:rPr>
                  <w:t>University of Queensland</w:t>
                </w:r>
              </w:p>
            </w:tc>
            <w:tc>
              <w:tcPr>
                <w:tcW w:w="3685" w:type="dxa"/>
              </w:tcPr>
              <w:p w14:paraId="5F088E75" w14:textId="77777777" w:rsidR="00634034" w:rsidRPr="00E139FA" w:rsidRDefault="00634034" w:rsidP="006C55CC">
                <w:pPr>
                  <w:pStyle w:val="BodyText"/>
                  <w:cnfStyle w:val="000000100000" w:firstRow="0" w:lastRow="0" w:firstColumn="0" w:lastColumn="0" w:oddVBand="0" w:evenVBand="0" w:oddHBand="1" w:evenHBand="0" w:firstRowFirstColumn="0" w:firstRowLastColumn="0" w:lastRowFirstColumn="0" w:lastRowLastColumn="0"/>
                  <w:rPr>
                    <w:sz w:val="16"/>
                    <w:szCs w:val="16"/>
                  </w:rPr>
                </w:pPr>
                <w:r w:rsidRPr="00636D3E">
                  <w:rPr>
                    <w:sz w:val="16"/>
                    <w:szCs w:val="16"/>
                  </w:rPr>
                  <w:t>Smoking is a leading cause of early death for people with certain health conditions because they are more likely to smoke and are also at greater risk of tobacco-related disease.</w:t>
                </w:r>
                <w:r>
                  <w:rPr>
                    <w:sz w:val="16"/>
                    <w:szCs w:val="16"/>
                  </w:rPr>
                  <w:t xml:space="preserve"> </w:t>
                </w:r>
                <w:r w:rsidRPr="00636D3E">
                  <w:rPr>
                    <w:sz w:val="16"/>
                    <w:szCs w:val="16"/>
                  </w:rPr>
                  <w:t>This clinical trial will test whether encouraging people living with Hepatitis C Virus, people on opiate substitution therapy and people living with HIV who smoke to use nicotine vaporisers long-term, in addition to current smoking cessation treatments, will help them to stay abstinent from smoking.</w:t>
                </w:r>
              </w:p>
            </w:tc>
          </w:tr>
          <w:tr w:rsidR="00634034" w:rsidRPr="00E139FA" w14:paraId="02D4A7B6" w14:textId="77777777" w:rsidTr="006C55CC">
            <w:tc>
              <w:tcPr>
                <w:cnfStyle w:val="001000000000" w:firstRow="0" w:lastRow="0" w:firstColumn="1" w:lastColumn="0" w:oddVBand="0" w:evenVBand="0" w:oddHBand="0" w:evenHBand="0" w:firstRowFirstColumn="0" w:firstRowLastColumn="0" w:lastRowFirstColumn="0" w:lastRowLastColumn="0"/>
                <w:tcW w:w="1730" w:type="dxa"/>
              </w:tcPr>
              <w:p w14:paraId="5B259825" w14:textId="77777777" w:rsidR="00634034" w:rsidRPr="00E139FA" w:rsidRDefault="00634034" w:rsidP="006C55CC">
                <w:pPr>
                  <w:pStyle w:val="BodyText"/>
                  <w:rPr>
                    <w:sz w:val="16"/>
                    <w:szCs w:val="16"/>
                  </w:rPr>
                </w:pPr>
                <w:r w:rsidRPr="00E139FA">
                  <w:rPr>
                    <w:sz w:val="16"/>
                    <w:szCs w:val="16"/>
                  </w:rPr>
                  <w:t>Understanding the impacts of Vaporised Nicotine Products on smoking in Australia</w:t>
                </w:r>
              </w:p>
            </w:tc>
            <w:tc>
              <w:tcPr>
                <w:tcW w:w="992" w:type="dxa"/>
              </w:tcPr>
              <w:p w14:paraId="4C4AA3A6" w14:textId="77777777" w:rsidR="00634034" w:rsidRPr="00E139FA" w:rsidRDefault="00634034" w:rsidP="006C55CC">
                <w:pPr>
                  <w:pStyle w:val="BodyTex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2016 – 2020 </w:t>
                </w:r>
              </w:p>
            </w:tc>
            <w:tc>
              <w:tcPr>
                <w:tcW w:w="899" w:type="dxa"/>
              </w:tcPr>
              <w:p w14:paraId="6674F9D5" w14:textId="77777777" w:rsidR="00634034" w:rsidRPr="00E139FA" w:rsidRDefault="00634034" w:rsidP="006C55CC">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E139FA">
                  <w:rPr>
                    <w:sz w:val="16"/>
                    <w:szCs w:val="16"/>
                  </w:rPr>
                  <w:t>$1,603,159</w:t>
                </w:r>
              </w:p>
            </w:tc>
            <w:tc>
              <w:tcPr>
                <w:tcW w:w="1369" w:type="dxa"/>
              </w:tcPr>
              <w:p w14:paraId="30A15B1D" w14:textId="77777777" w:rsidR="00634034" w:rsidRPr="00E139FA" w:rsidRDefault="00634034" w:rsidP="006C55CC">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E139FA">
                  <w:rPr>
                    <w:sz w:val="16"/>
                    <w:szCs w:val="16"/>
                  </w:rPr>
                  <w:t>Prof</w:t>
                </w:r>
                <w:r>
                  <w:rPr>
                    <w:sz w:val="16"/>
                    <w:szCs w:val="16"/>
                  </w:rPr>
                  <w:t>essor</w:t>
                </w:r>
                <w:r w:rsidRPr="00E139FA">
                  <w:rPr>
                    <w:sz w:val="16"/>
                    <w:szCs w:val="16"/>
                  </w:rPr>
                  <w:t xml:space="preserve"> Ron Borland</w:t>
                </w:r>
              </w:p>
            </w:tc>
            <w:tc>
              <w:tcPr>
                <w:tcW w:w="993" w:type="dxa"/>
              </w:tcPr>
              <w:p w14:paraId="39312F3E" w14:textId="77777777" w:rsidR="00634034" w:rsidRPr="00E139FA" w:rsidRDefault="00634034" w:rsidP="006C55CC">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E139FA">
                  <w:rPr>
                    <w:sz w:val="16"/>
                    <w:szCs w:val="16"/>
                  </w:rPr>
                  <w:t>Cancer Council Victoria</w:t>
                </w:r>
              </w:p>
            </w:tc>
            <w:tc>
              <w:tcPr>
                <w:tcW w:w="3685" w:type="dxa"/>
              </w:tcPr>
              <w:p w14:paraId="2EEE30D8" w14:textId="2B409EB1" w:rsidR="00634034" w:rsidRPr="00E139FA" w:rsidRDefault="00634034" w:rsidP="006C55CC">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E139FA">
                  <w:rPr>
                    <w:sz w:val="16"/>
                    <w:szCs w:val="16"/>
                  </w:rPr>
                  <w:t>Vaporised nicotine products (e.g. e-cigarettes) are widely used in Australia, even though possession of the nicotine fluid without a permit is an offence.</w:t>
                </w:r>
                <w:r w:rsidR="008146F9">
                  <w:rPr>
                    <w:sz w:val="16"/>
                    <w:szCs w:val="16"/>
                  </w:rPr>
                  <w:t xml:space="preserve"> </w:t>
                </w:r>
                <w:r w:rsidRPr="00E139FA">
                  <w:rPr>
                    <w:sz w:val="16"/>
                    <w:szCs w:val="16"/>
                  </w:rPr>
                  <w:t>They are primarily used by smokers as a means of quitting.</w:t>
                </w:r>
                <w:r w:rsidR="008146F9">
                  <w:rPr>
                    <w:sz w:val="16"/>
                    <w:szCs w:val="16"/>
                  </w:rPr>
                  <w:t xml:space="preserve"> </w:t>
                </w:r>
                <w:r w:rsidRPr="00E139FA">
                  <w:rPr>
                    <w:sz w:val="16"/>
                    <w:szCs w:val="16"/>
                  </w:rPr>
                  <w:t>However, there is concern about their potential attractiveness and uptake by non-smokers. The aim is to identify how these products might be used to both maximise smoking cessation and minimise nicotine use, especially</w:t>
                </w:r>
                <w:r w:rsidR="008146F9">
                  <w:rPr>
                    <w:sz w:val="16"/>
                    <w:szCs w:val="16"/>
                  </w:rPr>
                  <w:t xml:space="preserve"> </w:t>
                </w:r>
                <w:r w:rsidRPr="00E139FA">
                  <w:rPr>
                    <w:sz w:val="16"/>
                    <w:szCs w:val="16"/>
                  </w:rPr>
                  <w:t>smoking uptake by non-smokers.</w:t>
                </w:r>
              </w:p>
            </w:tc>
          </w:tr>
          <w:tr w:rsidR="00634034" w:rsidRPr="00E139FA" w14:paraId="1E373BC9" w14:textId="77777777" w:rsidTr="006C55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0" w:type="dxa"/>
              </w:tcPr>
              <w:p w14:paraId="3332B168" w14:textId="77777777" w:rsidR="00634034" w:rsidRPr="00E139FA" w:rsidRDefault="00634034" w:rsidP="006C55CC">
                <w:pPr>
                  <w:pStyle w:val="BodyText"/>
                  <w:rPr>
                    <w:sz w:val="16"/>
                    <w:szCs w:val="16"/>
                  </w:rPr>
                </w:pPr>
                <w:r w:rsidRPr="00E139FA">
                  <w:rPr>
                    <w:sz w:val="16"/>
                    <w:szCs w:val="16"/>
                  </w:rPr>
                  <w:lastRenderedPageBreak/>
                  <w:t>Cardiometabolic Health of People with Severe and Persistent Mental Illness</w:t>
                </w:r>
              </w:p>
            </w:tc>
            <w:tc>
              <w:tcPr>
                <w:tcW w:w="992" w:type="dxa"/>
              </w:tcPr>
              <w:p w14:paraId="3ACCB6C7" w14:textId="77777777" w:rsidR="00634034" w:rsidRPr="00E139FA" w:rsidRDefault="00634034" w:rsidP="006C55CC">
                <w:pPr>
                  <w:pStyle w:val="BodyTex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2016 – 2019 </w:t>
                </w:r>
              </w:p>
            </w:tc>
            <w:tc>
              <w:tcPr>
                <w:tcW w:w="899" w:type="dxa"/>
              </w:tcPr>
              <w:p w14:paraId="5A8CD286" w14:textId="77777777" w:rsidR="00634034" w:rsidRPr="00E139FA" w:rsidRDefault="00634034" w:rsidP="006C55CC">
                <w:pPr>
                  <w:pStyle w:val="BodyText"/>
                  <w:cnfStyle w:val="000000100000" w:firstRow="0" w:lastRow="0" w:firstColumn="0" w:lastColumn="0" w:oddVBand="0" w:evenVBand="0" w:oddHBand="1" w:evenHBand="0" w:firstRowFirstColumn="0" w:firstRowLastColumn="0" w:lastRowFirstColumn="0" w:lastRowLastColumn="0"/>
                  <w:rPr>
                    <w:sz w:val="16"/>
                    <w:szCs w:val="16"/>
                  </w:rPr>
                </w:pPr>
                <w:r w:rsidRPr="00E139FA">
                  <w:rPr>
                    <w:sz w:val="16"/>
                    <w:szCs w:val="16"/>
                  </w:rPr>
                  <w:t>$187,322</w:t>
                </w:r>
              </w:p>
            </w:tc>
            <w:tc>
              <w:tcPr>
                <w:tcW w:w="1369" w:type="dxa"/>
              </w:tcPr>
              <w:p w14:paraId="67753D89" w14:textId="77777777" w:rsidR="00634034" w:rsidRPr="00E139FA" w:rsidRDefault="00634034" w:rsidP="006C55CC">
                <w:pPr>
                  <w:pStyle w:val="BodyTex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Associate </w:t>
                </w:r>
                <w:r w:rsidRPr="00E139FA">
                  <w:rPr>
                    <w:sz w:val="16"/>
                    <w:szCs w:val="16"/>
                  </w:rPr>
                  <w:t>Pr</w:t>
                </w:r>
                <w:r>
                  <w:rPr>
                    <w:sz w:val="16"/>
                    <w:szCs w:val="16"/>
                  </w:rPr>
                  <w:t>ofessor</w:t>
                </w:r>
                <w:r w:rsidRPr="00E139FA">
                  <w:rPr>
                    <w:sz w:val="16"/>
                    <w:szCs w:val="16"/>
                  </w:rPr>
                  <w:t xml:space="preserve"> Dan Siskind</w:t>
                </w:r>
              </w:p>
            </w:tc>
            <w:tc>
              <w:tcPr>
                <w:tcW w:w="993" w:type="dxa"/>
              </w:tcPr>
              <w:p w14:paraId="17C6AF54" w14:textId="77777777" w:rsidR="00634034" w:rsidRPr="00E139FA" w:rsidRDefault="00634034" w:rsidP="006C55CC">
                <w:pPr>
                  <w:pStyle w:val="BodyText"/>
                  <w:cnfStyle w:val="000000100000" w:firstRow="0" w:lastRow="0" w:firstColumn="0" w:lastColumn="0" w:oddVBand="0" w:evenVBand="0" w:oddHBand="1" w:evenHBand="0" w:firstRowFirstColumn="0" w:firstRowLastColumn="0" w:lastRowFirstColumn="0" w:lastRowLastColumn="0"/>
                  <w:rPr>
                    <w:sz w:val="16"/>
                    <w:szCs w:val="16"/>
                  </w:rPr>
                </w:pPr>
                <w:r w:rsidRPr="00E139FA">
                  <w:rPr>
                    <w:sz w:val="16"/>
                    <w:szCs w:val="16"/>
                  </w:rPr>
                  <w:t>University of Queensland</w:t>
                </w:r>
              </w:p>
            </w:tc>
            <w:tc>
              <w:tcPr>
                <w:tcW w:w="3685" w:type="dxa"/>
              </w:tcPr>
              <w:p w14:paraId="3C40D4F9" w14:textId="77777777" w:rsidR="00634034" w:rsidRPr="00E139FA" w:rsidRDefault="00634034" w:rsidP="006C55CC">
                <w:pPr>
                  <w:pStyle w:val="BodyText"/>
                  <w:cnfStyle w:val="000000100000" w:firstRow="0" w:lastRow="0" w:firstColumn="0" w:lastColumn="0" w:oddVBand="0" w:evenVBand="0" w:oddHBand="1" w:evenHBand="0" w:firstRowFirstColumn="0" w:firstRowLastColumn="0" w:lastRowFirstColumn="0" w:lastRowLastColumn="0"/>
                  <w:rPr>
                    <w:sz w:val="16"/>
                    <w:szCs w:val="16"/>
                  </w:rPr>
                </w:pPr>
                <w:r w:rsidRPr="00E139FA">
                  <w:rPr>
                    <w:sz w:val="16"/>
                    <w:szCs w:val="16"/>
                  </w:rPr>
                  <w:t>People with schizophrenia have much higher rates of smoking, obesity and diabetes. To date, psycho-social interventions to reduce these physical health risk factors have had limited success. This research aims to conduct clinical trials among people with schizophrenia of 1. a novel diabetes medication to help people lose weight and gain better control of their sugars, and 2. newly developed vaporised nicotine products to help reduce cigarette smoking.</w:t>
                </w:r>
              </w:p>
            </w:tc>
          </w:tr>
          <w:tr w:rsidR="00634034" w:rsidRPr="00E139FA" w14:paraId="74C603CC" w14:textId="77777777" w:rsidTr="006C55CC">
            <w:tc>
              <w:tcPr>
                <w:cnfStyle w:val="001000000000" w:firstRow="0" w:lastRow="0" w:firstColumn="1" w:lastColumn="0" w:oddVBand="0" w:evenVBand="0" w:oddHBand="0" w:evenHBand="0" w:firstRowFirstColumn="0" w:firstRowLastColumn="0" w:lastRowFirstColumn="0" w:lastRowLastColumn="0"/>
                <w:tcW w:w="1730" w:type="dxa"/>
              </w:tcPr>
              <w:p w14:paraId="47FD5401" w14:textId="77777777" w:rsidR="00634034" w:rsidRPr="00E139FA" w:rsidRDefault="00634034" w:rsidP="006C55CC">
                <w:pPr>
                  <w:pStyle w:val="BodyText"/>
                  <w:rPr>
                    <w:sz w:val="16"/>
                    <w:szCs w:val="16"/>
                  </w:rPr>
                </w:pPr>
                <w:r w:rsidRPr="00E139FA">
                  <w:rPr>
                    <w:sz w:val="16"/>
                    <w:szCs w:val="16"/>
                  </w:rPr>
                  <w:t>Public health policies and interventions to reduce tobacco-related harms among socially disadvantaged populations and ‘low probability quitters’</w:t>
                </w:r>
              </w:p>
            </w:tc>
            <w:tc>
              <w:tcPr>
                <w:tcW w:w="992" w:type="dxa"/>
              </w:tcPr>
              <w:p w14:paraId="5C8C76DD" w14:textId="77777777" w:rsidR="00634034" w:rsidRPr="00E139FA" w:rsidRDefault="00634034" w:rsidP="006C55CC">
                <w:pPr>
                  <w:pStyle w:val="BodyTex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2014</w:t>
                </w:r>
              </w:p>
            </w:tc>
            <w:tc>
              <w:tcPr>
                <w:tcW w:w="899" w:type="dxa"/>
              </w:tcPr>
              <w:p w14:paraId="13B8E796" w14:textId="77777777" w:rsidR="00634034" w:rsidRPr="00E139FA" w:rsidRDefault="00634034" w:rsidP="006C55CC">
                <w:pPr>
                  <w:pStyle w:val="BodyTex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$404,844</w:t>
                </w:r>
              </w:p>
            </w:tc>
            <w:tc>
              <w:tcPr>
                <w:tcW w:w="1369" w:type="dxa"/>
              </w:tcPr>
              <w:p w14:paraId="37991D2A" w14:textId="77777777" w:rsidR="00634034" w:rsidRPr="00E139FA" w:rsidRDefault="00634034" w:rsidP="006C55CC">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E139FA">
                  <w:rPr>
                    <w:sz w:val="16"/>
                    <w:szCs w:val="16"/>
                  </w:rPr>
                  <w:t>Dr Coral Gartner</w:t>
                </w:r>
              </w:p>
            </w:tc>
            <w:tc>
              <w:tcPr>
                <w:tcW w:w="993" w:type="dxa"/>
              </w:tcPr>
              <w:p w14:paraId="0800AC87" w14:textId="77777777" w:rsidR="00634034" w:rsidRPr="00E139FA" w:rsidRDefault="00634034" w:rsidP="006C55CC">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E139FA">
                  <w:rPr>
                    <w:sz w:val="16"/>
                    <w:szCs w:val="16"/>
                  </w:rPr>
                  <w:t>University of Queensland</w:t>
                </w:r>
              </w:p>
            </w:tc>
            <w:tc>
              <w:tcPr>
                <w:tcW w:w="3685" w:type="dxa"/>
              </w:tcPr>
              <w:p w14:paraId="1CE76979" w14:textId="77777777" w:rsidR="00634034" w:rsidRPr="00E139FA" w:rsidRDefault="00634034" w:rsidP="006C55CC">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E139FA">
                  <w:rPr>
                    <w:sz w:val="16"/>
                    <w:szCs w:val="16"/>
                  </w:rPr>
                  <w:t>Tobacco continues to be a leading cause of preventable death and disease in Australia. Those who are socially disadvantaged are at higher risk of smoking, which contributes to the health gap between the rich and poor. This research will provide evidence for policy makers on interventions which could reduce smoking among the most disadvantaged in society. It will also examine whether less harmful nicotine products could a reduce health risks in smokers who find quitting difficult.</w:t>
                </w:r>
              </w:p>
            </w:tc>
          </w:tr>
          <w:tr w:rsidR="00634034" w:rsidRPr="00E139FA" w14:paraId="7AA4832C" w14:textId="77777777" w:rsidTr="006C55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0" w:type="dxa"/>
              </w:tcPr>
              <w:p w14:paraId="6B8C95D4" w14:textId="77777777" w:rsidR="00634034" w:rsidRPr="00E139FA" w:rsidRDefault="00634034" w:rsidP="006C55CC">
                <w:pPr>
                  <w:pStyle w:val="BodyText"/>
                  <w:rPr>
                    <w:sz w:val="16"/>
                    <w:szCs w:val="16"/>
                  </w:rPr>
                </w:pPr>
                <w:r w:rsidRPr="00E139FA">
                  <w:rPr>
                    <w:sz w:val="16"/>
                    <w:szCs w:val="16"/>
                  </w:rPr>
                  <w:t>An open‐label randomised pragmatic policy trial of nicotine and smokeless tobacco products for short‐term cessation assistance or long‐term substitution in smokers</w:t>
                </w:r>
              </w:p>
            </w:tc>
            <w:tc>
              <w:tcPr>
                <w:tcW w:w="992" w:type="dxa"/>
              </w:tcPr>
              <w:p w14:paraId="0B5CD570" w14:textId="77777777" w:rsidR="00634034" w:rsidRPr="00E139FA" w:rsidRDefault="00634034" w:rsidP="006C55CC">
                <w:pPr>
                  <w:pStyle w:val="BodyTex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2012 – 2017 </w:t>
                </w:r>
              </w:p>
            </w:tc>
            <w:tc>
              <w:tcPr>
                <w:tcW w:w="899" w:type="dxa"/>
              </w:tcPr>
              <w:p w14:paraId="0374E110" w14:textId="77777777" w:rsidR="00634034" w:rsidRPr="00E139FA" w:rsidRDefault="00634034" w:rsidP="006C55CC">
                <w:pPr>
                  <w:pStyle w:val="BodyTex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$1,014,392</w:t>
                </w:r>
              </w:p>
            </w:tc>
            <w:tc>
              <w:tcPr>
                <w:tcW w:w="1369" w:type="dxa"/>
              </w:tcPr>
              <w:p w14:paraId="35EADF35" w14:textId="77777777" w:rsidR="00634034" w:rsidRPr="00E139FA" w:rsidRDefault="00634034" w:rsidP="006C55CC">
                <w:pPr>
                  <w:pStyle w:val="BodyText"/>
                  <w:cnfStyle w:val="000000100000" w:firstRow="0" w:lastRow="0" w:firstColumn="0" w:lastColumn="0" w:oddVBand="0" w:evenVBand="0" w:oddHBand="1" w:evenHBand="0" w:firstRowFirstColumn="0" w:firstRowLastColumn="0" w:lastRowFirstColumn="0" w:lastRowLastColumn="0"/>
                  <w:rPr>
                    <w:sz w:val="16"/>
                    <w:szCs w:val="16"/>
                  </w:rPr>
                </w:pPr>
                <w:r w:rsidRPr="00E139FA">
                  <w:rPr>
                    <w:sz w:val="16"/>
                    <w:szCs w:val="16"/>
                  </w:rPr>
                  <w:t>Dr Coral Gartner</w:t>
                </w:r>
              </w:p>
            </w:tc>
            <w:tc>
              <w:tcPr>
                <w:tcW w:w="993" w:type="dxa"/>
              </w:tcPr>
              <w:p w14:paraId="0E81B72B" w14:textId="77777777" w:rsidR="00634034" w:rsidRPr="00E139FA" w:rsidRDefault="00634034" w:rsidP="006C55CC">
                <w:pPr>
                  <w:pStyle w:val="BodyText"/>
                  <w:cnfStyle w:val="000000100000" w:firstRow="0" w:lastRow="0" w:firstColumn="0" w:lastColumn="0" w:oddVBand="0" w:evenVBand="0" w:oddHBand="1" w:evenHBand="0" w:firstRowFirstColumn="0" w:firstRowLastColumn="0" w:lastRowFirstColumn="0" w:lastRowLastColumn="0"/>
                  <w:rPr>
                    <w:sz w:val="16"/>
                    <w:szCs w:val="16"/>
                  </w:rPr>
                </w:pPr>
                <w:r w:rsidRPr="00E139FA">
                  <w:rPr>
                    <w:sz w:val="16"/>
                    <w:szCs w:val="16"/>
                  </w:rPr>
                  <w:t>University of Queensland</w:t>
                </w:r>
              </w:p>
            </w:tc>
            <w:tc>
              <w:tcPr>
                <w:tcW w:w="3685" w:type="dxa"/>
              </w:tcPr>
              <w:p w14:paraId="215CA7F7" w14:textId="77777777" w:rsidR="00634034" w:rsidRPr="00E139FA" w:rsidRDefault="00634034" w:rsidP="006C55CC">
                <w:pPr>
                  <w:pStyle w:val="BodyText"/>
                  <w:keepNext/>
                  <w:cnfStyle w:val="000000100000" w:firstRow="0" w:lastRow="0" w:firstColumn="0" w:lastColumn="0" w:oddVBand="0" w:evenVBand="0" w:oddHBand="1" w:evenHBand="0" w:firstRowFirstColumn="0" w:firstRowLastColumn="0" w:lastRowFirstColumn="0" w:lastRowLastColumn="0"/>
                  <w:rPr>
                    <w:sz w:val="16"/>
                    <w:szCs w:val="16"/>
                  </w:rPr>
                </w:pPr>
                <w:r w:rsidRPr="00E139FA">
                  <w:rPr>
                    <w:sz w:val="16"/>
                    <w:szCs w:val="16"/>
                  </w:rPr>
                  <w:t>Many smokers who try to quit fail in their attempt. Medicinal nicotine is currently only used as a short-term quit aid. This trial will test if offering smokers the option of using these products as long-term substitutes for cigarettes will help more smokers to successfully quit. We will also determine if offering smokers low toxicity smokeless tobacco and electronic nicotine devices in addition to medicinal nicotine products further increases the number of smokers who quit successfully.</w:t>
                </w:r>
              </w:p>
            </w:tc>
          </w:tr>
        </w:tbl>
        <w:p w14:paraId="14492406" w14:textId="77777777" w:rsidR="00A96BC4" w:rsidRDefault="00634034" w:rsidP="00634034">
          <w:pPr>
            <w:pStyle w:val="BodyText"/>
            <w:rPr>
              <w:sz w:val="16"/>
            </w:rPr>
          </w:pPr>
          <w:r w:rsidRPr="00B85211">
            <w:rPr>
              <w:sz w:val="16"/>
            </w:rPr>
            <w:t xml:space="preserve">Adapted from: </w:t>
          </w:r>
          <w:r>
            <w:rPr>
              <w:sz w:val="16"/>
            </w:rPr>
            <w:fldChar w:fldCharType="begin"/>
          </w:r>
          <w:r>
            <w:rPr>
              <w:sz w:val="16"/>
            </w:rPr>
            <w:instrText xml:space="preserve"> ADDIN EN.CITE &lt;EndNote&gt;&lt;Cite&gt;&lt;Author&gt;NHMRC&lt;/Author&gt;&lt;Year&gt;2018&lt;/Year&gt;&lt;RecNum&gt;10839&lt;/RecNum&gt;&lt;DisplayText&gt;(NHMRC 2018)&lt;/DisplayText&gt;&lt;record&gt;&lt;rec-number&gt;10839&lt;/rec-number&gt;&lt;foreign-keys&gt;&lt;key app="EN" db-id="9z05dz0praadfuee0zoxzedk9zfe5fxx50z5" timestamp="1528866853"&gt;10839&lt;/key&gt;&lt;/foreign-keys&gt;&lt;ref-type name="Web Page"&gt;12&lt;/ref-type&gt;&lt;contributors&gt;&lt;authors&gt;&lt;author&gt;NHMRC&lt;/author&gt;&lt;/authors&gt;&lt;/contributors&gt;&lt;titles&gt;&lt;title&gt;Outcomes of funding rounds&lt;/title&gt;&lt;/titles&gt;&lt;volume&gt;2018&lt;/volume&gt;&lt;number&gt;13.06&lt;/number&gt;&lt;dates&gt;&lt;year&gt;2018&lt;/year&gt;&lt;/dates&gt;&lt;urls&gt;&lt;related-urls&gt;&lt;url&gt;https://www.nhmrc.gov.au/grants-funding/outcomes-funding-rounds&lt;/url&gt;&lt;/related-urls&gt;&lt;/urls&gt;&lt;/record&gt;&lt;/Cite&gt;&lt;/EndNote&gt;</w:instrText>
          </w:r>
          <w:r>
            <w:rPr>
              <w:sz w:val="16"/>
            </w:rPr>
            <w:fldChar w:fldCharType="separate"/>
          </w:r>
          <w:r>
            <w:rPr>
              <w:noProof/>
              <w:sz w:val="16"/>
            </w:rPr>
            <w:t>(NHMRC 2018)</w:t>
          </w:r>
          <w:r>
            <w:rPr>
              <w:sz w:val="16"/>
            </w:rPr>
            <w:fldChar w:fldCharType="end"/>
          </w:r>
          <w:r>
            <w:rPr>
              <w:sz w:val="16"/>
            </w:rPr>
            <w:t>.</w:t>
          </w:r>
        </w:p>
        <w:p w14:paraId="54F7C987" w14:textId="77777777" w:rsidR="00A96BC4" w:rsidRDefault="00A96BC4">
          <w:pPr>
            <w:spacing w:after="0"/>
            <w:rPr>
              <w:sz w:val="16"/>
            </w:rPr>
          </w:pPr>
          <w:r>
            <w:rPr>
              <w:sz w:val="16"/>
            </w:rPr>
            <w:br w:type="page"/>
          </w:r>
        </w:p>
        <w:p w14:paraId="40FB2798" w14:textId="77777777" w:rsidR="000611C8" w:rsidRPr="00D86961" w:rsidRDefault="00013E76" w:rsidP="00634034">
          <w:pPr>
            <w:pStyle w:val="BodyText"/>
            <w:rPr>
              <w:rFonts w:eastAsiaTheme="majorEastAsia" w:cstheme="majorBidi"/>
              <w:color w:val="00A9CE" w:themeColor="accent1"/>
              <w:sz w:val="44"/>
              <w:szCs w:val="28"/>
            </w:rPr>
          </w:pPr>
        </w:p>
      </w:sdtContent>
    </w:sdt>
    <w:bookmarkStart w:id="242" w:name="_Toc517706726" w:displacedByCustomXml="next"/>
    <w:sdt>
      <w:sdtPr>
        <w:rPr>
          <w:b w:val="0"/>
          <w:color w:val="000000"/>
          <w:sz w:val="24"/>
        </w:rPr>
        <w:id w:val="578403352"/>
        <w:docPartObj>
          <w:docPartGallery w:val="Cover Pages"/>
          <w:docPartUnique/>
        </w:docPartObj>
      </w:sdtPr>
      <w:sdtEndPr/>
      <w:sdtContent>
        <w:p w14:paraId="7E2ACD1A" w14:textId="77777777" w:rsidR="000611C8" w:rsidRPr="008F64BD" w:rsidRDefault="00D86961" w:rsidP="00A96BC4">
          <w:pPr>
            <w:pStyle w:val="PartTitle"/>
          </w:pPr>
          <w:r>
            <w:t>PART</w:t>
          </w:r>
          <w:r w:rsidR="000611C8">
            <w:t xml:space="preserve"> 6: Smoking rates in countries where e</w:t>
          </w:r>
          <w:r w:rsidR="00A96BC4">
            <w:noBreakHyphen/>
          </w:r>
          <w:r w:rsidR="000611C8">
            <w:t>cigarettes and personal vaporisers</w:t>
          </w:r>
          <w:r w:rsidR="000611C8" w:rsidRPr="008F64BD">
            <w:t xml:space="preserve"> </w:t>
          </w:r>
          <w:r w:rsidR="00464634">
            <w:t>are available</w:t>
          </w:r>
          <w:bookmarkEnd w:id="242"/>
        </w:p>
        <w:p w14:paraId="4B0B6B4F" w14:textId="77777777" w:rsidR="000611C8" w:rsidRDefault="000611C8" w:rsidP="000611C8">
          <w:pPr>
            <w:pStyle w:val="BodyText"/>
          </w:pPr>
          <w:r>
            <w:br w:type="page"/>
          </w:r>
        </w:p>
      </w:sdtContent>
    </w:sdt>
    <w:p w14:paraId="1020A220" w14:textId="77777777" w:rsidR="000611C8" w:rsidRDefault="000611C8" w:rsidP="000611C8">
      <w:pPr>
        <w:pStyle w:val="Heading1notnumbered"/>
      </w:pPr>
      <w:bookmarkStart w:id="243" w:name="_Toc514420089"/>
      <w:bookmarkStart w:id="244" w:name="_Toc515228087"/>
      <w:bookmarkStart w:id="245" w:name="_Toc517706727"/>
      <w:r>
        <w:lastRenderedPageBreak/>
        <w:t>Executive summary</w:t>
      </w:r>
      <w:bookmarkEnd w:id="243"/>
      <w:bookmarkEnd w:id="244"/>
      <w:bookmarkEnd w:id="245"/>
    </w:p>
    <w:p w14:paraId="4EF852BB" w14:textId="77777777" w:rsidR="00BC06E0" w:rsidRDefault="00BC06E0" w:rsidP="00BC06E0">
      <w:pPr>
        <w:pStyle w:val="BodyText"/>
      </w:pPr>
      <w:r>
        <w:t>This report aimed to compare the rates of tobacco smoking in countries where e</w:t>
      </w:r>
      <w:r>
        <w:noBreakHyphen/>
        <w:t xml:space="preserve">cigarettes and similar smoking alternatives are available with rates in countries where such products are not available. </w:t>
      </w:r>
    </w:p>
    <w:p w14:paraId="278AB71D" w14:textId="76BCC0EA" w:rsidR="00BC06E0" w:rsidRDefault="00BC06E0" w:rsidP="00BC06E0">
      <w:pPr>
        <w:pStyle w:val="BodyText"/>
      </w:pPr>
      <w:r>
        <w:t>Data about the availability of e</w:t>
      </w:r>
      <w:r>
        <w:noBreakHyphen/>
        <w:t>cigarettes and associated products are not comprehensively available. An examination of regulatory regimes in different countries, suggests that countries where e</w:t>
      </w:r>
      <w:r>
        <w:noBreakHyphen/>
        <w:t>cigarettes are not available by regulation may tend to have a higher prevalence rate of tobacco use, however at least one country with a low tobacco use prevalence rate (Panama at 11.9% for men and 2.8% for women) also has a ban on use and sales of e</w:t>
      </w:r>
      <w:r>
        <w:noBreakHyphen/>
        <w:t xml:space="preserve">cigarette devices and supplies. </w:t>
      </w:r>
      <w:r w:rsidR="008146F9">
        <w:t xml:space="preserve"> </w:t>
      </w:r>
    </w:p>
    <w:p w14:paraId="0F9F8B96" w14:textId="77777777" w:rsidR="00BC06E0" w:rsidRDefault="00BC06E0" w:rsidP="00BC06E0">
      <w:pPr>
        <w:pStyle w:val="BodyText"/>
      </w:pPr>
      <w:r>
        <w:t>Within a country, the prevalence rate of e</w:t>
      </w:r>
      <w:r>
        <w:noBreakHyphen/>
        <w:t>cigarette use is highest for current smokers, lower for ex</w:t>
      </w:r>
      <w:r>
        <w:noBreakHyphen/>
        <w:t>smokers and lowest for never smokers. However, across countries, those countries with the highest prevalence rate of current smokers do not necessarily have the highest prevalence rate of e</w:t>
      </w:r>
      <w:r>
        <w:noBreakHyphen/>
        <w:t>cigarette use. There appears to be a weak positive association between prevalence of current smokers and ‘ever use’ of e</w:t>
      </w:r>
      <w:r>
        <w:noBreakHyphen/>
        <w:t xml:space="preserve">cigarettes. </w:t>
      </w:r>
    </w:p>
    <w:p w14:paraId="76BAA7DF" w14:textId="77777777" w:rsidR="000611C8" w:rsidRDefault="00BC06E0" w:rsidP="00BC06E0">
      <w:pPr>
        <w:pStyle w:val="BodyText"/>
      </w:pPr>
      <w:r>
        <w:t>The determinants of the country adult prevalence of e</w:t>
      </w:r>
      <w:r>
        <w:noBreakHyphen/>
        <w:t>cigarette use may include regulations impacting availability, but also the history of use in a country, how the products are marketed, previous tobacco use and other cultural determinants.</w:t>
      </w:r>
    </w:p>
    <w:p w14:paraId="71C7008F" w14:textId="77777777" w:rsidR="000611C8" w:rsidRPr="001B14FC" w:rsidRDefault="000611C8" w:rsidP="000611C8">
      <w:pPr>
        <w:pStyle w:val="BodyText"/>
      </w:pPr>
    </w:p>
    <w:p w14:paraId="7A6D532D" w14:textId="77777777" w:rsidR="000B78E3" w:rsidRDefault="000B78E3" w:rsidP="000B78E3">
      <w:pPr>
        <w:pStyle w:val="BodyText"/>
      </w:pPr>
      <w:r>
        <w:t>This report aimed to compare the rates of tobacco smoking in countries where e</w:t>
      </w:r>
      <w:r>
        <w:noBreakHyphen/>
        <w:t xml:space="preserve">cigarettes and similar smoking alternatives are available with rates in countries where such products are not available. </w:t>
      </w:r>
    </w:p>
    <w:p w14:paraId="4F1CCE79" w14:textId="02FD49FF" w:rsidR="000B78E3" w:rsidRDefault="000B78E3" w:rsidP="000B78E3">
      <w:pPr>
        <w:pStyle w:val="BodyText"/>
      </w:pPr>
      <w:r>
        <w:t>Data about the availability of e</w:t>
      </w:r>
      <w:r>
        <w:noBreakHyphen/>
        <w:t>cigarettes and associated products are not comprehensively available. An examination of regulatory regimes in different countries, suggests that countries where e</w:t>
      </w:r>
      <w:r>
        <w:noBreakHyphen/>
        <w:t>cigarettes are not available by regulation may tend to have a higher prevalence rate of tobacco use, however at least one country with a low tobacco use prevalence rate (Panama at 11.9% for men and 2.8% for women) also has a ban on use and sales of e</w:t>
      </w:r>
      <w:r>
        <w:noBreakHyphen/>
        <w:t xml:space="preserve">cigarette devices and supplies. </w:t>
      </w:r>
      <w:r w:rsidR="008146F9">
        <w:t xml:space="preserve"> </w:t>
      </w:r>
    </w:p>
    <w:p w14:paraId="1F29CBCE" w14:textId="77777777" w:rsidR="000B78E3" w:rsidRDefault="000B78E3" w:rsidP="000B78E3">
      <w:pPr>
        <w:pStyle w:val="BodyText"/>
      </w:pPr>
      <w:r>
        <w:t>Within a country, the prevalence rate of e</w:t>
      </w:r>
      <w:r>
        <w:noBreakHyphen/>
        <w:t>cigarette use is highest for current smokers, lower for ex</w:t>
      </w:r>
      <w:r>
        <w:noBreakHyphen/>
        <w:t>smokers and lowest for never smokers. However, across countries, those countries with the highest prevalence rate of current smokers do not necessarily have the highest prevalence rate of e</w:t>
      </w:r>
      <w:r>
        <w:noBreakHyphen/>
        <w:t>cigarette use. There appears to be a weak positive association between prevalence of current smokers and ‘ever use’ of e</w:t>
      </w:r>
      <w:r>
        <w:noBreakHyphen/>
        <w:t xml:space="preserve">cigarettes. </w:t>
      </w:r>
    </w:p>
    <w:p w14:paraId="217C5B21" w14:textId="57913D58" w:rsidR="000B78E3" w:rsidRDefault="000B78E3" w:rsidP="000B78E3">
      <w:pPr>
        <w:pStyle w:val="BodyText"/>
      </w:pPr>
      <w:r>
        <w:t>The determinants of the country adult prevalence of e</w:t>
      </w:r>
      <w:r>
        <w:noBreakHyphen/>
        <w:t>cigarette use may include regulations impacting availability, but also the history of use in a country, how the products are marketed, previous tobacco use and other cultural determinants.</w:t>
      </w:r>
    </w:p>
    <w:p w14:paraId="3AC0CACB" w14:textId="371150C1" w:rsidR="000B78E3" w:rsidRPr="001B14FC" w:rsidRDefault="000B78E3" w:rsidP="000B78E3">
      <w:pPr>
        <w:pStyle w:val="BodyText"/>
      </w:pPr>
    </w:p>
    <w:p w14:paraId="121E5CBA" w14:textId="4A0C5CD4" w:rsidR="000611C8" w:rsidRDefault="000611C8" w:rsidP="000611C8">
      <w:pPr>
        <w:spacing w:after="0"/>
      </w:pPr>
    </w:p>
    <w:p w14:paraId="31D8165A" w14:textId="77777777" w:rsidR="000611C8" w:rsidRDefault="000611C8" w:rsidP="000611C8">
      <w:pPr>
        <w:pStyle w:val="Heading1"/>
        <w:sectPr w:rsidR="000611C8" w:rsidSect="000376C7">
          <w:headerReference w:type="default" r:id="rId40"/>
          <w:pgSz w:w="11906" w:h="16838" w:code="9"/>
          <w:pgMar w:top="1134" w:right="1134" w:bottom="1134" w:left="1134" w:header="510" w:footer="624" w:gutter="0"/>
          <w:cols w:space="284"/>
          <w:docGrid w:linePitch="360"/>
        </w:sectPr>
      </w:pPr>
    </w:p>
    <w:p w14:paraId="49DE38D0" w14:textId="1DD708E4" w:rsidR="000611C8" w:rsidRPr="00726029" w:rsidRDefault="000611C8" w:rsidP="00726029">
      <w:pPr>
        <w:pStyle w:val="Heading1"/>
      </w:pPr>
      <w:bookmarkStart w:id="246" w:name="_Toc514420090"/>
      <w:bookmarkStart w:id="247" w:name="_Toc515228088"/>
      <w:bookmarkStart w:id="248" w:name="_Toc517706728"/>
      <w:r w:rsidRPr="00726029">
        <w:lastRenderedPageBreak/>
        <w:t>Introduction</w:t>
      </w:r>
      <w:bookmarkEnd w:id="246"/>
      <w:bookmarkEnd w:id="247"/>
      <w:bookmarkEnd w:id="248"/>
      <w:r w:rsidRPr="00726029">
        <w:t xml:space="preserve"> </w:t>
      </w:r>
    </w:p>
    <w:p w14:paraId="6D364D4A" w14:textId="77777777" w:rsidR="00BC06E0" w:rsidRPr="006875AD" w:rsidRDefault="00BC06E0" w:rsidP="00BC06E0">
      <w:pPr>
        <w:pStyle w:val="BodyText"/>
      </w:pPr>
      <w:r w:rsidRPr="006875AD">
        <w:t xml:space="preserve">This report </w:t>
      </w:r>
      <w:r w:rsidR="001F6DB6">
        <w:t>responds to the assigned task ‘</w:t>
      </w:r>
      <w:r w:rsidRPr="006875AD">
        <w:t>to compare the rates of tobacco smoking in countries where e</w:t>
      </w:r>
      <w:r>
        <w:noBreakHyphen/>
      </w:r>
      <w:r w:rsidRPr="006875AD">
        <w:t>cigarettes and similar smoking alternatives are available with rates in countries where such products are not available</w:t>
      </w:r>
      <w:r w:rsidR="001F6DB6">
        <w:t>’</w:t>
      </w:r>
      <w:r w:rsidRPr="006875AD">
        <w:t>.</w:t>
      </w:r>
    </w:p>
    <w:p w14:paraId="574005E5" w14:textId="77777777" w:rsidR="00BC06E0" w:rsidRPr="00BC06E0" w:rsidRDefault="00BC06E0" w:rsidP="00BC06E0">
      <w:pPr>
        <w:pStyle w:val="BodyText"/>
      </w:pPr>
    </w:p>
    <w:p w14:paraId="4E2EFF54" w14:textId="77777777" w:rsidR="000611C8" w:rsidRDefault="00726029" w:rsidP="000611C8">
      <w:pPr>
        <w:pStyle w:val="Heading2"/>
      </w:pPr>
      <w:bookmarkStart w:id="249" w:name="_Toc514420091"/>
      <w:bookmarkStart w:id="250" w:name="_Toc515228089"/>
      <w:r>
        <w:t xml:space="preserve"> </w:t>
      </w:r>
      <w:bookmarkStart w:id="251" w:name="_Toc517706729"/>
      <w:r w:rsidR="000611C8">
        <w:t xml:space="preserve">Regulation and Policy relating to </w:t>
      </w:r>
      <w:r w:rsidR="00D830ED">
        <w:t>e-cig</w:t>
      </w:r>
      <w:r w:rsidR="000611C8">
        <w:t>arettes</w:t>
      </w:r>
      <w:bookmarkEnd w:id="249"/>
      <w:bookmarkEnd w:id="250"/>
      <w:bookmarkEnd w:id="251"/>
    </w:p>
    <w:p w14:paraId="7C060AE2" w14:textId="77777777" w:rsidR="00155FCB" w:rsidRDefault="00155FCB" w:rsidP="00155FCB">
      <w:pPr>
        <w:pStyle w:val="BodyText"/>
      </w:pPr>
      <w:r>
        <w:t>Electronic cigarettes are a class of Electronic Nicotine Delivery Systems (ENDs) or Electronic Non</w:t>
      </w:r>
      <w:r>
        <w:noBreakHyphen/>
        <w:t xml:space="preserve">Nicotine Delivery Systems (ENNDs). Both are characterised by </w:t>
      </w:r>
      <w:r w:rsidRPr="00BF7F3B">
        <w:t>heat</w:t>
      </w:r>
      <w:r>
        <w:t>ing</w:t>
      </w:r>
      <w:r w:rsidRPr="00BF7F3B">
        <w:t xml:space="preserve"> a solution (</w:t>
      </w:r>
      <w:r>
        <w:t xml:space="preserve">called an </w:t>
      </w:r>
      <w:r w:rsidRPr="00BF7F3B">
        <w:t>e</w:t>
      </w:r>
      <w:r>
        <w:noBreakHyphen/>
      </w:r>
      <w:r w:rsidRPr="00BF7F3B">
        <w:t>liquid) to create an aerosol which frequently contains flavour</w:t>
      </w:r>
      <w:r>
        <w:t>ing compounds, usually dissolved into propylene glycol or/and g</w:t>
      </w:r>
      <w:r w:rsidRPr="00BF7F3B">
        <w:t>lycerin</w:t>
      </w:r>
      <w:r>
        <w:t xml:space="preserve"> (WHO 2016 ENDS report)</w:t>
      </w:r>
      <w:r w:rsidRPr="00BF7F3B">
        <w:t>.</w:t>
      </w:r>
    </w:p>
    <w:p w14:paraId="0EDC8A59" w14:textId="4BF35141" w:rsidR="00155FCB" w:rsidRDefault="00155FCB" w:rsidP="00155FCB">
      <w:pPr>
        <w:pStyle w:val="BodyText"/>
      </w:pPr>
      <w:r>
        <w:t>A number of different devices have been developed, designated first to third generation devices, and evolution of devices is likely to continue. The devices vary in their performance and users in their behaviour leading to a difference in exposure to active components such as nicotine. For example, the user’s puffing style, the choice of e</w:t>
      </w:r>
      <w:r>
        <w:noBreakHyphen/>
        <w:t>liquid, the wattage and resistance of the device are all relevant variables determining the user’s experience. There are close to 8</w:t>
      </w:r>
      <w:r w:rsidR="00BA015F">
        <w:t>,</w:t>
      </w:r>
      <w:r>
        <w:t>000 reported e</w:t>
      </w:r>
      <w:r>
        <w:noBreakHyphen/>
        <w:t>liquid flavours.</w:t>
      </w:r>
    </w:p>
    <w:p w14:paraId="3DB430C1" w14:textId="77777777" w:rsidR="00155FCB" w:rsidRPr="00854693" w:rsidRDefault="00155FCB" w:rsidP="00155FCB">
      <w:pPr>
        <w:pStyle w:val="BodyText"/>
      </w:pPr>
      <w:r>
        <w:t>While the mechanism to replace burning tobacco with flavoured, smokeless steam was invented in 1963, the first commercial device became available in 2004. E</w:t>
      </w:r>
      <w:r>
        <w:noBreakHyphen/>
        <w:t xml:space="preserve">cigarettes arrived in the United States in 2006. </w:t>
      </w:r>
    </w:p>
    <w:p w14:paraId="44BF2D56" w14:textId="4B36B007" w:rsidR="00155FCB" w:rsidRPr="00C37738" w:rsidRDefault="00155FCB" w:rsidP="00155FCB">
      <w:pPr>
        <w:pStyle w:val="BodyText"/>
      </w:pPr>
      <w:r>
        <w:t>By 2015, about 56% of the global market was accounted for by the United States, 12% by the United Kingdom and a further 21% by China, Germany, France, Italy and Poland (3</w:t>
      </w:r>
      <w:r>
        <w:noBreakHyphen/>
        <w:t xml:space="preserve">5% each) (WHO 2016 ENDS Report). </w:t>
      </w:r>
      <w:r w:rsidR="008146F9">
        <w:t xml:space="preserve"> </w:t>
      </w:r>
    </w:p>
    <w:p w14:paraId="753B122F" w14:textId="77777777" w:rsidR="00155FCB" w:rsidRDefault="00155FCB" w:rsidP="00155FCB">
      <w:pPr>
        <w:pStyle w:val="BodyText"/>
      </w:pPr>
      <w:r>
        <w:t xml:space="preserve">Researchers from the United States </w:t>
      </w:r>
      <w:r>
        <w:fldChar w:fldCharType="begin"/>
      </w:r>
      <w:r>
        <w:instrText xml:space="preserve"> ADDIN EN.CITE &lt;EndNote&gt;&lt;Cite&gt;&lt;Author&gt;Kennedy&lt;/Author&gt;&lt;Year&gt;2017&lt;/Year&gt;&lt;RecNum&gt;113&lt;/RecNum&gt;&lt;DisplayText&gt;(Kennedy, Awopegba et al. 2017)&lt;/DisplayText&gt;&lt;record&gt;&lt;rec-number&gt;113&lt;/rec-number&gt;&lt;foreign-keys&gt;&lt;key app="EN" db-id="2dfr95svtvdwt2ee0f65rxxnatf0ppda9rxr" timestamp="1517884347"&gt;113&lt;/key&gt;&lt;/foreign-keys&gt;&lt;ref-type name="Journal Article"&gt;17&lt;/ref-type&gt;&lt;contributors&gt;&lt;authors&gt;&lt;author&gt;Kennedy, R. D.&lt;/author&gt;&lt;author&gt;Awopegba, A.&lt;/author&gt;&lt;author&gt;De Leon, E.&lt;/author&gt;&lt;author&gt;Cohen, J. E.&lt;/author&gt;&lt;/authors&gt;&lt;/contributors&gt;&lt;titles&gt;&lt;title&gt;Global approaches to regulating electronic cigarettes&lt;/title&gt;&lt;secondary-title&gt;Tobacco Control&lt;/secondary-title&gt;&lt;/titles&gt;&lt;periodical&gt;&lt;full-title&gt;Tobacco Control&lt;/full-title&gt;&lt;/periodical&gt;&lt;pages&gt;440-445&lt;/pages&gt;&lt;volume&gt;26&lt;/volume&gt;&lt;number&gt;4&lt;/number&gt;&lt;dates&gt;&lt;year&gt;2017&lt;/year&gt;&lt;pub-dates&gt;&lt;date&gt;Jul&lt;/date&gt;&lt;/pub-dates&gt;&lt;/dates&gt;&lt;isbn&gt;0964-4563&lt;/isbn&gt;&lt;accession-num&gt;WOS:000404406900020&lt;/accession-num&gt;&lt;urls&gt;&lt;related-urls&gt;&lt;url&gt;&amp;lt;Go to ISI&amp;gt;://WOS:000404406900020&lt;/url&gt;&lt;/related-urls&gt;&lt;/urls&gt;&lt;electronic-resource-num&gt;10.1136/tobaccocontrol-2016-053179&lt;/electronic-resource-num&gt;&lt;/record&gt;&lt;/Cite&gt;&lt;/EndNote&gt;</w:instrText>
      </w:r>
      <w:r>
        <w:fldChar w:fldCharType="separate"/>
      </w:r>
      <w:r>
        <w:rPr>
          <w:noProof/>
        </w:rPr>
        <w:t>(Kennedy, Awopegba et al. 2017)</w:t>
      </w:r>
      <w:r>
        <w:fldChar w:fldCharType="end"/>
      </w:r>
      <w:r>
        <w:t xml:space="preserve"> examined the regulatory regimes of 68 countries (current in October 2016). The most common forms of regulation included sale bans, use restrictions, age of purchase requirements, and advertising and promotion bans. The types of regulation existing in a large range of countries are summarised in Table </w:t>
      </w:r>
      <w:r w:rsidR="003D2CBD">
        <w:t>24</w:t>
      </w:r>
      <w:r>
        <w:t xml:space="preserve"> and broadly categorised in Table 2</w:t>
      </w:r>
      <w:r w:rsidR="003D2CBD">
        <w:t>5</w:t>
      </w:r>
      <w:r>
        <w:t>. Within the broad categories of e</w:t>
      </w:r>
      <w:r>
        <w:noBreakHyphen/>
        <w:t>cigarette regulation in Table 2</w:t>
      </w:r>
      <w:r w:rsidR="003D2CBD">
        <w:t>5</w:t>
      </w:r>
      <w:r>
        <w:t>, countries are listed along with the age</w:t>
      </w:r>
      <w:r>
        <w:noBreakHyphen/>
        <w:t xml:space="preserve">standardised male current tobacco use prevalence rate for 2013 (taken from Table </w:t>
      </w:r>
      <w:r w:rsidR="003D2CBD">
        <w:t>26</w:t>
      </w:r>
      <w:r>
        <w:t xml:space="preserve">). The male current tobacco use prevalence is selected as an indicator of national tobacco use because some countries show a very wide difference between male use and female use </w:t>
      </w:r>
      <w:r w:rsidR="003D2CBD">
        <w:noBreakHyphen/>
      </w:r>
      <w:r>
        <w:t xml:space="preserve"> for example, the female current tobacco use prevalence for Jordan, Cambodia and Panama is 10.2%, 3.2% and 2.8%, compared to 65.5%, 44.7% and 11.9% for males. The prevalence for women and the spread of prevalence is much reduced for women. In general, in Western countries male and female rates are much more similar.</w:t>
      </w:r>
    </w:p>
    <w:p w14:paraId="76357C06" w14:textId="39BACEB4" w:rsidR="00155FCB" w:rsidRDefault="00155FCB" w:rsidP="00155FCB">
      <w:pPr>
        <w:pStyle w:val="BodyText"/>
      </w:pPr>
      <w:r>
        <w:lastRenderedPageBreak/>
        <w:t>The most restrictive regulatory regime listed in Table 2</w:t>
      </w:r>
      <w:r w:rsidR="003D2CBD">
        <w:t>5</w:t>
      </w:r>
      <w:r>
        <w:t xml:space="preserve"> is where there is a complete use and sales ban. Countries in this category include those with a high prevalence of male current tobacco use such as Jordan (65.5%) and Cambodia (44.7%), but also countries with low prevalence such as Panama (11.9%). To examine the extent to which tobacco use prevalence rate is related to e</w:t>
      </w:r>
      <w:r>
        <w:noBreakHyphen/>
        <w:t xml:space="preserve">cigarette regulatory regime, a simple average of the country age standardised male and female tobacco use prevalence rate was calculated for each category and included in Table </w:t>
      </w:r>
      <w:r w:rsidR="003D2CBD">
        <w:t>26</w:t>
      </w:r>
      <w:r>
        <w:t xml:space="preserve">. A simple average is used to represent country-level data rather than a population weighted average </w:t>
      </w:r>
      <w:r w:rsidR="003D2CBD">
        <w:t xml:space="preserve">because </w:t>
      </w:r>
      <w:r>
        <w:t>regulatory regimes ar</w:t>
      </w:r>
      <w:r w:rsidR="003D2CBD">
        <w:t>e country level characteristics</w:t>
      </w:r>
      <w:r>
        <w:t xml:space="preserve">. </w:t>
      </w:r>
      <w:r w:rsidR="008146F9">
        <w:t xml:space="preserve"> </w:t>
      </w:r>
    </w:p>
    <w:p w14:paraId="7CE3E232" w14:textId="77777777" w:rsidR="00155FCB" w:rsidRDefault="00155FCB" w:rsidP="00155FCB">
      <w:pPr>
        <w:pStyle w:val="BodyText"/>
      </w:pPr>
      <w:r>
        <w:t>In each of the regulation categories, there is a wide range of tobacco use prevalence – while the highest average male current tobacco use prevalence and male daily cigarette prevalence is in the most restrictive e</w:t>
      </w:r>
      <w:r>
        <w:noBreakHyphen/>
        <w:t xml:space="preserve">cigarette regulatory category (Table </w:t>
      </w:r>
      <w:r w:rsidR="003D2CBD">
        <w:t>26</w:t>
      </w:r>
      <w:r>
        <w:t>), the pattern is not the same for women, and there does not appear to be a strong trend across categories.</w:t>
      </w:r>
    </w:p>
    <w:p w14:paraId="4D698748" w14:textId="77777777" w:rsidR="00155FCB" w:rsidRDefault="00155FCB" w:rsidP="00155FCB">
      <w:pPr>
        <w:pStyle w:val="BodyText"/>
      </w:pPr>
      <w:r>
        <w:t xml:space="preserve">The data on smoking prevalence by country shown in Table </w:t>
      </w:r>
      <w:r w:rsidR="003D2CBD">
        <w:t>27</w:t>
      </w:r>
      <w:r>
        <w:t xml:space="preserve"> is selected because it is for the same year and it is age</w:t>
      </w:r>
      <w:r>
        <w:noBreakHyphen/>
        <w:t>adjusted – current smoking prevalence changes with time with many countries successfully deploying campaigns to reduce tobacco use. These prevalence rates are therefore comparable to each other.</w:t>
      </w:r>
    </w:p>
    <w:p w14:paraId="6477BD61" w14:textId="77777777" w:rsidR="000611C8" w:rsidRDefault="00155FCB" w:rsidP="00155FCB">
      <w:pPr>
        <w:pStyle w:val="BodyText"/>
      </w:pPr>
      <w:r>
        <w:t>While tobacco use is a behaviour of very long standing, it would appear that e</w:t>
      </w:r>
      <w:r>
        <w:noBreakHyphen/>
        <w:t>cigarette regulation is only one factor relevant to the rate of e</w:t>
      </w:r>
      <w:r>
        <w:noBreakHyphen/>
        <w:t>cigarette use. Other factors might be expected to be the history of use of e</w:t>
      </w:r>
      <w:r>
        <w:noBreakHyphen/>
        <w:t>cigarettes (i.e. when it was introduced), the penetration and type of marketing, and the nature of tobacco regulation (because one stated reason for using e</w:t>
      </w:r>
      <w:r>
        <w:noBreakHyphen/>
        <w:t>cigarettes is to use them in circumstances where smoking cigarettes is not allowed, or socially unpopular).</w:t>
      </w:r>
    </w:p>
    <w:p w14:paraId="60A9257A" w14:textId="77777777" w:rsidR="000611C8" w:rsidRPr="007B2ECC" w:rsidRDefault="000611C8" w:rsidP="000611C8">
      <w:pPr>
        <w:pStyle w:val="BodyText"/>
      </w:pPr>
    </w:p>
    <w:p w14:paraId="540FA118" w14:textId="77777777" w:rsidR="000611C8" w:rsidRDefault="000611C8" w:rsidP="000611C8">
      <w:pPr>
        <w:pStyle w:val="Heading1"/>
      </w:pPr>
      <w:bookmarkStart w:id="252" w:name="_Toc514420092"/>
      <w:bookmarkStart w:id="253" w:name="_Toc515228090"/>
      <w:bookmarkStart w:id="254" w:name="_Toc517706730"/>
      <w:r>
        <w:lastRenderedPageBreak/>
        <w:t>Prevalence of e-cigarette use</w:t>
      </w:r>
      <w:bookmarkEnd w:id="252"/>
      <w:bookmarkEnd w:id="253"/>
      <w:bookmarkEnd w:id="254"/>
    </w:p>
    <w:p w14:paraId="76A40582" w14:textId="77777777" w:rsidR="00155FCB" w:rsidRDefault="00155FCB" w:rsidP="00155FCB">
      <w:pPr>
        <w:pStyle w:val="BodyText"/>
      </w:pPr>
      <w:r>
        <w:t>National level data collections on the rate of e</w:t>
      </w:r>
      <w:r>
        <w:noBreakHyphen/>
        <w:t>cigarette use are more sparse than similar data on tobacco use. Standard data items and surveys to collect these items have been developed for tobacco, but standard protocols have not yet been similarly developed for e</w:t>
      </w:r>
      <w:r>
        <w:noBreakHyphen/>
        <w:t xml:space="preserve">cigarettes. In many countries, their use is uncommon and therefore there is no imperative to measure their (low) use. </w:t>
      </w:r>
    </w:p>
    <w:p w14:paraId="0D744CBB" w14:textId="77777777" w:rsidR="00155FCB" w:rsidRDefault="00155FCB" w:rsidP="00155FCB">
      <w:pPr>
        <w:pStyle w:val="BodyText"/>
      </w:pPr>
      <w:r>
        <w:t xml:space="preserve">A standard data collection was achieved for countries in Europe (Table </w:t>
      </w:r>
      <w:r w:rsidR="003D2CBD">
        <w:t>28</w:t>
      </w:r>
      <w:r>
        <w:t>) for 2014. The overall prevalence of current e</w:t>
      </w:r>
      <w:r>
        <w:noBreakHyphen/>
        <w:t>cigarette use was low – it ranged from less than 1% to 4% in France and Belgium and 5% in the United Kingdom. The prevalence for ever use of e</w:t>
      </w:r>
      <w:r>
        <w:noBreakHyphen/>
        <w:t xml:space="preserve">cigarettes was much higher ranging up to 24% of the population. </w:t>
      </w:r>
    </w:p>
    <w:p w14:paraId="41B06931" w14:textId="77777777" w:rsidR="000611C8" w:rsidRDefault="000611C8" w:rsidP="000611C8">
      <w:pPr>
        <w:pStyle w:val="BodyText"/>
      </w:pPr>
    </w:p>
    <w:p w14:paraId="27C04CAD" w14:textId="6572F31E" w:rsidR="000611C8" w:rsidRDefault="00726029" w:rsidP="000611C8">
      <w:pPr>
        <w:pStyle w:val="Heading2"/>
      </w:pPr>
      <w:bookmarkStart w:id="255" w:name="_Toc514420093"/>
      <w:bookmarkStart w:id="256" w:name="_Toc515228091"/>
      <w:r>
        <w:t xml:space="preserve"> </w:t>
      </w:r>
      <w:bookmarkStart w:id="257" w:name="_Toc517706731"/>
      <w:r w:rsidR="000611C8">
        <w:t>Comparison of e-cigarette use with conventional cigarette use</w:t>
      </w:r>
      <w:bookmarkEnd w:id="255"/>
      <w:bookmarkEnd w:id="256"/>
      <w:bookmarkEnd w:id="257"/>
    </w:p>
    <w:p w14:paraId="174A5474" w14:textId="62CDCE25" w:rsidR="00155FCB" w:rsidRDefault="00155FCB" w:rsidP="00155FCB">
      <w:pPr>
        <w:pStyle w:val="BodyText"/>
      </w:pPr>
      <w:r>
        <w:t xml:space="preserve">A broader data set was developed by including prevalence estimates from adjacent years, with information on national rates of conventional tobacco use for the same period (Table </w:t>
      </w:r>
      <w:r w:rsidR="003D2CBD">
        <w:t>29</w:t>
      </w:r>
      <w:r>
        <w:t>).</w:t>
      </w:r>
      <w:r w:rsidR="008146F9">
        <w:t xml:space="preserve"> </w:t>
      </w:r>
    </w:p>
    <w:p w14:paraId="1996A42F" w14:textId="77777777" w:rsidR="00155FCB" w:rsidRDefault="00155FCB" w:rsidP="00155FCB">
      <w:pPr>
        <w:pStyle w:val="BodyText"/>
      </w:pPr>
      <w:r>
        <w:t>For example, an estimate of e</w:t>
      </w:r>
      <w:r>
        <w:noBreakHyphen/>
        <w:t xml:space="preserve">cigarette use for Australia is sourced from a NSW survey </w:t>
      </w:r>
      <w:r>
        <w:fldChar w:fldCharType="begin"/>
      </w:r>
      <w:r>
        <w:instrText xml:space="preserve"> ADDIN EN.CITE &lt;EndNote&gt;&lt;Cite&gt;&lt;Author&gt;Harrold&lt;/Author&gt;&lt;Year&gt;2015&lt;/Year&gt;&lt;RecNum&gt;410&lt;/RecNum&gt;&lt;DisplayText&gt;(Harrold, Maag et al. 2015)&lt;/DisplayText&gt;&lt;record&gt;&lt;rec-number&gt;410&lt;/rec-number&gt;&lt;foreign-keys&gt;&lt;key app="EN" db-id="9z05dz0praadfuee0zoxzedk9zfe5fxx50z5" timestamp="1521506819"&gt;410&lt;/key&gt;&lt;key app="ENWeb" db-id=""&gt;0&lt;/key&gt;&lt;/foreign-keys&gt;&lt;ref-type name="Journal Article"&gt;17&lt;/ref-type&gt;&lt;contributors&gt;&lt;authors&gt;&lt;author&gt;Harrold, T. C.&lt;/author&gt;&lt;author&gt;Maag, A. K.&lt;/author&gt;&lt;author&gt;Thackway, S.&lt;/author&gt;&lt;author&gt;Mitchell, J.&lt;/author&gt;&lt;author&gt;Taylor, L. K.&lt;/author&gt;&lt;/authors&gt;&lt;/contributors&gt;&lt;titles&gt;&lt;title&gt;Prevalence of e-cigarette users in New South Wales&lt;/title&gt;&lt;secondary-title&gt;Medical Journal of Australia&lt;/secondary-title&gt;&lt;/titles&gt;&lt;periodical&gt;&lt;full-title&gt;Medical Journal of Australia&lt;/full-title&gt;&lt;/periodical&gt;&lt;pages&gt;326-+&lt;/pages&gt;&lt;volume&gt;203&lt;/volume&gt;&lt;number&gt;8&lt;/number&gt;&lt;dates&gt;&lt;year&gt;2015&lt;/year&gt;&lt;pub-dates&gt;&lt;date&gt;Oct&lt;/date&gt;&lt;/pub-dates&gt;&lt;/dates&gt;&lt;isbn&gt;0025-729X&lt;/isbn&gt;&lt;accession-num&gt;WOS:000410621500018&lt;/accession-num&gt;&lt;urls&gt;&lt;related-urls&gt;&lt;url&gt;&amp;lt;Go to ISI&amp;gt;://WOS:000410621500018&lt;/url&gt;&lt;/related-urls&gt;&lt;/urls&gt;&lt;electronic-resource-num&gt;10.5694/mja15.00652&lt;/electronic-resource-num&gt;&lt;/record&gt;&lt;/Cite&gt;&lt;/EndNote&gt;</w:instrText>
      </w:r>
      <w:r>
        <w:fldChar w:fldCharType="separate"/>
      </w:r>
      <w:r>
        <w:rPr>
          <w:noProof/>
        </w:rPr>
        <w:t>(Harrold, Maag et al. 2015)</w:t>
      </w:r>
      <w:r>
        <w:fldChar w:fldCharType="end"/>
      </w:r>
      <w:r>
        <w:t xml:space="preserve"> which measured current e</w:t>
      </w:r>
      <w:r>
        <w:noBreakHyphen/>
        <w:t>cigarette use at 1.3% and e</w:t>
      </w:r>
      <w:r>
        <w:noBreakHyphen/>
        <w:t>cigarette ever use at 8.4%. For 2014, the national current smoking rate was 16.7% for men and 13.1% for women. For the US, for 2014</w:t>
      </w:r>
      <w:r>
        <w:noBreakHyphen/>
        <w:t>15, the prevalence of current e</w:t>
      </w:r>
      <w:r>
        <w:noBreakHyphen/>
        <w:t xml:space="preserve">cigarette users was 2.4%, and the prevalence rate for ever use was 8.5%. </w:t>
      </w:r>
    </w:p>
    <w:p w14:paraId="432561D6" w14:textId="77777777" w:rsidR="00155FCB" w:rsidRDefault="00155FCB" w:rsidP="00155FCB">
      <w:pPr>
        <w:pStyle w:val="BodyText"/>
      </w:pPr>
      <w:r>
        <w:t>This database was used to develop scatterplots (Figures 1</w:t>
      </w:r>
      <w:r w:rsidR="0049340A">
        <w:t>0</w:t>
      </w:r>
      <w:r>
        <w:noBreakHyphen/>
      </w:r>
      <w:r w:rsidR="0049340A">
        <w:t>13</w:t>
      </w:r>
      <w:r>
        <w:t>) to demonstrate any relationship between e</w:t>
      </w:r>
      <w:r>
        <w:noBreakHyphen/>
        <w:t>cigarette use and conventional cigarette use. For each scatterplot, a Pearson’s correlation coefficient was calculated to express the linear relationship between the variables plotted. For most countries the prevalence rate for smoking was higher for men than for women. In some countries, the prevalence rate was 20 times higher for men than for women. Generally, the e</w:t>
      </w:r>
      <w:r>
        <w:noBreakHyphen/>
        <w:t>cigarette use rate was low and not segregated by gender. The scatter plots therefore use a single e</w:t>
      </w:r>
      <w:r>
        <w:noBreakHyphen/>
        <w:t>cigarette use rate for each country, but are plotted using a tobacco smoking rate for men, and a tobacco smoking rate for women. The smoking prevalence rate in women was not correlated to the smoking prevalence rate in men across the 44 countries used in generating the scatter plots (r=0.03, p=0.86).</w:t>
      </w:r>
    </w:p>
    <w:p w14:paraId="69594281" w14:textId="4C2B741F" w:rsidR="00922CBB" w:rsidRPr="009061A1" w:rsidRDefault="00922CBB" w:rsidP="00155FCB">
      <w:pPr>
        <w:pStyle w:val="BodyText"/>
      </w:pPr>
      <w:r>
        <w:lastRenderedPageBreak/>
        <w:t xml:space="preserve">The </w:t>
      </w:r>
      <w:r w:rsidR="00333EE9">
        <w:t xml:space="preserve">between-country relationship for current smokers with current e-cigarette users was not statistically significant when either the male smoking rate (Figure 10) or the female smoking rate (Figure 11) was used to represent smoking rate. The between-country relationship for current smokers with ‘ever-use’ of e-cigarettes was not statistically significant when the male smoking rate was used to represent smoking rate (Fig 12), but was statistically significant when the female smoking rate was used to represent smoking rate (Fig 13).  </w:t>
      </w:r>
    </w:p>
    <w:p w14:paraId="0C272284" w14:textId="3542D313" w:rsidR="00155FCB" w:rsidRDefault="00955544" w:rsidP="00955544">
      <w:pPr>
        <w:pStyle w:val="Caption"/>
      </w:pPr>
      <w:bookmarkStart w:id="258" w:name="_Toc514420096"/>
      <w:bookmarkStart w:id="259" w:name="_Toc516577845"/>
      <w:bookmarkStart w:id="260" w:name="_Toc517707396"/>
      <w:r>
        <w:t xml:space="preserve">Figure </w:t>
      </w:r>
      <w:r w:rsidR="0048064B">
        <w:rPr>
          <w:noProof/>
        </w:rPr>
        <w:fldChar w:fldCharType="begin"/>
      </w:r>
      <w:r w:rsidR="0048064B">
        <w:rPr>
          <w:noProof/>
        </w:rPr>
        <w:instrText xml:space="preserve"> SEQ Figure \* ARABIC </w:instrText>
      </w:r>
      <w:r w:rsidR="0048064B">
        <w:rPr>
          <w:noProof/>
        </w:rPr>
        <w:fldChar w:fldCharType="separate"/>
      </w:r>
      <w:r w:rsidR="000C06DA">
        <w:rPr>
          <w:noProof/>
        </w:rPr>
        <w:t>10</w:t>
      </w:r>
      <w:r w:rsidR="0048064B">
        <w:rPr>
          <w:noProof/>
        </w:rPr>
        <w:fldChar w:fldCharType="end"/>
      </w:r>
      <w:r w:rsidR="00155FCB">
        <w:t>: Prevalence of current e</w:t>
      </w:r>
      <w:r w:rsidR="00155FCB">
        <w:noBreakHyphen/>
        <w:t>cigarette use vs current male tobacco cigarette use</w:t>
      </w:r>
      <w:bookmarkEnd w:id="258"/>
      <w:bookmarkEnd w:id="259"/>
      <w:bookmarkEnd w:id="260"/>
      <w:r w:rsidR="008146F9">
        <w:t xml:space="preserve"> </w:t>
      </w:r>
    </w:p>
    <w:p w14:paraId="5463D846" w14:textId="77777777" w:rsidR="00155FCB" w:rsidRDefault="00155FCB" w:rsidP="00155FCB">
      <w:pPr>
        <w:spacing w:after="0"/>
        <w:jc w:val="center"/>
      </w:pPr>
      <w:r>
        <w:rPr>
          <w:noProof/>
        </w:rPr>
        <w:drawing>
          <wp:inline distT="0" distB="0" distL="0" distR="0" wp14:anchorId="7B4E36AB" wp14:editId="01A5A232">
            <wp:extent cx="4572000" cy="2633662"/>
            <wp:effectExtent l="0" t="0" r="0" b="14605"/>
            <wp:docPr id="4" name="Chart 4" title="Chart showing the % of current male tobacco and e-cigarette use"/>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56CE9B9" w14:textId="37EAF79B" w:rsidR="00155FCB" w:rsidRDefault="00155FCB" w:rsidP="00155FCB">
      <w:pPr>
        <w:pStyle w:val="FigureTableSource"/>
      </w:pPr>
      <w:r>
        <w:tab/>
        <w:t>Correlation coefficient=</w:t>
      </w:r>
      <w:r>
        <w:noBreakHyphen/>
        <w:t>0.28, p=0.07</w:t>
      </w:r>
      <w:r w:rsidR="00333EE9">
        <w:t xml:space="preserve"> (i.e. the correlation is not statistically significant)</w:t>
      </w:r>
    </w:p>
    <w:p w14:paraId="0E4F0E17" w14:textId="47CFD1D2" w:rsidR="00155FCB" w:rsidRDefault="00955544" w:rsidP="00955544">
      <w:pPr>
        <w:pStyle w:val="Caption"/>
      </w:pPr>
      <w:bookmarkStart w:id="261" w:name="_Toc514420097"/>
      <w:bookmarkStart w:id="262" w:name="_Toc516577846"/>
      <w:bookmarkStart w:id="263" w:name="_Toc517707397"/>
      <w:r>
        <w:t xml:space="preserve">Figure </w:t>
      </w:r>
      <w:r w:rsidR="0048064B">
        <w:rPr>
          <w:noProof/>
        </w:rPr>
        <w:fldChar w:fldCharType="begin"/>
      </w:r>
      <w:r w:rsidR="0048064B">
        <w:rPr>
          <w:noProof/>
        </w:rPr>
        <w:instrText xml:space="preserve"> SEQ Figure \* ARABIC </w:instrText>
      </w:r>
      <w:r w:rsidR="0048064B">
        <w:rPr>
          <w:noProof/>
        </w:rPr>
        <w:fldChar w:fldCharType="separate"/>
      </w:r>
      <w:r w:rsidR="000C06DA">
        <w:rPr>
          <w:noProof/>
        </w:rPr>
        <w:t>11</w:t>
      </w:r>
      <w:r w:rsidR="0048064B">
        <w:rPr>
          <w:noProof/>
        </w:rPr>
        <w:fldChar w:fldCharType="end"/>
      </w:r>
      <w:r w:rsidR="00155FCB">
        <w:t>: Prevalence of current e</w:t>
      </w:r>
      <w:r w:rsidR="00155FCB">
        <w:noBreakHyphen/>
        <w:t>cigarette use vs current female tobacco cigarette use</w:t>
      </w:r>
      <w:bookmarkEnd w:id="261"/>
      <w:bookmarkEnd w:id="262"/>
      <w:bookmarkEnd w:id="263"/>
      <w:r w:rsidR="008146F9">
        <w:t xml:space="preserve"> </w:t>
      </w:r>
    </w:p>
    <w:p w14:paraId="09DC3E75" w14:textId="77777777" w:rsidR="00155FCB" w:rsidRDefault="00155FCB" w:rsidP="00155FCB">
      <w:pPr>
        <w:pStyle w:val="Caption"/>
      </w:pPr>
    </w:p>
    <w:p w14:paraId="6154C786" w14:textId="77777777" w:rsidR="00155FCB" w:rsidRDefault="00155FCB" w:rsidP="00155FCB">
      <w:pPr>
        <w:pStyle w:val="Caption"/>
        <w:jc w:val="center"/>
      </w:pPr>
      <w:r>
        <w:rPr>
          <w:noProof/>
        </w:rPr>
        <w:drawing>
          <wp:inline distT="0" distB="0" distL="0" distR="0" wp14:anchorId="0C614551" wp14:editId="795911CF">
            <wp:extent cx="4622488" cy="2698322"/>
            <wp:effectExtent l="0" t="0" r="6985" b="6985"/>
            <wp:docPr id="9" name="Chart 9" title="Chart showing the % of current female tobacco and e-cigarette use"/>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C77424A" w14:textId="2BA24E8F" w:rsidR="00155FCB" w:rsidRDefault="00155FCB" w:rsidP="00155FCB">
      <w:pPr>
        <w:pStyle w:val="FigureTableSource"/>
      </w:pPr>
      <w:r>
        <w:tab/>
        <w:t>Correlation coefficient=0.20, p=0.20</w:t>
      </w:r>
      <w:r w:rsidR="00333EE9">
        <w:t xml:space="preserve"> (i.e. the correlation is not statistically significant)</w:t>
      </w:r>
    </w:p>
    <w:p w14:paraId="5636C5DB" w14:textId="77777777" w:rsidR="00155FCB" w:rsidRDefault="00155FCB" w:rsidP="00155FCB">
      <w:pPr>
        <w:pStyle w:val="BodyText"/>
      </w:pPr>
      <w:r>
        <w:lastRenderedPageBreak/>
        <w:t>Current e</w:t>
      </w:r>
      <w:r>
        <w:noBreakHyphen/>
        <w:t>cigarette use is rarely categorised by sex, so two plots are shown – the first comparing current e</w:t>
      </w:r>
      <w:r>
        <w:noBreakHyphen/>
        <w:t>cigarette use against current male smoking prevalence, the second against current female smoking prevalence. The scale for smoking prevalence is different for Figure 1</w:t>
      </w:r>
      <w:r w:rsidR="0049340A">
        <w:t>0</w:t>
      </w:r>
      <w:r>
        <w:t xml:space="preserve"> and Figure </w:t>
      </w:r>
      <w:r w:rsidR="0049340A">
        <w:t>11</w:t>
      </w:r>
      <w:r>
        <w:t xml:space="preserve"> because the prevalence rate for females is generally less than the prevalence rate for males, and substantially different in some countries. Six countries have a female smoking prevalence of less than 5%, while no country has a male smoking rate of less than 10%. Also only one country in this dataset has a female smoking rate over 35% (Serbia), while the male smoking rate is above 35% for close to half of the countries. </w:t>
      </w:r>
    </w:p>
    <w:p w14:paraId="0E514C83" w14:textId="694AC1DD" w:rsidR="00155FCB" w:rsidRDefault="00155FCB" w:rsidP="00155FCB">
      <w:pPr>
        <w:pStyle w:val="BodyText"/>
      </w:pPr>
      <w:r>
        <w:t>Within a country, rates of e</w:t>
      </w:r>
      <w:r>
        <w:noBreakHyphen/>
        <w:t>cigarette use are generally highest among current smokers, lower among ex</w:t>
      </w:r>
      <w:r>
        <w:noBreakHyphen/>
        <w:t>smokers and lowest among never smokers for adults. However the same principle does not operate across countries – it is not the countries with the highest tobacco smoking rates that have the highest e</w:t>
      </w:r>
      <w:r>
        <w:noBreakHyphen/>
        <w:t>cigarette use.</w:t>
      </w:r>
      <w:r w:rsidR="008146F9">
        <w:t xml:space="preserve"> </w:t>
      </w:r>
    </w:p>
    <w:p w14:paraId="5FF0EAEB" w14:textId="338C0822" w:rsidR="000611C8" w:rsidRDefault="00155FCB" w:rsidP="00155FCB">
      <w:pPr>
        <w:pStyle w:val="BodyText"/>
      </w:pPr>
      <w:r>
        <w:t>The scatterplot for current e</w:t>
      </w:r>
      <w:r>
        <w:noBreakHyphen/>
        <w:t>cigarette use against male current tobacco smoking shows a negative trend (albeit not statistically significant). This suggests that the higher the male current smoking rate, the lower the current e</w:t>
      </w:r>
      <w:r>
        <w:noBreakHyphen/>
        <w:t>cigarette use. The highest male tobacco smoking rate (Indonesia at 76.2% of males) and the highest current e</w:t>
      </w:r>
      <w:r>
        <w:noBreakHyphen/>
        <w:t>cigarette use (UK at 5%) may be exerting high leverage. However, omitting both points still results in a negative coefficient for the remaining 40 points (smaller, and still non</w:t>
      </w:r>
      <w:r>
        <w:noBreakHyphen/>
        <w:t>significant).</w:t>
      </w:r>
      <w:r w:rsidR="008146F9">
        <w:t xml:space="preserve"> </w:t>
      </w:r>
    </w:p>
    <w:p w14:paraId="38713574" w14:textId="77777777" w:rsidR="00155FCB" w:rsidRDefault="00155FCB" w:rsidP="000611C8">
      <w:pPr>
        <w:pStyle w:val="BodyText"/>
      </w:pPr>
      <w:r>
        <w:br w:type="page"/>
      </w:r>
    </w:p>
    <w:p w14:paraId="6A1C752F" w14:textId="08FC30DD" w:rsidR="00155FCB" w:rsidRDefault="00955544" w:rsidP="00955544">
      <w:pPr>
        <w:pStyle w:val="Caption"/>
      </w:pPr>
      <w:bookmarkStart w:id="264" w:name="_Toc514420098"/>
      <w:bookmarkStart w:id="265" w:name="_Toc516577847"/>
      <w:bookmarkStart w:id="266" w:name="_Toc517707398"/>
      <w:r>
        <w:lastRenderedPageBreak/>
        <w:t xml:space="preserve">Figure </w:t>
      </w:r>
      <w:r w:rsidR="0048064B">
        <w:rPr>
          <w:noProof/>
        </w:rPr>
        <w:fldChar w:fldCharType="begin"/>
      </w:r>
      <w:r w:rsidR="0048064B">
        <w:rPr>
          <w:noProof/>
        </w:rPr>
        <w:instrText xml:space="preserve"> SEQ Figure \* ARABIC </w:instrText>
      </w:r>
      <w:r w:rsidR="0048064B">
        <w:rPr>
          <w:noProof/>
        </w:rPr>
        <w:fldChar w:fldCharType="separate"/>
      </w:r>
      <w:r w:rsidR="000C06DA">
        <w:rPr>
          <w:noProof/>
        </w:rPr>
        <w:t>12</w:t>
      </w:r>
      <w:r w:rsidR="0048064B">
        <w:rPr>
          <w:noProof/>
        </w:rPr>
        <w:fldChar w:fldCharType="end"/>
      </w:r>
      <w:r w:rsidR="00155FCB">
        <w:t>: Prevalence of ever used e</w:t>
      </w:r>
      <w:r w:rsidR="00155FCB">
        <w:noBreakHyphen/>
        <w:t>cigarettes vs current male tobacco cigarette use</w:t>
      </w:r>
      <w:bookmarkEnd w:id="264"/>
      <w:bookmarkEnd w:id="265"/>
      <w:bookmarkEnd w:id="266"/>
      <w:r w:rsidR="008146F9">
        <w:t xml:space="preserve"> </w:t>
      </w:r>
    </w:p>
    <w:p w14:paraId="60C8884E" w14:textId="77777777" w:rsidR="00155FCB" w:rsidRDefault="00155FCB" w:rsidP="00155FCB">
      <w:pPr>
        <w:pStyle w:val="BodyText"/>
        <w:jc w:val="center"/>
      </w:pPr>
      <w:r>
        <w:rPr>
          <w:noProof/>
        </w:rPr>
        <w:drawing>
          <wp:inline distT="0" distB="0" distL="0" distR="0" wp14:anchorId="2669102A" wp14:editId="6D3566A5">
            <wp:extent cx="4572000" cy="2600325"/>
            <wp:effectExtent l="0" t="0" r="0" b="9525"/>
            <wp:docPr id="18" name="Chart 18" title="Chart showing the current percentage of males who have ever smoked tobacco or used e-cigarettes"/>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821F853" w14:textId="103A2175" w:rsidR="00155FCB" w:rsidRDefault="00155FCB" w:rsidP="00155FCB">
      <w:pPr>
        <w:pStyle w:val="FigureTableSource"/>
      </w:pPr>
      <w:r>
        <w:tab/>
        <w:t>Correlation coefficient = 0.28, p=0.09</w:t>
      </w:r>
      <w:r w:rsidR="00333EE9">
        <w:t xml:space="preserve"> (i.e. the correlation is not statistically significant)</w:t>
      </w:r>
    </w:p>
    <w:p w14:paraId="1A402F6B" w14:textId="1A317C97" w:rsidR="00155FCB" w:rsidRDefault="00955544" w:rsidP="00955544">
      <w:pPr>
        <w:pStyle w:val="Caption"/>
      </w:pPr>
      <w:bookmarkStart w:id="267" w:name="_Toc514420099"/>
      <w:bookmarkStart w:id="268" w:name="_Toc516577848"/>
      <w:bookmarkStart w:id="269" w:name="_Toc517707399"/>
      <w:r>
        <w:t xml:space="preserve">Figure </w:t>
      </w:r>
      <w:r w:rsidR="0048064B">
        <w:rPr>
          <w:noProof/>
        </w:rPr>
        <w:fldChar w:fldCharType="begin"/>
      </w:r>
      <w:r w:rsidR="0048064B">
        <w:rPr>
          <w:noProof/>
        </w:rPr>
        <w:instrText xml:space="preserve"> SEQ Figure \* ARABIC </w:instrText>
      </w:r>
      <w:r w:rsidR="0048064B">
        <w:rPr>
          <w:noProof/>
        </w:rPr>
        <w:fldChar w:fldCharType="separate"/>
      </w:r>
      <w:r w:rsidR="000C06DA">
        <w:rPr>
          <w:noProof/>
        </w:rPr>
        <w:t>13</w:t>
      </w:r>
      <w:r w:rsidR="0048064B">
        <w:rPr>
          <w:noProof/>
        </w:rPr>
        <w:fldChar w:fldCharType="end"/>
      </w:r>
      <w:r w:rsidR="00155FCB">
        <w:t>: Prevalence of ever used e</w:t>
      </w:r>
      <w:r w:rsidR="00155FCB">
        <w:noBreakHyphen/>
        <w:t>cigarettes vs current female tobacco cigarette use</w:t>
      </w:r>
      <w:bookmarkEnd w:id="267"/>
      <w:bookmarkEnd w:id="268"/>
      <w:bookmarkEnd w:id="269"/>
      <w:r w:rsidR="008146F9">
        <w:t xml:space="preserve"> </w:t>
      </w:r>
    </w:p>
    <w:p w14:paraId="2B67D63E" w14:textId="77777777" w:rsidR="00155FCB" w:rsidRDefault="00155FCB" w:rsidP="00155FCB">
      <w:pPr>
        <w:pStyle w:val="BodyText"/>
        <w:jc w:val="center"/>
      </w:pPr>
      <w:r>
        <w:rPr>
          <w:noProof/>
        </w:rPr>
        <w:drawing>
          <wp:inline distT="0" distB="0" distL="0" distR="0" wp14:anchorId="6D0EDC8C" wp14:editId="1F057C6B">
            <wp:extent cx="4583220" cy="2692712"/>
            <wp:effectExtent l="0" t="0" r="8255" b="12700"/>
            <wp:docPr id="19" name="Chart 19" title="Chart showing the current percentage of females who have ever smoked tobacco or used e-cigarettes"/>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992CF1B" w14:textId="50745E9F" w:rsidR="00155FCB" w:rsidRPr="00281BC4" w:rsidRDefault="00155FCB" w:rsidP="00155FCB">
      <w:pPr>
        <w:pStyle w:val="FigureTableSource"/>
      </w:pPr>
      <w:r>
        <w:t>Correlation coefficient=0.58, p&gt;0.001</w:t>
      </w:r>
      <w:r w:rsidR="00333EE9">
        <w:t xml:space="preserve"> (i.e. the correlation is statistically significant)</w:t>
      </w:r>
    </w:p>
    <w:p w14:paraId="20201CB2" w14:textId="77777777" w:rsidR="000611C8" w:rsidRPr="001B14FC" w:rsidRDefault="00155FCB" w:rsidP="00155FCB">
      <w:pPr>
        <w:pStyle w:val="BodyText"/>
      </w:pPr>
      <w:r>
        <w:t>The prevalence for ‘ever use’ of e</w:t>
      </w:r>
      <w:r>
        <w:noBreakHyphen/>
        <w:t>cigarettes is higher than current use (because most people who try e</w:t>
      </w:r>
      <w:r>
        <w:noBreakHyphen/>
        <w:t>cigarettes do not continue to use them). Here there is a strong positive association between ever use of e</w:t>
      </w:r>
      <w:r>
        <w:noBreakHyphen/>
        <w:t>cigarettes and smoking prevalence rate for females, but not for males. Higher rates of smoking in women are generally associated with higher rates of ‘ever use’ of e</w:t>
      </w:r>
      <w:r>
        <w:noBreakHyphen/>
        <w:t>cigarettes. Nevertheless, for any level of ever used e</w:t>
      </w:r>
      <w:r>
        <w:noBreakHyphen/>
        <w:t>cigarettes, there are countries across a broad range of current smoking prevalence for both males and females.</w:t>
      </w:r>
    </w:p>
    <w:p w14:paraId="0AF9A2FF" w14:textId="77777777" w:rsidR="000611C8" w:rsidRDefault="000611C8" w:rsidP="000611C8">
      <w:pPr>
        <w:spacing w:after="160" w:line="259" w:lineRule="auto"/>
      </w:pPr>
    </w:p>
    <w:p w14:paraId="25EECB4F" w14:textId="77777777" w:rsidR="00155FCB" w:rsidRDefault="00155FCB" w:rsidP="000611C8">
      <w:pPr>
        <w:spacing w:after="160" w:line="259" w:lineRule="auto"/>
        <w:sectPr w:rsidR="00155FCB">
          <w:pgSz w:w="11906" w:h="16838"/>
          <w:pgMar w:top="1440" w:right="1440" w:bottom="1440" w:left="1440" w:header="708" w:footer="708" w:gutter="0"/>
          <w:cols w:space="708"/>
          <w:docGrid w:linePitch="360"/>
        </w:sectPr>
      </w:pPr>
    </w:p>
    <w:p w14:paraId="54FA51CA" w14:textId="77777777" w:rsidR="000611C8" w:rsidRDefault="000611C8" w:rsidP="000611C8">
      <w:pPr>
        <w:pStyle w:val="Heading1"/>
      </w:pPr>
      <w:bookmarkStart w:id="270" w:name="_Toc514420094"/>
      <w:bookmarkStart w:id="271" w:name="_Toc515228092"/>
      <w:bookmarkStart w:id="272" w:name="_Toc517706732"/>
      <w:r>
        <w:lastRenderedPageBreak/>
        <w:t>Tables</w:t>
      </w:r>
      <w:bookmarkEnd w:id="270"/>
      <w:bookmarkEnd w:id="271"/>
      <w:bookmarkEnd w:id="272"/>
    </w:p>
    <w:p w14:paraId="2220A626" w14:textId="77777777" w:rsidR="00B86BF1" w:rsidRDefault="003D2CBD" w:rsidP="003D2CBD">
      <w:pPr>
        <w:pStyle w:val="Caption"/>
      </w:pPr>
      <w:bookmarkStart w:id="273" w:name="_Toc514420108"/>
      <w:bookmarkStart w:id="274" w:name="_Toc516579730"/>
      <w:bookmarkStart w:id="275" w:name="_Toc517707433"/>
      <w:r>
        <w:t xml:space="preserve">Table </w:t>
      </w:r>
      <w:r w:rsidR="0048064B">
        <w:rPr>
          <w:noProof/>
        </w:rPr>
        <w:fldChar w:fldCharType="begin"/>
      </w:r>
      <w:r w:rsidR="0048064B">
        <w:rPr>
          <w:noProof/>
        </w:rPr>
        <w:instrText xml:space="preserve"> SEQ Table \* ARABIC </w:instrText>
      </w:r>
      <w:r w:rsidR="0048064B">
        <w:rPr>
          <w:noProof/>
        </w:rPr>
        <w:fldChar w:fldCharType="separate"/>
      </w:r>
      <w:r w:rsidR="000C06DA">
        <w:rPr>
          <w:noProof/>
        </w:rPr>
        <w:t>24</w:t>
      </w:r>
      <w:r w:rsidR="0048064B">
        <w:rPr>
          <w:noProof/>
        </w:rPr>
        <w:fldChar w:fldCharType="end"/>
      </w:r>
      <w:r w:rsidR="00B86BF1">
        <w:t>: Regulations relating to e</w:t>
      </w:r>
      <w:r w:rsidR="00B86BF1">
        <w:noBreakHyphen/>
        <w:t>cigarettes by country</w:t>
      </w:r>
      <w:bookmarkEnd w:id="273"/>
      <w:bookmarkEnd w:id="274"/>
      <w:bookmarkEnd w:id="275"/>
    </w:p>
    <w:tbl>
      <w:tblPr>
        <w:tblStyle w:val="TableCSIRO"/>
        <w:tblW w:w="13320" w:type="dxa"/>
        <w:tblLook w:val="04A0" w:firstRow="1" w:lastRow="0" w:firstColumn="1" w:lastColumn="0" w:noHBand="0" w:noVBand="1"/>
      </w:tblPr>
      <w:tblGrid>
        <w:gridCol w:w="1404"/>
        <w:gridCol w:w="11916"/>
      </w:tblGrid>
      <w:tr w:rsidR="00B86BF1" w:rsidRPr="00A743C9" w14:paraId="227BE6DF" w14:textId="77777777" w:rsidTr="000376C7">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1404" w:type="dxa"/>
          </w:tcPr>
          <w:p w14:paraId="5992CBA2" w14:textId="77777777" w:rsidR="00B86BF1" w:rsidRPr="00A743C9" w:rsidRDefault="00B86BF1" w:rsidP="000376C7">
            <w:pPr>
              <w:rPr>
                <w:rFonts w:eastAsia="Times New Roman" w:cstheme="minorHAnsi"/>
                <w:b w:val="0"/>
                <w:color w:val="FFFFFF" w:themeColor="background1"/>
                <w:sz w:val="16"/>
                <w:szCs w:val="16"/>
              </w:rPr>
            </w:pPr>
            <w:r w:rsidRPr="00A743C9">
              <w:rPr>
                <w:rFonts w:eastAsia="Times New Roman" w:cstheme="minorHAnsi"/>
                <w:color w:val="FFFFFF" w:themeColor="background1"/>
                <w:sz w:val="16"/>
                <w:szCs w:val="16"/>
              </w:rPr>
              <w:t>Country</w:t>
            </w:r>
          </w:p>
        </w:tc>
        <w:tc>
          <w:tcPr>
            <w:tcW w:w="11916" w:type="dxa"/>
          </w:tcPr>
          <w:p w14:paraId="6F9AD8CB" w14:textId="77777777" w:rsidR="00B86BF1" w:rsidRPr="00A743C9" w:rsidRDefault="00B86BF1" w:rsidP="000376C7">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FFFFFF" w:themeColor="background1"/>
                <w:sz w:val="16"/>
                <w:szCs w:val="16"/>
              </w:rPr>
            </w:pPr>
            <w:r w:rsidRPr="00A743C9">
              <w:rPr>
                <w:rFonts w:eastAsia="Times New Roman" w:cstheme="minorHAnsi"/>
                <w:color w:val="FFFFFF" w:themeColor="background1"/>
                <w:sz w:val="16"/>
                <w:szCs w:val="16"/>
              </w:rPr>
              <w:t>E</w:t>
            </w:r>
            <w:r w:rsidRPr="00A743C9">
              <w:rPr>
                <w:rFonts w:eastAsia="Times New Roman" w:cstheme="minorHAnsi"/>
                <w:color w:val="FFFFFF" w:themeColor="background1"/>
                <w:sz w:val="16"/>
                <w:szCs w:val="16"/>
              </w:rPr>
              <w:noBreakHyphen/>
              <w:t>cigarette laws</w:t>
            </w:r>
          </w:p>
        </w:tc>
      </w:tr>
      <w:tr w:rsidR="00B86BF1" w:rsidRPr="00A743C9" w14:paraId="6F249308" w14:textId="77777777" w:rsidTr="000376C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04" w:type="dxa"/>
            <w:hideMark/>
          </w:tcPr>
          <w:p w14:paraId="0654CE0F" w14:textId="77777777" w:rsidR="00B86BF1" w:rsidRPr="00A743C9" w:rsidRDefault="00B86BF1" w:rsidP="000376C7">
            <w:pPr>
              <w:rPr>
                <w:rFonts w:eastAsia="Times New Roman" w:cstheme="minorHAnsi"/>
                <w:sz w:val="16"/>
                <w:szCs w:val="16"/>
              </w:rPr>
            </w:pPr>
            <w:r w:rsidRPr="00A743C9">
              <w:rPr>
                <w:rFonts w:eastAsia="Times New Roman" w:cstheme="minorHAnsi"/>
                <w:sz w:val="16"/>
                <w:szCs w:val="16"/>
              </w:rPr>
              <w:t>Argentina</w:t>
            </w:r>
          </w:p>
        </w:tc>
        <w:tc>
          <w:tcPr>
            <w:tcW w:w="11916" w:type="dxa"/>
            <w:hideMark/>
          </w:tcPr>
          <w:p w14:paraId="7E71CF24" w14:textId="77777777" w:rsidR="00B86BF1" w:rsidRPr="00A743C9" w:rsidRDefault="00B86BF1" w:rsidP="000376C7">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A743C9">
              <w:rPr>
                <w:rFonts w:eastAsia="Times New Roman" w:cstheme="minorHAnsi"/>
                <w:sz w:val="16"/>
                <w:szCs w:val="16"/>
              </w:rPr>
              <w:t>A ruling bans the sale, advertisement, distribution and importation of e</w:t>
            </w:r>
            <w:r w:rsidRPr="00A743C9">
              <w:rPr>
                <w:rFonts w:eastAsia="Times New Roman" w:cstheme="minorHAnsi"/>
                <w:sz w:val="16"/>
                <w:szCs w:val="16"/>
              </w:rPr>
              <w:noBreakHyphen/>
              <w:t>cigarettes. A decree classified these as tobacco products, thus use is inherently prohibited in enclosed public spaces/transport by the national tobacco control law.</w:t>
            </w:r>
          </w:p>
        </w:tc>
      </w:tr>
      <w:tr w:rsidR="00B86BF1" w:rsidRPr="00A743C9" w14:paraId="039FD094" w14:textId="77777777" w:rsidTr="000376C7">
        <w:trPr>
          <w:trHeight w:val="283"/>
        </w:trPr>
        <w:tc>
          <w:tcPr>
            <w:cnfStyle w:val="001000000000" w:firstRow="0" w:lastRow="0" w:firstColumn="1" w:lastColumn="0" w:oddVBand="0" w:evenVBand="0" w:oddHBand="0" w:evenHBand="0" w:firstRowFirstColumn="0" w:firstRowLastColumn="0" w:lastRowFirstColumn="0" w:lastRowLastColumn="0"/>
            <w:tcW w:w="1404" w:type="dxa"/>
            <w:hideMark/>
          </w:tcPr>
          <w:p w14:paraId="69299CF4" w14:textId="77777777" w:rsidR="00B86BF1" w:rsidRPr="00A743C9" w:rsidRDefault="00B86BF1" w:rsidP="000376C7">
            <w:pPr>
              <w:rPr>
                <w:rFonts w:eastAsia="Times New Roman" w:cstheme="minorHAnsi"/>
                <w:sz w:val="16"/>
                <w:szCs w:val="16"/>
              </w:rPr>
            </w:pPr>
            <w:r w:rsidRPr="00A743C9">
              <w:rPr>
                <w:rFonts w:eastAsia="Times New Roman" w:cstheme="minorHAnsi"/>
                <w:sz w:val="16"/>
                <w:szCs w:val="16"/>
              </w:rPr>
              <w:t>Australia</w:t>
            </w:r>
          </w:p>
        </w:tc>
        <w:tc>
          <w:tcPr>
            <w:tcW w:w="11916" w:type="dxa"/>
            <w:hideMark/>
          </w:tcPr>
          <w:p w14:paraId="7C773100" w14:textId="77777777" w:rsidR="00B86BF1" w:rsidRPr="00A743C9" w:rsidRDefault="00B86BF1" w:rsidP="000376C7">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A743C9">
              <w:rPr>
                <w:rFonts w:eastAsia="Times New Roman" w:cstheme="minorHAnsi"/>
                <w:sz w:val="16"/>
                <w:szCs w:val="16"/>
              </w:rPr>
              <w:t>A law classifies nicotine as a restricted poison if it is not used for therapeutic purposes. Non</w:t>
            </w:r>
            <w:r w:rsidRPr="00A743C9">
              <w:rPr>
                <w:rFonts w:eastAsia="Times New Roman" w:cstheme="minorHAnsi"/>
                <w:sz w:val="16"/>
                <w:szCs w:val="16"/>
              </w:rPr>
              <w:noBreakHyphen/>
              <w:t>nicotine e</w:t>
            </w:r>
            <w:r w:rsidRPr="00A743C9">
              <w:rPr>
                <w:rFonts w:eastAsia="Times New Roman" w:cstheme="minorHAnsi"/>
                <w:sz w:val="16"/>
                <w:szCs w:val="16"/>
              </w:rPr>
              <w:noBreakHyphen/>
              <w:t>cigarettes are classified as legal consumer products.</w:t>
            </w:r>
          </w:p>
        </w:tc>
      </w:tr>
      <w:tr w:rsidR="00B86BF1" w:rsidRPr="00A743C9" w14:paraId="66E2F6BD" w14:textId="77777777" w:rsidTr="000376C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04" w:type="dxa"/>
            <w:hideMark/>
          </w:tcPr>
          <w:p w14:paraId="25116FBF" w14:textId="77777777" w:rsidR="00B86BF1" w:rsidRPr="00A743C9" w:rsidRDefault="00B86BF1" w:rsidP="000376C7">
            <w:pPr>
              <w:rPr>
                <w:rFonts w:eastAsia="Times New Roman" w:cstheme="minorHAnsi"/>
                <w:sz w:val="16"/>
                <w:szCs w:val="16"/>
              </w:rPr>
            </w:pPr>
            <w:r w:rsidRPr="00A743C9">
              <w:rPr>
                <w:rFonts w:eastAsia="Times New Roman" w:cstheme="minorHAnsi"/>
                <w:sz w:val="16"/>
                <w:szCs w:val="16"/>
              </w:rPr>
              <w:t>Austria</w:t>
            </w:r>
          </w:p>
        </w:tc>
        <w:tc>
          <w:tcPr>
            <w:tcW w:w="11916" w:type="dxa"/>
            <w:hideMark/>
          </w:tcPr>
          <w:p w14:paraId="28F8ABC9" w14:textId="77777777" w:rsidR="00B86BF1" w:rsidRPr="00A743C9" w:rsidRDefault="00B86BF1" w:rsidP="000376C7">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A743C9">
              <w:rPr>
                <w:rFonts w:eastAsia="Times New Roman" w:cstheme="minorHAnsi"/>
                <w:sz w:val="16"/>
                <w:szCs w:val="16"/>
              </w:rPr>
              <w:t>E</w:t>
            </w:r>
            <w:r w:rsidRPr="00A743C9">
              <w:rPr>
                <w:rFonts w:eastAsia="Times New Roman" w:cstheme="minorHAnsi"/>
                <w:sz w:val="16"/>
                <w:szCs w:val="16"/>
              </w:rPr>
              <w:noBreakHyphen/>
              <w:t>cigarettes can be classified as medicines if they are marketed with medicinal claims and thus regulated under the Austrian Medicinal Products Act, or as tobacco related products and regulated by the Amended Austrian Tobacco Act 2016.</w:t>
            </w:r>
          </w:p>
        </w:tc>
      </w:tr>
      <w:tr w:rsidR="00B86BF1" w:rsidRPr="00A743C9" w14:paraId="0BD21947" w14:textId="77777777" w:rsidTr="000376C7">
        <w:trPr>
          <w:trHeight w:val="283"/>
        </w:trPr>
        <w:tc>
          <w:tcPr>
            <w:cnfStyle w:val="001000000000" w:firstRow="0" w:lastRow="0" w:firstColumn="1" w:lastColumn="0" w:oddVBand="0" w:evenVBand="0" w:oddHBand="0" w:evenHBand="0" w:firstRowFirstColumn="0" w:firstRowLastColumn="0" w:lastRowFirstColumn="0" w:lastRowLastColumn="0"/>
            <w:tcW w:w="1404" w:type="dxa"/>
            <w:hideMark/>
          </w:tcPr>
          <w:p w14:paraId="2C209DC2" w14:textId="77777777" w:rsidR="00B86BF1" w:rsidRPr="00A743C9" w:rsidRDefault="00B86BF1" w:rsidP="000376C7">
            <w:pPr>
              <w:rPr>
                <w:rFonts w:eastAsia="Times New Roman" w:cstheme="minorHAnsi"/>
                <w:sz w:val="16"/>
                <w:szCs w:val="16"/>
              </w:rPr>
            </w:pPr>
            <w:r w:rsidRPr="00A743C9">
              <w:rPr>
                <w:rFonts w:eastAsia="Times New Roman" w:cstheme="minorHAnsi"/>
                <w:sz w:val="16"/>
                <w:szCs w:val="16"/>
              </w:rPr>
              <w:t>Bahrain</w:t>
            </w:r>
          </w:p>
        </w:tc>
        <w:tc>
          <w:tcPr>
            <w:tcW w:w="11916" w:type="dxa"/>
            <w:hideMark/>
          </w:tcPr>
          <w:p w14:paraId="7A50E0EF" w14:textId="77777777" w:rsidR="00B86BF1" w:rsidRPr="00A743C9" w:rsidRDefault="00B86BF1" w:rsidP="000376C7">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A743C9">
              <w:rPr>
                <w:rFonts w:eastAsia="Times New Roman" w:cstheme="minorHAnsi"/>
                <w:sz w:val="16"/>
                <w:szCs w:val="16"/>
              </w:rPr>
              <w:t>Classified as tobacco products and referred to as e</w:t>
            </w:r>
            <w:r w:rsidRPr="00A743C9">
              <w:rPr>
                <w:rFonts w:eastAsia="Times New Roman" w:cstheme="minorHAnsi"/>
                <w:sz w:val="16"/>
                <w:szCs w:val="16"/>
              </w:rPr>
              <w:noBreakHyphen/>
              <w:t>cigarettes in the decision that bans their sale, importation and distribution.</w:t>
            </w:r>
          </w:p>
        </w:tc>
      </w:tr>
      <w:tr w:rsidR="00B86BF1" w:rsidRPr="00A743C9" w14:paraId="4B682C3E" w14:textId="77777777" w:rsidTr="000376C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04" w:type="dxa"/>
            <w:hideMark/>
          </w:tcPr>
          <w:p w14:paraId="1620745D" w14:textId="77777777" w:rsidR="00B86BF1" w:rsidRPr="00A743C9" w:rsidRDefault="00B86BF1" w:rsidP="000376C7">
            <w:pPr>
              <w:rPr>
                <w:rFonts w:eastAsia="Times New Roman" w:cstheme="minorHAnsi"/>
                <w:sz w:val="16"/>
                <w:szCs w:val="16"/>
              </w:rPr>
            </w:pPr>
            <w:r w:rsidRPr="00A743C9">
              <w:rPr>
                <w:rFonts w:eastAsia="Times New Roman" w:cstheme="minorHAnsi"/>
                <w:sz w:val="16"/>
                <w:szCs w:val="16"/>
              </w:rPr>
              <w:t>Barbados</w:t>
            </w:r>
          </w:p>
        </w:tc>
        <w:tc>
          <w:tcPr>
            <w:tcW w:w="11916" w:type="dxa"/>
            <w:hideMark/>
          </w:tcPr>
          <w:p w14:paraId="761CD6C5" w14:textId="77777777" w:rsidR="00B86BF1" w:rsidRPr="00A743C9" w:rsidRDefault="00B86BF1" w:rsidP="000376C7">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A743C9">
              <w:rPr>
                <w:rFonts w:eastAsia="Times New Roman" w:cstheme="minorHAnsi"/>
                <w:sz w:val="16"/>
                <w:szCs w:val="16"/>
              </w:rPr>
              <w:t>The Health Service Amendment Bill 2017, which classifies e</w:t>
            </w:r>
            <w:r w:rsidRPr="00A743C9">
              <w:rPr>
                <w:rFonts w:eastAsia="Times New Roman" w:cstheme="minorHAnsi"/>
                <w:sz w:val="16"/>
                <w:szCs w:val="16"/>
              </w:rPr>
              <w:noBreakHyphen/>
              <w:t>cigarettes as electronic smoking devices, extends the prohibition on smoking to e</w:t>
            </w:r>
            <w:r w:rsidRPr="00A743C9">
              <w:rPr>
                <w:rFonts w:eastAsia="Times New Roman" w:cstheme="minorHAnsi"/>
                <w:sz w:val="16"/>
                <w:szCs w:val="16"/>
              </w:rPr>
              <w:noBreakHyphen/>
              <w:t>cigarettes.</w:t>
            </w:r>
          </w:p>
        </w:tc>
      </w:tr>
      <w:tr w:rsidR="00B86BF1" w:rsidRPr="00A743C9" w14:paraId="3E3380AC" w14:textId="77777777" w:rsidTr="000376C7">
        <w:trPr>
          <w:trHeight w:val="283"/>
        </w:trPr>
        <w:tc>
          <w:tcPr>
            <w:cnfStyle w:val="001000000000" w:firstRow="0" w:lastRow="0" w:firstColumn="1" w:lastColumn="0" w:oddVBand="0" w:evenVBand="0" w:oddHBand="0" w:evenHBand="0" w:firstRowFirstColumn="0" w:firstRowLastColumn="0" w:lastRowFirstColumn="0" w:lastRowLastColumn="0"/>
            <w:tcW w:w="1404" w:type="dxa"/>
            <w:hideMark/>
          </w:tcPr>
          <w:p w14:paraId="767616EB" w14:textId="77777777" w:rsidR="00B86BF1" w:rsidRPr="00A743C9" w:rsidRDefault="00B86BF1" w:rsidP="000376C7">
            <w:pPr>
              <w:rPr>
                <w:rFonts w:eastAsia="Times New Roman" w:cstheme="minorHAnsi"/>
                <w:sz w:val="16"/>
                <w:szCs w:val="16"/>
              </w:rPr>
            </w:pPr>
            <w:r w:rsidRPr="00A743C9">
              <w:rPr>
                <w:rFonts w:eastAsia="Times New Roman" w:cstheme="minorHAnsi"/>
                <w:sz w:val="16"/>
                <w:szCs w:val="16"/>
              </w:rPr>
              <w:t>Belgium</w:t>
            </w:r>
          </w:p>
        </w:tc>
        <w:tc>
          <w:tcPr>
            <w:tcW w:w="11916" w:type="dxa"/>
            <w:hideMark/>
          </w:tcPr>
          <w:p w14:paraId="2B5A31C1" w14:textId="77777777" w:rsidR="00B86BF1" w:rsidRPr="00A743C9" w:rsidRDefault="00B86BF1" w:rsidP="000376C7">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A743C9">
              <w:rPr>
                <w:rFonts w:eastAsia="Times New Roman" w:cstheme="minorHAnsi"/>
                <w:sz w:val="16"/>
                <w:szCs w:val="16"/>
              </w:rPr>
              <w:t>According to a science policy advisory report nicotine</w:t>
            </w:r>
            <w:r w:rsidRPr="00A743C9">
              <w:rPr>
                <w:rFonts w:eastAsia="Times New Roman" w:cstheme="minorHAnsi"/>
                <w:sz w:val="16"/>
                <w:szCs w:val="16"/>
              </w:rPr>
              <w:noBreakHyphen/>
              <w:t>containing e</w:t>
            </w:r>
            <w:r w:rsidRPr="00A743C9">
              <w:rPr>
                <w:rFonts w:eastAsia="Times New Roman" w:cstheme="minorHAnsi"/>
                <w:sz w:val="16"/>
                <w:szCs w:val="16"/>
              </w:rPr>
              <w:noBreakHyphen/>
              <w:t>cigarettes can be brought to the market as medicinal products and have to obtain marketing authorization. The medicines act stipulates rules on advertising of medicines.</w:t>
            </w:r>
          </w:p>
        </w:tc>
      </w:tr>
      <w:tr w:rsidR="00B86BF1" w:rsidRPr="00A743C9" w14:paraId="425D48E4" w14:textId="77777777" w:rsidTr="000376C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04" w:type="dxa"/>
            <w:hideMark/>
          </w:tcPr>
          <w:p w14:paraId="58DC0BDE" w14:textId="77777777" w:rsidR="00B86BF1" w:rsidRPr="00A743C9" w:rsidRDefault="00B86BF1" w:rsidP="000376C7">
            <w:pPr>
              <w:rPr>
                <w:rFonts w:eastAsia="Times New Roman" w:cstheme="minorHAnsi"/>
                <w:sz w:val="16"/>
                <w:szCs w:val="16"/>
              </w:rPr>
            </w:pPr>
            <w:r w:rsidRPr="00A743C9">
              <w:rPr>
                <w:rFonts w:eastAsia="Times New Roman" w:cstheme="minorHAnsi"/>
                <w:sz w:val="16"/>
                <w:szCs w:val="16"/>
              </w:rPr>
              <w:t>Brazil</w:t>
            </w:r>
          </w:p>
        </w:tc>
        <w:tc>
          <w:tcPr>
            <w:tcW w:w="11916" w:type="dxa"/>
            <w:hideMark/>
          </w:tcPr>
          <w:p w14:paraId="0CC02522" w14:textId="77777777" w:rsidR="00B86BF1" w:rsidRPr="00A743C9" w:rsidRDefault="00B86BF1" w:rsidP="000376C7">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A743C9">
              <w:rPr>
                <w:rFonts w:eastAsia="Times New Roman" w:cstheme="minorHAnsi"/>
                <w:sz w:val="16"/>
                <w:szCs w:val="16"/>
              </w:rPr>
              <w:t>Classified as tobacco products. A resolution prohibits the sale, advertisement, distribution and importation of e</w:t>
            </w:r>
            <w:r w:rsidRPr="00A743C9">
              <w:rPr>
                <w:rFonts w:eastAsia="Times New Roman" w:cstheme="minorHAnsi"/>
                <w:sz w:val="16"/>
                <w:szCs w:val="16"/>
              </w:rPr>
              <w:noBreakHyphen/>
              <w:t>cigarettes. As tobacco products, their use in public places and public transportation is prohibited by a decree.</w:t>
            </w:r>
          </w:p>
        </w:tc>
      </w:tr>
      <w:tr w:rsidR="00B86BF1" w:rsidRPr="00A743C9" w14:paraId="1F3F7C63" w14:textId="77777777" w:rsidTr="000376C7">
        <w:trPr>
          <w:trHeight w:val="283"/>
        </w:trPr>
        <w:tc>
          <w:tcPr>
            <w:cnfStyle w:val="001000000000" w:firstRow="0" w:lastRow="0" w:firstColumn="1" w:lastColumn="0" w:oddVBand="0" w:evenVBand="0" w:oddHBand="0" w:evenHBand="0" w:firstRowFirstColumn="0" w:firstRowLastColumn="0" w:lastRowFirstColumn="0" w:lastRowLastColumn="0"/>
            <w:tcW w:w="1404" w:type="dxa"/>
            <w:hideMark/>
          </w:tcPr>
          <w:p w14:paraId="0FC22DDF" w14:textId="77777777" w:rsidR="00B86BF1" w:rsidRPr="00A743C9" w:rsidRDefault="00B86BF1" w:rsidP="000376C7">
            <w:pPr>
              <w:rPr>
                <w:rFonts w:eastAsia="Times New Roman" w:cstheme="minorHAnsi"/>
                <w:sz w:val="16"/>
                <w:szCs w:val="16"/>
              </w:rPr>
            </w:pPr>
            <w:r w:rsidRPr="00A743C9">
              <w:rPr>
                <w:rFonts w:eastAsia="Times New Roman" w:cstheme="minorHAnsi"/>
                <w:sz w:val="16"/>
                <w:szCs w:val="16"/>
              </w:rPr>
              <w:t>Brunei Darussalam</w:t>
            </w:r>
          </w:p>
        </w:tc>
        <w:tc>
          <w:tcPr>
            <w:tcW w:w="11916" w:type="dxa"/>
            <w:hideMark/>
          </w:tcPr>
          <w:p w14:paraId="27666BBA" w14:textId="77777777" w:rsidR="00B86BF1" w:rsidRPr="00A743C9" w:rsidRDefault="00B86BF1" w:rsidP="000376C7">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A743C9">
              <w:rPr>
                <w:rFonts w:eastAsia="Times New Roman" w:cstheme="minorHAnsi"/>
                <w:sz w:val="16"/>
                <w:szCs w:val="16"/>
              </w:rPr>
              <w:t>Classified as tobacco imitation products. The Tobacco Order prohibits the sale, offer for sale or importation of items that imitate tobacco products.</w:t>
            </w:r>
          </w:p>
        </w:tc>
      </w:tr>
      <w:tr w:rsidR="00B86BF1" w:rsidRPr="00A743C9" w14:paraId="5A8B11D1" w14:textId="77777777" w:rsidTr="000376C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04" w:type="dxa"/>
            <w:hideMark/>
          </w:tcPr>
          <w:p w14:paraId="6193B62F" w14:textId="77777777" w:rsidR="00B86BF1" w:rsidRPr="00A743C9" w:rsidRDefault="00B86BF1" w:rsidP="000376C7">
            <w:pPr>
              <w:rPr>
                <w:rFonts w:eastAsia="Times New Roman" w:cstheme="minorHAnsi"/>
                <w:sz w:val="16"/>
                <w:szCs w:val="16"/>
              </w:rPr>
            </w:pPr>
            <w:r w:rsidRPr="00A743C9">
              <w:rPr>
                <w:rFonts w:eastAsia="Times New Roman" w:cstheme="minorHAnsi"/>
                <w:sz w:val="16"/>
                <w:szCs w:val="16"/>
              </w:rPr>
              <w:t>Bulgaria</w:t>
            </w:r>
          </w:p>
        </w:tc>
        <w:tc>
          <w:tcPr>
            <w:tcW w:w="11916" w:type="dxa"/>
            <w:hideMark/>
          </w:tcPr>
          <w:p w14:paraId="7AC10934" w14:textId="77777777" w:rsidR="00B86BF1" w:rsidRPr="00A743C9" w:rsidRDefault="00B86BF1" w:rsidP="000376C7">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A743C9">
              <w:rPr>
                <w:rFonts w:eastAsia="Times New Roman" w:cstheme="minorHAnsi"/>
                <w:sz w:val="16"/>
                <w:szCs w:val="16"/>
              </w:rPr>
              <w:t>E</w:t>
            </w:r>
            <w:r w:rsidRPr="00A743C9">
              <w:rPr>
                <w:rFonts w:eastAsia="Times New Roman" w:cstheme="minorHAnsi"/>
                <w:sz w:val="16"/>
                <w:szCs w:val="16"/>
              </w:rPr>
              <w:noBreakHyphen/>
              <w:t>cigarettes are regulated by Decree 89 (to Promulgate the Law on Amending and Supplementing the Law on Tobacco and Tobacco Products), which contains a requirement to notify the Ministry of Economy prior to introducing a product to the market and notification requires compliance with a range of product specifications including on pack warnings. Manufacturers or importers must also submit an annual report to the Ministry of Economy as specified in the law.</w:t>
            </w:r>
          </w:p>
        </w:tc>
      </w:tr>
      <w:tr w:rsidR="00B86BF1" w:rsidRPr="00A743C9" w14:paraId="4BA75483" w14:textId="77777777" w:rsidTr="000376C7">
        <w:trPr>
          <w:trHeight w:val="283"/>
        </w:trPr>
        <w:tc>
          <w:tcPr>
            <w:cnfStyle w:val="001000000000" w:firstRow="0" w:lastRow="0" w:firstColumn="1" w:lastColumn="0" w:oddVBand="0" w:evenVBand="0" w:oddHBand="0" w:evenHBand="0" w:firstRowFirstColumn="0" w:firstRowLastColumn="0" w:lastRowFirstColumn="0" w:lastRowLastColumn="0"/>
            <w:tcW w:w="1404" w:type="dxa"/>
            <w:hideMark/>
          </w:tcPr>
          <w:p w14:paraId="24375791" w14:textId="77777777" w:rsidR="00B86BF1" w:rsidRPr="00A743C9" w:rsidRDefault="00B86BF1" w:rsidP="000376C7">
            <w:pPr>
              <w:rPr>
                <w:rFonts w:eastAsia="Times New Roman" w:cstheme="minorHAnsi"/>
                <w:sz w:val="16"/>
                <w:szCs w:val="16"/>
              </w:rPr>
            </w:pPr>
            <w:r w:rsidRPr="00A743C9">
              <w:rPr>
                <w:rFonts w:eastAsia="Times New Roman" w:cstheme="minorHAnsi"/>
                <w:sz w:val="16"/>
                <w:szCs w:val="16"/>
              </w:rPr>
              <w:t>Cambodia</w:t>
            </w:r>
          </w:p>
        </w:tc>
        <w:tc>
          <w:tcPr>
            <w:tcW w:w="11916" w:type="dxa"/>
            <w:hideMark/>
          </w:tcPr>
          <w:p w14:paraId="7A272AF1" w14:textId="77777777" w:rsidR="00B86BF1" w:rsidRPr="00A743C9" w:rsidRDefault="00B86BF1" w:rsidP="000376C7">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A743C9">
              <w:rPr>
                <w:rFonts w:eastAsia="Times New Roman" w:cstheme="minorHAnsi"/>
                <w:sz w:val="16"/>
                <w:szCs w:val="16"/>
              </w:rPr>
              <w:t>Classified as e</w:t>
            </w:r>
            <w:r w:rsidRPr="00A743C9">
              <w:rPr>
                <w:rFonts w:eastAsia="Times New Roman" w:cstheme="minorHAnsi"/>
                <w:sz w:val="16"/>
                <w:szCs w:val="16"/>
              </w:rPr>
              <w:noBreakHyphen/>
              <w:t>cigarettes by a circular which bans their sale, importation and use.</w:t>
            </w:r>
          </w:p>
        </w:tc>
      </w:tr>
      <w:tr w:rsidR="00B86BF1" w:rsidRPr="00A743C9" w14:paraId="0AE34DD9" w14:textId="77777777" w:rsidTr="000376C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04" w:type="dxa"/>
            <w:hideMark/>
          </w:tcPr>
          <w:p w14:paraId="6D621442" w14:textId="77777777" w:rsidR="00B86BF1" w:rsidRPr="00A743C9" w:rsidRDefault="00B86BF1" w:rsidP="000376C7">
            <w:pPr>
              <w:rPr>
                <w:rFonts w:eastAsia="Times New Roman" w:cstheme="minorHAnsi"/>
                <w:sz w:val="16"/>
                <w:szCs w:val="16"/>
              </w:rPr>
            </w:pPr>
            <w:r w:rsidRPr="00A743C9">
              <w:rPr>
                <w:rFonts w:eastAsia="Times New Roman" w:cstheme="minorHAnsi"/>
                <w:sz w:val="16"/>
                <w:szCs w:val="16"/>
              </w:rPr>
              <w:t>Canada</w:t>
            </w:r>
          </w:p>
        </w:tc>
        <w:tc>
          <w:tcPr>
            <w:tcW w:w="11916" w:type="dxa"/>
            <w:hideMark/>
          </w:tcPr>
          <w:p w14:paraId="66B00CAE" w14:textId="77777777" w:rsidR="00B86BF1" w:rsidRPr="00A743C9" w:rsidRDefault="00B86BF1" w:rsidP="000376C7">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A743C9">
              <w:rPr>
                <w:rFonts w:eastAsia="Times New Roman" w:cstheme="minorHAnsi"/>
                <w:sz w:val="16"/>
                <w:szCs w:val="16"/>
              </w:rPr>
              <w:t>A notice by Health Canada classifies nicotine</w:t>
            </w:r>
            <w:r w:rsidRPr="00A743C9">
              <w:rPr>
                <w:rFonts w:eastAsia="Times New Roman" w:cstheme="minorHAnsi"/>
                <w:sz w:val="16"/>
                <w:szCs w:val="16"/>
              </w:rPr>
              <w:noBreakHyphen/>
              <w:t>containing e</w:t>
            </w:r>
            <w:r w:rsidRPr="00A743C9">
              <w:rPr>
                <w:rFonts w:eastAsia="Times New Roman" w:cstheme="minorHAnsi"/>
                <w:sz w:val="16"/>
                <w:szCs w:val="16"/>
              </w:rPr>
              <w:noBreakHyphen/>
              <w:t>cigarettes as new drugs under the Food and Drug Regulations. As such, there are restrictions on their sale, advertisement, promotion, sponsorship, importation and manufacturing.</w:t>
            </w:r>
          </w:p>
        </w:tc>
      </w:tr>
      <w:tr w:rsidR="00B86BF1" w:rsidRPr="00A743C9" w14:paraId="427ADDD5" w14:textId="77777777" w:rsidTr="000376C7">
        <w:trPr>
          <w:trHeight w:val="283"/>
        </w:trPr>
        <w:tc>
          <w:tcPr>
            <w:cnfStyle w:val="001000000000" w:firstRow="0" w:lastRow="0" w:firstColumn="1" w:lastColumn="0" w:oddVBand="0" w:evenVBand="0" w:oddHBand="0" w:evenHBand="0" w:firstRowFirstColumn="0" w:firstRowLastColumn="0" w:lastRowFirstColumn="0" w:lastRowLastColumn="0"/>
            <w:tcW w:w="1404" w:type="dxa"/>
            <w:hideMark/>
          </w:tcPr>
          <w:p w14:paraId="4D2E411E" w14:textId="77777777" w:rsidR="00B86BF1" w:rsidRPr="00A743C9" w:rsidRDefault="00B86BF1" w:rsidP="000376C7">
            <w:pPr>
              <w:rPr>
                <w:rFonts w:eastAsia="Times New Roman" w:cstheme="minorHAnsi"/>
                <w:sz w:val="16"/>
                <w:szCs w:val="16"/>
              </w:rPr>
            </w:pPr>
            <w:r w:rsidRPr="00A743C9">
              <w:rPr>
                <w:rFonts w:eastAsia="Times New Roman" w:cstheme="minorHAnsi"/>
                <w:sz w:val="16"/>
                <w:szCs w:val="16"/>
              </w:rPr>
              <w:t>Chile</w:t>
            </w:r>
          </w:p>
        </w:tc>
        <w:tc>
          <w:tcPr>
            <w:tcW w:w="11916" w:type="dxa"/>
            <w:hideMark/>
          </w:tcPr>
          <w:p w14:paraId="0284FA16" w14:textId="77777777" w:rsidR="00B86BF1" w:rsidRPr="00A743C9" w:rsidRDefault="00B86BF1" w:rsidP="000376C7">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A743C9">
              <w:rPr>
                <w:rFonts w:eastAsia="Times New Roman" w:cstheme="minorHAnsi"/>
                <w:sz w:val="16"/>
                <w:szCs w:val="16"/>
              </w:rPr>
              <w:t>Nicotine</w:t>
            </w:r>
            <w:r w:rsidRPr="00A743C9">
              <w:rPr>
                <w:rFonts w:eastAsia="Times New Roman" w:cstheme="minorHAnsi"/>
                <w:sz w:val="16"/>
                <w:szCs w:val="16"/>
              </w:rPr>
              <w:noBreakHyphen/>
              <w:t>containing e</w:t>
            </w:r>
            <w:r w:rsidRPr="00A743C9">
              <w:rPr>
                <w:rFonts w:eastAsia="Times New Roman" w:cstheme="minorHAnsi"/>
                <w:sz w:val="16"/>
                <w:szCs w:val="16"/>
              </w:rPr>
              <w:noBreakHyphen/>
              <w:t>cigarettes are classified as medicinal products per a resolution.</w:t>
            </w:r>
          </w:p>
        </w:tc>
      </w:tr>
      <w:tr w:rsidR="00B86BF1" w:rsidRPr="00A743C9" w14:paraId="7FC33CC5" w14:textId="77777777" w:rsidTr="000376C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04" w:type="dxa"/>
          </w:tcPr>
          <w:p w14:paraId="7E9D04ED" w14:textId="77777777" w:rsidR="00B86BF1" w:rsidRPr="00A743C9" w:rsidRDefault="00B86BF1" w:rsidP="000376C7">
            <w:pPr>
              <w:rPr>
                <w:rFonts w:eastAsia="Times New Roman" w:cstheme="minorHAnsi"/>
                <w:sz w:val="16"/>
                <w:szCs w:val="16"/>
              </w:rPr>
            </w:pPr>
            <w:r w:rsidRPr="00A743C9">
              <w:rPr>
                <w:rFonts w:eastAsia="Times New Roman" w:cstheme="minorHAnsi"/>
                <w:sz w:val="16"/>
                <w:szCs w:val="16"/>
              </w:rPr>
              <w:t>Colombia</w:t>
            </w:r>
          </w:p>
        </w:tc>
        <w:tc>
          <w:tcPr>
            <w:tcW w:w="11916" w:type="dxa"/>
          </w:tcPr>
          <w:p w14:paraId="68D2F30E" w14:textId="77777777" w:rsidR="00B86BF1" w:rsidRPr="00A743C9" w:rsidRDefault="00B86BF1" w:rsidP="000376C7">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A743C9">
              <w:rPr>
                <w:rFonts w:eastAsia="Times New Roman" w:cstheme="minorHAnsi"/>
                <w:sz w:val="16"/>
                <w:szCs w:val="16"/>
              </w:rPr>
              <w:t>The tobacco control law classifies these products as tobacco imitations, banning sale, manufacturing and marketing/advertising. There are bans on the use of these products in enclosed public places and on public transport.</w:t>
            </w:r>
          </w:p>
        </w:tc>
      </w:tr>
      <w:tr w:rsidR="00B86BF1" w:rsidRPr="00A743C9" w14:paraId="31E96D03" w14:textId="77777777" w:rsidTr="000376C7">
        <w:trPr>
          <w:trHeight w:val="283"/>
        </w:trPr>
        <w:tc>
          <w:tcPr>
            <w:cnfStyle w:val="001000000000" w:firstRow="0" w:lastRow="0" w:firstColumn="1" w:lastColumn="0" w:oddVBand="0" w:evenVBand="0" w:oddHBand="0" w:evenHBand="0" w:firstRowFirstColumn="0" w:firstRowLastColumn="0" w:lastRowFirstColumn="0" w:lastRowLastColumn="0"/>
            <w:tcW w:w="1404" w:type="dxa"/>
            <w:hideMark/>
          </w:tcPr>
          <w:p w14:paraId="7FFF45DA" w14:textId="77777777" w:rsidR="00B86BF1" w:rsidRPr="00A743C9" w:rsidRDefault="00B86BF1" w:rsidP="000376C7">
            <w:pPr>
              <w:rPr>
                <w:rFonts w:eastAsia="Times New Roman" w:cstheme="minorHAnsi"/>
                <w:sz w:val="16"/>
                <w:szCs w:val="16"/>
              </w:rPr>
            </w:pPr>
            <w:r w:rsidRPr="00A743C9">
              <w:rPr>
                <w:rFonts w:eastAsia="Times New Roman" w:cstheme="minorHAnsi"/>
                <w:sz w:val="16"/>
                <w:szCs w:val="16"/>
              </w:rPr>
              <w:t>Costa Rica</w:t>
            </w:r>
          </w:p>
        </w:tc>
        <w:tc>
          <w:tcPr>
            <w:tcW w:w="11916" w:type="dxa"/>
            <w:hideMark/>
          </w:tcPr>
          <w:p w14:paraId="7F27B8CC" w14:textId="77777777" w:rsidR="00B86BF1" w:rsidRPr="00A743C9" w:rsidRDefault="00B86BF1" w:rsidP="000376C7">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A743C9">
              <w:rPr>
                <w:rFonts w:eastAsia="Times New Roman" w:cstheme="minorHAnsi"/>
                <w:sz w:val="16"/>
                <w:szCs w:val="16"/>
              </w:rPr>
              <w:t>Referred to as ENDS in a decree and classified as tobacco products. In accordance with the tobacco control law, they cannot be sold to minors (under 18 years).</w:t>
            </w:r>
          </w:p>
        </w:tc>
      </w:tr>
      <w:tr w:rsidR="00B86BF1" w:rsidRPr="00A743C9" w14:paraId="6FBC805A" w14:textId="77777777" w:rsidTr="000376C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04" w:type="dxa"/>
            <w:hideMark/>
          </w:tcPr>
          <w:p w14:paraId="6307CC27" w14:textId="77777777" w:rsidR="00B86BF1" w:rsidRPr="00A743C9" w:rsidRDefault="00B86BF1" w:rsidP="000376C7">
            <w:pPr>
              <w:rPr>
                <w:rFonts w:eastAsia="Times New Roman" w:cstheme="minorHAnsi"/>
                <w:sz w:val="16"/>
                <w:szCs w:val="16"/>
              </w:rPr>
            </w:pPr>
            <w:r w:rsidRPr="00A743C9">
              <w:rPr>
                <w:rFonts w:eastAsia="Times New Roman" w:cstheme="minorHAnsi"/>
                <w:sz w:val="16"/>
                <w:szCs w:val="16"/>
              </w:rPr>
              <w:t>Croatia</w:t>
            </w:r>
          </w:p>
        </w:tc>
        <w:tc>
          <w:tcPr>
            <w:tcW w:w="11916" w:type="dxa"/>
            <w:hideMark/>
          </w:tcPr>
          <w:p w14:paraId="3D2FD99F" w14:textId="77777777" w:rsidR="00B86BF1" w:rsidRPr="00A743C9" w:rsidRDefault="00B86BF1" w:rsidP="000376C7">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A743C9">
              <w:rPr>
                <w:rFonts w:eastAsia="Times New Roman" w:cstheme="minorHAnsi"/>
                <w:sz w:val="16"/>
                <w:szCs w:val="16"/>
              </w:rPr>
              <w:t>E</w:t>
            </w:r>
            <w:r w:rsidRPr="00A743C9">
              <w:rPr>
                <w:rFonts w:eastAsia="Times New Roman" w:cstheme="minorHAnsi"/>
                <w:sz w:val="16"/>
                <w:szCs w:val="16"/>
              </w:rPr>
              <w:noBreakHyphen/>
              <w:t>cigarettes are regulated by the Law restricting the use of tobacco and related products of May 10, 2017, which contains a requirement to notify the Ministry of Health prior to introducing a product to the market.</w:t>
            </w:r>
          </w:p>
        </w:tc>
      </w:tr>
      <w:tr w:rsidR="00B86BF1" w:rsidRPr="00A743C9" w14:paraId="44E0B286" w14:textId="77777777" w:rsidTr="000376C7">
        <w:trPr>
          <w:trHeight w:val="283"/>
        </w:trPr>
        <w:tc>
          <w:tcPr>
            <w:cnfStyle w:val="001000000000" w:firstRow="0" w:lastRow="0" w:firstColumn="1" w:lastColumn="0" w:oddVBand="0" w:evenVBand="0" w:oddHBand="0" w:evenHBand="0" w:firstRowFirstColumn="0" w:firstRowLastColumn="0" w:lastRowFirstColumn="0" w:lastRowLastColumn="0"/>
            <w:tcW w:w="1404" w:type="dxa"/>
            <w:hideMark/>
          </w:tcPr>
          <w:p w14:paraId="2D94E380" w14:textId="77777777" w:rsidR="00B86BF1" w:rsidRPr="00A743C9" w:rsidRDefault="00B86BF1" w:rsidP="000376C7">
            <w:pPr>
              <w:rPr>
                <w:rFonts w:eastAsia="Times New Roman" w:cstheme="minorHAnsi"/>
                <w:sz w:val="16"/>
                <w:szCs w:val="16"/>
              </w:rPr>
            </w:pPr>
            <w:r w:rsidRPr="00A743C9">
              <w:rPr>
                <w:rFonts w:eastAsia="Times New Roman" w:cstheme="minorHAnsi"/>
                <w:sz w:val="16"/>
                <w:szCs w:val="16"/>
              </w:rPr>
              <w:lastRenderedPageBreak/>
              <w:t>Cyprus</w:t>
            </w:r>
          </w:p>
        </w:tc>
        <w:tc>
          <w:tcPr>
            <w:tcW w:w="11916" w:type="dxa"/>
            <w:hideMark/>
          </w:tcPr>
          <w:p w14:paraId="43E86111" w14:textId="77777777" w:rsidR="00B86BF1" w:rsidRPr="00A743C9" w:rsidRDefault="00B86BF1" w:rsidP="000376C7">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A743C9">
              <w:rPr>
                <w:rFonts w:eastAsia="Times New Roman" w:cstheme="minorHAnsi"/>
                <w:sz w:val="16"/>
                <w:szCs w:val="16"/>
              </w:rPr>
              <w:t>Nicotine</w:t>
            </w:r>
            <w:r w:rsidRPr="00A743C9">
              <w:rPr>
                <w:rFonts w:eastAsia="Times New Roman" w:cstheme="minorHAnsi"/>
                <w:sz w:val="16"/>
                <w:szCs w:val="16"/>
              </w:rPr>
              <w:noBreakHyphen/>
              <w:t>containing e</w:t>
            </w:r>
            <w:r w:rsidRPr="00A743C9">
              <w:rPr>
                <w:rFonts w:eastAsia="Times New Roman" w:cstheme="minorHAnsi"/>
                <w:sz w:val="16"/>
                <w:szCs w:val="16"/>
              </w:rPr>
              <w:noBreakHyphen/>
              <w:t>cigarettes are regulated by the Law on Health protection (Tobacco Control Law) of 2017 and the Health Protection (Tobacco Control) Regulations of 2017, which require specific notification and reporting obligations on manufacture.</w:t>
            </w:r>
          </w:p>
        </w:tc>
      </w:tr>
      <w:tr w:rsidR="00B86BF1" w:rsidRPr="00A743C9" w14:paraId="64EC64A6" w14:textId="77777777" w:rsidTr="000376C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04" w:type="dxa"/>
            <w:hideMark/>
          </w:tcPr>
          <w:p w14:paraId="7B2DA75A" w14:textId="77777777" w:rsidR="00B86BF1" w:rsidRPr="00A743C9" w:rsidRDefault="00B86BF1" w:rsidP="000376C7">
            <w:pPr>
              <w:rPr>
                <w:rFonts w:eastAsia="Times New Roman" w:cstheme="minorHAnsi"/>
                <w:sz w:val="16"/>
                <w:szCs w:val="16"/>
              </w:rPr>
            </w:pPr>
            <w:r w:rsidRPr="00A743C9">
              <w:rPr>
                <w:rFonts w:eastAsia="Times New Roman" w:cstheme="minorHAnsi"/>
                <w:sz w:val="16"/>
                <w:szCs w:val="16"/>
              </w:rPr>
              <w:t>Czech Republic</w:t>
            </w:r>
          </w:p>
        </w:tc>
        <w:tc>
          <w:tcPr>
            <w:tcW w:w="11916" w:type="dxa"/>
            <w:hideMark/>
          </w:tcPr>
          <w:p w14:paraId="217A1E62" w14:textId="77777777" w:rsidR="00B86BF1" w:rsidRPr="00A743C9" w:rsidRDefault="00B86BF1" w:rsidP="000376C7">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A743C9">
              <w:rPr>
                <w:rFonts w:eastAsia="Times New Roman" w:cstheme="minorHAnsi"/>
                <w:sz w:val="16"/>
                <w:szCs w:val="16"/>
              </w:rPr>
              <w:t>Decree No. 37/2017 regulates e</w:t>
            </w:r>
            <w:r w:rsidRPr="00A743C9">
              <w:rPr>
                <w:rFonts w:eastAsia="Times New Roman" w:cstheme="minorHAnsi"/>
                <w:sz w:val="16"/>
                <w:szCs w:val="16"/>
              </w:rPr>
              <w:noBreakHyphen/>
              <w:t>cigarettes that contain nicotine.</w:t>
            </w:r>
          </w:p>
        </w:tc>
      </w:tr>
      <w:tr w:rsidR="00B86BF1" w:rsidRPr="00A743C9" w14:paraId="5111939C" w14:textId="77777777" w:rsidTr="000376C7">
        <w:trPr>
          <w:trHeight w:val="283"/>
        </w:trPr>
        <w:tc>
          <w:tcPr>
            <w:cnfStyle w:val="001000000000" w:firstRow="0" w:lastRow="0" w:firstColumn="1" w:lastColumn="0" w:oddVBand="0" w:evenVBand="0" w:oddHBand="0" w:evenHBand="0" w:firstRowFirstColumn="0" w:firstRowLastColumn="0" w:lastRowFirstColumn="0" w:lastRowLastColumn="0"/>
            <w:tcW w:w="1404" w:type="dxa"/>
            <w:hideMark/>
          </w:tcPr>
          <w:p w14:paraId="5BDE2658" w14:textId="77777777" w:rsidR="00B86BF1" w:rsidRPr="00A743C9" w:rsidRDefault="00B86BF1" w:rsidP="000376C7">
            <w:pPr>
              <w:rPr>
                <w:rFonts w:eastAsia="Times New Roman" w:cstheme="minorHAnsi"/>
                <w:sz w:val="16"/>
                <w:szCs w:val="16"/>
              </w:rPr>
            </w:pPr>
            <w:r w:rsidRPr="00A743C9">
              <w:rPr>
                <w:rFonts w:eastAsia="Times New Roman" w:cstheme="minorHAnsi"/>
                <w:sz w:val="16"/>
                <w:szCs w:val="16"/>
              </w:rPr>
              <w:t>Denmark</w:t>
            </w:r>
          </w:p>
        </w:tc>
        <w:tc>
          <w:tcPr>
            <w:tcW w:w="11916" w:type="dxa"/>
            <w:hideMark/>
          </w:tcPr>
          <w:p w14:paraId="7471E957" w14:textId="77777777" w:rsidR="00B86BF1" w:rsidRPr="00A743C9" w:rsidRDefault="00B86BF1" w:rsidP="000376C7">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A743C9">
              <w:rPr>
                <w:rFonts w:eastAsia="Times New Roman" w:cstheme="minorHAnsi"/>
                <w:sz w:val="16"/>
                <w:szCs w:val="16"/>
              </w:rPr>
              <w:t>E</w:t>
            </w:r>
            <w:r w:rsidRPr="00A743C9">
              <w:rPr>
                <w:rFonts w:eastAsia="Times New Roman" w:cstheme="minorHAnsi"/>
                <w:sz w:val="16"/>
                <w:szCs w:val="16"/>
              </w:rPr>
              <w:noBreakHyphen/>
              <w:t>cigarettes will be regulated as medicinal products under the Danish Medicines Act if they are marketed as products for the prevention or treatment of diseases, e.g. nicotine dependence and cessation.</w:t>
            </w:r>
          </w:p>
        </w:tc>
      </w:tr>
      <w:tr w:rsidR="00B86BF1" w:rsidRPr="00A743C9" w14:paraId="577EA40A" w14:textId="77777777" w:rsidTr="000376C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04" w:type="dxa"/>
            <w:hideMark/>
          </w:tcPr>
          <w:p w14:paraId="2A589BD1" w14:textId="77777777" w:rsidR="00B86BF1" w:rsidRPr="00A743C9" w:rsidRDefault="00B86BF1" w:rsidP="000376C7">
            <w:pPr>
              <w:rPr>
                <w:rFonts w:eastAsia="Times New Roman" w:cstheme="minorHAnsi"/>
                <w:sz w:val="16"/>
                <w:szCs w:val="16"/>
              </w:rPr>
            </w:pPr>
            <w:r w:rsidRPr="00A743C9">
              <w:rPr>
                <w:rFonts w:eastAsia="Times New Roman" w:cstheme="minorHAnsi"/>
                <w:sz w:val="16"/>
                <w:szCs w:val="16"/>
              </w:rPr>
              <w:t>Ecuador</w:t>
            </w:r>
          </w:p>
        </w:tc>
        <w:tc>
          <w:tcPr>
            <w:tcW w:w="11916" w:type="dxa"/>
            <w:hideMark/>
          </w:tcPr>
          <w:p w14:paraId="245E7A18" w14:textId="77777777" w:rsidR="00B86BF1" w:rsidRPr="00A743C9" w:rsidRDefault="00B86BF1" w:rsidP="000376C7">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A743C9">
              <w:rPr>
                <w:rFonts w:eastAsia="Times New Roman" w:cstheme="minorHAnsi"/>
                <w:sz w:val="16"/>
                <w:szCs w:val="16"/>
              </w:rPr>
              <w:t>Classified as ENDS per a decree. Minimum age of purchase is 18 years. Advertising is restricted to venues accessed solely by adults. The tobacco control law bans use in public spaces/transport.</w:t>
            </w:r>
          </w:p>
        </w:tc>
      </w:tr>
      <w:tr w:rsidR="00B86BF1" w:rsidRPr="00A743C9" w14:paraId="33B3D265" w14:textId="77777777" w:rsidTr="000376C7">
        <w:trPr>
          <w:trHeight w:val="283"/>
        </w:trPr>
        <w:tc>
          <w:tcPr>
            <w:cnfStyle w:val="001000000000" w:firstRow="0" w:lastRow="0" w:firstColumn="1" w:lastColumn="0" w:oddVBand="0" w:evenVBand="0" w:oddHBand="0" w:evenHBand="0" w:firstRowFirstColumn="0" w:firstRowLastColumn="0" w:lastRowFirstColumn="0" w:lastRowLastColumn="0"/>
            <w:tcW w:w="1404" w:type="dxa"/>
            <w:hideMark/>
          </w:tcPr>
          <w:p w14:paraId="3067EBC0" w14:textId="77777777" w:rsidR="00B86BF1" w:rsidRPr="00A743C9" w:rsidRDefault="00B86BF1" w:rsidP="000376C7">
            <w:pPr>
              <w:rPr>
                <w:rFonts w:eastAsia="Times New Roman" w:cstheme="minorHAnsi"/>
                <w:sz w:val="16"/>
                <w:szCs w:val="16"/>
              </w:rPr>
            </w:pPr>
            <w:r w:rsidRPr="00A743C9">
              <w:rPr>
                <w:rFonts w:eastAsia="Times New Roman" w:cstheme="minorHAnsi"/>
                <w:sz w:val="16"/>
                <w:szCs w:val="16"/>
              </w:rPr>
              <w:t>England</w:t>
            </w:r>
          </w:p>
        </w:tc>
        <w:tc>
          <w:tcPr>
            <w:tcW w:w="11916" w:type="dxa"/>
            <w:hideMark/>
          </w:tcPr>
          <w:p w14:paraId="1DCBEF9B" w14:textId="77777777" w:rsidR="00B86BF1" w:rsidRPr="00A743C9" w:rsidRDefault="00B86BF1" w:rsidP="000376C7">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A743C9">
              <w:rPr>
                <w:rFonts w:eastAsia="Times New Roman" w:cstheme="minorHAnsi"/>
                <w:sz w:val="16"/>
                <w:szCs w:val="16"/>
              </w:rPr>
              <w:t>E</w:t>
            </w:r>
            <w:r w:rsidRPr="00A743C9">
              <w:rPr>
                <w:rFonts w:eastAsia="Times New Roman" w:cstheme="minorHAnsi"/>
                <w:sz w:val="16"/>
                <w:szCs w:val="16"/>
              </w:rPr>
              <w:noBreakHyphen/>
              <w:t>cigarettes may be brought to market either as medicines or as consumer products. Those seeking medicines approval undergo the standard licensing process.</w:t>
            </w:r>
          </w:p>
        </w:tc>
      </w:tr>
      <w:tr w:rsidR="00B86BF1" w:rsidRPr="00A743C9" w14:paraId="2005A72E" w14:textId="77777777" w:rsidTr="000376C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04" w:type="dxa"/>
            <w:hideMark/>
          </w:tcPr>
          <w:p w14:paraId="149B324E" w14:textId="77777777" w:rsidR="00B86BF1" w:rsidRPr="00A743C9" w:rsidRDefault="00B86BF1" w:rsidP="000376C7">
            <w:pPr>
              <w:rPr>
                <w:rFonts w:eastAsia="Times New Roman" w:cstheme="minorHAnsi"/>
                <w:sz w:val="16"/>
                <w:szCs w:val="16"/>
              </w:rPr>
            </w:pPr>
            <w:r w:rsidRPr="00A743C9">
              <w:rPr>
                <w:rFonts w:eastAsia="Times New Roman" w:cstheme="minorHAnsi"/>
                <w:sz w:val="16"/>
                <w:szCs w:val="16"/>
              </w:rPr>
              <w:t>Estonia</w:t>
            </w:r>
          </w:p>
        </w:tc>
        <w:tc>
          <w:tcPr>
            <w:tcW w:w="11916" w:type="dxa"/>
            <w:hideMark/>
          </w:tcPr>
          <w:p w14:paraId="20E58400" w14:textId="77777777" w:rsidR="00B86BF1" w:rsidRPr="00A743C9" w:rsidRDefault="00B86BF1" w:rsidP="000376C7">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A743C9">
              <w:rPr>
                <w:rFonts w:eastAsia="Times New Roman" w:cstheme="minorHAnsi"/>
                <w:sz w:val="16"/>
                <w:szCs w:val="16"/>
              </w:rPr>
              <w:t>E</w:t>
            </w:r>
            <w:r w:rsidRPr="00A743C9">
              <w:rPr>
                <w:rFonts w:eastAsia="Times New Roman" w:cstheme="minorHAnsi"/>
                <w:sz w:val="16"/>
                <w:szCs w:val="16"/>
              </w:rPr>
              <w:noBreakHyphen/>
              <w:t>cigarettes are classified as tobacco related products and regulated by the Tobacco Act 2016. E</w:t>
            </w:r>
            <w:r w:rsidRPr="00A743C9">
              <w:rPr>
                <w:rFonts w:eastAsia="Times New Roman" w:cstheme="minorHAnsi"/>
                <w:sz w:val="16"/>
                <w:szCs w:val="16"/>
              </w:rPr>
              <w:noBreakHyphen/>
              <w:t>cigarettes may also be classified/brought to the market as medicinal products and thus be regulated by the Medical Devices Act.</w:t>
            </w:r>
          </w:p>
        </w:tc>
      </w:tr>
      <w:tr w:rsidR="00B86BF1" w:rsidRPr="00A743C9" w14:paraId="157D902D" w14:textId="77777777" w:rsidTr="000376C7">
        <w:trPr>
          <w:trHeight w:val="283"/>
        </w:trPr>
        <w:tc>
          <w:tcPr>
            <w:cnfStyle w:val="001000000000" w:firstRow="0" w:lastRow="0" w:firstColumn="1" w:lastColumn="0" w:oddVBand="0" w:evenVBand="0" w:oddHBand="0" w:evenHBand="0" w:firstRowFirstColumn="0" w:firstRowLastColumn="0" w:lastRowFirstColumn="0" w:lastRowLastColumn="0"/>
            <w:tcW w:w="1404" w:type="dxa"/>
            <w:hideMark/>
          </w:tcPr>
          <w:p w14:paraId="13EB4583" w14:textId="77777777" w:rsidR="00B86BF1" w:rsidRPr="00A743C9" w:rsidRDefault="00B86BF1" w:rsidP="000376C7">
            <w:pPr>
              <w:rPr>
                <w:rFonts w:eastAsia="Times New Roman" w:cstheme="minorHAnsi"/>
                <w:sz w:val="16"/>
                <w:szCs w:val="16"/>
              </w:rPr>
            </w:pPr>
            <w:r w:rsidRPr="00A743C9">
              <w:rPr>
                <w:rFonts w:eastAsia="Times New Roman" w:cstheme="minorHAnsi"/>
                <w:sz w:val="16"/>
                <w:szCs w:val="16"/>
              </w:rPr>
              <w:t>Fiji</w:t>
            </w:r>
          </w:p>
        </w:tc>
        <w:tc>
          <w:tcPr>
            <w:tcW w:w="11916" w:type="dxa"/>
            <w:hideMark/>
          </w:tcPr>
          <w:p w14:paraId="43D6761A" w14:textId="77777777" w:rsidR="00B86BF1" w:rsidRPr="00A743C9" w:rsidRDefault="00B86BF1" w:rsidP="000376C7">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A743C9">
              <w:rPr>
                <w:rFonts w:eastAsia="Times New Roman" w:cstheme="minorHAnsi"/>
                <w:sz w:val="16"/>
                <w:szCs w:val="16"/>
              </w:rPr>
              <w:t>A tobacco control (amendment) decree applies to both nicotine</w:t>
            </w:r>
            <w:r w:rsidRPr="00A743C9">
              <w:rPr>
                <w:rFonts w:eastAsia="Times New Roman" w:cstheme="minorHAnsi"/>
                <w:sz w:val="16"/>
                <w:szCs w:val="16"/>
              </w:rPr>
              <w:noBreakHyphen/>
              <w:t>containing and non</w:t>
            </w:r>
            <w:r w:rsidRPr="00A743C9">
              <w:rPr>
                <w:rFonts w:eastAsia="Times New Roman" w:cstheme="minorHAnsi"/>
                <w:sz w:val="16"/>
                <w:szCs w:val="16"/>
              </w:rPr>
              <w:noBreakHyphen/>
              <w:t>nicotine e</w:t>
            </w:r>
            <w:r w:rsidRPr="00A743C9">
              <w:rPr>
                <w:rFonts w:eastAsia="Times New Roman" w:cstheme="minorHAnsi"/>
                <w:sz w:val="16"/>
                <w:szCs w:val="16"/>
              </w:rPr>
              <w:noBreakHyphen/>
              <w:t>cigarettes. E</w:t>
            </w:r>
            <w:r w:rsidRPr="00A743C9">
              <w:rPr>
                <w:rFonts w:eastAsia="Times New Roman" w:cstheme="minorHAnsi"/>
                <w:sz w:val="16"/>
                <w:szCs w:val="16"/>
              </w:rPr>
              <w:noBreakHyphen/>
              <w:t>cigarettes cannot be sold to minors (under 18 years), advertised or used in public transportation and certain enclosed public places.</w:t>
            </w:r>
          </w:p>
        </w:tc>
      </w:tr>
      <w:tr w:rsidR="00B86BF1" w:rsidRPr="00A743C9" w14:paraId="3282828B" w14:textId="77777777" w:rsidTr="000376C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04" w:type="dxa"/>
            <w:hideMark/>
          </w:tcPr>
          <w:p w14:paraId="0D10C1D4" w14:textId="77777777" w:rsidR="00B86BF1" w:rsidRPr="00A743C9" w:rsidRDefault="00B86BF1" w:rsidP="000376C7">
            <w:pPr>
              <w:rPr>
                <w:rFonts w:eastAsia="Times New Roman" w:cstheme="minorHAnsi"/>
                <w:sz w:val="16"/>
                <w:szCs w:val="16"/>
              </w:rPr>
            </w:pPr>
            <w:r w:rsidRPr="00A743C9">
              <w:rPr>
                <w:rFonts w:eastAsia="Times New Roman" w:cstheme="minorHAnsi"/>
                <w:sz w:val="16"/>
                <w:szCs w:val="16"/>
              </w:rPr>
              <w:t>Finland</w:t>
            </w:r>
          </w:p>
        </w:tc>
        <w:tc>
          <w:tcPr>
            <w:tcW w:w="11916" w:type="dxa"/>
            <w:hideMark/>
          </w:tcPr>
          <w:p w14:paraId="56E88D53" w14:textId="77777777" w:rsidR="00B86BF1" w:rsidRPr="00A743C9" w:rsidRDefault="00B86BF1" w:rsidP="000376C7">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A743C9">
              <w:rPr>
                <w:rFonts w:eastAsia="Times New Roman" w:cstheme="minorHAnsi"/>
                <w:sz w:val="16"/>
                <w:szCs w:val="16"/>
              </w:rPr>
              <w:t>E</w:t>
            </w:r>
            <w:r w:rsidRPr="00A743C9">
              <w:rPr>
                <w:rFonts w:eastAsia="Times New Roman" w:cstheme="minorHAnsi"/>
                <w:sz w:val="16"/>
                <w:szCs w:val="16"/>
              </w:rPr>
              <w:noBreakHyphen/>
              <w:t>cigarettes are classified as tobacco related products (non</w:t>
            </w:r>
            <w:r w:rsidRPr="00A743C9">
              <w:rPr>
                <w:rFonts w:eastAsia="Times New Roman" w:cstheme="minorHAnsi"/>
                <w:sz w:val="16"/>
                <w:szCs w:val="16"/>
              </w:rPr>
              <w:noBreakHyphen/>
              <w:t>nicotine single use e</w:t>
            </w:r>
            <w:r w:rsidRPr="00A743C9">
              <w:rPr>
                <w:rFonts w:eastAsia="Times New Roman" w:cstheme="minorHAnsi"/>
                <w:sz w:val="16"/>
                <w:szCs w:val="16"/>
              </w:rPr>
              <w:noBreakHyphen/>
              <w:t>cigarettes are classified as tobacco substitutes) and regulated by the Tobacco Act 2016.</w:t>
            </w:r>
          </w:p>
        </w:tc>
      </w:tr>
      <w:tr w:rsidR="00B86BF1" w:rsidRPr="00A743C9" w14:paraId="14A05959" w14:textId="77777777" w:rsidTr="000376C7">
        <w:trPr>
          <w:trHeight w:val="283"/>
        </w:trPr>
        <w:tc>
          <w:tcPr>
            <w:cnfStyle w:val="001000000000" w:firstRow="0" w:lastRow="0" w:firstColumn="1" w:lastColumn="0" w:oddVBand="0" w:evenVBand="0" w:oddHBand="0" w:evenHBand="0" w:firstRowFirstColumn="0" w:firstRowLastColumn="0" w:lastRowFirstColumn="0" w:lastRowLastColumn="0"/>
            <w:tcW w:w="1404" w:type="dxa"/>
            <w:hideMark/>
          </w:tcPr>
          <w:p w14:paraId="53D6DCB8" w14:textId="77777777" w:rsidR="00B86BF1" w:rsidRPr="00A743C9" w:rsidRDefault="00B86BF1" w:rsidP="000376C7">
            <w:pPr>
              <w:rPr>
                <w:rFonts w:eastAsia="Times New Roman" w:cstheme="minorHAnsi"/>
                <w:sz w:val="16"/>
                <w:szCs w:val="16"/>
              </w:rPr>
            </w:pPr>
            <w:r w:rsidRPr="00A743C9">
              <w:rPr>
                <w:rFonts w:eastAsia="Times New Roman" w:cstheme="minorHAnsi"/>
                <w:sz w:val="16"/>
                <w:szCs w:val="16"/>
              </w:rPr>
              <w:t>France</w:t>
            </w:r>
          </w:p>
        </w:tc>
        <w:tc>
          <w:tcPr>
            <w:tcW w:w="11916" w:type="dxa"/>
            <w:hideMark/>
          </w:tcPr>
          <w:p w14:paraId="74DE70F5" w14:textId="77777777" w:rsidR="00B86BF1" w:rsidRPr="00A743C9" w:rsidRDefault="00B86BF1" w:rsidP="000376C7">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A743C9">
              <w:rPr>
                <w:rFonts w:eastAsia="Times New Roman" w:cstheme="minorHAnsi"/>
                <w:sz w:val="16"/>
                <w:szCs w:val="16"/>
              </w:rPr>
              <w:t>E</w:t>
            </w:r>
            <w:r w:rsidRPr="00A743C9">
              <w:rPr>
                <w:rFonts w:eastAsia="Times New Roman" w:cstheme="minorHAnsi"/>
                <w:sz w:val="16"/>
                <w:szCs w:val="16"/>
              </w:rPr>
              <w:noBreakHyphen/>
              <w:t>cigarettes maybe be brought to market either as medicines or as consumer products.</w:t>
            </w:r>
          </w:p>
        </w:tc>
      </w:tr>
      <w:tr w:rsidR="00B86BF1" w:rsidRPr="00A743C9" w14:paraId="150685E8" w14:textId="77777777" w:rsidTr="000376C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04" w:type="dxa"/>
            <w:hideMark/>
          </w:tcPr>
          <w:p w14:paraId="66906600" w14:textId="77777777" w:rsidR="00B86BF1" w:rsidRPr="00A743C9" w:rsidRDefault="00B86BF1" w:rsidP="000376C7">
            <w:pPr>
              <w:rPr>
                <w:rFonts w:eastAsia="Times New Roman" w:cstheme="minorHAnsi"/>
                <w:sz w:val="16"/>
                <w:szCs w:val="16"/>
              </w:rPr>
            </w:pPr>
            <w:r w:rsidRPr="00A743C9">
              <w:rPr>
                <w:rFonts w:eastAsia="Times New Roman" w:cstheme="minorHAnsi"/>
                <w:sz w:val="16"/>
                <w:szCs w:val="16"/>
              </w:rPr>
              <w:t>Gambia</w:t>
            </w:r>
          </w:p>
        </w:tc>
        <w:tc>
          <w:tcPr>
            <w:tcW w:w="11916" w:type="dxa"/>
            <w:hideMark/>
          </w:tcPr>
          <w:p w14:paraId="4CA5F075" w14:textId="77777777" w:rsidR="00B86BF1" w:rsidRPr="00A743C9" w:rsidRDefault="00B86BF1" w:rsidP="000376C7">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A743C9">
              <w:rPr>
                <w:rFonts w:eastAsia="Times New Roman" w:cstheme="minorHAnsi"/>
                <w:sz w:val="16"/>
                <w:szCs w:val="16"/>
              </w:rPr>
              <w:t>Classified as electronic nicotine delivery systems. The sale, offer for sale, possession, distribution, importation of nicotine</w:t>
            </w:r>
            <w:r w:rsidRPr="00A743C9">
              <w:rPr>
                <w:rFonts w:eastAsia="Times New Roman" w:cstheme="minorHAnsi"/>
                <w:sz w:val="16"/>
                <w:szCs w:val="16"/>
              </w:rPr>
              <w:noBreakHyphen/>
              <w:t>containing and non</w:t>
            </w:r>
            <w:r w:rsidRPr="00A743C9">
              <w:rPr>
                <w:rFonts w:eastAsia="Times New Roman" w:cstheme="minorHAnsi"/>
                <w:sz w:val="16"/>
                <w:szCs w:val="16"/>
              </w:rPr>
              <w:noBreakHyphen/>
              <w:t>nicotine e</w:t>
            </w:r>
            <w:r w:rsidRPr="00A743C9">
              <w:rPr>
                <w:rFonts w:eastAsia="Times New Roman" w:cstheme="minorHAnsi"/>
                <w:sz w:val="16"/>
                <w:szCs w:val="16"/>
              </w:rPr>
              <w:noBreakHyphen/>
              <w:t>cigarettes are prohibited.</w:t>
            </w:r>
          </w:p>
        </w:tc>
      </w:tr>
      <w:tr w:rsidR="00B86BF1" w:rsidRPr="00A743C9" w14:paraId="7CAED5A8" w14:textId="77777777" w:rsidTr="000376C7">
        <w:trPr>
          <w:trHeight w:val="283"/>
        </w:trPr>
        <w:tc>
          <w:tcPr>
            <w:cnfStyle w:val="001000000000" w:firstRow="0" w:lastRow="0" w:firstColumn="1" w:lastColumn="0" w:oddVBand="0" w:evenVBand="0" w:oddHBand="0" w:evenHBand="0" w:firstRowFirstColumn="0" w:firstRowLastColumn="0" w:lastRowFirstColumn="0" w:lastRowLastColumn="0"/>
            <w:tcW w:w="1404" w:type="dxa"/>
            <w:hideMark/>
          </w:tcPr>
          <w:p w14:paraId="364BE11C" w14:textId="77777777" w:rsidR="00B86BF1" w:rsidRPr="00A743C9" w:rsidRDefault="00B86BF1" w:rsidP="000376C7">
            <w:pPr>
              <w:rPr>
                <w:rFonts w:eastAsia="Times New Roman" w:cstheme="minorHAnsi"/>
                <w:sz w:val="16"/>
                <w:szCs w:val="16"/>
              </w:rPr>
            </w:pPr>
            <w:r w:rsidRPr="00A743C9">
              <w:rPr>
                <w:rFonts w:eastAsia="Times New Roman" w:cstheme="minorHAnsi"/>
                <w:sz w:val="16"/>
                <w:szCs w:val="16"/>
              </w:rPr>
              <w:t>Georgia</w:t>
            </w:r>
          </w:p>
        </w:tc>
        <w:tc>
          <w:tcPr>
            <w:tcW w:w="11916" w:type="dxa"/>
            <w:hideMark/>
          </w:tcPr>
          <w:p w14:paraId="1807C21F" w14:textId="77777777" w:rsidR="00B86BF1" w:rsidRPr="00A743C9" w:rsidRDefault="00B86BF1" w:rsidP="000376C7">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A743C9">
              <w:rPr>
                <w:rFonts w:eastAsia="Times New Roman" w:cstheme="minorHAnsi"/>
                <w:sz w:val="16"/>
                <w:szCs w:val="16"/>
              </w:rPr>
              <w:t>Nicotine</w:t>
            </w:r>
            <w:r w:rsidRPr="00A743C9">
              <w:rPr>
                <w:rFonts w:eastAsia="Times New Roman" w:cstheme="minorHAnsi"/>
                <w:sz w:val="16"/>
                <w:szCs w:val="16"/>
              </w:rPr>
              <w:noBreakHyphen/>
              <w:t>containing e</w:t>
            </w:r>
            <w:r w:rsidRPr="00A743C9">
              <w:rPr>
                <w:rFonts w:eastAsia="Times New Roman" w:cstheme="minorHAnsi"/>
                <w:sz w:val="16"/>
                <w:szCs w:val="16"/>
              </w:rPr>
              <w:noBreakHyphen/>
              <w:t>cigarettes or similar nicotine</w:t>
            </w:r>
            <w:r w:rsidRPr="00A743C9">
              <w:rPr>
                <w:rFonts w:eastAsia="Times New Roman" w:cstheme="minorHAnsi"/>
                <w:sz w:val="16"/>
                <w:szCs w:val="16"/>
              </w:rPr>
              <w:noBreakHyphen/>
              <w:t>delivery devices are classified and regulated as tobacco products in accordance with the Law of Georgia on Tobacco Control. Sale of nicotine</w:t>
            </w:r>
            <w:r w:rsidRPr="00A743C9">
              <w:rPr>
                <w:rFonts w:eastAsia="Times New Roman" w:cstheme="minorHAnsi"/>
                <w:sz w:val="16"/>
                <w:szCs w:val="16"/>
              </w:rPr>
              <w:noBreakHyphen/>
              <w:t>containing e</w:t>
            </w:r>
            <w:r w:rsidRPr="00A743C9">
              <w:rPr>
                <w:rFonts w:eastAsia="Times New Roman" w:cstheme="minorHAnsi"/>
                <w:sz w:val="16"/>
                <w:szCs w:val="16"/>
              </w:rPr>
              <w:noBreakHyphen/>
              <w:t>cigarettes to minors under 18 years is prohibited, as is sale at certain locations (e.g. education institutions, sections of retail stores where children’s toys are sold, etc.).</w:t>
            </w:r>
          </w:p>
        </w:tc>
      </w:tr>
      <w:tr w:rsidR="00B86BF1" w:rsidRPr="00A743C9" w14:paraId="68A51911" w14:textId="77777777" w:rsidTr="000376C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04" w:type="dxa"/>
            <w:hideMark/>
          </w:tcPr>
          <w:p w14:paraId="5A478949" w14:textId="77777777" w:rsidR="00B86BF1" w:rsidRPr="00A743C9" w:rsidRDefault="00B86BF1" w:rsidP="000376C7">
            <w:pPr>
              <w:rPr>
                <w:rFonts w:eastAsia="Times New Roman" w:cstheme="minorHAnsi"/>
                <w:sz w:val="16"/>
                <w:szCs w:val="16"/>
              </w:rPr>
            </w:pPr>
            <w:r w:rsidRPr="00A743C9">
              <w:rPr>
                <w:rFonts w:eastAsia="Times New Roman" w:cstheme="minorHAnsi"/>
                <w:sz w:val="16"/>
                <w:szCs w:val="16"/>
              </w:rPr>
              <w:t>Germany</w:t>
            </w:r>
          </w:p>
        </w:tc>
        <w:tc>
          <w:tcPr>
            <w:tcW w:w="11916" w:type="dxa"/>
            <w:hideMark/>
          </w:tcPr>
          <w:p w14:paraId="056AAE15" w14:textId="77777777" w:rsidR="00B86BF1" w:rsidRPr="00A743C9" w:rsidRDefault="00B86BF1" w:rsidP="000376C7">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A743C9">
              <w:rPr>
                <w:rFonts w:eastAsia="Times New Roman" w:cstheme="minorHAnsi"/>
                <w:sz w:val="16"/>
                <w:szCs w:val="16"/>
              </w:rPr>
              <w:t>Nicotine</w:t>
            </w:r>
            <w:r w:rsidRPr="00A743C9">
              <w:rPr>
                <w:rFonts w:eastAsia="Times New Roman" w:cstheme="minorHAnsi"/>
                <w:sz w:val="16"/>
                <w:szCs w:val="16"/>
              </w:rPr>
              <w:noBreakHyphen/>
              <w:t>containing e</w:t>
            </w:r>
            <w:r w:rsidRPr="00A743C9">
              <w:rPr>
                <w:rFonts w:eastAsia="Times New Roman" w:cstheme="minorHAnsi"/>
                <w:sz w:val="16"/>
                <w:szCs w:val="16"/>
              </w:rPr>
              <w:noBreakHyphen/>
              <w:t>cigarettes are classified as tobacco related products and regulated by the Federal Government law on the Implementation of the Tobacco Products Directive and Related Products 2016 and by the ordinance on the implementation of the Tobacco Products Directive and related products 2016. Non</w:t>
            </w:r>
            <w:r w:rsidRPr="00A743C9">
              <w:rPr>
                <w:rFonts w:eastAsia="Times New Roman" w:cstheme="minorHAnsi"/>
                <w:sz w:val="16"/>
                <w:szCs w:val="16"/>
              </w:rPr>
              <w:noBreakHyphen/>
              <w:t>nicotine e</w:t>
            </w:r>
            <w:r w:rsidRPr="00A743C9">
              <w:rPr>
                <w:rFonts w:eastAsia="Times New Roman" w:cstheme="minorHAnsi"/>
                <w:sz w:val="16"/>
                <w:szCs w:val="16"/>
              </w:rPr>
              <w:noBreakHyphen/>
              <w:t>cigarettes are regarded as consumer products.</w:t>
            </w:r>
          </w:p>
        </w:tc>
      </w:tr>
      <w:tr w:rsidR="00B86BF1" w:rsidRPr="00A743C9" w14:paraId="431A4A18" w14:textId="77777777" w:rsidTr="000376C7">
        <w:trPr>
          <w:trHeight w:val="283"/>
        </w:trPr>
        <w:tc>
          <w:tcPr>
            <w:cnfStyle w:val="001000000000" w:firstRow="0" w:lastRow="0" w:firstColumn="1" w:lastColumn="0" w:oddVBand="0" w:evenVBand="0" w:oddHBand="0" w:evenHBand="0" w:firstRowFirstColumn="0" w:firstRowLastColumn="0" w:lastRowFirstColumn="0" w:lastRowLastColumn="0"/>
            <w:tcW w:w="1404" w:type="dxa"/>
            <w:hideMark/>
          </w:tcPr>
          <w:p w14:paraId="20BF9F48" w14:textId="77777777" w:rsidR="00B86BF1" w:rsidRPr="00A743C9" w:rsidRDefault="00B86BF1" w:rsidP="000376C7">
            <w:pPr>
              <w:rPr>
                <w:rFonts w:eastAsia="Times New Roman" w:cstheme="minorHAnsi"/>
                <w:sz w:val="16"/>
                <w:szCs w:val="16"/>
              </w:rPr>
            </w:pPr>
            <w:r w:rsidRPr="00A743C9">
              <w:rPr>
                <w:rFonts w:eastAsia="Times New Roman" w:cstheme="minorHAnsi"/>
                <w:sz w:val="16"/>
                <w:szCs w:val="16"/>
              </w:rPr>
              <w:t>Greece</w:t>
            </w:r>
          </w:p>
        </w:tc>
        <w:tc>
          <w:tcPr>
            <w:tcW w:w="11916" w:type="dxa"/>
            <w:hideMark/>
          </w:tcPr>
          <w:p w14:paraId="724E5B87" w14:textId="7E525A02" w:rsidR="00B86BF1" w:rsidRPr="00A743C9" w:rsidRDefault="00B86BF1" w:rsidP="000376C7">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A743C9">
              <w:rPr>
                <w:rFonts w:eastAsia="Times New Roman" w:cstheme="minorHAnsi"/>
                <w:sz w:val="16"/>
                <w:szCs w:val="16"/>
              </w:rPr>
              <w:t>A law bans the sale, display, manufacture and commercialization of e</w:t>
            </w:r>
            <w:r w:rsidRPr="00A743C9">
              <w:rPr>
                <w:rFonts w:eastAsia="Times New Roman" w:cstheme="minorHAnsi"/>
                <w:sz w:val="16"/>
                <w:szCs w:val="16"/>
              </w:rPr>
              <w:noBreakHyphen/>
              <w:t>cigarettes. Use of all types of e</w:t>
            </w:r>
            <w:r w:rsidRPr="00A743C9">
              <w:rPr>
                <w:rFonts w:eastAsia="Times New Roman" w:cstheme="minorHAnsi"/>
                <w:sz w:val="16"/>
                <w:szCs w:val="16"/>
              </w:rPr>
              <w:noBreakHyphen/>
              <w:t>cigarettes in enclosed public places is prohibited.</w:t>
            </w:r>
          </w:p>
        </w:tc>
      </w:tr>
      <w:tr w:rsidR="00B86BF1" w:rsidRPr="00A743C9" w14:paraId="3D4CB051" w14:textId="77777777" w:rsidTr="000376C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04" w:type="dxa"/>
            <w:hideMark/>
          </w:tcPr>
          <w:p w14:paraId="629964E4" w14:textId="77777777" w:rsidR="00B86BF1" w:rsidRPr="00A743C9" w:rsidRDefault="00B86BF1" w:rsidP="000376C7">
            <w:pPr>
              <w:rPr>
                <w:rFonts w:eastAsia="Times New Roman" w:cstheme="minorHAnsi"/>
                <w:sz w:val="16"/>
                <w:szCs w:val="16"/>
              </w:rPr>
            </w:pPr>
            <w:r w:rsidRPr="00A743C9">
              <w:rPr>
                <w:rFonts w:eastAsia="Times New Roman" w:cstheme="minorHAnsi"/>
                <w:sz w:val="16"/>
                <w:szCs w:val="16"/>
              </w:rPr>
              <w:t>Honduras</w:t>
            </w:r>
          </w:p>
        </w:tc>
        <w:tc>
          <w:tcPr>
            <w:tcW w:w="11916" w:type="dxa"/>
            <w:hideMark/>
          </w:tcPr>
          <w:p w14:paraId="31C0676E" w14:textId="77777777" w:rsidR="00B86BF1" w:rsidRPr="00A743C9" w:rsidRDefault="00B86BF1" w:rsidP="000376C7">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A743C9">
              <w:rPr>
                <w:rFonts w:eastAsia="Times New Roman" w:cstheme="minorHAnsi"/>
                <w:sz w:val="16"/>
                <w:szCs w:val="16"/>
              </w:rPr>
              <w:t>A decree classified e</w:t>
            </w:r>
            <w:r w:rsidRPr="00A743C9">
              <w:rPr>
                <w:rFonts w:eastAsia="Times New Roman" w:cstheme="minorHAnsi"/>
                <w:sz w:val="16"/>
                <w:szCs w:val="16"/>
              </w:rPr>
              <w:noBreakHyphen/>
              <w:t>cigarettes as tobacco derivative products, thus subject to tobacco control laws. Minimum age of purchase is 21 years.</w:t>
            </w:r>
          </w:p>
        </w:tc>
      </w:tr>
      <w:tr w:rsidR="00B86BF1" w:rsidRPr="00A743C9" w14:paraId="2EAF3AFF" w14:textId="77777777" w:rsidTr="000376C7">
        <w:trPr>
          <w:trHeight w:val="283"/>
        </w:trPr>
        <w:tc>
          <w:tcPr>
            <w:cnfStyle w:val="001000000000" w:firstRow="0" w:lastRow="0" w:firstColumn="1" w:lastColumn="0" w:oddVBand="0" w:evenVBand="0" w:oddHBand="0" w:evenHBand="0" w:firstRowFirstColumn="0" w:firstRowLastColumn="0" w:lastRowFirstColumn="0" w:lastRowLastColumn="0"/>
            <w:tcW w:w="1404" w:type="dxa"/>
            <w:hideMark/>
          </w:tcPr>
          <w:p w14:paraId="4214E699" w14:textId="77777777" w:rsidR="00B86BF1" w:rsidRPr="00A743C9" w:rsidRDefault="00B86BF1" w:rsidP="000376C7">
            <w:pPr>
              <w:rPr>
                <w:rFonts w:eastAsia="Times New Roman" w:cstheme="minorHAnsi"/>
                <w:sz w:val="16"/>
                <w:szCs w:val="16"/>
              </w:rPr>
            </w:pPr>
            <w:r w:rsidRPr="00A743C9">
              <w:rPr>
                <w:rFonts w:eastAsia="Times New Roman" w:cstheme="minorHAnsi"/>
                <w:sz w:val="16"/>
                <w:szCs w:val="16"/>
              </w:rPr>
              <w:t>Hungary</w:t>
            </w:r>
          </w:p>
        </w:tc>
        <w:tc>
          <w:tcPr>
            <w:tcW w:w="11916" w:type="dxa"/>
            <w:hideMark/>
          </w:tcPr>
          <w:p w14:paraId="36DF46E3" w14:textId="77777777" w:rsidR="00B86BF1" w:rsidRPr="00A743C9" w:rsidRDefault="00B86BF1" w:rsidP="000376C7">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A743C9">
              <w:rPr>
                <w:rFonts w:eastAsia="Times New Roman" w:cstheme="minorHAnsi"/>
                <w:sz w:val="16"/>
                <w:szCs w:val="16"/>
              </w:rPr>
              <w:t>Classified as consumer products. Marketing authorization is required for sale. Sale is permitted at tobacco shops.</w:t>
            </w:r>
          </w:p>
        </w:tc>
      </w:tr>
      <w:tr w:rsidR="00B86BF1" w:rsidRPr="00A743C9" w14:paraId="45A44A49" w14:textId="77777777" w:rsidTr="000376C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04" w:type="dxa"/>
            <w:hideMark/>
          </w:tcPr>
          <w:p w14:paraId="13771BE3" w14:textId="77777777" w:rsidR="00B86BF1" w:rsidRPr="00A743C9" w:rsidRDefault="00B86BF1" w:rsidP="000376C7">
            <w:pPr>
              <w:rPr>
                <w:rFonts w:eastAsia="Times New Roman" w:cstheme="minorHAnsi"/>
                <w:sz w:val="16"/>
                <w:szCs w:val="16"/>
              </w:rPr>
            </w:pPr>
            <w:r w:rsidRPr="00A743C9">
              <w:rPr>
                <w:rFonts w:eastAsia="Times New Roman" w:cstheme="minorHAnsi"/>
                <w:sz w:val="16"/>
                <w:szCs w:val="16"/>
              </w:rPr>
              <w:t>Iceland</w:t>
            </w:r>
          </w:p>
        </w:tc>
        <w:tc>
          <w:tcPr>
            <w:tcW w:w="11916" w:type="dxa"/>
            <w:hideMark/>
          </w:tcPr>
          <w:p w14:paraId="5B757F5F" w14:textId="77777777" w:rsidR="00B86BF1" w:rsidRPr="00A743C9" w:rsidRDefault="00B86BF1" w:rsidP="000376C7">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A743C9">
              <w:rPr>
                <w:rFonts w:eastAsia="Times New Roman" w:cstheme="minorHAnsi"/>
                <w:sz w:val="16"/>
                <w:szCs w:val="16"/>
              </w:rPr>
              <w:t>Nicotine</w:t>
            </w:r>
            <w:r w:rsidRPr="00A743C9">
              <w:rPr>
                <w:rFonts w:eastAsia="Times New Roman" w:cstheme="minorHAnsi"/>
                <w:sz w:val="16"/>
                <w:szCs w:val="16"/>
              </w:rPr>
              <w:noBreakHyphen/>
              <w:t>containing e</w:t>
            </w:r>
            <w:r w:rsidRPr="00A743C9">
              <w:rPr>
                <w:rFonts w:eastAsia="Times New Roman" w:cstheme="minorHAnsi"/>
                <w:sz w:val="16"/>
                <w:szCs w:val="16"/>
              </w:rPr>
              <w:noBreakHyphen/>
              <w:t>cigarettes are classified as medicinal products, thus marketing authorization must be obtained prior to marketing these products and they must meet all requirements on sale, advertising/promotion, distribution, manufacture.</w:t>
            </w:r>
          </w:p>
        </w:tc>
      </w:tr>
      <w:tr w:rsidR="00B86BF1" w:rsidRPr="00A743C9" w14:paraId="65BD782E" w14:textId="77777777" w:rsidTr="000376C7">
        <w:trPr>
          <w:trHeight w:val="283"/>
        </w:trPr>
        <w:tc>
          <w:tcPr>
            <w:cnfStyle w:val="001000000000" w:firstRow="0" w:lastRow="0" w:firstColumn="1" w:lastColumn="0" w:oddVBand="0" w:evenVBand="0" w:oddHBand="0" w:evenHBand="0" w:firstRowFirstColumn="0" w:firstRowLastColumn="0" w:lastRowFirstColumn="0" w:lastRowLastColumn="0"/>
            <w:tcW w:w="1404" w:type="dxa"/>
            <w:hideMark/>
          </w:tcPr>
          <w:p w14:paraId="4AC2A624" w14:textId="77777777" w:rsidR="00B86BF1" w:rsidRPr="00A743C9" w:rsidRDefault="00B86BF1" w:rsidP="000376C7">
            <w:pPr>
              <w:rPr>
                <w:rFonts w:eastAsia="Times New Roman" w:cstheme="minorHAnsi"/>
                <w:sz w:val="16"/>
                <w:szCs w:val="16"/>
              </w:rPr>
            </w:pPr>
            <w:r w:rsidRPr="00A743C9">
              <w:rPr>
                <w:rFonts w:eastAsia="Times New Roman" w:cstheme="minorHAnsi"/>
                <w:sz w:val="16"/>
                <w:szCs w:val="16"/>
              </w:rPr>
              <w:t>Ireland</w:t>
            </w:r>
          </w:p>
        </w:tc>
        <w:tc>
          <w:tcPr>
            <w:tcW w:w="11916" w:type="dxa"/>
            <w:hideMark/>
          </w:tcPr>
          <w:p w14:paraId="286C81D4" w14:textId="77777777" w:rsidR="00B86BF1" w:rsidRPr="00A743C9" w:rsidRDefault="00B86BF1" w:rsidP="000376C7">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A743C9">
              <w:rPr>
                <w:rFonts w:eastAsia="Times New Roman" w:cstheme="minorHAnsi"/>
                <w:sz w:val="16"/>
                <w:szCs w:val="16"/>
              </w:rPr>
              <w:t>Non</w:t>
            </w:r>
            <w:r w:rsidRPr="00A743C9">
              <w:rPr>
                <w:rFonts w:eastAsia="Times New Roman" w:cstheme="minorHAnsi"/>
                <w:sz w:val="16"/>
                <w:szCs w:val="16"/>
              </w:rPr>
              <w:noBreakHyphen/>
              <w:t>nicotine e</w:t>
            </w:r>
            <w:r w:rsidRPr="00A743C9">
              <w:rPr>
                <w:rFonts w:eastAsia="Times New Roman" w:cstheme="minorHAnsi"/>
                <w:sz w:val="16"/>
                <w:szCs w:val="16"/>
              </w:rPr>
              <w:noBreakHyphen/>
              <w:t>cigarettes are regulated as consumer products, while nicotine</w:t>
            </w:r>
            <w:r w:rsidRPr="00A743C9">
              <w:rPr>
                <w:rFonts w:eastAsia="Times New Roman" w:cstheme="minorHAnsi"/>
                <w:sz w:val="16"/>
                <w:szCs w:val="16"/>
              </w:rPr>
              <w:noBreakHyphen/>
              <w:t>containing e</w:t>
            </w:r>
            <w:r w:rsidRPr="00A743C9">
              <w:rPr>
                <w:rFonts w:eastAsia="Times New Roman" w:cstheme="minorHAnsi"/>
                <w:sz w:val="16"/>
                <w:szCs w:val="16"/>
              </w:rPr>
              <w:noBreakHyphen/>
              <w:t>cigarettes and refill containers are regulated by the European Union (Manufacture, Presentation and Sale of Tobacco and Related Products) Regulations 2016 (S.I. No. 271 of 2016), which transposed the Tobacco Products Directive 2014/40/EU.</w:t>
            </w:r>
          </w:p>
        </w:tc>
      </w:tr>
      <w:tr w:rsidR="00B86BF1" w:rsidRPr="00A743C9" w14:paraId="138964F2" w14:textId="77777777" w:rsidTr="000376C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04" w:type="dxa"/>
            <w:hideMark/>
          </w:tcPr>
          <w:p w14:paraId="30B87892" w14:textId="77777777" w:rsidR="00B86BF1" w:rsidRPr="00A743C9" w:rsidRDefault="00B86BF1" w:rsidP="000376C7">
            <w:pPr>
              <w:rPr>
                <w:rFonts w:eastAsia="Times New Roman" w:cstheme="minorHAnsi"/>
                <w:sz w:val="16"/>
                <w:szCs w:val="16"/>
              </w:rPr>
            </w:pPr>
            <w:r w:rsidRPr="00A743C9">
              <w:rPr>
                <w:rFonts w:eastAsia="Times New Roman" w:cstheme="minorHAnsi"/>
                <w:sz w:val="16"/>
                <w:szCs w:val="16"/>
              </w:rPr>
              <w:t>Israel</w:t>
            </w:r>
          </w:p>
        </w:tc>
        <w:tc>
          <w:tcPr>
            <w:tcW w:w="11916" w:type="dxa"/>
            <w:hideMark/>
          </w:tcPr>
          <w:p w14:paraId="2FF6362F" w14:textId="77777777" w:rsidR="00B86BF1" w:rsidRPr="00A743C9" w:rsidRDefault="00B86BF1" w:rsidP="000376C7">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A743C9">
              <w:rPr>
                <w:rFonts w:eastAsia="Times New Roman" w:cstheme="minorHAnsi"/>
                <w:sz w:val="16"/>
                <w:szCs w:val="16"/>
              </w:rPr>
              <w:t>N/A</w:t>
            </w:r>
          </w:p>
        </w:tc>
      </w:tr>
      <w:tr w:rsidR="00B86BF1" w:rsidRPr="00A743C9" w14:paraId="5DC44910" w14:textId="77777777" w:rsidTr="000376C7">
        <w:trPr>
          <w:trHeight w:val="283"/>
        </w:trPr>
        <w:tc>
          <w:tcPr>
            <w:cnfStyle w:val="001000000000" w:firstRow="0" w:lastRow="0" w:firstColumn="1" w:lastColumn="0" w:oddVBand="0" w:evenVBand="0" w:oddHBand="0" w:evenHBand="0" w:firstRowFirstColumn="0" w:firstRowLastColumn="0" w:lastRowFirstColumn="0" w:lastRowLastColumn="0"/>
            <w:tcW w:w="1404" w:type="dxa"/>
            <w:hideMark/>
          </w:tcPr>
          <w:p w14:paraId="18F2506A" w14:textId="77777777" w:rsidR="00B86BF1" w:rsidRPr="00A743C9" w:rsidRDefault="00B86BF1" w:rsidP="000376C7">
            <w:pPr>
              <w:rPr>
                <w:rFonts w:eastAsia="Times New Roman" w:cstheme="minorHAnsi"/>
                <w:sz w:val="16"/>
                <w:szCs w:val="16"/>
              </w:rPr>
            </w:pPr>
            <w:r w:rsidRPr="00A743C9">
              <w:rPr>
                <w:rFonts w:eastAsia="Times New Roman" w:cstheme="minorHAnsi"/>
                <w:sz w:val="16"/>
                <w:szCs w:val="16"/>
              </w:rPr>
              <w:t>Italy</w:t>
            </w:r>
          </w:p>
        </w:tc>
        <w:tc>
          <w:tcPr>
            <w:tcW w:w="11916" w:type="dxa"/>
            <w:hideMark/>
          </w:tcPr>
          <w:p w14:paraId="2303A456" w14:textId="77777777" w:rsidR="00B86BF1" w:rsidRPr="00A743C9" w:rsidRDefault="00B86BF1" w:rsidP="000376C7">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A743C9">
              <w:rPr>
                <w:rFonts w:eastAsia="Times New Roman" w:cstheme="minorHAnsi"/>
                <w:sz w:val="16"/>
                <w:szCs w:val="16"/>
              </w:rPr>
              <w:t>E</w:t>
            </w:r>
            <w:r w:rsidRPr="00A743C9">
              <w:rPr>
                <w:rFonts w:eastAsia="Times New Roman" w:cstheme="minorHAnsi"/>
                <w:sz w:val="16"/>
                <w:szCs w:val="16"/>
              </w:rPr>
              <w:noBreakHyphen/>
              <w:t>cigarettes are classified as tobacco related products and regulated by a legislative decree.</w:t>
            </w:r>
          </w:p>
        </w:tc>
      </w:tr>
      <w:tr w:rsidR="00B86BF1" w:rsidRPr="00A743C9" w14:paraId="79C4B350" w14:textId="77777777" w:rsidTr="000376C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04" w:type="dxa"/>
            <w:hideMark/>
          </w:tcPr>
          <w:p w14:paraId="4E33D223" w14:textId="77777777" w:rsidR="00B86BF1" w:rsidRPr="00A743C9" w:rsidRDefault="00B86BF1" w:rsidP="000376C7">
            <w:pPr>
              <w:rPr>
                <w:rFonts w:eastAsia="Times New Roman" w:cstheme="minorHAnsi"/>
                <w:sz w:val="16"/>
                <w:szCs w:val="16"/>
              </w:rPr>
            </w:pPr>
            <w:r w:rsidRPr="00A743C9">
              <w:rPr>
                <w:rFonts w:eastAsia="Times New Roman" w:cstheme="minorHAnsi"/>
                <w:sz w:val="16"/>
                <w:szCs w:val="16"/>
              </w:rPr>
              <w:t>Jamaica</w:t>
            </w:r>
          </w:p>
        </w:tc>
        <w:tc>
          <w:tcPr>
            <w:tcW w:w="11916" w:type="dxa"/>
            <w:hideMark/>
          </w:tcPr>
          <w:p w14:paraId="35117510" w14:textId="32855BED" w:rsidR="00B86BF1" w:rsidRPr="00A743C9" w:rsidRDefault="00B86BF1" w:rsidP="000376C7">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A743C9">
              <w:rPr>
                <w:rFonts w:eastAsia="Times New Roman" w:cstheme="minorHAnsi"/>
                <w:sz w:val="16"/>
                <w:szCs w:val="16"/>
              </w:rPr>
              <w:t>Nicotine</w:t>
            </w:r>
            <w:r w:rsidRPr="00A743C9">
              <w:rPr>
                <w:rFonts w:eastAsia="Times New Roman" w:cstheme="minorHAnsi"/>
                <w:sz w:val="16"/>
                <w:szCs w:val="16"/>
              </w:rPr>
              <w:noBreakHyphen/>
              <w:t>containing e</w:t>
            </w:r>
            <w:r w:rsidRPr="00A743C9">
              <w:rPr>
                <w:rFonts w:eastAsia="Times New Roman" w:cstheme="minorHAnsi"/>
                <w:sz w:val="16"/>
                <w:szCs w:val="16"/>
              </w:rPr>
              <w:noBreakHyphen/>
              <w:t>cigarettes are classified as medicinal products under the Food and Drugs Act. As such they must be registered before they can be imported (no approval has been granted for these products to date).</w:t>
            </w:r>
          </w:p>
        </w:tc>
      </w:tr>
      <w:tr w:rsidR="00B86BF1" w:rsidRPr="00A743C9" w14:paraId="401CB2C5" w14:textId="77777777" w:rsidTr="000376C7">
        <w:trPr>
          <w:trHeight w:val="283"/>
        </w:trPr>
        <w:tc>
          <w:tcPr>
            <w:cnfStyle w:val="001000000000" w:firstRow="0" w:lastRow="0" w:firstColumn="1" w:lastColumn="0" w:oddVBand="0" w:evenVBand="0" w:oddHBand="0" w:evenHBand="0" w:firstRowFirstColumn="0" w:firstRowLastColumn="0" w:lastRowFirstColumn="0" w:lastRowLastColumn="0"/>
            <w:tcW w:w="1404" w:type="dxa"/>
            <w:hideMark/>
          </w:tcPr>
          <w:p w14:paraId="0A1FEF5D" w14:textId="77777777" w:rsidR="00B86BF1" w:rsidRPr="00A743C9" w:rsidRDefault="00B86BF1" w:rsidP="000376C7">
            <w:pPr>
              <w:rPr>
                <w:rFonts w:eastAsia="Times New Roman" w:cstheme="minorHAnsi"/>
                <w:sz w:val="16"/>
                <w:szCs w:val="16"/>
              </w:rPr>
            </w:pPr>
            <w:r w:rsidRPr="00A743C9">
              <w:rPr>
                <w:rFonts w:eastAsia="Times New Roman" w:cstheme="minorHAnsi"/>
                <w:sz w:val="16"/>
                <w:szCs w:val="16"/>
              </w:rPr>
              <w:lastRenderedPageBreak/>
              <w:t>Japan</w:t>
            </w:r>
          </w:p>
        </w:tc>
        <w:tc>
          <w:tcPr>
            <w:tcW w:w="11916" w:type="dxa"/>
            <w:hideMark/>
          </w:tcPr>
          <w:p w14:paraId="062E7A76" w14:textId="77777777" w:rsidR="00B86BF1" w:rsidRPr="00A743C9" w:rsidRDefault="00B86BF1" w:rsidP="000376C7">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A743C9">
              <w:rPr>
                <w:rFonts w:eastAsia="Times New Roman" w:cstheme="minorHAnsi"/>
                <w:sz w:val="16"/>
                <w:szCs w:val="16"/>
              </w:rPr>
              <w:t>Non</w:t>
            </w:r>
            <w:r w:rsidRPr="00A743C9">
              <w:rPr>
                <w:rFonts w:eastAsia="Times New Roman" w:cstheme="minorHAnsi"/>
                <w:sz w:val="16"/>
                <w:szCs w:val="16"/>
              </w:rPr>
              <w:noBreakHyphen/>
              <w:t>nicotine e</w:t>
            </w:r>
            <w:r w:rsidRPr="00A743C9">
              <w:rPr>
                <w:rFonts w:eastAsia="Times New Roman" w:cstheme="minorHAnsi"/>
                <w:sz w:val="16"/>
                <w:szCs w:val="16"/>
              </w:rPr>
              <w:noBreakHyphen/>
              <w:t>cigarettes are currently not being regulated. However, nicotine</w:t>
            </w:r>
            <w:r w:rsidRPr="00A743C9">
              <w:rPr>
                <w:rFonts w:eastAsia="Times New Roman" w:cstheme="minorHAnsi"/>
                <w:sz w:val="16"/>
                <w:szCs w:val="16"/>
              </w:rPr>
              <w:noBreakHyphen/>
              <w:t xml:space="preserve"> containing e</w:t>
            </w:r>
            <w:r w:rsidRPr="00A743C9">
              <w:rPr>
                <w:rFonts w:eastAsia="Times New Roman" w:cstheme="minorHAnsi"/>
                <w:sz w:val="16"/>
                <w:szCs w:val="16"/>
              </w:rPr>
              <w:noBreakHyphen/>
              <w:t>cigarettes are classified as medicinal products and are regulated under the Japanese pharmaceutical affairs law.</w:t>
            </w:r>
          </w:p>
        </w:tc>
      </w:tr>
      <w:tr w:rsidR="00B86BF1" w:rsidRPr="00A743C9" w14:paraId="02E6ED11" w14:textId="77777777" w:rsidTr="000376C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04" w:type="dxa"/>
            <w:hideMark/>
          </w:tcPr>
          <w:p w14:paraId="2803085C" w14:textId="77777777" w:rsidR="00B86BF1" w:rsidRPr="00A743C9" w:rsidRDefault="00B86BF1" w:rsidP="000376C7">
            <w:pPr>
              <w:rPr>
                <w:rFonts w:eastAsia="Times New Roman" w:cstheme="minorHAnsi"/>
                <w:sz w:val="16"/>
                <w:szCs w:val="16"/>
              </w:rPr>
            </w:pPr>
            <w:r w:rsidRPr="00A743C9">
              <w:rPr>
                <w:rFonts w:eastAsia="Times New Roman" w:cstheme="minorHAnsi"/>
                <w:sz w:val="16"/>
                <w:szCs w:val="16"/>
              </w:rPr>
              <w:t>Jordan</w:t>
            </w:r>
          </w:p>
        </w:tc>
        <w:tc>
          <w:tcPr>
            <w:tcW w:w="11916" w:type="dxa"/>
            <w:hideMark/>
          </w:tcPr>
          <w:p w14:paraId="17646E44" w14:textId="77777777" w:rsidR="00B86BF1" w:rsidRPr="00A743C9" w:rsidRDefault="00B86BF1" w:rsidP="000376C7">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A743C9">
              <w:rPr>
                <w:rFonts w:eastAsia="Times New Roman" w:cstheme="minorHAnsi"/>
                <w:sz w:val="16"/>
                <w:szCs w:val="16"/>
              </w:rPr>
              <w:t>Jordan bans the sale, advertising, manufacturing, importation and use of e</w:t>
            </w:r>
            <w:r w:rsidRPr="00A743C9">
              <w:rPr>
                <w:rFonts w:eastAsia="Times New Roman" w:cstheme="minorHAnsi"/>
                <w:sz w:val="16"/>
                <w:szCs w:val="16"/>
              </w:rPr>
              <w:noBreakHyphen/>
              <w:t>cigarettes via an official letter.</w:t>
            </w:r>
          </w:p>
        </w:tc>
      </w:tr>
      <w:tr w:rsidR="00B86BF1" w:rsidRPr="00A743C9" w14:paraId="7A2C7898" w14:textId="77777777" w:rsidTr="000376C7">
        <w:trPr>
          <w:trHeight w:val="283"/>
        </w:trPr>
        <w:tc>
          <w:tcPr>
            <w:cnfStyle w:val="001000000000" w:firstRow="0" w:lastRow="0" w:firstColumn="1" w:lastColumn="0" w:oddVBand="0" w:evenVBand="0" w:oddHBand="0" w:evenHBand="0" w:firstRowFirstColumn="0" w:firstRowLastColumn="0" w:lastRowFirstColumn="0" w:lastRowLastColumn="0"/>
            <w:tcW w:w="1404" w:type="dxa"/>
            <w:hideMark/>
          </w:tcPr>
          <w:p w14:paraId="702147CA" w14:textId="77777777" w:rsidR="00B86BF1" w:rsidRPr="00A743C9" w:rsidRDefault="00B86BF1" w:rsidP="000376C7">
            <w:pPr>
              <w:rPr>
                <w:rFonts w:eastAsia="Times New Roman" w:cstheme="minorHAnsi"/>
                <w:sz w:val="16"/>
                <w:szCs w:val="16"/>
              </w:rPr>
            </w:pPr>
            <w:r w:rsidRPr="00A743C9">
              <w:rPr>
                <w:rFonts w:eastAsia="Times New Roman" w:cstheme="minorHAnsi"/>
                <w:sz w:val="16"/>
                <w:szCs w:val="16"/>
              </w:rPr>
              <w:t>Kuwait</w:t>
            </w:r>
          </w:p>
        </w:tc>
        <w:tc>
          <w:tcPr>
            <w:tcW w:w="11916" w:type="dxa"/>
            <w:hideMark/>
          </w:tcPr>
          <w:p w14:paraId="47CC0D71" w14:textId="77777777" w:rsidR="00B86BF1" w:rsidRPr="00A743C9" w:rsidRDefault="00B86BF1" w:rsidP="000376C7">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A743C9">
              <w:rPr>
                <w:rFonts w:eastAsia="Times New Roman" w:cstheme="minorHAnsi"/>
                <w:sz w:val="16"/>
                <w:szCs w:val="16"/>
              </w:rPr>
              <w:t>The sale and marketing of e</w:t>
            </w:r>
            <w:r w:rsidRPr="00A743C9">
              <w:rPr>
                <w:rFonts w:eastAsia="Times New Roman" w:cstheme="minorHAnsi"/>
                <w:sz w:val="16"/>
                <w:szCs w:val="16"/>
              </w:rPr>
              <w:noBreakHyphen/>
              <w:t>cigarettes is banned in accordance with a decision by health ministers of gulf countries.</w:t>
            </w:r>
          </w:p>
        </w:tc>
      </w:tr>
      <w:tr w:rsidR="00B86BF1" w:rsidRPr="00A743C9" w14:paraId="2480CBA7" w14:textId="77777777" w:rsidTr="000376C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04" w:type="dxa"/>
            <w:hideMark/>
          </w:tcPr>
          <w:p w14:paraId="171B698A" w14:textId="77777777" w:rsidR="00B86BF1" w:rsidRPr="00A743C9" w:rsidRDefault="00B86BF1" w:rsidP="000376C7">
            <w:pPr>
              <w:rPr>
                <w:rFonts w:eastAsia="Times New Roman" w:cstheme="minorHAnsi"/>
                <w:sz w:val="16"/>
                <w:szCs w:val="16"/>
              </w:rPr>
            </w:pPr>
            <w:r w:rsidRPr="00A743C9">
              <w:rPr>
                <w:rFonts w:eastAsia="Times New Roman" w:cstheme="minorHAnsi"/>
                <w:sz w:val="16"/>
                <w:szCs w:val="16"/>
              </w:rPr>
              <w:t>Latvia</w:t>
            </w:r>
          </w:p>
        </w:tc>
        <w:tc>
          <w:tcPr>
            <w:tcW w:w="11916" w:type="dxa"/>
            <w:hideMark/>
          </w:tcPr>
          <w:p w14:paraId="11AC929A" w14:textId="77777777" w:rsidR="00B86BF1" w:rsidRPr="00A743C9" w:rsidRDefault="00B86BF1" w:rsidP="000376C7">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A743C9">
              <w:rPr>
                <w:rFonts w:eastAsia="Times New Roman" w:cstheme="minorHAnsi"/>
                <w:sz w:val="16"/>
                <w:szCs w:val="16"/>
              </w:rPr>
              <w:t>E</w:t>
            </w:r>
            <w:r w:rsidRPr="00A743C9">
              <w:rPr>
                <w:rFonts w:eastAsia="Times New Roman" w:cstheme="minorHAnsi"/>
                <w:sz w:val="16"/>
                <w:szCs w:val="16"/>
              </w:rPr>
              <w:noBreakHyphen/>
              <w:t>cigarettes are described as “electronic smoking devices”.</w:t>
            </w:r>
          </w:p>
        </w:tc>
      </w:tr>
      <w:tr w:rsidR="00B86BF1" w:rsidRPr="00A743C9" w14:paraId="5E5D9318" w14:textId="77777777" w:rsidTr="000376C7">
        <w:trPr>
          <w:trHeight w:val="283"/>
        </w:trPr>
        <w:tc>
          <w:tcPr>
            <w:cnfStyle w:val="001000000000" w:firstRow="0" w:lastRow="0" w:firstColumn="1" w:lastColumn="0" w:oddVBand="0" w:evenVBand="0" w:oddHBand="0" w:evenHBand="0" w:firstRowFirstColumn="0" w:firstRowLastColumn="0" w:lastRowFirstColumn="0" w:lastRowLastColumn="0"/>
            <w:tcW w:w="1404" w:type="dxa"/>
            <w:hideMark/>
          </w:tcPr>
          <w:p w14:paraId="7C1197DC" w14:textId="77777777" w:rsidR="00B86BF1" w:rsidRPr="00A743C9" w:rsidRDefault="00B86BF1" w:rsidP="000376C7">
            <w:pPr>
              <w:rPr>
                <w:rFonts w:eastAsia="Times New Roman" w:cstheme="minorHAnsi"/>
                <w:sz w:val="16"/>
                <w:szCs w:val="16"/>
              </w:rPr>
            </w:pPr>
            <w:r w:rsidRPr="00A743C9">
              <w:rPr>
                <w:rFonts w:eastAsia="Times New Roman" w:cstheme="minorHAnsi"/>
                <w:sz w:val="16"/>
                <w:szCs w:val="16"/>
              </w:rPr>
              <w:t>Lebanon</w:t>
            </w:r>
          </w:p>
        </w:tc>
        <w:tc>
          <w:tcPr>
            <w:tcW w:w="11916" w:type="dxa"/>
            <w:hideMark/>
          </w:tcPr>
          <w:p w14:paraId="49FBDD17" w14:textId="77777777" w:rsidR="00B86BF1" w:rsidRPr="00A743C9" w:rsidRDefault="00B86BF1" w:rsidP="000376C7">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A743C9">
              <w:rPr>
                <w:rFonts w:eastAsia="Times New Roman" w:cstheme="minorHAnsi"/>
                <w:sz w:val="16"/>
                <w:szCs w:val="16"/>
              </w:rPr>
              <w:t>A decision bans the importation and trading of all types of e</w:t>
            </w:r>
            <w:r w:rsidRPr="00A743C9">
              <w:rPr>
                <w:rFonts w:eastAsia="Times New Roman" w:cstheme="minorHAnsi"/>
                <w:sz w:val="16"/>
                <w:szCs w:val="16"/>
              </w:rPr>
              <w:noBreakHyphen/>
              <w:t>cigarettes and orders the withdrawal of all e</w:t>
            </w:r>
            <w:r w:rsidRPr="00A743C9">
              <w:rPr>
                <w:rFonts w:eastAsia="Times New Roman" w:cstheme="minorHAnsi"/>
                <w:sz w:val="16"/>
                <w:szCs w:val="16"/>
              </w:rPr>
              <w:noBreakHyphen/>
              <w:t>cigarettes from the Lebanese market.</w:t>
            </w:r>
          </w:p>
        </w:tc>
      </w:tr>
      <w:tr w:rsidR="00B86BF1" w:rsidRPr="00A743C9" w14:paraId="3E6D6FE6" w14:textId="77777777" w:rsidTr="000376C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04" w:type="dxa"/>
            <w:hideMark/>
          </w:tcPr>
          <w:p w14:paraId="46E0F475" w14:textId="77777777" w:rsidR="00B86BF1" w:rsidRPr="00A743C9" w:rsidRDefault="00B86BF1" w:rsidP="000376C7">
            <w:pPr>
              <w:rPr>
                <w:rFonts w:eastAsia="Times New Roman" w:cstheme="minorHAnsi"/>
                <w:sz w:val="16"/>
                <w:szCs w:val="16"/>
              </w:rPr>
            </w:pPr>
            <w:r w:rsidRPr="00A743C9">
              <w:rPr>
                <w:rFonts w:eastAsia="Times New Roman" w:cstheme="minorHAnsi"/>
                <w:sz w:val="16"/>
                <w:szCs w:val="16"/>
              </w:rPr>
              <w:t>Lithuania</w:t>
            </w:r>
          </w:p>
        </w:tc>
        <w:tc>
          <w:tcPr>
            <w:tcW w:w="11916" w:type="dxa"/>
            <w:hideMark/>
          </w:tcPr>
          <w:p w14:paraId="3F0F0632" w14:textId="77777777" w:rsidR="00B86BF1" w:rsidRPr="00A743C9" w:rsidRDefault="00B86BF1" w:rsidP="000376C7">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A743C9">
              <w:rPr>
                <w:rFonts w:eastAsia="Times New Roman" w:cstheme="minorHAnsi"/>
                <w:sz w:val="16"/>
                <w:szCs w:val="16"/>
              </w:rPr>
              <w:t>E</w:t>
            </w:r>
            <w:r w:rsidRPr="00A743C9">
              <w:rPr>
                <w:rFonts w:eastAsia="Times New Roman" w:cstheme="minorHAnsi"/>
                <w:sz w:val="16"/>
                <w:szCs w:val="16"/>
              </w:rPr>
              <w:noBreakHyphen/>
              <w:t>cigarettes are classified as tobacco related products and regulated by the Tobacco, Tobacco Products and Related Products Control Law 2016.</w:t>
            </w:r>
          </w:p>
        </w:tc>
      </w:tr>
      <w:tr w:rsidR="00B86BF1" w:rsidRPr="00A743C9" w14:paraId="50E435CE" w14:textId="77777777" w:rsidTr="000376C7">
        <w:trPr>
          <w:trHeight w:val="283"/>
        </w:trPr>
        <w:tc>
          <w:tcPr>
            <w:cnfStyle w:val="001000000000" w:firstRow="0" w:lastRow="0" w:firstColumn="1" w:lastColumn="0" w:oddVBand="0" w:evenVBand="0" w:oddHBand="0" w:evenHBand="0" w:firstRowFirstColumn="0" w:firstRowLastColumn="0" w:lastRowFirstColumn="0" w:lastRowLastColumn="0"/>
            <w:tcW w:w="1404" w:type="dxa"/>
            <w:hideMark/>
          </w:tcPr>
          <w:p w14:paraId="076AAC31" w14:textId="77777777" w:rsidR="00B86BF1" w:rsidRPr="00A743C9" w:rsidRDefault="00B86BF1" w:rsidP="000376C7">
            <w:pPr>
              <w:rPr>
                <w:rFonts w:eastAsia="Times New Roman" w:cstheme="minorHAnsi"/>
                <w:sz w:val="16"/>
                <w:szCs w:val="16"/>
              </w:rPr>
            </w:pPr>
            <w:r w:rsidRPr="00A743C9">
              <w:rPr>
                <w:rFonts w:eastAsia="Times New Roman" w:cstheme="minorHAnsi"/>
                <w:sz w:val="16"/>
                <w:szCs w:val="16"/>
              </w:rPr>
              <w:t>Luxembourg</w:t>
            </w:r>
          </w:p>
        </w:tc>
        <w:tc>
          <w:tcPr>
            <w:tcW w:w="11916" w:type="dxa"/>
            <w:hideMark/>
          </w:tcPr>
          <w:p w14:paraId="225C7AEA" w14:textId="77777777" w:rsidR="00B86BF1" w:rsidRPr="00A743C9" w:rsidRDefault="00B86BF1" w:rsidP="000376C7">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A743C9">
              <w:rPr>
                <w:rFonts w:eastAsia="Times New Roman" w:cstheme="minorHAnsi"/>
                <w:sz w:val="16"/>
                <w:szCs w:val="16"/>
              </w:rPr>
              <w:t>E</w:t>
            </w:r>
            <w:r w:rsidRPr="00A743C9">
              <w:rPr>
                <w:rFonts w:eastAsia="Times New Roman" w:cstheme="minorHAnsi"/>
                <w:sz w:val="16"/>
                <w:szCs w:val="16"/>
              </w:rPr>
              <w:noBreakHyphen/>
              <w:t>cigarettes are regulated by the Law of 13 June 2017 transposing the Directive 2014/40/EU, amending the amended law of 11 August 2006 on tobacco control.</w:t>
            </w:r>
          </w:p>
        </w:tc>
      </w:tr>
      <w:tr w:rsidR="00B86BF1" w:rsidRPr="00A743C9" w14:paraId="570180C7" w14:textId="77777777" w:rsidTr="000376C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04" w:type="dxa"/>
            <w:hideMark/>
          </w:tcPr>
          <w:p w14:paraId="5DF0EEA9" w14:textId="77777777" w:rsidR="00B86BF1" w:rsidRPr="00A743C9" w:rsidRDefault="00B86BF1" w:rsidP="000376C7">
            <w:pPr>
              <w:rPr>
                <w:rFonts w:eastAsia="Times New Roman" w:cstheme="minorHAnsi"/>
                <w:sz w:val="16"/>
                <w:szCs w:val="16"/>
              </w:rPr>
            </w:pPr>
            <w:r w:rsidRPr="00A743C9">
              <w:rPr>
                <w:rFonts w:eastAsia="Times New Roman" w:cstheme="minorHAnsi"/>
                <w:sz w:val="16"/>
                <w:szCs w:val="16"/>
              </w:rPr>
              <w:t>Malaysia</w:t>
            </w:r>
          </w:p>
        </w:tc>
        <w:tc>
          <w:tcPr>
            <w:tcW w:w="11916" w:type="dxa"/>
            <w:hideMark/>
          </w:tcPr>
          <w:p w14:paraId="7F00A687" w14:textId="3F624EF9" w:rsidR="00B86BF1" w:rsidRPr="00A743C9" w:rsidRDefault="00B86BF1" w:rsidP="000376C7">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A743C9">
              <w:rPr>
                <w:rFonts w:eastAsia="Times New Roman" w:cstheme="minorHAnsi"/>
                <w:sz w:val="16"/>
                <w:szCs w:val="16"/>
              </w:rPr>
              <w:t>Nicotine is classified as a class C poison under the Poisons Act and Control of Drugs and Cosmetics Regulations. Devices without nicotine are classified as electrical appliances.</w:t>
            </w:r>
          </w:p>
        </w:tc>
      </w:tr>
      <w:tr w:rsidR="00B86BF1" w:rsidRPr="00A743C9" w14:paraId="37388EDA" w14:textId="77777777" w:rsidTr="000376C7">
        <w:trPr>
          <w:trHeight w:val="283"/>
        </w:trPr>
        <w:tc>
          <w:tcPr>
            <w:cnfStyle w:val="001000000000" w:firstRow="0" w:lastRow="0" w:firstColumn="1" w:lastColumn="0" w:oddVBand="0" w:evenVBand="0" w:oddHBand="0" w:evenHBand="0" w:firstRowFirstColumn="0" w:firstRowLastColumn="0" w:lastRowFirstColumn="0" w:lastRowLastColumn="0"/>
            <w:tcW w:w="1404" w:type="dxa"/>
            <w:hideMark/>
          </w:tcPr>
          <w:p w14:paraId="6FB63652" w14:textId="77777777" w:rsidR="00B86BF1" w:rsidRPr="00A743C9" w:rsidRDefault="00B86BF1" w:rsidP="000376C7">
            <w:pPr>
              <w:rPr>
                <w:rFonts w:eastAsia="Times New Roman" w:cstheme="minorHAnsi"/>
                <w:sz w:val="16"/>
                <w:szCs w:val="16"/>
              </w:rPr>
            </w:pPr>
            <w:r w:rsidRPr="00A743C9">
              <w:rPr>
                <w:rFonts w:eastAsia="Times New Roman" w:cstheme="minorHAnsi"/>
                <w:sz w:val="16"/>
                <w:szCs w:val="16"/>
              </w:rPr>
              <w:t>Malta</w:t>
            </w:r>
          </w:p>
        </w:tc>
        <w:tc>
          <w:tcPr>
            <w:tcW w:w="11916" w:type="dxa"/>
            <w:hideMark/>
          </w:tcPr>
          <w:p w14:paraId="3C4ED470" w14:textId="77777777" w:rsidR="00B86BF1" w:rsidRPr="00A743C9" w:rsidRDefault="00B86BF1" w:rsidP="000376C7">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A743C9">
              <w:rPr>
                <w:rFonts w:eastAsia="Times New Roman" w:cstheme="minorHAnsi"/>
                <w:sz w:val="16"/>
                <w:szCs w:val="16"/>
              </w:rPr>
              <w:t>The manufacture, presentation and sale of e</w:t>
            </w:r>
            <w:r w:rsidRPr="00A743C9">
              <w:rPr>
                <w:rFonts w:eastAsia="Times New Roman" w:cstheme="minorHAnsi"/>
                <w:sz w:val="16"/>
                <w:szCs w:val="16"/>
              </w:rPr>
              <w:noBreakHyphen/>
              <w:t>cigarettes are regulated by the Subsidiary Legislation 315.10, Manufacture, Presentation and Sale of Tobacco and Related Products Regulations, enacted under the Tobacco (Smoking Control) Act (CAP 315 of Laws of Malta).</w:t>
            </w:r>
          </w:p>
        </w:tc>
      </w:tr>
      <w:tr w:rsidR="00B86BF1" w:rsidRPr="00A743C9" w14:paraId="2F73F42A" w14:textId="77777777" w:rsidTr="000376C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04" w:type="dxa"/>
            <w:hideMark/>
          </w:tcPr>
          <w:p w14:paraId="0FCD0396" w14:textId="77777777" w:rsidR="00B86BF1" w:rsidRPr="00A743C9" w:rsidRDefault="00B86BF1" w:rsidP="000376C7">
            <w:pPr>
              <w:rPr>
                <w:rFonts w:eastAsia="Times New Roman" w:cstheme="minorHAnsi"/>
                <w:sz w:val="16"/>
                <w:szCs w:val="16"/>
              </w:rPr>
            </w:pPr>
            <w:r w:rsidRPr="00A743C9">
              <w:rPr>
                <w:rFonts w:eastAsia="Times New Roman" w:cstheme="minorHAnsi"/>
                <w:sz w:val="16"/>
                <w:szCs w:val="16"/>
              </w:rPr>
              <w:t>Mauritius</w:t>
            </w:r>
          </w:p>
        </w:tc>
        <w:tc>
          <w:tcPr>
            <w:tcW w:w="11916" w:type="dxa"/>
            <w:hideMark/>
          </w:tcPr>
          <w:p w14:paraId="470F426C" w14:textId="7BF08091" w:rsidR="00B86BF1" w:rsidRPr="00A743C9" w:rsidRDefault="00B86BF1" w:rsidP="000376C7">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A743C9">
              <w:rPr>
                <w:rFonts w:eastAsia="Times New Roman" w:cstheme="minorHAnsi"/>
                <w:sz w:val="16"/>
                <w:szCs w:val="16"/>
              </w:rPr>
              <w:t>A public health regulation prohibits the sale, offer for sale or distribution of products that look like tobacco or cigarettes.</w:t>
            </w:r>
          </w:p>
        </w:tc>
      </w:tr>
      <w:tr w:rsidR="00B86BF1" w:rsidRPr="00A743C9" w14:paraId="422ECA9F" w14:textId="77777777" w:rsidTr="000376C7">
        <w:trPr>
          <w:trHeight w:val="283"/>
        </w:trPr>
        <w:tc>
          <w:tcPr>
            <w:cnfStyle w:val="001000000000" w:firstRow="0" w:lastRow="0" w:firstColumn="1" w:lastColumn="0" w:oddVBand="0" w:evenVBand="0" w:oddHBand="0" w:evenHBand="0" w:firstRowFirstColumn="0" w:firstRowLastColumn="0" w:lastRowFirstColumn="0" w:lastRowLastColumn="0"/>
            <w:tcW w:w="1404" w:type="dxa"/>
          </w:tcPr>
          <w:p w14:paraId="0E6ABB50" w14:textId="77777777" w:rsidR="00B86BF1" w:rsidRPr="00A743C9" w:rsidRDefault="00B86BF1" w:rsidP="000376C7">
            <w:pPr>
              <w:rPr>
                <w:rFonts w:eastAsia="Times New Roman" w:cstheme="minorHAnsi"/>
                <w:sz w:val="16"/>
                <w:szCs w:val="16"/>
              </w:rPr>
            </w:pPr>
            <w:r w:rsidRPr="00A743C9">
              <w:rPr>
                <w:rFonts w:eastAsia="Times New Roman" w:cstheme="minorHAnsi"/>
                <w:sz w:val="16"/>
                <w:szCs w:val="16"/>
              </w:rPr>
              <w:t>Mexico</w:t>
            </w:r>
          </w:p>
        </w:tc>
        <w:tc>
          <w:tcPr>
            <w:tcW w:w="11916" w:type="dxa"/>
          </w:tcPr>
          <w:p w14:paraId="2FA0AD8D" w14:textId="77777777" w:rsidR="00B86BF1" w:rsidRPr="00A743C9" w:rsidRDefault="00B86BF1" w:rsidP="000376C7">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A743C9">
              <w:rPr>
                <w:rFonts w:eastAsia="Times New Roman" w:cstheme="minorHAnsi"/>
                <w:sz w:val="16"/>
                <w:szCs w:val="16"/>
              </w:rPr>
              <w:t>The national tobacco control law prohibits the sale, distribution, exhibition, promotion or manufacture of an object that imitates a tobacco product. These prohibitions are specific to nicotine</w:t>
            </w:r>
            <w:r w:rsidRPr="00A743C9">
              <w:rPr>
                <w:rFonts w:eastAsia="Times New Roman" w:cstheme="minorHAnsi"/>
                <w:sz w:val="16"/>
                <w:szCs w:val="16"/>
              </w:rPr>
              <w:noBreakHyphen/>
              <w:t>containing e</w:t>
            </w:r>
            <w:r w:rsidRPr="00A743C9">
              <w:rPr>
                <w:rFonts w:eastAsia="Times New Roman" w:cstheme="minorHAnsi"/>
                <w:sz w:val="16"/>
                <w:szCs w:val="16"/>
              </w:rPr>
              <w:noBreakHyphen/>
              <w:t>cigarettes.</w:t>
            </w:r>
          </w:p>
        </w:tc>
      </w:tr>
      <w:tr w:rsidR="00B86BF1" w:rsidRPr="00A743C9" w14:paraId="2064665E" w14:textId="77777777" w:rsidTr="000376C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04" w:type="dxa"/>
            <w:hideMark/>
          </w:tcPr>
          <w:p w14:paraId="18200BC8" w14:textId="77777777" w:rsidR="00B86BF1" w:rsidRPr="00A743C9" w:rsidRDefault="00B86BF1" w:rsidP="000376C7">
            <w:pPr>
              <w:rPr>
                <w:rFonts w:eastAsia="Times New Roman" w:cstheme="minorHAnsi"/>
                <w:sz w:val="16"/>
                <w:szCs w:val="16"/>
              </w:rPr>
            </w:pPr>
            <w:r w:rsidRPr="00A743C9">
              <w:rPr>
                <w:rFonts w:eastAsia="Times New Roman" w:cstheme="minorHAnsi"/>
                <w:sz w:val="16"/>
                <w:szCs w:val="16"/>
              </w:rPr>
              <w:t>Nepal</w:t>
            </w:r>
          </w:p>
        </w:tc>
        <w:tc>
          <w:tcPr>
            <w:tcW w:w="11916" w:type="dxa"/>
            <w:hideMark/>
          </w:tcPr>
          <w:p w14:paraId="2070BF37" w14:textId="77777777" w:rsidR="00B86BF1" w:rsidRPr="00A743C9" w:rsidRDefault="00B86BF1" w:rsidP="000376C7">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A743C9">
              <w:rPr>
                <w:rFonts w:eastAsia="Times New Roman" w:cstheme="minorHAnsi"/>
                <w:sz w:val="16"/>
                <w:szCs w:val="16"/>
              </w:rPr>
              <w:t>The Tobacco Product Control and Regulatory Directive, 2014 bans the sale (including single unit sale), advertising, promotion and sponsorship, importation, manufacture, as well as distribution and use of e</w:t>
            </w:r>
            <w:r w:rsidRPr="00A743C9">
              <w:rPr>
                <w:rFonts w:eastAsia="Times New Roman" w:cstheme="minorHAnsi"/>
                <w:sz w:val="16"/>
                <w:szCs w:val="16"/>
              </w:rPr>
              <w:noBreakHyphen/>
              <w:t>cigarettes in public places and transportation.</w:t>
            </w:r>
          </w:p>
        </w:tc>
      </w:tr>
      <w:tr w:rsidR="00B86BF1" w:rsidRPr="00A743C9" w14:paraId="06CC2A5A" w14:textId="77777777" w:rsidTr="000376C7">
        <w:trPr>
          <w:trHeight w:val="283"/>
        </w:trPr>
        <w:tc>
          <w:tcPr>
            <w:cnfStyle w:val="001000000000" w:firstRow="0" w:lastRow="0" w:firstColumn="1" w:lastColumn="0" w:oddVBand="0" w:evenVBand="0" w:oddHBand="0" w:evenHBand="0" w:firstRowFirstColumn="0" w:firstRowLastColumn="0" w:lastRowFirstColumn="0" w:lastRowLastColumn="0"/>
            <w:tcW w:w="1404" w:type="dxa"/>
            <w:hideMark/>
          </w:tcPr>
          <w:p w14:paraId="46B7DF44" w14:textId="77777777" w:rsidR="00B86BF1" w:rsidRPr="00A743C9" w:rsidRDefault="00B86BF1" w:rsidP="000376C7">
            <w:pPr>
              <w:rPr>
                <w:rFonts w:eastAsia="Times New Roman" w:cstheme="minorHAnsi"/>
                <w:sz w:val="16"/>
                <w:szCs w:val="16"/>
              </w:rPr>
            </w:pPr>
            <w:r w:rsidRPr="00A743C9">
              <w:rPr>
                <w:rFonts w:eastAsia="Times New Roman" w:cstheme="minorHAnsi"/>
                <w:sz w:val="16"/>
                <w:szCs w:val="16"/>
              </w:rPr>
              <w:t>Netherlands</w:t>
            </w:r>
          </w:p>
        </w:tc>
        <w:tc>
          <w:tcPr>
            <w:tcW w:w="11916" w:type="dxa"/>
            <w:hideMark/>
          </w:tcPr>
          <w:p w14:paraId="16FD199C" w14:textId="77777777" w:rsidR="00B86BF1" w:rsidRPr="00A743C9" w:rsidRDefault="00B86BF1" w:rsidP="000376C7">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A743C9">
              <w:rPr>
                <w:rFonts w:eastAsia="Times New Roman" w:cstheme="minorHAnsi"/>
                <w:sz w:val="16"/>
                <w:szCs w:val="16"/>
              </w:rPr>
              <w:t>Nicotine</w:t>
            </w:r>
            <w:r w:rsidRPr="00A743C9">
              <w:rPr>
                <w:rFonts w:eastAsia="Times New Roman" w:cstheme="minorHAnsi"/>
                <w:sz w:val="16"/>
                <w:szCs w:val="16"/>
              </w:rPr>
              <w:noBreakHyphen/>
              <w:t>containing and non</w:t>
            </w:r>
            <w:r w:rsidRPr="00A743C9">
              <w:rPr>
                <w:rFonts w:eastAsia="Times New Roman" w:cstheme="minorHAnsi"/>
                <w:sz w:val="16"/>
                <w:szCs w:val="16"/>
              </w:rPr>
              <w:noBreakHyphen/>
              <w:t>nicotine e</w:t>
            </w:r>
            <w:r w:rsidRPr="00A743C9">
              <w:rPr>
                <w:rFonts w:eastAsia="Times New Roman" w:cstheme="minorHAnsi"/>
                <w:sz w:val="16"/>
                <w:szCs w:val="16"/>
              </w:rPr>
              <w:noBreakHyphen/>
              <w:t>cigarettes and e</w:t>
            </w:r>
            <w:r w:rsidRPr="00A743C9">
              <w:rPr>
                <w:rFonts w:eastAsia="Times New Roman" w:cstheme="minorHAnsi"/>
                <w:sz w:val="16"/>
                <w:szCs w:val="16"/>
              </w:rPr>
              <w:noBreakHyphen/>
              <w:t>liquids are regulated under the amended Tobacco and Smoking Commodities Act (and delegated legislation: the Tobacco and Smoking Commodities Decree and the Tobacco and Smoking Commodities Order.</w:t>
            </w:r>
          </w:p>
        </w:tc>
      </w:tr>
      <w:tr w:rsidR="00B86BF1" w:rsidRPr="00A743C9" w14:paraId="5F66BC96" w14:textId="77777777" w:rsidTr="000376C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04" w:type="dxa"/>
            <w:hideMark/>
          </w:tcPr>
          <w:p w14:paraId="61816668" w14:textId="77777777" w:rsidR="00B86BF1" w:rsidRPr="00A743C9" w:rsidRDefault="00B86BF1" w:rsidP="000376C7">
            <w:pPr>
              <w:rPr>
                <w:rFonts w:eastAsia="Times New Roman" w:cstheme="minorHAnsi"/>
                <w:sz w:val="16"/>
                <w:szCs w:val="16"/>
              </w:rPr>
            </w:pPr>
            <w:r w:rsidRPr="00A743C9">
              <w:rPr>
                <w:rFonts w:eastAsia="Times New Roman" w:cstheme="minorHAnsi"/>
                <w:sz w:val="16"/>
                <w:szCs w:val="16"/>
              </w:rPr>
              <w:t>New Zealand</w:t>
            </w:r>
          </w:p>
        </w:tc>
        <w:tc>
          <w:tcPr>
            <w:tcW w:w="11916" w:type="dxa"/>
            <w:hideMark/>
          </w:tcPr>
          <w:p w14:paraId="3C4287F6" w14:textId="77777777" w:rsidR="00B86BF1" w:rsidRPr="00A743C9" w:rsidRDefault="00B86BF1" w:rsidP="000376C7">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A743C9">
              <w:rPr>
                <w:rFonts w:eastAsia="Times New Roman" w:cstheme="minorHAnsi"/>
                <w:sz w:val="16"/>
                <w:szCs w:val="16"/>
              </w:rPr>
              <w:t>Under the Medicines Act, nicotine</w:t>
            </w:r>
            <w:r w:rsidRPr="00A743C9">
              <w:rPr>
                <w:rFonts w:eastAsia="Times New Roman" w:cstheme="minorHAnsi"/>
                <w:sz w:val="16"/>
                <w:szCs w:val="16"/>
              </w:rPr>
              <w:noBreakHyphen/>
              <w:t>containing e</w:t>
            </w:r>
            <w:r w:rsidRPr="00A743C9">
              <w:rPr>
                <w:rFonts w:eastAsia="Times New Roman" w:cstheme="minorHAnsi"/>
                <w:sz w:val="16"/>
                <w:szCs w:val="16"/>
              </w:rPr>
              <w:noBreakHyphen/>
              <w:t>cigarettes or non</w:t>
            </w:r>
            <w:r w:rsidRPr="00A743C9">
              <w:rPr>
                <w:rFonts w:eastAsia="Times New Roman" w:cstheme="minorHAnsi"/>
                <w:sz w:val="16"/>
                <w:szCs w:val="16"/>
              </w:rPr>
              <w:noBreakHyphen/>
              <w:t>nicotine e</w:t>
            </w:r>
            <w:r w:rsidRPr="00A743C9">
              <w:rPr>
                <w:rFonts w:eastAsia="Times New Roman" w:cstheme="minorHAnsi"/>
                <w:sz w:val="16"/>
                <w:szCs w:val="16"/>
              </w:rPr>
              <w:noBreakHyphen/>
              <w:t>cigarettes promoted as therapeutic products are classified as medicinal. As medicinal products, there are restrictions on sale, advertising and distribution.</w:t>
            </w:r>
          </w:p>
        </w:tc>
      </w:tr>
      <w:tr w:rsidR="00B86BF1" w:rsidRPr="00A743C9" w14:paraId="113BEF6E" w14:textId="77777777" w:rsidTr="000376C7">
        <w:trPr>
          <w:trHeight w:val="283"/>
        </w:trPr>
        <w:tc>
          <w:tcPr>
            <w:cnfStyle w:val="001000000000" w:firstRow="0" w:lastRow="0" w:firstColumn="1" w:lastColumn="0" w:oddVBand="0" w:evenVBand="0" w:oddHBand="0" w:evenHBand="0" w:firstRowFirstColumn="0" w:firstRowLastColumn="0" w:lastRowFirstColumn="0" w:lastRowLastColumn="0"/>
            <w:tcW w:w="1404" w:type="dxa"/>
            <w:hideMark/>
          </w:tcPr>
          <w:p w14:paraId="035DA6A1" w14:textId="77777777" w:rsidR="00B86BF1" w:rsidRPr="00A743C9" w:rsidRDefault="00B86BF1" w:rsidP="000376C7">
            <w:pPr>
              <w:rPr>
                <w:rFonts w:eastAsia="Times New Roman" w:cstheme="minorHAnsi"/>
                <w:sz w:val="16"/>
                <w:szCs w:val="16"/>
              </w:rPr>
            </w:pPr>
            <w:r w:rsidRPr="00A743C9">
              <w:rPr>
                <w:rFonts w:eastAsia="Times New Roman" w:cstheme="minorHAnsi"/>
                <w:sz w:val="16"/>
                <w:szCs w:val="16"/>
              </w:rPr>
              <w:t>Nicaragua</w:t>
            </w:r>
          </w:p>
        </w:tc>
        <w:tc>
          <w:tcPr>
            <w:tcW w:w="11916" w:type="dxa"/>
            <w:hideMark/>
          </w:tcPr>
          <w:p w14:paraId="3ACE23B0" w14:textId="77777777" w:rsidR="00B86BF1" w:rsidRPr="00A743C9" w:rsidRDefault="00B86BF1" w:rsidP="000376C7">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A743C9">
              <w:rPr>
                <w:rFonts w:eastAsia="Times New Roman" w:cstheme="minorHAnsi"/>
                <w:sz w:val="16"/>
                <w:szCs w:val="16"/>
              </w:rPr>
              <w:t>The national tobacco control law prohibits the sale, importation or manufacture of objects imitating tobacco products.</w:t>
            </w:r>
          </w:p>
        </w:tc>
      </w:tr>
      <w:tr w:rsidR="00B86BF1" w:rsidRPr="00A743C9" w14:paraId="0D1BC3D7" w14:textId="77777777" w:rsidTr="000376C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04" w:type="dxa"/>
            <w:hideMark/>
          </w:tcPr>
          <w:p w14:paraId="435D164B" w14:textId="77777777" w:rsidR="00B86BF1" w:rsidRPr="00A743C9" w:rsidRDefault="00B86BF1" w:rsidP="000376C7">
            <w:pPr>
              <w:rPr>
                <w:rFonts w:eastAsia="Times New Roman" w:cstheme="minorHAnsi"/>
                <w:sz w:val="16"/>
                <w:szCs w:val="16"/>
              </w:rPr>
            </w:pPr>
            <w:r w:rsidRPr="00A743C9">
              <w:rPr>
                <w:rFonts w:eastAsia="Times New Roman" w:cstheme="minorHAnsi"/>
                <w:sz w:val="16"/>
                <w:szCs w:val="16"/>
              </w:rPr>
              <w:t>Northern Ireland</w:t>
            </w:r>
          </w:p>
        </w:tc>
        <w:tc>
          <w:tcPr>
            <w:tcW w:w="11916" w:type="dxa"/>
            <w:hideMark/>
          </w:tcPr>
          <w:p w14:paraId="652D1216" w14:textId="77777777" w:rsidR="00B86BF1" w:rsidRPr="00A743C9" w:rsidRDefault="00B86BF1" w:rsidP="000376C7">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A743C9">
              <w:rPr>
                <w:rFonts w:eastAsia="Times New Roman" w:cstheme="minorHAnsi"/>
                <w:sz w:val="16"/>
                <w:szCs w:val="16"/>
              </w:rPr>
              <w:t>E</w:t>
            </w:r>
            <w:r w:rsidRPr="00A743C9">
              <w:rPr>
                <w:rFonts w:eastAsia="Times New Roman" w:cstheme="minorHAnsi"/>
                <w:sz w:val="16"/>
                <w:szCs w:val="16"/>
              </w:rPr>
              <w:noBreakHyphen/>
              <w:t>cigarettes may be brought to market either as medicines or as consumer products. Those seeking medicines approval undergo the standard licensing process.</w:t>
            </w:r>
          </w:p>
        </w:tc>
      </w:tr>
      <w:tr w:rsidR="00B86BF1" w:rsidRPr="00A743C9" w14:paraId="123CB8E7" w14:textId="77777777" w:rsidTr="000376C7">
        <w:trPr>
          <w:trHeight w:val="283"/>
        </w:trPr>
        <w:tc>
          <w:tcPr>
            <w:cnfStyle w:val="001000000000" w:firstRow="0" w:lastRow="0" w:firstColumn="1" w:lastColumn="0" w:oddVBand="0" w:evenVBand="0" w:oddHBand="0" w:evenHBand="0" w:firstRowFirstColumn="0" w:firstRowLastColumn="0" w:lastRowFirstColumn="0" w:lastRowLastColumn="0"/>
            <w:tcW w:w="1404" w:type="dxa"/>
            <w:hideMark/>
          </w:tcPr>
          <w:p w14:paraId="7D34CD84" w14:textId="77777777" w:rsidR="00B86BF1" w:rsidRPr="00A743C9" w:rsidRDefault="00B86BF1" w:rsidP="000376C7">
            <w:pPr>
              <w:rPr>
                <w:rFonts w:eastAsia="Times New Roman" w:cstheme="minorHAnsi"/>
                <w:sz w:val="16"/>
                <w:szCs w:val="16"/>
              </w:rPr>
            </w:pPr>
            <w:r w:rsidRPr="00A743C9">
              <w:rPr>
                <w:rFonts w:eastAsia="Times New Roman" w:cstheme="minorHAnsi"/>
                <w:sz w:val="16"/>
                <w:szCs w:val="16"/>
              </w:rPr>
              <w:t>Norway</w:t>
            </w:r>
          </w:p>
        </w:tc>
        <w:tc>
          <w:tcPr>
            <w:tcW w:w="11916" w:type="dxa"/>
            <w:hideMark/>
          </w:tcPr>
          <w:p w14:paraId="6DBD4CEB" w14:textId="77777777" w:rsidR="00B86BF1" w:rsidRPr="00A743C9" w:rsidRDefault="00B86BF1" w:rsidP="000376C7">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A743C9">
              <w:rPr>
                <w:rFonts w:eastAsia="Times New Roman" w:cstheme="minorHAnsi"/>
                <w:sz w:val="16"/>
                <w:szCs w:val="16"/>
              </w:rPr>
              <w:t>E</w:t>
            </w:r>
            <w:r w:rsidRPr="00A743C9">
              <w:rPr>
                <w:rFonts w:eastAsia="Times New Roman" w:cstheme="minorHAnsi"/>
                <w:sz w:val="16"/>
                <w:szCs w:val="16"/>
              </w:rPr>
              <w:noBreakHyphen/>
              <w:t>cigarettes can be classified either as medicinal products or as tobacco surrogates.</w:t>
            </w:r>
          </w:p>
        </w:tc>
      </w:tr>
      <w:tr w:rsidR="00B86BF1" w:rsidRPr="00A743C9" w14:paraId="54F8172D" w14:textId="77777777" w:rsidTr="000376C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04" w:type="dxa"/>
            <w:hideMark/>
          </w:tcPr>
          <w:p w14:paraId="3E8E2E31" w14:textId="77777777" w:rsidR="00B86BF1" w:rsidRPr="00A743C9" w:rsidRDefault="00B86BF1" w:rsidP="000376C7">
            <w:pPr>
              <w:rPr>
                <w:rFonts w:eastAsia="Times New Roman" w:cstheme="minorHAnsi"/>
                <w:sz w:val="16"/>
                <w:szCs w:val="16"/>
              </w:rPr>
            </w:pPr>
            <w:r w:rsidRPr="00A743C9">
              <w:rPr>
                <w:rFonts w:eastAsia="Times New Roman" w:cstheme="minorHAnsi"/>
                <w:sz w:val="16"/>
                <w:szCs w:val="16"/>
              </w:rPr>
              <w:t>Oman</w:t>
            </w:r>
          </w:p>
        </w:tc>
        <w:tc>
          <w:tcPr>
            <w:tcW w:w="11916" w:type="dxa"/>
            <w:hideMark/>
          </w:tcPr>
          <w:p w14:paraId="6F8ED115" w14:textId="77777777" w:rsidR="00B86BF1" w:rsidRPr="00A743C9" w:rsidRDefault="00B86BF1" w:rsidP="000376C7">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A743C9">
              <w:rPr>
                <w:rFonts w:eastAsia="Times New Roman" w:cstheme="minorHAnsi"/>
                <w:sz w:val="16"/>
                <w:szCs w:val="16"/>
              </w:rPr>
              <w:t>A decision by the Public Authority for Consumer Protection bans the sale and marketing of e</w:t>
            </w:r>
            <w:r w:rsidRPr="00A743C9">
              <w:rPr>
                <w:rFonts w:eastAsia="Times New Roman" w:cstheme="minorHAnsi"/>
                <w:sz w:val="16"/>
                <w:szCs w:val="16"/>
              </w:rPr>
              <w:noBreakHyphen/>
              <w:t>cigarettes and electronic shisha.</w:t>
            </w:r>
          </w:p>
        </w:tc>
      </w:tr>
      <w:tr w:rsidR="00B86BF1" w:rsidRPr="00A743C9" w14:paraId="7CDB9768" w14:textId="77777777" w:rsidTr="000376C7">
        <w:trPr>
          <w:trHeight w:val="283"/>
        </w:trPr>
        <w:tc>
          <w:tcPr>
            <w:cnfStyle w:val="001000000000" w:firstRow="0" w:lastRow="0" w:firstColumn="1" w:lastColumn="0" w:oddVBand="0" w:evenVBand="0" w:oddHBand="0" w:evenHBand="0" w:firstRowFirstColumn="0" w:firstRowLastColumn="0" w:lastRowFirstColumn="0" w:lastRowLastColumn="0"/>
            <w:tcW w:w="1404" w:type="dxa"/>
            <w:hideMark/>
          </w:tcPr>
          <w:p w14:paraId="4C9DFFA0" w14:textId="77777777" w:rsidR="00B86BF1" w:rsidRPr="00A743C9" w:rsidRDefault="00B86BF1" w:rsidP="000376C7">
            <w:pPr>
              <w:rPr>
                <w:rFonts w:eastAsia="Times New Roman" w:cstheme="minorHAnsi"/>
                <w:sz w:val="16"/>
                <w:szCs w:val="16"/>
              </w:rPr>
            </w:pPr>
            <w:r w:rsidRPr="00A743C9">
              <w:rPr>
                <w:rFonts w:eastAsia="Times New Roman" w:cstheme="minorHAnsi"/>
                <w:sz w:val="16"/>
                <w:szCs w:val="16"/>
              </w:rPr>
              <w:t>Panama</w:t>
            </w:r>
          </w:p>
        </w:tc>
        <w:tc>
          <w:tcPr>
            <w:tcW w:w="11916" w:type="dxa"/>
            <w:hideMark/>
          </w:tcPr>
          <w:p w14:paraId="646474A4" w14:textId="77777777" w:rsidR="00B86BF1" w:rsidRPr="00A743C9" w:rsidRDefault="00B86BF1" w:rsidP="000376C7">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A743C9">
              <w:rPr>
                <w:rFonts w:eastAsia="Times New Roman" w:cstheme="minorHAnsi"/>
                <w:sz w:val="16"/>
                <w:szCs w:val="16"/>
              </w:rPr>
              <w:t>A decree classifies e</w:t>
            </w:r>
            <w:r w:rsidRPr="00A743C9">
              <w:rPr>
                <w:rFonts w:eastAsia="Times New Roman" w:cstheme="minorHAnsi"/>
                <w:sz w:val="16"/>
                <w:szCs w:val="16"/>
              </w:rPr>
              <w:noBreakHyphen/>
              <w:t>cigarettes as tobacco products. Sale, advertising, promotion and sponsorship, distribution and importation of e</w:t>
            </w:r>
            <w:r w:rsidRPr="00A743C9">
              <w:rPr>
                <w:rFonts w:eastAsia="Times New Roman" w:cstheme="minorHAnsi"/>
                <w:sz w:val="16"/>
                <w:szCs w:val="16"/>
              </w:rPr>
              <w:noBreakHyphen/>
              <w:t>cigarettes with or without nicotine are prohibited.</w:t>
            </w:r>
          </w:p>
        </w:tc>
      </w:tr>
      <w:tr w:rsidR="00B86BF1" w:rsidRPr="00A743C9" w14:paraId="37227AA7" w14:textId="77777777" w:rsidTr="000376C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04" w:type="dxa"/>
            <w:hideMark/>
          </w:tcPr>
          <w:p w14:paraId="0F4C7D33" w14:textId="77777777" w:rsidR="00B86BF1" w:rsidRPr="00A743C9" w:rsidRDefault="00B86BF1" w:rsidP="000376C7">
            <w:pPr>
              <w:rPr>
                <w:rFonts w:eastAsia="Times New Roman" w:cstheme="minorHAnsi"/>
                <w:sz w:val="16"/>
                <w:szCs w:val="16"/>
              </w:rPr>
            </w:pPr>
            <w:r w:rsidRPr="00A743C9">
              <w:rPr>
                <w:rFonts w:eastAsia="Times New Roman" w:cstheme="minorHAnsi"/>
                <w:sz w:val="16"/>
                <w:szCs w:val="16"/>
              </w:rPr>
              <w:t>Philippines</w:t>
            </w:r>
          </w:p>
        </w:tc>
        <w:tc>
          <w:tcPr>
            <w:tcW w:w="11916" w:type="dxa"/>
            <w:hideMark/>
          </w:tcPr>
          <w:p w14:paraId="046BD04B" w14:textId="77777777" w:rsidR="00B86BF1" w:rsidRPr="00A743C9" w:rsidRDefault="00B86BF1" w:rsidP="000376C7">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A743C9">
              <w:rPr>
                <w:rFonts w:eastAsia="Times New Roman" w:cstheme="minorHAnsi"/>
                <w:sz w:val="16"/>
                <w:szCs w:val="16"/>
              </w:rPr>
              <w:t>An order classifies e</w:t>
            </w:r>
            <w:r w:rsidRPr="00A743C9">
              <w:rPr>
                <w:rFonts w:eastAsia="Times New Roman" w:cstheme="minorHAnsi"/>
                <w:sz w:val="16"/>
                <w:szCs w:val="16"/>
              </w:rPr>
              <w:noBreakHyphen/>
              <w:t>cigarettes as medicinal products and medical devices.</w:t>
            </w:r>
          </w:p>
        </w:tc>
      </w:tr>
      <w:tr w:rsidR="00B86BF1" w:rsidRPr="00A743C9" w14:paraId="17BFE6CB" w14:textId="77777777" w:rsidTr="000376C7">
        <w:trPr>
          <w:trHeight w:val="283"/>
        </w:trPr>
        <w:tc>
          <w:tcPr>
            <w:cnfStyle w:val="001000000000" w:firstRow="0" w:lastRow="0" w:firstColumn="1" w:lastColumn="0" w:oddVBand="0" w:evenVBand="0" w:oddHBand="0" w:evenHBand="0" w:firstRowFirstColumn="0" w:firstRowLastColumn="0" w:lastRowFirstColumn="0" w:lastRowLastColumn="0"/>
            <w:tcW w:w="1404" w:type="dxa"/>
            <w:hideMark/>
          </w:tcPr>
          <w:p w14:paraId="40C8355B" w14:textId="77777777" w:rsidR="00B86BF1" w:rsidRPr="00A743C9" w:rsidRDefault="00B86BF1" w:rsidP="000376C7">
            <w:pPr>
              <w:rPr>
                <w:rFonts w:eastAsia="Times New Roman" w:cstheme="minorHAnsi"/>
                <w:sz w:val="16"/>
                <w:szCs w:val="16"/>
              </w:rPr>
            </w:pPr>
            <w:r w:rsidRPr="00A743C9">
              <w:rPr>
                <w:rFonts w:eastAsia="Times New Roman" w:cstheme="minorHAnsi"/>
                <w:sz w:val="16"/>
                <w:szCs w:val="16"/>
              </w:rPr>
              <w:t>Poland</w:t>
            </w:r>
          </w:p>
        </w:tc>
        <w:tc>
          <w:tcPr>
            <w:tcW w:w="11916" w:type="dxa"/>
            <w:hideMark/>
          </w:tcPr>
          <w:p w14:paraId="5BB3B1FC" w14:textId="77777777" w:rsidR="00B86BF1" w:rsidRPr="00A743C9" w:rsidRDefault="00B86BF1" w:rsidP="000376C7">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A743C9">
              <w:rPr>
                <w:rFonts w:eastAsia="Times New Roman" w:cstheme="minorHAnsi"/>
                <w:sz w:val="16"/>
                <w:szCs w:val="16"/>
              </w:rPr>
              <w:t>E</w:t>
            </w:r>
            <w:r w:rsidRPr="00A743C9">
              <w:rPr>
                <w:rFonts w:eastAsia="Times New Roman" w:cstheme="minorHAnsi"/>
                <w:sz w:val="16"/>
                <w:szCs w:val="16"/>
              </w:rPr>
              <w:noBreakHyphen/>
              <w:t>cigarettes are classified as tobacco related products and regulated by the Polish Anti</w:t>
            </w:r>
            <w:r w:rsidRPr="00A743C9">
              <w:rPr>
                <w:rFonts w:eastAsia="Times New Roman" w:cstheme="minorHAnsi"/>
                <w:sz w:val="16"/>
                <w:szCs w:val="16"/>
              </w:rPr>
              <w:noBreakHyphen/>
              <w:t>Tobacco Act (2016).</w:t>
            </w:r>
          </w:p>
        </w:tc>
      </w:tr>
      <w:tr w:rsidR="00B86BF1" w:rsidRPr="00A743C9" w14:paraId="71541DCC" w14:textId="77777777" w:rsidTr="000376C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04" w:type="dxa"/>
            <w:hideMark/>
          </w:tcPr>
          <w:p w14:paraId="3805AFD8" w14:textId="77777777" w:rsidR="00B86BF1" w:rsidRPr="00A743C9" w:rsidRDefault="00B86BF1" w:rsidP="000376C7">
            <w:pPr>
              <w:rPr>
                <w:rFonts w:eastAsia="Times New Roman" w:cstheme="minorHAnsi"/>
                <w:sz w:val="16"/>
                <w:szCs w:val="16"/>
              </w:rPr>
            </w:pPr>
            <w:r w:rsidRPr="00A743C9">
              <w:rPr>
                <w:rFonts w:eastAsia="Times New Roman" w:cstheme="minorHAnsi"/>
                <w:sz w:val="16"/>
                <w:szCs w:val="16"/>
              </w:rPr>
              <w:t>Portugal</w:t>
            </w:r>
          </w:p>
        </w:tc>
        <w:tc>
          <w:tcPr>
            <w:tcW w:w="11916" w:type="dxa"/>
            <w:hideMark/>
          </w:tcPr>
          <w:p w14:paraId="4D37D0DA" w14:textId="77777777" w:rsidR="00B86BF1" w:rsidRPr="00A743C9" w:rsidRDefault="00B86BF1" w:rsidP="000376C7">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A743C9">
              <w:rPr>
                <w:rFonts w:eastAsia="Times New Roman" w:cstheme="minorHAnsi"/>
                <w:sz w:val="16"/>
                <w:szCs w:val="16"/>
              </w:rPr>
              <w:t>Nicotine</w:t>
            </w:r>
            <w:r w:rsidRPr="00A743C9">
              <w:rPr>
                <w:rFonts w:eastAsia="Times New Roman" w:cstheme="minorHAnsi"/>
                <w:sz w:val="16"/>
                <w:szCs w:val="16"/>
              </w:rPr>
              <w:noBreakHyphen/>
              <w:t>containing e</w:t>
            </w:r>
            <w:r w:rsidRPr="00A743C9">
              <w:rPr>
                <w:rFonts w:eastAsia="Times New Roman" w:cstheme="minorHAnsi"/>
                <w:sz w:val="16"/>
                <w:szCs w:val="16"/>
              </w:rPr>
              <w:noBreakHyphen/>
              <w:t>cigarettes (like all tobacco products) are regulated by Law no 37/2007 of 14</w:t>
            </w:r>
            <w:r w:rsidRPr="00A743C9">
              <w:rPr>
                <w:rFonts w:eastAsia="Times New Roman" w:cstheme="minorHAnsi"/>
                <w:sz w:val="16"/>
                <w:szCs w:val="16"/>
                <w:vertAlign w:val="superscript"/>
              </w:rPr>
              <w:t>th</w:t>
            </w:r>
            <w:r w:rsidRPr="00A743C9">
              <w:rPr>
                <w:rFonts w:eastAsia="Times New Roman" w:cstheme="minorHAnsi"/>
                <w:sz w:val="16"/>
                <w:szCs w:val="16"/>
              </w:rPr>
              <w:t> August, with language provided in Law no 108/2015 of 26th August.</w:t>
            </w:r>
          </w:p>
        </w:tc>
      </w:tr>
      <w:tr w:rsidR="00B86BF1" w:rsidRPr="00A743C9" w14:paraId="018F3460" w14:textId="77777777" w:rsidTr="000376C7">
        <w:trPr>
          <w:trHeight w:val="283"/>
        </w:trPr>
        <w:tc>
          <w:tcPr>
            <w:cnfStyle w:val="001000000000" w:firstRow="0" w:lastRow="0" w:firstColumn="1" w:lastColumn="0" w:oddVBand="0" w:evenVBand="0" w:oddHBand="0" w:evenHBand="0" w:firstRowFirstColumn="0" w:firstRowLastColumn="0" w:lastRowFirstColumn="0" w:lastRowLastColumn="0"/>
            <w:tcW w:w="1404" w:type="dxa"/>
            <w:hideMark/>
          </w:tcPr>
          <w:p w14:paraId="43081CCF" w14:textId="77777777" w:rsidR="00B86BF1" w:rsidRPr="00A743C9" w:rsidRDefault="00B86BF1" w:rsidP="000376C7">
            <w:pPr>
              <w:rPr>
                <w:rFonts w:eastAsia="Times New Roman" w:cstheme="minorHAnsi"/>
                <w:sz w:val="16"/>
                <w:szCs w:val="16"/>
              </w:rPr>
            </w:pPr>
            <w:r w:rsidRPr="00A743C9">
              <w:rPr>
                <w:rFonts w:eastAsia="Times New Roman" w:cstheme="minorHAnsi"/>
                <w:sz w:val="16"/>
                <w:szCs w:val="16"/>
              </w:rPr>
              <w:t>Qatar</w:t>
            </w:r>
          </w:p>
        </w:tc>
        <w:tc>
          <w:tcPr>
            <w:tcW w:w="11916" w:type="dxa"/>
            <w:hideMark/>
          </w:tcPr>
          <w:p w14:paraId="29461B39" w14:textId="77777777" w:rsidR="00B86BF1" w:rsidRPr="00A743C9" w:rsidRDefault="00B86BF1" w:rsidP="000376C7">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A743C9">
              <w:rPr>
                <w:rFonts w:eastAsia="Times New Roman" w:cstheme="minorHAnsi"/>
                <w:sz w:val="16"/>
                <w:szCs w:val="16"/>
              </w:rPr>
              <w:t>A circular strictly prohibits the sale, distribution and advertising of e</w:t>
            </w:r>
            <w:r w:rsidRPr="00A743C9">
              <w:rPr>
                <w:rFonts w:eastAsia="Times New Roman" w:cstheme="minorHAnsi"/>
                <w:sz w:val="16"/>
                <w:szCs w:val="16"/>
              </w:rPr>
              <w:noBreakHyphen/>
              <w:t>cigarettes in pharmacies; another circular strictly prohibits their importation into the country.</w:t>
            </w:r>
          </w:p>
        </w:tc>
      </w:tr>
      <w:tr w:rsidR="00B86BF1" w:rsidRPr="00A743C9" w14:paraId="6EEA1B1A" w14:textId="77777777" w:rsidTr="000376C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04" w:type="dxa"/>
            <w:hideMark/>
          </w:tcPr>
          <w:p w14:paraId="6DD8F21B" w14:textId="77777777" w:rsidR="00B86BF1" w:rsidRPr="00A743C9" w:rsidRDefault="00B86BF1" w:rsidP="000376C7">
            <w:pPr>
              <w:rPr>
                <w:rFonts w:eastAsia="Times New Roman" w:cstheme="minorHAnsi"/>
                <w:sz w:val="16"/>
                <w:szCs w:val="16"/>
              </w:rPr>
            </w:pPr>
            <w:r w:rsidRPr="00A743C9">
              <w:rPr>
                <w:rFonts w:eastAsia="Times New Roman" w:cstheme="minorHAnsi"/>
                <w:sz w:val="16"/>
                <w:szCs w:val="16"/>
              </w:rPr>
              <w:lastRenderedPageBreak/>
              <w:t>Republic of Korea</w:t>
            </w:r>
          </w:p>
        </w:tc>
        <w:tc>
          <w:tcPr>
            <w:tcW w:w="11916" w:type="dxa"/>
            <w:hideMark/>
          </w:tcPr>
          <w:p w14:paraId="36CCEE98" w14:textId="77777777" w:rsidR="00B86BF1" w:rsidRPr="00A743C9" w:rsidRDefault="00B86BF1" w:rsidP="000376C7">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A743C9">
              <w:rPr>
                <w:rFonts w:eastAsia="Times New Roman" w:cstheme="minorHAnsi"/>
                <w:sz w:val="16"/>
                <w:szCs w:val="16"/>
              </w:rPr>
              <w:t>Non</w:t>
            </w:r>
            <w:r w:rsidRPr="00A743C9">
              <w:rPr>
                <w:rFonts w:eastAsia="Times New Roman" w:cstheme="minorHAnsi"/>
                <w:sz w:val="16"/>
                <w:szCs w:val="16"/>
              </w:rPr>
              <w:noBreakHyphen/>
              <w:t>nicotine containing e</w:t>
            </w:r>
            <w:r w:rsidRPr="00A743C9">
              <w:rPr>
                <w:rFonts w:eastAsia="Times New Roman" w:cstheme="minorHAnsi"/>
                <w:sz w:val="16"/>
                <w:szCs w:val="16"/>
              </w:rPr>
              <w:noBreakHyphen/>
              <w:t>cigarettes are considered consumer products. Nicotine</w:t>
            </w:r>
            <w:r w:rsidRPr="00A743C9">
              <w:rPr>
                <w:rFonts w:eastAsia="Times New Roman" w:cstheme="minorHAnsi"/>
                <w:sz w:val="16"/>
                <w:szCs w:val="16"/>
              </w:rPr>
              <w:noBreakHyphen/>
              <w:t>containing e</w:t>
            </w:r>
            <w:r w:rsidRPr="00A743C9">
              <w:rPr>
                <w:rFonts w:eastAsia="Times New Roman" w:cstheme="minorHAnsi"/>
                <w:sz w:val="16"/>
                <w:szCs w:val="16"/>
              </w:rPr>
              <w:noBreakHyphen/>
              <w:t>cigarettes are classified as tobacco products, thus their sale is prohibited to minors (under 19 years).</w:t>
            </w:r>
          </w:p>
        </w:tc>
      </w:tr>
      <w:tr w:rsidR="00B86BF1" w:rsidRPr="00A743C9" w14:paraId="4A3951D8" w14:textId="77777777" w:rsidTr="000376C7">
        <w:trPr>
          <w:trHeight w:val="283"/>
        </w:trPr>
        <w:tc>
          <w:tcPr>
            <w:cnfStyle w:val="001000000000" w:firstRow="0" w:lastRow="0" w:firstColumn="1" w:lastColumn="0" w:oddVBand="0" w:evenVBand="0" w:oddHBand="0" w:evenHBand="0" w:firstRowFirstColumn="0" w:firstRowLastColumn="0" w:lastRowFirstColumn="0" w:lastRowLastColumn="0"/>
            <w:tcW w:w="1404" w:type="dxa"/>
            <w:hideMark/>
          </w:tcPr>
          <w:p w14:paraId="261EA524" w14:textId="77777777" w:rsidR="00B86BF1" w:rsidRPr="00A743C9" w:rsidRDefault="00B86BF1" w:rsidP="000376C7">
            <w:pPr>
              <w:rPr>
                <w:rFonts w:eastAsia="Times New Roman" w:cstheme="minorHAnsi"/>
                <w:sz w:val="16"/>
                <w:szCs w:val="16"/>
              </w:rPr>
            </w:pPr>
            <w:r w:rsidRPr="00A743C9">
              <w:rPr>
                <w:rFonts w:eastAsia="Times New Roman" w:cstheme="minorHAnsi"/>
                <w:sz w:val="16"/>
                <w:szCs w:val="16"/>
              </w:rPr>
              <w:t>Romania</w:t>
            </w:r>
          </w:p>
        </w:tc>
        <w:tc>
          <w:tcPr>
            <w:tcW w:w="11916" w:type="dxa"/>
            <w:hideMark/>
          </w:tcPr>
          <w:p w14:paraId="00B210C0" w14:textId="77777777" w:rsidR="00B86BF1" w:rsidRPr="00A743C9" w:rsidRDefault="00B86BF1" w:rsidP="000376C7">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A743C9">
              <w:rPr>
                <w:rFonts w:eastAsia="Times New Roman" w:cstheme="minorHAnsi"/>
                <w:sz w:val="16"/>
                <w:szCs w:val="16"/>
              </w:rPr>
              <w:t>E</w:t>
            </w:r>
            <w:r w:rsidRPr="00A743C9">
              <w:rPr>
                <w:rFonts w:eastAsia="Times New Roman" w:cstheme="minorHAnsi"/>
                <w:sz w:val="16"/>
                <w:szCs w:val="16"/>
              </w:rPr>
              <w:noBreakHyphen/>
              <w:t>cigarettes are classified as tobacco related products and regulated by Law no. 201/2016 (establishing the conditions for manufacture, presentation and sale of tobacco products and related products and amending Law no. 349/2002 for preventing and combating the effects of tobacco products).</w:t>
            </w:r>
          </w:p>
        </w:tc>
      </w:tr>
      <w:tr w:rsidR="00B86BF1" w:rsidRPr="00A743C9" w14:paraId="1A4ECD44" w14:textId="77777777" w:rsidTr="000376C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04" w:type="dxa"/>
            <w:hideMark/>
          </w:tcPr>
          <w:p w14:paraId="140598E0" w14:textId="77777777" w:rsidR="00B86BF1" w:rsidRPr="00A743C9" w:rsidRDefault="00B86BF1" w:rsidP="000376C7">
            <w:pPr>
              <w:rPr>
                <w:rFonts w:eastAsia="Times New Roman" w:cstheme="minorHAnsi"/>
                <w:sz w:val="16"/>
                <w:szCs w:val="16"/>
              </w:rPr>
            </w:pPr>
            <w:r w:rsidRPr="00A743C9">
              <w:rPr>
                <w:rFonts w:eastAsia="Times New Roman" w:cstheme="minorHAnsi"/>
                <w:sz w:val="16"/>
                <w:szCs w:val="16"/>
              </w:rPr>
              <w:t>Saudi Arabia</w:t>
            </w:r>
          </w:p>
        </w:tc>
        <w:tc>
          <w:tcPr>
            <w:tcW w:w="11916" w:type="dxa"/>
            <w:hideMark/>
          </w:tcPr>
          <w:p w14:paraId="35C67A4E" w14:textId="77777777" w:rsidR="00B86BF1" w:rsidRPr="00A743C9" w:rsidRDefault="00B86BF1" w:rsidP="000376C7">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A743C9">
              <w:rPr>
                <w:rFonts w:eastAsia="Times New Roman" w:cstheme="minorHAnsi"/>
                <w:sz w:val="16"/>
                <w:szCs w:val="16"/>
              </w:rPr>
              <w:t>The sale and marketing of e</w:t>
            </w:r>
            <w:r w:rsidRPr="00A743C9">
              <w:rPr>
                <w:rFonts w:eastAsia="Times New Roman" w:cstheme="minorHAnsi"/>
                <w:sz w:val="16"/>
                <w:szCs w:val="16"/>
              </w:rPr>
              <w:noBreakHyphen/>
              <w:t>cigarettes is banned in accordance with a decision of health ministers of gulf countries.</w:t>
            </w:r>
          </w:p>
        </w:tc>
      </w:tr>
      <w:tr w:rsidR="00B86BF1" w:rsidRPr="00A743C9" w14:paraId="7A7F5820" w14:textId="77777777" w:rsidTr="000376C7">
        <w:trPr>
          <w:trHeight w:val="283"/>
        </w:trPr>
        <w:tc>
          <w:tcPr>
            <w:cnfStyle w:val="001000000000" w:firstRow="0" w:lastRow="0" w:firstColumn="1" w:lastColumn="0" w:oddVBand="0" w:evenVBand="0" w:oddHBand="0" w:evenHBand="0" w:firstRowFirstColumn="0" w:firstRowLastColumn="0" w:lastRowFirstColumn="0" w:lastRowLastColumn="0"/>
            <w:tcW w:w="1404" w:type="dxa"/>
            <w:hideMark/>
          </w:tcPr>
          <w:p w14:paraId="5C2575C1" w14:textId="77777777" w:rsidR="00B86BF1" w:rsidRPr="00A743C9" w:rsidRDefault="00B86BF1" w:rsidP="000376C7">
            <w:pPr>
              <w:rPr>
                <w:rFonts w:eastAsia="Times New Roman" w:cstheme="minorHAnsi"/>
                <w:sz w:val="16"/>
                <w:szCs w:val="16"/>
              </w:rPr>
            </w:pPr>
            <w:r w:rsidRPr="00A743C9">
              <w:rPr>
                <w:rFonts w:eastAsia="Times New Roman" w:cstheme="minorHAnsi"/>
                <w:sz w:val="16"/>
                <w:szCs w:val="16"/>
              </w:rPr>
              <w:t>Scotland</w:t>
            </w:r>
          </w:p>
        </w:tc>
        <w:tc>
          <w:tcPr>
            <w:tcW w:w="11916" w:type="dxa"/>
            <w:hideMark/>
          </w:tcPr>
          <w:p w14:paraId="242354F7" w14:textId="77777777" w:rsidR="00B86BF1" w:rsidRPr="00A743C9" w:rsidRDefault="00B86BF1" w:rsidP="000376C7">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A743C9">
              <w:rPr>
                <w:rFonts w:eastAsia="Times New Roman" w:cstheme="minorHAnsi"/>
                <w:sz w:val="16"/>
                <w:szCs w:val="16"/>
              </w:rPr>
              <w:t>E</w:t>
            </w:r>
            <w:r w:rsidRPr="00A743C9">
              <w:rPr>
                <w:rFonts w:eastAsia="Times New Roman" w:cstheme="minorHAnsi"/>
                <w:sz w:val="16"/>
                <w:szCs w:val="16"/>
              </w:rPr>
              <w:noBreakHyphen/>
              <w:t>cigarettes may be brought to market either as medicines or as consumer products. Those seeking medicines approval undergo the standard licensing process.</w:t>
            </w:r>
          </w:p>
        </w:tc>
      </w:tr>
      <w:tr w:rsidR="00B86BF1" w:rsidRPr="00A743C9" w14:paraId="62AAB9E7" w14:textId="77777777" w:rsidTr="000376C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04" w:type="dxa"/>
            <w:hideMark/>
          </w:tcPr>
          <w:p w14:paraId="0264C003" w14:textId="77777777" w:rsidR="00B86BF1" w:rsidRPr="00A743C9" w:rsidRDefault="00B86BF1" w:rsidP="000376C7">
            <w:pPr>
              <w:rPr>
                <w:rFonts w:eastAsia="Times New Roman" w:cstheme="minorHAnsi"/>
                <w:sz w:val="16"/>
                <w:szCs w:val="16"/>
              </w:rPr>
            </w:pPr>
            <w:r w:rsidRPr="00A743C9">
              <w:rPr>
                <w:rFonts w:eastAsia="Times New Roman" w:cstheme="minorHAnsi"/>
                <w:sz w:val="16"/>
                <w:szCs w:val="16"/>
              </w:rPr>
              <w:t>Serbia</w:t>
            </w:r>
          </w:p>
        </w:tc>
        <w:tc>
          <w:tcPr>
            <w:tcW w:w="11916" w:type="dxa"/>
            <w:hideMark/>
          </w:tcPr>
          <w:p w14:paraId="6E26D448" w14:textId="77777777" w:rsidR="00B86BF1" w:rsidRPr="00A743C9" w:rsidRDefault="00B86BF1" w:rsidP="000376C7">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A743C9">
              <w:rPr>
                <w:rFonts w:eastAsia="Times New Roman" w:cstheme="minorHAnsi"/>
                <w:sz w:val="16"/>
                <w:szCs w:val="16"/>
              </w:rPr>
              <w:t>The law on advertising (Official Gazette of RS, No. 6/2016) provides restrictions in advertising, promotion and sponsorship related to e</w:t>
            </w:r>
            <w:r w:rsidRPr="00A743C9">
              <w:rPr>
                <w:rFonts w:eastAsia="Times New Roman" w:cstheme="minorHAnsi"/>
                <w:sz w:val="16"/>
                <w:szCs w:val="16"/>
              </w:rPr>
              <w:noBreakHyphen/>
              <w:t>cigarettes, e</w:t>
            </w:r>
            <w:r w:rsidRPr="00A743C9">
              <w:rPr>
                <w:rFonts w:eastAsia="Times New Roman" w:cstheme="minorHAnsi"/>
                <w:sz w:val="16"/>
                <w:szCs w:val="16"/>
              </w:rPr>
              <w:noBreakHyphen/>
              <w:t>liquids and e</w:t>
            </w:r>
            <w:r w:rsidRPr="00A743C9">
              <w:rPr>
                <w:rFonts w:eastAsia="Times New Roman" w:cstheme="minorHAnsi"/>
                <w:sz w:val="16"/>
                <w:szCs w:val="16"/>
              </w:rPr>
              <w:noBreakHyphen/>
              <w:t>cigarette components.</w:t>
            </w:r>
          </w:p>
        </w:tc>
      </w:tr>
      <w:tr w:rsidR="00B86BF1" w:rsidRPr="00A743C9" w14:paraId="42E5025E" w14:textId="77777777" w:rsidTr="000376C7">
        <w:trPr>
          <w:trHeight w:val="283"/>
        </w:trPr>
        <w:tc>
          <w:tcPr>
            <w:cnfStyle w:val="001000000000" w:firstRow="0" w:lastRow="0" w:firstColumn="1" w:lastColumn="0" w:oddVBand="0" w:evenVBand="0" w:oddHBand="0" w:evenHBand="0" w:firstRowFirstColumn="0" w:firstRowLastColumn="0" w:lastRowFirstColumn="0" w:lastRowLastColumn="0"/>
            <w:tcW w:w="1404" w:type="dxa"/>
            <w:hideMark/>
          </w:tcPr>
          <w:p w14:paraId="4AAACB7A" w14:textId="77777777" w:rsidR="00B86BF1" w:rsidRPr="00A743C9" w:rsidRDefault="00B86BF1" w:rsidP="000376C7">
            <w:pPr>
              <w:rPr>
                <w:rFonts w:eastAsia="Times New Roman" w:cstheme="minorHAnsi"/>
                <w:sz w:val="16"/>
                <w:szCs w:val="16"/>
              </w:rPr>
            </w:pPr>
            <w:r w:rsidRPr="00A743C9">
              <w:rPr>
                <w:rFonts w:eastAsia="Times New Roman" w:cstheme="minorHAnsi"/>
                <w:sz w:val="16"/>
                <w:szCs w:val="16"/>
              </w:rPr>
              <w:t>Seychelles</w:t>
            </w:r>
          </w:p>
        </w:tc>
        <w:tc>
          <w:tcPr>
            <w:tcW w:w="11916" w:type="dxa"/>
            <w:hideMark/>
          </w:tcPr>
          <w:p w14:paraId="154CEB21" w14:textId="77777777" w:rsidR="00B86BF1" w:rsidRPr="00A743C9" w:rsidRDefault="00B86BF1" w:rsidP="000376C7">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A743C9">
              <w:rPr>
                <w:rFonts w:eastAsia="Times New Roman" w:cstheme="minorHAnsi"/>
                <w:sz w:val="16"/>
                <w:szCs w:val="16"/>
              </w:rPr>
              <w:t>The Tobacco Control Act prohibits the manufacture, importation, supply, display, distribution or sale of imitation tobacco products.</w:t>
            </w:r>
          </w:p>
        </w:tc>
      </w:tr>
      <w:tr w:rsidR="00B86BF1" w:rsidRPr="00A743C9" w14:paraId="75DF843E" w14:textId="77777777" w:rsidTr="000376C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04" w:type="dxa"/>
            <w:hideMark/>
          </w:tcPr>
          <w:p w14:paraId="66989E85" w14:textId="77777777" w:rsidR="00B86BF1" w:rsidRPr="00A743C9" w:rsidRDefault="00B86BF1" w:rsidP="000376C7">
            <w:pPr>
              <w:rPr>
                <w:rFonts w:eastAsia="Times New Roman" w:cstheme="minorHAnsi"/>
                <w:sz w:val="16"/>
                <w:szCs w:val="16"/>
              </w:rPr>
            </w:pPr>
            <w:r w:rsidRPr="00A743C9">
              <w:rPr>
                <w:rFonts w:eastAsia="Times New Roman" w:cstheme="minorHAnsi"/>
                <w:sz w:val="16"/>
                <w:szCs w:val="16"/>
              </w:rPr>
              <w:t>Singapore</w:t>
            </w:r>
          </w:p>
        </w:tc>
        <w:tc>
          <w:tcPr>
            <w:tcW w:w="11916" w:type="dxa"/>
            <w:hideMark/>
          </w:tcPr>
          <w:p w14:paraId="0806545F" w14:textId="77777777" w:rsidR="00B86BF1" w:rsidRPr="00A743C9" w:rsidRDefault="00B86BF1" w:rsidP="000376C7">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A743C9">
              <w:rPr>
                <w:rFonts w:eastAsia="Times New Roman" w:cstheme="minorHAnsi"/>
                <w:sz w:val="16"/>
                <w:szCs w:val="16"/>
              </w:rPr>
              <w:t>E</w:t>
            </w:r>
            <w:r w:rsidRPr="00A743C9">
              <w:rPr>
                <w:rFonts w:eastAsia="Times New Roman" w:cstheme="minorHAnsi"/>
                <w:sz w:val="16"/>
                <w:szCs w:val="16"/>
              </w:rPr>
              <w:noBreakHyphen/>
              <w:t>cigarettes are classified by the tobacco control act as imitation tobacco products banning their sale, distribution and importation.</w:t>
            </w:r>
          </w:p>
        </w:tc>
      </w:tr>
      <w:tr w:rsidR="00B86BF1" w:rsidRPr="00A743C9" w14:paraId="77620369" w14:textId="77777777" w:rsidTr="000376C7">
        <w:trPr>
          <w:trHeight w:val="283"/>
        </w:trPr>
        <w:tc>
          <w:tcPr>
            <w:cnfStyle w:val="001000000000" w:firstRow="0" w:lastRow="0" w:firstColumn="1" w:lastColumn="0" w:oddVBand="0" w:evenVBand="0" w:oddHBand="0" w:evenHBand="0" w:firstRowFirstColumn="0" w:firstRowLastColumn="0" w:lastRowFirstColumn="0" w:lastRowLastColumn="0"/>
            <w:tcW w:w="1404" w:type="dxa"/>
            <w:hideMark/>
          </w:tcPr>
          <w:p w14:paraId="1AE14685" w14:textId="77777777" w:rsidR="00B86BF1" w:rsidRPr="00A743C9" w:rsidRDefault="00B86BF1" w:rsidP="000376C7">
            <w:pPr>
              <w:rPr>
                <w:rFonts w:eastAsia="Times New Roman" w:cstheme="minorHAnsi"/>
                <w:sz w:val="16"/>
                <w:szCs w:val="16"/>
              </w:rPr>
            </w:pPr>
            <w:r w:rsidRPr="00A743C9">
              <w:rPr>
                <w:rFonts w:eastAsia="Times New Roman" w:cstheme="minorHAnsi"/>
                <w:sz w:val="16"/>
                <w:szCs w:val="16"/>
              </w:rPr>
              <w:t>Slovakia</w:t>
            </w:r>
          </w:p>
        </w:tc>
        <w:tc>
          <w:tcPr>
            <w:tcW w:w="11916" w:type="dxa"/>
            <w:hideMark/>
          </w:tcPr>
          <w:p w14:paraId="4F5B29DE" w14:textId="77777777" w:rsidR="00B86BF1" w:rsidRPr="00A743C9" w:rsidRDefault="00B86BF1" w:rsidP="000376C7">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A743C9">
              <w:rPr>
                <w:rFonts w:eastAsia="Times New Roman" w:cstheme="minorHAnsi"/>
                <w:sz w:val="16"/>
                <w:szCs w:val="16"/>
              </w:rPr>
              <w:t>E</w:t>
            </w:r>
            <w:r w:rsidRPr="00A743C9">
              <w:rPr>
                <w:rFonts w:eastAsia="Times New Roman" w:cstheme="minorHAnsi"/>
                <w:sz w:val="16"/>
                <w:szCs w:val="16"/>
              </w:rPr>
              <w:noBreakHyphen/>
              <w:t>cigarettes are regulated by the Act of 25 November 2015 (No. 89/2016) on the Manufacture and Labelling of Tobacco Products and related Products and Amending Certain Acts, which classifies them as tobacco related products.</w:t>
            </w:r>
          </w:p>
        </w:tc>
      </w:tr>
      <w:tr w:rsidR="00B86BF1" w:rsidRPr="00A743C9" w14:paraId="768E84B5" w14:textId="77777777" w:rsidTr="000376C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04" w:type="dxa"/>
            <w:hideMark/>
          </w:tcPr>
          <w:p w14:paraId="0629C437" w14:textId="77777777" w:rsidR="00B86BF1" w:rsidRPr="00A743C9" w:rsidRDefault="00B86BF1" w:rsidP="000376C7">
            <w:pPr>
              <w:rPr>
                <w:rFonts w:eastAsia="Times New Roman" w:cstheme="minorHAnsi"/>
                <w:sz w:val="16"/>
                <w:szCs w:val="16"/>
              </w:rPr>
            </w:pPr>
            <w:r w:rsidRPr="00A743C9">
              <w:rPr>
                <w:rFonts w:eastAsia="Times New Roman" w:cstheme="minorHAnsi"/>
                <w:sz w:val="16"/>
                <w:szCs w:val="16"/>
              </w:rPr>
              <w:t>Slovenia</w:t>
            </w:r>
          </w:p>
        </w:tc>
        <w:tc>
          <w:tcPr>
            <w:tcW w:w="11916" w:type="dxa"/>
            <w:hideMark/>
          </w:tcPr>
          <w:p w14:paraId="0B592935" w14:textId="77777777" w:rsidR="00B86BF1" w:rsidRPr="00A743C9" w:rsidRDefault="00B86BF1" w:rsidP="000376C7">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A743C9">
              <w:rPr>
                <w:rFonts w:eastAsia="Times New Roman" w:cstheme="minorHAnsi"/>
                <w:sz w:val="16"/>
                <w:szCs w:val="16"/>
              </w:rPr>
              <w:t>E</w:t>
            </w:r>
            <w:r w:rsidRPr="00A743C9">
              <w:rPr>
                <w:rFonts w:eastAsia="Times New Roman" w:cstheme="minorHAnsi"/>
                <w:sz w:val="16"/>
                <w:szCs w:val="16"/>
              </w:rPr>
              <w:noBreakHyphen/>
              <w:t>cigarettes are regulated by the Restriction on the Use of Tobacco or Tobacco</w:t>
            </w:r>
            <w:r w:rsidRPr="00A743C9">
              <w:rPr>
                <w:rFonts w:eastAsia="Times New Roman" w:cstheme="minorHAnsi"/>
                <w:sz w:val="16"/>
                <w:szCs w:val="16"/>
              </w:rPr>
              <w:noBreakHyphen/>
              <w:t>related Products Act (OUTP), which classifies them as tobacco related products.</w:t>
            </w:r>
          </w:p>
        </w:tc>
      </w:tr>
      <w:tr w:rsidR="00B86BF1" w:rsidRPr="00A743C9" w14:paraId="6EBAE689" w14:textId="77777777" w:rsidTr="000376C7">
        <w:trPr>
          <w:trHeight w:val="283"/>
        </w:trPr>
        <w:tc>
          <w:tcPr>
            <w:cnfStyle w:val="001000000000" w:firstRow="0" w:lastRow="0" w:firstColumn="1" w:lastColumn="0" w:oddVBand="0" w:evenVBand="0" w:oddHBand="0" w:evenHBand="0" w:firstRowFirstColumn="0" w:firstRowLastColumn="0" w:lastRowFirstColumn="0" w:lastRowLastColumn="0"/>
            <w:tcW w:w="1404" w:type="dxa"/>
            <w:hideMark/>
          </w:tcPr>
          <w:p w14:paraId="54860545" w14:textId="77777777" w:rsidR="00B86BF1" w:rsidRPr="00A743C9" w:rsidRDefault="00B86BF1" w:rsidP="000376C7">
            <w:pPr>
              <w:rPr>
                <w:rFonts w:eastAsia="Times New Roman" w:cstheme="minorHAnsi"/>
                <w:sz w:val="16"/>
                <w:szCs w:val="16"/>
              </w:rPr>
            </w:pPr>
            <w:r w:rsidRPr="00A743C9">
              <w:rPr>
                <w:rFonts w:eastAsia="Times New Roman" w:cstheme="minorHAnsi"/>
                <w:sz w:val="16"/>
                <w:szCs w:val="16"/>
              </w:rPr>
              <w:t>South Africa</w:t>
            </w:r>
          </w:p>
        </w:tc>
        <w:tc>
          <w:tcPr>
            <w:tcW w:w="11916" w:type="dxa"/>
            <w:hideMark/>
          </w:tcPr>
          <w:p w14:paraId="34850919" w14:textId="77777777" w:rsidR="00B86BF1" w:rsidRPr="00A743C9" w:rsidRDefault="00B86BF1" w:rsidP="000376C7">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A743C9">
              <w:rPr>
                <w:rFonts w:eastAsia="Times New Roman" w:cstheme="minorHAnsi"/>
                <w:sz w:val="16"/>
                <w:szCs w:val="16"/>
              </w:rPr>
              <w:t>Nicotine</w:t>
            </w:r>
            <w:r w:rsidRPr="00A743C9">
              <w:rPr>
                <w:rFonts w:eastAsia="Times New Roman" w:cstheme="minorHAnsi"/>
                <w:sz w:val="16"/>
                <w:szCs w:val="16"/>
              </w:rPr>
              <w:noBreakHyphen/>
              <w:t>containing e</w:t>
            </w:r>
            <w:r w:rsidRPr="00A743C9">
              <w:rPr>
                <w:rFonts w:eastAsia="Times New Roman" w:cstheme="minorHAnsi"/>
                <w:sz w:val="16"/>
                <w:szCs w:val="16"/>
              </w:rPr>
              <w:noBreakHyphen/>
              <w:t>cigarettes are regulated by the Medicines Control Council as schedule 3 medicines.</w:t>
            </w:r>
          </w:p>
        </w:tc>
      </w:tr>
      <w:tr w:rsidR="00B86BF1" w:rsidRPr="00A743C9" w14:paraId="7202D865" w14:textId="77777777" w:rsidTr="000376C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04" w:type="dxa"/>
            <w:hideMark/>
          </w:tcPr>
          <w:p w14:paraId="132B0989" w14:textId="77777777" w:rsidR="00B86BF1" w:rsidRPr="00A743C9" w:rsidRDefault="00B86BF1" w:rsidP="000376C7">
            <w:pPr>
              <w:rPr>
                <w:rFonts w:eastAsia="Times New Roman" w:cstheme="minorHAnsi"/>
                <w:sz w:val="16"/>
                <w:szCs w:val="16"/>
              </w:rPr>
            </w:pPr>
            <w:r w:rsidRPr="00A743C9">
              <w:rPr>
                <w:rFonts w:eastAsia="Times New Roman" w:cstheme="minorHAnsi"/>
                <w:sz w:val="16"/>
                <w:szCs w:val="16"/>
              </w:rPr>
              <w:t>Spain</w:t>
            </w:r>
          </w:p>
        </w:tc>
        <w:tc>
          <w:tcPr>
            <w:tcW w:w="11916" w:type="dxa"/>
            <w:hideMark/>
          </w:tcPr>
          <w:p w14:paraId="751998AB" w14:textId="77777777" w:rsidR="00B86BF1" w:rsidRPr="00A743C9" w:rsidRDefault="00B86BF1" w:rsidP="000376C7">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A743C9">
              <w:rPr>
                <w:rFonts w:eastAsia="Times New Roman" w:cstheme="minorHAnsi"/>
                <w:sz w:val="16"/>
                <w:szCs w:val="16"/>
              </w:rPr>
              <w:t>Law 28/2005 on health measures against smoking and regulating the sale, supply, consumption and advertising of tobacco products bans the sale of ENDS or similar products to minors (under 18 years).</w:t>
            </w:r>
          </w:p>
        </w:tc>
      </w:tr>
      <w:tr w:rsidR="00B86BF1" w:rsidRPr="00A743C9" w14:paraId="7CF47D5E" w14:textId="77777777" w:rsidTr="000376C7">
        <w:trPr>
          <w:trHeight w:val="283"/>
        </w:trPr>
        <w:tc>
          <w:tcPr>
            <w:cnfStyle w:val="001000000000" w:firstRow="0" w:lastRow="0" w:firstColumn="1" w:lastColumn="0" w:oddVBand="0" w:evenVBand="0" w:oddHBand="0" w:evenHBand="0" w:firstRowFirstColumn="0" w:firstRowLastColumn="0" w:lastRowFirstColumn="0" w:lastRowLastColumn="0"/>
            <w:tcW w:w="1404" w:type="dxa"/>
            <w:hideMark/>
          </w:tcPr>
          <w:p w14:paraId="723499B1" w14:textId="77777777" w:rsidR="00B86BF1" w:rsidRPr="00A743C9" w:rsidRDefault="00B86BF1" w:rsidP="000376C7">
            <w:pPr>
              <w:rPr>
                <w:rFonts w:eastAsia="Times New Roman" w:cstheme="minorHAnsi"/>
                <w:sz w:val="16"/>
                <w:szCs w:val="16"/>
              </w:rPr>
            </w:pPr>
            <w:r w:rsidRPr="00A743C9">
              <w:rPr>
                <w:rFonts w:eastAsia="Times New Roman" w:cstheme="minorHAnsi"/>
                <w:sz w:val="16"/>
                <w:szCs w:val="16"/>
              </w:rPr>
              <w:t>Suriname</w:t>
            </w:r>
          </w:p>
        </w:tc>
        <w:tc>
          <w:tcPr>
            <w:tcW w:w="11916" w:type="dxa"/>
            <w:hideMark/>
          </w:tcPr>
          <w:p w14:paraId="66F91701" w14:textId="77777777" w:rsidR="00B86BF1" w:rsidRPr="00A743C9" w:rsidRDefault="00B86BF1" w:rsidP="000376C7">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A743C9">
              <w:rPr>
                <w:rFonts w:eastAsia="Times New Roman" w:cstheme="minorHAnsi"/>
                <w:sz w:val="16"/>
                <w:szCs w:val="16"/>
              </w:rPr>
              <w:t>The Tobacco Law prohibits the importation, distribution and sale of electronic cigarettes.</w:t>
            </w:r>
          </w:p>
        </w:tc>
      </w:tr>
      <w:tr w:rsidR="00B86BF1" w:rsidRPr="00A743C9" w14:paraId="2A043FD2" w14:textId="77777777" w:rsidTr="000376C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04" w:type="dxa"/>
            <w:hideMark/>
          </w:tcPr>
          <w:p w14:paraId="4A7A7097" w14:textId="77777777" w:rsidR="00B86BF1" w:rsidRPr="00A743C9" w:rsidRDefault="00B86BF1" w:rsidP="000376C7">
            <w:pPr>
              <w:rPr>
                <w:rFonts w:eastAsia="Times New Roman" w:cstheme="minorHAnsi"/>
                <w:sz w:val="16"/>
                <w:szCs w:val="16"/>
              </w:rPr>
            </w:pPr>
            <w:r w:rsidRPr="00A743C9">
              <w:rPr>
                <w:rFonts w:eastAsia="Times New Roman" w:cstheme="minorHAnsi"/>
                <w:sz w:val="16"/>
                <w:szCs w:val="16"/>
              </w:rPr>
              <w:t>Sweden</w:t>
            </w:r>
          </w:p>
        </w:tc>
        <w:tc>
          <w:tcPr>
            <w:tcW w:w="11916" w:type="dxa"/>
            <w:hideMark/>
          </w:tcPr>
          <w:p w14:paraId="563E2AFE" w14:textId="77777777" w:rsidR="00B86BF1" w:rsidRPr="00A743C9" w:rsidRDefault="00B86BF1" w:rsidP="000376C7">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A743C9">
              <w:rPr>
                <w:rFonts w:eastAsia="Times New Roman" w:cstheme="minorHAnsi"/>
                <w:sz w:val="16"/>
                <w:szCs w:val="16"/>
              </w:rPr>
              <w:t>E</w:t>
            </w:r>
            <w:r w:rsidRPr="00A743C9">
              <w:rPr>
                <w:rFonts w:eastAsia="Times New Roman" w:cstheme="minorHAnsi"/>
                <w:sz w:val="16"/>
                <w:szCs w:val="16"/>
              </w:rPr>
              <w:noBreakHyphen/>
              <w:t>cigarettes are regulated by Law (2017:425) on electronic cigarettes and refill containers.</w:t>
            </w:r>
          </w:p>
        </w:tc>
      </w:tr>
      <w:tr w:rsidR="00B86BF1" w:rsidRPr="00A743C9" w14:paraId="06062580" w14:textId="77777777" w:rsidTr="000376C7">
        <w:trPr>
          <w:trHeight w:val="283"/>
        </w:trPr>
        <w:tc>
          <w:tcPr>
            <w:cnfStyle w:val="001000000000" w:firstRow="0" w:lastRow="0" w:firstColumn="1" w:lastColumn="0" w:oddVBand="0" w:evenVBand="0" w:oddHBand="0" w:evenHBand="0" w:firstRowFirstColumn="0" w:firstRowLastColumn="0" w:lastRowFirstColumn="0" w:lastRowLastColumn="0"/>
            <w:tcW w:w="1404" w:type="dxa"/>
            <w:hideMark/>
          </w:tcPr>
          <w:p w14:paraId="00112433" w14:textId="77777777" w:rsidR="00B86BF1" w:rsidRPr="00A743C9" w:rsidRDefault="00B86BF1" w:rsidP="000376C7">
            <w:pPr>
              <w:rPr>
                <w:rFonts w:eastAsia="Times New Roman" w:cstheme="minorHAnsi"/>
                <w:sz w:val="16"/>
                <w:szCs w:val="16"/>
              </w:rPr>
            </w:pPr>
            <w:r w:rsidRPr="00A743C9">
              <w:rPr>
                <w:rFonts w:eastAsia="Times New Roman" w:cstheme="minorHAnsi"/>
                <w:sz w:val="16"/>
                <w:szCs w:val="16"/>
              </w:rPr>
              <w:t>Switzerland</w:t>
            </w:r>
          </w:p>
        </w:tc>
        <w:tc>
          <w:tcPr>
            <w:tcW w:w="11916" w:type="dxa"/>
            <w:hideMark/>
          </w:tcPr>
          <w:p w14:paraId="2CA661E4" w14:textId="77777777" w:rsidR="00B86BF1" w:rsidRPr="00A743C9" w:rsidRDefault="00B86BF1" w:rsidP="000376C7">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A743C9">
              <w:rPr>
                <w:rFonts w:eastAsia="Times New Roman" w:cstheme="minorHAnsi"/>
                <w:sz w:val="16"/>
                <w:szCs w:val="16"/>
              </w:rPr>
              <w:t>In a statement by the Federal Office of Public Health, non</w:t>
            </w:r>
            <w:r w:rsidRPr="00A743C9">
              <w:rPr>
                <w:rFonts w:eastAsia="Times New Roman" w:cstheme="minorHAnsi"/>
                <w:sz w:val="16"/>
                <w:szCs w:val="16"/>
              </w:rPr>
              <w:noBreakHyphen/>
              <w:t>nicotine e</w:t>
            </w:r>
            <w:r w:rsidRPr="00A743C9">
              <w:rPr>
                <w:rFonts w:eastAsia="Times New Roman" w:cstheme="minorHAnsi"/>
                <w:sz w:val="16"/>
                <w:szCs w:val="16"/>
              </w:rPr>
              <w:noBreakHyphen/>
              <w:t>cigarettes are regulated within the scope of the food act as commodities. However, the sale of nicotine</w:t>
            </w:r>
            <w:r w:rsidRPr="00A743C9">
              <w:rPr>
                <w:rFonts w:eastAsia="Times New Roman" w:cstheme="minorHAnsi"/>
                <w:sz w:val="16"/>
                <w:szCs w:val="16"/>
              </w:rPr>
              <w:noBreakHyphen/>
              <w:t>containing e</w:t>
            </w:r>
            <w:r w:rsidRPr="00A743C9">
              <w:rPr>
                <w:rFonts w:eastAsia="Times New Roman" w:cstheme="minorHAnsi"/>
                <w:sz w:val="16"/>
                <w:szCs w:val="16"/>
              </w:rPr>
              <w:noBreakHyphen/>
              <w:t>cigarettes is prohibited.</w:t>
            </w:r>
          </w:p>
        </w:tc>
      </w:tr>
      <w:tr w:rsidR="00B86BF1" w:rsidRPr="00A743C9" w14:paraId="098497CE" w14:textId="77777777" w:rsidTr="000376C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04" w:type="dxa"/>
            <w:hideMark/>
          </w:tcPr>
          <w:p w14:paraId="34D94D0F" w14:textId="77777777" w:rsidR="00B86BF1" w:rsidRPr="00A743C9" w:rsidRDefault="00B86BF1" w:rsidP="000376C7">
            <w:pPr>
              <w:rPr>
                <w:rFonts w:eastAsia="Times New Roman" w:cstheme="minorHAnsi"/>
                <w:sz w:val="16"/>
                <w:szCs w:val="16"/>
              </w:rPr>
            </w:pPr>
            <w:r w:rsidRPr="00A743C9">
              <w:rPr>
                <w:rFonts w:eastAsia="Times New Roman" w:cstheme="minorHAnsi"/>
                <w:sz w:val="16"/>
                <w:szCs w:val="16"/>
              </w:rPr>
              <w:t>Thailand</w:t>
            </w:r>
          </w:p>
        </w:tc>
        <w:tc>
          <w:tcPr>
            <w:tcW w:w="11916" w:type="dxa"/>
            <w:hideMark/>
          </w:tcPr>
          <w:p w14:paraId="0F6DFCB6" w14:textId="77777777" w:rsidR="00B86BF1" w:rsidRPr="00A743C9" w:rsidRDefault="00B86BF1" w:rsidP="000376C7">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A743C9">
              <w:rPr>
                <w:rFonts w:eastAsia="Times New Roman" w:cstheme="minorHAnsi"/>
                <w:sz w:val="16"/>
                <w:szCs w:val="16"/>
              </w:rPr>
              <w:t>E</w:t>
            </w:r>
            <w:r w:rsidRPr="00A743C9">
              <w:rPr>
                <w:rFonts w:eastAsia="Times New Roman" w:cstheme="minorHAnsi"/>
                <w:sz w:val="16"/>
                <w:szCs w:val="16"/>
              </w:rPr>
              <w:noBreakHyphen/>
              <w:t>cigarettes are prohibited under several regulatory mechanisms. The Medicine Act prohibits manufacturing, sale and importation of modern medicinal products.</w:t>
            </w:r>
          </w:p>
        </w:tc>
      </w:tr>
      <w:tr w:rsidR="00B86BF1" w:rsidRPr="00A743C9" w14:paraId="6BDAB8D7" w14:textId="77777777" w:rsidTr="000376C7">
        <w:trPr>
          <w:trHeight w:val="283"/>
        </w:trPr>
        <w:tc>
          <w:tcPr>
            <w:cnfStyle w:val="001000000000" w:firstRow="0" w:lastRow="0" w:firstColumn="1" w:lastColumn="0" w:oddVBand="0" w:evenVBand="0" w:oddHBand="0" w:evenHBand="0" w:firstRowFirstColumn="0" w:firstRowLastColumn="0" w:lastRowFirstColumn="0" w:lastRowLastColumn="0"/>
            <w:tcW w:w="1404" w:type="dxa"/>
            <w:hideMark/>
          </w:tcPr>
          <w:p w14:paraId="3EC06A77" w14:textId="77777777" w:rsidR="00B86BF1" w:rsidRPr="00A743C9" w:rsidRDefault="00B86BF1" w:rsidP="000376C7">
            <w:pPr>
              <w:rPr>
                <w:rFonts w:eastAsia="Times New Roman" w:cstheme="minorHAnsi"/>
                <w:sz w:val="16"/>
                <w:szCs w:val="16"/>
              </w:rPr>
            </w:pPr>
            <w:r w:rsidRPr="00A743C9">
              <w:rPr>
                <w:rFonts w:eastAsia="Times New Roman" w:cstheme="minorHAnsi"/>
                <w:sz w:val="16"/>
                <w:szCs w:val="16"/>
              </w:rPr>
              <w:t>Togo</w:t>
            </w:r>
          </w:p>
        </w:tc>
        <w:tc>
          <w:tcPr>
            <w:tcW w:w="11916" w:type="dxa"/>
            <w:hideMark/>
          </w:tcPr>
          <w:p w14:paraId="76C12CA5" w14:textId="77777777" w:rsidR="00B86BF1" w:rsidRPr="00A743C9" w:rsidRDefault="00B86BF1" w:rsidP="000376C7">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A743C9">
              <w:rPr>
                <w:rFonts w:eastAsia="Times New Roman" w:cstheme="minorHAnsi"/>
                <w:sz w:val="16"/>
                <w:szCs w:val="16"/>
              </w:rPr>
              <w:t>The tobacco control law classifies nicotine</w:t>
            </w:r>
            <w:r w:rsidRPr="00A743C9">
              <w:rPr>
                <w:rFonts w:eastAsia="Times New Roman" w:cstheme="minorHAnsi"/>
                <w:sz w:val="16"/>
                <w:szCs w:val="16"/>
              </w:rPr>
              <w:noBreakHyphen/>
              <w:t>containing e</w:t>
            </w:r>
            <w:r w:rsidRPr="00A743C9">
              <w:rPr>
                <w:rFonts w:eastAsia="Times New Roman" w:cstheme="minorHAnsi"/>
                <w:sz w:val="16"/>
                <w:szCs w:val="16"/>
              </w:rPr>
              <w:noBreakHyphen/>
              <w:t>cigarettes as derivative products.</w:t>
            </w:r>
          </w:p>
        </w:tc>
      </w:tr>
      <w:tr w:rsidR="00B86BF1" w:rsidRPr="00A743C9" w14:paraId="11434363" w14:textId="77777777" w:rsidTr="000376C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04" w:type="dxa"/>
            <w:hideMark/>
          </w:tcPr>
          <w:p w14:paraId="40F1F688" w14:textId="77777777" w:rsidR="00B86BF1" w:rsidRPr="00A743C9" w:rsidRDefault="00B86BF1" w:rsidP="000376C7">
            <w:pPr>
              <w:rPr>
                <w:rFonts w:eastAsia="Times New Roman" w:cstheme="minorHAnsi"/>
                <w:sz w:val="16"/>
                <w:szCs w:val="16"/>
              </w:rPr>
            </w:pPr>
            <w:r w:rsidRPr="00A743C9">
              <w:rPr>
                <w:rFonts w:eastAsia="Times New Roman" w:cstheme="minorHAnsi"/>
                <w:sz w:val="16"/>
                <w:szCs w:val="16"/>
              </w:rPr>
              <w:t>Turkey</w:t>
            </w:r>
          </w:p>
        </w:tc>
        <w:tc>
          <w:tcPr>
            <w:tcW w:w="11916" w:type="dxa"/>
            <w:hideMark/>
          </w:tcPr>
          <w:p w14:paraId="1D8BA4F0" w14:textId="1CFCAAF1" w:rsidR="00B86BF1" w:rsidRPr="00A743C9" w:rsidRDefault="00B86BF1" w:rsidP="000376C7">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A743C9">
              <w:rPr>
                <w:rFonts w:eastAsia="Times New Roman" w:cstheme="minorHAnsi"/>
                <w:sz w:val="16"/>
                <w:szCs w:val="16"/>
              </w:rPr>
              <w:t>Ministry of Health issued a circular (not available online) indicating that the sale and importation of e</w:t>
            </w:r>
            <w:r w:rsidRPr="00A743C9">
              <w:rPr>
                <w:rFonts w:eastAsia="Times New Roman" w:cstheme="minorHAnsi"/>
                <w:sz w:val="16"/>
                <w:szCs w:val="16"/>
              </w:rPr>
              <w:noBreakHyphen/>
              <w:t>cigarettes and related devices are banned. However, other legislation seem inconsistent with this statement.</w:t>
            </w:r>
          </w:p>
        </w:tc>
      </w:tr>
      <w:tr w:rsidR="00B86BF1" w:rsidRPr="00A743C9" w14:paraId="235801B2" w14:textId="77777777" w:rsidTr="000376C7">
        <w:trPr>
          <w:trHeight w:val="283"/>
        </w:trPr>
        <w:tc>
          <w:tcPr>
            <w:cnfStyle w:val="001000000000" w:firstRow="0" w:lastRow="0" w:firstColumn="1" w:lastColumn="0" w:oddVBand="0" w:evenVBand="0" w:oddHBand="0" w:evenHBand="0" w:firstRowFirstColumn="0" w:firstRowLastColumn="0" w:lastRowFirstColumn="0" w:lastRowLastColumn="0"/>
            <w:tcW w:w="1404" w:type="dxa"/>
            <w:hideMark/>
          </w:tcPr>
          <w:p w14:paraId="5C7CE948" w14:textId="77777777" w:rsidR="00B86BF1" w:rsidRPr="00A743C9" w:rsidRDefault="00B86BF1" w:rsidP="000376C7">
            <w:pPr>
              <w:rPr>
                <w:rFonts w:eastAsia="Times New Roman" w:cstheme="minorHAnsi"/>
                <w:sz w:val="16"/>
                <w:szCs w:val="16"/>
              </w:rPr>
            </w:pPr>
            <w:r w:rsidRPr="00A743C9">
              <w:rPr>
                <w:rFonts w:eastAsia="Times New Roman" w:cstheme="minorHAnsi"/>
                <w:sz w:val="16"/>
                <w:szCs w:val="16"/>
              </w:rPr>
              <w:t>Turkmenistan</w:t>
            </w:r>
          </w:p>
        </w:tc>
        <w:tc>
          <w:tcPr>
            <w:tcW w:w="11916" w:type="dxa"/>
            <w:hideMark/>
          </w:tcPr>
          <w:p w14:paraId="3F0E5176" w14:textId="77777777" w:rsidR="00B86BF1" w:rsidRPr="00A743C9" w:rsidRDefault="00B86BF1" w:rsidP="000376C7">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A743C9">
              <w:rPr>
                <w:rFonts w:eastAsia="Times New Roman" w:cstheme="minorHAnsi"/>
                <w:sz w:val="16"/>
                <w:szCs w:val="16"/>
              </w:rPr>
              <w:t>E</w:t>
            </w:r>
            <w:r w:rsidRPr="00A743C9">
              <w:rPr>
                <w:rFonts w:eastAsia="Times New Roman" w:cstheme="minorHAnsi"/>
                <w:sz w:val="16"/>
                <w:szCs w:val="16"/>
              </w:rPr>
              <w:noBreakHyphen/>
              <w:t>cigarettes are classified as tobacco products.</w:t>
            </w:r>
          </w:p>
        </w:tc>
      </w:tr>
      <w:tr w:rsidR="00B86BF1" w:rsidRPr="00A743C9" w14:paraId="4EBB9094" w14:textId="77777777" w:rsidTr="000376C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04" w:type="dxa"/>
            <w:hideMark/>
          </w:tcPr>
          <w:p w14:paraId="0245DDBD" w14:textId="77777777" w:rsidR="00B86BF1" w:rsidRPr="00A743C9" w:rsidRDefault="00B86BF1" w:rsidP="000376C7">
            <w:pPr>
              <w:rPr>
                <w:rFonts w:eastAsia="Times New Roman" w:cstheme="minorHAnsi"/>
                <w:sz w:val="16"/>
                <w:szCs w:val="16"/>
              </w:rPr>
            </w:pPr>
            <w:r w:rsidRPr="00A743C9">
              <w:rPr>
                <w:rFonts w:eastAsia="Times New Roman" w:cstheme="minorHAnsi"/>
                <w:sz w:val="16"/>
                <w:szCs w:val="16"/>
              </w:rPr>
              <w:t>Uganda</w:t>
            </w:r>
          </w:p>
        </w:tc>
        <w:tc>
          <w:tcPr>
            <w:tcW w:w="11916" w:type="dxa"/>
            <w:hideMark/>
          </w:tcPr>
          <w:p w14:paraId="4D58477E" w14:textId="77777777" w:rsidR="00B86BF1" w:rsidRPr="00A743C9" w:rsidRDefault="00B86BF1" w:rsidP="000376C7">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A743C9">
              <w:rPr>
                <w:rFonts w:eastAsia="Times New Roman" w:cstheme="minorHAnsi"/>
                <w:sz w:val="16"/>
                <w:szCs w:val="16"/>
              </w:rPr>
              <w:t>Classified as electronic nicotine delivery systems. The sale, offer for sale, distribution, importation, manufacture, or processing of nicotine</w:t>
            </w:r>
            <w:r w:rsidRPr="00A743C9">
              <w:rPr>
                <w:rFonts w:eastAsia="Times New Roman" w:cstheme="minorHAnsi"/>
                <w:sz w:val="16"/>
                <w:szCs w:val="16"/>
              </w:rPr>
              <w:noBreakHyphen/>
              <w:t>containing and non</w:t>
            </w:r>
            <w:r w:rsidRPr="00A743C9">
              <w:rPr>
                <w:rFonts w:eastAsia="Times New Roman" w:cstheme="minorHAnsi"/>
                <w:sz w:val="16"/>
                <w:szCs w:val="16"/>
              </w:rPr>
              <w:noBreakHyphen/>
              <w:t>nicotine e</w:t>
            </w:r>
            <w:r w:rsidRPr="00A743C9">
              <w:rPr>
                <w:rFonts w:eastAsia="Times New Roman" w:cstheme="minorHAnsi"/>
                <w:sz w:val="16"/>
                <w:szCs w:val="16"/>
              </w:rPr>
              <w:noBreakHyphen/>
              <w:t>cigarettes are prohibited.</w:t>
            </w:r>
          </w:p>
        </w:tc>
      </w:tr>
      <w:tr w:rsidR="00B86BF1" w:rsidRPr="00A743C9" w14:paraId="257F2C12" w14:textId="77777777" w:rsidTr="000376C7">
        <w:trPr>
          <w:trHeight w:val="283"/>
        </w:trPr>
        <w:tc>
          <w:tcPr>
            <w:cnfStyle w:val="001000000000" w:firstRow="0" w:lastRow="0" w:firstColumn="1" w:lastColumn="0" w:oddVBand="0" w:evenVBand="0" w:oddHBand="0" w:evenHBand="0" w:firstRowFirstColumn="0" w:firstRowLastColumn="0" w:lastRowFirstColumn="0" w:lastRowLastColumn="0"/>
            <w:tcW w:w="1404" w:type="dxa"/>
            <w:hideMark/>
          </w:tcPr>
          <w:p w14:paraId="0CA66C83" w14:textId="77777777" w:rsidR="00B86BF1" w:rsidRPr="00A743C9" w:rsidRDefault="00B86BF1" w:rsidP="000376C7">
            <w:pPr>
              <w:rPr>
                <w:rFonts w:eastAsia="Times New Roman" w:cstheme="minorHAnsi"/>
                <w:sz w:val="16"/>
                <w:szCs w:val="16"/>
              </w:rPr>
            </w:pPr>
            <w:r w:rsidRPr="00A743C9">
              <w:rPr>
                <w:rFonts w:eastAsia="Times New Roman" w:cstheme="minorHAnsi"/>
                <w:sz w:val="16"/>
                <w:szCs w:val="16"/>
              </w:rPr>
              <w:t>Ukraine</w:t>
            </w:r>
          </w:p>
        </w:tc>
        <w:tc>
          <w:tcPr>
            <w:tcW w:w="11916" w:type="dxa"/>
            <w:hideMark/>
          </w:tcPr>
          <w:p w14:paraId="679DA2E5" w14:textId="77777777" w:rsidR="00B86BF1" w:rsidRPr="00A743C9" w:rsidRDefault="00B86BF1" w:rsidP="000376C7">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A743C9">
              <w:rPr>
                <w:rFonts w:eastAsia="Times New Roman" w:cstheme="minorHAnsi"/>
                <w:sz w:val="16"/>
                <w:szCs w:val="16"/>
              </w:rPr>
              <w:t>A law classifies these products as e</w:t>
            </w:r>
            <w:r w:rsidRPr="00A743C9">
              <w:rPr>
                <w:rFonts w:eastAsia="Times New Roman" w:cstheme="minorHAnsi"/>
                <w:sz w:val="16"/>
                <w:szCs w:val="16"/>
              </w:rPr>
              <w:noBreakHyphen/>
              <w:t>cigarettes and prohibits their use in public spaces/transport, with the exception of designated areas. The prohibition on sale and use of tobacco by minors under 18 years is extended to e</w:t>
            </w:r>
            <w:r w:rsidRPr="00A743C9">
              <w:rPr>
                <w:rFonts w:eastAsia="Times New Roman" w:cstheme="minorHAnsi"/>
                <w:sz w:val="16"/>
                <w:szCs w:val="16"/>
              </w:rPr>
              <w:noBreakHyphen/>
              <w:t>cigarettes.</w:t>
            </w:r>
          </w:p>
        </w:tc>
      </w:tr>
      <w:tr w:rsidR="00B86BF1" w:rsidRPr="00A743C9" w14:paraId="097DCE67" w14:textId="77777777" w:rsidTr="000376C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04" w:type="dxa"/>
            <w:hideMark/>
          </w:tcPr>
          <w:p w14:paraId="1ACA7234" w14:textId="77777777" w:rsidR="00B86BF1" w:rsidRPr="00A743C9" w:rsidRDefault="00B86BF1" w:rsidP="000376C7">
            <w:pPr>
              <w:rPr>
                <w:rFonts w:eastAsia="Times New Roman" w:cstheme="minorHAnsi"/>
                <w:sz w:val="16"/>
                <w:szCs w:val="16"/>
              </w:rPr>
            </w:pPr>
            <w:r w:rsidRPr="00A743C9">
              <w:rPr>
                <w:rFonts w:eastAsia="Times New Roman" w:cstheme="minorHAnsi"/>
                <w:sz w:val="16"/>
                <w:szCs w:val="16"/>
              </w:rPr>
              <w:t>United Arab Emirates</w:t>
            </w:r>
          </w:p>
        </w:tc>
        <w:tc>
          <w:tcPr>
            <w:tcW w:w="11916" w:type="dxa"/>
            <w:hideMark/>
          </w:tcPr>
          <w:p w14:paraId="638BE930" w14:textId="77777777" w:rsidR="00B86BF1" w:rsidRPr="00A743C9" w:rsidRDefault="00B86BF1" w:rsidP="000376C7">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A743C9">
              <w:rPr>
                <w:rFonts w:eastAsia="Times New Roman" w:cstheme="minorHAnsi"/>
                <w:sz w:val="16"/>
                <w:szCs w:val="16"/>
              </w:rPr>
              <w:t>The sale and marketing of e</w:t>
            </w:r>
            <w:r w:rsidRPr="00A743C9">
              <w:rPr>
                <w:rFonts w:eastAsia="Times New Roman" w:cstheme="minorHAnsi"/>
                <w:sz w:val="16"/>
                <w:szCs w:val="16"/>
              </w:rPr>
              <w:noBreakHyphen/>
              <w:t>cigarettes is banned in accordance with a decision of health ministers of gulf countries. The Ministry of Health has also banned their use.</w:t>
            </w:r>
          </w:p>
        </w:tc>
      </w:tr>
      <w:tr w:rsidR="00B86BF1" w:rsidRPr="00A743C9" w14:paraId="03B41681" w14:textId="77777777" w:rsidTr="000376C7">
        <w:trPr>
          <w:trHeight w:val="283"/>
        </w:trPr>
        <w:tc>
          <w:tcPr>
            <w:cnfStyle w:val="001000000000" w:firstRow="0" w:lastRow="0" w:firstColumn="1" w:lastColumn="0" w:oddVBand="0" w:evenVBand="0" w:oddHBand="0" w:evenHBand="0" w:firstRowFirstColumn="0" w:firstRowLastColumn="0" w:lastRowFirstColumn="0" w:lastRowLastColumn="0"/>
            <w:tcW w:w="1404" w:type="dxa"/>
            <w:hideMark/>
          </w:tcPr>
          <w:p w14:paraId="3A63F17A" w14:textId="77777777" w:rsidR="00B86BF1" w:rsidRPr="00A743C9" w:rsidRDefault="00B86BF1" w:rsidP="000376C7">
            <w:pPr>
              <w:rPr>
                <w:rFonts w:eastAsia="Times New Roman" w:cstheme="minorHAnsi"/>
                <w:sz w:val="16"/>
                <w:szCs w:val="16"/>
              </w:rPr>
            </w:pPr>
            <w:r w:rsidRPr="00A743C9">
              <w:rPr>
                <w:rFonts w:eastAsia="Times New Roman" w:cstheme="minorHAnsi"/>
                <w:sz w:val="16"/>
                <w:szCs w:val="16"/>
              </w:rPr>
              <w:lastRenderedPageBreak/>
              <w:t>United States</w:t>
            </w:r>
          </w:p>
        </w:tc>
        <w:tc>
          <w:tcPr>
            <w:tcW w:w="11916" w:type="dxa"/>
            <w:hideMark/>
          </w:tcPr>
          <w:p w14:paraId="2733A7AB" w14:textId="77777777" w:rsidR="00B86BF1" w:rsidRPr="00A743C9" w:rsidRDefault="00B86BF1" w:rsidP="000376C7">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A743C9">
              <w:rPr>
                <w:rFonts w:eastAsia="Times New Roman" w:cstheme="minorHAnsi"/>
                <w:sz w:val="16"/>
                <w:szCs w:val="16"/>
              </w:rPr>
              <w:t>The US Food and Drug Administration (FDA) classifies e</w:t>
            </w:r>
            <w:r w:rsidRPr="00A743C9">
              <w:rPr>
                <w:rFonts w:eastAsia="Times New Roman" w:cstheme="minorHAnsi"/>
                <w:sz w:val="16"/>
                <w:szCs w:val="16"/>
              </w:rPr>
              <w:noBreakHyphen/>
              <w:t>cigarettes and other electronic nicotine delivery systems (ENDS) as tobacco products, except in cases when they are marketed as drugs, devices or combination products (e.g., as a therapeutic product to help people quit smoking). The US FDA regulates the sale, advertising, promotion, distribution, manufacture, import, packaging and labeling of e</w:t>
            </w:r>
            <w:r w:rsidRPr="00A743C9">
              <w:rPr>
                <w:rFonts w:eastAsia="Times New Roman" w:cstheme="minorHAnsi"/>
                <w:sz w:val="16"/>
                <w:szCs w:val="16"/>
              </w:rPr>
              <w:noBreakHyphen/>
              <w:t>cigarettes classified as tobacco products based on the laws set forth in the Tobacco Control Act and the Food, Drug, and Cosmetic Act (FD&amp;C Act).</w:t>
            </w:r>
          </w:p>
        </w:tc>
      </w:tr>
      <w:tr w:rsidR="00B86BF1" w:rsidRPr="00A743C9" w14:paraId="27CBAD46" w14:textId="77777777" w:rsidTr="000376C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04" w:type="dxa"/>
            <w:hideMark/>
          </w:tcPr>
          <w:p w14:paraId="2ECFFC00" w14:textId="77777777" w:rsidR="00B86BF1" w:rsidRPr="00A743C9" w:rsidRDefault="00B86BF1" w:rsidP="000376C7">
            <w:pPr>
              <w:rPr>
                <w:rFonts w:eastAsia="Times New Roman" w:cstheme="minorHAnsi"/>
                <w:sz w:val="16"/>
                <w:szCs w:val="16"/>
              </w:rPr>
            </w:pPr>
            <w:r w:rsidRPr="00A743C9">
              <w:rPr>
                <w:rFonts w:eastAsia="Times New Roman" w:cstheme="minorHAnsi"/>
                <w:sz w:val="16"/>
                <w:szCs w:val="16"/>
              </w:rPr>
              <w:t>Uruguay</w:t>
            </w:r>
          </w:p>
        </w:tc>
        <w:tc>
          <w:tcPr>
            <w:tcW w:w="11916" w:type="dxa"/>
            <w:hideMark/>
          </w:tcPr>
          <w:p w14:paraId="7C035B1F" w14:textId="77777777" w:rsidR="00B86BF1" w:rsidRPr="00A743C9" w:rsidRDefault="00B86BF1" w:rsidP="000376C7">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A743C9">
              <w:rPr>
                <w:rFonts w:eastAsia="Times New Roman" w:cstheme="minorHAnsi"/>
                <w:sz w:val="16"/>
                <w:szCs w:val="16"/>
              </w:rPr>
              <w:t>Nicotine and non</w:t>
            </w:r>
            <w:r w:rsidRPr="00A743C9">
              <w:rPr>
                <w:rFonts w:eastAsia="Times New Roman" w:cstheme="minorHAnsi"/>
                <w:sz w:val="16"/>
                <w:szCs w:val="16"/>
              </w:rPr>
              <w:noBreakHyphen/>
              <w:t>nicotine e</w:t>
            </w:r>
            <w:r w:rsidRPr="00A743C9">
              <w:rPr>
                <w:rFonts w:eastAsia="Times New Roman" w:cstheme="minorHAnsi"/>
                <w:sz w:val="16"/>
                <w:szCs w:val="16"/>
              </w:rPr>
              <w:noBreakHyphen/>
              <w:t>cigarette sale, importation, registration as a brand/patent and promotion is explicitly banned by an amendment/ decree.</w:t>
            </w:r>
          </w:p>
        </w:tc>
      </w:tr>
      <w:tr w:rsidR="00B86BF1" w:rsidRPr="00A743C9" w14:paraId="45E21059" w14:textId="77777777" w:rsidTr="000376C7">
        <w:trPr>
          <w:trHeight w:val="283"/>
        </w:trPr>
        <w:tc>
          <w:tcPr>
            <w:cnfStyle w:val="001000000000" w:firstRow="0" w:lastRow="0" w:firstColumn="1" w:lastColumn="0" w:oddVBand="0" w:evenVBand="0" w:oddHBand="0" w:evenHBand="0" w:firstRowFirstColumn="0" w:firstRowLastColumn="0" w:lastRowFirstColumn="0" w:lastRowLastColumn="0"/>
            <w:tcW w:w="1404" w:type="dxa"/>
            <w:hideMark/>
          </w:tcPr>
          <w:p w14:paraId="4BC31764" w14:textId="77777777" w:rsidR="00B86BF1" w:rsidRPr="00A743C9" w:rsidRDefault="00B86BF1" w:rsidP="000376C7">
            <w:pPr>
              <w:rPr>
                <w:rFonts w:eastAsia="Times New Roman" w:cstheme="minorHAnsi"/>
                <w:sz w:val="16"/>
                <w:szCs w:val="16"/>
              </w:rPr>
            </w:pPr>
            <w:r w:rsidRPr="00A743C9">
              <w:rPr>
                <w:rFonts w:eastAsia="Times New Roman" w:cstheme="minorHAnsi"/>
                <w:sz w:val="16"/>
                <w:szCs w:val="16"/>
              </w:rPr>
              <w:t>Venezuela (Bolivarian Republic of Venezuela)</w:t>
            </w:r>
          </w:p>
        </w:tc>
        <w:tc>
          <w:tcPr>
            <w:tcW w:w="11916" w:type="dxa"/>
            <w:hideMark/>
          </w:tcPr>
          <w:p w14:paraId="166543AD" w14:textId="77777777" w:rsidR="00B86BF1" w:rsidRPr="00A743C9" w:rsidRDefault="00B86BF1" w:rsidP="000376C7">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A743C9">
              <w:rPr>
                <w:rFonts w:eastAsia="Times New Roman" w:cstheme="minorHAnsi"/>
                <w:sz w:val="16"/>
                <w:szCs w:val="16"/>
              </w:rPr>
              <w:t>Companies wishing to import e</w:t>
            </w:r>
            <w:r w:rsidRPr="00A743C9">
              <w:rPr>
                <w:rFonts w:eastAsia="Times New Roman" w:cstheme="minorHAnsi"/>
                <w:sz w:val="16"/>
                <w:szCs w:val="16"/>
              </w:rPr>
              <w:noBreakHyphen/>
              <w:t>cigarettes must indicate whether the product should be classified as a medicinal, consumer good or tobacco derivative. If regulated as a tobacco</w:t>
            </w:r>
            <w:r w:rsidRPr="00A743C9">
              <w:rPr>
                <w:rFonts w:eastAsia="Times New Roman" w:cstheme="minorHAnsi"/>
                <w:sz w:val="16"/>
                <w:szCs w:val="16"/>
              </w:rPr>
              <w:noBreakHyphen/>
              <w:t xml:space="preserve"> derivative, e</w:t>
            </w:r>
            <w:r w:rsidRPr="00A743C9">
              <w:rPr>
                <w:rFonts w:eastAsia="Times New Roman" w:cstheme="minorHAnsi"/>
                <w:sz w:val="16"/>
                <w:szCs w:val="16"/>
              </w:rPr>
              <w:noBreakHyphen/>
              <w:t>cigarettes cannot be sold to minors, advertised/promoted or used in enclosed public spaces or transport, as dictated by the tobacco control law. If indicated as medicinal or consumer products, they must be subject to extensive clinical trials like other nicotine replacement therapies before being sold, promoted, distributed or used.</w:t>
            </w:r>
          </w:p>
        </w:tc>
      </w:tr>
      <w:tr w:rsidR="00B86BF1" w:rsidRPr="00A743C9" w14:paraId="47C98BF2" w14:textId="77777777" w:rsidTr="000376C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04" w:type="dxa"/>
            <w:hideMark/>
          </w:tcPr>
          <w:p w14:paraId="0C9A11A2" w14:textId="77777777" w:rsidR="00B86BF1" w:rsidRPr="00A743C9" w:rsidRDefault="00B86BF1" w:rsidP="000376C7">
            <w:pPr>
              <w:rPr>
                <w:rFonts w:eastAsia="Times New Roman" w:cstheme="minorHAnsi"/>
                <w:sz w:val="16"/>
                <w:szCs w:val="16"/>
              </w:rPr>
            </w:pPr>
            <w:r w:rsidRPr="00A743C9">
              <w:rPr>
                <w:rFonts w:eastAsia="Times New Roman" w:cstheme="minorHAnsi"/>
                <w:sz w:val="16"/>
                <w:szCs w:val="16"/>
              </w:rPr>
              <w:t>Viet Nam</w:t>
            </w:r>
          </w:p>
        </w:tc>
        <w:tc>
          <w:tcPr>
            <w:tcW w:w="11916" w:type="dxa"/>
            <w:hideMark/>
          </w:tcPr>
          <w:p w14:paraId="0DA32B87" w14:textId="77777777" w:rsidR="00B86BF1" w:rsidRPr="00A743C9" w:rsidRDefault="00B86BF1" w:rsidP="000376C7">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rPr>
            </w:pPr>
            <w:r w:rsidRPr="00A743C9">
              <w:rPr>
                <w:rFonts w:eastAsia="Times New Roman" w:cstheme="minorHAnsi"/>
                <w:sz w:val="16"/>
                <w:szCs w:val="16"/>
              </w:rPr>
              <w:t>E</w:t>
            </w:r>
            <w:r w:rsidRPr="00A743C9">
              <w:rPr>
                <w:rFonts w:eastAsia="Times New Roman" w:cstheme="minorHAnsi"/>
                <w:sz w:val="16"/>
                <w:szCs w:val="16"/>
              </w:rPr>
              <w:noBreakHyphen/>
              <w:t>cigarettes are classified as tobacco products. The national tobacco control law bans sale to minors and marketing/advertising.</w:t>
            </w:r>
          </w:p>
        </w:tc>
      </w:tr>
      <w:tr w:rsidR="00B86BF1" w:rsidRPr="00A743C9" w14:paraId="4F0952F0" w14:textId="77777777" w:rsidTr="000376C7">
        <w:trPr>
          <w:trHeight w:val="283"/>
        </w:trPr>
        <w:tc>
          <w:tcPr>
            <w:cnfStyle w:val="001000000000" w:firstRow="0" w:lastRow="0" w:firstColumn="1" w:lastColumn="0" w:oddVBand="0" w:evenVBand="0" w:oddHBand="0" w:evenHBand="0" w:firstRowFirstColumn="0" w:firstRowLastColumn="0" w:lastRowFirstColumn="0" w:lastRowLastColumn="0"/>
            <w:tcW w:w="1404" w:type="dxa"/>
            <w:hideMark/>
          </w:tcPr>
          <w:p w14:paraId="1A0A9BB5" w14:textId="77777777" w:rsidR="00B86BF1" w:rsidRPr="00A743C9" w:rsidRDefault="00B86BF1" w:rsidP="000376C7">
            <w:pPr>
              <w:rPr>
                <w:rFonts w:eastAsia="Times New Roman" w:cstheme="minorHAnsi"/>
                <w:sz w:val="16"/>
                <w:szCs w:val="16"/>
              </w:rPr>
            </w:pPr>
            <w:r w:rsidRPr="00A743C9">
              <w:rPr>
                <w:rFonts w:eastAsia="Times New Roman" w:cstheme="minorHAnsi"/>
                <w:sz w:val="16"/>
                <w:szCs w:val="16"/>
              </w:rPr>
              <w:t>Wales</w:t>
            </w:r>
          </w:p>
        </w:tc>
        <w:tc>
          <w:tcPr>
            <w:tcW w:w="11916" w:type="dxa"/>
            <w:hideMark/>
          </w:tcPr>
          <w:p w14:paraId="24042B99" w14:textId="77777777" w:rsidR="00B86BF1" w:rsidRPr="00A743C9" w:rsidRDefault="00B86BF1" w:rsidP="000376C7">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rPr>
            </w:pPr>
            <w:r w:rsidRPr="00A743C9">
              <w:rPr>
                <w:rFonts w:eastAsia="Times New Roman" w:cstheme="minorHAnsi"/>
                <w:sz w:val="16"/>
                <w:szCs w:val="16"/>
              </w:rPr>
              <w:t>E</w:t>
            </w:r>
            <w:r w:rsidRPr="00A743C9">
              <w:rPr>
                <w:rFonts w:eastAsia="Times New Roman" w:cstheme="minorHAnsi"/>
                <w:sz w:val="16"/>
                <w:szCs w:val="16"/>
              </w:rPr>
              <w:noBreakHyphen/>
              <w:t>cigarettes may be brought to market either as medicines or as consumer products. Those seeking medicines approval undergo the standard licensing process.</w:t>
            </w:r>
          </w:p>
        </w:tc>
      </w:tr>
    </w:tbl>
    <w:p w14:paraId="33BFB088" w14:textId="77777777" w:rsidR="00B86BF1" w:rsidRPr="00F45231" w:rsidRDefault="00B86BF1" w:rsidP="00B86BF1">
      <w:pPr>
        <w:pStyle w:val="FigureTableSource"/>
      </w:pPr>
      <w:r w:rsidRPr="00F45231">
        <w:t xml:space="preserve">Table from </w:t>
      </w:r>
      <w:r w:rsidRPr="00C87857">
        <w:rPr>
          <w:i/>
        </w:rPr>
        <w:t>Country Comparison Database</w:t>
      </w:r>
      <w:r w:rsidRPr="00F45231">
        <w:rPr>
          <w:i/>
        </w:rPr>
        <w:t xml:space="preserve">, </w:t>
      </w:r>
      <w:r w:rsidRPr="00C87857">
        <w:fldChar w:fldCharType="begin"/>
      </w:r>
      <w:r>
        <w:instrText xml:space="preserve"> ADDIN EN.CITE &lt;EndNote&gt;&lt;Cite&gt;&lt;Author&gt;Global Tobacco Control.&lt;/Author&gt;&lt;Year&gt;nd.&lt;/Year&gt;&lt;RecNum&gt;10835&lt;/RecNum&gt;&lt;DisplayText&gt;(Global Tobacco Control. nd.)&lt;/DisplayText&gt;&lt;record&gt;&lt;rec-number&gt;10835&lt;/rec-number&gt;&lt;foreign-keys&gt;&lt;key app="EN" db-id="9z05dz0praadfuee0zoxzedk9zfe5fxx50z5" timestamp="1528780248"&gt;10835&lt;/key&gt;&lt;/foreign-keys&gt;&lt;ref-type name="Web Page"&gt;12&lt;/ref-type&gt;&lt;contributors&gt;&lt;authors&gt;&lt;author&gt;Global Tobacco Control.,&lt;/author&gt;&lt;/authors&gt;&lt;/contributors&gt;&lt;titles&gt;&lt;title&gt;Country Comparison Database&lt;/title&gt;&lt;/titles&gt;&lt;number&gt;12.06.2018&lt;/number&gt;&lt;dates&gt;&lt;year&gt;nd.&lt;/year&gt;&lt;/dates&gt;&lt;publisher&gt;Institute for Global Tobacco Control.,&lt;/publisher&gt;&lt;urls&gt;&lt;related-urls&gt;&lt;url&gt;www.globaltobaccocontrol.org/e-cigarette/country-comparison-database&lt;/url&gt;&lt;/related-urls&gt;&lt;/urls&gt;&lt;custom2&gt;12.06.2018&lt;/custom2&gt;&lt;/record&gt;&lt;/Cite&gt;&lt;/EndNote&gt;</w:instrText>
      </w:r>
      <w:r w:rsidRPr="00C87857">
        <w:fldChar w:fldCharType="separate"/>
      </w:r>
      <w:r w:rsidRPr="00C87857">
        <w:rPr>
          <w:noProof/>
        </w:rPr>
        <w:t>(Global Tobacco Control. nd.)</w:t>
      </w:r>
      <w:r w:rsidRPr="00C87857">
        <w:fldChar w:fldCharType="end"/>
      </w:r>
    </w:p>
    <w:p w14:paraId="5BE42819" w14:textId="77777777" w:rsidR="00B86BF1" w:rsidRDefault="00B86BF1" w:rsidP="00B86BF1">
      <w:pPr>
        <w:spacing w:after="0"/>
        <w:rPr>
          <w:sz w:val="24"/>
        </w:rPr>
      </w:pPr>
      <w:r>
        <w:br w:type="page"/>
      </w:r>
    </w:p>
    <w:p w14:paraId="5AE326FD" w14:textId="77777777" w:rsidR="00B86BF1" w:rsidRDefault="003D2CBD" w:rsidP="003D2CBD">
      <w:pPr>
        <w:pStyle w:val="Caption"/>
      </w:pPr>
      <w:bookmarkStart w:id="276" w:name="_Toc514420109"/>
      <w:bookmarkStart w:id="277" w:name="_Toc516579731"/>
      <w:bookmarkStart w:id="278" w:name="_Toc517707434"/>
      <w:r>
        <w:lastRenderedPageBreak/>
        <w:t xml:space="preserve">Table </w:t>
      </w:r>
      <w:r w:rsidR="0048064B">
        <w:rPr>
          <w:noProof/>
        </w:rPr>
        <w:fldChar w:fldCharType="begin"/>
      </w:r>
      <w:r w:rsidR="0048064B">
        <w:rPr>
          <w:noProof/>
        </w:rPr>
        <w:instrText xml:space="preserve"> SEQ Table \* ARABIC </w:instrText>
      </w:r>
      <w:r w:rsidR="0048064B">
        <w:rPr>
          <w:noProof/>
        </w:rPr>
        <w:fldChar w:fldCharType="separate"/>
      </w:r>
      <w:r w:rsidR="000C06DA">
        <w:rPr>
          <w:noProof/>
        </w:rPr>
        <w:t>25</w:t>
      </w:r>
      <w:r w:rsidR="0048064B">
        <w:rPr>
          <w:noProof/>
        </w:rPr>
        <w:fldChar w:fldCharType="end"/>
      </w:r>
      <w:r w:rsidR="00B86BF1" w:rsidRPr="006850EA">
        <w:t xml:space="preserve">: </w:t>
      </w:r>
      <w:r w:rsidR="00B86BF1">
        <w:t>Categories of n</w:t>
      </w:r>
      <w:r w:rsidR="00B86BF1" w:rsidRPr="006850EA">
        <w:t>ational e</w:t>
      </w:r>
      <w:r w:rsidR="00B86BF1">
        <w:noBreakHyphen/>
      </w:r>
      <w:r w:rsidR="00B86BF1" w:rsidRPr="006850EA">
        <w:t>cigarette regulation</w:t>
      </w:r>
      <w:bookmarkEnd w:id="276"/>
      <w:bookmarkEnd w:id="277"/>
      <w:bookmarkEnd w:id="278"/>
      <w:r w:rsidR="00B86BF1">
        <w:t xml:space="preserve"> </w:t>
      </w:r>
    </w:p>
    <w:tbl>
      <w:tblPr>
        <w:tblStyle w:val="TableCSIRO"/>
        <w:tblpPr w:leftFromText="180" w:rightFromText="180" w:vertAnchor="page" w:horzAnchor="margin" w:tblpY="1917"/>
        <w:tblW w:w="0" w:type="auto"/>
        <w:tblInd w:w="0" w:type="dxa"/>
        <w:tblLook w:val="04A0" w:firstRow="1" w:lastRow="0" w:firstColumn="1" w:lastColumn="0" w:noHBand="0" w:noVBand="1"/>
      </w:tblPr>
      <w:tblGrid>
        <w:gridCol w:w="3833"/>
        <w:gridCol w:w="2712"/>
        <w:gridCol w:w="2337"/>
        <w:gridCol w:w="2805"/>
        <w:gridCol w:w="2806"/>
      </w:tblGrid>
      <w:tr w:rsidR="00B86BF1" w:rsidRPr="00A743C9" w14:paraId="0294CAC9" w14:textId="77777777" w:rsidTr="000376C7">
        <w:trPr>
          <w:cnfStyle w:val="100000000000" w:firstRow="1" w:lastRow="0" w:firstColumn="0" w:lastColumn="0" w:oddVBand="0" w:evenVBand="0" w:oddHBand="0"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3833" w:type="dxa"/>
          </w:tcPr>
          <w:p w14:paraId="575BA4EE" w14:textId="77777777" w:rsidR="00B86BF1" w:rsidRPr="00A743C9" w:rsidRDefault="00B86BF1" w:rsidP="000376C7">
            <w:pPr>
              <w:jc w:val="center"/>
              <w:rPr>
                <w:b w:val="0"/>
                <w:color w:val="FFFFFF" w:themeColor="background1"/>
                <w:sz w:val="16"/>
                <w:szCs w:val="16"/>
              </w:rPr>
            </w:pPr>
            <w:r w:rsidRPr="00A743C9">
              <w:rPr>
                <w:color w:val="FFFFFF" w:themeColor="background1"/>
                <w:sz w:val="16"/>
                <w:szCs w:val="16"/>
              </w:rPr>
              <w:t>Countries with complete use and sales ban</w:t>
            </w:r>
          </w:p>
        </w:tc>
        <w:tc>
          <w:tcPr>
            <w:tcW w:w="2712" w:type="dxa"/>
          </w:tcPr>
          <w:p w14:paraId="71D32350" w14:textId="77777777" w:rsidR="00B86BF1" w:rsidRPr="00A743C9" w:rsidRDefault="00B86BF1" w:rsidP="000376C7">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16"/>
                <w:szCs w:val="16"/>
              </w:rPr>
            </w:pPr>
            <w:r w:rsidRPr="00A743C9">
              <w:rPr>
                <w:color w:val="FFFFFF" w:themeColor="background1"/>
                <w:sz w:val="16"/>
                <w:szCs w:val="16"/>
              </w:rPr>
              <w:t>Countries with a sales ban and restricted public use</w:t>
            </w:r>
          </w:p>
        </w:tc>
        <w:tc>
          <w:tcPr>
            <w:tcW w:w="2337" w:type="dxa"/>
          </w:tcPr>
          <w:p w14:paraId="4BFEA0A2" w14:textId="77777777" w:rsidR="00B86BF1" w:rsidRPr="00A743C9" w:rsidRDefault="00B86BF1" w:rsidP="000376C7">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16"/>
                <w:szCs w:val="16"/>
              </w:rPr>
            </w:pPr>
            <w:r w:rsidRPr="00A743C9">
              <w:rPr>
                <w:color w:val="FFFFFF" w:themeColor="background1"/>
                <w:sz w:val="16"/>
                <w:szCs w:val="16"/>
              </w:rPr>
              <w:t>Countries with sales ban</w:t>
            </w:r>
          </w:p>
        </w:tc>
        <w:tc>
          <w:tcPr>
            <w:tcW w:w="5611" w:type="dxa"/>
            <w:gridSpan w:val="2"/>
          </w:tcPr>
          <w:p w14:paraId="02654856" w14:textId="77777777" w:rsidR="00B86BF1" w:rsidRPr="00A743C9" w:rsidRDefault="00B86BF1" w:rsidP="000376C7">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A743C9">
              <w:rPr>
                <w:color w:val="FFFFFF" w:themeColor="background1"/>
                <w:sz w:val="16"/>
                <w:szCs w:val="16"/>
              </w:rPr>
              <w:t>Countries with restricted public use</w:t>
            </w:r>
          </w:p>
        </w:tc>
      </w:tr>
      <w:tr w:rsidR="00B86BF1" w:rsidRPr="00A743C9" w14:paraId="4B5ACD08" w14:textId="77777777" w:rsidTr="000376C7">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3833" w:type="dxa"/>
          </w:tcPr>
          <w:p w14:paraId="213435B3" w14:textId="77777777" w:rsidR="00B86BF1" w:rsidRPr="00A743C9" w:rsidRDefault="00B86BF1" w:rsidP="000376C7">
            <w:pPr>
              <w:pStyle w:val="TableText"/>
              <w:jc w:val="center"/>
              <w:rPr>
                <w:rFonts w:asciiTheme="minorHAnsi" w:hAnsiTheme="minorHAnsi" w:cstheme="minorHAnsi"/>
                <w:b w:val="0"/>
                <w:sz w:val="16"/>
                <w:szCs w:val="16"/>
              </w:rPr>
            </w:pPr>
            <w:r w:rsidRPr="00A743C9">
              <w:rPr>
                <w:rFonts w:asciiTheme="minorHAnsi" w:hAnsiTheme="minorHAnsi" w:cstheme="minorHAnsi"/>
                <w:b w:val="0"/>
                <w:sz w:val="16"/>
                <w:szCs w:val="16"/>
              </w:rPr>
              <w:t>Cambodia (44.7)*</w:t>
            </w:r>
          </w:p>
        </w:tc>
        <w:tc>
          <w:tcPr>
            <w:tcW w:w="2712" w:type="dxa"/>
          </w:tcPr>
          <w:p w14:paraId="6AFCD2BC" w14:textId="77777777" w:rsidR="00B86BF1" w:rsidRPr="00A743C9" w:rsidRDefault="00B86BF1" w:rsidP="000376C7">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A743C9">
              <w:rPr>
                <w:rFonts w:asciiTheme="minorHAnsi" w:hAnsiTheme="minorHAnsi" w:cstheme="minorHAnsi"/>
                <w:sz w:val="16"/>
                <w:szCs w:val="16"/>
              </w:rPr>
              <w:t>Australia (17.8)</w:t>
            </w:r>
          </w:p>
        </w:tc>
        <w:tc>
          <w:tcPr>
            <w:tcW w:w="2337" w:type="dxa"/>
          </w:tcPr>
          <w:p w14:paraId="002D7022" w14:textId="77777777" w:rsidR="00B86BF1" w:rsidRPr="00A743C9" w:rsidRDefault="00B86BF1" w:rsidP="000376C7">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A743C9">
              <w:rPr>
                <w:rFonts w:asciiTheme="minorHAnsi" w:hAnsiTheme="minorHAnsi" w:cstheme="minorHAnsi"/>
                <w:sz w:val="16"/>
                <w:szCs w:val="16"/>
              </w:rPr>
              <w:t>Argentina (31)</w:t>
            </w:r>
          </w:p>
        </w:tc>
        <w:tc>
          <w:tcPr>
            <w:tcW w:w="2805" w:type="dxa"/>
          </w:tcPr>
          <w:p w14:paraId="6A338950" w14:textId="77777777" w:rsidR="00B86BF1" w:rsidRPr="00A743C9" w:rsidRDefault="00B86BF1" w:rsidP="000376C7">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A743C9">
              <w:rPr>
                <w:rFonts w:asciiTheme="minorHAnsi" w:hAnsiTheme="minorHAnsi" w:cstheme="minorHAnsi"/>
                <w:sz w:val="16"/>
                <w:szCs w:val="16"/>
              </w:rPr>
              <w:t xml:space="preserve">Austria </w:t>
            </w:r>
            <w:r w:rsidRPr="00A743C9">
              <w:rPr>
                <w:rFonts w:asciiTheme="minorHAnsi" w:hAnsiTheme="minorHAnsi" w:cstheme="minorHAnsi"/>
                <w:sz w:val="16"/>
                <w:szCs w:val="16"/>
              </w:rPr>
              <w:noBreakHyphen/>
            </w:r>
          </w:p>
        </w:tc>
        <w:tc>
          <w:tcPr>
            <w:tcW w:w="2806" w:type="dxa"/>
          </w:tcPr>
          <w:p w14:paraId="5627AE69" w14:textId="77777777" w:rsidR="00B86BF1" w:rsidRPr="00A743C9" w:rsidRDefault="00B86BF1" w:rsidP="000376C7">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A743C9">
              <w:rPr>
                <w:rFonts w:asciiTheme="minorHAnsi" w:hAnsiTheme="minorHAnsi" w:cstheme="minorHAnsi"/>
                <w:sz w:val="16"/>
                <w:szCs w:val="16"/>
              </w:rPr>
              <w:t>Portugal (31.9)</w:t>
            </w:r>
          </w:p>
        </w:tc>
      </w:tr>
      <w:tr w:rsidR="00B86BF1" w:rsidRPr="00A743C9" w14:paraId="55C88638" w14:textId="77777777" w:rsidTr="000376C7">
        <w:trPr>
          <w:trHeight w:val="339"/>
        </w:trPr>
        <w:tc>
          <w:tcPr>
            <w:cnfStyle w:val="001000000000" w:firstRow="0" w:lastRow="0" w:firstColumn="1" w:lastColumn="0" w:oddVBand="0" w:evenVBand="0" w:oddHBand="0" w:evenHBand="0" w:firstRowFirstColumn="0" w:firstRowLastColumn="0" w:lastRowFirstColumn="0" w:lastRowLastColumn="0"/>
            <w:tcW w:w="3833" w:type="dxa"/>
          </w:tcPr>
          <w:p w14:paraId="75789268" w14:textId="77777777" w:rsidR="00B86BF1" w:rsidRPr="00A743C9" w:rsidRDefault="00B86BF1" w:rsidP="000376C7">
            <w:pPr>
              <w:pStyle w:val="TableText"/>
              <w:jc w:val="center"/>
              <w:rPr>
                <w:rFonts w:asciiTheme="minorHAnsi" w:hAnsiTheme="minorHAnsi" w:cstheme="minorHAnsi"/>
                <w:b w:val="0"/>
                <w:sz w:val="16"/>
                <w:szCs w:val="16"/>
              </w:rPr>
            </w:pPr>
            <w:r w:rsidRPr="00A743C9">
              <w:rPr>
                <w:rFonts w:asciiTheme="minorHAnsi" w:hAnsiTheme="minorHAnsi" w:cstheme="minorHAnsi"/>
                <w:b w:val="0"/>
                <w:sz w:val="16"/>
                <w:szCs w:val="16"/>
              </w:rPr>
              <w:t>Jordan (65.5)</w:t>
            </w:r>
          </w:p>
        </w:tc>
        <w:tc>
          <w:tcPr>
            <w:tcW w:w="2712" w:type="dxa"/>
          </w:tcPr>
          <w:p w14:paraId="2D958C34" w14:textId="77777777" w:rsidR="00B86BF1" w:rsidRPr="00A743C9" w:rsidRDefault="00B86BF1" w:rsidP="000376C7">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A743C9">
              <w:rPr>
                <w:rFonts w:asciiTheme="minorHAnsi" w:hAnsiTheme="minorHAnsi" w:cstheme="minorHAnsi"/>
                <w:sz w:val="16"/>
                <w:szCs w:val="16"/>
              </w:rPr>
              <w:t>Brazil (20.3)</w:t>
            </w:r>
          </w:p>
        </w:tc>
        <w:tc>
          <w:tcPr>
            <w:tcW w:w="2337" w:type="dxa"/>
          </w:tcPr>
          <w:p w14:paraId="5D307A6F" w14:textId="77777777" w:rsidR="00B86BF1" w:rsidRPr="00A743C9" w:rsidRDefault="00B86BF1" w:rsidP="000376C7">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A743C9">
              <w:rPr>
                <w:rFonts w:asciiTheme="minorHAnsi" w:hAnsiTheme="minorHAnsi" w:cstheme="minorHAnsi"/>
                <w:sz w:val="16"/>
                <w:szCs w:val="16"/>
              </w:rPr>
              <w:t>Canada (18.5)</w:t>
            </w:r>
          </w:p>
        </w:tc>
        <w:tc>
          <w:tcPr>
            <w:tcW w:w="2805" w:type="dxa"/>
          </w:tcPr>
          <w:p w14:paraId="27D5E278" w14:textId="77777777" w:rsidR="00B86BF1" w:rsidRPr="00A743C9" w:rsidRDefault="00B86BF1" w:rsidP="000376C7">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A743C9">
              <w:rPr>
                <w:rFonts w:asciiTheme="minorHAnsi" w:hAnsiTheme="minorHAnsi" w:cstheme="minorHAnsi"/>
                <w:sz w:val="16"/>
                <w:szCs w:val="16"/>
              </w:rPr>
              <w:t xml:space="preserve">Belgium (27.5) </w:t>
            </w:r>
          </w:p>
        </w:tc>
        <w:tc>
          <w:tcPr>
            <w:tcW w:w="2806" w:type="dxa"/>
          </w:tcPr>
          <w:p w14:paraId="535DEFE2" w14:textId="77777777" w:rsidR="00B86BF1" w:rsidRPr="00A743C9" w:rsidRDefault="00B86BF1" w:rsidP="000376C7">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A743C9">
              <w:rPr>
                <w:rFonts w:asciiTheme="minorHAnsi" w:hAnsiTheme="minorHAnsi" w:cstheme="minorHAnsi"/>
                <w:sz w:val="16"/>
                <w:szCs w:val="16"/>
              </w:rPr>
              <w:t>Slovenia (23.2)</w:t>
            </w:r>
          </w:p>
        </w:tc>
      </w:tr>
      <w:tr w:rsidR="00B86BF1" w:rsidRPr="00A743C9" w14:paraId="5CAC89F0" w14:textId="77777777" w:rsidTr="000376C7">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3833" w:type="dxa"/>
          </w:tcPr>
          <w:p w14:paraId="08D1F960" w14:textId="77777777" w:rsidR="00B86BF1" w:rsidRPr="00A743C9" w:rsidRDefault="00B86BF1" w:rsidP="000376C7">
            <w:pPr>
              <w:pStyle w:val="TableText"/>
              <w:jc w:val="center"/>
              <w:rPr>
                <w:rFonts w:asciiTheme="minorHAnsi" w:hAnsiTheme="minorHAnsi" w:cstheme="minorHAnsi"/>
                <w:b w:val="0"/>
                <w:sz w:val="16"/>
                <w:szCs w:val="16"/>
              </w:rPr>
            </w:pPr>
            <w:r w:rsidRPr="00A743C9">
              <w:rPr>
                <w:rFonts w:asciiTheme="minorHAnsi" w:hAnsiTheme="minorHAnsi" w:cstheme="minorHAnsi"/>
                <w:b w:val="0"/>
                <w:sz w:val="16"/>
                <w:szCs w:val="16"/>
              </w:rPr>
              <w:t>Nepal (37.9)</w:t>
            </w:r>
          </w:p>
        </w:tc>
        <w:tc>
          <w:tcPr>
            <w:tcW w:w="2712" w:type="dxa"/>
          </w:tcPr>
          <w:p w14:paraId="7A5881FB" w14:textId="77777777" w:rsidR="00B86BF1" w:rsidRPr="00A743C9" w:rsidRDefault="00B86BF1" w:rsidP="000376C7">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A743C9">
              <w:rPr>
                <w:rFonts w:asciiTheme="minorHAnsi" w:hAnsiTheme="minorHAnsi" w:cstheme="minorHAnsi"/>
                <w:sz w:val="16"/>
                <w:szCs w:val="16"/>
              </w:rPr>
              <w:t>Columbia (16.8)</w:t>
            </w:r>
          </w:p>
        </w:tc>
        <w:tc>
          <w:tcPr>
            <w:tcW w:w="2337" w:type="dxa"/>
          </w:tcPr>
          <w:p w14:paraId="307F7D89" w14:textId="77777777" w:rsidR="00B86BF1" w:rsidRPr="00A743C9" w:rsidRDefault="00B86BF1" w:rsidP="000376C7">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A743C9">
              <w:rPr>
                <w:rFonts w:asciiTheme="minorHAnsi" w:hAnsiTheme="minorHAnsi" w:cstheme="minorHAnsi"/>
                <w:sz w:val="16"/>
                <w:szCs w:val="16"/>
              </w:rPr>
              <w:t>Japan (35.4)</w:t>
            </w:r>
          </w:p>
        </w:tc>
        <w:tc>
          <w:tcPr>
            <w:tcW w:w="2805" w:type="dxa"/>
          </w:tcPr>
          <w:p w14:paraId="25FFB448" w14:textId="77777777" w:rsidR="00B86BF1" w:rsidRPr="00A743C9" w:rsidRDefault="00B86BF1" w:rsidP="000376C7">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A743C9">
              <w:rPr>
                <w:rFonts w:asciiTheme="minorHAnsi" w:hAnsiTheme="minorHAnsi" w:cstheme="minorHAnsi"/>
                <w:sz w:val="16"/>
                <w:szCs w:val="16"/>
              </w:rPr>
              <w:t>Croatia (39.5)</w:t>
            </w:r>
          </w:p>
        </w:tc>
        <w:tc>
          <w:tcPr>
            <w:tcW w:w="2806" w:type="dxa"/>
          </w:tcPr>
          <w:p w14:paraId="5DB3FAE2" w14:textId="77777777" w:rsidR="00B86BF1" w:rsidRPr="00A743C9" w:rsidRDefault="00B86BF1" w:rsidP="000376C7">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A743C9">
              <w:rPr>
                <w:rFonts w:asciiTheme="minorHAnsi" w:hAnsiTheme="minorHAnsi" w:cstheme="minorHAnsi"/>
                <w:sz w:val="16"/>
                <w:szCs w:val="16"/>
              </w:rPr>
              <w:t>South Korea (51.1)</w:t>
            </w:r>
          </w:p>
        </w:tc>
      </w:tr>
      <w:tr w:rsidR="00B86BF1" w:rsidRPr="00A743C9" w14:paraId="1EF830A8" w14:textId="77777777" w:rsidTr="000376C7">
        <w:trPr>
          <w:trHeight w:val="339"/>
        </w:trPr>
        <w:tc>
          <w:tcPr>
            <w:cnfStyle w:val="001000000000" w:firstRow="0" w:lastRow="0" w:firstColumn="1" w:lastColumn="0" w:oddVBand="0" w:evenVBand="0" w:oddHBand="0" w:evenHBand="0" w:firstRowFirstColumn="0" w:firstRowLastColumn="0" w:lastRowFirstColumn="0" w:lastRowLastColumn="0"/>
            <w:tcW w:w="3833" w:type="dxa"/>
          </w:tcPr>
          <w:p w14:paraId="6234B439" w14:textId="77777777" w:rsidR="00B86BF1" w:rsidRPr="00A743C9" w:rsidRDefault="00B86BF1" w:rsidP="000376C7">
            <w:pPr>
              <w:pStyle w:val="TableText"/>
              <w:jc w:val="center"/>
              <w:rPr>
                <w:rFonts w:asciiTheme="minorHAnsi" w:hAnsiTheme="minorHAnsi" w:cstheme="minorHAnsi"/>
                <w:b w:val="0"/>
                <w:sz w:val="16"/>
                <w:szCs w:val="16"/>
              </w:rPr>
            </w:pPr>
            <w:r w:rsidRPr="00A743C9">
              <w:rPr>
                <w:rFonts w:asciiTheme="minorHAnsi" w:hAnsiTheme="minorHAnsi" w:cstheme="minorHAnsi"/>
                <w:b w:val="0"/>
                <w:sz w:val="16"/>
                <w:szCs w:val="16"/>
              </w:rPr>
              <w:t>Panama (11.9)</w:t>
            </w:r>
          </w:p>
        </w:tc>
        <w:tc>
          <w:tcPr>
            <w:tcW w:w="2712" w:type="dxa"/>
          </w:tcPr>
          <w:p w14:paraId="1AF2C819" w14:textId="77777777" w:rsidR="00B86BF1" w:rsidRPr="00A743C9" w:rsidRDefault="00B86BF1" w:rsidP="000376C7">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A743C9">
              <w:rPr>
                <w:rFonts w:asciiTheme="minorHAnsi" w:hAnsiTheme="minorHAnsi" w:cstheme="minorHAnsi"/>
                <w:sz w:val="16"/>
                <w:szCs w:val="16"/>
              </w:rPr>
              <w:t>Costa Rica (19.3)</w:t>
            </w:r>
          </w:p>
        </w:tc>
        <w:tc>
          <w:tcPr>
            <w:tcW w:w="2337" w:type="dxa"/>
          </w:tcPr>
          <w:p w14:paraId="6EF3354E" w14:textId="77777777" w:rsidR="00B86BF1" w:rsidRPr="00A743C9" w:rsidRDefault="00B86BF1" w:rsidP="000376C7">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A743C9">
              <w:rPr>
                <w:rFonts w:asciiTheme="minorHAnsi" w:hAnsiTheme="minorHAnsi" w:cstheme="minorHAnsi"/>
                <w:sz w:val="16"/>
                <w:szCs w:val="16"/>
              </w:rPr>
              <w:t xml:space="preserve">Kuwait </w:t>
            </w:r>
            <w:r w:rsidRPr="00A743C9">
              <w:rPr>
                <w:rFonts w:asciiTheme="minorHAnsi" w:hAnsiTheme="minorHAnsi" w:cstheme="minorHAnsi"/>
                <w:sz w:val="16"/>
                <w:szCs w:val="16"/>
              </w:rPr>
              <w:noBreakHyphen/>
            </w:r>
          </w:p>
        </w:tc>
        <w:tc>
          <w:tcPr>
            <w:tcW w:w="2805" w:type="dxa"/>
          </w:tcPr>
          <w:p w14:paraId="0350E375" w14:textId="77777777" w:rsidR="00B86BF1" w:rsidRPr="00A743C9" w:rsidRDefault="00B86BF1" w:rsidP="000376C7">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A743C9">
              <w:rPr>
                <w:rFonts w:asciiTheme="minorHAnsi" w:hAnsiTheme="minorHAnsi" w:cstheme="minorHAnsi"/>
                <w:sz w:val="16"/>
                <w:szCs w:val="16"/>
              </w:rPr>
              <w:t>Denmark (19.9)</w:t>
            </w:r>
          </w:p>
        </w:tc>
        <w:tc>
          <w:tcPr>
            <w:tcW w:w="2806" w:type="dxa"/>
          </w:tcPr>
          <w:p w14:paraId="5132A531" w14:textId="77777777" w:rsidR="00B86BF1" w:rsidRPr="00A743C9" w:rsidRDefault="00B86BF1" w:rsidP="000376C7">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A743C9">
              <w:rPr>
                <w:rFonts w:asciiTheme="minorHAnsi" w:hAnsiTheme="minorHAnsi" w:cstheme="minorHAnsi"/>
                <w:sz w:val="16"/>
                <w:szCs w:val="16"/>
              </w:rPr>
              <w:t>Spain (33)</w:t>
            </w:r>
          </w:p>
        </w:tc>
      </w:tr>
      <w:tr w:rsidR="00B86BF1" w:rsidRPr="00A743C9" w14:paraId="14BF1735" w14:textId="77777777" w:rsidTr="000376C7">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3833" w:type="dxa"/>
          </w:tcPr>
          <w:p w14:paraId="326F5E12" w14:textId="77777777" w:rsidR="00B86BF1" w:rsidRPr="00A743C9" w:rsidRDefault="00B86BF1" w:rsidP="000376C7">
            <w:pPr>
              <w:pStyle w:val="TableText"/>
              <w:jc w:val="center"/>
              <w:rPr>
                <w:rFonts w:asciiTheme="minorHAnsi" w:hAnsiTheme="minorHAnsi" w:cstheme="minorHAnsi"/>
                <w:b w:val="0"/>
                <w:sz w:val="16"/>
                <w:szCs w:val="16"/>
              </w:rPr>
            </w:pPr>
            <w:r w:rsidRPr="00A743C9">
              <w:rPr>
                <w:rFonts w:asciiTheme="minorHAnsi" w:hAnsiTheme="minorHAnsi" w:cstheme="minorHAnsi"/>
                <w:b w:val="0"/>
                <w:sz w:val="16"/>
                <w:szCs w:val="16"/>
              </w:rPr>
              <w:t xml:space="preserve">Turkmenistan </w:t>
            </w:r>
            <w:r w:rsidRPr="00A743C9">
              <w:rPr>
                <w:rFonts w:asciiTheme="minorHAnsi" w:hAnsiTheme="minorHAnsi" w:cstheme="minorHAnsi"/>
                <w:b w:val="0"/>
                <w:sz w:val="16"/>
                <w:szCs w:val="16"/>
              </w:rPr>
              <w:noBreakHyphen/>
            </w:r>
          </w:p>
        </w:tc>
        <w:tc>
          <w:tcPr>
            <w:tcW w:w="2712" w:type="dxa"/>
          </w:tcPr>
          <w:p w14:paraId="7578A57D" w14:textId="77777777" w:rsidR="00B86BF1" w:rsidRPr="00A743C9" w:rsidRDefault="00B86BF1" w:rsidP="000376C7">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A743C9">
              <w:rPr>
                <w:rFonts w:asciiTheme="minorHAnsi" w:hAnsiTheme="minorHAnsi" w:cstheme="minorHAnsi"/>
                <w:sz w:val="16"/>
                <w:szCs w:val="16"/>
              </w:rPr>
              <w:t>Greece (53.8)</w:t>
            </w:r>
          </w:p>
        </w:tc>
        <w:tc>
          <w:tcPr>
            <w:tcW w:w="2337" w:type="dxa"/>
          </w:tcPr>
          <w:p w14:paraId="30719B28" w14:textId="77777777" w:rsidR="00B86BF1" w:rsidRPr="00A743C9" w:rsidRDefault="00B86BF1" w:rsidP="000376C7">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A743C9">
              <w:rPr>
                <w:rFonts w:asciiTheme="minorHAnsi" w:hAnsiTheme="minorHAnsi" w:cstheme="minorHAnsi"/>
                <w:sz w:val="16"/>
                <w:szCs w:val="16"/>
              </w:rPr>
              <w:t>Malaysia (44.4)</w:t>
            </w:r>
          </w:p>
        </w:tc>
        <w:tc>
          <w:tcPr>
            <w:tcW w:w="2805" w:type="dxa"/>
          </w:tcPr>
          <w:p w14:paraId="115A12FE" w14:textId="77777777" w:rsidR="00B86BF1" w:rsidRPr="00A743C9" w:rsidRDefault="00B86BF1" w:rsidP="000376C7">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A743C9">
              <w:rPr>
                <w:rFonts w:asciiTheme="minorHAnsi" w:hAnsiTheme="minorHAnsi" w:cstheme="minorHAnsi"/>
                <w:sz w:val="16"/>
                <w:szCs w:val="16"/>
              </w:rPr>
              <w:t>Ecuador (14.7)</w:t>
            </w:r>
          </w:p>
        </w:tc>
        <w:tc>
          <w:tcPr>
            <w:tcW w:w="2806" w:type="dxa"/>
          </w:tcPr>
          <w:p w14:paraId="47975C5C" w14:textId="77777777" w:rsidR="00B86BF1" w:rsidRPr="00A743C9" w:rsidRDefault="00B86BF1" w:rsidP="000376C7">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A743C9">
              <w:rPr>
                <w:rFonts w:asciiTheme="minorHAnsi" w:hAnsiTheme="minorHAnsi" w:cstheme="minorHAnsi"/>
                <w:sz w:val="16"/>
                <w:szCs w:val="16"/>
              </w:rPr>
              <w:t xml:space="preserve">Togo </w:t>
            </w:r>
            <w:r w:rsidRPr="00A743C9">
              <w:rPr>
                <w:rFonts w:asciiTheme="minorHAnsi" w:hAnsiTheme="minorHAnsi" w:cstheme="minorHAnsi"/>
                <w:sz w:val="16"/>
                <w:szCs w:val="16"/>
              </w:rPr>
              <w:noBreakHyphen/>
            </w:r>
          </w:p>
        </w:tc>
      </w:tr>
      <w:tr w:rsidR="00B86BF1" w:rsidRPr="00A743C9" w14:paraId="67F11161" w14:textId="77777777" w:rsidTr="000376C7">
        <w:trPr>
          <w:trHeight w:val="348"/>
        </w:trPr>
        <w:tc>
          <w:tcPr>
            <w:cnfStyle w:val="001000000000" w:firstRow="0" w:lastRow="0" w:firstColumn="1" w:lastColumn="0" w:oddVBand="0" w:evenVBand="0" w:oddHBand="0" w:evenHBand="0" w:firstRowFirstColumn="0" w:firstRowLastColumn="0" w:lastRowFirstColumn="0" w:lastRowLastColumn="0"/>
            <w:tcW w:w="3833" w:type="dxa"/>
          </w:tcPr>
          <w:p w14:paraId="01EA014F" w14:textId="77777777" w:rsidR="00B86BF1" w:rsidRPr="00A743C9" w:rsidRDefault="00B86BF1" w:rsidP="000376C7">
            <w:pPr>
              <w:pStyle w:val="TableText"/>
              <w:jc w:val="center"/>
              <w:rPr>
                <w:rFonts w:asciiTheme="minorHAnsi" w:hAnsiTheme="minorHAnsi" w:cstheme="minorHAnsi"/>
                <w:b w:val="0"/>
                <w:sz w:val="16"/>
                <w:szCs w:val="16"/>
              </w:rPr>
            </w:pPr>
            <w:r w:rsidRPr="00A743C9">
              <w:rPr>
                <w:rFonts w:asciiTheme="minorHAnsi" w:hAnsiTheme="minorHAnsi" w:cstheme="minorHAnsi"/>
                <w:b w:val="0"/>
                <w:sz w:val="16"/>
                <w:szCs w:val="16"/>
              </w:rPr>
              <w:t xml:space="preserve">United Arab Emirates </w:t>
            </w:r>
            <w:r w:rsidRPr="00A743C9">
              <w:rPr>
                <w:rFonts w:asciiTheme="minorHAnsi" w:hAnsiTheme="minorHAnsi" w:cstheme="minorHAnsi"/>
                <w:b w:val="0"/>
                <w:sz w:val="16"/>
                <w:szCs w:val="16"/>
              </w:rPr>
              <w:noBreakHyphen/>
            </w:r>
          </w:p>
        </w:tc>
        <w:tc>
          <w:tcPr>
            <w:tcW w:w="2712" w:type="dxa"/>
          </w:tcPr>
          <w:p w14:paraId="0940D7E5" w14:textId="77777777" w:rsidR="00B86BF1" w:rsidRPr="00A743C9" w:rsidRDefault="00B86BF1" w:rsidP="000376C7">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A743C9">
              <w:rPr>
                <w:rFonts w:asciiTheme="minorHAnsi" w:hAnsiTheme="minorHAnsi" w:cstheme="minorHAnsi"/>
                <w:sz w:val="16"/>
                <w:szCs w:val="16"/>
              </w:rPr>
              <w:t>Thailand (41.9)</w:t>
            </w:r>
          </w:p>
        </w:tc>
        <w:tc>
          <w:tcPr>
            <w:tcW w:w="2337" w:type="dxa"/>
          </w:tcPr>
          <w:p w14:paraId="17A71568" w14:textId="77777777" w:rsidR="00B86BF1" w:rsidRPr="00A743C9" w:rsidRDefault="00B86BF1" w:rsidP="000376C7">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A743C9">
              <w:rPr>
                <w:rFonts w:asciiTheme="minorHAnsi" w:hAnsiTheme="minorHAnsi" w:cstheme="minorHAnsi"/>
                <w:sz w:val="16"/>
                <w:szCs w:val="16"/>
              </w:rPr>
              <w:t>Mexico (22.5)</w:t>
            </w:r>
          </w:p>
        </w:tc>
        <w:tc>
          <w:tcPr>
            <w:tcW w:w="2805" w:type="dxa"/>
          </w:tcPr>
          <w:p w14:paraId="7FECFD80" w14:textId="77777777" w:rsidR="00B86BF1" w:rsidRPr="00A743C9" w:rsidRDefault="00B86BF1" w:rsidP="000376C7">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A743C9">
              <w:rPr>
                <w:rFonts w:asciiTheme="minorHAnsi" w:hAnsiTheme="minorHAnsi" w:cstheme="minorHAnsi"/>
                <w:sz w:val="16"/>
                <w:szCs w:val="16"/>
              </w:rPr>
              <w:t>Estonia (42.8)</w:t>
            </w:r>
          </w:p>
        </w:tc>
        <w:tc>
          <w:tcPr>
            <w:tcW w:w="2806" w:type="dxa"/>
          </w:tcPr>
          <w:p w14:paraId="41C61A70" w14:textId="77777777" w:rsidR="00B86BF1" w:rsidRPr="00A743C9" w:rsidRDefault="00B86BF1" w:rsidP="000376C7">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A743C9">
              <w:rPr>
                <w:rFonts w:asciiTheme="minorHAnsi" w:hAnsiTheme="minorHAnsi" w:cstheme="minorHAnsi"/>
                <w:sz w:val="16"/>
                <w:szCs w:val="16"/>
              </w:rPr>
              <w:t>Ukraine (50.6)</w:t>
            </w:r>
          </w:p>
        </w:tc>
      </w:tr>
      <w:tr w:rsidR="00B86BF1" w:rsidRPr="00A743C9" w14:paraId="3FC732F1" w14:textId="77777777" w:rsidTr="000376C7">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3833" w:type="dxa"/>
          </w:tcPr>
          <w:p w14:paraId="26349626" w14:textId="77777777" w:rsidR="00B86BF1" w:rsidRPr="00A743C9" w:rsidRDefault="00B86BF1" w:rsidP="000376C7">
            <w:pPr>
              <w:jc w:val="center"/>
              <w:rPr>
                <w:rFonts w:asciiTheme="minorHAnsi" w:hAnsiTheme="minorHAnsi" w:cstheme="minorHAnsi"/>
                <w:sz w:val="16"/>
                <w:szCs w:val="16"/>
              </w:rPr>
            </w:pPr>
          </w:p>
        </w:tc>
        <w:tc>
          <w:tcPr>
            <w:tcW w:w="2712" w:type="dxa"/>
          </w:tcPr>
          <w:p w14:paraId="4A70F676" w14:textId="77777777" w:rsidR="00B86BF1" w:rsidRPr="00A743C9" w:rsidRDefault="00B86BF1" w:rsidP="000376C7">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A743C9">
              <w:rPr>
                <w:rFonts w:asciiTheme="minorHAnsi" w:hAnsiTheme="minorHAnsi" w:cstheme="minorHAnsi"/>
                <w:sz w:val="16"/>
                <w:szCs w:val="16"/>
              </w:rPr>
              <w:t>Turkey (41.6)</w:t>
            </w:r>
          </w:p>
        </w:tc>
        <w:tc>
          <w:tcPr>
            <w:tcW w:w="2337" w:type="dxa"/>
          </w:tcPr>
          <w:p w14:paraId="6AABF1B8" w14:textId="77777777" w:rsidR="00B86BF1" w:rsidRPr="00A743C9" w:rsidRDefault="00B86BF1" w:rsidP="000376C7">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A743C9">
              <w:rPr>
                <w:rFonts w:asciiTheme="minorHAnsi" w:hAnsiTheme="minorHAnsi" w:cstheme="minorHAnsi"/>
                <w:sz w:val="16"/>
                <w:szCs w:val="16"/>
              </w:rPr>
              <w:t>New Zealand (18.5)</w:t>
            </w:r>
          </w:p>
        </w:tc>
        <w:tc>
          <w:tcPr>
            <w:tcW w:w="2805" w:type="dxa"/>
          </w:tcPr>
          <w:p w14:paraId="61650C6A" w14:textId="77777777" w:rsidR="00B86BF1" w:rsidRPr="00A743C9" w:rsidRDefault="00B86BF1" w:rsidP="000376C7">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A743C9">
              <w:rPr>
                <w:rFonts w:asciiTheme="minorHAnsi" w:hAnsiTheme="minorHAnsi" w:cstheme="minorHAnsi"/>
                <w:sz w:val="16"/>
                <w:szCs w:val="16"/>
              </w:rPr>
              <w:t>Fiji (40)</w:t>
            </w:r>
          </w:p>
        </w:tc>
        <w:tc>
          <w:tcPr>
            <w:tcW w:w="2806" w:type="dxa"/>
          </w:tcPr>
          <w:p w14:paraId="7C9A1FE9"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A743C9">
              <w:rPr>
                <w:rFonts w:asciiTheme="minorHAnsi" w:hAnsiTheme="minorHAnsi" w:cstheme="minorHAnsi"/>
                <w:sz w:val="16"/>
                <w:szCs w:val="16"/>
              </w:rPr>
              <w:t xml:space="preserve">Venezuela </w:t>
            </w:r>
            <w:r w:rsidRPr="00A743C9">
              <w:rPr>
                <w:rFonts w:asciiTheme="minorHAnsi" w:hAnsiTheme="minorHAnsi" w:cstheme="minorHAnsi"/>
                <w:sz w:val="16"/>
                <w:szCs w:val="16"/>
              </w:rPr>
              <w:noBreakHyphen/>
              <w:t xml:space="preserve"> </w:t>
            </w:r>
          </w:p>
        </w:tc>
      </w:tr>
      <w:tr w:rsidR="00B86BF1" w:rsidRPr="00A743C9" w14:paraId="732D1FD8" w14:textId="77777777" w:rsidTr="000376C7">
        <w:trPr>
          <w:trHeight w:val="339"/>
        </w:trPr>
        <w:tc>
          <w:tcPr>
            <w:cnfStyle w:val="001000000000" w:firstRow="0" w:lastRow="0" w:firstColumn="1" w:lastColumn="0" w:oddVBand="0" w:evenVBand="0" w:oddHBand="0" w:evenHBand="0" w:firstRowFirstColumn="0" w:firstRowLastColumn="0" w:lastRowFirstColumn="0" w:lastRowLastColumn="0"/>
            <w:tcW w:w="3833" w:type="dxa"/>
          </w:tcPr>
          <w:p w14:paraId="57FA26C9" w14:textId="77777777" w:rsidR="00B86BF1" w:rsidRPr="00A743C9" w:rsidRDefault="00B86BF1" w:rsidP="000376C7">
            <w:pPr>
              <w:rPr>
                <w:rFonts w:asciiTheme="minorHAnsi" w:hAnsiTheme="minorHAnsi" w:cstheme="minorHAnsi"/>
                <w:sz w:val="16"/>
                <w:szCs w:val="16"/>
              </w:rPr>
            </w:pPr>
            <w:r w:rsidRPr="00A743C9">
              <w:rPr>
                <w:rFonts w:asciiTheme="minorHAnsi" w:hAnsiTheme="minorHAnsi" w:cstheme="minorHAnsi"/>
                <w:sz w:val="16"/>
                <w:szCs w:val="16"/>
              </w:rPr>
              <w:t> </w:t>
            </w:r>
          </w:p>
        </w:tc>
        <w:tc>
          <w:tcPr>
            <w:tcW w:w="2712" w:type="dxa"/>
          </w:tcPr>
          <w:p w14:paraId="32AEC1B1" w14:textId="77777777" w:rsidR="00B86BF1" w:rsidRPr="00A743C9" w:rsidRDefault="00B86BF1" w:rsidP="000376C7">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A743C9">
              <w:rPr>
                <w:rFonts w:asciiTheme="minorHAnsi" w:hAnsiTheme="minorHAnsi" w:cstheme="minorHAnsi"/>
                <w:sz w:val="16"/>
                <w:szCs w:val="16"/>
              </w:rPr>
              <w:t> </w:t>
            </w:r>
          </w:p>
        </w:tc>
        <w:tc>
          <w:tcPr>
            <w:tcW w:w="2337" w:type="dxa"/>
          </w:tcPr>
          <w:p w14:paraId="75496084" w14:textId="77777777" w:rsidR="00B86BF1" w:rsidRPr="00A743C9" w:rsidRDefault="00B86BF1" w:rsidP="000376C7">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A743C9">
              <w:rPr>
                <w:rFonts w:asciiTheme="minorHAnsi" w:hAnsiTheme="minorHAnsi" w:cstheme="minorHAnsi"/>
                <w:sz w:val="16"/>
                <w:szCs w:val="16"/>
              </w:rPr>
              <w:t xml:space="preserve">Nicaragua </w:t>
            </w:r>
            <w:r w:rsidRPr="00A743C9">
              <w:rPr>
                <w:rFonts w:asciiTheme="minorHAnsi" w:hAnsiTheme="minorHAnsi" w:cstheme="minorHAnsi"/>
                <w:sz w:val="16"/>
                <w:szCs w:val="16"/>
              </w:rPr>
              <w:noBreakHyphen/>
            </w:r>
          </w:p>
        </w:tc>
        <w:tc>
          <w:tcPr>
            <w:tcW w:w="2805" w:type="dxa"/>
          </w:tcPr>
          <w:p w14:paraId="1B089128" w14:textId="77777777" w:rsidR="00B86BF1" w:rsidRPr="00A743C9" w:rsidRDefault="00B86BF1" w:rsidP="000376C7">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A743C9">
              <w:rPr>
                <w:rFonts w:asciiTheme="minorHAnsi" w:hAnsiTheme="minorHAnsi" w:cstheme="minorHAnsi"/>
                <w:sz w:val="16"/>
                <w:szCs w:val="16"/>
              </w:rPr>
              <w:t>Finland (24.6)</w:t>
            </w:r>
          </w:p>
        </w:tc>
        <w:tc>
          <w:tcPr>
            <w:tcW w:w="2806" w:type="dxa"/>
          </w:tcPr>
          <w:p w14:paraId="32B55FE8"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A743C9">
              <w:rPr>
                <w:rFonts w:asciiTheme="minorHAnsi" w:hAnsiTheme="minorHAnsi" w:cstheme="minorHAnsi"/>
                <w:sz w:val="16"/>
                <w:szCs w:val="16"/>
              </w:rPr>
              <w:t>Vietnam (47.3)</w:t>
            </w:r>
          </w:p>
        </w:tc>
      </w:tr>
      <w:tr w:rsidR="00B86BF1" w:rsidRPr="00A743C9" w14:paraId="597F8904" w14:textId="77777777" w:rsidTr="000376C7">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3833" w:type="dxa"/>
          </w:tcPr>
          <w:p w14:paraId="252B9622" w14:textId="77777777" w:rsidR="00B86BF1" w:rsidRPr="00A743C9" w:rsidRDefault="00B86BF1" w:rsidP="000376C7">
            <w:pPr>
              <w:rPr>
                <w:rFonts w:asciiTheme="minorHAnsi" w:hAnsiTheme="minorHAnsi" w:cstheme="minorHAnsi"/>
                <w:sz w:val="16"/>
                <w:szCs w:val="16"/>
              </w:rPr>
            </w:pPr>
            <w:r w:rsidRPr="00A743C9">
              <w:rPr>
                <w:rFonts w:asciiTheme="minorHAnsi" w:hAnsiTheme="minorHAnsi" w:cstheme="minorHAnsi"/>
                <w:sz w:val="16"/>
                <w:szCs w:val="16"/>
              </w:rPr>
              <w:t> </w:t>
            </w:r>
          </w:p>
        </w:tc>
        <w:tc>
          <w:tcPr>
            <w:tcW w:w="2712" w:type="dxa"/>
          </w:tcPr>
          <w:p w14:paraId="142B6926" w14:textId="77777777" w:rsidR="00B86BF1" w:rsidRPr="00A743C9" w:rsidRDefault="00B86BF1" w:rsidP="000376C7">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A743C9">
              <w:rPr>
                <w:rFonts w:asciiTheme="minorHAnsi" w:hAnsiTheme="minorHAnsi" w:cstheme="minorHAnsi"/>
                <w:sz w:val="16"/>
                <w:szCs w:val="16"/>
              </w:rPr>
              <w:t> </w:t>
            </w:r>
          </w:p>
        </w:tc>
        <w:tc>
          <w:tcPr>
            <w:tcW w:w="2337" w:type="dxa"/>
          </w:tcPr>
          <w:p w14:paraId="606DA5A1" w14:textId="77777777" w:rsidR="00B86BF1" w:rsidRPr="00A743C9" w:rsidRDefault="00B86BF1" w:rsidP="000376C7">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A743C9">
              <w:rPr>
                <w:rFonts w:asciiTheme="minorHAnsi" w:hAnsiTheme="minorHAnsi" w:cstheme="minorHAnsi"/>
                <w:sz w:val="16"/>
                <w:szCs w:val="16"/>
              </w:rPr>
              <w:t>Oman (19.5)</w:t>
            </w:r>
          </w:p>
        </w:tc>
        <w:tc>
          <w:tcPr>
            <w:tcW w:w="2805" w:type="dxa"/>
          </w:tcPr>
          <w:p w14:paraId="6977EE9F" w14:textId="77777777" w:rsidR="00B86BF1" w:rsidRPr="00A743C9" w:rsidRDefault="00B86BF1" w:rsidP="000376C7">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A743C9">
              <w:rPr>
                <w:rFonts w:asciiTheme="minorHAnsi" w:hAnsiTheme="minorHAnsi" w:cstheme="minorHAnsi"/>
                <w:sz w:val="16"/>
                <w:szCs w:val="16"/>
              </w:rPr>
              <w:t>France (30.6)</w:t>
            </w:r>
          </w:p>
        </w:tc>
        <w:tc>
          <w:tcPr>
            <w:tcW w:w="2806" w:type="dxa"/>
          </w:tcPr>
          <w:p w14:paraId="390A417F" w14:textId="77777777" w:rsidR="00B86BF1" w:rsidRPr="00A743C9" w:rsidRDefault="00B86BF1" w:rsidP="000376C7">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r>
      <w:tr w:rsidR="00B86BF1" w:rsidRPr="00A743C9" w14:paraId="1D30235C" w14:textId="77777777" w:rsidTr="000376C7">
        <w:trPr>
          <w:trHeight w:val="339"/>
        </w:trPr>
        <w:tc>
          <w:tcPr>
            <w:cnfStyle w:val="001000000000" w:firstRow="0" w:lastRow="0" w:firstColumn="1" w:lastColumn="0" w:oddVBand="0" w:evenVBand="0" w:oddHBand="0" w:evenHBand="0" w:firstRowFirstColumn="0" w:firstRowLastColumn="0" w:lastRowFirstColumn="0" w:lastRowLastColumn="0"/>
            <w:tcW w:w="3833" w:type="dxa"/>
          </w:tcPr>
          <w:p w14:paraId="0CB83D2A" w14:textId="77777777" w:rsidR="00B86BF1" w:rsidRPr="00A743C9" w:rsidRDefault="00B86BF1" w:rsidP="000376C7">
            <w:pPr>
              <w:rPr>
                <w:rFonts w:asciiTheme="minorHAnsi" w:hAnsiTheme="minorHAnsi" w:cstheme="minorHAnsi"/>
                <w:sz w:val="16"/>
                <w:szCs w:val="16"/>
              </w:rPr>
            </w:pPr>
            <w:r w:rsidRPr="00A743C9">
              <w:rPr>
                <w:rFonts w:asciiTheme="minorHAnsi" w:hAnsiTheme="minorHAnsi" w:cstheme="minorHAnsi"/>
                <w:sz w:val="16"/>
                <w:szCs w:val="16"/>
              </w:rPr>
              <w:t> </w:t>
            </w:r>
          </w:p>
        </w:tc>
        <w:tc>
          <w:tcPr>
            <w:tcW w:w="2712" w:type="dxa"/>
          </w:tcPr>
          <w:p w14:paraId="130F3E84" w14:textId="77777777" w:rsidR="00B86BF1" w:rsidRPr="00A743C9" w:rsidRDefault="00B86BF1" w:rsidP="000376C7">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A743C9">
              <w:rPr>
                <w:rFonts w:asciiTheme="minorHAnsi" w:hAnsiTheme="minorHAnsi" w:cstheme="minorHAnsi"/>
                <w:sz w:val="16"/>
                <w:szCs w:val="16"/>
              </w:rPr>
              <w:t> </w:t>
            </w:r>
          </w:p>
        </w:tc>
        <w:tc>
          <w:tcPr>
            <w:tcW w:w="2337" w:type="dxa"/>
          </w:tcPr>
          <w:p w14:paraId="4ADE01A7" w14:textId="77777777" w:rsidR="00B86BF1" w:rsidRPr="00A743C9" w:rsidRDefault="00B86BF1" w:rsidP="000376C7">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A743C9">
              <w:rPr>
                <w:rFonts w:asciiTheme="minorHAnsi" w:hAnsiTheme="minorHAnsi" w:cstheme="minorHAnsi"/>
                <w:sz w:val="16"/>
                <w:szCs w:val="16"/>
              </w:rPr>
              <w:t>Saudi Arabia (26.8)</w:t>
            </w:r>
          </w:p>
        </w:tc>
        <w:tc>
          <w:tcPr>
            <w:tcW w:w="2805" w:type="dxa"/>
          </w:tcPr>
          <w:p w14:paraId="41F24A3F" w14:textId="77777777" w:rsidR="00B86BF1" w:rsidRPr="00A743C9" w:rsidRDefault="00B86BF1" w:rsidP="000376C7">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A743C9">
              <w:rPr>
                <w:rFonts w:asciiTheme="minorHAnsi" w:hAnsiTheme="minorHAnsi" w:cstheme="minorHAnsi"/>
                <w:sz w:val="16"/>
                <w:szCs w:val="16"/>
              </w:rPr>
              <w:t>Germany (33.1)</w:t>
            </w:r>
          </w:p>
        </w:tc>
        <w:tc>
          <w:tcPr>
            <w:tcW w:w="2806" w:type="dxa"/>
          </w:tcPr>
          <w:p w14:paraId="07171FEB" w14:textId="77777777" w:rsidR="00B86BF1" w:rsidRPr="00A743C9" w:rsidRDefault="00B86BF1" w:rsidP="000376C7">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r>
      <w:tr w:rsidR="00B86BF1" w:rsidRPr="00A743C9" w14:paraId="192BBCD1" w14:textId="77777777" w:rsidTr="000376C7">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3833" w:type="dxa"/>
          </w:tcPr>
          <w:p w14:paraId="5AC9419C" w14:textId="77777777" w:rsidR="00B86BF1" w:rsidRPr="00A743C9" w:rsidRDefault="00B86BF1" w:rsidP="000376C7">
            <w:pPr>
              <w:rPr>
                <w:rFonts w:asciiTheme="minorHAnsi" w:hAnsiTheme="minorHAnsi" w:cstheme="minorHAnsi"/>
                <w:sz w:val="16"/>
                <w:szCs w:val="16"/>
              </w:rPr>
            </w:pPr>
            <w:r w:rsidRPr="00A743C9">
              <w:rPr>
                <w:rFonts w:asciiTheme="minorHAnsi" w:hAnsiTheme="minorHAnsi" w:cstheme="minorHAnsi"/>
                <w:sz w:val="16"/>
                <w:szCs w:val="16"/>
              </w:rPr>
              <w:t> </w:t>
            </w:r>
          </w:p>
        </w:tc>
        <w:tc>
          <w:tcPr>
            <w:tcW w:w="2712" w:type="dxa"/>
          </w:tcPr>
          <w:p w14:paraId="75E6D88F" w14:textId="77777777" w:rsidR="00B86BF1" w:rsidRPr="00A743C9" w:rsidRDefault="00B86BF1" w:rsidP="000376C7">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A743C9">
              <w:rPr>
                <w:rFonts w:asciiTheme="minorHAnsi" w:hAnsiTheme="minorHAnsi" w:cstheme="minorHAnsi"/>
                <w:sz w:val="16"/>
                <w:szCs w:val="16"/>
              </w:rPr>
              <w:t> </w:t>
            </w:r>
          </w:p>
        </w:tc>
        <w:tc>
          <w:tcPr>
            <w:tcW w:w="2337" w:type="dxa"/>
          </w:tcPr>
          <w:p w14:paraId="340ECC74" w14:textId="77777777" w:rsidR="00B86BF1" w:rsidRPr="00A743C9" w:rsidRDefault="00B86BF1" w:rsidP="000376C7">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A743C9">
              <w:rPr>
                <w:rFonts w:asciiTheme="minorHAnsi" w:hAnsiTheme="minorHAnsi" w:cstheme="minorHAnsi"/>
                <w:sz w:val="16"/>
                <w:szCs w:val="16"/>
              </w:rPr>
              <w:t xml:space="preserve">Suriname </w:t>
            </w:r>
            <w:r w:rsidRPr="00A743C9">
              <w:rPr>
                <w:rFonts w:asciiTheme="minorHAnsi" w:hAnsiTheme="minorHAnsi" w:cstheme="minorHAnsi"/>
                <w:sz w:val="16"/>
                <w:szCs w:val="16"/>
              </w:rPr>
              <w:noBreakHyphen/>
            </w:r>
          </w:p>
        </w:tc>
        <w:tc>
          <w:tcPr>
            <w:tcW w:w="2805" w:type="dxa"/>
          </w:tcPr>
          <w:p w14:paraId="36C64433" w14:textId="77777777" w:rsidR="00B86BF1" w:rsidRPr="00A743C9" w:rsidRDefault="00B86BF1" w:rsidP="000376C7">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A743C9">
              <w:rPr>
                <w:rFonts w:asciiTheme="minorHAnsi" w:hAnsiTheme="minorHAnsi" w:cstheme="minorHAnsi"/>
                <w:sz w:val="16"/>
                <w:szCs w:val="16"/>
              </w:rPr>
              <w:t>Honduras (35.9)</w:t>
            </w:r>
          </w:p>
        </w:tc>
        <w:tc>
          <w:tcPr>
            <w:tcW w:w="2806" w:type="dxa"/>
          </w:tcPr>
          <w:p w14:paraId="6F332BFF" w14:textId="77777777" w:rsidR="00B86BF1" w:rsidRPr="00A743C9" w:rsidRDefault="00B86BF1" w:rsidP="000376C7">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r>
      <w:tr w:rsidR="00B86BF1" w:rsidRPr="00A743C9" w14:paraId="5EE029A2" w14:textId="77777777" w:rsidTr="000376C7">
        <w:trPr>
          <w:trHeight w:val="348"/>
        </w:trPr>
        <w:tc>
          <w:tcPr>
            <w:cnfStyle w:val="001000000000" w:firstRow="0" w:lastRow="0" w:firstColumn="1" w:lastColumn="0" w:oddVBand="0" w:evenVBand="0" w:oddHBand="0" w:evenHBand="0" w:firstRowFirstColumn="0" w:firstRowLastColumn="0" w:lastRowFirstColumn="0" w:lastRowLastColumn="0"/>
            <w:tcW w:w="3833" w:type="dxa"/>
          </w:tcPr>
          <w:p w14:paraId="3DF7560C" w14:textId="77777777" w:rsidR="00B86BF1" w:rsidRPr="00A743C9" w:rsidRDefault="00B86BF1" w:rsidP="000376C7">
            <w:pPr>
              <w:rPr>
                <w:rFonts w:asciiTheme="minorHAnsi" w:hAnsiTheme="minorHAnsi" w:cstheme="minorHAnsi"/>
                <w:sz w:val="16"/>
                <w:szCs w:val="16"/>
              </w:rPr>
            </w:pPr>
            <w:r w:rsidRPr="00A743C9">
              <w:rPr>
                <w:rFonts w:asciiTheme="minorHAnsi" w:hAnsiTheme="minorHAnsi" w:cstheme="minorHAnsi"/>
                <w:sz w:val="16"/>
                <w:szCs w:val="16"/>
              </w:rPr>
              <w:t> </w:t>
            </w:r>
          </w:p>
        </w:tc>
        <w:tc>
          <w:tcPr>
            <w:tcW w:w="2712" w:type="dxa"/>
          </w:tcPr>
          <w:p w14:paraId="54ACE612" w14:textId="77777777" w:rsidR="00B86BF1" w:rsidRPr="00A743C9" w:rsidRDefault="00B86BF1" w:rsidP="000376C7">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A743C9">
              <w:rPr>
                <w:rFonts w:asciiTheme="minorHAnsi" w:hAnsiTheme="minorHAnsi" w:cstheme="minorHAnsi"/>
                <w:sz w:val="16"/>
                <w:szCs w:val="16"/>
              </w:rPr>
              <w:t> </w:t>
            </w:r>
          </w:p>
        </w:tc>
        <w:tc>
          <w:tcPr>
            <w:tcW w:w="2337" w:type="dxa"/>
          </w:tcPr>
          <w:p w14:paraId="080326F8" w14:textId="77777777" w:rsidR="00B86BF1" w:rsidRPr="00A743C9" w:rsidRDefault="00B86BF1" w:rsidP="000376C7">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A743C9">
              <w:rPr>
                <w:rFonts w:asciiTheme="minorHAnsi" w:hAnsiTheme="minorHAnsi" w:cstheme="minorHAnsi"/>
                <w:sz w:val="16"/>
                <w:szCs w:val="16"/>
              </w:rPr>
              <w:t>Switzerland (27.7)</w:t>
            </w:r>
          </w:p>
        </w:tc>
        <w:tc>
          <w:tcPr>
            <w:tcW w:w="2805" w:type="dxa"/>
          </w:tcPr>
          <w:p w14:paraId="7BFAB72E" w14:textId="77777777" w:rsidR="00B86BF1" w:rsidRPr="00A743C9" w:rsidRDefault="00B86BF1" w:rsidP="000376C7">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A743C9">
              <w:rPr>
                <w:rFonts w:asciiTheme="minorHAnsi" w:hAnsiTheme="minorHAnsi" w:cstheme="minorHAnsi"/>
                <w:sz w:val="16"/>
                <w:szCs w:val="16"/>
              </w:rPr>
              <w:t>Lithuania (39.8)</w:t>
            </w:r>
          </w:p>
        </w:tc>
        <w:tc>
          <w:tcPr>
            <w:tcW w:w="2806" w:type="dxa"/>
          </w:tcPr>
          <w:p w14:paraId="5C525DAA" w14:textId="77777777" w:rsidR="00B86BF1" w:rsidRPr="00A743C9" w:rsidRDefault="00B86BF1" w:rsidP="000376C7">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r>
      <w:tr w:rsidR="00B86BF1" w:rsidRPr="00A743C9" w14:paraId="7689BE0F" w14:textId="77777777" w:rsidTr="000376C7">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3833" w:type="dxa"/>
          </w:tcPr>
          <w:p w14:paraId="58AA14C0" w14:textId="77777777" w:rsidR="00B86BF1" w:rsidRPr="00A743C9" w:rsidRDefault="00B86BF1" w:rsidP="000376C7">
            <w:pPr>
              <w:rPr>
                <w:rFonts w:asciiTheme="minorHAnsi" w:hAnsiTheme="minorHAnsi" w:cstheme="minorHAnsi"/>
                <w:sz w:val="16"/>
                <w:szCs w:val="16"/>
              </w:rPr>
            </w:pPr>
            <w:r w:rsidRPr="00A743C9">
              <w:rPr>
                <w:rFonts w:asciiTheme="minorHAnsi" w:hAnsiTheme="minorHAnsi" w:cstheme="minorHAnsi"/>
                <w:sz w:val="16"/>
                <w:szCs w:val="16"/>
              </w:rPr>
              <w:t> </w:t>
            </w:r>
          </w:p>
        </w:tc>
        <w:tc>
          <w:tcPr>
            <w:tcW w:w="2712" w:type="dxa"/>
          </w:tcPr>
          <w:p w14:paraId="0FEAEEFB" w14:textId="77777777" w:rsidR="00B86BF1" w:rsidRPr="00A743C9" w:rsidRDefault="00B86BF1" w:rsidP="000376C7">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A743C9">
              <w:rPr>
                <w:rFonts w:asciiTheme="minorHAnsi" w:hAnsiTheme="minorHAnsi" w:cstheme="minorHAnsi"/>
                <w:sz w:val="16"/>
                <w:szCs w:val="16"/>
              </w:rPr>
              <w:t> </w:t>
            </w:r>
          </w:p>
        </w:tc>
        <w:tc>
          <w:tcPr>
            <w:tcW w:w="2337" w:type="dxa"/>
          </w:tcPr>
          <w:p w14:paraId="42DED5DF" w14:textId="77777777" w:rsidR="00B86BF1" w:rsidRPr="00A743C9" w:rsidRDefault="00B86BF1" w:rsidP="000376C7">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A743C9">
              <w:rPr>
                <w:rFonts w:asciiTheme="minorHAnsi" w:hAnsiTheme="minorHAnsi" w:cstheme="minorHAnsi"/>
                <w:sz w:val="16"/>
                <w:szCs w:val="16"/>
              </w:rPr>
              <w:t>Uganda (17.5)</w:t>
            </w:r>
          </w:p>
        </w:tc>
        <w:tc>
          <w:tcPr>
            <w:tcW w:w="2805" w:type="dxa"/>
          </w:tcPr>
          <w:p w14:paraId="79BF98CF" w14:textId="77777777" w:rsidR="00B86BF1" w:rsidRPr="00A743C9" w:rsidRDefault="00B86BF1" w:rsidP="000376C7">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A743C9">
              <w:rPr>
                <w:rFonts w:asciiTheme="minorHAnsi" w:hAnsiTheme="minorHAnsi" w:cstheme="minorHAnsi"/>
                <w:sz w:val="16"/>
                <w:szCs w:val="16"/>
              </w:rPr>
              <w:t>Philippines (44.8)</w:t>
            </w:r>
          </w:p>
        </w:tc>
        <w:tc>
          <w:tcPr>
            <w:tcW w:w="2806" w:type="dxa"/>
          </w:tcPr>
          <w:p w14:paraId="4656445F" w14:textId="77777777" w:rsidR="00B86BF1" w:rsidRPr="00A743C9" w:rsidRDefault="00B86BF1" w:rsidP="000376C7">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r>
      <w:tr w:rsidR="00B86BF1" w:rsidRPr="00A743C9" w14:paraId="40698071" w14:textId="77777777" w:rsidTr="000376C7">
        <w:trPr>
          <w:trHeight w:val="339"/>
        </w:trPr>
        <w:tc>
          <w:tcPr>
            <w:cnfStyle w:val="001000000000" w:firstRow="0" w:lastRow="0" w:firstColumn="1" w:lastColumn="0" w:oddVBand="0" w:evenVBand="0" w:oddHBand="0" w:evenHBand="0" w:firstRowFirstColumn="0" w:firstRowLastColumn="0" w:lastRowFirstColumn="0" w:lastRowLastColumn="0"/>
            <w:tcW w:w="3833" w:type="dxa"/>
          </w:tcPr>
          <w:p w14:paraId="1D4D4594" w14:textId="77777777" w:rsidR="00B86BF1" w:rsidRPr="00A743C9" w:rsidRDefault="00B86BF1" w:rsidP="000376C7">
            <w:pPr>
              <w:rPr>
                <w:rFonts w:asciiTheme="minorHAnsi" w:hAnsiTheme="minorHAnsi" w:cstheme="minorHAnsi"/>
                <w:sz w:val="16"/>
                <w:szCs w:val="16"/>
              </w:rPr>
            </w:pPr>
            <w:r w:rsidRPr="00A743C9">
              <w:rPr>
                <w:rFonts w:asciiTheme="minorHAnsi" w:hAnsiTheme="minorHAnsi" w:cstheme="minorHAnsi"/>
                <w:sz w:val="16"/>
                <w:szCs w:val="16"/>
              </w:rPr>
              <w:t> </w:t>
            </w:r>
          </w:p>
        </w:tc>
        <w:tc>
          <w:tcPr>
            <w:tcW w:w="2712" w:type="dxa"/>
          </w:tcPr>
          <w:p w14:paraId="3873099F" w14:textId="77777777" w:rsidR="00B86BF1" w:rsidRPr="00A743C9" w:rsidRDefault="00B86BF1" w:rsidP="000376C7">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A743C9">
              <w:rPr>
                <w:rFonts w:asciiTheme="minorHAnsi" w:hAnsiTheme="minorHAnsi" w:cstheme="minorHAnsi"/>
                <w:sz w:val="16"/>
                <w:szCs w:val="16"/>
              </w:rPr>
              <w:t> </w:t>
            </w:r>
          </w:p>
        </w:tc>
        <w:tc>
          <w:tcPr>
            <w:tcW w:w="2337" w:type="dxa"/>
          </w:tcPr>
          <w:p w14:paraId="3044DDD9" w14:textId="77777777" w:rsidR="00B86BF1" w:rsidRPr="00A743C9" w:rsidRDefault="00B86BF1" w:rsidP="000376C7">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A743C9">
              <w:rPr>
                <w:rFonts w:asciiTheme="minorHAnsi" w:hAnsiTheme="minorHAnsi" w:cstheme="minorHAnsi"/>
                <w:sz w:val="16"/>
                <w:szCs w:val="16"/>
              </w:rPr>
              <w:t>Uruguay (28.8)</w:t>
            </w:r>
          </w:p>
        </w:tc>
        <w:tc>
          <w:tcPr>
            <w:tcW w:w="2805" w:type="dxa"/>
          </w:tcPr>
          <w:p w14:paraId="5CFF9370" w14:textId="77777777" w:rsidR="00B86BF1" w:rsidRPr="00A743C9" w:rsidRDefault="00B86BF1" w:rsidP="000376C7">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A743C9">
              <w:rPr>
                <w:rFonts w:asciiTheme="minorHAnsi" w:hAnsiTheme="minorHAnsi" w:cstheme="minorHAnsi"/>
                <w:sz w:val="16"/>
                <w:szCs w:val="16"/>
              </w:rPr>
              <w:t>Poland (34)</w:t>
            </w:r>
          </w:p>
        </w:tc>
        <w:tc>
          <w:tcPr>
            <w:tcW w:w="2806" w:type="dxa"/>
          </w:tcPr>
          <w:p w14:paraId="53C82613" w14:textId="77777777" w:rsidR="00B86BF1" w:rsidRPr="00A743C9" w:rsidRDefault="00B86BF1" w:rsidP="000376C7">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r>
      <w:tr w:rsidR="00B86BF1" w:rsidRPr="00A743C9" w14:paraId="0D20DA0E" w14:textId="77777777" w:rsidTr="000376C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833" w:type="dxa"/>
          </w:tcPr>
          <w:p w14:paraId="2A714B37" w14:textId="77777777" w:rsidR="00B86BF1" w:rsidRPr="00A743C9" w:rsidRDefault="00B86BF1" w:rsidP="000376C7">
            <w:pPr>
              <w:rPr>
                <w:rFonts w:cs="Calibri"/>
                <w:sz w:val="16"/>
                <w:szCs w:val="16"/>
              </w:rPr>
            </w:pPr>
          </w:p>
        </w:tc>
        <w:tc>
          <w:tcPr>
            <w:tcW w:w="2712" w:type="dxa"/>
          </w:tcPr>
          <w:p w14:paraId="575F407D" w14:textId="77777777" w:rsidR="00B86BF1" w:rsidRPr="00A743C9" w:rsidRDefault="00B86BF1"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p>
        </w:tc>
        <w:tc>
          <w:tcPr>
            <w:tcW w:w="2337" w:type="dxa"/>
          </w:tcPr>
          <w:p w14:paraId="7C39EE7F" w14:textId="77777777" w:rsidR="00B86BF1" w:rsidRPr="00A743C9" w:rsidRDefault="00B86BF1"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p>
        </w:tc>
        <w:tc>
          <w:tcPr>
            <w:tcW w:w="2805" w:type="dxa"/>
          </w:tcPr>
          <w:p w14:paraId="557F7E57"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cs="Calibri"/>
                <w:sz w:val="16"/>
                <w:szCs w:val="16"/>
              </w:rPr>
            </w:pPr>
          </w:p>
        </w:tc>
        <w:tc>
          <w:tcPr>
            <w:tcW w:w="2806" w:type="dxa"/>
          </w:tcPr>
          <w:p w14:paraId="171EA15B" w14:textId="77777777" w:rsidR="00B86BF1" w:rsidRPr="00A743C9" w:rsidRDefault="00B86BF1"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p>
        </w:tc>
      </w:tr>
    </w:tbl>
    <w:p w14:paraId="405A1531" w14:textId="77777777" w:rsidR="00B86BF1" w:rsidRPr="00E12F17" w:rsidRDefault="00B86BF1" w:rsidP="00B86BF1">
      <w:pPr>
        <w:pStyle w:val="BodyText"/>
        <w:rPr>
          <w:sz w:val="18"/>
          <w:szCs w:val="18"/>
        </w:rPr>
      </w:pPr>
      <w:r w:rsidRPr="00E12F17">
        <w:rPr>
          <w:sz w:val="18"/>
          <w:szCs w:val="18"/>
        </w:rPr>
        <w:t>*country (</w:t>
      </w:r>
      <w:r>
        <w:rPr>
          <w:sz w:val="18"/>
          <w:szCs w:val="18"/>
        </w:rPr>
        <w:t xml:space="preserve">2013 </w:t>
      </w:r>
      <w:r w:rsidRPr="00E12F17">
        <w:rPr>
          <w:sz w:val="18"/>
          <w:szCs w:val="18"/>
        </w:rPr>
        <w:t>age</w:t>
      </w:r>
      <w:r>
        <w:rPr>
          <w:sz w:val="18"/>
          <w:szCs w:val="18"/>
        </w:rPr>
        <w:noBreakHyphen/>
      </w:r>
      <w:r w:rsidRPr="00E12F17">
        <w:rPr>
          <w:sz w:val="18"/>
          <w:szCs w:val="18"/>
        </w:rPr>
        <w:t>standar</w:t>
      </w:r>
      <w:r>
        <w:rPr>
          <w:sz w:val="18"/>
          <w:szCs w:val="18"/>
        </w:rPr>
        <w:t>d</w:t>
      </w:r>
      <w:r w:rsidRPr="00E12F17">
        <w:rPr>
          <w:sz w:val="18"/>
          <w:szCs w:val="18"/>
        </w:rPr>
        <w:t>ised male current tobacco use rate)</w:t>
      </w:r>
      <w:r>
        <w:rPr>
          <w:sz w:val="18"/>
          <w:szCs w:val="18"/>
        </w:rPr>
        <w:t xml:space="preserve">; </w:t>
      </w:r>
    </w:p>
    <w:p w14:paraId="5AEBC4ED" w14:textId="77777777" w:rsidR="00B86BF1" w:rsidRDefault="00B86BF1" w:rsidP="00B86BF1">
      <w:pPr>
        <w:spacing w:after="0"/>
      </w:pPr>
      <w:r>
        <w:br w:type="page"/>
      </w:r>
    </w:p>
    <w:p w14:paraId="21EEA6EB" w14:textId="77777777" w:rsidR="00B86BF1" w:rsidRDefault="003D2CBD" w:rsidP="003D2CBD">
      <w:pPr>
        <w:pStyle w:val="Caption"/>
      </w:pPr>
      <w:bookmarkStart w:id="279" w:name="_Toc516579732"/>
      <w:bookmarkStart w:id="280" w:name="_Toc517707435"/>
      <w:r>
        <w:lastRenderedPageBreak/>
        <w:t xml:space="preserve">Table </w:t>
      </w:r>
      <w:r w:rsidR="0048064B">
        <w:rPr>
          <w:noProof/>
        </w:rPr>
        <w:fldChar w:fldCharType="begin"/>
      </w:r>
      <w:r w:rsidR="0048064B">
        <w:rPr>
          <w:noProof/>
        </w:rPr>
        <w:instrText xml:space="preserve"> SEQ Table \* ARABIC </w:instrText>
      </w:r>
      <w:r w:rsidR="0048064B">
        <w:rPr>
          <w:noProof/>
        </w:rPr>
        <w:fldChar w:fldCharType="separate"/>
      </w:r>
      <w:r w:rsidR="000C06DA">
        <w:rPr>
          <w:noProof/>
        </w:rPr>
        <w:t>26</w:t>
      </w:r>
      <w:r w:rsidR="0048064B">
        <w:rPr>
          <w:noProof/>
        </w:rPr>
        <w:fldChar w:fldCharType="end"/>
      </w:r>
      <w:r w:rsidR="00B86BF1">
        <w:t>: Average of the country prevalence rate (%) for tobacco and cigarette use by sex within e</w:t>
      </w:r>
      <w:r w:rsidR="00B86BF1">
        <w:noBreakHyphen/>
        <w:t>cigarette regulation categories</w:t>
      </w:r>
      <w:bookmarkEnd w:id="279"/>
      <w:bookmarkEnd w:id="280"/>
    </w:p>
    <w:tbl>
      <w:tblPr>
        <w:tblStyle w:val="TableCSIRO"/>
        <w:tblW w:w="0" w:type="auto"/>
        <w:tblLook w:val="04A0" w:firstRow="1" w:lastRow="0" w:firstColumn="1" w:lastColumn="0" w:noHBand="0" w:noVBand="1"/>
      </w:tblPr>
      <w:tblGrid>
        <w:gridCol w:w="2450"/>
        <w:gridCol w:w="2289"/>
        <w:gridCol w:w="2429"/>
        <w:gridCol w:w="2430"/>
        <w:gridCol w:w="2429"/>
        <w:gridCol w:w="2430"/>
      </w:tblGrid>
      <w:tr w:rsidR="00B86BF1" w:rsidRPr="00A743C9" w14:paraId="46BC92F4" w14:textId="77777777" w:rsidTr="000376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0" w:type="dxa"/>
          </w:tcPr>
          <w:p w14:paraId="5B8651A6" w14:textId="77777777" w:rsidR="00B86BF1" w:rsidRPr="00A743C9" w:rsidRDefault="00B86BF1" w:rsidP="000376C7">
            <w:pPr>
              <w:spacing w:after="0"/>
              <w:rPr>
                <w:color w:val="FFFFFF" w:themeColor="background1"/>
                <w:sz w:val="16"/>
                <w:szCs w:val="16"/>
              </w:rPr>
            </w:pPr>
          </w:p>
        </w:tc>
        <w:tc>
          <w:tcPr>
            <w:tcW w:w="2289" w:type="dxa"/>
          </w:tcPr>
          <w:p w14:paraId="4AF723B2" w14:textId="77777777" w:rsidR="00B86BF1" w:rsidRPr="00A743C9" w:rsidRDefault="00B86BF1" w:rsidP="000376C7">
            <w:pPr>
              <w:spacing w:after="0"/>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p>
        </w:tc>
        <w:tc>
          <w:tcPr>
            <w:tcW w:w="9718" w:type="dxa"/>
            <w:gridSpan w:val="4"/>
          </w:tcPr>
          <w:p w14:paraId="06214E11" w14:textId="77777777" w:rsidR="00B86BF1" w:rsidRPr="00A743C9" w:rsidRDefault="00B86BF1" w:rsidP="000376C7">
            <w:pPr>
              <w:spacing w:after="0"/>
              <w:jc w:val="cente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A743C9">
              <w:rPr>
                <w:bCs w:val="0"/>
                <w:color w:val="FFFFFF" w:themeColor="background1"/>
                <w:sz w:val="16"/>
                <w:szCs w:val="16"/>
              </w:rPr>
              <w:t>E</w:t>
            </w:r>
            <w:r w:rsidRPr="00A743C9">
              <w:rPr>
                <w:bCs w:val="0"/>
                <w:color w:val="FFFFFF" w:themeColor="background1"/>
                <w:sz w:val="16"/>
                <w:szCs w:val="16"/>
              </w:rPr>
              <w:noBreakHyphen/>
              <w:t>cigarette Regulation category</w:t>
            </w:r>
          </w:p>
        </w:tc>
      </w:tr>
      <w:tr w:rsidR="00B86BF1" w:rsidRPr="00A743C9" w14:paraId="1C53BF50" w14:textId="77777777" w:rsidTr="000376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0" w:type="dxa"/>
            <w:shd w:val="clear" w:color="auto" w:fill="000000" w:themeFill="text1"/>
          </w:tcPr>
          <w:p w14:paraId="4B5E7DFF" w14:textId="77777777" w:rsidR="00B86BF1" w:rsidRPr="00A743C9" w:rsidRDefault="00B86BF1" w:rsidP="000376C7">
            <w:pPr>
              <w:spacing w:after="0"/>
              <w:rPr>
                <w:bCs w:val="0"/>
                <w:color w:val="FFFFFF" w:themeColor="background1"/>
                <w:sz w:val="16"/>
                <w:szCs w:val="16"/>
              </w:rPr>
            </w:pPr>
          </w:p>
        </w:tc>
        <w:tc>
          <w:tcPr>
            <w:tcW w:w="2289" w:type="dxa"/>
            <w:shd w:val="clear" w:color="auto" w:fill="000000" w:themeFill="text1"/>
          </w:tcPr>
          <w:p w14:paraId="031473EF" w14:textId="77777777" w:rsidR="00B86BF1" w:rsidRPr="00A743C9" w:rsidRDefault="00B86BF1" w:rsidP="000376C7">
            <w:pPr>
              <w:spacing w:after="0"/>
              <w:cnfStyle w:val="000000100000" w:firstRow="0" w:lastRow="0" w:firstColumn="0" w:lastColumn="0" w:oddVBand="0" w:evenVBand="0" w:oddHBand="1" w:evenHBand="0" w:firstRowFirstColumn="0" w:firstRowLastColumn="0" w:lastRowFirstColumn="0" w:lastRowLastColumn="0"/>
              <w:rPr>
                <w:color w:val="FFFFFF" w:themeColor="background1"/>
                <w:sz w:val="16"/>
                <w:szCs w:val="16"/>
              </w:rPr>
            </w:pPr>
          </w:p>
        </w:tc>
        <w:tc>
          <w:tcPr>
            <w:tcW w:w="2429" w:type="dxa"/>
            <w:shd w:val="clear" w:color="auto" w:fill="000000" w:themeFill="text1"/>
          </w:tcPr>
          <w:p w14:paraId="42B05890" w14:textId="25771F18"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16"/>
                <w:szCs w:val="16"/>
              </w:rPr>
            </w:pPr>
            <w:r w:rsidRPr="00A743C9">
              <w:rPr>
                <w:b/>
                <w:color w:val="FFFFFF" w:themeColor="background1"/>
                <w:sz w:val="16"/>
                <w:szCs w:val="16"/>
              </w:rPr>
              <w:t>Countries with complete use and sales ban</w:t>
            </w:r>
            <w:r w:rsidR="00C74449">
              <w:rPr>
                <w:b/>
                <w:color w:val="FFFFFF" w:themeColor="background1"/>
                <w:sz w:val="16"/>
                <w:szCs w:val="16"/>
              </w:rPr>
              <w:t>*</w:t>
            </w:r>
          </w:p>
        </w:tc>
        <w:tc>
          <w:tcPr>
            <w:tcW w:w="2430" w:type="dxa"/>
            <w:shd w:val="clear" w:color="auto" w:fill="000000" w:themeFill="text1"/>
          </w:tcPr>
          <w:p w14:paraId="024263C3" w14:textId="25EA6198"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16"/>
                <w:szCs w:val="16"/>
              </w:rPr>
            </w:pPr>
            <w:r w:rsidRPr="00A743C9">
              <w:rPr>
                <w:b/>
                <w:color w:val="FFFFFF" w:themeColor="background1"/>
                <w:sz w:val="16"/>
                <w:szCs w:val="16"/>
              </w:rPr>
              <w:t>Countries with a sales ban and restricted public use</w:t>
            </w:r>
            <w:r w:rsidR="00C74449">
              <w:rPr>
                <w:b/>
                <w:color w:val="FFFFFF" w:themeColor="background1"/>
                <w:sz w:val="16"/>
                <w:szCs w:val="16"/>
              </w:rPr>
              <w:t>*</w:t>
            </w:r>
          </w:p>
        </w:tc>
        <w:tc>
          <w:tcPr>
            <w:tcW w:w="2429" w:type="dxa"/>
            <w:shd w:val="clear" w:color="auto" w:fill="000000" w:themeFill="text1"/>
          </w:tcPr>
          <w:p w14:paraId="47F9D2FB" w14:textId="22E6BADD"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16"/>
                <w:szCs w:val="16"/>
              </w:rPr>
            </w:pPr>
            <w:r w:rsidRPr="00A743C9">
              <w:rPr>
                <w:b/>
                <w:color w:val="FFFFFF" w:themeColor="background1"/>
                <w:sz w:val="16"/>
                <w:szCs w:val="16"/>
              </w:rPr>
              <w:t>Countries with sales ban</w:t>
            </w:r>
            <w:r w:rsidR="00C74449">
              <w:rPr>
                <w:b/>
                <w:color w:val="FFFFFF" w:themeColor="background1"/>
                <w:sz w:val="16"/>
                <w:szCs w:val="16"/>
              </w:rPr>
              <w:t>*</w:t>
            </w:r>
          </w:p>
        </w:tc>
        <w:tc>
          <w:tcPr>
            <w:tcW w:w="2430" w:type="dxa"/>
            <w:shd w:val="clear" w:color="auto" w:fill="000000" w:themeFill="text1"/>
          </w:tcPr>
          <w:p w14:paraId="561FC84B" w14:textId="074C42F0"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16"/>
                <w:szCs w:val="16"/>
              </w:rPr>
            </w:pPr>
            <w:r w:rsidRPr="00A743C9">
              <w:rPr>
                <w:b/>
                <w:color w:val="FFFFFF" w:themeColor="background1"/>
                <w:sz w:val="16"/>
                <w:szCs w:val="16"/>
              </w:rPr>
              <w:t>Countries with restricted public use</w:t>
            </w:r>
            <w:r w:rsidR="00C74449">
              <w:rPr>
                <w:b/>
                <w:color w:val="FFFFFF" w:themeColor="background1"/>
                <w:sz w:val="16"/>
                <w:szCs w:val="16"/>
              </w:rPr>
              <w:t>*</w:t>
            </w:r>
          </w:p>
        </w:tc>
      </w:tr>
      <w:tr w:rsidR="00B86BF1" w:rsidRPr="00A743C9" w14:paraId="76F5AAFA" w14:textId="77777777" w:rsidTr="000376C7">
        <w:tc>
          <w:tcPr>
            <w:cnfStyle w:val="001000000000" w:firstRow="0" w:lastRow="0" w:firstColumn="1" w:lastColumn="0" w:oddVBand="0" w:evenVBand="0" w:oddHBand="0" w:evenHBand="0" w:firstRowFirstColumn="0" w:firstRowLastColumn="0" w:lastRowFirstColumn="0" w:lastRowLastColumn="0"/>
            <w:tcW w:w="2450" w:type="dxa"/>
            <w:vMerge w:val="restart"/>
          </w:tcPr>
          <w:p w14:paraId="53DF2046" w14:textId="77777777" w:rsidR="00B86BF1" w:rsidRPr="00A743C9" w:rsidRDefault="00B86BF1" w:rsidP="000376C7">
            <w:pPr>
              <w:spacing w:after="0"/>
              <w:rPr>
                <w:bCs w:val="0"/>
                <w:color w:val="auto"/>
                <w:sz w:val="16"/>
                <w:szCs w:val="16"/>
              </w:rPr>
            </w:pPr>
            <w:r w:rsidRPr="00A743C9">
              <w:rPr>
                <w:bCs w:val="0"/>
                <w:color w:val="auto"/>
                <w:sz w:val="16"/>
                <w:szCs w:val="16"/>
              </w:rPr>
              <w:t>Current smoking of any tobacco product</w:t>
            </w:r>
          </w:p>
        </w:tc>
        <w:tc>
          <w:tcPr>
            <w:tcW w:w="2289" w:type="dxa"/>
          </w:tcPr>
          <w:p w14:paraId="31E610D2" w14:textId="77777777" w:rsidR="00B86BF1" w:rsidRPr="00A743C9" w:rsidRDefault="00B86BF1" w:rsidP="000376C7">
            <w:pPr>
              <w:spacing w:after="0"/>
              <w:cnfStyle w:val="000000000000" w:firstRow="0" w:lastRow="0" w:firstColumn="0" w:lastColumn="0" w:oddVBand="0" w:evenVBand="0" w:oddHBand="0" w:evenHBand="0" w:firstRowFirstColumn="0" w:firstRowLastColumn="0" w:lastRowFirstColumn="0" w:lastRowLastColumn="0"/>
              <w:rPr>
                <w:bCs/>
                <w:color w:val="auto"/>
                <w:sz w:val="16"/>
                <w:szCs w:val="16"/>
              </w:rPr>
            </w:pPr>
            <w:r w:rsidRPr="00A743C9">
              <w:rPr>
                <w:bCs/>
                <w:color w:val="auto"/>
                <w:sz w:val="16"/>
                <w:szCs w:val="16"/>
              </w:rPr>
              <w:t>Males</w:t>
            </w:r>
          </w:p>
        </w:tc>
        <w:tc>
          <w:tcPr>
            <w:tcW w:w="2429" w:type="dxa"/>
          </w:tcPr>
          <w:p w14:paraId="622017A3" w14:textId="1627D5F9"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bCs/>
                <w:color w:val="auto"/>
                <w:sz w:val="16"/>
                <w:szCs w:val="16"/>
              </w:rPr>
            </w:pPr>
            <w:r w:rsidRPr="00A743C9">
              <w:rPr>
                <w:bCs/>
                <w:color w:val="auto"/>
                <w:sz w:val="16"/>
                <w:szCs w:val="16"/>
              </w:rPr>
              <w:t>40</w:t>
            </w:r>
          </w:p>
        </w:tc>
        <w:tc>
          <w:tcPr>
            <w:tcW w:w="2430" w:type="dxa"/>
          </w:tcPr>
          <w:p w14:paraId="0437AFC5"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bCs/>
                <w:color w:val="auto"/>
                <w:sz w:val="16"/>
                <w:szCs w:val="16"/>
              </w:rPr>
            </w:pPr>
            <w:r w:rsidRPr="00A743C9">
              <w:rPr>
                <w:bCs/>
                <w:color w:val="auto"/>
                <w:sz w:val="16"/>
                <w:szCs w:val="16"/>
              </w:rPr>
              <w:t>30.2</w:t>
            </w:r>
          </w:p>
        </w:tc>
        <w:tc>
          <w:tcPr>
            <w:tcW w:w="2429" w:type="dxa"/>
          </w:tcPr>
          <w:p w14:paraId="675ECD17"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bCs/>
                <w:color w:val="auto"/>
                <w:sz w:val="16"/>
                <w:szCs w:val="16"/>
              </w:rPr>
            </w:pPr>
            <w:r w:rsidRPr="00A743C9">
              <w:rPr>
                <w:bCs/>
                <w:color w:val="auto"/>
                <w:sz w:val="16"/>
                <w:szCs w:val="16"/>
              </w:rPr>
              <w:t>27.3</w:t>
            </w:r>
          </w:p>
        </w:tc>
        <w:tc>
          <w:tcPr>
            <w:tcW w:w="2430" w:type="dxa"/>
          </w:tcPr>
          <w:p w14:paraId="3AEED1DC"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bCs/>
                <w:color w:val="auto"/>
                <w:sz w:val="16"/>
                <w:szCs w:val="16"/>
              </w:rPr>
            </w:pPr>
            <w:r w:rsidRPr="00A743C9">
              <w:rPr>
                <w:bCs/>
                <w:color w:val="auto"/>
                <w:sz w:val="16"/>
                <w:szCs w:val="16"/>
              </w:rPr>
              <w:t>35</w:t>
            </w:r>
          </w:p>
        </w:tc>
      </w:tr>
      <w:tr w:rsidR="00B86BF1" w:rsidRPr="00A743C9" w14:paraId="37193297" w14:textId="77777777" w:rsidTr="000376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0" w:type="dxa"/>
            <w:vMerge/>
          </w:tcPr>
          <w:p w14:paraId="49AD32A7" w14:textId="77777777" w:rsidR="00B86BF1" w:rsidRPr="00A743C9" w:rsidRDefault="00B86BF1" w:rsidP="000376C7">
            <w:pPr>
              <w:spacing w:after="0"/>
              <w:rPr>
                <w:bCs w:val="0"/>
                <w:color w:val="auto"/>
                <w:sz w:val="16"/>
                <w:szCs w:val="16"/>
              </w:rPr>
            </w:pPr>
          </w:p>
        </w:tc>
        <w:tc>
          <w:tcPr>
            <w:tcW w:w="2289" w:type="dxa"/>
          </w:tcPr>
          <w:p w14:paraId="147D17FF" w14:textId="77777777" w:rsidR="00B86BF1" w:rsidRPr="00A743C9" w:rsidRDefault="00B86BF1" w:rsidP="000376C7">
            <w:pPr>
              <w:spacing w:after="0"/>
              <w:cnfStyle w:val="000000100000" w:firstRow="0" w:lastRow="0" w:firstColumn="0" w:lastColumn="0" w:oddVBand="0" w:evenVBand="0" w:oddHBand="1" w:evenHBand="0" w:firstRowFirstColumn="0" w:firstRowLastColumn="0" w:lastRowFirstColumn="0" w:lastRowLastColumn="0"/>
              <w:rPr>
                <w:bCs/>
                <w:color w:val="auto"/>
                <w:sz w:val="16"/>
                <w:szCs w:val="16"/>
              </w:rPr>
            </w:pPr>
            <w:r w:rsidRPr="00A743C9">
              <w:rPr>
                <w:bCs/>
                <w:color w:val="auto"/>
                <w:sz w:val="16"/>
                <w:szCs w:val="16"/>
              </w:rPr>
              <w:t>Females</w:t>
            </w:r>
          </w:p>
        </w:tc>
        <w:tc>
          <w:tcPr>
            <w:tcW w:w="2429" w:type="dxa"/>
          </w:tcPr>
          <w:p w14:paraId="1E0E579F"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bCs/>
                <w:color w:val="auto"/>
                <w:sz w:val="16"/>
                <w:szCs w:val="16"/>
              </w:rPr>
            </w:pPr>
            <w:r w:rsidRPr="00A743C9">
              <w:rPr>
                <w:bCs/>
                <w:color w:val="auto"/>
                <w:sz w:val="16"/>
                <w:szCs w:val="16"/>
              </w:rPr>
              <w:t>7.3</w:t>
            </w:r>
          </w:p>
        </w:tc>
        <w:tc>
          <w:tcPr>
            <w:tcW w:w="2430" w:type="dxa"/>
          </w:tcPr>
          <w:p w14:paraId="27443B44"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bCs/>
                <w:color w:val="auto"/>
                <w:sz w:val="16"/>
                <w:szCs w:val="16"/>
              </w:rPr>
            </w:pPr>
            <w:r w:rsidRPr="00A743C9">
              <w:rPr>
                <w:bCs/>
                <w:color w:val="auto"/>
                <w:sz w:val="16"/>
                <w:szCs w:val="16"/>
              </w:rPr>
              <w:t>13</w:t>
            </w:r>
          </w:p>
        </w:tc>
        <w:tc>
          <w:tcPr>
            <w:tcW w:w="2429" w:type="dxa"/>
          </w:tcPr>
          <w:p w14:paraId="7FA264A2"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bCs/>
                <w:color w:val="auto"/>
                <w:sz w:val="16"/>
                <w:szCs w:val="16"/>
              </w:rPr>
            </w:pPr>
            <w:r w:rsidRPr="00A743C9">
              <w:rPr>
                <w:bCs/>
                <w:color w:val="auto"/>
                <w:sz w:val="16"/>
                <w:szCs w:val="16"/>
              </w:rPr>
              <w:t>11.6</w:t>
            </w:r>
          </w:p>
        </w:tc>
        <w:tc>
          <w:tcPr>
            <w:tcW w:w="2430" w:type="dxa"/>
          </w:tcPr>
          <w:p w14:paraId="13FB9F41"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bCs/>
                <w:color w:val="auto"/>
                <w:sz w:val="16"/>
                <w:szCs w:val="16"/>
              </w:rPr>
            </w:pPr>
            <w:r w:rsidRPr="00A743C9">
              <w:rPr>
                <w:bCs/>
                <w:color w:val="auto"/>
                <w:sz w:val="16"/>
                <w:szCs w:val="16"/>
              </w:rPr>
              <w:t>17.1</w:t>
            </w:r>
          </w:p>
        </w:tc>
      </w:tr>
      <w:tr w:rsidR="00B86BF1" w:rsidRPr="00A743C9" w14:paraId="0360C9A7" w14:textId="77777777" w:rsidTr="000376C7">
        <w:tc>
          <w:tcPr>
            <w:cnfStyle w:val="001000000000" w:firstRow="0" w:lastRow="0" w:firstColumn="1" w:lastColumn="0" w:oddVBand="0" w:evenVBand="0" w:oddHBand="0" w:evenHBand="0" w:firstRowFirstColumn="0" w:firstRowLastColumn="0" w:lastRowFirstColumn="0" w:lastRowLastColumn="0"/>
            <w:tcW w:w="2450" w:type="dxa"/>
            <w:vMerge/>
            <w:tcBorders>
              <w:bottom w:val="single" w:sz="4" w:space="0" w:color="auto"/>
            </w:tcBorders>
          </w:tcPr>
          <w:p w14:paraId="5CB6AA9D" w14:textId="77777777" w:rsidR="00B86BF1" w:rsidRPr="00A743C9" w:rsidRDefault="00B86BF1" w:rsidP="000376C7">
            <w:pPr>
              <w:spacing w:after="0"/>
              <w:rPr>
                <w:bCs w:val="0"/>
                <w:color w:val="auto"/>
                <w:sz w:val="16"/>
                <w:szCs w:val="16"/>
              </w:rPr>
            </w:pPr>
          </w:p>
        </w:tc>
        <w:tc>
          <w:tcPr>
            <w:tcW w:w="2289" w:type="dxa"/>
            <w:tcBorders>
              <w:bottom w:val="single" w:sz="4" w:space="0" w:color="auto"/>
            </w:tcBorders>
          </w:tcPr>
          <w:p w14:paraId="66BC281E" w14:textId="77777777" w:rsidR="00B86BF1" w:rsidRPr="00A743C9" w:rsidRDefault="00B86BF1" w:rsidP="000376C7">
            <w:pPr>
              <w:spacing w:after="0"/>
              <w:cnfStyle w:val="000000000000" w:firstRow="0" w:lastRow="0" w:firstColumn="0" w:lastColumn="0" w:oddVBand="0" w:evenVBand="0" w:oddHBand="0" w:evenHBand="0" w:firstRowFirstColumn="0" w:firstRowLastColumn="0" w:lastRowFirstColumn="0" w:lastRowLastColumn="0"/>
              <w:rPr>
                <w:bCs/>
                <w:color w:val="auto"/>
                <w:sz w:val="16"/>
                <w:szCs w:val="16"/>
              </w:rPr>
            </w:pPr>
            <w:r w:rsidRPr="00A743C9">
              <w:rPr>
                <w:bCs/>
                <w:color w:val="auto"/>
                <w:sz w:val="16"/>
                <w:szCs w:val="16"/>
              </w:rPr>
              <w:t>Total</w:t>
            </w:r>
          </w:p>
        </w:tc>
        <w:tc>
          <w:tcPr>
            <w:tcW w:w="2429" w:type="dxa"/>
            <w:tcBorders>
              <w:bottom w:val="single" w:sz="4" w:space="0" w:color="auto"/>
            </w:tcBorders>
          </w:tcPr>
          <w:p w14:paraId="5B5BF3FE"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bCs/>
                <w:color w:val="auto"/>
                <w:sz w:val="16"/>
                <w:szCs w:val="16"/>
              </w:rPr>
            </w:pPr>
            <w:r w:rsidRPr="00A743C9">
              <w:rPr>
                <w:bCs/>
                <w:color w:val="auto"/>
                <w:sz w:val="16"/>
                <w:szCs w:val="16"/>
              </w:rPr>
              <w:t>23.3</w:t>
            </w:r>
          </w:p>
        </w:tc>
        <w:tc>
          <w:tcPr>
            <w:tcW w:w="2430" w:type="dxa"/>
            <w:tcBorders>
              <w:bottom w:val="single" w:sz="4" w:space="0" w:color="auto"/>
            </w:tcBorders>
          </w:tcPr>
          <w:p w14:paraId="71AC4318"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bCs/>
                <w:color w:val="auto"/>
                <w:sz w:val="16"/>
                <w:szCs w:val="16"/>
              </w:rPr>
            </w:pPr>
            <w:r w:rsidRPr="00A743C9">
              <w:rPr>
                <w:bCs/>
                <w:color w:val="auto"/>
                <w:sz w:val="16"/>
                <w:szCs w:val="16"/>
              </w:rPr>
              <w:t>21.4</w:t>
            </w:r>
          </w:p>
        </w:tc>
        <w:tc>
          <w:tcPr>
            <w:tcW w:w="2429" w:type="dxa"/>
            <w:tcBorders>
              <w:bottom w:val="single" w:sz="4" w:space="0" w:color="auto"/>
            </w:tcBorders>
          </w:tcPr>
          <w:p w14:paraId="7896D82A"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bCs/>
                <w:color w:val="auto"/>
                <w:sz w:val="16"/>
                <w:szCs w:val="16"/>
              </w:rPr>
            </w:pPr>
            <w:r w:rsidRPr="00A743C9">
              <w:rPr>
                <w:bCs/>
                <w:color w:val="auto"/>
                <w:sz w:val="16"/>
                <w:szCs w:val="16"/>
              </w:rPr>
              <w:t>19.8</w:t>
            </w:r>
          </w:p>
        </w:tc>
        <w:tc>
          <w:tcPr>
            <w:tcW w:w="2430" w:type="dxa"/>
            <w:tcBorders>
              <w:bottom w:val="single" w:sz="4" w:space="0" w:color="auto"/>
            </w:tcBorders>
          </w:tcPr>
          <w:p w14:paraId="4DEFCB8D"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bCs/>
                <w:color w:val="auto"/>
                <w:sz w:val="16"/>
                <w:szCs w:val="16"/>
              </w:rPr>
            </w:pPr>
            <w:r w:rsidRPr="00A743C9">
              <w:rPr>
                <w:bCs/>
                <w:color w:val="auto"/>
                <w:sz w:val="16"/>
                <w:szCs w:val="16"/>
              </w:rPr>
              <w:t>25.7</w:t>
            </w:r>
          </w:p>
        </w:tc>
      </w:tr>
      <w:tr w:rsidR="00B86BF1" w:rsidRPr="00A743C9" w14:paraId="0F0CA078" w14:textId="77777777" w:rsidTr="000376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0" w:type="dxa"/>
            <w:vMerge w:val="restart"/>
            <w:tcBorders>
              <w:top w:val="single" w:sz="4" w:space="0" w:color="auto"/>
              <w:bottom w:val="nil"/>
            </w:tcBorders>
          </w:tcPr>
          <w:p w14:paraId="3324AE96" w14:textId="77777777" w:rsidR="00B86BF1" w:rsidRPr="00A743C9" w:rsidRDefault="00B86BF1" w:rsidP="000376C7">
            <w:pPr>
              <w:spacing w:after="0"/>
              <w:rPr>
                <w:bCs w:val="0"/>
                <w:color w:val="auto"/>
                <w:sz w:val="16"/>
                <w:szCs w:val="16"/>
              </w:rPr>
            </w:pPr>
            <w:r w:rsidRPr="00A743C9">
              <w:rPr>
                <w:bCs w:val="0"/>
                <w:color w:val="auto"/>
                <w:sz w:val="16"/>
                <w:szCs w:val="16"/>
              </w:rPr>
              <w:t>Daily smoking of cigarettes</w:t>
            </w:r>
          </w:p>
        </w:tc>
        <w:tc>
          <w:tcPr>
            <w:tcW w:w="2289" w:type="dxa"/>
            <w:tcBorders>
              <w:top w:val="single" w:sz="4" w:space="0" w:color="auto"/>
              <w:bottom w:val="nil"/>
            </w:tcBorders>
          </w:tcPr>
          <w:p w14:paraId="214A7CB2" w14:textId="77777777" w:rsidR="00B86BF1" w:rsidRPr="00A743C9" w:rsidRDefault="00B86BF1" w:rsidP="000376C7">
            <w:pPr>
              <w:spacing w:after="0"/>
              <w:cnfStyle w:val="000000100000" w:firstRow="0" w:lastRow="0" w:firstColumn="0" w:lastColumn="0" w:oddVBand="0" w:evenVBand="0" w:oddHBand="1" w:evenHBand="0" w:firstRowFirstColumn="0" w:firstRowLastColumn="0" w:lastRowFirstColumn="0" w:lastRowLastColumn="0"/>
              <w:rPr>
                <w:bCs/>
                <w:color w:val="auto"/>
                <w:sz w:val="16"/>
                <w:szCs w:val="16"/>
              </w:rPr>
            </w:pPr>
            <w:r w:rsidRPr="00A743C9">
              <w:rPr>
                <w:bCs/>
                <w:color w:val="auto"/>
                <w:sz w:val="16"/>
                <w:szCs w:val="16"/>
              </w:rPr>
              <w:t>Males</w:t>
            </w:r>
          </w:p>
        </w:tc>
        <w:tc>
          <w:tcPr>
            <w:tcW w:w="2429" w:type="dxa"/>
            <w:tcBorders>
              <w:top w:val="single" w:sz="4" w:space="0" w:color="auto"/>
              <w:bottom w:val="nil"/>
            </w:tcBorders>
          </w:tcPr>
          <w:p w14:paraId="419E8817"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bCs/>
                <w:color w:val="auto"/>
                <w:sz w:val="16"/>
                <w:szCs w:val="16"/>
              </w:rPr>
            </w:pPr>
            <w:r w:rsidRPr="00A743C9">
              <w:rPr>
                <w:bCs/>
                <w:color w:val="auto"/>
                <w:sz w:val="16"/>
                <w:szCs w:val="16"/>
              </w:rPr>
              <w:t>26.4</w:t>
            </w:r>
          </w:p>
        </w:tc>
        <w:tc>
          <w:tcPr>
            <w:tcW w:w="2430" w:type="dxa"/>
            <w:tcBorders>
              <w:top w:val="single" w:sz="4" w:space="0" w:color="auto"/>
              <w:bottom w:val="nil"/>
            </w:tcBorders>
          </w:tcPr>
          <w:p w14:paraId="79D7A282"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bCs/>
                <w:color w:val="auto"/>
                <w:sz w:val="16"/>
                <w:szCs w:val="16"/>
              </w:rPr>
            </w:pPr>
            <w:r w:rsidRPr="00A743C9">
              <w:rPr>
                <w:bCs/>
                <w:color w:val="auto"/>
                <w:sz w:val="16"/>
                <w:szCs w:val="16"/>
              </w:rPr>
              <w:t>21.6</w:t>
            </w:r>
          </w:p>
        </w:tc>
        <w:tc>
          <w:tcPr>
            <w:tcW w:w="2429" w:type="dxa"/>
            <w:tcBorders>
              <w:top w:val="single" w:sz="4" w:space="0" w:color="auto"/>
              <w:bottom w:val="nil"/>
            </w:tcBorders>
          </w:tcPr>
          <w:p w14:paraId="6082525B"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bCs/>
                <w:color w:val="auto"/>
                <w:sz w:val="16"/>
                <w:szCs w:val="16"/>
              </w:rPr>
            </w:pPr>
            <w:r w:rsidRPr="00A743C9">
              <w:rPr>
                <w:bCs/>
                <w:color w:val="auto"/>
                <w:sz w:val="16"/>
                <w:szCs w:val="16"/>
              </w:rPr>
              <w:t>19.5</w:t>
            </w:r>
          </w:p>
        </w:tc>
        <w:tc>
          <w:tcPr>
            <w:tcW w:w="2430" w:type="dxa"/>
            <w:tcBorders>
              <w:top w:val="single" w:sz="4" w:space="0" w:color="auto"/>
              <w:bottom w:val="nil"/>
            </w:tcBorders>
          </w:tcPr>
          <w:p w14:paraId="029E5417"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bCs/>
                <w:color w:val="auto"/>
                <w:sz w:val="16"/>
                <w:szCs w:val="16"/>
              </w:rPr>
            </w:pPr>
            <w:r w:rsidRPr="00A743C9">
              <w:rPr>
                <w:bCs/>
                <w:color w:val="auto"/>
                <w:sz w:val="16"/>
                <w:szCs w:val="16"/>
              </w:rPr>
              <w:t>24.7</w:t>
            </w:r>
          </w:p>
        </w:tc>
      </w:tr>
      <w:tr w:rsidR="00B86BF1" w:rsidRPr="00A743C9" w14:paraId="387E7B23" w14:textId="77777777" w:rsidTr="000376C7">
        <w:tc>
          <w:tcPr>
            <w:cnfStyle w:val="001000000000" w:firstRow="0" w:lastRow="0" w:firstColumn="1" w:lastColumn="0" w:oddVBand="0" w:evenVBand="0" w:oddHBand="0" w:evenHBand="0" w:firstRowFirstColumn="0" w:firstRowLastColumn="0" w:lastRowFirstColumn="0" w:lastRowLastColumn="0"/>
            <w:tcW w:w="2450" w:type="dxa"/>
            <w:vMerge/>
            <w:tcBorders>
              <w:top w:val="nil"/>
            </w:tcBorders>
          </w:tcPr>
          <w:p w14:paraId="7274D237" w14:textId="77777777" w:rsidR="00B86BF1" w:rsidRPr="00A743C9" w:rsidRDefault="00B86BF1" w:rsidP="000376C7">
            <w:pPr>
              <w:spacing w:after="0"/>
              <w:rPr>
                <w:b w:val="0"/>
                <w:bCs w:val="0"/>
                <w:color w:val="auto"/>
                <w:sz w:val="16"/>
                <w:szCs w:val="16"/>
              </w:rPr>
            </w:pPr>
          </w:p>
        </w:tc>
        <w:tc>
          <w:tcPr>
            <w:tcW w:w="2289" w:type="dxa"/>
            <w:tcBorders>
              <w:top w:val="nil"/>
            </w:tcBorders>
          </w:tcPr>
          <w:p w14:paraId="06B188C9" w14:textId="77777777" w:rsidR="00B86BF1" w:rsidRPr="00A743C9" w:rsidRDefault="00B86BF1" w:rsidP="000376C7">
            <w:pPr>
              <w:spacing w:after="0"/>
              <w:cnfStyle w:val="000000000000" w:firstRow="0" w:lastRow="0" w:firstColumn="0" w:lastColumn="0" w:oddVBand="0" w:evenVBand="0" w:oddHBand="0" w:evenHBand="0" w:firstRowFirstColumn="0" w:firstRowLastColumn="0" w:lastRowFirstColumn="0" w:lastRowLastColumn="0"/>
              <w:rPr>
                <w:bCs/>
                <w:color w:val="auto"/>
                <w:sz w:val="16"/>
                <w:szCs w:val="16"/>
              </w:rPr>
            </w:pPr>
            <w:r w:rsidRPr="00A743C9">
              <w:rPr>
                <w:bCs/>
                <w:color w:val="auto"/>
                <w:sz w:val="16"/>
                <w:szCs w:val="16"/>
              </w:rPr>
              <w:t>Female</w:t>
            </w:r>
          </w:p>
        </w:tc>
        <w:tc>
          <w:tcPr>
            <w:tcW w:w="2429" w:type="dxa"/>
            <w:tcBorders>
              <w:top w:val="nil"/>
            </w:tcBorders>
          </w:tcPr>
          <w:p w14:paraId="63D943C9"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bCs/>
                <w:color w:val="auto"/>
                <w:sz w:val="16"/>
                <w:szCs w:val="16"/>
              </w:rPr>
            </w:pPr>
            <w:r w:rsidRPr="00A743C9">
              <w:rPr>
                <w:bCs/>
                <w:color w:val="auto"/>
                <w:sz w:val="16"/>
                <w:szCs w:val="16"/>
              </w:rPr>
              <w:t>3.6</w:t>
            </w:r>
          </w:p>
        </w:tc>
        <w:tc>
          <w:tcPr>
            <w:tcW w:w="2430" w:type="dxa"/>
            <w:tcBorders>
              <w:top w:val="nil"/>
            </w:tcBorders>
          </w:tcPr>
          <w:p w14:paraId="210A5BC6"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bCs/>
                <w:color w:val="auto"/>
                <w:sz w:val="16"/>
                <w:szCs w:val="16"/>
              </w:rPr>
            </w:pPr>
            <w:r w:rsidRPr="00A743C9">
              <w:rPr>
                <w:bCs/>
                <w:color w:val="auto"/>
                <w:sz w:val="16"/>
                <w:szCs w:val="16"/>
              </w:rPr>
              <w:t>8.3</w:t>
            </w:r>
          </w:p>
        </w:tc>
        <w:tc>
          <w:tcPr>
            <w:tcW w:w="2429" w:type="dxa"/>
            <w:tcBorders>
              <w:top w:val="nil"/>
            </w:tcBorders>
          </w:tcPr>
          <w:p w14:paraId="256F8808"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bCs/>
                <w:color w:val="auto"/>
                <w:sz w:val="16"/>
                <w:szCs w:val="16"/>
              </w:rPr>
            </w:pPr>
            <w:r w:rsidRPr="00A743C9">
              <w:rPr>
                <w:bCs/>
                <w:color w:val="auto"/>
                <w:sz w:val="16"/>
                <w:szCs w:val="16"/>
              </w:rPr>
              <w:t>8.3</w:t>
            </w:r>
          </w:p>
        </w:tc>
        <w:tc>
          <w:tcPr>
            <w:tcW w:w="2430" w:type="dxa"/>
            <w:tcBorders>
              <w:top w:val="nil"/>
            </w:tcBorders>
          </w:tcPr>
          <w:p w14:paraId="42C27139"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bCs/>
                <w:color w:val="auto"/>
                <w:sz w:val="16"/>
                <w:szCs w:val="16"/>
              </w:rPr>
            </w:pPr>
            <w:r w:rsidRPr="00A743C9">
              <w:rPr>
                <w:bCs/>
                <w:color w:val="auto"/>
                <w:sz w:val="16"/>
                <w:szCs w:val="16"/>
              </w:rPr>
              <w:t>11.4</w:t>
            </w:r>
          </w:p>
        </w:tc>
      </w:tr>
      <w:tr w:rsidR="00B86BF1" w:rsidRPr="00A743C9" w14:paraId="3B30281F" w14:textId="77777777" w:rsidTr="000376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0" w:type="dxa"/>
            <w:vMerge/>
          </w:tcPr>
          <w:p w14:paraId="6746C8FA" w14:textId="77777777" w:rsidR="00B86BF1" w:rsidRPr="00A743C9" w:rsidRDefault="00B86BF1" w:rsidP="000376C7">
            <w:pPr>
              <w:spacing w:after="0"/>
              <w:rPr>
                <w:b w:val="0"/>
                <w:bCs w:val="0"/>
                <w:color w:val="auto"/>
                <w:sz w:val="16"/>
                <w:szCs w:val="16"/>
              </w:rPr>
            </w:pPr>
          </w:p>
        </w:tc>
        <w:tc>
          <w:tcPr>
            <w:tcW w:w="2289" w:type="dxa"/>
          </w:tcPr>
          <w:p w14:paraId="219901CE" w14:textId="77777777" w:rsidR="00B86BF1" w:rsidRPr="00A743C9" w:rsidRDefault="00B86BF1" w:rsidP="000376C7">
            <w:pPr>
              <w:spacing w:after="0"/>
              <w:cnfStyle w:val="000000100000" w:firstRow="0" w:lastRow="0" w:firstColumn="0" w:lastColumn="0" w:oddVBand="0" w:evenVBand="0" w:oddHBand="1" w:evenHBand="0" w:firstRowFirstColumn="0" w:firstRowLastColumn="0" w:lastRowFirstColumn="0" w:lastRowLastColumn="0"/>
              <w:rPr>
                <w:bCs/>
                <w:color w:val="auto"/>
                <w:sz w:val="16"/>
                <w:szCs w:val="16"/>
              </w:rPr>
            </w:pPr>
            <w:r w:rsidRPr="00A743C9">
              <w:rPr>
                <w:bCs/>
                <w:color w:val="auto"/>
                <w:sz w:val="16"/>
                <w:szCs w:val="16"/>
              </w:rPr>
              <w:t>Total</w:t>
            </w:r>
          </w:p>
        </w:tc>
        <w:tc>
          <w:tcPr>
            <w:tcW w:w="2429" w:type="dxa"/>
          </w:tcPr>
          <w:p w14:paraId="05E6ED4B"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bCs/>
                <w:color w:val="auto"/>
                <w:sz w:val="16"/>
                <w:szCs w:val="16"/>
              </w:rPr>
            </w:pPr>
            <w:r w:rsidRPr="00A743C9">
              <w:rPr>
                <w:bCs/>
                <w:color w:val="auto"/>
                <w:sz w:val="16"/>
                <w:szCs w:val="16"/>
              </w:rPr>
              <w:t>14.8</w:t>
            </w:r>
          </w:p>
        </w:tc>
        <w:tc>
          <w:tcPr>
            <w:tcW w:w="2430" w:type="dxa"/>
          </w:tcPr>
          <w:p w14:paraId="072A053B"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bCs/>
                <w:color w:val="auto"/>
                <w:sz w:val="16"/>
                <w:szCs w:val="16"/>
              </w:rPr>
            </w:pPr>
            <w:r w:rsidRPr="00A743C9">
              <w:rPr>
                <w:bCs/>
                <w:color w:val="auto"/>
                <w:sz w:val="16"/>
                <w:szCs w:val="16"/>
              </w:rPr>
              <w:t>14.8</w:t>
            </w:r>
          </w:p>
        </w:tc>
        <w:tc>
          <w:tcPr>
            <w:tcW w:w="2429" w:type="dxa"/>
          </w:tcPr>
          <w:p w14:paraId="721757A3"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bCs/>
                <w:color w:val="auto"/>
                <w:sz w:val="16"/>
                <w:szCs w:val="16"/>
              </w:rPr>
            </w:pPr>
            <w:r w:rsidRPr="00A743C9">
              <w:rPr>
                <w:bCs/>
                <w:color w:val="auto"/>
                <w:sz w:val="16"/>
                <w:szCs w:val="16"/>
              </w:rPr>
              <w:t>14.1</w:t>
            </w:r>
          </w:p>
        </w:tc>
        <w:tc>
          <w:tcPr>
            <w:tcW w:w="2430" w:type="dxa"/>
          </w:tcPr>
          <w:p w14:paraId="0489F2B1"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bCs/>
                <w:color w:val="auto"/>
                <w:sz w:val="16"/>
                <w:szCs w:val="16"/>
              </w:rPr>
            </w:pPr>
            <w:r w:rsidRPr="00A743C9">
              <w:rPr>
                <w:bCs/>
                <w:color w:val="auto"/>
                <w:sz w:val="16"/>
                <w:szCs w:val="16"/>
              </w:rPr>
              <w:t>17.8</w:t>
            </w:r>
          </w:p>
        </w:tc>
      </w:tr>
    </w:tbl>
    <w:p w14:paraId="41801377" w14:textId="77777777" w:rsidR="00B86BF1" w:rsidRPr="006875AD" w:rsidRDefault="00B86BF1" w:rsidP="00B86BF1">
      <w:pPr>
        <w:pStyle w:val="FigureTableSource"/>
        <w:spacing w:before="0"/>
      </w:pPr>
      <w:r>
        <w:t>*simple average of each country rate</w:t>
      </w:r>
    </w:p>
    <w:p w14:paraId="69778CC7" w14:textId="77777777" w:rsidR="00B86BF1" w:rsidRDefault="003D2CBD" w:rsidP="003D2CBD">
      <w:pPr>
        <w:pStyle w:val="Caption"/>
      </w:pPr>
      <w:bookmarkStart w:id="281" w:name="_Toc514420110"/>
      <w:bookmarkStart w:id="282" w:name="_Toc516579733"/>
      <w:bookmarkStart w:id="283" w:name="_Toc517707436"/>
      <w:r>
        <w:t xml:space="preserve">Table </w:t>
      </w:r>
      <w:r w:rsidR="0048064B">
        <w:rPr>
          <w:noProof/>
        </w:rPr>
        <w:fldChar w:fldCharType="begin"/>
      </w:r>
      <w:r w:rsidR="0048064B">
        <w:rPr>
          <w:noProof/>
        </w:rPr>
        <w:instrText xml:space="preserve"> SEQ Table \* ARABIC </w:instrText>
      </w:r>
      <w:r w:rsidR="0048064B">
        <w:rPr>
          <w:noProof/>
        </w:rPr>
        <w:fldChar w:fldCharType="separate"/>
      </w:r>
      <w:r w:rsidR="000C06DA">
        <w:rPr>
          <w:noProof/>
        </w:rPr>
        <w:t>27</w:t>
      </w:r>
      <w:r w:rsidR="0048064B">
        <w:rPr>
          <w:noProof/>
        </w:rPr>
        <w:fldChar w:fldCharType="end"/>
      </w:r>
      <w:r w:rsidR="00B86BF1">
        <w:t>: Country</w:t>
      </w:r>
      <w:r w:rsidR="00B86BF1">
        <w:noBreakHyphen/>
        <w:t>specific Age</w:t>
      </w:r>
      <w:r w:rsidR="00B86BF1">
        <w:noBreakHyphen/>
        <w:t>Standardised Smoking Prevalence Rates for 2013</w:t>
      </w:r>
      <w:bookmarkEnd w:id="281"/>
      <w:bookmarkEnd w:id="282"/>
      <w:bookmarkEnd w:id="283"/>
    </w:p>
    <w:tbl>
      <w:tblPr>
        <w:tblStyle w:val="TableCSIRO"/>
        <w:tblW w:w="15030" w:type="dxa"/>
        <w:tblLook w:val="04A0" w:firstRow="1" w:lastRow="0" w:firstColumn="1" w:lastColumn="0" w:noHBand="0" w:noVBand="1"/>
      </w:tblPr>
      <w:tblGrid>
        <w:gridCol w:w="1606"/>
        <w:gridCol w:w="1119"/>
        <w:gridCol w:w="1119"/>
        <w:gridCol w:w="1120"/>
        <w:gridCol w:w="1119"/>
        <w:gridCol w:w="1118"/>
        <w:gridCol w:w="1119"/>
        <w:gridCol w:w="1118"/>
        <w:gridCol w:w="1118"/>
        <w:gridCol w:w="1119"/>
        <w:gridCol w:w="1118"/>
        <w:gridCol w:w="1118"/>
        <w:gridCol w:w="1119"/>
      </w:tblGrid>
      <w:tr w:rsidR="00B86BF1" w:rsidRPr="00A743C9" w14:paraId="53BC3CDA" w14:textId="77777777" w:rsidTr="000376C7">
        <w:trPr>
          <w:cnfStyle w:val="100000000000" w:firstRow="1" w:lastRow="0" w:firstColumn="0" w:lastColumn="0" w:oddVBand="0" w:evenVBand="0" w:oddHBand="0" w:evenHBand="0" w:firstRowFirstColumn="0" w:firstRowLastColumn="0" w:lastRowFirstColumn="0" w:lastRowLastColumn="0"/>
          <w:trHeight w:val="558"/>
          <w:tblHeader/>
        </w:trPr>
        <w:tc>
          <w:tcPr>
            <w:cnfStyle w:val="001000000000" w:firstRow="0" w:lastRow="0" w:firstColumn="1" w:lastColumn="0" w:oddVBand="0" w:evenVBand="0" w:oddHBand="0" w:evenHBand="0" w:firstRowFirstColumn="0" w:firstRowLastColumn="0" w:lastRowFirstColumn="0" w:lastRowLastColumn="0"/>
            <w:tcW w:w="1606" w:type="dxa"/>
            <w:vMerge w:val="restart"/>
            <w:tcBorders>
              <w:top w:val="single" w:sz="4" w:space="0" w:color="auto"/>
              <w:left w:val="single" w:sz="4" w:space="0" w:color="auto"/>
              <w:right w:val="single" w:sz="4" w:space="0" w:color="auto"/>
            </w:tcBorders>
            <w:noWrap/>
          </w:tcPr>
          <w:p w14:paraId="2A609240" w14:textId="77777777" w:rsidR="00B86BF1" w:rsidRPr="00A743C9" w:rsidRDefault="00B86BF1" w:rsidP="000376C7">
            <w:pPr>
              <w:rPr>
                <w:rFonts w:eastAsia="Times New Roman" w:cs="Calibri"/>
                <w:color w:val="auto"/>
                <w:sz w:val="16"/>
                <w:szCs w:val="16"/>
              </w:rPr>
            </w:pPr>
            <w:r w:rsidRPr="00A743C9">
              <w:rPr>
                <w:rFonts w:eastAsia="Times New Roman" w:cs="Calibri"/>
                <w:color w:val="auto"/>
                <w:sz w:val="16"/>
                <w:szCs w:val="16"/>
              </w:rPr>
              <w:t>Country</w:t>
            </w:r>
          </w:p>
        </w:tc>
        <w:tc>
          <w:tcPr>
            <w:tcW w:w="3358" w:type="dxa"/>
            <w:gridSpan w:val="3"/>
            <w:tcBorders>
              <w:top w:val="single" w:sz="4" w:space="0" w:color="auto"/>
              <w:left w:val="single" w:sz="4" w:space="0" w:color="auto"/>
              <w:right w:val="single" w:sz="4" w:space="0" w:color="auto"/>
            </w:tcBorders>
            <w:noWrap/>
            <w:hideMark/>
          </w:tcPr>
          <w:p w14:paraId="55D76090" w14:textId="77777777" w:rsidR="00B86BF1" w:rsidRPr="00A743C9" w:rsidRDefault="00B86BF1" w:rsidP="000376C7">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Current smoking of any tobacco product (age</w:t>
            </w:r>
            <w:r w:rsidRPr="00A743C9">
              <w:rPr>
                <w:rFonts w:eastAsia="Times New Roman" w:cs="Calibri"/>
                <w:color w:val="auto"/>
                <w:sz w:val="16"/>
                <w:szCs w:val="16"/>
              </w:rPr>
              <w:noBreakHyphen/>
              <w:t>standardized rate)</w:t>
            </w:r>
          </w:p>
        </w:tc>
        <w:tc>
          <w:tcPr>
            <w:tcW w:w="3356" w:type="dxa"/>
            <w:gridSpan w:val="3"/>
            <w:tcBorders>
              <w:top w:val="single" w:sz="4" w:space="0" w:color="auto"/>
              <w:left w:val="single" w:sz="4" w:space="0" w:color="auto"/>
              <w:right w:val="single" w:sz="4" w:space="0" w:color="auto"/>
            </w:tcBorders>
            <w:noWrap/>
            <w:hideMark/>
          </w:tcPr>
          <w:p w14:paraId="42A060CF" w14:textId="77777777" w:rsidR="00B86BF1" w:rsidRPr="00A743C9" w:rsidRDefault="00B86BF1" w:rsidP="000376C7">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Daily smoking of any tobacco product (age</w:t>
            </w:r>
            <w:r w:rsidRPr="00A743C9">
              <w:rPr>
                <w:rFonts w:eastAsia="Times New Roman" w:cs="Calibri"/>
                <w:color w:val="auto"/>
                <w:sz w:val="16"/>
                <w:szCs w:val="16"/>
              </w:rPr>
              <w:noBreakHyphen/>
              <w:t>standardized rate)</w:t>
            </w:r>
          </w:p>
        </w:tc>
        <w:tc>
          <w:tcPr>
            <w:tcW w:w="3355" w:type="dxa"/>
            <w:gridSpan w:val="3"/>
            <w:tcBorders>
              <w:top w:val="single" w:sz="4" w:space="0" w:color="auto"/>
              <w:left w:val="single" w:sz="4" w:space="0" w:color="auto"/>
              <w:right w:val="single" w:sz="4" w:space="0" w:color="auto"/>
            </w:tcBorders>
            <w:noWrap/>
            <w:hideMark/>
          </w:tcPr>
          <w:p w14:paraId="1DAEBFA4" w14:textId="77777777" w:rsidR="00B86BF1" w:rsidRPr="00A743C9" w:rsidRDefault="00B86BF1" w:rsidP="000376C7">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Current smoking of cigarettes (age</w:t>
            </w:r>
            <w:r w:rsidRPr="00A743C9">
              <w:rPr>
                <w:rFonts w:eastAsia="Times New Roman" w:cs="Calibri"/>
                <w:color w:val="auto"/>
                <w:sz w:val="16"/>
                <w:szCs w:val="16"/>
              </w:rPr>
              <w:noBreakHyphen/>
              <w:t>standardized rate)</w:t>
            </w:r>
          </w:p>
        </w:tc>
        <w:tc>
          <w:tcPr>
            <w:tcW w:w="3355" w:type="dxa"/>
            <w:gridSpan w:val="3"/>
            <w:tcBorders>
              <w:top w:val="single" w:sz="4" w:space="0" w:color="auto"/>
              <w:left w:val="single" w:sz="4" w:space="0" w:color="auto"/>
              <w:right w:val="single" w:sz="4" w:space="0" w:color="auto"/>
            </w:tcBorders>
            <w:noWrap/>
            <w:hideMark/>
          </w:tcPr>
          <w:p w14:paraId="53FAB345" w14:textId="77777777" w:rsidR="00B86BF1" w:rsidRPr="00A743C9" w:rsidRDefault="00B86BF1" w:rsidP="000376C7">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Daily smoking of cigarettes (age</w:t>
            </w:r>
            <w:r w:rsidRPr="00A743C9">
              <w:rPr>
                <w:rFonts w:eastAsia="Times New Roman" w:cs="Calibri"/>
                <w:color w:val="auto"/>
                <w:sz w:val="16"/>
                <w:szCs w:val="16"/>
              </w:rPr>
              <w:noBreakHyphen/>
              <w:t>standardized rate)</w:t>
            </w:r>
          </w:p>
        </w:tc>
      </w:tr>
      <w:tr w:rsidR="00B86BF1" w:rsidRPr="00A743C9" w14:paraId="5600CCF8" w14:textId="77777777" w:rsidTr="000376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6" w:type="dxa"/>
            <w:vMerge/>
            <w:tcBorders>
              <w:left w:val="single" w:sz="4" w:space="0" w:color="auto"/>
              <w:bottom w:val="nil"/>
              <w:right w:val="single" w:sz="4" w:space="0" w:color="auto"/>
            </w:tcBorders>
            <w:noWrap/>
            <w:hideMark/>
          </w:tcPr>
          <w:p w14:paraId="7777486A" w14:textId="77777777" w:rsidR="00B86BF1" w:rsidRPr="00A743C9" w:rsidRDefault="00B86BF1" w:rsidP="000376C7">
            <w:pPr>
              <w:rPr>
                <w:rFonts w:eastAsia="Times New Roman" w:cs="Calibri"/>
                <w:color w:val="auto"/>
                <w:sz w:val="16"/>
                <w:szCs w:val="16"/>
              </w:rPr>
            </w:pPr>
          </w:p>
        </w:tc>
        <w:tc>
          <w:tcPr>
            <w:tcW w:w="1119" w:type="dxa"/>
            <w:tcBorders>
              <w:left w:val="single" w:sz="4" w:space="0" w:color="auto"/>
              <w:bottom w:val="nil"/>
            </w:tcBorders>
            <w:shd w:val="clear" w:color="auto" w:fill="000000" w:themeFill="text1"/>
            <w:noWrap/>
            <w:hideMark/>
          </w:tcPr>
          <w:p w14:paraId="362206D1"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b/>
                <w:color w:val="FFFFFF" w:themeColor="background1"/>
                <w:sz w:val="16"/>
                <w:szCs w:val="16"/>
              </w:rPr>
            </w:pPr>
            <w:r w:rsidRPr="00A743C9">
              <w:rPr>
                <w:rFonts w:eastAsia="Times New Roman" w:cs="Calibri"/>
                <w:b/>
                <w:color w:val="FFFFFF" w:themeColor="background1"/>
                <w:sz w:val="16"/>
                <w:szCs w:val="16"/>
              </w:rPr>
              <w:t>Both sexes</w:t>
            </w:r>
          </w:p>
        </w:tc>
        <w:tc>
          <w:tcPr>
            <w:tcW w:w="1119" w:type="dxa"/>
            <w:tcBorders>
              <w:bottom w:val="nil"/>
            </w:tcBorders>
            <w:shd w:val="clear" w:color="auto" w:fill="000000" w:themeFill="text1"/>
            <w:noWrap/>
            <w:hideMark/>
          </w:tcPr>
          <w:p w14:paraId="526C4097"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b/>
                <w:color w:val="FFFFFF" w:themeColor="background1"/>
                <w:sz w:val="16"/>
                <w:szCs w:val="16"/>
              </w:rPr>
            </w:pPr>
            <w:r w:rsidRPr="00A743C9">
              <w:rPr>
                <w:rFonts w:eastAsia="Times New Roman" w:cs="Calibri"/>
                <w:b/>
                <w:color w:val="FFFFFF" w:themeColor="background1"/>
                <w:sz w:val="16"/>
                <w:szCs w:val="16"/>
              </w:rPr>
              <w:t>Male</w:t>
            </w:r>
          </w:p>
        </w:tc>
        <w:tc>
          <w:tcPr>
            <w:tcW w:w="1119" w:type="dxa"/>
            <w:tcBorders>
              <w:bottom w:val="nil"/>
              <w:right w:val="single" w:sz="4" w:space="0" w:color="auto"/>
            </w:tcBorders>
            <w:shd w:val="clear" w:color="auto" w:fill="000000" w:themeFill="text1"/>
            <w:noWrap/>
            <w:hideMark/>
          </w:tcPr>
          <w:p w14:paraId="1DF6B155"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b/>
                <w:color w:val="FFFFFF" w:themeColor="background1"/>
                <w:sz w:val="16"/>
                <w:szCs w:val="16"/>
              </w:rPr>
            </w:pPr>
            <w:r w:rsidRPr="00A743C9">
              <w:rPr>
                <w:rFonts w:eastAsia="Times New Roman" w:cs="Calibri"/>
                <w:b/>
                <w:color w:val="FFFFFF" w:themeColor="background1"/>
                <w:sz w:val="16"/>
                <w:szCs w:val="16"/>
              </w:rPr>
              <w:t>Female</w:t>
            </w:r>
          </w:p>
        </w:tc>
        <w:tc>
          <w:tcPr>
            <w:tcW w:w="1119" w:type="dxa"/>
            <w:tcBorders>
              <w:left w:val="single" w:sz="4" w:space="0" w:color="auto"/>
              <w:bottom w:val="nil"/>
            </w:tcBorders>
            <w:shd w:val="clear" w:color="auto" w:fill="000000" w:themeFill="text1"/>
            <w:noWrap/>
            <w:hideMark/>
          </w:tcPr>
          <w:p w14:paraId="1BFDC081"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b/>
                <w:color w:val="FFFFFF" w:themeColor="background1"/>
                <w:sz w:val="16"/>
                <w:szCs w:val="16"/>
              </w:rPr>
            </w:pPr>
            <w:r w:rsidRPr="00A743C9">
              <w:rPr>
                <w:rFonts w:eastAsia="Times New Roman" w:cs="Calibri"/>
                <w:b/>
                <w:color w:val="FFFFFF" w:themeColor="background1"/>
                <w:sz w:val="16"/>
                <w:szCs w:val="16"/>
              </w:rPr>
              <w:t>Both sexes</w:t>
            </w:r>
          </w:p>
        </w:tc>
        <w:tc>
          <w:tcPr>
            <w:tcW w:w="1118" w:type="dxa"/>
            <w:tcBorders>
              <w:bottom w:val="nil"/>
            </w:tcBorders>
            <w:shd w:val="clear" w:color="auto" w:fill="000000" w:themeFill="text1"/>
            <w:noWrap/>
            <w:hideMark/>
          </w:tcPr>
          <w:p w14:paraId="70CED84C"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b/>
                <w:color w:val="FFFFFF" w:themeColor="background1"/>
                <w:sz w:val="16"/>
                <w:szCs w:val="16"/>
              </w:rPr>
            </w:pPr>
            <w:r w:rsidRPr="00A743C9">
              <w:rPr>
                <w:rFonts w:eastAsia="Times New Roman" w:cs="Calibri"/>
                <w:b/>
                <w:color w:val="FFFFFF" w:themeColor="background1"/>
                <w:sz w:val="16"/>
                <w:szCs w:val="16"/>
              </w:rPr>
              <w:t>Male</w:t>
            </w:r>
          </w:p>
        </w:tc>
        <w:tc>
          <w:tcPr>
            <w:tcW w:w="1118" w:type="dxa"/>
            <w:tcBorders>
              <w:bottom w:val="nil"/>
              <w:right w:val="single" w:sz="4" w:space="0" w:color="auto"/>
            </w:tcBorders>
            <w:shd w:val="clear" w:color="auto" w:fill="000000" w:themeFill="text1"/>
            <w:noWrap/>
            <w:hideMark/>
          </w:tcPr>
          <w:p w14:paraId="4A4CC7BB"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b/>
                <w:color w:val="FFFFFF" w:themeColor="background1"/>
                <w:sz w:val="16"/>
                <w:szCs w:val="16"/>
              </w:rPr>
            </w:pPr>
            <w:r w:rsidRPr="00A743C9">
              <w:rPr>
                <w:rFonts w:eastAsia="Times New Roman" w:cs="Calibri"/>
                <w:b/>
                <w:color w:val="FFFFFF" w:themeColor="background1"/>
                <w:sz w:val="16"/>
                <w:szCs w:val="16"/>
              </w:rPr>
              <w:t>Female</w:t>
            </w:r>
          </w:p>
        </w:tc>
        <w:tc>
          <w:tcPr>
            <w:tcW w:w="1118" w:type="dxa"/>
            <w:tcBorders>
              <w:left w:val="single" w:sz="4" w:space="0" w:color="auto"/>
              <w:bottom w:val="nil"/>
            </w:tcBorders>
            <w:shd w:val="clear" w:color="auto" w:fill="000000" w:themeFill="text1"/>
            <w:noWrap/>
            <w:hideMark/>
          </w:tcPr>
          <w:p w14:paraId="7E972EF7"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b/>
                <w:color w:val="FFFFFF" w:themeColor="background1"/>
                <w:sz w:val="16"/>
                <w:szCs w:val="16"/>
              </w:rPr>
            </w:pPr>
            <w:r w:rsidRPr="00A743C9">
              <w:rPr>
                <w:rFonts w:eastAsia="Times New Roman" w:cs="Calibri"/>
                <w:b/>
                <w:color w:val="FFFFFF" w:themeColor="background1"/>
                <w:sz w:val="16"/>
                <w:szCs w:val="16"/>
              </w:rPr>
              <w:t>Both sexes</w:t>
            </w:r>
          </w:p>
        </w:tc>
        <w:tc>
          <w:tcPr>
            <w:tcW w:w="1118" w:type="dxa"/>
            <w:tcBorders>
              <w:bottom w:val="nil"/>
            </w:tcBorders>
            <w:shd w:val="clear" w:color="auto" w:fill="000000" w:themeFill="text1"/>
            <w:noWrap/>
            <w:hideMark/>
          </w:tcPr>
          <w:p w14:paraId="08F1B85D"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b/>
                <w:color w:val="FFFFFF" w:themeColor="background1"/>
                <w:sz w:val="16"/>
                <w:szCs w:val="16"/>
              </w:rPr>
            </w:pPr>
            <w:r w:rsidRPr="00A743C9">
              <w:rPr>
                <w:rFonts w:eastAsia="Times New Roman" w:cs="Calibri"/>
                <w:b/>
                <w:color w:val="FFFFFF" w:themeColor="background1"/>
                <w:sz w:val="16"/>
                <w:szCs w:val="16"/>
              </w:rPr>
              <w:t>Male</w:t>
            </w:r>
          </w:p>
        </w:tc>
        <w:tc>
          <w:tcPr>
            <w:tcW w:w="1118" w:type="dxa"/>
            <w:tcBorders>
              <w:bottom w:val="nil"/>
              <w:right w:val="single" w:sz="4" w:space="0" w:color="auto"/>
            </w:tcBorders>
            <w:shd w:val="clear" w:color="auto" w:fill="000000" w:themeFill="text1"/>
            <w:noWrap/>
            <w:hideMark/>
          </w:tcPr>
          <w:p w14:paraId="3C3A7A5D"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b/>
                <w:color w:val="FFFFFF" w:themeColor="background1"/>
                <w:sz w:val="16"/>
                <w:szCs w:val="16"/>
              </w:rPr>
            </w:pPr>
            <w:r w:rsidRPr="00A743C9">
              <w:rPr>
                <w:rFonts w:eastAsia="Times New Roman" w:cs="Calibri"/>
                <w:b/>
                <w:color w:val="FFFFFF" w:themeColor="background1"/>
                <w:sz w:val="16"/>
                <w:szCs w:val="16"/>
              </w:rPr>
              <w:t>Female</w:t>
            </w:r>
          </w:p>
        </w:tc>
        <w:tc>
          <w:tcPr>
            <w:tcW w:w="1118" w:type="dxa"/>
            <w:tcBorders>
              <w:left w:val="single" w:sz="4" w:space="0" w:color="auto"/>
              <w:bottom w:val="nil"/>
            </w:tcBorders>
            <w:shd w:val="clear" w:color="auto" w:fill="000000" w:themeFill="text1"/>
            <w:noWrap/>
            <w:hideMark/>
          </w:tcPr>
          <w:p w14:paraId="2A750C91"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b/>
                <w:color w:val="FFFFFF" w:themeColor="background1"/>
                <w:sz w:val="16"/>
                <w:szCs w:val="16"/>
              </w:rPr>
            </w:pPr>
            <w:r w:rsidRPr="00A743C9">
              <w:rPr>
                <w:rFonts w:eastAsia="Times New Roman" w:cs="Calibri"/>
                <w:b/>
                <w:color w:val="FFFFFF" w:themeColor="background1"/>
                <w:sz w:val="16"/>
                <w:szCs w:val="16"/>
              </w:rPr>
              <w:t>Both sexes</w:t>
            </w:r>
          </w:p>
        </w:tc>
        <w:tc>
          <w:tcPr>
            <w:tcW w:w="1118" w:type="dxa"/>
            <w:tcBorders>
              <w:bottom w:val="nil"/>
            </w:tcBorders>
            <w:shd w:val="clear" w:color="auto" w:fill="000000" w:themeFill="text1"/>
            <w:noWrap/>
            <w:hideMark/>
          </w:tcPr>
          <w:p w14:paraId="676FD4CA"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b/>
                <w:color w:val="FFFFFF" w:themeColor="background1"/>
                <w:sz w:val="16"/>
                <w:szCs w:val="16"/>
              </w:rPr>
            </w:pPr>
            <w:r w:rsidRPr="00A743C9">
              <w:rPr>
                <w:rFonts w:eastAsia="Times New Roman" w:cs="Calibri"/>
                <w:b/>
                <w:color w:val="FFFFFF" w:themeColor="background1"/>
                <w:sz w:val="16"/>
                <w:szCs w:val="16"/>
              </w:rPr>
              <w:t>Male</w:t>
            </w:r>
          </w:p>
        </w:tc>
        <w:tc>
          <w:tcPr>
            <w:tcW w:w="1118" w:type="dxa"/>
            <w:tcBorders>
              <w:bottom w:val="nil"/>
              <w:right w:val="single" w:sz="4" w:space="0" w:color="auto"/>
            </w:tcBorders>
            <w:shd w:val="clear" w:color="auto" w:fill="000000" w:themeFill="text1"/>
            <w:noWrap/>
            <w:hideMark/>
          </w:tcPr>
          <w:p w14:paraId="4843397A"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b/>
                <w:color w:val="FFFFFF" w:themeColor="background1"/>
                <w:sz w:val="16"/>
                <w:szCs w:val="16"/>
              </w:rPr>
            </w:pPr>
            <w:r w:rsidRPr="00A743C9">
              <w:rPr>
                <w:rFonts w:eastAsia="Times New Roman" w:cs="Calibri"/>
                <w:b/>
                <w:color w:val="FFFFFF" w:themeColor="background1"/>
                <w:sz w:val="16"/>
                <w:szCs w:val="16"/>
              </w:rPr>
              <w:t>Female</w:t>
            </w:r>
          </w:p>
        </w:tc>
      </w:tr>
      <w:tr w:rsidR="00B86BF1" w:rsidRPr="00A743C9" w14:paraId="4E7DF7CC" w14:textId="77777777" w:rsidTr="000376C7">
        <w:trPr>
          <w:trHeight w:val="300"/>
        </w:trPr>
        <w:tc>
          <w:tcPr>
            <w:cnfStyle w:val="001000000000" w:firstRow="0" w:lastRow="0" w:firstColumn="1" w:lastColumn="0" w:oddVBand="0" w:evenVBand="0" w:oddHBand="0" w:evenHBand="0" w:firstRowFirstColumn="0" w:firstRowLastColumn="0" w:lastRowFirstColumn="0" w:lastRowLastColumn="0"/>
            <w:tcW w:w="1606" w:type="dxa"/>
            <w:tcBorders>
              <w:left w:val="single" w:sz="4" w:space="0" w:color="auto"/>
              <w:bottom w:val="nil"/>
              <w:right w:val="single" w:sz="4" w:space="0" w:color="auto"/>
            </w:tcBorders>
            <w:noWrap/>
            <w:hideMark/>
          </w:tcPr>
          <w:p w14:paraId="77C42327" w14:textId="77777777" w:rsidR="00B86BF1" w:rsidRPr="00A743C9" w:rsidRDefault="00B86BF1" w:rsidP="000376C7">
            <w:pPr>
              <w:rPr>
                <w:rFonts w:eastAsia="Times New Roman" w:cs="Calibri"/>
                <w:color w:val="auto"/>
                <w:sz w:val="16"/>
                <w:szCs w:val="16"/>
              </w:rPr>
            </w:pPr>
            <w:r w:rsidRPr="00A743C9">
              <w:rPr>
                <w:rFonts w:eastAsia="Times New Roman" w:cs="Calibri"/>
                <w:color w:val="auto"/>
                <w:sz w:val="16"/>
                <w:szCs w:val="16"/>
              </w:rPr>
              <w:t>Albania</w:t>
            </w:r>
          </w:p>
        </w:tc>
        <w:tc>
          <w:tcPr>
            <w:tcW w:w="1119" w:type="dxa"/>
            <w:tcBorders>
              <w:left w:val="single" w:sz="4" w:space="0" w:color="auto"/>
              <w:bottom w:val="nil"/>
            </w:tcBorders>
            <w:noWrap/>
            <w:hideMark/>
          </w:tcPr>
          <w:p w14:paraId="3A857FF0"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29.7</w:t>
            </w:r>
          </w:p>
        </w:tc>
        <w:tc>
          <w:tcPr>
            <w:tcW w:w="1119" w:type="dxa"/>
            <w:tcBorders>
              <w:bottom w:val="nil"/>
            </w:tcBorders>
            <w:noWrap/>
            <w:hideMark/>
          </w:tcPr>
          <w:p w14:paraId="2E89DBE7"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51.7</w:t>
            </w:r>
          </w:p>
        </w:tc>
        <w:tc>
          <w:tcPr>
            <w:tcW w:w="1119" w:type="dxa"/>
            <w:tcBorders>
              <w:bottom w:val="nil"/>
              <w:right w:val="single" w:sz="4" w:space="0" w:color="auto"/>
            </w:tcBorders>
            <w:noWrap/>
            <w:hideMark/>
          </w:tcPr>
          <w:p w14:paraId="79C5EBDB"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8</w:t>
            </w:r>
          </w:p>
        </w:tc>
        <w:tc>
          <w:tcPr>
            <w:tcW w:w="1119" w:type="dxa"/>
            <w:tcBorders>
              <w:left w:val="single" w:sz="4" w:space="0" w:color="auto"/>
              <w:bottom w:val="nil"/>
            </w:tcBorders>
            <w:noWrap/>
            <w:hideMark/>
          </w:tcPr>
          <w:p w14:paraId="38F62094"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23.8</w:t>
            </w:r>
          </w:p>
        </w:tc>
        <w:tc>
          <w:tcPr>
            <w:tcW w:w="1118" w:type="dxa"/>
            <w:tcBorders>
              <w:bottom w:val="nil"/>
            </w:tcBorders>
            <w:noWrap/>
            <w:hideMark/>
          </w:tcPr>
          <w:p w14:paraId="554C9685"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41.7</w:t>
            </w:r>
          </w:p>
        </w:tc>
        <w:tc>
          <w:tcPr>
            <w:tcW w:w="1118" w:type="dxa"/>
            <w:tcBorders>
              <w:bottom w:val="nil"/>
              <w:right w:val="single" w:sz="4" w:space="0" w:color="auto"/>
            </w:tcBorders>
            <w:noWrap/>
            <w:hideMark/>
          </w:tcPr>
          <w:p w14:paraId="76375477"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6.2</w:t>
            </w:r>
          </w:p>
        </w:tc>
        <w:tc>
          <w:tcPr>
            <w:tcW w:w="1118" w:type="dxa"/>
            <w:tcBorders>
              <w:left w:val="single" w:sz="4" w:space="0" w:color="auto"/>
              <w:bottom w:val="nil"/>
            </w:tcBorders>
            <w:noWrap/>
            <w:hideMark/>
          </w:tcPr>
          <w:p w14:paraId="43B04581"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24.5</w:t>
            </w:r>
          </w:p>
        </w:tc>
        <w:tc>
          <w:tcPr>
            <w:tcW w:w="1118" w:type="dxa"/>
            <w:tcBorders>
              <w:bottom w:val="nil"/>
            </w:tcBorders>
            <w:noWrap/>
            <w:hideMark/>
          </w:tcPr>
          <w:p w14:paraId="5C672B78"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44.4</w:t>
            </w:r>
          </w:p>
        </w:tc>
        <w:tc>
          <w:tcPr>
            <w:tcW w:w="1118" w:type="dxa"/>
            <w:tcBorders>
              <w:bottom w:val="nil"/>
              <w:right w:val="single" w:sz="4" w:space="0" w:color="auto"/>
            </w:tcBorders>
            <w:noWrap/>
            <w:hideMark/>
          </w:tcPr>
          <w:p w14:paraId="7CFB90FA"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5</w:t>
            </w:r>
          </w:p>
        </w:tc>
        <w:tc>
          <w:tcPr>
            <w:tcW w:w="1118" w:type="dxa"/>
            <w:tcBorders>
              <w:left w:val="single" w:sz="4" w:space="0" w:color="auto"/>
              <w:bottom w:val="nil"/>
            </w:tcBorders>
            <w:noWrap/>
            <w:hideMark/>
          </w:tcPr>
          <w:p w14:paraId="59F5C6B9"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21.3</w:t>
            </w:r>
          </w:p>
        </w:tc>
        <w:tc>
          <w:tcPr>
            <w:tcW w:w="1118" w:type="dxa"/>
            <w:tcBorders>
              <w:bottom w:val="nil"/>
            </w:tcBorders>
            <w:noWrap/>
            <w:hideMark/>
          </w:tcPr>
          <w:p w14:paraId="44D58372"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38.4</w:t>
            </w:r>
          </w:p>
        </w:tc>
        <w:tc>
          <w:tcPr>
            <w:tcW w:w="1118" w:type="dxa"/>
            <w:tcBorders>
              <w:bottom w:val="nil"/>
              <w:right w:val="single" w:sz="4" w:space="0" w:color="auto"/>
            </w:tcBorders>
            <w:noWrap/>
            <w:hideMark/>
          </w:tcPr>
          <w:p w14:paraId="4E2076E4"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4.6</w:t>
            </w:r>
          </w:p>
        </w:tc>
      </w:tr>
      <w:tr w:rsidR="00B86BF1" w:rsidRPr="00A743C9" w14:paraId="037429B5" w14:textId="77777777" w:rsidTr="000376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6" w:type="dxa"/>
            <w:tcBorders>
              <w:left w:val="single" w:sz="4" w:space="0" w:color="auto"/>
              <w:bottom w:val="nil"/>
              <w:right w:val="single" w:sz="4" w:space="0" w:color="auto"/>
            </w:tcBorders>
            <w:noWrap/>
            <w:hideMark/>
          </w:tcPr>
          <w:p w14:paraId="51982753" w14:textId="77777777" w:rsidR="00B86BF1" w:rsidRPr="00A743C9" w:rsidRDefault="00B86BF1" w:rsidP="000376C7">
            <w:pPr>
              <w:rPr>
                <w:rFonts w:eastAsia="Times New Roman" w:cs="Calibri"/>
                <w:color w:val="auto"/>
                <w:sz w:val="16"/>
                <w:szCs w:val="16"/>
              </w:rPr>
            </w:pPr>
            <w:r w:rsidRPr="00A743C9">
              <w:rPr>
                <w:rFonts w:eastAsia="Times New Roman" w:cs="Calibri"/>
                <w:color w:val="auto"/>
                <w:sz w:val="16"/>
                <w:szCs w:val="16"/>
              </w:rPr>
              <w:t>Andorra</w:t>
            </w:r>
          </w:p>
        </w:tc>
        <w:tc>
          <w:tcPr>
            <w:tcW w:w="1119" w:type="dxa"/>
            <w:tcBorders>
              <w:left w:val="single" w:sz="4" w:space="0" w:color="auto"/>
              <w:bottom w:val="nil"/>
            </w:tcBorders>
            <w:noWrap/>
            <w:hideMark/>
          </w:tcPr>
          <w:p w14:paraId="5529694D"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33.1</w:t>
            </w:r>
          </w:p>
        </w:tc>
        <w:tc>
          <w:tcPr>
            <w:tcW w:w="1119" w:type="dxa"/>
            <w:tcBorders>
              <w:bottom w:val="nil"/>
            </w:tcBorders>
            <w:noWrap/>
            <w:hideMark/>
          </w:tcPr>
          <w:p w14:paraId="30B99A1F"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38.1</w:t>
            </w:r>
          </w:p>
        </w:tc>
        <w:tc>
          <w:tcPr>
            <w:tcW w:w="1119" w:type="dxa"/>
            <w:tcBorders>
              <w:bottom w:val="nil"/>
              <w:right w:val="single" w:sz="4" w:space="0" w:color="auto"/>
            </w:tcBorders>
            <w:noWrap/>
            <w:hideMark/>
          </w:tcPr>
          <w:p w14:paraId="5B5A675C"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28.1</w:t>
            </w:r>
          </w:p>
        </w:tc>
        <w:tc>
          <w:tcPr>
            <w:tcW w:w="1119" w:type="dxa"/>
            <w:tcBorders>
              <w:left w:val="single" w:sz="4" w:space="0" w:color="auto"/>
              <w:bottom w:val="nil"/>
            </w:tcBorders>
            <w:noWrap/>
            <w:hideMark/>
          </w:tcPr>
          <w:p w14:paraId="363C14EE"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27.9</w:t>
            </w:r>
          </w:p>
        </w:tc>
        <w:tc>
          <w:tcPr>
            <w:tcW w:w="1118" w:type="dxa"/>
            <w:tcBorders>
              <w:bottom w:val="nil"/>
            </w:tcBorders>
            <w:noWrap/>
            <w:hideMark/>
          </w:tcPr>
          <w:p w14:paraId="39FBC681"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32.2</w:t>
            </w:r>
          </w:p>
        </w:tc>
        <w:tc>
          <w:tcPr>
            <w:tcW w:w="1118" w:type="dxa"/>
            <w:tcBorders>
              <w:bottom w:val="nil"/>
              <w:right w:val="single" w:sz="4" w:space="0" w:color="auto"/>
            </w:tcBorders>
            <w:noWrap/>
            <w:hideMark/>
          </w:tcPr>
          <w:p w14:paraId="0AFB06C0"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23.6</w:t>
            </w:r>
          </w:p>
        </w:tc>
        <w:tc>
          <w:tcPr>
            <w:tcW w:w="1118" w:type="dxa"/>
            <w:tcBorders>
              <w:left w:val="single" w:sz="4" w:space="0" w:color="auto"/>
              <w:bottom w:val="nil"/>
            </w:tcBorders>
            <w:noWrap/>
            <w:hideMark/>
          </w:tcPr>
          <w:p w14:paraId="5B3EBCF4"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27.2</w:t>
            </w:r>
          </w:p>
        </w:tc>
        <w:tc>
          <w:tcPr>
            <w:tcW w:w="1118" w:type="dxa"/>
            <w:tcBorders>
              <w:bottom w:val="nil"/>
            </w:tcBorders>
            <w:noWrap/>
            <w:hideMark/>
          </w:tcPr>
          <w:p w14:paraId="10E3C83E"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31.4</w:t>
            </w:r>
          </w:p>
        </w:tc>
        <w:tc>
          <w:tcPr>
            <w:tcW w:w="1118" w:type="dxa"/>
            <w:tcBorders>
              <w:bottom w:val="nil"/>
              <w:right w:val="single" w:sz="4" w:space="0" w:color="auto"/>
            </w:tcBorders>
            <w:noWrap/>
            <w:hideMark/>
          </w:tcPr>
          <w:p w14:paraId="0D859FB5"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22.9</w:t>
            </w:r>
          </w:p>
        </w:tc>
        <w:tc>
          <w:tcPr>
            <w:tcW w:w="1118" w:type="dxa"/>
            <w:tcBorders>
              <w:left w:val="single" w:sz="4" w:space="0" w:color="auto"/>
              <w:bottom w:val="nil"/>
            </w:tcBorders>
            <w:noWrap/>
            <w:hideMark/>
          </w:tcPr>
          <w:p w14:paraId="5A4CAA89"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22</w:t>
            </w:r>
          </w:p>
        </w:tc>
        <w:tc>
          <w:tcPr>
            <w:tcW w:w="1118" w:type="dxa"/>
            <w:tcBorders>
              <w:bottom w:val="nil"/>
            </w:tcBorders>
            <w:noWrap/>
            <w:hideMark/>
          </w:tcPr>
          <w:p w14:paraId="4A37240F"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25.3</w:t>
            </w:r>
          </w:p>
        </w:tc>
        <w:tc>
          <w:tcPr>
            <w:tcW w:w="1118" w:type="dxa"/>
            <w:tcBorders>
              <w:bottom w:val="nil"/>
              <w:right w:val="single" w:sz="4" w:space="0" w:color="auto"/>
            </w:tcBorders>
            <w:noWrap/>
            <w:hideMark/>
          </w:tcPr>
          <w:p w14:paraId="406F2891"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18.7</w:t>
            </w:r>
          </w:p>
        </w:tc>
      </w:tr>
      <w:tr w:rsidR="00B86BF1" w:rsidRPr="00A743C9" w14:paraId="446C0127" w14:textId="77777777" w:rsidTr="000376C7">
        <w:trPr>
          <w:trHeight w:val="300"/>
        </w:trPr>
        <w:tc>
          <w:tcPr>
            <w:cnfStyle w:val="001000000000" w:firstRow="0" w:lastRow="0" w:firstColumn="1" w:lastColumn="0" w:oddVBand="0" w:evenVBand="0" w:oddHBand="0" w:evenHBand="0" w:firstRowFirstColumn="0" w:firstRowLastColumn="0" w:lastRowFirstColumn="0" w:lastRowLastColumn="0"/>
            <w:tcW w:w="1606" w:type="dxa"/>
            <w:tcBorders>
              <w:left w:val="single" w:sz="4" w:space="0" w:color="auto"/>
              <w:bottom w:val="nil"/>
              <w:right w:val="single" w:sz="4" w:space="0" w:color="auto"/>
            </w:tcBorders>
            <w:noWrap/>
            <w:hideMark/>
          </w:tcPr>
          <w:p w14:paraId="1A70AEDE" w14:textId="77777777" w:rsidR="00B86BF1" w:rsidRPr="00A743C9" w:rsidRDefault="00B86BF1" w:rsidP="000376C7">
            <w:pPr>
              <w:rPr>
                <w:rFonts w:eastAsia="Times New Roman" w:cs="Calibri"/>
                <w:color w:val="auto"/>
                <w:sz w:val="16"/>
                <w:szCs w:val="16"/>
              </w:rPr>
            </w:pPr>
            <w:r w:rsidRPr="00A743C9">
              <w:rPr>
                <w:rFonts w:eastAsia="Times New Roman" w:cs="Calibri"/>
                <w:color w:val="auto"/>
                <w:sz w:val="16"/>
                <w:szCs w:val="16"/>
              </w:rPr>
              <w:t>Argentina</w:t>
            </w:r>
          </w:p>
        </w:tc>
        <w:tc>
          <w:tcPr>
            <w:tcW w:w="1119" w:type="dxa"/>
            <w:tcBorders>
              <w:left w:val="single" w:sz="4" w:space="0" w:color="auto"/>
              <w:bottom w:val="nil"/>
            </w:tcBorders>
            <w:noWrap/>
            <w:hideMark/>
          </w:tcPr>
          <w:p w14:paraId="6FF13145"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25.3</w:t>
            </w:r>
          </w:p>
        </w:tc>
        <w:tc>
          <w:tcPr>
            <w:tcW w:w="1119" w:type="dxa"/>
            <w:tcBorders>
              <w:bottom w:val="nil"/>
            </w:tcBorders>
            <w:noWrap/>
            <w:hideMark/>
          </w:tcPr>
          <w:p w14:paraId="12FC0DDE"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31</w:t>
            </w:r>
          </w:p>
        </w:tc>
        <w:tc>
          <w:tcPr>
            <w:tcW w:w="1119" w:type="dxa"/>
            <w:tcBorders>
              <w:bottom w:val="nil"/>
              <w:right w:val="single" w:sz="4" w:space="0" w:color="auto"/>
            </w:tcBorders>
            <w:noWrap/>
            <w:hideMark/>
          </w:tcPr>
          <w:p w14:paraId="6AACC368"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19.9</w:t>
            </w:r>
          </w:p>
        </w:tc>
        <w:tc>
          <w:tcPr>
            <w:tcW w:w="1119" w:type="dxa"/>
            <w:tcBorders>
              <w:left w:val="single" w:sz="4" w:space="0" w:color="auto"/>
              <w:bottom w:val="nil"/>
            </w:tcBorders>
            <w:noWrap/>
            <w:hideMark/>
          </w:tcPr>
          <w:p w14:paraId="00D14ABF"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18.1</w:t>
            </w:r>
          </w:p>
        </w:tc>
        <w:tc>
          <w:tcPr>
            <w:tcW w:w="1118" w:type="dxa"/>
            <w:tcBorders>
              <w:bottom w:val="nil"/>
            </w:tcBorders>
            <w:noWrap/>
            <w:hideMark/>
          </w:tcPr>
          <w:p w14:paraId="782D2C51"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22.2</w:t>
            </w:r>
          </w:p>
        </w:tc>
        <w:tc>
          <w:tcPr>
            <w:tcW w:w="1118" w:type="dxa"/>
            <w:tcBorders>
              <w:bottom w:val="nil"/>
              <w:right w:val="single" w:sz="4" w:space="0" w:color="auto"/>
            </w:tcBorders>
            <w:noWrap/>
            <w:hideMark/>
          </w:tcPr>
          <w:p w14:paraId="780A22B3"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14.3</w:t>
            </w:r>
          </w:p>
        </w:tc>
        <w:tc>
          <w:tcPr>
            <w:tcW w:w="1118" w:type="dxa"/>
            <w:tcBorders>
              <w:left w:val="single" w:sz="4" w:space="0" w:color="auto"/>
              <w:bottom w:val="nil"/>
            </w:tcBorders>
            <w:noWrap/>
            <w:hideMark/>
          </w:tcPr>
          <w:p w14:paraId="37E21B66"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22.9</w:t>
            </w:r>
          </w:p>
        </w:tc>
        <w:tc>
          <w:tcPr>
            <w:tcW w:w="1118" w:type="dxa"/>
            <w:tcBorders>
              <w:bottom w:val="nil"/>
            </w:tcBorders>
            <w:noWrap/>
            <w:hideMark/>
          </w:tcPr>
          <w:p w14:paraId="7841E0F5"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28.2</w:t>
            </w:r>
          </w:p>
        </w:tc>
        <w:tc>
          <w:tcPr>
            <w:tcW w:w="1118" w:type="dxa"/>
            <w:tcBorders>
              <w:bottom w:val="nil"/>
              <w:right w:val="single" w:sz="4" w:space="0" w:color="auto"/>
            </w:tcBorders>
            <w:noWrap/>
            <w:hideMark/>
          </w:tcPr>
          <w:p w14:paraId="12600D18"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18</w:t>
            </w:r>
          </w:p>
        </w:tc>
        <w:tc>
          <w:tcPr>
            <w:tcW w:w="1118" w:type="dxa"/>
            <w:tcBorders>
              <w:left w:val="single" w:sz="4" w:space="0" w:color="auto"/>
              <w:bottom w:val="nil"/>
            </w:tcBorders>
            <w:noWrap/>
            <w:hideMark/>
          </w:tcPr>
          <w:p w14:paraId="09E30F63"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17.3</w:t>
            </w:r>
          </w:p>
        </w:tc>
        <w:tc>
          <w:tcPr>
            <w:tcW w:w="1118" w:type="dxa"/>
            <w:tcBorders>
              <w:bottom w:val="nil"/>
            </w:tcBorders>
            <w:noWrap/>
            <w:hideMark/>
          </w:tcPr>
          <w:p w14:paraId="66D20F3F"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21.4</w:t>
            </w:r>
          </w:p>
        </w:tc>
        <w:tc>
          <w:tcPr>
            <w:tcW w:w="1118" w:type="dxa"/>
            <w:tcBorders>
              <w:bottom w:val="nil"/>
              <w:right w:val="single" w:sz="4" w:space="0" w:color="auto"/>
            </w:tcBorders>
            <w:noWrap/>
            <w:hideMark/>
          </w:tcPr>
          <w:p w14:paraId="239FCC44"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13.5</w:t>
            </w:r>
          </w:p>
        </w:tc>
      </w:tr>
      <w:tr w:rsidR="00B86BF1" w:rsidRPr="00A743C9" w14:paraId="5DC4F4F5" w14:textId="77777777" w:rsidTr="000376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6" w:type="dxa"/>
            <w:tcBorders>
              <w:left w:val="single" w:sz="4" w:space="0" w:color="auto"/>
              <w:bottom w:val="nil"/>
              <w:right w:val="single" w:sz="4" w:space="0" w:color="auto"/>
            </w:tcBorders>
            <w:noWrap/>
            <w:hideMark/>
          </w:tcPr>
          <w:p w14:paraId="7E7514B3" w14:textId="77777777" w:rsidR="00B86BF1" w:rsidRPr="00A743C9" w:rsidRDefault="00B86BF1" w:rsidP="000376C7">
            <w:pPr>
              <w:rPr>
                <w:rFonts w:eastAsia="Times New Roman" w:cs="Calibri"/>
                <w:color w:val="auto"/>
                <w:sz w:val="16"/>
                <w:szCs w:val="16"/>
              </w:rPr>
            </w:pPr>
            <w:r w:rsidRPr="00A743C9">
              <w:rPr>
                <w:rFonts w:eastAsia="Times New Roman" w:cs="Calibri"/>
                <w:color w:val="auto"/>
                <w:sz w:val="16"/>
                <w:szCs w:val="16"/>
              </w:rPr>
              <w:t>Armenia</w:t>
            </w:r>
          </w:p>
        </w:tc>
        <w:tc>
          <w:tcPr>
            <w:tcW w:w="1119" w:type="dxa"/>
            <w:tcBorders>
              <w:left w:val="single" w:sz="4" w:space="0" w:color="auto"/>
              <w:bottom w:val="nil"/>
            </w:tcBorders>
            <w:noWrap/>
            <w:hideMark/>
          </w:tcPr>
          <w:p w14:paraId="6CA80791"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28</w:t>
            </w:r>
          </w:p>
        </w:tc>
        <w:tc>
          <w:tcPr>
            <w:tcW w:w="1119" w:type="dxa"/>
            <w:tcBorders>
              <w:bottom w:val="nil"/>
            </w:tcBorders>
            <w:noWrap/>
            <w:hideMark/>
          </w:tcPr>
          <w:p w14:paraId="05373F4A"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54.2</w:t>
            </w:r>
          </w:p>
        </w:tc>
        <w:tc>
          <w:tcPr>
            <w:tcW w:w="1119" w:type="dxa"/>
            <w:tcBorders>
              <w:bottom w:val="nil"/>
              <w:right w:val="single" w:sz="4" w:space="0" w:color="auto"/>
            </w:tcBorders>
            <w:noWrap/>
            <w:hideMark/>
          </w:tcPr>
          <w:p w14:paraId="3383A5DE"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1.7</w:t>
            </w:r>
          </w:p>
        </w:tc>
        <w:tc>
          <w:tcPr>
            <w:tcW w:w="1119" w:type="dxa"/>
            <w:tcBorders>
              <w:left w:val="single" w:sz="4" w:space="0" w:color="auto"/>
              <w:bottom w:val="nil"/>
            </w:tcBorders>
            <w:noWrap/>
            <w:hideMark/>
          </w:tcPr>
          <w:p w14:paraId="5C7F0106"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24.7</w:t>
            </w:r>
          </w:p>
        </w:tc>
        <w:tc>
          <w:tcPr>
            <w:tcW w:w="1118" w:type="dxa"/>
            <w:tcBorders>
              <w:bottom w:val="nil"/>
            </w:tcBorders>
            <w:noWrap/>
            <w:hideMark/>
          </w:tcPr>
          <w:p w14:paraId="0F57390C"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48.1</w:t>
            </w:r>
          </w:p>
        </w:tc>
        <w:tc>
          <w:tcPr>
            <w:tcW w:w="1118" w:type="dxa"/>
            <w:tcBorders>
              <w:bottom w:val="nil"/>
              <w:right w:val="single" w:sz="4" w:space="0" w:color="auto"/>
            </w:tcBorders>
            <w:noWrap/>
            <w:hideMark/>
          </w:tcPr>
          <w:p w14:paraId="20342A1F"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1.3</w:t>
            </w:r>
          </w:p>
        </w:tc>
        <w:tc>
          <w:tcPr>
            <w:tcW w:w="1118" w:type="dxa"/>
            <w:tcBorders>
              <w:left w:val="single" w:sz="4" w:space="0" w:color="auto"/>
              <w:bottom w:val="nil"/>
            </w:tcBorders>
            <w:noWrap/>
            <w:hideMark/>
          </w:tcPr>
          <w:p w14:paraId="0C40B9E9"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26.2</w:t>
            </w:r>
          </w:p>
        </w:tc>
        <w:tc>
          <w:tcPr>
            <w:tcW w:w="1118" w:type="dxa"/>
            <w:tcBorders>
              <w:bottom w:val="nil"/>
            </w:tcBorders>
            <w:noWrap/>
            <w:hideMark/>
          </w:tcPr>
          <w:p w14:paraId="2A28E089"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50.8</w:t>
            </w:r>
          </w:p>
        </w:tc>
        <w:tc>
          <w:tcPr>
            <w:tcW w:w="1118" w:type="dxa"/>
            <w:tcBorders>
              <w:bottom w:val="nil"/>
              <w:right w:val="single" w:sz="4" w:space="0" w:color="auto"/>
            </w:tcBorders>
            <w:noWrap/>
            <w:hideMark/>
          </w:tcPr>
          <w:p w14:paraId="7D3AA6C8"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1.5</w:t>
            </w:r>
          </w:p>
        </w:tc>
        <w:tc>
          <w:tcPr>
            <w:tcW w:w="1118" w:type="dxa"/>
            <w:tcBorders>
              <w:left w:val="single" w:sz="4" w:space="0" w:color="auto"/>
              <w:bottom w:val="nil"/>
            </w:tcBorders>
            <w:noWrap/>
            <w:hideMark/>
          </w:tcPr>
          <w:p w14:paraId="4E1D3DA4"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22.7</w:t>
            </w:r>
          </w:p>
        </w:tc>
        <w:tc>
          <w:tcPr>
            <w:tcW w:w="1118" w:type="dxa"/>
            <w:tcBorders>
              <w:bottom w:val="nil"/>
            </w:tcBorders>
            <w:noWrap/>
            <w:hideMark/>
          </w:tcPr>
          <w:p w14:paraId="52D2A780"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44.2</w:t>
            </w:r>
          </w:p>
        </w:tc>
        <w:tc>
          <w:tcPr>
            <w:tcW w:w="1118" w:type="dxa"/>
            <w:tcBorders>
              <w:bottom w:val="nil"/>
              <w:right w:val="single" w:sz="4" w:space="0" w:color="auto"/>
            </w:tcBorders>
            <w:noWrap/>
            <w:hideMark/>
          </w:tcPr>
          <w:p w14:paraId="7670BB0E"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1.1</w:t>
            </w:r>
          </w:p>
        </w:tc>
      </w:tr>
      <w:tr w:rsidR="00B86BF1" w:rsidRPr="00A743C9" w14:paraId="2F6002E6" w14:textId="77777777" w:rsidTr="000376C7">
        <w:trPr>
          <w:trHeight w:val="300"/>
        </w:trPr>
        <w:tc>
          <w:tcPr>
            <w:cnfStyle w:val="001000000000" w:firstRow="0" w:lastRow="0" w:firstColumn="1" w:lastColumn="0" w:oddVBand="0" w:evenVBand="0" w:oddHBand="0" w:evenHBand="0" w:firstRowFirstColumn="0" w:firstRowLastColumn="0" w:lastRowFirstColumn="0" w:lastRowLastColumn="0"/>
            <w:tcW w:w="1606" w:type="dxa"/>
            <w:tcBorders>
              <w:left w:val="single" w:sz="4" w:space="0" w:color="auto"/>
              <w:bottom w:val="nil"/>
              <w:right w:val="single" w:sz="4" w:space="0" w:color="auto"/>
            </w:tcBorders>
            <w:noWrap/>
            <w:hideMark/>
          </w:tcPr>
          <w:p w14:paraId="67F631FE" w14:textId="77777777" w:rsidR="00B86BF1" w:rsidRPr="00A743C9" w:rsidRDefault="00B86BF1" w:rsidP="000376C7">
            <w:pPr>
              <w:rPr>
                <w:rFonts w:eastAsia="Times New Roman" w:cs="Calibri"/>
                <w:color w:val="auto"/>
                <w:sz w:val="16"/>
                <w:szCs w:val="16"/>
              </w:rPr>
            </w:pPr>
            <w:r w:rsidRPr="00A743C9">
              <w:rPr>
                <w:rFonts w:eastAsia="Times New Roman" w:cs="Calibri"/>
                <w:color w:val="auto"/>
                <w:sz w:val="16"/>
                <w:szCs w:val="16"/>
              </w:rPr>
              <w:t>Australia</w:t>
            </w:r>
          </w:p>
        </w:tc>
        <w:tc>
          <w:tcPr>
            <w:tcW w:w="1119" w:type="dxa"/>
            <w:tcBorders>
              <w:left w:val="single" w:sz="4" w:space="0" w:color="auto"/>
              <w:bottom w:val="nil"/>
            </w:tcBorders>
            <w:noWrap/>
            <w:hideMark/>
          </w:tcPr>
          <w:p w14:paraId="6AE8D90D"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16</w:t>
            </w:r>
          </w:p>
        </w:tc>
        <w:tc>
          <w:tcPr>
            <w:tcW w:w="1119" w:type="dxa"/>
            <w:tcBorders>
              <w:bottom w:val="nil"/>
            </w:tcBorders>
            <w:noWrap/>
            <w:hideMark/>
          </w:tcPr>
          <w:p w14:paraId="01DBCAA0"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17.8</w:t>
            </w:r>
          </w:p>
        </w:tc>
        <w:tc>
          <w:tcPr>
            <w:tcW w:w="1119" w:type="dxa"/>
            <w:tcBorders>
              <w:bottom w:val="nil"/>
              <w:right w:val="single" w:sz="4" w:space="0" w:color="auto"/>
            </w:tcBorders>
            <w:noWrap/>
            <w:hideMark/>
          </w:tcPr>
          <w:p w14:paraId="67F91C30"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14.3</w:t>
            </w:r>
          </w:p>
        </w:tc>
        <w:tc>
          <w:tcPr>
            <w:tcW w:w="1119" w:type="dxa"/>
            <w:tcBorders>
              <w:left w:val="single" w:sz="4" w:space="0" w:color="auto"/>
              <w:bottom w:val="nil"/>
            </w:tcBorders>
            <w:noWrap/>
            <w:hideMark/>
          </w:tcPr>
          <w:p w14:paraId="5ABB42E4"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13.7</w:t>
            </w:r>
          </w:p>
        </w:tc>
        <w:tc>
          <w:tcPr>
            <w:tcW w:w="1118" w:type="dxa"/>
            <w:tcBorders>
              <w:bottom w:val="nil"/>
            </w:tcBorders>
            <w:noWrap/>
            <w:hideMark/>
          </w:tcPr>
          <w:p w14:paraId="5D02136C"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15.1</w:t>
            </w:r>
          </w:p>
        </w:tc>
        <w:tc>
          <w:tcPr>
            <w:tcW w:w="1118" w:type="dxa"/>
            <w:tcBorders>
              <w:bottom w:val="nil"/>
              <w:right w:val="single" w:sz="4" w:space="0" w:color="auto"/>
            </w:tcBorders>
            <w:noWrap/>
            <w:hideMark/>
          </w:tcPr>
          <w:p w14:paraId="33AFF3F9"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12.4</w:t>
            </w:r>
          </w:p>
        </w:tc>
        <w:tc>
          <w:tcPr>
            <w:tcW w:w="1118" w:type="dxa"/>
            <w:tcBorders>
              <w:left w:val="single" w:sz="4" w:space="0" w:color="auto"/>
              <w:bottom w:val="nil"/>
            </w:tcBorders>
            <w:noWrap/>
            <w:hideMark/>
          </w:tcPr>
          <w:p w14:paraId="002F53DA"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13</w:t>
            </w:r>
          </w:p>
        </w:tc>
        <w:tc>
          <w:tcPr>
            <w:tcW w:w="1118" w:type="dxa"/>
            <w:tcBorders>
              <w:bottom w:val="nil"/>
            </w:tcBorders>
            <w:noWrap/>
            <w:hideMark/>
          </w:tcPr>
          <w:p w14:paraId="32B0951B"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14.9</w:t>
            </w:r>
          </w:p>
        </w:tc>
        <w:tc>
          <w:tcPr>
            <w:tcW w:w="1118" w:type="dxa"/>
            <w:tcBorders>
              <w:bottom w:val="nil"/>
              <w:right w:val="single" w:sz="4" w:space="0" w:color="auto"/>
            </w:tcBorders>
            <w:noWrap/>
            <w:hideMark/>
          </w:tcPr>
          <w:p w14:paraId="3B550E84"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11.3</w:t>
            </w:r>
          </w:p>
        </w:tc>
        <w:tc>
          <w:tcPr>
            <w:tcW w:w="1118" w:type="dxa"/>
            <w:tcBorders>
              <w:left w:val="single" w:sz="4" w:space="0" w:color="auto"/>
              <w:bottom w:val="nil"/>
            </w:tcBorders>
            <w:noWrap/>
            <w:hideMark/>
          </w:tcPr>
          <w:p w14:paraId="491AC0C9"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11</w:t>
            </w:r>
          </w:p>
        </w:tc>
        <w:tc>
          <w:tcPr>
            <w:tcW w:w="1118" w:type="dxa"/>
            <w:tcBorders>
              <w:bottom w:val="nil"/>
            </w:tcBorders>
            <w:noWrap/>
            <w:hideMark/>
          </w:tcPr>
          <w:p w14:paraId="2262A8E7"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12.3</w:t>
            </w:r>
          </w:p>
        </w:tc>
        <w:tc>
          <w:tcPr>
            <w:tcW w:w="1118" w:type="dxa"/>
            <w:tcBorders>
              <w:bottom w:val="nil"/>
              <w:right w:val="single" w:sz="4" w:space="0" w:color="auto"/>
            </w:tcBorders>
            <w:noWrap/>
            <w:hideMark/>
          </w:tcPr>
          <w:p w14:paraId="3DF65D24"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9.6</w:t>
            </w:r>
          </w:p>
        </w:tc>
      </w:tr>
      <w:tr w:rsidR="00B86BF1" w:rsidRPr="00A743C9" w14:paraId="545059E5" w14:textId="77777777" w:rsidTr="000376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6" w:type="dxa"/>
            <w:tcBorders>
              <w:left w:val="single" w:sz="4" w:space="0" w:color="auto"/>
              <w:bottom w:val="nil"/>
              <w:right w:val="single" w:sz="4" w:space="0" w:color="auto"/>
            </w:tcBorders>
            <w:noWrap/>
            <w:hideMark/>
          </w:tcPr>
          <w:p w14:paraId="115BFCB6" w14:textId="77777777" w:rsidR="00B86BF1" w:rsidRPr="00A743C9" w:rsidRDefault="00B86BF1" w:rsidP="000376C7">
            <w:pPr>
              <w:rPr>
                <w:rFonts w:eastAsia="Times New Roman" w:cs="Calibri"/>
                <w:color w:val="auto"/>
                <w:sz w:val="16"/>
                <w:szCs w:val="16"/>
              </w:rPr>
            </w:pPr>
            <w:r w:rsidRPr="00A743C9">
              <w:rPr>
                <w:rFonts w:eastAsia="Times New Roman" w:cs="Calibri"/>
                <w:color w:val="auto"/>
                <w:sz w:val="16"/>
                <w:szCs w:val="16"/>
              </w:rPr>
              <w:t>Azerbaijan</w:t>
            </w:r>
          </w:p>
        </w:tc>
        <w:tc>
          <w:tcPr>
            <w:tcW w:w="1119" w:type="dxa"/>
            <w:tcBorders>
              <w:left w:val="single" w:sz="4" w:space="0" w:color="auto"/>
              <w:bottom w:val="nil"/>
            </w:tcBorders>
            <w:noWrap/>
            <w:hideMark/>
          </w:tcPr>
          <w:p w14:paraId="10FA8CB7"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23.5</w:t>
            </w:r>
          </w:p>
        </w:tc>
        <w:tc>
          <w:tcPr>
            <w:tcW w:w="1119" w:type="dxa"/>
            <w:tcBorders>
              <w:bottom w:val="nil"/>
            </w:tcBorders>
            <w:noWrap/>
            <w:hideMark/>
          </w:tcPr>
          <w:p w14:paraId="76F4FD9A"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47.8</w:t>
            </w:r>
          </w:p>
        </w:tc>
        <w:tc>
          <w:tcPr>
            <w:tcW w:w="1119" w:type="dxa"/>
            <w:tcBorders>
              <w:bottom w:val="nil"/>
              <w:right w:val="single" w:sz="4" w:space="0" w:color="auto"/>
            </w:tcBorders>
            <w:noWrap/>
            <w:hideMark/>
          </w:tcPr>
          <w:p w14:paraId="2FB1F4D5"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0.4</w:t>
            </w:r>
          </w:p>
        </w:tc>
        <w:tc>
          <w:tcPr>
            <w:tcW w:w="1119" w:type="dxa"/>
            <w:tcBorders>
              <w:left w:val="single" w:sz="4" w:space="0" w:color="auto"/>
              <w:bottom w:val="nil"/>
            </w:tcBorders>
            <w:noWrap/>
            <w:hideMark/>
          </w:tcPr>
          <w:p w14:paraId="590A5AD5"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18.6</w:t>
            </w:r>
          </w:p>
        </w:tc>
        <w:tc>
          <w:tcPr>
            <w:tcW w:w="1118" w:type="dxa"/>
            <w:tcBorders>
              <w:bottom w:val="nil"/>
            </w:tcBorders>
            <w:noWrap/>
            <w:hideMark/>
          </w:tcPr>
          <w:p w14:paraId="7D4B73D8"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38</w:t>
            </w:r>
          </w:p>
        </w:tc>
        <w:tc>
          <w:tcPr>
            <w:tcW w:w="1118" w:type="dxa"/>
            <w:tcBorders>
              <w:bottom w:val="nil"/>
              <w:right w:val="single" w:sz="4" w:space="0" w:color="auto"/>
            </w:tcBorders>
            <w:noWrap/>
            <w:hideMark/>
          </w:tcPr>
          <w:p w14:paraId="52A816D6"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0.3</w:t>
            </w:r>
          </w:p>
        </w:tc>
        <w:tc>
          <w:tcPr>
            <w:tcW w:w="1118" w:type="dxa"/>
            <w:tcBorders>
              <w:left w:val="single" w:sz="4" w:space="0" w:color="auto"/>
              <w:bottom w:val="nil"/>
            </w:tcBorders>
            <w:noWrap/>
            <w:hideMark/>
          </w:tcPr>
          <w:p w14:paraId="1580E2D7"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18.7</w:t>
            </w:r>
          </w:p>
        </w:tc>
        <w:tc>
          <w:tcPr>
            <w:tcW w:w="1118" w:type="dxa"/>
            <w:tcBorders>
              <w:bottom w:val="nil"/>
            </w:tcBorders>
            <w:noWrap/>
            <w:hideMark/>
          </w:tcPr>
          <w:p w14:paraId="0C8B1672"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38.2</w:t>
            </w:r>
          </w:p>
        </w:tc>
        <w:tc>
          <w:tcPr>
            <w:tcW w:w="1118" w:type="dxa"/>
            <w:tcBorders>
              <w:bottom w:val="nil"/>
              <w:right w:val="single" w:sz="4" w:space="0" w:color="auto"/>
            </w:tcBorders>
            <w:noWrap/>
            <w:hideMark/>
          </w:tcPr>
          <w:p w14:paraId="4EE8B9B4"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0.3</w:t>
            </w:r>
          </w:p>
        </w:tc>
        <w:tc>
          <w:tcPr>
            <w:tcW w:w="1118" w:type="dxa"/>
            <w:tcBorders>
              <w:left w:val="single" w:sz="4" w:space="0" w:color="auto"/>
              <w:bottom w:val="nil"/>
            </w:tcBorders>
            <w:noWrap/>
            <w:hideMark/>
          </w:tcPr>
          <w:p w14:paraId="51290143"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15.5</w:t>
            </w:r>
          </w:p>
        </w:tc>
        <w:tc>
          <w:tcPr>
            <w:tcW w:w="1118" w:type="dxa"/>
            <w:tcBorders>
              <w:bottom w:val="nil"/>
            </w:tcBorders>
            <w:noWrap/>
            <w:hideMark/>
          </w:tcPr>
          <w:p w14:paraId="2D223D22"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31.7</w:t>
            </w:r>
          </w:p>
        </w:tc>
        <w:tc>
          <w:tcPr>
            <w:tcW w:w="1118" w:type="dxa"/>
            <w:tcBorders>
              <w:bottom w:val="nil"/>
              <w:right w:val="single" w:sz="4" w:space="0" w:color="auto"/>
            </w:tcBorders>
            <w:noWrap/>
            <w:hideMark/>
          </w:tcPr>
          <w:p w14:paraId="15901A5F"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0.3</w:t>
            </w:r>
          </w:p>
        </w:tc>
      </w:tr>
      <w:tr w:rsidR="00B86BF1" w:rsidRPr="00A743C9" w14:paraId="3C69D461" w14:textId="77777777" w:rsidTr="000376C7">
        <w:trPr>
          <w:trHeight w:val="300"/>
        </w:trPr>
        <w:tc>
          <w:tcPr>
            <w:cnfStyle w:val="001000000000" w:firstRow="0" w:lastRow="0" w:firstColumn="1" w:lastColumn="0" w:oddVBand="0" w:evenVBand="0" w:oddHBand="0" w:evenHBand="0" w:firstRowFirstColumn="0" w:firstRowLastColumn="0" w:lastRowFirstColumn="0" w:lastRowLastColumn="0"/>
            <w:tcW w:w="1606" w:type="dxa"/>
            <w:tcBorders>
              <w:left w:val="single" w:sz="4" w:space="0" w:color="auto"/>
              <w:bottom w:val="nil"/>
              <w:right w:val="single" w:sz="4" w:space="0" w:color="auto"/>
            </w:tcBorders>
            <w:noWrap/>
            <w:hideMark/>
          </w:tcPr>
          <w:p w14:paraId="2995868D" w14:textId="77777777" w:rsidR="00B86BF1" w:rsidRPr="00A743C9" w:rsidRDefault="00B86BF1" w:rsidP="000376C7">
            <w:pPr>
              <w:rPr>
                <w:rFonts w:eastAsia="Times New Roman" w:cs="Calibri"/>
                <w:color w:val="auto"/>
                <w:sz w:val="16"/>
                <w:szCs w:val="16"/>
              </w:rPr>
            </w:pPr>
            <w:r w:rsidRPr="00A743C9">
              <w:rPr>
                <w:rFonts w:eastAsia="Times New Roman" w:cs="Calibri"/>
                <w:color w:val="auto"/>
                <w:sz w:val="16"/>
                <w:szCs w:val="16"/>
              </w:rPr>
              <w:t>Bahrain</w:t>
            </w:r>
          </w:p>
        </w:tc>
        <w:tc>
          <w:tcPr>
            <w:tcW w:w="1119" w:type="dxa"/>
            <w:tcBorders>
              <w:left w:val="single" w:sz="4" w:space="0" w:color="auto"/>
              <w:bottom w:val="nil"/>
            </w:tcBorders>
            <w:noWrap/>
            <w:hideMark/>
          </w:tcPr>
          <w:p w14:paraId="68579953"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30.3</w:t>
            </w:r>
          </w:p>
        </w:tc>
        <w:tc>
          <w:tcPr>
            <w:tcW w:w="1119" w:type="dxa"/>
            <w:tcBorders>
              <w:bottom w:val="nil"/>
            </w:tcBorders>
            <w:noWrap/>
            <w:hideMark/>
          </w:tcPr>
          <w:p w14:paraId="03A1F7A6"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42.7</w:t>
            </w:r>
          </w:p>
        </w:tc>
        <w:tc>
          <w:tcPr>
            <w:tcW w:w="1119" w:type="dxa"/>
            <w:tcBorders>
              <w:bottom w:val="nil"/>
              <w:right w:val="single" w:sz="4" w:space="0" w:color="auto"/>
            </w:tcBorders>
            <w:noWrap/>
            <w:hideMark/>
          </w:tcPr>
          <w:p w14:paraId="77A63D65"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7.1</w:t>
            </w:r>
          </w:p>
        </w:tc>
        <w:tc>
          <w:tcPr>
            <w:tcW w:w="1119" w:type="dxa"/>
            <w:tcBorders>
              <w:left w:val="single" w:sz="4" w:space="0" w:color="auto"/>
              <w:bottom w:val="nil"/>
            </w:tcBorders>
            <w:noWrap/>
            <w:hideMark/>
          </w:tcPr>
          <w:p w14:paraId="3F8E3E55"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27.1</w:t>
            </w:r>
          </w:p>
        </w:tc>
        <w:tc>
          <w:tcPr>
            <w:tcW w:w="1118" w:type="dxa"/>
            <w:tcBorders>
              <w:bottom w:val="nil"/>
            </w:tcBorders>
            <w:noWrap/>
            <w:hideMark/>
          </w:tcPr>
          <w:p w14:paraId="4EFA196C"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38.5</w:t>
            </w:r>
          </w:p>
        </w:tc>
        <w:tc>
          <w:tcPr>
            <w:tcW w:w="1118" w:type="dxa"/>
            <w:tcBorders>
              <w:bottom w:val="nil"/>
              <w:right w:val="single" w:sz="4" w:space="0" w:color="auto"/>
            </w:tcBorders>
            <w:noWrap/>
            <w:hideMark/>
          </w:tcPr>
          <w:p w14:paraId="6BAE1634"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5.9</w:t>
            </w:r>
          </w:p>
        </w:tc>
        <w:tc>
          <w:tcPr>
            <w:tcW w:w="1118" w:type="dxa"/>
            <w:tcBorders>
              <w:left w:val="single" w:sz="4" w:space="0" w:color="auto"/>
              <w:bottom w:val="nil"/>
            </w:tcBorders>
            <w:noWrap/>
            <w:hideMark/>
          </w:tcPr>
          <w:p w14:paraId="1096BE28"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25.3</w:t>
            </w:r>
          </w:p>
        </w:tc>
        <w:tc>
          <w:tcPr>
            <w:tcW w:w="1118" w:type="dxa"/>
            <w:tcBorders>
              <w:bottom w:val="nil"/>
            </w:tcBorders>
            <w:noWrap/>
            <w:hideMark/>
          </w:tcPr>
          <w:p w14:paraId="0209C25A"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37.6</w:t>
            </w:r>
          </w:p>
        </w:tc>
        <w:tc>
          <w:tcPr>
            <w:tcW w:w="1118" w:type="dxa"/>
            <w:tcBorders>
              <w:bottom w:val="nil"/>
              <w:right w:val="single" w:sz="4" w:space="0" w:color="auto"/>
            </w:tcBorders>
            <w:noWrap/>
            <w:hideMark/>
          </w:tcPr>
          <w:p w14:paraId="4B71A48D"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2.3</w:t>
            </w:r>
          </w:p>
        </w:tc>
        <w:tc>
          <w:tcPr>
            <w:tcW w:w="1118" w:type="dxa"/>
            <w:tcBorders>
              <w:left w:val="single" w:sz="4" w:space="0" w:color="auto"/>
              <w:bottom w:val="nil"/>
            </w:tcBorders>
            <w:noWrap/>
            <w:hideMark/>
          </w:tcPr>
          <w:p w14:paraId="61C2955B"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21.2</w:t>
            </w:r>
          </w:p>
        </w:tc>
        <w:tc>
          <w:tcPr>
            <w:tcW w:w="1118" w:type="dxa"/>
            <w:tcBorders>
              <w:bottom w:val="nil"/>
            </w:tcBorders>
            <w:noWrap/>
            <w:hideMark/>
          </w:tcPr>
          <w:p w14:paraId="00E8B6A1"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31.9</w:t>
            </w:r>
          </w:p>
        </w:tc>
        <w:tc>
          <w:tcPr>
            <w:tcW w:w="1118" w:type="dxa"/>
            <w:tcBorders>
              <w:bottom w:val="nil"/>
              <w:right w:val="single" w:sz="4" w:space="0" w:color="auto"/>
            </w:tcBorders>
            <w:noWrap/>
            <w:hideMark/>
          </w:tcPr>
          <w:p w14:paraId="7AB2E78C"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1.4</w:t>
            </w:r>
          </w:p>
        </w:tc>
      </w:tr>
      <w:tr w:rsidR="00B86BF1" w:rsidRPr="00A743C9" w14:paraId="5DF5FD5B" w14:textId="77777777" w:rsidTr="000376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6" w:type="dxa"/>
            <w:tcBorders>
              <w:left w:val="single" w:sz="4" w:space="0" w:color="auto"/>
              <w:bottom w:val="nil"/>
              <w:right w:val="single" w:sz="4" w:space="0" w:color="auto"/>
            </w:tcBorders>
            <w:noWrap/>
            <w:hideMark/>
          </w:tcPr>
          <w:p w14:paraId="43056F9F" w14:textId="77777777" w:rsidR="00B86BF1" w:rsidRPr="00A743C9" w:rsidRDefault="00B86BF1" w:rsidP="000376C7">
            <w:pPr>
              <w:rPr>
                <w:rFonts w:eastAsia="Times New Roman" w:cs="Calibri"/>
                <w:color w:val="auto"/>
                <w:sz w:val="16"/>
                <w:szCs w:val="16"/>
              </w:rPr>
            </w:pPr>
            <w:r w:rsidRPr="00A743C9">
              <w:rPr>
                <w:rFonts w:eastAsia="Times New Roman" w:cs="Calibri"/>
                <w:color w:val="auto"/>
                <w:sz w:val="16"/>
                <w:szCs w:val="16"/>
              </w:rPr>
              <w:t>Bangladesh</w:t>
            </w:r>
          </w:p>
        </w:tc>
        <w:tc>
          <w:tcPr>
            <w:tcW w:w="1119" w:type="dxa"/>
            <w:tcBorders>
              <w:left w:val="single" w:sz="4" w:space="0" w:color="auto"/>
              <w:bottom w:val="nil"/>
            </w:tcBorders>
            <w:noWrap/>
            <w:hideMark/>
          </w:tcPr>
          <w:p w14:paraId="4297ED32"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21.8</w:t>
            </w:r>
          </w:p>
        </w:tc>
        <w:tc>
          <w:tcPr>
            <w:tcW w:w="1119" w:type="dxa"/>
            <w:tcBorders>
              <w:bottom w:val="nil"/>
            </w:tcBorders>
            <w:noWrap/>
            <w:hideMark/>
          </w:tcPr>
          <w:p w14:paraId="5973671C"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42.4</w:t>
            </w:r>
          </w:p>
        </w:tc>
        <w:tc>
          <w:tcPr>
            <w:tcW w:w="1119" w:type="dxa"/>
            <w:tcBorders>
              <w:bottom w:val="nil"/>
              <w:right w:val="single" w:sz="4" w:space="0" w:color="auto"/>
            </w:tcBorders>
            <w:noWrap/>
            <w:hideMark/>
          </w:tcPr>
          <w:p w14:paraId="3B47961B"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0.9</w:t>
            </w:r>
          </w:p>
        </w:tc>
        <w:tc>
          <w:tcPr>
            <w:tcW w:w="1119" w:type="dxa"/>
            <w:tcBorders>
              <w:left w:val="single" w:sz="4" w:space="0" w:color="auto"/>
              <w:bottom w:val="nil"/>
            </w:tcBorders>
            <w:noWrap/>
            <w:hideMark/>
          </w:tcPr>
          <w:p w14:paraId="44566A17"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19.6</w:t>
            </w:r>
          </w:p>
        </w:tc>
        <w:tc>
          <w:tcPr>
            <w:tcW w:w="1118" w:type="dxa"/>
            <w:tcBorders>
              <w:bottom w:val="nil"/>
            </w:tcBorders>
            <w:noWrap/>
            <w:hideMark/>
          </w:tcPr>
          <w:p w14:paraId="4230DDDB"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38.1</w:t>
            </w:r>
          </w:p>
        </w:tc>
        <w:tc>
          <w:tcPr>
            <w:tcW w:w="1118" w:type="dxa"/>
            <w:tcBorders>
              <w:bottom w:val="nil"/>
              <w:right w:val="single" w:sz="4" w:space="0" w:color="auto"/>
            </w:tcBorders>
            <w:noWrap/>
            <w:hideMark/>
          </w:tcPr>
          <w:p w14:paraId="67BBEACE"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0.8</w:t>
            </w:r>
          </w:p>
        </w:tc>
        <w:tc>
          <w:tcPr>
            <w:tcW w:w="1118" w:type="dxa"/>
            <w:tcBorders>
              <w:left w:val="single" w:sz="4" w:space="0" w:color="auto"/>
              <w:bottom w:val="nil"/>
            </w:tcBorders>
            <w:noWrap/>
            <w:hideMark/>
          </w:tcPr>
          <w:p w14:paraId="2F2BCF48"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15.2</w:t>
            </w:r>
          </w:p>
        </w:tc>
        <w:tc>
          <w:tcPr>
            <w:tcW w:w="1118" w:type="dxa"/>
            <w:tcBorders>
              <w:bottom w:val="nil"/>
            </w:tcBorders>
            <w:noWrap/>
            <w:hideMark/>
          </w:tcPr>
          <w:p w14:paraId="3EBBCCF5"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29.8</w:t>
            </w:r>
          </w:p>
        </w:tc>
        <w:tc>
          <w:tcPr>
            <w:tcW w:w="1118" w:type="dxa"/>
            <w:tcBorders>
              <w:bottom w:val="nil"/>
              <w:right w:val="single" w:sz="4" w:space="0" w:color="auto"/>
            </w:tcBorders>
            <w:noWrap/>
            <w:hideMark/>
          </w:tcPr>
          <w:p w14:paraId="45B297A3"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0.3</w:t>
            </w:r>
          </w:p>
        </w:tc>
        <w:tc>
          <w:tcPr>
            <w:tcW w:w="1118" w:type="dxa"/>
            <w:tcBorders>
              <w:left w:val="single" w:sz="4" w:space="0" w:color="auto"/>
              <w:bottom w:val="nil"/>
            </w:tcBorders>
            <w:noWrap/>
            <w:hideMark/>
          </w:tcPr>
          <w:p w14:paraId="6F7030BD"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12.5</w:t>
            </w:r>
          </w:p>
        </w:tc>
        <w:tc>
          <w:tcPr>
            <w:tcW w:w="1118" w:type="dxa"/>
            <w:tcBorders>
              <w:bottom w:val="nil"/>
            </w:tcBorders>
            <w:noWrap/>
            <w:hideMark/>
          </w:tcPr>
          <w:p w14:paraId="3E0AAB69"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24.5</w:t>
            </w:r>
          </w:p>
        </w:tc>
        <w:tc>
          <w:tcPr>
            <w:tcW w:w="1118" w:type="dxa"/>
            <w:tcBorders>
              <w:bottom w:val="nil"/>
              <w:right w:val="single" w:sz="4" w:space="0" w:color="auto"/>
            </w:tcBorders>
            <w:noWrap/>
            <w:hideMark/>
          </w:tcPr>
          <w:p w14:paraId="3A5EB296"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0.3</w:t>
            </w:r>
          </w:p>
        </w:tc>
      </w:tr>
      <w:tr w:rsidR="00B86BF1" w:rsidRPr="00A743C9" w14:paraId="6C03EC69" w14:textId="77777777" w:rsidTr="000376C7">
        <w:trPr>
          <w:trHeight w:val="300"/>
        </w:trPr>
        <w:tc>
          <w:tcPr>
            <w:cnfStyle w:val="001000000000" w:firstRow="0" w:lastRow="0" w:firstColumn="1" w:lastColumn="0" w:oddVBand="0" w:evenVBand="0" w:oddHBand="0" w:evenHBand="0" w:firstRowFirstColumn="0" w:firstRowLastColumn="0" w:lastRowFirstColumn="0" w:lastRowLastColumn="0"/>
            <w:tcW w:w="1606" w:type="dxa"/>
            <w:tcBorders>
              <w:left w:val="single" w:sz="4" w:space="0" w:color="auto"/>
              <w:bottom w:val="nil"/>
              <w:right w:val="single" w:sz="4" w:space="0" w:color="auto"/>
            </w:tcBorders>
            <w:noWrap/>
            <w:hideMark/>
          </w:tcPr>
          <w:p w14:paraId="4105763B" w14:textId="77777777" w:rsidR="00B86BF1" w:rsidRPr="00A743C9" w:rsidRDefault="00B86BF1" w:rsidP="000376C7">
            <w:pPr>
              <w:rPr>
                <w:rFonts w:eastAsia="Times New Roman" w:cs="Calibri"/>
                <w:color w:val="auto"/>
                <w:sz w:val="16"/>
                <w:szCs w:val="16"/>
              </w:rPr>
            </w:pPr>
            <w:r w:rsidRPr="00A743C9">
              <w:rPr>
                <w:rFonts w:eastAsia="Times New Roman" w:cs="Calibri"/>
                <w:color w:val="auto"/>
                <w:sz w:val="16"/>
                <w:szCs w:val="16"/>
              </w:rPr>
              <w:t>Barbados</w:t>
            </w:r>
          </w:p>
        </w:tc>
        <w:tc>
          <w:tcPr>
            <w:tcW w:w="1119" w:type="dxa"/>
            <w:tcBorders>
              <w:left w:val="single" w:sz="4" w:space="0" w:color="auto"/>
              <w:bottom w:val="nil"/>
            </w:tcBorders>
            <w:noWrap/>
            <w:hideMark/>
          </w:tcPr>
          <w:p w14:paraId="09959E0A"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7</w:t>
            </w:r>
          </w:p>
        </w:tc>
        <w:tc>
          <w:tcPr>
            <w:tcW w:w="1119" w:type="dxa"/>
            <w:tcBorders>
              <w:bottom w:val="nil"/>
            </w:tcBorders>
            <w:noWrap/>
            <w:hideMark/>
          </w:tcPr>
          <w:p w14:paraId="4BDC88A0"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13.1</w:t>
            </w:r>
          </w:p>
        </w:tc>
        <w:tc>
          <w:tcPr>
            <w:tcW w:w="1119" w:type="dxa"/>
            <w:tcBorders>
              <w:bottom w:val="nil"/>
              <w:right w:val="single" w:sz="4" w:space="0" w:color="auto"/>
            </w:tcBorders>
            <w:noWrap/>
            <w:hideMark/>
          </w:tcPr>
          <w:p w14:paraId="6672354B"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w:t>
            </w:r>
          </w:p>
        </w:tc>
        <w:tc>
          <w:tcPr>
            <w:tcW w:w="1119" w:type="dxa"/>
            <w:tcBorders>
              <w:left w:val="single" w:sz="4" w:space="0" w:color="auto"/>
              <w:bottom w:val="nil"/>
            </w:tcBorders>
            <w:noWrap/>
            <w:hideMark/>
          </w:tcPr>
          <w:p w14:paraId="46736FEA"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5</w:t>
            </w:r>
          </w:p>
        </w:tc>
        <w:tc>
          <w:tcPr>
            <w:tcW w:w="1118" w:type="dxa"/>
            <w:tcBorders>
              <w:bottom w:val="nil"/>
            </w:tcBorders>
            <w:noWrap/>
            <w:hideMark/>
          </w:tcPr>
          <w:p w14:paraId="55992C8A"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9.3</w:t>
            </w:r>
          </w:p>
        </w:tc>
        <w:tc>
          <w:tcPr>
            <w:tcW w:w="1118" w:type="dxa"/>
            <w:tcBorders>
              <w:bottom w:val="nil"/>
              <w:right w:val="single" w:sz="4" w:space="0" w:color="auto"/>
            </w:tcBorders>
            <w:noWrap/>
            <w:hideMark/>
          </w:tcPr>
          <w:p w14:paraId="704E7D60"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0.7</w:t>
            </w:r>
          </w:p>
        </w:tc>
        <w:tc>
          <w:tcPr>
            <w:tcW w:w="1118" w:type="dxa"/>
            <w:tcBorders>
              <w:left w:val="single" w:sz="4" w:space="0" w:color="auto"/>
              <w:bottom w:val="nil"/>
            </w:tcBorders>
            <w:noWrap/>
            <w:hideMark/>
          </w:tcPr>
          <w:p w14:paraId="0E2CC483"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5.4</w:t>
            </w:r>
          </w:p>
        </w:tc>
        <w:tc>
          <w:tcPr>
            <w:tcW w:w="1118" w:type="dxa"/>
            <w:tcBorders>
              <w:bottom w:val="nil"/>
            </w:tcBorders>
            <w:noWrap/>
            <w:hideMark/>
          </w:tcPr>
          <w:p w14:paraId="667B9A26"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10.2</w:t>
            </w:r>
          </w:p>
        </w:tc>
        <w:tc>
          <w:tcPr>
            <w:tcW w:w="1118" w:type="dxa"/>
            <w:tcBorders>
              <w:bottom w:val="nil"/>
              <w:right w:val="single" w:sz="4" w:space="0" w:color="auto"/>
            </w:tcBorders>
            <w:noWrap/>
            <w:hideMark/>
          </w:tcPr>
          <w:p w14:paraId="2ED5855D"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0.8</w:t>
            </w:r>
          </w:p>
        </w:tc>
        <w:tc>
          <w:tcPr>
            <w:tcW w:w="1118" w:type="dxa"/>
            <w:tcBorders>
              <w:left w:val="single" w:sz="4" w:space="0" w:color="auto"/>
              <w:bottom w:val="nil"/>
            </w:tcBorders>
            <w:noWrap/>
            <w:hideMark/>
          </w:tcPr>
          <w:p w14:paraId="506A074B"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3.8</w:t>
            </w:r>
          </w:p>
        </w:tc>
        <w:tc>
          <w:tcPr>
            <w:tcW w:w="1118" w:type="dxa"/>
            <w:tcBorders>
              <w:bottom w:val="nil"/>
            </w:tcBorders>
            <w:noWrap/>
            <w:hideMark/>
          </w:tcPr>
          <w:p w14:paraId="0EA69F2B"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7.1</w:t>
            </w:r>
          </w:p>
        </w:tc>
        <w:tc>
          <w:tcPr>
            <w:tcW w:w="1118" w:type="dxa"/>
            <w:tcBorders>
              <w:bottom w:val="nil"/>
              <w:right w:val="single" w:sz="4" w:space="0" w:color="auto"/>
            </w:tcBorders>
            <w:noWrap/>
            <w:hideMark/>
          </w:tcPr>
          <w:p w14:paraId="2934DCB6"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0.5</w:t>
            </w:r>
          </w:p>
        </w:tc>
      </w:tr>
      <w:tr w:rsidR="00B86BF1" w:rsidRPr="00A743C9" w14:paraId="5FF14285" w14:textId="77777777" w:rsidTr="000376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6" w:type="dxa"/>
            <w:tcBorders>
              <w:left w:val="single" w:sz="4" w:space="0" w:color="auto"/>
              <w:bottom w:val="nil"/>
              <w:right w:val="single" w:sz="4" w:space="0" w:color="auto"/>
            </w:tcBorders>
            <w:noWrap/>
            <w:hideMark/>
          </w:tcPr>
          <w:p w14:paraId="6D915E1F" w14:textId="77777777" w:rsidR="00B86BF1" w:rsidRPr="00A743C9" w:rsidRDefault="00B86BF1" w:rsidP="000376C7">
            <w:pPr>
              <w:rPr>
                <w:rFonts w:eastAsia="Times New Roman" w:cs="Calibri"/>
                <w:color w:val="auto"/>
                <w:sz w:val="16"/>
                <w:szCs w:val="16"/>
              </w:rPr>
            </w:pPr>
            <w:r w:rsidRPr="00A743C9">
              <w:rPr>
                <w:rFonts w:eastAsia="Times New Roman" w:cs="Calibri"/>
                <w:color w:val="auto"/>
                <w:sz w:val="16"/>
                <w:szCs w:val="16"/>
              </w:rPr>
              <w:t>Belarus</w:t>
            </w:r>
          </w:p>
        </w:tc>
        <w:tc>
          <w:tcPr>
            <w:tcW w:w="1119" w:type="dxa"/>
            <w:tcBorders>
              <w:left w:val="single" w:sz="4" w:space="0" w:color="auto"/>
              <w:bottom w:val="nil"/>
            </w:tcBorders>
            <w:noWrap/>
            <w:hideMark/>
          </w:tcPr>
          <w:p w14:paraId="7CD4AD57"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27.9</w:t>
            </w:r>
          </w:p>
        </w:tc>
        <w:tc>
          <w:tcPr>
            <w:tcW w:w="1119" w:type="dxa"/>
            <w:tcBorders>
              <w:bottom w:val="nil"/>
            </w:tcBorders>
            <w:noWrap/>
            <w:hideMark/>
          </w:tcPr>
          <w:p w14:paraId="060AD9F8"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48.2</w:t>
            </w:r>
          </w:p>
        </w:tc>
        <w:tc>
          <w:tcPr>
            <w:tcW w:w="1119" w:type="dxa"/>
            <w:tcBorders>
              <w:bottom w:val="nil"/>
              <w:right w:val="single" w:sz="4" w:space="0" w:color="auto"/>
            </w:tcBorders>
            <w:noWrap/>
            <w:hideMark/>
          </w:tcPr>
          <w:p w14:paraId="6958C034"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10.9</w:t>
            </w:r>
          </w:p>
        </w:tc>
        <w:tc>
          <w:tcPr>
            <w:tcW w:w="1119" w:type="dxa"/>
            <w:tcBorders>
              <w:left w:val="single" w:sz="4" w:space="0" w:color="auto"/>
              <w:bottom w:val="nil"/>
            </w:tcBorders>
            <w:noWrap/>
            <w:hideMark/>
          </w:tcPr>
          <w:p w14:paraId="0CD2852D"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22.6</w:t>
            </w:r>
          </w:p>
        </w:tc>
        <w:tc>
          <w:tcPr>
            <w:tcW w:w="1118" w:type="dxa"/>
            <w:tcBorders>
              <w:bottom w:val="nil"/>
            </w:tcBorders>
            <w:noWrap/>
            <w:hideMark/>
          </w:tcPr>
          <w:p w14:paraId="034BD39D"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40.7</w:t>
            </w:r>
          </w:p>
        </w:tc>
        <w:tc>
          <w:tcPr>
            <w:tcW w:w="1118" w:type="dxa"/>
            <w:tcBorders>
              <w:bottom w:val="nil"/>
              <w:right w:val="single" w:sz="4" w:space="0" w:color="auto"/>
            </w:tcBorders>
            <w:noWrap/>
            <w:hideMark/>
          </w:tcPr>
          <w:p w14:paraId="0F01CD5C"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7.6</w:t>
            </w:r>
          </w:p>
        </w:tc>
        <w:tc>
          <w:tcPr>
            <w:tcW w:w="1118" w:type="dxa"/>
            <w:tcBorders>
              <w:left w:val="single" w:sz="4" w:space="0" w:color="auto"/>
              <w:bottom w:val="nil"/>
            </w:tcBorders>
            <w:noWrap/>
            <w:hideMark/>
          </w:tcPr>
          <w:p w14:paraId="532FF30D"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25.6</w:t>
            </w:r>
          </w:p>
        </w:tc>
        <w:tc>
          <w:tcPr>
            <w:tcW w:w="1118" w:type="dxa"/>
            <w:tcBorders>
              <w:bottom w:val="nil"/>
            </w:tcBorders>
            <w:noWrap/>
            <w:hideMark/>
          </w:tcPr>
          <w:p w14:paraId="718C2624"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44.3</w:t>
            </w:r>
          </w:p>
        </w:tc>
        <w:tc>
          <w:tcPr>
            <w:tcW w:w="1118" w:type="dxa"/>
            <w:tcBorders>
              <w:bottom w:val="nil"/>
              <w:right w:val="single" w:sz="4" w:space="0" w:color="auto"/>
            </w:tcBorders>
            <w:noWrap/>
            <w:hideMark/>
          </w:tcPr>
          <w:p w14:paraId="28A02CEA"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10</w:t>
            </w:r>
          </w:p>
        </w:tc>
        <w:tc>
          <w:tcPr>
            <w:tcW w:w="1118" w:type="dxa"/>
            <w:tcBorders>
              <w:left w:val="single" w:sz="4" w:space="0" w:color="auto"/>
              <w:bottom w:val="nil"/>
            </w:tcBorders>
            <w:noWrap/>
            <w:hideMark/>
          </w:tcPr>
          <w:p w14:paraId="23E7CDF9"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21.1</w:t>
            </w:r>
          </w:p>
        </w:tc>
        <w:tc>
          <w:tcPr>
            <w:tcW w:w="1118" w:type="dxa"/>
            <w:tcBorders>
              <w:bottom w:val="nil"/>
            </w:tcBorders>
            <w:noWrap/>
            <w:hideMark/>
          </w:tcPr>
          <w:p w14:paraId="0ED58F72"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38.4</w:t>
            </w:r>
          </w:p>
        </w:tc>
        <w:tc>
          <w:tcPr>
            <w:tcW w:w="1118" w:type="dxa"/>
            <w:tcBorders>
              <w:bottom w:val="nil"/>
              <w:right w:val="single" w:sz="4" w:space="0" w:color="auto"/>
            </w:tcBorders>
            <w:noWrap/>
            <w:hideMark/>
          </w:tcPr>
          <w:p w14:paraId="31ECAE8E"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6.7</w:t>
            </w:r>
          </w:p>
        </w:tc>
      </w:tr>
      <w:tr w:rsidR="00B86BF1" w:rsidRPr="00A743C9" w14:paraId="20D0F3F1" w14:textId="77777777" w:rsidTr="000376C7">
        <w:trPr>
          <w:trHeight w:val="300"/>
        </w:trPr>
        <w:tc>
          <w:tcPr>
            <w:cnfStyle w:val="001000000000" w:firstRow="0" w:lastRow="0" w:firstColumn="1" w:lastColumn="0" w:oddVBand="0" w:evenVBand="0" w:oddHBand="0" w:evenHBand="0" w:firstRowFirstColumn="0" w:firstRowLastColumn="0" w:lastRowFirstColumn="0" w:lastRowLastColumn="0"/>
            <w:tcW w:w="1606" w:type="dxa"/>
            <w:tcBorders>
              <w:left w:val="single" w:sz="4" w:space="0" w:color="auto"/>
              <w:bottom w:val="nil"/>
              <w:right w:val="single" w:sz="4" w:space="0" w:color="auto"/>
            </w:tcBorders>
            <w:noWrap/>
            <w:hideMark/>
          </w:tcPr>
          <w:p w14:paraId="4591C65A" w14:textId="77777777" w:rsidR="00B86BF1" w:rsidRPr="00A743C9" w:rsidRDefault="00B86BF1" w:rsidP="000376C7">
            <w:pPr>
              <w:rPr>
                <w:rFonts w:eastAsia="Times New Roman" w:cs="Calibri"/>
                <w:color w:val="auto"/>
                <w:sz w:val="16"/>
                <w:szCs w:val="16"/>
              </w:rPr>
            </w:pPr>
            <w:r w:rsidRPr="00A743C9">
              <w:rPr>
                <w:rFonts w:eastAsia="Times New Roman" w:cs="Calibri"/>
                <w:color w:val="auto"/>
                <w:sz w:val="16"/>
                <w:szCs w:val="16"/>
              </w:rPr>
              <w:t>Belgium</w:t>
            </w:r>
          </w:p>
        </w:tc>
        <w:tc>
          <w:tcPr>
            <w:tcW w:w="1119" w:type="dxa"/>
            <w:tcBorders>
              <w:left w:val="single" w:sz="4" w:space="0" w:color="auto"/>
              <w:bottom w:val="nil"/>
            </w:tcBorders>
            <w:noWrap/>
            <w:hideMark/>
          </w:tcPr>
          <w:p w14:paraId="047342F7"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23.9</w:t>
            </w:r>
          </w:p>
        </w:tc>
        <w:tc>
          <w:tcPr>
            <w:tcW w:w="1119" w:type="dxa"/>
            <w:tcBorders>
              <w:bottom w:val="nil"/>
            </w:tcBorders>
            <w:noWrap/>
            <w:hideMark/>
          </w:tcPr>
          <w:p w14:paraId="54DCB028"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27.5</w:t>
            </w:r>
          </w:p>
        </w:tc>
        <w:tc>
          <w:tcPr>
            <w:tcW w:w="1119" w:type="dxa"/>
            <w:tcBorders>
              <w:bottom w:val="nil"/>
              <w:right w:val="single" w:sz="4" w:space="0" w:color="auto"/>
            </w:tcBorders>
            <w:noWrap/>
            <w:hideMark/>
          </w:tcPr>
          <w:p w14:paraId="315ED1BD"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20.5</w:t>
            </w:r>
          </w:p>
        </w:tc>
        <w:tc>
          <w:tcPr>
            <w:tcW w:w="1119" w:type="dxa"/>
            <w:tcBorders>
              <w:left w:val="single" w:sz="4" w:space="0" w:color="auto"/>
              <w:bottom w:val="nil"/>
            </w:tcBorders>
            <w:noWrap/>
            <w:hideMark/>
          </w:tcPr>
          <w:p w14:paraId="1DA10605"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19.7</w:t>
            </w:r>
          </w:p>
        </w:tc>
        <w:tc>
          <w:tcPr>
            <w:tcW w:w="1118" w:type="dxa"/>
            <w:tcBorders>
              <w:bottom w:val="nil"/>
            </w:tcBorders>
            <w:noWrap/>
            <w:hideMark/>
          </w:tcPr>
          <w:p w14:paraId="4570B6CC"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22.6</w:t>
            </w:r>
          </w:p>
        </w:tc>
        <w:tc>
          <w:tcPr>
            <w:tcW w:w="1118" w:type="dxa"/>
            <w:tcBorders>
              <w:bottom w:val="nil"/>
              <w:right w:val="single" w:sz="4" w:space="0" w:color="auto"/>
            </w:tcBorders>
            <w:noWrap/>
            <w:hideMark/>
          </w:tcPr>
          <w:p w14:paraId="102186CE"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16.9</w:t>
            </w:r>
          </w:p>
        </w:tc>
        <w:tc>
          <w:tcPr>
            <w:tcW w:w="1118" w:type="dxa"/>
            <w:tcBorders>
              <w:left w:val="single" w:sz="4" w:space="0" w:color="auto"/>
              <w:bottom w:val="nil"/>
            </w:tcBorders>
            <w:noWrap/>
            <w:hideMark/>
          </w:tcPr>
          <w:p w14:paraId="713D4661"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19.8</w:t>
            </w:r>
          </w:p>
        </w:tc>
        <w:tc>
          <w:tcPr>
            <w:tcW w:w="1118" w:type="dxa"/>
            <w:tcBorders>
              <w:bottom w:val="nil"/>
            </w:tcBorders>
            <w:noWrap/>
            <w:hideMark/>
          </w:tcPr>
          <w:p w14:paraId="56C1E442"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22.5</w:t>
            </w:r>
          </w:p>
        </w:tc>
        <w:tc>
          <w:tcPr>
            <w:tcW w:w="1118" w:type="dxa"/>
            <w:tcBorders>
              <w:bottom w:val="nil"/>
              <w:right w:val="single" w:sz="4" w:space="0" w:color="auto"/>
            </w:tcBorders>
            <w:noWrap/>
            <w:hideMark/>
          </w:tcPr>
          <w:p w14:paraId="675E9CE7"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17.2</w:t>
            </w:r>
          </w:p>
        </w:tc>
        <w:tc>
          <w:tcPr>
            <w:tcW w:w="1118" w:type="dxa"/>
            <w:tcBorders>
              <w:left w:val="single" w:sz="4" w:space="0" w:color="auto"/>
              <w:bottom w:val="nil"/>
            </w:tcBorders>
            <w:noWrap/>
            <w:hideMark/>
          </w:tcPr>
          <w:p w14:paraId="33B63D75"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15.5</w:t>
            </w:r>
          </w:p>
        </w:tc>
        <w:tc>
          <w:tcPr>
            <w:tcW w:w="1118" w:type="dxa"/>
            <w:tcBorders>
              <w:bottom w:val="nil"/>
            </w:tcBorders>
            <w:noWrap/>
            <w:hideMark/>
          </w:tcPr>
          <w:p w14:paraId="71608EC9"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17.4</w:t>
            </w:r>
          </w:p>
        </w:tc>
        <w:tc>
          <w:tcPr>
            <w:tcW w:w="1118" w:type="dxa"/>
            <w:tcBorders>
              <w:bottom w:val="nil"/>
              <w:right w:val="single" w:sz="4" w:space="0" w:color="auto"/>
            </w:tcBorders>
            <w:noWrap/>
            <w:hideMark/>
          </w:tcPr>
          <w:p w14:paraId="2052BAB2"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13.7</w:t>
            </w:r>
          </w:p>
        </w:tc>
      </w:tr>
      <w:tr w:rsidR="00B86BF1" w:rsidRPr="00A743C9" w14:paraId="66AB2496" w14:textId="77777777" w:rsidTr="000376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6" w:type="dxa"/>
            <w:tcBorders>
              <w:left w:val="single" w:sz="4" w:space="0" w:color="auto"/>
              <w:bottom w:val="nil"/>
              <w:right w:val="single" w:sz="4" w:space="0" w:color="auto"/>
            </w:tcBorders>
            <w:noWrap/>
            <w:hideMark/>
          </w:tcPr>
          <w:p w14:paraId="0B2B1DA6" w14:textId="77777777" w:rsidR="00B86BF1" w:rsidRPr="00A743C9" w:rsidRDefault="00B86BF1" w:rsidP="000376C7">
            <w:pPr>
              <w:rPr>
                <w:rFonts w:eastAsia="Times New Roman" w:cs="Calibri"/>
                <w:color w:val="auto"/>
                <w:sz w:val="16"/>
                <w:szCs w:val="16"/>
              </w:rPr>
            </w:pPr>
            <w:r w:rsidRPr="00A743C9">
              <w:rPr>
                <w:rFonts w:eastAsia="Times New Roman" w:cs="Calibri"/>
                <w:color w:val="auto"/>
                <w:sz w:val="16"/>
                <w:szCs w:val="16"/>
              </w:rPr>
              <w:t>Benin</w:t>
            </w:r>
          </w:p>
        </w:tc>
        <w:tc>
          <w:tcPr>
            <w:tcW w:w="1119" w:type="dxa"/>
            <w:tcBorders>
              <w:left w:val="single" w:sz="4" w:space="0" w:color="auto"/>
              <w:bottom w:val="nil"/>
            </w:tcBorders>
            <w:noWrap/>
            <w:hideMark/>
          </w:tcPr>
          <w:p w14:paraId="101D2C85"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8.8</w:t>
            </w:r>
          </w:p>
        </w:tc>
        <w:tc>
          <w:tcPr>
            <w:tcW w:w="1119" w:type="dxa"/>
            <w:tcBorders>
              <w:bottom w:val="nil"/>
            </w:tcBorders>
            <w:noWrap/>
            <w:hideMark/>
          </w:tcPr>
          <w:p w14:paraId="4A419B2B"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16.9</w:t>
            </w:r>
          </w:p>
        </w:tc>
        <w:tc>
          <w:tcPr>
            <w:tcW w:w="1119" w:type="dxa"/>
            <w:tcBorders>
              <w:bottom w:val="nil"/>
              <w:right w:val="single" w:sz="4" w:space="0" w:color="auto"/>
            </w:tcBorders>
            <w:noWrap/>
            <w:hideMark/>
          </w:tcPr>
          <w:p w14:paraId="51EAAAF2"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w:t>
            </w:r>
          </w:p>
        </w:tc>
        <w:tc>
          <w:tcPr>
            <w:tcW w:w="1119" w:type="dxa"/>
            <w:tcBorders>
              <w:left w:val="single" w:sz="4" w:space="0" w:color="auto"/>
              <w:bottom w:val="nil"/>
            </w:tcBorders>
            <w:noWrap/>
            <w:hideMark/>
          </w:tcPr>
          <w:p w14:paraId="32ACD617"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7.4</w:t>
            </w:r>
          </w:p>
        </w:tc>
        <w:tc>
          <w:tcPr>
            <w:tcW w:w="1118" w:type="dxa"/>
            <w:tcBorders>
              <w:bottom w:val="nil"/>
            </w:tcBorders>
            <w:noWrap/>
            <w:hideMark/>
          </w:tcPr>
          <w:p w14:paraId="2B9DF178"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14.2</w:t>
            </w:r>
          </w:p>
        </w:tc>
        <w:tc>
          <w:tcPr>
            <w:tcW w:w="1118" w:type="dxa"/>
            <w:tcBorders>
              <w:bottom w:val="nil"/>
              <w:right w:val="single" w:sz="4" w:space="0" w:color="auto"/>
            </w:tcBorders>
            <w:noWrap/>
            <w:hideMark/>
          </w:tcPr>
          <w:p w14:paraId="65455C83"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0.8</w:t>
            </w:r>
          </w:p>
        </w:tc>
        <w:tc>
          <w:tcPr>
            <w:tcW w:w="1118" w:type="dxa"/>
            <w:tcBorders>
              <w:left w:val="single" w:sz="4" w:space="0" w:color="auto"/>
              <w:bottom w:val="nil"/>
            </w:tcBorders>
            <w:noWrap/>
            <w:hideMark/>
          </w:tcPr>
          <w:p w14:paraId="30FAF837"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5</w:t>
            </w:r>
          </w:p>
        </w:tc>
        <w:tc>
          <w:tcPr>
            <w:tcW w:w="1118" w:type="dxa"/>
            <w:tcBorders>
              <w:bottom w:val="nil"/>
            </w:tcBorders>
            <w:noWrap/>
            <w:hideMark/>
          </w:tcPr>
          <w:p w14:paraId="27111BAA"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9.9</w:t>
            </w:r>
          </w:p>
        </w:tc>
        <w:tc>
          <w:tcPr>
            <w:tcW w:w="1118" w:type="dxa"/>
            <w:tcBorders>
              <w:bottom w:val="nil"/>
              <w:right w:val="single" w:sz="4" w:space="0" w:color="auto"/>
            </w:tcBorders>
            <w:noWrap/>
            <w:hideMark/>
          </w:tcPr>
          <w:p w14:paraId="565F1FC0"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0.2</w:t>
            </w:r>
          </w:p>
        </w:tc>
        <w:tc>
          <w:tcPr>
            <w:tcW w:w="1118" w:type="dxa"/>
            <w:tcBorders>
              <w:left w:val="single" w:sz="4" w:space="0" w:color="auto"/>
              <w:bottom w:val="nil"/>
            </w:tcBorders>
            <w:noWrap/>
            <w:hideMark/>
          </w:tcPr>
          <w:p w14:paraId="1A51DE2C"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4.6</w:t>
            </w:r>
          </w:p>
        </w:tc>
        <w:tc>
          <w:tcPr>
            <w:tcW w:w="1118" w:type="dxa"/>
            <w:tcBorders>
              <w:bottom w:val="nil"/>
            </w:tcBorders>
            <w:noWrap/>
            <w:hideMark/>
          </w:tcPr>
          <w:p w14:paraId="51C4F428"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9</w:t>
            </w:r>
          </w:p>
        </w:tc>
        <w:tc>
          <w:tcPr>
            <w:tcW w:w="1118" w:type="dxa"/>
            <w:tcBorders>
              <w:bottom w:val="nil"/>
              <w:right w:val="single" w:sz="4" w:space="0" w:color="auto"/>
            </w:tcBorders>
            <w:noWrap/>
            <w:hideMark/>
          </w:tcPr>
          <w:p w14:paraId="0BD788E3"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0.2</w:t>
            </w:r>
          </w:p>
        </w:tc>
      </w:tr>
      <w:tr w:rsidR="00B86BF1" w:rsidRPr="00A743C9" w14:paraId="25956BA1" w14:textId="77777777" w:rsidTr="000376C7">
        <w:trPr>
          <w:trHeight w:val="300"/>
        </w:trPr>
        <w:tc>
          <w:tcPr>
            <w:cnfStyle w:val="001000000000" w:firstRow="0" w:lastRow="0" w:firstColumn="1" w:lastColumn="0" w:oddVBand="0" w:evenVBand="0" w:oddHBand="0" w:evenHBand="0" w:firstRowFirstColumn="0" w:firstRowLastColumn="0" w:lastRowFirstColumn="0" w:lastRowLastColumn="0"/>
            <w:tcW w:w="1606" w:type="dxa"/>
            <w:tcBorders>
              <w:left w:val="single" w:sz="4" w:space="0" w:color="auto"/>
              <w:bottom w:val="nil"/>
              <w:right w:val="single" w:sz="4" w:space="0" w:color="auto"/>
            </w:tcBorders>
            <w:noWrap/>
            <w:hideMark/>
          </w:tcPr>
          <w:p w14:paraId="4EA76A34" w14:textId="77777777" w:rsidR="00B86BF1" w:rsidRPr="00A743C9" w:rsidRDefault="00B86BF1" w:rsidP="000376C7">
            <w:pPr>
              <w:rPr>
                <w:rFonts w:eastAsia="Times New Roman" w:cs="Calibri"/>
                <w:color w:val="auto"/>
                <w:sz w:val="16"/>
                <w:szCs w:val="16"/>
              </w:rPr>
            </w:pPr>
            <w:r w:rsidRPr="00A743C9">
              <w:rPr>
                <w:rFonts w:eastAsia="Times New Roman" w:cs="Calibri"/>
                <w:color w:val="auto"/>
                <w:sz w:val="16"/>
                <w:szCs w:val="16"/>
              </w:rPr>
              <w:t>Bosnia and Herzegovina</w:t>
            </w:r>
          </w:p>
        </w:tc>
        <w:tc>
          <w:tcPr>
            <w:tcW w:w="1119" w:type="dxa"/>
            <w:tcBorders>
              <w:left w:val="single" w:sz="4" w:space="0" w:color="auto"/>
              <w:bottom w:val="nil"/>
            </w:tcBorders>
            <w:noWrap/>
            <w:hideMark/>
          </w:tcPr>
          <w:p w14:paraId="07A23352"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39.2</w:t>
            </w:r>
          </w:p>
        </w:tc>
        <w:tc>
          <w:tcPr>
            <w:tcW w:w="1119" w:type="dxa"/>
            <w:tcBorders>
              <w:bottom w:val="nil"/>
            </w:tcBorders>
            <w:noWrap/>
            <w:hideMark/>
          </w:tcPr>
          <w:p w14:paraId="74978FE0"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48.3</w:t>
            </w:r>
          </w:p>
        </w:tc>
        <w:tc>
          <w:tcPr>
            <w:tcW w:w="1119" w:type="dxa"/>
            <w:tcBorders>
              <w:bottom w:val="nil"/>
              <w:right w:val="single" w:sz="4" w:space="0" w:color="auto"/>
            </w:tcBorders>
            <w:noWrap/>
            <w:hideMark/>
          </w:tcPr>
          <w:p w14:paraId="75778254"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30.8</w:t>
            </w:r>
          </w:p>
        </w:tc>
        <w:tc>
          <w:tcPr>
            <w:tcW w:w="1119" w:type="dxa"/>
            <w:tcBorders>
              <w:left w:val="single" w:sz="4" w:space="0" w:color="auto"/>
              <w:bottom w:val="nil"/>
            </w:tcBorders>
            <w:noWrap/>
            <w:hideMark/>
          </w:tcPr>
          <w:p w14:paraId="04CFB765"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32.1</w:t>
            </w:r>
          </w:p>
        </w:tc>
        <w:tc>
          <w:tcPr>
            <w:tcW w:w="1118" w:type="dxa"/>
            <w:tcBorders>
              <w:bottom w:val="nil"/>
            </w:tcBorders>
            <w:noWrap/>
            <w:hideMark/>
          </w:tcPr>
          <w:p w14:paraId="2FBB604E"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40.6</w:t>
            </w:r>
          </w:p>
        </w:tc>
        <w:tc>
          <w:tcPr>
            <w:tcW w:w="1118" w:type="dxa"/>
            <w:tcBorders>
              <w:bottom w:val="nil"/>
              <w:right w:val="single" w:sz="4" w:space="0" w:color="auto"/>
            </w:tcBorders>
            <w:noWrap/>
            <w:hideMark/>
          </w:tcPr>
          <w:p w14:paraId="426A562B"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24.1</w:t>
            </w:r>
          </w:p>
        </w:tc>
        <w:tc>
          <w:tcPr>
            <w:tcW w:w="1118" w:type="dxa"/>
            <w:tcBorders>
              <w:left w:val="single" w:sz="4" w:space="0" w:color="auto"/>
              <w:bottom w:val="nil"/>
            </w:tcBorders>
            <w:noWrap/>
            <w:hideMark/>
          </w:tcPr>
          <w:p w14:paraId="0478948E"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31.7</w:t>
            </w:r>
          </w:p>
        </w:tc>
        <w:tc>
          <w:tcPr>
            <w:tcW w:w="1118" w:type="dxa"/>
            <w:tcBorders>
              <w:bottom w:val="nil"/>
            </w:tcBorders>
            <w:noWrap/>
            <w:hideMark/>
          </w:tcPr>
          <w:p w14:paraId="20E7B267"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38.9</w:t>
            </w:r>
          </w:p>
        </w:tc>
        <w:tc>
          <w:tcPr>
            <w:tcW w:w="1118" w:type="dxa"/>
            <w:tcBorders>
              <w:bottom w:val="nil"/>
              <w:right w:val="single" w:sz="4" w:space="0" w:color="auto"/>
            </w:tcBorders>
            <w:noWrap/>
            <w:hideMark/>
          </w:tcPr>
          <w:p w14:paraId="73B3D056"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25</w:t>
            </w:r>
          </w:p>
        </w:tc>
        <w:tc>
          <w:tcPr>
            <w:tcW w:w="1118" w:type="dxa"/>
            <w:tcBorders>
              <w:left w:val="single" w:sz="4" w:space="0" w:color="auto"/>
              <w:bottom w:val="nil"/>
            </w:tcBorders>
            <w:noWrap/>
            <w:hideMark/>
          </w:tcPr>
          <w:p w14:paraId="544C78EA"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28.2</w:t>
            </w:r>
          </w:p>
        </w:tc>
        <w:tc>
          <w:tcPr>
            <w:tcW w:w="1118" w:type="dxa"/>
            <w:tcBorders>
              <w:bottom w:val="nil"/>
            </w:tcBorders>
            <w:noWrap/>
            <w:hideMark/>
          </w:tcPr>
          <w:p w14:paraId="14C784A6"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35.9</w:t>
            </w:r>
          </w:p>
        </w:tc>
        <w:tc>
          <w:tcPr>
            <w:tcW w:w="1118" w:type="dxa"/>
            <w:tcBorders>
              <w:bottom w:val="nil"/>
              <w:right w:val="single" w:sz="4" w:space="0" w:color="auto"/>
            </w:tcBorders>
            <w:noWrap/>
            <w:hideMark/>
          </w:tcPr>
          <w:p w14:paraId="45388D66"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21.1</w:t>
            </w:r>
          </w:p>
        </w:tc>
      </w:tr>
      <w:tr w:rsidR="00B86BF1" w:rsidRPr="00A743C9" w14:paraId="3F5AF48B" w14:textId="77777777" w:rsidTr="000376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6" w:type="dxa"/>
            <w:tcBorders>
              <w:left w:val="single" w:sz="4" w:space="0" w:color="auto"/>
              <w:bottom w:val="nil"/>
              <w:right w:val="single" w:sz="4" w:space="0" w:color="auto"/>
            </w:tcBorders>
            <w:noWrap/>
            <w:hideMark/>
          </w:tcPr>
          <w:p w14:paraId="704ED6B4" w14:textId="77777777" w:rsidR="00B86BF1" w:rsidRPr="00A743C9" w:rsidRDefault="00B86BF1" w:rsidP="000376C7">
            <w:pPr>
              <w:rPr>
                <w:rFonts w:eastAsia="Times New Roman" w:cs="Calibri"/>
                <w:color w:val="auto"/>
                <w:sz w:val="16"/>
                <w:szCs w:val="16"/>
              </w:rPr>
            </w:pPr>
            <w:r w:rsidRPr="00A743C9">
              <w:rPr>
                <w:rFonts w:eastAsia="Times New Roman" w:cs="Calibri"/>
                <w:color w:val="auto"/>
                <w:sz w:val="16"/>
                <w:szCs w:val="16"/>
              </w:rPr>
              <w:t>Brazil</w:t>
            </w:r>
          </w:p>
        </w:tc>
        <w:tc>
          <w:tcPr>
            <w:tcW w:w="1119" w:type="dxa"/>
            <w:tcBorders>
              <w:left w:val="single" w:sz="4" w:space="0" w:color="auto"/>
              <w:bottom w:val="nil"/>
            </w:tcBorders>
            <w:noWrap/>
            <w:hideMark/>
          </w:tcPr>
          <w:p w14:paraId="1B8FA1B7"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16.1</w:t>
            </w:r>
          </w:p>
        </w:tc>
        <w:tc>
          <w:tcPr>
            <w:tcW w:w="1119" w:type="dxa"/>
            <w:tcBorders>
              <w:bottom w:val="nil"/>
            </w:tcBorders>
            <w:noWrap/>
            <w:hideMark/>
          </w:tcPr>
          <w:p w14:paraId="703BB9BA"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20.3</w:t>
            </w:r>
          </w:p>
        </w:tc>
        <w:tc>
          <w:tcPr>
            <w:tcW w:w="1119" w:type="dxa"/>
            <w:tcBorders>
              <w:bottom w:val="nil"/>
              <w:right w:val="single" w:sz="4" w:space="0" w:color="auto"/>
            </w:tcBorders>
            <w:noWrap/>
            <w:hideMark/>
          </w:tcPr>
          <w:p w14:paraId="3E510304"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12.1</w:t>
            </w:r>
          </w:p>
        </w:tc>
        <w:tc>
          <w:tcPr>
            <w:tcW w:w="1119" w:type="dxa"/>
            <w:tcBorders>
              <w:left w:val="single" w:sz="4" w:space="0" w:color="auto"/>
              <w:bottom w:val="nil"/>
            </w:tcBorders>
            <w:noWrap/>
            <w:hideMark/>
          </w:tcPr>
          <w:p w14:paraId="44ED8067"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12.7</w:t>
            </w:r>
          </w:p>
        </w:tc>
        <w:tc>
          <w:tcPr>
            <w:tcW w:w="1118" w:type="dxa"/>
            <w:tcBorders>
              <w:bottom w:val="nil"/>
            </w:tcBorders>
            <w:noWrap/>
            <w:hideMark/>
          </w:tcPr>
          <w:p w14:paraId="6663C1FD"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16.3</w:t>
            </w:r>
          </w:p>
        </w:tc>
        <w:tc>
          <w:tcPr>
            <w:tcW w:w="1118" w:type="dxa"/>
            <w:tcBorders>
              <w:bottom w:val="nil"/>
              <w:right w:val="single" w:sz="4" w:space="0" w:color="auto"/>
            </w:tcBorders>
            <w:noWrap/>
            <w:hideMark/>
          </w:tcPr>
          <w:p w14:paraId="1C15E732"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9.4</w:t>
            </w:r>
          </w:p>
        </w:tc>
        <w:tc>
          <w:tcPr>
            <w:tcW w:w="1118" w:type="dxa"/>
            <w:tcBorders>
              <w:left w:val="single" w:sz="4" w:space="0" w:color="auto"/>
              <w:bottom w:val="nil"/>
            </w:tcBorders>
            <w:noWrap/>
            <w:hideMark/>
          </w:tcPr>
          <w:p w14:paraId="0F532C4E"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14</w:t>
            </w:r>
          </w:p>
        </w:tc>
        <w:tc>
          <w:tcPr>
            <w:tcW w:w="1118" w:type="dxa"/>
            <w:tcBorders>
              <w:bottom w:val="nil"/>
            </w:tcBorders>
            <w:noWrap/>
            <w:hideMark/>
          </w:tcPr>
          <w:p w14:paraId="04D7563A"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17.9</w:t>
            </w:r>
          </w:p>
        </w:tc>
        <w:tc>
          <w:tcPr>
            <w:tcW w:w="1118" w:type="dxa"/>
            <w:tcBorders>
              <w:bottom w:val="nil"/>
              <w:right w:val="single" w:sz="4" w:space="0" w:color="auto"/>
            </w:tcBorders>
            <w:noWrap/>
            <w:hideMark/>
          </w:tcPr>
          <w:p w14:paraId="541390CA"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10.3</w:t>
            </w:r>
          </w:p>
        </w:tc>
        <w:tc>
          <w:tcPr>
            <w:tcW w:w="1118" w:type="dxa"/>
            <w:tcBorders>
              <w:left w:val="single" w:sz="4" w:space="0" w:color="auto"/>
              <w:bottom w:val="nil"/>
            </w:tcBorders>
            <w:noWrap/>
            <w:hideMark/>
          </w:tcPr>
          <w:p w14:paraId="0DA6652F"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11.5</w:t>
            </w:r>
          </w:p>
        </w:tc>
        <w:tc>
          <w:tcPr>
            <w:tcW w:w="1118" w:type="dxa"/>
            <w:tcBorders>
              <w:bottom w:val="nil"/>
            </w:tcBorders>
            <w:noWrap/>
            <w:hideMark/>
          </w:tcPr>
          <w:p w14:paraId="438480B5"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15</w:t>
            </w:r>
          </w:p>
        </w:tc>
        <w:tc>
          <w:tcPr>
            <w:tcW w:w="1118" w:type="dxa"/>
            <w:tcBorders>
              <w:bottom w:val="nil"/>
              <w:right w:val="single" w:sz="4" w:space="0" w:color="auto"/>
            </w:tcBorders>
            <w:noWrap/>
            <w:hideMark/>
          </w:tcPr>
          <w:p w14:paraId="4D4A8847"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8.3</w:t>
            </w:r>
          </w:p>
        </w:tc>
      </w:tr>
      <w:tr w:rsidR="00B86BF1" w:rsidRPr="00A743C9" w14:paraId="7A9FAC3C" w14:textId="77777777" w:rsidTr="000376C7">
        <w:trPr>
          <w:trHeight w:val="300"/>
        </w:trPr>
        <w:tc>
          <w:tcPr>
            <w:cnfStyle w:val="001000000000" w:firstRow="0" w:lastRow="0" w:firstColumn="1" w:lastColumn="0" w:oddVBand="0" w:evenVBand="0" w:oddHBand="0" w:evenHBand="0" w:firstRowFirstColumn="0" w:firstRowLastColumn="0" w:lastRowFirstColumn="0" w:lastRowLastColumn="0"/>
            <w:tcW w:w="1606" w:type="dxa"/>
            <w:tcBorders>
              <w:left w:val="single" w:sz="4" w:space="0" w:color="auto"/>
              <w:bottom w:val="nil"/>
              <w:right w:val="single" w:sz="4" w:space="0" w:color="auto"/>
            </w:tcBorders>
            <w:noWrap/>
            <w:hideMark/>
          </w:tcPr>
          <w:p w14:paraId="1F644FCA" w14:textId="77777777" w:rsidR="00B86BF1" w:rsidRPr="00A743C9" w:rsidRDefault="00B86BF1" w:rsidP="000376C7">
            <w:pPr>
              <w:rPr>
                <w:rFonts w:eastAsia="Times New Roman" w:cs="Calibri"/>
                <w:color w:val="auto"/>
                <w:sz w:val="16"/>
                <w:szCs w:val="16"/>
              </w:rPr>
            </w:pPr>
            <w:r w:rsidRPr="00A743C9">
              <w:rPr>
                <w:rFonts w:eastAsia="Times New Roman" w:cs="Calibri"/>
                <w:color w:val="auto"/>
                <w:sz w:val="16"/>
                <w:szCs w:val="16"/>
              </w:rPr>
              <w:t>Brunei Darussalam</w:t>
            </w:r>
          </w:p>
        </w:tc>
        <w:tc>
          <w:tcPr>
            <w:tcW w:w="1119" w:type="dxa"/>
            <w:tcBorders>
              <w:left w:val="single" w:sz="4" w:space="0" w:color="auto"/>
              <w:bottom w:val="nil"/>
            </w:tcBorders>
            <w:noWrap/>
            <w:hideMark/>
          </w:tcPr>
          <w:p w14:paraId="6655C34F"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16.4</w:t>
            </w:r>
          </w:p>
        </w:tc>
        <w:tc>
          <w:tcPr>
            <w:tcW w:w="1119" w:type="dxa"/>
            <w:tcBorders>
              <w:bottom w:val="nil"/>
            </w:tcBorders>
            <w:noWrap/>
            <w:hideMark/>
          </w:tcPr>
          <w:p w14:paraId="0332A01E"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29.2</w:t>
            </w:r>
          </w:p>
        </w:tc>
        <w:tc>
          <w:tcPr>
            <w:tcW w:w="1119" w:type="dxa"/>
            <w:tcBorders>
              <w:bottom w:val="nil"/>
              <w:right w:val="single" w:sz="4" w:space="0" w:color="auto"/>
            </w:tcBorders>
            <w:noWrap/>
            <w:hideMark/>
          </w:tcPr>
          <w:p w14:paraId="48356063"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3.3</w:t>
            </w:r>
          </w:p>
        </w:tc>
        <w:tc>
          <w:tcPr>
            <w:tcW w:w="1119" w:type="dxa"/>
            <w:tcBorders>
              <w:left w:val="single" w:sz="4" w:space="0" w:color="auto"/>
              <w:bottom w:val="nil"/>
            </w:tcBorders>
            <w:noWrap/>
            <w:hideMark/>
          </w:tcPr>
          <w:p w14:paraId="42BF865E"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12.9</w:t>
            </w:r>
          </w:p>
        </w:tc>
        <w:tc>
          <w:tcPr>
            <w:tcW w:w="1118" w:type="dxa"/>
            <w:tcBorders>
              <w:bottom w:val="nil"/>
            </w:tcBorders>
            <w:noWrap/>
            <w:hideMark/>
          </w:tcPr>
          <w:p w14:paraId="48928ACE"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23.2</w:t>
            </w:r>
          </w:p>
        </w:tc>
        <w:tc>
          <w:tcPr>
            <w:tcW w:w="1118" w:type="dxa"/>
            <w:tcBorders>
              <w:bottom w:val="nil"/>
              <w:right w:val="single" w:sz="4" w:space="0" w:color="auto"/>
            </w:tcBorders>
            <w:noWrap/>
            <w:hideMark/>
          </w:tcPr>
          <w:p w14:paraId="38E3E5B1"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2.5</w:t>
            </w:r>
          </w:p>
        </w:tc>
        <w:tc>
          <w:tcPr>
            <w:tcW w:w="1118" w:type="dxa"/>
            <w:tcBorders>
              <w:left w:val="single" w:sz="4" w:space="0" w:color="auto"/>
              <w:bottom w:val="nil"/>
            </w:tcBorders>
            <w:noWrap/>
            <w:hideMark/>
          </w:tcPr>
          <w:p w14:paraId="19EF7D83"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13.2</w:t>
            </w:r>
          </w:p>
        </w:tc>
        <w:tc>
          <w:tcPr>
            <w:tcW w:w="1118" w:type="dxa"/>
            <w:tcBorders>
              <w:bottom w:val="nil"/>
            </w:tcBorders>
            <w:noWrap/>
            <w:hideMark/>
          </w:tcPr>
          <w:p w14:paraId="13AEC5A3"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23.4</w:t>
            </w:r>
          </w:p>
        </w:tc>
        <w:tc>
          <w:tcPr>
            <w:tcW w:w="1118" w:type="dxa"/>
            <w:tcBorders>
              <w:bottom w:val="nil"/>
              <w:right w:val="single" w:sz="4" w:space="0" w:color="auto"/>
            </w:tcBorders>
            <w:noWrap/>
            <w:hideMark/>
          </w:tcPr>
          <w:p w14:paraId="32E0B6C9"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2.7</w:t>
            </w:r>
          </w:p>
        </w:tc>
        <w:tc>
          <w:tcPr>
            <w:tcW w:w="1118" w:type="dxa"/>
            <w:tcBorders>
              <w:left w:val="single" w:sz="4" w:space="0" w:color="auto"/>
              <w:bottom w:val="nil"/>
            </w:tcBorders>
            <w:noWrap/>
            <w:hideMark/>
          </w:tcPr>
          <w:p w14:paraId="71D11C2D"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10.5</w:t>
            </w:r>
          </w:p>
        </w:tc>
        <w:tc>
          <w:tcPr>
            <w:tcW w:w="1118" w:type="dxa"/>
            <w:tcBorders>
              <w:bottom w:val="nil"/>
            </w:tcBorders>
            <w:noWrap/>
            <w:hideMark/>
          </w:tcPr>
          <w:p w14:paraId="7E32DE68"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18.9</w:t>
            </w:r>
          </w:p>
        </w:tc>
        <w:tc>
          <w:tcPr>
            <w:tcW w:w="1118" w:type="dxa"/>
            <w:tcBorders>
              <w:bottom w:val="nil"/>
              <w:right w:val="single" w:sz="4" w:space="0" w:color="auto"/>
            </w:tcBorders>
            <w:noWrap/>
            <w:hideMark/>
          </w:tcPr>
          <w:p w14:paraId="008B49ED"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1.9</w:t>
            </w:r>
          </w:p>
        </w:tc>
      </w:tr>
      <w:tr w:rsidR="00B86BF1" w:rsidRPr="00A743C9" w14:paraId="0A658117" w14:textId="77777777" w:rsidTr="000376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6" w:type="dxa"/>
            <w:tcBorders>
              <w:left w:val="single" w:sz="4" w:space="0" w:color="auto"/>
              <w:bottom w:val="nil"/>
              <w:right w:val="single" w:sz="4" w:space="0" w:color="auto"/>
            </w:tcBorders>
            <w:noWrap/>
            <w:hideMark/>
          </w:tcPr>
          <w:p w14:paraId="5A9F8144" w14:textId="77777777" w:rsidR="00B86BF1" w:rsidRPr="00A743C9" w:rsidRDefault="00B86BF1" w:rsidP="000376C7">
            <w:pPr>
              <w:rPr>
                <w:rFonts w:eastAsia="Times New Roman" w:cs="Calibri"/>
                <w:color w:val="auto"/>
                <w:sz w:val="16"/>
                <w:szCs w:val="16"/>
              </w:rPr>
            </w:pPr>
            <w:r w:rsidRPr="00A743C9">
              <w:rPr>
                <w:rFonts w:eastAsia="Times New Roman" w:cs="Calibri"/>
                <w:color w:val="auto"/>
                <w:sz w:val="16"/>
                <w:szCs w:val="16"/>
              </w:rPr>
              <w:lastRenderedPageBreak/>
              <w:t>Bulgaria</w:t>
            </w:r>
          </w:p>
        </w:tc>
        <w:tc>
          <w:tcPr>
            <w:tcW w:w="1119" w:type="dxa"/>
            <w:tcBorders>
              <w:left w:val="single" w:sz="4" w:space="0" w:color="auto"/>
              <w:bottom w:val="nil"/>
            </w:tcBorders>
            <w:noWrap/>
            <w:hideMark/>
          </w:tcPr>
          <w:p w14:paraId="342F02AB"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36.8</w:t>
            </w:r>
          </w:p>
        </w:tc>
        <w:tc>
          <w:tcPr>
            <w:tcW w:w="1119" w:type="dxa"/>
            <w:tcBorders>
              <w:bottom w:val="nil"/>
            </w:tcBorders>
            <w:noWrap/>
            <w:hideMark/>
          </w:tcPr>
          <w:p w14:paraId="0A86225B"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44.3</w:t>
            </w:r>
          </w:p>
        </w:tc>
        <w:tc>
          <w:tcPr>
            <w:tcW w:w="1119" w:type="dxa"/>
            <w:tcBorders>
              <w:bottom w:val="nil"/>
              <w:right w:val="single" w:sz="4" w:space="0" w:color="auto"/>
            </w:tcBorders>
            <w:noWrap/>
            <w:hideMark/>
          </w:tcPr>
          <w:p w14:paraId="56E0B46E"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29.8</w:t>
            </w:r>
          </w:p>
        </w:tc>
        <w:tc>
          <w:tcPr>
            <w:tcW w:w="1119" w:type="dxa"/>
            <w:tcBorders>
              <w:left w:val="single" w:sz="4" w:space="0" w:color="auto"/>
              <w:bottom w:val="nil"/>
            </w:tcBorders>
            <w:noWrap/>
            <w:hideMark/>
          </w:tcPr>
          <w:p w14:paraId="0576C2B8"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30</w:t>
            </w:r>
          </w:p>
        </w:tc>
        <w:tc>
          <w:tcPr>
            <w:tcW w:w="1118" w:type="dxa"/>
            <w:tcBorders>
              <w:bottom w:val="nil"/>
            </w:tcBorders>
            <w:noWrap/>
            <w:hideMark/>
          </w:tcPr>
          <w:p w14:paraId="3818CFC1"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37.5</w:t>
            </w:r>
          </w:p>
        </w:tc>
        <w:tc>
          <w:tcPr>
            <w:tcW w:w="1118" w:type="dxa"/>
            <w:tcBorders>
              <w:bottom w:val="nil"/>
              <w:right w:val="single" w:sz="4" w:space="0" w:color="auto"/>
            </w:tcBorders>
            <w:noWrap/>
            <w:hideMark/>
          </w:tcPr>
          <w:p w14:paraId="2AE700D2"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23.1</w:t>
            </w:r>
          </w:p>
        </w:tc>
        <w:tc>
          <w:tcPr>
            <w:tcW w:w="1118" w:type="dxa"/>
            <w:tcBorders>
              <w:left w:val="single" w:sz="4" w:space="0" w:color="auto"/>
              <w:bottom w:val="nil"/>
            </w:tcBorders>
            <w:noWrap/>
            <w:hideMark/>
          </w:tcPr>
          <w:p w14:paraId="7B174CBB"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33.7</w:t>
            </w:r>
          </w:p>
        </w:tc>
        <w:tc>
          <w:tcPr>
            <w:tcW w:w="1118" w:type="dxa"/>
            <w:tcBorders>
              <w:bottom w:val="nil"/>
            </w:tcBorders>
            <w:noWrap/>
            <w:hideMark/>
          </w:tcPr>
          <w:p w14:paraId="47E796F9"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40.6</w:t>
            </w:r>
          </w:p>
        </w:tc>
        <w:tc>
          <w:tcPr>
            <w:tcW w:w="1118" w:type="dxa"/>
            <w:tcBorders>
              <w:bottom w:val="nil"/>
              <w:right w:val="single" w:sz="4" w:space="0" w:color="auto"/>
            </w:tcBorders>
            <w:noWrap/>
            <w:hideMark/>
          </w:tcPr>
          <w:p w14:paraId="1A979DCF"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27.2</w:t>
            </w:r>
          </w:p>
        </w:tc>
        <w:tc>
          <w:tcPr>
            <w:tcW w:w="1118" w:type="dxa"/>
            <w:tcBorders>
              <w:left w:val="single" w:sz="4" w:space="0" w:color="auto"/>
              <w:bottom w:val="nil"/>
            </w:tcBorders>
            <w:noWrap/>
            <w:hideMark/>
          </w:tcPr>
          <w:p w14:paraId="458DCF63"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27.1</w:t>
            </w:r>
          </w:p>
        </w:tc>
        <w:tc>
          <w:tcPr>
            <w:tcW w:w="1118" w:type="dxa"/>
            <w:tcBorders>
              <w:bottom w:val="nil"/>
            </w:tcBorders>
            <w:noWrap/>
            <w:hideMark/>
          </w:tcPr>
          <w:p w14:paraId="6C59E3DA"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33.6</w:t>
            </w:r>
          </w:p>
        </w:tc>
        <w:tc>
          <w:tcPr>
            <w:tcW w:w="1118" w:type="dxa"/>
            <w:tcBorders>
              <w:bottom w:val="nil"/>
              <w:right w:val="single" w:sz="4" w:space="0" w:color="auto"/>
            </w:tcBorders>
            <w:noWrap/>
            <w:hideMark/>
          </w:tcPr>
          <w:p w14:paraId="4F8708B2"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21</w:t>
            </w:r>
          </w:p>
        </w:tc>
      </w:tr>
      <w:tr w:rsidR="00B86BF1" w:rsidRPr="00A743C9" w14:paraId="1CE1F627" w14:textId="77777777" w:rsidTr="000376C7">
        <w:trPr>
          <w:trHeight w:val="300"/>
        </w:trPr>
        <w:tc>
          <w:tcPr>
            <w:cnfStyle w:val="001000000000" w:firstRow="0" w:lastRow="0" w:firstColumn="1" w:lastColumn="0" w:oddVBand="0" w:evenVBand="0" w:oddHBand="0" w:evenHBand="0" w:firstRowFirstColumn="0" w:firstRowLastColumn="0" w:lastRowFirstColumn="0" w:lastRowLastColumn="0"/>
            <w:tcW w:w="1606" w:type="dxa"/>
            <w:tcBorders>
              <w:left w:val="single" w:sz="4" w:space="0" w:color="auto"/>
              <w:bottom w:val="nil"/>
              <w:right w:val="single" w:sz="4" w:space="0" w:color="auto"/>
            </w:tcBorders>
            <w:noWrap/>
            <w:hideMark/>
          </w:tcPr>
          <w:p w14:paraId="7315FC76" w14:textId="77777777" w:rsidR="00B86BF1" w:rsidRPr="00A743C9" w:rsidRDefault="00B86BF1" w:rsidP="000376C7">
            <w:pPr>
              <w:rPr>
                <w:rFonts w:eastAsia="Times New Roman" w:cs="Calibri"/>
                <w:color w:val="auto"/>
                <w:sz w:val="16"/>
                <w:szCs w:val="16"/>
              </w:rPr>
            </w:pPr>
            <w:r w:rsidRPr="00A743C9">
              <w:rPr>
                <w:rFonts w:eastAsia="Times New Roman" w:cs="Calibri"/>
                <w:color w:val="auto"/>
                <w:sz w:val="16"/>
                <w:szCs w:val="16"/>
              </w:rPr>
              <w:t>Burkina Faso</w:t>
            </w:r>
          </w:p>
        </w:tc>
        <w:tc>
          <w:tcPr>
            <w:tcW w:w="1119" w:type="dxa"/>
            <w:tcBorders>
              <w:left w:val="single" w:sz="4" w:space="0" w:color="auto"/>
              <w:bottom w:val="nil"/>
            </w:tcBorders>
            <w:noWrap/>
            <w:hideMark/>
          </w:tcPr>
          <w:p w14:paraId="2D83220B"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19.1</w:t>
            </w:r>
          </w:p>
        </w:tc>
        <w:tc>
          <w:tcPr>
            <w:tcW w:w="1119" w:type="dxa"/>
            <w:tcBorders>
              <w:bottom w:val="nil"/>
            </w:tcBorders>
            <w:noWrap/>
            <w:hideMark/>
          </w:tcPr>
          <w:p w14:paraId="1ABDDE7C"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34.1</w:t>
            </w:r>
          </w:p>
        </w:tc>
        <w:tc>
          <w:tcPr>
            <w:tcW w:w="1119" w:type="dxa"/>
            <w:tcBorders>
              <w:bottom w:val="nil"/>
              <w:right w:val="single" w:sz="4" w:space="0" w:color="auto"/>
            </w:tcBorders>
            <w:noWrap/>
            <w:hideMark/>
          </w:tcPr>
          <w:p w14:paraId="010CF066"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4.8</w:t>
            </w:r>
          </w:p>
        </w:tc>
        <w:tc>
          <w:tcPr>
            <w:tcW w:w="1119" w:type="dxa"/>
            <w:tcBorders>
              <w:left w:val="single" w:sz="4" w:space="0" w:color="auto"/>
              <w:bottom w:val="nil"/>
            </w:tcBorders>
            <w:noWrap/>
            <w:hideMark/>
          </w:tcPr>
          <w:p w14:paraId="686F391E"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16.2</w:t>
            </w:r>
          </w:p>
        </w:tc>
        <w:tc>
          <w:tcPr>
            <w:tcW w:w="1118" w:type="dxa"/>
            <w:tcBorders>
              <w:bottom w:val="nil"/>
            </w:tcBorders>
            <w:noWrap/>
            <w:hideMark/>
          </w:tcPr>
          <w:p w14:paraId="0DEF195B"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28.7</w:t>
            </w:r>
          </w:p>
        </w:tc>
        <w:tc>
          <w:tcPr>
            <w:tcW w:w="1118" w:type="dxa"/>
            <w:tcBorders>
              <w:bottom w:val="nil"/>
              <w:right w:val="single" w:sz="4" w:space="0" w:color="auto"/>
            </w:tcBorders>
            <w:noWrap/>
            <w:hideMark/>
          </w:tcPr>
          <w:p w14:paraId="28AC74C1"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4.3</w:t>
            </w:r>
          </w:p>
        </w:tc>
        <w:tc>
          <w:tcPr>
            <w:tcW w:w="1118" w:type="dxa"/>
            <w:tcBorders>
              <w:left w:val="single" w:sz="4" w:space="0" w:color="auto"/>
              <w:bottom w:val="nil"/>
            </w:tcBorders>
            <w:noWrap/>
            <w:hideMark/>
          </w:tcPr>
          <w:p w14:paraId="7B07C888"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12.4</w:t>
            </w:r>
          </w:p>
        </w:tc>
        <w:tc>
          <w:tcPr>
            <w:tcW w:w="1118" w:type="dxa"/>
            <w:tcBorders>
              <w:bottom w:val="nil"/>
            </w:tcBorders>
            <w:noWrap/>
            <w:hideMark/>
          </w:tcPr>
          <w:p w14:paraId="74A500FD"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24.7</w:t>
            </w:r>
          </w:p>
        </w:tc>
        <w:tc>
          <w:tcPr>
            <w:tcW w:w="1118" w:type="dxa"/>
            <w:tcBorders>
              <w:bottom w:val="nil"/>
              <w:right w:val="single" w:sz="4" w:space="0" w:color="auto"/>
            </w:tcBorders>
            <w:noWrap/>
            <w:hideMark/>
          </w:tcPr>
          <w:p w14:paraId="7923E637"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0.7</w:t>
            </w:r>
          </w:p>
        </w:tc>
        <w:tc>
          <w:tcPr>
            <w:tcW w:w="1118" w:type="dxa"/>
            <w:tcBorders>
              <w:left w:val="single" w:sz="4" w:space="0" w:color="auto"/>
              <w:bottom w:val="nil"/>
            </w:tcBorders>
            <w:noWrap/>
            <w:hideMark/>
          </w:tcPr>
          <w:p w14:paraId="7143B301"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7.7</w:t>
            </w:r>
          </w:p>
        </w:tc>
        <w:tc>
          <w:tcPr>
            <w:tcW w:w="1118" w:type="dxa"/>
            <w:tcBorders>
              <w:bottom w:val="nil"/>
            </w:tcBorders>
            <w:noWrap/>
            <w:hideMark/>
          </w:tcPr>
          <w:p w14:paraId="4D372446"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15.1</w:t>
            </w:r>
          </w:p>
        </w:tc>
        <w:tc>
          <w:tcPr>
            <w:tcW w:w="1118" w:type="dxa"/>
            <w:tcBorders>
              <w:bottom w:val="nil"/>
              <w:right w:val="single" w:sz="4" w:space="0" w:color="auto"/>
            </w:tcBorders>
            <w:noWrap/>
            <w:hideMark/>
          </w:tcPr>
          <w:p w14:paraId="57777575"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0.6</w:t>
            </w:r>
          </w:p>
        </w:tc>
      </w:tr>
      <w:tr w:rsidR="00B86BF1" w:rsidRPr="00A743C9" w14:paraId="274F8694" w14:textId="77777777" w:rsidTr="000376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6" w:type="dxa"/>
            <w:tcBorders>
              <w:left w:val="single" w:sz="4" w:space="0" w:color="auto"/>
              <w:bottom w:val="nil"/>
              <w:right w:val="single" w:sz="4" w:space="0" w:color="auto"/>
            </w:tcBorders>
            <w:noWrap/>
            <w:hideMark/>
          </w:tcPr>
          <w:p w14:paraId="23ACF82F" w14:textId="77777777" w:rsidR="00B86BF1" w:rsidRPr="00A743C9" w:rsidRDefault="00B86BF1" w:rsidP="000376C7">
            <w:pPr>
              <w:rPr>
                <w:rFonts w:eastAsia="Times New Roman" w:cs="Calibri"/>
                <w:color w:val="auto"/>
                <w:sz w:val="16"/>
                <w:szCs w:val="16"/>
              </w:rPr>
            </w:pPr>
            <w:r w:rsidRPr="00A743C9">
              <w:rPr>
                <w:rFonts w:eastAsia="Times New Roman" w:cs="Calibri"/>
                <w:color w:val="auto"/>
                <w:sz w:val="16"/>
                <w:szCs w:val="16"/>
              </w:rPr>
              <w:t>Cabo Verde</w:t>
            </w:r>
          </w:p>
        </w:tc>
        <w:tc>
          <w:tcPr>
            <w:tcW w:w="1119" w:type="dxa"/>
            <w:tcBorders>
              <w:left w:val="single" w:sz="4" w:space="0" w:color="auto"/>
              <w:bottom w:val="nil"/>
            </w:tcBorders>
            <w:noWrap/>
            <w:hideMark/>
          </w:tcPr>
          <w:p w14:paraId="3DB9D786"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12.2</w:t>
            </w:r>
          </w:p>
        </w:tc>
        <w:tc>
          <w:tcPr>
            <w:tcW w:w="1119" w:type="dxa"/>
            <w:tcBorders>
              <w:bottom w:val="nil"/>
            </w:tcBorders>
            <w:noWrap/>
            <w:hideMark/>
          </w:tcPr>
          <w:p w14:paraId="1D8E0F37"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20.8</w:t>
            </w:r>
          </w:p>
        </w:tc>
        <w:tc>
          <w:tcPr>
            <w:tcW w:w="1119" w:type="dxa"/>
            <w:tcBorders>
              <w:bottom w:val="nil"/>
              <w:right w:val="single" w:sz="4" w:space="0" w:color="auto"/>
            </w:tcBorders>
            <w:noWrap/>
            <w:hideMark/>
          </w:tcPr>
          <w:p w14:paraId="6DEA7B28"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3.7</w:t>
            </w:r>
          </w:p>
        </w:tc>
        <w:tc>
          <w:tcPr>
            <w:tcW w:w="1119" w:type="dxa"/>
            <w:tcBorders>
              <w:left w:val="single" w:sz="4" w:space="0" w:color="auto"/>
              <w:bottom w:val="nil"/>
            </w:tcBorders>
            <w:noWrap/>
            <w:hideMark/>
          </w:tcPr>
          <w:p w14:paraId="5783A6FD"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9.7</w:t>
            </w:r>
          </w:p>
        </w:tc>
        <w:tc>
          <w:tcPr>
            <w:tcW w:w="1118" w:type="dxa"/>
            <w:tcBorders>
              <w:bottom w:val="nil"/>
            </w:tcBorders>
            <w:noWrap/>
            <w:hideMark/>
          </w:tcPr>
          <w:p w14:paraId="70AA22AE"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16.6</w:t>
            </w:r>
          </w:p>
        </w:tc>
        <w:tc>
          <w:tcPr>
            <w:tcW w:w="1118" w:type="dxa"/>
            <w:tcBorders>
              <w:bottom w:val="nil"/>
              <w:right w:val="single" w:sz="4" w:space="0" w:color="auto"/>
            </w:tcBorders>
            <w:noWrap/>
            <w:hideMark/>
          </w:tcPr>
          <w:p w14:paraId="4A016732"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2.8</w:t>
            </w:r>
          </w:p>
        </w:tc>
        <w:tc>
          <w:tcPr>
            <w:tcW w:w="1118" w:type="dxa"/>
            <w:tcBorders>
              <w:left w:val="single" w:sz="4" w:space="0" w:color="auto"/>
              <w:bottom w:val="nil"/>
            </w:tcBorders>
            <w:noWrap/>
            <w:hideMark/>
          </w:tcPr>
          <w:p w14:paraId="32E0B7EA"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7.9</w:t>
            </w:r>
          </w:p>
        </w:tc>
        <w:tc>
          <w:tcPr>
            <w:tcW w:w="1118" w:type="dxa"/>
            <w:tcBorders>
              <w:bottom w:val="nil"/>
            </w:tcBorders>
            <w:noWrap/>
            <w:hideMark/>
          </w:tcPr>
          <w:p w14:paraId="71FC622C"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14.9</w:t>
            </w:r>
          </w:p>
        </w:tc>
        <w:tc>
          <w:tcPr>
            <w:tcW w:w="1118" w:type="dxa"/>
            <w:tcBorders>
              <w:bottom w:val="nil"/>
              <w:right w:val="single" w:sz="4" w:space="0" w:color="auto"/>
            </w:tcBorders>
            <w:noWrap/>
            <w:hideMark/>
          </w:tcPr>
          <w:p w14:paraId="7A4F2DD6"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1.1</w:t>
            </w:r>
          </w:p>
        </w:tc>
        <w:tc>
          <w:tcPr>
            <w:tcW w:w="1118" w:type="dxa"/>
            <w:tcBorders>
              <w:left w:val="single" w:sz="4" w:space="0" w:color="auto"/>
              <w:bottom w:val="nil"/>
            </w:tcBorders>
            <w:noWrap/>
            <w:hideMark/>
          </w:tcPr>
          <w:p w14:paraId="4A9E74AF"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6.1</w:t>
            </w:r>
          </w:p>
        </w:tc>
        <w:tc>
          <w:tcPr>
            <w:tcW w:w="1118" w:type="dxa"/>
            <w:tcBorders>
              <w:bottom w:val="nil"/>
            </w:tcBorders>
            <w:noWrap/>
            <w:hideMark/>
          </w:tcPr>
          <w:p w14:paraId="3BEF46D9"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11.4</w:t>
            </w:r>
          </w:p>
        </w:tc>
        <w:tc>
          <w:tcPr>
            <w:tcW w:w="1118" w:type="dxa"/>
            <w:tcBorders>
              <w:bottom w:val="nil"/>
              <w:right w:val="single" w:sz="4" w:space="0" w:color="auto"/>
            </w:tcBorders>
            <w:noWrap/>
            <w:hideMark/>
          </w:tcPr>
          <w:p w14:paraId="657DD489"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0.9</w:t>
            </w:r>
          </w:p>
        </w:tc>
      </w:tr>
      <w:tr w:rsidR="00B86BF1" w:rsidRPr="00A743C9" w14:paraId="317F8CED" w14:textId="77777777" w:rsidTr="000376C7">
        <w:trPr>
          <w:trHeight w:val="300"/>
        </w:trPr>
        <w:tc>
          <w:tcPr>
            <w:cnfStyle w:val="001000000000" w:firstRow="0" w:lastRow="0" w:firstColumn="1" w:lastColumn="0" w:oddVBand="0" w:evenVBand="0" w:oddHBand="0" w:evenHBand="0" w:firstRowFirstColumn="0" w:firstRowLastColumn="0" w:lastRowFirstColumn="0" w:lastRowLastColumn="0"/>
            <w:tcW w:w="1606" w:type="dxa"/>
            <w:tcBorders>
              <w:left w:val="single" w:sz="4" w:space="0" w:color="auto"/>
              <w:bottom w:val="nil"/>
              <w:right w:val="single" w:sz="4" w:space="0" w:color="auto"/>
            </w:tcBorders>
            <w:noWrap/>
            <w:hideMark/>
          </w:tcPr>
          <w:p w14:paraId="30EAAA71" w14:textId="77777777" w:rsidR="00B86BF1" w:rsidRPr="00A743C9" w:rsidRDefault="00B86BF1" w:rsidP="000376C7">
            <w:pPr>
              <w:rPr>
                <w:rFonts w:eastAsia="Times New Roman" w:cs="Calibri"/>
                <w:color w:val="auto"/>
                <w:sz w:val="16"/>
                <w:szCs w:val="16"/>
              </w:rPr>
            </w:pPr>
            <w:r w:rsidRPr="00A743C9">
              <w:rPr>
                <w:rFonts w:eastAsia="Times New Roman" w:cs="Calibri"/>
                <w:color w:val="auto"/>
                <w:sz w:val="16"/>
                <w:szCs w:val="16"/>
              </w:rPr>
              <w:t>Cambodia</w:t>
            </w:r>
          </w:p>
        </w:tc>
        <w:tc>
          <w:tcPr>
            <w:tcW w:w="1119" w:type="dxa"/>
            <w:tcBorders>
              <w:left w:val="single" w:sz="4" w:space="0" w:color="auto"/>
              <w:bottom w:val="nil"/>
            </w:tcBorders>
            <w:noWrap/>
            <w:hideMark/>
          </w:tcPr>
          <w:p w14:paraId="35998040"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23</w:t>
            </w:r>
          </w:p>
        </w:tc>
        <w:tc>
          <w:tcPr>
            <w:tcW w:w="1119" w:type="dxa"/>
            <w:tcBorders>
              <w:bottom w:val="nil"/>
            </w:tcBorders>
            <w:noWrap/>
            <w:hideMark/>
          </w:tcPr>
          <w:p w14:paraId="5CD9F0DD"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44.7</w:t>
            </w:r>
          </w:p>
        </w:tc>
        <w:tc>
          <w:tcPr>
            <w:tcW w:w="1119" w:type="dxa"/>
            <w:tcBorders>
              <w:bottom w:val="nil"/>
              <w:right w:val="single" w:sz="4" w:space="0" w:color="auto"/>
            </w:tcBorders>
            <w:noWrap/>
            <w:hideMark/>
          </w:tcPr>
          <w:p w14:paraId="2FFA316B"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3.2</w:t>
            </w:r>
          </w:p>
        </w:tc>
        <w:tc>
          <w:tcPr>
            <w:tcW w:w="1119" w:type="dxa"/>
            <w:tcBorders>
              <w:left w:val="single" w:sz="4" w:space="0" w:color="auto"/>
              <w:bottom w:val="nil"/>
            </w:tcBorders>
            <w:noWrap/>
            <w:hideMark/>
          </w:tcPr>
          <w:p w14:paraId="2C469543"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19.8</w:t>
            </w:r>
          </w:p>
        </w:tc>
        <w:tc>
          <w:tcPr>
            <w:tcW w:w="1118" w:type="dxa"/>
            <w:tcBorders>
              <w:bottom w:val="nil"/>
            </w:tcBorders>
            <w:noWrap/>
            <w:hideMark/>
          </w:tcPr>
          <w:p w14:paraId="2AD8F871"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38.5</w:t>
            </w:r>
          </w:p>
        </w:tc>
        <w:tc>
          <w:tcPr>
            <w:tcW w:w="1118" w:type="dxa"/>
            <w:tcBorders>
              <w:bottom w:val="nil"/>
              <w:right w:val="single" w:sz="4" w:space="0" w:color="auto"/>
            </w:tcBorders>
            <w:noWrap/>
            <w:hideMark/>
          </w:tcPr>
          <w:p w14:paraId="60BFDD5E"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2.7</w:t>
            </w:r>
          </w:p>
        </w:tc>
        <w:tc>
          <w:tcPr>
            <w:tcW w:w="1118" w:type="dxa"/>
            <w:tcBorders>
              <w:left w:val="single" w:sz="4" w:space="0" w:color="auto"/>
              <w:bottom w:val="nil"/>
            </w:tcBorders>
            <w:noWrap/>
            <w:hideMark/>
          </w:tcPr>
          <w:p w14:paraId="3B9C4294"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19.4</w:t>
            </w:r>
          </w:p>
        </w:tc>
        <w:tc>
          <w:tcPr>
            <w:tcW w:w="1118" w:type="dxa"/>
            <w:tcBorders>
              <w:bottom w:val="nil"/>
            </w:tcBorders>
            <w:noWrap/>
            <w:hideMark/>
          </w:tcPr>
          <w:p w14:paraId="74B30307"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37.6</w:t>
            </w:r>
          </w:p>
        </w:tc>
        <w:tc>
          <w:tcPr>
            <w:tcW w:w="1118" w:type="dxa"/>
            <w:tcBorders>
              <w:bottom w:val="nil"/>
              <w:right w:val="single" w:sz="4" w:space="0" w:color="auto"/>
            </w:tcBorders>
            <w:noWrap/>
            <w:hideMark/>
          </w:tcPr>
          <w:p w14:paraId="12880687"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2.8</w:t>
            </w:r>
          </w:p>
        </w:tc>
        <w:tc>
          <w:tcPr>
            <w:tcW w:w="1118" w:type="dxa"/>
            <w:tcBorders>
              <w:left w:val="single" w:sz="4" w:space="0" w:color="auto"/>
              <w:bottom w:val="nil"/>
            </w:tcBorders>
            <w:noWrap/>
            <w:hideMark/>
          </w:tcPr>
          <w:p w14:paraId="076F1A93"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16.8</w:t>
            </w:r>
          </w:p>
        </w:tc>
        <w:tc>
          <w:tcPr>
            <w:tcW w:w="1118" w:type="dxa"/>
            <w:tcBorders>
              <w:bottom w:val="nil"/>
            </w:tcBorders>
            <w:noWrap/>
            <w:hideMark/>
          </w:tcPr>
          <w:p w14:paraId="4C5B2F5A"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32.4</w:t>
            </w:r>
          </w:p>
        </w:tc>
        <w:tc>
          <w:tcPr>
            <w:tcW w:w="1118" w:type="dxa"/>
            <w:tcBorders>
              <w:bottom w:val="nil"/>
              <w:right w:val="single" w:sz="4" w:space="0" w:color="auto"/>
            </w:tcBorders>
            <w:noWrap/>
            <w:hideMark/>
          </w:tcPr>
          <w:p w14:paraId="61346124"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2.5</w:t>
            </w:r>
          </w:p>
        </w:tc>
      </w:tr>
      <w:tr w:rsidR="00B86BF1" w:rsidRPr="00A743C9" w14:paraId="2A9B91D4" w14:textId="77777777" w:rsidTr="000376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6" w:type="dxa"/>
            <w:tcBorders>
              <w:left w:val="single" w:sz="4" w:space="0" w:color="auto"/>
              <w:bottom w:val="nil"/>
              <w:right w:val="single" w:sz="4" w:space="0" w:color="auto"/>
            </w:tcBorders>
            <w:noWrap/>
            <w:hideMark/>
          </w:tcPr>
          <w:p w14:paraId="054E3AB1" w14:textId="77777777" w:rsidR="00B86BF1" w:rsidRPr="00A743C9" w:rsidRDefault="00B86BF1" w:rsidP="000376C7">
            <w:pPr>
              <w:rPr>
                <w:rFonts w:eastAsia="Times New Roman" w:cs="Calibri"/>
                <w:color w:val="auto"/>
                <w:sz w:val="16"/>
                <w:szCs w:val="16"/>
              </w:rPr>
            </w:pPr>
            <w:r w:rsidRPr="00A743C9">
              <w:rPr>
                <w:rFonts w:eastAsia="Times New Roman" w:cs="Calibri"/>
                <w:color w:val="auto"/>
                <w:sz w:val="16"/>
                <w:szCs w:val="16"/>
              </w:rPr>
              <w:t>Cameroon</w:t>
            </w:r>
          </w:p>
        </w:tc>
        <w:tc>
          <w:tcPr>
            <w:tcW w:w="1119" w:type="dxa"/>
            <w:tcBorders>
              <w:left w:val="single" w:sz="4" w:space="0" w:color="auto"/>
              <w:bottom w:val="nil"/>
            </w:tcBorders>
            <w:noWrap/>
            <w:hideMark/>
          </w:tcPr>
          <w:p w14:paraId="252E3C91"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18.8</w:t>
            </w:r>
          </w:p>
        </w:tc>
        <w:tc>
          <w:tcPr>
            <w:tcW w:w="1119" w:type="dxa"/>
            <w:tcBorders>
              <w:bottom w:val="nil"/>
            </w:tcBorders>
            <w:noWrap/>
            <w:hideMark/>
          </w:tcPr>
          <w:p w14:paraId="79D65D37"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36.9</w:t>
            </w:r>
          </w:p>
        </w:tc>
        <w:tc>
          <w:tcPr>
            <w:tcW w:w="1119" w:type="dxa"/>
            <w:tcBorders>
              <w:bottom w:val="nil"/>
              <w:right w:val="single" w:sz="4" w:space="0" w:color="auto"/>
            </w:tcBorders>
            <w:noWrap/>
            <w:hideMark/>
          </w:tcPr>
          <w:p w14:paraId="2FC2FF51"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0.9</w:t>
            </w:r>
          </w:p>
        </w:tc>
        <w:tc>
          <w:tcPr>
            <w:tcW w:w="1119" w:type="dxa"/>
            <w:tcBorders>
              <w:left w:val="single" w:sz="4" w:space="0" w:color="auto"/>
              <w:bottom w:val="nil"/>
            </w:tcBorders>
            <w:noWrap/>
            <w:hideMark/>
          </w:tcPr>
          <w:p w14:paraId="66C99579"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13.6</w:t>
            </w:r>
          </w:p>
        </w:tc>
        <w:tc>
          <w:tcPr>
            <w:tcW w:w="1118" w:type="dxa"/>
            <w:tcBorders>
              <w:bottom w:val="nil"/>
            </w:tcBorders>
            <w:noWrap/>
            <w:hideMark/>
          </w:tcPr>
          <w:p w14:paraId="5E7834FF"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26.8</w:t>
            </w:r>
          </w:p>
        </w:tc>
        <w:tc>
          <w:tcPr>
            <w:tcW w:w="1118" w:type="dxa"/>
            <w:tcBorders>
              <w:bottom w:val="nil"/>
              <w:right w:val="single" w:sz="4" w:space="0" w:color="auto"/>
            </w:tcBorders>
            <w:noWrap/>
            <w:hideMark/>
          </w:tcPr>
          <w:p w14:paraId="44960602"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0.6</w:t>
            </w:r>
          </w:p>
        </w:tc>
        <w:tc>
          <w:tcPr>
            <w:tcW w:w="1118" w:type="dxa"/>
            <w:tcBorders>
              <w:left w:val="single" w:sz="4" w:space="0" w:color="auto"/>
              <w:bottom w:val="nil"/>
            </w:tcBorders>
            <w:noWrap/>
            <w:hideMark/>
          </w:tcPr>
          <w:p w14:paraId="4A715FBB"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11.4</w:t>
            </w:r>
          </w:p>
        </w:tc>
        <w:tc>
          <w:tcPr>
            <w:tcW w:w="1118" w:type="dxa"/>
            <w:tcBorders>
              <w:bottom w:val="nil"/>
            </w:tcBorders>
            <w:noWrap/>
            <w:hideMark/>
          </w:tcPr>
          <w:p w14:paraId="7A725D13"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22.6</w:t>
            </w:r>
          </w:p>
        </w:tc>
        <w:tc>
          <w:tcPr>
            <w:tcW w:w="1118" w:type="dxa"/>
            <w:tcBorders>
              <w:bottom w:val="nil"/>
              <w:right w:val="single" w:sz="4" w:space="0" w:color="auto"/>
            </w:tcBorders>
            <w:noWrap/>
            <w:hideMark/>
          </w:tcPr>
          <w:p w14:paraId="1069A16F"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0.4</w:t>
            </w:r>
          </w:p>
        </w:tc>
        <w:tc>
          <w:tcPr>
            <w:tcW w:w="1118" w:type="dxa"/>
            <w:tcBorders>
              <w:left w:val="single" w:sz="4" w:space="0" w:color="auto"/>
              <w:bottom w:val="nil"/>
            </w:tcBorders>
            <w:noWrap/>
            <w:hideMark/>
          </w:tcPr>
          <w:p w14:paraId="3F62D8CB"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9.8</w:t>
            </w:r>
          </w:p>
        </w:tc>
        <w:tc>
          <w:tcPr>
            <w:tcW w:w="1118" w:type="dxa"/>
            <w:tcBorders>
              <w:bottom w:val="nil"/>
            </w:tcBorders>
            <w:noWrap/>
            <w:hideMark/>
          </w:tcPr>
          <w:p w14:paraId="4E23C9CC"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19.5</w:t>
            </w:r>
          </w:p>
        </w:tc>
        <w:tc>
          <w:tcPr>
            <w:tcW w:w="1118" w:type="dxa"/>
            <w:tcBorders>
              <w:bottom w:val="nil"/>
              <w:right w:val="single" w:sz="4" w:space="0" w:color="auto"/>
            </w:tcBorders>
            <w:noWrap/>
            <w:hideMark/>
          </w:tcPr>
          <w:p w14:paraId="4E018015"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0.2</w:t>
            </w:r>
          </w:p>
        </w:tc>
      </w:tr>
      <w:tr w:rsidR="00B86BF1" w:rsidRPr="00A743C9" w14:paraId="78727ABE" w14:textId="77777777" w:rsidTr="000376C7">
        <w:trPr>
          <w:trHeight w:val="300"/>
        </w:trPr>
        <w:tc>
          <w:tcPr>
            <w:cnfStyle w:val="001000000000" w:firstRow="0" w:lastRow="0" w:firstColumn="1" w:lastColumn="0" w:oddVBand="0" w:evenVBand="0" w:oddHBand="0" w:evenHBand="0" w:firstRowFirstColumn="0" w:firstRowLastColumn="0" w:lastRowFirstColumn="0" w:lastRowLastColumn="0"/>
            <w:tcW w:w="1606" w:type="dxa"/>
            <w:tcBorders>
              <w:left w:val="single" w:sz="4" w:space="0" w:color="auto"/>
              <w:bottom w:val="nil"/>
              <w:right w:val="single" w:sz="4" w:space="0" w:color="auto"/>
            </w:tcBorders>
            <w:noWrap/>
            <w:hideMark/>
          </w:tcPr>
          <w:p w14:paraId="2D363095" w14:textId="77777777" w:rsidR="00B86BF1" w:rsidRPr="00A743C9" w:rsidRDefault="00B86BF1" w:rsidP="000376C7">
            <w:pPr>
              <w:rPr>
                <w:rFonts w:eastAsia="Times New Roman" w:cs="Calibri"/>
                <w:color w:val="auto"/>
                <w:sz w:val="16"/>
                <w:szCs w:val="16"/>
              </w:rPr>
            </w:pPr>
            <w:r w:rsidRPr="00A743C9">
              <w:rPr>
                <w:rFonts w:eastAsia="Times New Roman" w:cs="Calibri"/>
                <w:color w:val="auto"/>
                <w:sz w:val="16"/>
                <w:szCs w:val="16"/>
              </w:rPr>
              <w:t>Canada</w:t>
            </w:r>
          </w:p>
        </w:tc>
        <w:tc>
          <w:tcPr>
            <w:tcW w:w="1119" w:type="dxa"/>
            <w:tcBorders>
              <w:left w:val="single" w:sz="4" w:space="0" w:color="auto"/>
              <w:bottom w:val="nil"/>
            </w:tcBorders>
            <w:noWrap/>
            <w:hideMark/>
          </w:tcPr>
          <w:p w14:paraId="12F2914F"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16.2</w:t>
            </w:r>
          </w:p>
        </w:tc>
        <w:tc>
          <w:tcPr>
            <w:tcW w:w="1119" w:type="dxa"/>
            <w:tcBorders>
              <w:bottom w:val="nil"/>
            </w:tcBorders>
            <w:noWrap/>
            <w:hideMark/>
          </w:tcPr>
          <w:p w14:paraId="7EBD3A9E"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18.9</w:t>
            </w:r>
          </w:p>
        </w:tc>
        <w:tc>
          <w:tcPr>
            <w:tcW w:w="1119" w:type="dxa"/>
            <w:tcBorders>
              <w:bottom w:val="nil"/>
              <w:right w:val="single" w:sz="4" w:space="0" w:color="auto"/>
            </w:tcBorders>
            <w:noWrap/>
            <w:hideMark/>
          </w:tcPr>
          <w:p w14:paraId="3C7EC512"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13.6</w:t>
            </w:r>
          </w:p>
        </w:tc>
        <w:tc>
          <w:tcPr>
            <w:tcW w:w="1119" w:type="dxa"/>
            <w:tcBorders>
              <w:left w:val="single" w:sz="4" w:space="0" w:color="auto"/>
              <w:bottom w:val="nil"/>
            </w:tcBorders>
            <w:noWrap/>
            <w:hideMark/>
          </w:tcPr>
          <w:p w14:paraId="665B1F2D"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11.9</w:t>
            </w:r>
          </w:p>
        </w:tc>
        <w:tc>
          <w:tcPr>
            <w:tcW w:w="1118" w:type="dxa"/>
            <w:tcBorders>
              <w:bottom w:val="nil"/>
            </w:tcBorders>
            <w:noWrap/>
            <w:hideMark/>
          </w:tcPr>
          <w:p w14:paraId="50C7E0CE"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13.9</w:t>
            </w:r>
          </w:p>
        </w:tc>
        <w:tc>
          <w:tcPr>
            <w:tcW w:w="1118" w:type="dxa"/>
            <w:tcBorders>
              <w:bottom w:val="nil"/>
              <w:right w:val="single" w:sz="4" w:space="0" w:color="auto"/>
            </w:tcBorders>
            <w:noWrap/>
            <w:hideMark/>
          </w:tcPr>
          <w:p w14:paraId="1F08286A"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9.9</w:t>
            </w:r>
          </w:p>
        </w:tc>
        <w:tc>
          <w:tcPr>
            <w:tcW w:w="1118" w:type="dxa"/>
            <w:tcBorders>
              <w:left w:val="single" w:sz="4" w:space="0" w:color="auto"/>
              <w:bottom w:val="nil"/>
            </w:tcBorders>
            <w:noWrap/>
            <w:hideMark/>
          </w:tcPr>
          <w:p w14:paraId="17031B5D"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15.6</w:t>
            </w:r>
          </w:p>
        </w:tc>
        <w:tc>
          <w:tcPr>
            <w:tcW w:w="1118" w:type="dxa"/>
            <w:tcBorders>
              <w:bottom w:val="nil"/>
            </w:tcBorders>
            <w:noWrap/>
            <w:hideMark/>
          </w:tcPr>
          <w:p w14:paraId="6D3D82BE"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18.3</w:t>
            </w:r>
          </w:p>
        </w:tc>
        <w:tc>
          <w:tcPr>
            <w:tcW w:w="1118" w:type="dxa"/>
            <w:tcBorders>
              <w:bottom w:val="nil"/>
              <w:right w:val="single" w:sz="4" w:space="0" w:color="auto"/>
            </w:tcBorders>
            <w:noWrap/>
            <w:hideMark/>
          </w:tcPr>
          <w:p w14:paraId="6BCDA98F"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13</w:t>
            </w:r>
          </w:p>
        </w:tc>
        <w:tc>
          <w:tcPr>
            <w:tcW w:w="1118" w:type="dxa"/>
            <w:tcBorders>
              <w:left w:val="single" w:sz="4" w:space="0" w:color="auto"/>
              <w:bottom w:val="nil"/>
            </w:tcBorders>
            <w:noWrap/>
            <w:hideMark/>
          </w:tcPr>
          <w:p w14:paraId="4BEEBA93"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11.7</w:t>
            </w:r>
          </w:p>
        </w:tc>
        <w:tc>
          <w:tcPr>
            <w:tcW w:w="1118" w:type="dxa"/>
            <w:tcBorders>
              <w:bottom w:val="nil"/>
            </w:tcBorders>
            <w:noWrap/>
            <w:hideMark/>
          </w:tcPr>
          <w:p w14:paraId="20787B56"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13.7</w:t>
            </w:r>
          </w:p>
        </w:tc>
        <w:tc>
          <w:tcPr>
            <w:tcW w:w="1118" w:type="dxa"/>
            <w:tcBorders>
              <w:bottom w:val="nil"/>
              <w:right w:val="single" w:sz="4" w:space="0" w:color="auto"/>
            </w:tcBorders>
            <w:noWrap/>
            <w:hideMark/>
          </w:tcPr>
          <w:p w14:paraId="4920553A"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9.7</w:t>
            </w:r>
          </w:p>
        </w:tc>
      </w:tr>
      <w:tr w:rsidR="00B86BF1" w:rsidRPr="00A743C9" w14:paraId="702D72A8" w14:textId="77777777" w:rsidTr="000376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6" w:type="dxa"/>
            <w:tcBorders>
              <w:left w:val="single" w:sz="4" w:space="0" w:color="auto"/>
              <w:bottom w:val="nil"/>
              <w:right w:val="single" w:sz="4" w:space="0" w:color="auto"/>
            </w:tcBorders>
            <w:noWrap/>
            <w:hideMark/>
          </w:tcPr>
          <w:p w14:paraId="5ADBC1B5" w14:textId="77777777" w:rsidR="00B86BF1" w:rsidRPr="00A743C9" w:rsidRDefault="00B86BF1" w:rsidP="000376C7">
            <w:pPr>
              <w:rPr>
                <w:rFonts w:eastAsia="Times New Roman" w:cs="Calibri"/>
                <w:color w:val="auto"/>
                <w:sz w:val="16"/>
                <w:szCs w:val="16"/>
              </w:rPr>
            </w:pPr>
            <w:r w:rsidRPr="00A743C9">
              <w:rPr>
                <w:rFonts w:eastAsia="Times New Roman" w:cs="Calibri"/>
                <w:color w:val="auto"/>
                <w:sz w:val="16"/>
                <w:szCs w:val="16"/>
              </w:rPr>
              <w:t>Chile</w:t>
            </w:r>
          </w:p>
        </w:tc>
        <w:tc>
          <w:tcPr>
            <w:tcW w:w="1119" w:type="dxa"/>
            <w:tcBorders>
              <w:left w:val="single" w:sz="4" w:space="0" w:color="auto"/>
              <w:bottom w:val="nil"/>
            </w:tcBorders>
            <w:noWrap/>
            <w:hideMark/>
          </w:tcPr>
          <w:p w14:paraId="3BA3322B"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38.9</w:t>
            </w:r>
          </w:p>
        </w:tc>
        <w:tc>
          <w:tcPr>
            <w:tcW w:w="1119" w:type="dxa"/>
            <w:tcBorders>
              <w:bottom w:val="nil"/>
            </w:tcBorders>
            <w:noWrap/>
            <w:hideMark/>
          </w:tcPr>
          <w:p w14:paraId="7EC8674C"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41</w:t>
            </w:r>
          </w:p>
        </w:tc>
        <w:tc>
          <w:tcPr>
            <w:tcW w:w="1119" w:type="dxa"/>
            <w:tcBorders>
              <w:bottom w:val="nil"/>
              <w:right w:val="single" w:sz="4" w:space="0" w:color="auto"/>
            </w:tcBorders>
            <w:noWrap/>
            <w:hideMark/>
          </w:tcPr>
          <w:p w14:paraId="692FB9FB"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36.8</w:t>
            </w:r>
          </w:p>
        </w:tc>
        <w:tc>
          <w:tcPr>
            <w:tcW w:w="1119" w:type="dxa"/>
            <w:tcBorders>
              <w:left w:val="single" w:sz="4" w:space="0" w:color="auto"/>
              <w:bottom w:val="nil"/>
            </w:tcBorders>
            <w:noWrap/>
            <w:hideMark/>
          </w:tcPr>
          <w:p w14:paraId="66FEB743"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27.5</w:t>
            </w:r>
          </w:p>
        </w:tc>
        <w:tc>
          <w:tcPr>
            <w:tcW w:w="1118" w:type="dxa"/>
            <w:tcBorders>
              <w:bottom w:val="nil"/>
            </w:tcBorders>
            <w:noWrap/>
            <w:hideMark/>
          </w:tcPr>
          <w:p w14:paraId="54C96074"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29.4</w:t>
            </w:r>
          </w:p>
        </w:tc>
        <w:tc>
          <w:tcPr>
            <w:tcW w:w="1118" w:type="dxa"/>
            <w:tcBorders>
              <w:bottom w:val="nil"/>
              <w:right w:val="single" w:sz="4" w:space="0" w:color="auto"/>
            </w:tcBorders>
            <w:noWrap/>
            <w:hideMark/>
          </w:tcPr>
          <w:p w14:paraId="4C86172F"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25.8</w:t>
            </w:r>
          </w:p>
        </w:tc>
        <w:tc>
          <w:tcPr>
            <w:tcW w:w="1118" w:type="dxa"/>
            <w:tcBorders>
              <w:left w:val="single" w:sz="4" w:space="0" w:color="auto"/>
              <w:bottom w:val="nil"/>
            </w:tcBorders>
            <w:noWrap/>
            <w:hideMark/>
          </w:tcPr>
          <w:p w14:paraId="4F344622"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32.7</w:t>
            </w:r>
          </w:p>
        </w:tc>
        <w:tc>
          <w:tcPr>
            <w:tcW w:w="1118" w:type="dxa"/>
            <w:tcBorders>
              <w:bottom w:val="nil"/>
            </w:tcBorders>
            <w:noWrap/>
            <w:hideMark/>
          </w:tcPr>
          <w:p w14:paraId="23735AF3"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34.9</w:t>
            </w:r>
          </w:p>
        </w:tc>
        <w:tc>
          <w:tcPr>
            <w:tcW w:w="1118" w:type="dxa"/>
            <w:tcBorders>
              <w:bottom w:val="nil"/>
              <w:right w:val="single" w:sz="4" w:space="0" w:color="auto"/>
            </w:tcBorders>
            <w:noWrap/>
            <w:hideMark/>
          </w:tcPr>
          <w:p w14:paraId="1B74D287"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30.5</w:t>
            </w:r>
          </w:p>
        </w:tc>
        <w:tc>
          <w:tcPr>
            <w:tcW w:w="1118" w:type="dxa"/>
            <w:tcBorders>
              <w:left w:val="single" w:sz="4" w:space="0" w:color="auto"/>
              <w:bottom w:val="nil"/>
            </w:tcBorders>
            <w:noWrap/>
            <w:hideMark/>
          </w:tcPr>
          <w:p w14:paraId="6BBD4BFF"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23</w:t>
            </w:r>
          </w:p>
        </w:tc>
        <w:tc>
          <w:tcPr>
            <w:tcW w:w="1118" w:type="dxa"/>
            <w:tcBorders>
              <w:bottom w:val="nil"/>
            </w:tcBorders>
            <w:noWrap/>
            <w:hideMark/>
          </w:tcPr>
          <w:p w14:paraId="5819765D"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25</w:t>
            </w:r>
          </w:p>
        </w:tc>
        <w:tc>
          <w:tcPr>
            <w:tcW w:w="1118" w:type="dxa"/>
            <w:tcBorders>
              <w:bottom w:val="nil"/>
              <w:right w:val="single" w:sz="4" w:space="0" w:color="auto"/>
            </w:tcBorders>
            <w:noWrap/>
            <w:hideMark/>
          </w:tcPr>
          <w:p w14:paraId="63DEAA05"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21.1</w:t>
            </w:r>
          </w:p>
        </w:tc>
      </w:tr>
      <w:tr w:rsidR="00B86BF1" w:rsidRPr="00A743C9" w14:paraId="113F0E1B" w14:textId="77777777" w:rsidTr="000376C7">
        <w:trPr>
          <w:trHeight w:val="300"/>
        </w:trPr>
        <w:tc>
          <w:tcPr>
            <w:cnfStyle w:val="001000000000" w:firstRow="0" w:lastRow="0" w:firstColumn="1" w:lastColumn="0" w:oddVBand="0" w:evenVBand="0" w:oddHBand="0" w:evenHBand="0" w:firstRowFirstColumn="0" w:firstRowLastColumn="0" w:lastRowFirstColumn="0" w:lastRowLastColumn="0"/>
            <w:tcW w:w="1606" w:type="dxa"/>
            <w:tcBorders>
              <w:left w:val="single" w:sz="4" w:space="0" w:color="auto"/>
              <w:bottom w:val="nil"/>
              <w:right w:val="single" w:sz="4" w:space="0" w:color="auto"/>
            </w:tcBorders>
            <w:noWrap/>
            <w:hideMark/>
          </w:tcPr>
          <w:p w14:paraId="1A948601" w14:textId="77777777" w:rsidR="00B86BF1" w:rsidRPr="00A743C9" w:rsidRDefault="00B86BF1" w:rsidP="000376C7">
            <w:pPr>
              <w:rPr>
                <w:rFonts w:eastAsia="Times New Roman" w:cs="Calibri"/>
                <w:color w:val="auto"/>
                <w:sz w:val="16"/>
                <w:szCs w:val="16"/>
              </w:rPr>
            </w:pPr>
            <w:r w:rsidRPr="00A743C9">
              <w:rPr>
                <w:rFonts w:eastAsia="Times New Roman" w:cs="Calibri"/>
                <w:color w:val="auto"/>
                <w:sz w:val="16"/>
                <w:szCs w:val="16"/>
              </w:rPr>
              <w:t>China</w:t>
            </w:r>
          </w:p>
        </w:tc>
        <w:tc>
          <w:tcPr>
            <w:tcW w:w="1119" w:type="dxa"/>
            <w:tcBorders>
              <w:left w:val="single" w:sz="4" w:space="0" w:color="auto"/>
              <w:bottom w:val="nil"/>
            </w:tcBorders>
            <w:noWrap/>
            <w:hideMark/>
          </w:tcPr>
          <w:p w14:paraId="4EE5884A"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25.9</w:t>
            </w:r>
          </w:p>
        </w:tc>
        <w:tc>
          <w:tcPr>
            <w:tcW w:w="1119" w:type="dxa"/>
            <w:tcBorders>
              <w:bottom w:val="nil"/>
            </w:tcBorders>
            <w:noWrap/>
            <w:hideMark/>
          </w:tcPr>
          <w:p w14:paraId="56AA5400"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48.7</w:t>
            </w:r>
          </w:p>
        </w:tc>
        <w:tc>
          <w:tcPr>
            <w:tcW w:w="1119" w:type="dxa"/>
            <w:tcBorders>
              <w:bottom w:val="nil"/>
              <w:right w:val="single" w:sz="4" w:space="0" w:color="auto"/>
            </w:tcBorders>
            <w:noWrap/>
            <w:hideMark/>
          </w:tcPr>
          <w:p w14:paraId="5F656B06"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1.9</w:t>
            </w:r>
          </w:p>
        </w:tc>
        <w:tc>
          <w:tcPr>
            <w:tcW w:w="1119" w:type="dxa"/>
            <w:tcBorders>
              <w:left w:val="single" w:sz="4" w:space="0" w:color="auto"/>
              <w:bottom w:val="nil"/>
            </w:tcBorders>
            <w:noWrap/>
            <w:hideMark/>
          </w:tcPr>
          <w:p w14:paraId="50C7BC04"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22.4</w:t>
            </w:r>
          </w:p>
        </w:tc>
        <w:tc>
          <w:tcPr>
            <w:tcW w:w="1118" w:type="dxa"/>
            <w:tcBorders>
              <w:bottom w:val="nil"/>
            </w:tcBorders>
            <w:noWrap/>
            <w:hideMark/>
          </w:tcPr>
          <w:p w14:paraId="1984C271"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42</w:t>
            </w:r>
          </w:p>
        </w:tc>
        <w:tc>
          <w:tcPr>
            <w:tcW w:w="1118" w:type="dxa"/>
            <w:tcBorders>
              <w:bottom w:val="nil"/>
              <w:right w:val="single" w:sz="4" w:space="0" w:color="auto"/>
            </w:tcBorders>
            <w:noWrap/>
            <w:hideMark/>
          </w:tcPr>
          <w:p w14:paraId="15242C7D"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1.6</w:t>
            </w:r>
          </w:p>
        </w:tc>
        <w:tc>
          <w:tcPr>
            <w:tcW w:w="1118" w:type="dxa"/>
            <w:tcBorders>
              <w:left w:val="single" w:sz="4" w:space="0" w:color="auto"/>
              <w:bottom w:val="nil"/>
            </w:tcBorders>
            <w:noWrap/>
            <w:hideMark/>
          </w:tcPr>
          <w:p w14:paraId="27CB7D2C"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23.7</w:t>
            </w:r>
          </w:p>
        </w:tc>
        <w:tc>
          <w:tcPr>
            <w:tcW w:w="1118" w:type="dxa"/>
            <w:tcBorders>
              <w:bottom w:val="nil"/>
            </w:tcBorders>
            <w:noWrap/>
            <w:hideMark/>
          </w:tcPr>
          <w:p w14:paraId="448DB895"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44.6</w:t>
            </w:r>
          </w:p>
        </w:tc>
        <w:tc>
          <w:tcPr>
            <w:tcW w:w="1118" w:type="dxa"/>
            <w:tcBorders>
              <w:bottom w:val="nil"/>
              <w:right w:val="single" w:sz="4" w:space="0" w:color="auto"/>
            </w:tcBorders>
            <w:noWrap/>
            <w:hideMark/>
          </w:tcPr>
          <w:p w14:paraId="0BEEFD6E"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1.7</w:t>
            </w:r>
          </w:p>
        </w:tc>
        <w:tc>
          <w:tcPr>
            <w:tcW w:w="1118" w:type="dxa"/>
            <w:tcBorders>
              <w:left w:val="single" w:sz="4" w:space="0" w:color="auto"/>
              <w:bottom w:val="nil"/>
            </w:tcBorders>
            <w:noWrap/>
            <w:hideMark/>
          </w:tcPr>
          <w:p w14:paraId="6A7D1B82"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20.4</w:t>
            </w:r>
          </w:p>
        </w:tc>
        <w:tc>
          <w:tcPr>
            <w:tcW w:w="1118" w:type="dxa"/>
            <w:tcBorders>
              <w:bottom w:val="nil"/>
            </w:tcBorders>
            <w:noWrap/>
            <w:hideMark/>
          </w:tcPr>
          <w:p w14:paraId="5C952D0E"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38.5</w:t>
            </w:r>
          </w:p>
        </w:tc>
        <w:tc>
          <w:tcPr>
            <w:tcW w:w="1118" w:type="dxa"/>
            <w:tcBorders>
              <w:bottom w:val="nil"/>
              <w:right w:val="single" w:sz="4" w:space="0" w:color="auto"/>
            </w:tcBorders>
            <w:noWrap/>
            <w:hideMark/>
          </w:tcPr>
          <w:p w14:paraId="61EE6254"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1.3</w:t>
            </w:r>
          </w:p>
        </w:tc>
      </w:tr>
      <w:tr w:rsidR="00B86BF1" w:rsidRPr="00A743C9" w14:paraId="4093C565" w14:textId="77777777" w:rsidTr="000376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6" w:type="dxa"/>
            <w:tcBorders>
              <w:left w:val="single" w:sz="4" w:space="0" w:color="auto"/>
              <w:bottom w:val="nil"/>
              <w:right w:val="single" w:sz="4" w:space="0" w:color="auto"/>
            </w:tcBorders>
            <w:noWrap/>
            <w:hideMark/>
          </w:tcPr>
          <w:p w14:paraId="3B0CD044" w14:textId="77777777" w:rsidR="00B86BF1" w:rsidRPr="00A743C9" w:rsidRDefault="00B86BF1" w:rsidP="000376C7">
            <w:pPr>
              <w:rPr>
                <w:rFonts w:eastAsia="Times New Roman" w:cs="Calibri"/>
                <w:color w:val="auto"/>
                <w:sz w:val="16"/>
                <w:szCs w:val="16"/>
              </w:rPr>
            </w:pPr>
            <w:r w:rsidRPr="00A743C9">
              <w:rPr>
                <w:rFonts w:eastAsia="Times New Roman" w:cs="Calibri"/>
                <w:color w:val="auto"/>
                <w:sz w:val="16"/>
                <w:szCs w:val="16"/>
              </w:rPr>
              <w:t>Colombia</w:t>
            </w:r>
          </w:p>
        </w:tc>
        <w:tc>
          <w:tcPr>
            <w:tcW w:w="1119" w:type="dxa"/>
            <w:tcBorders>
              <w:left w:val="single" w:sz="4" w:space="0" w:color="auto"/>
              <w:bottom w:val="nil"/>
            </w:tcBorders>
            <w:noWrap/>
            <w:hideMark/>
          </w:tcPr>
          <w:p w14:paraId="759E8BDA"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11.6</w:t>
            </w:r>
          </w:p>
        </w:tc>
        <w:tc>
          <w:tcPr>
            <w:tcW w:w="1119" w:type="dxa"/>
            <w:tcBorders>
              <w:bottom w:val="nil"/>
            </w:tcBorders>
            <w:noWrap/>
            <w:hideMark/>
          </w:tcPr>
          <w:p w14:paraId="5E683184"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16.8</w:t>
            </w:r>
          </w:p>
        </w:tc>
        <w:tc>
          <w:tcPr>
            <w:tcW w:w="1119" w:type="dxa"/>
            <w:tcBorders>
              <w:bottom w:val="nil"/>
              <w:right w:val="single" w:sz="4" w:space="0" w:color="auto"/>
            </w:tcBorders>
            <w:noWrap/>
            <w:hideMark/>
          </w:tcPr>
          <w:p w14:paraId="5E407097"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6.6</w:t>
            </w:r>
          </w:p>
        </w:tc>
        <w:tc>
          <w:tcPr>
            <w:tcW w:w="1119" w:type="dxa"/>
            <w:tcBorders>
              <w:left w:val="single" w:sz="4" w:space="0" w:color="auto"/>
              <w:bottom w:val="nil"/>
            </w:tcBorders>
            <w:noWrap/>
            <w:hideMark/>
          </w:tcPr>
          <w:p w14:paraId="692C3050"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8.1</w:t>
            </w:r>
          </w:p>
        </w:tc>
        <w:tc>
          <w:tcPr>
            <w:tcW w:w="1118" w:type="dxa"/>
            <w:tcBorders>
              <w:bottom w:val="nil"/>
            </w:tcBorders>
            <w:noWrap/>
            <w:hideMark/>
          </w:tcPr>
          <w:p w14:paraId="5F4656A3"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11.8</w:t>
            </w:r>
          </w:p>
        </w:tc>
        <w:tc>
          <w:tcPr>
            <w:tcW w:w="1118" w:type="dxa"/>
            <w:tcBorders>
              <w:bottom w:val="nil"/>
              <w:right w:val="single" w:sz="4" w:space="0" w:color="auto"/>
            </w:tcBorders>
            <w:noWrap/>
            <w:hideMark/>
          </w:tcPr>
          <w:p w14:paraId="2876826F"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4.6</w:t>
            </w:r>
          </w:p>
        </w:tc>
        <w:tc>
          <w:tcPr>
            <w:tcW w:w="1118" w:type="dxa"/>
            <w:tcBorders>
              <w:left w:val="single" w:sz="4" w:space="0" w:color="auto"/>
              <w:bottom w:val="nil"/>
            </w:tcBorders>
            <w:noWrap/>
            <w:hideMark/>
          </w:tcPr>
          <w:p w14:paraId="6576A048"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9.5</w:t>
            </w:r>
          </w:p>
        </w:tc>
        <w:tc>
          <w:tcPr>
            <w:tcW w:w="1118" w:type="dxa"/>
            <w:tcBorders>
              <w:bottom w:val="nil"/>
            </w:tcBorders>
            <w:noWrap/>
            <w:hideMark/>
          </w:tcPr>
          <w:p w14:paraId="12EFE0B2"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13.8</w:t>
            </w:r>
          </w:p>
        </w:tc>
        <w:tc>
          <w:tcPr>
            <w:tcW w:w="1118" w:type="dxa"/>
            <w:tcBorders>
              <w:bottom w:val="nil"/>
              <w:right w:val="single" w:sz="4" w:space="0" w:color="auto"/>
            </w:tcBorders>
            <w:noWrap/>
            <w:hideMark/>
          </w:tcPr>
          <w:p w14:paraId="178BCDC8"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5.5</w:t>
            </w:r>
          </w:p>
        </w:tc>
        <w:tc>
          <w:tcPr>
            <w:tcW w:w="1118" w:type="dxa"/>
            <w:tcBorders>
              <w:left w:val="single" w:sz="4" w:space="0" w:color="auto"/>
              <w:bottom w:val="nil"/>
            </w:tcBorders>
            <w:noWrap/>
            <w:hideMark/>
          </w:tcPr>
          <w:p w14:paraId="69621F36"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5.7</w:t>
            </w:r>
          </w:p>
        </w:tc>
        <w:tc>
          <w:tcPr>
            <w:tcW w:w="1118" w:type="dxa"/>
            <w:tcBorders>
              <w:bottom w:val="nil"/>
            </w:tcBorders>
            <w:noWrap/>
            <w:hideMark/>
          </w:tcPr>
          <w:p w14:paraId="7454453D"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8.7</w:t>
            </w:r>
          </w:p>
        </w:tc>
        <w:tc>
          <w:tcPr>
            <w:tcW w:w="1118" w:type="dxa"/>
            <w:tcBorders>
              <w:bottom w:val="nil"/>
              <w:right w:val="single" w:sz="4" w:space="0" w:color="auto"/>
            </w:tcBorders>
            <w:noWrap/>
            <w:hideMark/>
          </w:tcPr>
          <w:p w14:paraId="5FF12135"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2.9</w:t>
            </w:r>
          </w:p>
        </w:tc>
      </w:tr>
      <w:tr w:rsidR="00B86BF1" w:rsidRPr="00A743C9" w14:paraId="3F69D18F" w14:textId="77777777" w:rsidTr="000376C7">
        <w:trPr>
          <w:trHeight w:val="300"/>
        </w:trPr>
        <w:tc>
          <w:tcPr>
            <w:cnfStyle w:val="001000000000" w:firstRow="0" w:lastRow="0" w:firstColumn="1" w:lastColumn="0" w:oddVBand="0" w:evenVBand="0" w:oddHBand="0" w:evenHBand="0" w:firstRowFirstColumn="0" w:firstRowLastColumn="0" w:lastRowFirstColumn="0" w:lastRowLastColumn="0"/>
            <w:tcW w:w="1606" w:type="dxa"/>
            <w:tcBorders>
              <w:left w:val="single" w:sz="4" w:space="0" w:color="auto"/>
              <w:bottom w:val="nil"/>
              <w:right w:val="single" w:sz="4" w:space="0" w:color="auto"/>
            </w:tcBorders>
            <w:noWrap/>
            <w:hideMark/>
          </w:tcPr>
          <w:p w14:paraId="0008970D" w14:textId="77777777" w:rsidR="00B86BF1" w:rsidRPr="00A743C9" w:rsidRDefault="00B86BF1" w:rsidP="000376C7">
            <w:pPr>
              <w:rPr>
                <w:rFonts w:eastAsia="Times New Roman" w:cs="Calibri"/>
                <w:color w:val="auto"/>
                <w:sz w:val="16"/>
                <w:szCs w:val="16"/>
              </w:rPr>
            </w:pPr>
            <w:r w:rsidRPr="00A743C9">
              <w:rPr>
                <w:rFonts w:eastAsia="Times New Roman" w:cs="Calibri"/>
                <w:color w:val="auto"/>
                <w:sz w:val="16"/>
                <w:szCs w:val="16"/>
              </w:rPr>
              <w:t>Comoros</w:t>
            </w:r>
          </w:p>
        </w:tc>
        <w:tc>
          <w:tcPr>
            <w:tcW w:w="1119" w:type="dxa"/>
            <w:tcBorders>
              <w:left w:val="single" w:sz="4" w:space="0" w:color="auto"/>
              <w:bottom w:val="nil"/>
            </w:tcBorders>
            <w:noWrap/>
            <w:hideMark/>
          </w:tcPr>
          <w:p w14:paraId="64977BA7"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15.3</w:t>
            </w:r>
          </w:p>
        </w:tc>
        <w:tc>
          <w:tcPr>
            <w:tcW w:w="1119" w:type="dxa"/>
            <w:tcBorders>
              <w:bottom w:val="nil"/>
            </w:tcBorders>
            <w:noWrap/>
            <w:hideMark/>
          </w:tcPr>
          <w:p w14:paraId="226F9CC6"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23.8</w:t>
            </w:r>
          </w:p>
        </w:tc>
        <w:tc>
          <w:tcPr>
            <w:tcW w:w="1119" w:type="dxa"/>
            <w:tcBorders>
              <w:bottom w:val="nil"/>
              <w:right w:val="single" w:sz="4" w:space="0" w:color="auto"/>
            </w:tcBorders>
            <w:noWrap/>
            <w:hideMark/>
          </w:tcPr>
          <w:p w14:paraId="2EDE16A5"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6.7</w:t>
            </w:r>
          </w:p>
        </w:tc>
        <w:tc>
          <w:tcPr>
            <w:tcW w:w="1119" w:type="dxa"/>
            <w:tcBorders>
              <w:left w:val="single" w:sz="4" w:space="0" w:color="auto"/>
              <w:bottom w:val="nil"/>
            </w:tcBorders>
            <w:noWrap/>
            <w:hideMark/>
          </w:tcPr>
          <w:p w14:paraId="1917930F"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12.5</w:t>
            </w:r>
          </w:p>
        </w:tc>
        <w:tc>
          <w:tcPr>
            <w:tcW w:w="1118" w:type="dxa"/>
            <w:tcBorders>
              <w:bottom w:val="nil"/>
            </w:tcBorders>
            <w:noWrap/>
            <w:hideMark/>
          </w:tcPr>
          <w:p w14:paraId="38715521"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20.1</w:t>
            </w:r>
          </w:p>
        </w:tc>
        <w:tc>
          <w:tcPr>
            <w:tcW w:w="1118" w:type="dxa"/>
            <w:tcBorders>
              <w:bottom w:val="nil"/>
              <w:right w:val="single" w:sz="4" w:space="0" w:color="auto"/>
            </w:tcBorders>
            <w:noWrap/>
            <w:hideMark/>
          </w:tcPr>
          <w:p w14:paraId="6EDBB30B"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5</w:t>
            </w:r>
          </w:p>
        </w:tc>
        <w:tc>
          <w:tcPr>
            <w:tcW w:w="1118" w:type="dxa"/>
            <w:tcBorders>
              <w:left w:val="single" w:sz="4" w:space="0" w:color="auto"/>
              <w:bottom w:val="nil"/>
            </w:tcBorders>
            <w:noWrap/>
            <w:hideMark/>
          </w:tcPr>
          <w:p w14:paraId="7D70A7F3"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11.9</w:t>
            </w:r>
          </w:p>
        </w:tc>
        <w:tc>
          <w:tcPr>
            <w:tcW w:w="1118" w:type="dxa"/>
            <w:tcBorders>
              <w:bottom w:val="nil"/>
            </w:tcBorders>
            <w:noWrap/>
            <w:hideMark/>
          </w:tcPr>
          <w:p w14:paraId="65E81853"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19.3</w:t>
            </w:r>
          </w:p>
        </w:tc>
        <w:tc>
          <w:tcPr>
            <w:tcW w:w="1118" w:type="dxa"/>
            <w:tcBorders>
              <w:bottom w:val="nil"/>
              <w:right w:val="single" w:sz="4" w:space="0" w:color="auto"/>
            </w:tcBorders>
            <w:noWrap/>
            <w:hideMark/>
          </w:tcPr>
          <w:p w14:paraId="13FA1C85"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4.5</w:t>
            </w:r>
          </w:p>
        </w:tc>
        <w:tc>
          <w:tcPr>
            <w:tcW w:w="1118" w:type="dxa"/>
            <w:tcBorders>
              <w:left w:val="single" w:sz="4" w:space="0" w:color="auto"/>
              <w:bottom w:val="nil"/>
            </w:tcBorders>
            <w:noWrap/>
            <w:hideMark/>
          </w:tcPr>
          <w:p w14:paraId="7D24D129"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6.3</w:t>
            </w:r>
          </w:p>
        </w:tc>
        <w:tc>
          <w:tcPr>
            <w:tcW w:w="1118" w:type="dxa"/>
            <w:tcBorders>
              <w:bottom w:val="nil"/>
            </w:tcBorders>
            <w:noWrap/>
            <w:hideMark/>
          </w:tcPr>
          <w:p w14:paraId="0879109A"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10.9</w:t>
            </w:r>
          </w:p>
        </w:tc>
        <w:tc>
          <w:tcPr>
            <w:tcW w:w="1118" w:type="dxa"/>
            <w:tcBorders>
              <w:bottom w:val="nil"/>
              <w:right w:val="single" w:sz="4" w:space="0" w:color="auto"/>
            </w:tcBorders>
            <w:noWrap/>
            <w:hideMark/>
          </w:tcPr>
          <w:p w14:paraId="277E9D6B"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1.7</w:t>
            </w:r>
          </w:p>
        </w:tc>
      </w:tr>
      <w:tr w:rsidR="00B86BF1" w:rsidRPr="00A743C9" w14:paraId="573353CE" w14:textId="77777777" w:rsidTr="000376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6" w:type="dxa"/>
            <w:tcBorders>
              <w:left w:val="single" w:sz="4" w:space="0" w:color="auto"/>
              <w:bottom w:val="nil"/>
              <w:right w:val="single" w:sz="4" w:space="0" w:color="auto"/>
            </w:tcBorders>
            <w:noWrap/>
            <w:hideMark/>
          </w:tcPr>
          <w:p w14:paraId="599943EC" w14:textId="77777777" w:rsidR="00B86BF1" w:rsidRPr="00A743C9" w:rsidRDefault="00B86BF1" w:rsidP="000376C7">
            <w:pPr>
              <w:rPr>
                <w:rFonts w:eastAsia="Times New Roman" w:cs="Calibri"/>
                <w:color w:val="auto"/>
                <w:sz w:val="16"/>
                <w:szCs w:val="16"/>
              </w:rPr>
            </w:pPr>
            <w:r w:rsidRPr="00A743C9">
              <w:rPr>
                <w:rFonts w:eastAsia="Times New Roman" w:cs="Calibri"/>
                <w:color w:val="auto"/>
                <w:sz w:val="16"/>
                <w:szCs w:val="16"/>
              </w:rPr>
              <w:t>Congo</w:t>
            </w:r>
          </w:p>
        </w:tc>
        <w:tc>
          <w:tcPr>
            <w:tcW w:w="1119" w:type="dxa"/>
            <w:tcBorders>
              <w:left w:val="single" w:sz="4" w:space="0" w:color="auto"/>
              <w:bottom w:val="nil"/>
            </w:tcBorders>
            <w:noWrap/>
            <w:hideMark/>
          </w:tcPr>
          <w:p w14:paraId="67CFA0EE"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18.5</w:t>
            </w:r>
          </w:p>
        </w:tc>
        <w:tc>
          <w:tcPr>
            <w:tcW w:w="1119" w:type="dxa"/>
            <w:tcBorders>
              <w:bottom w:val="nil"/>
            </w:tcBorders>
            <w:noWrap/>
            <w:hideMark/>
          </w:tcPr>
          <w:p w14:paraId="235DAF64"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35.5</w:t>
            </w:r>
          </w:p>
        </w:tc>
        <w:tc>
          <w:tcPr>
            <w:tcW w:w="1119" w:type="dxa"/>
            <w:tcBorders>
              <w:bottom w:val="nil"/>
              <w:right w:val="single" w:sz="4" w:space="0" w:color="auto"/>
            </w:tcBorders>
            <w:noWrap/>
            <w:hideMark/>
          </w:tcPr>
          <w:p w14:paraId="5C1E5C81"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1.7</w:t>
            </w:r>
          </w:p>
        </w:tc>
        <w:tc>
          <w:tcPr>
            <w:tcW w:w="1119" w:type="dxa"/>
            <w:tcBorders>
              <w:left w:val="single" w:sz="4" w:space="0" w:color="auto"/>
              <w:bottom w:val="nil"/>
            </w:tcBorders>
            <w:noWrap/>
            <w:hideMark/>
          </w:tcPr>
          <w:p w14:paraId="13CF9E27"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13</w:t>
            </w:r>
          </w:p>
        </w:tc>
        <w:tc>
          <w:tcPr>
            <w:tcW w:w="1118" w:type="dxa"/>
            <w:tcBorders>
              <w:bottom w:val="nil"/>
            </w:tcBorders>
            <w:noWrap/>
            <w:hideMark/>
          </w:tcPr>
          <w:p w14:paraId="1EF2F71E"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25</w:t>
            </w:r>
          </w:p>
        </w:tc>
        <w:tc>
          <w:tcPr>
            <w:tcW w:w="1118" w:type="dxa"/>
            <w:tcBorders>
              <w:bottom w:val="nil"/>
              <w:right w:val="single" w:sz="4" w:space="0" w:color="auto"/>
            </w:tcBorders>
            <w:noWrap/>
            <w:hideMark/>
          </w:tcPr>
          <w:p w14:paraId="69FEEF2C"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1.1</w:t>
            </w:r>
          </w:p>
        </w:tc>
        <w:tc>
          <w:tcPr>
            <w:tcW w:w="1118" w:type="dxa"/>
            <w:tcBorders>
              <w:left w:val="single" w:sz="4" w:space="0" w:color="auto"/>
              <w:bottom w:val="nil"/>
            </w:tcBorders>
            <w:noWrap/>
            <w:hideMark/>
          </w:tcPr>
          <w:p w14:paraId="742A4A71"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12</w:t>
            </w:r>
          </w:p>
        </w:tc>
        <w:tc>
          <w:tcPr>
            <w:tcW w:w="1118" w:type="dxa"/>
            <w:tcBorders>
              <w:bottom w:val="nil"/>
            </w:tcBorders>
            <w:noWrap/>
            <w:hideMark/>
          </w:tcPr>
          <w:p w14:paraId="1576BAA1"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23.3</w:t>
            </w:r>
          </w:p>
        </w:tc>
        <w:tc>
          <w:tcPr>
            <w:tcW w:w="1118" w:type="dxa"/>
            <w:tcBorders>
              <w:bottom w:val="nil"/>
              <w:right w:val="single" w:sz="4" w:space="0" w:color="auto"/>
            </w:tcBorders>
            <w:noWrap/>
            <w:hideMark/>
          </w:tcPr>
          <w:p w14:paraId="06E2636C"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0.8</w:t>
            </w:r>
          </w:p>
        </w:tc>
        <w:tc>
          <w:tcPr>
            <w:tcW w:w="1118" w:type="dxa"/>
            <w:tcBorders>
              <w:left w:val="single" w:sz="4" w:space="0" w:color="auto"/>
              <w:bottom w:val="nil"/>
            </w:tcBorders>
            <w:noWrap/>
            <w:hideMark/>
          </w:tcPr>
          <w:p w14:paraId="360CCACD"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9.8</w:t>
            </w:r>
          </w:p>
        </w:tc>
        <w:tc>
          <w:tcPr>
            <w:tcW w:w="1118" w:type="dxa"/>
            <w:tcBorders>
              <w:bottom w:val="nil"/>
            </w:tcBorders>
            <w:noWrap/>
            <w:hideMark/>
          </w:tcPr>
          <w:p w14:paraId="23CCE687"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19.2</w:t>
            </w:r>
          </w:p>
        </w:tc>
        <w:tc>
          <w:tcPr>
            <w:tcW w:w="1118" w:type="dxa"/>
            <w:tcBorders>
              <w:bottom w:val="nil"/>
              <w:right w:val="single" w:sz="4" w:space="0" w:color="auto"/>
            </w:tcBorders>
            <w:noWrap/>
            <w:hideMark/>
          </w:tcPr>
          <w:p w14:paraId="06B48A89"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0.5</w:t>
            </w:r>
          </w:p>
        </w:tc>
      </w:tr>
      <w:tr w:rsidR="00B86BF1" w:rsidRPr="00A743C9" w14:paraId="3DFFEE3C" w14:textId="77777777" w:rsidTr="000376C7">
        <w:trPr>
          <w:trHeight w:val="300"/>
        </w:trPr>
        <w:tc>
          <w:tcPr>
            <w:cnfStyle w:val="001000000000" w:firstRow="0" w:lastRow="0" w:firstColumn="1" w:lastColumn="0" w:oddVBand="0" w:evenVBand="0" w:oddHBand="0" w:evenHBand="0" w:firstRowFirstColumn="0" w:firstRowLastColumn="0" w:lastRowFirstColumn="0" w:lastRowLastColumn="0"/>
            <w:tcW w:w="1606" w:type="dxa"/>
            <w:tcBorders>
              <w:left w:val="single" w:sz="4" w:space="0" w:color="auto"/>
              <w:bottom w:val="nil"/>
              <w:right w:val="single" w:sz="4" w:space="0" w:color="auto"/>
            </w:tcBorders>
            <w:noWrap/>
            <w:hideMark/>
          </w:tcPr>
          <w:p w14:paraId="6722DBDA" w14:textId="77777777" w:rsidR="00B86BF1" w:rsidRPr="00A743C9" w:rsidRDefault="00B86BF1" w:rsidP="000376C7">
            <w:pPr>
              <w:rPr>
                <w:rFonts w:eastAsia="Times New Roman" w:cs="Calibri"/>
                <w:color w:val="auto"/>
                <w:sz w:val="16"/>
                <w:szCs w:val="16"/>
              </w:rPr>
            </w:pPr>
            <w:r w:rsidRPr="00A743C9">
              <w:rPr>
                <w:rFonts w:eastAsia="Times New Roman" w:cs="Calibri"/>
                <w:color w:val="auto"/>
                <w:sz w:val="16"/>
                <w:szCs w:val="16"/>
              </w:rPr>
              <w:t>Costa Rica</w:t>
            </w:r>
          </w:p>
        </w:tc>
        <w:tc>
          <w:tcPr>
            <w:tcW w:w="1119" w:type="dxa"/>
            <w:tcBorders>
              <w:left w:val="single" w:sz="4" w:space="0" w:color="auto"/>
              <w:bottom w:val="nil"/>
            </w:tcBorders>
            <w:noWrap/>
            <w:hideMark/>
          </w:tcPr>
          <w:p w14:paraId="3F59281E"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14.2</w:t>
            </w:r>
          </w:p>
        </w:tc>
        <w:tc>
          <w:tcPr>
            <w:tcW w:w="1119" w:type="dxa"/>
            <w:tcBorders>
              <w:bottom w:val="nil"/>
            </w:tcBorders>
            <w:noWrap/>
            <w:hideMark/>
          </w:tcPr>
          <w:p w14:paraId="5A64CC48"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19.3</w:t>
            </w:r>
          </w:p>
        </w:tc>
        <w:tc>
          <w:tcPr>
            <w:tcW w:w="1119" w:type="dxa"/>
            <w:tcBorders>
              <w:bottom w:val="nil"/>
              <w:right w:val="single" w:sz="4" w:space="0" w:color="auto"/>
            </w:tcBorders>
            <w:noWrap/>
            <w:hideMark/>
          </w:tcPr>
          <w:p w14:paraId="67FDC7A3"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8.9</w:t>
            </w:r>
          </w:p>
        </w:tc>
        <w:tc>
          <w:tcPr>
            <w:tcW w:w="1119" w:type="dxa"/>
            <w:tcBorders>
              <w:left w:val="single" w:sz="4" w:space="0" w:color="auto"/>
              <w:bottom w:val="nil"/>
            </w:tcBorders>
            <w:noWrap/>
            <w:hideMark/>
          </w:tcPr>
          <w:p w14:paraId="0DE09E1F"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8.3</w:t>
            </w:r>
          </w:p>
        </w:tc>
        <w:tc>
          <w:tcPr>
            <w:tcW w:w="1118" w:type="dxa"/>
            <w:tcBorders>
              <w:bottom w:val="nil"/>
            </w:tcBorders>
            <w:noWrap/>
            <w:hideMark/>
          </w:tcPr>
          <w:p w14:paraId="7D1EBFEF"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11.3</w:t>
            </w:r>
          </w:p>
        </w:tc>
        <w:tc>
          <w:tcPr>
            <w:tcW w:w="1118" w:type="dxa"/>
            <w:tcBorders>
              <w:bottom w:val="nil"/>
              <w:right w:val="single" w:sz="4" w:space="0" w:color="auto"/>
            </w:tcBorders>
            <w:noWrap/>
            <w:hideMark/>
          </w:tcPr>
          <w:p w14:paraId="1FB62844"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5.1</w:t>
            </w:r>
          </w:p>
        </w:tc>
        <w:tc>
          <w:tcPr>
            <w:tcW w:w="1118" w:type="dxa"/>
            <w:tcBorders>
              <w:left w:val="single" w:sz="4" w:space="0" w:color="auto"/>
              <w:bottom w:val="nil"/>
            </w:tcBorders>
            <w:noWrap/>
            <w:hideMark/>
          </w:tcPr>
          <w:p w14:paraId="2A3376AC"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11.9</w:t>
            </w:r>
          </w:p>
        </w:tc>
        <w:tc>
          <w:tcPr>
            <w:tcW w:w="1118" w:type="dxa"/>
            <w:tcBorders>
              <w:bottom w:val="nil"/>
            </w:tcBorders>
            <w:noWrap/>
            <w:hideMark/>
          </w:tcPr>
          <w:p w14:paraId="135C6048"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16.1</w:t>
            </w:r>
          </w:p>
        </w:tc>
        <w:tc>
          <w:tcPr>
            <w:tcW w:w="1118" w:type="dxa"/>
            <w:tcBorders>
              <w:bottom w:val="nil"/>
              <w:right w:val="single" w:sz="4" w:space="0" w:color="auto"/>
            </w:tcBorders>
            <w:noWrap/>
            <w:hideMark/>
          </w:tcPr>
          <w:p w14:paraId="59E65BAF"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7.6</w:t>
            </w:r>
          </w:p>
        </w:tc>
        <w:tc>
          <w:tcPr>
            <w:tcW w:w="1118" w:type="dxa"/>
            <w:tcBorders>
              <w:left w:val="single" w:sz="4" w:space="0" w:color="auto"/>
              <w:bottom w:val="nil"/>
            </w:tcBorders>
            <w:noWrap/>
            <w:hideMark/>
          </w:tcPr>
          <w:p w14:paraId="755824E2"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6.9</w:t>
            </w:r>
          </w:p>
        </w:tc>
        <w:tc>
          <w:tcPr>
            <w:tcW w:w="1118" w:type="dxa"/>
            <w:tcBorders>
              <w:bottom w:val="nil"/>
            </w:tcBorders>
            <w:noWrap/>
            <w:hideMark/>
          </w:tcPr>
          <w:p w14:paraId="518BE9E9"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9.4</w:t>
            </w:r>
          </w:p>
        </w:tc>
        <w:tc>
          <w:tcPr>
            <w:tcW w:w="1118" w:type="dxa"/>
            <w:tcBorders>
              <w:bottom w:val="nil"/>
              <w:right w:val="single" w:sz="4" w:space="0" w:color="auto"/>
            </w:tcBorders>
            <w:noWrap/>
            <w:hideMark/>
          </w:tcPr>
          <w:p w14:paraId="7F997A90"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4.2</w:t>
            </w:r>
          </w:p>
        </w:tc>
      </w:tr>
      <w:tr w:rsidR="00B86BF1" w:rsidRPr="00A743C9" w14:paraId="75A23740" w14:textId="77777777" w:rsidTr="000376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6" w:type="dxa"/>
            <w:tcBorders>
              <w:left w:val="single" w:sz="4" w:space="0" w:color="auto"/>
              <w:bottom w:val="nil"/>
              <w:right w:val="single" w:sz="4" w:space="0" w:color="auto"/>
            </w:tcBorders>
            <w:noWrap/>
            <w:hideMark/>
          </w:tcPr>
          <w:p w14:paraId="1E633A75" w14:textId="77777777" w:rsidR="00B86BF1" w:rsidRPr="00A743C9" w:rsidRDefault="00B86BF1" w:rsidP="000376C7">
            <w:pPr>
              <w:rPr>
                <w:rFonts w:eastAsia="Times New Roman" w:cs="Calibri"/>
                <w:color w:val="auto"/>
                <w:sz w:val="16"/>
                <w:szCs w:val="16"/>
              </w:rPr>
            </w:pPr>
            <w:r w:rsidRPr="00A743C9">
              <w:rPr>
                <w:rFonts w:eastAsia="Times New Roman" w:cs="Calibri"/>
                <w:color w:val="auto"/>
                <w:sz w:val="16"/>
                <w:szCs w:val="16"/>
              </w:rPr>
              <w:t>Croatia</w:t>
            </w:r>
          </w:p>
        </w:tc>
        <w:tc>
          <w:tcPr>
            <w:tcW w:w="1119" w:type="dxa"/>
            <w:tcBorders>
              <w:left w:val="single" w:sz="4" w:space="0" w:color="auto"/>
              <w:bottom w:val="nil"/>
            </w:tcBorders>
            <w:noWrap/>
            <w:hideMark/>
          </w:tcPr>
          <w:p w14:paraId="5FC658FE"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36</w:t>
            </w:r>
          </w:p>
        </w:tc>
        <w:tc>
          <w:tcPr>
            <w:tcW w:w="1119" w:type="dxa"/>
            <w:tcBorders>
              <w:bottom w:val="nil"/>
            </w:tcBorders>
            <w:noWrap/>
            <w:hideMark/>
          </w:tcPr>
          <w:p w14:paraId="5750F4D8"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39.5</w:t>
            </w:r>
          </w:p>
        </w:tc>
        <w:tc>
          <w:tcPr>
            <w:tcW w:w="1119" w:type="dxa"/>
            <w:tcBorders>
              <w:bottom w:val="nil"/>
              <w:right w:val="single" w:sz="4" w:space="0" w:color="auto"/>
            </w:tcBorders>
            <w:noWrap/>
            <w:hideMark/>
          </w:tcPr>
          <w:p w14:paraId="57CDE3E0"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32.7</w:t>
            </w:r>
          </w:p>
        </w:tc>
        <w:tc>
          <w:tcPr>
            <w:tcW w:w="1119" w:type="dxa"/>
            <w:tcBorders>
              <w:left w:val="single" w:sz="4" w:space="0" w:color="auto"/>
              <w:bottom w:val="nil"/>
            </w:tcBorders>
            <w:noWrap/>
            <w:hideMark/>
          </w:tcPr>
          <w:p w14:paraId="10ABE750"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31.1</w:t>
            </w:r>
          </w:p>
        </w:tc>
        <w:tc>
          <w:tcPr>
            <w:tcW w:w="1118" w:type="dxa"/>
            <w:tcBorders>
              <w:bottom w:val="nil"/>
            </w:tcBorders>
            <w:noWrap/>
            <w:hideMark/>
          </w:tcPr>
          <w:p w14:paraId="2DD5A0DC"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34.9</w:t>
            </w:r>
          </w:p>
        </w:tc>
        <w:tc>
          <w:tcPr>
            <w:tcW w:w="1118" w:type="dxa"/>
            <w:tcBorders>
              <w:bottom w:val="nil"/>
              <w:right w:val="single" w:sz="4" w:space="0" w:color="auto"/>
            </w:tcBorders>
            <w:noWrap/>
            <w:hideMark/>
          </w:tcPr>
          <w:p w14:paraId="7788E59F"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27.6</w:t>
            </w:r>
          </w:p>
        </w:tc>
        <w:tc>
          <w:tcPr>
            <w:tcW w:w="1118" w:type="dxa"/>
            <w:tcBorders>
              <w:left w:val="single" w:sz="4" w:space="0" w:color="auto"/>
              <w:bottom w:val="nil"/>
            </w:tcBorders>
            <w:noWrap/>
            <w:hideMark/>
          </w:tcPr>
          <w:p w14:paraId="59DDEC76"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28.9</w:t>
            </w:r>
          </w:p>
        </w:tc>
        <w:tc>
          <w:tcPr>
            <w:tcW w:w="1118" w:type="dxa"/>
            <w:tcBorders>
              <w:bottom w:val="nil"/>
            </w:tcBorders>
            <w:noWrap/>
            <w:hideMark/>
          </w:tcPr>
          <w:p w14:paraId="31C553B1"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32</w:t>
            </w:r>
          </w:p>
        </w:tc>
        <w:tc>
          <w:tcPr>
            <w:tcW w:w="1118" w:type="dxa"/>
            <w:tcBorders>
              <w:bottom w:val="nil"/>
              <w:right w:val="single" w:sz="4" w:space="0" w:color="auto"/>
            </w:tcBorders>
            <w:noWrap/>
            <w:hideMark/>
          </w:tcPr>
          <w:p w14:paraId="7A288B8F"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26</w:t>
            </w:r>
          </w:p>
        </w:tc>
        <w:tc>
          <w:tcPr>
            <w:tcW w:w="1118" w:type="dxa"/>
            <w:tcBorders>
              <w:left w:val="single" w:sz="4" w:space="0" w:color="auto"/>
              <w:bottom w:val="nil"/>
            </w:tcBorders>
            <w:noWrap/>
            <w:hideMark/>
          </w:tcPr>
          <w:p w14:paraId="007EDA20"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24.7</w:t>
            </w:r>
          </w:p>
        </w:tc>
        <w:tc>
          <w:tcPr>
            <w:tcW w:w="1118" w:type="dxa"/>
            <w:tcBorders>
              <w:bottom w:val="nil"/>
            </w:tcBorders>
            <w:noWrap/>
            <w:hideMark/>
          </w:tcPr>
          <w:p w14:paraId="1D82A3C4"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28.9</w:t>
            </w:r>
          </w:p>
        </w:tc>
        <w:tc>
          <w:tcPr>
            <w:tcW w:w="1118" w:type="dxa"/>
            <w:tcBorders>
              <w:bottom w:val="nil"/>
              <w:right w:val="single" w:sz="4" w:space="0" w:color="auto"/>
            </w:tcBorders>
            <w:noWrap/>
            <w:hideMark/>
          </w:tcPr>
          <w:p w14:paraId="37D15B24"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20.8</w:t>
            </w:r>
          </w:p>
        </w:tc>
      </w:tr>
      <w:tr w:rsidR="00B86BF1" w:rsidRPr="00A743C9" w14:paraId="77FC220F" w14:textId="77777777" w:rsidTr="000376C7">
        <w:trPr>
          <w:trHeight w:val="300"/>
        </w:trPr>
        <w:tc>
          <w:tcPr>
            <w:cnfStyle w:val="001000000000" w:firstRow="0" w:lastRow="0" w:firstColumn="1" w:lastColumn="0" w:oddVBand="0" w:evenVBand="0" w:oddHBand="0" w:evenHBand="0" w:firstRowFirstColumn="0" w:firstRowLastColumn="0" w:lastRowFirstColumn="0" w:lastRowLastColumn="0"/>
            <w:tcW w:w="1606" w:type="dxa"/>
            <w:tcBorders>
              <w:left w:val="single" w:sz="4" w:space="0" w:color="auto"/>
              <w:bottom w:val="nil"/>
              <w:right w:val="single" w:sz="4" w:space="0" w:color="auto"/>
            </w:tcBorders>
            <w:noWrap/>
            <w:hideMark/>
          </w:tcPr>
          <w:p w14:paraId="6B2E7933" w14:textId="77777777" w:rsidR="00B86BF1" w:rsidRPr="00A743C9" w:rsidRDefault="00B86BF1" w:rsidP="000376C7">
            <w:pPr>
              <w:rPr>
                <w:rFonts w:eastAsia="Times New Roman" w:cs="Calibri"/>
                <w:color w:val="auto"/>
                <w:sz w:val="16"/>
                <w:szCs w:val="16"/>
              </w:rPr>
            </w:pPr>
            <w:r w:rsidRPr="00A743C9">
              <w:rPr>
                <w:rFonts w:eastAsia="Times New Roman" w:cs="Calibri"/>
                <w:color w:val="auto"/>
                <w:sz w:val="16"/>
                <w:szCs w:val="16"/>
              </w:rPr>
              <w:t>Cuba</w:t>
            </w:r>
          </w:p>
        </w:tc>
        <w:tc>
          <w:tcPr>
            <w:tcW w:w="1119" w:type="dxa"/>
            <w:tcBorders>
              <w:left w:val="single" w:sz="4" w:space="0" w:color="auto"/>
              <w:bottom w:val="nil"/>
            </w:tcBorders>
            <w:noWrap/>
            <w:hideMark/>
          </w:tcPr>
          <w:p w14:paraId="70EC898B"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36.1</w:t>
            </w:r>
          </w:p>
        </w:tc>
        <w:tc>
          <w:tcPr>
            <w:tcW w:w="1119" w:type="dxa"/>
            <w:tcBorders>
              <w:bottom w:val="nil"/>
            </w:tcBorders>
            <w:noWrap/>
            <w:hideMark/>
          </w:tcPr>
          <w:p w14:paraId="3D65889E"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53.1</w:t>
            </w:r>
          </w:p>
        </w:tc>
        <w:tc>
          <w:tcPr>
            <w:tcW w:w="1119" w:type="dxa"/>
            <w:tcBorders>
              <w:bottom w:val="nil"/>
              <w:right w:val="single" w:sz="4" w:space="0" w:color="auto"/>
            </w:tcBorders>
            <w:noWrap/>
            <w:hideMark/>
          </w:tcPr>
          <w:p w14:paraId="7B36D742"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19.1</w:t>
            </w:r>
          </w:p>
        </w:tc>
        <w:tc>
          <w:tcPr>
            <w:tcW w:w="1119" w:type="dxa"/>
            <w:tcBorders>
              <w:left w:val="single" w:sz="4" w:space="0" w:color="auto"/>
              <w:bottom w:val="nil"/>
            </w:tcBorders>
            <w:noWrap/>
            <w:hideMark/>
          </w:tcPr>
          <w:p w14:paraId="01ECF238"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23.4</w:t>
            </w:r>
          </w:p>
        </w:tc>
        <w:tc>
          <w:tcPr>
            <w:tcW w:w="1118" w:type="dxa"/>
            <w:tcBorders>
              <w:bottom w:val="nil"/>
            </w:tcBorders>
            <w:noWrap/>
            <w:hideMark/>
          </w:tcPr>
          <w:p w14:paraId="7A150FE7"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33.2</w:t>
            </w:r>
          </w:p>
        </w:tc>
        <w:tc>
          <w:tcPr>
            <w:tcW w:w="1118" w:type="dxa"/>
            <w:tcBorders>
              <w:bottom w:val="nil"/>
              <w:right w:val="single" w:sz="4" w:space="0" w:color="auto"/>
            </w:tcBorders>
            <w:noWrap/>
            <w:hideMark/>
          </w:tcPr>
          <w:p w14:paraId="15100EA7"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13.7</w:t>
            </w:r>
          </w:p>
        </w:tc>
        <w:tc>
          <w:tcPr>
            <w:tcW w:w="1118" w:type="dxa"/>
            <w:tcBorders>
              <w:left w:val="single" w:sz="4" w:space="0" w:color="auto"/>
              <w:bottom w:val="nil"/>
            </w:tcBorders>
            <w:noWrap/>
            <w:hideMark/>
          </w:tcPr>
          <w:p w14:paraId="240EDF48"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28.5</w:t>
            </w:r>
          </w:p>
        </w:tc>
        <w:tc>
          <w:tcPr>
            <w:tcW w:w="1118" w:type="dxa"/>
            <w:tcBorders>
              <w:bottom w:val="nil"/>
            </w:tcBorders>
            <w:noWrap/>
            <w:hideMark/>
          </w:tcPr>
          <w:p w14:paraId="699892FD"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42.2</w:t>
            </w:r>
          </w:p>
        </w:tc>
        <w:tc>
          <w:tcPr>
            <w:tcW w:w="1118" w:type="dxa"/>
            <w:tcBorders>
              <w:bottom w:val="nil"/>
              <w:right w:val="single" w:sz="4" w:space="0" w:color="auto"/>
            </w:tcBorders>
            <w:noWrap/>
            <w:hideMark/>
          </w:tcPr>
          <w:p w14:paraId="1D4BD8D7"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14.8</w:t>
            </w:r>
          </w:p>
        </w:tc>
        <w:tc>
          <w:tcPr>
            <w:tcW w:w="1118" w:type="dxa"/>
            <w:tcBorders>
              <w:left w:val="single" w:sz="4" w:space="0" w:color="auto"/>
              <w:bottom w:val="nil"/>
            </w:tcBorders>
            <w:noWrap/>
            <w:hideMark/>
          </w:tcPr>
          <w:p w14:paraId="01CA7D49"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21</w:t>
            </w:r>
          </w:p>
        </w:tc>
        <w:tc>
          <w:tcPr>
            <w:tcW w:w="1118" w:type="dxa"/>
            <w:tcBorders>
              <w:bottom w:val="nil"/>
            </w:tcBorders>
            <w:noWrap/>
            <w:hideMark/>
          </w:tcPr>
          <w:p w14:paraId="50351071"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30.8</w:t>
            </w:r>
          </w:p>
        </w:tc>
        <w:tc>
          <w:tcPr>
            <w:tcW w:w="1118" w:type="dxa"/>
            <w:tcBorders>
              <w:bottom w:val="nil"/>
              <w:right w:val="single" w:sz="4" w:space="0" w:color="auto"/>
            </w:tcBorders>
            <w:noWrap/>
            <w:hideMark/>
          </w:tcPr>
          <w:p w14:paraId="1EC49E5D"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11.3</w:t>
            </w:r>
          </w:p>
        </w:tc>
      </w:tr>
      <w:tr w:rsidR="00B86BF1" w:rsidRPr="00A743C9" w14:paraId="7134CC5F" w14:textId="77777777" w:rsidTr="000376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6" w:type="dxa"/>
            <w:tcBorders>
              <w:left w:val="single" w:sz="4" w:space="0" w:color="auto"/>
              <w:bottom w:val="nil"/>
              <w:right w:val="single" w:sz="4" w:space="0" w:color="auto"/>
            </w:tcBorders>
            <w:noWrap/>
            <w:hideMark/>
          </w:tcPr>
          <w:p w14:paraId="1EB39635" w14:textId="77777777" w:rsidR="00B86BF1" w:rsidRPr="00A743C9" w:rsidRDefault="00B86BF1" w:rsidP="000376C7">
            <w:pPr>
              <w:rPr>
                <w:rFonts w:eastAsia="Times New Roman" w:cs="Calibri"/>
                <w:color w:val="auto"/>
                <w:sz w:val="16"/>
                <w:szCs w:val="16"/>
              </w:rPr>
            </w:pPr>
            <w:r w:rsidRPr="00A743C9">
              <w:rPr>
                <w:rFonts w:eastAsia="Times New Roman" w:cs="Calibri"/>
                <w:color w:val="auto"/>
                <w:sz w:val="16"/>
                <w:szCs w:val="16"/>
              </w:rPr>
              <w:t>Czechia</w:t>
            </w:r>
          </w:p>
        </w:tc>
        <w:tc>
          <w:tcPr>
            <w:tcW w:w="1119" w:type="dxa"/>
            <w:tcBorders>
              <w:left w:val="single" w:sz="4" w:space="0" w:color="auto"/>
              <w:bottom w:val="nil"/>
            </w:tcBorders>
            <w:noWrap/>
            <w:hideMark/>
          </w:tcPr>
          <w:p w14:paraId="6A96335D"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33.4</w:t>
            </w:r>
          </w:p>
        </w:tc>
        <w:tc>
          <w:tcPr>
            <w:tcW w:w="1119" w:type="dxa"/>
            <w:tcBorders>
              <w:bottom w:val="nil"/>
            </w:tcBorders>
            <w:noWrap/>
            <w:hideMark/>
          </w:tcPr>
          <w:p w14:paraId="1F3D54E6"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37.8</w:t>
            </w:r>
          </w:p>
        </w:tc>
        <w:tc>
          <w:tcPr>
            <w:tcW w:w="1119" w:type="dxa"/>
            <w:tcBorders>
              <w:bottom w:val="nil"/>
              <w:right w:val="single" w:sz="4" w:space="0" w:color="auto"/>
            </w:tcBorders>
            <w:noWrap/>
            <w:hideMark/>
          </w:tcPr>
          <w:p w14:paraId="0EEEB46E"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29.2</w:t>
            </w:r>
          </w:p>
        </w:tc>
        <w:tc>
          <w:tcPr>
            <w:tcW w:w="1119" w:type="dxa"/>
            <w:tcBorders>
              <w:left w:val="single" w:sz="4" w:space="0" w:color="auto"/>
              <w:bottom w:val="nil"/>
            </w:tcBorders>
            <w:noWrap/>
            <w:hideMark/>
          </w:tcPr>
          <w:p w14:paraId="768C8E43"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24.7</w:t>
            </w:r>
          </w:p>
        </w:tc>
        <w:tc>
          <w:tcPr>
            <w:tcW w:w="1118" w:type="dxa"/>
            <w:tcBorders>
              <w:bottom w:val="nil"/>
            </w:tcBorders>
            <w:noWrap/>
            <w:hideMark/>
          </w:tcPr>
          <w:p w14:paraId="093AAA49"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29.4</w:t>
            </w:r>
          </w:p>
        </w:tc>
        <w:tc>
          <w:tcPr>
            <w:tcW w:w="1118" w:type="dxa"/>
            <w:tcBorders>
              <w:bottom w:val="nil"/>
              <w:right w:val="single" w:sz="4" w:space="0" w:color="auto"/>
            </w:tcBorders>
            <w:noWrap/>
            <w:hideMark/>
          </w:tcPr>
          <w:p w14:paraId="2AA3756F"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20.3</w:t>
            </w:r>
          </w:p>
        </w:tc>
        <w:tc>
          <w:tcPr>
            <w:tcW w:w="1118" w:type="dxa"/>
            <w:tcBorders>
              <w:left w:val="single" w:sz="4" w:space="0" w:color="auto"/>
              <w:bottom w:val="nil"/>
            </w:tcBorders>
            <w:noWrap/>
            <w:hideMark/>
          </w:tcPr>
          <w:p w14:paraId="5BDCDEAB"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28.1</w:t>
            </w:r>
          </w:p>
        </w:tc>
        <w:tc>
          <w:tcPr>
            <w:tcW w:w="1118" w:type="dxa"/>
            <w:tcBorders>
              <w:bottom w:val="nil"/>
            </w:tcBorders>
            <w:noWrap/>
            <w:hideMark/>
          </w:tcPr>
          <w:p w14:paraId="43571A91"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32</w:t>
            </w:r>
          </w:p>
        </w:tc>
        <w:tc>
          <w:tcPr>
            <w:tcW w:w="1118" w:type="dxa"/>
            <w:tcBorders>
              <w:bottom w:val="nil"/>
              <w:right w:val="single" w:sz="4" w:space="0" w:color="auto"/>
            </w:tcBorders>
            <w:noWrap/>
            <w:hideMark/>
          </w:tcPr>
          <w:p w14:paraId="7FA2FB59"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24.3</w:t>
            </w:r>
          </w:p>
        </w:tc>
        <w:tc>
          <w:tcPr>
            <w:tcW w:w="1118" w:type="dxa"/>
            <w:tcBorders>
              <w:left w:val="single" w:sz="4" w:space="0" w:color="auto"/>
              <w:bottom w:val="nil"/>
            </w:tcBorders>
            <w:noWrap/>
            <w:hideMark/>
          </w:tcPr>
          <w:p w14:paraId="2A917AE5"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24.1</w:t>
            </w:r>
          </w:p>
        </w:tc>
        <w:tc>
          <w:tcPr>
            <w:tcW w:w="1118" w:type="dxa"/>
            <w:tcBorders>
              <w:bottom w:val="nil"/>
            </w:tcBorders>
            <w:noWrap/>
            <w:hideMark/>
          </w:tcPr>
          <w:p w14:paraId="2A247CE2"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28.5</w:t>
            </w:r>
          </w:p>
        </w:tc>
        <w:tc>
          <w:tcPr>
            <w:tcW w:w="1118" w:type="dxa"/>
            <w:tcBorders>
              <w:bottom w:val="nil"/>
              <w:right w:val="single" w:sz="4" w:space="0" w:color="auto"/>
            </w:tcBorders>
            <w:noWrap/>
            <w:hideMark/>
          </w:tcPr>
          <w:p w14:paraId="54D7ADD6"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20</w:t>
            </w:r>
          </w:p>
        </w:tc>
      </w:tr>
      <w:tr w:rsidR="00B86BF1" w:rsidRPr="00A743C9" w14:paraId="0CCA2E33" w14:textId="77777777" w:rsidTr="000376C7">
        <w:trPr>
          <w:trHeight w:val="300"/>
        </w:trPr>
        <w:tc>
          <w:tcPr>
            <w:cnfStyle w:val="001000000000" w:firstRow="0" w:lastRow="0" w:firstColumn="1" w:lastColumn="0" w:oddVBand="0" w:evenVBand="0" w:oddHBand="0" w:evenHBand="0" w:firstRowFirstColumn="0" w:firstRowLastColumn="0" w:lastRowFirstColumn="0" w:lastRowLastColumn="0"/>
            <w:tcW w:w="1606" w:type="dxa"/>
            <w:tcBorders>
              <w:left w:val="single" w:sz="4" w:space="0" w:color="auto"/>
              <w:bottom w:val="nil"/>
              <w:right w:val="single" w:sz="4" w:space="0" w:color="auto"/>
            </w:tcBorders>
            <w:noWrap/>
            <w:hideMark/>
          </w:tcPr>
          <w:p w14:paraId="11914C5B" w14:textId="77777777" w:rsidR="00B86BF1" w:rsidRPr="00A743C9" w:rsidRDefault="00B86BF1" w:rsidP="000376C7">
            <w:pPr>
              <w:rPr>
                <w:rFonts w:eastAsia="Times New Roman" w:cs="Calibri"/>
                <w:color w:val="auto"/>
                <w:sz w:val="16"/>
                <w:szCs w:val="16"/>
              </w:rPr>
            </w:pPr>
            <w:r w:rsidRPr="00A743C9">
              <w:rPr>
                <w:rFonts w:eastAsia="Times New Roman" w:cs="Calibri"/>
                <w:color w:val="auto"/>
                <w:sz w:val="16"/>
                <w:szCs w:val="16"/>
              </w:rPr>
              <w:t>Denmark</w:t>
            </w:r>
          </w:p>
        </w:tc>
        <w:tc>
          <w:tcPr>
            <w:tcW w:w="1119" w:type="dxa"/>
            <w:tcBorders>
              <w:left w:val="single" w:sz="4" w:space="0" w:color="auto"/>
              <w:bottom w:val="nil"/>
            </w:tcBorders>
            <w:noWrap/>
            <w:hideMark/>
          </w:tcPr>
          <w:p w14:paraId="0E2AEBA5"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18.9</w:t>
            </w:r>
          </w:p>
        </w:tc>
        <w:tc>
          <w:tcPr>
            <w:tcW w:w="1119" w:type="dxa"/>
            <w:tcBorders>
              <w:bottom w:val="nil"/>
            </w:tcBorders>
            <w:noWrap/>
            <w:hideMark/>
          </w:tcPr>
          <w:p w14:paraId="1F9ECF57"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19.9</w:t>
            </w:r>
          </w:p>
        </w:tc>
        <w:tc>
          <w:tcPr>
            <w:tcW w:w="1119" w:type="dxa"/>
            <w:tcBorders>
              <w:bottom w:val="nil"/>
              <w:right w:val="single" w:sz="4" w:space="0" w:color="auto"/>
            </w:tcBorders>
            <w:noWrap/>
            <w:hideMark/>
          </w:tcPr>
          <w:p w14:paraId="2A851180"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18</w:t>
            </w:r>
          </w:p>
        </w:tc>
        <w:tc>
          <w:tcPr>
            <w:tcW w:w="1119" w:type="dxa"/>
            <w:tcBorders>
              <w:left w:val="single" w:sz="4" w:space="0" w:color="auto"/>
              <w:bottom w:val="nil"/>
            </w:tcBorders>
            <w:noWrap/>
            <w:hideMark/>
          </w:tcPr>
          <w:p w14:paraId="4DFD2D9F"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15.6</w:t>
            </w:r>
          </w:p>
        </w:tc>
        <w:tc>
          <w:tcPr>
            <w:tcW w:w="1118" w:type="dxa"/>
            <w:tcBorders>
              <w:bottom w:val="nil"/>
            </w:tcBorders>
            <w:noWrap/>
            <w:hideMark/>
          </w:tcPr>
          <w:p w14:paraId="04CC099A"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16.2</w:t>
            </w:r>
          </w:p>
        </w:tc>
        <w:tc>
          <w:tcPr>
            <w:tcW w:w="1118" w:type="dxa"/>
            <w:tcBorders>
              <w:bottom w:val="nil"/>
              <w:right w:val="single" w:sz="4" w:space="0" w:color="auto"/>
            </w:tcBorders>
            <w:noWrap/>
            <w:hideMark/>
          </w:tcPr>
          <w:p w14:paraId="22990E72"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14.9</w:t>
            </w:r>
          </w:p>
        </w:tc>
        <w:tc>
          <w:tcPr>
            <w:tcW w:w="1118" w:type="dxa"/>
            <w:tcBorders>
              <w:left w:val="single" w:sz="4" w:space="0" w:color="auto"/>
              <w:bottom w:val="nil"/>
            </w:tcBorders>
            <w:noWrap/>
            <w:hideMark/>
          </w:tcPr>
          <w:p w14:paraId="64CBF96A"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15.8</w:t>
            </w:r>
          </w:p>
        </w:tc>
        <w:tc>
          <w:tcPr>
            <w:tcW w:w="1118" w:type="dxa"/>
            <w:tcBorders>
              <w:bottom w:val="nil"/>
            </w:tcBorders>
            <w:noWrap/>
            <w:hideMark/>
          </w:tcPr>
          <w:p w14:paraId="002C34B9"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15.9</w:t>
            </w:r>
          </w:p>
        </w:tc>
        <w:tc>
          <w:tcPr>
            <w:tcW w:w="1118" w:type="dxa"/>
            <w:tcBorders>
              <w:bottom w:val="nil"/>
              <w:right w:val="single" w:sz="4" w:space="0" w:color="auto"/>
            </w:tcBorders>
            <w:noWrap/>
            <w:hideMark/>
          </w:tcPr>
          <w:p w14:paraId="3AEF4F2F"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15.6</w:t>
            </w:r>
          </w:p>
        </w:tc>
        <w:tc>
          <w:tcPr>
            <w:tcW w:w="1118" w:type="dxa"/>
            <w:tcBorders>
              <w:left w:val="single" w:sz="4" w:space="0" w:color="auto"/>
              <w:bottom w:val="nil"/>
            </w:tcBorders>
            <w:noWrap/>
            <w:hideMark/>
          </w:tcPr>
          <w:p w14:paraId="09BD9DD6"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11.5</w:t>
            </w:r>
          </w:p>
        </w:tc>
        <w:tc>
          <w:tcPr>
            <w:tcW w:w="1118" w:type="dxa"/>
            <w:tcBorders>
              <w:bottom w:val="nil"/>
            </w:tcBorders>
            <w:noWrap/>
            <w:hideMark/>
          </w:tcPr>
          <w:p w14:paraId="4A5CE1D9"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11.6</w:t>
            </w:r>
          </w:p>
        </w:tc>
        <w:tc>
          <w:tcPr>
            <w:tcW w:w="1118" w:type="dxa"/>
            <w:tcBorders>
              <w:bottom w:val="nil"/>
              <w:right w:val="single" w:sz="4" w:space="0" w:color="auto"/>
            </w:tcBorders>
            <w:noWrap/>
            <w:hideMark/>
          </w:tcPr>
          <w:p w14:paraId="68512A21"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11.4</w:t>
            </w:r>
          </w:p>
        </w:tc>
      </w:tr>
      <w:tr w:rsidR="00B86BF1" w:rsidRPr="00A743C9" w14:paraId="718AE991" w14:textId="77777777" w:rsidTr="000376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6" w:type="dxa"/>
            <w:tcBorders>
              <w:left w:val="single" w:sz="4" w:space="0" w:color="auto"/>
              <w:bottom w:val="nil"/>
              <w:right w:val="single" w:sz="4" w:space="0" w:color="auto"/>
            </w:tcBorders>
            <w:noWrap/>
            <w:hideMark/>
          </w:tcPr>
          <w:p w14:paraId="435B17D2" w14:textId="77777777" w:rsidR="00B86BF1" w:rsidRPr="00A743C9" w:rsidRDefault="00B86BF1" w:rsidP="000376C7">
            <w:pPr>
              <w:rPr>
                <w:rFonts w:eastAsia="Times New Roman" w:cs="Calibri"/>
                <w:color w:val="auto"/>
                <w:sz w:val="16"/>
                <w:szCs w:val="16"/>
              </w:rPr>
            </w:pPr>
            <w:r w:rsidRPr="00A743C9">
              <w:rPr>
                <w:rFonts w:eastAsia="Times New Roman" w:cs="Calibri"/>
                <w:color w:val="auto"/>
                <w:sz w:val="16"/>
                <w:szCs w:val="16"/>
              </w:rPr>
              <w:t>Dominican Republic</w:t>
            </w:r>
          </w:p>
        </w:tc>
        <w:tc>
          <w:tcPr>
            <w:tcW w:w="1119" w:type="dxa"/>
            <w:tcBorders>
              <w:left w:val="single" w:sz="4" w:space="0" w:color="auto"/>
              <w:bottom w:val="nil"/>
            </w:tcBorders>
            <w:noWrap/>
            <w:hideMark/>
          </w:tcPr>
          <w:p w14:paraId="18AD9D19"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14.5</w:t>
            </w:r>
          </w:p>
        </w:tc>
        <w:tc>
          <w:tcPr>
            <w:tcW w:w="1119" w:type="dxa"/>
            <w:tcBorders>
              <w:bottom w:val="nil"/>
            </w:tcBorders>
            <w:noWrap/>
            <w:hideMark/>
          </w:tcPr>
          <w:p w14:paraId="57707856"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19</w:t>
            </w:r>
          </w:p>
        </w:tc>
        <w:tc>
          <w:tcPr>
            <w:tcW w:w="1119" w:type="dxa"/>
            <w:tcBorders>
              <w:bottom w:val="nil"/>
              <w:right w:val="single" w:sz="4" w:space="0" w:color="auto"/>
            </w:tcBorders>
            <w:noWrap/>
            <w:hideMark/>
          </w:tcPr>
          <w:p w14:paraId="10C5542F"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10</w:t>
            </w:r>
          </w:p>
        </w:tc>
        <w:tc>
          <w:tcPr>
            <w:tcW w:w="1119" w:type="dxa"/>
            <w:tcBorders>
              <w:left w:val="single" w:sz="4" w:space="0" w:color="auto"/>
              <w:bottom w:val="nil"/>
            </w:tcBorders>
            <w:noWrap/>
            <w:hideMark/>
          </w:tcPr>
          <w:p w14:paraId="7D3B59D9"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11.3</w:t>
            </w:r>
          </w:p>
        </w:tc>
        <w:tc>
          <w:tcPr>
            <w:tcW w:w="1118" w:type="dxa"/>
            <w:tcBorders>
              <w:bottom w:val="nil"/>
            </w:tcBorders>
            <w:noWrap/>
            <w:hideMark/>
          </w:tcPr>
          <w:p w14:paraId="68F2E4AC"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14.7</w:t>
            </w:r>
          </w:p>
        </w:tc>
        <w:tc>
          <w:tcPr>
            <w:tcW w:w="1118" w:type="dxa"/>
            <w:tcBorders>
              <w:bottom w:val="nil"/>
              <w:right w:val="single" w:sz="4" w:space="0" w:color="auto"/>
            </w:tcBorders>
            <w:noWrap/>
            <w:hideMark/>
          </w:tcPr>
          <w:p w14:paraId="493B8AA7"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8</w:t>
            </w:r>
          </w:p>
        </w:tc>
        <w:tc>
          <w:tcPr>
            <w:tcW w:w="1118" w:type="dxa"/>
            <w:tcBorders>
              <w:left w:val="single" w:sz="4" w:space="0" w:color="auto"/>
              <w:bottom w:val="nil"/>
            </w:tcBorders>
            <w:noWrap/>
            <w:hideMark/>
          </w:tcPr>
          <w:p w14:paraId="0C42FF4A"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10.4</w:t>
            </w:r>
          </w:p>
        </w:tc>
        <w:tc>
          <w:tcPr>
            <w:tcW w:w="1118" w:type="dxa"/>
            <w:tcBorders>
              <w:bottom w:val="nil"/>
            </w:tcBorders>
            <w:noWrap/>
            <w:hideMark/>
          </w:tcPr>
          <w:p w14:paraId="01486C77"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13.6</w:t>
            </w:r>
          </w:p>
        </w:tc>
        <w:tc>
          <w:tcPr>
            <w:tcW w:w="1118" w:type="dxa"/>
            <w:tcBorders>
              <w:bottom w:val="nil"/>
              <w:right w:val="single" w:sz="4" w:space="0" w:color="auto"/>
            </w:tcBorders>
            <w:noWrap/>
            <w:hideMark/>
          </w:tcPr>
          <w:p w14:paraId="5275B5A5"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7.2</w:t>
            </w:r>
          </w:p>
        </w:tc>
        <w:tc>
          <w:tcPr>
            <w:tcW w:w="1118" w:type="dxa"/>
            <w:tcBorders>
              <w:left w:val="single" w:sz="4" w:space="0" w:color="auto"/>
              <w:bottom w:val="nil"/>
            </w:tcBorders>
            <w:noWrap/>
            <w:hideMark/>
          </w:tcPr>
          <w:p w14:paraId="08C65F6D"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8.9</w:t>
            </w:r>
          </w:p>
        </w:tc>
        <w:tc>
          <w:tcPr>
            <w:tcW w:w="1118" w:type="dxa"/>
            <w:tcBorders>
              <w:bottom w:val="nil"/>
            </w:tcBorders>
            <w:noWrap/>
            <w:hideMark/>
          </w:tcPr>
          <w:p w14:paraId="3D47876E"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11.6</w:t>
            </w:r>
          </w:p>
        </w:tc>
        <w:tc>
          <w:tcPr>
            <w:tcW w:w="1118" w:type="dxa"/>
            <w:tcBorders>
              <w:bottom w:val="nil"/>
              <w:right w:val="single" w:sz="4" w:space="0" w:color="auto"/>
            </w:tcBorders>
            <w:noWrap/>
            <w:hideMark/>
          </w:tcPr>
          <w:p w14:paraId="7C234E97"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6.2</w:t>
            </w:r>
          </w:p>
        </w:tc>
      </w:tr>
      <w:tr w:rsidR="00B86BF1" w:rsidRPr="00A743C9" w14:paraId="7C0C981D" w14:textId="77777777" w:rsidTr="000376C7">
        <w:trPr>
          <w:trHeight w:val="300"/>
        </w:trPr>
        <w:tc>
          <w:tcPr>
            <w:cnfStyle w:val="001000000000" w:firstRow="0" w:lastRow="0" w:firstColumn="1" w:lastColumn="0" w:oddVBand="0" w:evenVBand="0" w:oddHBand="0" w:evenHBand="0" w:firstRowFirstColumn="0" w:firstRowLastColumn="0" w:lastRowFirstColumn="0" w:lastRowLastColumn="0"/>
            <w:tcW w:w="1606" w:type="dxa"/>
            <w:tcBorders>
              <w:left w:val="single" w:sz="4" w:space="0" w:color="auto"/>
              <w:bottom w:val="nil"/>
              <w:right w:val="single" w:sz="4" w:space="0" w:color="auto"/>
            </w:tcBorders>
            <w:noWrap/>
            <w:hideMark/>
          </w:tcPr>
          <w:p w14:paraId="792F6379" w14:textId="77777777" w:rsidR="00B86BF1" w:rsidRPr="00A743C9" w:rsidRDefault="00B86BF1" w:rsidP="000376C7">
            <w:pPr>
              <w:rPr>
                <w:rFonts w:eastAsia="Times New Roman" w:cs="Calibri"/>
                <w:color w:val="auto"/>
                <w:sz w:val="16"/>
                <w:szCs w:val="16"/>
              </w:rPr>
            </w:pPr>
            <w:r w:rsidRPr="00A743C9">
              <w:rPr>
                <w:rFonts w:eastAsia="Times New Roman" w:cs="Calibri"/>
                <w:color w:val="auto"/>
                <w:sz w:val="16"/>
                <w:szCs w:val="16"/>
              </w:rPr>
              <w:t>Ecuador</w:t>
            </w:r>
          </w:p>
        </w:tc>
        <w:tc>
          <w:tcPr>
            <w:tcW w:w="1119" w:type="dxa"/>
            <w:tcBorders>
              <w:left w:val="single" w:sz="4" w:space="0" w:color="auto"/>
              <w:bottom w:val="nil"/>
            </w:tcBorders>
            <w:noWrap/>
            <w:hideMark/>
          </w:tcPr>
          <w:p w14:paraId="2A080647"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9</w:t>
            </w:r>
          </w:p>
        </w:tc>
        <w:tc>
          <w:tcPr>
            <w:tcW w:w="1119" w:type="dxa"/>
            <w:tcBorders>
              <w:bottom w:val="nil"/>
            </w:tcBorders>
            <w:noWrap/>
            <w:hideMark/>
          </w:tcPr>
          <w:p w14:paraId="10E5AC3C"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14.7</w:t>
            </w:r>
          </w:p>
        </w:tc>
        <w:tc>
          <w:tcPr>
            <w:tcW w:w="1119" w:type="dxa"/>
            <w:tcBorders>
              <w:bottom w:val="nil"/>
              <w:right w:val="single" w:sz="4" w:space="0" w:color="auto"/>
            </w:tcBorders>
            <w:noWrap/>
            <w:hideMark/>
          </w:tcPr>
          <w:p w14:paraId="560D367D"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3.5</w:t>
            </w:r>
          </w:p>
        </w:tc>
        <w:tc>
          <w:tcPr>
            <w:tcW w:w="1119" w:type="dxa"/>
            <w:tcBorders>
              <w:left w:val="single" w:sz="4" w:space="0" w:color="auto"/>
              <w:bottom w:val="nil"/>
            </w:tcBorders>
            <w:noWrap/>
            <w:hideMark/>
          </w:tcPr>
          <w:p w14:paraId="53F03832"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4.5</w:t>
            </w:r>
          </w:p>
        </w:tc>
        <w:tc>
          <w:tcPr>
            <w:tcW w:w="1118" w:type="dxa"/>
            <w:tcBorders>
              <w:bottom w:val="nil"/>
            </w:tcBorders>
            <w:noWrap/>
            <w:hideMark/>
          </w:tcPr>
          <w:p w14:paraId="41A8A763"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7.1</w:t>
            </w:r>
          </w:p>
        </w:tc>
        <w:tc>
          <w:tcPr>
            <w:tcW w:w="1118" w:type="dxa"/>
            <w:tcBorders>
              <w:bottom w:val="nil"/>
              <w:right w:val="single" w:sz="4" w:space="0" w:color="auto"/>
            </w:tcBorders>
            <w:noWrap/>
            <w:hideMark/>
          </w:tcPr>
          <w:p w14:paraId="7E2A56E7"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1.9</w:t>
            </w:r>
          </w:p>
        </w:tc>
        <w:tc>
          <w:tcPr>
            <w:tcW w:w="1118" w:type="dxa"/>
            <w:tcBorders>
              <w:left w:val="single" w:sz="4" w:space="0" w:color="auto"/>
              <w:bottom w:val="nil"/>
            </w:tcBorders>
            <w:noWrap/>
            <w:hideMark/>
          </w:tcPr>
          <w:p w14:paraId="3954E93C"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7.3</w:t>
            </w:r>
          </w:p>
        </w:tc>
        <w:tc>
          <w:tcPr>
            <w:tcW w:w="1118" w:type="dxa"/>
            <w:tcBorders>
              <w:bottom w:val="nil"/>
            </w:tcBorders>
            <w:noWrap/>
            <w:hideMark/>
          </w:tcPr>
          <w:p w14:paraId="09846C74"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11.9</w:t>
            </w:r>
          </w:p>
        </w:tc>
        <w:tc>
          <w:tcPr>
            <w:tcW w:w="1118" w:type="dxa"/>
            <w:tcBorders>
              <w:bottom w:val="nil"/>
              <w:right w:val="single" w:sz="4" w:space="0" w:color="auto"/>
            </w:tcBorders>
            <w:noWrap/>
            <w:hideMark/>
          </w:tcPr>
          <w:p w14:paraId="384166D2"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2.8</w:t>
            </w:r>
          </w:p>
        </w:tc>
        <w:tc>
          <w:tcPr>
            <w:tcW w:w="1118" w:type="dxa"/>
            <w:tcBorders>
              <w:left w:val="single" w:sz="4" w:space="0" w:color="auto"/>
              <w:bottom w:val="nil"/>
            </w:tcBorders>
            <w:noWrap/>
            <w:hideMark/>
          </w:tcPr>
          <w:p w14:paraId="40126779"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3.9</w:t>
            </w:r>
          </w:p>
        </w:tc>
        <w:tc>
          <w:tcPr>
            <w:tcW w:w="1118" w:type="dxa"/>
            <w:tcBorders>
              <w:bottom w:val="nil"/>
            </w:tcBorders>
            <w:noWrap/>
            <w:hideMark/>
          </w:tcPr>
          <w:p w14:paraId="1D1856FD"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6.4</w:t>
            </w:r>
          </w:p>
        </w:tc>
        <w:tc>
          <w:tcPr>
            <w:tcW w:w="1118" w:type="dxa"/>
            <w:tcBorders>
              <w:bottom w:val="nil"/>
              <w:right w:val="single" w:sz="4" w:space="0" w:color="auto"/>
            </w:tcBorders>
            <w:noWrap/>
            <w:hideMark/>
          </w:tcPr>
          <w:p w14:paraId="49CDED12"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1.4</w:t>
            </w:r>
          </w:p>
        </w:tc>
      </w:tr>
      <w:tr w:rsidR="00B86BF1" w:rsidRPr="00A743C9" w14:paraId="4B564A83" w14:textId="77777777" w:rsidTr="000376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6" w:type="dxa"/>
            <w:tcBorders>
              <w:left w:val="single" w:sz="4" w:space="0" w:color="auto"/>
              <w:bottom w:val="nil"/>
              <w:right w:val="single" w:sz="4" w:space="0" w:color="auto"/>
            </w:tcBorders>
            <w:noWrap/>
            <w:hideMark/>
          </w:tcPr>
          <w:p w14:paraId="0A3482CE" w14:textId="77777777" w:rsidR="00B86BF1" w:rsidRPr="00A743C9" w:rsidRDefault="00B86BF1" w:rsidP="000376C7">
            <w:pPr>
              <w:rPr>
                <w:rFonts w:eastAsia="Times New Roman" w:cs="Calibri"/>
                <w:color w:val="auto"/>
                <w:sz w:val="16"/>
                <w:szCs w:val="16"/>
              </w:rPr>
            </w:pPr>
            <w:r w:rsidRPr="00A743C9">
              <w:rPr>
                <w:rFonts w:eastAsia="Times New Roman" w:cs="Calibri"/>
                <w:color w:val="auto"/>
                <w:sz w:val="16"/>
                <w:szCs w:val="16"/>
              </w:rPr>
              <w:t>Egypt</w:t>
            </w:r>
          </w:p>
        </w:tc>
        <w:tc>
          <w:tcPr>
            <w:tcW w:w="1119" w:type="dxa"/>
            <w:tcBorders>
              <w:left w:val="single" w:sz="4" w:space="0" w:color="auto"/>
              <w:bottom w:val="nil"/>
            </w:tcBorders>
            <w:noWrap/>
            <w:hideMark/>
          </w:tcPr>
          <w:p w14:paraId="1B8ACC77"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23.8</w:t>
            </w:r>
          </w:p>
        </w:tc>
        <w:tc>
          <w:tcPr>
            <w:tcW w:w="1119" w:type="dxa"/>
            <w:tcBorders>
              <w:bottom w:val="nil"/>
            </w:tcBorders>
            <w:noWrap/>
            <w:hideMark/>
          </w:tcPr>
          <w:p w14:paraId="36D2AA7A"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47.5</w:t>
            </w:r>
          </w:p>
        </w:tc>
        <w:tc>
          <w:tcPr>
            <w:tcW w:w="1119" w:type="dxa"/>
            <w:tcBorders>
              <w:bottom w:val="nil"/>
              <w:right w:val="single" w:sz="4" w:space="0" w:color="auto"/>
            </w:tcBorders>
            <w:noWrap/>
            <w:hideMark/>
          </w:tcPr>
          <w:p w14:paraId="4AE2DB78"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0.4</w:t>
            </w:r>
          </w:p>
        </w:tc>
        <w:tc>
          <w:tcPr>
            <w:tcW w:w="1119" w:type="dxa"/>
            <w:tcBorders>
              <w:left w:val="single" w:sz="4" w:space="0" w:color="auto"/>
              <w:bottom w:val="nil"/>
            </w:tcBorders>
            <w:noWrap/>
            <w:hideMark/>
          </w:tcPr>
          <w:p w14:paraId="7C0A5991"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20.3</w:t>
            </w:r>
          </w:p>
        </w:tc>
        <w:tc>
          <w:tcPr>
            <w:tcW w:w="1118" w:type="dxa"/>
            <w:tcBorders>
              <w:bottom w:val="nil"/>
            </w:tcBorders>
            <w:noWrap/>
            <w:hideMark/>
          </w:tcPr>
          <w:p w14:paraId="341AFAC0"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40.5</w:t>
            </w:r>
          </w:p>
        </w:tc>
        <w:tc>
          <w:tcPr>
            <w:tcW w:w="1118" w:type="dxa"/>
            <w:tcBorders>
              <w:bottom w:val="nil"/>
              <w:right w:val="single" w:sz="4" w:space="0" w:color="auto"/>
            </w:tcBorders>
            <w:noWrap/>
            <w:hideMark/>
          </w:tcPr>
          <w:p w14:paraId="0A1260F5"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0.3</w:t>
            </w:r>
          </w:p>
        </w:tc>
        <w:tc>
          <w:tcPr>
            <w:tcW w:w="1118" w:type="dxa"/>
            <w:tcBorders>
              <w:left w:val="single" w:sz="4" w:space="0" w:color="auto"/>
              <w:bottom w:val="nil"/>
            </w:tcBorders>
            <w:noWrap/>
            <w:hideMark/>
          </w:tcPr>
          <w:p w14:paraId="7E1E5C3C"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17.9</w:t>
            </w:r>
          </w:p>
        </w:tc>
        <w:tc>
          <w:tcPr>
            <w:tcW w:w="1118" w:type="dxa"/>
            <w:tcBorders>
              <w:bottom w:val="nil"/>
            </w:tcBorders>
            <w:noWrap/>
            <w:hideMark/>
          </w:tcPr>
          <w:p w14:paraId="6DC563B4"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35.7</w:t>
            </w:r>
          </w:p>
        </w:tc>
        <w:tc>
          <w:tcPr>
            <w:tcW w:w="1118" w:type="dxa"/>
            <w:tcBorders>
              <w:bottom w:val="nil"/>
              <w:right w:val="single" w:sz="4" w:space="0" w:color="auto"/>
            </w:tcBorders>
            <w:noWrap/>
            <w:hideMark/>
          </w:tcPr>
          <w:p w14:paraId="488EDE9C"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0.2</w:t>
            </w:r>
          </w:p>
        </w:tc>
        <w:tc>
          <w:tcPr>
            <w:tcW w:w="1118" w:type="dxa"/>
            <w:tcBorders>
              <w:left w:val="single" w:sz="4" w:space="0" w:color="auto"/>
              <w:bottom w:val="nil"/>
            </w:tcBorders>
            <w:noWrap/>
            <w:hideMark/>
          </w:tcPr>
          <w:p w14:paraId="2BFEE801"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14.8</w:t>
            </w:r>
          </w:p>
        </w:tc>
        <w:tc>
          <w:tcPr>
            <w:tcW w:w="1118" w:type="dxa"/>
            <w:tcBorders>
              <w:bottom w:val="nil"/>
            </w:tcBorders>
            <w:noWrap/>
            <w:hideMark/>
          </w:tcPr>
          <w:p w14:paraId="6D174654"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29.7</w:t>
            </w:r>
          </w:p>
        </w:tc>
        <w:tc>
          <w:tcPr>
            <w:tcW w:w="1118" w:type="dxa"/>
            <w:tcBorders>
              <w:bottom w:val="nil"/>
              <w:right w:val="single" w:sz="4" w:space="0" w:color="auto"/>
            </w:tcBorders>
            <w:noWrap/>
            <w:hideMark/>
          </w:tcPr>
          <w:p w14:paraId="30F1E7CC"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0.1</w:t>
            </w:r>
          </w:p>
        </w:tc>
      </w:tr>
      <w:tr w:rsidR="00B86BF1" w:rsidRPr="00A743C9" w14:paraId="55BB23EC" w14:textId="77777777" w:rsidTr="000376C7">
        <w:trPr>
          <w:trHeight w:val="300"/>
        </w:trPr>
        <w:tc>
          <w:tcPr>
            <w:cnfStyle w:val="001000000000" w:firstRow="0" w:lastRow="0" w:firstColumn="1" w:lastColumn="0" w:oddVBand="0" w:evenVBand="0" w:oddHBand="0" w:evenHBand="0" w:firstRowFirstColumn="0" w:firstRowLastColumn="0" w:lastRowFirstColumn="0" w:lastRowLastColumn="0"/>
            <w:tcW w:w="1606" w:type="dxa"/>
            <w:tcBorders>
              <w:left w:val="single" w:sz="4" w:space="0" w:color="auto"/>
              <w:bottom w:val="nil"/>
              <w:right w:val="single" w:sz="4" w:space="0" w:color="auto"/>
            </w:tcBorders>
            <w:noWrap/>
            <w:hideMark/>
          </w:tcPr>
          <w:p w14:paraId="48754F6B" w14:textId="77777777" w:rsidR="00B86BF1" w:rsidRPr="00A743C9" w:rsidRDefault="00B86BF1" w:rsidP="000376C7">
            <w:pPr>
              <w:rPr>
                <w:rFonts w:eastAsia="Times New Roman" w:cs="Calibri"/>
                <w:color w:val="auto"/>
                <w:sz w:val="16"/>
                <w:szCs w:val="16"/>
              </w:rPr>
            </w:pPr>
            <w:r w:rsidRPr="00A743C9">
              <w:rPr>
                <w:rFonts w:eastAsia="Times New Roman" w:cs="Calibri"/>
                <w:color w:val="auto"/>
                <w:sz w:val="16"/>
                <w:szCs w:val="16"/>
              </w:rPr>
              <w:t>Estonia</w:t>
            </w:r>
          </w:p>
        </w:tc>
        <w:tc>
          <w:tcPr>
            <w:tcW w:w="1119" w:type="dxa"/>
            <w:tcBorders>
              <w:left w:val="single" w:sz="4" w:space="0" w:color="auto"/>
              <w:bottom w:val="nil"/>
            </w:tcBorders>
            <w:noWrap/>
            <w:hideMark/>
          </w:tcPr>
          <w:p w14:paraId="57748ED1"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33.2</w:t>
            </w:r>
          </w:p>
        </w:tc>
        <w:tc>
          <w:tcPr>
            <w:tcW w:w="1119" w:type="dxa"/>
            <w:tcBorders>
              <w:bottom w:val="nil"/>
            </w:tcBorders>
            <w:noWrap/>
            <w:hideMark/>
          </w:tcPr>
          <w:p w14:paraId="2D97C4B0"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42.8</w:t>
            </w:r>
          </w:p>
        </w:tc>
        <w:tc>
          <w:tcPr>
            <w:tcW w:w="1119" w:type="dxa"/>
            <w:tcBorders>
              <w:bottom w:val="nil"/>
              <w:right w:val="single" w:sz="4" w:space="0" w:color="auto"/>
            </w:tcBorders>
            <w:noWrap/>
            <w:hideMark/>
          </w:tcPr>
          <w:p w14:paraId="326168D5"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25.3</w:t>
            </w:r>
          </w:p>
        </w:tc>
        <w:tc>
          <w:tcPr>
            <w:tcW w:w="1119" w:type="dxa"/>
            <w:tcBorders>
              <w:left w:val="single" w:sz="4" w:space="0" w:color="auto"/>
              <w:bottom w:val="nil"/>
            </w:tcBorders>
            <w:noWrap/>
            <w:hideMark/>
          </w:tcPr>
          <w:p w14:paraId="5DFF8580"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26.1</w:t>
            </w:r>
          </w:p>
        </w:tc>
        <w:tc>
          <w:tcPr>
            <w:tcW w:w="1118" w:type="dxa"/>
            <w:tcBorders>
              <w:bottom w:val="nil"/>
            </w:tcBorders>
            <w:noWrap/>
            <w:hideMark/>
          </w:tcPr>
          <w:p w14:paraId="2EB15C56"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35.7</w:t>
            </w:r>
          </w:p>
        </w:tc>
        <w:tc>
          <w:tcPr>
            <w:tcW w:w="1118" w:type="dxa"/>
            <w:tcBorders>
              <w:bottom w:val="nil"/>
              <w:right w:val="single" w:sz="4" w:space="0" w:color="auto"/>
            </w:tcBorders>
            <w:noWrap/>
            <w:hideMark/>
          </w:tcPr>
          <w:p w14:paraId="65302B1A"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18.1</w:t>
            </w:r>
          </w:p>
        </w:tc>
        <w:tc>
          <w:tcPr>
            <w:tcW w:w="1118" w:type="dxa"/>
            <w:tcBorders>
              <w:left w:val="single" w:sz="4" w:space="0" w:color="auto"/>
              <w:bottom w:val="nil"/>
            </w:tcBorders>
            <w:noWrap/>
            <w:hideMark/>
          </w:tcPr>
          <w:p w14:paraId="03F278D0"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27.2</w:t>
            </w:r>
          </w:p>
        </w:tc>
        <w:tc>
          <w:tcPr>
            <w:tcW w:w="1118" w:type="dxa"/>
            <w:tcBorders>
              <w:bottom w:val="nil"/>
            </w:tcBorders>
            <w:noWrap/>
            <w:hideMark/>
          </w:tcPr>
          <w:p w14:paraId="08117A6A"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35.3</w:t>
            </w:r>
          </w:p>
        </w:tc>
        <w:tc>
          <w:tcPr>
            <w:tcW w:w="1118" w:type="dxa"/>
            <w:tcBorders>
              <w:bottom w:val="nil"/>
              <w:right w:val="single" w:sz="4" w:space="0" w:color="auto"/>
            </w:tcBorders>
            <w:noWrap/>
            <w:hideMark/>
          </w:tcPr>
          <w:p w14:paraId="2191E67D"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20.5</w:t>
            </w:r>
          </w:p>
        </w:tc>
        <w:tc>
          <w:tcPr>
            <w:tcW w:w="1118" w:type="dxa"/>
            <w:tcBorders>
              <w:left w:val="single" w:sz="4" w:space="0" w:color="auto"/>
              <w:bottom w:val="nil"/>
            </w:tcBorders>
            <w:noWrap/>
            <w:hideMark/>
          </w:tcPr>
          <w:p w14:paraId="754402CD"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23.6</w:t>
            </w:r>
          </w:p>
        </w:tc>
        <w:tc>
          <w:tcPr>
            <w:tcW w:w="1118" w:type="dxa"/>
            <w:tcBorders>
              <w:bottom w:val="nil"/>
            </w:tcBorders>
            <w:noWrap/>
            <w:hideMark/>
          </w:tcPr>
          <w:p w14:paraId="4D2C77EB"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32.2</w:t>
            </w:r>
          </w:p>
        </w:tc>
        <w:tc>
          <w:tcPr>
            <w:tcW w:w="1118" w:type="dxa"/>
            <w:tcBorders>
              <w:bottom w:val="nil"/>
              <w:right w:val="single" w:sz="4" w:space="0" w:color="auto"/>
            </w:tcBorders>
            <w:noWrap/>
            <w:hideMark/>
          </w:tcPr>
          <w:p w14:paraId="3E015F8B"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16.5</w:t>
            </w:r>
          </w:p>
        </w:tc>
      </w:tr>
      <w:tr w:rsidR="00B86BF1" w:rsidRPr="00A743C9" w14:paraId="7D80C590" w14:textId="77777777" w:rsidTr="000376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6" w:type="dxa"/>
            <w:tcBorders>
              <w:left w:val="single" w:sz="4" w:space="0" w:color="auto"/>
              <w:bottom w:val="nil"/>
              <w:right w:val="single" w:sz="4" w:space="0" w:color="auto"/>
            </w:tcBorders>
            <w:noWrap/>
            <w:hideMark/>
          </w:tcPr>
          <w:p w14:paraId="075DF911" w14:textId="77777777" w:rsidR="00B86BF1" w:rsidRPr="00A743C9" w:rsidRDefault="00B86BF1" w:rsidP="000376C7">
            <w:pPr>
              <w:rPr>
                <w:rFonts w:eastAsia="Times New Roman" w:cs="Calibri"/>
                <w:color w:val="auto"/>
                <w:sz w:val="16"/>
                <w:szCs w:val="16"/>
              </w:rPr>
            </w:pPr>
            <w:r w:rsidRPr="00A743C9">
              <w:rPr>
                <w:rFonts w:eastAsia="Times New Roman" w:cs="Calibri"/>
                <w:color w:val="auto"/>
                <w:sz w:val="16"/>
                <w:szCs w:val="16"/>
              </w:rPr>
              <w:t>Ethiopia</w:t>
            </w:r>
          </w:p>
        </w:tc>
        <w:tc>
          <w:tcPr>
            <w:tcW w:w="1119" w:type="dxa"/>
            <w:tcBorders>
              <w:left w:val="single" w:sz="4" w:space="0" w:color="auto"/>
              <w:bottom w:val="nil"/>
            </w:tcBorders>
            <w:noWrap/>
            <w:hideMark/>
          </w:tcPr>
          <w:p w14:paraId="3B28BCF8"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4.7</w:t>
            </w:r>
          </w:p>
        </w:tc>
        <w:tc>
          <w:tcPr>
            <w:tcW w:w="1119" w:type="dxa"/>
            <w:tcBorders>
              <w:bottom w:val="nil"/>
            </w:tcBorders>
            <w:noWrap/>
            <w:hideMark/>
          </w:tcPr>
          <w:p w14:paraId="24E64DFD"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8.9</w:t>
            </w:r>
          </w:p>
        </w:tc>
        <w:tc>
          <w:tcPr>
            <w:tcW w:w="1119" w:type="dxa"/>
            <w:tcBorders>
              <w:bottom w:val="nil"/>
              <w:right w:val="single" w:sz="4" w:space="0" w:color="auto"/>
            </w:tcBorders>
            <w:noWrap/>
            <w:hideMark/>
          </w:tcPr>
          <w:p w14:paraId="324A98DC"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0.5</w:t>
            </w:r>
          </w:p>
        </w:tc>
        <w:tc>
          <w:tcPr>
            <w:tcW w:w="1119" w:type="dxa"/>
            <w:tcBorders>
              <w:left w:val="single" w:sz="4" w:space="0" w:color="auto"/>
              <w:bottom w:val="nil"/>
            </w:tcBorders>
            <w:noWrap/>
            <w:hideMark/>
          </w:tcPr>
          <w:p w14:paraId="72D7015E"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3.3</w:t>
            </w:r>
          </w:p>
        </w:tc>
        <w:tc>
          <w:tcPr>
            <w:tcW w:w="1118" w:type="dxa"/>
            <w:tcBorders>
              <w:bottom w:val="nil"/>
            </w:tcBorders>
            <w:noWrap/>
            <w:hideMark/>
          </w:tcPr>
          <w:p w14:paraId="3D5C5DFF"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6.3</w:t>
            </w:r>
          </w:p>
        </w:tc>
        <w:tc>
          <w:tcPr>
            <w:tcW w:w="1118" w:type="dxa"/>
            <w:tcBorders>
              <w:bottom w:val="nil"/>
              <w:right w:val="single" w:sz="4" w:space="0" w:color="auto"/>
            </w:tcBorders>
            <w:noWrap/>
            <w:hideMark/>
          </w:tcPr>
          <w:p w14:paraId="1B8EDA61"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0.3</w:t>
            </w:r>
          </w:p>
        </w:tc>
        <w:tc>
          <w:tcPr>
            <w:tcW w:w="1118" w:type="dxa"/>
            <w:tcBorders>
              <w:left w:val="single" w:sz="4" w:space="0" w:color="auto"/>
              <w:bottom w:val="nil"/>
            </w:tcBorders>
            <w:noWrap/>
            <w:hideMark/>
          </w:tcPr>
          <w:p w14:paraId="525C6D70"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3.8</w:t>
            </w:r>
          </w:p>
        </w:tc>
        <w:tc>
          <w:tcPr>
            <w:tcW w:w="1118" w:type="dxa"/>
            <w:tcBorders>
              <w:bottom w:val="nil"/>
            </w:tcBorders>
            <w:noWrap/>
            <w:hideMark/>
          </w:tcPr>
          <w:p w14:paraId="3EDF565A"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7.5</w:t>
            </w:r>
          </w:p>
        </w:tc>
        <w:tc>
          <w:tcPr>
            <w:tcW w:w="1118" w:type="dxa"/>
            <w:tcBorders>
              <w:bottom w:val="nil"/>
              <w:right w:val="single" w:sz="4" w:space="0" w:color="auto"/>
            </w:tcBorders>
            <w:noWrap/>
            <w:hideMark/>
          </w:tcPr>
          <w:p w14:paraId="19008D6B"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0.2</w:t>
            </w:r>
          </w:p>
        </w:tc>
        <w:tc>
          <w:tcPr>
            <w:tcW w:w="1118" w:type="dxa"/>
            <w:tcBorders>
              <w:left w:val="single" w:sz="4" w:space="0" w:color="auto"/>
              <w:bottom w:val="nil"/>
            </w:tcBorders>
            <w:noWrap/>
            <w:hideMark/>
          </w:tcPr>
          <w:p w14:paraId="453E09BA"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2.9</w:t>
            </w:r>
          </w:p>
        </w:tc>
        <w:tc>
          <w:tcPr>
            <w:tcW w:w="1118" w:type="dxa"/>
            <w:tcBorders>
              <w:bottom w:val="nil"/>
            </w:tcBorders>
            <w:noWrap/>
            <w:hideMark/>
          </w:tcPr>
          <w:p w14:paraId="780805D3"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5.7</w:t>
            </w:r>
          </w:p>
        </w:tc>
        <w:tc>
          <w:tcPr>
            <w:tcW w:w="1118" w:type="dxa"/>
            <w:tcBorders>
              <w:bottom w:val="nil"/>
              <w:right w:val="single" w:sz="4" w:space="0" w:color="auto"/>
            </w:tcBorders>
            <w:noWrap/>
            <w:hideMark/>
          </w:tcPr>
          <w:p w14:paraId="66D46703"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0.1</w:t>
            </w:r>
          </w:p>
        </w:tc>
      </w:tr>
      <w:tr w:rsidR="00B86BF1" w:rsidRPr="00A743C9" w14:paraId="3C3B2A32" w14:textId="77777777" w:rsidTr="000376C7">
        <w:trPr>
          <w:trHeight w:val="300"/>
        </w:trPr>
        <w:tc>
          <w:tcPr>
            <w:cnfStyle w:val="001000000000" w:firstRow="0" w:lastRow="0" w:firstColumn="1" w:lastColumn="0" w:oddVBand="0" w:evenVBand="0" w:oddHBand="0" w:evenHBand="0" w:firstRowFirstColumn="0" w:firstRowLastColumn="0" w:lastRowFirstColumn="0" w:lastRowLastColumn="0"/>
            <w:tcW w:w="1606" w:type="dxa"/>
            <w:tcBorders>
              <w:left w:val="single" w:sz="4" w:space="0" w:color="auto"/>
              <w:bottom w:val="nil"/>
              <w:right w:val="single" w:sz="4" w:space="0" w:color="auto"/>
            </w:tcBorders>
            <w:noWrap/>
            <w:hideMark/>
          </w:tcPr>
          <w:p w14:paraId="50281F98" w14:textId="77777777" w:rsidR="00B86BF1" w:rsidRPr="00A743C9" w:rsidRDefault="00B86BF1" w:rsidP="000376C7">
            <w:pPr>
              <w:rPr>
                <w:rFonts w:eastAsia="Times New Roman" w:cs="Calibri"/>
                <w:color w:val="auto"/>
                <w:sz w:val="16"/>
                <w:szCs w:val="16"/>
              </w:rPr>
            </w:pPr>
            <w:r w:rsidRPr="00A743C9">
              <w:rPr>
                <w:rFonts w:eastAsia="Times New Roman" w:cs="Calibri"/>
                <w:color w:val="auto"/>
                <w:sz w:val="16"/>
                <w:szCs w:val="16"/>
              </w:rPr>
              <w:t>Fiji</w:t>
            </w:r>
          </w:p>
        </w:tc>
        <w:tc>
          <w:tcPr>
            <w:tcW w:w="1119" w:type="dxa"/>
            <w:tcBorders>
              <w:left w:val="single" w:sz="4" w:space="0" w:color="auto"/>
              <w:bottom w:val="nil"/>
            </w:tcBorders>
            <w:noWrap/>
            <w:hideMark/>
          </w:tcPr>
          <w:p w14:paraId="2E50F4D8"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26.5</w:t>
            </w:r>
          </w:p>
        </w:tc>
        <w:tc>
          <w:tcPr>
            <w:tcW w:w="1119" w:type="dxa"/>
            <w:tcBorders>
              <w:bottom w:val="nil"/>
            </w:tcBorders>
            <w:noWrap/>
            <w:hideMark/>
          </w:tcPr>
          <w:p w14:paraId="72CDC826"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40</w:t>
            </w:r>
          </w:p>
        </w:tc>
        <w:tc>
          <w:tcPr>
            <w:tcW w:w="1119" w:type="dxa"/>
            <w:tcBorders>
              <w:bottom w:val="nil"/>
              <w:right w:val="single" w:sz="4" w:space="0" w:color="auto"/>
            </w:tcBorders>
            <w:noWrap/>
            <w:hideMark/>
          </w:tcPr>
          <w:p w14:paraId="5B845729"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12.7</w:t>
            </w:r>
          </w:p>
        </w:tc>
        <w:tc>
          <w:tcPr>
            <w:tcW w:w="1119" w:type="dxa"/>
            <w:tcBorders>
              <w:left w:val="single" w:sz="4" w:space="0" w:color="auto"/>
              <w:bottom w:val="nil"/>
            </w:tcBorders>
            <w:noWrap/>
            <w:hideMark/>
          </w:tcPr>
          <w:p w14:paraId="7F109562"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18.1</w:t>
            </w:r>
          </w:p>
        </w:tc>
        <w:tc>
          <w:tcPr>
            <w:tcW w:w="1118" w:type="dxa"/>
            <w:tcBorders>
              <w:bottom w:val="nil"/>
            </w:tcBorders>
            <w:noWrap/>
            <w:hideMark/>
          </w:tcPr>
          <w:p w14:paraId="3A3FDA78"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28</w:t>
            </w:r>
          </w:p>
        </w:tc>
        <w:tc>
          <w:tcPr>
            <w:tcW w:w="1118" w:type="dxa"/>
            <w:tcBorders>
              <w:bottom w:val="nil"/>
              <w:right w:val="single" w:sz="4" w:space="0" w:color="auto"/>
            </w:tcBorders>
            <w:noWrap/>
            <w:hideMark/>
          </w:tcPr>
          <w:p w14:paraId="3EAD0FD3"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8</w:t>
            </w:r>
          </w:p>
        </w:tc>
        <w:tc>
          <w:tcPr>
            <w:tcW w:w="1118" w:type="dxa"/>
            <w:tcBorders>
              <w:left w:val="single" w:sz="4" w:space="0" w:color="auto"/>
              <w:bottom w:val="nil"/>
            </w:tcBorders>
            <w:noWrap/>
            <w:hideMark/>
          </w:tcPr>
          <w:p w14:paraId="1044F084"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20.9</w:t>
            </w:r>
          </w:p>
        </w:tc>
        <w:tc>
          <w:tcPr>
            <w:tcW w:w="1118" w:type="dxa"/>
            <w:tcBorders>
              <w:bottom w:val="nil"/>
            </w:tcBorders>
            <w:noWrap/>
            <w:hideMark/>
          </w:tcPr>
          <w:p w14:paraId="3FCBA9C8"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31.8</w:t>
            </w:r>
          </w:p>
        </w:tc>
        <w:tc>
          <w:tcPr>
            <w:tcW w:w="1118" w:type="dxa"/>
            <w:tcBorders>
              <w:bottom w:val="nil"/>
              <w:right w:val="single" w:sz="4" w:space="0" w:color="auto"/>
            </w:tcBorders>
            <w:noWrap/>
            <w:hideMark/>
          </w:tcPr>
          <w:p w14:paraId="033D2F7B"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9.8</w:t>
            </w:r>
          </w:p>
        </w:tc>
        <w:tc>
          <w:tcPr>
            <w:tcW w:w="1118" w:type="dxa"/>
            <w:tcBorders>
              <w:left w:val="single" w:sz="4" w:space="0" w:color="auto"/>
              <w:bottom w:val="nil"/>
            </w:tcBorders>
            <w:noWrap/>
            <w:hideMark/>
          </w:tcPr>
          <w:p w14:paraId="5D5342A5"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15.1</w:t>
            </w:r>
          </w:p>
        </w:tc>
        <w:tc>
          <w:tcPr>
            <w:tcW w:w="1118" w:type="dxa"/>
            <w:tcBorders>
              <w:bottom w:val="nil"/>
            </w:tcBorders>
            <w:noWrap/>
            <w:hideMark/>
          </w:tcPr>
          <w:p w14:paraId="5E30A04A"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23.2</w:t>
            </w:r>
          </w:p>
        </w:tc>
        <w:tc>
          <w:tcPr>
            <w:tcW w:w="1118" w:type="dxa"/>
            <w:tcBorders>
              <w:bottom w:val="nil"/>
              <w:right w:val="single" w:sz="4" w:space="0" w:color="auto"/>
            </w:tcBorders>
            <w:noWrap/>
            <w:hideMark/>
          </w:tcPr>
          <w:p w14:paraId="0A821A64"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6.8</w:t>
            </w:r>
          </w:p>
        </w:tc>
      </w:tr>
      <w:tr w:rsidR="00B86BF1" w:rsidRPr="00A743C9" w14:paraId="070C36BB" w14:textId="77777777" w:rsidTr="000376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6" w:type="dxa"/>
            <w:tcBorders>
              <w:left w:val="single" w:sz="4" w:space="0" w:color="auto"/>
              <w:bottom w:val="nil"/>
              <w:right w:val="single" w:sz="4" w:space="0" w:color="auto"/>
            </w:tcBorders>
            <w:noWrap/>
            <w:hideMark/>
          </w:tcPr>
          <w:p w14:paraId="44CE9F06" w14:textId="77777777" w:rsidR="00B86BF1" w:rsidRPr="00A743C9" w:rsidRDefault="00B86BF1" w:rsidP="000376C7">
            <w:pPr>
              <w:rPr>
                <w:rFonts w:eastAsia="Times New Roman" w:cs="Calibri"/>
                <w:color w:val="auto"/>
                <w:sz w:val="16"/>
                <w:szCs w:val="16"/>
              </w:rPr>
            </w:pPr>
            <w:r w:rsidRPr="00A743C9">
              <w:rPr>
                <w:rFonts w:eastAsia="Times New Roman" w:cs="Calibri"/>
                <w:color w:val="auto"/>
                <w:sz w:val="16"/>
                <w:szCs w:val="16"/>
              </w:rPr>
              <w:t>Finland</w:t>
            </w:r>
          </w:p>
        </w:tc>
        <w:tc>
          <w:tcPr>
            <w:tcW w:w="1119" w:type="dxa"/>
            <w:tcBorders>
              <w:left w:val="single" w:sz="4" w:space="0" w:color="auto"/>
              <w:bottom w:val="nil"/>
            </w:tcBorders>
            <w:noWrap/>
            <w:hideMark/>
          </w:tcPr>
          <w:p w14:paraId="45B7815F"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21.8</w:t>
            </w:r>
          </w:p>
        </w:tc>
        <w:tc>
          <w:tcPr>
            <w:tcW w:w="1119" w:type="dxa"/>
            <w:tcBorders>
              <w:bottom w:val="nil"/>
            </w:tcBorders>
            <w:noWrap/>
            <w:hideMark/>
          </w:tcPr>
          <w:p w14:paraId="2BEAEB56"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24.6</w:t>
            </w:r>
          </w:p>
        </w:tc>
        <w:tc>
          <w:tcPr>
            <w:tcW w:w="1119" w:type="dxa"/>
            <w:tcBorders>
              <w:bottom w:val="nil"/>
              <w:right w:val="single" w:sz="4" w:space="0" w:color="auto"/>
            </w:tcBorders>
            <w:noWrap/>
            <w:hideMark/>
          </w:tcPr>
          <w:p w14:paraId="6E530334"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19.3</w:t>
            </w:r>
          </w:p>
        </w:tc>
        <w:tc>
          <w:tcPr>
            <w:tcW w:w="1119" w:type="dxa"/>
            <w:tcBorders>
              <w:left w:val="single" w:sz="4" w:space="0" w:color="auto"/>
              <w:bottom w:val="nil"/>
            </w:tcBorders>
            <w:noWrap/>
            <w:hideMark/>
          </w:tcPr>
          <w:p w14:paraId="01AECE3E"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16.8</w:t>
            </w:r>
          </w:p>
        </w:tc>
        <w:tc>
          <w:tcPr>
            <w:tcW w:w="1118" w:type="dxa"/>
            <w:tcBorders>
              <w:bottom w:val="nil"/>
            </w:tcBorders>
            <w:noWrap/>
            <w:hideMark/>
          </w:tcPr>
          <w:p w14:paraId="2A2AC6D0"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19.3</w:t>
            </w:r>
          </w:p>
        </w:tc>
        <w:tc>
          <w:tcPr>
            <w:tcW w:w="1118" w:type="dxa"/>
            <w:tcBorders>
              <w:bottom w:val="nil"/>
              <w:right w:val="single" w:sz="4" w:space="0" w:color="auto"/>
            </w:tcBorders>
            <w:noWrap/>
            <w:hideMark/>
          </w:tcPr>
          <w:p w14:paraId="4619EC6F"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14.5</w:t>
            </w:r>
          </w:p>
        </w:tc>
        <w:tc>
          <w:tcPr>
            <w:tcW w:w="1118" w:type="dxa"/>
            <w:tcBorders>
              <w:left w:val="single" w:sz="4" w:space="0" w:color="auto"/>
              <w:bottom w:val="nil"/>
            </w:tcBorders>
            <w:noWrap/>
            <w:hideMark/>
          </w:tcPr>
          <w:p w14:paraId="6B904B1E"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16.9</w:t>
            </w:r>
          </w:p>
        </w:tc>
        <w:tc>
          <w:tcPr>
            <w:tcW w:w="1118" w:type="dxa"/>
            <w:tcBorders>
              <w:bottom w:val="nil"/>
            </w:tcBorders>
            <w:noWrap/>
            <w:hideMark/>
          </w:tcPr>
          <w:p w14:paraId="199EB436"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18.8</w:t>
            </w:r>
          </w:p>
        </w:tc>
        <w:tc>
          <w:tcPr>
            <w:tcW w:w="1118" w:type="dxa"/>
            <w:tcBorders>
              <w:bottom w:val="nil"/>
              <w:right w:val="single" w:sz="4" w:space="0" w:color="auto"/>
            </w:tcBorders>
            <w:noWrap/>
            <w:hideMark/>
          </w:tcPr>
          <w:p w14:paraId="78744E43"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15.1</w:t>
            </w:r>
          </w:p>
        </w:tc>
        <w:tc>
          <w:tcPr>
            <w:tcW w:w="1118" w:type="dxa"/>
            <w:tcBorders>
              <w:left w:val="single" w:sz="4" w:space="0" w:color="auto"/>
              <w:bottom w:val="nil"/>
            </w:tcBorders>
            <w:noWrap/>
            <w:hideMark/>
          </w:tcPr>
          <w:p w14:paraId="20EB4798"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13.6</w:t>
            </w:r>
          </w:p>
        </w:tc>
        <w:tc>
          <w:tcPr>
            <w:tcW w:w="1118" w:type="dxa"/>
            <w:tcBorders>
              <w:bottom w:val="nil"/>
            </w:tcBorders>
            <w:noWrap/>
            <w:hideMark/>
          </w:tcPr>
          <w:p w14:paraId="7D265161"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14.8</w:t>
            </w:r>
          </w:p>
        </w:tc>
        <w:tc>
          <w:tcPr>
            <w:tcW w:w="1118" w:type="dxa"/>
            <w:tcBorders>
              <w:bottom w:val="nil"/>
              <w:right w:val="single" w:sz="4" w:space="0" w:color="auto"/>
            </w:tcBorders>
            <w:noWrap/>
            <w:hideMark/>
          </w:tcPr>
          <w:p w14:paraId="420CFB29"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12.4</w:t>
            </w:r>
          </w:p>
        </w:tc>
      </w:tr>
      <w:tr w:rsidR="00B86BF1" w:rsidRPr="00A743C9" w14:paraId="0E3FD36F" w14:textId="77777777" w:rsidTr="000376C7">
        <w:trPr>
          <w:trHeight w:val="300"/>
        </w:trPr>
        <w:tc>
          <w:tcPr>
            <w:cnfStyle w:val="001000000000" w:firstRow="0" w:lastRow="0" w:firstColumn="1" w:lastColumn="0" w:oddVBand="0" w:evenVBand="0" w:oddHBand="0" w:evenHBand="0" w:firstRowFirstColumn="0" w:firstRowLastColumn="0" w:lastRowFirstColumn="0" w:lastRowLastColumn="0"/>
            <w:tcW w:w="1606" w:type="dxa"/>
            <w:tcBorders>
              <w:left w:val="single" w:sz="4" w:space="0" w:color="auto"/>
              <w:bottom w:val="nil"/>
              <w:right w:val="single" w:sz="4" w:space="0" w:color="auto"/>
            </w:tcBorders>
            <w:noWrap/>
            <w:hideMark/>
          </w:tcPr>
          <w:p w14:paraId="7A9C4772" w14:textId="77777777" w:rsidR="00B86BF1" w:rsidRPr="00A743C9" w:rsidRDefault="00B86BF1" w:rsidP="000376C7">
            <w:pPr>
              <w:rPr>
                <w:rFonts w:eastAsia="Times New Roman" w:cs="Calibri"/>
                <w:color w:val="auto"/>
                <w:sz w:val="16"/>
                <w:szCs w:val="16"/>
              </w:rPr>
            </w:pPr>
            <w:r w:rsidRPr="00A743C9">
              <w:rPr>
                <w:rFonts w:eastAsia="Times New Roman" w:cs="Calibri"/>
                <w:color w:val="auto"/>
                <w:sz w:val="16"/>
                <w:szCs w:val="16"/>
              </w:rPr>
              <w:t>France</w:t>
            </w:r>
          </w:p>
        </w:tc>
        <w:tc>
          <w:tcPr>
            <w:tcW w:w="1119" w:type="dxa"/>
            <w:tcBorders>
              <w:left w:val="single" w:sz="4" w:space="0" w:color="auto"/>
              <w:bottom w:val="nil"/>
            </w:tcBorders>
            <w:noWrap/>
            <w:hideMark/>
          </w:tcPr>
          <w:p w14:paraId="586DE45D"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28.1</w:t>
            </w:r>
          </w:p>
        </w:tc>
        <w:tc>
          <w:tcPr>
            <w:tcW w:w="1119" w:type="dxa"/>
            <w:tcBorders>
              <w:bottom w:val="nil"/>
            </w:tcBorders>
            <w:noWrap/>
            <w:hideMark/>
          </w:tcPr>
          <w:p w14:paraId="0ADE98AF"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30.6</w:t>
            </w:r>
          </w:p>
        </w:tc>
        <w:tc>
          <w:tcPr>
            <w:tcW w:w="1119" w:type="dxa"/>
            <w:tcBorders>
              <w:bottom w:val="nil"/>
              <w:right w:val="single" w:sz="4" w:space="0" w:color="auto"/>
            </w:tcBorders>
            <w:noWrap/>
            <w:hideMark/>
          </w:tcPr>
          <w:p w14:paraId="18941D56"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25.8</w:t>
            </w:r>
          </w:p>
        </w:tc>
        <w:tc>
          <w:tcPr>
            <w:tcW w:w="1119" w:type="dxa"/>
            <w:tcBorders>
              <w:left w:val="single" w:sz="4" w:space="0" w:color="auto"/>
              <w:bottom w:val="nil"/>
            </w:tcBorders>
            <w:noWrap/>
            <w:hideMark/>
          </w:tcPr>
          <w:p w14:paraId="053622B8"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23.5</w:t>
            </w:r>
          </w:p>
        </w:tc>
        <w:tc>
          <w:tcPr>
            <w:tcW w:w="1118" w:type="dxa"/>
            <w:tcBorders>
              <w:bottom w:val="nil"/>
            </w:tcBorders>
            <w:noWrap/>
            <w:hideMark/>
          </w:tcPr>
          <w:p w14:paraId="08DEA259"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25.5</w:t>
            </w:r>
          </w:p>
        </w:tc>
        <w:tc>
          <w:tcPr>
            <w:tcW w:w="1118" w:type="dxa"/>
            <w:tcBorders>
              <w:bottom w:val="nil"/>
              <w:right w:val="single" w:sz="4" w:space="0" w:color="auto"/>
            </w:tcBorders>
            <w:noWrap/>
            <w:hideMark/>
          </w:tcPr>
          <w:p w14:paraId="6006D7F8"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21.5</w:t>
            </w:r>
          </w:p>
        </w:tc>
        <w:tc>
          <w:tcPr>
            <w:tcW w:w="1118" w:type="dxa"/>
            <w:tcBorders>
              <w:left w:val="single" w:sz="4" w:space="0" w:color="auto"/>
              <w:bottom w:val="nil"/>
            </w:tcBorders>
            <w:noWrap/>
            <w:hideMark/>
          </w:tcPr>
          <w:p w14:paraId="0198224F"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22.8</w:t>
            </w:r>
          </w:p>
        </w:tc>
        <w:tc>
          <w:tcPr>
            <w:tcW w:w="1118" w:type="dxa"/>
            <w:tcBorders>
              <w:bottom w:val="nil"/>
            </w:tcBorders>
            <w:noWrap/>
            <w:hideMark/>
          </w:tcPr>
          <w:p w14:paraId="4468E2AD"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24.9</w:t>
            </w:r>
          </w:p>
        </w:tc>
        <w:tc>
          <w:tcPr>
            <w:tcW w:w="1118" w:type="dxa"/>
            <w:tcBorders>
              <w:bottom w:val="nil"/>
              <w:right w:val="single" w:sz="4" w:space="0" w:color="auto"/>
            </w:tcBorders>
            <w:noWrap/>
            <w:hideMark/>
          </w:tcPr>
          <w:p w14:paraId="06CCE69C"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20.8</w:t>
            </w:r>
          </w:p>
        </w:tc>
        <w:tc>
          <w:tcPr>
            <w:tcW w:w="1118" w:type="dxa"/>
            <w:tcBorders>
              <w:left w:val="single" w:sz="4" w:space="0" w:color="auto"/>
              <w:bottom w:val="nil"/>
            </w:tcBorders>
            <w:noWrap/>
            <w:hideMark/>
          </w:tcPr>
          <w:p w14:paraId="7DB7B2DA"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20.1</w:t>
            </w:r>
          </w:p>
        </w:tc>
        <w:tc>
          <w:tcPr>
            <w:tcW w:w="1118" w:type="dxa"/>
            <w:tcBorders>
              <w:bottom w:val="nil"/>
            </w:tcBorders>
            <w:noWrap/>
            <w:hideMark/>
          </w:tcPr>
          <w:p w14:paraId="0B5560A4"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22.3</w:t>
            </w:r>
          </w:p>
        </w:tc>
        <w:tc>
          <w:tcPr>
            <w:tcW w:w="1118" w:type="dxa"/>
            <w:tcBorders>
              <w:bottom w:val="nil"/>
              <w:right w:val="single" w:sz="4" w:space="0" w:color="auto"/>
            </w:tcBorders>
            <w:noWrap/>
            <w:hideMark/>
          </w:tcPr>
          <w:p w14:paraId="65692867"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18.1</w:t>
            </w:r>
          </w:p>
        </w:tc>
      </w:tr>
      <w:tr w:rsidR="00B86BF1" w:rsidRPr="00A743C9" w14:paraId="5254A07A" w14:textId="77777777" w:rsidTr="000376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6" w:type="dxa"/>
            <w:tcBorders>
              <w:left w:val="single" w:sz="4" w:space="0" w:color="auto"/>
              <w:bottom w:val="nil"/>
              <w:right w:val="single" w:sz="4" w:space="0" w:color="auto"/>
            </w:tcBorders>
            <w:noWrap/>
            <w:hideMark/>
          </w:tcPr>
          <w:p w14:paraId="419EFEE6" w14:textId="77777777" w:rsidR="00B86BF1" w:rsidRPr="00A743C9" w:rsidRDefault="00B86BF1" w:rsidP="000376C7">
            <w:pPr>
              <w:rPr>
                <w:rFonts w:eastAsia="Times New Roman" w:cs="Calibri"/>
                <w:color w:val="auto"/>
                <w:sz w:val="16"/>
                <w:szCs w:val="16"/>
              </w:rPr>
            </w:pPr>
            <w:r w:rsidRPr="00A743C9">
              <w:rPr>
                <w:rFonts w:eastAsia="Times New Roman" w:cs="Calibri"/>
                <w:color w:val="auto"/>
                <w:sz w:val="16"/>
                <w:szCs w:val="16"/>
              </w:rPr>
              <w:t>Georgia</w:t>
            </w:r>
          </w:p>
        </w:tc>
        <w:tc>
          <w:tcPr>
            <w:tcW w:w="1119" w:type="dxa"/>
            <w:tcBorders>
              <w:left w:val="single" w:sz="4" w:space="0" w:color="auto"/>
              <w:bottom w:val="nil"/>
            </w:tcBorders>
            <w:noWrap/>
            <w:hideMark/>
          </w:tcPr>
          <w:p w14:paraId="0BA59287"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30</w:t>
            </w:r>
          </w:p>
        </w:tc>
        <w:tc>
          <w:tcPr>
            <w:tcW w:w="1119" w:type="dxa"/>
            <w:tcBorders>
              <w:bottom w:val="nil"/>
            </w:tcBorders>
            <w:noWrap/>
            <w:hideMark/>
          </w:tcPr>
          <w:p w14:paraId="69F2F7C4"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58.5</w:t>
            </w:r>
          </w:p>
        </w:tc>
        <w:tc>
          <w:tcPr>
            <w:tcW w:w="1119" w:type="dxa"/>
            <w:tcBorders>
              <w:bottom w:val="nil"/>
              <w:right w:val="single" w:sz="4" w:space="0" w:color="auto"/>
            </w:tcBorders>
            <w:noWrap/>
            <w:hideMark/>
          </w:tcPr>
          <w:p w14:paraId="29181949"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5.8</w:t>
            </w:r>
          </w:p>
        </w:tc>
        <w:tc>
          <w:tcPr>
            <w:tcW w:w="1119" w:type="dxa"/>
            <w:tcBorders>
              <w:left w:val="single" w:sz="4" w:space="0" w:color="auto"/>
              <w:bottom w:val="nil"/>
            </w:tcBorders>
            <w:noWrap/>
            <w:hideMark/>
          </w:tcPr>
          <w:p w14:paraId="1C8EBB65"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24</w:t>
            </w:r>
          </w:p>
        </w:tc>
        <w:tc>
          <w:tcPr>
            <w:tcW w:w="1118" w:type="dxa"/>
            <w:tcBorders>
              <w:bottom w:val="nil"/>
            </w:tcBorders>
            <w:noWrap/>
            <w:hideMark/>
          </w:tcPr>
          <w:p w14:paraId="2AB7DC2C"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47.7</w:t>
            </w:r>
          </w:p>
        </w:tc>
        <w:tc>
          <w:tcPr>
            <w:tcW w:w="1118" w:type="dxa"/>
            <w:tcBorders>
              <w:bottom w:val="nil"/>
              <w:right w:val="single" w:sz="4" w:space="0" w:color="auto"/>
            </w:tcBorders>
            <w:noWrap/>
            <w:hideMark/>
          </w:tcPr>
          <w:p w14:paraId="6A864C96"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3.9</w:t>
            </w:r>
          </w:p>
        </w:tc>
        <w:tc>
          <w:tcPr>
            <w:tcW w:w="1118" w:type="dxa"/>
            <w:tcBorders>
              <w:left w:val="single" w:sz="4" w:space="0" w:color="auto"/>
              <w:bottom w:val="nil"/>
            </w:tcBorders>
            <w:noWrap/>
            <w:hideMark/>
          </w:tcPr>
          <w:p w14:paraId="3D351712"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27</w:t>
            </w:r>
          </w:p>
        </w:tc>
        <w:tc>
          <w:tcPr>
            <w:tcW w:w="1118" w:type="dxa"/>
            <w:tcBorders>
              <w:bottom w:val="nil"/>
            </w:tcBorders>
            <w:noWrap/>
            <w:hideMark/>
          </w:tcPr>
          <w:p w14:paraId="38C2DBB1"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52.5</w:t>
            </w:r>
          </w:p>
        </w:tc>
        <w:tc>
          <w:tcPr>
            <w:tcW w:w="1118" w:type="dxa"/>
            <w:tcBorders>
              <w:bottom w:val="nil"/>
              <w:right w:val="single" w:sz="4" w:space="0" w:color="auto"/>
            </w:tcBorders>
            <w:noWrap/>
            <w:hideMark/>
          </w:tcPr>
          <w:p w14:paraId="2672DA16"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5.3</w:t>
            </w:r>
          </w:p>
        </w:tc>
        <w:tc>
          <w:tcPr>
            <w:tcW w:w="1118" w:type="dxa"/>
            <w:tcBorders>
              <w:left w:val="single" w:sz="4" w:space="0" w:color="auto"/>
              <w:bottom w:val="nil"/>
            </w:tcBorders>
            <w:noWrap/>
            <w:hideMark/>
          </w:tcPr>
          <w:p w14:paraId="1F254E18"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21.7</w:t>
            </w:r>
          </w:p>
        </w:tc>
        <w:tc>
          <w:tcPr>
            <w:tcW w:w="1118" w:type="dxa"/>
            <w:tcBorders>
              <w:bottom w:val="nil"/>
            </w:tcBorders>
            <w:noWrap/>
            <w:hideMark/>
          </w:tcPr>
          <w:p w14:paraId="7531A8DC"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43.3</w:t>
            </w:r>
          </w:p>
        </w:tc>
        <w:tc>
          <w:tcPr>
            <w:tcW w:w="1118" w:type="dxa"/>
            <w:tcBorders>
              <w:bottom w:val="nil"/>
              <w:right w:val="single" w:sz="4" w:space="0" w:color="auto"/>
            </w:tcBorders>
            <w:noWrap/>
            <w:hideMark/>
          </w:tcPr>
          <w:p w14:paraId="0D27FE54"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3.4</w:t>
            </w:r>
          </w:p>
        </w:tc>
      </w:tr>
      <w:tr w:rsidR="00B86BF1" w:rsidRPr="00A743C9" w14:paraId="52FD3FD9" w14:textId="77777777" w:rsidTr="000376C7">
        <w:trPr>
          <w:trHeight w:val="300"/>
        </w:trPr>
        <w:tc>
          <w:tcPr>
            <w:cnfStyle w:val="001000000000" w:firstRow="0" w:lastRow="0" w:firstColumn="1" w:lastColumn="0" w:oddVBand="0" w:evenVBand="0" w:oddHBand="0" w:evenHBand="0" w:firstRowFirstColumn="0" w:firstRowLastColumn="0" w:lastRowFirstColumn="0" w:lastRowLastColumn="0"/>
            <w:tcW w:w="1606" w:type="dxa"/>
            <w:tcBorders>
              <w:left w:val="single" w:sz="4" w:space="0" w:color="auto"/>
              <w:bottom w:val="nil"/>
              <w:right w:val="single" w:sz="4" w:space="0" w:color="auto"/>
            </w:tcBorders>
            <w:noWrap/>
            <w:hideMark/>
          </w:tcPr>
          <w:p w14:paraId="139D387F" w14:textId="77777777" w:rsidR="00B86BF1" w:rsidRPr="00A743C9" w:rsidRDefault="00B86BF1" w:rsidP="000376C7">
            <w:pPr>
              <w:rPr>
                <w:rFonts w:eastAsia="Times New Roman" w:cs="Calibri"/>
                <w:color w:val="auto"/>
                <w:sz w:val="16"/>
                <w:szCs w:val="16"/>
              </w:rPr>
            </w:pPr>
            <w:r w:rsidRPr="00A743C9">
              <w:rPr>
                <w:rFonts w:eastAsia="Times New Roman" w:cs="Calibri"/>
                <w:color w:val="auto"/>
                <w:sz w:val="16"/>
                <w:szCs w:val="16"/>
              </w:rPr>
              <w:lastRenderedPageBreak/>
              <w:t>Germany</w:t>
            </w:r>
          </w:p>
        </w:tc>
        <w:tc>
          <w:tcPr>
            <w:tcW w:w="1119" w:type="dxa"/>
            <w:tcBorders>
              <w:left w:val="single" w:sz="4" w:space="0" w:color="auto"/>
              <w:bottom w:val="nil"/>
            </w:tcBorders>
            <w:noWrap/>
            <w:hideMark/>
          </w:tcPr>
          <w:p w14:paraId="118D2141"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30.7</w:t>
            </w:r>
          </w:p>
        </w:tc>
        <w:tc>
          <w:tcPr>
            <w:tcW w:w="1119" w:type="dxa"/>
            <w:tcBorders>
              <w:bottom w:val="nil"/>
            </w:tcBorders>
            <w:noWrap/>
            <w:hideMark/>
          </w:tcPr>
          <w:p w14:paraId="6E41682B"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33.1</w:t>
            </w:r>
          </w:p>
        </w:tc>
        <w:tc>
          <w:tcPr>
            <w:tcW w:w="1119" w:type="dxa"/>
            <w:tcBorders>
              <w:bottom w:val="nil"/>
              <w:right w:val="single" w:sz="4" w:space="0" w:color="auto"/>
            </w:tcBorders>
            <w:noWrap/>
            <w:hideMark/>
          </w:tcPr>
          <w:p w14:paraId="5E46243E"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28.5</w:t>
            </w:r>
          </w:p>
        </w:tc>
        <w:tc>
          <w:tcPr>
            <w:tcW w:w="1119" w:type="dxa"/>
            <w:tcBorders>
              <w:left w:val="single" w:sz="4" w:space="0" w:color="auto"/>
              <w:bottom w:val="nil"/>
            </w:tcBorders>
            <w:noWrap/>
            <w:hideMark/>
          </w:tcPr>
          <w:p w14:paraId="43E94AA5"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24.2</w:t>
            </w:r>
          </w:p>
        </w:tc>
        <w:tc>
          <w:tcPr>
            <w:tcW w:w="1118" w:type="dxa"/>
            <w:tcBorders>
              <w:bottom w:val="nil"/>
            </w:tcBorders>
            <w:noWrap/>
            <w:hideMark/>
          </w:tcPr>
          <w:p w14:paraId="67E179E6"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27.6</w:t>
            </w:r>
          </w:p>
        </w:tc>
        <w:tc>
          <w:tcPr>
            <w:tcW w:w="1118" w:type="dxa"/>
            <w:tcBorders>
              <w:bottom w:val="nil"/>
              <w:right w:val="single" w:sz="4" w:space="0" w:color="auto"/>
            </w:tcBorders>
            <w:noWrap/>
            <w:hideMark/>
          </w:tcPr>
          <w:p w14:paraId="500E6437"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21</w:t>
            </w:r>
          </w:p>
        </w:tc>
        <w:tc>
          <w:tcPr>
            <w:tcW w:w="1118" w:type="dxa"/>
            <w:tcBorders>
              <w:left w:val="single" w:sz="4" w:space="0" w:color="auto"/>
              <w:bottom w:val="nil"/>
            </w:tcBorders>
            <w:noWrap/>
            <w:hideMark/>
          </w:tcPr>
          <w:p w14:paraId="53276EE4"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28.3</w:t>
            </w:r>
          </w:p>
        </w:tc>
        <w:tc>
          <w:tcPr>
            <w:tcW w:w="1118" w:type="dxa"/>
            <w:tcBorders>
              <w:bottom w:val="nil"/>
            </w:tcBorders>
            <w:noWrap/>
            <w:hideMark/>
          </w:tcPr>
          <w:p w14:paraId="2AD603A9"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30.4</w:t>
            </w:r>
          </w:p>
        </w:tc>
        <w:tc>
          <w:tcPr>
            <w:tcW w:w="1118" w:type="dxa"/>
            <w:tcBorders>
              <w:bottom w:val="nil"/>
              <w:right w:val="single" w:sz="4" w:space="0" w:color="auto"/>
            </w:tcBorders>
            <w:noWrap/>
            <w:hideMark/>
          </w:tcPr>
          <w:p w14:paraId="6F573445"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26.4</w:t>
            </w:r>
          </w:p>
        </w:tc>
        <w:tc>
          <w:tcPr>
            <w:tcW w:w="1118" w:type="dxa"/>
            <w:tcBorders>
              <w:left w:val="single" w:sz="4" w:space="0" w:color="auto"/>
              <w:bottom w:val="nil"/>
            </w:tcBorders>
            <w:noWrap/>
            <w:hideMark/>
          </w:tcPr>
          <w:p w14:paraId="7F7D3F03"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23.1</w:t>
            </w:r>
          </w:p>
        </w:tc>
        <w:tc>
          <w:tcPr>
            <w:tcW w:w="1118" w:type="dxa"/>
            <w:tcBorders>
              <w:bottom w:val="nil"/>
            </w:tcBorders>
            <w:noWrap/>
            <w:hideMark/>
          </w:tcPr>
          <w:p w14:paraId="02E7515A"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25.9</w:t>
            </w:r>
          </w:p>
        </w:tc>
        <w:tc>
          <w:tcPr>
            <w:tcW w:w="1118" w:type="dxa"/>
            <w:tcBorders>
              <w:bottom w:val="nil"/>
              <w:right w:val="single" w:sz="4" w:space="0" w:color="auto"/>
            </w:tcBorders>
            <w:noWrap/>
            <w:hideMark/>
          </w:tcPr>
          <w:p w14:paraId="7F289586"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20.4</w:t>
            </w:r>
          </w:p>
        </w:tc>
      </w:tr>
      <w:tr w:rsidR="00B86BF1" w:rsidRPr="00A743C9" w14:paraId="6D4A56A6" w14:textId="77777777" w:rsidTr="000376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6" w:type="dxa"/>
            <w:tcBorders>
              <w:left w:val="single" w:sz="4" w:space="0" w:color="auto"/>
              <w:bottom w:val="nil"/>
              <w:right w:val="single" w:sz="4" w:space="0" w:color="auto"/>
            </w:tcBorders>
            <w:noWrap/>
            <w:hideMark/>
          </w:tcPr>
          <w:p w14:paraId="588756A6" w14:textId="77777777" w:rsidR="00B86BF1" w:rsidRPr="00A743C9" w:rsidRDefault="00B86BF1" w:rsidP="000376C7">
            <w:pPr>
              <w:rPr>
                <w:rFonts w:eastAsia="Times New Roman" w:cs="Calibri"/>
                <w:color w:val="auto"/>
                <w:sz w:val="16"/>
                <w:szCs w:val="16"/>
              </w:rPr>
            </w:pPr>
            <w:r w:rsidRPr="00A743C9">
              <w:rPr>
                <w:rFonts w:eastAsia="Times New Roman" w:cs="Calibri"/>
                <w:color w:val="auto"/>
                <w:sz w:val="16"/>
                <w:szCs w:val="16"/>
              </w:rPr>
              <w:t>Ghana</w:t>
            </w:r>
          </w:p>
        </w:tc>
        <w:tc>
          <w:tcPr>
            <w:tcW w:w="1119" w:type="dxa"/>
            <w:tcBorders>
              <w:left w:val="single" w:sz="4" w:space="0" w:color="auto"/>
              <w:bottom w:val="nil"/>
            </w:tcBorders>
            <w:noWrap/>
            <w:hideMark/>
          </w:tcPr>
          <w:p w14:paraId="5B1410F2"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6.3</w:t>
            </w:r>
          </w:p>
        </w:tc>
        <w:tc>
          <w:tcPr>
            <w:tcW w:w="1119" w:type="dxa"/>
            <w:tcBorders>
              <w:bottom w:val="nil"/>
            </w:tcBorders>
            <w:noWrap/>
            <w:hideMark/>
          </w:tcPr>
          <w:p w14:paraId="2BDAEA4F"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12.4</w:t>
            </w:r>
          </w:p>
        </w:tc>
        <w:tc>
          <w:tcPr>
            <w:tcW w:w="1119" w:type="dxa"/>
            <w:tcBorders>
              <w:bottom w:val="nil"/>
              <w:right w:val="single" w:sz="4" w:space="0" w:color="auto"/>
            </w:tcBorders>
            <w:noWrap/>
            <w:hideMark/>
          </w:tcPr>
          <w:p w14:paraId="085B9CBD"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0.5</w:t>
            </w:r>
          </w:p>
        </w:tc>
        <w:tc>
          <w:tcPr>
            <w:tcW w:w="1119" w:type="dxa"/>
            <w:tcBorders>
              <w:left w:val="single" w:sz="4" w:space="0" w:color="auto"/>
              <w:bottom w:val="nil"/>
            </w:tcBorders>
            <w:noWrap/>
            <w:hideMark/>
          </w:tcPr>
          <w:p w14:paraId="3D98AF70"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4.9</w:t>
            </w:r>
          </w:p>
        </w:tc>
        <w:tc>
          <w:tcPr>
            <w:tcW w:w="1118" w:type="dxa"/>
            <w:tcBorders>
              <w:bottom w:val="nil"/>
            </w:tcBorders>
            <w:noWrap/>
            <w:hideMark/>
          </w:tcPr>
          <w:p w14:paraId="258F3F0B"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9.8</w:t>
            </w:r>
          </w:p>
        </w:tc>
        <w:tc>
          <w:tcPr>
            <w:tcW w:w="1118" w:type="dxa"/>
            <w:tcBorders>
              <w:bottom w:val="nil"/>
              <w:right w:val="single" w:sz="4" w:space="0" w:color="auto"/>
            </w:tcBorders>
            <w:noWrap/>
            <w:hideMark/>
          </w:tcPr>
          <w:p w14:paraId="03725D4B"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0.4</w:t>
            </w:r>
          </w:p>
        </w:tc>
        <w:tc>
          <w:tcPr>
            <w:tcW w:w="1118" w:type="dxa"/>
            <w:tcBorders>
              <w:left w:val="single" w:sz="4" w:space="0" w:color="auto"/>
              <w:bottom w:val="nil"/>
            </w:tcBorders>
            <w:noWrap/>
            <w:hideMark/>
          </w:tcPr>
          <w:p w14:paraId="5571C6FC"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4.4</w:t>
            </w:r>
          </w:p>
        </w:tc>
        <w:tc>
          <w:tcPr>
            <w:tcW w:w="1118" w:type="dxa"/>
            <w:tcBorders>
              <w:bottom w:val="nil"/>
            </w:tcBorders>
            <w:noWrap/>
            <w:hideMark/>
          </w:tcPr>
          <w:p w14:paraId="08EB88FE"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9</w:t>
            </w:r>
          </w:p>
        </w:tc>
        <w:tc>
          <w:tcPr>
            <w:tcW w:w="1118" w:type="dxa"/>
            <w:tcBorders>
              <w:bottom w:val="nil"/>
              <w:right w:val="single" w:sz="4" w:space="0" w:color="auto"/>
            </w:tcBorders>
            <w:noWrap/>
            <w:hideMark/>
          </w:tcPr>
          <w:p w14:paraId="4EF32AC6"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0.1</w:t>
            </w:r>
          </w:p>
        </w:tc>
        <w:tc>
          <w:tcPr>
            <w:tcW w:w="1118" w:type="dxa"/>
            <w:tcBorders>
              <w:left w:val="single" w:sz="4" w:space="0" w:color="auto"/>
              <w:bottom w:val="nil"/>
            </w:tcBorders>
            <w:noWrap/>
            <w:hideMark/>
          </w:tcPr>
          <w:p w14:paraId="61BCD81A"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3.9</w:t>
            </w:r>
          </w:p>
        </w:tc>
        <w:tc>
          <w:tcPr>
            <w:tcW w:w="1118" w:type="dxa"/>
            <w:tcBorders>
              <w:bottom w:val="nil"/>
            </w:tcBorders>
            <w:noWrap/>
            <w:hideMark/>
          </w:tcPr>
          <w:p w14:paraId="24BB460C"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8</w:t>
            </w:r>
          </w:p>
        </w:tc>
        <w:tc>
          <w:tcPr>
            <w:tcW w:w="1118" w:type="dxa"/>
            <w:tcBorders>
              <w:bottom w:val="nil"/>
              <w:right w:val="single" w:sz="4" w:space="0" w:color="auto"/>
            </w:tcBorders>
            <w:noWrap/>
            <w:hideMark/>
          </w:tcPr>
          <w:p w14:paraId="3F7B03B7"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0.1</w:t>
            </w:r>
          </w:p>
        </w:tc>
      </w:tr>
      <w:tr w:rsidR="00B86BF1" w:rsidRPr="00A743C9" w14:paraId="1E859E13" w14:textId="77777777" w:rsidTr="000376C7">
        <w:trPr>
          <w:trHeight w:val="300"/>
        </w:trPr>
        <w:tc>
          <w:tcPr>
            <w:cnfStyle w:val="001000000000" w:firstRow="0" w:lastRow="0" w:firstColumn="1" w:lastColumn="0" w:oddVBand="0" w:evenVBand="0" w:oddHBand="0" w:evenHBand="0" w:firstRowFirstColumn="0" w:firstRowLastColumn="0" w:lastRowFirstColumn="0" w:lastRowLastColumn="0"/>
            <w:tcW w:w="1606" w:type="dxa"/>
            <w:tcBorders>
              <w:left w:val="single" w:sz="4" w:space="0" w:color="auto"/>
              <w:bottom w:val="nil"/>
              <w:right w:val="single" w:sz="4" w:space="0" w:color="auto"/>
            </w:tcBorders>
            <w:noWrap/>
            <w:hideMark/>
          </w:tcPr>
          <w:p w14:paraId="57EB0FF8" w14:textId="77777777" w:rsidR="00B86BF1" w:rsidRPr="00A743C9" w:rsidRDefault="00B86BF1" w:rsidP="000376C7">
            <w:pPr>
              <w:rPr>
                <w:rFonts w:eastAsia="Times New Roman" w:cs="Calibri"/>
                <w:color w:val="auto"/>
                <w:sz w:val="16"/>
                <w:szCs w:val="16"/>
              </w:rPr>
            </w:pPr>
            <w:r w:rsidRPr="00A743C9">
              <w:rPr>
                <w:rFonts w:eastAsia="Times New Roman" w:cs="Calibri"/>
                <w:color w:val="auto"/>
                <w:sz w:val="16"/>
                <w:szCs w:val="16"/>
              </w:rPr>
              <w:t>Greece</w:t>
            </w:r>
          </w:p>
        </w:tc>
        <w:tc>
          <w:tcPr>
            <w:tcW w:w="1119" w:type="dxa"/>
            <w:tcBorders>
              <w:left w:val="single" w:sz="4" w:space="0" w:color="auto"/>
              <w:bottom w:val="nil"/>
            </w:tcBorders>
            <w:noWrap/>
            <w:hideMark/>
          </w:tcPr>
          <w:p w14:paraId="6FD08C0F"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43.4</w:t>
            </w:r>
          </w:p>
        </w:tc>
        <w:tc>
          <w:tcPr>
            <w:tcW w:w="1119" w:type="dxa"/>
            <w:tcBorders>
              <w:bottom w:val="nil"/>
            </w:tcBorders>
            <w:noWrap/>
            <w:hideMark/>
          </w:tcPr>
          <w:p w14:paraId="2E9A1C07"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53.8</w:t>
            </w:r>
          </w:p>
        </w:tc>
        <w:tc>
          <w:tcPr>
            <w:tcW w:w="1119" w:type="dxa"/>
            <w:tcBorders>
              <w:bottom w:val="nil"/>
              <w:right w:val="single" w:sz="4" w:space="0" w:color="auto"/>
            </w:tcBorders>
            <w:noWrap/>
            <w:hideMark/>
          </w:tcPr>
          <w:p w14:paraId="693206B1"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33.5</w:t>
            </w:r>
          </w:p>
        </w:tc>
        <w:tc>
          <w:tcPr>
            <w:tcW w:w="1119" w:type="dxa"/>
            <w:tcBorders>
              <w:left w:val="single" w:sz="4" w:space="0" w:color="auto"/>
              <w:bottom w:val="nil"/>
            </w:tcBorders>
            <w:noWrap/>
            <w:hideMark/>
          </w:tcPr>
          <w:p w14:paraId="3F379F73"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35.2</w:t>
            </w:r>
          </w:p>
        </w:tc>
        <w:tc>
          <w:tcPr>
            <w:tcW w:w="1118" w:type="dxa"/>
            <w:tcBorders>
              <w:bottom w:val="nil"/>
            </w:tcBorders>
            <w:noWrap/>
            <w:hideMark/>
          </w:tcPr>
          <w:p w14:paraId="53ECCEE0"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45.8</w:t>
            </w:r>
          </w:p>
        </w:tc>
        <w:tc>
          <w:tcPr>
            <w:tcW w:w="1118" w:type="dxa"/>
            <w:tcBorders>
              <w:bottom w:val="nil"/>
              <w:right w:val="single" w:sz="4" w:space="0" w:color="auto"/>
            </w:tcBorders>
            <w:noWrap/>
            <w:hideMark/>
          </w:tcPr>
          <w:p w14:paraId="3EC947E2"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25.1</w:t>
            </w:r>
          </w:p>
        </w:tc>
        <w:tc>
          <w:tcPr>
            <w:tcW w:w="1118" w:type="dxa"/>
            <w:tcBorders>
              <w:left w:val="single" w:sz="4" w:space="0" w:color="auto"/>
              <w:bottom w:val="nil"/>
            </w:tcBorders>
            <w:noWrap/>
            <w:hideMark/>
          </w:tcPr>
          <w:p w14:paraId="4AD78124"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36.5</w:t>
            </w:r>
          </w:p>
        </w:tc>
        <w:tc>
          <w:tcPr>
            <w:tcW w:w="1118" w:type="dxa"/>
            <w:tcBorders>
              <w:bottom w:val="nil"/>
            </w:tcBorders>
            <w:noWrap/>
            <w:hideMark/>
          </w:tcPr>
          <w:p w14:paraId="48822C54"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45</w:t>
            </w:r>
          </w:p>
        </w:tc>
        <w:tc>
          <w:tcPr>
            <w:tcW w:w="1118" w:type="dxa"/>
            <w:tcBorders>
              <w:bottom w:val="nil"/>
              <w:right w:val="single" w:sz="4" w:space="0" w:color="auto"/>
            </w:tcBorders>
            <w:noWrap/>
            <w:hideMark/>
          </w:tcPr>
          <w:p w14:paraId="44EB5BB8"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28.4</w:t>
            </w:r>
          </w:p>
        </w:tc>
        <w:tc>
          <w:tcPr>
            <w:tcW w:w="1118" w:type="dxa"/>
            <w:tcBorders>
              <w:left w:val="single" w:sz="4" w:space="0" w:color="auto"/>
              <w:bottom w:val="nil"/>
            </w:tcBorders>
            <w:noWrap/>
            <w:hideMark/>
          </w:tcPr>
          <w:p w14:paraId="142A8D72"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29.7</w:t>
            </w:r>
          </w:p>
        </w:tc>
        <w:tc>
          <w:tcPr>
            <w:tcW w:w="1118" w:type="dxa"/>
            <w:tcBorders>
              <w:bottom w:val="nil"/>
            </w:tcBorders>
            <w:noWrap/>
            <w:hideMark/>
          </w:tcPr>
          <w:p w14:paraId="3F80FB99"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37.6</w:t>
            </w:r>
          </w:p>
        </w:tc>
        <w:tc>
          <w:tcPr>
            <w:tcW w:w="1118" w:type="dxa"/>
            <w:tcBorders>
              <w:bottom w:val="nil"/>
              <w:right w:val="single" w:sz="4" w:space="0" w:color="auto"/>
            </w:tcBorders>
            <w:noWrap/>
            <w:hideMark/>
          </w:tcPr>
          <w:p w14:paraId="5240E45D"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22.1</w:t>
            </w:r>
          </w:p>
        </w:tc>
      </w:tr>
      <w:tr w:rsidR="00B86BF1" w:rsidRPr="00A743C9" w14:paraId="1111B96C" w14:textId="77777777" w:rsidTr="000376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6" w:type="dxa"/>
            <w:tcBorders>
              <w:left w:val="single" w:sz="4" w:space="0" w:color="auto"/>
              <w:bottom w:val="nil"/>
              <w:right w:val="single" w:sz="4" w:space="0" w:color="auto"/>
            </w:tcBorders>
            <w:noWrap/>
            <w:hideMark/>
          </w:tcPr>
          <w:p w14:paraId="070E1406" w14:textId="77777777" w:rsidR="00B86BF1" w:rsidRPr="00A743C9" w:rsidRDefault="00B86BF1" w:rsidP="000376C7">
            <w:pPr>
              <w:rPr>
                <w:rFonts w:eastAsia="Times New Roman" w:cs="Calibri"/>
                <w:color w:val="auto"/>
                <w:sz w:val="16"/>
                <w:szCs w:val="16"/>
              </w:rPr>
            </w:pPr>
            <w:r w:rsidRPr="00A743C9">
              <w:rPr>
                <w:rFonts w:eastAsia="Times New Roman" w:cs="Calibri"/>
                <w:color w:val="auto"/>
                <w:sz w:val="16"/>
                <w:szCs w:val="16"/>
              </w:rPr>
              <w:t>Haiti</w:t>
            </w:r>
          </w:p>
        </w:tc>
        <w:tc>
          <w:tcPr>
            <w:tcW w:w="1119" w:type="dxa"/>
            <w:tcBorders>
              <w:left w:val="single" w:sz="4" w:space="0" w:color="auto"/>
              <w:bottom w:val="nil"/>
            </w:tcBorders>
            <w:noWrap/>
            <w:hideMark/>
          </w:tcPr>
          <w:p w14:paraId="4222EAD8"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11.8</w:t>
            </w:r>
          </w:p>
        </w:tc>
        <w:tc>
          <w:tcPr>
            <w:tcW w:w="1119" w:type="dxa"/>
            <w:tcBorders>
              <w:bottom w:val="nil"/>
            </w:tcBorders>
            <w:noWrap/>
            <w:hideMark/>
          </w:tcPr>
          <w:p w14:paraId="509830F1"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21.5</w:t>
            </w:r>
          </w:p>
        </w:tc>
        <w:tc>
          <w:tcPr>
            <w:tcW w:w="1119" w:type="dxa"/>
            <w:tcBorders>
              <w:bottom w:val="nil"/>
              <w:right w:val="single" w:sz="4" w:space="0" w:color="auto"/>
            </w:tcBorders>
            <w:noWrap/>
            <w:hideMark/>
          </w:tcPr>
          <w:p w14:paraId="799A6A89"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2.7</w:t>
            </w:r>
          </w:p>
        </w:tc>
        <w:tc>
          <w:tcPr>
            <w:tcW w:w="1119" w:type="dxa"/>
            <w:tcBorders>
              <w:left w:val="single" w:sz="4" w:space="0" w:color="auto"/>
              <w:bottom w:val="nil"/>
            </w:tcBorders>
            <w:noWrap/>
            <w:hideMark/>
          </w:tcPr>
          <w:p w14:paraId="33F5F392"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8.6</w:t>
            </w:r>
          </w:p>
        </w:tc>
        <w:tc>
          <w:tcPr>
            <w:tcW w:w="1118" w:type="dxa"/>
            <w:tcBorders>
              <w:bottom w:val="nil"/>
            </w:tcBorders>
            <w:noWrap/>
            <w:hideMark/>
          </w:tcPr>
          <w:p w14:paraId="7D8DEDCB"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15.6</w:t>
            </w:r>
          </w:p>
        </w:tc>
        <w:tc>
          <w:tcPr>
            <w:tcW w:w="1118" w:type="dxa"/>
            <w:tcBorders>
              <w:bottom w:val="nil"/>
              <w:right w:val="single" w:sz="4" w:space="0" w:color="auto"/>
            </w:tcBorders>
            <w:noWrap/>
            <w:hideMark/>
          </w:tcPr>
          <w:p w14:paraId="48E88912"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w:t>
            </w:r>
          </w:p>
        </w:tc>
        <w:tc>
          <w:tcPr>
            <w:tcW w:w="1118" w:type="dxa"/>
            <w:tcBorders>
              <w:left w:val="single" w:sz="4" w:space="0" w:color="auto"/>
              <w:bottom w:val="nil"/>
            </w:tcBorders>
            <w:noWrap/>
            <w:hideMark/>
          </w:tcPr>
          <w:p w14:paraId="1BDF48FD"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9.8</w:t>
            </w:r>
          </w:p>
        </w:tc>
        <w:tc>
          <w:tcPr>
            <w:tcW w:w="1118" w:type="dxa"/>
            <w:tcBorders>
              <w:bottom w:val="nil"/>
            </w:tcBorders>
            <w:noWrap/>
            <w:hideMark/>
          </w:tcPr>
          <w:p w14:paraId="5FFFD665"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17.8</w:t>
            </w:r>
          </w:p>
        </w:tc>
        <w:tc>
          <w:tcPr>
            <w:tcW w:w="1118" w:type="dxa"/>
            <w:tcBorders>
              <w:bottom w:val="nil"/>
              <w:right w:val="single" w:sz="4" w:space="0" w:color="auto"/>
            </w:tcBorders>
            <w:noWrap/>
            <w:hideMark/>
          </w:tcPr>
          <w:p w14:paraId="74D0BB47"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2.3</w:t>
            </w:r>
          </w:p>
        </w:tc>
        <w:tc>
          <w:tcPr>
            <w:tcW w:w="1118" w:type="dxa"/>
            <w:tcBorders>
              <w:left w:val="single" w:sz="4" w:space="0" w:color="auto"/>
              <w:bottom w:val="nil"/>
            </w:tcBorders>
            <w:noWrap/>
            <w:hideMark/>
          </w:tcPr>
          <w:p w14:paraId="06AD83CA"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4.8</w:t>
            </w:r>
          </w:p>
        </w:tc>
        <w:tc>
          <w:tcPr>
            <w:tcW w:w="1118" w:type="dxa"/>
            <w:tcBorders>
              <w:bottom w:val="nil"/>
            </w:tcBorders>
            <w:noWrap/>
            <w:hideMark/>
          </w:tcPr>
          <w:p w14:paraId="49A58C90"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8.9</w:t>
            </w:r>
          </w:p>
        </w:tc>
        <w:tc>
          <w:tcPr>
            <w:tcW w:w="1118" w:type="dxa"/>
            <w:tcBorders>
              <w:bottom w:val="nil"/>
              <w:right w:val="single" w:sz="4" w:space="0" w:color="auto"/>
            </w:tcBorders>
            <w:noWrap/>
            <w:hideMark/>
          </w:tcPr>
          <w:p w14:paraId="6F0E4248"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w:t>
            </w:r>
          </w:p>
        </w:tc>
      </w:tr>
      <w:tr w:rsidR="00B86BF1" w:rsidRPr="00A743C9" w14:paraId="19FD66D3" w14:textId="77777777" w:rsidTr="000376C7">
        <w:trPr>
          <w:trHeight w:val="300"/>
        </w:trPr>
        <w:tc>
          <w:tcPr>
            <w:cnfStyle w:val="001000000000" w:firstRow="0" w:lastRow="0" w:firstColumn="1" w:lastColumn="0" w:oddVBand="0" w:evenVBand="0" w:oddHBand="0" w:evenHBand="0" w:firstRowFirstColumn="0" w:firstRowLastColumn="0" w:lastRowFirstColumn="0" w:lastRowLastColumn="0"/>
            <w:tcW w:w="1606" w:type="dxa"/>
            <w:tcBorders>
              <w:left w:val="single" w:sz="4" w:space="0" w:color="auto"/>
              <w:bottom w:val="nil"/>
              <w:right w:val="single" w:sz="4" w:space="0" w:color="auto"/>
            </w:tcBorders>
            <w:noWrap/>
            <w:hideMark/>
          </w:tcPr>
          <w:p w14:paraId="7003220C" w14:textId="77777777" w:rsidR="00B86BF1" w:rsidRPr="00A743C9" w:rsidRDefault="00B86BF1" w:rsidP="000376C7">
            <w:pPr>
              <w:rPr>
                <w:rFonts w:eastAsia="Times New Roman" w:cs="Calibri"/>
                <w:color w:val="auto"/>
                <w:sz w:val="16"/>
                <w:szCs w:val="16"/>
              </w:rPr>
            </w:pPr>
            <w:r w:rsidRPr="00A743C9">
              <w:rPr>
                <w:rFonts w:eastAsia="Times New Roman" w:cs="Calibri"/>
                <w:color w:val="auto"/>
                <w:sz w:val="16"/>
                <w:szCs w:val="16"/>
              </w:rPr>
              <w:t>Honduras</w:t>
            </w:r>
          </w:p>
        </w:tc>
        <w:tc>
          <w:tcPr>
            <w:tcW w:w="1119" w:type="dxa"/>
            <w:tcBorders>
              <w:left w:val="single" w:sz="4" w:space="0" w:color="auto"/>
              <w:bottom w:val="nil"/>
            </w:tcBorders>
            <w:noWrap/>
            <w:hideMark/>
          </w:tcPr>
          <w:p w14:paraId="433E20F1"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18.9</w:t>
            </w:r>
          </w:p>
        </w:tc>
        <w:tc>
          <w:tcPr>
            <w:tcW w:w="1119" w:type="dxa"/>
            <w:tcBorders>
              <w:bottom w:val="nil"/>
            </w:tcBorders>
            <w:noWrap/>
            <w:hideMark/>
          </w:tcPr>
          <w:p w14:paraId="41829DAF"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35.9</w:t>
            </w:r>
          </w:p>
        </w:tc>
        <w:tc>
          <w:tcPr>
            <w:tcW w:w="1119" w:type="dxa"/>
            <w:tcBorders>
              <w:bottom w:val="nil"/>
              <w:right w:val="single" w:sz="4" w:space="0" w:color="auto"/>
            </w:tcBorders>
            <w:noWrap/>
            <w:hideMark/>
          </w:tcPr>
          <w:p w14:paraId="4AE81E23"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2.3</w:t>
            </w:r>
          </w:p>
        </w:tc>
        <w:tc>
          <w:tcPr>
            <w:tcW w:w="1119" w:type="dxa"/>
            <w:tcBorders>
              <w:left w:val="single" w:sz="4" w:space="0" w:color="auto"/>
              <w:bottom w:val="nil"/>
            </w:tcBorders>
            <w:noWrap/>
            <w:hideMark/>
          </w:tcPr>
          <w:p w14:paraId="45D8FD35"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11.1</w:t>
            </w:r>
          </w:p>
        </w:tc>
        <w:tc>
          <w:tcPr>
            <w:tcW w:w="1118" w:type="dxa"/>
            <w:tcBorders>
              <w:bottom w:val="nil"/>
            </w:tcBorders>
            <w:noWrap/>
            <w:hideMark/>
          </w:tcPr>
          <w:p w14:paraId="3076A196"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21.1</w:t>
            </w:r>
          </w:p>
        </w:tc>
        <w:tc>
          <w:tcPr>
            <w:tcW w:w="1118" w:type="dxa"/>
            <w:tcBorders>
              <w:bottom w:val="nil"/>
              <w:right w:val="single" w:sz="4" w:space="0" w:color="auto"/>
            </w:tcBorders>
            <w:noWrap/>
            <w:hideMark/>
          </w:tcPr>
          <w:p w14:paraId="5221CE55"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1.4</w:t>
            </w:r>
          </w:p>
        </w:tc>
        <w:tc>
          <w:tcPr>
            <w:tcW w:w="1118" w:type="dxa"/>
            <w:tcBorders>
              <w:left w:val="single" w:sz="4" w:space="0" w:color="auto"/>
              <w:bottom w:val="nil"/>
            </w:tcBorders>
            <w:noWrap/>
            <w:hideMark/>
          </w:tcPr>
          <w:p w14:paraId="75F580B9"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13.8</w:t>
            </w:r>
          </w:p>
        </w:tc>
        <w:tc>
          <w:tcPr>
            <w:tcW w:w="1118" w:type="dxa"/>
            <w:tcBorders>
              <w:bottom w:val="nil"/>
            </w:tcBorders>
            <w:noWrap/>
            <w:hideMark/>
          </w:tcPr>
          <w:p w14:paraId="66581DFC"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26.1</w:t>
            </w:r>
          </w:p>
        </w:tc>
        <w:tc>
          <w:tcPr>
            <w:tcW w:w="1118" w:type="dxa"/>
            <w:tcBorders>
              <w:bottom w:val="nil"/>
              <w:right w:val="single" w:sz="4" w:space="0" w:color="auto"/>
            </w:tcBorders>
            <w:noWrap/>
            <w:hideMark/>
          </w:tcPr>
          <w:p w14:paraId="5D833239"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1.8</w:t>
            </w:r>
          </w:p>
        </w:tc>
        <w:tc>
          <w:tcPr>
            <w:tcW w:w="1118" w:type="dxa"/>
            <w:tcBorders>
              <w:left w:val="single" w:sz="4" w:space="0" w:color="auto"/>
              <w:bottom w:val="nil"/>
            </w:tcBorders>
            <w:noWrap/>
            <w:hideMark/>
          </w:tcPr>
          <w:p w14:paraId="0D2AA135"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9.9</w:t>
            </w:r>
          </w:p>
        </w:tc>
        <w:tc>
          <w:tcPr>
            <w:tcW w:w="1118" w:type="dxa"/>
            <w:tcBorders>
              <w:bottom w:val="nil"/>
            </w:tcBorders>
            <w:noWrap/>
            <w:hideMark/>
          </w:tcPr>
          <w:p w14:paraId="37772254"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18.8</w:t>
            </w:r>
          </w:p>
        </w:tc>
        <w:tc>
          <w:tcPr>
            <w:tcW w:w="1118" w:type="dxa"/>
            <w:tcBorders>
              <w:bottom w:val="nil"/>
              <w:right w:val="single" w:sz="4" w:space="0" w:color="auto"/>
            </w:tcBorders>
            <w:noWrap/>
            <w:hideMark/>
          </w:tcPr>
          <w:p w14:paraId="706CD391"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1.1</w:t>
            </w:r>
          </w:p>
        </w:tc>
      </w:tr>
      <w:tr w:rsidR="00B86BF1" w:rsidRPr="00A743C9" w14:paraId="34289D93" w14:textId="77777777" w:rsidTr="000376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6" w:type="dxa"/>
            <w:tcBorders>
              <w:left w:val="single" w:sz="4" w:space="0" w:color="auto"/>
              <w:bottom w:val="nil"/>
              <w:right w:val="single" w:sz="4" w:space="0" w:color="auto"/>
            </w:tcBorders>
            <w:noWrap/>
            <w:hideMark/>
          </w:tcPr>
          <w:p w14:paraId="295E7DF4" w14:textId="77777777" w:rsidR="00B86BF1" w:rsidRPr="00A743C9" w:rsidRDefault="00B86BF1" w:rsidP="000376C7">
            <w:pPr>
              <w:rPr>
                <w:rFonts w:eastAsia="Times New Roman" w:cs="Calibri"/>
                <w:color w:val="auto"/>
                <w:sz w:val="16"/>
                <w:szCs w:val="16"/>
              </w:rPr>
            </w:pPr>
            <w:r w:rsidRPr="00A743C9">
              <w:rPr>
                <w:rFonts w:eastAsia="Times New Roman" w:cs="Calibri"/>
                <w:color w:val="auto"/>
                <w:sz w:val="16"/>
                <w:szCs w:val="16"/>
              </w:rPr>
              <w:t>Hungary</w:t>
            </w:r>
          </w:p>
        </w:tc>
        <w:tc>
          <w:tcPr>
            <w:tcW w:w="1119" w:type="dxa"/>
            <w:tcBorders>
              <w:left w:val="single" w:sz="4" w:space="0" w:color="auto"/>
              <w:bottom w:val="nil"/>
            </w:tcBorders>
            <w:noWrap/>
            <w:hideMark/>
          </w:tcPr>
          <w:p w14:paraId="2912B031"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29.6</w:t>
            </w:r>
          </w:p>
        </w:tc>
        <w:tc>
          <w:tcPr>
            <w:tcW w:w="1119" w:type="dxa"/>
            <w:tcBorders>
              <w:bottom w:val="nil"/>
            </w:tcBorders>
            <w:noWrap/>
            <w:hideMark/>
          </w:tcPr>
          <w:p w14:paraId="4CFE0444"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33.6</w:t>
            </w:r>
          </w:p>
        </w:tc>
        <w:tc>
          <w:tcPr>
            <w:tcW w:w="1119" w:type="dxa"/>
            <w:tcBorders>
              <w:bottom w:val="nil"/>
              <w:right w:val="single" w:sz="4" w:space="0" w:color="auto"/>
            </w:tcBorders>
            <w:noWrap/>
            <w:hideMark/>
          </w:tcPr>
          <w:p w14:paraId="47F694F2"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26</w:t>
            </w:r>
          </w:p>
        </w:tc>
        <w:tc>
          <w:tcPr>
            <w:tcW w:w="1119" w:type="dxa"/>
            <w:tcBorders>
              <w:left w:val="single" w:sz="4" w:space="0" w:color="auto"/>
              <w:bottom w:val="nil"/>
            </w:tcBorders>
            <w:noWrap/>
            <w:hideMark/>
          </w:tcPr>
          <w:p w14:paraId="59BCE580"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25.1</w:t>
            </w:r>
          </w:p>
        </w:tc>
        <w:tc>
          <w:tcPr>
            <w:tcW w:w="1118" w:type="dxa"/>
            <w:tcBorders>
              <w:bottom w:val="nil"/>
            </w:tcBorders>
            <w:noWrap/>
            <w:hideMark/>
          </w:tcPr>
          <w:p w14:paraId="3EBD3452"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28.9</w:t>
            </w:r>
          </w:p>
        </w:tc>
        <w:tc>
          <w:tcPr>
            <w:tcW w:w="1118" w:type="dxa"/>
            <w:tcBorders>
              <w:bottom w:val="nil"/>
              <w:right w:val="single" w:sz="4" w:space="0" w:color="auto"/>
            </w:tcBorders>
            <w:noWrap/>
            <w:hideMark/>
          </w:tcPr>
          <w:p w14:paraId="7B8CF8F0"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21.7</w:t>
            </w:r>
          </w:p>
        </w:tc>
        <w:tc>
          <w:tcPr>
            <w:tcW w:w="1118" w:type="dxa"/>
            <w:tcBorders>
              <w:left w:val="single" w:sz="4" w:space="0" w:color="auto"/>
              <w:bottom w:val="nil"/>
            </w:tcBorders>
            <w:noWrap/>
            <w:hideMark/>
          </w:tcPr>
          <w:p w14:paraId="6A371681"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24.1</w:t>
            </w:r>
          </w:p>
        </w:tc>
        <w:tc>
          <w:tcPr>
            <w:tcW w:w="1118" w:type="dxa"/>
            <w:tcBorders>
              <w:bottom w:val="nil"/>
            </w:tcBorders>
            <w:noWrap/>
            <w:hideMark/>
          </w:tcPr>
          <w:p w14:paraId="5E6754DD"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27.8</w:t>
            </w:r>
          </w:p>
        </w:tc>
        <w:tc>
          <w:tcPr>
            <w:tcW w:w="1118" w:type="dxa"/>
            <w:tcBorders>
              <w:bottom w:val="nil"/>
              <w:right w:val="single" w:sz="4" w:space="0" w:color="auto"/>
            </w:tcBorders>
            <w:noWrap/>
            <w:hideMark/>
          </w:tcPr>
          <w:p w14:paraId="3D2F81BF"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20.7</w:t>
            </w:r>
          </w:p>
        </w:tc>
        <w:tc>
          <w:tcPr>
            <w:tcW w:w="1118" w:type="dxa"/>
            <w:tcBorders>
              <w:left w:val="single" w:sz="4" w:space="0" w:color="auto"/>
              <w:bottom w:val="nil"/>
            </w:tcBorders>
            <w:noWrap/>
            <w:hideMark/>
          </w:tcPr>
          <w:p w14:paraId="62913F98"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22.1</w:t>
            </w:r>
          </w:p>
        </w:tc>
        <w:tc>
          <w:tcPr>
            <w:tcW w:w="1118" w:type="dxa"/>
            <w:tcBorders>
              <w:bottom w:val="nil"/>
            </w:tcBorders>
            <w:noWrap/>
            <w:hideMark/>
          </w:tcPr>
          <w:p w14:paraId="7941A7CC"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25.2</w:t>
            </w:r>
          </w:p>
        </w:tc>
        <w:tc>
          <w:tcPr>
            <w:tcW w:w="1118" w:type="dxa"/>
            <w:tcBorders>
              <w:bottom w:val="nil"/>
              <w:right w:val="single" w:sz="4" w:space="0" w:color="auto"/>
            </w:tcBorders>
            <w:noWrap/>
            <w:hideMark/>
          </w:tcPr>
          <w:p w14:paraId="66CF276E"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19.4</w:t>
            </w:r>
          </w:p>
        </w:tc>
      </w:tr>
      <w:tr w:rsidR="00B86BF1" w:rsidRPr="00A743C9" w14:paraId="1C774055" w14:textId="77777777" w:rsidTr="000376C7">
        <w:trPr>
          <w:trHeight w:val="300"/>
        </w:trPr>
        <w:tc>
          <w:tcPr>
            <w:cnfStyle w:val="001000000000" w:firstRow="0" w:lastRow="0" w:firstColumn="1" w:lastColumn="0" w:oddVBand="0" w:evenVBand="0" w:oddHBand="0" w:evenHBand="0" w:firstRowFirstColumn="0" w:firstRowLastColumn="0" w:lastRowFirstColumn="0" w:lastRowLastColumn="0"/>
            <w:tcW w:w="1606" w:type="dxa"/>
            <w:tcBorders>
              <w:left w:val="single" w:sz="4" w:space="0" w:color="auto"/>
              <w:bottom w:val="nil"/>
              <w:right w:val="single" w:sz="4" w:space="0" w:color="auto"/>
            </w:tcBorders>
            <w:noWrap/>
            <w:hideMark/>
          </w:tcPr>
          <w:p w14:paraId="1531D87C" w14:textId="77777777" w:rsidR="00B86BF1" w:rsidRPr="00A743C9" w:rsidRDefault="00B86BF1" w:rsidP="000376C7">
            <w:pPr>
              <w:rPr>
                <w:rFonts w:eastAsia="Times New Roman" w:cs="Calibri"/>
                <w:color w:val="auto"/>
                <w:sz w:val="16"/>
                <w:szCs w:val="16"/>
              </w:rPr>
            </w:pPr>
            <w:r w:rsidRPr="00A743C9">
              <w:rPr>
                <w:rFonts w:eastAsia="Times New Roman" w:cs="Calibri"/>
                <w:color w:val="auto"/>
                <w:sz w:val="16"/>
                <w:szCs w:val="16"/>
              </w:rPr>
              <w:t>Iceland</w:t>
            </w:r>
          </w:p>
        </w:tc>
        <w:tc>
          <w:tcPr>
            <w:tcW w:w="1119" w:type="dxa"/>
            <w:tcBorders>
              <w:left w:val="single" w:sz="4" w:space="0" w:color="auto"/>
              <w:bottom w:val="nil"/>
            </w:tcBorders>
            <w:noWrap/>
            <w:hideMark/>
          </w:tcPr>
          <w:p w14:paraId="344ADCD9"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17.5</w:t>
            </w:r>
          </w:p>
        </w:tc>
        <w:tc>
          <w:tcPr>
            <w:tcW w:w="1119" w:type="dxa"/>
            <w:tcBorders>
              <w:bottom w:val="nil"/>
            </w:tcBorders>
            <w:noWrap/>
            <w:hideMark/>
          </w:tcPr>
          <w:p w14:paraId="37073578"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18.6</w:t>
            </w:r>
          </w:p>
        </w:tc>
        <w:tc>
          <w:tcPr>
            <w:tcW w:w="1119" w:type="dxa"/>
            <w:tcBorders>
              <w:bottom w:val="nil"/>
              <w:right w:val="single" w:sz="4" w:space="0" w:color="auto"/>
            </w:tcBorders>
            <w:noWrap/>
            <w:hideMark/>
          </w:tcPr>
          <w:p w14:paraId="2A9AFEC2"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16.3</w:t>
            </w:r>
          </w:p>
        </w:tc>
        <w:tc>
          <w:tcPr>
            <w:tcW w:w="1119" w:type="dxa"/>
            <w:tcBorders>
              <w:left w:val="single" w:sz="4" w:space="0" w:color="auto"/>
              <w:bottom w:val="nil"/>
            </w:tcBorders>
            <w:noWrap/>
            <w:hideMark/>
          </w:tcPr>
          <w:p w14:paraId="172C1ADE"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13.1</w:t>
            </w:r>
          </w:p>
        </w:tc>
        <w:tc>
          <w:tcPr>
            <w:tcW w:w="1118" w:type="dxa"/>
            <w:tcBorders>
              <w:bottom w:val="nil"/>
            </w:tcBorders>
            <w:noWrap/>
            <w:hideMark/>
          </w:tcPr>
          <w:p w14:paraId="120F6794"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13.1</w:t>
            </w:r>
          </w:p>
        </w:tc>
        <w:tc>
          <w:tcPr>
            <w:tcW w:w="1118" w:type="dxa"/>
            <w:tcBorders>
              <w:bottom w:val="nil"/>
              <w:right w:val="single" w:sz="4" w:space="0" w:color="auto"/>
            </w:tcBorders>
            <w:noWrap/>
            <w:hideMark/>
          </w:tcPr>
          <w:p w14:paraId="740563B1"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13.1</w:t>
            </w:r>
          </w:p>
        </w:tc>
        <w:tc>
          <w:tcPr>
            <w:tcW w:w="1118" w:type="dxa"/>
            <w:tcBorders>
              <w:left w:val="single" w:sz="4" w:space="0" w:color="auto"/>
              <w:bottom w:val="nil"/>
            </w:tcBorders>
            <w:noWrap/>
            <w:hideMark/>
          </w:tcPr>
          <w:p w14:paraId="0DCE6FB8"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13.4</w:t>
            </w:r>
          </w:p>
        </w:tc>
        <w:tc>
          <w:tcPr>
            <w:tcW w:w="1118" w:type="dxa"/>
            <w:tcBorders>
              <w:bottom w:val="nil"/>
            </w:tcBorders>
            <w:noWrap/>
            <w:hideMark/>
          </w:tcPr>
          <w:p w14:paraId="43A0A768"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14.2</w:t>
            </w:r>
          </w:p>
        </w:tc>
        <w:tc>
          <w:tcPr>
            <w:tcW w:w="1118" w:type="dxa"/>
            <w:tcBorders>
              <w:bottom w:val="nil"/>
              <w:right w:val="single" w:sz="4" w:space="0" w:color="auto"/>
            </w:tcBorders>
            <w:noWrap/>
            <w:hideMark/>
          </w:tcPr>
          <w:p w14:paraId="05431827"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12.7</w:t>
            </w:r>
          </w:p>
        </w:tc>
        <w:tc>
          <w:tcPr>
            <w:tcW w:w="1118" w:type="dxa"/>
            <w:tcBorders>
              <w:left w:val="single" w:sz="4" w:space="0" w:color="auto"/>
              <w:bottom w:val="nil"/>
            </w:tcBorders>
            <w:noWrap/>
            <w:hideMark/>
          </w:tcPr>
          <w:p w14:paraId="7A023BB3"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11.5</w:t>
            </w:r>
          </w:p>
        </w:tc>
        <w:tc>
          <w:tcPr>
            <w:tcW w:w="1118" w:type="dxa"/>
            <w:tcBorders>
              <w:bottom w:val="nil"/>
            </w:tcBorders>
            <w:noWrap/>
            <w:hideMark/>
          </w:tcPr>
          <w:p w14:paraId="42B93052"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12.4</w:t>
            </w:r>
          </w:p>
        </w:tc>
        <w:tc>
          <w:tcPr>
            <w:tcW w:w="1118" w:type="dxa"/>
            <w:tcBorders>
              <w:bottom w:val="nil"/>
              <w:right w:val="single" w:sz="4" w:space="0" w:color="auto"/>
            </w:tcBorders>
            <w:noWrap/>
            <w:hideMark/>
          </w:tcPr>
          <w:p w14:paraId="557FA203"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10.7</w:t>
            </w:r>
          </w:p>
        </w:tc>
      </w:tr>
      <w:tr w:rsidR="00B86BF1" w:rsidRPr="00A743C9" w14:paraId="0A3A893E" w14:textId="77777777" w:rsidTr="000376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6" w:type="dxa"/>
            <w:tcBorders>
              <w:left w:val="single" w:sz="4" w:space="0" w:color="auto"/>
              <w:bottom w:val="nil"/>
              <w:right w:val="single" w:sz="4" w:space="0" w:color="auto"/>
            </w:tcBorders>
            <w:noWrap/>
            <w:hideMark/>
          </w:tcPr>
          <w:p w14:paraId="25EBBE4B" w14:textId="77777777" w:rsidR="00B86BF1" w:rsidRPr="00A743C9" w:rsidRDefault="00B86BF1" w:rsidP="000376C7">
            <w:pPr>
              <w:rPr>
                <w:rFonts w:eastAsia="Times New Roman" w:cs="Calibri"/>
                <w:color w:val="auto"/>
                <w:sz w:val="16"/>
                <w:szCs w:val="16"/>
              </w:rPr>
            </w:pPr>
            <w:r w:rsidRPr="00A743C9">
              <w:rPr>
                <w:rFonts w:eastAsia="Times New Roman" w:cs="Calibri"/>
                <w:color w:val="auto"/>
                <w:sz w:val="16"/>
                <w:szCs w:val="16"/>
              </w:rPr>
              <w:t>India</w:t>
            </w:r>
          </w:p>
        </w:tc>
        <w:tc>
          <w:tcPr>
            <w:tcW w:w="1119" w:type="dxa"/>
            <w:tcBorders>
              <w:left w:val="single" w:sz="4" w:space="0" w:color="auto"/>
              <w:bottom w:val="nil"/>
            </w:tcBorders>
            <w:noWrap/>
            <w:hideMark/>
          </w:tcPr>
          <w:p w14:paraId="5FF00CAD"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12.4</w:t>
            </w:r>
          </w:p>
        </w:tc>
        <w:tc>
          <w:tcPr>
            <w:tcW w:w="1119" w:type="dxa"/>
            <w:tcBorders>
              <w:bottom w:val="nil"/>
            </w:tcBorders>
            <w:noWrap/>
            <w:hideMark/>
          </w:tcPr>
          <w:p w14:paraId="172322FD"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21.9</w:t>
            </w:r>
          </w:p>
        </w:tc>
        <w:tc>
          <w:tcPr>
            <w:tcW w:w="1119" w:type="dxa"/>
            <w:tcBorders>
              <w:bottom w:val="nil"/>
              <w:right w:val="single" w:sz="4" w:space="0" w:color="auto"/>
            </w:tcBorders>
            <w:noWrap/>
            <w:hideMark/>
          </w:tcPr>
          <w:p w14:paraId="3A020B18"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2.3</w:t>
            </w:r>
          </w:p>
        </w:tc>
        <w:tc>
          <w:tcPr>
            <w:tcW w:w="1119" w:type="dxa"/>
            <w:tcBorders>
              <w:left w:val="single" w:sz="4" w:space="0" w:color="auto"/>
              <w:bottom w:val="nil"/>
            </w:tcBorders>
            <w:noWrap/>
            <w:hideMark/>
          </w:tcPr>
          <w:p w14:paraId="7B70609F"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10.7</w:t>
            </w:r>
          </w:p>
        </w:tc>
        <w:tc>
          <w:tcPr>
            <w:tcW w:w="1118" w:type="dxa"/>
            <w:tcBorders>
              <w:bottom w:val="nil"/>
            </w:tcBorders>
            <w:noWrap/>
            <w:hideMark/>
          </w:tcPr>
          <w:p w14:paraId="2137A9DA"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19.1</w:t>
            </w:r>
          </w:p>
        </w:tc>
        <w:tc>
          <w:tcPr>
            <w:tcW w:w="1118" w:type="dxa"/>
            <w:tcBorders>
              <w:bottom w:val="nil"/>
              <w:right w:val="single" w:sz="4" w:space="0" w:color="auto"/>
            </w:tcBorders>
            <w:noWrap/>
            <w:hideMark/>
          </w:tcPr>
          <w:p w14:paraId="6F7BCDDC"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1.9</w:t>
            </w:r>
          </w:p>
        </w:tc>
        <w:tc>
          <w:tcPr>
            <w:tcW w:w="1118" w:type="dxa"/>
            <w:tcBorders>
              <w:left w:val="single" w:sz="4" w:space="0" w:color="auto"/>
              <w:bottom w:val="nil"/>
            </w:tcBorders>
            <w:noWrap/>
            <w:hideMark/>
          </w:tcPr>
          <w:p w14:paraId="7B955D91"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5.2</w:t>
            </w:r>
          </w:p>
        </w:tc>
        <w:tc>
          <w:tcPr>
            <w:tcW w:w="1118" w:type="dxa"/>
            <w:tcBorders>
              <w:bottom w:val="nil"/>
            </w:tcBorders>
            <w:noWrap/>
            <w:hideMark/>
          </w:tcPr>
          <w:p w14:paraId="2C336C34"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9.4</w:t>
            </w:r>
          </w:p>
        </w:tc>
        <w:tc>
          <w:tcPr>
            <w:tcW w:w="1118" w:type="dxa"/>
            <w:tcBorders>
              <w:bottom w:val="nil"/>
              <w:right w:val="single" w:sz="4" w:space="0" w:color="auto"/>
            </w:tcBorders>
            <w:noWrap/>
            <w:hideMark/>
          </w:tcPr>
          <w:p w14:paraId="4BCAC95A"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0.8</w:t>
            </w:r>
          </w:p>
        </w:tc>
        <w:tc>
          <w:tcPr>
            <w:tcW w:w="1118" w:type="dxa"/>
            <w:tcBorders>
              <w:left w:val="single" w:sz="4" w:space="0" w:color="auto"/>
              <w:bottom w:val="nil"/>
            </w:tcBorders>
            <w:noWrap/>
            <w:hideMark/>
          </w:tcPr>
          <w:p w14:paraId="3D9B5FF5"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3.1</w:t>
            </w:r>
          </w:p>
        </w:tc>
        <w:tc>
          <w:tcPr>
            <w:tcW w:w="1118" w:type="dxa"/>
            <w:tcBorders>
              <w:bottom w:val="nil"/>
            </w:tcBorders>
            <w:noWrap/>
            <w:hideMark/>
          </w:tcPr>
          <w:p w14:paraId="0CBD00D1"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5.6</w:t>
            </w:r>
          </w:p>
        </w:tc>
        <w:tc>
          <w:tcPr>
            <w:tcW w:w="1118" w:type="dxa"/>
            <w:tcBorders>
              <w:bottom w:val="nil"/>
              <w:right w:val="single" w:sz="4" w:space="0" w:color="auto"/>
            </w:tcBorders>
            <w:noWrap/>
            <w:hideMark/>
          </w:tcPr>
          <w:p w14:paraId="49D4F7FD"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0.6</w:t>
            </w:r>
          </w:p>
        </w:tc>
      </w:tr>
      <w:tr w:rsidR="00B86BF1" w:rsidRPr="00A743C9" w14:paraId="380F6078" w14:textId="77777777" w:rsidTr="000376C7">
        <w:trPr>
          <w:trHeight w:val="300"/>
        </w:trPr>
        <w:tc>
          <w:tcPr>
            <w:cnfStyle w:val="001000000000" w:firstRow="0" w:lastRow="0" w:firstColumn="1" w:lastColumn="0" w:oddVBand="0" w:evenVBand="0" w:oddHBand="0" w:evenHBand="0" w:firstRowFirstColumn="0" w:firstRowLastColumn="0" w:lastRowFirstColumn="0" w:lastRowLastColumn="0"/>
            <w:tcW w:w="1606" w:type="dxa"/>
            <w:tcBorders>
              <w:left w:val="single" w:sz="4" w:space="0" w:color="auto"/>
              <w:bottom w:val="nil"/>
              <w:right w:val="single" w:sz="4" w:space="0" w:color="auto"/>
            </w:tcBorders>
            <w:noWrap/>
            <w:hideMark/>
          </w:tcPr>
          <w:p w14:paraId="02AFCB52" w14:textId="77777777" w:rsidR="00B86BF1" w:rsidRPr="00A743C9" w:rsidRDefault="00B86BF1" w:rsidP="000376C7">
            <w:pPr>
              <w:rPr>
                <w:rFonts w:eastAsia="Times New Roman" w:cs="Calibri"/>
                <w:color w:val="auto"/>
                <w:sz w:val="16"/>
                <w:szCs w:val="16"/>
              </w:rPr>
            </w:pPr>
            <w:r w:rsidRPr="00A743C9">
              <w:rPr>
                <w:rFonts w:eastAsia="Times New Roman" w:cs="Calibri"/>
                <w:color w:val="auto"/>
                <w:sz w:val="16"/>
                <w:szCs w:val="16"/>
              </w:rPr>
              <w:t>Indonesia</w:t>
            </w:r>
          </w:p>
        </w:tc>
        <w:tc>
          <w:tcPr>
            <w:tcW w:w="1119" w:type="dxa"/>
            <w:tcBorders>
              <w:left w:val="single" w:sz="4" w:space="0" w:color="auto"/>
              <w:bottom w:val="nil"/>
            </w:tcBorders>
            <w:noWrap/>
            <w:hideMark/>
          </w:tcPr>
          <w:p w14:paraId="2D17BA51"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38.5</w:t>
            </w:r>
          </w:p>
        </w:tc>
        <w:tc>
          <w:tcPr>
            <w:tcW w:w="1119" w:type="dxa"/>
            <w:tcBorders>
              <w:bottom w:val="nil"/>
            </w:tcBorders>
            <w:noWrap/>
            <w:hideMark/>
          </w:tcPr>
          <w:p w14:paraId="025391BE"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73.3</w:t>
            </w:r>
          </w:p>
        </w:tc>
        <w:tc>
          <w:tcPr>
            <w:tcW w:w="1119" w:type="dxa"/>
            <w:tcBorders>
              <w:bottom w:val="nil"/>
              <w:right w:val="single" w:sz="4" w:space="0" w:color="auto"/>
            </w:tcBorders>
            <w:noWrap/>
            <w:hideMark/>
          </w:tcPr>
          <w:p w14:paraId="5B0AE81C"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3.8</w:t>
            </w:r>
          </w:p>
        </w:tc>
        <w:tc>
          <w:tcPr>
            <w:tcW w:w="1119" w:type="dxa"/>
            <w:tcBorders>
              <w:left w:val="single" w:sz="4" w:space="0" w:color="auto"/>
              <w:bottom w:val="nil"/>
            </w:tcBorders>
            <w:noWrap/>
            <w:hideMark/>
          </w:tcPr>
          <w:p w14:paraId="4C775BF5"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33.1</w:t>
            </w:r>
          </w:p>
        </w:tc>
        <w:tc>
          <w:tcPr>
            <w:tcW w:w="1118" w:type="dxa"/>
            <w:tcBorders>
              <w:bottom w:val="nil"/>
            </w:tcBorders>
            <w:noWrap/>
            <w:hideMark/>
          </w:tcPr>
          <w:p w14:paraId="1A0F920F"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63.9</w:t>
            </w:r>
          </w:p>
        </w:tc>
        <w:tc>
          <w:tcPr>
            <w:tcW w:w="1118" w:type="dxa"/>
            <w:tcBorders>
              <w:bottom w:val="nil"/>
              <w:right w:val="single" w:sz="4" w:space="0" w:color="auto"/>
            </w:tcBorders>
            <w:noWrap/>
            <w:hideMark/>
          </w:tcPr>
          <w:p w14:paraId="62630AEF"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2.4</w:t>
            </w:r>
          </w:p>
        </w:tc>
        <w:tc>
          <w:tcPr>
            <w:tcW w:w="1118" w:type="dxa"/>
            <w:tcBorders>
              <w:left w:val="single" w:sz="4" w:space="0" w:color="auto"/>
              <w:bottom w:val="nil"/>
            </w:tcBorders>
            <w:noWrap/>
            <w:hideMark/>
          </w:tcPr>
          <w:p w14:paraId="0CA76997"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33.2</w:t>
            </w:r>
          </w:p>
        </w:tc>
        <w:tc>
          <w:tcPr>
            <w:tcW w:w="1118" w:type="dxa"/>
            <w:tcBorders>
              <w:bottom w:val="nil"/>
            </w:tcBorders>
            <w:noWrap/>
            <w:hideMark/>
          </w:tcPr>
          <w:p w14:paraId="0D8A7583"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63</w:t>
            </w:r>
          </w:p>
        </w:tc>
        <w:tc>
          <w:tcPr>
            <w:tcW w:w="1118" w:type="dxa"/>
            <w:tcBorders>
              <w:bottom w:val="nil"/>
              <w:right w:val="single" w:sz="4" w:space="0" w:color="auto"/>
            </w:tcBorders>
            <w:noWrap/>
            <w:hideMark/>
          </w:tcPr>
          <w:p w14:paraId="13CAEA26"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3.5</w:t>
            </w:r>
          </w:p>
        </w:tc>
        <w:tc>
          <w:tcPr>
            <w:tcW w:w="1118" w:type="dxa"/>
            <w:tcBorders>
              <w:left w:val="single" w:sz="4" w:space="0" w:color="auto"/>
              <w:bottom w:val="nil"/>
            </w:tcBorders>
            <w:noWrap/>
            <w:hideMark/>
          </w:tcPr>
          <w:p w14:paraId="6A857930"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30.8</w:t>
            </w:r>
          </w:p>
        </w:tc>
        <w:tc>
          <w:tcPr>
            <w:tcW w:w="1118" w:type="dxa"/>
            <w:tcBorders>
              <w:bottom w:val="nil"/>
            </w:tcBorders>
            <w:noWrap/>
            <w:hideMark/>
          </w:tcPr>
          <w:p w14:paraId="1D8707EC"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59.4</w:t>
            </w:r>
          </w:p>
        </w:tc>
        <w:tc>
          <w:tcPr>
            <w:tcW w:w="1118" w:type="dxa"/>
            <w:tcBorders>
              <w:bottom w:val="nil"/>
              <w:right w:val="single" w:sz="4" w:space="0" w:color="auto"/>
            </w:tcBorders>
            <w:noWrap/>
            <w:hideMark/>
          </w:tcPr>
          <w:p w14:paraId="6047A846"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2.3</w:t>
            </w:r>
          </w:p>
        </w:tc>
      </w:tr>
      <w:tr w:rsidR="00B86BF1" w:rsidRPr="00A743C9" w14:paraId="42E74FEE" w14:textId="77777777" w:rsidTr="000376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6" w:type="dxa"/>
            <w:tcBorders>
              <w:left w:val="single" w:sz="4" w:space="0" w:color="auto"/>
              <w:bottom w:val="nil"/>
              <w:right w:val="single" w:sz="4" w:space="0" w:color="auto"/>
            </w:tcBorders>
            <w:noWrap/>
            <w:hideMark/>
          </w:tcPr>
          <w:p w14:paraId="40F4A9AB" w14:textId="77777777" w:rsidR="00B86BF1" w:rsidRPr="00A743C9" w:rsidRDefault="00B86BF1" w:rsidP="000376C7">
            <w:pPr>
              <w:rPr>
                <w:rFonts w:eastAsia="Times New Roman" w:cs="Calibri"/>
                <w:color w:val="auto"/>
                <w:sz w:val="16"/>
                <w:szCs w:val="16"/>
              </w:rPr>
            </w:pPr>
            <w:r w:rsidRPr="00A743C9">
              <w:rPr>
                <w:rFonts w:eastAsia="Times New Roman" w:cs="Calibri"/>
                <w:color w:val="auto"/>
                <w:sz w:val="16"/>
                <w:szCs w:val="16"/>
              </w:rPr>
              <w:t>Iran</w:t>
            </w:r>
          </w:p>
        </w:tc>
        <w:tc>
          <w:tcPr>
            <w:tcW w:w="1119" w:type="dxa"/>
            <w:tcBorders>
              <w:left w:val="single" w:sz="4" w:space="0" w:color="auto"/>
              <w:bottom w:val="nil"/>
            </w:tcBorders>
            <w:noWrap/>
            <w:hideMark/>
          </w:tcPr>
          <w:p w14:paraId="051DE94E"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11.7</w:t>
            </w:r>
          </w:p>
        </w:tc>
        <w:tc>
          <w:tcPr>
            <w:tcW w:w="1119" w:type="dxa"/>
            <w:tcBorders>
              <w:bottom w:val="nil"/>
            </w:tcBorders>
            <w:noWrap/>
            <w:hideMark/>
          </w:tcPr>
          <w:p w14:paraId="678C0331"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22.4</w:t>
            </w:r>
          </w:p>
        </w:tc>
        <w:tc>
          <w:tcPr>
            <w:tcW w:w="1119" w:type="dxa"/>
            <w:tcBorders>
              <w:bottom w:val="nil"/>
              <w:right w:val="single" w:sz="4" w:space="0" w:color="auto"/>
            </w:tcBorders>
            <w:noWrap/>
            <w:hideMark/>
          </w:tcPr>
          <w:p w14:paraId="01634EF0"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w:t>
            </w:r>
          </w:p>
        </w:tc>
        <w:tc>
          <w:tcPr>
            <w:tcW w:w="1119" w:type="dxa"/>
            <w:tcBorders>
              <w:left w:val="single" w:sz="4" w:space="0" w:color="auto"/>
              <w:bottom w:val="nil"/>
            </w:tcBorders>
            <w:noWrap/>
            <w:hideMark/>
          </w:tcPr>
          <w:p w14:paraId="59D80263"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10.4</w:t>
            </w:r>
          </w:p>
        </w:tc>
        <w:tc>
          <w:tcPr>
            <w:tcW w:w="1118" w:type="dxa"/>
            <w:tcBorders>
              <w:bottom w:val="nil"/>
            </w:tcBorders>
            <w:noWrap/>
            <w:hideMark/>
          </w:tcPr>
          <w:p w14:paraId="4EE06875"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20</w:t>
            </w:r>
          </w:p>
        </w:tc>
        <w:tc>
          <w:tcPr>
            <w:tcW w:w="1118" w:type="dxa"/>
            <w:tcBorders>
              <w:bottom w:val="nil"/>
              <w:right w:val="single" w:sz="4" w:space="0" w:color="auto"/>
            </w:tcBorders>
            <w:noWrap/>
            <w:hideMark/>
          </w:tcPr>
          <w:p w14:paraId="1214234E"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0.8</w:t>
            </w:r>
          </w:p>
        </w:tc>
        <w:tc>
          <w:tcPr>
            <w:tcW w:w="1118" w:type="dxa"/>
            <w:tcBorders>
              <w:left w:val="single" w:sz="4" w:space="0" w:color="auto"/>
              <w:bottom w:val="nil"/>
            </w:tcBorders>
            <w:noWrap/>
            <w:hideMark/>
          </w:tcPr>
          <w:p w14:paraId="299B0FCD"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7.8</w:t>
            </w:r>
          </w:p>
        </w:tc>
        <w:tc>
          <w:tcPr>
            <w:tcW w:w="1118" w:type="dxa"/>
            <w:tcBorders>
              <w:bottom w:val="nil"/>
            </w:tcBorders>
            <w:noWrap/>
            <w:hideMark/>
          </w:tcPr>
          <w:p w14:paraId="3CB9E23F"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15</w:t>
            </w:r>
          </w:p>
        </w:tc>
        <w:tc>
          <w:tcPr>
            <w:tcW w:w="1118" w:type="dxa"/>
            <w:tcBorders>
              <w:bottom w:val="nil"/>
              <w:right w:val="single" w:sz="4" w:space="0" w:color="auto"/>
            </w:tcBorders>
            <w:noWrap/>
            <w:hideMark/>
          </w:tcPr>
          <w:p w14:paraId="42295C42"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0.6</w:t>
            </w:r>
          </w:p>
        </w:tc>
        <w:tc>
          <w:tcPr>
            <w:tcW w:w="1118" w:type="dxa"/>
            <w:tcBorders>
              <w:left w:val="single" w:sz="4" w:space="0" w:color="auto"/>
              <w:bottom w:val="nil"/>
            </w:tcBorders>
            <w:noWrap/>
            <w:hideMark/>
          </w:tcPr>
          <w:p w14:paraId="47C533DB"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5.6</w:t>
            </w:r>
          </w:p>
        </w:tc>
        <w:tc>
          <w:tcPr>
            <w:tcW w:w="1118" w:type="dxa"/>
            <w:tcBorders>
              <w:bottom w:val="nil"/>
            </w:tcBorders>
            <w:noWrap/>
            <w:hideMark/>
          </w:tcPr>
          <w:p w14:paraId="73633744"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10.8</w:t>
            </w:r>
          </w:p>
        </w:tc>
        <w:tc>
          <w:tcPr>
            <w:tcW w:w="1118" w:type="dxa"/>
            <w:tcBorders>
              <w:bottom w:val="nil"/>
              <w:right w:val="single" w:sz="4" w:space="0" w:color="auto"/>
            </w:tcBorders>
            <w:noWrap/>
            <w:hideMark/>
          </w:tcPr>
          <w:p w14:paraId="404C1C52"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0.4</w:t>
            </w:r>
          </w:p>
        </w:tc>
      </w:tr>
      <w:tr w:rsidR="00B86BF1" w:rsidRPr="00A743C9" w14:paraId="50AE5D49" w14:textId="77777777" w:rsidTr="000376C7">
        <w:trPr>
          <w:trHeight w:val="300"/>
        </w:trPr>
        <w:tc>
          <w:tcPr>
            <w:cnfStyle w:val="001000000000" w:firstRow="0" w:lastRow="0" w:firstColumn="1" w:lastColumn="0" w:oddVBand="0" w:evenVBand="0" w:oddHBand="0" w:evenHBand="0" w:firstRowFirstColumn="0" w:firstRowLastColumn="0" w:lastRowFirstColumn="0" w:lastRowLastColumn="0"/>
            <w:tcW w:w="1606" w:type="dxa"/>
            <w:tcBorders>
              <w:left w:val="single" w:sz="4" w:space="0" w:color="auto"/>
              <w:bottom w:val="nil"/>
              <w:right w:val="single" w:sz="4" w:space="0" w:color="auto"/>
            </w:tcBorders>
            <w:noWrap/>
            <w:hideMark/>
          </w:tcPr>
          <w:p w14:paraId="3EF224A5" w14:textId="77777777" w:rsidR="00B86BF1" w:rsidRPr="00A743C9" w:rsidRDefault="00B86BF1" w:rsidP="000376C7">
            <w:pPr>
              <w:rPr>
                <w:rFonts w:eastAsia="Times New Roman" w:cs="Calibri"/>
                <w:color w:val="auto"/>
                <w:sz w:val="16"/>
                <w:szCs w:val="16"/>
              </w:rPr>
            </w:pPr>
            <w:r w:rsidRPr="00A743C9">
              <w:rPr>
                <w:rFonts w:eastAsia="Times New Roman" w:cs="Calibri"/>
                <w:color w:val="auto"/>
                <w:sz w:val="16"/>
                <w:szCs w:val="16"/>
              </w:rPr>
              <w:t>Ireland</w:t>
            </w:r>
          </w:p>
        </w:tc>
        <w:tc>
          <w:tcPr>
            <w:tcW w:w="1119" w:type="dxa"/>
            <w:tcBorders>
              <w:left w:val="single" w:sz="4" w:space="0" w:color="auto"/>
              <w:bottom w:val="nil"/>
            </w:tcBorders>
            <w:noWrap/>
            <w:hideMark/>
          </w:tcPr>
          <w:p w14:paraId="6A7496D8"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23.2</w:t>
            </w:r>
          </w:p>
        </w:tc>
        <w:tc>
          <w:tcPr>
            <w:tcW w:w="1119" w:type="dxa"/>
            <w:tcBorders>
              <w:bottom w:val="nil"/>
            </w:tcBorders>
            <w:noWrap/>
            <w:hideMark/>
          </w:tcPr>
          <w:p w14:paraId="15CBD28F"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23.6</w:t>
            </w:r>
          </w:p>
        </w:tc>
        <w:tc>
          <w:tcPr>
            <w:tcW w:w="1119" w:type="dxa"/>
            <w:tcBorders>
              <w:bottom w:val="nil"/>
              <w:right w:val="single" w:sz="4" w:space="0" w:color="auto"/>
            </w:tcBorders>
            <w:noWrap/>
            <w:hideMark/>
          </w:tcPr>
          <w:p w14:paraId="4759759D"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22.9</w:t>
            </w:r>
          </w:p>
        </w:tc>
        <w:tc>
          <w:tcPr>
            <w:tcW w:w="1119" w:type="dxa"/>
            <w:tcBorders>
              <w:left w:val="single" w:sz="4" w:space="0" w:color="auto"/>
              <w:bottom w:val="nil"/>
            </w:tcBorders>
            <w:noWrap/>
            <w:hideMark/>
          </w:tcPr>
          <w:p w14:paraId="4E01F4AE"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19.2</w:t>
            </w:r>
          </w:p>
        </w:tc>
        <w:tc>
          <w:tcPr>
            <w:tcW w:w="1118" w:type="dxa"/>
            <w:tcBorders>
              <w:bottom w:val="nil"/>
            </w:tcBorders>
            <w:noWrap/>
            <w:hideMark/>
          </w:tcPr>
          <w:p w14:paraId="3C149F96"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19</w:t>
            </w:r>
          </w:p>
        </w:tc>
        <w:tc>
          <w:tcPr>
            <w:tcW w:w="1118" w:type="dxa"/>
            <w:tcBorders>
              <w:bottom w:val="nil"/>
              <w:right w:val="single" w:sz="4" w:space="0" w:color="auto"/>
            </w:tcBorders>
            <w:noWrap/>
            <w:hideMark/>
          </w:tcPr>
          <w:p w14:paraId="7E3B184D"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19.4</w:t>
            </w:r>
          </w:p>
        </w:tc>
        <w:tc>
          <w:tcPr>
            <w:tcW w:w="1118" w:type="dxa"/>
            <w:tcBorders>
              <w:left w:val="single" w:sz="4" w:space="0" w:color="auto"/>
              <w:bottom w:val="nil"/>
            </w:tcBorders>
            <w:noWrap/>
            <w:hideMark/>
          </w:tcPr>
          <w:p w14:paraId="3C2047DF"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23.2</w:t>
            </w:r>
          </w:p>
        </w:tc>
        <w:tc>
          <w:tcPr>
            <w:tcW w:w="1118" w:type="dxa"/>
            <w:tcBorders>
              <w:bottom w:val="nil"/>
            </w:tcBorders>
            <w:noWrap/>
            <w:hideMark/>
          </w:tcPr>
          <w:p w14:paraId="3D720044"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23.6</w:t>
            </w:r>
          </w:p>
        </w:tc>
        <w:tc>
          <w:tcPr>
            <w:tcW w:w="1118" w:type="dxa"/>
            <w:tcBorders>
              <w:bottom w:val="nil"/>
              <w:right w:val="single" w:sz="4" w:space="0" w:color="auto"/>
            </w:tcBorders>
            <w:noWrap/>
            <w:hideMark/>
          </w:tcPr>
          <w:p w14:paraId="59810AC4"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22.9</w:t>
            </w:r>
          </w:p>
        </w:tc>
        <w:tc>
          <w:tcPr>
            <w:tcW w:w="1118" w:type="dxa"/>
            <w:tcBorders>
              <w:left w:val="single" w:sz="4" w:space="0" w:color="auto"/>
              <w:bottom w:val="nil"/>
            </w:tcBorders>
            <w:noWrap/>
            <w:hideMark/>
          </w:tcPr>
          <w:p w14:paraId="4686E7C8"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19.2</w:t>
            </w:r>
          </w:p>
        </w:tc>
        <w:tc>
          <w:tcPr>
            <w:tcW w:w="1118" w:type="dxa"/>
            <w:tcBorders>
              <w:bottom w:val="nil"/>
            </w:tcBorders>
            <w:noWrap/>
            <w:hideMark/>
          </w:tcPr>
          <w:p w14:paraId="4076B0AF"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19</w:t>
            </w:r>
          </w:p>
        </w:tc>
        <w:tc>
          <w:tcPr>
            <w:tcW w:w="1118" w:type="dxa"/>
            <w:tcBorders>
              <w:bottom w:val="nil"/>
              <w:right w:val="single" w:sz="4" w:space="0" w:color="auto"/>
            </w:tcBorders>
            <w:noWrap/>
            <w:hideMark/>
          </w:tcPr>
          <w:p w14:paraId="2464F8ED"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19.4</w:t>
            </w:r>
          </w:p>
        </w:tc>
      </w:tr>
      <w:tr w:rsidR="00B86BF1" w:rsidRPr="00A743C9" w14:paraId="1632B060" w14:textId="77777777" w:rsidTr="000376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6" w:type="dxa"/>
            <w:tcBorders>
              <w:left w:val="single" w:sz="4" w:space="0" w:color="auto"/>
              <w:bottom w:val="nil"/>
              <w:right w:val="single" w:sz="4" w:space="0" w:color="auto"/>
            </w:tcBorders>
            <w:noWrap/>
            <w:hideMark/>
          </w:tcPr>
          <w:p w14:paraId="4C3D9468" w14:textId="77777777" w:rsidR="00B86BF1" w:rsidRPr="00A743C9" w:rsidRDefault="00B86BF1" w:rsidP="000376C7">
            <w:pPr>
              <w:rPr>
                <w:rFonts w:eastAsia="Times New Roman" w:cs="Calibri"/>
                <w:color w:val="auto"/>
                <w:sz w:val="16"/>
                <w:szCs w:val="16"/>
              </w:rPr>
            </w:pPr>
            <w:r w:rsidRPr="00A743C9">
              <w:rPr>
                <w:rFonts w:eastAsia="Times New Roman" w:cs="Calibri"/>
                <w:color w:val="auto"/>
                <w:sz w:val="16"/>
                <w:szCs w:val="16"/>
              </w:rPr>
              <w:t>Israel</w:t>
            </w:r>
          </w:p>
        </w:tc>
        <w:tc>
          <w:tcPr>
            <w:tcW w:w="1119" w:type="dxa"/>
            <w:tcBorders>
              <w:left w:val="single" w:sz="4" w:space="0" w:color="auto"/>
              <w:bottom w:val="nil"/>
            </w:tcBorders>
            <w:noWrap/>
            <w:hideMark/>
          </w:tcPr>
          <w:p w14:paraId="71734048"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30.4</w:t>
            </w:r>
          </w:p>
        </w:tc>
        <w:tc>
          <w:tcPr>
            <w:tcW w:w="1119" w:type="dxa"/>
            <w:tcBorders>
              <w:bottom w:val="nil"/>
            </w:tcBorders>
            <w:noWrap/>
            <w:hideMark/>
          </w:tcPr>
          <w:p w14:paraId="6D75F693"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41.5</w:t>
            </w:r>
          </w:p>
        </w:tc>
        <w:tc>
          <w:tcPr>
            <w:tcW w:w="1119" w:type="dxa"/>
            <w:tcBorders>
              <w:bottom w:val="nil"/>
              <w:right w:val="single" w:sz="4" w:space="0" w:color="auto"/>
            </w:tcBorders>
            <w:noWrap/>
            <w:hideMark/>
          </w:tcPr>
          <w:p w14:paraId="61815F4F"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19.8</w:t>
            </w:r>
          </w:p>
        </w:tc>
        <w:tc>
          <w:tcPr>
            <w:tcW w:w="1119" w:type="dxa"/>
            <w:tcBorders>
              <w:left w:val="single" w:sz="4" w:space="0" w:color="auto"/>
              <w:bottom w:val="nil"/>
            </w:tcBorders>
            <w:noWrap/>
            <w:hideMark/>
          </w:tcPr>
          <w:p w14:paraId="3B3247EB"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23.3</w:t>
            </w:r>
          </w:p>
        </w:tc>
        <w:tc>
          <w:tcPr>
            <w:tcW w:w="1118" w:type="dxa"/>
            <w:tcBorders>
              <w:bottom w:val="nil"/>
            </w:tcBorders>
            <w:noWrap/>
            <w:hideMark/>
          </w:tcPr>
          <w:p w14:paraId="12FDE3A2"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31.9</w:t>
            </w:r>
          </w:p>
        </w:tc>
        <w:tc>
          <w:tcPr>
            <w:tcW w:w="1118" w:type="dxa"/>
            <w:tcBorders>
              <w:bottom w:val="nil"/>
              <w:right w:val="single" w:sz="4" w:space="0" w:color="auto"/>
            </w:tcBorders>
            <w:noWrap/>
            <w:hideMark/>
          </w:tcPr>
          <w:p w14:paraId="3112687D"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15</w:t>
            </w:r>
          </w:p>
        </w:tc>
        <w:tc>
          <w:tcPr>
            <w:tcW w:w="1118" w:type="dxa"/>
            <w:tcBorders>
              <w:left w:val="single" w:sz="4" w:space="0" w:color="auto"/>
              <w:bottom w:val="nil"/>
            </w:tcBorders>
            <w:noWrap/>
            <w:hideMark/>
          </w:tcPr>
          <w:p w14:paraId="2A3F4473"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25.1</w:t>
            </w:r>
          </w:p>
        </w:tc>
        <w:tc>
          <w:tcPr>
            <w:tcW w:w="1118" w:type="dxa"/>
            <w:tcBorders>
              <w:bottom w:val="nil"/>
            </w:tcBorders>
            <w:noWrap/>
            <w:hideMark/>
          </w:tcPr>
          <w:p w14:paraId="5831BCBA"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34.3</w:t>
            </w:r>
          </w:p>
        </w:tc>
        <w:tc>
          <w:tcPr>
            <w:tcW w:w="1118" w:type="dxa"/>
            <w:tcBorders>
              <w:bottom w:val="nil"/>
              <w:right w:val="single" w:sz="4" w:space="0" w:color="auto"/>
            </w:tcBorders>
            <w:noWrap/>
            <w:hideMark/>
          </w:tcPr>
          <w:p w14:paraId="07221A51"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16.4</w:t>
            </w:r>
          </w:p>
        </w:tc>
        <w:tc>
          <w:tcPr>
            <w:tcW w:w="1118" w:type="dxa"/>
            <w:tcBorders>
              <w:left w:val="single" w:sz="4" w:space="0" w:color="auto"/>
              <w:bottom w:val="nil"/>
            </w:tcBorders>
            <w:noWrap/>
            <w:hideMark/>
          </w:tcPr>
          <w:p w14:paraId="42585ABC"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21.6</w:t>
            </w:r>
          </w:p>
        </w:tc>
        <w:tc>
          <w:tcPr>
            <w:tcW w:w="1118" w:type="dxa"/>
            <w:tcBorders>
              <w:bottom w:val="nil"/>
            </w:tcBorders>
            <w:noWrap/>
            <w:hideMark/>
          </w:tcPr>
          <w:p w14:paraId="529DB8CF"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30.3</w:t>
            </w:r>
          </w:p>
        </w:tc>
        <w:tc>
          <w:tcPr>
            <w:tcW w:w="1118" w:type="dxa"/>
            <w:tcBorders>
              <w:bottom w:val="nil"/>
              <w:right w:val="single" w:sz="4" w:space="0" w:color="auto"/>
            </w:tcBorders>
            <w:noWrap/>
            <w:hideMark/>
          </w:tcPr>
          <w:p w14:paraId="07C7C73A"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13.4</w:t>
            </w:r>
          </w:p>
        </w:tc>
      </w:tr>
      <w:tr w:rsidR="00B86BF1" w:rsidRPr="00A743C9" w14:paraId="743F2DDD" w14:textId="77777777" w:rsidTr="000376C7">
        <w:trPr>
          <w:trHeight w:val="300"/>
        </w:trPr>
        <w:tc>
          <w:tcPr>
            <w:cnfStyle w:val="001000000000" w:firstRow="0" w:lastRow="0" w:firstColumn="1" w:lastColumn="0" w:oddVBand="0" w:evenVBand="0" w:oddHBand="0" w:evenHBand="0" w:firstRowFirstColumn="0" w:firstRowLastColumn="0" w:lastRowFirstColumn="0" w:lastRowLastColumn="0"/>
            <w:tcW w:w="1606" w:type="dxa"/>
            <w:tcBorders>
              <w:left w:val="single" w:sz="4" w:space="0" w:color="auto"/>
              <w:bottom w:val="nil"/>
              <w:right w:val="single" w:sz="4" w:space="0" w:color="auto"/>
            </w:tcBorders>
            <w:noWrap/>
            <w:hideMark/>
          </w:tcPr>
          <w:p w14:paraId="31A4FE1C" w14:textId="77777777" w:rsidR="00B86BF1" w:rsidRPr="00A743C9" w:rsidRDefault="00B86BF1" w:rsidP="000376C7">
            <w:pPr>
              <w:rPr>
                <w:rFonts w:eastAsia="Times New Roman" w:cs="Calibri"/>
                <w:color w:val="auto"/>
                <w:sz w:val="16"/>
                <w:szCs w:val="16"/>
              </w:rPr>
            </w:pPr>
            <w:r w:rsidRPr="00A743C9">
              <w:rPr>
                <w:rFonts w:eastAsia="Times New Roman" w:cs="Calibri"/>
                <w:color w:val="auto"/>
                <w:sz w:val="16"/>
                <w:szCs w:val="16"/>
              </w:rPr>
              <w:t>Italy</w:t>
            </w:r>
          </w:p>
        </w:tc>
        <w:tc>
          <w:tcPr>
            <w:tcW w:w="1119" w:type="dxa"/>
            <w:tcBorders>
              <w:left w:val="single" w:sz="4" w:space="0" w:color="auto"/>
              <w:bottom w:val="nil"/>
            </w:tcBorders>
            <w:noWrap/>
            <w:hideMark/>
          </w:tcPr>
          <w:p w14:paraId="21B54A98"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24.2</w:t>
            </w:r>
          </w:p>
        </w:tc>
        <w:tc>
          <w:tcPr>
            <w:tcW w:w="1119" w:type="dxa"/>
            <w:tcBorders>
              <w:bottom w:val="nil"/>
            </w:tcBorders>
            <w:noWrap/>
            <w:hideMark/>
          </w:tcPr>
          <w:p w14:paraId="42FB7B91"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28.8</w:t>
            </w:r>
          </w:p>
        </w:tc>
        <w:tc>
          <w:tcPr>
            <w:tcW w:w="1119" w:type="dxa"/>
            <w:tcBorders>
              <w:bottom w:val="nil"/>
              <w:right w:val="single" w:sz="4" w:space="0" w:color="auto"/>
            </w:tcBorders>
            <w:noWrap/>
            <w:hideMark/>
          </w:tcPr>
          <w:p w14:paraId="44C0350E"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19.9</w:t>
            </w:r>
          </w:p>
        </w:tc>
        <w:tc>
          <w:tcPr>
            <w:tcW w:w="1119" w:type="dxa"/>
            <w:tcBorders>
              <w:left w:val="single" w:sz="4" w:space="0" w:color="auto"/>
              <w:bottom w:val="nil"/>
            </w:tcBorders>
            <w:noWrap/>
            <w:hideMark/>
          </w:tcPr>
          <w:p w14:paraId="1CC02996"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22</w:t>
            </w:r>
          </w:p>
        </w:tc>
        <w:tc>
          <w:tcPr>
            <w:tcW w:w="1118" w:type="dxa"/>
            <w:tcBorders>
              <w:bottom w:val="nil"/>
            </w:tcBorders>
            <w:noWrap/>
            <w:hideMark/>
          </w:tcPr>
          <w:p w14:paraId="13082E9F"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26.1</w:t>
            </w:r>
          </w:p>
        </w:tc>
        <w:tc>
          <w:tcPr>
            <w:tcW w:w="1118" w:type="dxa"/>
            <w:tcBorders>
              <w:bottom w:val="nil"/>
              <w:right w:val="single" w:sz="4" w:space="0" w:color="auto"/>
            </w:tcBorders>
            <w:noWrap/>
            <w:hideMark/>
          </w:tcPr>
          <w:p w14:paraId="3BF1360B"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18.3</w:t>
            </w:r>
          </w:p>
        </w:tc>
        <w:tc>
          <w:tcPr>
            <w:tcW w:w="1118" w:type="dxa"/>
            <w:tcBorders>
              <w:left w:val="single" w:sz="4" w:space="0" w:color="auto"/>
              <w:bottom w:val="nil"/>
            </w:tcBorders>
            <w:noWrap/>
            <w:hideMark/>
          </w:tcPr>
          <w:p w14:paraId="2FB32B40"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23.2</w:t>
            </w:r>
          </w:p>
        </w:tc>
        <w:tc>
          <w:tcPr>
            <w:tcW w:w="1118" w:type="dxa"/>
            <w:tcBorders>
              <w:bottom w:val="nil"/>
            </w:tcBorders>
            <w:noWrap/>
            <w:hideMark/>
          </w:tcPr>
          <w:p w14:paraId="078EF545"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27.5</w:t>
            </w:r>
          </w:p>
        </w:tc>
        <w:tc>
          <w:tcPr>
            <w:tcW w:w="1118" w:type="dxa"/>
            <w:tcBorders>
              <w:bottom w:val="nil"/>
              <w:right w:val="single" w:sz="4" w:space="0" w:color="auto"/>
            </w:tcBorders>
            <w:noWrap/>
            <w:hideMark/>
          </w:tcPr>
          <w:p w14:paraId="12640254"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19.3</w:t>
            </w:r>
          </w:p>
        </w:tc>
        <w:tc>
          <w:tcPr>
            <w:tcW w:w="1118" w:type="dxa"/>
            <w:tcBorders>
              <w:left w:val="single" w:sz="4" w:space="0" w:color="auto"/>
              <w:bottom w:val="nil"/>
            </w:tcBorders>
            <w:noWrap/>
            <w:hideMark/>
          </w:tcPr>
          <w:p w14:paraId="21BA1514"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21.1</w:t>
            </w:r>
          </w:p>
        </w:tc>
        <w:tc>
          <w:tcPr>
            <w:tcW w:w="1118" w:type="dxa"/>
            <w:tcBorders>
              <w:bottom w:val="nil"/>
            </w:tcBorders>
            <w:noWrap/>
            <w:hideMark/>
          </w:tcPr>
          <w:p w14:paraId="7AC75B75"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24.5</w:t>
            </w:r>
          </w:p>
        </w:tc>
        <w:tc>
          <w:tcPr>
            <w:tcW w:w="1118" w:type="dxa"/>
            <w:tcBorders>
              <w:bottom w:val="nil"/>
              <w:right w:val="single" w:sz="4" w:space="0" w:color="auto"/>
            </w:tcBorders>
            <w:noWrap/>
            <w:hideMark/>
          </w:tcPr>
          <w:p w14:paraId="4D0C8460"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18.1</w:t>
            </w:r>
          </w:p>
        </w:tc>
      </w:tr>
      <w:tr w:rsidR="00B86BF1" w:rsidRPr="00A743C9" w14:paraId="5A88AF86" w14:textId="77777777" w:rsidTr="000376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6" w:type="dxa"/>
            <w:tcBorders>
              <w:left w:val="single" w:sz="4" w:space="0" w:color="auto"/>
              <w:bottom w:val="nil"/>
              <w:right w:val="single" w:sz="4" w:space="0" w:color="auto"/>
            </w:tcBorders>
            <w:noWrap/>
            <w:hideMark/>
          </w:tcPr>
          <w:p w14:paraId="36CF7311" w14:textId="77777777" w:rsidR="00B86BF1" w:rsidRPr="00A743C9" w:rsidRDefault="00B86BF1" w:rsidP="000376C7">
            <w:pPr>
              <w:rPr>
                <w:rFonts w:eastAsia="Times New Roman" w:cs="Calibri"/>
                <w:color w:val="auto"/>
                <w:sz w:val="16"/>
                <w:szCs w:val="16"/>
              </w:rPr>
            </w:pPr>
            <w:r w:rsidRPr="00A743C9">
              <w:rPr>
                <w:rFonts w:eastAsia="Times New Roman" w:cs="Calibri"/>
                <w:color w:val="auto"/>
                <w:sz w:val="16"/>
                <w:szCs w:val="16"/>
              </w:rPr>
              <w:t>Jamaica</w:t>
            </w:r>
          </w:p>
        </w:tc>
        <w:tc>
          <w:tcPr>
            <w:tcW w:w="1119" w:type="dxa"/>
            <w:tcBorders>
              <w:left w:val="single" w:sz="4" w:space="0" w:color="auto"/>
              <w:bottom w:val="nil"/>
            </w:tcBorders>
            <w:noWrap/>
            <w:hideMark/>
          </w:tcPr>
          <w:p w14:paraId="4F7E2FB6"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17.6</w:t>
            </w:r>
          </w:p>
        </w:tc>
        <w:tc>
          <w:tcPr>
            <w:tcW w:w="1119" w:type="dxa"/>
            <w:tcBorders>
              <w:bottom w:val="nil"/>
            </w:tcBorders>
            <w:noWrap/>
            <w:hideMark/>
          </w:tcPr>
          <w:p w14:paraId="36F93F78"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29.7</w:t>
            </w:r>
          </w:p>
        </w:tc>
        <w:tc>
          <w:tcPr>
            <w:tcW w:w="1119" w:type="dxa"/>
            <w:tcBorders>
              <w:bottom w:val="nil"/>
              <w:right w:val="single" w:sz="4" w:space="0" w:color="auto"/>
            </w:tcBorders>
            <w:noWrap/>
            <w:hideMark/>
          </w:tcPr>
          <w:p w14:paraId="1304BD15"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6.2</w:t>
            </w:r>
          </w:p>
        </w:tc>
        <w:tc>
          <w:tcPr>
            <w:tcW w:w="1119" w:type="dxa"/>
            <w:tcBorders>
              <w:left w:val="single" w:sz="4" w:space="0" w:color="auto"/>
              <w:bottom w:val="nil"/>
            </w:tcBorders>
            <w:noWrap/>
            <w:hideMark/>
          </w:tcPr>
          <w:p w14:paraId="37D683FB"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13</w:t>
            </w:r>
          </w:p>
        </w:tc>
        <w:tc>
          <w:tcPr>
            <w:tcW w:w="1118" w:type="dxa"/>
            <w:tcBorders>
              <w:bottom w:val="nil"/>
            </w:tcBorders>
            <w:noWrap/>
            <w:hideMark/>
          </w:tcPr>
          <w:p w14:paraId="3B91F43F"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21.8</w:t>
            </w:r>
          </w:p>
        </w:tc>
        <w:tc>
          <w:tcPr>
            <w:tcW w:w="1118" w:type="dxa"/>
            <w:tcBorders>
              <w:bottom w:val="nil"/>
              <w:right w:val="single" w:sz="4" w:space="0" w:color="auto"/>
            </w:tcBorders>
            <w:noWrap/>
            <w:hideMark/>
          </w:tcPr>
          <w:p w14:paraId="6953FA56"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4.7</w:t>
            </w:r>
          </w:p>
        </w:tc>
        <w:tc>
          <w:tcPr>
            <w:tcW w:w="1118" w:type="dxa"/>
            <w:tcBorders>
              <w:left w:val="single" w:sz="4" w:space="0" w:color="auto"/>
              <w:bottom w:val="nil"/>
            </w:tcBorders>
            <w:noWrap/>
            <w:hideMark/>
          </w:tcPr>
          <w:p w14:paraId="55B7B332"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14.7</w:t>
            </w:r>
          </w:p>
        </w:tc>
        <w:tc>
          <w:tcPr>
            <w:tcW w:w="1118" w:type="dxa"/>
            <w:tcBorders>
              <w:bottom w:val="nil"/>
            </w:tcBorders>
            <w:noWrap/>
            <w:hideMark/>
          </w:tcPr>
          <w:p w14:paraId="03626BF8"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24.8</w:t>
            </w:r>
          </w:p>
        </w:tc>
        <w:tc>
          <w:tcPr>
            <w:tcW w:w="1118" w:type="dxa"/>
            <w:tcBorders>
              <w:bottom w:val="nil"/>
              <w:right w:val="single" w:sz="4" w:space="0" w:color="auto"/>
            </w:tcBorders>
            <w:noWrap/>
            <w:hideMark/>
          </w:tcPr>
          <w:p w14:paraId="71D4C4A9"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5.2</w:t>
            </w:r>
          </w:p>
        </w:tc>
        <w:tc>
          <w:tcPr>
            <w:tcW w:w="1118" w:type="dxa"/>
            <w:tcBorders>
              <w:left w:val="single" w:sz="4" w:space="0" w:color="auto"/>
              <w:bottom w:val="nil"/>
            </w:tcBorders>
            <w:noWrap/>
            <w:hideMark/>
          </w:tcPr>
          <w:p w14:paraId="0A8970BF"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9.3</w:t>
            </w:r>
          </w:p>
        </w:tc>
        <w:tc>
          <w:tcPr>
            <w:tcW w:w="1118" w:type="dxa"/>
            <w:tcBorders>
              <w:bottom w:val="nil"/>
            </w:tcBorders>
            <w:noWrap/>
            <w:hideMark/>
          </w:tcPr>
          <w:p w14:paraId="55B711D9"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15.3</w:t>
            </w:r>
          </w:p>
        </w:tc>
        <w:tc>
          <w:tcPr>
            <w:tcW w:w="1118" w:type="dxa"/>
            <w:tcBorders>
              <w:bottom w:val="nil"/>
              <w:right w:val="single" w:sz="4" w:space="0" w:color="auto"/>
            </w:tcBorders>
            <w:noWrap/>
            <w:hideMark/>
          </w:tcPr>
          <w:p w14:paraId="6B349017"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3.5</w:t>
            </w:r>
          </w:p>
        </w:tc>
      </w:tr>
      <w:tr w:rsidR="00B86BF1" w:rsidRPr="00A743C9" w14:paraId="1271410B" w14:textId="77777777" w:rsidTr="000376C7">
        <w:trPr>
          <w:trHeight w:val="300"/>
        </w:trPr>
        <w:tc>
          <w:tcPr>
            <w:cnfStyle w:val="001000000000" w:firstRow="0" w:lastRow="0" w:firstColumn="1" w:lastColumn="0" w:oddVBand="0" w:evenVBand="0" w:oddHBand="0" w:evenHBand="0" w:firstRowFirstColumn="0" w:firstRowLastColumn="0" w:lastRowFirstColumn="0" w:lastRowLastColumn="0"/>
            <w:tcW w:w="1606" w:type="dxa"/>
            <w:tcBorders>
              <w:left w:val="single" w:sz="4" w:space="0" w:color="auto"/>
              <w:bottom w:val="nil"/>
              <w:right w:val="single" w:sz="4" w:space="0" w:color="auto"/>
            </w:tcBorders>
            <w:noWrap/>
            <w:hideMark/>
          </w:tcPr>
          <w:p w14:paraId="48C29A8B" w14:textId="77777777" w:rsidR="00B86BF1" w:rsidRPr="00A743C9" w:rsidRDefault="00B86BF1" w:rsidP="000376C7">
            <w:pPr>
              <w:rPr>
                <w:rFonts w:eastAsia="Times New Roman" w:cs="Calibri"/>
                <w:color w:val="auto"/>
                <w:sz w:val="16"/>
                <w:szCs w:val="16"/>
              </w:rPr>
            </w:pPr>
            <w:r w:rsidRPr="00A743C9">
              <w:rPr>
                <w:rFonts w:eastAsia="Times New Roman" w:cs="Calibri"/>
                <w:color w:val="auto"/>
                <w:sz w:val="16"/>
                <w:szCs w:val="16"/>
              </w:rPr>
              <w:t>Japan</w:t>
            </w:r>
          </w:p>
        </w:tc>
        <w:tc>
          <w:tcPr>
            <w:tcW w:w="1119" w:type="dxa"/>
            <w:tcBorders>
              <w:left w:val="single" w:sz="4" w:space="0" w:color="auto"/>
              <w:bottom w:val="nil"/>
            </w:tcBorders>
            <w:noWrap/>
            <w:hideMark/>
          </w:tcPr>
          <w:p w14:paraId="6CAFB1CA"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22.8</w:t>
            </w:r>
          </w:p>
        </w:tc>
        <w:tc>
          <w:tcPr>
            <w:tcW w:w="1119" w:type="dxa"/>
            <w:tcBorders>
              <w:bottom w:val="nil"/>
            </w:tcBorders>
            <w:noWrap/>
            <w:hideMark/>
          </w:tcPr>
          <w:p w14:paraId="2B4496C8"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35.4</w:t>
            </w:r>
          </w:p>
        </w:tc>
        <w:tc>
          <w:tcPr>
            <w:tcW w:w="1119" w:type="dxa"/>
            <w:tcBorders>
              <w:bottom w:val="nil"/>
              <w:right w:val="single" w:sz="4" w:space="0" w:color="auto"/>
            </w:tcBorders>
            <w:noWrap/>
            <w:hideMark/>
          </w:tcPr>
          <w:p w14:paraId="01594F00"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11</w:t>
            </w:r>
          </w:p>
        </w:tc>
        <w:tc>
          <w:tcPr>
            <w:tcW w:w="1119" w:type="dxa"/>
            <w:tcBorders>
              <w:left w:val="single" w:sz="4" w:space="0" w:color="auto"/>
              <w:bottom w:val="nil"/>
            </w:tcBorders>
            <w:noWrap/>
            <w:hideMark/>
          </w:tcPr>
          <w:p w14:paraId="5A386C65"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18.1</w:t>
            </w:r>
          </w:p>
        </w:tc>
        <w:tc>
          <w:tcPr>
            <w:tcW w:w="1118" w:type="dxa"/>
            <w:tcBorders>
              <w:bottom w:val="nil"/>
            </w:tcBorders>
            <w:noWrap/>
            <w:hideMark/>
          </w:tcPr>
          <w:p w14:paraId="41A33DC7"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28.6</w:t>
            </w:r>
          </w:p>
        </w:tc>
        <w:tc>
          <w:tcPr>
            <w:tcW w:w="1118" w:type="dxa"/>
            <w:tcBorders>
              <w:bottom w:val="nil"/>
              <w:right w:val="single" w:sz="4" w:space="0" w:color="auto"/>
            </w:tcBorders>
            <w:noWrap/>
            <w:hideMark/>
          </w:tcPr>
          <w:p w14:paraId="2E85CD7E"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8.4</w:t>
            </w:r>
          </w:p>
        </w:tc>
        <w:tc>
          <w:tcPr>
            <w:tcW w:w="1118" w:type="dxa"/>
            <w:tcBorders>
              <w:left w:val="single" w:sz="4" w:space="0" w:color="auto"/>
              <w:bottom w:val="nil"/>
            </w:tcBorders>
            <w:noWrap/>
            <w:hideMark/>
          </w:tcPr>
          <w:p w14:paraId="5E291837"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22.8</w:t>
            </w:r>
          </w:p>
        </w:tc>
        <w:tc>
          <w:tcPr>
            <w:tcW w:w="1118" w:type="dxa"/>
            <w:tcBorders>
              <w:bottom w:val="nil"/>
            </w:tcBorders>
            <w:noWrap/>
            <w:hideMark/>
          </w:tcPr>
          <w:p w14:paraId="6992CDB8"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35.4</w:t>
            </w:r>
          </w:p>
        </w:tc>
        <w:tc>
          <w:tcPr>
            <w:tcW w:w="1118" w:type="dxa"/>
            <w:tcBorders>
              <w:bottom w:val="nil"/>
              <w:right w:val="single" w:sz="4" w:space="0" w:color="auto"/>
            </w:tcBorders>
            <w:noWrap/>
            <w:hideMark/>
          </w:tcPr>
          <w:p w14:paraId="3FEB0095"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11</w:t>
            </w:r>
          </w:p>
        </w:tc>
        <w:tc>
          <w:tcPr>
            <w:tcW w:w="1118" w:type="dxa"/>
            <w:tcBorders>
              <w:left w:val="single" w:sz="4" w:space="0" w:color="auto"/>
              <w:bottom w:val="nil"/>
            </w:tcBorders>
            <w:noWrap/>
            <w:hideMark/>
          </w:tcPr>
          <w:p w14:paraId="35822DD2"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18.1</w:t>
            </w:r>
          </w:p>
        </w:tc>
        <w:tc>
          <w:tcPr>
            <w:tcW w:w="1118" w:type="dxa"/>
            <w:tcBorders>
              <w:bottom w:val="nil"/>
            </w:tcBorders>
            <w:noWrap/>
            <w:hideMark/>
          </w:tcPr>
          <w:p w14:paraId="5E249506"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28.6</w:t>
            </w:r>
          </w:p>
        </w:tc>
        <w:tc>
          <w:tcPr>
            <w:tcW w:w="1118" w:type="dxa"/>
            <w:tcBorders>
              <w:bottom w:val="nil"/>
              <w:right w:val="single" w:sz="4" w:space="0" w:color="auto"/>
            </w:tcBorders>
            <w:noWrap/>
            <w:hideMark/>
          </w:tcPr>
          <w:p w14:paraId="3C75E8D0"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8.4</w:t>
            </w:r>
          </w:p>
        </w:tc>
      </w:tr>
      <w:tr w:rsidR="00B86BF1" w:rsidRPr="00A743C9" w14:paraId="7B29FD43" w14:textId="77777777" w:rsidTr="000376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6" w:type="dxa"/>
            <w:tcBorders>
              <w:left w:val="single" w:sz="4" w:space="0" w:color="auto"/>
              <w:bottom w:val="nil"/>
              <w:right w:val="single" w:sz="4" w:space="0" w:color="auto"/>
            </w:tcBorders>
            <w:noWrap/>
            <w:hideMark/>
          </w:tcPr>
          <w:p w14:paraId="1DD8EF6E" w14:textId="77777777" w:rsidR="00B86BF1" w:rsidRPr="00A743C9" w:rsidRDefault="00B86BF1" w:rsidP="000376C7">
            <w:pPr>
              <w:rPr>
                <w:rFonts w:eastAsia="Times New Roman" w:cs="Calibri"/>
                <w:color w:val="auto"/>
                <w:sz w:val="16"/>
                <w:szCs w:val="16"/>
              </w:rPr>
            </w:pPr>
            <w:r w:rsidRPr="00A743C9">
              <w:rPr>
                <w:rFonts w:eastAsia="Times New Roman" w:cs="Calibri"/>
                <w:color w:val="auto"/>
                <w:sz w:val="16"/>
                <w:szCs w:val="16"/>
              </w:rPr>
              <w:t>Jordan</w:t>
            </w:r>
          </w:p>
        </w:tc>
        <w:tc>
          <w:tcPr>
            <w:tcW w:w="1119" w:type="dxa"/>
            <w:tcBorders>
              <w:left w:val="single" w:sz="4" w:space="0" w:color="auto"/>
              <w:bottom w:val="nil"/>
            </w:tcBorders>
            <w:noWrap/>
            <w:hideMark/>
          </w:tcPr>
          <w:p w14:paraId="26661DCA"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38.4</w:t>
            </w:r>
          </w:p>
        </w:tc>
        <w:tc>
          <w:tcPr>
            <w:tcW w:w="1119" w:type="dxa"/>
            <w:tcBorders>
              <w:bottom w:val="nil"/>
            </w:tcBorders>
            <w:noWrap/>
            <w:hideMark/>
          </w:tcPr>
          <w:p w14:paraId="36918528"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65.5</w:t>
            </w:r>
          </w:p>
        </w:tc>
        <w:tc>
          <w:tcPr>
            <w:tcW w:w="1119" w:type="dxa"/>
            <w:tcBorders>
              <w:bottom w:val="nil"/>
              <w:right w:val="single" w:sz="4" w:space="0" w:color="auto"/>
            </w:tcBorders>
            <w:noWrap/>
            <w:hideMark/>
          </w:tcPr>
          <w:p w14:paraId="07AE20E8"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10.2</w:t>
            </w:r>
          </w:p>
        </w:tc>
        <w:tc>
          <w:tcPr>
            <w:tcW w:w="1119" w:type="dxa"/>
            <w:tcBorders>
              <w:left w:val="single" w:sz="4" w:space="0" w:color="auto"/>
              <w:bottom w:val="nil"/>
            </w:tcBorders>
            <w:noWrap/>
            <w:hideMark/>
          </w:tcPr>
          <w:p w14:paraId="3E3121CC"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31</w:t>
            </w:r>
          </w:p>
        </w:tc>
        <w:tc>
          <w:tcPr>
            <w:tcW w:w="1118" w:type="dxa"/>
            <w:tcBorders>
              <w:bottom w:val="nil"/>
            </w:tcBorders>
            <w:noWrap/>
            <w:hideMark/>
          </w:tcPr>
          <w:p w14:paraId="7DEA6DD1"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54</w:t>
            </w:r>
          </w:p>
        </w:tc>
        <w:tc>
          <w:tcPr>
            <w:tcW w:w="1118" w:type="dxa"/>
            <w:tcBorders>
              <w:bottom w:val="nil"/>
              <w:right w:val="single" w:sz="4" w:space="0" w:color="auto"/>
            </w:tcBorders>
            <w:noWrap/>
            <w:hideMark/>
          </w:tcPr>
          <w:p w14:paraId="2583DB8C"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7.2</w:t>
            </w:r>
          </w:p>
        </w:tc>
        <w:tc>
          <w:tcPr>
            <w:tcW w:w="1118" w:type="dxa"/>
            <w:tcBorders>
              <w:left w:val="single" w:sz="4" w:space="0" w:color="auto"/>
              <w:bottom w:val="nil"/>
            </w:tcBorders>
            <w:noWrap/>
            <w:hideMark/>
          </w:tcPr>
          <w:p w14:paraId="4E8A3DA2"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33.2</w:t>
            </w:r>
          </w:p>
        </w:tc>
        <w:tc>
          <w:tcPr>
            <w:tcW w:w="1118" w:type="dxa"/>
            <w:tcBorders>
              <w:bottom w:val="nil"/>
            </w:tcBorders>
            <w:noWrap/>
            <w:hideMark/>
          </w:tcPr>
          <w:p w14:paraId="286B5D66"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56.8</w:t>
            </w:r>
          </w:p>
        </w:tc>
        <w:tc>
          <w:tcPr>
            <w:tcW w:w="1118" w:type="dxa"/>
            <w:tcBorders>
              <w:bottom w:val="nil"/>
              <w:right w:val="single" w:sz="4" w:space="0" w:color="auto"/>
            </w:tcBorders>
            <w:noWrap/>
            <w:hideMark/>
          </w:tcPr>
          <w:p w14:paraId="39EADAF6"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8.6</w:t>
            </w:r>
          </w:p>
        </w:tc>
        <w:tc>
          <w:tcPr>
            <w:tcW w:w="1118" w:type="dxa"/>
            <w:tcBorders>
              <w:left w:val="single" w:sz="4" w:space="0" w:color="auto"/>
              <w:bottom w:val="nil"/>
            </w:tcBorders>
            <w:noWrap/>
            <w:hideMark/>
          </w:tcPr>
          <w:p w14:paraId="01DEDF18"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22</w:t>
            </w:r>
          </w:p>
        </w:tc>
        <w:tc>
          <w:tcPr>
            <w:tcW w:w="1118" w:type="dxa"/>
            <w:tcBorders>
              <w:bottom w:val="nil"/>
            </w:tcBorders>
            <w:noWrap/>
            <w:hideMark/>
          </w:tcPr>
          <w:p w14:paraId="5E215962"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41.2</w:t>
            </w:r>
          </w:p>
        </w:tc>
        <w:tc>
          <w:tcPr>
            <w:tcW w:w="1118" w:type="dxa"/>
            <w:tcBorders>
              <w:bottom w:val="nil"/>
              <w:right w:val="single" w:sz="4" w:space="0" w:color="auto"/>
            </w:tcBorders>
            <w:noWrap/>
            <w:hideMark/>
          </w:tcPr>
          <w:p w14:paraId="406EF140"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2.1</w:t>
            </w:r>
          </w:p>
        </w:tc>
      </w:tr>
      <w:tr w:rsidR="00B86BF1" w:rsidRPr="00A743C9" w14:paraId="632BCCEC" w14:textId="77777777" w:rsidTr="000376C7">
        <w:trPr>
          <w:trHeight w:val="300"/>
        </w:trPr>
        <w:tc>
          <w:tcPr>
            <w:cnfStyle w:val="001000000000" w:firstRow="0" w:lastRow="0" w:firstColumn="1" w:lastColumn="0" w:oddVBand="0" w:evenVBand="0" w:oddHBand="0" w:evenHBand="0" w:firstRowFirstColumn="0" w:firstRowLastColumn="0" w:lastRowFirstColumn="0" w:lastRowLastColumn="0"/>
            <w:tcW w:w="1606" w:type="dxa"/>
            <w:tcBorders>
              <w:left w:val="single" w:sz="4" w:space="0" w:color="auto"/>
              <w:bottom w:val="nil"/>
              <w:right w:val="single" w:sz="4" w:space="0" w:color="auto"/>
            </w:tcBorders>
            <w:noWrap/>
            <w:hideMark/>
          </w:tcPr>
          <w:p w14:paraId="14E5EB74" w14:textId="77777777" w:rsidR="00B86BF1" w:rsidRPr="00A743C9" w:rsidRDefault="00B86BF1" w:rsidP="000376C7">
            <w:pPr>
              <w:rPr>
                <w:rFonts w:eastAsia="Times New Roman" w:cs="Calibri"/>
                <w:color w:val="auto"/>
                <w:sz w:val="16"/>
                <w:szCs w:val="16"/>
              </w:rPr>
            </w:pPr>
            <w:r w:rsidRPr="00A743C9">
              <w:rPr>
                <w:rFonts w:eastAsia="Times New Roman" w:cs="Calibri"/>
                <w:color w:val="auto"/>
                <w:sz w:val="16"/>
                <w:szCs w:val="16"/>
              </w:rPr>
              <w:t>Kazakhstan</w:t>
            </w:r>
          </w:p>
        </w:tc>
        <w:tc>
          <w:tcPr>
            <w:tcW w:w="1119" w:type="dxa"/>
            <w:tcBorders>
              <w:left w:val="single" w:sz="4" w:space="0" w:color="auto"/>
              <w:bottom w:val="nil"/>
            </w:tcBorders>
            <w:noWrap/>
            <w:hideMark/>
          </w:tcPr>
          <w:p w14:paraId="53867B36"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26.3</w:t>
            </w:r>
          </w:p>
        </w:tc>
        <w:tc>
          <w:tcPr>
            <w:tcW w:w="1119" w:type="dxa"/>
            <w:tcBorders>
              <w:bottom w:val="nil"/>
            </w:tcBorders>
            <w:noWrap/>
            <w:hideMark/>
          </w:tcPr>
          <w:p w14:paraId="693197B0"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45.3</w:t>
            </w:r>
          </w:p>
        </w:tc>
        <w:tc>
          <w:tcPr>
            <w:tcW w:w="1119" w:type="dxa"/>
            <w:tcBorders>
              <w:bottom w:val="nil"/>
              <w:right w:val="single" w:sz="4" w:space="0" w:color="auto"/>
            </w:tcBorders>
            <w:noWrap/>
            <w:hideMark/>
          </w:tcPr>
          <w:p w14:paraId="2E95294F"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9.5</w:t>
            </w:r>
          </w:p>
        </w:tc>
        <w:tc>
          <w:tcPr>
            <w:tcW w:w="1119" w:type="dxa"/>
            <w:tcBorders>
              <w:left w:val="single" w:sz="4" w:space="0" w:color="auto"/>
              <w:bottom w:val="nil"/>
            </w:tcBorders>
            <w:noWrap/>
            <w:hideMark/>
          </w:tcPr>
          <w:p w14:paraId="2B5E8488"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17.4</w:t>
            </w:r>
          </w:p>
        </w:tc>
        <w:tc>
          <w:tcPr>
            <w:tcW w:w="1118" w:type="dxa"/>
            <w:tcBorders>
              <w:bottom w:val="nil"/>
            </w:tcBorders>
            <w:noWrap/>
            <w:hideMark/>
          </w:tcPr>
          <w:p w14:paraId="640F1E29"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30.3</w:t>
            </w:r>
          </w:p>
        </w:tc>
        <w:tc>
          <w:tcPr>
            <w:tcW w:w="1118" w:type="dxa"/>
            <w:tcBorders>
              <w:bottom w:val="nil"/>
              <w:right w:val="single" w:sz="4" w:space="0" w:color="auto"/>
            </w:tcBorders>
            <w:noWrap/>
            <w:hideMark/>
          </w:tcPr>
          <w:p w14:paraId="3304F30C"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5.9</w:t>
            </w:r>
          </w:p>
        </w:tc>
        <w:tc>
          <w:tcPr>
            <w:tcW w:w="1118" w:type="dxa"/>
            <w:tcBorders>
              <w:left w:val="single" w:sz="4" w:space="0" w:color="auto"/>
              <w:bottom w:val="nil"/>
            </w:tcBorders>
            <w:noWrap/>
            <w:hideMark/>
          </w:tcPr>
          <w:p w14:paraId="5FECD944"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24.2</w:t>
            </w:r>
          </w:p>
        </w:tc>
        <w:tc>
          <w:tcPr>
            <w:tcW w:w="1118" w:type="dxa"/>
            <w:tcBorders>
              <w:bottom w:val="nil"/>
            </w:tcBorders>
            <w:noWrap/>
            <w:hideMark/>
          </w:tcPr>
          <w:p w14:paraId="1C57F19A"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42.2</w:t>
            </w:r>
          </w:p>
        </w:tc>
        <w:tc>
          <w:tcPr>
            <w:tcW w:w="1118" w:type="dxa"/>
            <w:tcBorders>
              <w:bottom w:val="nil"/>
              <w:right w:val="single" w:sz="4" w:space="0" w:color="auto"/>
            </w:tcBorders>
            <w:noWrap/>
            <w:hideMark/>
          </w:tcPr>
          <w:p w14:paraId="74DC69FF"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8.1</w:t>
            </w:r>
          </w:p>
        </w:tc>
        <w:tc>
          <w:tcPr>
            <w:tcW w:w="1118" w:type="dxa"/>
            <w:tcBorders>
              <w:left w:val="single" w:sz="4" w:space="0" w:color="auto"/>
              <w:bottom w:val="nil"/>
            </w:tcBorders>
            <w:noWrap/>
            <w:hideMark/>
          </w:tcPr>
          <w:p w14:paraId="46DB5FA9"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16.1</w:t>
            </w:r>
          </w:p>
        </w:tc>
        <w:tc>
          <w:tcPr>
            <w:tcW w:w="1118" w:type="dxa"/>
            <w:tcBorders>
              <w:bottom w:val="nil"/>
            </w:tcBorders>
            <w:noWrap/>
            <w:hideMark/>
          </w:tcPr>
          <w:p w14:paraId="68F1B254"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27.6</w:t>
            </w:r>
          </w:p>
        </w:tc>
        <w:tc>
          <w:tcPr>
            <w:tcW w:w="1118" w:type="dxa"/>
            <w:tcBorders>
              <w:bottom w:val="nil"/>
              <w:right w:val="single" w:sz="4" w:space="0" w:color="auto"/>
            </w:tcBorders>
            <w:noWrap/>
            <w:hideMark/>
          </w:tcPr>
          <w:p w14:paraId="1B533BDA"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5.9</w:t>
            </w:r>
          </w:p>
        </w:tc>
      </w:tr>
      <w:tr w:rsidR="00B86BF1" w:rsidRPr="00A743C9" w14:paraId="5F6CF884" w14:textId="77777777" w:rsidTr="000376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6" w:type="dxa"/>
            <w:tcBorders>
              <w:left w:val="single" w:sz="4" w:space="0" w:color="auto"/>
              <w:bottom w:val="nil"/>
              <w:right w:val="single" w:sz="4" w:space="0" w:color="auto"/>
            </w:tcBorders>
            <w:noWrap/>
            <w:hideMark/>
          </w:tcPr>
          <w:p w14:paraId="22615274" w14:textId="77777777" w:rsidR="00B86BF1" w:rsidRPr="00A743C9" w:rsidRDefault="00B86BF1" w:rsidP="000376C7">
            <w:pPr>
              <w:rPr>
                <w:rFonts w:eastAsia="Times New Roman" w:cs="Calibri"/>
                <w:color w:val="auto"/>
                <w:sz w:val="16"/>
                <w:szCs w:val="16"/>
              </w:rPr>
            </w:pPr>
            <w:r w:rsidRPr="00A743C9">
              <w:rPr>
                <w:rFonts w:eastAsia="Times New Roman" w:cs="Calibri"/>
                <w:color w:val="auto"/>
                <w:sz w:val="16"/>
                <w:szCs w:val="16"/>
              </w:rPr>
              <w:t>Kenya</w:t>
            </w:r>
          </w:p>
        </w:tc>
        <w:tc>
          <w:tcPr>
            <w:tcW w:w="1119" w:type="dxa"/>
            <w:tcBorders>
              <w:left w:val="single" w:sz="4" w:space="0" w:color="auto"/>
              <w:bottom w:val="nil"/>
            </w:tcBorders>
            <w:noWrap/>
            <w:hideMark/>
          </w:tcPr>
          <w:p w14:paraId="0AA4E205"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13.6</w:t>
            </w:r>
          </w:p>
        </w:tc>
        <w:tc>
          <w:tcPr>
            <w:tcW w:w="1119" w:type="dxa"/>
            <w:tcBorders>
              <w:bottom w:val="nil"/>
            </w:tcBorders>
            <w:noWrap/>
            <w:hideMark/>
          </w:tcPr>
          <w:p w14:paraId="727F7DEE"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25.1</w:t>
            </w:r>
          </w:p>
        </w:tc>
        <w:tc>
          <w:tcPr>
            <w:tcW w:w="1119" w:type="dxa"/>
            <w:tcBorders>
              <w:bottom w:val="nil"/>
              <w:right w:val="single" w:sz="4" w:space="0" w:color="auto"/>
            </w:tcBorders>
            <w:noWrap/>
            <w:hideMark/>
          </w:tcPr>
          <w:p w14:paraId="200F026F"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2.2</w:t>
            </w:r>
          </w:p>
        </w:tc>
        <w:tc>
          <w:tcPr>
            <w:tcW w:w="1119" w:type="dxa"/>
            <w:tcBorders>
              <w:left w:val="single" w:sz="4" w:space="0" w:color="auto"/>
              <w:bottom w:val="nil"/>
            </w:tcBorders>
            <w:noWrap/>
            <w:hideMark/>
          </w:tcPr>
          <w:p w14:paraId="7ADD103F"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9.8</w:t>
            </w:r>
          </w:p>
        </w:tc>
        <w:tc>
          <w:tcPr>
            <w:tcW w:w="1118" w:type="dxa"/>
            <w:tcBorders>
              <w:bottom w:val="nil"/>
            </w:tcBorders>
            <w:noWrap/>
            <w:hideMark/>
          </w:tcPr>
          <w:p w14:paraId="0DC53C5F"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18.5</w:t>
            </w:r>
          </w:p>
        </w:tc>
        <w:tc>
          <w:tcPr>
            <w:tcW w:w="1118" w:type="dxa"/>
            <w:tcBorders>
              <w:bottom w:val="nil"/>
              <w:right w:val="single" w:sz="4" w:space="0" w:color="auto"/>
            </w:tcBorders>
            <w:noWrap/>
            <w:hideMark/>
          </w:tcPr>
          <w:p w14:paraId="62A9C92C"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1.2</w:t>
            </w:r>
          </w:p>
        </w:tc>
        <w:tc>
          <w:tcPr>
            <w:tcW w:w="1118" w:type="dxa"/>
            <w:tcBorders>
              <w:left w:val="single" w:sz="4" w:space="0" w:color="auto"/>
              <w:bottom w:val="nil"/>
            </w:tcBorders>
            <w:noWrap/>
            <w:hideMark/>
          </w:tcPr>
          <w:p w14:paraId="269793D3"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10.2</w:t>
            </w:r>
          </w:p>
        </w:tc>
        <w:tc>
          <w:tcPr>
            <w:tcW w:w="1118" w:type="dxa"/>
            <w:tcBorders>
              <w:bottom w:val="nil"/>
            </w:tcBorders>
            <w:noWrap/>
            <w:hideMark/>
          </w:tcPr>
          <w:p w14:paraId="200EBC47"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20</w:t>
            </w:r>
          </w:p>
        </w:tc>
        <w:tc>
          <w:tcPr>
            <w:tcW w:w="1118" w:type="dxa"/>
            <w:tcBorders>
              <w:bottom w:val="nil"/>
              <w:right w:val="single" w:sz="4" w:space="0" w:color="auto"/>
            </w:tcBorders>
            <w:noWrap/>
            <w:hideMark/>
          </w:tcPr>
          <w:p w14:paraId="7059B33A"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0.6</w:t>
            </w:r>
          </w:p>
        </w:tc>
        <w:tc>
          <w:tcPr>
            <w:tcW w:w="1118" w:type="dxa"/>
            <w:tcBorders>
              <w:left w:val="single" w:sz="4" w:space="0" w:color="auto"/>
              <w:bottom w:val="nil"/>
            </w:tcBorders>
            <w:noWrap/>
            <w:hideMark/>
          </w:tcPr>
          <w:p w14:paraId="3C3DA431"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8.7</w:t>
            </w:r>
          </w:p>
        </w:tc>
        <w:tc>
          <w:tcPr>
            <w:tcW w:w="1118" w:type="dxa"/>
            <w:tcBorders>
              <w:bottom w:val="nil"/>
            </w:tcBorders>
            <w:noWrap/>
            <w:hideMark/>
          </w:tcPr>
          <w:p w14:paraId="23D0C9D6"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17.1</w:t>
            </w:r>
          </w:p>
        </w:tc>
        <w:tc>
          <w:tcPr>
            <w:tcW w:w="1118" w:type="dxa"/>
            <w:tcBorders>
              <w:bottom w:val="nil"/>
              <w:right w:val="single" w:sz="4" w:space="0" w:color="auto"/>
            </w:tcBorders>
            <w:noWrap/>
            <w:hideMark/>
          </w:tcPr>
          <w:p w14:paraId="1BDBEF03"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0.6</w:t>
            </w:r>
          </w:p>
        </w:tc>
      </w:tr>
      <w:tr w:rsidR="00B86BF1" w:rsidRPr="00A743C9" w14:paraId="7596F7F0" w14:textId="77777777" w:rsidTr="000376C7">
        <w:trPr>
          <w:trHeight w:val="300"/>
        </w:trPr>
        <w:tc>
          <w:tcPr>
            <w:cnfStyle w:val="001000000000" w:firstRow="0" w:lastRow="0" w:firstColumn="1" w:lastColumn="0" w:oddVBand="0" w:evenVBand="0" w:oddHBand="0" w:evenHBand="0" w:firstRowFirstColumn="0" w:firstRowLastColumn="0" w:lastRowFirstColumn="0" w:lastRowLastColumn="0"/>
            <w:tcW w:w="1606" w:type="dxa"/>
            <w:tcBorders>
              <w:left w:val="single" w:sz="4" w:space="0" w:color="auto"/>
              <w:bottom w:val="nil"/>
              <w:right w:val="single" w:sz="4" w:space="0" w:color="auto"/>
            </w:tcBorders>
            <w:noWrap/>
            <w:hideMark/>
          </w:tcPr>
          <w:p w14:paraId="7286C328" w14:textId="77777777" w:rsidR="00B86BF1" w:rsidRPr="00A743C9" w:rsidRDefault="00B86BF1" w:rsidP="000376C7">
            <w:pPr>
              <w:rPr>
                <w:rFonts w:eastAsia="Times New Roman" w:cs="Calibri"/>
                <w:color w:val="auto"/>
                <w:sz w:val="16"/>
                <w:szCs w:val="16"/>
              </w:rPr>
            </w:pPr>
            <w:r w:rsidRPr="00A743C9">
              <w:rPr>
                <w:rFonts w:eastAsia="Times New Roman" w:cs="Calibri"/>
                <w:color w:val="auto"/>
                <w:sz w:val="16"/>
                <w:szCs w:val="16"/>
              </w:rPr>
              <w:t>Kiribati</w:t>
            </w:r>
          </w:p>
        </w:tc>
        <w:tc>
          <w:tcPr>
            <w:tcW w:w="1119" w:type="dxa"/>
            <w:tcBorders>
              <w:left w:val="single" w:sz="4" w:space="0" w:color="auto"/>
              <w:bottom w:val="nil"/>
            </w:tcBorders>
            <w:noWrap/>
            <w:hideMark/>
          </w:tcPr>
          <w:p w14:paraId="36F9C241"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54</w:t>
            </w:r>
          </w:p>
        </w:tc>
        <w:tc>
          <w:tcPr>
            <w:tcW w:w="1119" w:type="dxa"/>
            <w:tcBorders>
              <w:bottom w:val="nil"/>
            </w:tcBorders>
            <w:noWrap/>
            <w:hideMark/>
          </w:tcPr>
          <w:p w14:paraId="269E00AC"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66.2</w:t>
            </w:r>
          </w:p>
        </w:tc>
        <w:tc>
          <w:tcPr>
            <w:tcW w:w="1119" w:type="dxa"/>
            <w:tcBorders>
              <w:bottom w:val="nil"/>
              <w:right w:val="single" w:sz="4" w:space="0" w:color="auto"/>
            </w:tcBorders>
            <w:noWrap/>
            <w:hideMark/>
          </w:tcPr>
          <w:p w14:paraId="168C7DC9"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42.2</w:t>
            </w:r>
          </w:p>
        </w:tc>
        <w:tc>
          <w:tcPr>
            <w:tcW w:w="1119" w:type="dxa"/>
            <w:tcBorders>
              <w:left w:val="single" w:sz="4" w:space="0" w:color="auto"/>
              <w:bottom w:val="nil"/>
            </w:tcBorders>
            <w:noWrap/>
            <w:hideMark/>
          </w:tcPr>
          <w:p w14:paraId="26C23D72"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45.6</w:t>
            </w:r>
          </w:p>
        </w:tc>
        <w:tc>
          <w:tcPr>
            <w:tcW w:w="1118" w:type="dxa"/>
            <w:tcBorders>
              <w:bottom w:val="nil"/>
            </w:tcBorders>
            <w:noWrap/>
            <w:hideMark/>
          </w:tcPr>
          <w:p w14:paraId="04BC0573"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56.8</w:t>
            </w:r>
          </w:p>
        </w:tc>
        <w:tc>
          <w:tcPr>
            <w:tcW w:w="1118" w:type="dxa"/>
            <w:tcBorders>
              <w:bottom w:val="nil"/>
              <w:right w:val="single" w:sz="4" w:space="0" w:color="auto"/>
            </w:tcBorders>
            <w:noWrap/>
            <w:hideMark/>
          </w:tcPr>
          <w:p w14:paraId="3C29C7BF"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34.7</w:t>
            </w:r>
          </w:p>
        </w:tc>
        <w:tc>
          <w:tcPr>
            <w:tcW w:w="1118" w:type="dxa"/>
            <w:tcBorders>
              <w:left w:val="single" w:sz="4" w:space="0" w:color="auto"/>
              <w:bottom w:val="nil"/>
            </w:tcBorders>
            <w:noWrap/>
            <w:hideMark/>
          </w:tcPr>
          <w:p w14:paraId="29E0C25B"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41.5</w:t>
            </w:r>
          </w:p>
        </w:tc>
        <w:tc>
          <w:tcPr>
            <w:tcW w:w="1118" w:type="dxa"/>
            <w:tcBorders>
              <w:bottom w:val="nil"/>
            </w:tcBorders>
            <w:noWrap/>
            <w:hideMark/>
          </w:tcPr>
          <w:p w14:paraId="2E8CD9FA"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51.8</w:t>
            </w:r>
          </w:p>
        </w:tc>
        <w:tc>
          <w:tcPr>
            <w:tcW w:w="1118" w:type="dxa"/>
            <w:tcBorders>
              <w:bottom w:val="nil"/>
              <w:right w:val="single" w:sz="4" w:space="0" w:color="auto"/>
            </w:tcBorders>
            <w:noWrap/>
            <w:hideMark/>
          </w:tcPr>
          <w:p w14:paraId="6C931925"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31.6</w:t>
            </w:r>
          </w:p>
        </w:tc>
        <w:tc>
          <w:tcPr>
            <w:tcW w:w="1118" w:type="dxa"/>
            <w:tcBorders>
              <w:left w:val="single" w:sz="4" w:space="0" w:color="auto"/>
              <w:bottom w:val="nil"/>
            </w:tcBorders>
            <w:noWrap/>
            <w:hideMark/>
          </w:tcPr>
          <w:p w14:paraId="62388BA9"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24.2</w:t>
            </w:r>
          </w:p>
        </w:tc>
        <w:tc>
          <w:tcPr>
            <w:tcW w:w="1118" w:type="dxa"/>
            <w:tcBorders>
              <w:bottom w:val="nil"/>
            </w:tcBorders>
            <w:noWrap/>
            <w:hideMark/>
          </w:tcPr>
          <w:p w14:paraId="2E52CFE7"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29.9</w:t>
            </w:r>
          </w:p>
        </w:tc>
        <w:tc>
          <w:tcPr>
            <w:tcW w:w="1118" w:type="dxa"/>
            <w:tcBorders>
              <w:bottom w:val="nil"/>
              <w:right w:val="single" w:sz="4" w:space="0" w:color="auto"/>
            </w:tcBorders>
            <w:noWrap/>
            <w:hideMark/>
          </w:tcPr>
          <w:p w14:paraId="39FE8DE9"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18.8</w:t>
            </w:r>
          </w:p>
        </w:tc>
      </w:tr>
      <w:tr w:rsidR="00B86BF1" w:rsidRPr="00A743C9" w14:paraId="493583D2" w14:textId="77777777" w:rsidTr="000376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6" w:type="dxa"/>
            <w:tcBorders>
              <w:left w:val="single" w:sz="4" w:space="0" w:color="auto"/>
              <w:bottom w:val="nil"/>
              <w:right w:val="single" w:sz="4" w:space="0" w:color="auto"/>
            </w:tcBorders>
            <w:noWrap/>
            <w:hideMark/>
          </w:tcPr>
          <w:p w14:paraId="3BB2994A" w14:textId="77777777" w:rsidR="00B86BF1" w:rsidRPr="00A743C9" w:rsidRDefault="00B86BF1" w:rsidP="000376C7">
            <w:pPr>
              <w:rPr>
                <w:rFonts w:eastAsia="Times New Roman" w:cs="Calibri"/>
                <w:color w:val="auto"/>
                <w:sz w:val="16"/>
                <w:szCs w:val="16"/>
              </w:rPr>
            </w:pPr>
            <w:r w:rsidRPr="00A743C9">
              <w:rPr>
                <w:rFonts w:eastAsia="Times New Roman" w:cs="Calibri"/>
                <w:color w:val="auto"/>
                <w:sz w:val="16"/>
                <w:szCs w:val="16"/>
              </w:rPr>
              <w:t>Kyrgyzstan</w:t>
            </w:r>
          </w:p>
        </w:tc>
        <w:tc>
          <w:tcPr>
            <w:tcW w:w="1119" w:type="dxa"/>
            <w:tcBorders>
              <w:left w:val="single" w:sz="4" w:space="0" w:color="auto"/>
              <w:bottom w:val="nil"/>
            </w:tcBorders>
            <w:noWrap/>
            <w:hideMark/>
          </w:tcPr>
          <w:p w14:paraId="4DAF8353"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26.4</w:t>
            </w:r>
          </w:p>
        </w:tc>
        <w:tc>
          <w:tcPr>
            <w:tcW w:w="1119" w:type="dxa"/>
            <w:tcBorders>
              <w:bottom w:val="nil"/>
            </w:tcBorders>
            <w:noWrap/>
            <w:hideMark/>
          </w:tcPr>
          <w:p w14:paraId="614DE004"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50.5</w:t>
            </w:r>
          </w:p>
        </w:tc>
        <w:tc>
          <w:tcPr>
            <w:tcW w:w="1119" w:type="dxa"/>
            <w:tcBorders>
              <w:bottom w:val="nil"/>
              <w:right w:val="single" w:sz="4" w:space="0" w:color="auto"/>
            </w:tcBorders>
            <w:noWrap/>
            <w:hideMark/>
          </w:tcPr>
          <w:p w14:paraId="0397E3A1"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3.7</w:t>
            </w:r>
          </w:p>
        </w:tc>
        <w:tc>
          <w:tcPr>
            <w:tcW w:w="1119" w:type="dxa"/>
            <w:tcBorders>
              <w:left w:val="single" w:sz="4" w:space="0" w:color="auto"/>
              <w:bottom w:val="nil"/>
            </w:tcBorders>
            <w:noWrap/>
            <w:hideMark/>
          </w:tcPr>
          <w:p w14:paraId="750459B9"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20.9</w:t>
            </w:r>
          </w:p>
        </w:tc>
        <w:tc>
          <w:tcPr>
            <w:tcW w:w="1118" w:type="dxa"/>
            <w:tcBorders>
              <w:bottom w:val="nil"/>
            </w:tcBorders>
            <w:noWrap/>
            <w:hideMark/>
          </w:tcPr>
          <w:p w14:paraId="42F2FDED"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40.1</w:t>
            </w:r>
          </w:p>
        </w:tc>
        <w:tc>
          <w:tcPr>
            <w:tcW w:w="1118" w:type="dxa"/>
            <w:tcBorders>
              <w:bottom w:val="nil"/>
              <w:right w:val="single" w:sz="4" w:space="0" w:color="auto"/>
            </w:tcBorders>
            <w:noWrap/>
            <w:hideMark/>
          </w:tcPr>
          <w:p w14:paraId="7F044057"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2.7</w:t>
            </w:r>
          </w:p>
        </w:tc>
        <w:tc>
          <w:tcPr>
            <w:tcW w:w="1118" w:type="dxa"/>
            <w:tcBorders>
              <w:left w:val="single" w:sz="4" w:space="0" w:color="auto"/>
              <w:bottom w:val="nil"/>
            </w:tcBorders>
            <w:noWrap/>
            <w:hideMark/>
          </w:tcPr>
          <w:p w14:paraId="6125423D"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23.1</w:t>
            </w:r>
          </w:p>
        </w:tc>
        <w:tc>
          <w:tcPr>
            <w:tcW w:w="1118" w:type="dxa"/>
            <w:tcBorders>
              <w:bottom w:val="nil"/>
            </w:tcBorders>
            <w:noWrap/>
            <w:hideMark/>
          </w:tcPr>
          <w:p w14:paraId="6D6B0915"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44.5</w:t>
            </w:r>
          </w:p>
        </w:tc>
        <w:tc>
          <w:tcPr>
            <w:tcW w:w="1118" w:type="dxa"/>
            <w:tcBorders>
              <w:bottom w:val="nil"/>
              <w:right w:val="single" w:sz="4" w:space="0" w:color="auto"/>
            </w:tcBorders>
            <w:noWrap/>
            <w:hideMark/>
          </w:tcPr>
          <w:p w14:paraId="3E484C30"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2.9</w:t>
            </w:r>
          </w:p>
        </w:tc>
        <w:tc>
          <w:tcPr>
            <w:tcW w:w="1118" w:type="dxa"/>
            <w:tcBorders>
              <w:left w:val="single" w:sz="4" w:space="0" w:color="auto"/>
              <w:bottom w:val="nil"/>
            </w:tcBorders>
            <w:noWrap/>
            <w:hideMark/>
          </w:tcPr>
          <w:p w14:paraId="769F9418"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19.9</w:t>
            </w:r>
          </w:p>
        </w:tc>
        <w:tc>
          <w:tcPr>
            <w:tcW w:w="1118" w:type="dxa"/>
            <w:tcBorders>
              <w:bottom w:val="nil"/>
            </w:tcBorders>
            <w:noWrap/>
            <w:hideMark/>
          </w:tcPr>
          <w:p w14:paraId="63014192"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38.4</w:t>
            </w:r>
          </w:p>
        </w:tc>
        <w:tc>
          <w:tcPr>
            <w:tcW w:w="1118" w:type="dxa"/>
            <w:tcBorders>
              <w:bottom w:val="nil"/>
              <w:right w:val="single" w:sz="4" w:space="0" w:color="auto"/>
            </w:tcBorders>
            <w:noWrap/>
            <w:hideMark/>
          </w:tcPr>
          <w:p w14:paraId="423D6AC3"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2.5</w:t>
            </w:r>
          </w:p>
        </w:tc>
      </w:tr>
      <w:tr w:rsidR="00B86BF1" w:rsidRPr="00A743C9" w14:paraId="1CB924C0" w14:textId="77777777" w:rsidTr="000376C7">
        <w:trPr>
          <w:trHeight w:val="300"/>
        </w:trPr>
        <w:tc>
          <w:tcPr>
            <w:cnfStyle w:val="001000000000" w:firstRow="0" w:lastRow="0" w:firstColumn="1" w:lastColumn="0" w:oddVBand="0" w:evenVBand="0" w:oddHBand="0" w:evenHBand="0" w:firstRowFirstColumn="0" w:firstRowLastColumn="0" w:lastRowFirstColumn="0" w:lastRowLastColumn="0"/>
            <w:tcW w:w="1606" w:type="dxa"/>
            <w:tcBorders>
              <w:left w:val="single" w:sz="4" w:space="0" w:color="auto"/>
              <w:bottom w:val="nil"/>
              <w:right w:val="single" w:sz="4" w:space="0" w:color="auto"/>
            </w:tcBorders>
            <w:noWrap/>
            <w:hideMark/>
          </w:tcPr>
          <w:p w14:paraId="250EE5FC" w14:textId="77777777" w:rsidR="00B86BF1" w:rsidRPr="00A743C9" w:rsidRDefault="00B86BF1" w:rsidP="000376C7">
            <w:pPr>
              <w:rPr>
                <w:rFonts w:eastAsia="Times New Roman" w:cs="Calibri"/>
                <w:color w:val="auto"/>
                <w:sz w:val="16"/>
                <w:szCs w:val="16"/>
              </w:rPr>
            </w:pPr>
            <w:r w:rsidRPr="00A743C9">
              <w:rPr>
                <w:rFonts w:eastAsia="Times New Roman" w:cs="Calibri"/>
                <w:color w:val="auto"/>
                <w:sz w:val="16"/>
                <w:szCs w:val="16"/>
              </w:rPr>
              <w:t xml:space="preserve">Lao </w:t>
            </w:r>
          </w:p>
        </w:tc>
        <w:tc>
          <w:tcPr>
            <w:tcW w:w="1119" w:type="dxa"/>
            <w:tcBorders>
              <w:left w:val="single" w:sz="4" w:space="0" w:color="auto"/>
              <w:bottom w:val="nil"/>
            </w:tcBorders>
            <w:noWrap/>
            <w:hideMark/>
          </w:tcPr>
          <w:p w14:paraId="4799AE17"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34</w:t>
            </w:r>
          </w:p>
        </w:tc>
        <w:tc>
          <w:tcPr>
            <w:tcW w:w="1119" w:type="dxa"/>
            <w:tcBorders>
              <w:bottom w:val="nil"/>
            </w:tcBorders>
            <w:noWrap/>
            <w:hideMark/>
          </w:tcPr>
          <w:p w14:paraId="6DB89560"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58.7</w:t>
            </w:r>
          </w:p>
        </w:tc>
        <w:tc>
          <w:tcPr>
            <w:tcW w:w="1119" w:type="dxa"/>
            <w:tcBorders>
              <w:bottom w:val="nil"/>
              <w:right w:val="single" w:sz="4" w:space="0" w:color="auto"/>
            </w:tcBorders>
            <w:noWrap/>
            <w:hideMark/>
          </w:tcPr>
          <w:p w14:paraId="5D4768BA"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10.1</w:t>
            </w:r>
          </w:p>
        </w:tc>
        <w:tc>
          <w:tcPr>
            <w:tcW w:w="1119" w:type="dxa"/>
            <w:tcBorders>
              <w:left w:val="single" w:sz="4" w:space="0" w:color="auto"/>
              <w:bottom w:val="nil"/>
            </w:tcBorders>
            <w:noWrap/>
            <w:hideMark/>
          </w:tcPr>
          <w:p w14:paraId="1789944B"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29</w:t>
            </w:r>
          </w:p>
        </w:tc>
        <w:tc>
          <w:tcPr>
            <w:tcW w:w="1118" w:type="dxa"/>
            <w:tcBorders>
              <w:bottom w:val="nil"/>
            </w:tcBorders>
            <w:noWrap/>
            <w:hideMark/>
          </w:tcPr>
          <w:p w14:paraId="140ACA3B"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50.7</w:t>
            </w:r>
          </w:p>
        </w:tc>
        <w:tc>
          <w:tcPr>
            <w:tcW w:w="1118" w:type="dxa"/>
            <w:tcBorders>
              <w:bottom w:val="nil"/>
              <w:right w:val="single" w:sz="4" w:space="0" w:color="auto"/>
            </w:tcBorders>
            <w:noWrap/>
            <w:hideMark/>
          </w:tcPr>
          <w:p w14:paraId="7CFCE9C2"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8</w:t>
            </w:r>
          </w:p>
        </w:tc>
        <w:tc>
          <w:tcPr>
            <w:tcW w:w="1118" w:type="dxa"/>
            <w:tcBorders>
              <w:left w:val="single" w:sz="4" w:space="0" w:color="auto"/>
              <w:bottom w:val="nil"/>
            </w:tcBorders>
            <w:noWrap/>
            <w:hideMark/>
          </w:tcPr>
          <w:p w14:paraId="0DA0BDC0"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27.4</w:t>
            </w:r>
          </w:p>
        </w:tc>
        <w:tc>
          <w:tcPr>
            <w:tcW w:w="1118" w:type="dxa"/>
            <w:tcBorders>
              <w:bottom w:val="nil"/>
            </w:tcBorders>
            <w:noWrap/>
            <w:hideMark/>
          </w:tcPr>
          <w:p w14:paraId="6A9C3568"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47.5</w:t>
            </w:r>
          </w:p>
        </w:tc>
        <w:tc>
          <w:tcPr>
            <w:tcW w:w="1118" w:type="dxa"/>
            <w:tcBorders>
              <w:bottom w:val="nil"/>
              <w:right w:val="single" w:sz="4" w:space="0" w:color="auto"/>
            </w:tcBorders>
            <w:noWrap/>
            <w:hideMark/>
          </w:tcPr>
          <w:p w14:paraId="05B9BBA3"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8.2</w:t>
            </w:r>
          </w:p>
        </w:tc>
        <w:tc>
          <w:tcPr>
            <w:tcW w:w="1118" w:type="dxa"/>
            <w:tcBorders>
              <w:left w:val="single" w:sz="4" w:space="0" w:color="auto"/>
              <w:bottom w:val="nil"/>
            </w:tcBorders>
            <w:noWrap/>
            <w:hideMark/>
          </w:tcPr>
          <w:p w14:paraId="4160226C"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23.6</w:t>
            </w:r>
          </w:p>
        </w:tc>
        <w:tc>
          <w:tcPr>
            <w:tcW w:w="1118" w:type="dxa"/>
            <w:tcBorders>
              <w:bottom w:val="nil"/>
            </w:tcBorders>
            <w:noWrap/>
            <w:hideMark/>
          </w:tcPr>
          <w:p w14:paraId="20156AA5"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42.7</w:t>
            </w:r>
          </w:p>
        </w:tc>
        <w:tc>
          <w:tcPr>
            <w:tcW w:w="1118" w:type="dxa"/>
            <w:tcBorders>
              <w:bottom w:val="nil"/>
              <w:right w:val="single" w:sz="4" w:space="0" w:color="auto"/>
            </w:tcBorders>
            <w:noWrap/>
            <w:hideMark/>
          </w:tcPr>
          <w:p w14:paraId="70A8F482"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5.3</w:t>
            </w:r>
          </w:p>
        </w:tc>
      </w:tr>
      <w:tr w:rsidR="00B86BF1" w:rsidRPr="00A743C9" w14:paraId="7C6621B2" w14:textId="77777777" w:rsidTr="000376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6" w:type="dxa"/>
            <w:tcBorders>
              <w:left w:val="single" w:sz="4" w:space="0" w:color="auto"/>
              <w:bottom w:val="nil"/>
              <w:right w:val="single" w:sz="4" w:space="0" w:color="auto"/>
            </w:tcBorders>
            <w:noWrap/>
            <w:hideMark/>
          </w:tcPr>
          <w:p w14:paraId="05C3A79B" w14:textId="77777777" w:rsidR="00B86BF1" w:rsidRPr="00A743C9" w:rsidRDefault="00B86BF1" w:rsidP="000376C7">
            <w:pPr>
              <w:rPr>
                <w:rFonts w:eastAsia="Times New Roman" w:cs="Calibri"/>
                <w:color w:val="auto"/>
                <w:sz w:val="16"/>
                <w:szCs w:val="16"/>
              </w:rPr>
            </w:pPr>
            <w:r w:rsidRPr="00A743C9">
              <w:rPr>
                <w:rFonts w:eastAsia="Times New Roman" w:cs="Calibri"/>
                <w:color w:val="auto"/>
                <w:sz w:val="16"/>
                <w:szCs w:val="16"/>
              </w:rPr>
              <w:t>Latvia</w:t>
            </w:r>
          </w:p>
        </w:tc>
        <w:tc>
          <w:tcPr>
            <w:tcW w:w="1119" w:type="dxa"/>
            <w:tcBorders>
              <w:left w:val="single" w:sz="4" w:space="0" w:color="auto"/>
              <w:bottom w:val="nil"/>
            </w:tcBorders>
            <w:noWrap/>
            <w:hideMark/>
          </w:tcPr>
          <w:p w14:paraId="3E018E38"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35.9</w:t>
            </w:r>
          </w:p>
        </w:tc>
        <w:tc>
          <w:tcPr>
            <w:tcW w:w="1119" w:type="dxa"/>
            <w:tcBorders>
              <w:bottom w:val="nil"/>
            </w:tcBorders>
            <w:noWrap/>
            <w:hideMark/>
          </w:tcPr>
          <w:p w14:paraId="5CB9DAED"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50</w:t>
            </w:r>
          </w:p>
        </w:tc>
        <w:tc>
          <w:tcPr>
            <w:tcW w:w="1119" w:type="dxa"/>
            <w:tcBorders>
              <w:bottom w:val="nil"/>
              <w:right w:val="single" w:sz="4" w:space="0" w:color="auto"/>
            </w:tcBorders>
            <w:noWrap/>
            <w:hideMark/>
          </w:tcPr>
          <w:p w14:paraId="6110951B"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24.4</w:t>
            </w:r>
          </w:p>
        </w:tc>
        <w:tc>
          <w:tcPr>
            <w:tcW w:w="1119" w:type="dxa"/>
            <w:tcBorders>
              <w:left w:val="single" w:sz="4" w:space="0" w:color="auto"/>
              <w:bottom w:val="nil"/>
            </w:tcBorders>
            <w:noWrap/>
            <w:hideMark/>
          </w:tcPr>
          <w:p w14:paraId="543512EF"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30</w:t>
            </w:r>
          </w:p>
        </w:tc>
        <w:tc>
          <w:tcPr>
            <w:tcW w:w="1118" w:type="dxa"/>
            <w:tcBorders>
              <w:bottom w:val="nil"/>
            </w:tcBorders>
            <w:noWrap/>
            <w:hideMark/>
          </w:tcPr>
          <w:p w14:paraId="13244AC5"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44.4</w:t>
            </w:r>
          </w:p>
        </w:tc>
        <w:tc>
          <w:tcPr>
            <w:tcW w:w="1118" w:type="dxa"/>
            <w:tcBorders>
              <w:bottom w:val="nil"/>
              <w:right w:val="single" w:sz="4" w:space="0" w:color="auto"/>
            </w:tcBorders>
            <w:noWrap/>
            <w:hideMark/>
          </w:tcPr>
          <w:p w14:paraId="72552947"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18.3</w:t>
            </w:r>
          </w:p>
        </w:tc>
        <w:tc>
          <w:tcPr>
            <w:tcW w:w="1118" w:type="dxa"/>
            <w:tcBorders>
              <w:left w:val="single" w:sz="4" w:space="0" w:color="auto"/>
              <w:bottom w:val="nil"/>
            </w:tcBorders>
            <w:noWrap/>
            <w:hideMark/>
          </w:tcPr>
          <w:p w14:paraId="481D6E19"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29.1</w:t>
            </w:r>
          </w:p>
        </w:tc>
        <w:tc>
          <w:tcPr>
            <w:tcW w:w="1118" w:type="dxa"/>
            <w:tcBorders>
              <w:bottom w:val="nil"/>
            </w:tcBorders>
            <w:noWrap/>
            <w:hideMark/>
          </w:tcPr>
          <w:p w14:paraId="2C157EBD"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40.3</w:t>
            </w:r>
          </w:p>
        </w:tc>
        <w:tc>
          <w:tcPr>
            <w:tcW w:w="1118" w:type="dxa"/>
            <w:tcBorders>
              <w:bottom w:val="nil"/>
              <w:right w:val="single" w:sz="4" w:space="0" w:color="auto"/>
            </w:tcBorders>
            <w:noWrap/>
            <w:hideMark/>
          </w:tcPr>
          <w:p w14:paraId="4FABE157"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20</w:t>
            </w:r>
          </w:p>
        </w:tc>
        <w:tc>
          <w:tcPr>
            <w:tcW w:w="1118" w:type="dxa"/>
            <w:tcBorders>
              <w:left w:val="single" w:sz="4" w:space="0" w:color="auto"/>
              <w:bottom w:val="nil"/>
            </w:tcBorders>
            <w:noWrap/>
            <w:hideMark/>
          </w:tcPr>
          <w:p w14:paraId="0FF0A7CA"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26.8</w:t>
            </w:r>
          </w:p>
        </w:tc>
        <w:tc>
          <w:tcPr>
            <w:tcW w:w="1118" w:type="dxa"/>
            <w:tcBorders>
              <w:bottom w:val="nil"/>
            </w:tcBorders>
            <w:noWrap/>
            <w:hideMark/>
          </w:tcPr>
          <w:p w14:paraId="1E61BA6A"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38.2</w:t>
            </w:r>
          </w:p>
        </w:tc>
        <w:tc>
          <w:tcPr>
            <w:tcW w:w="1118" w:type="dxa"/>
            <w:tcBorders>
              <w:bottom w:val="nil"/>
              <w:right w:val="single" w:sz="4" w:space="0" w:color="auto"/>
            </w:tcBorders>
            <w:noWrap/>
            <w:hideMark/>
          </w:tcPr>
          <w:p w14:paraId="263939AB"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17.6</w:t>
            </w:r>
          </w:p>
        </w:tc>
      </w:tr>
      <w:tr w:rsidR="00B86BF1" w:rsidRPr="00A743C9" w14:paraId="7F1B36EE" w14:textId="77777777" w:rsidTr="000376C7">
        <w:trPr>
          <w:trHeight w:val="300"/>
        </w:trPr>
        <w:tc>
          <w:tcPr>
            <w:cnfStyle w:val="001000000000" w:firstRow="0" w:lastRow="0" w:firstColumn="1" w:lastColumn="0" w:oddVBand="0" w:evenVBand="0" w:oddHBand="0" w:evenHBand="0" w:firstRowFirstColumn="0" w:firstRowLastColumn="0" w:lastRowFirstColumn="0" w:lastRowLastColumn="0"/>
            <w:tcW w:w="1606" w:type="dxa"/>
            <w:tcBorders>
              <w:left w:val="single" w:sz="4" w:space="0" w:color="auto"/>
              <w:bottom w:val="nil"/>
              <w:right w:val="single" w:sz="4" w:space="0" w:color="auto"/>
            </w:tcBorders>
            <w:noWrap/>
            <w:hideMark/>
          </w:tcPr>
          <w:p w14:paraId="75279BED" w14:textId="77777777" w:rsidR="00B86BF1" w:rsidRPr="00A743C9" w:rsidRDefault="00B86BF1" w:rsidP="000376C7">
            <w:pPr>
              <w:rPr>
                <w:rFonts w:eastAsia="Times New Roman" w:cs="Calibri"/>
                <w:color w:val="auto"/>
                <w:sz w:val="16"/>
                <w:szCs w:val="16"/>
              </w:rPr>
            </w:pPr>
            <w:r w:rsidRPr="00A743C9">
              <w:rPr>
                <w:rFonts w:eastAsia="Times New Roman" w:cs="Calibri"/>
                <w:color w:val="auto"/>
                <w:sz w:val="16"/>
                <w:szCs w:val="16"/>
              </w:rPr>
              <w:t>Lebanon</w:t>
            </w:r>
          </w:p>
        </w:tc>
        <w:tc>
          <w:tcPr>
            <w:tcW w:w="1119" w:type="dxa"/>
            <w:tcBorders>
              <w:left w:val="single" w:sz="4" w:space="0" w:color="auto"/>
              <w:bottom w:val="nil"/>
            </w:tcBorders>
            <w:noWrap/>
            <w:hideMark/>
          </w:tcPr>
          <w:p w14:paraId="0B95D374"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37</w:t>
            </w:r>
          </w:p>
        </w:tc>
        <w:tc>
          <w:tcPr>
            <w:tcW w:w="1119" w:type="dxa"/>
            <w:tcBorders>
              <w:bottom w:val="nil"/>
            </w:tcBorders>
            <w:noWrap/>
            <w:hideMark/>
          </w:tcPr>
          <w:p w14:paraId="0DDDC277"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43.9</w:t>
            </w:r>
          </w:p>
        </w:tc>
        <w:tc>
          <w:tcPr>
            <w:tcW w:w="1119" w:type="dxa"/>
            <w:tcBorders>
              <w:bottom w:val="nil"/>
              <w:right w:val="single" w:sz="4" w:space="0" w:color="auto"/>
            </w:tcBorders>
            <w:noWrap/>
            <w:hideMark/>
          </w:tcPr>
          <w:p w14:paraId="0F7A00FC"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29.9</w:t>
            </w:r>
          </w:p>
        </w:tc>
        <w:tc>
          <w:tcPr>
            <w:tcW w:w="1119" w:type="dxa"/>
            <w:tcBorders>
              <w:left w:val="single" w:sz="4" w:space="0" w:color="auto"/>
              <w:bottom w:val="nil"/>
            </w:tcBorders>
            <w:noWrap/>
            <w:hideMark/>
          </w:tcPr>
          <w:p w14:paraId="56848E66"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28.7</w:t>
            </w:r>
          </w:p>
        </w:tc>
        <w:tc>
          <w:tcPr>
            <w:tcW w:w="1118" w:type="dxa"/>
            <w:tcBorders>
              <w:bottom w:val="nil"/>
            </w:tcBorders>
            <w:noWrap/>
            <w:hideMark/>
          </w:tcPr>
          <w:p w14:paraId="3657CA81"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36</w:t>
            </w:r>
          </w:p>
        </w:tc>
        <w:tc>
          <w:tcPr>
            <w:tcW w:w="1118" w:type="dxa"/>
            <w:tcBorders>
              <w:bottom w:val="nil"/>
              <w:right w:val="single" w:sz="4" w:space="0" w:color="auto"/>
            </w:tcBorders>
            <w:noWrap/>
            <w:hideMark/>
          </w:tcPr>
          <w:p w14:paraId="61007C78"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21.1</w:t>
            </w:r>
          </w:p>
        </w:tc>
        <w:tc>
          <w:tcPr>
            <w:tcW w:w="1118" w:type="dxa"/>
            <w:tcBorders>
              <w:left w:val="single" w:sz="4" w:space="0" w:color="auto"/>
              <w:bottom w:val="nil"/>
            </w:tcBorders>
            <w:noWrap/>
            <w:hideMark/>
          </w:tcPr>
          <w:p w14:paraId="6AB3FDFA"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30.7</w:t>
            </w:r>
          </w:p>
        </w:tc>
        <w:tc>
          <w:tcPr>
            <w:tcW w:w="1118" w:type="dxa"/>
            <w:tcBorders>
              <w:bottom w:val="nil"/>
            </w:tcBorders>
            <w:noWrap/>
            <w:hideMark/>
          </w:tcPr>
          <w:p w14:paraId="16235FBA"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37</w:t>
            </w:r>
          </w:p>
        </w:tc>
        <w:tc>
          <w:tcPr>
            <w:tcW w:w="1118" w:type="dxa"/>
            <w:tcBorders>
              <w:bottom w:val="nil"/>
              <w:right w:val="single" w:sz="4" w:space="0" w:color="auto"/>
            </w:tcBorders>
            <w:noWrap/>
            <w:hideMark/>
          </w:tcPr>
          <w:p w14:paraId="661C185E"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24.2</w:t>
            </w:r>
          </w:p>
        </w:tc>
        <w:tc>
          <w:tcPr>
            <w:tcW w:w="1118" w:type="dxa"/>
            <w:tcBorders>
              <w:left w:val="single" w:sz="4" w:space="0" w:color="auto"/>
              <w:bottom w:val="nil"/>
            </w:tcBorders>
            <w:noWrap/>
            <w:hideMark/>
          </w:tcPr>
          <w:p w14:paraId="5EDFB805"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16.9</w:t>
            </w:r>
          </w:p>
        </w:tc>
        <w:tc>
          <w:tcPr>
            <w:tcW w:w="1118" w:type="dxa"/>
            <w:tcBorders>
              <w:bottom w:val="nil"/>
            </w:tcBorders>
            <w:noWrap/>
            <w:hideMark/>
          </w:tcPr>
          <w:p w14:paraId="47A38AE8"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27.4</w:t>
            </w:r>
          </w:p>
        </w:tc>
        <w:tc>
          <w:tcPr>
            <w:tcW w:w="1118" w:type="dxa"/>
            <w:tcBorders>
              <w:bottom w:val="nil"/>
              <w:right w:val="single" w:sz="4" w:space="0" w:color="auto"/>
            </w:tcBorders>
            <w:noWrap/>
            <w:hideMark/>
          </w:tcPr>
          <w:p w14:paraId="6814C01E"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6.1</w:t>
            </w:r>
          </w:p>
        </w:tc>
      </w:tr>
      <w:tr w:rsidR="00B86BF1" w:rsidRPr="00A743C9" w14:paraId="185B630C" w14:textId="77777777" w:rsidTr="000376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6" w:type="dxa"/>
            <w:tcBorders>
              <w:left w:val="single" w:sz="4" w:space="0" w:color="auto"/>
              <w:bottom w:val="nil"/>
              <w:right w:val="single" w:sz="4" w:space="0" w:color="auto"/>
            </w:tcBorders>
            <w:noWrap/>
            <w:hideMark/>
          </w:tcPr>
          <w:p w14:paraId="52174837" w14:textId="77777777" w:rsidR="00B86BF1" w:rsidRPr="00A743C9" w:rsidRDefault="00B86BF1" w:rsidP="000376C7">
            <w:pPr>
              <w:rPr>
                <w:rFonts w:eastAsia="Times New Roman" w:cs="Calibri"/>
                <w:color w:val="auto"/>
                <w:sz w:val="16"/>
                <w:szCs w:val="16"/>
              </w:rPr>
            </w:pPr>
            <w:r w:rsidRPr="00A743C9">
              <w:rPr>
                <w:rFonts w:eastAsia="Times New Roman" w:cs="Calibri"/>
                <w:color w:val="auto"/>
                <w:sz w:val="16"/>
                <w:szCs w:val="16"/>
              </w:rPr>
              <w:t>Lesotho</w:t>
            </w:r>
          </w:p>
        </w:tc>
        <w:tc>
          <w:tcPr>
            <w:tcW w:w="1119" w:type="dxa"/>
            <w:tcBorders>
              <w:left w:val="single" w:sz="4" w:space="0" w:color="auto"/>
              <w:bottom w:val="nil"/>
            </w:tcBorders>
            <w:noWrap/>
            <w:hideMark/>
          </w:tcPr>
          <w:p w14:paraId="623A3447"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25.4</w:t>
            </w:r>
          </w:p>
        </w:tc>
        <w:tc>
          <w:tcPr>
            <w:tcW w:w="1119" w:type="dxa"/>
            <w:tcBorders>
              <w:bottom w:val="nil"/>
            </w:tcBorders>
            <w:noWrap/>
            <w:hideMark/>
          </w:tcPr>
          <w:p w14:paraId="6DF480E0"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51.7</w:t>
            </w:r>
          </w:p>
        </w:tc>
        <w:tc>
          <w:tcPr>
            <w:tcW w:w="1119" w:type="dxa"/>
            <w:tcBorders>
              <w:bottom w:val="nil"/>
              <w:right w:val="single" w:sz="4" w:space="0" w:color="auto"/>
            </w:tcBorders>
            <w:noWrap/>
            <w:hideMark/>
          </w:tcPr>
          <w:p w14:paraId="5800FF98"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0.4</w:t>
            </w:r>
          </w:p>
        </w:tc>
        <w:tc>
          <w:tcPr>
            <w:tcW w:w="1119" w:type="dxa"/>
            <w:tcBorders>
              <w:left w:val="single" w:sz="4" w:space="0" w:color="auto"/>
              <w:bottom w:val="nil"/>
            </w:tcBorders>
            <w:noWrap/>
            <w:hideMark/>
          </w:tcPr>
          <w:p w14:paraId="395A4B8D"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19.9</w:t>
            </w:r>
          </w:p>
        </w:tc>
        <w:tc>
          <w:tcPr>
            <w:tcW w:w="1118" w:type="dxa"/>
            <w:tcBorders>
              <w:bottom w:val="nil"/>
            </w:tcBorders>
            <w:noWrap/>
            <w:hideMark/>
          </w:tcPr>
          <w:p w14:paraId="58113830"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40.4</w:t>
            </w:r>
          </w:p>
        </w:tc>
        <w:tc>
          <w:tcPr>
            <w:tcW w:w="1118" w:type="dxa"/>
            <w:tcBorders>
              <w:bottom w:val="nil"/>
              <w:right w:val="single" w:sz="4" w:space="0" w:color="auto"/>
            </w:tcBorders>
            <w:noWrap/>
            <w:hideMark/>
          </w:tcPr>
          <w:p w14:paraId="27A56CB8"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0.3</w:t>
            </w:r>
          </w:p>
        </w:tc>
        <w:tc>
          <w:tcPr>
            <w:tcW w:w="1118" w:type="dxa"/>
            <w:tcBorders>
              <w:left w:val="single" w:sz="4" w:space="0" w:color="auto"/>
              <w:bottom w:val="nil"/>
            </w:tcBorders>
            <w:noWrap/>
            <w:hideMark/>
          </w:tcPr>
          <w:p w14:paraId="10489C2C"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18.3</w:t>
            </w:r>
          </w:p>
        </w:tc>
        <w:tc>
          <w:tcPr>
            <w:tcW w:w="1118" w:type="dxa"/>
            <w:tcBorders>
              <w:bottom w:val="nil"/>
            </w:tcBorders>
            <w:noWrap/>
            <w:hideMark/>
          </w:tcPr>
          <w:p w14:paraId="4C9C08D8"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37.3</w:t>
            </w:r>
          </w:p>
        </w:tc>
        <w:tc>
          <w:tcPr>
            <w:tcW w:w="1118" w:type="dxa"/>
            <w:tcBorders>
              <w:bottom w:val="nil"/>
              <w:right w:val="single" w:sz="4" w:space="0" w:color="auto"/>
            </w:tcBorders>
            <w:noWrap/>
            <w:hideMark/>
          </w:tcPr>
          <w:p w14:paraId="190C1D8A"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0.2</w:t>
            </w:r>
          </w:p>
        </w:tc>
        <w:tc>
          <w:tcPr>
            <w:tcW w:w="1118" w:type="dxa"/>
            <w:tcBorders>
              <w:left w:val="single" w:sz="4" w:space="0" w:color="auto"/>
              <w:bottom w:val="nil"/>
            </w:tcBorders>
            <w:noWrap/>
            <w:hideMark/>
          </w:tcPr>
          <w:p w14:paraId="00D5ED29"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14.9</w:t>
            </w:r>
          </w:p>
        </w:tc>
        <w:tc>
          <w:tcPr>
            <w:tcW w:w="1118" w:type="dxa"/>
            <w:tcBorders>
              <w:bottom w:val="nil"/>
            </w:tcBorders>
            <w:noWrap/>
            <w:hideMark/>
          </w:tcPr>
          <w:p w14:paraId="29F7EFF3"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30.3</w:t>
            </w:r>
          </w:p>
        </w:tc>
        <w:tc>
          <w:tcPr>
            <w:tcW w:w="1118" w:type="dxa"/>
            <w:tcBorders>
              <w:bottom w:val="nil"/>
              <w:right w:val="single" w:sz="4" w:space="0" w:color="auto"/>
            </w:tcBorders>
            <w:noWrap/>
            <w:hideMark/>
          </w:tcPr>
          <w:p w14:paraId="27BCFDA5"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0.2</w:t>
            </w:r>
          </w:p>
        </w:tc>
      </w:tr>
      <w:tr w:rsidR="00B86BF1" w:rsidRPr="00A743C9" w14:paraId="342655F7" w14:textId="77777777" w:rsidTr="000376C7">
        <w:trPr>
          <w:trHeight w:val="300"/>
        </w:trPr>
        <w:tc>
          <w:tcPr>
            <w:cnfStyle w:val="001000000000" w:firstRow="0" w:lastRow="0" w:firstColumn="1" w:lastColumn="0" w:oddVBand="0" w:evenVBand="0" w:oddHBand="0" w:evenHBand="0" w:firstRowFirstColumn="0" w:firstRowLastColumn="0" w:lastRowFirstColumn="0" w:lastRowLastColumn="0"/>
            <w:tcW w:w="1606" w:type="dxa"/>
            <w:tcBorders>
              <w:left w:val="single" w:sz="4" w:space="0" w:color="auto"/>
              <w:bottom w:val="nil"/>
              <w:right w:val="single" w:sz="4" w:space="0" w:color="auto"/>
            </w:tcBorders>
            <w:noWrap/>
            <w:hideMark/>
          </w:tcPr>
          <w:p w14:paraId="04F372C1" w14:textId="77777777" w:rsidR="00B86BF1" w:rsidRPr="00A743C9" w:rsidRDefault="00B86BF1" w:rsidP="000376C7">
            <w:pPr>
              <w:rPr>
                <w:rFonts w:eastAsia="Times New Roman" w:cs="Calibri"/>
                <w:color w:val="auto"/>
                <w:sz w:val="16"/>
                <w:szCs w:val="16"/>
              </w:rPr>
            </w:pPr>
            <w:r w:rsidRPr="00A743C9">
              <w:rPr>
                <w:rFonts w:eastAsia="Times New Roman" w:cs="Calibri"/>
                <w:color w:val="auto"/>
                <w:sz w:val="16"/>
                <w:szCs w:val="16"/>
              </w:rPr>
              <w:t>Liberia</w:t>
            </w:r>
          </w:p>
        </w:tc>
        <w:tc>
          <w:tcPr>
            <w:tcW w:w="1119" w:type="dxa"/>
            <w:tcBorders>
              <w:left w:val="single" w:sz="4" w:space="0" w:color="auto"/>
              <w:bottom w:val="nil"/>
            </w:tcBorders>
            <w:noWrap/>
            <w:hideMark/>
          </w:tcPr>
          <w:p w14:paraId="0A861877"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14.2</w:t>
            </w:r>
          </w:p>
        </w:tc>
        <w:tc>
          <w:tcPr>
            <w:tcW w:w="1119" w:type="dxa"/>
            <w:tcBorders>
              <w:bottom w:val="nil"/>
            </w:tcBorders>
            <w:noWrap/>
            <w:hideMark/>
          </w:tcPr>
          <w:p w14:paraId="55654DDB"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25.9</w:t>
            </w:r>
          </w:p>
        </w:tc>
        <w:tc>
          <w:tcPr>
            <w:tcW w:w="1119" w:type="dxa"/>
            <w:tcBorders>
              <w:bottom w:val="nil"/>
              <w:right w:val="single" w:sz="4" w:space="0" w:color="auto"/>
            </w:tcBorders>
            <w:noWrap/>
            <w:hideMark/>
          </w:tcPr>
          <w:p w14:paraId="2A68AABB"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2.6</w:t>
            </w:r>
          </w:p>
        </w:tc>
        <w:tc>
          <w:tcPr>
            <w:tcW w:w="1119" w:type="dxa"/>
            <w:tcBorders>
              <w:left w:val="single" w:sz="4" w:space="0" w:color="auto"/>
              <w:bottom w:val="nil"/>
            </w:tcBorders>
            <w:noWrap/>
            <w:hideMark/>
          </w:tcPr>
          <w:p w14:paraId="0C6A93C4"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11.2</w:t>
            </w:r>
          </w:p>
        </w:tc>
        <w:tc>
          <w:tcPr>
            <w:tcW w:w="1118" w:type="dxa"/>
            <w:tcBorders>
              <w:bottom w:val="nil"/>
            </w:tcBorders>
            <w:noWrap/>
            <w:hideMark/>
          </w:tcPr>
          <w:p w14:paraId="6FB372C8"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20.5</w:t>
            </w:r>
          </w:p>
        </w:tc>
        <w:tc>
          <w:tcPr>
            <w:tcW w:w="1118" w:type="dxa"/>
            <w:tcBorders>
              <w:bottom w:val="nil"/>
              <w:right w:val="single" w:sz="4" w:space="0" w:color="auto"/>
            </w:tcBorders>
            <w:noWrap/>
            <w:hideMark/>
          </w:tcPr>
          <w:p w14:paraId="524765C8"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1.9</w:t>
            </w:r>
          </w:p>
        </w:tc>
        <w:tc>
          <w:tcPr>
            <w:tcW w:w="1118" w:type="dxa"/>
            <w:tcBorders>
              <w:left w:val="single" w:sz="4" w:space="0" w:color="auto"/>
              <w:bottom w:val="nil"/>
            </w:tcBorders>
            <w:noWrap/>
            <w:hideMark/>
          </w:tcPr>
          <w:p w14:paraId="18187EB4"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10</w:t>
            </w:r>
          </w:p>
        </w:tc>
        <w:tc>
          <w:tcPr>
            <w:tcW w:w="1118" w:type="dxa"/>
            <w:tcBorders>
              <w:bottom w:val="nil"/>
            </w:tcBorders>
            <w:noWrap/>
            <w:hideMark/>
          </w:tcPr>
          <w:p w14:paraId="7EC17915"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19.3</w:t>
            </w:r>
          </w:p>
        </w:tc>
        <w:tc>
          <w:tcPr>
            <w:tcW w:w="1118" w:type="dxa"/>
            <w:tcBorders>
              <w:bottom w:val="nil"/>
              <w:right w:val="single" w:sz="4" w:space="0" w:color="auto"/>
            </w:tcBorders>
            <w:noWrap/>
            <w:hideMark/>
          </w:tcPr>
          <w:p w14:paraId="5F4F1596"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0.7</w:t>
            </w:r>
          </w:p>
        </w:tc>
        <w:tc>
          <w:tcPr>
            <w:tcW w:w="1118" w:type="dxa"/>
            <w:tcBorders>
              <w:left w:val="single" w:sz="4" w:space="0" w:color="auto"/>
              <w:bottom w:val="nil"/>
            </w:tcBorders>
            <w:noWrap/>
            <w:hideMark/>
          </w:tcPr>
          <w:p w14:paraId="77FBF82D"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7.5</w:t>
            </w:r>
          </w:p>
        </w:tc>
        <w:tc>
          <w:tcPr>
            <w:tcW w:w="1118" w:type="dxa"/>
            <w:tcBorders>
              <w:bottom w:val="nil"/>
            </w:tcBorders>
            <w:noWrap/>
            <w:hideMark/>
          </w:tcPr>
          <w:p w14:paraId="186CCAA4"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14.5</w:t>
            </w:r>
          </w:p>
        </w:tc>
        <w:tc>
          <w:tcPr>
            <w:tcW w:w="1118" w:type="dxa"/>
            <w:tcBorders>
              <w:bottom w:val="nil"/>
              <w:right w:val="single" w:sz="4" w:space="0" w:color="auto"/>
            </w:tcBorders>
            <w:noWrap/>
            <w:hideMark/>
          </w:tcPr>
          <w:p w14:paraId="20A6A576"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0.6</w:t>
            </w:r>
          </w:p>
        </w:tc>
      </w:tr>
      <w:tr w:rsidR="00B86BF1" w:rsidRPr="00A743C9" w14:paraId="66602BE1" w14:textId="77777777" w:rsidTr="000376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6" w:type="dxa"/>
            <w:tcBorders>
              <w:left w:val="single" w:sz="4" w:space="0" w:color="auto"/>
              <w:bottom w:val="nil"/>
              <w:right w:val="single" w:sz="4" w:space="0" w:color="auto"/>
            </w:tcBorders>
            <w:noWrap/>
            <w:hideMark/>
          </w:tcPr>
          <w:p w14:paraId="3DBCC41D" w14:textId="77777777" w:rsidR="00B86BF1" w:rsidRPr="00A743C9" w:rsidRDefault="00B86BF1" w:rsidP="000376C7">
            <w:pPr>
              <w:rPr>
                <w:rFonts w:eastAsia="Times New Roman" w:cs="Calibri"/>
                <w:color w:val="auto"/>
                <w:sz w:val="16"/>
                <w:szCs w:val="16"/>
              </w:rPr>
            </w:pPr>
            <w:r w:rsidRPr="00A743C9">
              <w:rPr>
                <w:rFonts w:eastAsia="Times New Roman" w:cs="Calibri"/>
                <w:color w:val="auto"/>
                <w:sz w:val="16"/>
                <w:szCs w:val="16"/>
              </w:rPr>
              <w:lastRenderedPageBreak/>
              <w:t>Lithuania</w:t>
            </w:r>
          </w:p>
        </w:tc>
        <w:tc>
          <w:tcPr>
            <w:tcW w:w="1119" w:type="dxa"/>
            <w:tcBorders>
              <w:left w:val="single" w:sz="4" w:space="0" w:color="auto"/>
              <w:bottom w:val="nil"/>
            </w:tcBorders>
            <w:noWrap/>
            <w:hideMark/>
          </w:tcPr>
          <w:p w14:paraId="0DBC6F25"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30.1</w:t>
            </w:r>
          </w:p>
        </w:tc>
        <w:tc>
          <w:tcPr>
            <w:tcW w:w="1119" w:type="dxa"/>
            <w:tcBorders>
              <w:bottom w:val="nil"/>
            </w:tcBorders>
            <w:noWrap/>
            <w:hideMark/>
          </w:tcPr>
          <w:p w14:paraId="1100936B"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39.8</w:t>
            </w:r>
          </w:p>
        </w:tc>
        <w:tc>
          <w:tcPr>
            <w:tcW w:w="1119" w:type="dxa"/>
            <w:tcBorders>
              <w:bottom w:val="nil"/>
              <w:right w:val="single" w:sz="4" w:space="0" w:color="auto"/>
            </w:tcBorders>
            <w:noWrap/>
            <w:hideMark/>
          </w:tcPr>
          <w:p w14:paraId="5E243374"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22.2</w:t>
            </w:r>
          </w:p>
        </w:tc>
        <w:tc>
          <w:tcPr>
            <w:tcW w:w="1119" w:type="dxa"/>
            <w:tcBorders>
              <w:left w:val="single" w:sz="4" w:space="0" w:color="auto"/>
              <w:bottom w:val="nil"/>
            </w:tcBorders>
            <w:noWrap/>
            <w:hideMark/>
          </w:tcPr>
          <w:p w14:paraId="2DD6E333"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23.6</w:t>
            </w:r>
          </w:p>
        </w:tc>
        <w:tc>
          <w:tcPr>
            <w:tcW w:w="1118" w:type="dxa"/>
            <w:tcBorders>
              <w:bottom w:val="nil"/>
            </w:tcBorders>
            <w:noWrap/>
            <w:hideMark/>
          </w:tcPr>
          <w:p w14:paraId="27D6F13F"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34.1</w:t>
            </w:r>
          </w:p>
        </w:tc>
        <w:tc>
          <w:tcPr>
            <w:tcW w:w="1118" w:type="dxa"/>
            <w:tcBorders>
              <w:bottom w:val="nil"/>
              <w:right w:val="single" w:sz="4" w:space="0" w:color="auto"/>
            </w:tcBorders>
            <w:noWrap/>
            <w:hideMark/>
          </w:tcPr>
          <w:p w14:paraId="7BF1CFEE"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14.9</w:t>
            </w:r>
          </w:p>
        </w:tc>
        <w:tc>
          <w:tcPr>
            <w:tcW w:w="1118" w:type="dxa"/>
            <w:tcBorders>
              <w:left w:val="single" w:sz="4" w:space="0" w:color="auto"/>
              <w:bottom w:val="nil"/>
            </w:tcBorders>
            <w:noWrap/>
            <w:hideMark/>
          </w:tcPr>
          <w:p w14:paraId="06C2D9B2"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24.6</w:t>
            </w:r>
          </w:p>
        </w:tc>
        <w:tc>
          <w:tcPr>
            <w:tcW w:w="1118" w:type="dxa"/>
            <w:tcBorders>
              <w:bottom w:val="nil"/>
            </w:tcBorders>
            <w:noWrap/>
            <w:hideMark/>
          </w:tcPr>
          <w:p w14:paraId="7C263B6E"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32.8</w:t>
            </w:r>
          </w:p>
        </w:tc>
        <w:tc>
          <w:tcPr>
            <w:tcW w:w="1118" w:type="dxa"/>
            <w:tcBorders>
              <w:bottom w:val="nil"/>
              <w:right w:val="single" w:sz="4" w:space="0" w:color="auto"/>
            </w:tcBorders>
            <w:noWrap/>
            <w:hideMark/>
          </w:tcPr>
          <w:p w14:paraId="61C2ECE3"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17.8</w:t>
            </w:r>
          </w:p>
        </w:tc>
        <w:tc>
          <w:tcPr>
            <w:tcW w:w="1118" w:type="dxa"/>
            <w:tcBorders>
              <w:left w:val="single" w:sz="4" w:space="0" w:color="auto"/>
              <w:bottom w:val="nil"/>
            </w:tcBorders>
            <w:noWrap/>
            <w:hideMark/>
          </w:tcPr>
          <w:p w14:paraId="0E06991C"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18.9</w:t>
            </w:r>
          </w:p>
        </w:tc>
        <w:tc>
          <w:tcPr>
            <w:tcW w:w="1118" w:type="dxa"/>
            <w:tcBorders>
              <w:bottom w:val="nil"/>
            </w:tcBorders>
            <w:noWrap/>
            <w:hideMark/>
          </w:tcPr>
          <w:p w14:paraId="2E2C7614"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26.2</w:t>
            </w:r>
          </w:p>
        </w:tc>
        <w:tc>
          <w:tcPr>
            <w:tcW w:w="1118" w:type="dxa"/>
            <w:tcBorders>
              <w:bottom w:val="nil"/>
              <w:right w:val="single" w:sz="4" w:space="0" w:color="auto"/>
            </w:tcBorders>
            <w:noWrap/>
            <w:hideMark/>
          </w:tcPr>
          <w:p w14:paraId="7ABAABDD"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13</w:t>
            </w:r>
          </w:p>
        </w:tc>
      </w:tr>
      <w:tr w:rsidR="00B86BF1" w:rsidRPr="00A743C9" w14:paraId="23F4C852" w14:textId="77777777" w:rsidTr="000376C7">
        <w:trPr>
          <w:trHeight w:val="300"/>
        </w:trPr>
        <w:tc>
          <w:tcPr>
            <w:cnfStyle w:val="001000000000" w:firstRow="0" w:lastRow="0" w:firstColumn="1" w:lastColumn="0" w:oddVBand="0" w:evenVBand="0" w:oddHBand="0" w:evenHBand="0" w:firstRowFirstColumn="0" w:firstRowLastColumn="0" w:lastRowFirstColumn="0" w:lastRowLastColumn="0"/>
            <w:tcW w:w="1606" w:type="dxa"/>
            <w:tcBorders>
              <w:left w:val="single" w:sz="4" w:space="0" w:color="auto"/>
              <w:bottom w:val="nil"/>
              <w:right w:val="single" w:sz="4" w:space="0" w:color="auto"/>
            </w:tcBorders>
            <w:noWrap/>
            <w:hideMark/>
          </w:tcPr>
          <w:p w14:paraId="1280347A" w14:textId="77777777" w:rsidR="00B86BF1" w:rsidRPr="00A743C9" w:rsidRDefault="00B86BF1" w:rsidP="000376C7">
            <w:pPr>
              <w:rPr>
                <w:rFonts w:eastAsia="Times New Roman" w:cs="Calibri"/>
                <w:color w:val="auto"/>
                <w:sz w:val="16"/>
                <w:szCs w:val="16"/>
              </w:rPr>
            </w:pPr>
            <w:r w:rsidRPr="00A743C9">
              <w:rPr>
                <w:rFonts w:eastAsia="Times New Roman" w:cs="Calibri"/>
                <w:color w:val="auto"/>
                <w:sz w:val="16"/>
                <w:szCs w:val="16"/>
              </w:rPr>
              <w:t>Luxembourg</w:t>
            </w:r>
          </w:p>
        </w:tc>
        <w:tc>
          <w:tcPr>
            <w:tcW w:w="1119" w:type="dxa"/>
            <w:tcBorders>
              <w:left w:val="single" w:sz="4" w:space="0" w:color="auto"/>
              <w:bottom w:val="nil"/>
            </w:tcBorders>
            <w:noWrap/>
            <w:hideMark/>
          </w:tcPr>
          <w:p w14:paraId="5B69E8B6"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24.4</w:t>
            </w:r>
          </w:p>
        </w:tc>
        <w:tc>
          <w:tcPr>
            <w:tcW w:w="1119" w:type="dxa"/>
            <w:tcBorders>
              <w:bottom w:val="nil"/>
            </w:tcBorders>
            <w:noWrap/>
            <w:hideMark/>
          </w:tcPr>
          <w:p w14:paraId="09117765"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26.8</w:t>
            </w:r>
          </w:p>
        </w:tc>
        <w:tc>
          <w:tcPr>
            <w:tcW w:w="1119" w:type="dxa"/>
            <w:tcBorders>
              <w:bottom w:val="nil"/>
              <w:right w:val="single" w:sz="4" w:space="0" w:color="auto"/>
            </w:tcBorders>
            <w:noWrap/>
            <w:hideMark/>
          </w:tcPr>
          <w:p w14:paraId="7E1E1908"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22</w:t>
            </w:r>
          </w:p>
        </w:tc>
        <w:tc>
          <w:tcPr>
            <w:tcW w:w="1119" w:type="dxa"/>
            <w:tcBorders>
              <w:left w:val="single" w:sz="4" w:space="0" w:color="auto"/>
              <w:bottom w:val="nil"/>
            </w:tcBorders>
            <w:noWrap/>
            <w:hideMark/>
          </w:tcPr>
          <w:p w14:paraId="63B342B6"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18.8</w:t>
            </w:r>
          </w:p>
        </w:tc>
        <w:tc>
          <w:tcPr>
            <w:tcW w:w="1118" w:type="dxa"/>
            <w:tcBorders>
              <w:bottom w:val="nil"/>
            </w:tcBorders>
            <w:noWrap/>
            <w:hideMark/>
          </w:tcPr>
          <w:p w14:paraId="6F13353A"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20.2</w:t>
            </w:r>
          </w:p>
        </w:tc>
        <w:tc>
          <w:tcPr>
            <w:tcW w:w="1118" w:type="dxa"/>
            <w:tcBorders>
              <w:bottom w:val="nil"/>
              <w:right w:val="single" w:sz="4" w:space="0" w:color="auto"/>
            </w:tcBorders>
            <w:noWrap/>
            <w:hideMark/>
          </w:tcPr>
          <w:p w14:paraId="4EEDEE9A"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17.3</w:t>
            </w:r>
          </w:p>
        </w:tc>
        <w:tc>
          <w:tcPr>
            <w:tcW w:w="1118" w:type="dxa"/>
            <w:tcBorders>
              <w:left w:val="single" w:sz="4" w:space="0" w:color="auto"/>
              <w:bottom w:val="nil"/>
            </w:tcBorders>
            <w:noWrap/>
            <w:hideMark/>
          </w:tcPr>
          <w:p w14:paraId="18E75F97"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20.1</w:t>
            </w:r>
          </w:p>
        </w:tc>
        <w:tc>
          <w:tcPr>
            <w:tcW w:w="1118" w:type="dxa"/>
            <w:tcBorders>
              <w:bottom w:val="nil"/>
            </w:tcBorders>
            <w:noWrap/>
            <w:hideMark/>
          </w:tcPr>
          <w:p w14:paraId="7F4AEEEE"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22.3</w:t>
            </w:r>
          </w:p>
        </w:tc>
        <w:tc>
          <w:tcPr>
            <w:tcW w:w="1118" w:type="dxa"/>
            <w:tcBorders>
              <w:bottom w:val="nil"/>
              <w:right w:val="single" w:sz="4" w:space="0" w:color="auto"/>
            </w:tcBorders>
            <w:noWrap/>
            <w:hideMark/>
          </w:tcPr>
          <w:p w14:paraId="78BD20CF"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17.9</w:t>
            </w:r>
          </w:p>
        </w:tc>
        <w:tc>
          <w:tcPr>
            <w:tcW w:w="1118" w:type="dxa"/>
            <w:tcBorders>
              <w:left w:val="single" w:sz="4" w:space="0" w:color="auto"/>
              <w:bottom w:val="nil"/>
            </w:tcBorders>
            <w:noWrap/>
            <w:hideMark/>
          </w:tcPr>
          <w:p w14:paraId="0AA0AB40"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15.8</w:t>
            </w:r>
          </w:p>
        </w:tc>
        <w:tc>
          <w:tcPr>
            <w:tcW w:w="1118" w:type="dxa"/>
            <w:tcBorders>
              <w:bottom w:val="nil"/>
            </w:tcBorders>
            <w:noWrap/>
            <w:hideMark/>
          </w:tcPr>
          <w:p w14:paraId="50D66814"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17</w:t>
            </w:r>
          </w:p>
        </w:tc>
        <w:tc>
          <w:tcPr>
            <w:tcW w:w="1118" w:type="dxa"/>
            <w:tcBorders>
              <w:bottom w:val="nil"/>
              <w:right w:val="single" w:sz="4" w:space="0" w:color="auto"/>
            </w:tcBorders>
            <w:noWrap/>
            <w:hideMark/>
          </w:tcPr>
          <w:p w14:paraId="4C639916"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14.6</w:t>
            </w:r>
          </w:p>
        </w:tc>
      </w:tr>
      <w:tr w:rsidR="00B86BF1" w:rsidRPr="00A743C9" w14:paraId="173558D8" w14:textId="77777777" w:rsidTr="000376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6" w:type="dxa"/>
            <w:tcBorders>
              <w:left w:val="single" w:sz="4" w:space="0" w:color="auto"/>
              <w:bottom w:val="nil"/>
              <w:right w:val="single" w:sz="4" w:space="0" w:color="auto"/>
            </w:tcBorders>
            <w:noWrap/>
            <w:hideMark/>
          </w:tcPr>
          <w:p w14:paraId="00B5B7C7" w14:textId="77777777" w:rsidR="00B86BF1" w:rsidRPr="00A743C9" w:rsidRDefault="00B86BF1" w:rsidP="000376C7">
            <w:pPr>
              <w:rPr>
                <w:rFonts w:eastAsia="Times New Roman" w:cs="Calibri"/>
                <w:color w:val="auto"/>
                <w:sz w:val="16"/>
                <w:szCs w:val="16"/>
              </w:rPr>
            </w:pPr>
            <w:r w:rsidRPr="00A743C9">
              <w:rPr>
                <w:rFonts w:eastAsia="Times New Roman" w:cs="Calibri"/>
                <w:color w:val="auto"/>
                <w:sz w:val="16"/>
                <w:szCs w:val="16"/>
              </w:rPr>
              <w:t>Malawi</w:t>
            </w:r>
          </w:p>
        </w:tc>
        <w:tc>
          <w:tcPr>
            <w:tcW w:w="1119" w:type="dxa"/>
            <w:tcBorders>
              <w:left w:val="single" w:sz="4" w:space="0" w:color="auto"/>
              <w:bottom w:val="nil"/>
            </w:tcBorders>
            <w:noWrap/>
            <w:hideMark/>
          </w:tcPr>
          <w:p w14:paraId="5657F36E"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16.3</w:t>
            </w:r>
          </w:p>
        </w:tc>
        <w:tc>
          <w:tcPr>
            <w:tcW w:w="1119" w:type="dxa"/>
            <w:tcBorders>
              <w:bottom w:val="nil"/>
            </w:tcBorders>
            <w:noWrap/>
            <w:hideMark/>
          </w:tcPr>
          <w:p w14:paraId="0722AE43"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26.3</w:t>
            </w:r>
          </w:p>
        </w:tc>
        <w:tc>
          <w:tcPr>
            <w:tcW w:w="1119" w:type="dxa"/>
            <w:tcBorders>
              <w:bottom w:val="nil"/>
              <w:right w:val="single" w:sz="4" w:space="0" w:color="auto"/>
            </w:tcBorders>
            <w:noWrap/>
            <w:hideMark/>
          </w:tcPr>
          <w:p w14:paraId="58840379"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6.4</w:t>
            </w:r>
          </w:p>
        </w:tc>
        <w:tc>
          <w:tcPr>
            <w:tcW w:w="1119" w:type="dxa"/>
            <w:tcBorders>
              <w:left w:val="single" w:sz="4" w:space="0" w:color="auto"/>
              <w:bottom w:val="nil"/>
            </w:tcBorders>
            <w:noWrap/>
            <w:hideMark/>
          </w:tcPr>
          <w:p w14:paraId="5B862F91"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11.9</w:t>
            </w:r>
          </w:p>
        </w:tc>
        <w:tc>
          <w:tcPr>
            <w:tcW w:w="1118" w:type="dxa"/>
            <w:tcBorders>
              <w:bottom w:val="nil"/>
            </w:tcBorders>
            <w:noWrap/>
            <w:hideMark/>
          </w:tcPr>
          <w:p w14:paraId="45DBBC1F"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20.1</w:t>
            </w:r>
          </w:p>
        </w:tc>
        <w:tc>
          <w:tcPr>
            <w:tcW w:w="1118" w:type="dxa"/>
            <w:tcBorders>
              <w:bottom w:val="nil"/>
              <w:right w:val="single" w:sz="4" w:space="0" w:color="auto"/>
            </w:tcBorders>
            <w:noWrap/>
            <w:hideMark/>
          </w:tcPr>
          <w:p w14:paraId="19CCC110"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3.8</w:t>
            </w:r>
          </w:p>
        </w:tc>
        <w:tc>
          <w:tcPr>
            <w:tcW w:w="1118" w:type="dxa"/>
            <w:tcBorders>
              <w:left w:val="single" w:sz="4" w:space="0" w:color="auto"/>
              <w:bottom w:val="nil"/>
            </w:tcBorders>
            <w:noWrap/>
            <w:hideMark/>
          </w:tcPr>
          <w:p w14:paraId="5F174772"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11.7</w:t>
            </w:r>
          </w:p>
        </w:tc>
        <w:tc>
          <w:tcPr>
            <w:tcW w:w="1118" w:type="dxa"/>
            <w:tcBorders>
              <w:bottom w:val="nil"/>
            </w:tcBorders>
            <w:noWrap/>
            <w:hideMark/>
          </w:tcPr>
          <w:p w14:paraId="1B1CC8F1"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22.4</w:t>
            </w:r>
          </w:p>
        </w:tc>
        <w:tc>
          <w:tcPr>
            <w:tcW w:w="1118" w:type="dxa"/>
            <w:tcBorders>
              <w:bottom w:val="nil"/>
              <w:right w:val="single" w:sz="4" w:space="0" w:color="auto"/>
            </w:tcBorders>
            <w:noWrap/>
            <w:hideMark/>
          </w:tcPr>
          <w:p w14:paraId="3A5587F0"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1.2</w:t>
            </w:r>
          </w:p>
        </w:tc>
        <w:tc>
          <w:tcPr>
            <w:tcW w:w="1118" w:type="dxa"/>
            <w:tcBorders>
              <w:left w:val="single" w:sz="4" w:space="0" w:color="auto"/>
              <w:bottom w:val="nil"/>
            </w:tcBorders>
            <w:noWrap/>
            <w:hideMark/>
          </w:tcPr>
          <w:p w14:paraId="7E4CD97A"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9.7</w:t>
            </w:r>
          </w:p>
        </w:tc>
        <w:tc>
          <w:tcPr>
            <w:tcW w:w="1118" w:type="dxa"/>
            <w:tcBorders>
              <w:bottom w:val="nil"/>
            </w:tcBorders>
            <w:noWrap/>
            <w:hideMark/>
          </w:tcPr>
          <w:p w14:paraId="65400E9C"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18.1</w:t>
            </w:r>
          </w:p>
        </w:tc>
        <w:tc>
          <w:tcPr>
            <w:tcW w:w="1118" w:type="dxa"/>
            <w:tcBorders>
              <w:bottom w:val="nil"/>
              <w:right w:val="single" w:sz="4" w:space="0" w:color="auto"/>
            </w:tcBorders>
            <w:noWrap/>
            <w:hideMark/>
          </w:tcPr>
          <w:p w14:paraId="657D6916"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1.2</w:t>
            </w:r>
          </w:p>
        </w:tc>
      </w:tr>
      <w:tr w:rsidR="00B86BF1" w:rsidRPr="00A743C9" w14:paraId="3127AD38" w14:textId="77777777" w:rsidTr="000376C7">
        <w:trPr>
          <w:trHeight w:val="300"/>
        </w:trPr>
        <w:tc>
          <w:tcPr>
            <w:cnfStyle w:val="001000000000" w:firstRow="0" w:lastRow="0" w:firstColumn="1" w:lastColumn="0" w:oddVBand="0" w:evenVBand="0" w:oddHBand="0" w:evenHBand="0" w:firstRowFirstColumn="0" w:firstRowLastColumn="0" w:lastRowFirstColumn="0" w:lastRowLastColumn="0"/>
            <w:tcW w:w="1606" w:type="dxa"/>
            <w:tcBorders>
              <w:left w:val="single" w:sz="4" w:space="0" w:color="auto"/>
              <w:bottom w:val="nil"/>
              <w:right w:val="single" w:sz="4" w:space="0" w:color="auto"/>
            </w:tcBorders>
            <w:noWrap/>
            <w:hideMark/>
          </w:tcPr>
          <w:p w14:paraId="749E26DD" w14:textId="77777777" w:rsidR="00B86BF1" w:rsidRPr="00A743C9" w:rsidRDefault="00B86BF1" w:rsidP="000376C7">
            <w:pPr>
              <w:rPr>
                <w:rFonts w:eastAsia="Times New Roman" w:cs="Calibri"/>
                <w:color w:val="auto"/>
                <w:sz w:val="16"/>
                <w:szCs w:val="16"/>
              </w:rPr>
            </w:pPr>
            <w:r w:rsidRPr="00A743C9">
              <w:rPr>
                <w:rFonts w:eastAsia="Times New Roman" w:cs="Calibri"/>
                <w:color w:val="auto"/>
                <w:sz w:val="16"/>
                <w:szCs w:val="16"/>
              </w:rPr>
              <w:t>Malaysia</w:t>
            </w:r>
          </w:p>
        </w:tc>
        <w:tc>
          <w:tcPr>
            <w:tcW w:w="1119" w:type="dxa"/>
            <w:tcBorders>
              <w:left w:val="single" w:sz="4" w:space="0" w:color="auto"/>
              <w:bottom w:val="nil"/>
            </w:tcBorders>
            <w:noWrap/>
            <w:hideMark/>
          </w:tcPr>
          <w:p w14:paraId="7245E8AA"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22.3</w:t>
            </w:r>
          </w:p>
        </w:tc>
        <w:tc>
          <w:tcPr>
            <w:tcW w:w="1119" w:type="dxa"/>
            <w:tcBorders>
              <w:bottom w:val="nil"/>
            </w:tcBorders>
            <w:noWrap/>
            <w:hideMark/>
          </w:tcPr>
          <w:p w14:paraId="7EFBAFAD"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44.4</w:t>
            </w:r>
          </w:p>
        </w:tc>
        <w:tc>
          <w:tcPr>
            <w:tcW w:w="1119" w:type="dxa"/>
            <w:tcBorders>
              <w:bottom w:val="nil"/>
              <w:right w:val="single" w:sz="4" w:space="0" w:color="auto"/>
            </w:tcBorders>
            <w:noWrap/>
            <w:hideMark/>
          </w:tcPr>
          <w:p w14:paraId="188F6BAC"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1.5</w:t>
            </w:r>
          </w:p>
        </w:tc>
        <w:tc>
          <w:tcPr>
            <w:tcW w:w="1119" w:type="dxa"/>
            <w:tcBorders>
              <w:left w:val="single" w:sz="4" w:space="0" w:color="auto"/>
              <w:bottom w:val="nil"/>
            </w:tcBorders>
            <w:noWrap/>
            <w:hideMark/>
          </w:tcPr>
          <w:p w14:paraId="512267A5"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18.2</w:t>
            </w:r>
          </w:p>
        </w:tc>
        <w:tc>
          <w:tcPr>
            <w:tcW w:w="1118" w:type="dxa"/>
            <w:tcBorders>
              <w:bottom w:val="nil"/>
            </w:tcBorders>
            <w:noWrap/>
            <w:hideMark/>
          </w:tcPr>
          <w:p w14:paraId="2FEF0DB1"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36.5</w:t>
            </w:r>
          </w:p>
        </w:tc>
        <w:tc>
          <w:tcPr>
            <w:tcW w:w="1118" w:type="dxa"/>
            <w:tcBorders>
              <w:bottom w:val="nil"/>
              <w:right w:val="single" w:sz="4" w:space="0" w:color="auto"/>
            </w:tcBorders>
            <w:noWrap/>
            <w:hideMark/>
          </w:tcPr>
          <w:p w14:paraId="00ED1699"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1.1</w:t>
            </w:r>
          </w:p>
        </w:tc>
        <w:tc>
          <w:tcPr>
            <w:tcW w:w="1118" w:type="dxa"/>
            <w:tcBorders>
              <w:left w:val="single" w:sz="4" w:space="0" w:color="auto"/>
              <w:bottom w:val="nil"/>
            </w:tcBorders>
            <w:noWrap/>
            <w:hideMark/>
          </w:tcPr>
          <w:p w14:paraId="22889026"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18</w:t>
            </w:r>
          </w:p>
        </w:tc>
        <w:tc>
          <w:tcPr>
            <w:tcW w:w="1118" w:type="dxa"/>
            <w:tcBorders>
              <w:bottom w:val="nil"/>
            </w:tcBorders>
            <w:noWrap/>
            <w:hideMark/>
          </w:tcPr>
          <w:p w14:paraId="6C0ECDDB"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36</w:t>
            </w:r>
          </w:p>
        </w:tc>
        <w:tc>
          <w:tcPr>
            <w:tcW w:w="1118" w:type="dxa"/>
            <w:tcBorders>
              <w:bottom w:val="nil"/>
              <w:right w:val="single" w:sz="4" w:space="0" w:color="auto"/>
            </w:tcBorders>
            <w:noWrap/>
            <w:hideMark/>
          </w:tcPr>
          <w:p w14:paraId="0EFC3DEA"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1.2</w:t>
            </w:r>
          </w:p>
        </w:tc>
        <w:tc>
          <w:tcPr>
            <w:tcW w:w="1118" w:type="dxa"/>
            <w:tcBorders>
              <w:left w:val="single" w:sz="4" w:space="0" w:color="auto"/>
              <w:bottom w:val="nil"/>
            </w:tcBorders>
            <w:noWrap/>
            <w:hideMark/>
          </w:tcPr>
          <w:p w14:paraId="7DDFF2BA"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16.1</w:t>
            </w:r>
          </w:p>
        </w:tc>
        <w:tc>
          <w:tcPr>
            <w:tcW w:w="1118" w:type="dxa"/>
            <w:tcBorders>
              <w:bottom w:val="nil"/>
            </w:tcBorders>
            <w:noWrap/>
            <w:hideMark/>
          </w:tcPr>
          <w:p w14:paraId="136FB6AB"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32.4</w:t>
            </w:r>
          </w:p>
        </w:tc>
        <w:tc>
          <w:tcPr>
            <w:tcW w:w="1118" w:type="dxa"/>
            <w:tcBorders>
              <w:bottom w:val="nil"/>
              <w:right w:val="single" w:sz="4" w:space="0" w:color="auto"/>
            </w:tcBorders>
            <w:noWrap/>
            <w:hideMark/>
          </w:tcPr>
          <w:p w14:paraId="3FBF8394"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0.9</w:t>
            </w:r>
          </w:p>
        </w:tc>
      </w:tr>
      <w:tr w:rsidR="00B86BF1" w:rsidRPr="00A743C9" w14:paraId="431F1C49" w14:textId="77777777" w:rsidTr="000376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6" w:type="dxa"/>
            <w:tcBorders>
              <w:left w:val="single" w:sz="4" w:space="0" w:color="auto"/>
              <w:bottom w:val="nil"/>
              <w:right w:val="single" w:sz="4" w:space="0" w:color="auto"/>
            </w:tcBorders>
            <w:noWrap/>
            <w:hideMark/>
          </w:tcPr>
          <w:p w14:paraId="5A2CF8C3" w14:textId="77777777" w:rsidR="00B86BF1" w:rsidRPr="00A743C9" w:rsidRDefault="00B86BF1" w:rsidP="000376C7">
            <w:pPr>
              <w:rPr>
                <w:rFonts w:eastAsia="Times New Roman" w:cs="Calibri"/>
                <w:color w:val="auto"/>
                <w:sz w:val="16"/>
                <w:szCs w:val="16"/>
              </w:rPr>
            </w:pPr>
            <w:r w:rsidRPr="00A743C9">
              <w:rPr>
                <w:rFonts w:eastAsia="Times New Roman" w:cs="Calibri"/>
                <w:color w:val="auto"/>
                <w:sz w:val="16"/>
                <w:szCs w:val="16"/>
              </w:rPr>
              <w:t>Mali</w:t>
            </w:r>
          </w:p>
        </w:tc>
        <w:tc>
          <w:tcPr>
            <w:tcW w:w="1119" w:type="dxa"/>
            <w:tcBorders>
              <w:left w:val="single" w:sz="4" w:space="0" w:color="auto"/>
              <w:bottom w:val="nil"/>
            </w:tcBorders>
            <w:noWrap/>
            <w:hideMark/>
          </w:tcPr>
          <w:p w14:paraId="0A502C42"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18.6</w:t>
            </w:r>
          </w:p>
        </w:tc>
        <w:tc>
          <w:tcPr>
            <w:tcW w:w="1119" w:type="dxa"/>
            <w:tcBorders>
              <w:bottom w:val="nil"/>
            </w:tcBorders>
            <w:noWrap/>
            <w:hideMark/>
          </w:tcPr>
          <w:p w14:paraId="40BE842B"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33.9</w:t>
            </w:r>
          </w:p>
        </w:tc>
        <w:tc>
          <w:tcPr>
            <w:tcW w:w="1119" w:type="dxa"/>
            <w:tcBorders>
              <w:bottom w:val="nil"/>
              <w:right w:val="single" w:sz="4" w:space="0" w:color="auto"/>
            </w:tcBorders>
            <w:noWrap/>
            <w:hideMark/>
          </w:tcPr>
          <w:p w14:paraId="67E13531"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3.3</w:t>
            </w:r>
          </w:p>
        </w:tc>
        <w:tc>
          <w:tcPr>
            <w:tcW w:w="1119" w:type="dxa"/>
            <w:tcBorders>
              <w:left w:val="single" w:sz="4" w:space="0" w:color="auto"/>
              <w:bottom w:val="nil"/>
            </w:tcBorders>
            <w:noWrap/>
            <w:hideMark/>
          </w:tcPr>
          <w:p w14:paraId="45C29542"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14.9</w:t>
            </w:r>
          </w:p>
        </w:tc>
        <w:tc>
          <w:tcPr>
            <w:tcW w:w="1118" w:type="dxa"/>
            <w:tcBorders>
              <w:bottom w:val="nil"/>
            </w:tcBorders>
            <w:noWrap/>
            <w:hideMark/>
          </w:tcPr>
          <w:p w14:paraId="54E4D380"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27.5</w:t>
            </w:r>
          </w:p>
        </w:tc>
        <w:tc>
          <w:tcPr>
            <w:tcW w:w="1118" w:type="dxa"/>
            <w:tcBorders>
              <w:bottom w:val="nil"/>
              <w:right w:val="single" w:sz="4" w:space="0" w:color="auto"/>
            </w:tcBorders>
            <w:noWrap/>
            <w:hideMark/>
          </w:tcPr>
          <w:p w14:paraId="6992BD20"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2.5</w:t>
            </w:r>
          </w:p>
        </w:tc>
        <w:tc>
          <w:tcPr>
            <w:tcW w:w="1118" w:type="dxa"/>
            <w:tcBorders>
              <w:left w:val="single" w:sz="4" w:space="0" w:color="auto"/>
              <w:bottom w:val="nil"/>
            </w:tcBorders>
            <w:noWrap/>
            <w:hideMark/>
          </w:tcPr>
          <w:p w14:paraId="3D6E567B"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13.2</w:t>
            </w:r>
          </w:p>
        </w:tc>
        <w:tc>
          <w:tcPr>
            <w:tcW w:w="1118" w:type="dxa"/>
            <w:tcBorders>
              <w:bottom w:val="nil"/>
            </w:tcBorders>
            <w:noWrap/>
            <w:hideMark/>
          </w:tcPr>
          <w:p w14:paraId="4CF88F10"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25.5</w:t>
            </w:r>
          </w:p>
        </w:tc>
        <w:tc>
          <w:tcPr>
            <w:tcW w:w="1118" w:type="dxa"/>
            <w:tcBorders>
              <w:bottom w:val="nil"/>
              <w:right w:val="single" w:sz="4" w:space="0" w:color="auto"/>
            </w:tcBorders>
            <w:noWrap/>
            <w:hideMark/>
          </w:tcPr>
          <w:p w14:paraId="7695459B"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1.1</w:t>
            </w:r>
          </w:p>
        </w:tc>
        <w:tc>
          <w:tcPr>
            <w:tcW w:w="1118" w:type="dxa"/>
            <w:tcBorders>
              <w:left w:val="single" w:sz="4" w:space="0" w:color="auto"/>
              <w:bottom w:val="nil"/>
            </w:tcBorders>
            <w:noWrap/>
            <w:hideMark/>
          </w:tcPr>
          <w:p w14:paraId="579C419F"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8.5</w:t>
            </w:r>
          </w:p>
        </w:tc>
        <w:tc>
          <w:tcPr>
            <w:tcW w:w="1118" w:type="dxa"/>
            <w:tcBorders>
              <w:bottom w:val="nil"/>
            </w:tcBorders>
            <w:noWrap/>
            <w:hideMark/>
          </w:tcPr>
          <w:p w14:paraId="208E4369"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16.5</w:t>
            </w:r>
          </w:p>
        </w:tc>
        <w:tc>
          <w:tcPr>
            <w:tcW w:w="1118" w:type="dxa"/>
            <w:tcBorders>
              <w:bottom w:val="nil"/>
              <w:right w:val="single" w:sz="4" w:space="0" w:color="auto"/>
            </w:tcBorders>
            <w:noWrap/>
            <w:hideMark/>
          </w:tcPr>
          <w:p w14:paraId="0CBCD409"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0.6</w:t>
            </w:r>
          </w:p>
        </w:tc>
      </w:tr>
      <w:tr w:rsidR="00B86BF1" w:rsidRPr="00A743C9" w14:paraId="7D067908" w14:textId="77777777" w:rsidTr="000376C7">
        <w:trPr>
          <w:trHeight w:val="300"/>
        </w:trPr>
        <w:tc>
          <w:tcPr>
            <w:cnfStyle w:val="001000000000" w:firstRow="0" w:lastRow="0" w:firstColumn="1" w:lastColumn="0" w:oddVBand="0" w:evenVBand="0" w:oddHBand="0" w:evenHBand="0" w:firstRowFirstColumn="0" w:firstRowLastColumn="0" w:lastRowFirstColumn="0" w:lastRowLastColumn="0"/>
            <w:tcW w:w="1606" w:type="dxa"/>
            <w:tcBorders>
              <w:left w:val="single" w:sz="4" w:space="0" w:color="auto"/>
              <w:bottom w:val="nil"/>
              <w:right w:val="single" w:sz="4" w:space="0" w:color="auto"/>
            </w:tcBorders>
            <w:noWrap/>
            <w:hideMark/>
          </w:tcPr>
          <w:p w14:paraId="1B8CED25" w14:textId="77777777" w:rsidR="00B86BF1" w:rsidRPr="00A743C9" w:rsidRDefault="00B86BF1" w:rsidP="000376C7">
            <w:pPr>
              <w:rPr>
                <w:rFonts w:eastAsia="Times New Roman" w:cs="Calibri"/>
                <w:color w:val="auto"/>
                <w:sz w:val="16"/>
                <w:szCs w:val="16"/>
              </w:rPr>
            </w:pPr>
            <w:r w:rsidRPr="00A743C9">
              <w:rPr>
                <w:rFonts w:eastAsia="Times New Roman" w:cs="Calibri"/>
                <w:color w:val="auto"/>
                <w:sz w:val="16"/>
                <w:szCs w:val="16"/>
              </w:rPr>
              <w:t>Malta</w:t>
            </w:r>
          </w:p>
        </w:tc>
        <w:tc>
          <w:tcPr>
            <w:tcW w:w="1119" w:type="dxa"/>
            <w:tcBorders>
              <w:left w:val="single" w:sz="4" w:space="0" w:color="auto"/>
              <w:bottom w:val="nil"/>
            </w:tcBorders>
            <w:noWrap/>
            <w:hideMark/>
          </w:tcPr>
          <w:p w14:paraId="08726901"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25.9</w:t>
            </w:r>
          </w:p>
        </w:tc>
        <w:tc>
          <w:tcPr>
            <w:tcW w:w="1119" w:type="dxa"/>
            <w:tcBorders>
              <w:bottom w:val="nil"/>
            </w:tcBorders>
            <w:noWrap/>
            <w:hideMark/>
          </w:tcPr>
          <w:p w14:paraId="2833068F"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30.9</w:t>
            </w:r>
          </w:p>
        </w:tc>
        <w:tc>
          <w:tcPr>
            <w:tcW w:w="1119" w:type="dxa"/>
            <w:tcBorders>
              <w:bottom w:val="nil"/>
              <w:right w:val="single" w:sz="4" w:space="0" w:color="auto"/>
            </w:tcBorders>
            <w:noWrap/>
            <w:hideMark/>
          </w:tcPr>
          <w:p w14:paraId="488F6275"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20.9</w:t>
            </w:r>
          </w:p>
        </w:tc>
        <w:tc>
          <w:tcPr>
            <w:tcW w:w="1119" w:type="dxa"/>
            <w:tcBorders>
              <w:left w:val="single" w:sz="4" w:space="0" w:color="auto"/>
              <w:bottom w:val="nil"/>
            </w:tcBorders>
            <w:noWrap/>
            <w:hideMark/>
          </w:tcPr>
          <w:p w14:paraId="3FC0F96C"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20.7</w:t>
            </w:r>
          </w:p>
        </w:tc>
        <w:tc>
          <w:tcPr>
            <w:tcW w:w="1118" w:type="dxa"/>
            <w:tcBorders>
              <w:bottom w:val="nil"/>
            </w:tcBorders>
            <w:noWrap/>
            <w:hideMark/>
          </w:tcPr>
          <w:p w14:paraId="692D72AF"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25.3</w:t>
            </w:r>
          </w:p>
        </w:tc>
        <w:tc>
          <w:tcPr>
            <w:tcW w:w="1118" w:type="dxa"/>
            <w:tcBorders>
              <w:bottom w:val="nil"/>
              <w:right w:val="single" w:sz="4" w:space="0" w:color="auto"/>
            </w:tcBorders>
            <w:noWrap/>
            <w:hideMark/>
          </w:tcPr>
          <w:p w14:paraId="0F95843C"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16.1</w:t>
            </w:r>
          </w:p>
        </w:tc>
        <w:tc>
          <w:tcPr>
            <w:tcW w:w="1118" w:type="dxa"/>
            <w:tcBorders>
              <w:left w:val="single" w:sz="4" w:space="0" w:color="auto"/>
              <w:bottom w:val="nil"/>
            </w:tcBorders>
            <w:noWrap/>
            <w:hideMark/>
          </w:tcPr>
          <w:p w14:paraId="75FEB168"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21</w:t>
            </w:r>
          </w:p>
        </w:tc>
        <w:tc>
          <w:tcPr>
            <w:tcW w:w="1118" w:type="dxa"/>
            <w:tcBorders>
              <w:bottom w:val="nil"/>
            </w:tcBorders>
            <w:noWrap/>
            <w:hideMark/>
          </w:tcPr>
          <w:p w14:paraId="46E8EB27"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25.3</w:t>
            </w:r>
          </w:p>
        </w:tc>
        <w:tc>
          <w:tcPr>
            <w:tcW w:w="1118" w:type="dxa"/>
            <w:tcBorders>
              <w:bottom w:val="nil"/>
              <w:right w:val="single" w:sz="4" w:space="0" w:color="auto"/>
            </w:tcBorders>
            <w:noWrap/>
            <w:hideMark/>
          </w:tcPr>
          <w:p w14:paraId="7092011F"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16.8</w:t>
            </w:r>
          </w:p>
        </w:tc>
        <w:tc>
          <w:tcPr>
            <w:tcW w:w="1118" w:type="dxa"/>
            <w:tcBorders>
              <w:left w:val="single" w:sz="4" w:space="0" w:color="auto"/>
              <w:bottom w:val="nil"/>
            </w:tcBorders>
            <w:noWrap/>
            <w:hideMark/>
          </w:tcPr>
          <w:p w14:paraId="2C41E6D1"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18.3</w:t>
            </w:r>
          </w:p>
        </w:tc>
        <w:tc>
          <w:tcPr>
            <w:tcW w:w="1118" w:type="dxa"/>
            <w:tcBorders>
              <w:bottom w:val="nil"/>
            </w:tcBorders>
            <w:noWrap/>
            <w:hideMark/>
          </w:tcPr>
          <w:p w14:paraId="7740B0C5"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22.4</w:t>
            </w:r>
          </w:p>
        </w:tc>
        <w:tc>
          <w:tcPr>
            <w:tcW w:w="1118" w:type="dxa"/>
            <w:tcBorders>
              <w:bottom w:val="nil"/>
              <w:right w:val="single" w:sz="4" w:space="0" w:color="auto"/>
            </w:tcBorders>
            <w:noWrap/>
            <w:hideMark/>
          </w:tcPr>
          <w:p w14:paraId="07CA7566"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14.2</w:t>
            </w:r>
          </w:p>
        </w:tc>
      </w:tr>
      <w:tr w:rsidR="00B86BF1" w:rsidRPr="00A743C9" w14:paraId="05D01C0C" w14:textId="77777777" w:rsidTr="000376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6" w:type="dxa"/>
            <w:tcBorders>
              <w:left w:val="single" w:sz="4" w:space="0" w:color="auto"/>
              <w:bottom w:val="nil"/>
              <w:right w:val="single" w:sz="4" w:space="0" w:color="auto"/>
            </w:tcBorders>
            <w:noWrap/>
            <w:hideMark/>
          </w:tcPr>
          <w:p w14:paraId="7C5E23D6" w14:textId="77777777" w:rsidR="00B86BF1" w:rsidRPr="00A743C9" w:rsidRDefault="00B86BF1" w:rsidP="000376C7">
            <w:pPr>
              <w:rPr>
                <w:rFonts w:eastAsia="Times New Roman" w:cs="Calibri"/>
                <w:color w:val="auto"/>
                <w:sz w:val="16"/>
                <w:szCs w:val="16"/>
              </w:rPr>
            </w:pPr>
            <w:r w:rsidRPr="00A743C9">
              <w:rPr>
                <w:rFonts w:eastAsia="Times New Roman" w:cs="Calibri"/>
                <w:color w:val="auto"/>
                <w:sz w:val="16"/>
                <w:szCs w:val="16"/>
              </w:rPr>
              <w:t>Mauritania</w:t>
            </w:r>
          </w:p>
        </w:tc>
        <w:tc>
          <w:tcPr>
            <w:tcW w:w="1119" w:type="dxa"/>
            <w:tcBorders>
              <w:left w:val="single" w:sz="4" w:space="0" w:color="auto"/>
              <w:bottom w:val="nil"/>
            </w:tcBorders>
            <w:noWrap/>
            <w:hideMark/>
          </w:tcPr>
          <w:p w14:paraId="4291B35E"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22.3</w:t>
            </w:r>
          </w:p>
        </w:tc>
        <w:tc>
          <w:tcPr>
            <w:tcW w:w="1119" w:type="dxa"/>
            <w:tcBorders>
              <w:bottom w:val="nil"/>
            </w:tcBorders>
            <w:noWrap/>
            <w:hideMark/>
          </w:tcPr>
          <w:p w14:paraId="6A9AE2E8"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40.6</w:t>
            </w:r>
          </w:p>
        </w:tc>
        <w:tc>
          <w:tcPr>
            <w:tcW w:w="1119" w:type="dxa"/>
            <w:tcBorders>
              <w:bottom w:val="nil"/>
              <w:right w:val="single" w:sz="4" w:space="0" w:color="auto"/>
            </w:tcBorders>
            <w:noWrap/>
            <w:hideMark/>
          </w:tcPr>
          <w:p w14:paraId="52FFBC3E"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3.9</w:t>
            </w:r>
          </w:p>
        </w:tc>
        <w:tc>
          <w:tcPr>
            <w:tcW w:w="1119" w:type="dxa"/>
            <w:tcBorders>
              <w:left w:val="single" w:sz="4" w:space="0" w:color="auto"/>
              <w:bottom w:val="nil"/>
            </w:tcBorders>
            <w:noWrap/>
            <w:hideMark/>
          </w:tcPr>
          <w:p w14:paraId="37E567D2"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19</w:t>
            </w:r>
          </w:p>
        </w:tc>
        <w:tc>
          <w:tcPr>
            <w:tcW w:w="1118" w:type="dxa"/>
            <w:tcBorders>
              <w:bottom w:val="nil"/>
            </w:tcBorders>
            <w:noWrap/>
            <w:hideMark/>
          </w:tcPr>
          <w:p w14:paraId="76CCC032"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35.1</w:t>
            </w:r>
          </w:p>
        </w:tc>
        <w:tc>
          <w:tcPr>
            <w:tcW w:w="1118" w:type="dxa"/>
            <w:tcBorders>
              <w:bottom w:val="nil"/>
              <w:right w:val="single" w:sz="4" w:space="0" w:color="auto"/>
            </w:tcBorders>
            <w:noWrap/>
            <w:hideMark/>
          </w:tcPr>
          <w:p w14:paraId="27F6475C"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2.9</w:t>
            </w:r>
          </w:p>
        </w:tc>
        <w:tc>
          <w:tcPr>
            <w:tcW w:w="1118" w:type="dxa"/>
            <w:tcBorders>
              <w:left w:val="single" w:sz="4" w:space="0" w:color="auto"/>
              <w:bottom w:val="nil"/>
            </w:tcBorders>
            <w:noWrap/>
            <w:hideMark/>
          </w:tcPr>
          <w:p w14:paraId="2E1C5E61"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14.9</w:t>
            </w:r>
          </w:p>
        </w:tc>
        <w:tc>
          <w:tcPr>
            <w:tcW w:w="1118" w:type="dxa"/>
            <w:tcBorders>
              <w:bottom w:val="nil"/>
            </w:tcBorders>
            <w:noWrap/>
            <w:hideMark/>
          </w:tcPr>
          <w:p w14:paraId="115D6D6F"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28.7</w:t>
            </w:r>
          </w:p>
        </w:tc>
        <w:tc>
          <w:tcPr>
            <w:tcW w:w="1118" w:type="dxa"/>
            <w:tcBorders>
              <w:bottom w:val="nil"/>
              <w:right w:val="single" w:sz="4" w:space="0" w:color="auto"/>
            </w:tcBorders>
            <w:noWrap/>
            <w:hideMark/>
          </w:tcPr>
          <w:p w14:paraId="483BE5A9"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w:t>
            </w:r>
          </w:p>
        </w:tc>
        <w:tc>
          <w:tcPr>
            <w:tcW w:w="1118" w:type="dxa"/>
            <w:tcBorders>
              <w:left w:val="single" w:sz="4" w:space="0" w:color="auto"/>
              <w:bottom w:val="nil"/>
            </w:tcBorders>
            <w:noWrap/>
            <w:hideMark/>
          </w:tcPr>
          <w:p w14:paraId="3CE64FEC"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8.7</w:t>
            </w:r>
          </w:p>
        </w:tc>
        <w:tc>
          <w:tcPr>
            <w:tcW w:w="1118" w:type="dxa"/>
            <w:tcBorders>
              <w:bottom w:val="nil"/>
            </w:tcBorders>
            <w:noWrap/>
            <w:hideMark/>
          </w:tcPr>
          <w:p w14:paraId="6A94EE2B"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16.5</w:t>
            </w:r>
          </w:p>
        </w:tc>
        <w:tc>
          <w:tcPr>
            <w:tcW w:w="1118" w:type="dxa"/>
            <w:tcBorders>
              <w:bottom w:val="nil"/>
              <w:right w:val="single" w:sz="4" w:space="0" w:color="auto"/>
            </w:tcBorders>
            <w:noWrap/>
            <w:hideMark/>
          </w:tcPr>
          <w:p w14:paraId="6E81D4DD"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0.9</w:t>
            </w:r>
          </w:p>
        </w:tc>
      </w:tr>
      <w:tr w:rsidR="00B86BF1" w:rsidRPr="00A743C9" w14:paraId="0959E14B" w14:textId="77777777" w:rsidTr="000376C7">
        <w:trPr>
          <w:trHeight w:val="300"/>
        </w:trPr>
        <w:tc>
          <w:tcPr>
            <w:cnfStyle w:val="001000000000" w:firstRow="0" w:lastRow="0" w:firstColumn="1" w:lastColumn="0" w:oddVBand="0" w:evenVBand="0" w:oddHBand="0" w:evenHBand="0" w:firstRowFirstColumn="0" w:firstRowLastColumn="0" w:lastRowFirstColumn="0" w:lastRowLastColumn="0"/>
            <w:tcW w:w="1606" w:type="dxa"/>
            <w:tcBorders>
              <w:left w:val="single" w:sz="4" w:space="0" w:color="auto"/>
              <w:bottom w:val="nil"/>
              <w:right w:val="single" w:sz="4" w:space="0" w:color="auto"/>
            </w:tcBorders>
            <w:noWrap/>
            <w:hideMark/>
          </w:tcPr>
          <w:p w14:paraId="1BD0B248" w14:textId="77777777" w:rsidR="00B86BF1" w:rsidRPr="00A743C9" w:rsidRDefault="00B86BF1" w:rsidP="000376C7">
            <w:pPr>
              <w:rPr>
                <w:rFonts w:eastAsia="Times New Roman" w:cs="Calibri"/>
                <w:color w:val="auto"/>
                <w:sz w:val="16"/>
                <w:szCs w:val="16"/>
              </w:rPr>
            </w:pPr>
            <w:r w:rsidRPr="00A743C9">
              <w:rPr>
                <w:rFonts w:eastAsia="Times New Roman" w:cs="Calibri"/>
                <w:color w:val="auto"/>
                <w:sz w:val="16"/>
                <w:szCs w:val="16"/>
              </w:rPr>
              <w:t>Mauritius</w:t>
            </w:r>
          </w:p>
        </w:tc>
        <w:tc>
          <w:tcPr>
            <w:tcW w:w="1119" w:type="dxa"/>
            <w:tcBorders>
              <w:left w:val="single" w:sz="4" w:space="0" w:color="auto"/>
              <w:bottom w:val="nil"/>
            </w:tcBorders>
            <w:noWrap/>
            <w:hideMark/>
          </w:tcPr>
          <w:p w14:paraId="3054374B"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21.9</w:t>
            </w:r>
          </w:p>
        </w:tc>
        <w:tc>
          <w:tcPr>
            <w:tcW w:w="1119" w:type="dxa"/>
            <w:tcBorders>
              <w:bottom w:val="nil"/>
            </w:tcBorders>
            <w:noWrap/>
            <w:hideMark/>
          </w:tcPr>
          <w:p w14:paraId="29DA087F"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41</w:t>
            </w:r>
          </w:p>
        </w:tc>
        <w:tc>
          <w:tcPr>
            <w:tcW w:w="1119" w:type="dxa"/>
            <w:tcBorders>
              <w:bottom w:val="nil"/>
              <w:right w:val="single" w:sz="4" w:space="0" w:color="auto"/>
            </w:tcBorders>
            <w:noWrap/>
            <w:hideMark/>
          </w:tcPr>
          <w:p w14:paraId="2C84B838"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3.4</w:t>
            </w:r>
          </w:p>
        </w:tc>
        <w:tc>
          <w:tcPr>
            <w:tcW w:w="1119" w:type="dxa"/>
            <w:tcBorders>
              <w:left w:val="single" w:sz="4" w:space="0" w:color="auto"/>
              <w:bottom w:val="nil"/>
            </w:tcBorders>
            <w:noWrap/>
            <w:hideMark/>
          </w:tcPr>
          <w:p w14:paraId="7A9C0C24"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16</w:t>
            </w:r>
          </w:p>
        </w:tc>
        <w:tc>
          <w:tcPr>
            <w:tcW w:w="1118" w:type="dxa"/>
            <w:tcBorders>
              <w:bottom w:val="nil"/>
            </w:tcBorders>
            <w:noWrap/>
            <w:hideMark/>
          </w:tcPr>
          <w:p w14:paraId="4F8AAC13"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31</w:t>
            </w:r>
          </w:p>
        </w:tc>
        <w:tc>
          <w:tcPr>
            <w:tcW w:w="1118" w:type="dxa"/>
            <w:tcBorders>
              <w:bottom w:val="nil"/>
              <w:right w:val="single" w:sz="4" w:space="0" w:color="auto"/>
            </w:tcBorders>
            <w:noWrap/>
            <w:hideMark/>
          </w:tcPr>
          <w:p w14:paraId="15F83D6E"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1.6</w:t>
            </w:r>
          </w:p>
        </w:tc>
        <w:tc>
          <w:tcPr>
            <w:tcW w:w="1118" w:type="dxa"/>
            <w:tcBorders>
              <w:left w:val="single" w:sz="4" w:space="0" w:color="auto"/>
              <w:bottom w:val="nil"/>
            </w:tcBorders>
            <w:noWrap/>
            <w:hideMark/>
          </w:tcPr>
          <w:p w14:paraId="6F596758"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19.6</w:t>
            </w:r>
          </w:p>
        </w:tc>
        <w:tc>
          <w:tcPr>
            <w:tcW w:w="1118" w:type="dxa"/>
            <w:tcBorders>
              <w:bottom w:val="nil"/>
            </w:tcBorders>
            <w:noWrap/>
            <w:hideMark/>
          </w:tcPr>
          <w:p w14:paraId="53DE989F"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36.8</w:t>
            </w:r>
          </w:p>
        </w:tc>
        <w:tc>
          <w:tcPr>
            <w:tcW w:w="1118" w:type="dxa"/>
            <w:tcBorders>
              <w:bottom w:val="nil"/>
              <w:right w:val="single" w:sz="4" w:space="0" w:color="auto"/>
            </w:tcBorders>
            <w:noWrap/>
            <w:hideMark/>
          </w:tcPr>
          <w:p w14:paraId="1D91FD21"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w:t>
            </w:r>
          </w:p>
        </w:tc>
        <w:tc>
          <w:tcPr>
            <w:tcW w:w="1118" w:type="dxa"/>
            <w:tcBorders>
              <w:left w:val="single" w:sz="4" w:space="0" w:color="auto"/>
              <w:bottom w:val="nil"/>
            </w:tcBorders>
            <w:noWrap/>
            <w:hideMark/>
          </w:tcPr>
          <w:p w14:paraId="04A8AE03"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14.5</w:t>
            </w:r>
          </w:p>
        </w:tc>
        <w:tc>
          <w:tcPr>
            <w:tcW w:w="1118" w:type="dxa"/>
            <w:tcBorders>
              <w:bottom w:val="nil"/>
            </w:tcBorders>
            <w:noWrap/>
            <w:hideMark/>
          </w:tcPr>
          <w:p w14:paraId="56286675"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28.4</w:t>
            </w:r>
          </w:p>
        </w:tc>
        <w:tc>
          <w:tcPr>
            <w:tcW w:w="1118" w:type="dxa"/>
            <w:tcBorders>
              <w:bottom w:val="nil"/>
              <w:right w:val="single" w:sz="4" w:space="0" w:color="auto"/>
            </w:tcBorders>
            <w:noWrap/>
            <w:hideMark/>
          </w:tcPr>
          <w:p w14:paraId="66EF6746"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1.2</w:t>
            </w:r>
          </w:p>
        </w:tc>
      </w:tr>
      <w:tr w:rsidR="00B86BF1" w:rsidRPr="00A743C9" w14:paraId="5157B476" w14:textId="77777777" w:rsidTr="000376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6" w:type="dxa"/>
            <w:tcBorders>
              <w:left w:val="single" w:sz="4" w:space="0" w:color="auto"/>
              <w:bottom w:val="nil"/>
              <w:right w:val="single" w:sz="4" w:space="0" w:color="auto"/>
            </w:tcBorders>
            <w:noWrap/>
            <w:hideMark/>
          </w:tcPr>
          <w:p w14:paraId="5824AD32" w14:textId="77777777" w:rsidR="00B86BF1" w:rsidRPr="00A743C9" w:rsidRDefault="00B86BF1" w:rsidP="000376C7">
            <w:pPr>
              <w:rPr>
                <w:rFonts w:eastAsia="Times New Roman" w:cs="Calibri"/>
                <w:color w:val="auto"/>
                <w:sz w:val="16"/>
                <w:szCs w:val="16"/>
              </w:rPr>
            </w:pPr>
            <w:r w:rsidRPr="00A743C9">
              <w:rPr>
                <w:rFonts w:eastAsia="Times New Roman" w:cs="Calibri"/>
                <w:color w:val="auto"/>
                <w:sz w:val="16"/>
                <w:szCs w:val="16"/>
              </w:rPr>
              <w:t>Mexico</w:t>
            </w:r>
          </w:p>
        </w:tc>
        <w:tc>
          <w:tcPr>
            <w:tcW w:w="1119" w:type="dxa"/>
            <w:tcBorders>
              <w:left w:val="single" w:sz="4" w:space="0" w:color="auto"/>
              <w:bottom w:val="nil"/>
            </w:tcBorders>
            <w:noWrap/>
            <w:hideMark/>
          </w:tcPr>
          <w:p w14:paraId="121544CA"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14.5</w:t>
            </w:r>
          </w:p>
        </w:tc>
        <w:tc>
          <w:tcPr>
            <w:tcW w:w="1119" w:type="dxa"/>
            <w:tcBorders>
              <w:bottom w:val="nil"/>
            </w:tcBorders>
            <w:noWrap/>
            <w:hideMark/>
          </w:tcPr>
          <w:p w14:paraId="54FCA2E4"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22.5</w:t>
            </w:r>
          </w:p>
        </w:tc>
        <w:tc>
          <w:tcPr>
            <w:tcW w:w="1119" w:type="dxa"/>
            <w:tcBorders>
              <w:bottom w:val="nil"/>
              <w:right w:val="single" w:sz="4" w:space="0" w:color="auto"/>
            </w:tcBorders>
            <w:noWrap/>
            <w:hideMark/>
          </w:tcPr>
          <w:p w14:paraId="7B01F6CA"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7.3</w:t>
            </w:r>
          </w:p>
        </w:tc>
        <w:tc>
          <w:tcPr>
            <w:tcW w:w="1119" w:type="dxa"/>
            <w:tcBorders>
              <w:left w:val="single" w:sz="4" w:space="0" w:color="auto"/>
              <w:bottom w:val="nil"/>
            </w:tcBorders>
            <w:noWrap/>
            <w:hideMark/>
          </w:tcPr>
          <w:p w14:paraId="1565AE27"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8.3</w:t>
            </w:r>
          </w:p>
        </w:tc>
        <w:tc>
          <w:tcPr>
            <w:tcW w:w="1118" w:type="dxa"/>
            <w:tcBorders>
              <w:bottom w:val="nil"/>
            </w:tcBorders>
            <w:noWrap/>
            <w:hideMark/>
          </w:tcPr>
          <w:p w14:paraId="78D6D0ED"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13.1</w:t>
            </w:r>
          </w:p>
        </w:tc>
        <w:tc>
          <w:tcPr>
            <w:tcW w:w="1118" w:type="dxa"/>
            <w:tcBorders>
              <w:bottom w:val="nil"/>
              <w:right w:val="single" w:sz="4" w:space="0" w:color="auto"/>
            </w:tcBorders>
            <w:noWrap/>
            <w:hideMark/>
          </w:tcPr>
          <w:p w14:paraId="641A0E3B"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4</w:t>
            </w:r>
          </w:p>
        </w:tc>
        <w:tc>
          <w:tcPr>
            <w:tcW w:w="1118" w:type="dxa"/>
            <w:tcBorders>
              <w:left w:val="single" w:sz="4" w:space="0" w:color="auto"/>
              <w:bottom w:val="nil"/>
            </w:tcBorders>
            <w:noWrap/>
            <w:hideMark/>
          </w:tcPr>
          <w:p w14:paraId="56A0CA45"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13.3</w:t>
            </w:r>
          </w:p>
        </w:tc>
        <w:tc>
          <w:tcPr>
            <w:tcW w:w="1118" w:type="dxa"/>
            <w:tcBorders>
              <w:bottom w:val="nil"/>
            </w:tcBorders>
            <w:noWrap/>
            <w:hideMark/>
          </w:tcPr>
          <w:p w14:paraId="717C94ED"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20.7</w:t>
            </w:r>
          </w:p>
        </w:tc>
        <w:tc>
          <w:tcPr>
            <w:tcW w:w="1118" w:type="dxa"/>
            <w:tcBorders>
              <w:bottom w:val="nil"/>
              <w:right w:val="single" w:sz="4" w:space="0" w:color="auto"/>
            </w:tcBorders>
            <w:noWrap/>
            <w:hideMark/>
          </w:tcPr>
          <w:p w14:paraId="536A3C76"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6.6</w:t>
            </w:r>
          </w:p>
        </w:tc>
        <w:tc>
          <w:tcPr>
            <w:tcW w:w="1118" w:type="dxa"/>
            <w:tcBorders>
              <w:left w:val="single" w:sz="4" w:space="0" w:color="auto"/>
              <w:bottom w:val="nil"/>
            </w:tcBorders>
            <w:noWrap/>
            <w:hideMark/>
          </w:tcPr>
          <w:p w14:paraId="2D9E5828"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8</w:t>
            </w:r>
          </w:p>
        </w:tc>
        <w:tc>
          <w:tcPr>
            <w:tcW w:w="1118" w:type="dxa"/>
            <w:tcBorders>
              <w:bottom w:val="nil"/>
            </w:tcBorders>
            <w:noWrap/>
            <w:hideMark/>
          </w:tcPr>
          <w:p w14:paraId="2EA8AF7A"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12.6</w:t>
            </w:r>
          </w:p>
        </w:tc>
        <w:tc>
          <w:tcPr>
            <w:tcW w:w="1118" w:type="dxa"/>
            <w:tcBorders>
              <w:bottom w:val="nil"/>
              <w:right w:val="single" w:sz="4" w:space="0" w:color="auto"/>
            </w:tcBorders>
            <w:noWrap/>
            <w:hideMark/>
          </w:tcPr>
          <w:p w14:paraId="1860B6F6"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3.8</w:t>
            </w:r>
          </w:p>
        </w:tc>
      </w:tr>
      <w:tr w:rsidR="00B86BF1" w:rsidRPr="00A743C9" w14:paraId="58610E50" w14:textId="77777777" w:rsidTr="000376C7">
        <w:trPr>
          <w:trHeight w:val="300"/>
        </w:trPr>
        <w:tc>
          <w:tcPr>
            <w:cnfStyle w:val="001000000000" w:firstRow="0" w:lastRow="0" w:firstColumn="1" w:lastColumn="0" w:oddVBand="0" w:evenVBand="0" w:oddHBand="0" w:evenHBand="0" w:firstRowFirstColumn="0" w:firstRowLastColumn="0" w:lastRowFirstColumn="0" w:lastRowLastColumn="0"/>
            <w:tcW w:w="1606" w:type="dxa"/>
            <w:tcBorders>
              <w:left w:val="single" w:sz="4" w:space="0" w:color="auto"/>
              <w:bottom w:val="nil"/>
              <w:right w:val="single" w:sz="4" w:space="0" w:color="auto"/>
            </w:tcBorders>
            <w:noWrap/>
            <w:hideMark/>
          </w:tcPr>
          <w:p w14:paraId="2CB2FC71" w14:textId="77777777" w:rsidR="00B86BF1" w:rsidRPr="00A743C9" w:rsidRDefault="00B86BF1" w:rsidP="000376C7">
            <w:pPr>
              <w:rPr>
                <w:rFonts w:eastAsia="Times New Roman" w:cs="Calibri"/>
                <w:color w:val="auto"/>
                <w:sz w:val="16"/>
                <w:szCs w:val="16"/>
              </w:rPr>
            </w:pPr>
            <w:r w:rsidRPr="00A743C9">
              <w:rPr>
                <w:rFonts w:eastAsia="Times New Roman" w:cs="Calibri"/>
                <w:color w:val="auto"/>
                <w:sz w:val="16"/>
                <w:szCs w:val="16"/>
              </w:rPr>
              <w:t>Mongolia</w:t>
            </w:r>
          </w:p>
        </w:tc>
        <w:tc>
          <w:tcPr>
            <w:tcW w:w="1119" w:type="dxa"/>
            <w:tcBorders>
              <w:left w:val="single" w:sz="4" w:space="0" w:color="auto"/>
              <w:bottom w:val="nil"/>
            </w:tcBorders>
            <w:noWrap/>
            <w:hideMark/>
          </w:tcPr>
          <w:p w14:paraId="698B5244"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26.8</w:t>
            </w:r>
          </w:p>
        </w:tc>
        <w:tc>
          <w:tcPr>
            <w:tcW w:w="1119" w:type="dxa"/>
            <w:tcBorders>
              <w:bottom w:val="nil"/>
            </w:tcBorders>
            <w:noWrap/>
            <w:hideMark/>
          </w:tcPr>
          <w:p w14:paraId="20DFE507"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48.7</w:t>
            </w:r>
          </w:p>
        </w:tc>
        <w:tc>
          <w:tcPr>
            <w:tcW w:w="1119" w:type="dxa"/>
            <w:tcBorders>
              <w:bottom w:val="nil"/>
              <w:right w:val="single" w:sz="4" w:space="0" w:color="auto"/>
            </w:tcBorders>
            <w:noWrap/>
            <w:hideMark/>
          </w:tcPr>
          <w:p w14:paraId="48620DB7"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5.6</w:t>
            </w:r>
          </w:p>
        </w:tc>
        <w:tc>
          <w:tcPr>
            <w:tcW w:w="1119" w:type="dxa"/>
            <w:tcBorders>
              <w:left w:val="single" w:sz="4" w:space="0" w:color="auto"/>
              <w:bottom w:val="nil"/>
            </w:tcBorders>
            <w:noWrap/>
            <w:hideMark/>
          </w:tcPr>
          <w:p w14:paraId="74B50CF4"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22.7</w:t>
            </w:r>
          </w:p>
        </w:tc>
        <w:tc>
          <w:tcPr>
            <w:tcW w:w="1118" w:type="dxa"/>
            <w:tcBorders>
              <w:bottom w:val="nil"/>
            </w:tcBorders>
            <w:noWrap/>
            <w:hideMark/>
          </w:tcPr>
          <w:p w14:paraId="60BEE6EC"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41.6</w:t>
            </w:r>
          </w:p>
        </w:tc>
        <w:tc>
          <w:tcPr>
            <w:tcW w:w="1118" w:type="dxa"/>
            <w:tcBorders>
              <w:bottom w:val="nil"/>
              <w:right w:val="single" w:sz="4" w:space="0" w:color="auto"/>
            </w:tcBorders>
            <w:noWrap/>
            <w:hideMark/>
          </w:tcPr>
          <w:p w14:paraId="16ADD65C"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4.5</w:t>
            </w:r>
          </w:p>
        </w:tc>
        <w:tc>
          <w:tcPr>
            <w:tcW w:w="1118" w:type="dxa"/>
            <w:tcBorders>
              <w:left w:val="single" w:sz="4" w:space="0" w:color="auto"/>
              <w:bottom w:val="nil"/>
            </w:tcBorders>
            <w:noWrap/>
            <w:hideMark/>
          </w:tcPr>
          <w:p w14:paraId="26054D1B"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21.7</w:t>
            </w:r>
          </w:p>
        </w:tc>
        <w:tc>
          <w:tcPr>
            <w:tcW w:w="1118" w:type="dxa"/>
            <w:tcBorders>
              <w:bottom w:val="nil"/>
            </w:tcBorders>
            <w:noWrap/>
            <w:hideMark/>
          </w:tcPr>
          <w:p w14:paraId="346BDBCD"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39.5</w:t>
            </w:r>
          </w:p>
        </w:tc>
        <w:tc>
          <w:tcPr>
            <w:tcW w:w="1118" w:type="dxa"/>
            <w:tcBorders>
              <w:bottom w:val="nil"/>
              <w:right w:val="single" w:sz="4" w:space="0" w:color="auto"/>
            </w:tcBorders>
            <w:noWrap/>
            <w:hideMark/>
          </w:tcPr>
          <w:p w14:paraId="28DC1CE5"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4.5</w:t>
            </w:r>
          </w:p>
        </w:tc>
        <w:tc>
          <w:tcPr>
            <w:tcW w:w="1118" w:type="dxa"/>
            <w:tcBorders>
              <w:left w:val="single" w:sz="4" w:space="0" w:color="auto"/>
              <w:bottom w:val="nil"/>
            </w:tcBorders>
            <w:noWrap/>
            <w:hideMark/>
          </w:tcPr>
          <w:p w14:paraId="1F4D335E"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20.2</w:t>
            </w:r>
          </w:p>
        </w:tc>
        <w:tc>
          <w:tcPr>
            <w:tcW w:w="1118" w:type="dxa"/>
            <w:tcBorders>
              <w:bottom w:val="nil"/>
            </w:tcBorders>
            <w:noWrap/>
            <w:hideMark/>
          </w:tcPr>
          <w:p w14:paraId="6FB85D22"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36.9</w:t>
            </w:r>
          </w:p>
        </w:tc>
        <w:tc>
          <w:tcPr>
            <w:tcW w:w="1118" w:type="dxa"/>
            <w:tcBorders>
              <w:bottom w:val="nil"/>
              <w:right w:val="single" w:sz="4" w:space="0" w:color="auto"/>
            </w:tcBorders>
            <w:noWrap/>
            <w:hideMark/>
          </w:tcPr>
          <w:p w14:paraId="0ED9E634"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4.1</w:t>
            </w:r>
          </w:p>
        </w:tc>
      </w:tr>
      <w:tr w:rsidR="00B86BF1" w:rsidRPr="00A743C9" w14:paraId="5F602722" w14:textId="77777777" w:rsidTr="000376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6" w:type="dxa"/>
            <w:tcBorders>
              <w:left w:val="single" w:sz="4" w:space="0" w:color="auto"/>
              <w:bottom w:val="nil"/>
              <w:right w:val="single" w:sz="4" w:space="0" w:color="auto"/>
            </w:tcBorders>
            <w:noWrap/>
            <w:hideMark/>
          </w:tcPr>
          <w:p w14:paraId="1E6F0076" w14:textId="77777777" w:rsidR="00B86BF1" w:rsidRPr="00A743C9" w:rsidRDefault="00B86BF1" w:rsidP="000376C7">
            <w:pPr>
              <w:rPr>
                <w:rFonts w:eastAsia="Times New Roman" w:cs="Calibri"/>
                <w:color w:val="auto"/>
                <w:sz w:val="16"/>
                <w:szCs w:val="16"/>
              </w:rPr>
            </w:pPr>
            <w:r w:rsidRPr="00A743C9">
              <w:rPr>
                <w:rFonts w:eastAsia="Times New Roman" w:cs="Calibri"/>
                <w:color w:val="auto"/>
                <w:sz w:val="16"/>
                <w:szCs w:val="16"/>
              </w:rPr>
              <w:t>Morocco</w:t>
            </w:r>
          </w:p>
        </w:tc>
        <w:tc>
          <w:tcPr>
            <w:tcW w:w="1119" w:type="dxa"/>
            <w:tcBorders>
              <w:left w:val="single" w:sz="4" w:space="0" w:color="auto"/>
              <w:bottom w:val="nil"/>
            </w:tcBorders>
            <w:noWrap/>
            <w:hideMark/>
          </w:tcPr>
          <w:p w14:paraId="237169D6"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22</w:t>
            </w:r>
          </w:p>
        </w:tc>
        <w:tc>
          <w:tcPr>
            <w:tcW w:w="1119" w:type="dxa"/>
            <w:tcBorders>
              <w:bottom w:val="nil"/>
            </w:tcBorders>
            <w:noWrap/>
            <w:hideMark/>
          </w:tcPr>
          <w:p w14:paraId="50F60EB5"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43.6</w:t>
            </w:r>
          </w:p>
        </w:tc>
        <w:tc>
          <w:tcPr>
            <w:tcW w:w="1119" w:type="dxa"/>
            <w:tcBorders>
              <w:bottom w:val="nil"/>
              <w:right w:val="single" w:sz="4" w:space="0" w:color="auto"/>
            </w:tcBorders>
            <w:noWrap/>
            <w:hideMark/>
          </w:tcPr>
          <w:p w14:paraId="0A9F190A"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1.6</w:t>
            </w:r>
          </w:p>
        </w:tc>
        <w:tc>
          <w:tcPr>
            <w:tcW w:w="1119" w:type="dxa"/>
            <w:tcBorders>
              <w:left w:val="single" w:sz="4" w:space="0" w:color="auto"/>
              <w:bottom w:val="nil"/>
            </w:tcBorders>
            <w:noWrap/>
            <w:hideMark/>
          </w:tcPr>
          <w:p w14:paraId="14903B99"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17.9</w:t>
            </w:r>
          </w:p>
        </w:tc>
        <w:tc>
          <w:tcPr>
            <w:tcW w:w="1118" w:type="dxa"/>
            <w:tcBorders>
              <w:bottom w:val="nil"/>
            </w:tcBorders>
            <w:noWrap/>
            <w:hideMark/>
          </w:tcPr>
          <w:p w14:paraId="7C4B2170"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35.8</w:t>
            </w:r>
          </w:p>
        </w:tc>
        <w:tc>
          <w:tcPr>
            <w:tcW w:w="1118" w:type="dxa"/>
            <w:tcBorders>
              <w:bottom w:val="nil"/>
              <w:right w:val="single" w:sz="4" w:space="0" w:color="auto"/>
            </w:tcBorders>
            <w:noWrap/>
            <w:hideMark/>
          </w:tcPr>
          <w:p w14:paraId="694EC31E"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0.9</w:t>
            </w:r>
          </w:p>
        </w:tc>
        <w:tc>
          <w:tcPr>
            <w:tcW w:w="1118" w:type="dxa"/>
            <w:tcBorders>
              <w:left w:val="single" w:sz="4" w:space="0" w:color="auto"/>
              <w:bottom w:val="nil"/>
            </w:tcBorders>
            <w:noWrap/>
            <w:hideMark/>
          </w:tcPr>
          <w:p w14:paraId="0DA03270"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18.5</w:t>
            </w:r>
          </w:p>
        </w:tc>
        <w:tc>
          <w:tcPr>
            <w:tcW w:w="1118" w:type="dxa"/>
            <w:tcBorders>
              <w:bottom w:val="nil"/>
            </w:tcBorders>
            <w:noWrap/>
            <w:hideMark/>
          </w:tcPr>
          <w:p w14:paraId="55BBB2AD"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36.8</w:t>
            </w:r>
          </w:p>
        </w:tc>
        <w:tc>
          <w:tcPr>
            <w:tcW w:w="1118" w:type="dxa"/>
            <w:tcBorders>
              <w:bottom w:val="nil"/>
              <w:right w:val="single" w:sz="4" w:space="0" w:color="auto"/>
            </w:tcBorders>
            <w:noWrap/>
            <w:hideMark/>
          </w:tcPr>
          <w:p w14:paraId="1CC27556"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w:t>
            </w:r>
          </w:p>
        </w:tc>
        <w:tc>
          <w:tcPr>
            <w:tcW w:w="1118" w:type="dxa"/>
            <w:tcBorders>
              <w:left w:val="single" w:sz="4" w:space="0" w:color="auto"/>
              <w:bottom w:val="nil"/>
            </w:tcBorders>
            <w:noWrap/>
            <w:hideMark/>
          </w:tcPr>
          <w:p w14:paraId="6B1C1997"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14.1</w:t>
            </w:r>
          </w:p>
        </w:tc>
        <w:tc>
          <w:tcPr>
            <w:tcW w:w="1118" w:type="dxa"/>
            <w:tcBorders>
              <w:bottom w:val="nil"/>
            </w:tcBorders>
            <w:noWrap/>
            <w:hideMark/>
          </w:tcPr>
          <w:p w14:paraId="300E9C49"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28.4</w:t>
            </w:r>
          </w:p>
        </w:tc>
        <w:tc>
          <w:tcPr>
            <w:tcW w:w="1118" w:type="dxa"/>
            <w:tcBorders>
              <w:bottom w:val="nil"/>
              <w:right w:val="single" w:sz="4" w:space="0" w:color="auto"/>
            </w:tcBorders>
            <w:noWrap/>
            <w:hideMark/>
          </w:tcPr>
          <w:p w14:paraId="3B8E5BAF"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0.5</w:t>
            </w:r>
          </w:p>
        </w:tc>
      </w:tr>
      <w:tr w:rsidR="00B86BF1" w:rsidRPr="00A743C9" w14:paraId="767DB6F9" w14:textId="77777777" w:rsidTr="000376C7">
        <w:trPr>
          <w:trHeight w:val="300"/>
        </w:trPr>
        <w:tc>
          <w:tcPr>
            <w:cnfStyle w:val="001000000000" w:firstRow="0" w:lastRow="0" w:firstColumn="1" w:lastColumn="0" w:oddVBand="0" w:evenVBand="0" w:oddHBand="0" w:evenHBand="0" w:firstRowFirstColumn="0" w:firstRowLastColumn="0" w:lastRowFirstColumn="0" w:lastRowLastColumn="0"/>
            <w:tcW w:w="1606" w:type="dxa"/>
            <w:tcBorders>
              <w:left w:val="single" w:sz="4" w:space="0" w:color="auto"/>
              <w:bottom w:val="nil"/>
              <w:right w:val="single" w:sz="4" w:space="0" w:color="auto"/>
            </w:tcBorders>
            <w:noWrap/>
            <w:hideMark/>
          </w:tcPr>
          <w:p w14:paraId="06CA2609" w14:textId="77777777" w:rsidR="00B86BF1" w:rsidRPr="00A743C9" w:rsidRDefault="00B86BF1" w:rsidP="000376C7">
            <w:pPr>
              <w:rPr>
                <w:rFonts w:eastAsia="Times New Roman" w:cs="Calibri"/>
                <w:color w:val="auto"/>
                <w:sz w:val="16"/>
                <w:szCs w:val="16"/>
              </w:rPr>
            </w:pPr>
            <w:r w:rsidRPr="00A743C9">
              <w:rPr>
                <w:rFonts w:eastAsia="Times New Roman" w:cs="Calibri"/>
                <w:color w:val="auto"/>
                <w:sz w:val="16"/>
                <w:szCs w:val="16"/>
              </w:rPr>
              <w:t>Mozambique</w:t>
            </w:r>
          </w:p>
        </w:tc>
        <w:tc>
          <w:tcPr>
            <w:tcW w:w="1119" w:type="dxa"/>
            <w:tcBorders>
              <w:left w:val="single" w:sz="4" w:space="0" w:color="auto"/>
              <w:bottom w:val="nil"/>
            </w:tcBorders>
            <w:noWrap/>
            <w:hideMark/>
          </w:tcPr>
          <w:p w14:paraId="1421E337"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18.8</w:t>
            </w:r>
          </w:p>
        </w:tc>
        <w:tc>
          <w:tcPr>
            <w:tcW w:w="1119" w:type="dxa"/>
            <w:tcBorders>
              <w:bottom w:val="nil"/>
            </w:tcBorders>
            <w:noWrap/>
            <w:hideMark/>
          </w:tcPr>
          <w:p w14:paraId="73167471"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32.7</w:t>
            </w:r>
          </w:p>
        </w:tc>
        <w:tc>
          <w:tcPr>
            <w:tcW w:w="1119" w:type="dxa"/>
            <w:tcBorders>
              <w:bottom w:val="nil"/>
              <w:right w:val="single" w:sz="4" w:space="0" w:color="auto"/>
            </w:tcBorders>
            <w:noWrap/>
            <w:hideMark/>
          </w:tcPr>
          <w:p w14:paraId="3F7E0D7C"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6.1</w:t>
            </w:r>
          </w:p>
        </w:tc>
        <w:tc>
          <w:tcPr>
            <w:tcW w:w="1119" w:type="dxa"/>
            <w:tcBorders>
              <w:left w:val="single" w:sz="4" w:space="0" w:color="auto"/>
              <w:bottom w:val="nil"/>
            </w:tcBorders>
            <w:noWrap/>
            <w:hideMark/>
          </w:tcPr>
          <w:p w14:paraId="61D82064"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13.4</w:t>
            </w:r>
          </w:p>
        </w:tc>
        <w:tc>
          <w:tcPr>
            <w:tcW w:w="1118" w:type="dxa"/>
            <w:tcBorders>
              <w:bottom w:val="nil"/>
            </w:tcBorders>
            <w:noWrap/>
            <w:hideMark/>
          </w:tcPr>
          <w:p w14:paraId="3B5F8E12"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23.7</w:t>
            </w:r>
          </w:p>
        </w:tc>
        <w:tc>
          <w:tcPr>
            <w:tcW w:w="1118" w:type="dxa"/>
            <w:tcBorders>
              <w:bottom w:val="nil"/>
              <w:right w:val="single" w:sz="4" w:space="0" w:color="auto"/>
            </w:tcBorders>
            <w:noWrap/>
            <w:hideMark/>
          </w:tcPr>
          <w:p w14:paraId="5BDA1809"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3.9</w:t>
            </w:r>
          </w:p>
        </w:tc>
        <w:tc>
          <w:tcPr>
            <w:tcW w:w="1118" w:type="dxa"/>
            <w:tcBorders>
              <w:left w:val="single" w:sz="4" w:space="0" w:color="auto"/>
              <w:bottom w:val="nil"/>
            </w:tcBorders>
            <w:noWrap/>
            <w:hideMark/>
          </w:tcPr>
          <w:p w14:paraId="58D906C2"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12.8</w:t>
            </w:r>
          </w:p>
        </w:tc>
        <w:tc>
          <w:tcPr>
            <w:tcW w:w="1118" w:type="dxa"/>
            <w:tcBorders>
              <w:bottom w:val="nil"/>
            </w:tcBorders>
            <w:noWrap/>
            <w:hideMark/>
          </w:tcPr>
          <w:p w14:paraId="18E51320"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24.8</w:t>
            </w:r>
          </w:p>
        </w:tc>
        <w:tc>
          <w:tcPr>
            <w:tcW w:w="1118" w:type="dxa"/>
            <w:tcBorders>
              <w:bottom w:val="nil"/>
              <w:right w:val="single" w:sz="4" w:space="0" w:color="auto"/>
            </w:tcBorders>
            <w:noWrap/>
            <w:hideMark/>
          </w:tcPr>
          <w:p w14:paraId="271B7384"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1.8</w:t>
            </w:r>
          </w:p>
        </w:tc>
        <w:tc>
          <w:tcPr>
            <w:tcW w:w="1118" w:type="dxa"/>
            <w:tcBorders>
              <w:left w:val="single" w:sz="4" w:space="0" w:color="auto"/>
              <w:bottom w:val="nil"/>
            </w:tcBorders>
            <w:noWrap/>
            <w:hideMark/>
          </w:tcPr>
          <w:p w14:paraId="632B4DF7"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10.5</w:t>
            </w:r>
          </w:p>
        </w:tc>
        <w:tc>
          <w:tcPr>
            <w:tcW w:w="1118" w:type="dxa"/>
            <w:tcBorders>
              <w:bottom w:val="nil"/>
            </w:tcBorders>
            <w:noWrap/>
            <w:hideMark/>
          </w:tcPr>
          <w:p w14:paraId="0F5AF3B8"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20.3</w:t>
            </w:r>
          </w:p>
        </w:tc>
        <w:tc>
          <w:tcPr>
            <w:tcW w:w="1118" w:type="dxa"/>
            <w:tcBorders>
              <w:bottom w:val="nil"/>
              <w:right w:val="single" w:sz="4" w:space="0" w:color="auto"/>
            </w:tcBorders>
            <w:noWrap/>
            <w:hideMark/>
          </w:tcPr>
          <w:p w14:paraId="2F449E68"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1.5</w:t>
            </w:r>
          </w:p>
        </w:tc>
      </w:tr>
      <w:tr w:rsidR="00B86BF1" w:rsidRPr="00A743C9" w14:paraId="41FF9017" w14:textId="77777777" w:rsidTr="000376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6" w:type="dxa"/>
            <w:tcBorders>
              <w:left w:val="single" w:sz="4" w:space="0" w:color="auto"/>
              <w:bottom w:val="nil"/>
              <w:right w:val="single" w:sz="4" w:space="0" w:color="auto"/>
            </w:tcBorders>
            <w:noWrap/>
            <w:hideMark/>
          </w:tcPr>
          <w:p w14:paraId="4FE15B54" w14:textId="77777777" w:rsidR="00B86BF1" w:rsidRPr="00A743C9" w:rsidRDefault="00B86BF1" w:rsidP="000376C7">
            <w:pPr>
              <w:rPr>
                <w:rFonts w:eastAsia="Times New Roman" w:cs="Calibri"/>
                <w:color w:val="auto"/>
                <w:sz w:val="16"/>
                <w:szCs w:val="16"/>
              </w:rPr>
            </w:pPr>
            <w:r w:rsidRPr="00A743C9">
              <w:rPr>
                <w:rFonts w:eastAsia="Times New Roman" w:cs="Calibri"/>
                <w:color w:val="auto"/>
                <w:sz w:val="16"/>
                <w:szCs w:val="16"/>
              </w:rPr>
              <w:t>Myanmar</w:t>
            </w:r>
          </w:p>
        </w:tc>
        <w:tc>
          <w:tcPr>
            <w:tcW w:w="1119" w:type="dxa"/>
            <w:tcBorders>
              <w:left w:val="single" w:sz="4" w:space="0" w:color="auto"/>
              <w:bottom w:val="nil"/>
            </w:tcBorders>
            <w:noWrap/>
            <w:hideMark/>
          </w:tcPr>
          <w:p w14:paraId="13797C83"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20</w:t>
            </w:r>
          </w:p>
        </w:tc>
        <w:tc>
          <w:tcPr>
            <w:tcW w:w="1119" w:type="dxa"/>
            <w:tcBorders>
              <w:bottom w:val="nil"/>
            </w:tcBorders>
            <w:noWrap/>
            <w:hideMark/>
          </w:tcPr>
          <w:p w14:paraId="36AA5CA5"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33.9</w:t>
            </w:r>
          </w:p>
        </w:tc>
        <w:tc>
          <w:tcPr>
            <w:tcW w:w="1119" w:type="dxa"/>
            <w:tcBorders>
              <w:bottom w:val="nil"/>
              <w:right w:val="single" w:sz="4" w:space="0" w:color="auto"/>
            </w:tcBorders>
            <w:noWrap/>
            <w:hideMark/>
          </w:tcPr>
          <w:p w14:paraId="40B1027A"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7.2</w:t>
            </w:r>
          </w:p>
        </w:tc>
        <w:tc>
          <w:tcPr>
            <w:tcW w:w="1119" w:type="dxa"/>
            <w:tcBorders>
              <w:left w:val="single" w:sz="4" w:space="0" w:color="auto"/>
              <w:bottom w:val="nil"/>
            </w:tcBorders>
            <w:noWrap/>
            <w:hideMark/>
          </w:tcPr>
          <w:p w14:paraId="61B8E8AC"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15.8</w:t>
            </w:r>
          </w:p>
        </w:tc>
        <w:tc>
          <w:tcPr>
            <w:tcW w:w="1118" w:type="dxa"/>
            <w:tcBorders>
              <w:bottom w:val="nil"/>
            </w:tcBorders>
            <w:noWrap/>
            <w:hideMark/>
          </w:tcPr>
          <w:p w14:paraId="0DC2ECF9"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27.1</w:t>
            </w:r>
          </w:p>
        </w:tc>
        <w:tc>
          <w:tcPr>
            <w:tcW w:w="1118" w:type="dxa"/>
            <w:tcBorders>
              <w:bottom w:val="nil"/>
              <w:right w:val="single" w:sz="4" w:space="0" w:color="auto"/>
            </w:tcBorders>
            <w:noWrap/>
            <w:hideMark/>
          </w:tcPr>
          <w:p w14:paraId="0A09C1CF"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5.5</w:t>
            </w:r>
          </w:p>
        </w:tc>
        <w:tc>
          <w:tcPr>
            <w:tcW w:w="1118" w:type="dxa"/>
            <w:tcBorders>
              <w:left w:val="single" w:sz="4" w:space="0" w:color="auto"/>
              <w:bottom w:val="nil"/>
            </w:tcBorders>
            <w:noWrap/>
            <w:hideMark/>
          </w:tcPr>
          <w:p w14:paraId="335CE244"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16.2</w:t>
            </w:r>
          </w:p>
        </w:tc>
        <w:tc>
          <w:tcPr>
            <w:tcW w:w="1118" w:type="dxa"/>
            <w:tcBorders>
              <w:bottom w:val="nil"/>
            </w:tcBorders>
            <w:noWrap/>
            <w:hideMark/>
          </w:tcPr>
          <w:p w14:paraId="0D6109CC"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27.4</w:t>
            </w:r>
          </w:p>
        </w:tc>
        <w:tc>
          <w:tcPr>
            <w:tcW w:w="1118" w:type="dxa"/>
            <w:tcBorders>
              <w:bottom w:val="nil"/>
              <w:right w:val="single" w:sz="4" w:space="0" w:color="auto"/>
            </w:tcBorders>
            <w:noWrap/>
            <w:hideMark/>
          </w:tcPr>
          <w:p w14:paraId="5EC18856"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5.9</w:t>
            </w:r>
          </w:p>
        </w:tc>
        <w:tc>
          <w:tcPr>
            <w:tcW w:w="1118" w:type="dxa"/>
            <w:tcBorders>
              <w:left w:val="single" w:sz="4" w:space="0" w:color="auto"/>
              <w:bottom w:val="nil"/>
            </w:tcBorders>
            <w:noWrap/>
            <w:hideMark/>
          </w:tcPr>
          <w:p w14:paraId="4198320B"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10</w:t>
            </w:r>
          </w:p>
        </w:tc>
        <w:tc>
          <w:tcPr>
            <w:tcW w:w="1118" w:type="dxa"/>
            <w:tcBorders>
              <w:bottom w:val="nil"/>
            </w:tcBorders>
            <w:noWrap/>
            <w:hideMark/>
          </w:tcPr>
          <w:p w14:paraId="06C4B1EE"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16.8</w:t>
            </w:r>
          </w:p>
        </w:tc>
        <w:tc>
          <w:tcPr>
            <w:tcW w:w="1118" w:type="dxa"/>
            <w:tcBorders>
              <w:bottom w:val="nil"/>
              <w:right w:val="single" w:sz="4" w:space="0" w:color="auto"/>
            </w:tcBorders>
            <w:noWrap/>
            <w:hideMark/>
          </w:tcPr>
          <w:p w14:paraId="42EABA72"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3.8</w:t>
            </w:r>
          </w:p>
        </w:tc>
      </w:tr>
      <w:tr w:rsidR="00B86BF1" w:rsidRPr="00A743C9" w14:paraId="5E19241B" w14:textId="77777777" w:rsidTr="000376C7">
        <w:trPr>
          <w:trHeight w:val="300"/>
        </w:trPr>
        <w:tc>
          <w:tcPr>
            <w:cnfStyle w:val="001000000000" w:firstRow="0" w:lastRow="0" w:firstColumn="1" w:lastColumn="0" w:oddVBand="0" w:evenVBand="0" w:oddHBand="0" w:evenHBand="0" w:firstRowFirstColumn="0" w:firstRowLastColumn="0" w:lastRowFirstColumn="0" w:lastRowLastColumn="0"/>
            <w:tcW w:w="1606" w:type="dxa"/>
            <w:tcBorders>
              <w:left w:val="single" w:sz="4" w:space="0" w:color="auto"/>
              <w:bottom w:val="nil"/>
              <w:right w:val="single" w:sz="4" w:space="0" w:color="auto"/>
            </w:tcBorders>
            <w:noWrap/>
            <w:hideMark/>
          </w:tcPr>
          <w:p w14:paraId="044792AF" w14:textId="77777777" w:rsidR="00B86BF1" w:rsidRPr="00A743C9" w:rsidRDefault="00B86BF1" w:rsidP="000376C7">
            <w:pPr>
              <w:rPr>
                <w:rFonts w:eastAsia="Times New Roman" w:cs="Calibri"/>
                <w:color w:val="auto"/>
                <w:sz w:val="16"/>
                <w:szCs w:val="16"/>
              </w:rPr>
            </w:pPr>
            <w:r w:rsidRPr="00A743C9">
              <w:rPr>
                <w:rFonts w:eastAsia="Times New Roman" w:cs="Calibri"/>
                <w:color w:val="auto"/>
                <w:sz w:val="16"/>
                <w:szCs w:val="16"/>
              </w:rPr>
              <w:t>Namibia</w:t>
            </w:r>
          </w:p>
        </w:tc>
        <w:tc>
          <w:tcPr>
            <w:tcW w:w="1119" w:type="dxa"/>
            <w:tcBorders>
              <w:left w:val="single" w:sz="4" w:space="0" w:color="auto"/>
              <w:bottom w:val="nil"/>
            </w:tcBorders>
            <w:noWrap/>
            <w:hideMark/>
          </w:tcPr>
          <w:p w14:paraId="48D2EC43"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23.8</w:t>
            </w:r>
          </w:p>
        </w:tc>
        <w:tc>
          <w:tcPr>
            <w:tcW w:w="1119" w:type="dxa"/>
            <w:tcBorders>
              <w:bottom w:val="nil"/>
            </w:tcBorders>
            <w:noWrap/>
            <w:hideMark/>
          </w:tcPr>
          <w:p w14:paraId="5EBE9204"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37</w:t>
            </w:r>
          </w:p>
        </w:tc>
        <w:tc>
          <w:tcPr>
            <w:tcW w:w="1119" w:type="dxa"/>
            <w:tcBorders>
              <w:bottom w:val="nil"/>
              <w:right w:val="single" w:sz="4" w:space="0" w:color="auto"/>
            </w:tcBorders>
            <w:noWrap/>
            <w:hideMark/>
          </w:tcPr>
          <w:p w14:paraId="4FF48ED3"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11.7</w:t>
            </w:r>
          </w:p>
        </w:tc>
        <w:tc>
          <w:tcPr>
            <w:tcW w:w="1119" w:type="dxa"/>
            <w:tcBorders>
              <w:left w:val="single" w:sz="4" w:space="0" w:color="auto"/>
              <w:bottom w:val="nil"/>
            </w:tcBorders>
            <w:noWrap/>
            <w:hideMark/>
          </w:tcPr>
          <w:p w14:paraId="741819A7"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18.9</w:t>
            </w:r>
          </w:p>
        </w:tc>
        <w:tc>
          <w:tcPr>
            <w:tcW w:w="1118" w:type="dxa"/>
            <w:tcBorders>
              <w:bottom w:val="nil"/>
            </w:tcBorders>
            <w:noWrap/>
            <w:hideMark/>
          </w:tcPr>
          <w:p w14:paraId="5B9D162D"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29.8</w:t>
            </w:r>
          </w:p>
        </w:tc>
        <w:tc>
          <w:tcPr>
            <w:tcW w:w="1118" w:type="dxa"/>
            <w:tcBorders>
              <w:bottom w:val="nil"/>
              <w:right w:val="single" w:sz="4" w:space="0" w:color="auto"/>
            </w:tcBorders>
            <w:noWrap/>
            <w:hideMark/>
          </w:tcPr>
          <w:p w14:paraId="34689597"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8.9</w:t>
            </w:r>
          </w:p>
        </w:tc>
        <w:tc>
          <w:tcPr>
            <w:tcW w:w="1118" w:type="dxa"/>
            <w:tcBorders>
              <w:left w:val="single" w:sz="4" w:space="0" w:color="auto"/>
              <w:bottom w:val="nil"/>
            </w:tcBorders>
            <w:noWrap/>
            <w:hideMark/>
          </w:tcPr>
          <w:p w14:paraId="2B3F8225"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15.6</w:t>
            </w:r>
          </w:p>
        </w:tc>
        <w:tc>
          <w:tcPr>
            <w:tcW w:w="1118" w:type="dxa"/>
            <w:tcBorders>
              <w:bottom w:val="nil"/>
            </w:tcBorders>
            <w:noWrap/>
            <w:hideMark/>
          </w:tcPr>
          <w:p w14:paraId="3E709970"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25.7</w:t>
            </w:r>
          </w:p>
        </w:tc>
        <w:tc>
          <w:tcPr>
            <w:tcW w:w="1118" w:type="dxa"/>
            <w:tcBorders>
              <w:bottom w:val="nil"/>
              <w:right w:val="single" w:sz="4" w:space="0" w:color="auto"/>
            </w:tcBorders>
            <w:noWrap/>
            <w:hideMark/>
          </w:tcPr>
          <w:p w14:paraId="00BB28EB"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6.5</w:t>
            </w:r>
          </w:p>
        </w:tc>
        <w:tc>
          <w:tcPr>
            <w:tcW w:w="1118" w:type="dxa"/>
            <w:tcBorders>
              <w:left w:val="single" w:sz="4" w:space="0" w:color="auto"/>
              <w:bottom w:val="nil"/>
            </w:tcBorders>
            <w:noWrap/>
            <w:hideMark/>
          </w:tcPr>
          <w:p w14:paraId="271D80EF"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12.3</w:t>
            </w:r>
          </w:p>
        </w:tc>
        <w:tc>
          <w:tcPr>
            <w:tcW w:w="1118" w:type="dxa"/>
            <w:tcBorders>
              <w:bottom w:val="nil"/>
            </w:tcBorders>
            <w:noWrap/>
            <w:hideMark/>
          </w:tcPr>
          <w:p w14:paraId="31E82831"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20.4</w:t>
            </w:r>
          </w:p>
        </w:tc>
        <w:tc>
          <w:tcPr>
            <w:tcW w:w="1118" w:type="dxa"/>
            <w:tcBorders>
              <w:bottom w:val="nil"/>
              <w:right w:val="single" w:sz="4" w:space="0" w:color="auto"/>
            </w:tcBorders>
            <w:noWrap/>
            <w:hideMark/>
          </w:tcPr>
          <w:p w14:paraId="325ABD33"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4.9</w:t>
            </w:r>
          </w:p>
        </w:tc>
      </w:tr>
      <w:tr w:rsidR="00B86BF1" w:rsidRPr="00A743C9" w14:paraId="286172A7" w14:textId="77777777" w:rsidTr="000376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6" w:type="dxa"/>
            <w:tcBorders>
              <w:left w:val="single" w:sz="4" w:space="0" w:color="auto"/>
              <w:bottom w:val="nil"/>
              <w:right w:val="single" w:sz="4" w:space="0" w:color="auto"/>
            </w:tcBorders>
            <w:noWrap/>
            <w:hideMark/>
          </w:tcPr>
          <w:p w14:paraId="058B0873" w14:textId="77777777" w:rsidR="00B86BF1" w:rsidRPr="00A743C9" w:rsidRDefault="00B86BF1" w:rsidP="000376C7">
            <w:pPr>
              <w:rPr>
                <w:rFonts w:eastAsia="Times New Roman" w:cs="Calibri"/>
                <w:color w:val="auto"/>
                <w:sz w:val="16"/>
                <w:szCs w:val="16"/>
              </w:rPr>
            </w:pPr>
            <w:r w:rsidRPr="00A743C9">
              <w:rPr>
                <w:rFonts w:eastAsia="Times New Roman" w:cs="Calibri"/>
                <w:color w:val="auto"/>
                <w:sz w:val="16"/>
                <w:szCs w:val="16"/>
              </w:rPr>
              <w:t>Nauru</w:t>
            </w:r>
          </w:p>
        </w:tc>
        <w:tc>
          <w:tcPr>
            <w:tcW w:w="1119" w:type="dxa"/>
            <w:tcBorders>
              <w:left w:val="single" w:sz="4" w:space="0" w:color="auto"/>
              <w:bottom w:val="nil"/>
            </w:tcBorders>
            <w:noWrap/>
            <w:hideMark/>
          </w:tcPr>
          <w:p w14:paraId="41CFDD79"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48.9</w:t>
            </w:r>
          </w:p>
        </w:tc>
        <w:tc>
          <w:tcPr>
            <w:tcW w:w="1119" w:type="dxa"/>
            <w:tcBorders>
              <w:bottom w:val="nil"/>
            </w:tcBorders>
            <w:noWrap/>
            <w:hideMark/>
          </w:tcPr>
          <w:p w14:paraId="5E703F8D"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44.3</w:t>
            </w:r>
          </w:p>
        </w:tc>
        <w:tc>
          <w:tcPr>
            <w:tcW w:w="1119" w:type="dxa"/>
            <w:tcBorders>
              <w:bottom w:val="nil"/>
              <w:right w:val="single" w:sz="4" w:space="0" w:color="auto"/>
            </w:tcBorders>
            <w:noWrap/>
            <w:hideMark/>
          </w:tcPr>
          <w:p w14:paraId="1342E0D6"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53.5</w:t>
            </w:r>
          </w:p>
        </w:tc>
        <w:tc>
          <w:tcPr>
            <w:tcW w:w="1119" w:type="dxa"/>
            <w:tcBorders>
              <w:left w:val="single" w:sz="4" w:space="0" w:color="auto"/>
              <w:bottom w:val="nil"/>
            </w:tcBorders>
            <w:noWrap/>
            <w:hideMark/>
          </w:tcPr>
          <w:p w14:paraId="07B838B4"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39.8</w:t>
            </w:r>
          </w:p>
        </w:tc>
        <w:tc>
          <w:tcPr>
            <w:tcW w:w="1118" w:type="dxa"/>
            <w:tcBorders>
              <w:bottom w:val="nil"/>
            </w:tcBorders>
            <w:noWrap/>
            <w:hideMark/>
          </w:tcPr>
          <w:p w14:paraId="41640564"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36.8</w:t>
            </w:r>
          </w:p>
        </w:tc>
        <w:tc>
          <w:tcPr>
            <w:tcW w:w="1118" w:type="dxa"/>
            <w:tcBorders>
              <w:bottom w:val="nil"/>
              <w:right w:val="single" w:sz="4" w:space="0" w:color="auto"/>
            </w:tcBorders>
            <w:noWrap/>
            <w:hideMark/>
          </w:tcPr>
          <w:p w14:paraId="352FA96A"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42.8</w:t>
            </w:r>
          </w:p>
        </w:tc>
        <w:tc>
          <w:tcPr>
            <w:tcW w:w="1118" w:type="dxa"/>
            <w:tcBorders>
              <w:left w:val="single" w:sz="4" w:space="0" w:color="auto"/>
              <w:bottom w:val="nil"/>
            </w:tcBorders>
            <w:noWrap/>
            <w:hideMark/>
          </w:tcPr>
          <w:p w14:paraId="00832A6B"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38.2</w:t>
            </w:r>
          </w:p>
        </w:tc>
        <w:tc>
          <w:tcPr>
            <w:tcW w:w="1118" w:type="dxa"/>
            <w:tcBorders>
              <w:bottom w:val="nil"/>
            </w:tcBorders>
            <w:noWrap/>
            <w:hideMark/>
          </w:tcPr>
          <w:p w14:paraId="42FEF55B"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35.8</w:t>
            </w:r>
          </w:p>
        </w:tc>
        <w:tc>
          <w:tcPr>
            <w:tcW w:w="1118" w:type="dxa"/>
            <w:tcBorders>
              <w:bottom w:val="nil"/>
              <w:right w:val="single" w:sz="4" w:space="0" w:color="auto"/>
            </w:tcBorders>
            <w:noWrap/>
            <w:hideMark/>
          </w:tcPr>
          <w:p w14:paraId="4A177D86"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40.6</w:t>
            </w:r>
          </w:p>
        </w:tc>
        <w:tc>
          <w:tcPr>
            <w:tcW w:w="1118" w:type="dxa"/>
            <w:tcBorders>
              <w:left w:val="single" w:sz="4" w:space="0" w:color="auto"/>
              <w:bottom w:val="nil"/>
            </w:tcBorders>
            <w:noWrap/>
            <w:hideMark/>
          </w:tcPr>
          <w:p w14:paraId="02375E57"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28</w:t>
            </w:r>
          </w:p>
        </w:tc>
        <w:tc>
          <w:tcPr>
            <w:tcW w:w="1118" w:type="dxa"/>
            <w:tcBorders>
              <w:bottom w:val="nil"/>
            </w:tcBorders>
            <w:noWrap/>
            <w:hideMark/>
          </w:tcPr>
          <w:p w14:paraId="212AEF39"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26</w:t>
            </w:r>
          </w:p>
        </w:tc>
        <w:tc>
          <w:tcPr>
            <w:tcW w:w="1118" w:type="dxa"/>
            <w:tcBorders>
              <w:bottom w:val="nil"/>
              <w:right w:val="single" w:sz="4" w:space="0" w:color="auto"/>
            </w:tcBorders>
            <w:noWrap/>
            <w:hideMark/>
          </w:tcPr>
          <w:p w14:paraId="0728195B"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30</w:t>
            </w:r>
          </w:p>
        </w:tc>
      </w:tr>
      <w:tr w:rsidR="00B86BF1" w:rsidRPr="00A743C9" w14:paraId="0D6079EF" w14:textId="77777777" w:rsidTr="000376C7">
        <w:trPr>
          <w:trHeight w:val="300"/>
        </w:trPr>
        <w:tc>
          <w:tcPr>
            <w:cnfStyle w:val="001000000000" w:firstRow="0" w:lastRow="0" w:firstColumn="1" w:lastColumn="0" w:oddVBand="0" w:evenVBand="0" w:oddHBand="0" w:evenHBand="0" w:firstRowFirstColumn="0" w:firstRowLastColumn="0" w:lastRowFirstColumn="0" w:lastRowLastColumn="0"/>
            <w:tcW w:w="1606" w:type="dxa"/>
            <w:tcBorders>
              <w:left w:val="single" w:sz="4" w:space="0" w:color="auto"/>
              <w:bottom w:val="nil"/>
              <w:right w:val="single" w:sz="4" w:space="0" w:color="auto"/>
            </w:tcBorders>
            <w:noWrap/>
            <w:hideMark/>
          </w:tcPr>
          <w:p w14:paraId="3D784C28" w14:textId="77777777" w:rsidR="00B86BF1" w:rsidRPr="00A743C9" w:rsidRDefault="00B86BF1" w:rsidP="000376C7">
            <w:pPr>
              <w:rPr>
                <w:rFonts w:eastAsia="Times New Roman" w:cs="Calibri"/>
                <w:color w:val="auto"/>
                <w:sz w:val="16"/>
                <w:szCs w:val="16"/>
              </w:rPr>
            </w:pPr>
            <w:r w:rsidRPr="00A743C9">
              <w:rPr>
                <w:rFonts w:eastAsia="Times New Roman" w:cs="Calibri"/>
                <w:color w:val="auto"/>
                <w:sz w:val="16"/>
                <w:szCs w:val="16"/>
              </w:rPr>
              <w:t>Nepal</w:t>
            </w:r>
          </w:p>
        </w:tc>
        <w:tc>
          <w:tcPr>
            <w:tcW w:w="1119" w:type="dxa"/>
            <w:tcBorders>
              <w:left w:val="single" w:sz="4" w:space="0" w:color="auto"/>
              <w:bottom w:val="nil"/>
            </w:tcBorders>
            <w:noWrap/>
            <w:hideMark/>
          </w:tcPr>
          <w:p w14:paraId="4B0E6C0E"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24.6</w:t>
            </w:r>
          </w:p>
        </w:tc>
        <w:tc>
          <w:tcPr>
            <w:tcW w:w="1119" w:type="dxa"/>
            <w:tcBorders>
              <w:bottom w:val="nil"/>
            </w:tcBorders>
            <w:noWrap/>
            <w:hideMark/>
          </w:tcPr>
          <w:p w14:paraId="0354208B"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37.9</w:t>
            </w:r>
          </w:p>
        </w:tc>
        <w:tc>
          <w:tcPr>
            <w:tcW w:w="1119" w:type="dxa"/>
            <w:tcBorders>
              <w:bottom w:val="nil"/>
              <w:right w:val="single" w:sz="4" w:space="0" w:color="auto"/>
            </w:tcBorders>
            <w:noWrap/>
            <w:hideMark/>
          </w:tcPr>
          <w:p w14:paraId="4D712499"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12.9</w:t>
            </w:r>
          </w:p>
        </w:tc>
        <w:tc>
          <w:tcPr>
            <w:tcW w:w="1119" w:type="dxa"/>
            <w:tcBorders>
              <w:left w:val="single" w:sz="4" w:space="0" w:color="auto"/>
              <w:bottom w:val="nil"/>
            </w:tcBorders>
            <w:noWrap/>
            <w:hideMark/>
          </w:tcPr>
          <w:p w14:paraId="0895F2F4"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18.1</w:t>
            </w:r>
          </w:p>
        </w:tc>
        <w:tc>
          <w:tcPr>
            <w:tcW w:w="1118" w:type="dxa"/>
            <w:tcBorders>
              <w:bottom w:val="nil"/>
            </w:tcBorders>
            <w:noWrap/>
            <w:hideMark/>
          </w:tcPr>
          <w:p w14:paraId="7B963E4C"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27.7</w:t>
            </w:r>
          </w:p>
        </w:tc>
        <w:tc>
          <w:tcPr>
            <w:tcW w:w="1118" w:type="dxa"/>
            <w:tcBorders>
              <w:bottom w:val="nil"/>
              <w:right w:val="single" w:sz="4" w:space="0" w:color="auto"/>
            </w:tcBorders>
            <w:noWrap/>
            <w:hideMark/>
          </w:tcPr>
          <w:p w14:paraId="4DE0EAA3"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9.6</w:t>
            </w:r>
          </w:p>
        </w:tc>
        <w:tc>
          <w:tcPr>
            <w:tcW w:w="1118" w:type="dxa"/>
            <w:tcBorders>
              <w:left w:val="single" w:sz="4" w:space="0" w:color="auto"/>
              <w:bottom w:val="nil"/>
            </w:tcBorders>
            <w:noWrap/>
            <w:hideMark/>
          </w:tcPr>
          <w:p w14:paraId="489640F6"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20.5</w:t>
            </w:r>
          </w:p>
        </w:tc>
        <w:tc>
          <w:tcPr>
            <w:tcW w:w="1118" w:type="dxa"/>
            <w:tcBorders>
              <w:bottom w:val="nil"/>
            </w:tcBorders>
            <w:noWrap/>
            <w:hideMark/>
          </w:tcPr>
          <w:p w14:paraId="4746FDBA"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32.1</w:t>
            </w:r>
          </w:p>
        </w:tc>
        <w:tc>
          <w:tcPr>
            <w:tcW w:w="1118" w:type="dxa"/>
            <w:tcBorders>
              <w:bottom w:val="nil"/>
              <w:right w:val="single" w:sz="4" w:space="0" w:color="auto"/>
            </w:tcBorders>
            <w:noWrap/>
            <w:hideMark/>
          </w:tcPr>
          <w:p w14:paraId="098092AE"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10.3</w:t>
            </w:r>
          </w:p>
        </w:tc>
        <w:tc>
          <w:tcPr>
            <w:tcW w:w="1118" w:type="dxa"/>
            <w:tcBorders>
              <w:left w:val="single" w:sz="4" w:space="0" w:color="auto"/>
              <w:bottom w:val="nil"/>
            </w:tcBorders>
            <w:noWrap/>
            <w:hideMark/>
          </w:tcPr>
          <w:p w14:paraId="2487C2FA"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16.9</w:t>
            </w:r>
          </w:p>
        </w:tc>
        <w:tc>
          <w:tcPr>
            <w:tcW w:w="1118" w:type="dxa"/>
            <w:tcBorders>
              <w:bottom w:val="nil"/>
            </w:tcBorders>
            <w:noWrap/>
            <w:hideMark/>
          </w:tcPr>
          <w:p w14:paraId="074FB948"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26.4</w:t>
            </w:r>
          </w:p>
        </w:tc>
        <w:tc>
          <w:tcPr>
            <w:tcW w:w="1118" w:type="dxa"/>
            <w:tcBorders>
              <w:bottom w:val="nil"/>
              <w:right w:val="single" w:sz="4" w:space="0" w:color="auto"/>
            </w:tcBorders>
            <w:noWrap/>
            <w:hideMark/>
          </w:tcPr>
          <w:p w14:paraId="1883A513"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8.6</w:t>
            </w:r>
          </w:p>
        </w:tc>
      </w:tr>
      <w:tr w:rsidR="00B86BF1" w:rsidRPr="00A743C9" w14:paraId="271C95F4" w14:textId="77777777" w:rsidTr="000376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6" w:type="dxa"/>
            <w:tcBorders>
              <w:left w:val="single" w:sz="4" w:space="0" w:color="auto"/>
              <w:bottom w:val="nil"/>
              <w:right w:val="single" w:sz="4" w:space="0" w:color="auto"/>
            </w:tcBorders>
            <w:noWrap/>
            <w:hideMark/>
          </w:tcPr>
          <w:p w14:paraId="493289DC" w14:textId="77777777" w:rsidR="00B86BF1" w:rsidRPr="00A743C9" w:rsidRDefault="00B86BF1" w:rsidP="000376C7">
            <w:pPr>
              <w:rPr>
                <w:rFonts w:eastAsia="Times New Roman" w:cs="Calibri"/>
                <w:color w:val="auto"/>
                <w:sz w:val="16"/>
                <w:szCs w:val="16"/>
              </w:rPr>
            </w:pPr>
            <w:r w:rsidRPr="00A743C9">
              <w:rPr>
                <w:rFonts w:eastAsia="Times New Roman" w:cs="Calibri"/>
                <w:color w:val="auto"/>
                <w:sz w:val="16"/>
                <w:szCs w:val="16"/>
              </w:rPr>
              <w:t>Netherlands</w:t>
            </w:r>
          </w:p>
        </w:tc>
        <w:tc>
          <w:tcPr>
            <w:tcW w:w="1119" w:type="dxa"/>
            <w:tcBorders>
              <w:left w:val="single" w:sz="4" w:space="0" w:color="auto"/>
              <w:bottom w:val="nil"/>
            </w:tcBorders>
            <w:noWrap/>
            <w:hideMark/>
          </w:tcPr>
          <w:p w14:paraId="32DF9411"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25.7</w:t>
            </w:r>
          </w:p>
        </w:tc>
        <w:tc>
          <w:tcPr>
            <w:tcW w:w="1119" w:type="dxa"/>
            <w:tcBorders>
              <w:bottom w:val="nil"/>
            </w:tcBorders>
            <w:noWrap/>
            <w:hideMark/>
          </w:tcPr>
          <w:p w14:paraId="46400D2B"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27.3</w:t>
            </w:r>
          </w:p>
        </w:tc>
        <w:tc>
          <w:tcPr>
            <w:tcW w:w="1119" w:type="dxa"/>
            <w:tcBorders>
              <w:bottom w:val="nil"/>
              <w:right w:val="single" w:sz="4" w:space="0" w:color="auto"/>
            </w:tcBorders>
            <w:noWrap/>
            <w:hideMark/>
          </w:tcPr>
          <w:p w14:paraId="2245FEEB"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24.2</w:t>
            </w:r>
          </w:p>
        </w:tc>
        <w:tc>
          <w:tcPr>
            <w:tcW w:w="1119" w:type="dxa"/>
            <w:tcBorders>
              <w:left w:val="single" w:sz="4" w:space="0" w:color="auto"/>
              <w:bottom w:val="nil"/>
            </w:tcBorders>
            <w:noWrap/>
            <w:hideMark/>
          </w:tcPr>
          <w:p w14:paraId="72513E1B"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19.6</w:t>
            </w:r>
          </w:p>
        </w:tc>
        <w:tc>
          <w:tcPr>
            <w:tcW w:w="1118" w:type="dxa"/>
            <w:tcBorders>
              <w:bottom w:val="nil"/>
            </w:tcBorders>
            <w:noWrap/>
            <w:hideMark/>
          </w:tcPr>
          <w:p w14:paraId="31C88F9D"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20.6</w:t>
            </w:r>
          </w:p>
        </w:tc>
        <w:tc>
          <w:tcPr>
            <w:tcW w:w="1118" w:type="dxa"/>
            <w:tcBorders>
              <w:bottom w:val="nil"/>
              <w:right w:val="single" w:sz="4" w:space="0" w:color="auto"/>
            </w:tcBorders>
            <w:noWrap/>
            <w:hideMark/>
          </w:tcPr>
          <w:p w14:paraId="763A52F9"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18.6</w:t>
            </w:r>
          </w:p>
        </w:tc>
        <w:tc>
          <w:tcPr>
            <w:tcW w:w="1118" w:type="dxa"/>
            <w:tcBorders>
              <w:left w:val="single" w:sz="4" w:space="0" w:color="auto"/>
              <w:bottom w:val="nil"/>
            </w:tcBorders>
            <w:noWrap/>
            <w:hideMark/>
          </w:tcPr>
          <w:p w14:paraId="368E0B9A"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21.1</w:t>
            </w:r>
          </w:p>
        </w:tc>
        <w:tc>
          <w:tcPr>
            <w:tcW w:w="1118" w:type="dxa"/>
            <w:tcBorders>
              <w:bottom w:val="nil"/>
            </w:tcBorders>
            <w:noWrap/>
            <w:hideMark/>
          </w:tcPr>
          <w:p w14:paraId="025FD137"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22.4</w:t>
            </w:r>
          </w:p>
        </w:tc>
        <w:tc>
          <w:tcPr>
            <w:tcW w:w="1118" w:type="dxa"/>
            <w:tcBorders>
              <w:bottom w:val="nil"/>
              <w:right w:val="single" w:sz="4" w:space="0" w:color="auto"/>
            </w:tcBorders>
            <w:noWrap/>
            <w:hideMark/>
          </w:tcPr>
          <w:p w14:paraId="30E9DC49"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19.8</w:t>
            </w:r>
          </w:p>
        </w:tc>
        <w:tc>
          <w:tcPr>
            <w:tcW w:w="1118" w:type="dxa"/>
            <w:tcBorders>
              <w:left w:val="single" w:sz="4" w:space="0" w:color="auto"/>
              <w:bottom w:val="nil"/>
            </w:tcBorders>
            <w:noWrap/>
            <w:hideMark/>
          </w:tcPr>
          <w:p w14:paraId="16B4A3EE"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18.8</w:t>
            </w:r>
          </w:p>
        </w:tc>
        <w:tc>
          <w:tcPr>
            <w:tcW w:w="1118" w:type="dxa"/>
            <w:tcBorders>
              <w:bottom w:val="nil"/>
            </w:tcBorders>
            <w:noWrap/>
            <w:hideMark/>
          </w:tcPr>
          <w:p w14:paraId="2B01AFEA"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20</w:t>
            </w:r>
          </w:p>
        </w:tc>
        <w:tc>
          <w:tcPr>
            <w:tcW w:w="1118" w:type="dxa"/>
            <w:tcBorders>
              <w:bottom w:val="nil"/>
              <w:right w:val="single" w:sz="4" w:space="0" w:color="auto"/>
            </w:tcBorders>
            <w:noWrap/>
            <w:hideMark/>
          </w:tcPr>
          <w:p w14:paraId="7AC65E4C"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17.7</w:t>
            </w:r>
          </w:p>
        </w:tc>
      </w:tr>
      <w:tr w:rsidR="00B86BF1" w:rsidRPr="00A743C9" w14:paraId="09838C15" w14:textId="77777777" w:rsidTr="000376C7">
        <w:trPr>
          <w:trHeight w:val="300"/>
        </w:trPr>
        <w:tc>
          <w:tcPr>
            <w:cnfStyle w:val="001000000000" w:firstRow="0" w:lastRow="0" w:firstColumn="1" w:lastColumn="0" w:oddVBand="0" w:evenVBand="0" w:oddHBand="0" w:evenHBand="0" w:firstRowFirstColumn="0" w:firstRowLastColumn="0" w:lastRowFirstColumn="0" w:lastRowLastColumn="0"/>
            <w:tcW w:w="1606" w:type="dxa"/>
            <w:tcBorders>
              <w:left w:val="single" w:sz="4" w:space="0" w:color="auto"/>
              <w:bottom w:val="nil"/>
              <w:right w:val="single" w:sz="4" w:space="0" w:color="auto"/>
            </w:tcBorders>
            <w:noWrap/>
            <w:hideMark/>
          </w:tcPr>
          <w:p w14:paraId="0EB16D5D" w14:textId="77777777" w:rsidR="00B86BF1" w:rsidRPr="00A743C9" w:rsidRDefault="00B86BF1" w:rsidP="000376C7">
            <w:pPr>
              <w:rPr>
                <w:rFonts w:eastAsia="Times New Roman" w:cs="Calibri"/>
                <w:color w:val="auto"/>
                <w:sz w:val="16"/>
                <w:szCs w:val="16"/>
              </w:rPr>
            </w:pPr>
            <w:r w:rsidRPr="00A743C9">
              <w:rPr>
                <w:rFonts w:eastAsia="Times New Roman" w:cs="Calibri"/>
                <w:color w:val="auto"/>
                <w:sz w:val="16"/>
                <w:szCs w:val="16"/>
              </w:rPr>
              <w:t>New Zealand</w:t>
            </w:r>
          </w:p>
        </w:tc>
        <w:tc>
          <w:tcPr>
            <w:tcW w:w="1119" w:type="dxa"/>
            <w:tcBorders>
              <w:left w:val="single" w:sz="4" w:space="0" w:color="auto"/>
              <w:bottom w:val="nil"/>
            </w:tcBorders>
            <w:noWrap/>
            <w:hideMark/>
          </w:tcPr>
          <w:p w14:paraId="47BD3358"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17.6</w:t>
            </w:r>
          </w:p>
        </w:tc>
        <w:tc>
          <w:tcPr>
            <w:tcW w:w="1119" w:type="dxa"/>
            <w:tcBorders>
              <w:bottom w:val="nil"/>
            </w:tcBorders>
            <w:noWrap/>
            <w:hideMark/>
          </w:tcPr>
          <w:p w14:paraId="40679767"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18.5</w:t>
            </w:r>
          </w:p>
        </w:tc>
        <w:tc>
          <w:tcPr>
            <w:tcW w:w="1119" w:type="dxa"/>
            <w:tcBorders>
              <w:bottom w:val="nil"/>
              <w:right w:val="single" w:sz="4" w:space="0" w:color="auto"/>
            </w:tcBorders>
            <w:noWrap/>
            <w:hideMark/>
          </w:tcPr>
          <w:p w14:paraId="61281B7D"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16.7</w:t>
            </w:r>
          </w:p>
        </w:tc>
        <w:tc>
          <w:tcPr>
            <w:tcW w:w="1119" w:type="dxa"/>
            <w:tcBorders>
              <w:left w:val="single" w:sz="4" w:space="0" w:color="auto"/>
              <w:bottom w:val="nil"/>
            </w:tcBorders>
            <w:noWrap/>
            <w:hideMark/>
          </w:tcPr>
          <w:p w14:paraId="5AB378C7"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15.5</w:t>
            </w:r>
          </w:p>
        </w:tc>
        <w:tc>
          <w:tcPr>
            <w:tcW w:w="1118" w:type="dxa"/>
            <w:tcBorders>
              <w:bottom w:val="nil"/>
            </w:tcBorders>
            <w:noWrap/>
            <w:hideMark/>
          </w:tcPr>
          <w:p w14:paraId="322D597D"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16.4</w:t>
            </w:r>
          </w:p>
        </w:tc>
        <w:tc>
          <w:tcPr>
            <w:tcW w:w="1118" w:type="dxa"/>
            <w:tcBorders>
              <w:bottom w:val="nil"/>
              <w:right w:val="single" w:sz="4" w:space="0" w:color="auto"/>
            </w:tcBorders>
            <w:noWrap/>
            <w:hideMark/>
          </w:tcPr>
          <w:p w14:paraId="10CED92B"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14.7</w:t>
            </w:r>
          </w:p>
        </w:tc>
        <w:tc>
          <w:tcPr>
            <w:tcW w:w="1118" w:type="dxa"/>
            <w:tcBorders>
              <w:left w:val="single" w:sz="4" w:space="0" w:color="auto"/>
              <w:bottom w:val="nil"/>
            </w:tcBorders>
            <w:noWrap/>
            <w:hideMark/>
          </w:tcPr>
          <w:p w14:paraId="6A6E0868"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16.7</w:t>
            </w:r>
          </w:p>
        </w:tc>
        <w:tc>
          <w:tcPr>
            <w:tcW w:w="1118" w:type="dxa"/>
            <w:tcBorders>
              <w:bottom w:val="nil"/>
            </w:tcBorders>
            <w:noWrap/>
            <w:hideMark/>
          </w:tcPr>
          <w:p w14:paraId="1A456A0E"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17.6</w:t>
            </w:r>
          </w:p>
        </w:tc>
        <w:tc>
          <w:tcPr>
            <w:tcW w:w="1118" w:type="dxa"/>
            <w:tcBorders>
              <w:bottom w:val="nil"/>
              <w:right w:val="single" w:sz="4" w:space="0" w:color="auto"/>
            </w:tcBorders>
            <w:noWrap/>
            <w:hideMark/>
          </w:tcPr>
          <w:p w14:paraId="7402609E"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15.9</w:t>
            </w:r>
          </w:p>
        </w:tc>
        <w:tc>
          <w:tcPr>
            <w:tcW w:w="1118" w:type="dxa"/>
            <w:tcBorders>
              <w:left w:val="single" w:sz="4" w:space="0" w:color="auto"/>
              <w:bottom w:val="nil"/>
            </w:tcBorders>
            <w:noWrap/>
            <w:hideMark/>
          </w:tcPr>
          <w:p w14:paraId="1A417CD2"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15.1</w:t>
            </w:r>
          </w:p>
        </w:tc>
        <w:tc>
          <w:tcPr>
            <w:tcW w:w="1118" w:type="dxa"/>
            <w:tcBorders>
              <w:bottom w:val="nil"/>
            </w:tcBorders>
            <w:noWrap/>
            <w:hideMark/>
          </w:tcPr>
          <w:p w14:paraId="5D5E3BA9"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15.9</w:t>
            </w:r>
          </w:p>
        </w:tc>
        <w:tc>
          <w:tcPr>
            <w:tcW w:w="1118" w:type="dxa"/>
            <w:tcBorders>
              <w:bottom w:val="nil"/>
              <w:right w:val="single" w:sz="4" w:space="0" w:color="auto"/>
            </w:tcBorders>
            <w:noWrap/>
            <w:hideMark/>
          </w:tcPr>
          <w:p w14:paraId="0323A527"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14.3</w:t>
            </w:r>
          </w:p>
        </w:tc>
      </w:tr>
      <w:tr w:rsidR="00B86BF1" w:rsidRPr="00A743C9" w14:paraId="796A68B7" w14:textId="77777777" w:rsidTr="000376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6" w:type="dxa"/>
            <w:tcBorders>
              <w:left w:val="single" w:sz="4" w:space="0" w:color="auto"/>
              <w:bottom w:val="nil"/>
              <w:right w:val="single" w:sz="4" w:space="0" w:color="auto"/>
            </w:tcBorders>
            <w:noWrap/>
            <w:hideMark/>
          </w:tcPr>
          <w:p w14:paraId="16A1BCFA" w14:textId="77777777" w:rsidR="00B86BF1" w:rsidRPr="00A743C9" w:rsidRDefault="00B86BF1" w:rsidP="000376C7">
            <w:pPr>
              <w:rPr>
                <w:rFonts w:eastAsia="Times New Roman" w:cs="Calibri"/>
                <w:color w:val="auto"/>
                <w:sz w:val="16"/>
                <w:szCs w:val="16"/>
              </w:rPr>
            </w:pPr>
            <w:r w:rsidRPr="00A743C9">
              <w:rPr>
                <w:rFonts w:eastAsia="Times New Roman" w:cs="Calibri"/>
                <w:color w:val="auto"/>
                <w:sz w:val="16"/>
                <w:szCs w:val="16"/>
              </w:rPr>
              <w:t>Niger</w:t>
            </w:r>
          </w:p>
        </w:tc>
        <w:tc>
          <w:tcPr>
            <w:tcW w:w="1119" w:type="dxa"/>
            <w:tcBorders>
              <w:left w:val="single" w:sz="4" w:space="0" w:color="auto"/>
              <w:bottom w:val="nil"/>
            </w:tcBorders>
            <w:noWrap/>
            <w:hideMark/>
          </w:tcPr>
          <w:p w14:paraId="55DB87E5"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8.4</w:t>
            </w:r>
          </w:p>
        </w:tc>
        <w:tc>
          <w:tcPr>
            <w:tcW w:w="1119" w:type="dxa"/>
            <w:tcBorders>
              <w:bottom w:val="nil"/>
            </w:tcBorders>
            <w:noWrap/>
            <w:hideMark/>
          </w:tcPr>
          <w:p w14:paraId="61F938EA"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16.7</w:t>
            </w:r>
          </w:p>
        </w:tc>
        <w:tc>
          <w:tcPr>
            <w:tcW w:w="1119" w:type="dxa"/>
            <w:tcBorders>
              <w:bottom w:val="nil"/>
              <w:right w:val="single" w:sz="4" w:space="0" w:color="auto"/>
            </w:tcBorders>
            <w:noWrap/>
            <w:hideMark/>
          </w:tcPr>
          <w:p w14:paraId="31094D90"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0.2</w:t>
            </w:r>
          </w:p>
        </w:tc>
        <w:tc>
          <w:tcPr>
            <w:tcW w:w="1119" w:type="dxa"/>
            <w:tcBorders>
              <w:left w:val="single" w:sz="4" w:space="0" w:color="auto"/>
              <w:bottom w:val="nil"/>
            </w:tcBorders>
            <w:noWrap/>
            <w:hideMark/>
          </w:tcPr>
          <w:p w14:paraId="4CF15E03"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6</w:t>
            </w:r>
          </w:p>
        </w:tc>
        <w:tc>
          <w:tcPr>
            <w:tcW w:w="1118" w:type="dxa"/>
            <w:tcBorders>
              <w:bottom w:val="nil"/>
            </w:tcBorders>
            <w:noWrap/>
            <w:hideMark/>
          </w:tcPr>
          <w:p w14:paraId="62B0649E"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11.8</w:t>
            </w:r>
          </w:p>
        </w:tc>
        <w:tc>
          <w:tcPr>
            <w:tcW w:w="1118" w:type="dxa"/>
            <w:tcBorders>
              <w:bottom w:val="nil"/>
              <w:right w:val="single" w:sz="4" w:space="0" w:color="auto"/>
            </w:tcBorders>
            <w:noWrap/>
            <w:hideMark/>
          </w:tcPr>
          <w:p w14:paraId="2410DED6"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0.2</w:t>
            </w:r>
          </w:p>
        </w:tc>
        <w:tc>
          <w:tcPr>
            <w:tcW w:w="1118" w:type="dxa"/>
            <w:tcBorders>
              <w:left w:val="single" w:sz="4" w:space="0" w:color="auto"/>
              <w:bottom w:val="nil"/>
            </w:tcBorders>
            <w:noWrap/>
            <w:hideMark/>
          </w:tcPr>
          <w:p w14:paraId="36417EA0"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6.3</w:t>
            </w:r>
          </w:p>
        </w:tc>
        <w:tc>
          <w:tcPr>
            <w:tcW w:w="1118" w:type="dxa"/>
            <w:tcBorders>
              <w:bottom w:val="nil"/>
            </w:tcBorders>
            <w:noWrap/>
            <w:hideMark/>
          </w:tcPr>
          <w:p w14:paraId="09A39386"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12.6</w:t>
            </w:r>
          </w:p>
        </w:tc>
        <w:tc>
          <w:tcPr>
            <w:tcW w:w="1118" w:type="dxa"/>
            <w:tcBorders>
              <w:bottom w:val="nil"/>
              <w:right w:val="single" w:sz="4" w:space="0" w:color="auto"/>
            </w:tcBorders>
            <w:noWrap/>
            <w:hideMark/>
          </w:tcPr>
          <w:p w14:paraId="635F3586"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0</w:t>
            </w:r>
          </w:p>
        </w:tc>
        <w:tc>
          <w:tcPr>
            <w:tcW w:w="1118" w:type="dxa"/>
            <w:tcBorders>
              <w:left w:val="single" w:sz="4" w:space="0" w:color="auto"/>
              <w:bottom w:val="nil"/>
            </w:tcBorders>
            <w:noWrap/>
            <w:hideMark/>
          </w:tcPr>
          <w:p w14:paraId="56953836"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5.6</w:t>
            </w:r>
          </w:p>
        </w:tc>
        <w:tc>
          <w:tcPr>
            <w:tcW w:w="1118" w:type="dxa"/>
            <w:tcBorders>
              <w:bottom w:val="nil"/>
            </w:tcBorders>
            <w:noWrap/>
            <w:hideMark/>
          </w:tcPr>
          <w:p w14:paraId="359A43FD"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11.3</w:t>
            </w:r>
          </w:p>
        </w:tc>
        <w:tc>
          <w:tcPr>
            <w:tcW w:w="1118" w:type="dxa"/>
            <w:tcBorders>
              <w:bottom w:val="nil"/>
              <w:right w:val="single" w:sz="4" w:space="0" w:color="auto"/>
            </w:tcBorders>
            <w:noWrap/>
            <w:hideMark/>
          </w:tcPr>
          <w:p w14:paraId="7A2F089D"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0</w:t>
            </w:r>
          </w:p>
        </w:tc>
      </w:tr>
      <w:tr w:rsidR="00B86BF1" w:rsidRPr="00A743C9" w14:paraId="4747C92B" w14:textId="77777777" w:rsidTr="000376C7">
        <w:trPr>
          <w:trHeight w:val="300"/>
        </w:trPr>
        <w:tc>
          <w:tcPr>
            <w:cnfStyle w:val="001000000000" w:firstRow="0" w:lastRow="0" w:firstColumn="1" w:lastColumn="0" w:oddVBand="0" w:evenVBand="0" w:oddHBand="0" w:evenHBand="0" w:firstRowFirstColumn="0" w:firstRowLastColumn="0" w:lastRowFirstColumn="0" w:lastRowLastColumn="0"/>
            <w:tcW w:w="1606" w:type="dxa"/>
            <w:tcBorders>
              <w:left w:val="single" w:sz="4" w:space="0" w:color="auto"/>
              <w:bottom w:val="nil"/>
              <w:right w:val="single" w:sz="4" w:space="0" w:color="auto"/>
            </w:tcBorders>
            <w:noWrap/>
            <w:hideMark/>
          </w:tcPr>
          <w:p w14:paraId="02403416" w14:textId="77777777" w:rsidR="00B86BF1" w:rsidRPr="00A743C9" w:rsidRDefault="00B86BF1" w:rsidP="000376C7">
            <w:pPr>
              <w:rPr>
                <w:rFonts w:eastAsia="Times New Roman" w:cs="Calibri"/>
                <w:color w:val="auto"/>
                <w:sz w:val="16"/>
                <w:szCs w:val="16"/>
              </w:rPr>
            </w:pPr>
            <w:r w:rsidRPr="00A743C9">
              <w:rPr>
                <w:rFonts w:eastAsia="Times New Roman" w:cs="Calibri"/>
                <w:color w:val="auto"/>
                <w:sz w:val="16"/>
                <w:szCs w:val="16"/>
              </w:rPr>
              <w:t>Nigeria</w:t>
            </w:r>
          </w:p>
        </w:tc>
        <w:tc>
          <w:tcPr>
            <w:tcW w:w="1119" w:type="dxa"/>
            <w:tcBorders>
              <w:left w:val="single" w:sz="4" w:space="0" w:color="auto"/>
              <w:bottom w:val="nil"/>
            </w:tcBorders>
            <w:noWrap/>
            <w:hideMark/>
          </w:tcPr>
          <w:p w14:paraId="741AF05A"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8.9</w:t>
            </w:r>
          </w:p>
        </w:tc>
        <w:tc>
          <w:tcPr>
            <w:tcW w:w="1119" w:type="dxa"/>
            <w:tcBorders>
              <w:bottom w:val="nil"/>
            </w:tcBorders>
            <w:noWrap/>
            <w:hideMark/>
          </w:tcPr>
          <w:p w14:paraId="4883AE06"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16.4</w:t>
            </w:r>
          </w:p>
        </w:tc>
        <w:tc>
          <w:tcPr>
            <w:tcW w:w="1119" w:type="dxa"/>
            <w:tcBorders>
              <w:bottom w:val="nil"/>
              <w:right w:val="single" w:sz="4" w:space="0" w:color="auto"/>
            </w:tcBorders>
            <w:noWrap/>
            <w:hideMark/>
          </w:tcPr>
          <w:p w14:paraId="7EB7FA5C"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1.2</w:t>
            </w:r>
          </w:p>
        </w:tc>
        <w:tc>
          <w:tcPr>
            <w:tcW w:w="1119" w:type="dxa"/>
            <w:tcBorders>
              <w:left w:val="single" w:sz="4" w:space="0" w:color="auto"/>
              <w:bottom w:val="nil"/>
            </w:tcBorders>
            <w:noWrap/>
            <w:hideMark/>
          </w:tcPr>
          <w:p w14:paraId="730CA7FC"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7</w:t>
            </w:r>
          </w:p>
        </w:tc>
        <w:tc>
          <w:tcPr>
            <w:tcW w:w="1118" w:type="dxa"/>
            <w:tcBorders>
              <w:bottom w:val="nil"/>
            </w:tcBorders>
            <w:noWrap/>
            <w:hideMark/>
          </w:tcPr>
          <w:p w14:paraId="47956575"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13</w:t>
            </w:r>
          </w:p>
        </w:tc>
        <w:tc>
          <w:tcPr>
            <w:tcW w:w="1118" w:type="dxa"/>
            <w:tcBorders>
              <w:bottom w:val="nil"/>
              <w:right w:val="single" w:sz="4" w:space="0" w:color="auto"/>
            </w:tcBorders>
            <w:noWrap/>
            <w:hideMark/>
          </w:tcPr>
          <w:p w14:paraId="49621D88"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0.9</w:t>
            </w:r>
          </w:p>
        </w:tc>
        <w:tc>
          <w:tcPr>
            <w:tcW w:w="1118" w:type="dxa"/>
            <w:tcBorders>
              <w:left w:val="single" w:sz="4" w:space="0" w:color="auto"/>
              <w:bottom w:val="nil"/>
            </w:tcBorders>
            <w:noWrap/>
            <w:hideMark/>
          </w:tcPr>
          <w:p w14:paraId="5413D70D"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5.7</w:t>
            </w:r>
          </w:p>
        </w:tc>
        <w:tc>
          <w:tcPr>
            <w:tcW w:w="1118" w:type="dxa"/>
            <w:tcBorders>
              <w:bottom w:val="nil"/>
            </w:tcBorders>
            <w:noWrap/>
            <w:hideMark/>
          </w:tcPr>
          <w:p w14:paraId="182DF61A"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10.9</w:t>
            </w:r>
          </w:p>
        </w:tc>
        <w:tc>
          <w:tcPr>
            <w:tcW w:w="1118" w:type="dxa"/>
            <w:tcBorders>
              <w:bottom w:val="nil"/>
              <w:right w:val="single" w:sz="4" w:space="0" w:color="auto"/>
            </w:tcBorders>
            <w:noWrap/>
            <w:hideMark/>
          </w:tcPr>
          <w:p w14:paraId="3646F7E5"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0.3</w:t>
            </w:r>
          </w:p>
        </w:tc>
        <w:tc>
          <w:tcPr>
            <w:tcW w:w="1118" w:type="dxa"/>
            <w:tcBorders>
              <w:left w:val="single" w:sz="4" w:space="0" w:color="auto"/>
              <w:bottom w:val="nil"/>
            </w:tcBorders>
            <w:noWrap/>
            <w:hideMark/>
          </w:tcPr>
          <w:p w14:paraId="5BA0EBB9"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4.8</w:t>
            </w:r>
          </w:p>
        </w:tc>
        <w:tc>
          <w:tcPr>
            <w:tcW w:w="1118" w:type="dxa"/>
            <w:tcBorders>
              <w:bottom w:val="nil"/>
            </w:tcBorders>
            <w:noWrap/>
            <w:hideMark/>
          </w:tcPr>
          <w:p w14:paraId="478008C0"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9.2</w:t>
            </w:r>
          </w:p>
        </w:tc>
        <w:tc>
          <w:tcPr>
            <w:tcW w:w="1118" w:type="dxa"/>
            <w:tcBorders>
              <w:bottom w:val="nil"/>
              <w:right w:val="single" w:sz="4" w:space="0" w:color="auto"/>
            </w:tcBorders>
            <w:noWrap/>
            <w:hideMark/>
          </w:tcPr>
          <w:p w14:paraId="15DC80D9"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0.2</w:t>
            </w:r>
          </w:p>
        </w:tc>
      </w:tr>
      <w:tr w:rsidR="00B86BF1" w:rsidRPr="00A743C9" w14:paraId="0396D9F2" w14:textId="77777777" w:rsidTr="000376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6" w:type="dxa"/>
            <w:tcBorders>
              <w:left w:val="single" w:sz="4" w:space="0" w:color="auto"/>
              <w:bottom w:val="nil"/>
              <w:right w:val="single" w:sz="4" w:space="0" w:color="auto"/>
            </w:tcBorders>
            <w:noWrap/>
            <w:hideMark/>
          </w:tcPr>
          <w:p w14:paraId="27FD4346" w14:textId="77777777" w:rsidR="00B86BF1" w:rsidRPr="00A743C9" w:rsidRDefault="00B86BF1" w:rsidP="000376C7">
            <w:pPr>
              <w:rPr>
                <w:rFonts w:eastAsia="Times New Roman" w:cs="Calibri"/>
                <w:color w:val="auto"/>
                <w:sz w:val="16"/>
                <w:szCs w:val="16"/>
              </w:rPr>
            </w:pPr>
            <w:r w:rsidRPr="00A743C9">
              <w:rPr>
                <w:rFonts w:eastAsia="Times New Roman" w:cs="Calibri"/>
                <w:color w:val="auto"/>
                <w:sz w:val="16"/>
                <w:szCs w:val="16"/>
              </w:rPr>
              <w:t>Niue</w:t>
            </w:r>
          </w:p>
        </w:tc>
        <w:tc>
          <w:tcPr>
            <w:tcW w:w="1119" w:type="dxa"/>
            <w:tcBorders>
              <w:left w:val="single" w:sz="4" w:space="0" w:color="auto"/>
              <w:bottom w:val="nil"/>
            </w:tcBorders>
            <w:noWrap/>
            <w:hideMark/>
          </w:tcPr>
          <w:p w14:paraId="3A0AA74D"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16.6</w:t>
            </w:r>
          </w:p>
        </w:tc>
        <w:tc>
          <w:tcPr>
            <w:tcW w:w="1119" w:type="dxa"/>
            <w:tcBorders>
              <w:bottom w:val="nil"/>
            </w:tcBorders>
            <w:noWrap/>
            <w:hideMark/>
          </w:tcPr>
          <w:p w14:paraId="45C10AC4"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21.5</w:t>
            </w:r>
          </w:p>
        </w:tc>
        <w:tc>
          <w:tcPr>
            <w:tcW w:w="1119" w:type="dxa"/>
            <w:tcBorders>
              <w:bottom w:val="nil"/>
              <w:right w:val="single" w:sz="4" w:space="0" w:color="auto"/>
            </w:tcBorders>
            <w:noWrap/>
            <w:hideMark/>
          </w:tcPr>
          <w:p w14:paraId="19C6DA38"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11.8</w:t>
            </w:r>
          </w:p>
        </w:tc>
        <w:tc>
          <w:tcPr>
            <w:tcW w:w="1119" w:type="dxa"/>
            <w:tcBorders>
              <w:left w:val="single" w:sz="4" w:space="0" w:color="auto"/>
              <w:bottom w:val="nil"/>
            </w:tcBorders>
            <w:noWrap/>
            <w:hideMark/>
          </w:tcPr>
          <w:p w14:paraId="7CAE6816"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11.7</w:t>
            </w:r>
          </w:p>
        </w:tc>
        <w:tc>
          <w:tcPr>
            <w:tcW w:w="1118" w:type="dxa"/>
            <w:tcBorders>
              <w:bottom w:val="nil"/>
            </w:tcBorders>
            <w:noWrap/>
            <w:hideMark/>
          </w:tcPr>
          <w:p w14:paraId="49DC1AB7"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15.6</w:t>
            </w:r>
          </w:p>
        </w:tc>
        <w:tc>
          <w:tcPr>
            <w:tcW w:w="1118" w:type="dxa"/>
            <w:tcBorders>
              <w:bottom w:val="nil"/>
              <w:right w:val="single" w:sz="4" w:space="0" w:color="auto"/>
            </w:tcBorders>
            <w:noWrap/>
            <w:hideMark/>
          </w:tcPr>
          <w:p w14:paraId="1BF9A8BD"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7.9</w:t>
            </w:r>
          </w:p>
        </w:tc>
        <w:tc>
          <w:tcPr>
            <w:tcW w:w="1118" w:type="dxa"/>
            <w:tcBorders>
              <w:left w:val="single" w:sz="4" w:space="0" w:color="auto"/>
              <w:bottom w:val="nil"/>
            </w:tcBorders>
            <w:noWrap/>
            <w:hideMark/>
          </w:tcPr>
          <w:p w14:paraId="53CB0E5C"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13.9</w:t>
            </w:r>
          </w:p>
        </w:tc>
        <w:tc>
          <w:tcPr>
            <w:tcW w:w="1118" w:type="dxa"/>
            <w:tcBorders>
              <w:bottom w:val="nil"/>
            </w:tcBorders>
            <w:noWrap/>
            <w:hideMark/>
          </w:tcPr>
          <w:p w14:paraId="2FF2C600"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18.1</w:t>
            </w:r>
          </w:p>
        </w:tc>
        <w:tc>
          <w:tcPr>
            <w:tcW w:w="1118" w:type="dxa"/>
            <w:tcBorders>
              <w:bottom w:val="nil"/>
              <w:right w:val="single" w:sz="4" w:space="0" w:color="auto"/>
            </w:tcBorders>
            <w:noWrap/>
            <w:hideMark/>
          </w:tcPr>
          <w:p w14:paraId="0FA2BB08"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9.8</w:t>
            </w:r>
          </w:p>
        </w:tc>
        <w:tc>
          <w:tcPr>
            <w:tcW w:w="1118" w:type="dxa"/>
            <w:tcBorders>
              <w:left w:val="single" w:sz="4" w:space="0" w:color="auto"/>
              <w:bottom w:val="nil"/>
            </w:tcBorders>
            <w:noWrap/>
            <w:hideMark/>
          </w:tcPr>
          <w:p w14:paraId="70EDCAE4"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9.3</w:t>
            </w:r>
          </w:p>
        </w:tc>
        <w:tc>
          <w:tcPr>
            <w:tcW w:w="1118" w:type="dxa"/>
            <w:tcBorders>
              <w:bottom w:val="nil"/>
            </w:tcBorders>
            <w:noWrap/>
            <w:hideMark/>
          </w:tcPr>
          <w:p w14:paraId="6D8D7460"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12.1</w:t>
            </w:r>
          </w:p>
        </w:tc>
        <w:tc>
          <w:tcPr>
            <w:tcW w:w="1118" w:type="dxa"/>
            <w:tcBorders>
              <w:bottom w:val="nil"/>
              <w:right w:val="single" w:sz="4" w:space="0" w:color="auto"/>
            </w:tcBorders>
            <w:noWrap/>
            <w:hideMark/>
          </w:tcPr>
          <w:p w14:paraId="66B68846"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6.5</w:t>
            </w:r>
          </w:p>
        </w:tc>
      </w:tr>
      <w:tr w:rsidR="00B86BF1" w:rsidRPr="00A743C9" w14:paraId="37467F54" w14:textId="77777777" w:rsidTr="000376C7">
        <w:trPr>
          <w:trHeight w:val="300"/>
        </w:trPr>
        <w:tc>
          <w:tcPr>
            <w:cnfStyle w:val="001000000000" w:firstRow="0" w:lastRow="0" w:firstColumn="1" w:lastColumn="0" w:oddVBand="0" w:evenVBand="0" w:oddHBand="0" w:evenHBand="0" w:firstRowFirstColumn="0" w:firstRowLastColumn="0" w:lastRowFirstColumn="0" w:lastRowLastColumn="0"/>
            <w:tcW w:w="1606" w:type="dxa"/>
            <w:tcBorders>
              <w:left w:val="single" w:sz="4" w:space="0" w:color="auto"/>
              <w:bottom w:val="nil"/>
              <w:right w:val="single" w:sz="4" w:space="0" w:color="auto"/>
            </w:tcBorders>
            <w:noWrap/>
            <w:hideMark/>
          </w:tcPr>
          <w:p w14:paraId="4D33DDB3" w14:textId="77777777" w:rsidR="00B86BF1" w:rsidRPr="00A743C9" w:rsidRDefault="00B86BF1" w:rsidP="000376C7">
            <w:pPr>
              <w:rPr>
                <w:rFonts w:eastAsia="Times New Roman" w:cs="Calibri"/>
                <w:color w:val="auto"/>
                <w:sz w:val="16"/>
                <w:szCs w:val="16"/>
              </w:rPr>
            </w:pPr>
            <w:r w:rsidRPr="00A743C9">
              <w:rPr>
                <w:rFonts w:eastAsia="Times New Roman" w:cs="Calibri"/>
                <w:color w:val="auto"/>
                <w:sz w:val="16"/>
                <w:szCs w:val="16"/>
              </w:rPr>
              <w:t>Norway</w:t>
            </w:r>
          </w:p>
        </w:tc>
        <w:tc>
          <w:tcPr>
            <w:tcW w:w="1119" w:type="dxa"/>
            <w:tcBorders>
              <w:left w:val="single" w:sz="4" w:space="0" w:color="auto"/>
              <w:bottom w:val="nil"/>
            </w:tcBorders>
            <w:noWrap/>
            <w:hideMark/>
          </w:tcPr>
          <w:p w14:paraId="59CCEC20"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24.1</w:t>
            </w:r>
          </w:p>
        </w:tc>
        <w:tc>
          <w:tcPr>
            <w:tcW w:w="1119" w:type="dxa"/>
            <w:tcBorders>
              <w:bottom w:val="nil"/>
            </w:tcBorders>
            <w:noWrap/>
            <w:hideMark/>
          </w:tcPr>
          <w:p w14:paraId="258B6822"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24.3</w:t>
            </w:r>
          </w:p>
        </w:tc>
        <w:tc>
          <w:tcPr>
            <w:tcW w:w="1119" w:type="dxa"/>
            <w:tcBorders>
              <w:bottom w:val="nil"/>
              <w:right w:val="single" w:sz="4" w:space="0" w:color="auto"/>
            </w:tcBorders>
            <w:noWrap/>
            <w:hideMark/>
          </w:tcPr>
          <w:p w14:paraId="7026B864"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23.9</w:t>
            </w:r>
          </w:p>
        </w:tc>
        <w:tc>
          <w:tcPr>
            <w:tcW w:w="1119" w:type="dxa"/>
            <w:tcBorders>
              <w:left w:val="single" w:sz="4" w:space="0" w:color="auto"/>
              <w:bottom w:val="nil"/>
            </w:tcBorders>
            <w:noWrap/>
            <w:hideMark/>
          </w:tcPr>
          <w:p w14:paraId="187CBE94"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17.2</w:t>
            </w:r>
          </w:p>
        </w:tc>
        <w:tc>
          <w:tcPr>
            <w:tcW w:w="1118" w:type="dxa"/>
            <w:tcBorders>
              <w:bottom w:val="nil"/>
            </w:tcBorders>
            <w:noWrap/>
            <w:hideMark/>
          </w:tcPr>
          <w:p w14:paraId="04A7FD20"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17.2</w:t>
            </w:r>
          </w:p>
        </w:tc>
        <w:tc>
          <w:tcPr>
            <w:tcW w:w="1118" w:type="dxa"/>
            <w:tcBorders>
              <w:bottom w:val="nil"/>
              <w:right w:val="single" w:sz="4" w:space="0" w:color="auto"/>
            </w:tcBorders>
            <w:noWrap/>
            <w:hideMark/>
          </w:tcPr>
          <w:p w14:paraId="3BA6616F"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17.2</w:t>
            </w:r>
          </w:p>
        </w:tc>
        <w:tc>
          <w:tcPr>
            <w:tcW w:w="1118" w:type="dxa"/>
            <w:tcBorders>
              <w:left w:val="single" w:sz="4" w:space="0" w:color="auto"/>
              <w:bottom w:val="nil"/>
            </w:tcBorders>
            <w:noWrap/>
            <w:hideMark/>
          </w:tcPr>
          <w:p w14:paraId="78F4AAA0"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18.9</w:t>
            </w:r>
          </w:p>
        </w:tc>
        <w:tc>
          <w:tcPr>
            <w:tcW w:w="1118" w:type="dxa"/>
            <w:tcBorders>
              <w:bottom w:val="nil"/>
            </w:tcBorders>
            <w:noWrap/>
            <w:hideMark/>
          </w:tcPr>
          <w:p w14:paraId="5D42AB04"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18.9</w:t>
            </w:r>
          </w:p>
        </w:tc>
        <w:tc>
          <w:tcPr>
            <w:tcW w:w="1118" w:type="dxa"/>
            <w:tcBorders>
              <w:bottom w:val="nil"/>
              <w:right w:val="single" w:sz="4" w:space="0" w:color="auto"/>
            </w:tcBorders>
            <w:noWrap/>
            <w:hideMark/>
          </w:tcPr>
          <w:p w14:paraId="61A7B20F"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18.9</w:t>
            </w:r>
          </w:p>
        </w:tc>
        <w:tc>
          <w:tcPr>
            <w:tcW w:w="1118" w:type="dxa"/>
            <w:tcBorders>
              <w:left w:val="single" w:sz="4" w:space="0" w:color="auto"/>
              <w:bottom w:val="nil"/>
            </w:tcBorders>
            <w:noWrap/>
            <w:hideMark/>
          </w:tcPr>
          <w:p w14:paraId="7966E215"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14.7</w:t>
            </w:r>
          </w:p>
        </w:tc>
        <w:tc>
          <w:tcPr>
            <w:tcW w:w="1118" w:type="dxa"/>
            <w:tcBorders>
              <w:bottom w:val="nil"/>
            </w:tcBorders>
            <w:noWrap/>
            <w:hideMark/>
          </w:tcPr>
          <w:p w14:paraId="7AFC2A66"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14.5</w:t>
            </w:r>
          </w:p>
        </w:tc>
        <w:tc>
          <w:tcPr>
            <w:tcW w:w="1118" w:type="dxa"/>
            <w:tcBorders>
              <w:bottom w:val="nil"/>
              <w:right w:val="single" w:sz="4" w:space="0" w:color="auto"/>
            </w:tcBorders>
            <w:noWrap/>
            <w:hideMark/>
          </w:tcPr>
          <w:p w14:paraId="36F3851D"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15</w:t>
            </w:r>
          </w:p>
        </w:tc>
      </w:tr>
      <w:tr w:rsidR="00B86BF1" w:rsidRPr="00A743C9" w14:paraId="73359540" w14:textId="77777777" w:rsidTr="000376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6" w:type="dxa"/>
            <w:tcBorders>
              <w:left w:val="single" w:sz="4" w:space="0" w:color="auto"/>
              <w:bottom w:val="nil"/>
              <w:right w:val="single" w:sz="4" w:space="0" w:color="auto"/>
            </w:tcBorders>
            <w:noWrap/>
            <w:hideMark/>
          </w:tcPr>
          <w:p w14:paraId="268F9288" w14:textId="77777777" w:rsidR="00B86BF1" w:rsidRPr="00A743C9" w:rsidRDefault="00B86BF1" w:rsidP="000376C7">
            <w:pPr>
              <w:rPr>
                <w:rFonts w:eastAsia="Times New Roman" w:cs="Calibri"/>
                <w:color w:val="auto"/>
                <w:sz w:val="16"/>
                <w:szCs w:val="16"/>
              </w:rPr>
            </w:pPr>
            <w:r w:rsidRPr="00A743C9">
              <w:rPr>
                <w:rFonts w:eastAsia="Times New Roman" w:cs="Calibri"/>
                <w:color w:val="auto"/>
                <w:sz w:val="16"/>
                <w:szCs w:val="16"/>
              </w:rPr>
              <w:t>Oman</w:t>
            </w:r>
          </w:p>
        </w:tc>
        <w:tc>
          <w:tcPr>
            <w:tcW w:w="1119" w:type="dxa"/>
            <w:tcBorders>
              <w:left w:val="single" w:sz="4" w:space="0" w:color="auto"/>
              <w:bottom w:val="nil"/>
            </w:tcBorders>
            <w:noWrap/>
            <w:hideMark/>
          </w:tcPr>
          <w:p w14:paraId="6CF53D27"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13.5</w:t>
            </w:r>
          </w:p>
        </w:tc>
        <w:tc>
          <w:tcPr>
            <w:tcW w:w="1119" w:type="dxa"/>
            <w:tcBorders>
              <w:bottom w:val="nil"/>
            </w:tcBorders>
            <w:noWrap/>
            <w:hideMark/>
          </w:tcPr>
          <w:p w14:paraId="1737E187"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19.5</w:t>
            </w:r>
          </w:p>
        </w:tc>
        <w:tc>
          <w:tcPr>
            <w:tcW w:w="1119" w:type="dxa"/>
            <w:tcBorders>
              <w:bottom w:val="nil"/>
              <w:right w:val="single" w:sz="4" w:space="0" w:color="auto"/>
            </w:tcBorders>
            <w:noWrap/>
            <w:hideMark/>
          </w:tcPr>
          <w:p w14:paraId="55D3C24C"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w:t>
            </w:r>
          </w:p>
        </w:tc>
        <w:tc>
          <w:tcPr>
            <w:tcW w:w="1119" w:type="dxa"/>
            <w:tcBorders>
              <w:left w:val="single" w:sz="4" w:space="0" w:color="auto"/>
              <w:bottom w:val="nil"/>
            </w:tcBorders>
            <w:noWrap/>
            <w:hideMark/>
          </w:tcPr>
          <w:p w14:paraId="37D1B7AD"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10.9</w:t>
            </w:r>
          </w:p>
        </w:tc>
        <w:tc>
          <w:tcPr>
            <w:tcW w:w="1118" w:type="dxa"/>
            <w:tcBorders>
              <w:bottom w:val="nil"/>
            </w:tcBorders>
            <w:noWrap/>
            <w:hideMark/>
          </w:tcPr>
          <w:p w14:paraId="03802811"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15.8</w:t>
            </w:r>
          </w:p>
        </w:tc>
        <w:tc>
          <w:tcPr>
            <w:tcW w:w="1118" w:type="dxa"/>
            <w:tcBorders>
              <w:bottom w:val="nil"/>
              <w:right w:val="single" w:sz="4" w:space="0" w:color="auto"/>
            </w:tcBorders>
            <w:noWrap/>
            <w:hideMark/>
          </w:tcPr>
          <w:p w14:paraId="668DBAD6"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0.7</w:t>
            </w:r>
          </w:p>
        </w:tc>
        <w:tc>
          <w:tcPr>
            <w:tcW w:w="1118" w:type="dxa"/>
            <w:tcBorders>
              <w:left w:val="single" w:sz="4" w:space="0" w:color="auto"/>
              <w:bottom w:val="nil"/>
            </w:tcBorders>
            <w:noWrap/>
            <w:hideMark/>
          </w:tcPr>
          <w:p w14:paraId="66459974"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10.5</w:t>
            </w:r>
          </w:p>
        </w:tc>
        <w:tc>
          <w:tcPr>
            <w:tcW w:w="1118" w:type="dxa"/>
            <w:tcBorders>
              <w:bottom w:val="nil"/>
            </w:tcBorders>
            <w:noWrap/>
            <w:hideMark/>
          </w:tcPr>
          <w:p w14:paraId="171CDEB2"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15.3</w:t>
            </w:r>
          </w:p>
        </w:tc>
        <w:tc>
          <w:tcPr>
            <w:tcW w:w="1118" w:type="dxa"/>
            <w:tcBorders>
              <w:bottom w:val="nil"/>
              <w:right w:val="single" w:sz="4" w:space="0" w:color="auto"/>
            </w:tcBorders>
            <w:noWrap/>
            <w:hideMark/>
          </w:tcPr>
          <w:p w14:paraId="49980730"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0.5</w:t>
            </w:r>
          </w:p>
        </w:tc>
        <w:tc>
          <w:tcPr>
            <w:tcW w:w="1118" w:type="dxa"/>
            <w:tcBorders>
              <w:left w:val="single" w:sz="4" w:space="0" w:color="auto"/>
              <w:bottom w:val="nil"/>
            </w:tcBorders>
            <w:noWrap/>
            <w:hideMark/>
          </w:tcPr>
          <w:p w14:paraId="6858A2F0"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8.2</w:t>
            </w:r>
          </w:p>
        </w:tc>
        <w:tc>
          <w:tcPr>
            <w:tcW w:w="1118" w:type="dxa"/>
            <w:tcBorders>
              <w:bottom w:val="nil"/>
            </w:tcBorders>
            <w:noWrap/>
            <w:hideMark/>
          </w:tcPr>
          <w:p w14:paraId="2B6FBD9C"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12.1</w:t>
            </w:r>
          </w:p>
        </w:tc>
        <w:tc>
          <w:tcPr>
            <w:tcW w:w="1118" w:type="dxa"/>
            <w:tcBorders>
              <w:bottom w:val="nil"/>
              <w:right w:val="single" w:sz="4" w:space="0" w:color="auto"/>
            </w:tcBorders>
            <w:noWrap/>
            <w:hideMark/>
          </w:tcPr>
          <w:p w14:paraId="78C9DD24"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0.2</w:t>
            </w:r>
          </w:p>
        </w:tc>
      </w:tr>
      <w:tr w:rsidR="00B86BF1" w:rsidRPr="00A743C9" w14:paraId="7D771BF5" w14:textId="77777777" w:rsidTr="000376C7">
        <w:trPr>
          <w:trHeight w:val="300"/>
        </w:trPr>
        <w:tc>
          <w:tcPr>
            <w:cnfStyle w:val="001000000000" w:firstRow="0" w:lastRow="0" w:firstColumn="1" w:lastColumn="0" w:oddVBand="0" w:evenVBand="0" w:oddHBand="0" w:evenHBand="0" w:firstRowFirstColumn="0" w:firstRowLastColumn="0" w:lastRowFirstColumn="0" w:lastRowLastColumn="0"/>
            <w:tcW w:w="1606" w:type="dxa"/>
            <w:tcBorders>
              <w:left w:val="single" w:sz="4" w:space="0" w:color="auto"/>
              <w:bottom w:val="nil"/>
              <w:right w:val="single" w:sz="4" w:space="0" w:color="auto"/>
            </w:tcBorders>
            <w:noWrap/>
            <w:hideMark/>
          </w:tcPr>
          <w:p w14:paraId="69ABBD18" w14:textId="77777777" w:rsidR="00B86BF1" w:rsidRPr="00A743C9" w:rsidRDefault="00B86BF1" w:rsidP="000376C7">
            <w:pPr>
              <w:rPr>
                <w:rFonts w:eastAsia="Times New Roman" w:cs="Calibri"/>
                <w:color w:val="auto"/>
                <w:sz w:val="16"/>
                <w:szCs w:val="16"/>
              </w:rPr>
            </w:pPr>
            <w:r w:rsidRPr="00A743C9">
              <w:rPr>
                <w:rFonts w:eastAsia="Times New Roman" w:cs="Calibri"/>
                <w:color w:val="auto"/>
                <w:sz w:val="16"/>
                <w:szCs w:val="16"/>
              </w:rPr>
              <w:t>Pakistan</w:t>
            </w:r>
          </w:p>
        </w:tc>
        <w:tc>
          <w:tcPr>
            <w:tcW w:w="1119" w:type="dxa"/>
            <w:tcBorders>
              <w:left w:val="single" w:sz="4" w:space="0" w:color="auto"/>
              <w:bottom w:val="nil"/>
            </w:tcBorders>
            <w:noWrap/>
            <w:hideMark/>
          </w:tcPr>
          <w:p w14:paraId="7C8243DE"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22.6</w:t>
            </w:r>
          </w:p>
        </w:tc>
        <w:tc>
          <w:tcPr>
            <w:tcW w:w="1119" w:type="dxa"/>
            <w:tcBorders>
              <w:bottom w:val="nil"/>
            </w:tcBorders>
            <w:noWrap/>
            <w:hideMark/>
          </w:tcPr>
          <w:p w14:paraId="2C72890C"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41</w:t>
            </w:r>
          </w:p>
        </w:tc>
        <w:tc>
          <w:tcPr>
            <w:tcW w:w="1119" w:type="dxa"/>
            <w:tcBorders>
              <w:bottom w:val="nil"/>
              <w:right w:val="single" w:sz="4" w:space="0" w:color="auto"/>
            </w:tcBorders>
            <w:noWrap/>
            <w:hideMark/>
          </w:tcPr>
          <w:p w14:paraId="41004C54"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3.4</w:t>
            </w:r>
          </w:p>
        </w:tc>
        <w:tc>
          <w:tcPr>
            <w:tcW w:w="1119" w:type="dxa"/>
            <w:tcBorders>
              <w:left w:val="single" w:sz="4" w:space="0" w:color="auto"/>
              <w:bottom w:val="nil"/>
            </w:tcBorders>
            <w:noWrap/>
            <w:hideMark/>
          </w:tcPr>
          <w:p w14:paraId="437D0A7B"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18.6</w:t>
            </w:r>
          </w:p>
        </w:tc>
        <w:tc>
          <w:tcPr>
            <w:tcW w:w="1118" w:type="dxa"/>
            <w:tcBorders>
              <w:bottom w:val="nil"/>
            </w:tcBorders>
            <w:noWrap/>
            <w:hideMark/>
          </w:tcPr>
          <w:p w14:paraId="2F07F3F7"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33.8</w:t>
            </w:r>
          </w:p>
        </w:tc>
        <w:tc>
          <w:tcPr>
            <w:tcW w:w="1118" w:type="dxa"/>
            <w:tcBorders>
              <w:bottom w:val="nil"/>
              <w:right w:val="single" w:sz="4" w:space="0" w:color="auto"/>
            </w:tcBorders>
            <w:noWrap/>
            <w:hideMark/>
          </w:tcPr>
          <w:p w14:paraId="5F27180E"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2.8</w:t>
            </w:r>
          </w:p>
        </w:tc>
        <w:tc>
          <w:tcPr>
            <w:tcW w:w="1118" w:type="dxa"/>
            <w:tcBorders>
              <w:left w:val="single" w:sz="4" w:space="0" w:color="auto"/>
              <w:bottom w:val="nil"/>
            </w:tcBorders>
            <w:noWrap/>
            <w:hideMark/>
          </w:tcPr>
          <w:p w14:paraId="79D2BC4E"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14.1</w:t>
            </w:r>
          </w:p>
        </w:tc>
        <w:tc>
          <w:tcPr>
            <w:tcW w:w="1118" w:type="dxa"/>
            <w:tcBorders>
              <w:bottom w:val="nil"/>
            </w:tcBorders>
            <w:noWrap/>
            <w:hideMark/>
          </w:tcPr>
          <w:p w14:paraId="248EF9C5"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26</w:t>
            </w:r>
          </w:p>
        </w:tc>
        <w:tc>
          <w:tcPr>
            <w:tcW w:w="1118" w:type="dxa"/>
            <w:tcBorders>
              <w:bottom w:val="nil"/>
              <w:right w:val="single" w:sz="4" w:space="0" w:color="auto"/>
            </w:tcBorders>
            <w:noWrap/>
            <w:hideMark/>
          </w:tcPr>
          <w:p w14:paraId="1C10B0BE"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1.6</w:t>
            </w:r>
          </w:p>
        </w:tc>
        <w:tc>
          <w:tcPr>
            <w:tcW w:w="1118" w:type="dxa"/>
            <w:tcBorders>
              <w:left w:val="single" w:sz="4" w:space="0" w:color="auto"/>
              <w:bottom w:val="nil"/>
            </w:tcBorders>
            <w:noWrap/>
            <w:hideMark/>
          </w:tcPr>
          <w:p w14:paraId="47592903"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11.6</w:t>
            </w:r>
          </w:p>
        </w:tc>
        <w:tc>
          <w:tcPr>
            <w:tcW w:w="1118" w:type="dxa"/>
            <w:tcBorders>
              <w:bottom w:val="nil"/>
            </w:tcBorders>
            <w:noWrap/>
            <w:hideMark/>
          </w:tcPr>
          <w:p w14:paraId="42873693"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21.6</w:t>
            </w:r>
          </w:p>
        </w:tc>
        <w:tc>
          <w:tcPr>
            <w:tcW w:w="1118" w:type="dxa"/>
            <w:tcBorders>
              <w:bottom w:val="nil"/>
              <w:right w:val="single" w:sz="4" w:space="0" w:color="auto"/>
            </w:tcBorders>
            <w:noWrap/>
            <w:hideMark/>
          </w:tcPr>
          <w:p w14:paraId="5845811D"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1.1</w:t>
            </w:r>
          </w:p>
        </w:tc>
      </w:tr>
      <w:tr w:rsidR="00B86BF1" w:rsidRPr="00A743C9" w14:paraId="2A996D6E" w14:textId="77777777" w:rsidTr="000376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6" w:type="dxa"/>
            <w:tcBorders>
              <w:left w:val="single" w:sz="4" w:space="0" w:color="auto"/>
              <w:bottom w:val="nil"/>
              <w:right w:val="single" w:sz="4" w:space="0" w:color="auto"/>
            </w:tcBorders>
            <w:noWrap/>
            <w:hideMark/>
          </w:tcPr>
          <w:p w14:paraId="5D7891D2" w14:textId="77777777" w:rsidR="00B86BF1" w:rsidRPr="00A743C9" w:rsidRDefault="00B86BF1" w:rsidP="000376C7">
            <w:pPr>
              <w:rPr>
                <w:rFonts w:eastAsia="Times New Roman" w:cs="Calibri"/>
                <w:color w:val="auto"/>
                <w:sz w:val="16"/>
                <w:szCs w:val="16"/>
              </w:rPr>
            </w:pPr>
            <w:r w:rsidRPr="00A743C9">
              <w:rPr>
                <w:rFonts w:eastAsia="Times New Roman" w:cs="Calibri"/>
                <w:color w:val="auto"/>
                <w:sz w:val="16"/>
                <w:szCs w:val="16"/>
              </w:rPr>
              <w:t>Panama</w:t>
            </w:r>
          </w:p>
        </w:tc>
        <w:tc>
          <w:tcPr>
            <w:tcW w:w="1119" w:type="dxa"/>
            <w:tcBorders>
              <w:left w:val="single" w:sz="4" w:space="0" w:color="auto"/>
              <w:bottom w:val="nil"/>
            </w:tcBorders>
            <w:noWrap/>
            <w:hideMark/>
          </w:tcPr>
          <w:p w14:paraId="757EFD07"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7.4</w:t>
            </w:r>
          </w:p>
        </w:tc>
        <w:tc>
          <w:tcPr>
            <w:tcW w:w="1119" w:type="dxa"/>
            <w:tcBorders>
              <w:bottom w:val="nil"/>
            </w:tcBorders>
            <w:noWrap/>
            <w:hideMark/>
          </w:tcPr>
          <w:p w14:paraId="23BDEA49"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11.9</w:t>
            </w:r>
          </w:p>
        </w:tc>
        <w:tc>
          <w:tcPr>
            <w:tcW w:w="1119" w:type="dxa"/>
            <w:tcBorders>
              <w:bottom w:val="nil"/>
              <w:right w:val="single" w:sz="4" w:space="0" w:color="auto"/>
            </w:tcBorders>
            <w:noWrap/>
            <w:hideMark/>
          </w:tcPr>
          <w:p w14:paraId="47D1A5FF"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2.8</w:t>
            </w:r>
          </w:p>
        </w:tc>
        <w:tc>
          <w:tcPr>
            <w:tcW w:w="1119" w:type="dxa"/>
            <w:tcBorders>
              <w:left w:val="single" w:sz="4" w:space="0" w:color="auto"/>
              <w:bottom w:val="nil"/>
            </w:tcBorders>
            <w:noWrap/>
            <w:hideMark/>
          </w:tcPr>
          <w:p w14:paraId="50D9F94F"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3.9</w:t>
            </w:r>
          </w:p>
        </w:tc>
        <w:tc>
          <w:tcPr>
            <w:tcW w:w="1118" w:type="dxa"/>
            <w:tcBorders>
              <w:bottom w:val="nil"/>
            </w:tcBorders>
            <w:noWrap/>
            <w:hideMark/>
          </w:tcPr>
          <w:p w14:paraId="553E2516"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6.2</w:t>
            </w:r>
          </w:p>
        </w:tc>
        <w:tc>
          <w:tcPr>
            <w:tcW w:w="1118" w:type="dxa"/>
            <w:tcBorders>
              <w:bottom w:val="nil"/>
              <w:right w:val="single" w:sz="4" w:space="0" w:color="auto"/>
            </w:tcBorders>
            <w:noWrap/>
            <w:hideMark/>
          </w:tcPr>
          <w:p w14:paraId="4C21B195"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1.5</w:t>
            </w:r>
          </w:p>
        </w:tc>
        <w:tc>
          <w:tcPr>
            <w:tcW w:w="1118" w:type="dxa"/>
            <w:tcBorders>
              <w:left w:val="single" w:sz="4" w:space="0" w:color="auto"/>
              <w:bottom w:val="nil"/>
            </w:tcBorders>
            <w:noWrap/>
            <w:hideMark/>
          </w:tcPr>
          <w:p w14:paraId="43A66CE2"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6.4</w:t>
            </w:r>
          </w:p>
        </w:tc>
        <w:tc>
          <w:tcPr>
            <w:tcW w:w="1118" w:type="dxa"/>
            <w:tcBorders>
              <w:bottom w:val="nil"/>
            </w:tcBorders>
            <w:noWrap/>
            <w:hideMark/>
          </w:tcPr>
          <w:p w14:paraId="62ABE614"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10.4</w:t>
            </w:r>
          </w:p>
        </w:tc>
        <w:tc>
          <w:tcPr>
            <w:tcW w:w="1118" w:type="dxa"/>
            <w:tcBorders>
              <w:bottom w:val="nil"/>
              <w:right w:val="single" w:sz="4" w:space="0" w:color="auto"/>
            </w:tcBorders>
            <w:noWrap/>
            <w:hideMark/>
          </w:tcPr>
          <w:p w14:paraId="77A66E25"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2.4</w:t>
            </w:r>
          </w:p>
        </w:tc>
        <w:tc>
          <w:tcPr>
            <w:tcW w:w="1118" w:type="dxa"/>
            <w:tcBorders>
              <w:left w:val="single" w:sz="4" w:space="0" w:color="auto"/>
              <w:bottom w:val="nil"/>
            </w:tcBorders>
            <w:noWrap/>
            <w:hideMark/>
          </w:tcPr>
          <w:p w14:paraId="46DC7C53"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3.4</w:t>
            </w:r>
          </w:p>
        </w:tc>
        <w:tc>
          <w:tcPr>
            <w:tcW w:w="1118" w:type="dxa"/>
            <w:tcBorders>
              <w:bottom w:val="nil"/>
            </w:tcBorders>
            <w:noWrap/>
            <w:hideMark/>
          </w:tcPr>
          <w:p w14:paraId="139A51CC"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5.6</w:t>
            </w:r>
          </w:p>
        </w:tc>
        <w:tc>
          <w:tcPr>
            <w:tcW w:w="1118" w:type="dxa"/>
            <w:tcBorders>
              <w:bottom w:val="nil"/>
              <w:right w:val="single" w:sz="4" w:space="0" w:color="auto"/>
            </w:tcBorders>
            <w:noWrap/>
            <w:hideMark/>
          </w:tcPr>
          <w:p w14:paraId="2240CA31"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1.3</w:t>
            </w:r>
          </w:p>
        </w:tc>
      </w:tr>
      <w:tr w:rsidR="00B86BF1" w:rsidRPr="00A743C9" w14:paraId="15627C9B" w14:textId="77777777" w:rsidTr="000376C7">
        <w:trPr>
          <w:trHeight w:val="300"/>
        </w:trPr>
        <w:tc>
          <w:tcPr>
            <w:cnfStyle w:val="001000000000" w:firstRow="0" w:lastRow="0" w:firstColumn="1" w:lastColumn="0" w:oddVBand="0" w:evenVBand="0" w:oddHBand="0" w:evenHBand="0" w:firstRowFirstColumn="0" w:firstRowLastColumn="0" w:lastRowFirstColumn="0" w:lastRowLastColumn="0"/>
            <w:tcW w:w="1606" w:type="dxa"/>
            <w:tcBorders>
              <w:left w:val="single" w:sz="4" w:space="0" w:color="auto"/>
              <w:bottom w:val="nil"/>
              <w:right w:val="single" w:sz="4" w:space="0" w:color="auto"/>
            </w:tcBorders>
            <w:noWrap/>
            <w:hideMark/>
          </w:tcPr>
          <w:p w14:paraId="5B07CE34" w14:textId="77777777" w:rsidR="00B86BF1" w:rsidRPr="00A743C9" w:rsidRDefault="00B86BF1" w:rsidP="000376C7">
            <w:pPr>
              <w:rPr>
                <w:rFonts w:eastAsia="Times New Roman" w:cs="Calibri"/>
                <w:color w:val="auto"/>
                <w:sz w:val="16"/>
                <w:szCs w:val="16"/>
              </w:rPr>
            </w:pPr>
            <w:r w:rsidRPr="00A743C9">
              <w:rPr>
                <w:rFonts w:eastAsia="Times New Roman" w:cs="Calibri"/>
                <w:color w:val="auto"/>
                <w:sz w:val="16"/>
                <w:szCs w:val="16"/>
              </w:rPr>
              <w:lastRenderedPageBreak/>
              <w:t>Paraguay</w:t>
            </w:r>
          </w:p>
        </w:tc>
        <w:tc>
          <w:tcPr>
            <w:tcW w:w="1119" w:type="dxa"/>
            <w:tcBorders>
              <w:left w:val="single" w:sz="4" w:space="0" w:color="auto"/>
              <w:bottom w:val="nil"/>
            </w:tcBorders>
            <w:noWrap/>
            <w:hideMark/>
          </w:tcPr>
          <w:p w14:paraId="557E9866"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19.5</w:t>
            </w:r>
          </w:p>
        </w:tc>
        <w:tc>
          <w:tcPr>
            <w:tcW w:w="1119" w:type="dxa"/>
            <w:tcBorders>
              <w:bottom w:val="nil"/>
            </w:tcBorders>
            <w:noWrap/>
            <w:hideMark/>
          </w:tcPr>
          <w:p w14:paraId="74A97664"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30.3</w:t>
            </w:r>
          </w:p>
        </w:tc>
        <w:tc>
          <w:tcPr>
            <w:tcW w:w="1119" w:type="dxa"/>
            <w:tcBorders>
              <w:bottom w:val="nil"/>
              <w:right w:val="single" w:sz="4" w:space="0" w:color="auto"/>
            </w:tcBorders>
            <w:noWrap/>
            <w:hideMark/>
          </w:tcPr>
          <w:p w14:paraId="242FC567"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8.6</w:t>
            </w:r>
          </w:p>
        </w:tc>
        <w:tc>
          <w:tcPr>
            <w:tcW w:w="1119" w:type="dxa"/>
            <w:tcBorders>
              <w:left w:val="single" w:sz="4" w:space="0" w:color="auto"/>
              <w:bottom w:val="nil"/>
            </w:tcBorders>
            <w:noWrap/>
            <w:hideMark/>
          </w:tcPr>
          <w:p w14:paraId="57B4C99F"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11.9</w:t>
            </w:r>
          </w:p>
        </w:tc>
        <w:tc>
          <w:tcPr>
            <w:tcW w:w="1118" w:type="dxa"/>
            <w:tcBorders>
              <w:bottom w:val="nil"/>
            </w:tcBorders>
            <w:noWrap/>
            <w:hideMark/>
          </w:tcPr>
          <w:p w14:paraId="4DA7C45C"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18.6</w:t>
            </w:r>
          </w:p>
        </w:tc>
        <w:tc>
          <w:tcPr>
            <w:tcW w:w="1118" w:type="dxa"/>
            <w:tcBorders>
              <w:bottom w:val="nil"/>
              <w:right w:val="single" w:sz="4" w:space="0" w:color="auto"/>
            </w:tcBorders>
            <w:noWrap/>
            <w:hideMark/>
          </w:tcPr>
          <w:p w14:paraId="3824D0F8"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5.1</w:t>
            </w:r>
          </w:p>
        </w:tc>
        <w:tc>
          <w:tcPr>
            <w:tcW w:w="1118" w:type="dxa"/>
            <w:tcBorders>
              <w:left w:val="single" w:sz="4" w:space="0" w:color="auto"/>
              <w:bottom w:val="nil"/>
            </w:tcBorders>
            <w:noWrap/>
            <w:hideMark/>
          </w:tcPr>
          <w:p w14:paraId="777181DF"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15.6</w:t>
            </w:r>
          </w:p>
        </w:tc>
        <w:tc>
          <w:tcPr>
            <w:tcW w:w="1118" w:type="dxa"/>
            <w:tcBorders>
              <w:bottom w:val="nil"/>
            </w:tcBorders>
            <w:noWrap/>
            <w:hideMark/>
          </w:tcPr>
          <w:p w14:paraId="589048AA"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24.2</w:t>
            </w:r>
          </w:p>
        </w:tc>
        <w:tc>
          <w:tcPr>
            <w:tcW w:w="1118" w:type="dxa"/>
            <w:tcBorders>
              <w:bottom w:val="nil"/>
              <w:right w:val="single" w:sz="4" w:space="0" w:color="auto"/>
            </w:tcBorders>
            <w:noWrap/>
            <w:hideMark/>
          </w:tcPr>
          <w:p w14:paraId="324076F4"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7</w:t>
            </w:r>
          </w:p>
        </w:tc>
        <w:tc>
          <w:tcPr>
            <w:tcW w:w="1118" w:type="dxa"/>
            <w:tcBorders>
              <w:left w:val="single" w:sz="4" w:space="0" w:color="auto"/>
              <w:bottom w:val="nil"/>
            </w:tcBorders>
            <w:noWrap/>
            <w:hideMark/>
          </w:tcPr>
          <w:p w14:paraId="6E203645"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9.9</w:t>
            </w:r>
          </w:p>
        </w:tc>
        <w:tc>
          <w:tcPr>
            <w:tcW w:w="1118" w:type="dxa"/>
            <w:tcBorders>
              <w:bottom w:val="nil"/>
            </w:tcBorders>
            <w:noWrap/>
            <w:hideMark/>
          </w:tcPr>
          <w:p w14:paraId="64CEE7C8"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16</w:t>
            </w:r>
          </w:p>
        </w:tc>
        <w:tc>
          <w:tcPr>
            <w:tcW w:w="1118" w:type="dxa"/>
            <w:tcBorders>
              <w:bottom w:val="nil"/>
              <w:right w:val="single" w:sz="4" w:space="0" w:color="auto"/>
            </w:tcBorders>
            <w:noWrap/>
            <w:hideMark/>
          </w:tcPr>
          <w:p w14:paraId="709EC117"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3.7</w:t>
            </w:r>
          </w:p>
        </w:tc>
      </w:tr>
      <w:tr w:rsidR="00B86BF1" w:rsidRPr="00A743C9" w14:paraId="667169A4" w14:textId="77777777" w:rsidTr="000376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6" w:type="dxa"/>
            <w:tcBorders>
              <w:left w:val="single" w:sz="4" w:space="0" w:color="auto"/>
              <w:bottom w:val="nil"/>
              <w:right w:val="single" w:sz="4" w:space="0" w:color="auto"/>
            </w:tcBorders>
            <w:noWrap/>
            <w:hideMark/>
          </w:tcPr>
          <w:p w14:paraId="7E52F37D" w14:textId="77777777" w:rsidR="00B86BF1" w:rsidRPr="00A743C9" w:rsidRDefault="00B86BF1" w:rsidP="000376C7">
            <w:pPr>
              <w:rPr>
                <w:rFonts w:eastAsia="Times New Roman" w:cs="Calibri"/>
                <w:color w:val="auto"/>
                <w:sz w:val="16"/>
                <w:szCs w:val="16"/>
              </w:rPr>
            </w:pPr>
            <w:r w:rsidRPr="00A743C9">
              <w:rPr>
                <w:rFonts w:eastAsia="Times New Roman" w:cs="Calibri"/>
                <w:color w:val="auto"/>
                <w:sz w:val="16"/>
                <w:szCs w:val="16"/>
              </w:rPr>
              <w:t>Philippines</w:t>
            </w:r>
          </w:p>
        </w:tc>
        <w:tc>
          <w:tcPr>
            <w:tcW w:w="1119" w:type="dxa"/>
            <w:tcBorders>
              <w:left w:val="single" w:sz="4" w:space="0" w:color="auto"/>
              <w:bottom w:val="nil"/>
            </w:tcBorders>
            <w:noWrap/>
            <w:hideMark/>
          </w:tcPr>
          <w:p w14:paraId="4F53F08E"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26.7</w:t>
            </w:r>
          </w:p>
        </w:tc>
        <w:tc>
          <w:tcPr>
            <w:tcW w:w="1119" w:type="dxa"/>
            <w:tcBorders>
              <w:bottom w:val="nil"/>
            </w:tcBorders>
            <w:noWrap/>
            <w:hideMark/>
          </w:tcPr>
          <w:p w14:paraId="62405206"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44.8</w:t>
            </w:r>
          </w:p>
        </w:tc>
        <w:tc>
          <w:tcPr>
            <w:tcW w:w="1119" w:type="dxa"/>
            <w:tcBorders>
              <w:bottom w:val="nil"/>
              <w:right w:val="single" w:sz="4" w:space="0" w:color="auto"/>
            </w:tcBorders>
            <w:noWrap/>
            <w:hideMark/>
          </w:tcPr>
          <w:p w14:paraId="5897933C"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8.9</w:t>
            </w:r>
          </w:p>
        </w:tc>
        <w:tc>
          <w:tcPr>
            <w:tcW w:w="1119" w:type="dxa"/>
            <w:tcBorders>
              <w:left w:val="single" w:sz="4" w:space="0" w:color="auto"/>
              <w:bottom w:val="nil"/>
            </w:tcBorders>
            <w:noWrap/>
            <w:hideMark/>
          </w:tcPr>
          <w:p w14:paraId="49F84395"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20.6</w:t>
            </w:r>
          </w:p>
        </w:tc>
        <w:tc>
          <w:tcPr>
            <w:tcW w:w="1118" w:type="dxa"/>
            <w:tcBorders>
              <w:bottom w:val="nil"/>
            </w:tcBorders>
            <w:noWrap/>
            <w:hideMark/>
          </w:tcPr>
          <w:p w14:paraId="54457C5A"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35</w:t>
            </w:r>
          </w:p>
        </w:tc>
        <w:tc>
          <w:tcPr>
            <w:tcW w:w="1118" w:type="dxa"/>
            <w:tcBorders>
              <w:bottom w:val="nil"/>
              <w:right w:val="single" w:sz="4" w:space="0" w:color="auto"/>
            </w:tcBorders>
            <w:noWrap/>
            <w:hideMark/>
          </w:tcPr>
          <w:p w14:paraId="08C05EA4"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6.4</w:t>
            </w:r>
          </w:p>
        </w:tc>
        <w:tc>
          <w:tcPr>
            <w:tcW w:w="1118" w:type="dxa"/>
            <w:tcBorders>
              <w:left w:val="single" w:sz="4" w:space="0" w:color="auto"/>
              <w:bottom w:val="nil"/>
            </w:tcBorders>
            <w:noWrap/>
            <w:hideMark/>
          </w:tcPr>
          <w:p w14:paraId="56FB7A2A"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23.8</w:t>
            </w:r>
          </w:p>
        </w:tc>
        <w:tc>
          <w:tcPr>
            <w:tcW w:w="1118" w:type="dxa"/>
            <w:tcBorders>
              <w:bottom w:val="nil"/>
            </w:tcBorders>
            <w:noWrap/>
            <w:hideMark/>
          </w:tcPr>
          <w:p w14:paraId="088A8D21"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40.6</w:t>
            </w:r>
          </w:p>
        </w:tc>
        <w:tc>
          <w:tcPr>
            <w:tcW w:w="1118" w:type="dxa"/>
            <w:tcBorders>
              <w:bottom w:val="nil"/>
              <w:right w:val="single" w:sz="4" w:space="0" w:color="auto"/>
            </w:tcBorders>
            <w:noWrap/>
            <w:hideMark/>
          </w:tcPr>
          <w:p w14:paraId="4654E5BB"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7.4</w:t>
            </w:r>
          </w:p>
        </w:tc>
        <w:tc>
          <w:tcPr>
            <w:tcW w:w="1118" w:type="dxa"/>
            <w:tcBorders>
              <w:left w:val="single" w:sz="4" w:space="0" w:color="auto"/>
              <w:bottom w:val="nil"/>
            </w:tcBorders>
            <w:noWrap/>
            <w:hideMark/>
          </w:tcPr>
          <w:p w14:paraId="41FE205C"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18.6</w:t>
            </w:r>
          </w:p>
        </w:tc>
        <w:tc>
          <w:tcPr>
            <w:tcW w:w="1118" w:type="dxa"/>
            <w:tcBorders>
              <w:bottom w:val="nil"/>
            </w:tcBorders>
            <w:noWrap/>
            <w:hideMark/>
          </w:tcPr>
          <w:p w14:paraId="4D2C32B4"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31.5</w:t>
            </w:r>
          </w:p>
        </w:tc>
        <w:tc>
          <w:tcPr>
            <w:tcW w:w="1118" w:type="dxa"/>
            <w:tcBorders>
              <w:bottom w:val="nil"/>
              <w:right w:val="single" w:sz="4" w:space="0" w:color="auto"/>
            </w:tcBorders>
            <w:noWrap/>
            <w:hideMark/>
          </w:tcPr>
          <w:p w14:paraId="33A1EF98"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5.9</w:t>
            </w:r>
          </w:p>
        </w:tc>
      </w:tr>
      <w:tr w:rsidR="00B86BF1" w:rsidRPr="00A743C9" w14:paraId="7E0E95B5" w14:textId="77777777" w:rsidTr="000376C7">
        <w:trPr>
          <w:trHeight w:val="300"/>
        </w:trPr>
        <w:tc>
          <w:tcPr>
            <w:cnfStyle w:val="001000000000" w:firstRow="0" w:lastRow="0" w:firstColumn="1" w:lastColumn="0" w:oddVBand="0" w:evenVBand="0" w:oddHBand="0" w:evenHBand="0" w:firstRowFirstColumn="0" w:firstRowLastColumn="0" w:lastRowFirstColumn="0" w:lastRowLastColumn="0"/>
            <w:tcW w:w="1606" w:type="dxa"/>
            <w:tcBorders>
              <w:left w:val="single" w:sz="4" w:space="0" w:color="auto"/>
              <w:bottom w:val="nil"/>
              <w:right w:val="single" w:sz="4" w:space="0" w:color="auto"/>
            </w:tcBorders>
            <w:noWrap/>
            <w:hideMark/>
          </w:tcPr>
          <w:p w14:paraId="27EEA719" w14:textId="77777777" w:rsidR="00B86BF1" w:rsidRPr="00A743C9" w:rsidRDefault="00B86BF1" w:rsidP="000376C7">
            <w:pPr>
              <w:rPr>
                <w:rFonts w:eastAsia="Times New Roman" w:cs="Calibri"/>
                <w:color w:val="auto"/>
                <w:sz w:val="16"/>
                <w:szCs w:val="16"/>
              </w:rPr>
            </w:pPr>
            <w:r w:rsidRPr="00A743C9">
              <w:rPr>
                <w:rFonts w:eastAsia="Times New Roman" w:cs="Calibri"/>
                <w:color w:val="auto"/>
                <w:sz w:val="16"/>
                <w:szCs w:val="16"/>
              </w:rPr>
              <w:t>Poland</w:t>
            </w:r>
          </w:p>
        </w:tc>
        <w:tc>
          <w:tcPr>
            <w:tcW w:w="1119" w:type="dxa"/>
            <w:tcBorders>
              <w:left w:val="single" w:sz="4" w:space="0" w:color="auto"/>
              <w:bottom w:val="nil"/>
            </w:tcBorders>
            <w:noWrap/>
            <w:hideMark/>
          </w:tcPr>
          <w:p w14:paraId="098D40DA"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29.4</w:t>
            </w:r>
          </w:p>
        </w:tc>
        <w:tc>
          <w:tcPr>
            <w:tcW w:w="1119" w:type="dxa"/>
            <w:tcBorders>
              <w:bottom w:val="nil"/>
            </w:tcBorders>
            <w:noWrap/>
            <w:hideMark/>
          </w:tcPr>
          <w:p w14:paraId="0AFDABB6"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34</w:t>
            </w:r>
          </w:p>
        </w:tc>
        <w:tc>
          <w:tcPr>
            <w:tcW w:w="1119" w:type="dxa"/>
            <w:tcBorders>
              <w:bottom w:val="nil"/>
              <w:right w:val="single" w:sz="4" w:space="0" w:color="auto"/>
            </w:tcBorders>
            <w:noWrap/>
            <w:hideMark/>
          </w:tcPr>
          <w:p w14:paraId="40B127A7"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25.2</w:t>
            </w:r>
          </w:p>
        </w:tc>
        <w:tc>
          <w:tcPr>
            <w:tcW w:w="1119" w:type="dxa"/>
            <w:tcBorders>
              <w:left w:val="single" w:sz="4" w:space="0" w:color="auto"/>
              <w:bottom w:val="nil"/>
            </w:tcBorders>
            <w:noWrap/>
            <w:hideMark/>
          </w:tcPr>
          <w:p w14:paraId="674B16E5"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23.2</w:t>
            </w:r>
          </w:p>
        </w:tc>
        <w:tc>
          <w:tcPr>
            <w:tcW w:w="1118" w:type="dxa"/>
            <w:tcBorders>
              <w:bottom w:val="nil"/>
            </w:tcBorders>
            <w:noWrap/>
            <w:hideMark/>
          </w:tcPr>
          <w:p w14:paraId="46BA383E"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27.9</w:t>
            </w:r>
          </w:p>
        </w:tc>
        <w:tc>
          <w:tcPr>
            <w:tcW w:w="1118" w:type="dxa"/>
            <w:tcBorders>
              <w:bottom w:val="nil"/>
              <w:right w:val="single" w:sz="4" w:space="0" w:color="auto"/>
            </w:tcBorders>
            <w:noWrap/>
            <w:hideMark/>
          </w:tcPr>
          <w:p w14:paraId="710C6F53"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18.9</w:t>
            </w:r>
          </w:p>
        </w:tc>
        <w:tc>
          <w:tcPr>
            <w:tcW w:w="1118" w:type="dxa"/>
            <w:tcBorders>
              <w:left w:val="single" w:sz="4" w:space="0" w:color="auto"/>
              <w:bottom w:val="nil"/>
            </w:tcBorders>
            <w:noWrap/>
            <w:hideMark/>
          </w:tcPr>
          <w:p w14:paraId="0517A3F7"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26.8</w:t>
            </w:r>
          </w:p>
        </w:tc>
        <w:tc>
          <w:tcPr>
            <w:tcW w:w="1118" w:type="dxa"/>
            <w:tcBorders>
              <w:bottom w:val="nil"/>
            </w:tcBorders>
            <w:noWrap/>
            <w:hideMark/>
          </w:tcPr>
          <w:p w14:paraId="76F9E1EA"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31.3</w:t>
            </w:r>
          </w:p>
        </w:tc>
        <w:tc>
          <w:tcPr>
            <w:tcW w:w="1118" w:type="dxa"/>
            <w:tcBorders>
              <w:bottom w:val="nil"/>
              <w:right w:val="single" w:sz="4" w:space="0" w:color="auto"/>
            </w:tcBorders>
            <w:noWrap/>
            <w:hideMark/>
          </w:tcPr>
          <w:p w14:paraId="6B5CCE22"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22.8</w:t>
            </w:r>
          </w:p>
        </w:tc>
        <w:tc>
          <w:tcPr>
            <w:tcW w:w="1118" w:type="dxa"/>
            <w:tcBorders>
              <w:left w:val="single" w:sz="4" w:space="0" w:color="auto"/>
              <w:bottom w:val="nil"/>
            </w:tcBorders>
            <w:noWrap/>
            <w:hideMark/>
          </w:tcPr>
          <w:p w14:paraId="625CDF91"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22.6</w:t>
            </w:r>
          </w:p>
        </w:tc>
        <w:tc>
          <w:tcPr>
            <w:tcW w:w="1118" w:type="dxa"/>
            <w:tcBorders>
              <w:bottom w:val="nil"/>
            </w:tcBorders>
            <w:noWrap/>
            <w:hideMark/>
          </w:tcPr>
          <w:p w14:paraId="1FF9A933"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27.1</w:t>
            </w:r>
          </w:p>
        </w:tc>
        <w:tc>
          <w:tcPr>
            <w:tcW w:w="1118" w:type="dxa"/>
            <w:tcBorders>
              <w:bottom w:val="nil"/>
              <w:right w:val="single" w:sz="4" w:space="0" w:color="auto"/>
            </w:tcBorders>
            <w:noWrap/>
            <w:hideMark/>
          </w:tcPr>
          <w:p w14:paraId="47DCD61B"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18.4</w:t>
            </w:r>
          </w:p>
        </w:tc>
      </w:tr>
      <w:tr w:rsidR="00B86BF1" w:rsidRPr="00A743C9" w14:paraId="76086EBB" w14:textId="77777777" w:rsidTr="000376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6" w:type="dxa"/>
            <w:tcBorders>
              <w:left w:val="single" w:sz="4" w:space="0" w:color="auto"/>
              <w:bottom w:val="nil"/>
              <w:right w:val="single" w:sz="4" w:space="0" w:color="auto"/>
            </w:tcBorders>
            <w:noWrap/>
            <w:hideMark/>
          </w:tcPr>
          <w:p w14:paraId="10924109" w14:textId="77777777" w:rsidR="00B86BF1" w:rsidRPr="00A743C9" w:rsidRDefault="00B86BF1" w:rsidP="000376C7">
            <w:pPr>
              <w:rPr>
                <w:rFonts w:eastAsia="Times New Roman" w:cs="Calibri"/>
                <w:color w:val="auto"/>
                <w:sz w:val="16"/>
                <w:szCs w:val="16"/>
              </w:rPr>
            </w:pPr>
            <w:r w:rsidRPr="00A743C9">
              <w:rPr>
                <w:rFonts w:eastAsia="Times New Roman" w:cs="Calibri"/>
                <w:color w:val="auto"/>
                <w:sz w:val="16"/>
                <w:szCs w:val="16"/>
              </w:rPr>
              <w:t>Portugal</w:t>
            </w:r>
          </w:p>
        </w:tc>
        <w:tc>
          <w:tcPr>
            <w:tcW w:w="1119" w:type="dxa"/>
            <w:tcBorders>
              <w:left w:val="single" w:sz="4" w:space="0" w:color="auto"/>
              <w:bottom w:val="nil"/>
            </w:tcBorders>
            <w:noWrap/>
            <w:hideMark/>
          </w:tcPr>
          <w:p w14:paraId="55D5A88C"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22.6</w:t>
            </w:r>
          </w:p>
        </w:tc>
        <w:tc>
          <w:tcPr>
            <w:tcW w:w="1119" w:type="dxa"/>
            <w:tcBorders>
              <w:bottom w:val="nil"/>
            </w:tcBorders>
            <w:noWrap/>
            <w:hideMark/>
          </w:tcPr>
          <w:p w14:paraId="00AFD822"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31.9</w:t>
            </w:r>
          </w:p>
        </w:tc>
        <w:tc>
          <w:tcPr>
            <w:tcW w:w="1119" w:type="dxa"/>
            <w:tcBorders>
              <w:bottom w:val="nil"/>
              <w:right w:val="single" w:sz="4" w:space="0" w:color="auto"/>
            </w:tcBorders>
            <w:noWrap/>
            <w:hideMark/>
          </w:tcPr>
          <w:p w14:paraId="75033896"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14</w:t>
            </w:r>
          </w:p>
        </w:tc>
        <w:tc>
          <w:tcPr>
            <w:tcW w:w="1119" w:type="dxa"/>
            <w:tcBorders>
              <w:left w:val="single" w:sz="4" w:space="0" w:color="auto"/>
              <w:bottom w:val="nil"/>
            </w:tcBorders>
            <w:noWrap/>
            <w:hideMark/>
          </w:tcPr>
          <w:p w14:paraId="179EC117"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17.7</w:t>
            </w:r>
          </w:p>
        </w:tc>
        <w:tc>
          <w:tcPr>
            <w:tcW w:w="1118" w:type="dxa"/>
            <w:tcBorders>
              <w:bottom w:val="nil"/>
            </w:tcBorders>
            <w:noWrap/>
            <w:hideMark/>
          </w:tcPr>
          <w:p w14:paraId="40625244"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26.1</w:t>
            </w:r>
          </w:p>
        </w:tc>
        <w:tc>
          <w:tcPr>
            <w:tcW w:w="1118" w:type="dxa"/>
            <w:tcBorders>
              <w:bottom w:val="nil"/>
              <w:right w:val="single" w:sz="4" w:space="0" w:color="auto"/>
            </w:tcBorders>
            <w:noWrap/>
            <w:hideMark/>
          </w:tcPr>
          <w:p w14:paraId="16FADC6A"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10</w:t>
            </w:r>
          </w:p>
        </w:tc>
        <w:tc>
          <w:tcPr>
            <w:tcW w:w="1118" w:type="dxa"/>
            <w:tcBorders>
              <w:left w:val="single" w:sz="4" w:space="0" w:color="auto"/>
              <w:bottom w:val="nil"/>
            </w:tcBorders>
            <w:noWrap/>
            <w:hideMark/>
          </w:tcPr>
          <w:p w14:paraId="30E67C97"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18.5</w:t>
            </w:r>
          </w:p>
        </w:tc>
        <w:tc>
          <w:tcPr>
            <w:tcW w:w="1118" w:type="dxa"/>
            <w:tcBorders>
              <w:bottom w:val="nil"/>
            </w:tcBorders>
            <w:noWrap/>
            <w:hideMark/>
          </w:tcPr>
          <w:p w14:paraId="15467B88"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26.2</w:t>
            </w:r>
          </w:p>
        </w:tc>
        <w:tc>
          <w:tcPr>
            <w:tcW w:w="1118" w:type="dxa"/>
            <w:tcBorders>
              <w:bottom w:val="nil"/>
              <w:right w:val="single" w:sz="4" w:space="0" w:color="auto"/>
            </w:tcBorders>
            <w:noWrap/>
            <w:hideMark/>
          </w:tcPr>
          <w:p w14:paraId="4BFDDF9B"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11.3</w:t>
            </w:r>
          </w:p>
        </w:tc>
        <w:tc>
          <w:tcPr>
            <w:tcW w:w="1118" w:type="dxa"/>
            <w:tcBorders>
              <w:left w:val="single" w:sz="4" w:space="0" w:color="auto"/>
              <w:bottom w:val="nil"/>
            </w:tcBorders>
            <w:noWrap/>
            <w:hideMark/>
          </w:tcPr>
          <w:p w14:paraId="657816EC"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15.2</w:t>
            </w:r>
          </w:p>
        </w:tc>
        <w:tc>
          <w:tcPr>
            <w:tcW w:w="1118" w:type="dxa"/>
            <w:tcBorders>
              <w:bottom w:val="nil"/>
            </w:tcBorders>
            <w:noWrap/>
            <w:hideMark/>
          </w:tcPr>
          <w:p w14:paraId="4B143EDD"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22.2</w:t>
            </w:r>
          </w:p>
        </w:tc>
        <w:tc>
          <w:tcPr>
            <w:tcW w:w="1118" w:type="dxa"/>
            <w:tcBorders>
              <w:bottom w:val="nil"/>
              <w:right w:val="single" w:sz="4" w:space="0" w:color="auto"/>
            </w:tcBorders>
            <w:noWrap/>
            <w:hideMark/>
          </w:tcPr>
          <w:p w14:paraId="62BC8A09"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8.6</w:t>
            </w:r>
          </w:p>
        </w:tc>
      </w:tr>
      <w:tr w:rsidR="00B86BF1" w:rsidRPr="00A743C9" w14:paraId="747F3209" w14:textId="77777777" w:rsidTr="000376C7">
        <w:trPr>
          <w:trHeight w:val="300"/>
        </w:trPr>
        <w:tc>
          <w:tcPr>
            <w:cnfStyle w:val="001000000000" w:firstRow="0" w:lastRow="0" w:firstColumn="1" w:lastColumn="0" w:oddVBand="0" w:evenVBand="0" w:oddHBand="0" w:evenHBand="0" w:firstRowFirstColumn="0" w:firstRowLastColumn="0" w:lastRowFirstColumn="0" w:lastRowLastColumn="0"/>
            <w:tcW w:w="1606" w:type="dxa"/>
            <w:tcBorders>
              <w:left w:val="single" w:sz="4" w:space="0" w:color="auto"/>
              <w:bottom w:val="nil"/>
              <w:right w:val="single" w:sz="4" w:space="0" w:color="auto"/>
            </w:tcBorders>
            <w:noWrap/>
            <w:hideMark/>
          </w:tcPr>
          <w:p w14:paraId="3C8CF89D" w14:textId="77777777" w:rsidR="00B86BF1" w:rsidRPr="00A743C9" w:rsidRDefault="00B86BF1" w:rsidP="000376C7">
            <w:pPr>
              <w:rPr>
                <w:rFonts w:eastAsia="Times New Roman" w:cs="Calibri"/>
                <w:color w:val="auto"/>
                <w:sz w:val="16"/>
                <w:szCs w:val="16"/>
              </w:rPr>
            </w:pPr>
            <w:r w:rsidRPr="00A743C9">
              <w:rPr>
                <w:rFonts w:eastAsia="Times New Roman" w:cs="Calibri"/>
                <w:color w:val="auto"/>
                <w:sz w:val="16"/>
                <w:szCs w:val="16"/>
              </w:rPr>
              <w:t>Republic of Korea</w:t>
            </w:r>
          </w:p>
        </w:tc>
        <w:tc>
          <w:tcPr>
            <w:tcW w:w="1119" w:type="dxa"/>
            <w:tcBorders>
              <w:left w:val="single" w:sz="4" w:space="0" w:color="auto"/>
              <w:bottom w:val="nil"/>
            </w:tcBorders>
            <w:noWrap/>
            <w:hideMark/>
          </w:tcPr>
          <w:p w14:paraId="072A8278"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27.4</w:t>
            </w:r>
          </w:p>
        </w:tc>
        <w:tc>
          <w:tcPr>
            <w:tcW w:w="1119" w:type="dxa"/>
            <w:tcBorders>
              <w:bottom w:val="nil"/>
            </w:tcBorders>
            <w:noWrap/>
            <w:hideMark/>
          </w:tcPr>
          <w:p w14:paraId="04DBEA7F"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51.1</w:t>
            </w:r>
          </w:p>
        </w:tc>
        <w:tc>
          <w:tcPr>
            <w:tcW w:w="1119" w:type="dxa"/>
            <w:tcBorders>
              <w:bottom w:val="nil"/>
              <w:right w:val="single" w:sz="4" w:space="0" w:color="auto"/>
            </w:tcBorders>
            <w:noWrap/>
            <w:hideMark/>
          </w:tcPr>
          <w:p w14:paraId="03BFC6C2"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4.3</w:t>
            </w:r>
          </w:p>
        </w:tc>
        <w:tc>
          <w:tcPr>
            <w:tcW w:w="1119" w:type="dxa"/>
            <w:tcBorders>
              <w:left w:val="single" w:sz="4" w:space="0" w:color="auto"/>
              <w:bottom w:val="nil"/>
            </w:tcBorders>
            <w:noWrap/>
            <w:hideMark/>
          </w:tcPr>
          <w:p w14:paraId="6F38B1ED"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25.7</w:t>
            </w:r>
          </w:p>
        </w:tc>
        <w:tc>
          <w:tcPr>
            <w:tcW w:w="1118" w:type="dxa"/>
            <w:tcBorders>
              <w:bottom w:val="nil"/>
            </w:tcBorders>
            <w:noWrap/>
            <w:hideMark/>
          </w:tcPr>
          <w:p w14:paraId="6D0ECCCD"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48.5</w:t>
            </w:r>
          </w:p>
        </w:tc>
        <w:tc>
          <w:tcPr>
            <w:tcW w:w="1118" w:type="dxa"/>
            <w:tcBorders>
              <w:bottom w:val="nil"/>
              <w:right w:val="single" w:sz="4" w:space="0" w:color="auto"/>
            </w:tcBorders>
            <w:noWrap/>
            <w:hideMark/>
          </w:tcPr>
          <w:p w14:paraId="6BD3D07A"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3.5</w:t>
            </w:r>
          </w:p>
        </w:tc>
        <w:tc>
          <w:tcPr>
            <w:tcW w:w="1118" w:type="dxa"/>
            <w:tcBorders>
              <w:left w:val="single" w:sz="4" w:space="0" w:color="auto"/>
              <w:bottom w:val="nil"/>
            </w:tcBorders>
            <w:noWrap/>
            <w:hideMark/>
          </w:tcPr>
          <w:p w14:paraId="37F1C9D6"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27.4</w:t>
            </w:r>
          </w:p>
        </w:tc>
        <w:tc>
          <w:tcPr>
            <w:tcW w:w="1118" w:type="dxa"/>
            <w:tcBorders>
              <w:bottom w:val="nil"/>
            </w:tcBorders>
            <w:noWrap/>
            <w:hideMark/>
          </w:tcPr>
          <w:p w14:paraId="51D8F7C6"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51.1</w:t>
            </w:r>
          </w:p>
        </w:tc>
        <w:tc>
          <w:tcPr>
            <w:tcW w:w="1118" w:type="dxa"/>
            <w:tcBorders>
              <w:bottom w:val="nil"/>
              <w:right w:val="single" w:sz="4" w:space="0" w:color="auto"/>
            </w:tcBorders>
            <w:noWrap/>
            <w:hideMark/>
          </w:tcPr>
          <w:p w14:paraId="0BA64964"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4.3</w:t>
            </w:r>
          </w:p>
        </w:tc>
        <w:tc>
          <w:tcPr>
            <w:tcW w:w="1118" w:type="dxa"/>
            <w:tcBorders>
              <w:left w:val="single" w:sz="4" w:space="0" w:color="auto"/>
              <w:bottom w:val="nil"/>
            </w:tcBorders>
            <w:noWrap/>
            <w:hideMark/>
          </w:tcPr>
          <w:p w14:paraId="055A285F"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25.7</w:t>
            </w:r>
          </w:p>
        </w:tc>
        <w:tc>
          <w:tcPr>
            <w:tcW w:w="1118" w:type="dxa"/>
            <w:tcBorders>
              <w:bottom w:val="nil"/>
            </w:tcBorders>
            <w:noWrap/>
            <w:hideMark/>
          </w:tcPr>
          <w:p w14:paraId="6ECB69F9"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48.5</w:t>
            </w:r>
          </w:p>
        </w:tc>
        <w:tc>
          <w:tcPr>
            <w:tcW w:w="1118" w:type="dxa"/>
            <w:tcBorders>
              <w:bottom w:val="nil"/>
              <w:right w:val="single" w:sz="4" w:space="0" w:color="auto"/>
            </w:tcBorders>
            <w:noWrap/>
            <w:hideMark/>
          </w:tcPr>
          <w:p w14:paraId="0CAD6EC5"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3.5</w:t>
            </w:r>
          </w:p>
        </w:tc>
      </w:tr>
      <w:tr w:rsidR="00B86BF1" w:rsidRPr="00A743C9" w14:paraId="038D51B9" w14:textId="77777777" w:rsidTr="000376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6" w:type="dxa"/>
            <w:tcBorders>
              <w:left w:val="single" w:sz="4" w:space="0" w:color="auto"/>
              <w:bottom w:val="nil"/>
              <w:right w:val="single" w:sz="4" w:space="0" w:color="auto"/>
            </w:tcBorders>
            <w:noWrap/>
            <w:hideMark/>
          </w:tcPr>
          <w:p w14:paraId="4EAF857F" w14:textId="77777777" w:rsidR="00B86BF1" w:rsidRPr="00A743C9" w:rsidRDefault="00B86BF1" w:rsidP="000376C7">
            <w:pPr>
              <w:rPr>
                <w:rFonts w:eastAsia="Times New Roman" w:cs="Calibri"/>
                <w:color w:val="auto"/>
                <w:sz w:val="16"/>
                <w:szCs w:val="16"/>
              </w:rPr>
            </w:pPr>
            <w:r w:rsidRPr="00A743C9">
              <w:rPr>
                <w:rFonts w:eastAsia="Times New Roman" w:cs="Calibri"/>
                <w:color w:val="auto"/>
                <w:sz w:val="16"/>
                <w:szCs w:val="16"/>
              </w:rPr>
              <w:t>Republic of Moldova</w:t>
            </w:r>
          </w:p>
        </w:tc>
        <w:tc>
          <w:tcPr>
            <w:tcW w:w="1119" w:type="dxa"/>
            <w:tcBorders>
              <w:left w:val="single" w:sz="4" w:space="0" w:color="auto"/>
              <w:bottom w:val="nil"/>
            </w:tcBorders>
            <w:noWrap/>
            <w:hideMark/>
          </w:tcPr>
          <w:p w14:paraId="3EA1274A"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23.8</w:t>
            </w:r>
          </w:p>
        </w:tc>
        <w:tc>
          <w:tcPr>
            <w:tcW w:w="1119" w:type="dxa"/>
            <w:tcBorders>
              <w:bottom w:val="nil"/>
            </w:tcBorders>
            <w:noWrap/>
            <w:hideMark/>
          </w:tcPr>
          <w:p w14:paraId="476D06AB"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44.8</w:t>
            </w:r>
          </w:p>
        </w:tc>
        <w:tc>
          <w:tcPr>
            <w:tcW w:w="1119" w:type="dxa"/>
            <w:tcBorders>
              <w:bottom w:val="nil"/>
              <w:right w:val="single" w:sz="4" w:space="0" w:color="auto"/>
            </w:tcBorders>
            <w:noWrap/>
            <w:hideMark/>
          </w:tcPr>
          <w:p w14:paraId="3CA59E38"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5.4</w:t>
            </w:r>
          </w:p>
        </w:tc>
        <w:tc>
          <w:tcPr>
            <w:tcW w:w="1119" w:type="dxa"/>
            <w:tcBorders>
              <w:left w:val="single" w:sz="4" w:space="0" w:color="auto"/>
              <w:bottom w:val="nil"/>
            </w:tcBorders>
            <w:noWrap/>
            <w:hideMark/>
          </w:tcPr>
          <w:p w14:paraId="38B3AADA"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20.1</w:t>
            </w:r>
          </w:p>
        </w:tc>
        <w:tc>
          <w:tcPr>
            <w:tcW w:w="1118" w:type="dxa"/>
            <w:tcBorders>
              <w:bottom w:val="nil"/>
            </w:tcBorders>
            <w:noWrap/>
            <w:hideMark/>
          </w:tcPr>
          <w:p w14:paraId="5FAE453C"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38.1</w:t>
            </w:r>
          </w:p>
        </w:tc>
        <w:tc>
          <w:tcPr>
            <w:tcW w:w="1118" w:type="dxa"/>
            <w:tcBorders>
              <w:bottom w:val="nil"/>
              <w:right w:val="single" w:sz="4" w:space="0" w:color="auto"/>
            </w:tcBorders>
            <w:noWrap/>
            <w:hideMark/>
          </w:tcPr>
          <w:p w14:paraId="3BA2F90C"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4.3</w:t>
            </w:r>
          </w:p>
        </w:tc>
        <w:tc>
          <w:tcPr>
            <w:tcW w:w="1118" w:type="dxa"/>
            <w:tcBorders>
              <w:left w:val="single" w:sz="4" w:space="0" w:color="auto"/>
              <w:bottom w:val="nil"/>
            </w:tcBorders>
            <w:noWrap/>
            <w:hideMark/>
          </w:tcPr>
          <w:p w14:paraId="76390A90"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21.6</w:t>
            </w:r>
          </w:p>
        </w:tc>
        <w:tc>
          <w:tcPr>
            <w:tcW w:w="1118" w:type="dxa"/>
            <w:tcBorders>
              <w:bottom w:val="nil"/>
            </w:tcBorders>
            <w:noWrap/>
            <w:hideMark/>
          </w:tcPr>
          <w:p w14:paraId="055721EA"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40.7</w:t>
            </w:r>
          </w:p>
        </w:tc>
        <w:tc>
          <w:tcPr>
            <w:tcW w:w="1118" w:type="dxa"/>
            <w:tcBorders>
              <w:bottom w:val="nil"/>
              <w:right w:val="single" w:sz="4" w:space="0" w:color="auto"/>
            </w:tcBorders>
            <w:noWrap/>
            <w:hideMark/>
          </w:tcPr>
          <w:p w14:paraId="7ABCBB30"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4.8</w:t>
            </w:r>
          </w:p>
        </w:tc>
        <w:tc>
          <w:tcPr>
            <w:tcW w:w="1118" w:type="dxa"/>
            <w:tcBorders>
              <w:left w:val="single" w:sz="4" w:space="0" w:color="auto"/>
              <w:bottom w:val="nil"/>
            </w:tcBorders>
            <w:noWrap/>
            <w:hideMark/>
          </w:tcPr>
          <w:p w14:paraId="35660E95"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17.9</w:t>
            </w:r>
          </w:p>
        </w:tc>
        <w:tc>
          <w:tcPr>
            <w:tcW w:w="1118" w:type="dxa"/>
            <w:tcBorders>
              <w:bottom w:val="nil"/>
            </w:tcBorders>
            <w:noWrap/>
            <w:hideMark/>
          </w:tcPr>
          <w:p w14:paraId="274A4492"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34</w:t>
            </w:r>
          </w:p>
        </w:tc>
        <w:tc>
          <w:tcPr>
            <w:tcW w:w="1118" w:type="dxa"/>
            <w:tcBorders>
              <w:bottom w:val="nil"/>
              <w:right w:val="single" w:sz="4" w:space="0" w:color="auto"/>
            </w:tcBorders>
            <w:noWrap/>
            <w:hideMark/>
          </w:tcPr>
          <w:p w14:paraId="673551BB"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3.8</w:t>
            </w:r>
          </w:p>
        </w:tc>
      </w:tr>
      <w:tr w:rsidR="00B86BF1" w:rsidRPr="00A743C9" w14:paraId="6E8D1330" w14:textId="77777777" w:rsidTr="000376C7">
        <w:trPr>
          <w:trHeight w:val="300"/>
        </w:trPr>
        <w:tc>
          <w:tcPr>
            <w:cnfStyle w:val="001000000000" w:firstRow="0" w:lastRow="0" w:firstColumn="1" w:lastColumn="0" w:oddVBand="0" w:evenVBand="0" w:oddHBand="0" w:evenHBand="0" w:firstRowFirstColumn="0" w:firstRowLastColumn="0" w:lastRowFirstColumn="0" w:lastRowLastColumn="0"/>
            <w:tcW w:w="1606" w:type="dxa"/>
            <w:tcBorders>
              <w:left w:val="single" w:sz="4" w:space="0" w:color="auto"/>
              <w:bottom w:val="nil"/>
              <w:right w:val="single" w:sz="4" w:space="0" w:color="auto"/>
            </w:tcBorders>
            <w:noWrap/>
            <w:hideMark/>
          </w:tcPr>
          <w:p w14:paraId="5F84D110" w14:textId="77777777" w:rsidR="00B86BF1" w:rsidRPr="00A743C9" w:rsidRDefault="00B86BF1" w:rsidP="000376C7">
            <w:pPr>
              <w:rPr>
                <w:rFonts w:eastAsia="Times New Roman" w:cs="Calibri"/>
                <w:color w:val="auto"/>
                <w:sz w:val="16"/>
                <w:szCs w:val="16"/>
              </w:rPr>
            </w:pPr>
            <w:r w:rsidRPr="00A743C9">
              <w:rPr>
                <w:rFonts w:eastAsia="Times New Roman" w:cs="Calibri"/>
                <w:color w:val="auto"/>
                <w:sz w:val="16"/>
                <w:szCs w:val="16"/>
              </w:rPr>
              <w:t>Romania</w:t>
            </w:r>
          </w:p>
        </w:tc>
        <w:tc>
          <w:tcPr>
            <w:tcW w:w="1119" w:type="dxa"/>
            <w:tcBorders>
              <w:left w:val="single" w:sz="4" w:space="0" w:color="auto"/>
              <w:bottom w:val="nil"/>
            </w:tcBorders>
            <w:noWrap/>
            <w:hideMark/>
          </w:tcPr>
          <w:p w14:paraId="05554F1F"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30.5</w:t>
            </w:r>
          </w:p>
        </w:tc>
        <w:tc>
          <w:tcPr>
            <w:tcW w:w="1119" w:type="dxa"/>
            <w:tcBorders>
              <w:bottom w:val="nil"/>
            </w:tcBorders>
            <w:noWrap/>
            <w:hideMark/>
          </w:tcPr>
          <w:p w14:paraId="34C918DA"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38.5</w:t>
            </w:r>
          </w:p>
        </w:tc>
        <w:tc>
          <w:tcPr>
            <w:tcW w:w="1119" w:type="dxa"/>
            <w:tcBorders>
              <w:bottom w:val="nil"/>
              <w:right w:val="single" w:sz="4" w:space="0" w:color="auto"/>
            </w:tcBorders>
            <w:noWrap/>
            <w:hideMark/>
          </w:tcPr>
          <w:p w14:paraId="21CB2CB4"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23.1</w:t>
            </w:r>
          </w:p>
        </w:tc>
        <w:tc>
          <w:tcPr>
            <w:tcW w:w="1119" w:type="dxa"/>
            <w:tcBorders>
              <w:left w:val="single" w:sz="4" w:space="0" w:color="auto"/>
              <w:bottom w:val="nil"/>
            </w:tcBorders>
            <w:noWrap/>
            <w:hideMark/>
          </w:tcPr>
          <w:p w14:paraId="0A7EB023"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25.7</w:t>
            </w:r>
          </w:p>
        </w:tc>
        <w:tc>
          <w:tcPr>
            <w:tcW w:w="1118" w:type="dxa"/>
            <w:tcBorders>
              <w:bottom w:val="nil"/>
            </w:tcBorders>
            <w:noWrap/>
            <w:hideMark/>
          </w:tcPr>
          <w:p w14:paraId="3937F1C7"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33.4</w:t>
            </w:r>
          </w:p>
        </w:tc>
        <w:tc>
          <w:tcPr>
            <w:tcW w:w="1118" w:type="dxa"/>
            <w:tcBorders>
              <w:bottom w:val="nil"/>
              <w:right w:val="single" w:sz="4" w:space="0" w:color="auto"/>
            </w:tcBorders>
            <w:noWrap/>
            <w:hideMark/>
          </w:tcPr>
          <w:p w14:paraId="32432893"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18.6</w:t>
            </w:r>
          </w:p>
        </w:tc>
        <w:tc>
          <w:tcPr>
            <w:tcW w:w="1118" w:type="dxa"/>
            <w:tcBorders>
              <w:left w:val="single" w:sz="4" w:space="0" w:color="auto"/>
              <w:bottom w:val="nil"/>
            </w:tcBorders>
            <w:noWrap/>
            <w:hideMark/>
          </w:tcPr>
          <w:p w14:paraId="55785B9A"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26.7</w:t>
            </w:r>
          </w:p>
        </w:tc>
        <w:tc>
          <w:tcPr>
            <w:tcW w:w="1118" w:type="dxa"/>
            <w:tcBorders>
              <w:bottom w:val="nil"/>
            </w:tcBorders>
            <w:noWrap/>
            <w:hideMark/>
          </w:tcPr>
          <w:p w14:paraId="055F18BD"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34.1</w:t>
            </w:r>
          </w:p>
        </w:tc>
        <w:tc>
          <w:tcPr>
            <w:tcW w:w="1118" w:type="dxa"/>
            <w:tcBorders>
              <w:bottom w:val="nil"/>
              <w:right w:val="single" w:sz="4" w:space="0" w:color="auto"/>
            </w:tcBorders>
            <w:noWrap/>
            <w:hideMark/>
          </w:tcPr>
          <w:p w14:paraId="2C44AC74"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19.8</w:t>
            </w:r>
          </w:p>
        </w:tc>
        <w:tc>
          <w:tcPr>
            <w:tcW w:w="1118" w:type="dxa"/>
            <w:tcBorders>
              <w:left w:val="single" w:sz="4" w:space="0" w:color="auto"/>
              <w:bottom w:val="nil"/>
            </w:tcBorders>
            <w:noWrap/>
            <w:hideMark/>
          </w:tcPr>
          <w:p w14:paraId="6198B4E8"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23.8</w:t>
            </w:r>
          </w:p>
        </w:tc>
        <w:tc>
          <w:tcPr>
            <w:tcW w:w="1118" w:type="dxa"/>
            <w:tcBorders>
              <w:bottom w:val="nil"/>
            </w:tcBorders>
            <w:noWrap/>
            <w:hideMark/>
          </w:tcPr>
          <w:p w14:paraId="3A610F29"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30.4</w:t>
            </w:r>
          </w:p>
        </w:tc>
        <w:tc>
          <w:tcPr>
            <w:tcW w:w="1118" w:type="dxa"/>
            <w:tcBorders>
              <w:bottom w:val="nil"/>
              <w:right w:val="single" w:sz="4" w:space="0" w:color="auto"/>
            </w:tcBorders>
            <w:noWrap/>
            <w:hideMark/>
          </w:tcPr>
          <w:p w14:paraId="388F5A6E"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17.7</w:t>
            </w:r>
          </w:p>
        </w:tc>
      </w:tr>
      <w:tr w:rsidR="00B86BF1" w:rsidRPr="00A743C9" w14:paraId="5DFFA98D" w14:textId="77777777" w:rsidTr="000376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6" w:type="dxa"/>
            <w:tcBorders>
              <w:left w:val="single" w:sz="4" w:space="0" w:color="auto"/>
              <w:bottom w:val="nil"/>
              <w:right w:val="single" w:sz="4" w:space="0" w:color="auto"/>
            </w:tcBorders>
            <w:noWrap/>
            <w:hideMark/>
          </w:tcPr>
          <w:p w14:paraId="3526017D" w14:textId="77777777" w:rsidR="00B86BF1" w:rsidRPr="00A743C9" w:rsidRDefault="00B86BF1" w:rsidP="000376C7">
            <w:pPr>
              <w:rPr>
                <w:rFonts w:eastAsia="Times New Roman" w:cs="Calibri"/>
                <w:color w:val="auto"/>
                <w:sz w:val="16"/>
                <w:szCs w:val="16"/>
              </w:rPr>
            </w:pPr>
            <w:r w:rsidRPr="00A743C9">
              <w:rPr>
                <w:rFonts w:eastAsia="Times New Roman" w:cs="Calibri"/>
                <w:color w:val="auto"/>
                <w:sz w:val="16"/>
                <w:szCs w:val="16"/>
              </w:rPr>
              <w:t>Russian Federation</w:t>
            </w:r>
          </w:p>
        </w:tc>
        <w:tc>
          <w:tcPr>
            <w:tcW w:w="1119" w:type="dxa"/>
            <w:tcBorders>
              <w:left w:val="single" w:sz="4" w:space="0" w:color="auto"/>
              <w:bottom w:val="nil"/>
            </w:tcBorders>
            <w:noWrap/>
            <w:hideMark/>
          </w:tcPr>
          <w:p w14:paraId="0E13E55D"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39.5</w:t>
            </w:r>
          </w:p>
        </w:tc>
        <w:tc>
          <w:tcPr>
            <w:tcW w:w="1119" w:type="dxa"/>
            <w:tcBorders>
              <w:bottom w:val="nil"/>
            </w:tcBorders>
            <w:noWrap/>
            <w:hideMark/>
          </w:tcPr>
          <w:p w14:paraId="2C52E92B"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59.8</w:t>
            </w:r>
          </w:p>
        </w:tc>
        <w:tc>
          <w:tcPr>
            <w:tcW w:w="1119" w:type="dxa"/>
            <w:tcBorders>
              <w:bottom w:val="nil"/>
              <w:right w:val="single" w:sz="4" w:space="0" w:color="auto"/>
            </w:tcBorders>
            <w:noWrap/>
            <w:hideMark/>
          </w:tcPr>
          <w:p w14:paraId="03C7DBEF"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22.7</w:t>
            </w:r>
          </w:p>
        </w:tc>
        <w:tc>
          <w:tcPr>
            <w:tcW w:w="1119" w:type="dxa"/>
            <w:tcBorders>
              <w:left w:val="single" w:sz="4" w:space="0" w:color="auto"/>
              <w:bottom w:val="nil"/>
            </w:tcBorders>
            <w:noWrap/>
            <w:hideMark/>
          </w:tcPr>
          <w:p w14:paraId="254D13FA"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33.4</w:t>
            </w:r>
          </w:p>
        </w:tc>
        <w:tc>
          <w:tcPr>
            <w:tcW w:w="1118" w:type="dxa"/>
            <w:tcBorders>
              <w:bottom w:val="nil"/>
            </w:tcBorders>
            <w:noWrap/>
            <w:hideMark/>
          </w:tcPr>
          <w:p w14:paraId="1904217C"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51.9</w:t>
            </w:r>
          </w:p>
        </w:tc>
        <w:tc>
          <w:tcPr>
            <w:tcW w:w="1118" w:type="dxa"/>
            <w:tcBorders>
              <w:bottom w:val="nil"/>
              <w:right w:val="single" w:sz="4" w:space="0" w:color="auto"/>
            </w:tcBorders>
            <w:noWrap/>
            <w:hideMark/>
          </w:tcPr>
          <w:p w14:paraId="4E854659"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18.1</w:t>
            </w:r>
          </w:p>
        </w:tc>
        <w:tc>
          <w:tcPr>
            <w:tcW w:w="1118" w:type="dxa"/>
            <w:tcBorders>
              <w:left w:val="single" w:sz="4" w:space="0" w:color="auto"/>
              <w:bottom w:val="nil"/>
            </w:tcBorders>
            <w:noWrap/>
            <w:hideMark/>
          </w:tcPr>
          <w:p w14:paraId="69E895ED"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36.1</w:t>
            </w:r>
          </w:p>
        </w:tc>
        <w:tc>
          <w:tcPr>
            <w:tcW w:w="1118" w:type="dxa"/>
            <w:tcBorders>
              <w:bottom w:val="nil"/>
            </w:tcBorders>
            <w:noWrap/>
            <w:hideMark/>
          </w:tcPr>
          <w:p w14:paraId="1ACC9DE2"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55</w:t>
            </w:r>
          </w:p>
        </w:tc>
        <w:tc>
          <w:tcPr>
            <w:tcW w:w="1118" w:type="dxa"/>
            <w:tcBorders>
              <w:bottom w:val="nil"/>
              <w:right w:val="single" w:sz="4" w:space="0" w:color="auto"/>
            </w:tcBorders>
            <w:noWrap/>
            <w:hideMark/>
          </w:tcPr>
          <w:p w14:paraId="36D1B973"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20.6</w:t>
            </w:r>
          </w:p>
        </w:tc>
        <w:tc>
          <w:tcPr>
            <w:tcW w:w="1118" w:type="dxa"/>
            <w:tcBorders>
              <w:left w:val="single" w:sz="4" w:space="0" w:color="auto"/>
              <w:bottom w:val="nil"/>
            </w:tcBorders>
            <w:noWrap/>
            <w:hideMark/>
          </w:tcPr>
          <w:p w14:paraId="26C43C28"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31</w:t>
            </w:r>
          </w:p>
        </w:tc>
        <w:tc>
          <w:tcPr>
            <w:tcW w:w="1118" w:type="dxa"/>
            <w:tcBorders>
              <w:bottom w:val="nil"/>
            </w:tcBorders>
            <w:noWrap/>
            <w:hideMark/>
          </w:tcPr>
          <w:p w14:paraId="51449A08"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48.2</w:t>
            </w:r>
          </w:p>
        </w:tc>
        <w:tc>
          <w:tcPr>
            <w:tcW w:w="1118" w:type="dxa"/>
            <w:tcBorders>
              <w:bottom w:val="nil"/>
              <w:right w:val="single" w:sz="4" w:space="0" w:color="auto"/>
            </w:tcBorders>
            <w:noWrap/>
            <w:hideMark/>
          </w:tcPr>
          <w:p w14:paraId="4FD5F408"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16.8</w:t>
            </w:r>
          </w:p>
        </w:tc>
      </w:tr>
      <w:tr w:rsidR="00B86BF1" w:rsidRPr="00A743C9" w14:paraId="2882345D" w14:textId="77777777" w:rsidTr="000376C7">
        <w:trPr>
          <w:trHeight w:val="300"/>
        </w:trPr>
        <w:tc>
          <w:tcPr>
            <w:cnfStyle w:val="001000000000" w:firstRow="0" w:lastRow="0" w:firstColumn="1" w:lastColumn="0" w:oddVBand="0" w:evenVBand="0" w:oddHBand="0" w:evenHBand="0" w:firstRowFirstColumn="0" w:firstRowLastColumn="0" w:lastRowFirstColumn="0" w:lastRowLastColumn="0"/>
            <w:tcW w:w="1606" w:type="dxa"/>
            <w:tcBorders>
              <w:left w:val="single" w:sz="4" w:space="0" w:color="auto"/>
              <w:bottom w:val="nil"/>
              <w:right w:val="single" w:sz="4" w:space="0" w:color="auto"/>
            </w:tcBorders>
            <w:noWrap/>
            <w:hideMark/>
          </w:tcPr>
          <w:p w14:paraId="34186D7A" w14:textId="77777777" w:rsidR="00B86BF1" w:rsidRPr="00A743C9" w:rsidRDefault="00B86BF1" w:rsidP="000376C7">
            <w:pPr>
              <w:rPr>
                <w:rFonts w:eastAsia="Times New Roman" w:cs="Calibri"/>
                <w:color w:val="auto"/>
                <w:sz w:val="16"/>
                <w:szCs w:val="16"/>
              </w:rPr>
            </w:pPr>
            <w:r w:rsidRPr="00A743C9">
              <w:rPr>
                <w:rFonts w:eastAsia="Times New Roman" w:cs="Calibri"/>
                <w:color w:val="auto"/>
                <w:sz w:val="16"/>
                <w:szCs w:val="16"/>
              </w:rPr>
              <w:t>Samoa</w:t>
            </w:r>
          </w:p>
        </w:tc>
        <w:tc>
          <w:tcPr>
            <w:tcW w:w="1119" w:type="dxa"/>
            <w:tcBorders>
              <w:left w:val="single" w:sz="4" w:space="0" w:color="auto"/>
              <w:bottom w:val="nil"/>
            </w:tcBorders>
            <w:noWrap/>
            <w:hideMark/>
          </w:tcPr>
          <w:p w14:paraId="282CA056"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32</w:t>
            </w:r>
          </w:p>
        </w:tc>
        <w:tc>
          <w:tcPr>
            <w:tcW w:w="1119" w:type="dxa"/>
            <w:tcBorders>
              <w:bottom w:val="nil"/>
            </w:tcBorders>
            <w:noWrap/>
            <w:hideMark/>
          </w:tcPr>
          <w:p w14:paraId="530FD3DD"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43.5</w:t>
            </w:r>
          </w:p>
        </w:tc>
        <w:tc>
          <w:tcPr>
            <w:tcW w:w="1119" w:type="dxa"/>
            <w:tcBorders>
              <w:bottom w:val="nil"/>
              <w:right w:val="single" w:sz="4" w:space="0" w:color="auto"/>
            </w:tcBorders>
            <w:noWrap/>
            <w:hideMark/>
          </w:tcPr>
          <w:p w14:paraId="213FB036"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19.8</w:t>
            </w:r>
          </w:p>
        </w:tc>
        <w:tc>
          <w:tcPr>
            <w:tcW w:w="1119" w:type="dxa"/>
            <w:tcBorders>
              <w:left w:val="single" w:sz="4" w:space="0" w:color="auto"/>
              <w:bottom w:val="nil"/>
            </w:tcBorders>
            <w:noWrap/>
            <w:hideMark/>
          </w:tcPr>
          <w:p w14:paraId="2357C2D0"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24.4</w:t>
            </w:r>
          </w:p>
        </w:tc>
        <w:tc>
          <w:tcPr>
            <w:tcW w:w="1118" w:type="dxa"/>
            <w:tcBorders>
              <w:bottom w:val="nil"/>
            </w:tcBorders>
            <w:noWrap/>
            <w:hideMark/>
          </w:tcPr>
          <w:p w14:paraId="78D96C11"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34</w:t>
            </w:r>
          </w:p>
        </w:tc>
        <w:tc>
          <w:tcPr>
            <w:tcW w:w="1118" w:type="dxa"/>
            <w:tcBorders>
              <w:bottom w:val="nil"/>
              <w:right w:val="single" w:sz="4" w:space="0" w:color="auto"/>
            </w:tcBorders>
            <w:noWrap/>
            <w:hideMark/>
          </w:tcPr>
          <w:p w14:paraId="4813C575"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14.1</w:t>
            </w:r>
          </w:p>
        </w:tc>
        <w:tc>
          <w:tcPr>
            <w:tcW w:w="1118" w:type="dxa"/>
            <w:tcBorders>
              <w:left w:val="single" w:sz="4" w:space="0" w:color="auto"/>
              <w:bottom w:val="nil"/>
            </w:tcBorders>
            <w:noWrap/>
            <w:hideMark/>
          </w:tcPr>
          <w:p w14:paraId="398AE7F4"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25</w:t>
            </w:r>
          </w:p>
        </w:tc>
        <w:tc>
          <w:tcPr>
            <w:tcW w:w="1118" w:type="dxa"/>
            <w:tcBorders>
              <w:bottom w:val="nil"/>
            </w:tcBorders>
            <w:noWrap/>
            <w:hideMark/>
          </w:tcPr>
          <w:p w14:paraId="20F15C4D"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34</w:t>
            </w:r>
          </w:p>
        </w:tc>
        <w:tc>
          <w:tcPr>
            <w:tcW w:w="1118" w:type="dxa"/>
            <w:tcBorders>
              <w:bottom w:val="nil"/>
              <w:right w:val="single" w:sz="4" w:space="0" w:color="auto"/>
            </w:tcBorders>
            <w:noWrap/>
            <w:hideMark/>
          </w:tcPr>
          <w:p w14:paraId="666EB596"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15.5</w:t>
            </w:r>
          </w:p>
        </w:tc>
        <w:tc>
          <w:tcPr>
            <w:tcW w:w="1118" w:type="dxa"/>
            <w:tcBorders>
              <w:left w:val="single" w:sz="4" w:space="0" w:color="auto"/>
              <w:bottom w:val="nil"/>
            </w:tcBorders>
            <w:noWrap/>
            <w:hideMark/>
          </w:tcPr>
          <w:p w14:paraId="40391D80"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21.5</w:t>
            </w:r>
          </w:p>
        </w:tc>
        <w:tc>
          <w:tcPr>
            <w:tcW w:w="1118" w:type="dxa"/>
            <w:tcBorders>
              <w:bottom w:val="nil"/>
            </w:tcBorders>
            <w:noWrap/>
            <w:hideMark/>
          </w:tcPr>
          <w:p w14:paraId="6A2D8174"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29.7</w:t>
            </w:r>
          </w:p>
        </w:tc>
        <w:tc>
          <w:tcPr>
            <w:tcW w:w="1118" w:type="dxa"/>
            <w:tcBorders>
              <w:bottom w:val="nil"/>
              <w:right w:val="single" w:sz="4" w:space="0" w:color="auto"/>
            </w:tcBorders>
            <w:noWrap/>
            <w:hideMark/>
          </w:tcPr>
          <w:p w14:paraId="6ECC23B1"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12.8</w:t>
            </w:r>
          </w:p>
        </w:tc>
      </w:tr>
      <w:tr w:rsidR="00B86BF1" w:rsidRPr="00A743C9" w14:paraId="3120F264" w14:textId="77777777" w:rsidTr="000376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6" w:type="dxa"/>
            <w:tcBorders>
              <w:left w:val="single" w:sz="4" w:space="0" w:color="auto"/>
              <w:bottom w:val="nil"/>
              <w:right w:val="single" w:sz="4" w:space="0" w:color="auto"/>
            </w:tcBorders>
            <w:noWrap/>
            <w:hideMark/>
          </w:tcPr>
          <w:p w14:paraId="261F9F64" w14:textId="77777777" w:rsidR="00B86BF1" w:rsidRPr="00A743C9" w:rsidRDefault="00B86BF1" w:rsidP="000376C7">
            <w:pPr>
              <w:rPr>
                <w:rFonts w:eastAsia="Times New Roman" w:cs="Calibri"/>
                <w:color w:val="auto"/>
                <w:sz w:val="16"/>
                <w:szCs w:val="16"/>
              </w:rPr>
            </w:pPr>
            <w:r w:rsidRPr="00A743C9">
              <w:rPr>
                <w:rFonts w:eastAsia="Times New Roman" w:cs="Calibri"/>
                <w:color w:val="auto"/>
                <w:sz w:val="16"/>
                <w:szCs w:val="16"/>
              </w:rPr>
              <w:t>Saudi Arabia</w:t>
            </w:r>
          </w:p>
        </w:tc>
        <w:tc>
          <w:tcPr>
            <w:tcW w:w="1119" w:type="dxa"/>
            <w:tcBorders>
              <w:left w:val="single" w:sz="4" w:space="0" w:color="auto"/>
              <w:bottom w:val="nil"/>
            </w:tcBorders>
            <w:noWrap/>
            <w:hideMark/>
          </w:tcPr>
          <w:p w14:paraId="26327D5F"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17.1</w:t>
            </w:r>
          </w:p>
        </w:tc>
        <w:tc>
          <w:tcPr>
            <w:tcW w:w="1119" w:type="dxa"/>
            <w:tcBorders>
              <w:bottom w:val="nil"/>
            </w:tcBorders>
            <w:noWrap/>
            <w:hideMark/>
          </w:tcPr>
          <w:p w14:paraId="7A006845"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26.8</w:t>
            </w:r>
          </w:p>
        </w:tc>
        <w:tc>
          <w:tcPr>
            <w:tcW w:w="1119" w:type="dxa"/>
            <w:tcBorders>
              <w:bottom w:val="nil"/>
              <w:right w:val="single" w:sz="4" w:space="0" w:color="auto"/>
            </w:tcBorders>
            <w:noWrap/>
            <w:hideMark/>
          </w:tcPr>
          <w:p w14:paraId="7CAD1932"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w:t>
            </w:r>
          </w:p>
        </w:tc>
        <w:tc>
          <w:tcPr>
            <w:tcW w:w="1119" w:type="dxa"/>
            <w:tcBorders>
              <w:left w:val="single" w:sz="4" w:space="0" w:color="auto"/>
              <w:bottom w:val="nil"/>
            </w:tcBorders>
            <w:noWrap/>
            <w:hideMark/>
          </w:tcPr>
          <w:p w14:paraId="17AC965E"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14.5</w:t>
            </w:r>
          </w:p>
        </w:tc>
        <w:tc>
          <w:tcPr>
            <w:tcW w:w="1118" w:type="dxa"/>
            <w:tcBorders>
              <w:bottom w:val="nil"/>
            </w:tcBorders>
            <w:noWrap/>
            <w:hideMark/>
          </w:tcPr>
          <w:p w14:paraId="531149B9"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23.1</w:t>
            </w:r>
          </w:p>
        </w:tc>
        <w:tc>
          <w:tcPr>
            <w:tcW w:w="1118" w:type="dxa"/>
            <w:tcBorders>
              <w:bottom w:val="nil"/>
              <w:right w:val="single" w:sz="4" w:space="0" w:color="auto"/>
            </w:tcBorders>
            <w:noWrap/>
            <w:hideMark/>
          </w:tcPr>
          <w:p w14:paraId="5946132D"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1.8</w:t>
            </w:r>
          </w:p>
        </w:tc>
        <w:tc>
          <w:tcPr>
            <w:tcW w:w="1118" w:type="dxa"/>
            <w:tcBorders>
              <w:left w:val="single" w:sz="4" w:space="0" w:color="auto"/>
              <w:bottom w:val="nil"/>
            </w:tcBorders>
            <w:noWrap/>
            <w:hideMark/>
          </w:tcPr>
          <w:p w14:paraId="705A7E6F"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12.9</w:t>
            </w:r>
          </w:p>
        </w:tc>
        <w:tc>
          <w:tcPr>
            <w:tcW w:w="1118" w:type="dxa"/>
            <w:tcBorders>
              <w:bottom w:val="nil"/>
            </w:tcBorders>
            <w:noWrap/>
            <w:hideMark/>
          </w:tcPr>
          <w:p w14:paraId="5AB16767"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20.2</w:t>
            </w:r>
          </w:p>
        </w:tc>
        <w:tc>
          <w:tcPr>
            <w:tcW w:w="1118" w:type="dxa"/>
            <w:tcBorders>
              <w:bottom w:val="nil"/>
              <w:right w:val="single" w:sz="4" w:space="0" w:color="auto"/>
            </w:tcBorders>
            <w:noWrap/>
            <w:hideMark/>
          </w:tcPr>
          <w:p w14:paraId="62D8B6A7"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2.2</w:t>
            </w:r>
          </w:p>
        </w:tc>
        <w:tc>
          <w:tcPr>
            <w:tcW w:w="1118" w:type="dxa"/>
            <w:tcBorders>
              <w:left w:val="single" w:sz="4" w:space="0" w:color="auto"/>
              <w:bottom w:val="nil"/>
            </w:tcBorders>
            <w:noWrap/>
            <w:hideMark/>
          </w:tcPr>
          <w:p w14:paraId="2EE41583"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10.2</w:t>
            </w:r>
          </w:p>
        </w:tc>
        <w:tc>
          <w:tcPr>
            <w:tcW w:w="1118" w:type="dxa"/>
            <w:tcBorders>
              <w:bottom w:val="nil"/>
            </w:tcBorders>
            <w:noWrap/>
            <w:hideMark/>
          </w:tcPr>
          <w:p w14:paraId="7F1A0B31"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16.8</w:t>
            </w:r>
          </w:p>
        </w:tc>
        <w:tc>
          <w:tcPr>
            <w:tcW w:w="1118" w:type="dxa"/>
            <w:tcBorders>
              <w:bottom w:val="nil"/>
              <w:right w:val="single" w:sz="4" w:space="0" w:color="auto"/>
            </w:tcBorders>
            <w:noWrap/>
            <w:hideMark/>
          </w:tcPr>
          <w:p w14:paraId="252C5761"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0.6</w:t>
            </w:r>
          </w:p>
        </w:tc>
      </w:tr>
      <w:tr w:rsidR="00B86BF1" w:rsidRPr="00A743C9" w14:paraId="73757C2B" w14:textId="77777777" w:rsidTr="000376C7">
        <w:trPr>
          <w:trHeight w:val="300"/>
        </w:trPr>
        <w:tc>
          <w:tcPr>
            <w:cnfStyle w:val="001000000000" w:firstRow="0" w:lastRow="0" w:firstColumn="1" w:lastColumn="0" w:oddVBand="0" w:evenVBand="0" w:oddHBand="0" w:evenHBand="0" w:firstRowFirstColumn="0" w:firstRowLastColumn="0" w:lastRowFirstColumn="0" w:lastRowLastColumn="0"/>
            <w:tcW w:w="1606" w:type="dxa"/>
            <w:tcBorders>
              <w:left w:val="single" w:sz="4" w:space="0" w:color="auto"/>
              <w:bottom w:val="nil"/>
              <w:right w:val="single" w:sz="4" w:space="0" w:color="auto"/>
            </w:tcBorders>
            <w:noWrap/>
            <w:hideMark/>
          </w:tcPr>
          <w:p w14:paraId="57FFAB1C" w14:textId="77777777" w:rsidR="00B86BF1" w:rsidRPr="00A743C9" w:rsidRDefault="00B86BF1" w:rsidP="000376C7">
            <w:pPr>
              <w:rPr>
                <w:rFonts w:eastAsia="Times New Roman" w:cs="Calibri"/>
                <w:color w:val="auto"/>
                <w:sz w:val="16"/>
                <w:szCs w:val="16"/>
              </w:rPr>
            </w:pPr>
            <w:r w:rsidRPr="00A743C9">
              <w:rPr>
                <w:rFonts w:eastAsia="Times New Roman" w:cs="Calibri"/>
                <w:color w:val="auto"/>
                <w:sz w:val="16"/>
                <w:szCs w:val="16"/>
              </w:rPr>
              <w:t>Senegal</w:t>
            </w:r>
          </w:p>
        </w:tc>
        <w:tc>
          <w:tcPr>
            <w:tcW w:w="1119" w:type="dxa"/>
            <w:tcBorders>
              <w:left w:val="single" w:sz="4" w:space="0" w:color="auto"/>
              <w:bottom w:val="nil"/>
            </w:tcBorders>
            <w:noWrap/>
            <w:hideMark/>
          </w:tcPr>
          <w:p w14:paraId="065447A3"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11.1</w:t>
            </w:r>
          </w:p>
        </w:tc>
        <w:tc>
          <w:tcPr>
            <w:tcW w:w="1119" w:type="dxa"/>
            <w:tcBorders>
              <w:bottom w:val="nil"/>
            </w:tcBorders>
            <w:noWrap/>
            <w:hideMark/>
          </w:tcPr>
          <w:p w14:paraId="6A4CF25B"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22.4</w:t>
            </w:r>
          </w:p>
        </w:tc>
        <w:tc>
          <w:tcPr>
            <w:tcW w:w="1119" w:type="dxa"/>
            <w:tcBorders>
              <w:bottom w:val="nil"/>
              <w:right w:val="single" w:sz="4" w:space="0" w:color="auto"/>
            </w:tcBorders>
            <w:noWrap/>
            <w:hideMark/>
          </w:tcPr>
          <w:p w14:paraId="24FA8B77"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0.8</w:t>
            </w:r>
          </w:p>
        </w:tc>
        <w:tc>
          <w:tcPr>
            <w:tcW w:w="1119" w:type="dxa"/>
            <w:tcBorders>
              <w:left w:val="single" w:sz="4" w:space="0" w:color="auto"/>
              <w:bottom w:val="nil"/>
            </w:tcBorders>
            <w:noWrap/>
            <w:hideMark/>
          </w:tcPr>
          <w:p w14:paraId="3AC5181E"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9.5</w:t>
            </w:r>
          </w:p>
        </w:tc>
        <w:tc>
          <w:tcPr>
            <w:tcW w:w="1118" w:type="dxa"/>
            <w:tcBorders>
              <w:bottom w:val="nil"/>
            </w:tcBorders>
            <w:noWrap/>
            <w:hideMark/>
          </w:tcPr>
          <w:p w14:paraId="363B001B"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19.2</w:t>
            </w:r>
          </w:p>
        </w:tc>
        <w:tc>
          <w:tcPr>
            <w:tcW w:w="1118" w:type="dxa"/>
            <w:tcBorders>
              <w:bottom w:val="nil"/>
              <w:right w:val="single" w:sz="4" w:space="0" w:color="auto"/>
            </w:tcBorders>
            <w:noWrap/>
            <w:hideMark/>
          </w:tcPr>
          <w:p w14:paraId="107FD10C"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0.6</w:t>
            </w:r>
          </w:p>
        </w:tc>
        <w:tc>
          <w:tcPr>
            <w:tcW w:w="1118" w:type="dxa"/>
            <w:tcBorders>
              <w:left w:val="single" w:sz="4" w:space="0" w:color="auto"/>
              <w:bottom w:val="nil"/>
            </w:tcBorders>
            <w:noWrap/>
            <w:hideMark/>
          </w:tcPr>
          <w:p w14:paraId="1283668B"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7.7</w:t>
            </w:r>
          </w:p>
        </w:tc>
        <w:tc>
          <w:tcPr>
            <w:tcW w:w="1118" w:type="dxa"/>
            <w:tcBorders>
              <w:bottom w:val="nil"/>
            </w:tcBorders>
            <w:noWrap/>
            <w:hideMark/>
          </w:tcPr>
          <w:p w14:paraId="5601AA47"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15.9</w:t>
            </w:r>
          </w:p>
        </w:tc>
        <w:tc>
          <w:tcPr>
            <w:tcW w:w="1118" w:type="dxa"/>
            <w:tcBorders>
              <w:bottom w:val="nil"/>
              <w:right w:val="single" w:sz="4" w:space="0" w:color="auto"/>
            </w:tcBorders>
            <w:noWrap/>
            <w:hideMark/>
          </w:tcPr>
          <w:p w14:paraId="18EE4016"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0.2</w:t>
            </w:r>
          </w:p>
        </w:tc>
        <w:tc>
          <w:tcPr>
            <w:tcW w:w="1118" w:type="dxa"/>
            <w:tcBorders>
              <w:left w:val="single" w:sz="4" w:space="0" w:color="auto"/>
              <w:bottom w:val="nil"/>
            </w:tcBorders>
            <w:noWrap/>
            <w:hideMark/>
          </w:tcPr>
          <w:p w14:paraId="071D3AC0"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6.8</w:t>
            </w:r>
          </w:p>
        </w:tc>
        <w:tc>
          <w:tcPr>
            <w:tcW w:w="1118" w:type="dxa"/>
            <w:tcBorders>
              <w:bottom w:val="nil"/>
            </w:tcBorders>
            <w:noWrap/>
            <w:hideMark/>
          </w:tcPr>
          <w:p w14:paraId="0763986B"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14.1</w:t>
            </w:r>
          </w:p>
        </w:tc>
        <w:tc>
          <w:tcPr>
            <w:tcW w:w="1118" w:type="dxa"/>
            <w:tcBorders>
              <w:bottom w:val="nil"/>
              <w:right w:val="single" w:sz="4" w:space="0" w:color="auto"/>
            </w:tcBorders>
            <w:noWrap/>
            <w:hideMark/>
          </w:tcPr>
          <w:p w14:paraId="12DAEAFC"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0.2</w:t>
            </w:r>
          </w:p>
        </w:tc>
      </w:tr>
      <w:tr w:rsidR="00B86BF1" w:rsidRPr="00A743C9" w14:paraId="5374380F" w14:textId="77777777" w:rsidTr="000376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6" w:type="dxa"/>
            <w:tcBorders>
              <w:left w:val="single" w:sz="4" w:space="0" w:color="auto"/>
              <w:bottom w:val="nil"/>
              <w:right w:val="single" w:sz="4" w:space="0" w:color="auto"/>
            </w:tcBorders>
            <w:noWrap/>
            <w:hideMark/>
          </w:tcPr>
          <w:p w14:paraId="7D29676B" w14:textId="77777777" w:rsidR="00B86BF1" w:rsidRPr="00A743C9" w:rsidRDefault="00B86BF1" w:rsidP="000376C7">
            <w:pPr>
              <w:rPr>
                <w:rFonts w:eastAsia="Times New Roman" w:cs="Calibri"/>
                <w:color w:val="auto"/>
                <w:sz w:val="16"/>
                <w:szCs w:val="16"/>
              </w:rPr>
            </w:pPr>
            <w:r w:rsidRPr="00A743C9">
              <w:rPr>
                <w:rFonts w:eastAsia="Times New Roman" w:cs="Calibri"/>
                <w:color w:val="auto"/>
                <w:sz w:val="16"/>
                <w:szCs w:val="16"/>
              </w:rPr>
              <w:t>Serbia</w:t>
            </w:r>
          </w:p>
        </w:tc>
        <w:tc>
          <w:tcPr>
            <w:tcW w:w="1119" w:type="dxa"/>
            <w:tcBorders>
              <w:left w:val="single" w:sz="4" w:space="0" w:color="auto"/>
              <w:bottom w:val="nil"/>
            </w:tcBorders>
            <w:noWrap/>
            <w:hideMark/>
          </w:tcPr>
          <w:p w14:paraId="38715FFE"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42.1</w:t>
            </w:r>
          </w:p>
        </w:tc>
        <w:tc>
          <w:tcPr>
            <w:tcW w:w="1119" w:type="dxa"/>
            <w:tcBorders>
              <w:bottom w:val="nil"/>
            </w:tcBorders>
            <w:noWrap/>
            <w:hideMark/>
          </w:tcPr>
          <w:p w14:paraId="707C714E"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44.6</w:t>
            </w:r>
          </w:p>
        </w:tc>
        <w:tc>
          <w:tcPr>
            <w:tcW w:w="1119" w:type="dxa"/>
            <w:tcBorders>
              <w:bottom w:val="nil"/>
              <w:right w:val="single" w:sz="4" w:space="0" w:color="auto"/>
            </w:tcBorders>
            <w:noWrap/>
            <w:hideMark/>
          </w:tcPr>
          <w:p w14:paraId="7113BBF6"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39.7</w:t>
            </w:r>
          </w:p>
        </w:tc>
        <w:tc>
          <w:tcPr>
            <w:tcW w:w="1119" w:type="dxa"/>
            <w:tcBorders>
              <w:left w:val="single" w:sz="4" w:space="0" w:color="auto"/>
              <w:bottom w:val="nil"/>
            </w:tcBorders>
            <w:noWrap/>
            <w:hideMark/>
          </w:tcPr>
          <w:p w14:paraId="1D1ECBAC"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33.5</w:t>
            </w:r>
          </w:p>
        </w:tc>
        <w:tc>
          <w:tcPr>
            <w:tcW w:w="1118" w:type="dxa"/>
            <w:tcBorders>
              <w:bottom w:val="nil"/>
            </w:tcBorders>
            <w:noWrap/>
            <w:hideMark/>
          </w:tcPr>
          <w:p w14:paraId="41785057"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36.4</w:t>
            </w:r>
          </w:p>
        </w:tc>
        <w:tc>
          <w:tcPr>
            <w:tcW w:w="1118" w:type="dxa"/>
            <w:tcBorders>
              <w:bottom w:val="nil"/>
              <w:right w:val="single" w:sz="4" w:space="0" w:color="auto"/>
            </w:tcBorders>
            <w:noWrap/>
            <w:hideMark/>
          </w:tcPr>
          <w:p w14:paraId="3FAEDEB1"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30.8</w:t>
            </w:r>
          </w:p>
        </w:tc>
        <w:tc>
          <w:tcPr>
            <w:tcW w:w="1118" w:type="dxa"/>
            <w:tcBorders>
              <w:left w:val="single" w:sz="4" w:space="0" w:color="auto"/>
              <w:bottom w:val="nil"/>
            </w:tcBorders>
            <w:noWrap/>
            <w:hideMark/>
          </w:tcPr>
          <w:p w14:paraId="32A1F1E9"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33.8</w:t>
            </w:r>
          </w:p>
        </w:tc>
        <w:tc>
          <w:tcPr>
            <w:tcW w:w="1118" w:type="dxa"/>
            <w:tcBorders>
              <w:bottom w:val="nil"/>
            </w:tcBorders>
            <w:noWrap/>
            <w:hideMark/>
          </w:tcPr>
          <w:p w14:paraId="09CA47AC"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36.3</w:t>
            </w:r>
          </w:p>
        </w:tc>
        <w:tc>
          <w:tcPr>
            <w:tcW w:w="1118" w:type="dxa"/>
            <w:tcBorders>
              <w:bottom w:val="nil"/>
              <w:right w:val="single" w:sz="4" w:space="0" w:color="auto"/>
            </w:tcBorders>
            <w:noWrap/>
            <w:hideMark/>
          </w:tcPr>
          <w:p w14:paraId="302C44A9"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31.4</w:t>
            </w:r>
          </w:p>
        </w:tc>
        <w:tc>
          <w:tcPr>
            <w:tcW w:w="1118" w:type="dxa"/>
            <w:tcBorders>
              <w:left w:val="single" w:sz="4" w:space="0" w:color="auto"/>
              <w:bottom w:val="nil"/>
            </w:tcBorders>
            <w:noWrap/>
            <w:hideMark/>
          </w:tcPr>
          <w:p w14:paraId="2D52E38F"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31.1</w:t>
            </w:r>
          </w:p>
        </w:tc>
        <w:tc>
          <w:tcPr>
            <w:tcW w:w="1118" w:type="dxa"/>
            <w:tcBorders>
              <w:bottom w:val="nil"/>
            </w:tcBorders>
            <w:noWrap/>
            <w:hideMark/>
          </w:tcPr>
          <w:p w14:paraId="5FF0A875"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33.6</w:t>
            </w:r>
          </w:p>
        </w:tc>
        <w:tc>
          <w:tcPr>
            <w:tcW w:w="1118" w:type="dxa"/>
            <w:tcBorders>
              <w:bottom w:val="nil"/>
              <w:right w:val="single" w:sz="4" w:space="0" w:color="auto"/>
            </w:tcBorders>
            <w:noWrap/>
            <w:hideMark/>
          </w:tcPr>
          <w:p w14:paraId="2E7B8398"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28.7</w:t>
            </w:r>
          </w:p>
        </w:tc>
      </w:tr>
      <w:tr w:rsidR="00B86BF1" w:rsidRPr="00A743C9" w14:paraId="6FCF3B5A" w14:textId="77777777" w:rsidTr="000376C7">
        <w:trPr>
          <w:trHeight w:val="324"/>
        </w:trPr>
        <w:tc>
          <w:tcPr>
            <w:cnfStyle w:val="001000000000" w:firstRow="0" w:lastRow="0" w:firstColumn="1" w:lastColumn="0" w:oddVBand="0" w:evenVBand="0" w:oddHBand="0" w:evenHBand="0" w:firstRowFirstColumn="0" w:firstRowLastColumn="0" w:lastRowFirstColumn="0" w:lastRowLastColumn="0"/>
            <w:tcW w:w="1606" w:type="dxa"/>
            <w:tcBorders>
              <w:left w:val="single" w:sz="4" w:space="0" w:color="auto"/>
              <w:bottom w:val="nil"/>
              <w:right w:val="single" w:sz="4" w:space="0" w:color="auto"/>
            </w:tcBorders>
            <w:noWrap/>
            <w:hideMark/>
          </w:tcPr>
          <w:p w14:paraId="2C97691F" w14:textId="77777777" w:rsidR="00B86BF1" w:rsidRPr="00A743C9" w:rsidRDefault="00B86BF1" w:rsidP="000376C7">
            <w:pPr>
              <w:rPr>
                <w:rFonts w:eastAsia="Times New Roman" w:cs="Calibri"/>
                <w:color w:val="auto"/>
                <w:sz w:val="16"/>
                <w:szCs w:val="16"/>
              </w:rPr>
            </w:pPr>
            <w:r w:rsidRPr="00A743C9">
              <w:rPr>
                <w:rFonts w:eastAsia="Times New Roman" w:cs="Calibri"/>
                <w:color w:val="auto"/>
                <w:sz w:val="16"/>
                <w:szCs w:val="16"/>
              </w:rPr>
              <w:t>Seychelles</w:t>
            </w:r>
          </w:p>
        </w:tc>
        <w:tc>
          <w:tcPr>
            <w:tcW w:w="1119" w:type="dxa"/>
            <w:tcBorders>
              <w:left w:val="single" w:sz="4" w:space="0" w:color="auto"/>
              <w:bottom w:val="nil"/>
            </w:tcBorders>
            <w:noWrap/>
            <w:hideMark/>
          </w:tcPr>
          <w:p w14:paraId="47A8A3A7"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26.7</w:t>
            </w:r>
          </w:p>
        </w:tc>
        <w:tc>
          <w:tcPr>
            <w:tcW w:w="1119" w:type="dxa"/>
            <w:tcBorders>
              <w:bottom w:val="nil"/>
            </w:tcBorders>
            <w:noWrap/>
            <w:hideMark/>
          </w:tcPr>
          <w:p w14:paraId="2B9B0BE5"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43.7</w:t>
            </w:r>
          </w:p>
        </w:tc>
        <w:tc>
          <w:tcPr>
            <w:tcW w:w="1119" w:type="dxa"/>
            <w:tcBorders>
              <w:bottom w:val="nil"/>
              <w:right w:val="single" w:sz="4" w:space="0" w:color="auto"/>
            </w:tcBorders>
            <w:noWrap/>
            <w:hideMark/>
          </w:tcPr>
          <w:p w14:paraId="76241BF1"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9</w:t>
            </w:r>
          </w:p>
        </w:tc>
        <w:tc>
          <w:tcPr>
            <w:tcW w:w="1119" w:type="dxa"/>
            <w:tcBorders>
              <w:left w:val="single" w:sz="4" w:space="0" w:color="auto"/>
              <w:bottom w:val="nil"/>
            </w:tcBorders>
            <w:noWrap/>
            <w:hideMark/>
          </w:tcPr>
          <w:p w14:paraId="6250DEE4"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20.7</w:t>
            </w:r>
          </w:p>
        </w:tc>
        <w:tc>
          <w:tcPr>
            <w:tcW w:w="1118" w:type="dxa"/>
            <w:tcBorders>
              <w:bottom w:val="nil"/>
            </w:tcBorders>
            <w:noWrap/>
            <w:hideMark/>
          </w:tcPr>
          <w:p w14:paraId="5383B1DC"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34.3</w:t>
            </w:r>
          </w:p>
        </w:tc>
        <w:tc>
          <w:tcPr>
            <w:tcW w:w="1118" w:type="dxa"/>
            <w:tcBorders>
              <w:bottom w:val="nil"/>
              <w:right w:val="single" w:sz="4" w:space="0" w:color="auto"/>
            </w:tcBorders>
            <w:noWrap/>
            <w:hideMark/>
          </w:tcPr>
          <w:p w14:paraId="7E4B2760"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6.6</w:t>
            </w:r>
          </w:p>
        </w:tc>
        <w:tc>
          <w:tcPr>
            <w:tcW w:w="1118" w:type="dxa"/>
            <w:tcBorders>
              <w:left w:val="single" w:sz="4" w:space="0" w:color="auto"/>
              <w:bottom w:val="nil"/>
            </w:tcBorders>
            <w:noWrap/>
            <w:hideMark/>
          </w:tcPr>
          <w:p w14:paraId="243281A4"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20.3</w:t>
            </w:r>
          </w:p>
        </w:tc>
        <w:tc>
          <w:tcPr>
            <w:tcW w:w="1118" w:type="dxa"/>
            <w:tcBorders>
              <w:bottom w:val="nil"/>
            </w:tcBorders>
            <w:noWrap/>
            <w:hideMark/>
          </w:tcPr>
          <w:p w14:paraId="40A43C7B"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34.7</w:t>
            </w:r>
          </w:p>
        </w:tc>
        <w:tc>
          <w:tcPr>
            <w:tcW w:w="1118" w:type="dxa"/>
            <w:tcBorders>
              <w:bottom w:val="nil"/>
              <w:right w:val="single" w:sz="4" w:space="0" w:color="auto"/>
            </w:tcBorders>
            <w:noWrap/>
            <w:hideMark/>
          </w:tcPr>
          <w:p w14:paraId="77B11498"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5.5</w:t>
            </w:r>
          </w:p>
        </w:tc>
        <w:tc>
          <w:tcPr>
            <w:tcW w:w="1118" w:type="dxa"/>
            <w:tcBorders>
              <w:left w:val="single" w:sz="4" w:space="0" w:color="auto"/>
              <w:bottom w:val="nil"/>
            </w:tcBorders>
            <w:noWrap/>
            <w:hideMark/>
          </w:tcPr>
          <w:p w14:paraId="5F700A38"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15.7</w:t>
            </w:r>
          </w:p>
        </w:tc>
        <w:tc>
          <w:tcPr>
            <w:tcW w:w="1118" w:type="dxa"/>
            <w:tcBorders>
              <w:bottom w:val="nil"/>
            </w:tcBorders>
            <w:noWrap/>
            <w:hideMark/>
          </w:tcPr>
          <w:p w14:paraId="6845020C"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27.7</w:t>
            </w:r>
          </w:p>
        </w:tc>
        <w:tc>
          <w:tcPr>
            <w:tcW w:w="1118" w:type="dxa"/>
            <w:tcBorders>
              <w:bottom w:val="nil"/>
              <w:right w:val="single" w:sz="4" w:space="0" w:color="auto"/>
            </w:tcBorders>
            <w:noWrap/>
            <w:hideMark/>
          </w:tcPr>
          <w:p w14:paraId="3A6C824B"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3.1</w:t>
            </w:r>
          </w:p>
        </w:tc>
      </w:tr>
      <w:tr w:rsidR="00B86BF1" w:rsidRPr="00A743C9" w14:paraId="269EB185" w14:textId="77777777" w:rsidTr="000376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6" w:type="dxa"/>
            <w:tcBorders>
              <w:left w:val="single" w:sz="4" w:space="0" w:color="auto"/>
              <w:bottom w:val="nil"/>
              <w:right w:val="single" w:sz="4" w:space="0" w:color="auto"/>
            </w:tcBorders>
            <w:noWrap/>
            <w:hideMark/>
          </w:tcPr>
          <w:p w14:paraId="7C24F02A" w14:textId="77777777" w:rsidR="00B86BF1" w:rsidRPr="00A743C9" w:rsidRDefault="00B86BF1" w:rsidP="000376C7">
            <w:pPr>
              <w:rPr>
                <w:rFonts w:eastAsia="Times New Roman" w:cs="Calibri"/>
                <w:color w:val="auto"/>
                <w:sz w:val="16"/>
                <w:szCs w:val="16"/>
              </w:rPr>
            </w:pPr>
            <w:r w:rsidRPr="00A743C9">
              <w:rPr>
                <w:rFonts w:eastAsia="Times New Roman" w:cs="Calibri"/>
                <w:color w:val="auto"/>
                <w:sz w:val="16"/>
                <w:szCs w:val="16"/>
              </w:rPr>
              <w:t>Sierra Leone</w:t>
            </w:r>
          </w:p>
        </w:tc>
        <w:tc>
          <w:tcPr>
            <w:tcW w:w="1119" w:type="dxa"/>
            <w:tcBorders>
              <w:left w:val="single" w:sz="4" w:space="0" w:color="auto"/>
              <w:bottom w:val="nil"/>
            </w:tcBorders>
            <w:noWrap/>
            <w:hideMark/>
          </w:tcPr>
          <w:p w14:paraId="301E80DB"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34.4</w:t>
            </w:r>
          </w:p>
        </w:tc>
        <w:tc>
          <w:tcPr>
            <w:tcW w:w="1119" w:type="dxa"/>
            <w:tcBorders>
              <w:bottom w:val="nil"/>
            </w:tcBorders>
            <w:noWrap/>
            <w:hideMark/>
          </w:tcPr>
          <w:p w14:paraId="1D42264E"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56.4</w:t>
            </w:r>
          </w:p>
        </w:tc>
        <w:tc>
          <w:tcPr>
            <w:tcW w:w="1119" w:type="dxa"/>
            <w:tcBorders>
              <w:bottom w:val="nil"/>
              <w:right w:val="single" w:sz="4" w:space="0" w:color="auto"/>
            </w:tcBorders>
            <w:noWrap/>
            <w:hideMark/>
          </w:tcPr>
          <w:p w14:paraId="0DC44286"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12.9</w:t>
            </w:r>
          </w:p>
        </w:tc>
        <w:tc>
          <w:tcPr>
            <w:tcW w:w="1119" w:type="dxa"/>
            <w:tcBorders>
              <w:left w:val="single" w:sz="4" w:space="0" w:color="auto"/>
              <w:bottom w:val="nil"/>
            </w:tcBorders>
            <w:noWrap/>
            <w:hideMark/>
          </w:tcPr>
          <w:p w14:paraId="3D38CD65"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25.7</w:t>
            </w:r>
          </w:p>
        </w:tc>
        <w:tc>
          <w:tcPr>
            <w:tcW w:w="1118" w:type="dxa"/>
            <w:tcBorders>
              <w:bottom w:val="nil"/>
            </w:tcBorders>
            <w:noWrap/>
            <w:hideMark/>
          </w:tcPr>
          <w:p w14:paraId="472C76CE"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43.4</w:t>
            </w:r>
          </w:p>
        </w:tc>
        <w:tc>
          <w:tcPr>
            <w:tcW w:w="1118" w:type="dxa"/>
            <w:tcBorders>
              <w:bottom w:val="nil"/>
              <w:right w:val="single" w:sz="4" w:space="0" w:color="auto"/>
            </w:tcBorders>
            <w:noWrap/>
            <w:hideMark/>
          </w:tcPr>
          <w:p w14:paraId="0FD691E2"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8.5</w:t>
            </w:r>
          </w:p>
        </w:tc>
        <w:tc>
          <w:tcPr>
            <w:tcW w:w="1118" w:type="dxa"/>
            <w:tcBorders>
              <w:left w:val="single" w:sz="4" w:space="0" w:color="auto"/>
              <w:bottom w:val="nil"/>
            </w:tcBorders>
            <w:noWrap/>
            <w:hideMark/>
          </w:tcPr>
          <w:p w14:paraId="35A744CC"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23.5</w:t>
            </w:r>
          </w:p>
        </w:tc>
        <w:tc>
          <w:tcPr>
            <w:tcW w:w="1118" w:type="dxa"/>
            <w:tcBorders>
              <w:bottom w:val="nil"/>
            </w:tcBorders>
            <w:noWrap/>
            <w:hideMark/>
          </w:tcPr>
          <w:p w14:paraId="6D071AB3"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43</w:t>
            </w:r>
          </w:p>
        </w:tc>
        <w:tc>
          <w:tcPr>
            <w:tcW w:w="1118" w:type="dxa"/>
            <w:tcBorders>
              <w:bottom w:val="nil"/>
              <w:right w:val="single" w:sz="4" w:space="0" w:color="auto"/>
            </w:tcBorders>
            <w:noWrap/>
            <w:hideMark/>
          </w:tcPr>
          <w:p w14:paraId="44984801"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4.5</w:t>
            </w:r>
          </w:p>
        </w:tc>
        <w:tc>
          <w:tcPr>
            <w:tcW w:w="1118" w:type="dxa"/>
            <w:tcBorders>
              <w:left w:val="single" w:sz="4" w:space="0" w:color="auto"/>
              <w:bottom w:val="nil"/>
            </w:tcBorders>
            <w:noWrap/>
            <w:hideMark/>
          </w:tcPr>
          <w:p w14:paraId="210F1553"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20.6</w:t>
            </w:r>
          </w:p>
        </w:tc>
        <w:tc>
          <w:tcPr>
            <w:tcW w:w="1118" w:type="dxa"/>
            <w:tcBorders>
              <w:bottom w:val="nil"/>
            </w:tcBorders>
            <w:noWrap/>
            <w:hideMark/>
          </w:tcPr>
          <w:p w14:paraId="5AB1C527"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38.5</w:t>
            </w:r>
          </w:p>
        </w:tc>
        <w:tc>
          <w:tcPr>
            <w:tcW w:w="1118" w:type="dxa"/>
            <w:tcBorders>
              <w:bottom w:val="nil"/>
              <w:right w:val="single" w:sz="4" w:space="0" w:color="auto"/>
            </w:tcBorders>
            <w:noWrap/>
            <w:hideMark/>
          </w:tcPr>
          <w:p w14:paraId="70E54541"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3.2</w:t>
            </w:r>
          </w:p>
        </w:tc>
      </w:tr>
      <w:tr w:rsidR="00B86BF1" w:rsidRPr="00A743C9" w14:paraId="4A254692" w14:textId="77777777" w:rsidTr="000376C7">
        <w:trPr>
          <w:trHeight w:val="300"/>
        </w:trPr>
        <w:tc>
          <w:tcPr>
            <w:cnfStyle w:val="001000000000" w:firstRow="0" w:lastRow="0" w:firstColumn="1" w:lastColumn="0" w:oddVBand="0" w:evenVBand="0" w:oddHBand="0" w:evenHBand="0" w:firstRowFirstColumn="0" w:firstRowLastColumn="0" w:lastRowFirstColumn="0" w:lastRowLastColumn="0"/>
            <w:tcW w:w="1606" w:type="dxa"/>
            <w:tcBorders>
              <w:left w:val="single" w:sz="4" w:space="0" w:color="auto"/>
              <w:bottom w:val="nil"/>
              <w:right w:val="single" w:sz="4" w:space="0" w:color="auto"/>
            </w:tcBorders>
            <w:noWrap/>
            <w:hideMark/>
          </w:tcPr>
          <w:p w14:paraId="310D0C2A" w14:textId="77777777" w:rsidR="00B86BF1" w:rsidRPr="00A743C9" w:rsidRDefault="00B86BF1" w:rsidP="000376C7">
            <w:pPr>
              <w:rPr>
                <w:rFonts w:eastAsia="Times New Roman" w:cs="Calibri"/>
                <w:color w:val="auto"/>
                <w:sz w:val="16"/>
                <w:szCs w:val="16"/>
              </w:rPr>
            </w:pPr>
            <w:r w:rsidRPr="00A743C9">
              <w:rPr>
                <w:rFonts w:eastAsia="Times New Roman" w:cs="Calibri"/>
                <w:color w:val="auto"/>
                <w:sz w:val="16"/>
                <w:szCs w:val="16"/>
              </w:rPr>
              <w:t>Singapore</w:t>
            </w:r>
          </w:p>
        </w:tc>
        <w:tc>
          <w:tcPr>
            <w:tcW w:w="1119" w:type="dxa"/>
            <w:tcBorders>
              <w:left w:val="single" w:sz="4" w:space="0" w:color="auto"/>
              <w:bottom w:val="nil"/>
            </w:tcBorders>
            <w:noWrap/>
            <w:hideMark/>
          </w:tcPr>
          <w:p w14:paraId="5C9880B9"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16.2</w:t>
            </w:r>
          </w:p>
        </w:tc>
        <w:tc>
          <w:tcPr>
            <w:tcW w:w="1119" w:type="dxa"/>
            <w:tcBorders>
              <w:bottom w:val="nil"/>
            </w:tcBorders>
            <w:noWrap/>
            <w:hideMark/>
          </w:tcPr>
          <w:p w14:paraId="618F0E66"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27.8</w:t>
            </w:r>
          </w:p>
        </w:tc>
        <w:tc>
          <w:tcPr>
            <w:tcW w:w="1119" w:type="dxa"/>
            <w:tcBorders>
              <w:bottom w:val="nil"/>
              <w:right w:val="single" w:sz="4" w:space="0" w:color="auto"/>
            </w:tcBorders>
            <w:noWrap/>
            <w:hideMark/>
          </w:tcPr>
          <w:p w14:paraId="48284D0D"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5.2</w:t>
            </w:r>
          </w:p>
        </w:tc>
        <w:tc>
          <w:tcPr>
            <w:tcW w:w="1119" w:type="dxa"/>
            <w:tcBorders>
              <w:left w:val="single" w:sz="4" w:space="0" w:color="auto"/>
              <w:bottom w:val="nil"/>
            </w:tcBorders>
            <w:noWrap/>
            <w:hideMark/>
          </w:tcPr>
          <w:p w14:paraId="4D20B813"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13.2</w:t>
            </w:r>
          </w:p>
        </w:tc>
        <w:tc>
          <w:tcPr>
            <w:tcW w:w="1118" w:type="dxa"/>
            <w:tcBorders>
              <w:bottom w:val="nil"/>
            </w:tcBorders>
            <w:noWrap/>
            <w:hideMark/>
          </w:tcPr>
          <w:p w14:paraId="7B428E42"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23.1</w:t>
            </w:r>
          </w:p>
        </w:tc>
        <w:tc>
          <w:tcPr>
            <w:tcW w:w="1118" w:type="dxa"/>
            <w:tcBorders>
              <w:bottom w:val="nil"/>
              <w:right w:val="single" w:sz="4" w:space="0" w:color="auto"/>
            </w:tcBorders>
            <w:noWrap/>
            <w:hideMark/>
          </w:tcPr>
          <w:p w14:paraId="4358869E"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3.6</w:t>
            </w:r>
          </w:p>
        </w:tc>
        <w:tc>
          <w:tcPr>
            <w:tcW w:w="1118" w:type="dxa"/>
            <w:tcBorders>
              <w:left w:val="single" w:sz="4" w:space="0" w:color="auto"/>
              <w:bottom w:val="nil"/>
            </w:tcBorders>
            <w:noWrap/>
            <w:hideMark/>
          </w:tcPr>
          <w:p w14:paraId="363132FE"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14.5</w:t>
            </w:r>
          </w:p>
        </w:tc>
        <w:tc>
          <w:tcPr>
            <w:tcW w:w="1118" w:type="dxa"/>
            <w:tcBorders>
              <w:bottom w:val="nil"/>
            </w:tcBorders>
            <w:noWrap/>
            <w:hideMark/>
          </w:tcPr>
          <w:p w14:paraId="187DFAB7"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24.8</w:t>
            </w:r>
          </w:p>
        </w:tc>
        <w:tc>
          <w:tcPr>
            <w:tcW w:w="1118" w:type="dxa"/>
            <w:tcBorders>
              <w:bottom w:val="nil"/>
              <w:right w:val="single" w:sz="4" w:space="0" w:color="auto"/>
            </w:tcBorders>
            <w:noWrap/>
            <w:hideMark/>
          </w:tcPr>
          <w:p w14:paraId="3407FA0D"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4.5</w:t>
            </w:r>
          </w:p>
        </w:tc>
        <w:tc>
          <w:tcPr>
            <w:tcW w:w="1118" w:type="dxa"/>
            <w:tcBorders>
              <w:left w:val="single" w:sz="4" w:space="0" w:color="auto"/>
              <w:bottom w:val="nil"/>
            </w:tcBorders>
            <w:noWrap/>
            <w:hideMark/>
          </w:tcPr>
          <w:p w14:paraId="311087B6"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12.4</w:t>
            </w:r>
          </w:p>
        </w:tc>
        <w:tc>
          <w:tcPr>
            <w:tcW w:w="1118" w:type="dxa"/>
            <w:tcBorders>
              <w:bottom w:val="nil"/>
            </w:tcBorders>
            <w:noWrap/>
            <w:hideMark/>
          </w:tcPr>
          <w:p w14:paraId="6233136D"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21.8</w:t>
            </w:r>
          </w:p>
        </w:tc>
        <w:tc>
          <w:tcPr>
            <w:tcW w:w="1118" w:type="dxa"/>
            <w:tcBorders>
              <w:bottom w:val="nil"/>
              <w:right w:val="single" w:sz="4" w:space="0" w:color="auto"/>
            </w:tcBorders>
            <w:noWrap/>
            <w:hideMark/>
          </w:tcPr>
          <w:p w14:paraId="5C7D3348"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3.5</w:t>
            </w:r>
          </w:p>
        </w:tc>
      </w:tr>
      <w:tr w:rsidR="00B86BF1" w:rsidRPr="00A743C9" w14:paraId="46332833" w14:textId="77777777" w:rsidTr="000376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6" w:type="dxa"/>
            <w:tcBorders>
              <w:left w:val="single" w:sz="4" w:space="0" w:color="auto"/>
              <w:bottom w:val="nil"/>
              <w:right w:val="single" w:sz="4" w:space="0" w:color="auto"/>
            </w:tcBorders>
            <w:noWrap/>
            <w:hideMark/>
          </w:tcPr>
          <w:p w14:paraId="13111AB8" w14:textId="77777777" w:rsidR="00B86BF1" w:rsidRPr="00A743C9" w:rsidRDefault="00B86BF1" w:rsidP="000376C7">
            <w:pPr>
              <w:rPr>
                <w:rFonts w:eastAsia="Times New Roman" w:cs="Calibri"/>
                <w:color w:val="auto"/>
                <w:sz w:val="16"/>
                <w:szCs w:val="16"/>
              </w:rPr>
            </w:pPr>
            <w:r w:rsidRPr="00A743C9">
              <w:rPr>
                <w:rFonts w:eastAsia="Times New Roman" w:cs="Calibri"/>
                <w:color w:val="auto"/>
                <w:sz w:val="16"/>
                <w:szCs w:val="16"/>
              </w:rPr>
              <w:t>Slovakia</w:t>
            </w:r>
          </w:p>
        </w:tc>
        <w:tc>
          <w:tcPr>
            <w:tcW w:w="1119" w:type="dxa"/>
            <w:tcBorders>
              <w:left w:val="single" w:sz="4" w:space="0" w:color="auto"/>
              <w:bottom w:val="nil"/>
            </w:tcBorders>
            <w:noWrap/>
            <w:hideMark/>
          </w:tcPr>
          <w:p w14:paraId="123AC9DB"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28.8</w:t>
            </w:r>
          </w:p>
        </w:tc>
        <w:tc>
          <w:tcPr>
            <w:tcW w:w="1119" w:type="dxa"/>
            <w:tcBorders>
              <w:bottom w:val="nil"/>
            </w:tcBorders>
            <w:noWrap/>
            <w:hideMark/>
          </w:tcPr>
          <w:p w14:paraId="745E9532"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40.4</w:t>
            </w:r>
          </w:p>
        </w:tc>
        <w:tc>
          <w:tcPr>
            <w:tcW w:w="1119" w:type="dxa"/>
            <w:tcBorders>
              <w:bottom w:val="nil"/>
              <w:right w:val="single" w:sz="4" w:space="0" w:color="auto"/>
            </w:tcBorders>
            <w:noWrap/>
            <w:hideMark/>
          </w:tcPr>
          <w:p w14:paraId="6B8E99AB"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18</w:t>
            </w:r>
          </w:p>
        </w:tc>
        <w:tc>
          <w:tcPr>
            <w:tcW w:w="1119" w:type="dxa"/>
            <w:tcBorders>
              <w:left w:val="single" w:sz="4" w:space="0" w:color="auto"/>
              <w:bottom w:val="nil"/>
            </w:tcBorders>
            <w:noWrap/>
            <w:hideMark/>
          </w:tcPr>
          <w:p w14:paraId="58AA34B9"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22</w:t>
            </w:r>
          </w:p>
        </w:tc>
        <w:tc>
          <w:tcPr>
            <w:tcW w:w="1118" w:type="dxa"/>
            <w:tcBorders>
              <w:bottom w:val="nil"/>
            </w:tcBorders>
            <w:noWrap/>
            <w:hideMark/>
          </w:tcPr>
          <w:p w14:paraId="14B583F0"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31.8</w:t>
            </w:r>
          </w:p>
        </w:tc>
        <w:tc>
          <w:tcPr>
            <w:tcW w:w="1118" w:type="dxa"/>
            <w:tcBorders>
              <w:bottom w:val="nil"/>
              <w:right w:val="single" w:sz="4" w:space="0" w:color="auto"/>
            </w:tcBorders>
            <w:noWrap/>
            <w:hideMark/>
          </w:tcPr>
          <w:p w14:paraId="129342CA"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12.9</w:t>
            </w:r>
          </w:p>
        </w:tc>
        <w:tc>
          <w:tcPr>
            <w:tcW w:w="1118" w:type="dxa"/>
            <w:tcBorders>
              <w:left w:val="single" w:sz="4" w:space="0" w:color="auto"/>
              <w:bottom w:val="nil"/>
            </w:tcBorders>
            <w:noWrap/>
            <w:hideMark/>
          </w:tcPr>
          <w:p w14:paraId="3676067E"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23.7</w:t>
            </w:r>
          </w:p>
        </w:tc>
        <w:tc>
          <w:tcPr>
            <w:tcW w:w="1118" w:type="dxa"/>
            <w:tcBorders>
              <w:bottom w:val="nil"/>
            </w:tcBorders>
            <w:noWrap/>
            <w:hideMark/>
          </w:tcPr>
          <w:p w14:paraId="68E3D1B5"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33.4</w:t>
            </w:r>
          </w:p>
        </w:tc>
        <w:tc>
          <w:tcPr>
            <w:tcW w:w="1118" w:type="dxa"/>
            <w:tcBorders>
              <w:bottom w:val="nil"/>
              <w:right w:val="single" w:sz="4" w:space="0" w:color="auto"/>
            </w:tcBorders>
            <w:noWrap/>
            <w:hideMark/>
          </w:tcPr>
          <w:p w14:paraId="06F106F7"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14.6</w:t>
            </w:r>
          </w:p>
        </w:tc>
        <w:tc>
          <w:tcPr>
            <w:tcW w:w="1118" w:type="dxa"/>
            <w:tcBorders>
              <w:left w:val="single" w:sz="4" w:space="0" w:color="auto"/>
              <w:bottom w:val="nil"/>
            </w:tcBorders>
            <w:noWrap/>
            <w:hideMark/>
          </w:tcPr>
          <w:p w14:paraId="67A4EF05"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18.8</w:t>
            </w:r>
          </w:p>
        </w:tc>
        <w:tc>
          <w:tcPr>
            <w:tcW w:w="1118" w:type="dxa"/>
            <w:tcBorders>
              <w:bottom w:val="nil"/>
            </w:tcBorders>
            <w:noWrap/>
            <w:hideMark/>
          </w:tcPr>
          <w:p w14:paraId="3D7282FC"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27.5</w:t>
            </w:r>
          </w:p>
        </w:tc>
        <w:tc>
          <w:tcPr>
            <w:tcW w:w="1118" w:type="dxa"/>
            <w:tcBorders>
              <w:bottom w:val="nil"/>
              <w:right w:val="single" w:sz="4" w:space="0" w:color="auto"/>
            </w:tcBorders>
            <w:noWrap/>
            <w:hideMark/>
          </w:tcPr>
          <w:p w14:paraId="6D17D429"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10.8</w:t>
            </w:r>
          </w:p>
        </w:tc>
      </w:tr>
      <w:tr w:rsidR="00B86BF1" w:rsidRPr="00A743C9" w14:paraId="6DC8FD73" w14:textId="77777777" w:rsidTr="000376C7">
        <w:trPr>
          <w:trHeight w:val="300"/>
        </w:trPr>
        <w:tc>
          <w:tcPr>
            <w:cnfStyle w:val="001000000000" w:firstRow="0" w:lastRow="0" w:firstColumn="1" w:lastColumn="0" w:oddVBand="0" w:evenVBand="0" w:oddHBand="0" w:evenHBand="0" w:firstRowFirstColumn="0" w:firstRowLastColumn="0" w:lastRowFirstColumn="0" w:lastRowLastColumn="0"/>
            <w:tcW w:w="1606" w:type="dxa"/>
            <w:tcBorders>
              <w:left w:val="single" w:sz="4" w:space="0" w:color="auto"/>
              <w:bottom w:val="nil"/>
              <w:right w:val="single" w:sz="4" w:space="0" w:color="auto"/>
            </w:tcBorders>
            <w:noWrap/>
            <w:hideMark/>
          </w:tcPr>
          <w:p w14:paraId="3399F762" w14:textId="77777777" w:rsidR="00B86BF1" w:rsidRPr="00A743C9" w:rsidRDefault="00B86BF1" w:rsidP="000376C7">
            <w:pPr>
              <w:rPr>
                <w:rFonts w:eastAsia="Times New Roman" w:cs="Calibri"/>
                <w:color w:val="auto"/>
                <w:sz w:val="16"/>
                <w:szCs w:val="16"/>
              </w:rPr>
            </w:pPr>
            <w:r w:rsidRPr="00A743C9">
              <w:rPr>
                <w:rFonts w:eastAsia="Times New Roman" w:cs="Calibri"/>
                <w:color w:val="auto"/>
                <w:sz w:val="16"/>
                <w:szCs w:val="16"/>
              </w:rPr>
              <w:t>Slovenia</w:t>
            </w:r>
          </w:p>
        </w:tc>
        <w:tc>
          <w:tcPr>
            <w:tcW w:w="1119" w:type="dxa"/>
            <w:tcBorders>
              <w:left w:val="single" w:sz="4" w:space="0" w:color="auto"/>
              <w:bottom w:val="nil"/>
            </w:tcBorders>
            <w:noWrap/>
            <w:hideMark/>
          </w:tcPr>
          <w:p w14:paraId="34B42FB0"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20.9</w:t>
            </w:r>
          </w:p>
        </w:tc>
        <w:tc>
          <w:tcPr>
            <w:tcW w:w="1119" w:type="dxa"/>
            <w:tcBorders>
              <w:bottom w:val="nil"/>
            </w:tcBorders>
            <w:noWrap/>
            <w:hideMark/>
          </w:tcPr>
          <w:p w14:paraId="7F96388B"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23.2</w:t>
            </w:r>
          </w:p>
        </w:tc>
        <w:tc>
          <w:tcPr>
            <w:tcW w:w="1119" w:type="dxa"/>
            <w:tcBorders>
              <w:bottom w:val="nil"/>
              <w:right w:val="single" w:sz="4" w:space="0" w:color="auto"/>
            </w:tcBorders>
            <w:noWrap/>
            <w:hideMark/>
          </w:tcPr>
          <w:p w14:paraId="410422E2"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18.7</w:t>
            </w:r>
          </w:p>
        </w:tc>
        <w:tc>
          <w:tcPr>
            <w:tcW w:w="1119" w:type="dxa"/>
            <w:tcBorders>
              <w:left w:val="single" w:sz="4" w:space="0" w:color="auto"/>
              <w:bottom w:val="nil"/>
            </w:tcBorders>
            <w:noWrap/>
            <w:hideMark/>
          </w:tcPr>
          <w:p w14:paraId="56BB11A4"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17.7</w:t>
            </w:r>
          </w:p>
        </w:tc>
        <w:tc>
          <w:tcPr>
            <w:tcW w:w="1118" w:type="dxa"/>
            <w:tcBorders>
              <w:bottom w:val="nil"/>
            </w:tcBorders>
            <w:noWrap/>
            <w:hideMark/>
          </w:tcPr>
          <w:p w14:paraId="61A09CBD"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20</w:t>
            </w:r>
          </w:p>
        </w:tc>
        <w:tc>
          <w:tcPr>
            <w:tcW w:w="1118" w:type="dxa"/>
            <w:tcBorders>
              <w:bottom w:val="nil"/>
              <w:right w:val="single" w:sz="4" w:space="0" w:color="auto"/>
            </w:tcBorders>
            <w:noWrap/>
            <w:hideMark/>
          </w:tcPr>
          <w:p w14:paraId="69A9E888"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15.4</w:t>
            </w:r>
          </w:p>
        </w:tc>
        <w:tc>
          <w:tcPr>
            <w:tcW w:w="1118" w:type="dxa"/>
            <w:tcBorders>
              <w:left w:val="single" w:sz="4" w:space="0" w:color="auto"/>
              <w:bottom w:val="nil"/>
            </w:tcBorders>
            <w:noWrap/>
            <w:hideMark/>
          </w:tcPr>
          <w:p w14:paraId="364A9C7F"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17.1</w:t>
            </w:r>
          </w:p>
        </w:tc>
        <w:tc>
          <w:tcPr>
            <w:tcW w:w="1118" w:type="dxa"/>
            <w:tcBorders>
              <w:bottom w:val="nil"/>
            </w:tcBorders>
            <w:noWrap/>
            <w:hideMark/>
          </w:tcPr>
          <w:p w14:paraId="67628DF9"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19.3</w:t>
            </w:r>
          </w:p>
        </w:tc>
        <w:tc>
          <w:tcPr>
            <w:tcW w:w="1118" w:type="dxa"/>
            <w:tcBorders>
              <w:bottom w:val="nil"/>
              <w:right w:val="single" w:sz="4" w:space="0" w:color="auto"/>
            </w:tcBorders>
            <w:noWrap/>
            <w:hideMark/>
          </w:tcPr>
          <w:p w14:paraId="4AED817E"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14.8</w:t>
            </w:r>
          </w:p>
        </w:tc>
        <w:tc>
          <w:tcPr>
            <w:tcW w:w="1118" w:type="dxa"/>
            <w:tcBorders>
              <w:left w:val="single" w:sz="4" w:space="0" w:color="auto"/>
              <w:bottom w:val="nil"/>
            </w:tcBorders>
            <w:noWrap/>
            <w:hideMark/>
          </w:tcPr>
          <w:p w14:paraId="148D982A"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14.9</w:t>
            </w:r>
          </w:p>
        </w:tc>
        <w:tc>
          <w:tcPr>
            <w:tcW w:w="1118" w:type="dxa"/>
            <w:tcBorders>
              <w:bottom w:val="nil"/>
            </w:tcBorders>
            <w:noWrap/>
            <w:hideMark/>
          </w:tcPr>
          <w:p w14:paraId="1713517C"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16.8</w:t>
            </w:r>
          </w:p>
        </w:tc>
        <w:tc>
          <w:tcPr>
            <w:tcW w:w="1118" w:type="dxa"/>
            <w:tcBorders>
              <w:bottom w:val="nil"/>
              <w:right w:val="single" w:sz="4" w:space="0" w:color="auto"/>
            </w:tcBorders>
            <w:noWrap/>
            <w:hideMark/>
          </w:tcPr>
          <w:p w14:paraId="5B29CDCC"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12.9</w:t>
            </w:r>
          </w:p>
        </w:tc>
      </w:tr>
      <w:tr w:rsidR="00B86BF1" w:rsidRPr="00A743C9" w14:paraId="3807B6B6" w14:textId="77777777" w:rsidTr="000376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6" w:type="dxa"/>
            <w:tcBorders>
              <w:left w:val="single" w:sz="4" w:space="0" w:color="auto"/>
              <w:bottom w:val="nil"/>
              <w:right w:val="single" w:sz="4" w:space="0" w:color="auto"/>
            </w:tcBorders>
            <w:noWrap/>
            <w:hideMark/>
          </w:tcPr>
          <w:p w14:paraId="52B005A9" w14:textId="77777777" w:rsidR="00B86BF1" w:rsidRPr="00A743C9" w:rsidRDefault="00B86BF1" w:rsidP="000376C7">
            <w:pPr>
              <w:rPr>
                <w:rFonts w:eastAsia="Times New Roman" w:cs="Calibri"/>
                <w:color w:val="auto"/>
                <w:sz w:val="16"/>
                <w:szCs w:val="16"/>
              </w:rPr>
            </w:pPr>
            <w:r w:rsidRPr="00A743C9">
              <w:rPr>
                <w:rFonts w:eastAsia="Times New Roman" w:cs="Calibri"/>
                <w:color w:val="auto"/>
                <w:sz w:val="16"/>
                <w:szCs w:val="16"/>
              </w:rPr>
              <w:t>South Africa</w:t>
            </w:r>
          </w:p>
        </w:tc>
        <w:tc>
          <w:tcPr>
            <w:tcW w:w="1119" w:type="dxa"/>
            <w:tcBorders>
              <w:left w:val="single" w:sz="4" w:space="0" w:color="auto"/>
              <w:bottom w:val="nil"/>
            </w:tcBorders>
            <w:noWrap/>
            <w:hideMark/>
          </w:tcPr>
          <w:p w14:paraId="45D5F8FD"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18.9</w:t>
            </w:r>
          </w:p>
        </w:tc>
        <w:tc>
          <w:tcPr>
            <w:tcW w:w="1119" w:type="dxa"/>
            <w:tcBorders>
              <w:bottom w:val="nil"/>
            </w:tcBorders>
            <w:noWrap/>
            <w:hideMark/>
          </w:tcPr>
          <w:p w14:paraId="3CBDDE86"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31.9</w:t>
            </w:r>
          </w:p>
        </w:tc>
        <w:tc>
          <w:tcPr>
            <w:tcW w:w="1119" w:type="dxa"/>
            <w:tcBorders>
              <w:bottom w:val="nil"/>
              <w:right w:val="single" w:sz="4" w:space="0" w:color="auto"/>
            </w:tcBorders>
            <w:noWrap/>
            <w:hideMark/>
          </w:tcPr>
          <w:p w14:paraId="5B0E81A3"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7</w:t>
            </w:r>
          </w:p>
        </w:tc>
        <w:tc>
          <w:tcPr>
            <w:tcW w:w="1119" w:type="dxa"/>
            <w:tcBorders>
              <w:left w:val="single" w:sz="4" w:space="0" w:color="auto"/>
              <w:bottom w:val="nil"/>
            </w:tcBorders>
            <w:noWrap/>
            <w:hideMark/>
          </w:tcPr>
          <w:p w14:paraId="56902494"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16.1</w:t>
            </w:r>
          </w:p>
        </w:tc>
        <w:tc>
          <w:tcPr>
            <w:tcW w:w="1118" w:type="dxa"/>
            <w:tcBorders>
              <w:bottom w:val="nil"/>
            </w:tcBorders>
            <w:noWrap/>
            <w:hideMark/>
          </w:tcPr>
          <w:p w14:paraId="72D81DDA"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27.1</w:t>
            </w:r>
          </w:p>
        </w:tc>
        <w:tc>
          <w:tcPr>
            <w:tcW w:w="1118" w:type="dxa"/>
            <w:tcBorders>
              <w:bottom w:val="nil"/>
              <w:right w:val="single" w:sz="4" w:space="0" w:color="auto"/>
            </w:tcBorders>
            <w:noWrap/>
            <w:hideMark/>
          </w:tcPr>
          <w:p w14:paraId="67FE1719"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6</w:t>
            </w:r>
          </w:p>
        </w:tc>
        <w:tc>
          <w:tcPr>
            <w:tcW w:w="1118" w:type="dxa"/>
            <w:tcBorders>
              <w:left w:val="single" w:sz="4" w:space="0" w:color="auto"/>
              <w:bottom w:val="nil"/>
            </w:tcBorders>
            <w:noWrap/>
            <w:hideMark/>
          </w:tcPr>
          <w:p w14:paraId="19C9114C"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13.3</w:t>
            </w:r>
          </w:p>
        </w:tc>
        <w:tc>
          <w:tcPr>
            <w:tcW w:w="1118" w:type="dxa"/>
            <w:tcBorders>
              <w:bottom w:val="nil"/>
            </w:tcBorders>
            <w:noWrap/>
            <w:hideMark/>
          </w:tcPr>
          <w:p w14:paraId="51A943B6"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24</w:t>
            </w:r>
          </w:p>
        </w:tc>
        <w:tc>
          <w:tcPr>
            <w:tcW w:w="1118" w:type="dxa"/>
            <w:tcBorders>
              <w:bottom w:val="nil"/>
              <w:right w:val="single" w:sz="4" w:space="0" w:color="auto"/>
            </w:tcBorders>
            <w:noWrap/>
            <w:hideMark/>
          </w:tcPr>
          <w:p w14:paraId="6597724F"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3.6</w:t>
            </w:r>
          </w:p>
        </w:tc>
        <w:tc>
          <w:tcPr>
            <w:tcW w:w="1118" w:type="dxa"/>
            <w:tcBorders>
              <w:left w:val="single" w:sz="4" w:space="0" w:color="auto"/>
              <w:bottom w:val="nil"/>
            </w:tcBorders>
            <w:noWrap/>
            <w:hideMark/>
          </w:tcPr>
          <w:p w14:paraId="7E092EB1"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11.7</w:t>
            </w:r>
          </w:p>
        </w:tc>
        <w:tc>
          <w:tcPr>
            <w:tcW w:w="1118" w:type="dxa"/>
            <w:tcBorders>
              <w:bottom w:val="nil"/>
            </w:tcBorders>
            <w:noWrap/>
            <w:hideMark/>
          </w:tcPr>
          <w:p w14:paraId="41512F04"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20.3</w:t>
            </w:r>
          </w:p>
        </w:tc>
        <w:tc>
          <w:tcPr>
            <w:tcW w:w="1118" w:type="dxa"/>
            <w:tcBorders>
              <w:bottom w:val="nil"/>
              <w:right w:val="single" w:sz="4" w:space="0" w:color="auto"/>
            </w:tcBorders>
            <w:noWrap/>
            <w:hideMark/>
          </w:tcPr>
          <w:p w14:paraId="628589E3"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3.9</w:t>
            </w:r>
          </w:p>
        </w:tc>
      </w:tr>
      <w:tr w:rsidR="00B86BF1" w:rsidRPr="00A743C9" w14:paraId="6386633F" w14:textId="77777777" w:rsidTr="000376C7">
        <w:trPr>
          <w:trHeight w:val="300"/>
        </w:trPr>
        <w:tc>
          <w:tcPr>
            <w:cnfStyle w:val="001000000000" w:firstRow="0" w:lastRow="0" w:firstColumn="1" w:lastColumn="0" w:oddVBand="0" w:evenVBand="0" w:oddHBand="0" w:evenHBand="0" w:firstRowFirstColumn="0" w:firstRowLastColumn="0" w:lastRowFirstColumn="0" w:lastRowLastColumn="0"/>
            <w:tcW w:w="1606" w:type="dxa"/>
            <w:tcBorders>
              <w:left w:val="single" w:sz="4" w:space="0" w:color="auto"/>
              <w:bottom w:val="nil"/>
              <w:right w:val="single" w:sz="4" w:space="0" w:color="auto"/>
            </w:tcBorders>
            <w:noWrap/>
            <w:hideMark/>
          </w:tcPr>
          <w:p w14:paraId="1AF93784" w14:textId="77777777" w:rsidR="00B86BF1" w:rsidRPr="00A743C9" w:rsidRDefault="00B86BF1" w:rsidP="000376C7">
            <w:pPr>
              <w:rPr>
                <w:rFonts w:eastAsia="Times New Roman" w:cs="Calibri"/>
                <w:color w:val="auto"/>
                <w:sz w:val="16"/>
                <w:szCs w:val="16"/>
              </w:rPr>
            </w:pPr>
            <w:r w:rsidRPr="00A743C9">
              <w:rPr>
                <w:rFonts w:eastAsia="Times New Roman" w:cs="Calibri"/>
                <w:color w:val="auto"/>
                <w:sz w:val="16"/>
                <w:szCs w:val="16"/>
              </w:rPr>
              <w:t>Spain</w:t>
            </w:r>
          </w:p>
        </w:tc>
        <w:tc>
          <w:tcPr>
            <w:tcW w:w="1119" w:type="dxa"/>
            <w:tcBorders>
              <w:left w:val="single" w:sz="4" w:space="0" w:color="auto"/>
              <w:bottom w:val="nil"/>
            </w:tcBorders>
            <w:noWrap/>
            <w:hideMark/>
          </w:tcPr>
          <w:p w14:paraId="65D37CCC"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30.3</w:t>
            </w:r>
          </w:p>
        </w:tc>
        <w:tc>
          <w:tcPr>
            <w:tcW w:w="1119" w:type="dxa"/>
            <w:tcBorders>
              <w:bottom w:val="nil"/>
            </w:tcBorders>
            <w:noWrap/>
            <w:hideMark/>
          </w:tcPr>
          <w:p w14:paraId="7D6780A3"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33</w:t>
            </w:r>
          </w:p>
        </w:tc>
        <w:tc>
          <w:tcPr>
            <w:tcW w:w="1119" w:type="dxa"/>
            <w:tcBorders>
              <w:bottom w:val="nil"/>
              <w:right w:val="single" w:sz="4" w:space="0" w:color="auto"/>
            </w:tcBorders>
            <w:noWrap/>
            <w:hideMark/>
          </w:tcPr>
          <w:p w14:paraId="06BEE7F4"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27.8</w:t>
            </w:r>
          </w:p>
        </w:tc>
        <w:tc>
          <w:tcPr>
            <w:tcW w:w="1119" w:type="dxa"/>
            <w:tcBorders>
              <w:left w:val="single" w:sz="4" w:space="0" w:color="auto"/>
              <w:bottom w:val="nil"/>
            </w:tcBorders>
            <w:noWrap/>
            <w:hideMark/>
          </w:tcPr>
          <w:p w14:paraId="64D51D22"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25.7</w:t>
            </w:r>
          </w:p>
        </w:tc>
        <w:tc>
          <w:tcPr>
            <w:tcW w:w="1118" w:type="dxa"/>
            <w:tcBorders>
              <w:bottom w:val="nil"/>
            </w:tcBorders>
            <w:noWrap/>
            <w:hideMark/>
          </w:tcPr>
          <w:p w14:paraId="5ECB829B"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28.2</w:t>
            </w:r>
          </w:p>
        </w:tc>
        <w:tc>
          <w:tcPr>
            <w:tcW w:w="1118" w:type="dxa"/>
            <w:tcBorders>
              <w:bottom w:val="nil"/>
              <w:right w:val="single" w:sz="4" w:space="0" w:color="auto"/>
            </w:tcBorders>
            <w:noWrap/>
            <w:hideMark/>
          </w:tcPr>
          <w:p w14:paraId="405E6BAB"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23.2</w:t>
            </w:r>
          </w:p>
        </w:tc>
        <w:tc>
          <w:tcPr>
            <w:tcW w:w="1118" w:type="dxa"/>
            <w:tcBorders>
              <w:left w:val="single" w:sz="4" w:space="0" w:color="auto"/>
              <w:bottom w:val="nil"/>
            </w:tcBorders>
            <w:noWrap/>
            <w:hideMark/>
          </w:tcPr>
          <w:p w14:paraId="01556687"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26.7</w:t>
            </w:r>
          </w:p>
        </w:tc>
        <w:tc>
          <w:tcPr>
            <w:tcW w:w="1118" w:type="dxa"/>
            <w:tcBorders>
              <w:bottom w:val="nil"/>
            </w:tcBorders>
            <w:noWrap/>
            <w:hideMark/>
          </w:tcPr>
          <w:p w14:paraId="444AEFA2"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29.1</w:t>
            </w:r>
          </w:p>
        </w:tc>
        <w:tc>
          <w:tcPr>
            <w:tcW w:w="1118" w:type="dxa"/>
            <w:tcBorders>
              <w:bottom w:val="nil"/>
              <w:right w:val="single" w:sz="4" w:space="0" w:color="auto"/>
            </w:tcBorders>
            <w:noWrap/>
            <w:hideMark/>
          </w:tcPr>
          <w:p w14:paraId="09D7E23D"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24.3</w:t>
            </w:r>
          </w:p>
        </w:tc>
        <w:tc>
          <w:tcPr>
            <w:tcW w:w="1118" w:type="dxa"/>
            <w:tcBorders>
              <w:left w:val="single" w:sz="4" w:space="0" w:color="auto"/>
              <w:bottom w:val="nil"/>
            </w:tcBorders>
            <w:noWrap/>
            <w:hideMark/>
          </w:tcPr>
          <w:p w14:paraId="3A0EE892"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23</w:t>
            </w:r>
          </w:p>
        </w:tc>
        <w:tc>
          <w:tcPr>
            <w:tcW w:w="1118" w:type="dxa"/>
            <w:tcBorders>
              <w:bottom w:val="nil"/>
            </w:tcBorders>
            <w:noWrap/>
            <w:hideMark/>
          </w:tcPr>
          <w:p w14:paraId="68FCFB88"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25</w:t>
            </w:r>
          </w:p>
        </w:tc>
        <w:tc>
          <w:tcPr>
            <w:tcW w:w="1118" w:type="dxa"/>
            <w:tcBorders>
              <w:bottom w:val="nil"/>
              <w:right w:val="single" w:sz="4" w:space="0" w:color="auto"/>
            </w:tcBorders>
            <w:noWrap/>
            <w:hideMark/>
          </w:tcPr>
          <w:p w14:paraId="4C4A9015"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21.1</w:t>
            </w:r>
          </w:p>
        </w:tc>
      </w:tr>
      <w:tr w:rsidR="00B86BF1" w:rsidRPr="00A743C9" w14:paraId="493A18C3" w14:textId="77777777" w:rsidTr="000376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6" w:type="dxa"/>
            <w:tcBorders>
              <w:left w:val="single" w:sz="4" w:space="0" w:color="auto"/>
              <w:bottom w:val="nil"/>
              <w:right w:val="single" w:sz="4" w:space="0" w:color="auto"/>
            </w:tcBorders>
            <w:noWrap/>
            <w:hideMark/>
          </w:tcPr>
          <w:p w14:paraId="359A5E20" w14:textId="77777777" w:rsidR="00B86BF1" w:rsidRPr="00A743C9" w:rsidRDefault="00B86BF1" w:rsidP="000376C7">
            <w:pPr>
              <w:rPr>
                <w:rFonts w:eastAsia="Times New Roman" w:cs="Calibri"/>
                <w:color w:val="auto"/>
                <w:sz w:val="16"/>
                <w:szCs w:val="16"/>
              </w:rPr>
            </w:pPr>
            <w:r w:rsidRPr="00A743C9">
              <w:rPr>
                <w:rFonts w:eastAsia="Times New Roman" w:cs="Calibri"/>
                <w:color w:val="auto"/>
                <w:sz w:val="16"/>
                <w:szCs w:val="16"/>
              </w:rPr>
              <w:t>Sri Lanka</w:t>
            </w:r>
          </w:p>
        </w:tc>
        <w:tc>
          <w:tcPr>
            <w:tcW w:w="1119" w:type="dxa"/>
            <w:tcBorders>
              <w:left w:val="single" w:sz="4" w:space="0" w:color="auto"/>
              <w:bottom w:val="nil"/>
            </w:tcBorders>
            <w:noWrap/>
            <w:hideMark/>
          </w:tcPr>
          <w:p w14:paraId="7E19BD39"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14.1</w:t>
            </w:r>
          </w:p>
        </w:tc>
        <w:tc>
          <w:tcPr>
            <w:tcW w:w="1119" w:type="dxa"/>
            <w:tcBorders>
              <w:bottom w:val="nil"/>
            </w:tcBorders>
            <w:noWrap/>
            <w:hideMark/>
          </w:tcPr>
          <w:p w14:paraId="3C7D3E7A"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28.8</w:t>
            </w:r>
          </w:p>
        </w:tc>
        <w:tc>
          <w:tcPr>
            <w:tcW w:w="1119" w:type="dxa"/>
            <w:tcBorders>
              <w:bottom w:val="nil"/>
              <w:right w:val="single" w:sz="4" w:space="0" w:color="auto"/>
            </w:tcBorders>
            <w:noWrap/>
            <w:hideMark/>
          </w:tcPr>
          <w:p w14:paraId="2BD29115"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0.4</w:t>
            </w:r>
          </w:p>
        </w:tc>
        <w:tc>
          <w:tcPr>
            <w:tcW w:w="1119" w:type="dxa"/>
            <w:tcBorders>
              <w:left w:val="single" w:sz="4" w:space="0" w:color="auto"/>
              <w:bottom w:val="nil"/>
            </w:tcBorders>
            <w:noWrap/>
            <w:hideMark/>
          </w:tcPr>
          <w:p w14:paraId="4814A666"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10.9</w:t>
            </w:r>
          </w:p>
        </w:tc>
        <w:tc>
          <w:tcPr>
            <w:tcW w:w="1118" w:type="dxa"/>
            <w:tcBorders>
              <w:bottom w:val="nil"/>
            </w:tcBorders>
            <w:noWrap/>
            <w:hideMark/>
          </w:tcPr>
          <w:p w14:paraId="5B4073BD"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22.2</w:t>
            </w:r>
          </w:p>
        </w:tc>
        <w:tc>
          <w:tcPr>
            <w:tcW w:w="1118" w:type="dxa"/>
            <w:tcBorders>
              <w:bottom w:val="nil"/>
              <w:right w:val="single" w:sz="4" w:space="0" w:color="auto"/>
            </w:tcBorders>
            <w:noWrap/>
            <w:hideMark/>
          </w:tcPr>
          <w:p w14:paraId="52A50DF3"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0.3</w:t>
            </w:r>
          </w:p>
        </w:tc>
        <w:tc>
          <w:tcPr>
            <w:tcW w:w="1118" w:type="dxa"/>
            <w:tcBorders>
              <w:left w:val="single" w:sz="4" w:space="0" w:color="auto"/>
              <w:bottom w:val="nil"/>
            </w:tcBorders>
            <w:noWrap/>
            <w:hideMark/>
          </w:tcPr>
          <w:p w14:paraId="2114F986"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9.8</w:t>
            </w:r>
          </w:p>
        </w:tc>
        <w:tc>
          <w:tcPr>
            <w:tcW w:w="1118" w:type="dxa"/>
            <w:tcBorders>
              <w:bottom w:val="nil"/>
            </w:tcBorders>
            <w:noWrap/>
            <w:hideMark/>
          </w:tcPr>
          <w:p w14:paraId="3CB53FC7"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20.1</w:t>
            </w:r>
          </w:p>
        </w:tc>
        <w:tc>
          <w:tcPr>
            <w:tcW w:w="1118" w:type="dxa"/>
            <w:tcBorders>
              <w:bottom w:val="nil"/>
              <w:right w:val="single" w:sz="4" w:space="0" w:color="auto"/>
            </w:tcBorders>
            <w:noWrap/>
            <w:hideMark/>
          </w:tcPr>
          <w:p w14:paraId="105C94AE"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0.2</w:t>
            </w:r>
          </w:p>
        </w:tc>
        <w:tc>
          <w:tcPr>
            <w:tcW w:w="1118" w:type="dxa"/>
            <w:tcBorders>
              <w:left w:val="single" w:sz="4" w:space="0" w:color="auto"/>
              <w:bottom w:val="nil"/>
            </w:tcBorders>
            <w:noWrap/>
            <w:hideMark/>
          </w:tcPr>
          <w:p w14:paraId="4AC09374"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7.5</w:t>
            </w:r>
          </w:p>
        </w:tc>
        <w:tc>
          <w:tcPr>
            <w:tcW w:w="1118" w:type="dxa"/>
            <w:tcBorders>
              <w:bottom w:val="nil"/>
            </w:tcBorders>
            <w:noWrap/>
            <w:hideMark/>
          </w:tcPr>
          <w:p w14:paraId="58E5A47A"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15.3</w:t>
            </w:r>
          </w:p>
        </w:tc>
        <w:tc>
          <w:tcPr>
            <w:tcW w:w="1118" w:type="dxa"/>
            <w:tcBorders>
              <w:bottom w:val="nil"/>
              <w:right w:val="single" w:sz="4" w:space="0" w:color="auto"/>
            </w:tcBorders>
            <w:noWrap/>
            <w:hideMark/>
          </w:tcPr>
          <w:p w14:paraId="7CE3C644"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0.1</w:t>
            </w:r>
          </w:p>
        </w:tc>
      </w:tr>
      <w:tr w:rsidR="00B86BF1" w:rsidRPr="00A743C9" w14:paraId="26CC571B" w14:textId="77777777" w:rsidTr="000376C7">
        <w:trPr>
          <w:trHeight w:val="300"/>
        </w:trPr>
        <w:tc>
          <w:tcPr>
            <w:cnfStyle w:val="001000000000" w:firstRow="0" w:lastRow="0" w:firstColumn="1" w:lastColumn="0" w:oddVBand="0" w:evenVBand="0" w:oddHBand="0" w:evenHBand="0" w:firstRowFirstColumn="0" w:firstRowLastColumn="0" w:lastRowFirstColumn="0" w:lastRowLastColumn="0"/>
            <w:tcW w:w="1606" w:type="dxa"/>
            <w:tcBorders>
              <w:left w:val="single" w:sz="4" w:space="0" w:color="auto"/>
              <w:bottom w:val="nil"/>
              <w:right w:val="single" w:sz="4" w:space="0" w:color="auto"/>
            </w:tcBorders>
            <w:noWrap/>
            <w:hideMark/>
          </w:tcPr>
          <w:p w14:paraId="54D4C6A2" w14:textId="77777777" w:rsidR="00B86BF1" w:rsidRPr="00A743C9" w:rsidRDefault="00B86BF1" w:rsidP="000376C7">
            <w:pPr>
              <w:rPr>
                <w:rFonts w:eastAsia="Times New Roman" w:cs="Calibri"/>
                <w:color w:val="auto"/>
                <w:sz w:val="16"/>
                <w:szCs w:val="16"/>
              </w:rPr>
            </w:pPr>
            <w:r w:rsidRPr="00A743C9">
              <w:rPr>
                <w:rFonts w:eastAsia="Times New Roman" w:cs="Calibri"/>
                <w:color w:val="auto"/>
                <w:sz w:val="16"/>
                <w:szCs w:val="16"/>
              </w:rPr>
              <w:t>Swaziland</w:t>
            </w:r>
          </w:p>
        </w:tc>
        <w:tc>
          <w:tcPr>
            <w:tcW w:w="1119" w:type="dxa"/>
            <w:tcBorders>
              <w:left w:val="single" w:sz="4" w:space="0" w:color="auto"/>
              <w:bottom w:val="nil"/>
            </w:tcBorders>
            <w:noWrap/>
            <w:hideMark/>
          </w:tcPr>
          <w:p w14:paraId="01D50DDF"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10.2</w:t>
            </w:r>
          </w:p>
        </w:tc>
        <w:tc>
          <w:tcPr>
            <w:tcW w:w="1119" w:type="dxa"/>
            <w:tcBorders>
              <w:bottom w:val="nil"/>
            </w:tcBorders>
            <w:noWrap/>
            <w:hideMark/>
          </w:tcPr>
          <w:p w14:paraId="6581CF65"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18.4</w:t>
            </w:r>
          </w:p>
        </w:tc>
        <w:tc>
          <w:tcPr>
            <w:tcW w:w="1119" w:type="dxa"/>
            <w:tcBorders>
              <w:bottom w:val="nil"/>
              <w:right w:val="single" w:sz="4" w:space="0" w:color="auto"/>
            </w:tcBorders>
            <w:noWrap/>
            <w:hideMark/>
          </w:tcPr>
          <w:p w14:paraId="3FFE360D"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2.3</w:t>
            </w:r>
          </w:p>
        </w:tc>
        <w:tc>
          <w:tcPr>
            <w:tcW w:w="1119" w:type="dxa"/>
            <w:tcBorders>
              <w:left w:val="single" w:sz="4" w:space="0" w:color="auto"/>
              <w:bottom w:val="nil"/>
            </w:tcBorders>
            <w:noWrap/>
            <w:hideMark/>
          </w:tcPr>
          <w:p w14:paraId="166C71D5"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7.1</w:t>
            </w:r>
          </w:p>
        </w:tc>
        <w:tc>
          <w:tcPr>
            <w:tcW w:w="1118" w:type="dxa"/>
            <w:tcBorders>
              <w:bottom w:val="nil"/>
            </w:tcBorders>
            <w:noWrap/>
            <w:hideMark/>
          </w:tcPr>
          <w:p w14:paraId="5957BB70"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12.7</w:t>
            </w:r>
          </w:p>
        </w:tc>
        <w:tc>
          <w:tcPr>
            <w:tcW w:w="1118" w:type="dxa"/>
            <w:tcBorders>
              <w:bottom w:val="nil"/>
              <w:right w:val="single" w:sz="4" w:space="0" w:color="auto"/>
            </w:tcBorders>
            <w:noWrap/>
            <w:hideMark/>
          </w:tcPr>
          <w:p w14:paraId="15BEA755"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1.7</w:t>
            </w:r>
          </w:p>
        </w:tc>
        <w:tc>
          <w:tcPr>
            <w:tcW w:w="1118" w:type="dxa"/>
            <w:tcBorders>
              <w:left w:val="single" w:sz="4" w:space="0" w:color="auto"/>
              <w:bottom w:val="nil"/>
            </w:tcBorders>
            <w:noWrap/>
            <w:hideMark/>
          </w:tcPr>
          <w:p w14:paraId="4E263415"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8.7</w:t>
            </w:r>
          </w:p>
        </w:tc>
        <w:tc>
          <w:tcPr>
            <w:tcW w:w="1118" w:type="dxa"/>
            <w:tcBorders>
              <w:bottom w:val="nil"/>
            </w:tcBorders>
            <w:noWrap/>
            <w:hideMark/>
          </w:tcPr>
          <w:p w14:paraId="2AA8D90E"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16.5</w:t>
            </w:r>
          </w:p>
        </w:tc>
        <w:tc>
          <w:tcPr>
            <w:tcW w:w="1118" w:type="dxa"/>
            <w:tcBorders>
              <w:bottom w:val="nil"/>
              <w:right w:val="single" w:sz="4" w:space="0" w:color="auto"/>
            </w:tcBorders>
            <w:noWrap/>
            <w:hideMark/>
          </w:tcPr>
          <w:p w14:paraId="2A9BB63E"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1.3</w:t>
            </w:r>
          </w:p>
        </w:tc>
        <w:tc>
          <w:tcPr>
            <w:tcW w:w="1118" w:type="dxa"/>
            <w:tcBorders>
              <w:left w:val="single" w:sz="4" w:space="0" w:color="auto"/>
              <w:bottom w:val="nil"/>
            </w:tcBorders>
            <w:noWrap/>
            <w:hideMark/>
          </w:tcPr>
          <w:p w14:paraId="32AB3F4B"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4.8</w:t>
            </w:r>
          </w:p>
        </w:tc>
        <w:tc>
          <w:tcPr>
            <w:tcW w:w="1118" w:type="dxa"/>
            <w:tcBorders>
              <w:bottom w:val="nil"/>
            </w:tcBorders>
            <w:noWrap/>
            <w:hideMark/>
          </w:tcPr>
          <w:p w14:paraId="6EA7E0C2"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8.9</w:t>
            </w:r>
          </w:p>
        </w:tc>
        <w:tc>
          <w:tcPr>
            <w:tcW w:w="1118" w:type="dxa"/>
            <w:tcBorders>
              <w:bottom w:val="nil"/>
              <w:right w:val="single" w:sz="4" w:space="0" w:color="auto"/>
            </w:tcBorders>
            <w:noWrap/>
            <w:hideMark/>
          </w:tcPr>
          <w:p w14:paraId="39665B60"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0.9</w:t>
            </w:r>
          </w:p>
        </w:tc>
      </w:tr>
      <w:tr w:rsidR="00B86BF1" w:rsidRPr="00A743C9" w14:paraId="46D61B24" w14:textId="77777777" w:rsidTr="000376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6" w:type="dxa"/>
            <w:tcBorders>
              <w:left w:val="single" w:sz="4" w:space="0" w:color="auto"/>
              <w:bottom w:val="nil"/>
              <w:right w:val="single" w:sz="4" w:space="0" w:color="auto"/>
            </w:tcBorders>
            <w:noWrap/>
            <w:hideMark/>
          </w:tcPr>
          <w:p w14:paraId="08366980" w14:textId="77777777" w:rsidR="00B86BF1" w:rsidRPr="00A743C9" w:rsidRDefault="00B86BF1" w:rsidP="000376C7">
            <w:pPr>
              <w:rPr>
                <w:rFonts w:eastAsia="Times New Roman" w:cs="Calibri"/>
                <w:color w:val="auto"/>
                <w:sz w:val="16"/>
                <w:szCs w:val="16"/>
              </w:rPr>
            </w:pPr>
            <w:r w:rsidRPr="00A743C9">
              <w:rPr>
                <w:rFonts w:eastAsia="Times New Roman" w:cs="Calibri"/>
                <w:color w:val="auto"/>
                <w:sz w:val="16"/>
                <w:szCs w:val="16"/>
              </w:rPr>
              <w:t>Sweden</w:t>
            </w:r>
          </w:p>
        </w:tc>
        <w:tc>
          <w:tcPr>
            <w:tcW w:w="1119" w:type="dxa"/>
            <w:tcBorders>
              <w:left w:val="single" w:sz="4" w:space="0" w:color="auto"/>
              <w:bottom w:val="nil"/>
            </w:tcBorders>
            <w:noWrap/>
            <w:hideMark/>
          </w:tcPr>
          <w:p w14:paraId="2A79F9F1"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21.9</w:t>
            </w:r>
          </w:p>
        </w:tc>
        <w:tc>
          <w:tcPr>
            <w:tcW w:w="1119" w:type="dxa"/>
            <w:tcBorders>
              <w:bottom w:val="nil"/>
            </w:tcBorders>
            <w:noWrap/>
            <w:hideMark/>
          </w:tcPr>
          <w:p w14:paraId="24764CFF"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21.7</w:t>
            </w:r>
          </w:p>
        </w:tc>
        <w:tc>
          <w:tcPr>
            <w:tcW w:w="1119" w:type="dxa"/>
            <w:tcBorders>
              <w:bottom w:val="nil"/>
              <w:right w:val="single" w:sz="4" w:space="0" w:color="auto"/>
            </w:tcBorders>
            <w:noWrap/>
            <w:hideMark/>
          </w:tcPr>
          <w:p w14:paraId="6974A02F"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22.1</w:t>
            </w:r>
          </w:p>
        </w:tc>
        <w:tc>
          <w:tcPr>
            <w:tcW w:w="1119" w:type="dxa"/>
            <w:tcBorders>
              <w:left w:val="single" w:sz="4" w:space="0" w:color="auto"/>
              <w:bottom w:val="nil"/>
            </w:tcBorders>
            <w:noWrap/>
            <w:hideMark/>
          </w:tcPr>
          <w:p w14:paraId="3A322B34"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11.8</w:t>
            </w:r>
          </w:p>
        </w:tc>
        <w:tc>
          <w:tcPr>
            <w:tcW w:w="1118" w:type="dxa"/>
            <w:tcBorders>
              <w:bottom w:val="nil"/>
            </w:tcBorders>
            <w:noWrap/>
            <w:hideMark/>
          </w:tcPr>
          <w:p w14:paraId="31B03498"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10.6</w:t>
            </w:r>
          </w:p>
        </w:tc>
        <w:tc>
          <w:tcPr>
            <w:tcW w:w="1118" w:type="dxa"/>
            <w:tcBorders>
              <w:bottom w:val="nil"/>
              <w:right w:val="single" w:sz="4" w:space="0" w:color="auto"/>
            </w:tcBorders>
            <w:noWrap/>
            <w:hideMark/>
          </w:tcPr>
          <w:p w14:paraId="4FDE88BB"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13</w:t>
            </w:r>
          </w:p>
        </w:tc>
        <w:tc>
          <w:tcPr>
            <w:tcW w:w="1118" w:type="dxa"/>
            <w:tcBorders>
              <w:left w:val="single" w:sz="4" w:space="0" w:color="auto"/>
              <w:bottom w:val="nil"/>
            </w:tcBorders>
            <w:noWrap/>
            <w:hideMark/>
          </w:tcPr>
          <w:p w14:paraId="27303BC9"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16.8</w:t>
            </w:r>
          </w:p>
        </w:tc>
        <w:tc>
          <w:tcPr>
            <w:tcW w:w="1118" w:type="dxa"/>
            <w:tcBorders>
              <w:bottom w:val="nil"/>
            </w:tcBorders>
            <w:noWrap/>
            <w:hideMark/>
          </w:tcPr>
          <w:p w14:paraId="00725D4C"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16.6</w:t>
            </w:r>
          </w:p>
        </w:tc>
        <w:tc>
          <w:tcPr>
            <w:tcW w:w="1118" w:type="dxa"/>
            <w:tcBorders>
              <w:bottom w:val="nil"/>
              <w:right w:val="single" w:sz="4" w:space="0" w:color="auto"/>
            </w:tcBorders>
            <w:noWrap/>
            <w:hideMark/>
          </w:tcPr>
          <w:p w14:paraId="3E71E6D4"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17.1</w:t>
            </w:r>
          </w:p>
        </w:tc>
        <w:tc>
          <w:tcPr>
            <w:tcW w:w="1118" w:type="dxa"/>
            <w:tcBorders>
              <w:left w:val="single" w:sz="4" w:space="0" w:color="auto"/>
              <w:bottom w:val="nil"/>
            </w:tcBorders>
            <w:noWrap/>
            <w:hideMark/>
          </w:tcPr>
          <w:p w14:paraId="32B13207"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11.8</w:t>
            </w:r>
          </w:p>
        </w:tc>
        <w:tc>
          <w:tcPr>
            <w:tcW w:w="1118" w:type="dxa"/>
            <w:tcBorders>
              <w:bottom w:val="nil"/>
            </w:tcBorders>
            <w:noWrap/>
            <w:hideMark/>
          </w:tcPr>
          <w:p w14:paraId="52D901C5"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10.6</w:t>
            </w:r>
          </w:p>
        </w:tc>
        <w:tc>
          <w:tcPr>
            <w:tcW w:w="1118" w:type="dxa"/>
            <w:tcBorders>
              <w:bottom w:val="nil"/>
              <w:right w:val="single" w:sz="4" w:space="0" w:color="auto"/>
            </w:tcBorders>
            <w:noWrap/>
            <w:hideMark/>
          </w:tcPr>
          <w:p w14:paraId="6A25CA7D"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13</w:t>
            </w:r>
          </w:p>
        </w:tc>
      </w:tr>
      <w:tr w:rsidR="00B86BF1" w:rsidRPr="00A743C9" w14:paraId="33853DA0" w14:textId="77777777" w:rsidTr="000376C7">
        <w:trPr>
          <w:trHeight w:val="300"/>
        </w:trPr>
        <w:tc>
          <w:tcPr>
            <w:cnfStyle w:val="001000000000" w:firstRow="0" w:lastRow="0" w:firstColumn="1" w:lastColumn="0" w:oddVBand="0" w:evenVBand="0" w:oddHBand="0" w:evenHBand="0" w:firstRowFirstColumn="0" w:firstRowLastColumn="0" w:lastRowFirstColumn="0" w:lastRowLastColumn="0"/>
            <w:tcW w:w="1606" w:type="dxa"/>
            <w:tcBorders>
              <w:left w:val="single" w:sz="4" w:space="0" w:color="auto"/>
              <w:bottom w:val="nil"/>
              <w:right w:val="single" w:sz="4" w:space="0" w:color="auto"/>
            </w:tcBorders>
            <w:noWrap/>
            <w:hideMark/>
          </w:tcPr>
          <w:p w14:paraId="1EDC05FA" w14:textId="77777777" w:rsidR="00B86BF1" w:rsidRPr="00A743C9" w:rsidRDefault="00B86BF1" w:rsidP="000376C7">
            <w:pPr>
              <w:rPr>
                <w:rFonts w:eastAsia="Times New Roman" w:cs="Calibri"/>
                <w:color w:val="auto"/>
                <w:sz w:val="16"/>
                <w:szCs w:val="16"/>
              </w:rPr>
            </w:pPr>
            <w:r w:rsidRPr="00A743C9">
              <w:rPr>
                <w:rFonts w:eastAsia="Times New Roman" w:cs="Calibri"/>
                <w:color w:val="auto"/>
                <w:sz w:val="16"/>
                <w:szCs w:val="16"/>
              </w:rPr>
              <w:t>Switzerland</w:t>
            </w:r>
          </w:p>
        </w:tc>
        <w:tc>
          <w:tcPr>
            <w:tcW w:w="1119" w:type="dxa"/>
            <w:tcBorders>
              <w:left w:val="single" w:sz="4" w:space="0" w:color="auto"/>
              <w:bottom w:val="nil"/>
            </w:tcBorders>
            <w:noWrap/>
            <w:hideMark/>
          </w:tcPr>
          <w:p w14:paraId="79DE0FC0"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24.1</w:t>
            </w:r>
          </w:p>
        </w:tc>
        <w:tc>
          <w:tcPr>
            <w:tcW w:w="1119" w:type="dxa"/>
            <w:tcBorders>
              <w:bottom w:val="nil"/>
            </w:tcBorders>
            <w:noWrap/>
            <w:hideMark/>
          </w:tcPr>
          <w:p w14:paraId="570F20F9"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27.7</w:t>
            </w:r>
          </w:p>
        </w:tc>
        <w:tc>
          <w:tcPr>
            <w:tcW w:w="1119" w:type="dxa"/>
            <w:tcBorders>
              <w:bottom w:val="nil"/>
              <w:right w:val="single" w:sz="4" w:space="0" w:color="auto"/>
            </w:tcBorders>
            <w:noWrap/>
            <w:hideMark/>
          </w:tcPr>
          <w:p w14:paraId="7A70E3C5"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20.6</w:t>
            </w:r>
          </w:p>
        </w:tc>
        <w:tc>
          <w:tcPr>
            <w:tcW w:w="1119" w:type="dxa"/>
            <w:tcBorders>
              <w:left w:val="single" w:sz="4" w:space="0" w:color="auto"/>
              <w:bottom w:val="nil"/>
            </w:tcBorders>
            <w:noWrap/>
            <w:hideMark/>
          </w:tcPr>
          <w:p w14:paraId="57DEEB4F"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19.5</w:t>
            </w:r>
          </w:p>
        </w:tc>
        <w:tc>
          <w:tcPr>
            <w:tcW w:w="1118" w:type="dxa"/>
            <w:tcBorders>
              <w:bottom w:val="nil"/>
            </w:tcBorders>
            <w:noWrap/>
            <w:hideMark/>
          </w:tcPr>
          <w:p w14:paraId="1DF62186"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21.5</w:t>
            </w:r>
          </w:p>
        </w:tc>
        <w:tc>
          <w:tcPr>
            <w:tcW w:w="1118" w:type="dxa"/>
            <w:tcBorders>
              <w:bottom w:val="nil"/>
              <w:right w:val="single" w:sz="4" w:space="0" w:color="auto"/>
            </w:tcBorders>
            <w:noWrap/>
            <w:hideMark/>
          </w:tcPr>
          <w:p w14:paraId="0670D3C5"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17.6</w:t>
            </w:r>
          </w:p>
        </w:tc>
        <w:tc>
          <w:tcPr>
            <w:tcW w:w="1118" w:type="dxa"/>
            <w:tcBorders>
              <w:left w:val="single" w:sz="4" w:space="0" w:color="auto"/>
              <w:bottom w:val="nil"/>
            </w:tcBorders>
            <w:noWrap/>
            <w:hideMark/>
          </w:tcPr>
          <w:p w14:paraId="3178E7FC"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23.5</w:t>
            </w:r>
          </w:p>
        </w:tc>
        <w:tc>
          <w:tcPr>
            <w:tcW w:w="1118" w:type="dxa"/>
            <w:tcBorders>
              <w:bottom w:val="nil"/>
            </w:tcBorders>
            <w:noWrap/>
            <w:hideMark/>
          </w:tcPr>
          <w:p w14:paraId="066889F7"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27.1</w:t>
            </w:r>
          </w:p>
        </w:tc>
        <w:tc>
          <w:tcPr>
            <w:tcW w:w="1118" w:type="dxa"/>
            <w:tcBorders>
              <w:bottom w:val="nil"/>
              <w:right w:val="single" w:sz="4" w:space="0" w:color="auto"/>
            </w:tcBorders>
            <w:noWrap/>
            <w:hideMark/>
          </w:tcPr>
          <w:p w14:paraId="73816CEB"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20.1</w:t>
            </w:r>
          </w:p>
        </w:tc>
        <w:tc>
          <w:tcPr>
            <w:tcW w:w="1118" w:type="dxa"/>
            <w:tcBorders>
              <w:left w:val="single" w:sz="4" w:space="0" w:color="auto"/>
              <w:bottom w:val="nil"/>
            </w:tcBorders>
            <w:noWrap/>
            <w:hideMark/>
          </w:tcPr>
          <w:p w14:paraId="473C694F"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19.1</w:t>
            </w:r>
          </w:p>
        </w:tc>
        <w:tc>
          <w:tcPr>
            <w:tcW w:w="1118" w:type="dxa"/>
            <w:tcBorders>
              <w:bottom w:val="nil"/>
            </w:tcBorders>
            <w:noWrap/>
            <w:hideMark/>
          </w:tcPr>
          <w:p w14:paraId="73A0D1F0"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20.8</w:t>
            </w:r>
          </w:p>
        </w:tc>
        <w:tc>
          <w:tcPr>
            <w:tcW w:w="1118" w:type="dxa"/>
            <w:tcBorders>
              <w:bottom w:val="nil"/>
              <w:right w:val="single" w:sz="4" w:space="0" w:color="auto"/>
            </w:tcBorders>
            <w:noWrap/>
            <w:hideMark/>
          </w:tcPr>
          <w:p w14:paraId="7BA2E702"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17.5</w:t>
            </w:r>
          </w:p>
        </w:tc>
      </w:tr>
      <w:tr w:rsidR="00B86BF1" w:rsidRPr="00A743C9" w14:paraId="73366027" w14:textId="77777777" w:rsidTr="000376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6" w:type="dxa"/>
            <w:tcBorders>
              <w:left w:val="single" w:sz="4" w:space="0" w:color="auto"/>
              <w:bottom w:val="nil"/>
              <w:right w:val="single" w:sz="4" w:space="0" w:color="auto"/>
            </w:tcBorders>
            <w:noWrap/>
            <w:hideMark/>
          </w:tcPr>
          <w:p w14:paraId="1999ED62" w14:textId="77777777" w:rsidR="00B86BF1" w:rsidRPr="00A743C9" w:rsidRDefault="00B86BF1" w:rsidP="000376C7">
            <w:pPr>
              <w:rPr>
                <w:rFonts w:eastAsia="Times New Roman" w:cs="Calibri"/>
                <w:color w:val="auto"/>
                <w:sz w:val="16"/>
                <w:szCs w:val="16"/>
              </w:rPr>
            </w:pPr>
            <w:r w:rsidRPr="00A743C9">
              <w:rPr>
                <w:rFonts w:eastAsia="Times New Roman" w:cs="Calibri"/>
                <w:color w:val="auto"/>
                <w:sz w:val="16"/>
                <w:szCs w:val="16"/>
              </w:rPr>
              <w:t>Thailand</w:t>
            </w:r>
          </w:p>
        </w:tc>
        <w:tc>
          <w:tcPr>
            <w:tcW w:w="1119" w:type="dxa"/>
            <w:tcBorders>
              <w:left w:val="single" w:sz="4" w:space="0" w:color="auto"/>
              <w:bottom w:val="nil"/>
            </w:tcBorders>
            <w:noWrap/>
            <w:hideMark/>
          </w:tcPr>
          <w:p w14:paraId="41347C4D"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21.5</w:t>
            </w:r>
          </w:p>
        </w:tc>
        <w:tc>
          <w:tcPr>
            <w:tcW w:w="1119" w:type="dxa"/>
            <w:tcBorders>
              <w:bottom w:val="nil"/>
            </w:tcBorders>
            <w:noWrap/>
            <w:hideMark/>
          </w:tcPr>
          <w:p w14:paraId="15917C8D"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41.9</w:t>
            </w:r>
          </w:p>
        </w:tc>
        <w:tc>
          <w:tcPr>
            <w:tcW w:w="1119" w:type="dxa"/>
            <w:tcBorders>
              <w:bottom w:val="nil"/>
              <w:right w:val="single" w:sz="4" w:space="0" w:color="auto"/>
            </w:tcBorders>
            <w:noWrap/>
            <w:hideMark/>
          </w:tcPr>
          <w:p w14:paraId="0963FA41"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2.4</w:t>
            </w:r>
          </w:p>
        </w:tc>
        <w:tc>
          <w:tcPr>
            <w:tcW w:w="1119" w:type="dxa"/>
            <w:tcBorders>
              <w:left w:val="single" w:sz="4" w:space="0" w:color="auto"/>
              <w:bottom w:val="nil"/>
            </w:tcBorders>
            <w:noWrap/>
            <w:hideMark/>
          </w:tcPr>
          <w:p w14:paraId="5B843899"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18.2</w:t>
            </w:r>
          </w:p>
        </w:tc>
        <w:tc>
          <w:tcPr>
            <w:tcW w:w="1118" w:type="dxa"/>
            <w:tcBorders>
              <w:bottom w:val="nil"/>
            </w:tcBorders>
            <w:noWrap/>
            <w:hideMark/>
          </w:tcPr>
          <w:p w14:paraId="7A7C2D21"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35.7</w:t>
            </w:r>
          </w:p>
        </w:tc>
        <w:tc>
          <w:tcPr>
            <w:tcW w:w="1118" w:type="dxa"/>
            <w:tcBorders>
              <w:bottom w:val="nil"/>
              <w:right w:val="single" w:sz="4" w:space="0" w:color="auto"/>
            </w:tcBorders>
            <w:noWrap/>
            <w:hideMark/>
          </w:tcPr>
          <w:p w14:paraId="08DC4C3E"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1.8</w:t>
            </w:r>
          </w:p>
        </w:tc>
        <w:tc>
          <w:tcPr>
            <w:tcW w:w="1118" w:type="dxa"/>
            <w:tcBorders>
              <w:left w:val="single" w:sz="4" w:space="0" w:color="auto"/>
              <w:bottom w:val="nil"/>
            </w:tcBorders>
            <w:noWrap/>
            <w:hideMark/>
          </w:tcPr>
          <w:p w14:paraId="0665A6BE"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20.5</w:t>
            </w:r>
          </w:p>
        </w:tc>
        <w:tc>
          <w:tcPr>
            <w:tcW w:w="1118" w:type="dxa"/>
            <w:tcBorders>
              <w:bottom w:val="nil"/>
            </w:tcBorders>
            <w:noWrap/>
            <w:hideMark/>
          </w:tcPr>
          <w:p w14:paraId="04BA6DB1"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39.9</w:t>
            </w:r>
          </w:p>
        </w:tc>
        <w:tc>
          <w:tcPr>
            <w:tcW w:w="1118" w:type="dxa"/>
            <w:tcBorders>
              <w:bottom w:val="nil"/>
              <w:right w:val="single" w:sz="4" w:space="0" w:color="auto"/>
            </w:tcBorders>
            <w:noWrap/>
            <w:hideMark/>
          </w:tcPr>
          <w:p w14:paraId="7F0EC848"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2.2</w:t>
            </w:r>
          </w:p>
        </w:tc>
        <w:tc>
          <w:tcPr>
            <w:tcW w:w="1118" w:type="dxa"/>
            <w:tcBorders>
              <w:left w:val="single" w:sz="4" w:space="0" w:color="auto"/>
              <w:bottom w:val="nil"/>
            </w:tcBorders>
            <w:noWrap/>
            <w:hideMark/>
          </w:tcPr>
          <w:p w14:paraId="75268011"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17.4</w:t>
            </w:r>
          </w:p>
        </w:tc>
        <w:tc>
          <w:tcPr>
            <w:tcW w:w="1118" w:type="dxa"/>
            <w:tcBorders>
              <w:bottom w:val="nil"/>
            </w:tcBorders>
            <w:noWrap/>
            <w:hideMark/>
          </w:tcPr>
          <w:p w14:paraId="610C0D93"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34.2</w:t>
            </w:r>
          </w:p>
        </w:tc>
        <w:tc>
          <w:tcPr>
            <w:tcW w:w="1118" w:type="dxa"/>
            <w:tcBorders>
              <w:bottom w:val="nil"/>
              <w:right w:val="single" w:sz="4" w:space="0" w:color="auto"/>
            </w:tcBorders>
            <w:noWrap/>
            <w:hideMark/>
          </w:tcPr>
          <w:p w14:paraId="2671B4EB"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1.6</w:t>
            </w:r>
          </w:p>
        </w:tc>
      </w:tr>
      <w:tr w:rsidR="00B86BF1" w:rsidRPr="00A743C9" w14:paraId="5E2E5F2F" w14:textId="77777777" w:rsidTr="000376C7">
        <w:trPr>
          <w:trHeight w:val="300"/>
        </w:trPr>
        <w:tc>
          <w:tcPr>
            <w:cnfStyle w:val="001000000000" w:firstRow="0" w:lastRow="0" w:firstColumn="1" w:lastColumn="0" w:oddVBand="0" w:evenVBand="0" w:oddHBand="0" w:evenHBand="0" w:firstRowFirstColumn="0" w:firstRowLastColumn="0" w:lastRowFirstColumn="0" w:lastRowLastColumn="0"/>
            <w:tcW w:w="1606" w:type="dxa"/>
            <w:tcBorders>
              <w:left w:val="single" w:sz="4" w:space="0" w:color="auto"/>
              <w:bottom w:val="nil"/>
              <w:right w:val="single" w:sz="4" w:space="0" w:color="auto"/>
            </w:tcBorders>
            <w:noWrap/>
            <w:hideMark/>
          </w:tcPr>
          <w:p w14:paraId="0813AEA2" w14:textId="77777777" w:rsidR="00B86BF1" w:rsidRPr="00A743C9" w:rsidRDefault="00B86BF1" w:rsidP="000376C7">
            <w:pPr>
              <w:rPr>
                <w:rFonts w:eastAsia="Times New Roman" w:cs="Calibri"/>
                <w:color w:val="auto"/>
                <w:sz w:val="16"/>
                <w:szCs w:val="16"/>
              </w:rPr>
            </w:pPr>
            <w:r w:rsidRPr="00A743C9">
              <w:rPr>
                <w:rFonts w:eastAsia="Times New Roman" w:cs="Calibri"/>
                <w:color w:val="auto"/>
                <w:sz w:val="16"/>
                <w:szCs w:val="16"/>
              </w:rPr>
              <w:t>Tonga</w:t>
            </w:r>
          </w:p>
        </w:tc>
        <w:tc>
          <w:tcPr>
            <w:tcW w:w="1119" w:type="dxa"/>
            <w:tcBorders>
              <w:left w:val="single" w:sz="4" w:space="0" w:color="auto"/>
              <w:bottom w:val="nil"/>
            </w:tcBorders>
            <w:noWrap/>
            <w:hideMark/>
          </w:tcPr>
          <w:p w14:paraId="761F3711"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30.2</w:t>
            </w:r>
          </w:p>
        </w:tc>
        <w:tc>
          <w:tcPr>
            <w:tcW w:w="1119" w:type="dxa"/>
            <w:tcBorders>
              <w:bottom w:val="nil"/>
            </w:tcBorders>
            <w:noWrap/>
            <w:hideMark/>
          </w:tcPr>
          <w:p w14:paraId="26908C8D"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47.9</w:t>
            </w:r>
          </w:p>
        </w:tc>
        <w:tc>
          <w:tcPr>
            <w:tcW w:w="1119" w:type="dxa"/>
            <w:tcBorders>
              <w:bottom w:val="nil"/>
              <w:right w:val="single" w:sz="4" w:space="0" w:color="auto"/>
            </w:tcBorders>
            <w:noWrap/>
            <w:hideMark/>
          </w:tcPr>
          <w:p w14:paraId="126CBCFD"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13.1</w:t>
            </w:r>
          </w:p>
        </w:tc>
        <w:tc>
          <w:tcPr>
            <w:tcW w:w="1119" w:type="dxa"/>
            <w:tcBorders>
              <w:left w:val="single" w:sz="4" w:space="0" w:color="auto"/>
              <w:bottom w:val="nil"/>
            </w:tcBorders>
            <w:noWrap/>
            <w:hideMark/>
          </w:tcPr>
          <w:p w14:paraId="709AFF7D"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25.8</w:t>
            </w:r>
          </w:p>
        </w:tc>
        <w:tc>
          <w:tcPr>
            <w:tcW w:w="1118" w:type="dxa"/>
            <w:tcBorders>
              <w:bottom w:val="nil"/>
            </w:tcBorders>
            <w:noWrap/>
            <w:hideMark/>
          </w:tcPr>
          <w:p w14:paraId="0548467D"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41.6</w:t>
            </w:r>
          </w:p>
        </w:tc>
        <w:tc>
          <w:tcPr>
            <w:tcW w:w="1118" w:type="dxa"/>
            <w:tcBorders>
              <w:bottom w:val="nil"/>
              <w:right w:val="single" w:sz="4" w:space="0" w:color="auto"/>
            </w:tcBorders>
            <w:noWrap/>
            <w:hideMark/>
          </w:tcPr>
          <w:p w14:paraId="40C4E86D"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10.6</w:t>
            </w:r>
          </w:p>
        </w:tc>
        <w:tc>
          <w:tcPr>
            <w:tcW w:w="1118" w:type="dxa"/>
            <w:tcBorders>
              <w:left w:val="single" w:sz="4" w:space="0" w:color="auto"/>
              <w:bottom w:val="nil"/>
            </w:tcBorders>
            <w:noWrap/>
            <w:hideMark/>
          </w:tcPr>
          <w:p w14:paraId="5D156E38"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23.8</w:t>
            </w:r>
          </w:p>
        </w:tc>
        <w:tc>
          <w:tcPr>
            <w:tcW w:w="1118" w:type="dxa"/>
            <w:tcBorders>
              <w:bottom w:val="nil"/>
            </w:tcBorders>
            <w:noWrap/>
            <w:hideMark/>
          </w:tcPr>
          <w:p w14:paraId="1A324545"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38</w:t>
            </w:r>
          </w:p>
        </w:tc>
        <w:tc>
          <w:tcPr>
            <w:tcW w:w="1118" w:type="dxa"/>
            <w:tcBorders>
              <w:bottom w:val="nil"/>
              <w:right w:val="single" w:sz="4" w:space="0" w:color="auto"/>
            </w:tcBorders>
            <w:noWrap/>
            <w:hideMark/>
          </w:tcPr>
          <w:p w14:paraId="15982343"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10.2</w:t>
            </w:r>
          </w:p>
        </w:tc>
        <w:tc>
          <w:tcPr>
            <w:tcW w:w="1118" w:type="dxa"/>
            <w:tcBorders>
              <w:left w:val="single" w:sz="4" w:space="0" w:color="auto"/>
              <w:bottom w:val="nil"/>
            </w:tcBorders>
            <w:noWrap/>
            <w:hideMark/>
          </w:tcPr>
          <w:p w14:paraId="088D87DA"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19.7</w:t>
            </w:r>
          </w:p>
        </w:tc>
        <w:tc>
          <w:tcPr>
            <w:tcW w:w="1118" w:type="dxa"/>
            <w:tcBorders>
              <w:bottom w:val="nil"/>
            </w:tcBorders>
            <w:noWrap/>
            <w:hideMark/>
          </w:tcPr>
          <w:p w14:paraId="38A166C0"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31.1</w:t>
            </w:r>
          </w:p>
        </w:tc>
        <w:tc>
          <w:tcPr>
            <w:tcW w:w="1118" w:type="dxa"/>
            <w:tcBorders>
              <w:bottom w:val="nil"/>
              <w:right w:val="single" w:sz="4" w:space="0" w:color="auto"/>
            </w:tcBorders>
            <w:noWrap/>
            <w:hideMark/>
          </w:tcPr>
          <w:p w14:paraId="22EFA234"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8.7</w:t>
            </w:r>
          </w:p>
        </w:tc>
      </w:tr>
      <w:tr w:rsidR="00B86BF1" w:rsidRPr="00A743C9" w14:paraId="0780F6DE" w14:textId="77777777" w:rsidTr="000376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6" w:type="dxa"/>
            <w:tcBorders>
              <w:left w:val="single" w:sz="4" w:space="0" w:color="auto"/>
              <w:bottom w:val="nil"/>
              <w:right w:val="single" w:sz="4" w:space="0" w:color="auto"/>
            </w:tcBorders>
            <w:noWrap/>
            <w:hideMark/>
          </w:tcPr>
          <w:p w14:paraId="3406740D" w14:textId="77777777" w:rsidR="00B86BF1" w:rsidRPr="00A743C9" w:rsidRDefault="00B86BF1" w:rsidP="000376C7">
            <w:pPr>
              <w:rPr>
                <w:rFonts w:eastAsia="Times New Roman" w:cs="Calibri"/>
                <w:color w:val="auto"/>
                <w:sz w:val="16"/>
                <w:szCs w:val="16"/>
              </w:rPr>
            </w:pPr>
            <w:r w:rsidRPr="00A743C9">
              <w:rPr>
                <w:rFonts w:eastAsia="Times New Roman" w:cs="Calibri"/>
                <w:color w:val="auto"/>
                <w:sz w:val="16"/>
                <w:szCs w:val="16"/>
              </w:rPr>
              <w:lastRenderedPageBreak/>
              <w:t>Turkey</w:t>
            </w:r>
          </w:p>
        </w:tc>
        <w:tc>
          <w:tcPr>
            <w:tcW w:w="1119" w:type="dxa"/>
            <w:tcBorders>
              <w:left w:val="single" w:sz="4" w:space="0" w:color="auto"/>
              <w:bottom w:val="nil"/>
            </w:tcBorders>
            <w:noWrap/>
            <w:hideMark/>
          </w:tcPr>
          <w:p w14:paraId="769EF8BA"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27</w:t>
            </w:r>
          </w:p>
        </w:tc>
        <w:tc>
          <w:tcPr>
            <w:tcW w:w="1119" w:type="dxa"/>
            <w:tcBorders>
              <w:bottom w:val="nil"/>
            </w:tcBorders>
            <w:noWrap/>
            <w:hideMark/>
          </w:tcPr>
          <w:p w14:paraId="4BB8E7E3"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41.6</w:t>
            </w:r>
          </w:p>
        </w:tc>
        <w:tc>
          <w:tcPr>
            <w:tcW w:w="1119" w:type="dxa"/>
            <w:tcBorders>
              <w:bottom w:val="nil"/>
              <w:right w:val="single" w:sz="4" w:space="0" w:color="auto"/>
            </w:tcBorders>
            <w:noWrap/>
            <w:hideMark/>
          </w:tcPr>
          <w:p w14:paraId="0FA4D419"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13.2</w:t>
            </w:r>
          </w:p>
        </w:tc>
        <w:tc>
          <w:tcPr>
            <w:tcW w:w="1119" w:type="dxa"/>
            <w:tcBorders>
              <w:left w:val="single" w:sz="4" w:space="0" w:color="auto"/>
              <w:bottom w:val="nil"/>
            </w:tcBorders>
            <w:noWrap/>
            <w:hideMark/>
          </w:tcPr>
          <w:p w14:paraId="41697463"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22.4</w:t>
            </w:r>
          </w:p>
        </w:tc>
        <w:tc>
          <w:tcPr>
            <w:tcW w:w="1118" w:type="dxa"/>
            <w:tcBorders>
              <w:bottom w:val="nil"/>
            </w:tcBorders>
            <w:noWrap/>
            <w:hideMark/>
          </w:tcPr>
          <w:p w14:paraId="05A2C160"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35.7</w:t>
            </w:r>
          </w:p>
        </w:tc>
        <w:tc>
          <w:tcPr>
            <w:tcW w:w="1118" w:type="dxa"/>
            <w:tcBorders>
              <w:bottom w:val="nil"/>
              <w:right w:val="single" w:sz="4" w:space="0" w:color="auto"/>
            </w:tcBorders>
            <w:noWrap/>
            <w:hideMark/>
          </w:tcPr>
          <w:p w14:paraId="4FE13752"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9.9</w:t>
            </w:r>
          </w:p>
        </w:tc>
        <w:tc>
          <w:tcPr>
            <w:tcW w:w="1118" w:type="dxa"/>
            <w:tcBorders>
              <w:left w:val="single" w:sz="4" w:space="0" w:color="auto"/>
              <w:bottom w:val="nil"/>
            </w:tcBorders>
            <w:noWrap/>
            <w:hideMark/>
          </w:tcPr>
          <w:p w14:paraId="0E142E84"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24.7</w:t>
            </w:r>
          </w:p>
        </w:tc>
        <w:tc>
          <w:tcPr>
            <w:tcW w:w="1118" w:type="dxa"/>
            <w:tcBorders>
              <w:bottom w:val="nil"/>
            </w:tcBorders>
            <w:noWrap/>
            <w:hideMark/>
          </w:tcPr>
          <w:p w14:paraId="37493CBE"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38.1</w:t>
            </w:r>
          </w:p>
        </w:tc>
        <w:tc>
          <w:tcPr>
            <w:tcW w:w="1118" w:type="dxa"/>
            <w:tcBorders>
              <w:bottom w:val="nil"/>
              <w:right w:val="single" w:sz="4" w:space="0" w:color="auto"/>
            </w:tcBorders>
            <w:noWrap/>
            <w:hideMark/>
          </w:tcPr>
          <w:p w14:paraId="0FAC271C"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12</w:t>
            </w:r>
          </w:p>
        </w:tc>
        <w:tc>
          <w:tcPr>
            <w:tcW w:w="1118" w:type="dxa"/>
            <w:tcBorders>
              <w:left w:val="single" w:sz="4" w:space="0" w:color="auto"/>
              <w:bottom w:val="nil"/>
            </w:tcBorders>
            <w:noWrap/>
            <w:hideMark/>
          </w:tcPr>
          <w:p w14:paraId="5A6507BB"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21.4</w:t>
            </w:r>
          </w:p>
        </w:tc>
        <w:tc>
          <w:tcPr>
            <w:tcW w:w="1118" w:type="dxa"/>
            <w:tcBorders>
              <w:bottom w:val="nil"/>
            </w:tcBorders>
            <w:noWrap/>
            <w:hideMark/>
          </w:tcPr>
          <w:p w14:paraId="70E6715D"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33.9</w:t>
            </w:r>
          </w:p>
        </w:tc>
        <w:tc>
          <w:tcPr>
            <w:tcW w:w="1118" w:type="dxa"/>
            <w:tcBorders>
              <w:bottom w:val="nil"/>
              <w:right w:val="single" w:sz="4" w:space="0" w:color="auto"/>
            </w:tcBorders>
            <w:noWrap/>
            <w:hideMark/>
          </w:tcPr>
          <w:p w14:paraId="5397F438"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9.6</w:t>
            </w:r>
          </w:p>
        </w:tc>
      </w:tr>
      <w:tr w:rsidR="00B86BF1" w:rsidRPr="00A743C9" w14:paraId="123AED0F" w14:textId="77777777" w:rsidTr="000376C7">
        <w:trPr>
          <w:trHeight w:val="300"/>
        </w:trPr>
        <w:tc>
          <w:tcPr>
            <w:cnfStyle w:val="001000000000" w:firstRow="0" w:lastRow="0" w:firstColumn="1" w:lastColumn="0" w:oddVBand="0" w:evenVBand="0" w:oddHBand="0" w:evenHBand="0" w:firstRowFirstColumn="0" w:firstRowLastColumn="0" w:lastRowFirstColumn="0" w:lastRowLastColumn="0"/>
            <w:tcW w:w="1606" w:type="dxa"/>
            <w:tcBorders>
              <w:left w:val="single" w:sz="4" w:space="0" w:color="auto"/>
              <w:bottom w:val="nil"/>
              <w:right w:val="single" w:sz="4" w:space="0" w:color="auto"/>
            </w:tcBorders>
            <w:noWrap/>
            <w:hideMark/>
          </w:tcPr>
          <w:p w14:paraId="798B530D" w14:textId="77777777" w:rsidR="00B86BF1" w:rsidRPr="00A743C9" w:rsidRDefault="00B86BF1" w:rsidP="000376C7">
            <w:pPr>
              <w:rPr>
                <w:rFonts w:eastAsia="Times New Roman" w:cs="Calibri"/>
                <w:color w:val="auto"/>
                <w:sz w:val="16"/>
                <w:szCs w:val="16"/>
              </w:rPr>
            </w:pPr>
            <w:r w:rsidRPr="00A743C9">
              <w:rPr>
                <w:rFonts w:eastAsia="Times New Roman" w:cs="Calibri"/>
                <w:color w:val="auto"/>
                <w:sz w:val="16"/>
                <w:szCs w:val="16"/>
              </w:rPr>
              <w:t>Uganda</w:t>
            </w:r>
          </w:p>
        </w:tc>
        <w:tc>
          <w:tcPr>
            <w:tcW w:w="1119" w:type="dxa"/>
            <w:tcBorders>
              <w:left w:val="single" w:sz="4" w:space="0" w:color="auto"/>
              <w:bottom w:val="nil"/>
            </w:tcBorders>
            <w:noWrap/>
            <w:hideMark/>
          </w:tcPr>
          <w:p w14:paraId="70FE0099"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10.3</w:t>
            </w:r>
          </w:p>
        </w:tc>
        <w:tc>
          <w:tcPr>
            <w:tcW w:w="1119" w:type="dxa"/>
            <w:tcBorders>
              <w:bottom w:val="nil"/>
            </w:tcBorders>
            <w:noWrap/>
            <w:hideMark/>
          </w:tcPr>
          <w:p w14:paraId="5B69D68E"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17.5</w:t>
            </w:r>
          </w:p>
        </w:tc>
        <w:tc>
          <w:tcPr>
            <w:tcW w:w="1119" w:type="dxa"/>
            <w:tcBorders>
              <w:bottom w:val="nil"/>
              <w:right w:val="single" w:sz="4" w:space="0" w:color="auto"/>
            </w:tcBorders>
            <w:noWrap/>
            <w:hideMark/>
          </w:tcPr>
          <w:p w14:paraId="0658F1DC"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3.1</w:t>
            </w:r>
          </w:p>
        </w:tc>
        <w:tc>
          <w:tcPr>
            <w:tcW w:w="1119" w:type="dxa"/>
            <w:tcBorders>
              <w:left w:val="single" w:sz="4" w:space="0" w:color="auto"/>
              <w:bottom w:val="nil"/>
            </w:tcBorders>
            <w:noWrap/>
            <w:hideMark/>
          </w:tcPr>
          <w:p w14:paraId="1D434A75"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6.6</w:t>
            </w:r>
          </w:p>
        </w:tc>
        <w:tc>
          <w:tcPr>
            <w:tcW w:w="1118" w:type="dxa"/>
            <w:tcBorders>
              <w:bottom w:val="nil"/>
            </w:tcBorders>
            <w:noWrap/>
            <w:hideMark/>
          </w:tcPr>
          <w:p w14:paraId="398C338F"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11.5</w:t>
            </w:r>
          </w:p>
        </w:tc>
        <w:tc>
          <w:tcPr>
            <w:tcW w:w="1118" w:type="dxa"/>
            <w:tcBorders>
              <w:bottom w:val="nil"/>
              <w:right w:val="single" w:sz="4" w:space="0" w:color="auto"/>
            </w:tcBorders>
            <w:noWrap/>
            <w:hideMark/>
          </w:tcPr>
          <w:p w14:paraId="52A2D29C"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1.8</w:t>
            </w:r>
          </w:p>
        </w:tc>
        <w:tc>
          <w:tcPr>
            <w:tcW w:w="1118" w:type="dxa"/>
            <w:tcBorders>
              <w:left w:val="single" w:sz="4" w:space="0" w:color="auto"/>
              <w:bottom w:val="nil"/>
            </w:tcBorders>
            <w:noWrap/>
            <w:hideMark/>
          </w:tcPr>
          <w:p w14:paraId="4B768675"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8</w:t>
            </w:r>
          </w:p>
        </w:tc>
        <w:tc>
          <w:tcPr>
            <w:tcW w:w="1118" w:type="dxa"/>
            <w:tcBorders>
              <w:bottom w:val="nil"/>
            </w:tcBorders>
            <w:noWrap/>
            <w:hideMark/>
          </w:tcPr>
          <w:p w14:paraId="1D1123E7"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15</w:t>
            </w:r>
          </w:p>
        </w:tc>
        <w:tc>
          <w:tcPr>
            <w:tcW w:w="1118" w:type="dxa"/>
            <w:tcBorders>
              <w:bottom w:val="nil"/>
              <w:right w:val="single" w:sz="4" w:space="0" w:color="auto"/>
            </w:tcBorders>
            <w:noWrap/>
            <w:hideMark/>
          </w:tcPr>
          <w:p w14:paraId="359B0FE3"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0.9</w:t>
            </w:r>
          </w:p>
        </w:tc>
        <w:tc>
          <w:tcPr>
            <w:tcW w:w="1118" w:type="dxa"/>
            <w:tcBorders>
              <w:left w:val="single" w:sz="4" w:space="0" w:color="auto"/>
              <w:bottom w:val="nil"/>
            </w:tcBorders>
            <w:noWrap/>
            <w:hideMark/>
          </w:tcPr>
          <w:p w14:paraId="18BD4F6F"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5.3</w:t>
            </w:r>
          </w:p>
        </w:tc>
        <w:tc>
          <w:tcPr>
            <w:tcW w:w="1118" w:type="dxa"/>
            <w:tcBorders>
              <w:bottom w:val="nil"/>
            </w:tcBorders>
            <w:noWrap/>
            <w:hideMark/>
          </w:tcPr>
          <w:p w14:paraId="319D123E"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9.9</w:t>
            </w:r>
          </w:p>
        </w:tc>
        <w:tc>
          <w:tcPr>
            <w:tcW w:w="1118" w:type="dxa"/>
            <w:tcBorders>
              <w:bottom w:val="nil"/>
              <w:right w:val="single" w:sz="4" w:space="0" w:color="auto"/>
            </w:tcBorders>
            <w:noWrap/>
            <w:hideMark/>
          </w:tcPr>
          <w:p w14:paraId="71D1A1D9"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0.8</w:t>
            </w:r>
          </w:p>
        </w:tc>
      </w:tr>
      <w:tr w:rsidR="00B86BF1" w:rsidRPr="00A743C9" w14:paraId="0F3D6E96" w14:textId="77777777" w:rsidTr="000376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6" w:type="dxa"/>
            <w:tcBorders>
              <w:left w:val="single" w:sz="4" w:space="0" w:color="auto"/>
              <w:bottom w:val="nil"/>
              <w:right w:val="single" w:sz="4" w:space="0" w:color="auto"/>
            </w:tcBorders>
            <w:noWrap/>
            <w:hideMark/>
          </w:tcPr>
          <w:p w14:paraId="79A50939" w14:textId="77777777" w:rsidR="00B86BF1" w:rsidRPr="00A743C9" w:rsidRDefault="00B86BF1" w:rsidP="000376C7">
            <w:pPr>
              <w:rPr>
                <w:rFonts w:eastAsia="Times New Roman" w:cs="Calibri"/>
                <w:color w:val="auto"/>
                <w:sz w:val="16"/>
                <w:szCs w:val="16"/>
              </w:rPr>
            </w:pPr>
            <w:r w:rsidRPr="00A743C9">
              <w:rPr>
                <w:rFonts w:eastAsia="Times New Roman" w:cs="Calibri"/>
                <w:color w:val="auto"/>
                <w:sz w:val="16"/>
                <w:szCs w:val="16"/>
              </w:rPr>
              <w:t>Ukraine</w:t>
            </w:r>
          </w:p>
        </w:tc>
        <w:tc>
          <w:tcPr>
            <w:tcW w:w="1119" w:type="dxa"/>
            <w:tcBorders>
              <w:left w:val="single" w:sz="4" w:space="0" w:color="auto"/>
              <w:bottom w:val="nil"/>
            </w:tcBorders>
            <w:noWrap/>
            <w:hideMark/>
          </w:tcPr>
          <w:p w14:paraId="4B5FD96D"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30.7</w:t>
            </w:r>
          </w:p>
        </w:tc>
        <w:tc>
          <w:tcPr>
            <w:tcW w:w="1119" w:type="dxa"/>
            <w:tcBorders>
              <w:bottom w:val="nil"/>
            </w:tcBorders>
            <w:noWrap/>
            <w:hideMark/>
          </w:tcPr>
          <w:p w14:paraId="3724FF0B"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50.6</w:t>
            </w:r>
          </w:p>
        </w:tc>
        <w:tc>
          <w:tcPr>
            <w:tcW w:w="1119" w:type="dxa"/>
            <w:tcBorders>
              <w:bottom w:val="nil"/>
              <w:right w:val="single" w:sz="4" w:space="0" w:color="auto"/>
            </w:tcBorders>
            <w:noWrap/>
            <w:hideMark/>
          </w:tcPr>
          <w:p w14:paraId="215917AC"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14.3</w:t>
            </w:r>
          </w:p>
        </w:tc>
        <w:tc>
          <w:tcPr>
            <w:tcW w:w="1119" w:type="dxa"/>
            <w:tcBorders>
              <w:left w:val="single" w:sz="4" w:space="0" w:color="auto"/>
              <w:bottom w:val="nil"/>
            </w:tcBorders>
            <w:noWrap/>
            <w:hideMark/>
          </w:tcPr>
          <w:p w14:paraId="71EDF0AE"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25.4</w:t>
            </w:r>
          </w:p>
        </w:tc>
        <w:tc>
          <w:tcPr>
            <w:tcW w:w="1118" w:type="dxa"/>
            <w:tcBorders>
              <w:bottom w:val="nil"/>
            </w:tcBorders>
            <w:noWrap/>
            <w:hideMark/>
          </w:tcPr>
          <w:p w14:paraId="50374330"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44.2</w:t>
            </w:r>
          </w:p>
        </w:tc>
        <w:tc>
          <w:tcPr>
            <w:tcW w:w="1118" w:type="dxa"/>
            <w:tcBorders>
              <w:bottom w:val="nil"/>
              <w:right w:val="single" w:sz="4" w:space="0" w:color="auto"/>
            </w:tcBorders>
            <w:noWrap/>
            <w:hideMark/>
          </w:tcPr>
          <w:p w14:paraId="73196B91"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9.9</w:t>
            </w:r>
          </w:p>
        </w:tc>
        <w:tc>
          <w:tcPr>
            <w:tcW w:w="1118" w:type="dxa"/>
            <w:tcBorders>
              <w:left w:val="single" w:sz="4" w:space="0" w:color="auto"/>
              <w:bottom w:val="nil"/>
            </w:tcBorders>
            <w:noWrap/>
            <w:hideMark/>
          </w:tcPr>
          <w:p w14:paraId="31407F6E"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28.3</w:t>
            </w:r>
          </w:p>
        </w:tc>
        <w:tc>
          <w:tcPr>
            <w:tcW w:w="1118" w:type="dxa"/>
            <w:tcBorders>
              <w:bottom w:val="nil"/>
            </w:tcBorders>
            <w:noWrap/>
            <w:hideMark/>
          </w:tcPr>
          <w:p w14:paraId="12656C37"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46.9</w:t>
            </w:r>
          </w:p>
        </w:tc>
        <w:tc>
          <w:tcPr>
            <w:tcW w:w="1118" w:type="dxa"/>
            <w:tcBorders>
              <w:bottom w:val="nil"/>
              <w:right w:val="single" w:sz="4" w:space="0" w:color="auto"/>
            </w:tcBorders>
            <w:noWrap/>
            <w:hideMark/>
          </w:tcPr>
          <w:p w14:paraId="57F537DF"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13</w:t>
            </w:r>
          </w:p>
        </w:tc>
        <w:tc>
          <w:tcPr>
            <w:tcW w:w="1118" w:type="dxa"/>
            <w:tcBorders>
              <w:left w:val="single" w:sz="4" w:space="0" w:color="auto"/>
              <w:bottom w:val="nil"/>
            </w:tcBorders>
            <w:noWrap/>
            <w:hideMark/>
          </w:tcPr>
          <w:p w14:paraId="756D4132"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24.1</w:t>
            </w:r>
          </w:p>
        </w:tc>
        <w:tc>
          <w:tcPr>
            <w:tcW w:w="1118" w:type="dxa"/>
            <w:tcBorders>
              <w:bottom w:val="nil"/>
            </w:tcBorders>
            <w:noWrap/>
            <w:hideMark/>
          </w:tcPr>
          <w:p w14:paraId="7B6B1D89"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42.2</w:t>
            </w:r>
          </w:p>
        </w:tc>
        <w:tc>
          <w:tcPr>
            <w:tcW w:w="1118" w:type="dxa"/>
            <w:tcBorders>
              <w:bottom w:val="nil"/>
              <w:right w:val="single" w:sz="4" w:space="0" w:color="auto"/>
            </w:tcBorders>
            <w:noWrap/>
            <w:hideMark/>
          </w:tcPr>
          <w:p w14:paraId="57591312"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9.1</w:t>
            </w:r>
          </w:p>
        </w:tc>
      </w:tr>
      <w:tr w:rsidR="00B86BF1" w:rsidRPr="00A743C9" w14:paraId="1C1F7D2C" w14:textId="77777777" w:rsidTr="000376C7">
        <w:trPr>
          <w:trHeight w:val="300"/>
        </w:trPr>
        <w:tc>
          <w:tcPr>
            <w:cnfStyle w:val="001000000000" w:firstRow="0" w:lastRow="0" w:firstColumn="1" w:lastColumn="0" w:oddVBand="0" w:evenVBand="0" w:oddHBand="0" w:evenHBand="0" w:firstRowFirstColumn="0" w:firstRowLastColumn="0" w:lastRowFirstColumn="0" w:lastRowLastColumn="0"/>
            <w:tcW w:w="1606" w:type="dxa"/>
            <w:tcBorders>
              <w:left w:val="single" w:sz="4" w:space="0" w:color="auto"/>
              <w:bottom w:val="nil"/>
              <w:right w:val="single" w:sz="4" w:space="0" w:color="auto"/>
            </w:tcBorders>
            <w:noWrap/>
            <w:hideMark/>
          </w:tcPr>
          <w:p w14:paraId="42C82A30" w14:textId="77777777" w:rsidR="00B86BF1" w:rsidRPr="00A743C9" w:rsidRDefault="00B86BF1" w:rsidP="000376C7">
            <w:pPr>
              <w:rPr>
                <w:rFonts w:eastAsia="Times New Roman" w:cs="Calibri"/>
                <w:color w:val="auto"/>
                <w:sz w:val="16"/>
                <w:szCs w:val="16"/>
              </w:rPr>
            </w:pPr>
            <w:r w:rsidRPr="00A743C9">
              <w:rPr>
                <w:rFonts w:eastAsia="Times New Roman" w:cs="Calibri"/>
                <w:color w:val="auto"/>
                <w:sz w:val="16"/>
                <w:szCs w:val="16"/>
              </w:rPr>
              <w:t>United Kingdom</w:t>
            </w:r>
          </w:p>
        </w:tc>
        <w:tc>
          <w:tcPr>
            <w:tcW w:w="1119" w:type="dxa"/>
            <w:tcBorders>
              <w:left w:val="single" w:sz="4" w:space="0" w:color="auto"/>
              <w:bottom w:val="nil"/>
            </w:tcBorders>
            <w:noWrap/>
            <w:hideMark/>
          </w:tcPr>
          <w:p w14:paraId="14074809"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20.3</w:t>
            </w:r>
          </w:p>
        </w:tc>
        <w:tc>
          <w:tcPr>
            <w:tcW w:w="1119" w:type="dxa"/>
            <w:tcBorders>
              <w:bottom w:val="nil"/>
            </w:tcBorders>
            <w:noWrap/>
            <w:hideMark/>
          </w:tcPr>
          <w:p w14:paraId="76633784"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21.1</w:t>
            </w:r>
          </w:p>
        </w:tc>
        <w:tc>
          <w:tcPr>
            <w:tcW w:w="1119" w:type="dxa"/>
            <w:tcBorders>
              <w:bottom w:val="nil"/>
              <w:right w:val="single" w:sz="4" w:space="0" w:color="auto"/>
            </w:tcBorders>
            <w:noWrap/>
            <w:hideMark/>
          </w:tcPr>
          <w:p w14:paraId="5755B046"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19.5</w:t>
            </w:r>
          </w:p>
        </w:tc>
        <w:tc>
          <w:tcPr>
            <w:tcW w:w="1119" w:type="dxa"/>
            <w:tcBorders>
              <w:left w:val="single" w:sz="4" w:space="0" w:color="auto"/>
              <w:bottom w:val="nil"/>
            </w:tcBorders>
            <w:noWrap/>
            <w:hideMark/>
          </w:tcPr>
          <w:p w14:paraId="0D5847DF"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20.3</w:t>
            </w:r>
          </w:p>
        </w:tc>
        <w:tc>
          <w:tcPr>
            <w:tcW w:w="1118" w:type="dxa"/>
            <w:tcBorders>
              <w:bottom w:val="nil"/>
            </w:tcBorders>
            <w:noWrap/>
            <w:hideMark/>
          </w:tcPr>
          <w:p w14:paraId="0EC9F2B5"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21.1</w:t>
            </w:r>
          </w:p>
        </w:tc>
        <w:tc>
          <w:tcPr>
            <w:tcW w:w="1118" w:type="dxa"/>
            <w:tcBorders>
              <w:bottom w:val="nil"/>
              <w:right w:val="single" w:sz="4" w:space="0" w:color="auto"/>
            </w:tcBorders>
            <w:noWrap/>
            <w:hideMark/>
          </w:tcPr>
          <w:p w14:paraId="7470C22C"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19.5</w:t>
            </w:r>
          </w:p>
        </w:tc>
        <w:tc>
          <w:tcPr>
            <w:tcW w:w="1118" w:type="dxa"/>
            <w:tcBorders>
              <w:left w:val="single" w:sz="4" w:space="0" w:color="auto"/>
              <w:bottom w:val="nil"/>
            </w:tcBorders>
            <w:noWrap/>
            <w:hideMark/>
          </w:tcPr>
          <w:p w14:paraId="24D60992"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20.3</w:t>
            </w:r>
          </w:p>
        </w:tc>
        <w:tc>
          <w:tcPr>
            <w:tcW w:w="1118" w:type="dxa"/>
            <w:tcBorders>
              <w:bottom w:val="nil"/>
            </w:tcBorders>
            <w:noWrap/>
            <w:hideMark/>
          </w:tcPr>
          <w:p w14:paraId="4239FBFB"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21.1</w:t>
            </w:r>
          </w:p>
        </w:tc>
        <w:tc>
          <w:tcPr>
            <w:tcW w:w="1118" w:type="dxa"/>
            <w:tcBorders>
              <w:bottom w:val="nil"/>
              <w:right w:val="single" w:sz="4" w:space="0" w:color="auto"/>
            </w:tcBorders>
            <w:noWrap/>
            <w:hideMark/>
          </w:tcPr>
          <w:p w14:paraId="4584B323"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19.5</w:t>
            </w:r>
          </w:p>
        </w:tc>
        <w:tc>
          <w:tcPr>
            <w:tcW w:w="1118" w:type="dxa"/>
            <w:tcBorders>
              <w:left w:val="single" w:sz="4" w:space="0" w:color="auto"/>
              <w:bottom w:val="nil"/>
            </w:tcBorders>
            <w:noWrap/>
            <w:hideMark/>
          </w:tcPr>
          <w:p w14:paraId="0ED90F39"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20.3</w:t>
            </w:r>
          </w:p>
        </w:tc>
        <w:tc>
          <w:tcPr>
            <w:tcW w:w="1118" w:type="dxa"/>
            <w:tcBorders>
              <w:bottom w:val="nil"/>
            </w:tcBorders>
            <w:noWrap/>
            <w:hideMark/>
          </w:tcPr>
          <w:p w14:paraId="3829B874"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21.1</w:t>
            </w:r>
          </w:p>
        </w:tc>
        <w:tc>
          <w:tcPr>
            <w:tcW w:w="1118" w:type="dxa"/>
            <w:tcBorders>
              <w:bottom w:val="nil"/>
              <w:right w:val="single" w:sz="4" w:space="0" w:color="auto"/>
            </w:tcBorders>
            <w:noWrap/>
            <w:hideMark/>
          </w:tcPr>
          <w:p w14:paraId="3395FD34"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19.5</w:t>
            </w:r>
          </w:p>
        </w:tc>
      </w:tr>
      <w:tr w:rsidR="00B86BF1" w:rsidRPr="00A743C9" w14:paraId="62CB4241" w14:textId="77777777" w:rsidTr="000376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6" w:type="dxa"/>
            <w:tcBorders>
              <w:left w:val="single" w:sz="4" w:space="0" w:color="auto"/>
              <w:bottom w:val="nil"/>
              <w:right w:val="single" w:sz="4" w:space="0" w:color="auto"/>
            </w:tcBorders>
            <w:noWrap/>
            <w:hideMark/>
          </w:tcPr>
          <w:p w14:paraId="7F11CD2F" w14:textId="77777777" w:rsidR="00B86BF1" w:rsidRPr="00A743C9" w:rsidRDefault="00B86BF1" w:rsidP="000376C7">
            <w:pPr>
              <w:rPr>
                <w:rFonts w:eastAsia="Times New Roman" w:cs="Calibri"/>
                <w:color w:val="auto"/>
                <w:sz w:val="16"/>
                <w:szCs w:val="16"/>
              </w:rPr>
            </w:pPr>
            <w:r w:rsidRPr="00A743C9">
              <w:rPr>
                <w:rFonts w:eastAsia="Times New Roman" w:cs="Calibri"/>
                <w:color w:val="auto"/>
                <w:sz w:val="16"/>
                <w:szCs w:val="16"/>
              </w:rPr>
              <w:t>Tanzania</w:t>
            </w:r>
          </w:p>
        </w:tc>
        <w:tc>
          <w:tcPr>
            <w:tcW w:w="1119" w:type="dxa"/>
            <w:tcBorders>
              <w:left w:val="single" w:sz="4" w:space="0" w:color="auto"/>
              <w:bottom w:val="nil"/>
            </w:tcBorders>
            <w:noWrap/>
            <w:hideMark/>
          </w:tcPr>
          <w:p w14:paraId="68F979DC"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16.3</w:t>
            </w:r>
          </w:p>
        </w:tc>
        <w:tc>
          <w:tcPr>
            <w:tcW w:w="1119" w:type="dxa"/>
            <w:tcBorders>
              <w:bottom w:val="nil"/>
            </w:tcBorders>
            <w:noWrap/>
            <w:hideMark/>
          </w:tcPr>
          <w:p w14:paraId="45C4DB71"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28.8</w:t>
            </w:r>
          </w:p>
        </w:tc>
        <w:tc>
          <w:tcPr>
            <w:tcW w:w="1119" w:type="dxa"/>
            <w:tcBorders>
              <w:bottom w:val="nil"/>
              <w:right w:val="single" w:sz="4" w:space="0" w:color="auto"/>
            </w:tcBorders>
            <w:noWrap/>
            <w:hideMark/>
          </w:tcPr>
          <w:p w14:paraId="2C2354D2"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3.9</w:t>
            </w:r>
          </w:p>
        </w:tc>
        <w:tc>
          <w:tcPr>
            <w:tcW w:w="1119" w:type="dxa"/>
            <w:tcBorders>
              <w:left w:val="single" w:sz="4" w:space="0" w:color="auto"/>
              <w:bottom w:val="nil"/>
            </w:tcBorders>
            <w:noWrap/>
            <w:hideMark/>
          </w:tcPr>
          <w:p w14:paraId="6279BCCD"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11.9</w:t>
            </w:r>
          </w:p>
        </w:tc>
        <w:tc>
          <w:tcPr>
            <w:tcW w:w="1118" w:type="dxa"/>
            <w:tcBorders>
              <w:bottom w:val="nil"/>
            </w:tcBorders>
            <w:noWrap/>
            <w:hideMark/>
          </w:tcPr>
          <w:p w14:paraId="734CED5F"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21.4</w:t>
            </w:r>
          </w:p>
        </w:tc>
        <w:tc>
          <w:tcPr>
            <w:tcW w:w="1118" w:type="dxa"/>
            <w:tcBorders>
              <w:bottom w:val="nil"/>
              <w:right w:val="single" w:sz="4" w:space="0" w:color="auto"/>
            </w:tcBorders>
            <w:noWrap/>
            <w:hideMark/>
          </w:tcPr>
          <w:p w14:paraId="693B3ABD"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2.4</w:t>
            </w:r>
          </w:p>
        </w:tc>
        <w:tc>
          <w:tcPr>
            <w:tcW w:w="1118" w:type="dxa"/>
            <w:tcBorders>
              <w:left w:val="single" w:sz="4" w:space="0" w:color="auto"/>
              <w:bottom w:val="nil"/>
            </w:tcBorders>
            <w:noWrap/>
            <w:hideMark/>
          </w:tcPr>
          <w:p w14:paraId="20494DC9"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11.4</w:t>
            </w:r>
          </w:p>
        </w:tc>
        <w:tc>
          <w:tcPr>
            <w:tcW w:w="1118" w:type="dxa"/>
            <w:tcBorders>
              <w:bottom w:val="nil"/>
            </w:tcBorders>
            <w:noWrap/>
            <w:hideMark/>
          </w:tcPr>
          <w:p w14:paraId="3739EBCA"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22.1</w:t>
            </w:r>
          </w:p>
        </w:tc>
        <w:tc>
          <w:tcPr>
            <w:tcW w:w="1118" w:type="dxa"/>
            <w:tcBorders>
              <w:bottom w:val="nil"/>
              <w:right w:val="single" w:sz="4" w:space="0" w:color="auto"/>
            </w:tcBorders>
            <w:noWrap/>
            <w:hideMark/>
          </w:tcPr>
          <w:p w14:paraId="44178112"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0.8</w:t>
            </w:r>
          </w:p>
        </w:tc>
        <w:tc>
          <w:tcPr>
            <w:tcW w:w="1118" w:type="dxa"/>
            <w:tcBorders>
              <w:left w:val="single" w:sz="4" w:space="0" w:color="auto"/>
              <w:bottom w:val="nil"/>
            </w:tcBorders>
            <w:noWrap/>
            <w:hideMark/>
          </w:tcPr>
          <w:p w14:paraId="54BF5D77"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10</w:t>
            </w:r>
          </w:p>
        </w:tc>
        <w:tc>
          <w:tcPr>
            <w:tcW w:w="1118" w:type="dxa"/>
            <w:tcBorders>
              <w:bottom w:val="nil"/>
            </w:tcBorders>
            <w:noWrap/>
            <w:hideMark/>
          </w:tcPr>
          <w:p w14:paraId="4C717479"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19.2</w:t>
            </w:r>
          </w:p>
        </w:tc>
        <w:tc>
          <w:tcPr>
            <w:tcW w:w="1118" w:type="dxa"/>
            <w:tcBorders>
              <w:bottom w:val="nil"/>
              <w:right w:val="single" w:sz="4" w:space="0" w:color="auto"/>
            </w:tcBorders>
            <w:noWrap/>
            <w:hideMark/>
          </w:tcPr>
          <w:p w14:paraId="378E226B"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0.8</w:t>
            </w:r>
          </w:p>
        </w:tc>
      </w:tr>
      <w:tr w:rsidR="00B86BF1" w:rsidRPr="00A743C9" w14:paraId="4EA69671" w14:textId="77777777" w:rsidTr="000376C7">
        <w:trPr>
          <w:trHeight w:val="300"/>
        </w:trPr>
        <w:tc>
          <w:tcPr>
            <w:cnfStyle w:val="001000000000" w:firstRow="0" w:lastRow="0" w:firstColumn="1" w:lastColumn="0" w:oddVBand="0" w:evenVBand="0" w:oddHBand="0" w:evenHBand="0" w:firstRowFirstColumn="0" w:firstRowLastColumn="0" w:lastRowFirstColumn="0" w:lastRowLastColumn="0"/>
            <w:tcW w:w="1606" w:type="dxa"/>
            <w:tcBorders>
              <w:left w:val="single" w:sz="4" w:space="0" w:color="auto"/>
              <w:bottom w:val="nil"/>
              <w:right w:val="single" w:sz="4" w:space="0" w:color="auto"/>
            </w:tcBorders>
            <w:noWrap/>
            <w:hideMark/>
          </w:tcPr>
          <w:p w14:paraId="2AB99A38" w14:textId="77777777" w:rsidR="00B86BF1" w:rsidRPr="00A743C9" w:rsidRDefault="00B86BF1" w:rsidP="000376C7">
            <w:pPr>
              <w:rPr>
                <w:rFonts w:eastAsia="Times New Roman" w:cs="Calibri"/>
                <w:color w:val="auto"/>
                <w:sz w:val="16"/>
                <w:szCs w:val="16"/>
              </w:rPr>
            </w:pPr>
            <w:r w:rsidRPr="00A743C9">
              <w:rPr>
                <w:rFonts w:eastAsia="Times New Roman" w:cs="Calibri"/>
                <w:color w:val="auto"/>
                <w:sz w:val="16"/>
                <w:szCs w:val="16"/>
              </w:rPr>
              <w:t xml:space="preserve">United States </w:t>
            </w:r>
          </w:p>
        </w:tc>
        <w:tc>
          <w:tcPr>
            <w:tcW w:w="1119" w:type="dxa"/>
            <w:tcBorders>
              <w:left w:val="single" w:sz="4" w:space="0" w:color="auto"/>
              <w:bottom w:val="nil"/>
            </w:tcBorders>
            <w:noWrap/>
            <w:hideMark/>
          </w:tcPr>
          <w:p w14:paraId="2D5E31AF"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18.1</w:t>
            </w:r>
          </w:p>
        </w:tc>
        <w:tc>
          <w:tcPr>
            <w:tcW w:w="1119" w:type="dxa"/>
            <w:tcBorders>
              <w:bottom w:val="nil"/>
            </w:tcBorders>
            <w:noWrap/>
            <w:hideMark/>
          </w:tcPr>
          <w:p w14:paraId="11A4CA2A"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20.3</w:t>
            </w:r>
          </w:p>
        </w:tc>
        <w:tc>
          <w:tcPr>
            <w:tcW w:w="1119" w:type="dxa"/>
            <w:tcBorders>
              <w:bottom w:val="nil"/>
              <w:right w:val="single" w:sz="4" w:space="0" w:color="auto"/>
            </w:tcBorders>
            <w:noWrap/>
            <w:hideMark/>
          </w:tcPr>
          <w:p w14:paraId="79EC5A96"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15.9</w:t>
            </w:r>
          </w:p>
        </w:tc>
        <w:tc>
          <w:tcPr>
            <w:tcW w:w="1119" w:type="dxa"/>
            <w:tcBorders>
              <w:left w:val="single" w:sz="4" w:space="0" w:color="auto"/>
              <w:bottom w:val="nil"/>
            </w:tcBorders>
            <w:noWrap/>
            <w:hideMark/>
          </w:tcPr>
          <w:p w14:paraId="7B5C2892"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14.3</w:t>
            </w:r>
          </w:p>
        </w:tc>
        <w:tc>
          <w:tcPr>
            <w:tcW w:w="1118" w:type="dxa"/>
            <w:tcBorders>
              <w:bottom w:val="nil"/>
            </w:tcBorders>
            <w:noWrap/>
            <w:hideMark/>
          </w:tcPr>
          <w:p w14:paraId="198D6174"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16.1</w:t>
            </w:r>
          </w:p>
        </w:tc>
        <w:tc>
          <w:tcPr>
            <w:tcW w:w="1118" w:type="dxa"/>
            <w:tcBorders>
              <w:bottom w:val="nil"/>
              <w:right w:val="single" w:sz="4" w:space="0" w:color="auto"/>
            </w:tcBorders>
            <w:noWrap/>
            <w:hideMark/>
          </w:tcPr>
          <w:p w14:paraId="5FE04EB8"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12.6</w:t>
            </w:r>
          </w:p>
        </w:tc>
        <w:tc>
          <w:tcPr>
            <w:tcW w:w="1118" w:type="dxa"/>
            <w:tcBorders>
              <w:left w:val="single" w:sz="4" w:space="0" w:color="auto"/>
              <w:bottom w:val="nil"/>
            </w:tcBorders>
            <w:noWrap/>
            <w:hideMark/>
          </w:tcPr>
          <w:p w14:paraId="3B38CFCC"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18.1</w:t>
            </w:r>
          </w:p>
        </w:tc>
        <w:tc>
          <w:tcPr>
            <w:tcW w:w="1118" w:type="dxa"/>
            <w:tcBorders>
              <w:bottom w:val="nil"/>
            </w:tcBorders>
            <w:noWrap/>
            <w:hideMark/>
          </w:tcPr>
          <w:p w14:paraId="0D888E9E"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20.3</w:t>
            </w:r>
          </w:p>
        </w:tc>
        <w:tc>
          <w:tcPr>
            <w:tcW w:w="1118" w:type="dxa"/>
            <w:tcBorders>
              <w:bottom w:val="nil"/>
              <w:right w:val="single" w:sz="4" w:space="0" w:color="auto"/>
            </w:tcBorders>
            <w:noWrap/>
            <w:hideMark/>
          </w:tcPr>
          <w:p w14:paraId="4AD3FE24"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15.9</w:t>
            </w:r>
          </w:p>
        </w:tc>
        <w:tc>
          <w:tcPr>
            <w:tcW w:w="1118" w:type="dxa"/>
            <w:tcBorders>
              <w:left w:val="single" w:sz="4" w:space="0" w:color="auto"/>
              <w:bottom w:val="nil"/>
            </w:tcBorders>
            <w:noWrap/>
            <w:hideMark/>
          </w:tcPr>
          <w:p w14:paraId="41C99481"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14.3</w:t>
            </w:r>
          </w:p>
        </w:tc>
        <w:tc>
          <w:tcPr>
            <w:tcW w:w="1118" w:type="dxa"/>
            <w:tcBorders>
              <w:bottom w:val="nil"/>
            </w:tcBorders>
            <w:noWrap/>
            <w:hideMark/>
          </w:tcPr>
          <w:p w14:paraId="6D52E224"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16.1</w:t>
            </w:r>
          </w:p>
        </w:tc>
        <w:tc>
          <w:tcPr>
            <w:tcW w:w="1118" w:type="dxa"/>
            <w:tcBorders>
              <w:bottom w:val="nil"/>
              <w:right w:val="single" w:sz="4" w:space="0" w:color="auto"/>
            </w:tcBorders>
            <w:noWrap/>
            <w:hideMark/>
          </w:tcPr>
          <w:p w14:paraId="1FBA71A5"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12.6</w:t>
            </w:r>
          </w:p>
        </w:tc>
      </w:tr>
      <w:tr w:rsidR="00B86BF1" w:rsidRPr="00A743C9" w14:paraId="483B3855" w14:textId="77777777" w:rsidTr="000376C7">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606" w:type="dxa"/>
            <w:tcBorders>
              <w:left w:val="single" w:sz="4" w:space="0" w:color="auto"/>
              <w:bottom w:val="nil"/>
              <w:right w:val="single" w:sz="4" w:space="0" w:color="auto"/>
            </w:tcBorders>
            <w:noWrap/>
            <w:hideMark/>
          </w:tcPr>
          <w:p w14:paraId="67E63C2C" w14:textId="77777777" w:rsidR="00B86BF1" w:rsidRPr="00A743C9" w:rsidRDefault="00B86BF1" w:rsidP="000376C7">
            <w:pPr>
              <w:rPr>
                <w:rFonts w:eastAsia="Times New Roman" w:cs="Calibri"/>
                <w:color w:val="auto"/>
                <w:sz w:val="16"/>
                <w:szCs w:val="16"/>
              </w:rPr>
            </w:pPr>
            <w:r w:rsidRPr="00A743C9">
              <w:rPr>
                <w:rFonts w:eastAsia="Times New Roman" w:cs="Calibri"/>
                <w:color w:val="auto"/>
                <w:sz w:val="16"/>
                <w:szCs w:val="16"/>
              </w:rPr>
              <w:t>Uruguay</w:t>
            </w:r>
          </w:p>
        </w:tc>
        <w:tc>
          <w:tcPr>
            <w:tcW w:w="1119" w:type="dxa"/>
            <w:tcBorders>
              <w:left w:val="single" w:sz="4" w:space="0" w:color="auto"/>
              <w:bottom w:val="nil"/>
            </w:tcBorders>
            <w:noWrap/>
            <w:hideMark/>
          </w:tcPr>
          <w:p w14:paraId="069F5CFF"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24.8</w:t>
            </w:r>
          </w:p>
        </w:tc>
        <w:tc>
          <w:tcPr>
            <w:tcW w:w="1119" w:type="dxa"/>
            <w:tcBorders>
              <w:bottom w:val="nil"/>
            </w:tcBorders>
            <w:noWrap/>
            <w:hideMark/>
          </w:tcPr>
          <w:p w14:paraId="2ABF6387"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28.8</w:t>
            </w:r>
          </w:p>
        </w:tc>
        <w:tc>
          <w:tcPr>
            <w:tcW w:w="1119" w:type="dxa"/>
            <w:tcBorders>
              <w:bottom w:val="nil"/>
              <w:right w:val="single" w:sz="4" w:space="0" w:color="auto"/>
            </w:tcBorders>
            <w:noWrap/>
            <w:hideMark/>
          </w:tcPr>
          <w:p w14:paraId="0B59F110"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21.1</w:t>
            </w:r>
          </w:p>
        </w:tc>
        <w:tc>
          <w:tcPr>
            <w:tcW w:w="1119" w:type="dxa"/>
            <w:tcBorders>
              <w:left w:val="single" w:sz="4" w:space="0" w:color="auto"/>
              <w:bottom w:val="nil"/>
            </w:tcBorders>
            <w:noWrap/>
            <w:hideMark/>
          </w:tcPr>
          <w:p w14:paraId="14819D13"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18.9</w:t>
            </w:r>
          </w:p>
        </w:tc>
        <w:tc>
          <w:tcPr>
            <w:tcW w:w="1118" w:type="dxa"/>
            <w:tcBorders>
              <w:bottom w:val="nil"/>
            </w:tcBorders>
            <w:noWrap/>
            <w:hideMark/>
          </w:tcPr>
          <w:p w14:paraId="4B73A676"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22.3</w:t>
            </w:r>
          </w:p>
        </w:tc>
        <w:tc>
          <w:tcPr>
            <w:tcW w:w="1118" w:type="dxa"/>
            <w:tcBorders>
              <w:bottom w:val="nil"/>
              <w:right w:val="single" w:sz="4" w:space="0" w:color="auto"/>
            </w:tcBorders>
            <w:noWrap/>
            <w:hideMark/>
          </w:tcPr>
          <w:p w14:paraId="2EC5DE6D"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15.7</w:t>
            </w:r>
          </w:p>
        </w:tc>
        <w:tc>
          <w:tcPr>
            <w:tcW w:w="1118" w:type="dxa"/>
            <w:tcBorders>
              <w:left w:val="single" w:sz="4" w:space="0" w:color="auto"/>
              <w:bottom w:val="nil"/>
            </w:tcBorders>
            <w:noWrap/>
            <w:hideMark/>
          </w:tcPr>
          <w:p w14:paraId="77F2C21A"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22.1</w:t>
            </w:r>
          </w:p>
        </w:tc>
        <w:tc>
          <w:tcPr>
            <w:tcW w:w="1118" w:type="dxa"/>
            <w:tcBorders>
              <w:bottom w:val="nil"/>
            </w:tcBorders>
            <w:noWrap/>
            <w:hideMark/>
          </w:tcPr>
          <w:p w14:paraId="370D5CBA"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25.9</w:t>
            </w:r>
          </w:p>
        </w:tc>
        <w:tc>
          <w:tcPr>
            <w:tcW w:w="1118" w:type="dxa"/>
            <w:tcBorders>
              <w:bottom w:val="nil"/>
              <w:right w:val="single" w:sz="4" w:space="0" w:color="auto"/>
            </w:tcBorders>
            <w:noWrap/>
            <w:hideMark/>
          </w:tcPr>
          <w:p w14:paraId="16AB1A06"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18.6</w:t>
            </w:r>
          </w:p>
        </w:tc>
        <w:tc>
          <w:tcPr>
            <w:tcW w:w="1118" w:type="dxa"/>
            <w:tcBorders>
              <w:left w:val="single" w:sz="4" w:space="0" w:color="auto"/>
              <w:bottom w:val="nil"/>
            </w:tcBorders>
            <w:noWrap/>
            <w:hideMark/>
          </w:tcPr>
          <w:p w14:paraId="3D121279"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17.6</w:t>
            </w:r>
          </w:p>
        </w:tc>
        <w:tc>
          <w:tcPr>
            <w:tcW w:w="1118" w:type="dxa"/>
            <w:tcBorders>
              <w:bottom w:val="nil"/>
            </w:tcBorders>
            <w:noWrap/>
            <w:hideMark/>
          </w:tcPr>
          <w:p w14:paraId="795B91EE"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20.8</w:t>
            </w:r>
          </w:p>
        </w:tc>
        <w:tc>
          <w:tcPr>
            <w:tcW w:w="1118" w:type="dxa"/>
            <w:tcBorders>
              <w:bottom w:val="nil"/>
              <w:right w:val="single" w:sz="4" w:space="0" w:color="auto"/>
            </w:tcBorders>
            <w:noWrap/>
            <w:hideMark/>
          </w:tcPr>
          <w:p w14:paraId="48FA5FD5"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14.6</w:t>
            </w:r>
          </w:p>
        </w:tc>
      </w:tr>
      <w:tr w:rsidR="00B86BF1" w:rsidRPr="00A743C9" w14:paraId="3B53D5D7" w14:textId="77777777" w:rsidTr="000376C7">
        <w:trPr>
          <w:trHeight w:val="300"/>
        </w:trPr>
        <w:tc>
          <w:tcPr>
            <w:cnfStyle w:val="001000000000" w:firstRow="0" w:lastRow="0" w:firstColumn="1" w:lastColumn="0" w:oddVBand="0" w:evenVBand="0" w:oddHBand="0" w:evenHBand="0" w:firstRowFirstColumn="0" w:firstRowLastColumn="0" w:lastRowFirstColumn="0" w:lastRowLastColumn="0"/>
            <w:tcW w:w="1606" w:type="dxa"/>
            <w:tcBorders>
              <w:left w:val="single" w:sz="4" w:space="0" w:color="auto"/>
              <w:bottom w:val="nil"/>
              <w:right w:val="single" w:sz="4" w:space="0" w:color="auto"/>
            </w:tcBorders>
            <w:noWrap/>
            <w:hideMark/>
          </w:tcPr>
          <w:p w14:paraId="22ECF96F" w14:textId="77777777" w:rsidR="00B86BF1" w:rsidRPr="00A743C9" w:rsidRDefault="00B86BF1" w:rsidP="000376C7">
            <w:pPr>
              <w:rPr>
                <w:rFonts w:eastAsia="Times New Roman" w:cs="Calibri"/>
                <w:color w:val="auto"/>
                <w:sz w:val="16"/>
                <w:szCs w:val="16"/>
              </w:rPr>
            </w:pPr>
            <w:r w:rsidRPr="00A743C9">
              <w:rPr>
                <w:rFonts w:eastAsia="Times New Roman" w:cs="Calibri"/>
                <w:color w:val="auto"/>
                <w:sz w:val="16"/>
                <w:szCs w:val="16"/>
              </w:rPr>
              <w:t>Uzbekistan</w:t>
            </w:r>
          </w:p>
        </w:tc>
        <w:tc>
          <w:tcPr>
            <w:tcW w:w="1119" w:type="dxa"/>
            <w:tcBorders>
              <w:left w:val="single" w:sz="4" w:space="0" w:color="auto"/>
              <w:bottom w:val="nil"/>
            </w:tcBorders>
            <w:noWrap/>
            <w:hideMark/>
          </w:tcPr>
          <w:p w14:paraId="7829E805"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13.3</w:t>
            </w:r>
          </w:p>
        </w:tc>
        <w:tc>
          <w:tcPr>
            <w:tcW w:w="1119" w:type="dxa"/>
            <w:tcBorders>
              <w:bottom w:val="nil"/>
            </w:tcBorders>
            <w:noWrap/>
            <w:hideMark/>
          </w:tcPr>
          <w:p w14:paraId="7AB6F9B4"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25.6</w:t>
            </w:r>
          </w:p>
        </w:tc>
        <w:tc>
          <w:tcPr>
            <w:tcW w:w="1119" w:type="dxa"/>
            <w:tcBorders>
              <w:bottom w:val="nil"/>
              <w:right w:val="single" w:sz="4" w:space="0" w:color="auto"/>
            </w:tcBorders>
            <w:noWrap/>
            <w:hideMark/>
          </w:tcPr>
          <w:p w14:paraId="58967230"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1.3</w:t>
            </w:r>
          </w:p>
        </w:tc>
        <w:tc>
          <w:tcPr>
            <w:tcW w:w="1119" w:type="dxa"/>
            <w:tcBorders>
              <w:left w:val="single" w:sz="4" w:space="0" w:color="auto"/>
              <w:bottom w:val="nil"/>
            </w:tcBorders>
            <w:noWrap/>
            <w:hideMark/>
          </w:tcPr>
          <w:p w14:paraId="1EA788C3"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10.4</w:t>
            </w:r>
          </w:p>
        </w:tc>
        <w:tc>
          <w:tcPr>
            <w:tcW w:w="1118" w:type="dxa"/>
            <w:tcBorders>
              <w:bottom w:val="nil"/>
            </w:tcBorders>
            <w:noWrap/>
            <w:hideMark/>
          </w:tcPr>
          <w:p w14:paraId="1C3654D8"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20.1</w:t>
            </w:r>
          </w:p>
        </w:tc>
        <w:tc>
          <w:tcPr>
            <w:tcW w:w="1118" w:type="dxa"/>
            <w:tcBorders>
              <w:bottom w:val="nil"/>
              <w:right w:val="single" w:sz="4" w:space="0" w:color="auto"/>
            </w:tcBorders>
            <w:noWrap/>
            <w:hideMark/>
          </w:tcPr>
          <w:p w14:paraId="6B619831"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w:t>
            </w:r>
          </w:p>
        </w:tc>
        <w:tc>
          <w:tcPr>
            <w:tcW w:w="1118" w:type="dxa"/>
            <w:tcBorders>
              <w:left w:val="single" w:sz="4" w:space="0" w:color="auto"/>
              <w:bottom w:val="nil"/>
            </w:tcBorders>
            <w:noWrap/>
            <w:hideMark/>
          </w:tcPr>
          <w:p w14:paraId="1A1872B5"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11</w:t>
            </w:r>
          </w:p>
        </w:tc>
        <w:tc>
          <w:tcPr>
            <w:tcW w:w="1118" w:type="dxa"/>
            <w:tcBorders>
              <w:bottom w:val="nil"/>
            </w:tcBorders>
            <w:noWrap/>
            <w:hideMark/>
          </w:tcPr>
          <w:p w14:paraId="36F55A9A"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21.3</w:t>
            </w:r>
          </w:p>
        </w:tc>
        <w:tc>
          <w:tcPr>
            <w:tcW w:w="1118" w:type="dxa"/>
            <w:tcBorders>
              <w:bottom w:val="nil"/>
              <w:right w:val="single" w:sz="4" w:space="0" w:color="auto"/>
            </w:tcBorders>
            <w:noWrap/>
            <w:hideMark/>
          </w:tcPr>
          <w:p w14:paraId="7DA19F68"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w:t>
            </w:r>
          </w:p>
        </w:tc>
        <w:tc>
          <w:tcPr>
            <w:tcW w:w="1118" w:type="dxa"/>
            <w:tcBorders>
              <w:left w:val="single" w:sz="4" w:space="0" w:color="auto"/>
              <w:bottom w:val="nil"/>
            </w:tcBorders>
            <w:noWrap/>
            <w:hideMark/>
          </w:tcPr>
          <w:p w14:paraId="3C6D5457"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8.5</w:t>
            </w:r>
          </w:p>
        </w:tc>
        <w:tc>
          <w:tcPr>
            <w:tcW w:w="1118" w:type="dxa"/>
            <w:tcBorders>
              <w:bottom w:val="nil"/>
            </w:tcBorders>
            <w:noWrap/>
            <w:hideMark/>
          </w:tcPr>
          <w:p w14:paraId="49495550"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16.5</w:t>
            </w:r>
          </w:p>
        </w:tc>
        <w:tc>
          <w:tcPr>
            <w:tcW w:w="1118" w:type="dxa"/>
            <w:tcBorders>
              <w:bottom w:val="nil"/>
              <w:right w:val="single" w:sz="4" w:space="0" w:color="auto"/>
            </w:tcBorders>
            <w:noWrap/>
            <w:hideMark/>
          </w:tcPr>
          <w:p w14:paraId="1D5AB163"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0.8</w:t>
            </w:r>
          </w:p>
        </w:tc>
      </w:tr>
      <w:tr w:rsidR="00B86BF1" w:rsidRPr="00A743C9" w14:paraId="79FF5B97" w14:textId="77777777" w:rsidTr="000376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6" w:type="dxa"/>
            <w:tcBorders>
              <w:left w:val="single" w:sz="4" w:space="0" w:color="auto"/>
              <w:bottom w:val="nil"/>
              <w:right w:val="single" w:sz="4" w:space="0" w:color="auto"/>
            </w:tcBorders>
            <w:noWrap/>
            <w:hideMark/>
          </w:tcPr>
          <w:p w14:paraId="1A3F7FC3" w14:textId="77777777" w:rsidR="00B86BF1" w:rsidRPr="00A743C9" w:rsidRDefault="00B86BF1" w:rsidP="000376C7">
            <w:pPr>
              <w:rPr>
                <w:rFonts w:eastAsia="Times New Roman" w:cs="Calibri"/>
                <w:color w:val="auto"/>
                <w:sz w:val="16"/>
                <w:szCs w:val="16"/>
              </w:rPr>
            </w:pPr>
            <w:r w:rsidRPr="00A743C9">
              <w:rPr>
                <w:rFonts w:eastAsia="Times New Roman" w:cs="Calibri"/>
                <w:color w:val="auto"/>
                <w:sz w:val="16"/>
                <w:szCs w:val="16"/>
              </w:rPr>
              <w:t>Viet Nam</w:t>
            </w:r>
          </w:p>
        </w:tc>
        <w:tc>
          <w:tcPr>
            <w:tcW w:w="1119" w:type="dxa"/>
            <w:tcBorders>
              <w:left w:val="single" w:sz="4" w:space="0" w:color="auto"/>
              <w:bottom w:val="nil"/>
            </w:tcBorders>
            <w:noWrap/>
            <w:hideMark/>
          </w:tcPr>
          <w:p w14:paraId="11150979"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23.7</w:t>
            </w:r>
          </w:p>
        </w:tc>
        <w:tc>
          <w:tcPr>
            <w:tcW w:w="1119" w:type="dxa"/>
            <w:tcBorders>
              <w:bottom w:val="nil"/>
            </w:tcBorders>
            <w:noWrap/>
            <w:hideMark/>
          </w:tcPr>
          <w:p w14:paraId="6F19322F"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47.3</w:t>
            </w:r>
          </w:p>
        </w:tc>
        <w:tc>
          <w:tcPr>
            <w:tcW w:w="1119" w:type="dxa"/>
            <w:tcBorders>
              <w:bottom w:val="nil"/>
              <w:right w:val="single" w:sz="4" w:space="0" w:color="auto"/>
            </w:tcBorders>
            <w:noWrap/>
            <w:hideMark/>
          </w:tcPr>
          <w:p w14:paraId="34A71D00"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1.3</w:t>
            </w:r>
          </w:p>
        </w:tc>
        <w:tc>
          <w:tcPr>
            <w:tcW w:w="1119" w:type="dxa"/>
            <w:tcBorders>
              <w:left w:val="single" w:sz="4" w:space="0" w:color="auto"/>
              <w:bottom w:val="nil"/>
            </w:tcBorders>
            <w:noWrap/>
            <w:hideMark/>
          </w:tcPr>
          <w:p w14:paraId="0A106072"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19.2</w:t>
            </w:r>
          </w:p>
        </w:tc>
        <w:tc>
          <w:tcPr>
            <w:tcW w:w="1118" w:type="dxa"/>
            <w:tcBorders>
              <w:bottom w:val="nil"/>
            </w:tcBorders>
            <w:noWrap/>
            <w:hideMark/>
          </w:tcPr>
          <w:p w14:paraId="3150A7EB"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38.4</w:t>
            </w:r>
          </w:p>
        </w:tc>
        <w:tc>
          <w:tcPr>
            <w:tcW w:w="1118" w:type="dxa"/>
            <w:tcBorders>
              <w:bottom w:val="nil"/>
              <w:right w:val="single" w:sz="4" w:space="0" w:color="auto"/>
            </w:tcBorders>
            <w:noWrap/>
            <w:hideMark/>
          </w:tcPr>
          <w:p w14:paraId="7E46A62D"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w:t>
            </w:r>
          </w:p>
        </w:tc>
        <w:tc>
          <w:tcPr>
            <w:tcW w:w="1118" w:type="dxa"/>
            <w:tcBorders>
              <w:left w:val="single" w:sz="4" w:space="0" w:color="auto"/>
              <w:bottom w:val="nil"/>
            </w:tcBorders>
            <w:noWrap/>
            <w:hideMark/>
          </w:tcPr>
          <w:p w14:paraId="77621B4F"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18.7</w:t>
            </w:r>
          </w:p>
        </w:tc>
        <w:tc>
          <w:tcPr>
            <w:tcW w:w="1118" w:type="dxa"/>
            <w:tcBorders>
              <w:bottom w:val="nil"/>
            </w:tcBorders>
            <w:noWrap/>
            <w:hideMark/>
          </w:tcPr>
          <w:p w14:paraId="09BE956C"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37.4</w:t>
            </w:r>
          </w:p>
        </w:tc>
        <w:tc>
          <w:tcPr>
            <w:tcW w:w="1118" w:type="dxa"/>
            <w:tcBorders>
              <w:bottom w:val="nil"/>
              <w:right w:val="single" w:sz="4" w:space="0" w:color="auto"/>
            </w:tcBorders>
            <w:noWrap/>
            <w:hideMark/>
          </w:tcPr>
          <w:p w14:paraId="6F76FD1D"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w:t>
            </w:r>
          </w:p>
        </w:tc>
        <w:tc>
          <w:tcPr>
            <w:tcW w:w="1118" w:type="dxa"/>
            <w:tcBorders>
              <w:left w:val="single" w:sz="4" w:space="0" w:color="auto"/>
              <w:bottom w:val="nil"/>
            </w:tcBorders>
            <w:noWrap/>
            <w:hideMark/>
          </w:tcPr>
          <w:p w14:paraId="42D93A2B"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14.3</w:t>
            </w:r>
          </w:p>
        </w:tc>
        <w:tc>
          <w:tcPr>
            <w:tcW w:w="1118" w:type="dxa"/>
            <w:tcBorders>
              <w:bottom w:val="nil"/>
            </w:tcBorders>
            <w:noWrap/>
            <w:hideMark/>
          </w:tcPr>
          <w:p w14:paraId="22996E8C"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28.6</w:t>
            </w:r>
          </w:p>
        </w:tc>
        <w:tc>
          <w:tcPr>
            <w:tcW w:w="1118" w:type="dxa"/>
            <w:tcBorders>
              <w:bottom w:val="nil"/>
              <w:right w:val="single" w:sz="4" w:space="0" w:color="auto"/>
            </w:tcBorders>
            <w:noWrap/>
            <w:hideMark/>
          </w:tcPr>
          <w:p w14:paraId="7332AC0D" w14:textId="77777777" w:rsidR="00B86BF1" w:rsidRPr="00A743C9" w:rsidRDefault="00B86BF1" w:rsidP="000376C7">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0.8</w:t>
            </w:r>
          </w:p>
        </w:tc>
      </w:tr>
      <w:tr w:rsidR="00B86BF1" w:rsidRPr="00A743C9" w14:paraId="29AFA5AB" w14:textId="77777777" w:rsidTr="000376C7">
        <w:trPr>
          <w:trHeight w:val="300"/>
        </w:trPr>
        <w:tc>
          <w:tcPr>
            <w:cnfStyle w:val="001000000000" w:firstRow="0" w:lastRow="0" w:firstColumn="1" w:lastColumn="0" w:oddVBand="0" w:evenVBand="0" w:oddHBand="0" w:evenHBand="0" w:firstRowFirstColumn="0" w:firstRowLastColumn="0" w:lastRowFirstColumn="0" w:lastRowLastColumn="0"/>
            <w:tcW w:w="1606" w:type="dxa"/>
            <w:tcBorders>
              <w:left w:val="single" w:sz="4" w:space="0" w:color="auto"/>
              <w:bottom w:val="single" w:sz="4" w:space="0" w:color="auto"/>
              <w:right w:val="single" w:sz="4" w:space="0" w:color="auto"/>
            </w:tcBorders>
            <w:noWrap/>
            <w:hideMark/>
          </w:tcPr>
          <w:p w14:paraId="5469AD36" w14:textId="77777777" w:rsidR="00B86BF1" w:rsidRPr="00A743C9" w:rsidRDefault="00B86BF1" w:rsidP="000376C7">
            <w:pPr>
              <w:rPr>
                <w:rFonts w:eastAsia="Times New Roman" w:cs="Calibri"/>
                <w:color w:val="auto"/>
                <w:sz w:val="16"/>
                <w:szCs w:val="16"/>
              </w:rPr>
            </w:pPr>
            <w:r w:rsidRPr="00A743C9">
              <w:rPr>
                <w:rFonts w:eastAsia="Times New Roman" w:cs="Calibri"/>
                <w:color w:val="auto"/>
                <w:sz w:val="16"/>
                <w:szCs w:val="16"/>
              </w:rPr>
              <w:t>Zambia</w:t>
            </w:r>
          </w:p>
        </w:tc>
        <w:tc>
          <w:tcPr>
            <w:tcW w:w="1119" w:type="dxa"/>
            <w:tcBorders>
              <w:left w:val="single" w:sz="4" w:space="0" w:color="auto"/>
              <w:bottom w:val="single" w:sz="4" w:space="0" w:color="auto"/>
            </w:tcBorders>
            <w:noWrap/>
            <w:hideMark/>
          </w:tcPr>
          <w:p w14:paraId="7526C61C"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15.9</w:t>
            </w:r>
          </w:p>
        </w:tc>
        <w:tc>
          <w:tcPr>
            <w:tcW w:w="1119" w:type="dxa"/>
            <w:tcBorders>
              <w:bottom w:val="single" w:sz="4" w:space="0" w:color="auto"/>
            </w:tcBorders>
            <w:noWrap/>
            <w:hideMark/>
          </w:tcPr>
          <w:p w14:paraId="6B8B03AD"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27.1</w:t>
            </w:r>
          </w:p>
        </w:tc>
        <w:tc>
          <w:tcPr>
            <w:tcW w:w="1119" w:type="dxa"/>
            <w:tcBorders>
              <w:bottom w:val="single" w:sz="4" w:space="0" w:color="auto"/>
              <w:right w:val="single" w:sz="4" w:space="0" w:color="auto"/>
            </w:tcBorders>
            <w:noWrap/>
            <w:hideMark/>
          </w:tcPr>
          <w:p w14:paraId="4F18E614"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4.7</w:t>
            </w:r>
          </w:p>
        </w:tc>
        <w:tc>
          <w:tcPr>
            <w:tcW w:w="1119" w:type="dxa"/>
            <w:tcBorders>
              <w:left w:val="single" w:sz="4" w:space="0" w:color="auto"/>
              <w:bottom w:val="single" w:sz="4" w:space="0" w:color="auto"/>
            </w:tcBorders>
            <w:noWrap/>
            <w:hideMark/>
          </w:tcPr>
          <w:p w14:paraId="093F6C34"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10.5</w:t>
            </w:r>
          </w:p>
        </w:tc>
        <w:tc>
          <w:tcPr>
            <w:tcW w:w="1118" w:type="dxa"/>
            <w:tcBorders>
              <w:bottom w:val="single" w:sz="4" w:space="0" w:color="auto"/>
            </w:tcBorders>
            <w:noWrap/>
            <w:hideMark/>
          </w:tcPr>
          <w:p w14:paraId="6126BFAF"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17.8</w:t>
            </w:r>
          </w:p>
        </w:tc>
        <w:tc>
          <w:tcPr>
            <w:tcW w:w="1118" w:type="dxa"/>
            <w:tcBorders>
              <w:bottom w:val="single" w:sz="4" w:space="0" w:color="auto"/>
              <w:right w:val="single" w:sz="4" w:space="0" w:color="auto"/>
            </w:tcBorders>
            <w:noWrap/>
            <w:hideMark/>
          </w:tcPr>
          <w:p w14:paraId="269490A4"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3.2</w:t>
            </w:r>
          </w:p>
        </w:tc>
        <w:tc>
          <w:tcPr>
            <w:tcW w:w="1118" w:type="dxa"/>
            <w:tcBorders>
              <w:left w:val="single" w:sz="4" w:space="0" w:color="auto"/>
              <w:bottom w:val="single" w:sz="4" w:space="0" w:color="auto"/>
            </w:tcBorders>
            <w:noWrap/>
            <w:hideMark/>
          </w:tcPr>
          <w:p w14:paraId="2C7DA4EB"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12.5</w:t>
            </w:r>
          </w:p>
        </w:tc>
        <w:tc>
          <w:tcPr>
            <w:tcW w:w="1118" w:type="dxa"/>
            <w:tcBorders>
              <w:bottom w:val="single" w:sz="4" w:space="0" w:color="auto"/>
            </w:tcBorders>
            <w:noWrap/>
            <w:hideMark/>
          </w:tcPr>
          <w:p w14:paraId="6B2C8DD5"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23.9</w:t>
            </w:r>
          </w:p>
        </w:tc>
        <w:tc>
          <w:tcPr>
            <w:tcW w:w="1118" w:type="dxa"/>
            <w:tcBorders>
              <w:bottom w:val="single" w:sz="4" w:space="0" w:color="auto"/>
              <w:right w:val="single" w:sz="4" w:space="0" w:color="auto"/>
            </w:tcBorders>
            <w:noWrap/>
            <w:hideMark/>
          </w:tcPr>
          <w:p w14:paraId="274A02A4"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1.2</w:t>
            </w:r>
          </w:p>
        </w:tc>
        <w:tc>
          <w:tcPr>
            <w:tcW w:w="1118" w:type="dxa"/>
            <w:tcBorders>
              <w:left w:val="single" w:sz="4" w:space="0" w:color="auto"/>
              <w:bottom w:val="single" w:sz="4" w:space="0" w:color="auto"/>
            </w:tcBorders>
            <w:noWrap/>
            <w:hideMark/>
          </w:tcPr>
          <w:p w14:paraId="5D541489"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8.2</w:t>
            </w:r>
          </w:p>
        </w:tc>
        <w:tc>
          <w:tcPr>
            <w:tcW w:w="1118" w:type="dxa"/>
            <w:tcBorders>
              <w:bottom w:val="single" w:sz="4" w:space="0" w:color="auto"/>
            </w:tcBorders>
            <w:noWrap/>
            <w:hideMark/>
          </w:tcPr>
          <w:p w14:paraId="7DA4A621"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15.4</w:t>
            </w:r>
          </w:p>
        </w:tc>
        <w:tc>
          <w:tcPr>
            <w:tcW w:w="1118" w:type="dxa"/>
            <w:tcBorders>
              <w:bottom w:val="single" w:sz="4" w:space="0" w:color="auto"/>
              <w:right w:val="single" w:sz="4" w:space="0" w:color="auto"/>
            </w:tcBorders>
            <w:noWrap/>
            <w:hideMark/>
          </w:tcPr>
          <w:p w14:paraId="30864271" w14:textId="77777777" w:rsidR="00B86BF1" w:rsidRPr="00A743C9" w:rsidRDefault="00B86BF1" w:rsidP="000376C7">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sidRPr="00A743C9">
              <w:rPr>
                <w:rFonts w:eastAsia="Times New Roman" w:cs="Calibri"/>
                <w:color w:val="auto"/>
                <w:sz w:val="16"/>
                <w:szCs w:val="16"/>
              </w:rPr>
              <w:t>1</w:t>
            </w:r>
          </w:p>
        </w:tc>
      </w:tr>
    </w:tbl>
    <w:p w14:paraId="527368F0" w14:textId="77777777" w:rsidR="00B86BF1" w:rsidRDefault="00B86BF1" w:rsidP="00B86BF1">
      <w:pPr>
        <w:pStyle w:val="BodyText"/>
      </w:pPr>
      <w:r>
        <w:br w:type="page"/>
      </w:r>
    </w:p>
    <w:p w14:paraId="308D9488" w14:textId="77777777" w:rsidR="00B86BF1" w:rsidRDefault="003D2CBD" w:rsidP="003D2CBD">
      <w:pPr>
        <w:pStyle w:val="Caption"/>
      </w:pPr>
      <w:bookmarkStart w:id="284" w:name="_Toc514420111"/>
      <w:bookmarkStart w:id="285" w:name="_Toc516579734"/>
      <w:bookmarkStart w:id="286" w:name="_Toc517707437"/>
      <w:r>
        <w:lastRenderedPageBreak/>
        <w:t xml:space="preserve">Table </w:t>
      </w:r>
      <w:r w:rsidR="0048064B">
        <w:rPr>
          <w:noProof/>
        </w:rPr>
        <w:fldChar w:fldCharType="begin"/>
      </w:r>
      <w:r w:rsidR="0048064B">
        <w:rPr>
          <w:noProof/>
        </w:rPr>
        <w:instrText xml:space="preserve"> SEQ Table \* ARABIC </w:instrText>
      </w:r>
      <w:r w:rsidR="0048064B">
        <w:rPr>
          <w:noProof/>
        </w:rPr>
        <w:fldChar w:fldCharType="separate"/>
      </w:r>
      <w:r w:rsidR="000C06DA">
        <w:rPr>
          <w:noProof/>
        </w:rPr>
        <w:t>28</w:t>
      </w:r>
      <w:r w:rsidR="0048064B">
        <w:rPr>
          <w:noProof/>
        </w:rPr>
        <w:fldChar w:fldCharType="end"/>
      </w:r>
      <w:r w:rsidR="00B86BF1">
        <w:t>: Prevalence of e</w:t>
      </w:r>
      <w:r w:rsidR="00B86BF1">
        <w:noBreakHyphen/>
        <w:t>cigarette use. Data from 2017 Eurobarometer Report (survey conducted in 2014).</w:t>
      </w:r>
      <w:bookmarkEnd w:id="284"/>
      <w:bookmarkEnd w:id="285"/>
      <w:bookmarkEnd w:id="286"/>
      <w:r w:rsidR="00B86BF1">
        <w:t xml:space="preserve"> </w:t>
      </w:r>
    </w:p>
    <w:tbl>
      <w:tblPr>
        <w:tblStyle w:val="TableCSIRO"/>
        <w:tblW w:w="14309" w:type="dxa"/>
        <w:tblLook w:val="04A0" w:firstRow="1" w:lastRow="0" w:firstColumn="1" w:lastColumn="0" w:noHBand="0" w:noVBand="1"/>
      </w:tblPr>
      <w:tblGrid>
        <w:gridCol w:w="1893"/>
        <w:gridCol w:w="1213"/>
        <w:gridCol w:w="1441"/>
        <w:gridCol w:w="1185"/>
        <w:gridCol w:w="1419"/>
        <w:gridCol w:w="1213"/>
        <w:gridCol w:w="1213"/>
        <w:gridCol w:w="1213"/>
        <w:gridCol w:w="1213"/>
        <w:gridCol w:w="1086"/>
        <w:gridCol w:w="1220"/>
      </w:tblGrid>
      <w:tr w:rsidR="00B86BF1" w:rsidRPr="00A743C9" w14:paraId="7B2D9445" w14:textId="77777777" w:rsidTr="000376C7">
        <w:trPr>
          <w:cnfStyle w:val="100000000000" w:firstRow="1" w:lastRow="0" w:firstColumn="0" w:lastColumn="0" w:oddVBand="0" w:evenVBand="0" w:oddHBand="0"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893" w:type="dxa"/>
            <w:vMerge w:val="restart"/>
            <w:tcBorders>
              <w:top w:val="single" w:sz="4" w:space="0" w:color="auto"/>
              <w:left w:val="single" w:sz="4" w:space="0" w:color="auto"/>
              <w:right w:val="single" w:sz="4" w:space="0" w:color="auto"/>
            </w:tcBorders>
            <w:noWrap/>
            <w:hideMark/>
          </w:tcPr>
          <w:p w14:paraId="4287FAF9" w14:textId="77777777" w:rsidR="00B86BF1" w:rsidRPr="00A743C9" w:rsidRDefault="00B86BF1" w:rsidP="000376C7">
            <w:pPr>
              <w:spacing w:after="0"/>
              <w:jc w:val="center"/>
              <w:rPr>
                <w:rFonts w:eastAsia="Times New Roman" w:cs="Calibri"/>
                <w:color w:val="FFFFFF" w:themeColor="background2"/>
                <w:sz w:val="16"/>
                <w:szCs w:val="16"/>
              </w:rPr>
            </w:pPr>
            <w:r w:rsidRPr="00A743C9">
              <w:rPr>
                <w:rFonts w:eastAsia="Times New Roman" w:cs="Calibri"/>
                <w:color w:val="FFFFFF" w:themeColor="background2"/>
                <w:sz w:val="16"/>
                <w:szCs w:val="16"/>
              </w:rPr>
              <w:t>Country</w:t>
            </w:r>
          </w:p>
        </w:tc>
        <w:tc>
          <w:tcPr>
            <w:tcW w:w="5258" w:type="dxa"/>
            <w:gridSpan w:val="4"/>
            <w:tcBorders>
              <w:top w:val="single" w:sz="4" w:space="0" w:color="auto"/>
              <w:left w:val="single" w:sz="4" w:space="0" w:color="auto"/>
              <w:right w:val="single" w:sz="4" w:space="0" w:color="auto"/>
            </w:tcBorders>
            <w:noWrap/>
            <w:hideMark/>
          </w:tcPr>
          <w:p w14:paraId="75B40CED" w14:textId="77777777" w:rsidR="00B86BF1" w:rsidRPr="00A743C9" w:rsidRDefault="00B86BF1" w:rsidP="000376C7">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2"/>
                <w:sz w:val="16"/>
                <w:szCs w:val="16"/>
              </w:rPr>
            </w:pPr>
            <w:r w:rsidRPr="00A743C9">
              <w:rPr>
                <w:rFonts w:eastAsia="Times New Roman" w:cs="Calibri"/>
                <w:color w:val="FFFFFF" w:themeColor="background2"/>
                <w:sz w:val="16"/>
                <w:szCs w:val="16"/>
              </w:rPr>
              <w:t>Current e</w:t>
            </w:r>
            <w:r w:rsidRPr="00A743C9">
              <w:rPr>
                <w:rFonts w:eastAsia="Times New Roman" w:cs="Calibri"/>
                <w:color w:val="FFFFFF" w:themeColor="background2"/>
                <w:sz w:val="16"/>
                <w:szCs w:val="16"/>
              </w:rPr>
              <w:noBreakHyphen/>
              <w:t>cigarette use (%)</w:t>
            </w:r>
          </w:p>
        </w:tc>
        <w:tc>
          <w:tcPr>
            <w:tcW w:w="7158" w:type="dxa"/>
            <w:gridSpan w:val="6"/>
            <w:tcBorders>
              <w:top w:val="single" w:sz="4" w:space="0" w:color="auto"/>
              <w:left w:val="single" w:sz="4" w:space="0" w:color="auto"/>
              <w:right w:val="single" w:sz="4" w:space="0" w:color="auto"/>
            </w:tcBorders>
            <w:noWrap/>
            <w:hideMark/>
          </w:tcPr>
          <w:p w14:paraId="1760E493" w14:textId="77777777" w:rsidR="00B86BF1" w:rsidRPr="00A743C9" w:rsidRDefault="00B86BF1" w:rsidP="000376C7">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2"/>
                <w:sz w:val="16"/>
                <w:szCs w:val="16"/>
              </w:rPr>
            </w:pPr>
            <w:r w:rsidRPr="00A743C9">
              <w:rPr>
                <w:rFonts w:eastAsia="Times New Roman" w:cs="Calibri"/>
                <w:color w:val="FFFFFF" w:themeColor="background2"/>
                <w:sz w:val="16"/>
                <w:szCs w:val="16"/>
              </w:rPr>
              <w:t>Have ever tried e</w:t>
            </w:r>
            <w:r w:rsidRPr="00A743C9">
              <w:rPr>
                <w:rFonts w:eastAsia="Times New Roman" w:cs="Calibri"/>
                <w:color w:val="FFFFFF" w:themeColor="background2"/>
                <w:sz w:val="16"/>
                <w:szCs w:val="16"/>
              </w:rPr>
              <w:noBreakHyphen/>
              <w:t>cigarettes (%)</w:t>
            </w:r>
          </w:p>
        </w:tc>
      </w:tr>
      <w:tr w:rsidR="00B86BF1" w:rsidRPr="00A743C9" w14:paraId="49B55D5A" w14:textId="77777777" w:rsidTr="000376C7">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1893" w:type="dxa"/>
            <w:vMerge/>
            <w:tcBorders>
              <w:left w:val="single" w:sz="4" w:space="0" w:color="auto"/>
              <w:bottom w:val="nil"/>
              <w:right w:val="single" w:sz="4" w:space="0" w:color="auto"/>
            </w:tcBorders>
            <w:hideMark/>
          </w:tcPr>
          <w:p w14:paraId="1E9E161A" w14:textId="77777777" w:rsidR="00B86BF1" w:rsidRPr="00A743C9" w:rsidRDefault="00B86BF1" w:rsidP="000376C7">
            <w:pPr>
              <w:spacing w:after="0"/>
              <w:rPr>
                <w:rFonts w:eastAsia="Times New Roman" w:cs="Calibri"/>
                <w:color w:val="FFFFFF" w:themeColor="background2"/>
                <w:sz w:val="16"/>
                <w:szCs w:val="16"/>
              </w:rPr>
            </w:pPr>
          </w:p>
        </w:tc>
        <w:tc>
          <w:tcPr>
            <w:tcW w:w="1213" w:type="dxa"/>
            <w:tcBorders>
              <w:left w:val="single" w:sz="4" w:space="0" w:color="auto"/>
              <w:bottom w:val="nil"/>
            </w:tcBorders>
            <w:shd w:val="clear" w:color="auto" w:fill="000000" w:themeFill="text1"/>
            <w:hideMark/>
          </w:tcPr>
          <w:p w14:paraId="31C2A0D0"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FFFFFF" w:themeColor="background2"/>
                <w:sz w:val="16"/>
                <w:szCs w:val="16"/>
              </w:rPr>
            </w:pPr>
            <w:r w:rsidRPr="00A743C9">
              <w:rPr>
                <w:rFonts w:eastAsia="Times New Roman" w:cs="Calibri"/>
                <w:b/>
                <w:bCs/>
                <w:color w:val="FFFFFF" w:themeColor="background2"/>
                <w:sz w:val="16"/>
                <w:szCs w:val="16"/>
              </w:rPr>
              <w:t>Total</w:t>
            </w:r>
          </w:p>
        </w:tc>
        <w:tc>
          <w:tcPr>
            <w:tcW w:w="1441" w:type="dxa"/>
            <w:tcBorders>
              <w:bottom w:val="nil"/>
            </w:tcBorders>
            <w:shd w:val="clear" w:color="auto" w:fill="000000" w:themeFill="text1"/>
            <w:hideMark/>
          </w:tcPr>
          <w:p w14:paraId="12A01C57"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FFFFFF" w:themeColor="background2"/>
                <w:sz w:val="16"/>
                <w:szCs w:val="16"/>
              </w:rPr>
            </w:pPr>
            <w:r w:rsidRPr="00A743C9">
              <w:rPr>
                <w:rFonts w:eastAsia="Times New Roman" w:cs="Calibri"/>
                <w:b/>
                <w:bCs/>
                <w:color w:val="FFFFFF" w:themeColor="background2"/>
                <w:sz w:val="16"/>
                <w:szCs w:val="16"/>
              </w:rPr>
              <w:t>Current smokers</w:t>
            </w:r>
          </w:p>
        </w:tc>
        <w:tc>
          <w:tcPr>
            <w:tcW w:w="1185" w:type="dxa"/>
            <w:tcBorders>
              <w:bottom w:val="nil"/>
            </w:tcBorders>
            <w:shd w:val="clear" w:color="auto" w:fill="000000" w:themeFill="text1"/>
            <w:hideMark/>
          </w:tcPr>
          <w:p w14:paraId="236BE1BE"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FFFFFF" w:themeColor="background2"/>
                <w:sz w:val="16"/>
                <w:szCs w:val="16"/>
              </w:rPr>
            </w:pPr>
            <w:r w:rsidRPr="00A743C9">
              <w:rPr>
                <w:rFonts w:eastAsia="Times New Roman" w:cs="Calibri"/>
                <w:b/>
                <w:bCs/>
                <w:color w:val="FFFFFF" w:themeColor="background2"/>
                <w:sz w:val="16"/>
                <w:szCs w:val="16"/>
              </w:rPr>
              <w:t>Ex</w:t>
            </w:r>
            <w:r w:rsidRPr="00A743C9">
              <w:rPr>
                <w:rFonts w:eastAsia="Times New Roman" w:cs="Calibri"/>
                <w:b/>
                <w:bCs/>
                <w:color w:val="FFFFFF" w:themeColor="background2"/>
                <w:sz w:val="16"/>
                <w:szCs w:val="16"/>
              </w:rPr>
              <w:noBreakHyphen/>
              <w:t>smokers</w:t>
            </w:r>
          </w:p>
        </w:tc>
        <w:tc>
          <w:tcPr>
            <w:tcW w:w="1419" w:type="dxa"/>
            <w:tcBorders>
              <w:bottom w:val="nil"/>
              <w:right w:val="single" w:sz="4" w:space="0" w:color="auto"/>
            </w:tcBorders>
            <w:shd w:val="clear" w:color="auto" w:fill="000000" w:themeFill="text1"/>
            <w:hideMark/>
          </w:tcPr>
          <w:p w14:paraId="7CBFE8F9"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FFFFFF" w:themeColor="background2"/>
                <w:sz w:val="16"/>
                <w:szCs w:val="16"/>
              </w:rPr>
            </w:pPr>
            <w:r w:rsidRPr="00A743C9">
              <w:rPr>
                <w:rFonts w:eastAsia="Times New Roman" w:cs="Calibri"/>
                <w:b/>
                <w:bCs/>
                <w:color w:val="FFFFFF" w:themeColor="background2"/>
                <w:sz w:val="16"/>
                <w:szCs w:val="16"/>
              </w:rPr>
              <w:t>Never smokers</w:t>
            </w:r>
          </w:p>
        </w:tc>
        <w:tc>
          <w:tcPr>
            <w:tcW w:w="1213" w:type="dxa"/>
            <w:tcBorders>
              <w:left w:val="single" w:sz="4" w:space="0" w:color="auto"/>
              <w:bottom w:val="nil"/>
            </w:tcBorders>
            <w:shd w:val="clear" w:color="auto" w:fill="000000" w:themeFill="text1"/>
            <w:hideMark/>
          </w:tcPr>
          <w:p w14:paraId="69598613" w14:textId="77777777" w:rsidR="00B86BF1" w:rsidRPr="00A743C9" w:rsidRDefault="00B86BF1" w:rsidP="000376C7">
            <w:pPr>
              <w:spacing w:after="0"/>
              <w:cnfStyle w:val="000000100000" w:firstRow="0" w:lastRow="0" w:firstColumn="0" w:lastColumn="0" w:oddVBand="0" w:evenVBand="0" w:oddHBand="1" w:evenHBand="0" w:firstRowFirstColumn="0" w:firstRowLastColumn="0" w:lastRowFirstColumn="0" w:lastRowLastColumn="0"/>
              <w:rPr>
                <w:rFonts w:eastAsia="Times New Roman" w:cs="Calibri"/>
                <w:b/>
                <w:bCs/>
                <w:color w:val="FFFFFF" w:themeColor="background2"/>
                <w:sz w:val="16"/>
                <w:szCs w:val="16"/>
              </w:rPr>
            </w:pPr>
            <w:r w:rsidRPr="00A743C9">
              <w:rPr>
                <w:rFonts w:eastAsia="Times New Roman" w:cs="Calibri"/>
                <w:b/>
                <w:bCs/>
                <w:color w:val="FFFFFF" w:themeColor="background2"/>
                <w:sz w:val="16"/>
                <w:szCs w:val="16"/>
              </w:rPr>
              <w:t>Total</w:t>
            </w:r>
          </w:p>
        </w:tc>
        <w:tc>
          <w:tcPr>
            <w:tcW w:w="1213" w:type="dxa"/>
            <w:tcBorders>
              <w:bottom w:val="nil"/>
            </w:tcBorders>
            <w:shd w:val="clear" w:color="auto" w:fill="000000" w:themeFill="text1"/>
            <w:hideMark/>
          </w:tcPr>
          <w:p w14:paraId="2A797D37" w14:textId="77777777" w:rsidR="00B86BF1" w:rsidRPr="00A743C9" w:rsidRDefault="00B86BF1" w:rsidP="000376C7">
            <w:pPr>
              <w:spacing w:after="0"/>
              <w:cnfStyle w:val="000000100000" w:firstRow="0" w:lastRow="0" w:firstColumn="0" w:lastColumn="0" w:oddVBand="0" w:evenVBand="0" w:oddHBand="1" w:evenHBand="0" w:firstRowFirstColumn="0" w:firstRowLastColumn="0" w:lastRowFirstColumn="0" w:lastRowLastColumn="0"/>
              <w:rPr>
                <w:rFonts w:eastAsia="Times New Roman" w:cs="Calibri"/>
                <w:b/>
                <w:bCs/>
                <w:color w:val="FFFFFF" w:themeColor="background2"/>
                <w:sz w:val="16"/>
                <w:szCs w:val="16"/>
              </w:rPr>
            </w:pPr>
            <w:r w:rsidRPr="00A743C9">
              <w:rPr>
                <w:rFonts w:eastAsia="Times New Roman" w:cs="Calibri"/>
                <w:b/>
                <w:bCs/>
                <w:color w:val="FFFFFF" w:themeColor="background2"/>
                <w:sz w:val="16"/>
                <w:szCs w:val="16"/>
              </w:rPr>
              <w:t>Current smokers</w:t>
            </w:r>
          </w:p>
        </w:tc>
        <w:tc>
          <w:tcPr>
            <w:tcW w:w="1213" w:type="dxa"/>
            <w:tcBorders>
              <w:bottom w:val="nil"/>
            </w:tcBorders>
            <w:shd w:val="clear" w:color="auto" w:fill="000000" w:themeFill="text1"/>
            <w:hideMark/>
          </w:tcPr>
          <w:p w14:paraId="11C5798E" w14:textId="77777777" w:rsidR="00B86BF1" w:rsidRPr="00A743C9" w:rsidRDefault="00B86BF1" w:rsidP="000376C7">
            <w:pPr>
              <w:spacing w:after="0"/>
              <w:cnfStyle w:val="000000100000" w:firstRow="0" w:lastRow="0" w:firstColumn="0" w:lastColumn="0" w:oddVBand="0" w:evenVBand="0" w:oddHBand="1" w:evenHBand="0" w:firstRowFirstColumn="0" w:firstRowLastColumn="0" w:lastRowFirstColumn="0" w:lastRowLastColumn="0"/>
              <w:rPr>
                <w:rFonts w:eastAsia="Times New Roman" w:cs="Calibri"/>
                <w:b/>
                <w:bCs/>
                <w:color w:val="FFFFFF" w:themeColor="background2"/>
                <w:sz w:val="16"/>
                <w:szCs w:val="16"/>
              </w:rPr>
            </w:pPr>
            <w:r w:rsidRPr="00A743C9">
              <w:rPr>
                <w:rFonts w:eastAsia="Times New Roman" w:cs="Calibri"/>
                <w:b/>
                <w:bCs/>
                <w:color w:val="FFFFFF" w:themeColor="background2"/>
                <w:sz w:val="16"/>
                <w:szCs w:val="16"/>
              </w:rPr>
              <w:t>Ex</w:t>
            </w:r>
            <w:r w:rsidRPr="00A743C9">
              <w:rPr>
                <w:rFonts w:eastAsia="Times New Roman" w:cs="Calibri"/>
                <w:b/>
                <w:bCs/>
                <w:color w:val="FFFFFF" w:themeColor="background2"/>
                <w:sz w:val="16"/>
                <w:szCs w:val="16"/>
              </w:rPr>
              <w:noBreakHyphen/>
              <w:t>smokers</w:t>
            </w:r>
          </w:p>
        </w:tc>
        <w:tc>
          <w:tcPr>
            <w:tcW w:w="1213" w:type="dxa"/>
            <w:tcBorders>
              <w:bottom w:val="nil"/>
            </w:tcBorders>
            <w:shd w:val="clear" w:color="auto" w:fill="000000" w:themeFill="text1"/>
            <w:hideMark/>
          </w:tcPr>
          <w:p w14:paraId="5FD4F681" w14:textId="77777777" w:rsidR="00B86BF1" w:rsidRPr="00A743C9" w:rsidRDefault="00B86BF1" w:rsidP="000376C7">
            <w:pPr>
              <w:spacing w:after="0"/>
              <w:cnfStyle w:val="000000100000" w:firstRow="0" w:lastRow="0" w:firstColumn="0" w:lastColumn="0" w:oddVBand="0" w:evenVBand="0" w:oddHBand="1" w:evenHBand="0" w:firstRowFirstColumn="0" w:firstRowLastColumn="0" w:lastRowFirstColumn="0" w:lastRowLastColumn="0"/>
              <w:rPr>
                <w:rFonts w:eastAsia="Times New Roman" w:cs="Calibri"/>
                <w:b/>
                <w:bCs/>
                <w:color w:val="FFFFFF" w:themeColor="background2"/>
                <w:sz w:val="16"/>
                <w:szCs w:val="16"/>
              </w:rPr>
            </w:pPr>
            <w:r w:rsidRPr="00A743C9">
              <w:rPr>
                <w:rFonts w:eastAsia="Times New Roman" w:cs="Calibri"/>
                <w:b/>
                <w:bCs/>
                <w:color w:val="FFFFFF" w:themeColor="background2"/>
                <w:sz w:val="16"/>
                <w:szCs w:val="16"/>
              </w:rPr>
              <w:t>Never smokers</w:t>
            </w:r>
          </w:p>
        </w:tc>
        <w:tc>
          <w:tcPr>
            <w:tcW w:w="1086" w:type="dxa"/>
            <w:tcBorders>
              <w:bottom w:val="nil"/>
            </w:tcBorders>
            <w:shd w:val="clear" w:color="auto" w:fill="000000" w:themeFill="text1"/>
            <w:hideMark/>
          </w:tcPr>
          <w:p w14:paraId="08019C5E" w14:textId="77777777" w:rsidR="00B86BF1" w:rsidRPr="00A743C9" w:rsidRDefault="00B86BF1" w:rsidP="000376C7">
            <w:pPr>
              <w:spacing w:after="0"/>
              <w:cnfStyle w:val="000000100000" w:firstRow="0" w:lastRow="0" w:firstColumn="0" w:lastColumn="0" w:oddVBand="0" w:evenVBand="0" w:oddHBand="1" w:evenHBand="0" w:firstRowFirstColumn="0" w:firstRowLastColumn="0" w:lastRowFirstColumn="0" w:lastRowLastColumn="0"/>
              <w:rPr>
                <w:rFonts w:eastAsia="Times New Roman" w:cs="Calibri"/>
                <w:b/>
                <w:bCs/>
                <w:color w:val="FFFFFF" w:themeColor="background2"/>
                <w:sz w:val="16"/>
                <w:szCs w:val="16"/>
              </w:rPr>
            </w:pPr>
            <w:r w:rsidRPr="00A743C9">
              <w:rPr>
                <w:rFonts w:eastAsia="Times New Roman" w:cs="Calibri"/>
                <w:b/>
                <w:bCs/>
                <w:color w:val="FFFFFF" w:themeColor="background2"/>
                <w:sz w:val="16"/>
                <w:szCs w:val="16"/>
              </w:rPr>
              <w:t>Males</w:t>
            </w:r>
          </w:p>
        </w:tc>
        <w:tc>
          <w:tcPr>
            <w:tcW w:w="1220" w:type="dxa"/>
            <w:tcBorders>
              <w:bottom w:val="nil"/>
              <w:right w:val="single" w:sz="4" w:space="0" w:color="auto"/>
            </w:tcBorders>
            <w:shd w:val="clear" w:color="auto" w:fill="000000" w:themeFill="text1"/>
            <w:hideMark/>
          </w:tcPr>
          <w:p w14:paraId="40D86C09" w14:textId="77777777" w:rsidR="00B86BF1" w:rsidRPr="00A743C9" w:rsidRDefault="00B86BF1" w:rsidP="000376C7">
            <w:pPr>
              <w:spacing w:after="0"/>
              <w:cnfStyle w:val="000000100000" w:firstRow="0" w:lastRow="0" w:firstColumn="0" w:lastColumn="0" w:oddVBand="0" w:evenVBand="0" w:oddHBand="1" w:evenHBand="0" w:firstRowFirstColumn="0" w:firstRowLastColumn="0" w:lastRowFirstColumn="0" w:lastRowLastColumn="0"/>
              <w:rPr>
                <w:rFonts w:eastAsia="Times New Roman" w:cs="Calibri"/>
                <w:b/>
                <w:bCs/>
                <w:color w:val="FFFFFF" w:themeColor="background2"/>
                <w:sz w:val="16"/>
                <w:szCs w:val="16"/>
              </w:rPr>
            </w:pPr>
            <w:r w:rsidRPr="00A743C9">
              <w:rPr>
                <w:rFonts w:eastAsia="Times New Roman" w:cs="Calibri"/>
                <w:b/>
                <w:bCs/>
                <w:color w:val="FFFFFF" w:themeColor="background2"/>
                <w:sz w:val="16"/>
                <w:szCs w:val="16"/>
              </w:rPr>
              <w:t>Females</w:t>
            </w:r>
          </w:p>
        </w:tc>
      </w:tr>
      <w:tr w:rsidR="00B86BF1" w:rsidRPr="00A743C9" w14:paraId="52AF8EF0" w14:textId="77777777" w:rsidTr="000376C7">
        <w:trPr>
          <w:trHeight w:val="299"/>
        </w:trPr>
        <w:tc>
          <w:tcPr>
            <w:cnfStyle w:val="001000000000" w:firstRow="0" w:lastRow="0" w:firstColumn="1" w:lastColumn="0" w:oddVBand="0" w:evenVBand="0" w:oddHBand="0" w:evenHBand="0" w:firstRowFirstColumn="0" w:firstRowLastColumn="0" w:lastRowFirstColumn="0" w:lastRowLastColumn="0"/>
            <w:tcW w:w="1893" w:type="dxa"/>
            <w:tcBorders>
              <w:left w:val="single" w:sz="4" w:space="0" w:color="auto"/>
              <w:bottom w:val="nil"/>
              <w:right w:val="single" w:sz="4" w:space="0" w:color="auto"/>
            </w:tcBorders>
            <w:noWrap/>
            <w:hideMark/>
          </w:tcPr>
          <w:p w14:paraId="4DCB157E" w14:textId="77777777" w:rsidR="00B86BF1" w:rsidRPr="00A743C9" w:rsidRDefault="00B86BF1" w:rsidP="000376C7">
            <w:pPr>
              <w:spacing w:after="0"/>
              <w:rPr>
                <w:rFonts w:eastAsia="Times New Roman" w:cs="Calibri"/>
                <w:sz w:val="16"/>
                <w:szCs w:val="16"/>
              </w:rPr>
            </w:pPr>
            <w:r w:rsidRPr="00A743C9">
              <w:rPr>
                <w:rFonts w:eastAsia="Times New Roman" w:cs="Calibri"/>
                <w:sz w:val="16"/>
                <w:szCs w:val="16"/>
              </w:rPr>
              <w:t>Austria</w:t>
            </w:r>
          </w:p>
        </w:tc>
        <w:tc>
          <w:tcPr>
            <w:tcW w:w="1213" w:type="dxa"/>
            <w:tcBorders>
              <w:left w:val="single" w:sz="4" w:space="0" w:color="auto"/>
              <w:bottom w:val="nil"/>
            </w:tcBorders>
            <w:noWrap/>
            <w:hideMark/>
          </w:tcPr>
          <w:p w14:paraId="03046DC6"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3</w:t>
            </w:r>
          </w:p>
        </w:tc>
        <w:tc>
          <w:tcPr>
            <w:tcW w:w="1441" w:type="dxa"/>
            <w:tcBorders>
              <w:bottom w:val="nil"/>
            </w:tcBorders>
            <w:noWrap/>
            <w:hideMark/>
          </w:tcPr>
          <w:p w14:paraId="5BF40717"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7</w:t>
            </w:r>
          </w:p>
        </w:tc>
        <w:tc>
          <w:tcPr>
            <w:tcW w:w="1185" w:type="dxa"/>
            <w:tcBorders>
              <w:bottom w:val="nil"/>
            </w:tcBorders>
            <w:noWrap/>
            <w:hideMark/>
          </w:tcPr>
          <w:p w14:paraId="3BC0E61C"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3</w:t>
            </w:r>
          </w:p>
        </w:tc>
        <w:tc>
          <w:tcPr>
            <w:tcW w:w="1419" w:type="dxa"/>
            <w:tcBorders>
              <w:bottom w:val="nil"/>
              <w:right w:val="single" w:sz="4" w:space="0" w:color="auto"/>
            </w:tcBorders>
            <w:noWrap/>
            <w:hideMark/>
          </w:tcPr>
          <w:p w14:paraId="7248881A"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w:t>
            </w:r>
          </w:p>
        </w:tc>
        <w:tc>
          <w:tcPr>
            <w:tcW w:w="1213" w:type="dxa"/>
            <w:tcBorders>
              <w:left w:val="single" w:sz="4" w:space="0" w:color="auto"/>
              <w:bottom w:val="nil"/>
            </w:tcBorders>
            <w:noWrap/>
            <w:hideMark/>
          </w:tcPr>
          <w:p w14:paraId="639A35AB" w14:textId="77777777" w:rsidR="00B86BF1" w:rsidRPr="00A743C9" w:rsidRDefault="00B86BF1" w:rsidP="000376C7">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21</w:t>
            </w:r>
          </w:p>
        </w:tc>
        <w:tc>
          <w:tcPr>
            <w:tcW w:w="1213" w:type="dxa"/>
            <w:tcBorders>
              <w:bottom w:val="nil"/>
            </w:tcBorders>
            <w:noWrap/>
            <w:hideMark/>
          </w:tcPr>
          <w:p w14:paraId="2E09D470" w14:textId="77777777" w:rsidR="00B86BF1" w:rsidRPr="00A743C9" w:rsidRDefault="00B86BF1" w:rsidP="000376C7">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42</w:t>
            </w:r>
          </w:p>
        </w:tc>
        <w:tc>
          <w:tcPr>
            <w:tcW w:w="1213" w:type="dxa"/>
            <w:tcBorders>
              <w:bottom w:val="nil"/>
            </w:tcBorders>
            <w:noWrap/>
            <w:hideMark/>
          </w:tcPr>
          <w:p w14:paraId="4A279511" w14:textId="77777777" w:rsidR="00B86BF1" w:rsidRPr="00A743C9" w:rsidRDefault="00B86BF1" w:rsidP="000376C7">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24</w:t>
            </w:r>
          </w:p>
        </w:tc>
        <w:tc>
          <w:tcPr>
            <w:tcW w:w="1213" w:type="dxa"/>
            <w:tcBorders>
              <w:bottom w:val="nil"/>
            </w:tcBorders>
            <w:noWrap/>
            <w:hideMark/>
          </w:tcPr>
          <w:p w14:paraId="6B8E98D8" w14:textId="77777777" w:rsidR="00B86BF1" w:rsidRPr="00A743C9" w:rsidRDefault="00B86BF1" w:rsidP="000376C7">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8</w:t>
            </w:r>
          </w:p>
        </w:tc>
        <w:tc>
          <w:tcPr>
            <w:tcW w:w="1086" w:type="dxa"/>
            <w:tcBorders>
              <w:bottom w:val="nil"/>
            </w:tcBorders>
            <w:noWrap/>
            <w:hideMark/>
          </w:tcPr>
          <w:p w14:paraId="588A9758" w14:textId="77777777" w:rsidR="00B86BF1" w:rsidRPr="00A743C9" w:rsidRDefault="00B86BF1" w:rsidP="000376C7">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26</w:t>
            </w:r>
          </w:p>
        </w:tc>
        <w:tc>
          <w:tcPr>
            <w:tcW w:w="1220" w:type="dxa"/>
            <w:tcBorders>
              <w:bottom w:val="nil"/>
              <w:right w:val="single" w:sz="4" w:space="0" w:color="auto"/>
            </w:tcBorders>
            <w:noWrap/>
            <w:hideMark/>
          </w:tcPr>
          <w:p w14:paraId="57DCF4FE" w14:textId="77777777" w:rsidR="00B86BF1" w:rsidRPr="00A743C9" w:rsidRDefault="00B86BF1" w:rsidP="000376C7">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16</w:t>
            </w:r>
          </w:p>
        </w:tc>
      </w:tr>
      <w:tr w:rsidR="00B86BF1" w:rsidRPr="00A743C9" w14:paraId="2CFF5B77" w14:textId="77777777" w:rsidTr="000376C7">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893" w:type="dxa"/>
            <w:tcBorders>
              <w:left w:val="single" w:sz="4" w:space="0" w:color="auto"/>
              <w:bottom w:val="nil"/>
              <w:right w:val="single" w:sz="4" w:space="0" w:color="auto"/>
            </w:tcBorders>
            <w:noWrap/>
            <w:hideMark/>
          </w:tcPr>
          <w:p w14:paraId="340B5EC9" w14:textId="77777777" w:rsidR="00B86BF1" w:rsidRPr="00A743C9" w:rsidRDefault="00B86BF1" w:rsidP="000376C7">
            <w:pPr>
              <w:spacing w:after="0"/>
              <w:rPr>
                <w:rFonts w:eastAsia="Times New Roman" w:cs="Calibri"/>
                <w:sz w:val="16"/>
                <w:szCs w:val="16"/>
              </w:rPr>
            </w:pPr>
            <w:r w:rsidRPr="00A743C9">
              <w:rPr>
                <w:rFonts w:eastAsia="Times New Roman" w:cs="Calibri"/>
                <w:sz w:val="16"/>
                <w:szCs w:val="16"/>
              </w:rPr>
              <w:t>Belgium</w:t>
            </w:r>
          </w:p>
        </w:tc>
        <w:tc>
          <w:tcPr>
            <w:tcW w:w="1213" w:type="dxa"/>
            <w:tcBorders>
              <w:left w:val="single" w:sz="4" w:space="0" w:color="auto"/>
              <w:bottom w:val="nil"/>
            </w:tcBorders>
            <w:noWrap/>
            <w:hideMark/>
          </w:tcPr>
          <w:p w14:paraId="33401771"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4</w:t>
            </w:r>
          </w:p>
        </w:tc>
        <w:tc>
          <w:tcPr>
            <w:tcW w:w="1441" w:type="dxa"/>
            <w:tcBorders>
              <w:bottom w:val="nil"/>
            </w:tcBorders>
            <w:noWrap/>
            <w:hideMark/>
          </w:tcPr>
          <w:p w14:paraId="3CD01C66"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8</w:t>
            </w:r>
          </w:p>
        </w:tc>
        <w:tc>
          <w:tcPr>
            <w:tcW w:w="1185" w:type="dxa"/>
            <w:tcBorders>
              <w:bottom w:val="nil"/>
            </w:tcBorders>
            <w:noWrap/>
            <w:hideMark/>
          </w:tcPr>
          <w:p w14:paraId="16DE406F"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6</w:t>
            </w:r>
          </w:p>
        </w:tc>
        <w:tc>
          <w:tcPr>
            <w:tcW w:w="1419" w:type="dxa"/>
            <w:tcBorders>
              <w:bottom w:val="nil"/>
              <w:right w:val="single" w:sz="4" w:space="0" w:color="auto"/>
            </w:tcBorders>
            <w:noWrap/>
            <w:hideMark/>
          </w:tcPr>
          <w:p w14:paraId="675AB1D2"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w:t>
            </w:r>
          </w:p>
        </w:tc>
        <w:tc>
          <w:tcPr>
            <w:tcW w:w="1213" w:type="dxa"/>
            <w:tcBorders>
              <w:left w:val="single" w:sz="4" w:space="0" w:color="auto"/>
              <w:bottom w:val="nil"/>
            </w:tcBorders>
            <w:noWrap/>
            <w:hideMark/>
          </w:tcPr>
          <w:p w14:paraId="1D64BAC7" w14:textId="77777777" w:rsidR="00B86BF1" w:rsidRPr="00A743C9" w:rsidRDefault="00B86BF1" w:rsidP="000376C7">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16</w:t>
            </w:r>
          </w:p>
        </w:tc>
        <w:tc>
          <w:tcPr>
            <w:tcW w:w="1213" w:type="dxa"/>
            <w:tcBorders>
              <w:bottom w:val="nil"/>
            </w:tcBorders>
            <w:noWrap/>
            <w:hideMark/>
          </w:tcPr>
          <w:p w14:paraId="3C5E36F0" w14:textId="77777777" w:rsidR="00B86BF1" w:rsidRPr="00A743C9" w:rsidRDefault="00B86BF1" w:rsidP="000376C7">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50</w:t>
            </w:r>
          </w:p>
        </w:tc>
        <w:tc>
          <w:tcPr>
            <w:tcW w:w="1213" w:type="dxa"/>
            <w:tcBorders>
              <w:bottom w:val="nil"/>
            </w:tcBorders>
            <w:noWrap/>
            <w:hideMark/>
          </w:tcPr>
          <w:p w14:paraId="056E7C71" w14:textId="77777777" w:rsidR="00B86BF1" w:rsidRPr="00A743C9" w:rsidRDefault="00B86BF1" w:rsidP="000376C7">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14</w:t>
            </w:r>
          </w:p>
        </w:tc>
        <w:tc>
          <w:tcPr>
            <w:tcW w:w="1213" w:type="dxa"/>
            <w:tcBorders>
              <w:bottom w:val="nil"/>
            </w:tcBorders>
            <w:noWrap/>
            <w:hideMark/>
          </w:tcPr>
          <w:p w14:paraId="7AA8BA10" w14:textId="77777777" w:rsidR="00B86BF1" w:rsidRPr="00A743C9" w:rsidRDefault="00B86BF1" w:rsidP="000376C7">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5</w:t>
            </w:r>
          </w:p>
        </w:tc>
        <w:tc>
          <w:tcPr>
            <w:tcW w:w="1086" w:type="dxa"/>
            <w:tcBorders>
              <w:bottom w:val="nil"/>
            </w:tcBorders>
            <w:noWrap/>
            <w:hideMark/>
          </w:tcPr>
          <w:p w14:paraId="35F6EECD" w14:textId="77777777" w:rsidR="00B86BF1" w:rsidRPr="00A743C9" w:rsidRDefault="00B86BF1" w:rsidP="000376C7">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18</w:t>
            </w:r>
          </w:p>
        </w:tc>
        <w:tc>
          <w:tcPr>
            <w:tcW w:w="1220" w:type="dxa"/>
            <w:tcBorders>
              <w:bottom w:val="nil"/>
              <w:right w:val="single" w:sz="4" w:space="0" w:color="auto"/>
            </w:tcBorders>
            <w:noWrap/>
            <w:hideMark/>
          </w:tcPr>
          <w:p w14:paraId="5D33F308" w14:textId="77777777" w:rsidR="00B86BF1" w:rsidRPr="00A743C9" w:rsidRDefault="00B86BF1" w:rsidP="000376C7">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14</w:t>
            </w:r>
          </w:p>
        </w:tc>
      </w:tr>
      <w:tr w:rsidR="00B86BF1" w:rsidRPr="00A743C9" w14:paraId="233CF1C5" w14:textId="77777777" w:rsidTr="000376C7">
        <w:trPr>
          <w:trHeight w:val="299"/>
        </w:trPr>
        <w:tc>
          <w:tcPr>
            <w:cnfStyle w:val="001000000000" w:firstRow="0" w:lastRow="0" w:firstColumn="1" w:lastColumn="0" w:oddVBand="0" w:evenVBand="0" w:oddHBand="0" w:evenHBand="0" w:firstRowFirstColumn="0" w:firstRowLastColumn="0" w:lastRowFirstColumn="0" w:lastRowLastColumn="0"/>
            <w:tcW w:w="1893" w:type="dxa"/>
            <w:tcBorders>
              <w:left w:val="single" w:sz="4" w:space="0" w:color="auto"/>
              <w:bottom w:val="nil"/>
              <w:right w:val="single" w:sz="4" w:space="0" w:color="auto"/>
            </w:tcBorders>
            <w:noWrap/>
            <w:hideMark/>
          </w:tcPr>
          <w:p w14:paraId="5B64AABD" w14:textId="77777777" w:rsidR="00B86BF1" w:rsidRPr="00A743C9" w:rsidRDefault="00B86BF1" w:rsidP="000376C7">
            <w:pPr>
              <w:spacing w:after="0"/>
              <w:rPr>
                <w:rFonts w:eastAsia="Times New Roman" w:cs="Calibri"/>
                <w:sz w:val="16"/>
                <w:szCs w:val="16"/>
              </w:rPr>
            </w:pPr>
            <w:r w:rsidRPr="00A743C9">
              <w:rPr>
                <w:rFonts w:eastAsia="Times New Roman" w:cs="Calibri"/>
                <w:sz w:val="16"/>
                <w:szCs w:val="16"/>
              </w:rPr>
              <w:t>Bulgaria</w:t>
            </w:r>
          </w:p>
        </w:tc>
        <w:tc>
          <w:tcPr>
            <w:tcW w:w="1213" w:type="dxa"/>
            <w:tcBorders>
              <w:left w:val="single" w:sz="4" w:space="0" w:color="auto"/>
              <w:bottom w:val="nil"/>
            </w:tcBorders>
            <w:noWrap/>
            <w:hideMark/>
          </w:tcPr>
          <w:p w14:paraId="3FF6EB94"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0</w:t>
            </w:r>
          </w:p>
        </w:tc>
        <w:tc>
          <w:tcPr>
            <w:tcW w:w="1441" w:type="dxa"/>
            <w:tcBorders>
              <w:bottom w:val="nil"/>
            </w:tcBorders>
            <w:noWrap/>
            <w:hideMark/>
          </w:tcPr>
          <w:p w14:paraId="7EB85B36"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0</w:t>
            </w:r>
          </w:p>
        </w:tc>
        <w:tc>
          <w:tcPr>
            <w:tcW w:w="1185" w:type="dxa"/>
            <w:tcBorders>
              <w:bottom w:val="nil"/>
            </w:tcBorders>
            <w:noWrap/>
            <w:hideMark/>
          </w:tcPr>
          <w:p w14:paraId="01902DA4"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w:t>
            </w:r>
          </w:p>
        </w:tc>
        <w:tc>
          <w:tcPr>
            <w:tcW w:w="1419" w:type="dxa"/>
            <w:tcBorders>
              <w:bottom w:val="nil"/>
              <w:right w:val="single" w:sz="4" w:space="0" w:color="auto"/>
            </w:tcBorders>
            <w:noWrap/>
            <w:hideMark/>
          </w:tcPr>
          <w:p w14:paraId="1333AC58"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0</w:t>
            </w:r>
          </w:p>
        </w:tc>
        <w:tc>
          <w:tcPr>
            <w:tcW w:w="1213" w:type="dxa"/>
            <w:tcBorders>
              <w:left w:val="single" w:sz="4" w:space="0" w:color="auto"/>
              <w:bottom w:val="nil"/>
            </w:tcBorders>
            <w:noWrap/>
            <w:hideMark/>
          </w:tcPr>
          <w:p w14:paraId="4067758D" w14:textId="77777777" w:rsidR="00B86BF1" w:rsidRPr="00A743C9" w:rsidRDefault="00B86BF1" w:rsidP="000376C7">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9</w:t>
            </w:r>
          </w:p>
        </w:tc>
        <w:tc>
          <w:tcPr>
            <w:tcW w:w="1213" w:type="dxa"/>
            <w:tcBorders>
              <w:bottom w:val="nil"/>
            </w:tcBorders>
            <w:noWrap/>
            <w:hideMark/>
          </w:tcPr>
          <w:p w14:paraId="5C156F6F" w14:textId="77777777" w:rsidR="00B86BF1" w:rsidRPr="00A743C9" w:rsidRDefault="00B86BF1" w:rsidP="000376C7">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22</w:t>
            </w:r>
          </w:p>
        </w:tc>
        <w:tc>
          <w:tcPr>
            <w:tcW w:w="1213" w:type="dxa"/>
            <w:tcBorders>
              <w:bottom w:val="nil"/>
            </w:tcBorders>
            <w:noWrap/>
            <w:hideMark/>
          </w:tcPr>
          <w:p w14:paraId="3D60E950" w14:textId="77777777" w:rsidR="00B86BF1" w:rsidRPr="00A743C9" w:rsidRDefault="00B86BF1" w:rsidP="000376C7">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10</w:t>
            </w:r>
          </w:p>
        </w:tc>
        <w:tc>
          <w:tcPr>
            <w:tcW w:w="1213" w:type="dxa"/>
            <w:tcBorders>
              <w:bottom w:val="nil"/>
            </w:tcBorders>
            <w:noWrap/>
            <w:hideMark/>
          </w:tcPr>
          <w:p w14:paraId="49E382CB" w14:textId="77777777" w:rsidR="00B86BF1" w:rsidRPr="00A743C9" w:rsidRDefault="00B86BF1" w:rsidP="000376C7">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w:t>
            </w:r>
          </w:p>
        </w:tc>
        <w:tc>
          <w:tcPr>
            <w:tcW w:w="1086" w:type="dxa"/>
            <w:tcBorders>
              <w:bottom w:val="nil"/>
            </w:tcBorders>
            <w:noWrap/>
            <w:hideMark/>
          </w:tcPr>
          <w:p w14:paraId="381D92B1" w14:textId="77777777" w:rsidR="00B86BF1" w:rsidRPr="00A743C9" w:rsidRDefault="00B86BF1" w:rsidP="000376C7">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12</w:t>
            </w:r>
          </w:p>
        </w:tc>
        <w:tc>
          <w:tcPr>
            <w:tcW w:w="1220" w:type="dxa"/>
            <w:tcBorders>
              <w:bottom w:val="nil"/>
              <w:right w:val="single" w:sz="4" w:space="0" w:color="auto"/>
            </w:tcBorders>
            <w:noWrap/>
            <w:hideMark/>
          </w:tcPr>
          <w:p w14:paraId="61916E2F" w14:textId="77777777" w:rsidR="00B86BF1" w:rsidRPr="00A743C9" w:rsidRDefault="00B86BF1" w:rsidP="000376C7">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8</w:t>
            </w:r>
          </w:p>
        </w:tc>
      </w:tr>
      <w:tr w:rsidR="00B86BF1" w:rsidRPr="00A743C9" w14:paraId="2711CBA4" w14:textId="77777777" w:rsidTr="000376C7">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893" w:type="dxa"/>
            <w:tcBorders>
              <w:left w:val="single" w:sz="4" w:space="0" w:color="auto"/>
              <w:bottom w:val="nil"/>
              <w:right w:val="single" w:sz="4" w:space="0" w:color="auto"/>
            </w:tcBorders>
            <w:noWrap/>
            <w:hideMark/>
          </w:tcPr>
          <w:p w14:paraId="7413CD3B" w14:textId="77777777" w:rsidR="00B86BF1" w:rsidRPr="00A743C9" w:rsidRDefault="00B86BF1" w:rsidP="000376C7">
            <w:pPr>
              <w:spacing w:after="0"/>
              <w:rPr>
                <w:rFonts w:eastAsia="Times New Roman" w:cs="Calibri"/>
                <w:sz w:val="16"/>
                <w:szCs w:val="16"/>
              </w:rPr>
            </w:pPr>
            <w:r w:rsidRPr="00A743C9">
              <w:rPr>
                <w:rFonts w:eastAsia="Times New Roman" w:cs="Calibri"/>
                <w:sz w:val="16"/>
                <w:szCs w:val="16"/>
              </w:rPr>
              <w:t>Croatia</w:t>
            </w:r>
          </w:p>
        </w:tc>
        <w:tc>
          <w:tcPr>
            <w:tcW w:w="1213" w:type="dxa"/>
            <w:tcBorders>
              <w:left w:val="single" w:sz="4" w:space="0" w:color="auto"/>
              <w:bottom w:val="nil"/>
            </w:tcBorders>
            <w:noWrap/>
            <w:hideMark/>
          </w:tcPr>
          <w:p w14:paraId="36B55941"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0</w:t>
            </w:r>
          </w:p>
        </w:tc>
        <w:tc>
          <w:tcPr>
            <w:tcW w:w="1441" w:type="dxa"/>
            <w:tcBorders>
              <w:bottom w:val="nil"/>
            </w:tcBorders>
            <w:noWrap/>
            <w:hideMark/>
          </w:tcPr>
          <w:p w14:paraId="662DE029"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0</w:t>
            </w:r>
          </w:p>
        </w:tc>
        <w:tc>
          <w:tcPr>
            <w:tcW w:w="1185" w:type="dxa"/>
            <w:tcBorders>
              <w:bottom w:val="nil"/>
            </w:tcBorders>
            <w:noWrap/>
            <w:hideMark/>
          </w:tcPr>
          <w:p w14:paraId="08FD8507"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w:t>
            </w:r>
          </w:p>
        </w:tc>
        <w:tc>
          <w:tcPr>
            <w:tcW w:w="1419" w:type="dxa"/>
            <w:tcBorders>
              <w:bottom w:val="nil"/>
              <w:right w:val="single" w:sz="4" w:space="0" w:color="auto"/>
            </w:tcBorders>
            <w:noWrap/>
            <w:hideMark/>
          </w:tcPr>
          <w:p w14:paraId="00E501E3"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0</w:t>
            </w:r>
          </w:p>
        </w:tc>
        <w:tc>
          <w:tcPr>
            <w:tcW w:w="1213" w:type="dxa"/>
            <w:tcBorders>
              <w:left w:val="single" w:sz="4" w:space="0" w:color="auto"/>
              <w:bottom w:val="nil"/>
            </w:tcBorders>
            <w:noWrap/>
            <w:hideMark/>
          </w:tcPr>
          <w:p w14:paraId="6C86189C" w14:textId="77777777" w:rsidR="00B86BF1" w:rsidRPr="00A743C9" w:rsidRDefault="00B86BF1" w:rsidP="000376C7">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11</w:t>
            </w:r>
          </w:p>
        </w:tc>
        <w:tc>
          <w:tcPr>
            <w:tcW w:w="1213" w:type="dxa"/>
            <w:tcBorders>
              <w:bottom w:val="nil"/>
            </w:tcBorders>
            <w:noWrap/>
            <w:hideMark/>
          </w:tcPr>
          <w:p w14:paraId="6F6B0CE2" w14:textId="77777777" w:rsidR="00B86BF1" w:rsidRPr="00A743C9" w:rsidRDefault="00B86BF1" w:rsidP="000376C7">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26</w:t>
            </w:r>
          </w:p>
        </w:tc>
        <w:tc>
          <w:tcPr>
            <w:tcW w:w="1213" w:type="dxa"/>
            <w:tcBorders>
              <w:bottom w:val="nil"/>
            </w:tcBorders>
            <w:noWrap/>
            <w:hideMark/>
          </w:tcPr>
          <w:p w14:paraId="78DA3B5A" w14:textId="77777777" w:rsidR="00B86BF1" w:rsidRPr="00A743C9" w:rsidRDefault="00B86BF1" w:rsidP="000376C7">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8</w:t>
            </w:r>
          </w:p>
        </w:tc>
        <w:tc>
          <w:tcPr>
            <w:tcW w:w="1213" w:type="dxa"/>
            <w:tcBorders>
              <w:bottom w:val="nil"/>
            </w:tcBorders>
            <w:noWrap/>
            <w:hideMark/>
          </w:tcPr>
          <w:p w14:paraId="6723D245" w14:textId="77777777" w:rsidR="00B86BF1" w:rsidRPr="00A743C9" w:rsidRDefault="00B86BF1" w:rsidP="000376C7">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w:t>
            </w:r>
          </w:p>
        </w:tc>
        <w:tc>
          <w:tcPr>
            <w:tcW w:w="1086" w:type="dxa"/>
            <w:tcBorders>
              <w:bottom w:val="nil"/>
            </w:tcBorders>
            <w:noWrap/>
            <w:hideMark/>
          </w:tcPr>
          <w:p w14:paraId="64469487" w14:textId="77777777" w:rsidR="00B86BF1" w:rsidRPr="00A743C9" w:rsidRDefault="00B86BF1" w:rsidP="000376C7">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17</w:t>
            </w:r>
          </w:p>
        </w:tc>
        <w:tc>
          <w:tcPr>
            <w:tcW w:w="1220" w:type="dxa"/>
            <w:tcBorders>
              <w:bottom w:val="nil"/>
              <w:right w:val="single" w:sz="4" w:space="0" w:color="auto"/>
            </w:tcBorders>
            <w:noWrap/>
            <w:hideMark/>
          </w:tcPr>
          <w:p w14:paraId="02BCFBBA" w14:textId="77777777" w:rsidR="00B86BF1" w:rsidRPr="00A743C9" w:rsidRDefault="00B86BF1" w:rsidP="000376C7">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7</w:t>
            </w:r>
          </w:p>
        </w:tc>
      </w:tr>
      <w:tr w:rsidR="00B86BF1" w:rsidRPr="00A743C9" w14:paraId="35C5634A" w14:textId="77777777" w:rsidTr="000376C7">
        <w:trPr>
          <w:trHeight w:val="299"/>
        </w:trPr>
        <w:tc>
          <w:tcPr>
            <w:cnfStyle w:val="001000000000" w:firstRow="0" w:lastRow="0" w:firstColumn="1" w:lastColumn="0" w:oddVBand="0" w:evenVBand="0" w:oddHBand="0" w:evenHBand="0" w:firstRowFirstColumn="0" w:firstRowLastColumn="0" w:lastRowFirstColumn="0" w:lastRowLastColumn="0"/>
            <w:tcW w:w="1893" w:type="dxa"/>
            <w:tcBorders>
              <w:left w:val="single" w:sz="4" w:space="0" w:color="auto"/>
              <w:bottom w:val="nil"/>
              <w:right w:val="single" w:sz="4" w:space="0" w:color="auto"/>
            </w:tcBorders>
            <w:noWrap/>
            <w:hideMark/>
          </w:tcPr>
          <w:p w14:paraId="70BE077A" w14:textId="77777777" w:rsidR="00B86BF1" w:rsidRPr="00A743C9" w:rsidRDefault="00B86BF1" w:rsidP="000376C7">
            <w:pPr>
              <w:spacing w:after="0"/>
              <w:rPr>
                <w:rFonts w:eastAsia="Times New Roman" w:cs="Calibri"/>
                <w:sz w:val="16"/>
                <w:szCs w:val="16"/>
              </w:rPr>
            </w:pPr>
            <w:r w:rsidRPr="00A743C9">
              <w:rPr>
                <w:rFonts w:eastAsia="Times New Roman" w:cs="Calibri"/>
                <w:sz w:val="16"/>
                <w:szCs w:val="16"/>
              </w:rPr>
              <w:t>Czech Republic</w:t>
            </w:r>
          </w:p>
        </w:tc>
        <w:tc>
          <w:tcPr>
            <w:tcW w:w="1213" w:type="dxa"/>
            <w:tcBorders>
              <w:left w:val="single" w:sz="4" w:space="0" w:color="auto"/>
              <w:bottom w:val="nil"/>
            </w:tcBorders>
            <w:noWrap/>
            <w:hideMark/>
          </w:tcPr>
          <w:p w14:paraId="4531CD4E"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w:t>
            </w:r>
          </w:p>
        </w:tc>
        <w:tc>
          <w:tcPr>
            <w:tcW w:w="1441" w:type="dxa"/>
            <w:tcBorders>
              <w:bottom w:val="nil"/>
            </w:tcBorders>
            <w:noWrap/>
            <w:hideMark/>
          </w:tcPr>
          <w:p w14:paraId="229DF816"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3</w:t>
            </w:r>
          </w:p>
        </w:tc>
        <w:tc>
          <w:tcPr>
            <w:tcW w:w="1185" w:type="dxa"/>
            <w:tcBorders>
              <w:bottom w:val="nil"/>
            </w:tcBorders>
            <w:noWrap/>
            <w:hideMark/>
          </w:tcPr>
          <w:p w14:paraId="21433A29"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w:t>
            </w:r>
          </w:p>
        </w:tc>
        <w:tc>
          <w:tcPr>
            <w:tcW w:w="1419" w:type="dxa"/>
            <w:tcBorders>
              <w:bottom w:val="nil"/>
              <w:right w:val="single" w:sz="4" w:space="0" w:color="auto"/>
            </w:tcBorders>
            <w:noWrap/>
            <w:hideMark/>
          </w:tcPr>
          <w:p w14:paraId="2B1B0C64"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0</w:t>
            </w:r>
          </w:p>
        </w:tc>
        <w:tc>
          <w:tcPr>
            <w:tcW w:w="1213" w:type="dxa"/>
            <w:tcBorders>
              <w:left w:val="single" w:sz="4" w:space="0" w:color="auto"/>
              <w:bottom w:val="nil"/>
            </w:tcBorders>
            <w:noWrap/>
            <w:hideMark/>
          </w:tcPr>
          <w:p w14:paraId="47B71578" w14:textId="77777777" w:rsidR="00B86BF1" w:rsidRPr="00A743C9" w:rsidRDefault="00B86BF1" w:rsidP="000376C7">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20</w:t>
            </w:r>
          </w:p>
        </w:tc>
        <w:tc>
          <w:tcPr>
            <w:tcW w:w="1213" w:type="dxa"/>
            <w:tcBorders>
              <w:bottom w:val="nil"/>
            </w:tcBorders>
            <w:noWrap/>
            <w:hideMark/>
          </w:tcPr>
          <w:p w14:paraId="55BF7ED3" w14:textId="77777777" w:rsidR="00B86BF1" w:rsidRPr="00A743C9" w:rsidRDefault="00B86BF1" w:rsidP="000376C7">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48</w:t>
            </w:r>
          </w:p>
        </w:tc>
        <w:tc>
          <w:tcPr>
            <w:tcW w:w="1213" w:type="dxa"/>
            <w:tcBorders>
              <w:bottom w:val="nil"/>
            </w:tcBorders>
            <w:noWrap/>
            <w:hideMark/>
          </w:tcPr>
          <w:p w14:paraId="2E714383" w14:textId="77777777" w:rsidR="00B86BF1" w:rsidRPr="00A743C9" w:rsidRDefault="00B86BF1" w:rsidP="000376C7">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24</w:t>
            </w:r>
          </w:p>
        </w:tc>
        <w:tc>
          <w:tcPr>
            <w:tcW w:w="1213" w:type="dxa"/>
            <w:tcBorders>
              <w:bottom w:val="nil"/>
            </w:tcBorders>
            <w:noWrap/>
            <w:hideMark/>
          </w:tcPr>
          <w:p w14:paraId="4A37D0C8" w14:textId="77777777" w:rsidR="00B86BF1" w:rsidRPr="00A743C9" w:rsidRDefault="00B86BF1" w:rsidP="000376C7">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5</w:t>
            </w:r>
          </w:p>
        </w:tc>
        <w:tc>
          <w:tcPr>
            <w:tcW w:w="1086" w:type="dxa"/>
            <w:tcBorders>
              <w:bottom w:val="nil"/>
            </w:tcBorders>
            <w:noWrap/>
            <w:hideMark/>
          </w:tcPr>
          <w:p w14:paraId="5A515A7A" w14:textId="77777777" w:rsidR="00B86BF1" w:rsidRPr="00A743C9" w:rsidRDefault="00B86BF1" w:rsidP="000376C7">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26</w:t>
            </w:r>
          </w:p>
        </w:tc>
        <w:tc>
          <w:tcPr>
            <w:tcW w:w="1220" w:type="dxa"/>
            <w:tcBorders>
              <w:bottom w:val="nil"/>
              <w:right w:val="single" w:sz="4" w:space="0" w:color="auto"/>
            </w:tcBorders>
            <w:noWrap/>
            <w:hideMark/>
          </w:tcPr>
          <w:p w14:paraId="7E08E1A5" w14:textId="77777777" w:rsidR="00B86BF1" w:rsidRPr="00A743C9" w:rsidRDefault="00B86BF1" w:rsidP="000376C7">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16</w:t>
            </w:r>
          </w:p>
        </w:tc>
      </w:tr>
      <w:tr w:rsidR="00B86BF1" w:rsidRPr="00A743C9" w14:paraId="44684F92" w14:textId="77777777" w:rsidTr="000376C7">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893" w:type="dxa"/>
            <w:tcBorders>
              <w:left w:val="single" w:sz="4" w:space="0" w:color="auto"/>
              <w:bottom w:val="nil"/>
              <w:right w:val="single" w:sz="4" w:space="0" w:color="auto"/>
            </w:tcBorders>
            <w:noWrap/>
            <w:hideMark/>
          </w:tcPr>
          <w:p w14:paraId="707EDA88" w14:textId="77777777" w:rsidR="00B86BF1" w:rsidRPr="00A743C9" w:rsidRDefault="00B86BF1" w:rsidP="000376C7">
            <w:pPr>
              <w:spacing w:after="0"/>
              <w:rPr>
                <w:rFonts w:eastAsia="Times New Roman" w:cs="Calibri"/>
                <w:sz w:val="16"/>
                <w:szCs w:val="16"/>
              </w:rPr>
            </w:pPr>
            <w:r w:rsidRPr="00A743C9">
              <w:rPr>
                <w:rFonts w:eastAsia="Times New Roman" w:cs="Calibri"/>
                <w:sz w:val="16"/>
                <w:szCs w:val="16"/>
              </w:rPr>
              <w:t>Denmark</w:t>
            </w:r>
          </w:p>
        </w:tc>
        <w:tc>
          <w:tcPr>
            <w:tcW w:w="1213" w:type="dxa"/>
            <w:tcBorders>
              <w:left w:val="single" w:sz="4" w:space="0" w:color="auto"/>
              <w:bottom w:val="nil"/>
            </w:tcBorders>
            <w:noWrap/>
            <w:hideMark/>
          </w:tcPr>
          <w:p w14:paraId="4D928CA4"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w:t>
            </w:r>
          </w:p>
        </w:tc>
        <w:tc>
          <w:tcPr>
            <w:tcW w:w="1441" w:type="dxa"/>
            <w:tcBorders>
              <w:bottom w:val="nil"/>
            </w:tcBorders>
            <w:noWrap/>
            <w:hideMark/>
          </w:tcPr>
          <w:p w14:paraId="0A2A4586"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7</w:t>
            </w:r>
          </w:p>
        </w:tc>
        <w:tc>
          <w:tcPr>
            <w:tcW w:w="1185" w:type="dxa"/>
            <w:tcBorders>
              <w:bottom w:val="nil"/>
            </w:tcBorders>
            <w:noWrap/>
            <w:hideMark/>
          </w:tcPr>
          <w:p w14:paraId="12B9E645"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w:t>
            </w:r>
          </w:p>
        </w:tc>
        <w:tc>
          <w:tcPr>
            <w:tcW w:w="1419" w:type="dxa"/>
            <w:tcBorders>
              <w:bottom w:val="nil"/>
              <w:right w:val="single" w:sz="4" w:space="0" w:color="auto"/>
            </w:tcBorders>
            <w:noWrap/>
            <w:hideMark/>
          </w:tcPr>
          <w:p w14:paraId="00C3AE93"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0</w:t>
            </w:r>
          </w:p>
        </w:tc>
        <w:tc>
          <w:tcPr>
            <w:tcW w:w="1213" w:type="dxa"/>
            <w:tcBorders>
              <w:left w:val="single" w:sz="4" w:space="0" w:color="auto"/>
              <w:bottom w:val="nil"/>
            </w:tcBorders>
            <w:noWrap/>
            <w:hideMark/>
          </w:tcPr>
          <w:p w14:paraId="6E0CF825" w14:textId="77777777" w:rsidR="00B86BF1" w:rsidRPr="00A743C9" w:rsidRDefault="00B86BF1" w:rsidP="000376C7">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16</w:t>
            </w:r>
          </w:p>
        </w:tc>
        <w:tc>
          <w:tcPr>
            <w:tcW w:w="1213" w:type="dxa"/>
            <w:tcBorders>
              <w:bottom w:val="nil"/>
            </w:tcBorders>
            <w:noWrap/>
            <w:hideMark/>
          </w:tcPr>
          <w:p w14:paraId="02988CDF" w14:textId="77777777" w:rsidR="00B86BF1" w:rsidRPr="00A743C9" w:rsidRDefault="00B86BF1" w:rsidP="000376C7">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50</w:t>
            </w:r>
          </w:p>
        </w:tc>
        <w:tc>
          <w:tcPr>
            <w:tcW w:w="1213" w:type="dxa"/>
            <w:tcBorders>
              <w:bottom w:val="nil"/>
            </w:tcBorders>
            <w:noWrap/>
            <w:hideMark/>
          </w:tcPr>
          <w:p w14:paraId="3160F58B" w14:textId="77777777" w:rsidR="00B86BF1" w:rsidRPr="00A743C9" w:rsidRDefault="00B86BF1" w:rsidP="000376C7">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14</w:t>
            </w:r>
          </w:p>
        </w:tc>
        <w:tc>
          <w:tcPr>
            <w:tcW w:w="1213" w:type="dxa"/>
            <w:tcBorders>
              <w:bottom w:val="nil"/>
            </w:tcBorders>
            <w:noWrap/>
            <w:hideMark/>
          </w:tcPr>
          <w:p w14:paraId="6FB8A79E" w14:textId="77777777" w:rsidR="00B86BF1" w:rsidRPr="00A743C9" w:rsidRDefault="00B86BF1" w:rsidP="000376C7">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4</w:t>
            </w:r>
          </w:p>
        </w:tc>
        <w:tc>
          <w:tcPr>
            <w:tcW w:w="1086" w:type="dxa"/>
            <w:tcBorders>
              <w:bottom w:val="nil"/>
            </w:tcBorders>
            <w:noWrap/>
            <w:hideMark/>
          </w:tcPr>
          <w:p w14:paraId="1A034C3D" w14:textId="77777777" w:rsidR="00B86BF1" w:rsidRPr="00A743C9" w:rsidRDefault="00B86BF1" w:rsidP="000376C7">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16</w:t>
            </w:r>
          </w:p>
        </w:tc>
        <w:tc>
          <w:tcPr>
            <w:tcW w:w="1220" w:type="dxa"/>
            <w:tcBorders>
              <w:bottom w:val="nil"/>
              <w:right w:val="single" w:sz="4" w:space="0" w:color="auto"/>
            </w:tcBorders>
            <w:noWrap/>
            <w:hideMark/>
          </w:tcPr>
          <w:p w14:paraId="0B90931C" w14:textId="77777777" w:rsidR="00B86BF1" w:rsidRPr="00A743C9" w:rsidRDefault="00B86BF1" w:rsidP="000376C7">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15</w:t>
            </w:r>
          </w:p>
        </w:tc>
      </w:tr>
      <w:tr w:rsidR="00B86BF1" w:rsidRPr="00A743C9" w14:paraId="34F90894" w14:textId="77777777" w:rsidTr="000376C7">
        <w:trPr>
          <w:trHeight w:val="299"/>
        </w:trPr>
        <w:tc>
          <w:tcPr>
            <w:cnfStyle w:val="001000000000" w:firstRow="0" w:lastRow="0" w:firstColumn="1" w:lastColumn="0" w:oddVBand="0" w:evenVBand="0" w:oddHBand="0" w:evenHBand="0" w:firstRowFirstColumn="0" w:firstRowLastColumn="0" w:lastRowFirstColumn="0" w:lastRowLastColumn="0"/>
            <w:tcW w:w="1893" w:type="dxa"/>
            <w:tcBorders>
              <w:left w:val="single" w:sz="4" w:space="0" w:color="auto"/>
              <w:bottom w:val="nil"/>
              <w:right w:val="single" w:sz="4" w:space="0" w:color="auto"/>
            </w:tcBorders>
            <w:noWrap/>
            <w:hideMark/>
          </w:tcPr>
          <w:p w14:paraId="70C168EE" w14:textId="77777777" w:rsidR="00B86BF1" w:rsidRPr="00A743C9" w:rsidRDefault="00B86BF1" w:rsidP="000376C7">
            <w:pPr>
              <w:spacing w:after="0"/>
              <w:rPr>
                <w:rFonts w:eastAsia="Times New Roman" w:cs="Calibri"/>
                <w:sz w:val="16"/>
                <w:szCs w:val="16"/>
              </w:rPr>
            </w:pPr>
            <w:r w:rsidRPr="00A743C9">
              <w:rPr>
                <w:rFonts w:eastAsia="Times New Roman" w:cs="Calibri"/>
                <w:sz w:val="16"/>
                <w:szCs w:val="16"/>
              </w:rPr>
              <w:t>Estonia</w:t>
            </w:r>
          </w:p>
        </w:tc>
        <w:tc>
          <w:tcPr>
            <w:tcW w:w="1213" w:type="dxa"/>
            <w:tcBorders>
              <w:left w:val="single" w:sz="4" w:space="0" w:color="auto"/>
              <w:bottom w:val="nil"/>
            </w:tcBorders>
            <w:noWrap/>
            <w:hideMark/>
          </w:tcPr>
          <w:p w14:paraId="46E36AF2"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w:t>
            </w:r>
          </w:p>
        </w:tc>
        <w:tc>
          <w:tcPr>
            <w:tcW w:w="1441" w:type="dxa"/>
            <w:tcBorders>
              <w:bottom w:val="nil"/>
            </w:tcBorders>
            <w:noWrap/>
            <w:hideMark/>
          </w:tcPr>
          <w:p w14:paraId="1D8AA2C1"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3</w:t>
            </w:r>
          </w:p>
        </w:tc>
        <w:tc>
          <w:tcPr>
            <w:tcW w:w="1185" w:type="dxa"/>
            <w:tcBorders>
              <w:bottom w:val="nil"/>
            </w:tcBorders>
            <w:noWrap/>
            <w:hideMark/>
          </w:tcPr>
          <w:p w14:paraId="6A927B9C"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w:t>
            </w:r>
          </w:p>
        </w:tc>
        <w:tc>
          <w:tcPr>
            <w:tcW w:w="1419" w:type="dxa"/>
            <w:tcBorders>
              <w:bottom w:val="nil"/>
              <w:right w:val="single" w:sz="4" w:space="0" w:color="auto"/>
            </w:tcBorders>
            <w:noWrap/>
            <w:hideMark/>
          </w:tcPr>
          <w:p w14:paraId="109D040A"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w:t>
            </w:r>
          </w:p>
        </w:tc>
        <w:tc>
          <w:tcPr>
            <w:tcW w:w="1213" w:type="dxa"/>
            <w:tcBorders>
              <w:left w:val="single" w:sz="4" w:space="0" w:color="auto"/>
              <w:bottom w:val="nil"/>
            </w:tcBorders>
            <w:noWrap/>
            <w:hideMark/>
          </w:tcPr>
          <w:p w14:paraId="72B0AA7A" w14:textId="77777777" w:rsidR="00B86BF1" w:rsidRPr="00A743C9" w:rsidRDefault="00B86BF1" w:rsidP="000376C7">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21</w:t>
            </w:r>
          </w:p>
        </w:tc>
        <w:tc>
          <w:tcPr>
            <w:tcW w:w="1213" w:type="dxa"/>
            <w:tcBorders>
              <w:bottom w:val="nil"/>
            </w:tcBorders>
            <w:noWrap/>
            <w:hideMark/>
          </w:tcPr>
          <w:p w14:paraId="7E890905" w14:textId="77777777" w:rsidR="00B86BF1" w:rsidRPr="00A743C9" w:rsidRDefault="00B86BF1" w:rsidP="000376C7">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49</w:t>
            </w:r>
          </w:p>
        </w:tc>
        <w:tc>
          <w:tcPr>
            <w:tcW w:w="1213" w:type="dxa"/>
            <w:tcBorders>
              <w:bottom w:val="nil"/>
            </w:tcBorders>
            <w:noWrap/>
            <w:hideMark/>
          </w:tcPr>
          <w:p w14:paraId="6A2C0B03" w14:textId="77777777" w:rsidR="00B86BF1" w:rsidRPr="00A743C9" w:rsidRDefault="00B86BF1" w:rsidP="000376C7">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24</w:t>
            </w:r>
          </w:p>
        </w:tc>
        <w:tc>
          <w:tcPr>
            <w:tcW w:w="1213" w:type="dxa"/>
            <w:tcBorders>
              <w:bottom w:val="nil"/>
            </w:tcBorders>
            <w:noWrap/>
            <w:hideMark/>
          </w:tcPr>
          <w:p w14:paraId="36AF5838" w14:textId="77777777" w:rsidR="00B86BF1" w:rsidRPr="00A743C9" w:rsidRDefault="00B86BF1" w:rsidP="000376C7">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8</w:t>
            </w:r>
          </w:p>
        </w:tc>
        <w:tc>
          <w:tcPr>
            <w:tcW w:w="1086" w:type="dxa"/>
            <w:tcBorders>
              <w:bottom w:val="nil"/>
            </w:tcBorders>
            <w:noWrap/>
            <w:hideMark/>
          </w:tcPr>
          <w:p w14:paraId="7FD825EB" w14:textId="77777777" w:rsidR="00B86BF1" w:rsidRPr="00A743C9" w:rsidRDefault="00B86BF1" w:rsidP="000376C7">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29</w:t>
            </w:r>
          </w:p>
        </w:tc>
        <w:tc>
          <w:tcPr>
            <w:tcW w:w="1220" w:type="dxa"/>
            <w:tcBorders>
              <w:bottom w:val="nil"/>
              <w:right w:val="single" w:sz="4" w:space="0" w:color="auto"/>
            </w:tcBorders>
            <w:noWrap/>
            <w:hideMark/>
          </w:tcPr>
          <w:p w14:paraId="2233B6D0" w14:textId="77777777" w:rsidR="00B86BF1" w:rsidRPr="00A743C9" w:rsidRDefault="00B86BF1" w:rsidP="000376C7">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14</w:t>
            </w:r>
          </w:p>
        </w:tc>
      </w:tr>
      <w:tr w:rsidR="00B86BF1" w:rsidRPr="00A743C9" w14:paraId="4AEF73BB" w14:textId="77777777" w:rsidTr="000376C7">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893" w:type="dxa"/>
            <w:tcBorders>
              <w:left w:val="single" w:sz="4" w:space="0" w:color="auto"/>
              <w:bottom w:val="nil"/>
              <w:right w:val="single" w:sz="4" w:space="0" w:color="auto"/>
            </w:tcBorders>
            <w:noWrap/>
            <w:hideMark/>
          </w:tcPr>
          <w:p w14:paraId="50CAE663" w14:textId="77777777" w:rsidR="00B86BF1" w:rsidRPr="00A743C9" w:rsidRDefault="00B86BF1" w:rsidP="000376C7">
            <w:pPr>
              <w:spacing w:after="0"/>
              <w:rPr>
                <w:rFonts w:eastAsia="Times New Roman" w:cs="Calibri"/>
                <w:sz w:val="16"/>
                <w:szCs w:val="16"/>
              </w:rPr>
            </w:pPr>
            <w:r w:rsidRPr="00A743C9">
              <w:rPr>
                <w:rFonts w:eastAsia="Times New Roman" w:cs="Calibri"/>
                <w:sz w:val="16"/>
                <w:szCs w:val="16"/>
              </w:rPr>
              <w:t>Finland</w:t>
            </w:r>
          </w:p>
        </w:tc>
        <w:tc>
          <w:tcPr>
            <w:tcW w:w="1213" w:type="dxa"/>
            <w:tcBorders>
              <w:left w:val="single" w:sz="4" w:space="0" w:color="auto"/>
              <w:bottom w:val="nil"/>
            </w:tcBorders>
            <w:noWrap/>
            <w:hideMark/>
          </w:tcPr>
          <w:p w14:paraId="12F54EE4"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w:t>
            </w:r>
          </w:p>
        </w:tc>
        <w:tc>
          <w:tcPr>
            <w:tcW w:w="1441" w:type="dxa"/>
            <w:tcBorders>
              <w:bottom w:val="nil"/>
            </w:tcBorders>
            <w:noWrap/>
            <w:hideMark/>
          </w:tcPr>
          <w:p w14:paraId="67E03C05"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4</w:t>
            </w:r>
          </w:p>
        </w:tc>
        <w:tc>
          <w:tcPr>
            <w:tcW w:w="1185" w:type="dxa"/>
            <w:tcBorders>
              <w:bottom w:val="nil"/>
            </w:tcBorders>
            <w:noWrap/>
            <w:hideMark/>
          </w:tcPr>
          <w:p w14:paraId="206B78B1"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w:t>
            </w:r>
          </w:p>
        </w:tc>
        <w:tc>
          <w:tcPr>
            <w:tcW w:w="1419" w:type="dxa"/>
            <w:tcBorders>
              <w:bottom w:val="nil"/>
              <w:right w:val="single" w:sz="4" w:space="0" w:color="auto"/>
            </w:tcBorders>
            <w:noWrap/>
            <w:hideMark/>
          </w:tcPr>
          <w:p w14:paraId="5601CEDA"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0</w:t>
            </w:r>
          </w:p>
        </w:tc>
        <w:tc>
          <w:tcPr>
            <w:tcW w:w="1213" w:type="dxa"/>
            <w:tcBorders>
              <w:left w:val="single" w:sz="4" w:space="0" w:color="auto"/>
              <w:bottom w:val="nil"/>
            </w:tcBorders>
            <w:noWrap/>
            <w:hideMark/>
          </w:tcPr>
          <w:p w14:paraId="1E697603" w14:textId="77777777" w:rsidR="00B86BF1" w:rsidRPr="00A743C9" w:rsidRDefault="00B86BF1" w:rsidP="000376C7">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17</w:t>
            </w:r>
          </w:p>
        </w:tc>
        <w:tc>
          <w:tcPr>
            <w:tcW w:w="1213" w:type="dxa"/>
            <w:tcBorders>
              <w:bottom w:val="nil"/>
            </w:tcBorders>
            <w:noWrap/>
            <w:hideMark/>
          </w:tcPr>
          <w:p w14:paraId="4EE10B62" w14:textId="77777777" w:rsidR="00B86BF1" w:rsidRPr="00A743C9" w:rsidRDefault="00B86BF1" w:rsidP="000376C7">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47</w:t>
            </w:r>
          </w:p>
        </w:tc>
        <w:tc>
          <w:tcPr>
            <w:tcW w:w="1213" w:type="dxa"/>
            <w:tcBorders>
              <w:bottom w:val="nil"/>
            </w:tcBorders>
            <w:noWrap/>
            <w:hideMark/>
          </w:tcPr>
          <w:p w14:paraId="2A7E9495" w14:textId="77777777" w:rsidR="00B86BF1" w:rsidRPr="00A743C9" w:rsidRDefault="00B86BF1" w:rsidP="000376C7">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18</w:t>
            </w:r>
          </w:p>
        </w:tc>
        <w:tc>
          <w:tcPr>
            <w:tcW w:w="1213" w:type="dxa"/>
            <w:tcBorders>
              <w:bottom w:val="nil"/>
            </w:tcBorders>
            <w:noWrap/>
            <w:hideMark/>
          </w:tcPr>
          <w:p w14:paraId="5516D3C5" w14:textId="77777777" w:rsidR="00B86BF1" w:rsidRPr="00A743C9" w:rsidRDefault="00B86BF1" w:rsidP="000376C7">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4</w:t>
            </w:r>
          </w:p>
        </w:tc>
        <w:tc>
          <w:tcPr>
            <w:tcW w:w="1086" w:type="dxa"/>
            <w:tcBorders>
              <w:bottom w:val="nil"/>
            </w:tcBorders>
            <w:noWrap/>
            <w:hideMark/>
          </w:tcPr>
          <w:p w14:paraId="67C71CE2" w14:textId="77777777" w:rsidR="00B86BF1" w:rsidRPr="00A743C9" w:rsidRDefault="00B86BF1" w:rsidP="000376C7">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19</w:t>
            </w:r>
          </w:p>
        </w:tc>
        <w:tc>
          <w:tcPr>
            <w:tcW w:w="1220" w:type="dxa"/>
            <w:tcBorders>
              <w:bottom w:val="nil"/>
              <w:right w:val="single" w:sz="4" w:space="0" w:color="auto"/>
            </w:tcBorders>
            <w:noWrap/>
            <w:hideMark/>
          </w:tcPr>
          <w:p w14:paraId="5CABEEA7" w14:textId="77777777" w:rsidR="00B86BF1" w:rsidRPr="00A743C9" w:rsidRDefault="00B86BF1" w:rsidP="000376C7">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14</w:t>
            </w:r>
          </w:p>
        </w:tc>
      </w:tr>
      <w:tr w:rsidR="00B86BF1" w:rsidRPr="00A743C9" w14:paraId="20BA2047" w14:textId="77777777" w:rsidTr="000376C7">
        <w:trPr>
          <w:trHeight w:val="299"/>
        </w:trPr>
        <w:tc>
          <w:tcPr>
            <w:cnfStyle w:val="001000000000" w:firstRow="0" w:lastRow="0" w:firstColumn="1" w:lastColumn="0" w:oddVBand="0" w:evenVBand="0" w:oddHBand="0" w:evenHBand="0" w:firstRowFirstColumn="0" w:firstRowLastColumn="0" w:lastRowFirstColumn="0" w:lastRowLastColumn="0"/>
            <w:tcW w:w="1893" w:type="dxa"/>
            <w:tcBorders>
              <w:left w:val="single" w:sz="4" w:space="0" w:color="auto"/>
              <w:bottom w:val="nil"/>
              <w:right w:val="single" w:sz="4" w:space="0" w:color="auto"/>
            </w:tcBorders>
            <w:noWrap/>
            <w:hideMark/>
          </w:tcPr>
          <w:p w14:paraId="5F379876" w14:textId="77777777" w:rsidR="00B86BF1" w:rsidRPr="00A743C9" w:rsidRDefault="00B86BF1" w:rsidP="000376C7">
            <w:pPr>
              <w:spacing w:after="0"/>
              <w:rPr>
                <w:rFonts w:eastAsia="Times New Roman" w:cs="Calibri"/>
                <w:sz w:val="16"/>
                <w:szCs w:val="16"/>
              </w:rPr>
            </w:pPr>
            <w:r w:rsidRPr="00A743C9">
              <w:rPr>
                <w:rFonts w:eastAsia="Times New Roman" w:cs="Calibri"/>
                <w:sz w:val="16"/>
                <w:szCs w:val="16"/>
              </w:rPr>
              <w:t>France</w:t>
            </w:r>
          </w:p>
        </w:tc>
        <w:tc>
          <w:tcPr>
            <w:tcW w:w="1213" w:type="dxa"/>
            <w:tcBorders>
              <w:left w:val="single" w:sz="4" w:space="0" w:color="auto"/>
              <w:bottom w:val="nil"/>
            </w:tcBorders>
            <w:noWrap/>
            <w:hideMark/>
          </w:tcPr>
          <w:p w14:paraId="72E0C44D"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4</w:t>
            </w:r>
          </w:p>
        </w:tc>
        <w:tc>
          <w:tcPr>
            <w:tcW w:w="1441" w:type="dxa"/>
            <w:tcBorders>
              <w:bottom w:val="nil"/>
            </w:tcBorders>
            <w:noWrap/>
            <w:hideMark/>
          </w:tcPr>
          <w:p w14:paraId="33D7AB38"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8</w:t>
            </w:r>
          </w:p>
        </w:tc>
        <w:tc>
          <w:tcPr>
            <w:tcW w:w="1185" w:type="dxa"/>
            <w:tcBorders>
              <w:bottom w:val="nil"/>
            </w:tcBorders>
            <w:noWrap/>
            <w:hideMark/>
          </w:tcPr>
          <w:p w14:paraId="73D056E3"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6</w:t>
            </w:r>
          </w:p>
        </w:tc>
        <w:tc>
          <w:tcPr>
            <w:tcW w:w="1419" w:type="dxa"/>
            <w:tcBorders>
              <w:bottom w:val="nil"/>
              <w:right w:val="single" w:sz="4" w:space="0" w:color="auto"/>
            </w:tcBorders>
            <w:noWrap/>
            <w:hideMark/>
          </w:tcPr>
          <w:p w14:paraId="1AA2309D"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0</w:t>
            </w:r>
          </w:p>
        </w:tc>
        <w:tc>
          <w:tcPr>
            <w:tcW w:w="1213" w:type="dxa"/>
            <w:tcBorders>
              <w:left w:val="single" w:sz="4" w:space="0" w:color="auto"/>
              <w:bottom w:val="nil"/>
            </w:tcBorders>
            <w:noWrap/>
            <w:hideMark/>
          </w:tcPr>
          <w:p w14:paraId="5B2FAB1C" w14:textId="77777777" w:rsidR="00B86BF1" w:rsidRPr="00A743C9" w:rsidRDefault="00B86BF1" w:rsidP="000376C7">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24</w:t>
            </w:r>
          </w:p>
        </w:tc>
        <w:tc>
          <w:tcPr>
            <w:tcW w:w="1213" w:type="dxa"/>
            <w:tcBorders>
              <w:bottom w:val="nil"/>
            </w:tcBorders>
            <w:noWrap/>
            <w:hideMark/>
          </w:tcPr>
          <w:p w14:paraId="4EC4343A" w14:textId="77777777" w:rsidR="00B86BF1" w:rsidRPr="00A743C9" w:rsidRDefault="00B86BF1" w:rsidP="000376C7">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54</w:t>
            </w:r>
          </w:p>
        </w:tc>
        <w:tc>
          <w:tcPr>
            <w:tcW w:w="1213" w:type="dxa"/>
            <w:tcBorders>
              <w:bottom w:val="nil"/>
            </w:tcBorders>
            <w:noWrap/>
            <w:hideMark/>
          </w:tcPr>
          <w:p w14:paraId="581473DA" w14:textId="77777777" w:rsidR="00B86BF1" w:rsidRPr="00A743C9" w:rsidRDefault="00B86BF1" w:rsidP="000376C7">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19</w:t>
            </w:r>
          </w:p>
        </w:tc>
        <w:tc>
          <w:tcPr>
            <w:tcW w:w="1213" w:type="dxa"/>
            <w:tcBorders>
              <w:bottom w:val="nil"/>
            </w:tcBorders>
            <w:noWrap/>
            <w:hideMark/>
          </w:tcPr>
          <w:p w14:paraId="23AD69C8" w14:textId="77777777" w:rsidR="00B86BF1" w:rsidRPr="00A743C9" w:rsidRDefault="00B86BF1" w:rsidP="000376C7">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w:t>
            </w:r>
          </w:p>
        </w:tc>
        <w:tc>
          <w:tcPr>
            <w:tcW w:w="1086" w:type="dxa"/>
            <w:tcBorders>
              <w:bottom w:val="nil"/>
            </w:tcBorders>
            <w:noWrap/>
            <w:hideMark/>
          </w:tcPr>
          <w:p w14:paraId="4EBFF399" w14:textId="77777777" w:rsidR="00B86BF1" w:rsidRPr="00A743C9" w:rsidRDefault="00B86BF1" w:rsidP="000376C7">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29</w:t>
            </w:r>
          </w:p>
        </w:tc>
        <w:tc>
          <w:tcPr>
            <w:tcW w:w="1220" w:type="dxa"/>
            <w:tcBorders>
              <w:bottom w:val="nil"/>
              <w:right w:val="single" w:sz="4" w:space="0" w:color="auto"/>
            </w:tcBorders>
            <w:noWrap/>
            <w:hideMark/>
          </w:tcPr>
          <w:p w14:paraId="34F11B89" w14:textId="77777777" w:rsidR="00B86BF1" w:rsidRPr="00A743C9" w:rsidRDefault="00B86BF1" w:rsidP="000376C7">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20</w:t>
            </w:r>
          </w:p>
        </w:tc>
      </w:tr>
      <w:tr w:rsidR="00B86BF1" w:rsidRPr="00A743C9" w14:paraId="775AC842" w14:textId="77777777" w:rsidTr="000376C7">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893" w:type="dxa"/>
            <w:tcBorders>
              <w:left w:val="single" w:sz="4" w:space="0" w:color="auto"/>
              <w:bottom w:val="nil"/>
              <w:right w:val="single" w:sz="4" w:space="0" w:color="auto"/>
            </w:tcBorders>
            <w:noWrap/>
            <w:hideMark/>
          </w:tcPr>
          <w:p w14:paraId="1F74FE8A" w14:textId="77777777" w:rsidR="00B86BF1" w:rsidRPr="00A743C9" w:rsidRDefault="00B86BF1" w:rsidP="000376C7">
            <w:pPr>
              <w:spacing w:after="0"/>
              <w:rPr>
                <w:rFonts w:eastAsia="Times New Roman" w:cs="Calibri"/>
                <w:sz w:val="16"/>
                <w:szCs w:val="16"/>
              </w:rPr>
            </w:pPr>
            <w:r w:rsidRPr="00A743C9">
              <w:rPr>
                <w:rFonts w:eastAsia="Times New Roman" w:cs="Calibri"/>
                <w:sz w:val="16"/>
                <w:szCs w:val="16"/>
              </w:rPr>
              <w:t xml:space="preserve">Germany </w:t>
            </w:r>
          </w:p>
        </w:tc>
        <w:tc>
          <w:tcPr>
            <w:tcW w:w="1213" w:type="dxa"/>
            <w:tcBorders>
              <w:left w:val="single" w:sz="4" w:space="0" w:color="auto"/>
              <w:bottom w:val="nil"/>
            </w:tcBorders>
            <w:noWrap/>
            <w:hideMark/>
          </w:tcPr>
          <w:p w14:paraId="6655B731"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w:t>
            </w:r>
          </w:p>
        </w:tc>
        <w:tc>
          <w:tcPr>
            <w:tcW w:w="1441" w:type="dxa"/>
            <w:tcBorders>
              <w:bottom w:val="nil"/>
            </w:tcBorders>
            <w:noWrap/>
            <w:hideMark/>
          </w:tcPr>
          <w:p w14:paraId="0161C273"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6</w:t>
            </w:r>
          </w:p>
        </w:tc>
        <w:tc>
          <w:tcPr>
            <w:tcW w:w="1185" w:type="dxa"/>
            <w:tcBorders>
              <w:bottom w:val="nil"/>
            </w:tcBorders>
            <w:noWrap/>
            <w:hideMark/>
          </w:tcPr>
          <w:p w14:paraId="1E6D5B9E"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w:t>
            </w:r>
          </w:p>
        </w:tc>
        <w:tc>
          <w:tcPr>
            <w:tcW w:w="1419" w:type="dxa"/>
            <w:tcBorders>
              <w:bottom w:val="nil"/>
              <w:right w:val="single" w:sz="4" w:space="0" w:color="auto"/>
            </w:tcBorders>
            <w:noWrap/>
            <w:hideMark/>
          </w:tcPr>
          <w:p w14:paraId="64608BD2"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0</w:t>
            </w:r>
          </w:p>
        </w:tc>
        <w:tc>
          <w:tcPr>
            <w:tcW w:w="1213" w:type="dxa"/>
            <w:tcBorders>
              <w:left w:val="single" w:sz="4" w:space="0" w:color="auto"/>
              <w:bottom w:val="nil"/>
            </w:tcBorders>
            <w:noWrap/>
            <w:hideMark/>
          </w:tcPr>
          <w:p w14:paraId="66E0F14F" w14:textId="77777777" w:rsidR="00B86BF1" w:rsidRPr="00A743C9" w:rsidRDefault="00B86BF1" w:rsidP="000376C7">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12</w:t>
            </w:r>
          </w:p>
        </w:tc>
        <w:tc>
          <w:tcPr>
            <w:tcW w:w="1213" w:type="dxa"/>
            <w:tcBorders>
              <w:bottom w:val="nil"/>
            </w:tcBorders>
            <w:noWrap/>
            <w:hideMark/>
          </w:tcPr>
          <w:p w14:paraId="5E964927" w14:textId="77777777" w:rsidR="00B86BF1" w:rsidRPr="00A743C9" w:rsidRDefault="00B86BF1" w:rsidP="000376C7">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35</w:t>
            </w:r>
          </w:p>
        </w:tc>
        <w:tc>
          <w:tcPr>
            <w:tcW w:w="1213" w:type="dxa"/>
            <w:tcBorders>
              <w:bottom w:val="nil"/>
            </w:tcBorders>
            <w:noWrap/>
            <w:hideMark/>
          </w:tcPr>
          <w:p w14:paraId="468134C2" w14:textId="77777777" w:rsidR="00B86BF1" w:rsidRPr="00A743C9" w:rsidRDefault="00B86BF1" w:rsidP="000376C7">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10</w:t>
            </w:r>
          </w:p>
        </w:tc>
        <w:tc>
          <w:tcPr>
            <w:tcW w:w="1213" w:type="dxa"/>
            <w:tcBorders>
              <w:bottom w:val="nil"/>
            </w:tcBorders>
            <w:noWrap/>
            <w:hideMark/>
          </w:tcPr>
          <w:p w14:paraId="65D1DD47" w14:textId="77777777" w:rsidR="00B86BF1" w:rsidRPr="00A743C9" w:rsidRDefault="00B86BF1" w:rsidP="000376C7">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w:t>
            </w:r>
          </w:p>
        </w:tc>
        <w:tc>
          <w:tcPr>
            <w:tcW w:w="1086" w:type="dxa"/>
            <w:tcBorders>
              <w:bottom w:val="nil"/>
            </w:tcBorders>
            <w:noWrap/>
            <w:hideMark/>
          </w:tcPr>
          <w:p w14:paraId="3F22CEBA" w14:textId="77777777" w:rsidR="00B86BF1" w:rsidRPr="00A743C9" w:rsidRDefault="00B86BF1" w:rsidP="000376C7">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15</w:t>
            </w:r>
          </w:p>
        </w:tc>
        <w:tc>
          <w:tcPr>
            <w:tcW w:w="1220" w:type="dxa"/>
            <w:tcBorders>
              <w:bottom w:val="nil"/>
              <w:right w:val="single" w:sz="4" w:space="0" w:color="auto"/>
            </w:tcBorders>
            <w:noWrap/>
            <w:hideMark/>
          </w:tcPr>
          <w:p w14:paraId="3561788F" w14:textId="77777777" w:rsidR="00B86BF1" w:rsidRPr="00A743C9" w:rsidRDefault="00B86BF1" w:rsidP="000376C7">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9</w:t>
            </w:r>
          </w:p>
        </w:tc>
      </w:tr>
      <w:tr w:rsidR="00B86BF1" w:rsidRPr="00A743C9" w14:paraId="74A62C8C" w14:textId="77777777" w:rsidTr="000376C7">
        <w:trPr>
          <w:trHeight w:val="299"/>
        </w:trPr>
        <w:tc>
          <w:tcPr>
            <w:cnfStyle w:val="001000000000" w:firstRow="0" w:lastRow="0" w:firstColumn="1" w:lastColumn="0" w:oddVBand="0" w:evenVBand="0" w:oddHBand="0" w:evenHBand="0" w:firstRowFirstColumn="0" w:firstRowLastColumn="0" w:lastRowFirstColumn="0" w:lastRowLastColumn="0"/>
            <w:tcW w:w="1893" w:type="dxa"/>
            <w:tcBorders>
              <w:left w:val="single" w:sz="4" w:space="0" w:color="auto"/>
              <w:bottom w:val="nil"/>
              <w:right w:val="single" w:sz="4" w:space="0" w:color="auto"/>
            </w:tcBorders>
            <w:noWrap/>
            <w:hideMark/>
          </w:tcPr>
          <w:p w14:paraId="70C182A9" w14:textId="77777777" w:rsidR="00B86BF1" w:rsidRPr="00A743C9" w:rsidRDefault="00B86BF1" w:rsidP="000376C7">
            <w:pPr>
              <w:spacing w:after="0"/>
              <w:rPr>
                <w:rFonts w:eastAsia="Times New Roman" w:cs="Calibri"/>
                <w:sz w:val="16"/>
                <w:szCs w:val="16"/>
              </w:rPr>
            </w:pPr>
            <w:r w:rsidRPr="00A743C9">
              <w:rPr>
                <w:rFonts w:eastAsia="Times New Roman" w:cs="Calibri"/>
                <w:sz w:val="16"/>
                <w:szCs w:val="16"/>
              </w:rPr>
              <w:t>Greece</w:t>
            </w:r>
          </w:p>
        </w:tc>
        <w:tc>
          <w:tcPr>
            <w:tcW w:w="1213" w:type="dxa"/>
            <w:tcBorders>
              <w:left w:val="single" w:sz="4" w:space="0" w:color="auto"/>
              <w:bottom w:val="nil"/>
            </w:tcBorders>
            <w:noWrap/>
            <w:hideMark/>
          </w:tcPr>
          <w:p w14:paraId="4ABE82CF"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3</w:t>
            </w:r>
          </w:p>
        </w:tc>
        <w:tc>
          <w:tcPr>
            <w:tcW w:w="1441" w:type="dxa"/>
            <w:tcBorders>
              <w:bottom w:val="nil"/>
            </w:tcBorders>
            <w:noWrap/>
            <w:hideMark/>
          </w:tcPr>
          <w:p w14:paraId="09AD0AF5"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4</w:t>
            </w:r>
          </w:p>
        </w:tc>
        <w:tc>
          <w:tcPr>
            <w:tcW w:w="1185" w:type="dxa"/>
            <w:tcBorders>
              <w:bottom w:val="nil"/>
            </w:tcBorders>
            <w:noWrap/>
            <w:hideMark/>
          </w:tcPr>
          <w:p w14:paraId="4E89FE9E"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5</w:t>
            </w:r>
          </w:p>
        </w:tc>
        <w:tc>
          <w:tcPr>
            <w:tcW w:w="1419" w:type="dxa"/>
            <w:tcBorders>
              <w:bottom w:val="nil"/>
              <w:right w:val="single" w:sz="4" w:space="0" w:color="auto"/>
            </w:tcBorders>
            <w:noWrap/>
            <w:hideMark/>
          </w:tcPr>
          <w:p w14:paraId="1EF9D448"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0</w:t>
            </w:r>
          </w:p>
        </w:tc>
        <w:tc>
          <w:tcPr>
            <w:tcW w:w="1213" w:type="dxa"/>
            <w:tcBorders>
              <w:left w:val="single" w:sz="4" w:space="0" w:color="auto"/>
              <w:bottom w:val="nil"/>
            </w:tcBorders>
            <w:noWrap/>
            <w:hideMark/>
          </w:tcPr>
          <w:p w14:paraId="7151A2AC" w14:textId="77777777" w:rsidR="00B86BF1" w:rsidRPr="00A743C9" w:rsidRDefault="00B86BF1" w:rsidP="000376C7">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15</w:t>
            </w:r>
          </w:p>
        </w:tc>
        <w:tc>
          <w:tcPr>
            <w:tcW w:w="1213" w:type="dxa"/>
            <w:tcBorders>
              <w:bottom w:val="nil"/>
            </w:tcBorders>
            <w:noWrap/>
            <w:hideMark/>
          </w:tcPr>
          <w:p w14:paraId="63DA9C7D" w14:textId="77777777" w:rsidR="00B86BF1" w:rsidRPr="00A743C9" w:rsidRDefault="00B86BF1" w:rsidP="000376C7">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31</w:t>
            </w:r>
          </w:p>
        </w:tc>
        <w:tc>
          <w:tcPr>
            <w:tcW w:w="1213" w:type="dxa"/>
            <w:tcBorders>
              <w:bottom w:val="nil"/>
            </w:tcBorders>
            <w:noWrap/>
            <w:hideMark/>
          </w:tcPr>
          <w:p w14:paraId="54B258ED" w14:textId="77777777" w:rsidR="00B86BF1" w:rsidRPr="00A743C9" w:rsidRDefault="00B86BF1" w:rsidP="000376C7">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13</w:t>
            </w:r>
          </w:p>
        </w:tc>
        <w:tc>
          <w:tcPr>
            <w:tcW w:w="1213" w:type="dxa"/>
            <w:tcBorders>
              <w:bottom w:val="nil"/>
            </w:tcBorders>
            <w:noWrap/>
            <w:hideMark/>
          </w:tcPr>
          <w:p w14:paraId="590A5D0E" w14:textId="77777777" w:rsidR="00B86BF1" w:rsidRPr="00A743C9" w:rsidRDefault="00B86BF1" w:rsidP="000376C7">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w:t>
            </w:r>
          </w:p>
        </w:tc>
        <w:tc>
          <w:tcPr>
            <w:tcW w:w="1086" w:type="dxa"/>
            <w:tcBorders>
              <w:bottom w:val="nil"/>
            </w:tcBorders>
            <w:noWrap/>
            <w:hideMark/>
          </w:tcPr>
          <w:p w14:paraId="7DA0BD92" w14:textId="77777777" w:rsidR="00B86BF1" w:rsidRPr="00A743C9" w:rsidRDefault="00B86BF1" w:rsidP="000376C7">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17</w:t>
            </w:r>
          </w:p>
        </w:tc>
        <w:tc>
          <w:tcPr>
            <w:tcW w:w="1220" w:type="dxa"/>
            <w:tcBorders>
              <w:bottom w:val="nil"/>
              <w:right w:val="single" w:sz="4" w:space="0" w:color="auto"/>
            </w:tcBorders>
            <w:noWrap/>
            <w:hideMark/>
          </w:tcPr>
          <w:p w14:paraId="1A9581ED" w14:textId="77777777" w:rsidR="00B86BF1" w:rsidRPr="00A743C9" w:rsidRDefault="00B86BF1" w:rsidP="000376C7">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12</w:t>
            </w:r>
          </w:p>
        </w:tc>
      </w:tr>
      <w:tr w:rsidR="00B86BF1" w:rsidRPr="00A743C9" w14:paraId="3B1ADF66" w14:textId="77777777" w:rsidTr="000376C7">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893" w:type="dxa"/>
            <w:tcBorders>
              <w:left w:val="single" w:sz="4" w:space="0" w:color="auto"/>
              <w:bottom w:val="nil"/>
              <w:right w:val="single" w:sz="4" w:space="0" w:color="auto"/>
            </w:tcBorders>
            <w:noWrap/>
            <w:hideMark/>
          </w:tcPr>
          <w:p w14:paraId="2607F3B1" w14:textId="77777777" w:rsidR="00B86BF1" w:rsidRPr="00A743C9" w:rsidRDefault="00B86BF1" w:rsidP="000376C7">
            <w:pPr>
              <w:spacing w:after="0"/>
              <w:rPr>
                <w:rFonts w:eastAsia="Times New Roman" w:cs="Calibri"/>
                <w:sz w:val="16"/>
                <w:szCs w:val="16"/>
              </w:rPr>
            </w:pPr>
            <w:r w:rsidRPr="00A743C9">
              <w:rPr>
                <w:rFonts w:eastAsia="Times New Roman" w:cs="Calibri"/>
                <w:sz w:val="16"/>
                <w:szCs w:val="16"/>
              </w:rPr>
              <w:t>Hungary</w:t>
            </w:r>
          </w:p>
        </w:tc>
        <w:tc>
          <w:tcPr>
            <w:tcW w:w="1213" w:type="dxa"/>
            <w:tcBorders>
              <w:left w:val="single" w:sz="4" w:space="0" w:color="auto"/>
              <w:bottom w:val="nil"/>
            </w:tcBorders>
            <w:noWrap/>
            <w:hideMark/>
          </w:tcPr>
          <w:p w14:paraId="1A1C9875"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w:t>
            </w:r>
          </w:p>
        </w:tc>
        <w:tc>
          <w:tcPr>
            <w:tcW w:w="1441" w:type="dxa"/>
            <w:tcBorders>
              <w:bottom w:val="nil"/>
            </w:tcBorders>
            <w:noWrap/>
            <w:hideMark/>
          </w:tcPr>
          <w:p w14:paraId="56117B19"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0</w:t>
            </w:r>
          </w:p>
        </w:tc>
        <w:tc>
          <w:tcPr>
            <w:tcW w:w="1185" w:type="dxa"/>
            <w:tcBorders>
              <w:bottom w:val="nil"/>
            </w:tcBorders>
            <w:noWrap/>
            <w:hideMark/>
          </w:tcPr>
          <w:p w14:paraId="77AC4991"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3</w:t>
            </w:r>
          </w:p>
        </w:tc>
        <w:tc>
          <w:tcPr>
            <w:tcW w:w="1419" w:type="dxa"/>
            <w:tcBorders>
              <w:bottom w:val="nil"/>
              <w:right w:val="single" w:sz="4" w:space="0" w:color="auto"/>
            </w:tcBorders>
            <w:noWrap/>
            <w:hideMark/>
          </w:tcPr>
          <w:p w14:paraId="278F3790"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0</w:t>
            </w:r>
          </w:p>
        </w:tc>
        <w:tc>
          <w:tcPr>
            <w:tcW w:w="1213" w:type="dxa"/>
            <w:tcBorders>
              <w:left w:val="single" w:sz="4" w:space="0" w:color="auto"/>
              <w:bottom w:val="nil"/>
            </w:tcBorders>
            <w:noWrap/>
            <w:hideMark/>
          </w:tcPr>
          <w:p w14:paraId="3C535AC4" w14:textId="77777777" w:rsidR="00B86BF1" w:rsidRPr="00A743C9" w:rsidRDefault="00B86BF1" w:rsidP="000376C7">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9</w:t>
            </w:r>
          </w:p>
        </w:tc>
        <w:tc>
          <w:tcPr>
            <w:tcW w:w="1213" w:type="dxa"/>
            <w:tcBorders>
              <w:bottom w:val="nil"/>
            </w:tcBorders>
            <w:noWrap/>
            <w:hideMark/>
          </w:tcPr>
          <w:p w14:paraId="64CDE7AB" w14:textId="77777777" w:rsidR="00B86BF1" w:rsidRPr="00A743C9" w:rsidRDefault="00B86BF1" w:rsidP="000376C7">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19</w:t>
            </w:r>
          </w:p>
        </w:tc>
        <w:tc>
          <w:tcPr>
            <w:tcW w:w="1213" w:type="dxa"/>
            <w:tcBorders>
              <w:bottom w:val="nil"/>
            </w:tcBorders>
            <w:noWrap/>
            <w:hideMark/>
          </w:tcPr>
          <w:p w14:paraId="4A3D7C7D" w14:textId="77777777" w:rsidR="00B86BF1" w:rsidRPr="00A743C9" w:rsidRDefault="00B86BF1" w:rsidP="000376C7">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12</w:t>
            </w:r>
          </w:p>
        </w:tc>
        <w:tc>
          <w:tcPr>
            <w:tcW w:w="1213" w:type="dxa"/>
            <w:tcBorders>
              <w:bottom w:val="nil"/>
            </w:tcBorders>
            <w:noWrap/>
            <w:hideMark/>
          </w:tcPr>
          <w:p w14:paraId="33DD9A6F" w14:textId="77777777" w:rsidR="00B86BF1" w:rsidRPr="00A743C9" w:rsidRDefault="00B86BF1" w:rsidP="000376C7">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w:t>
            </w:r>
          </w:p>
        </w:tc>
        <w:tc>
          <w:tcPr>
            <w:tcW w:w="1086" w:type="dxa"/>
            <w:tcBorders>
              <w:bottom w:val="nil"/>
            </w:tcBorders>
            <w:noWrap/>
            <w:hideMark/>
          </w:tcPr>
          <w:p w14:paraId="577A51B0" w14:textId="77777777" w:rsidR="00B86BF1" w:rsidRPr="00A743C9" w:rsidRDefault="00B86BF1" w:rsidP="000376C7">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10</w:t>
            </w:r>
          </w:p>
        </w:tc>
        <w:tc>
          <w:tcPr>
            <w:tcW w:w="1220" w:type="dxa"/>
            <w:tcBorders>
              <w:bottom w:val="nil"/>
              <w:right w:val="single" w:sz="4" w:space="0" w:color="auto"/>
            </w:tcBorders>
            <w:noWrap/>
            <w:hideMark/>
          </w:tcPr>
          <w:p w14:paraId="0A9CC414" w14:textId="77777777" w:rsidR="00B86BF1" w:rsidRPr="00A743C9" w:rsidRDefault="00B86BF1" w:rsidP="000376C7">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6</w:t>
            </w:r>
          </w:p>
        </w:tc>
      </w:tr>
      <w:tr w:rsidR="00B86BF1" w:rsidRPr="00A743C9" w14:paraId="795BB1F6" w14:textId="77777777" w:rsidTr="000376C7">
        <w:trPr>
          <w:trHeight w:val="299"/>
        </w:trPr>
        <w:tc>
          <w:tcPr>
            <w:cnfStyle w:val="001000000000" w:firstRow="0" w:lastRow="0" w:firstColumn="1" w:lastColumn="0" w:oddVBand="0" w:evenVBand="0" w:oddHBand="0" w:evenHBand="0" w:firstRowFirstColumn="0" w:firstRowLastColumn="0" w:lastRowFirstColumn="0" w:lastRowLastColumn="0"/>
            <w:tcW w:w="1893" w:type="dxa"/>
            <w:tcBorders>
              <w:left w:val="single" w:sz="4" w:space="0" w:color="auto"/>
              <w:bottom w:val="nil"/>
              <w:right w:val="single" w:sz="4" w:space="0" w:color="auto"/>
            </w:tcBorders>
            <w:noWrap/>
            <w:hideMark/>
          </w:tcPr>
          <w:p w14:paraId="10F9255F" w14:textId="77777777" w:rsidR="00B86BF1" w:rsidRPr="00A743C9" w:rsidRDefault="00B86BF1" w:rsidP="000376C7">
            <w:pPr>
              <w:spacing w:after="0"/>
              <w:rPr>
                <w:rFonts w:eastAsia="Times New Roman" w:cs="Calibri"/>
                <w:sz w:val="16"/>
                <w:szCs w:val="16"/>
              </w:rPr>
            </w:pPr>
            <w:r w:rsidRPr="00A743C9">
              <w:rPr>
                <w:rFonts w:eastAsia="Times New Roman" w:cs="Calibri"/>
                <w:sz w:val="16"/>
                <w:szCs w:val="16"/>
              </w:rPr>
              <w:t>Ireland</w:t>
            </w:r>
          </w:p>
        </w:tc>
        <w:tc>
          <w:tcPr>
            <w:tcW w:w="1213" w:type="dxa"/>
            <w:tcBorders>
              <w:left w:val="single" w:sz="4" w:space="0" w:color="auto"/>
              <w:bottom w:val="nil"/>
            </w:tcBorders>
            <w:noWrap/>
            <w:hideMark/>
          </w:tcPr>
          <w:p w14:paraId="411B74C5"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w:t>
            </w:r>
          </w:p>
        </w:tc>
        <w:tc>
          <w:tcPr>
            <w:tcW w:w="1441" w:type="dxa"/>
            <w:tcBorders>
              <w:bottom w:val="nil"/>
            </w:tcBorders>
            <w:noWrap/>
            <w:hideMark/>
          </w:tcPr>
          <w:p w14:paraId="555B7970"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4</w:t>
            </w:r>
          </w:p>
        </w:tc>
        <w:tc>
          <w:tcPr>
            <w:tcW w:w="1185" w:type="dxa"/>
            <w:tcBorders>
              <w:bottom w:val="nil"/>
            </w:tcBorders>
            <w:noWrap/>
            <w:hideMark/>
          </w:tcPr>
          <w:p w14:paraId="314EAFA8"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7</w:t>
            </w:r>
          </w:p>
        </w:tc>
        <w:tc>
          <w:tcPr>
            <w:tcW w:w="1419" w:type="dxa"/>
            <w:tcBorders>
              <w:bottom w:val="nil"/>
              <w:right w:val="single" w:sz="4" w:space="0" w:color="auto"/>
            </w:tcBorders>
            <w:noWrap/>
            <w:hideMark/>
          </w:tcPr>
          <w:p w14:paraId="32B57E13"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0</w:t>
            </w:r>
          </w:p>
        </w:tc>
        <w:tc>
          <w:tcPr>
            <w:tcW w:w="1213" w:type="dxa"/>
            <w:tcBorders>
              <w:left w:val="single" w:sz="4" w:space="0" w:color="auto"/>
              <w:bottom w:val="nil"/>
            </w:tcBorders>
            <w:noWrap/>
            <w:hideMark/>
          </w:tcPr>
          <w:p w14:paraId="77B261A9" w14:textId="77777777" w:rsidR="00B86BF1" w:rsidRPr="00A743C9" w:rsidRDefault="00B86BF1" w:rsidP="000376C7">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13</w:t>
            </w:r>
          </w:p>
        </w:tc>
        <w:tc>
          <w:tcPr>
            <w:tcW w:w="1213" w:type="dxa"/>
            <w:tcBorders>
              <w:bottom w:val="nil"/>
            </w:tcBorders>
            <w:noWrap/>
            <w:hideMark/>
          </w:tcPr>
          <w:p w14:paraId="11598A88" w14:textId="77777777" w:rsidR="00B86BF1" w:rsidRPr="00A743C9" w:rsidRDefault="00B86BF1" w:rsidP="000376C7">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44</w:t>
            </w:r>
          </w:p>
        </w:tc>
        <w:tc>
          <w:tcPr>
            <w:tcW w:w="1213" w:type="dxa"/>
            <w:tcBorders>
              <w:bottom w:val="nil"/>
            </w:tcBorders>
            <w:noWrap/>
            <w:hideMark/>
          </w:tcPr>
          <w:p w14:paraId="332439E1" w14:textId="77777777" w:rsidR="00B86BF1" w:rsidRPr="00A743C9" w:rsidRDefault="00B86BF1" w:rsidP="000376C7">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19</w:t>
            </w:r>
          </w:p>
        </w:tc>
        <w:tc>
          <w:tcPr>
            <w:tcW w:w="1213" w:type="dxa"/>
            <w:tcBorders>
              <w:bottom w:val="nil"/>
            </w:tcBorders>
            <w:noWrap/>
            <w:hideMark/>
          </w:tcPr>
          <w:p w14:paraId="0FCD489B" w14:textId="77777777" w:rsidR="00B86BF1" w:rsidRPr="00A743C9" w:rsidRDefault="00B86BF1" w:rsidP="000376C7">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w:t>
            </w:r>
          </w:p>
        </w:tc>
        <w:tc>
          <w:tcPr>
            <w:tcW w:w="1086" w:type="dxa"/>
            <w:tcBorders>
              <w:bottom w:val="nil"/>
            </w:tcBorders>
            <w:noWrap/>
            <w:hideMark/>
          </w:tcPr>
          <w:p w14:paraId="516709F2" w14:textId="77777777" w:rsidR="00B86BF1" w:rsidRPr="00A743C9" w:rsidRDefault="00B86BF1" w:rsidP="000376C7">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15</w:t>
            </w:r>
          </w:p>
        </w:tc>
        <w:tc>
          <w:tcPr>
            <w:tcW w:w="1220" w:type="dxa"/>
            <w:tcBorders>
              <w:bottom w:val="nil"/>
              <w:right w:val="single" w:sz="4" w:space="0" w:color="auto"/>
            </w:tcBorders>
            <w:noWrap/>
            <w:hideMark/>
          </w:tcPr>
          <w:p w14:paraId="78F5661F" w14:textId="77777777" w:rsidR="00B86BF1" w:rsidRPr="00A743C9" w:rsidRDefault="00B86BF1" w:rsidP="000376C7">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12</w:t>
            </w:r>
          </w:p>
        </w:tc>
      </w:tr>
      <w:tr w:rsidR="00B86BF1" w:rsidRPr="00A743C9" w14:paraId="35723E70" w14:textId="77777777" w:rsidTr="000376C7">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893" w:type="dxa"/>
            <w:tcBorders>
              <w:left w:val="single" w:sz="4" w:space="0" w:color="auto"/>
              <w:bottom w:val="nil"/>
              <w:right w:val="single" w:sz="4" w:space="0" w:color="auto"/>
            </w:tcBorders>
            <w:noWrap/>
            <w:hideMark/>
          </w:tcPr>
          <w:p w14:paraId="4DC73090" w14:textId="77777777" w:rsidR="00B86BF1" w:rsidRPr="00A743C9" w:rsidRDefault="00B86BF1" w:rsidP="000376C7">
            <w:pPr>
              <w:spacing w:after="0"/>
              <w:rPr>
                <w:rFonts w:eastAsia="Times New Roman" w:cs="Calibri"/>
                <w:sz w:val="16"/>
                <w:szCs w:val="16"/>
              </w:rPr>
            </w:pPr>
            <w:r w:rsidRPr="00A743C9">
              <w:rPr>
                <w:rFonts w:eastAsia="Times New Roman" w:cs="Calibri"/>
                <w:sz w:val="16"/>
                <w:szCs w:val="16"/>
              </w:rPr>
              <w:t>Italy</w:t>
            </w:r>
          </w:p>
        </w:tc>
        <w:tc>
          <w:tcPr>
            <w:tcW w:w="1213" w:type="dxa"/>
            <w:tcBorders>
              <w:left w:val="single" w:sz="4" w:space="0" w:color="auto"/>
              <w:bottom w:val="nil"/>
            </w:tcBorders>
            <w:noWrap/>
            <w:hideMark/>
          </w:tcPr>
          <w:p w14:paraId="6D9EEA70"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0</w:t>
            </w:r>
          </w:p>
        </w:tc>
        <w:tc>
          <w:tcPr>
            <w:tcW w:w="1441" w:type="dxa"/>
            <w:tcBorders>
              <w:bottom w:val="nil"/>
            </w:tcBorders>
            <w:noWrap/>
            <w:hideMark/>
          </w:tcPr>
          <w:p w14:paraId="0494BAA2"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0</w:t>
            </w:r>
          </w:p>
        </w:tc>
        <w:tc>
          <w:tcPr>
            <w:tcW w:w="1185" w:type="dxa"/>
            <w:tcBorders>
              <w:bottom w:val="nil"/>
            </w:tcBorders>
            <w:noWrap/>
            <w:hideMark/>
          </w:tcPr>
          <w:p w14:paraId="58C89AB6"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w:t>
            </w:r>
          </w:p>
        </w:tc>
        <w:tc>
          <w:tcPr>
            <w:tcW w:w="1419" w:type="dxa"/>
            <w:tcBorders>
              <w:bottom w:val="nil"/>
              <w:right w:val="single" w:sz="4" w:space="0" w:color="auto"/>
            </w:tcBorders>
            <w:noWrap/>
            <w:hideMark/>
          </w:tcPr>
          <w:p w14:paraId="22E42B5C"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0</w:t>
            </w:r>
          </w:p>
        </w:tc>
        <w:tc>
          <w:tcPr>
            <w:tcW w:w="1213" w:type="dxa"/>
            <w:tcBorders>
              <w:left w:val="single" w:sz="4" w:space="0" w:color="auto"/>
              <w:bottom w:val="nil"/>
            </w:tcBorders>
            <w:noWrap/>
            <w:hideMark/>
          </w:tcPr>
          <w:p w14:paraId="266029D6" w14:textId="77777777" w:rsidR="00B86BF1" w:rsidRPr="00A743C9" w:rsidRDefault="00B86BF1" w:rsidP="000376C7">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9</w:t>
            </w:r>
          </w:p>
        </w:tc>
        <w:tc>
          <w:tcPr>
            <w:tcW w:w="1213" w:type="dxa"/>
            <w:tcBorders>
              <w:bottom w:val="nil"/>
            </w:tcBorders>
            <w:noWrap/>
            <w:hideMark/>
          </w:tcPr>
          <w:p w14:paraId="5231C02C" w14:textId="77777777" w:rsidR="00B86BF1" w:rsidRPr="00A743C9" w:rsidRDefault="00B86BF1" w:rsidP="000376C7">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20</w:t>
            </w:r>
          </w:p>
        </w:tc>
        <w:tc>
          <w:tcPr>
            <w:tcW w:w="1213" w:type="dxa"/>
            <w:tcBorders>
              <w:bottom w:val="nil"/>
            </w:tcBorders>
            <w:noWrap/>
            <w:hideMark/>
          </w:tcPr>
          <w:p w14:paraId="59A6321F" w14:textId="77777777" w:rsidR="00B86BF1" w:rsidRPr="00A743C9" w:rsidRDefault="00B86BF1" w:rsidP="000376C7">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19</w:t>
            </w:r>
          </w:p>
        </w:tc>
        <w:tc>
          <w:tcPr>
            <w:tcW w:w="1213" w:type="dxa"/>
            <w:tcBorders>
              <w:bottom w:val="nil"/>
            </w:tcBorders>
            <w:noWrap/>
            <w:hideMark/>
          </w:tcPr>
          <w:p w14:paraId="57DDBCCE" w14:textId="77777777" w:rsidR="00B86BF1" w:rsidRPr="00A743C9" w:rsidRDefault="00B86BF1" w:rsidP="000376C7">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w:t>
            </w:r>
          </w:p>
        </w:tc>
        <w:tc>
          <w:tcPr>
            <w:tcW w:w="1086" w:type="dxa"/>
            <w:tcBorders>
              <w:bottom w:val="nil"/>
            </w:tcBorders>
            <w:noWrap/>
            <w:hideMark/>
          </w:tcPr>
          <w:p w14:paraId="70A11A1A" w14:textId="77777777" w:rsidR="00B86BF1" w:rsidRPr="00A743C9" w:rsidRDefault="00B86BF1" w:rsidP="000376C7">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12</w:t>
            </w:r>
          </w:p>
        </w:tc>
        <w:tc>
          <w:tcPr>
            <w:tcW w:w="1220" w:type="dxa"/>
            <w:tcBorders>
              <w:bottom w:val="nil"/>
              <w:right w:val="single" w:sz="4" w:space="0" w:color="auto"/>
            </w:tcBorders>
            <w:noWrap/>
            <w:hideMark/>
          </w:tcPr>
          <w:p w14:paraId="6F734D88" w14:textId="77777777" w:rsidR="00B86BF1" w:rsidRPr="00A743C9" w:rsidRDefault="00B86BF1" w:rsidP="000376C7">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6</w:t>
            </w:r>
          </w:p>
        </w:tc>
      </w:tr>
      <w:tr w:rsidR="00B86BF1" w:rsidRPr="00A743C9" w14:paraId="1328B038" w14:textId="77777777" w:rsidTr="000376C7">
        <w:trPr>
          <w:trHeight w:val="299"/>
        </w:trPr>
        <w:tc>
          <w:tcPr>
            <w:cnfStyle w:val="001000000000" w:firstRow="0" w:lastRow="0" w:firstColumn="1" w:lastColumn="0" w:oddVBand="0" w:evenVBand="0" w:oddHBand="0" w:evenHBand="0" w:firstRowFirstColumn="0" w:firstRowLastColumn="0" w:lastRowFirstColumn="0" w:lastRowLastColumn="0"/>
            <w:tcW w:w="1893" w:type="dxa"/>
            <w:tcBorders>
              <w:left w:val="single" w:sz="4" w:space="0" w:color="auto"/>
              <w:bottom w:val="nil"/>
              <w:right w:val="single" w:sz="4" w:space="0" w:color="auto"/>
            </w:tcBorders>
            <w:noWrap/>
            <w:hideMark/>
          </w:tcPr>
          <w:p w14:paraId="7AD2150B" w14:textId="77777777" w:rsidR="00B86BF1" w:rsidRPr="00A743C9" w:rsidRDefault="00B86BF1" w:rsidP="000376C7">
            <w:pPr>
              <w:spacing w:after="0"/>
              <w:rPr>
                <w:rFonts w:eastAsia="Times New Roman" w:cs="Calibri"/>
                <w:sz w:val="16"/>
                <w:szCs w:val="16"/>
              </w:rPr>
            </w:pPr>
            <w:r w:rsidRPr="00A743C9">
              <w:rPr>
                <w:rFonts w:eastAsia="Times New Roman" w:cs="Calibri"/>
                <w:sz w:val="16"/>
                <w:szCs w:val="16"/>
              </w:rPr>
              <w:t>Latvia</w:t>
            </w:r>
          </w:p>
        </w:tc>
        <w:tc>
          <w:tcPr>
            <w:tcW w:w="1213" w:type="dxa"/>
            <w:tcBorders>
              <w:left w:val="single" w:sz="4" w:space="0" w:color="auto"/>
              <w:bottom w:val="nil"/>
            </w:tcBorders>
            <w:noWrap/>
            <w:hideMark/>
          </w:tcPr>
          <w:p w14:paraId="687E3656"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w:t>
            </w:r>
          </w:p>
        </w:tc>
        <w:tc>
          <w:tcPr>
            <w:tcW w:w="1441" w:type="dxa"/>
            <w:tcBorders>
              <w:bottom w:val="nil"/>
            </w:tcBorders>
            <w:noWrap/>
            <w:hideMark/>
          </w:tcPr>
          <w:p w14:paraId="4CF77E72"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3</w:t>
            </w:r>
          </w:p>
        </w:tc>
        <w:tc>
          <w:tcPr>
            <w:tcW w:w="1185" w:type="dxa"/>
            <w:tcBorders>
              <w:bottom w:val="nil"/>
            </w:tcBorders>
            <w:noWrap/>
            <w:hideMark/>
          </w:tcPr>
          <w:p w14:paraId="4DBAC942"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0</w:t>
            </w:r>
          </w:p>
        </w:tc>
        <w:tc>
          <w:tcPr>
            <w:tcW w:w="1419" w:type="dxa"/>
            <w:tcBorders>
              <w:bottom w:val="nil"/>
              <w:right w:val="single" w:sz="4" w:space="0" w:color="auto"/>
            </w:tcBorders>
            <w:noWrap/>
            <w:hideMark/>
          </w:tcPr>
          <w:p w14:paraId="11C7CDC2"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0</w:t>
            </w:r>
          </w:p>
        </w:tc>
        <w:tc>
          <w:tcPr>
            <w:tcW w:w="1213" w:type="dxa"/>
            <w:tcBorders>
              <w:left w:val="single" w:sz="4" w:space="0" w:color="auto"/>
              <w:bottom w:val="nil"/>
            </w:tcBorders>
            <w:noWrap/>
            <w:hideMark/>
          </w:tcPr>
          <w:p w14:paraId="392D4AB7" w14:textId="77777777" w:rsidR="00B86BF1" w:rsidRPr="00A743C9" w:rsidRDefault="00B86BF1" w:rsidP="000376C7">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24</w:t>
            </w:r>
          </w:p>
        </w:tc>
        <w:tc>
          <w:tcPr>
            <w:tcW w:w="1213" w:type="dxa"/>
            <w:tcBorders>
              <w:bottom w:val="nil"/>
            </w:tcBorders>
            <w:noWrap/>
            <w:hideMark/>
          </w:tcPr>
          <w:p w14:paraId="19983403" w14:textId="77777777" w:rsidR="00B86BF1" w:rsidRPr="00A743C9" w:rsidRDefault="00B86BF1" w:rsidP="000376C7">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46</w:t>
            </w:r>
          </w:p>
        </w:tc>
        <w:tc>
          <w:tcPr>
            <w:tcW w:w="1213" w:type="dxa"/>
            <w:tcBorders>
              <w:bottom w:val="nil"/>
            </w:tcBorders>
            <w:noWrap/>
            <w:hideMark/>
          </w:tcPr>
          <w:p w14:paraId="7F100F48" w14:textId="77777777" w:rsidR="00B86BF1" w:rsidRPr="00A743C9" w:rsidRDefault="00B86BF1" w:rsidP="000376C7">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28</w:t>
            </w:r>
          </w:p>
        </w:tc>
        <w:tc>
          <w:tcPr>
            <w:tcW w:w="1213" w:type="dxa"/>
            <w:tcBorders>
              <w:bottom w:val="nil"/>
            </w:tcBorders>
            <w:noWrap/>
            <w:hideMark/>
          </w:tcPr>
          <w:p w14:paraId="26274634" w14:textId="77777777" w:rsidR="00B86BF1" w:rsidRPr="00A743C9" w:rsidRDefault="00B86BF1" w:rsidP="000376C7">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7</w:t>
            </w:r>
          </w:p>
        </w:tc>
        <w:tc>
          <w:tcPr>
            <w:tcW w:w="1086" w:type="dxa"/>
            <w:tcBorders>
              <w:bottom w:val="nil"/>
            </w:tcBorders>
            <w:noWrap/>
            <w:hideMark/>
          </w:tcPr>
          <w:p w14:paraId="4BBCF4E8" w14:textId="77777777" w:rsidR="00B86BF1" w:rsidRPr="00A743C9" w:rsidRDefault="00B86BF1" w:rsidP="000376C7">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36</w:t>
            </w:r>
          </w:p>
        </w:tc>
        <w:tc>
          <w:tcPr>
            <w:tcW w:w="1220" w:type="dxa"/>
            <w:tcBorders>
              <w:bottom w:val="nil"/>
              <w:right w:val="single" w:sz="4" w:space="0" w:color="auto"/>
            </w:tcBorders>
            <w:noWrap/>
            <w:hideMark/>
          </w:tcPr>
          <w:p w14:paraId="2B0C5514" w14:textId="77777777" w:rsidR="00B86BF1" w:rsidRPr="00A743C9" w:rsidRDefault="00B86BF1" w:rsidP="000376C7">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15</w:t>
            </w:r>
          </w:p>
        </w:tc>
      </w:tr>
      <w:tr w:rsidR="00B86BF1" w:rsidRPr="00A743C9" w14:paraId="144407DA" w14:textId="77777777" w:rsidTr="000376C7">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893" w:type="dxa"/>
            <w:tcBorders>
              <w:left w:val="single" w:sz="4" w:space="0" w:color="auto"/>
              <w:bottom w:val="nil"/>
              <w:right w:val="single" w:sz="4" w:space="0" w:color="auto"/>
            </w:tcBorders>
            <w:noWrap/>
            <w:hideMark/>
          </w:tcPr>
          <w:p w14:paraId="1AFD008E" w14:textId="77777777" w:rsidR="00B86BF1" w:rsidRPr="00A743C9" w:rsidRDefault="00B86BF1" w:rsidP="000376C7">
            <w:pPr>
              <w:spacing w:after="0"/>
              <w:rPr>
                <w:rFonts w:eastAsia="Times New Roman" w:cs="Calibri"/>
                <w:sz w:val="16"/>
                <w:szCs w:val="16"/>
              </w:rPr>
            </w:pPr>
            <w:r w:rsidRPr="00A743C9">
              <w:rPr>
                <w:rFonts w:eastAsia="Times New Roman" w:cs="Calibri"/>
                <w:sz w:val="16"/>
                <w:szCs w:val="16"/>
              </w:rPr>
              <w:t>Lithuania</w:t>
            </w:r>
          </w:p>
        </w:tc>
        <w:tc>
          <w:tcPr>
            <w:tcW w:w="1213" w:type="dxa"/>
            <w:tcBorders>
              <w:left w:val="single" w:sz="4" w:space="0" w:color="auto"/>
              <w:bottom w:val="nil"/>
            </w:tcBorders>
            <w:noWrap/>
            <w:hideMark/>
          </w:tcPr>
          <w:p w14:paraId="770B0181"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w:t>
            </w:r>
          </w:p>
        </w:tc>
        <w:tc>
          <w:tcPr>
            <w:tcW w:w="1441" w:type="dxa"/>
            <w:tcBorders>
              <w:bottom w:val="nil"/>
            </w:tcBorders>
            <w:noWrap/>
            <w:hideMark/>
          </w:tcPr>
          <w:p w14:paraId="7C459B5C"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3</w:t>
            </w:r>
          </w:p>
        </w:tc>
        <w:tc>
          <w:tcPr>
            <w:tcW w:w="1185" w:type="dxa"/>
            <w:tcBorders>
              <w:bottom w:val="nil"/>
            </w:tcBorders>
            <w:noWrap/>
            <w:hideMark/>
          </w:tcPr>
          <w:p w14:paraId="15660F09"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0</w:t>
            </w:r>
          </w:p>
        </w:tc>
        <w:tc>
          <w:tcPr>
            <w:tcW w:w="1419" w:type="dxa"/>
            <w:tcBorders>
              <w:bottom w:val="nil"/>
              <w:right w:val="single" w:sz="4" w:space="0" w:color="auto"/>
            </w:tcBorders>
            <w:noWrap/>
            <w:hideMark/>
          </w:tcPr>
          <w:p w14:paraId="075B946E"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0</w:t>
            </w:r>
          </w:p>
        </w:tc>
        <w:tc>
          <w:tcPr>
            <w:tcW w:w="1213" w:type="dxa"/>
            <w:tcBorders>
              <w:left w:val="single" w:sz="4" w:space="0" w:color="auto"/>
              <w:bottom w:val="nil"/>
            </w:tcBorders>
            <w:noWrap/>
            <w:hideMark/>
          </w:tcPr>
          <w:p w14:paraId="5F59F05D" w14:textId="77777777" w:rsidR="00B86BF1" w:rsidRPr="00A743C9" w:rsidRDefault="00B86BF1" w:rsidP="000376C7">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15</w:t>
            </w:r>
          </w:p>
        </w:tc>
        <w:tc>
          <w:tcPr>
            <w:tcW w:w="1213" w:type="dxa"/>
            <w:tcBorders>
              <w:bottom w:val="nil"/>
            </w:tcBorders>
            <w:noWrap/>
            <w:hideMark/>
          </w:tcPr>
          <w:p w14:paraId="186706AA" w14:textId="77777777" w:rsidR="00B86BF1" w:rsidRPr="00A743C9" w:rsidRDefault="00B86BF1" w:rsidP="000376C7">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31</w:t>
            </w:r>
          </w:p>
        </w:tc>
        <w:tc>
          <w:tcPr>
            <w:tcW w:w="1213" w:type="dxa"/>
            <w:tcBorders>
              <w:bottom w:val="nil"/>
            </w:tcBorders>
            <w:noWrap/>
            <w:hideMark/>
          </w:tcPr>
          <w:p w14:paraId="43776A4B" w14:textId="77777777" w:rsidR="00B86BF1" w:rsidRPr="00A743C9" w:rsidRDefault="00B86BF1" w:rsidP="000376C7">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18</w:t>
            </w:r>
          </w:p>
        </w:tc>
        <w:tc>
          <w:tcPr>
            <w:tcW w:w="1213" w:type="dxa"/>
            <w:tcBorders>
              <w:bottom w:val="nil"/>
            </w:tcBorders>
            <w:noWrap/>
            <w:hideMark/>
          </w:tcPr>
          <w:p w14:paraId="5735A479" w14:textId="77777777" w:rsidR="00B86BF1" w:rsidRPr="00A743C9" w:rsidRDefault="00B86BF1" w:rsidP="000376C7">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4</w:t>
            </w:r>
          </w:p>
        </w:tc>
        <w:tc>
          <w:tcPr>
            <w:tcW w:w="1086" w:type="dxa"/>
            <w:tcBorders>
              <w:bottom w:val="nil"/>
            </w:tcBorders>
            <w:noWrap/>
            <w:hideMark/>
          </w:tcPr>
          <w:p w14:paraId="3FF39F02" w14:textId="77777777" w:rsidR="00B86BF1" w:rsidRPr="00A743C9" w:rsidRDefault="00B86BF1" w:rsidP="000376C7">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24</w:t>
            </w:r>
          </w:p>
        </w:tc>
        <w:tc>
          <w:tcPr>
            <w:tcW w:w="1220" w:type="dxa"/>
            <w:tcBorders>
              <w:bottom w:val="nil"/>
              <w:right w:val="single" w:sz="4" w:space="0" w:color="auto"/>
            </w:tcBorders>
            <w:noWrap/>
            <w:hideMark/>
          </w:tcPr>
          <w:p w14:paraId="0027DC88" w14:textId="77777777" w:rsidR="00B86BF1" w:rsidRPr="00A743C9" w:rsidRDefault="00B86BF1" w:rsidP="000376C7">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7</w:t>
            </w:r>
          </w:p>
        </w:tc>
      </w:tr>
      <w:tr w:rsidR="00B86BF1" w:rsidRPr="00A743C9" w14:paraId="0D2A4DFC" w14:textId="77777777" w:rsidTr="000376C7">
        <w:trPr>
          <w:trHeight w:val="299"/>
        </w:trPr>
        <w:tc>
          <w:tcPr>
            <w:cnfStyle w:val="001000000000" w:firstRow="0" w:lastRow="0" w:firstColumn="1" w:lastColumn="0" w:oddVBand="0" w:evenVBand="0" w:oddHBand="0" w:evenHBand="0" w:firstRowFirstColumn="0" w:firstRowLastColumn="0" w:lastRowFirstColumn="0" w:lastRowLastColumn="0"/>
            <w:tcW w:w="1893" w:type="dxa"/>
            <w:tcBorders>
              <w:left w:val="single" w:sz="4" w:space="0" w:color="auto"/>
              <w:bottom w:val="nil"/>
              <w:right w:val="single" w:sz="4" w:space="0" w:color="auto"/>
            </w:tcBorders>
            <w:noWrap/>
            <w:hideMark/>
          </w:tcPr>
          <w:p w14:paraId="10EE03C0" w14:textId="77777777" w:rsidR="00B86BF1" w:rsidRPr="00A743C9" w:rsidRDefault="00B86BF1" w:rsidP="000376C7">
            <w:pPr>
              <w:spacing w:after="0"/>
              <w:rPr>
                <w:rFonts w:eastAsia="Times New Roman" w:cs="Calibri"/>
                <w:sz w:val="16"/>
                <w:szCs w:val="16"/>
              </w:rPr>
            </w:pPr>
            <w:r w:rsidRPr="00A743C9">
              <w:rPr>
                <w:rFonts w:eastAsia="Times New Roman" w:cs="Calibri"/>
                <w:sz w:val="16"/>
                <w:szCs w:val="16"/>
              </w:rPr>
              <w:t>Luxembourg</w:t>
            </w:r>
          </w:p>
        </w:tc>
        <w:tc>
          <w:tcPr>
            <w:tcW w:w="1213" w:type="dxa"/>
            <w:tcBorders>
              <w:left w:val="single" w:sz="4" w:space="0" w:color="auto"/>
              <w:bottom w:val="nil"/>
            </w:tcBorders>
            <w:noWrap/>
            <w:hideMark/>
          </w:tcPr>
          <w:p w14:paraId="16129E85"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w:t>
            </w:r>
          </w:p>
        </w:tc>
        <w:tc>
          <w:tcPr>
            <w:tcW w:w="1441" w:type="dxa"/>
            <w:tcBorders>
              <w:bottom w:val="nil"/>
            </w:tcBorders>
            <w:noWrap/>
            <w:hideMark/>
          </w:tcPr>
          <w:p w14:paraId="63582212"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7</w:t>
            </w:r>
          </w:p>
        </w:tc>
        <w:tc>
          <w:tcPr>
            <w:tcW w:w="1185" w:type="dxa"/>
            <w:tcBorders>
              <w:bottom w:val="nil"/>
            </w:tcBorders>
            <w:noWrap/>
            <w:hideMark/>
          </w:tcPr>
          <w:p w14:paraId="4720030F"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0</w:t>
            </w:r>
          </w:p>
        </w:tc>
        <w:tc>
          <w:tcPr>
            <w:tcW w:w="1419" w:type="dxa"/>
            <w:tcBorders>
              <w:bottom w:val="nil"/>
              <w:right w:val="single" w:sz="4" w:space="0" w:color="auto"/>
            </w:tcBorders>
            <w:noWrap/>
            <w:hideMark/>
          </w:tcPr>
          <w:p w14:paraId="32221F6E"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0</w:t>
            </w:r>
          </w:p>
        </w:tc>
        <w:tc>
          <w:tcPr>
            <w:tcW w:w="1213" w:type="dxa"/>
            <w:tcBorders>
              <w:left w:val="single" w:sz="4" w:space="0" w:color="auto"/>
              <w:bottom w:val="nil"/>
            </w:tcBorders>
            <w:noWrap/>
            <w:hideMark/>
          </w:tcPr>
          <w:p w14:paraId="621C95A7" w14:textId="77777777" w:rsidR="00B86BF1" w:rsidRPr="00A743C9" w:rsidRDefault="00B86BF1" w:rsidP="000376C7">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12</w:t>
            </w:r>
          </w:p>
        </w:tc>
        <w:tc>
          <w:tcPr>
            <w:tcW w:w="1213" w:type="dxa"/>
            <w:tcBorders>
              <w:bottom w:val="nil"/>
            </w:tcBorders>
            <w:noWrap/>
            <w:hideMark/>
          </w:tcPr>
          <w:p w14:paraId="7DA60793" w14:textId="77777777" w:rsidR="00B86BF1" w:rsidRPr="00A743C9" w:rsidRDefault="00B86BF1" w:rsidP="000376C7">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35</w:t>
            </w:r>
          </w:p>
        </w:tc>
        <w:tc>
          <w:tcPr>
            <w:tcW w:w="1213" w:type="dxa"/>
            <w:tcBorders>
              <w:bottom w:val="nil"/>
            </w:tcBorders>
            <w:noWrap/>
            <w:hideMark/>
          </w:tcPr>
          <w:p w14:paraId="657D7F6C" w14:textId="77777777" w:rsidR="00B86BF1" w:rsidRPr="00A743C9" w:rsidRDefault="00B86BF1" w:rsidP="000376C7">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10</w:t>
            </w:r>
          </w:p>
        </w:tc>
        <w:tc>
          <w:tcPr>
            <w:tcW w:w="1213" w:type="dxa"/>
            <w:tcBorders>
              <w:bottom w:val="nil"/>
            </w:tcBorders>
            <w:noWrap/>
            <w:hideMark/>
          </w:tcPr>
          <w:p w14:paraId="1A8E372A" w14:textId="77777777" w:rsidR="00B86BF1" w:rsidRPr="00A743C9" w:rsidRDefault="00B86BF1" w:rsidP="000376C7">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4</w:t>
            </w:r>
          </w:p>
        </w:tc>
        <w:tc>
          <w:tcPr>
            <w:tcW w:w="1086" w:type="dxa"/>
            <w:tcBorders>
              <w:bottom w:val="nil"/>
            </w:tcBorders>
            <w:noWrap/>
            <w:hideMark/>
          </w:tcPr>
          <w:p w14:paraId="5CE7136F" w14:textId="77777777" w:rsidR="00B86BF1" w:rsidRPr="00A743C9" w:rsidRDefault="00B86BF1" w:rsidP="000376C7">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12</w:t>
            </w:r>
          </w:p>
        </w:tc>
        <w:tc>
          <w:tcPr>
            <w:tcW w:w="1220" w:type="dxa"/>
            <w:tcBorders>
              <w:bottom w:val="nil"/>
              <w:right w:val="single" w:sz="4" w:space="0" w:color="auto"/>
            </w:tcBorders>
            <w:noWrap/>
            <w:hideMark/>
          </w:tcPr>
          <w:p w14:paraId="27E1669D" w14:textId="77777777" w:rsidR="00B86BF1" w:rsidRPr="00A743C9" w:rsidRDefault="00B86BF1" w:rsidP="000376C7">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12</w:t>
            </w:r>
          </w:p>
        </w:tc>
      </w:tr>
      <w:tr w:rsidR="00B86BF1" w:rsidRPr="00A743C9" w14:paraId="0035B273" w14:textId="77777777" w:rsidTr="000376C7">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893" w:type="dxa"/>
            <w:tcBorders>
              <w:left w:val="single" w:sz="4" w:space="0" w:color="auto"/>
              <w:bottom w:val="nil"/>
              <w:right w:val="single" w:sz="4" w:space="0" w:color="auto"/>
            </w:tcBorders>
            <w:noWrap/>
            <w:hideMark/>
          </w:tcPr>
          <w:p w14:paraId="2AFE71D3" w14:textId="77777777" w:rsidR="00B86BF1" w:rsidRPr="00A743C9" w:rsidRDefault="00B86BF1" w:rsidP="000376C7">
            <w:pPr>
              <w:spacing w:after="0"/>
              <w:rPr>
                <w:rFonts w:eastAsia="Times New Roman" w:cs="Calibri"/>
                <w:sz w:val="16"/>
                <w:szCs w:val="16"/>
              </w:rPr>
            </w:pPr>
            <w:r w:rsidRPr="00A743C9">
              <w:rPr>
                <w:rFonts w:eastAsia="Times New Roman" w:cs="Calibri"/>
                <w:sz w:val="16"/>
                <w:szCs w:val="16"/>
              </w:rPr>
              <w:t>Malta</w:t>
            </w:r>
          </w:p>
        </w:tc>
        <w:tc>
          <w:tcPr>
            <w:tcW w:w="1213" w:type="dxa"/>
            <w:tcBorders>
              <w:left w:val="single" w:sz="4" w:space="0" w:color="auto"/>
              <w:bottom w:val="nil"/>
            </w:tcBorders>
            <w:noWrap/>
            <w:hideMark/>
          </w:tcPr>
          <w:p w14:paraId="7E6164BF"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w:t>
            </w:r>
          </w:p>
        </w:tc>
        <w:tc>
          <w:tcPr>
            <w:tcW w:w="1441" w:type="dxa"/>
            <w:tcBorders>
              <w:bottom w:val="nil"/>
            </w:tcBorders>
            <w:noWrap/>
            <w:hideMark/>
          </w:tcPr>
          <w:p w14:paraId="7962DCF5"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6</w:t>
            </w:r>
          </w:p>
        </w:tc>
        <w:tc>
          <w:tcPr>
            <w:tcW w:w="1185" w:type="dxa"/>
            <w:tcBorders>
              <w:bottom w:val="nil"/>
            </w:tcBorders>
            <w:noWrap/>
            <w:hideMark/>
          </w:tcPr>
          <w:p w14:paraId="60C3A0A8"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3</w:t>
            </w:r>
          </w:p>
        </w:tc>
        <w:tc>
          <w:tcPr>
            <w:tcW w:w="1419" w:type="dxa"/>
            <w:tcBorders>
              <w:bottom w:val="nil"/>
              <w:right w:val="single" w:sz="4" w:space="0" w:color="auto"/>
            </w:tcBorders>
            <w:noWrap/>
            <w:hideMark/>
          </w:tcPr>
          <w:p w14:paraId="4BF73E66"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0</w:t>
            </w:r>
          </w:p>
        </w:tc>
        <w:tc>
          <w:tcPr>
            <w:tcW w:w="1213" w:type="dxa"/>
            <w:tcBorders>
              <w:left w:val="single" w:sz="4" w:space="0" w:color="auto"/>
              <w:bottom w:val="nil"/>
            </w:tcBorders>
            <w:noWrap/>
            <w:hideMark/>
          </w:tcPr>
          <w:p w14:paraId="6721A213" w14:textId="77777777" w:rsidR="00B86BF1" w:rsidRPr="00A743C9" w:rsidRDefault="00B86BF1" w:rsidP="000376C7">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12</w:t>
            </w:r>
          </w:p>
        </w:tc>
        <w:tc>
          <w:tcPr>
            <w:tcW w:w="1213" w:type="dxa"/>
            <w:tcBorders>
              <w:bottom w:val="nil"/>
            </w:tcBorders>
            <w:noWrap/>
            <w:hideMark/>
          </w:tcPr>
          <w:p w14:paraId="105396A3" w14:textId="77777777" w:rsidR="00B86BF1" w:rsidRPr="00A743C9" w:rsidRDefault="00B86BF1" w:rsidP="000376C7">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40</w:t>
            </w:r>
          </w:p>
        </w:tc>
        <w:tc>
          <w:tcPr>
            <w:tcW w:w="1213" w:type="dxa"/>
            <w:tcBorders>
              <w:bottom w:val="nil"/>
            </w:tcBorders>
            <w:noWrap/>
            <w:hideMark/>
          </w:tcPr>
          <w:p w14:paraId="71C6959F" w14:textId="77777777" w:rsidR="00B86BF1" w:rsidRPr="00A743C9" w:rsidRDefault="00B86BF1" w:rsidP="000376C7">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5</w:t>
            </w:r>
          </w:p>
        </w:tc>
        <w:tc>
          <w:tcPr>
            <w:tcW w:w="1213" w:type="dxa"/>
            <w:tcBorders>
              <w:bottom w:val="nil"/>
            </w:tcBorders>
            <w:noWrap/>
            <w:hideMark/>
          </w:tcPr>
          <w:p w14:paraId="6A66ED9E" w14:textId="77777777" w:rsidR="00B86BF1" w:rsidRPr="00A743C9" w:rsidRDefault="00B86BF1" w:rsidP="000376C7">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w:t>
            </w:r>
          </w:p>
        </w:tc>
        <w:tc>
          <w:tcPr>
            <w:tcW w:w="1086" w:type="dxa"/>
            <w:tcBorders>
              <w:bottom w:val="nil"/>
            </w:tcBorders>
            <w:noWrap/>
            <w:hideMark/>
          </w:tcPr>
          <w:p w14:paraId="09B6C628" w14:textId="77777777" w:rsidR="00B86BF1" w:rsidRPr="00A743C9" w:rsidRDefault="00B86BF1" w:rsidP="000376C7">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15</w:t>
            </w:r>
          </w:p>
        </w:tc>
        <w:tc>
          <w:tcPr>
            <w:tcW w:w="1220" w:type="dxa"/>
            <w:tcBorders>
              <w:bottom w:val="nil"/>
              <w:right w:val="single" w:sz="4" w:space="0" w:color="auto"/>
            </w:tcBorders>
            <w:noWrap/>
            <w:hideMark/>
          </w:tcPr>
          <w:p w14:paraId="43DC9465" w14:textId="77777777" w:rsidR="00B86BF1" w:rsidRPr="00A743C9" w:rsidRDefault="00B86BF1" w:rsidP="000376C7">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9</w:t>
            </w:r>
          </w:p>
        </w:tc>
      </w:tr>
      <w:tr w:rsidR="00B86BF1" w:rsidRPr="00A743C9" w14:paraId="775EC768" w14:textId="77777777" w:rsidTr="000376C7">
        <w:trPr>
          <w:trHeight w:val="299"/>
        </w:trPr>
        <w:tc>
          <w:tcPr>
            <w:cnfStyle w:val="001000000000" w:firstRow="0" w:lastRow="0" w:firstColumn="1" w:lastColumn="0" w:oddVBand="0" w:evenVBand="0" w:oddHBand="0" w:evenHBand="0" w:firstRowFirstColumn="0" w:firstRowLastColumn="0" w:lastRowFirstColumn="0" w:lastRowLastColumn="0"/>
            <w:tcW w:w="1893" w:type="dxa"/>
            <w:tcBorders>
              <w:left w:val="single" w:sz="4" w:space="0" w:color="auto"/>
              <w:bottom w:val="nil"/>
              <w:right w:val="single" w:sz="4" w:space="0" w:color="auto"/>
            </w:tcBorders>
            <w:noWrap/>
            <w:hideMark/>
          </w:tcPr>
          <w:p w14:paraId="270B8B65" w14:textId="77777777" w:rsidR="00B86BF1" w:rsidRPr="00A743C9" w:rsidRDefault="00B86BF1" w:rsidP="000376C7">
            <w:pPr>
              <w:spacing w:after="0"/>
              <w:rPr>
                <w:rFonts w:eastAsia="Times New Roman" w:cs="Calibri"/>
                <w:sz w:val="16"/>
                <w:szCs w:val="16"/>
              </w:rPr>
            </w:pPr>
            <w:r w:rsidRPr="00A743C9">
              <w:rPr>
                <w:rFonts w:eastAsia="Times New Roman" w:cs="Calibri"/>
                <w:sz w:val="16"/>
                <w:szCs w:val="16"/>
              </w:rPr>
              <w:t>Poland</w:t>
            </w:r>
          </w:p>
        </w:tc>
        <w:tc>
          <w:tcPr>
            <w:tcW w:w="1213" w:type="dxa"/>
            <w:tcBorders>
              <w:left w:val="single" w:sz="4" w:space="0" w:color="auto"/>
              <w:bottom w:val="nil"/>
            </w:tcBorders>
            <w:noWrap/>
            <w:hideMark/>
          </w:tcPr>
          <w:p w14:paraId="00EF5C37"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w:t>
            </w:r>
          </w:p>
        </w:tc>
        <w:tc>
          <w:tcPr>
            <w:tcW w:w="1441" w:type="dxa"/>
            <w:tcBorders>
              <w:bottom w:val="nil"/>
            </w:tcBorders>
            <w:noWrap/>
            <w:hideMark/>
          </w:tcPr>
          <w:p w14:paraId="79B16685"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3</w:t>
            </w:r>
          </w:p>
        </w:tc>
        <w:tc>
          <w:tcPr>
            <w:tcW w:w="1185" w:type="dxa"/>
            <w:tcBorders>
              <w:bottom w:val="nil"/>
            </w:tcBorders>
            <w:noWrap/>
            <w:hideMark/>
          </w:tcPr>
          <w:p w14:paraId="25B6F388"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w:t>
            </w:r>
          </w:p>
        </w:tc>
        <w:tc>
          <w:tcPr>
            <w:tcW w:w="1419" w:type="dxa"/>
            <w:tcBorders>
              <w:bottom w:val="nil"/>
              <w:right w:val="single" w:sz="4" w:space="0" w:color="auto"/>
            </w:tcBorders>
            <w:noWrap/>
            <w:hideMark/>
          </w:tcPr>
          <w:p w14:paraId="76A9671E"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0</w:t>
            </w:r>
          </w:p>
        </w:tc>
        <w:tc>
          <w:tcPr>
            <w:tcW w:w="1213" w:type="dxa"/>
            <w:tcBorders>
              <w:left w:val="single" w:sz="4" w:space="0" w:color="auto"/>
              <w:bottom w:val="nil"/>
            </w:tcBorders>
            <w:noWrap/>
            <w:hideMark/>
          </w:tcPr>
          <w:p w14:paraId="5BE5EB60" w14:textId="77777777" w:rsidR="00B86BF1" w:rsidRPr="00A743C9" w:rsidRDefault="00B86BF1" w:rsidP="000376C7">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13</w:t>
            </w:r>
          </w:p>
        </w:tc>
        <w:tc>
          <w:tcPr>
            <w:tcW w:w="1213" w:type="dxa"/>
            <w:tcBorders>
              <w:bottom w:val="nil"/>
            </w:tcBorders>
            <w:noWrap/>
            <w:hideMark/>
          </w:tcPr>
          <w:p w14:paraId="1E8396EC" w14:textId="77777777" w:rsidR="00B86BF1" w:rsidRPr="00A743C9" w:rsidRDefault="00B86BF1" w:rsidP="000376C7">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35</w:t>
            </w:r>
          </w:p>
        </w:tc>
        <w:tc>
          <w:tcPr>
            <w:tcW w:w="1213" w:type="dxa"/>
            <w:tcBorders>
              <w:bottom w:val="nil"/>
            </w:tcBorders>
            <w:noWrap/>
            <w:hideMark/>
          </w:tcPr>
          <w:p w14:paraId="3941956E" w14:textId="77777777" w:rsidR="00B86BF1" w:rsidRPr="00A743C9" w:rsidRDefault="00B86BF1" w:rsidP="000376C7">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12</w:t>
            </w:r>
          </w:p>
        </w:tc>
        <w:tc>
          <w:tcPr>
            <w:tcW w:w="1213" w:type="dxa"/>
            <w:tcBorders>
              <w:bottom w:val="nil"/>
            </w:tcBorders>
            <w:noWrap/>
            <w:hideMark/>
          </w:tcPr>
          <w:p w14:paraId="240E718F" w14:textId="77777777" w:rsidR="00B86BF1" w:rsidRPr="00A743C9" w:rsidRDefault="00B86BF1" w:rsidP="000376C7">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w:t>
            </w:r>
          </w:p>
        </w:tc>
        <w:tc>
          <w:tcPr>
            <w:tcW w:w="1086" w:type="dxa"/>
            <w:tcBorders>
              <w:bottom w:val="nil"/>
            </w:tcBorders>
            <w:noWrap/>
            <w:hideMark/>
          </w:tcPr>
          <w:p w14:paraId="59273132" w14:textId="77777777" w:rsidR="00B86BF1" w:rsidRPr="00A743C9" w:rsidRDefault="00B86BF1" w:rsidP="000376C7">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17</w:t>
            </w:r>
          </w:p>
        </w:tc>
        <w:tc>
          <w:tcPr>
            <w:tcW w:w="1220" w:type="dxa"/>
            <w:tcBorders>
              <w:bottom w:val="nil"/>
              <w:right w:val="single" w:sz="4" w:space="0" w:color="auto"/>
            </w:tcBorders>
            <w:noWrap/>
            <w:hideMark/>
          </w:tcPr>
          <w:p w14:paraId="4F97387C" w14:textId="77777777" w:rsidR="00B86BF1" w:rsidRPr="00A743C9" w:rsidRDefault="00B86BF1" w:rsidP="000376C7">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10</w:t>
            </w:r>
          </w:p>
        </w:tc>
      </w:tr>
      <w:tr w:rsidR="00B86BF1" w:rsidRPr="00A743C9" w14:paraId="1384AC4D" w14:textId="77777777" w:rsidTr="000376C7">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893" w:type="dxa"/>
            <w:tcBorders>
              <w:left w:val="single" w:sz="4" w:space="0" w:color="auto"/>
              <w:bottom w:val="nil"/>
              <w:right w:val="single" w:sz="4" w:space="0" w:color="auto"/>
            </w:tcBorders>
            <w:noWrap/>
            <w:hideMark/>
          </w:tcPr>
          <w:p w14:paraId="0A14E33C" w14:textId="77777777" w:rsidR="00B86BF1" w:rsidRPr="00A743C9" w:rsidRDefault="00B86BF1" w:rsidP="000376C7">
            <w:pPr>
              <w:spacing w:after="0"/>
              <w:rPr>
                <w:rFonts w:eastAsia="Times New Roman" w:cs="Calibri"/>
                <w:sz w:val="16"/>
                <w:szCs w:val="16"/>
              </w:rPr>
            </w:pPr>
            <w:r w:rsidRPr="00A743C9">
              <w:rPr>
                <w:rFonts w:eastAsia="Times New Roman" w:cs="Calibri"/>
                <w:sz w:val="16"/>
                <w:szCs w:val="16"/>
              </w:rPr>
              <w:t>Portugal</w:t>
            </w:r>
          </w:p>
        </w:tc>
        <w:tc>
          <w:tcPr>
            <w:tcW w:w="1213" w:type="dxa"/>
            <w:tcBorders>
              <w:left w:val="single" w:sz="4" w:space="0" w:color="auto"/>
              <w:bottom w:val="nil"/>
            </w:tcBorders>
            <w:noWrap/>
            <w:hideMark/>
          </w:tcPr>
          <w:p w14:paraId="5E5E316A"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w:t>
            </w:r>
          </w:p>
        </w:tc>
        <w:tc>
          <w:tcPr>
            <w:tcW w:w="1441" w:type="dxa"/>
            <w:tcBorders>
              <w:bottom w:val="nil"/>
            </w:tcBorders>
            <w:noWrap/>
            <w:hideMark/>
          </w:tcPr>
          <w:p w14:paraId="5E9A8752"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3</w:t>
            </w:r>
          </w:p>
        </w:tc>
        <w:tc>
          <w:tcPr>
            <w:tcW w:w="1185" w:type="dxa"/>
            <w:tcBorders>
              <w:bottom w:val="nil"/>
            </w:tcBorders>
            <w:noWrap/>
            <w:hideMark/>
          </w:tcPr>
          <w:p w14:paraId="6946507E"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w:t>
            </w:r>
          </w:p>
        </w:tc>
        <w:tc>
          <w:tcPr>
            <w:tcW w:w="1419" w:type="dxa"/>
            <w:tcBorders>
              <w:bottom w:val="nil"/>
              <w:right w:val="single" w:sz="4" w:space="0" w:color="auto"/>
            </w:tcBorders>
            <w:noWrap/>
            <w:hideMark/>
          </w:tcPr>
          <w:p w14:paraId="498AEDB4"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0</w:t>
            </w:r>
          </w:p>
        </w:tc>
        <w:tc>
          <w:tcPr>
            <w:tcW w:w="1213" w:type="dxa"/>
            <w:tcBorders>
              <w:left w:val="single" w:sz="4" w:space="0" w:color="auto"/>
              <w:bottom w:val="nil"/>
            </w:tcBorders>
            <w:noWrap/>
            <w:hideMark/>
          </w:tcPr>
          <w:p w14:paraId="71CDFCDC" w14:textId="77777777" w:rsidR="00B86BF1" w:rsidRPr="00A743C9" w:rsidRDefault="00B86BF1" w:rsidP="000376C7">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8</w:t>
            </w:r>
          </w:p>
        </w:tc>
        <w:tc>
          <w:tcPr>
            <w:tcW w:w="1213" w:type="dxa"/>
            <w:tcBorders>
              <w:bottom w:val="nil"/>
            </w:tcBorders>
            <w:noWrap/>
            <w:hideMark/>
          </w:tcPr>
          <w:p w14:paraId="066A8866" w14:textId="77777777" w:rsidR="00B86BF1" w:rsidRPr="00A743C9" w:rsidRDefault="00B86BF1" w:rsidP="000376C7">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28</w:t>
            </w:r>
          </w:p>
        </w:tc>
        <w:tc>
          <w:tcPr>
            <w:tcW w:w="1213" w:type="dxa"/>
            <w:tcBorders>
              <w:bottom w:val="nil"/>
            </w:tcBorders>
            <w:noWrap/>
            <w:hideMark/>
          </w:tcPr>
          <w:p w14:paraId="3FFF69ED" w14:textId="77777777" w:rsidR="00B86BF1" w:rsidRPr="00A743C9" w:rsidRDefault="00B86BF1" w:rsidP="000376C7">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w:t>
            </w:r>
          </w:p>
        </w:tc>
        <w:tc>
          <w:tcPr>
            <w:tcW w:w="1213" w:type="dxa"/>
            <w:tcBorders>
              <w:bottom w:val="nil"/>
            </w:tcBorders>
            <w:noWrap/>
            <w:hideMark/>
          </w:tcPr>
          <w:p w14:paraId="448F7DC4" w14:textId="77777777" w:rsidR="00B86BF1" w:rsidRPr="00A743C9" w:rsidRDefault="00B86BF1" w:rsidP="000376C7">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w:t>
            </w:r>
          </w:p>
        </w:tc>
        <w:tc>
          <w:tcPr>
            <w:tcW w:w="1086" w:type="dxa"/>
            <w:tcBorders>
              <w:bottom w:val="nil"/>
            </w:tcBorders>
            <w:noWrap/>
            <w:hideMark/>
          </w:tcPr>
          <w:p w14:paraId="4FD8ABC8" w14:textId="77777777" w:rsidR="00B86BF1" w:rsidRPr="00A743C9" w:rsidRDefault="00B86BF1" w:rsidP="000376C7">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10</w:t>
            </w:r>
          </w:p>
        </w:tc>
        <w:tc>
          <w:tcPr>
            <w:tcW w:w="1220" w:type="dxa"/>
            <w:tcBorders>
              <w:bottom w:val="nil"/>
              <w:right w:val="single" w:sz="4" w:space="0" w:color="auto"/>
            </w:tcBorders>
            <w:noWrap/>
            <w:hideMark/>
          </w:tcPr>
          <w:p w14:paraId="464300DB" w14:textId="77777777" w:rsidR="00B86BF1" w:rsidRPr="00A743C9" w:rsidRDefault="00B86BF1" w:rsidP="000376C7">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6</w:t>
            </w:r>
          </w:p>
        </w:tc>
      </w:tr>
      <w:tr w:rsidR="00B86BF1" w:rsidRPr="00A743C9" w14:paraId="0512D2D5" w14:textId="77777777" w:rsidTr="000376C7">
        <w:trPr>
          <w:trHeight w:val="299"/>
        </w:trPr>
        <w:tc>
          <w:tcPr>
            <w:cnfStyle w:val="001000000000" w:firstRow="0" w:lastRow="0" w:firstColumn="1" w:lastColumn="0" w:oddVBand="0" w:evenVBand="0" w:oddHBand="0" w:evenHBand="0" w:firstRowFirstColumn="0" w:firstRowLastColumn="0" w:lastRowFirstColumn="0" w:lastRowLastColumn="0"/>
            <w:tcW w:w="1893" w:type="dxa"/>
            <w:tcBorders>
              <w:left w:val="single" w:sz="4" w:space="0" w:color="auto"/>
              <w:bottom w:val="nil"/>
              <w:right w:val="single" w:sz="4" w:space="0" w:color="auto"/>
            </w:tcBorders>
            <w:noWrap/>
            <w:hideMark/>
          </w:tcPr>
          <w:p w14:paraId="63D2B82C" w14:textId="77777777" w:rsidR="00B86BF1" w:rsidRPr="00A743C9" w:rsidRDefault="00B86BF1" w:rsidP="000376C7">
            <w:pPr>
              <w:spacing w:after="0"/>
              <w:rPr>
                <w:rFonts w:eastAsia="Times New Roman" w:cs="Calibri"/>
                <w:sz w:val="16"/>
                <w:szCs w:val="16"/>
              </w:rPr>
            </w:pPr>
            <w:r w:rsidRPr="00A743C9">
              <w:rPr>
                <w:rFonts w:eastAsia="Times New Roman" w:cs="Calibri"/>
                <w:sz w:val="16"/>
                <w:szCs w:val="16"/>
              </w:rPr>
              <w:t>Republic of Cyprus</w:t>
            </w:r>
          </w:p>
        </w:tc>
        <w:tc>
          <w:tcPr>
            <w:tcW w:w="1213" w:type="dxa"/>
            <w:tcBorders>
              <w:left w:val="single" w:sz="4" w:space="0" w:color="auto"/>
              <w:bottom w:val="nil"/>
            </w:tcBorders>
            <w:noWrap/>
            <w:hideMark/>
          </w:tcPr>
          <w:p w14:paraId="25F064A6"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3</w:t>
            </w:r>
          </w:p>
        </w:tc>
        <w:tc>
          <w:tcPr>
            <w:tcW w:w="1441" w:type="dxa"/>
            <w:tcBorders>
              <w:bottom w:val="nil"/>
            </w:tcBorders>
            <w:noWrap/>
            <w:hideMark/>
          </w:tcPr>
          <w:p w14:paraId="12520707"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6</w:t>
            </w:r>
          </w:p>
        </w:tc>
        <w:tc>
          <w:tcPr>
            <w:tcW w:w="1185" w:type="dxa"/>
            <w:tcBorders>
              <w:bottom w:val="nil"/>
            </w:tcBorders>
            <w:noWrap/>
            <w:hideMark/>
          </w:tcPr>
          <w:p w14:paraId="6FE45F66"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w:t>
            </w:r>
          </w:p>
        </w:tc>
        <w:tc>
          <w:tcPr>
            <w:tcW w:w="1419" w:type="dxa"/>
            <w:tcBorders>
              <w:bottom w:val="nil"/>
              <w:right w:val="single" w:sz="4" w:space="0" w:color="auto"/>
            </w:tcBorders>
            <w:noWrap/>
            <w:hideMark/>
          </w:tcPr>
          <w:p w14:paraId="272CAD50"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w:t>
            </w:r>
          </w:p>
        </w:tc>
        <w:tc>
          <w:tcPr>
            <w:tcW w:w="1213" w:type="dxa"/>
            <w:tcBorders>
              <w:left w:val="single" w:sz="4" w:space="0" w:color="auto"/>
              <w:bottom w:val="nil"/>
            </w:tcBorders>
            <w:noWrap/>
            <w:hideMark/>
          </w:tcPr>
          <w:p w14:paraId="7801A735" w14:textId="77777777" w:rsidR="00B86BF1" w:rsidRPr="00A743C9" w:rsidRDefault="00B86BF1" w:rsidP="000376C7">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21</w:t>
            </w:r>
          </w:p>
        </w:tc>
        <w:tc>
          <w:tcPr>
            <w:tcW w:w="1213" w:type="dxa"/>
            <w:tcBorders>
              <w:bottom w:val="nil"/>
            </w:tcBorders>
            <w:noWrap/>
            <w:hideMark/>
          </w:tcPr>
          <w:p w14:paraId="72789197" w14:textId="77777777" w:rsidR="00B86BF1" w:rsidRPr="00A743C9" w:rsidRDefault="00B86BF1" w:rsidP="000376C7">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47</w:t>
            </w:r>
          </w:p>
        </w:tc>
        <w:tc>
          <w:tcPr>
            <w:tcW w:w="1213" w:type="dxa"/>
            <w:tcBorders>
              <w:bottom w:val="nil"/>
            </w:tcBorders>
            <w:noWrap/>
            <w:hideMark/>
          </w:tcPr>
          <w:p w14:paraId="16763915" w14:textId="77777777" w:rsidR="00B86BF1" w:rsidRPr="00A743C9" w:rsidRDefault="00B86BF1" w:rsidP="000376C7">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24</w:t>
            </w:r>
          </w:p>
        </w:tc>
        <w:tc>
          <w:tcPr>
            <w:tcW w:w="1213" w:type="dxa"/>
            <w:tcBorders>
              <w:bottom w:val="nil"/>
            </w:tcBorders>
            <w:noWrap/>
            <w:hideMark/>
          </w:tcPr>
          <w:p w14:paraId="50788B68" w14:textId="77777777" w:rsidR="00B86BF1" w:rsidRPr="00A743C9" w:rsidRDefault="00B86BF1" w:rsidP="000376C7">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6</w:t>
            </w:r>
          </w:p>
        </w:tc>
        <w:tc>
          <w:tcPr>
            <w:tcW w:w="1086" w:type="dxa"/>
            <w:tcBorders>
              <w:bottom w:val="nil"/>
            </w:tcBorders>
            <w:noWrap/>
            <w:hideMark/>
          </w:tcPr>
          <w:p w14:paraId="3B88F823" w14:textId="77777777" w:rsidR="00B86BF1" w:rsidRPr="00A743C9" w:rsidRDefault="00B86BF1" w:rsidP="000376C7">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30</w:t>
            </w:r>
          </w:p>
        </w:tc>
        <w:tc>
          <w:tcPr>
            <w:tcW w:w="1220" w:type="dxa"/>
            <w:tcBorders>
              <w:bottom w:val="nil"/>
              <w:right w:val="single" w:sz="4" w:space="0" w:color="auto"/>
            </w:tcBorders>
            <w:noWrap/>
            <w:hideMark/>
          </w:tcPr>
          <w:p w14:paraId="10A42B03" w14:textId="77777777" w:rsidR="00B86BF1" w:rsidRPr="00A743C9" w:rsidRDefault="00B86BF1" w:rsidP="000376C7">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12</w:t>
            </w:r>
          </w:p>
        </w:tc>
      </w:tr>
      <w:tr w:rsidR="00B86BF1" w:rsidRPr="00A743C9" w14:paraId="3F4FA757" w14:textId="77777777" w:rsidTr="000376C7">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893" w:type="dxa"/>
            <w:tcBorders>
              <w:left w:val="single" w:sz="4" w:space="0" w:color="auto"/>
              <w:bottom w:val="nil"/>
              <w:right w:val="single" w:sz="4" w:space="0" w:color="auto"/>
            </w:tcBorders>
            <w:noWrap/>
            <w:hideMark/>
          </w:tcPr>
          <w:p w14:paraId="3E2EE675" w14:textId="77777777" w:rsidR="00B86BF1" w:rsidRPr="00A743C9" w:rsidRDefault="00B86BF1" w:rsidP="000376C7">
            <w:pPr>
              <w:spacing w:after="0"/>
              <w:rPr>
                <w:rFonts w:eastAsia="Times New Roman" w:cs="Calibri"/>
                <w:sz w:val="16"/>
                <w:szCs w:val="16"/>
              </w:rPr>
            </w:pPr>
            <w:r w:rsidRPr="00A743C9">
              <w:rPr>
                <w:rFonts w:eastAsia="Times New Roman" w:cs="Calibri"/>
                <w:sz w:val="16"/>
                <w:szCs w:val="16"/>
              </w:rPr>
              <w:t>Romania</w:t>
            </w:r>
          </w:p>
        </w:tc>
        <w:tc>
          <w:tcPr>
            <w:tcW w:w="1213" w:type="dxa"/>
            <w:tcBorders>
              <w:left w:val="single" w:sz="4" w:space="0" w:color="auto"/>
              <w:bottom w:val="nil"/>
            </w:tcBorders>
            <w:noWrap/>
            <w:hideMark/>
          </w:tcPr>
          <w:p w14:paraId="284BEF5F"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0</w:t>
            </w:r>
          </w:p>
        </w:tc>
        <w:tc>
          <w:tcPr>
            <w:tcW w:w="1441" w:type="dxa"/>
            <w:tcBorders>
              <w:bottom w:val="nil"/>
            </w:tcBorders>
            <w:noWrap/>
            <w:hideMark/>
          </w:tcPr>
          <w:p w14:paraId="042AD353"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w:t>
            </w:r>
          </w:p>
        </w:tc>
        <w:tc>
          <w:tcPr>
            <w:tcW w:w="1185" w:type="dxa"/>
            <w:tcBorders>
              <w:bottom w:val="nil"/>
            </w:tcBorders>
            <w:noWrap/>
            <w:hideMark/>
          </w:tcPr>
          <w:p w14:paraId="79F9D963"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w:t>
            </w:r>
          </w:p>
        </w:tc>
        <w:tc>
          <w:tcPr>
            <w:tcW w:w="1419" w:type="dxa"/>
            <w:tcBorders>
              <w:bottom w:val="nil"/>
              <w:right w:val="single" w:sz="4" w:space="0" w:color="auto"/>
            </w:tcBorders>
            <w:noWrap/>
            <w:hideMark/>
          </w:tcPr>
          <w:p w14:paraId="01159AB0"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0</w:t>
            </w:r>
          </w:p>
        </w:tc>
        <w:tc>
          <w:tcPr>
            <w:tcW w:w="1213" w:type="dxa"/>
            <w:tcBorders>
              <w:left w:val="single" w:sz="4" w:space="0" w:color="auto"/>
              <w:bottom w:val="nil"/>
            </w:tcBorders>
            <w:noWrap/>
            <w:hideMark/>
          </w:tcPr>
          <w:p w14:paraId="34DBFED2" w14:textId="77777777" w:rsidR="00B86BF1" w:rsidRPr="00A743C9" w:rsidRDefault="00B86BF1" w:rsidP="000376C7">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9</w:t>
            </w:r>
          </w:p>
        </w:tc>
        <w:tc>
          <w:tcPr>
            <w:tcW w:w="1213" w:type="dxa"/>
            <w:tcBorders>
              <w:bottom w:val="nil"/>
            </w:tcBorders>
            <w:noWrap/>
            <w:hideMark/>
          </w:tcPr>
          <w:p w14:paraId="76CB908F" w14:textId="77777777" w:rsidR="00B86BF1" w:rsidRPr="00A743C9" w:rsidRDefault="00B86BF1" w:rsidP="000376C7">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25</w:t>
            </w:r>
          </w:p>
        </w:tc>
        <w:tc>
          <w:tcPr>
            <w:tcW w:w="1213" w:type="dxa"/>
            <w:tcBorders>
              <w:bottom w:val="nil"/>
            </w:tcBorders>
            <w:noWrap/>
            <w:hideMark/>
          </w:tcPr>
          <w:p w14:paraId="7A75B438" w14:textId="77777777" w:rsidR="00B86BF1" w:rsidRPr="00A743C9" w:rsidRDefault="00B86BF1" w:rsidP="000376C7">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3</w:t>
            </w:r>
          </w:p>
        </w:tc>
        <w:tc>
          <w:tcPr>
            <w:tcW w:w="1213" w:type="dxa"/>
            <w:tcBorders>
              <w:bottom w:val="nil"/>
            </w:tcBorders>
            <w:noWrap/>
            <w:hideMark/>
          </w:tcPr>
          <w:p w14:paraId="108FD117" w14:textId="77777777" w:rsidR="00B86BF1" w:rsidRPr="00A743C9" w:rsidRDefault="00B86BF1" w:rsidP="000376C7">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3</w:t>
            </w:r>
          </w:p>
        </w:tc>
        <w:tc>
          <w:tcPr>
            <w:tcW w:w="1086" w:type="dxa"/>
            <w:tcBorders>
              <w:bottom w:val="nil"/>
            </w:tcBorders>
            <w:noWrap/>
            <w:hideMark/>
          </w:tcPr>
          <w:p w14:paraId="785525DC" w14:textId="77777777" w:rsidR="00B86BF1" w:rsidRPr="00A743C9" w:rsidRDefault="00B86BF1" w:rsidP="000376C7">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14</w:t>
            </w:r>
          </w:p>
        </w:tc>
        <w:tc>
          <w:tcPr>
            <w:tcW w:w="1220" w:type="dxa"/>
            <w:tcBorders>
              <w:bottom w:val="nil"/>
              <w:right w:val="single" w:sz="4" w:space="0" w:color="auto"/>
            </w:tcBorders>
            <w:noWrap/>
            <w:hideMark/>
          </w:tcPr>
          <w:p w14:paraId="759A6633" w14:textId="77777777" w:rsidR="00B86BF1" w:rsidRPr="00A743C9" w:rsidRDefault="00B86BF1" w:rsidP="000376C7">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6</w:t>
            </w:r>
          </w:p>
        </w:tc>
      </w:tr>
      <w:tr w:rsidR="00B86BF1" w:rsidRPr="00A743C9" w14:paraId="7EEE325E" w14:textId="77777777" w:rsidTr="000376C7">
        <w:trPr>
          <w:trHeight w:val="299"/>
        </w:trPr>
        <w:tc>
          <w:tcPr>
            <w:cnfStyle w:val="001000000000" w:firstRow="0" w:lastRow="0" w:firstColumn="1" w:lastColumn="0" w:oddVBand="0" w:evenVBand="0" w:oddHBand="0" w:evenHBand="0" w:firstRowFirstColumn="0" w:firstRowLastColumn="0" w:lastRowFirstColumn="0" w:lastRowLastColumn="0"/>
            <w:tcW w:w="1893" w:type="dxa"/>
            <w:tcBorders>
              <w:left w:val="single" w:sz="4" w:space="0" w:color="auto"/>
              <w:bottom w:val="nil"/>
              <w:right w:val="single" w:sz="4" w:space="0" w:color="auto"/>
            </w:tcBorders>
            <w:noWrap/>
            <w:hideMark/>
          </w:tcPr>
          <w:p w14:paraId="6DD39556" w14:textId="77777777" w:rsidR="00B86BF1" w:rsidRPr="00A743C9" w:rsidRDefault="00B86BF1" w:rsidP="000376C7">
            <w:pPr>
              <w:spacing w:after="0"/>
              <w:rPr>
                <w:rFonts w:eastAsia="Times New Roman" w:cs="Calibri"/>
                <w:sz w:val="16"/>
                <w:szCs w:val="16"/>
              </w:rPr>
            </w:pPr>
            <w:r w:rsidRPr="00A743C9">
              <w:rPr>
                <w:rFonts w:eastAsia="Times New Roman" w:cs="Calibri"/>
                <w:sz w:val="16"/>
                <w:szCs w:val="16"/>
              </w:rPr>
              <w:t>Slovakia</w:t>
            </w:r>
          </w:p>
        </w:tc>
        <w:tc>
          <w:tcPr>
            <w:tcW w:w="1213" w:type="dxa"/>
            <w:tcBorders>
              <w:left w:val="single" w:sz="4" w:space="0" w:color="auto"/>
              <w:bottom w:val="nil"/>
            </w:tcBorders>
            <w:noWrap/>
            <w:hideMark/>
          </w:tcPr>
          <w:p w14:paraId="6914F130"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0</w:t>
            </w:r>
          </w:p>
        </w:tc>
        <w:tc>
          <w:tcPr>
            <w:tcW w:w="1441" w:type="dxa"/>
            <w:tcBorders>
              <w:bottom w:val="nil"/>
            </w:tcBorders>
            <w:noWrap/>
            <w:hideMark/>
          </w:tcPr>
          <w:p w14:paraId="63759C78"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w:t>
            </w:r>
          </w:p>
        </w:tc>
        <w:tc>
          <w:tcPr>
            <w:tcW w:w="1185" w:type="dxa"/>
            <w:tcBorders>
              <w:bottom w:val="nil"/>
            </w:tcBorders>
            <w:noWrap/>
            <w:hideMark/>
          </w:tcPr>
          <w:p w14:paraId="3200A639"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0</w:t>
            </w:r>
          </w:p>
        </w:tc>
        <w:tc>
          <w:tcPr>
            <w:tcW w:w="1419" w:type="dxa"/>
            <w:tcBorders>
              <w:bottom w:val="nil"/>
              <w:right w:val="single" w:sz="4" w:space="0" w:color="auto"/>
            </w:tcBorders>
            <w:noWrap/>
            <w:hideMark/>
          </w:tcPr>
          <w:p w14:paraId="5DF5B17F"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0</w:t>
            </w:r>
          </w:p>
        </w:tc>
        <w:tc>
          <w:tcPr>
            <w:tcW w:w="1213" w:type="dxa"/>
            <w:tcBorders>
              <w:left w:val="single" w:sz="4" w:space="0" w:color="auto"/>
              <w:bottom w:val="nil"/>
            </w:tcBorders>
            <w:noWrap/>
            <w:hideMark/>
          </w:tcPr>
          <w:p w14:paraId="35A73858" w14:textId="77777777" w:rsidR="00B86BF1" w:rsidRPr="00A743C9" w:rsidRDefault="00B86BF1" w:rsidP="000376C7">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10</w:t>
            </w:r>
          </w:p>
        </w:tc>
        <w:tc>
          <w:tcPr>
            <w:tcW w:w="1213" w:type="dxa"/>
            <w:tcBorders>
              <w:bottom w:val="nil"/>
            </w:tcBorders>
            <w:noWrap/>
            <w:hideMark/>
          </w:tcPr>
          <w:p w14:paraId="6B294E53" w14:textId="77777777" w:rsidR="00B86BF1" w:rsidRPr="00A743C9" w:rsidRDefault="00B86BF1" w:rsidP="000376C7">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27</w:t>
            </w:r>
          </w:p>
        </w:tc>
        <w:tc>
          <w:tcPr>
            <w:tcW w:w="1213" w:type="dxa"/>
            <w:tcBorders>
              <w:bottom w:val="nil"/>
            </w:tcBorders>
            <w:noWrap/>
            <w:hideMark/>
          </w:tcPr>
          <w:p w14:paraId="2AAEB57F" w14:textId="77777777" w:rsidR="00B86BF1" w:rsidRPr="00A743C9" w:rsidRDefault="00B86BF1" w:rsidP="000376C7">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11</w:t>
            </w:r>
          </w:p>
        </w:tc>
        <w:tc>
          <w:tcPr>
            <w:tcW w:w="1213" w:type="dxa"/>
            <w:tcBorders>
              <w:bottom w:val="nil"/>
            </w:tcBorders>
            <w:noWrap/>
            <w:hideMark/>
          </w:tcPr>
          <w:p w14:paraId="0B759FFB" w14:textId="77777777" w:rsidR="00B86BF1" w:rsidRPr="00A743C9" w:rsidRDefault="00B86BF1" w:rsidP="000376C7">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w:t>
            </w:r>
          </w:p>
        </w:tc>
        <w:tc>
          <w:tcPr>
            <w:tcW w:w="1086" w:type="dxa"/>
            <w:tcBorders>
              <w:bottom w:val="nil"/>
            </w:tcBorders>
            <w:noWrap/>
            <w:hideMark/>
          </w:tcPr>
          <w:p w14:paraId="3A8727AA" w14:textId="77777777" w:rsidR="00B86BF1" w:rsidRPr="00A743C9" w:rsidRDefault="00B86BF1" w:rsidP="000376C7">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15</w:t>
            </w:r>
          </w:p>
        </w:tc>
        <w:tc>
          <w:tcPr>
            <w:tcW w:w="1220" w:type="dxa"/>
            <w:tcBorders>
              <w:bottom w:val="nil"/>
              <w:right w:val="single" w:sz="4" w:space="0" w:color="auto"/>
            </w:tcBorders>
            <w:noWrap/>
            <w:hideMark/>
          </w:tcPr>
          <w:p w14:paraId="6E098989" w14:textId="77777777" w:rsidR="00B86BF1" w:rsidRPr="00A743C9" w:rsidRDefault="00B86BF1" w:rsidP="000376C7">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5</w:t>
            </w:r>
          </w:p>
        </w:tc>
      </w:tr>
      <w:tr w:rsidR="00B86BF1" w:rsidRPr="00A743C9" w14:paraId="310A9787" w14:textId="77777777" w:rsidTr="000376C7">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893" w:type="dxa"/>
            <w:tcBorders>
              <w:left w:val="single" w:sz="4" w:space="0" w:color="auto"/>
              <w:bottom w:val="nil"/>
              <w:right w:val="single" w:sz="4" w:space="0" w:color="auto"/>
            </w:tcBorders>
            <w:noWrap/>
            <w:hideMark/>
          </w:tcPr>
          <w:p w14:paraId="130F4C0B" w14:textId="77777777" w:rsidR="00B86BF1" w:rsidRPr="00A743C9" w:rsidRDefault="00B86BF1" w:rsidP="000376C7">
            <w:pPr>
              <w:spacing w:after="0"/>
              <w:rPr>
                <w:rFonts w:eastAsia="Times New Roman" w:cs="Calibri"/>
                <w:sz w:val="16"/>
                <w:szCs w:val="16"/>
              </w:rPr>
            </w:pPr>
            <w:r w:rsidRPr="00A743C9">
              <w:rPr>
                <w:rFonts w:eastAsia="Times New Roman" w:cs="Calibri"/>
                <w:sz w:val="16"/>
                <w:szCs w:val="16"/>
              </w:rPr>
              <w:t>Slovenia</w:t>
            </w:r>
          </w:p>
        </w:tc>
        <w:tc>
          <w:tcPr>
            <w:tcW w:w="1213" w:type="dxa"/>
            <w:tcBorders>
              <w:left w:val="single" w:sz="4" w:space="0" w:color="auto"/>
              <w:bottom w:val="nil"/>
            </w:tcBorders>
            <w:noWrap/>
            <w:hideMark/>
          </w:tcPr>
          <w:p w14:paraId="4CE4FA44"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w:t>
            </w:r>
          </w:p>
        </w:tc>
        <w:tc>
          <w:tcPr>
            <w:tcW w:w="1441" w:type="dxa"/>
            <w:tcBorders>
              <w:bottom w:val="nil"/>
            </w:tcBorders>
            <w:noWrap/>
            <w:hideMark/>
          </w:tcPr>
          <w:p w14:paraId="0761EC5B"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w:t>
            </w:r>
          </w:p>
        </w:tc>
        <w:tc>
          <w:tcPr>
            <w:tcW w:w="1185" w:type="dxa"/>
            <w:tcBorders>
              <w:bottom w:val="nil"/>
            </w:tcBorders>
            <w:noWrap/>
            <w:hideMark/>
          </w:tcPr>
          <w:p w14:paraId="52B516E1"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w:t>
            </w:r>
          </w:p>
        </w:tc>
        <w:tc>
          <w:tcPr>
            <w:tcW w:w="1419" w:type="dxa"/>
            <w:tcBorders>
              <w:bottom w:val="nil"/>
              <w:right w:val="single" w:sz="4" w:space="0" w:color="auto"/>
            </w:tcBorders>
            <w:noWrap/>
            <w:hideMark/>
          </w:tcPr>
          <w:p w14:paraId="083B9BF2"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0</w:t>
            </w:r>
          </w:p>
        </w:tc>
        <w:tc>
          <w:tcPr>
            <w:tcW w:w="1213" w:type="dxa"/>
            <w:tcBorders>
              <w:left w:val="single" w:sz="4" w:space="0" w:color="auto"/>
              <w:bottom w:val="nil"/>
            </w:tcBorders>
            <w:noWrap/>
            <w:hideMark/>
          </w:tcPr>
          <w:p w14:paraId="71DA3D19" w14:textId="77777777" w:rsidR="00B86BF1" w:rsidRPr="00A743C9" w:rsidRDefault="00B86BF1" w:rsidP="000376C7">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11</w:t>
            </w:r>
          </w:p>
        </w:tc>
        <w:tc>
          <w:tcPr>
            <w:tcW w:w="1213" w:type="dxa"/>
            <w:tcBorders>
              <w:bottom w:val="nil"/>
            </w:tcBorders>
            <w:noWrap/>
            <w:hideMark/>
          </w:tcPr>
          <w:p w14:paraId="5C66CC09" w14:textId="77777777" w:rsidR="00B86BF1" w:rsidRPr="00A743C9" w:rsidRDefault="00B86BF1" w:rsidP="000376C7">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27</w:t>
            </w:r>
          </w:p>
        </w:tc>
        <w:tc>
          <w:tcPr>
            <w:tcW w:w="1213" w:type="dxa"/>
            <w:tcBorders>
              <w:bottom w:val="nil"/>
            </w:tcBorders>
            <w:noWrap/>
            <w:hideMark/>
          </w:tcPr>
          <w:p w14:paraId="6EAE5B18" w14:textId="77777777" w:rsidR="00B86BF1" w:rsidRPr="00A743C9" w:rsidRDefault="00B86BF1" w:rsidP="000376C7">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9</w:t>
            </w:r>
          </w:p>
        </w:tc>
        <w:tc>
          <w:tcPr>
            <w:tcW w:w="1213" w:type="dxa"/>
            <w:tcBorders>
              <w:bottom w:val="nil"/>
            </w:tcBorders>
            <w:noWrap/>
            <w:hideMark/>
          </w:tcPr>
          <w:p w14:paraId="31E9A227" w14:textId="77777777" w:rsidR="00B86BF1" w:rsidRPr="00A743C9" w:rsidRDefault="00B86BF1" w:rsidP="000376C7">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3</w:t>
            </w:r>
          </w:p>
        </w:tc>
        <w:tc>
          <w:tcPr>
            <w:tcW w:w="1086" w:type="dxa"/>
            <w:tcBorders>
              <w:bottom w:val="nil"/>
            </w:tcBorders>
            <w:noWrap/>
            <w:hideMark/>
          </w:tcPr>
          <w:p w14:paraId="6AFE8483" w14:textId="77777777" w:rsidR="00B86BF1" w:rsidRPr="00A743C9" w:rsidRDefault="00B86BF1" w:rsidP="000376C7">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14</w:t>
            </w:r>
          </w:p>
        </w:tc>
        <w:tc>
          <w:tcPr>
            <w:tcW w:w="1220" w:type="dxa"/>
            <w:tcBorders>
              <w:bottom w:val="nil"/>
              <w:right w:val="single" w:sz="4" w:space="0" w:color="auto"/>
            </w:tcBorders>
            <w:noWrap/>
            <w:hideMark/>
          </w:tcPr>
          <w:p w14:paraId="412E8755" w14:textId="77777777" w:rsidR="00B86BF1" w:rsidRPr="00A743C9" w:rsidRDefault="00B86BF1" w:rsidP="000376C7">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7</w:t>
            </w:r>
          </w:p>
        </w:tc>
      </w:tr>
      <w:tr w:rsidR="00B86BF1" w:rsidRPr="00A743C9" w14:paraId="03F35A23" w14:textId="77777777" w:rsidTr="000376C7">
        <w:trPr>
          <w:trHeight w:val="299"/>
        </w:trPr>
        <w:tc>
          <w:tcPr>
            <w:cnfStyle w:val="001000000000" w:firstRow="0" w:lastRow="0" w:firstColumn="1" w:lastColumn="0" w:oddVBand="0" w:evenVBand="0" w:oddHBand="0" w:evenHBand="0" w:firstRowFirstColumn="0" w:firstRowLastColumn="0" w:lastRowFirstColumn="0" w:lastRowLastColumn="0"/>
            <w:tcW w:w="1893" w:type="dxa"/>
            <w:tcBorders>
              <w:left w:val="single" w:sz="4" w:space="0" w:color="auto"/>
              <w:bottom w:val="nil"/>
              <w:right w:val="single" w:sz="4" w:space="0" w:color="auto"/>
            </w:tcBorders>
            <w:noWrap/>
            <w:hideMark/>
          </w:tcPr>
          <w:p w14:paraId="7E63F31A" w14:textId="77777777" w:rsidR="00B86BF1" w:rsidRPr="00A743C9" w:rsidRDefault="00B86BF1" w:rsidP="000376C7">
            <w:pPr>
              <w:spacing w:after="0"/>
              <w:rPr>
                <w:rFonts w:eastAsia="Times New Roman" w:cs="Calibri"/>
                <w:sz w:val="16"/>
                <w:szCs w:val="16"/>
              </w:rPr>
            </w:pPr>
            <w:r w:rsidRPr="00A743C9">
              <w:rPr>
                <w:rFonts w:eastAsia="Times New Roman" w:cs="Calibri"/>
                <w:sz w:val="16"/>
                <w:szCs w:val="16"/>
              </w:rPr>
              <w:t>Spain</w:t>
            </w:r>
          </w:p>
        </w:tc>
        <w:tc>
          <w:tcPr>
            <w:tcW w:w="1213" w:type="dxa"/>
            <w:tcBorders>
              <w:left w:val="single" w:sz="4" w:space="0" w:color="auto"/>
              <w:bottom w:val="nil"/>
            </w:tcBorders>
            <w:noWrap/>
            <w:hideMark/>
          </w:tcPr>
          <w:p w14:paraId="5B721D36"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w:t>
            </w:r>
          </w:p>
        </w:tc>
        <w:tc>
          <w:tcPr>
            <w:tcW w:w="1441" w:type="dxa"/>
            <w:tcBorders>
              <w:bottom w:val="nil"/>
            </w:tcBorders>
            <w:noWrap/>
            <w:hideMark/>
          </w:tcPr>
          <w:p w14:paraId="43D788B1"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w:t>
            </w:r>
          </w:p>
        </w:tc>
        <w:tc>
          <w:tcPr>
            <w:tcW w:w="1185" w:type="dxa"/>
            <w:tcBorders>
              <w:bottom w:val="nil"/>
            </w:tcBorders>
            <w:noWrap/>
            <w:hideMark/>
          </w:tcPr>
          <w:p w14:paraId="3EA3D39B"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0</w:t>
            </w:r>
          </w:p>
        </w:tc>
        <w:tc>
          <w:tcPr>
            <w:tcW w:w="1419" w:type="dxa"/>
            <w:tcBorders>
              <w:bottom w:val="nil"/>
              <w:right w:val="single" w:sz="4" w:space="0" w:color="auto"/>
            </w:tcBorders>
            <w:noWrap/>
            <w:hideMark/>
          </w:tcPr>
          <w:p w14:paraId="2DF9AAF7"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0</w:t>
            </w:r>
          </w:p>
        </w:tc>
        <w:tc>
          <w:tcPr>
            <w:tcW w:w="1213" w:type="dxa"/>
            <w:tcBorders>
              <w:left w:val="single" w:sz="4" w:space="0" w:color="auto"/>
              <w:bottom w:val="nil"/>
            </w:tcBorders>
            <w:noWrap/>
            <w:hideMark/>
          </w:tcPr>
          <w:p w14:paraId="5E208E69" w14:textId="77777777" w:rsidR="00B86BF1" w:rsidRPr="00A743C9" w:rsidRDefault="00B86BF1" w:rsidP="000376C7">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12</w:t>
            </w:r>
          </w:p>
        </w:tc>
        <w:tc>
          <w:tcPr>
            <w:tcW w:w="1213" w:type="dxa"/>
            <w:tcBorders>
              <w:bottom w:val="nil"/>
            </w:tcBorders>
            <w:noWrap/>
            <w:hideMark/>
          </w:tcPr>
          <w:p w14:paraId="22043354" w14:textId="77777777" w:rsidR="00B86BF1" w:rsidRPr="00A743C9" w:rsidRDefault="00B86BF1" w:rsidP="000376C7">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32</w:t>
            </w:r>
          </w:p>
        </w:tc>
        <w:tc>
          <w:tcPr>
            <w:tcW w:w="1213" w:type="dxa"/>
            <w:tcBorders>
              <w:bottom w:val="nil"/>
            </w:tcBorders>
            <w:noWrap/>
            <w:hideMark/>
          </w:tcPr>
          <w:p w14:paraId="1631E78C" w14:textId="77777777" w:rsidR="00B86BF1" w:rsidRPr="00A743C9" w:rsidRDefault="00B86BF1" w:rsidP="000376C7">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8</w:t>
            </w:r>
          </w:p>
        </w:tc>
        <w:tc>
          <w:tcPr>
            <w:tcW w:w="1213" w:type="dxa"/>
            <w:tcBorders>
              <w:bottom w:val="nil"/>
            </w:tcBorders>
            <w:noWrap/>
            <w:hideMark/>
          </w:tcPr>
          <w:p w14:paraId="138CAB05" w14:textId="77777777" w:rsidR="00B86BF1" w:rsidRPr="00A743C9" w:rsidRDefault="00B86BF1" w:rsidP="000376C7">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w:t>
            </w:r>
          </w:p>
        </w:tc>
        <w:tc>
          <w:tcPr>
            <w:tcW w:w="1086" w:type="dxa"/>
            <w:tcBorders>
              <w:bottom w:val="nil"/>
            </w:tcBorders>
            <w:noWrap/>
            <w:hideMark/>
          </w:tcPr>
          <w:p w14:paraId="1689AB65" w14:textId="77777777" w:rsidR="00B86BF1" w:rsidRPr="00A743C9" w:rsidRDefault="00B86BF1" w:rsidP="000376C7">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13</w:t>
            </w:r>
          </w:p>
        </w:tc>
        <w:tc>
          <w:tcPr>
            <w:tcW w:w="1220" w:type="dxa"/>
            <w:tcBorders>
              <w:bottom w:val="nil"/>
              <w:right w:val="single" w:sz="4" w:space="0" w:color="auto"/>
            </w:tcBorders>
            <w:noWrap/>
            <w:hideMark/>
          </w:tcPr>
          <w:p w14:paraId="3A810D98" w14:textId="77777777" w:rsidR="00B86BF1" w:rsidRPr="00A743C9" w:rsidRDefault="00B86BF1" w:rsidP="000376C7">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10</w:t>
            </w:r>
          </w:p>
        </w:tc>
      </w:tr>
      <w:tr w:rsidR="00B86BF1" w:rsidRPr="00A743C9" w14:paraId="68CA6767" w14:textId="77777777" w:rsidTr="000376C7">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893" w:type="dxa"/>
            <w:tcBorders>
              <w:left w:val="single" w:sz="4" w:space="0" w:color="auto"/>
              <w:bottom w:val="nil"/>
              <w:right w:val="single" w:sz="4" w:space="0" w:color="auto"/>
            </w:tcBorders>
            <w:noWrap/>
            <w:hideMark/>
          </w:tcPr>
          <w:p w14:paraId="29D5A2FE" w14:textId="77777777" w:rsidR="00B86BF1" w:rsidRPr="00A743C9" w:rsidRDefault="00B86BF1" w:rsidP="000376C7">
            <w:pPr>
              <w:spacing w:after="0"/>
              <w:rPr>
                <w:rFonts w:eastAsia="Times New Roman" w:cs="Calibri"/>
                <w:sz w:val="16"/>
                <w:szCs w:val="16"/>
              </w:rPr>
            </w:pPr>
            <w:r w:rsidRPr="00A743C9">
              <w:rPr>
                <w:rFonts w:eastAsia="Times New Roman" w:cs="Calibri"/>
                <w:sz w:val="16"/>
                <w:szCs w:val="16"/>
              </w:rPr>
              <w:lastRenderedPageBreak/>
              <w:t>Sweden</w:t>
            </w:r>
          </w:p>
        </w:tc>
        <w:tc>
          <w:tcPr>
            <w:tcW w:w="1213" w:type="dxa"/>
            <w:tcBorders>
              <w:left w:val="single" w:sz="4" w:space="0" w:color="auto"/>
              <w:bottom w:val="nil"/>
            </w:tcBorders>
            <w:noWrap/>
            <w:hideMark/>
          </w:tcPr>
          <w:p w14:paraId="03DABF8C"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0</w:t>
            </w:r>
          </w:p>
        </w:tc>
        <w:tc>
          <w:tcPr>
            <w:tcW w:w="1441" w:type="dxa"/>
            <w:tcBorders>
              <w:bottom w:val="nil"/>
            </w:tcBorders>
            <w:noWrap/>
            <w:hideMark/>
          </w:tcPr>
          <w:p w14:paraId="79F30618"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0</w:t>
            </w:r>
          </w:p>
        </w:tc>
        <w:tc>
          <w:tcPr>
            <w:tcW w:w="1185" w:type="dxa"/>
            <w:tcBorders>
              <w:bottom w:val="nil"/>
            </w:tcBorders>
            <w:noWrap/>
            <w:hideMark/>
          </w:tcPr>
          <w:p w14:paraId="7B3DB54F"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w:t>
            </w:r>
          </w:p>
        </w:tc>
        <w:tc>
          <w:tcPr>
            <w:tcW w:w="1419" w:type="dxa"/>
            <w:tcBorders>
              <w:bottom w:val="nil"/>
              <w:right w:val="single" w:sz="4" w:space="0" w:color="auto"/>
            </w:tcBorders>
            <w:noWrap/>
            <w:hideMark/>
          </w:tcPr>
          <w:p w14:paraId="09619BCD"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0</w:t>
            </w:r>
          </w:p>
        </w:tc>
        <w:tc>
          <w:tcPr>
            <w:tcW w:w="1213" w:type="dxa"/>
            <w:tcBorders>
              <w:left w:val="single" w:sz="4" w:space="0" w:color="auto"/>
              <w:bottom w:val="nil"/>
            </w:tcBorders>
            <w:noWrap/>
            <w:hideMark/>
          </w:tcPr>
          <w:p w14:paraId="00A2C3F2" w14:textId="77777777" w:rsidR="00B86BF1" w:rsidRPr="00A743C9" w:rsidRDefault="00B86BF1" w:rsidP="000376C7">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10</w:t>
            </w:r>
          </w:p>
        </w:tc>
        <w:tc>
          <w:tcPr>
            <w:tcW w:w="1213" w:type="dxa"/>
            <w:tcBorders>
              <w:bottom w:val="nil"/>
            </w:tcBorders>
            <w:noWrap/>
            <w:hideMark/>
          </w:tcPr>
          <w:p w14:paraId="7F43BE6D" w14:textId="77777777" w:rsidR="00B86BF1" w:rsidRPr="00A743C9" w:rsidRDefault="00B86BF1" w:rsidP="000376C7">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40</w:t>
            </w:r>
          </w:p>
        </w:tc>
        <w:tc>
          <w:tcPr>
            <w:tcW w:w="1213" w:type="dxa"/>
            <w:tcBorders>
              <w:bottom w:val="nil"/>
            </w:tcBorders>
            <w:noWrap/>
            <w:hideMark/>
          </w:tcPr>
          <w:p w14:paraId="64ED5F8C" w14:textId="77777777" w:rsidR="00B86BF1" w:rsidRPr="00A743C9" w:rsidRDefault="00B86BF1" w:rsidP="000376C7">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13</w:t>
            </w:r>
          </w:p>
        </w:tc>
        <w:tc>
          <w:tcPr>
            <w:tcW w:w="1213" w:type="dxa"/>
            <w:tcBorders>
              <w:bottom w:val="nil"/>
            </w:tcBorders>
            <w:noWrap/>
            <w:hideMark/>
          </w:tcPr>
          <w:p w14:paraId="01775E4C" w14:textId="77777777" w:rsidR="00B86BF1" w:rsidRPr="00A743C9" w:rsidRDefault="00B86BF1" w:rsidP="000376C7">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3</w:t>
            </w:r>
          </w:p>
        </w:tc>
        <w:tc>
          <w:tcPr>
            <w:tcW w:w="1086" w:type="dxa"/>
            <w:tcBorders>
              <w:bottom w:val="nil"/>
            </w:tcBorders>
            <w:noWrap/>
            <w:hideMark/>
          </w:tcPr>
          <w:p w14:paraId="5B693451" w14:textId="77777777" w:rsidR="00B86BF1" w:rsidRPr="00A743C9" w:rsidRDefault="00B86BF1" w:rsidP="000376C7">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12</w:t>
            </w:r>
          </w:p>
        </w:tc>
        <w:tc>
          <w:tcPr>
            <w:tcW w:w="1220" w:type="dxa"/>
            <w:tcBorders>
              <w:bottom w:val="nil"/>
              <w:right w:val="single" w:sz="4" w:space="0" w:color="auto"/>
            </w:tcBorders>
            <w:noWrap/>
            <w:hideMark/>
          </w:tcPr>
          <w:p w14:paraId="6E08F5CB" w14:textId="77777777" w:rsidR="00B86BF1" w:rsidRPr="00A743C9" w:rsidRDefault="00B86BF1" w:rsidP="000376C7">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8</w:t>
            </w:r>
          </w:p>
        </w:tc>
      </w:tr>
      <w:tr w:rsidR="00B86BF1" w:rsidRPr="00A743C9" w14:paraId="11E5B15E" w14:textId="77777777" w:rsidTr="000376C7">
        <w:trPr>
          <w:trHeight w:val="299"/>
        </w:trPr>
        <w:tc>
          <w:tcPr>
            <w:cnfStyle w:val="001000000000" w:firstRow="0" w:lastRow="0" w:firstColumn="1" w:lastColumn="0" w:oddVBand="0" w:evenVBand="0" w:oddHBand="0" w:evenHBand="0" w:firstRowFirstColumn="0" w:firstRowLastColumn="0" w:lastRowFirstColumn="0" w:lastRowLastColumn="0"/>
            <w:tcW w:w="1893" w:type="dxa"/>
            <w:tcBorders>
              <w:left w:val="single" w:sz="4" w:space="0" w:color="auto"/>
              <w:bottom w:val="nil"/>
              <w:right w:val="single" w:sz="4" w:space="0" w:color="auto"/>
            </w:tcBorders>
            <w:noWrap/>
            <w:hideMark/>
          </w:tcPr>
          <w:p w14:paraId="37EDC198" w14:textId="77777777" w:rsidR="00B86BF1" w:rsidRPr="00A743C9" w:rsidRDefault="00B86BF1" w:rsidP="000376C7">
            <w:pPr>
              <w:spacing w:after="0"/>
              <w:rPr>
                <w:rFonts w:eastAsia="Times New Roman" w:cs="Calibri"/>
                <w:sz w:val="16"/>
                <w:szCs w:val="16"/>
              </w:rPr>
            </w:pPr>
            <w:r w:rsidRPr="00A743C9">
              <w:rPr>
                <w:rFonts w:eastAsia="Times New Roman" w:cs="Calibri"/>
                <w:sz w:val="16"/>
                <w:szCs w:val="16"/>
              </w:rPr>
              <w:t>The Netherlands</w:t>
            </w:r>
          </w:p>
        </w:tc>
        <w:tc>
          <w:tcPr>
            <w:tcW w:w="1213" w:type="dxa"/>
            <w:tcBorders>
              <w:left w:val="single" w:sz="4" w:space="0" w:color="auto"/>
              <w:bottom w:val="nil"/>
            </w:tcBorders>
            <w:noWrap/>
            <w:hideMark/>
          </w:tcPr>
          <w:p w14:paraId="3728C2A1"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w:t>
            </w:r>
          </w:p>
        </w:tc>
        <w:tc>
          <w:tcPr>
            <w:tcW w:w="1441" w:type="dxa"/>
            <w:tcBorders>
              <w:bottom w:val="nil"/>
            </w:tcBorders>
            <w:noWrap/>
            <w:hideMark/>
          </w:tcPr>
          <w:p w14:paraId="31BF6F3C"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5</w:t>
            </w:r>
          </w:p>
        </w:tc>
        <w:tc>
          <w:tcPr>
            <w:tcW w:w="1185" w:type="dxa"/>
            <w:tcBorders>
              <w:bottom w:val="nil"/>
            </w:tcBorders>
            <w:noWrap/>
            <w:hideMark/>
          </w:tcPr>
          <w:p w14:paraId="181B14FC"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w:t>
            </w:r>
          </w:p>
        </w:tc>
        <w:tc>
          <w:tcPr>
            <w:tcW w:w="1419" w:type="dxa"/>
            <w:tcBorders>
              <w:bottom w:val="nil"/>
              <w:right w:val="single" w:sz="4" w:space="0" w:color="auto"/>
            </w:tcBorders>
            <w:noWrap/>
            <w:hideMark/>
          </w:tcPr>
          <w:p w14:paraId="6200C643"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0</w:t>
            </w:r>
          </w:p>
        </w:tc>
        <w:tc>
          <w:tcPr>
            <w:tcW w:w="1213" w:type="dxa"/>
            <w:tcBorders>
              <w:left w:val="single" w:sz="4" w:space="0" w:color="auto"/>
              <w:bottom w:val="nil"/>
            </w:tcBorders>
            <w:noWrap/>
            <w:hideMark/>
          </w:tcPr>
          <w:p w14:paraId="52C2D374" w14:textId="77777777" w:rsidR="00B86BF1" w:rsidRPr="00A743C9" w:rsidRDefault="00B86BF1" w:rsidP="000376C7">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15</w:t>
            </w:r>
          </w:p>
        </w:tc>
        <w:tc>
          <w:tcPr>
            <w:tcW w:w="1213" w:type="dxa"/>
            <w:tcBorders>
              <w:bottom w:val="nil"/>
            </w:tcBorders>
            <w:noWrap/>
            <w:hideMark/>
          </w:tcPr>
          <w:p w14:paraId="1736DE30" w14:textId="77777777" w:rsidR="00B86BF1" w:rsidRPr="00A743C9" w:rsidRDefault="00B86BF1" w:rsidP="000376C7">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52</w:t>
            </w:r>
          </w:p>
        </w:tc>
        <w:tc>
          <w:tcPr>
            <w:tcW w:w="1213" w:type="dxa"/>
            <w:tcBorders>
              <w:bottom w:val="nil"/>
            </w:tcBorders>
            <w:noWrap/>
            <w:hideMark/>
          </w:tcPr>
          <w:p w14:paraId="2EF69122" w14:textId="77777777" w:rsidR="00B86BF1" w:rsidRPr="00A743C9" w:rsidRDefault="00B86BF1" w:rsidP="000376C7">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9</w:t>
            </w:r>
          </w:p>
        </w:tc>
        <w:tc>
          <w:tcPr>
            <w:tcW w:w="1213" w:type="dxa"/>
            <w:tcBorders>
              <w:bottom w:val="nil"/>
            </w:tcBorders>
            <w:noWrap/>
            <w:hideMark/>
          </w:tcPr>
          <w:p w14:paraId="442A99F2" w14:textId="77777777" w:rsidR="00B86BF1" w:rsidRPr="00A743C9" w:rsidRDefault="00B86BF1" w:rsidP="000376C7">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3</w:t>
            </w:r>
          </w:p>
        </w:tc>
        <w:tc>
          <w:tcPr>
            <w:tcW w:w="1086" w:type="dxa"/>
            <w:tcBorders>
              <w:bottom w:val="nil"/>
            </w:tcBorders>
            <w:noWrap/>
            <w:hideMark/>
          </w:tcPr>
          <w:p w14:paraId="3160B587" w14:textId="77777777" w:rsidR="00B86BF1" w:rsidRPr="00A743C9" w:rsidRDefault="00B86BF1" w:rsidP="000376C7">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15</w:t>
            </w:r>
          </w:p>
        </w:tc>
        <w:tc>
          <w:tcPr>
            <w:tcW w:w="1220" w:type="dxa"/>
            <w:tcBorders>
              <w:bottom w:val="nil"/>
              <w:right w:val="single" w:sz="4" w:space="0" w:color="auto"/>
            </w:tcBorders>
            <w:noWrap/>
            <w:hideMark/>
          </w:tcPr>
          <w:p w14:paraId="6620C300" w14:textId="77777777" w:rsidR="00B86BF1" w:rsidRPr="00A743C9" w:rsidRDefault="00B86BF1" w:rsidP="000376C7">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15</w:t>
            </w:r>
          </w:p>
        </w:tc>
      </w:tr>
      <w:tr w:rsidR="00B86BF1" w:rsidRPr="00A743C9" w14:paraId="50530011" w14:textId="77777777" w:rsidTr="000376C7">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893" w:type="dxa"/>
            <w:tcBorders>
              <w:left w:val="single" w:sz="4" w:space="0" w:color="auto"/>
              <w:bottom w:val="single" w:sz="4" w:space="0" w:color="auto"/>
              <w:right w:val="single" w:sz="4" w:space="0" w:color="auto"/>
            </w:tcBorders>
            <w:noWrap/>
          </w:tcPr>
          <w:p w14:paraId="33D218E0" w14:textId="77777777" w:rsidR="00B86BF1" w:rsidRPr="00A743C9" w:rsidRDefault="00B86BF1" w:rsidP="000376C7">
            <w:pPr>
              <w:spacing w:after="0"/>
              <w:rPr>
                <w:rFonts w:eastAsia="Times New Roman" w:cs="Calibri"/>
                <w:sz w:val="16"/>
                <w:szCs w:val="16"/>
              </w:rPr>
            </w:pPr>
            <w:r w:rsidRPr="00A743C9">
              <w:rPr>
                <w:rFonts w:eastAsia="Times New Roman" w:cs="Calibri"/>
                <w:sz w:val="16"/>
                <w:szCs w:val="16"/>
              </w:rPr>
              <w:t>United Kingdom</w:t>
            </w:r>
          </w:p>
        </w:tc>
        <w:tc>
          <w:tcPr>
            <w:tcW w:w="1213" w:type="dxa"/>
            <w:tcBorders>
              <w:left w:val="single" w:sz="4" w:space="0" w:color="auto"/>
              <w:bottom w:val="single" w:sz="4" w:space="0" w:color="auto"/>
            </w:tcBorders>
            <w:noWrap/>
          </w:tcPr>
          <w:p w14:paraId="1E1105EB"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5</w:t>
            </w:r>
          </w:p>
        </w:tc>
        <w:tc>
          <w:tcPr>
            <w:tcW w:w="1441" w:type="dxa"/>
            <w:tcBorders>
              <w:bottom w:val="single" w:sz="4" w:space="0" w:color="auto"/>
            </w:tcBorders>
            <w:noWrap/>
          </w:tcPr>
          <w:p w14:paraId="0E1CD939"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p>
        </w:tc>
        <w:tc>
          <w:tcPr>
            <w:tcW w:w="1185" w:type="dxa"/>
            <w:tcBorders>
              <w:bottom w:val="single" w:sz="4" w:space="0" w:color="auto"/>
            </w:tcBorders>
            <w:noWrap/>
          </w:tcPr>
          <w:p w14:paraId="03C612D0"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p>
        </w:tc>
        <w:tc>
          <w:tcPr>
            <w:tcW w:w="1419" w:type="dxa"/>
            <w:tcBorders>
              <w:bottom w:val="single" w:sz="4" w:space="0" w:color="auto"/>
              <w:right w:val="single" w:sz="4" w:space="0" w:color="auto"/>
            </w:tcBorders>
            <w:noWrap/>
          </w:tcPr>
          <w:p w14:paraId="60CC6464"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p>
        </w:tc>
        <w:tc>
          <w:tcPr>
            <w:tcW w:w="1213" w:type="dxa"/>
            <w:tcBorders>
              <w:left w:val="single" w:sz="4" w:space="0" w:color="auto"/>
              <w:bottom w:val="single" w:sz="4" w:space="0" w:color="auto"/>
            </w:tcBorders>
            <w:noWrap/>
          </w:tcPr>
          <w:p w14:paraId="1C343E53" w14:textId="77777777" w:rsidR="00B86BF1" w:rsidRPr="00A743C9" w:rsidRDefault="00B86BF1" w:rsidP="000376C7">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18</w:t>
            </w:r>
          </w:p>
        </w:tc>
        <w:tc>
          <w:tcPr>
            <w:tcW w:w="1213" w:type="dxa"/>
            <w:tcBorders>
              <w:bottom w:val="single" w:sz="4" w:space="0" w:color="auto"/>
            </w:tcBorders>
            <w:noWrap/>
          </w:tcPr>
          <w:p w14:paraId="1B47C282" w14:textId="77777777" w:rsidR="00B86BF1" w:rsidRPr="00A743C9" w:rsidRDefault="00B86BF1" w:rsidP="000376C7">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p>
        </w:tc>
        <w:tc>
          <w:tcPr>
            <w:tcW w:w="1213" w:type="dxa"/>
            <w:tcBorders>
              <w:bottom w:val="single" w:sz="4" w:space="0" w:color="auto"/>
            </w:tcBorders>
            <w:noWrap/>
          </w:tcPr>
          <w:p w14:paraId="2AFDAC3A" w14:textId="77777777" w:rsidR="00B86BF1" w:rsidRPr="00A743C9" w:rsidRDefault="00B86BF1" w:rsidP="000376C7">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p>
        </w:tc>
        <w:tc>
          <w:tcPr>
            <w:tcW w:w="1213" w:type="dxa"/>
            <w:tcBorders>
              <w:bottom w:val="single" w:sz="4" w:space="0" w:color="auto"/>
            </w:tcBorders>
            <w:noWrap/>
          </w:tcPr>
          <w:p w14:paraId="60C4ECFC" w14:textId="77777777" w:rsidR="00B86BF1" w:rsidRPr="00A743C9" w:rsidRDefault="00B86BF1" w:rsidP="000376C7">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p>
        </w:tc>
        <w:tc>
          <w:tcPr>
            <w:tcW w:w="1086" w:type="dxa"/>
            <w:tcBorders>
              <w:bottom w:val="single" w:sz="4" w:space="0" w:color="auto"/>
            </w:tcBorders>
            <w:noWrap/>
          </w:tcPr>
          <w:p w14:paraId="7DC4570F" w14:textId="77777777" w:rsidR="00B86BF1" w:rsidRPr="00A743C9" w:rsidRDefault="00B86BF1" w:rsidP="000376C7">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p>
        </w:tc>
        <w:tc>
          <w:tcPr>
            <w:tcW w:w="1220" w:type="dxa"/>
            <w:tcBorders>
              <w:bottom w:val="single" w:sz="4" w:space="0" w:color="auto"/>
              <w:right w:val="single" w:sz="4" w:space="0" w:color="auto"/>
            </w:tcBorders>
            <w:noWrap/>
          </w:tcPr>
          <w:p w14:paraId="704CE0A5" w14:textId="77777777" w:rsidR="00B86BF1" w:rsidRPr="00A743C9" w:rsidRDefault="00B86BF1" w:rsidP="000376C7">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p>
        </w:tc>
      </w:tr>
    </w:tbl>
    <w:p w14:paraId="1B367C32" w14:textId="77777777" w:rsidR="00B86BF1" w:rsidRDefault="00B86BF1" w:rsidP="00B86BF1">
      <w:pPr>
        <w:pStyle w:val="BodyText"/>
      </w:pPr>
    </w:p>
    <w:p w14:paraId="144752D9" w14:textId="77777777" w:rsidR="00B86BF1" w:rsidRDefault="00B86BF1" w:rsidP="00B86BF1">
      <w:pPr>
        <w:pStyle w:val="BodyText"/>
      </w:pPr>
    </w:p>
    <w:p w14:paraId="0F4209A7" w14:textId="77777777" w:rsidR="00B86BF1" w:rsidRDefault="00B86BF1" w:rsidP="00B86BF1">
      <w:pPr>
        <w:pStyle w:val="BodyText"/>
        <w:sectPr w:rsidR="00B86BF1" w:rsidSect="000376C7">
          <w:pgSz w:w="16838" w:h="11906" w:orient="landscape" w:code="9"/>
          <w:pgMar w:top="1134" w:right="1134" w:bottom="1134" w:left="1134" w:header="510" w:footer="624" w:gutter="0"/>
          <w:cols w:space="850"/>
          <w:docGrid w:linePitch="360"/>
        </w:sectPr>
      </w:pPr>
    </w:p>
    <w:p w14:paraId="737915B2" w14:textId="77777777" w:rsidR="00B86BF1" w:rsidRDefault="003D2CBD" w:rsidP="003D2CBD">
      <w:pPr>
        <w:pStyle w:val="Caption"/>
      </w:pPr>
      <w:bookmarkStart w:id="287" w:name="_Toc516579735"/>
      <w:bookmarkStart w:id="288" w:name="_Toc517707438"/>
      <w:r>
        <w:lastRenderedPageBreak/>
        <w:t xml:space="preserve">Table </w:t>
      </w:r>
      <w:r w:rsidR="0048064B">
        <w:rPr>
          <w:noProof/>
        </w:rPr>
        <w:fldChar w:fldCharType="begin"/>
      </w:r>
      <w:r w:rsidR="0048064B">
        <w:rPr>
          <w:noProof/>
        </w:rPr>
        <w:instrText xml:space="preserve"> SEQ Table \* ARABIC </w:instrText>
      </w:r>
      <w:r w:rsidR="0048064B">
        <w:rPr>
          <w:noProof/>
        </w:rPr>
        <w:fldChar w:fldCharType="separate"/>
      </w:r>
      <w:r w:rsidR="000C06DA">
        <w:rPr>
          <w:noProof/>
        </w:rPr>
        <w:t>29</w:t>
      </w:r>
      <w:r w:rsidR="0048064B">
        <w:rPr>
          <w:noProof/>
        </w:rPr>
        <w:fldChar w:fldCharType="end"/>
      </w:r>
      <w:r w:rsidR="00B86BF1">
        <w:t>: Tobacco smoking rates in countries where e</w:t>
      </w:r>
      <w:r w:rsidR="00B86BF1">
        <w:noBreakHyphen/>
        <w:t>cigarette use has been recently measured.</w:t>
      </w:r>
      <w:bookmarkEnd w:id="287"/>
      <w:bookmarkEnd w:id="288"/>
    </w:p>
    <w:tbl>
      <w:tblPr>
        <w:tblStyle w:val="TableCSIRO"/>
        <w:tblW w:w="9829" w:type="dxa"/>
        <w:tblLook w:val="04A0" w:firstRow="1" w:lastRow="0" w:firstColumn="1" w:lastColumn="0" w:noHBand="0" w:noVBand="1"/>
      </w:tblPr>
      <w:tblGrid>
        <w:gridCol w:w="3003"/>
        <w:gridCol w:w="1304"/>
        <w:gridCol w:w="1650"/>
        <w:gridCol w:w="1154"/>
        <w:gridCol w:w="1187"/>
        <w:gridCol w:w="1531"/>
      </w:tblGrid>
      <w:tr w:rsidR="00B86BF1" w:rsidRPr="00A743C9" w14:paraId="136E514E" w14:textId="77777777" w:rsidTr="000376C7">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003" w:type="dxa"/>
            <w:vMerge w:val="restart"/>
            <w:tcBorders>
              <w:top w:val="single" w:sz="4" w:space="0" w:color="auto"/>
              <w:left w:val="single" w:sz="4" w:space="0" w:color="auto"/>
              <w:right w:val="single" w:sz="4" w:space="0" w:color="auto"/>
            </w:tcBorders>
            <w:noWrap/>
            <w:hideMark/>
          </w:tcPr>
          <w:p w14:paraId="07423931" w14:textId="77777777" w:rsidR="00B86BF1" w:rsidRPr="00A743C9" w:rsidRDefault="00B86BF1" w:rsidP="000376C7">
            <w:pPr>
              <w:spacing w:after="0"/>
              <w:rPr>
                <w:rFonts w:ascii="Times New Roman" w:eastAsia="Times New Roman" w:hAnsi="Times New Roman"/>
                <w:color w:val="FFFFFF" w:themeColor="background1"/>
                <w:sz w:val="16"/>
                <w:szCs w:val="16"/>
              </w:rPr>
            </w:pPr>
            <w:bookmarkStart w:id="289" w:name="_Toc316641318"/>
            <w:bookmarkStart w:id="290" w:name="_Toc316641529"/>
            <w:bookmarkStart w:id="291" w:name="_Toc320199176"/>
            <w:r w:rsidRPr="00A743C9">
              <w:rPr>
                <w:rFonts w:eastAsia="Times New Roman" w:cs="Calibri"/>
                <w:color w:val="FFFFFF" w:themeColor="background1"/>
                <w:sz w:val="16"/>
                <w:szCs w:val="16"/>
              </w:rPr>
              <w:t>Country (source)</w:t>
            </w:r>
          </w:p>
        </w:tc>
        <w:tc>
          <w:tcPr>
            <w:tcW w:w="1304" w:type="dxa"/>
            <w:vMerge w:val="restart"/>
            <w:tcBorders>
              <w:top w:val="single" w:sz="4" w:space="0" w:color="auto"/>
              <w:left w:val="single" w:sz="4" w:space="0" w:color="auto"/>
              <w:right w:val="single" w:sz="4" w:space="0" w:color="auto"/>
            </w:tcBorders>
            <w:noWrap/>
            <w:hideMark/>
          </w:tcPr>
          <w:p w14:paraId="1298B318" w14:textId="77777777" w:rsidR="00B86BF1" w:rsidRPr="00A743C9" w:rsidRDefault="00B86BF1" w:rsidP="000376C7">
            <w:pPr>
              <w:spacing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FFFFFF" w:themeColor="background1"/>
                <w:sz w:val="16"/>
                <w:szCs w:val="16"/>
              </w:rPr>
            </w:pPr>
            <w:r w:rsidRPr="00A743C9">
              <w:rPr>
                <w:rFonts w:eastAsia="Times New Roman" w:cs="Calibri"/>
                <w:color w:val="FFFFFF" w:themeColor="background1"/>
                <w:sz w:val="16"/>
                <w:szCs w:val="16"/>
              </w:rPr>
              <w:t>Year</w:t>
            </w:r>
          </w:p>
        </w:tc>
        <w:tc>
          <w:tcPr>
            <w:tcW w:w="2804" w:type="dxa"/>
            <w:gridSpan w:val="2"/>
            <w:tcBorders>
              <w:top w:val="single" w:sz="4" w:space="0" w:color="auto"/>
              <w:left w:val="single" w:sz="4" w:space="0" w:color="auto"/>
              <w:right w:val="single" w:sz="4" w:space="0" w:color="auto"/>
            </w:tcBorders>
            <w:noWrap/>
            <w:hideMark/>
          </w:tcPr>
          <w:p w14:paraId="071B4C3B" w14:textId="77777777" w:rsidR="00B86BF1" w:rsidRPr="00A743C9" w:rsidRDefault="00B86BF1" w:rsidP="000376C7">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sz w:val="16"/>
                <w:szCs w:val="16"/>
              </w:rPr>
            </w:pPr>
            <w:r w:rsidRPr="00A743C9">
              <w:rPr>
                <w:rFonts w:eastAsia="Times New Roman" w:cs="Calibri"/>
                <w:color w:val="FFFFFF" w:themeColor="background1"/>
                <w:sz w:val="16"/>
                <w:szCs w:val="16"/>
              </w:rPr>
              <w:t>E</w:t>
            </w:r>
            <w:r w:rsidRPr="00A743C9">
              <w:rPr>
                <w:rFonts w:eastAsia="Times New Roman" w:cs="Calibri"/>
                <w:color w:val="FFFFFF" w:themeColor="background1"/>
                <w:sz w:val="16"/>
                <w:szCs w:val="16"/>
              </w:rPr>
              <w:noBreakHyphen/>
              <w:t>cigarette use</w:t>
            </w:r>
          </w:p>
        </w:tc>
        <w:tc>
          <w:tcPr>
            <w:tcW w:w="2718" w:type="dxa"/>
            <w:gridSpan w:val="2"/>
            <w:tcBorders>
              <w:top w:val="single" w:sz="4" w:space="0" w:color="auto"/>
              <w:left w:val="single" w:sz="4" w:space="0" w:color="auto"/>
              <w:right w:val="single" w:sz="4" w:space="0" w:color="auto"/>
            </w:tcBorders>
            <w:noWrap/>
            <w:hideMark/>
          </w:tcPr>
          <w:p w14:paraId="3D4822DD" w14:textId="77777777" w:rsidR="00B86BF1" w:rsidRPr="00A743C9" w:rsidRDefault="00B86BF1" w:rsidP="000376C7">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sz w:val="16"/>
                <w:szCs w:val="16"/>
              </w:rPr>
            </w:pPr>
            <w:r w:rsidRPr="00A743C9">
              <w:rPr>
                <w:rFonts w:eastAsia="Times New Roman" w:cs="Calibri"/>
                <w:color w:val="FFFFFF" w:themeColor="background1"/>
                <w:sz w:val="16"/>
                <w:szCs w:val="16"/>
              </w:rPr>
              <w:t>Tobacco smoking rate</w:t>
            </w:r>
          </w:p>
        </w:tc>
      </w:tr>
      <w:tr w:rsidR="00B86BF1" w:rsidRPr="00A743C9" w14:paraId="63F9F559" w14:textId="77777777" w:rsidTr="000376C7">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003" w:type="dxa"/>
            <w:vMerge/>
            <w:tcBorders>
              <w:left w:val="single" w:sz="4" w:space="0" w:color="auto"/>
              <w:bottom w:val="nil"/>
              <w:right w:val="single" w:sz="4" w:space="0" w:color="auto"/>
            </w:tcBorders>
            <w:noWrap/>
            <w:hideMark/>
          </w:tcPr>
          <w:p w14:paraId="0A31C8B9" w14:textId="77777777" w:rsidR="00B86BF1" w:rsidRPr="00A743C9" w:rsidRDefault="00B86BF1" w:rsidP="000376C7">
            <w:pPr>
              <w:spacing w:after="0"/>
              <w:rPr>
                <w:rFonts w:eastAsia="Times New Roman" w:cs="Calibri"/>
                <w:sz w:val="16"/>
                <w:szCs w:val="16"/>
              </w:rPr>
            </w:pPr>
          </w:p>
        </w:tc>
        <w:tc>
          <w:tcPr>
            <w:tcW w:w="1304" w:type="dxa"/>
            <w:vMerge/>
            <w:tcBorders>
              <w:left w:val="single" w:sz="4" w:space="0" w:color="auto"/>
              <w:bottom w:val="nil"/>
              <w:right w:val="single" w:sz="4" w:space="0" w:color="auto"/>
            </w:tcBorders>
            <w:shd w:val="clear" w:color="auto" w:fill="000000" w:themeFill="text1"/>
            <w:noWrap/>
            <w:hideMark/>
          </w:tcPr>
          <w:p w14:paraId="32EE1B34"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FFFFFF" w:themeColor="background1"/>
                <w:sz w:val="16"/>
                <w:szCs w:val="16"/>
              </w:rPr>
            </w:pPr>
          </w:p>
        </w:tc>
        <w:tc>
          <w:tcPr>
            <w:tcW w:w="1650" w:type="dxa"/>
            <w:tcBorders>
              <w:left w:val="single" w:sz="4" w:space="0" w:color="auto"/>
              <w:bottom w:val="nil"/>
            </w:tcBorders>
            <w:shd w:val="clear" w:color="auto" w:fill="000000" w:themeFill="text1"/>
            <w:noWrap/>
            <w:hideMark/>
          </w:tcPr>
          <w:p w14:paraId="739663FE"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FFFFFF" w:themeColor="background1"/>
                <w:sz w:val="16"/>
                <w:szCs w:val="16"/>
              </w:rPr>
            </w:pPr>
            <w:r w:rsidRPr="00A743C9">
              <w:rPr>
                <w:rFonts w:eastAsia="Times New Roman" w:cs="Calibri"/>
                <w:b/>
                <w:bCs/>
                <w:color w:val="FFFFFF" w:themeColor="background1"/>
                <w:sz w:val="16"/>
                <w:szCs w:val="16"/>
              </w:rPr>
              <w:t xml:space="preserve">Current use of </w:t>
            </w:r>
          </w:p>
          <w:p w14:paraId="6B86F9C3"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FFFFFF" w:themeColor="background1"/>
                <w:sz w:val="16"/>
                <w:szCs w:val="16"/>
              </w:rPr>
            </w:pPr>
            <w:r w:rsidRPr="00A743C9">
              <w:rPr>
                <w:rFonts w:eastAsia="Times New Roman" w:cs="Calibri"/>
                <w:b/>
                <w:bCs/>
                <w:color w:val="FFFFFF" w:themeColor="background1"/>
                <w:sz w:val="16"/>
                <w:szCs w:val="16"/>
              </w:rPr>
              <w:t>e</w:t>
            </w:r>
            <w:r w:rsidRPr="00A743C9">
              <w:rPr>
                <w:rFonts w:eastAsia="Times New Roman" w:cs="Calibri"/>
                <w:b/>
                <w:bCs/>
                <w:color w:val="FFFFFF" w:themeColor="background1"/>
                <w:sz w:val="16"/>
                <w:szCs w:val="16"/>
              </w:rPr>
              <w:noBreakHyphen/>
              <w:t>cigarettes</w:t>
            </w:r>
          </w:p>
        </w:tc>
        <w:tc>
          <w:tcPr>
            <w:tcW w:w="1154" w:type="dxa"/>
            <w:tcBorders>
              <w:bottom w:val="nil"/>
              <w:right w:val="single" w:sz="4" w:space="0" w:color="auto"/>
            </w:tcBorders>
            <w:shd w:val="clear" w:color="auto" w:fill="000000" w:themeFill="text1"/>
            <w:noWrap/>
            <w:hideMark/>
          </w:tcPr>
          <w:p w14:paraId="34289CA9"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FFFFFF" w:themeColor="background1"/>
                <w:sz w:val="16"/>
                <w:szCs w:val="16"/>
              </w:rPr>
            </w:pPr>
            <w:r w:rsidRPr="00A743C9">
              <w:rPr>
                <w:rFonts w:eastAsia="Times New Roman" w:cs="Calibri"/>
                <w:b/>
                <w:bCs/>
                <w:color w:val="FFFFFF" w:themeColor="background1"/>
                <w:sz w:val="16"/>
                <w:szCs w:val="16"/>
              </w:rPr>
              <w:t xml:space="preserve">Ever used </w:t>
            </w:r>
          </w:p>
          <w:p w14:paraId="150ECBC0"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FFFFFF" w:themeColor="background1"/>
                <w:sz w:val="16"/>
                <w:szCs w:val="16"/>
              </w:rPr>
            </w:pPr>
            <w:r w:rsidRPr="00A743C9">
              <w:rPr>
                <w:rFonts w:eastAsia="Times New Roman" w:cs="Calibri"/>
                <w:b/>
                <w:bCs/>
                <w:color w:val="FFFFFF" w:themeColor="background1"/>
                <w:sz w:val="16"/>
                <w:szCs w:val="16"/>
              </w:rPr>
              <w:t>e</w:t>
            </w:r>
            <w:r w:rsidRPr="00A743C9">
              <w:rPr>
                <w:rFonts w:eastAsia="Times New Roman" w:cs="Calibri"/>
                <w:b/>
                <w:bCs/>
                <w:color w:val="FFFFFF" w:themeColor="background1"/>
                <w:sz w:val="16"/>
                <w:szCs w:val="16"/>
              </w:rPr>
              <w:noBreakHyphen/>
              <w:t>cigarettes</w:t>
            </w:r>
          </w:p>
        </w:tc>
        <w:tc>
          <w:tcPr>
            <w:tcW w:w="1187" w:type="dxa"/>
            <w:tcBorders>
              <w:left w:val="single" w:sz="4" w:space="0" w:color="auto"/>
              <w:bottom w:val="nil"/>
            </w:tcBorders>
            <w:shd w:val="clear" w:color="auto" w:fill="000000" w:themeFill="text1"/>
            <w:noWrap/>
            <w:hideMark/>
          </w:tcPr>
          <w:p w14:paraId="73AB3BBF"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FFFFFF" w:themeColor="background1"/>
                <w:sz w:val="16"/>
                <w:szCs w:val="16"/>
              </w:rPr>
            </w:pPr>
            <w:r w:rsidRPr="00A743C9">
              <w:rPr>
                <w:rFonts w:eastAsia="Times New Roman" w:cs="Calibri"/>
                <w:b/>
                <w:bCs/>
                <w:color w:val="FFFFFF" w:themeColor="background1"/>
                <w:sz w:val="16"/>
                <w:szCs w:val="16"/>
              </w:rPr>
              <w:t>Male</w:t>
            </w:r>
          </w:p>
        </w:tc>
        <w:tc>
          <w:tcPr>
            <w:tcW w:w="1531" w:type="dxa"/>
            <w:tcBorders>
              <w:bottom w:val="nil"/>
              <w:right w:val="single" w:sz="4" w:space="0" w:color="auto"/>
            </w:tcBorders>
            <w:shd w:val="clear" w:color="auto" w:fill="000000" w:themeFill="text1"/>
            <w:noWrap/>
            <w:hideMark/>
          </w:tcPr>
          <w:p w14:paraId="0B1FF4AB"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FFFFFF" w:themeColor="background1"/>
                <w:sz w:val="16"/>
                <w:szCs w:val="16"/>
              </w:rPr>
            </w:pPr>
            <w:r w:rsidRPr="00A743C9">
              <w:rPr>
                <w:rFonts w:eastAsia="Times New Roman" w:cs="Calibri"/>
                <w:b/>
                <w:bCs/>
                <w:color w:val="FFFFFF" w:themeColor="background1"/>
                <w:sz w:val="16"/>
                <w:szCs w:val="16"/>
              </w:rPr>
              <w:t>Female</w:t>
            </w:r>
          </w:p>
        </w:tc>
      </w:tr>
      <w:tr w:rsidR="00B86BF1" w:rsidRPr="00A743C9" w14:paraId="20C9DA28" w14:textId="77777777" w:rsidTr="000376C7">
        <w:trPr>
          <w:trHeight w:val="287"/>
        </w:trPr>
        <w:tc>
          <w:tcPr>
            <w:cnfStyle w:val="001000000000" w:firstRow="0" w:lastRow="0" w:firstColumn="1" w:lastColumn="0" w:oddVBand="0" w:evenVBand="0" w:oddHBand="0" w:evenHBand="0" w:firstRowFirstColumn="0" w:firstRowLastColumn="0" w:lastRowFirstColumn="0" w:lastRowLastColumn="0"/>
            <w:tcW w:w="3003" w:type="dxa"/>
            <w:tcBorders>
              <w:left w:val="single" w:sz="4" w:space="0" w:color="auto"/>
              <w:bottom w:val="nil"/>
              <w:right w:val="single" w:sz="4" w:space="0" w:color="auto"/>
            </w:tcBorders>
            <w:noWrap/>
            <w:hideMark/>
          </w:tcPr>
          <w:p w14:paraId="07463E23" w14:textId="77777777" w:rsidR="00B86BF1" w:rsidRPr="00A743C9" w:rsidRDefault="00B86BF1" w:rsidP="000376C7">
            <w:pPr>
              <w:spacing w:after="0"/>
              <w:rPr>
                <w:rFonts w:eastAsia="Times New Roman" w:cs="Calibri"/>
                <w:sz w:val="16"/>
                <w:szCs w:val="16"/>
              </w:rPr>
            </w:pPr>
            <w:r w:rsidRPr="00A743C9">
              <w:rPr>
                <w:rFonts w:eastAsia="Times New Roman" w:cs="Calibri"/>
                <w:sz w:val="16"/>
                <w:szCs w:val="16"/>
              </w:rPr>
              <w:t xml:space="preserve">Australia (NSW) </w:t>
            </w:r>
            <w:r w:rsidRPr="00A743C9">
              <w:rPr>
                <w:rFonts w:eastAsia="Times New Roman" w:cs="Calibri"/>
                <w:sz w:val="16"/>
                <w:szCs w:val="16"/>
              </w:rPr>
              <w:fldChar w:fldCharType="begin"/>
            </w:r>
            <w:r w:rsidRPr="00A743C9">
              <w:rPr>
                <w:rFonts w:eastAsia="Times New Roman" w:cs="Calibri"/>
                <w:sz w:val="16"/>
                <w:szCs w:val="16"/>
              </w:rPr>
              <w:instrText xml:space="preserve"> ADDIN EN.CITE &lt;EndNote&gt;&lt;Cite&gt;&lt;Author&gt;Harrold&lt;/Author&gt;&lt;Year&gt;2015&lt;/Year&gt;&lt;RecNum&gt;410&lt;/RecNum&gt;&lt;DisplayText&gt;(Harrold, Maag et al. 2015)&lt;/DisplayText&gt;&lt;record&gt;&lt;rec-number&gt;410&lt;/rec-number&gt;&lt;foreign-keys&gt;&lt;key app="EN" db-id="9z05dz0praadfuee0zoxzedk9zfe5fxx50z5" timestamp="1521506819"&gt;410&lt;/key&gt;&lt;key app="ENWeb" db-id=""&gt;0&lt;/key&gt;&lt;/foreign-keys&gt;&lt;ref-type name="Journal Article"&gt;17&lt;/ref-type&gt;&lt;contributors&gt;&lt;authors&gt;&lt;author&gt;Harrold, T. C.&lt;/author&gt;&lt;author&gt;Maag, A. K.&lt;/author&gt;&lt;author&gt;Thackway, S.&lt;/author&gt;&lt;author&gt;Mitchell, J.&lt;/author&gt;&lt;author&gt;Taylor, L. K.&lt;/author&gt;&lt;/authors&gt;&lt;/contributors&gt;&lt;titles&gt;&lt;title&gt;Prevalence of e-cigarette users in New South Wales&lt;/title&gt;&lt;secondary-title&gt;Medical Journal of Australia&lt;/secondary-title&gt;&lt;/titles&gt;&lt;periodical&gt;&lt;full-title&gt;Medical Journal of Australia&lt;/full-title&gt;&lt;/periodical&gt;&lt;pages&gt;326-+&lt;/pages&gt;&lt;volume&gt;203&lt;/volume&gt;&lt;number&gt;8&lt;/number&gt;&lt;dates&gt;&lt;year&gt;2015&lt;/year&gt;&lt;pub-dates&gt;&lt;date&gt;Oct&lt;/date&gt;&lt;/pub-dates&gt;&lt;/dates&gt;&lt;isbn&gt;0025-729X&lt;/isbn&gt;&lt;accession-num&gt;WOS:000410621500018&lt;/accession-num&gt;&lt;urls&gt;&lt;related-urls&gt;&lt;url&gt;&amp;lt;Go to ISI&amp;gt;://WOS:000410621500018&lt;/url&gt;&lt;/related-urls&gt;&lt;/urls&gt;&lt;electronic-resource-num&gt;10.5694/mja15.00652&lt;/electronic-resource-num&gt;&lt;/record&gt;&lt;/Cite&gt;&lt;/EndNote&gt;</w:instrText>
            </w:r>
            <w:r w:rsidRPr="00A743C9">
              <w:rPr>
                <w:rFonts w:eastAsia="Times New Roman" w:cs="Calibri"/>
                <w:sz w:val="16"/>
                <w:szCs w:val="16"/>
              </w:rPr>
              <w:fldChar w:fldCharType="separate"/>
            </w:r>
            <w:r w:rsidRPr="00A743C9">
              <w:rPr>
                <w:rFonts w:eastAsia="Times New Roman" w:cs="Calibri"/>
                <w:noProof/>
                <w:sz w:val="16"/>
                <w:szCs w:val="16"/>
              </w:rPr>
              <w:t>(Harrold, Maag et al. 2015)</w:t>
            </w:r>
            <w:r w:rsidRPr="00A743C9">
              <w:rPr>
                <w:rFonts w:eastAsia="Times New Roman" w:cs="Calibri"/>
                <w:sz w:val="16"/>
                <w:szCs w:val="16"/>
              </w:rPr>
              <w:fldChar w:fldCharType="end"/>
            </w:r>
          </w:p>
        </w:tc>
        <w:tc>
          <w:tcPr>
            <w:tcW w:w="1304" w:type="dxa"/>
            <w:tcBorders>
              <w:left w:val="single" w:sz="4" w:space="0" w:color="auto"/>
              <w:bottom w:val="nil"/>
              <w:right w:val="single" w:sz="4" w:space="0" w:color="auto"/>
            </w:tcBorders>
            <w:noWrap/>
            <w:hideMark/>
          </w:tcPr>
          <w:p w14:paraId="2CCA8049"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2014</w:t>
            </w:r>
          </w:p>
        </w:tc>
        <w:tc>
          <w:tcPr>
            <w:tcW w:w="1650" w:type="dxa"/>
            <w:tcBorders>
              <w:left w:val="single" w:sz="4" w:space="0" w:color="auto"/>
              <w:bottom w:val="nil"/>
            </w:tcBorders>
            <w:noWrap/>
            <w:hideMark/>
          </w:tcPr>
          <w:p w14:paraId="6FA83381"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1.3</w:t>
            </w:r>
          </w:p>
        </w:tc>
        <w:tc>
          <w:tcPr>
            <w:tcW w:w="1154" w:type="dxa"/>
            <w:tcBorders>
              <w:bottom w:val="nil"/>
              <w:right w:val="single" w:sz="4" w:space="0" w:color="auto"/>
            </w:tcBorders>
            <w:noWrap/>
            <w:hideMark/>
          </w:tcPr>
          <w:p w14:paraId="22CCC48A"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8.4</w:t>
            </w:r>
          </w:p>
        </w:tc>
        <w:tc>
          <w:tcPr>
            <w:tcW w:w="1187" w:type="dxa"/>
            <w:tcBorders>
              <w:left w:val="single" w:sz="4" w:space="0" w:color="auto"/>
              <w:bottom w:val="nil"/>
            </w:tcBorders>
            <w:noWrap/>
            <w:hideMark/>
          </w:tcPr>
          <w:p w14:paraId="249CB288"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16.7</w:t>
            </w:r>
          </w:p>
        </w:tc>
        <w:tc>
          <w:tcPr>
            <w:tcW w:w="1531" w:type="dxa"/>
            <w:tcBorders>
              <w:bottom w:val="nil"/>
              <w:right w:val="single" w:sz="4" w:space="0" w:color="auto"/>
            </w:tcBorders>
            <w:noWrap/>
            <w:hideMark/>
          </w:tcPr>
          <w:p w14:paraId="2A79E16D"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13.1</w:t>
            </w:r>
          </w:p>
        </w:tc>
      </w:tr>
      <w:tr w:rsidR="00B86BF1" w:rsidRPr="00A743C9" w14:paraId="7E2728B9" w14:textId="77777777" w:rsidTr="000376C7">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003" w:type="dxa"/>
            <w:tcBorders>
              <w:left w:val="single" w:sz="4" w:space="0" w:color="auto"/>
              <w:bottom w:val="nil"/>
              <w:right w:val="single" w:sz="4" w:space="0" w:color="auto"/>
            </w:tcBorders>
            <w:noWrap/>
            <w:hideMark/>
          </w:tcPr>
          <w:p w14:paraId="7AC2F5E9" w14:textId="77777777" w:rsidR="00B86BF1" w:rsidRPr="00A743C9" w:rsidRDefault="00B86BF1" w:rsidP="00903735">
            <w:pPr>
              <w:spacing w:after="0"/>
              <w:rPr>
                <w:rFonts w:eastAsia="Times New Roman" w:cs="Calibri"/>
                <w:sz w:val="16"/>
                <w:szCs w:val="16"/>
              </w:rPr>
            </w:pPr>
            <w:r w:rsidRPr="00A743C9">
              <w:rPr>
                <w:rFonts w:eastAsia="Times New Roman" w:cs="Calibri"/>
                <w:sz w:val="16"/>
                <w:szCs w:val="16"/>
              </w:rPr>
              <w:t xml:space="preserve">Austria </w:t>
            </w:r>
            <w:r w:rsidRPr="00A743C9">
              <w:rPr>
                <w:rFonts w:eastAsia="Times New Roman" w:cs="Calibri"/>
                <w:sz w:val="16"/>
                <w:szCs w:val="16"/>
              </w:rPr>
              <w:fldChar w:fldCharType="begin"/>
            </w:r>
            <w:r w:rsidR="00903735">
              <w:rPr>
                <w:rFonts w:eastAsia="Times New Roman" w:cs="Calibri"/>
                <w:sz w:val="16"/>
                <w:szCs w:val="16"/>
              </w:rPr>
              <w:instrText xml:space="preserve"> ADDIN EN.CITE &lt;EndNote&gt;&lt;Cite&gt;&lt;Author&gt;European Commission&lt;/Author&gt;&lt;Year&gt;2017&lt;/Year&gt;&lt;RecNum&gt;13438&lt;/RecNum&gt;&lt;DisplayText&gt;(European Commission 2017)&lt;/DisplayText&gt;&lt;record&gt;&lt;rec-number&gt;13438&lt;/rec-number&gt;&lt;foreign-keys&gt;&lt;key app="EN" db-id="5xv5w5t2bdxtxfezx02xtxdft5rz5ptvvt29" timestamp="1527209032"&gt;13438&lt;/key&gt;&lt;/foreign-keys&gt;&lt;ref-type name="Web Page"&gt;12&lt;/ref-type&gt;&lt;contributors&gt;&lt;authors&gt;&lt;author&gt;European Commission,&lt;/author&gt;&lt;/authors&gt;&lt;/contributors&gt;&lt;titles&gt;&lt;title&gt;Attitudes of Europeans towards tobacco and electronic cigarettes&lt;/title&gt;&lt;/titles&gt;&lt;volume&gt;2018&lt;/volume&gt;&lt;number&gt;18.05.2018&lt;/number&gt;&lt;dates&gt;&lt;year&gt;2017&lt;/year&gt;&lt;/dates&gt;&lt;publisher&gt;European Commission&lt;/publisher&gt;&lt;urls&gt;&lt;related-urls&gt;&lt;url&gt;http://ec.europa.eu/commfrontoffice/publicopinion/index.cfm/Survey/getSurveyDetail/instruments/SPECIAL/yearFrom/2016/yearTo/2018/surveyKy/2146&lt;/url&gt;&lt;/related-urls&gt;&lt;/urls&gt;&lt;/record&gt;&lt;/Cite&gt;&lt;/EndNote&gt;</w:instrText>
            </w:r>
            <w:r w:rsidRPr="00A743C9">
              <w:rPr>
                <w:rFonts w:eastAsia="Times New Roman" w:cs="Calibri"/>
                <w:sz w:val="16"/>
                <w:szCs w:val="16"/>
              </w:rPr>
              <w:fldChar w:fldCharType="separate"/>
            </w:r>
            <w:r w:rsidRPr="00A743C9">
              <w:rPr>
                <w:rFonts w:eastAsia="Times New Roman" w:cs="Calibri"/>
                <w:noProof/>
                <w:sz w:val="16"/>
                <w:szCs w:val="16"/>
              </w:rPr>
              <w:t>(European Commission 2017)</w:t>
            </w:r>
            <w:r w:rsidRPr="00A743C9">
              <w:rPr>
                <w:rFonts w:eastAsia="Times New Roman" w:cs="Calibri"/>
                <w:sz w:val="16"/>
                <w:szCs w:val="16"/>
              </w:rPr>
              <w:fldChar w:fldCharType="end"/>
            </w:r>
          </w:p>
        </w:tc>
        <w:tc>
          <w:tcPr>
            <w:tcW w:w="1304" w:type="dxa"/>
            <w:tcBorders>
              <w:left w:val="single" w:sz="4" w:space="0" w:color="auto"/>
              <w:bottom w:val="nil"/>
              <w:right w:val="single" w:sz="4" w:space="0" w:color="auto"/>
            </w:tcBorders>
            <w:noWrap/>
            <w:hideMark/>
          </w:tcPr>
          <w:p w14:paraId="2460F37E"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2014</w:t>
            </w:r>
          </w:p>
        </w:tc>
        <w:tc>
          <w:tcPr>
            <w:tcW w:w="1650" w:type="dxa"/>
            <w:tcBorders>
              <w:left w:val="single" w:sz="4" w:space="0" w:color="auto"/>
              <w:bottom w:val="nil"/>
            </w:tcBorders>
            <w:noWrap/>
            <w:hideMark/>
          </w:tcPr>
          <w:p w14:paraId="3669E863"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3</w:t>
            </w:r>
          </w:p>
        </w:tc>
        <w:tc>
          <w:tcPr>
            <w:tcW w:w="1154" w:type="dxa"/>
            <w:tcBorders>
              <w:bottom w:val="nil"/>
              <w:right w:val="single" w:sz="4" w:space="0" w:color="auto"/>
            </w:tcBorders>
            <w:noWrap/>
            <w:hideMark/>
          </w:tcPr>
          <w:p w14:paraId="1804FFF9"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21</w:t>
            </w:r>
          </w:p>
        </w:tc>
        <w:tc>
          <w:tcPr>
            <w:tcW w:w="1187" w:type="dxa"/>
            <w:tcBorders>
              <w:left w:val="single" w:sz="4" w:space="0" w:color="auto"/>
              <w:bottom w:val="nil"/>
            </w:tcBorders>
            <w:noWrap/>
            <w:hideMark/>
          </w:tcPr>
          <w:p w14:paraId="12DCBD6A"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35.5</w:t>
            </w:r>
          </w:p>
        </w:tc>
        <w:tc>
          <w:tcPr>
            <w:tcW w:w="1531" w:type="dxa"/>
            <w:tcBorders>
              <w:bottom w:val="nil"/>
              <w:right w:val="single" w:sz="4" w:space="0" w:color="auto"/>
            </w:tcBorders>
            <w:noWrap/>
            <w:hideMark/>
          </w:tcPr>
          <w:p w14:paraId="395B49B3"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34.8</w:t>
            </w:r>
          </w:p>
        </w:tc>
      </w:tr>
      <w:tr w:rsidR="00B86BF1" w:rsidRPr="00A743C9" w14:paraId="03125E01" w14:textId="77777777" w:rsidTr="000376C7">
        <w:trPr>
          <w:trHeight w:val="287"/>
        </w:trPr>
        <w:tc>
          <w:tcPr>
            <w:cnfStyle w:val="001000000000" w:firstRow="0" w:lastRow="0" w:firstColumn="1" w:lastColumn="0" w:oddVBand="0" w:evenVBand="0" w:oddHBand="0" w:evenHBand="0" w:firstRowFirstColumn="0" w:firstRowLastColumn="0" w:lastRowFirstColumn="0" w:lastRowLastColumn="0"/>
            <w:tcW w:w="3003" w:type="dxa"/>
            <w:tcBorders>
              <w:left w:val="single" w:sz="4" w:space="0" w:color="auto"/>
              <w:bottom w:val="nil"/>
              <w:right w:val="single" w:sz="4" w:space="0" w:color="auto"/>
            </w:tcBorders>
            <w:noWrap/>
            <w:hideMark/>
          </w:tcPr>
          <w:p w14:paraId="3F523319" w14:textId="77777777" w:rsidR="00B86BF1" w:rsidRPr="00A743C9" w:rsidRDefault="00B86BF1" w:rsidP="00903735">
            <w:pPr>
              <w:spacing w:after="0"/>
              <w:rPr>
                <w:rFonts w:eastAsia="Times New Roman" w:cs="Calibri"/>
                <w:sz w:val="16"/>
                <w:szCs w:val="16"/>
              </w:rPr>
            </w:pPr>
            <w:r w:rsidRPr="00A743C9">
              <w:rPr>
                <w:rFonts w:eastAsia="Times New Roman" w:cs="Calibri"/>
                <w:sz w:val="16"/>
                <w:szCs w:val="16"/>
              </w:rPr>
              <w:t xml:space="preserve">Belgium </w:t>
            </w:r>
            <w:r w:rsidRPr="00A743C9">
              <w:rPr>
                <w:rFonts w:eastAsia="Times New Roman" w:cs="Calibri"/>
                <w:sz w:val="16"/>
                <w:szCs w:val="16"/>
              </w:rPr>
              <w:fldChar w:fldCharType="begin"/>
            </w:r>
            <w:r w:rsidR="00903735">
              <w:rPr>
                <w:rFonts w:eastAsia="Times New Roman" w:cs="Calibri"/>
                <w:sz w:val="16"/>
                <w:szCs w:val="16"/>
              </w:rPr>
              <w:instrText xml:space="preserve"> ADDIN EN.CITE &lt;EndNote&gt;&lt;Cite&gt;&lt;Author&gt;European Commission&lt;/Author&gt;&lt;Year&gt;2017&lt;/Year&gt;&lt;RecNum&gt;13438&lt;/RecNum&gt;&lt;DisplayText&gt;(European Commission 2017)&lt;/DisplayText&gt;&lt;record&gt;&lt;rec-number&gt;13438&lt;/rec-number&gt;&lt;foreign-keys&gt;&lt;key app="EN" db-id="5xv5w5t2bdxtxfezx02xtxdft5rz5ptvvt29" timestamp="1527209032"&gt;13438&lt;/key&gt;&lt;/foreign-keys&gt;&lt;ref-type name="Web Page"&gt;12&lt;/ref-type&gt;&lt;contributors&gt;&lt;authors&gt;&lt;author&gt;European Commission,&lt;/author&gt;&lt;/authors&gt;&lt;/contributors&gt;&lt;titles&gt;&lt;title&gt;Attitudes of Europeans towards tobacco and electronic cigarettes&lt;/title&gt;&lt;/titles&gt;&lt;volume&gt;2018&lt;/volume&gt;&lt;number&gt;18.05.2018&lt;/number&gt;&lt;dates&gt;&lt;year&gt;2017&lt;/year&gt;&lt;/dates&gt;&lt;publisher&gt;European Commission&lt;/publisher&gt;&lt;urls&gt;&lt;related-urls&gt;&lt;url&gt;http://ec.europa.eu/commfrontoffice/publicopinion/index.cfm/Survey/getSurveyDetail/instruments/SPECIAL/yearFrom/2016/yearTo/2018/surveyKy/2146&lt;/url&gt;&lt;/related-urls&gt;&lt;/urls&gt;&lt;/record&gt;&lt;/Cite&gt;&lt;/EndNote&gt;</w:instrText>
            </w:r>
            <w:r w:rsidRPr="00A743C9">
              <w:rPr>
                <w:rFonts w:eastAsia="Times New Roman" w:cs="Calibri"/>
                <w:sz w:val="16"/>
                <w:szCs w:val="16"/>
              </w:rPr>
              <w:fldChar w:fldCharType="separate"/>
            </w:r>
            <w:r w:rsidRPr="00A743C9">
              <w:rPr>
                <w:rFonts w:eastAsia="Times New Roman" w:cs="Calibri"/>
                <w:noProof/>
                <w:sz w:val="16"/>
                <w:szCs w:val="16"/>
              </w:rPr>
              <w:t>(European Commission 2017)</w:t>
            </w:r>
            <w:r w:rsidRPr="00A743C9">
              <w:rPr>
                <w:rFonts w:eastAsia="Times New Roman" w:cs="Calibri"/>
                <w:sz w:val="16"/>
                <w:szCs w:val="16"/>
              </w:rPr>
              <w:fldChar w:fldCharType="end"/>
            </w:r>
          </w:p>
        </w:tc>
        <w:tc>
          <w:tcPr>
            <w:tcW w:w="1304" w:type="dxa"/>
            <w:tcBorders>
              <w:left w:val="single" w:sz="4" w:space="0" w:color="auto"/>
              <w:bottom w:val="nil"/>
              <w:right w:val="single" w:sz="4" w:space="0" w:color="auto"/>
            </w:tcBorders>
            <w:noWrap/>
            <w:hideMark/>
          </w:tcPr>
          <w:p w14:paraId="4F7F2384"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2014</w:t>
            </w:r>
          </w:p>
        </w:tc>
        <w:tc>
          <w:tcPr>
            <w:tcW w:w="1650" w:type="dxa"/>
            <w:tcBorders>
              <w:left w:val="single" w:sz="4" w:space="0" w:color="auto"/>
              <w:bottom w:val="nil"/>
            </w:tcBorders>
            <w:noWrap/>
            <w:hideMark/>
          </w:tcPr>
          <w:p w14:paraId="5B826C32"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4</w:t>
            </w:r>
          </w:p>
        </w:tc>
        <w:tc>
          <w:tcPr>
            <w:tcW w:w="1154" w:type="dxa"/>
            <w:tcBorders>
              <w:bottom w:val="nil"/>
              <w:right w:val="single" w:sz="4" w:space="0" w:color="auto"/>
            </w:tcBorders>
            <w:noWrap/>
            <w:hideMark/>
          </w:tcPr>
          <w:p w14:paraId="357DB3EC"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16</w:t>
            </w:r>
          </w:p>
        </w:tc>
        <w:tc>
          <w:tcPr>
            <w:tcW w:w="1187" w:type="dxa"/>
            <w:tcBorders>
              <w:left w:val="single" w:sz="4" w:space="0" w:color="auto"/>
              <w:bottom w:val="nil"/>
            </w:tcBorders>
            <w:noWrap/>
            <w:hideMark/>
          </w:tcPr>
          <w:p w14:paraId="326C44F2"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26.5</w:t>
            </w:r>
          </w:p>
        </w:tc>
        <w:tc>
          <w:tcPr>
            <w:tcW w:w="1531" w:type="dxa"/>
            <w:tcBorders>
              <w:bottom w:val="nil"/>
              <w:right w:val="single" w:sz="4" w:space="0" w:color="auto"/>
            </w:tcBorders>
            <w:noWrap/>
            <w:hideMark/>
          </w:tcPr>
          <w:p w14:paraId="7E9DB414"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20</w:t>
            </w:r>
          </w:p>
        </w:tc>
      </w:tr>
      <w:tr w:rsidR="00B86BF1" w:rsidRPr="00A743C9" w14:paraId="46A4FD06" w14:textId="77777777" w:rsidTr="000376C7">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003" w:type="dxa"/>
            <w:tcBorders>
              <w:left w:val="single" w:sz="4" w:space="0" w:color="auto"/>
              <w:bottom w:val="nil"/>
              <w:right w:val="single" w:sz="4" w:space="0" w:color="auto"/>
            </w:tcBorders>
            <w:noWrap/>
            <w:hideMark/>
          </w:tcPr>
          <w:p w14:paraId="72ACEDDA" w14:textId="77777777" w:rsidR="00B86BF1" w:rsidRPr="00A743C9" w:rsidRDefault="00B86BF1" w:rsidP="00903735">
            <w:pPr>
              <w:spacing w:after="0"/>
              <w:rPr>
                <w:rFonts w:eastAsia="Times New Roman" w:cs="Calibri"/>
                <w:sz w:val="16"/>
                <w:szCs w:val="16"/>
              </w:rPr>
            </w:pPr>
            <w:r w:rsidRPr="00A743C9">
              <w:rPr>
                <w:rFonts w:eastAsia="Times New Roman" w:cs="Calibri"/>
                <w:sz w:val="16"/>
                <w:szCs w:val="16"/>
              </w:rPr>
              <w:t xml:space="preserve">Brazil </w:t>
            </w:r>
            <w:r w:rsidRPr="00A743C9">
              <w:rPr>
                <w:rFonts w:eastAsia="Times New Roman" w:cs="Calibri"/>
                <w:sz w:val="16"/>
                <w:szCs w:val="16"/>
              </w:rPr>
              <w:fldChar w:fldCharType="begin">
                <w:fldData xml:space="preserve">PEVuZE5vdGU+PENpdGU+PEF1dGhvcj5HcmF2ZWx5PC9BdXRob3I+PFllYXI+MjAxNDwvWWVhcj48
UmVjTnVtPjEzNDMzPC9SZWNOdW0+PERpc3BsYXlUZXh0PihHcmF2ZWx5LCBGb25nIGV0IGFsLiAy
MDE0KTwvRGlzcGxheVRleHQ+PHJlY29yZD48cmVjLW51bWJlcj4xMzQzMzwvcmVjLW51bWJlcj48
Zm9yZWlnbi1rZXlzPjxrZXkgYXBwPSJFTiIgZGItaWQ9IjV4djV3NXQyYmR4dHhmZXp4MDJ4dHhk
ZnQ1cno1cHR2dnQyOSIgdGltZXN0YW1wPSIxNTI3MjA4ODU1Ij4xMzQzMzwva2V5PjxrZXkgYXBw
PSJFTldlYiIgZGItaWQ9IiI+MDwva2V5PjwvZm9yZWlnbi1rZXlzPjxyZWYtdHlwZSBuYW1lPSJK
b3VybmFsIEFydGljbGUiPjE3PC9yZWYtdHlwZT48Y29udHJpYnV0b3JzPjxhdXRob3JzPjxhdXRo
b3I+R3JhdmVseSwgUy48L2F1dGhvcj48YXV0aG9yPkZvbmcsIEcuIFQuPC9hdXRob3I+PGF1dGhv
cj5DdW1taW5ncywgSy4gTS48L2F1dGhvcj48YXV0aG9yPllhbiwgTS48L2F1dGhvcj48YXV0aG9y
PlF1YWgsIEEuIEMuPC9hdXRob3I+PGF1dGhvcj5Cb3JsYW5kLCBSLjwvYXV0aG9yPjxhdXRob3I+
WW9uZywgSC4gSC48L2F1dGhvcj48YXV0aG9yPkhpdGNobWFuLCBTLiBDLjwvYXV0aG9yPjxhdXRo
b3I+TWNOZWlsbCwgQS48L2F1dGhvcj48YXV0aG9yPkhhbW1vbmQsIEQuPC9hdXRob3I+PGF1dGhv
cj5UaHJhc2hlciwgSi4gRi48L2F1dGhvcj48YXV0aG9yPldpbGxlbXNlbiwgTS4gQy48L2F1dGhv
cj48YXV0aG9yPlNlbywgSC4gRy48L2F1dGhvcj48YXV0aG9yPkppYW5nLCBZLjwvYXV0aG9yPjxh
dXRob3I+Q2F2YWxjYW50ZSwgVC48L2F1dGhvcj48YXV0aG9yPlBlcmV6LCBDLjwvYXV0aG9yPjxh
dXRob3I+T21hciwgTS48L2F1dGhvcj48YXV0aG9yPkh1bW1lbCwgSy48L2F1dGhvcj48L2F1dGhv
cnM+PC9jb250cmlidXRvcnM+PGF1dGgtYWRkcmVzcz5EZXBhcnRtZW50IG9mIFBzeWNob2xvZ3ks
IFVuaXZlcnNpdHkgb2YgV2F0ZXJsb28sIDIwMCBVbml2ZXJzaXR5IEF2ZW51ZSBXZXN0LCBXYXRl
cmxvbywgT250YXJpbywgTjJMIDNHMSwgQ2FuYWRhLiBzaGFubm9uLmdyYXZlbHlAdXdhdGVybG9v
LmNhLiYjeEQ7RGVwYXJ0bWVudCBvZiBQc3ljaG9sb2d5LCBVbml2ZXJzaXR5IG9mIFdhdGVybG9v
LCAyMDAgVW5pdmVyc2l0eSBBdmVudWUgV2VzdCwgV2F0ZXJsb28sIE9udGFyaW8sIE4yTCAzRzEs
IENhbmFkYS4gZ2ZvbmdAdXdhdGVybG9vLmNhLiYjeEQ7TWVkaWNhbCBVbml2ZXJzaXR5IG9mIFNv
dXRoIENhcm9saW5hLCAxNzEgQXNobGV5IEF2ZSwgQ2hhcmxlc3RvbiwgU0MgMjk0MjUsIFVTQS4g
Y3VtbWluZ2tAbXVzYy5lZHUuJiN4RDtEZXBhcnRtZW50IG9mIFBzeWNob2xvZ3ksIFVuaXZlcnNp
dHkgb2YgV2F0ZXJsb28sIDIwMCBVbml2ZXJzaXR5IEF2ZW51ZSBXZXN0LCBXYXRlcmxvbywgT250
YXJpbywgTjJMIDNHMSwgQ2FuYWRhLiBtNnlhbkB1d2F0ZXJsb28uY2EuJiN4RDtEZXBhcnRtZW50
IG9mIFBzeWNob2xvZ3ksIFVuaXZlcnNpdHkgb2YgV2F0ZXJsb28sIDIwMCBVbml2ZXJzaXR5IEF2
ZW51ZSBXZXN0LCBXYXRlcmxvbywgT250YXJpbywgTjJMIDNHMSwgQ2FuYWRhLiBhY2txdWFoQHV3
YXRlcmxvby5jYS4mI3hEO1RoZSBDYW5jZXIgQ291bmNpbCBWaWN0b3JpYSwgNjE1IFN0LiBLaWxk
YSBSb2FkLCBNZWxib3VybmUsIFZpY3RvcmlhIDMwMDQsIEF1c3RyYWxpYS4gUm9uLkJvcmxhbmRA
Y2FuY2VydmljLm9yZy5hdS4mI3hEO1RoZSBDYW5jZXIgQ291bmNpbCBWaWN0b3JpYSwgNjE1IFN0
LiBLaWxkYSBSb2FkLCBNZWxib3VybmUsIFZpY3RvcmlhIDMwMDQsIEF1c3RyYWxpYS4gSHVhLllv
bmdAY2FuY2VydmljLm9yZy5hdS4mI3hEO0tpbmcmYXBvcztzIENvbGxlZ2UgTG9uZG9uLCBTdHJh
bmQsIExvbmRvbiwgV0MyUiAyTFMsIFVLLiBzYXJhLmhpdGNobWFuQGtjbC5hYy51ay4mI3hEO0tp
bmcmYXBvcztzIENvbGxlZ2UgTG9uZG9uLCBTdHJhbmQsIExvbmRvbiwgV0MyUiAyTFMsIFVLLiBh
bm4ubWNuZWlsbEBrY2wuYWMudWsuJiN4RDtTY2hvb2wgb2YgUHVibGljIEhlYWx0aCBhbmQgSGVh
bHRoIFN5c3RlbXMsIFVuaXZlcnNpdHkgb2YgV2F0ZXJsb28sIDIwMCBVbml2ZXJzaXR5IEF2ZW51
ZSBXZXN0LCBXYXRlcmxvbywgT250YXJpbywgTjJMIDNHMSwgQ2FuYWRhLiBkaGFtbW9uZEB1d2F0
ZXJsb28uY2EuJiN4RDtBcm5vbGQgU2Nob29sIG9mIFB1YmxpYyBIZWFsdGgsIFVuaXZlcnNpdHkg
b2YgU291dGggQ2Fyb2xpbmEsIENvbG9tYmlhLCBTQyAyOTIwOCwgVVNBLiB0aHJhc2hlckBtYWls
Ym94LnNjLmVkdS4mI3hEO01hYXN0cmljaHQgVW5pdmVyc2l0eSAoQ0FQSFJJKSwgUC4gRGVieWVw
bGVpbiAxLCA2MjI5IEhBIE1hYXN0cmljaHQsIHRoZSBOZXRoZXJsYW5kcy4gbWFyYy53aWxsZW1z
ZW5AbWFhc3RyaWNodHVuaXZlcnNpdHkubmwuJiN4RDtEZXBhcnRtZW50IG9mIFBzeWNob2xvZ3ks
IFVuaXZlcnNpdHkgb2YgV2F0ZXJsb28sIDIwMCBVbml2ZXJzaXR5IEF2ZW51ZSBXZXN0LCBXYXRl
cmxvbywgT250YXJpbywgTjJMIDNHMSwgQ2FuYWRhLiBob25nd2FuQG5jYy5yZS5rci4mI3hEO0Rl
cGFydG1lbnQgb2YgUHN5Y2hvbG9neSwgVW5pdmVyc2l0eSBvZiBXYXRlcmxvbywgMjAwIFVuaXZl
cnNpdHkgQXZlbnVlIFdlc3QsIFdhdGVybG9vLCBPbnRhcmlvLCBOMkwgM0cxLCBDYW5hZGEuIGpp
YW5neXVhbjg4QHZpcC5zaW5hLmNvbS4mI3hEO0RlcGFydG1lbnQgb2YgUHN5Y2hvbG9neSwgVW5p
dmVyc2l0eSBvZiBXYXRlcmxvbywgMjAwIFVuaXZlcnNpdHkgQXZlbnVlIFdlc3QsIFdhdGVybG9v
LCBPbnRhcmlvLCBOMkwgM0cxLCBDYW5hZGEuIHRhbmlhY0BpbmNhLmdvdi5ici4mI3hEO0RlcGFy
dG1lbnQgb2YgUHN5Y2hvbG9neSwgVW5pdmVyc2l0eSBvZiBXYXRlcmxvbywgMjAwIFVuaXZlcnNp
dHkgQXZlbnVlIFdlc3QsIFdhdGVybG9vLCBPbnRhcmlvLCBOMkwgM0cxLCBDYW5hZGEuIGNwZXJl
ekBpbmNhLmdvdi5ici4mI3hEO0RlcGFydG1lbnQgb2YgUHN5Y2hvbG9neSwgVW5pdmVyc2l0eSBv
ZiBXYXRlcmxvbywgMjAwIFVuaXZlcnNpdHkgQXZlbnVlIFdlc3QsIFdhdGVybG9vLCBPbnRhcmlv
LCBOMkwgM0cxLCBDYW5hZGEuIGN1bW1pbmdrQG11c2MuZWR1LiYjeEQ7TWFhc3RyaWNodCBVbml2
ZXJzaXR5IChDQVBIUkkpLCBQLiBEZWJ5ZXBsZWluIDEsIDYyMjkgSEEgTWFhc3RyaWNodCwgdGhl
IE5ldGhlcmxhbmRzLiBLYXJpbi5odW1tZWxAbWFhc3RyaWNodHVuaXZlcnNpdHkubmwuPC9hdXRo
LWFkZHJlc3M+PHRpdGxlcz48dGl0bGU+QXdhcmVuZXNzLCB0cmlhbCwgYW5kIGN1cnJlbnQgdXNl
IG9mIGVsZWN0cm9uaWMgY2lnYXJldHRlcyBpbiAxMCBjb3VudHJpZXM6IEZpbmRpbmdzIGZyb20g
dGhlIElUQyBwcm9qZWN0PC90aXRsZT48c2Vjb25kYXJ5LXRpdGxlPkludCBKIEVudmlyb24gUmVz
IFB1YmxpYyBIZWFsdGg8L3NlY29uZGFyeS10aXRsZT48YWx0LXRpdGxlPkludGVybmF0aW9uYWwg
am91cm5hbCBvZiBlbnZpcm9ubWVudGFsIHJlc2VhcmNoIGFuZCBwdWJsaWMgaGVhbHRoPC9hbHQt
dGl0bGU+PC90aXRsZXM+PHBlcmlvZGljYWw+PGZ1bGwtdGl0bGU+SW50IEogRW52aXJvbiBSZXMg
UHVibGljIEhlYWx0aDwvZnVsbC10aXRsZT48YWJici0xPkludGVybmF0aW9uYWwgam91cm5hbCBv
ZiBlbnZpcm9ubWVudGFsIHJlc2VhcmNoIGFuZCBwdWJsaWMgaGVhbHRoPC9hYmJyLTE+PC9wZXJp
b2RpY2FsPjxhbHQtcGVyaW9kaWNhbD48ZnVsbC10aXRsZT5JbnQgSiBFbnZpcm9uIFJlcyBQdWJs
aWMgSGVhbHRoPC9mdWxsLXRpdGxlPjxhYmJyLTE+SW50ZXJuYXRpb25hbCBqb3VybmFsIG9mIGVu
dmlyb25tZW50YWwgcmVzZWFyY2ggYW5kIHB1YmxpYyBoZWFsdGg8L2FiYnItMT48L2FsdC1wZXJp
b2RpY2FsPjxwYWdlcz4xMTY5MS03MDQ8L3BhZ2VzPjx2b2x1bWU+MTE8L3ZvbHVtZT48bnVtYmVy
PjExPC9udW1iZXI+PGVkaXRpb24+MjAxNC8xMS8yNjwvZWRpdGlvbj48a2V5d29yZHM+PGtleXdv
cmQ+QWR1bHQ8L2tleXdvcmQ+PGtleXdvcmQ+QWdlZDwva2V5d29yZD48a2V5d29yZD5Dcm9zcy1T
ZWN0aW9uYWwgU3R1ZGllczwva2V5d29yZD48a2V5d29yZD5FbGVjdHJvbmljIE5pY290aW5lIERl
bGl2ZXJ5IFN5c3RlbXMvKnBzeWNob2xvZ3kvKnV0aWxpemF0aW9uPC9rZXl3b3JkPjxrZXl3b3Jk
PkZlbWFsZTwva2V5d29yZD48a2V5d29yZD4qSGVhbHRoIEtub3dsZWRnZSwgQXR0aXR1ZGVzLCBQ
cmFjdGljZTwva2V5d29yZD48a2V5d29yZD5IdW1hbnM8L2tleXdvcmQ+PGtleXdvcmQ+TWFsZTwv
a2V5d29yZD48a2V5d29yZD5NaWRkbGUgQWdlZDwva2V5d29yZD48a2V5d29yZD5TdXJ2ZXlzIGFu
ZCBRdWVzdGlvbm5haXJlczwva2V5d29yZD48a2V5d29yZD5Zb3VuZyBBZHVsdDwva2V5d29yZD48
L2tleXdvcmRzPjxkYXRlcz48eWVhcj4yMDE0PC95ZWFyPjxwdWItZGF0ZXM+PGRhdGU+Tm92IDEz
PC9kYXRlPjwvcHViLWRhdGVzPjwvZGF0ZXM+PGlzYm4+MTY2MC00NjAxPC9pc2JuPjxhY2Nlc3Np
b24tbnVtPjI1NDIxMDYzPC9hY2Nlc3Npb24tbnVtPjx1cmxzPjwvdXJscz48Y3VzdG9tMj5QTUM0
MjQ1NjM4PC9jdXN0b20yPjxlbGVjdHJvbmljLXJlc291cmNlLW51bT4xMC4zMzkwL2lqZXJwaDEx
MTExMTY5MTwvZWxlY3Ryb25pYy1yZXNvdXJjZS1udW0+PHJlbW90ZS1kYXRhYmFzZS1wcm92aWRl
cj5OTE08L3JlbW90ZS1kYXRhYmFzZS1wcm92aWRlcj48bGFuZ3VhZ2U+ZW5nPC9sYW5ndWFnZT48
L3JlY29yZD48L0NpdGU+PC9FbmROb3RlPn==
</w:fldData>
              </w:fldChar>
            </w:r>
            <w:r w:rsidR="00903735">
              <w:rPr>
                <w:rFonts w:eastAsia="Times New Roman" w:cs="Calibri"/>
                <w:sz w:val="16"/>
                <w:szCs w:val="16"/>
              </w:rPr>
              <w:instrText xml:space="preserve"> ADDIN EN.CITE </w:instrText>
            </w:r>
            <w:r w:rsidR="00903735">
              <w:rPr>
                <w:rFonts w:eastAsia="Times New Roman" w:cs="Calibri"/>
                <w:sz w:val="16"/>
                <w:szCs w:val="16"/>
              </w:rPr>
              <w:fldChar w:fldCharType="begin">
                <w:fldData xml:space="preserve">PEVuZE5vdGU+PENpdGU+PEF1dGhvcj5HcmF2ZWx5PC9BdXRob3I+PFllYXI+MjAxNDwvWWVhcj48
UmVjTnVtPjEzNDMzPC9SZWNOdW0+PERpc3BsYXlUZXh0PihHcmF2ZWx5LCBGb25nIGV0IGFsLiAy
MDE0KTwvRGlzcGxheVRleHQ+PHJlY29yZD48cmVjLW51bWJlcj4xMzQzMzwvcmVjLW51bWJlcj48
Zm9yZWlnbi1rZXlzPjxrZXkgYXBwPSJFTiIgZGItaWQ9IjV4djV3NXQyYmR4dHhmZXp4MDJ4dHhk
ZnQ1cno1cHR2dnQyOSIgdGltZXN0YW1wPSIxNTI3MjA4ODU1Ij4xMzQzMzwva2V5PjxrZXkgYXBw
PSJFTldlYiIgZGItaWQ9IiI+MDwva2V5PjwvZm9yZWlnbi1rZXlzPjxyZWYtdHlwZSBuYW1lPSJK
b3VybmFsIEFydGljbGUiPjE3PC9yZWYtdHlwZT48Y29udHJpYnV0b3JzPjxhdXRob3JzPjxhdXRo
b3I+R3JhdmVseSwgUy48L2F1dGhvcj48YXV0aG9yPkZvbmcsIEcuIFQuPC9hdXRob3I+PGF1dGhv
cj5DdW1taW5ncywgSy4gTS48L2F1dGhvcj48YXV0aG9yPllhbiwgTS48L2F1dGhvcj48YXV0aG9y
PlF1YWgsIEEuIEMuPC9hdXRob3I+PGF1dGhvcj5Cb3JsYW5kLCBSLjwvYXV0aG9yPjxhdXRob3I+
WW9uZywgSC4gSC48L2F1dGhvcj48YXV0aG9yPkhpdGNobWFuLCBTLiBDLjwvYXV0aG9yPjxhdXRo
b3I+TWNOZWlsbCwgQS48L2F1dGhvcj48YXV0aG9yPkhhbW1vbmQsIEQuPC9hdXRob3I+PGF1dGhv
cj5UaHJhc2hlciwgSi4gRi48L2F1dGhvcj48YXV0aG9yPldpbGxlbXNlbiwgTS4gQy48L2F1dGhv
cj48YXV0aG9yPlNlbywgSC4gRy48L2F1dGhvcj48YXV0aG9yPkppYW5nLCBZLjwvYXV0aG9yPjxh
dXRob3I+Q2F2YWxjYW50ZSwgVC48L2F1dGhvcj48YXV0aG9yPlBlcmV6LCBDLjwvYXV0aG9yPjxh
dXRob3I+T21hciwgTS48L2F1dGhvcj48YXV0aG9yPkh1bW1lbCwgSy48L2F1dGhvcj48L2F1dGhv
cnM+PC9jb250cmlidXRvcnM+PGF1dGgtYWRkcmVzcz5EZXBhcnRtZW50IG9mIFBzeWNob2xvZ3ks
IFVuaXZlcnNpdHkgb2YgV2F0ZXJsb28sIDIwMCBVbml2ZXJzaXR5IEF2ZW51ZSBXZXN0LCBXYXRl
cmxvbywgT250YXJpbywgTjJMIDNHMSwgQ2FuYWRhLiBzaGFubm9uLmdyYXZlbHlAdXdhdGVybG9v
LmNhLiYjeEQ7RGVwYXJ0bWVudCBvZiBQc3ljaG9sb2d5LCBVbml2ZXJzaXR5IG9mIFdhdGVybG9v
LCAyMDAgVW5pdmVyc2l0eSBBdmVudWUgV2VzdCwgV2F0ZXJsb28sIE9udGFyaW8sIE4yTCAzRzEs
IENhbmFkYS4gZ2ZvbmdAdXdhdGVybG9vLmNhLiYjeEQ7TWVkaWNhbCBVbml2ZXJzaXR5IG9mIFNv
dXRoIENhcm9saW5hLCAxNzEgQXNobGV5IEF2ZSwgQ2hhcmxlc3RvbiwgU0MgMjk0MjUsIFVTQS4g
Y3VtbWluZ2tAbXVzYy5lZHUuJiN4RDtEZXBhcnRtZW50IG9mIFBzeWNob2xvZ3ksIFVuaXZlcnNp
dHkgb2YgV2F0ZXJsb28sIDIwMCBVbml2ZXJzaXR5IEF2ZW51ZSBXZXN0LCBXYXRlcmxvbywgT250
YXJpbywgTjJMIDNHMSwgQ2FuYWRhLiBtNnlhbkB1d2F0ZXJsb28uY2EuJiN4RDtEZXBhcnRtZW50
IG9mIFBzeWNob2xvZ3ksIFVuaXZlcnNpdHkgb2YgV2F0ZXJsb28sIDIwMCBVbml2ZXJzaXR5IEF2
ZW51ZSBXZXN0LCBXYXRlcmxvbywgT250YXJpbywgTjJMIDNHMSwgQ2FuYWRhLiBhY2txdWFoQHV3
YXRlcmxvby5jYS4mI3hEO1RoZSBDYW5jZXIgQ291bmNpbCBWaWN0b3JpYSwgNjE1IFN0LiBLaWxk
YSBSb2FkLCBNZWxib3VybmUsIFZpY3RvcmlhIDMwMDQsIEF1c3RyYWxpYS4gUm9uLkJvcmxhbmRA
Y2FuY2VydmljLm9yZy5hdS4mI3hEO1RoZSBDYW5jZXIgQ291bmNpbCBWaWN0b3JpYSwgNjE1IFN0
LiBLaWxkYSBSb2FkLCBNZWxib3VybmUsIFZpY3RvcmlhIDMwMDQsIEF1c3RyYWxpYS4gSHVhLllv
bmdAY2FuY2VydmljLm9yZy5hdS4mI3hEO0tpbmcmYXBvcztzIENvbGxlZ2UgTG9uZG9uLCBTdHJh
bmQsIExvbmRvbiwgV0MyUiAyTFMsIFVLLiBzYXJhLmhpdGNobWFuQGtjbC5hYy51ay4mI3hEO0tp
bmcmYXBvcztzIENvbGxlZ2UgTG9uZG9uLCBTdHJhbmQsIExvbmRvbiwgV0MyUiAyTFMsIFVLLiBh
bm4ubWNuZWlsbEBrY2wuYWMudWsuJiN4RDtTY2hvb2wgb2YgUHVibGljIEhlYWx0aCBhbmQgSGVh
bHRoIFN5c3RlbXMsIFVuaXZlcnNpdHkgb2YgV2F0ZXJsb28sIDIwMCBVbml2ZXJzaXR5IEF2ZW51
ZSBXZXN0LCBXYXRlcmxvbywgT250YXJpbywgTjJMIDNHMSwgQ2FuYWRhLiBkaGFtbW9uZEB1d2F0
ZXJsb28uY2EuJiN4RDtBcm5vbGQgU2Nob29sIG9mIFB1YmxpYyBIZWFsdGgsIFVuaXZlcnNpdHkg
b2YgU291dGggQ2Fyb2xpbmEsIENvbG9tYmlhLCBTQyAyOTIwOCwgVVNBLiB0aHJhc2hlckBtYWls
Ym94LnNjLmVkdS4mI3hEO01hYXN0cmljaHQgVW5pdmVyc2l0eSAoQ0FQSFJJKSwgUC4gRGVieWVw
bGVpbiAxLCA2MjI5IEhBIE1hYXN0cmljaHQsIHRoZSBOZXRoZXJsYW5kcy4gbWFyYy53aWxsZW1z
ZW5AbWFhc3RyaWNodHVuaXZlcnNpdHkubmwuJiN4RDtEZXBhcnRtZW50IG9mIFBzeWNob2xvZ3ks
IFVuaXZlcnNpdHkgb2YgV2F0ZXJsb28sIDIwMCBVbml2ZXJzaXR5IEF2ZW51ZSBXZXN0LCBXYXRl
cmxvbywgT250YXJpbywgTjJMIDNHMSwgQ2FuYWRhLiBob25nd2FuQG5jYy5yZS5rci4mI3hEO0Rl
cGFydG1lbnQgb2YgUHN5Y2hvbG9neSwgVW5pdmVyc2l0eSBvZiBXYXRlcmxvbywgMjAwIFVuaXZl
cnNpdHkgQXZlbnVlIFdlc3QsIFdhdGVybG9vLCBPbnRhcmlvLCBOMkwgM0cxLCBDYW5hZGEuIGpp
YW5neXVhbjg4QHZpcC5zaW5hLmNvbS4mI3hEO0RlcGFydG1lbnQgb2YgUHN5Y2hvbG9neSwgVW5p
dmVyc2l0eSBvZiBXYXRlcmxvbywgMjAwIFVuaXZlcnNpdHkgQXZlbnVlIFdlc3QsIFdhdGVybG9v
LCBPbnRhcmlvLCBOMkwgM0cxLCBDYW5hZGEuIHRhbmlhY0BpbmNhLmdvdi5ici4mI3hEO0RlcGFy
dG1lbnQgb2YgUHN5Y2hvbG9neSwgVW5pdmVyc2l0eSBvZiBXYXRlcmxvbywgMjAwIFVuaXZlcnNp
dHkgQXZlbnVlIFdlc3QsIFdhdGVybG9vLCBPbnRhcmlvLCBOMkwgM0cxLCBDYW5hZGEuIGNwZXJl
ekBpbmNhLmdvdi5ici4mI3hEO0RlcGFydG1lbnQgb2YgUHN5Y2hvbG9neSwgVW5pdmVyc2l0eSBv
ZiBXYXRlcmxvbywgMjAwIFVuaXZlcnNpdHkgQXZlbnVlIFdlc3QsIFdhdGVybG9vLCBPbnRhcmlv
LCBOMkwgM0cxLCBDYW5hZGEuIGN1bW1pbmdrQG11c2MuZWR1LiYjeEQ7TWFhc3RyaWNodCBVbml2
ZXJzaXR5IChDQVBIUkkpLCBQLiBEZWJ5ZXBsZWluIDEsIDYyMjkgSEEgTWFhc3RyaWNodCwgdGhl
IE5ldGhlcmxhbmRzLiBLYXJpbi5odW1tZWxAbWFhc3RyaWNodHVuaXZlcnNpdHkubmwuPC9hdXRo
LWFkZHJlc3M+PHRpdGxlcz48dGl0bGU+QXdhcmVuZXNzLCB0cmlhbCwgYW5kIGN1cnJlbnQgdXNl
IG9mIGVsZWN0cm9uaWMgY2lnYXJldHRlcyBpbiAxMCBjb3VudHJpZXM6IEZpbmRpbmdzIGZyb20g
dGhlIElUQyBwcm9qZWN0PC90aXRsZT48c2Vjb25kYXJ5LXRpdGxlPkludCBKIEVudmlyb24gUmVz
IFB1YmxpYyBIZWFsdGg8L3NlY29uZGFyeS10aXRsZT48YWx0LXRpdGxlPkludGVybmF0aW9uYWwg
am91cm5hbCBvZiBlbnZpcm9ubWVudGFsIHJlc2VhcmNoIGFuZCBwdWJsaWMgaGVhbHRoPC9hbHQt
dGl0bGU+PC90aXRsZXM+PHBlcmlvZGljYWw+PGZ1bGwtdGl0bGU+SW50IEogRW52aXJvbiBSZXMg
UHVibGljIEhlYWx0aDwvZnVsbC10aXRsZT48YWJici0xPkludGVybmF0aW9uYWwgam91cm5hbCBv
ZiBlbnZpcm9ubWVudGFsIHJlc2VhcmNoIGFuZCBwdWJsaWMgaGVhbHRoPC9hYmJyLTE+PC9wZXJp
b2RpY2FsPjxhbHQtcGVyaW9kaWNhbD48ZnVsbC10aXRsZT5JbnQgSiBFbnZpcm9uIFJlcyBQdWJs
aWMgSGVhbHRoPC9mdWxsLXRpdGxlPjxhYmJyLTE+SW50ZXJuYXRpb25hbCBqb3VybmFsIG9mIGVu
dmlyb25tZW50YWwgcmVzZWFyY2ggYW5kIHB1YmxpYyBoZWFsdGg8L2FiYnItMT48L2FsdC1wZXJp
b2RpY2FsPjxwYWdlcz4xMTY5MS03MDQ8L3BhZ2VzPjx2b2x1bWU+MTE8L3ZvbHVtZT48bnVtYmVy
PjExPC9udW1iZXI+PGVkaXRpb24+MjAxNC8xMS8yNjwvZWRpdGlvbj48a2V5d29yZHM+PGtleXdv
cmQ+QWR1bHQ8L2tleXdvcmQ+PGtleXdvcmQ+QWdlZDwva2V5d29yZD48a2V5d29yZD5Dcm9zcy1T
ZWN0aW9uYWwgU3R1ZGllczwva2V5d29yZD48a2V5d29yZD5FbGVjdHJvbmljIE5pY290aW5lIERl
bGl2ZXJ5IFN5c3RlbXMvKnBzeWNob2xvZ3kvKnV0aWxpemF0aW9uPC9rZXl3b3JkPjxrZXl3b3Jk
PkZlbWFsZTwva2V5d29yZD48a2V5d29yZD4qSGVhbHRoIEtub3dsZWRnZSwgQXR0aXR1ZGVzLCBQ
cmFjdGljZTwva2V5d29yZD48a2V5d29yZD5IdW1hbnM8L2tleXdvcmQ+PGtleXdvcmQ+TWFsZTwv
a2V5d29yZD48a2V5d29yZD5NaWRkbGUgQWdlZDwva2V5d29yZD48a2V5d29yZD5TdXJ2ZXlzIGFu
ZCBRdWVzdGlvbm5haXJlczwva2V5d29yZD48a2V5d29yZD5Zb3VuZyBBZHVsdDwva2V5d29yZD48
L2tleXdvcmRzPjxkYXRlcz48eWVhcj4yMDE0PC95ZWFyPjxwdWItZGF0ZXM+PGRhdGU+Tm92IDEz
PC9kYXRlPjwvcHViLWRhdGVzPjwvZGF0ZXM+PGlzYm4+MTY2MC00NjAxPC9pc2JuPjxhY2Nlc3Np
b24tbnVtPjI1NDIxMDYzPC9hY2Nlc3Npb24tbnVtPjx1cmxzPjwvdXJscz48Y3VzdG9tMj5QTUM0
MjQ1NjM4PC9jdXN0b20yPjxlbGVjdHJvbmljLXJlc291cmNlLW51bT4xMC4zMzkwL2lqZXJwaDEx
MTExMTY5MTwvZWxlY3Ryb25pYy1yZXNvdXJjZS1udW0+PHJlbW90ZS1kYXRhYmFzZS1wcm92aWRl
cj5OTE08L3JlbW90ZS1kYXRhYmFzZS1wcm92aWRlcj48bGFuZ3VhZ2U+ZW5nPC9sYW5ndWFnZT48
L3JlY29yZD48L0NpdGU+PC9FbmROb3RlPn==
</w:fldData>
              </w:fldChar>
            </w:r>
            <w:r w:rsidR="00903735">
              <w:rPr>
                <w:rFonts w:eastAsia="Times New Roman" w:cs="Calibri"/>
                <w:sz w:val="16"/>
                <w:szCs w:val="16"/>
              </w:rPr>
              <w:instrText xml:space="preserve"> ADDIN EN.CITE.DATA </w:instrText>
            </w:r>
            <w:r w:rsidR="00903735">
              <w:rPr>
                <w:rFonts w:eastAsia="Times New Roman" w:cs="Calibri"/>
                <w:sz w:val="16"/>
                <w:szCs w:val="16"/>
              </w:rPr>
            </w:r>
            <w:r w:rsidR="00903735">
              <w:rPr>
                <w:rFonts w:eastAsia="Times New Roman" w:cs="Calibri"/>
                <w:sz w:val="16"/>
                <w:szCs w:val="16"/>
              </w:rPr>
              <w:fldChar w:fldCharType="end"/>
            </w:r>
            <w:r w:rsidRPr="00A743C9">
              <w:rPr>
                <w:rFonts w:eastAsia="Times New Roman" w:cs="Calibri"/>
                <w:sz w:val="16"/>
                <w:szCs w:val="16"/>
              </w:rPr>
            </w:r>
            <w:r w:rsidRPr="00A743C9">
              <w:rPr>
                <w:rFonts w:eastAsia="Times New Roman" w:cs="Calibri"/>
                <w:sz w:val="16"/>
                <w:szCs w:val="16"/>
              </w:rPr>
              <w:fldChar w:fldCharType="separate"/>
            </w:r>
            <w:r w:rsidRPr="00A743C9">
              <w:rPr>
                <w:rFonts w:eastAsia="Times New Roman" w:cs="Calibri"/>
                <w:noProof/>
                <w:sz w:val="16"/>
                <w:szCs w:val="16"/>
              </w:rPr>
              <w:t>(Gravely, Fong et al. 2014)</w:t>
            </w:r>
            <w:r w:rsidRPr="00A743C9">
              <w:rPr>
                <w:rFonts w:eastAsia="Times New Roman" w:cs="Calibri"/>
                <w:sz w:val="16"/>
                <w:szCs w:val="16"/>
              </w:rPr>
              <w:fldChar w:fldCharType="end"/>
            </w:r>
          </w:p>
        </w:tc>
        <w:tc>
          <w:tcPr>
            <w:tcW w:w="1304" w:type="dxa"/>
            <w:tcBorders>
              <w:left w:val="single" w:sz="4" w:space="0" w:color="auto"/>
              <w:bottom w:val="nil"/>
              <w:right w:val="single" w:sz="4" w:space="0" w:color="auto"/>
            </w:tcBorders>
            <w:noWrap/>
            <w:hideMark/>
          </w:tcPr>
          <w:p w14:paraId="6F2DCBD1"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2012</w:t>
            </w:r>
            <w:r w:rsidRPr="00A743C9">
              <w:rPr>
                <w:rFonts w:eastAsia="Times New Roman" w:cs="Calibri"/>
                <w:sz w:val="16"/>
                <w:szCs w:val="16"/>
              </w:rPr>
              <w:noBreakHyphen/>
              <w:t>13</w:t>
            </w:r>
          </w:p>
        </w:tc>
        <w:tc>
          <w:tcPr>
            <w:tcW w:w="1650" w:type="dxa"/>
            <w:tcBorders>
              <w:left w:val="single" w:sz="4" w:space="0" w:color="auto"/>
              <w:bottom w:val="nil"/>
            </w:tcBorders>
            <w:noWrap/>
            <w:hideMark/>
          </w:tcPr>
          <w:p w14:paraId="4AF0F900"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p>
        </w:tc>
        <w:tc>
          <w:tcPr>
            <w:tcW w:w="1154" w:type="dxa"/>
            <w:tcBorders>
              <w:bottom w:val="nil"/>
              <w:right w:val="single" w:sz="4" w:space="0" w:color="auto"/>
            </w:tcBorders>
            <w:noWrap/>
            <w:hideMark/>
          </w:tcPr>
          <w:p w14:paraId="198D5A61"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4</w:t>
            </w:r>
          </w:p>
        </w:tc>
        <w:tc>
          <w:tcPr>
            <w:tcW w:w="1187" w:type="dxa"/>
            <w:tcBorders>
              <w:left w:val="single" w:sz="4" w:space="0" w:color="auto"/>
              <w:bottom w:val="nil"/>
            </w:tcBorders>
            <w:noWrap/>
            <w:hideMark/>
          </w:tcPr>
          <w:p w14:paraId="5ED10BDC"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19.3</w:t>
            </w:r>
          </w:p>
        </w:tc>
        <w:tc>
          <w:tcPr>
            <w:tcW w:w="1531" w:type="dxa"/>
            <w:tcBorders>
              <w:bottom w:val="nil"/>
              <w:right w:val="single" w:sz="4" w:space="0" w:color="auto"/>
            </w:tcBorders>
            <w:noWrap/>
            <w:hideMark/>
          </w:tcPr>
          <w:p w14:paraId="14C0E1D9"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11.3</w:t>
            </w:r>
          </w:p>
        </w:tc>
      </w:tr>
      <w:tr w:rsidR="00B86BF1" w:rsidRPr="00A743C9" w14:paraId="0EFA40F8" w14:textId="77777777" w:rsidTr="000376C7">
        <w:trPr>
          <w:trHeight w:val="287"/>
        </w:trPr>
        <w:tc>
          <w:tcPr>
            <w:cnfStyle w:val="001000000000" w:firstRow="0" w:lastRow="0" w:firstColumn="1" w:lastColumn="0" w:oddVBand="0" w:evenVBand="0" w:oddHBand="0" w:evenHBand="0" w:firstRowFirstColumn="0" w:firstRowLastColumn="0" w:lastRowFirstColumn="0" w:lastRowLastColumn="0"/>
            <w:tcW w:w="3003" w:type="dxa"/>
            <w:tcBorders>
              <w:left w:val="single" w:sz="4" w:space="0" w:color="auto"/>
              <w:bottom w:val="nil"/>
              <w:right w:val="single" w:sz="4" w:space="0" w:color="auto"/>
            </w:tcBorders>
            <w:noWrap/>
            <w:hideMark/>
          </w:tcPr>
          <w:p w14:paraId="428BBC0D" w14:textId="77777777" w:rsidR="00B86BF1" w:rsidRPr="00A743C9" w:rsidRDefault="00B86BF1" w:rsidP="00903735">
            <w:pPr>
              <w:spacing w:after="0"/>
              <w:rPr>
                <w:rFonts w:eastAsia="Times New Roman" w:cs="Calibri"/>
                <w:sz w:val="16"/>
                <w:szCs w:val="16"/>
              </w:rPr>
            </w:pPr>
            <w:r w:rsidRPr="00A743C9">
              <w:rPr>
                <w:rFonts w:eastAsia="Times New Roman" w:cs="Calibri"/>
                <w:sz w:val="16"/>
                <w:szCs w:val="16"/>
              </w:rPr>
              <w:t xml:space="preserve">Bulgaria </w:t>
            </w:r>
            <w:r w:rsidRPr="00A743C9">
              <w:rPr>
                <w:rFonts w:eastAsia="Times New Roman" w:cs="Calibri"/>
                <w:sz w:val="16"/>
                <w:szCs w:val="16"/>
              </w:rPr>
              <w:fldChar w:fldCharType="begin"/>
            </w:r>
            <w:r w:rsidR="00903735">
              <w:rPr>
                <w:rFonts w:eastAsia="Times New Roman" w:cs="Calibri"/>
                <w:sz w:val="16"/>
                <w:szCs w:val="16"/>
              </w:rPr>
              <w:instrText xml:space="preserve"> ADDIN EN.CITE &lt;EndNote&gt;&lt;Cite&gt;&lt;Author&gt;European Commission&lt;/Author&gt;&lt;Year&gt;2017&lt;/Year&gt;&lt;RecNum&gt;13438&lt;/RecNum&gt;&lt;DisplayText&gt;(European Commission 2017)&lt;/DisplayText&gt;&lt;record&gt;&lt;rec-number&gt;13438&lt;/rec-number&gt;&lt;foreign-keys&gt;&lt;key app="EN" db-id="5xv5w5t2bdxtxfezx02xtxdft5rz5ptvvt29" timestamp="1527209032"&gt;13438&lt;/key&gt;&lt;/foreign-keys&gt;&lt;ref-type name="Web Page"&gt;12&lt;/ref-type&gt;&lt;contributors&gt;&lt;authors&gt;&lt;author&gt;European Commission,&lt;/author&gt;&lt;/authors&gt;&lt;/contributors&gt;&lt;titles&gt;&lt;title&gt;Attitudes of Europeans towards tobacco and electronic cigarettes&lt;/title&gt;&lt;/titles&gt;&lt;volume&gt;2018&lt;/volume&gt;&lt;number&gt;18.05.2018&lt;/number&gt;&lt;dates&gt;&lt;year&gt;2017&lt;/year&gt;&lt;/dates&gt;&lt;publisher&gt;European Commission&lt;/publisher&gt;&lt;urls&gt;&lt;related-urls&gt;&lt;url&gt;http://ec.europa.eu/commfrontoffice/publicopinion/index.cfm/Survey/getSurveyDetail/instruments/SPECIAL/yearFrom/2016/yearTo/2018/surveyKy/2146&lt;/url&gt;&lt;/related-urls&gt;&lt;/urls&gt;&lt;/record&gt;&lt;/Cite&gt;&lt;/EndNote&gt;</w:instrText>
            </w:r>
            <w:r w:rsidRPr="00A743C9">
              <w:rPr>
                <w:rFonts w:eastAsia="Times New Roman" w:cs="Calibri"/>
                <w:sz w:val="16"/>
                <w:szCs w:val="16"/>
              </w:rPr>
              <w:fldChar w:fldCharType="separate"/>
            </w:r>
            <w:r w:rsidRPr="00A743C9">
              <w:rPr>
                <w:rFonts w:eastAsia="Times New Roman" w:cs="Calibri"/>
                <w:noProof/>
                <w:sz w:val="16"/>
                <w:szCs w:val="16"/>
              </w:rPr>
              <w:t>(European Commission 2017)</w:t>
            </w:r>
            <w:r w:rsidRPr="00A743C9">
              <w:rPr>
                <w:rFonts w:eastAsia="Times New Roman" w:cs="Calibri"/>
                <w:sz w:val="16"/>
                <w:szCs w:val="16"/>
              </w:rPr>
              <w:fldChar w:fldCharType="end"/>
            </w:r>
          </w:p>
        </w:tc>
        <w:tc>
          <w:tcPr>
            <w:tcW w:w="1304" w:type="dxa"/>
            <w:tcBorders>
              <w:left w:val="single" w:sz="4" w:space="0" w:color="auto"/>
              <w:bottom w:val="nil"/>
              <w:right w:val="single" w:sz="4" w:space="0" w:color="auto"/>
            </w:tcBorders>
            <w:noWrap/>
            <w:hideMark/>
          </w:tcPr>
          <w:p w14:paraId="05BA15A5"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2014</w:t>
            </w:r>
          </w:p>
        </w:tc>
        <w:tc>
          <w:tcPr>
            <w:tcW w:w="1650" w:type="dxa"/>
            <w:tcBorders>
              <w:left w:val="single" w:sz="4" w:space="0" w:color="auto"/>
              <w:bottom w:val="nil"/>
            </w:tcBorders>
            <w:noWrap/>
            <w:hideMark/>
          </w:tcPr>
          <w:p w14:paraId="4EDD0307"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0</w:t>
            </w:r>
          </w:p>
        </w:tc>
        <w:tc>
          <w:tcPr>
            <w:tcW w:w="1154" w:type="dxa"/>
            <w:tcBorders>
              <w:bottom w:val="nil"/>
              <w:right w:val="single" w:sz="4" w:space="0" w:color="auto"/>
            </w:tcBorders>
            <w:noWrap/>
            <w:hideMark/>
          </w:tcPr>
          <w:p w14:paraId="0FCA0434"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9</w:t>
            </w:r>
          </w:p>
        </w:tc>
        <w:tc>
          <w:tcPr>
            <w:tcW w:w="1187" w:type="dxa"/>
            <w:tcBorders>
              <w:left w:val="single" w:sz="4" w:space="0" w:color="auto"/>
              <w:bottom w:val="nil"/>
            </w:tcBorders>
            <w:noWrap/>
            <w:hideMark/>
          </w:tcPr>
          <w:p w14:paraId="540FFE81"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42.4</w:t>
            </w:r>
          </w:p>
        </w:tc>
        <w:tc>
          <w:tcPr>
            <w:tcW w:w="1531" w:type="dxa"/>
            <w:tcBorders>
              <w:bottom w:val="nil"/>
              <w:right w:val="single" w:sz="4" w:space="0" w:color="auto"/>
            </w:tcBorders>
            <w:noWrap/>
            <w:hideMark/>
          </w:tcPr>
          <w:p w14:paraId="04A37CE0"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28.2</w:t>
            </w:r>
          </w:p>
        </w:tc>
      </w:tr>
      <w:tr w:rsidR="00B86BF1" w:rsidRPr="00A743C9" w14:paraId="0170E198" w14:textId="77777777" w:rsidTr="000376C7">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003" w:type="dxa"/>
            <w:tcBorders>
              <w:left w:val="single" w:sz="4" w:space="0" w:color="auto"/>
              <w:bottom w:val="nil"/>
              <w:right w:val="single" w:sz="4" w:space="0" w:color="auto"/>
            </w:tcBorders>
            <w:noWrap/>
            <w:hideMark/>
          </w:tcPr>
          <w:p w14:paraId="319B2849" w14:textId="77777777" w:rsidR="00B86BF1" w:rsidRPr="00A743C9" w:rsidRDefault="00B86BF1" w:rsidP="00903735">
            <w:pPr>
              <w:spacing w:after="0"/>
              <w:rPr>
                <w:rFonts w:eastAsia="Times New Roman" w:cs="Calibri"/>
                <w:sz w:val="16"/>
                <w:szCs w:val="16"/>
              </w:rPr>
            </w:pPr>
            <w:r w:rsidRPr="00A743C9">
              <w:rPr>
                <w:rFonts w:eastAsia="Times New Roman" w:cs="Calibri"/>
                <w:sz w:val="16"/>
                <w:szCs w:val="16"/>
              </w:rPr>
              <w:t xml:space="preserve">Canada </w:t>
            </w:r>
            <w:r w:rsidRPr="00A743C9">
              <w:rPr>
                <w:rFonts w:eastAsia="Times New Roman" w:cs="Calibri"/>
                <w:sz w:val="16"/>
                <w:szCs w:val="16"/>
              </w:rPr>
              <w:fldChar w:fldCharType="begin"/>
            </w:r>
            <w:r w:rsidR="00903735">
              <w:rPr>
                <w:rFonts w:eastAsia="Times New Roman" w:cs="Calibri"/>
                <w:sz w:val="16"/>
                <w:szCs w:val="16"/>
              </w:rPr>
              <w:instrText xml:space="preserve"> ADDIN EN.CITE &lt;EndNote&gt;&lt;Cite&gt;&lt;Author&gt;Reid JL&lt;/Author&gt;&lt;Year&gt;2017&lt;/Year&gt;&lt;RecNum&gt;13432&lt;/RecNum&gt;&lt;DisplayText&gt;(Reid JL 2017)&lt;/DisplayText&gt;&lt;record&gt;&lt;rec-number&gt;13432&lt;/rec-number&gt;&lt;foreign-keys&gt;&lt;key app="EN" db-id="5xv5w5t2bdxtxfezx02xtxdft5rz5ptvvt29" timestamp="1527208837"&gt;13432&lt;/key&gt;&lt;/foreign-keys&gt;&lt;ref-type name="Web Page"&gt;12&lt;/ref-type&gt;&lt;contributors&gt;&lt;authors&gt;&lt;author&gt;Reid JL, Hammond D, Rynard VL, Madill CL, Burkhalter R. &lt;/author&gt;&lt;/authors&gt;&lt;/contributors&gt;&lt;titles&gt;&lt;title&gt;E-cigarette prevalence by sex&lt;/title&gt;&lt;/titles&gt;&lt;volume&gt;2018&lt;/volume&gt;&lt;number&gt;11.04.2018&lt;/number&gt;&lt;dates&gt;&lt;year&gt;2017&lt;/year&gt;&lt;/dates&gt;&lt;pub-location&gt;Waterloo, ON, Canada&lt;/pub-location&gt;&lt;publisher&gt;Propel Centre for Population Health Impact, University of Waterloo&lt;/publisher&gt;&lt;urls&gt;&lt;related-urls&gt;&lt;url&gt;https://uwaterloo.ca/tobacco-use-canada/e-cigarette-use-canada/prevalence-e-cigarette-use/e-cigarette-prevalence-sex&lt;/url&gt;&lt;/related-urls&gt;&lt;/urls&gt;&lt;/record&gt;&lt;/Cite&gt;&lt;/EndNote&gt;</w:instrText>
            </w:r>
            <w:r w:rsidRPr="00A743C9">
              <w:rPr>
                <w:rFonts w:eastAsia="Times New Roman" w:cs="Calibri"/>
                <w:sz w:val="16"/>
                <w:szCs w:val="16"/>
              </w:rPr>
              <w:fldChar w:fldCharType="separate"/>
            </w:r>
            <w:r w:rsidRPr="00A743C9">
              <w:rPr>
                <w:rFonts w:eastAsia="Times New Roman" w:cs="Calibri"/>
                <w:noProof/>
                <w:sz w:val="16"/>
                <w:szCs w:val="16"/>
              </w:rPr>
              <w:t>(Reid JL 2017)</w:t>
            </w:r>
            <w:r w:rsidRPr="00A743C9">
              <w:rPr>
                <w:rFonts w:eastAsia="Times New Roman" w:cs="Calibri"/>
                <w:sz w:val="16"/>
                <w:szCs w:val="16"/>
              </w:rPr>
              <w:fldChar w:fldCharType="end"/>
            </w:r>
          </w:p>
        </w:tc>
        <w:tc>
          <w:tcPr>
            <w:tcW w:w="1304" w:type="dxa"/>
            <w:tcBorders>
              <w:left w:val="single" w:sz="4" w:space="0" w:color="auto"/>
              <w:bottom w:val="nil"/>
              <w:right w:val="single" w:sz="4" w:space="0" w:color="auto"/>
            </w:tcBorders>
            <w:noWrap/>
            <w:hideMark/>
          </w:tcPr>
          <w:p w14:paraId="28654938"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2015</w:t>
            </w:r>
          </w:p>
        </w:tc>
        <w:tc>
          <w:tcPr>
            <w:tcW w:w="1650" w:type="dxa"/>
            <w:tcBorders>
              <w:left w:val="single" w:sz="4" w:space="0" w:color="auto"/>
              <w:bottom w:val="nil"/>
            </w:tcBorders>
            <w:noWrap/>
            <w:hideMark/>
          </w:tcPr>
          <w:p w14:paraId="50B6B4DF"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w:t>
            </w:r>
          </w:p>
        </w:tc>
        <w:tc>
          <w:tcPr>
            <w:tcW w:w="1154" w:type="dxa"/>
            <w:tcBorders>
              <w:bottom w:val="nil"/>
              <w:right w:val="single" w:sz="4" w:space="0" w:color="auto"/>
            </w:tcBorders>
            <w:noWrap/>
            <w:hideMark/>
          </w:tcPr>
          <w:p w14:paraId="0C45AC73"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13.2</w:t>
            </w:r>
          </w:p>
        </w:tc>
        <w:tc>
          <w:tcPr>
            <w:tcW w:w="1187" w:type="dxa"/>
            <w:tcBorders>
              <w:left w:val="single" w:sz="4" w:space="0" w:color="auto"/>
              <w:bottom w:val="nil"/>
            </w:tcBorders>
            <w:noWrap/>
            <w:hideMark/>
          </w:tcPr>
          <w:p w14:paraId="67F57EA8"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15.6</w:t>
            </w:r>
          </w:p>
        </w:tc>
        <w:tc>
          <w:tcPr>
            <w:tcW w:w="1531" w:type="dxa"/>
            <w:tcBorders>
              <w:bottom w:val="nil"/>
              <w:right w:val="single" w:sz="4" w:space="0" w:color="auto"/>
            </w:tcBorders>
            <w:noWrap/>
            <w:hideMark/>
          </w:tcPr>
          <w:p w14:paraId="5008ECCA"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10.4</w:t>
            </w:r>
          </w:p>
        </w:tc>
      </w:tr>
      <w:tr w:rsidR="00B86BF1" w:rsidRPr="00A743C9" w14:paraId="59F44BE4" w14:textId="77777777" w:rsidTr="000376C7">
        <w:trPr>
          <w:trHeight w:val="287"/>
        </w:trPr>
        <w:tc>
          <w:tcPr>
            <w:cnfStyle w:val="001000000000" w:firstRow="0" w:lastRow="0" w:firstColumn="1" w:lastColumn="0" w:oddVBand="0" w:evenVBand="0" w:oddHBand="0" w:evenHBand="0" w:firstRowFirstColumn="0" w:firstRowLastColumn="0" w:lastRowFirstColumn="0" w:lastRowLastColumn="0"/>
            <w:tcW w:w="3003" w:type="dxa"/>
            <w:tcBorders>
              <w:left w:val="single" w:sz="4" w:space="0" w:color="auto"/>
              <w:bottom w:val="nil"/>
              <w:right w:val="single" w:sz="4" w:space="0" w:color="auto"/>
            </w:tcBorders>
            <w:noWrap/>
            <w:hideMark/>
          </w:tcPr>
          <w:p w14:paraId="628B4062" w14:textId="77777777" w:rsidR="00B86BF1" w:rsidRPr="00A743C9" w:rsidRDefault="00B86BF1" w:rsidP="00903735">
            <w:pPr>
              <w:spacing w:after="0"/>
              <w:rPr>
                <w:rFonts w:eastAsia="Times New Roman" w:cs="Calibri"/>
                <w:sz w:val="16"/>
                <w:szCs w:val="16"/>
              </w:rPr>
            </w:pPr>
            <w:r w:rsidRPr="00A743C9">
              <w:rPr>
                <w:rFonts w:eastAsia="Times New Roman" w:cs="Calibri"/>
                <w:sz w:val="16"/>
                <w:szCs w:val="16"/>
              </w:rPr>
              <w:t xml:space="preserve">Croatia </w:t>
            </w:r>
            <w:r w:rsidRPr="00A743C9">
              <w:rPr>
                <w:rFonts w:eastAsia="Times New Roman" w:cs="Calibri"/>
                <w:sz w:val="16"/>
                <w:szCs w:val="16"/>
              </w:rPr>
              <w:fldChar w:fldCharType="begin"/>
            </w:r>
            <w:r w:rsidR="00903735">
              <w:rPr>
                <w:rFonts w:eastAsia="Times New Roman" w:cs="Calibri"/>
                <w:sz w:val="16"/>
                <w:szCs w:val="16"/>
              </w:rPr>
              <w:instrText xml:space="preserve"> ADDIN EN.CITE &lt;EndNote&gt;&lt;Cite&gt;&lt;Author&gt;European Commission&lt;/Author&gt;&lt;Year&gt;2017&lt;/Year&gt;&lt;RecNum&gt;13438&lt;/RecNum&gt;&lt;DisplayText&gt;(European Commission 2017)&lt;/DisplayText&gt;&lt;record&gt;&lt;rec-number&gt;13438&lt;/rec-number&gt;&lt;foreign-keys&gt;&lt;key app="EN" db-id="5xv5w5t2bdxtxfezx02xtxdft5rz5ptvvt29" timestamp="1527209032"&gt;13438&lt;/key&gt;&lt;/foreign-keys&gt;&lt;ref-type name="Web Page"&gt;12&lt;/ref-type&gt;&lt;contributors&gt;&lt;authors&gt;&lt;author&gt;European Commission,&lt;/author&gt;&lt;/authors&gt;&lt;/contributors&gt;&lt;titles&gt;&lt;title&gt;Attitudes of Europeans towards tobacco and electronic cigarettes&lt;/title&gt;&lt;/titles&gt;&lt;volume&gt;2018&lt;/volume&gt;&lt;number&gt;18.05.2018&lt;/number&gt;&lt;dates&gt;&lt;year&gt;2017&lt;/year&gt;&lt;/dates&gt;&lt;publisher&gt;European Commission&lt;/publisher&gt;&lt;urls&gt;&lt;related-urls&gt;&lt;url&gt;http://ec.europa.eu/commfrontoffice/publicopinion/index.cfm/Survey/getSurveyDetail/instruments/SPECIAL/yearFrom/2016/yearTo/2018/surveyKy/2146&lt;/url&gt;&lt;/related-urls&gt;&lt;/urls&gt;&lt;/record&gt;&lt;/Cite&gt;&lt;/EndNote&gt;</w:instrText>
            </w:r>
            <w:r w:rsidRPr="00A743C9">
              <w:rPr>
                <w:rFonts w:eastAsia="Times New Roman" w:cs="Calibri"/>
                <w:sz w:val="16"/>
                <w:szCs w:val="16"/>
              </w:rPr>
              <w:fldChar w:fldCharType="separate"/>
            </w:r>
            <w:r w:rsidRPr="00A743C9">
              <w:rPr>
                <w:rFonts w:eastAsia="Times New Roman" w:cs="Calibri"/>
                <w:noProof/>
                <w:sz w:val="16"/>
                <w:szCs w:val="16"/>
              </w:rPr>
              <w:t>(European Commission 2017)</w:t>
            </w:r>
            <w:r w:rsidRPr="00A743C9">
              <w:rPr>
                <w:rFonts w:eastAsia="Times New Roman" w:cs="Calibri"/>
                <w:sz w:val="16"/>
                <w:szCs w:val="16"/>
              </w:rPr>
              <w:fldChar w:fldCharType="end"/>
            </w:r>
          </w:p>
        </w:tc>
        <w:tc>
          <w:tcPr>
            <w:tcW w:w="1304" w:type="dxa"/>
            <w:tcBorders>
              <w:left w:val="single" w:sz="4" w:space="0" w:color="auto"/>
              <w:bottom w:val="nil"/>
              <w:right w:val="single" w:sz="4" w:space="0" w:color="auto"/>
            </w:tcBorders>
            <w:noWrap/>
            <w:hideMark/>
          </w:tcPr>
          <w:p w14:paraId="1331EA57"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2014</w:t>
            </w:r>
          </w:p>
        </w:tc>
        <w:tc>
          <w:tcPr>
            <w:tcW w:w="1650" w:type="dxa"/>
            <w:tcBorders>
              <w:left w:val="single" w:sz="4" w:space="0" w:color="auto"/>
              <w:bottom w:val="nil"/>
            </w:tcBorders>
            <w:noWrap/>
            <w:hideMark/>
          </w:tcPr>
          <w:p w14:paraId="7CF7B869"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0</w:t>
            </w:r>
          </w:p>
        </w:tc>
        <w:tc>
          <w:tcPr>
            <w:tcW w:w="1154" w:type="dxa"/>
            <w:tcBorders>
              <w:bottom w:val="nil"/>
              <w:right w:val="single" w:sz="4" w:space="0" w:color="auto"/>
            </w:tcBorders>
            <w:noWrap/>
            <w:hideMark/>
          </w:tcPr>
          <w:p w14:paraId="466A85D0"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11</w:t>
            </w:r>
          </w:p>
        </w:tc>
        <w:tc>
          <w:tcPr>
            <w:tcW w:w="1187" w:type="dxa"/>
            <w:tcBorders>
              <w:left w:val="single" w:sz="4" w:space="0" w:color="auto"/>
              <w:bottom w:val="nil"/>
            </w:tcBorders>
            <w:noWrap/>
            <w:hideMark/>
          </w:tcPr>
          <w:p w14:paraId="7F9C452A"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39.4</w:t>
            </w:r>
          </w:p>
        </w:tc>
        <w:tc>
          <w:tcPr>
            <w:tcW w:w="1531" w:type="dxa"/>
            <w:tcBorders>
              <w:bottom w:val="nil"/>
              <w:right w:val="single" w:sz="4" w:space="0" w:color="auto"/>
            </w:tcBorders>
            <w:noWrap/>
            <w:hideMark/>
          </w:tcPr>
          <w:p w14:paraId="29165CD6"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33.5</w:t>
            </w:r>
          </w:p>
        </w:tc>
      </w:tr>
      <w:tr w:rsidR="00B86BF1" w:rsidRPr="00A743C9" w14:paraId="0BF4F7A1" w14:textId="77777777" w:rsidTr="000376C7">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003" w:type="dxa"/>
            <w:tcBorders>
              <w:left w:val="single" w:sz="4" w:space="0" w:color="auto"/>
              <w:bottom w:val="nil"/>
              <w:right w:val="single" w:sz="4" w:space="0" w:color="auto"/>
            </w:tcBorders>
            <w:noWrap/>
            <w:hideMark/>
          </w:tcPr>
          <w:p w14:paraId="0C1054FB" w14:textId="77777777" w:rsidR="00B86BF1" w:rsidRPr="00A743C9" w:rsidRDefault="00B86BF1" w:rsidP="00903735">
            <w:pPr>
              <w:spacing w:after="0"/>
              <w:rPr>
                <w:rFonts w:eastAsia="Times New Roman" w:cs="Calibri"/>
                <w:sz w:val="16"/>
                <w:szCs w:val="16"/>
              </w:rPr>
            </w:pPr>
            <w:r w:rsidRPr="00A743C9">
              <w:rPr>
                <w:rFonts w:eastAsia="Times New Roman" w:cs="Calibri"/>
                <w:sz w:val="16"/>
                <w:szCs w:val="16"/>
              </w:rPr>
              <w:t xml:space="preserve">Czech Republic </w:t>
            </w:r>
            <w:r w:rsidRPr="00A743C9">
              <w:rPr>
                <w:rFonts w:eastAsia="Times New Roman" w:cs="Calibri"/>
                <w:sz w:val="16"/>
                <w:szCs w:val="16"/>
              </w:rPr>
              <w:fldChar w:fldCharType="begin"/>
            </w:r>
            <w:r w:rsidR="00903735">
              <w:rPr>
                <w:rFonts w:eastAsia="Times New Roman" w:cs="Calibri"/>
                <w:sz w:val="16"/>
                <w:szCs w:val="16"/>
              </w:rPr>
              <w:instrText xml:space="preserve"> ADDIN EN.CITE &lt;EndNote&gt;&lt;Cite&gt;&lt;Author&gt;European Commission&lt;/Author&gt;&lt;Year&gt;2017&lt;/Year&gt;&lt;RecNum&gt;13438&lt;/RecNum&gt;&lt;DisplayText&gt;(European Commission 2017)&lt;/DisplayText&gt;&lt;record&gt;&lt;rec-number&gt;13438&lt;/rec-number&gt;&lt;foreign-keys&gt;&lt;key app="EN" db-id="5xv5w5t2bdxtxfezx02xtxdft5rz5ptvvt29" timestamp="1527209032"&gt;13438&lt;/key&gt;&lt;/foreign-keys&gt;&lt;ref-type name="Web Page"&gt;12&lt;/ref-type&gt;&lt;contributors&gt;&lt;authors&gt;&lt;author&gt;European Commission,&lt;/author&gt;&lt;/authors&gt;&lt;/contributors&gt;&lt;titles&gt;&lt;title&gt;Attitudes of Europeans towards tobacco and electronic cigarettes&lt;/title&gt;&lt;/titles&gt;&lt;volume&gt;2018&lt;/volume&gt;&lt;number&gt;18.05.2018&lt;/number&gt;&lt;dates&gt;&lt;year&gt;2017&lt;/year&gt;&lt;/dates&gt;&lt;publisher&gt;European Commission&lt;/publisher&gt;&lt;urls&gt;&lt;related-urls&gt;&lt;url&gt;http://ec.europa.eu/commfrontoffice/publicopinion/index.cfm/Survey/getSurveyDetail/instruments/SPECIAL/yearFrom/2016/yearTo/2018/surveyKy/2146&lt;/url&gt;&lt;/related-urls&gt;&lt;/urls&gt;&lt;/record&gt;&lt;/Cite&gt;&lt;/EndNote&gt;</w:instrText>
            </w:r>
            <w:r w:rsidRPr="00A743C9">
              <w:rPr>
                <w:rFonts w:eastAsia="Times New Roman" w:cs="Calibri"/>
                <w:sz w:val="16"/>
                <w:szCs w:val="16"/>
              </w:rPr>
              <w:fldChar w:fldCharType="separate"/>
            </w:r>
            <w:r w:rsidRPr="00A743C9">
              <w:rPr>
                <w:rFonts w:eastAsia="Times New Roman" w:cs="Calibri"/>
                <w:noProof/>
                <w:sz w:val="16"/>
                <w:szCs w:val="16"/>
              </w:rPr>
              <w:t>(European Commission 2017)</w:t>
            </w:r>
            <w:r w:rsidRPr="00A743C9">
              <w:rPr>
                <w:rFonts w:eastAsia="Times New Roman" w:cs="Calibri"/>
                <w:sz w:val="16"/>
                <w:szCs w:val="16"/>
              </w:rPr>
              <w:fldChar w:fldCharType="end"/>
            </w:r>
          </w:p>
        </w:tc>
        <w:tc>
          <w:tcPr>
            <w:tcW w:w="1304" w:type="dxa"/>
            <w:tcBorders>
              <w:left w:val="single" w:sz="4" w:space="0" w:color="auto"/>
              <w:bottom w:val="nil"/>
              <w:right w:val="single" w:sz="4" w:space="0" w:color="auto"/>
            </w:tcBorders>
            <w:noWrap/>
            <w:hideMark/>
          </w:tcPr>
          <w:p w14:paraId="6998CAEB"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2014</w:t>
            </w:r>
          </w:p>
        </w:tc>
        <w:tc>
          <w:tcPr>
            <w:tcW w:w="1650" w:type="dxa"/>
            <w:tcBorders>
              <w:left w:val="single" w:sz="4" w:space="0" w:color="auto"/>
              <w:bottom w:val="nil"/>
            </w:tcBorders>
            <w:noWrap/>
            <w:hideMark/>
          </w:tcPr>
          <w:p w14:paraId="25AD79E1"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w:t>
            </w:r>
          </w:p>
        </w:tc>
        <w:tc>
          <w:tcPr>
            <w:tcW w:w="1154" w:type="dxa"/>
            <w:tcBorders>
              <w:bottom w:val="nil"/>
              <w:right w:val="single" w:sz="4" w:space="0" w:color="auto"/>
            </w:tcBorders>
            <w:noWrap/>
            <w:hideMark/>
          </w:tcPr>
          <w:p w14:paraId="0B2984C8"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20</w:t>
            </w:r>
          </w:p>
        </w:tc>
        <w:tc>
          <w:tcPr>
            <w:tcW w:w="1187" w:type="dxa"/>
            <w:tcBorders>
              <w:left w:val="single" w:sz="4" w:space="0" w:color="auto"/>
              <w:bottom w:val="nil"/>
            </w:tcBorders>
            <w:noWrap/>
            <w:hideMark/>
          </w:tcPr>
          <w:p w14:paraId="52D7B08A"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37.4</w:t>
            </w:r>
          </w:p>
        </w:tc>
        <w:tc>
          <w:tcPr>
            <w:tcW w:w="1531" w:type="dxa"/>
            <w:tcBorders>
              <w:bottom w:val="nil"/>
              <w:right w:val="single" w:sz="4" w:space="0" w:color="auto"/>
            </w:tcBorders>
            <w:noWrap/>
            <w:hideMark/>
          </w:tcPr>
          <w:p w14:paraId="379C8DB4"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29</w:t>
            </w:r>
          </w:p>
        </w:tc>
      </w:tr>
      <w:tr w:rsidR="00B86BF1" w:rsidRPr="00A743C9" w14:paraId="65C5F198" w14:textId="77777777" w:rsidTr="000376C7">
        <w:trPr>
          <w:trHeight w:val="287"/>
        </w:trPr>
        <w:tc>
          <w:tcPr>
            <w:cnfStyle w:val="001000000000" w:firstRow="0" w:lastRow="0" w:firstColumn="1" w:lastColumn="0" w:oddVBand="0" w:evenVBand="0" w:oddHBand="0" w:evenHBand="0" w:firstRowFirstColumn="0" w:firstRowLastColumn="0" w:lastRowFirstColumn="0" w:lastRowLastColumn="0"/>
            <w:tcW w:w="3003" w:type="dxa"/>
            <w:tcBorders>
              <w:left w:val="single" w:sz="4" w:space="0" w:color="auto"/>
              <w:bottom w:val="nil"/>
              <w:right w:val="single" w:sz="4" w:space="0" w:color="auto"/>
            </w:tcBorders>
            <w:noWrap/>
            <w:hideMark/>
          </w:tcPr>
          <w:p w14:paraId="4FCC88AB" w14:textId="77777777" w:rsidR="00B86BF1" w:rsidRPr="00A743C9" w:rsidRDefault="00B86BF1" w:rsidP="00903735">
            <w:pPr>
              <w:spacing w:after="0"/>
              <w:rPr>
                <w:rFonts w:eastAsia="Times New Roman" w:cs="Calibri"/>
                <w:sz w:val="16"/>
                <w:szCs w:val="16"/>
              </w:rPr>
            </w:pPr>
            <w:r w:rsidRPr="00A743C9">
              <w:rPr>
                <w:rFonts w:eastAsia="Times New Roman" w:cs="Calibri"/>
                <w:sz w:val="16"/>
                <w:szCs w:val="16"/>
              </w:rPr>
              <w:t xml:space="preserve">Denmark </w:t>
            </w:r>
            <w:r w:rsidRPr="00A743C9">
              <w:rPr>
                <w:rFonts w:eastAsia="Times New Roman" w:cs="Calibri"/>
                <w:sz w:val="16"/>
                <w:szCs w:val="16"/>
              </w:rPr>
              <w:fldChar w:fldCharType="begin"/>
            </w:r>
            <w:r w:rsidR="00903735">
              <w:rPr>
                <w:rFonts w:eastAsia="Times New Roman" w:cs="Calibri"/>
                <w:sz w:val="16"/>
                <w:szCs w:val="16"/>
              </w:rPr>
              <w:instrText xml:space="preserve"> ADDIN EN.CITE &lt;EndNote&gt;&lt;Cite&gt;&lt;Author&gt;European Commission&lt;/Author&gt;&lt;Year&gt;2017&lt;/Year&gt;&lt;RecNum&gt;13438&lt;/RecNum&gt;&lt;DisplayText&gt;(European Commission 2017)&lt;/DisplayText&gt;&lt;record&gt;&lt;rec-number&gt;13438&lt;/rec-number&gt;&lt;foreign-keys&gt;&lt;key app="EN" db-id="5xv5w5t2bdxtxfezx02xtxdft5rz5ptvvt29" timestamp="1527209032"&gt;13438&lt;/key&gt;&lt;/foreign-keys&gt;&lt;ref-type name="Web Page"&gt;12&lt;/ref-type&gt;&lt;contributors&gt;&lt;authors&gt;&lt;author&gt;European Commission,&lt;/author&gt;&lt;/authors&gt;&lt;/contributors&gt;&lt;titles&gt;&lt;title&gt;Attitudes of Europeans towards tobacco and electronic cigarettes&lt;/title&gt;&lt;/titles&gt;&lt;volume&gt;2018&lt;/volume&gt;&lt;number&gt;18.05.2018&lt;/number&gt;&lt;dates&gt;&lt;year&gt;2017&lt;/year&gt;&lt;/dates&gt;&lt;publisher&gt;European Commission&lt;/publisher&gt;&lt;urls&gt;&lt;related-urls&gt;&lt;url&gt;http://ec.europa.eu/commfrontoffice/publicopinion/index.cfm/Survey/getSurveyDetail/instruments/SPECIAL/yearFrom/2016/yearTo/2018/surveyKy/2146&lt;/url&gt;&lt;/related-urls&gt;&lt;/urls&gt;&lt;/record&gt;&lt;/Cite&gt;&lt;/EndNote&gt;</w:instrText>
            </w:r>
            <w:r w:rsidRPr="00A743C9">
              <w:rPr>
                <w:rFonts w:eastAsia="Times New Roman" w:cs="Calibri"/>
                <w:sz w:val="16"/>
                <w:szCs w:val="16"/>
              </w:rPr>
              <w:fldChar w:fldCharType="separate"/>
            </w:r>
            <w:r w:rsidRPr="00A743C9">
              <w:rPr>
                <w:rFonts w:eastAsia="Times New Roman" w:cs="Calibri"/>
                <w:noProof/>
                <w:sz w:val="16"/>
                <w:szCs w:val="16"/>
              </w:rPr>
              <w:t>(European Commission 2017)</w:t>
            </w:r>
            <w:r w:rsidRPr="00A743C9">
              <w:rPr>
                <w:rFonts w:eastAsia="Times New Roman" w:cs="Calibri"/>
                <w:sz w:val="16"/>
                <w:szCs w:val="16"/>
              </w:rPr>
              <w:fldChar w:fldCharType="end"/>
            </w:r>
          </w:p>
        </w:tc>
        <w:tc>
          <w:tcPr>
            <w:tcW w:w="1304" w:type="dxa"/>
            <w:tcBorders>
              <w:left w:val="single" w:sz="4" w:space="0" w:color="auto"/>
              <w:bottom w:val="nil"/>
              <w:right w:val="single" w:sz="4" w:space="0" w:color="auto"/>
            </w:tcBorders>
            <w:noWrap/>
            <w:hideMark/>
          </w:tcPr>
          <w:p w14:paraId="74A3F643"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2014</w:t>
            </w:r>
          </w:p>
        </w:tc>
        <w:tc>
          <w:tcPr>
            <w:tcW w:w="1650" w:type="dxa"/>
            <w:tcBorders>
              <w:left w:val="single" w:sz="4" w:space="0" w:color="auto"/>
              <w:bottom w:val="nil"/>
            </w:tcBorders>
            <w:noWrap/>
            <w:hideMark/>
          </w:tcPr>
          <w:p w14:paraId="512B68FE"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w:t>
            </w:r>
          </w:p>
        </w:tc>
        <w:tc>
          <w:tcPr>
            <w:tcW w:w="1154" w:type="dxa"/>
            <w:tcBorders>
              <w:bottom w:val="nil"/>
              <w:right w:val="single" w:sz="4" w:space="0" w:color="auto"/>
            </w:tcBorders>
            <w:noWrap/>
            <w:hideMark/>
          </w:tcPr>
          <w:p w14:paraId="0967AD78"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16</w:t>
            </w:r>
          </w:p>
        </w:tc>
        <w:tc>
          <w:tcPr>
            <w:tcW w:w="1187" w:type="dxa"/>
            <w:tcBorders>
              <w:left w:val="single" w:sz="4" w:space="0" w:color="auto"/>
              <w:bottom w:val="nil"/>
            </w:tcBorders>
            <w:noWrap/>
            <w:hideMark/>
          </w:tcPr>
          <w:p w14:paraId="69769C39"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17.6</w:t>
            </w:r>
          </w:p>
        </w:tc>
        <w:tc>
          <w:tcPr>
            <w:tcW w:w="1531" w:type="dxa"/>
            <w:tcBorders>
              <w:bottom w:val="nil"/>
              <w:right w:val="single" w:sz="4" w:space="0" w:color="auto"/>
            </w:tcBorders>
            <w:noWrap/>
            <w:hideMark/>
          </w:tcPr>
          <w:p w14:paraId="0654296D"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16.4</w:t>
            </w:r>
          </w:p>
        </w:tc>
      </w:tr>
      <w:tr w:rsidR="00B86BF1" w:rsidRPr="00A743C9" w14:paraId="2405515A" w14:textId="77777777" w:rsidTr="000376C7">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003" w:type="dxa"/>
            <w:tcBorders>
              <w:left w:val="single" w:sz="4" w:space="0" w:color="auto"/>
              <w:bottom w:val="nil"/>
              <w:right w:val="single" w:sz="4" w:space="0" w:color="auto"/>
            </w:tcBorders>
            <w:noWrap/>
            <w:hideMark/>
          </w:tcPr>
          <w:p w14:paraId="75D23A7E" w14:textId="77777777" w:rsidR="00B86BF1" w:rsidRPr="00A743C9" w:rsidRDefault="00B86BF1" w:rsidP="00903735">
            <w:pPr>
              <w:spacing w:after="0"/>
              <w:rPr>
                <w:rFonts w:eastAsia="Times New Roman" w:cs="Calibri"/>
                <w:sz w:val="16"/>
                <w:szCs w:val="16"/>
              </w:rPr>
            </w:pPr>
            <w:r w:rsidRPr="00A743C9">
              <w:rPr>
                <w:rFonts w:eastAsia="Times New Roman" w:cs="Calibri"/>
                <w:sz w:val="16"/>
                <w:szCs w:val="16"/>
              </w:rPr>
              <w:t xml:space="preserve">Estonia </w:t>
            </w:r>
            <w:r w:rsidRPr="00A743C9">
              <w:rPr>
                <w:rFonts w:eastAsia="Times New Roman" w:cs="Calibri"/>
                <w:sz w:val="16"/>
                <w:szCs w:val="16"/>
              </w:rPr>
              <w:fldChar w:fldCharType="begin"/>
            </w:r>
            <w:r w:rsidR="00903735">
              <w:rPr>
                <w:rFonts w:eastAsia="Times New Roman" w:cs="Calibri"/>
                <w:sz w:val="16"/>
                <w:szCs w:val="16"/>
              </w:rPr>
              <w:instrText xml:space="preserve"> ADDIN EN.CITE &lt;EndNote&gt;&lt;Cite&gt;&lt;Author&gt;European Commission&lt;/Author&gt;&lt;Year&gt;2017&lt;/Year&gt;&lt;RecNum&gt;13438&lt;/RecNum&gt;&lt;DisplayText&gt;(European Commission 2017)&lt;/DisplayText&gt;&lt;record&gt;&lt;rec-number&gt;13438&lt;/rec-number&gt;&lt;foreign-keys&gt;&lt;key app="EN" db-id="5xv5w5t2bdxtxfezx02xtxdft5rz5ptvvt29" timestamp="1527209032"&gt;13438&lt;/key&gt;&lt;/foreign-keys&gt;&lt;ref-type name="Web Page"&gt;12&lt;/ref-type&gt;&lt;contributors&gt;&lt;authors&gt;&lt;author&gt;European Commission,&lt;/author&gt;&lt;/authors&gt;&lt;/contributors&gt;&lt;titles&gt;&lt;title&gt;Attitudes of Europeans towards tobacco and electronic cigarettes&lt;/title&gt;&lt;/titles&gt;&lt;volume&gt;2018&lt;/volume&gt;&lt;number&gt;18.05.2018&lt;/number&gt;&lt;dates&gt;&lt;year&gt;2017&lt;/year&gt;&lt;/dates&gt;&lt;publisher&gt;European Commission&lt;/publisher&gt;&lt;urls&gt;&lt;related-urls&gt;&lt;url&gt;http://ec.europa.eu/commfrontoffice/publicopinion/index.cfm/Survey/getSurveyDetail/instruments/SPECIAL/yearFrom/2016/yearTo/2018/surveyKy/2146&lt;/url&gt;&lt;/related-urls&gt;&lt;/urls&gt;&lt;/record&gt;&lt;/Cite&gt;&lt;/EndNote&gt;</w:instrText>
            </w:r>
            <w:r w:rsidRPr="00A743C9">
              <w:rPr>
                <w:rFonts w:eastAsia="Times New Roman" w:cs="Calibri"/>
                <w:sz w:val="16"/>
                <w:szCs w:val="16"/>
              </w:rPr>
              <w:fldChar w:fldCharType="separate"/>
            </w:r>
            <w:r w:rsidRPr="00A743C9">
              <w:rPr>
                <w:rFonts w:eastAsia="Times New Roman" w:cs="Calibri"/>
                <w:noProof/>
                <w:sz w:val="16"/>
                <w:szCs w:val="16"/>
              </w:rPr>
              <w:t>(European Commission 2017)</w:t>
            </w:r>
            <w:r w:rsidRPr="00A743C9">
              <w:rPr>
                <w:rFonts w:eastAsia="Times New Roman" w:cs="Calibri"/>
                <w:sz w:val="16"/>
                <w:szCs w:val="16"/>
              </w:rPr>
              <w:fldChar w:fldCharType="end"/>
            </w:r>
          </w:p>
        </w:tc>
        <w:tc>
          <w:tcPr>
            <w:tcW w:w="1304" w:type="dxa"/>
            <w:tcBorders>
              <w:left w:val="single" w:sz="4" w:space="0" w:color="auto"/>
              <w:bottom w:val="nil"/>
              <w:right w:val="single" w:sz="4" w:space="0" w:color="auto"/>
            </w:tcBorders>
            <w:noWrap/>
            <w:hideMark/>
          </w:tcPr>
          <w:p w14:paraId="1D1AF1A8"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2014</w:t>
            </w:r>
          </w:p>
        </w:tc>
        <w:tc>
          <w:tcPr>
            <w:tcW w:w="1650" w:type="dxa"/>
            <w:tcBorders>
              <w:left w:val="single" w:sz="4" w:space="0" w:color="auto"/>
              <w:bottom w:val="nil"/>
            </w:tcBorders>
            <w:noWrap/>
            <w:hideMark/>
          </w:tcPr>
          <w:p w14:paraId="2DB57381"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w:t>
            </w:r>
          </w:p>
        </w:tc>
        <w:tc>
          <w:tcPr>
            <w:tcW w:w="1154" w:type="dxa"/>
            <w:tcBorders>
              <w:bottom w:val="nil"/>
              <w:right w:val="single" w:sz="4" w:space="0" w:color="auto"/>
            </w:tcBorders>
            <w:noWrap/>
            <w:hideMark/>
          </w:tcPr>
          <w:p w14:paraId="251CDB8E"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21</w:t>
            </w:r>
          </w:p>
        </w:tc>
        <w:tc>
          <w:tcPr>
            <w:tcW w:w="1187" w:type="dxa"/>
            <w:tcBorders>
              <w:left w:val="single" w:sz="4" w:space="0" w:color="auto"/>
              <w:bottom w:val="nil"/>
            </w:tcBorders>
            <w:noWrap/>
            <w:hideMark/>
          </w:tcPr>
          <w:p w14:paraId="5F1F9932"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41.2</w:t>
            </w:r>
          </w:p>
        </w:tc>
        <w:tc>
          <w:tcPr>
            <w:tcW w:w="1531" w:type="dxa"/>
            <w:tcBorders>
              <w:bottom w:val="nil"/>
              <w:right w:val="single" w:sz="4" w:space="0" w:color="auto"/>
            </w:tcBorders>
            <w:noWrap/>
            <w:hideMark/>
          </w:tcPr>
          <w:p w14:paraId="5A44FF5C"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24.9</w:t>
            </w:r>
          </w:p>
        </w:tc>
      </w:tr>
      <w:tr w:rsidR="00B86BF1" w:rsidRPr="00A743C9" w14:paraId="3A8ABE18" w14:textId="77777777" w:rsidTr="000376C7">
        <w:trPr>
          <w:trHeight w:val="287"/>
        </w:trPr>
        <w:tc>
          <w:tcPr>
            <w:cnfStyle w:val="001000000000" w:firstRow="0" w:lastRow="0" w:firstColumn="1" w:lastColumn="0" w:oddVBand="0" w:evenVBand="0" w:oddHBand="0" w:evenHBand="0" w:firstRowFirstColumn="0" w:firstRowLastColumn="0" w:lastRowFirstColumn="0" w:lastRowLastColumn="0"/>
            <w:tcW w:w="3003" w:type="dxa"/>
            <w:tcBorders>
              <w:left w:val="single" w:sz="4" w:space="0" w:color="auto"/>
              <w:bottom w:val="nil"/>
              <w:right w:val="single" w:sz="4" w:space="0" w:color="auto"/>
            </w:tcBorders>
            <w:noWrap/>
            <w:hideMark/>
          </w:tcPr>
          <w:p w14:paraId="7B0EB6DE" w14:textId="77777777" w:rsidR="00B86BF1" w:rsidRPr="00A743C9" w:rsidRDefault="00B86BF1" w:rsidP="00903735">
            <w:pPr>
              <w:spacing w:after="0"/>
              <w:rPr>
                <w:rFonts w:eastAsia="Times New Roman" w:cs="Calibri"/>
                <w:sz w:val="16"/>
                <w:szCs w:val="16"/>
              </w:rPr>
            </w:pPr>
            <w:r w:rsidRPr="00A743C9">
              <w:rPr>
                <w:rFonts w:eastAsia="Times New Roman" w:cs="Calibri"/>
                <w:sz w:val="16"/>
                <w:szCs w:val="16"/>
              </w:rPr>
              <w:t xml:space="preserve">Finland </w:t>
            </w:r>
            <w:r w:rsidRPr="00A743C9">
              <w:rPr>
                <w:rFonts w:eastAsia="Times New Roman" w:cs="Calibri"/>
                <w:sz w:val="16"/>
                <w:szCs w:val="16"/>
              </w:rPr>
              <w:fldChar w:fldCharType="begin"/>
            </w:r>
            <w:r w:rsidR="00903735">
              <w:rPr>
                <w:rFonts w:eastAsia="Times New Roman" w:cs="Calibri"/>
                <w:sz w:val="16"/>
                <w:szCs w:val="16"/>
              </w:rPr>
              <w:instrText xml:space="preserve"> ADDIN EN.CITE &lt;EndNote&gt;&lt;Cite&gt;&lt;Author&gt;European Commission&lt;/Author&gt;&lt;Year&gt;2017&lt;/Year&gt;&lt;RecNum&gt;13438&lt;/RecNum&gt;&lt;DisplayText&gt;(European Commission 2017)&lt;/DisplayText&gt;&lt;record&gt;&lt;rec-number&gt;13438&lt;/rec-number&gt;&lt;foreign-keys&gt;&lt;key app="EN" db-id="5xv5w5t2bdxtxfezx02xtxdft5rz5ptvvt29" timestamp="1527209032"&gt;13438&lt;/key&gt;&lt;/foreign-keys&gt;&lt;ref-type name="Web Page"&gt;12&lt;/ref-type&gt;&lt;contributors&gt;&lt;authors&gt;&lt;author&gt;European Commission,&lt;/author&gt;&lt;/authors&gt;&lt;/contributors&gt;&lt;titles&gt;&lt;title&gt;Attitudes of Europeans towards tobacco and electronic cigarettes&lt;/title&gt;&lt;/titles&gt;&lt;volume&gt;2018&lt;/volume&gt;&lt;number&gt;18.05.2018&lt;/number&gt;&lt;dates&gt;&lt;year&gt;2017&lt;/year&gt;&lt;/dates&gt;&lt;publisher&gt;European Commission&lt;/publisher&gt;&lt;urls&gt;&lt;related-urls&gt;&lt;url&gt;http://ec.europa.eu/commfrontoffice/publicopinion/index.cfm/Survey/getSurveyDetail/instruments/SPECIAL/yearFrom/2016/yearTo/2018/surveyKy/2146&lt;/url&gt;&lt;/related-urls&gt;&lt;/urls&gt;&lt;/record&gt;&lt;/Cite&gt;&lt;/EndNote&gt;</w:instrText>
            </w:r>
            <w:r w:rsidRPr="00A743C9">
              <w:rPr>
                <w:rFonts w:eastAsia="Times New Roman" w:cs="Calibri"/>
                <w:sz w:val="16"/>
                <w:szCs w:val="16"/>
              </w:rPr>
              <w:fldChar w:fldCharType="separate"/>
            </w:r>
            <w:r w:rsidRPr="00A743C9">
              <w:rPr>
                <w:rFonts w:eastAsia="Times New Roman" w:cs="Calibri"/>
                <w:noProof/>
                <w:sz w:val="16"/>
                <w:szCs w:val="16"/>
              </w:rPr>
              <w:t>(European Commission 2017)</w:t>
            </w:r>
            <w:r w:rsidRPr="00A743C9">
              <w:rPr>
                <w:rFonts w:eastAsia="Times New Roman" w:cs="Calibri"/>
                <w:sz w:val="16"/>
                <w:szCs w:val="16"/>
              </w:rPr>
              <w:fldChar w:fldCharType="end"/>
            </w:r>
          </w:p>
        </w:tc>
        <w:tc>
          <w:tcPr>
            <w:tcW w:w="1304" w:type="dxa"/>
            <w:tcBorders>
              <w:left w:val="single" w:sz="4" w:space="0" w:color="auto"/>
              <w:bottom w:val="nil"/>
              <w:right w:val="single" w:sz="4" w:space="0" w:color="auto"/>
            </w:tcBorders>
            <w:noWrap/>
            <w:hideMark/>
          </w:tcPr>
          <w:p w14:paraId="7E8A664B"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2014</w:t>
            </w:r>
          </w:p>
        </w:tc>
        <w:tc>
          <w:tcPr>
            <w:tcW w:w="1650" w:type="dxa"/>
            <w:tcBorders>
              <w:left w:val="single" w:sz="4" w:space="0" w:color="auto"/>
              <w:bottom w:val="nil"/>
            </w:tcBorders>
            <w:noWrap/>
            <w:hideMark/>
          </w:tcPr>
          <w:p w14:paraId="1E8350FF"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w:t>
            </w:r>
          </w:p>
        </w:tc>
        <w:tc>
          <w:tcPr>
            <w:tcW w:w="1154" w:type="dxa"/>
            <w:tcBorders>
              <w:bottom w:val="nil"/>
              <w:right w:val="single" w:sz="4" w:space="0" w:color="auto"/>
            </w:tcBorders>
            <w:noWrap/>
            <w:hideMark/>
          </w:tcPr>
          <w:p w14:paraId="2EC702F5"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17</w:t>
            </w:r>
          </w:p>
        </w:tc>
        <w:tc>
          <w:tcPr>
            <w:tcW w:w="1187" w:type="dxa"/>
            <w:tcBorders>
              <w:left w:val="single" w:sz="4" w:space="0" w:color="auto"/>
              <w:bottom w:val="nil"/>
            </w:tcBorders>
            <w:noWrap/>
            <w:hideMark/>
          </w:tcPr>
          <w:p w14:paraId="23C92CF3"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23.2</w:t>
            </w:r>
          </w:p>
        </w:tc>
        <w:tc>
          <w:tcPr>
            <w:tcW w:w="1531" w:type="dxa"/>
            <w:tcBorders>
              <w:bottom w:val="nil"/>
              <w:right w:val="single" w:sz="4" w:space="0" w:color="auto"/>
            </w:tcBorders>
            <w:noWrap/>
            <w:hideMark/>
          </w:tcPr>
          <w:p w14:paraId="77CE25BD"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18.5</w:t>
            </w:r>
          </w:p>
        </w:tc>
      </w:tr>
      <w:tr w:rsidR="00B86BF1" w:rsidRPr="00A743C9" w14:paraId="3CFA7D60" w14:textId="77777777" w:rsidTr="000376C7">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003" w:type="dxa"/>
            <w:tcBorders>
              <w:left w:val="single" w:sz="4" w:space="0" w:color="auto"/>
              <w:bottom w:val="nil"/>
              <w:right w:val="single" w:sz="4" w:space="0" w:color="auto"/>
            </w:tcBorders>
            <w:noWrap/>
            <w:hideMark/>
          </w:tcPr>
          <w:p w14:paraId="77AB7110" w14:textId="77777777" w:rsidR="00B86BF1" w:rsidRPr="00A743C9" w:rsidRDefault="00B86BF1" w:rsidP="00903735">
            <w:pPr>
              <w:spacing w:after="0"/>
              <w:rPr>
                <w:rFonts w:eastAsia="Times New Roman" w:cs="Calibri"/>
                <w:sz w:val="16"/>
                <w:szCs w:val="16"/>
              </w:rPr>
            </w:pPr>
            <w:r w:rsidRPr="00A743C9">
              <w:rPr>
                <w:rFonts w:eastAsia="Times New Roman" w:cs="Calibri"/>
                <w:sz w:val="16"/>
                <w:szCs w:val="16"/>
              </w:rPr>
              <w:t xml:space="preserve">France </w:t>
            </w:r>
            <w:r w:rsidRPr="00A743C9">
              <w:rPr>
                <w:rFonts w:eastAsia="Times New Roman" w:cs="Calibri"/>
                <w:sz w:val="16"/>
                <w:szCs w:val="16"/>
              </w:rPr>
              <w:fldChar w:fldCharType="begin"/>
            </w:r>
            <w:r w:rsidR="00903735">
              <w:rPr>
                <w:rFonts w:eastAsia="Times New Roman" w:cs="Calibri"/>
                <w:sz w:val="16"/>
                <w:szCs w:val="16"/>
              </w:rPr>
              <w:instrText xml:space="preserve"> ADDIN EN.CITE &lt;EndNote&gt;&lt;Cite&gt;&lt;Author&gt;European Commission&lt;/Author&gt;&lt;Year&gt;2017&lt;/Year&gt;&lt;RecNum&gt;13438&lt;/RecNum&gt;&lt;DisplayText&gt;(European Commission 2017)&lt;/DisplayText&gt;&lt;record&gt;&lt;rec-number&gt;13438&lt;/rec-number&gt;&lt;foreign-keys&gt;&lt;key app="EN" db-id="5xv5w5t2bdxtxfezx02xtxdft5rz5ptvvt29" timestamp="1527209032"&gt;13438&lt;/key&gt;&lt;/foreign-keys&gt;&lt;ref-type name="Web Page"&gt;12&lt;/ref-type&gt;&lt;contributors&gt;&lt;authors&gt;&lt;author&gt;European Commission,&lt;/author&gt;&lt;/authors&gt;&lt;/contributors&gt;&lt;titles&gt;&lt;title&gt;Attitudes of Europeans towards tobacco and electronic cigarettes&lt;/title&gt;&lt;/titles&gt;&lt;volume&gt;2018&lt;/volume&gt;&lt;number&gt;18.05.2018&lt;/number&gt;&lt;dates&gt;&lt;year&gt;2017&lt;/year&gt;&lt;/dates&gt;&lt;publisher&gt;European Commission&lt;/publisher&gt;&lt;urls&gt;&lt;related-urls&gt;&lt;url&gt;http://ec.europa.eu/commfrontoffice/publicopinion/index.cfm/Survey/getSurveyDetail/instruments/SPECIAL/yearFrom/2016/yearTo/2018/surveyKy/2146&lt;/url&gt;&lt;/related-urls&gt;&lt;/urls&gt;&lt;/record&gt;&lt;/Cite&gt;&lt;/EndNote&gt;</w:instrText>
            </w:r>
            <w:r w:rsidRPr="00A743C9">
              <w:rPr>
                <w:rFonts w:eastAsia="Times New Roman" w:cs="Calibri"/>
                <w:sz w:val="16"/>
                <w:szCs w:val="16"/>
              </w:rPr>
              <w:fldChar w:fldCharType="separate"/>
            </w:r>
            <w:r w:rsidRPr="00A743C9">
              <w:rPr>
                <w:rFonts w:eastAsia="Times New Roman" w:cs="Calibri"/>
                <w:noProof/>
                <w:sz w:val="16"/>
                <w:szCs w:val="16"/>
              </w:rPr>
              <w:t>(European Commission 2017)</w:t>
            </w:r>
            <w:r w:rsidRPr="00A743C9">
              <w:rPr>
                <w:rFonts w:eastAsia="Times New Roman" w:cs="Calibri"/>
                <w:sz w:val="16"/>
                <w:szCs w:val="16"/>
              </w:rPr>
              <w:fldChar w:fldCharType="end"/>
            </w:r>
          </w:p>
        </w:tc>
        <w:tc>
          <w:tcPr>
            <w:tcW w:w="1304" w:type="dxa"/>
            <w:tcBorders>
              <w:left w:val="single" w:sz="4" w:space="0" w:color="auto"/>
              <w:bottom w:val="nil"/>
              <w:right w:val="single" w:sz="4" w:space="0" w:color="auto"/>
            </w:tcBorders>
            <w:noWrap/>
            <w:hideMark/>
          </w:tcPr>
          <w:p w14:paraId="071D648F"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2014</w:t>
            </w:r>
          </w:p>
        </w:tc>
        <w:tc>
          <w:tcPr>
            <w:tcW w:w="1650" w:type="dxa"/>
            <w:tcBorders>
              <w:left w:val="single" w:sz="4" w:space="0" w:color="auto"/>
              <w:bottom w:val="nil"/>
            </w:tcBorders>
            <w:noWrap/>
            <w:hideMark/>
          </w:tcPr>
          <w:p w14:paraId="0DA76B3D"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4</w:t>
            </w:r>
          </w:p>
        </w:tc>
        <w:tc>
          <w:tcPr>
            <w:tcW w:w="1154" w:type="dxa"/>
            <w:tcBorders>
              <w:bottom w:val="nil"/>
              <w:right w:val="single" w:sz="4" w:space="0" w:color="auto"/>
            </w:tcBorders>
            <w:noWrap/>
            <w:hideMark/>
          </w:tcPr>
          <w:p w14:paraId="6AC9B9DB"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24</w:t>
            </w:r>
          </w:p>
        </w:tc>
        <w:tc>
          <w:tcPr>
            <w:tcW w:w="1187" w:type="dxa"/>
            <w:tcBorders>
              <w:left w:val="single" w:sz="4" w:space="0" w:color="auto"/>
              <w:bottom w:val="nil"/>
            </w:tcBorders>
            <w:noWrap/>
            <w:hideMark/>
          </w:tcPr>
          <w:p w14:paraId="57EBF753"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29.8</w:t>
            </w:r>
          </w:p>
        </w:tc>
        <w:tc>
          <w:tcPr>
            <w:tcW w:w="1531" w:type="dxa"/>
            <w:tcBorders>
              <w:bottom w:val="nil"/>
              <w:right w:val="single" w:sz="4" w:space="0" w:color="auto"/>
            </w:tcBorders>
            <w:noWrap/>
            <w:hideMark/>
          </w:tcPr>
          <w:p w14:paraId="127C133B"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25.6</w:t>
            </w:r>
          </w:p>
        </w:tc>
      </w:tr>
      <w:tr w:rsidR="00B86BF1" w:rsidRPr="00A743C9" w14:paraId="2F4F486D" w14:textId="77777777" w:rsidTr="000376C7">
        <w:trPr>
          <w:trHeight w:val="287"/>
        </w:trPr>
        <w:tc>
          <w:tcPr>
            <w:cnfStyle w:val="001000000000" w:firstRow="0" w:lastRow="0" w:firstColumn="1" w:lastColumn="0" w:oddVBand="0" w:evenVBand="0" w:oddHBand="0" w:evenHBand="0" w:firstRowFirstColumn="0" w:firstRowLastColumn="0" w:lastRowFirstColumn="0" w:lastRowLastColumn="0"/>
            <w:tcW w:w="3003" w:type="dxa"/>
            <w:tcBorders>
              <w:left w:val="single" w:sz="4" w:space="0" w:color="auto"/>
              <w:bottom w:val="nil"/>
              <w:right w:val="single" w:sz="4" w:space="0" w:color="auto"/>
            </w:tcBorders>
            <w:noWrap/>
            <w:hideMark/>
          </w:tcPr>
          <w:p w14:paraId="70A89587" w14:textId="77777777" w:rsidR="00B86BF1" w:rsidRPr="00A743C9" w:rsidRDefault="00B86BF1" w:rsidP="00903735">
            <w:pPr>
              <w:spacing w:after="0"/>
              <w:rPr>
                <w:rFonts w:eastAsia="Times New Roman" w:cs="Calibri"/>
                <w:sz w:val="16"/>
                <w:szCs w:val="16"/>
              </w:rPr>
            </w:pPr>
            <w:r w:rsidRPr="00A743C9">
              <w:rPr>
                <w:rFonts w:eastAsia="Times New Roman" w:cs="Calibri"/>
                <w:sz w:val="16"/>
                <w:szCs w:val="16"/>
              </w:rPr>
              <w:t xml:space="preserve">Germany </w:t>
            </w:r>
            <w:r w:rsidRPr="00A743C9">
              <w:rPr>
                <w:rFonts w:eastAsia="Times New Roman" w:cs="Calibri"/>
                <w:sz w:val="16"/>
                <w:szCs w:val="16"/>
              </w:rPr>
              <w:fldChar w:fldCharType="begin"/>
            </w:r>
            <w:r w:rsidR="00903735">
              <w:rPr>
                <w:rFonts w:eastAsia="Times New Roman" w:cs="Calibri"/>
                <w:sz w:val="16"/>
                <w:szCs w:val="16"/>
              </w:rPr>
              <w:instrText xml:space="preserve"> ADDIN EN.CITE &lt;EndNote&gt;&lt;Cite&gt;&lt;Author&gt;European Commission&lt;/Author&gt;&lt;Year&gt;2017&lt;/Year&gt;&lt;RecNum&gt;13438&lt;/RecNum&gt;&lt;DisplayText&gt;(European Commission 2017)&lt;/DisplayText&gt;&lt;record&gt;&lt;rec-number&gt;13438&lt;/rec-number&gt;&lt;foreign-keys&gt;&lt;key app="EN" db-id="5xv5w5t2bdxtxfezx02xtxdft5rz5ptvvt29" timestamp="1527209032"&gt;13438&lt;/key&gt;&lt;/foreign-keys&gt;&lt;ref-type name="Web Page"&gt;12&lt;/ref-type&gt;&lt;contributors&gt;&lt;authors&gt;&lt;author&gt;European Commission,&lt;/author&gt;&lt;/authors&gt;&lt;/contributors&gt;&lt;titles&gt;&lt;title&gt;Attitudes of Europeans towards tobacco and electronic cigarettes&lt;/title&gt;&lt;/titles&gt;&lt;volume&gt;2018&lt;/volume&gt;&lt;number&gt;18.05.2018&lt;/number&gt;&lt;dates&gt;&lt;year&gt;2017&lt;/year&gt;&lt;/dates&gt;&lt;publisher&gt;European Commission&lt;/publisher&gt;&lt;urls&gt;&lt;related-urls&gt;&lt;url&gt;http://ec.europa.eu/commfrontoffice/publicopinion/index.cfm/Survey/getSurveyDetail/instruments/SPECIAL/yearFrom/2016/yearTo/2018/surveyKy/2146&lt;/url&gt;&lt;/related-urls&gt;&lt;/urls&gt;&lt;/record&gt;&lt;/Cite&gt;&lt;/EndNote&gt;</w:instrText>
            </w:r>
            <w:r w:rsidRPr="00A743C9">
              <w:rPr>
                <w:rFonts w:eastAsia="Times New Roman" w:cs="Calibri"/>
                <w:sz w:val="16"/>
                <w:szCs w:val="16"/>
              </w:rPr>
              <w:fldChar w:fldCharType="separate"/>
            </w:r>
            <w:r w:rsidRPr="00A743C9">
              <w:rPr>
                <w:rFonts w:eastAsia="Times New Roman" w:cs="Calibri"/>
                <w:noProof/>
                <w:sz w:val="16"/>
                <w:szCs w:val="16"/>
              </w:rPr>
              <w:t>(European Commission 2017)</w:t>
            </w:r>
            <w:r w:rsidRPr="00A743C9">
              <w:rPr>
                <w:rFonts w:eastAsia="Times New Roman" w:cs="Calibri"/>
                <w:sz w:val="16"/>
                <w:szCs w:val="16"/>
              </w:rPr>
              <w:fldChar w:fldCharType="end"/>
            </w:r>
          </w:p>
        </w:tc>
        <w:tc>
          <w:tcPr>
            <w:tcW w:w="1304" w:type="dxa"/>
            <w:tcBorders>
              <w:left w:val="single" w:sz="4" w:space="0" w:color="auto"/>
              <w:bottom w:val="nil"/>
              <w:right w:val="single" w:sz="4" w:space="0" w:color="auto"/>
            </w:tcBorders>
            <w:noWrap/>
            <w:hideMark/>
          </w:tcPr>
          <w:p w14:paraId="0E7D4B17"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2014</w:t>
            </w:r>
          </w:p>
        </w:tc>
        <w:tc>
          <w:tcPr>
            <w:tcW w:w="1650" w:type="dxa"/>
            <w:tcBorders>
              <w:left w:val="single" w:sz="4" w:space="0" w:color="auto"/>
              <w:bottom w:val="nil"/>
            </w:tcBorders>
            <w:noWrap/>
            <w:hideMark/>
          </w:tcPr>
          <w:p w14:paraId="77B66C52"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w:t>
            </w:r>
          </w:p>
        </w:tc>
        <w:tc>
          <w:tcPr>
            <w:tcW w:w="1154" w:type="dxa"/>
            <w:tcBorders>
              <w:bottom w:val="nil"/>
              <w:right w:val="single" w:sz="4" w:space="0" w:color="auto"/>
            </w:tcBorders>
            <w:noWrap/>
            <w:hideMark/>
          </w:tcPr>
          <w:p w14:paraId="2C66841F"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12</w:t>
            </w:r>
          </w:p>
        </w:tc>
        <w:tc>
          <w:tcPr>
            <w:tcW w:w="1187" w:type="dxa"/>
            <w:tcBorders>
              <w:left w:val="single" w:sz="4" w:space="0" w:color="auto"/>
              <w:bottom w:val="nil"/>
            </w:tcBorders>
            <w:noWrap/>
            <w:hideMark/>
          </w:tcPr>
          <w:p w14:paraId="73E75653"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32.4</w:t>
            </w:r>
          </w:p>
        </w:tc>
        <w:tc>
          <w:tcPr>
            <w:tcW w:w="1531" w:type="dxa"/>
            <w:tcBorders>
              <w:bottom w:val="nil"/>
              <w:right w:val="single" w:sz="4" w:space="0" w:color="auto"/>
            </w:tcBorders>
            <w:noWrap/>
            <w:hideMark/>
          </w:tcPr>
          <w:p w14:paraId="0CE7AFC8"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28.3</w:t>
            </w:r>
          </w:p>
        </w:tc>
      </w:tr>
      <w:tr w:rsidR="00B86BF1" w:rsidRPr="00A743C9" w14:paraId="0E895B7B" w14:textId="77777777" w:rsidTr="000376C7">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003" w:type="dxa"/>
            <w:tcBorders>
              <w:left w:val="single" w:sz="4" w:space="0" w:color="auto"/>
              <w:bottom w:val="nil"/>
              <w:right w:val="single" w:sz="4" w:space="0" w:color="auto"/>
            </w:tcBorders>
            <w:noWrap/>
            <w:hideMark/>
          </w:tcPr>
          <w:p w14:paraId="0F9A3CFE" w14:textId="77777777" w:rsidR="00B86BF1" w:rsidRPr="00A743C9" w:rsidRDefault="00B86BF1" w:rsidP="00903735">
            <w:pPr>
              <w:spacing w:after="0"/>
              <w:rPr>
                <w:rFonts w:eastAsia="Times New Roman" w:cs="Calibri"/>
                <w:sz w:val="16"/>
                <w:szCs w:val="16"/>
              </w:rPr>
            </w:pPr>
            <w:r w:rsidRPr="00A743C9">
              <w:rPr>
                <w:rFonts w:eastAsia="Times New Roman" w:cs="Calibri"/>
                <w:sz w:val="16"/>
                <w:szCs w:val="16"/>
              </w:rPr>
              <w:t xml:space="preserve">Greece </w:t>
            </w:r>
            <w:r w:rsidRPr="00A743C9">
              <w:rPr>
                <w:rFonts w:eastAsia="Times New Roman" w:cs="Calibri"/>
                <w:sz w:val="16"/>
                <w:szCs w:val="16"/>
              </w:rPr>
              <w:fldChar w:fldCharType="begin"/>
            </w:r>
            <w:r w:rsidR="00903735">
              <w:rPr>
                <w:rFonts w:eastAsia="Times New Roman" w:cs="Calibri"/>
                <w:sz w:val="16"/>
                <w:szCs w:val="16"/>
              </w:rPr>
              <w:instrText xml:space="preserve"> ADDIN EN.CITE &lt;EndNote&gt;&lt;Cite&gt;&lt;Author&gt;European Commission&lt;/Author&gt;&lt;Year&gt;2017&lt;/Year&gt;&lt;RecNum&gt;13438&lt;/RecNum&gt;&lt;DisplayText&gt;(European Commission 2017)&lt;/DisplayText&gt;&lt;record&gt;&lt;rec-number&gt;13438&lt;/rec-number&gt;&lt;foreign-keys&gt;&lt;key app="EN" db-id="5xv5w5t2bdxtxfezx02xtxdft5rz5ptvvt29" timestamp="1527209032"&gt;13438&lt;/key&gt;&lt;/foreign-keys&gt;&lt;ref-type name="Web Page"&gt;12&lt;/ref-type&gt;&lt;contributors&gt;&lt;authors&gt;&lt;author&gt;European Commission,&lt;/author&gt;&lt;/authors&gt;&lt;/contributors&gt;&lt;titles&gt;&lt;title&gt;Attitudes of Europeans towards tobacco and electronic cigarettes&lt;/title&gt;&lt;/titles&gt;&lt;volume&gt;2018&lt;/volume&gt;&lt;number&gt;18.05.2018&lt;/number&gt;&lt;dates&gt;&lt;year&gt;2017&lt;/year&gt;&lt;/dates&gt;&lt;publisher&gt;European Commission&lt;/publisher&gt;&lt;urls&gt;&lt;related-urls&gt;&lt;url&gt;http://ec.europa.eu/commfrontoffice/publicopinion/index.cfm/Survey/getSurveyDetail/instruments/SPECIAL/yearFrom/2016/yearTo/2018/surveyKy/2146&lt;/url&gt;&lt;/related-urls&gt;&lt;/urls&gt;&lt;/record&gt;&lt;/Cite&gt;&lt;/EndNote&gt;</w:instrText>
            </w:r>
            <w:r w:rsidRPr="00A743C9">
              <w:rPr>
                <w:rFonts w:eastAsia="Times New Roman" w:cs="Calibri"/>
                <w:sz w:val="16"/>
                <w:szCs w:val="16"/>
              </w:rPr>
              <w:fldChar w:fldCharType="separate"/>
            </w:r>
            <w:r w:rsidRPr="00A743C9">
              <w:rPr>
                <w:rFonts w:eastAsia="Times New Roman" w:cs="Calibri"/>
                <w:noProof/>
                <w:sz w:val="16"/>
                <w:szCs w:val="16"/>
              </w:rPr>
              <w:t>(European Commission 2017)</w:t>
            </w:r>
            <w:r w:rsidRPr="00A743C9">
              <w:rPr>
                <w:rFonts w:eastAsia="Times New Roman" w:cs="Calibri"/>
                <w:sz w:val="16"/>
                <w:szCs w:val="16"/>
              </w:rPr>
              <w:fldChar w:fldCharType="end"/>
            </w:r>
          </w:p>
        </w:tc>
        <w:tc>
          <w:tcPr>
            <w:tcW w:w="1304" w:type="dxa"/>
            <w:tcBorders>
              <w:left w:val="single" w:sz="4" w:space="0" w:color="auto"/>
              <w:bottom w:val="nil"/>
              <w:right w:val="single" w:sz="4" w:space="0" w:color="auto"/>
            </w:tcBorders>
            <w:noWrap/>
            <w:hideMark/>
          </w:tcPr>
          <w:p w14:paraId="2B228303"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2014</w:t>
            </w:r>
          </w:p>
        </w:tc>
        <w:tc>
          <w:tcPr>
            <w:tcW w:w="1650" w:type="dxa"/>
            <w:tcBorders>
              <w:left w:val="single" w:sz="4" w:space="0" w:color="auto"/>
              <w:bottom w:val="nil"/>
            </w:tcBorders>
            <w:noWrap/>
            <w:hideMark/>
          </w:tcPr>
          <w:p w14:paraId="6608E068"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3</w:t>
            </w:r>
          </w:p>
        </w:tc>
        <w:tc>
          <w:tcPr>
            <w:tcW w:w="1154" w:type="dxa"/>
            <w:tcBorders>
              <w:bottom w:val="nil"/>
              <w:right w:val="single" w:sz="4" w:space="0" w:color="auto"/>
            </w:tcBorders>
            <w:noWrap/>
            <w:hideMark/>
          </w:tcPr>
          <w:p w14:paraId="7D95D935"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15</w:t>
            </w:r>
          </w:p>
        </w:tc>
        <w:tc>
          <w:tcPr>
            <w:tcW w:w="1187" w:type="dxa"/>
            <w:tcBorders>
              <w:left w:val="single" w:sz="4" w:space="0" w:color="auto"/>
              <w:bottom w:val="nil"/>
            </w:tcBorders>
            <w:noWrap/>
            <w:hideMark/>
          </w:tcPr>
          <w:p w14:paraId="78BAC7E0"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52.6</w:t>
            </w:r>
          </w:p>
        </w:tc>
        <w:tc>
          <w:tcPr>
            <w:tcW w:w="1531" w:type="dxa"/>
            <w:tcBorders>
              <w:bottom w:val="nil"/>
              <w:right w:val="single" w:sz="4" w:space="0" w:color="auto"/>
            </w:tcBorders>
            <w:noWrap/>
            <w:hideMark/>
          </w:tcPr>
          <w:p w14:paraId="3092E5DF"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32.7</w:t>
            </w:r>
          </w:p>
        </w:tc>
      </w:tr>
      <w:tr w:rsidR="00B86BF1" w:rsidRPr="00A743C9" w14:paraId="1807595C" w14:textId="77777777" w:rsidTr="000376C7">
        <w:trPr>
          <w:trHeight w:val="287"/>
        </w:trPr>
        <w:tc>
          <w:tcPr>
            <w:cnfStyle w:val="001000000000" w:firstRow="0" w:lastRow="0" w:firstColumn="1" w:lastColumn="0" w:oddVBand="0" w:evenVBand="0" w:oddHBand="0" w:evenHBand="0" w:firstRowFirstColumn="0" w:firstRowLastColumn="0" w:lastRowFirstColumn="0" w:lastRowLastColumn="0"/>
            <w:tcW w:w="3003" w:type="dxa"/>
            <w:tcBorders>
              <w:left w:val="single" w:sz="4" w:space="0" w:color="auto"/>
              <w:bottom w:val="nil"/>
              <w:right w:val="single" w:sz="4" w:space="0" w:color="auto"/>
            </w:tcBorders>
            <w:noWrap/>
            <w:hideMark/>
          </w:tcPr>
          <w:p w14:paraId="46872B64" w14:textId="77777777" w:rsidR="00B86BF1" w:rsidRPr="00A743C9" w:rsidRDefault="00B86BF1" w:rsidP="00903735">
            <w:pPr>
              <w:spacing w:after="0"/>
              <w:rPr>
                <w:rFonts w:eastAsia="Times New Roman" w:cs="Calibri"/>
                <w:sz w:val="16"/>
                <w:szCs w:val="16"/>
              </w:rPr>
            </w:pPr>
            <w:r w:rsidRPr="00A743C9">
              <w:rPr>
                <w:rFonts w:eastAsia="Times New Roman" w:cs="Calibri"/>
                <w:sz w:val="16"/>
                <w:szCs w:val="16"/>
              </w:rPr>
              <w:t xml:space="preserve">Hong Kong </w:t>
            </w:r>
            <w:r w:rsidRPr="00A743C9">
              <w:rPr>
                <w:rFonts w:eastAsia="Times New Roman" w:cs="Calibri"/>
                <w:sz w:val="16"/>
                <w:szCs w:val="16"/>
              </w:rPr>
              <w:fldChar w:fldCharType="begin">
                <w:fldData xml:space="preserve">PEVuZE5vdGU+PENpdGU+PEF1dGhvcj5KaWFuZzwvQXV0aG9yPjxZZWFyPjIwMTY8L1llYXI+PFJl
Y051bT4xMzQzNDwvUmVjTnVtPjxEaXNwbGF5VGV4dD4oSmlhbmcsIENoZW4gZXQgYWwuIDIwMTYp
PC9EaXNwbGF5VGV4dD48cmVjb3JkPjxyZWMtbnVtYmVyPjEzNDM0PC9yZWMtbnVtYmVyPjxmb3Jl
aWduLWtleXM+PGtleSBhcHA9IkVOIiBkYi1pZD0iNXh2NXc1dDJiZHh0eGZlengwMnh0eGRmdDVy
ejVwdHZ2dDI5IiB0aW1lc3RhbXA9IjE1MjcyMDg5MjMiPjEzNDM0PC9rZXk+PGtleSBhcHA9IkVO
V2ViIiBkYi1pZD0iIj4wPC9rZXk+PC9mb3JlaWduLWtleXM+PHJlZi10eXBlIG5hbWU9IkpvdXJu
YWwgQXJ0aWNsZSI+MTc8L3JlZi10eXBlPjxjb250cmlidXRvcnM+PGF1dGhvcnM+PGF1dGhvcj5K
aWFuZywgTi48L2F1dGhvcj48YXV0aG9yPkNoZW4sIEouPC9hdXRob3I+PGF1dGhvcj5XYW5nLCBN
LiBQLjwvYXV0aG9yPjxhdXRob3I+TWNHaGVlLCBTLiBNLjwvYXV0aG9yPjxhdXRob3I+S3dvbmcs
IEEuIEMuPC9hdXRob3I+PGF1dGhvcj5MYWksIFYuIFcuPC9hdXRob3I+PGF1dGhvcj5MYW0sIFQu
IEguPC9hdXRob3I+PC9hdXRob3JzPjwvY29udHJpYnV0b3JzPjxhdXRoLWFkZHJlc3M+U2Nob29s
IG9mIFB1YmxpYyBIZWFsdGgsIFRoZSBVbml2ZXJzaXR5IG9mIEhvbmcgS29uZywgNS9GIFdpbGxp
YW0gTVcgTW9uZyBCbG9jaywgMjEgU2Fzc29vbiBSb2FkLCBIb25nIEtvbmcuJiN4RDtTY2hvb2wg
b2YgTnVyc2luZywgVGhlIFVuaXZlcnNpdHkgb2YgSG9uZyBLb25nLCA0L0YgV2lsbGlhbSBNVyBN
b25nIEJsb2NrLCAyMSBTYXNzb29uIFJvYWQsIEhvbmcgS29uZy4mI3hEO1NjaG9vbCBvZiBOdXJz
aW5nLCBUaGUgVW5pdmVyc2l0eSBvZiBIb25nIEtvbmcsIDQvRiBXaWxsaWFtIE1XIE1vbmcgQmxv
Y2ssIDIxIFNhc3Nvb24gUm9hZCwgSG9uZyBLb25nLiBFbGVjdHJvbmljIGFkZHJlc3M6IG1wd2Fu
Z0Boa3UuaGsuJiN4RDtIb25nIEtvbmcgQ291bmNpbCBvbiBTbW9raW5nIGFuZCBIZWFsdGgsIFVu
aXQgNDQwMi0wMywgNDQvRiBIb3Bld2VsbCBDZW50cmUsIDE4MyBRdWVlbiZhcG9zO3MgUm9hZCBF
YXN0LCBXYW5jaGFpLCBIb25nIEtvbmcuPC9hdXRoLWFkZHJlc3M+PHRpdGxlcz48dGl0bGU+RWxl
Y3Ryb25pYyBjaWdhcmV0dGUgYXdhcmVuZXNzIGFuZCB1c2UgYW1vbmcgYWR1bHRzIGluIEhvbmcg
S29uZzwvdGl0bGU+PHNlY29uZGFyeS10aXRsZT5BZGRpY3QgQmVoYXY8L3NlY29uZGFyeS10aXRs
ZT48YWx0LXRpdGxlPkFkZGljdGl2ZSBiZWhhdmlvcnM8L2FsdC10aXRsZT48L3RpdGxlcz48cGVy
aW9kaWNhbD48ZnVsbC10aXRsZT5BZGRpY3QgQmVoYXY8L2Z1bGwtdGl0bGU+PGFiYnItMT5BZGRp
Y3RpdmUgYmVoYXZpb3JzPC9hYmJyLTE+PC9wZXJpb2RpY2FsPjxhbHQtcGVyaW9kaWNhbD48ZnVs
bC10aXRsZT5BZGRpY3QgQmVoYXY8L2Z1bGwtdGl0bGU+PGFiYnItMT5BZGRpY3RpdmUgYmVoYXZp
b3JzPC9hYmJyLTE+PC9hbHQtcGVyaW9kaWNhbD48cGFnZXM+MzQtODwvcGFnZXM+PHZvbHVtZT41
Mjwvdm9sdW1lPjxlZGl0aW9uPjIwMTUvMDkvMDk8L2VkaXRpb24+PGtleXdvcmRzPjxrZXl3b3Jk
PkFkb2xlc2NlbnQ8L2tleXdvcmQ+PGtleXdvcmQ+QWR1bHQ8L2tleXdvcmQ+PGtleXdvcmQ+QWdl
IERpc3RyaWJ1dGlvbjwva2V5d29yZD48a2V5d29yZD5BZ2VkPC9rZXl3b3JkPjxrZXl3b3JkPipB
d2FyZW5lc3M8L2tleXdvcmQ+PGtleXdvcmQ+Q3Jvc3MtU2VjdGlvbmFsIFN0dWRpZXM8L2tleXdv
cmQ+PGtleXdvcmQ+RWxlY3Ryb25pYyBOaWNvdGluZSBEZWxpdmVyeSBTeXN0ZW1zLypwc3ljaG9s
b2d5LypzdGF0aXN0aWNzICZhbXA7IG51bWVyaWNhbCBkYXRhPC9rZXl3b3JkPjxrZXl3b3JkPkZl
bWFsZTwva2V5d29yZD48a2V5d29yZD5Ib25nIEtvbmc8L2tleXdvcmQ+PGtleXdvcmQ+SHVtYW5z
PC9rZXl3b3JkPjxrZXl3b3JkPk1hbGU8L2tleXdvcmQ+PGtleXdvcmQ+TWlkZGxlIEFnZWQ8L2tl
eXdvcmQ+PGtleXdvcmQ+U2V4IERpc3RyaWJ1dGlvbjwva2V5d29yZD48a2V5d29yZD5TbW9raW5n
L3BzeWNob2xvZ3k8L2tleXdvcmQ+PGtleXdvcmQ+U21va2luZyBDZXNzYXRpb24vcHN5Y2hvbG9n
eS9zdGF0aXN0aWNzICZhbXA7IG51bWVyaWNhbCBkYXRhPC9rZXl3b3JkPjxrZXl3b3JkPllvdW5n
IEFkdWx0PC9rZXl3b3JkPjxrZXl3b3JkPkVsZWN0cm9uaWMgY2lnYXJldHRlPC9rZXl3b3JkPjxr
ZXl3b3JkPkVwaWRlbWlvbG9neTwva2V5d29yZD48L2tleXdvcmRzPjxkYXRlcz48eWVhcj4yMDE2
PC95ZWFyPjxwdWItZGF0ZXM+PGRhdGU+SmFuPC9kYXRlPjwvcHViLWRhdGVzPjwvZGF0ZXM+PGlz
Ym4+MDMwNi00NjAzPC9pc2JuPjxhY2Nlc3Npb24tbnVtPjI2MzQ4MjgwPC9hY2Nlc3Npb24tbnVt
Pjx1cmxzPjwvdXJscz48ZWxlY3Ryb25pYy1yZXNvdXJjZS1udW0+MTAuMTAxNi9qLmFkZGJlaC4y
MDE1LjA4LjAwODwvZWxlY3Ryb25pYy1yZXNvdXJjZS1udW0+PHJlbW90ZS1kYXRhYmFzZS1wcm92
aWRlcj5OTE08L3JlbW90ZS1kYXRhYmFzZS1wcm92aWRlcj48bGFuZ3VhZ2U+ZW5nPC9sYW5ndWFn
ZT48L3JlY29yZD48L0NpdGU+PC9FbmROb3RlPgB=
</w:fldData>
              </w:fldChar>
            </w:r>
            <w:r w:rsidR="00903735">
              <w:rPr>
                <w:rFonts w:eastAsia="Times New Roman" w:cs="Calibri"/>
                <w:sz w:val="16"/>
                <w:szCs w:val="16"/>
              </w:rPr>
              <w:instrText xml:space="preserve"> ADDIN EN.CITE </w:instrText>
            </w:r>
            <w:r w:rsidR="00903735">
              <w:rPr>
                <w:rFonts w:eastAsia="Times New Roman" w:cs="Calibri"/>
                <w:sz w:val="16"/>
                <w:szCs w:val="16"/>
              </w:rPr>
              <w:fldChar w:fldCharType="begin">
                <w:fldData xml:space="preserve">PEVuZE5vdGU+PENpdGU+PEF1dGhvcj5KaWFuZzwvQXV0aG9yPjxZZWFyPjIwMTY8L1llYXI+PFJl
Y051bT4xMzQzNDwvUmVjTnVtPjxEaXNwbGF5VGV4dD4oSmlhbmcsIENoZW4gZXQgYWwuIDIwMTYp
PC9EaXNwbGF5VGV4dD48cmVjb3JkPjxyZWMtbnVtYmVyPjEzNDM0PC9yZWMtbnVtYmVyPjxmb3Jl
aWduLWtleXM+PGtleSBhcHA9IkVOIiBkYi1pZD0iNXh2NXc1dDJiZHh0eGZlengwMnh0eGRmdDVy
ejVwdHZ2dDI5IiB0aW1lc3RhbXA9IjE1MjcyMDg5MjMiPjEzNDM0PC9rZXk+PGtleSBhcHA9IkVO
V2ViIiBkYi1pZD0iIj4wPC9rZXk+PC9mb3JlaWduLWtleXM+PHJlZi10eXBlIG5hbWU9IkpvdXJu
YWwgQXJ0aWNsZSI+MTc8L3JlZi10eXBlPjxjb250cmlidXRvcnM+PGF1dGhvcnM+PGF1dGhvcj5K
aWFuZywgTi48L2F1dGhvcj48YXV0aG9yPkNoZW4sIEouPC9hdXRob3I+PGF1dGhvcj5XYW5nLCBN
LiBQLjwvYXV0aG9yPjxhdXRob3I+TWNHaGVlLCBTLiBNLjwvYXV0aG9yPjxhdXRob3I+S3dvbmcs
IEEuIEMuPC9hdXRob3I+PGF1dGhvcj5MYWksIFYuIFcuPC9hdXRob3I+PGF1dGhvcj5MYW0sIFQu
IEguPC9hdXRob3I+PC9hdXRob3JzPjwvY29udHJpYnV0b3JzPjxhdXRoLWFkZHJlc3M+U2Nob29s
IG9mIFB1YmxpYyBIZWFsdGgsIFRoZSBVbml2ZXJzaXR5IG9mIEhvbmcgS29uZywgNS9GIFdpbGxp
YW0gTVcgTW9uZyBCbG9jaywgMjEgU2Fzc29vbiBSb2FkLCBIb25nIEtvbmcuJiN4RDtTY2hvb2wg
b2YgTnVyc2luZywgVGhlIFVuaXZlcnNpdHkgb2YgSG9uZyBLb25nLCA0L0YgV2lsbGlhbSBNVyBN
b25nIEJsb2NrLCAyMSBTYXNzb29uIFJvYWQsIEhvbmcgS29uZy4mI3hEO1NjaG9vbCBvZiBOdXJz
aW5nLCBUaGUgVW5pdmVyc2l0eSBvZiBIb25nIEtvbmcsIDQvRiBXaWxsaWFtIE1XIE1vbmcgQmxv
Y2ssIDIxIFNhc3Nvb24gUm9hZCwgSG9uZyBLb25nLiBFbGVjdHJvbmljIGFkZHJlc3M6IG1wd2Fu
Z0Boa3UuaGsuJiN4RDtIb25nIEtvbmcgQ291bmNpbCBvbiBTbW9raW5nIGFuZCBIZWFsdGgsIFVu
aXQgNDQwMi0wMywgNDQvRiBIb3Bld2VsbCBDZW50cmUsIDE4MyBRdWVlbiZhcG9zO3MgUm9hZCBF
YXN0LCBXYW5jaGFpLCBIb25nIEtvbmcuPC9hdXRoLWFkZHJlc3M+PHRpdGxlcz48dGl0bGU+RWxl
Y3Ryb25pYyBjaWdhcmV0dGUgYXdhcmVuZXNzIGFuZCB1c2UgYW1vbmcgYWR1bHRzIGluIEhvbmcg
S29uZzwvdGl0bGU+PHNlY29uZGFyeS10aXRsZT5BZGRpY3QgQmVoYXY8L3NlY29uZGFyeS10aXRs
ZT48YWx0LXRpdGxlPkFkZGljdGl2ZSBiZWhhdmlvcnM8L2FsdC10aXRsZT48L3RpdGxlcz48cGVy
aW9kaWNhbD48ZnVsbC10aXRsZT5BZGRpY3QgQmVoYXY8L2Z1bGwtdGl0bGU+PGFiYnItMT5BZGRp
Y3RpdmUgYmVoYXZpb3JzPC9hYmJyLTE+PC9wZXJpb2RpY2FsPjxhbHQtcGVyaW9kaWNhbD48ZnVs
bC10aXRsZT5BZGRpY3QgQmVoYXY8L2Z1bGwtdGl0bGU+PGFiYnItMT5BZGRpY3RpdmUgYmVoYXZp
b3JzPC9hYmJyLTE+PC9hbHQtcGVyaW9kaWNhbD48cGFnZXM+MzQtODwvcGFnZXM+PHZvbHVtZT41
Mjwvdm9sdW1lPjxlZGl0aW9uPjIwMTUvMDkvMDk8L2VkaXRpb24+PGtleXdvcmRzPjxrZXl3b3Jk
PkFkb2xlc2NlbnQ8L2tleXdvcmQ+PGtleXdvcmQ+QWR1bHQ8L2tleXdvcmQ+PGtleXdvcmQ+QWdl
IERpc3RyaWJ1dGlvbjwva2V5d29yZD48a2V5d29yZD5BZ2VkPC9rZXl3b3JkPjxrZXl3b3JkPipB
d2FyZW5lc3M8L2tleXdvcmQ+PGtleXdvcmQ+Q3Jvc3MtU2VjdGlvbmFsIFN0dWRpZXM8L2tleXdv
cmQ+PGtleXdvcmQ+RWxlY3Ryb25pYyBOaWNvdGluZSBEZWxpdmVyeSBTeXN0ZW1zLypwc3ljaG9s
b2d5LypzdGF0aXN0aWNzICZhbXA7IG51bWVyaWNhbCBkYXRhPC9rZXl3b3JkPjxrZXl3b3JkPkZl
bWFsZTwva2V5d29yZD48a2V5d29yZD5Ib25nIEtvbmc8L2tleXdvcmQ+PGtleXdvcmQ+SHVtYW5z
PC9rZXl3b3JkPjxrZXl3b3JkPk1hbGU8L2tleXdvcmQ+PGtleXdvcmQ+TWlkZGxlIEFnZWQ8L2tl
eXdvcmQ+PGtleXdvcmQ+U2V4IERpc3RyaWJ1dGlvbjwva2V5d29yZD48a2V5d29yZD5TbW9raW5n
L3BzeWNob2xvZ3k8L2tleXdvcmQ+PGtleXdvcmQ+U21va2luZyBDZXNzYXRpb24vcHN5Y2hvbG9n
eS9zdGF0aXN0aWNzICZhbXA7IG51bWVyaWNhbCBkYXRhPC9rZXl3b3JkPjxrZXl3b3JkPllvdW5n
IEFkdWx0PC9rZXl3b3JkPjxrZXl3b3JkPkVsZWN0cm9uaWMgY2lnYXJldHRlPC9rZXl3b3JkPjxr
ZXl3b3JkPkVwaWRlbWlvbG9neTwva2V5d29yZD48L2tleXdvcmRzPjxkYXRlcz48eWVhcj4yMDE2
PC95ZWFyPjxwdWItZGF0ZXM+PGRhdGU+SmFuPC9kYXRlPjwvcHViLWRhdGVzPjwvZGF0ZXM+PGlz
Ym4+MDMwNi00NjAzPC9pc2JuPjxhY2Nlc3Npb24tbnVtPjI2MzQ4MjgwPC9hY2Nlc3Npb24tbnVt
Pjx1cmxzPjwvdXJscz48ZWxlY3Ryb25pYy1yZXNvdXJjZS1udW0+MTAuMTAxNi9qLmFkZGJlaC4y
MDE1LjA4LjAwODwvZWxlY3Ryb25pYy1yZXNvdXJjZS1udW0+PHJlbW90ZS1kYXRhYmFzZS1wcm92
aWRlcj5OTE08L3JlbW90ZS1kYXRhYmFzZS1wcm92aWRlcj48bGFuZ3VhZ2U+ZW5nPC9sYW5ndWFn
ZT48L3JlY29yZD48L0NpdGU+PC9FbmROb3RlPgB=
</w:fldData>
              </w:fldChar>
            </w:r>
            <w:r w:rsidR="00903735">
              <w:rPr>
                <w:rFonts w:eastAsia="Times New Roman" w:cs="Calibri"/>
                <w:sz w:val="16"/>
                <w:szCs w:val="16"/>
              </w:rPr>
              <w:instrText xml:space="preserve"> ADDIN EN.CITE.DATA </w:instrText>
            </w:r>
            <w:r w:rsidR="00903735">
              <w:rPr>
                <w:rFonts w:eastAsia="Times New Roman" w:cs="Calibri"/>
                <w:sz w:val="16"/>
                <w:szCs w:val="16"/>
              </w:rPr>
            </w:r>
            <w:r w:rsidR="00903735">
              <w:rPr>
                <w:rFonts w:eastAsia="Times New Roman" w:cs="Calibri"/>
                <w:sz w:val="16"/>
                <w:szCs w:val="16"/>
              </w:rPr>
              <w:fldChar w:fldCharType="end"/>
            </w:r>
            <w:r w:rsidRPr="00A743C9">
              <w:rPr>
                <w:rFonts w:eastAsia="Times New Roman" w:cs="Calibri"/>
                <w:sz w:val="16"/>
                <w:szCs w:val="16"/>
              </w:rPr>
            </w:r>
            <w:r w:rsidRPr="00A743C9">
              <w:rPr>
                <w:rFonts w:eastAsia="Times New Roman" w:cs="Calibri"/>
                <w:sz w:val="16"/>
                <w:szCs w:val="16"/>
              </w:rPr>
              <w:fldChar w:fldCharType="separate"/>
            </w:r>
            <w:r w:rsidRPr="00A743C9">
              <w:rPr>
                <w:rFonts w:eastAsia="Times New Roman" w:cs="Calibri"/>
                <w:noProof/>
                <w:sz w:val="16"/>
                <w:szCs w:val="16"/>
              </w:rPr>
              <w:t>(Jiang, Chen et al. 2016)</w:t>
            </w:r>
            <w:r w:rsidRPr="00A743C9">
              <w:rPr>
                <w:rFonts w:eastAsia="Times New Roman" w:cs="Calibri"/>
                <w:sz w:val="16"/>
                <w:szCs w:val="16"/>
              </w:rPr>
              <w:fldChar w:fldCharType="end"/>
            </w:r>
          </w:p>
        </w:tc>
        <w:tc>
          <w:tcPr>
            <w:tcW w:w="1304" w:type="dxa"/>
            <w:tcBorders>
              <w:left w:val="single" w:sz="4" w:space="0" w:color="auto"/>
              <w:bottom w:val="nil"/>
              <w:right w:val="single" w:sz="4" w:space="0" w:color="auto"/>
            </w:tcBorders>
            <w:noWrap/>
            <w:hideMark/>
          </w:tcPr>
          <w:p w14:paraId="4A986D86"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2014</w:t>
            </w:r>
          </w:p>
        </w:tc>
        <w:tc>
          <w:tcPr>
            <w:tcW w:w="1650" w:type="dxa"/>
            <w:tcBorders>
              <w:left w:val="single" w:sz="4" w:space="0" w:color="auto"/>
              <w:bottom w:val="nil"/>
            </w:tcBorders>
            <w:noWrap/>
            <w:hideMark/>
          </w:tcPr>
          <w:p w14:paraId="54AE917C"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p>
        </w:tc>
        <w:tc>
          <w:tcPr>
            <w:tcW w:w="1154" w:type="dxa"/>
            <w:tcBorders>
              <w:bottom w:val="nil"/>
              <w:right w:val="single" w:sz="4" w:space="0" w:color="auto"/>
            </w:tcBorders>
            <w:noWrap/>
            <w:hideMark/>
          </w:tcPr>
          <w:p w14:paraId="481019CA"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2.3</w:t>
            </w:r>
          </w:p>
        </w:tc>
        <w:tc>
          <w:tcPr>
            <w:tcW w:w="1187" w:type="dxa"/>
            <w:tcBorders>
              <w:left w:val="single" w:sz="4" w:space="0" w:color="auto"/>
              <w:bottom w:val="nil"/>
            </w:tcBorders>
            <w:noWrap/>
            <w:hideMark/>
          </w:tcPr>
          <w:p w14:paraId="2CBA28C2"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18.6</w:t>
            </w:r>
          </w:p>
        </w:tc>
        <w:tc>
          <w:tcPr>
            <w:tcW w:w="1531" w:type="dxa"/>
            <w:tcBorders>
              <w:bottom w:val="nil"/>
              <w:right w:val="single" w:sz="4" w:space="0" w:color="auto"/>
            </w:tcBorders>
            <w:noWrap/>
            <w:hideMark/>
          </w:tcPr>
          <w:p w14:paraId="7CBA742A"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3.2</w:t>
            </w:r>
          </w:p>
        </w:tc>
      </w:tr>
      <w:tr w:rsidR="00B86BF1" w:rsidRPr="00A743C9" w14:paraId="4D232682" w14:textId="77777777" w:rsidTr="000376C7">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003" w:type="dxa"/>
            <w:tcBorders>
              <w:left w:val="single" w:sz="4" w:space="0" w:color="auto"/>
              <w:bottom w:val="nil"/>
              <w:right w:val="single" w:sz="4" w:space="0" w:color="auto"/>
            </w:tcBorders>
            <w:noWrap/>
            <w:hideMark/>
          </w:tcPr>
          <w:p w14:paraId="6CFBD9B0" w14:textId="77777777" w:rsidR="00B86BF1" w:rsidRPr="00A743C9" w:rsidRDefault="00B86BF1" w:rsidP="00903735">
            <w:pPr>
              <w:spacing w:after="0"/>
              <w:rPr>
                <w:rFonts w:eastAsia="Times New Roman" w:cs="Calibri"/>
                <w:sz w:val="16"/>
                <w:szCs w:val="16"/>
              </w:rPr>
            </w:pPr>
            <w:r w:rsidRPr="00A743C9">
              <w:rPr>
                <w:rFonts w:eastAsia="Times New Roman" w:cs="Calibri"/>
                <w:sz w:val="16"/>
                <w:szCs w:val="16"/>
              </w:rPr>
              <w:t xml:space="preserve">Hungary </w:t>
            </w:r>
            <w:r w:rsidRPr="00A743C9">
              <w:rPr>
                <w:rFonts w:eastAsia="Times New Roman" w:cs="Calibri"/>
                <w:sz w:val="16"/>
                <w:szCs w:val="16"/>
              </w:rPr>
              <w:fldChar w:fldCharType="begin"/>
            </w:r>
            <w:r w:rsidR="00903735">
              <w:rPr>
                <w:rFonts w:eastAsia="Times New Roman" w:cs="Calibri"/>
                <w:sz w:val="16"/>
                <w:szCs w:val="16"/>
              </w:rPr>
              <w:instrText xml:space="preserve"> ADDIN EN.CITE &lt;EndNote&gt;&lt;Cite&gt;&lt;Author&gt;European Commission&lt;/Author&gt;&lt;Year&gt;2017&lt;/Year&gt;&lt;RecNum&gt;13438&lt;/RecNum&gt;&lt;DisplayText&gt;(European Commission 2017)&lt;/DisplayText&gt;&lt;record&gt;&lt;rec-number&gt;13438&lt;/rec-number&gt;&lt;foreign-keys&gt;&lt;key app="EN" db-id="5xv5w5t2bdxtxfezx02xtxdft5rz5ptvvt29" timestamp="1527209032"&gt;13438&lt;/key&gt;&lt;/foreign-keys&gt;&lt;ref-type name="Web Page"&gt;12&lt;/ref-type&gt;&lt;contributors&gt;&lt;authors&gt;&lt;author&gt;European Commission,&lt;/author&gt;&lt;/authors&gt;&lt;/contributors&gt;&lt;titles&gt;&lt;title&gt;Attitudes of Europeans towards tobacco and electronic cigarettes&lt;/title&gt;&lt;/titles&gt;&lt;volume&gt;2018&lt;/volume&gt;&lt;number&gt;18.05.2018&lt;/number&gt;&lt;dates&gt;&lt;year&gt;2017&lt;/year&gt;&lt;/dates&gt;&lt;publisher&gt;European Commission&lt;/publisher&gt;&lt;urls&gt;&lt;related-urls&gt;&lt;url&gt;http://ec.europa.eu/commfrontoffice/publicopinion/index.cfm/Survey/getSurveyDetail/instruments/SPECIAL/yearFrom/2016/yearTo/2018/surveyKy/2146&lt;/url&gt;&lt;/related-urls&gt;&lt;/urls&gt;&lt;/record&gt;&lt;/Cite&gt;&lt;/EndNote&gt;</w:instrText>
            </w:r>
            <w:r w:rsidRPr="00A743C9">
              <w:rPr>
                <w:rFonts w:eastAsia="Times New Roman" w:cs="Calibri"/>
                <w:sz w:val="16"/>
                <w:szCs w:val="16"/>
              </w:rPr>
              <w:fldChar w:fldCharType="separate"/>
            </w:r>
            <w:r w:rsidRPr="00A743C9">
              <w:rPr>
                <w:rFonts w:eastAsia="Times New Roman" w:cs="Calibri"/>
                <w:noProof/>
                <w:sz w:val="16"/>
                <w:szCs w:val="16"/>
              </w:rPr>
              <w:t>(European Commission 2017)</w:t>
            </w:r>
            <w:r w:rsidRPr="00A743C9">
              <w:rPr>
                <w:rFonts w:eastAsia="Times New Roman" w:cs="Calibri"/>
                <w:sz w:val="16"/>
                <w:szCs w:val="16"/>
              </w:rPr>
              <w:fldChar w:fldCharType="end"/>
            </w:r>
          </w:p>
        </w:tc>
        <w:tc>
          <w:tcPr>
            <w:tcW w:w="1304" w:type="dxa"/>
            <w:tcBorders>
              <w:left w:val="single" w:sz="4" w:space="0" w:color="auto"/>
              <w:bottom w:val="nil"/>
              <w:right w:val="single" w:sz="4" w:space="0" w:color="auto"/>
            </w:tcBorders>
            <w:noWrap/>
            <w:hideMark/>
          </w:tcPr>
          <w:p w14:paraId="14DB28C8"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2014</w:t>
            </w:r>
          </w:p>
        </w:tc>
        <w:tc>
          <w:tcPr>
            <w:tcW w:w="1650" w:type="dxa"/>
            <w:tcBorders>
              <w:left w:val="single" w:sz="4" w:space="0" w:color="auto"/>
              <w:bottom w:val="nil"/>
            </w:tcBorders>
            <w:noWrap/>
            <w:hideMark/>
          </w:tcPr>
          <w:p w14:paraId="36B82D3D"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w:t>
            </w:r>
          </w:p>
        </w:tc>
        <w:tc>
          <w:tcPr>
            <w:tcW w:w="1154" w:type="dxa"/>
            <w:tcBorders>
              <w:bottom w:val="nil"/>
              <w:right w:val="single" w:sz="4" w:space="0" w:color="auto"/>
            </w:tcBorders>
            <w:noWrap/>
            <w:hideMark/>
          </w:tcPr>
          <w:p w14:paraId="52AC59EC"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9</w:t>
            </w:r>
          </w:p>
        </w:tc>
        <w:tc>
          <w:tcPr>
            <w:tcW w:w="1187" w:type="dxa"/>
            <w:tcBorders>
              <w:left w:val="single" w:sz="4" w:space="0" w:color="auto"/>
              <w:bottom w:val="nil"/>
            </w:tcBorders>
            <w:noWrap/>
            <w:hideMark/>
          </w:tcPr>
          <w:p w14:paraId="390287A1"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32</w:t>
            </w:r>
          </w:p>
        </w:tc>
        <w:tc>
          <w:tcPr>
            <w:tcW w:w="1531" w:type="dxa"/>
            <w:tcBorders>
              <w:bottom w:val="nil"/>
              <w:right w:val="single" w:sz="4" w:space="0" w:color="auto"/>
            </w:tcBorders>
            <w:noWrap/>
            <w:hideMark/>
          </w:tcPr>
          <w:p w14:paraId="3119FD9C"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24.8</w:t>
            </w:r>
          </w:p>
        </w:tc>
      </w:tr>
      <w:tr w:rsidR="00B86BF1" w:rsidRPr="00A743C9" w14:paraId="7CBA8913" w14:textId="77777777" w:rsidTr="000376C7">
        <w:trPr>
          <w:trHeight w:val="287"/>
        </w:trPr>
        <w:tc>
          <w:tcPr>
            <w:cnfStyle w:val="001000000000" w:firstRow="0" w:lastRow="0" w:firstColumn="1" w:lastColumn="0" w:oddVBand="0" w:evenVBand="0" w:oddHBand="0" w:evenHBand="0" w:firstRowFirstColumn="0" w:firstRowLastColumn="0" w:lastRowFirstColumn="0" w:lastRowLastColumn="0"/>
            <w:tcW w:w="3003" w:type="dxa"/>
            <w:tcBorders>
              <w:left w:val="single" w:sz="4" w:space="0" w:color="auto"/>
              <w:bottom w:val="nil"/>
              <w:right w:val="single" w:sz="4" w:space="0" w:color="auto"/>
            </w:tcBorders>
            <w:noWrap/>
            <w:hideMark/>
          </w:tcPr>
          <w:p w14:paraId="58892516" w14:textId="77777777" w:rsidR="00B86BF1" w:rsidRPr="00A743C9" w:rsidRDefault="00B86BF1" w:rsidP="00903735">
            <w:pPr>
              <w:spacing w:after="0"/>
              <w:rPr>
                <w:rFonts w:eastAsia="Times New Roman" w:cs="Calibri"/>
                <w:sz w:val="16"/>
                <w:szCs w:val="16"/>
              </w:rPr>
            </w:pPr>
            <w:r w:rsidRPr="00A743C9">
              <w:rPr>
                <w:rFonts w:eastAsia="Times New Roman" w:cs="Calibri"/>
                <w:sz w:val="16"/>
                <w:szCs w:val="16"/>
              </w:rPr>
              <w:t xml:space="preserve">Indonesia </w:t>
            </w:r>
            <w:r w:rsidRPr="00A743C9">
              <w:rPr>
                <w:rFonts w:eastAsia="Times New Roman" w:cs="Calibri"/>
                <w:sz w:val="16"/>
                <w:szCs w:val="16"/>
              </w:rPr>
              <w:fldChar w:fldCharType="begin">
                <w:fldData xml:space="preserve">PEVuZE5vdGU+PENpdGU+PEF1dGhvcj5QYWxpcHVkaTwvQXV0aG9yPjxZZWFyPjIwMTY8L1llYXI+
PFJlY051bT4xMzQzNTwvUmVjTnVtPjxEaXNwbGF5VGV4dD4oUGFsaXB1ZGksIE1idWxvIGV0IGFs
LiAyMDE2KTwvRGlzcGxheVRleHQ+PHJlY29yZD48cmVjLW51bWJlcj4xMzQzNTwvcmVjLW51bWJl
cj48Zm9yZWlnbi1rZXlzPjxrZXkgYXBwPSJFTiIgZGItaWQ9IjV4djV3NXQyYmR4dHhmZXp4MDJ4
dHhkZnQ1cno1cHR2dnQyOSIgdGltZXN0YW1wPSIxNTI3MjA4OTk4Ij4xMzQzNTwva2V5PjxrZXkg
YXBwPSJFTldlYiIgZGItaWQ9IiI+MDwva2V5PjwvZm9yZWlnbi1rZXlzPjxyZWYtdHlwZSBuYW1l
PSJKb3VybmFsIEFydGljbGUiPjE3PC9yZWYtdHlwZT48Y29udHJpYnV0b3JzPjxhdXRob3JzPjxh
dXRob3I+UGFsaXB1ZGksIEsuIE0uPC9hdXRob3I+PGF1dGhvcj5NYnVsbywgTC48L2F1dGhvcj48
YXV0aG9yPk1vcnRvbiwgSi48L2F1dGhvcj48YXV0aG9yPk1idWxvLCBMLjwvYXV0aG9yPjxhdXRo
b3I+QnVubmVsbCwgUi48L2F1dGhvcj48YXV0aG9yPkJsdXRjaGVyLU5lbHNvbiwgRy48L2F1dGhv
cj48YXV0aG9yPktvc2VuLCBTLjwvYXV0aG9yPjxhdXRob3I+VGVlLCBHLiBILjwvYXV0aG9yPjxh
dXRob3I+QWJkYWxsYSwgQS4gTS48L2F1dGhvcj48YXV0aG9yPk11dGF3YSwgSy4gQS48L2F1dGhv
cj48YXV0aG9yPkJhcmJvdW5pLCBBLjwvYXV0aG9yPjxhdXRob3I+QW50b25pYWRvdSwgRS48L2F1
dGhvcj48YXV0aG9yPkZvdWFkLCBILjwvYXV0aG9yPjxhdXRob3I+S2hvdXJ5LCBSLiBOLjwvYXV0
aG9yPjxhdXRob3I+UmFyaWNrLCBKLjwvYXV0aG9yPjxhdXRob3I+U2luaGEsIEQuIE4uPC9hdXRo
b3I+PGF1dGhvcj5Bc21hLCBTLjwvYXV0aG9yPjwvYXV0aG9ycz48L2NvbnRyaWJ1dG9ycz48YXV0
aC1hZGRyZXNzPkdsb2JhbCBUb2JhY2NvIENvbnRyb2wgQnJhbmNoLCBPZmZpY2Ugb24gU21va2lu
ZyBhbmQgSGVhbHRoLCBOYXRpb25hbCBDZW50ZXIgZm9yIENocm9uaWMgRGlzZWFzZSBQcmV2ZW50
aW9uIGFuZCBIZWFsdGggUHJvbW90aW9uLCBDREMsIEF0bGFudGEsIEdBOyBnb3U4QGNkYy5nb3Yu
JiN4RDtHbG9iYWwgVG9iYWNjbyBDb250cm9sIEJyYW5jaCwgT2ZmaWNlIG9uIFNtb2tpbmcgYW5k
IEhlYWx0aCwgTmF0aW9uYWwgQ2VudGVyIGZvciBDaHJvbmljIERpc2Vhc2UgUHJldmVudGlvbiBh
bmQgSGVhbHRoIFByb21vdGlvbiwgQ0RDLCBBdGxhbnRhLCBHQTsmI3hEO09mZmljZSBvZiBTbW9r
aW5nIGFuZCBIZWFsdGgsIE5DQ0RQSFAsIENEQywgQXRsYW50YSwgR0E7JiN4RDtOYXRpb25hbCBJ
bnN0aXR1dGUgb2YgSGVhbHRoIFJlc2VhcmNoIGFuZCBEZXZlbG9wbWVudCwgTWluaXN0cnkgb2Yg
SGVhbHRoLCBSZXB1YmxpYyBvZiBJbmRvbmVzaWEsIEpha2FydGEsIEluZG9uZXNpYTsmI3hEO0lu
c3RpdHV0ZSBmb3IgUHVibGljIEhlYWx0aCwgTWluaXN0cnkgb2YgSGVhbHRoLCBNYWxheXNpYSwg
S3VhbGEgTHVtcHVyLCBNYWxheXNpYTsmI3hEO1B1YmxpYyBIZWFsdGggRGVwYXJ0bWVudCwgU3Vw
cmVtZSBDb3VuY2lsIG9mIEhlYWx0aCwgRG9oYSwgUWF0YXI7JiN4RDtEZXBhcnRtZW50IG9mIFB1
YmxpYyBIZWFsdGgsIE5hdGlvbmFsIFNjaG9vbCBvZiBQdWJsaWMgSGVhbHRoLCBBdGhlbnMsIEdy
ZWVjZTsmI3hEO1JlZ2lvbmFsIE9mZmljZSBmb3IgdGhlIEVhc3Rlcm4gTWVkaXRlcnJhbmVhbiwg
V29ybGQgSGVhbHRoIE9yZ2FuaXphdGlvbiwgQ2Fpcm8sIEVneXB0OyYjeEQ7UmVnaW9uYWwgT2Zm
aWNlIGZvciBFdXJvcGUsIFdvcmxkIEhlYWx0aCBPcmdhbml6YXRpb24sIENvcGVuaGFnZW4sIERl
bm1hcms7JiN4RDtXZXN0ZXJuIFBhY2lmaWMgUmVnaW9uYWwgT2ZmaWNlLCBXb3JsZCBIZWFsdGgg
T3JnYW5pemF0aW9uLCBNYW5pbGEsIFBoaWxpcHBpbmVzOyYjeEQ7U291dGgtRWFzdCBBc2lhIFJl
Z2lvbmFsIE9mZmljZSwgV29ybGQgSGVhbHRoIE9yZ2FuaXphdGlvbiwgTmV3IERlbGhpLCBJbmRp
YS48L2F1dGgtYWRkcmVzcz48dGl0bGVzPjx0aXRsZT5Bd2FyZW5lc3MgYW5kIEN1cnJlbnQgVXNl
IG9mIEVsZWN0cm9uaWMgQ2lnYXJldHRlcyBpbiBJbmRvbmVzaWEsIE1hbGF5c2lhLCBRYXRhciwg
YW5kIEdyZWVjZTogRmluZGluZ3MgRnJvbSAyMDExLTIwMTMgR2xvYmFsIEFkdWx0IFRvYmFjY28g
U3VydmV5czwvdGl0bGU+PHNlY29uZGFyeS10aXRsZT5OaWNvdGluZSBUb2IgUmVzPC9zZWNvbmRh
cnktdGl0bGU+PGFsdC10aXRsZT5OaWNvdGluZSAmYW1wOyB0b2JhY2NvIHJlc2VhcmNoIDogb2Zm
aWNpYWwgam91cm5hbCBvZiB0aGUgU29jaWV0eSBmb3IgUmVzZWFyY2ggb24gTmljb3RpbmUgYW5k
IFRvYmFjY288L2FsdC10aXRsZT48L3RpdGxlcz48cGVyaW9kaWNhbD48ZnVsbC10aXRsZT5OaWNv
dGluZSBUb2IgUmVzPC9mdWxsLXRpdGxlPjxhYmJyLTE+Tmljb3RpbmUgJmFtcDsgdG9iYWNjbyBy
ZXNlYXJjaCA6IG9mZmljaWFsIGpvdXJuYWwgb2YgdGhlIFNvY2lldHkgZm9yIFJlc2VhcmNoIG9u
IE5pY290aW5lIGFuZCBUb2JhY2NvPC9hYmJyLTE+PC9wZXJpb2RpY2FsPjxhbHQtcGVyaW9kaWNh
bD48ZnVsbC10aXRsZT5OaWNvdGluZSBUb2IgUmVzPC9mdWxsLXRpdGxlPjxhYmJyLTE+Tmljb3Rp
bmUgJmFtcDsgdG9iYWNjbyByZXNlYXJjaCA6IG9mZmljaWFsIGpvdXJuYWwgb2YgdGhlIFNvY2ll
dHkgZm9yIFJlc2VhcmNoIG9uIE5pY290aW5lIGFuZCBUb2JhY2NvPC9hYmJyLTE+PC9hbHQtcGVy
aW9kaWNhbD48cGFnZXM+NTAxLTc8L3BhZ2VzPjx2b2x1bWU+MTg8L3ZvbHVtZT48bnVtYmVyPjQ8
L251bWJlcj48ZWRpdGlvbj4yMDE1LzA0LzIyPC9lZGl0aW9uPjxrZXl3b3Jkcz48a2V5d29yZD5B
ZG9sZXNjZW50PC9rZXl3b3JkPjxrZXl3b3JkPkFkdWx0PC9rZXl3b3JkPjxrZXl3b3JkPkFnZWQ8
L2tleXdvcmQ+PGtleXdvcmQ+KkF3YXJlbmVzczwva2V5d29yZD48a2V5d29yZD5FbGVjdHJvbmlj
IE5pY290aW5lIERlbGl2ZXJ5IFN5c3RlbXMvKnRyZW5kcy91dGlsaXphdGlvbjwva2V5d29yZD48
a2V5d29yZD5GZW1hbGU8L2tleXdvcmQ+PGtleXdvcmQ+R3JlZWNlL2VwaWRlbWlvbG9neTwva2V5
d29yZD48a2V5d29yZD5IdW1hbnM8L2tleXdvcmQ+PGtleXdvcmQ+SW5kb25lc2lhL2VwaWRlbWlv
bG9neTwva2V5d29yZD48a2V5d29yZD5NYWxheXNpYS9lcGlkZW1pb2xvZ3k8L2tleXdvcmQ+PGtl
eXdvcmQ+TWFsZTwva2V5d29yZD48a2V5d29yZD5NaWRkbGUgQWdlZDwva2V5d29yZD48a2V5d29y
ZD5QdWJsaWMgSGVhbHRoL3RyZW5kczwva2V5d29yZD48a2V5d29yZD5RYXRhci9lcGlkZW1pb2xv
Z3k8L2tleXdvcmQ+PGtleXdvcmQ+U21va2luZy8qZXBpZGVtaW9sb2d5Lyp0cmVuZHM8L2tleXdv
cmQ+PGtleXdvcmQ+KlN1cnZleXMgYW5kIFF1ZXN0aW9ubmFpcmVzPC9rZXl3b3JkPjxrZXl3b3Jk
PlRvYmFjY288L2tleXdvcmQ+PGtleXdvcmQ+VG9iYWNjbyBVc2UgRGlzb3JkZXIvZGlhZ25vc2lz
L2VwaWRlbWlvbG9neTwva2V5d29yZD48a2V5d29yZD5Zb3VuZyBBZHVsdDwva2V5d29yZD48L2tl
eXdvcmRzPjxkYXRlcz48eWVhcj4yMDE2PC95ZWFyPjxwdWItZGF0ZXM+PGRhdGU+QXByPC9kYXRl
PjwvcHViLWRhdGVzPjwvZGF0ZXM+PGlzYm4+MTQ2Mi0yMjAzPC9pc2JuPjxhY2Nlc3Npb24tbnVt
PjI1ODk1OTUxPC9hY2Nlc3Npb24tbnVtPjx1cmxzPjwvdXJscz48Y3VzdG9tMj5QTUM1MTAwODIw
PC9jdXN0b20yPjxjdXN0b202Pk5JSE1TODI2NzkxPC9jdXN0b202PjxlbGVjdHJvbmljLXJlc291
cmNlLW51bT4xMC4xMDkzL250ci9udHYwODE8L2VsZWN0cm9uaWMtcmVzb3VyY2UtbnVtPjxyZW1v
dGUtZGF0YWJhc2UtcHJvdmlkZXI+TkxNPC9yZW1vdGUtZGF0YWJhc2UtcHJvdmlkZXI+PGxhbmd1
YWdlPmVuZzwvbGFuZ3VhZ2U+PC9yZWNvcmQ+PC9DaXRlPjwvRW5kTm90ZT5=
</w:fldData>
              </w:fldChar>
            </w:r>
            <w:r w:rsidR="00903735">
              <w:rPr>
                <w:rFonts w:eastAsia="Times New Roman" w:cs="Calibri"/>
                <w:sz w:val="16"/>
                <w:szCs w:val="16"/>
              </w:rPr>
              <w:instrText xml:space="preserve"> ADDIN EN.CITE </w:instrText>
            </w:r>
            <w:r w:rsidR="00903735">
              <w:rPr>
                <w:rFonts w:eastAsia="Times New Roman" w:cs="Calibri"/>
                <w:sz w:val="16"/>
                <w:szCs w:val="16"/>
              </w:rPr>
              <w:fldChar w:fldCharType="begin">
                <w:fldData xml:space="preserve">PEVuZE5vdGU+PENpdGU+PEF1dGhvcj5QYWxpcHVkaTwvQXV0aG9yPjxZZWFyPjIwMTY8L1llYXI+
PFJlY051bT4xMzQzNTwvUmVjTnVtPjxEaXNwbGF5VGV4dD4oUGFsaXB1ZGksIE1idWxvIGV0IGFs
LiAyMDE2KTwvRGlzcGxheVRleHQ+PHJlY29yZD48cmVjLW51bWJlcj4xMzQzNTwvcmVjLW51bWJl
cj48Zm9yZWlnbi1rZXlzPjxrZXkgYXBwPSJFTiIgZGItaWQ9IjV4djV3NXQyYmR4dHhmZXp4MDJ4
dHhkZnQ1cno1cHR2dnQyOSIgdGltZXN0YW1wPSIxNTI3MjA4OTk4Ij4xMzQzNTwva2V5PjxrZXkg
YXBwPSJFTldlYiIgZGItaWQ9IiI+MDwva2V5PjwvZm9yZWlnbi1rZXlzPjxyZWYtdHlwZSBuYW1l
PSJKb3VybmFsIEFydGljbGUiPjE3PC9yZWYtdHlwZT48Y29udHJpYnV0b3JzPjxhdXRob3JzPjxh
dXRob3I+UGFsaXB1ZGksIEsuIE0uPC9hdXRob3I+PGF1dGhvcj5NYnVsbywgTC48L2F1dGhvcj48
YXV0aG9yPk1vcnRvbiwgSi48L2F1dGhvcj48YXV0aG9yPk1idWxvLCBMLjwvYXV0aG9yPjxhdXRo
b3I+QnVubmVsbCwgUi48L2F1dGhvcj48YXV0aG9yPkJsdXRjaGVyLU5lbHNvbiwgRy48L2F1dGhv
cj48YXV0aG9yPktvc2VuLCBTLjwvYXV0aG9yPjxhdXRob3I+VGVlLCBHLiBILjwvYXV0aG9yPjxh
dXRob3I+QWJkYWxsYSwgQS4gTS48L2F1dGhvcj48YXV0aG9yPk11dGF3YSwgSy4gQS48L2F1dGhv
cj48YXV0aG9yPkJhcmJvdW5pLCBBLjwvYXV0aG9yPjxhdXRob3I+QW50b25pYWRvdSwgRS48L2F1
dGhvcj48YXV0aG9yPkZvdWFkLCBILjwvYXV0aG9yPjxhdXRob3I+S2hvdXJ5LCBSLiBOLjwvYXV0
aG9yPjxhdXRob3I+UmFyaWNrLCBKLjwvYXV0aG9yPjxhdXRob3I+U2luaGEsIEQuIE4uPC9hdXRo
b3I+PGF1dGhvcj5Bc21hLCBTLjwvYXV0aG9yPjwvYXV0aG9ycz48L2NvbnRyaWJ1dG9ycz48YXV0
aC1hZGRyZXNzPkdsb2JhbCBUb2JhY2NvIENvbnRyb2wgQnJhbmNoLCBPZmZpY2Ugb24gU21va2lu
ZyBhbmQgSGVhbHRoLCBOYXRpb25hbCBDZW50ZXIgZm9yIENocm9uaWMgRGlzZWFzZSBQcmV2ZW50
aW9uIGFuZCBIZWFsdGggUHJvbW90aW9uLCBDREMsIEF0bGFudGEsIEdBOyBnb3U4QGNkYy5nb3Yu
JiN4RDtHbG9iYWwgVG9iYWNjbyBDb250cm9sIEJyYW5jaCwgT2ZmaWNlIG9uIFNtb2tpbmcgYW5k
IEhlYWx0aCwgTmF0aW9uYWwgQ2VudGVyIGZvciBDaHJvbmljIERpc2Vhc2UgUHJldmVudGlvbiBh
bmQgSGVhbHRoIFByb21vdGlvbiwgQ0RDLCBBdGxhbnRhLCBHQTsmI3hEO09mZmljZSBvZiBTbW9r
aW5nIGFuZCBIZWFsdGgsIE5DQ0RQSFAsIENEQywgQXRsYW50YSwgR0E7JiN4RDtOYXRpb25hbCBJ
bnN0aXR1dGUgb2YgSGVhbHRoIFJlc2VhcmNoIGFuZCBEZXZlbG9wbWVudCwgTWluaXN0cnkgb2Yg
SGVhbHRoLCBSZXB1YmxpYyBvZiBJbmRvbmVzaWEsIEpha2FydGEsIEluZG9uZXNpYTsmI3hEO0lu
c3RpdHV0ZSBmb3IgUHVibGljIEhlYWx0aCwgTWluaXN0cnkgb2YgSGVhbHRoLCBNYWxheXNpYSwg
S3VhbGEgTHVtcHVyLCBNYWxheXNpYTsmI3hEO1B1YmxpYyBIZWFsdGggRGVwYXJ0bWVudCwgU3Vw
cmVtZSBDb3VuY2lsIG9mIEhlYWx0aCwgRG9oYSwgUWF0YXI7JiN4RDtEZXBhcnRtZW50IG9mIFB1
YmxpYyBIZWFsdGgsIE5hdGlvbmFsIFNjaG9vbCBvZiBQdWJsaWMgSGVhbHRoLCBBdGhlbnMsIEdy
ZWVjZTsmI3hEO1JlZ2lvbmFsIE9mZmljZSBmb3IgdGhlIEVhc3Rlcm4gTWVkaXRlcnJhbmVhbiwg
V29ybGQgSGVhbHRoIE9yZ2FuaXphdGlvbiwgQ2Fpcm8sIEVneXB0OyYjeEQ7UmVnaW9uYWwgT2Zm
aWNlIGZvciBFdXJvcGUsIFdvcmxkIEhlYWx0aCBPcmdhbml6YXRpb24sIENvcGVuaGFnZW4sIERl
bm1hcms7JiN4RDtXZXN0ZXJuIFBhY2lmaWMgUmVnaW9uYWwgT2ZmaWNlLCBXb3JsZCBIZWFsdGgg
T3JnYW5pemF0aW9uLCBNYW5pbGEsIFBoaWxpcHBpbmVzOyYjeEQ7U291dGgtRWFzdCBBc2lhIFJl
Z2lvbmFsIE9mZmljZSwgV29ybGQgSGVhbHRoIE9yZ2FuaXphdGlvbiwgTmV3IERlbGhpLCBJbmRp
YS48L2F1dGgtYWRkcmVzcz48dGl0bGVzPjx0aXRsZT5Bd2FyZW5lc3MgYW5kIEN1cnJlbnQgVXNl
IG9mIEVsZWN0cm9uaWMgQ2lnYXJldHRlcyBpbiBJbmRvbmVzaWEsIE1hbGF5c2lhLCBRYXRhciwg
YW5kIEdyZWVjZTogRmluZGluZ3MgRnJvbSAyMDExLTIwMTMgR2xvYmFsIEFkdWx0IFRvYmFjY28g
U3VydmV5czwvdGl0bGU+PHNlY29uZGFyeS10aXRsZT5OaWNvdGluZSBUb2IgUmVzPC9zZWNvbmRh
cnktdGl0bGU+PGFsdC10aXRsZT5OaWNvdGluZSAmYW1wOyB0b2JhY2NvIHJlc2VhcmNoIDogb2Zm
aWNpYWwgam91cm5hbCBvZiB0aGUgU29jaWV0eSBmb3IgUmVzZWFyY2ggb24gTmljb3RpbmUgYW5k
IFRvYmFjY288L2FsdC10aXRsZT48L3RpdGxlcz48cGVyaW9kaWNhbD48ZnVsbC10aXRsZT5OaWNv
dGluZSBUb2IgUmVzPC9mdWxsLXRpdGxlPjxhYmJyLTE+Tmljb3RpbmUgJmFtcDsgdG9iYWNjbyBy
ZXNlYXJjaCA6IG9mZmljaWFsIGpvdXJuYWwgb2YgdGhlIFNvY2lldHkgZm9yIFJlc2VhcmNoIG9u
IE5pY290aW5lIGFuZCBUb2JhY2NvPC9hYmJyLTE+PC9wZXJpb2RpY2FsPjxhbHQtcGVyaW9kaWNh
bD48ZnVsbC10aXRsZT5OaWNvdGluZSBUb2IgUmVzPC9mdWxsLXRpdGxlPjxhYmJyLTE+Tmljb3Rp
bmUgJmFtcDsgdG9iYWNjbyByZXNlYXJjaCA6IG9mZmljaWFsIGpvdXJuYWwgb2YgdGhlIFNvY2ll
dHkgZm9yIFJlc2VhcmNoIG9uIE5pY290aW5lIGFuZCBUb2JhY2NvPC9hYmJyLTE+PC9hbHQtcGVy
aW9kaWNhbD48cGFnZXM+NTAxLTc8L3BhZ2VzPjx2b2x1bWU+MTg8L3ZvbHVtZT48bnVtYmVyPjQ8
L251bWJlcj48ZWRpdGlvbj4yMDE1LzA0LzIyPC9lZGl0aW9uPjxrZXl3b3Jkcz48a2V5d29yZD5B
ZG9sZXNjZW50PC9rZXl3b3JkPjxrZXl3b3JkPkFkdWx0PC9rZXl3b3JkPjxrZXl3b3JkPkFnZWQ8
L2tleXdvcmQ+PGtleXdvcmQ+KkF3YXJlbmVzczwva2V5d29yZD48a2V5d29yZD5FbGVjdHJvbmlj
IE5pY290aW5lIERlbGl2ZXJ5IFN5c3RlbXMvKnRyZW5kcy91dGlsaXphdGlvbjwva2V5d29yZD48
a2V5d29yZD5GZW1hbGU8L2tleXdvcmQ+PGtleXdvcmQ+R3JlZWNlL2VwaWRlbWlvbG9neTwva2V5
d29yZD48a2V5d29yZD5IdW1hbnM8L2tleXdvcmQ+PGtleXdvcmQ+SW5kb25lc2lhL2VwaWRlbWlv
bG9neTwva2V5d29yZD48a2V5d29yZD5NYWxheXNpYS9lcGlkZW1pb2xvZ3k8L2tleXdvcmQ+PGtl
eXdvcmQ+TWFsZTwva2V5d29yZD48a2V5d29yZD5NaWRkbGUgQWdlZDwva2V5d29yZD48a2V5d29y
ZD5QdWJsaWMgSGVhbHRoL3RyZW5kczwva2V5d29yZD48a2V5d29yZD5RYXRhci9lcGlkZW1pb2xv
Z3k8L2tleXdvcmQ+PGtleXdvcmQ+U21va2luZy8qZXBpZGVtaW9sb2d5Lyp0cmVuZHM8L2tleXdv
cmQ+PGtleXdvcmQ+KlN1cnZleXMgYW5kIFF1ZXN0aW9ubmFpcmVzPC9rZXl3b3JkPjxrZXl3b3Jk
PlRvYmFjY288L2tleXdvcmQ+PGtleXdvcmQ+VG9iYWNjbyBVc2UgRGlzb3JkZXIvZGlhZ25vc2lz
L2VwaWRlbWlvbG9neTwva2V5d29yZD48a2V5d29yZD5Zb3VuZyBBZHVsdDwva2V5d29yZD48L2tl
eXdvcmRzPjxkYXRlcz48eWVhcj4yMDE2PC95ZWFyPjxwdWItZGF0ZXM+PGRhdGU+QXByPC9kYXRl
PjwvcHViLWRhdGVzPjwvZGF0ZXM+PGlzYm4+MTQ2Mi0yMjAzPC9pc2JuPjxhY2Nlc3Npb24tbnVt
PjI1ODk1OTUxPC9hY2Nlc3Npb24tbnVtPjx1cmxzPjwvdXJscz48Y3VzdG9tMj5QTUM1MTAwODIw
PC9jdXN0b20yPjxjdXN0b202Pk5JSE1TODI2NzkxPC9jdXN0b202PjxlbGVjdHJvbmljLXJlc291
cmNlLW51bT4xMC4xMDkzL250ci9udHYwODE8L2VsZWN0cm9uaWMtcmVzb3VyY2UtbnVtPjxyZW1v
dGUtZGF0YWJhc2UtcHJvdmlkZXI+TkxNPC9yZW1vdGUtZGF0YWJhc2UtcHJvdmlkZXI+PGxhbmd1
YWdlPmVuZzwvbGFuZ3VhZ2U+PC9yZWNvcmQ+PC9DaXRlPjwvRW5kTm90ZT5=
</w:fldData>
              </w:fldChar>
            </w:r>
            <w:r w:rsidR="00903735">
              <w:rPr>
                <w:rFonts w:eastAsia="Times New Roman" w:cs="Calibri"/>
                <w:sz w:val="16"/>
                <w:szCs w:val="16"/>
              </w:rPr>
              <w:instrText xml:space="preserve"> ADDIN EN.CITE.DATA </w:instrText>
            </w:r>
            <w:r w:rsidR="00903735">
              <w:rPr>
                <w:rFonts w:eastAsia="Times New Roman" w:cs="Calibri"/>
                <w:sz w:val="16"/>
                <w:szCs w:val="16"/>
              </w:rPr>
            </w:r>
            <w:r w:rsidR="00903735">
              <w:rPr>
                <w:rFonts w:eastAsia="Times New Roman" w:cs="Calibri"/>
                <w:sz w:val="16"/>
                <w:szCs w:val="16"/>
              </w:rPr>
              <w:fldChar w:fldCharType="end"/>
            </w:r>
            <w:r w:rsidRPr="00A743C9">
              <w:rPr>
                <w:rFonts w:eastAsia="Times New Roman" w:cs="Calibri"/>
                <w:sz w:val="16"/>
                <w:szCs w:val="16"/>
              </w:rPr>
            </w:r>
            <w:r w:rsidRPr="00A743C9">
              <w:rPr>
                <w:rFonts w:eastAsia="Times New Roman" w:cs="Calibri"/>
                <w:sz w:val="16"/>
                <w:szCs w:val="16"/>
              </w:rPr>
              <w:fldChar w:fldCharType="separate"/>
            </w:r>
            <w:r w:rsidRPr="00A743C9">
              <w:rPr>
                <w:rFonts w:eastAsia="Times New Roman" w:cs="Calibri"/>
                <w:noProof/>
                <w:sz w:val="16"/>
                <w:szCs w:val="16"/>
              </w:rPr>
              <w:t>(Palipudi, Mbulo et al. 2016)</w:t>
            </w:r>
            <w:r w:rsidRPr="00A743C9">
              <w:rPr>
                <w:rFonts w:eastAsia="Times New Roman" w:cs="Calibri"/>
                <w:sz w:val="16"/>
                <w:szCs w:val="16"/>
              </w:rPr>
              <w:fldChar w:fldCharType="end"/>
            </w:r>
          </w:p>
        </w:tc>
        <w:tc>
          <w:tcPr>
            <w:tcW w:w="1304" w:type="dxa"/>
            <w:tcBorders>
              <w:left w:val="single" w:sz="4" w:space="0" w:color="auto"/>
              <w:bottom w:val="nil"/>
              <w:right w:val="single" w:sz="4" w:space="0" w:color="auto"/>
            </w:tcBorders>
            <w:noWrap/>
            <w:hideMark/>
          </w:tcPr>
          <w:p w14:paraId="2060B15C"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2011</w:t>
            </w:r>
          </w:p>
        </w:tc>
        <w:tc>
          <w:tcPr>
            <w:tcW w:w="1650" w:type="dxa"/>
            <w:tcBorders>
              <w:left w:val="single" w:sz="4" w:space="0" w:color="auto"/>
              <w:bottom w:val="nil"/>
            </w:tcBorders>
            <w:noWrap/>
            <w:hideMark/>
          </w:tcPr>
          <w:p w14:paraId="3880CD45"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0.3</w:t>
            </w:r>
          </w:p>
        </w:tc>
        <w:tc>
          <w:tcPr>
            <w:tcW w:w="1154" w:type="dxa"/>
            <w:tcBorders>
              <w:bottom w:val="nil"/>
              <w:right w:val="single" w:sz="4" w:space="0" w:color="auto"/>
            </w:tcBorders>
            <w:noWrap/>
            <w:hideMark/>
          </w:tcPr>
          <w:p w14:paraId="404FA868"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p>
        </w:tc>
        <w:tc>
          <w:tcPr>
            <w:tcW w:w="1187" w:type="dxa"/>
            <w:tcBorders>
              <w:left w:val="single" w:sz="4" w:space="0" w:color="auto"/>
              <w:bottom w:val="nil"/>
            </w:tcBorders>
            <w:noWrap/>
            <w:hideMark/>
          </w:tcPr>
          <w:p w14:paraId="4AFC7D8A"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76.2</w:t>
            </w:r>
          </w:p>
        </w:tc>
        <w:tc>
          <w:tcPr>
            <w:tcW w:w="1531" w:type="dxa"/>
            <w:tcBorders>
              <w:bottom w:val="nil"/>
              <w:right w:val="single" w:sz="4" w:space="0" w:color="auto"/>
            </w:tcBorders>
            <w:noWrap/>
            <w:hideMark/>
          </w:tcPr>
          <w:p w14:paraId="5368F637"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3.6</w:t>
            </w:r>
          </w:p>
        </w:tc>
      </w:tr>
      <w:tr w:rsidR="00B86BF1" w:rsidRPr="00A743C9" w14:paraId="4DBA81C7" w14:textId="77777777" w:rsidTr="000376C7">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003" w:type="dxa"/>
            <w:tcBorders>
              <w:left w:val="single" w:sz="4" w:space="0" w:color="auto"/>
              <w:bottom w:val="nil"/>
              <w:right w:val="single" w:sz="4" w:space="0" w:color="auto"/>
            </w:tcBorders>
            <w:noWrap/>
            <w:hideMark/>
          </w:tcPr>
          <w:p w14:paraId="1B2989BA" w14:textId="77777777" w:rsidR="00B86BF1" w:rsidRPr="00A743C9" w:rsidRDefault="00B86BF1" w:rsidP="00903735">
            <w:pPr>
              <w:spacing w:after="0"/>
              <w:rPr>
                <w:rFonts w:eastAsia="Times New Roman" w:cs="Calibri"/>
                <w:sz w:val="16"/>
                <w:szCs w:val="16"/>
              </w:rPr>
            </w:pPr>
            <w:r w:rsidRPr="00A743C9">
              <w:rPr>
                <w:rFonts w:eastAsia="Times New Roman" w:cs="Calibri"/>
                <w:sz w:val="16"/>
                <w:szCs w:val="16"/>
              </w:rPr>
              <w:t xml:space="preserve">Ireland </w:t>
            </w:r>
            <w:r w:rsidRPr="00A743C9">
              <w:rPr>
                <w:rFonts w:eastAsia="Times New Roman" w:cs="Calibri"/>
                <w:sz w:val="16"/>
                <w:szCs w:val="16"/>
              </w:rPr>
              <w:fldChar w:fldCharType="begin"/>
            </w:r>
            <w:r w:rsidR="00903735">
              <w:rPr>
                <w:rFonts w:eastAsia="Times New Roman" w:cs="Calibri"/>
                <w:sz w:val="16"/>
                <w:szCs w:val="16"/>
              </w:rPr>
              <w:instrText xml:space="preserve"> ADDIN EN.CITE &lt;EndNote&gt;&lt;Cite&gt;&lt;Author&gt;European Commission&lt;/Author&gt;&lt;Year&gt;2017&lt;/Year&gt;&lt;RecNum&gt;13438&lt;/RecNum&gt;&lt;DisplayText&gt;(European Commission 2017)&lt;/DisplayText&gt;&lt;record&gt;&lt;rec-number&gt;13438&lt;/rec-number&gt;&lt;foreign-keys&gt;&lt;key app="EN" db-id="5xv5w5t2bdxtxfezx02xtxdft5rz5ptvvt29" timestamp="1527209032"&gt;13438&lt;/key&gt;&lt;/foreign-keys&gt;&lt;ref-type name="Web Page"&gt;12&lt;/ref-type&gt;&lt;contributors&gt;&lt;authors&gt;&lt;author&gt;European Commission,&lt;/author&gt;&lt;/authors&gt;&lt;/contributors&gt;&lt;titles&gt;&lt;title&gt;Attitudes of Europeans towards tobacco and electronic cigarettes&lt;/title&gt;&lt;/titles&gt;&lt;volume&gt;2018&lt;/volume&gt;&lt;number&gt;18.05.2018&lt;/number&gt;&lt;dates&gt;&lt;year&gt;2017&lt;/year&gt;&lt;/dates&gt;&lt;publisher&gt;European Commission&lt;/publisher&gt;&lt;urls&gt;&lt;related-urls&gt;&lt;url&gt;http://ec.europa.eu/commfrontoffice/publicopinion/index.cfm/Survey/getSurveyDetail/instruments/SPECIAL/yearFrom/2016/yearTo/2018/surveyKy/2146&lt;/url&gt;&lt;/related-urls&gt;&lt;/urls&gt;&lt;/record&gt;&lt;/Cite&gt;&lt;/EndNote&gt;</w:instrText>
            </w:r>
            <w:r w:rsidRPr="00A743C9">
              <w:rPr>
                <w:rFonts w:eastAsia="Times New Roman" w:cs="Calibri"/>
                <w:sz w:val="16"/>
                <w:szCs w:val="16"/>
              </w:rPr>
              <w:fldChar w:fldCharType="separate"/>
            </w:r>
            <w:r w:rsidRPr="00A743C9">
              <w:rPr>
                <w:rFonts w:eastAsia="Times New Roman" w:cs="Calibri"/>
                <w:noProof/>
                <w:sz w:val="16"/>
                <w:szCs w:val="16"/>
              </w:rPr>
              <w:t>(European Commission 2017)</w:t>
            </w:r>
            <w:r w:rsidRPr="00A743C9">
              <w:rPr>
                <w:rFonts w:eastAsia="Times New Roman" w:cs="Calibri"/>
                <w:sz w:val="16"/>
                <w:szCs w:val="16"/>
              </w:rPr>
              <w:fldChar w:fldCharType="end"/>
            </w:r>
          </w:p>
        </w:tc>
        <w:tc>
          <w:tcPr>
            <w:tcW w:w="1304" w:type="dxa"/>
            <w:tcBorders>
              <w:left w:val="single" w:sz="4" w:space="0" w:color="auto"/>
              <w:bottom w:val="nil"/>
              <w:right w:val="single" w:sz="4" w:space="0" w:color="auto"/>
            </w:tcBorders>
            <w:noWrap/>
            <w:hideMark/>
          </w:tcPr>
          <w:p w14:paraId="239566BC"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2014</w:t>
            </w:r>
          </w:p>
        </w:tc>
        <w:tc>
          <w:tcPr>
            <w:tcW w:w="1650" w:type="dxa"/>
            <w:tcBorders>
              <w:left w:val="single" w:sz="4" w:space="0" w:color="auto"/>
              <w:bottom w:val="nil"/>
            </w:tcBorders>
            <w:noWrap/>
            <w:hideMark/>
          </w:tcPr>
          <w:p w14:paraId="3592FCAF"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w:t>
            </w:r>
          </w:p>
        </w:tc>
        <w:tc>
          <w:tcPr>
            <w:tcW w:w="1154" w:type="dxa"/>
            <w:tcBorders>
              <w:bottom w:val="nil"/>
              <w:right w:val="single" w:sz="4" w:space="0" w:color="auto"/>
            </w:tcBorders>
            <w:noWrap/>
            <w:hideMark/>
          </w:tcPr>
          <w:p w14:paraId="62F49CDD"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13</w:t>
            </w:r>
          </w:p>
        </w:tc>
        <w:tc>
          <w:tcPr>
            <w:tcW w:w="1187" w:type="dxa"/>
            <w:tcBorders>
              <w:left w:val="single" w:sz="4" w:space="0" w:color="auto"/>
              <w:bottom w:val="nil"/>
            </w:tcBorders>
            <w:noWrap/>
            <w:hideMark/>
          </w:tcPr>
          <w:p w14:paraId="5D32BB93"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22.4</w:t>
            </w:r>
          </w:p>
        </w:tc>
        <w:tc>
          <w:tcPr>
            <w:tcW w:w="1531" w:type="dxa"/>
            <w:tcBorders>
              <w:bottom w:val="nil"/>
              <w:right w:val="single" w:sz="4" w:space="0" w:color="auto"/>
            </w:tcBorders>
            <w:noWrap/>
            <w:hideMark/>
          </w:tcPr>
          <w:p w14:paraId="7E52E8D0"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21.9</w:t>
            </w:r>
          </w:p>
        </w:tc>
      </w:tr>
      <w:tr w:rsidR="00B86BF1" w:rsidRPr="00A743C9" w14:paraId="5491F96A" w14:textId="77777777" w:rsidTr="000376C7">
        <w:trPr>
          <w:trHeight w:val="287"/>
        </w:trPr>
        <w:tc>
          <w:tcPr>
            <w:cnfStyle w:val="001000000000" w:firstRow="0" w:lastRow="0" w:firstColumn="1" w:lastColumn="0" w:oddVBand="0" w:evenVBand="0" w:oddHBand="0" w:evenHBand="0" w:firstRowFirstColumn="0" w:firstRowLastColumn="0" w:lastRowFirstColumn="0" w:lastRowLastColumn="0"/>
            <w:tcW w:w="3003" w:type="dxa"/>
            <w:tcBorders>
              <w:left w:val="single" w:sz="4" w:space="0" w:color="auto"/>
              <w:bottom w:val="nil"/>
              <w:right w:val="single" w:sz="4" w:space="0" w:color="auto"/>
            </w:tcBorders>
            <w:noWrap/>
            <w:hideMark/>
          </w:tcPr>
          <w:p w14:paraId="07117FD8" w14:textId="77777777" w:rsidR="00B86BF1" w:rsidRPr="00A743C9" w:rsidRDefault="00B86BF1" w:rsidP="00903735">
            <w:pPr>
              <w:spacing w:after="0"/>
              <w:rPr>
                <w:rFonts w:eastAsia="Times New Roman" w:cs="Calibri"/>
                <w:sz w:val="16"/>
                <w:szCs w:val="16"/>
              </w:rPr>
            </w:pPr>
            <w:r w:rsidRPr="00A743C9">
              <w:rPr>
                <w:rFonts w:eastAsia="Times New Roman" w:cs="Calibri"/>
                <w:sz w:val="16"/>
                <w:szCs w:val="16"/>
              </w:rPr>
              <w:t xml:space="preserve">Italy </w:t>
            </w:r>
            <w:r w:rsidRPr="00A743C9">
              <w:rPr>
                <w:rFonts w:eastAsia="Times New Roman" w:cs="Calibri"/>
                <w:sz w:val="16"/>
                <w:szCs w:val="16"/>
              </w:rPr>
              <w:fldChar w:fldCharType="begin"/>
            </w:r>
            <w:r w:rsidR="00903735">
              <w:rPr>
                <w:rFonts w:eastAsia="Times New Roman" w:cs="Calibri"/>
                <w:sz w:val="16"/>
                <w:szCs w:val="16"/>
              </w:rPr>
              <w:instrText xml:space="preserve"> ADDIN EN.CITE &lt;EndNote&gt;&lt;Cite&gt;&lt;Author&gt;European Commission&lt;/Author&gt;&lt;Year&gt;2017&lt;/Year&gt;&lt;RecNum&gt;13438&lt;/RecNum&gt;&lt;DisplayText&gt;(European Commission 2017)&lt;/DisplayText&gt;&lt;record&gt;&lt;rec-number&gt;13438&lt;/rec-number&gt;&lt;foreign-keys&gt;&lt;key app="EN" db-id="5xv5w5t2bdxtxfezx02xtxdft5rz5ptvvt29" timestamp="1527209032"&gt;13438&lt;/key&gt;&lt;/foreign-keys&gt;&lt;ref-type name="Web Page"&gt;12&lt;/ref-type&gt;&lt;contributors&gt;&lt;authors&gt;&lt;author&gt;European Commission,&lt;/author&gt;&lt;/authors&gt;&lt;/contributors&gt;&lt;titles&gt;&lt;title&gt;Attitudes of Europeans towards tobacco and electronic cigarettes&lt;/title&gt;&lt;/titles&gt;&lt;volume&gt;2018&lt;/volume&gt;&lt;number&gt;18.05.2018&lt;/number&gt;&lt;dates&gt;&lt;year&gt;2017&lt;/year&gt;&lt;/dates&gt;&lt;publisher&gt;European Commission&lt;/publisher&gt;&lt;urls&gt;&lt;related-urls&gt;&lt;url&gt;http://ec.europa.eu/commfrontoffice/publicopinion/index.cfm/Survey/getSurveyDetail/instruments/SPECIAL/yearFrom/2016/yearTo/2018/surveyKy/2146&lt;/url&gt;&lt;/related-urls&gt;&lt;/urls&gt;&lt;/record&gt;&lt;/Cite&gt;&lt;/EndNote&gt;</w:instrText>
            </w:r>
            <w:r w:rsidRPr="00A743C9">
              <w:rPr>
                <w:rFonts w:eastAsia="Times New Roman" w:cs="Calibri"/>
                <w:sz w:val="16"/>
                <w:szCs w:val="16"/>
              </w:rPr>
              <w:fldChar w:fldCharType="separate"/>
            </w:r>
            <w:r w:rsidRPr="00A743C9">
              <w:rPr>
                <w:rFonts w:eastAsia="Times New Roman" w:cs="Calibri"/>
                <w:noProof/>
                <w:sz w:val="16"/>
                <w:szCs w:val="16"/>
              </w:rPr>
              <w:t>(European Commission 2017)</w:t>
            </w:r>
            <w:r w:rsidRPr="00A743C9">
              <w:rPr>
                <w:rFonts w:eastAsia="Times New Roman" w:cs="Calibri"/>
                <w:sz w:val="16"/>
                <w:szCs w:val="16"/>
              </w:rPr>
              <w:fldChar w:fldCharType="end"/>
            </w:r>
          </w:p>
        </w:tc>
        <w:tc>
          <w:tcPr>
            <w:tcW w:w="1304" w:type="dxa"/>
            <w:tcBorders>
              <w:left w:val="single" w:sz="4" w:space="0" w:color="auto"/>
              <w:bottom w:val="nil"/>
              <w:right w:val="single" w:sz="4" w:space="0" w:color="auto"/>
            </w:tcBorders>
            <w:noWrap/>
            <w:hideMark/>
          </w:tcPr>
          <w:p w14:paraId="45623F0F"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2014</w:t>
            </w:r>
          </w:p>
        </w:tc>
        <w:tc>
          <w:tcPr>
            <w:tcW w:w="1650" w:type="dxa"/>
            <w:tcBorders>
              <w:left w:val="single" w:sz="4" w:space="0" w:color="auto"/>
              <w:bottom w:val="nil"/>
            </w:tcBorders>
            <w:noWrap/>
            <w:hideMark/>
          </w:tcPr>
          <w:p w14:paraId="651A0820"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0</w:t>
            </w:r>
          </w:p>
        </w:tc>
        <w:tc>
          <w:tcPr>
            <w:tcW w:w="1154" w:type="dxa"/>
            <w:tcBorders>
              <w:bottom w:val="nil"/>
              <w:right w:val="single" w:sz="4" w:space="0" w:color="auto"/>
            </w:tcBorders>
            <w:noWrap/>
            <w:hideMark/>
          </w:tcPr>
          <w:p w14:paraId="32B6A01F"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9</w:t>
            </w:r>
          </w:p>
        </w:tc>
        <w:tc>
          <w:tcPr>
            <w:tcW w:w="1187" w:type="dxa"/>
            <w:tcBorders>
              <w:left w:val="single" w:sz="4" w:space="0" w:color="auto"/>
              <w:bottom w:val="nil"/>
            </w:tcBorders>
            <w:noWrap/>
            <w:hideMark/>
          </w:tcPr>
          <w:p w14:paraId="23299FB4"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28.3</w:t>
            </w:r>
          </w:p>
        </w:tc>
        <w:tc>
          <w:tcPr>
            <w:tcW w:w="1531" w:type="dxa"/>
            <w:tcBorders>
              <w:bottom w:val="nil"/>
              <w:right w:val="single" w:sz="4" w:space="0" w:color="auto"/>
            </w:tcBorders>
            <w:noWrap/>
            <w:hideMark/>
          </w:tcPr>
          <w:p w14:paraId="0EE07916"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19.7</w:t>
            </w:r>
          </w:p>
        </w:tc>
      </w:tr>
      <w:tr w:rsidR="00B86BF1" w:rsidRPr="00A743C9" w14:paraId="05928354" w14:textId="77777777" w:rsidTr="000376C7">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003" w:type="dxa"/>
            <w:tcBorders>
              <w:left w:val="single" w:sz="4" w:space="0" w:color="auto"/>
              <w:bottom w:val="nil"/>
              <w:right w:val="single" w:sz="4" w:space="0" w:color="auto"/>
            </w:tcBorders>
            <w:noWrap/>
            <w:hideMark/>
          </w:tcPr>
          <w:p w14:paraId="7F1A28BA" w14:textId="77777777" w:rsidR="00B86BF1" w:rsidRPr="00A743C9" w:rsidRDefault="00B86BF1" w:rsidP="000376C7">
            <w:pPr>
              <w:spacing w:after="0"/>
              <w:rPr>
                <w:rFonts w:eastAsia="Times New Roman" w:cs="Calibri"/>
                <w:sz w:val="16"/>
                <w:szCs w:val="16"/>
              </w:rPr>
            </w:pPr>
            <w:r w:rsidRPr="00A743C9">
              <w:rPr>
                <w:rFonts w:eastAsia="Times New Roman" w:cs="Calibri"/>
                <w:sz w:val="16"/>
                <w:szCs w:val="16"/>
              </w:rPr>
              <w:t xml:space="preserve">Kazakhstan </w:t>
            </w:r>
            <w:r w:rsidRPr="00A743C9">
              <w:rPr>
                <w:rFonts w:eastAsia="Times New Roman" w:cs="Calibri"/>
                <w:sz w:val="16"/>
                <w:szCs w:val="16"/>
              </w:rPr>
              <w:fldChar w:fldCharType="begin"/>
            </w:r>
            <w:r w:rsidRPr="00A743C9">
              <w:rPr>
                <w:rFonts w:eastAsia="Times New Roman" w:cs="Calibri"/>
                <w:sz w:val="16"/>
                <w:szCs w:val="16"/>
              </w:rPr>
              <w:instrText xml:space="preserve"> ADDIN EN.CITE &lt;EndNote&gt;&lt;Cite&gt;&lt;Author&gt;Kazakhstan&lt;/Author&gt;&lt;Year&gt;2014&lt;/Year&gt;&lt;RecNum&gt;9741&lt;/RecNum&gt;&lt;DisplayText&gt;(Ministry of Healthcare and Social Development of the Republic of Kazakhstan. 2014)&lt;/DisplayText&gt;&lt;record&gt;&lt;rec-number&gt;9741&lt;/rec-number&gt;&lt;foreign-keys&gt;&lt;key app="EN" db-id="9z05dz0praadfuee0zoxzedk9zfe5fxx50z5" timestamp="1526531744"&gt;9741&lt;/key&gt;&lt;/foreign-keys&gt;&lt;ref-type name="Report"&gt;27&lt;/ref-type&gt;&lt;contributors&gt;&lt;authors&gt;&lt;author&gt;Ministry of Healthcare and Social Development of the Republic of Kazakhstan.,&lt;/author&gt;&lt;/authors&gt;&lt;/contributors&gt;&lt;titles&gt;&lt;title&gt;Global Adult Tobacco Survey (GATS): The Republic of Kazakhstan, 2014: Country Report&lt;/title&gt;&lt;/titles&gt;&lt;pages&gt;22, 41&lt;/pages&gt;&lt;dates&gt;&lt;year&gt;2014&lt;/year&gt;&lt;/dates&gt;&lt;publisher&gt;Ministry of Healthcare and Social Development of the Republic of Kazakhstan, World Health Organisation, Centers for Disease Control and Prevention.&lt;/publisher&gt;&lt;urls&gt;&lt;/urls&gt;&lt;/record&gt;&lt;/Cite&gt;&lt;/EndNote&gt;</w:instrText>
            </w:r>
            <w:r w:rsidRPr="00A743C9">
              <w:rPr>
                <w:rFonts w:eastAsia="Times New Roman" w:cs="Calibri"/>
                <w:sz w:val="16"/>
                <w:szCs w:val="16"/>
              </w:rPr>
              <w:fldChar w:fldCharType="separate"/>
            </w:r>
            <w:r w:rsidRPr="00A743C9">
              <w:rPr>
                <w:rFonts w:eastAsia="Times New Roman" w:cs="Calibri"/>
                <w:noProof/>
                <w:sz w:val="16"/>
                <w:szCs w:val="16"/>
              </w:rPr>
              <w:t>(Ministry of Healthcare and Social Development of the Republic of Kazakhstan. 2014)</w:t>
            </w:r>
            <w:r w:rsidRPr="00A743C9">
              <w:rPr>
                <w:rFonts w:eastAsia="Times New Roman" w:cs="Calibri"/>
                <w:sz w:val="16"/>
                <w:szCs w:val="16"/>
              </w:rPr>
              <w:fldChar w:fldCharType="end"/>
            </w:r>
          </w:p>
        </w:tc>
        <w:tc>
          <w:tcPr>
            <w:tcW w:w="1304" w:type="dxa"/>
            <w:tcBorders>
              <w:left w:val="single" w:sz="4" w:space="0" w:color="auto"/>
              <w:bottom w:val="nil"/>
              <w:right w:val="single" w:sz="4" w:space="0" w:color="auto"/>
            </w:tcBorders>
            <w:noWrap/>
            <w:hideMark/>
          </w:tcPr>
          <w:p w14:paraId="299963E1"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2014</w:t>
            </w:r>
          </w:p>
        </w:tc>
        <w:tc>
          <w:tcPr>
            <w:tcW w:w="1650" w:type="dxa"/>
            <w:tcBorders>
              <w:left w:val="single" w:sz="4" w:space="0" w:color="auto"/>
              <w:bottom w:val="nil"/>
            </w:tcBorders>
            <w:noWrap/>
            <w:hideMark/>
          </w:tcPr>
          <w:p w14:paraId="7C996F66"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1.7</w:t>
            </w:r>
          </w:p>
        </w:tc>
        <w:tc>
          <w:tcPr>
            <w:tcW w:w="1154" w:type="dxa"/>
            <w:tcBorders>
              <w:bottom w:val="nil"/>
              <w:right w:val="single" w:sz="4" w:space="0" w:color="auto"/>
            </w:tcBorders>
            <w:noWrap/>
            <w:hideMark/>
          </w:tcPr>
          <w:p w14:paraId="255392E5"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p>
        </w:tc>
        <w:tc>
          <w:tcPr>
            <w:tcW w:w="1187" w:type="dxa"/>
            <w:tcBorders>
              <w:left w:val="single" w:sz="4" w:space="0" w:color="auto"/>
              <w:bottom w:val="nil"/>
            </w:tcBorders>
            <w:noWrap/>
            <w:hideMark/>
          </w:tcPr>
          <w:p w14:paraId="123711F8"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42.4</w:t>
            </w:r>
          </w:p>
        </w:tc>
        <w:tc>
          <w:tcPr>
            <w:tcW w:w="1531" w:type="dxa"/>
            <w:tcBorders>
              <w:bottom w:val="nil"/>
              <w:right w:val="single" w:sz="4" w:space="0" w:color="auto"/>
            </w:tcBorders>
            <w:noWrap/>
            <w:hideMark/>
          </w:tcPr>
          <w:p w14:paraId="65B9021A"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4.5</w:t>
            </w:r>
          </w:p>
        </w:tc>
      </w:tr>
      <w:tr w:rsidR="00B86BF1" w:rsidRPr="00A743C9" w14:paraId="16F5358A" w14:textId="77777777" w:rsidTr="000376C7">
        <w:trPr>
          <w:trHeight w:val="287"/>
        </w:trPr>
        <w:tc>
          <w:tcPr>
            <w:cnfStyle w:val="001000000000" w:firstRow="0" w:lastRow="0" w:firstColumn="1" w:lastColumn="0" w:oddVBand="0" w:evenVBand="0" w:oddHBand="0" w:evenHBand="0" w:firstRowFirstColumn="0" w:firstRowLastColumn="0" w:lastRowFirstColumn="0" w:lastRowLastColumn="0"/>
            <w:tcW w:w="3003" w:type="dxa"/>
            <w:tcBorders>
              <w:left w:val="single" w:sz="4" w:space="0" w:color="auto"/>
              <w:bottom w:val="nil"/>
              <w:right w:val="single" w:sz="4" w:space="0" w:color="auto"/>
            </w:tcBorders>
            <w:noWrap/>
            <w:hideMark/>
          </w:tcPr>
          <w:p w14:paraId="60C4E5DC" w14:textId="77777777" w:rsidR="00B86BF1" w:rsidRPr="00A743C9" w:rsidRDefault="00B86BF1" w:rsidP="00903735">
            <w:pPr>
              <w:spacing w:after="0"/>
              <w:rPr>
                <w:rFonts w:eastAsia="Times New Roman" w:cs="Calibri"/>
                <w:sz w:val="16"/>
                <w:szCs w:val="16"/>
              </w:rPr>
            </w:pPr>
            <w:r w:rsidRPr="00A743C9">
              <w:rPr>
                <w:rFonts w:eastAsia="Times New Roman" w:cs="Calibri"/>
                <w:sz w:val="16"/>
                <w:szCs w:val="16"/>
              </w:rPr>
              <w:t xml:space="preserve">Latvia </w:t>
            </w:r>
            <w:r w:rsidRPr="00A743C9">
              <w:rPr>
                <w:rFonts w:eastAsia="Times New Roman" w:cs="Calibri"/>
                <w:sz w:val="16"/>
                <w:szCs w:val="16"/>
              </w:rPr>
              <w:fldChar w:fldCharType="begin"/>
            </w:r>
            <w:r w:rsidR="00903735">
              <w:rPr>
                <w:rFonts w:eastAsia="Times New Roman" w:cs="Calibri"/>
                <w:sz w:val="16"/>
                <w:szCs w:val="16"/>
              </w:rPr>
              <w:instrText xml:space="preserve"> ADDIN EN.CITE &lt;EndNote&gt;&lt;Cite&gt;&lt;Author&gt;European Commission&lt;/Author&gt;&lt;Year&gt;2017&lt;/Year&gt;&lt;RecNum&gt;13438&lt;/RecNum&gt;&lt;DisplayText&gt;(European Commission 2017)&lt;/DisplayText&gt;&lt;record&gt;&lt;rec-number&gt;13438&lt;/rec-number&gt;&lt;foreign-keys&gt;&lt;key app="EN" db-id="5xv5w5t2bdxtxfezx02xtxdft5rz5ptvvt29" timestamp="1527209032"&gt;13438&lt;/key&gt;&lt;/foreign-keys&gt;&lt;ref-type name="Web Page"&gt;12&lt;/ref-type&gt;&lt;contributors&gt;&lt;authors&gt;&lt;author&gt;European Commission,&lt;/author&gt;&lt;/authors&gt;&lt;/contributors&gt;&lt;titles&gt;&lt;title&gt;Attitudes of Europeans towards tobacco and electronic cigarettes&lt;/title&gt;&lt;/titles&gt;&lt;volume&gt;2018&lt;/volume&gt;&lt;number&gt;18.05.2018&lt;/number&gt;&lt;dates&gt;&lt;year&gt;2017&lt;/year&gt;&lt;/dates&gt;&lt;publisher&gt;European Commission&lt;/publisher&gt;&lt;urls&gt;&lt;related-urls&gt;&lt;url&gt;http://ec.europa.eu/commfrontoffice/publicopinion/index.cfm/Survey/getSurveyDetail/instruments/SPECIAL/yearFrom/2016/yearTo/2018/surveyKy/2146&lt;/url&gt;&lt;/related-urls&gt;&lt;/urls&gt;&lt;/record&gt;&lt;/Cite&gt;&lt;/EndNote&gt;</w:instrText>
            </w:r>
            <w:r w:rsidRPr="00A743C9">
              <w:rPr>
                <w:rFonts w:eastAsia="Times New Roman" w:cs="Calibri"/>
                <w:sz w:val="16"/>
                <w:szCs w:val="16"/>
              </w:rPr>
              <w:fldChar w:fldCharType="separate"/>
            </w:r>
            <w:r w:rsidRPr="00A743C9">
              <w:rPr>
                <w:rFonts w:eastAsia="Times New Roman" w:cs="Calibri"/>
                <w:noProof/>
                <w:sz w:val="16"/>
                <w:szCs w:val="16"/>
              </w:rPr>
              <w:t>(European Commission 2017)</w:t>
            </w:r>
            <w:r w:rsidRPr="00A743C9">
              <w:rPr>
                <w:rFonts w:eastAsia="Times New Roman" w:cs="Calibri"/>
                <w:sz w:val="16"/>
                <w:szCs w:val="16"/>
              </w:rPr>
              <w:fldChar w:fldCharType="end"/>
            </w:r>
          </w:p>
        </w:tc>
        <w:tc>
          <w:tcPr>
            <w:tcW w:w="1304" w:type="dxa"/>
            <w:tcBorders>
              <w:left w:val="single" w:sz="4" w:space="0" w:color="auto"/>
              <w:bottom w:val="nil"/>
              <w:right w:val="single" w:sz="4" w:space="0" w:color="auto"/>
            </w:tcBorders>
            <w:noWrap/>
            <w:hideMark/>
          </w:tcPr>
          <w:p w14:paraId="7CB31989"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2014</w:t>
            </w:r>
          </w:p>
        </w:tc>
        <w:tc>
          <w:tcPr>
            <w:tcW w:w="1650" w:type="dxa"/>
            <w:tcBorders>
              <w:left w:val="single" w:sz="4" w:space="0" w:color="auto"/>
              <w:bottom w:val="nil"/>
            </w:tcBorders>
            <w:noWrap/>
            <w:hideMark/>
          </w:tcPr>
          <w:p w14:paraId="7DE79D31"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w:t>
            </w:r>
          </w:p>
        </w:tc>
        <w:tc>
          <w:tcPr>
            <w:tcW w:w="1154" w:type="dxa"/>
            <w:tcBorders>
              <w:bottom w:val="nil"/>
              <w:right w:val="single" w:sz="4" w:space="0" w:color="auto"/>
            </w:tcBorders>
            <w:noWrap/>
            <w:hideMark/>
          </w:tcPr>
          <w:p w14:paraId="39866DE4"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24</w:t>
            </w:r>
          </w:p>
        </w:tc>
        <w:tc>
          <w:tcPr>
            <w:tcW w:w="1187" w:type="dxa"/>
            <w:tcBorders>
              <w:left w:val="single" w:sz="4" w:space="0" w:color="auto"/>
              <w:bottom w:val="nil"/>
            </w:tcBorders>
            <w:noWrap/>
            <w:hideMark/>
          </w:tcPr>
          <w:p w14:paraId="75329EDD"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48.9</w:t>
            </w:r>
          </w:p>
        </w:tc>
        <w:tc>
          <w:tcPr>
            <w:tcW w:w="1531" w:type="dxa"/>
            <w:tcBorders>
              <w:bottom w:val="nil"/>
              <w:right w:val="single" w:sz="4" w:space="0" w:color="auto"/>
            </w:tcBorders>
            <w:noWrap/>
            <w:hideMark/>
          </w:tcPr>
          <w:p w14:paraId="320578BA"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24.3</w:t>
            </w:r>
          </w:p>
        </w:tc>
      </w:tr>
      <w:tr w:rsidR="00B86BF1" w:rsidRPr="00A743C9" w14:paraId="62E7FA9F" w14:textId="77777777" w:rsidTr="000376C7">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003" w:type="dxa"/>
            <w:tcBorders>
              <w:left w:val="single" w:sz="4" w:space="0" w:color="auto"/>
              <w:bottom w:val="nil"/>
              <w:right w:val="single" w:sz="4" w:space="0" w:color="auto"/>
            </w:tcBorders>
            <w:noWrap/>
            <w:hideMark/>
          </w:tcPr>
          <w:p w14:paraId="5813AAED" w14:textId="77777777" w:rsidR="00B86BF1" w:rsidRPr="00A743C9" w:rsidRDefault="00B86BF1" w:rsidP="00903735">
            <w:pPr>
              <w:spacing w:after="0"/>
              <w:rPr>
                <w:rFonts w:eastAsia="Times New Roman" w:cs="Calibri"/>
                <w:sz w:val="16"/>
                <w:szCs w:val="16"/>
              </w:rPr>
            </w:pPr>
            <w:r w:rsidRPr="00A743C9">
              <w:rPr>
                <w:rFonts w:eastAsia="Times New Roman" w:cs="Calibri"/>
                <w:sz w:val="16"/>
                <w:szCs w:val="16"/>
              </w:rPr>
              <w:t xml:space="preserve">Lithuania </w:t>
            </w:r>
            <w:r w:rsidRPr="00A743C9">
              <w:rPr>
                <w:rFonts w:eastAsia="Times New Roman" w:cs="Calibri"/>
                <w:sz w:val="16"/>
                <w:szCs w:val="16"/>
              </w:rPr>
              <w:fldChar w:fldCharType="begin"/>
            </w:r>
            <w:r w:rsidR="00903735">
              <w:rPr>
                <w:rFonts w:eastAsia="Times New Roman" w:cs="Calibri"/>
                <w:sz w:val="16"/>
                <w:szCs w:val="16"/>
              </w:rPr>
              <w:instrText xml:space="preserve"> ADDIN EN.CITE &lt;EndNote&gt;&lt;Cite&gt;&lt;Author&gt;European Commission&lt;/Author&gt;&lt;Year&gt;2017&lt;/Year&gt;&lt;RecNum&gt;13438&lt;/RecNum&gt;&lt;DisplayText&gt;(European Commission 2017)&lt;/DisplayText&gt;&lt;record&gt;&lt;rec-number&gt;13438&lt;/rec-number&gt;&lt;foreign-keys&gt;&lt;key app="EN" db-id="5xv5w5t2bdxtxfezx02xtxdft5rz5ptvvt29" timestamp="1527209032"&gt;13438&lt;/key&gt;&lt;/foreign-keys&gt;&lt;ref-type name="Web Page"&gt;12&lt;/ref-type&gt;&lt;contributors&gt;&lt;authors&gt;&lt;author&gt;European Commission,&lt;/author&gt;&lt;/authors&gt;&lt;/contributors&gt;&lt;titles&gt;&lt;title&gt;Attitudes of Europeans towards tobacco and electronic cigarettes&lt;/title&gt;&lt;/titles&gt;&lt;volume&gt;2018&lt;/volume&gt;&lt;number&gt;18.05.2018&lt;/number&gt;&lt;dates&gt;&lt;year&gt;2017&lt;/year&gt;&lt;/dates&gt;&lt;publisher&gt;European Commission&lt;/publisher&gt;&lt;urls&gt;&lt;related-urls&gt;&lt;url&gt;http://ec.europa.eu/commfrontoffice/publicopinion/index.cfm/Survey/getSurveyDetail/instruments/SPECIAL/yearFrom/2016/yearTo/2018/surveyKy/2146&lt;/url&gt;&lt;/related-urls&gt;&lt;/urls&gt;&lt;/record&gt;&lt;/Cite&gt;&lt;/EndNote&gt;</w:instrText>
            </w:r>
            <w:r w:rsidRPr="00A743C9">
              <w:rPr>
                <w:rFonts w:eastAsia="Times New Roman" w:cs="Calibri"/>
                <w:sz w:val="16"/>
                <w:szCs w:val="16"/>
              </w:rPr>
              <w:fldChar w:fldCharType="separate"/>
            </w:r>
            <w:r w:rsidRPr="00A743C9">
              <w:rPr>
                <w:rFonts w:eastAsia="Times New Roman" w:cs="Calibri"/>
                <w:noProof/>
                <w:sz w:val="16"/>
                <w:szCs w:val="16"/>
              </w:rPr>
              <w:t>(European Commission 2017)</w:t>
            </w:r>
            <w:r w:rsidRPr="00A743C9">
              <w:rPr>
                <w:rFonts w:eastAsia="Times New Roman" w:cs="Calibri"/>
                <w:sz w:val="16"/>
                <w:szCs w:val="16"/>
              </w:rPr>
              <w:fldChar w:fldCharType="end"/>
            </w:r>
          </w:p>
        </w:tc>
        <w:tc>
          <w:tcPr>
            <w:tcW w:w="1304" w:type="dxa"/>
            <w:tcBorders>
              <w:left w:val="single" w:sz="4" w:space="0" w:color="auto"/>
              <w:bottom w:val="nil"/>
              <w:right w:val="single" w:sz="4" w:space="0" w:color="auto"/>
            </w:tcBorders>
            <w:noWrap/>
            <w:hideMark/>
          </w:tcPr>
          <w:p w14:paraId="05911DFE"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2014</w:t>
            </w:r>
          </w:p>
        </w:tc>
        <w:tc>
          <w:tcPr>
            <w:tcW w:w="1650" w:type="dxa"/>
            <w:tcBorders>
              <w:left w:val="single" w:sz="4" w:space="0" w:color="auto"/>
              <w:bottom w:val="nil"/>
            </w:tcBorders>
            <w:noWrap/>
            <w:hideMark/>
          </w:tcPr>
          <w:p w14:paraId="2B384F39"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w:t>
            </w:r>
          </w:p>
        </w:tc>
        <w:tc>
          <w:tcPr>
            <w:tcW w:w="1154" w:type="dxa"/>
            <w:tcBorders>
              <w:bottom w:val="nil"/>
              <w:right w:val="single" w:sz="4" w:space="0" w:color="auto"/>
            </w:tcBorders>
            <w:noWrap/>
            <w:hideMark/>
          </w:tcPr>
          <w:p w14:paraId="2A440F28"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15</w:t>
            </w:r>
          </w:p>
        </w:tc>
        <w:tc>
          <w:tcPr>
            <w:tcW w:w="1187" w:type="dxa"/>
            <w:tcBorders>
              <w:left w:val="single" w:sz="4" w:space="0" w:color="auto"/>
              <w:bottom w:val="nil"/>
            </w:tcBorders>
            <w:noWrap/>
            <w:hideMark/>
          </w:tcPr>
          <w:p w14:paraId="10063605"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38.1</w:t>
            </w:r>
          </w:p>
        </w:tc>
        <w:tc>
          <w:tcPr>
            <w:tcW w:w="1531" w:type="dxa"/>
            <w:tcBorders>
              <w:bottom w:val="nil"/>
              <w:right w:val="single" w:sz="4" w:space="0" w:color="auto"/>
            </w:tcBorders>
            <w:noWrap/>
            <w:hideMark/>
          </w:tcPr>
          <w:p w14:paraId="5953120A"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22.2</w:t>
            </w:r>
          </w:p>
        </w:tc>
      </w:tr>
      <w:tr w:rsidR="00B86BF1" w:rsidRPr="00A743C9" w14:paraId="4AD5954F" w14:textId="77777777" w:rsidTr="000376C7">
        <w:trPr>
          <w:trHeight w:val="287"/>
        </w:trPr>
        <w:tc>
          <w:tcPr>
            <w:cnfStyle w:val="001000000000" w:firstRow="0" w:lastRow="0" w:firstColumn="1" w:lastColumn="0" w:oddVBand="0" w:evenVBand="0" w:oddHBand="0" w:evenHBand="0" w:firstRowFirstColumn="0" w:firstRowLastColumn="0" w:lastRowFirstColumn="0" w:lastRowLastColumn="0"/>
            <w:tcW w:w="3003" w:type="dxa"/>
            <w:tcBorders>
              <w:left w:val="single" w:sz="4" w:space="0" w:color="auto"/>
              <w:bottom w:val="nil"/>
              <w:right w:val="single" w:sz="4" w:space="0" w:color="auto"/>
            </w:tcBorders>
            <w:noWrap/>
            <w:hideMark/>
          </w:tcPr>
          <w:p w14:paraId="7886A2AA" w14:textId="77777777" w:rsidR="00B86BF1" w:rsidRPr="00A743C9" w:rsidRDefault="00B86BF1" w:rsidP="00903735">
            <w:pPr>
              <w:spacing w:after="0"/>
              <w:rPr>
                <w:rFonts w:eastAsia="Times New Roman" w:cs="Calibri"/>
                <w:sz w:val="16"/>
                <w:szCs w:val="16"/>
              </w:rPr>
            </w:pPr>
            <w:r w:rsidRPr="00A743C9">
              <w:rPr>
                <w:rFonts w:eastAsia="Times New Roman" w:cs="Calibri"/>
                <w:sz w:val="16"/>
                <w:szCs w:val="16"/>
              </w:rPr>
              <w:t xml:space="preserve">Luxembourg </w:t>
            </w:r>
            <w:r w:rsidRPr="00A743C9">
              <w:rPr>
                <w:rFonts w:eastAsia="Times New Roman" w:cs="Calibri"/>
                <w:sz w:val="16"/>
                <w:szCs w:val="16"/>
              </w:rPr>
              <w:fldChar w:fldCharType="begin"/>
            </w:r>
            <w:r w:rsidR="00903735">
              <w:rPr>
                <w:rFonts w:eastAsia="Times New Roman" w:cs="Calibri"/>
                <w:sz w:val="16"/>
                <w:szCs w:val="16"/>
              </w:rPr>
              <w:instrText xml:space="preserve"> ADDIN EN.CITE &lt;EndNote&gt;&lt;Cite&gt;&lt;Author&gt;European Commission&lt;/Author&gt;&lt;Year&gt;2017&lt;/Year&gt;&lt;RecNum&gt;13438&lt;/RecNum&gt;&lt;DisplayText&gt;(European Commission 2017)&lt;/DisplayText&gt;&lt;record&gt;&lt;rec-number&gt;13438&lt;/rec-number&gt;&lt;foreign-keys&gt;&lt;key app="EN" db-id="5xv5w5t2bdxtxfezx02xtxdft5rz5ptvvt29" timestamp="1527209032"&gt;13438&lt;/key&gt;&lt;/foreign-keys&gt;&lt;ref-type name="Web Page"&gt;12&lt;/ref-type&gt;&lt;contributors&gt;&lt;authors&gt;&lt;author&gt;European Commission,&lt;/author&gt;&lt;/authors&gt;&lt;/contributors&gt;&lt;titles&gt;&lt;title&gt;Attitudes of Europeans towards tobacco and electronic cigarettes&lt;/title&gt;&lt;/titles&gt;&lt;volume&gt;2018&lt;/volume&gt;&lt;number&gt;18.05.2018&lt;/number&gt;&lt;dates&gt;&lt;year&gt;2017&lt;/year&gt;&lt;/dates&gt;&lt;publisher&gt;European Commission&lt;/publisher&gt;&lt;urls&gt;&lt;related-urls&gt;&lt;url&gt;http://ec.europa.eu/commfrontoffice/publicopinion/index.cfm/Survey/getSurveyDetail/instruments/SPECIAL/yearFrom/2016/yearTo/2018/surveyKy/2146&lt;/url&gt;&lt;/related-urls&gt;&lt;/urls&gt;&lt;/record&gt;&lt;/Cite&gt;&lt;/EndNote&gt;</w:instrText>
            </w:r>
            <w:r w:rsidRPr="00A743C9">
              <w:rPr>
                <w:rFonts w:eastAsia="Times New Roman" w:cs="Calibri"/>
                <w:sz w:val="16"/>
                <w:szCs w:val="16"/>
              </w:rPr>
              <w:fldChar w:fldCharType="separate"/>
            </w:r>
            <w:r w:rsidRPr="00A743C9">
              <w:rPr>
                <w:rFonts w:eastAsia="Times New Roman" w:cs="Calibri"/>
                <w:noProof/>
                <w:sz w:val="16"/>
                <w:szCs w:val="16"/>
              </w:rPr>
              <w:t>(European Commission 2017)</w:t>
            </w:r>
            <w:r w:rsidRPr="00A743C9">
              <w:rPr>
                <w:rFonts w:eastAsia="Times New Roman" w:cs="Calibri"/>
                <w:sz w:val="16"/>
                <w:szCs w:val="16"/>
              </w:rPr>
              <w:fldChar w:fldCharType="end"/>
            </w:r>
          </w:p>
        </w:tc>
        <w:tc>
          <w:tcPr>
            <w:tcW w:w="1304" w:type="dxa"/>
            <w:tcBorders>
              <w:left w:val="single" w:sz="4" w:space="0" w:color="auto"/>
              <w:bottom w:val="nil"/>
              <w:right w:val="single" w:sz="4" w:space="0" w:color="auto"/>
            </w:tcBorders>
            <w:noWrap/>
            <w:hideMark/>
          </w:tcPr>
          <w:p w14:paraId="601B4C17"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2014</w:t>
            </w:r>
          </w:p>
        </w:tc>
        <w:tc>
          <w:tcPr>
            <w:tcW w:w="1650" w:type="dxa"/>
            <w:tcBorders>
              <w:left w:val="single" w:sz="4" w:space="0" w:color="auto"/>
              <w:bottom w:val="nil"/>
            </w:tcBorders>
            <w:noWrap/>
            <w:hideMark/>
          </w:tcPr>
          <w:p w14:paraId="124303C5"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w:t>
            </w:r>
          </w:p>
        </w:tc>
        <w:tc>
          <w:tcPr>
            <w:tcW w:w="1154" w:type="dxa"/>
            <w:tcBorders>
              <w:bottom w:val="nil"/>
              <w:right w:val="single" w:sz="4" w:space="0" w:color="auto"/>
            </w:tcBorders>
            <w:noWrap/>
            <w:hideMark/>
          </w:tcPr>
          <w:p w14:paraId="2FF4683F"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12</w:t>
            </w:r>
          </w:p>
        </w:tc>
        <w:tc>
          <w:tcPr>
            <w:tcW w:w="1187" w:type="dxa"/>
            <w:tcBorders>
              <w:left w:val="single" w:sz="4" w:space="0" w:color="auto"/>
              <w:bottom w:val="nil"/>
            </w:tcBorders>
            <w:noWrap/>
            <w:hideMark/>
          </w:tcPr>
          <w:p w14:paraId="4E4FFDE5"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25.8</w:t>
            </w:r>
          </w:p>
        </w:tc>
        <w:tc>
          <w:tcPr>
            <w:tcW w:w="1531" w:type="dxa"/>
            <w:tcBorders>
              <w:bottom w:val="nil"/>
              <w:right w:val="single" w:sz="4" w:space="0" w:color="auto"/>
            </w:tcBorders>
            <w:noWrap/>
            <w:hideMark/>
          </w:tcPr>
          <w:p w14:paraId="6DCC1F31"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21.4</w:t>
            </w:r>
          </w:p>
        </w:tc>
      </w:tr>
      <w:tr w:rsidR="00B86BF1" w:rsidRPr="00A743C9" w14:paraId="2E072002" w14:textId="77777777" w:rsidTr="000376C7">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003" w:type="dxa"/>
            <w:tcBorders>
              <w:left w:val="single" w:sz="4" w:space="0" w:color="auto"/>
              <w:bottom w:val="nil"/>
              <w:right w:val="single" w:sz="4" w:space="0" w:color="auto"/>
            </w:tcBorders>
            <w:noWrap/>
            <w:hideMark/>
          </w:tcPr>
          <w:p w14:paraId="7ECDD0EF" w14:textId="77777777" w:rsidR="00B86BF1" w:rsidRPr="00A743C9" w:rsidRDefault="00B86BF1" w:rsidP="00903735">
            <w:pPr>
              <w:spacing w:after="0"/>
              <w:rPr>
                <w:rFonts w:eastAsia="Times New Roman" w:cs="Calibri"/>
                <w:sz w:val="16"/>
                <w:szCs w:val="16"/>
              </w:rPr>
            </w:pPr>
            <w:r w:rsidRPr="00A743C9">
              <w:rPr>
                <w:rFonts w:eastAsia="Times New Roman" w:cs="Calibri"/>
                <w:sz w:val="16"/>
                <w:szCs w:val="16"/>
              </w:rPr>
              <w:t xml:space="preserve">Malaysia </w:t>
            </w:r>
            <w:r w:rsidRPr="00A743C9">
              <w:rPr>
                <w:rFonts w:eastAsia="Times New Roman" w:cs="Calibri"/>
                <w:sz w:val="16"/>
                <w:szCs w:val="16"/>
              </w:rPr>
              <w:fldChar w:fldCharType="begin">
                <w:fldData xml:space="preserve">PEVuZE5vdGU+PENpdGU+PEF1dGhvcj5QYWxpcHVkaTwvQXV0aG9yPjxZZWFyPjIwMTY8L1llYXI+
PFJlY051bT4xMzQzNTwvUmVjTnVtPjxEaXNwbGF5VGV4dD4oUGFsaXB1ZGksIE1idWxvIGV0IGFs
LiAyMDE2KTwvRGlzcGxheVRleHQ+PHJlY29yZD48cmVjLW51bWJlcj4xMzQzNTwvcmVjLW51bWJl
cj48Zm9yZWlnbi1rZXlzPjxrZXkgYXBwPSJFTiIgZGItaWQ9IjV4djV3NXQyYmR4dHhmZXp4MDJ4
dHhkZnQ1cno1cHR2dnQyOSIgdGltZXN0YW1wPSIxNTI3MjA4OTk4Ij4xMzQzNTwva2V5PjxrZXkg
YXBwPSJFTldlYiIgZGItaWQ9IiI+MDwva2V5PjwvZm9yZWlnbi1rZXlzPjxyZWYtdHlwZSBuYW1l
PSJKb3VybmFsIEFydGljbGUiPjE3PC9yZWYtdHlwZT48Y29udHJpYnV0b3JzPjxhdXRob3JzPjxh
dXRob3I+UGFsaXB1ZGksIEsuIE0uPC9hdXRob3I+PGF1dGhvcj5NYnVsbywgTC48L2F1dGhvcj48
YXV0aG9yPk1vcnRvbiwgSi48L2F1dGhvcj48YXV0aG9yPk1idWxvLCBMLjwvYXV0aG9yPjxhdXRo
b3I+QnVubmVsbCwgUi48L2F1dGhvcj48YXV0aG9yPkJsdXRjaGVyLU5lbHNvbiwgRy48L2F1dGhv
cj48YXV0aG9yPktvc2VuLCBTLjwvYXV0aG9yPjxhdXRob3I+VGVlLCBHLiBILjwvYXV0aG9yPjxh
dXRob3I+QWJkYWxsYSwgQS4gTS48L2F1dGhvcj48YXV0aG9yPk11dGF3YSwgSy4gQS48L2F1dGhv
cj48YXV0aG9yPkJhcmJvdW5pLCBBLjwvYXV0aG9yPjxhdXRob3I+QW50b25pYWRvdSwgRS48L2F1
dGhvcj48YXV0aG9yPkZvdWFkLCBILjwvYXV0aG9yPjxhdXRob3I+S2hvdXJ5LCBSLiBOLjwvYXV0
aG9yPjxhdXRob3I+UmFyaWNrLCBKLjwvYXV0aG9yPjxhdXRob3I+U2luaGEsIEQuIE4uPC9hdXRo
b3I+PGF1dGhvcj5Bc21hLCBTLjwvYXV0aG9yPjwvYXV0aG9ycz48L2NvbnRyaWJ1dG9ycz48YXV0
aC1hZGRyZXNzPkdsb2JhbCBUb2JhY2NvIENvbnRyb2wgQnJhbmNoLCBPZmZpY2Ugb24gU21va2lu
ZyBhbmQgSGVhbHRoLCBOYXRpb25hbCBDZW50ZXIgZm9yIENocm9uaWMgRGlzZWFzZSBQcmV2ZW50
aW9uIGFuZCBIZWFsdGggUHJvbW90aW9uLCBDREMsIEF0bGFudGEsIEdBOyBnb3U4QGNkYy5nb3Yu
JiN4RDtHbG9iYWwgVG9iYWNjbyBDb250cm9sIEJyYW5jaCwgT2ZmaWNlIG9uIFNtb2tpbmcgYW5k
IEhlYWx0aCwgTmF0aW9uYWwgQ2VudGVyIGZvciBDaHJvbmljIERpc2Vhc2UgUHJldmVudGlvbiBh
bmQgSGVhbHRoIFByb21vdGlvbiwgQ0RDLCBBdGxhbnRhLCBHQTsmI3hEO09mZmljZSBvZiBTbW9r
aW5nIGFuZCBIZWFsdGgsIE5DQ0RQSFAsIENEQywgQXRsYW50YSwgR0E7JiN4RDtOYXRpb25hbCBJ
bnN0aXR1dGUgb2YgSGVhbHRoIFJlc2VhcmNoIGFuZCBEZXZlbG9wbWVudCwgTWluaXN0cnkgb2Yg
SGVhbHRoLCBSZXB1YmxpYyBvZiBJbmRvbmVzaWEsIEpha2FydGEsIEluZG9uZXNpYTsmI3hEO0lu
c3RpdHV0ZSBmb3IgUHVibGljIEhlYWx0aCwgTWluaXN0cnkgb2YgSGVhbHRoLCBNYWxheXNpYSwg
S3VhbGEgTHVtcHVyLCBNYWxheXNpYTsmI3hEO1B1YmxpYyBIZWFsdGggRGVwYXJ0bWVudCwgU3Vw
cmVtZSBDb3VuY2lsIG9mIEhlYWx0aCwgRG9oYSwgUWF0YXI7JiN4RDtEZXBhcnRtZW50IG9mIFB1
YmxpYyBIZWFsdGgsIE5hdGlvbmFsIFNjaG9vbCBvZiBQdWJsaWMgSGVhbHRoLCBBdGhlbnMsIEdy
ZWVjZTsmI3hEO1JlZ2lvbmFsIE9mZmljZSBmb3IgdGhlIEVhc3Rlcm4gTWVkaXRlcnJhbmVhbiwg
V29ybGQgSGVhbHRoIE9yZ2FuaXphdGlvbiwgQ2Fpcm8sIEVneXB0OyYjeEQ7UmVnaW9uYWwgT2Zm
aWNlIGZvciBFdXJvcGUsIFdvcmxkIEhlYWx0aCBPcmdhbml6YXRpb24sIENvcGVuaGFnZW4sIERl
bm1hcms7JiN4RDtXZXN0ZXJuIFBhY2lmaWMgUmVnaW9uYWwgT2ZmaWNlLCBXb3JsZCBIZWFsdGgg
T3JnYW5pemF0aW9uLCBNYW5pbGEsIFBoaWxpcHBpbmVzOyYjeEQ7U291dGgtRWFzdCBBc2lhIFJl
Z2lvbmFsIE9mZmljZSwgV29ybGQgSGVhbHRoIE9yZ2FuaXphdGlvbiwgTmV3IERlbGhpLCBJbmRp
YS48L2F1dGgtYWRkcmVzcz48dGl0bGVzPjx0aXRsZT5Bd2FyZW5lc3MgYW5kIEN1cnJlbnQgVXNl
IG9mIEVsZWN0cm9uaWMgQ2lnYXJldHRlcyBpbiBJbmRvbmVzaWEsIE1hbGF5c2lhLCBRYXRhciwg
YW5kIEdyZWVjZTogRmluZGluZ3MgRnJvbSAyMDExLTIwMTMgR2xvYmFsIEFkdWx0IFRvYmFjY28g
U3VydmV5czwvdGl0bGU+PHNlY29uZGFyeS10aXRsZT5OaWNvdGluZSBUb2IgUmVzPC9zZWNvbmRh
cnktdGl0bGU+PGFsdC10aXRsZT5OaWNvdGluZSAmYW1wOyB0b2JhY2NvIHJlc2VhcmNoIDogb2Zm
aWNpYWwgam91cm5hbCBvZiB0aGUgU29jaWV0eSBmb3IgUmVzZWFyY2ggb24gTmljb3RpbmUgYW5k
IFRvYmFjY288L2FsdC10aXRsZT48L3RpdGxlcz48cGVyaW9kaWNhbD48ZnVsbC10aXRsZT5OaWNv
dGluZSBUb2IgUmVzPC9mdWxsLXRpdGxlPjxhYmJyLTE+Tmljb3RpbmUgJmFtcDsgdG9iYWNjbyBy
ZXNlYXJjaCA6IG9mZmljaWFsIGpvdXJuYWwgb2YgdGhlIFNvY2lldHkgZm9yIFJlc2VhcmNoIG9u
IE5pY290aW5lIGFuZCBUb2JhY2NvPC9hYmJyLTE+PC9wZXJpb2RpY2FsPjxhbHQtcGVyaW9kaWNh
bD48ZnVsbC10aXRsZT5OaWNvdGluZSBUb2IgUmVzPC9mdWxsLXRpdGxlPjxhYmJyLTE+Tmljb3Rp
bmUgJmFtcDsgdG9iYWNjbyByZXNlYXJjaCA6IG9mZmljaWFsIGpvdXJuYWwgb2YgdGhlIFNvY2ll
dHkgZm9yIFJlc2VhcmNoIG9uIE5pY290aW5lIGFuZCBUb2JhY2NvPC9hYmJyLTE+PC9hbHQtcGVy
aW9kaWNhbD48cGFnZXM+NTAxLTc8L3BhZ2VzPjx2b2x1bWU+MTg8L3ZvbHVtZT48bnVtYmVyPjQ8
L251bWJlcj48ZWRpdGlvbj4yMDE1LzA0LzIyPC9lZGl0aW9uPjxrZXl3b3Jkcz48a2V5d29yZD5B
ZG9sZXNjZW50PC9rZXl3b3JkPjxrZXl3b3JkPkFkdWx0PC9rZXl3b3JkPjxrZXl3b3JkPkFnZWQ8
L2tleXdvcmQ+PGtleXdvcmQ+KkF3YXJlbmVzczwva2V5d29yZD48a2V5d29yZD5FbGVjdHJvbmlj
IE5pY290aW5lIERlbGl2ZXJ5IFN5c3RlbXMvKnRyZW5kcy91dGlsaXphdGlvbjwva2V5d29yZD48
a2V5d29yZD5GZW1hbGU8L2tleXdvcmQ+PGtleXdvcmQ+R3JlZWNlL2VwaWRlbWlvbG9neTwva2V5
d29yZD48a2V5d29yZD5IdW1hbnM8L2tleXdvcmQ+PGtleXdvcmQ+SW5kb25lc2lhL2VwaWRlbWlv
bG9neTwva2V5d29yZD48a2V5d29yZD5NYWxheXNpYS9lcGlkZW1pb2xvZ3k8L2tleXdvcmQ+PGtl
eXdvcmQ+TWFsZTwva2V5d29yZD48a2V5d29yZD5NaWRkbGUgQWdlZDwva2V5d29yZD48a2V5d29y
ZD5QdWJsaWMgSGVhbHRoL3RyZW5kczwva2V5d29yZD48a2V5d29yZD5RYXRhci9lcGlkZW1pb2xv
Z3k8L2tleXdvcmQ+PGtleXdvcmQ+U21va2luZy8qZXBpZGVtaW9sb2d5Lyp0cmVuZHM8L2tleXdv
cmQ+PGtleXdvcmQ+KlN1cnZleXMgYW5kIFF1ZXN0aW9ubmFpcmVzPC9rZXl3b3JkPjxrZXl3b3Jk
PlRvYmFjY288L2tleXdvcmQ+PGtleXdvcmQ+VG9iYWNjbyBVc2UgRGlzb3JkZXIvZGlhZ25vc2lz
L2VwaWRlbWlvbG9neTwva2V5d29yZD48a2V5d29yZD5Zb3VuZyBBZHVsdDwva2V5d29yZD48L2tl
eXdvcmRzPjxkYXRlcz48eWVhcj4yMDE2PC95ZWFyPjxwdWItZGF0ZXM+PGRhdGU+QXByPC9kYXRl
PjwvcHViLWRhdGVzPjwvZGF0ZXM+PGlzYm4+MTQ2Mi0yMjAzPC9pc2JuPjxhY2Nlc3Npb24tbnVt
PjI1ODk1OTUxPC9hY2Nlc3Npb24tbnVtPjx1cmxzPjwvdXJscz48Y3VzdG9tMj5QTUM1MTAwODIw
PC9jdXN0b20yPjxjdXN0b202Pk5JSE1TODI2NzkxPC9jdXN0b202PjxlbGVjdHJvbmljLXJlc291
cmNlLW51bT4xMC4xMDkzL250ci9udHYwODE8L2VsZWN0cm9uaWMtcmVzb3VyY2UtbnVtPjxyZW1v
dGUtZGF0YWJhc2UtcHJvdmlkZXI+TkxNPC9yZW1vdGUtZGF0YWJhc2UtcHJvdmlkZXI+PGxhbmd1
YWdlPmVuZzwvbGFuZ3VhZ2U+PC9yZWNvcmQ+PC9DaXRlPjwvRW5kTm90ZT5=
</w:fldData>
              </w:fldChar>
            </w:r>
            <w:r w:rsidR="00903735">
              <w:rPr>
                <w:rFonts w:eastAsia="Times New Roman" w:cs="Calibri"/>
                <w:sz w:val="16"/>
                <w:szCs w:val="16"/>
              </w:rPr>
              <w:instrText xml:space="preserve"> ADDIN EN.CITE </w:instrText>
            </w:r>
            <w:r w:rsidR="00903735">
              <w:rPr>
                <w:rFonts w:eastAsia="Times New Roman" w:cs="Calibri"/>
                <w:sz w:val="16"/>
                <w:szCs w:val="16"/>
              </w:rPr>
              <w:fldChar w:fldCharType="begin">
                <w:fldData xml:space="preserve">PEVuZE5vdGU+PENpdGU+PEF1dGhvcj5QYWxpcHVkaTwvQXV0aG9yPjxZZWFyPjIwMTY8L1llYXI+
PFJlY051bT4xMzQzNTwvUmVjTnVtPjxEaXNwbGF5VGV4dD4oUGFsaXB1ZGksIE1idWxvIGV0IGFs
LiAyMDE2KTwvRGlzcGxheVRleHQ+PHJlY29yZD48cmVjLW51bWJlcj4xMzQzNTwvcmVjLW51bWJl
cj48Zm9yZWlnbi1rZXlzPjxrZXkgYXBwPSJFTiIgZGItaWQ9IjV4djV3NXQyYmR4dHhmZXp4MDJ4
dHhkZnQ1cno1cHR2dnQyOSIgdGltZXN0YW1wPSIxNTI3MjA4OTk4Ij4xMzQzNTwva2V5PjxrZXkg
YXBwPSJFTldlYiIgZGItaWQ9IiI+MDwva2V5PjwvZm9yZWlnbi1rZXlzPjxyZWYtdHlwZSBuYW1l
PSJKb3VybmFsIEFydGljbGUiPjE3PC9yZWYtdHlwZT48Y29udHJpYnV0b3JzPjxhdXRob3JzPjxh
dXRob3I+UGFsaXB1ZGksIEsuIE0uPC9hdXRob3I+PGF1dGhvcj5NYnVsbywgTC48L2F1dGhvcj48
YXV0aG9yPk1vcnRvbiwgSi48L2F1dGhvcj48YXV0aG9yPk1idWxvLCBMLjwvYXV0aG9yPjxhdXRo
b3I+QnVubmVsbCwgUi48L2F1dGhvcj48YXV0aG9yPkJsdXRjaGVyLU5lbHNvbiwgRy48L2F1dGhv
cj48YXV0aG9yPktvc2VuLCBTLjwvYXV0aG9yPjxhdXRob3I+VGVlLCBHLiBILjwvYXV0aG9yPjxh
dXRob3I+QWJkYWxsYSwgQS4gTS48L2F1dGhvcj48YXV0aG9yPk11dGF3YSwgSy4gQS48L2F1dGhv
cj48YXV0aG9yPkJhcmJvdW5pLCBBLjwvYXV0aG9yPjxhdXRob3I+QW50b25pYWRvdSwgRS48L2F1
dGhvcj48YXV0aG9yPkZvdWFkLCBILjwvYXV0aG9yPjxhdXRob3I+S2hvdXJ5LCBSLiBOLjwvYXV0
aG9yPjxhdXRob3I+UmFyaWNrLCBKLjwvYXV0aG9yPjxhdXRob3I+U2luaGEsIEQuIE4uPC9hdXRo
b3I+PGF1dGhvcj5Bc21hLCBTLjwvYXV0aG9yPjwvYXV0aG9ycz48L2NvbnRyaWJ1dG9ycz48YXV0
aC1hZGRyZXNzPkdsb2JhbCBUb2JhY2NvIENvbnRyb2wgQnJhbmNoLCBPZmZpY2Ugb24gU21va2lu
ZyBhbmQgSGVhbHRoLCBOYXRpb25hbCBDZW50ZXIgZm9yIENocm9uaWMgRGlzZWFzZSBQcmV2ZW50
aW9uIGFuZCBIZWFsdGggUHJvbW90aW9uLCBDREMsIEF0bGFudGEsIEdBOyBnb3U4QGNkYy5nb3Yu
JiN4RDtHbG9iYWwgVG9iYWNjbyBDb250cm9sIEJyYW5jaCwgT2ZmaWNlIG9uIFNtb2tpbmcgYW5k
IEhlYWx0aCwgTmF0aW9uYWwgQ2VudGVyIGZvciBDaHJvbmljIERpc2Vhc2UgUHJldmVudGlvbiBh
bmQgSGVhbHRoIFByb21vdGlvbiwgQ0RDLCBBdGxhbnRhLCBHQTsmI3hEO09mZmljZSBvZiBTbW9r
aW5nIGFuZCBIZWFsdGgsIE5DQ0RQSFAsIENEQywgQXRsYW50YSwgR0E7JiN4RDtOYXRpb25hbCBJ
bnN0aXR1dGUgb2YgSGVhbHRoIFJlc2VhcmNoIGFuZCBEZXZlbG9wbWVudCwgTWluaXN0cnkgb2Yg
SGVhbHRoLCBSZXB1YmxpYyBvZiBJbmRvbmVzaWEsIEpha2FydGEsIEluZG9uZXNpYTsmI3hEO0lu
c3RpdHV0ZSBmb3IgUHVibGljIEhlYWx0aCwgTWluaXN0cnkgb2YgSGVhbHRoLCBNYWxheXNpYSwg
S3VhbGEgTHVtcHVyLCBNYWxheXNpYTsmI3hEO1B1YmxpYyBIZWFsdGggRGVwYXJ0bWVudCwgU3Vw
cmVtZSBDb3VuY2lsIG9mIEhlYWx0aCwgRG9oYSwgUWF0YXI7JiN4RDtEZXBhcnRtZW50IG9mIFB1
YmxpYyBIZWFsdGgsIE5hdGlvbmFsIFNjaG9vbCBvZiBQdWJsaWMgSGVhbHRoLCBBdGhlbnMsIEdy
ZWVjZTsmI3hEO1JlZ2lvbmFsIE9mZmljZSBmb3IgdGhlIEVhc3Rlcm4gTWVkaXRlcnJhbmVhbiwg
V29ybGQgSGVhbHRoIE9yZ2FuaXphdGlvbiwgQ2Fpcm8sIEVneXB0OyYjeEQ7UmVnaW9uYWwgT2Zm
aWNlIGZvciBFdXJvcGUsIFdvcmxkIEhlYWx0aCBPcmdhbml6YXRpb24sIENvcGVuaGFnZW4sIERl
bm1hcms7JiN4RDtXZXN0ZXJuIFBhY2lmaWMgUmVnaW9uYWwgT2ZmaWNlLCBXb3JsZCBIZWFsdGgg
T3JnYW5pemF0aW9uLCBNYW5pbGEsIFBoaWxpcHBpbmVzOyYjeEQ7U291dGgtRWFzdCBBc2lhIFJl
Z2lvbmFsIE9mZmljZSwgV29ybGQgSGVhbHRoIE9yZ2FuaXphdGlvbiwgTmV3IERlbGhpLCBJbmRp
YS48L2F1dGgtYWRkcmVzcz48dGl0bGVzPjx0aXRsZT5Bd2FyZW5lc3MgYW5kIEN1cnJlbnQgVXNl
IG9mIEVsZWN0cm9uaWMgQ2lnYXJldHRlcyBpbiBJbmRvbmVzaWEsIE1hbGF5c2lhLCBRYXRhciwg
YW5kIEdyZWVjZTogRmluZGluZ3MgRnJvbSAyMDExLTIwMTMgR2xvYmFsIEFkdWx0IFRvYmFjY28g
U3VydmV5czwvdGl0bGU+PHNlY29uZGFyeS10aXRsZT5OaWNvdGluZSBUb2IgUmVzPC9zZWNvbmRh
cnktdGl0bGU+PGFsdC10aXRsZT5OaWNvdGluZSAmYW1wOyB0b2JhY2NvIHJlc2VhcmNoIDogb2Zm
aWNpYWwgam91cm5hbCBvZiB0aGUgU29jaWV0eSBmb3IgUmVzZWFyY2ggb24gTmljb3RpbmUgYW5k
IFRvYmFjY288L2FsdC10aXRsZT48L3RpdGxlcz48cGVyaW9kaWNhbD48ZnVsbC10aXRsZT5OaWNv
dGluZSBUb2IgUmVzPC9mdWxsLXRpdGxlPjxhYmJyLTE+Tmljb3RpbmUgJmFtcDsgdG9iYWNjbyBy
ZXNlYXJjaCA6IG9mZmljaWFsIGpvdXJuYWwgb2YgdGhlIFNvY2lldHkgZm9yIFJlc2VhcmNoIG9u
IE5pY290aW5lIGFuZCBUb2JhY2NvPC9hYmJyLTE+PC9wZXJpb2RpY2FsPjxhbHQtcGVyaW9kaWNh
bD48ZnVsbC10aXRsZT5OaWNvdGluZSBUb2IgUmVzPC9mdWxsLXRpdGxlPjxhYmJyLTE+Tmljb3Rp
bmUgJmFtcDsgdG9iYWNjbyByZXNlYXJjaCA6IG9mZmljaWFsIGpvdXJuYWwgb2YgdGhlIFNvY2ll
dHkgZm9yIFJlc2VhcmNoIG9uIE5pY290aW5lIGFuZCBUb2JhY2NvPC9hYmJyLTE+PC9hbHQtcGVy
aW9kaWNhbD48cGFnZXM+NTAxLTc8L3BhZ2VzPjx2b2x1bWU+MTg8L3ZvbHVtZT48bnVtYmVyPjQ8
L251bWJlcj48ZWRpdGlvbj4yMDE1LzA0LzIyPC9lZGl0aW9uPjxrZXl3b3Jkcz48a2V5d29yZD5B
ZG9sZXNjZW50PC9rZXl3b3JkPjxrZXl3b3JkPkFkdWx0PC9rZXl3b3JkPjxrZXl3b3JkPkFnZWQ8
L2tleXdvcmQ+PGtleXdvcmQ+KkF3YXJlbmVzczwva2V5d29yZD48a2V5d29yZD5FbGVjdHJvbmlj
IE5pY290aW5lIERlbGl2ZXJ5IFN5c3RlbXMvKnRyZW5kcy91dGlsaXphdGlvbjwva2V5d29yZD48
a2V5d29yZD5GZW1hbGU8L2tleXdvcmQ+PGtleXdvcmQ+R3JlZWNlL2VwaWRlbWlvbG9neTwva2V5
d29yZD48a2V5d29yZD5IdW1hbnM8L2tleXdvcmQ+PGtleXdvcmQ+SW5kb25lc2lhL2VwaWRlbWlv
bG9neTwva2V5d29yZD48a2V5d29yZD5NYWxheXNpYS9lcGlkZW1pb2xvZ3k8L2tleXdvcmQ+PGtl
eXdvcmQ+TWFsZTwva2V5d29yZD48a2V5d29yZD5NaWRkbGUgQWdlZDwva2V5d29yZD48a2V5d29y
ZD5QdWJsaWMgSGVhbHRoL3RyZW5kczwva2V5d29yZD48a2V5d29yZD5RYXRhci9lcGlkZW1pb2xv
Z3k8L2tleXdvcmQ+PGtleXdvcmQ+U21va2luZy8qZXBpZGVtaW9sb2d5Lyp0cmVuZHM8L2tleXdv
cmQ+PGtleXdvcmQ+KlN1cnZleXMgYW5kIFF1ZXN0aW9ubmFpcmVzPC9rZXl3b3JkPjxrZXl3b3Jk
PlRvYmFjY288L2tleXdvcmQ+PGtleXdvcmQ+VG9iYWNjbyBVc2UgRGlzb3JkZXIvZGlhZ25vc2lz
L2VwaWRlbWlvbG9neTwva2V5d29yZD48a2V5d29yZD5Zb3VuZyBBZHVsdDwva2V5d29yZD48L2tl
eXdvcmRzPjxkYXRlcz48eWVhcj4yMDE2PC95ZWFyPjxwdWItZGF0ZXM+PGRhdGU+QXByPC9kYXRl
PjwvcHViLWRhdGVzPjwvZGF0ZXM+PGlzYm4+MTQ2Mi0yMjAzPC9pc2JuPjxhY2Nlc3Npb24tbnVt
PjI1ODk1OTUxPC9hY2Nlc3Npb24tbnVtPjx1cmxzPjwvdXJscz48Y3VzdG9tMj5QTUM1MTAwODIw
PC9jdXN0b20yPjxjdXN0b202Pk5JSE1TODI2NzkxPC9jdXN0b202PjxlbGVjdHJvbmljLXJlc291
cmNlLW51bT4xMC4xMDkzL250ci9udHYwODE8L2VsZWN0cm9uaWMtcmVzb3VyY2UtbnVtPjxyZW1v
dGUtZGF0YWJhc2UtcHJvdmlkZXI+TkxNPC9yZW1vdGUtZGF0YWJhc2UtcHJvdmlkZXI+PGxhbmd1
YWdlPmVuZzwvbGFuZ3VhZ2U+PC9yZWNvcmQ+PC9DaXRlPjwvRW5kTm90ZT5=
</w:fldData>
              </w:fldChar>
            </w:r>
            <w:r w:rsidR="00903735">
              <w:rPr>
                <w:rFonts w:eastAsia="Times New Roman" w:cs="Calibri"/>
                <w:sz w:val="16"/>
                <w:szCs w:val="16"/>
              </w:rPr>
              <w:instrText xml:space="preserve"> ADDIN EN.CITE.DATA </w:instrText>
            </w:r>
            <w:r w:rsidR="00903735">
              <w:rPr>
                <w:rFonts w:eastAsia="Times New Roman" w:cs="Calibri"/>
                <w:sz w:val="16"/>
                <w:szCs w:val="16"/>
              </w:rPr>
            </w:r>
            <w:r w:rsidR="00903735">
              <w:rPr>
                <w:rFonts w:eastAsia="Times New Roman" w:cs="Calibri"/>
                <w:sz w:val="16"/>
                <w:szCs w:val="16"/>
              </w:rPr>
              <w:fldChar w:fldCharType="end"/>
            </w:r>
            <w:r w:rsidRPr="00A743C9">
              <w:rPr>
                <w:rFonts w:eastAsia="Times New Roman" w:cs="Calibri"/>
                <w:sz w:val="16"/>
                <w:szCs w:val="16"/>
              </w:rPr>
            </w:r>
            <w:r w:rsidRPr="00A743C9">
              <w:rPr>
                <w:rFonts w:eastAsia="Times New Roman" w:cs="Calibri"/>
                <w:sz w:val="16"/>
                <w:szCs w:val="16"/>
              </w:rPr>
              <w:fldChar w:fldCharType="separate"/>
            </w:r>
            <w:r w:rsidRPr="00A743C9">
              <w:rPr>
                <w:rFonts w:eastAsia="Times New Roman" w:cs="Calibri"/>
                <w:noProof/>
                <w:sz w:val="16"/>
                <w:szCs w:val="16"/>
              </w:rPr>
              <w:t>(Palipudi, Mbulo et al. 2016)</w:t>
            </w:r>
            <w:r w:rsidRPr="00A743C9">
              <w:rPr>
                <w:rFonts w:eastAsia="Times New Roman" w:cs="Calibri"/>
                <w:sz w:val="16"/>
                <w:szCs w:val="16"/>
              </w:rPr>
              <w:fldChar w:fldCharType="end"/>
            </w:r>
          </w:p>
        </w:tc>
        <w:tc>
          <w:tcPr>
            <w:tcW w:w="1304" w:type="dxa"/>
            <w:tcBorders>
              <w:left w:val="single" w:sz="4" w:space="0" w:color="auto"/>
              <w:bottom w:val="nil"/>
              <w:right w:val="single" w:sz="4" w:space="0" w:color="auto"/>
            </w:tcBorders>
            <w:noWrap/>
            <w:hideMark/>
          </w:tcPr>
          <w:p w14:paraId="38D56DD7"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2011</w:t>
            </w:r>
          </w:p>
        </w:tc>
        <w:tc>
          <w:tcPr>
            <w:tcW w:w="1650" w:type="dxa"/>
            <w:tcBorders>
              <w:left w:val="single" w:sz="4" w:space="0" w:color="auto"/>
              <w:bottom w:val="nil"/>
            </w:tcBorders>
            <w:noWrap/>
            <w:hideMark/>
          </w:tcPr>
          <w:p w14:paraId="6EE3A53F"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0.8</w:t>
            </w:r>
          </w:p>
        </w:tc>
        <w:tc>
          <w:tcPr>
            <w:tcW w:w="1154" w:type="dxa"/>
            <w:tcBorders>
              <w:bottom w:val="nil"/>
              <w:right w:val="single" w:sz="4" w:space="0" w:color="auto"/>
            </w:tcBorders>
            <w:noWrap/>
            <w:hideMark/>
          </w:tcPr>
          <w:p w14:paraId="2E47616B"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p>
        </w:tc>
        <w:tc>
          <w:tcPr>
            <w:tcW w:w="1187" w:type="dxa"/>
            <w:tcBorders>
              <w:left w:val="single" w:sz="4" w:space="0" w:color="auto"/>
              <w:bottom w:val="nil"/>
            </w:tcBorders>
            <w:noWrap/>
            <w:hideMark/>
          </w:tcPr>
          <w:p w14:paraId="0370FF58"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43</w:t>
            </w:r>
          </w:p>
        </w:tc>
        <w:tc>
          <w:tcPr>
            <w:tcW w:w="1531" w:type="dxa"/>
            <w:tcBorders>
              <w:bottom w:val="nil"/>
              <w:right w:val="single" w:sz="4" w:space="0" w:color="auto"/>
            </w:tcBorders>
            <w:noWrap/>
            <w:hideMark/>
          </w:tcPr>
          <w:p w14:paraId="210092A9"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1.4</w:t>
            </w:r>
          </w:p>
        </w:tc>
      </w:tr>
      <w:tr w:rsidR="00B86BF1" w:rsidRPr="00A743C9" w14:paraId="2F97D32B" w14:textId="77777777" w:rsidTr="000376C7">
        <w:trPr>
          <w:trHeight w:val="287"/>
        </w:trPr>
        <w:tc>
          <w:tcPr>
            <w:cnfStyle w:val="001000000000" w:firstRow="0" w:lastRow="0" w:firstColumn="1" w:lastColumn="0" w:oddVBand="0" w:evenVBand="0" w:oddHBand="0" w:evenHBand="0" w:firstRowFirstColumn="0" w:firstRowLastColumn="0" w:lastRowFirstColumn="0" w:lastRowLastColumn="0"/>
            <w:tcW w:w="3003" w:type="dxa"/>
            <w:tcBorders>
              <w:left w:val="single" w:sz="4" w:space="0" w:color="auto"/>
              <w:bottom w:val="nil"/>
              <w:right w:val="single" w:sz="4" w:space="0" w:color="auto"/>
            </w:tcBorders>
            <w:noWrap/>
            <w:hideMark/>
          </w:tcPr>
          <w:p w14:paraId="6263B28F" w14:textId="77777777" w:rsidR="00B86BF1" w:rsidRPr="00A743C9" w:rsidRDefault="00B86BF1" w:rsidP="00903735">
            <w:pPr>
              <w:spacing w:after="0"/>
              <w:rPr>
                <w:rFonts w:eastAsia="Times New Roman" w:cs="Calibri"/>
                <w:sz w:val="16"/>
                <w:szCs w:val="16"/>
              </w:rPr>
            </w:pPr>
            <w:r w:rsidRPr="00A743C9">
              <w:rPr>
                <w:rFonts w:eastAsia="Times New Roman" w:cs="Calibri"/>
                <w:sz w:val="16"/>
                <w:szCs w:val="16"/>
              </w:rPr>
              <w:t xml:space="preserve">Malta </w:t>
            </w:r>
            <w:r w:rsidRPr="00A743C9">
              <w:rPr>
                <w:rFonts w:eastAsia="Times New Roman" w:cs="Calibri"/>
                <w:sz w:val="16"/>
                <w:szCs w:val="16"/>
              </w:rPr>
              <w:fldChar w:fldCharType="begin"/>
            </w:r>
            <w:r w:rsidR="00903735">
              <w:rPr>
                <w:rFonts w:eastAsia="Times New Roman" w:cs="Calibri"/>
                <w:sz w:val="16"/>
                <w:szCs w:val="16"/>
              </w:rPr>
              <w:instrText xml:space="preserve"> ADDIN EN.CITE &lt;EndNote&gt;&lt;Cite&gt;&lt;Author&gt;European Commission&lt;/Author&gt;&lt;Year&gt;2017&lt;/Year&gt;&lt;RecNum&gt;13438&lt;/RecNum&gt;&lt;DisplayText&gt;(European Commission 2017)&lt;/DisplayText&gt;&lt;record&gt;&lt;rec-number&gt;13438&lt;/rec-number&gt;&lt;foreign-keys&gt;&lt;key app="EN" db-id="5xv5w5t2bdxtxfezx02xtxdft5rz5ptvvt29" timestamp="1527209032"&gt;13438&lt;/key&gt;&lt;/foreign-keys&gt;&lt;ref-type name="Web Page"&gt;12&lt;/ref-type&gt;&lt;contributors&gt;&lt;authors&gt;&lt;author&gt;European Commission,&lt;/author&gt;&lt;/authors&gt;&lt;/contributors&gt;&lt;titles&gt;&lt;title&gt;Attitudes of Europeans towards tobacco and electronic cigarettes&lt;/title&gt;&lt;/titles&gt;&lt;volume&gt;2018&lt;/volume&gt;&lt;number&gt;18.05.2018&lt;/number&gt;&lt;dates&gt;&lt;year&gt;2017&lt;/year&gt;&lt;/dates&gt;&lt;publisher&gt;European Commission&lt;/publisher&gt;&lt;urls&gt;&lt;related-urls&gt;&lt;url&gt;http://ec.europa.eu/commfrontoffice/publicopinion/index.cfm/Survey/getSurveyDetail/instruments/SPECIAL/yearFrom/2016/yearTo/2018/surveyKy/2146&lt;/url&gt;&lt;/related-urls&gt;&lt;/urls&gt;&lt;/record&gt;&lt;/Cite&gt;&lt;/EndNote&gt;</w:instrText>
            </w:r>
            <w:r w:rsidRPr="00A743C9">
              <w:rPr>
                <w:rFonts w:eastAsia="Times New Roman" w:cs="Calibri"/>
                <w:sz w:val="16"/>
                <w:szCs w:val="16"/>
              </w:rPr>
              <w:fldChar w:fldCharType="separate"/>
            </w:r>
            <w:r w:rsidRPr="00A743C9">
              <w:rPr>
                <w:rFonts w:eastAsia="Times New Roman" w:cs="Calibri"/>
                <w:noProof/>
                <w:sz w:val="16"/>
                <w:szCs w:val="16"/>
              </w:rPr>
              <w:t>(European Commission 2017)</w:t>
            </w:r>
            <w:r w:rsidRPr="00A743C9">
              <w:rPr>
                <w:rFonts w:eastAsia="Times New Roman" w:cs="Calibri"/>
                <w:sz w:val="16"/>
                <w:szCs w:val="16"/>
              </w:rPr>
              <w:fldChar w:fldCharType="end"/>
            </w:r>
          </w:p>
        </w:tc>
        <w:tc>
          <w:tcPr>
            <w:tcW w:w="1304" w:type="dxa"/>
            <w:tcBorders>
              <w:left w:val="single" w:sz="4" w:space="0" w:color="auto"/>
              <w:bottom w:val="nil"/>
              <w:right w:val="single" w:sz="4" w:space="0" w:color="auto"/>
            </w:tcBorders>
            <w:noWrap/>
            <w:hideMark/>
          </w:tcPr>
          <w:p w14:paraId="25C5FCE1"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2014</w:t>
            </w:r>
          </w:p>
        </w:tc>
        <w:tc>
          <w:tcPr>
            <w:tcW w:w="1650" w:type="dxa"/>
            <w:tcBorders>
              <w:left w:val="single" w:sz="4" w:space="0" w:color="auto"/>
              <w:bottom w:val="nil"/>
            </w:tcBorders>
            <w:noWrap/>
            <w:hideMark/>
          </w:tcPr>
          <w:p w14:paraId="378310EA"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w:t>
            </w:r>
          </w:p>
        </w:tc>
        <w:tc>
          <w:tcPr>
            <w:tcW w:w="1154" w:type="dxa"/>
            <w:tcBorders>
              <w:bottom w:val="nil"/>
              <w:right w:val="single" w:sz="4" w:space="0" w:color="auto"/>
            </w:tcBorders>
            <w:noWrap/>
            <w:hideMark/>
          </w:tcPr>
          <w:p w14:paraId="3A2CBE4B"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12</w:t>
            </w:r>
          </w:p>
        </w:tc>
        <w:tc>
          <w:tcPr>
            <w:tcW w:w="1187" w:type="dxa"/>
            <w:tcBorders>
              <w:left w:val="single" w:sz="4" w:space="0" w:color="auto"/>
              <w:bottom w:val="nil"/>
            </w:tcBorders>
            <w:noWrap/>
            <w:hideMark/>
          </w:tcPr>
          <w:p w14:paraId="618D228E"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29.7</w:t>
            </w:r>
          </w:p>
        </w:tc>
        <w:tc>
          <w:tcPr>
            <w:tcW w:w="1531" w:type="dxa"/>
            <w:tcBorders>
              <w:bottom w:val="nil"/>
              <w:right w:val="single" w:sz="4" w:space="0" w:color="auto"/>
            </w:tcBorders>
            <w:noWrap/>
            <w:hideMark/>
          </w:tcPr>
          <w:p w14:paraId="7E737D38"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20.2</w:t>
            </w:r>
          </w:p>
        </w:tc>
      </w:tr>
      <w:tr w:rsidR="00B86BF1" w:rsidRPr="00A743C9" w14:paraId="4CD5162B" w14:textId="77777777" w:rsidTr="000376C7">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003" w:type="dxa"/>
            <w:tcBorders>
              <w:left w:val="single" w:sz="4" w:space="0" w:color="auto"/>
              <w:bottom w:val="nil"/>
              <w:right w:val="single" w:sz="4" w:space="0" w:color="auto"/>
            </w:tcBorders>
            <w:noWrap/>
            <w:hideMark/>
          </w:tcPr>
          <w:p w14:paraId="6E8CDBFB" w14:textId="77777777" w:rsidR="00B86BF1" w:rsidRPr="00A743C9" w:rsidRDefault="00B86BF1" w:rsidP="000376C7">
            <w:pPr>
              <w:spacing w:after="0"/>
              <w:rPr>
                <w:rFonts w:eastAsia="Times New Roman" w:cs="Calibri"/>
                <w:sz w:val="16"/>
                <w:szCs w:val="16"/>
              </w:rPr>
            </w:pPr>
            <w:r w:rsidRPr="00A743C9">
              <w:rPr>
                <w:rFonts w:eastAsia="Times New Roman" w:cs="Calibri"/>
                <w:sz w:val="16"/>
                <w:szCs w:val="16"/>
              </w:rPr>
              <w:t xml:space="preserve">Philippines </w:t>
            </w:r>
            <w:r w:rsidRPr="00A743C9">
              <w:rPr>
                <w:rFonts w:eastAsia="Times New Roman" w:cs="Calibri"/>
                <w:sz w:val="16"/>
                <w:szCs w:val="16"/>
              </w:rPr>
              <w:fldChar w:fldCharType="begin"/>
            </w:r>
            <w:r w:rsidRPr="00A743C9">
              <w:rPr>
                <w:rFonts w:eastAsia="Times New Roman" w:cs="Calibri"/>
                <w:sz w:val="16"/>
                <w:szCs w:val="16"/>
              </w:rPr>
              <w:instrText xml:space="preserve"> ADDIN EN.CITE &lt;EndNote&gt;&lt;Cite&gt;&lt;Author&gt;Health&lt;/Author&gt;&lt;Year&gt;2017&lt;/Year&gt;&lt;RecNum&gt;9739&lt;/RecNum&gt;&lt;DisplayText&gt;(Republic of the Philippines Department of Health 2017)&lt;/DisplayText&gt;&lt;record&gt;&lt;rec-number&gt;9739&lt;/rec-number&gt;&lt;foreign-keys&gt;&lt;key app="EN" db-id="9z05dz0praadfuee0zoxzedk9zfe5fxx50z5" timestamp="1526530949"&gt;9739&lt;/key&gt;&lt;/foreign-keys&gt;&lt;ref-type name="Pamphlet"&gt;24&lt;/ref-type&gt;&lt;contributors&gt;&lt;authors&gt;&lt;author&gt;Republic of the Philippines Department of Health,&lt;/author&gt;&lt;/authors&gt;&lt;secondary-authors&gt;&lt;author&gt;Republic of the Philippines Department of Health,&lt;/author&gt;&lt;author&gt;Philippine Statistics Authority,&lt;/author&gt;&lt;author&gt;World Health Organisation Pacific Region,&lt;/author&gt;&lt;author&gt;Centers for Disease Control and Prevention,&lt;/author&gt;&lt;/secondary-authors&gt;&lt;/contributors&gt;&lt;titles&gt;&lt;title&gt;Global Adult Tobacco Survey Fact Sheet: Philippines 2015&lt;/title&gt;&lt;/titles&gt;&lt;dates&gt;&lt;year&gt;2017&lt;/year&gt;&lt;/dates&gt;&lt;publisher&gt;Republic of the Philippines Department of Health,&lt;/publisher&gt;&lt;urls&gt;&lt;related-urls&gt;&lt;url&gt;http://www.doh.gov.ph/sites/default/files/publications/GATS-PHL2015-Standalone_Factsheet.pdf&lt;/url&gt;&lt;/related-urls&gt;&lt;/urls&gt;&lt;/record&gt;&lt;/Cite&gt;&lt;/EndNote&gt;</w:instrText>
            </w:r>
            <w:r w:rsidRPr="00A743C9">
              <w:rPr>
                <w:rFonts w:eastAsia="Times New Roman" w:cs="Calibri"/>
                <w:sz w:val="16"/>
                <w:szCs w:val="16"/>
              </w:rPr>
              <w:fldChar w:fldCharType="separate"/>
            </w:r>
            <w:r w:rsidRPr="00A743C9">
              <w:rPr>
                <w:rFonts w:eastAsia="Times New Roman" w:cs="Calibri"/>
                <w:noProof/>
                <w:sz w:val="16"/>
                <w:szCs w:val="16"/>
              </w:rPr>
              <w:t>(Republic of the Philippines Department of Health 2017)</w:t>
            </w:r>
            <w:r w:rsidRPr="00A743C9">
              <w:rPr>
                <w:rFonts w:eastAsia="Times New Roman" w:cs="Calibri"/>
                <w:sz w:val="16"/>
                <w:szCs w:val="16"/>
              </w:rPr>
              <w:fldChar w:fldCharType="end"/>
            </w:r>
          </w:p>
        </w:tc>
        <w:tc>
          <w:tcPr>
            <w:tcW w:w="1304" w:type="dxa"/>
            <w:tcBorders>
              <w:left w:val="single" w:sz="4" w:space="0" w:color="auto"/>
              <w:bottom w:val="nil"/>
              <w:right w:val="single" w:sz="4" w:space="0" w:color="auto"/>
            </w:tcBorders>
            <w:noWrap/>
            <w:hideMark/>
          </w:tcPr>
          <w:p w14:paraId="2CE01157"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2015</w:t>
            </w:r>
          </w:p>
        </w:tc>
        <w:tc>
          <w:tcPr>
            <w:tcW w:w="1650" w:type="dxa"/>
            <w:tcBorders>
              <w:left w:val="single" w:sz="4" w:space="0" w:color="auto"/>
              <w:bottom w:val="nil"/>
            </w:tcBorders>
            <w:noWrap/>
            <w:hideMark/>
          </w:tcPr>
          <w:p w14:paraId="2B05F27A"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0.8</w:t>
            </w:r>
          </w:p>
        </w:tc>
        <w:tc>
          <w:tcPr>
            <w:tcW w:w="1154" w:type="dxa"/>
            <w:tcBorders>
              <w:bottom w:val="nil"/>
              <w:right w:val="single" w:sz="4" w:space="0" w:color="auto"/>
            </w:tcBorders>
            <w:noWrap/>
            <w:hideMark/>
          </w:tcPr>
          <w:p w14:paraId="1E33EAD2"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p>
        </w:tc>
        <w:tc>
          <w:tcPr>
            <w:tcW w:w="1187" w:type="dxa"/>
            <w:tcBorders>
              <w:left w:val="single" w:sz="4" w:space="0" w:color="auto"/>
              <w:bottom w:val="nil"/>
            </w:tcBorders>
            <w:noWrap/>
            <w:hideMark/>
          </w:tcPr>
          <w:p w14:paraId="48C42C1E"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41.9</w:t>
            </w:r>
          </w:p>
        </w:tc>
        <w:tc>
          <w:tcPr>
            <w:tcW w:w="1531" w:type="dxa"/>
            <w:tcBorders>
              <w:bottom w:val="nil"/>
              <w:right w:val="single" w:sz="4" w:space="0" w:color="auto"/>
            </w:tcBorders>
            <w:noWrap/>
            <w:hideMark/>
          </w:tcPr>
          <w:p w14:paraId="28DD4CB9"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5.8</w:t>
            </w:r>
          </w:p>
        </w:tc>
      </w:tr>
      <w:tr w:rsidR="00B86BF1" w:rsidRPr="00A743C9" w14:paraId="78E3E4CF" w14:textId="77777777" w:rsidTr="000376C7">
        <w:trPr>
          <w:trHeight w:val="287"/>
        </w:trPr>
        <w:tc>
          <w:tcPr>
            <w:cnfStyle w:val="001000000000" w:firstRow="0" w:lastRow="0" w:firstColumn="1" w:lastColumn="0" w:oddVBand="0" w:evenVBand="0" w:oddHBand="0" w:evenHBand="0" w:firstRowFirstColumn="0" w:firstRowLastColumn="0" w:lastRowFirstColumn="0" w:lastRowLastColumn="0"/>
            <w:tcW w:w="3003" w:type="dxa"/>
            <w:tcBorders>
              <w:left w:val="single" w:sz="4" w:space="0" w:color="auto"/>
              <w:bottom w:val="nil"/>
              <w:right w:val="single" w:sz="4" w:space="0" w:color="auto"/>
            </w:tcBorders>
            <w:noWrap/>
            <w:hideMark/>
          </w:tcPr>
          <w:p w14:paraId="25C05BF8" w14:textId="77777777" w:rsidR="00B86BF1" w:rsidRPr="00A743C9" w:rsidRDefault="00B86BF1" w:rsidP="00903735">
            <w:pPr>
              <w:spacing w:after="0"/>
              <w:rPr>
                <w:rFonts w:eastAsia="Times New Roman" w:cs="Calibri"/>
                <w:sz w:val="16"/>
                <w:szCs w:val="16"/>
              </w:rPr>
            </w:pPr>
            <w:r w:rsidRPr="00A743C9">
              <w:rPr>
                <w:rFonts w:eastAsia="Times New Roman" w:cs="Calibri"/>
                <w:sz w:val="16"/>
                <w:szCs w:val="16"/>
              </w:rPr>
              <w:t xml:space="preserve">Poland </w:t>
            </w:r>
            <w:r w:rsidRPr="00A743C9">
              <w:rPr>
                <w:rFonts w:eastAsia="Times New Roman" w:cs="Calibri"/>
                <w:sz w:val="16"/>
                <w:szCs w:val="16"/>
              </w:rPr>
              <w:fldChar w:fldCharType="begin"/>
            </w:r>
            <w:r w:rsidR="00903735">
              <w:rPr>
                <w:rFonts w:eastAsia="Times New Roman" w:cs="Calibri"/>
                <w:sz w:val="16"/>
                <w:szCs w:val="16"/>
              </w:rPr>
              <w:instrText xml:space="preserve"> ADDIN EN.CITE &lt;EndNote&gt;&lt;Cite&gt;&lt;Author&gt;European Commission&lt;/Author&gt;&lt;Year&gt;2017&lt;/Year&gt;&lt;RecNum&gt;13438&lt;/RecNum&gt;&lt;DisplayText&gt;(European Commission 2017)&lt;/DisplayText&gt;&lt;record&gt;&lt;rec-number&gt;13438&lt;/rec-number&gt;&lt;foreign-keys&gt;&lt;key app="EN" db-id="5xv5w5t2bdxtxfezx02xtxdft5rz5ptvvt29" timestamp="1527209032"&gt;13438&lt;/key&gt;&lt;/foreign-keys&gt;&lt;ref-type name="Web Page"&gt;12&lt;/ref-type&gt;&lt;contributors&gt;&lt;authors&gt;&lt;author&gt;European Commission,&lt;/author&gt;&lt;/authors&gt;&lt;/contributors&gt;&lt;titles&gt;&lt;title&gt;Attitudes of Europeans towards tobacco and electronic cigarettes&lt;/title&gt;&lt;/titles&gt;&lt;volume&gt;2018&lt;/volume&gt;&lt;number&gt;18.05.2018&lt;/number&gt;&lt;dates&gt;&lt;year&gt;2017&lt;/year&gt;&lt;/dates&gt;&lt;publisher&gt;European Commission&lt;/publisher&gt;&lt;urls&gt;&lt;related-urls&gt;&lt;url&gt;http://ec.europa.eu/commfrontoffice/publicopinion/index.cfm/Survey/getSurveyDetail/instruments/SPECIAL/yearFrom/2016/yearTo/2018/surveyKy/2146&lt;/url&gt;&lt;/related-urls&gt;&lt;/urls&gt;&lt;/record&gt;&lt;/Cite&gt;&lt;/EndNote&gt;</w:instrText>
            </w:r>
            <w:r w:rsidRPr="00A743C9">
              <w:rPr>
                <w:rFonts w:eastAsia="Times New Roman" w:cs="Calibri"/>
                <w:sz w:val="16"/>
                <w:szCs w:val="16"/>
              </w:rPr>
              <w:fldChar w:fldCharType="separate"/>
            </w:r>
            <w:r w:rsidRPr="00A743C9">
              <w:rPr>
                <w:rFonts w:eastAsia="Times New Roman" w:cs="Calibri"/>
                <w:noProof/>
                <w:sz w:val="16"/>
                <w:szCs w:val="16"/>
              </w:rPr>
              <w:t>(European Commission 2017)</w:t>
            </w:r>
            <w:r w:rsidRPr="00A743C9">
              <w:rPr>
                <w:rFonts w:eastAsia="Times New Roman" w:cs="Calibri"/>
                <w:sz w:val="16"/>
                <w:szCs w:val="16"/>
              </w:rPr>
              <w:fldChar w:fldCharType="end"/>
            </w:r>
          </w:p>
        </w:tc>
        <w:tc>
          <w:tcPr>
            <w:tcW w:w="1304" w:type="dxa"/>
            <w:tcBorders>
              <w:left w:val="single" w:sz="4" w:space="0" w:color="auto"/>
              <w:bottom w:val="nil"/>
              <w:right w:val="single" w:sz="4" w:space="0" w:color="auto"/>
            </w:tcBorders>
            <w:noWrap/>
            <w:hideMark/>
          </w:tcPr>
          <w:p w14:paraId="5F950598"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2014</w:t>
            </w:r>
          </w:p>
        </w:tc>
        <w:tc>
          <w:tcPr>
            <w:tcW w:w="1650" w:type="dxa"/>
            <w:tcBorders>
              <w:left w:val="single" w:sz="4" w:space="0" w:color="auto"/>
              <w:bottom w:val="nil"/>
            </w:tcBorders>
            <w:noWrap/>
            <w:hideMark/>
          </w:tcPr>
          <w:p w14:paraId="73048383"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w:t>
            </w:r>
          </w:p>
        </w:tc>
        <w:tc>
          <w:tcPr>
            <w:tcW w:w="1154" w:type="dxa"/>
            <w:tcBorders>
              <w:bottom w:val="nil"/>
              <w:right w:val="single" w:sz="4" w:space="0" w:color="auto"/>
            </w:tcBorders>
            <w:noWrap/>
            <w:hideMark/>
          </w:tcPr>
          <w:p w14:paraId="0F363CFE"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13</w:t>
            </w:r>
          </w:p>
        </w:tc>
        <w:tc>
          <w:tcPr>
            <w:tcW w:w="1187" w:type="dxa"/>
            <w:tcBorders>
              <w:left w:val="single" w:sz="4" w:space="0" w:color="auto"/>
              <w:bottom w:val="nil"/>
            </w:tcBorders>
            <w:noWrap/>
            <w:hideMark/>
          </w:tcPr>
          <w:p w14:paraId="2ECE8E41"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32.4</w:t>
            </w:r>
          </w:p>
        </w:tc>
        <w:tc>
          <w:tcPr>
            <w:tcW w:w="1531" w:type="dxa"/>
            <w:tcBorders>
              <w:bottom w:val="nil"/>
              <w:right w:val="single" w:sz="4" w:space="0" w:color="auto"/>
            </w:tcBorders>
            <w:noWrap/>
            <w:hideMark/>
          </w:tcPr>
          <w:p w14:paraId="45340D02"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23.7</w:t>
            </w:r>
          </w:p>
        </w:tc>
      </w:tr>
      <w:tr w:rsidR="00B86BF1" w:rsidRPr="00A743C9" w14:paraId="1E688BEC" w14:textId="77777777" w:rsidTr="000376C7">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003" w:type="dxa"/>
            <w:tcBorders>
              <w:left w:val="single" w:sz="4" w:space="0" w:color="auto"/>
              <w:bottom w:val="nil"/>
              <w:right w:val="single" w:sz="4" w:space="0" w:color="auto"/>
            </w:tcBorders>
            <w:noWrap/>
            <w:hideMark/>
          </w:tcPr>
          <w:p w14:paraId="59CDC64B" w14:textId="77777777" w:rsidR="00B86BF1" w:rsidRPr="00A743C9" w:rsidRDefault="00B86BF1" w:rsidP="00903735">
            <w:pPr>
              <w:spacing w:after="0"/>
              <w:rPr>
                <w:rFonts w:eastAsia="Times New Roman" w:cs="Calibri"/>
                <w:sz w:val="16"/>
                <w:szCs w:val="16"/>
              </w:rPr>
            </w:pPr>
            <w:r w:rsidRPr="00A743C9">
              <w:rPr>
                <w:rFonts w:eastAsia="Times New Roman" w:cs="Calibri"/>
                <w:sz w:val="16"/>
                <w:szCs w:val="16"/>
              </w:rPr>
              <w:t xml:space="preserve">Portugal </w:t>
            </w:r>
            <w:r w:rsidRPr="00A743C9">
              <w:rPr>
                <w:rFonts w:eastAsia="Times New Roman" w:cs="Calibri"/>
                <w:sz w:val="16"/>
                <w:szCs w:val="16"/>
              </w:rPr>
              <w:fldChar w:fldCharType="begin"/>
            </w:r>
            <w:r w:rsidR="00903735">
              <w:rPr>
                <w:rFonts w:eastAsia="Times New Roman" w:cs="Calibri"/>
                <w:sz w:val="16"/>
                <w:szCs w:val="16"/>
              </w:rPr>
              <w:instrText xml:space="preserve"> ADDIN EN.CITE &lt;EndNote&gt;&lt;Cite&gt;&lt;Author&gt;European Commission&lt;/Author&gt;&lt;Year&gt;2017&lt;/Year&gt;&lt;RecNum&gt;13438&lt;/RecNum&gt;&lt;DisplayText&gt;(European Commission 2017)&lt;/DisplayText&gt;&lt;record&gt;&lt;rec-number&gt;13438&lt;/rec-number&gt;&lt;foreign-keys&gt;&lt;key app="EN" db-id="5xv5w5t2bdxtxfezx02xtxdft5rz5ptvvt29" timestamp="1527209032"&gt;13438&lt;/key&gt;&lt;/foreign-keys&gt;&lt;ref-type name="Web Page"&gt;12&lt;/ref-type&gt;&lt;contributors&gt;&lt;authors&gt;&lt;author&gt;European Commission,&lt;/author&gt;&lt;/authors&gt;&lt;/contributors&gt;&lt;titles&gt;&lt;title&gt;Attitudes of Europeans towards tobacco and electronic cigarettes&lt;/title&gt;&lt;/titles&gt;&lt;volume&gt;2018&lt;/volume&gt;&lt;number&gt;18.05.2018&lt;/number&gt;&lt;dates&gt;&lt;year&gt;2017&lt;/year&gt;&lt;/dates&gt;&lt;publisher&gt;European Commission&lt;/publisher&gt;&lt;urls&gt;&lt;related-urls&gt;&lt;url&gt;http://ec.europa.eu/commfrontoffice/publicopinion/index.cfm/Survey/getSurveyDetail/instruments/SPECIAL/yearFrom/2016/yearTo/2018/surveyKy/2146&lt;/url&gt;&lt;/related-urls&gt;&lt;/urls&gt;&lt;/record&gt;&lt;/Cite&gt;&lt;/EndNote&gt;</w:instrText>
            </w:r>
            <w:r w:rsidRPr="00A743C9">
              <w:rPr>
                <w:rFonts w:eastAsia="Times New Roman" w:cs="Calibri"/>
                <w:sz w:val="16"/>
                <w:szCs w:val="16"/>
              </w:rPr>
              <w:fldChar w:fldCharType="separate"/>
            </w:r>
            <w:r w:rsidRPr="00A743C9">
              <w:rPr>
                <w:rFonts w:eastAsia="Times New Roman" w:cs="Calibri"/>
                <w:noProof/>
                <w:sz w:val="16"/>
                <w:szCs w:val="16"/>
              </w:rPr>
              <w:t>(European Commission 2017)</w:t>
            </w:r>
            <w:r w:rsidRPr="00A743C9">
              <w:rPr>
                <w:rFonts w:eastAsia="Times New Roman" w:cs="Calibri"/>
                <w:sz w:val="16"/>
                <w:szCs w:val="16"/>
              </w:rPr>
              <w:fldChar w:fldCharType="end"/>
            </w:r>
          </w:p>
        </w:tc>
        <w:tc>
          <w:tcPr>
            <w:tcW w:w="1304" w:type="dxa"/>
            <w:tcBorders>
              <w:left w:val="single" w:sz="4" w:space="0" w:color="auto"/>
              <w:bottom w:val="nil"/>
              <w:right w:val="single" w:sz="4" w:space="0" w:color="auto"/>
            </w:tcBorders>
            <w:noWrap/>
            <w:hideMark/>
          </w:tcPr>
          <w:p w14:paraId="463D1711"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2014</w:t>
            </w:r>
          </w:p>
        </w:tc>
        <w:tc>
          <w:tcPr>
            <w:tcW w:w="1650" w:type="dxa"/>
            <w:tcBorders>
              <w:left w:val="single" w:sz="4" w:space="0" w:color="auto"/>
              <w:bottom w:val="nil"/>
            </w:tcBorders>
            <w:noWrap/>
            <w:hideMark/>
          </w:tcPr>
          <w:p w14:paraId="30AACFA1"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w:t>
            </w:r>
          </w:p>
        </w:tc>
        <w:tc>
          <w:tcPr>
            <w:tcW w:w="1154" w:type="dxa"/>
            <w:tcBorders>
              <w:bottom w:val="nil"/>
              <w:right w:val="single" w:sz="4" w:space="0" w:color="auto"/>
            </w:tcBorders>
            <w:noWrap/>
            <w:hideMark/>
          </w:tcPr>
          <w:p w14:paraId="23EC0EE9"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8</w:t>
            </w:r>
          </w:p>
        </w:tc>
        <w:tc>
          <w:tcPr>
            <w:tcW w:w="1187" w:type="dxa"/>
            <w:tcBorders>
              <w:left w:val="single" w:sz="4" w:space="0" w:color="auto"/>
              <w:bottom w:val="nil"/>
            </w:tcBorders>
            <w:noWrap/>
            <w:hideMark/>
          </w:tcPr>
          <w:p w14:paraId="3204B5B2"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31.5</w:t>
            </w:r>
          </w:p>
        </w:tc>
        <w:tc>
          <w:tcPr>
            <w:tcW w:w="1531" w:type="dxa"/>
            <w:tcBorders>
              <w:bottom w:val="nil"/>
              <w:right w:val="single" w:sz="4" w:space="0" w:color="auto"/>
            </w:tcBorders>
            <w:noWrap/>
            <w:hideMark/>
          </w:tcPr>
          <w:p w14:paraId="79BB3837"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13.7</w:t>
            </w:r>
          </w:p>
        </w:tc>
      </w:tr>
      <w:tr w:rsidR="00B86BF1" w:rsidRPr="00A743C9" w14:paraId="0822F61C" w14:textId="77777777" w:rsidTr="000376C7">
        <w:trPr>
          <w:trHeight w:val="287"/>
        </w:trPr>
        <w:tc>
          <w:tcPr>
            <w:cnfStyle w:val="001000000000" w:firstRow="0" w:lastRow="0" w:firstColumn="1" w:lastColumn="0" w:oddVBand="0" w:evenVBand="0" w:oddHBand="0" w:evenHBand="0" w:firstRowFirstColumn="0" w:firstRowLastColumn="0" w:lastRowFirstColumn="0" w:lastRowLastColumn="0"/>
            <w:tcW w:w="3003" w:type="dxa"/>
            <w:tcBorders>
              <w:left w:val="single" w:sz="4" w:space="0" w:color="auto"/>
              <w:bottom w:val="nil"/>
              <w:right w:val="single" w:sz="4" w:space="0" w:color="auto"/>
            </w:tcBorders>
            <w:noWrap/>
            <w:hideMark/>
          </w:tcPr>
          <w:p w14:paraId="2BCC8C9D" w14:textId="77777777" w:rsidR="00B86BF1" w:rsidRPr="00A743C9" w:rsidRDefault="00B86BF1" w:rsidP="00903735">
            <w:pPr>
              <w:spacing w:after="0"/>
              <w:rPr>
                <w:rFonts w:eastAsia="Times New Roman" w:cs="Calibri"/>
                <w:sz w:val="16"/>
                <w:szCs w:val="16"/>
              </w:rPr>
            </w:pPr>
            <w:r w:rsidRPr="00A743C9">
              <w:rPr>
                <w:rFonts w:eastAsia="Times New Roman" w:cs="Calibri"/>
                <w:sz w:val="16"/>
                <w:szCs w:val="16"/>
              </w:rPr>
              <w:t xml:space="preserve">Qatar </w:t>
            </w:r>
            <w:r w:rsidRPr="00A743C9">
              <w:rPr>
                <w:rFonts w:eastAsia="Times New Roman" w:cs="Calibri"/>
                <w:sz w:val="16"/>
                <w:szCs w:val="16"/>
              </w:rPr>
              <w:fldChar w:fldCharType="begin">
                <w:fldData xml:space="preserve">PEVuZE5vdGU+PENpdGU+PEF1dGhvcj5QYWxpcHVkaTwvQXV0aG9yPjxZZWFyPjIwMTY8L1llYXI+
PFJlY051bT4xMzQzNTwvUmVjTnVtPjxEaXNwbGF5VGV4dD4oUGFsaXB1ZGksIE1idWxvIGV0IGFs
LiAyMDE2KTwvRGlzcGxheVRleHQ+PHJlY29yZD48cmVjLW51bWJlcj4xMzQzNTwvcmVjLW51bWJl
cj48Zm9yZWlnbi1rZXlzPjxrZXkgYXBwPSJFTiIgZGItaWQ9IjV4djV3NXQyYmR4dHhmZXp4MDJ4
dHhkZnQ1cno1cHR2dnQyOSIgdGltZXN0YW1wPSIxNTI3MjA4OTk4Ij4xMzQzNTwva2V5PjxrZXkg
YXBwPSJFTldlYiIgZGItaWQ9IiI+MDwva2V5PjwvZm9yZWlnbi1rZXlzPjxyZWYtdHlwZSBuYW1l
PSJKb3VybmFsIEFydGljbGUiPjE3PC9yZWYtdHlwZT48Y29udHJpYnV0b3JzPjxhdXRob3JzPjxh
dXRob3I+UGFsaXB1ZGksIEsuIE0uPC9hdXRob3I+PGF1dGhvcj5NYnVsbywgTC48L2F1dGhvcj48
YXV0aG9yPk1vcnRvbiwgSi48L2F1dGhvcj48YXV0aG9yPk1idWxvLCBMLjwvYXV0aG9yPjxhdXRo
b3I+QnVubmVsbCwgUi48L2F1dGhvcj48YXV0aG9yPkJsdXRjaGVyLU5lbHNvbiwgRy48L2F1dGhv
cj48YXV0aG9yPktvc2VuLCBTLjwvYXV0aG9yPjxhdXRob3I+VGVlLCBHLiBILjwvYXV0aG9yPjxh
dXRob3I+QWJkYWxsYSwgQS4gTS48L2F1dGhvcj48YXV0aG9yPk11dGF3YSwgSy4gQS48L2F1dGhv
cj48YXV0aG9yPkJhcmJvdW5pLCBBLjwvYXV0aG9yPjxhdXRob3I+QW50b25pYWRvdSwgRS48L2F1
dGhvcj48YXV0aG9yPkZvdWFkLCBILjwvYXV0aG9yPjxhdXRob3I+S2hvdXJ5LCBSLiBOLjwvYXV0
aG9yPjxhdXRob3I+UmFyaWNrLCBKLjwvYXV0aG9yPjxhdXRob3I+U2luaGEsIEQuIE4uPC9hdXRo
b3I+PGF1dGhvcj5Bc21hLCBTLjwvYXV0aG9yPjwvYXV0aG9ycz48L2NvbnRyaWJ1dG9ycz48YXV0
aC1hZGRyZXNzPkdsb2JhbCBUb2JhY2NvIENvbnRyb2wgQnJhbmNoLCBPZmZpY2Ugb24gU21va2lu
ZyBhbmQgSGVhbHRoLCBOYXRpb25hbCBDZW50ZXIgZm9yIENocm9uaWMgRGlzZWFzZSBQcmV2ZW50
aW9uIGFuZCBIZWFsdGggUHJvbW90aW9uLCBDREMsIEF0bGFudGEsIEdBOyBnb3U4QGNkYy5nb3Yu
JiN4RDtHbG9iYWwgVG9iYWNjbyBDb250cm9sIEJyYW5jaCwgT2ZmaWNlIG9uIFNtb2tpbmcgYW5k
IEhlYWx0aCwgTmF0aW9uYWwgQ2VudGVyIGZvciBDaHJvbmljIERpc2Vhc2UgUHJldmVudGlvbiBh
bmQgSGVhbHRoIFByb21vdGlvbiwgQ0RDLCBBdGxhbnRhLCBHQTsmI3hEO09mZmljZSBvZiBTbW9r
aW5nIGFuZCBIZWFsdGgsIE5DQ0RQSFAsIENEQywgQXRsYW50YSwgR0E7JiN4RDtOYXRpb25hbCBJ
bnN0aXR1dGUgb2YgSGVhbHRoIFJlc2VhcmNoIGFuZCBEZXZlbG9wbWVudCwgTWluaXN0cnkgb2Yg
SGVhbHRoLCBSZXB1YmxpYyBvZiBJbmRvbmVzaWEsIEpha2FydGEsIEluZG9uZXNpYTsmI3hEO0lu
c3RpdHV0ZSBmb3IgUHVibGljIEhlYWx0aCwgTWluaXN0cnkgb2YgSGVhbHRoLCBNYWxheXNpYSwg
S3VhbGEgTHVtcHVyLCBNYWxheXNpYTsmI3hEO1B1YmxpYyBIZWFsdGggRGVwYXJ0bWVudCwgU3Vw
cmVtZSBDb3VuY2lsIG9mIEhlYWx0aCwgRG9oYSwgUWF0YXI7JiN4RDtEZXBhcnRtZW50IG9mIFB1
YmxpYyBIZWFsdGgsIE5hdGlvbmFsIFNjaG9vbCBvZiBQdWJsaWMgSGVhbHRoLCBBdGhlbnMsIEdy
ZWVjZTsmI3hEO1JlZ2lvbmFsIE9mZmljZSBmb3IgdGhlIEVhc3Rlcm4gTWVkaXRlcnJhbmVhbiwg
V29ybGQgSGVhbHRoIE9yZ2FuaXphdGlvbiwgQ2Fpcm8sIEVneXB0OyYjeEQ7UmVnaW9uYWwgT2Zm
aWNlIGZvciBFdXJvcGUsIFdvcmxkIEhlYWx0aCBPcmdhbml6YXRpb24sIENvcGVuaGFnZW4sIERl
bm1hcms7JiN4RDtXZXN0ZXJuIFBhY2lmaWMgUmVnaW9uYWwgT2ZmaWNlLCBXb3JsZCBIZWFsdGgg
T3JnYW5pemF0aW9uLCBNYW5pbGEsIFBoaWxpcHBpbmVzOyYjeEQ7U291dGgtRWFzdCBBc2lhIFJl
Z2lvbmFsIE9mZmljZSwgV29ybGQgSGVhbHRoIE9yZ2FuaXphdGlvbiwgTmV3IERlbGhpLCBJbmRp
YS48L2F1dGgtYWRkcmVzcz48dGl0bGVzPjx0aXRsZT5Bd2FyZW5lc3MgYW5kIEN1cnJlbnQgVXNl
IG9mIEVsZWN0cm9uaWMgQ2lnYXJldHRlcyBpbiBJbmRvbmVzaWEsIE1hbGF5c2lhLCBRYXRhciwg
YW5kIEdyZWVjZTogRmluZGluZ3MgRnJvbSAyMDExLTIwMTMgR2xvYmFsIEFkdWx0IFRvYmFjY28g
U3VydmV5czwvdGl0bGU+PHNlY29uZGFyeS10aXRsZT5OaWNvdGluZSBUb2IgUmVzPC9zZWNvbmRh
cnktdGl0bGU+PGFsdC10aXRsZT5OaWNvdGluZSAmYW1wOyB0b2JhY2NvIHJlc2VhcmNoIDogb2Zm
aWNpYWwgam91cm5hbCBvZiB0aGUgU29jaWV0eSBmb3IgUmVzZWFyY2ggb24gTmljb3RpbmUgYW5k
IFRvYmFjY288L2FsdC10aXRsZT48L3RpdGxlcz48cGVyaW9kaWNhbD48ZnVsbC10aXRsZT5OaWNv
dGluZSBUb2IgUmVzPC9mdWxsLXRpdGxlPjxhYmJyLTE+Tmljb3RpbmUgJmFtcDsgdG9iYWNjbyBy
ZXNlYXJjaCA6IG9mZmljaWFsIGpvdXJuYWwgb2YgdGhlIFNvY2lldHkgZm9yIFJlc2VhcmNoIG9u
IE5pY290aW5lIGFuZCBUb2JhY2NvPC9hYmJyLTE+PC9wZXJpb2RpY2FsPjxhbHQtcGVyaW9kaWNh
bD48ZnVsbC10aXRsZT5OaWNvdGluZSBUb2IgUmVzPC9mdWxsLXRpdGxlPjxhYmJyLTE+Tmljb3Rp
bmUgJmFtcDsgdG9iYWNjbyByZXNlYXJjaCA6IG9mZmljaWFsIGpvdXJuYWwgb2YgdGhlIFNvY2ll
dHkgZm9yIFJlc2VhcmNoIG9uIE5pY290aW5lIGFuZCBUb2JhY2NvPC9hYmJyLTE+PC9hbHQtcGVy
aW9kaWNhbD48cGFnZXM+NTAxLTc8L3BhZ2VzPjx2b2x1bWU+MTg8L3ZvbHVtZT48bnVtYmVyPjQ8
L251bWJlcj48ZWRpdGlvbj4yMDE1LzA0LzIyPC9lZGl0aW9uPjxrZXl3b3Jkcz48a2V5d29yZD5B
ZG9sZXNjZW50PC9rZXl3b3JkPjxrZXl3b3JkPkFkdWx0PC9rZXl3b3JkPjxrZXl3b3JkPkFnZWQ8
L2tleXdvcmQ+PGtleXdvcmQ+KkF3YXJlbmVzczwva2V5d29yZD48a2V5d29yZD5FbGVjdHJvbmlj
IE5pY290aW5lIERlbGl2ZXJ5IFN5c3RlbXMvKnRyZW5kcy91dGlsaXphdGlvbjwva2V5d29yZD48
a2V5d29yZD5GZW1hbGU8L2tleXdvcmQ+PGtleXdvcmQ+R3JlZWNlL2VwaWRlbWlvbG9neTwva2V5
d29yZD48a2V5d29yZD5IdW1hbnM8L2tleXdvcmQ+PGtleXdvcmQ+SW5kb25lc2lhL2VwaWRlbWlv
bG9neTwva2V5d29yZD48a2V5d29yZD5NYWxheXNpYS9lcGlkZW1pb2xvZ3k8L2tleXdvcmQ+PGtl
eXdvcmQ+TWFsZTwva2V5d29yZD48a2V5d29yZD5NaWRkbGUgQWdlZDwva2V5d29yZD48a2V5d29y
ZD5QdWJsaWMgSGVhbHRoL3RyZW5kczwva2V5d29yZD48a2V5d29yZD5RYXRhci9lcGlkZW1pb2xv
Z3k8L2tleXdvcmQ+PGtleXdvcmQ+U21va2luZy8qZXBpZGVtaW9sb2d5Lyp0cmVuZHM8L2tleXdv
cmQ+PGtleXdvcmQ+KlN1cnZleXMgYW5kIFF1ZXN0aW9ubmFpcmVzPC9rZXl3b3JkPjxrZXl3b3Jk
PlRvYmFjY288L2tleXdvcmQ+PGtleXdvcmQ+VG9iYWNjbyBVc2UgRGlzb3JkZXIvZGlhZ25vc2lz
L2VwaWRlbWlvbG9neTwva2V5d29yZD48a2V5d29yZD5Zb3VuZyBBZHVsdDwva2V5d29yZD48L2tl
eXdvcmRzPjxkYXRlcz48eWVhcj4yMDE2PC95ZWFyPjxwdWItZGF0ZXM+PGRhdGU+QXByPC9kYXRl
PjwvcHViLWRhdGVzPjwvZGF0ZXM+PGlzYm4+MTQ2Mi0yMjAzPC9pc2JuPjxhY2Nlc3Npb24tbnVt
PjI1ODk1OTUxPC9hY2Nlc3Npb24tbnVtPjx1cmxzPjwvdXJscz48Y3VzdG9tMj5QTUM1MTAwODIw
PC9jdXN0b20yPjxjdXN0b202Pk5JSE1TODI2NzkxPC9jdXN0b202PjxlbGVjdHJvbmljLXJlc291
cmNlLW51bT4xMC4xMDkzL250ci9udHYwODE8L2VsZWN0cm9uaWMtcmVzb3VyY2UtbnVtPjxyZW1v
dGUtZGF0YWJhc2UtcHJvdmlkZXI+TkxNPC9yZW1vdGUtZGF0YWJhc2UtcHJvdmlkZXI+PGxhbmd1
YWdlPmVuZzwvbGFuZ3VhZ2U+PC9yZWNvcmQ+PC9DaXRlPjwvRW5kTm90ZT5=
</w:fldData>
              </w:fldChar>
            </w:r>
            <w:r w:rsidR="00903735">
              <w:rPr>
                <w:rFonts w:eastAsia="Times New Roman" w:cs="Calibri"/>
                <w:sz w:val="16"/>
                <w:szCs w:val="16"/>
              </w:rPr>
              <w:instrText xml:space="preserve"> ADDIN EN.CITE </w:instrText>
            </w:r>
            <w:r w:rsidR="00903735">
              <w:rPr>
                <w:rFonts w:eastAsia="Times New Roman" w:cs="Calibri"/>
                <w:sz w:val="16"/>
                <w:szCs w:val="16"/>
              </w:rPr>
              <w:fldChar w:fldCharType="begin">
                <w:fldData xml:space="preserve">PEVuZE5vdGU+PENpdGU+PEF1dGhvcj5QYWxpcHVkaTwvQXV0aG9yPjxZZWFyPjIwMTY8L1llYXI+
PFJlY051bT4xMzQzNTwvUmVjTnVtPjxEaXNwbGF5VGV4dD4oUGFsaXB1ZGksIE1idWxvIGV0IGFs
LiAyMDE2KTwvRGlzcGxheVRleHQ+PHJlY29yZD48cmVjLW51bWJlcj4xMzQzNTwvcmVjLW51bWJl
cj48Zm9yZWlnbi1rZXlzPjxrZXkgYXBwPSJFTiIgZGItaWQ9IjV4djV3NXQyYmR4dHhmZXp4MDJ4
dHhkZnQ1cno1cHR2dnQyOSIgdGltZXN0YW1wPSIxNTI3MjA4OTk4Ij4xMzQzNTwva2V5PjxrZXkg
YXBwPSJFTldlYiIgZGItaWQ9IiI+MDwva2V5PjwvZm9yZWlnbi1rZXlzPjxyZWYtdHlwZSBuYW1l
PSJKb3VybmFsIEFydGljbGUiPjE3PC9yZWYtdHlwZT48Y29udHJpYnV0b3JzPjxhdXRob3JzPjxh
dXRob3I+UGFsaXB1ZGksIEsuIE0uPC9hdXRob3I+PGF1dGhvcj5NYnVsbywgTC48L2F1dGhvcj48
YXV0aG9yPk1vcnRvbiwgSi48L2F1dGhvcj48YXV0aG9yPk1idWxvLCBMLjwvYXV0aG9yPjxhdXRo
b3I+QnVubmVsbCwgUi48L2F1dGhvcj48YXV0aG9yPkJsdXRjaGVyLU5lbHNvbiwgRy48L2F1dGhv
cj48YXV0aG9yPktvc2VuLCBTLjwvYXV0aG9yPjxhdXRob3I+VGVlLCBHLiBILjwvYXV0aG9yPjxh
dXRob3I+QWJkYWxsYSwgQS4gTS48L2F1dGhvcj48YXV0aG9yPk11dGF3YSwgSy4gQS48L2F1dGhv
cj48YXV0aG9yPkJhcmJvdW5pLCBBLjwvYXV0aG9yPjxhdXRob3I+QW50b25pYWRvdSwgRS48L2F1
dGhvcj48YXV0aG9yPkZvdWFkLCBILjwvYXV0aG9yPjxhdXRob3I+S2hvdXJ5LCBSLiBOLjwvYXV0
aG9yPjxhdXRob3I+UmFyaWNrLCBKLjwvYXV0aG9yPjxhdXRob3I+U2luaGEsIEQuIE4uPC9hdXRo
b3I+PGF1dGhvcj5Bc21hLCBTLjwvYXV0aG9yPjwvYXV0aG9ycz48L2NvbnRyaWJ1dG9ycz48YXV0
aC1hZGRyZXNzPkdsb2JhbCBUb2JhY2NvIENvbnRyb2wgQnJhbmNoLCBPZmZpY2Ugb24gU21va2lu
ZyBhbmQgSGVhbHRoLCBOYXRpb25hbCBDZW50ZXIgZm9yIENocm9uaWMgRGlzZWFzZSBQcmV2ZW50
aW9uIGFuZCBIZWFsdGggUHJvbW90aW9uLCBDREMsIEF0bGFudGEsIEdBOyBnb3U4QGNkYy5nb3Yu
JiN4RDtHbG9iYWwgVG9iYWNjbyBDb250cm9sIEJyYW5jaCwgT2ZmaWNlIG9uIFNtb2tpbmcgYW5k
IEhlYWx0aCwgTmF0aW9uYWwgQ2VudGVyIGZvciBDaHJvbmljIERpc2Vhc2UgUHJldmVudGlvbiBh
bmQgSGVhbHRoIFByb21vdGlvbiwgQ0RDLCBBdGxhbnRhLCBHQTsmI3hEO09mZmljZSBvZiBTbW9r
aW5nIGFuZCBIZWFsdGgsIE5DQ0RQSFAsIENEQywgQXRsYW50YSwgR0E7JiN4RDtOYXRpb25hbCBJ
bnN0aXR1dGUgb2YgSGVhbHRoIFJlc2VhcmNoIGFuZCBEZXZlbG9wbWVudCwgTWluaXN0cnkgb2Yg
SGVhbHRoLCBSZXB1YmxpYyBvZiBJbmRvbmVzaWEsIEpha2FydGEsIEluZG9uZXNpYTsmI3hEO0lu
c3RpdHV0ZSBmb3IgUHVibGljIEhlYWx0aCwgTWluaXN0cnkgb2YgSGVhbHRoLCBNYWxheXNpYSwg
S3VhbGEgTHVtcHVyLCBNYWxheXNpYTsmI3hEO1B1YmxpYyBIZWFsdGggRGVwYXJ0bWVudCwgU3Vw
cmVtZSBDb3VuY2lsIG9mIEhlYWx0aCwgRG9oYSwgUWF0YXI7JiN4RDtEZXBhcnRtZW50IG9mIFB1
YmxpYyBIZWFsdGgsIE5hdGlvbmFsIFNjaG9vbCBvZiBQdWJsaWMgSGVhbHRoLCBBdGhlbnMsIEdy
ZWVjZTsmI3hEO1JlZ2lvbmFsIE9mZmljZSBmb3IgdGhlIEVhc3Rlcm4gTWVkaXRlcnJhbmVhbiwg
V29ybGQgSGVhbHRoIE9yZ2FuaXphdGlvbiwgQ2Fpcm8sIEVneXB0OyYjeEQ7UmVnaW9uYWwgT2Zm
aWNlIGZvciBFdXJvcGUsIFdvcmxkIEhlYWx0aCBPcmdhbml6YXRpb24sIENvcGVuaGFnZW4sIERl
bm1hcms7JiN4RDtXZXN0ZXJuIFBhY2lmaWMgUmVnaW9uYWwgT2ZmaWNlLCBXb3JsZCBIZWFsdGgg
T3JnYW5pemF0aW9uLCBNYW5pbGEsIFBoaWxpcHBpbmVzOyYjeEQ7U291dGgtRWFzdCBBc2lhIFJl
Z2lvbmFsIE9mZmljZSwgV29ybGQgSGVhbHRoIE9yZ2FuaXphdGlvbiwgTmV3IERlbGhpLCBJbmRp
YS48L2F1dGgtYWRkcmVzcz48dGl0bGVzPjx0aXRsZT5Bd2FyZW5lc3MgYW5kIEN1cnJlbnQgVXNl
IG9mIEVsZWN0cm9uaWMgQ2lnYXJldHRlcyBpbiBJbmRvbmVzaWEsIE1hbGF5c2lhLCBRYXRhciwg
YW5kIEdyZWVjZTogRmluZGluZ3MgRnJvbSAyMDExLTIwMTMgR2xvYmFsIEFkdWx0IFRvYmFjY28g
U3VydmV5czwvdGl0bGU+PHNlY29uZGFyeS10aXRsZT5OaWNvdGluZSBUb2IgUmVzPC9zZWNvbmRh
cnktdGl0bGU+PGFsdC10aXRsZT5OaWNvdGluZSAmYW1wOyB0b2JhY2NvIHJlc2VhcmNoIDogb2Zm
aWNpYWwgam91cm5hbCBvZiB0aGUgU29jaWV0eSBmb3IgUmVzZWFyY2ggb24gTmljb3RpbmUgYW5k
IFRvYmFjY288L2FsdC10aXRsZT48L3RpdGxlcz48cGVyaW9kaWNhbD48ZnVsbC10aXRsZT5OaWNv
dGluZSBUb2IgUmVzPC9mdWxsLXRpdGxlPjxhYmJyLTE+Tmljb3RpbmUgJmFtcDsgdG9iYWNjbyBy
ZXNlYXJjaCA6IG9mZmljaWFsIGpvdXJuYWwgb2YgdGhlIFNvY2lldHkgZm9yIFJlc2VhcmNoIG9u
IE5pY290aW5lIGFuZCBUb2JhY2NvPC9hYmJyLTE+PC9wZXJpb2RpY2FsPjxhbHQtcGVyaW9kaWNh
bD48ZnVsbC10aXRsZT5OaWNvdGluZSBUb2IgUmVzPC9mdWxsLXRpdGxlPjxhYmJyLTE+Tmljb3Rp
bmUgJmFtcDsgdG9iYWNjbyByZXNlYXJjaCA6IG9mZmljaWFsIGpvdXJuYWwgb2YgdGhlIFNvY2ll
dHkgZm9yIFJlc2VhcmNoIG9uIE5pY290aW5lIGFuZCBUb2JhY2NvPC9hYmJyLTE+PC9hbHQtcGVy
aW9kaWNhbD48cGFnZXM+NTAxLTc8L3BhZ2VzPjx2b2x1bWU+MTg8L3ZvbHVtZT48bnVtYmVyPjQ8
L251bWJlcj48ZWRpdGlvbj4yMDE1LzA0LzIyPC9lZGl0aW9uPjxrZXl3b3Jkcz48a2V5d29yZD5B
ZG9sZXNjZW50PC9rZXl3b3JkPjxrZXl3b3JkPkFkdWx0PC9rZXl3b3JkPjxrZXl3b3JkPkFnZWQ8
L2tleXdvcmQ+PGtleXdvcmQ+KkF3YXJlbmVzczwva2V5d29yZD48a2V5d29yZD5FbGVjdHJvbmlj
IE5pY290aW5lIERlbGl2ZXJ5IFN5c3RlbXMvKnRyZW5kcy91dGlsaXphdGlvbjwva2V5d29yZD48
a2V5d29yZD5GZW1hbGU8L2tleXdvcmQ+PGtleXdvcmQ+R3JlZWNlL2VwaWRlbWlvbG9neTwva2V5
d29yZD48a2V5d29yZD5IdW1hbnM8L2tleXdvcmQ+PGtleXdvcmQ+SW5kb25lc2lhL2VwaWRlbWlv
bG9neTwva2V5d29yZD48a2V5d29yZD5NYWxheXNpYS9lcGlkZW1pb2xvZ3k8L2tleXdvcmQ+PGtl
eXdvcmQ+TWFsZTwva2V5d29yZD48a2V5d29yZD5NaWRkbGUgQWdlZDwva2V5d29yZD48a2V5d29y
ZD5QdWJsaWMgSGVhbHRoL3RyZW5kczwva2V5d29yZD48a2V5d29yZD5RYXRhci9lcGlkZW1pb2xv
Z3k8L2tleXdvcmQ+PGtleXdvcmQ+U21va2luZy8qZXBpZGVtaW9sb2d5Lyp0cmVuZHM8L2tleXdv
cmQ+PGtleXdvcmQ+KlN1cnZleXMgYW5kIFF1ZXN0aW9ubmFpcmVzPC9rZXl3b3JkPjxrZXl3b3Jk
PlRvYmFjY288L2tleXdvcmQ+PGtleXdvcmQ+VG9iYWNjbyBVc2UgRGlzb3JkZXIvZGlhZ25vc2lz
L2VwaWRlbWlvbG9neTwva2V5d29yZD48a2V5d29yZD5Zb3VuZyBBZHVsdDwva2V5d29yZD48L2tl
eXdvcmRzPjxkYXRlcz48eWVhcj4yMDE2PC95ZWFyPjxwdWItZGF0ZXM+PGRhdGU+QXByPC9kYXRl
PjwvcHViLWRhdGVzPjwvZGF0ZXM+PGlzYm4+MTQ2Mi0yMjAzPC9pc2JuPjxhY2Nlc3Npb24tbnVt
PjI1ODk1OTUxPC9hY2Nlc3Npb24tbnVtPjx1cmxzPjwvdXJscz48Y3VzdG9tMj5QTUM1MTAwODIw
PC9jdXN0b20yPjxjdXN0b202Pk5JSE1TODI2NzkxPC9jdXN0b202PjxlbGVjdHJvbmljLXJlc291
cmNlLW51bT4xMC4xMDkzL250ci9udHYwODE8L2VsZWN0cm9uaWMtcmVzb3VyY2UtbnVtPjxyZW1v
dGUtZGF0YWJhc2UtcHJvdmlkZXI+TkxNPC9yZW1vdGUtZGF0YWJhc2UtcHJvdmlkZXI+PGxhbmd1
YWdlPmVuZzwvbGFuZ3VhZ2U+PC9yZWNvcmQ+PC9DaXRlPjwvRW5kTm90ZT5=
</w:fldData>
              </w:fldChar>
            </w:r>
            <w:r w:rsidR="00903735">
              <w:rPr>
                <w:rFonts w:eastAsia="Times New Roman" w:cs="Calibri"/>
                <w:sz w:val="16"/>
                <w:szCs w:val="16"/>
              </w:rPr>
              <w:instrText xml:space="preserve"> ADDIN EN.CITE.DATA </w:instrText>
            </w:r>
            <w:r w:rsidR="00903735">
              <w:rPr>
                <w:rFonts w:eastAsia="Times New Roman" w:cs="Calibri"/>
                <w:sz w:val="16"/>
                <w:szCs w:val="16"/>
              </w:rPr>
            </w:r>
            <w:r w:rsidR="00903735">
              <w:rPr>
                <w:rFonts w:eastAsia="Times New Roman" w:cs="Calibri"/>
                <w:sz w:val="16"/>
                <w:szCs w:val="16"/>
              </w:rPr>
              <w:fldChar w:fldCharType="end"/>
            </w:r>
            <w:r w:rsidRPr="00A743C9">
              <w:rPr>
                <w:rFonts w:eastAsia="Times New Roman" w:cs="Calibri"/>
                <w:sz w:val="16"/>
                <w:szCs w:val="16"/>
              </w:rPr>
            </w:r>
            <w:r w:rsidRPr="00A743C9">
              <w:rPr>
                <w:rFonts w:eastAsia="Times New Roman" w:cs="Calibri"/>
                <w:sz w:val="16"/>
                <w:szCs w:val="16"/>
              </w:rPr>
              <w:fldChar w:fldCharType="separate"/>
            </w:r>
            <w:r w:rsidRPr="00A743C9">
              <w:rPr>
                <w:rFonts w:eastAsia="Times New Roman" w:cs="Calibri"/>
                <w:noProof/>
                <w:sz w:val="16"/>
                <w:szCs w:val="16"/>
              </w:rPr>
              <w:t>(Palipudi, Mbulo et al. 2016)</w:t>
            </w:r>
            <w:r w:rsidRPr="00A743C9">
              <w:rPr>
                <w:rFonts w:eastAsia="Times New Roman" w:cs="Calibri"/>
                <w:sz w:val="16"/>
                <w:szCs w:val="16"/>
              </w:rPr>
              <w:fldChar w:fldCharType="end"/>
            </w:r>
          </w:p>
        </w:tc>
        <w:tc>
          <w:tcPr>
            <w:tcW w:w="1304" w:type="dxa"/>
            <w:tcBorders>
              <w:left w:val="single" w:sz="4" w:space="0" w:color="auto"/>
              <w:bottom w:val="nil"/>
              <w:right w:val="single" w:sz="4" w:space="0" w:color="auto"/>
            </w:tcBorders>
            <w:noWrap/>
            <w:hideMark/>
          </w:tcPr>
          <w:p w14:paraId="613B3F7F"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2013</w:t>
            </w:r>
          </w:p>
        </w:tc>
        <w:tc>
          <w:tcPr>
            <w:tcW w:w="1650" w:type="dxa"/>
            <w:tcBorders>
              <w:left w:val="single" w:sz="4" w:space="0" w:color="auto"/>
              <w:bottom w:val="nil"/>
            </w:tcBorders>
            <w:noWrap/>
            <w:hideMark/>
          </w:tcPr>
          <w:p w14:paraId="38FFCA85"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0.9</w:t>
            </w:r>
          </w:p>
        </w:tc>
        <w:tc>
          <w:tcPr>
            <w:tcW w:w="1154" w:type="dxa"/>
            <w:tcBorders>
              <w:bottom w:val="nil"/>
              <w:right w:val="single" w:sz="4" w:space="0" w:color="auto"/>
            </w:tcBorders>
            <w:noWrap/>
            <w:hideMark/>
          </w:tcPr>
          <w:p w14:paraId="480932EC"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p>
        </w:tc>
        <w:tc>
          <w:tcPr>
            <w:tcW w:w="1187" w:type="dxa"/>
            <w:tcBorders>
              <w:left w:val="single" w:sz="4" w:space="0" w:color="auto"/>
              <w:bottom w:val="nil"/>
            </w:tcBorders>
            <w:noWrap/>
            <w:hideMark/>
          </w:tcPr>
          <w:p w14:paraId="23F36313"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20.2</w:t>
            </w:r>
          </w:p>
        </w:tc>
        <w:tc>
          <w:tcPr>
            <w:tcW w:w="1531" w:type="dxa"/>
            <w:tcBorders>
              <w:bottom w:val="nil"/>
              <w:right w:val="single" w:sz="4" w:space="0" w:color="auto"/>
            </w:tcBorders>
            <w:noWrap/>
            <w:hideMark/>
          </w:tcPr>
          <w:p w14:paraId="4B2C937D"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3.1</w:t>
            </w:r>
          </w:p>
        </w:tc>
      </w:tr>
      <w:tr w:rsidR="00B86BF1" w:rsidRPr="00A743C9" w14:paraId="25A13AF7" w14:textId="77777777" w:rsidTr="000376C7">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003" w:type="dxa"/>
            <w:tcBorders>
              <w:left w:val="single" w:sz="4" w:space="0" w:color="auto"/>
              <w:bottom w:val="nil"/>
              <w:right w:val="single" w:sz="4" w:space="0" w:color="auto"/>
            </w:tcBorders>
            <w:noWrap/>
            <w:hideMark/>
          </w:tcPr>
          <w:p w14:paraId="40483F87" w14:textId="77777777" w:rsidR="00B86BF1" w:rsidRPr="00A743C9" w:rsidRDefault="00B86BF1" w:rsidP="00903735">
            <w:pPr>
              <w:spacing w:after="0"/>
              <w:rPr>
                <w:rFonts w:eastAsia="Times New Roman" w:cs="Calibri"/>
                <w:sz w:val="16"/>
                <w:szCs w:val="16"/>
              </w:rPr>
            </w:pPr>
            <w:r w:rsidRPr="00A743C9">
              <w:rPr>
                <w:rFonts w:eastAsia="Times New Roman" w:cs="Calibri"/>
                <w:sz w:val="16"/>
                <w:szCs w:val="16"/>
              </w:rPr>
              <w:t xml:space="preserve">Republic of Cyprus </w:t>
            </w:r>
            <w:r w:rsidRPr="00A743C9">
              <w:rPr>
                <w:rFonts w:eastAsia="Times New Roman" w:cs="Calibri"/>
                <w:sz w:val="16"/>
                <w:szCs w:val="16"/>
              </w:rPr>
              <w:fldChar w:fldCharType="begin"/>
            </w:r>
            <w:r w:rsidR="00903735">
              <w:rPr>
                <w:rFonts w:eastAsia="Times New Roman" w:cs="Calibri"/>
                <w:sz w:val="16"/>
                <w:szCs w:val="16"/>
              </w:rPr>
              <w:instrText xml:space="preserve"> ADDIN EN.CITE &lt;EndNote&gt;&lt;Cite&gt;&lt;Author&gt;European Commission&lt;/Author&gt;&lt;Year&gt;2017&lt;/Year&gt;&lt;RecNum&gt;13438&lt;/RecNum&gt;&lt;DisplayText&gt;(European Commission 2017)&lt;/DisplayText&gt;&lt;record&gt;&lt;rec-number&gt;13438&lt;/rec-number&gt;&lt;foreign-keys&gt;&lt;key app="EN" db-id="5xv5w5t2bdxtxfezx02xtxdft5rz5ptvvt29" timestamp="1527209032"&gt;13438&lt;/key&gt;&lt;/foreign-keys&gt;&lt;ref-type name="Web Page"&gt;12&lt;/ref-type&gt;&lt;contributors&gt;&lt;authors&gt;&lt;author&gt;European Commission,&lt;/author&gt;&lt;/authors&gt;&lt;/contributors&gt;&lt;titles&gt;&lt;title&gt;Attitudes of Europeans towards tobacco and electronic cigarettes&lt;/title&gt;&lt;/titles&gt;&lt;volume&gt;2018&lt;/volume&gt;&lt;number&gt;18.05.2018&lt;/number&gt;&lt;dates&gt;&lt;year&gt;2017&lt;/year&gt;&lt;/dates&gt;&lt;publisher&gt;European Commission&lt;/publisher&gt;&lt;urls&gt;&lt;related-urls&gt;&lt;url&gt;http://ec.europa.eu/commfrontoffice/publicopinion/index.cfm/Survey/getSurveyDetail/instruments/SPECIAL/yearFrom/2016/yearTo/2018/surveyKy/2146&lt;/url&gt;&lt;/related-urls&gt;&lt;/urls&gt;&lt;/record&gt;&lt;/Cite&gt;&lt;/EndNote&gt;</w:instrText>
            </w:r>
            <w:r w:rsidRPr="00A743C9">
              <w:rPr>
                <w:rFonts w:eastAsia="Times New Roman" w:cs="Calibri"/>
                <w:sz w:val="16"/>
                <w:szCs w:val="16"/>
              </w:rPr>
              <w:fldChar w:fldCharType="separate"/>
            </w:r>
            <w:r w:rsidRPr="00A743C9">
              <w:rPr>
                <w:rFonts w:eastAsia="Times New Roman" w:cs="Calibri"/>
                <w:noProof/>
                <w:sz w:val="16"/>
                <w:szCs w:val="16"/>
              </w:rPr>
              <w:t>(European Commission 2017)</w:t>
            </w:r>
            <w:r w:rsidRPr="00A743C9">
              <w:rPr>
                <w:rFonts w:eastAsia="Times New Roman" w:cs="Calibri"/>
                <w:sz w:val="16"/>
                <w:szCs w:val="16"/>
              </w:rPr>
              <w:fldChar w:fldCharType="end"/>
            </w:r>
          </w:p>
        </w:tc>
        <w:tc>
          <w:tcPr>
            <w:tcW w:w="1304" w:type="dxa"/>
            <w:tcBorders>
              <w:left w:val="single" w:sz="4" w:space="0" w:color="auto"/>
              <w:bottom w:val="nil"/>
              <w:right w:val="single" w:sz="4" w:space="0" w:color="auto"/>
            </w:tcBorders>
            <w:noWrap/>
            <w:hideMark/>
          </w:tcPr>
          <w:p w14:paraId="2EB9F017"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2014</w:t>
            </w:r>
          </w:p>
        </w:tc>
        <w:tc>
          <w:tcPr>
            <w:tcW w:w="1650" w:type="dxa"/>
            <w:tcBorders>
              <w:left w:val="single" w:sz="4" w:space="0" w:color="auto"/>
              <w:bottom w:val="nil"/>
            </w:tcBorders>
            <w:noWrap/>
            <w:hideMark/>
          </w:tcPr>
          <w:p w14:paraId="2E3C783A"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3</w:t>
            </w:r>
          </w:p>
        </w:tc>
        <w:tc>
          <w:tcPr>
            <w:tcW w:w="1154" w:type="dxa"/>
            <w:tcBorders>
              <w:bottom w:val="nil"/>
              <w:right w:val="single" w:sz="4" w:space="0" w:color="auto"/>
            </w:tcBorders>
            <w:noWrap/>
            <w:hideMark/>
          </w:tcPr>
          <w:p w14:paraId="60DD02B0"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21</w:t>
            </w:r>
          </w:p>
        </w:tc>
        <w:tc>
          <w:tcPr>
            <w:tcW w:w="1187" w:type="dxa"/>
            <w:tcBorders>
              <w:left w:val="single" w:sz="4" w:space="0" w:color="auto"/>
              <w:bottom w:val="nil"/>
            </w:tcBorders>
            <w:noWrap/>
            <w:hideMark/>
          </w:tcPr>
          <w:p w14:paraId="19BD0DEE"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43.9</w:t>
            </w:r>
          </w:p>
        </w:tc>
        <w:tc>
          <w:tcPr>
            <w:tcW w:w="1531" w:type="dxa"/>
            <w:tcBorders>
              <w:bottom w:val="nil"/>
              <w:right w:val="single" w:sz="4" w:space="0" w:color="auto"/>
            </w:tcBorders>
            <w:noWrap/>
            <w:hideMark/>
          </w:tcPr>
          <w:p w14:paraId="04CC1DD6"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16.9</w:t>
            </w:r>
          </w:p>
        </w:tc>
      </w:tr>
      <w:tr w:rsidR="00B86BF1" w:rsidRPr="00A743C9" w14:paraId="709246C2" w14:textId="77777777" w:rsidTr="000376C7">
        <w:trPr>
          <w:trHeight w:val="287"/>
        </w:trPr>
        <w:tc>
          <w:tcPr>
            <w:cnfStyle w:val="001000000000" w:firstRow="0" w:lastRow="0" w:firstColumn="1" w:lastColumn="0" w:oddVBand="0" w:evenVBand="0" w:oddHBand="0" w:evenHBand="0" w:firstRowFirstColumn="0" w:firstRowLastColumn="0" w:lastRowFirstColumn="0" w:lastRowLastColumn="0"/>
            <w:tcW w:w="3003" w:type="dxa"/>
            <w:tcBorders>
              <w:left w:val="single" w:sz="4" w:space="0" w:color="auto"/>
              <w:bottom w:val="nil"/>
              <w:right w:val="single" w:sz="4" w:space="0" w:color="auto"/>
            </w:tcBorders>
            <w:noWrap/>
            <w:hideMark/>
          </w:tcPr>
          <w:p w14:paraId="355FCD41" w14:textId="77777777" w:rsidR="00B86BF1" w:rsidRPr="00A743C9" w:rsidRDefault="00B86BF1" w:rsidP="00903735">
            <w:pPr>
              <w:spacing w:after="0"/>
              <w:rPr>
                <w:rFonts w:eastAsia="Times New Roman" w:cs="Calibri"/>
                <w:sz w:val="16"/>
                <w:szCs w:val="16"/>
              </w:rPr>
            </w:pPr>
            <w:r w:rsidRPr="00A743C9">
              <w:rPr>
                <w:rFonts w:eastAsia="Times New Roman" w:cs="Calibri"/>
                <w:sz w:val="16"/>
                <w:szCs w:val="16"/>
              </w:rPr>
              <w:t xml:space="preserve">Romania </w:t>
            </w:r>
            <w:r w:rsidRPr="00A743C9">
              <w:rPr>
                <w:rFonts w:eastAsia="Times New Roman" w:cs="Calibri"/>
                <w:sz w:val="16"/>
                <w:szCs w:val="16"/>
              </w:rPr>
              <w:fldChar w:fldCharType="begin"/>
            </w:r>
            <w:r w:rsidR="00903735">
              <w:rPr>
                <w:rFonts w:eastAsia="Times New Roman" w:cs="Calibri"/>
                <w:sz w:val="16"/>
                <w:szCs w:val="16"/>
              </w:rPr>
              <w:instrText xml:space="preserve"> ADDIN EN.CITE &lt;EndNote&gt;&lt;Cite&gt;&lt;Author&gt;European Commission&lt;/Author&gt;&lt;Year&gt;2017&lt;/Year&gt;&lt;RecNum&gt;13438&lt;/RecNum&gt;&lt;DisplayText&gt;(European Commission 2017)&lt;/DisplayText&gt;&lt;record&gt;&lt;rec-number&gt;13438&lt;/rec-number&gt;&lt;foreign-keys&gt;&lt;key app="EN" db-id="5xv5w5t2bdxtxfezx02xtxdft5rz5ptvvt29" timestamp="1527209032"&gt;13438&lt;/key&gt;&lt;/foreign-keys&gt;&lt;ref-type name="Web Page"&gt;12&lt;/ref-type&gt;&lt;contributors&gt;&lt;authors&gt;&lt;author&gt;European Commission,&lt;/author&gt;&lt;/authors&gt;&lt;/contributors&gt;&lt;titles&gt;&lt;title&gt;Attitudes of Europeans towards tobacco and electronic cigarettes&lt;/title&gt;&lt;/titles&gt;&lt;volume&gt;2018&lt;/volume&gt;&lt;number&gt;18.05.2018&lt;/number&gt;&lt;dates&gt;&lt;year&gt;2017&lt;/year&gt;&lt;/dates&gt;&lt;publisher&gt;European Commission&lt;/publisher&gt;&lt;urls&gt;&lt;related-urls&gt;&lt;url&gt;http://ec.europa.eu/commfrontoffice/publicopinion/index.cfm/Survey/getSurveyDetail/instruments/SPECIAL/yearFrom/2016/yearTo/2018/surveyKy/2146&lt;/url&gt;&lt;/related-urls&gt;&lt;/urls&gt;&lt;/record&gt;&lt;/Cite&gt;&lt;/EndNote&gt;</w:instrText>
            </w:r>
            <w:r w:rsidRPr="00A743C9">
              <w:rPr>
                <w:rFonts w:eastAsia="Times New Roman" w:cs="Calibri"/>
                <w:sz w:val="16"/>
                <w:szCs w:val="16"/>
              </w:rPr>
              <w:fldChar w:fldCharType="separate"/>
            </w:r>
            <w:r w:rsidRPr="00A743C9">
              <w:rPr>
                <w:rFonts w:eastAsia="Times New Roman" w:cs="Calibri"/>
                <w:noProof/>
                <w:sz w:val="16"/>
                <w:szCs w:val="16"/>
              </w:rPr>
              <w:t>(European Commission 2017)</w:t>
            </w:r>
            <w:r w:rsidRPr="00A743C9">
              <w:rPr>
                <w:rFonts w:eastAsia="Times New Roman" w:cs="Calibri"/>
                <w:sz w:val="16"/>
                <w:szCs w:val="16"/>
              </w:rPr>
              <w:fldChar w:fldCharType="end"/>
            </w:r>
          </w:p>
        </w:tc>
        <w:tc>
          <w:tcPr>
            <w:tcW w:w="1304" w:type="dxa"/>
            <w:tcBorders>
              <w:left w:val="single" w:sz="4" w:space="0" w:color="auto"/>
              <w:bottom w:val="nil"/>
              <w:right w:val="single" w:sz="4" w:space="0" w:color="auto"/>
            </w:tcBorders>
            <w:noWrap/>
            <w:hideMark/>
          </w:tcPr>
          <w:p w14:paraId="375200F1"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2014</w:t>
            </w:r>
          </w:p>
        </w:tc>
        <w:tc>
          <w:tcPr>
            <w:tcW w:w="1650" w:type="dxa"/>
            <w:tcBorders>
              <w:left w:val="single" w:sz="4" w:space="0" w:color="auto"/>
              <w:bottom w:val="nil"/>
            </w:tcBorders>
            <w:noWrap/>
            <w:hideMark/>
          </w:tcPr>
          <w:p w14:paraId="5FFAFE95"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0</w:t>
            </w:r>
          </w:p>
        </w:tc>
        <w:tc>
          <w:tcPr>
            <w:tcW w:w="1154" w:type="dxa"/>
            <w:tcBorders>
              <w:bottom w:val="nil"/>
              <w:right w:val="single" w:sz="4" w:space="0" w:color="auto"/>
            </w:tcBorders>
            <w:noWrap/>
            <w:hideMark/>
          </w:tcPr>
          <w:p w14:paraId="3B057C96"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9</w:t>
            </w:r>
          </w:p>
        </w:tc>
        <w:tc>
          <w:tcPr>
            <w:tcW w:w="1187" w:type="dxa"/>
            <w:tcBorders>
              <w:left w:val="single" w:sz="4" w:space="0" w:color="auto"/>
              <w:bottom w:val="nil"/>
            </w:tcBorders>
            <w:noWrap/>
            <w:hideMark/>
          </w:tcPr>
          <w:p w14:paraId="5C8953E4"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36.9</w:t>
            </w:r>
          </w:p>
        </w:tc>
        <w:tc>
          <w:tcPr>
            <w:tcW w:w="1531" w:type="dxa"/>
            <w:tcBorders>
              <w:bottom w:val="nil"/>
              <w:right w:val="single" w:sz="4" w:space="0" w:color="auto"/>
            </w:tcBorders>
            <w:noWrap/>
            <w:hideMark/>
          </w:tcPr>
          <w:p w14:paraId="1B644405"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22.7</w:t>
            </w:r>
          </w:p>
        </w:tc>
      </w:tr>
      <w:tr w:rsidR="00B86BF1" w:rsidRPr="00A743C9" w14:paraId="0F11C527" w14:textId="77777777" w:rsidTr="000376C7">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003" w:type="dxa"/>
            <w:tcBorders>
              <w:left w:val="single" w:sz="4" w:space="0" w:color="auto"/>
              <w:bottom w:val="nil"/>
              <w:right w:val="single" w:sz="4" w:space="0" w:color="auto"/>
            </w:tcBorders>
            <w:noWrap/>
            <w:hideMark/>
          </w:tcPr>
          <w:p w14:paraId="36B1839A" w14:textId="77777777" w:rsidR="00B86BF1" w:rsidRPr="00A743C9" w:rsidRDefault="00B86BF1" w:rsidP="000376C7">
            <w:pPr>
              <w:spacing w:after="0"/>
              <w:rPr>
                <w:rFonts w:eastAsia="Times New Roman" w:cs="Calibri"/>
                <w:sz w:val="16"/>
                <w:szCs w:val="16"/>
              </w:rPr>
            </w:pPr>
            <w:r w:rsidRPr="00A743C9">
              <w:rPr>
                <w:rFonts w:eastAsia="Times New Roman" w:cs="Calibri"/>
                <w:sz w:val="16"/>
                <w:szCs w:val="16"/>
              </w:rPr>
              <w:t xml:space="preserve">Russia </w:t>
            </w:r>
            <w:r w:rsidRPr="00A743C9">
              <w:rPr>
                <w:rFonts w:eastAsia="Times New Roman" w:cs="Calibri"/>
                <w:sz w:val="16"/>
                <w:szCs w:val="16"/>
              </w:rPr>
              <w:fldChar w:fldCharType="begin"/>
            </w:r>
            <w:r w:rsidRPr="00A743C9">
              <w:rPr>
                <w:rFonts w:eastAsia="Times New Roman" w:cs="Calibri"/>
                <w:sz w:val="16"/>
                <w:szCs w:val="16"/>
              </w:rPr>
              <w:instrText xml:space="preserve"> ADDIN EN.CITE &lt;EndNote&gt;&lt;Cite&gt;&lt;Author&gt;Young&lt;/Author&gt;&lt;Year&gt;2016&lt;/Year&gt;&lt;RecNum&gt;9742&lt;/RecNum&gt;&lt;DisplayText&gt;(Ernst &amp;amp; Young 2016)&lt;/DisplayText&gt;&lt;record&gt;&lt;rec-number&gt;9742&lt;/rec-number&gt;&lt;foreign-keys&gt;&lt;key app="EN" db-id="9z05dz0praadfuee0zoxzedk9zfe5fxx50z5" timestamp="1526532124"&gt;9742&lt;/key&gt;&lt;/foreign-keys&gt;&lt;ref-type name="Report"&gt;27&lt;/ref-type&gt;&lt;contributors&gt;&lt;authors&gt;&lt;author&gt;Ernst &amp;amp; Young,&lt;/author&gt;&lt;/authors&gt;&lt;tertiary-authors&gt;&lt;author&gt;Ernst &amp;amp; Young&lt;/author&gt;&lt;/tertiary-authors&gt;&lt;/contributors&gt;&lt;titles&gt;&lt;title&gt;E-cigarettes: an emerging category&lt;/title&gt;&lt;/titles&gt;&lt;pages&gt;4&lt;/pages&gt;&lt;dates&gt;&lt;year&gt;2016&lt;/year&gt;&lt;/dates&gt;&lt;pub-location&gt;London, UK&lt;/pub-location&gt;&lt;publisher&gt;Ernst &amp;amp; Young&lt;/publisher&gt;&lt;urls&gt;&lt;related-urls&gt;&lt;url&gt;http://www.ey.com/Publication/vwLUAssets/E-cigarettes-an-emerging-category/$FILE/EY-E-Cigarette-report.pdf&lt;/url&gt;&lt;/related-urls&gt;&lt;/urls&gt;&lt;/record&gt;&lt;/Cite&gt;&lt;/EndNote&gt;</w:instrText>
            </w:r>
            <w:r w:rsidRPr="00A743C9">
              <w:rPr>
                <w:rFonts w:eastAsia="Times New Roman" w:cs="Calibri"/>
                <w:sz w:val="16"/>
                <w:szCs w:val="16"/>
              </w:rPr>
              <w:fldChar w:fldCharType="separate"/>
            </w:r>
            <w:r w:rsidRPr="00A743C9">
              <w:rPr>
                <w:rFonts w:eastAsia="Times New Roman" w:cs="Calibri"/>
                <w:noProof/>
                <w:sz w:val="16"/>
                <w:szCs w:val="16"/>
              </w:rPr>
              <w:t>(Ernst &amp; Young 2016)</w:t>
            </w:r>
            <w:r w:rsidRPr="00A743C9">
              <w:rPr>
                <w:rFonts w:eastAsia="Times New Roman" w:cs="Calibri"/>
                <w:sz w:val="16"/>
                <w:szCs w:val="16"/>
              </w:rPr>
              <w:fldChar w:fldCharType="end"/>
            </w:r>
          </w:p>
        </w:tc>
        <w:tc>
          <w:tcPr>
            <w:tcW w:w="1304" w:type="dxa"/>
            <w:tcBorders>
              <w:left w:val="single" w:sz="4" w:space="0" w:color="auto"/>
              <w:bottom w:val="nil"/>
              <w:right w:val="single" w:sz="4" w:space="0" w:color="auto"/>
            </w:tcBorders>
            <w:noWrap/>
            <w:hideMark/>
          </w:tcPr>
          <w:p w14:paraId="53127FFD"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2013</w:t>
            </w:r>
            <w:r w:rsidRPr="00A743C9">
              <w:rPr>
                <w:rFonts w:eastAsia="Times New Roman" w:cs="Calibri"/>
                <w:sz w:val="16"/>
                <w:szCs w:val="16"/>
              </w:rPr>
              <w:noBreakHyphen/>
              <w:t>15</w:t>
            </w:r>
          </w:p>
        </w:tc>
        <w:tc>
          <w:tcPr>
            <w:tcW w:w="1650" w:type="dxa"/>
            <w:tcBorders>
              <w:left w:val="single" w:sz="4" w:space="0" w:color="auto"/>
              <w:bottom w:val="nil"/>
            </w:tcBorders>
            <w:noWrap/>
            <w:hideMark/>
          </w:tcPr>
          <w:p w14:paraId="07C4ECF9"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w:t>
            </w:r>
          </w:p>
        </w:tc>
        <w:tc>
          <w:tcPr>
            <w:tcW w:w="1154" w:type="dxa"/>
            <w:tcBorders>
              <w:bottom w:val="nil"/>
              <w:right w:val="single" w:sz="4" w:space="0" w:color="auto"/>
            </w:tcBorders>
            <w:noWrap/>
            <w:hideMark/>
          </w:tcPr>
          <w:p w14:paraId="28C3BAB1"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p>
        </w:tc>
        <w:tc>
          <w:tcPr>
            <w:tcW w:w="1187" w:type="dxa"/>
            <w:tcBorders>
              <w:left w:val="single" w:sz="4" w:space="0" w:color="auto"/>
              <w:bottom w:val="nil"/>
            </w:tcBorders>
            <w:noWrap/>
            <w:hideMark/>
          </w:tcPr>
          <w:p w14:paraId="77DDCE8C"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59</w:t>
            </w:r>
          </w:p>
        </w:tc>
        <w:tc>
          <w:tcPr>
            <w:tcW w:w="1531" w:type="dxa"/>
            <w:tcBorders>
              <w:bottom w:val="nil"/>
              <w:right w:val="single" w:sz="4" w:space="0" w:color="auto"/>
            </w:tcBorders>
            <w:noWrap/>
            <w:hideMark/>
          </w:tcPr>
          <w:p w14:paraId="1349BE2F"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22.8</w:t>
            </w:r>
          </w:p>
        </w:tc>
      </w:tr>
      <w:tr w:rsidR="00B86BF1" w:rsidRPr="00A743C9" w14:paraId="460A375B" w14:textId="77777777" w:rsidTr="000376C7">
        <w:trPr>
          <w:trHeight w:val="287"/>
        </w:trPr>
        <w:tc>
          <w:tcPr>
            <w:cnfStyle w:val="001000000000" w:firstRow="0" w:lastRow="0" w:firstColumn="1" w:lastColumn="0" w:oddVBand="0" w:evenVBand="0" w:oddHBand="0" w:evenHBand="0" w:firstRowFirstColumn="0" w:firstRowLastColumn="0" w:lastRowFirstColumn="0" w:lastRowLastColumn="0"/>
            <w:tcW w:w="3003" w:type="dxa"/>
            <w:tcBorders>
              <w:left w:val="single" w:sz="4" w:space="0" w:color="auto"/>
              <w:bottom w:val="nil"/>
              <w:right w:val="single" w:sz="4" w:space="0" w:color="auto"/>
            </w:tcBorders>
            <w:noWrap/>
            <w:hideMark/>
          </w:tcPr>
          <w:p w14:paraId="37C525DC" w14:textId="77777777" w:rsidR="00B86BF1" w:rsidRPr="00A743C9" w:rsidRDefault="00B86BF1" w:rsidP="00903735">
            <w:pPr>
              <w:spacing w:after="0"/>
              <w:rPr>
                <w:rFonts w:eastAsia="Times New Roman" w:cs="Calibri"/>
                <w:sz w:val="16"/>
                <w:szCs w:val="16"/>
              </w:rPr>
            </w:pPr>
            <w:r w:rsidRPr="00A743C9">
              <w:rPr>
                <w:rFonts w:eastAsia="Times New Roman" w:cs="Calibri"/>
                <w:sz w:val="16"/>
                <w:szCs w:val="16"/>
              </w:rPr>
              <w:t xml:space="preserve">Serbia </w:t>
            </w:r>
            <w:r w:rsidRPr="00A743C9">
              <w:rPr>
                <w:rFonts w:eastAsia="Times New Roman" w:cs="Calibri"/>
                <w:sz w:val="16"/>
                <w:szCs w:val="16"/>
              </w:rPr>
              <w:fldChar w:fldCharType="begin">
                <w:fldData xml:space="preserve">PEVuZE5vdGU+PENpdGU+PEF1dGhvcj5LaWxpYmFyZGE8L0F1dGhvcj48WWVhcj4yMDE2PC9ZZWFy
PjxSZWNOdW0+MTM0MzE8L1JlY051bT48RGlzcGxheVRleHQ+KEtpbGliYXJkYSwgTXJhdmNpayBl
dCBhbC4gMjAxNik8L0Rpc3BsYXlUZXh0PjxyZWNvcmQ+PHJlYy1udW1iZXI+MTM0MzE8L3JlYy1u
dW1iZXI+PGZvcmVpZ24ta2V5cz48a2V5IGFwcD0iRU4iIGRiLWlkPSI1eHY1dzV0MmJkeHR4ZmV6
eDAyeHR4ZGZ0NXJ6NXB0dnZ0MjkiIHRpbWVzdGFtcD0iMTUyNzIwODgyNCI+MTM0MzE8L2tleT48
a2V5IGFwcD0iRU5XZWIiIGRiLWlkPSIiPjA8L2tleT48L2ZvcmVpZ24ta2V5cz48cmVmLXR5cGUg
bmFtZT0iSm91cm5hbCBBcnRpY2xlIj4xNzwvcmVmLXR5cGU+PGNvbnRyaWJ1dG9ycz48YXV0aG9y
cz48YXV0aG9yPktpbGliYXJkYSwgQi48L2F1dGhvcj48YXV0aG9yPk1yYXZjaWssIFYuPC9hdXRo
b3I+PGF1dGhvcj5NYXJ0ZW5zLCBNLiBTLjwvYXV0aG9yPjwvYXV0aG9ycz48L2NvbnRyaWJ1dG9y
cz48YXV0aC1hZGRyZXNzPkRlcGFydG1lbnQgb2YgQWRkaWN0b2xvZ3ksIEZpcnN0IEZhY3VsdHkg
b2YgTWVkaWNpbmUsIENoYXJsZXMgVW5pdmVyc2l0eSBpbiBQcmFndWUsIGFuZCBHZW5lcmFsIFVu
aXZlcnNpdHkgSG9zcGl0YWwgaW4gUHJhZ3VlLCBQcmFndWUsIEN6ZWNoIFJlcHVibGljLiBraWxp
YmFyZGFfYkB5YWhvby5jb20uJiN4RDtEZXBhcnRtZW50IG9mIEFkZGljdG9sb2d5LCBGaXJzdCBG
YWN1bHR5IG9mIE1lZGljaW5lLCBDaGFybGVzIFVuaXZlcnNpdHkgaW4gUHJhZ3VlLCBhbmQgR2Vu
ZXJhbCBVbml2ZXJzaXR5IEhvc3BpdGFsIGluIFByYWd1ZSwgUHJhZ3VlLCBDemVjaCBSZXB1Ymxp
Yy4mI3hEO05hdGlvbmFsIEluc3RpdHV0ZSBvZiBNZW50YWwgSGVhbHRoLCBQcmFndWUsIEN6ZWNo
IFJlcHVibGljLiYjeEQ7TmF0aW9uYWwgTW9uaXRvcmluZyBDZW50cmUgZm9yIERydWdzIGFuZCBB
ZGRpY3Rpb24sIE9mZmljZSBvZiBHb3Zlcm5tZW50IG9mIHRoZSBDemVjaCBSZXB1YmxpYywgUHJh
Z3VlLCBDemVjaCBSZXB1YmxpYy4mI3hEO1plbnRydW0gZnVyIEludGVyZGlzemlwbGluYXJlIFN1
Y2h0Zm9yc2NodW5nIGRlciBVbml2ZXJzaXRhdCBIYW1idXJnLCBLbGluaWsgZnVyIFBzeWNoaWF0
cmllIHVuZCBQc3ljaG90aGVyYXBpZSwgSGFtYnVyZywgR2VybWFueS48L2F1dGgtYWRkcmVzcz48
dGl0bGVzPjx0aXRsZT5FLWNpZ2FyZXR0ZSB1c2UgYW1vbmcgU2VyYmlhbiBhZHVsdHM6IHByZXZh
bGVuY2UgYW5kIHVzZXIgY2hhcmFjdGVyaXN0aWNzPC90aXRsZT48c2Vjb25kYXJ5LXRpdGxlPklu
dCBKIFB1YmxpYyBIZWFsdGg8L3NlY29uZGFyeS10aXRsZT48YWx0LXRpdGxlPkludGVybmF0aW9u
YWwgam91cm5hbCBvZiBwdWJsaWMgaGVhbHRoPC9hbHQtdGl0bGU+PC90aXRsZXM+PHBlcmlvZGlj
YWw+PGZ1bGwtdGl0bGU+SW50IEogUHVibGljIEhlYWx0aDwvZnVsbC10aXRsZT48YWJici0xPklu
dGVybmF0aW9uYWwgam91cm5hbCBvZiBwdWJsaWMgaGVhbHRoPC9hYmJyLTE+PC9wZXJpb2RpY2Fs
PjxhbHQtcGVyaW9kaWNhbD48ZnVsbC10aXRsZT5JbnQgSiBQdWJsaWMgSGVhbHRoPC9mdWxsLXRp
dGxlPjxhYmJyLTE+SW50ZXJuYXRpb25hbCBqb3VybmFsIG9mIHB1YmxpYyBoZWFsdGg8L2FiYnIt
MT48L2FsdC1wZXJpb2RpY2FsPjxwYWdlcz4xNjctNzU8L3BhZ2VzPjx2b2x1bWU+NjE8L3ZvbHVt
ZT48bnVtYmVyPjI8L251bWJlcj48ZWRpdGlvbj4yMDE2LzAxLzMxPC9lZGl0aW9uPjxrZXl3b3Jk
cz48a2V5d29yZD5BZG9sZXNjZW50PC9rZXl3b3JkPjxrZXl3b3JkPkFkdWx0PC9rZXl3b3JkPjxr
ZXl3b3JkPkNyb3NzLVNlY3Rpb25hbCBTdHVkaWVzPC9rZXl3b3JkPjxrZXl3b3JkPkVsZWN0cm9u
aWMgTmljb3RpbmUgRGVsaXZlcnkgU3lzdGVtcy8qc3RhdGlzdGljcyAmYW1wOyBudW1lcmljYWwg
ZGF0YTwva2V5d29yZD48a2V5d29yZD5GZW1hbGU8L2tleXdvcmQ+PGtleXdvcmQ+SHVtYW5zPC9r
ZXl3b3JkPjxrZXl3b3JkPk1hbGU8L2tleXdvcmQ+PGtleXdvcmQ+TWlkZGxlIEFnZWQ8L2tleXdv
cmQ+PGtleXdvcmQ+UHJldmFsZW5jZTwva2V5d29yZD48a2V5d29yZD5TZXJiaWEvZXBpZGVtaW9s
b2d5PC9rZXl3b3JkPjxrZXl3b3JkPlNtb2tpbmcvKmVwaWRlbWlvbG9neTwva2V5d29yZD48a2V5
d29yZD5TbW9raW5nIENlc3NhdGlvbi9zdGF0aXN0aWNzICZhbXA7IG51bWVyaWNhbCBkYXRhPC9r
ZXl3b3JkPjxrZXl3b3JkPlN1cnZleXMgYW5kIFF1ZXN0aW9ubmFpcmVzPC9rZXl3b3JkPjxrZXl3
b3JkPllvdW5nIEFkdWx0PC9rZXl3b3JkPjxrZXl3b3JkPkUtY2lnYXJldHRlPC9rZXl3b3JkPjxr
ZXl3b3JkPkVsZWN0cm9uaWMgY2lnYXJldHRlPC9rZXl3b3JkPjxrZXl3b3JkPlNvY2lvLWRlbW9n
cmFwaGljIGNvcnJlbGF0ZXM8L2tleXdvcmQ+PC9rZXl3b3Jkcz48ZGF0ZXM+PHllYXI+MjAxNjwv
eWVhcj48cHViLWRhdGVzPjxkYXRlPk1hcjwvZGF0ZT48L3B1Yi1kYXRlcz48L2RhdGVzPjxpc2Ju
PjE2NjEtODU1NjwvaXNibj48YWNjZXNzaW9uLW51bT4yNjgyNTQ1NjwvYWNjZXNzaW9uLW51bT48
dXJscz48L3VybHM+PGVsZWN0cm9uaWMtcmVzb3VyY2UtbnVtPjEwLjEwMDcvczAwMDM4LTAxNi0w
Nzg3LXk8L2VsZWN0cm9uaWMtcmVzb3VyY2UtbnVtPjxyZW1vdGUtZGF0YWJhc2UtcHJvdmlkZXI+
TkxNPC9yZW1vdGUtZGF0YWJhc2UtcHJvdmlkZXI+PGxhbmd1YWdlPmVuZzwvbGFuZ3VhZ2U+PC9y
ZWNvcmQ+PC9DaXRlPjwvRW5kTm90ZT4A
</w:fldData>
              </w:fldChar>
            </w:r>
            <w:r w:rsidR="00903735">
              <w:rPr>
                <w:rFonts w:eastAsia="Times New Roman" w:cs="Calibri"/>
                <w:sz w:val="16"/>
                <w:szCs w:val="16"/>
              </w:rPr>
              <w:instrText xml:space="preserve"> ADDIN EN.CITE </w:instrText>
            </w:r>
            <w:r w:rsidR="00903735">
              <w:rPr>
                <w:rFonts w:eastAsia="Times New Roman" w:cs="Calibri"/>
                <w:sz w:val="16"/>
                <w:szCs w:val="16"/>
              </w:rPr>
              <w:fldChar w:fldCharType="begin">
                <w:fldData xml:space="preserve">PEVuZE5vdGU+PENpdGU+PEF1dGhvcj5LaWxpYmFyZGE8L0F1dGhvcj48WWVhcj4yMDE2PC9ZZWFy
PjxSZWNOdW0+MTM0MzE8L1JlY051bT48RGlzcGxheVRleHQ+KEtpbGliYXJkYSwgTXJhdmNpayBl
dCBhbC4gMjAxNik8L0Rpc3BsYXlUZXh0PjxyZWNvcmQ+PHJlYy1udW1iZXI+MTM0MzE8L3JlYy1u
dW1iZXI+PGZvcmVpZ24ta2V5cz48a2V5IGFwcD0iRU4iIGRiLWlkPSI1eHY1dzV0MmJkeHR4ZmV6
eDAyeHR4ZGZ0NXJ6NXB0dnZ0MjkiIHRpbWVzdGFtcD0iMTUyNzIwODgyNCI+MTM0MzE8L2tleT48
a2V5IGFwcD0iRU5XZWIiIGRiLWlkPSIiPjA8L2tleT48L2ZvcmVpZ24ta2V5cz48cmVmLXR5cGUg
bmFtZT0iSm91cm5hbCBBcnRpY2xlIj4xNzwvcmVmLXR5cGU+PGNvbnRyaWJ1dG9ycz48YXV0aG9y
cz48YXV0aG9yPktpbGliYXJkYSwgQi48L2F1dGhvcj48YXV0aG9yPk1yYXZjaWssIFYuPC9hdXRo
b3I+PGF1dGhvcj5NYXJ0ZW5zLCBNLiBTLjwvYXV0aG9yPjwvYXV0aG9ycz48L2NvbnRyaWJ1dG9y
cz48YXV0aC1hZGRyZXNzPkRlcGFydG1lbnQgb2YgQWRkaWN0b2xvZ3ksIEZpcnN0IEZhY3VsdHkg
b2YgTWVkaWNpbmUsIENoYXJsZXMgVW5pdmVyc2l0eSBpbiBQcmFndWUsIGFuZCBHZW5lcmFsIFVu
aXZlcnNpdHkgSG9zcGl0YWwgaW4gUHJhZ3VlLCBQcmFndWUsIEN6ZWNoIFJlcHVibGljLiBraWxp
YmFyZGFfYkB5YWhvby5jb20uJiN4RDtEZXBhcnRtZW50IG9mIEFkZGljdG9sb2d5LCBGaXJzdCBG
YWN1bHR5IG9mIE1lZGljaW5lLCBDaGFybGVzIFVuaXZlcnNpdHkgaW4gUHJhZ3VlLCBhbmQgR2Vu
ZXJhbCBVbml2ZXJzaXR5IEhvc3BpdGFsIGluIFByYWd1ZSwgUHJhZ3VlLCBDemVjaCBSZXB1Ymxp
Yy4mI3hEO05hdGlvbmFsIEluc3RpdHV0ZSBvZiBNZW50YWwgSGVhbHRoLCBQcmFndWUsIEN6ZWNo
IFJlcHVibGljLiYjeEQ7TmF0aW9uYWwgTW9uaXRvcmluZyBDZW50cmUgZm9yIERydWdzIGFuZCBB
ZGRpY3Rpb24sIE9mZmljZSBvZiBHb3Zlcm5tZW50IG9mIHRoZSBDemVjaCBSZXB1YmxpYywgUHJh
Z3VlLCBDemVjaCBSZXB1YmxpYy4mI3hEO1plbnRydW0gZnVyIEludGVyZGlzemlwbGluYXJlIFN1
Y2h0Zm9yc2NodW5nIGRlciBVbml2ZXJzaXRhdCBIYW1idXJnLCBLbGluaWsgZnVyIFBzeWNoaWF0
cmllIHVuZCBQc3ljaG90aGVyYXBpZSwgSGFtYnVyZywgR2VybWFueS48L2F1dGgtYWRkcmVzcz48
dGl0bGVzPjx0aXRsZT5FLWNpZ2FyZXR0ZSB1c2UgYW1vbmcgU2VyYmlhbiBhZHVsdHM6IHByZXZh
bGVuY2UgYW5kIHVzZXIgY2hhcmFjdGVyaXN0aWNzPC90aXRsZT48c2Vjb25kYXJ5LXRpdGxlPklu
dCBKIFB1YmxpYyBIZWFsdGg8L3NlY29uZGFyeS10aXRsZT48YWx0LXRpdGxlPkludGVybmF0aW9u
YWwgam91cm5hbCBvZiBwdWJsaWMgaGVhbHRoPC9hbHQtdGl0bGU+PC90aXRsZXM+PHBlcmlvZGlj
YWw+PGZ1bGwtdGl0bGU+SW50IEogUHVibGljIEhlYWx0aDwvZnVsbC10aXRsZT48YWJici0xPklu
dGVybmF0aW9uYWwgam91cm5hbCBvZiBwdWJsaWMgaGVhbHRoPC9hYmJyLTE+PC9wZXJpb2RpY2Fs
PjxhbHQtcGVyaW9kaWNhbD48ZnVsbC10aXRsZT5JbnQgSiBQdWJsaWMgSGVhbHRoPC9mdWxsLXRp
dGxlPjxhYmJyLTE+SW50ZXJuYXRpb25hbCBqb3VybmFsIG9mIHB1YmxpYyBoZWFsdGg8L2FiYnIt
MT48L2FsdC1wZXJpb2RpY2FsPjxwYWdlcz4xNjctNzU8L3BhZ2VzPjx2b2x1bWU+NjE8L3ZvbHVt
ZT48bnVtYmVyPjI8L251bWJlcj48ZWRpdGlvbj4yMDE2LzAxLzMxPC9lZGl0aW9uPjxrZXl3b3Jk
cz48a2V5d29yZD5BZG9sZXNjZW50PC9rZXl3b3JkPjxrZXl3b3JkPkFkdWx0PC9rZXl3b3JkPjxr
ZXl3b3JkPkNyb3NzLVNlY3Rpb25hbCBTdHVkaWVzPC9rZXl3b3JkPjxrZXl3b3JkPkVsZWN0cm9u
aWMgTmljb3RpbmUgRGVsaXZlcnkgU3lzdGVtcy8qc3RhdGlzdGljcyAmYW1wOyBudW1lcmljYWwg
ZGF0YTwva2V5d29yZD48a2V5d29yZD5GZW1hbGU8L2tleXdvcmQ+PGtleXdvcmQ+SHVtYW5zPC9r
ZXl3b3JkPjxrZXl3b3JkPk1hbGU8L2tleXdvcmQ+PGtleXdvcmQ+TWlkZGxlIEFnZWQ8L2tleXdv
cmQ+PGtleXdvcmQ+UHJldmFsZW5jZTwva2V5d29yZD48a2V5d29yZD5TZXJiaWEvZXBpZGVtaW9s
b2d5PC9rZXl3b3JkPjxrZXl3b3JkPlNtb2tpbmcvKmVwaWRlbWlvbG9neTwva2V5d29yZD48a2V5
d29yZD5TbW9raW5nIENlc3NhdGlvbi9zdGF0aXN0aWNzICZhbXA7IG51bWVyaWNhbCBkYXRhPC9r
ZXl3b3JkPjxrZXl3b3JkPlN1cnZleXMgYW5kIFF1ZXN0aW9ubmFpcmVzPC9rZXl3b3JkPjxrZXl3
b3JkPllvdW5nIEFkdWx0PC9rZXl3b3JkPjxrZXl3b3JkPkUtY2lnYXJldHRlPC9rZXl3b3JkPjxr
ZXl3b3JkPkVsZWN0cm9uaWMgY2lnYXJldHRlPC9rZXl3b3JkPjxrZXl3b3JkPlNvY2lvLWRlbW9n
cmFwaGljIGNvcnJlbGF0ZXM8L2tleXdvcmQ+PC9rZXl3b3Jkcz48ZGF0ZXM+PHllYXI+MjAxNjwv
eWVhcj48cHViLWRhdGVzPjxkYXRlPk1hcjwvZGF0ZT48L3B1Yi1kYXRlcz48L2RhdGVzPjxpc2Ju
PjE2NjEtODU1NjwvaXNibj48YWNjZXNzaW9uLW51bT4yNjgyNTQ1NjwvYWNjZXNzaW9uLW51bT48
dXJscz48L3VybHM+PGVsZWN0cm9uaWMtcmVzb3VyY2UtbnVtPjEwLjEwMDcvczAwMDM4LTAxNi0w
Nzg3LXk8L2VsZWN0cm9uaWMtcmVzb3VyY2UtbnVtPjxyZW1vdGUtZGF0YWJhc2UtcHJvdmlkZXI+
TkxNPC9yZW1vdGUtZGF0YWJhc2UtcHJvdmlkZXI+PGxhbmd1YWdlPmVuZzwvbGFuZ3VhZ2U+PC9y
ZWNvcmQ+PC9DaXRlPjwvRW5kTm90ZT4A
</w:fldData>
              </w:fldChar>
            </w:r>
            <w:r w:rsidR="00903735">
              <w:rPr>
                <w:rFonts w:eastAsia="Times New Roman" w:cs="Calibri"/>
                <w:sz w:val="16"/>
                <w:szCs w:val="16"/>
              </w:rPr>
              <w:instrText xml:space="preserve"> ADDIN EN.CITE.DATA </w:instrText>
            </w:r>
            <w:r w:rsidR="00903735">
              <w:rPr>
                <w:rFonts w:eastAsia="Times New Roman" w:cs="Calibri"/>
                <w:sz w:val="16"/>
                <w:szCs w:val="16"/>
              </w:rPr>
            </w:r>
            <w:r w:rsidR="00903735">
              <w:rPr>
                <w:rFonts w:eastAsia="Times New Roman" w:cs="Calibri"/>
                <w:sz w:val="16"/>
                <w:szCs w:val="16"/>
              </w:rPr>
              <w:fldChar w:fldCharType="end"/>
            </w:r>
            <w:r w:rsidRPr="00A743C9">
              <w:rPr>
                <w:rFonts w:eastAsia="Times New Roman" w:cs="Calibri"/>
                <w:sz w:val="16"/>
                <w:szCs w:val="16"/>
              </w:rPr>
            </w:r>
            <w:r w:rsidRPr="00A743C9">
              <w:rPr>
                <w:rFonts w:eastAsia="Times New Roman" w:cs="Calibri"/>
                <w:sz w:val="16"/>
                <w:szCs w:val="16"/>
              </w:rPr>
              <w:fldChar w:fldCharType="separate"/>
            </w:r>
            <w:r w:rsidRPr="00A743C9">
              <w:rPr>
                <w:rFonts w:eastAsia="Times New Roman" w:cs="Calibri"/>
                <w:noProof/>
                <w:sz w:val="16"/>
                <w:szCs w:val="16"/>
              </w:rPr>
              <w:t>(Kilibarda, Mravcik et al. 2016)</w:t>
            </w:r>
            <w:r w:rsidRPr="00A743C9">
              <w:rPr>
                <w:rFonts w:eastAsia="Times New Roman" w:cs="Calibri"/>
                <w:sz w:val="16"/>
                <w:szCs w:val="16"/>
              </w:rPr>
              <w:fldChar w:fldCharType="end"/>
            </w:r>
          </w:p>
        </w:tc>
        <w:tc>
          <w:tcPr>
            <w:tcW w:w="1304" w:type="dxa"/>
            <w:tcBorders>
              <w:left w:val="single" w:sz="4" w:space="0" w:color="auto"/>
              <w:bottom w:val="nil"/>
              <w:right w:val="single" w:sz="4" w:space="0" w:color="auto"/>
            </w:tcBorders>
            <w:noWrap/>
            <w:hideMark/>
          </w:tcPr>
          <w:p w14:paraId="214A47B5"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2014</w:t>
            </w:r>
          </w:p>
        </w:tc>
        <w:tc>
          <w:tcPr>
            <w:tcW w:w="1650" w:type="dxa"/>
            <w:tcBorders>
              <w:left w:val="single" w:sz="4" w:space="0" w:color="auto"/>
              <w:bottom w:val="nil"/>
            </w:tcBorders>
            <w:noWrap/>
            <w:hideMark/>
          </w:tcPr>
          <w:p w14:paraId="39ADBBFA"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w:t>
            </w:r>
          </w:p>
        </w:tc>
        <w:tc>
          <w:tcPr>
            <w:tcW w:w="1154" w:type="dxa"/>
            <w:tcBorders>
              <w:bottom w:val="nil"/>
              <w:right w:val="single" w:sz="4" w:space="0" w:color="auto"/>
            </w:tcBorders>
            <w:noWrap/>
            <w:hideMark/>
          </w:tcPr>
          <w:p w14:paraId="59113BC3"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p>
        </w:tc>
        <w:tc>
          <w:tcPr>
            <w:tcW w:w="1187" w:type="dxa"/>
            <w:tcBorders>
              <w:left w:val="single" w:sz="4" w:space="0" w:color="auto"/>
              <w:bottom w:val="nil"/>
            </w:tcBorders>
            <w:noWrap/>
            <w:hideMark/>
          </w:tcPr>
          <w:p w14:paraId="052E8ECC"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44.3</w:t>
            </w:r>
          </w:p>
        </w:tc>
        <w:tc>
          <w:tcPr>
            <w:tcW w:w="1531" w:type="dxa"/>
            <w:tcBorders>
              <w:bottom w:val="nil"/>
              <w:right w:val="single" w:sz="4" w:space="0" w:color="auto"/>
            </w:tcBorders>
            <w:noWrap/>
            <w:hideMark/>
          </w:tcPr>
          <w:p w14:paraId="6628CB40"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36.2</w:t>
            </w:r>
          </w:p>
        </w:tc>
      </w:tr>
      <w:tr w:rsidR="00B86BF1" w:rsidRPr="00A743C9" w14:paraId="6C5A0E09" w14:textId="77777777" w:rsidTr="000376C7">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003" w:type="dxa"/>
            <w:tcBorders>
              <w:left w:val="single" w:sz="4" w:space="0" w:color="auto"/>
              <w:bottom w:val="nil"/>
              <w:right w:val="single" w:sz="4" w:space="0" w:color="auto"/>
            </w:tcBorders>
            <w:noWrap/>
            <w:hideMark/>
          </w:tcPr>
          <w:p w14:paraId="10FA877C" w14:textId="77777777" w:rsidR="00B86BF1" w:rsidRPr="00A743C9" w:rsidRDefault="00B86BF1" w:rsidP="00903735">
            <w:pPr>
              <w:spacing w:after="0"/>
              <w:rPr>
                <w:rFonts w:eastAsia="Times New Roman" w:cs="Calibri"/>
                <w:sz w:val="16"/>
                <w:szCs w:val="16"/>
              </w:rPr>
            </w:pPr>
            <w:r w:rsidRPr="00A743C9">
              <w:rPr>
                <w:rFonts w:eastAsia="Times New Roman" w:cs="Calibri"/>
                <w:sz w:val="16"/>
                <w:szCs w:val="16"/>
              </w:rPr>
              <w:t xml:space="preserve">Slovakia </w:t>
            </w:r>
            <w:r w:rsidRPr="00A743C9">
              <w:rPr>
                <w:rFonts w:eastAsia="Times New Roman" w:cs="Calibri"/>
                <w:sz w:val="16"/>
                <w:szCs w:val="16"/>
              </w:rPr>
              <w:fldChar w:fldCharType="begin"/>
            </w:r>
            <w:r w:rsidR="00903735">
              <w:rPr>
                <w:rFonts w:eastAsia="Times New Roman" w:cs="Calibri"/>
                <w:sz w:val="16"/>
                <w:szCs w:val="16"/>
              </w:rPr>
              <w:instrText xml:space="preserve"> ADDIN EN.CITE &lt;EndNote&gt;&lt;Cite&gt;&lt;Author&gt;European Commission&lt;/Author&gt;&lt;Year&gt;2017&lt;/Year&gt;&lt;RecNum&gt;13438&lt;/RecNum&gt;&lt;DisplayText&gt;(European Commission 2017)&lt;/DisplayText&gt;&lt;record&gt;&lt;rec-number&gt;13438&lt;/rec-number&gt;&lt;foreign-keys&gt;&lt;key app="EN" db-id="5xv5w5t2bdxtxfezx02xtxdft5rz5ptvvt29" timestamp="1527209032"&gt;13438&lt;/key&gt;&lt;/foreign-keys&gt;&lt;ref-type name="Web Page"&gt;12&lt;/ref-type&gt;&lt;contributors&gt;&lt;authors&gt;&lt;author&gt;European Commission,&lt;/author&gt;&lt;/authors&gt;&lt;/contributors&gt;&lt;titles&gt;&lt;title&gt;Attitudes of Europeans towards tobacco and electronic cigarettes&lt;/title&gt;&lt;/titles&gt;&lt;volume&gt;2018&lt;/volume&gt;&lt;number&gt;18.05.2018&lt;/number&gt;&lt;dates&gt;&lt;year&gt;2017&lt;/year&gt;&lt;/dates&gt;&lt;publisher&gt;European Commission&lt;/publisher&gt;&lt;urls&gt;&lt;related-urls&gt;&lt;url&gt;http://ec.europa.eu/commfrontoffice/publicopinion/index.cfm/Survey/getSurveyDetail/instruments/SPECIAL/yearFrom/2016/yearTo/2018/surveyKy/2146&lt;/url&gt;&lt;/related-urls&gt;&lt;/urls&gt;&lt;/record&gt;&lt;/Cite&gt;&lt;/EndNote&gt;</w:instrText>
            </w:r>
            <w:r w:rsidRPr="00A743C9">
              <w:rPr>
                <w:rFonts w:eastAsia="Times New Roman" w:cs="Calibri"/>
                <w:sz w:val="16"/>
                <w:szCs w:val="16"/>
              </w:rPr>
              <w:fldChar w:fldCharType="separate"/>
            </w:r>
            <w:r w:rsidRPr="00A743C9">
              <w:rPr>
                <w:rFonts w:eastAsia="Times New Roman" w:cs="Calibri"/>
                <w:noProof/>
                <w:sz w:val="16"/>
                <w:szCs w:val="16"/>
              </w:rPr>
              <w:t>(European Commission 2017)</w:t>
            </w:r>
            <w:r w:rsidRPr="00A743C9">
              <w:rPr>
                <w:rFonts w:eastAsia="Times New Roman" w:cs="Calibri"/>
                <w:sz w:val="16"/>
                <w:szCs w:val="16"/>
              </w:rPr>
              <w:fldChar w:fldCharType="end"/>
            </w:r>
          </w:p>
        </w:tc>
        <w:tc>
          <w:tcPr>
            <w:tcW w:w="1304" w:type="dxa"/>
            <w:tcBorders>
              <w:left w:val="single" w:sz="4" w:space="0" w:color="auto"/>
              <w:bottom w:val="nil"/>
              <w:right w:val="single" w:sz="4" w:space="0" w:color="auto"/>
            </w:tcBorders>
            <w:noWrap/>
            <w:hideMark/>
          </w:tcPr>
          <w:p w14:paraId="762C6953"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2014</w:t>
            </w:r>
          </w:p>
        </w:tc>
        <w:tc>
          <w:tcPr>
            <w:tcW w:w="1650" w:type="dxa"/>
            <w:tcBorders>
              <w:left w:val="single" w:sz="4" w:space="0" w:color="auto"/>
              <w:bottom w:val="nil"/>
            </w:tcBorders>
            <w:noWrap/>
            <w:hideMark/>
          </w:tcPr>
          <w:p w14:paraId="20D187B8"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0</w:t>
            </w:r>
          </w:p>
        </w:tc>
        <w:tc>
          <w:tcPr>
            <w:tcW w:w="1154" w:type="dxa"/>
            <w:tcBorders>
              <w:bottom w:val="nil"/>
              <w:right w:val="single" w:sz="4" w:space="0" w:color="auto"/>
            </w:tcBorders>
            <w:noWrap/>
            <w:hideMark/>
          </w:tcPr>
          <w:p w14:paraId="21506D58"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10</w:t>
            </w:r>
          </w:p>
        </w:tc>
        <w:tc>
          <w:tcPr>
            <w:tcW w:w="1187" w:type="dxa"/>
            <w:tcBorders>
              <w:left w:val="single" w:sz="4" w:space="0" w:color="auto"/>
              <w:bottom w:val="nil"/>
            </w:tcBorders>
            <w:noWrap/>
            <w:hideMark/>
          </w:tcPr>
          <w:p w14:paraId="257F9818"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39.7</w:t>
            </w:r>
          </w:p>
        </w:tc>
        <w:tc>
          <w:tcPr>
            <w:tcW w:w="1531" w:type="dxa"/>
            <w:tcBorders>
              <w:bottom w:val="nil"/>
              <w:right w:val="single" w:sz="4" w:space="0" w:color="auto"/>
            </w:tcBorders>
            <w:noWrap/>
            <w:hideMark/>
          </w:tcPr>
          <w:p w14:paraId="2AFAA35E"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17.6</w:t>
            </w:r>
          </w:p>
        </w:tc>
      </w:tr>
      <w:tr w:rsidR="00B86BF1" w:rsidRPr="00A743C9" w14:paraId="37DFC6C0" w14:textId="77777777" w:rsidTr="000376C7">
        <w:trPr>
          <w:trHeight w:val="287"/>
        </w:trPr>
        <w:tc>
          <w:tcPr>
            <w:cnfStyle w:val="001000000000" w:firstRow="0" w:lastRow="0" w:firstColumn="1" w:lastColumn="0" w:oddVBand="0" w:evenVBand="0" w:oddHBand="0" w:evenHBand="0" w:firstRowFirstColumn="0" w:firstRowLastColumn="0" w:lastRowFirstColumn="0" w:lastRowLastColumn="0"/>
            <w:tcW w:w="3003" w:type="dxa"/>
            <w:tcBorders>
              <w:left w:val="single" w:sz="4" w:space="0" w:color="auto"/>
              <w:bottom w:val="nil"/>
              <w:right w:val="single" w:sz="4" w:space="0" w:color="auto"/>
            </w:tcBorders>
            <w:noWrap/>
            <w:hideMark/>
          </w:tcPr>
          <w:p w14:paraId="55D954A6" w14:textId="77777777" w:rsidR="00B86BF1" w:rsidRPr="00A743C9" w:rsidRDefault="00B86BF1" w:rsidP="00903735">
            <w:pPr>
              <w:spacing w:after="0"/>
              <w:rPr>
                <w:rFonts w:eastAsia="Times New Roman" w:cs="Calibri"/>
                <w:sz w:val="16"/>
                <w:szCs w:val="16"/>
              </w:rPr>
            </w:pPr>
            <w:r w:rsidRPr="00A743C9">
              <w:rPr>
                <w:rFonts w:eastAsia="Times New Roman" w:cs="Calibri"/>
                <w:sz w:val="16"/>
                <w:szCs w:val="16"/>
              </w:rPr>
              <w:t xml:space="preserve">Slovenia </w:t>
            </w:r>
            <w:r w:rsidRPr="00A743C9">
              <w:rPr>
                <w:rFonts w:eastAsia="Times New Roman" w:cs="Calibri"/>
                <w:sz w:val="16"/>
                <w:szCs w:val="16"/>
              </w:rPr>
              <w:fldChar w:fldCharType="begin"/>
            </w:r>
            <w:r w:rsidR="00903735">
              <w:rPr>
                <w:rFonts w:eastAsia="Times New Roman" w:cs="Calibri"/>
                <w:sz w:val="16"/>
                <w:szCs w:val="16"/>
              </w:rPr>
              <w:instrText xml:space="preserve"> ADDIN EN.CITE &lt;EndNote&gt;&lt;Cite&gt;&lt;Author&gt;European Commission&lt;/Author&gt;&lt;Year&gt;2017&lt;/Year&gt;&lt;RecNum&gt;13438&lt;/RecNum&gt;&lt;DisplayText&gt;(European Commission 2017)&lt;/DisplayText&gt;&lt;record&gt;&lt;rec-number&gt;13438&lt;/rec-number&gt;&lt;foreign-keys&gt;&lt;key app="EN" db-id="5xv5w5t2bdxtxfezx02xtxdft5rz5ptvvt29" timestamp="1527209032"&gt;13438&lt;/key&gt;&lt;/foreign-keys&gt;&lt;ref-type name="Web Page"&gt;12&lt;/ref-type&gt;&lt;contributors&gt;&lt;authors&gt;&lt;author&gt;European Commission,&lt;/author&gt;&lt;/authors&gt;&lt;/contributors&gt;&lt;titles&gt;&lt;title&gt;Attitudes of Europeans towards tobacco and electronic cigarettes&lt;/title&gt;&lt;/titles&gt;&lt;volume&gt;2018&lt;/volume&gt;&lt;number&gt;18.05.2018&lt;/number&gt;&lt;dates&gt;&lt;year&gt;2017&lt;/year&gt;&lt;/dates&gt;&lt;publisher&gt;European Commission&lt;/publisher&gt;&lt;urls&gt;&lt;related-urls&gt;&lt;url&gt;http://ec.europa.eu/commfrontoffice/publicopinion/index.cfm/Survey/getSurveyDetail/instruments/SPECIAL/yearFrom/2016/yearTo/2018/surveyKy/2146&lt;/url&gt;&lt;/related-urls&gt;&lt;/urls&gt;&lt;/record&gt;&lt;/Cite&gt;&lt;/EndNote&gt;</w:instrText>
            </w:r>
            <w:r w:rsidRPr="00A743C9">
              <w:rPr>
                <w:rFonts w:eastAsia="Times New Roman" w:cs="Calibri"/>
                <w:sz w:val="16"/>
                <w:szCs w:val="16"/>
              </w:rPr>
              <w:fldChar w:fldCharType="separate"/>
            </w:r>
            <w:r w:rsidRPr="00A743C9">
              <w:rPr>
                <w:rFonts w:eastAsia="Times New Roman" w:cs="Calibri"/>
                <w:noProof/>
                <w:sz w:val="16"/>
                <w:szCs w:val="16"/>
              </w:rPr>
              <w:t>(European Commission 2017)</w:t>
            </w:r>
            <w:r w:rsidRPr="00A743C9">
              <w:rPr>
                <w:rFonts w:eastAsia="Times New Roman" w:cs="Calibri"/>
                <w:sz w:val="16"/>
                <w:szCs w:val="16"/>
              </w:rPr>
              <w:fldChar w:fldCharType="end"/>
            </w:r>
          </w:p>
        </w:tc>
        <w:tc>
          <w:tcPr>
            <w:tcW w:w="1304" w:type="dxa"/>
            <w:tcBorders>
              <w:left w:val="single" w:sz="4" w:space="0" w:color="auto"/>
              <w:bottom w:val="nil"/>
              <w:right w:val="single" w:sz="4" w:space="0" w:color="auto"/>
            </w:tcBorders>
            <w:noWrap/>
            <w:hideMark/>
          </w:tcPr>
          <w:p w14:paraId="0D913502"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2014</w:t>
            </w:r>
          </w:p>
        </w:tc>
        <w:tc>
          <w:tcPr>
            <w:tcW w:w="1650" w:type="dxa"/>
            <w:tcBorders>
              <w:left w:val="single" w:sz="4" w:space="0" w:color="auto"/>
              <w:bottom w:val="nil"/>
            </w:tcBorders>
            <w:noWrap/>
            <w:hideMark/>
          </w:tcPr>
          <w:p w14:paraId="16AB32E5"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w:t>
            </w:r>
          </w:p>
        </w:tc>
        <w:tc>
          <w:tcPr>
            <w:tcW w:w="1154" w:type="dxa"/>
            <w:tcBorders>
              <w:bottom w:val="nil"/>
              <w:right w:val="single" w:sz="4" w:space="0" w:color="auto"/>
            </w:tcBorders>
            <w:noWrap/>
            <w:hideMark/>
          </w:tcPr>
          <w:p w14:paraId="40CC3244"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11</w:t>
            </w:r>
          </w:p>
        </w:tc>
        <w:tc>
          <w:tcPr>
            <w:tcW w:w="1187" w:type="dxa"/>
            <w:tcBorders>
              <w:left w:val="single" w:sz="4" w:space="0" w:color="auto"/>
              <w:bottom w:val="nil"/>
            </w:tcBorders>
            <w:noWrap/>
            <w:hideMark/>
          </w:tcPr>
          <w:p w14:paraId="74B12195"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22.3</w:t>
            </w:r>
          </w:p>
        </w:tc>
        <w:tc>
          <w:tcPr>
            <w:tcW w:w="1531" w:type="dxa"/>
            <w:tcBorders>
              <w:bottom w:val="nil"/>
              <w:right w:val="single" w:sz="4" w:space="0" w:color="auto"/>
            </w:tcBorders>
            <w:noWrap/>
            <w:hideMark/>
          </w:tcPr>
          <w:p w14:paraId="4A624AE3"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18.1</w:t>
            </w:r>
          </w:p>
        </w:tc>
      </w:tr>
      <w:tr w:rsidR="00B86BF1" w:rsidRPr="00A743C9" w14:paraId="4CC9075C" w14:textId="77777777" w:rsidTr="000376C7">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003" w:type="dxa"/>
            <w:tcBorders>
              <w:left w:val="single" w:sz="4" w:space="0" w:color="auto"/>
              <w:bottom w:val="nil"/>
              <w:right w:val="single" w:sz="4" w:space="0" w:color="auto"/>
            </w:tcBorders>
            <w:noWrap/>
            <w:hideMark/>
          </w:tcPr>
          <w:p w14:paraId="1ED876E3" w14:textId="77777777" w:rsidR="00B86BF1" w:rsidRPr="00A743C9" w:rsidRDefault="00B86BF1" w:rsidP="000376C7">
            <w:pPr>
              <w:spacing w:after="0"/>
              <w:rPr>
                <w:rFonts w:eastAsia="Times New Roman" w:cs="Calibri"/>
                <w:sz w:val="16"/>
                <w:szCs w:val="16"/>
              </w:rPr>
            </w:pPr>
            <w:r w:rsidRPr="00A743C9">
              <w:rPr>
                <w:rFonts w:eastAsia="Times New Roman" w:cs="Calibri"/>
                <w:sz w:val="16"/>
                <w:szCs w:val="16"/>
              </w:rPr>
              <w:t xml:space="preserve">South Korea </w:t>
            </w:r>
            <w:r w:rsidRPr="00A743C9">
              <w:rPr>
                <w:rFonts w:eastAsia="Times New Roman" w:cs="Calibri"/>
                <w:sz w:val="16"/>
                <w:szCs w:val="16"/>
              </w:rPr>
              <w:fldChar w:fldCharType="begin"/>
            </w:r>
            <w:r w:rsidRPr="00A743C9">
              <w:rPr>
                <w:rFonts w:eastAsia="Times New Roman" w:cs="Calibri"/>
                <w:sz w:val="16"/>
                <w:szCs w:val="16"/>
              </w:rPr>
              <w:instrText xml:space="preserve"> ADDIN EN.CITE &lt;EndNote&gt;&lt;Cite&gt;&lt;Author&gt;Young&lt;/Author&gt;&lt;Year&gt;2016&lt;/Year&gt;&lt;RecNum&gt;9742&lt;/RecNum&gt;&lt;DisplayText&gt;(Ernst &amp;amp; Young 2016)&lt;/DisplayText&gt;&lt;record&gt;&lt;rec-number&gt;9742&lt;/rec-number&gt;&lt;foreign-keys&gt;&lt;key app="EN" db-id="9z05dz0praadfuee0zoxzedk9zfe5fxx50z5" timestamp="1526532124"&gt;9742&lt;/key&gt;&lt;/foreign-keys&gt;&lt;ref-type name="Report"&gt;27&lt;/ref-type&gt;&lt;contributors&gt;&lt;authors&gt;&lt;author&gt;Ernst &amp;amp; Young,&lt;/author&gt;&lt;/authors&gt;&lt;tertiary-authors&gt;&lt;author&gt;Ernst &amp;amp; Young&lt;/author&gt;&lt;/tertiary-authors&gt;&lt;/contributors&gt;&lt;titles&gt;&lt;title&gt;E-cigarettes: an emerging category&lt;/title&gt;&lt;/titles&gt;&lt;pages&gt;4&lt;/pages&gt;&lt;dates&gt;&lt;year&gt;2016&lt;/year&gt;&lt;/dates&gt;&lt;pub-location&gt;London, UK&lt;/pub-location&gt;&lt;publisher&gt;Ernst &amp;amp; Young&lt;/publisher&gt;&lt;urls&gt;&lt;related-urls&gt;&lt;url&gt;http://www.ey.com/Publication/vwLUAssets/E-cigarettes-an-emerging-category/$FILE/EY-E-Cigarette-report.pdf&lt;/url&gt;&lt;/related-urls&gt;&lt;/urls&gt;&lt;/record&gt;&lt;/Cite&gt;&lt;/EndNote&gt;</w:instrText>
            </w:r>
            <w:r w:rsidRPr="00A743C9">
              <w:rPr>
                <w:rFonts w:eastAsia="Times New Roman" w:cs="Calibri"/>
                <w:sz w:val="16"/>
                <w:szCs w:val="16"/>
              </w:rPr>
              <w:fldChar w:fldCharType="separate"/>
            </w:r>
            <w:r w:rsidRPr="00A743C9">
              <w:rPr>
                <w:rFonts w:eastAsia="Times New Roman" w:cs="Calibri"/>
                <w:noProof/>
                <w:sz w:val="16"/>
                <w:szCs w:val="16"/>
              </w:rPr>
              <w:t>(Ernst &amp; Young 2016)</w:t>
            </w:r>
            <w:r w:rsidRPr="00A743C9">
              <w:rPr>
                <w:rFonts w:eastAsia="Times New Roman" w:cs="Calibri"/>
                <w:sz w:val="16"/>
                <w:szCs w:val="16"/>
              </w:rPr>
              <w:fldChar w:fldCharType="end"/>
            </w:r>
          </w:p>
        </w:tc>
        <w:tc>
          <w:tcPr>
            <w:tcW w:w="1304" w:type="dxa"/>
            <w:tcBorders>
              <w:left w:val="single" w:sz="4" w:space="0" w:color="auto"/>
              <w:bottom w:val="nil"/>
              <w:right w:val="single" w:sz="4" w:space="0" w:color="auto"/>
            </w:tcBorders>
            <w:noWrap/>
            <w:hideMark/>
          </w:tcPr>
          <w:p w14:paraId="7155B2B6"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2013</w:t>
            </w:r>
            <w:r w:rsidRPr="00A743C9">
              <w:rPr>
                <w:rFonts w:eastAsia="Times New Roman" w:cs="Calibri"/>
                <w:sz w:val="16"/>
                <w:szCs w:val="16"/>
              </w:rPr>
              <w:noBreakHyphen/>
              <w:t>15</w:t>
            </w:r>
          </w:p>
        </w:tc>
        <w:tc>
          <w:tcPr>
            <w:tcW w:w="1650" w:type="dxa"/>
            <w:tcBorders>
              <w:left w:val="single" w:sz="4" w:space="0" w:color="auto"/>
              <w:bottom w:val="nil"/>
            </w:tcBorders>
            <w:noWrap/>
            <w:hideMark/>
          </w:tcPr>
          <w:p w14:paraId="7FB5DE8F"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0.6</w:t>
            </w:r>
          </w:p>
        </w:tc>
        <w:tc>
          <w:tcPr>
            <w:tcW w:w="1154" w:type="dxa"/>
            <w:tcBorders>
              <w:bottom w:val="nil"/>
              <w:right w:val="single" w:sz="4" w:space="0" w:color="auto"/>
            </w:tcBorders>
            <w:noWrap/>
            <w:hideMark/>
          </w:tcPr>
          <w:p w14:paraId="7F280A42"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p>
        </w:tc>
        <w:tc>
          <w:tcPr>
            <w:tcW w:w="1187" w:type="dxa"/>
            <w:tcBorders>
              <w:left w:val="single" w:sz="4" w:space="0" w:color="auto"/>
              <w:bottom w:val="nil"/>
            </w:tcBorders>
            <w:noWrap/>
            <w:hideMark/>
          </w:tcPr>
          <w:p w14:paraId="3E1E7EFC"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49.8</w:t>
            </w:r>
          </w:p>
        </w:tc>
        <w:tc>
          <w:tcPr>
            <w:tcW w:w="1531" w:type="dxa"/>
            <w:tcBorders>
              <w:bottom w:val="nil"/>
              <w:right w:val="single" w:sz="4" w:space="0" w:color="auto"/>
            </w:tcBorders>
            <w:noWrap/>
            <w:hideMark/>
          </w:tcPr>
          <w:p w14:paraId="32FA70E0"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4.2</w:t>
            </w:r>
          </w:p>
        </w:tc>
      </w:tr>
      <w:tr w:rsidR="00B86BF1" w:rsidRPr="00A743C9" w14:paraId="6D1B614B" w14:textId="77777777" w:rsidTr="000376C7">
        <w:trPr>
          <w:trHeight w:val="287"/>
        </w:trPr>
        <w:tc>
          <w:tcPr>
            <w:cnfStyle w:val="001000000000" w:firstRow="0" w:lastRow="0" w:firstColumn="1" w:lastColumn="0" w:oddVBand="0" w:evenVBand="0" w:oddHBand="0" w:evenHBand="0" w:firstRowFirstColumn="0" w:firstRowLastColumn="0" w:lastRowFirstColumn="0" w:lastRowLastColumn="0"/>
            <w:tcW w:w="3003" w:type="dxa"/>
            <w:tcBorders>
              <w:left w:val="single" w:sz="4" w:space="0" w:color="auto"/>
              <w:bottom w:val="nil"/>
              <w:right w:val="single" w:sz="4" w:space="0" w:color="auto"/>
            </w:tcBorders>
            <w:noWrap/>
            <w:hideMark/>
          </w:tcPr>
          <w:p w14:paraId="572C20EC" w14:textId="77777777" w:rsidR="00B86BF1" w:rsidRPr="00A743C9" w:rsidRDefault="00B86BF1" w:rsidP="00903735">
            <w:pPr>
              <w:spacing w:after="0"/>
              <w:rPr>
                <w:rFonts w:eastAsia="Times New Roman" w:cs="Calibri"/>
                <w:sz w:val="16"/>
                <w:szCs w:val="16"/>
              </w:rPr>
            </w:pPr>
            <w:r w:rsidRPr="00A743C9">
              <w:rPr>
                <w:rFonts w:eastAsia="Times New Roman" w:cs="Calibri"/>
                <w:sz w:val="16"/>
                <w:szCs w:val="16"/>
              </w:rPr>
              <w:t xml:space="preserve">Spain </w:t>
            </w:r>
            <w:r w:rsidRPr="00A743C9">
              <w:rPr>
                <w:rFonts w:eastAsia="Times New Roman" w:cs="Calibri"/>
                <w:sz w:val="16"/>
                <w:szCs w:val="16"/>
              </w:rPr>
              <w:fldChar w:fldCharType="begin"/>
            </w:r>
            <w:r w:rsidR="00903735">
              <w:rPr>
                <w:rFonts w:eastAsia="Times New Roman" w:cs="Calibri"/>
                <w:sz w:val="16"/>
                <w:szCs w:val="16"/>
              </w:rPr>
              <w:instrText xml:space="preserve"> ADDIN EN.CITE &lt;EndNote&gt;&lt;Cite&gt;&lt;Author&gt;European Commission&lt;/Author&gt;&lt;Year&gt;2017&lt;/Year&gt;&lt;RecNum&gt;13438&lt;/RecNum&gt;&lt;DisplayText&gt;(European Commission 2017)&lt;/DisplayText&gt;&lt;record&gt;&lt;rec-number&gt;13438&lt;/rec-number&gt;&lt;foreign-keys&gt;&lt;key app="EN" db-id="5xv5w5t2bdxtxfezx02xtxdft5rz5ptvvt29" timestamp="1527209032"&gt;13438&lt;/key&gt;&lt;/foreign-keys&gt;&lt;ref-type name="Web Page"&gt;12&lt;/ref-type&gt;&lt;contributors&gt;&lt;authors&gt;&lt;author&gt;European Commission,&lt;/author&gt;&lt;/authors&gt;&lt;/contributors&gt;&lt;titles&gt;&lt;title&gt;Attitudes of Europeans towards tobacco and electronic cigarettes&lt;/title&gt;&lt;/titles&gt;&lt;volume&gt;2018&lt;/volume&gt;&lt;number&gt;18.05.2018&lt;/number&gt;&lt;dates&gt;&lt;year&gt;2017&lt;/year&gt;&lt;/dates&gt;&lt;publisher&gt;European Commission&lt;/publisher&gt;&lt;urls&gt;&lt;related-urls&gt;&lt;url&gt;http://ec.europa.eu/commfrontoffice/publicopinion/index.cfm/Survey/getSurveyDetail/instruments/SPECIAL/yearFrom/2016/yearTo/2018/surveyKy/2146&lt;/url&gt;&lt;/related-urls&gt;&lt;/urls&gt;&lt;/record&gt;&lt;/Cite&gt;&lt;/EndNote&gt;</w:instrText>
            </w:r>
            <w:r w:rsidRPr="00A743C9">
              <w:rPr>
                <w:rFonts w:eastAsia="Times New Roman" w:cs="Calibri"/>
                <w:sz w:val="16"/>
                <w:szCs w:val="16"/>
              </w:rPr>
              <w:fldChar w:fldCharType="separate"/>
            </w:r>
            <w:r w:rsidRPr="00A743C9">
              <w:rPr>
                <w:rFonts w:eastAsia="Times New Roman" w:cs="Calibri"/>
                <w:noProof/>
                <w:sz w:val="16"/>
                <w:szCs w:val="16"/>
              </w:rPr>
              <w:t>(European Commission 2017)</w:t>
            </w:r>
            <w:r w:rsidRPr="00A743C9">
              <w:rPr>
                <w:rFonts w:eastAsia="Times New Roman" w:cs="Calibri"/>
                <w:sz w:val="16"/>
                <w:szCs w:val="16"/>
              </w:rPr>
              <w:fldChar w:fldCharType="end"/>
            </w:r>
          </w:p>
        </w:tc>
        <w:tc>
          <w:tcPr>
            <w:tcW w:w="1304" w:type="dxa"/>
            <w:tcBorders>
              <w:left w:val="single" w:sz="4" w:space="0" w:color="auto"/>
              <w:bottom w:val="nil"/>
              <w:right w:val="single" w:sz="4" w:space="0" w:color="auto"/>
            </w:tcBorders>
            <w:noWrap/>
            <w:hideMark/>
          </w:tcPr>
          <w:p w14:paraId="52F7E908"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2014</w:t>
            </w:r>
          </w:p>
        </w:tc>
        <w:tc>
          <w:tcPr>
            <w:tcW w:w="1650" w:type="dxa"/>
            <w:tcBorders>
              <w:left w:val="single" w:sz="4" w:space="0" w:color="auto"/>
              <w:bottom w:val="nil"/>
            </w:tcBorders>
            <w:noWrap/>
            <w:hideMark/>
          </w:tcPr>
          <w:p w14:paraId="0BB3B5F2"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w:t>
            </w:r>
          </w:p>
        </w:tc>
        <w:tc>
          <w:tcPr>
            <w:tcW w:w="1154" w:type="dxa"/>
            <w:tcBorders>
              <w:bottom w:val="nil"/>
              <w:right w:val="single" w:sz="4" w:space="0" w:color="auto"/>
            </w:tcBorders>
            <w:noWrap/>
            <w:hideMark/>
          </w:tcPr>
          <w:p w14:paraId="0857B6D2"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12</w:t>
            </w:r>
          </w:p>
        </w:tc>
        <w:tc>
          <w:tcPr>
            <w:tcW w:w="1187" w:type="dxa"/>
            <w:tcBorders>
              <w:left w:val="single" w:sz="4" w:space="0" w:color="auto"/>
              <w:bottom w:val="nil"/>
            </w:tcBorders>
            <w:noWrap/>
            <w:hideMark/>
          </w:tcPr>
          <w:p w14:paraId="280D48B8"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31.3</w:t>
            </w:r>
          </w:p>
        </w:tc>
        <w:tc>
          <w:tcPr>
            <w:tcW w:w="1531" w:type="dxa"/>
            <w:tcBorders>
              <w:bottom w:val="nil"/>
              <w:right w:val="single" w:sz="4" w:space="0" w:color="auto"/>
            </w:tcBorders>
            <w:noWrap/>
            <w:hideMark/>
          </w:tcPr>
          <w:p w14:paraId="20AB77B0"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27.1</w:t>
            </w:r>
          </w:p>
        </w:tc>
      </w:tr>
      <w:tr w:rsidR="00B86BF1" w:rsidRPr="00A743C9" w14:paraId="5D9B109C" w14:textId="77777777" w:rsidTr="000376C7">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003" w:type="dxa"/>
            <w:tcBorders>
              <w:left w:val="single" w:sz="4" w:space="0" w:color="auto"/>
              <w:bottom w:val="nil"/>
              <w:right w:val="single" w:sz="4" w:space="0" w:color="auto"/>
            </w:tcBorders>
            <w:noWrap/>
            <w:hideMark/>
          </w:tcPr>
          <w:p w14:paraId="4E706997" w14:textId="77777777" w:rsidR="00B86BF1" w:rsidRPr="00A743C9" w:rsidRDefault="00B86BF1" w:rsidP="00903735">
            <w:pPr>
              <w:spacing w:after="0"/>
              <w:rPr>
                <w:rFonts w:eastAsia="Times New Roman" w:cs="Calibri"/>
                <w:sz w:val="16"/>
                <w:szCs w:val="16"/>
              </w:rPr>
            </w:pPr>
            <w:r w:rsidRPr="00A743C9">
              <w:rPr>
                <w:rFonts w:eastAsia="Times New Roman" w:cs="Calibri"/>
                <w:sz w:val="16"/>
                <w:szCs w:val="16"/>
              </w:rPr>
              <w:t xml:space="preserve">Sweden </w:t>
            </w:r>
            <w:r w:rsidRPr="00A743C9">
              <w:rPr>
                <w:rFonts w:eastAsia="Times New Roman" w:cs="Calibri"/>
                <w:sz w:val="16"/>
                <w:szCs w:val="16"/>
              </w:rPr>
              <w:fldChar w:fldCharType="begin"/>
            </w:r>
            <w:r w:rsidR="00903735">
              <w:rPr>
                <w:rFonts w:eastAsia="Times New Roman" w:cs="Calibri"/>
                <w:sz w:val="16"/>
                <w:szCs w:val="16"/>
              </w:rPr>
              <w:instrText xml:space="preserve"> ADDIN EN.CITE &lt;EndNote&gt;&lt;Cite&gt;&lt;Author&gt;European Commission&lt;/Author&gt;&lt;Year&gt;2017&lt;/Year&gt;&lt;RecNum&gt;13438&lt;/RecNum&gt;&lt;DisplayText&gt;(European Commission 2017)&lt;/DisplayText&gt;&lt;record&gt;&lt;rec-number&gt;13438&lt;/rec-number&gt;&lt;foreign-keys&gt;&lt;key app="EN" db-id="5xv5w5t2bdxtxfezx02xtxdft5rz5ptvvt29" timestamp="1527209032"&gt;13438&lt;/key&gt;&lt;/foreign-keys&gt;&lt;ref-type name="Web Page"&gt;12&lt;/ref-type&gt;&lt;contributors&gt;&lt;authors&gt;&lt;author&gt;European Commission,&lt;/author&gt;&lt;/authors&gt;&lt;/contributors&gt;&lt;titles&gt;&lt;title&gt;Attitudes of Europeans towards tobacco and electronic cigarettes&lt;/title&gt;&lt;/titles&gt;&lt;volume&gt;2018&lt;/volume&gt;&lt;number&gt;18.05.2018&lt;/number&gt;&lt;dates&gt;&lt;year&gt;2017&lt;/year&gt;&lt;/dates&gt;&lt;publisher&gt;European Commission&lt;/publisher&gt;&lt;urls&gt;&lt;related-urls&gt;&lt;url&gt;http://ec.europa.eu/commfrontoffice/publicopinion/index.cfm/Survey/getSurveyDetail/instruments/SPECIAL/yearFrom/2016/yearTo/2018/surveyKy/2146&lt;/url&gt;&lt;/related-urls&gt;&lt;/urls&gt;&lt;/record&gt;&lt;/Cite&gt;&lt;/EndNote&gt;</w:instrText>
            </w:r>
            <w:r w:rsidRPr="00A743C9">
              <w:rPr>
                <w:rFonts w:eastAsia="Times New Roman" w:cs="Calibri"/>
                <w:sz w:val="16"/>
                <w:szCs w:val="16"/>
              </w:rPr>
              <w:fldChar w:fldCharType="separate"/>
            </w:r>
            <w:r w:rsidRPr="00A743C9">
              <w:rPr>
                <w:rFonts w:eastAsia="Times New Roman" w:cs="Calibri"/>
                <w:noProof/>
                <w:sz w:val="16"/>
                <w:szCs w:val="16"/>
              </w:rPr>
              <w:t>(European Commission 2017)</w:t>
            </w:r>
            <w:r w:rsidRPr="00A743C9">
              <w:rPr>
                <w:rFonts w:eastAsia="Times New Roman" w:cs="Calibri"/>
                <w:sz w:val="16"/>
                <w:szCs w:val="16"/>
              </w:rPr>
              <w:fldChar w:fldCharType="end"/>
            </w:r>
          </w:p>
        </w:tc>
        <w:tc>
          <w:tcPr>
            <w:tcW w:w="1304" w:type="dxa"/>
            <w:tcBorders>
              <w:left w:val="single" w:sz="4" w:space="0" w:color="auto"/>
              <w:bottom w:val="nil"/>
              <w:right w:val="single" w:sz="4" w:space="0" w:color="auto"/>
            </w:tcBorders>
            <w:noWrap/>
            <w:hideMark/>
          </w:tcPr>
          <w:p w14:paraId="498F9CB2"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2014</w:t>
            </w:r>
          </w:p>
        </w:tc>
        <w:tc>
          <w:tcPr>
            <w:tcW w:w="1650" w:type="dxa"/>
            <w:tcBorders>
              <w:left w:val="single" w:sz="4" w:space="0" w:color="auto"/>
              <w:bottom w:val="nil"/>
            </w:tcBorders>
            <w:noWrap/>
            <w:hideMark/>
          </w:tcPr>
          <w:p w14:paraId="257B4683"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0</w:t>
            </w:r>
          </w:p>
        </w:tc>
        <w:tc>
          <w:tcPr>
            <w:tcW w:w="1154" w:type="dxa"/>
            <w:tcBorders>
              <w:bottom w:val="nil"/>
              <w:right w:val="single" w:sz="4" w:space="0" w:color="auto"/>
            </w:tcBorders>
            <w:noWrap/>
            <w:hideMark/>
          </w:tcPr>
          <w:p w14:paraId="054CCE02"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10</w:t>
            </w:r>
          </w:p>
        </w:tc>
        <w:tc>
          <w:tcPr>
            <w:tcW w:w="1187" w:type="dxa"/>
            <w:tcBorders>
              <w:left w:val="single" w:sz="4" w:space="0" w:color="auto"/>
              <w:bottom w:val="nil"/>
            </w:tcBorders>
            <w:noWrap/>
            <w:hideMark/>
          </w:tcPr>
          <w:p w14:paraId="6E87E1F7"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20.4</w:t>
            </w:r>
          </w:p>
        </w:tc>
        <w:tc>
          <w:tcPr>
            <w:tcW w:w="1531" w:type="dxa"/>
            <w:tcBorders>
              <w:bottom w:val="nil"/>
              <w:right w:val="single" w:sz="4" w:space="0" w:color="auto"/>
            </w:tcBorders>
            <w:noWrap/>
            <w:hideMark/>
          </w:tcPr>
          <w:p w14:paraId="6DF4A641"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20.8</w:t>
            </w:r>
          </w:p>
        </w:tc>
      </w:tr>
      <w:tr w:rsidR="00B86BF1" w:rsidRPr="00A743C9" w14:paraId="00CD9FCA" w14:textId="77777777" w:rsidTr="000376C7">
        <w:trPr>
          <w:trHeight w:val="287"/>
        </w:trPr>
        <w:tc>
          <w:tcPr>
            <w:cnfStyle w:val="001000000000" w:firstRow="0" w:lastRow="0" w:firstColumn="1" w:lastColumn="0" w:oddVBand="0" w:evenVBand="0" w:oddHBand="0" w:evenHBand="0" w:firstRowFirstColumn="0" w:firstRowLastColumn="0" w:lastRowFirstColumn="0" w:lastRowLastColumn="0"/>
            <w:tcW w:w="3003" w:type="dxa"/>
            <w:tcBorders>
              <w:left w:val="single" w:sz="4" w:space="0" w:color="auto"/>
              <w:bottom w:val="nil"/>
              <w:right w:val="single" w:sz="4" w:space="0" w:color="auto"/>
            </w:tcBorders>
            <w:noWrap/>
            <w:hideMark/>
          </w:tcPr>
          <w:p w14:paraId="20D91A66" w14:textId="77777777" w:rsidR="00B86BF1" w:rsidRPr="00A743C9" w:rsidRDefault="00B86BF1" w:rsidP="000376C7">
            <w:pPr>
              <w:spacing w:after="0"/>
              <w:rPr>
                <w:rFonts w:eastAsia="Times New Roman" w:cs="Calibri"/>
                <w:sz w:val="16"/>
                <w:szCs w:val="16"/>
              </w:rPr>
            </w:pPr>
            <w:r w:rsidRPr="00A743C9">
              <w:rPr>
                <w:rFonts w:eastAsia="Times New Roman" w:cs="Calibri"/>
                <w:sz w:val="16"/>
                <w:szCs w:val="16"/>
              </w:rPr>
              <w:t xml:space="preserve">Taiwan </w:t>
            </w:r>
            <w:r w:rsidRPr="00A743C9">
              <w:rPr>
                <w:rFonts w:eastAsia="Times New Roman" w:cs="Calibri"/>
                <w:sz w:val="16"/>
                <w:szCs w:val="16"/>
              </w:rPr>
              <w:fldChar w:fldCharType="begin">
                <w:fldData xml:space="preserve">PEVuZE5vdGU+PENpdGU+PEF1dGhvcj5DaGFuZzwvQXV0aG9yPjxZZWFyPjIwMTc8L1llYXI+PFJl
Y051bT41MjczPC9SZWNOdW0+PERpc3BsYXlUZXh0PihDaGFuZywgVHNhaSBldCBhbC4gMjAxNyk8
L0Rpc3BsYXlUZXh0PjxyZWNvcmQ+PHJlYy1udW1iZXI+NTI3MzwvcmVjLW51bWJlcj48Zm9yZWln
bi1rZXlzPjxrZXkgYXBwPSJFTiIgZGItaWQ9Ijl6MDVkejBwcmFhZGZ1ZWUwem94emVkazl6ZmU1
Znh4NTB6NSIgdGltZXN0YW1wPSIxNTIzOTIwOTQxIj41MjczPC9rZXk+PGtleSBhcHA9IkVOV2Vi
IiBkYi1pZD0iIj4wPC9rZXk+PC9mb3JlaWduLWtleXM+PHJlZi10eXBlIG5hbWU9IkpvdXJuYWwg
QXJ0aWNsZSI+MTc8L3JlZi10eXBlPjxjb250cmlidXRvcnM+PGF1dGhvcnM+PGF1dGhvcj5DaGFu
ZywgSC4gQy48L2F1dGhvcj48YXV0aG9yPlRzYWksIFkuIFcuPC9hdXRob3I+PGF1dGhvcj5TaGl1
LCBNLiBOLjwvYXV0aG9yPjxhdXRob3I+V2FuZywgWS4gVC48L2F1dGhvcj48YXV0aG9yPkNoYW5n
LCBQLiBZLjwvYXV0aG9yPjwvYXV0aG9ycz48L2NvbnRyaWJ1dG9ycz48YXV0aC1hZGRyZXNzPklu
c3RpdHV0ZSBvZiBIZWFsdGggYW5kIFdlbGZhcmUgUG9saWN5LCBOYXRpb25hbCBZYW5nLU1pbmcg
VW5pdmVyc2l0eSwgVGFpcGVpLCBUYWl3YW4uJiN4RDtGYWN1bHR5IG9mIFBoYXJtYWN5LCBOYXRp
b25hbCBZYW5nLU1pbmcgVW5pdmVyc2l0eSwgVGFpcGVpLCBUYWl3YW4uJiN4RDtEZXBhcnRtZW50
IG9mIE1lZGljaW5lLCBTdGFuZm9yZCBVbml2ZXJzaXR5IFNjaG9vbCBvZiBNZWRpY2luZSwgUGFs
byBBbHRvLCBDYWxpZm9ybmlhLCBVU0EuPC9hdXRoLWFkZHJlc3M+PHRpdGxlcz48dGl0bGU+RWx1
Y2lkYXRpbmcgY2hhbGxlbmdlcyB0aGF0IGVsZWN0cm9uaWMgY2lnYXJldHRlcyBwb3NlIHRvIHRv
YmFjY28gY29udHJvbCBpbiBBc2lhOiBhIHBvcHVsYXRpb24tYmFzZWQgbmF0aW9uYWwgc3VydmV5
IGluIFRhaXdhbjwvdGl0bGU+PHNlY29uZGFyeS10aXRsZT5CTUogT3Blbjwvc2Vjb25kYXJ5LXRp
dGxlPjxhbHQtdGl0bGU+Qk1KIG9wZW48L2FsdC10aXRsZT48L3RpdGxlcz48cGVyaW9kaWNhbD48
ZnVsbC10aXRsZT5CbWogT3BlbjwvZnVsbC10aXRsZT48L3BlcmlvZGljYWw+PGFsdC1wZXJpb2Rp
Y2FsPjxmdWxsLXRpdGxlPkJtaiBPcGVuPC9mdWxsLXRpdGxlPjwvYWx0LXBlcmlvZGljYWw+PHBh
Z2VzPmUwMTQyNjM8L3BhZ2VzPjx2b2x1bWU+Nzwvdm9sdW1lPjxudW1iZXI+MzwvbnVtYmVyPjxl
ZGl0aW9uPjIwMTcvMDMvMzA8L2VkaXRpb24+PGtleXdvcmRzPjxrZXl3b3JkPkFkb2xlc2NlbnQ8
L2tleXdvcmQ+PGtleXdvcmQ+QWR1bHQ8L2tleXdvcmQ+PGtleXdvcmQ+QWdlIEZhY3RvcnM8L2tl
eXdvcmQ+PGtleXdvcmQ+QXNpYW4gQ29udGluZW50YWwgQW5jZXN0cnkgR3JvdXA8L2tleXdvcmQ+
PGtleXdvcmQ+Q3Jvc3MtU2VjdGlvbmFsIFN0dWRpZXM8L2tleXdvcmQ+PGtleXdvcmQ+RWxlY3Ry
b25pYyBOaWNvdGluZSBEZWxpdmVyeSBTeXN0ZW1zLypzdGF0aXN0aWNzICZhbXA7IG51bWVyaWNh
bCBkYXRhPC9rZXl3b3JkPjxrZXl3b3JkPkZlbWFsZTwva2V5d29yZD48a2V5d29yZD4qSGVhbHRo
IEJlaGF2aW9yPC9rZXl3b3JkPjxrZXl3b3JkPkh1bWFuczwva2V5d29yZD48a2V5d29yZD5NYWxl
PC9rZXl3b3JkPjxrZXl3b3JkPk1hcmtldGluZy9tZXRob2RzPC9rZXl3b3JkPjxrZXl3b3JkPlBv
bGljeSBNYWtpbmc8L2tleXdvcmQ+PGtleXdvcmQ+UHJldmFsZW5jZTwva2V5d29yZD48a2V5d29y
ZD4qUHVibGljIEhlYWx0aDwva2V5d29yZD48a2V5d29yZD4qUHVibGljIFBvbGljeTwva2V5d29y
ZD48a2V5d29yZD5TZXggRmFjdG9yczwva2V5d29yZD48a2V5d29yZD5TbW9raW5nLyplcGlkZW1p
b2xvZ3kvcHN5Y2hvbG9neTwva2V5d29yZD48a2V5d29yZD5TbW9raW5nIENlc3NhdGlvbi8qc3Rh
dGlzdGljcyAmYW1wOyBudW1lcmljYWwgZGF0YTwva2V5d29yZD48a2V5d29yZD5TdXJ2ZXlzIGFu
ZCBRdWVzdGlvbm5haXJlczwva2V5d29yZD48a2V5d29yZD5UYWl3YW4vZXBpZGVtaW9sb2d5PC9r
ZXl3b3JkPjxrZXl3b3JkPlRvYmFjY28gVXNlIERpc29yZGVyLyplcGlkZW1pb2xvZ3k8L2tleXdv
cmQ+PGtleXdvcmQ+WW91bmcgQWR1bHQ8L2tleXdvcmQ+PGtleXdvcmQ+KmVwaWRlbWlvbG9neTwv
a2V5d29yZD48a2V5d29yZD4qRWxlY3Ryb25pYyBjaWdhcmV0dGVzPC9rZXl3b3JkPjxrZXl3b3Jk
PipTbW9raW5nIGFuZCB0b2JhY2NvPC9rZXl3b3JkPjxrZXl3b3JkPipUYWl3YW48L2tleXdvcmQ+
PGtleXdvcmQ+KllvdW5nIGFkdWx0PC9rZXl3b3JkPjwva2V5d29yZHM+PGRhdGVzPjx5ZWFyPjIw
MTc8L3llYXI+PHB1Yi1kYXRlcz48ZGF0ZT5NYXIgMjc8L2RhdGU+PC9wdWItZGF0ZXM+PC9kYXRl
cz48aXNibj4yMDQ0LTYwNTU8L2lzYm4+PGFjY2Vzc2lvbi1udW0+MjgzNDgxOTE8L2FjY2Vzc2lv
bi1udW0+PHVybHM+PHJlbGF0ZWQtdXJscz48dXJsPmh0dHBzOi8vd3d3Lm5jYmkubmxtLm5paC5n
b3YvcG1jL2FydGljbGVzL1BNQzUzNzIxNDUvcGRmL2Jtam9wZW4tMjAxNi0wMTQyNjMucGRmPC91
cmw+PC9yZWxhdGVkLXVybHM+PC91cmxzPjxjdXN0b20yPlBNQzUzNzIxNDU8L2N1c3RvbTI+PGVs
ZWN0cm9uaWMtcmVzb3VyY2UtbnVtPjEwLjExMzYvYm1qb3Blbi0yMDE2LTAxNDI2MzwvZWxlY3Ry
b25pYy1yZXNvdXJjZS1udW0+PHJlbW90ZS1kYXRhYmFzZS1wcm92aWRlcj5OTE08L3JlbW90ZS1k
YXRhYmFzZS1wcm92aWRlcj48bGFuZ3VhZ2U+ZW5nPC9sYW5ndWFnZT48L3JlY29yZD48L0NpdGU+
PC9FbmROb3RlPgB=
</w:fldData>
              </w:fldChar>
            </w:r>
            <w:r w:rsidRPr="00A743C9">
              <w:rPr>
                <w:rFonts w:eastAsia="Times New Roman" w:cs="Calibri"/>
                <w:sz w:val="16"/>
                <w:szCs w:val="16"/>
              </w:rPr>
              <w:instrText xml:space="preserve"> ADDIN EN.CITE </w:instrText>
            </w:r>
            <w:r w:rsidRPr="00A743C9">
              <w:rPr>
                <w:rFonts w:eastAsia="Times New Roman" w:cs="Calibri"/>
                <w:sz w:val="16"/>
                <w:szCs w:val="16"/>
              </w:rPr>
              <w:fldChar w:fldCharType="begin">
                <w:fldData xml:space="preserve">PEVuZE5vdGU+PENpdGU+PEF1dGhvcj5DaGFuZzwvQXV0aG9yPjxZZWFyPjIwMTc8L1llYXI+PFJl
Y051bT41MjczPC9SZWNOdW0+PERpc3BsYXlUZXh0PihDaGFuZywgVHNhaSBldCBhbC4gMjAxNyk8
L0Rpc3BsYXlUZXh0PjxyZWNvcmQ+PHJlYy1udW1iZXI+NTI3MzwvcmVjLW51bWJlcj48Zm9yZWln
bi1rZXlzPjxrZXkgYXBwPSJFTiIgZGItaWQ9Ijl6MDVkejBwcmFhZGZ1ZWUwem94emVkazl6ZmU1
Znh4NTB6NSIgdGltZXN0YW1wPSIxNTIzOTIwOTQxIj41MjczPC9rZXk+PGtleSBhcHA9IkVOV2Vi
IiBkYi1pZD0iIj4wPC9rZXk+PC9mb3JlaWduLWtleXM+PHJlZi10eXBlIG5hbWU9IkpvdXJuYWwg
QXJ0aWNsZSI+MTc8L3JlZi10eXBlPjxjb250cmlidXRvcnM+PGF1dGhvcnM+PGF1dGhvcj5DaGFu
ZywgSC4gQy48L2F1dGhvcj48YXV0aG9yPlRzYWksIFkuIFcuPC9hdXRob3I+PGF1dGhvcj5TaGl1
LCBNLiBOLjwvYXV0aG9yPjxhdXRob3I+V2FuZywgWS4gVC48L2F1dGhvcj48YXV0aG9yPkNoYW5n
LCBQLiBZLjwvYXV0aG9yPjwvYXV0aG9ycz48L2NvbnRyaWJ1dG9ycz48YXV0aC1hZGRyZXNzPklu
c3RpdHV0ZSBvZiBIZWFsdGggYW5kIFdlbGZhcmUgUG9saWN5LCBOYXRpb25hbCBZYW5nLU1pbmcg
VW5pdmVyc2l0eSwgVGFpcGVpLCBUYWl3YW4uJiN4RDtGYWN1bHR5IG9mIFBoYXJtYWN5LCBOYXRp
b25hbCBZYW5nLU1pbmcgVW5pdmVyc2l0eSwgVGFpcGVpLCBUYWl3YW4uJiN4RDtEZXBhcnRtZW50
IG9mIE1lZGljaW5lLCBTdGFuZm9yZCBVbml2ZXJzaXR5IFNjaG9vbCBvZiBNZWRpY2luZSwgUGFs
byBBbHRvLCBDYWxpZm9ybmlhLCBVU0EuPC9hdXRoLWFkZHJlc3M+PHRpdGxlcz48dGl0bGU+RWx1
Y2lkYXRpbmcgY2hhbGxlbmdlcyB0aGF0IGVsZWN0cm9uaWMgY2lnYXJldHRlcyBwb3NlIHRvIHRv
YmFjY28gY29udHJvbCBpbiBBc2lhOiBhIHBvcHVsYXRpb24tYmFzZWQgbmF0aW9uYWwgc3VydmV5
IGluIFRhaXdhbjwvdGl0bGU+PHNlY29uZGFyeS10aXRsZT5CTUogT3Blbjwvc2Vjb25kYXJ5LXRp
dGxlPjxhbHQtdGl0bGU+Qk1KIG9wZW48L2FsdC10aXRsZT48L3RpdGxlcz48cGVyaW9kaWNhbD48
ZnVsbC10aXRsZT5CbWogT3BlbjwvZnVsbC10aXRsZT48L3BlcmlvZGljYWw+PGFsdC1wZXJpb2Rp
Y2FsPjxmdWxsLXRpdGxlPkJtaiBPcGVuPC9mdWxsLXRpdGxlPjwvYWx0LXBlcmlvZGljYWw+PHBh
Z2VzPmUwMTQyNjM8L3BhZ2VzPjx2b2x1bWU+Nzwvdm9sdW1lPjxudW1iZXI+MzwvbnVtYmVyPjxl
ZGl0aW9uPjIwMTcvMDMvMzA8L2VkaXRpb24+PGtleXdvcmRzPjxrZXl3b3JkPkFkb2xlc2NlbnQ8
L2tleXdvcmQ+PGtleXdvcmQ+QWR1bHQ8L2tleXdvcmQ+PGtleXdvcmQ+QWdlIEZhY3RvcnM8L2tl
eXdvcmQ+PGtleXdvcmQ+QXNpYW4gQ29udGluZW50YWwgQW5jZXN0cnkgR3JvdXA8L2tleXdvcmQ+
PGtleXdvcmQ+Q3Jvc3MtU2VjdGlvbmFsIFN0dWRpZXM8L2tleXdvcmQ+PGtleXdvcmQ+RWxlY3Ry
b25pYyBOaWNvdGluZSBEZWxpdmVyeSBTeXN0ZW1zLypzdGF0aXN0aWNzICZhbXA7IG51bWVyaWNh
bCBkYXRhPC9rZXl3b3JkPjxrZXl3b3JkPkZlbWFsZTwva2V5d29yZD48a2V5d29yZD4qSGVhbHRo
IEJlaGF2aW9yPC9rZXl3b3JkPjxrZXl3b3JkPkh1bWFuczwva2V5d29yZD48a2V5d29yZD5NYWxl
PC9rZXl3b3JkPjxrZXl3b3JkPk1hcmtldGluZy9tZXRob2RzPC9rZXl3b3JkPjxrZXl3b3JkPlBv
bGljeSBNYWtpbmc8L2tleXdvcmQ+PGtleXdvcmQ+UHJldmFsZW5jZTwva2V5d29yZD48a2V5d29y
ZD4qUHVibGljIEhlYWx0aDwva2V5d29yZD48a2V5d29yZD4qUHVibGljIFBvbGljeTwva2V5d29y
ZD48a2V5d29yZD5TZXggRmFjdG9yczwva2V5d29yZD48a2V5d29yZD5TbW9raW5nLyplcGlkZW1p
b2xvZ3kvcHN5Y2hvbG9neTwva2V5d29yZD48a2V5d29yZD5TbW9raW5nIENlc3NhdGlvbi8qc3Rh
dGlzdGljcyAmYW1wOyBudW1lcmljYWwgZGF0YTwva2V5d29yZD48a2V5d29yZD5TdXJ2ZXlzIGFu
ZCBRdWVzdGlvbm5haXJlczwva2V5d29yZD48a2V5d29yZD5UYWl3YW4vZXBpZGVtaW9sb2d5PC9r
ZXl3b3JkPjxrZXl3b3JkPlRvYmFjY28gVXNlIERpc29yZGVyLyplcGlkZW1pb2xvZ3k8L2tleXdv
cmQ+PGtleXdvcmQ+WW91bmcgQWR1bHQ8L2tleXdvcmQ+PGtleXdvcmQ+KmVwaWRlbWlvbG9neTwv
a2V5d29yZD48a2V5d29yZD4qRWxlY3Ryb25pYyBjaWdhcmV0dGVzPC9rZXl3b3JkPjxrZXl3b3Jk
PipTbW9raW5nIGFuZCB0b2JhY2NvPC9rZXl3b3JkPjxrZXl3b3JkPipUYWl3YW48L2tleXdvcmQ+
PGtleXdvcmQ+KllvdW5nIGFkdWx0PC9rZXl3b3JkPjwva2V5d29yZHM+PGRhdGVzPjx5ZWFyPjIw
MTc8L3llYXI+PHB1Yi1kYXRlcz48ZGF0ZT5NYXIgMjc8L2RhdGU+PC9wdWItZGF0ZXM+PC9kYXRl
cz48aXNibj4yMDQ0LTYwNTU8L2lzYm4+PGFjY2Vzc2lvbi1udW0+MjgzNDgxOTE8L2FjY2Vzc2lv
bi1udW0+PHVybHM+PHJlbGF0ZWQtdXJscz48dXJsPmh0dHBzOi8vd3d3Lm5jYmkubmxtLm5paC5n
b3YvcG1jL2FydGljbGVzL1BNQzUzNzIxNDUvcGRmL2Jtam9wZW4tMjAxNi0wMTQyNjMucGRmPC91
cmw+PC9yZWxhdGVkLXVybHM+PC91cmxzPjxjdXN0b20yPlBNQzUzNzIxNDU8L2N1c3RvbTI+PGVs
ZWN0cm9uaWMtcmVzb3VyY2UtbnVtPjEwLjExMzYvYm1qb3Blbi0yMDE2LTAxNDI2MzwvZWxlY3Ry
b25pYy1yZXNvdXJjZS1udW0+PHJlbW90ZS1kYXRhYmFzZS1wcm92aWRlcj5OTE08L3JlbW90ZS1k
YXRhYmFzZS1wcm92aWRlcj48bGFuZ3VhZ2U+ZW5nPC9sYW5ndWFnZT48L3JlY29yZD48L0NpdGU+
PC9FbmROb3RlPgB=
</w:fldData>
              </w:fldChar>
            </w:r>
            <w:r w:rsidRPr="00A743C9">
              <w:rPr>
                <w:rFonts w:eastAsia="Times New Roman" w:cs="Calibri"/>
                <w:sz w:val="16"/>
                <w:szCs w:val="16"/>
              </w:rPr>
              <w:instrText xml:space="preserve"> ADDIN EN.CITE.DATA </w:instrText>
            </w:r>
            <w:r w:rsidRPr="00A743C9">
              <w:rPr>
                <w:rFonts w:eastAsia="Times New Roman" w:cs="Calibri"/>
                <w:sz w:val="16"/>
                <w:szCs w:val="16"/>
              </w:rPr>
            </w:r>
            <w:r w:rsidRPr="00A743C9">
              <w:rPr>
                <w:rFonts w:eastAsia="Times New Roman" w:cs="Calibri"/>
                <w:sz w:val="16"/>
                <w:szCs w:val="16"/>
              </w:rPr>
              <w:fldChar w:fldCharType="end"/>
            </w:r>
            <w:r w:rsidRPr="00A743C9">
              <w:rPr>
                <w:rFonts w:eastAsia="Times New Roman" w:cs="Calibri"/>
                <w:sz w:val="16"/>
                <w:szCs w:val="16"/>
              </w:rPr>
            </w:r>
            <w:r w:rsidRPr="00A743C9">
              <w:rPr>
                <w:rFonts w:eastAsia="Times New Roman" w:cs="Calibri"/>
                <w:sz w:val="16"/>
                <w:szCs w:val="16"/>
              </w:rPr>
              <w:fldChar w:fldCharType="separate"/>
            </w:r>
            <w:r w:rsidRPr="00A743C9">
              <w:rPr>
                <w:rFonts w:eastAsia="Times New Roman" w:cs="Calibri"/>
                <w:noProof/>
                <w:sz w:val="16"/>
                <w:szCs w:val="16"/>
              </w:rPr>
              <w:t>(Chang, Tsai et al. 2017)</w:t>
            </w:r>
            <w:r w:rsidRPr="00A743C9">
              <w:rPr>
                <w:rFonts w:eastAsia="Times New Roman" w:cs="Calibri"/>
                <w:sz w:val="16"/>
                <w:szCs w:val="16"/>
              </w:rPr>
              <w:fldChar w:fldCharType="end"/>
            </w:r>
          </w:p>
        </w:tc>
        <w:tc>
          <w:tcPr>
            <w:tcW w:w="1304" w:type="dxa"/>
            <w:tcBorders>
              <w:left w:val="single" w:sz="4" w:space="0" w:color="auto"/>
              <w:bottom w:val="nil"/>
              <w:right w:val="single" w:sz="4" w:space="0" w:color="auto"/>
            </w:tcBorders>
            <w:noWrap/>
            <w:hideMark/>
          </w:tcPr>
          <w:p w14:paraId="43D679D8"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2015</w:t>
            </w:r>
          </w:p>
        </w:tc>
        <w:tc>
          <w:tcPr>
            <w:tcW w:w="1650" w:type="dxa"/>
            <w:tcBorders>
              <w:left w:val="single" w:sz="4" w:space="0" w:color="auto"/>
              <w:bottom w:val="nil"/>
            </w:tcBorders>
            <w:noWrap/>
            <w:hideMark/>
          </w:tcPr>
          <w:p w14:paraId="160D358E"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2.7</w:t>
            </w:r>
          </w:p>
        </w:tc>
        <w:tc>
          <w:tcPr>
            <w:tcW w:w="1154" w:type="dxa"/>
            <w:tcBorders>
              <w:bottom w:val="nil"/>
              <w:right w:val="single" w:sz="4" w:space="0" w:color="auto"/>
            </w:tcBorders>
            <w:noWrap/>
            <w:hideMark/>
          </w:tcPr>
          <w:p w14:paraId="13CC3326"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2.7</w:t>
            </w:r>
          </w:p>
        </w:tc>
        <w:tc>
          <w:tcPr>
            <w:tcW w:w="1187" w:type="dxa"/>
            <w:tcBorders>
              <w:left w:val="single" w:sz="4" w:space="0" w:color="auto"/>
              <w:bottom w:val="nil"/>
            </w:tcBorders>
            <w:noWrap/>
            <w:hideMark/>
          </w:tcPr>
          <w:p w14:paraId="1BD2F2E0"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14.1</w:t>
            </w:r>
          </w:p>
        </w:tc>
        <w:tc>
          <w:tcPr>
            <w:tcW w:w="1531" w:type="dxa"/>
            <w:tcBorders>
              <w:bottom w:val="nil"/>
              <w:right w:val="single" w:sz="4" w:space="0" w:color="auto"/>
            </w:tcBorders>
            <w:noWrap/>
            <w:hideMark/>
          </w:tcPr>
          <w:p w14:paraId="06BC4C74"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15.3</w:t>
            </w:r>
          </w:p>
        </w:tc>
      </w:tr>
      <w:tr w:rsidR="00B86BF1" w:rsidRPr="00A743C9" w14:paraId="3C6F2403" w14:textId="77777777" w:rsidTr="000376C7">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003" w:type="dxa"/>
            <w:tcBorders>
              <w:left w:val="single" w:sz="4" w:space="0" w:color="auto"/>
              <w:bottom w:val="nil"/>
              <w:right w:val="single" w:sz="4" w:space="0" w:color="auto"/>
            </w:tcBorders>
            <w:noWrap/>
            <w:hideMark/>
          </w:tcPr>
          <w:p w14:paraId="6B77AAD9" w14:textId="77777777" w:rsidR="00B86BF1" w:rsidRPr="00A743C9" w:rsidRDefault="00B86BF1" w:rsidP="00903735">
            <w:pPr>
              <w:spacing w:after="0"/>
              <w:rPr>
                <w:rFonts w:eastAsia="Times New Roman" w:cs="Calibri"/>
                <w:sz w:val="16"/>
                <w:szCs w:val="16"/>
              </w:rPr>
            </w:pPr>
            <w:r w:rsidRPr="00A743C9">
              <w:rPr>
                <w:rFonts w:eastAsia="Times New Roman" w:cs="Calibri"/>
                <w:sz w:val="16"/>
                <w:szCs w:val="16"/>
              </w:rPr>
              <w:lastRenderedPageBreak/>
              <w:t xml:space="preserve">The Netherlands </w:t>
            </w:r>
            <w:r w:rsidRPr="00A743C9">
              <w:rPr>
                <w:rFonts w:eastAsia="Times New Roman" w:cs="Calibri"/>
                <w:sz w:val="16"/>
                <w:szCs w:val="16"/>
              </w:rPr>
              <w:fldChar w:fldCharType="begin"/>
            </w:r>
            <w:r w:rsidR="00903735">
              <w:rPr>
                <w:rFonts w:eastAsia="Times New Roman" w:cs="Calibri"/>
                <w:sz w:val="16"/>
                <w:szCs w:val="16"/>
              </w:rPr>
              <w:instrText xml:space="preserve"> ADDIN EN.CITE &lt;EndNote&gt;&lt;Cite&gt;&lt;Author&gt;European Commission&lt;/Author&gt;&lt;Year&gt;2017&lt;/Year&gt;&lt;RecNum&gt;13438&lt;/RecNum&gt;&lt;DisplayText&gt;(European Commission 2017)&lt;/DisplayText&gt;&lt;record&gt;&lt;rec-number&gt;13438&lt;/rec-number&gt;&lt;foreign-keys&gt;&lt;key app="EN" db-id="5xv5w5t2bdxtxfezx02xtxdft5rz5ptvvt29" timestamp="1527209032"&gt;13438&lt;/key&gt;&lt;/foreign-keys&gt;&lt;ref-type name="Web Page"&gt;12&lt;/ref-type&gt;&lt;contributors&gt;&lt;authors&gt;&lt;author&gt;European Commission,&lt;/author&gt;&lt;/authors&gt;&lt;/contributors&gt;&lt;titles&gt;&lt;title&gt;Attitudes of Europeans towards tobacco and electronic cigarettes&lt;/title&gt;&lt;/titles&gt;&lt;volume&gt;2018&lt;/volume&gt;&lt;number&gt;18.05.2018&lt;/number&gt;&lt;dates&gt;&lt;year&gt;2017&lt;/year&gt;&lt;/dates&gt;&lt;publisher&gt;European Commission&lt;/publisher&gt;&lt;urls&gt;&lt;related-urls&gt;&lt;url&gt;http://ec.europa.eu/commfrontoffice/publicopinion/index.cfm/Survey/getSurveyDetail/instruments/SPECIAL/yearFrom/2016/yearTo/2018/surveyKy/2146&lt;/url&gt;&lt;/related-urls&gt;&lt;/urls&gt;&lt;/record&gt;&lt;/Cite&gt;&lt;/EndNote&gt;</w:instrText>
            </w:r>
            <w:r w:rsidRPr="00A743C9">
              <w:rPr>
                <w:rFonts w:eastAsia="Times New Roman" w:cs="Calibri"/>
                <w:sz w:val="16"/>
                <w:szCs w:val="16"/>
              </w:rPr>
              <w:fldChar w:fldCharType="separate"/>
            </w:r>
            <w:r w:rsidRPr="00A743C9">
              <w:rPr>
                <w:rFonts w:eastAsia="Times New Roman" w:cs="Calibri"/>
                <w:noProof/>
                <w:sz w:val="16"/>
                <w:szCs w:val="16"/>
              </w:rPr>
              <w:t>(European Commission 2017)</w:t>
            </w:r>
            <w:r w:rsidRPr="00A743C9">
              <w:rPr>
                <w:rFonts w:eastAsia="Times New Roman" w:cs="Calibri"/>
                <w:sz w:val="16"/>
                <w:szCs w:val="16"/>
              </w:rPr>
              <w:fldChar w:fldCharType="end"/>
            </w:r>
          </w:p>
        </w:tc>
        <w:tc>
          <w:tcPr>
            <w:tcW w:w="1304" w:type="dxa"/>
            <w:tcBorders>
              <w:left w:val="single" w:sz="4" w:space="0" w:color="auto"/>
              <w:bottom w:val="nil"/>
              <w:right w:val="single" w:sz="4" w:space="0" w:color="auto"/>
            </w:tcBorders>
            <w:noWrap/>
            <w:hideMark/>
          </w:tcPr>
          <w:p w14:paraId="68E235F3"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2014</w:t>
            </w:r>
          </w:p>
        </w:tc>
        <w:tc>
          <w:tcPr>
            <w:tcW w:w="1650" w:type="dxa"/>
            <w:tcBorders>
              <w:left w:val="single" w:sz="4" w:space="0" w:color="auto"/>
              <w:bottom w:val="nil"/>
            </w:tcBorders>
            <w:noWrap/>
            <w:hideMark/>
          </w:tcPr>
          <w:p w14:paraId="493C9F0B"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w:t>
            </w:r>
          </w:p>
        </w:tc>
        <w:tc>
          <w:tcPr>
            <w:tcW w:w="1154" w:type="dxa"/>
            <w:tcBorders>
              <w:bottom w:val="nil"/>
              <w:right w:val="single" w:sz="4" w:space="0" w:color="auto"/>
            </w:tcBorders>
            <w:noWrap/>
            <w:hideMark/>
          </w:tcPr>
          <w:p w14:paraId="35AE34D3"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15</w:t>
            </w:r>
          </w:p>
        </w:tc>
        <w:tc>
          <w:tcPr>
            <w:tcW w:w="1187" w:type="dxa"/>
            <w:tcBorders>
              <w:left w:val="single" w:sz="4" w:space="0" w:color="auto"/>
              <w:bottom w:val="nil"/>
            </w:tcBorders>
            <w:noWrap/>
            <w:hideMark/>
          </w:tcPr>
          <w:p w14:paraId="772D5598"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26.2</w:t>
            </w:r>
          </w:p>
        </w:tc>
        <w:tc>
          <w:tcPr>
            <w:tcW w:w="1531" w:type="dxa"/>
            <w:tcBorders>
              <w:bottom w:val="nil"/>
              <w:right w:val="single" w:sz="4" w:space="0" w:color="auto"/>
            </w:tcBorders>
            <w:noWrap/>
            <w:hideMark/>
          </w:tcPr>
          <w:p w14:paraId="2139AB58"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23.9</w:t>
            </w:r>
          </w:p>
        </w:tc>
      </w:tr>
      <w:tr w:rsidR="00B86BF1" w:rsidRPr="00A743C9" w14:paraId="6740EC0C" w14:textId="77777777" w:rsidTr="000376C7">
        <w:trPr>
          <w:trHeight w:val="287"/>
        </w:trPr>
        <w:tc>
          <w:tcPr>
            <w:cnfStyle w:val="001000000000" w:firstRow="0" w:lastRow="0" w:firstColumn="1" w:lastColumn="0" w:oddVBand="0" w:evenVBand="0" w:oddHBand="0" w:evenHBand="0" w:firstRowFirstColumn="0" w:firstRowLastColumn="0" w:lastRowFirstColumn="0" w:lastRowLastColumn="0"/>
            <w:tcW w:w="3003" w:type="dxa"/>
            <w:tcBorders>
              <w:left w:val="single" w:sz="4" w:space="0" w:color="auto"/>
              <w:bottom w:val="nil"/>
              <w:right w:val="single" w:sz="4" w:space="0" w:color="auto"/>
            </w:tcBorders>
            <w:noWrap/>
            <w:hideMark/>
          </w:tcPr>
          <w:p w14:paraId="0EC56727" w14:textId="77777777" w:rsidR="00B86BF1" w:rsidRPr="00A743C9" w:rsidRDefault="00B86BF1" w:rsidP="00903735">
            <w:pPr>
              <w:spacing w:after="0"/>
              <w:rPr>
                <w:rFonts w:eastAsia="Times New Roman" w:cs="Calibri"/>
                <w:sz w:val="16"/>
                <w:szCs w:val="16"/>
              </w:rPr>
            </w:pPr>
            <w:r w:rsidRPr="00A743C9">
              <w:rPr>
                <w:rFonts w:eastAsia="Times New Roman" w:cs="Calibri"/>
                <w:sz w:val="16"/>
                <w:szCs w:val="16"/>
              </w:rPr>
              <w:t xml:space="preserve">UK </w:t>
            </w:r>
            <w:r w:rsidRPr="00A743C9">
              <w:rPr>
                <w:rFonts w:eastAsia="Times New Roman" w:cs="Calibri"/>
                <w:sz w:val="16"/>
                <w:szCs w:val="16"/>
              </w:rPr>
              <w:fldChar w:fldCharType="begin"/>
            </w:r>
            <w:r w:rsidR="00903735">
              <w:rPr>
                <w:rFonts w:eastAsia="Times New Roman" w:cs="Calibri"/>
                <w:sz w:val="16"/>
                <w:szCs w:val="16"/>
              </w:rPr>
              <w:instrText xml:space="preserve"> ADDIN EN.CITE &lt;EndNote&gt;&lt;Cite&gt;&lt;Author&gt;European Commission&lt;/Author&gt;&lt;Year&gt;2017&lt;/Year&gt;&lt;RecNum&gt;13438&lt;/RecNum&gt;&lt;DisplayText&gt;(European Commission 2017)&lt;/DisplayText&gt;&lt;record&gt;&lt;rec-number&gt;13438&lt;/rec-number&gt;&lt;foreign-keys&gt;&lt;key app="EN" db-id="5xv5w5t2bdxtxfezx02xtxdft5rz5ptvvt29" timestamp="1527209032"&gt;13438&lt;/key&gt;&lt;/foreign-keys&gt;&lt;ref-type name="Web Page"&gt;12&lt;/ref-type&gt;&lt;contributors&gt;&lt;authors&gt;&lt;author&gt;European Commission,&lt;/author&gt;&lt;/authors&gt;&lt;/contributors&gt;&lt;titles&gt;&lt;title&gt;Attitudes of Europeans towards tobacco and electronic cigarettes&lt;/title&gt;&lt;/titles&gt;&lt;volume&gt;2018&lt;/volume&gt;&lt;number&gt;18.05.2018&lt;/number&gt;&lt;dates&gt;&lt;year&gt;2017&lt;/year&gt;&lt;/dates&gt;&lt;publisher&gt;European Commission&lt;/publisher&gt;&lt;urls&gt;&lt;related-urls&gt;&lt;url&gt;http://ec.europa.eu/commfrontoffice/publicopinion/index.cfm/Survey/getSurveyDetail/instruments/SPECIAL/yearFrom/2016/yearTo/2018/surveyKy/2146&lt;/url&gt;&lt;/related-urls&gt;&lt;/urls&gt;&lt;/record&gt;&lt;/Cite&gt;&lt;/EndNote&gt;</w:instrText>
            </w:r>
            <w:r w:rsidRPr="00A743C9">
              <w:rPr>
                <w:rFonts w:eastAsia="Times New Roman" w:cs="Calibri"/>
                <w:sz w:val="16"/>
                <w:szCs w:val="16"/>
              </w:rPr>
              <w:fldChar w:fldCharType="separate"/>
            </w:r>
            <w:r w:rsidRPr="00A743C9">
              <w:rPr>
                <w:rFonts w:eastAsia="Times New Roman" w:cs="Calibri"/>
                <w:noProof/>
                <w:sz w:val="16"/>
                <w:szCs w:val="16"/>
              </w:rPr>
              <w:t>(European Commission 2017)</w:t>
            </w:r>
            <w:r w:rsidRPr="00A743C9">
              <w:rPr>
                <w:rFonts w:eastAsia="Times New Roman" w:cs="Calibri"/>
                <w:sz w:val="16"/>
                <w:szCs w:val="16"/>
              </w:rPr>
              <w:fldChar w:fldCharType="end"/>
            </w:r>
          </w:p>
        </w:tc>
        <w:tc>
          <w:tcPr>
            <w:tcW w:w="1304" w:type="dxa"/>
            <w:tcBorders>
              <w:left w:val="single" w:sz="4" w:space="0" w:color="auto"/>
              <w:bottom w:val="nil"/>
              <w:right w:val="single" w:sz="4" w:space="0" w:color="auto"/>
            </w:tcBorders>
            <w:noWrap/>
            <w:hideMark/>
          </w:tcPr>
          <w:p w14:paraId="4612F166"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2014</w:t>
            </w:r>
          </w:p>
        </w:tc>
        <w:tc>
          <w:tcPr>
            <w:tcW w:w="1650" w:type="dxa"/>
            <w:tcBorders>
              <w:left w:val="single" w:sz="4" w:space="0" w:color="auto"/>
              <w:bottom w:val="nil"/>
            </w:tcBorders>
            <w:noWrap/>
            <w:hideMark/>
          </w:tcPr>
          <w:p w14:paraId="5FC3B2AA"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5</w:t>
            </w:r>
          </w:p>
        </w:tc>
        <w:tc>
          <w:tcPr>
            <w:tcW w:w="1154" w:type="dxa"/>
            <w:tcBorders>
              <w:bottom w:val="nil"/>
              <w:right w:val="single" w:sz="4" w:space="0" w:color="auto"/>
            </w:tcBorders>
            <w:noWrap/>
            <w:hideMark/>
          </w:tcPr>
          <w:p w14:paraId="71AA1113"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18</w:t>
            </w:r>
          </w:p>
        </w:tc>
        <w:tc>
          <w:tcPr>
            <w:tcW w:w="1187" w:type="dxa"/>
            <w:tcBorders>
              <w:left w:val="single" w:sz="4" w:space="0" w:color="auto"/>
              <w:bottom w:val="nil"/>
            </w:tcBorders>
            <w:noWrap/>
            <w:hideMark/>
          </w:tcPr>
          <w:p w14:paraId="245E06A2"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19.9</w:t>
            </w:r>
          </w:p>
        </w:tc>
        <w:tc>
          <w:tcPr>
            <w:tcW w:w="1531" w:type="dxa"/>
            <w:tcBorders>
              <w:bottom w:val="nil"/>
              <w:right w:val="single" w:sz="4" w:space="0" w:color="auto"/>
            </w:tcBorders>
            <w:noWrap/>
            <w:hideMark/>
          </w:tcPr>
          <w:p w14:paraId="46312ABA"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18.4</w:t>
            </w:r>
          </w:p>
        </w:tc>
      </w:tr>
      <w:tr w:rsidR="00B86BF1" w:rsidRPr="00A743C9" w14:paraId="49CCBAC8" w14:textId="77777777" w:rsidTr="000376C7">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003" w:type="dxa"/>
            <w:tcBorders>
              <w:left w:val="single" w:sz="4" w:space="0" w:color="auto"/>
              <w:bottom w:val="nil"/>
              <w:right w:val="single" w:sz="4" w:space="0" w:color="auto"/>
            </w:tcBorders>
            <w:noWrap/>
            <w:hideMark/>
          </w:tcPr>
          <w:p w14:paraId="40AC7754" w14:textId="77777777" w:rsidR="00B86BF1" w:rsidRPr="00A743C9" w:rsidRDefault="00B86BF1" w:rsidP="000376C7">
            <w:pPr>
              <w:spacing w:after="0"/>
              <w:rPr>
                <w:rFonts w:eastAsia="Times New Roman" w:cs="Calibri"/>
                <w:sz w:val="16"/>
                <w:szCs w:val="16"/>
              </w:rPr>
            </w:pPr>
            <w:r w:rsidRPr="00A743C9">
              <w:rPr>
                <w:rFonts w:eastAsia="Times New Roman" w:cs="Calibri"/>
                <w:sz w:val="16"/>
                <w:szCs w:val="16"/>
              </w:rPr>
              <w:t xml:space="preserve">Ukraine </w:t>
            </w:r>
            <w:r w:rsidRPr="00A743C9">
              <w:rPr>
                <w:rFonts w:eastAsia="Times New Roman" w:cs="Calibri"/>
                <w:sz w:val="16"/>
                <w:szCs w:val="16"/>
              </w:rPr>
              <w:fldChar w:fldCharType="begin"/>
            </w:r>
            <w:r w:rsidRPr="00A743C9">
              <w:rPr>
                <w:rFonts w:eastAsia="Times New Roman" w:cs="Calibri"/>
                <w:sz w:val="16"/>
                <w:szCs w:val="16"/>
              </w:rPr>
              <w:instrText xml:space="preserve"> ADDIN EN.CITE &lt;EndNote&gt;&lt;Cite&gt;&lt;Author&gt;Ukraine&lt;/Author&gt;&lt;Year&gt;2017&lt;/Year&gt;&lt;RecNum&gt;9743&lt;/RecNum&gt;&lt;DisplayText&gt;(Ministry of Health of Ukraine. 2017)&lt;/DisplayText&gt;&lt;record&gt;&lt;rec-number&gt;9743&lt;/rec-number&gt;&lt;foreign-keys&gt;&lt;key app="EN" db-id="9z05dz0praadfuee0zoxzedk9zfe5fxx50z5" timestamp="1526532290"&gt;9743&lt;/key&gt;&lt;/foreign-keys&gt;&lt;ref-type name="Report"&gt;27&lt;/ref-type&gt;&lt;contributors&gt;&lt;authors&gt;&lt;author&gt;Ministry of Health of Ukraine.,&lt;/author&gt;&lt;/authors&gt;&lt;/contributors&gt;&lt;titles&gt;&lt;title&gt;Global Adult Tobacco Survey: Ukraine 2017: Executive Summary&lt;/title&gt;&lt;/titles&gt;&lt;pages&gt;2&lt;/pages&gt;&lt;dates&gt;&lt;year&gt;2017&lt;/year&gt;&lt;/dates&gt;&lt;pub-location&gt;Ukraine&lt;/pub-location&gt;&lt;publisher&gt;Ministry of Health of Ukraine, Kiev International Institute of Sociology, World Health Organization Regional Office for Europe, National Academy of Medical Sciences of Ukraine, &amp;amp; U.S. Centers for Disease Control and Prevention&lt;/publisher&gt;&lt;urls&gt;&lt;related-urls&gt;&lt;url&gt;http://www.euro.who.int/__data/assets/pdf_file/0007/347632/UKR_GATS_2017_ES_17Aug2017_Final.pdf?ua=1&lt;/url&gt;&lt;/related-urls&gt;&lt;/urls&gt;&lt;/record&gt;&lt;/Cite&gt;&lt;/EndNote&gt;</w:instrText>
            </w:r>
            <w:r w:rsidRPr="00A743C9">
              <w:rPr>
                <w:rFonts w:eastAsia="Times New Roman" w:cs="Calibri"/>
                <w:sz w:val="16"/>
                <w:szCs w:val="16"/>
              </w:rPr>
              <w:fldChar w:fldCharType="separate"/>
            </w:r>
            <w:r w:rsidRPr="00A743C9">
              <w:rPr>
                <w:rFonts w:eastAsia="Times New Roman" w:cs="Calibri"/>
                <w:noProof/>
                <w:sz w:val="16"/>
                <w:szCs w:val="16"/>
              </w:rPr>
              <w:t>(Ministry of Health of Ukraine. 2017)</w:t>
            </w:r>
            <w:r w:rsidRPr="00A743C9">
              <w:rPr>
                <w:rFonts w:eastAsia="Times New Roman" w:cs="Calibri"/>
                <w:sz w:val="16"/>
                <w:szCs w:val="16"/>
              </w:rPr>
              <w:fldChar w:fldCharType="end"/>
            </w:r>
          </w:p>
        </w:tc>
        <w:tc>
          <w:tcPr>
            <w:tcW w:w="1304" w:type="dxa"/>
            <w:tcBorders>
              <w:left w:val="single" w:sz="4" w:space="0" w:color="auto"/>
              <w:bottom w:val="nil"/>
              <w:right w:val="single" w:sz="4" w:space="0" w:color="auto"/>
            </w:tcBorders>
            <w:noWrap/>
            <w:hideMark/>
          </w:tcPr>
          <w:p w14:paraId="336AABBB"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2017</w:t>
            </w:r>
          </w:p>
        </w:tc>
        <w:tc>
          <w:tcPr>
            <w:tcW w:w="1650" w:type="dxa"/>
            <w:tcBorders>
              <w:left w:val="single" w:sz="4" w:space="0" w:color="auto"/>
              <w:bottom w:val="nil"/>
            </w:tcBorders>
            <w:noWrap/>
            <w:hideMark/>
          </w:tcPr>
          <w:p w14:paraId="1E4AF316"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1.7</w:t>
            </w:r>
          </w:p>
        </w:tc>
        <w:tc>
          <w:tcPr>
            <w:tcW w:w="1154" w:type="dxa"/>
            <w:tcBorders>
              <w:bottom w:val="nil"/>
              <w:right w:val="single" w:sz="4" w:space="0" w:color="auto"/>
            </w:tcBorders>
            <w:noWrap/>
            <w:hideMark/>
          </w:tcPr>
          <w:p w14:paraId="3C5C57C7"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9C0006"/>
                <w:sz w:val="16"/>
                <w:szCs w:val="16"/>
              </w:rPr>
            </w:pPr>
          </w:p>
        </w:tc>
        <w:tc>
          <w:tcPr>
            <w:tcW w:w="1187" w:type="dxa"/>
            <w:tcBorders>
              <w:left w:val="single" w:sz="4" w:space="0" w:color="auto"/>
              <w:bottom w:val="nil"/>
            </w:tcBorders>
            <w:noWrap/>
            <w:hideMark/>
          </w:tcPr>
          <w:p w14:paraId="3DA03D64"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40.1</w:t>
            </w:r>
          </w:p>
        </w:tc>
        <w:tc>
          <w:tcPr>
            <w:tcW w:w="1531" w:type="dxa"/>
            <w:tcBorders>
              <w:bottom w:val="nil"/>
              <w:right w:val="single" w:sz="4" w:space="0" w:color="auto"/>
            </w:tcBorders>
            <w:noWrap/>
            <w:hideMark/>
          </w:tcPr>
          <w:p w14:paraId="476005D6"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8.9</w:t>
            </w:r>
          </w:p>
        </w:tc>
      </w:tr>
      <w:tr w:rsidR="00B86BF1" w:rsidRPr="00A743C9" w14:paraId="33FB2A37" w14:textId="77777777" w:rsidTr="000376C7">
        <w:trPr>
          <w:trHeight w:val="287"/>
        </w:trPr>
        <w:tc>
          <w:tcPr>
            <w:cnfStyle w:val="001000000000" w:firstRow="0" w:lastRow="0" w:firstColumn="1" w:lastColumn="0" w:oddVBand="0" w:evenVBand="0" w:oddHBand="0" w:evenHBand="0" w:firstRowFirstColumn="0" w:firstRowLastColumn="0" w:lastRowFirstColumn="0" w:lastRowLastColumn="0"/>
            <w:tcW w:w="3003" w:type="dxa"/>
            <w:tcBorders>
              <w:left w:val="single" w:sz="4" w:space="0" w:color="auto"/>
              <w:bottom w:val="nil"/>
              <w:right w:val="single" w:sz="4" w:space="0" w:color="auto"/>
            </w:tcBorders>
            <w:noWrap/>
            <w:hideMark/>
          </w:tcPr>
          <w:p w14:paraId="4E2674E7" w14:textId="77777777" w:rsidR="00B86BF1" w:rsidRPr="00A743C9" w:rsidRDefault="00B86BF1" w:rsidP="00903735">
            <w:pPr>
              <w:spacing w:after="0"/>
              <w:rPr>
                <w:rFonts w:eastAsia="Times New Roman" w:cs="Calibri"/>
                <w:sz w:val="16"/>
                <w:szCs w:val="16"/>
              </w:rPr>
            </w:pPr>
            <w:r w:rsidRPr="00A743C9">
              <w:rPr>
                <w:rFonts w:eastAsia="Times New Roman" w:cs="Calibri"/>
                <w:sz w:val="16"/>
                <w:szCs w:val="16"/>
              </w:rPr>
              <w:t xml:space="preserve">USA </w:t>
            </w:r>
            <w:r w:rsidRPr="00A743C9">
              <w:rPr>
                <w:rFonts w:eastAsia="Times New Roman" w:cs="Calibri"/>
                <w:sz w:val="16"/>
                <w:szCs w:val="16"/>
              </w:rPr>
              <w:fldChar w:fldCharType="begin"/>
            </w:r>
            <w:r w:rsidR="00903735">
              <w:rPr>
                <w:rFonts w:eastAsia="Times New Roman" w:cs="Calibri"/>
                <w:sz w:val="16"/>
                <w:szCs w:val="16"/>
              </w:rPr>
              <w:instrText xml:space="preserve"> ADDIN EN.CITE &lt;EndNote&gt;&lt;Cite&gt;&lt;Author&gt;Zhu&lt;/Author&gt;&lt;Year&gt;2017&lt;/Year&gt;&lt;RecNum&gt;8429&lt;/RecNum&gt;&lt;DisplayText&gt;(Zhu, Zhuang et al. 2017)&lt;/DisplayText&gt;&lt;record&gt;&lt;rec-number&gt;8429&lt;/rec-number&gt;&lt;foreign-keys&gt;&lt;key app="EN" db-id="5xv5w5t2bdxtxfezx02xtxdft5rz5ptvvt29" timestamp="1523595900"&gt;8429&lt;/key&gt;&lt;key app="ENWeb" db-id=""&gt;0&lt;/key&gt;&lt;/foreign-keys&gt;&lt;ref-type name="Journal Article"&gt;17&lt;/ref-type&gt;&lt;contributors&gt;&lt;authors&gt;&lt;author&gt;Zhu, S. H.&lt;/author&gt;&lt;author&gt;Zhuang, Y. L.&lt;/author&gt;&lt;author&gt;Wong, S. S.&lt;/author&gt;&lt;author&gt;Cummins, S. E.&lt;/author&gt;&lt;author&gt;Tedeschi, G. J.&lt;/author&gt;&lt;/authors&gt;&lt;/contributors&gt;&lt;titles&gt;&lt;title&gt;E-cigarette use and associated changes in population smoking cessation: evidence from US current population surveys&lt;/title&gt;&lt;secondary-title&gt;Bmj-British Medical Journal&lt;/secondary-title&gt;&lt;/titles&gt;&lt;periodical&gt;&lt;full-title&gt;Bmj-British Medical Journal&lt;/full-title&gt;&lt;/periodical&gt;&lt;volume&gt;358&lt;/volume&gt;&lt;dates&gt;&lt;year&gt;2017&lt;/year&gt;&lt;pub-dates&gt;&lt;date&gt;Jul&lt;/date&gt;&lt;/pub-dates&gt;&lt;/dates&gt;&lt;isbn&gt;1756-1833&lt;/isbn&gt;&lt;accession-num&gt;WOS:000406765900002&lt;/accession-num&gt;&lt;urls&gt;&lt;related-urls&gt;&lt;url&gt;&amp;lt;Go to ISI&amp;gt;://WOS:000406765900002&lt;/url&gt;&lt;/related-urls&gt;&lt;/urls&gt;&lt;custom7&gt;j3262&lt;/custom7&gt;&lt;electronic-resource-num&gt;10.1136/bmj.j3262&lt;/electronic-resource-num&gt;&lt;/record&gt;&lt;/Cite&gt;&lt;/EndNote&gt;</w:instrText>
            </w:r>
            <w:r w:rsidRPr="00A743C9">
              <w:rPr>
                <w:rFonts w:eastAsia="Times New Roman" w:cs="Calibri"/>
                <w:sz w:val="16"/>
                <w:szCs w:val="16"/>
              </w:rPr>
              <w:fldChar w:fldCharType="separate"/>
            </w:r>
            <w:r w:rsidRPr="00A743C9">
              <w:rPr>
                <w:rFonts w:eastAsia="Times New Roman" w:cs="Calibri"/>
                <w:noProof/>
                <w:sz w:val="16"/>
                <w:szCs w:val="16"/>
              </w:rPr>
              <w:t>(Zhu, Zhuang et al. 2017)</w:t>
            </w:r>
            <w:r w:rsidRPr="00A743C9">
              <w:rPr>
                <w:rFonts w:eastAsia="Times New Roman" w:cs="Calibri"/>
                <w:sz w:val="16"/>
                <w:szCs w:val="16"/>
              </w:rPr>
              <w:fldChar w:fldCharType="end"/>
            </w:r>
          </w:p>
        </w:tc>
        <w:tc>
          <w:tcPr>
            <w:tcW w:w="1304" w:type="dxa"/>
            <w:tcBorders>
              <w:left w:val="single" w:sz="4" w:space="0" w:color="auto"/>
              <w:bottom w:val="nil"/>
              <w:right w:val="single" w:sz="4" w:space="0" w:color="auto"/>
            </w:tcBorders>
            <w:noWrap/>
            <w:hideMark/>
          </w:tcPr>
          <w:p w14:paraId="345FB17D"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2014</w:t>
            </w:r>
            <w:r w:rsidRPr="00A743C9">
              <w:rPr>
                <w:rFonts w:eastAsia="Times New Roman" w:cs="Calibri"/>
                <w:sz w:val="16"/>
                <w:szCs w:val="16"/>
              </w:rPr>
              <w:noBreakHyphen/>
              <w:t>15</w:t>
            </w:r>
          </w:p>
        </w:tc>
        <w:tc>
          <w:tcPr>
            <w:tcW w:w="1650" w:type="dxa"/>
            <w:tcBorders>
              <w:left w:val="single" w:sz="4" w:space="0" w:color="auto"/>
              <w:bottom w:val="nil"/>
            </w:tcBorders>
            <w:noWrap/>
            <w:hideMark/>
          </w:tcPr>
          <w:p w14:paraId="5628CDA5"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2.4</w:t>
            </w:r>
          </w:p>
        </w:tc>
        <w:tc>
          <w:tcPr>
            <w:tcW w:w="1154" w:type="dxa"/>
            <w:tcBorders>
              <w:bottom w:val="nil"/>
              <w:right w:val="single" w:sz="4" w:space="0" w:color="auto"/>
            </w:tcBorders>
            <w:noWrap/>
            <w:hideMark/>
          </w:tcPr>
          <w:p w14:paraId="7666067C"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8.5</w:t>
            </w:r>
          </w:p>
        </w:tc>
        <w:tc>
          <w:tcPr>
            <w:tcW w:w="1187" w:type="dxa"/>
            <w:tcBorders>
              <w:left w:val="single" w:sz="4" w:space="0" w:color="auto"/>
              <w:bottom w:val="nil"/>
            </w:tcBorders>
            <w:noWrap/>
            <w:hideMark/>
          </w:tcPr>
          <w:p w14:paraId="4313B131"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19.5</w:t>
            </w:r>
          </w:p>
        </w:tc>
        <w:tc>
          <w:tcPr>
            <w:tcW w:w="1531" w:type="dxa"/>
            <w:tcBorders>
              <w:bottom w:val="nil"/>
              <w:right w:val="single" w:sz="4" w:space="0" w:color="auto"/>
            </w:tcBorders>
            <w:noWrap/>
            <w:hideMark/>
          </w:tcPr>
          <w:p w14:paraId="65817F3D" w14:textId="77777777" w:rsidR="00B86BF1" w:rsidRPr="00A743C9" w:rsidRDefault="00B86BF1" w:rsidP="000376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15</w:t>
            </w:r>
          </w:p>
        </w:tc>
      </w:tr>
      <w:tr w:rsidR="00117E0F" w:rsidRPr="00A743C9" w14:paraId="2D40F7F3" w14:textId="77777777" w:rsidTr="000376C7">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003" w:type="dxa"/>
            <w:tcBorders>
              <w:left w:val="single" w:sz="4" w:space="0" w:color="auto"/>
              <w:bottom w:val="single" w:sz="4" w:space="0" w:color="auto"/>
              <w:right w:val="single" w:sz="4" w:space="0" w:color="auto"/>
            </w:tcBorders>
            <w:noWrap/>
            <w:hideMark/>
          </w:tcPr>
          <w:p w14:paraId="458F5EC4" w14:textId="77777777" w:rsidR="00B86BF1" w:rsidRPr="00A743C9" w:rsidRDefault="00B86BF1" w:rsidP="000376C7">
            <w:pPr>
              <w:spacing w:after="0"/>
              <w:rPr>
                <w:rFonts w:eastAsia="Times New Roman" w:cs="Calibri"/>
                <w:sz w:val="16"/>
                <w:szCs w:val="16"/>
              </w:rPr>
            </w:pPr>
            <w:r w:rsidRPr="00A743C9">
              <w:rPr>
                <w:rFonts w:eastAsia="Times New Roman" w:cs="Calibri"/>
                <w:sz w:val="16"/>
                <w:szCs w:val="16"/>
              </w:rPr>
              <w:t xml:space="preserve">Viet Nam </w:t>
            </w:r>
            <w:r w:rsidRPr="00A743C9">
              <w:rPr>
                <w:rFonts w:eastAsia="Times New Roman" w:cs="Calibri"/>
                <w:sz w:val="16"/>
                <w:szCs w:val="16"/>
              </w:rPr>
              <w:fldChar w:fldCharType="begin"/>
            </w:r>
            <w:r w:rsidRPr="00A743C9">
              <w:rPr>
                <w:rFonts w:eastAsia="Times New Roman" w:cs="Calibri"/>
                <w:sz w:val="16"/>
                <w:szCs w:val="16"/>
              </w:rPr>
              <w:instrText xml:space="preserve"> ADDIN EN.CITE &lt;EndNote&gt;&lt;Cite&gt;&lt;Author&gt;Nam&lt;/Author&gt;&lt;Year&gt;2016&lt;/Year&gt;&lt;RecNum&gt;9740&lt;/RecNum&gt;&lt;DisplayText&gt;(Ministry of Health Viet Nam 2016)&lt;/DisplayText&gt;&lt;record&gt;&lt;rec-number&gt;9740&lt;/rec-number&gt;&lt;foreign-keys&gt;&lt;key app="EN" db-id="9z05dz0praadfuee0zoxzedk9zfe5fxx50z5" timestamp="1526531373"&gt;9740&lt;/key&gt;&lt;/foreign-keys&gt;&lt;ref-type name="Pamphlet"&gt;24&lt;/ref-type&gt;&lt;contributors&gt;&lt;authors&gt;&lt;author&gt;Ministry of Health Viet Nam,&lt;/author&gt;&lt;/authors&gt;&lt;secondary-authors&gt;&lt;author&gt;Ministry of Health Viet Nam,&lt;/author&gt;&lt;author&gt;Vinacosh,&lt;/author&gt;&lt;author&gt;World Health Organisation,&lt;/author&gt;&lt;author&gt;Centers for Disease Control and Prevention,&lt;/author&gt;&lt;/secondary-authors&gt;&lt;/contributors&gt;&lt;titles&gt;&lt;title&gt;Global Adult Tobacco Fact Sheet: Viet Nam 2015&lt;/title&gt;&lt;/titles&gt;&lt;dates&gt;&lt;year&gt;2016&lt;/year&gt;&lt;/dates&gt;&lt;pub-location&gt;Ha Noi&lt;/pub-location&gt;&lt;urls&gt;&lt;related-urls&gt;&lt;url&gt;http://www.who.int/tobacco/surveillance/survey/gats/vnm/en/&lt;/url&gt;&lt;/related-urls&gt;&lt;/urls&gt;&lt;/record&gt;&lt;/Cite&gt;&lt;/EndNote&gt;</w:instrText>
            </w:r>
            <w:r w:rsidRPr="00A743C9">
              <w:rPr>
                <w:rFonts w:eastAsia="Times New Roman" w:cs="Calibri"/>
                <w:sz w:val="16"/>
                <w:szCs w:val="16"/>
              </w:rPr>
              <w:fldChar w:fldCharType="separate"/>
            </w:r>
            <w:r w:rsidRPr="00A743C9">
              <w:rPr>
                <w:rFonts w:eastAsia="Times New Roman" w:cs="Calibri"/>
                <w:noProof/>
                <w:sz w:val="16"/>
                <w:szCs w:val="16"/>
              </w:rPr>
              <w:t>(Ministry of Health Viet Nam 2016)</w:t>
            </w:r>
            <w:r w:rsidRPr="00A743C9">
              <w:rPr>
                <w:rFonts w:eastAsia="Times New Roman" w:cs="Calibri"/>
                <w:sz w:val="16"/>
                <w:szCs w:val="16"/>
              </w:rPr>
              <w:fldChar w:fldCharType="end"/>
            </w:r>
          </w:p>
        </w:tc>
        <w:tc>
          <w:tcPr>
            <w:tcW w:w="1304" w:type="dxa"/>
            <w:tcBorders>
              <w:left w:val="single" w:sz="4" w:space="0" w:color="auto"/>
              <w:bottom w:val="single" w:sz="4" w:space="0" w:color="auto"/>
              <w:right w:val="single" w:sz="4" w:space="0" w:color="auto"/>
            </w:tcBorders>
            <w:noWrap/>
            <w:hideMark/>
          </w:tcPr>
          <w:p w14:paraId="2833566D"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2015</w:t>
            </w:r>
          </w:p>
        </w:tc>
        <w:tc>
          <w:tcPr>
            <w:tcW w:w="1650" w:type="dxa"/>
            <w:tcBorders>
              <w:left w:val="single" w:sz="4" w:space="0" w:color="auto"/>
              <w:bottom w:val="single" w:sz="4" w:space="0" w:color="auto"/>
            </w:tcBorders>
            <w:noWrap/>
            <w:hideMark/>
          </w:tcPr>
          <w:p w14:paraId="5487698A"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0.2</w:t>
            </w:r>
          </w:p>
        </w:tc>
        <w:tc>
          <w:tcPr>
            <w:tcW w:w="1154" w:type="dxa"/>
            <w:tcBorders>
              <w:bottom w:val="single" w:sz="4" w:space="0" w:color="auto"/>
              <w:right w:val="single" w:sz="4" w:space="0" w:color="auto"/>
            </w:tcBorders>
            <w:noWrap/>
            <w:hideMark/>
          </w:tcPr>
          <w:p w14:paraId="69E8BA15"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1.1</w:t>
            </w:r>
          </w:p>
        </w:tc>
        <w:tc>
          <w:tcPr>
            <w:tcW w:w="1187" w:type="dxa"/>
            <w:tcBorders>
              <w:left w:val="single" w:sz="4" w:space="0" w:color="auto"/>
              <w:bottom w:val="single" w:sz="4" w:space="0" w:color="auto"/>
            </w:tcBorders>
            <w:noWrap/>
            <w:hideMark/>
          </w:tcPr>
          <w:p w14:paraId="2037A780"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45.3</w:t>
            </w:r>
          </w:p>
        </w:tc>
        <w:tc>
          <w:tcPr>
            <w:tcW w:w="1531" w:type="dxa"/>
            <w:tcBorders>
              <w:bottom w:val="single" w:sz="4" w:space="0" w:color="auto"/>
              <w:right w:val="single" w:sz="4" w:space="0" w:color="auto"/>
            </w:tcBorders>
            <w:noWrap/>
            <w:hideMark/>
          </w:tcPr>
          <w:p w14:paraId="1221943F" w14:textId="77777777" w:rsidR="00B86BF1" w:rsidRPr="00A743C9" w:rsidRDefault="00B86BF1" w:rsidP="000376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A743C9">
              <w:rPr>
                <w:rFonts w:eastAsia="Times New Roman" w:cs="Calibri"/>
                <w:sz w:val="16"/>
                <w:szCs w:val="16"/>
              </w:rPr>
              <w:t>1.1</w:t>
            </w:r>
          </w:p>
        </w:tc>
      </w:tr>
    </w:tbl>
    <w:p w14:paraId="3074EE8F" w14:textId="77777777" w:rsidR="00B86BF1" w:rsidRDefault="00B86BF1" w:rsidP="00B86BF1">
      <w:pPr>
        <w:spacing w:after="0"/>
        <w:rPr>
          <w:b/>
          <w:bCs/>
          <w:color w:val="007E9A" w:themeColor="accent1" w:themeShade="BF"/>
          <w:sz w:val="20"/>
          <w:szCs w:val="18"/>
        </w:rPr>
      </w:pPr>
    </w:p>
    <w:bookmarkEnd w:id="289"/>
    <w:bookmarkEnd w:id="290"/>
    <w:bookmarkEnd w:id="291"/>
    <w:p w14:paraId="10F0B028" w14:textId="77777777" w:rsidR="00B86BF1" w:rsidRDefault="00B86BF1" w:rsidP="00B86BF1">
      <w:pPr>
        <w:spacing w:after="160" w:line="259" w:lineRule="auto"/>
      </w:pPr>
    </w:p>
    <w:p w14:paraId="7CA29797" w14:textId="77777777" w:rsidR="00B86BF1" w:rsidRDefault="00B86BF1" w:rsidP="00155FCB">
      <w:pPr>
        <w:pStyle w:val="BodyText"/>
        <w:sectPr w:rsidR="00B86BF1" w:rsidSect="00117E0F">
          <w:footerReference w:type="even" r:id="rId45"/>
          <w:footerReference w:type="default" r:id="rId46"/>
          <w:pgSz w:w="11906" w:h="16838" w:code="9"/>
          <w:pgMar w:top="1134" w:right="1134" w:bottom="1134" w:left="1134" w:header="510" w:footer="624" w:gutter="0"/>
          <w:cols w:space="850"/>
          <w:titlePg/>
          <w:docGrid w:linePitch="360"/>
        </w:sectPr>
      </w:pPr>
    </w:p>
    <w:p w14:paraId="049E6A61" w14:textId="77777777" w:rsidR="00CB37F1" w:rsidRDefault="002E3AED" w:rsidP="00A96BC4">
      <w:pPr>
        <w:pStyle w:val="PartTitle"/>
      </w:pPr>
      <w:bookmarkStart w:id="292" w:name="_Toc517706733"/>
      <w:r>
        <w:lastRenderedPageBreak/>
        <w:t xml:space="preserve">PART 7: Supplementary Report: </w:t>
      </w:r>
      <w:r w:rsidR="00A96BC4">
        <w:t>e</w:t>
      </w:r>
      <w:r w:rsidR="00CB37F1">
        <w:t>xploring the use of e-cigarettes</w:t>
      </w:r>
      <w:bookmarkEnd w:id="292"/>
    </w:p>
    <w:p w14:paraId="4C63BBB7" w14:textId="77777777" w:rsidR="00F74F02" w:rsidRPr="00CB37F1" w:rsidRDefault="00CB37F1" w:rsidP="00CB37F1">
      <w:pPr>
        <w:spacing w:after="0"/>
      </w:pPr>
      <w:r>
        <w:br w:type="page"/>
      </w:r>
    </w:p>
    <w:p w14:paraId="29254954" w14:textId="77777777" w:rsidR="002E3AED" w:rsidRDefault="002E3AED" w:rsidP="002E3AED">
      <w:pPr>
        <w:pStyle w:val="Heading1noTOC"/>
      </w:pPr>
      <w:bookmarkStart w:id="293" w:name="_Toc515227160"/>
      <w:bookmarkStart w:id="294" w:name="_Toc341085719"/>
      <w:r>
        <w:lastRenderedPageBreak/>
        <w:t>Executive summary</w:t>
      </w:r>
    </w:p>
    <w:p w14:paraId="167AD9EF" w14:textId="77777777" w:rsidR="002E3AED" w:rsidRDefault="002E3AED" w:rsidP="002E3AED">
      <w:pPr>
        <w:pStyle w:val="BodyText"/>
        <w:numPr>
          <w:ilvl w:val="0"/>
          <w:numId w:val="80"/>
        </w:numPr>
      </w:pPr>
      <w:r>
        <w:t>Most data about the use of e-cigarettes are being produced based on samples in the US.</w:t>
      </w:r>
    </w:p>
    <w:p w14:paraId="02076511" w14:textId="77777777" w:rsidR="002E3AED" w:rsidRDefault="002E3AED" w:rsidP="002E3AED">
      <w:pPr>
        <w:pStyle w:val="BodyText"/>
        <w:numPr>
          <w:ilvl w:val="0"/>
          <w:numId w:val="80"/>
        </w:numPr>
      </w:pPr>
      <w:r>
        <w:t>Many papers aim to describe prevalence and/or predictors of e-cigarette use in order to understand if certain types of people use these products. Results for sociodemographic variables are not consistent internationally.</w:t>
      </w:r>
      <w:r w:rsidRPr="007E5269">
        <w:t xml:space="preserve"> </w:t>
      </w:r>
    </w:p>
    <w:p w14:paraId="70BCFC56" w14:textId="77777777" w:rsidR="002E3AED" w:rsidRDefault="002E3AED" w:rsidP="002E3AED">
      <w:pPr>
        <w:pStyle w:val="BodyText"/>
        <w:numPr>
          <w:ilvl w:val="0"/>
          <w:numId w:val="80"/>
        </w:numPr>
      </w:pPr>
      <w:r>
        <w:t>Few studies consider factors beyond sociodemographic profiles. However, those that do provide a fairly consistent picture of an association between psychological and personality characteristics such as mental health and impulsivity and e-cigarette use.</w:t>
      </w:r>
    </w:p>
    <w:p w14:paraId="1D29742B" w14:textId="77777777" w:rsidR="002E3AED" w:rsidRDefault="002E3AED" w:rsidP="002E3AED">
      <w:pPr>
        <w:pStyle w:val="BodyText"/>
        <w:numPr>
          <w:ilvl w:val="0"/>
          <w:numId w:val="80"/>
        </w:numPr>
      </w:pPr>
      <w:r>
        <w:t>Youth samples are represented in almost half the papers about e-cigarette use and are a key interest in the literature. Papers on youth focus on susceptibility to use and wider factors such as social and environmental ones that may predict uptake.</w:t>
      </w:r>
    </w:p>
    <w:p w14:paraId="5A5A6904" w14:textId="77777777" w:rsidR="002E3AED" w:rsidRDefault="002E3AED" w:rsidP="002E3AED">
      <w:pPr>
        <w:pStyle w:val="BodyText"/>
        <w:numPr>
          <w:ilvl w:val="0"/>
          <w:numId w:val="80"/>
        </w:numPr>
      </w:pPr>
      <w:r>
        <w:t>LGBTI people appear to have higher rates of e-cigarette use than people in sexual and gender majorities – at least in the US.</w:t>
      </w:r>
    </w:p>
    <w:p w14:paraId="597B9EA9" w14:textId="77777777" w:rsidR="002E3AED" w:rsidRDefault="002E3AED" w:rsidP="002E3AED">
      <w:pPr>
        <w:pStyle w:val="BodyText"/>
        <w:numPr>
          <w:ilvl w:val="0"/>
          <w:numId w:val="80"/>
        </w:numPr>
      </w:pPr>
      <w:r>
        <w:t>Data from Australia does not provide a clear indication of e-cigarette use. However, it highlights some interesting considerations such as gender differences in Aboriginal Australians’ willingness to try and the possible role of shisha in e-cigarette use.</w:t>
      </w:r>
    </w:p>
    <w:p w14:paraId="76829BEC" w14:textId="77777777" w:rsidR="002E3AED" w:rsidRPr="002E3AED" w:rsidRDefault="002E3AED" w:rsidP="002E3AED">
      <w:pPr>
        <w:pStyle w:val="BodyText"/>
        <w:numPr>
          <w:ilvl w:val="0"/>
          <w:numId w:val="80"/>
        </w:numPr>
      </w:pPr>
      <w:r>
        <w:t>Despite some idiosyncrasies, the wide range of data considered is largely consistent with observations and conclusions made in previous reports.</w:t>
      </w:r>
    </w:p>
    <w:p w14:paraId="0BA4A778" w14:textId="77777777" w:rsidR="00F74F02" w:rsidRPr="00726029" w:rsidRDefault="00F74F02" w:rsidP="00726029">
      <w:pPr>
        <w:pStyle w:val="Heading1"/>
      </w:pPr>
      <w:bookmarkStart w:id="295" w:name="_Toc517706734"/>
      <w:r w:rsidRPr="00726029">
        <w:lastRenderedPageBreak/>
        <w:t>Introduction</w:t>
      </w:r>
      <w:bookmarkEnd w:id="293"/>
      <w:bookmarkEnd w:id="295"/>
    </w:p>
    <w:p w14:paraId="46B96E73" w14:textId="77777777" w:rsidR="001F6DB6" w:rsidRDefault="001F6DB6" w:rsidP="002E3AED">
      <w:pPr>
        <w:pStyle w:val="BodyText"/>
      </w:pPr>
      <w:r>
        <w:t xml:space="preserve">This section reviews recent studies </w:t>
      </w:r>
      <w:r w:rsidR="005D4809">
        <w:t>describing</w:t>
      </w:r>
      <w:r>
        <w:t xml:space="preserve"> the characteristics of e-cigarette use. </w:t>
      </w:r>
    </w:p>
    <w:p w14:paraId="52CF1309" w14:textId="60849037" w:rsidR="002E3AED" w:rsidRDefault="002E3AED" w:rsidP="002E3AED">
      <w:pPr>
        <w:pStyle w:val="BodyText"/>
      </w:pPr>
      <w:r>
        <w:t>Supplementary data extraction and synthesis were performed to provide an additional level of understanding about e</w:t>
      </w:r>
      <w:r>
        <w:noBreakHyphen/>
        <w:t>cigarette use. For example, whether certain people are more likely to use them than others, reasons for use, whether certain factors predict use of e</w:t>
      </w:r>
      <w:r>
        <w:noBreakHyphen/>
        <w:t xml:space="preserve">cigarette and so on. As this section was exploratory, it includes a wide range of </w:t>
      </w:r>
      <w:r w:rsidR="001F6DB6">
        <w:t xml:space="preserve">relevant </w:t>
      </w:r>
      <w:r>
        <w:t>papers</w:t>
      </w:r>
      <w:r w:rsidR="001F6DB6">
        <w:t xml:space="preserve"> and specific topics</w:t>
      </w:r>
      <w:r>
        <w:t>.</w:t>
      </w:r>
      <w:r w:rsidR="008146F9">
        <w:t xml:space="preserve"> </w:t>
      </w:r>
    </w:p>
    <w:p w14:paraId="6D1A1144" w14:textId="77777777" w:rsidR="002E3AED" w:rsidRPr="002E3AED" w:rsidRDefault="002E3AED" w:rsidP="002E3AED">
      <w:pPr>
        <w:pStyle w:val="BodyText"/>
      </w:pPr>
    </w:p>
    <w:p w14:paraId="1C15451B" w14:textId="735F817B" w:rsidR="00F74F02" w:rsidRDefault="008146F9" w:rsidP="00F74F02">
      <w:pPr>
        <w:pStyle w:val="Heading2"/>
      </w:pPr>
      <w:bookmarkStart w:id="296" w:name="_Toc515227161"/>
      <w:r>
        <w:t xml:space="preserve"> </w:t>
      </w:r>
      <w:bookmarkStart w:id="297" w:name="_Toc517706735"/>
      <w:r w:rsidR="00F74F02">
        <w:t>Data extraction</w:t>
      </w:r>
      <w:bookmarkEnd w:id="296"/>
      <w:bookmarkEnd w:id="297"/>
    </w:p>
    <w:p w14:paraId="7708E9C2" w14:textId="77777777" w:rsidR="002E3AED" w:rsidRDefault="002E3AED" w:rsidP="002E3AED">
      <w:pPr>
        <w:pStyle w:val="BodyText"/>
      </w:pPr>
      <w:r>
        <w:t>Full text was examined for 177 published papers that were categorised based on title to be relevant to pattern of use of e</w:t>
      </w:r>
      <w:r>
        <w:noBreakHyphen/>
        <w:t>cigarettes.</w:t>
      </w:r>
    </w:p>
    <w:p w14:paraId="2BFCA639" w14:textId="77777777" w:rsidR="002E3AED" w:rsidRDefault="002E3AED" w:rsidP="002E3AED">
      <w:pPr>
        <w:pStyle w:val="BodyText"/>
      </w:pPr>
      <w:r>
        <w:t xml:space="preserve">During the data extraction process, 32 papers were removed for the following reasons: </w:t>
      </w:r>
    </w:p>
    <w:p w14:paraId="16819E2B" w14:textId="77777777" w:rsidR="002E3AED" w:rsidRDefault="002E3AED" w:rsidP="002B2612">
      <w:pPr>
        <w:pStyle w:val="BodyText"/>
        <w:numPr>
          <w:ilvl w:val="0"/>
          <w:numId w:val="81"/>
        </w:numPr>
        <w:spacing w:before="0" w:after="0"/>
      </w:pPr>
      <w:r>
        <w:t>reviews (n=10);</w:t>
      </w:r>
    </w:p>
    <w:p w14:paraId="059D99B6" w14:textId="77777777" w:rsidR="002E3AED" w:rsidRDefault="002E3AED" w:rsidP="00F431B0">
      <w:pPr>
        <w:pStyle w:val="BodyText"/>
        <w:numPr>
          <w:ilvl w:val="0"/>
          <w:numId w:val="81"/>
        </w:numPr>
        <w:spacing w:before="0" w:after="0"/>
      </w:pPr>
      <w:r>
        <w:t>viewpoint/commentary articles (n=8);</w:t>
      </w:r>
    </w:p>
    <w:p w14:paraId="0A1E968A" w14:textId="77777777" w:rsidR="002E3AED" w:rsidRDefault="002E3AED" w:rsidP="004C0BEF">
      <w:pPr>
        <w:pStyle w:val="BodyText"/>
        <w:numPr>
          <w:ilvl w:val="0"/>
          <w:numId w:val="81"/>
        </w:numPr>
        <w:spacing w:before="0" w:after="0"/>
      </w:pPr>
      <w:r>
        <w:t>no full text was available (n=7);</w:t>
      </w:r>
    </w:p>
    <w:p w14:paraId="5281E12E" w14:textId="4E976ED5" w:rsidR="002E3AED" w:rsidRDefault="002E3AED" w:rsidP="00663F46">
      <w:pPr>
        <w:pStyle w:val="BodyText"/>
        <w:numPr>
          <w:ilvl w:val="0"/>
          <w:numId w:val="81"/>
        </w:numPr>
        <w:spacing w:before="0" w:after="0"/>
      </w:pPr>
      <w:r>
        <w:t>out of scope (i.e. about use of cannabis; n=3);</w:t>
      </w:r>
    </w:p>
    <w:p w14:paraId="1D1E761E" w14:textId="77777777" w:rsidR="00333EE9" w:rsidRDefault="002E3AED" w:rsidP="003D58B3">
      <w:pPr>
        <w:pStyle w:val="BodyText"/>
        <w:numPr>
          <w:ilvl w:val="0"/>
          <w:numId w:val="81"/>
        </w:numPr>
        <w:spacing w:before="0" w:after="0"/>
      </w:pPr>
      <w:r>
        <w:t xml:space="preserve">not in English (n=1), </w:t>
      </w:r>
    </w:p>
    <w:p w14:paraId="5BA892A0" w14:textId="34A61565" w:rsidR="002E3AED" w:rsidRDefault="002E3AED" w:rsidP="003D58B3">
      <w:pPr>
        <w:pStyle w:val="BodyText"/>
        <w:numPr>
          <w:ilvl w:val="0"/>
          <w:numId w:val="81"/>
        </w:numPr>
        <w:spacing w:before="0" w:after="0"/>
      </w:pPr>
      <w:r>
        <w:t>research protocol (n=1);</w:t>
      </w:r>
    </w:p>
    <w:p w14:paraId="6D0DFA0F" w14:textId="77777777" w:rsidR="002E3AED" w:rsidRDefault="002E3AED" w:rsidP="00A056E1">
      <w:pPr>
        <w:pStyle w:val="BodyText"/>
        <w:numPr>
          <w:ilvl w:val="0"/>
          <w:numId w:val="81"/>
        </w:numPr>
        <w:spacing w:before="0" w:after="0"/>
      </w:pPr>
      <w:r>
        <w:t>news article (n=1);</w:t>
      </w:r>
    </w:p>
    <w:p w14:paraId="4C3F0DE8" w14:textId="77777777" w:rsidR="002E3AED" w:rsidRDefault="002E3AED" w:rsidP="00C3531A">
      <w:pPr>
        <w:pStyle w:val="BodyText"/>
        <w:numPr>
          <w:ilvl w:val="0"/>
          <w:numId w:val="81"/>
        </w:numPr>
        <w:spacing w:before="0" w:after="0"/>
      </w:pPr>
      <w:r>
        <w:t xml:space="preserve">duplicate (n=1). </w:t>
      </w:r>
    </w:p>
    <w:p w14:paraId="7BA0043D" w14:textId="7AEE865E" w:rsidR="00333EE9" w:rsidRDefault="00333EE9" w:rsidP="002E3AED">
      <w:pPr>
        <w:pStyle w:val="BodyText"/>
      </w:pPr>
      <w:r>
        <w:t xml:space="preserve">This review only considered original research results </w:t>
      </w:r>
      <w:r w:rsidR="0023535D">
        <w:t xml:space="preserve">(either experimental or observational) </w:t>
      </w:r>
      <w:r>
        <w:t xml:space="preserve">and therefore did not review </w:t>
      </w:r>
      <w:r w:rsidR="0023535D">
        <w:t>viewpoint or commentary articles, research protocols, news articles or other reviews. The review was restricted to papers published in English and did not review articles where the full text was published but not available.</w:t>
      </w:r>
    </w:p>
    <w:p w14:paraId="2A054BE2" w14:textId="77777777" w:rsidR="002E3AED" w:rsidRPr="007877DD" w:rsidRDefault="005D4809" w:rsidP="002E3AED">
      <w:pPr>
        <w:pStyle w:val="BodyText"/>
      </w:pPr>
      <w:r>
        <w:t>Full data were extracted for 145</w:t>
      </w:r>
      <w:r w:rsidR="002E3AED">
        <w:t xml:space="preserve"> papers and conference abstracts. Due to the high number of studies based on data from the US, the results are separated into the US (n=92) and other countries. Separating the data this way also allows for easier comparison to existing knowledge from previous international reports.</w:t>
      </w:r>
    </w:p>
    <w:p w14:paraId="283CE556" w14:textId="77777777" w:rsidR="002E3AED" w:rsidRDefault="002E3AED" w:rsidP="002E3AED">
      <w:pPr>
        <w:pStyle w:val="BodyText"/>
      </w:pPr>
      <w:r>
        <w:t>In May 2018, the search was updated and an additional 13 papers were found. One of these was about cannabis use and excluded. The remaining 12 papers were mostly from the US (n=8). These papers have been incorporated into the summaries that follow.</w:t>
      </w:r>
    </w:p>
    <w:p w14:paraId="4336CB9D" w14:textId="77777777" w:rsidR="002E3AED" w:rsidRPr="002E3AED" w:rsidRDefault="002E3AED" w:rsidP="002E3AED">
      <w:pPr>
        <w:pStyle w:val="BodyText"/>
      </w:pPr>
    </w:p>
    <w:p w14:paraId="282E28CB" w14:textId="77777777" w:rsidR="002D4199" w:rsidRDefault="002D4199">
      <w:pPr>
        <w:spacing w:after="0"/>
        <w:rPr>
          <w:sz w:val="24"/>
        </w:rPr>
      </w:pPr>
      <w:r>
        <w:br w:type="page"/>
      </w:r>
    </w:p>
    <w:p w14:paraId="0DDFB6A9" w14:textId="77777777" w:rsidR="00F74F02" w:rsidRDefault="00F74F02" w:rsidP="00F74F02">
      <w:pPr>
        <w:pStyle w:val="Heading1"/>
        <w:pageBreakBefore w:val="0"/>
        <w:spacing w:before="480" w:after="360" w:line="240" w:lineRule="auto"/>
        <w:rPr>
          <w:rFonts w:eastAsia="Times New Roman"/>
        </w:rPr>
      </w:pPr>
      <w:bookmarkStart w:id="298" w:name="_Toc515227162"/>
      <w:bookmarkStart w:id="299" w:name="_Toc517706736"/>
      <w:r>
        <w:lastRenderedPageBreak/>
        <w:t xml:space="preserve">US data </w:t>
      </w:r>
      <w:bookmarkEnd w:id="298"/>
      <w:r w:rsidR="002E3AED">
        <w:t>on e-cigarette use</w:t>
      </w:r>
      <w:bookmarkEnd w:id="299"/>
    </w:p>
    <w:p w14:paraId="5A6F2CBD" w14:textId="77777777" w:rsidR="002E3AED" w:rsidRDefault="002E3AED" w:rsidP="002E3AED">
      <w:pPr>
        <w:pStyle w:val="BodyText"/>
      </w:pPr>
      <w:r>
        <w:t>Description of the results based on US data is categorised as secondary analysis of large datasets, investigator developed surveys/interviews and any other research methods. The reason for this is because secondary analysis provide a good snapshot of large numbers of respondents but may be limited regarding the depth of exploring specific research questions as questions included in large surveys are usually broad-sweeping. Finally, studies reporting on e</w:t>
      </w:r>
      <w:r>
        <w:noBreakHyphen/>
        <w:t>cigarette use amongst sexuality and gender minorities (n=11) were separated from others due to their narrow and specific focus.</w:t>
      </w:r>
    </w:p>
    <w:p w14:paraId="7614231A" w14:textId="77777777" w:rsidR="002E3AED" w:rsidRDefault="002E3AED" w:rsidP="002E3AED">
      <w:pPr>
        <w:pStyle w:val="BodyText"/>
      </w:pPr>
    </w:p>
    <w:p w14:paraId="7D93917B" w14:textId="77777777" w:rsidR="002E3AED" w:rsidRDefault="002E3AED" w:rsidP="002E3AED">
      <w:pPr>
        <w:pStyle w:val="Heading2"/>
        <w:ind w:left="1134" w:hanging="1134"/>
      </w:pPr>
      <w:bookmarkStart w:id="300" w:name="_Toc514669954"/>
      <w:bookmarkStart w:id="301" w:name="_Toc515893205"/>
      <w:bookmarkStart w:id="302" w:name="_Toc517706737"/>
      <w:r>
        <w:t>Analysis of large national datasets</w:t>
      </w:r>
      <w:bookmarkEnd w:id="300"/>
      <w:bookmarkEnd w:id="301"/>
      <w:bookmarkEnd w:id="302"/>
    </w:p>
    <w:p w14:paraId="21411166" w14:textId="77777777" w:rsidR="002E3AED" w:rsidRDefault="002E3AED" w:rsidP="002E3AED">
      <w:pPr>
        <w:pStyle w:val="BodyText"/>
      </w:pPr>
      <w:r>
        <w:t xml:space="preserve">The previous US report from the Surgeon General refers to data from the National Youth Tobacco Survey (NYTS; up to 2015), </w:t>
      </w:r>
      <w:r w:rsidRPr="0082446F">
        <w:t>Population Assessment of Tobacco and Health (PATH) study</w:t>
      </w:r>
      <w:r>
        <w:t xml:space="preserve"> (Wave 1 2013-2014), National Adult Tobacco Survey (NATS; 2013-2014), HealthStyles and Monitoring the Future survey (MTF; 2015) as well as literature retrieved in a search performed as late as March 2016 </w:t>
      </w:r>
      <w:r>
        <w:fldChar w:fldCharType="begin"/>
      </w:r>
      <w:r w:rsidR="00903735">
        <w:instrText xml:space="preserve"> ADDIN EN.CITE &lt;EndNote&gt;&lt;Cite&gt;&lt;Author&gt;US Dept of Health and Human Services&lt;/Author&gt;&lt;Year&gt;2016&lt;/Year&gt;&lt;RecNum&gt;13024&lt;/RecNum&gt;&lt;DisplayText&gt;(US Dept of Health and Human Services 2016)&lt;/DisplayText&gt;&lt;record&gt;&lt;rec-number&gt;13024&lt;/rec-number&gt;&lt;foreign-keys&gt;&lt;key app="EN" db-id="5xv5w5t2bdxtxfezx02xtxdft5rz5ptvvt29" timestamp="1524017182"&gt;13024&lt;/key&gt;&lt;/foreign-keys&gt;&lt;ref-type name="Journal Article"&gt;17&lt;/ref-type&gt;&lt;contributors&gt;&lt;authors&gt;&lt;author&gt;US Dept of Health and Human Services,&lt;/author&gt;&lt;/authors&gt;&lt;/contributors&gt;&lt;titles&gt;&lt;title&gt;E-cigarette Use among Youth and Young Adults:A report of the Surgeon General&lt;/title&gt;&lt;/titles&gt;&lt;dates&gt;&lt;year&gt;2016&lt;/year&gt;&lt;/dates&gt;&lt;urls&gt;&lt;/urls&gt;&lt;/record&gt;&lt;/Cite&gt;&lt;/EndNote&gt;</w:instrText>
      </w:r>
      <w:r>
        <w:fldChar w:fldCharType="separate"/>
      </w:r>
      <w:r>
        <w:rPr>
          <w:noProof/>
        </w:rPr>
        <w:t>(US Dept of Health and Human Services 2016)</w:t>
      </w:r>
      <w:r>
        <w:fldChar w:fldCharType="end"/>
      </w:r>
      <w:r>
        <w:t>. Twenty of the studies we extracted used these data sets or older versions of the same survey data. Therefore, results of these papers are only briefly synthesised. Despite using the same datasets, these papers report on different sample sizes due to slightly different parcelling of the data to different research questions. Discussion of papers based on national US datasets is divided into those focussing on yo</w:t>
      </w:r>
      <w:r w:rsidR="005D4809">
        <w:t>uth/adolescents (n= 18; Tables 30</w:t>
      </w:r>
      <w:r>
        <w:t xml:space="preserve"> and </w:t>
      </w:r>
      <w:r w:rsidR="005D4809">
        <w:t>31</w:t>
      </w:r>
      <w:r>
        <w:t xml:space="preserve">) and those on adults (n=15; Tables </w:t>
      </w:r>
      <w:r w:rsidR="005D4809">
        <w:t>32</w:t>
      </w:r>
      <w:r>
        <w:t xml:space="preserve"> and </w:t>
      </w:r>
      <w:r w:rsidR="005D4809">
        <w:t>33</w:t>
      </w:r>
      <w:r>
        <w:t>).</w:t>
      </w:r>
    </w:p>
    <w:p w14:paraId="58453751" w14:textId="77777777" w:rsidR="002E3AED" w:rsidRDefault="002E3AED" w:rsidP="002E3AED">
      <w:pPr>
        <w:pStyle w:val="BodyText"/>
      </w:pPr>
    </w:p>
    <w:p w14:paraId="72680048" w14:textId="77777777" w:rsidR="002E3AED" w:rsidRDefault="002E3AED" w:rsidP="002E3AED">
      <w:pPr>
        <w:pStyle w:val="Heading3"/>
        <w:ind w:left="1134" w:hanging="1134"/>
        <w:rPr>
          <w:rFonts w:eastAsia="Times New Roman"/>
        </w:rPr>
      </w:pPr>
      <w:r>
        <w:rPr>
          <w:rFonts w:eastAsia="Times New Roman"/>
        </w:rPr>
        <w:t>Youth samples (n=18)</w:t>
      </w:r>
    </w:p>
    <w:p w14:paraId="1ADFAC8A" w14:textId="77777777" w:rsidR="002E3AED" w:rsidRDefault="002E3AED" w:rsidP="002E3AED">
      <w:pPr>
        <w:pStyle w:val="BodyText"/>
      </w:pPr>
      <w:r>
        <w:t>Largely these papers add limited new insights to what has been previously reported based on youth samples (Chapter 2 of the Surgeon General’s report)</w:t>
      </w:r>
      <w:r>
        <w:fldChar w:fldCharType="begin"/>
      </w:r>
      <w:r w:rsidR="00903735">
        <w:instrText xml:space="preserve"> ADDIN EN.CITE &lt;EndNote&gt;&lt;Cite&gt;&lt;Author&gt;US Dept of Health and Human Services&lt;/Author&gt;&lt;Year&gt;2016&lt;/Year&gt;&lt;RecNum&gt;13024&lt;/RecNum&gt;&lt;DisplayText&gt;(US Dept of Health and Human Services 2016)&lt;/DisplayText&gt;&lt;record&gt;&lt;rec-number&gt;13024&lt;/rec-number&gt;&lt;foreign-keys&gt;&lt;key app="EN" db-id="5xv5w5t2bdxtxfezx02xtxdft5rz5ptvvt29" timestamp="1524017182"&gt;13024&lt;/key&gt;&lt;/foreign-keys&gt;&lt;ref-type name="Journal Article"&gt;17&lt;/ref-type&gt;&lt;contributors&gt;&lt;authors&gt;&lt;author&gt;US Dept of Health and Human Services,&lt;/author&gt;&lt;/authors&gt;&lt;/contributors&gt;&lt;titles&gt;&lt;title&gt;E-cigarette Use among Youth and Young Adults:A report of the Surgeon General&lt;/title&gt;&lt;/titles&gt;&lt;dates&gt;&lt;year&gt;2016&lt;/year&gt;&lt;/dates&gt;&lt;urls&gt;&lt;/urls&gt;&lt;/record&gt;&lt;/Cite&gt;&lt;/EndNote&gt;</w:instrText>
      </w:r>
      <w:r>
        <w:fldChar w:fldCharType="separate"/>
      </w:r>
      <w:r>
        <w:rPr>
          <w:noProof/>
        </w:rPr>
        <w:t>(US Dept of Health and Human Services 2016)</w:t>
      </w:r>
      <w:r>
        <w:fldChar w:fldCharType="end"/>
      </w:r>
      <w:r>
        <w:t>. For example, papers report on increased use of e</w:t>
      </w:r>
      <w:r>
        <w:noBreakHyphen/>
        <w:t xml:space="preserve">cigarettes in Hispanic populations </w:t>
      </w:r>
      <w:r>
        <w:fldChar w:fldCharType="begin">
          <w:fldData xml:space="preserve">PEVuZE5vdGU+PENpdGU+PEF1dGhvcj5IYW1taWc8L0F1dGhvcj48WWVhcj4yMDE3PC9ZZWFyPjxS
ZWNOdW0+NTMxNjwvUmVjTnVtPjxEaXNwbGF5VGV4dD4oSGFtbWlnLCBEYW5pZWwtRG9iYnMgZXQg
YWwuIDIwMTcsIExhbnphLCBSdXNzZWxsIGV0IGFsLiAyMDE3KTwvRGlzcGxheVRleHQ+PHJlY29y
ZD48cmVjLW51bWJlcj41MzE2PC9yZWMtbnVtYmVyPjxmb3JlaWduLWtleXM+PGtleSBhcHA9IkVO
IiBkYi1pZD0iZnB0OXB0dHJtNXpmc2Flc3A5ZnBzZGR2MDlld3N2NXhld2ZkIiB0aW1lc3RhbXA9
IjE1MjUwNDY0NTQiPjUzMTY8L2tleT48a2V5IGFwcD0iRU5XZWIiIGRiLWlkPSIiPjA8L2tleT48
L2ZvcmVpZ24ta2V5cz48cmVmLXR5cGUgbmFtZT0iSm91cm5hbCBBcnRpY2xlIj4xNzwvcmVmLXR5
cGU+PGNvbnRyaWJ1dG9ycz48YXV0aG9ycz48YXV0aG9yPkhhbW1pZywgQi48L2F1dGhvcj48YXV0
aG9yPkRhbmllbC1Eb2JicywgUC48L2F1dGhvcj48YXV0aG9yPkJsdW50LVZpbnRpLCBILjwvYXV0
aG9yPjwvYXV0aG9ycz48L2NvbnRyaWJ1dG9ycz48YXV0aC1hZGRyZXNzPmEgQ29tbXVuaXR5IEhl
YWx0aCBQcm9tb3Rpb24gLCBVbml2ZXJzaXR5IG9mIEFya2Fuc2FzICwgRmF5ZXR0ZXZpbGxlICwg
QVIgLCBVU0EuPC9hdXRoLWFkZHJlc3M+PHRpdGxlcz48dGl0bGU+RWxlY3Ryb25pYyBjaWdhcmV0
dGUgaW5pdGlhdGlvbiBhbW9uZyBtaW5vcml0eSB5b3V0aCBpbiB0aGUgVW5pdGVkIFN0YXRlczwv
dGl0bGU+PHNlY29uZGFyeS10aXRsZT5BbSBKIERydWcgQWxjb2hvbCBBYnVzZTwvc2Vjb25kYXJ5
LXRpdGxlPjxhbHQtdGl0bGU+VGhlIEFtZXJpY2FuIGpvdXJuYWwgb2YgZHJ1ZyBhbmQgYWxjb2hv
bCBhYnVzZTwvYWx0LXRpdGxlPjwvdGl0bGVzPjxwZXJpb2RpY2FsPjxmdWxsLXRpdGxlPkFtIEog
RHJ1ZyBBbGNvaG9sIEFidXNlPC9mdWxsLXRpdGxlPjxhYmJyLTE+VGhlIEFtZXJpY2FuIGpvdXJu
YWwgb2YgZHJ1ZyBhbmQgYWxjb2hvbCBhYnVzZTwvYWJici0xPjwvcGVyaW9kaWNhbD48YWx0LXBl
cmlvZGljYWw+PGZ1bGwtdGl0bGU+QW0gSiBEcnVnIEFsY29ob2wgQWJ1c2U8L2Z1bGwtdGl0bGU+
PGFiYnItMT5UaGUgQW1lcmljYW4gam91cm5hbCBvZiBkcnVnIGFuZCBhbGNvaG9sIGFidXNlPC9h
YmJyLTE+PC9hbHQtcGVyaW9kaWNhbD48cGFnZXM+MzA2LTMxMDwvcGFnZXM+PHZvbHVtZT40Mzwv
dm9sdW1lPjxudW1iZXI+MzwvbnVtYmVyPjxlZGl0aW9uPjIwMTYvMDgvMDY8L2VkaXRpb24+PGtl
eXdvcmRzPjxrZXl3b3JkPkFkb2xlc2NlbnQ8L2tleXdvcmQ+PGtleXdvcmQ+QWR2ZXJ0aXNpbmcg
YXMgVG9waWMvc3RhdGlzdGljcyAmYW1wOyBudW1lcmljYWwgZGF0YTwva2V5d29yZD48a2V5d29y
ZD5DaGlsZDwva2V5d29yZD48a2V5d29yZD5FbGVjdHJvbmljIE5pY290aW5lIERlbGl2ZXJ5IFN5
c3RlbXMvKnN0YXRpc3RpY3MgJmFtcDsgbnVtZXJpY2FsIGRhdGE8L2tleXdvcmQ+PGtleXdvcmQ+
RmVtYWxlPC9rZXl3b3JkPjxrZXl3b3JkPkhlYWx0aCBTdXJ2ZXlzPC9rZXl3b3JkPjxrZXl3b3Jk
Pkhpc3BhbmljIEFtZXJpY2Fucy9zdGF0aXN0aWNzICZhbXA7IG51bWVyaWNhbCBkYXRhPC9rZXl3
b3JkPjxrZXl3b3JkPkh1bWFuczwva2V5d29yZD48a2V5d29yZD5Mb2dpc3RpYyBNb2RlbHM8L2tl
eXdvcmQ+PGtleXdvcmQ+TWFsZTwva2V5d29yZD48a2V5d29yZD5NaW5vcml0eSBHcm91cHMvKnN0
YXRpc3RpY3MgJmFtcDsgbnVtZXJpY2FsIGRhdGE8L2tleXdvcmQ+PGtleXdvcmQ+U2Nob29sczwv
a2V5d29yZD48a2V5d29yZD5TdHVkZW50cy8qc3RhdGlzdGljcyAmYW1wOyBudW1lcmljYWwgZGF0
YTwva2V5d29yZD48a2V5d29yZD5Vbml0ZWQgU3RhdGVzPC9rZXl3b3JkPjxrZXl3b3JkPlZhcGlu
Zy9wc3ljaG9sb2d5LypzdGF0aXN0aWNzICZhbXA7IG51bWVyaWNhbCBkYXRhPC9rZXl3b3JkPjxr
ZXl3b3JkPkVsZWN0cm9uaWMgY2lnYXJldHRlczwva2V5d29yZD48a2V5d29yZD5taW5vcml0eTwv
a2V5d29yZD48a2V5d29yZD5uaWNvdGluZTwva2V5d29yZD48a2V5d29yZD55b3V0aDwva2V5d29y
ZD48L2tleXdvcmRzPjxkYXRlcz48eWVhcj4yMDE3PC95ZWFyPjxwdWItZGF0ZXM+PGRhdGU+TWF5
PC9kYXRlPjwvcHViLWRhdGVzPjwvZGF0ZXM+PGlzYm4+MDA5NS0yOTkwPC9pc2JuPjxhY2Nlc3Np
b24tbnVtPjI3NDk0NzcwPC9hY2Nlc3Npb24tbnVtPjx1cmxzPjxyZWxhdGVkLXVybHM+PHVybD5o
dHRwczovL3d3dy50YW5kZm9ubGluZS5jb20vZG9pL3BkZi8xMC4xMDgwLzAwOTUyOTkwLjIwMTYu
MTIwMzkyNj9uZWVkQWNjZXNzPXRydWU8L3VybD48L3JlbGF0ZWQtdXJscz48L3VybHM+PGVsZWN0
cm9uaWMtcmVzb3VyY2UtbnVtPjEwLjEwODAvMDA5NTI5OTAuMjAxNi4xMjAzOTI2PC9lbGVjdHJv
bmljLXJlc291cmNlLW51bT48cmVtb3RlLWRhdGFiYXNlLXByb3ZpZGVyPk5MTTwvcmVtb3RlLWRh
dGFiYXNlLXByb3ZpZGVyPjxsYW5ndWFnZT5lbmc8L2xhbmd1YWdlPjwvcmVjb3JkPjwvQ2l0ZT48
Q2l0ZT48QXV0aG9yPkxhbnphPC9BdXRob3I+PFllYXI+MjAxNzwvWWVhcj48UmVjTnVtPjUyOTg8
L1JlY051bT48cmVjb3JkPjxyZWMtbnVtYmVyPjUyOTg8L3JlYy1udW1iZXI+PGZvcmVpZ24ta2V5
cz48a2V5IGFwcD0iRU4iIGRiLWlkPSJmcHQ5cHR0cm01emZzYWVzcDlmcHNkZHYwOWV3c3Y1eGV3
ZmQiIHRpbWVzdGFtcD0iMTUyNTA0NjM5NiI+NTI5ODwva2V5PjxrZXkgYXBwPSJFTldlYiIgZGIt
aWQ9IiI+MDwva2V5PjwvZm9yZWlnbi1rZXlzPjxyZWYtdHlwZSBuYW1lPSJKb3VybmFsIEFydGlj
bGUiPjE3PC9yZWYtdHlwZT48Y29udHJpYnV0b3JzPjxhdXRob3JzPjxhdXRob3I+TGFuemEsIFMu
IFQuPC9hdXRob3I+PGF1dGhvcj5SdXNzZWxsLCBNLiBBLjwvYXV0aG9yPjxhdXRob3I+QnJheW1p
bGxlciwgSi4gTC48L2F1dGhvcj48L2F1dGhvcnM+PC9jb250cmlidXRvcnM+PGF1dGgtYWRkcmVz
cz5UaGUgTWV0aG9kb2xvZ3kgQ2VudGVyLCBUaGUgUGVubnN5bHZhbmlhIFN0YXRlIFVuaXZlcnNp
dHksIFVuaXZlcnNpdHkgUGFyaywgUEEsIFVTQTsgRGVwYXJ0bWVudCBvZiBCaW9iZWhhdmlvcmFs
IEhlYWx0aCwgVGhlIFBlbm5zeWx2YW5pYSBTdGF0ZSBVbml2ZXJzaXR5LCBVbml2ZXJzaXR5IFBh
cmssIFBBLCBVU0EuIEVsZWN0cm9uaWMgYWRkcmVzczogU0xhbnphQHBzdS5lZHUuJiN4RDtUaGUg
TWV0aG9kb2xvZ3kgQ2VudGVyLCBUaGUgUGVubnN5bHZhbmlhIFN0YXRlIFVuaXZlcnNpdHksIFVu
aXZlcnNpdHkgUGFyaywgUEEsIFVTQS4mI3hEO1RoZSBNZXRob2RvbG9neSBDZW50ZXIsIFRoZSBQ
ZW5uc3lsdmFuaWEgU3RhdGUgVW5pdmVyc2l0eSwgVW5pdmVyc2l0eSBQYXJrLCBQQSwgVVNBOyBE
ZXBhcnRtZW50IG9mIEJpb2JlaGF2aW9yYWwgSGVhbHRoLCBUaGUgUGVubnN5bHZhbmlhIFN0YXRl
IFVuaXZlcnNpdHksIFVuaXZlcnNpdHkgUGFyaywgUEEsIFVTQS48L2F1dGgtYWRkcmVzcz48dGl0
bGVzPjx0aXRsZT5FbWVyZ2VuY2Ugb2YgZWxlY3Ryb25pYyBjaWdhcmV0dGUgdXNlIGluIFVTIGFk
b2xlc2NlbnRzIGFuZCB0aGUgbGluayB0byB0cmFkaXRpb25hbCBjaWdhcmV0dGUgdXNlPC90aXRs
ZT48c2Vjb25kYXJ5LXRpdGxlPkFkZGljdCBCZWhhdjwvc2Vjb25kYXJ5LXRpdGxlPjxhbHQtdGl0
bGU+QWRkaWN0aXZlIGJlaGF2aW9yczwvYWx0LXRpdGxlPjwvdGl0bGVzPjxhbHQtcGVyaW9kaWNh
bD48ZnVsbC10aXRsZT5BZGRpY3RpdmUgQmVoYXZpb3JzPC9mdWxsLXRpdGxlPjwvYWx0LXBlcmlv
ZGljYWw+PHBhZ2VzPjM4LTQzPC9wYWdlcz48dm9sdW1lPjY3PC92b2x1bWU+PGVkaXRpb24+MjAx
Ni8xMi8xOTwvZWRpdGlvbj48a2V5d29yZHM+PGtleXdvcmQ+QWRvbGVzY2VudDwva2V5d29yZD48
a2V5d29yZD4qQWRvbGVzY2VudCBCZWhhdmlvcjwva2V5d29yZD48a2V5d29yZD5BZHVsdDwva2V5
d29yZD48a2V5d29yZD5BZ2UgRmFjdG9yczwva2V5d29yZD48a2V5d29yZD5DaGlsZDwva2V5d29y
ZD48a2V5d29yZD5DaWdhcmV0dGUgU21va2luZy8qZXBpZGVtaW9sb2d5PC9rZXl3b3JkPjxrZXl3
b3JkPkNyb3NzLVNlY3Rpb25hbCBTdHVkaWVzPC9rZXl3b3JkPjxrZXl3b3JkPkVsZWN0cm9uaWMg
Tmljb3RpbmUgRGVsaXZlcnkgU3lzdGVtcy8qc3RhdGlzdGljcyAmYW1wOyBudW1lcmljYWwgZGF0
YTwva2V5d29yZD48a2V5d29yZD5GZW1hbGU8L2tleXdvcmQ+PGtleXdvcmQ+SHVtYW5zPC9rZXl3
b3JkPjxrZXl3b3JkPk1hbGU8L2tleXdvcmQ+PGtleXdvcmQ+U3VydmV5cyBhbmQgUXVlc3Rpb25u
YWlyZXM8L2tleXdvcmQ+PGtleXdvcmQ+VW5pdGVkIFN0YXRlczwva2V5d29yZD48a2V5d29yZD5Z
b3VuZyBBZHVsdDwva2V5d29yZD48a2V5d29yZD5BZG9sZXNjZW5jZTwva2V5d29yZD48a2V5d29y
ZD5DaWdhcmV0dGVzPC9rZXl3b3JkPjxrZXl3b3JkPkUtY2lnYXJldHRlczwva2V5d29yZD48a2V5
d29yZD5UaW1lLXZhcnlpbmcgZWZmZWN0IG1vZGVsaW5nPC9rZXl3b3JkPjwva2V5d29yZHM+PGRh
dGVzPjx5ZWFyPjIwMTc8L3llYXI+PHB1Yi1kYXRlcz48ZGF0ZT5BcHI8L2RhdGU+PC9wdWItZGF0
ZXM+PC9kYXRlcz48aXNibj4wMzA2LTQ2MDM8L2lzYm4+PGFjY2Vzc2lvbi1udW0+Mjc5ODg0MTU8
L2FjY2Vzc2lvbi1udW0+PHVybHM+PHJlbGF0ZWQtdXJscz48dXJsPmh0dHBzOi8vd3d3LnNjaWVu
Y2VkaXJlY3QuY29tL3NjaWVuY2UvYXJ0aWNsZS9waWkvUzAzMDY0NjAzMTYzMDQyMDg/dmlhJTNE
aWh1YjwvdXJsPjwvcmVsYXRlZC11cmxzPjwvdXJscz48Y3VzdG9tMj5QTUM1MjUwNTgzPC9jdXN0
b20yPjxjdXN0b202Pk5JSE1TODM3MDczPC9jdXN0b202PjxlbGVjdHJvbmljLXJlc291cmNlLW51
bT4xMC4xMDE2L2ouYWRkYmVoLjIwMTYuMTIuMDAzPC9lbGVjdHJvbmljLXJlc291cmNlLW51bT48
cmVtb3RlLWRhdGFiYXNlLXByb3ZpZGVyPk5MTTwvcmVtb3RlLWRhdGFiYXNlLXByb3ZpZGVyPjxs
YW5ndWFnZT5lbmc8L2xhbmd1YWdlPjwvcmVjb3JkPjwvQ2l0ZT48L0VuZE5vdGU+AG==
</w:fldData>
        </w:fldChar>
      </w:r>
      <w:r>
        <w:instrText xml:space="preserve"> ADDIN EN.CITE </w:instrText>
      </w:r>
      <w:r>
        <w:fldChar w:fldCharType="begin">
          <w:fldData xml:space="preserve">PEVuZE5vdGU+PENpdGU+PEF1dGhvcj5IYW1taWc8L0F1dGhvcj48WWVhcj4yMDE3PC9ZZWFyPjxS
ZWNOdW0+NTMxNjwvUmVjTnVtPjxEaXNwbGF5VGV4dD4oSGFtbWlnLCBEYW5pZWwtRG9iYnMgZXQg
YWwuIDIwMTcsIExhbnphLCBSdXNzZWxsIGV0IGFsLiAyMDE3KTwvRGlzcGxheVRleHQ+PHJlY29y
ZD48cmVjLW51bWJlcj41MzE2PC9yZWMtbnVtYmVyPjxmb3JlaWduLWtleXM+PGtleSBhcHA9IkVO
IiBkYi1pZD0iZnB0OXB0dHJtNXpmc2Flc3A5ZnBzZGR2MDlld3N2NXhld2ZkIiB0aW1lc3RhbXA9
IjE1MjUwNDY0NTQiPjUzMTY8L2tleT48a2V5IGFwcD0iRU5XZWIiIGRiLWlkPSIiPjA8L2tleT48
L2ZvcmVpZ24ta2V5cz48cmVmLXR5cGUgbmFtZT0iSm91cm5hbCBBcnRpY2xlIj4xNzwvcmVmLXR5
cGU+PGNvbnRyaWJ1dG9ycz48YXV0aG9ycz48YXV0aG9yPkhhbW1pZywgQi48L2F1dGhvcj48YXV0
aG9yPkRhbmllbC1Eb2JicywgUC48L2F1dGhvcj48YXV0aG9yPkJsdW50LVZpbnRpLCBILjwvYXV0
aG9yPjwvYXV0aG9ycz48L2NvbnRyaWJ1dG9ycz48YXV0aC1hZGRyZXNzPmEgQ29tbXVuaXR5IEhl
YWx0aCBQcm9tb3Rpb24gLCBVbml2ZXJzaXR5IG9mIEFya2Fuc2FzICwgRmF5ZXR0ZXZpbGxlICwg
QVIgLCBVU0EuPC9hdXRoLWFkZHJlc3M+PHRpdGxlcz48dGl0bGU+RWxlY3Ryb25pYyBjaWdhcmV0
dGUgaW5pdGlhdGlvbiBhbW9uZyBtaW5vcml0eSB5b3V0aCBpbiB0aGUgVW5pdGVkIFN0YXRlczwv
dGl0bGU+PHNlY29uZGFyeS10aXRsZT5BbSBKIERydWcgQWxjb2hvbCBBYnVzZTwvc2Vjb25kYXJ5
LXRpdGxlPjxhbHQtdGl0bGU+VGhlIEFtZXJpY2FuIGpvdXJuYWwgb2YgZHJ1ZyBhbmQgYWxjb2hv
bCBhYnVzZTwvYWx0LXRpdGxlPjwvdGl0bGVzPjxwZXJpb2RpY2FsPjxmdWxsLXRpdGxlPkFtIEog
RHJ1ZyBBbGNvaG9sIEFidXNlPC9mdWxsLXRpdGxlPjxhYmJyLTE+VGhlIEFtZXJpY2FuIGpvdXJu
YWwgb2YgZHJ1ZyBhbmQgYWxjb2hvbCBhYnVzZTwvYWJici0xPjwvcGVyaW9kaWNhbD48YWx0LXBl
cmlvZGljYWw+PGZ1bGwtdGl0bGU+QW0gSiBEcnVnIEFsY29ob2wgQWJ1c2U8L2Z1bGwtdGl0bGU+
PGFiYnItMT5UaGUgQW1lcmljYW4gam91cm5hbCBvZiBkcnVnIGFuZCBhbGNvaG9sIGFidXNlPC9h
YmJyLTE+PC9hbHQtcGVyaW9kaWNhbD48cGFnZXM+MzA2LTMxMDwvcGFnZXM+PHZvbHVtZT40Mzwv
dm9sdW1lPjxudW1iZXI+MzwvbnVtYmVyPjxlZGl0aW9uPjIwMTYvMDgvMDY8L2VkaXRpb24+PGtl
eXdvcmRzPjxrZXl3b3JkPkFkb2xlc2NlbnQ8L2tleXdvcmQ+PGtleXdvcmQ+QWR2ZXJ0aXNpbmcg
YXMgVG9waWMvc3RhdGlzdGljcyAmYW1wOyBudW1lcmljYWwgZGF0YTwva2V5d29yZD48a2V5d29y
ZD5DaGlsZDwva2V5d29yZD48a2V5d29yZD5FbGVjdHJvbmljIE5pY290aW5lIERlbGl2ZXJ5IFN5
c3RlbXMvKnN0YXRpc3RpY3MgJmFtcDsgbnVtZXJpY2FsIGRhdGE8L2tleXdvcmQ+PGtleXdvcmQ+
RmVtYWxlPC9rZXl3b3JkPjxrZXl3b3JkPkhlYWx0aCBTdXJ2ZXlzPC9rZXl3b3JkPjxrZXl3b3Jk
Pkhpc3BhbmljIEFtZXJpY2Fucy9zdGF0aXN0aWNzICZhbXA7IG51bWVyaWNhbCBkYXRhPC9rZXl3
b3JkPjxrZXl3b3JkPkh1bWFuczwva2V5d29yZD48a2V5d29yZD5Mb2dpc3RpYyBNb2RlbHM8L2tl
eXdvcmQ+PGtleXdvcmQ+TWFsZTwva2V5d29yZD48a2V5d29yZD5NaW5vcml0eSBHcm91cHMvKnN0
YXRpc3RpY3MgJmFtcDsgbnVtZXJpY2FsIGRhdGE8L2tleXdvcmQ+PGtleXdvcmQ+U2Nob29sczwv
a2V5d29yZD48a2V5d29yZD5TdHVkZW50cy8qc3RhdGlzdGljcyAmYW1wOyBudW1lcmljYWwgZGF0
YTwva2V5d29yZD48a2V5d29yZD5Vbml0ZWQgU3RhdGVzPC9rZXl3b3JkPjxrZXl3b3JkPlZhcGlu
Zy9wc3ljaG9sb2d5LypzdGF0aXN0aWNzICZhbXA7IG51bWVyaWNhbCBkYXRhPC9rZXl3b3JkPjxr
ZXl3b3JkPkVsZWN0cm9uaWMgY2lnYXJldHRlczwva2V5d29yZD48a2V5d29yZD5taW5vcml0eTwv
a2V5d29yZD48a2V5d29yZD5uaWNvdGluZTwva2V5d29yZD48a2V5d29yZD55b3V0aDwva2V5d29y
ZD48L2tleXdvcmRzPjxkYXRlcz48eWVhcj4yMDE3PC95ZWFyPjxwdWItZGF0ZXM+PGRhdGU+TWF5
PC9kYXRlPjwvcHViLWRhdGVzPjwvZGF0ZXM+PGlzYm4+MDA5NS0yOTkwPC9pc2JuPjxhY2Nlc3Np
b24tbnVtPjI3NDk0NzcwPC9hY2Nlc3Npb24tbnVtPjx1cmxzPjxyZWxhdGVkLXVybHM+PHVybD5o
dHRwczovL3d3dy50YW5kZm9ubGluZS5jb20vZG9pL3BkZi8xMC4xMDgwLzAwOTUyOTkwLjIwMTYu
MTIwMzkyNj9uZWVkQWNjZXNzPXRydWU8L3VybD48L3JlbGF0ZWQtdXJscz48L3VybHM+PGVsZWN0
cm9uaWMtcmVzb3VyY2UtbnVtPjEwLjEwODAvMDA5NTI5OTAuMjAxNi4xMjAzOTI2PC9lbGVjdHJv
bmljLXJlc291cmNlLW51bT48cmVtb3RlLWRhdGFiYXNlLXByb3ZpZGVyPk5MTTwvcmVtb3RlLWRh
dGFiYXNlLXByb3ZpZGVyPjxsYW5ndWFnZT5lbmc8L2xhbmd1YWdlPjwvcmVjb3JkPjwvQ2l0ZT48
Q2l0ZT48QXV0aG9yPkxhbnphPC9BdXRob3I+PFllYXI+MjAxNzwvWWVhcj48UmVjTnVtPjUyOTg8
L1JlY051bT48cmVjb3JkPjxyZWMtbnVtYmVyPjUyOTg8L3JlYy1udW1iZXI+PGZvcmVpZ24ta2V5
cz48a2V5IGFwcD0iRU4iIGRiLWlkPSJmcHQ5cHR0cm01emZzYWVzcDlmcHNkZHYwOWV3c3Y1eGV3
ZmQiIHRpbWVzdGFtcD0iMTUyNTA0NjM5NiI+NTI5ODwva2V5PjxrZXkgYXBwPSJFTldlYiIgZGIt
aWQ9IiI+MDwva2V5PjwvZm9yZWlnbi1rZXlzPjxyZWYtdHlwZSBuYW1lPSJKb3VybmFsIEFydGlj
bGUiPjE3PC9yZWYtdHlwZT48Y29udHJpYnV0b3JzPjxhdXRob3JzPjxhdXRob3I+TGFuemEsIFMu
IFQuPC9hdXRob3I+PGF1dGhvcj5SdXNzZWxsLCBNLiBBLjwvYXV0aG9yPjxhdXRob3I+QnJheW1p
bGxlciwgSi4gTC48L2F1dGhvcj48L2F1dGhvcnM+PC9jb250cmlidXRvcnM+PGF1dGgtYWRkcmVz
cz5UaGUgTWV0aG9kb2xvZ3kgQ2VudGVyLCBUaGUgUGVubnN5bHZhbmlhIFN0YXRlIFVuaXZlcnNp
dHksIFVuaXZlcnNpdHkgUGFyaywgUEEsIFVTQTsgRGVwYXJ0bWVudCBvZiBCaW9iZWhhdmlvcmFs
IEhlYWx0aCwgVGhlIFBlbm5zeWx2YW5pYSBTdGF0ZSBVbml2ZXJzaXR5LCBVbml2ZXJzaXR5IFBh
cmssIFBBLCBVU0EuIEVsZWN0cm9uaWMgYWRkcmVzczogU0xhbnphQHBzdS5lZHUuJiN4RDtUaGUg
TWV0aG9kb2xvZ3kgQ2VudGVyLCBUaGUgUGVubnN5bHZhbmlhIFN0YXRlIFVuaXZlcnNpdHksIFVu
aXZlcnNpdHkgUGFyaywgUEEsIFVTQS4mI3hEO1RoZSBNZXRob2RvbG9neSBDZW50ZXIsIFRoZSBQ
ZW5uc3lsdmFuaWEgU3RhdGUgVW5pdmVyc2l0eSwgVW5pdmVyc2l0eSBQYXJrLCBQQSwgVVNBOyBE
ZXBhcnRtZW50IG9mIEJpb2JlaGF2aW9yYWwgSGVhbHRoLCBUaGUgUGVubnN5bHZhbmlhIFN0YXRl
IFVuaXZlcnNpdHksIFVuaXZlcnNpdHkgUGFyaywgUEEsIFVTQS48L2F1dGgtYWRkcmVzcz48dGl0
bGVzPjx0aXRsZT5FbWVyZ2VuY2Ugb2YgZWxlY3Ryb25pYyBjaWdhcmV0dGUgdXNlIGluIFVTIGFk
b2xlc2NlbnRzIGFuZCB0aGUgbGluayB0byB0cmFkaXRpb25hbCBjaWdhcmV0dGUgdXNlPC90aXRs
ZT48c2Vjb25kYXJ5LXRpdGxlPkFkZGljdCBCZWhhdjwvc2Vjb25kYXJ5LXRpdGxlPjxhbHQtdGl0
bGU+QWRkaWN0aXZlIGJlaGF2aW9yczwvYWx0LXRpdGxlPjwvdGl0bGVzPjxhbHQtcGVyaW9kaWNh
bD48ZnVsbC10aXRsZT5BZGRpY3RpdmUgQmVoYXZpb3JzPC9mdWxsLXRpdGxlPjwvYWx0LXBlcmlv
ZGljYWw+PHBhZ2VzPjM4LTQzPC9wYWdlcz48dm9sdW1lPjY3PC92b2x1bWU+PGVkaXRpb24+MjAx
Ni8xMi8xOTwvZWRpdGlvbj48a2V5d29yZHM+PGtleXdvcmQ+QWRvbGVzY2VudDwva2V5d29yZD48
a2V5d29yZD4qQWRvbGVzY2VudCBCZWhhdmlvcjwva2V5d29yZD48a2V5d29yZD5BZHVsdDwva2V5
d29yZD48a2V5d29yZD5BZ2UgRmFjdG9yczwva2V5d29yZD48a2V5d29yZD5DaGlsZDwva2V5d29y
ZD48a2V5d29yZD5DaWdhcmV0dGUgU21va2luZy8qZXBpZGVtaW9sb2d5PC9rZXl3b3JkPjxrZXl3
b3JkPkNyb3NzLVNlY3Rpb25hbCBTdHVkaWVzPC9rZXl3b3JkPjxrZXl3b3JkPkVsZWN0cm9uaWMg
Tmljb3RpbmUgRGVsaXZlcnkgU3lzdGVtcy8qc3RhdGlzdGljcyAmYW1wOyBudW1lcmljYWwgZGF0
YTwva2V5d29yZD48a2V5d29yZD5GZW1hbGU8L2tleXdvcmQ+PGtleXdvcmQ+SHVtYW5zPC9rZXl3
b3JkPjxrZXl3b3JkPk1hbGU8L2tleXdvcmQ+PGtleXdvcmQ+U3VydmV5cyBhbmQgUXVlc3Rpb25u
YWlyZXM8L2tleXdvcmQ+PGtleXdvcmQ+VW5pdGVkIFN0YXRlczwva2V5d29yZD48a2V5d29yZD5Z
b3VuZyBBZHVsdDwva2V5d29yZD48a2V5d29yZD5BZG9sZXNjZW5jZTwva2V5d29yZD48a2V5d29y
ZD5DaWdhcmV0dGVzPC9rZXl3b3JkPjxrZXl3b3JkPkUtY2lnYXJldHRlczwva2V5d29yZD48a2V5
d29yZD5UaW1lLXZhcnlpbmcgZWZmZWN0IG1vZGVsaW5nPC9rZXl3b3JkPjwva2V5d29yZHM+PGRh
dGVzPjx5ZWFyPjIwMTc8L3llYXI+PHB1Yi1kYXRlcz48ZGF0ZT5BcHI8L2RhdGU+PC9wdWItZGF0
ZXM+PC9kYXRlcz48aXNibj4wMzA2LTQ2MDM8L2lzYm4+PGFjY2Vzc2lvbi1udW0+Mjc5ODg0MTU8
L2FjY2Vzc2lvbi1udW0+PHVybHM+PHJlbGF0ZWQtdXJscz48dXJsPmh0dHBzOi8vd3d3LnNjaWVu
Y2VkaXJlY3QuY29tL3NjaWVuY2UvYXJ0aWNsZS9waWkvUzAzMDY0NjAzMTYzMDQyMDg/dmlhJTNE
aWh1YjwvdXJsPjwvcmVsYXRlZC11cmxzPjwvdXJscz48Y3VzdG9tMj5QTUM1MjUwNTgzPC9jdXN0
b20yPjxjdXN0b202Pk5JSE1TODM3MDczPC9jdXN0b202PjxlbGVjdHJvbmljLXJlc291cmNlLW51
bT4xMC4xMDE2L2ouYWRkYmVoLjIwMTYuMTIuMDAzPC9lbGVjdHJvbmljLXJlc291cmNlLW51bT48
cmVtb3RlLWRhdGFiYXNlLXByb3ZpZGVyPk5MTTwvcmVtb3RlLWRhdGFiYXNlLXByb3ZpZGVyPjxs
YW5ndWFnZT5lbmc8L2xhbmd1YWdlPjwvcmVjb3JkPjwvQ2l0ZT48L0VuZE5vdGU+AG==
</w:fldData>
        </w:fldChar>
      </w:r>
      <w:r>
        <w:instrText xml:space="preserve"> ADDIN EN.CITE.DATA </w:instrText>
      </w:r>
      <w:r>
        <w:fldChar w:fldCharType="end"/>
      </w:r>
      <w:r>
        <w:fldChar w:fldCharType="separate"/>
      </w:r>
      <w:r>
        <w:rPr>
          <w:noProof/>
        </w:rPr>
        <w:t>(Hammig, Daniel-Dobbs et al. 2017, Lanza, Russell et al. 2017)</w:t>
      </w:r>
      <w:r>
        <w:fldChar w:fldCharType="end"/>
      </w:r>
      <w:r>
        <w:t>, perceptions that e</w:t>
      </w:r>
      <w:r>
        <w:noBreakHyphen/>
        <w:t xml:space="preserve">cigarettes are less harmful than cigarettes </w:t>
      </w:r>
      <w:r>
        <w:fldChar w:fldCharType="begin"/>
      </w:r>
      <w:r>
        <w:instrText xml:space="preserve"> ADDIN EN.CITE &lt;EndNote&gt;&lt;Cite&gt;&lt;Author&gt;Dobbs&lt;/Author&gt;&lt;Year&gt;2017&lt;/Year&gt;&lt;RecNum&gt;5490&lt;/RecNum&gt;&lt;DisplayText&gt;(Dobbs, Hammig et al. 2017)&lt;/DisplayText&gt;&lt;record&gt;&lt;rec-number&gt;5490&lt;/rec-number&gt;&lt;foreign-keys&gt;&lt;key app="EN" db-id="fpt9pttrm5zfsaesp9fpsddv09ewsv5xewfd" timestamp="1525046651"&gt;5490&lt;/key&gt;&lt;key app="ENWeb" db-id=""&gt;0&lt;/key&gt;&lt;/foreign-keys&gt;&lt;ref-type name="Journal Article"&gt;17&lt;/ref-type&gt;&lt;contributors&gt;&lt;authors&gt;&lt;author&gt;Dobbs, P. D.&lt;/author&gt;&lt;author&gt;Hammig, B.&lt;/author&gt;&lt;author&gt;Henry, L. J.&lt;/author&gt;&lt;/authors&gt;&lt;/contributors&gt;&lt;titles&gt;&lt;title&gt;E-cigarette use among US adolescents: Perceptions of relative addiction and harm&lt;/title&gt;&lt;secondary-title&gt;Health Education Journal&lt;/secondary-title&gt;&lt;/titles&gt;&lt;periodical&gt;&lt;full-title&gt;Health Education Journal&lt;/full-title&gt;&lt;/periodical&gt;&lt;pages&gt;293-301&lt;/pages&gt;&lt;volume&gt;76&lt;/volume&gt;&lt;number&gt;3&lt;/number&gt;&lt;keywords&gt;&lt;keyword&gt;addiction&lt;/keyword&gt;&lt;keyword&gt;adolescent&lt;/keyword&gt;&lt;keyword&gt;adolescent smoking&lt;/keyword&gt;&lt;keyword&gt;adult&lt;/keyword&gt;&lt;keyword&gt;Article&lt;/keyword&gt;&lt;keyword&gt;child&lt;/keyword&gt;&lt;keyword&gt;controlled study&lt;/keyword&gt;&lt;keyword&gt;cross-sectional study&lt;/keyword&gt;&lt;keyword&gt;female&lt;/keyword&gt;&lt;keyword&gt;human&lt;/keyword&gt;&lt;keyword&gt;male&lt;/keyword&gt;&lt;keyword&gt;race difference&lt;/keyword&gt;&lt;keyword&gt;risk&lt;/keyword&gt;&lt;keyword&gt;self report&lt;/keyword&gt;&lt;keyword&gt;vaping&lt;/keyword&gt;&lt;/keywords&gt;&lt;dates&gt;&lt;year&gt;2017&lt;/year&gt;&lt;/dates&gt;&lt;urls&gt;&lt;related-urls&gt;&lt;url&gt;https://www.scopus.com/inward/record.uri?eid=2-s2.0-85015151067&amp;amp;doi=10.1177%2f0017896916671762&amp;amp;partnerID=40&amp;amp;md5=5f44634a12399cefbbbb5feb226478cc&lt;/url&gt;&lt;url&gt;http://journals.sagepub.com/doi/pdf/10.1177/0017896916671762&lt;/url&gt;&lt;/related-urls&gt;&lt;/urls&gt;&lt;electronic-resource-num&gt;10.1177/0017896916671762&lt;/electronic-resource-num&gt;&lt;remote-database-name&gt;Scopus&lt;/remote-database-name&gt;&lt;/record&gt;&lt;/Cite&gt;&lt;/EndNote&gt;</w:instrText>
      </w:r>
      <w:r>
        <w:fldChar w:fldCharType="separate"/>
      </w:r>
      <w:r>
        <w:rPr>
          <w:noProof/>
        </w:rPr>
        <w:t>(Dobbs, Hammig et al. 2017)</w:t>
      </w:r>
      <w:r>
        <w:fldChar w:fldCharType="end"/>
      </w:r>
      <w:r>
        <w:t>, and that other substance use is related to e</w:t>
      </w:r>
      <w:r>
        <w:noBreakHyphen/>
        <w:t xml:space="preserve">cigarette use </w:t>
      </w:r>
      <w:r>
        <w:fldChar w:fldCharType="begin"/>
      </w:r>
      <w:r>
        <w:instrText xml:space="preserve"> ADDIN EN.CITE &lt;EndNote&gt;&lt;Cite&gt;&lt;Author&gt;Owotomo&lt;/Author&gt;&lt;Year&gt;2017&lt;/Year&gt;&lt;RecNum&gt;5425&lt;/RecNum&gt;&lt;DisplayText&gt;(Owotomo and Maslowsky 2017)&lt;/DisplayText&gt;&lt;record&gt;&lt;rec-number&gt;5425&lt;/rec-number&gt;&lt;foreign-keys&gt;&lt;key app="EN" db-id="fpt9pttrm5zfsaesp9fpsddv09ewsv5xewfd" timestamp="1525046623"&gt;5425&lt;/key&gt;&lt;key app="ENWeb" db-id=""&gt;0&lt;/key&gt;&lt;/foreign-keys&gt;&lt;ref-type name="Journal Article"&gt;17&lt;/ref-type&gt;&lt;contributors&gt;&lt;authors&gt;&lt;author&gt;Owotomo, O.&lt;/author&gt;&lt;author&gt;Maslowsky, J.&lt;/author&gt;&lt;/authors&gt;&lt;/contributors&gt;&lt;titles&gt;&lt;title&gt;Marijuana and e-cigarette use in a US national sample of 8th and 10th grade never-smokers of conventional cigarettes&lt;/title&gt;&lt;secondary-title&gt;Journal of Applied Research on Children&lt;/secondary-title&gt;&lt;/titles&gt;&lt;periodical&gt;&lt;full-title&gt;Journal of Applied Research on Children&lt;/full-title&gt;&lt;/periodical&gt;&lt;volume&gt;8&lt;/volume&gt;&lt;number&gt;2&lt;/number&gt;&lt;dates&gt;&lt;year&gt;2017&lt;/year&gt;&lt;/dates&gt;&lt;urls&gt;&lt;related-urls&gt;&lt;url&gt;https://www.scopus.com/inward/record.uri?eid=2-s2.0-85042435783&amp;amp;partnerID=40&amp;amp;md5=9c16a1b802ec332b66ef217e8a3294f5&lt;/url&gt;&lt;/related-urls&gt;&lt;/urls&gt;&lt;remote-database-name&gt;Scopus C7 - 5&lt;/remote-database-name&gt;&lt;/record&gt;&lt;/Cite&gt;&lt;/EndNote&gt;</w:instrText>
      </w:r>
      <w:r>
        <w:fldChar w:fldCharType="separate"/>
      </w:r>
      <w:r>
        <w:rPr>
          <w:noProof/>
        </w:rPr>
        <w:t>(Owotomo and Maslowsky 2017)</w:t>
      </w:r>
      <w:r>
        <w:fldChar w:fldCharType="end"/>
      </w:r>
      <w:r>
        <w:t xml:space="preserve">. </w:t>
      </w:r>
    </w:p>
    <w:p w14:paraId="11EAF0A5" w14:textId="77777777" w:rsidR="002E3AED" w:rsidRDefault="002E3AED" w:rsidP="002E3AED">
      <w:pPr>
        <w:pStyle w:val="BodyText"/>
      </w:pPr>
    </w:p>
    <w:p w14:paraId="7D1E9A7E" w14:textId="77777777" w:rsidR="002E3AED" w:rsidRDefault="002E3AED" w:rsidP="002E3AED">
      <w:pPr>
        <w:pStyle w:val="BodyText"/>
      </w:pPr>
      <w:r>
        <w:t>One paper compared participation in different sports and found that sports such as baseball and wrestling were associated with greater likelihood of e</w:t>
      </w:r>
      <w:r>
        <w:noBreakHyphen/>
        <w:t xml:space="preserve">cigarette use </w:t>
      </w:r>
      <w:r>
        <w:fldChar w:fldCharType="begin">
          <w:fldData xml:space="preserve">PEVuZE5vdGU+PENpdGU+PEF1dGhvcj5WZWxpejwvQXV0aG9yPjxZZWFyPjIwMTc8L1llYXI+PFJl
Y051bT40NDk8L1JlY051bT48RGlzcGxheVRleHQ+KFZlbGl6LCBNY0NhYmUgZXQgYWwuIDIwMTcp
PC9EaXNwbGF5VGV4dD48cmVjb3JkPjxyZWMtbnVtYmVyPjQ0OTwvcmVjLW51bWJlcj48Zm9yZWln
bi1rZXlzPjxrZXkgYXBwPSJFTiIgZGItaWQ9IjV4djV3NXQyYmR4dHhmZXp4MDJ4dHhkZnQ1cno1
cHR2dnQyOSIgdGltZXN0YW1wPSIxNTIwNTY4NDU0Ij40NDk8L2tleT48a2V5IGFwcD0iRU5XZWIi
IGRiLWlkPSIiPjA8L2tleT48L2ZvcmVpZ24ta2V5cz48cmVmLXR5cGUgbmFtZT0iSm91cm5hbCBB
cnRpY2xlIj4xNzwvcmVmLXR5cGU+PGNvbnRyaWJ1dG9ycz48YXV0aG9ycz48YXV0aG9yPlZlbGl6
LCBQLjwvYXV0aG9yPjxhdXRob3I+TWNDYWJlLCBTLiBFLjwvYXV0aG9yPjxhdXRob3I+TWNDYWJl
LCBWLiBWLjwvYXV0aG9yPjxhdXRob3I+Qm95ZCwgQy4gSi48L2F1dGhvcj48L2F1dGhvcnM+PC9j
b250cmlidXRvcnM+PGF1dGgtYWRkcmVzcz5JbnN0aXR1dGUgZm9yIFJlc2VhcmNoIG9uIFdvbWVu
IGFuZCBHZW5kZXIsIFVuaXZlcnNpdHkgb2YgTWljaGlnYW4sIEFubiBBcmJvciwgTWljaGlnYW4u
IEVsZWN0cm9uaWMgYWRkcmVzczogcHR2ZWxpekB1bWljaC5lZHUuJiN4RDtJbnN0aXR1dGUgZm9y
IFJlc2VhcmNoIG9uIFdvbWVuIGFuZCBHZW5kZXIsIFVuaXZlcnNpdHkgb2YgTWljaGlnYW4sIEFu
biBBcmJvciwgTWljaGlnYW47IFN1YnN0YW5jZSBBYnVzZSBSZXNlYXJjaCBDZW50ZXIsIFVuaXZl
cnNpdHkgb2YgTWljaGlnYW4sIEFubiBBcmJvciwgTWljaGlnYW4uJiN4RDtTZWN0aW9uIG9mIFRo
b3JhY2ljIFN1cmdlcnksIFN0LiBKb3NlcGggTWVyY3kgQW5uIEFyYm9yLCBBbm4gQXJib3IsIE1p
Y2hpZ2FuLiYjeEQ7SW5zdGl0dXRlIGZvciBSZXNlYXJjaCBvbiBXb21lbiBhbmQgR2VuZGVyLCBV
bml2ZXJzaXR5IG9mIE1pY2hpZ2FuLCBBbm4gQXJib3IsIE1pY2hpZ2FuOyBTY2hvb2wgb2YgTnVy
c2luZywgVW5pdmVyc2l0eSBvZiBNaWNoaWdhbiwgQW5uIEFyYm9yLCBNaWNoaWdhbjsgQWRkaWN0
aW9uIFJlc2VhcmNoIENlbnRlciwgRGVwYXJ0bWVudCBvZiBQc3ljaGlhdHJ5LCBVbml2ZXJzaXR5
IG9mIE1pY2hpZ2FuLCBBbm4gQXJib3IsIE1pY2hpZ2FuLjwvYXV0aC1hZGRyZXNzPjx0aXRsZXM+
PHRpdGxlPkFkb2xlc2NlbnQgU3BvcnRzIFBhcnRpY2lwYXRpb24sIEUtY2lnYXJldHRlIFVzZSwg
YW5kIENpZ2FyZXR0ZSBTbW9raW5nPC90aXRsZT48c2Vjb25kYXJ5LXRpdGxlPkFtIEogUHJldiBN
ZWQ8L3NlY29uZGFyeS10aXRsZT48YWx0LXRpdGxlPkFtZXJpY2FuIGpvdXJuYWwgb2YgcHJldmVu
dGl2ZSBtZWRpY2luZTwvYWx0LXRpdGxlPjwvdGl0bGVzPjxwZXJpb2RpY2FsPjxmdWxsLXRpdGxl
PkFtIEogUHJldiBNZWQ8L2Z1bGwtdGl0bGU+PGFiYnItMT5BbWVyaWNhbiBqb3VybmFsIG9mIHBy
ZXZlbnRpdmUgbWVkaWNpbmU8L2FiYnItMT48L3BlcmlvZGljYWw+PGFsdC1wZXJpb2RpY2FsPjxm
dWxsLXRpdGxlPkFtIEogUHJldiBNZWQ8L2Z1bGwtdGl0bGU+PGFiYnItMT5BbWVyaWNhbiBqb3Vy
bmFsIG9mIHByZXZlbnRpdmUgbWVkaWNpbmU8L2FiYnItMT48L2FsdC1wZXJpb2RpY2FsPjxwYWdl
cz5lMTc1LWUxODM8L3BhZ2VzPjx2b2x1bWU+NTM8L3ZvbHVtZT48bnVtYmVyPjU8L251bWJlcj48
ZWRpdGlvbj4yMDE3LzA4LzE5PC9lZGl0aW9uPjxkYXRlcz48eWVhcj4yMDE3PC95ZWFyPjxwdWIt
ZGF0ZXM+PGRhdGU+Tm92PC9kYXRlPjwvcHViLWRhdGVzPjwvZGF0ZXM+PGlzYm4+MDc0OS0zNzk3
PC9pc2JuPjxhY2Nlc3Npb24tbnVtPjI4ODE4NDE2PC9hY2Nlc3Npb24tbnVtPjx1cmxzPjxyZWxh
dGVkLXVybHM+PHVybD5odHRwOi8vd3d3LmFqcG1vbmxpbmUub3JnL2FydGljbGUvUzA3NDktMzc5
NygxNykzMDM2Mi04L3BkZjwvdXJsPjwvcmVsYXRlZC11cmxzPjwvdXJscz48Y3VzdG9tMj5QTUM1
NjU3MzEwPC9jdXN0b20yPjxjdXN0b202Pk5JSE1TODg0MzY3PC9jdXN0b202PjxlbGVjdHJvbmlj
LXJlc291cmNlLW51bT4xMC4xMDE2L2ouYW1lcHJlLjIwMTcuMDYuMDMyPC9lbGVjdHJvbmljLXJl
c291cmNlLW51bT48cmVtb3RlLWRhdGFiYXNlLXByb3ZpZGVyPk5MTTwvcmVtb3RlLWRhdGFiYXNl
LXByb3ZpZGVyPjxsYW5ndWFnZT5lbmc8L2xhbmd1YWdlPjwvcmVjb3JkPjwvQ2l0ZT48L0VuZE5v
dGU+
</w:fldData>
        </w:fldChar>
      </w:r>
      <w:r w:rsidR="00903735">
        <w:instrText xml:space="preserve"> ADDIN EN.CITE </w:instrText>
      </w:r>
      <w:r w:rsidR="00903735">
        <w:fldChar w:fldCharType="begin">
          <w:fldData xml:space="preserve">PEVuZE5vdGU+PENpdGU+PEF1dGhvcj5WZWxpejwvQXV0aG9yPjxZZWFyPjIwMTc8L1llYXI+PFJl
Y051bT40NDk8L1JlY051bT48RGlzcGxheVRleHQ+KFZlbGl6LCBNY0NhYmUgZXQgYWwuIDIwMTcp
PC9EaXNwbGF5VGV4dD48cmVjb3JkPjxyZWMtbnVtYmVyPjQ0OTwvcmVjLW51bWJlcj48Zm9yZWln
bi1rZXlzPjxrZXkgYXBwPSJFTiIgZGItaWQ9IjV4djV3NXQyYmR4dHhmZXp4MDJ4dHhkZnQ1cno1
cHR2dnQyOSIgdGltZXN0YW1wPSIxNTIwNTY4NDU0Ij40NDk8L2tleT48a2V5IGFwcD0iRU5XZWIi
IGRiLWlkPSIiPjA8L2tleT48L2ZvcmVpZ24ta2V5cz48cmVmLXR5cGUgbmFtZT0iSm91cm5hbCBB
cnRpY2xlIj4xNzwvcmVmLXR5cGU+PGNvbnRyaWJ1dG9ycz48YXV0aG9ycz48YXV0aG9yPlZlbGl6
LCBQLjwvYXV0aG9yPjxhdXRob3I+TWNDYWJlLCBTLiBFLjwvYXV0aG9yPjxhdXRob3I+TWNDYWJl
LCBWLiBWLjwvYXV0aG9yPjxhdXRob3I+Qm95ZCwgQy4gSi48L2F1dGhvcj48L2F1dGhvcnM+PC9j
b250cmlidXRvcnM+PGF1dGgtYWRkcmVzcz5JbnN0aXR1dGUgZm9yIFJlc2VhcmNoIG9uIFdvbWVu
IGFuZCBHZW5kZXIsIFVuaXZlcnNpdHkgb2YgTWljaGlnYW4sIEFubiBBcmJvciwgTWljaGlnYW4u
IEVsZWN0cm9uaWMgYWRkcmVzczogcHR2ZWxpekB1bWljaC5lZHUuJiN4RDtJbnN0aXR1dGUgZm9y
IFJlc2VhcmNoIG9uIFdvbWVuIGFuZCBHZW5kZXIsIFVuaXZlcnNpdHkgb2YgTWljaGlnYW4sIEFu
biBBcmJvciwgTWljaGlnYW47IFN1YnN0YW5jZSBBYnVzZSBSZXNlYXJjaCBDZW50ZXIsIFVuaXZl
cnNpdHkgb2YgTWljaGlnYW4sIEFubiBBcmJvciwgTWljaGlnYW4uJiN4RDtTZWN0aW9uIG9mIFRo
b3JhY2ljIFN1cmdlcnksIFN0LiBKb3NlcGggTWVyY3kgQW5uIEFyYm9yLCBBbm4gQXJib3IsIE1p
Y2hpZ2FuLiYjeEQ7SW5zdGl0dXRlIGZvciBSZXNlYXJjaCBvbiBXb21lbiBhbmQgR2VuZGVyLCBV
bml2ZXJzaXR5IG9mIE1pY2hpZ2FuLCBBbm4gQXJib3IsIE1pY2hpZ2FuOyBTY2hvb2wgb2YgTnVy
c2luZywgVW5pdmVyc2l0eSBvZiBNaWNoaWdhbiwgQW5uIEFyYm9yLCBNaWNoaWdhbjsgQWRkaWN0
aW9uIFJlc2VhcmNoIENlbnRlciwgRGVwYXJ0bWVudCBvZiBQc3ljaGlhdHJ5LCBVbml2ZXJzaXR5
IG9mIE1pY2hpZ2FuLCBBbm4gQXJib3IsIE1pY2hpZ2FuLjwvYXV0aC1hZGRyZXNzPjx0aXRsZXM+
PHRpdGxlPkFkb2xlc2NlbnQgU3BvcnRzIFBhcnRpY2lwYXRpb24sIEUtY2lnYXJldHRlIFVzZSwg
YW5kIENpZ2FyZXR0ZSBTbW9raW5nPC90aXRsZT48c2Vjb25kYXJ5LXRpdGxlPkFtIEogUHJldiBN
ZWQ8L3NlY29uZGFyeS10aXRsZT48YWx0LXRpdGxlPkFtZXJpY2FuIGpvdXJuYWwgb2YgcHJldmVu
dGl2ZSBtZWRpY2luZTwvYWx0LXRpdGxlPjwvdGl0bGVzPjxwZXJpb2RpY2FsPjxmdWxsLXRpdGxl
PkFtIEogUHJldiBNZWQ8L2Z1bGwtdGl0bGU+PGFiYnItMT5BbWVyaWNhbiBqb3VybmFsIG9mIHBy
ZXZlbnRpdmUgbWVkaWNpbmU8L2FiYnItMT48L3BlcmlvZGljYWw+PGFsdC1wZXJpb2RpY2FsPjxm
dWxsLXRpdGxlPkFtIEogUHJldiBNZWQ8L2Z1bGwtdGl0bGU+PGFiYnItMT5BbWVyaWNhbiBqb3Vy
bmFsIG9mIHByZXZlbnRpdmUgbWVkaWNpbmU8L2FiYnItMT48L2FsdC1wZXJpb2RpY2FsPjxwYWdl
cz5lMTc1LWUxODM8L3BhZ2VzPjx2b2x1bWU+NTM8L3ZvbHVtZT48bnVtYmVyPjU8L251bWJlcj48
ZWRpdGlvbj4yMDE3LzA4LzE5PC9lZGl0aW9uPjxkYXRlcz48eWVhcj4yMDE3PC95ZWFyPjxwdWIt
ZGF0ZXM+PGRhdGU+Tm92PC9kYXRlPjwvcHViLWRhdGVzPjwvZGF0ZXM+PGlzYm4+MDc0OS0zNzk3
PC9pc2JuPjxhY2Nlc3Npb24tbnVtPjI4ODE4NDE2PC9hY2Nlc3Npb24tbnVtPjx1cmxzPjxyZWxh
dGVkLXVybHM+PHVybD5odHRwOi8vd3d3LmFqcG1vbmxpbmUub3JnL2FydGljbGUvUzA3NDktMzc5
NygxNykzMDM2Mi04L3BkZjwvdXJsPjwvcmVsYXRlZC11cmxzPjwvdXJscz48Y3VzdG9tMj5QTUM1
NjU3MzEwPC9jdXN0b20yPjxjdXN0b202Pk5JSE1TODg0MzY3PC9jdXN0b202PjxlbGVjdHJvbmlj
LXJlc291cmNlLW51bT4xMC4xMDE2L2ouYW1lcHJlLjIwMTcuMDYuMDMyPC9lbGVjdHJvbmljLXJl
c291cmNlLW51bT48cmVtb3RlLWRhdGFiYXNlLXByb3ZpZGVyPk5MTTwvcmVtb3RlLWRhdGFiYXNl
LXByb3ZpZGVyPjxsYW5ndWFnZT5lbmc8L2xhbmd1YWdlPjwvcmVjb3JkPjwvQ2l0ZT48L0VuZE5v
dGU+
</w:fldData>
        </w:fldChar>
      </w:r>
      <w:r w:rsidR="00903735">
        <w:instrText xml:space="preserve"> ADDIN EN.CITE.DATA </w:instrText>
      </w:r>
      <w:r w:rsidR="00903735">
        <w:fldChar w:fldCharType="end"/>
      </w:r>
      <w:r>
        <w:fldChar w:fldCharType="separate"/>
      </w:r>
      <w:r>
        <w:rPr>
          <w:noProof/>
        </w:rPr>
        <w:t>(Veliz, McCabe et al. 2017)</w:t>
      </w:r>
      <w:r>
        <w:fldChar w:fldCharType="end"/>
      </w:r>
      <w:r>
        <w:t xml:space="preserve">. Chen et al </w:t>
      </w:r>
      <w:r>
        <w:fldChar w:fldCharType="begin"/>
      </w:r>
      <w:r>
        <w:instrText xml:space="preserve"> ADDIN EN.CITE &lt;EndNote&gt;&lt;Cite&gt;&lt;Author&gt;Chen&lt;/Author&gt;&lt;Year&gt;2017&lt;/Year&gt;&lt;RecNum&gt;5134&lt;/RecNum&gt;&lt;DisplayText&gt;(Chen, Yu et al. 2017)&lt;/DisplayText&gt;&lt;record&gt;&lt;rec-number&gt;5134&lt;/rec-number&gt;&lt;foreign-keys&gt;&lt;key app="EN" db-id="fpt9pttrm5zfsaesp9fpsddv09ewsv5xewfd" timestamp="1525046093"&gt;5134&lt;/key&gt;&lt;key app="ENWeb" db-id=""&gt;0&lt;/key&gt;&lt;/foreign-keys&gt;&lt;ref-type name="Journal Article"&gt;17&lt;/ref-type&gt;&lt;contributors&gt;&lt;authors&gt;&lt;author&gt;Chen, X.&lt;/author&gt;&lt;author&gt;Yu, B.&lt;/author&gt;&lt;author&gt;Wang, Y.&lt;/author&gt;&lt;/authors&gt;&lt;/contributors&gt;&lt;auth-address&gt;Department of Epidemiology, University of Florida, Gainesville, Florida.&amp;#xD;Department of Epidemiology, University of Florida, Gainesville, Florida. Electronic address: ywang48@phhp.ufl.edu.&lt;/auth-address&gt;&lt;titles&gt;&lt;title&gt;Initiation of Electronic Cigarette Use by Age Among Youth in the U.S&lt;/title&gt;&lt;secondary-title&gt;Am J Prev Med&lt;/secondary-title&gt;&lt;alt-title&gt;American journal of preventive medicine&lt;/alt-title&gt;&lt;/titles&gt;&lt;alt-periodical&gt;&lt;full-title&gt;American Journal of Preventive Medicine&lt;/full-title&gt;&lt;/alt-periodical&gt;&lt;pages&gt;396-399&lt;/pages&gt;&lt;volume&gt;53&lt;/volume&gt;&lt;number&gt;3&lt;/number&gt;&lt;edition&gt;2017/04/05&lt;/edition&gt;&lt;dates&gt;&lt;year&gt;2017&lt;/year&gt;&lt;pub-dates&gt;&lt;date&gt;Sep&lt;/date&gt;&lt;/pub-dates&gt;&lt;/dates&gt;&lt;isbn&gt;0749-3797&lt;/isbn&gt;&lt;accession-num&gt;28372920&lt;/accession-num&gt;&lt;urls&gt;&lt;related-urls&gt;&lt;url&gt;http://www.ajpmonline.org/article/S0749-3797(17)30158-7/pdf&lt;/url&gt;&lt;/related-urls&gt;&lt;/urls&gt;&lt;electronic-resource-num&gt;10.1016/j.amepre.2017.02.011&lt;/electronic-resource-num&gt;&lt;remote-database-provider&gt;NLM&lt;/remote-database-provider&gt;&lt;language&gt;eng&lt;/language&gt;&lt;/record&gt;&lt;/Cite&gt;&lt;/EndNote&gt;</w:instrText>
      </w:r>
      <w:r>
        <w:fldChar w:fldCharType="separate"/>
      </w:r>
      <w:r>
        <w:rPr>
          <w:noProof/>
        </w:rPr>
        <w:t>(Chen, Yu et al. 2017)</w:t>
      </w:r>
      <w:r>
        <w:fldChar w:fldCharType="end"/>
      </w:r>
      <w:r>
        <w:t xml:space="preserve"> used data from the 2014 NYTS and performed survival analysis to predict when youth are at greater risk of initiation of e</w:t>
      </w:r>
      <w:r>
        <w:noBreakHyphen/>
        <w:t>cigarette smoking. Their results suggested that e</w:t>
      </w:r>
      <w:r>
        <w:noBreakHyphen/>
        <w:t>cigarette use may begin earlier than use of conventional cigarettes, starting from as young as seven years old.</w:t>
      </w:r>
      <w:r w:rsidRPr="005335DB">
        <w:t xml:space="preserve"> </w:t>
      </w:r>
      <w:r>
        <w:t xml:space="preserve">However, it should be noted that there was significant variations by race and gender. </w:t>
      </w:r>
    </w:p>
    <w:p w14:paraId="1A19C897" w14:textId="77777777" w:rsidR="002E3AED" w:rsidRDefault="002E3AED" w:rsidP="002E3AED">
      <w:pPr>
        <w:pStyle w:val="BodyText"/>
      </w:pPr>
    </w:p>
    <w:p w14:paraId="6A310339" w14:textId="77777777" w:rsidR="002E3AED" w:rsidRDefault="002E3AED" w:rsidP="002E3AED">
      <w:pPr>
        <w:pStyle w:val="BodyText"/>
      </w:pPr>
      <w:r>
        <w:lastRenderedPageBreak/>
        <w:t xml:space="preserve">One paper included analysis of the 2016 NYTS data which was not included in the Surgeon General’s report </w:t>
      </w:r>
      <w:r>
        <w:fldChar w:fldCharType="begin">
          <w:fldData xml:space="preserve">PEVuZE5vdGU+PENpdGU+PEF1dGhvcj5Uc2FpPC9BdXRob3I+PFllYXI+MjAxODwvWWVhcj48UmVj
TnVtPjQ1OTY8L1JlY051bT48RGlzcGxheVRleHQ+KFRzYWksIFdhbHRvbiBldCBhbC4gMjAxOCk8
L0Rpc3BsYXlUZXh0PjxyZWNvcmQ+PHJlYy1udW1iZXI+NDU5NjwvcmVjLW51bWJlcj48Zm9yZWln
bi1rZXlzPjxrZXkgYXBwPSJFTiIgZGItaWQ9ImZwdDlwdHRybTV6ZnNhZXNwOWZwc2RkdjA5ZXdz
djV4ZXdmZCIgdGltZXN0YW1wPSIxNTI1MDQ1MTI4Ij40NTk2PC9rZXk+PGtleSBhcHA9IkVOV2Vi
IiBkYi1pZD0iIj4wPC9rZXk+PC9mb3JlaWduLWtleXM+PHJlZi10eXBlIG5hbWU9IkpvdXJuYWwg
QXJ0aWNsZSI+MTc8L3JlZi10eXBlPjxjb250cmlidXRvcnM+PGF1dGhvcnM+PGF1dGhvcj5Uc2Fp
LCBKLjwvYXV0aG9yPjxhdXRob3I+V2FsdG9uLCBLLjwvYXV0aG9yPjxhdXRob3I+Q29sZW1hbiwg
Qi4gTi48L2F1dGhvcj48YXV0aG9yPlNoYXJhcG92YSwgUy4gUi48L2F1dGhvcj48YXV0aG9yPkpv
aG5zb24sIFMuIEUuPC9hdXRob3I+PGF1dGhvcj5LZW5uZWR5LCBTLiBNLjwvYXV0aG9yPjxhdXRo
b3I+Q2FyYWJhbGxvLCBSLiBTLjwvYXV0aG9yPjwvYXV0aG9ycz48L2NvbnRyaWJ1dG9ycz48dGl0
bGVzPjx0aXRsZT5SZWFzb25zIGZvciBFbGVjdHJvbmljIENpZ2FyZXR0ZSBVc2UgQW1vbmcgTWlk
ZGxlIGFuZCBIaWdoIFNjaG9vbCBTdHVkZW50cyAtIE5hdGlvbmFsIFlvdXRoIFRvYmFjY28gU3Vy
dmV5LCBVbml0ZWQgU3RhdGVzLCAyMDE2PC90aXRsZT48c2Vjb25kYXJ5LXRpdGxlPk1NV1IgTW9y
YiBNb3J0YWwgV2tseSBSZXA8L3NlY29uZGFyeS10aXRsZT48YWx0LXRpdGxlPk1NV1IuIE1vcmJp
ZGl0eSBhbmQgbW9ydGFsaXR5IHdlZWtseSByZXBvcnQ8L2FsdC10aXRsZT48L3RpdGxlcz48cGVy
aW9kaWNhbD48ZnVsbC10aXRsZT5NTVdSIE1vcmIgTW9ydGFsIFdrbHkgUmVwPC9mdWxsLXRpdGxl
PjxhYmJyLTE+TU1XUi4gTW9yYmlkaXR5IGFuZCBtb3J0YWxpdHkgd2Vla2x5IHJlcG9ydDwvYWJi
ci0xPjwvcGVyaW9kaWNhbD48YWx0LXBlcmlvZGljYWw+PGZ1bGwtdGl0bGU+TU1XUiBNb3JiIE1v
cnRhbCBXa2x5IFJlcDwvZnVsbC10aXRsZT48YWJici0xPk1NV1IuIE1vcmJpZGl0eSBhbmQgbW9y
dGFsaXR5IHdlZWtseSByZXBvcnQ8L2FiYnItMT48L2FsdC1wZXJpb2RpY2FsPjxwYWdlcz4xOTYt
MjAwPC9wYWdlcz48dm9sdW1lPjY3PC92b2x1bWU+PG51bWJlcj42PC9udW1iZXI+PGVkaXRpb24+
MjAxOC8wMi8xNjwvZWRpdGlvbj48a2V5d29yZHM+PGtleXdvcmQ+QWRvbGVzY2VudDwva2V5d29y
ZD48a2V5d29yZD5DaGlsZDwva2V5d29yZD48a2V5d29yZD5GZW1hbGU8L2tleXdvcmQ+PGtleXdv
cmQ+SGVhbHRoIFN1cnZleXM8L2tleXdvcmQ+PGtleXdvcmQ+SHVtYW5zPC9rZXl3b3JkPjxrZXl3
b3JkPk1hbGU8L2tleXdvcmQ+PGtleXdvcmQ+U2Nob29scy9zdGF0aXN0aWNzICZhbXA7IG51bWVy
aWNhbCBkYXRhPC9rZXl3b3JkPjxrZXl3b3JkPlN0dWRlbnRzLypwc3ljaG9sb2d5L3N0YXRpc3Rp
Y3MgJmFtcDsgbnVtZXJpY2FsIGRhdGE8L2tleXdvcmQ+PGtleXdvcmQ+VW5pdGVkIFN0YXRlczwv
a2V5d29yZD48a2V5d29yZD5WYXBpbmcvKnBzeWNob2xvZ3kvc3RhdGlzdGljcyAmYW1wOyBudW1l
cmljYWwgZGF0YTwva2V5d29yZD48L2tleXdvcmRzPjxkYXRlcz48eWVhcj4yMDE4PC95ZWFyPjxw
dWItZGF0ZXM+PGRhdGU+RmViIDE2PC9kYXRlPjwvcHViLWRhdGVzPjwvZGF0ZXM+PGlzYm4+MDE0
OS0yMTk1PC9pc2JuPjxhY2Nlc3Npb24tbnVtPjI5NDQ3MTQ4PC9hY2Nlc3Npb24tbnVtPjx1cmxz
PjxyZWxhdGVkLXVybHM+PHVybD5odHRwczovL3d3dy5uY2JpLm5sbS5uaWguZ292L3BtYy9hcnRp
Y2xlcy9QTUM1ODE1NDkwL3BkZi9tbTY3MDZhNS5wZGY8L3VybD48L3JlbGF0ZWQtdXJscz48L3Vy
bHM+PGN1c3RvbTI+UE1DNTgxNTQ5MDwvY3VzdG9tMj48ZWxlY3Ryb25pYy1yZXNvdXJjZS1udW0+
MTAuMTU1ODUvbW13ci5tbTY3MDZhNTwvZWxlY3Ryb25pYy1yZXNvdXJjZS1udW0+PHJlbW90ZS1k
YXRhYmFzZS1wcm92aWRlcj5OTE08L3JlbW90ZS1kYXRhYmFzZS1wcm92aWRlcj48bGFuZ3VhZ2U+
ZW5nPC9sYW5ndWFnZT48L3JlY29yZD48L0NpdGU+PC9FbmROb3RlPgB=
</w:fldData>
        </w:fldChar>
      </w:r>
      <w:r>
        <w:instrText xml:space="preserve"> ADDIN EN.CITE </w:instrText>
      </w:r>
      <w:r>
        <w:fldChar w:fldCharType="begin">
          <w:fldData xml:space="preserve">PEVuZE5vdGU+PENpdGU+PEF1dGhvcj5Uc2FpPC9BdXRob3I+PFllYXI+MjAxODwvWWVhcj48UmVj
TnVtPjQ1OTY8L1JlY051bT48RGlzcGxheVRleHQ+KFRzYWksIFdhbHRvbiBldCBhbC4gMjAxOCk8
L0Rpc3BsYXlUZXh0PjxyZWNvcmQ+PHJlYy1udW1iZXI+NDU5NjwvcmVjLW51bWJlcj48Zm9yZWln
bi1rZXlzPjxrZXkgYXBwPSJFTiIgZGItaWQ9ImZwdDlwdHRybTV6ZnNhZXNwOWZwc2RkdjA5ZXdz
djV4ZXdmZCIgdGltZXN0YW1wPSIxNTI1MDQ1MTI4Ij40NTk2PC9rZXk+PGtleSBhcHA9IkVOV2Vi
IiBkYi1pZD0iIj4wPC9rZXk+PC9mb3JlaWduLWtleXM+PHJlZi10eXBlIG5hbWU9IkpvdXJuYWwg
QXJ0aWNsZSI+MTc8L3JlZi10eXBlPjxjb250cmlidXRvcnM+PGF1dGhvcnM+PGF1dGhvcj5Uc2Fp
LCBKLjwvYXV0aG9yPjxhdXRob3I+V2FsdG9uLCBLLjwvYXV0aG9yPjxhdXRob3I+Q29sZW1hbiwg
Qi4gTi48L2F1dGhvcj48YXV0aG9yPlNoYXJhcG92YSwgUy4gUi48L2F1dGhvcj48YXV0aG9yPkpv
aG5zb24sIFMuIEUuPC9hdXRob3I+PGF1dGhvcj5LZW5uZWR5LCBTLiBNLjwvYXV0aG9yPjxhdXRo
b3I+Q2FyYWJhbGxvLCBSLiBTLjwvYXV0aG9yPjwvYXV0aG9ycz48L2NvbnRyaWJ1dG9ycz48dGl0
bGVzPjx0aXRsZT5SZWFzb25zIGZvciBFbGVjdHJvbmljIENpZ2FyZXR0ZSBVc2UgQW1vbmcgTWlk
ZGxlIGFuZCBIaWdoIFNjaG9vbCBTdHVkZW50cyAtIE5hdGlvbmFsIFlvdXRoIFRvYmFjY28gU3Vy
dmV5LCBVbml0ZWQgU3RhdGVzLCAyMDE2PC90aXRsZT48c2Vjb25kYXJ5LXRpdGxlPk1NV1IgTW9y
YiBNb3J0YWwgV2tseSBSZXA8L3NlY29uZGFyeS10aXRsZT48YWx0LXRpdGxlPk1NV1IuIE1vcmJp
ZGl0eSBhbmQgbW9ydGFsaXR5IHdlZWtseSByZXBvcnQ8L2FsdC10aXRsZT48L3RpdGxlcz48cGVy
aW9kaWNhbD48ZnVsbC10aXRsZT5NTVdSIE1vcmIgTW9ydGFsIFdrbHkgUmVwPC9mdWxsLXRpdGxl
PjxhYmJyLTE+TU1XUi4gTW9yYmlkaXR5IGFuZCBtb3J0YWxpdHkgd2Vla2x5IHJlcG9ydDwvYWJi
ci0xPjwvcGVyaW9kaWNhbD48YWx0LXBlcmlvZGljYWw+PGZ1bGwtdGl0bGU+TU1XUiBNb3JiIE1v
cnRhbCBXa2x5IFJlcDwvZnVsbC10aXRsZT48YWJici0xPk1NV1IuIE1vcmJpZGl0eSBhbmQgbW9y
dGFsaXR5IHdlZWtseSByZXBvcnQ8L2FiYnItMT48L2FsdC1wZXJpb2RpY2FsPjxwYWdlcz4xOTYt
MjAwPC9wYWdlcz48dm9sdW1lPjY3PC92b2x1bWU+PG51bWJlcj42PC9udW1iZXI+PGVkaXRpb24+
MjAxOC8wMi8xNjwvZWRpdGlvbj48a2V5d29yZHM+PGtleXdvcmQ+QWRvbGVzY2VudDwva2V5d29y
ZD48a2V5d29yZD5DaGlsZDwva2V5d29yZD48a2V5d29yZD5GZW1hbGU8L2tleXdvcmQ+PGtleXdv
cmQ+SGVhbHRoIFN1cnZleXM8L2tleXdvcmQ+PGtleXdvcmQ+SHVtYW5zPC9rZXl3b3JkPjxrZXl3
b3JkPk1hbGU8L2tleXdvcmQ+PGtleXdvcmQ+U2Nob29scy9zdGF0aXN0aWNzICZhbXA7IG51bWVy
aWNhbCBkYXRhPC9rZXl3b3JkPjxrZXl3b3JkPlN0dWRlbnRzLypwc3ljaG9sb2d5L3N0YXRpc3Rp
Y3MgJmFtcDsgbnVtZXJpY2FsIGRhdGE8L2tleXdvcmQ+PGtleXdvcmQ+VW5pdGVkIFN0YXRlczwv
a2V5d29yZD48a2V5d29yZD5WYXBpbmcvKnBzeWNob2xvZ3kvc3RhdGlzdGljcyAmYW1wOyBudW1l
cmljYWwgZGF0YTwva2V5d29yZD48L2tleXdvcmRzPjxkYXRlcz48eWVhcj4yMDE4PC95ZWFyPjxw
dWItZGF0ZXM+PGRhdGU+RmViIDE2PC9kYXRlPjwvcHViLWRhdGVzPjwvZGF0ZXM+PGlzYm4+MDE0
OS0yMTk1PC9pc2JuPjxhY2Nlc3Npb24tbnVtPjI5NDQ3MTQ4PC9hY2Nlc3Npb24tbnVtPjx1cmxz
PjxyZWxhdGVkLXVybHM+PHVybD5odHRwczovL3d3dy5uY2JpLm5sbS5uaWguZ292L3BtYy9hcnRp
Y2xlcy9QTUM1ODE1NDkwL3BkZi9tbTY3MDZhNS5wZGY8L3VybD48L3JlbGF0ZWQtdXJscz48L3Vy
bHM+PGN1c3RvbTI+UE1DNTgxNTQ5MDwvY3VzdG9tMj48ZWxlY3Ryb25pYy1yZXNvdXJjZS1udW0+
MTAuMTU1ODUvbW13ci5tbTY3MDZhNTwvZWxlY3Ryb25pYy1yZXNvdXJjZS1udW0+PHJlbW90ZS1k
YXRhYmFzZS1wcm92aWRlcj5OTE08L3JlbW90ZS1kYXRhYmFzZS1wcm92aWRlcj48bGFuZ3VhZ2U+
ZW5nPC9sYW5ndWFnZT48L3JlY29yZD48L0NpdGU+PC9FbmROb3RlPgB=
</w:fldData>
        </w:fldChar>
      </w:r>
      <w:r>
        <w:instrText xml:space="preserve"> ADDIN EN.CITE.DATA </w:instrText>
      </w:r>
      <w:r>
        <w:fldChar w:fldCharType="end"/>
      </w:r>
      <w:r>
        <w:fldChar w:fldCharType="separate"/>
      </w:r>
      <w:r>
        <w:rPr>
          <w:noProof/>
        </w:rPr>
        <w:t>(Tsai, Walton et al. 2018)</w:t>
      </w:r>
      <w:r>
        <w:fldChar w:fldCharType="end"/>
      </w:r>
      <w:r>
        <w:t>. This analysis included 20,675 school-children and sought to understand reasons for e</w:t>
      </w:r>
      <w:r>
        <w:noBreakHyphen/>
        <w:t>cigarette use. T</w:t>
      </w:r>
      <w:r w:rsidRPr="005335DB">
        <w:t xml:space="preserve">he most commonly selected reasons for </w:t>
      </w:r>
      <w:r>
        <w:t>e</w:t>
      </w:r>
      <w:r>
        <w:noBreakHyphen/>
        <w:t>cig</w:t>
      </w:r>
      <w:r w:rsidRPr="005335DB">
        <w:t>ar</w:t>
      </w:r>
      <w:r>
        <w:t xml:space="preserve">ette use were, </w:t>
      </w:r>
      <w:r w:rsidRPr="005335DB">
        <w:t>“friend</w:t>
      </w:r>
      <w:r>
        <w:t>s</w:t>
      </w:r>
      <w:r w:rsidRPr="005335DB">
        <w:t xml:space="preserve"> or family member used them,” “they are available in flavo</w:t>
      </w:r>
      <w:r>
        <w:t>u</w:t>
      </w:r>
      <w:r w:rsidRPr="005335DB">
        <w:t>rs, such as mint, candy, fruit, or chocolate,” and “they are less harmful than other forms of tobacco, such as cigarettes.”</w:t>
      </w:r>
      <w:r>
        <w:t xml:space="preserve"> These reasons largely echo those reported based on earlier data in the Surgeon General’s report </w:t>
      </w:r>
      <w:r>
        <w:fldChar w:fldCharType="begin"/>
      </w:r>
      <w:r w:rsidR="00903735">
        <w:instrText xml:space="preserve"> ADDIN EN.CITE &lt;EndNote&gt;&lt;Cite&gt;&lt;Author&gt;US Dept of Health and Human Services&lt;/Author&gt;&lt;Year&gt;2016&lt;/Year&gt;&lt;RecNum&gt;13024&lt;/RecNum&gt;&lt;DisplayText&gt;(US Dept of Health and Human Services 2016)&lt;/DisplayText&gt;&lt;record&gt;&lt;rec-number&gt;13024&lt;/rec-number&gt;&lt;foreign-keys&gt;&lt;key app="EN" db-id="5xv5w5t2bdxtxfezx02xtxdft5rz5ptvvt29" timestamp="1524017182"&gt;13024&lt;/key&gt;&lt;/foreign-keys&gt;&lt;ref-type name="Journal Article"&gt;17&lt;/ref-type&gt;&lt;contributors&gt;&lt;authors&gt;&lt;author&gt;US Dept of Health and Human Services,&lt;/author&gt;&lt;/authors&gt;&lt;/contributors&gt;&lt;titles&gt;&lt;title&gt;E-cigarette Use among Youth and Young Adults:A report of the Surgeon General&lt;/title&gt;&lt;/titles&gt;&lt;dates&gt;&lt;year&gt;2016&lt;/year&gt;&lt;/dates&gt;&lt;urls&gt;&lt;/urls&gt;&lt;/record&gt;&lt;/Cite&gt;&lt;/EndNote&gt;</w:instrText>
      </w:r>
      <w:r>
        <w:fldChar w:fldCharType="separate"/>
      </w:r>
      <w:r>
        <w:rPr>
          <w:noProof/>
        </w:rPr>
        <w:t>(US Dept of Health and Human Services 2016)</w:t>
      </w:r>
      <w:r>
        <w:fldChar w:fldCharType="end"/>
      </w:r>
      <w:r>
        <w:t xml:space="preserve">. Results from Merianos et al </w:t>
      </w:r>
      <w:r>
        <w:fldChar w:fldCharType="begin"/>
      </w:r>
      <w:r>
        <w:instrText xml:space="preserve"> ADDIN EN.CITE &lt;EndNote&gt;&lt;Cite&gt;&lt;Author&gt;Merianos&lt;/Author&gt;&lt;Year&gt;2017&lt;/Year&gt;&lt;RecNum&gt;5424&lt;/RecNum&gt;&lt;DisplayText&gt;(Merianos, Yockey et al. 2017)&lt;/DisplayText&gt;&lt;record&gt;&lt;rec-number&gt;5424&lt;/rec-number&gt;&lt;foreign-keys&gt;&lt;key app="EN" db-id="fpt9pttrm5zfsaesp9fpsddv09ewsv5xewfd" timestamp="1525046622"&gt;5424&lt;/key&gt;&lt;/foreign-keys&gt;&lt;ref-type name="Book Section"&gt;5&lt;/ref-type&gt;&lt;contributors&gt;&lt;authors&gt;&lt;author&gt;Merianos, A. L.&lt;/author&gt;&lt;author&gt;Yockey, R. A.&lt;/author&gt;&lt;author&gt;Wood, K. J.&lt;/author&gt;&lt;author&gt;Nabors, L. A.&lt;/author&gt;&lt;author&gt;King, K. A.&lt;/author&gt;&lt;author&gt;Vidourek, R. A.&lt;/author&gt;&lt;/authors&gt;&lt;/contributors&gt;&lt;titles&gt;&lt;title&gt;Friend and family influence on electronic cigarette use among hispanic adolescents nationwide&lt;/title&gt;&lt;secondary-title&gt;Advances in Health and Disease. Volume 1&lt;/secondary-title&gt;&lt;/titles&gt;&lt;pages&gt;209-226&lt;/pages&gt;&lt;dates&gt;&lt;year&gt;2017&lt;/year&gt;&lt;/dates&gt;&lt;urls&gt;&lt;related-urls&gt;&lt;url&gt;https://www.scopus.com/inward/record.uri?eid=2-s2.0-85034212979&amp;amp;partnerID=40&amp;amp;md5=a4fad4a327bc8fe5e169e5e45294fa66&lt;/url&gt;&lt;/related-urls&gt;&lt;/urls&gt;&lt;remote-database-name&gt;Scopus&lt;/remote-database-name&gt;&lt;/record&gt;&lt;/Cite&gt;&lt;/EndNote&gt;</w:instrText>
      </w:r>
      <w:r>
        <w:fldChar w:fldCharType="separate"/>
      </w:r>
      <w:r>
        <w:rPr>
          <w:noProof/>
        </w:rPr>
        <w:t>(Merianos, Yockey et al. 2017)</w:t>
      </w:r>
      <w:r>
        <w:fldChar w:fldCharType="end"/>
      </w:r>
      <w:r>
        <w:t xml:space="preserve"> based on only Hispanic youth (n=6,044) in the 2014 NYTS reiterates the increased probability of initiating use of e</w:t>
      </w:r>
      <w:r>
        <w:noBreakHyphen/>
        <w:t>cigarettes for youth who have friends and family who use e</w:t>
      </w:r>
      <w:r>
        <w:noBreakHyphen/>
        <w:t xml:space="preserve">cigarettes. </w:t>
      </w:r>
    </w:p>
    <w:p w14:paraId="75558EA6" w14:textId="77777777" w:rsidR="002E3AED" w:rsidRDefault="002E3AED" w:rsidP="002E3AED">
      <w:pPr>
        <w:pStyle w:val="BodyText"/>
      </w:pPr>
    </w:p>
    <w:p w14:paraId="6E4E7A8D" w14:textId="77777777" w:rsidR="002E3AED" w:rsidRDefault="002E3AED" w:rsidP="002E3AED">
      <w:pPr>
        <w:pStyle w:val="BodyText"/>
      </w:pPr>
      <w:r>
        <w:t>One recent publication used PATH data from Wave 1 (n=9853) to better understand how psychological factors may predict susceptibility to e</w:t>
      </w:r>
      <w:r>
        <w:noBreakHyphen/>
        <w:t xml:space="preserve">cigarette use </w:t>
      </w:r>
      <w:r>
        <w:fldChar w:fldCharType="begin"/>
      </w:r>
      <w:r>
        <w:instrText xml:space="preserve"> ADDIN EN.CITE &lt;EndNote&gt;&lt;Cite&gt;&lt;Author&gt;Kwon&lt;/Author&gt;&lt;Year&gt;2018&lt;/Year&gt;&lt;RecNum&gt;4555&lt;/RecNum&gt;&lt;DisplayText&gt;(Kwon, Seo et al. 2018)&lt;/DisplayText&gt;&lt;record&gt;&lt;rec-number&gt;4555&lt;/rec-number&gt;&lt;foreign-keys&gt;&lt;key app="EN" db-id="fpt9pttrm5zfsaesp9fpsddv09ewsv5xewfd" timestamp="1525045047"&gt;4555&lt;/key&gt;&lt;key app="ENWeb" db-id=""&gt;0&lt;/key&gt;&lt;/foreign-keys&gt;&lt;ref-type name="Journal Article"&gt;17&lt;/ref-type&gt;&lt;contributors&gt;&lt;authors&gt;&lt;author&gt;Kwon, E.&lt;/author&gt;&lt;author&gt;Seo, D. C.&lt;/author&gt;&lt;author&gt;Lin, H. C.&lt;/author&gt;&lt;author&gt;Chen, Z.&lt;/author&gt;&lt;/authors&gt;&lt;/contributors&gt;&lt;auth-address&gt;Department of Applied Health Science, School of Public Health, Indiana University, Bloomington, IN 47405-7109, USA.&amp;#xD;Department of Applied Health Science, School of Public Health, Indiana University, Bloomington, IN 47405-7109, USA. Electronic address: seo@indiana.edu.&amp;#xD;Department of Epidemiology and Biostatistics, School of Public Health, Indiana University, Bloomington, IN 47405-7109, USA.&lt;/auth-address&gt;&lt;titles&gt;&lt;title&gt;Predictors of youth e-cigarette use susceptibility in a U.S. nationally representative sample&lt;/title&gt;&lt;secondary-title&gt;Addict Behav&lt;/secondary-title&gt;&lt;alt-title&gt;Addictive behaviors&lt;/alt-title&gt;&lt;/titles&gt;&lt;alt-periodical&gt;&lt;full-title&gt;Addictive Behaviors&lt;/full-title&gt;&lt;/alt-periodical&gt;&lt;pages&gt;79-85&lt;/pages&gt;&lt;volume&gt;82&lt;/volume&gt;&lt;edition&gt;2018/03/04&lt;/edition&gt;&lt;keywords&gt;&lt;keyword&gt;Adolescent health&lt;/keyword&gt;&lt;keyword&gt;E-cigarette use&lt;/keyword&gt;&lt;keyword&gt;Susceptibility&lt;/keyword&gt;&lt;/keywords&gt;&lt;dates&gt;&lt;year&gt;2018&lt;/year&gt;&lt;pub-dates&gt;&lt;date&gt;Feb 22&lt;/date&gt;&lt;/pub-dates&gt;&lt;/dates&gt;&lt;isbn&gt;0306-4603&lt;/isbn&gt;&lt;accession-num&gt;29501011&lt;/accession-num&gt;&lt;urls&gt;&lt;/urls&gt;&lt;electronic-resource-num&gt;10.1016/j.addbeh.2018.02.026&lt;/electronic-resource-num&gt;&lt;remote-database-provider&gt;NLM&lt;/remote-database-provider&gt;&lt;language&gt;eng&lt;/language&gt;&lt;/record&gt;&lt;/Cite&gt;&lt;/EndNote&gt;</w:instrText>
      </w:r>
      <w:r>
        <w:fldChar w:fldCharType="separate"/>
      </w:r>
      <w:r>
        <w:rPr>
          <w:noProof/>
        </w:rPr>
        <w:t>(Kwon, Seo et al. 2018)</w:t>
      </w:r>
      <w:r>
        <w:fldChar w:fldCharType="end"/>
      </w:r>
      <w:r>
        <w:t>. Psychological factors have received limited attention in previous reports. The authors suggest 24.2% of youth who had never used e</w:t>
      </w:r>
      <w:r>
        <w:noBreakHyphen/>
        <w:t xml:space="preserve">cigarettes were susceptible to future use. Rebelliousness and psychological problems were also associated with increased susceptibility. </w:t>
      </w:r>
    </w:p>
    <w:p w14:paraId="53C063FD" w14:textId="77777777" w:rsidR="002E3AED" w:rsidRDefault="002E3AED" w:rsidP="002E3AED">
      <w:pPr>
        <w:pStyle w:val="BodyText"/>
      </w:pPr>
    </w:p>
    <w:p w14:paraId="16C8C8FD" w14:textId="0A14FF88" w:rsidR="002E3AED" w:rsidRDefault="002E3AED" w:rsidP="002E3AED">
      <w:pPr>
        <w:pStyle w:val="BodyText"/>
      </w:pPr>
      <w:r>
        <w:t xml:space="preserve">Two papers reported a summary of PATH data including both Waves 1 and 2 of data. The PATH survey retained 87.9% of wave 1 respondents at wave 2. Follow-up data were used to assess progression to smoking in adolescents by Chaffee et al </w:t>
      </w:r>
      <w:r>
        <w:fldChar w:fldCharType="begin"/>
      </w:r>
      <w:r>
        <w:instrText xml:space="preserve"> ADDIN EN.CITE &lt;EndNote&gt;&lt;Cite&gt;&lt;Author&gt;Chaffee&lt;/Author&gt;&lt;Year&gt;2017&lt;/Year&gt;&lt;RecNum&gt;5080&lt;/RecNum&gt;&lt;DisplayText&gt;(Chaffee, Couch et al. 2017)&lt;/DisplayText&gt;&lt;record&gt;&lt;rec-number&gt;5080&lt;/rec-number&gt;&lt;foreign-keys&gt;&lt;key app="EN" db-id="fpt9pttrm5zfsaesp9fpsddv09ewsv5xewfd" timestamp="1525045960"&gt;5080&lt;/key&gt;&lt;key app="ENWeb" db-id=""&gt;0&lt;/key&gt;&lt;/foreign-keys&gt;&lt;ref-type name="Journal Article"&gt;17&lt;/ref-type&gt;&lt;contributors&gt;&lt;authors&gt;&lt;author&gt;Chaffee, B. W.&lt;/author&gt;&lt;author&gt;Couch, E. T.&lt;/author&gt;&lt;author&gt;Gansky, S. A.&lt;/author&gt;&lt;/authors&gt;&lt;/contributors&gt;&lt;auth-address&gt;Department of Preventive and Restorative Dental Sciences, Division of Oral Epidemiology and Dental Public Health, University of California San Francisco, San Francisco, California, United States of America.&lt;/auth-address&gt;&lt;titles&gt;&lt;title&gt;Trends in characteristics and multi-product use among adolescents who use electronic cigarettes, United States 2011-2015&lt;/title&gt;&lt;secondary-title&gt;PLoS One&lt;/secondary-title&gt;&lt;alt-title&gt;PloS one&lt;/alt-title&gt;&lt;/titles&gt;&lt;periodical&gt;&lt;full-title&gt;Plos One&lt;/full-title&gt;&lt;/periodical&gt;&lt;alt-periodical&gt;&lt;full-title&gt;Plos One&lt;/full-title&gt;&lt;/alt-periodical&gt;&lt;pages&gt;e0177073&lt;/pages&gt;&lt;volume&gt;12&lt;/volume&gt;&lt;number&gt;5&lt;/number&gt;&lt;edition&gt;2017/05/06&lt;/edition&gt;&lt;keywords&gt;&lt;keyword&gt;Adolescent&lt;/keyword&gt;&lt;keyword&gt;Cross-Sectional Studies&lt;/keyword&gt;&lt;keyword&gt;Electronic Nicotine Delivery Systems/*trends/*utilization&lt;/keyword&gt;&lt;keyword&gt;Female&lt;/keyword&gt;&lt;keyword&gt;Health Surveys&lt;/keyword&gt;&lt;keyword&gt;Humans&lt;/keyword&gt;&lt;keyword&gt;Male&lt;/keyword&gt;&lt;keyword&gt;Prevalence&lt;/keyword&gt;&lt;keyword&gt;Sex Factors&lt;/keyword&gt;&lt;keyword&gt;Smoking/*epidemiology&lt;/keyword&gt;&lt;keyword&gt;United States&lt;/keyword&gt;&lt;/keywords&gt;&lt;dates&gt;&lt;year&gt;2017&lt;/year&gt;&lt;/dates&gt;&lt;isbn&gt;1932-6203&lt;/isbn&gt;&lt;accession-num&gt;28475634&lt;/accession-num&gt;&lt;urls&gt;&lt;related-urls&gt;&lt;url&gt;https://www.ncbi.nlm.nih.gov/pmc/articles/PMC5419603/pdf/pone.0177073.pdf&lt;/url&gt;&lt;/related-urls&gt;&lt;/urls&gt;&lt;custom2&gt;PMC5419603&lt;/custom2&gt;&lt;electronic-resource-num&gt;10.1371/journal.pone.0177073&lt;/electronic-resource-num&gt;&lt;remote-database-provider&gt;NLM&lt;/remote-database-provider&gt;&lt;language&gt;eng&lt;/language&gt;&lt;/record&gt;&lt;/Cite&gt;&lt;/EndNote&gt;</w:instrText>
      </w:r>
      <w:r>
        <w:fldChar w:fldCharType="separate"/>
      </w:r>
      <w:r>
        <w:rPr>
          <w:noProof/>
        </w:rPr>
        <w:t>(Chaffee, Couch et al. 2017)</w:t>
      </w:r>
      <w:r>
        <w:fldChar w:fldCharType="end"/>
      </w:r>
      <w:r>
        <w:t>. The authors report that ever-use of e</w:t>
      </w:r>
      <w:r>
        <w:noBreakHyphen/>
        <w:t>cigarettes was a significant predictor for current established smoking and conclude that the use of e</w:t>
      </w:r>
      <w:r>
        <w:noBreakHyphen/>
        <w:t xml:space="preserve">cigarettes may be associated with progression to cigarette smoking. This is consistent with Coleman et al </w:t>
      </w:r>
      <w:r>
        <w:fldChar w:fldCharType="begin"/>
      </w:r>
      <w:r>
        <w:instrText xml:space="preserve"> ADDIN EN.CITE &lt;EndNote&gt;&lt;Cite&gt;&lt;Author&gt;Coleman&lt;/Author&gt;&lt;Year&gt;2018&lt;/Year&gt;&lt;RecNum&gt;10426&lt;/RecNum&gt;&lt;DisplayText&gt;(Coleman, Rostron et al. 2018)&lt;/DisplayText&gt;&lt;record&gt;&lt;rec-number&gt;10426&lt;/rec-number&gt;&lt;foreign-keys&gt;&lt;key app="EN" db-id="9z05dz0praadfuee0zoxzedk9zfe5fxx50z5" timestamp="1526869878"&gt;10426&lt;/key&gt;&lt;/foreign-keys&gt;&lt;ref-type name="Journal Article"&gt;17&lt;/ref-type&gt;&lt;contributors&gt;&lt;authors&gt;&lt;author&gt;Coleman, Blair&lt;/author&gt;&lt;author&gt;Rostron, Brian&lt;/author&gt;&lt;author&gt;Johnson, Sarah E.&lt;/author&gt;&lt;author&gt;Persoskie, Alexander&lt;/author&gt;&lt;author&gt;Pearson, Jennifer&lt;/author&gt;&lt;author&gt;Stanton, Cassandra&lt;/author&gt;&lt;author&gt;Choi, Kelvin&lt;/author&gt;&lt;author&gt;Anic, Gabriella&lt;/author&gt;&lt;author&gt;Goniewicz, Maciej Lukasz&lt;/author&gt;&lt;author&gt;Cummings, Kenneth Michael&lt;/author&gt;&lt;author&gt;Kasza, Karin A.&lt;/author&gt;&lt;author&gt;Silveira, Marushka L.&lt;/author&gt;&lt;author&gt;Delnevo, Cristine&lt;/author&gt;&lt;author&gt;Niaura, Raymond&lt;/author&gt;&lt;author&gt;Abrams, David B.&lt;/author&gt;&lt;author&gt;Kimmel, Heather L.&lt;/author&gt;&lt;author&gt;Borek, Nicolette&lt;/author&gt;&lt;author&gt;Compton, Wilson M.&lt;/author&gt;&lt;author&gt;Hyland, Andrew&lt;/author&gt;&lt;/authors&gt;&lt;/contributors&gt;&lt;titles&gt;&lt;title&gt;Transitions in electronic cigarette use among adults in the Population Assessment of Tobacco and Health (PATH) Study, Waves 1 and 2 (2013-2015)&lt;/title&gt;&lt;secondary-title&gt;Tobacco control&lt;/secondary-title&gt;&lt;/titles&gt;&lt;periodical&gt;&lt;full-title&gt;Tobacco Control&lt;/full-title&gt;&lt;/periodical&gt;&lt;dates&gt;&lt;year&gt;2018&lt;/year&gt;&lt;pub-dates&gt;&lt;date&gt;2018-Apr-25&lt;/date&gt;&lt;/pub-dates&gt;&lt;/dates&gt;&lt;accession-num&gt;MEDLINE:29695458&lt;/accession-num&gt;&lt;urls&gt;&lt;related-urls&gt;&lt;url&gt;&amp;lt;Go to ISI&amp;gt;://MEDLINE:29695458&lt;/url&gt;&lt;url&gt;http://tobaccocontrol.bmj.com/content/early/2018/04/25/tobaccocontrol-2017-054174&lt;/url&gt;&lt;/related-urls&gt;&lt;/urls&gt;&lt;electronic-resource-num&gt;10.1136/tobaccocontrol-2017-054174&lt;/electronic-resource-num&gt;&lt;/record&gt;&lt;/Cite&gt;&lt;/EndNote&gt;</w:instrText>
      </w:r>
      <w:r>
        <w:fldChar w:fldCharType="separate"/>
      </w:r>
      <w:r>
        <w:rPr>
          <w:noProof/>
        </w:rPr>
        <w:t>(Coleman, Rostron et al. 2018)</w:t>
      </w:r>
      <w:r>
        <w:fldChar w:fldCharType="end"/>
      </w:r>
      <w:r>
        <w:t xml:space="preserve"> who noted that almost half of e</w:t>
      </w:r>
      <w:r>
        <w:noBreakHyphen/>
        <w:t xml:space="preserve">cigarette users had discontinued use by the time of Wave 2 data collection which they interpret as “transitory experimentation”. </w:t>
      </w:r>
      <w:r w:rsidRPr="00726029">
        <w:t xml:space="preserve">Based on changes in </w:t>
      </w:r>
      <w:r w:rsidR="00726029" w:rsidRPr="00726029">
        <w:t xml:space="preserve">prevalence of different tobacco use groups, </w:t>
      </w:r>
      <w:r w:rsidRPr="00726029">
        <w:t xml:space="preserve">the </w:t>
      </w:r>
      <w:r w:rsidR="00726029" w:rsidRPr="00726029">
        <w:t xml:space="preserve">authors of the US </w:t>
      </w:r>
      <w:r w:rsidRPr="00726029">
        <w:t>Academy of Science</w:t>
      </w:r>
      <w:r w:rsidR="00726029" w:rsidRPr="00726029">
        <w:t>s</w:t>
      </w:r>
      <w:r w:rsidRPr="00726029">
        <w:t xml:space="preserve"> report </w:t>
      </w:r>
      <w:r w:rsidRPr="00726029">
        <w:fldChar w:fldCharType="begin"/>
      </w:r>
      <w:r w:rsidRPr="00726029">
        <w:instrText xml:space="preserve"> ADDIN EN.CITE &lt;EndNote&gt;&lt;Cite&gt;&lt;Author&gt;McNeill A&lt;/Author&gt;&lt;Year&gt;2018&lt;/Year&gt;&lt;RecNum&gt;9330&lt;/RecNum&gt;&lt;DisplayText&gt;(McNeill A 2018)&lt;/DisplayText&gt;&lt;record&gt;&lt;rec-number&gt;9330&lt;/rec-number&gt;&lt;foreign-keys&gt;&lt;key app="EN" db-id="9z05dz0praadfuee0zoxzedk9zfe5fxx50z5" timestamp="1524019080"&gt;9330&lt;/key&gt;&lt;key app="ENWeb" db-id=""&gt;0&lt;/key&gt;&lt;/foreign-keys&gt;&lt;ref-type name="Report"&gt;27&lt;/ref-type&gt;&lt;contributors&gt;&lt;authors&gt;&lt;author&gt;McNeill A,  Brose. L., Calder R,  Bauld L, Robson D.&lt;/author&gt;&lt;/authors&gt;&lt;/contributors&gt;&lt;titles&gt;&lt;title&gt;Evidence Review of e-cigarettes and heated tobacco products 2018. A Report commissioned by Public Health England.&lt;/title&gt;&lt;/titles&gt;&lt;dates&gt;&lt;year&gt;2018&lt;/year&gt;&lt;/dates&gt;&lt;pub-location&gt;London&lt;/pub-location&gt;&lt;publisher&gt;Public Health England&lt;/publisher&gt;&lt;urls&gt;&lt;related-urls&gt;&lt;url&gt;https://www.gov.uk/government/publications/e-cigarettes-and-heated-tobacco-products-evidence-review&lt;/url&gt;&lt;/related-urls&gt;&lt;/urls&gt;&lt;/record&gt;&lt;/Cite&gt;&lt;/EndNote&gt;</w:instrText>
      </w:r>
      <w:r w:rsidRPr="00726029">
        <w:fldChar w:fldCharType="separate"/>
      </w:r>
      <w:r w:rsidRPr="00726029">
        <w:rPr>
          <w:noProof/>
        </w:rPr>
        <w:t>(McNeill A 2018)</w:t>
      </w:r>
      <w:r w:rsidRPr="00726029">
        <w:fldChar w:fldCharType="end"/>
      </w:r>
      <w:r w:rsidRPr="00726029">
        <w:t xml:space="preserve"> also suggest that:</w:t>
      </w:r>
      <w:r>
        <w:t xml:space="preserve">  </w:t>
      </w:r>
    </w:p>
    <w:p w14:paraId="2FD350DA" w14:textId="77777777" w:rsidR="002E3AED" w:rsidRDefault="002E3AED" w:rsidP="002E3AED">
      <w:pPr>
        <w:pStyle w:val="BodyText"/>
        <w:ind w:left="426" w:right="566"/>
      </w:pPr>
      <w:r>
        <w:t>“</w:t>
      </w:r>
      <w:r w:rsidRPr="00A44DD1">
        <w:t xml:space="preserve">There is substantial evidence that </w:t>
      </w:r>
      <w:r>
        <w:t>e</w:t>
      </w:r>
      <w:r>
        <w:noBreakHyphen/>
        <w:t>cig</w:t>
      </w:r>
      <w:r w:rsidRPr="00A44DD1">
        <w:t>arette use increases risk of ever using combustible tobacco cigarettes among youth and young adults.</w:t>
      </w:r>
      <w:r>
        <w:t>”</w:t>
      </w:r>
    </w:p>
    <w:p w14:paraId="58D184D9" w14:textId="77777777" w:rsidR="002E3AED" w:rsidRDefault="002E3AED" w:rsidP="002E3AED">
      <w:pPr>
        <w:pStyle w:val="BodyText"/>
        <w:ind w:left="426" w:right="566"/>
      </w:pPr>
    </w:p>
    <w:p w14:paraId="78E267DF" w14:textId="77777777" w:rsidR="002E3AED" w:rsidRDefault="002E3AED" w:rsidP="002E3AED">
      <w:pPr>
        <w:pStyle w:val="BodyText"/>
      </w:pPr>
      <w:r>
        <w:t xml:space="preserve">Two papers were based on analysis of the Youth Risk Behaviour Survey. These data were collected in schools based on a stage clustered design. One of these studies refers only to only students in North Carolina </w:t>
      </w:r>
      <w:r>
        <w:fldChar w:fldCharType="begin">
          <w:fldData xml:space="preserve">PEVuZE5vdGU+PENpdGU+PEF1dGhvcj5HaW92YWNjaGluaTwvQXV0aG9yPjxZZWFyPjIwMTc8L1ll
YXI+PFJlY051bT41MjQ5PC9SZWNOdW0+PERpc3BsYXlUZXh0PihHaW92YWNjaGluaSwgUGFjZWsg
ZXQgYWwuIDIwMTcpPC9EaXNwbGF5VGV4dD48cmVjb3JkPjxyZWMtbnVtYmVyPjUyNDk8L3JlYy1u
dW1iZXI+PGZvcmVpZ24ta2V5cz48a2V5IGFwcD0iRU4iIGRiLWlkPSJmcHQ5cHR0cm01emZzYWVz
cDlmcHNkZHYwOWV3c3Y1eGV3ZmQiIHRpbWVzdGFtcD0iMTUyNTA0NjMzMCI+NTI0OTwva2V5Pjxr
ZXkgYXBwPSJFTldlYiIgZGItaWQ9IiI+MDwva2V5PjwvZm9yZWlnbi1rZXlzPjxyZWYtdHlwZSBu
YW1lPSJKb3VybmFsIEFydGljbGUiPjE3PC9yZWYtdHlwZT48Y29udHJpYnV0b3JzPjxhdXRob3Jz
PjxhdXRob3I+R2lvdmFjY2hpbmksIEMuIFguPC9hdXRob3I+PGF1dGhvcj5QYWNlaywgTC48L2F1
dGhvcj48YXV0aG9yPk1jQ2xlcm5vbiwgRi4gSi48L2F1dGhvcj48YXV0aG9yPlF1ZSwgTC4gRy48
L2F1dGhvcj48L2F1dGhvcnM+PC9jb250cmlidXRvcnM+PGF1dGgtYWRkcmVzcz5wdWxtb25hcnkg
Y3JpdGljYWwgY2FyZSBmZWxsb3csIERpdmlzaW9uIG9mIFB1bG1vbmFyeSwgQWxsZXJneSwgYW5k
IENyaXRpY2FsIENhcmUgTWVkaWNpbmUsIERlcGFydG1lbnQgb2YgTWVkaWNpbmUsIER1a2UgVW5p
dmVyc2l0eSBNZWRpY2FsIENlbnRlciwgRHVyaGFtLCBOb3J0aCBDYXJvbGluYS4mI3hEO3Bvc3Rk
b2N0b3JhbCBmZWxsb3csIEFkZGljdGlvbiBEaXZpc2lvbiwgRGVwYXJ0bWVudCBvZiBQc3ljaGlh
dHJ5IGFuZCBCZWhhdmlvcmFsIFNjaWVuY2VzLCBEdWtlIFVuaXZlcnNpdHkgTWVkaWNhbCBDZW50
ZXIsIER1cmhhbSwgTm9ydGggQ2Fyb2xpbmEuJiN4RDtwcm9mZXNzb3IsIEFkZGljdGlvbiBEaXZp
c2lvbiwgRGVwYXJ0bWVudCBvZiBQc3ljaGlhdHJ5IGFuZCBCZWhhdmlvcmFsIFNjaWVuY2VzLCBE
dWtlIFVuaXZlcnNpdHkgTWVkaWNhbCBDZW50ZXIsIER1cmhhbSwgTm9ydGggQ2Fyb2xpbmEuJiN4
RDthc3NvY2lhdGUgcHJvZmVzc29yLCBEaXZpc2lvbiBvZiBQdWxtb25hcnksIEFsbGVyZ3ksIGFu
ZCBDcml0aWNhbCBDYXJlIE1lZGljaW5lLCBEZXBhcnRtZW50IG9mIE1lZGljaW5lLCBEdWtlIFVu
aXZlcnNpdHkgTWVkaWNhbCBDZW50ZXIsIER1cmhhbSwgTm9ydGggQ2Fyb2xpbmEgTG9yZXR0YS5R
dWVAZG0uZHVrZS5lZHUuPC9hdXRoLWFkZHJlc3M+PHRpdGxlcz48dGl0bGU+VXNlIGFuZCBQZXJj
ZWl2ZWQgUmlzayBvZiBFbGVjdHJvbmljIENpZ2FyZXR0ZXMgQW1vbmcgTm9ydGggQ2Fyb2xpbmEg
TWlkZGxlIGFuZCBIaWdoIFNjaG9vbCBTdHVkZW50czwvdGl0bGU+PHNlY29uZGFyeS10aXRsZT5O
IEMgTWVkIEo8L3NlY29uZGFyeS10aXRsZT48YWx0LXRpdGxlPk5vcnRoIENhcm9saW5hIG1lZGlj
YWwgam91cm5hbDwvYWx0LXRpdGxlPjwvdGl0bGVzPjxwZXJpb2RpY2FsPjxmdWxsLXRpdGxlPk4g
QyBNZWQgSjwvZnVsbC10aXRsZT48YWJici0xPk5vcnRoIENhcm9saW5hIG1lZGljYWwgam91cm5h
bDwvYWJici0xPjwvcGVyaW9kaWNhbD48YWx0LXBlcmlvZGljYWw+PGZ1bGwtdGl0bGU+TiBDIE1l
ZCBKPC9mdWxsLXRpdGxlPjxhYmJyLTE+Tm9ydGggQ2Fyb2xpbmEgbWVkaWNhbCBqb3VybmFsPC9h
YmJyLTE+PC9hbHQtcGVyaW9kaWNhbD48cGFnZXM+Ny0xMzwvcGFnZXM+PHZvbHVtZT43ODwvdm9s
dW1lPjxudW1iZXI+MTwvbnVtYmVyPjxlZGl0aW9uPjIwMTcvMDEvMjU8L2VkaXRpb24+PGRhdGVz
Pjx5ZWFyPjIwMTc8L3llYXI+PHB1Yi1kYXRlcz48ZGF0ZT4xLTI8L2RhdGU+PC9wdWItZGF0ZXM+
PC9kYXRlcz48aXNibj4wMDI5LTI1NTkgKFByaW50KSYjeEQ7MDAyOS0yNTU5PC9pc2JuPjxhY2Nl
c3Npb24tbnVtPjI4MTE1NTU1PC9hY2Nlc3Npb24tbnVtPjx1cmxzPjxyZWxhdGVkLXVybHM+PHVy
bD5odHRwOi8vd3d3Lm5jbWVkaWNhbGpvdXJuYWwuY29tL2NvbnRlbnQvNzgvMS83LmZ1bGwucGRm
PC91cmw+PC9yZWxhdGVkLXVybHM+PC91cmxzPjxlbGVjdHJvbmljLXJlc291cmNlLW51bT4xMC4x
ODA0My9uY20uNzguMS43PC9lbGVjdHJvbmljLXJlc291cmNlLW51bT48cmVtb3RlLWRhdGFiYXNl
LXByb3ZpZGVyPk5MTTwvcmVtb3RlLWRhdGFiYXNlLXByb3ZpZGVyPjxsYW5ndWFnZT5lbmc8L2xh
bmd1YWdlPjwvcmVjb3JkPjwvQ2l0ZT48L0VuZE5vdGU+AG==
</w:fldData>
        </w:fldChar>
      </w:r>
      <w:r>
        <w:instrText xml:space="preserve"> ADDIN EN.CITE </w:instrText>
      </w:r>
      <w:r>
        <w:fldChar w:fldCharType="begin">
          <w:fldData xml:space="preserve">PEVuZE5vdGU+PENpdGU+PEF1dGhvcj5HaW92YWNjaGluaTwvQXV0aG9yPjxZZWFyPjIwMTc8L1ll
YXI+PFJlY051bT41MjQ5PC9SZWNOdW0+PERpc3BsYXlUZXh0PihHaW92YWNjaGluaSwgUGFjZWsg
ZXQgYWwuIDIwMTcpPC9EaXNwbGF5VGV4dD48cmVjb3JkPjxyZWMtbnVtYmVyPjUyNDk8L3JlYy1u
dW1iZXI+PGZvcmVpZ24ta2V5cz48a2V5IGFwcD0iRU4iIGRiLWlkPSJmcHQ5cHR0cm01emZzYWVz
cDlmcHNkZHYwOWV3c3Y1eGV3ZmQiIHRpbWVzdGFtcD0iMTUyNTA0NjMzMCI+NTI0OTwva2V5Pjxr
ZXkgYXBwPSJFTldlYiIgZGItaWQ9IiI+MDwva2V5PjwvZm9yZWlnbi1rZXlzPjxyZWYtdHlwZSBu
YW1lPSJKb3VybmFsIEFydGljbGUiPjE3PC9yZWYtdHlwZT48Y29udHJpYnV0b3JzPjxhdXRob3Jz
PjxhdXRob3I+R2lvdmFjY2hpbmksIEMuIFguPC9hdXRob3I+PGF1dGhvcj5QYWNlaywgTC48L2F1
dGhvcj48YXV0aG9yPk1jQ2xlcm5vbiwgRi4gSi48L2F1dGhvcj48YXV0aG9yPlF1ZSwgTC4gRy48
L2F1dGhvcj48L2F1dGhvcnM+PC9jb250cmlidXRvcnM+PGF1dGgtYWRkcmVzcz5wdWxtb25hcnkg
Y3JpdGljYWwgY2FyZSBmZWxsb3csIERpdmlzaW9uIG9mIFB1bG1vbmFyeSwgQWxsZXJneSwgYW5k
IENyaXRpY2FsIENhcmUgTWVkaWNpbmUsIERlcGFydG1lbnQgb2YgTWVkaWNpbmUsIER1a2UgVW5p
dmVyc2l0eSBNZWRpY2FsIENlbnRlciwgRHVyaGFtLCBOb3J0aCBDYXJvbGluYS4mI3hEO3Bvc3Rk
b2N0b3JhbCBmZWxsb3csIEFkZGljdGlvbiBEaXZpc2lvbiwgRGVwYXJ0bWVudCBvZiBQc3ljaGlh
dHJ5IGFuZCBCZWhhdmlvcmFsIFNjaWVuY2VzLCBEdWtlIFVuaXZlcnNpdHkgTWVkaWNhbCBDZW50
ZXIsIER1cmhhbSwgTm9ydGggQ2Fyb2xpbmEuJiN4RDtwcm9mZXNzb3IsIEFkZGljdGlvbiBEaXZp
c2lvbiwgRGVwYXJ0bWVudCBvZiBQc3ljaGlhdHJ5IGFuZCBCZWhhdmlvcmFsIFNjaWVuY2VzLCBE
dWtlIFVuaXZlcnNpdHkgTWVkaWNhbCBDZW50ZXIsIER1cmhhbSwgTm9ydGggQ2Fyb2xpbmEuJiN4
RDthc3NvY2lhdGUgcHJvZmVzc29yLCBEaXZpc2lvbiBvZiBQdWxtb25hcnksIEFsbGVyZ3ksIGFu
ZCBDcml0aWNhbCBDYXJlIE1lZGljaW5lLCBEZXBhcnRtZW50IG9mIE1lZGljaW5lLCBEdWtlIFVu
aXZlcnNpdHkgTWVkaWNhbCBDZW50ZXIsIER1cmhhbSwgTm9ydGggQ2Fyb2xpbmEgTG9yZXR0YS5R
dWVAZG0uZHVrZS5lZHUuPC9hdXRoLWFkZHJlc3M+PHRpdGxlcz48dGl0bGU+VXNlIGFuZCBQZXJj
ZWl2ZWQgUmlzayBvZiBFbGVjdHJvbmljIENpZ2FyZXR0ZXMgQW1vbmcgTm9ydGggQ2Fyb2xpbmEg
TWlkZGxlIGFuZCBIaWdoIFNjaG9vbCBTdHVkZW50czwvdGl0bGU+PHNlY29uZGFyeS10aXRsZT5O
IEMgTWVkIEo8L3NlY29uZGFyeS10aXRsZT48YWx0LXRpdGxlPk5vcnRoIENhcm9saW5hIG1lZGlj
YWwgam91cm5hbDwvYWx0LXRpdGxlPjwvdGl0bGVzPjxwZXJpb2RpY2FsPjxmdWxsLXRpdGxlPk4g
QyBNZWQgSjwvZnVsbC10aXRsZT48YWJici0xPk5vcnRoIENhcm9saW5hIG1lZGljYWwgam91cm5h
bDwvYWJici0xPjwvcGVyaW9kaWNhbD48YWx0LXBlcmlvZGljYWw+PGZ1bGwtdGl0bGU+TiBDIE1l
ZCBKPC9mdWxsLXRpdGxlPjxhYmJyLTE+Tm9ydGggQ2Fyb2xpbmEgbWVkaWNhbCBqb3VybmFsPC9h
YmJyLTE+PC9hbHQtcGVyaW9kaWNhbD48cGFnZXM+Ny0xMzwvcGFnZXM+PHZvbHVtZT43ODwvdm9s
dW1lPjxudW1iZXI+MTwvbnVtYmVyPjxlZGl0aW9uPjIwMTcvMDEvMjU8L2VkaXRpb24+PGRhdGVz
Pjx5ZWFyPjIwMTc8L3llYXI+PHB1Yi1kYXRlcz48ZGF0ZT4xLTI8L2RhdGU+PC9wdWItZGF0ZXM+
PC9kYXRlcz48aXNibj4wMDI5LTI1NTkgKFByaW50KSYjeEQ7MDAyOS0yNTU5PC9pc2JuPjxhY2Nl
c3Npb24tbnVtPjI4MTE1NTU1PC9hY2Nlc3Npb24tbnVtPjx1cmxzPjxyZWxhdGVkLXVybHM+PHVy
bD5odHRwOi8vd3d3Lm5jbWVkaWNhbGpvdXJuYWwuY29tL2NvbnRlbnQvNzgvMS83LmZ1bGwucGRm
PC91cmw+PC9yZWxhdGVkLXVybHM+PC91cmxzPjxlbGVjdHJvbmljLXJlc291cmNlLW51bT4xMC4x
ODA0My9uY20uNzguMS43PC9lbGVjdHJvbmljLXJlc291cmNlLW51bT48cmVtb3RlLWRhdGFiYXNl
LXByb3ZpZGVyPk5MTTwvcmVtb3RlLWRhdGFiYXNlLXByb3ZpZGVyPjxsYW5ndWFnZT5lbmc8L2xh
bmd1YWdlPjwvcmVjb3JkPjwvQ2l0ZT48L0VuZE5vdGU+AG==
</w:fldData>
        </w:fldChar>
      </w:r>
      <w:r>
        <w:instrText xml:space="preserve"> ADDIN EN.CITE.DATA </w:instrText>
      </w:r>
      <w:r>
        <w:fldChar w:fldCharType="end"/>
      </w:r>
      <w:r>
        <w:fldChar w:fldCharType="separate"/>
      </w:r>
      <w:r>
        <w:rPr>
          <w:noProof/>
        </w:rPr>
        <w:t>(Giovacchini, Pacek et al. 2017)</w:t>
      </w:r>
      <w:r>
        <w:fldChar w:fldCharType="end"/>
      </w:r>
      <w:r>
        <w:t xml:space="preserve"> while the other describes national data </w:t>
      </w:r>
      <w:r>
        <w:fldChar w:fldCharType="begin">
          <w:fldData xml:space="preserve">PEVuZE5vdGU+PENpdGU+PEF1dGhvcj5EZW1pc3NpZTwvQXV0aG9yPjxZZWFyPjIwMTc8L1llYXI+
PFJlY051bT41MjUxPC9SZWNOdW0+PERpc3BsYXlUZXh0PihEZW1pc3NpZSwgRXZlcmV0dCBKb25l
cyBldCBhbC4gMjAxNyk8L0Rpc3BsYXlUZXh0PjxyZWNvcmQ+PHJlYy1udW1iZXI+NTI1MTwvcmVj
LW51bWJlcj48Zm9yZWlnbi1rZXlzPjxrZXkgYXBwPSJFTiIgZGItaWQ9ImZwdDlwdHRybTV6ZnNh
ZXNwOWZwc2RkdjA5ZXdzdjV4ZXdmZCIgdGltZXN0YW1wPSIxNTI1MDQ2MzQzIj41MjUxPC9rZXk+
PGtleSBhcHA9IkVOV2ViIiBkYi1pZD0iIj4wPC9rZXk+PC9mb3JlaWduLWtleXM+PHJlZi10eXBl
IG5hbWU9IkpvdXJuYWwgQXJ0aWNsZSI+MTc8L3JlZi10eXBlPjxjb250cmlidXRvcnM+PGF1dGhv
cnM+PGF1dGhvcj5EZW1pc3NpZSwgWi48L2F1dGhvcj48YXV0aG9yPkV2ZXJldHQgSm9uZXMsIFMu
PC9hdXRob3I+PGF1dGhvcj5DbGF5dG9uLCBILiBCLjwvYXV0aG9yPjxhdXRob3I+S2luZywgQi4g
QS48L2F1dGhvcj48L2F1dGhvcnM+PC9jb250cmlidXRvcnM+PGF1dGgtYWRkcmVzcz5EaXZpc2lv
biBvZiBBZG9sZXNjZW50IGFuZCBTY2hvb2wgSGVhbHRoLCBOYXRpb25hbCBDZW50ZXIgZm9yIEhJ
Vi9BSURTLCBWaXJhbCBIZXBhdGl0aXMsIFNURCwgYW5kIFRCIFByZXZlbnRpb24gYW5kIGl6ajVA
Y2RjLmdvdi4mI3hEO1VTIFB1YmxpYyBIZWFsdGggU2VydmljZSBDb21taXNzaW9uZWQgQ29ycHMs
IFJvY2t2aWxsZSwgTWFyeWxhbmQuJiN4RDtEaXZpc2lvbiBvZiBBZG9sZXNjZW50IGFuZCBTY2hv
b2wgSGVhbHRoLCBOYXRpb25hbCBDZW50ZXIgZm9yIEhJVi9BSURTLCBWaXJhbCBIZXBhdGl0aXMs
IFNURCwgYW5kIFRCIFByZXZlbnRpb24gYW5kLiYjeEQ7T2ZmaWNlIG9uIFNtb2tpbmcgYW5kIEhl
YWx0aCwgTmF0aW9uYWwgQ2VudGVyIGZvciBDaHJvbmljIERpc2Vhc2UgUHJldmVudGlvbiBhbmQg
SGVhbHRoIFByb21vdGlvbiwgQ2VudGVycyBmb3IgRGlzZWFzZSBDb250cm9sIGFuZCBQcmV2ZW50
aW9uLCBBdGxhbnRhLCBHZW9yZ2lhOyBhbmQuPC9hdXRoLWFkZHJlc3M+PHRpdGxlcz48dGl0bGU+
QWRvbGVzY2VudCBSaXNrIEJlaGF2aW9ycyBhbmQgVXNlIG9mIEVsZWN0cm9uaWMgVmFwb3IgUHJv
ZHVjdHMgYW5kIENpZ2FyZXR0ZXM8L3RpdGxlPjxzZWNvbmRhcnktdGl0bGU+UGVkaWF0cmljczwv
c2Vjb25kYXJ5LXRpdGxlPjxhbHQtdGl0bGU+UGVkaWF0cmljczwvYWx0LXRpdGxlPjwvdGl0bGVz
PjxwZXJpb2RpY2FsPjxmdWxsLXRpdGxlPlBlZGlhdHJpY3M8L2Z1bGwtdGl0bGU+PC9wZXJpb2Rp
Y2FsPjxhbHQtcGVyaW9kaWNhbD48ZnVsbC10aXRsZT5QZWRpYXRyaWNzPC9mdWxsLXRpdGxlPjwv
YWx0LXBlcmlvZGljYWw+PHZvbHVtZT4xMzk8L3ZvbHVtZT48bnVtYmVyPjI8L251bWJlcj48ZWRp
dGlvbj4yMDE3LzAxLzI1PC9lZGl0aW9uPjxrZXl3b3Jkcz48a2V5d29yZD5BZG9sZXNjZW50PC9r
ZXl3b3JkPjxrZXl3b3JkPkNyb3NzLVNlY3Rpb25hbCBTdHVkaWVzPC9rZXl3b3JkPjxrZXl3b3Jk
PkVsZWN0cm9uaWMgTmljb3RpbmUgRGVsaXZlcnkgU3lzdGVtcy8qYWR2ZXJzZSBlZmZlY3RzL3Bz
eWNob2xvZ3kvKnV0aWxpemF0aW9uPC9rZXl3b3JkPjxrZXl3b3JkPkZlbWFsZTwva2V5d29yZD48
a2V5d29yZD5IZWFsdGggQmVoYXZpb3I8L2tleXdvcmQ+PGtleXdvcmQ+SGVhbHRoIFN1cnZleXM8
L2tleXdvcmQ+PGtleXdvcmQ+SHVtYW5zPC9rZXl3b3JkPjxrZXl3b3JkPk1hbGU8L2tleXdvcmQ+
PGtleXdvcmQ+KlJpc2stVGFraW5nPC9rZXl3b3JkPjxrZXl3b3JkPlNtb2tpbmcvZXBpZGVtaW9s
b2d5L3BzeWNob2xvZ3k8L2tleXdvcmQ+PGtleXdvcmQ+VW5pdGVkIFN0YXRlczwva2V5d29yZD48
a2V5d29yZD5VdGlsaXphdGlvbiBSZXZpZXcvc3RhdGlzdGljcyAmYW1wOyBudW1lcmljYWwgZGF0
YTwva2V5d29yZD48L2tleXdvcmRzPjxkYXRlcz48eWVhcj4yMDE3PC95ZWFyPjxwdWItZGF0ZXM+
PGRhdGU+RmViPC9kYXRlPjwvcHViLWRhdGVzPjwvZGF0ZXM+PGlzYm4+MDAzMS00MDA1PC9pc2Ju
PjxhY2Nlc3Npb24tbnVtPjI4MTE1NTM5PC9hY2Nlc3Npb24tbnVtPjx1cmxzPjxyZWxhdGVkLXVy
bHM+PHVybD5odHRwOi8vcGVkaWF0cmljcy5hYXBwdWJsaWNhdGlvbnMub3JnL2NvbnRlbnQvcGVk
aWF0cmljcy8xMzkvMi9lMjAxNjI5MjEuZnVsbC5wZGY8L3VybD48L3JlbGF0ZWQtdXJscz48L3Vy
bHM+PGVsZWN0cm9uaWMtcmVzb3VyY2UtbnVtPjEwLjE1NDIvcGVkcy4yMDE2LTI5MjE8L2VsZWN0
cm9uaWMtcmVzb3VyY2UtbnVtPjxyZW1vdGUtZGF0YWJhc2UtcHJvdmlkZXI+TkxNPC9yZW1vdGUt
ZGF0YWJhc2UtcHJvdmlkZXI+PGxhbmd1YWdlPmVuZzwvbGFuZ3VhZ2U+PC9yZWNvcmQ+PC9DaXRl
PjwvRW5kTm90ZT4A
</w:fldData>
        </w:fldChar>
      </w:r>
      <w:r>
        <w:instrText xml:space="preserve"> ADDIN EN.CITE </w:instrText>
      </w:r>
      <w:r>
        <w:fldChar w:fldCharType="begin">
          <w:fldData xml:space="preserve">PEVuZE5vdGU+PENpdGU+PEF1dGhvcj5EZW1pc3NpZTwvQXV0aG9yPjxZZWFyPjIwMTc8L1llYXI+
PFJlY051bT41MjUxPC9SZWNOdW0+PERpc3BsYXlUZXh0PihEZW1pc3NpZSwgRXZlcmV0dCBKb25l
cyBldCBhbC4gMjAxNyk8L0Rpc3BsYXlUZXh0PjxyZWNvcmQ+PHJlYy1udW1iZXI+NTI1MTwvcmVj
LW51bWJlcj48Zm9yZWlnbi1rZXlzPjxrZXkgYXBwPSJFTiIgZGItaWQ9ImZwdDlwdHRybTV6ZnNh
ZXNwOWZwc2RkdjA5ZXdzdjV4ZXdmZCIgdGltZXN0YW1wPSIxNTI1MDQ2MzQzIj41MjUxPC9rZXk+
PGtleSBhcHA9IkVOV2ViIiBkYi1pZD0iIj4wPC9rZXk+PC9mb3JlaWduLWtleXM+PHJlZi10eXBl
IG5hbWU9IkpvdXJuYWwgQXJ0aWNsZSI+MTc8L3JlZi10eXBlPjxjb250cmlidXRvcnM+PGF1dGhv
cnM+PGF1dGhvcj5EZW1pc3NpZSwgWi48L2F1dGhvcj48YXV0aG9yPkV2ZXJldHQgSm9uZXMsIFMu
PC9hdXRob3I+PGF1dGhvcj5DbGF5dG9uLCBILiBCLjwvYXV0aG9yPjxhdXRob3I+S2luZywgQi4g
QS48L2F1dGhvcj48L2F1dGhvcnM+PC9jb250cmlidXRvcnM+PGF1dGgtYWRkcmVzcz5EaXZpc2lv
biBvZiBBZG9sZXNjZW50IGFuZCBTY2hvb2wgSGVhbHRoLCBOYXRpb25hbCBDZW50ZXIgZm9yIEhJ
Vi9BSURTLCBWaXJhbCBIZXBhdGl0aXMsIFNURCwgYW5kIFRCIFByZXZlbnRpb24gYW5kIGl6ajVA
Y2RjLmdvdi4mI3hEO1VTIFB1YmxpYyBIZWFsdGggU2VydmljZSBDb21taXNzaW9uZWQgQ29ycHMs
IFJvY2t2aWxsZSwgTWFyeWxhbmQuJiN4RDtEaXZpc2lvbiBvZiBBZG9sZXNjZW50IGFuZCBTY2hv
b2wgSGVhbHRoLCBOYXRpb25hbCBDZW50ZXIgZm9yIEhJVi9BSURTLCBWaXJhbCBIZXBhdGl0aXMs
IFNURCwgYW5kIFRCIFByZXZlbnRpb24gYW5kLiYjeEQ7T2ZmaWNlIG9uIFNtb2tpbmcgYW5kIEhl
YWx0aCwgTmF0aW9uYWwgQ2VudGVyIGZvciBDaHJvbmljIERpc2Vhc2UgUHJldmVudGlvbiBhbmQg
SGVhbHRoIFByb21vdGlvbiwgQ2VudGVycyBmb3IgRGlzZWFzZSBDb250cm9sIGFuZCBQcmV2ZW50
aW9uLCBBdGxhbnRhLCBHZW9yZ2lhOyBhbmQuPC9hdXRoLWFkZHJlc3M+PHRpdGxlcz48dGl0bGU+
QWRvbGVzY2VudCBSaXNrIEJlaGF2aW9ycyBhbmQgVXNlIG9mIEVsZWN0cm9uaWMgVmFwb3IgUHJv
ZHVjdHMgYW5kIENpZ2FyZXR0ZXM8L3RpdGxlPjxzZWNvbmRhcnktdGl0bGU+UGVkaWF0cmljczwv
c2Vjb25kYXJ5LXRpdGxlPjxhbHQtdGl0bGU+UGVkaWF0cmljczwvYWx0LXRpdGxlPjwvdGl0bGVz
PjxwZXJpb2RpY2FsPjxmdWxsLXRpdGxlPlBlZGlhdHJpY3M8L2Z1bGwtdGl0bGU+PC9wZXJpb2Rp
Y2FsPjxhbHQtcGVyaW9kaWNhbD48ZnVsbC10aXRsZT5QZWRpYXRyaWNzPC9mdWxsLXRpdGxlPjwv
YWx0LXBlcmlvZGljYWw+PHZvbHVtZT4xMzk8L3ZvbHVtZT48bnVtYmVyPjI8L251bWJlcj48ZWRp
dGlvbj4yMDE3LzAxLzI1PC9lZGl0aW9uPjxrZXl3b3Jkcz48a2V5d29yZD5BZG9sZXNjZW50PC9r
ZXl3b3JkPjxrZXl3b3JkPkNyb3NzLVNlY3Rpb25hbCBTdHVkaWVzPC9rZXl3b3JkPjxrZXl3b3Jk
PkVsZWN0cm9uaWMgTmljb3RpbmUgRGVsaXZlcnkgU3lzdGVtcy8qYWR2ZXJzZSBlZmZlY3RzL3Bz
eWNob2xvZ3kvKnV0aWxpemF0aW9uPC9rZXl3b3JkPjxrZXl3b3JkPkZlbWFsZTwva2V5d29yZD48
a2V5d29yZD5IZWFsdGggQmVoYXZpb3I8L2tleXdvcmQ+PGtleXdvcmQ+SGVhbHRoIFN1cnZleXM8
L2tleXdvcmQ+PGtleXdvcmQ+SHVtYW5zPC9rZXl3b3JkPjxrZXl3b3JkPk1hbGU8L2tleXdvcmQ+
PGtleXdvcmQ+KlJpc2stVGFraW5nPC9rZXl3b3JkPjxrZXl3b3JkPlNtb2tpbmcvZXBpZGVtaW9s
b2d5L3BzeWNob2xvZ3k8L2tleXdvcmQ+PGtleXdvcmQ+VW5pdGVkIFN0YXRlczwva2V5d29yZD48
a2V5d29yZD5VdGlsaXphdGlvbiBSZXZpZXcvc3RhdGlzdGljcyAmYW1wOyBudW1lcmljYWwgZGF0
YTwva2V5d29yZD48L2tleXdvcmRzPjxkYXRlcz48eWVhcj4yMDE3PC95ZWFyPjxwdWItZGF0ZXM+
PGRhdGU+RmViPC9kYXRlPjwvcHViLWRhdGVzPjwvZGF0ZXM+PGlzYm4+MDAzMS00MDA1PC9pc2Ju
PjxhY2Nlc3Npb24tbnVtPjI4MTE1NTM5PC9hY2Nlc3Npb24tbnVtPjx1cmxzPjxyZWxhdGVkLXVy
bHM+PHVybD5odHRwOi8vcGVkaWF0cmljcy5hYXBwdWJsaWNhdGlvbnMub3JnL2NvbnRlbnQvcGVk
aWF0cmljcy8xMzkvMi9lMjAxNjI5MjEuZnVsbC5wZGY8L3VybD48L3JlbGF0ZWQtdXJscz48L3Vy
bHM+PGVsZWN0cm9uaWMtcmVzb3VyY2UtbnVtPjEwLjE1NDIvcGVkcy4yMDE2LTI5MjE8L2VsZWN0
cm9uaWMtcmVzb3VyY2UtbnVtPjxyZW1vdGUtZGF0YWJhc2UtcHJvdmlkZXI+TkxNPC9yZW1vdGUt
ZGF0YWJhc2UtcHJvdmlkZXI+PGxhbmd1YWdlPmVuZzwvbGFuZ3VhZ2U+PC9yZWNvcmQ+PC9DaXRl
PjwvRW5kTm90ZT4A
</w:fldData>
        </w:fldChar>
      </w:r>
      <w:r>
        <w:instrText xml:space="preserve"> ADDIN EN.CITE.DATA </w:instrText>
      </w:r>
      <w:r>
        <w:fldChar w:fldCharType="end"/>
      </w:r>
      <w:r>
        <w:fldChar w:fldCharType="separate"/>
      </w:r>
      <w:r>
        <w:rPr>
          <w:noProof/>
        </w:rPr>
        <w:t>(Demissie, Everett Jones et al. 2017)</w:t>
      </w:r>
      <w:r>
        <w:fldChar w:fldCharType="end"/>
      </w:r>
      <w:r>
        <w:t>. Demissie et al report 15.8% e</w:t>
      </w:r>
      <w:r>
        <w:noBreakHyphen/>
        <w:t xml:space="preserve">cigarette use amongst a sample of 15,624 9-12 graders which is in the vicinity of the 16% reported in the Surgeon General’s report </w:t>
      </w:r>
      <w:r>
        <w:fldChar w:fldCharType="begin"/>
      </w:r>
      <w:r w:rsidR="00903735">
        <w:instrText xml:space="preserve"> ADDIN EN.CITE &lt;EndNote&gt;&lt;Cite&gt;&lt;Author&gt;US Dept of Health and Human Services&lt;/Author&gt;&lt;Year&gt;2016&lt;/Year&gt;&lt;RecNum&gt;13024&lt;/RecNum&gt;&lt;DisplayText&gt;(US Dept of Health and Human Services 2016)&lt;/DisplayText&gt;&lt;record&gt;&lt;rec-number&gt;13024&lt;/rec-number&gt;&lt;foreign-keys&gt;&lt;key app="EN" db-id="5xv5w5t2bdxtxfezx02xtxdft5rz5ptvvt29" timestamp="1524017182"&gt;13024&lt;/key&gt;&lt;/foreign-keys&gt;&lt;ref-type name="Journal Article"&gt;17&lt;/ref-type&gt;&lt;contributors&gt;&lt;authors&gt;&lt;author&gt;US Dept of Health and Human Services,&lt;/author&gt;&lt;/authors&gt;&lt;/contributors&gt;&lt;titles&gt;&lt;title&gt;E-cigarette Use among Youth and Young Adults:A report of the Surgeon General&lt;/title&gt;&lt;/titles&gt;&lt;dates&gt;&lt;year&gt;2016&lt;/year&gt;&lt;/dates&gt;&lt;urls&gt;&lt;/urls&gt;&lt;/record&gt;&lt;/Cite&gt;&lt;/EndNote&gt;</w:instrText>
      </w:r>
      <w:r>
        <w:fldChar w:fldCharType="separate"/>
      </w:r>
      <w:r>
        <w:rPr>
          <w:noProof/>
        </w:rPr>
        <w:t>(US Dept of Health and Human Services 2016)</w:t>
      </w:r>
      <w:r>
        <w:fldChar w:fldCharType="end"/>
      </w:r>
      <w:r>
        <w:t>. The authors also assessed the relationship between e</w:t>
      </w:r>
      <w:r>
        <w:noBreakHyphen/>
        <w:t xml:space="preserve">cigarette and conventional cigarette use with other health risk behaviours beyond substance use such as </w:t>
      </w:r>
      <w:r w:rsidRPr="00F05CEA">
        <w:t>unintentional injuries and</w:t>
      </w:r>
      <w:r>
        <w:t xml:space="preserve"> </w:t>
      </w:r>
      <w:r w:rsidRPr="00F05CEA">
        <w:t>violence, substance use, and sexual</w:t>
      </w:r>
      <w:r>
        <w:t xml:space="preserve"> </w:t>
      </w:r>
      <w:r w:rsidRPr="00F05CEA">
        <w:t>risk behavio</w:t>
      </w:r>
      <w:r>
        <w:t>u</w:t>
      </w:r>
      <w:r w:rsidRPr="00F05CEA">
        <w:t>rs</w:t>
      </w:r>
      <w:r>
        <w:t>. They report associations between health risk behaviours and use of e</w:t>
      </w:r>
      <w:r>
        <w:noBreakHyphen/>
        <w:t>cigarettes with youth showing patterns of risky behaviours.</w:t>
      </w:r>
    </w:p>
    <w:p w14:paraId="20B7DD8F" w14:textId="77777777" w:rsidR="002E3AED" w:rsidRDefault="002E3AED" w:rsidP="002E3AED">
      <w:pPr>
        <w:pStyle w:val="BodyText"/>
      </w:pPr>
    </w:p>
    <w:p w14:paraId="48BB810E" w14:textId="77777777" w:rsidR="002E3AED" w:rsidRPr="006B6E00" w:rsidRDefault="002E3AED" w:rsidP="002E3AED">
      <w:pPr>
        <w:pStyle w:val="Heading3"/>
        <w:ind w:left="1134" w:hanging="1134"/>
        <w:rPr>
          <w:rStyle w:val="Heading3Char"/>
          <w:b/>
        </w:rPr>
      </w:pPr>
      <w:r>
        <w:rPr>
          <w:rFonts w:eastAsia="Times New Roman"/>
        </w:rPr>
        <w:lastRenderedPageBreak/>
        <w:t>A</w:t>
      </w:r>
      <w:r w:rsidRPr="006B6E00">
        <w:rPr>
          <w:rStyle w:val="Heading3Char"/>
          <w:b/>
        </w:rPr>
        <w:t>dult samples (n=15)</w:t>
      </w:r>
    </w:p>
    <w:p w14:paraId="5C52C236" w14:textId="77777777" w:rsidR="002E3AED" w:rsidRDefault="002E3AED" w:rsidP="002E3AED">
      <w:pPr>
        <w:pStyle w:val="BodyText"/>
      </w:pPr>
      <w:r>
        <w:t>Recent analyses (n=3) of National Adult Tobacco Survey data were used to explore a variety of questions around prevalence of e</w:t>
      </w:r>
      <w:r>
        <w:noBreakHyphen/>
        <w:t xml:space="preserve">cigarette use </w:t>
      </w:r>
      <w:r>
        <w:fldChar w:fldCharType="begin"/>
      </w:r>
      <w:r>
        <w:instrText xml:space="preserve"> ADDIN EN.CITE &lt;EndNote&gt;&lt;Cite&gt;&lt;Author&gt;Anic&lt;/Author&gt;&lt;Year&gt;2018&lt;/Year&gt;&lt;RecNum&gt;6579&lt;/RecNum&gt;&lt;DisplayText&gt;(Anic, Holder-Hayes et al. 2018)&lt;/DisplayText&gt;&lt;record&gt;&lt;rec-number&gt;6579&lt;/rec-number&gt;&lt;foreign-keys&gt;&lt;key app="EN" db-id="fpt9pttrm5zfsaesp9fpsddv09ewsv5xewfd" timestamp="1525048618"&gt;6579&lt;/key&gt;&lt;key app="ENWeb" db-id=""&gt;0&lt;/key&gt;&lt;/foreign-keys&gt;&lt;ref-type name="Journal Article"&gt;17&lt;/ref-type&gt;&lt;contributors&gt;&lt;authors&gt;&lt;author&gt;Anic, G. M.&lt;/author&gt;&lt;author&gt;Holder-Hayes, E.&lt;/author&gt;&lt;author&gt;Ambrose, B. K.&lt;/author&gt;&lt;author&gt;Rostron, B. L.&lt;/author&gt;&lt;author&gt;Coleman, B.&lt;/author&gt;&lt;author&gt;Jamal, A.&lt;/author&gt;&lt;author&gt;Apelberg, B. J.&lt;/author&gt;&lt;/authors&gt;&lt;/contributors&gt;&lt;auth-address&gt;Office of Science, Center for Tobacco Products, Food and Drug Administration, Silver Spring, Maryland. Electronic address: gabriella.anic@fda.hhs.gov.&amp;#xD;Office of Science, Center for Tobacco Products, Food and Drug Administration, Silver Spring, Maryland.&amp;#xD;Office on Smoking and Health, National Center for Chronic Disease Prevention and Health Promotion, Centers for Disease Control and Prevention, Atlanta, Georgia.&lt;/auth-address&gt;&lt;titles&gt;&lt;title&gt;E-cigarette and Smokeless Tobacco Use and Switching Among Smokers: Findings From the National Adult Tobacco Survey&lt;/title&gt;&lt;secondary-title&gt;Am J Prev Med&lt;/secondary-title&gt;&lt;alt-title&gt;American journal of preventive medicine&lt;/alt-title&gt;&lt;/titles&gt;&lt;alt-periodical&gt;&lt;full-title&gt;American Journal of Preventive Medicine&lt;/full-title&gt;&lt;/alt-periodical&gt;&lt;edition&gt;2018/02/13&lt;/edition&gt;&lt;dates&gt;&lt;year&gt;2018&lt;/year&gt;&lt;pub-dates&gt;&lt;date&gt;Feb 8&lt;/date&gt;&lt;/pub-dates&gt;&lt;/dates&gt;&lt;isbn&gt;0749-3797&lt;/isbn&gt;&lt;accession-num&gt;29429605&lt;/accession-num&gt;&lt;urls&gt;&lt;related-urls&gt;&lt;url&gt;http://www.ajpmonline.org/article/S0749-3797(17)30742-0/pdf&lt;/url&gt;&lt;url&gt;https://www.sciencedirect.com/science/article/pii/S0749379717307420?via%3Dihub&lt;/url&gt;&lt;/related-urls&gt;&lt;/urls&gt;&lt;electronic-resource-num&gt;10.1016/j.amepre.2017.12.010&lt;/electronic-resource-num&gt;&lt;remote-database-provider&gt;NLM&lt;/remote-database-provider&gt;&lt;language&gt;eng&lt;/language&gt;&lt;/record&gt;&lt;/Cite&gt;&lt;/EndNote&gt;</w:instrText>
      </w:r>
      <w:r>
        <w:fldChar w:fldCharType="separate"/>
      </w:r>
      <w:r>
        <w:rPr>
          <w:noProof/>
        </w:rPr>
        <w:t>(Anic, Holder-Hayes et al. 2018)</w:t>
      </w:r>
      <w:r>
        <w:fldChar w:fldCharType="end"/>
      </w:r>
      <w:r>
        <w:t xml:space="preserve"> and patterns of e</w:t>
      </w:r>
      <w:r>
        <w:noBreakHyphen/>
        <w:t xml:space="preserve">cigarette use </w:t>
      </w:r>
      <w:r>
        <w:fldChar w:fldCharType="begin">
          <w:fldData xml:space="preserve">PEVuZE5vdGU+PENpdGU+PEF1dGhvcj5TaGFyYXBvdmE8L0F1dGhvcj48WWVhcj4yMDE4PC9ZZWFy
PjxSZWNOdW0+NDc3MzwvUmVjTnVtPjxEaXNwbGF5VGV4dD4oU2hhcmFwb3ZhLCBTaW5naCBldCBh
bC4gMjAxOCk8L0Rpc3BsYXlUZXh0PjxyZWNvcmQ+PHJlYy1udW1iZXI+NDc3MzwvcmVjLW51bWJl
cj48Zm9yZWlnbi1rZXlzPjxrZXkgYXBwPSJFTiIgZGItaWQ9ImZwdDlwdHRybTV6ZnNhZXNwOWZw
c2RkdjA5ZXdzdjV4ZXdmZCIgdGltZXN0YW1wPSIxNTI1MDQ1NDkzIj40NzczPC9rZXk+PGtleSBh
cHA9IkVOV2ViIiBkYi1pZD0iIj4wPC9rZXk+PC9mb3JlaWduLWtleXM+PHJlZi10eXBlIG5hbWU9
IkpvdXJuYWwgQXJ0aWNsZSI+MTc8L3JlZi10eXBlPjxjb250cmlidXRvcnM+PGF1dGhvcnM+PGF1
dGhvcj5TaGFyYXBvdmEsIFMuIFIuPC9hdXRob3I+PGF1dGhvcj5TaW5naCwgVC48L2F1dGhvcj48
YXV0aG9yPkFnYWt1LCBJLiBULjwvYXV0aG9yPjxhdXRob3I+S2VubmVkeSwgUy4gTS48L2F1dGhv
cj48YXV0aG9yPktpbmcsIEIuIEEuPC9hdXRob3I+PC9hdXRob3JzPjwvY29udHJpYnV0b3JzPjxh
dXRoLWFkZHJlc3M+T2ZmaWNlIG9uIFNtb2tpbmcgYW5kIEhlYWx0aCwgTmF0aW9uYWwgQ2VudGVy
IGZvciBDaHJvbmljIERpc2Vhc2UgUHJldmVudGlvbiBhbmQgSGVhbHRoIFByb21vdGlvbiwgQ2Vu
dGVycyBmb3IgRGlzZWFzZSBDb250cm9sIGFuZCBQcmV2ZW50aW9uLCBBdGxhbnRhLCBHZW9yZ2lh
LiBFbGVjdHJvbmljIGFkZHJlc3M6IHNzaGFyYXBvdmFAY2RjLmdvdi4mI3hEO09mZmljZSBvbiBT
bW9raW5nIGFuZCBIZWFsdGgsIE5hdGlvbmFsIENlbnRlciBmb3IgQ2hyb25pYyBEaXNlYXNlIFBy
ZXZlbnRpb24gYW5kIEhlYWx0aCBQcm9tb3Rpb24sIENlbnRlcnMgZm9yIERpc2Vhc2UgQ29udHJv
bCBhbmQgUHJldmVudGlvbiwgQXRsYW50YSwgR2VvcmdpYTsgRXBpZGVtaWMgSW50ZWxsaWdlbmNl
IFNlcnZpY2UsIENlbnRlcnMgZm9yIERpc2Vhc2UgQ29udHJvbCBhbmQgUHJldmVudGlvbiwgQXRs
YW50YSwgR2VvcmdpYS4mI3hEO09mZmljZSBvbiBTbW9raW5nIGFuZCBIZWFsdGgsIE5hdGlvbmFs
IENlbnRlciBmb3IgQ2hyb25pYyBEaXNlYXNlIFByZXZlbnRpb24gYW5kIEhlYWx0aCBQcm9tb3Rp
b24sIENlbnRlcnMgZm9yIERpc2Vhc2UgQ29udHJvbCBhbmQgUHJldmVudGlvbiwgQXRsYW50YSwg
R2VvcmdpYS4mI3hEO0Jpb3N0YXRpc3RpY3MgYW5kIEVwaWRlbWlvbG9neSBEaXZpc2lvbiwgUlRJ
IEludGVybmF0aW9uYWwsIEF0bGFudGEsIEdlb3JnaWEuPC9hdXRoLWFkZHJlc3M+PHRpdGxlcz48
dGl0bGU+UGF0dGVybnMgb2YgRS1jaWdhcmV0dGUgVXNlIEZyZXF1ZW5jeS1OYXRpb25hbCBBZHVs
dCBUb2JhY2NvIFN1cnZleSwgMjAxMi0yMDE0PC90aXRsZT48c2Vjb25kYXJ5LXRpdGxlPkFtIEog
UHJldiBNZWQ8L3NlY29uZGFyeS10aXRsZT48YWx0LXRpdGxlPkFtZXJpY2FuIGpvdXJuYWwgb2Yg
cHJldmVudGl2ZSBtZWRpY2luZTwvYWx0LXRpdGxlPjwvdGl0bGVzPjxhbHQtcGVyaW9kaWNhbD48
ZnVsbC10aXRsZT5BbWVyaWNhbiBKb3VybmFsIG9mIFByZXZlbnRpdmUgTWVkaWNpbmU8L2Z1bGwt
dGl0bGU+PC9hbHQtcGVyaW9kaWNhbD48cGFnZXM+Mjg0LTI4ODwvcGFnZXM+PHZvbHVtZT41NDwv
dm9sdW1lPjxudW1iZXI+MjwvbnVtYmVyPjxlZGl0aW9uPjIwMTcvMTEvMTQ8L2VkaXRpb24+PGRh
dGVzPjx5ZWFyPjIwMTg8L3llYXI+PHB1Yi1kYXRlcz48ZGF0ZT5GZWI8L2RhdGU+PC9wdWItZGF0
ZXM+PC9kYXRlcz48aXNibj4wNzQ5LTM3OTc8L2lzYm4+PGFjY2Vzc2lvbi1udW0+MjkxMjk0NjM8
L2FjY2Vzc2lvbi1udW0+PHVybHM+PHJlbGF0ZWQtdXJscz48dXJsPmh0dHA6Ly93d3cuYWpwbW9u
bGluZS5vcmcvYXJ0aWNsZS9TMDc0OS0zNzk3KDE3KTMwNTM0LTIvcGRmPC91cmw+PC9yZWxhdGVk
LXVybHM+PC91cmxzPjxjdXN0b20yPlBNQzU3ODM3NjU8L2N1c3RvbTI+PGN1c3RvbTY+SEhTUEE5
MTkyMzE8L2N1c3RvbTY+PGVsZWN0cm9uaWMtcmVzb3VyY2UtbnVtPjEwLjEwMTYvai5hbWVwcmUu
MjAxNy4wOS4wMTU8L2VsZWN0cm9uaWMtcmVzb3VyY2UtbnVtPjxyZW1vdGUtZGF0YWJhc2UtcHJv
dmlkZXI+TkxNPC9yZW1vdGUtZGF0YWJhc2UtcHJvdmlkZXI+PGxhbmd1YWdlPmVuZzwvbGFuZ3Vh
Z2U+PC9yZWNvcmQ+PC9DaXRlPjwvRW5kTm90ZT4A
</w:fldData>
        </w:fldChar>
      </w:r>
      <w:r>
        <w:instrText xml:space="preserve"> ADDIN EN.CITE </w:instrText>
      </w:r>
      <w:r>
        <w:fldChar w:fldCharType="begin">
          <w:fldData xml:space="preserve">PEVuZE5vdGU+PENpdGU+PEF1dGhvcj5TaGFyYXBvdmE8L0F1dGhvcj48WWVhcj4yMDE4PC9ZZWFy
PjxSZWNOdW0+NDc3MzwvUmVjTnVtPjxEaXNwbGF5VGV4dD4oU2hhcmFwb3ZhLCBTaW5naCBldCBh
bC4gMjAxOCk8L0Rpc3BsYXlUZXh0PjxyZWNvcmQ+PHJlYy1udW1iZXI+NDc3MzwvcmVjLW51bWJl
cj48Zm9yZWlnbi1rZXlzPjxrZXkgYXBwPSJFTiIgZGItaWQ9ImZwdDlwdHRybTV6ZnNhZXNwOWZw
c2RkdjA5ZXdzdjV4ZXdmZCIgdGltZXN0YW1wPSIxNTI1MDQ1NDkzIj40NzczPC9rZXk+PGtleSBh
cHA9IkVOV2ViIiBkYi1pZD0iIj4wPC9rZXk+PC9mb3JlaWduLWtleXM+PHJlZi10eXBlIG5hbWU9
IkpvdXJuYWwgQXJ0aWNsZSI+MTc8L3JlZi10eXBlPjxjb250cmlidXRvcnM+PGF1dGhvcnM+PGF1
dGhvcj5TaGFyYXBvdmEsIFMuIFIuPC9hdXRob3I+PGF1dGhvcj5TaW5naCwgVC48L2F1dGhvcj48
YXV0aG9yPkFnYWt1LCBJLiBULjwvYXV0aG9yPjxhdXRob3I+S2VubmVkeSwgUy4gTS48L2F1dGhv
cj48YXV0aG9yPktpbmcsIEIuIEEuPC9hdXRob3I+PC9hdXRob3JzPjwvY29udHJpYnV0b3JzPjxh
dXRoLWFkZHJlc3M+T2ZmaWNlIG9uIFNtb2tpbmcgYW5kIEhlYWx0aCwgTmF0aW9uYWwgQ2VudGVy
IGZvciBDaHJvbmljIERpc2Vhc2UgUHJldmVudGlvbiBhbmQgSGVhbHRoIFByb21vdGlvbiwgQ2Vu
dGVycyBmb3IgRGlzZWFzZSBDb250cm9sIGFuZCBQcmV2ZW50aW9uLCBBdGxhbnRhLCBHZW9yZ2lh
LiBFbGVjdHJvbmljIGFkZHJlc3M6IHNzaGFyYXBvdmFAY2RjLmdvdi4mI3hEO09mZmljZSBvbiBT
bW9raW5nIGFuZCBIZWFsdGgsIE5hdGlvbmFsIENlbnRlciBmb3IgQ2hyb25pYyBEaXNlYXNlIFBy
ZXZlbnRpb24gYW5kIEhlYWx0aCBQcm9tb3Rpb24sIENlbnRlcnMgZm9yIERpc2Vhc2UgQ29udHJv
bCBhbmQgUHJldmVudGlvbiwgQXRsYW50YSwgR2VvcmdpYTsgRXBpZGVtaWMgSW50ZWxsaWdlbmNl
IFNlcnZpY2UsIENlbnRlcnMgZm9yIERpc2Vhc2UgQ29udHJvbCBhbmQgUHJldmVudGlvbiwgQXRs
YW50YSwgR2VvcmdpYS4mI3hEO09mZmljZSBvbiBTbW9raW5nIGFuZCBIZWFsdGgsIE5hdGlvbmFs
IENlbnRlciBmb3IgQ2hyb25pYyBEaXNlYXNlIFByZXZlbnRpb24gYW5kIEhlYWx0aCBQcm9tb3Rp
b24sIENlbnRlcnMgZm9yIERpc2Vhc2UgQ29udHJvbCBhbmQgUHJldmVudGlvbiwgQXRsYW50YSwg
R2VvcmdpYS4mI3hEO0Jpb3N0YXRpc3RpY3MgYW5kIEVwaWRlbWlvbG9neSBEaXZpc2lvbiwgUlRJ
IEludGVybmF0aW9uYWwsIEF0bGFudGEsIEdlb3JnaWEuPC9hdXRoLWFkZHJlc3M+PHRpdGxlcz48
dGl0bGU+UGF0dGVybnMgb2YgRS1jaWdhcmV0dGUgVXNlIEZyZXF1ZW5jeS1OYXRpb25hbCBBZHVs
dCBUb2JhY2NvIFN1cnZleSwgMjAxMi0yMDE0PC90aXRsZT48c2Vjb25kYXJ5LXRpdGxlPkFtIEog
UHJldiBNZWQ8L3NlY29uZGFyeS10aXRsZT48YWx0LXRpdGxlPkFtZXJpY2FuIGpvdXJuYWwgb2Yg
cHJldmVudGl2ZSBtZWRpY2luZTwvYWx0LXRpdGxlPjwvdGl0bGVzPjxhbHQtcGVyaW9kaWNhbD48
ZnVsbC10aXRsZT5BbWVyaWNhbiBKb3VybmFsIG9mIFByZXZlbnRpdmUgTWVkaWNpbmU8L2Z1bGwt
dGl0bGU+PC9hbHQtcGVyaW9kaWNhbD48cGFnZXM+Mjg0LTI4ODwvcGFnZXM+PHZvbHVtZT41NDwv
dm9sdW1lPjxudW1iZXI+MjwvbnVtYmVyPjxlZGl0aW9uPjIwMTcvMTEvMTQ8L2VkaXRpb24+PGRh
dGVzPjx5ZWFyPjIwMTg8L3llYXI+PHB1Yi1kYXRlcz48ZGF0ZT5GZWI8L2RhdGU+PC9wdWItZGF0
ZXM+PC9kYXRlcz48aXNibj4wNzQ5LTM3OTc8L2lzYm4+PGFjY2Vzc2lvbi1udW0+MjkxMjk0NjM8
L2FjY2Vzc2lvbi1udW0+PHVybHM+PHJlbGF0ZWQtdXJscz48dXJsPmh0dHA6Ly93d3cuYWpwbW9u
bGluZS5vcmcvYXJ0aWNsZS9TMDc0OS0zNzk3KDE3KTMwNTM0LTIvcGRmPC91cmw+PC9yZWxhdGVk
LXVybHM+PC91cmxzPjxjdXN0b20yPlBNQzU3ODM3NjU8L2N1c3RvbTI+PGN1c3RvbTY+SEhTUEE5
MTkyMzE8L2N1c3RvbTY+PGVsZWN0cm9uaWMtcmVzb3VyY2UtbnVtPjEwLjEwMTYvai5hbWVwcmUu
MjAxNy4wOS4wMTU8L2VsZWN0cm9uaWMtcmVzb3VyY2UtbnVtPjxyZW1vdGUtZGF0YWJhc2UtcHJv
dmlkZXI+TkxNPC9yZW1vdGUtZGF0YWJhc2UtcHJvdmlkZXI+PGxhbmd1YWdlPmVuZzwvbGFuZ3Vh
Z2U+PC9yZWNvcmQ+PC9DaXRlPjwvRW5kTm90ZT4A
</w:fldData>
        </w:fldChar>
      </w:r>
      <w:r>
        <w:instrText xml:space="preserve"> ADDIN EN.CITE.DATA </w:instrText>
      </w:r>
      <w:r>
        <w:fldChar w:fldCharType="end"/>
      </w:r>
      <w:r>
        <w:fldChar w:fldCharType="separate"/>
      </w:r>
      <w:r>
        <w:rPr>
          <w:noProof/>
        </w:rPr>
        <w:t>(Sharapova, Singh et al. 2018)</w:t>
      </w:r>
      <w:r>
        <w:fldChar w:fldCharType="end"/>
      </w:r>
      <w:r>
        <w:t xml:space="preserve"> which appear in previous reports. One paper explored what kinds of people switch from conventional cigarettes to e</w:t>
      </w:r>
      <w:r>
        <w:noBreakHyphen/>
        <w:t xml:space="preserve">cigarettes </w:t>
      </w:r>
      <w:r>
        <w:fldChar w:fldCharType="begin">
          <w:fldData xml:space="preserve">PEVuZE5vdGU+PENpdGU+PEF1dGhvcj5QYXJrPC9BdXRob3I+PFllYXI+MjAxNzwvWWVhcj48UmVj
TnVtPjYzNjI8L1JlY051bT48RGlzcGxheVRleHQ+KFBhcmssIER1bmNhbiBldCBhbC4gMjAxNyk8
L0Rpc3BsYXlUZXh0PjxyZWNvcmQ+PHJlYy1udW1iZXI+NjM2MjwvcmVjLW51bWJlcj48Zm9yZWln
bi1rZXlzPjxrZXkgYXBwPSJFTiIgZGItaWQ9ImZwdDlwdHRybTV6ZnNhZXNwOWZwc2RkdjA5ZXdz
djV4ZXdmZCIgdGltZXN0YW1wPSIxNTI1MDQ3ODExIj42MzYyPC9rZXk+PGtleSBhcHA9IkVOV2Vi
IiBkYi1pZD0iIj4wPC9rZXk+PC9mb3JlaWduLWtleXM+PHJlZi10eXBlIG5hbWU9IkpvdXJuYWwg
QXJ0aWNsZSI+MTc8L3JlZi10eXBlPjxjb250cmlidXRvcnM+PGF1dGhvcnM+PGF1dGhvcj5QYXJr
LCBTLiBILjwvYXV0aG9yPjxhdXRob3I+RHVuY2FuLCBELiBULjwvYXV0aG9yPjxhdXRob3I+U2hh
aGF3eSwgTy4gRS48L2F1dGhvcj48YXV0aG9yPkxlZSwgTC48L2F1dGhvcj48YXV0aG9yPlNoZWFy
c3RvbiwgSi4gQS48L2F1dGhvcj48YXV0aG9yPlRhbXVyYSwgSy48L2F1dGhvcj48YXV0aG9yPlNo
ZXJtYW4sIFMuIEUuPC9hdXRob3I+PGF1dGhvcj5XZWl0em1hbiwgTS48L2F1dGhvcj48L2F1dGhv
cnM+PC9jb250cmlidXRvcnM+PGF1dGgtYWRkcmVzcz5EZXBhcnRtZW50IG9mIFBlZGlhdHJpY3Ms
IE5ldyBZb3JrIFVuaXZlcnNpdHkgU2Nob29sIG9mIE1lZGljaW5lLCBOZXcgWW9yaywgTmV3IFlv
cms7IERlcGFydG1lbnQgb2YgUG9wdWxhdGlvbiBIZWFsdGgsIE5ldyBZb3JrIFVuaXZlcnNpdHkg
U2Nob29sIG9mIE1lZGljaW5lLCBOZXcgWW9yaywgTmV3IFlvcmsuIEVsZWN0cm9uaWMgYWRkcmVz
czogc3VoeXVuLnBhcmtAbnl1bWMub3JnLiYjeEQ7RGVwYXJ0bWVudCBvZiBQb3B1bGF0aW9uIEhl
YWx0aCwgTmV3IFlvcmsgVW5pdmVyc2l0eSBTY2hvb2wgb2YgTWVkaWNpbmUsIE5ldyBZb3JrLCBO
ZXcgWW9yay4mI3hEO0RlcGFydG1lbnQgb2YgUG9wdWxhdGlvbiBIZWFsdGgsIE5ldyBZb3JrIFVu
aXZlcnNpdHkgU2Nob29sIG9mIE1lZGljaW5lLCBOZXcgWW9yaywgTmV3IFlvcms7IE5ZVS9BYnUg
RGhhYmkgUHVibGljIEhlYWx0aCBSZXNlYXJjaCBDZW50ZXIsIEFidSBEaGFiaSwgVW5pdGVkIEFy
YWIgRW1pcmF0ZXMuJiN4RDtEZXBhcnRtZW50IG9mIFBlZGlhdHJpY3MsIE5ldyBZb3JrIFVuaXZl
cnNpdHkgU2Nob29sIG9mIE1lZGljaW5lLCBOZXcgWW9yaywgTmV3IFlvcms7IERlcGFydG1lbnQg
b2YgQ2hlbWlzdHJ5LCBCcm9va2x5biBDb2xsZWdlLCBOZXcgWW9yaywgTmV3IFlvcmsuJiN4RDtE
ZXBhcnRtZW50IG9mIFBvcHVsYXRpb24gSGVhbHRoLCBOZXcgWW9yayBVbml2ZXJzaXR5IFNjaG9v
bCBvZiBNZWRpY2luZSwgTmV3IFlvcmssIE5ldyBZb3JrOyBOWVUvQWJ1IERoYWJpIFB1YmxpYyBI
ZWFsdGggUmVzZWFyY2ggQ2VudGVyLCBBYnUgRGhhYmksIFVuaXRlZCBBcmFiIEVtaXJhdGVzOyBD
b2xsZWdlIG9mIEdsb2JhbCBQdWJsaWMgSGVhbHRoLCBOZXcgWW9yayBVbml2ZXJzaXR5LCBOZXcg
WW9yaywgTmV3IFlvcmsuJiN4RDtEZXBhcnRtZW50IG9mIFBvcHVsYXRpb24gSGVhbHRoLCBOZXcg
WW9yayBVbml2ZXJzaXR5IFNjaG9vbCBvZiBNZWRpY2luZSwgTmV3IFlvcmssIE5ldyBZb3JrOyBO
WVUvQWJ1IERoYWJpIFB1YmxpYyBIZWFsdGggUmVzZWFyY2ggQ2VudGVyLCBBYnUgRGhhYmksIFVu
aXRlZCBBcmFiIEVtaXJhdGVzOyBDb2xsZWdlIG9mIEdsb2JhbCBQdWJsaWMgSGVhbHRoLCBOZXcg
WW9yayBVbml2ZXJzaXR5LCBOZXcgWW9yaywgTmV3IFlvcms7IFZBIE5ldyBZb3JrIEhhcmJvciBI
ZWFsdGhjYXJlIFN5c3RlbSwgTmV3IFlvcmssIE5ldyBZb3JrLiYjeEQ7RGVwYXJ0bWVudCBvZiBQ
ZWRpYXRyaWNzLCBOZXcgWW9yayBVbml2ZXJzaXR5IFNjaG9vbCBvZiBNZWRpY2luZSwgTmV3IFlv
cmssIE5ldyBZb3JrOyBOWVUvQWJ1IERoYWJpIFB1YmxpYyBIZWFsdGggUmVzZWFyY2ggQ2VudGVy
LCBBYnUgRGhhYmksIFVuaXRlZCBBcmFiIEVtaXJhdGVzOyBDb2xsZWdlIG9mIEdsb2JhbCBQdWJs
aWMgSGVhbHRoLCBOZXcgWW9yayBVbml2ZXJzaXR5LCBOZXcgWW9yaywgTmV3IFlvcms7IERlcGFy
dG1lbnQgb2YgRW52aXJvbm1lbnRhbCBNZWRpY2luZSwgTmV3IFlvcmsgVW5pdmVyc2l0eSBTY2hv
b2wgb2YgTWVkaWNpbmUsIE5ldyBZb3JrLCBOZXcgWW9yay48L2F1dGgtYWRkcmVzcz48dGl0bGVz
Pjx0aXRsZT5DaGFyYWN0ZXJpc3RpY3Mgb2YgQWR1bHRzIFdobyBTd2l0Y2hlZCBGcm9tIENpZ2Fy
ZXR0ZSBTbW9raW5nIHRvIEUtY2lnYXJldHRlczwvdGl0bGU+PHNlY29uZGFyeS10aXRsZT5BbSBK
IFByZXYgTWVkPC9zZWNvbmRhcnktdGl0bGU+PGFsdC10aXRsZT5BbWVyaWNhbiBqb3VybmFsIG9m
IHByZXZlbnRpdmUgbWVkaWNpbmU8L2FsdC10aXRsZT48L3RpdGxlcz48YWx0LXBlcmlvZGljYWw+
PGZ1bGwtdGl0bGU+QW1lcmljYW4gSm91cm5hbCBvZiBQcmV2ZW50aXZlIE1lZGljaW5lPC9mdWxs
LXRpdGxlPjwvYWx0LXBlcmlvZGljYWw+PHBhZ2VzPjY1Mi02NjA8L3BhZ2VzPjx2b2x1bWU+NTM8
L3ZvbHVtZT48bnVtYmVyPjU8L251bWJlcj48ZWRpdGlvbj4yMDE3LzA5LzAzPC9lZGl0aW9uPjxk
YXRlcz48eWVhcj4yMDE3PC95ZWFyPjxwdWItZGF0ZXM+PGRhdGU+Tm92PC9kYXRlPjwvcHViLWRh
dGVzPjwvZGF0ZXM+PGlzYm4+MDc0OS0zNzk3PC9pc2JuPjxhY2Nlc3Npb24tbnVtPjI4ODY0MTMw
PC9hY2Nlc3Npb24tbnVtPjx1cmxzPjxyZWxhdGVkLXVybHM+PHVybD5odHRwOi8vd3d3LmFqcG1v
bmxpbmUub3JnL2FydGljbGUvUzA3NDktMzc5NygxNykzMDM2My1YL3BkZjwvdXJsPjwvcmVsYXRl
ZC11cmxzPjwvdXJscz48ZWxlY3Ryb25pYy1yZXNvdXJjZS1udW0+MTAuMTAxNi9qLmFtZXByZS4y
MDE3LjA2LjAzMzwvZWxlY3Ryb25pYy1yZXNvdXJjZS1udW0+PHJlbW90ZS1kYXRhYmFzZS1wcm92
aWRlcj5OTE08L3JlbW90ZS1kYXRhYmFzZS1wcm92aWRlcj48bGFuZ3VhZ2U+ZW5nPC9sYW5ndWFn
ZT48L3JlY29yZD48L0NpdGU+PC9FbmROb3RlPgB=
</w:fldData>
        </w:fldChar>
      </w:r>
      <w:r>
        <w:instrText xml:space="preserve"> ADDIN EN.CITE </w:instrText>
      </w:r>
      <w:r>
        <w:fldChar w:fldCharType="begin">
          <w:fldData xml:space="preserve">PEVuZE5vdGU+PENpdGU+PEF1dGhvcj5QYXJrPC9BdXRob3I+PFllYXI+MjAxNzwvWWVhcj48UmVj
TnVtPjYzNjI8L1JlY051bT48RGlzcGxheVRleHQ+KFBhcmssIER1bmNhbiBldCBhbC4gMjAxNyk8
L0Rpc3BsYXlUZXh0PjxyZWNvcmQ+PHJlYy1udW1iZXI+NjM2MjwvcmVjLW51bWJlcj48Zm9yZWln
bi1rZXlzPjxrZXkgYXBwPSJFTiIgZGItaWQ9ImZwdDlwdHRybTV6ZnNhZXNwOWZwc2RkdjA5ZXdz
djV4ZXdmZCIgdGltZXN0YW1wPSIxNTI1MDQ3ODExIj42MzYyPC9rZXk+PGtleSBhcHA9IkVOV2Vi
IiBkYi1pZD0iIj4wPC9rZXk+PC9mb3JlaWduLWtleXM+PHJlZi10eXBlIG5hbWU9IkpvdXJuYWwg
QXJ0aWNsZSI+MTc8L3JlZi10eXBlPjxjb250cmlidXRvcnM+PGF1dGhvcnM+PGF1dGhvcj5QYXJr
LCBTLiBILjwvYXV0aG9yPjxhdXRob3I+RHVuY2FuLCBELiBULjwvYXV0aG9yPjxhdXRob3I+U2hh
aGF3eSwgTy4gRS48L2F1dGhvcj48YXV0aG9yPkxlZSwgTC48L2F1dGhvcj48YXV0aG9yPlNoZWFy
c3RvbiwgSi4gQS48L2F1dGhvcj48YXV0aG9yPlRhbXVyYSwgSy48L2F1dGhvcj48YXV0aG9yPlNo
ZXJtYW4sIFMuIEUuPC9hdXRob3I+PGF1dGhvcj5XZWl0em1hbiwgTS48L2F1dGhvcj48L2F1dGhv
cnM+PC9jb250cmlidXRvcnM+PGF1dGgtYWRkcmVzcz5EZXBhcnRtZW50IG9mIFBlZGlhdHJpY3Ms
IE5ldyBZb3JrIFVuaXZlcnNpdHkgU2Nob29sIG9mIE1lZGljaW5lLCBOZXcgWW9yaywgTmV3IFlv
cms7IERlcGFydG1lbnQgb2YgUG9wdWxhdGlvbiBIZWFsdGgsIE5ldyBZb3JrIFVuaXZlcnNpdHkg
U2Nob29sIG9mIE1lZGljaW5lLCBOZXcgWW9yaywgTmV3IFlvcmsuIEVsZWN0cm9uaWMgYWRkcmVz
czogc3VoeXVuLnBhcmtAbnl1bWMub3JnLiYjeEQ7RGVwYXJ0bWVudCBvZiBQb3B1bGF0aW9uIEhl
YWx0aCwgTmV3IFlvcmsgVW5pdmVyc2l0eSBTY2hvb2wgb2YgTWVkaWNpbmUsIE5ldyBZb3JrLCBO
ZXcgWW9yay4mI3hEO0RlcGFydG1lbnQgb2YgUG9wdWxhdGlvbiBIZWFsdGgsIE5ldyBZb3JrIFVu
aXZlcnNpdHkgU2Nob29sIG9mIE1lZGljaW5lLCBOZXcgWW9yaywgTmV3IFlvcms7IE5ZVS9BYnUg
RGhhYmkgUHVibGljIEhlYWx0aCBSZXNlYXJjaCBDZW50ZXIsIEFidSBEaGFiaSwgVW5pdGVkIEFy
YWIgRW1pcmF0ZXMuJiN4RDtEZXBhcnRtZW50IG9mIFBlZGlhdHJpY3MsIE5ldyBZb3JrIFVuaXZl
cnNpdHkgU2Nob29sIG9mIE1lZGljaW5lLCBOZXcgWW9yaywgTmV3IFlvcms7IERlcGFydG1lbnQg
b2YgQ2hlbWlzdHJ5LCBCcm9va2x5biBDb2xsZWdlLCBOZXcgWW9yaywgTmV3IFlvcmsuJiN4RDtE
ZXBhcnRtZW50IG9mIFBvcHVsYXRpb24gSGVhbHRoLCBOZXcgWW9yayBVbml2ZXJzaXR5IFNjaG9v
bCBvZiBNZWRpY2luZSwgTmV3IFlvcmssIE5ldyBZb3JrOyBOWVUvQWJ1IERoYWJpIFB1YmxpYyBI
ZWFsdGggUmVzZWFyY2ggQ2VudGVyLCBBYnUgRGhhYmksIFVuaXRlZCBBcmFiIEVtaXJhdGVzOyBD
b2xsZWdlIG9mIEdsb2JhbCBQdWJsaWMgSGVhbHRoLCBOZXcgWW9yayBVbml2ZXJzaXR5LCBOZXcg
WW9yaywgTmV3IFlvcmsuJiN4RDtEZXBhcnRtZW50IG9mIFBvcHVsYXRpb24gSGVhbHRoLCBOZXcg
WW9yayBVbml2ZXJzaXR5IFNjaG9vbCBvZiBNZWRpY2luZSwgTmV3IFlvcmssIE5ldyBZb3JrOyBO
WVUvQWJ1IERoYWJpIFB1YmxpYyBIZWFsdGggUmVzZWFyY2ggQ2VudGVyLCBBYnUgRGhhYmksIFVu
aXRlZCBBcmFiIEVtaXJhdGVzOyBDb2xsZWdlIG9mIEdsb2JhbCBQdWJsaWMgSGVhbHRoLCBOZXcg
WW9yayBVbml2ZXJzaXR5LCBOZXcgWW9yaywgTmV3IFlvcms7IFZBIE5ldyBZb3JrIEhhcmJvciBI
ZWFsdGhjYXJlIFN5c3RlbSwgTmV3IFlvcmssIE5ldyBZb3JrLiYjeEQ7RGVwYXJ0bWVudCBvZiBQ
ZWRpYXRyaWNzLCBOZXcgWW9yayBVbml2ZXJzaXR5IFNjaG9vbCBvZiBNZWRpY2luZSwgTmV3IFlv
cmssIE5ldyBZb3JrOyBOWVUvQWJ1IERoYWJpIFB1YmxpYyBIZWFsdGggUmVzZWFyY2ggQ2VudGVy
LCBBYnUgRGhhYmksIFVuaXRlZCBBcmFiIEVtaXJhdGVzOyBDb2xsZWdlIG9mIEdsb2JhbCBQdWJs
aWMgSGVhbHRoLCBOZXcgWW9yayBVbml2ZXJzaXR5LCBOZXcgWW9yaywgTmV3IFlvcms7IERlcGFy
dG1lbnQgb2YgRW52aXJvbm1lbnRhbCBNZWRpY2luZSwgTmV3IFlvcmsgVW5pdmVyc2l0eSBTY2hv
b2wgb2YgTWVkaWNpbmUsIE5ldyBZb3JrLCBOZXcgWW9yay48L2F1dGgtYWRkcmVzcz48dGl0bGVz
Pjx0aXRsZT5DaGFyYWN0ZXJpc3RpY3Mgb2YgQWR1bHRzIFdobyBTd2l0Y2hlZCBGcm9tIENpZ2Fy
ZXR0ZSBTbW9raW5nIHRvIEUtY2lnYXJldHRlczwvdGl0bGU+PHNlY29uZGFyeS10aXRsZT5BbSBK
IFByZXYgTWVkPC9zZWNvbmRhcnktdGl0bGU+PGFsdC10aXRsZT5BbWVyaWNhbiBqb3VybmFsIG9m
IHByZXZlbnRpdmUgbWVkaWNpbmU8L2FsdC10aXRsZT48L3RpdGxlcz48YWx0LXBlcmlvZGljYWw+
PGZ1bGwtdGl0bGU+QW1lcmljYW4gSm91cm5hbCBvZiBQcmV2ZW50aXZlIE1lZGljaW5lPC9mdWxs
LXRpdGxlPjwvYWx0LXBlcmlvZGljYWw+PHBhZ2VzPjY1Mi02NjA8L3BhZ2VzPjx2b2x1bWU+NTM8
L3ZvbHVtZT48bnVtYmVyPjU8L251bWJlcj48ZWRpdGlvbj4yMDE3LzA5LzAzPC9lZGl0aW9uPjxk
YXRlcz48eWVhcj4yMDE3PC95ZWFyPjxwdWItZGF0ZXM+PGRhdGU+Tm92PC9kYXRlPjwvcHViLWRh
dGVzPjwvZGF0ZXM+PGlzYm4+MDc0OS0zNzk3PC9pc2JuPjxhY2Nlc3Npb24tbnVtPjI4ODY0MTMw
PC9hY2Nlc3Npb24tbnVtPjx1cmxzPjxyZWxhdGVkLXVybHM+PHVybD5odHRwOi8vd3d3LmFqcG1v
bmxpbmUub3JnL2FydGljbGUvUzA3NDktMzc5NygxNykzMDM2My1YL3BkZjwvdXJsPjwvcmVsYXRl
ZC11cmxzPjwvdXJscz48ZWxlY3Ryb25pYy1yZXNvdXJjZS1udW0+MTAuMTAxNi9qLmFtZXByZS4y
MDE3LjA2LjAzMzwvZWxlY3Ryb25pYy1yZXNvdXJjZS1udW0+PHJlbW90ZS1kYXRhYmFzZS1wcm92
aWRlcj5OTE08L3JlbW90ZS1kYXRhYmFzZS1wcm92aWRlcj48bGFuZ3VhZ2U+ZW5nPC9sYW5ndWFn
ZT48L3JlY29yZD48L0NpdGU+PC9FbmROb3RlPgB=
</w:fldData>
        </w:fldChar>
      </w:r>
      <w:r>
        <w:instrText xml:space="preserve"> ADDIN EN.CITE.DATA </w:instrText>
      </w:r>
      <w:r>
        <w:fldChar w:fldCharType="end"/>
      </w:r>
      <w:r>
        <w:fldChar w:fldCharType="separate"/>
      </w:r>
      <w:r>
        <w:rPr>
          <w:noProof/>
        </w:rPr>
        <w:t>(Park, Duncan et al. 2017)</w:t>
      </w:r>
      <w:r>
        <w:fldChar w:fldCharType="end"/>
      </w:r>
      <w:r>
        <w:t xml:space="preserve"> and reported that compared </w:t>
      </w:r>
      <w:r w:rsidRPr="00E473CA">
        <w:t>with current dual users, those with higher education and those who were not single were more li</w:t>
      </w:r>
      <w:r>
        <w:t>kely to switch to e</w:t>
      </w:r>
      <w:r>
        <w:noBreakHyphen/>
        <w:t xml:space="preserve">cigarettes from conventional cigarettes. </w:t>
      </w:r>
    </w:p>
    <w:p w14:paraId="6DF1806F" w14:textId="77777777" w:rsidR="002E3AED" w:rsidRDefault="002E3AED" w:rsidP="002E3AED">
      <w:pPr>
        <w:pStyle w:val="BodyText"/>
      </w:pPr>
    </w:p>
    <w:p w14:paraId="64D914F6" w14:textId="77777777" w:rsidR="002E3AED" w:rsidRDefault="002E3AED" w:rsidP="002E3AED">
      <w:pPr>
        <w:pStyle w:val="BodyText"/>
      </w:pPr>
      <w:r>
        <w:t xml:space="preserve">Two other large datasets, the 2014 </w:t>
      </w:r>
      <w:r w:rsidRPr="00C54E31">
        <w:t>Tobacco Use Supplement-Current Population Survey (TUS-CPS)</w:t>
      </w:r>
      <w:r>
        <w:t xml:space="preserve"> </w:t>
      </w:r>
      <w:r>
        <w:fldChar w:fldCharType="begin">
          <w:fldData xml:space="preserve">PEVuZE5vdGU+PENpdGU+PEF1dGhvcj5MZXZ5PC9BdXRob3I+PFllYXI+MjAxNzwvWWVhcj48UmVj
TnVtPjQ4NDk8L1JlY051bT48RGlzcGxheVRleHQ+KExldnksIFl1YW4gZXQgYWwuIDIwMTcpPC9E
aXNwbGF5VGV4dD48cmVjb3JkPjxyZWMtbnVtYmVyPjQ4NDk8L3JlYy1udW1iZXI+PGZvcmVpZ24t
a2V5cz48a2V5IGFwcD0iRU4iIGRiLWlkPSJmcHQ5cHR0cm01emZzYWVzcDlmcHNkZHYwOWV3c3Y1
eGV3ZmQiIHRpbWVzdGFtcD0iMTUyNTA0NTYwMiI+NDg0OTwva2V5PjxrZXkgYXBwPSJFTldlYiIg
ZGItaWQ9IiI+MDwva2V5PjwvZm9yZWlnbi1rZXlzPjxyZWYtdHlwZSBuYW1lPSJKb3VybmFsIEFy
dGljbGUiPjE3PC9yZWYtdHlwZT48Y29udHJpYnV0b3JzPjxhdXRob3JzPjxhdXRob3I+TGV2eSwg
RC4gVC48L2F1dGhvcj48YXV0aG9yPll1YW4sIFouPC9hdXRob3I+PGF1dGhvcj5MaSwgWS48L2F1
dGhvcj48L2F1dGhvcnM+PC9jb250cmlidXRvcnM+PGF1dGgtYWRkcmVzcz5Mb21iYXJkaSBDb21w
cmVoZW5zaXZlIENhbmNlciBDZW50ZXIsIEdlb3JnZXRvd24gVW5pdmVyc2l0eSwgV2FzaGluZ3Rv
biwgREMgMjAwMDcsIFVTQS4gZGw3NzdAZ2VvcmdldG93bi5lZHUuJiN4RDtMb21iYXJkaSBDb21w
cmVoZW5zaXZlIENhbmNlciBDZW50ZXIsIEdlb3JnZXRvd24gVW5pdmVyc2l0eSwgV2FzaGluZ3Rv
biwgREMgMjAwMDcsIFVTQS4genk3MEBnZW9yZ2V0b3duLmVkdS4mI3hEO0xvbWJhcmRpIENvbXBy
ZWhlbnNpdmUgQ2FuY2VyIENlbnRlciwgR2VvcmdldG93biBVbml2ZXJzaXR5LCBXYXNoaW5ndG9u
LCBEQyAyMDAwNywgVVNBLiB5bDk1NEBnZW9yZ2V0b3duLmVkdS48L2F1dGgtYWRkcmVzcz48dGl0
bGVzPjx0aXRsZT5UaGUgUHJldmFsZW5jZSBhbmQgQ2hhcmFjdGVyaXN0aWNzIG9mIEUtQ2lnYXJl
dHRlIFVzZXJzIGluIHRoZSBVLlM8L3RpdGxlPjxzZWNvbmRhcnktdGl0bGU+SW50IEogRW52aXJv
biBSZXMgUHVibGljIEhlYWx0aDwvc2Vjb25kYXJ5LXRpdGxlPjxhbHQtdGl0bGU+SW50ZXJuYXRp
b25hbCBqb3VybmFsIG9mIGVudmlyb25tZW50YWwgcmVzZWFyY2ggYW5kIHB1YmxpYyBoZWFsdGg8
L2FsdC10aXRsZT48L3RpdGxlcz48YWx0LXBlcmlvZGljYWw+PGZ1bGwtdGl0bGU+SW50ZXJuYXRp
b25hbCBKb3VybmFsIG9mIEVudmlyb25tZW50YWwgUmVzZWFyY2ggYW5kIFB1YmxpYyBIZWFsdGg8
L2Z1bGwtdGl0bGU+PC9hbHQtcGVyaW9kaWNhbD48dm9sdW1lPjE0PC92b2x1bWU+PG51bWJlcj4x
MDwvbnVtYmVyPjxlZGl0aW9uPjIwMTcvMTAvMTI8L2VkaXRpb24+PGtleXdvcmRzPjxrZXl3b3Jk
PmRlbW9ncmFwaGljczwva2V5d29yZD48a2V5d29yZD5lLWNpZ2FyZXR0ZXMsIHByZXZhbGVuY2U8
L2tleXdvcmQ+PGtleXdvcmQ+ZWxlY3Ryb25pYyBjaWdhcmV0dGVzPC9rZXl3b3JkPjxrZXl3b3Jk
PnB1YmxpYyBwb2xpY3k8L2tleXdvcmQ+PGtleXdvcmQ+dGhlIGRlc2lnbiBvZiB0aGUgc3R1ZHk8
L2tleXdvcmQ+PGtleXdvcmQ+aW4gdGhlIGNvbGxlY3Rpb24sIGFuYWx5c2VzLCBvciBpbnRlcnBy
ZXRhdGlvbiBvZiBkYXRhPC9rZXl3b3JkPjxrZXl3b3JkPmluIHRoZSB3cml0aW5nIG9mIHRoZSBt
YW51c2NyaXB0LCBhbmQgaW4gdGhlIGRlY2lzaW9uIHRvIHB1Ymxpc2ggdGhlIHJlc3VsdHMuPC9r
ZXl3b3JkPjwva2V5d29yZHM+PGRhdGVzPjx5ZWFyPjIwMTc8L3llYXI+PHB1Yi1kYXRlcz48ZGF0
ZT5PY3QgMTE8L2RhdGU+PC9wdWItZGF0ZXM+PC9kYXRlcz48aXNibj4xNjYwLTQ2MDE8L2lzYm4+
PGFjY2Vzc2lvbi1udW0+MjkwMTk5MTc8L2FjY2Vzc2lvbi1udW0+PHVybHM+PHJlbGF0ZWQtdXJs
cz48dXJsPmh0dHA6Ly93d3cubWRwaS5jb20vMTY2MC00NjAxLzE0LzEwLzEyMDAvcGRmPC91cmw+
PC9yZWxhdGVkLXVybHM+PC91cmxzPjxjdXN0b20yPlBNQzU2NjQ3MDE8L2N1c3RvbTI+PGVsZWN0
cm9uaWMtcmVzb3VyY2UtbnVtPjEwLjMzOTAvaWplcnBoMTQxMDEyMDA8L2VsZWN0cm9uaWMtcmVz
b3VyY2UtbnVtPjxyZW1vdGUtZGF0YWJhc2UtcHJvdmlkZXI+TkxNPC9yZW1vdGUtZGF0YWJhc2Ut
cHJvdmlkZXI+PGxhbmd1YWdlPmVuZzwvbGFuZ3VhZ2U+PC9yZWNvcmQ+PC9DaXRlPjwvRW5kTm90
ZT4A
</w:fldData>
        </w:fldChar>
      </w:r>
      <w:r>
        <w:instrText xml:space="preserve"> ADDIN EN.CITE </w:instrText>
      </w:r>
      <w:r>
        <w:fldChar w:fldCharType="begin">
          <w:fldData xml:space="preserve">PEVuZE5vdGU+PENpdGU+PEF1dGhvcj5MZXZ5PC9BdXRob3I+PFllYXI+MjAxNzwvWWVhcj48UmVj
TnVtPjQ4NDk8L1JlY051bT48RGlzcGxheVRleHQ+KExldnksIFl1YW4gZXQgYWwuIDIwMTcpPC9E
aXNwbGF5VGV4dD48cmVjb3JkPjxyZWMtbnVtYmVyPjQ4NDk8L3JlYy1udW1iZXI+PGZvcmVpZ24t
a2V5cz48a2V5IGFwcD0iRU4iIGRiLWlkPSJmcHQ5cHR0cm01emZzYWVzcDlmcHNkZHYwOWV3c3Y1
eGV3ZmQiIHRpbWVzdGFtcD0iMTUyNTA0NTYwMiI+NDg0OTwva2V5PjxrZXkgYXBwPSJFTldlYiIg
ZGItaWQ9IiI+MDwva2V5PjwvZm9yZWlnbi1rZXlzPjxyZWYtdHlwZSBuYW1lPSJKb3VybmFsIEFy
dGljbGUiPjE3PC9yZWYtdHlwZT48Y29udHJpYnV0b3JzPjxhdXRob3JzPjxhdXRob3I+TGV2eSwg
RC4gVC48L2F1dGhvcj48YXV0aG9yPll1YW4sIFouPC9hdXRob3I+PGF1dGhvcj5MaSwgWS48L2F1
dGhvcj48L2F1dGhvcnM+PC9jb250cmlidXRvcnM+PGF1dGgtYWRkcmVzcz5Mb21iYXJkaSBDb21w
cmVoZW5zaXZlIENhbmNlciBDZW50ZXIsIEdlb3JnZXRvd24gVW5pdmVyc2l0eSwgV2FzaGluZ3Rv
biwgREMgMjAwMDcsIFVTQS4gZGw3NzdAZ2VvcmdldG93bi5lZHUuJiN4RDtMb21iYXJkaSBDb21w
cmVoZW5zaXZlIENhbmNlciBDZW50ZXIsIEdlb3JnZXRvd24gVW5pdmVyc2l0eSwgV2FzaGluZ3Rv
biwgREMgMjAwMDcsIFVTQS4genk3MEBnZW9yZ2V0b3duLmVkdS4mI3hEO0xvbWJhcmRpIENvbXBy
ZWhlbnNpdmUgQ2FuY2VyIENlbnRlciwgR2VvcmdldG93biBVbml2ZXJzaXR5LCBXYXNoaW5ndG9u
LCBEQyAyMDAwNywgVVNBLiB5bDk1NEBnZW9yZ2V0b3duLmVkdS48L2F1dGgtYWRkcmVzcz48dGl0
bGVzPjx0aXRsZT5UaGUgUHJldmFsZW5jZSBhbmQgQ2hhcmFjdGVyaXN0aWNzIG9mIEUtQ2lnYXJl
dHRlIFVzZXJzIGluIHRoZSBVLlM8L3RpdGxlPjxzZWNvbmRhcnktdGl0bGU+SW50IEogRW52aXJv
biBSZXMgUHVibGljIEhlYWx0aDwvc2Vjb25kYXJ5LXRpdGxlPjxhbHQtdGl0bGU+SW50ZXJuYXRp
b25hbCBqb3VybmFsIG9mIGVudmlyb25tZW50YWwgcmVzZWFyY2ggYW5kIHB1YmxpYyBoZWFsdGg8
L2FsdC10aXRsZT48L3RpdGxlcz48YWx0LXBlcmlvZGljYWw+PGZ1bGwtdGl0bGU+SW50ZXJuYXRp
b25hbCBKb3VybmFsIG9mIEVudmlyb25tZW50YWwgUmVzZWFyY2ggYW5kIFB1YmxpYyBIZWFsdGg8
L2Z1bGwtdGl0bGU+PC9hbHQtcGVyaW9kaWNhbD48dm9sdW1lPjE0PC92b2x1bWU+PG51bWJlcj4x
MDwvbnVtYmVyPjxlZGl0aW9uPjIwMTcvMTAvMTI8L2VkaXRpb24+PGtleXdvcmRzPjxrZXl3b3Jk
PmRlbW9ncmFwaGljczwva2V5d29yZD48a2V5d29yZD5lLWNpZ2FyZXR0ZXMsIHByZXZhbGVuY2U8
L2tleXdvcmQ+PGtleXdvcmQ+ZWxlY3Ryb25pYyBjaWdhcmV0dGVzPC9rZXl3b3JkPjxrZXl3b3Jk
PnB1YmxpYyBwb2xpY3k8L2tleXdvcmQ+PGtleXdvcmQ+dGhlIGRlc2lnbiBvZiB0aGUgc3R1ZHk8
L2tleXdvcmQ+PGtleXdvcmQ+aW4gdGhlIGNvbGxlY3Rpb24sIGFuYWx5c2VzLCBvciBpbnRlcnBy
ZXRhdGlvbiBvZiBkYXRhPC9rZXl3b3JkPjxrZXl3b3JkPmluIHRoZSB3cml0aW5nIG9mIHRoZSBt
YW51c2NyaXB0LCBhbmQgaW4gdGhlIGRlY2lzaW9uIHRvIHB1Ymxpc2ggdGhlIHJlc3VsdHMuPC9r
ZXl3b3JkPjwva2V5d29yZHM+PGRhdGVzPjx5ZWFyPjIwMTc8L3llYXI+PHB1Yi1kYXRlcz48ZGF0
ZT5PY3QgMTE8L2RhdGU+PC9wdWItZGF0ZXM+PC9kYXRlcz48aXNibj4xNjYwLTQ2MDE8L2lzYm4+
PGFjY2Vzc2lvbi1udW0+MjkwMTk5MTc8L2FjY2Vzc2lvbi1udW0+PHVybHM+PHJlbGF0ZWQtdXJs
cz48dXJsPmh0dHA6Ly93d3cubWRwaS5jb20vMTY2MC00NjAxLzE0LzEwLzEyMDAvcGRmPC91cmw+
PC9yZWxhdGVkLXVybHM+PC91cmxzPjxjdXN0b20yPlBNQzU2NjQ3MDE8L2N1c3RvbTI+PGVsZWN0
cm9uaWMtcmVzb3VyY2UtbnVtPjEwLjMzOTAvaWplcnBoMTQxMDEyMDA8L2VsZWN0cm9uaWMtcmVz
b3VyY2UtbnVtPjxyZW1vdGUtZGF0YWJhc2UtcHJvdmlkZXI+TkxNPC9yZW1vdGUtZGF0YWJhc2Ut
cHJvdmlkZXI+PGxhbmd1YWdlPmVuZzwvbGFuZ3VhZ2U+PC9yZWNvcmQ+PC9DaXRlPjwvRW5kTm90
ZT4A
</w:fldData>
        </w:fldChar>
      </w:r>
      <w:r>
        <w:instrText xml:space="preserve"> ADDIN EN.CITE.DATA </w:instrText>
      </w:r>
      <w:r>
        <w:fldChar w:fldCharType="end"/>
      </w:r>
      <w:r>
        <w:fldChar w:fldCharType="separate"/>
      </w:r>
      <w:r>
        <w:rPr>
          <w:noProof/>
        </w:rPr>
        <w:t>(Levy, Yuan et al. 2017)</w:t>
      </w:r>
      <w:r>
        <w:fldChar w:fldCharType="end"/>
      </w:r>
      <w:r>
        <w:t xml:space="preserve"> and the 2014 </w:t>
      </w:r>
      <w:r w:rsidRPr="00C54E31">
        <w:t>National Health Interview Survey (NHIS)</w:t>
      </w:r>
      <w:r>
        <w:t xml:space="preserve"> </w:t>
      </w:r>
      <w:r>
        <w:fldChar w:fldCharType="begin">
          <w:fldData xml:space="preserve">PEVuZE5vdGU+PENpdGU+PEF1dGhvcj5QYXJrPC9BdXRob3I+PFllYXI+MjAxNzwvWWVhcj48UmVj
TnVtPjUxNzY8L1JlY051bT48RGlzcGxheVRleHQ+KFBhcmssIExlZSBldCBhbC4gMjAxNywgU2hh
aCwgUGFsaXdhbCBldCBhbC4gMjAxNywgU3Rva2VzLCBDb2xsaW5zIGV0IGFsLiAyMDE4KTwvRGlz
cGxheVRleHQ+PHJlY29yZD48cmVjLW51bWJlcj41MTc2PC9yZWMtbnVtYmVyPjxmb3JlaWduLWtl
eXM+PGtleSBhcHA9IkVOIiBkYi1pZD0iZnB0OXB0dHJtNXpmc2Flc3A5ZnBzZGR2MDlld3N2NXhl
d2ZkIiB0aW1lc3RhbXA9IjE1MjUwNDYxODQiPjUxNzY8L2tleT48a2V5IGFwcD0iRU5XZWIiIGRi
LWlkPSIiPjA8L2tleT48L2ZvcmVpZ24ta2V5cz48cmVmLXR5cGUgbmFtZT0iSm91cm5hbCBBcnRp
Y2xlIj4xNzwvcmVmLXR5cGU+PGNvbnRyaWJ1dG9ycz48YXV0aG9ycz48YXV0aG9yPlBhcmssIFMu
IEguPC9hdXRob3I+PGF1dGhvcj5MZWUsIEwuPC9hdXRob3I+PGF1dGhvcj5TaGVhcnN0b24sIEou
IEEuPC9hdXRob3I+PGF1dGhvcj5XZWl0em1hbiwgTS48L2F1dGhvcj48L2F1dGhvcnM+PC9jb250
cmlidXRvcnM+PGF1dGgtYWRkcmVzcz5EZXBhcnRtZW50IG9mIFBlZGlhdHJpY3MsIE5ldyBZb3Jr
IFVuaXZlcnNpdHkgU2Nob29sIG9mIE1lZGljaW5lLCBOZXcgWW9yaywgTmV3IFlvcmssIFVuaXRl
ZCBTdGF0ZXMgb2YgQW1lcmljYS4mI3hEO0RlcGFydG1lbnQgb2YgUG9wdWxhdGlvbiBIZWFsdGgs
IE5ldyBZb3JrIFVuaXZlcnNpdHkgU2Nob29sIG9mIE1lZGljaW5lLCBOZXcgWW9yaywgTmV3IFlv
cmssIFVuaXRlZCBTdGF0ZXMgb2YgQW1lcmljYS4mI3hEO0Jyb29rbHluIENvbGxlZ2UsIE5ldyBZ
b3JrLCBOZXcgWW9yaywgVW5pdGVkIFN0YXRlcyBvZiBBbWVyaWNhLiYjeEQ7Q29sbGVnZSBvZiBH
bG9iYWwgUHVibGljIEhlYWx0aCwgTmV3IFlvcmsgVW5pdmVyc2l0eSwgTmV3IFlvcmssIE5ldyBZ
b3JrLCBVbml0ZWQgU3RhdGVzIG9mIEFtZXJpY2EuJiN4RDtOZXcgWW9yayBVbml2ZXJzaXR5LyBB
YnUgRGhhYmkgUHVibGljIEhlYWx0aCBSZXNlYXJjaCBDZW50ZXIsIEFidSBEaGFiaSwgVW5pdGVk
IEFyYWIgRW1pcmF0ZXMuJiN4RDtEZXBhcnRtZW50IG9mIEVudmlyb25tZW50YWwgTWVkaWNpbmUs
IE5ldyBZb3JrIFVuaXZlcnNpdHksIE5ldyBZb3JrLCBOZXcgWW9yaywgVW5pdGVkIFN0YXRlcyBv
ZiBBbWVyaWNhLjwvYXV0aC1hZGRyZXNzPjx0aXRsZXM+PHRpdGxlPlBhdHRlcm5zIG9mIGVsZWN0
cm9uaWMgY2lnYXJldHRlIHVzZSBhbmQgbGV2ZWwgb2YgcHN5Y2hvbG9naWNhbCBkaXN0cmVzczwv
dGl0bGU+PHNlY29uZGFyeS10aXRsZT5QTG9TIE9uZTwvc2Vjb25kYXJ5LXRpdGxlPjxhbHQtdGl0
bGU+UGxvUyBvbmU8L2FsdC10aXRsZT48L3RpdGxlcz48cGVyaW9kaWNhbD48ZnVsbC10aXRsZT5Q
bG9zIE9uZTwvZnVsbC10aXRsZT48L3BlcmlvZGljYWw+PGFsdC1wZXJpb2RpY2FsPjxmdWxsLXRp
dGxlPlBsb3MgT25lPC9mdWxsLXRpdGxlPjwvYWx0LXBlcmlvZGljYWw+PHBhZ2VzPmUwMTczNjI1
PC9wYWdlcz48dm9sdW1lPjEyPC92b2x1bWU+PG51bWJlcj4zPC9udW1iZXI+PGVkaXRpb24+MjAx
Ny8wMy8xMDwvZWRpdGlvbj48a2V5d29yZHM+PGtleXdvcmQ+QWRvbGVzY2VudDwva2V5d29yZD48
a2V5d29yZD5BZHVsdDwva2V5d29yZD48a2V5d29yZD5BZ2VkPC9rZXl3b3JkPjxrZXl3b3JkPkNy
b3NzLVNlY3Rpb25hbCBTdHVkaWVzPC9rZXl3b3JkPjxrZXl3b3JkPkVsZWN0cm9uaWMgTmljb3Rp
bmUgRGVsaXZlcnkgU3lzdGVtcy9wc3ljaG9sb2d5Lyp1dGlsaXphdGlvbjwva2V5d29yZD48a2V5
d29yZD5GZW1hbGU8L2tleXdvcmQ+PGtleXdvcmQ+SHVtYW5zPC9rZXl3b3JkPjxrZXl3b3JkPk1h
bGU8L2tleXdvcmQ+PGtleXdvcmQ+TWlkZGxlIEFnZWQ8L2tleXdvcmQ+PGtleXdvcmQ+UHJldmFs
ZW5jZTwva2V5d29yZD48a2V5d29yZD5TdHJlc3MsIFBzeWNob2xvZ2ljYWwvKmVwaWRlbWlvbG9n
eTwva2V5d29yZD48a2V5d29yZD5Vbml0ZWQgU3RhdGVzL2VwaWRlbWlvbG9neTwva2V5d29yZD48
a2V5d29yZD5Zb3VuZyBBZHVsdDwva2V5d29yZD48L2tleXdvcmRzPjxkYXRlcz48eWVhcj4yMDE3
PC95ZWFyPjwvZGF0ZXM+PGlzYm4+MTkzMi02MjAzPC9pc2JuPjxhY2Nlc3Npb24tbnVtPjI4Mjc4
MjM5PC9hY2Nlc3Npb24tbnVtPjx1cmxzPjxyZWxhdGVkLXVybHM+PHVybD5odHRwczovL3d3dy5u
Y2JpLm5sbS5uaWguZ292L3BtYy9hcnRpY2xlcy9QTUM1MzQ0NDU5L3BkZi9wb25lLjAxNzM2MjUu
cGRmPC91cmw+PC9yZWxhdGVkLXVybHM+PC91cmxzPjxjdXN0b20yPlBNQzUzNDQ0NTk8L2N1c3Rv
bTI+PGVsZWN0cm9uaWMtcmVzb3VyY2UtbnVtPjEwLjEzNzEvam91cm5hbC5wb25lLjAxNzM2MjU8
L2VsZWN0cm9uaWMtcmVzb3VyY2UtbnVtPjxyZW1vdGUtZGF0YWJhc2UtcHJvdmlkZXI+TkxNPC9y
ZW1vdGUtZGF0YWJhc2UtcHJvdmlkZXI+PGxhbmd1YWdlPmVuZzwvbGFuZ3VhZ2U+PC9yZWNvcmQ+
PC9DaXRlPjxDaXRlPjxBdXRob3I+U2hhaDwvQXV0aG9yPjxZZWFyPjIwMTc8L1llYXI+PFJlY051
bT41OTU4PC9SZWNOdW0+PHJlY29yZD48cmVjLW51bWJlcj41OTU4PC9yZWMtbnVtYmVyPjxmb3Jl
aWduLWtleXM+PGtleSBhcHA9IkVOIiBkYi1pZD0iOXowNWR6MHByYWFkZnVlZTB6b3h6ZWRrOXpm
ZTVmeHg1MHo1IiB0aW1lc3RhbXA9IjE1MjM5MjEwNDEiPjU5NTg8L2tleT48a2V5IGFwcD0iRU5X
ZWIiIGRiLWlkPSIiPjA8L2tleT48L2ZvcmVpZ24ta2V5cz48cmVmLXR5cGUgbmFtZT0iSm91cm5h
bCBBcnRpY2xlIj4xNzwvcmVmLXR5cGU+PGNvbnRyaWJ1dG9ycz48YXV0aG9ycz48YXV0aG9yPlNo
YWgsIEEuPC9hdXRob3I+PGF1dGhvcj5QYWxpd2FsLCBZLjwvYXV0aG9yPjxhdXRob3I+SG9sZGZv
cmQsIEQuPC9hdXRob3I+PC9hdXRob3JzPjwvY29udHJpYnV0b3JzPjx0aXRsZXM+PHRpdGxlPlBy
ZXZhbGVuY2UgYW5kIGNoYXJhY3RlcmlzdGljcyBvZiBlLWNpZ2FyZXR0ZSB1c2VycyBhbW9uZyBD
T1BEIHBhdGllbnQgcG9wdWxhdGlvbiBpbiB0aGUgdW5pdGVkIHN0YXRlcyA8L3RpdGxlPjxzZWNv
bmRhcnktdGl0bGU+VmFsdWUgaW4gSGVhbHRoPC9zZWNvbmRhcnktdGl0bGU+PC90aXRsZXM+PHBl
cmlvZGljYWw+PGZ1bGwtdGl0bGU+VmFsdWUgaW4gSGVhbHRoPC9mdWxsLXRpdGxlPjwvcGVyaW9k
aWNhbD48cGFnZXM+QTIwMS1BMjAxPC9wYWdlcz48dm9sdW1lPjIwPC92b2x1bWU+PG51bWJlcj41
PC9udW1iZXI+PGRhdGVzPjx5ZWFyPjIwMTc8L3llYXI+PHB1Yi1kYXRlcz48ZGF0ZT5NYXk8L2Rh
dGU+PC9wdWItZGF0ZXM+PC9kYXRlcz48aXNibj4xMDk4LTMwMTU8L2lzYm4+PGFjY2Vzc2lvbi1u
dW0+V09TOjAwMDQwNTQ0ODAwMjM1NDwvYWNjZXNzaW9uLW51bT48dXJscz48cmVsYXRlZC11cmxz
Pjx1cmw+Jmx0O0dvIHRvIElTSSZndDs6Ly9XT1M6MDAwNDA1NDQ4MDAyMzU0PC91cmw+PC9yZWxh
dGVkLXVybHM+PC91cmxzPjwvcmVjb3JkPjwvQ2l0ZT48Q2l0ZT48QXV0aG9yPlN0b2tlczwvQXV0
aG9yPjxZZWFyPjIwMTg8L1llYXI+PFJlY051bT4xMDQyMjwvUmVjTnVtPjxyZWNvcmQ+PHJlYy1u
dW1iZXI+MTA0MjI8L3JlYy1udW1iZXI+PGZvcmVpZ24ta2V5cz48a2V5IGFwcD0iRU4iIGRiLWlk
PSI5ejA1ZHowcHJhYWRmdWVlMHpveHplZGs5emZlNWZ4eDUwejUiIHRpbWVzdGFtcD0iMTUyNjg2
OTg3OCI+MTA0MjI8L2tleT48a2V5IGFwcD0iRU5XZWIiIGRiLWlkPSIiPjA8L2tleT48L2ZvcmVp
Z24ta2V5cz48cmVmLXR5cGUgbmFtZT0iSm91cm5hbCBBcnRpY2xlIj4xNzwvcmVmLXR5cGU+PGNv
bnRyaWJ1dG9ycz48YXV0aG9ycz48YXV0aG9yPlN0b2tlcywgQW5kcmV3PC9hdXRob3I+PGF1dGhv
cj5Db2xsaW5zLCBKYXNvbiBNLjwvYXV0aG9yPjxhdXRob3I+QmVycnksIEthaXRseW4gTS48L2F1
dGhvcj48YXV0aG9yPlJleW5vbGRzLCBMaW5kc2F5IE0uPC9hdXRob3I+PGF1dGhvcj5GZXR0ZXJt
YW4sIEplc3NpY2EgTC48L2F1dGhvcj48YXV0aG9yPlJvZHJpZ3VleiwgQ2FybG9zIEouPC9hdXRo
b3I+PGF1dGhvcj5TaWVnZWwsIE1pY2hhZWwgQi48L2F1dGhvcj48YXV0aG9yPkJlbmphbWluLCBF
bWVsaWEgSi48L2F1dGhvcj48L2F1dGhvcnM+PC9jb250cmlidXRvcnM+PHRpdGxlcz48dGl0bGU+
RWxlY3Ryb25pYyBDaWdhcmV0dGUgUHJldmFsZW5jZSBhbmQgUGF0dGVybnMgb2YgVXNlIGluIEFk
dWx0cyB3aXRoIGEgSGlzdG9yeSBvZiBDYXJkaW92YXNjdWxhciBEaXNlYXNlIGluIHRoZSBVbml0
ZWQgU3RhdGVzPC90aXRsZT48c2Vjb25kYXJ5LXRpdGxlPkpvdXJuYWwgb2YgdGhlIEFtZXJpY2Fu
IEhlYXJ0IEFzc29jaWF0aW9uPC9zZWNvbmRhcnktdGl0bGU+PC90aXRsZXM+PHBlcmlvZGljYWw+
PGZ1bGwtdGl0bGU+Sm91cm5hbCBvZiB0aGUgQW1lcmljYW4gSGVhcnQgQXNzb2NpYXRpb248L2Z1
bGwtdGl0bGU+PC9wZXJpb2RpY2FsPjx2b2x1bWU+Nzwvdm9sdW1lPjxudW1iZXI+OTwvbnVtYmVy
PjxkYXRlcz48eWVhcj4yMDE4PC95ZWFyPjxwdWItZGF0ZXM+PGRhdGU+MjAxOCBBcHI8L2RhdGU+
PC9wdWItZGF0ZXM+PC9kYXRlcz48YWNjZXNzaW9uLW51bT5NRURMSU5FOjI5NzAwMDQxPC9hY2Nl
c3Npb24tbnVtPjx1cmxzPjxyZWxhdGVkLXVybHM+PHVybD4mbHQ7R28gdG8gSVNJJmd0OzovL01F
RExJTkU6Mjk3MDAwNDE8L3VybD48dXJsPmh0dHA6Ly9qYWhhLmFoYWpvdXJuYWxzLm9yZy9jb250
ZW50L2FoYW9hLzcvOS9lMDA3NjAyLmZ1bGwucGRmPC91cmw+PC9yZWxhdGVkLXVybHM+PC91cmxz
PjxlbGVjdHJvbmljLXJlc291cmNlLW51bT4xMC4xMTYxL2phaGEuMTE3LjAwNzYwMjwvZWxlY3Ry
b25pYy1yZXNvdXJjZS1udW0+PC9yZWNvcmQ+PC9DaXRlPjwvRW5kTm90ZT4A
</w:fldData>
        </w:fldChar>
      </w:r>
      <w:r>
        <w:instrText xml:space="preserve"> ADDIN EN.CITE </w:instrText>
      </w:r>
      <w:r>
        <w:fldChar w:fldCharType="begin">
          <w:fldData xml:space="preserve">PEVuZE5vdGU+PENpdGU+PEF1dGhvcj5QYXJrPC9BdXRob3I+PFllYXI+MjAxNzwvWWVhcj48UmVj
TnVtPjUxNzY8L1JlY051bT48RGlzcGxheVRleHQ+KFBhcmssIExlZSBldCBhbC4gMjAxNywgU2hh
aCwgUGFsaXdhbCBldCBhbC4gMjAxNywgU3Rva2VzLCBDb2xsaW5zIGV0IGFsLiAyMDE4KTwvRGlz
cGxheVRleHQ+PHJlY29yZD48cmVjLW51bWJlcj41MTc2PC9yZWMtbnVtYmVyPjxmb3JlaWduLWtl
eXM+PGtleSBhcHA9IkVOIiBkYi1pZD0iZnB0OXB0dHJtNXpmc2Flc3A5ZnBzZGR2MDlld3N2NXhl
d2ZkIiB0aW1lc3RhbXA9IjE1MjUwNDYxODQiPjUxNzY8L2tleT48a2V5IGFwcD0iRU5XZWIiIGRi
LWlkPSIiPjA8L2tleT48L2ZvcmVpZ24ta2V5cz48cmVmLXR5cGUgbmFtZT0iSm91cm5hbCBBcnRp
Y2xlIj4xNzwvcmVmLXR5cGU+PGNvbnRyaWJ1dG9ycz48YXV0aG9ycz48YXV0aG9yPlBhcmssIFMu
IEguPC9hdXRob3I+PGF1dGhvcj5MZWUsIEwuPC9hdXRob3I+PGF1dGhvcj5TaGVhcnN0b24sIEou
IEEuPC9hdXRob3I+PGF1dGhvcj5XZWl0em1hbiwgTS48L2F1dGhvcj48L2F1dGhvcnM+PC9jb250
cmlidXRvcnM+PGF1dGgtYWRkcmVzcz5EZXBhcnRtZW50IG9mIFBlZGlhdHJpY3MsIE5ldyBZb3Jr
IFVuaXZlcnNpdHkgU2Nob29sIG9mIE1lZGljaW5lLCBOZXcgWW9yaywgTmV3IFlvcmssIFVuaXRl
ZCBTdGF0ZXMgb2YgQW1lcmljYS4mI3hEO0RlcGFydG1lbnQgb2YgUG9wdWxhdGlvbiBIZWFsdGgs
IE5ldyBZb3JrIFVuaXZlcnNpdHkgU2Nob29sIG9mIE1lZGljaW5lLCBOZXcgWW9yaywgTmV3IFlv
cmssIFVuaXRlZCBTdGF0ZXMgb2YgQW1lcmljYS4mI3hEO0Jyb29rbHluIENvbGxlZ2UsIE5ldyBZ
b3JrLCBOZXcgWW9yaywgVW5pdGVkIFN0YXRlcyBvZiBBbWVyaWNhLiYjeEQ7Q29sbGVnZSBvZiBH
bG9iYWwgUHVibGljIEhlYWx0aCwgTmV3IFlvcmsgVW5pdmVyc2l0eSwgTmV3IFlvcmssIE5ldyBZ
b3JrLCBVbml0ZWQgU3RhdGVzIG9mIEFtZXJpY2EuJiN4RDtOZXcgWW9yayBVbml2ZXJzaXR5LyBB
YnUgRGhhYmkgUHVibGljIEhlYWx0aCBSZXNlYXJjaCBDZW50ZXIsIEFidSBEaGFiaSwgVW5pdGVk
IEFyYWIgRW1pcmF0ZXMuJiN4RDtEZXBhcnRtZW50IG9mIEVudmlyb25tZW50YWwgTWVkaWNpbmUs
IE5ldyBZb3JrIFVuaXZlcnNpdHksIE5ldyBZb3JrLCBOZXcgWW9yaywgVW5pdGVkIFN0YXRlcyBv
ZiBBbWVyaWNhLjwvYXV0aC1hZGRyZXNzPjx0aXRsZXM+PHRpdGxlPlBhdHRlcm5zIG9mIGVsZWN0
cm9uaWMgY2lnYXJldHRlIHVzZSBhbmQgbGV2ZWwgb2YgcHN5Y2hvbG9naWNhbCBkaXN0cmVzczwv
dGl0bGU+PHNlY29uZGFyeS10aXRsZT5QTG9TIE9uZTwvc2Vjb25kYXJ5LXRpdGxlPjxhbHQtdGl0
bGU+UGxvUyBvbmU8L2FsdC10aXRsZT48L3RpdGxlcz48cGVyaW9kaWNhbD48ZnVsbC10aXRsZT5Q
bG9zIE9uZTwvZnVsbC10aXRsZT48L3BlcmlvZGljYWw+PGFsdC1wZXJpb2RpY2FsPjxmdWxsLXRp
dGxlPlBsb3MgT25lPC9mdWxsLXRpdGxlPjwvYWx0LXBlcmlvZGljYWw+PHBhZ2VzPmUwMTczNjI1
PC9wYWdlcz48dm9sdW1lPjEyPC92b2x1bWU+PG51bWJlcj4zPC9udW1iZXI+PGVkaXRpb24+MjAx
Ny8wMy8xMDwvZWRpdGlvbj48a2V5d29yZHM+PGtleXdvcmQ+QWRvbGVzY2VudDwva2V5d29yZD48
a2V5d29yZD5BZHVsdDwva2V5d29yZD48a2V5d29yZD5BZ2VkPC9rZXl3b3JkPjxrZXl3b3JkPkNy
b3NzLVNlY3Rpb25hbCBTdHVkaWVzPC9rZXl3b3JkPjxrZXl3b3JkPkVsZWN0cm9uaWMgTmljb3Rp
bmUgRGVsaXZlcnkgU3lzdGVtcy9wc3ljaG9sb2d5Lyp1dGlsaXphdGlvbjwva2V5d29yZD48a2V5
d29yZD5GZW1hbGU8L2tleXdvcmQ+PGtleXdvcmQ+SHVtYW5zPC9rZXl3b3JkPjxrZXl3b3JkPk1h
bGU8L2tleXdvcmQ+PGtleXdvcmQ+TWlkZGxlIEFnZWQ8L2tleXdvcmQ+PGtleXdvcmQ+UHJldmFs
ZW5jZTwva2V5d29yZD48a2V5d29yZD5TdHJlc3MsIFBzeWNob2xvZ2ljYWwvKmVwaWRlbWlvbG9n
eTwva2V5d29yZD48a2V5d29yZD5Vbml0ZWQgU3RhdGVzL2VwaWRlbWlvbG9neTwva2V5d29yZD48
a2V5d29yZD5Zb3VuZyBBZHVsdDwva2V5d29yZD48L2tleXdvcmRzPjxkYXRlcz48eWVhcj4yMDE3
PC95ZWFyPjwvZGF0ZXM+PGlzYm4+MTkzMi02MjAzPC9pc2JuPjxhY2Nlc3Npb24tbnVtPjI4Mjc4
MjM5PC9hY2Nlc3Npb24tbnVtPjx1cmxzPjxyZWxhdGVkLXVybHM+PHVybD5odHRwczovL3d3dy5u
Y2JpLm5sbS5uaWguZ292L3BtYy9hcnRpY2xlcy9QTUM1MzQ0NDU5L3BkZi9wb25lLjAxNzM2MjUu
cGRmPC91cmw+PC9yZWxhdGVkLXVybHM+PC91cmxzPjxjdXN0b20yPlBNQzUzNDQ0NTk8L2N1c3Rv
bTI+PGVsZWN0cm9uaWMtcmVzb3VyY2UtbnVtPjEwLjEzNzEvam91cm5hbC5wb25lLjAxNzM2MjU8
L2VsZWN0cm9uaWMtcmVzb3VyY2UtbnVtPjxyZW1vdGUtZGF0YWJhc2UtcHJvdmlkZXI+TkxNPC9y
ZW1vdGUtZGF0YWJhc2UtcHJvdmlkZXI+PGxhbmd1YWdlPmVuZzwvbGFuZ3VhZ2U+PC9yZWNvcmQ+
PC9DaXRlPjxDaXRlPjxBdXRob3I+U2hhaDwvQXV0aG9yPjxZZWFyPjIwMTc8L1llYXI+PFJlY051
bT41OTU4PC9SZWNOdW0+PHJlY29yZD48cmVjLW51bWJlcj41OTU4PC9yZWMtbnVtYmVyPjxmb3Jl
aWduLWtleXM+PGtleSBhcHA9IkVOIiBkYi1pZD0iOXowNWR6MHByYWFkZnVlZTB6b3h6ZWRrOXpm
ZTVmeHg1MHo1IiB0aW1lc3RhbXA9IjE1MjM5MjEwNDEiPjU5NTg8L2tleT48a2V5IGFwcD0iRU5X
ZWIiIGRiLWlkPSIiPjA8L2tleT48L2ZvcmVpZ24ta2V5cz48cmVmLXR5cGUgbmFtZT0iSm91cm5h
bCBBcnRpY2xlIj4xNzwvcmVmLXR5cGU+PGNvbnRyaWJ1dG9ycz48YXV0aG9ycz48YXV0aG9yPlNo
YWgsIEEuPC9hdXRob3I+PGF1dGhvcj5QYWxpd2FsLCBZLjwvYXV0aG9yPjxhdXRob3I+SG9sZGZv
cmQsIEQuPC9hdXRob3I+PC9hdXRob3JzPjwvY29udHJpYnV0b3JzPjx0aXRsZXM+PHRpdGxlPlBy
ZXZhbGVuY2UgYW5kIGNoYXJhY3RlcmlzdGljcyBvZiBlLWNpZ2FyZXR0ZSB1c2VycyBhbW9uZyBD
T1BEIHBhdGllbnQgcG9wdWxhdGlvbiBpbiB0aGUgdW5pdGVkIHN0YXRlcyA8L3RpdGxlPjxzZWNv
bmRhcnktdGl0bGU+VmFsdWUgaW4gSGVhbHRoPC9zZWNvbmRhcnktdGl0bGU+PC90aXRsZXM+PHBl
cmlvZGljYWw+PGZ1bGwtdGl0bGU+VmFsdWUgaW4gSGVhbHRoPC9mdWxsLXRpdGxlPjwvcGVyaW9k
aWNhbD48cGFnZXM+QTIwMS1BMjAxPC9wYWdlcz48dm9sdW1lPjIwPC92b2x1bWU+PG51bWJlcj41
PC9udW1iZXI+PGRhdGVzPjx5ZWFyPjIwMTc8L3llYXI+PHB1Yi1kYXRlcz48ZGF0ZT5NYXk8L2Rh
dGU+PC9wdWItZGF0ZXM+PC9kYXRlcz48aXNibj4xMDk4LTMwMTU8L2lzYm4+PGFjY2Vzc2lvbi1u
dW0+V09TOjAwMDQwNTQ0ODAwMjM1NDwvYWNjZXNzaW9uLW51bT48dXJscz48cmVsYXRlZC11cmxz
Pjx1cmw+Jmx0O0dvIHRvIElTSSZndDs6Ly9XT1M6MDAwNDA1NDQ4MDAyMzU0PC91cmw+PC9yZWxh
dGVkLXVybHM+PC91cmxzPjwvcmVjb3JkPjwvQ2l0ZT48Q2l0ZT48QXV0aG9yPlN0b2tlczwvQXV0
aG9yPjxZZWFyPjIwMTg8L1llYXI+PFJlY051bT4xMDQyMjwvUmVjTnVtPjxyZWNvcmQ+PHJlYy1u
dW1iZXI+MTA0MjI8L3JlYy1udW1iZXI+PGZvcmVpZ24ta2V5cz48a2V5IGFwcD0iRU4iIGRiLWlk
PSI5ejA1ZHowcHJhYWRmdWVlMHpveHplZGs5emZlNWZ4eDUwejUiIHRpbWVzdGFtcD0iMTUyNjg2
OTg3OCI+MTA0MjI8L2tleT48a2V5IGFwcD0iRU5XZWIiIGRiLWlkPSIiPjA8L2tleT48L2ZvcmVp
Z24ta2V5cz48cmVmLXR5cGUgbmFtZT0iSm91cm5hbCBBcnRpY2xlIj4xNzwvcmVmLXR5cGU+PGNv
bnRyaWJ1dG9ycz48YXV0aG9ycz48YXV0aG9yPlN0b2tlcywgQW5kcmV3PC9hdXRob3I+PGF1dGhv
cj5Db2xsaW5zLCBKYXNvbiBNLjwvYXV0aG9yPjxhdXRob3I+QmVycnksIEthaXRseW4gTS48L2F1
dGhvcj48YXV0aG9yPlJleW5vbGRzLCBMaW5kc2F5IE0uPC9hdXRob3I+PGF1dGhvcj5GZXR0ZXJt
YW4sIEplc3NpY2EgTC48L2F1dGhvcj48YXV0aG9yPlJvZHJpZ3VleiwgQ2FybG9zIEouPC9hdXRo
b3I+PGF1dGhvcj5TaWVnZWwsIE1pY2hhZWwgQi48L2F1dGhvcj48YXV0aG9yPkJlbmphbWluLCBF
bWVsaWEgSi48L2F1dGhvcj48L2F1dGhvcnM+PC9jb250cmlidXRvcnM+PHRpdGxlcz48dGl0bGU+
RWxlY3Ryb25pYyBDaWdhcmV0dGUgUHJldmFsZW5jZSBhbmQgUGF0dGVybnMgb2YgVXNlIGluIEFk
dWx0cyB3aXRoIGEgSGlzdG9yeSBvZiBDYXJkaW92YXNjdWxhciBEaXNlYXNlIGluIHRoZSBVbml0
ZWQgU3RhdGVzPC90aXRsZT48c2Vjb25kYXJ5LXRpdGxlPkpvdXJuYWwgb2YgdGhlIEFtZXJpY2Fu
IEhlYXJ0IEFzc29jaWF0aW9uPC9zZWNvbmRhcnktdGl0bGU+PC90aXRsZXM+PHBlcmlvZGljYWw+
PGZ1bGwtdGl0bGU+Sm91cm5hbCBvZiB0aGUgQW1lcmljYW4gSGVhcnQgQXNzb2NpYXRpb248L2Z1
bGwtdGl0bGU+PC9wZXJpb2RpY2FsPjx2b2x1bWU+Nzwvdm9sdW1lPjxudW1iZXI+OTwvbnVtYmVy
PjxkYXRlcz48eWVhcj4yMDE4PC95ZWFyPjxwdWItZGF0ZXM+PGRhdGU+MjAxOCBBcHI8L2RhdGU+
PC9wdWItZGF0ZXM+PC9kYXRlcz48YWNjZXNzaW9uLW51bT5NRURMSU5FOjI5NzAwMDQxPC9hY2Nl
c3Npb24tbnVtPjx1cmxzPjxyZWxhdGVkLXVybHM+PHVybD4mbHQ7R28gdG8gSVNJJmd0OzovL01F
RExJTkU6Mjk3MDAwNDE8L3VybD48dXJsPmh0dHA6Ly9qYWhhLmFoYWpvdXJuYWxzLm9yZy9jb250
ZW50L2FoYW9hLzcvOS9lMDA3NjAyLmZ1bGwucGRmPC91cmw+PC9yZWxhdGVkLXVybHM+PC91cmxz
PjxlbGVjdHJvbmljLXJlc291cmNlLW51bT4xMC4xMTYxL2phaGEuMTE3LjAwNzYwMjwvZWxlY3Ry
b25pYy1yZXNvdXJjZS1udW0+PC9yZWNvcmQ+PC9DaXRlPjwvRW5kTm90ZT4A
</w:fldData>
        </w:fldChar>
      </w:r>
      <w:r>
        <w:instrText xml:space="preserve"> ADDIN EN.CITE.DATA </w:instrText>
      </w:r>
      <w:r>
        <w:fldChar w:fldCharType="end"/>
      </w:r>
      <w:r>
        <w:fldChar w:fldCharType="separate"/>
      </w:r>
      <w:r>
        <w:rPr>
          <w:noProof/>
        </w:rPr>
        <w:t>(Park, Lee et al. 2017, Shah, Paliwal et al. 2017, Stokes, Collins et al. 2018)</w:t>
      </w:r>
      <w:r>
        <w:fldChar w:fldCharType="end"/>
      </w:r>
      <w:r>
        <w:t xml:space="preserve"> were analysed. These studies include large samples of 158,626 and 642,848 respectively which are recruited based on methods designed to obtain representative populations. However, both samples include response rates around 50%. </w:t>
      </w:r>
    </w:p>
    <w:p w14:paraId="77061E45" w14:textId="77777777" w:rsidR="002E3AED" w:rsidRDefault="002E3AED" w:rsidP="002E3AED">
      <w:pPr>
        <w:pStyle w:val="BodyText"/>
      </w:pPr>
      <w:r>
        <w:t>Papers based on the NHIS sought to understand e</w:t>
      </w:r>
      <w:r>
        <w:noBreakHyphen/>
        <w:t xml:space="preserve">cigarette use amongst people with </w:t>
      </w:r>
      <w:r w:rsidRPr="002A1DD6">
        <w:t xml:space="preserve">Chronic Obstructive Pulmonary Disease </w:t>
      </w:r>
      <w:r>
        <w:t xml:space="preserve">(COPD) </w:t>
      </w:r>
      <w:r>
        <w:fldChar w:fldCharType="begin"/>
      </w:r>
      <w:r>
        <w:instrText xml:space="preserve"> ADDIN EN.CITE &lt;EndNote&gt;&lt;Cite&gt;&lt;Author&gt;Shah&lt;/Author&gt;&lt;Year&gt;2017&lt;/Year&gt;&lt;RecNum&gt;5958&lt;/RecNum&gt;&lt;DisplayText&gt;(Shah, Paliwal et al. 2017)&lt;/DisplayText&gt;&lt;record&gt;&lt;rec-number&gt;5958&lt;/rec-number&gt;&lt;foreign-keys&gt;&lt;key app="EN" db-id="9z05dz0praadfuee0zoxzedk9zfe5fxx50z5" timestamp="1523921041"&gt;5958&lt;/key&gt;&lt;key app="ENWeb" db-id=""&gt;0&lt;/key&gt;&lt;/foreign-keys&gt;&lt;ref-type name="Journal Article"&gt;17&lt;/ref-type&gt;&lt;contributors&gt;&lt;authors&gt;&lt;author&gt;Shah, A.&lt;/author&gt;&lt;author&gt;Paliwal, Y.&lt;/author&gt;&lt;author&gt;Holdford, D.&lt;/author&gt;&lt;/authors&gt;&lt;/contributors&gt;&lt;titles&gt;&lt;title&gt;Prevalence and characteristics of e-cigarette users among COPD patient population in the united states &lt;/title&gt;&lt;secondary-title&gt;Value in Health&lt;/secondary-title&gt;&lt;/titles&gt;&lt;periodical&gt;&lt;full-title&gt;Value in Health&lt;/full-title&gt;&lt;/periodical&gt;&lt;pages&gt;A201-A201&lt;/pages&gt;&lt;volume&gt;20&lt;/volume&gt;&lt;number&gt;5&lt;/number&gt;&lt;dates&gt;&lt;year&gt;2017&lt;/year&gt;&lt;pub-dates&gt;&lt;date&gt;May&lt;/date&gt;&lt;/pub-dates&gt;&lt;/dates&gt;&lt;isbn&gt;1098-3015&lt;/isbn&gt;&lt;accession-num&gt;WOS:000405448002354&lt;/accession-num&gt;&lt;urls&gt;&lt;related-urls&gt;&lt;url&gt;&amp;lt;Go to ISI&amp;gt;://WOS:000405448002354&lt;/url&gt;&lt;/related-urls&gt;&lt;/urls&gt;&lt;/record&gt;&lt;/Cite&gt;&lt;/EndNote&gt;</w:instrText>
      </w:r>
      <w:r>
        <w:fldChar w:fldCharType="separate"/>
      </w:r>
      <w:r>
        <w:rPr>
          <w:noProof/>
        </w:rPr>
        <w:t>(Shah, Paliwal et al. 2017)</w:t>
      </w:r>
      <w:r>
        <w:fldChar w:fldCharType="end"/>
      </w:r>
      <w:r>
        <w:t xml:space="preserve">, cardiovascular disease </w:t>
      </w:r>
      <w:r>
        <w:fldChar w:fldCharType="begin"/>
      </w:r>
      <w:r>
        <w:instrText xml:space="preserve"> ADDIN EN.CITE &lt;EndNote&gt;&lt;Cite&gt;&lt;Author&gt;Stokes&lt;/Author&gt;&lt;Year&gt;2018&lt;/Year&gt;&lt;RecNum&gt;10422&lt;/RecNum&gt;&lt;DisplayText&gt;(Stokes, Collins et al. 2018)&lt;/DisplayText&gt;&lt;record&gt;&lt;rec-number&gt;10422&lt;/rec-number&gt;&lt;foreign-keys&gt;&lt;key app="EN" db-id="9z05dz0praadfuee0zoxzedk9zfe5fxx50z5" timestamp="1526869878"&gt;10422&lt;/key&gt;&lt;key app="ENWeb" db-id=""&gt;0&lt;/key&gt;&lt;/foreign-keys&gt;&lt;ref-type name="Journal Article"&gt;17&lt;/ref-type&gt;&lt;contributors&gt;&lt;authors&gt;&lt;author&gt;Stokes, Andrew&lt;/author&gt;&lt;author&gt;Collins, Jason M.&lt;/author&gt;&lt;author&gt;Berry, Kaitlyn M.&lt;/author&gt;&lt;author&gt;Reynolds, Lindsay M.&lt;/author&gt;&lt;author&gt;Fetterman, Jessica L.&lt;/author&gt;&lt;author&gt;Rodriguez, Carlos J.&lt;/author&gt;&lt;author&gt;Siegel, Michael B.&lt;/author&gt;&lt;author&gt;Benjamin, Emelia J.&lt;/author&gt;&lt;/authors&gt;&lt;/contributors&gt;&lt;titles&gt;&lt;title&gt;Electronic Cigarette Prevalence and Patterns of Use in Adults with a History of Cardiovascular Disease in the United States&lt;/title&gt;&lt;secondary-title&gt;Journal of the American Heart Association&lt;/secondary-title&gt;&lt;/titles&gt;&lt;periodical&gt;&lt;full-title&gt;Journal of the American Heart Association&lt;/full-title&gt;&lt;/periodical&gt;&lt;volume&gt;7&lt;/volume&gt;&lt;number&gt;9&lt;/number&gt;&lt;dates&gt;&lt;year&gt;2018&lt;/year&gt;&lt;pub-dates&gt;&lt;date&gt;2018 Apr&lt;/date&gt;&lt;/pub-dates&gt;&lt;/dates&gt;&lt;accession-num&gt;MEDLINE:29700041&lt;/accession-num&gt;&lt;urls&gt;&lt;related-urls&gt;&lt;url&gt;&amp;lt;Go to ISI&amp;gt;://MEDLINE:29700041&lt;/url&gt;&lt;url&gt;http://jaha.ahajournals.org/content/ahaoa/7/9/e007602.full.pdf&lt;/url&gt;&lt;/related-urls&gt;&lt;/urls&gt;&lt;electronic-resource-num&gt;10.1161/jaha.117.007602&lt;/electronic-resource-num&gt;&lt;/record&gt;&lt;/Cite&gt;&lt;/EndNote&gt;</w:instrText>
      </w:r>
      <w:r>
        <w:fldChar w:fldCharType="separate"/>
      </w:r>
      <w:r>
        <w:rPr>
          <w:noProof/>
        </w:rPr>
        <w:t>(Stokes, Collins et al. 2018)</w:t>
      </w:r>
      <w:r>
        <w:fldChar w:fldCharType="end"/>
      </w:r>
      <w:r>
        <w:t xml:space="preserve"> or to explore whether e</w:t>
      </w:r>
      <w:r>
        <w:noBreakHyphen/>
        <w:t xml:space="preserve">cigarette use is associated with psychological distress </w:t>
      </w:r>
      <w:r>
        <w:fldChar w:fldCharType="begin">
          <w:fldData xml:space="preserve">PEVuZE5vdGU+PENpdGU+PEF1dGhvcj5QYXJrPC9BdXRob3I+PFllYXI+MjAxNzwvWWVhcj48UmVj
TnVtPjUxNzY8L1JlY051bT48RGlzcGxheVRleHQ+KFBhcmssIExlZSBldCBhbC4gMjAxNyk8L0Rp
c3BsYXlUZXh0PjxyZWNvcmQ+PHJlYy1udW1iZXI+NTE3NjwvcmVjLW51bWJlcj48Zm9yZWlnbi1r
ZXlzPjxrZXkgYXBwPSJFTiIgZGItaWQ9ImZwdDlwdHRybTV6ZnNhZXNwOWZwc2RkdjA5ZXdzdjV4
ZXdmZCIgdGltZXN0YW1wPSIxNTI1MDQ2MTg0Ij41MTc2PC9rZXk+PGtleSBhcHA9IkVOV2ViIiBk
Yi1pZD0iIj4wPC9rZXk+PC9mb3JlaWduLWtleXM+PHJlZi10eXBlIG5hbWU9IkpvdXJuYWwgQXJ0
aWNsZSI+MTc8L3JlZi10eXBlPjxjb250cmlidXRvcnM+PGF1dGhvcnM+PGF1dGhvcj5QYXJrLCBT
LiBILjwvYXV0aG9yPjxhdXRob3I+TGVlLCBMLjwvYXV0aG9yPjxhdXRob3I+U2hlYXJzdG9uLCBK
LiBBLjwvYXV0aG9yPjxhdXRob3I+V2VpdHptYW4sIE0uPC9hdXRob3I+PC9hdXRob3JzPjwvY29u
dHJpYnV0b3JzPjxhdXRoLWFkZHJlc3M+RGVwYXJ0bWVudCBvZiBQZWRpYXRyaWNzLCBOZXcgWW9y
ayBVbml2ZXJzaXR5IFNjaG9vbCBvZiBNZWRpY2luZSwgTmV3IFlvcmssIE5ldyBZb3JrLCBVbml0
ZWQgU3RhdGVzIG9mIEFtZXJpY2EuJiN4RDtEZXBhcnRtZW50IG9mIFBvcHVsYXRpb24gSGVhbHRo
LCBOZXcgWW9yayBVbml2ZXJzaXR5IFNjaG9vbCBvZiBNZWRpY2luZSwgTmV3IFlvcmssIE5ldyBZ
b3JrLCBVbml0ZWQgU3RhdGVzIG9mIEFtZXJpY2EuJiN4RDtCcm9va2x5biBDb2xsZWdlLCBOZXcg
WW9yaywgTmV3IFlvcmssIFVuaXRlZCBTdGF0ZXMgb2YgQW1lcmljYS4mI3hEO0NvbGxlZ2Ugb2Yg
R2xvYmFsIFB1YmxpYyBIZWFsdGgsIE5ldyBZb3JrIFVuaXZlcnNpdHksIE5ldyBZb3JrLCBOZXcg
WW9yaywgVW5pdGVkIFN0YXRlcyBvZiBBbWVyaWNhLiYjeEQ7TmV3IFlvcmsgVW5pdmVyc2l0eS8g
QWJ1IERoYWJpIFB1YmxpYyBIZWFsdGggUmVzZWFyY2ggQ2VudGVyLCBBYnUgRGhhYmksIFVuaXRl
ZCBBcmFiIEVtaXJhdGVzLiYjeEQ7RGVwYXJ0bWVudCBvZiBFbnZpcm9ubWVudGFsIE1lZGljaW5l
LCBOZXcgWW9yayBVbml2ZXJzaXR5LCBOZXcgWW9yaywgTmV3IFlvcmssIFVuaXRlZCBTdGF0ZXMg
b2YgQW1lcmljYS48L2F1dGgtYWRkcmVzcz48dGl0bGVzPjx0aXRsZT5QYXR0ZXJucyBvZiBlbGVj
dHJvbmljIGNpZ2FyZXR0ZSB1c2UgYW5kIGxldmVsIG9mIHBzeWNob2xvZ2ljYWwgZGlzdHJlc3M8
L3RpdGxlPjxzZWNvbmRhcnktdGl0bGU+UExvUyBPbmU8L3NlY29uZGFyeS10aXRsZT48YWx0LXRp
dGxlPlBsb1Mgb25lPC9hbHQtdGl0bGU+PC90aXRsZXM+PHBlcmlvZGljYWw+PGZ1bGwtdGl0bGU+
UGxvcyBPbmU8L2Z1bGwtdGl0bGU+PC9wZXJpb2RpY2FsPjxhbHQtcGVyaW9kaWNhbD48ZnVsbC10
aXRsZT5QbG9zIE9uZTwvZnVsbC10aXRsZT48L2FsdC1wZXJpb2RpY2FsPjxwYWdlcz5lMDE3MzYy
NTwvcGFnZXM+PHZvbHVtZT4xMjwvdm9sdW1lPjxudW1iZXI+MzwvbnVtYmVyPjxlZGl0aW9uPjIw
MTcvMDMvMTA8L2VkaXRpb24+PGtleXdvcmRzPjxrZXl3b3JkPkFkb2xlc2NlbnQ8L2tleXdvcmQ+
PGtleXdvcmQ+QWR1bHQ8L2tleXdvcmQ+PGtleXdvcmQ+QWdlZDwva2V5d29yZD48a2V5d29yZD5D
cm9zcy1TZWN0aW9uYWwgU3R1ZGllczwva2V5d29yZD48a2V5d29yZD5FbGVjdHJvbmljIE5pY290
aW5lIERlbGl2ZXJ5IFN5c3RlbXMvcHN5Y2hvbG9neS8qdXRpbGl6YXRpb248L2tleXdvcmQ+PGtl
eXdvcmQ+RmVtYWxlPC9rZXl3b3JkPjxrZXl3b3JkPkh1bWFuczwva2V5d29yZD48a2V5d29yZD5N
YWxlPC9rZXl3b3JkPjxrZXl3b3JkPk1pZGRsZSBBZ2VkPC9rZXl3b3JkPjxrZXl3b3JkPlByZXZh
bGVuY2U8L2tleXdvcmQ+PGtleXdvcmQ+U3RyZXNzLCBQc3ljaG9sb2dpY2FsLyplcGlkZW1pb2xv
Z3k8L2tleXdvcmQ+PGtleXdvcmQ+VW5pdGVkIFN0YXRlcy9lcGlkZW1pb2xvZ3k8L2tleXdvcmQ+
PGtleXdvcmQ+WW91bmcgQWR1bHQ8L2tleXdvcmQ+PC9rZXl3b3Jkcz48ZGF0ZXM+PHllYXI+MjAx
NzwveWVhcj48L2RhdGVzPjxpc2JuPjE5MzItNjIwMzwvaXNibj48YWNjZXNzaW9uLW51bT4yODI3
ODIzOTwvYWNjZXNzaW9uLW51bT48dXJscz48cmVsYXRlZC11cmxzPjx1cmw+aHR0cHM6Ly93d3cu
bmNiaS5ubG0ubmloLmdvdi9wbWMvYXJ0aWNsZXMvUE1DNTM0NDQ1OS9wZGYvcG9uZS4wMTczNjI1
LnBkZjwvdXJsPjwvcmVsYXRlZC11cmxzPjwvdXJscz48Y3VzdG9tMj5QTUM1MzQ0NDU5PC9jdXN0
b20yPjxlbGVjdHJvbmljLXJlc291cmNlLW51bT4xMC4xMzcxL2pvdXJuYWwucG9uZS4wMTczNjI1
PC9lbGVjdHJvbmljLXJlc291cmNlLW51bT48cmVtb3RlLWRhdGFiYXNlLXByb3ZpZGVyPk5MTTwv
cmVtb3RlLWRhdGFiYXNlLXByb3ZpZGVyPjxsYW5ndWFnZT5lbmc8L2xhbmd1YWdlPjwvcmVjb3Jk
PjwvQ2l0ZT48L0VuZE5vdGU+AG==
</w:fldData>
        </w:fldChar>
      </w:r>
      <w:r>
        <w:instrText xml:space="preserve"> ADDIN EN.CITE </w:instrText>
      </w:r>
      <w:r>
        <w:fldChar w:fldCharType="begin">
          <w:fldData xml:space="preserve">PEVuZE5vdGU+PENpdGU+PEF1dGhvcj5QYXJrPC9BdXRob3I+PFllYXI+MjAxNzwvWWVhcj48UmVj
TnVtPjUxNzY8L1JlY051bT48RGlzcGxheVRleHQ+KFBhcmssIExlZSBldCBhbC4gMjAxNyk8L0Rp
c3BsYXlUZXh0PjxyZWNvcmQ+PHJlYy1udW1iZXI+NTE3NjwvcmVjLW51bWJlcj48Zm9yZWlnbi1r
ZXlzPjxrZXkgYXBwPSJFTiIgZGItaWQ9ImZwdDlwdHRybTV6ZnNhZXNwOWZwc2RkdjA5ZXdzdjV4
ZXdmZCIgdGltZXN0YW1wPSIxNTI1MDQ2MTg0Ij41MTc2PC9rZXk+PGtleSBhcHA9IkVOV2ViIiBk
Yi1pZD0iIj4wPC9rZXk+PC9mb3JlaWduLWtleXM+PHJlZi10eXBlIG5hbWU9IkpvdXJuYWwgQXJ0
aWNsZSI+MTc8L3JlZi10eXBlPjxjb250cmlidXRvcnM+PGF1dGhvcnM+PGF1dGhvcj5QYXJrLCBT
LiBILjwvYXV0aG9yPjxhdXRob3I+TGVlLCBMLjwvYXV0aG9yPjxhdXRob3I+U2hlYXJzdG9uLCBK
LiBBLjwvYXV0aG9yPjxhdXRob3I+V2VpdHptYW4sIE0uPC9hdXRob3I+PC9hdXRob3JzPjwvY29u
dHJpYnV0b3JzPjxhdXRoLWFkZHJlc3M+RGVwYXJ0bWVudCBvZiBQZWRpYXRyaWNzLCBOZXcgWW9y
ayBVbml2ZXJzaXR5IFNjaG9vbCBvZiBNZWRpY2luZSwgTmV3IFlvcmssIE5ldyBZb3JrLCBVbml0
ZWQgU3RhdGVzIG9mIEFtZXJpY2EuJiN4RDtEZXBhcnRtZW50IG9mIFBvcHVsYXRpb24gSGVhbHRo
LCBOZXcgWW9yayBVbml2ZXJzaXR5IFNjaG9vbCBvZiBNZWRpY2luZSwgTmV3IFlvcmssIE5ldyBZ
b3JrLCBVbml0ZWQgU3RhdGVzIG9mIEFtZXJpY2EuJiN4RDtCcm9va2x5biBDb2xsZWdlLCBOZXcg
WW9yaywgTmV3IFlvcmssIFVuaXRlZCBTdGF0ZXMgb2YgQW1lcmljYS4mI3hEO0NvbGxlZ2Ugb2Yg
R2xvYmFsIFB1YmxpYyBIZWFsdGgsIE5ldyBZb3JrIFVuaXZlcnNpdHksIE5ldyBZb3JrLCBOZXcg
WW9yaywgVW5pdGVkIFN0YXRlcyBvZiBBbWVyaWNhLiYjeEQ7TmV3IFlvcmsgVW5pdmVyc2l0eS8g
QWJ1IERoYWJpIFB1YmxpYyBIZWFsdGggUmVzZWFyY2ggQ2VudGVyLCBBYnUgRGhhYmksIFVuaXRl
ZCBBcmFiIEVtaXJhdGVzLiYjeEQ7RGVwYXJ0bWVudCBvZiBFbnZpcm9ubWVudGFsIE1lZGljaW5l
LCBOZXcgWW9yayBVbml2ZXJzaXR5LCBOZXcgWW9yaywgTmV3IFlvcmssIFVuaXRlZCBTdGF0ZXMg
b2YgQW1lcmljYS48L2F1dGgtYWRkcmVzcz48dGl0bGVzPjx0aXRsZT5QYXR0ZXJucyBvZiBlbGVj
dHJvbmljIGNpZ2FyZXR0ZSB1c2UgYW5kIGxldmVsIG9mIHBzeWNob2xvZ2ljYWwgZGlzdHJlc3M8
L3RpdGxlPjxzZWNvbmRhcnktdGl0bGU+UExvUyBPbmU8L3NlY29uZGFyeS10aXRsZT48YWx0LXRp
dGxlPlBsb1Mgb25lPC9hbHQtdGl0bGU+PC90aXRsZXM+PHBlcmlvZGljYWw+PGZ1bGwtdGl0bGU+
UGxvcyBPbmU8L2Z1bGwtdGl0bGU+PC9wZXJpb2RpY2FsPjxhbHQtcGVyaW9kaWNhbD48ZnVsbC10
aXRsZT5QbG9zIE9uZTwvZnVsbC10aXRsZT48L2FsdC1wZXJpb2RpY2FsPjxwYWdlcz5lMDE3MzYy
NTwvcGFnZXM+PHZvbHVtZT4xMjwvdm9sdW1lPjxudW1iZXI+MzwvbnVtYmVyPjxlZGl0aW9uPjIw
MTcvMDMvMTA8L2VkaXRpb24+PGtleXdvcmRzPjxrZXl3b3JkPkFkb2xlc2NlbnQ8L2tleXdvcmQ+
PGtleXdvcmQ+QWR1bHQ8L2tleXdvcmQ+PGtleXdvcmQ+QWdlZDwva2V5d29yZD48a2V5d29yZD5D
cm9zcy1TZWN0aW9uYWwgU3R1ZGllczwva2V5d29yZD48a2V5d29yZD5FbGVjdHJvbmljIE5pY290
aW5lIERlbGl2ZXJ5IFN5c3RlbXMvcHN5Y2hvbG9neS8qdXRpbGl6YXRpb248L2tleXdvcmQ+PGtl
eXdvcmQ+RmVtYWxlPC9rZXl3b3JkPjxrZXl3b3JkPkh1bWFuczwva2V5d29yZD48a2V5d29yZD5N
YWxlPC9rZXl3b3JkPjxrZXl3b3JkPk1pZGRsZSBBZ2VkPC9rZXl3b3JkPjxrZXl3b3JkPlByZXZh
bGVuY2U8L2tleXdvcmQ+PGtleXdvcmQ+U3RyZXNzLCBQc3ljaG9sb2dpY2FsLyplcGlkZW1pb2xv
Z3k8L2tleXdvcmQ+PGtleXdvcmQ+VW5pdGVkIFN0YXRlcy9lcGlkZW1pb2xvZ3k8L2tleXdvcmQ+
PGtleXdvcmQ+WW91bmcgQWR1bHQ8L2tleXdvcmQ+PC9rZXl3b3Jkcz48ZGF0ZXM+PHllYXI+MjAx
NzwveWVhcj48L2RhdGVzPjxpc2JuPjE5MzItNjIwMzwvaXNibj48YWNjZXNzaW9uLW51bT4yODI3
ODIzOTwvYWNjZXNzaW9uLW51bT48dXJscz48cmVsYXRlZC11cmxzPjx1cmw+aHR0cHM6Ly93d3cu
bmNiaS5ubG0ubmloLmdvdi9wbWMvYXJ0aWNsZXMvUE1DNTM0NDQ1OS9wZGYvcG9uZS4wMTczNjI1
LnBkZjwvdXJsPjwvcmVsYXRlZC11cmxzPjwvdXJscz48Y3VzdG9tMj5QTUM1MzQ0NDU5PC9jdXN0
b20yPjxlbGVjdHJvbmljLXJlc291cmNlLW51bT4xMC4xMzcxL2pvdXJuYWwucG9uZS4wMTczNjI1
PC9lbGVjdHJvbmljLXJlc291cmNlLW51bT48cmVtb3RlLWRhdGFiYXNlLXByb3ZpZGVyPk5MTTwv
cmVtb3RlLWRhdGFiYXNlLXByb3ZpZGVyPjxsYW5ndWFnZT5lbmc8L2xhbmd1YWdlPjwvcmVjb3Jk
PjwvQ2l0ZT48L0VuZE5vdGU+AG==
</w:fldData>
        </w:fldChar>
      </w:r>
      <w:r>
        <w:instrText xml:space="preserve"> ADDIN EN.CITE.DATA </w:instrText>
      </w:r>
      <w:r>
        <w:fldChar w:fldCharType="end"/>
      </w:r>
      <w:r>
        <w:fldChar w:fldCharType="separate"/>
      </w:r>
      <w:r>
        <w:rPr>
          <w:noProof/>
        </w:rPr>
        <w:t>(Park, Lee et al. 2017)</w:t>
      </w:r>
      <w:r>
        <w:fldChar w:fldCharType="end"/>
      </w:r>
      <w:r>
        <w:t xml:space="preserve">. </w:t>
      </w:r>
    </w:p>
    <w:p w14:paraId="40C43567" w14:textId="77777777" w:rsidR="002E3AED" w:rsidRDefault="002E3AED" w:rsidP="002E3AED">
      <w:pPr>
        <w:pStyle w:val="BodyText"/>
      </w:pPr>
      <w:r>
        <w:t>Park et al. separated the NHIS sample in to those who ever used e</w:t>
      </w:r>
      <w:r>
        <w:noBreakHyphen/>
        <w:t>cigarettes, current dual users of e</w:t>
      </w:r>
      <w:r>
        <w:noBreakHyphen/>
        <w:t>cigarettes and conventional cigarettes,</w:t>
      </w:r>
      <w:r w:rsidRPr="00755033">
        <w:t xml:space="preserve"> </w:t>
      </w:r>
      <w:r>
        <w:t>those with former cigarette</w:t>
      </w:r>
      <w:r w:rsidRPr="00755033">
        <w:t xml:space="preserve"> and ever use of </w:t>
      </w:r>
      <w:r>
        <w:t>e</w:t>
      </w:r>
      <w:r>
        <w:noBreakHyphen/>
        <w:t>cig</w:t>
      </w:r>
      <w:r w:rsidRPr="00755033">
        <w:t>arette and current use</w:t>
      </w:r>
      <w:r>
        <w:t>r</w:t>
      </w:r>
      <w:r w:rsidRPr="00755033">
        <w:t xml:space="preserve"> of </w:t>
      </w:r>
      <w:r>
        <w:t xml:space="preserve">conventional </w:t>
      </w:r>
      <w:r w:rsidRPr="00755033">
        <w:t>cigarettes only</w:t>
      </w:r>
      <w:r>
        <w:t xml:space="preserve">. The authors report increased risk of psychological distress for all four groups. Due to the methods used, it is difficult to determine the direction of this relationship which means it is difficult to know if people with higher levels of distress are attracted to substances or whether substances can cause these issues based on these data alone. </w:t>
      </w:r>
    </w:p>
    <w:p w14:paraId="42417F78" w14:textId="77777777" w:rsidR="002E3AED" w:rsidRDefault="002E3AED" w:rsidP="002E3AED">
      <w:pPr>
        <w:pStyle w:val="BodyText"/>
      </w:pPr>
      <w:r>
        <w:t>Analysis of TUS-CPS data suggested 7.7% ever use of e</w:t>
      </w:r>
      <w:r>
        <w:noBreakHyphen/>
        <w:t xml:space="preserve">cigarettes and 2.1% current use </w:t>
      </w:r>
      <w:r>
        <w:fldChar w:fldCharType="begin">
          <w:fldData xml:space="preserve">PEVuZE5vdGU+PENpdGU+PEF1dGhvcj5MZXZ5PC9BdXRob3I+PFllYXI+MjAxNzwvWWVhcj48UmVj
TnVtPjQ4NDk8L1JlY051bT48RGlzcGxheVRleHQ+KExldnksIFl1YW4gZXQgYWwuIDIwMTcpPC9E
aXNwbGF5VGV4dD48cmVjb3JkPjxyZWMtbnVtYmVyPjQ4NDk8L3JlYy1udW1iZXI+PGZvcmVpZ24t
a2V5cz48a2V5IGFwcD0iRU4iIGRiLWlkPSJmcHQ5cHR0cm01emZzYWVzcDlmcHNkZHYwOWV3c3Y1
eGV3ZmQiIHRpbWVzdGFtcD0iMTUyNTA0NTYwMiI+NDg0OTwva2V5PjxrZXkgYXBwPSJFTldlYiIg
ZGItaWQ9IiI+MDwva2V5PjwvZm9yZWlnbi1rZXlzPjxyZWYtdHlwZSBuYW1lPSJKb3VybmFsIEFy
dGljbGUiPjE3PC9yZWYtdHlwZT48Y29udHJpYnV0b3JzPjxhdXRob3JzPjxhdXRob3I+TGV2eSwg
RC4gVC48L2F1dGhvcj48YXV0aG9yPll1YW4sIFouPC9hdXRob3I+PGF1dGhvcj5MaSwgWS48L2F1
dGhvcj48L2F1dGhvcnM+PC9jb250cmlidXRvcnM+PGF1dGgtYWRkcmVzcz5Mb21iYXJkaSBDb21w
cmVoZW5zaXZlIENhbmNlciBDZW50ZXIsIEdlb3JnZXRvd24gVW5pdmVyc2l0eSwgV2FzaGluZ3Rv
biwgREMgMjAwMDcsIFVTQS4gZGw3NzdAZ2VvcmdldG93bi5lZHUuJiN4RDtMb21iYXJkaSBDb21w
cmVoZW5zaXZlIENhbmNlciBDZW50ZXIsIEdlb3JnZXRvd24gVW5pdmVyc2l0eSwgV2FzaGluZ3Rv
biwgREMgMjAwMDcsIFVTQS4genk3MEBnZW9yZ2V0b3duLmVkdS4mI3hEO0xvbWJhcmRpIENvbXBy
ZWhlbnNpdmUgQ2FuY2VyIENlbnRlciwgR2VvcmdldG93biBVbml2ZXJzaXR5LCBXYXNoaW5ndG9u
LCBEQyAyMDAwNywgVVNBLiB5bDk1NEBnZW9yZ2V0b3duLmVkdS48L2F1dGgtYWRkcmVzcz48dGl0
bGVzPjx0aXRsZT5UaGUgUHJldmFsZW5jZSBhbmQgQ2hhcmFjdGVyaXN0aWNzIG9mIEUtQ2lnYXJl
dHRlIFVzZXJzIGluIHRoZSBVLlM8L3RpdGxlPjxzZWNvbmRhcnktdGl0bGU+SW50IEogRW52aXJv
biBSZXMgUHVibGljIEhlYWx0aDwvc2Vjb25kYXJ5LXRpdGxlPjxhbHQtdGl0bGU+SW50ZXJuYXRp
b25hbCBqb3VybmFsIG9mIGVudmlyb25tZW50YWwgcmVzZWFyY2ggYW5kIHB1YmxpYyBoZWFsdGg8
L2FsdC10aXRsZT48L3RpdGxlcz48YWx0LXBlcmlvZGljYWw+PGZ1bGwtdGl0bGU+SW50ZXJuYXRp
b25hbCBKb3VybmFsIG9mIEVudmlyb25tZW50YWwgUmVzZWFyY2ggYW5kIFB1YmxpYyBIZWFsdGg8
L2Z1bGwtdGl0bGU+PC9hbHQtcGVyaW9kaWNhbD48dm9sdW1lPjE0PC92b2x1bWU+PG51bWJlcj4x
MDwvbnVtYmVyPjxlZGl0aW9uPjIwMTcvMTAvMTI8L2VkaXRpb24+PGtleXdvcmRzPjxrZXl3b3Jk
PmRlbW9ncmFwaGljczwva2V5d29yZD48a2V5d29yZD5lLWNpZ2FyZXR0ZXMsIHByZXZhbGVuY2U8
L2tleXdvcmQ+PGtleXdvcmQ+ZWxlY3Ryb25pYyBjaWdhcmV0dGVzPC9rZXl3b3JkPjxrZXl3b3Jk
PnB1YmxpYyBwb2xpY3k8L2tleXdvcmQ+PGtleXdvcmQ+dGhlIGRlc2lnbiBvZiB0aGUgc3R1ZHk8
L2tleXdvcmQ+PGtleXdvcmQ+aW4gdGhlIGNvbGxlY3Rpb24sIGFuYWx5c2VzLCBvciBpbnRlcnBy
ZXRhdGlvbiBvZiBkYXRhPC9rZXl3b3JkPjxrZXl3b3JkPmluIHRoZSB3cml0aW5nIG9mIHRoZSBt
YW51c2NyaXB0LCBhbmQgaW4gdGhlIGRlY2lzaW9uIHRvIHB1Ymxpc2ggdGhlIHJlc3VsdHMuPC9r
ZXl3b3JkPjwva2V5d29yZHM+PGRhdGVzPjx5ZWFyPjIwMTc8L3llYXI+PHB1Yi1kYXRlcz48ZGF0
ZT5PY3QgMTE8L2RhdGU+PC9wdWItZGF0ZXM+PC9kYXRlcz48aXNibj4xNjYwLTQ2MDE8L2lzYm4+
PGFjY2Vzc2lvbi1udW0+MjkwMTk5MTc8L2FjY2Vzc2lvbi1udW0+PHVybHM+PHJlbGF0ZWQtdXJs
cz48dXJsPmh0dHA6Ly93d3cubWRwaS5jb20vMTY2MC00NjAxLzE0LzEwLzEyMDAvcGRmPC91cmw+
PC9yZWxhdGVkLXVybHM+PC91cmxzPjxjdXN0b20yPlBNQzU2NjQ3MDE8L2N1c3RvbTI+PGVsZWN0
cm9uaWMtcmVzb3VyY2UtbnVtPjEwLjMzOTAvaWplcnBoMTQxMDEyMDA8L2VsZWN0cm9uaWMtcmVz
b3VyY2UtbnVtPjxyZW1vdGUtZGF0YWJhc2UtcHJvdmlkZXI+TkxNPC9yZW1vdGUtZGF0YWJhc2Ut
cHJvdmlkZXI+PGxhbmd1YWdlPmVuZzwvbGFuZ3VhZ2U+PC9yZWNvcmQ+PC9DaXRlPjwvRW5kTm90
ZT4A
</w:fldData>
        </w:fldChar>
      </w:r>
      <w:r>
        <w:instrText xml:space="preserve"> ADDIN EN.CITE </w:instrText>
      </w:r>
      <w:r>
        <w:fldChar w:fldCharType="begin">
          <w:fldData xml:space="preserve">PEVuZE5vdGU+PENpdGU+PEF1dGhvcj5MZXZ5PC9BdXRob3I+PFllYXI+MjAxNzwvWWVhcj48UmVj
TnVtPjQ4NDk8L1JlY051bT48RGlzcGxheVRleHQ+KExldnksIFl1YW4gZXQgYWwuIDIwMTcpPC9E
aXNwbGF5VGV4dD48cmVjb3JkPjxyZWMtbnVtYmVyPjQ4NDk8L3JlYy1udW1iZXI+PGZvcmVpZ24t
a2V5cz48a2V5IGFwcD0iRU4iIGRiLWlkPSJmcHQ5cHR0cm01emZzYWVzcDlmcHNkZHYwOWV3c3Y1
eGV3ZmQiIHRpbWVzdGFtcD0iMTUyNTA0NTYwMiI+NDg0OTwva2V5PjxrZXkgYXBwPSJFTldlYiIg
ZGItaWQ9IiI+MDwva2V5PjwvZm9yZWlnbi1rZXlzPjxyZWYtdHlwZSBuYW1lPSJKb3VybmFsIEFy
dGljbGUiPjE3PC9yZWYtdHlwZT48Y29udHJpYnV0b3JzPjxhdXRob3JzPjxhdXRob3I+TGV2eSwg
RC4gVC48L2F1dGhvcj48YXV0aG9yPll1YW4sIFouPC9hdXRob3I+PGF1dGhvcj5MaSwgWS48L2F1
dGhvcj48L2F1dGhvcnM+PC9jb250cmlidXRvcnM+PGF1dGgtYWRkcmVzcz5Mb21iYXJkaSBDb21w
cmVoZW5zaXZlIENhbmNlciBDZW50ZXIsIEdlb3JnZXRvd24gVW5pdmVyc2l0eSwgV2FzaGluZ3Rv
biwgREMgMjAwMDcsIFVTQS4gZGw3NzdAZ2VvcmdldG93bi5lZHUuJiN4RDtMb21iYXJkaSBDb21w
cmVoZW5zaXZlIENhbmNlciBDZW50ZXIsIEdlb3JnZXRvd24gVW5pdmVyc2l0eSwgV2FzaGluZ3Rv
biwgREMgMjAwMDcsIFVTQS4genk3MEBnZW9yZ2V0b3duLmVkdS4mI3hEO0xvbWJhcmRpIENvbXBy
ZWhlbnNpdmUgQ2FuY2VyIENlbnRlciwgR2VvcmdldG93biBVbml2ZXJzaXR5LCBXYXNoaW5ndG9u
LCBEQyAyMDAwNywgVVNBLiB5bDk1NEBnZW9yZ2V0b3duLmVkdS48L2F1dGgtYWRkcmVzcz48dGl0
bGVzPjx0aXRsZT5UaGUgUHJldmFsZW5jZSBhbmQgQ2hhcmFjdGVyaXN0aWNzIG9mIEUtQ2lnYXJl
dHRlIFVzZXJzIGluIHRoZSBVLlM8L3RpdGxlPjxzZWNvbmRhcnktdGl0bGU+SW50IEogRW52aXJv
biBSZXMgUHVibGljIEhlYWx0aDwvc2Vjb25kYXJ5LXRpdGxlPjxhbHQtdGl0bGU+SW50ZXJuYXRp
b25hbCBqb3VybmFsIG9mIGVudmlyb25tZW50YWwgcmVzZWFyY2ggYW5kIHB1YmxpYyBoZWFsdGg8
L2FsdC10aXRsZT48L3RpdGxlcz48YWx0LXBlcmlvZGljYWw+PGZ1bGwtdGl0bGU+SW50ZXJuYXRp
b25hbCBKb3VybmFsIG9mIEVudmlyb25tZW50YWwgUmVzZWFyY2ggYW5kIFB1YmxpYyBIZWFsdGg8
L2Z1bGwtdGl0bGU+PC9hbHQtcGVyaW9kaWNhbD48dm9sdW1lPjE0PC92b2x1bWU+PG51bWJlcj4x
MDwvbnVtYmVyPjxlZGl0aW9uPjIwMTcvMTAvMTI8L2VkaXRpb24+PGtleXdvcmRzPjxrZXl3b3Jk
PmRlbW9ncmFwaGljczwva2V5d29yZD48a2V5d29yZD5lLWNpZ2FyZXR0ZXMsIHByZXZhbGVuY2U8
L2tleXdvcmQ+PGtleXdvcmQ+ZWxlY3Ryb25pYyBjaWdhcmV0dGVzPC9rZXl3b3JkPjxrZXl3b3Jk
PnB1YmxpYyBwb2xpY3k8L2tleXdvcmQ+PGtleXdvcmQ+dGhlIGRlc2lnbiBvZiB0aGUgc3R1ZHk8
L2tleXdvcmQ+PGtleXdvcmQ+aW4gdGhlIGNvbGxlY3Rpb24sIGFuYWx5c2VzLCBvciBpbnRlcnBy
ZXRhdGlvbiBvZiBkYXRhPC9rZXl3b3JkPjxrZXl3b3JkPmluIHRoZSB3cml0aW5nIG9mIHRoZSBt
YW51c2NyaXB0LCBhbmQgaW4gdGhlIGRlY2lzaW9uIHRvIHB1Ymxpc2ggdGhlIHJlc3VsdHMuPC9r
ZXl3b3JkPjwva2V5d29yZHM+PGRhdGVzPjx5ZWFyPjIwMTc8L3llYXI+PHB1Yi1kYXRlcz48ZGF0
ZT5PY3QgMTE8L2RhdGU+PC9wdWItZGF0ZXM+PC9kYXRlcz48aXNibj4xNjYwLTQ2MDE8L2lzYm4+
PGFjY2Vzc2lvbi1udW0+MjkwMTk5MTc8L2FjY2Vzc2lvbi1udW0+PHVybHM+PHJlbGF0ZWQtdXJs
cz48dXJsPmh0dHA6Ly93d3cubWRwaS5jb20vMTY2MC00NjAxLzE0LzEwLzEyMDAvcGRmPC91cmw+
PC9yZWxhdGVkLXVybHM+PC91cmxzPjxjdXN0b20yPlBNQzU2NjQ3MDE8L2N1c3RvbTI+PGVsZWN0
cm9uaWMtcmVzb3VyY2UtbnVtPjEwLjMzOTAvaWplcnBoMTQxMDEyMDA8L2VsZWN0cm9uaWMtcmVz
b3VyY2UtbnVtPjxyZW1vdGUtZGF0YWJhc2UtcHJvdmlkZXI+TkxNPC9yZW1vdGUtZGF0YWJhc2Ut
cHJvdmlkZXI+PGxhbmd1YWdlPmVuZzwvbGFuZ3VhZ2U+PC9yZWNvcmQ+PC9DaXRlPjwvRW5kTm90
ZT4A
</w:fldData>
        </w:fldChar>
      </w:r>
      <w:r>
        <w:instrText xml:space="preserve"> ADDIN EN.CITE.DATA </w:instrText>
      </w:r>
      <w:r>
        <w:fldChar w:fldCharType="end"/>
      </w:r>
      <w:r>
        <w:fldChar w:fldCharType="separate"/>
      </w:r>
      <w:r>
        <w:rPr>
          <w:noProof/>
        </w:rPr>
        <w:t>(Levy, Yuan et al. 2017)</w:t>
      </w:r>
      <w:r>
        <w:fldChar w:fldCharType="end"/>
      </w:r>
      <w:r>
        <w:t xml:space="preserve">. The authors report that the </w:t>
      </w:r>
      <w:r w:rsidRPr="00755033">
        <w:t xml:space="preserve">odds of regular </w:t>
      </w:r>
      <w:r>
        <w:t>e</w:t>
      </w:r>
      <w:r>
        <w:noBreakHyphen/>
        <w:t>cig</w:t>
      </w:r>
      <w:r w:rsidRPr="00755033">
        <w:t>arette use was higher among males than females at age 18–34, those with a high school and associate degree, and for those living in metropolitan areas, and was lower among age 45–64 and 65+, among Blacks and Asians compared to Whites, and among Hispanic compared to non-Hispanic.</w:t>
      </w:r>
      <w:r>
        <w:t xml:space="preserve"> The authors also analyse use of e</w:t>
      </w:r>
      <w:r>
        <w:noBreakHyphen/>
        <w:t>cigarette by conventional cigarette smokers with the conclusion that e</w:t>
      </w:r>
      <w:r>
        <w:noBreakHyphen/>
        <w:t xml:space="preserve">cigarettes are effective for smoking cessation. This conclusion is not held more generally (see </w:t>
      </w:r>
      <w:r w:rsidR="00726029">
        <w:t>Par</w:t>
      </w:r>
      <w:r>
        <w:t>t 2).</w:t>
      </w:r>
    </w:p>
    <w:p w14:paraId="65C3EA45" w14:textId="77777777" w:rsidR="002E3AED" w:rsidRDefault="002E3AED" w:rsidP="002E3AED">
      <w:pPr>
        <w:pStyle w:val="BodyText"/>
      </w:pPr>
    </w:p>
    <w:p w14:paraId="27FF4471" w14:textId="77777777" w:rsidR="002E3AED" w:rsidRDefault="002E3AED" w:rsidP="002E3AED">
      <w:pPr>
        <w:pStyle w:val="BodyText"/>
      </w:pPr>
      <w:r>
        <w:lastRenderedPageBreak/>
        <w:t xml:space="preserve">Data on the Tobacco and Attitudes Beliefs Survey </w:t>
      </w:r>
      <w:r>
        <w:fldChar w:fldCharType="begin">
          <w:fldData xml:space="preserve">PEVuZE5vdGU+PENpdGU+PEF1dGhvcj5ZYW88L0F1dGhvcj48WWVhcj4yMDE3PC9ZZWFyPjxSZWNO
dW0+Mjc1PC9SZWNOdW0+PERpc3BsYXlUZXh0PihZYW8sIE1heCBldCBhbC4gMjAxNyk8L0Rpc3Bs
YXlUZXh0PjxyZWNvcmQ+PHJlYy1udW1iZXI+Mjc1PC9yZWMtbnVtYmVyPjxmb3JlaWduLWtleXM+
PGtleSBhcHA9IkVOIiBkYi1pZD0iNXh2NXc1dDJiZHh0eGZlengwMnh0eGRmdDVyejVwdHZ2dDI5
IiB0aW1lc3RhbXA9IjE1MjA1Njg0MzIiPjI3NTwva2V5PjxrZXkgYXBwPSJFTldlYiIgZGItaWQ9
IiI+MDwva2V5PjwvZm9yZWlnbi1rZXlzPjxyZWYtdHlwZSBuYW1lPSJKb3VybmFsIEFydGljbGUi
PjE3PC9yZWYtdHlwZT48Y29udHJpYnV0b3JzPjxhdXRob3JzPjxhdXRob3I+WWFvLCBULjwvYXV0
aG9yPjxhdXRob3I+TWF4LCBXLjwvYXV0aG9yPjxhdXRob3I+U3VuZywgSC4gWS48L2F1dGhvcj48
YXV0aG9yPkdsYW50eiwgUy4gQS48L2F1dGhvcj48YXV0aG9yPkdvbGRiZXJnLCBSLiBMLjwvYXV0
aG9yPjxhdXRob3I+V2FuZywgSi4gQi48L2F1dGhvcj48YXV0aG9yPldhbmcsIFkuPC9hdXRob3I+
PGF1dGhvcj5MaWdodHdvb2QsIEouPC9hdXRob3I+PGF1dGhvcj5DYXRhbGRvLCBKLjwvYXV0aG9y
PjwvYXV0aG9ycz48L2NvbnRyaWJ1dG9ycz48YXV0aC1hZGRyZXNzPkluc3RpdHV0ZSBmb3IgSGVh
bHRoICZhbXA7IEFnaW5nLCBTY2hvb2wgb2YgTnVyc2luZywgVW5pdmVyc2l0eSBvZiBDYWxpZm9y
bmlhLCBTYW4gRnJhbmNpc2NvLCBDQSwgVW5pdGVkIFN0YXRlcyBvZiBBbWVyaWNhLiYjeEQ7Q2Vu
dGVyIGZvciBUb2JhY2NvIENvbnRyb2wgUmVzZWFyY2ggYW5kIEVkdWNhdGlvbiwgQ2FyZGlvdmFz
Y3VsYXIgUmVzZWFyY2ggSW5zdGl0dXRlLCBTY2hvb2wgb2YgTWVkaWNpbmUsIFVuaXZlcnNpdHkg
b2YgQ2FsaWZvcm5pYSwgU2FuIEZyYW5jaXNjbywgQ0EsIFVuaXRlZCBTdGF0ZXMgb2YgQW1lcmlj
YS4mI3hEO0RlcGFydG1lbnQgb2YgUGh5c2lvbG9naWNhbCBOdXJzaW5nLCBTY2hvb2wgb2YgTnVy
c2luZywgVW5pdmVyc2l0eSBvZiBDYWxpZm9ybmlhLCBTYW4gRnJhbmNpc2NvLCBDQSwgVW5pdGVk
IFN0YXRlcyBvZiBBbWVyaWNhLiYjeEQ7RGVwYXJ0bWVudCBvZiBDbGluaWNhbCBQaGFybWFjeSwg
U2Nob29sIG9mIFBoYXJtYWN5LCBVbml2ZXJzaXR5IG9mIENhbGlmb3JuaWEsIFNhbiBGcmFuY2lz
Y28sIENBLCBVbml0ZWQgU3RhdGVzIG9mIEFtZXJpY2EuPC9hdXRoLWFkZHJlc3M+PHRpdGxlcz48
dGl0bGU+UmVsYXRpb25zaGlwIGJldHdlZW4gc3BlbmRpbmcgb24gZWxlY3Ryb25pYyBjaWdhcmV0
dGVzLCAzMC1kYXkgdXNlLCBhbmQgZGlzZWFzZSBzeW1wdG9tcyBhbW9uZyBjdXJyZW50IGFkdWx0
IGNpZ2FyZXR0ZSBzbW9rZXJzIGluIHRoZSBVLlM8L3RpdGxlPjxzZWNvbmRhcnktdGl0bGU+UExv
UyBPbmU8L3NlY29uZGFyeS10aXRsZT48YWx0LXRpdGxlPlBsb1Mgb25lPC9hbHQtdGl0bGU+PC90
aXRsZXM+PHBlcmlvZGljYWw+PGZ1bGwtdGl0bGU+UExvUyBPbmU8L2Z1bGwtdGl0bGU+PGFiYnIt
MT5QbG9TIG9uZTwvYWJici0xPjwvcGVyaW9kaWNhbD48YWx0LXBlcmlvZGljYWw+PGZ1bGwtdGl0
bGU+UExvUyBPbmU8L2Z1bGwtdGl0bGU+PGFiYnItMT5QbG9TIG9uZTwvYWJici0xPjwvYWx0LXBl
cmlvZGljYWw+PHBhZ2VzPmUwMTg3Mzk5PC9wYWdlcz48dm9sdW1lPjEyPC92b2x1bWU+PG51bWJl
cj4xMTwvbnVtYmVyPjxlZGl0aW9uPjIwMTcvMTEvMDg8L2VkaXRpb24+PGtleXdvcmRzPjxrZXl3
b3JkPkFkdWx0PC9rZXl3b3JkPjxrZXl3b3JkPkFnZWQ8L2tleXdvcmQ+PGtleXdvcmQ+Q2hlc3Qg
UGFpbi9ldGlvbG9neTwva2V5d29yZD48a2V5d29yZD5FbGVjdHJvbmljIE5pY290aW5lIERlbGl2
ZXJ5IFN5c3RlbXMvKmVjb25vbWljczwva2V5d29yZD48a2V5d29yZD5GZW1hbGU8L2tleXdvcmQ+
PGtleXdvcmQ+SHVtYW5zPC9rZXl3b3JkPjxrZXl3b3JkPk1hbGU8L2tleXdvcmQ+PGtleXdvcmQ+
TWlkZGxlIEFnZWQ8L2tleXdvcmQ+PGtleXdvcmQ+UHJldmFsZW5jZTwva2V5d29yZD48a2V5d29y
ZD5Tb2NpYWwgQ2xhc3M8L2tleXdvcmQ+PGtleXdvcmQ+VW5pdGVkIFN0YXRlczwva2V5d29yZD48
a2V5d29yZD5Zb3VuZyBBZHVsdDwva2V5d29yZD48L2tleXdvcmRzPjxkYXRlcz48eWVhcj4yMDE3
PC95ZWFyPjwvZGF0ZXM+PGlzYm4+MTkzMi02MjAzPC9pc2JuPjxhY2Nlc3Npb24tbnVtPjI5MTEy
OTg4PC9hY2Nlc3Npb24tbnVtPjx1cmxzPjxyZWxhdGVkLXVybHM+PHVybD5odHRwczovL3d3dy5u
Y2JpLm5sbS5uaWguZ292L3BtYy9hcnRpY2xlcy9QTUM1Njc1NDU0L3BkZi9wb25lLjAxODczOTku
cGRmPC91cmw+PC9yZWxhdGVkLXVybHM+PC91cmxzPjxjdXN0b20yPlBNQzU2NzU0NTQ8L2N1c3Rv
bTI+PGVsZWN0cm9uaWMtcmVzb3VyY2UtbnVtPjEwLjEzNzEvam91cm5hbC5wb25lLjAxODczOTk8
L2VsZWN0cm9uaWMtcmVzb3VyY2UtbnVtPjxyZW1vdGUtZGF0YWJhc2UtcHJvdmlkZXI+TkxNPC9y
ZW1vdGUtZGF0YWJhc2UtcHJvdmlkZXI+PGxhbmd1YWdlPmVuZzwvbGFuZ3VhZ2U+PC9yZWNvcmQ+
PC9DaXRlPjwvRW5kTm90ZT5=
</w:fldData>
        </w:fldChar>
      </w:r>
      <w:r w:rsidR="00903735">
        <w:instrText xml:space="preserve"> ADDIN EN.CITE </w:instrText>
      </w:r>
      <w:r w:rsidR="00903735">
        <w:fldChar w:fldCharType="begin">
          <w:fldData xml:space="preserve">PEVuZE5vdGU+PENpdGU+PEF1dGhvcj5ZYW88L0F1dGhvcj48WWVhcj4yMDE3PC9ZZWFyPjxSZWNO
dW0+Mjc1PC9SZWNOdW0+PERpc3BsYXlUZXh0PihZYW8sIE1heCBldCBhbC4gMjAxNyk8L0Rpc3Bs
YXlUZXh0PjxyZWNvcmQ+PHJlYy1udW1iZXI+Mjc1PC9yZWMtbnVtYmVyPjxmb3JlaWduLWtleXM+
PGtleSBhcHA9IkVOIiBkYi1pZD0iNXh2NXc1dDJiZHh0eGZlengwMnh0eGRmdDVyejVwdHZ2dDI5
IiB0aW1lc3RhbXA9IjE1MjA1Njg0MzIiPjI3NTwva2V5PjxrZXkgYXBwPSJFTldlYiIgZGItaWQ9
IiI+MDwva2V5PjwvZm9yZWlnbi1rZXlzPjxyZWYtdHlwZSBuYW1lPSJKb3VybmFsIEFydGljbGUi
PjE3PC9yZWYtdHlwZT48Y29udHJpYnV0b3JzPjxhdXRob3JzPjxhdXRob3I+WWFvLCBULjwvYXV0
aG9yPjxhdXRob3I+TWF4LCBXLjwvYXV0aG9yPjxhdXRob3I+U3VuZywgSC4gWS48L2F1dGhvcj48
YXV0aG9yPkdsYW50eiwgUy4gQS48L2F1dGhvcj48YXV0aG9yPkdvbGRiZXJnLCBSLiBMLjwvYXV0
aG9yPjxhdXRob3I+V2FuZywgSi4gQi48L2F1dGhvcj48YXV0aG9yPldhbmcsIFkuPC9hdXRob3I+
PGF1dGhvcj5MaWdodHdvb2QsIEouPC9hdXRob3I+PGF1dGhvcj5DYXRhbGRvLCBKLjwvYXV0aG9y
PjwvYXV0aG9ycz48L2NvbnRyaWJ1dG9ycz48YXV0aC1hZGRyZXNzPkluc3RpdHV0ZSBmb3IgSGVh
bHRoICZhbXA7IEFnaW5nLCBTY2hvb2wgb2YgTnVyc2luZywgVW5pdmVyc2l0eSBvZiBDYWxpZm9y
bmlhLCBTYW4gRnJhbmNpc2NvLCBDQSwgVW5pdGVkIFN0YXRlcyBvZiBBbWVyaWNhLiYjeEQ7Q2Vu
dGVyIGZvciBUb2JhY2NvIENvbnRyb2wgUmVzZWFyY2ggYW5kIEVkdWNhdGlvbiwgQ2FyZGlvdmFz
Y3VsYXIgUmVzZWFyY2ggSW5zdGl0dXRlLCBTY2hvb2wgb2YgTWVkaWNpbmUsIFVuaXZlcnNpdHkg
b2YgQ2FsaWZvcm5pYSwgU2FuIEZyYW5jaXNjbywgQ0EsIFVuaXRlZCBTdGF0ZXMgb2YgQW1lcmlj
YS4mI3hEO0RlcGFydG1lbnQgb2YgUGh5c2lvbG9naWNhbCBOdXJzaW5nLCBTY2hvb2wgb2YgTnVy
c2luZywgVW5pdmVyc2l0eSBvZiBDYWxpZm9ybmlhLCBTYW4gRnJhbmNpc2NvLCBDQSwgVW5pdGVk
IFN0YXRlcyBvZiBBbWVyaWNhLiYjeEQ7RGVwYXJ0bWVudCBvZiBDbGluaWNhbCBQaGFybWFjeSwg
U2Nob29sIG9mIFBoYXJtYWN5LCBVbml2ZXJzaXR5IG9mIENhbGlmb3JuaWEsIFNhbiBGcmFuY2lz
Y28sIENBLCBVbml0ZWQgU3RhdGVzIG9mIEFtZXJpY2EuPC9hdXRoLWFkZHJlc3M+PHRpdGxlcz48
dGl0bGU+UmVsYXRpb25zaGlwIGJldHdlZW4gc3BlbmRpbmcgb24gZWxlY3Ryb25pYyBjaWdhcmV0
dGVzLCAzMC1kYXkgdXNlLCBhbmQgZGlzZWFzZSBzeW1wdG9tcyBhbW9uZyBjdXJyZW50IGFkdWx0
IGNpZ2FyZXR0ZSBzbW9rZXJzIGluIHRoZSBVLlM8L3RpdGxlPjxzZWNvbmRhcnktdGl0bGU+UExv
UyBPbmU8L3NlY29uZGFyeS10aXRsZT48YWx0LXRpdGxlPlBsb1Mgb25lPC9hbHQtdGl0bGU+PC90
aXRsZXM+PHBlcmlvZGljYWw+PGZ1bGwtdGl0bGU+UExvUyBPbmU8L2Z1bGwtdGl0bGU+PGFiYnIt
MT5QbG9TIG9uZTwvYWJici0xPjwvcGVyaW9kaWNhbD48YWx0LXBlcmlvZGljYWw+PGZ1bGwtdGl0
bGU+UExvUyBPbmU8L2Z1bGwtdGl0bGU+PGFiYnItMT5QbG9TIG9uZTwvYWJici0xPjwvYWx0LXBl
cmlvZGljYWw+PHBhZ2VzPmUwMTg3Mzk5PC9wYWdlcz48dm9sdW1lPjEyPC92b2x1bWU+PG51bWJl
cj4xMTwvbnVtYmVyPjxlZGl0aW9uPjIwMTcvMTEvMDg8L2VkaXRpb24+PGtleXdvcmRzPjxrZXl3
b3JkPkFkdWx0PC9rZXl3b3JkPjxrZXl3b3JkPkFnZWQ8L2tleXdvcmQ+PGtleXdvcmQ+Q2hlc3Qg
UGFpbi9ldGlvbG9neTwva2V5d29yZD48a2V5d29yZD5FbGVjdHJvbmljIE5pY290aW5lIERlbGl2
ZXJ5IFN5c3RlbXMvKmVjb25vbWljczwva2V5d29yZD48a2V5d29yZD5GZW1hbGU8L2tleXdvcmQ+
PGtleXdvcmQ+SHVtYW5zPC9rZXl3b3JkPjxrZXl3b3JkPk1hbGU8L2tleXdvcmQ+PGtleXdvcmQ+
TWlkZGxlIEFnZWQ8L2tleXdvcmQ+PGtleXdvcmQ+UHJldmFsZW5jZTwva2V5d29yZD48a2V5d29y
ZD5Tb2NpYWwgQ2xhc3M8L2tleXdvcmQ+PGtleXdvcmQ+VW5pdGVkIFN0YXRlczwva2V5d29yZD48
a2V5d29yZD5Zb3VuZyBBZHVsdDwva2V5d29yZD48L2tleXdvcmRzPjxkYXRlcz48eWVhcj4yMDE3
PC95ZWFyPjwvZGF0ZXM+PGlzYm4+MTkzMi02MjAzPC9pc2JuPjxhY2Nlc3Npb24tbnVtPjI5MTEy
OTg4PC9hY2Nlc3Npb24tbnVtPjx1cmxzPjxyZWxhdGVkLXVybHM+PHVybD5odHRwczovL3d3dy5u
Y2JpLm5sbS5uaWguZ292L3BtYy9hcnRpY2xlcy9QTUM1Njc1NDU0L3BkZi9wb25lLjAxODczOTku
cGRmPC91cmw+PC9yZWxhdGVkLXVybHM+PC91cmxzPjxjdXN0b20yPlBNQzU2NzU0NTQ8L2N1c3Rv
bTI+PGVsZWN0cm9uaWMtcmVzb3VyY2UtbnVtPjEwLjEzNzEvam91cm5hbC5wb25lLjAxODczOTk8
L2VsZWN0cm9uaWMtcmVzb3VyY2UtbnVtPjxyZW1vdGUtZGF0YWJhc2UtcHJvdmlkZXI+TkxNPC9y
ZW1vdGUtZGF0YWJhc2UtcHJvdmlkZXI+PGxhbmd1YWdlPmVuZzwvbGFuZ3VhZ2U+PC9yZWNvcmQ+
PC9DaXRlPjwvRW5kTm90ZT5=
</w:fldData>
        </w:fldChar>
      </w:r>
      <w:r w:rsidR="00903735">
        <w:instrText xml:space="preserve"> ADDIN EN.CITE.DATA </w:instrText>
      </w:r>
      <w:r w:rsidR="00903735">
        <w:fldChar w:fldCharType="end"/>
      </w:r>
      <w:r>
        <w:fldChar w:fldCharType="separate"/>
      </w:r>
      <w:r>
        <w:rPr>
          <w:noProof/>
        </w:rPr>
        <w:t>(Yao, Max et al. 2017)</w:t>
      </w:r>
      <w:r>
        <w:fldChar w:fldCharType="end"/>
      </w:r>
      <w:r>
        <w:t xml:space="preserve"> and the </w:t>
      </w:r>
      <w:r w:rsidRPr="00BC1B1E">
        <w:t>Tobacco Products and Risk Perceptions Survey</w:t>
      </w:r>
      <w:r>
        <w:t xml:space="preserve"> </w:t>
      </w:r>
      <w:r>
        <w:fldChar w:fldCharType="begin">
          <w:fldData xml:space="preserve">PEVuZE5vdGU+PENpdGU+PEF1dGhvcj5Kb25lczwvQXV0aG9yPjxZZWFyPjIwMTc8L1llYXI+PFJl
Y051bT40OTQyPC9SZWNOdW0+PERpc3BsYXlUZXh0PihKb25lcywgTWFqZWVkIGV0IGFsLiAyMDE3
LCBTcGVhcnMsIEpvbmVzIGV0IGFsLiAyMDE4KTwvRGlzcGxheVRleHQ+PHJlY29yZD48cmVjLW51
bWJlcj40OTQyPC9yZWMtbnVtYmVyPjxmb3JlaWduLWtleXM+PGtleSBhcHA9IkVOIiBkYi1pZD0i
ZnB0OXB0dHJtNXpmc2Flc3A5ZnBzZGR2MDlld3N2NXhld2ZkIiB0aW1lc3RhbXA9IjE1MjUwNDU3
NTYiPjQ5NDI8L2tleT48L2ZvcmVpZ24ta2V5cz48cmVmLXR5cGUgbmFtZT0iSm91cm5hbCBBcnRp
Y2xlIj4xNzwvcmVmLXR5cGU+PGNvbnRyaWJ1dG9ycz48YXV0aG9ycz48YXV0aG9yPkpvbmVzLCBE
LiBNLjwvYXV0aG9yPjxhdXRob3I+TWFqZWVkLCBCLiBBLjwvYXV0aG9yPjxhdXRob3I+V2VhdmVy
LCBTLiBSLjwvYXV0aG9yPjxhdXRob3I+U3RlcmxpbmcsIEsuPC9hdXRob3I+PGF1dGhvcj5QZWNo
YWNlaywgVC4gRi48L2F1dGhvcj48YXV0aG9yPkVyaWtzZW4sIE0uIFAuPC9hdXRob3I+PC9hdXRo
b3JzPjwvY29udHJpYnV0b3JzPjxhdXRoLWFkZHJlc3M+VG9iYWNjbyBDZW50ZXIgb2YgUmVndWxh
dG9yeSBTY2llbmNlIChUQ09SUyksIFNjaG9vbCBvZiBQdWJsaWMgSGVhbHRoLCBHZW9yZ2lhIFN0
YXRlIFVuaXZlcnNpdHksIEF0bGFudGEsIEdBOywgRW1haWw6IGRqb25lczE1M0BzdHVkZW50Lmdz
dS5lZHUuJiN4RDtBc3Npc3RhbnQgUHJvZmVzc29yLCBNZWRpY2FsIENvbGxlZ2Ugb2YgR2Vvcmdp
YSwgQXVndXN0YSBVbml2ZXJzaXR5LCBBdWd1c3RhLCBHQS4mI3hEO1RvYmFjY28gQ2VudGVyIG9m
IFJlZ3VsYXRvcnkgU2NpZW5jZSAoVENPUlMpLCBTY2hvb2wgb2YgUHVibGljIEhlYWx0aCwgR2Vv
cmdpYSBTdGF0ZSBVbml2ZXJzaXR5LCBBdGxhbnRhLCBHQS48L2F1dGgtYWRkcmVzcz48dGl0bGVz
Pjx0aXRsZT5QcmV2YWxlbmNlIGFuZCBGYWN0b3JzIEFzc29jaWF0ZWQgd2l0aCBTbW9rZWxlc3Mg
VG9iYWNjbyBVc2UsIDIwMTQtMjAxNjwvdGl0bGU+PHNlY29uZGFyeS10aXRsZT5BbSBKIEhlYWx0
aCBCZWhhdjwvc2Vjb25kYXJ5LXRpdGxlPjxhbHQtdGl0bGU+QW1lcmljYW4gam91cm5hbCBvZiBo
ZWFsdGggYmVoYXZpb3I8L2FsdC10aXRsZT48L3RpdGxlcz48YWx0LXBlcmlvZGljYWw+PGZ1bGwt
dGl0bGU+QW1lcmljYW4gSm91cm5hbCBvZiBIZWFsdGggQmVoYXZpb3I8L2Z1bGwtdGl0bGU+PC9h
bHQtcGVyaW9kaWNhbD48cGFnZXM+NjA4LTYxNzwvcGFnZXM+PHZvbHVtZT40MTwvdm9sdW1lPjxu
dW1iZXI+NTwvbnVtYmVyPjxlZGl0aW9uPjIwMTcvMDgvMDI8L2VkaXRpb24+PGRhdGVzPjx5ZWFy
PjIwMTc8L3llYXI+PHB1Yi1kYXRlcz48ZGF0ZT5TZXAgMTwvZGF0ZT48L3B1Yi1kYXRlcz48L2Rh
dGVzPjxpc2JuPjEwODctMzI0NDwvaXNibj48YWNjZXNzaW9uLW51bT4yODc2MDE4MzwvYWNjZXNz
aW9uLW51bT48dXJscz48L3VybHM+PGN1c3RvbTI+UE1DNTU2Nzk4NTwvY3VzdG9tMj48Y3VzdG9t
Nj5OSUhNUzg5MTgxMzwvY3VzdG9tNj48ZWxlY3Ryb25pYy1yZXNvdXJjZS1udW0+MTAuNTk5My9h
amhiLjQxLjUuMTA8L2VsZWN0cm9uaWMtcmVzb3VyY2UtbnVtPjxyZW1vdGUtZGF0YWJhc2UtcHJv
dmlkZXI+TkxNPC9yZW1vdGUtZGF0YWJhc2UtcHJvdmlkZXI+PGxhbmd1YWdlPmVuZzwvbGFuZ3Vh
Z2U+PC9yZWNvcmQ+PC9DaXRlPjxDaXRlPjxBdXRob3I+U3BlYXJzPC9BdXRob3I+PFllYXI+MjAx
ODwvWWVhcj48UmVjTnVtPjQ2Mjc8L1JlY051bT48cmVjb3JkPjxyZWMtbnVtYmVyPjQ2Mjc8L3Jl
Yy1udW1iZXI+PGZvcmVpZ24ta2V5cz48a2V5IGFwcD0iRU4iIGRiLWlkPSJmcHQ5cHR0cm01emZz
YWVzcDlmcHNkZHYwOWV3c3Y1eGV3ZmQiIHRpbWVzdGFtcD0iMTUyNTA0NTE2OSI+NDYyNzwva2V5
PjwvZm9yZWlnbi1rZXlzPjxyZWYtdHlwZSBuYW1lPSJKb3VybmFsIEFydGljbGUiPjE3PC9yZWYt
dHlwZT48Y29udHJpYnV0b3JzPjxhdXRob3JzPjxhdXRob3I+U3BlYXJzLCBDLiBBLjwvYXV0aG9y
PjxhdXRob3I+Sm9uZXMsIEQuIE0uPC9hdXRob3I+PGF1dGhvcj5XZWF2ZXIsIFMuIFIuPC9hdXRo
b3I+PGF1dGhvcj5QZWNoYWNlaywgVC4gRi48L2F1dGhvcj48YXV0aG9yPkVyaWtzZW4sIE0uIFAu
PC9hdXRob3I+PC9hdXRob3JzPjwvY29udHJpYnV0b3JzPjxhdXRoLWFkZHJlc3M+VG9iYWNjbyBD
ZW50ZXIgb2YgUmVndWxhdG9yeSBTY2llbmNlIChUQ09SUyksIFNjaG9vbCBvZiBQdWJsaWMgSGVh
bHRoLCBHZW9yZ2lhIFN0YXRlIFVuaXZlcnNpdHksIEF0bGFudGEsIEdBLCBVbml0ZWQgU3RhdGVz
OyBEaXZpc2lvbiBvZiBIZWFsdGggUHJvbW90aW9uIGFuZCBCZWhhdmlvciwgU2Nob29sIG9mIFB1
YmxpYyBIZWFsdGgsIEdlb3JnaWEgU3RhdGUgVW5pdmVyc2l0eSwgQXRsYW50YSwgR0EsIFVuaXRl
ZCBTdGF0ZXMuIEVsZWN0cm9uaWMgYWRkcmVzczogY3NwZWFyc0Bnc3UuZWR1LiYjeEQ7VG9iYWNj
byBDZW50ZXIgb2YgUmVndWxhdG9yeSBTY2llbmNlIChUQ09SUyksIFNjaG9vbCBvZiBQdWJsaWMg
SGVhbHRoLCBHZW9yZ2lhIFN0YXRlIFVuaXZlcnNpdHksIEF0bGFudGEsIEdBLCBVbml0ZWQgU3Rh
dGVzLiBFbGVjdHJvbmljIGFkZHJlc3M6IGRqb25lczE1M0BzdHVkZW50LmdzdS5lZHUuJiN4RDtU
b2JhY2NvIENlbnRlciBvZiBSZWd1bGF0b3J5IFNjaWVuY2UgKFRDT1JTKSwgU2Nob29sIG9mIFB1
YmxpYyBIZWFsdGgsIEdlb3JnaWEgU3RhdGUgVW5pdmVyc2l0eSwgQXRsYW50YSwgR0EsIFVuaXRl
ZCBTdGF0ZXM7IERpdmlzaW9uIG9mIEVwaWRlbWlvbG9neSBhbmQgQmlvc3RhdGlzdGljcywgU2No
b29sIG9mIFB1YmxpYyBIZWFsdGgsIEdlb3JnaWEgU3RhdGUgVW5pdmVyc2l0eSwgQXRsYW50YSwg
R0EsIFVuaXRlZCBTdGF0ZXMuIEVsZWN0cm9uaWMgYWRkcmVzczogc3J3ZWF2ZXJAZ3N1LmVkdS4m
I3hEO1RvYmFjY28gQ2VudGVyIG9mIFJlZ3VsYXRvcnkgU2NpZW5jZSAoVENPUlMpLCBTY2hvb2wg
b2YgUHVibGljIEhlYWx0aCwgR2VvcmdpYSBTdGF0ZSBVbml2ZXJzaXR5LCBBdGxhbnRhLCBHQSwg
VW5pdGVkIFN0YXRlczsgRGl2aXNpb24gb2YgSGVhbHRoIE1hbmFnZW1lbnQgYW5kIFBvbGljeSwg
U2Nob29sIG9mIFB1YmxpYyBIZWFsdGgsIEdlb3JnaWEgU3RhdGUgVW5pdmVyc2l0eSwgQXRsYW50
YSwgR0EsIFVuaXRlZCBTdGF0ZXMuIEVsZWN0cm9uaWMgYWRkcmVzczogdHBlY2hhY2VrQGdzdS5l
ZHUuJiN4RDtUb2JhY2NvIENlbnRlciBvZiBSZWd1bGF0b3J5IFNjaWVuY2UgKFRDT1JTKSwgU2No
b29sIG9mIFB1YmxpYyBIZWFsdGgsIEdlb3JnaWEgU3RhdGUgVW5pdmVyc2l0eSwgQXRsYW50YSwg
R0EsIFVuaXRlZCBTdGF0ZXM7IERpdmlzaW9uIG9mIEhlYWx0aCBNYW5hZ2VtZW50IGFuZCBQb2xp
Y3ksIFNjaG9vbCBvZiBQdWJsaWMgSGVhbHRoLCBHZW9yZ2lhIFN0YXRlIFVuaXZlcnNpdHksIEF0
bGFudGEsIEdBLCBVbml0ZWQgU3RhdGVzLiBFbGVjdHJvbmljIGFkZHJlc3M6IG1lcmlrc2VuQGdz
dS5lZHUuPC9hdXRoLWFkZHJlc3M+PHRpdGxlcz48dGl0bGU+TW90aXZlcyBhbmQgcGVyY2VwdGlv
bnMgcmVnYXJkaW5nIGVsZWN0cm9uaWMgbmljb3RpbmUgZGVsaXZlcnkgc3lzdGVtcyAoRU5EUykg
dXNlIGFtb25nIGFkdWx0cyB3aXRoIG1lbnRhbCBoZWFsdGggY29uZGl0aW9uczwvdGl0bGU+PHNl
Y29uZGFyeS10aXRsZT5BZGRpY3QgQmVoYXY8L3NlY29uZGFyeS10aXRsZT48YWx0LXRpdGxlPkFk
ZGljdGl2ZSBiZWhhdmlvcnM8L2FsdC10aXRsZT48L3RpdGxlcz48YWx0LXBlcmlvZGljYWw+PGZ1
bGwtdGl0bGU+QWRkaWN0aXZlIEJlaGF2aW9yczwvZnVsbC10aXRsZT48L2FsdC1wZXJpb2RpY2Fs
PjxwYWdlcz4xMDItMTA5PC9wYWdlcz48dm9sdW1lPjgwPC92b2x1bWU+PGVkaXRpb24+MjAxOC8w
Mi8wNzwvZWRpdGlvbj48a2V5d29yZHM+PGtleXdvcmQ+RS1jaWdhcmV0dGVzPC9rZXl3b3JkPjxr
ZXl3b3JkPkVsZWN0cm9uaWMgbmljb3RpbmUgZGVsaXZlcnkgZGV2aWNlczwva2V5d29yZD48a2V5
d29yZD5NZW50YWwgaGVhbHRoIGNvbmRpdGlvbnM8L2tleXdvcmQ+PGtleXdvcmQ+UmlzayBwZXJj
ZXB0aW9uczwva2V5d29yZD48L2tleXdvcmRzPjxkYXRlcz48eWVhcj4yMDE4PC95ZWFyPjxwdWIt
ZGF0ZXM+PGRhdGU+SmFuIDE2PC9kYXRlPjwvcHViLWRhdGVzPjwvZGF0ZXM+PGlzYm4+MDMwNi00
NjAzPC9pc2JuPjxhY2Nlc3Npb24tbnVtPjI5NDA3Njc5PC9hY2Nlc3Npb24tbnVtPjx1cmxzPjxy
ZWxhdGVkLXVybHM+PHVybD5odHRwczovL3d3dy5zY2llbmNlZGlyZWN0LmNvbS9zY2llbmNlL2Fy
dGljbGUvcGlpL1MwMzA2NDYwMzE4MzAwMTgyP3ZpYSUzRGlodWI8L3VybD48L3JlbGF0ZWQtdXJs
cz48L3VybHM+PGVsZWN0cm9uaWMtcmVzb3VyY2UtbnVtPjEwLjEwMTYvai5hZGRiZWguMjAxOC4w
MS4wMTQ8L2VsZWN0cm9uaWMtcmVzb3VyY2UtbnVtPjxyZW1vdGUtZGF0YWJhc2UtcHJvdmlkZXI+
TkxNPC9yZW1vdGUtZGF0YWJhc2UtcHJvdmlkZXI+PGxhbmd1YWdlPmVuZzwvbGFuZ3VhZ2U+PC9y
ZWNvcmQ+PC9DaXRlPjwvRW5kTm90ZT4A
</w:fldData>
        </w:fldChar>
      </w:r>
      <w:r>
        <w:instrText xml:space="preserve"> ADDIN EN.CITE </w:instrText>
      </w:r>
      <w:r>
        <w:fldChar w:fldCharType="begin">
          <w:fldData xml:space="preserve">PEVuZE5vdGU+PENpdGU+PEF1dGhvcj5Kb25lczwvQXV0aG9yPjxZZWFyPjIwMTc8L1llYXI+PFJl
Y051bT40OTQyPC9SZWNOdW0+PERpc3BsYXlUZXh0PihKb25lcywgTWFqZWVkIGV0IGFsLiAyMDE3
LCBTcGVhcnMsIEpvbmVzIGV0IGFsLiAyMDE4KTwvRGlzcGxheVRleHQ+PHJlY29yZD48cmVjLW51
bWJlcj40OTQyPC9yZWMtbnVtYmVyPjxmb3JlaWduLWtleXM+PGtleSBhcHA9IkVOIiBkYi1pZD0i
ZnB0OXB0dHJtNXpmc2Flc3A5ZnBzZGR2MDlld3N2NXhld2ZkIiB0aW1lc3RhbXA9IjE1MjUwNDU3
NTYiPjQ5NDI8L2tleT48L2ZvcmVpZ24ta2V5cz48cmVmLXR5cGUgbmFtZT0iSm91cm5hbCBBcnRp
Y2xlIj4xNzwvcmVmLXR5cGU+PGNvbnRyaWJ1dG9ycz48YXV0aG9ycz48YXV0aG9yPkpvbmVzLCBE
LiBNLjwvYXV0aG9yPjxhdXRob3I+TWFqZWVkLCBCLiBBLjwvYXV0aG9yPjxhdXRob3I+V2VhdmVy
LCBTLiBSLjwvYXV0aG9yPjxhdXRob3I+U3RlcmxpbmcsIEsuPC9hdXRob3I+PGF1dGhvcj5QZWNo
YWNlaywgVC4gRi48L2F1dGhvcj48YXV0aG9yPkVyaWtzZW4sIE0uIFAuPC9hdXRob3I+PC9hdXRo
b3JzPjwvY29udHJpYnV0b3JzPjxhdXRoLWFkZHJlc3M+VG9iYWNjbyBDZW50ZXIgb2YgUmVndWxh
dG9yeSBTY2llbmNlIChUQ09SUyksIFNjaG9vbCBvZiBQdWJsaWMgSGVhbHRoLCBHZW9yZ2lhIFN0
YXRlIFVuaXZlcnNpdHksIEF0bGFudGEsIEdBOywgRW1haWw6IGRqb25lczE1M0BzdHVkZW50Lmdz
dS5lZHUuJiN4RDtBc3Npc3RhbnQgUHJvZmVzc29yLCBNZWRpY2FsIENvbGxlZ2Ugb2YgR2Vvcmdp
YSwgQXVndXN0YSBVbml2ZXJzaXR5LCBBdWd1c3RhLCBHQS4mI3hEO1RvYmFjY28gQ2VudGVyIG9m
IFJlZ3VsYXRvcnkgU2NpZW5jZSAoVENPUlMpLCBTY2hvb2wgb2YgUHVibGljIEhlYWx0aCwgR2Vv
cmdpYSBTdGF0ZSBVbml2ZXJzaXR5LCBBdGxhbnRhLCBHQS48L2F1dGgtYWRkcmVzcz48dGl0bGVz
Pjx0aXRsZT5QcmV2YWxlbmNlIGFuZCBGYWN0b3JzIEFzc29jaWF0ZWQgd2l0aCBTbW9rZWxlc3Mg
VG9iYWNjbyBVc2UsIDIwMTQtMjAxNjwvdGl0bGU+PHNlY29uZGFyeS10aXRsZT5BbSBKIEhlYWx0
aCBCZWhhdjwvc2Vjb25kYXJ5LXRpdGxlPjxhbHQtdGl0bGU+QW1lcmljYW4gam91cm5hbCBvZiBo
ZWFsdGggYmVoYXZpb3I8L2FsdC10aXRsZT48L3RpdGxlcz48YWx0LXBlcmlvZGljYWw+PGZ1bGwt
dGl0bGU+QW1lcmljYW4gSm91cm5hbCBvZiBIZWFsdGggQmVoYXZpb3I8L2Z1bGwtdGl0bGU+PC9h
bHQtcGVyaW9kaWNhbD48cGFnZXM+NjA4LTYxNzwvcGFnZXM+PHZvbHVtZT40MTwvdm9sdW1lPjxu
dW1iZXI+NTwvbnVtYmVyPjxlZGl0aW9uPjIwMTcvMDgvMDI8L2VkaXRpb24+PGRhdGVzPjx5ZWFy
PjIwMTc8L3llYXI+PHB1Yi1kYXRlcz48ZGF0ZT5TZXAgMTwvZGF0ZT48L3B1Yi1kYXRlcz48L2Rh
dGVzPjxpc2JuPjEwODctMzI0NDwvaXNibj48YWNjZXNzaW9uLW51bT4yODc2MDE4MzwvYWNjZXNz
aW9uLW51bT48dXJscz48L3VybHM+PGN1c3RvbTI+UE1DNTU2Nzk4NTwvY3VzdG9tMj48Y3VzdG9t
Nj5OSUhNUzg5MTgxMzwvY3VzdG9tNj48ZWxlY3Ryb25pYy1yZXNvdXJjZS1udW0+MTAuNTk5My9h
amhiLjQxLjUuMTA8L2VsZWN0cm9uaWMtcmVzb3VyY2UtbnVtPjxyZW1vdGUtZGF0YWJhc2UtcHJv
dmlkZXI+TkxNPC9yZW1vdGUtZGF0YWJhc2UtcHJvdmlkZXI+PGxhbmd1YWdlPmVuZzwvbGFuZ3Vh
Z2U+PC9yZWNvcmQ+PC9DaXRlPjxDaXRlPjxBdXRob3I+U3BlYXJzPC9BdXRob3I+PFllYXI+MjAx
ODwvWWVhcj48UmVjTnVtPjQ2Mjc8L1JlY051bT48cmVjb3JkPjxyZWMtbnVtYmVyPjQ2Mjc8L3Jl
Yy1udW1iZXI+PGZvcmVpZ24ta2V5cz48a2V5IGFwcD0iRU4iIGRiLWlkPSJmcHQ5cHR0cm01emZz
YWVzcDlmcHNkZHYwOWV3c3Y1eGV3ZmQiIHRpbWVzdGFtcD0iMTUyNTA0NTE2OSI+NDYyNzwva2V5
PjwvZm9yZWlnbi1rZXlzPjxyZWYtdHlwZSBuYW1lPSJKb3VybmFsIEFydGljbGUiPjE3PC9yZWYt
dHlwZT48Y29udHJpYnV0b3JzPjxhdXRob3JzPjxhdXRob3I+U3BlYXJzLCBDLiBBLjwvYXV0aG9y
PjxhdXRob3I+Sm9uZXMsIEQuIE0uPC9hdXRob3I+PGF1dGhvcj5XZWF2ZXIsIFMuIFIuPC9hdXRo
b3I+PGF1dGhvcj5QZWNoYWNlaywgVC4gRi48L2F1dGhvcj48YXV0aG9yPkVyaWtzZW4sIE0uIFAu
PC9hdXRob3I+PC9hdXRob3JzPjwvY29udHJpYnV0b3JzPjxhdXRoLWFkZHJlc3M+VG9iYWNjbyBD
ZW50ZXIgb2YgUmVndWxhdG9yeSBTY2llbmNlIChUQ09SUyksIFNjaG9vbCBvZiBQdWJsaWMgSGVh
bHRoLCBHZW9yZ2lhIFN0YXRlIFVuaXZlcnNpdHksIEF0bGFudGEsIEdBLCBVbml0ZWQgU3RhdGVz
OyBEaXZpc2lvbiBvZiBIZWFsdGggUHJvbW90aW9uIGFuZCBCZWhhdmlvciwgU2Nob29sIG9mIFB1
YmxpYyBIZWFsdGgsIEdlb3JnaWEgU3RhdGUgVW5pdmVyc2l0eSwgQXRsYW50YSwgR0EsIFVuaXRl
ZCBTdGF0ZXMuIEVsZWN0cm9uaWMgYWRkcmVzczogY3NwZWFyc0Bnc3UuZWR1LiYjeEQ7VG9iYWNj
byBDZW50ZXIgb2YgUmVndWxhdG9yeSBTY2llbmNlIChUQ09SUyksIFNjaG9vbCBvZiBQdWJsaWMg
SGVhbHRoLCBHZW9yZ2lhIFN0YXRlIFVuaXZlcnNpdHksIEF0bGFudGEsIEdBLCBVbml0ZWQgU3Rh
dGVzLiBFbGVjdHJvbmljIGFkZHJlc3M6IGRqb25lczE1M0BzdHVkZW50LmdzdS5lZHUuJiN4RDtU
b2JhY2NvIENlbnRlciBvZiBSZWd1bGF0b3J5IFNjaWVuY2UgKFRDT1JTKSwgU2Nob29sIG9mIFB1
YmxpYyBIZWFsdGgsIEdlb3JnaWEgU3RhdGUgVW5pdmVyc2l0eSwgQXRsYW50YSwgR0EsIFVuaXRl
ZCBTdGF0ZXM7IERpdmlzaW9uIG9mIEVwaWRlbWlvbG9neSBhbmQgQmlvc3RhdGlzdGljcywgU2No
b29sIG9mIFB1YmxpYyBIZWFsdGgsIEdlb3JnaWEgU3RhdGUgVW5pdmVyc2l0eSwgQXRsYW50YSwg
R0EsIFVuaXRlZCBTdGF0ZXMuIEVsZWN0cm9uaWMgYWRkcmVzczogc3J3ZWF2ZXJAZ3N1LmVkdS4m
I3hEO1RvYmFjY28gQ2VudGVyIG9mIFJlZ3VsYXRvcnkgU2NpZW5jZSAoVENPUlMpLCBTY2hvb2wg
b2YgUHVibGljIEhlYWx0aCwgR2VvcmdpYSBTdGF0ZSBVbml2ZXJzaXR5LCBBdGxhbnRhLCBHQSwg
VW5pdGVkIFN0YXRlczsgRGl2aXNpb24gb2YgSGVhbHRoIE1hbmFnZW1lbnQgYW5kIFBvbGljeSwg
U2Nob29sIG9mIFB1YmxpYyBIZWFsdGgsIEdlb3JnaWEgU3RhdGUgVW5pdmVyc2l0eSwgQXRsYW50
YSwgR0EsIFVuaXRlZCBTdGF0ZXMuIEVsZWN0cm9uaWMgYWRkcmVzczogdHBlY2hhY2VrQGdzdS5l
ZHUuJiN4RDtUb2JhY2NvIENlbnRlciBvZiBSZWd1bGF0b3J5IFNjaWVuY2UgKFRDT1JTKSwgU2No
b29sIG9mIFB1YmxpYyBIZWFsdGgsIEdlb3JnaWEgU3RhdGUgVW5pdmVyc2l0eSwgQXRsYW50YSwg
R0EsIFVuaXRlZCBTdGF0ZXM7IERpdmlzaW9uIG9mIEhlYWx0aCBNYW5hZ2VtZW50IGFuZCBQb2xp
Y3ksIFNjaG9vbCBvZiBQdWJsaWMgSGVhbHRoLCBHZW9yZ2lhIFN0YXRlIFVuaXZlcnNpdHksIEF0
bGFudGEsIEdBLCBVbml0ZWQgU3RhdGVzLiBFbGVjdHJvbmljIGFkZHJlc3M6IG1lcmlrc2VuQGdz
dS5lZHUuPC9hdXRoLWFkZHJlc3M+PHRpdGxlcz48dGl0bGU+TW90aXZlcyBhbmQgcGVyY2VwdGlv
bnMgcmVnYXJkaW5nIGVsZWN0cm9uaWMgbmljb3RpbmUgZGVsaXZlcnkgc3lzdGVtcyAoRU5EUykg
dXNlIGFtb25nIGFkdWx0cyB3aXRoIG1lbnRhbCBoZWFsdGggY29uZGl0aW9uczwvdGl0bGU+PHNl
Y29uZGFyeS10aXRsZT5BZGRpY3QgQmVoYXY8L3NlY29uZGFyeS10aXRsZT48YWx0LXRpdGxlPkFk
ZGljdGl2ZSBiZWhhdmlvcnM8L2FsdC10aXRsZT48L3RpdGxlcz48YWx0LXBlcmlvZGljYWw+PGZ1
bGwtdGl0bGU+QWRkaWN0aXZlIEJlaGF2aW9yczwvZnVsbC10aXRsZT48L2FsdC1wZXJpb2RpY2Fs
PjxwYWdlcz4xMDItMTA5PC9wYWdlcz48dm9sdW1lPjgwPC92b2x1bWU+PGVkaXRpb24+MjAxOC8w
Mi8wNzwvZWRpdGlvbj48a2V5d29yZHM+PGtleXdvcmQ+RS1jaWdhcmV0dGVzPC9rZXl3b3JkPjxr
ZXl3b3JkPkVsZWN0cm9uaWMgbmljb3RpbmUgZGVsaXZlcnkgZGV2aWNlczwva2V5d29yZD48a2V5
d29yZD5NZW50YWwgaGVhbHRoIGNvbmRpdGlvbnM8L2tleXdvcmQ+PGtleXdvcmQ+UmlzayBwZXJj
ZXB0aW9uczwva2V5d29yZD48L2tleXdvcmRzPjxkYXRlcz48eWVhcj4yMDE4PC95ZWFyPjxwdWIt
ZGF0ZXM+PGRhdGU+SmFuIDE2PC9kYXRlPjwvcHViLWRhdGVzPjwvZGF0ZXM+PGlzYm4+MDMwNi00
NjAzPC9pc2JuPjxhY2Nlc3Npb24tbnVtPjI5NDA3Njc5PC9hY2Nlc3Npb24tbnVtPjx1cmxzPjxy
ZWxhdGVkLXVybHM+PHVybD5odHRwczovL3d3dy5zY2llbmNlZGlyZWN0LmNvbS9zY2llbmNlL2Fy
dGljbGUvcGlpL1MwMzA2NDYwMzE4MzAwMTgyP3ZpYSUzRGlodWI8L3VybD48L3JlbGF0ZWQtdXJs
cz48L3VybHM+PGVsZWN0cm9uaWMtcmVzb3VyY2UtbnVtPjEwLjEwMTYvai5hZGRiZWguMjAxOC4w
MS4wMTQ8L2VsZWN0cm9uaWMtcmVzb3VyY2UtbnVtPjxyZW1vdGUtZGF0YWJhc2UtcHJvdmlkZXI+
TkxNPC9yZW1vdGUtZGF0YWJhc2UtcHJvdmlkZXI+PGxhbmd1YWdlPmVuZzwvbGFuZ3VhZ2U+PC9y
ZWNvcmQ+PC9DaXRlPjwvRW5kTm90ZT4A
</w:fldData>
        </w:fldChar>
      </w:r>
      <w:r>
        <w:instrText xml:space="preserve"> ADDIN EN.CITE.DATA </w:instrText>
      </w:r>
      <w:r>
        <w:fldChar w:fldCharType="end"/>
      </w:r>
      <w:r>
        <w:fldChar w:fldCharType="separate"/>
      </w:r>
      <w:r>
        <w:rPr>
          <w:noProof/>
        </w:rPr>
        <w:t>(Jones, Majeed et al. 2017, Spears, Jones et al. 2018)</w:t>
      </w:r>
      <w:r>
        <w:fldChar w:fldCharType="end"/>
      </w:r>
      <w:r>
        <w:t xml:space="preserve"> are also based on national data. Unfortunately both rely on research panel data which is likely to include a biased sample as these include participants who have chosen to be part of a research panel rather than people randomly contacted. Spears et al </w:t>
      </w:r>
      <w:r>
        <w:fldChar w:fldCharType="begin">
          <w:fldData xml:space="preserve">PEVuZE5vdGU+PENpdGU+PEF1dGhvcj5TcGVhcnM8L0F1dGhvcj48WWVhcj4yMDE3PC9ZZWFyPjxS
ZWNOdW0+NTQyMDwvUmVjTnVtPjxEaXNwbGF5VGV4dD4oU3BlYXJzLCBKb25lcyBldCBhbC4gMjAx
Nyk8L0Rpc3BsYXlUZXh0PjxyZWNvcmQ+PHJlYy1udW1iZXI+NTQyMDwvcmVjLW51bWJlcj48Zm9y
ZWlnbi1rZXlzPjxrZXkgYXBwPSJFTiIgZGItaWQ9ImZwdDlwdHRybTV6ZnNhZXNwOWZwc2RkdjA5
ZXdzdjV4ZXdmZCIgdGltZXN0YW1wPSIxNTI1MDQ2NjEzIj41NDIwPC9rZXk+PGtleSBhcHA9IkVO
V2ViIiBkYi1pZD0iIj4wPC9rZXk+PC9mb3JlaWduLWtleXM+PHJlZi10eXBlIG5hbWU9IkpvdXJu
YWwgQXJ0aWNsZSI+MTc8L3JlZi10eXBlPjxjb250cmlidXRvcnM+PGF1dGhvcnM+PGF1dGhvcj5T
cGVhcnMsIEMuIEEuPC9hdXRob3I+PGF1dGhvcj5Kb25lcywgRC4gTS48L2F1dGhvcj48YXV0aG9y
PldlYXZlciwgUy4gUi48L2F1dGhvcj48YXV0aG9yPlBlY2hhY2VrLCBULiBGLjwvYXV0aG9yPjxh
dXRob3I+RXJpa3NlbiwgTS4gUC48L2F1dGhvcj48L2F1dGhvcnM+PC9jb250cmlidXRvcnM+PHRp
dGxlcz48dGl0bGU+VXNlIG9mIGVsZWN0cm9uaWMgbmljb3RpbmUgZGVsaXZlcnkgc3lzdGVtcyBh
bW9uZyBhZHVsdHMgd2l0aCBtZW50YWwgaGVhbHRoIGNvbmRpdGlvbnMsIDIwMTU8L3RpdGxlPjxz
ZWNvbmRhcnktdGl0bGU+SW50ZXJuYXRpb25hbCBKb3VybmFsIG9mIEVudmlyb25tZW50YWwgUmVz
ZWFyY2ggYW5kIFB1YmxpYyBIZWFsdGg8L3NlY29uZGFyeS10aXRsZT48L3RpdGxlcz48cGVyaW9k
aWNhbD48ZnVsbC10aXRsZT5JbnRlcm5hdGlvbmFsIEpvdXJuYWwgb2YgRW52aXJvbm1lbnRhbCBS
ZXNlYXJjaCBhbmQgUHVibGljIEhlYWx0aDwvZnVsbC10aXRsZT48L3BlcmlvZGljYWw+PHZvbHVt
ZT4xNDwvdm9sdW1lPjxudW1iZXI+MTwvbnVtYmVyPjxrZXl3b3Jkcz48a2V5d29yZD5hZHVsdDwv
a2V5d29yZD48a2V5d29yZD5lbGVjdHJvbmljIGVxdWlwbWVudDwva2V5d29yZD48a2V5d29yZD5o
ZWFsdGggc3RhdHVzPC9rZXl3b3JkPjxrZXl3b3JkPm1lbnRhbCBoZWFsdGg8L2tleXdvcmQ+PGtl
eXdvcmQ+c21va2luZzwva2V5d29yZD48a2V5d29yZD5hZ2UgZGlzdHJpYnV0aW9uPC9rZXl3b3Jk
PjxrZXl3b3JkPkFydGljbGU8L2tleXdvcmQ+PGtleXdvcmQ+Ymlwb2xhciBkaXNvcmRlcjwva2V5
d29yZD48a2V5d29yZD5jb250cm9sbGVkIHN0dWR5PC9rZXl3b3JkPjxrZXl3b3JkPmRlbW9ncmFw
aHk8L2tleXdvcmQ+PGtleXdvcmQ+ZWR1Y2F0aW9uYWwgc3RhdHVzPC9rZXl3b3JkPjxrZXl3b3Jk
PmVsZWN0cm9uaWMgY2lnYXJldHRlPC9rZXl3b3JkPjxrZXl3b3JkPmVsZWN0cm9uaWMgZGV2aWNl
PC9rZXl3b3JkPjxrZXl3b3JkPmVsZWN0cm9uaWMgbmljb3RpbmUgZGVsaXZlcnkgc3lzdGVtPC9r
ZXl3b3JkPjxrZXl3b3JkPmV0aG5pYyBkaWZmZXJlbmNlPC9rZXl3b3JkPjxrZXl3b3JkPmZlbWFs
ZTwva2V5d29yZD48a2V5d29yZD5nZW9ncmFwaGljIGRpc3RyaWJ1dGlvbjwva2V5d29yZD48a2V5
d29yZD5ob3VzZWhvbGQgaW5jb21lPC9rZXl3b3JkPjxrZXl3b3JkPmh1bWFuPC9rZXl3b3JkPjxr
ZXl3b3JkPm1ham9yIGNsaW5pY2FsIHN0dWR5PC9rZXl3b3JkPjxrZXl3b3JkPm1hbGU8L2tleXdv
cmQ+PGtleXdvcmQ+bWVudGFsIGRpc2Vhc2U8L2tleXdvcmQ+PGtleXdvcmQ+bWVudGFsIHBhdGll
bnQ8L2tleXdvcmQ+PGtleXdvcmQ+cG9wdWxhdGlvbiByZXNlYXJjaDwva2V5d29yZD48a2V5d29y
ZD5yaXNrIGFzc2Vzc21lbnQ8L2tleXdvcmQ+PGtleXdvcmQ+cmlzayBmYWN0b3I8L2tleXdvcmQ+
PGtleXdvcmQ+c2NoaXpvcGhyZW5pYTwva2V5d29yZD48a2V5d29yZD5zZXggZGlmZmVyZW5jZTwv
a2V5d29yZD48a2V5d29yZD5zbW9raW5nIGNlc3NhdGlvbjwva2V5d29yZD48a2V5d29yZD5zbW9r
aW5nIGhhYml0PC9rZXl3b3JkPjxrZXl3b3JkPmFkb2xlc2NlbnQ8L2tleXdvcmQ+PGtleXdvcmQ+
TWVudGFsIERpc29yZGVyczwva2V5d29yZD48a2V5d29yZD5taWRkbGUgYWdlZDwva2V5d29yZD48
a2V5d29yZD5wcm9jZWR1cmVzPC9rZXl3b3JkPjxrZXl3b3JkPnNlbGYgcmVwb3J0PC9rZXl3b3Jk
PjxrZXl3b3JkPnV0aWxpemF0aW9uPC9rZXl3b3JkPjxrZXl3b3JkPnlvdW5nIGFkdWx0PC9rZXl3
b3JkPjxrZXl3b3JkPlVuaXRlZCBTdGF0ZXM8L2tleXdvcmQ+PGtleXdvcmQ+Tmljb3RpYW5hIHRh
YmFjdW08L2tleXdvcmQ+PGtleXdvcmQ+bmljb3RpbmU8L2tleXdvcmQ+PGtleXdvcmQ+RWxlY3Ry
b25pYyBDaWdhcmV0dGVzPC9rZXl3b3JkPjxrZXl3b3JkPkh1bWFuczwva2V5d29yZD48L2tleXdv
cmRzPjxkYXRlcz48eWVhcj4yMDE3PC95ZWFyPjwvZGF0ZXM+PHVybHM+PHJlbGF0ZWQtdXJscz48
dXJsPmh0dHBzOi8vd3d3LnNjb3B1cy5jb20vaW53YXJkL3JlY29yZC51cmk/ZWlkPTItczIuMC04
NTAwNzMwNjU4MCZhbXA7ZG9pPTEwLjMzOTAlMmZpamVycGgxNDAxMDAxMCZhbXA7cGFydG5lcklE
PTQwJmFtcDttZDU9YmZmM2NjNjg1OGY2ZDlkMWNiY2Y2NzljYzJjMGM1NGQ8L3VybD48dXJsPmh0
dHA6Ly93d3cubWRwaS5jb20vMTY2MC00NjAxLzE0LzEvMTAvcGRmPC91cmw+PC9yZWxhdGVkLXVy
bHM+PC91cmxzPjxlbGVjdHJvbmljLXJlc291cmNlLW51bT4xMC4zMzkwL2lqZXJwaDE0MDEwMDEw
PC9lbGVjdHJvbmljLXJlc291cmNlLW51bT48cmVtb3RlLWRhdGFiYXNlLW5hbWU+U2NvcHVzIEM3
IC0gMTAgQzIgLSAyODAyNTU2MDwvcmVtb3RlLWRhdGFiYXNlLW5hbWU+PC9yZWNvcmQ+PC9DaXRl
PjwvRW5kTm90ZT5=
</w:fldData>
        </w:fldChar>
      </w:r>
      <w:r>
        <w:instrText xml:space="preserve"> ADDIN EN.CITE </w:instrText>
      </w:r>
      <w:r>
        <w:fldChar w:fldCharType="begin">
          <w:fldData xml:space="preserve">PEVuZE5vdGU+PENpdGU+PEF1dGhvcj5TcGVhcnM8L0F1dGhvcj48WWVhcj4yMDE3PC9ZZWFyPjxS
ZWNOdW0+NTQyMDwvUmVjTnVtPjxEaXNwbGF5VGV4dD4oU3BlYXJzLCBKb25lcyBldCBhbC4gMjAx
Nyk8L0Rpc3BsYXlUZXh0PjxyZWNvcmQ+PHJlYy1udW1iZXI+NTQyMDwvcmVjLW51bWJlcj48Zm9y
ZWlnbi1rZXlzPjxrZXkgYXBwPSJFTiIgZGItaWQ9ImZwdDlwdHRybTV6ZnNhZXNwOWZwc2RkdjA5
ZXdzdjV4ZXdmZCIgdGltZXN0YW1wPSIxNTI1MDQ2NjEzIj41NDIwPC9rZXk+PGtleSBhcHA9IkVO
V2ViIiBkYi1pZD0iIj4wPC9rZXk+PC9mb3JlaWduLWtleXM+PHJlZi10eXBlIG5hbWU9IkpvdXJu
YWwgQXJ0aWNsZSI+MTc8L3JlZi10eXBlPjxjb250cmlidXRvcnM+PGF1dGhvcnM+PGF1dGhvcj5T
cGVhcnMsIEMuIEEuPC9hdXRob3I+PGF1dGhvcj5Kb25lcywgRC4gTS48L2F1dGhvcj48YXV0aG9y
PldlYXZlciwgUy4gUi48L2F1dGhvcj48YXV0aG9yPlBlY2hhY2VrLCBULiBGLjwvYXV0aG9yPjxh
dXRob3I+RXJpa3NlbiwgTS4gUC48L2F1dGhvcj48L2F1dGhvcnM+PC9jb250cmlidXRvcnM+PHRp
dGxlcz48dGl0bGU+VXNlIG9mIGVsZWN0cm9uaWMgbmljb3RpbmUgZGVsaXZlcnkgc3lzdGVtcyBh
bW9uZyBhZHVsdHMgd2l0aCBtZW50YWwgaGVhbHRoIGNvbmRpdGlvbnMsIDIwMTU8L3RpdGxlPjxz
ZWNvbmRhcnktdGl0bGU+SW50ZXJuYXRpb25hbCBKb3VybmFsIG9mIEVudmlyb25tZW50YWwgUmVz
ZWFyY2ggYW5kIFB1YmxpYyBIZWFsdGg8L3NlY29uZGFyeS10aXRsZT48L3RpdGxlcz48cGVyaW9k
aWNhbD48ZnVsbC10aXRsZT5JbnRlcm5hdGlvbmFsIEpvdXJuYWwgb2YgRW52aXJvbm1lbnRhbCBS
ZXNlYXJjaCBhbmQgUHVibGljIEhlYWx0aDwvZnVsbC10aXRsZT48L3BlcmlvZGljYWw+PHZvbHVt
ZT4xNDwvdm9sdW1lPjxudW1iZXI+MTwvbnVtYmVyPjxrZXl3b3Jkcz48a2V5d29yZD5hZHVsdDwv
a2V5d29yZD48a2V5d29yZD5lbGVjdHJvbmljIGVxdWlwbWVudDwva2V5d29yZD48a2V5d29yZD5o
ZWFsdGggc3RhdHVzPC9rZXl3b3JkPjxrZXl3b3JkPm1lbnRhbCBoZWFsdGg8L2tleXdvcmQ+PGtl
eXdvcmQ+c21va2luZzwva2V5d29yZD48a2V5d29yZD5hZ2UgZGlzdHJpYnV0aW9uPC9rZXl3b3Jk
PjxrZXl3b3JkPkFydGljbGU8L2tleXdvcmQ+PGtleXdvcmQ+Ymlwb2xhciBkaXNvcmRlcjwva2V5
d29yZD48a2V5d29yZD5jb250cm9sbGVkIHN0dWR5PC9rZXl3b3JkPjxrZXl3b3JkPmRlbW9ncmFw
aHk8L2tleXdvcmQ+PGtleXdvcmQ+ZWR1Y2F0aW9uYWwgc3RhdHVzPC9rZXl3b3JkPjxrZXl3b3Jk
PmVsZWN0cm9uaWMgY2lnYXJldHRlPC9rZXl3b3JkPjxrZXl3b3JkPmVsZWN0cm9uaWMgZGV2aWNl
PC9rZXl3b3JkPjxrZXl3b3JkPmVsZWN0cm9uaWMgbmljb3RpbmUgZGVsaXZlcnkgc3lzdGVtPC9r
ZXl3b3JkPjxrZXl3b3JkPmV0aG5pYyBkaWZmZXJlbmNlPC9rZXl3b3JkPjxrZXl3b3JkPmZlbWFs
ZTwva2V5d29yZD48a2V5d29yZD5nZW9ncmFwaGljIGRpc3RyaWJ1dGlvbjwva2V5d29yZD48a2V5
d29yZD5ob3VzZWhvbGQgaW5jb21lPC9rZXl3b3JkPjxrZXl3b3JkPmh1bWFuPC9rZXl3b3JkPjxr
ZXl3b3JkPm1ham9yIGNsaW5pY2FsIHN0dWR5PC9rZXl3b3JkPjxrZXl3b3JkPm1hbGU8L2tleXdv
cmQ+PGtleXdvcmQ+bWVudGFsIGRpc2Vhc2U8L2tleXdvcmQ+PGtleXdvcmQ+bWVudGFsIHBhdGll
bnQ8L2tleXdvcmQ+PGtleXdvcmQ+cG9wdWxhdGlvbiByZXNlYXJjaDwva2V5d29yZD48a2V5d29y
ZD5yaXNrIGFzc2Vzc21lbnQ8L2tleXdvcmQ+PGtleXdvcmQ+cmlzayBmYWN0b3I8L2tleXdvcmQ+
PGtleXdvcmQ+c2NoaXpvcGhyZW5pYTwva2V5d29yZD48a2V5d29yZD5zZXggZGlmZmVyZW5jZTwv
a2V5d29yZD48a2V5d29yZD5zbW9raW5nIGNlc3NhdGlvbjwva2V5d29yZD48a2V5d29yZD5zbW9r
aW5nIGhhYml0PC9rZXl3b3JkPjxrZXl3b3JkPmFkb2xlc2NlbnQ8L2tleXdvcmQ+PGtleXdvcmQ+
TWVudGFsIERpc29yZGVyczwva2V5d29yZD48a2V5d29yZD5taWRkbGUgYWdlZDwva2V5d29yZD48
a2V5d29yZD5wcm9jZWR1cmVzPC9rZXl3b3JkPjxrZXl3b3JkPnNlbGYgcmVwb3J0PC9rZXl3b3Jk
PjxrZXl3b3JkPnV0aWxpemF0aW9uPC9rZXl3b3JkPjxrZXl3b3JkPnlvdW5nIGFkdWx0PC9rZXl3
b3JkPjxrZXl3b3JkPlVuaXRlZCBTdGF0ZXM8L2tleXdvcmQ+PGtleXdvcmQ+Tmljb3RpYW5hIHRh
YmFjdW08L2tleXdvcmQ+PGtleXdvcmQ+bmljb3RpbmU8L2tleXdvcmQ+PGtleXdvcmQ+RWxlY3Ry
b25pYyBDaWdhcmV0dGVzPC9rZXl3b3JkPjxrZXl3b3JkPkh1bWFuczwva2V5d29yZD48L2tleXdv
cmRzPjxkYXRlcz48eWVhcj4yMDE3PC95ZWFyPjwvZGF0ZXM+PHVybHM+PHJlbGF0ZWQtdXJscz48
dXJsPmh0dHBzOi8vd3d3LnNjb3B1cy5jb20vaW53YXJkL3JlY29yZC51cmk/ZWlkPTItczIuMC04
NTAwNzMwNjU4MCZhbXA7ZG9pPTEwLjMzOTAlMmZpamVycGgxNDAxMDAxMCZhbXA7cGFydG5lcklE
PTQwJmFtcDttZDU9YmZmM2NjNjg1OGY2ZDlkMWNiY2Y2NzljYzJjMGM1NGQ8L3VybD48dXJsPmh0
dHA6Ly93d3cubWRwaS5jb20vMTY2MC00NjAxLzE0LzEvMTAvcGRmPC91cmw+PC9yZWxhdGVkLXVy
bHM+PC91cmxzPjxlbGVjdHJvbmljLXJlc291cmNlLW51bT4xMC4zMzkwL2lqZXJwaDE0MDEwMDEw
PC9lbGVjdHJvbmljLXJlc291cmNlLW51bT48cmVtb3RlLWRhdGFiYXNlLW5hbWU+U2NvcHVzIEM3
IC0gMTAgQzIgLSAyODAyNTU2MDwvcmVtb3RlLWRhdGFiYXNlLW5hbWU+PC9yZWNvcmQ+PC9DaXRl
PjwvRW5kTm90ZT5=
</w:fldData>
        </w:fldChar>
      </w:r>
      <w:r>
        <w:instrText xml:space="preserve"> ADDIN EN.CITE.DATA </w:instrText>
      </w:r>
      <w:r>
        <w:fldChar w:fldCharType="end"/>
      </w:r>
      <w:r>
        <w:fldChar w:fldCharType="separate"/>
      </w:r>
      <w:r>
        <w:rPr>
          <w:noProof/>
        </w:rPr>
        <w:t>(Spears, Jones et al. 2017)</w:t>
      </w:r>
      <w:r>
        <w:fldChar w:fldCharType="end"/>
      </w:r>
      <w:r>
        <w:t xml:space="preserve"> extend findings on psychological distress by Park et al </w:t>
      </w:r>
      <w:r>
        <w:fldChar w:fldCharType="begin">
          <w:fldData xml:space="preserve">PEVuZE5vdGU+PENpdGU+PEF1dGhvcj5QYXJrPC9BdXRob3I+PFllYXI+MjAxNzwvWWVhcj48UmVj
TnVtPjUxNzY8L1JlY051bT48RGlzcGxheVRleHQ+KFBhcmssIExlZSBldCBhbC4gMjAxNyk8L0Rp
c3BsYXlUZXh0PjxyZWNvcmQ+PHJlYy1udW1iZXI+NTE3NjwvcmVjLW51bWJlcj48Zm9yZWlnbi1r
ZXlzPjxrZXkgYXBwPSJFTiIgZGItaWQ9ImZwdDlwdHRybTV6ZnNhZXNwOWZwc2RkdjA5ZXdzdjV4
ZXdmZCIgdGltZXN0YW1wPSIxNTI1MDQ2MTg0Ij41MTc2PC9rZXk+PGtleSBhcHA9IkVOV2ViIiBk
Yi1pZD0iIj4wPC9rZXk+PC9mb3JlaWduLWtleXM+PHJlZi10eXBlIG5hbWU9IkpvdXJuYWwgQXJ0
aWNsZSI+MTc8L3JlZi10eXBlPjxjb250cmlidXRvcnM+PGF1dGhvcnM+PGF1dGhvcj5QYXJrLCBT
LiBILjwvYXV0aG9yPjxhdXRob3I+TGVlLCBMLjwvYXV0aG9yPjxhdXRob3I+U2hlYXJzdG9uLCBK
LiBBLjwvYXV0aG9yPjxhdXRob3I+V2VpdHptYW4sIE0uPC9hdXRob3I+PC9hdXRob3JzPjwvY29u
dHJpYnV0b3JzPjxhdXRoLWFkZHJlc3M+RGVwYXJ0bWVudCBvZiBQZWRpYXRyaWNzLCBOZXcgWW9y
ayBVbml2ZXJzaXR5IFNjaG9vbCBvZiBNZWRpY2luZSwgTmV3IFlvcmssIE5ldyBZb3JrLCBVbml0
ZWQgU3RhdGVzIG9mIEFtZXJpY2EuJiN4RDtEZXBhcnRtZW50IG9mIFBvcHVsYXRpb24gSGVhbHRo
LCBOZXcgWW9yayBVbml2ZXJzaXR5IFNjaG9vbCBvZiBNZWRpY2luZSwgTmV3IFlvcmssIE5ldyBZ
b3JrLCBVbml0ZWQgU3RhdGVzIG9mIEFtZXJpY2EuJiN4RDtCcm9va2x5biBDb2xsZWdlLCBOZXcg
WW9yaywgTmV3IFlvcmssIFVuaXRlZCBTdGF0ZXMgb2YgQW1lcmljYS4mI3hEO0NvbGxlZ2Ugb2Yg
R2xvYmFsIFB1YmxpYyBIZWFsdGgsIE5ldyBZb3JrIFVuaXZlcnNpdHksIE5ldyBZb3JrLCBOZXcg
WW9yaywgVW5pdGVkIFN0YXRlcyBvZiBBbWVyaWNhLiYjeEQ7TmV3IFlvcmsgVW5pdmVyc2l0eS8g
QWJ1IERoYWJpIFB1YmxpYyBIZWFsdGggUmVzZWFyY2ggQ2VudGVyLCBBYnUgRGhhYmksIFVuaXRl
ZCBBcmFiIEVtaXJhdGVzLiYjeEQ7RGVwYXJ0bWVudCBvZiBFbnZpcm9ubWVudGFsIE1lZGljaW5l
LCBOZXcgWW9yayBVbml2ZXJzaXR5LCBOZXcgWW9yaywgTmV3IFlvcmssIFVuaXRlZCBTdGF0ZXMg
b2YgQW1lcmljYS48L2F1dGgtYWRkcmVzcz48dGl0bGVzPjx0aXRsZT5QYXR0ZXJucyBvZiBlbGVj
dHJvbmljIGNpZ2FyZXR0ZSB1c2UgYW5kIGxldmVsIG9mIHBzeWNob2xvZ2ljYWwgZGlzdHJlc3M8
L3RpdGxlPjxzZWNvbmRhcnktdGl0bGU+UExvUyBPbmU8L3NlY29uZGFyeS10aXRsZT48YWx0LXRp
dGxlPlBsb1Mgb25lPC9hbHQtdGl0bGU+PC90aXRsZXM+PHBlcmlvZGljYWw+PGZ1bGwtdGl0bGU+
UGxvcyBPbmU8L2Z1bGwtdGl0bGU+PC9wZXJpb2RpY2FsPjxhbHQtcGVyaW9kaWNhbD48ZnVsbC10
aXRsZT5QbG9zIE9uZTwvZnVsbC10aXRsZT48L2FsdC1wZXJpb2RpY2FsPjxwYWdlcz5lMDE3MzYy
NTwvcGFnZXM+PHZvbHVtZT4xMjwvdm9sdW1lPjxudW1iZXI+MzwvbnVtYmVyPjxlZGl0aW9uPjIw
MTcvMDMvMTA8L2VkaXRpb24+PGtleXdvcmRzPjxrZXl3b3JkPkFkb2xlc2NlbnQ8L2tleXdvcmQ+
PGtleXdvcmQ+QWR1bHQ8L2tleXdvcmQ+PGtleXdvcmQ+QWdlZDwva2V5d29yZD48a2V5d29yZD5D
cm9zcy1TZWN0aW9uYWwgU3R1ZGllczwva2V5d29yZD48a2V5d29yZD5FbGVjdHJvbmljIE5pY290
aW5lIERlbGl2ZXJ5IFN5c3RlbXMvcHN5Y2hvbG9neS8qdXRpbGl6YXRpb248L2tleXdvcmQ+PGtl
eXdvcmQ+RmVtYWxlPC9rZXl3b3JkPjxrZXl3b3JkPkh1bWFuczwva2V5d29yZD48a2V5d29yZD5N
YWxlPC9rZXl3b3JkPjxrZXl3b3JkPk1pZGRsZSBBZ2VkPC9rZXl3b3JkPjxrZXl3b3JkPlByZXZh
bGVuY2U8L2tleXdvcmQ+PGtleXdvcmQ+U3RyZXNzLCBQc3ljaG9sb2dpY2FsLyplcGlkZW1pb2xv
Z3k8L2tleXdvcmQ+PGtleXdvcmQ+VW5pdGVkIFN0YXRlcy9lcGlkZW1pb2xvZ3k8L2tleXdvcmQ+
PGtleXdvcmQ+WW91bmcgQWR1bHQ8L2tleXdvcmQ+PC9rZXl3b3Jkcz48ZGF0ZXM+PHllYXI+MjAx
NzwveWVhcj48L2RhdGVzPjxpc2JuPjE5MzItNjIwMzwvaXNibj48YWNjZXNzaW9uLW51bT4yODI3
ODIzOTwvYWNjZXNzaW9uLW51bT48dXJscz48cmVsYXRlZC11cmxzPjx1cmw+aHR0cHM6Ly93d3cu
bmNiaS5ubG0ubmloLmdvdi9wbWMvYXJ0aWNsZXMvUE1DNTM0NDQ1OS9wZGYvcG9uZS4wMTczNjI1
LnBkZjwvdXJsPjwvcmVsYXRlZC11cmxzPjwvdXJscz48Y3VzdG9tMj5QTUM1MzQ0NDU5PC9jdXN0
b20yPjxlbGVjdHJvbmljLXJlc291cmNlLW51bT4xMC4xMzcxL2pvdXJuYWwucG9uZS4wMTczNjI1
PC9lbGVjdHJvbmljLXJlc291cmNlLW51bT48cmVtb3RlLWRhdGFiYXNlLXByb3ZpZGVyPk5MTTwv
cmVtb3RlLWRhdGFiYXNlLXByb3ZpZGVyPjxsYW5ndWFnZT5lbmc8L2xhbmd1YWdlPjwvcmVjb3Jk
PjwvQ2l0ZT48L0VuZE5vdGU+AG==
</w:fldData>
        </w:fldChar>
      </w:r>
      <w:r>
        <w:instrText xml:space="preserve"> ADDIN EN.CITE </w:instrText>
      </w:r>
      <w:r>
        <w:fldChar w:fldCharType="begin">
          <w:fldData xml:space="preserve">PEVuZE5vdGU+PENpdGU+PEF1dGhvcj5QYXJrPC9BdXRob3I+PFllYXI+MjAxNzwvWWVhcj48UmVj
TnVtPjUxNzY8L1JlY051bT48RGlzcGxheVRleHQ+KFBhcmssIExlZSBldCBhbC4gMjAxNyk8L0Rp
c3BsYXlUZXh0PjxyZWNvcmQ+PHJlYy1udW1iZXI+NTE3NjwvcmVjLW51bWJlcj48Zm9yZWlnbi1r
ZXlzPjxrZXkgYXBwPSJFTiIgZGItaWQ9ImZwdDlwdHRybTV6ZnNhZXNwOWZwc2RkdjA5ZXdzdjV4
ZXdmZCIgdGltZXN0YW1wPSIxNTI1MDQ2MTg0Ij41MTc2PC9rZXk+PGtleSBhcHA9IkVOV2ViIiBk
Yi1pZD0iIj4wPC9rZXk+PC9mb3JlaWduLWtleXM+PHJlZi10eXBlIG5hbWU9IkpvdXJuYWwgQXJ0
aWNsZSI+MTc8L3JlZi10eXBlPjxjb250cmlidXRvcnM+PGF1dGhvcnM+PGF1dGhvcj5QYXJrLCBT
LiBILjwvYXV0aG9yPjxhdXRob3I+TGVlLCBMLjwvYXV0aG9yPjxhdXRob3I+U2hlYXJzdG9uLCBK
LiBBLjwvYXV0aG9yPjxhdXRob3I+V2VpdHptYW4sIE0uPC9hdXRob3I+PC9hdXRob3JzPjwvY29u
dHJpYnV0b3JzPjxhdXRoLWFkZHJlc3M+RGVwYXJ0bWVudCBvZiBQZWRpYXRyaWNzLCBOZXcgWW9y
ayBVbml2ZXJzaXR5IFNjaG9vbCBvZiBNZWRpY2luZSwgTmV3IFlvcmssIE5ldyBZb3JrLCBVbml0
ZWQgU3RhdGVzIG9mIEFtZXJpY2EuJiN4RDtEZXBhcnRtZW50IG9mIFBvcHVsYXRpb24gSGVhbHRo
LCBOZXcgWW9yayBVbml2ZXJzaXR5IFNjaG9vbCBvZiBNZWRpY2luZSwgTmV3IFlvcmssIE5ldyBZ
b3JrLCBVbml0ZWQgU3RhdGVzIG9mIEFtZXJpY2EuJiN4RDtCcm9va2x5biBDb2xsZWdlLCBOZXcg
WW9yaywgTmV3IFlvcmssIFVuaXRlZCBTdGF0ZXMgb2YgQW1lcmljYS4mI3hEO0NvbGxlZ2Ugb2Yg
R2xvYmFsIFB1YmxpYyBIZWFsdGgsIE5ldyBZb3JrIFVuaXZlcnNpdHksIE5ldyBZb3JrLCBOZXcg
WW9yaywgVW5pdGVkIFN0YXRlcyBvZiBBbWVyaWNhLiYjeEQ7TmV3IFlvcmsgVW5pdmVyc2l0eS8g
QWJ1IERoYWJpIFB1YmxpYyBIZWFsdGggUmVzZWFyY2ggQ2VudGVyLCBBYnUgRGhhYmksIFVuaXRl
ZCBBcmFiIEVtaXJhdGVzLiYjeEQ7RGVwYXJ0bWVudCBvZiBFbnZpcm9ubWVudGFsIE1lZGljaW5l
LCBOZXcgWW9yayBVbml2ZXJzaXR5LCBOZXcgWW9yaywgTmV3IFlvcmssIFVuaXRlZCBTdGF0ZXMg
b2YgQW1lcmljYS48L2F1dGgtYWRkcmVzcz48dGl0bGVzPjx0aXRsZT5QYXR0ZXJucyBvZiBlbGVj
dHJvbmljIGNpZ2FyZXR0ZSB1c2UgYW5kIGxldmVsIG9mIHBzeWNob2xvZ2ljYWwgZGlzdHJlc3M8
L3RpdGxlPjxzZWNvbmRhcnktdGl0bGU+UExvUyBPbmU8L3NlY29uZGFyeS10aXRsZT48YWx0LXRp
dGxlPlBsb1Mgb25lPC9hbHQtdGl0bGU+PC90aXRsZXM+PHBlcmlvZGljYWw+PGZ1bGwtdGl0bGU+
UGxvcyBPbmU8L2Z1bGwtdGl0bGU+PC9wZXJpb2RpY2FsPjxhbHQtcGVyaW9kaWNhbD48ZnVsbC10
aXRsZT5QbG9zIE9uZTwvZnVsbC10aXRsZT48L2FsdC1wZXJpb2RpY2FsPjxwYWdlcz5lMDE3MzYy
NTwvcGFnZXM+PHZvbHVtZT4xMjwvdm9sdW1lPjxudW1iZXI+MzwvbnVtYmVyPjxlZGl0aW9uPjIw
MTcvMDMvMTA8L2VkaXRpb24+PGtleXdvcmRzPjxrZXl3b3JkPkFkb2xlc2NlbnQ8L2tleXdvcmQ+
PGtleXdvcmQ+QWR1bHQ8L2tleXdvcmQ+PGtleXdvcmQ+QWdlZDwva2V5d29yZD48a2V5d29yZD5D
cm9zcy1TZWN0aW9uYWwgU3R1ZGllczwva2V5d29yZD48a2V5d29yZD5FbGVjdHJvbmljIE5pY290
aW5lIERlbGl2ZXJ5IFN5c3RlbXMvcHN5Y2hvbG9neS8qdXRpbGl6YXRpb248L2tleXdvcmQ+PGtl
eXdvcmQ+RmVtYWxlPC9rZXl3b3JkPjxrZXl3b3JkPkh1bWFuczwva2V5d29yZD48a2V5d29yZD5N
YWxlPC9rZXl3b3JkPjxrZXl3b3JkPk1pZGRsZSBBZ2VkPC9rZXl3b3JkPjxrZXl3b3JkPlByZXZh
bGVuY2U8L2tleXdvcmQ+PGtleXdvcmQ+U3RyZXNzLCBQc3ljaG9sb2dpY2FsLyplcGlkZW1pb2xv
Z3k8L2tleXdvcmQ+PGtleXdvcmQ+VW5pdGVkIFN0YXRlcy9lcGlkZW1pb2xvZ3k8L2tleXdvcmQ+
PGtleXdvcmQ+WW91bmcgQWR1bHQ8L2tleXdvcmQ+PC9rZXl3b3Jkcz48ZGF0ZXM+PHllYXI+MjAx
NzwveWVhcj48L2RhdGVzPjxpc2JuPjE5MzItNjIwMzwvaXNibj48YWNjZXNzaW9uLW51bT4yODI3
ODIzOTwvYWNjZXNzaW9uLW51bT48dXJscz48cmVsYXRlZC11cmxzPjx1cmw+aHR0cHM6Ly93d3cu
bmNiaS5ubG0ubmloLmdvdi9wbWMvYXJ0aWNsZXMvUE1DNTM0NDQ1OS9wZGYvcG9uZS4wMTczNjI1
LnBkZjwvdXJsPjwvcmVsYXRlZC11cmxzPjwvdXJscz48Y3VzdG9tMj5QTUM1MzQ0NDU5PC9jdXN0
b20yPjxlbGVjdHJvbmljLXJlc291cmNlLW51bT4xMC4xMzcxL2pvdXJuYWwucG9uZS4wMTczNjI1
PC9lbGVjdHJvbmljLXJlc291cmNlLW51bT48cmVtb3RlLWRhdGFiYXNlLXByb3ZpZGVyPk5MTTwv
cmVtb3RlLWRhdGFiYXNlLXByb3ZpZGVyPjxsYW5ndWFnZT5lbmc8L2xhbmd1YWdlPjwvcmVjb3Jk
PjwvQ2l0ZT48L0VuZE5vdGU+AG==
</w:fldData>
        </w:fldChar>
      </w:r>
      <w:r>
        <w:instrText xml:space="preserve"> ADDIN EN.CITE.DATA </w:instrText>
      </w:r>
      <w:r>
        <w:fldChar w:fldCharType="end"/>
      </w:r>
      <w:r>
        <w:fldChar w:fldCharType="separate"/>
      </w:r>
      <w:r>
        <w:rPr>
          <w:noProof/>
        </w:rPr>
        <w:t>(Park, Lee et al. 2017)</w:t>
      </w:r>
      <w:r>
        <w:fldChar w:fldCharType="end"/>
      </w:r>
      <w:r>
        <w:t xml:space="preserve"> by examining e</w:t>
      </w:r>
      <w:r>
        <w:noBreakHyphen/>
        <w:t>cigarette use amongst people with mental health conditions. They found that p</w:t>
      </w:r>
      <w:r w:rsidRPr="00BC1B1E">
        <w:t xml:space="preserve">articipants </w:t>
      </w:r>
      <w:r>
        <w:t>reporting</w:t>
      </w:r>
      <w:r w:rsidRPr="00BC1B1E">
        <w:t xml:space="preserve"> </w:t>
      </w:r>
      <w:r>
        <w:t xml:space="preserve">mental health conditions </w:t>
      </w:r>
      <w:r w:rsidRPr="00BC1B1E">
        <w:t xml:space="preserve">were approximately 1.5 times more likely to have used </w:t>
      </w:r>
      <w:r>
        <w:t>e</w:t>
      </w:r>
      <w:r>
        <w:noBreakHyphen/>
        <w:t>cigarettes</w:t>
      </w:r>
      <w:r w:rsidRPr="00BC1B1E">
        <w:t xml:space="preserve"> in their lifetime and almost twice as likely to currently use </w:t>
      </w:r>
      <w:r>
        <w:t>e</w:t>
      </w:r>
      <w:r>
        <w:noBreakHyphen/>
        <w:t>cigarettes</w:t>
      </w:r>
      <w:r w:rsidRPr="00BC1B1E">
        <w:t xml:space="preserve"> as those without </w:t>
      </w:r>
      <w:r>
        <w:t>one.</w:t>
      </w:r>
    </w:p>
    <w:p w14:paraId="06F161B2" w14:textId="77777777" w:rsidR="002E3AED" w:rsidRDefault="002E3AED" w:rsidP="002E3AED">
      <w:pPr>
        <w:pStyle w:val="BodyText"/>
      </w:pPr>
    </w:p>
    <w:p w14:paraId="753D9771" w14:textId="77777777" w:rsidR="002E3AED" w:rsidRDefault="002E3AED" w:rsidP="002E3AED">
      <w:pPr>
        <w:pStyle w:val="BodyText"/>
      </w:pPr>
      <w:r>
        <w:t xml:space="preserve">Other papers based on national datasets explored smoking cessation in one region </w:t>
      </w:r>
      <w:r>
        <w:fldChar w:fldCharType="begin">
          <w:fldData xml:space="preserve">PEVuZE5vdGU+PENpdGU+PEF1dGhvcj5IZW5yeTwvQXV0aG9yPjxZZWFyPjIwMTc8L1llYXI+PFJl
Y051bT40ODQ1PC9SZWNOdW0+PERpc3BsYXlUZXh0PihIZW5yeSwgR2V0dGVucyBldCBhbC4gMjAx
Nyk8L0Rpc3BsYXlUZXh0PjxyZWNvcmQ+PHJlYy1udW1iZXI+NDg0NTwvcmVjLW51bWJlcj48Zm9y
ZWlnbi1rZXlzPjxrZXkgYXBwPSJFTiIgZGItaWQ9ImZwdDlwdHRybTV6ZnNhZXNwOWZwc2RkdjA5
ZXdzdjV4ZXdmZCIgdGltZXN0YW1wPSIxNTI1MDQ1NTk3Ij40ODQ1PC9rZXk+PGtleSBhcHA9IkVO
V2ViIiBkYi1pZD0iIj4wPC9rZXk+PC9mb3JlaWduLWtleXM+PHJlZi10eXBlIG5hbWU9IkpvdXJu
YWwgQXJ0aWNsZSI+MTc8L3JlZi10eXBlPjxjb250cmlidXRvcnM+PGF1dGhvcnM+PGF1dGhvcj5I
ZW5yeSwgQS4gRC48L2F1dGhvcj48YXV0aG9yPkdldHRlbnMsIEouPC9hdXRob3I+PGF1dGhvcj5T
YXZhZ2VhdSwgSi4gQS48L2F1dGhvcj48YXV0aG9yPkN1bGxlbiwgRC48L2F1dGhvcj48YXV0aG9y
PkxhbmRhdSwgQS48L2F1dGhvcj48L2F1dGhvcnM+PC9jb250cmlidXRvcnM+PGF1dGgtYWRkcmVz
cz5DZW50ZXIgZm9yIEhlYWx0aCBQb2xpY3kgYW5kIFJlc2VhcmNoLCBVbml2ZXJzaXR5IG9mIE1h
c3NhY2h1c2V0dHMgTWVkaWNhbCBTY2hvb2wsIFNocmV3c2J1cnksIE1BLCBVbml0ZWQgU3RhdGVz
IG9mIEFtZXJpY2EuJiN4RDtUb2JhY2NvIENlc3NhdGlvbiBhbmQgUHJldmVudGlvbiBQcm9ncmFt
LCBNYXNzYWNodXNldHRzIERlcGFydG1lbnQgb2YgUHVibGljIEhlYWx0aCwgQm9zdG9uLCBNQSwg
VW5pdGVkIFN0YXRlcyBvZiBBbWVyaWNhLjwvYXV0aC1hZGRyZXNzPjx0aXRsZXM+PHRpdGxlPk1h
c3NhY2h1c2V0dHMgTWVkaWNhaWQgbWVtYmVycyB0aGF0IHNtb2tlZCBpbiAyMDA4OiBDaGFyYWN0
ZXJpc3RpY3MgYXNzb2NpYXRlZCB3aXRoIHNtb2tpbmcgc3RhdHVzIGluIDIwMTQ8L3RpdGxlPjxz
ZWNvbmRhcnktdGl0bGU+UExvUyBPbmU8L3NlY29uZGFyeS10aXRsZT48YWx0LXRpdGxlPlBsb1Mg
b25lPC9hbHQtdGl0bGU+PC90aXRsZXM+PHBlcmlvZGljYWw+PGZ1bGwtdGl0bGU+UGxvcyBPbmU8
L2Z1bGwtdGl0bGU+PC9wZXJpb2RpY2FsPjxhbHQtcGVyaW9kaWNhbD48ZnVsbC10aXRsZT5QbG9z
IE9uZTwvZnVsbC10aXRsZT48L2FsdC1wZXJpb2RpY2FsPjxwYWdlcz5lMDE4NjE0NDwvcGFnZXM+
PHZvbHVtZT4xMjwvdm9sdW1lPjxudW1iZXI+MTA8L251bWJlcj48ZWRpdGlvbj4yMDE3LzEwLzEz
PC9lZGl0aW9uPjxrZXl3b3Jkcz48a2V5d29yZD5BZHVsdDwva2V5d29yZD48a2V5d29yZD5BZ2Vk
PC9rZXl3b3JkPjxrZXl3b3JkPkZlbWFsZTwva2V5d29yZD48a2V5d29yZD5IZWFsdGggQ2FyZSBS
ZWZvcm08L2tleXdvcmQ+PGtleXdvcmQ+SHVtYW5zPC9rZXl3b3JkPjxrZXl3b3JkPk1hbGU8L2tl
eXdvcmQ+PGtleXdvcmQ+TWFzc2FjaHVzZXR0cy9lcGlkZW1pb2xvZ3k8L2tleXdvcmQ+PGtleXdv
cmQ+TWVkaWNhaWQvZWNvbm9taWNzLypvcmdhbml6YXRpb24gJmFtcDsgYWRtaW5pc3RyYXRpb248
L2tleXdvcmQ+PGtleXdvcmQ+TWlkZGxlIEFnZWQ8L2tleXdvcmQ+PGtleXdvcmQ+UGF0aWVudCBQ
cm90ZWN0aW9uIGFuZCBBZmZvcmRhYmxlIENhcmUgQWN0PC9rZXl3b3JkPjxrZXl3b3JkPlNtb2tp
bmcvZWNvbm9taWNzLyplcGlkZW1pb2xvZ3k8L2tleXdvcmQ+PGtleXdvcmQ+U21va2luZyBQcmV2
ZW50aW9uPC9rZXl3b3JkPjxrZXl3b3JkPlN1cnZleXMgYW5kIFF1ZXN0aW9ubmFpcmVzPC9rZXl3
b3JkPjxrZXl3b3JkPlRvYmFjY28gVXNlIENlc3NhdGlvbi8qbWV0aG9kczwva2V5d29yZD48a2V5
d29yZD5Vbml0ZWQgU3RhdGVzL2VwaWRlbWlvbG9neTwva2V5d29yZD48a2V5d29yZD5Zb3VuZyBB
ZHVsdDwva2V5d29yZD48L2tleXdvcmRzPjxkYXRlcz48eWVhcj4yMDE3PC95ZWFyPjwvZGF0ZXM+
PGlzYm4+MTkzMi02MjAzPC9pc2JuPjxhY2Nlc3Npb24tbnVtPjI5MDIzNTQyPC9hY2Nlc3Npb24t
bnVtPjx1cmxzPjxyZWxhdGVkLXVybHM+PHVybD5odHRwczovL3d3dy5uY2JpLm5sbS5uaWguZ292
L3BtYy9hcnRpY2xlcy9QTUM1NjM4NDQyL3BkZi9wb25lLjAxODYxNDQucGRmPC91cmw+PC9yZWxh
dGVkLXVybHM+PC91cmxzPjxjdXN0b20yPlBNQzU2Mzg0NDI8L2N1c3RvbTI+PGVsZWN0cm9uaWMt
cmVzb3VyY2UtbnVtPjEwLjEzNzEvam91cm5hbC5wb25lLjAxODYxNDQ8L2VsZWN0cm9uaWMtcmVz
b3VyY2UtbnVtPjxyZW1vdGUtZGF0YWJhc2UtcHJvdmlkZXI+TkxNPC9yZW1vdGUtZGF0YWJhc2Ut
cHJvdmlkZXI+PGxhbmd1YWdlPmVuZzwvbGFuZ3VhZ2U+PC9yZWNvcmQ+PC9DaXRlPjwvRW5kTm90
ZT4A
</w:fldData>
        </w:fldChar>
      </w:r>
      <w:r>
        <w:instrText xml:space="preserve"> ADDIN EN.CITE </w:instrText>
      </w:r>
      <w:r>
        <w:fldChar w:fldCharType="begin">
          <w:fldData xml:space="preserve">PEVuZE5vdGU+PENpdGU+PEF1dGhvcj5IZW5yeTwvQXV0aG9yPjxZZWFyPjIwMTc8L1llYXI+PFJl
Y051bT40ODQ1PC9SZWNOdW0+PERpc3BsYXlUZXh0PihIZW5yeSwgR2V0dGVucyBldCBhbC4gMjAx
Nyk8L0Rpc3BsYXlUZXh0PjxyZWNvcmQ+PHJlYy1udW1iZXI+NDg0NTwvcmVjLW51bWJlcj48Zm9y
ZWlnbi1rZXlzPjxrZXkgYXBwPSJFTiIgZGItaWQ9ImZwdDlwdHRybTV6ZnNhZXNwOWZwc2RkdjA5
ZXdzdjV4ZXdmZCIgdGltZXN0YW1wPSIxNTI1MDQ1NTk3Ij40ODQ1PC9rZXk+PGtleSBhcHA9IkVO
V2ViIiBkYi1pZD0iIj4wPC9rZXk+PC9mb3JlaWduLWtleXM+PHJlZi10eXBlIG5hbWU9IkpvdXJu
YWwgQXJ0aWNsZSI+MTc8L3JlZi10eXBlPjxjb250cmlidXRvcnM+PGF1dGhvcnM+PGF1dGhvcj5I
ZW5yeSwgQS4gRC48L2F1dGhvcj48YXV0aG9yPkdldHRlbnMsIEouPC9hdXRob3I+PGF1dGhvcj5T
YXZhZ2VhdSwgSi4gQS48L2F1dGhvcj48YXV0aG9yPkN1bGxlbiwgRC48L2F1dGhvcj48YXV0aG9y
PkxhbmRhdSwgQS48L2F1dGhvcj48L2F1dGhvcnM+PC9jb250cmlidXRvcnM+PGF1dGgtYWRkcmVz
cz5DZW50ZXIgZm9yIEhlYWx0aCBQb2xpY3kgYW5kIFJlc2VhcmNoLCBVbml2ZXJzaXR5IG9mIE1h
c3NhY2h1c2V0dHMgTWVkaWNhbCBTY2hvb2wsIFNocmV3c2J1cnksIE1BLCBVbml0ZWQgU3RhdGVz
IG9mIEFtZXJpY2EuJiN4RDtUb2JhY2NvIENlc3NhdGlvbiBhbmQgUHJldmVudGlvbiBQcm9ncmFt
LCBNYXNzYWNodXNldHRzIERlcGFydG1lbnQgb2YgUHVibGljIEhlYWx0aCwgQm9zdG9uLCBNQSwg
VW5pdGVkIFN0YXRlcyBvZiBBbWVyaWNhLjwvYXV0aC1hZGRyZXNzPjx0aXRsZXM+PHRpdGxlPk1h
c3NhY2h1c2V0dHMgTWVkaWNhaWQgbWVtYmVycyB0aGF0IHNtb2tlZCBpbiAyMDA4OiBDaGFyYWN0
ZXJpc3RpY3MgYXNzb2NpYXRlZCB3aXRoIHNtb2tpbmcgc3RhdHVzIGluIDIwMTQ8L3RpdGxlPjxz
ZWNvbmRhcnktdGl0bGU+UExvUyBPbmU8L3NlY29uZGFyeS10aXRsZT48YWx0LXRpdGxlPlBsb1Mg
b25lPC9hbHQtdGl0bGU+PC90aXRsZXM+PHBlcmlvZGljYWw+PGZ1bGwtdGl0bGU+UGxvcyBPbmU8
L2Z1bGwtdGl0bGU+PC9wZXJpb2RpY2FsPjxhbHQtcGVyaW9kaWNhbD48ZnVsbC10aXRsZT5QbG9z
IE9uZTwvZnVsbC10aXRsZT48L2FsdC1wZXJpb2RpY2FsPjxwYWdlcz5lMDE4NjE0NDwvcGFnZXM+
PHZvbHVtZT4xMjwvdm9sdW1lPjxudW1iZXI+MTA8L251bWJlcj48ZWRpdGlvbj4yMDE3LzEwLzEz
PC9lZGl0aW9uPjxrZXl3b3Jkcz48a2V5d29yZD5BZHVsdDwva2V5d29yZD48a2V5d29yZD5BZ2Vk
PC9rZXl3b3JkPjxrZXl3b3JkPkZlbWFsZTwva2V5d29yZD48a2V5d29yZD5IZWFsdGggQ2FyZSBS
ZWZvcm08L2tleXdvcmQ+PGtleXdvcmQ+SHVtYW5zPC9rZXl3b3JkPjxrZXl3b3JkPk1hbGU8L2tl
eXdvcmQ+PGtleXdvcmQ+TWFzc2FjaHVzZXR0cy9lcGlkZW1pb2xvZ3k8L2tleXdvcmQ+PGtleXdv
cmQ+TWVkaWNhaWQvZWNvbm9taWNzLypvcmdhbml6YXRpb24gJmFtcDsgYWRtaW5pc3RyYXRpb248
L2tleXdvcmQ+PGtleXdvcmQ+TWlkZGxlIEFnZWQ8L2tleXdvcmQ+PGtleXdvcmQ+UGF0aWVudCBQ
cm90ZWN0aW9uIGFuZCBBZmZvcmRhYmxlIENhcmUgQWN0PC9rZXl3b3JkPjxrZXl3b3JkPlNtb2tp
bmcvZWNvbm9taWNzLyplcGlkZW1pb2xvZ3k8L2tleXdvcmQ+PGtleXdvcmQ+U21va2luZyBQcmV2
ZW50aW9uPC9rZXl3b3JkPjxrZXl3b3JkPlN1cnZleXMgYW5kIFF1ZXN0aW9ubmFpcmVzPC9rZXl3
b3JkPjxrZXl3b3JkPlRvYmFjY28gVXNlIENlc3NhdGlvbi8qbWV0aG9kczwva2V5d29yZD48a2V5
d29yZD5Vbml0ZWQgU3RhdGVzL2VwaWRlbWlvbG9neTwva2V5d29yZD48a2V5d29yZD5Zb3VuZyBB
ZHVsdDwva2V5d29yZD48L2tleXdvcmRzPjxkYXRlcz48eWVhcj4yMDE3PC95ZWFyPjwvZGF0ZXM+
PGlzYm4+MTkzMi02MjAzPC9pc2JuPjxhY2Nlc3Npb24tbnVtPjI5MDIzNTQyPC9hY2Nlc3Npb24t
bnVtPjx1cmxzPjxyZWxhdGVkLXVybHM+PHVybD5odHRwczovL3d3dy5uY2JpLm5sbS5uaWguZ292
L3BtYy9hcnRpY2xlcy9QTUM1NjM4NDQyL3BkZi9wb25lLjAxODYxNDQucGRmPC91cmw+PC9yZWxh
dGVkLXVybHM+PC91cmxzPjxjdXN0b20yPlBNQzU2Mzg0NDI8L2N1c3RvbTI+PGVsZWN0cm9uaWMt
cmVzb3VyY2UtbnVtPjEwLjEzNzEvam91cm5hbC5wb25lLjAxODYxNDQ8L2VsZWN0cm9uaWMtcmVz
b3VyY2UtbnVtPjxyZW1vdGUtZGF0YWJhc2UtcHJvdmlkZXI+TkxNPC9yZW1vdGUtZGF0YWJhc2Ut
cHJvdmlkZXI+PGxhbmd1YWdlPmVuZzwvbGFuZ3VhZ2U+PC9yZWNvcmQ+PC9DaXRlPjwvRW5kTm90
ZT4A
</w:fldData>
        </w:fldChar>
      </w:r>
      <w:r>
        <w:instrText xml:space="preserve"> ADDIN EN.CITE.DATA </w:instrText>
      </w:r>
      <w:r>
        <w:fldChar w:fldCharType="end"/>
      </w:r>
      <w:r>
        <w:fldChar w:fldCharType="separate"/>
      </w:r>
      <w:r>
        <w:rPr>
          <w:noProof/>
        </w:rPr>
        <w:t>(Henry, Gettens et al. 2017)</w:t>
      </w:r>
      <w:r>
        <w:fldChar w:fldCharType="end"/>
      </w:r>
      <w:r>
        <w:t>, aimed to develop a profile for predicting ever-use of e</w:t>
      </w:r>
      <w:r>
        <w:noBreakHyphen/>
        <w:t xml:space="preserve">cigarettes </w:t>
      </w:r>
      <w:r>
        <w:fldChar w:fldCharType="begin">
          <w:fldData xml:space="preserve">PEVuZE5vdGU+PENpdGU+PEF1dGhvcj5QZXJpY290LVZhbHZlcmRlPC9BdXRob3I+PFllYXI+MjAx
NzwvWWVhcj48UmVjTnVtPjQ5NTQ8L1JlY051bT48RGlzcGxheVRleHQ+KFBlcmljb3QtVmFsdmVy
ZGUsIEdhYWxlbWEgZXQgYWwuIDIwMTcpPC9EaXNwbGF5VGV4dD48cmVjb3JkPjxyZWMtbnVtYmVy
PjQ5NTQ8L3JlYy1udW1iZXI+PGZvcmVpZ24ta2V5cz48a2V5IGFwcD0iRU4iIGRiLWlkPSJmcHQ5
cHR0cm01emZzYWVzcDlmcHNkZHYwOWV3c3Y1eGV3ZmQiIHRpbWVzdGFtcD0iMTUyNTA0NTc2NiI+
NDk1NDwva2V5PjwvZm9yZWlnbi1rZXlzPjxyZWYtdHlwZSBuYW1lPSJKb3VybmFsIEFydGljbGUi
PjE3PC9yZWYtdHlwZT48Y29udHJpYnV0b3JzPjxhdXRob3JzPjxhdXRob3I+UGVyaWNvdC1WYWx2
ZXJkZSwgSS48L2F1dGhvcj48YXV0aG9yPkdhYWxlbWEsIEQuIEUuPC9hdXRob3I+PGF1dGhvcj5Q
cmllc3QsIEouIFMuPC9hdXRob3I+PGF1dGhvcj5IaWdnaW5zLCBTLiBULjwvYXV0aG9yPjwvYXV0
aG9ycz48L2NvbnRyaWJ1dG9ycz48YXV0aC1hZGRyZXNzPlZlcm1vbnQgQ2VudGVyIG9uIEJlaGF2
aW9yIGFuZCBIZWFsdGgsIFVuaXZlcnNpdHkgb2YgVmVybW9udCwgQnVybGluZ3RvbiwgVlQsIFVu
aXRlZCBTdGF0ZXM7IERlcGFydG1lbnQgb2YgUHN5Y2hpYXRyeSwgVW5pdmVyc2l0eSBvZiBWZXJt
b250LCBCdXJsaW5ndG9uLCBWVCwgVW5pdGVkIFN0YXRlczsgRGVwYXJ0bWVudCBvZiBQc3ljaG9s
b2d5LCBVbml2ZXJzaXR5IG9mIFZlcm1vbnQsIEJ1cmxpbmd0b24sIFZULCBVbml0ZWQgU3RhdGVz
LiBFbGVjdHJvbmljIGFkZHJlc3M6IGlwZXJpY290QHV2bS5lZHUuJiN4RDtWZXJtb250IENlbnRl
ciBvbiBCZWhhdmlvciBhbmQgSGVhbHRoLCBVbml2ZXJzaXR5IG9mIFZlcm1vbnQsIEJ1cmxpbmd0
b24sIFZULCBVbml0ZWQgU3RhdGVzOyBEZXBhcnRtZW50IG9mIFBzeWNoaWF0cnksIFVuaXZlcnNp
dHkgb2YgVmVybW9udCwgQnVybGluZ3RvbiwgVlQsIFVuaXRlZCBTdGF0ZXM7IERlcGFydG1lbnQg
b2YgUHN5Y2hvbG9neSwgVW5pdmVyc2l0eSBvZiBWZXJtb250LCBCdXJsaW5ndG9uLCBWVCwgVW5p
dGVkIFN0YXRlcy4mI3hEO0RlcGFydG1lbnQgb2YgTWVkaWNhbCBCaW9zdGF0aXN0aWNzLCBVbml2
ZXJzaXR5IG9mIFZlcm1vbnQgTWVkaWNhbCBDZW50ZXIsIEJ1cmxpbmd0b24sIFZULCBVbml0ZWQg
U3RhdGVzLjwvYXV0aC1hZGRyZXNzPjx0aXRsZXM+PHRpdGxlPkUtY2lnYXJldHRlIGF3YXJlbmVz
cywgcGVyY2VpdmVkIGhhcm1mdWxuZXNzLCBhbmQgZXZlciB1c2UgYW1vbmcgVS5TLiBhZHVsdHM8
L3RpdGxlPjxzZWNvbmRhcnktdGl0bGU+UHJldiBNZWQ8L3NlY29uZGFyeS10aXRsZT48YWx0LXRp
dGxlPlByZXZlbnRpdmUgbWVkaWNpbmU8L2FsdC10aXRsZT48L3RpdGxlcz48YWx0LXBlcmlvZGlj
YWw+PGZ1bGwtdGl0bGU+UHJldmVudGl2ZSBNZWRpY2luZTwvZnVsbC10aXRsZT48L2FsdC1wZXJp
b2RpY2FsPjxwYWdlcz45Mi05OTwvcGFnZXM+PHZvbHVtZT4xMDQ8L3ZvbHVtZT48ZWRpdGlvbj4y
MDE3LzA3LzIyPC9lZGl0aW9uPjxrZXl3b3Jkcz48a2V5d29yZD5Bd2FyZW5lc3M8L2tleXdvcmQ+
PGtleXdvcmQ+Q2xhc3NpZmljYXRpb24gYW5kIHJlZ3Jlc3Npb24gdHJlZSAoQ0FSVCk8L2tleXdv
cmQ+PGtleXdvcmQ+RWxlY3Ryb25pYyBjaWdhcmV0dGVzPC9rZXl3b3JkPjxrZXl3b3JkPkV2ZXIg
dXNlPC9rZXl3b3JkPjxrZXl3b3JkPlBlcmNlaXZlZCBoYXJtPC9rZXl3b3JkPjxrZXl3b3JkPlBy
ZXZhbGVuY2U8L2tleXdvcmQ+PC9rZXl3b3Jkcz48ZGF0ZXM+PHllYXI+MjAxNzwveWVhcj48cHVi
LWRhdGVzPjxkYXRlPk5vdjwvZGF0ZT48L3B1Yi1kYXRlcz48L2RhdGVzPjxpc2JuPjAwOTEtNzQz
NTwvaXNibj48YWNjZXNzaW9uLW51bT4yODcyOTE5ODwvYWNjZXNzaW9uLW51bT48dXJscz48cmVs
YXRlZC11cmxzPjx1cmw+aHR0cHM6Ly93d3cuc2NpZW5jZWRpcmVjdC5jb20vc2NpZW5jZS9hcnRp
Y2xlL3BpaS9TMDA5MTc0MzUxNzMwMjYxWD92aWElM0RpaHViPC91cmw+PC9yZWxhdGVkLXVybHM+
PC91cmxzPjxlbGVjdHJvbmljLXJlc291cmNlLW51bT4xMC4xMDE2L2oueXBtZWQuMjAxNy4wNy4w
MTQ8L2VsZWN0cm9uaWMtcmVzb3VyY2UtbnVtPjxyZW1vdGUtZGF0YWJhc2UtcHJvdmlkZXI+TkxN
PC9yZW1vdGUtZGF0YWJhc2UtcHJvdmlkZXI+PGxhbmd1YWdlPmVuZzwvbGFuZ3VhZ2U+PC9yZWNv
cmQ+PC9DaXRlPjwvRW5kTm90ZT4A
</w:fldData>
        </w:fldChar>
      </w:r>
      <w:r>
        <w:instrText xml:space="preserve"> ADDIN EN.CITE </w:instrText>
      </w:r>
      <w:r>
        <w:fldChar w:fldCharType="begin">
          <w:fldData xml:space="preserve">PEVuZE5vdGU+PENpdGU+PEF1dGhvcj5QZXJpY290LVZhbHZlcmRlPC9BdXRob3I+PFllYXI+MjAx
NzwvWWVhcj48UmVjTnVtPjQ5NTQ8L1JlY051bT48RGlzcGxheVRleHQ+KFBlcmljb3QtVmFsdmVy
ZGUsIEdhYWxlbWEgZXQgYWwuIDIwMTcpPC9EaXNwbGF5VGV4dD48cmVjb3JkPjxyZWMtbnVtYmVy
PjQ5NTQ8L3JlYy1udW1iZXI+PGZvcmVpZ24ta2V5cz48a2V5IGFwcD0iRU4iIGRiLWlkPSJmcHQ5
cHR0cm01emZzYWVzcDlmcHNkZHYwOWV3c3Y1eGV3ZmQiIHRpbWVzdGFtcD0iMTUyNTA0NTc2NiI+
NDk1NDwva2V5PjwvZm9yZWlnbi1rZXlzPjxyZWYtdHlwZSBuYW1lPSJKb3VybmFsIEFydGljbGUi
PjE3PC9yZWYtdHlwZT48Y29udHJpYnV0b3JzPjxhdXRob3JzPjxhdXRob3I+UGVyaWNvdC1WYWx2
ZXJkZSwgSS48L2F1dGhvcj48YXV0aG9yPkdhYWxlbWEsIEQuIEUuPC9hdXRob3I+PGF1dGhvcj5Q
cmllc3QsIEouIFMuPC9hdXRob3I+PGF1dGhvcj5IaWdnaW5zLCBTLiBULjwvYXV0aG9yPjwvYXV0
aG9ycz48L2NvbnRyaWJ1dG9ycz48YXV0aC1hZGRyZXNzPlZlcm1vbnQgQ2VudGVyIG9uIEJlaGF2
aW9yIGFuZCBIZWFsdGgsIFVuaXZlcnNpdHkgb2YgVmVybW9udCwgQnVybGluZ3RvbiwgVlQsIFVu
aXRlZCBTdGF0ZXM7IERlcGFydG1lbnQgb2YgUHN5Y2hpYXRyeSwgVW5pdmVyc2l0eSBvZiBWZXJt
b250LCBCdXJsaW5ndG9uLCBWVCwgVW5pdGVkIFN0YXRlczsgRGVwYXJ0bWVudCBvZiBQc3ljaG9s
b2d5LCBVbml2ZXJzaXR5IG9mIFZlcm1vbnQsIEJ1cmxpbmd0b24sIFZULCBVbml0ZWQgU3RhdGVz
LiBFbGVjdHJvbmljIGFkZHJlc3M6IGlwZXJpY290QHV2bS5lZHUuJiN4RDtWZXJtb250IENlbnRl
ciBvbiBCZWhhdmlvciBhbmQgSGVhbHRoLCBVbml2ZXJzaXR5IG9mIFZlcm1vbnQsIEJ1cmxpbmd0
b24sIFZULCBVbml0ZWQgU3RhdGVzOyBEZXBhcnRtZW50IG9mIFBzeWNoaWF0cnksIFVuaXZlcnNp
dHkgb2YgVmVybW9udCwgQnVybGluZ3RvbiwgVlQsIFVuaXRlZCBTdGF0ZXM7IERlcGFydG1lbnQg
b2YgUHN5Y2hvbG9neSwgVW5pdmVyc2l0eSBvZiBWZXJtb250LCBCdXJsaW5ndG9uLCBWVCwgVW5p
dGVkIFN0YXRlcy4mI3hEO0RlcGFydG1lbnQgb2YgTWVkaWNhbCBCaW9zdGF0aXN0aWNzLCBVbml2
ZXJzaXR5IG9mIFZlcm1vbnQgTWVkaWNhbCBDZW50ZXIsIEJ1cmxpbmd0b24sIFZULCBVbml0ZWQg
U3RhdGVzLjwvYXV0aC1hZGRyZXNzPjx0aXRsZXM+PHRpdGxlPkUtY2lnYXJldHRlIGF3YXJlbmVz
cywgcGVyY2VpdmVkIGhhcm1mdWxuZXNzLCBhbmQgZXZlciB1c2UgYW1vbmcgVS5TLiBhZHVsdHM8
L3RpdGxlPjxzZWNvbmRhcnktdGl0bGU+UHJldiBNZWQ8L3NlY29uZGFyeS10aXRsZT48YWx0LXRp
dGxlPlByZXZlbnRpdmUgbWVkaWNpbmU8L2FsdC10aXRsZT48L3RpdGxlcz48YWx0LXBlcmlvZGlj
YWw+PGZ1bGwtdGl0bGU+UHJldmVudGl2ZSBNZWRpY2luZTwvZnVsbC10aXRsZT48L2FsdC1wZXJp
b2RpY2FsPjxwYWdlcz45Mi05OTwvcGFnZXM+PHZvbHVtZT4xMDQ8L3ZvbHVtZT48ZWRpdGlvbj4y
MDE3LzA3LzIyPC9lZGl0aW9uPjxrZXl3b3Jkcz48a2V5d29yZD5Bd2FyZW5lc3M8L2tleXdvcmQ+
PGtleXdvcmQ+Q2xhc3NpZmljYXRpb24gYW5kIHJlZ3Jlc3Npb24gdHJlZSAoQ0FSVCk8L2tleXdv
cmQ+PGtleXdvcmQ+RWxlY3Ryb25pYyBjaWdhcmV0dGVzPC9rZXl3b3JkPjxrZXl3b3JkPkV2ZXIg
dXNlPC9rZXl3b3JkPjxrZXl3b3JkPlBlcmNlaXZlZCBoYXJtPC9rZXl3b3JkPjxrZXl3b3JkPlBy
ZXZhbGVuY2U8L2tleXdvcmQ+PC9rZXl3b3Jkcz48ZGF0ZXM+PHllYXI+MjAxNzwveWVhcj48cHVi
LWRhdGVzPjxkYXRlPk5vdjwvZGF0ZT48L3B1Yi1kYXRlcz48L2RhdGVzPjxpc2JuPjAwOTEtNzQz
NTwvaXNibj48YWNjZXNzaW9uLW51bT4yODcyOTE5ODwvYWNjZXNzaW9uLW51bT48dXJscz48cmVs
YXRlZC11cmxzPjx1cmw+aHR0cHM6Ly93d3cuc2NpZW5jZWRpcmVjdC5jb20vc2NpZW5jZS9hcnRp
Y2xlL3BpaS9TMDA5MTc0MzUxNzMwMjYxWD92aWElM0RpaHViPC91cmw+PC9yZWxhdGVkLXVybHM+
PC91cmxzPjxlbGVjdHJvbmljLXJlc291cmNlLW51bT4xMC4xMDE2L2oueXBtZWQuMjAxNy4wNy4w
MTQ8L2VsZWN0cm9uaWMtcmVzb3VyY2UtbnVtPjxyZW1vdGUtZGF0YWJhc2UtcHJvdmlkZXI+TkxN
PC9yZW1vdGUtZGF0YWJhc2UtcHJvdmlkZXI+PGxhbmd1YWdlPmVuZzwvbGFuZ3VhZ2U+PC9yZWNv
cmQ+PC9DaXRlPjwvRW5kTm90ZT4A
</w:fldData>
        </w:fldChar>
      </w:r>
      <w:r>
        <w:instrText xml:space="preserve"> ADDIN EN.CITE.DATA </w:instrText>
      </w:r>
      <w:r>
        <w:fldChar w:fldCharType="end"/>
      </w:r>
      <w:r>
        <w:fldChar w:fldCharType="separate"/>
      </w:r>
      <w:r>
        <w:rPr>
          <w:noProof/>
        </w:rPr>
        <w:t>(Pericot-Valverde, Gaalema et al. 2017)</w:t>
      </w:r>
      <w:r>
        <w:fldChar w:fldCharType="end"/>
      </w:r>
      <w:r>
        <w:t>, understand e</w:t>
      </w:r>
      <w:r>
        <w:noBreakHyphen/>
        <w:t xml:space="preserve">cigarette use in substance users </w:t>
      </w:r>
      <w:r>
        <w:fldChar w:fldCharType="begin">
          <w:fldData xml:space="preserve">PEVuZE5vdGU+PENpdGU+PEF1dGhvcj5HdWJuZXI8L0F1dGhvcj48WWVhcj4yMDE3PC9ZZWFyPjxS
ZWNOdW0+NTAzNjwvUmVjTnVtPjxEaXNwbGF5VGV4dD4oR3VibmVyLCBQYWdhbm8gZXQgYWwuIDIw
MTcpPC9EaXNwbGF5VGV4dD48cmVjb3JkPjxyZWMtbnVtYmVyPjUwMzY8L3JlYy1udW1iZXI+PGZv
cmVpZ24ta2V5cz48a2V5IGFwcD0iRU4iIGRiLWlkPSJmcHQ5cHR0cm01emZzYWVzcDlmcHNkZHYw
OWV3c3Y1eGV3ZmQiIHRpbWVzdGFtcD0iMTUyNTA0NTg3MyI+NTAzNjwva2V5PjxrZXkgYXBwPSJF
TldlYiIgZGItaWQ9IiI+MDwva2V5PjwvZm9yZWlnbi1rZXlzPjxyZWYtdHlwZSBuYW1lPSJKb3Vy
bmFsIEFydGljbGUiPjE3PC9yZWYtdHlwZT48Y29udHJpYnV0b3JzPjxhdXRob3JzPjxhdXRob3I+
R3VibmVyLCBOLiBSLjwvYXV0aG9yPjxhdXRob3I+UGFnYW5vLCBBLjwvYXV0aG9yPjxhdXRob3I+
VGFqaW1hLCBCLjwvYXV0aG9yPjxhdXRob3I+R3V5ZGlzaCwgSi48L2F1dGhvcj48L2F1dGhvcnM+
PC9jb250cmlidXRvcnM+PGF1dGgtYWRkcmVzcz5QaGlsaXAgUi4gTGVlIEluc3RpdHV0ZSBmb3Ig
SGVhbHRoIFBvbGljeSBTdHVkaWVzLCBVbml2ZXJzaXR5IG9mIENhbGlmb3JuaWEsIFNhbiBGcmFu
Y2lzY28sIENBLCBVU0EuJiN4RDtEZXBhcnRtZW50IG9mIFBzeWNoaWF0cnkgYW5kIFdlaWxsIElu
c3RpdHV0ZSBmb3IgTmV1cm9zY2llbmNlcywgVW5pdmVyc2l0eSBvZiBDYWxpZm9ybmlhLCBTYW4g
RnJhbmNpc2NvLCBDQSwgVVNBLiYjeEQ7UHJldmVudGlvbiBSZXNlYXJjaCBDZW50ZXIsIFBhY2lm
aWMgSW5zdGl0dXRlIGZvciBSZXNlYXJjaCBhbmQgRXZhbHVhdGlvbiAoUElSRSksIE9ha2xhbmQs
IENBLCBVU0EuPC9hdXRoLWFkZHJlc3M+PHRpdGxlcz48dGl0bGU+QSBjb21wYXJpc29uIG9mIGRh
aWx5IHZlcnN1cyB3ZWVrbHkgZWxlY3Ryb25pYyBjaWdhcmV0dGUgdXNlcnMgaW4gdHJlYXRtZW50
IGZvciBzdWJzdGFuY2UgYWJ1c2U8L3RpdGxlPjxzZWNvbmRhcnktdGl0bGU+Tmljb3RpbmUgVG9i
IFJlczwvc2Vjb25kYXJ5LXRpdGxlPjxhbHQtdGl0bGU+Tmljb3RpbmUgJmFtcDsgdG9iYWNjbyBy
ZXNlYXJjaCA6IG9mZmljaWFsIGpvdXJuYWwgb2YgdGhlIFNvY2lldHkgZm9yIFJlc2VhcmNoIG9u
IE5pY290aW5lIGFuZCBUb2JhY2NvPC9hbHQtdGl0bGU+PC90aXRsZXM+PHBlcmlvZGljYWw+PGZ1
bGwtdGl0bGU+Tmljb3RpbmUgVG9iIFJlczwvZnVsbC10aXRsZT48YWJici0xPk5pY290aW5lICZh
bXA7IHRvYmFjY28gcmVzZWFyY2ggOiBvZmZpY2lhbCBqb3VybmFsIG9mIHRoZSBTb2NpZXR5IGZv
ciBSZXNlYXJjaCBvbiBOaWNvdGluZSBhbmQgVG9iYWNjbzwvYWJici0xPjwvcGVyaW9kaWNhbD48
YWx0LXBlcmlvZGljYWw+PGZ1bGwtdGl0bGU+Tmljb3RpbmUgVG9iIFJlczwvZnVsbC10aXRsZT48
YWJici0xPk5pY290aW5lICZhbXA7IHRvYmFjY28gcmVzZWFyY2ggOiBvZmZpY2lhbCBqb3VybmFs
IG9mIHRoZSBTb2NpZXR5IGZvciBSZXNlYXJjaCBvbiBOaWNvdGluZSBhbmQgVG9iYWNjbzwvYWJi
ci0xPjwvYWx0LXBlcmlvZGljYWw+PGVkaXRpb24+MjAxNy8wNi8wMzwvZWRpdGlvbj48a2V5d29y
ZHM+PGtleXdvcmQ+QWxjb2hvbDwva2V5d29yZD48a2V5d29yZD5EZXBlbmRlbmNlPC9rZXl3b3Jk
PjxrZXl3b3JkPkRydWc8L2tleXdvcmQ+PGtleXdvcmQ+ZHJ1ZyBhYnVzZS48L2tleXdvcmQ+PGtl
eXdvcmQ+ZS1jaWc8L2tleXdvcmQ+PGtleXdvcmQ+ZS1jaWdhcmV0dGU8L2tleXdvcmQ+PGtleXdv
cmQ+bmljb3RpbmU8L2tleXdvcmQ+PC9rZXl3b3Jkcz48ZGF0ZXM+PHllYXI+MjAxNzwveWVhcj48
cHViLWRhdGVzPjxkYXRlPkp1biAxPC9kYXRlPjwvcHViLWRhdGVzPjwvZGF0ZXM+PGlzYm4+MTQ2
Mi0yMjAzPC9pc2JuPjxhY2Nlc3Npb24tbnVtPjI4NTc1NTE5PC9hY2Nlc3Npb24tbnVtPjx1cmxz
PjxyZWxhdGVkLXVybHM+PHVybD5odHRwczovL3dhdGVybWFyay5zaWx2ZXJjaGFpci5jb20vbnR4
MTE2LnBkZj90b2tlbj1BUUVDQUhpMjA4QkU0OU9vYW45a2toV19FcmN5N0RtM1pMXzlDZjNxZktB
YzQ4NXlzZ0FBQWNnd2dnSEVCZ2txaGtpRzl3MEJCd2FnZ2dHMU1JSUJzUUlCQURDQ0Fhb0dDU3FH
U0liM0RRRUhBVEFlQmdsZ2hrZ0JaUU1FQVM0d0VRUU1fenhVNXpnZ3laeDh1RldqQWdFUWdJSUJl
eUhGZ0pPZ0p1ZXNJZzZpTFdLcmhDTm9mUUppalQzZURnbGw3TVJBU1Y4N3l0amZ3cUtIamFtSk12
X0o2bmV1RXFTVlpqMkVlRnlXMzdERkRMN3dnYjBxQ21hSnZKOFBTLVFpaV9hTFdwSGtSVEE5Y1Nz
RzFwMFYzRFhRbi15b0poWTZ3cG5OMTl1V2h3RVBGaGpTTk1JOGRjRGhjRk04ZjRRNElLdGtyTEM4
YzNRa3Y5N25uZnRuZHI2ajRSRXNMc0NkQ3NOdFhFRXlnQ2hYNmd5dktlM0dPSmlMbkhHOUhIZG9n
R2tRWUpEd05NTTJhV0ZXRjFHU1I5dGJ5REwwa2tFZTg3ZU84N2s1S3B5OXI2ekdqSE81VTZGb21a
d1pYcVF4YjNFQk1lR1g3OWRFX0Y5aTJQTGlIV3puMWlkRGNsaXVCNk5pR2ZPUVFPUGVoWlI4ZFg5
cWlHQVh4NUZGZkFZeFh5cXE4aEtzZWhzMC1vVzNEQWpQcWxfWkt0R1NiZENkMlRZazl3VzRHSzNO
c1BJLUtJUUx5QmtKVTduZW1DR3ZWQzdGY2liMEJ1NW1IVDVIQ0lkc2tIdHZTWW5qbzFOSkUtX0xU
WWhZS3hCR3A5SXhWUUZJUzc0bEpoRmcxTFRFWWVZaXFVZjkyVzJyY1VzTDJyS1J0dDQ8L3VybD48
L3JlbGF0ZWQtdXJscz48L3VybHM+PGVsZWN0cm9uaWMtcmVzb3VyY2UtbnVtPjEwLjEwOTMvbnRy
L250eDExNjwvZWxlY3Ryb25pYy1yZXNvdXJjZS1udW0+PHJlbW90ZS1kYXRhYmFzZS1wcm92aWRl
cj5OTE08L3JlbW90ZS1kYXRhYmFzZS1wcm92aWRlcj48bGFuZ3VhZ2U+ZW5nPC9sYW5ndWFnZT48
L3JlY29yZD48L0NpdGU+PC9FbmROb3RlPgB=
</w:fldData>
        </w:fldChar>
      </w:r>
      <w:r>
        <w:instrText xml:space="preserve"> ADDIN EN.CITE </w:instrText>
      </w:r>
      <w:r>
        <w:fldChar w:fldCharType="begin">
          <w:fldData xml:space="preserve">PEVuZE5vdGU+PENpdGU+PEF1dGhvcj5HdWJuZXI8L0F1dGhvcj48WWVhcj4yMDE3PC9ZZWFyPjxS
ZWNOdW0+NTAzNjwvUmVjTnVtPjxEaXNwbGF5VGV4dD4oR3VibmVyLCBQYWdhbm8gZXQgYWwuIDIw
MTcpPC9EaXNwbGF5VGV4dD48cmVjb3JkPjxyZWMtbnVtYmVyPjUwMzY8L3JlYy1udW1iZXI+PGZv
cmVpZ24ta2V5cz48a2V5IGFwcD0iRU4iIGRiLWlkPSJmcHQ5cHR0cm01emZzYWVzcDlmcHNkZHYw
OWV3c3Y1eGV3ZmQiIHRpbWVzdGFtcD0iMTUyNTA0NTg3MyI+NTAzNjwva2V5PjxrZXkgYXBwPSJF
TldlYiIgZGItaWQ9IiI+MDwva2V5PjwvZm9yZWlnbi1rZXlzPjxyZWYtdHlwZSBuYW1lPSJKb3Vy
bmFsIEFydGljbGUiPjE3PC9yZWYtdHlwZT48Y29udHJpYnV0b3JzPjxhdXRob3JzPjxhdXRob3I+
R3VibmVyLCBOLiBSLjwvYXV0aG9yPjxhdXRob3I+UGFnYW5vLCBBLjwvYXV0aG9yPjxhdXRob3I+
VGFqaW1hLCBCLjwvYXV0aG9yPjxhdXRob3I+R3V5ZGlzaCwgSi48L2F1dGhvcj48L2F1dGhvcnM+
PC9jb250cmlidXRvcnM+PGF1dGgtYWRkcmVzcz5QaGlsaXAgUi4gTGVlIEluc3RpdHV0ZSBmb3Ig
SGVhbHRoIFBvbGljeSBTdHVkaWVzLCBVbml2ZXJzaXR5IG9mIENhbGlmb3JuaWEsIFNhbiBGcmFu
Y2lzY28sIENBLCBVU0EuJiN4RDtEZXBhcnRtZW50IG9mIFBzeWNoaWF0cnkgYW5kIFdlaWxsIElu
c3RpdHV0ZSBmb3IgTmV1cm9zY2llbmNlcywgVW5pdmVyc2l0eSBvZiBDYWxpZm9ybmlhLCBTYW4g
RnJhbmNpc2NvLCBDQSwgVVNBLiYjeEQ7UHJldmVudGlvbiBSZXNlYXJjaCBDZW50ZXIsIFBhY2lm
aWMgSW5zdGl0dXRlIGZvciBSZXNlYXJjaCBhbmQgRXZhbHVhdGlvbiAoUElSRSksIE9ha2xhbmQs
IENBLCBVU0EuPC9hdXRoLWFkZHJlc3M+PHRpdGxlcz48dGl0bGU+QSBjb21wYXJpc29uIG9mIGRh
aWx5IHZlcnN1cyB3ZWVrbHkgZWxlY3Ryb25pYyBjaWdhcmV0dGUgdXNlcnMgaW4gdHJlYXRtZW50
IGZvciBzdWJzdGFuY2UgYWJ1c2U8L3RpdGxlPjxzZWNvbmRhcnktdGl0bGU+Tmljb3RpbmUgVG9i
IFJlczwvc2Vjb25kYXJ5LXRpdGxlPjxhbHQtdGl0bGU+Tmljb3RpbmUgJmFtcDsgdG9iYWNjbyBy
ZXNlYXJjaCA6IG9mZmljaWFsIGpvdXJuYWwgb2YgdGhlIFNvY2lldHkgZm9yIFJlc2VhcmNoIG9u
IE5pY290aW5lIGFuZCBUb2JhY2NvPC9hbHQtdGl0bGU+PC90aXRsZXM+PHBlcmlvZGljYWw+PGZ1
bGwtdGl0bGU+Tmljb3RpbmUgVG9iIFJlczwvZnVsbC10aXRsZT48YWJici0xPk5pY290aW5lICZh
bXA7IHRvYmFjY28gcmVzZWFyY2ggOiBvZmZpY2lhbCBqb3VybmFsIG9mIHRoZSBTb2NpZXR5IGZv
ciBSZXNlYXJjaCBvbiBOaWNvdGluZSBhbmQgVG9iYWNjbzwvYWJici0xPjwvcGVyaW9kaWNhbD48
YWx0LXBlcmlvZGljYWw+PGZ1bGwtdGl0bGU+Tmljb3RpbmUgVG9iIFJlczwvZnVsbC10aXRsZT48
YWJici0xPk5pY290aW5lICZhbXA7IHRvYmFjY28gcmVzZWFyY2ggOiBvZmZpY2lhbCBqb3VybmFs
IG9mIHRoZSBTb2NpZXR5IGZvciBSZXNlYXJjaCBvbiBOaWNvdGluZSBhbmQgVG9iYWNjbzwvYWJi
ci0xPjwvYWx0LXBlcmlvZGljYWw+PGVkaXRpb24+MjAxNy8wNi8wMzwvZWRpdGlvbj48a2V5d29y
ZHM+PGtleXdvcmQ+QWxjb2hvbDwva2V5d29yZD48a2V5d29yZD5EZXBlbmRlbmNlPC9rZXl3b3Jk
PjxrZXl3b3JkPkRydWc8L2tleXdvcmQ+PGtleXdvcmQ+ZHJ1ZyBhYnVzZS48L2tleXdvcmQ+PGtl
eXdvcmQ+ZS1jaWc8L2tleXdvcmQ+PGtleXdvcmQ+ZS1jaWdhcmV0dGU8L2tleXdvcmQ+PGtleXdv
cmQ+bmljb3RpbmU8L2tleXdvcmQ+PC9rZXl3b3Jkcz48ZGF0ZXM+PHllYXI+MjAxNzwveWVhcj48
cHViLWRhdGVzPjxkYXRlPkp1biAxPC9kYXRlPjwvcHViLWRhdGVzPjwvZGF0ZXM+PGlzYm4+MTQ2
Mi0yMjAzPC9pc2JuPjxhY2Nlc3Npb24tbnVtPjI4NTc1NTE5PC9hY2Nlc3Npb24tbnVtPjx1cmxz
PjxyZWxhdGVkLXVybHM+PHVybD5odHRwczovL3dhdGVybWFyay5zaWx2ZXJjaGFpci5jb20vbnR4
MTE2LnBkZj90b2tlbj1BUUVDQUhpMjA4QkU0OU9vYW45a2toV19FcmN5N0RtM1pMXzlDZjNxZktB
YzQ4NXlzZ0FBQWNnd2dnSEVCZ2txaGtpRzl3MEJCd2FnZ2dHMU1JSUJzUUlCQURDQ0Fhb0dDU3FH
U0liM0RRRUhBVEFlQmdsZ2hrZ0JaUU1FQVM0d0VRUU1fenhVNXpnZ3laeDh1RldqQWdFUWdJSUJl
eUhGZ0pPZ0p1ZXNJZzZpTFdLcmhDTm9mUUppalQzZURnbGw3TVJBU1Y4N3l0amZ3cUtIamFtSk12
X0o2bmV1RXFTVlpqMkVlRnlXMzdERkRMN3dnYjBxQ21hSnZKOFBTLVFpaV9hTFdwSGtSVEE5Y1Nz
RzFwMFYzRFhRbi15b0poWTZ3cG5OMTl1V2h3RVBGaGpTTk1JOGRjRGhjRk04ZjRRNElLdGtyTEM4
YzNRa3Y5N25uZnRuZHI2ajRSRXNMc0NkQ3NOdFhFRXlnQ2hYNmd5dktlM0dPSmlMbkhHOUhIZG9n
R2tRWUpEd05NTTJhV0ZXRjFHU1I5dGJ5REwwa2tFZTg3ZU84N2s1S3B5OXI2ekdqSE81VTZGb21a
d1pYcVF4YjNFQk1lR1g3OWRFX0Y5aTJQTGlIV3puMWlkRGNsaXVCNk5pR2ZPUVFPUGVoWlI4ZFg5
cWlHQVh4NUZGZkFZeFh5cXE4aEtzZWhzMC1vVzNEQWpQcWxfWkt0R1NiZENkMlRZazl3VzRHSzNO
c1BJLUtJUUx5QmtKVTduZW1DR3ZWQzdGY2liMEJ1NW1IVDVIQ0lkc2tIdHZTWW5qbzFOSkUtX0xU
WWhZS3hCR3A5SXhWUUZJUzc0bEpoRmcxTFRFWWVZaXFVZjkyVzJyY1VzTDJyS1J0dDQ8L3VybD48
L3JlbGF0ZWQtdXJscz48L3VybHM+PGVsZWN0cm9uaWMtcmVzb3VyY2UtbnVtPjEwLjEwOTMvbnRy
L250eDExNjwvZWxlY3Ryb25pYy1yZXNvdXJjZS1udW0+PHJlbW90ZS1kYXRhYmFzZS1wcm92aWRl
cj5OTE08L3JlbW90ZS1kYXRhYmFzZS1wcm92aWRlcj48bGFuZ3VhZ2U+ZW5nPC9sYW5ndWFnZT48
L3JlY29yZD48L0NpdGU+PC9FbmROb3RlPgB=
</w:fldData>
        </w:fldChar>
      </w:r>
      <w:r>
        <w:instrText xml:space="preserve"> ADDIN EN.CITE.DATA </w:instrText>
      </w:r>
      <w:r>
        <w:fldChar w:fldCharType="end"/>
      </w:r>
      <w:r>
        <w:fldChar w:fldCharType="separate"/>
      </w:r>
      <w:r>
        <w:rPr>
          <w:noProof/>
        </w:rPr>
        <w:t>(Gubner, Pagano et al. 2017)</w:t>
      </w:r>
      <w:r>
        <w:fldChar w:fldCharType="end"/>
      </w:r>
      <w:r>
        <w:t xml:space="preserve"> or examined whether people are comfortable asking people not to use e</w:t>
      </w:r>
      <w:r>
        <w:noBreakHyphen/>
        <w:t xml:space="preserve">cigarettes relative to conventional cigarettes </w:t>
      </w:r>
      <w:r>
        <w:fldChar w:fldCharType="begin"/>
      </w:r>
      <w:r>
        <w:instrText xml:space="preserve"> ADDIN EN.CITE &lt;EndNote&gt;&lt;Cite&gt;&lt;Author&gt;Bigman&lt;/Author&gt;&lt;Year&gt;2018&lt;/Year&gt;&lt;RecNum&gt;4653&lt;/RecNum&gt;&lt;DisplayText&gt;(Bigman, Mello et al. 2018)&lt;/DisplayText&gt;&lt;record&gt;&lt;rec-number&gt;4653&lt;/rec-number&gt;&lt;foreign-keys&gt;&lt;key app="EN" db-id="fpt9pttrm5zfsaesp9fpsddv09ewsv5xewfd" timestamp="1525045241"&gt;4653&lt;/key&gt;&lt;key app="ENWeb" db-id=""&gt;0&lt;/key&gt;&lt;/foreign-keys&gt;&lt;ref-type name="Journal Article"&gt;17&lt;/ref-type&gt;&lt;contributors&gt;&lt;authors&gt;&lt;author&gt;Bigman, C. A.&lt;/author&gt;&lt;author&gt;Mello, S.&lt;/author&gt;&lt;author&gt;Sanders-Jackson, A.&lt;/author&gt;&lt;author&gt;Tan, A. S. L.&lt;/author&gt;&lt;/authors&gt;&lt;/contributors&gt;&lt;auth-address&gt;a Department of Communication , University of Illinois Urbana-Champaign.&amp;#xD;b Department of Communication Studies , Northeastern University.&amp;#xD;c Department of Advertising and Public Relations , East Lansing.&amp;#xD;d Department of Social and Behavioral Sciences , Harvard University T.H. Chan School of Public Health and Division of Population Sciences, Center for Community-Based Research, Dana-Farber Cancer Institute.&lt;/auth-address&gt;&lt;titles&gt;&lt;title&gt;Speaking up about Lighting up in Public: Examining Psychosocial Correlates of Smoking and Vaping Assertive Communication Intentions among U.S. Adults&lt;/title&gt;&lt;secondary-title&gt;Health Commun&lt;/secondary-title&gt;&lt;alt-title&gt;Health communication&lt;/alt-title&gt;&lt;/titles&gt;&lt;periodical&gt;&lt;full-title&gt;Health Commun&lt;/full-title&gt;&lt;abbr-1&gt;Health communication&lt;/abbr-1&gt;&lt;/periodical&gt;&lt;alt-periodical&gt;&lt;full-title&gt;Health Commun&lt;/full-title&gt;&lt;abbr-1&gt;Health communication&lt;/abbr-1&gt;&lt;/alt-periodical&gt;&lt;pages&gt;1-11&lt;/pages&gt;&lt;edition&gt;2018/01/25&lt;/edition&gt;&lt;dates&gt;&lt;year&gt;2018&lt;/year&gt;&lt;pub-dates&gt;&lt;date&gt;Jan 24&lt;/date&gt;&lt;/pub-dates&gt;&lt;/dates&gt;&lt;isbn&gt;1041-0236&lt;/isbn&gt;&lt;accession-num&gt;29364737&lt;/accession-num&gt;&lt;urls&gt;&lt;related-urls&gt;&lt;url&gt;https://www.tandfonline.com/doi/pdf/10.1080/10410236.2018.1428849?needAccess=true&lt;/url&gt;&lt;/related-urls&gt;&lt;/urls&gt;&lt;electronic-resource-num&gt;10.1080/10410236.2018.1428849&lt;/electronic-resource-num&gt;&lt;remote-database-provider&gt;NLM&lt;/remote-database-provider&gt;&lt;language&gt;eng&lt;/language&gt;&lt;/record&gt;&lt;/Cite&gt;&lt;/EndNote&gt;</w:instrText>
      </w:r>
      <w:r>
        <w:fldChar w:fldCharType="separate"/>
      </w:r>
      <w:r>
        <w:rPr>
          <w:noProof/>
        </w:rPr>
        <w:t>(Bigman, Mello et al. 2018)</w:t>
      </w:r>
      <w:r>
        <w:fldChar w:fldCharType="end"/>
      </w:r>
      <w:r>
        <w:t>.</w:t>
      </w:r>
    </w:p>
    <w:p w14:paraId="56E7C994" w14:textId="77777777" w:rsidR="002E3AED" w:rsidRDefault="002E3AED" w:rsidP="002E3AED">
      <w:pPr>
        <w:pStyle w:val="BodyText"/>
      </w:pPr>
    </w:p>
    <w:p w14:paraId="152D129A" w14:textId="77777777" w:rsidR="002E3AED" w:rsidRDefault="002E3AED" w:rsidP="002E3AED">
      <w:pPr>
        <w:pStyle w:val="Heading2"/>
        <w:ind w:left="1134" w:hanging="1134"/>
        <w:rPr>
          <w:rFonts w:eastAsia="Times New Roman"/>
        </w:rPr>
      </w:pPr>
      <w:bookmarkStart w:id="303" w:name="_Toc514669955"/>
      <w:bookmarkStart w:id="304" w:name="_Toc515893206"/>
      <w:bookmarkStart w:id="305" w:name="_Toc517706738"/>
      <w:r>
        <w:rPr>
          <w:rFonts w:eastAsia="Times New Roman"/>
        </w:rPr>
        <w:t>Literature from other US datasets</w:t>
      </w:r>
      <w:bookmarkEnd w:id="303"/>
      <w:bookmarkEnd w:id="304"/>
      <w:bookmarkEnd w:id="305"/>
      <w:r>
        <w:rPr>
          <w:rFonts w:eastAsia="Times New Roman"/>
        </w:rPr>
        <w:t xml:space="preserve"> </w:t>
      </w:r>
    </w:p>
    <w:p w14:paraId="7D2F5DA2" w14:textId="0F8E9B4C" w:rsidR="002E3AED" w:rsidRPr="00892582" w:rsidRDefault="002E3AED" w:rsidP="002E3AED">
      <w:pPr>
        <w:pStyle w:val="BodyText"/>
      </w:pPr>
      <w:r w:rsidRPr="00892582">
        <w:t>Twenty-five papers (n=25) reported on secondary analysis of data from non-national datasets. Most of these were based on adolesce</w:t>
      </w:r>
      <w:r w:rsidR="005D4809">
        <w:t>nt samples (n=16; 64%) (Tables 34 and 35</w:t>
      </w:r>
      <w:r w:rsidRPr="00892582">
        <w:t>).</w:t>
      </w:r>
    </w:p>
    <w:p w14:paraId="1D27F8D4" w14:textId="77777777" w:rsidR="002E3AED" w:rsidRPr="00892582" w:rsidRDefault="002E3AED" w:rsidP="002E3AED">
      <w:pPr>
        <w:pStyle w:val="BodyText"/>
      </w:pPr>
      <w:r w:rsidRPr="00892582">
        <w:t>Multiple papers reported on: the Texas Adolescent Tobacco and Marketing Surveillance System (TATAMS) (n=4), the Marketing and Promotions across Colleges in Texas Project (Project M-PACT) (n=5), the California Healthy Kids Survey (n=2), the Southern California Children's Health Survey (CHS) (n=3), and the AWARE intervention (n=2). As is apparent from the titles, many of these surveys are based on data of specific regions (e</w:t>
      </w:r>
      <w:r w:rsidR="003D2CBD">
        <w:t>.</w:t>
      </w:r>
      <w:r w:rsidRPr="00892582">
        <w:t>g</w:t>
      </w:r>
      <w:r w:rsidR="003D2CBD">
        <w:t>.</w:t>
      </w:r>
      <w:r w:rsidR="004C6D16">
        <w:t xml:space="preserve"> </w:t>
      </w:r>
      <w:r w:rsidRPr="00892582">
        <w:t>Texas). Due to the fact that these samples are largely less representative than those based on nationally collected data, synthesis of these papers is limited to those adding novel insights.</w:t>
      </w:r>
    </w:p>
    <w:p w14:paraId="2181A2ED" w14:textId="77777777" w:rsidR="002E3AED" w:rsidRPr="00892582" w:rsidRDefault="002E3AED" w:rsidP="002E3AED">
      <w:pPr>
        <w:pStyle w:val="BodyText"/>
      </w:pPr>
      <w:r w:rsidRPr="00892582">
        <w:t xml:space="preserve">Papers reporting on adolescent samples covered similar aims to those already captured in national datasets. For example, estimating prevalence and profiling </w:t>
      </w:r>
      <w:r>
        <w:t>e</w:t>
      </w:r>
      <w:r>
        <w:noBreakHyphen/>
        <w:t>cig</w:t>
      </w:r>
      <w:r w:rsidRPr="00892582">
        <w:t xml:space="preserve">arette users </w:t>
      </w:r>
      <w:r w:rsidRPr="00892582">
        <w:fldChar w:fldCharType="begin">
          <w:fldData xml:space="preserve">PEVuZE5vdGU+PENpdGU+PEF1dGhvcj5LcmlzdGphbnNzb248L0F1dGhvcj48WWVhcj4yMDE3PC9Z
ZWFyPjxSZWNOdW0+NTAwOTwvUmVjTnVtPjxEaXNwbGF5VGV4dD4oS3Jpc3RqYW5zc29uLCBNYW5u
IGV0IGFsLiAyMDE3LCBLcmlzdGphbnNzb24sIE1hbm4gZXQgYWwuIDIwMTcpPC9EaXNwbGF5VGV4
dD48cmVjb3JkPjxyZWMtbnVtYmVyPjUwMDk8L3JlYy1udW1iZXI+PGZvcmVpZ24ta2V5cz48a2V5
IGFwcD0iRU4iIGRiLWlkPSJmcHQ5cHR0cm01emZzYWVzcDlmcHNkZHYwOWV3c3Y1eGV3ZmQiIHRp
bWVzdGFtcD0iMTUyNTA0NTgyOCI+NTAwOTwva2V5PjxrZXkgYXBwPSJFTldlYiIgZGItaWQ9IiI+
MDwva2V5PjwvZm9yZWlnbi1rZXlzPjxyZWYtdHlwZSBuYW1lPSJKb3VybmFsIEFydGljbGUiPjE3
PC9yZWYtdHlwZT48Y29udHJpYnV0b3JzPjxhdXRob3JzPjxhdXRob3I+S3Jpc3RqYW5zc29uLCBB
LiBMLjwvYXV0aG9yPjxhdXRob3I+TWFubiwgTS4gSi48L2F1dGhvcj48YXV0aG9yPlNtaXRoLCBN
LiBMLjwvYXV0aG9yPjwvYXV0aG9ycz48L2NvbnRyaWJ1dG9ycz48YXV0aC1hZGRyZXNzPmEgRGVw
YXJ0bWVudCBvZiBTb2NpYWwgYW5kIEJlaGF2aW9yYWwgU2NpZW5jZXMgLCBTY2hvb2wgb2YgUHVi
bGljIEhlYWx0aCwgV2VzdCBWaXJnaW5pYSBVbml2ZXJzaXR5ICwgTW9yZ2FudG93biAsIFdlc3Qg
VmlyZ2luaWEgLCBVU0EuJiN4RDtiIEljZWxhbmRpYyBDZW50ZXIgZm9yIFNvY2lhbCBSZXNlYXJj
aCBhbmQgQW5hbHlzaXMgLCBSZXlramF2aWsgVW5pdmVyc2l0eSAsIFJleWtqYXZpayAsIEljZWxh
bmQuPC9hdXRoLWFkZHJlc3M+PHRpdGxlcz48dGl0bGU+UHJldmFsZW5jZSBvZiBzdWJzdGFuY2Ug
dXNlIGFtb25nIG1pZGRsZSBzY2hvb2wtYWdlZCBlLWNpZ2FyZXR0ZSB1c2VycyBjb21wYXJlZCB3
aXRoIGNpZ2FyZXR0ZSBzbW9rZXJzLCBub251c2VycywgYW5kIGR1YWwgdXNlcnM6IEltcGxpY2F0
aW9ucyBmb3IgcHJpbWFyeSBwcmV2ZW50aW9uPC90aXRsZT48c2Vjb25kYXJ5LXRpdGxlPlN1YnN0
IEFidXM8L3NlY29uZGFyeS10aXRsZT48YWx0LXRpdGxlPlN1YnN0YW5jZSBhYnVzZTwvYWx0LXRp
dGxlPjwvdGl0bGVzPjxwZXJpb2RpY2FsPjxmdWxsLXRpdGxlPlN1YnN0IEFidXM8L2Z1bGwtdGl0
bGU+PGFiYnItMT5TdWJzdGFuY2UgYWJ1c2U8L2FiYnItMT48L3BlcmlvZGljYWw+PGFsdC1wZXJp
b2RpY2FsPjxmdWxsLXRpdGxlPlN1YnN0IEFidXM8L2Z1bGwtdGl0bGU+PGFiYnItMT5TdWJzdGFu
Y2UgYWJ1c2U8L2FiYnItMT48L2FsdC1wZXJpb2RpY2FsPjxwYWdlcz40NzMtNDc2PC9wYWdlcz48
dm9sdW1lPjM4PC92b2x1bWU+PG51bWJlcj40PC9udW1iZXI+PGVkaXRpb24+MjAxNy8wNi8xODwv
ZWRpdGlvbj48a2V5d29yZHM+PGtleXdvcmQ+RS1jaWdhcmV0dGVzPC9rZXl3b3JkPjxrZXl3b3Jk
PmVhcmx5IGFkb2xlc2NlbnRzPC9rZXl3b3JkPjxrZXl3b3JkPm1pZGRsZSBzY2hvb2w8L2tleXdv
cmQ+PGtleXdvcmQ+c3Vic3RhbmNlIGFidXNlPC9rZXl3b3JkPjwva2V5d29yZHM+PGRhdGVzPjx5
ZWFyPjIwMTc8L3llYXI+PHB1Yi1kYXRlcz48ZGF0ZT5PY3QtRGVjPC9kYXRlPjwvcHViLWRhdGVz
PjwvZGF0ZXM+PGlzYm4+MDg4OS03MDc3PC9pc2JuPjxhY2Nlc3Npb24tbnVtPjI4NjIyMTAwPC9h
Y2Nlc3Npb24tbnVtPjx1cmxzPjxyZWxhdGVkLXVybHM+PHVybD5odHRwczovL3d3dy50YW5kZm9u
bGluZS5jb20vZG9pL3BkZi8xMC4xMDgwLzA4ODk3MDc3LjIwMTcuMTM0MzIxOD9uZWVkQWNjZXNz
PXRydWU8L3VybD48L3JlbGF0ZWQtdXJscz48L3VybHM+PGVsZWN0cm9uaWMtcmVzb3VyY2UtbnVt
PjEwLjEwODAvMDg4OTcwNzcuMjAxNy4xMzQzMjE4PC9lbGVjdHJvbmljLXJlc291cmNlLW51bT48
cmVtb3RlLWRhdGFiYXNlLXByb3ZpZGVyPk5MTTwvcmVtb3RlLWRhdGFiYXNlLXByb3ZpZGVyPjxs
YW5ndWFnZT5lbmc8L2xhbmd1YWdlPjwvcmVjb3JkPjwvQ2l0ZT48Q2l0ZT48QXV0aG9yPktyaXN0
amFuc3NvbjwvQXV0aG9yPjxZZWFyPjIwMTc8L1llYXI+PFJlY051bT41NTQ1PC9SZWNOdW0+PHJl
Y29yZD48cmVjLW51bWJlcj41NTQ1PC9yZWMtbnVtYmVyPjxmb3JlaWduLWtleXM+PGtleSBhcHA9
IkVOIiBkYi1pZD0iZnB0OXB0dHJtNXpmc2Flc3A5ZnBzZGR2MDlld3N2NXhld2ZkIiB0aW1lc3Rh
bXA9IjE1MjUwNDY2NzAiPjU1NDU8L2tleT48a2V5IGFwcD0iRU5XZWIiIGRiLWlkPSIiPjA8L2tl
eT48L2ZvcmVpZ24ta2V5cz48cmVmLXR5cGUgbmFtZT0iSm91cm5hbCBBcnRpY2xlIj4xNzwvcmVm
LXR5cGU+PGNvbnRyaWJ1dG9ycz48YXV0aG9ycz48YXV0aG9yPktyaXN0amFuc3NvbiwgQS4gTC48
L2F1dGhvcj48YXV0aG9yPk1hbm4sIE0uIEouPC9hdXRob3I+PGF1dGhvcj5TbWl0aCwgTS4gTC48
L2F1dGhvcj48YXV0aG9yPlNpZ2Z1c2RvdHRpciwgSS4gRC48L2F1dGhvcj48L2F1dGhvcnM+PC9j
b250cmlidXRvcnM+PHRpdGxlcz48dGl0bGU+U29jaWFsIFByb2ZpbGUgb2YgTWlkZGxlIFNjaG9v
bC1BZ2VkIEFkb2xlc2NlbnRzIFdobyBVc2UgRWxlY3Ryb25pYyBDaWdhcmV0dGVzOiBJbXBsaWNh
dGlvbnMgZm9yIFByaW1hcnkgUHJldmVudGlvbjwvdGl0bGU+PHNlY29uZGFyeS10aXRsZT5QcmV2
ZW50aW9uIFNjaWVuY2U8L3NlY29uZGFyeS10aXRsZT48L3RpdGxlcz48cGVyaW9kaWNhbD48ZnVs
bC10aXRsZT5QcmV2ZW50aW9uIFNjaWVuY2U8L2Z1bGwtdGl0bGU+PC9wZXJpb2RpY2FsPjxwYWdl
cz4xLTg8L3BhZ2VzPjxkYXRlcz48eWVhcj4yMDE3PC95ZWFyPjwvZGF0ZXM+PHVybHM+PHJlbGF0
ZWQtdXJscz48dXJsPmh0dHBzOi8vd3d3LnNjb3B1cy5jb20vaW53YXJkL3JlY29yZC51cmk/ZWlk
PTItczIuMC04NTAyNTA5MDU1NSZhbXA7ZG9pPTEwLjEwMDclMmZzMTExMjEtMDE3LTA4MjUteCZh
bXA7cGFydG5lcklEPTQwJmFtcDttZDU9YmIzNjY5NWQ3MmFlMzQyY2Q2NmQzNGY1MzUxMjdhZWU8
L3VybD48dXJsPmh0dHBzOi8vbGluay5zcHJpbmdlci5jb20vY29udGVudC9wZGYvMTAuMTAwNyUy
RnMxMTEyMS0wMTctMDgyNS14LnBkZjwvdXJsPjwvcmVsYXRlZC11cmxzPjwvdXJscz48ZWxlY3Ry
b25pYy1yZXNvdXJjZS1udW0+MTAuMTAwNy9zMTExMjEtMDE3LTA4MjUteDwvZWxlY3Ryb25pYy1y
ZXNvdXJjZS1udW0+PHJlbW90ZS1kYXRhYmFzZS1uYW1lPlNjb3B1czwvcmVtb3RlLWRhdGFiYXNl
LW5hbWU+PC9yZWNvcmQ+PC9DaXRlPjwvRW5kTm90ZT5=
</w:fldData>
        </w:fldChar>
      </w:r>
      <w:r w:rsidRPr="00892582">
        <w:instrText xml:space="preserve"> ADDIN EN.CITE </w:instrText>
      </w:r>
      <w:r w:rsidRPr="00892582">
        <w:fldChar w:fldCharType="begin">
          <w:fldData xml:space="preserve">PEVuZE5vdGU+PENpdGU+PEF1dGhvcj5LcmlzdGphbnNzb248L0F1dGhvcj48WWVhcj4yMDE3PC9Z
ZWFyPjxSZWNOdW0+NTAwOTwvUmVjTnVtPjxEaXNwbGF5VGV4dD4oS3Jpc3RqYW5zc29uLCBNYW5u
IGV0IGFsLiAyMDE3LCBLcmlzdGphbnNzb24sIE1hbm4gZXQgYWwuIDIwMTcpPC9EaXNwbGF5VGV4
dD48cmVjb3JkPjxyZWMtbnVtYmVyPjUwMDk8L3JlYy1udW1iZXI+PGZvcmVpZ24ta2V5cz48a2V5
IGFwcD0iRU4iIGRiLWlkPSJmcHQ5cHR0cm01emZzYWVzcDlmcHNkZHYwOWV3c3Y1eGV3ZmQiIHRp
bWVzdGFtcD0iMTUyNTA0NTgyOCI+NTAwOTwva2V5PjxrZXkgYXBwPSJFTldlYiIgZGItaWQ9IiI+
MDwva2V5PjwvZm9yZWlnbi1rZXlzPjxyZWYtdHlwZSBuYW1lPSJKb3VybmFsIEFydGljbGUiPjE3
PC9yZWYtdHlwZT48Y29udHJpYnV0b3JzPjxhdXRob3JzPjxhdXRob3I+S3Jpc3RqYW5zc29uLCBB
LiBMLjwvYXV0aG9yPjxhdXRob3I+TWFubiwgTS4gSi48L2F1dGhvcj48YXV0aG9yPlNtaXRoLCBN
LiBMLjwvYXV0aG9yPjwvYXV0aG9ycz48L2NvbnRyaWJ1dG9ycz48YXV0aC1hZGRyZXNzPmEgRGVw
YXJ0bWVudCBvZiBTb2NpYWwgYW5kIEJlaGF2aW9yYWwgU2NpZW5jZXMgLCBTY2hvb2wgb2YgUHVi
bGljIEhlYWx0aCwgV2VzdCBWaXJnaW5pYSBVbml2ZXJzaXR5ICwgTW9yZ2FudG93biAsIFdlc3Qg
VmlyZ2luaWEgLCBVU0EuJiN4RDtiIEljZWxhbmRpYyBDZW50ZXIgZm9yIFNvY2lhbCBSZXNlYXJj
aCBhbmQgQW5hbHlzaXMgLCBSZXlramF2aWsgVW5pdmVyc2l0eSAsIFJleWtqYXZpayAsIEljZWxh
bmQuPC9hdXRoLWFkZHJlc3M+PHRpdGxlcz48dGl0bGU+UHJldmFsZW5jZSBvZiBzdWJzdGFuY2Ug
dXNlIGFtb25nIG1pZGRsZSBzY2hvb2wtYWdlZCBlLWNpZ2FyZXR0ZSB1c2VycyBjb21wYXJlZCB3
aXRoIGNpZ2FyZXR0ZSBzbW9rZXJzLCBub251c2VycywgYW5kIGR1YWwgdXNlcnM6IEltcGxpY2F0
aW9ucyBmb3IgcHJpbWFyeSBwcmV2ZW50aW9uPC90aXRsZT48c2Vjb25kYXJ5LXRpdGxlPlN1YnN0
IEFidXM8L3NlY29uZGFyeS10aXRsZT48YWx0LXRpdGxlPlN1YnN0YW5jZSBhYnVzZTwvYWx0LXRp
dGxlPjwvdGl0bGVzPjxwZXJpb2RpY2FsPjxmdWxsLXRpdGxlPlN1YnN0IEFidXM8L2Z1bGwtdGl0
bGU+PGFiYnItMT5TdWJzdGFuY2UgYWJ1c2U8L2FiYnItMT48L3BlcmlvZGljYWw+PGFsdC1wZXJp
b2RpY2FsPjxmdWxsLXRpdGxlPlN1YnN0IEFidXM8L2Z1bGwtdGl0bGU+PGFiYnItMT5TdWJzdGFu
Y2UgYWJ1c2U8L2FiYnItMT48L2FsdC1wZXJpb2RpY2FsPjxwYWdlcz40NzMtNDc2PC9wYWdlcz48
dm9sdW1lPjM4PC92b2x1bWU+PG51bWJlcj40PC9udW1iZXI+PGVkaXRpb24+MjAxNy8wNi8xODwv
ZWRpdGlvbj48a2V5d29yZHM+PGtleXdvcmQ+RS1jaWdhcmV0dGVzPC9rZXl3b3JkPjxrZXl3b3Jk
PmVhcmx5IGFkb2xlc2NlbnRzPC9rZXl3b3JkPjxrZXl3b3JkPm1pZGRsZSBzY2hvb2w8L2tleXdv
cmQ+PGtleXdvcmQ+c3Vic3RhbmNlIGFidXNlPC9rZXl3b3JkPjwva2V5d29yZHM+PGRhdGVzPjx5
ZWFyPjIwMTc8L3llYXI+PHB1Yi1kYXRlcz48ZGF0ZT5PY3QtRGVjPC9kYXRlPjwvcHViLWRhdGVz
PjwvZGF0ZXM+PGlzYm4+MDg4OS03MDc3PC9pc2JuPjxhY2Nlc3Npb24tbnVtPjI4NjIyMTAwPC9h
Y2Nlc3Npb24tbnVtPjx1cmxzPjxyZWxhdGVkLXVybHM+PHVybD5odHRwczovL3d3dy50YW5kZm9u
bGluZS5jb20vZG9pL3BkZi8xMC4xMDgwLzA4ODk3MDc3LjIwMTcuMTM0MzIxOD9uZWVkQWNjZXNz
PXRydWU8L3VybD48L3JlbGF0ZWQtdXJscz48L3VybHM+PGVsZWN0cm9uaWMtcmVzb3VyY2UtbnVt
PjEwLjEwODAvMDg4OTcwNzcuMjAxNy4xMzQzMjE4PC9lbGVjdHJvbmljLXJlc291cmNlLW51bT48
cmVtb3RlLWRhdGFiYXNlLXByb3ZpZGVyPk5MTTwvcmVtb3RlLWRhdGFiYXNlLXByb3ZpZGVyPjxs
YW5ndWFnZT5lbmc8L2xhbmd1YWdlPjwvcmVjb3JkPjwvQ2l0ZT48Q2l0ZT48QXV0aG9yPktyaXN0
amFuc3NvbjwvQXV0aG9yPjxZZWFyPjIwMTc8L1llYXI+PFJlY051bT41NTQ1PC9SZWNOdW0+PHJl
Y29yZD48cmVjLW51bWJlcj41NTQ1PC9yZWMtbnVtYmVyPjxmb3JlaWduLWtleXM+PGtleSBhcHA9
IkVOIiBkYi1pZD0iZnB0OXB0dHJtNXpmc2Flc3A5ZnBzZGR2MDlld3N2NXhld2ZkIiB0aW1lc3Rh
bXA9IjE1MjUwNDY2NzAiPjU1NDU8L2tleT48a2V5IGFwcD0iRU5XZWIiIGRiLWlkPSIiPjA8L2tl
eT48L2ZvcmVpZ24ta2V5cz48cmVmLXR5cGUgbmFtZT0iSm91cm5hbCBBcnRpY2xlIj4xNzwvcmVm
LXR5cGU+PGNvbnRyaWJ1dG9ycz48YXV0aG9ycz48YXV0aG9yPktyaXN0amFuc3NvbiwgQS4gTC48
L2F1dGhvcj48YXV0aG9yPk1hbm4sIE0uIEouPC9hdXRob3I+PGF1dGhvcj5TbWl0aCwgTS4gTC48
L2F1dGhvcj48YXV0aG9yPlNpZ2Z1c2RvdHRpciwgSS4gRC48L2F1dGhvcj48L2F1dGhvcnM+PC9j
b250cmlidXRvcnM+PHRpdGxlcz48dGl0bGU+U29jaWFsIFByb2ZpbGUgb2YgTWlkZGxlIFNjaG9v
bC1BZ2VkIEFkb2xlc2NlbnRzIFdobyBVc2UgRWxlY3Ryb25pYyBDaWdhcmV0dGVzOiBJbXBsaWNh
dGlvbnMgZm9yIFByaW1hcnkgUHJldmVudGlvbjwvdGl0bGU+PHNlY29uZGFyeS10aXRsZT5QcmV2
ZW50aW9uIFNjaWVuY2U8L3NlY29uZGFyeS10aXRsZT48L3RpdGxlcz48cGVyaW9kaWNhbD48ZnVs
bC10aXRsZT5QcmV2ZW50aW9uIFNjaWVuY2U8L2Z1bGwtdGl0bGU+PC9wZXJpb2RpY2FsPjxwYWdl
cz4xLTg8L3BhZ2VzPjxkYXRlcz48eWVhcj4yMDE3PC95ZWFyPjwvZGF0ZXM+PHVybHM+PHJlbGF0
ZWQtdXJscz48dXJsPmh0dHBzOi8vd3d3LnNjb3B1cy5jb20vaW53YXJkL3JlY29yZC51cmk/ZWlk
PTItczIuMC04NTAyNTA5MDU1NSZhbXA7ZG9pPTEwLjEwMDclMmZzMTExMjEtMDE3LTA4MjUteCZh
bXA7cGFydG5lcklEPTQwJmFtcDttZDU9YmIzNjY5NWQ3MmFlMzQyY2Q2NmQzNGY1MzUxMjdhZWU8
L3VybD48dXJsPmh0dHBzOi8vbGluay5zcHJpbmdlci5jb20vY29udGVudC9wZGYvMTAuMTAwNyUy
RnMxMTEyMS0wMTctMDgyNS14LnBkZjwvdXJsPjwvcmVsYXRlZC11cmxzPjwvdXJscz48ZWxlY3Ry
b25pYy1yZXNvdXJjZS1udW0+MTAuMTAwNy9zMTExMjEtMDE3LTA4MjUteDwvZWxlY3Ryb25pYy1y
ZXNvdXJjZS1udW0+PHJlbW90ZS1kYXRhYmFzZS1uYW1lPlNjb3B1czwvcmVtb3RlLWRhdGFiYXNl
LW5hbWU+PC9yZWNvcmQ+PC9DaXRlPjwvRW5kTm90ZT5=
</w:fldData>
        </w:fldChar>
      </w:r>
      <w:r w:rsidRPr="00892582">
        <w:instrText xml:space="preserve"> ADDIN EN.CITE.DATA </w:instrText>
      </w:r>
      <w:r w:rsidRPr="00892582">
        <w:fldChar w:fldCharType="end"/>
      </w:r>
      <w:r w:rsidRPr="00892582">
        <w:fldChar w:fldCharType="separate"/>
      </w:r>
      <w:r w:rsidRPr="00892582">
        <w:t>(Kristjansson, Mann et al. 2017, Kristjansson, Mann et al. 2017)</w:t>
      </w:r>
      <w:r w:rsidRPr="00892582">
        <w:fldChar w:fldCharType="end"/>
      </w:r>
      <w:r w:rsidRPr="00892582">
        <w:t xml:space="preserve">, reasons for use </w:t>
      </w:r>
      <w:r w:rsidRPr="00892582">
        <w:fldChar w:fldCharType="begin"/>
      </w:r>
      <w:r w:rsidRPr="00892582">
        <w:instrText xml:space="preserve"> ADDIN EN.CITE &lt;EndNote&gt;&lt;Cite&gt;&lt;Author&gt;Hong&lt;/Author&gt;&lt;Year&gt;2017&lt;/Year&gt;&lt;RecNum&gt;5806&lt;/RecNum&gt;&lt;DisplayText&gt;(Hong, Barrington-Trimis et al. 2017)&lt;/DisplayText&gt;&lt;record&gt;&lt;rec-number&gt;5806&lt;/rec-number&gt;&lt;foreign-keys&gt;&lt;key app="EN" db-id="fpt9pttrm5zfsaesp9fpsddv09ewsv5xewfd" timestamp="1525046853"&gt;5806&lt;/key&gt;&lt;/foreign-keys&gt;&lt;ref-type name="Journal Article"&gt;17&lt;/ref-type&gt;&lt;contributors&gt;&lt;authors&gt;&lt;author&gt;Hong, H.&lt;/author&gt;&lt;author&gt;Barrington-Trimis, J.&lt;/author&gt;&lt;author&gt;Liu, F.&lt;/author&gt;&lt;author&gt;Urman, R.&lt;/author&gt;&lt;author&gt;McConnell, R.&lt;/author&gt;&lt;/authors&gt;&lt;/contributors&gt;&lt;titles&gt;&lt;title&gt;Reasons For Electronic Cigarette Use Among Southern California Young Adults&lt;/title&gt;&lt;secondary-title&gt;American Journal of Respiratory and Critical Care Medicine&lt;/secondary-title&gt;&lt;/titles&gt;&lt;periodical&gt;&lt;full-title&gt;Am J Respir Crit Care Med&lt;/full-title&gt;&lt;abbr-1&gt;American journal of respiratory and critical care medicine&lt;/abbr-1&gt;&lt;/periodical&gt;&lt;volume&gt;195&lt;/volume&gt;&lt;dates&gt;&lt;year&gt;2017&lt;/year&gt;&lt;pub-dates&gt;&lt;date&gt;2017&lt;/date&gt;&lt;/pub-dates&gt;&lt;/dates&gt;&lt;isbn&gt;1073-449X&lt;/isbn&gt;&lt;accession-num&gt;WOS:000400372500023&lt;/accession-num&gt;&lt;urls&gt;&lt;related-urls&gt;&lt;url&gt;&amp;lt;Go to ISI&amp;gt;://WOS:000400372500023&lt;/url&gt;&lt;/related-urls&gt;&lt;/urls&gt;&lt;/record&gt;&lt;/Cite&gt;&lt;/EndNote&gt;</w:instrText>
      </w:r>
      <w:r w:rsidRPr="00892582">
        <w:fldChar w:fldCharType="separate"/>
      </w:r>
      <w:r w:rsidRPr="00892582">
        <w:t>(Hong, Barrington-Trimis et al. 2017)</w:t>
      </w:r>
      <w:r w:rsidRPr="00892582">
        <w:fldChar w:fldCharType="end"/>
      </w:r>
      <w:r w:rsidRPr="00892582">
        <w:t xml:space="preserve"> and predicting use of tobacco products in Texas </w:t>
      </w:r>
      <w:r w:rsidRPr="00892582">
        <w:fldChar w:fldCharType="begin"/>
      </w:r>
      <w:r w:rsidRPr="00892582">
        <w:instrText xml:space="preserve"> ADDIN EN.CITE &lt;EndNote&gt;&lt;Cite&gt;&lt;Author&gt;Creamer&lt;/Author&gt;&lt;Year&gt;2018&lt;/Year&gt;&lt;RecNum&gt;4621&lt;/RecNum&gt;&lt;DisplayText&gt;(Creamer, Loukas et al. 2018)&lt;/DisplayText&gt;&lt;record&gt;&lt;rec-number&gt;4621&lt;/rec-number&gt;&lt;foreign-keys&gt;&lt;key app="EN" db-id="fpt9pttrm5zfsaesp9fpsddv09ewsv5xewfd" timestamp="1525045156"&gt;4621&lt;/key&gt;&lt;key app="ENWeb" db-id=""&gt;0&lt;/key&gt;&lt;/foreign-keys&gt;&lt;ref-type name="Journal Article"&gt;17&lt;/ref-type&gt;&lt;contributors&gt;&lt;authors&gt;&lt;author&gt;Creamer, M. R.&lt;/author&gt;&lt;author&gt;Loukas, A.&lt;/author&gt;&lt;author&gt;Clendennen, S.&lt;/author&gt;&lt;author&gt;Mantey, D.&lt;/author&gt;&lt;author&gt;Pasch, K. E.&lt;/author&gt;&lt;author&gt;Marti, C. N.&lt;/author&gt;&lt;author&gt;Perry, C. L.&lt;/author&gt;&lt;/authors&gt;&lt;/contributors&gt;&lt;auth-address&gt;a UTHealth School of Public Health in Austin , Austin , USA.&amp;#xD;b The University of Texas at Austin , Department of Kinesiology &amp;amp; Health Education , Austin , USA.&lt;/auth-address&gt;&lt;titles&gt;&lt;title&gt;Longitudinal Predictors of Cigarette Use among Students from 24 Texas Colleges&lt;/title&gt;&lt;secondary-title&gt;J Am Coll Health&lt;/secondary-title&gt;&lt;alt-title&gt;Journal of American college health : J of ACH&lt;/alt-title&gt;&lt;/titles&gt;&lt;periodical&gt;&lt;full-title&gt;J Am Coll Health&lt;/full-title&gt;&lt;abbr-1&gt;Journal of American college health : J of ACH&lt;/abbr-1&gt;&lt;/periodical&gt;&lt;alt-periodical&gt;&lt;full-title&gt;J Am Coll Health&lt;/full-title&gt;&lt;abbr-1&gt;Journal of American college health : J of ACH&lt;/abbr-1&gt;&lt;/alt-periodical&gt;&lt;pages&gt;0&lt;/pages&gt;&lt;edition&gt;2018/02/09&lt;/edition&gt;&lt;dates&gt;&lt;year&gt;2018&lt;/year&gt;&lt;pub-dates&gt;&lt;date&gt;Feb 8&lt;/date&gt;&lt;/pub-dates&gt;&lt;/dates&gt;&lt;isbn&gt;0744-8481&lt;/isbn&gt;&lt;accession-num&gt;29419363&lt;/accession-num&gt;&lt;urls&gt;&lt;related-urls&gt;&lt;url&gt;https://www.tandfonline.com/doi/pdf/10.1080/07448481.2018.1431907?needAccess=true&lt;/url&gt;&lt;/related-urls&gt;&lt;/urls&gt;&lt;electronic-resource-num&gt;10.1080/07448481.2018.1431907&lt;/electronic-resource-num&gt;&lt;remote-database-provider&gt;NLM&lt;/remote-database-provider&gt;&lt;language&gt;eng&lt;/language&gt;&lt;/record&gt;&lt;/Cite&gt;&lt;/EndNote&gt;</w:instrText>
      </w:r>
      <w:r w:rsidRPr="00892582">
        <w:fldChar w:fldCharType="separate"/>
      </w:r>
      <w:r w:rsidRPr="00892582">
        <w:t>(Creamer, Loukas et al. 2018)</w:t>
      </w:r>
      <w:r w:rsidRPr="00892582">
        <w:fldChar w:fldCharType="end"/>
      </w:r>
      <w:r w:rsidRPr="00892582">
        <w:t xml:space="preserve"> and Florida </w:t>
      </w:r>
      <w:r w:rsidRPr="00892582">
        <w:fldChar w:fldCharType="begin"/>
      </w:r>
      <w:r>
        <w:instrText xml:space="preserve"> ADDIN EN.CITE &lt;EndNote&gt;&lt;Cite&gt;&lt;Author&gt;Lee&lt;/Author&gt;&lt;Year&gt;2018&lt;/Year&gt;&lt;RecNum&gt;10465&lt;/RecNum&gt;&lt;DisplayText&gt;(Lee, Pepper et al. 2018)&lt;/DisplayText&gt;&lt;record&gt;&lt;rec-number&gt;10465&lt;/rec-number&gt;&lt;foreign-keys&gt;&lt;key app="EN" db-id="9z05dz0praadfuee0zoxzedk9zfe5fxx50z5" timestamp="1526869878"&gt;10465&lt;/key&gt;&lt;key app="ENWeb" db-id=""&gt;0&lt;/key&gt;&lt;/foreign-keys&gt;&lt;ref-type name="Journal Article"&gt;17&lt;/ref-type&gt;&lt;contributors&gt;&lt;authors&gt;&lt;author&gt;Lee, Youn Ok&lt;/author&gt;&lt;author&gt;Pepper, Jessica K.&lt;/author&gt;&lt;author&gt;MacMonegle, Anna J.&lt;/author&gt;&lt;author&gt;Nonnemaker, James M.&lt;/author&gt;&lt;author&gt;Duke, Jennifer C.&lt;/author&gt;&lt;author&gt;Porter, Lauren&lt;/author&gt;&lt;/authors&gt;&lt;/contributors&gt;&lt;titles&gt;&lt;title&gt;Examining Youth Dual and Polytobacco Use with E-Cigarettes&lt;/title&gt;&lt;secondary-title&gt;International journal of environmental research and public health&lt;/secondary-title&gt;&lt;/titles&gt;&lt;periodical&gt;&lt;full-title&gt;International Journal of Environmental Research and Public Health&lt;/full-title&gt;&lt;/periodical&gt;&lt;volume&gt;15&lt;/volume&gt;&lt;number&gt;4&lt;/number&gt;&lt;dates&gt;&lt;year&gt;2018&lt;/year&gt;&lt;pub-dates&gt;&lt;date&gt;2018 Apr&lt;/date&gt;&lt;/pub-dates&gt;&lt;/dates&gt;&lt;accession-num&gt;MEDLINE:29642480&lt;/accession-num&gt;&lt;urls&gt;&lt;related-urls&gt;&lt;url&gt;&amp;lt;Go to ISI&amp;gt;://MEDLINE:29642480&lt;/url&gt;&lt;url&gt;http://www.mdpi.com/1660-4601/15/4/699/pdf&lt;/url&gt;&lt;/related-urls&gt;&lt;/urls&gt;&lt;electronic-resource-num&gt;10.3390/ijerph15040699&lt;/electronic-resource-num&gt;&lt;/record&gt;&lt;/Cite&gt;&lt;/EndNote&gt;</w:instrText>
      </w:r>
      <w:r w:rsidRPr="00892582">
        <w:fldChar w:fldCharType="separate"/>
      </w:r>
      <w:r w:rsidRPr="00892582">
        <w:rPr>
          <w:noProof/>
        </w:rPr>
        <w:t>(Lee, Pepper et al. 2018)</w:t>
      </w:r>
      <w:r w:rsidRPr="00892582">
        <w:fldChar w:fldCharType="end"/>
      </w:r>
      <w:r w:rsidRPr="00892582">
        <w:t xml:space="preserve">. Lee et al </w:t>
      </w:r>
      <w:r w:rsidRPr="00892582">
        <w:fldChar w:fldCharType="begin"/>
      </w:r>
      <w:r>
        <w:instrText xml:space="preserve"> ADDIN EN.CITE &lt;EndNote&gt;&lt;Cite&gt;&lt;Author&gt;Lee&lt;/Author&gt;&lt;Year&gt;2018&lt;/Year&gt;&lt;RecNum&gt;10465&lt;/RecNum&gt;&lt;DisplayText&gt;(Lee, Pepper et al. 2018)&lt;/DisplayText&gt;&lt;record&gt;&lt;rec-number&gt;10465&lt;/rec-number&gt;&lt;foreign-keys&gt;&lt;key app="EN" db-id="9z05dz0praadfuee0zoxzedk9zfe5fxx50z5" timestamp="1526869878"&gt;10465&lt;/key&gt;&lt;key app="ENWeb" db-id=""&gt;0&lt;/key&gt;&lt;/foreign-keys&gt;&lt;ref-type name="Journal Article"&gt;17&lt;/ref-type&gt;&lt;contributors&gt;&lt;authors&gt;&lt;author&gt;Lee, Youn Ok&lt;/author&gt;&lt;author&gt;Pepper, Jessica K.&lt;/author&gt;&lt;author&gt;MacMonegle, Anna J.&lt;/author&gt;&lt;author&gt;Nonnemaker, James M.&lt;/author&gt;&lt;author&gt;Duke, Jennifer C.&lt;/author&gt;&lt;author&gt;Porter, Lauren&lt;/author&gt;&lt;/authors&gt;&lt;/contributors&gt;&lt;titles&gt;&lt;title&gt;Examining Youth Dual and Polytobacco Use with E-Cigarettes&lt;/title&gt;&lt;secondary-title&gt;International journal of environmental research and public health&lt;/secondary-title&gt;&lt;/titles&gt;&lt;periodical&gt;&lt;full-title&gt;International Journal of Environmental Research and Public Health&lt;/full-title&gt;&lt;/periodical&gt;&lt;volume&gt;15&lt;/volume&gt;&lt;number&gt;4&lt;/number&gt;&lt;dates&gt;&lt;year&gt;2018&lt;/year&gt;&lt;pub-dates&gt;&lt;date&gt;2018 Apr&lt;/date&gt;&lt;/pub-dates&gt;&lt;/dates&gt;&lt;accession-num&gt;MEDLINE:29642480&lt;/accession-num&gt;&lt;urls&gt;&lt;related-urls&gt;&lt;url&gt;&amp;lt;Go to ISI&amp;gt;://MEDLINE:29642480&lt;/url&gt;&lt;url&gt;http://www.mdpi.com/1660-4601/15/4/699/pdf&lt;/url&gt;&lt;/related-urls&gt;&lt;/urls&gt;&lt;electronic-resource-num&gt;10.3390/ijerph15040699&lt;/electronic-resource-num&gt;&lt;/record&gt;&lt;/Cite&gt;&lt;/EndNote&gt;</w:instrText>
      </w:r>
      <w:r w:rsidRPr="00892582">
        <w:fldChar w:fldCharType="separate"/>
      </w:r>
      <w:r w:rsidRPr="00892582">
        <w:rPr>
          <w:noProof/>
        </w:rPr>
        <w:t>(Lee, Pepper et al. 2018)</w:t>
      </w:r>
      <w:r w:rsidRPr="00892582">
        <w:fldChar w:fldCharType="end"/>
      </w:r>
      <w:r w:rsidRPr="00892582">
        <w:t xml:space="preserve"> slightly extended national observations using the Florida YTS. They found that the perception that cigarettes are easy to quit is predictive of combined use of conventional and </w:t>
      </w:r>
      <w:r>
        <w:t>e</w:t>
      </w:r>
      <w:r>
        <w:noBreakHyphen/>
        <w:t>cig</w:t>
      </w:r>
      <w:r w:rsidRPr="00892582">
        <w:t xml:space="preserve">arettes. </w:t>
      </w:r>
    </w:p>
    <w:p w14:paraId="055423A3" w14:textId="77777777" w:rsidR="002E3AED" w:rsidRPr="00892582" w:rsidRDefault="002E3AED" w:rsidP="002E3AED">
      <w:pPr>
        <w:pStyle w:val="BodyText"/>
      </w:pPr>
      <w:r w:rsidRPr="00892582">
        <w:lastRenderedPageBreak/>
        <w:t xml:space="preserve">TATMAS data was used to explore how psychological factors such as subjective experiences </w:t>
      </w:r>
      <w:r w:rsidRPr="00892582">
        <w:fldChar w:fldCharType="begin"/>
      </w:r>
      <w:r w:rsidRPr="00892582">
        <w:instrText xml:space="preserve"> ADDIN EN.CITE &lt;EndNote&gt;&lt;Cite&gt;&lt;Author&gt;Creamer&lt;/Author&gt;&lt;Year&gt;2017&lt;/Year&gt;&lt;RecNum&gt;4752&lt;/RecNum&gt;&lt;DisplayText&gt;(Creamer, Delk et al. 2017)&lt;/DisplayText&gt;&lt;record&gt;&lt;rec-number&gt;4752&lt;/rec-number&gt;&lt;foreign-keys&gt;&lt;key app="EN" db-id="fpt9pttrm5zfsaesp9fpsddv09ewsv5xewfd" timestamp="1525045429"&gt;4752&lt;/key&gt;&lt;key app="ENWeb" db-id=""&gt;0&lt;/key&gt;&lt;/foreign-keys&gt;&lt;ref-type name="Journal Article"&gt;17&lt;/ref-type&gt;&lt;contributors&gt;&lt;authors&gt;&lt;author&gt;Creamer, M. R.&lt;/author&gt;&lt;author&gt;Delk, J.&lt;/author&gt;&lt;author&gt;Case, K.&lt;/author&gt;&lt;author&gt;Perry, C. L.&lt;/author&gt;&lt;author&gt;Harrell, M. B.&lt;/author&gt;&lt;/authors&gt;&lt;/contributors&gt;&lt;auth-address&gt;a Michael &amp;amp; Susan Dell Center for Healthy Living, UTHealth, School of Public Health in Austin , Austin , Texas , USA.&lt;/auth-address&gt;&lt;titles&gt;&lt;title&gt;Positive Outcome Expectations and Tobacco Product Use Behaviors in Youth&lt;/title&gt;&lt;secondary-title&gt;Subst Use Misuse&lt;/secondary-title&gt;&lt;alt-title&gt;Substance use &amp;amp; misuse&lt;/alt-title&gt;&lt;/titles&gt;&lt;alt-periodical&gt;&lt;full-title&gt;Substance Use &amp;amp; Misuse&lt;/full-title&gt;&lt;/alt-periodical&gt;&lt;pages&gt;1-4&lt;/pages&gt;&lt;edition&gt;2017/11/28&lt;/edition&gt;&lt;keywords&gt;&lt;keyword&gt;Adolescence&lt;/keyword&gt;&lt;keyword&gt;adolescent health&lt;/keyword&gt;&lt;keyword&gt;smoking and tobacco use&lt;/keyword&gt;&lt;keyword&gt;social cognitive theory&lt;/keyword&gt;&lt;keyword&gt;tobacco control and policy&lt;/keyword&gt;&lt;/keywords&gt;&lt;dates&gt;&lt;year&gt;2017&lt;/year&gt;&lt;pub-dates&gt;&lt;date&gt;Nov 27&lt;/date&gt;&lt;/pub-dates&gt;&lt;/dates&gt;&lt;isbn&gt;1082-6084&lt;/isbn&gt;&lt;accession-num&gt;29172952&lt;/accession-num&gt;&lt;urls&gt;&lt;related-urls&gt;&lt;url&gt;https://www.tandfonline.com/doi/pdf/10.1080/10826084.2017.1404104?needAccess=true&lt;/url&gt;&lt;/related-urls&gt;&lt;/urls&gt;&lt;electronic-resource-num&gt;10.1080/10826084.2017.1404104&lt;/electronic-resource-num&gt;&lt;remote-database-provider&gt;NLM&lt;/remote-database-provider&gt;&lt;language&gt;eng&lt;/language&gt;&lt;/record&gt;&lt;/Cite&gt;&lt;/EndNote&gt;</w:instrText>
      </w:r>
      <w:r w:rsidRPr="00892582">
        <w:fldChar w:fldCharType="separate"/>
      </w:r>
      <w:r w:rsidRPr="00892582">
        <w:t>(Creamer, Delk et al. 2017)</w:t>
      </w:r>
      <w:r w:rsidRPr="00892582">
        <w:fldChar w:fldCharType="end"/>
      </w:r>
      <w:r w:rsidRPr="00892582">
        <w:t xml:space="preserve"> and sensation seeking </w:t>
      </w:r>
      <w:r w:rsidRPr="00892582">
        <w:fldChar w:fldCharType="begin">
          <w:fldData xml:space="preserve">PEVuZE5vdGU+PENpdGU+PEF1dGhvcj5DYXNlPC9BdXRob3I+PFllYXI+MjAxNzwvWWVhcj48UmVj
TnVtPjUwNjI8L1JlY051bT48RGlzcGxheVRleHQ+KENhc2UsIEhhcnJlbGwgZXQgYWwuIDIwMTcp
PC9EaXNwbGF5VGV4dD48cmVjb3JkPjxyZWMtbnVtYmVyPjUwNjI8L3JlYy1udW1iZXI+PGZvcmVp
Z24ta2V5cz48a2V5IGFwcD0iRU4iIGRiLWlkPSJmcHQ5cHR0cm01emZzYWVzcDlmcHNkZHYwOWV3
c3Y1eGV3ZmQiIHRpbWVzdGFtcD0iMTUyNTA0NTkxMiI+NTA2Mjwva2V5PjxrZXkgYXBwPSJFTldl
YiIgZGItaWQ9IiI+MDwva2V5PjwvZm9yZWlnbi1rZXlzPjxyZWYtdHlwZSBuYW1lPSJKb3VybmFs
IEFydGljbGUiPjE3PC9yZWYtdHlwZT48Y29udHJpYnV0b3JzPjxhdXRob3JzPjxhdXRob3I+Q2Fz
ZSwgSy4gUi48L2F1dGhvcj48YXV0aG9yPkhhcnJlbGwsIE0uIEIuPC9hdXRob3I+PGF1dGhvcj5Q
ZXJleiwgQS48L2F1dGhvcj48YXV0aG9yPkxvdWthcywgQS48L2F1dGhvcj48YXV0aG9yPldpbGtp
bnNvbiwgQS4gVi48L2F1dGhvcj48YXV0aG9yPlNwcmluZ2VyLCBBLiBFLjwvYXV0aG9yPjxhdXRo
b3I+Q3JlYW1lciwgTS4gUi48L2F1dGhvcj48YXV0aG9yPlBlcnJ5LCBDLiBMLjwvYXV0aG9yPjwv
YXV0aG9ycz48L2NvbnRyaWJ1dG9ycz48YXV0aC1hZGRyZXNzPlRoZSBVbml2ZXJzaXR5IG9mIFRl
eGFzIEhlYWx0aCBTY2llbmNlIENlbnRlciBhdCBIb3VzdG9uIChVVEhlYWx0aCksIFNjaG9vbCBv
ZiBQdWJsaWMgSGVhbHRoIGluIEF1c3RpbiwgVW5pdGVkIFN0YXRlcy4gRWxlY3Ryb25pYyBhZGRy
ZXNzOiBLYXRobGVlbi5SLkNhc2VAdXRoLnRtYy5lZHUuJiN4RDtUaGUgVW5pdmVyc2l0eSBvZiBU
ZXhhcyBIZWFsdGggU2NpZW5jZSBDZW50ZXIgYXQgSG91c3RvbiAoVVRIZWFsdGgpLCBTY2hvb2wg
b2YgUHVibGljIEhlYWx0aCBpbiBBdXN0aW4sIFVuaXRlZCBTdGF0ZXMuIEVsZWN0cm9uaWMgYWRk
cmVzczogTWVsaXNzYS5CLkhhcnJlbGxAdXRoLnRtYy5lZHUuJiN4RDtUaGUgVW5pdmVyc2l0eSBv
ZiBUZXhhcyBIZWFsdGggU2NpZW5jZSBDZW50ZXIgYXQgSG91c3RvbiAoVVRIZWFsdGgpLCBTY2hv
b2wgb2YgUHVibGljIEhlYWx0aCBpbiBBdXN0aW4sIFVuaXRlZCBTdGF0ZXMuIEVsZWN0cm9uaWMg
YWRkcmVzczogQWRyaWFuYS5QZXJlekB1dGgudG1jLmVkdS4mI3hEO0RlcGFydG1lbnQgb2YgS2lu
ZXNpb2xvZ3kgYW5kIEhlYWx0aCBFZHVjYXRpb24sIFVuaXZlcnNpdHkgb2YgVGV4YXMgYXQgQXVz
dGluLCBVbml0ZWQgU3RhdGVzLiBFbGVjdHJvbmljIGFkZHJlc3M6IEFsZXhhbmRyYS5Mb3VrYXNA
YXVzdGluLnV0ZXhhcy5lZHUuJiN4RDtUaGUgVW5pdmVyc2l0eSBvZiBUZXhhcyBIZWFsdGggU2Np
ZW5jZSBDZW50ZXIgYXQgSG91c3RvbiAoVVRIZWFsdGgpLCBTY2hvb2wgb2YgUHVibGljIEhlYWx0
aCBpbiBBdXN0aW4sIFVuaXRlZCBTdGF0ZXMuIEVsZWN0cm9uaWMgYWRkcmVzczogQW5uYS5WLldp
bGtpbnNvbkB1dGgudG1jLmVkdS4mI3hEO1RoZSBVbml2ZXJzaXR5IG9mIFRleGFzIEhlYWx0aCBT
Y2llbmNlIENlbnRlciBhdCBIb3VzdG9uIChVVEhlYWx0aCksIFNjaG9vbCBvZiBQdWJsaWMgSGVh
bHRoIGluIEF1c3RpbiwgVW5pdGVkIFN0YXRlcy4gRWxlY3Ryb25pYyBhZGRyZXNzOiBBbmRyZXcu
RS5TcHJpbmdlckB1dGgudG1jLmVkdS4mI3hEO1RoZSBVbml2ZXJzaXR5IG9mIFRleGFzIEhlYWx0
aCBTY2llbmNlIENlbnRlciBhdCBIb3VzdG9uIChVVEhlYWx0aCksIFNjaG9vbCBvZiBQdWJsaWMg
SGVhbHRoIGluIEF1c3RpbiwgVW5pdGVkIFN0YXRlcy4gRWxlY3Ryb25pYyBhZGRyZXNzOiBNZUxp
c2EuUi5DcmVhbWVyQHV0aC50bWMuZWR1LiYjeEQ7VGhlIFVuaXZlcnNpdHkgb2YgVGV4YXMgSGVh
bHRoIFNjaWVuY2UgQ2VudGVyIGF0IEhvdXN0b24gKFVUSGVhbHRoKSwgU2Nob29sIG9mIFB1Ymxp
YyBIZWFsdGggaW4gQXVzdGluLCBVbml0ZWQgU3RhdGVzLiBFbGVjdHJvbmljIGFkZHJlc3M6IENo
ZXJ5bC5MLlBlcnJ5QHV0aC50bWMuZWR1LjwvYXV0aC1hZGRyZXNzPjx0aXRsZXM+PHRpdGxlPlRo
ZSByZWxhdGlvbnNoaXBzIGJldHdlZW4gc2Vuc2F0aW9uIHNlZWtpbmcgYW5kIGEgc3BlY3RydW0g
b2YgZS1jaWdhcmV0dGUgdXNlIGJlaGF2aW9yczogQ3Jvc3Mtc2VjdGlvbmFsIGFuZCBsb25naXR1
ZGluYWwgYW5hbHlzZXMgc3BlY2lmaWMgdG8gVGV4YXMgYWRvbGVzY2VudHM8L3RpdGxlPjxzZWNv
bmRhcnktdGl0bGU+QWRkaWN0IEJlaGF2PC9zZWNvbmRhcnktdGl0bGU+PGFsdC10aXRsZT5BZGRp
Y3RpdmUgYmVoYXZpb3JzPC9hbHQtdGl0bGU+PC90aXRsZXM+PGFsdC1wZXJpb2RpY2FsPjxmdWxs
LXRpdGxlPkFkZGljdGl2ZSBCZWhhdmlvcnM8L2Z1bGwtdGl0bGU+PC9hbHQtcGVyaW9kaWNhbD48
cGFnZXM+MTUxLTE1NzwvcGFnZXM+PHZvbHVtZT43Mzwvdm9sdW1lPjxlZGl0aW9uPjIwMTcvMDUv
MTk8L2VkaXRpb24+PGtleXdvcmRzPjxrZXl3b3JkPkFkb2xlc2NlbnRzPC9rZXl3b3JkPjxrZXl3
b3JkPkVsZWN0cm9uaWMgY2lnYXJldHRlczwva2V5d29yZD48a2V5d29yZD5TZW5zYXRpb24gc2Vl
a2luZzwva2V5d29yZD48L2tleXdvcmRzPjxkYXRlcz48eWVhcj4yMDE3PC95ZWFyPjxwdWItZGF0
ZXM+PGRhdGU+T2N0PC9kYXRlPjwvcHViLWRhdGVzPjwvZGF0ZXM+PGlzYm4+MDMwNi00NjAzPC9p
c2JuPjxhY2Nlc3Npb24tbnVtPjI4NTIxMjQwPC9hY2Nlc3Npb24tbnVtPjx1cmxzPjxyZWxhdGVk
LXVybHM+PHVybD5odHRwczovL3d3dy5zY2llbmNlZGlyZWN0LmNvbS9zY2llbmNlL2FydGljbGUv
cGlpL1MwMzA2NDYwMzE3MzAxNzg4P3ZpYSUzRGlodWI8L3VybD48L3JlbGF0ZWQtdXJscz48L3Vy
bHM+PGN1c3RvbTI+UE1DNTUyMzQwODwvY3VzdG9tMj48Y3VzdG9tNj5OSUhNUzg3OTg2MTwvY3Vz
dG9tNj48ZWxlY3Ryb25pYy1yZXNvdXJjZS1udW0+MTAuMTAxNi9qLmFkZGJlaC4yMDE3LjA1LjAw
NzwvZWxlY3Ryb25pYy1yZXNvdXJjZS1udW0+PHJlbW90ZS1kYXRhYmFzZS1wcm92aWRlcj5OTE08
L3JlbW90ZS1kYXRhYmFzZS1wcm92aWRlcj48bGFuZ3VhZ2U+ZW5nPC9sYW5ndWFnZT48L3JlY29y
ZD48L0NpdGU+PC9FbmROb3RlPgB=
</w:fldData>
        </w:fldChar>
      </w:r>
      <w:r w:rsidRPr="00892582">
        <w:instrText xml:space="preserve"> ADDIN EN.CITE </w:instrText>
      </w:r>
      <w:r w:rsidRPr="00892582">
        <w:fldChar w:fldCharType="begin">
          <w:fldData xml:space="preserve">PEVuZE5vdGU+PENpdGU+PEF1dGhvcj5DYXNlPC9BdXRob3I+PFllYXI+MjAxNzwvWWVhcj48UmVj
TnVtPjUwNjI8L1JlY051bT48RGlzcGxheVRleHQ+KENhc2UsIEhhcnJlbGwgZXQgYWwuIDIwMTcp
PC9EaXNwbGF5VGV4dD48cmVjb3JkPjxyZWMtbnVtYmVyPjUwNjI8L3JlYy1udW1iZXI+PGZvcmVp
Z24ta2V5cz48a2V5IGFwcD0iRU4iIGRiLWlkPSJmcHQ5cHR0cm01emZzYWVzcDlmcHNkZHYwOWV3
c3Y1eGV3ZmQiIHRpbWVzdGFtcD0iMTUyNTA0NTkxMiI+NTA2Mjwva2V5PjxrZXkgYXBwPSJFTldl
YiIgZGItaWQ9IiI+MDwva2V5PjwvZm9yZWlnbi1rZXlzPjxyZWYtdHlwZSBuYW1lPSJKb3VybmFs
IEFydGljbGUiPjE3PC9yZWYtdHlwZT48Y29udHJpYnV0b3JzPjxhdXRob3JzPjxhdXRob3I+Q2Fz
ZSwgSy4gUi48L2F1dGhvcj48YXV0aG9yPkhhcnJlbGwsIE0uIEIuPC9hdXRob3I+PGF1dGhvcj5Q
ZXJleiwgQS48L2F1dGhvcj48YXV0aG9yPkxvdWthcywgQS48L2F1dGhvcj48YXV0aG9yPldpbGtp
bnNvbiwgQS4gVi48L2F1dGhvcj48YXV0aG9yPlNwcmluZ2VyLCBBLiBFLjwvYXV0aG9yPjxhdXRo
b3I+Q3JlYW1lciwgTS4gUi48L2F1dGhvcj48YXV0aG9yPlBlcnJ5LCBDLiBMLjwvYXV0aG9yPjwv
YXV0aG9ycz48L2NvbnRyaWJ1dG9ycz48YXV0aC1hZGRyZXNzPlRoZSBVbml2ZXJzaXR5IG9mIFRl
eGFzIEhlYWx0aCBTY2llbmNlIENlbnRlciBhdCBIb3VzdG9uIChVVEhlYWx0aCksIFNjaG9vbCBv
ZiBQdWJsaWMgSGVhbHRoIGluIEF1c3RpbiwgVW5pdGVkIFN0YXRlcy4gRWxlY3Ryb25pYyBhZGRy
ZXNzOiBLYXRobGVlbi5SLkNhc2VAdXRoLnRtYy5lZHUuJiN4RDtUaGUgVW5pdmVyc2l0eSBvZiBU
ZXhhcyBIZWFsdGggU2NpZW5jZSBDZW50ZXIgYXQgSG91c3RvbiAoVVRIZWFsdGgpLCBTY2hvb2wg
b2YgUHVibGljIEhlYWx0aCBpbiBBdXN0aW4sIFVuaXRlZCBTdGF0ZXMuIEVsZWN0cm9uaWMgYWRk
cmVzczogTWVsaXNzYS5CLkhhcnJlbGxAdXRoLnRtYy5lZHUuJiN4RDtUaGUgVW5pdmVyc2l0eSBv
ZiBUZXhhcyBIZWFsdGggU2NpZW5jZSBDZW50ZXIgYXQgSG91c3RvbiAoVVRIZWFsdGgpLCBTY2hv
b2wgb2YgUHVibGljIEhlYWx0aCBpbiBBdXN0aW4sIFVuaXRlZCBTdGF0ZXMuIEVsZWN0cm9uaWMg
YWRkcmVzczogQWRyaWFuYS5QZXJlekB1dGgudG1jLmVkdS4mI3hEO0RlcGFydG1lbnQgb2YgS2lu
ZXNpb2xvZ3kgYW5kIEhlYWx0aCBFZHVjYXRpb24sIFVuaXZlcnNpdHkgb2YgVGV4YXMgYXQgQXVz
dGluLCBVbml0ZWQgU3RhdGVzLiBFbGVjdHJvbmljIGFkZHJlc3M6IEFsZXhhbmRyYS5Mb3VrYXNA
YXVzdGluLnV0ZXhhcy5lZHUuJiN4RDtUaGUgVW5pdmVyc2l0eSBvZiBUZXhhcyBIZWFsdGggU2Np
ZW5jZSBDZW50ZXIgYXQgSG91c3RvbiAoVVRIZWFsdGgpLCBTY2hvb2wgb2YgUHVibGljIEhlYWx0
aCBpbiBBdXN0aW4sIFVuaXRlZCBTdGF0ZXMuIEVsZWN0cm9uaWMgYWRkcmVzczogQW5uYS5WLldp
bGtpbnNvbkB1dGgudG1jLmVkdS4mI3hEO1RoZSBVbml2ZXJzaXR5IG9mIFRleGFzIEhlYWx0aCBT
Y2llbmNlIENlbnRlciBhdCBIb3VzdG9uIChVVEhlYWx0aCksIFNjaG9vbCBvZiBQdWJsaWMgSGVh
bHRoIGluIEF1c3RpbiwgVW5pdGVkIFN0YXRlcy4gRWxlY3Ryb25pYyBhZGRyZXNzOiBBbmRyZXcu
RS5TcHJpbmdlckB1dGgudG1jLmVkdS4mI3hEO1RoZSBVbml2ZXJzaXR5IG9mIFRleGFzIEhlYWx0
aCBTY2llbmNlIENlbnRlciBhdCBIb3VzdG9uIChVVEhlYWx0aCksIFNjaG9vbCBvZiBQdWJsaWMg
SGVhbHRoIGluIEF1c3RpbiwgVW5pdGVkIFN0YXRlcy4gRWxlY3Ryb25pYyBhZGRyZXNzOiBNZUxp
c2EuUi5DcmVhbWVyQHV0aC50bWMuZWR1LiYjeEQ7VGhlIFVuaXZlcnNpdHkgb2YgVGV4YXMgSGVh
bHRoIFNjaWVuY2UgQ2VudGVyIGF0IEhvdXN0b24gKFVUSGVhbHRoKSwgU2Nob29sIG9mIFB1Ymxp
YyBIZWFsdGggaW4gQXVzdGluLCBVbml0ZWQgU3RhdGVzLiBFbGVjdHJvbmljIGFkZHJlc3M6IENo
ZXJ5bC5MLlBlcnJ5QHV0aC50bWMuZWR1LjwvYXV0aC1hZGRyZXNzPjx0aXRsZXM+PHRpdGxlPlRo
ZSByZWxhdGlvbnNoaXBzIGJldHdlZW4gc2Vuc2F0aW9uIHNlZWtpbmcgYW5kIGEgc3BlY3RydW0g
b2YgZS1jaWdhcmV0dGUgdXNlIGJlaGF2aW9yczogQ3Jvc3Mtc2VjdGlvbmFsIGFuZCBsb25naXR1
ZGluYWwgYW5hbHlzZXMgc3BlY2lmaWMgdG8gVGV4YXMgYWRvbGVzY2VudHM8L3RpdGxlPjxzZWNv
bmRhcnktdGl0bGU+QWRkaWN0IEJlaGF2PC9zZWNvbmRhcnktdGl0bGU+PGFsdC10aXRsZT5BZGRp
Y3RpdmUgYmVoYXZpb3JzPC9hbHQtdGl0bGU+PC90aXRsZXM+PGFsdC1wZXJpb2RpY2FsPjxmdWxs
LXRpdGxlPkFkZGljdGl2ZSBCZWhhdmlvcnM8L2Z1bGwtdGl0bGU+PC9hbHQtcGVyaW9kaWNhbD48
cGFnZXM+MTUxLTE1NzwvcGFnZXM+PHZvbHVtZT43Mzwvdm9sdW1lPjxlZGl0aW9uPjIwMTcvMDUv
MTk8L2VkaXRpb24+PGtleXdvcmRzPjxrZXl3b3JkPkFkb2xlc2NlbnRzPC9rZXl3b3JkPjxrZXl3
b3JkPkVsZWN0cm9uaWMgY2lnYXJldHRlczwva2V5d29yZD48a2V5d29yZD5TZW5zYXRpb24gc2Vl
a2luZzwva2V5d29yZD48L2tleXdvcmRzPjxkYXRlcz48eWVhcj4yMDE3PC95ZWFyPjxwdWItZGF0
ZXM+PGRhdGU+T2N0PC9kYXRlPjwvcHViLWRhdGVzPjwvZGF0ZXM+PGlzYm4+MDMwNi00NjAzPC9p
c2JuPjxhY2Nlc3Npb24tbnVtPjI4NTIxMjQwPC9hY2Nlc3Npb24tbnVtPjx1cmxzPjxyZWxhdGVk
LXVybHM+PHVybD5odHRwczovL3d3dy5zY2llbmNlZGlyZWN0LmNvbS9zY2llbmNlL2FydGljbGUv
cGlpL1MwMzA2NDYwMzE3MzAxNzg4P3ZpYSUzRGlodWI8L3VybD48L3JlbGF0ZWQtdXJscz48L3Vy
bHM+PGN1c3RvbTI+UE1DNTUyMzQwODwvY3VzdG9tMj48Y3VzdG9tNj5OSUhNUzg3OTg2MTwvY3Vz
dG9tNj48ZWxlY3Ryb25pYy1yZXNvdXJjZS1udW0+MTAuMTAxNi9qLmFkZGJlaC4yMDE3LjA1LjAw
NzwvZWxlY3Ryb25pYy1yZXNvdXJjZS1udW0+PHJlbW90ZS1kYXRhYmFzZS1wcm92aWRlcj5OTE08
L3JlbW90ZS1kYXRhYmFzZS1wcm92aWRlcj48bGFuZ3VhZ2U+ZW5nPC9sYW5ndWFnZT48L3JlY29y
ZD48L0NpdGU+PC9FbmROb3RlPgB=
</w:fldData>
        </w:fldChar>
      </w:r>
      <w:r w:rsidRPr="00892582">
        <w:instrText xml:space="preserve"> ADDIN EN.CITE.DATA </w:instrText>
      </w:r>
      <w:r w:rsidRPr="00892582">
        <w:fldChar w:fldCharType="end"/>
      </w:r>
      <w:r w:rsidRPr="00892582">
        <w:fldChar w:fldCharType="separate"/>
      </w:r>
      <w:r w:rsidRPr="00892582">
        <w:t>(Case, Harrell et al. 2017)</w:t>
      </w:r>
      <w:r w:rsidRPr="00892582">
        <w:fldChar w:fldCharType="end"/>
      </w:r>
      <w:r w:rsidRPr="00892582">
        <w:t xml:space="preserve"> may be associated with </w:t>
      </w:r>
      <w:r>
        <w:t>e</w:t>
      </w:r>
      <w:r>
        <w:noBreakHyphen/>
        <w:t>cig</w:t>
      </w:r>
      <w:r w:rsidRPr="00892582">
        <w:t xml:space="preserve">arette use. Creamer et al </w:t>
      </w:r>
      <w:r w:rsidRPr="00892582">
        <w:fldChar w:fldCharType="begin"/>
      </w:r>
      <w:r w:rsidRPr="00892582">
        <w:instrText xml:space="preserve"> ADDIN EN.CITE &lt;EndNote&gt;&lt;Cite&gt;&lt;Author&gt;Creamer&lt;/Author&gt;&lt;Year&gt;2017&lt;/Year&gt;&lt;RecNum&gt;4752&lt;/RecNum&gt;&lt;DisplayText&gt;(Creamer, Delk et al. 2017)&lt;/DisplayText&gt;&lt;record&gt;&lt;rec-number&gt;4752&lt;/rec-number&gt;&lt;foreign-keys&gt;&lt;key app="EN" db-id="fpt9pttrm5zfsaesp9fpsddv09ewsv5xewfd" timestamp="1525045429"&gt;4752&lt;/key&gt;&lt;key app="ENWeb" db-id=""&gt;0&lt;/key&gt;&lt;/foreign-keys&gt;&lt;ref-type name="Journal Article"&gt;17&lt;/ref-type&gt;&lt;contributors&gt;&lt;authors&gt;&lt;author&gt;Creamer, M. R.&lt;/author&gt;&lt;author&gt;Delk, J.&lt;/author&gt;&lt;author&gt;Case, K.&lt;/author&gt;&lt;author&gt;Perry, C. L.&lt;/author&gt;&lt;author&gt;Harrell, M. B.&lt;/author&gt;&lt;/authors&gt;&lt;/contributors&gt;&lt;auth-address&gt;a Michael &amp;amp; Susan Dell Center for Healthy Living, UTHealth, School of Public Health in Austin , Austin , Texas , USA.&lt;/auth-address&gt;&lt;titles&gt;&lt;title&gt;Positive Outcome Expectations and Tobacco Product Use Behaviors in Youth&lt;/title&gt;&lt;secondary-title&gt;Subst Use Misuse&lt;/secondary-title&gt;&lt;alt-title&gt;Substance use &amp;amp; misuse&lt;/alt-title&gt;&lt;/titles&gt;&lt;alt-periodical&gt;&lt;full-title&gt;Substance Use &amp;amp; Misuse&lt;/full-title&gt;&lt;/alt-periodical&gt;&lt;pages&gt;1-4&lt;/pages&gt;&lt;edition&gt;2017/11/28&lt;/edition&gt;&lt;keywords&gt;&lt;keyword&gt;Adolescence&lt;/keyword&gt;&lt;keyword&gt;adolescent health&lt;/keyword&gt;&lt;keyword&gt;smoking and tobacco use&lt;/keyword&gt;&lt;keyword&gt;social cognitive theory&lt;/keyword&gt;&lt;keyword&gt;tobacco control and policy&lt;/keyword&gt;&lt;/keywords&gt;&lt;dates&gt;&lt;year&gt;2017&lt;/year&gt;&lt;pub-dates&gt;&lt;date&gt;Nov 27&lt;/date&gt;&lt;/pub-dates&gt;&lt;/dates&gt;&lt;isbn&gt;1082-6084&lt;/isbn&gt;&lt;accession-num&gt;29172952&lt;/accession-num&gt;&lt;urls&gt;&lt;related-urls&gt;&lt;url&gt;https://www.tandfonline.com/doi/pdf/10.1080/10826084.2017.1404104?needAccess=true&lt;/url&gt;&lt;/related-urls&gt;&lt;/urls&gt;&lt;electronic-resource-num&gt;10.1080/10826084.2017.1404104&lt;/electronic-resource-num&gt;&lt;remote-database-provider&gt;NLM&lt;/remote-database-provider&gt;&lt;language&gt;eng&lt;/language&gt;&lt;/record&gt;&lt;/Cite&gt;&lt;/EndNote&gt;</w:instrText>
      </w:r>
      <w:r w:rsidRPr="00892582">
        <w:fldChar w:fldCharType="separate"/>
      </w:r>
      <w:r w:rsidRPr="00892582">
        <w:t>(Creamer, Delk et al. 2017)</w:t>
      </w:r>
      <w:r w:rsidRPr="00892582">
        <w:fldChar w:fldCharType="end"/>
      </w:r>
      <w:r w:rsidRPr="00892582">
        <w:t xml:space="preserve"> describe the experiences that youth have with using different tobacco products. Subjective experiences included feeling good, dizzy or coughing. The authors took data from never-users at baseline (n=1,999) and assessed future use or susceptibility to use 6 months later. Logistic regression models suggested no experiences were significantly associated with increased odds of using </w:t>
      </w:r>
      <w:r>
        <w:t>e</w:t>
      </w:r>
      <w:r>
        <w:noBreakHyphen/>
        <w:t>cig</w:t>
      </w:r>
      <w:r w:rsidRPr="00892582">
        <w:t xml:space="preserve">arettes. Case et al </w:t>
      </w:r>
      <w:r w:rsidRPr="00892582">
        <w:fldChar w:fldCharType="begin">
          <w:fldData xml:space="preserve">PEVuZE5vdGU+PENpdGU+PEF1dGhvcj5DYXNlPC9BdXRob3I+PFllYXI+MjAxNzwvWWVhcj48UmVj
TnVtPjUwNjI8L1JlY051bT48RGlzcGxheVRleHQ+KENhc2UsIEhhcnJlbGwgZXQgYWwuIDIwMTcp
PC9EaXNwbGF5VGV4dD48cmVjb3JkPjxyZWMtbnVtYmVyPjUwNjI8L3JlYy1udW1iZXI+PGZvcmVp
Z24ta2V5cz48a2V5IGFwcD0iRU4iIGRiLWlkPSJmcHQ5cHR0cm01emZzYWVzcDlmcHNkZHYwOWV3
c3Y1eGV3ZmQiIHRpbWVzdGFtcD0iMTUyNTA0NTkxMiI+NTA2Mjwva2V5PjxrZXkgYXBwPSJFTldl
YiIgZGItaWQ9IiI+MDwva2V5PjwvZm9yZWlnbi1rZXlzPjxyZWYtdHlwZSBuYW1lPSJKb3VybmFs
IEFydGljbGUiPjE3PC9yZWYtdHlwZT48Y29udHJpYnV0b3JzPjxhdXRob3JzPjxhdXRob3I+Q2Fz
ZSwgSy4gUi48L2F1dGhvcj48YXV0aG9yPkhhcnJlbGwsIE0uIEIuPC9hdXRob3I+PGF1dGhvcj5Q
ZXJleiwgQS48L2F1dGhvcj48YXV0aG9yPkxvdWthcywgQS48L2F1dGhvcj48YXV0aG9yPldpbGtp
bnNvbiwgQS4gVi48L2F1dGhvcj48YXV0aG9yPlNwcmluZ2VyLCBBLiBFLjwvYXV0aG9yPjxhdXRo
b3I+Q3JlYW1lciwgTS4gUi48L2F1dGhvcj48YXV0aG9yPlBlcnJ5LCBDLiBMLjwvYXV0aG9yPjwv
YXV0aG9ycz48L2NvbnRyaWJ1dG9ycz48YXV0aC1hZGRyZXNzPlRoZSBVbml2ZXJzaXR5IG9mIFRl
eGFzIEhlYWx0aCBTY2llbmNlIENlbnRlciBhdCBIb3VzdG9uIChVVEhlYWx0aCksIFNjaG9vbCBv
ZiBQdWJsaWMgSGVhbHRoIGluIEF1c3RpbiwgVW5pdGVkIFN0YXRlcy4gRWxlY3Ryb25pYyBhZGRy
ZXNzOiBLYXRobGVlbi5SLkNhc2VAdXRoLnRtYy5lZHUuJiN4RDtUaGUgVW5pdmVyc2l0eSBvZiBU
ZXhhcyBIZWFsdGggU2NpZW5jZSBDZW50ZXIgYXQgSG91c3RvbiAoVVRIZWFsdGgpLCBTY2hvb2wg
b2YgUHVibGljIEhlYWx0aCBpbiBBdXN0aW4sIFVuaXRlZCBTdGF0ZXMuIEVsZWN0cm9uaWMgYWRk
cmVzczogTWVsaXNzYS5CLkhhcnJlbGxAdXRoLnRtYy5lZHUuJiN4RDtUaGUgVW5pdmVyc2l0eSBv
ZiBUZXhhcyBIZWFsdGggU2NpZW5jZSBDZW50ZXIgYXQgSG91c3RvbiAoVVRIZWFsdGgpLCBTY2hv
b2wgb2YgUHVibGljIEhlYWx0aCBpbiBBdXN0aW4sIFVuaXRlZCBTdGF0ZXMuIEVsZWN0cm9uaWMg
YWRkcmVzczogQWRyaWFuYS5QZXJlekB1dGgudG1jLmVkdS4mI3hEO0RlcGFydG1lbnQgb2YgS2lu
ZXNpb2xvZ3kgYW5kIEhlYWx0aCBFZHVjYXRpb24sIFVuaXZlcnNpdHkgb2YgVGV4YXMgYXQgQXVz
dGluLCBVbml0ZWQgU3RhdGVzLiBFbGVjdHJvbmljIGFkZHJlc3M6IEFsZXhhbmRyYS5Mb3VrYXNA
YXVzdGluLnV0ZXhhcy5lZHUuJiN4RDtUaGUgVW5pdmVyc2l0eSBvZiBUZXhhcyBIZWFsdGggU2Np
ZW5jZSBDZW50ZXIgYXQgSG91c3RvbiAoVVRIZWFsdGgpLCBTY2hvb2wgb2YgUHVibGljIEhlYWx0
aCBpbiBBdXN0aW4sIFVuaXRlZCBTdGF0ZXMuIEVsZWN0cm9uaWMgYWRkcmVzczogQW5uYS5WLldp
bGtpbnNvbkB1dGgudG1jLmVkdS4mI3hEO1RoZSBVbml2ZXJzaXR5IG9mIFRleGFzIEhlYWx0aCBT
Y2llbmNlIENlbnRlciBhdCBIb3VzdG9uIChVVEhlYWx0aCksIFNjaG9vbCBvZiBQdWJsaWMgSGVh
bHRoIGluIEF1c3RpbiwgVW5pdGVkIFN0YXRlcy4gRWxlY3Ryb25pYyBhZGRyZXNzOiBBbmRyZXcu
RS5TcHJpbmdlckB1dGgudG1jLmVkdS4mI3hEO1RoZSBVbml2ZXJzaXR5IG9mIFRleGFzIEhlYWx0
aCBTY2llbmNlIENlbnRlciBhdCBIb3VzdG9uIChVVEhlYWx0aCksIFNjaG9vbCBvZiBQdWJsaWMg
SGVhbHRoIGluIEF1c3RpbiwgVW5pdGVkIFN0YXRlcy4gRWxlY3Ryb25pYyBhZGRyZXNzOiBNZUxp
c2EuUi5DcmVhbWVyQHV0aC50bWMuZWR1LiYjeEQ7VGhlIFVuaXZlcnNpdHkgb2YgVGV4YXMgSGVh
bHRoIFNjaWVuY2UgQ2VudGVyIGF0IEhvdXN0b24gKFVUSGVhbHRoKSwgU2Nob29sIG9mIFB1Ymxp
YyBIZWFsdGggaW4gQXVzdGluLCBVbml0ZWQgU3RhdGVzLiBFbGVjdHJvbmljIGFkZHJlc3M6IENo
ZXJ5bC5MLlBlcnJ5QHV0aC50bWMuZWR1LjwvYXV0aC1hZGRyZXNzPjx0aXRsZXM+PHRpdGxlPlRo
ZSByZWxhdGlvbnNoaXBzIGJldHdlZW4gc2Vuc2F0aW9uIHNlZWtpbmcgYW5kIGEgc3BlY3RydW0g
b2YgZS1jaWdhcmV0dGUgdXNlIGJlaGF2aW9yczogQ3Jvc3Mtc2VjdGlvbmFsIGFuZCBsb25naXR1
ZGluYWwgYW5hbHlzZXMgc3BlY2lmaWMgdG8gVGV4YXMgYWRvbGVzY2VudHM8L3RpdGxlPjxzZWNv
bmRhcnktdGl0bGU+QWRkaWN0IEJlaGF2PC9zZWNvbmRhcnktdGl0bGU+PGFsdC10aXRsZT5BZGRp
Y3RpdmUgYmVoYXZpb3JzPC9hbHQtdGl0bGU+PC90aXRsZXM+PGFsdC1wZXJpb2RpY2FsPjxmdWxs
LXRpdGxlPkFkZGljdGl2ZSBCZWhhdmlvcnM8L2Z1bGwtdGl0bGU+PC9hbHQtcGVyaW9kaWNhbD48
cGFnZXM+MTUxLTE1NzwvcGFnZXM+PHZvbHVtZT43Mzwvdm9sdW1lPjxlZGl0aW9uPjIwMTcvMDUv
MTk8L2VkaXRpb24+PGtleXdvcmRzPjxrZXl3b3JkPkFkb2xlc2NlbnRzPC9rZXl3b3JkPjxrZXl3
b3JkPkVsZWN0cm9uaWMgY2lnYXJldHRlczwva2V5d29yZD48a2V5d29yZD5TZW5zYXRpb24gc2Vl
a2luZzwva2V5d29yZD48L2tleXdvcmRzPjxkYXRlcz48eWVhcj4yMDE3PC95ZWFyPjxwdWItZGF0
ZXM+PGRhdGU+T2N0PC9kYXRlPjwvcHViLWRhdGVzPjwvZGF0ZXM+PGlzYm4+MDMwNi00NjAzPC9p
c2JuPjxhY2Nlc3Npb24tbnVtPjI4NTIxMjQwPC9hY2Nlc3Npb24tbnVtPjx1cmxzPjxyZWxhdGVk
LXVybHM+PHVybD5odHRwczovL3d3dy5zY2llbmNlZGlyZWN0LmNvbS9zY2llbmNlL2FydGljbGUv
cGlpL1MwMzA2NDYwMzE3MzAxNzg4P3ZpYSUzRGlodWI8L3VybD48L3JlbGF0ZWQtdXJscz48L3Vy
bHM+PGN1c3RvbTI+UE1DNTUyMzQwODwvY3VzdG9tMj48Y3VzdG9tNj5OSUhNUzg3OTg2MTwvY3Vz
dG9tNj48ZWxlY3Ryb25pYy1yZXNvdXJjZS1udW0+MTAuMTAxNi9qLmFkZGJlaC4yMDE3LjA1LjAw
NzwvZWxlY3Ryb25pYy1yZXNvdXJjZS1udW0+PHJlbW90ZS1kYXRhYmFzZS1wcm92aWRlcj5OTE08
L3JlbW90ZS1kYXRhYmFzZS1wcm92aWRlcj48bGFuZ3VhZ2U+ZW5nPC9sYW5ndWFnZT48L3JlY29y
ZD48L0NpdGU+PC9FbmROb3RlPgB=
</w:fldData>
        </w:fldChar>
      </w:r>
      <w:r w:rsidRPr="00892582">
        <w:instrText xml:space="preserve"> ADDIN EN.CITE </w:instrText>
      </w:r>
      <w:r w:rsidRPr="00892582">
        <w:fldChar w:fldCharType="begin">
          <w:fldData xml:space="preserve">PEVuZE5vdGU+PENpdGU+PEF1dGhvcj5DYXNlPC9BdXRob3I+PFllYXI+MjAxNzwvWWVhcj48UmVj
TnVtPjUwNjI8L1JlY051bT48RGlzcGxheVRleHQ+KENhc2UsIEhhcnJlbGwgZXQgYWwuIDIwMTcp
PC9EaXNwbGF5VGV4dD48cmVjb3JkPjxyZWMtbnVtYmVyPjUwNjI8L3JlYy1udW1iZXI+PGZvcmVp
Z24ta2V5cz48a2V5IGFwcD0iRU4iIGRiLWlkPSJmcHQ5cHR0cm01emZzYWVzcDlmcHNkZHYwOWV3
c3Y1eGV3ZmQiIHRpbWVzdGFtcD0iMTUyNTA0NTkxMiI+NTA2Mjwva2V5PjxrZXkgYXBwPSJFTldl
YiIgZGItaWQ9IiI+MDwva2V5PjwvZm9yZWlnbi1rZXlzPjxyZWYtdHlwZSBuYW1lPSJKb3VybmFs
IEFydGljbGUiPjE3PC9yZWYtdHlwZT48Y29udHJpYnV0b3JzPjxhdXRob3JzPjxhdXRob3I+Q2Fz
ZSwgSy4gUi48L2F1dGhvcj48YXV0aG9yPkhhcnJlbGwsIE0uIEIuPC9hdXRob3I+PGF1dGhvcj5Q
ZXJleiwgQS48L2F1dGhvcj48YXV0aG9yPkxvdWthcywgQS48L2F1dGhvcj48YXV0aG9yPldpbGtp
bnNvbiwgQS4gVi48L2F1dGhvcj48YXV0aG9yPlNwcmluZ2VyLCBBLiBFLjwvYXV0aG9yPjxhdXRo
b3I+Q3JlYW1lciwgTS4gUi48L2F1dGhvcj48YXV0aG9yPlBlcnJ5LCBDLiBMLjwvYXV0aG9yPjwv
YXV0aG9ycz48L2NvbnRyaWJ1dG9ycz48YXV0aC1hZGRyZXNzPlRoZSBVbml2ZXJzaXR5IG9mIFRl
eGFzIEhlYWx0aCBTY2llbmNlIENlbnRlciBhdCBIb3VzdG9uIChVVEhlYWx0aCksIFNjaG9vbCBv
ZiBQdWJsaWMgSGVhbHRoIGluIEF1c3RpbiwgVW5pdGVkIFN0YXRlcy4gRWxlY3Ryb25pYyBhZGRy
ZXNzOiBLYXRobGVlbi5SLkNhc2VAdXRoLnRtYy5lZHUuJiN4RDtUaGUgVW5pdmVyc2l0eSBvZiBU
ZXhhcyBIZWFsdGggU2NpZW5jZSBDZW50ZXIgYXQgSG91c3RvbiAoVVRIZWFsdGgpLCBTY2hvb2wg
b2YgUHVibGljIEhlYWx0aCBpbiBBdXN0aW4sIFVuaXRlZCBTdGF0ZXMuIEVsZWN0cm9uaWMgYWRk
cmVzczogTWVsaXNzYS5CLkhhcnJlbGxAdXRoLnRtYy5lZHUuJiN4RDtUaGUgVW5pdmVyc2l0eSBv
ZiBUZXhhcyBIZWFsdGggU2NpZW5jZSBDZW50ZXIgYXQgSG91c3RvbiAoVVRIZWFsdGgpLCBTY2hv
b2wgb2YgUHVibGljIEhlYWx0aCBpbiBBdXN0aW4sIFVuaXRlZCBTdGF0ZXMuIEVsZWN0cm9uaWMg
YWRkcmVzczogQWRyaWFuYS5QZXJlekB1dGgudG1jLmVkdS4mI3hEO0RlcGFydG1lbnQgb2YgS2lu
ZXNpb2xvZ3kgYW5kIEhlYWx0aCBFZHVjYXRpb24sIFVuaXZlcnNpdHkgb2YgVGV4YXMgYXQgQXVz
dGluLCBVbml0ZWQgU3RhdGVzLiBFbGVjdHJvbmljIGFkZHJlc3M6IEFsZXhhbmRyYS5Mb3VrYXNA
YXVzdGluLnV0ZXhhcy5lZHUuJiN4RDtUaGUgVW5pdmVyc2l0eSBvZiBUZXhhcyBIZWFsdGggU2Np
ZW5jZSBDZW50ZXIgYXQgSG91c3RvbiAoVVRIZWFsdGgpLCBTY2hvb2wgb2YgUHVibGljIEhlYWx0
aCBpbiBBdXN0aW4sIFVuaXRlZCBTdGF0ZXMuIEVsZWN0cm9uaWMgYWRkcmVzczogQW5uYS5WLldp
bGtpbnNvbkB1dGgudG1jLmVkdS4mI3hEO1RoZSBVbml2ZXJzaXR5IG9mIFRleGFzIEhlYWx0aCBT
Y2llbmNlIENlbnRlciBhdCBIb3VzdG9uIChVVEhlYWx0aCksIFNjaG9vbCBvZiBQdWJsaWMgSGVh
bHRoIGluIEF1c3RpbiwgVW5pdGVkIFN0YXRlcy4gRWxlY3Ryb25pYyBhZGRyZXNzOiBBbmRyZXcu
RS5TcHJpbmdlckB1dGgudG1jLmVkdS4mI3hEO1RoZSBVbml2ZXJzaXR5IG9mIFRleGFzIEhlYWx0
aCBTY2llbmNlIENlbnRlciBhdCBIb3VzdG9uIChVVEhlYWx0aCksIFNjaG9vbCBvZiBQdWJsaWMg
SGVhbHRoIGluIEF1c3RpbiwgVW5pdGVkIFN0YXRlcy4gRWxlY3Ryb25pYyBhZGRyZXNzOiBNZUxp
c2EuUi5DcmVhbWVyQHV0aC50bWMuZWR1LiYjeEQ7VGhlIFVuaXZlcnNpdHkgb2YgVGV4YXMgSGVh
bHRoIFNjaWVuY2UgQ2VudGVyIGF0IEhvdXN0b24gKFVUSGVhbHRoKSwgU2Nob29sIG9mIFB1Ymxp
YyBIZWFsdGggaW4gQXVzdGluLCBVbml0ZWQgU3RhdGVzLiBFbGVjdHJvbmljIGFkZHJlc3M6IENo
ZXJ5bC5MLlBlcnJ5QHV0aC50bWMuZWR1LjwvYXV0aC1hZGRyZXNzPjx0aXRsZXM+PHRpdGxlPlRo
ZSByZWxhdGlvbnNoaXBzIGJldHdlZW4gc2Vuc2F0aW9uIHNlZWtpbmcgYW5kIGEgc3BlY3RydW0g
b2YgZS1jaWdhcmV0dGUgdXNlIGJlaGF2aW9yczogQ3Jvc3Mtc2VjdGlvbmFsIGFuZCBsb25naXR1
ZGluYWwgYW5hbHlzZXMgc3BlY2lmaWMgdG8gVGV4YXMgYWRvbGVzY2VudHM8L3RpdGxlPjxzZWNv
bmRhcnktdGl0bGU+QWRkaWN0IEJlaGF2PC9zZWNvbmRhcnktdGl0bGU+PGFsdC10aXRsZT5BZGRp
Y3RpdmUgYmVoYXZpb3JzPC9hbHQtdGl0bGU+PC90aXRsZXM+PGFsdC1wZXJpb2RpY2FsPjxmdWxs
LXRpdGxlPkFkZGljdGl2ZSBCZWhhdmlvcnM8L2Z1bGwtdGl0bGU+PC9hbHQtcGVyaW9kaWNhbD48
cGFnZXM+MTUxLTE1NzwvcGFnZXM+PHZvbHVtZT43Mzwvdm9sdW1lPjxlZGl0aW9uPjIwMTcvMDUv
MTk8L2VkaXRpb24+PGtleXdvcmRzPjxrZXl3b3JkPkFkb2xlc2NlbnRzPC9rZXl3b3JkPjxrZXl3
b3JkPkVsZWN0cm9uaWMgY2lnYXJldHRlczwva2V5d29yZD48a2V5d29yZD5TZW5zYXRpb24gc2Vl
a2luZzwva2V5d29yZD48L2tleXdvcmRzPjxkYXRlcz48eWVhcj4yMDE3PC95ZWFyPjxwdWItZGF0
ZXM+PGRhdGU+T2N0PC9kYXRlPjwvcHViLWRhdGVzPjwvZGF0ZXM+PGlzYm4+MDMwNi00NjAzPC9p
c2JuPjxhY2Nlc3Npb24tbnVtPjI4NTIxMjQwPC9hY2Nlc3Npb24tbnVtPjx1cmxzPjxyZWxhdGVk
LXVybHM+PHVybD5odHRwczovL3d3dy5zY2llbmNlZGlyZWN0LmNvbS9zY2llbmNlL2FydGljbGUv
cGlpL1MwMzA2NDYwMzE3MzAxNzg4P3ZpYSUzRGlodWI8L3VybD48L3JlbGF0ZWQtdXJscz48L3Vy
bHM+PGN1c3RvbTI+UE1DNTUyMzQwODwvY3VzdG9tMj48Y3VzdG9tNj5OSUhNUzg3OTg2MTwvY3Vz
dG9tNj48ZWxlY3Ryb25pYy1yZXNvdXJjZS1udW0+MTAuMTAxNi9qLmFkZGJlaC4yMDE3LjA1LjAw
NzwvZWxlY3Ryb25pYy1yZXNvdXJjZS1udW0+PHJlbW90ZS1kYXRhYmFzZS1wcm92aWRlcj5OTE08
L3JlbW90ZS1kYXRhYmFzZS1wcm92aWRlcj48bGFuZ3VhZ2U+ZW5nPC9sYW5ndWFnZT48L3JlY29y
ZD48L0NpdGU+PC9FbmROb3RlPgB=
</w:fldData>
        </w:fldChar>
      </w:r>
      <w:r w:rsidRPr="00892582">
        <w:instrText xml:space="preserve"> ADDIN EN.CITE.DATA </w:instrText>
      </w:r>
      <w:r w:rsidRPr="00892582">
        <w:fldChar w:fldCharType="end"/>
      </w:r>
      <w:r w:rsidRPr="00892582">
        <w:fldChar w:fldCharType="separate"/>
      </w:r>
      <w:r w:rsidRPr="00892582">
        <w:t>(Case, Harrell et al. 2017)</w:t>
      </w:r>
      <w:r w:rsidRPr="00892582">
        <w:fldChar w:fldCharType="end"/>
      </w:r>
      <w:r w:rsidRPr="00892582">
        <w:t xml:space="preserve"> used data from baseline (n=3,907) and follow-up (n=2,488) to understand whether sensation seeking is related to </w:t>
      </w:r>
      <w:r>
        <w:t>e</w:t>
      </w:r>
      <w:r>
        <w:noBreakHyphen/>
        <w:t>cig</w:t>
      </w:r>
      <w:r w:rsidRPr="00892582">
        <w:t xml:space="preserve">arette use in Texan Youth. They reported that adolescents with higher mean sensation seeking scores had significantly higher odds of being susceptible to </w:t>
      </w:r>
      <w:r>
        <w:t>e</w:t>
      </w:r>
      <w:r>
        <w:noBreakHyphen/>
        <w:t>cig</w:t>
      </w:r>
      <w:r w:rsidRPr="00892582">
        <w:t xml:space="preserve">arette use compared to adolescents with lower sensation seeking scores. People high in sensation seeking are more likely to be looking for new experiences that can also be more intense. Therefore, generally it has been related to risk taking behaviours. </w:t>
      </w:r>
    </w:p>
    <w:p w14:paraId="07E7C6E9" w14:textId="77777777" w:rsidR="002E3AED" w:rsidRPr="00892582" w:rsidRDefault="002E3AED" w:rsidP="002E3AED">
      <w:pPr>
        <w:pStyle w:val="BodyText"/>
      </w:pPr>
    </w:p>
    <w:p w14:paraId="61C68FF1" w14:textId="77777777" w:rsidR="002E3AED" w:rsidRPr="00892582" w:rsidRDefault="002E3AED" w:rsidP="002E3AED">
      <w:pPr>
        <w:pStyle w:val="BodyText"/>
      </w:pPr>
      <w:r w:rsidRPr="00892582">
        <w:t xml:space="preserve">In papers reporting on secondary analysis of non-national adult samples (Tables </w:t>
      </w:r>
      <w:r w:rsidR="0098744E">
        <w:t>36 and 37</w:t>
      </w:r>
      <w:r w:rsidRPr="00892582">
        <w:t xml:space="preserve">), three reported on data based on college students </w:t>
      </w:r>
      <w:r w:rsidRPr="00892582">
        <w:fldChar w:fldCharType="begin">
          <w:fldData xml:space="preserve">PEVuZE5vdGU+PENpdGU+PEF1dGhvcj5DYXNlPC9BdXRob3I+PFllYXI+MjAxNzwvWWVhcj48UmVj
TnVtPjUyNTY8L1JlY051bT48RGlzcGxheVRleHQ+KENhc2UsIExvdWthcyBldCBhbC4gMjAxNywg
Q3JlYW1lciwgTG91a2FzIGV0IGFsLiAyMDE4KTwvRGlzcGxheVRleHQ+PHJlY29yZD48cmVjLW51
bWJlcj41MjU2PC9yZWMtbnVtYmVyPjxmb3JlaWduLWtleXM+PGtleSBhcHA9IkVOIiBkYi1pZD0i
ZnB0OXB0dHJtNXpmc2Flc3A5ZnBzZGR2MDlld3N2NXhld2ZkIiB0aW1lc3RhbXA9IjE1MjUwNDYz
NTMiPjUyNTY8L2tleT48a2V5IGFwcD0iRU5XZWIiIGRiLWlkPSIiPjA8L2tleT48L2ZvcmVpZ24t
a2V5cz48cmVmLXR5cGUgbmFtZT0iSm91cm5hbCBBcnRpY2xlIj4xNzwvcmVmLXR5cGU+PGNvbnRy
aWJ1dG9ycz48YXV0aG9ycz48YXV0aG9yPkNhc2UsIEsuIFIuPC9hdXRob3I+PGF1dGhvcj5Mb3Vr
YXMsIEEuIFBoRDwvYXV0aG9yPjxhdXRob3I+SGFycmVsbCwgTS4gQi48L2F1dGhvcj48YXV0aG9y
PldpbGtpbnNvbiwgQS4gVi48L2F1dGhvcj48YXV0aG9yPlNwcmluZ2VyLCBBLiBFLjwvYXV0aG9y
PjxhdXRob3I+UGVyZXosIEEuPC9hdXRob3I+PGF1dGhvcj5DcmVhbWVyLCBNLiBSLjwvYXV0aG9y
PjxhdXRob3I+UGVycnksIEMuIEwuPC9hdXRob3I+PC9hdXRob3JzPjwvY29udHJpYnV0b3JzPjxh
dXRoLWFkZHJlc3M+YSBVbml2ZXJzaXR5IG9mIFRleGFzIFNjaG9vbCBvZiBQdWJsaWMgSGVhbHRo
IGluIEF1c3RpbiAsIEF1c3RpbiAsIFRleGFzICwgVVNBLiYjeEQ7YiBEZXBhcnRtZW50IG9mIEtp
bmVzaW9sb2d5IGFuZCBIZWFsdGggRWR1Y2F0aW9uICwgVW5pdmVyc2l0eSBvZiBUZXhhcyBhdCBB
dXN0aW4gLCBBdXN0aW4gLCBUZXhhcyAsIFVTQS48L2F1dGgtYWRkcmVzcz48dGl0bGVzPjx0aXRs
ZT5UaGUgYXNzb2NpYXRpb24gYmV0d2VlbiBzZW5zYXRpb24gc2Vla2luZyBhbmQgZS1jaWdhcmV0
dGUgdXNlIGluIFRleGFzIHlvdW5nIGFkdWx0czogQSBjcm9zcy1zZWN0aW9uYWwgc3R1ZHk8L3Rp
dGxlPjxzZWNvbmRhcnktdGl0bGU+SiBBbSBDb2xsIEhlYWx0aDwvc2Vjb25kYXJ5LXRpdGxlPjxh
bHQtdGl0bGU+Sm91cm5hbCBvZiBBbWVyaWNhbiBjb2xsZWdlIGhlYWx0aCA6IEogb2YgQUNIPC9h
bHQtdGl0bGU+PC90aXRsZXM+PHBlcmlvZGljYWw+PGZ1bGwtdGl0bGU+SiBBbSBDb2xsIEhlYWx0
aDwvZnVsbC10aXRsZT48YWJici0xPkpvdXJuYWwgb2YgQW1lcmljYW4gY29sbGVnZSBoZWFsdGgg
OiBKIG9mIEFDSDwvYWJici0xPjwvcGVyaW9kaWNhbD48YWx0LXBlcmlvZGljYWw+PGZ1bGwtdGl0
bGU+SiBBbSBDb2xsIEhlYWx0aDwvZnVsbC10aXRsZT48YWJici0xPkpvdXJuYWwgb2YgQW1lcmlj
YW4gY29sbGVnZSBoZWFsdGggOiBKIG9mIEFDSDwvYWJici0xPjwvYWx0LXBlcmlvZGljYWw+PHBh
Z2VzPjI3Ny0yODU8L3BhZ2VzPjx2b2x1bWU+NjU8L3ZvbHVtZT48bnVtYmVyPjQ8L251bWJlcj48
ZWRpdGlvbj4yMDE3LzAxLzE4PC9lZGl0aW9uPjxrZXl3b3Jkcz48a2V5d29yZD5BZG9sZXNjZW50
PC9rZXl3b3JkPjxrZXl3b3JkPkFkdWx0PC9rZXl3b3JkPjxrZXl3b3JkPkFsY29ob2wgRHJpbmtp
bmcvZXBpZGVtaW9sb2d5PC9rZXl3b3JkPjxrZXl3b3JkPkNvbnRpbmVudGFsIFBvcHVsYXRpb24g
R3JvdXBzL3N0YXRpc3RpY3MgJmFtcDsgbnVtZXJpY2FsIGRhdGE8L2tleXdvcmQ+PGtleXdvcmQ+
Q3Jvc3MtU2VjdGlvbmFsIFN0dWRpZXM8L2tleXdvcmQ+PGtleXdvcmQ+RWxlY3Ryb25pYyBOaWNv
dGluZSBEZWxpdmVyeSBTeXN0ZW1zLypzdGF0aXN0aWNzICZhbXA7IG51bWVyaWNhbCBkYXRhPC9r
ZXl3b3JkPjxrZXl3b3JkPkZlbWFsZTwva2V5d29yZD48a2V5d29yZD5IdW1hbnM8L2tleXdvcmQ+
PGtleXdvcmQ+TG9naXN0aWMgTW9kZWxzPC9rZXl3b3JkPjxrZXl3b3JkPk1hbGU8L2tleXdvcmQ+
PGtleXdvcmQ+KlJpc2stVGFraW5nPC9rZXl3b3JkPjxrZXl3b3JkPlNtb2tpbmcvZXBpZGVtaW9s
b2d5PC9rZXl3b3JkPjxrZXl3b3JkPlN1cnZleXMgYW5kIFF1ZXN0aW9ubmFpcmVzPC9rZXl3b3Jk
PjxrZXl3b3JkPlRleGFzL2VwaWRlbWlvbG9neTwva2V5d29yZD48a2V5d29yZD5DdXJyZW50IGNp
Z2FyZXR0ZSB1c2U8L2tleXdvcmQ+PGtleXdvcmQ+ZWxlY3Ryb25pYyBjaWdhcmV0dGVzPC9rZXl3
b3JkPjxrZXl3b3JkPnNlbnNhdGlvbiBzZWVraW5nPC9rZXl3b3JkPjwva2V5d29yZHM+PGRhdGVz
Pjx5ZWFyPjIwMTc8L3llYXI+PHB1Yi1kYXRlcz48ZGF0ZT5NYXktSnVuPC9kYXRlPjwvcHViLWRh
dGVzPjwvZGF0ZXM+PGlzYm4+MDc0NC04NDgxPC9pc2JuPjxhY2Nlc3Npb24tbnVtPjI4MDk1MTI2
PC9hY2Nlc3Npb24tbnVtPjx1cmxzPjxyZWxhdGVkLXVybHM+PHVybD5odHRwczovL3d3dy50YW5k
Zm9ubGluZS5jb20vZG9pL3BkZi8xMC4xMDgwLzA3NDQ4NDgxLjIwMTcuMTI4MjQ4Nz9uZWVkQWNj
ZXNzPXRydWU8L3VybD48L3JlbGF0ZWQtdXJscz48L3VybHM+PGN1c3RvbTI+UE1DNTQyMjEyMTwv
Y3VzdG9tMj48Y3VzdG9tNj5OSUhNUzg1MTUyNjwvY3VzdG9tNj48ZWxlY3Ryb25pYy1yZXNvdXJj
ZS1udW0+MTAuMTA4MC8wNzQ0ODQ4MS4yMDE3LjEyODI0ODc8L2VsZWN0cm9uaWMtcmVzb3VyY2Ut
bnVtPjxyZW1vdGUtZGF0YWJhc2UtcHJvdmlkZXI+TkxNPC9yZW1vdGUtZGF0YWJhc2UtcHJvdmlk
ZXI+PGxhbmd1YWdlPmVuZzwvbGFuZ3VhZ2U+PC9yZWNvcmQ+PC9DaXRlPjxDaXRlPjxBdXRob3I+
Q3JlYW1lcjwvQXV0aG9yPjxZZWFyPjIwMTg8L1llYXI+PFJlY051bT40NjIxPC9SZWNOdW0+PHJl
Y29yZD48cmVjLW51bWJlcj40NjIxPC9yZWMtbnVtYmVyPjxmb3JlaWduLWtleXM+PGtleSBhcHA9
IkVOIiBkYi1pZD0iZnB0OXB0dHJtNXpmc2Flc3A5ZnBzZGR2MDlld3N2NXhld2ZkIiB0aW1lc3Rh
bXA9IjE1MjUwNDUxNTYiPjQ2MjE8L2tleT48a2V5IGFwcD0iRU5XZWIiIGRiLWlkPSIiPjA8L2tl
eT48L2ZvcmVpZ24ta2V5cz48cmVmLXR5cGUgbmFtZT0iSm91cm5hbCBBcnRpY2xlIj4xNzwvcmVm
LXR5cGU+PGNvbnRyaWJ1dG9ycz48YXV0aG9ycz48YXV0aG9yPkNyZWFtZXIsIE0uIFIuPC9hdXRo
b3I+PGF1dGhvcj5Mb3VrYXMsIEEuPC9hdXRob3I+PGF1dGhvcj5DbGVuZGVubmVuLCBTLjwvYXV0
aG9yPjxhdXRob3I+TWFudGV5LCBELjwvYXV0aG9yPjxhdXRob3I+UGFzY2gsIEsuIEUuPC9hdXRo
b3I+PGF1dGhvcj5NYXJ0aSwgQy4gTi48L2F1dGhvcj48YXV0aG9yPlBlcnJ5LCBDLiBMLjwvYXV0
aG9yPjwvYXV0aG9ycz48L2NvbnRyaWJ1dG9ycz48YXV0aC1hZGRyZXNzPmEgVVRIZWFsdGggU2No
b29sIG9mIFB1YmxpYyBIZWFsdGggaW4gQXVzdGluICwgQXVzdGluICwgVVNBLiYjeEQ7YiBUaGUg
VW5pdmVyc2l0eSBvZiBUZXhhcyBhdCBBdXN0aW4gLCBEZXBhcnRtZW50IG9mIEtpbmVzaW9sb2d5
ICZhbXA7IEhlYWx0aCBFZHVjYXRpb24gLCBBdXN0aW4gLCBVU0EuPC9hdXRoLWFkZHJlc3M+PHRp
dGxlcz48dGl0bGU+TG9uZ2l0dWRpbmFsIFByZWRpY3RvcnMgb2YgQ2lnYXJldHRlIFVzZSBhbW9u
ZyBTdHVkZW50cyBmcm9tIDI0IFRleGFzIENvbGxlZ2VzPC90aXRsZT48c2Vjb25kYXJ5LXRpdGxl
PkogQW0gQ29sbCBIZWFsdGg8L3NlY29uZGFyeS10aXRsZT48YWx0LXRpdGxlPkpvdXJuYWwgb2Yg
QW1lcmljYW4gY29sbGVnZSBoZWFsdGggOiBKIG9mIEFDSDwvYWx0LXRpdGxlPjwvdGl0bGVzPjxw
ZXJpb2RpY2FsPjxmdWxsLXRpdGxlPkogQW0gQ29sbCBIZWFsdGg8L2Z1bGwtdGl0bGU+PGFiYnIt
MT5Kb3VybmFsIG9mIEFtZXJpY2FuIGNvbGxlZ2UgaGVhbHRoIDogSiBvZiBBQ0g8L2FiYnItMT48
L3BlcmlvZGljYWw+PGFsdC1wZXJpb2RpY2FsPjxmdWxsLXRpdGxlPkogQW0gQ29sbCBIZWFsdGg8
L2Z1bGwtdGl0bGU+PGFiYnItMT5Kb3VybmFsIG9mIEFtZXJpY2FuIGNvbGxlZ2UgaGVhbHRoIDog
SiBvZiBBQ0g8L2FiYnItMT48L2FsdC1wZXJpb2RpY2FsPjxwYWdlcz4wPC9wYWdlcz48ZWRpdGlv
bj4yMDE4LzAyLzA5PC9lZGl0aW9uPjxkYXRlcz48eWVhcj4yMDE4PC95ZWFyPjxwdWItZGF0ZXM+
PGRhdGU+RmViIDg8L2RhdGU+PC9wdWItZGF0ZXM+PC9kYXRlcz48aXNibj4wNzQ0LTg0ODE8L2lz
Ym4+PGFjY2Vzc2lvbi1udW0+Mjk0MTkzNjM8L2FjY2Vzc2lvbi1udW0+PHVybHM+PHJlbGF0ZWQt
dXJscz48dXJsPmh0dHBzOi8vd3d3LnRhbmRmb25saW5lLmNvbS9kb2kvcGRmLzEwLjEwODAvMDc0
NDg0ODEuMjAxOC4xNDMxOTA3P25lZWRBY2Nlc3M9dHJ1ZTwvdXJsPjwvcmVsYXRlZC11cmxzPjwv
dXJscz48ZWxlY3Ryb25pYy1yZXNvdXJjZS1udW0+MTAuMTA4MC8wNzQ0ODQ4MS4yMDE4LjE0MzE5
MDc8L2VsZWN0cm9uaWMtcmVzb3VyY2UtbnVtPjxyZW1vdGUtZGF0YWJhc2UtcHJvdmlkZXI+TkxN
PC9yZW1vdGUtZGF0YWJhc2UtcHJvdmlkZXI+PGxhbmd1YWdlPmVuZzwvbGFuZ3VhZ2U+PC9yZWNv
cmQ+PC9DaXRlPjwvRW5kTm90ZT5=
</w:fldData>
        </w:fldChar>
      </w:r>
      <w:r w:rsidRPr="00892582">
        <w:instrText xml:space="preserve"> ADDIN EN.CITE </w:instrText>
      </w:r>
      <w:r w:rsidRPr="00892582">
        <w:fldChar w:fldCharType="begin">
          <w:fldData xml:space="preserve">PEVuZE5vdGU+PENpdGU+PEF1dGhvcj5DYXNlPC9BdXRob3I+PFllYXI+MjAxNzwvWWVhcj48UmVj
TnVtPjUyNTY8L1JlY051bT48RGlzcGxheVRleHQ+KENhc2UsIExvdWthcyBldCBhbC4gMjAxNywg
Q3JlYW1lciwgTG91a2FzIGV0IGFsLiAyMDE4KTwvRGlzcGxheVRleHQ+PHJlY29yZD48cmVjLW51
bWJlcj41MjU2PC9yZWMtbnVtYmVyPjxmb3JlaWduLWtleXM+PGtleSBhcHA9IkVOIiBkYi1pZD0i
ZnB0OXB0dHJtNXpmc2Flc3A5ZnBzZGR2MDlld3N2NXhld2ZkIiB0aW1lc3RhbXA9IjE1MjUwNDYz
NTMiPjUyNTY8L2tleT48a2V5IGFwcD0iRU5XZWIiIGRiLWlkPSIiPjA8L2tleT48L2ZvcmVpZ24t
a2V5cz48cmVmLXR5cGUgbmFtZT0iSm91cm5hbCBBcnRpY2xlIj4xNzwvcmVmLXR5cGU+PGNvbnRy
aWJ1dG9ycz48YXV0aG9ycz48YXV0aG9yPkNhc2UsIEsuIFIuPC9hdXRob3I+PGF1dGhvcj5Mb3Vr
YXMsIEEuIFBoRDwvYXV0aG9yPjxhdXRob3I+SGFycmVsbCwgTS4gQi48L2F1dGhvcj48YXV0aG9y
PldpbGtpbnNvbiwgQS4gVi48L2F1dGhvcj48YXV0aG9yPlNwcmluZ2VyLCBBLiBFLjwvYXV0aG9y
PjxhdXRob3I+UGVyZXosIEEuPC9hdXRob3I+PGF1dGhvcj5DcmVhbWVyLCBNLiBSLjwvYXV0aG9y
PjxhdXRob3I+UGVycnksIEMuIEwuPC9hdXRob3I+PC9hdXRob3JzPjwvY29udHJpYnV0b3JzPjxh
dXRoLWFkZHJlc3M+YSBVbml2ZXJzaXR5IG9mIFRleGFzIFNjaG9vbCBvZiBQdWJsaWMgSGVhbHRo
IGluIEF1c3RpbiAsIEF1c3RpbiAsIFRleGFzICwgVVNBLiYjeEQ7YiBEZXBhcnRtZW50IG9mIEtp
bmVzaW9sb2d5IGFuZCBIZWFsdGggRWR1Y2F0aW9uICwgVW5pdmVyc2l0eSBvZiBUZXhhcyBhdCBB
dXN0aW4gLCBBdXN0aW4gLCBUZXhhcyAsIFVTQS48L2F1dGgtYWRkcmVzcz48dGl0bGVzPjx0aXRs
ZT5UaGUgYXNzb2NpYXRpb24gYmV0d2VlbiBzZW5zYXRpb24gc2Vla2luZyBhbmQgZS1jaWdhcmV0
dGUgdXNlIGluIFRleGFzIHlvdW5nIGFkdWx0czogQSBjcm9zcy1zZWN0aW9uYWwgc3R1ZHk8L3Rp
dGxlPjxzZWNvbmRhcnktdGl0bGU+SiBBbSBDb2xsIEhlYWx0aDwvc2Vjb25kYXJ5LXRpdGxlPjxh
bHQtdGl0bGU+Sm91cm5hbCBvZiBBbWVyaWNhbiBjb2xsZWdlIGhlYWx0aCA6IEogb2YgQUNIPC9h
bHQtdGl0bGU+PC90aXRsZXM+PHBlcmlvZGljYWw+PGZ1bGwtdGl0bGU+SiBBbSBDb2xsIEhlYWx0
aDwvZnVsbC10aXRsZT48YWJici0xPkpvdXJuYWwgb2YgQW1lcmljYW4gY29sbGVnZSBoZWFsdGgg
OiBKIG9mIEFDSDwvYWJici0xPjwvcGVyaW9kaWNhbD48YWx0LXBlcmlvZGljYWw+PGZ1bGwtdGl0
bGU+SiBBbSBDb2xsIEhlYWx0aDwvZnVsbC10aXRsZT48YWJici0xPkpvdXJuYWwgb2YgQW1lcmlj
YW4gY29sbGVnZSBoZWFsdGggOiBKIG9mIEFDSDwvYWJici0xPjwvYWx0LXBlcmlvZGljYWw+PHBh
Z2VzPjI3Ny0yODU8L3BhZ2VzPjx2b2x1bWU+NjU8L3ZvbHVtZT48bnVtYmVyPjQ8L251bWJlcj48
ZWRpdGlvbj4yMDE3LzAxLzE4PC9lZGl0aW9uPjxrZXl3b3Jkcz48a2V5d29yZD5BZG9sZXNjZW50
PC9rZXl3b3JkPjxrZXl3b3JkPkFkdWx0PC9rZXl3b3JkPjxrZXl3b3JkPkFsY29ob2wgRHJpbmtp
bmcvZXBpZGVtaW9sb2d5PC9rZXl3b3JkPjxrZXl3b3JkPkNvbnRpbmVudGFsIFBvcHVsYXRpb24g
R3JvdXBzL3N0YXRpc3RpY3MgJmFtcDsgbnVtZXJpY2FsIGRhdGE8L2tleXdvcmQ+PGtleXdvcmQ+
Q3Jvc3MtU2VjdGlvbmFsIFN0dWRpZXM8L2tleXdvcmQ+PGtleXdvcmQ+RWxlY3Ryb25pYyBOaWNv
dGluZSBEZWxpdmVyeSBTeXN0ZW1zLypzdGF0aXN0aWNzICZhbXA7IG51bWVyaWNhbCBkYXRhPC9r
ZXl3b3JkPjxrZXl3b3JkPkZlbWFsZTwva2V5d29yZD48a2V5d29yZD5IdW1hbnM8L2tleXdvcmQ+
PGtleXdvcmQ+TG9naXN0aWMgTW9kZWxzPC9rZXl3b3JkPjxrZXl3b3JkPk1hbGU8L2tleXdvcmQ+
PGtleXdvcmQ+KlJpc2stVGFraW5nPC9rZXl3b3JkPjxrZXl3b3JkPlNtb2tpbmcvZXBpZGVtaW9s
b2d5PC9rZXl3b3JkPjxrZXl3b3JkPlN1cnZleXMgYW5kIFF1ZXN0aW9ubmFpcmVzPC9rZXl3b3Jk
PjxrZXl3b3JkPlRleGFzL2VwaWRlbWlvbG9neTwva2V5d29yZD48a2V5d29yZD5DdXJyZW50IGNp
Z2FyZXR0ZSB1c2U8L2tleXdvcmQ+PGtleXdvcmQ+ZWxlY3Ryb25pYyBjaWdhcmV0dGVzPC9rZXl3
b3JkPjxrZXl3b3JkPnNlbnNhdGlvbiBzZWVraW5nPC9rZXl3b3JkPjwva2V5d29yZHM+PGRhdGVz
Pjx5ZWFyPjIwMTc8L3llYXI+PHB1Yi1kYXRlcz48ZGF0ZT5NYXktSnVuPC9kYXRlPjwvcHViLWRh
dGVzPjwvZGF0ZXM+PGlzYm4+MDc0NC04NDgxPC9pc2JuPjxhY2Nlc3Npb24tbnVtPjI4MDk1MTI2
PC9hY2Nlc3Npb24tbnVtPjx1cmxzPjxyZWxhdGVkLXVybHM+PHVybD5odHRwczovL3d3dy50YW5k
Zm9ubGluZS5jb20vZG9pL3BkZi8xMC4xMDgwLzA3NDQ4NDgxLjIwMTcuMTI4MjQ4Nz9uZWVkQWNj
ZXNzPXRydWU8L3VybD48L3JlbGF0ZWQtdXJscz48L3VybHM+PGN1c3RvbTI+UE1DNTQyMjEyMTwv
Y3VzdG9tMj48Y3VzdG9tNj5OSUhNUzg1MTUyNjwvY3VzdG9tNj48ZWxlY3Ryb25pYy1yZXNvdXJj
ZS1udW0+MTAuMTA4MC8wNzQ0ODQ4MS4yMDE3LjEyODI0ODc8L2VsZWN0cm9uaWMtcmVzb3VyY2Ut
bnVtPjxyZW1vdGUtZGF0YWJhc2UtcHJvdmlkZXI+TkxNPC9yZW1vdGUtZGF0YWJhc2UtcHJvdmlk
ZXI+PGxhbmd1YWdlPmVuZzwvbGFuZ3VhZ2U+PC9yZWNvcmQ+PC9DaXRlPjxDaXRlPjxBdXRob3I+
Q3JlYW1lcjwvQXV0aG9yPjxZZWFyPjIwMTg8L1llYXI+PFJlY051bT40NjIxPC9SZWNOdW0+PHJl
Y29yZD48cmVjLW51bWJlcj40NjIxPC9yZWMtbnVtYmVyPjxmb3JlaWduLWtleXM+PGtleSBhcHA9
IkVOIiBkYi1pZD0iZnB0OXB0dHJtNXpmc2Flc3A5ZnBzZGR2MDlld3N2NXhld2ZkIiB0aW1lc3Rh
bXA9IjE1MjUwNDUxNTYiPjQ2MjE8L2tleT48a2V5IGFwcD0iRU5XZWIiIGRiLWlkPSIiPjA8L2tl
eT48L2ZvcmVpZ24ta2V5cz48cmVmLXR5cGUgbmFtZT0iSm91cm5hbCBBcnRpY2xlIj4xNzwvcmVm
LXR5cGU+PGNvbnRyaWJ1dG9ycz48YXV0aG9ycz48YXV0aG9yPkNyZWFtZXIsIE0uIFIuPC9hdXRo
b3I+PGF1dGhvcj5Mb3VrYXMsIEEuPC9hdXRob3I+PGF1dGhvcj5DbGVuZGVubmVuLCBTLjwvYXV0
aG9yPjxhdXRob3I+TWFudGV5LCBELjwvYXV0aG9yPjxhdXRob3I+UGFzY2gsIEsuIEUuPC9hdXRo
b3I+PGF1dGhvcj5NYXJ0aSwgQy4gTi48L2F1dGhvcj48YXV0aG9yPlBlcnJ5LCBDLiBMLjwvYXV0
aG9yPjwvYXV0aG9ycz48L2NvbnRyaWJ1dG9ycz48YXV0aC1hZGRyZXNzPmEgVVRIZWFsdGggU2No
b29sIG9mIFB1YmxpYyBIZWFsdGggaW4gQXVzdGluICwgQXVzdGluICwgVVNBLiYjeEQ7YiBUaGUg
VW5pdmVyc2l0eSBvZiBUZXhhcyBhdCBBdXN0aW4gLCBEZXBhcnRtZW50IG9mIEtpbmVzaW9sb2d5
ICZhbXA7IEhlYWx0aCBFZHVjYXRpb24gLCBBdXN0aW4gLCBVU0EuPC9hdXRoLWFkZHJlc3M+PHRp
dGxlcz48dGl0bGU+TG9uZ2l0dWRpbmFsIFByZWRpY3RvcnMgb2YgQ2lnYXJldHRlIFVzZSBhbW9u
ZyBTdHVkZW50cyBmcm9tIDI0IFRleGFzIENvbGxlZ2VzPC90aXRsZT48c2Vjb25kYXJ5LXRpdGxl
PkogQW0gQ29sbCBIZWFsdGg8L3NlY29uZGFyeS10aXRsZT48YWx0LXRpdGxlPkpvdXJuYWwgb2Yg
QW1lcmljYW4gY29sbGVnZSBoZWFsdGggOiBKIG9mIEFDSDwvYWx0LXRpdGxlPjwvdGl0bGVzPjxw
ZXJpb2RpY2FsPjxmdWxsLXRpdGxlPkogQW0gQ29sbCBIZWFsdGg8L2Z1bGwtdGl0bGU+PGFiYnIt
MT5Kb3VybmFsIG9mIEFtZXJpY2FuIGNvbGxlZ2UgaGVhbHRoIDogSiBvZiBBQ0g8L2FiYnItMT48
L3BlcmlvZGljYWw+PGFsdC1wZXJpb2RpY2FsPjxmdWxsLXRpdGxlPkogQW0gQ29sbCBIZWFsdGg8
L2Z1bGwtdGl0bGU+PGFiYnItMT5Kb3VybmFsIG9mIEFtZXJpY2FuIGNvbGxlZ2UgaGVhbHRoIDog
SiBvZiBBQ0g8L2FiYnItMT48L2FsdC1wZXJpb2RpY2FsPjxwYWdlcz4wPC9wYWdlcz48ZWRpdGlv
bj4yMDE4LzAyLzA5PC9lZGl0aW9uPjxkYXRlcz48eWVhcj4yMDE4PC95ZWFyPjxwdWItZGF0ZXM+
PGRhdGU+RmViIDg8L2RhdGU+PC9wdWItZGF0ZXM+PC9kYXRlcz48aXNibj4wNzQ0LTg0ODE8L2lz
Ym4+PGFjY2Vzc2lvbi1udW0+Mjk0MTkzNjM8L2FjY2Vzc2lvbi1udW0+PHVybHM+PHJlbGF0ZWQt
dXJscz48dXJsPmh0dHBzOi8vd3d3LnRhbmRmb25saW5lLmNvbS9kb2kvcGRmLzEwLjEwODAvMDc0
NDg0ODEuMjAxOC4xNDMxOTA3P25lZWRBY2Nlc3M9dHJ1ZTwvdXJsPjwvcmVsYXRlZC11cmxzPjwv
dXJscz48ZWxlY3Ryb25pYy1yZXNvdXJjZS1udW0+MTAuMTA4MC8wNzQ0ODQ4MS4yMDE4LjE0MzE5
MDc8L2VsZWN0cm9uaWMtcmVzb3VyY2UtbnVtPjxyZW1vdGUtZGF0YWJhc2UtcHJvdmlkZXI+TkxN
PC9yZW1vdGUtZGF0YWJhc2UtcHJvdmlkZXI+PGxhbmd1YWdlPmVuZzwvbGFuZ3VhZ2U+PC9yZWNv
cmQ+PC9DaXRlPjwvRW5kTm90ZT5=
</w:fldData>
        </w:fldChar>
      </w:r>
      <w:r w:rsidRPr="00892582">
        <w:instrText xml:space="preserve"> ADDIN EN.CITE.DATA </w:instrText>
      </w:r>
      <w:r w:rsidRPr="00892582">
        <w:fldChar w:fldCharType="end"/>
      </w:r>
      <w:r w:rsidRPr="00892582">
        <w:fldChar w:fldCharType="separate"/>
      </w:r>
      <w:r w:rsidRPr="00892582">
        <w:t>(Case, Loukas et al. 2017, Creamer, Loukas et al. 2018)</w:t>
      </w:r>
      <w:r w:rsidRPr="00892582">
        <w:fldChar w:fldCharType="end"/>
      </w:r>
      <w:r w:rsidRPr="00892582">
        <w:t xml:space="preserve"> whereas other samples were based on random-digit dialling </w:t>
      </w:r>
      <w:r w:rsidRPr="00892582">
        <w:fldChar w:fldCharType="begin">
          <w:fldData xml:space="preserve">PEVuZE5vdGU+PENpdGU+PEF1dGhvcj5BbWF0bzwvQXV0aG9yPjxZZWFyPjIwMTc8L1llYXI+PFJl
Y051bT41MzUzPC9SZWNOdW0+PERpc3BsYXlUZXh0PihBbWF0bywgQm95bGUgZXQgYWwuIDIwMTcs
IE1lbmR5LCBWYXJnYXMgZXQgYWwuIDIwMTcsIE8mYXBvcztHYXJhLCBTaGFybWEgZXQgYWwuIDIw
MTcpPC9EaXNwbGF5VGV4dD48cmVjb3JkPjxyZWMtbnVtYmVyPjUzNTM8L3JlYy1udW1iZXI+PGZv
cmVpZ24ta2V5cz48a2V5IGFwcD0iRU4iIGRiLWlkPSJmcHQ5cHR0cm01emZzYWVzcDlmcHNkZHYw
OWV3c3Y1eGV3ZmQiIHRpbWVzdGFtcD0iMTUyNTA0NjUzMSI+NTM1Mzwva2V5PjxrZXkgYXBwPSJF
TldlYiIgZGItaWQ9IiI+MDwva2V5PjwvZm9yZWlnbi1rZXlzPjxyZWYtdHlwZSBuYW1lPSJKb3Vy
bmFsIEFydGljbGUiPjE3PC9yZWYtdHlwZT48Y29udHJpYnV0b3JzPjxhdXRob3JzPjxhdXRob3I+
QW1hdG8sIE0uIFMuPC9hdXRob3I+PGF1dGhvcj5Cb3lsZSwgUi4gRy48L2F1dGhvcj48YXV0aG9y
PkxldnksIEQuPC9hdXRob3I+PC9hdXRob3JzPjwvY29udHJpYnV0b3JzPjxhdXRoLWFkZHJlc3M+
VGhlIFNjaHJvZWRlciBJbnN0aXR1dGUgZm9yIFRvYmFjY28gUmVzZWFyY2ggYW5kIFBvbGljeSBT
dHVkaWVzIGF0IFRydXRoIEluaXRpYXRpdmUsIFdhc2hpbmd0b24gREMsIFVTQS4mI3hEO0NsZWFy
V2F5IE1pbm5lc290YSwgTWlubmVhcG9saXMsIE1pbm5lc290YSwgVVNBLiYjeEQ7R2VvcmdldG93
biBMb21iYXJkaSBDb21wcmVoZW5zaXZlIENhbmNlciBDZW50ZXIsIFdhc2hpbmd0b24gREMsIFVT
QS48L2F1dGgtYWRkcmVzcz48dGl0bGVzPjx0aXRsZT5FLWNpZ2FyZXR0ZSB1c2UgMSB5ZWFyIGxh
dGVyIGluIGEgcG9wdWxhdGlvbi1iYXNlZCBwcm9zcGVjdGl2ZSBjb2hvcnQ8L3RpdGxlPjxzZWNv
bmRhcnktdGl0bGU+VG9iIENvbnRyb2w8L3NlY29uZGFyeS10aXRsZT48YWx0LXRpdGxlPlRvYmFj
Y28gY29udHJvbDwvYWx0LXRpdGxlPjwvdGl0bGVzPjxhbHQtcGVyaW9kaWNhbD48ZnVsbC10aXRs
ZT5Ub2JhY2NvIENvbnRyb2w8L2Z1bGwtdGl0bGU+PC9hbHQtcGVyaW9kaWNhbD48cGFnZXM+ZTky
LWU5NjwvcGFnZXM+PHZvbHVtZT4yNjwvdm9sdW1lPjxudW1iZXI+ZTI8L251bWJlcj48ZWRpdGlv
bj4yMDE2LzExLzA0PC9lZGl0aW9uPjxrZXl3b3Jkcz48a2V5d29yZD5FbGVjdHJvbmljIG5pY290
aW5lIGRlbGl2ZXJ5IGRldmljZXM8L2tleXdvcmQ+PGtleXdvcmQ+Tm9uLWNpZ2FyZXR0ZSB0b2Jh
Y2NvIHByb2R1Y3RzPC9rZXl3b3JkPjxrZXl3b3JkPlB1YmxpYyBwb2xpY3k8L2tleXdvcmQ+PGtl
eXdvcmQ+U3VydmVpbGxhbmNlIGFuZCBtb25pdG9yaW5nPC9rZXl3b3JkPjwva2V5d29yZHM+PGRh
dGVzPjx5ZWFyPjIwMTc8L3llYXI+PHB1Yi1kYXRlcz48ZGF0ZT5EZWM8L2RhdGU+PC9wdWItZGF0
ZXM+PC9kYXRlcz48aXNibj4wOTY0LTQ1NjM8L2lzYm4+PGFjY2Vzc2lvbi1udW0+Mjc4MDcyOTg8
L2FjY2Vzc2lvbi1udW0+PHVybHM+PHJlbGF0ZWQtdXJscz48dXJsPmh0dHA6Ly90b2JhY2NvY29u
dHJvbC5ibWouY29tL2NvbnRlbnQvMjYvZTIvZTkyLmxvbmc8L3VybD48L3JlbGF0ZWQtdXJscz48
L3VybHM+PGVsZWN0cm9uaWMtcmVzb3VyY2UtbnVtPjEwLjExMzYvdG9iYWNjb2NvbnRyb2wtMjAx
Ni0wNTMxNzc8L2VsZWN0cm9uaWMtcmVzb3VyY2UtbnVtPjxyZW1vdGUtZGF0YWJhc2UtcHJvdmlk
ZXI+TkxNPC9yZW1vdGUtZGF0YWJhc2UtcHJvdmlkZXI+PGxhbmd1YWdlPmVuZzwvbGFuZ3VhZ2U+
PC9yZWNvcmQ+PC9DaXRlPjxDaXRlPjxBdXRob3I+TWVuZHk8L0F1dGhvcj48WWVhcj4yMDE3PC9Z
ZWFyPjxSZWNOdW0+NjM1OTwvUmVjTnVtPjxyZWNvcmQ+PHJlYy1udW1iZXI+NjM1OTwvcmVjLW51
bWJlcj48Zm9yZWlnbi1rZXlzPjxrZXkgYXBwPSJFTiIgZGItaWQ9ImZwdDlwdHRybTV6ZnNhZXNw
OWZwc2RkdjA5ZXdzdjV4ZXdmZCIgdGltZXN0YW1wPSIxNTI1MDQ3NzkyIj42MzU5PC9rZXk+PGtl
eSBhcHA9IkVOV2ViIiBkYi1pZD0iIj4wPC9rZXk+PC9mb3JlaWduLWtleXM+PHJlZi10eXBlIG5h
bWU9IkpvdXJuYWwgQXJ0aWNsZSI+MTc8L3JlZi10eXBlPjxjb250cmlidXRvcnM+PGF1dGhvcnM+
PGF1dGhvcj5NZW5keSwgVi4gTC48L2F1dGhvcj48YXV0aG9yPlZhcmdhcywgUi48L2F1dGhvcj48
YXV0aG9yPkNhbm5vbi1TbWl0aCwgRy48L2F1dGhvcj48YXV0aG9yPlBheXRvbiwgTS48L2F1dGhv
cj48YXV0aG9yPkJ5YW1iYWEsIEUuPC9hdXRob3I+PGF1dGhvcj5aaGFuZywgTC48L2F1dGhvcj48
L2F1dGhvcnM+PC9jb250cmlidXRvcnM+PGF1dGgtYWRkcmVzcz5PZmZpY2Ugb2YgSGVhbHRoIERh
dGEgYW5kIFJlc2VhcmNoLCBNaXNzaXNzaXBwaSBTdGF0ZSBEZXBhcnRtZW50IG9mIEhlYWx0aCwg
SmFja3NvbiwgTVMsIFVTQS4mI3hEO0RlcGFydG1lbnQgb2YgRXBpZGVtaW9sb2d5IGFuZCBCaW9z
dGF0aXN0aWNzLCBTY2hvb2wgb2YgUHVibGljIEhlYWx0aCwgSmFja3NvbiBTdGF0ZSBVbml2ZXJz
aXR5LCBKYWNrc29uLCBNUywgVVNBLiYjeEQ7Q2VudGVyIG9mIEV4Y2VsbGVuY2UgaW4gTWlub3Jp
dHkgSGVhbHRoIGFuZCBIZWFsdGggRGlzcGFyaXRpZXMsIEluc3RpdHV0ZSBvZiBFcGlkZW1pb2xv
Z3kgYW5kIEhlYWx0aCBTZXJ2aWNlcyBSZXNlYXJjaCwgU2Nob29sIG9mIFB1YmxpYyBIZWFsdGgs
IEphY2tzb24gU3RhdGUgVW5pdmVyc2l0eSwgSmFja3NvbiwgTVMsIFVTQS4mI3hEO0RlcGFydG1l
bnQgb2YgSW50ZXJuYWwgTWVkaWNpbmUsIFVuaXZlcnNpdHkgb2YgQ2FsaWZvcm5pYSBEYXZpcywg
U2Nob29sIG9mIE1lZGljaW5lLCBTYWNyYW1lbnRvLCBDQSwgVVNBLjwvYXV0aC1hZGRyZXNzPjx0
aXRsZXM+PHRpdGxlPkVsZWN0cm9uaWMgQ2lnYXJldHRlIFVzZSBhbW9uZyBNaXNzaXNzaXBwaSBB
ZHVsdHMsIDIwMTU8L3RpdGxlPjxzZWNvbmRhcnktdGl0bGU+SiBBZGRpY3Q8L3NlY29uZGFyeS10
aXRsZT48YWx0LXRpdGxlPkpvdXJuYWwgb2YgYWRkaWN0aW9uPC9hbHQtdGl0bGU+PC90aXRsZXM+
PHBlcmlvZGljYWw+PGZ1bGwtdGl0bGU+SiBBZGRpY3Q8L2Z1bGwtdGl0bGU+PGFiYnItMT5Kb3Vy
bmFsIG9mIGFkZGljdGlvbjwvYWJici0xPjwvcGVyaW9kaWNhbD48YWx0LXBlcmlvZGljYWw+PGZ1
bGwtdGl0bGU+SiBBZGRpY3Q8L2Z1bGwtdGl0bGU+PGFiYnItMT5Kb3VybmFsIG9mIGFkZGljdGlv
bjwvYWJici0xPjwvYWx0LXBlcmlvZGljYWw+PHBhZ2VzPjU5MzE3MzY8L3BhZ2VzPjx2b2x1bWU+
MjAxNzwvdm9sdW1lPjxlZGl0aW9uPjIwMTcvMDkvMTQ8L2VkaXRpb24+PGRhdGVzPjx5ZWFyPjIw
MTc8L3llYXI+PC9kYXRlcz48aXNibj4yMDkwLTc4MzQgKFByaW50KSYjeEQ7MjA5MC03ODUwPC9p
c2JuPjxhY2Nlc3Npb24tbnVtPjI4OTAwNTUyPC9hY2Nlc3Npb24tbnVtPjx1cmxzPjxyZWxhdGVk
LXVybHM+PHVybD5odHRwczovL3d3dy5uY2JpLm5sbS5uaWguZ292L3BtYy9hcnRpY2xlcy9QTUM1
NTc2NDExL3BkZi9KQUQyMDE3LTU5MzE3MzYucGRmPC91cmw+PC9yZWxhdGVkLXVybHM+PC91cmxz
PjxjdXN0b20yPlBNQzU1NzY0MTE8L2N1c3RvbTI+PGVsZWN0cm9uaWMtcmVzb3VyY2UtbnVtPjEw
LjExNTUvMjAxNy81OTMxNzM2PC9lbGVjdHJvbmljLXJlc291cmNlLW51bT48cmVtb3RlLWRhdGFi
YXNlLXByb3ZpZGVyPk5MTTwvcmVtb3RlLWRhdGFiYXNlLXByb3ZpZGVyPjxsYW5ndWFnZT5lbmc8
L2xhbmd1YWdlPjwvcmVjb3JkPjwvQ2l0ZT48Q2l0ZT48QXV0aG9yPk8mYXBvcztHYXJhPC9BdXRo
b3I+PFllYXI+MjAxNzwvWWVhcj48UmVjTnVtPjUzMTk8L1JlY051bT48cmVjb3JkPjxyZWMtbnVt
YmVyPjUzMTk8L3JlYy1udW1iZXI+PGZvcmVpZ24ta2V5cz48a2V5IGFwcD0iRU4iIGRiLWlkPSJm
cHQ5cHR0cm01emZzYWVzcDlmcHNkZHYwOWV3c3Y1eGV3ZmQiIHRpbWVzdGFtcD0iMTUyNTA0NjQ2
NiI+NTMxOTwva2V5PjwvZm9yZWlnbi1rZXlzPjxyZWYtdHlwZSBuYW1lPSJKb3VybmFsIEFydGlj
bGUiPjE3PC9yZWYtdHlwZT48Y29udHJpYnV0b3JzPjxhdXRob3JzPjxhdXRob3I+TyZhcG9zO0dh
cmEsIEUuPC9hdXRob3I+PGF1dGhvcj5TaGFybWEsIEUuPC9hdXRob3I+PGF1dGhvcj5Cb3lsZSwg
Ui4gRy48L2F1dGhvcj48YXV0aG9yPlRheWxvciwgSy4gQS48L2F1dGhvcj48L2F1dGhvcnM+PC9j
b250cmlidXRvcnM+PGF1dGgtYWRkcmVzcz5DbGVhcldheSBNaW5uZXNvdGEsIFJlc2VhcmNoIFBy
b2dyYW0gTWFuYWdlciwgTWlubmVhcG9saXMsIE1OLiYjeEQ7V2VzdGF0LCBSZXNlYXJjaCBBc3Nv
Y2lhdGUsIFJvY2t2aWxsZSwgTUQuJiN4RDtDbGVhcldheSBNaW5uZXNvdGEsIERpcmVjdG9yIG9m
IFJlc2VhcmNoIFByb2dyYW1zLCBNaW5uZWFwb2xpcywgTU4uJiN4RDtXZXN0YXQsIFNlbmlvciBT
dHVkeSBEaXJlY3RvciwgUm9ja3ZpbGxlLCBNRDssIEVtYWlsOiBlb2dhcmFAY2xlYXJ3YXltbi5v
cmcuPC9hdXRoLWFkZHJlc3M+PHRpdGxlcz48dGl0bGU+RXhwbG9yaW5nIEV4Y2x1c2l2ZSBhbmQg
UG9seS10b2JhY2NvIFVzZSBhbW9uZyBBZHVsdCBDaWdhcmV0dGUgU21va2VycyBpbiBNaW5uZXNv
dGE8L3RpdGxlPjxzZWNvbmRhcnktdGl0bGU+QW0gSiBIZWFsdGggQmVoYXY8L3NlY29uZGFyeS10
aXRsZT48YWx0LXRpdGxlPkFtZXJpY2FuIGpvdXJuYWwgb2YgaGVhbHRoIGJlaGF2aW9yPC9hbHQt
dGl0bGU+PC90aXRsZXM+PGFsdC1wZXJpb2RpY2FsPjxmdWxsLXRpdGxlPkFtZXJpY2FuIEpvdXJu
YWwgb2YgSGVhbHRoIEJlaGF2aW9yPC9mdWxsLXRpdGxlPjwvYWx0LXBlcmlvZGljYWw+PHBhZ2Vz
Pjg0LTkxPC9wYWdlcz48dm9sdW1lPjQxPC92b2x1bWU+PG51bWJlcj4xPC9udW1iZXI+PGVkaXRp
b24+MjAxNi8xMi8xMDwvZWRpdGlvbj48a2V5d29yZHM+PGtleXdvcmQ+QWRvbGVzY2VudDwva2V5
d29yZD48a2V5d29yZD5BZHVsdDwva2V5d29yZD48a2V5d29yZD5BZ2VkPC9rZXl3b3JkPjxrZXl3
b3JkPkNyb3NzLVNlY3Rpb25hbCBTdHVkaWVzPC9rZXl3b3JkPjxrZXl3b3JkPipFbGVjdHJvbmlj
IE5pY290aW5lIERlbGl2ZXJ5IFN5c3RlbXM8L2tleXdvcmQ+PGtleXdvcmQ+RmVtYWxlPC9rZXl3
b3JkPjxrZXl3b3JkPkhlYWx0aCBTdXJ2ZXlzPC9rZXl3b3JkPjxrZXl3b3JkPkh1bWFuczwva2V5
d29yZD48a2V5d29yZD5NYWxlPC9rZXl3b3JkPjxrZXl3b3JkPk1pZGRsZSBBZ2VkPC9rZXl3b3Jk
PjxrZXl3b3JkPk1pbm5lc290YS9lcGlkZW1pb2xvZ3k8L2tleXdvcmQ+PGtleXdvcmQ+UHJldmFs
ZW5jZTwva2V5d29yZD48a2V5d29yZD4qU21va2Vyczwva2V5d29yZD48a2V5d29yZD5TbW9raW5n
L2VwaWRlbWlvbG9neTwva2V5d29yZD48a2V5d29yZD4qVG9iYWNjbyBVc2U8L2tleXdvcmQ+PGtl
eXdvcmQ+VW5pdGVkIFN0YXRlczwva2V5d29yZD48a2V5d29yZD5Zb3VuZyBBZHVsdDwva2V5d29y
ZD48L2tleXdvcmRzPjxkYXRlcz48eWVhcj4yMDE3PC95ZWFyPjxwdWItZGF0ZXM+PGRhdGU+SmFu
PC9kYXRlPjwvcHViLWRhdGVzPjwvZGF0ZXM+PGlzYm4+MTA4Ny0zMjQ0PC9pc2JuPjxhY2Nlc3Np
b24tbnVtPjI3OTM1Nzk0PC9hY2Nlc3Npb24tbnVtPjx1cmxzPjwvdXJscz48cmVtb3RlLWRhdGFi
YXNlLXByb3ZpZGVyPk5MTTwvcmVtb3RlLWRhdGFiYXNlLXByb3ZpZGVyPjxsYW5ndWFnZT5lbmc8
L2xhbmd1YWdlPjwvcmVjb3JkPjwvQ2l0ZT48L0VuZE5vdGU+AG==
</w:fldData>
        </w:fldChar>
      </w:r>
      <w:r w:rsidRPr="00892582">
        <w:instrText xml:space="preserve"> ADDIN EN.CITE </w:instrText>
      </w:r>
      <w:r w:rsidRPr="00892582">
        <w:fldChar w:fldCharType="begin">
          <w:fldData xml:space="preserve">PEVuZE5vdGU+PENpdGU+PEF1dGhvcj5BbWF0bzwvQXV0aG9yPjxZZWFyPjIwMTc8L1llYXI+PFJl
Y051bT41MzUzPC9SZWNOdW0+PERpc3BsYXlUZXh0PihBbWF0bywgQm95bGUgZXQgYWwuIDIwMTcs
IE1lbmR5LCBWYXJnYXMgZXQgYWwuIDIwMTcsIE8mYXBvcztHYXJhLCBTaGFybWEgZXQgYWwuIDIw
MTcpPC9EaXNwbGF5VGV4dD48cmVjb3JkPjxyZWMtbnVtYmVyPjUzNTM8L3JlYy1udW1iZXI+PGZv
cmVpZ24ta2V5cz48a2V5IGFwcD0iRU4iIGRiLWlkPSJmcHQ5cHR0cm01emZzYWVzcDlmcHNkZHYw
OWV3c3Y1eGV3ZmQiIHRpbWVzdGFtcD0iMTUyNTA0NjUzMSI+NTM1Mzwva2V5PjxrZXkgYXBwPSJF
TldlYiIgZGItaWQ9IiI+MDwva2V5PjwvZm9yZWlnbi1rZXlzPjxyZWYtdHlwZSBuYW1lPSJKb3Vy
bmFsIEFydGljbGUiPjE3PC9yZWYtdHlwZT48Y29udHJpYnV0b3JzPjxhdXRob3JzPjxhdXRob3I+
QW1hdG8sIE0uIFMuPC9hdXRob3I+PGF1dGhvcj5Cb3lsZSwgUi4gRy48L2F1dGhvcj48YXV0aG9y
PkxldnksIEQuPC9hdXRob3I+PC9hdXRob3JzPjwvY29udHJpYnV0b3JzPjxhdXRoLWFkZHJlc3M+
VGhlIFNjaHJvZWRlciBJbnN0aXR1dGUgZm9yIFRvYmFjY28gUmVzZWFyY2ggYW5kIFBvbGljeSBT
dHVkaWVzIGF0IFRydXRoIEluaXRpYXRpdmUsIFdhc2hpbmd0b24gREMsIFVTQS4mI3hEO0NsZWFy
V2F5IE1pbm5lc290YSwgTWlubmVhcG9saXMsIE1pbm5lc290YSwgVVNBLiYjeEQ7R2VvcmdldG93
biBMb21iYXJkaSBDb21wcmVoZW5zaXZlIENhbmNlciBDZW50ZXIsIFdhc2hpbmd0b24gREMsIFVT
QS48L2F1dGgtYWRkcmVzcz48dGl0bGVzPjx0aXRsZT5FLWNpZ2FyZXR0ZSB1c2UgMSB5ZWFyIGxh
dGVyIGluIGEgcG9wdWxhdGlvbi1iYXNlZCBwcm9zcGVjdGl2ZSBjb2hvcnQ8L3RpdGxlPjxzZWNv
bmRhcnktdGl0bGU+VG9iIENvbnRyb2w8L3NlY29uZGFyeS10aXRsZT48YWx0LXRpdGxlPlRvYmFj
Y28gY29udHJvbDwvYWx0LXRpdGxlPjwvdGl0bGVzPjxhbHQtcGVyaW9kaWNhbD48ZnVsbC10aXRs
ZT5Ub2JhY2NvIENvbnRyb2w8L2Z1bGwtdGl0bGU+PC9hbHQtcGVyaW9kaWNhbD48cGFnZXM+ZTky
LWU5NjwvcGFnZXM+PHZvbHVtZT4yNjwvdm9sdW1lPjxudW1iZXI+ZTI8L251bWJlcj48ZWRpdGlv
bj4yMDE2LzExLzA0PC9lZGl0aW9uPjxrZXl3b3Jkcz48a2V5d29yZD5FbGVjdHJvbmljIG5pY290
aW5lIGRlbGl2ZXJ5IGRldmljZXM8L2tleXdvcmQ+PGtleXdvcmQ+Tm9uLWNpZ2FyZXR0ZSB0b2Jh
Y2NvIHByb2R1Y3RzPC9rZXl3b3JkPjxrZXl3b3JkPlB1YmxpYyBwb2xpY3k8L2tleXdvcmQ+PGtl
eXdvcmQ+U3VydmVpbGxhbmNlIGFuZCBtb25pdG9yaW5nPC9rZXl3b3JkPjwva2V5d29yZHM+PGRh
dGVzPjx5ZWFyPjIwMTc8L3llYXI+PHB1Yi1kYXRlcz48ZGF0ZT5EZWM8L2RhdGU+PC9wdWItZGF0
ZXM+PC9kYXRlcz48aXNibj4wOTY0LTQ1NjM8L2lzYm4+PGFjY2Vzc2lvbi1udW0+Mjc4MDcyOTg8
L2FjY2Vzc2lvbi1udW0+PHVybHM+PHJlbGF0ZWQtdXJscz48dXJsPmh0dHA6Ly90b2JhY2NvY29u
dHJvbC5ibWouY29tL2NvbnRlbnQvMjYvZTIvZTkyLmxvbmc8L3VybD48L3JlbGF0ZWQtdXJscz48
L3VybHM+PGVsZWN0cm9uaWMtcmVzb3VyY2UtbnVtPjEwLjExMzYvdG9iYWNjb2NvbnRyb2wtMjAx
Ni0wNTMxNzc8L2VsZWN0cm9uaWMtcmVzb3VyY2UtbnVtPjxyZW1vdGUtZGF0YWJhc2UtcHJvdmlk
ZXI+TkxNPC9yZW1vdGUtZGF0YWJhc2UtcHJvdmlkZXI+PGxhbmd1YWdlPmVuZzwvbGFuZ3VhZ2U+
PC9yZWNvcmQ+PC9DaXRlPjxDaXRlPjxBdXRob3I+TWVuZHk8L0F1dGhvcj48WWVhcj4yMDE3PC9Z
ZWFyPjxSZWNOdW0+NjM1OTwvUmVjTnVtPjxyZWNvcmQ+PHJlYy1udW1iZXI+NjM1OTwvcmVjLW51
bWJlcj48Zm9yZWlnbi1rZXlzPjxrZXkgYXBwPSJFTiIgZGItaWQ9ImZwdDlwdHRybTV6ZnNhZXNw
OWZwc2RkdjA5ZXdzdjV4ZXdmZCIgdGltZXN0YW1wPSIxNTI1MDQ3NzkyIj42MzU5PC9rZXk+PGtl
eSBhcHA9IkVOV2ViIiBkYi1pZD0iIj4wPC9rZXk+PC9mb3JlaWduLWtleXM+PHJlZi10eXBlIG5h
bWU9IkpvdXJuYWwgQXJ0aWNsZSI+MTc8L3JlZi10eXBlPjxjb250cmlidXRvcnM+PGF1dGhvcnM+
PGF1dGhvcj5NZW5keSwgVi4gTC48L2F1dGhvcj48YXV0aG9yPlZhcmdhcywgUi48L2F1dGhvcj48
YXV0aG9yPkNhbm5vbi1TbWl0aCwgRy48L2F1dGhvcj48YXV0aG9yPlBheXRvbiwgTS48L2F1dGhv
cj48YXV0aG9yPkJ5YW1iYWEsIEUuPC9hdXRob3I+PGF1dGhvcj5aaGFuZywgTC48L2F1dGhvcj48
L2F1dGhvcnM+PC9jb250cmlidXRvcnM+PGF1dGgtYWRkcmVzcz5PZmZpY2Ugb2YgSGVhbHRoIERh
dGEgYW5kIFJlc2VhcmNoLCBNaXNzaXNzaXBwaSBTdGF0ZSBEZXBhcnRtZW50IG9mIEhlYWx0aCwg
SmFja3NvbiwgTVMsIFVTQS4mI3hEO0RlcGFydG1lbnQgb2YgRXBpZGVtaW9sb2d5IGFuZCBCaW9z
dGF0aXN0aWNzLCBTY2hvb2wgb2YgUHVibGljIEhlYWx0aCwgSmFja3NvbiBTdGF0ZSBVbml2ZXJz
aXR5LCBKYWNrc29uLCBNUywgVVNBLiYjeEQ7Q2VudGVyIG9mIEV4Y2VsbGVuY2UgaW4gTWlub3Jp
dHkgSGVhbHRoIGFuZCBIZWFsdGggRGlzcGFyaXRpZXMsIEluc3RpdHV0ZSBvZiBFcGlkZW1pb2xv
Z3kgYW5kIEhlYWx0aCBTZXJ2aWNlcyBSZXNlYXJjaCwgU2Nob29sIG9mIFB1YmxpYyBIZWFsdGgs
IEphY2tzb24gU3RhdGUgVW5pdmVyc2l0eSwgSmFja3NvbiwgTVMsIFVTQS4mI3hEO0RlcGFydG1l
bnQgb2YgSW50ZXJuYWwgTWVkaWNpbmUsIFVuaXZlcnNpdHkgb2YgQ2FsaWZvcm5pYSBEYXZpcywg
U2Nob29sIG9mIE1lZGljaW5lLCBTYWNyYW1lbnRvLCBDQSwgVVNBLjwvYXV0aC1hZGRyZXNzPjx0
aXRsZXM+PHRpdGxlPkVsZWN0cm9uaWMgQ2lnYXJldHRlIFVzZSBhbW9uZyBNaXNzaXNzaXBwaSBB
ZHVsdHMsIDIwMTU8L3RpdGxlPjxzZWNvbmRhcnktdGl0bGU+SiBBZGRpY3Q8L3NlY29uZGFyeS10
aXRsZT48YWx0LXRpdGxlPkpvdXJuYWwgb2YgYWRkaWN0aW9uPC9hbHQtdGl0bGU+PC90aXRsZXM+
PHBlcmlvZGljYWw+PGZ1bGwtdGl0bGU+SiBBZGRpY3Q8L2Z1bGwtdGl0bGU+PGFiYnItMT5Kb3Vy
bmFsIG9mIGFkZGljdGlvbjwvYWJici0xPjwvcGVyaW9kaWNhbD48YWx0LXBlcmlvZGljYWw+PGZ1
bGwtdGl0bGU+SiBBZGRpY3Q8L2Z1bGwtdGl0bGU+PGFiYnItMT5Kb3VybmFsIG9mIGFkZGljdGlv
bjwvYWJici0xPjwvYWx0LXBlcmlvZGljYWw+PHBhZ2VzPjU5MzE3MzY8L3BhZ2VzPjx2b2x1bWU+
MjAxNzwvdm9sdW1lPjxlZGl0aW9uPjIwMTcvMDkvMTQ8L2VkaXRpb24+PGRhdGVzPjx5ZWFyPjIw
MTc8L3llYXI+PC9kYXRlcz48aXNibj4yMDkwLTc4MzQgKFByaW50KSYjeEQ7MjA5MC03ODUwPC9p
c2JuPjxhY2Nlc3Npb24tbnVtPjI4OTAwNTUyPC9hY2Nlc3Npb24tbnVtPjx1cmxzPjxyZWxhdGVk
LXVybHM+PHVybD5odHRwczovL3d3dy5uY2JpLm5sbS5uaWguZ292L3BtYy9hcnRpY2xlcy9QTUM1
NTc2NDExL3BkZi9KQUQyMDE3LTU5MzE3MzYucGRmPC91cmw+PC9yZWxhdGVkLXVybHM+PC91cmxz
PjxjdXN0b20yPlBNQzU1NzY0MTE8L2N1c3RvbTI+PGVsZWN0cm9uaWMtcmVzb3VyY2UtbnVtPjEw
LjExNTUvMjAxNy81OTMxNzM2PC9lbGVjdHJvbmljLXJlc291cmNlLW51bT48cmVtb3RlLWRhdGFi
YXNlLXByb3ZpZGVyPk5MTTwvcmVtb3RlLWRhdGFiYXNlLXByb3ZpZGVyPjxsYW5ndWFnZT5lbmc8
L2xhbmd1YWdlPjwvcmVjb3JkPjwvQ2l0ZT48Q2l0ZT48QXV0aG9yPk8mYXBvcztHYXJhPC9BdXRo
b3I+PFllYXI+MjAxNzwvWWVhcj48UmVjTnVtPjUzMTk8L1JlY051bT48cmVjb3JkPjxyZWMtbnVt
YmVyPjUzMTk8L3JlYy1udW1iZXI+PGZvcmVpZ24ta2V5cz48a2V5IGFwcD0iRU4iIGRiLWlkPSJm
cHQ5cHR0cm01emZzYWVzcDlmcHNkZHYwOWV3c3Y1eGV3ZmQiIHRpbWVzdGFtcD0iMTUyNTA0NjQ2
NiI+NTMxOTwva2V5PjwvZm9yZWlnbi1rZXlzPjxyZWYtdHlwZSBuYW1lPSJKb3VybmFsIEFydGlj
bGUiPjE3PC9yZWYtdHlwZT48Y29udHJpYnV0b3JzPjxhdXRob3JzPjxhdXRob3I+TyZhcG9zO0dh
cmEsIEUuPC9hdXRob3I+PGF1dGhvcj5TaGFybWEsIEUuPC9hdXRob3I+PGF1dGhvcj5Cb3lsZSwg
Ui4gRy48L2F1dGhvcj48YXV0aG9yPlRheWxvciwgSy4gQS48L2F1dGhvcj48L2F1dGhvcnM+PC9j
b250cmlidXRvcnM+PGF1dGgtYWRkcmVzcz5DbGVhcldheSBNaW5uZXNvdGEsIFJlc2VhcmNoIFBy
b2dyYW0gTWFuYWdlciwgTWlubmVhcG9saXMsIE1OLiYjeEQ7V2VzdGF0LCBSZXNlYXJjaCBBc3Nv
Y2lhdGUsIFJvY2t2aWxsZSwgTUQuJiN4RDtDbGVhcldheSBNaW5uZXNvdGEsIERpcmVjdG9yIG9m
IFJlc2VhcmNoIFByb2dyYW1zLCBNaW5uZWFwb2xpcywgTU4uJiN4RDtXZXN0YXQsIFNlbmlvciBT
dHVkeSBEaXJlY3RvciwgUm9ja3ZpbGxlLCBNRDssIEVtYWlsOiBlb2dhcmFAY2xlYXJ3YXltbi5v
cmcuPC9hdXRoLWFkZHJlc3M+PHRpdGxlcz48dGl0bGU+RXhwbG9yaW5nIEV4Y2x1c2l2ZSBhbmQg
UG9seS10b2JhY2NvIFVzZSBhbW9uZyBBZHVsdCBDaWdhcmV0dGUgU21va2VycyBpbiBNaW5uZXNv
dGE8L3RpdGxlPjxzZWNvbmRhcnktdGl0bGU+QW0gSiBIZWFsdGggQmVoYXY8L3NlY29uZGFyeS10
aXRsZT48YWx0LXRpdGxlPkFtZXJpY2FuIGpvdXJuYWwgb2YgaGVhbHRoIGJlaGF2aW9yPC9hbHQt
dGl0bGU+PC90aXRsZXM+PGFsdC1wZXJpb2RpY2FsPjxmdWxsLXRpdGxlPkFtZXJpY2FuIEpvdXJu
YWwgb2YgSGVhbHRoIEJlaGF2aW9yPC9mdWxsLXRpdGxlPjwvYWx0LXBlcmlvZGljYWw+PHBhZ2Vz
Pjg0LTkxPC9wYWdlcz48dm9sdW1lPjQxPC92b2x1bWU+PG51bWJlcj4xPC9udW1iZXI+PGVkaXRp
b24+MjAxNi8xMi8xMDwvZWRpdGlvbj48a2V5d29yZHM+PGtleXdvcmQ+QWRvbGVzY2VudDwva2V5
d29yZD48a2V5d29yZD5BZHVsdDwva2V5d29yZD48a2V5d29yZD5BZ2VkPC9rZXl3b3JkPjxrZXl3
b3JkPkNyb3NzLVNlY3Rpb25hbCBTdHVkaWVzPC9rZXl3b3JkPjxrZXl3b3JkPipFbGVjdHJvbmlj
IE5pY290aW5lIERlbGl2ZXJ5IFN5c3RlbXM8L2tleXdvcmQ+PGtleXdvcmQ+RmVtYWxlPC9rZXl3
b3JkPjxrZXl3b3JkPkhlYWx0aCBTdXJ2ZXlzPC9rZXl3b3JkPjxrZXl3b3JkPkh1bWFuczwva2V5
d29yZD48a2V5d29yZD5NYWxlPC9rZXl3b3JkPjxrZXl3b3JkPk1pZGRsZSBBZ2VkPC9rZXl3b3Jk
PjxrZXl3b3JkPk1pbm5lc290YS9lcGlkZW1pb2xvZ3k8L2tleXdvcmQ+PGtleXdvcmQ+UHJldmFs
ZW5jZTwva2V5d29yZD48a2V5d29yZD4qU21va2Vyczwva2V5d29yZD48a2V5d29yZD5TbW9raW5n
L2VwaWRlbWlvbG9neTwva2V5d29yZD48a2V5d29yZD4qVG9iYWNjbyBVc2U8L2tleXdvcmQ+PGtl
eXdvcmQ+VW5pdGVkIFN0YXRlczwva2V5d29yZD48a2V5d29yZD5Zb3VuZyBBZHVsdDwva2V5d29y
ZD48L2tleXdvcmRzPjxkYXRlcz48eWVhcj4yMDE3PC95ZWFyPjxwdWItZGF0ZXM+PGRhdGU+SmFu
PC9kYXRlPjwvcHViLWRhdGVzPjwvZGF0ZXM+PGlzYm4+MTA4Ny0zMjQ0PC9pc2JuPjxhY2Nlc3Np
b24tbnVtPjI3OTM1Nzk0PC9hY2Nlc3Npb24tbnVtPjx1cmxzPjwvdXJscz48cmVtb3RlLWRhdGFi
YXNlLXByb3ZpZGVyPk5MTTwvcmVtb3RlLWRhdGFiYXNlLXByb3ZpZGVyPjxsYW5ndWFnZT5lbmc8
L2xhbmd1YWdlPjwvcmVjb3JkPjwvQ2l0ZT48L0VuZE5vdGU+AG==
</w:fldData>
        </w:fldChar>
      </w:r>
      <w:r w:rsidRPr="00892582">
        <w:instrText xml:space="preserve"> ADDIN EN.CITE.DATA </w:instrText>
      </w:r>
      <w:r w:rsidRPr="00892582">
        <w:fldChar w:fldCharType="end"/>
      </w:r>
      <w:r w:rsidRPr="00892582">
        <w:fldChar w:fldCharType="separate"/>
      </w:r>
      <w:r w:rsidRPr="00892582">
        <w:t>(Amato, Boyle et al. 2017, Mendy, Vargas et al. 2017, O'Gara, Sharma et al. 2017)</w:t>
      </w:r>
      <w:r w:rsidRPr="00892582">
        <w:fldChar w:fldCharType="end"/>
      </w:r>
      <w:r w:rsidRPr="00892582">
        <w:t xml:space="preserve"> or a smoking cessation intervention program delivered through primary care </w:t>
      </w:r>
      <w:r w:rsidRPr="00892582">
        <w:fldChar w:fldCharType="begin">
          <w:fldData xml:space="preserve">PEVuZE5vdGU+PENpdGU+PEF1dGhvcj5LYWxraG9yYW48L0F1dGhvcj48WWVhcj4yMDE3PC9ZZWFy
PjxSZWNOdW0+NTA1MTwvUmVjTnVtPjxEaXNwbGF5VGV4dD4oS2Fsa2hvcmFuLCBBbHZhcmFkbyBl
dCBhbC4gMjAxNyk8L0Rpc3BsYXlUZXh0PjxyZWNvcmQ+PHJlYy1udW1iZXI+NTA1MTwvcmVjLW51
bWJlcj48Zm9yZWlnbi1rZXlzPjxrZXkgYXBwPSJFTiIgZGItaWQ9Ijl6MDVkejBwcmFhZGZ1ZWUw
em94emVkazl6ZmU1Znh4NTB6NSIgdGltZXN0YW1wPSIxNTIzOTIwOTE1Ij41MDUxPC9rZXk+PGtl
eSBhcHA9IkVOV2ViIiBkYi1pZD0iIj4wPC9rZXk+PC9mb3JlaWduLWtleXM+PHJlZi10eXBlIG5h
bWU9IkpvdXJuYWwgQXJ0aWNsZSI+MTc8L3JlZi10eXBlPjxjb250cmlidXRvcnM+PGF1dGhvcnM+
PGF1dGhvcj5LYWxraG9yYW4sIFMuPC9hdXRob3I+PGF1dGhvcj5BbHZhcmFkbywgTi48L2F1dGhv
cj48YXV0aG9yPlZpamF5YXJhZ2hhdmFuLCBNLjwvYXV0aG9yPjxhdXRob3I+THVtLCBQLiBKLjwv
YXV0aG9yPjxhdXRob3I+WXVhbiwgUC48L2F1dGhvcj48YXV0aG9yPlNhdHRlcmZpZWxkLCBKLiBN
LjwvYXV0aG9yPjwvYXV0aG9ycz48L2NvbnRyaWJ1dG9ycz48YXV0aC1hZGRyZXNzPkRpdmlzaW9u
IG9mIEdlbmVyYWwgSW50ZXJuYWwgTWVkaWNpbmUsIERlcGFydG1lbnQgb2YgTWVkaWNpbmUsIE1h
c3NhY2h1c2V0dHMgR2VuZXJhbCBIb3NwaXRhbCwgSGFydmFyZCBNZWRpY2FsIFNjaG9vbCwgNTAg
U3Rhbmlmb3JkIFN0cmVldCwgUm9vbSA5MTMsIEJvc3RvbiwgTUEsIDAyMTE0LCBVU0EuIHNrYWxr
aG9yYW5AbWdoLmhhcnZhcmQuZWR1LiYjeEQ7RGl2aXNpb24gb2YgR2VuZXJhbCBJbnRlcm5hbCBN
ZWRpY2luZSwgRGVwYXJ0bWVudCBvZiBNZWRpY2luZSwgVW5pdmVyc2l0eSBvZiBDYWxpZm9ybmlh
IFNhbiBGcmFuY2lzY28sIFNhbiBGcmFuY2lzY28sIENBLCBVU0EuJiN4RDtEaXZpc2lvbiBvZiBI
SVYvQUlEUywgRGVwYXJ0bWVudCBvZiBNZWRpY2luZSwgVW5pdmVyc2l0eSBvZiBDYWxpZm9ybmlh
IFNhbiBGcmFuY2lzY28sIFNhbiBGcmFuY2lzY28sIENBLCBVU0EuPC9hdXRoLWFkZHJlc3M+PHRp
dGxlcz48dGl0bGU+UGF0dGVybnMgb2YgYW5kIHJlYXNvbnMgZm9yIGVsZWN0cm9uaWMgY2lnYXJl
dHRlIHVzZSBpbiBwcmltYXJ5IGNhcmUgcGF0aWVudHM8L3RpdGxlPjxzZWNvbmRhcnktdGl0bGU+
SiBHZW4gSW50ZXJuIE1lZDwvc2Vjb25kYXJ5LXRpdGxlPjxhbHQtdGl0bGU+Sm91cm5hbCBvZiBn
ZW5lcmFsIGludGVybmFsIG1lZGljaW5lPC9hbHQtdGl0bGU+PC90aXRsZXM+PHBlcmlvZGljYWw+
PGZ1bGwtdGl0bGU+SiBHZW4gSW50ZXJuIE1lZDwvZnVsbC10aXRsZT48YWJici0xPkpvdXJuYWwg
b2YgZ2VuZXJhbCBpbnRlcm5hbCBtZWRpY2luZTwvYWJici0xPjwvcGVyaW9kaWNhbD48YWx0LXBl
cmlvZGljYWw+PGZ1bGwtdGl0bGU+SiBHZW4gSW50ZXJuIE1lZDwvZnVsbC10aXRsZT48YWJici0x
PkpvdXJuYWwgb2YgZ2VuZXJhbCBpbnRlcm5hbCBtZWRpY2luZTwvYWJici0xPjwvYWx0LXBlcmlv
ZGljYWw+PHBhZ2VzPjExMjItMTEyOTwvcGFnZXM+PHZvbHVtZT4zMjwvdm9sdW1lPjxudW1iZXI+
MTA8L251bWJlcj48ZWRpdGlvbj4yMDE3LzA3LzE2PC9lZGl0aW9uPjxrZXl3b3Jkcz48a2V5d29y
ZD5hbGNvaG9saXNtIGFuZCBhZGRpY3RpdmUgYmVoYXZpb3I8L2tleXdvcmQ+PGtleXdvcmQ+Y29t
b3JiaWRpdHk8L2tleXdvcmQ+PGtleXdvcmQ+cHJpbWFyeSBjYXJlPC9rZXl3b3JkPjxrZXl3b3Jk
PnN1YnN0YW5jZSBhYnVzZTwva2V5d29yZD48L2tleXdvcmRzPjxkYXRlcz48eWVhcj4yMDE3PC95
ZWFyPjxwdWItZGF0ZXM+PGRhdGU+T2N0PC9kYXRlPjwvcHViLWRhdGVzPjwvZGF0ZXM+PGlzYm4+
MDg4NC04NzM0PC9pc2JuPjxhY2Nlc3Npb24tbnVtPjI4NzEwNTk2PC9hY2Nlc3Npb24tbnVtPjx1
cmxzPjxyZWxhdGVkLXVybHM+PHVybD5odHRwczovL2Nsb3VkZnJvbnQuZXNjaG9sYXJzaGlwLm9y
Zy9kaXN0L3ByZC9jb250ZW50L3F0OXY1M3o0ZmovcXQ5djUzejRmai5wZGY/dD1wM2prc3U8L3Vy
bD48L3JlbGF0ZWQtdXJscz48L3VybHM+PGN1c3RvbTI+UE1DNTYwMjc2OTwvY3VzdG9tMj48ZWxl
Y3Ryb25pYy1yZXNvdXJjZS1udW0+MTAuMTAwNy9zMTE2MDYtMDE3LTQxMjMteDwvZWxlY3Ryb25p
Yy1yZXNvdXJjZS1udW0+PHJlbW90ZS1kYXRhYmFzZS1wcm92aWRlcj5OTE08L3JlbW90ZS1kYXRh
YmFzZS1wcm92aWRlcj48bGFuZ3VhZ2U+ZW5nPC9sYW5ndWFnZT48L3JlY29yZD48L0NpdGU+PC9F
bmROb3RlPgB=
</w:fldData>
        </w:fldChar>
      </w:r>
      <w:r w:rsidRPr="00892582">
        <w:instrText xml:space="preserve"> ADDIN EN.CITE </w:instrText>
      </w:r>
      <w:r w:rsidRPr="00892582">
        <w:fldChar w:fldCharType="begin">
          <w:fldData xml:space="preserve">PEVuZE5vdGU+PENpdGU+PEF1dGhvcj5LYWxraG9yYW48L0F1dGhvcj48WWVhcj4yMDE3PC9ZZWFy
PjxSZWNOdW0+NTA1MTwvUmVjTnVtPjxEaXNwbGF5VGV4dD4oS2Fsa2hvcmFuLCBBbHZhcmFkbyBl
dCBhbC4gMjAxNyk8L0Rpc3BsYXlUZXh0PjxyZWNvcmQ+PHJlYy1udW1iZXI+NTA1MTwvcmVjLW51
bWJlcj48Zm9yZWlnbi1rZXlzPjxrZXkgYXBwPSJFTiIgZGItaWQ9Ijl6MDVkejBwcmFhZGZ1ZWUw
em94emVkazl6ZmU1Znh4NTB6NSIgdGltZXN0YW1wPSIxNTIzOTIwOTE1Ij41MDUxPC9rZXk+PGtl
eSBhcHA9IkVOV2ViIiBkYi1pZD0iIj4wPC9rZXk+PC9mb3JlaWduLWtleXM+PHJlZi10eXBlIG5h
bWU9IkpvdXJuYWwgQXJ0aWNsZSI+MTc8L3JlZi10eXBlPjxjb250cmlidXRvcnM+PGF1dGhvcnM+
PGF1dGhvcj5LYWxraG9yYW4sIFMuPC9hdXRob3I+PGF1dGhvcj5BbHZhcmFkbywgTi48L2F1dGhv
cj48YXV0aG9yPlZpamF5YXJhZ2hhdmFuLCBNLjwvYXV0aG9yPjxhdXRob3I+THVtLCBQLiBKLjwv
YXV0aG9yPjxhdXRob3I+WXVhbiwgUC48L2F1dGhvcj48YXV0aG9yPlNhdHRlcmZpZWxkLCBKLiBN
LjwvYXV0aG9yPjwvYXV0aG9ycz48L2NvbnRyaWJ1dG9ycz48YXV0aC1hZGRyZXNzPkRpdmlzaW9u
IG9mIEdlbmVyYWwgSW50ZXJuYWwgTWVkaWNpbmUsIERlcGFydG1lbnQgb2YgTWVkaWNpbmUsIE1h
c3NhY2h1c2V0dHMgR2VuZXJhbCBIb3NwaXRhbCwgSGFydmFyZCBNZWRpY2FsIFNjaG9vbCwgNTAg
U3Rhbmlmb3JkIFN0cmVldCwgUm9vbSA5MTMsIEJvc3RvbiwgTUEsIDAyMTE0LCBVU0EuIHNrYWxr
aG9yYW5AbWdoLmhhcnZhcmQuZWR1LiYjeEQ7RGl2aXNpb24gb2YgR2VuZXJhbCBJbnRlcm5hbCBN
ZWRpY2luZSwgRGVwYXJ0bWVudCBvZiBNZWRpY2luZSwgVW5pdmVyc2l0eSBvZiBDYWxpZm9ybmlh
IFNhbiBGcmFuY2lzY28sIFNhbiBGcmFuY2lzY28sIENBLCBVU0EuJiN4RDtEaXZpc2lvbiBvZiBI
SVYvQUlEUywgRGVwYXJ0bWVudCBvZiBNZWRpY2luZSwgVW5pdmVyc2l0eSBvZiBDYWxpZm9ybmlh
IFNhbiBGcmFuY2lzY28sIFNhbiBGcmFuY2lzY28sIENBLCBVU0EuPC9hdXRoLWFkZHJlc3M+PHRp
dGxlcz48dGl0bGU+UGF0dGVybnMgb2YgYW5kIHJlYXNvbnMgZm9yIGVsZWN0cm9uaWMgY2lnYXJl
dHRlIHVzZSBpbiBwcmltYXJ5IGNhcmUgcGF0aWVudHM8L3RpdGxlPjxzZWNvbmRhcnktdGl0bGU+
SiBHZW4gSW50ZXJuIE1lZDwvc2Vjb25kYXJ5LXRpdGxlPjxhbHQtdGl0bGU+Sm91cm5hbCBvZiBn
ZW5lcmFsIGludGVybmFsIG1lZGljaW5lPC9hbHQtdGl0bGU+PC90aXRsZXM+PHBlcmlvZGljYWw+
PGZ1bGwtdGl0bGU+SiBHZW4gSW50ZXJuIE1lZDwvZnVsbC10aXRsZT48YWJici0xPkpvdXJuYWwg
b2YgZ2VuZXJhbCBpbnRlcm5hbCBtZWRpY2luZTwvYWJici0xPjwvcGVyaW9kaWNhbD48YWx0LXBl
cmlvZGljYWw+PGZ1bGwtdGl0bGU+SiBHZW4gSW50ZXJuIE1lZDwvZnVsbC10aXRsZT48YWJici0x
PkpvdXJuYWwgb2YgZ2VuZXJhbCBpbnRlcm5hbCBtZWRpY2luZTwvYWJici0xPjwvYWx0LXBlcmlv
ZGljYWw+PHBhZ2VzPjExMjItMTEyOTwvcGFnZXM+PHZvbHVtZT4zMjwvdm9sdW1lPjxudW1iZXI+
MTA8L251bWJlcj48ZWRpdGlvbj4yMDE3LzA3LzE2PC9lZGl0aW9uPjxrZXl3b3Jkcz48a2V5d29y
ZD5hbGNvaG9saXNtIGFuZCBhZGRpY3RpdmUgYmVoYXZpb3I8L2tleXdvcmQ+PGtleXdvcmQ+Y29t
b3JiaWRpdHk8L2tleXdvcmQ+PGtleXdvcmQ+cHJpbWFyeSBjYXJlPC9rZXl3b3JkPjxrZXl3b3Jk
PnN1YnN0YW5jZSBhYnVzZTwva2V5d29yZD48L2tleXdvcmRzPjxkYXRlcz48eWVhcj4yMDE3PC95
ZWFyPjxwdWItZGF0ZXM+PGRhdGU+T2N0PC9kYXRlPjwvcHViLWRhdGVzPjwvZGF0ZXM+PGlzYm4+
MDg4NC04NzM0PC9pc2JuPjxhY2Nlc3Npb24tbnVtPjI4NzEwNTk2PC9hY2Nlc3Npb24tbnVtPjx1
cmxzPjxyZWxhdGVkLXVybHM+PHVybD5odHRwczovL2Nsb3VkZnJvbnQuZXNjaG9sYXJzaGlwLm9y
Zy9kaXN0L3ByZC9jb250ZW50L3F0OXY1M3o0ZmovcXQ5djUzejRmai5wZGY/dD1wM2prc3U8L3Vy
bD48L3JlbGF0ZWQtdXJscz48L3VybHM+PGN1c3RvbTI+UE1DNTYwMjc2OTwvY3VzdG9tMj48ZWxl
Y3Ryb25pYy1yZXNvdXJjZS1udW0+MTAuMTAwNy9zMTE2MDYtMDE3LTQxMjMteDwvZWxlY3Ryb25p
Yy1yZXNvdXJjZS1udW0+PHJlbW90ZS1kYXRhYmFzZS1wcm92aWRlcj5OTE08L3JlbW90ZS1kYXRh
YmFzZS1wcm92aWRlcj48bGFuZ3VhZ2U+ZW5nPC9sYW5ndWFnZT48L3JlY29yZD48L0NpdGU+PC9F
bmROb3RlPgB=
</w:fldData>
        </w:fldChar>
      </w:r>
      <w:r w:rsidRPr="00892582">
        <w:instrText xml:space="preserve"> ADDIN EN.CITE.DATA </w:instrText>
      </w:r>
      <w:r w:rsidRPr="00892582">
        <w:fldChar w:fldCharType="end"/>
      </w:r>
      <w:r w:rsidRPr="00892582">
        <w:fldChar w:fldCharType="separate"/>
      </w:r>
      <w:r w:rsidRPr="00892582">
        <w:t>(Kalkhoran, Alvarado et al. 2017)</w:t>
      </w:r>
      <w:r w:rsidRPr="00892582">
        <w:fldChar w:fldCharType="end"/>
      </w:r>
      <w:r w:rsidRPr="00892582">
        <w:t xml:space="preserve">. </w:t>
      </w:r>
    </w:p>
    <w:p w14:paraId="198CEC57" w14:textId="77777777" w:rsidR="002E3AED" w:rsidRDefault="002E3AED" w:rsidP="002E3AED">
      <w:pPr>
        <w:pStyle w:val="BodyText"/>
      </w:pPr>
      <w:r w:rsidRPr="00892582">
        <w:t xml:space="preserve">Case et al </w:t>
      </w:r>
      <w:r w:rsidRPr="00892582">
        <w:fldChar w:fldCharType="begin">
          <w:fldData xml:space="preserve">PEVuZE5vdGU+PENpdGU+PEF1dGhvcj5DYXNlPC9BdXRob3I+PFllYXI+MjAxNzwvWWVhcj48UmVj
TnVtPjEzNzM8L1JlY051bT48RGlzcGxheVRleHQ+KENhc2UsIExvdWthcyBldCBhbC4gMjAxNyk8
L0Rpc3BsYXlUZXh0PjxyZWNvcmQ+PHJlYy1udW1iZXI+MTM3MzwvcmVjLW51bWJlcj48Zm9yZWln
bi1rZXlzPjxrZXkgYXBwPSJFTiIgZGItaWQ9Ijl6MDVkejBwcmFhZGZ1ZWUwem94emVkazl6ZmU1
Znh4NTB6NSIgdGltZXN0YW1wPSIxNTIxNTA3MDY0Ij4xMzczPC9rZXk+PGtleSBhcHA9IkVOV2Vi
IiBkYi1pZD0iIj4wPC9rZXk+PC9mb3JlaWduLWtleXM+PHJlZi10eXBlIG5hbWU9IkpvdXJuYWwg
QXJ0aWNsZSI+MTc8L3JlZi10eXBlPjxjb250cmlidXRvcnM+PGF1dGhvcnM+PGF1dGhvcj5DYXNl
LCBLLiBSLjwvYXV0aG9yPjxhdXRob3I+TG91a2FzLCBBLiBQaEQ8L2F1dGhvcj48YXV0aG9yPkhh
cnJlbGwsIE0uIEIuPC9hdXRob3I+PGF1dGhvcj5XaWxraW5zb24sIEEuIFYuPC9hdXRob3I+PGF1
dGhvcj5TcHJpbmdlciwgQS4gRS48L2F1dGhvcj48YXV0aG9yPlBlcmV6LCBBLjwvYXV0aG9yPjxh
dXRob3I+Q3JlYW1lciwgTS4gUi48L2F1dGhvcj48YXV0aG9yPlBlcnJ5LCBDLiBMLjwvYXV0aG9y
PjwvYXV0aG9ycz48L2NvbnRyaWJ1dG9ycz48YXV0aC1hZGRyZXNzPmEgVW5pdmVyc2l0eSBvZiBU
ZXhhcyBTY2hvb2wgb2YgUHVibGljIEhlYWx0aCBpbiBBdXN0aW4gLCBBdXN0aW4gLCBUZXhhcyAs
IFVTQS4mI3hEO2IgRGVwYXJ0bWVudCBvZiBLaW5lc2lvbG9neSBhbmQgSGVhbHRoIEVkdWNhdGlv
biAsIFVuaXZlcnNpdHkgb2YgVGV4YXMgYXQgQXVzdGluICwgQXVzdGluICwgVGV4YXMgLCBVU0Eu
PC9hdXRoLWFkZHJlc3M+PHRpdGxlcz48dGl0bGU+VGhlIGFzc29jaWF0aW9uIGJldHdlZW4gc2Vu
c2F0aW9uIHNlZWtpbmcgYW5kIGUtY2lnYXJldHRlIHVzZSBpbiBUZXhhcyB5b3VuZyBhZHVsdHM6
IEEgY3Jvc3Mtc2VjdGlvbmFsIHN0dWR5PC90aXRsZT48c2Vjb25kYXJ5LXRpdGxlPkogQW0gQ29s
bCBIZWFsdGg8L3NlY29uZGFyeS10aXRsZT48YWx0LXRpdGxlPkpvdXJuYWwgb2YgQW1lcmljYW4g
Y29sbGVnZSBoZWFsdGggOiBKIG9mIEFDSDwvYWx0LXRpdGxlPjwvdGl0bGVzPjxwZXJpb2RpY2Fs
PjxmdWxsLXRpdGxlPkogQW0gQ29sbCBIZWFsdGg8L2Z1bGwtdGl0bGU+PGFiYnItMT5Kb3VybmFs
IG9mIEFtZXJpY2FuIGNvbGxlZ2UgaGVhbHRoIDogSiBvZiBBQ0g8L2FiYnItMT48L3BlcmlvZGlj
YWw+PGFsdC1wZXJpb2RpY2FsPjxmdWxsLXRpdGxlPkogQW0gQ29sbCBIZWFsdGg8L2Z1bGwtdGl0
bGU+PGFiYnItMT5Kb3VybmFsIG9mIEFtZXJpY2FuIGNvbGxlZ2UgaGVhbHRoIDogSiBvZiBBQ0g8
L2FiYnItMT48L2FsdC1wZXJpb2RpY2FsPjxwYWdlcz4yNzctMjg1PC9wYWdlcz48dm9sdW1lPjY1
PC92b2x1bWU+PG51bWJlcj40PC9udW1iZXI+PGVkaXRpb24+MjAxNy8wMS8xODwvZWRpdGlvbj48
a2V5d29yZHM+PGtleXdvcmQ+QWRvbGVzY2VudDwva2V5d29yZD48a2V5d29yZD5BZHVsdDwva2V5
d29yZD48a2V5d29yZD5BbGNvaG9sIERyaW5raW5nL2VwaWRlbWlvbG9neTwva2V5d29yZD48a2V5
d29yZD5Db250aW5lbnRhbCBQb3B1bGF0aW9uIEdyb3Vwcy9zdGF0aXN0aWNzICZhbXA7IG51bWVy
aWNhbCBkYXRhPC9rZXl3b3JkPjxrZXl3b3JkPkNyb3NzLVNlY3Rpb25hbCBTdHVkaWVzPC9rZXl3
b3JkPjxrZXl3b3JkPkVsZWN0cm9uaWMgTmljb3RpbmUgRGVsaXZlcnkgU3lzdGVtcy8qc3RhdGlz
dGljcyAmYW1wOyBudW1lcmljYWwgZGF0YTwva2V5d29yZD48a2V5d29yZD5GZW1hbGU8L2tleXdv
cmQ+PGtleXdvcmQ+SHVtYW5zPC9rZXl3b3JkPjxrZXl3b3JkPkxvZ2lzdGljIE1vZGVsczwva2V5
d29yZD48a2V5d29yZD5NYWxlPC9rZXl3b3JkPjxrZXl3b3JkPipSaXNrLVRha2luZzwva2V5d29y
ZD48a2V5d29yZD5TbW9raW5nL2VwaWRlbWlvbG9neTwva2V5d29yZD48a2V5d29yZD5TdXJ2ZXlz
IGFuZCBRdWVzdGlvbm5haXJlczwva2V5d29yZD48a2V5d29yZD5UZXhhcy9lcGlkZW1pb2xvZ3k8
L2tleXdvcmQ+PGtleXdvcmQ+Q3VycmVudCBjaWdhcmV0dGUgdXNlPC9rZXl3b3JkPjxrZXl3b3Jk
PmVsZWN0cm9uaWMgY2lnYXJldHRlczwva2V5d29yZD48a2V5d29yZD5zZW5zYXRpb24gc2Vla2lu
Zzwva2V5d29yZD48L2tleXdvcmRzPjxkYXRlcz48eWVhcj4yMDE3PC95ZWFyPjxwdWItZGF0ZXM+
PGRhdGU+TWF5LUp1bjwvZGF0ZT48L3B1Yi1kYXRlcz48L2RhdGVzPjxpc2JuPjA3NDQtODQ4MTwv
aXNibj48YWNjZXNzaW9uLW51bT4yODA5NTEyNjwvYWNjZXNzaW9uLW51bT48dXJscz48cmVsYXRl
ZC11cmxzPjx1cmw+aHR0cHM6Ly93d3cudGFuZGZvbmxpbmUuY29tL2RvaS9wZGYvMTAuMTA4MC8w
NzQ0ODQ4MS4yMDE3LjEyODI0ODc/bmVlZEFjY2Vzcz10cnVlPC91cmw+PC9yZWxhdGVkLXVybHM+
PC91cmxzPjxjdXN0b20yPlBNQzU0MjIxMjE8L2N1c3RvbTI+PGN1c3RvbTY+TklITVM4NTE1MjY8
L2N1c3RvbTY+PGVsZWN0cm9uaWMtcmVzb3VyY2UtbnVtPjEwLjEwODAvMDc0NDg0ODEuMjAxNy4x
MjgyNDg3PC9lbGVjdHJvbmljLXJlc291cmNlLW51bT48cmVtb3RlLWRhdGFiYXNlLXByb3ZpZGVy
Pk5MTTwvcmVtb3RlLWRhdGFiYXNlLXByb3ZpZGVyPjxsYW5ndWFnZT5lbmc8L2xhbmd1YWdlPjwv
cmVjb3JkPjwvQ2l0ZT48L0VuZE5vdGU+AG==
</w:fldData>
        </w:fldChar>
      </w:r>
      <w:r w:rsidRPr="00892582">
        <w:instrText xml:space="preserve"> ADDIN EN.CITE </w:instrText>
      </w:r>
      <w:r w:rsidRPr="00892582">
        <w:fldChar w:fldCharType="begin">
          <w:fldData xml:space="preserve">PEVuZE5vdGU+PENpdGU+PEF1dGhvcj5DYXNlPC9BdXRob3I+PFllYXI+MjAxNzwvWWVhcj48UmVj
TnVtPjEzNzM8L1JlY051bT48RGlzcGxheVRleHQ+KENhc2UsIExvdWthcyBldCBhbC4gMjAxNyk8
L0Rpc3BsYXlUZXh0PjxyZWNvcmQ+PHJlYy1udW1iZXI+MTM3MzwvcmVjLW51bWJlcj48Zm9yZWln
bi1rZXlzPjxrZXkgYXBwPSJFTiIgZGItaWQ9Ijl6MDVkejBwcmFhZGZ1ZWUwem94emVkazl6ZmU1
Znh4NTB6NSIgdGltZXN0YW1wPSIxNTIxNTA3MDY0Ij4xMzczPC9rZXk+PGtleSBhcHA9IkVOV2Vi
IiBkYi1pZD0iIj4wPC9rZXk+PC9mb3JlaWduLWtleXM+PHJlZi10eXBlIG5hbWU9IkpvdXJuYWwg
QXJ0aWNsZSI+MTc8L3JlZi10eXBlPjxjb250cmlidXRvcnM+PGF1dGhvcnM+PGF1dGhvcj5DYXNl
LCBLLiBSLjwvYXV0aG9yPjxhdXRob3I+TG91a2FzLCBBLiBQaEQ8L2F1dGhvcj48YXV0aG9yPkhh
cnJlbGwsIE0uIEIuPC9hdXRob3I+PGF1dGhvcj5XaWxraW5zb24sIEEuIFYuPC9hdXRob3I+PGF1
dGhvcj5TcHJpbmdlciwgQS4gRS48L2F1dGhvcj48YXV0aG9yPlBlcmV6LCBBLjwvYXV0aG9yPjxh
dXRob3I+Q3JlYW1lciwgTS4gUi48L2F1dGhvcj48YXV0aG9yPlBlcnJ5LCBDLiBMLjwvYXV0aG9y
PjwvYXV0aG9ycz48L2NvbnRyaWJ1dG9ycz48YXV0aC1hZGRyZXNzPmEgVW5pdmVyc2l0eSBvZiBU
ZXhhcyBTY2hvb2wgb2YgUHVibGljIEhlYWx0aCBpbiBBdXN0aW4gLCBBdXN0aW4gLCBUZXhhcyAs
IFVTQS4mI3hEO2IgRGVwYXJ0bWVudCBvZiBLaW5lc2lvbG9neSBhbmQgSGVhbHRoIEVkdWNhdGlv
biAsIFVuaXZlcnNpdHkgb2YgVGV4YXMgYXQgQXVzdGluICwgQXVzdGluICwgVGV4YXMgLCBVU0Eu
PC9hdXRoLWFkZHJlc3M+PHRpdGxlcz48dGl0bGU+VGhlIGFzc29jaWF0aW9uIGJldHdlZW4gc2Vu
c2F0aW9uIHNlZWtpbmcgYW5kIGUtY2lnYXJldHRlIHVzZSBpbiBUZXhhcyB5b3VuZyBhZHVsdHM6
IEEgY3Jvc3Mtc2VjdGlvbmFsIHN0dWR5PC90aXRsZT48c2Vjb25kYXJ5LXRpdGxlPkogQW0gQ29s
bCBIZWFsdGg8L3NlY29uZGFyeS10aXRsZT48YWx0LXRpdGxlPkpvdXJuYWwgb2YgQW1lcmljYW4g
Y29sbGVnZSBoZWFsdGggOiBKIG9mIEFDSDwvYWx0LXRpdGxlPjwvdGl0bGVzPjxwZXJpb2RpY2Fs
PjxmdWxsLXRpdGxlPkogQW0gQ29sbCBIZWFsdGg8L2Z1bGwtdGl0bGU+PGFiYnItMT5Kb3VybmFs
IG9mIEFtZXJpY2FuIGNvbGxlZ2UgaGVhbHRoIDogSiBvZiBBQ0g8L2FiYnItMT48L3BlcmlvZGlj
YWw+PGFsdC1wZXJpb2RpY2FsPjxmdWxsLXRpdGxlPkogQW0gQ29sbCBIZWFsdGg8L2Z1bGwtdGl0
bGU+PGFiYnItMT5Kb3VybmFsIG9mIEFtZXJpY2FuIGNvbGxlZ2UgaGVhbHRoIDogSiBvZiBBQ0g8
L2FiYnItMT48L2FsdC1wZXJpb2RpY2FsPjxwYWdlcz4yNzctMjg1PC9wYWdlcz48dm9sdW1lPjY1
PC92b2x1bWU+PG51bWJlcj40PC9udW1iZXI+PGVkaXRpb24+MjAxNy8wMS8xODwvZWRpdGlvbj48
a2V5d29yZHM+PGtleXdvcmQ+QWRvbGVzY2VudDwva2V5d29yZD48a2V5d29yZD5BZHVsdDwva2V5
d29yZD48a2V5d29yZD5BbGNvaG9sIERyaW5raW5nL2VwaWRlbWlvbG9neTwva2V5d29yZD48a2V5
d29yZD5Db250aW5lbnRhbCBQb3B1bGF0aW9uIEdyb3Vwcy9zdGF0aXN0aWNzICZhbXA7IG51bWVy
aWNhbCBkYXRhPC9rZXl3b3JkPjxrZXl3b3JkPkNyb3NzLVNlY3Rpb25hbCBTdHVkaWVzPC9rZXl3
b3JkPjxrZXl3b3JkPkVsZWN0cm9uaWMgTmljb3RpbmUgRGVsaXZlcnkgU3lzdGVtcy8qc3RhdGlz
dGljcyAmYW1wOyBudW1lcmljYWwgZGF0YTwva2V5d29yZD48a2V5d29yZD5GZW1hbGU8L2tleXdv
cmQ+PGtleXdvcmQ+SHVtYW5zPC9rZXl3b3JkPjxrZXl3b3JkPkxvZ2lzdGljIE1vZGVsczwva2V5
d29yZD48a2V5d29yZD5NYWxlPC9rZXl3b3JkPjxrZXl3b3JkPipSaXNrLVRha2luZzwva2V5d29y
ZD48a2V5d29yZD5TbW9raW5nL2VwaWRlbWlvbG9neTwva2V5d29yZD48a2V5d29yZD5TdXJ2ZXlz
IGFuZCBRdWVzdGlvbm5haXJlczwva2V5d29yZD48a2V5d29yZD5UZXhhcy9lcGlkZW1pb2xvZ3k8
L2tleXdvcmQ+PGtleXdvcmQ+Q3VycmVudCBjaWdhcmV0dGUgdXNlPC9rZXl3b3JkPjxrZXl3b3Jk
PmVsZWN0cm9uaWMgY2lnYXJldHRlczwva2V5d29yZD48a2V5d29yZD5zZW5zYXRpb24gc2Vla2lu
Zzwva2V5d29yZD48L2tleXdvcmRzPjxkYXRlcz48eWVhcj4yMDE3PC95ZWFyPjxwdWItZGF0ZXM+
PGRhdGU+TWF5LUp1bjwvZGF0ZT48L3B1Yi1kYXRlcz48L2RhdGVzPjxpc2JuPjA3NDQtODQ4MTwv
aXNibj48YWNjZXNzaW9uLW51bT4yODA5NTEyNjwvYWNjZXNzaW9uLW51bT48dXJscz48cmVsYXRl
ZC11cmxzPjx1cmw+aHR0cHM6Ly93d3cudGFuZGZvbmxpbmUuY29tL2RvaS9wZGYvMTAuMTA4MC8w
NzQ0ODQ4MS4yMDE3LjEyODI0ODc/bmVlZEFjY2Vzcz10cnVlPC91cmw+PC9yZWxhdGVkLXVybHM+
PC91cmxzPjxjdXN0b20yPlBNQzU0MjIxMjE8L2N1c3RvbTI+PGN1c3RvbTY+TklITVM4NTE1MjY8
L2N1c3RvbTY+PGVsZWN0cm9uaWMtcmVzb3VyY2UtbnVtPjEwLjEwODAvMDc0NDg0ODEuMjAxNy4x
MjgyNDg3PC9lbGVjdHJvbmljLXJlc291cmNlLW51bT48cmVtb3RlLWRhdGFiYXNlLXByb3ZpZGVy
Pk5MTTwvcmVtb3RlLWRhdGFiYXNlLXByb3ZpZGVyPjxsYW5ndWFnZT5lbmc8L2xhbmd1YWdlPjwv
cmVjb3JkPjwvQ2l0ZT48L0VuZE5vdGU+AG==
</w:fldData>
        </w:fldChar>
      </w:r>
      <w:r w:rsidRPr="00892582">
        <w:instrText xml:space="preserve"> ADDIN EN.CITE.DATA </w:instrText>
      </w:r>
      <w:r w:rsidRPr="00892582">
        <w:fldChar w:fldCharType="end"/>
      </w:r>
      <w:r w:rsidRPr="00892582">
        <w:fldChar w:fldCharType="separate"/>
      </w:r>
      <w:r w:rsidRPr="00892582">
        <w:t>(Case, Loukas et al. 2017)</w:t>
      </w:r>
      <w:r w:rsidRPr="00892582">
        <w:fldChar w:fldCharType="end"/>
      </w:r>
      <w:r w:rsidRPr="00892582">
        <w:t xml:space="preserve"> extended their observations of the association between sensation seeking and </w:t>
      </w:r>
      <w:r>
        <w:t>e</w:t>
      </w:r>
      <w:r>
        <w:noBreakHyphen/>
        <w:t>cig</w:t>
      </w:r>
      <w:r w:rsidRPr="00892582">
        <w:t xml:space="preserve">arette use in to Texan college students with similar results. In a sample of people understanding a smoking cessation program (n=718), Kalkhoran et al </w:t>
      </w:r>
      <w:r w:rsidRPr="00892582">
        <w:fldChar w:fldCharType="begin">
          <w:fldData xml:space="preserve">PEVuZE5vdGU+PENpdGU+PEF1dGhvcj5LYWxraG9yYW48L0F1dGhvcj48WWVhcj4yMDE3PC9ZZWFy
PjxSZWNOdW0+NTA1MTwvUmVjTnVtPjxEaXNwbGF5VGV4dD4oS2Fsa2hvcmFuLCBBbHZhcmFkbyBl
dCBhbC4gMjAxNyk8L0Rpc3BsYXlUZXh0PjxyZWNvcmQ+PHJlYy1udW1iZXI+NTA1MTwvcmVjLW51
bWJlcj48Zm9yZWlnbi1rZXlzPjxrZXkgYXBwPSJFTiIgZGItaWQ9Ijl6MDVkejBwcmFhZGZ1ZWUw
em94emVkazl6ZmU1Znh4NTB6NSIgdGltZXN0YW1wPSIxNTIzOTIwOTE1Ij41MDUxPC9rZXk+PGtl
eSBhcHA9IkVOV2ViIiBkYi1pZD0iIj4wPC9rZXk+PC9mb3JlaWduLWtleXM+PHJlZi10eXBlIG5h
bWU9IkpvdXJuYWwgQXJ0aWNsZSI+MTc8L3JlZi10eXBlPjxjb250cmlidXRvcnM+PGF1dGhvcnM+
PGF1dGhvcj5LYWxraG9yYW4sIFMuPC9hdXRob3I+PGF1dGhvcj5BbHZhcmFkbywgTi48L2F1dGhv
cj48YXV0aG9yPlZpamF5YXJhZ2hhdmFuLCBNLjwvYXV0aG9yPjxhdXRob3I+THVtLCBQLiBKLjwv
YXV0aG9yPjxhdXRob3I+WXVhbiwgUC48L2F1dGhvcj48YXV0aG9yPlNhdHRlcmZpZWxkLCBKLiBN
LjwvYXV0aG9yPjwvYXV0aG9ycz48L2NvbnRyaWJ1dG9ycz48YXV0aC1hZGRyZXNzPkRpdmlzaW9u
IG9mIEdlbmVyYWwgSW50ZXJuYWwgTWVkaWNpbmUsIERlcGFydG1lbnQgb2YgTWVkaWNpbmUsIE1h
c3NhY2h1c2V0dHMgR2VuZXJhbCBIb3NwaXRhbCwgSGFydmFyZCBNZWRpY2FsIFNjaG9vbCwgNTAg
U3Rhbmlmb3JkIFN0cmVldCwgUm9vbSA5MTMsIEJvc3RvbiwgTUEsIDAyMTE0LCBVU0EuIHNrYWxr
aG9yYW5AbWdoLmhhcnZhcmQuZWR1LiYjeEQ7RGl2aXNpb24gb2YgR2VuZXJhbCBJbnRlcm5hbCBN
ZWRpY2luZSwgRGVwYXJ0bWVudCBvZiBNZWRpY2luZSwgVW5pdmVyc2l0eSBvZiBDYWxpZm9ybmlh
IFNhbiBGcmFuY2lzY28sIFNhbiBGcmFuY2lzY28sIENBLCBVU0EuJiN4RDtEaXZpc2lvbiBvZiBI
SVYvQUlEUywgRGVwYXJ0bWVudCBvZiBNZWRpY2luZSwgVW5pdmVyc2l0eSBvZiBDYWxpZm9ybmlh
IFNhbiBGcmFuY2lzY28sIFNhbiBGcmFuY2lzY28sIENBLCBVU0EuPC9hdXRoLWFkZHJlc3M+PHRp
dGxlcz48dGl0bGU+UGF0dGVybnMgb2YgYW5kIHJlYXNvbnMgZm9yIGVsZWN0cm9uaWMgY2lnYXJl
dHRlIHVzZSBpbiBwcmltYXJ5IGNhcmUgcGF0aWVudHM8L3RpdGxlPjxzZWNvbmRhcnktdGl0bGU+
SiBHZW4gSW50ZXJuIE1lZDwvc2Vjb25kYXJ5LXRpdGxlPjxhbHQtdGl0bGU+Sm91cm5hbCBvZiBn
ZW5lcmFsIGludGVybmFsIG1lZGljaW5lPC9hbHQtdGl0bGU+PC90aXRsZXM+PHBlcmlvZGljYWw+
PGZ1bGwtdGl0bGU+SiBHZW4gSW50ZXJuIE1lZDwvZnVsbC10aXRsZT48YWJici0xPkpvdXJuYWwg
b2YgZ2VuZXJhbCBpbnRlcm5hbCBtZWRpY2luZTwvYWJici0xPjwvcGVyaW9kaWNhbD48YWx0LXBl
cmlvZGljYWw+PGZ1bGwtdGl0bGU+SiBHZW4gSW50ZXJuIE1lZDwvZnVsbC10aXRsZT48YWJici0x
PkpvdXJuYWwgb2YgZ2VuZXJhbCBpbnRlcm5hbCBtZWRpY2luZTwvYWJici0xPjwvYWx0LXBlcmlv
ZGljYWw+PHBhZ2VzPjExMjItMTEyOTwvcGFnZXM+PHZvbHVtZT4zMjwvdm9sdW1lPjxudW1iZXI+
MTA8L251bWJlcj48ZWRpdGlvbj4yMDE3LzA3LzE2PC9lZGl0aW9uPjxrZXl3b3Jkcz48a2V5d29y
ZD5hbGNvaG9saXNtIGFuZCBhZGRpY3RpdmUgYmVoYXZpb3I8L2tleXdvcmQ+PGtleXdvcmQ+Y29t
b3JiaWRpdHk8L2tleXdvcmQ+PGtleXdvcmQ+cHJpbWFyeSBjYXJlPC9rZXl3b3JkPjxrZXl3b3Jk
PnN1YnN0YW5jZSBhYnVzZTwva2V5d29yZD48L2tleXdvcmRzPjxkYXRlcz48eWVhcj4yMDE3PC95
ZWFyPjxwdWItZGF0ZXM+PGRhdGU+T2N0PC9kYXRlPjwvcHViLWRhdGVzPjwvZGF0ZXM+PGlzYm4+
MDg4NC04NzM0PC9pc2JuPjxhY2Nlc3Npb24tbnVtPjI4NzEwNTk2PC9hY2Nlc3Npb24tbnVtPjx1
cmxzPjxyZWxhdGVkLXVybHM+PHVybD5odHRwczovL2Nsb3VkZnJvbnQuZXNjaG9sYXJzaGlwLm9y
Zy9kaXN0L3ByZC9jb250ZW50L3F0OXY1M3o0ZmovcXQ5djUzejRmai5wZGY/dD1wM2prc3U8L3Vy
bD48L3JlbGF0ZWQtdXJscz48L3VybHM+PGN1c3RvbTI+UE1DNTYwMjc2OTwvY3VzdG9tMj48ZWxl
Y3Ryb25pYy1yZXNvdXJjZS1udW0+MTAuMTAwNy9zMTE2MDYtMDE3LTQxMjMteDwvZWxlY3Ryb25p
Yy1yZXNvdXJjZS1udW0+PHJlbW90ZS1kYXRhYmFzZS1wcm92aWRlcj5OTE08L3JlbW90ZS1kYXRh
YmFzZS1wcm92aWRlcj48bGFuZ3VhZ2U+ZW5nPC9sYW5ndWFnZT48L3JlY29yZD48L0NpdGU+PC9F
bmROb3RlPgB=
</w:fldData>
        </w:fldChar>
      </w:r>
      <w:r w:rsidRPr="00892582">
        <w:instrText xml:space="preserve"> ADDIN EN.CITE </w:instrText>
      </w:r>
      <w:r w:rsidRPr="00892582">
        <w:fldChar w:fldCharType="begin">
          <w:fldData xml:space="preserve">PEVuZE5vdGU+PENpdGU+PEF1dGhvcj5LYWxraG9yYW48L0F1dGhvcj48WWVhcj4yMDE3PC9ZZWFy
PjxSZWNOdW0+NTA1MTwvUmVjTnVtPjxEaXNwbGF5VGV4dD4oS2Fsa2hvcmFuLCBBbHZhcmFkbyBl
dCBhbC4gMjAxNyk8L0Rpc3BsYXlUZXh0PjxyZWNvcmQ+PHJlYy1udW1iZXI+NTA1MTwvcmVjLW51
bWJlcj48Zm9yZWlnbi1rZXlzPjxrZXkgYXBwPSJFTiIgZGItaWQ9Ijl6MDVkejBwcmFhZGZ1ZWUw
em94emVkazl6ZmU1Znh4NTB6NSIgdGltZXN0YW1wPSIxNTIzOTIwOTE1Ij41MDUxPC9rZXk+PGtl
eSBhcHA9IkVOV2ViIiBkYi1pZD0iIj4wPC9rZXk+PC9mb3JlaWduLWtleXM+PHJlZi10eXBlIG5h
bWU9IkpvdXJuYWwgQXJ0aWNsZSI+MTc8L3JlZi10eXBlPjxjb250cmlidXRvcnM+PGF1dGhvcnM+
PGF1dGhvcj5LYWxraG9yYW4sIFMuPC9hdXRob3I+PGF1dGhvcj5BbHZhcmFkbywgTi48L2F1dGhv
cj48YXV0aG9yPlZpamF5YXJhZ2hhdmFuLCBNLjwvYXV0aG9yPjxhdXRob3I+THVtLCBQLiBKLjwv
YXV0aG9yPjxhdXRob3I+WXVhbiwgUC48L2F1dGhvcj48YXV0aG9yPlNhdHRlcmZpZWxkLCBKLiBN
LjwvYXV0aG9yPjwvYXV0aG9ycz48L2NvbnRyaWJ1dG9ycz48YXV0aC1hZGRyZXNzPkRpdmlzaW9u
IG9mIEdlbmVyYWwgSW50ZXJuYWwgTWVkaWNpbmUsIERlcGFydG1lbnQgb2YgTWVkaWNpbmUsIE1h
c3NhY2h1c2V0dHMgR2VuZXJhbCBIb3NwaXRhbCwgSGFydmFyZCBNZWRpY2FsIFNjaG9vbCwgNTAg
U3Rhbmlmb3JkIFN0cmVldCwgUm9vbSA5MTMsIEJvc3RvbiwgTUEsIDAyMTE0LCBVU0EuIHNrYWxr
aG9yYW5AbWdoLmhhcnZhcmQuZWR1LiYjeEQ7RGl2aXNpb24gb2YgR2VuZXJhbCBJbnRlcm5hbCBN
ZWRpY2luZSwgRGVwYXJ0bWVudCBvZiBNZWRpY2luZSwgVW5pdmVyc2l0eSBvZiBDYWxpZm9ybmlh
IFNhbiBGcmFuY2lzY28sIFNhbiBGcmFuY2lzY28sIENBLCBVU0EuJiN4RDtEaXZpc2lvbiBvZiBI
SVYvQUlEUywgRGVwYXJ0bWVudCBvZiBNZWRpY2luZSwgVW5pdmVyc2l0eSBvZiBDYWxpZm9ybmlh
IFNhbiBGcmFuY2lzY28sIFNhbiBGcmFuY2lzY28sIENBLCBVU0EuPC9hdXRoLWFkZHJlc3M+PHRp
dGxlcz48dGl0bGU+UGF0dGVybnMgb2YgYW5kIHJlYXNvbnMgZm9yIGVsZWN0cm9uaWMgY2lnYXJl
dHRlIHVzZSBpbiBwcmltYXJ5IGNhcmUgcGF0aWVudHM8L3RpdGxlPjxzZWNvbmRhcnktdGl0bGU+
SiBHZW4gSW50ZXJuIE1lZDwvc2Vjb25kYXJ5LXRpdGxlPjxhbHQtdGl0bGU+Sm91cm5hbCBvZiBn
ZW5lcmFsIGludGVybmFsIG1lZGljaW5lPC9hbHQtdGl0bGU+PC90aXRsZXM+PHBlcmlvZGljYWw+
PGZ1bGwtdGl0bGU+SiBHZW4gSW50ZXJuIE1lZDwvZnVsbC10aXRsZT48YWJici0xPkpvdXJuYWwg
b2YgZ2VuZXJhbCBpbnRlcm5hbCBtZWRpY2luZTwvYWJici0xPjwvcGVyaW9kaWNhbD48YWx0LXBl
cmlvZGljYWw+PGZ1bGwtdGl0bGU+SiBHZW4gSW50ZXJuIE1lZDwvZnVsbC10aXRsZT48YWJici0x
PkpvdXJuYWwgb2YgZ2VuZXJhbCBpbnRlcm5hbCBtZWRpY2luZTwvYWJici0xPjwvYWx0LXBlcmlv
ZGljYWw+PHBhZ2VzPjExMjItMTEyOTwvcGFnZXM+PHZvbHVtZT4zMjwvdm9sdW1lPjxudW1iZXI+
MTA8L251bWJlcj48ZWRpdGlvbj4yMDE3LzA3LzE2PC9lZGl0aW9uPjxrZXl3b3Jkcz48a2V5d29y
ZD5hbGNvaG9saXNtIGFuZCBhZGRpY3RpdmUgYmVoYXZpb3I8L2tleXdvcmQ+PGtleXdvcmQ+Y29t
b3JiaWRpdHk8L2tleXdvcmQ+PGtleXdvcmQ+cHJpbWFyeSBjYXJlPC9rZXl3b3JkPjxrZXl3b3Jk
PnN1YnN0YW5jZSBhYnVzZTwva2V5d29yZD48L2tleXdvcmRzPjxkYXRlcz48eWVhcj4yMDE3PC95
ZWFyPjxwdWItZGF0ZXM+PGRhdGU+T2N0PC9kYXRlPjwvcHViLWRhdGVzPjwvZGF0ZXM+PGlzYm4+
MDg4NC04NzM0PC9pc2JuPjxhY2Nlc3Npb24tbnVtPjI4NzEwNTk2PC9hY2Nlc3Npb24tbnVtPjx1
cmxzPjxyZWxhdGVkLXVybHM+PHVybD5odHRwczovL2Nsb3VkZnJvbnQuZXNjaG9sYXJzaGlwLm9y
Zy9kaXN0L3ByZC9jb250ZW50L3F0OXY1M3o0ZmovcXQ5djUzejRmai5wZGY/dD1wM2prc3U8L3Vy
bD48L3JlbGF0ZWQtdXJscz48L3VybHM+PGN1c3RvbTI+UE1DNTYwMjc2OTwvY3VzdG9tMj48ZWxl
Y3Ryb25pYy1yZXNvdXJjZS1udW0+MTAuMTAwNy9zMTE2MDYtMDE3LTQxMjMteDwvZWxlY3Ryb25p
Yy1yZXNvdXJjZS1udW0+PHJlbW90ZS1kYXRhYmFzZS1wcm92aWRlcj5OTE08L3JlbW90ZS1kYXRh
YmFzZS1wcm92aWRlcj48bGFuZ3VhZ2U+ZW5nPC9sYW5ndWFnZT48L3JlY29yZD48L0NpdGU+PC9F
bmROb3RlPgB=
</w:fldData>
        </w:fldChar>
      </w:r>
      <w:r w:rsidRPr="00892582">
        <w:instrText xml:space="preserve"> ADDIN EN.CITE.DATA </w:instrText>
      </w:r>
      <w:r w:rsidRPr="00892582">
        <w:fldChar w:fldCharType="end"/>
      </w:r>
      <w:r w:rsidRPr="00892582">
        <w:fldChar w:fldCharType="separate"/>
      </w:r>
      <w:r w:rsidRPr="00892582">
        <w:t>(Kalkhoran, Alvarado et al. 2017)</w:t>
      </w:r>
      <w:r w:rsidRPr="00892582">
        <w:fldChar w:fldCharType="end"/>
      </w:r>
      <w:r w:rsidRPr="00892582">
        <w:t xml:space="preserve"> observed that ever users of </w:t>
      </w:r>
      <w:r>
        <w:t>e</w:t>
      </w:r>
      <w:r>
        <w:noBreakHyphen/>
        <w:t>cig</w:t>
      </w:r>
      <w:r w:rsidRPr="00892582">
        <w:t xml:space="preserve">arettes had higher prevalence of mental health conditions than never users which reinforces observations made by Park et al </w:t>
      </w:r>
      <w:r w:rsidRPr="00892582">
        <w:fldChar w:fldCharType="begin">
          <w:fldData xml:space="preserve">PEVuZE5vdGU+PENpdGU+PEF1dGhvcj5QYXJrPC9BdXRob3I+PFllYXI+MjAxNzwvWWVhcj48UmVj
TnVtPjUxNzY8L1JlY051bT48RGlzcGxheVRleHQ+KFBhcmssIExlZSBldCBhbC4gMjAxNyk8L0Rp
c3BsYXlUZXh0PjxyZWNvcmQ+PHJlYy1udW1iZXI+NTE3NjwvcmVjLW51bWJlcj48Zm9yZWlnbi1r
ZXlzPjxrZXkgYXBwPSJFTiIgZGItaWQ9ImZwdDlwdHRybTV6ZnNhZXNwOWZwc2RkdjA5ZXdzdjV4
ZXdmZCIgdGltZXN0YW1wPSIxNTI1MDQ2MTg0Ij41MTc2PC9rZXk+PGtleSBhcHA9IkVOV2ViIiBk
Yi1pZD0iIj4wPC9rZXk+PC9mb3JlaWduLWtleXM+PHJlZi10eXBlIG5hbWU9IkpvdXJuYWwgQXJ0
aWNsZSI+MTc8L3JlZi10eXBlPjxjb250cmlidXRvcnM+PGF1dGhvcnM+PGF1dGhvcj5QYXJrLCBT
LiBILjwvYXV0aG9yPjxhdXRob3I+TGVlLCBMLjwvYXV0aG9yPjxhdXRob3I+U2hlYXJzdG9uLCBK
LiBBLjwvYXV0aG9yPjxhdXRob3I+V2VpdHptYW4sIE0uPC9hdXRob3I+PC9hdXRob3JzPjwvY29u
dHJpYnV0b3JzPjxhdXRoLWFkZHJlc3M+RGVwYXJ0bWVudCBvZiBQZWRpYXRyaWNzLCBOZXcgWW9y
ayBVbml2ZXJzaXR5IFNjaG9vbCBvZiBNZWRpY2luZSwgTmV3IFlvcmssIE5ldyBZb3JrLCBVbml0
ZWQgU3RhdGVzIG9mIEFtZXJpY2EuJiN4RDtEZXBhcnRtZW50IG9mIFBvcHVsYXRpb24gSGVhbHRo
LCBOZXcgWW9yayBVbml2ZXJzaXR5IFNjaG9vbCBvZiBNZWRpY2luZSwgTmV3IFlvcmssIE5ldyBZ
b3JrLCBVbml0ZWQgU3RhdGVzIG9mIEFtZXJpY2EuJiN4RDtCcm9va2x5biBDb2xsZWdlLCBOZXcg
WW9yaywgTmV3IFlvcmssIFVuaXRlZCBTdGF0ZXMgb2YgQW1lcmljYS4mI3hEO0NvbGxlZ2Ugb2Yg
R2xvYmFsIFB1YmxpYyBIZWFsdGgsIE5ldyBZb3JrIFVuaXZlcnNpdHksIE5ldyBZb3JrLCBOZXcg
WW9yaywgVW5pdGVkIFN0YXRlcyBvZiBBbWVyaWNhLiYjeEQ7TmV3IFlvcmsgVW5pdmVyc2l0eS8g
QWJ1IERoYWJpIFB1YmxpYyBIZWFsdGggUmVzZWFyY2ggQ2VudGVyLCBBYnUgRGhhYmksIFVuaXRl
ZCBBcmFiIEVtaXJhdGVzLiYjeEQ7RGVwYXJ0bWVudCBvZiBFbnZpcm9ubWVudGFsIE1lZGljaW5l
LCBOZXcgWW9yayBVbml2ZXJzaXR5LCBOZXcgWW9yaywgTmV3IFlvcmssIFVuaXRlZCBTdGF0ZXMg
b2YgQW1lcmljYS48L2F1dGgtYWRkcmVzcz48dGl0bGVzPjx0aXRsZT5QYXR0ZXJucyBvZiBlbGVj
dHJvbmljIGNpZ2FyZXR0ZSB1c2UgYW5kIGxldmVsIG9mIHBzeWNob2xvZ2ljYWwgZGlzdHJlc3M8
L3RpdGxlPjxzZWNvbmRhcnktdGl0bGU+UExvUyBPbmU8L3NlY29uZGFyeS10aXRsZT48YWx0LXRp
dGxlPlBsb1Mgb25lPC9hbHQtdGl0bGU+PC90aXRsZXM+PHBlcmlvZGljYWw+PGZ1bGwtdGl0bGU+
UGxvcyBPbmU8L2Z1bGwtdGl0bGU+PC9wZXJpb2RpY2FsPjxhbHQtcGVyaW9kaWNhbD48ZnVsbC10
aXRsZT5QbG9zIE9uZTwvZnVsbC10aXRsZT48L2FsdC1wZXJpb2RpY2FsPjxwYWdlcz5lMDE3MzYy
NTwvcGFnZXM+PHZvbHVtZT4xMjwvdm9sdW1lPjxudW1iZXI+MzwvbnVtYmVyPjxlZGl0aW9uPjIw
MTcvMDMvMTA8L2VkaXRpb24+PGtleXdvcmRzPjxrZXl3b3JkPkFkb2xlc2NlbnQ8L2tleXdvcmQ+
PGtleXdvcmQ+QWR1bHQ8L2tleXdvcmQ+PGtleXdvcmQ+QWdlZDwva2V5d29yZD48a2V5d29yZD5D
cm9zcy1TZWN0aW9uYWwgU3R1ZGllczwva2V5d29yZD48a2V5d29yZD5FbGVjdHJvbmljIE5pY290
aW5lIERlbGl2ZXJ5IFN5c3RlbXMvcHN5Y2hvbG9neS8qdXRpbGl6YXRpb248L2tleXdvcmQ+PGtl
eXdvcmQ+RmVtYWxlPC9rZXl3b3JkPjxrZXl3b3JkPkh1bWFuczwva2V5d29yZD48a2V5d29yZD5N
YWxlPC9rZXl3b3JkPjxrZXl3b3JkPk1pZGRsZSBBZ2VkPC9rZXl3b3JkPjxrZXl3b3JkPlByZXZh
bGVuY2U8L2tleXdvcmQ+PGtleXdvcmQ+U3RyZXNzLCBQc3ljaG9sb2dpY2FsLyplcGlkZW1pb2xv
Z3k8L2tleXdvcmQ+PGtleXdvcmQ+VW5pdGVkIFN0YXRlcy9lcGlkZW1pb2xvZ3k8L2tleXdvcmQ+
PGtleXdvcmQ+WW91bmcgQWR1bHQ8L2tleXdvcmQ+PC9rZXl3b3Jkcz48ZGF0ZXM+PHllYXI+MjAx
NzwveWVhcj48L2RhdGVzPjxpc2JuPjE5MzItNjIwMzwvaXNibj48YWNjZXNzaW9uLW51bT4yODI3
ODIzOTwvYWNjZXNzaW9uLW51bT48dXJscz48cmVsYXRlZC11cmxzPjx1cmw+aHR0cHM6Ly93d3cu
bmNiaS5ubG0ubmloLmdvdi9wbWMvYXJ0aWNsZXMvUE1DNTM0NDQ1OS9wZGYvcG9uZS4wMTczNjI1
LnBkZjwvdXJsPjwvcmVsYXRlZC11cmxzPjwvdXJscz48Y3VzdG9tMj5QTUM1MzQ0NDU5PC9jdXN0
b20yPjxlbGVjdHJvbmljLXJlc291cmNlLW51bT4xMC4xMzcxL2pvdXJuYWwucG9uZS4wMTczNjI1
PC9lbGVjdHJvbmljLXJlc291cmNlLW51bT48cmVtb3RlLWRhdGFiYXNlLXByb3ZpZGVyPk5MTTwv
cmVtb3RlLWRhdGFiYXNlLXByb3ZpZGVyPjxsYW5ndWFnZT5lbmc8L2xhbmd1YWdlPjwvcmVjb3Jk
PjwvQ2l0ZT48L0VuZE5vdGU+AG==
</w:fldData>
        </w:fldChar>
      </w:r>
      <w:r w:rsidRPr="00892582">
        <w:instrText xml:space="preserve"> ADDIN EN.CITE </w:instrText>
      </w:r>
      <w:r w:rsidRPr="00892582">
        <w:fldChar w:fldCharType="begin">
          <w:fldData xml:space="preserve">PEVuZE5vdGU+PENpdGU+PEF1dGhvcj5QYXJrPC9BdXRob3I+PFllYXI+MjAxNzwvWWVhcj48UmVj
TnVtPjUxNzY8L1JlY051bT48RGlzcGxheVRleHQ+KFBhcmssIExlZSBldCBhbC4gMjAxNyk8L0Rp
c3BsYXlUZXh0PjxyZWNvcmQ+PHJlYy1udW1iZXI+NTE3NjwvcmVjLW51bWJlcj48Zm9yZWlnbi1r
ZXlzPjxrZXkgYXBwPSJFTiIgZGItaWQ9ImZwdDlwdHRybTV6ZnNhZXNwOWZwc2RkdjA5ZXdzdjV4
ZXdmZCIgdGltZXN0YW1wPSIxNTI1MDQ2MTg0Ij41MTc2PC9rZXk+PGtleSBhcHA9IkVOV2ViIiBk
Yi1pZD0iIj4wPC9rZXk+PC9mb3JlaWduLWtleXM+PHJlZi10eXBlIG5hbWU9IkpvdXJuYWwgQXJ0
aWNsZSI+MTc8L3JlZi10eXBlPjxjb250cmlidXRvcnM+PGF1dGhvcnM+PGF1dGhvcj5QYXJrLCBT
LiBILjwvYXV0aG9yPjxhdXRob3I+TGVlLCBMLjwvYXV0aG9yPjxhdXRob3I+U2hlYXJzdG9uLCBK
LiBBLjwvYXV0aG9yPjxhdXRob3I+V2VpdHptYW4sIE0uPC9hdXRob3I+PC9hdXRob3JzPjwvY29u
dHJpYnV0b3JzPjxhdXRoLWFkZHJlc3M+RGVwYXJ0bWVudCBvZiBQZWRpYXRyaWNzLCBOZXcgWW9y
ayBVbml2ZXJzaXR5IFNjaG9vbCBvZiBNZWRpY2luZSwgTmV3IFlvcmssIE5ldyBZb3JrLCBVbml0
ZWQgU3RhdGVzIG9mIEFtZXJpY2EuJiN4RDtEZXBhcnRtZW50IG9mIFBvcHVsYXRpb24gSGVhbHRo
LCBOZXcgWW9yayBVbml2ZXJzaXR5IFNjaG9vbCBvZiBNZWRpY2luZSwgTmV3IFlvcmssIE5ldyBZ
b3JrLCBVbml0ZWQgU3RhdGVzIG9mIEFtZXJpY2EuJiN4RDtCcm9va2x5biBDb2xsZWdlLCBOZXcg
WW9yaywgTmV3IFlvcmssIFVuaXRlZCBTdGF0ZXMgb2YgQW1lcmljYS4mI3hEO0NvbGxlZ2Ugb2Yg
R2xvYmFsIFB1YmxpYyBIZWFsdGgsIE5ldyBZb3JrIFVuaXZlcnNpdHksIE5ldyBZb3JrLCBOZXcg
WW9yaywgVW5pdGVkIFN0YXRlcyBvZiBBbWVyaWNhLiYjeEQ7TmV3IFlvcmsgVW5pdmVyc2l0eS8g
QWJ1IERoYWJpIFB1YmxpYyBIZWFsdGggUmVzZWFyY2ggQ2VudGVyLCBBYnUgRGhhYmksIFVuaXRl
ZCBBcmFiIEVtaXJhdGVzLiYjeEQ7RGVwYXJ0bWVudCBvZiBFbnZpcm9ubWVudGFsIE1lZGljaW5l
LCBOZXcgWW9yayBVbml2ZXJzaXR5LCBOZXcgWW9yaywgTmV3IFlvcmssIFVuaXRlZCBTdGF0ZXMg
b2YgQW1lcmljYS48L2F1dGgtYWRkcmVzcz48dGl0bGVzPjx0aXRsZT5QYXR0ZXJucyBvZiBlbGVj
dHJvbmljIGNpZ2FyZXR0ZSB1c2UgYW5kIGxldmVsIG9mIHBzeWNob2xvZ2ljYWwgZGlzdHJlc3M8
L3RpdGxlPjxzZWNvbmRhcnktdGl0bGU+UExvUyBPbmU8L3NlY29uZGFyeS10aXRsZT48YWx0LXRp
dGxlPlBsb1Mgb25lPC9hbHQtdGl0bGU+PC90aXRsZXM+PHBlcmlvZGljYWw+PGZ1bGwtdGl0bGU+
UGxvcyBPbmU8L2Z1bGwtdGl0bGU+PC9wZXJpb2RpY2FsPjxhbHQtcGVyaW9kaWNhbD48ZnVsbC10
aXRsZT5QbG9zIE9uZTwvZnVsbC10aXRsZT48L2FsdC1wZXJpb2RpY2FsPjxwYWdlcz5lMDE3MzYy
NTwvcGFnZXM+PHZvbHVtZT4xMjwvdm9sdW1lPjxudW1iZXI+MzwvbnVtYmVyPjxlZGl0aW9uPjIw
MTcvMDMvMTA8L2VkaXRpb24+PGtleXdvcmRzPjxrZXl3b3JkPkFkb2xlc2NlbnQ8L2tleXdvcmQ+
PGtleXdvcmQ+QWR1bHQ8L2tleXdvcmQ+PGtleXdvcmQ+QWdlZDwva2V5d29yZD48a2V5d29yZD5D
cm9zcy1TZWN0aW9uYWwgU3R1ZGllczwva2V5d29yZD48a2V5d29yZD5FbGVjdHJvbmljIE5pY290
aW5lIERlbGl2ZXJ5IFN5c3RlbXMvcHN5Y2hvbG9neS8qdXRpbGl6YXRpb248L2tleXdvcmQ+PGtl
eXdvcmQ+RmVtYWxlPC9rZXl3b3JkPjxrZXl3b3JkPkh1bWFuczwva2V5d29yZD48a2V5d29yZD5N
YWxlPC9rZXl3b3JkPjxrZXl3b3JkPk1pZGRsZSBBZ2VkPC9rZXl3b3JkPjxrZXl3b3JkPlByZXZh
bGVuY2U8L2tleXdvcmQ+PGtleXdvcmQ+U3RyZXNzLCBQc3ljaG9sb2dpY2FsLyplcGlkZW1pb2xv
Z3k8L2tleXdvcmQ+PGtleXdvcmQ+VW5pdGVkIFN0YXRlcy9lcGlkZW1pb2xvZ3k8L2tleXdvcmQ+
PGtleXdvcmQ+WW91bmcgQWR1bHQ8L2tleXdvcmQ+PC9rZXl3b3Jkcz48ZGF0ZXM+PHllYXI+MjAx
NzwveWVhcj48L2RhdGVzPjxpc2JuPjE5MzItNjIwMzwvaXNibj48YWNjZXNzaW9uLW51bT4yODI3
ODIzOTwvYWNjZXNzaW9uLW51bT48dXJscz48cmVsYXRlZC11cmxzPjx1cmw+aHR0cHM6Ly93d3cu
bmNiaS5ubG0ubmloLmdvdi9wbWMvYXJ0aWNsZXMvUE1DNTM0NDQ1OS9wZGYvcG9uZS4wMTczNjI1
LnBkZjwvdXJsPjwvcmVsYXRlZC11cmxzPjwvdXJscz48Y3VzdG9tMj5QTUM1MzQ0NDU5PC9jdXN0
b20yPjxlbGVjdHJvbmljLXJlc291cmNlLW51bT4xMC4xMzcxL2pvdXJuYWwucG9uZS4wMTczNjI1
PC9lbGVjdHJvbmljLXJlc291cmNlLW51bT48cmVtb3RlLWRhdGFiYXNlLXByb3ZpZGVyPk5MTTwv
cmVtb3RlLWRhdGFiYXNlLXByb3ZpZGVyPjxsYW5ndWFnZT5lbmc8L2xhbmd1YWdlPjwvcmVjb3Jk
PjwvQ2l0ZT48L0VuZE5vdGU+AG==
</w:fldData>
        </w:fldChar>
      </w:r>
      <w:r w:rsidRPr="00892582">
        <w:instrText xml:space="preserve"> ADDIN EN.CITE.DATA </w:instrText>
      </w:r>
      <w:r w:rsidRPr="00892582">
        <w:fldChar w:fldCharType="end"/>
      </w:r>
      <w:r w:rsidRPr="00892582">
        <w:fldChar w:fldCharType="separate"/>
      </w:r>
      <w:r w:rsidRPr="00892582">
        <w:t>(Park, Lee et al. 2017)</w:t>
      </w:r>
      <w:r w:rsidRPr="00892582">
        <w:fldChar w:fldCharType="end"/>
      </w:r>
      <w:r w:rsidRPr="00892582">
        <w:t xml:space="preserve"> based on a national sample. One study explored the bidirectional relationship between </w:t>
      </w:r>
      <w:r>
        <w:t>e</w:t>
      </w:r>
      <w:r>
        <w:noBreakHyphen/>
        <w:t>cig</w:t>
      </w:r>
      <w:r w:rsidRPr="00892582">
        <w:t xml:space="preserve">arette use and depression </w:t>
      </w:r>
      <w:r w:rsidRPr="00892582">
        <w:fldChar w:fldCharType="begin">
          <w:fldData xml:space="preserve">PEVuZE5vdGU+PENpdGU+PEF1dGhvcj5CYW5kaWVyYTwvQXV0aG9yPjxZZWFyPjIwMTc8L1llYXI+
PFJlY051bT41MjA2PC9SZWNOdW0+PERpc3BsYXlUZXh0PihCYW5kaWVyYSwgTG91a2FzIGV0IGFs
LiAyMDE3KTwvRGlzcGxheVRleHQ+PHJlY29yZD48cmVjLW51bWJlcj41MjA2PC9yZWMtbnVtYmVy
Pjxmb3JlaWduLWtleXM+PGtleSBhcHA9IkVOIiBkYi1pZD0iZnB0OXB0dHJtNXpmc2Flc3A5ZnBz
ZGR2MDlld3N2NXhld2ZkIiB0aW1lc3RhbXA9IjE1MjUwNDYyNDAiPjUyMDY8L2tleT48a2V5IGFw
cD0iRU5XZWIiIGRiLWlkPSIiPjA8L2tleT48L2ZvcmVpZ24ta2V5cz48cmVmLXR5cGUgbmFtZT0i
Sm91cm5hbCBBcnRpY2xlIj4xNzwvcmVmLXR5cGU+PGNvbnRyaWJ1dG9ycz48YXV0aG9ycz48YXV0
aG9yPkJhbmRpZXJhLCBGLiBDLjwvYXV0aG9yPjxhdXRob3I+TG91a2FzLCBBLjwvYXV0aG9yPjxh
dXRob3I+TGksIFguPC9hdXRob3I+PGF1dGhvcj5XaWxraW5zb24sIEEuIFYuPC9hdXRob3I+PGF1
dGhvcj5QZXJyeSwgQy4gTC48L2F1dGhvcj48L2F1dGhvcnM+PC9jb250cmlidXRvcnM+PGF1dGgt
YWRkcmVzcz5Vbml2ZXJzaXR5IG9mIFRleGFzIFNjaG9vbCBvZiBQdWJsaWMgSGVhbHRoLCBIb3Vz
dG9uLCBUWC4mI3hEO1VuaXZlcnNpdHkgb2YgVGV4YXMgU291dGh3ZXN0ZXJuIE1lZGljYWwgQ2Vu
dGVyIFNpbW1vbnMgQ29tcHJlaGVuc2l2ZSBDYW5jZXIgQ2VudGVyLCBEYWxsYXMsIFRYLiYjeEQ7
RGVwYXJ0bWVudCBvZiBLaW5lc2lvbG9neSBhbmQgSGVhbHRoIEVkdWNhdGlvbiwgVW5pdmVyc2l0
eSBvZiBUZXhhcyBhdCBBdXN0aW4sQXVzdGluLCBUWC4mI3hEO1VuaXZlcnNpdHkgb2YgVGV4YXMg
TWljaGFlbCBhbmQgU3VzYW4gRGVsbCBDZW50ZXIgZm9yIEhlYWx0aHkgTGl2aW5nLCBBdXN0aW4s
IFRYLjwvYXV0aC1hZGRyZXNzPjx0aXRsZXM+PHRpdGxlPkRlcHJlc3NpdmUgU3ltcHRvbXMgUHJl
ZGljdCBDdXJyZW50IEUtQ2lnYXJldHRlIFVzZSBBbW9uZyBDb2xsZWdlIFN0dWRlbnRzIGluIFRl
eGFzPC90aXRsZT48c2Vjb25kYXJ5LXRpdGxlPk5pY290aW5lIFRvYiBSZXM8L3NlY29uZGFyeS10
aXRsZT48YWx0LXRpdGxlPk5pY290aW5lICZhbXA7IHRvYmFjY28gcmVzZWFyY2ggOiBvZmZpY2lh
bCBqb3VybmFsIG9mIHRoZSBTb2NpZXR5IGZvciBSZXNlYXJjaCBvbiBOaWNvdGluZSBhbmQgVG9i
YWNjbzwvYWx0LXRpdGxlPjwvdGl0bGVzPjxwZXJpb2RpY2FsPjxmdWxsLXRpdGxlPk5pY290aW5l
IFRvYiBSZXM8L2Z1bGwtdGl0bGU+PGFiYnItMT5OaWNvdGluZSAmYW1wOyB0b2JhY2NvIHJlc2Vh
cmNoIDogb2ZmaWNpYWwgam91cm5hbCBvZiB0aGUgU29jaWV0eSBmb3IgUmVzZWFyY2ggb24gTmlj
b3RpbmUgYW5kIFRvYmFjY288L2FiYnItMT48L3BlcmlvZGljYWw+PGFsdC1wZXJpb2RpY2FsPjxm
dWxsLXRpdGxlPk5pY290aW5lIFRvYiBSZXM8L2Z1bGwtdGl0bGU+PGFiYnItMT5OaWNvdGluZSAm
YW1wOyB0b2JhY2NvIHJlc2VhcmNoIDogb2ZmaWNpYWwgam91cm5hbCBvZiB0aGUgU29jaWV0eSBm
b3IgUmVzZWFyY2ggb24gTmljb3RpbmUgYW5kIFRvYmFjY288L2FiYnItMT48L2FsdC1wZXJpb2Rp
Y2FsPjxwYWdlcz4xMTAyLTExMDY8L3BhZ2VzPjx2b2x1bWU+MTk8L3ZvbHVtZT48bnVtYmVyPjk8
L251bWJlcj48ZWRpdGlvbj4yMDE3LzAyLzE2PC9lZGl0aW9uPjxkYXRlcz48eWVhcj4yMDE3PC95
ZWFyPjxwdWItZGF0ZXM+PGRhdGU+U2VwIDE8L2RhdGU+PC9wdWItZGF0ZXM+PC9kYXRlcz48aXNi
bj4xNDYyLTIyMDM8L2lzYm4+PGFjY2Vzc2lvbi1udW0+MjgxOTk2ODk8L2FjY2Vzc2lvbi1udW0+
PHVybHM+PHJlbGF0ZWQtdXJscz48dXJsPmh0dHBzOi8vd2F0ZXJtYXJrLnNpbHZlcmNoYWlyLmNv
bS9udHgwMTQucGRmP3Rva2VuPUFRRUNBSGkyMDhCRTQ5T29hbjlra2hXX0VyY3k3RG0zWkxfOUNm
M3FmS0FjNDg1eXNnQUFBYlF3Z2dHd0Jna3Foa2lHOXcwQkJ3YWdnZ0doTUlJQm5RSUJBRENDQVpZ
R0NTcUdTSWIzRFFFSEFUQWVCZ2xnaGtnQlpRTUVBUzR3RVFRTW1kRWoyaFZRR3FnVTgyZ0VBZ0VR
Z0lJQloxNlQtNTNMT1c1ZkNNc1lqUjI4b2hKaUZ0Mm44MWsxMUNUMlptRjVzMVBLb3BYVERTVEQt
Sl9FQ29acDExSjVrVkl0MERmdkxVcWM0Vms2UlE1YjFFUG1sZm1xVnpkbkNRSFJRZEIxSERscHdu
YWc5c0ZsLWFPN1BUY3liWTE5Wmg5TjlKUmIwaDZwdW50cHo5NExWT1dBZlZkblBwT1RjY1RpWHAt
d1B3TVo3YTFRWUhWYUdHQ2N1c2NjbVpHRXhCWXB2YXVjTk12bGlWV1hreG9SckZkVExHUF9WQS1G
ZExCeUNBR1JnSzFxRlA1b0ZRa2dLV2lyOFZrTEI3Y3JYZHZUejhrWTVxUHlsQkZJV25WMmk1NTdL
RzJWUzFkRk05eU56MGtJSy1DcUt1cl8za0QycVk5ZHFDc19sd3VGT2lHZnJNVG9oSFM2TDlGUGl5
VGlsQ2phY2NvSHVyVEU2Zk9EV1dPb25xaUhEMXd2cWkwRFhWQ1VaLThFaTNrYVNUY1FaSjVwcGVo
ekhNWTZPaEI3ckx1RkJZSTMwaVVfcXRldUNXOXZxbmJRV1RISktsYmJmcW5xMldMRl9EdkZkSzJE
Ri1majBRSi1OR1hJRDVvYWs4Vllac0o2eHVKQzwvdXJsPjwvcmVsYXRlZC11cmxzPjwvdXJscz48
ZWxlY3Ryb25pYy1yZXNvdXJjZS1udW0+MTAuMTA5My9udHIvbnR4MDE0PC9lbGVjdHJvbmljLXJl
c291cmNlLW51bT48cmVtb3RlLWRhdGFiYXNlLXByb3ZpZGVyPk5MTTwvcmVtb3RlLWRhdGFiYXNl
LXByb3ZpZGVyPjxsYW5ndWFnZT5lbmc8L2xhbmd1YWdlPjwvcmVjb3JkPjwvQ2l0ZT48L0VuZE5v
dGU+AG==
</w:fldData>
        </w:fldChar>
      </w:r>
      <w:r w:rsidRPr="00892582">
        <w:instrText xml:space="preserve"> ADDIN EN.CITE </w:instrText>
      </w:r>
      <w:r w:rsidRPr="00892582">
        <w:fldChar w:fldCharType="begin">
          <w:fldData xml:space="preserve">PEVuZE5vdGU+PENpdGU+PEF1dGhvcj5CYW5kaWVyYTwvQXV0aG9yPjxZZWFyPjIwMTc8L1llYXI+
PFJlY051bT41MjA2PC9SZWNOdW0+PERpc3BsYXlUZXh0PihCYW5kaWVyYSwgTG91a2FzIGV0IGFs
LiAyMDE3KTwvRGlzcGxheVRleHQ+PHJlY29yZD48cmVjLW51bWJlcj41MjA2PC9yZWMtbnVtYmVy
Pjxmb3JlaWduLWtleXM+PGtleSBhcHA9IkVOIiBkYi1pZD0iZnB0OXB0dHJtNXpmc2Flc3A5ZnBz
ZGR2MDlld3N2NXhld2ZkIiB0aW1lc3RhbXA9IjE1MjUwNDYyNDAiPjUyMDY8L2tleT48a2V5IGFw
cD0iRU5XZWIiIGRiLWlkPSIiPjA8L2tleT48L2ZvcmVpZ24ta2V5cz48cmVmLXR5cGUgbmFtZT0i
Sm91cm5hbCBBcnRpY2xlIj4xNzwvcmVmLXR5cGU+PGNvbnRyaWJ1dG9ycz48YXV0aG9ycz48YXV0
aG9yPkJhbmRpZXJhLCBGLiBDLjwvYXV0aG9yPjxhdXRob3I+TG91a2FzLCBBLjwvYXV0aG9yPjxh
dXRob3I+TGksIFguPC9hdXRob3I+PGF1dGhvcj5XaWxraW5zb24sIEEuIFYuPC9hdXRob3I+PGF1
dGhvcj5QZXJyeSwgQy4gTC48L2F1dGhvcj48L2F1dGhvcnM+PC9jb250cmlidXRvcnM+PGF1dGgt
YWRkcmVzcz5Vbml2ZXJzaXR5IG9mIFRleGFzIFNjaG9vbCBvZiBQdWJsaWMgSGVhbHRoLCBIb3Vz
dG9uLCBUWC4mI3hEO1VuaXZlcnNpdHkgb2YgVGV4YXMgU291dGh3ZXN0ZXJuIE1lZGljYWwgQ2Vu
dGVyIFNpbW1vbnMgQ29tcHJlaGVuc2l2ZSBDYW5jZXIgQ2VudGVyLCBEYWxsYXMsIFRYLiYjeEQ7
RGVwYXJ0bWVudCBvZiBLaW5lc2lvbG9neSBhbmQgSGVhbHRoIEVkdWNhdGlvbiwgVW5pdmVyc2l0
eSBvZiBUZXhhcyBhdCBBdXN0aW4sQXVzdGluLCBUWC4mI3hEO1VuaXZlcnNpdHkgb2YgVGV4YXMg
TWljaGFlbCBhbmQgU3VzYW4gRGVsbCBDZW50ZXIgZm9yIEhlYWx0aHkgTGl2aW5nLCBBdXN0aW4s
IFRYLjwvYXV0aC1hZGRyZXNzPjx0aXRsZXM+PHRpdGxlPkRlcHJlc3NpdmUgU3ltcHRvbXMgUHJl
ZGljdCBDdXJyZW50IEUtQ2lnYXJldHRlIFVzZSBBbW9uZyBDb2xsZWdlIFN0dWRlbnRzIGluIFRl
eGFzPC90aXRsZT48c2Vjb25kYXJ5LXRpdGxlPk5pY290aW5lIFRvYiBSZXM8L3NlY29uZGFyeS10
aXRsZT48YWx0LXRpdGxlPk5pY290aW5lICZhbXA7IHRvYmFjY28gcmVzZWFyY2ggOiBvZmZpY2lh
bCBqb3VybmFsIG9mIHRoZSBTb2NpZXR5IGZvciBSZXNlYXJjaCBvbiBOaWNvdGluZSBhbmQgVG9i
YWNjbzwvYWx0LXRpdGxlPjwvdGl0bGVzPjxwZXJpb2RpY2FsPjxmdWxsLXRpdGxlPk5pY290aW5l
IFRvYiBSZXM8L2Z1bGwtdGl0bGU+PGFiYnItMT5OaWNvdGluZSAmYW1wOyB0b2JhY2NvIHJlc2Vh
cmNoIDogb2ZmaWNpYWwgam91cm5hbCBvZiB0aGUgU29jaWV0eSBmb3IgUmVzZWFyY2ggb24gTmlj
b3RpbmUgYW5kIFRvYmFjY288L2FiYnItMT48L3BlcmlvZGljYWw+PGFsdC1wZXJpb2RpY2FsPjxm
dWxsLXRpdGxlPk5pY290aW5lIFRvYiBSZXM8L2Z1bGwtdGl0bGU+PGFiYnItMT5OaWNvdGluZSAm
YW1wOyB0b2JhY2NvIHJlc2VhcmNoIDogb2ZmaWNpYWwgam91cm5hbCBvZiB0aGUgU29jaWV0eSBm
b3IgUmVzZWFyY2ggb24gTmljb3RpbmUgYW5kIFRvYmFjY288L2FiYnItMT48L2FsdC1wZXJpb2Rp
Y2FsPjxwYWdlcz4xMTAyLTExMDY8L3BhZ2VzPjx2b2x1bWU+MTk8L3ZvbHVtZT48bnVtYmVyPjk8
L251bWJlcj48ZWRpdGlvbj4yMDE3LzAyLzE2PC9lZGl0aW9uPjxkYXRlcz48eWVhcj4yMDE3PC95
ZWFyPjxwdWItZGF0ZXM+PGRhdGU+U2VwIDE8L2RhdGU+PC9wdWItZGF0ZXM+PC9kYXRlcz48aXNi
bj4xNDYyLTIyMDM8L2lzYm4+PGFjY2Vzc2lvbi1udW0+MjgxOTk2ODk8L2FjY2Vzc2lvbi1udW0+
PHVybHM+PHJlbGF0ZWQtdXJscz48dXJsPmh0dHBzOi8vd2F0ZXJtYXJrLnNpbHZlcmNoYWlyLmNv
bS9udHgwMTQucGRmP3Rva2VuPUFRRUNBSGkyMDhCRTQ5T29hbjlra2hXX0VyY3k3RG0zWkxfOUNm
M3FmS0FjNDg1eXNnQUFBYlF3Z2dHd0Jna3Foa2lHOXcwQkJ3YWdnZ0doTUlJQm5RSUJBRENDQVpZ
R0NTcUdTSWIzRFFFSEFUQWVCZ2xnaGtnQlpRTUVBUzR3RVFRTW1kRWoyaFZRR3FnVTgyZ0VBZ0VR
Z0lJQloxNlQtNTNMT1c1ZkNNc1lqUjI4b2hKaUZ0Mm44MWsxMUNUMlptRjVzMVBLb3BYVERTVEQt
Sl9FQ29acDExSjVrVkl0MERmdkxVcWM0Vms2UlE1YjFFUG1sZm1xVnpkbkNRSFJRZEIxSERscHdu
YWc5c0ZsLWFPN1BUY3liWTE5Wmg5TjlKUmIwaDZwdW50cHo5NExWT1dBZlZkblBwT1RjY1RpWHAt
d1B3TVo3YTFRWUhWYUdHQ2N1c2NjbVpHRXhCWXB2YXVjTk12bGlWV1hreG9SckZkVExHUF9WQS1G
ZExCeUNBR1JnSzFxRlA1b0ZRa2dLV2lyOFZrTEI3Y3JYZHZUejhrWTVxUHlsQkZJV25WMmk1NTdL
RzJWUzFkRk05eU56MGtJSy1DcUt1cl8za0QycVk5ZHFDc19sd3VGT2lHZnJNVG9oSFM2TDlGUGl5
VGlsQ2phY2NvSHVyVEU2Zk9EV1dPb25xaUhEMXd2cWkwRFhWQ1VaLThFaTNrYVNUY1FaSjVwcGVo
ekhNWTZPaEI3ckx1RkJZSTMwaVVfcXRldUNXOXZxbmJRV1RISktsYmJmcW5xMldMRl9EdkZkSzJE
Ri1majBRSi1OR1hJRDVvYWs4Vllac0o2eHVKQzwvdXJsPjwvcmVsYXRlZC11cmxzPjwvdXJscz48
ZWxlY3Ryb25pYy1yZXNvdXJjZS1udW0+MTAuMTA5My9udHIvbnR4MDE0PC9lbGVjdHJvbmljLXJl
c291cmNlLW51bT48cmVtb3RlLWRhdGFiYXNlLXByb3ZpZGVyPk5MTTwvcmVtb3RlLWRhdGFiYXNl
LXByb3ZpZGVyPjxsYW5ndWFnZT5lbmc8L2xhbmd1YWdlPjwvcmVjb3JkPjwvQ2l0ZT48L0VuZE5v
dGU+AG==
</w:fldData>
        </w:fldChar>
      </w:r>
      <w:r w:rsidRPr="00892582">
        <w:instrText xml:space="preserve"> ADDIN EN.CITE.DATA </w:instrText>
      </w:r>
      <w:r w:rsidRPr="00892582">
        <w:fldChar w:fldCharType="end"/>
      </w:r>
      <w:r w:rsidRPr="00892582">
        <w:fldChar w:fldCharType="separate"/>
      </w:r>
      <w:r w:rsidRPr="00892582">
        <w:t>(Bandiera, Loukas et al. 2017)</w:t>
      </w:r>
      <w:r w:rsidRPr="00892582">
        <w:fldChar w:fldCharType="end"/>
      </w:r>
      <w:r w:rsidRPr="00892582">
        <w:t xml:space="preserve"> which extends other studies about the relationship between </w:t>
      </w:r>
      <w:r>
        <w:t>e</w:t>
      </w:r>
      <w:r>
        <w:noBreakHyphen/>
        <w:t>cig</w:t>
      </w:r>
      <w:r w:rsidRPr="00892582">
        <w:t xml:space="preserve">arette use and mental health. These authors were able to do this through the use of longitudinal data collected from Texan colleges over 6 months and 1 year. The authors conclude that elevated depressive symptoms predicted </w:t>
      </w:r>
      <w:r>
        <w:t>e</w:t>
      </w:r>
      <w:r>
        <w:noBreakHyphen/>
        <w:t>cig</w:t>
      </w:r>
      <w:r w:rsidR="005D4809">
        <w:t>arette use 6 months later,</w:t>
      </w:r>
      <w:r w:rsidRPr="00892582">
        <w:t xml:space="preserve"> </w:t>
      </w:r>
      <w:r w:rsidR="005D4809">
        <w:t>t</w:t>
      </w:r>
      <w:r w:rsidRPr="00892582">
        <w:t xml:space="preserve">hus adding to previous observations about mental health and </w:t>
      </w:r>
      <w:r>
        <w:t>e</w:t>
      </w:r>
      <w:r>
        <w:noBreakHyphen/>
        <w:t>cig</w:t>
      </w:r>
      <w:r w:rsidRPr="00892582">
        <w:t xml:space="preserve">arette use </w:t>
      </w:r>
      <w:r w:rsidRPr="00892582">
        <w:fldChar w:fldCharType="begin">
          <w:fldData xml:space="preserve">PEVuZE5vdGU+PENpdGU+PEF1dGhvcj5QYXJrPC9BdXRob3I+PFllYXI+MjAxNzwvWWVhcj48UmVj
TnVtPjUxNzY8L1JlY051bT48RGlzcGxheVRleHQ+KFBhcmssIExlZSBldCBhbC4gMjAxNyk8L0Rp
c3BsYXlUZXh0PjxyZWNvcmQ+PHJlYy1udW1iZXI+NTE3NjwvcmVjLW51bWJlcj48Zm9yZWlnbi1r
ZXlzPjxrZXkgYXBwPSJFTiIgZGItaWQ9ImZwdDlwdHRybTV6ZnNhZXNwOWZwc2RkdjA5ZXdzdjV4
ZXdmZCIgdGltZXN0YW1wPSIxNTI1MDQ2MTg0Ij41MTc2PC9rZXk+PGtleSBhcHA9IkVOV2ViIiBk
Yi1pZD0iIj4wPC9rZXk+PC9mb3JlaWduLWtleXM+PHJlZi10eXBlIG5hbWU9IkpvdXJuYWwgQXJ0
aWNsZSI+MTc8L3JlZi10eXBlPjxjb250cmlidXRvcnM+PGF1dGhvcnM+PGF1dGhvcj5QYXJrLCBT
LiBILjwvYXV0aG9yPjxhdXRob3I+TGVlLCBMLjwvYXV0aG9yPjxhdXRob3I+U2hlYXJzdG9uLCBK
LiBBLjwvYXV0aG9yPjxhdXRob3I+V2VpdHptYW4sIE0uPC9hdXRob3I+PC9hdXRob3JzPjwvY29u
dHJpYnV0b3JzPjxhdXRoLWFkZHJlc3M+RGVwYXJ0bWVudCBvZiBQZWRpYXRyaWNzLCBOZXcgWW9y
ayBVbml2ZXJzaXR5IFNjaG9vbCBvZiBNZWRpY2luZSwgTmV3IFlvcmssIE5ldyBZb3JrLCBVbml0
ZWQgU3RhdGVzIG9mIEFtZXJpY2EuJiN4RDtEZXBhcnRtZW50IG9mIFBvcHVsYXRpb24gSGVhbHRo
LCBOZXcgWW9yayBVbml2ZXJzaXR5IFNjaG9vbCBvZiBNZWRpY2luZSwgTmV3IFlvcmssIE5ldyBZ
b3JrLCBVbml0ZWQgU3RhdGVzIG9mIEFtZXJpY2EuJiN4RDtCcm9va2x5biBDb2xsZWdlLCBOZXcg
WW9yaywgTmV3IFlvcmssIFVuaXRlZCBTdGF0ZXMgb2YgQW1lcmljYS4mI3hEO0NvbGxlZ2Ugb2Yg
R2xvYmFsIFB1YmxpYyBIZWFsdGgsIE5ldyBZb3JrIFVuaXZlcnNpdHksIE5ldyBZb3JrLCBOZXcg
WW9yaywgVW5pdGVkIFN0YXRlcyBvZiBBbWVyaWNhLiYjeEQ7TmV3IFlvcmsgVW5pdmVyc2l0eS8g
QWJ1IERoYWJpIFB1YmxpYyBIZWFsdGggUmVzZWFyY2ggQ2VudGVyLCBBYnUgRGhhYmksIFVuaXRl
ZCBBcmFiIEVtaXJhdGVzLiYjeEQ7RGVwYXJ0bWVudCBvZiBFbnZpcm9ubWVudGFsIE1lZGljaW5l
LCBOZXcgWW9yayBVbml2ZXJzaXR5LCBOZXcgWW9yaywgTmV3IFlvcmssIFVuaXRlZCBTdGF0ZXMg
b2YgQW1lcmljYS48L2F1dGgtYWRkcmVzcz48dGl0bGVzPjx0aXRsZT5QYXR0ZXJucyBvZiBlbGVj
dHJvbmljIGNpZ2FyZXR0ZSB1c2UgYW5kIGxldmVsIG9mIHBzeWNob2xvZ2ljYWwgZGlzdHJlc3M8
L3RpdGxlPjxzZWNvbmRhcnktdGl0bGU+UExvUyBPbmU8L3NlY29uZGFyeS10aXRsZT48YWx0LXRp
dGxlPlBsb1Mgb25lPC9hbHQtdGl0bGU+PC90aXRsZXM+PHBlcmlvZGljYWw+PGZ1bGwtdGl0bGU+
UGxvcyBPbmU8L2Z1bGwtdGl0bGU+PC9wZXJpb2RpY2FsPjxhbHQtcGVyaW9kaWNhbD48ZnVsbC10
aXRsZT5QbG9zIE9uZTwvZnVsbC10aXRsZT48L2FsdC1wZXJpb2RpY2FsPjxwYWdlcz5lMDE3MzYy
NTwvcGFnZXM+PHZvbHVtZT4xMjwvdm9sdW1lPjxudW1iZXI+MzwvbnVtYmVyPjxlZGl0aW9uPjIw
MTcvMDMvMTA8L2VkaXRpb24+PGtleXdvcmRzPjxrZXl3b3JkPkFkb2xlc2NlbnQ8L2tleXdvcmQ+
PGtleXdvcmQ+QWR1bHQ8L2tleXdvcmQ+PGtleXdvcmQ+QWdlZDwva2V5d29yZD48a2V5d29yZD5D
cm9zcy1TZWN0aW9uYWwgU3R1ZGllczwva2V5d29yZD48a2V5d29yZD5FbGVjdHJvbmljIE5pY290
aW5lIERlbGl2ZXJ5IFN5c3RlbXMvcHN5Y2hvbG9neS8qdXRpbGl6YXRpb248L2tleXdvcmQ+PGtl
eXdvcmQ+RmVtYWxlPC9rZXl3b3JkPjxrZXl3b3JkPkh1bWFuczwva2V5d29yZD48a2V5d29yZD5N
YWxlPC9rZXl3b3JkPjxrZXl3b3JkPk1pZGRsZSBBZ2VkPC9rZXl3b3JkPjxrZXl3b3JkPlByZXZh
bGVuY2U8L2tleXdvcmQ+PGtleXdvcmQ+U3RyZXNzLCBQc3ljaG9sb2dpY2FsLyplcGlkZW1pb2xv
Z3k8L2tleXdvcmQ+PGtleXdvcmQ+VW5pdGVkIFN0YXRlcy9lcGlkZW1pb2xvZ3k8L2tleXdvcmQ+
PGtleXdvcmQ+WW91bmcgQWR1bHQ8L2tleXdvcmQ+PC9rZXl3b3Jkcz48ZGF0ZXM+PHllYXI+MjAx
NzwveWVhcj48L2RhdGVzPjxpc2JuPjE5MzItNjIwMzwvaXNibj48YWNjZXNzaW9uLW51bT4yODI3
ODIzOTwvYWNjZXNzaW9uLW51bT48dXJscz48cmVsYXRlZC11cmxzPjx1cmw+aHR0cHM6Ly93d3cu
bmNiaS5ubG0ubmloLmdvdi9wbWMvYXJ0aWNsZXMvUE1DNTM0NDQ1OS9wZGYvcG9uZS4wMTczNjI1
LnBkZjwvdXJsPjwvcmVsYXRlZC11cmxzPjwvdXJscz48Y3VzdG9tMj5QTUM1MzQ0NDU5PC9jdXN0
b20yPjxlbGVjdHJvbmljLXJlc291cmNlLW51bT4xMC4xMzcxL2pvdXJuYWwucG9uZS4wMTczNjI1
PC9lbGVjdHJvbmljLXJlc291cmNlLW51bT48cmVtb3RlLWRhdGFiYXNlLXByb3ZpZGVyPk5MTTwv
cmVtb3RlLWRhdGFiYXNlLXByb3ZpZGVyPjxsYW5ndWFnZT5lbmc8L2xhbmd1YWdlPjwvcmVjb3Jk
PjwvQ2l0ZT48L0VuZE5vdGU+AG==
</w:fldData>
        </w:fldChar>
      </w:r>
      <w:r w:rsidRPr="00892582">
        <w:instrText xml:space="preserve"> ADDIN EN.CITE </w:instrText>
      </w:r>
      <w:r w:rsidRPr="00892582">
        <w:fldChar w:fldCharType="begin">
          <w:fldData xml:space="preserve">PEVuZE5vdGU+PENpdGU+PEF1dGhvcj5QYXJrPC9BdXRob3I+PFllYXI+MjAxNzwvWWVhcj48UmVj
TnVtPjUxNzY8L1JlY051bT48RGlzcGxheVRleHQ+KFBhcmssIExlZSBldCBhbC4gMjAxNyk8L0Rp
c3BsYXlUZXh0PjxyZWNvcmQ+PHJlYy1udW1iZXI+NTE3NjwvcmVjLW51bWJlcj48Zm9yZWlnbi1r
ZXlzPjxrZXkgYXBwPSJFTiIgZGItaWQ9ImZwdDlwdHRybTV6ZnNhZXNwOWZwc2RkdjA5ZXdzdjV4
ZXdmZCIgdGltZXN0YW1wPSIxNTI1MDQ2MTg0Ij41MTc2PC9rZXk+PGtleSBhcHA9IkVOV2ViIiBk
Yi1pZD0iIj4wPC9rZXk+PC9mb3JlaWduLWtleXM+PHJlZi10eXBlIG5hbWU9IkpvdXJuYWwgQXJ0
aWNsZSI+MTc8L3JlZi10eXBlPjxjb250cmlidXRvcnM+PGF1dGhvcnM+PGF1dGhvcj5QYXJrLCBT
LiBILjwvYXV0aG9yPjxhdXRob3I+TGVlLCBMLjwvYXV0aG9yPjxhdXRob3I+U2hlYXJzdG9uLCBK
LiBBLjwvYXV0aG9yPjxhdXRob3I+V2VpdHptYW4sIE0uPC9hdXRob3I+PC9hdXRob3JzPjwvY29u
dHJpYnV0b3JzPjxhdXRoLWFkZHJlc3M+RGVwYXJ0bWVudCBvZiBQZWRpYXRyaWNzLCBOZXcgWW9y
ayBVbml2ZXJzaXR5IFNjaG9vbCBvZiBNZWRpY2luZSwgTmV3IFlvcmssIE5ldyBZb3JrLCBVbml0
ZWQgU3RhdGVzIG9mIEFtZXJpY2EuJiN4RDtEZXBhcnRtZW50IG9mIFBvcHVsYXRpb24gSGVhbHRo
LCBOZXcgWW9yayBVbml2ZXJzaXR5IFNjaG9vbCBvZiBNZWRpY2luZSwgTmV3IFlvcmssIE5ldyBZ
b3JrLCBVbml0ZWQgU3RhdGVzIG9mIEFtZXJpY2EuJiN4RDtCcm9va2x5biBDb2xsZWdlLCBOZXcg
WW9yaywgTmV3IFlvcmssIFVuaXRlZCBTdGF0ZXMgb2YgQW1lcmljYS4mI3hEO0NvbGxlZ2Ugb2Yg
R2xvYmFsIFB1YmxpYyBIZWFsdGgsIE5ldyBZb3JrIFVuaXZlcnNpdHksIE5ldyBZb3JrLCBOZXcg
WW9yaywgVW5pdGVkIFN0YXRlcyBvZiBBbWVyaWNhLiYjeEQ7TmV3IFlvcmsgVW5pdmVyc2l0eS8g
QWJ1IERoYWJpIFB1YmxpYyBIZWFsdGggUmVzZWFyY2ggQ2VudGVyLCBBYnUgRGhhYmksIFVuaXRl
ZCBBcmFiIEVtaXJhdGVzLiYjeEQ7RGVwYXJ0bWVudCBvZiBFbnZpcm9ubWVudGFsIE1lZGljaW5l
LCBOZXcgWW9yayBVbml2ZXJzaXR5LCBOZXcgWW9yaywgTmV3IFlvcmssIFVuaXRlZCBTdGF0ZXMg
b2YgQW1lcmljYS48L2F1dGgtYWRkcmVzcz48dGl0bGVzPjx0aXRsZT5QYXR0ZXJucyBvZiBlbGVj
dHJvbmljIGNpZ2FyZXR0ZSB1c2UgYW5kIGxldmVsIG9mIHBzeWNob2xvZ2ljYWwgZGlzdHJlc3M8
L3RpdGxlPjxzZWNvbmRhcnktdGl0bGU+UExvUyBPbmU8L3NlY29uZGFyeS10aXRsZT48YWx0LXRp
dGxlPlBsb1Mgb25lPC9hbHQtdGl0bGU+PC90aXRsZXM+PHBlcmlvZGljYWw+PGZ1bGwtdGl0bGU+
UGxvcyBPbmU8L2Z1bGwtdGl0bGU+PC9wZXJpb2RpY2FsPjxhbHQtcGVyaW9kaWNhbD48ZnVsbC10
aXRsZT5QbG9zIE9uZTwvZnVsbC10aXRsZT48L2FsdC1wZXJpb2RpY2FsPjxwYWdlcz5lMDE3MzYy
NTwvcGFnZXM+PHZvbHVtZT4xMjwvdm9sdW1lPjxudW1iZXI+MzwvbnVtYmVyPjxlZGl0aW9uPjIw
MTcvMDMvMTA8L2VkaXRpb24+PGtleXdvcmRzPjxrZXl3b3JkPkFkb2xlc2NlbnQ8L2tleXdvcmQ+
PGtleXdvcmQ+QWR1bHQ8L2tleXdvcmQ+PGtleXdvcmQ+QWdlZDwva2V5d29yZD48a2V5d29yZD5D
cm9zcy1TZWN0aW9uYWwgU3R1ZGllczwva2V5d29yZD48a2V5d29yZD5FbGVjdHJvbmljIE5pY290
aW5lIERlbGl2ZXJ5IFN5c3RlbXMvcHN5Y2hvbG9neS8qdXRpbGl6YXRpb248L2tleXdvcmQ+PGtl
eXdvcmQ+RmVtYWxlPC9rZXl3b3JkPjxrZXl3b3JkPkh1bWFuczwva2V5d29yZD48a2V5d29yZD5N
YWxlPC9rZXl3b3JkPjxrZXl3b3JkPk1pZGRsZSBBZ2VkPC9rZXl3b3JkPjxrZXl3b3JkPlByZXZh
bGVuY2U8L2tleXdvcmQ+PGtleXdvcmQ+U3RyZXNzLCBQc3ljaG9sb2dpY2FsLyplcGlkZW1pb2xv
Z3k8L2tleXdvcmQ+PGtleXdvcmQ+VW5pdGVkIFN0YXRlcy9lcGlkZW1pb2xvZ3k8L2tleXdvcmQ+
PGtleXdvcmQ+WW91bmcgQWR1bHQ8L2tleXdvcmQ+PC9rZXl3b3Jkcz48ZGF0ZXM+PHllYXI+MjAx
NzwveWVhcj48L2RhdGVzPjxpc2JuPjE5MzItNjIwMzwvaXNibj48YWNjZXNzaW9uLW51bT4yODI3
ODIzOTwvYWNjZXNzaW9uLW51bT48dXJscz48cmVsYXRlZC11cmxzPjx1cmw+aHR0cHM6Ly93d3cu
bmNiaS5ubG0ubmloLmdvdi9wbWMvYXJ0aWNsZXMvUE1DNTM0NDQ1OS9wZGYvcG9uZS4wMTczNjI1
LnBkZjwvdXJsPjwvcmVsYXRlZC11cmxzPjwvdXJscz48Y3VzdG9tMj5QTUM1MzQ0NDU5PC9jdXN0
b20yPjxlbGVjdHJvbmljLXJlc291cmNlLW51bT4xMC4xMzcxL2pvdXJuYWwucG9uZS4wMTczNjI1
PC9lbGVjdHJvbmljLXJlc291cmNlLW51bT48cmVtb3RlLWRhdGFiYXNlLXByb3ZpZGVyPk5MTTwv
cmVtb3RlLWRhdGFiYXNlLXByb3ZpZGVyPjxsYW5ndWFnZT5lbmc8L2xhbmd1YWdlPjwvcmVjb3Jk
PjwvQ2l0ZT48L0VuZE5vdGU+AG==
</w:fldData>
        </w:fldChar>
      </w:r>
      <w:r w:rsidRPr="00892582">
        <w:instrText xml:space="preserve"> ADDIN EN.CITE.DATA </w:instrText>
      </w:r>
      <w:r w:rsidRPr="00892582">
        <w:fldChar w:fldCharType="end"/>
      </w:r>
      <w:r w:rsidRPr="00892582">
        <w:fldChar w:fldCharType="separate"/>
      </w:r>
      <w:r w:rsidRPr="00892582">
        <w:t>(Park, Lee et al. 2017)</w:t>
      </w:r>
      <w:r w:rsidRPr="00892582">
        <w:fldChar w:fldCharType="end"/>
      </w:r>
      <w:r w:rsidRPr="00892582">
        <w:t xml:space="preserve">. </w:t>
      </w:r>
    </w:p>
    <w:p w14:paraId="4E538CA3" w14:textId="77777777" w:rsidR="002E3AED" w:rsidRPr="00892582" w:rsidRDefault="002E3AED" w:rsidP="002E3AED">
      <w:pPr>
        <w:pStyle w:val="BodyText"/>
      </w:pPr>
    </w:p>
    <w:p w14:paraId="76472A8B" w14:textId="77777777" w:rsidR="002E3AED" w:rsidRDefault="002E3AED" w:rsidP="002E3AED">
      <w:pPr>
        <w:pStyle w:val="BodyText"/>
      </w:pPr>
      <w:r w:rsidRPr="00892582">
        <w:t xml:space="preserve">Agarwal et al </w:t>
      </w:r>
      <w:r w:rsidRPr="00892582">
        <w:fldChar w:fldCharType="begin"/>
      </w:r>
      <w:r w:rsidRPr="00892582">
        <w:instrText xml:space="preserve"> ADDIN EN.CITE &lt;EndNote&gt;&lt;Cite&gt;&lt;Author&gt;Agarwal&lt;/Author&gt;&lt;Year&gt;2017&lt;/Year&gt;&lt;RecNum&gt;4782&lt;/RecNum&gt;&lt;DisplayText&gt;(Agarwal, Loukas et al. 2017)&lt;/DisplayText&gt;&lt;record&gt;&lt;rec-number&gt;4782&lt;/rec-number&gt;&lt;foreign-keys&gt;&lt;key app="EN" db-id="fpt9pttrm5zfsaesp9fpsddv09ewsv5xewfd" timestamp="1525045506"&gt;4782&lt;/key&gt;&lt;key app="ENWeb" db-id=""&gt;0&lt;/key&gt;&lt;/foreign-keys&gt;&lt;ref-type name="Journal Article"&gt;17&lt;/ref-type&gt;&lt;contributors&gt;&lt;authors&gt;&lt;author&gt;Agarwal, D.&lt;/author&gt;&lt;author&gt;Loukas, A.&lt;/author&gt;&lt;author&gt;Perry, C. L.&lt;/author&gt;&lt;/authors&gt;&lt;/contributors&gt;&lt;auth-address&gt;1 The University of Texas at Austin, Austin, TX, USA.&amp;#xD;2 The University of Texas Health Science Center at Houston (UTHealth), Austin, TX, USA.&lt;/auth-address&gt;&lt;titles&gt;&lt;title&gt;Examining College Students&amp;apos; Social Environment, Normative Beliefs, and Attitudes in Subsequent Initiation of Electronic Nicotine Delivery Systems&lt;/title&gt;&lt;secondary-title&gt;Health Educ Behav&lt;/secondary-title&gt;&lt;alt-title&gt;Health education &amp;amp; behavior : the official publication of the Society for Public Health Education&lt;/alt-title&gt;&lt;/titles&gt;&lt;periodical&gt;&lt;full-title&gt;Health Educ Behav&lt;/full-title&gt;&lt;abbr-1&gt;Health education &amp;amp; behavior : the official publication of the Society for Public Health Education&lt;/abbr-1&gt;&lt;/periodical&gt;&lt;alt-periodical&gt;&lt;full-title&gt;Health Educ Behav&lt;/full-title&gt;&lt;abbr-1&gt;Health education &amp;amp; behavior : the official publication of the Society for Public Health Education&lt;/abbr-1&gt;&lt;/alt-periodical&gt;&lt;pages&gt;1090198117739672&lt;/pages&gt;&lt;edition&gt;2017/11/10&lt;/edition&gt;&lt;keywords&gt;&lt;keyword&gt;college students&lt;/keyword&gt;&lt;keyword&gt;electronic cigarettes&lt;/keyword&gt;&lt;keyword&gt;tobacco control&lt;/keyword&gt;&lt;/keywords&gt;&lt;dates&gt;&lt;year&gt;2017&lt;/year&gt;&lt;pub-dates&gt;&lt;date&gt;Nov 1&lt;/date&gt;&lt;/pub-dates&gt;&lt;/dates&gt;&lt;isbn&gt;1090-1981&lt;/isbn&gt;&lt;accession-num&gt;29117720&lt;/accession-num&gt;&lt;urls&gt;&lt;related-urls&gt;&lt;url&gt;http://journals.sagepub.com/doi/pdf/10.1177/1090198117739672&lt;/url&gt;&lt;/related-urls&gt;&lt;/urls&gt;&lt;electronic-resource-num&gt;10.1177/1090198117739672&lt;/electronic-resource-num&gt;&lt;remote-database-provider&gt;NLM&lt;/remote-database-provider&gt;&lt;language&gt;eng&lt;/language&gt;&lt;/record&gt;&lt;/Cite&gt;&lt;/EndNote&gt;</w:instrText>
      </w:r>
      <w:r w:rsidRPr="00892582">
        <w:fldChar w:fldCharType="separate"/>
      </w:r>
      <w:r w:rsidRPr="00892582">
        <w:t>(Agarwal, Loukas et al. 2017)</w:t>
      </w:r>
      <w:r w:rsidRPr="00892582">
        <w:fldChar w:fldCharType="end"/>
      </w:r>
      <w:r w:rsidRPr="00892582">
        <w:t xml:space="preserve"> explored how the social environment could also predict use of </w:t>
      </w:r>
      <w:r>
        <w:t>e</w:t>
      </w:r>
      <w:r>
        <w:noBreakHyphen/>
        <w:t>cig</w:t>
      </w:r>
      <w:r w:rsidRPr="00892582">
        <w:t xml:space="preserve">arettes using M-PACT data collected over one year. They report that having peers or being happy to date someone who uses </w:t>
      </w:r>
      <w:r>
        <w:t>e</w:t>
      </w:r>
      <w:r>
        <w:noBreakHyphen/>
        <w:t>cig</w:t>
      </w:r>
      <w:r w:rsidRPr="00892582">
        <w:t xml:space="preserve">arettes increases the odds of initiating the use of </w:t>
      </w:r>
      <w:r>
        <w:t>e</w:t>
      </w:r>
      <w:r>
        <w:noBreakHyphen/>
        <w:t>cig</w:t>
      </w:r>
      <w:r w:rsidRPr="00892582">
        <w:t xml:space="preserve">arettes. This is </w:t>
      </w:r>
      <w:r w:rsidR="005D4809">
        <w:t>consistent</w:t>
      </w:r>
      <w:r w:rsidRPr="00892582">
        <w:t xml:space="preserve"> with observations in the NYTS about how peer influences can increase use of </w:t>
      </w:r>
      <w:r>
        <w:t>e</w:t>
      </w:r>
      <w:r>
        <w:noBreakHyphen/>
        <w:t>cig</w:t>
      </w:r>
      <w:r w:rsidRPr="00892582">
        <w:t xml:space="preserve">arettes </w:t>
      </w:r>
      <w:r w:rsidRPr="00892582">
        <w:fldChar w:fldCharType="begin"/>
      </w:r>
      <w:r w:rsidRPr="00892582">
        <w:instrText xml:space="preserve"> ADDIN EN.CITE &lt;EndNote&gt;&lt;Cite&gt;&lt;Author&gt;Merianos&lt;/Author&gt;&lt;Year&gt;2017&lt;/Year&gt;&lt;RecNum&gt;5424&lt;/RecNum&gt;&lt;DisplayText&gt;(Merianos, Yockey et al. 2017)&lt;/DisplayText&gt;&lt;record&gt;&lt;rec-number&gt;5424&lt;/rec-number&gt;&lt;foreign-keys&gt;&lt;key app="EN" db-id="fpt9pttrm5zfsaesp9fpsddv09ewsv5xewfd" timestamp="1525046622"&gt;5424&lt;/key&gt;&lt;/foreign-keys&gt;&lt;ref-type name="Book Section"&gt;5&lt;/ref-type&gt;&lt;contributors&gt;&lt;authors&gt;&lt;author&gt;Merianos, A. L.&lt;/author&gt;&lt;author&gt;Yockey, R. A.&lt;/author&gt;&lt;author&gt;Wood, K. J.&lt;/author&gt;&lt;author&gt;Nabors, L. A.&lt;/author&gt;&lt;author&gt;King, K. A.&lt;/author&gt;&lt;author&gt;Vidourek, R. A.&lt;/author&gt;&lt;/authors&gt;&lt;/contributors&gt;&lt;titles&gt;&lt;title&gt;Friend and family influence on electronic cigarette use among hispanic adolescents nationwide&lt;/title&gt;&lt;secondary-title&gt;Advances in Health and Disease. Volume 1&lt;/secondary-title&gt;&lt;/titles&gt;&lt;pages&gt;209-226&lt;/pages&gt;&lt;dates&gt;&lt;year&gt;2017&lt;/year&gt;&lt;/dates&gt;&lt;urls&gt;&lt;related-urls&gt;&lt;url&gt;https://www.scopus.com/inward/record.uri?eid=2-s2.0-85034212979&amp;amp;partnerID=40&amp;amp;md5=a4fad4a327bc8fe5e169e5e45294fa66&lt;/url&gt;&lt;/related-urls&gt;&lt;/urls&gt;&lt;remote-database-name&gt;Scopus&lt;/remote-database-name&gt;&lt;/record&gt;&lt;/Cite&gt;&lt;/EndNote&gt;</w:instrText>
      </w:r>
      <w:r w:rsidRPr="00892582">
        <w:fldChar w:fldCharType="separate"/>
      </w:r>
      <w:r w:rsidRPr="00892582">
        <w:t>(Merianos, Yockey et al. 2017)</w:t>
      </w:r>
      <w:r w:rsidRPr="00892582">
        <w:fldChar w:fldCharType="end"/>
      </w:r>
      <w:r w:rsidRPr="00892582">
        <w:t xml:space="preserve">. </w:t>
      </w:r>
    </w:p>
    <w:p w14:paraId="233814D4" w14:textId="77777777" w:rsidR="002E3AED" w:rsidRDefault="002E3AED" w:rsidP="002E3AED">
      <w:pPr>
        <w:pStyle w:val="BodyText"/>
      </w:pPr>
    </w:p>
    <w:p w14:paraId="3983C615" w14:textId="03F6C69A" w:rsidR="002E3AED" w:rsidRPr="00892582" w:rsidRDefault="002E3AED" w:rsidP="002E3AED">
      <w:pPr>
        <w:pStyle w:val="BodyText"/>
      </w:pPr>
      <w:r w:rsidRPr="00892582">
        <w:lastRenderedPageBreak/>
        <w:t xml:space="preserve">Recently, these observations were extended by analysis of two waves of the Southern California Children’s Health Survey (n=1441) </w:t>
      </w:r>
      <w:r w:rsidRPr="00892582">
        <w:fldChar w:fldCharType="begin">
          <w:fldData xml:space="preserve">PEVuZE5vdGU+PENpdGU+PEF1dGhvcj5Vcm1hbjwvQXV0aG9yPjxZZWFyPjIwMTg8L1llYXI+PFJl
Y051bT4xMDM2MzwvUmVjTnVtPjxEaXNwbGF5VGV4dD4oVXJtYW4sIE1jQ29ubmVsbCBldCBhbC4g
MjAxOCk8L0Rpc3BsYXlUZXh0PjxyZWNvcmQ+PHJlYy1udW1iZXI+MTAzNjM8L3JlYy1udW1iZXI+
PGZvcmVpZ24ta2V5cz48a2V5IGFwcD0iRU4iIGRiLWlkPSI5ejA1ZHowcHJhYWRmdWVlMHpveHpl
ZGs5emZlNWZ4eDUwejUiIHRpbWVzdGFtcD0iMTUyNjg2OTg3OCI+MTAzNjM8L2tleT48a2V5IGFw
cD0iRU5XZWIiIGRiLWlkPSIiPjA8L2tleT48L2ZvcmVpZ24ta2V5cz48cmVmLXR5cGUgbmFtZT0i
Sm91cm5hbCBBcnRpY2xlIj4xNzwvcmVmLXR5cGU+PGNvbnRyaWJ1dG9ycz48YXV0aG9ycz48YXV0
aG9yPlVybWFuLCBSb2JlcnQ8L2F1dGhvcj48YXV0aG9yPk1jQ29ubmVsbCwgUm9iPC9hdXRob3I+
PGF1dGhvcj5VbmdlciwgSmVubmlmZXIgQi48L2F1dGhvcj48YXV0aG9yPkNydXosIFRlc3MgQm9s
ZXk8L2F1dGhvcj48YXV0aG9yPlNhbWV0LCBKb25hdGhhbiBNLjwvYXV0aG9yPjxhdXRob3I+QmVy
aGFuZSwgS2lyb3M8L2F1dGhvcj48YXV0aG9yPkJhcnJpbmd0b24tVHJpbWlzLCBKZXNzaWNhIEwu
PC9hdXRob3I+PC9hdXRob3JzPjwvY29udHJpYnV0b3JzPjx0aXRsZXM+PHRpdGxlPkVsZWN0cm9u
aWMgQ2lnYXJldHRlIGFuZCBDaWdhcmV0dGUgU29jaWFsIEVudmlyb25tZW50cyBhbmQgRXZlciBV
c2Ugb2YgRWFjaCBQcm9kdWN0OiBBIFByb3NwZWN0aXZlIFN0dWR5IG9mIFlvdW5nIEFkdWx0cyBp
biBTb3V0aGVybiBDYWxpZm9ybmlhPC90aXRsZT48c2Vjb25kYXJ5LXRpdGxlPk5pY290aW5lICZh
bXA7IHRvYmFjY28gcmVzZWFyY2ggOiBvZmZpY2lhbCBqb3VybmFsIG9mIHRoZSBTb2NpZXR5IGZv
ciBSZXNlYXJjaCBvbiBOaWNvdGluZSBhbmQgVG9iYWNjbzwvc2Vjb25kYXJ5LXRpdGxlPjwvdGl0
bGVzPjxwZXJpb2RpY2FsPjxmdWxsLXRpdGxlPk5pY290aW5lIFRvYiBSZXM8L2Z1bGwtdGl0bGU+
PGFiYnItMT5OaWNvdGluZSAmYW1wOyB0b2JhY2NvIHJlc2VhcmNoIDogb2ZmaWNpYWwgam91cm5h
bCBvZiB0aGUgU29jaWV0eSBmb3IgUmVzZWFyY2ggb24gTmljb3RpbmUgYW5kIFRvYmFjY288L2Fi
YnItMT48L3BlcmlvZGljYWw+PGRhdGVzPjx5ZWFyPjIwMTg8L3llYXI+PHB1Yi1kYXRlcz48ZGF0
ZT4yMDE4LU1heS0wODwvZGF0ZT48L3B1Yi1kYXRlcz48L2RhdGVzPjxhY2Nlc3Npb24tbnVtPk1F
RExJTkU6Mjk3NDE3MTM8L2FjY2Vzc2lvbi1udW0+PHVybHM+PHJlbGF0ZWQtdXJscz48dXJsPiZs
dDtHbyB0byBJU0kmZ3Q7Oi8vTUVETElORToyOTc0MTcxMzwvdXJsPjx1cmw+aHR0cHM6Ly93YXRl
cm1hcmsuc2lsdmVyY2hhaXIuY29tL250eTA5Ny5wZGY/dG9rZW49QVFFQ0FIaTIwOEJFNDlPb2Fu
OWtraFdfRXJjeTdEbTNaTF85Q2YzcWZLQWM0ODV5c2dBQUFkSXdnZ0hPQmdrcWhraUc5dzBCQndh
Z2dnR19NSUlCdXdJQkFEQ0NBYlFHQ1NxR1NJYjNEUUVIQVRBZUJnbGdoa2dCWlFNRUFTNHdFUVFN
ZS1PX29wdGlwN2FNLUdvdEFnRVFnSUlCaFNmaHBqSEZDTGloaFlzNGI0dEJqRzBMY1cwZVFNU3lx
dW84eGZ3TllfN1lreTlqSXhFNHJjb1BzMXA5anltdy1zMUx6RVhveERtT3VYUnY3b010R3didXJR
WHNsSTNuaWYxdElFaWpib2sxMjRtOVJRMFRDeWtvdmxJc3lDUnNMaXBTd3RYaEhNenZPdGc5Ti1I
anpXVy1Cd2gzY01zU01xbUNsWHFzRzkyV3pPU3ZFMHkxek1Xb21fRWVfRE5SUXE4RVZpSXZnWUZw
MF81VnBaZVAwak9MS2ozdlZQT1pqNDh0SGREeXQxajBGenZNUXpRZXU3b0thNHlVUzB1MUF5dVN5
eGloTGFnM2JnMXZwZ0pvTVFYaUlReEFEVTN2OFBHZkJZSlN0M20yaTI3bUE4T2xuN2dBNlN2Yk5X
Smc3d2lkMmpjWjNURGZCazE1bTVJQ3hmdncwLXpKc2pUeV92a2ctQUozLVd5Z000Z3dUeHMxVDd1
M2FnVFRINUUzNHZmZGJNWEpoOWhGc3FDTktveHlVME50T0ExekdRN3B0TlRMeUVQcVpkNXhDSWNp
cHdlbnhZZnMyUjJuUXAxczBKWmhrTDJHSGE4a01GUzNTVk50cVJ1VENCNWNhZG8xcER2WXFKWmNu
ZFV3UjFUd1p1S2JGUDZLdjAyaXA3anpSRjNodlR3MjwvdXJsPjx1cmw+aHR0cHM6Ly93YXRlcm1h
cmsuc2lsdmVyY2hhaXIuY29tL250eTA5Ny5wZGY/dG9rZW49QVFFQ0FIaTIwOEJFNDlPb2FuOWtr
aFdfRXJjeTdEbTNaTF85Q2YzcWZLQWM0ODV5c2dBQUFkSXdnZ0hPQmdrcWhraUc5dzBCQndhZ2dn
R19NSUlCdXdJQkFEQ0NBYlFHQ1NxR1NJYjNEUUVIQVRBZUJnbGdoa2dCWlFNRUFTNHdFUVFNODdT
Si1ZZV9GRW55SGFxV0FnRVFnSUlCaGE1bHdNaHBJbjNheGlGNVhBaVBCenNtb0dkRi1IaTEzMWxF
U3pYanFabG01ekJBLVFCX29fYy1CMGJSb0twMUVYdTJDRnMxMElQNXo4NWxXeWJpSE9YVUtkUWxo
OUtwVzh0NldCSE1vMV9hemU2VUhjLVN2OTZ6M3dwUmpYUm55MnlsRmRHUG5Wcm80OG9IZzhUY3M2
bElaSnlEMlpyNE5Wd3JESHB6cUJfVVBramlvNkFRaVZTYzBZdjRERExBdEd3dF8wN29lb3ZzYVFm
S05kaHZJcGhxZUdFMUlBdlFYUXVQc05VVk1zX1NXblhSNEgyeEdWWlRBc0t6U1gzRHJid1d6SVRl
M0wtZE8xd3luLVNveFVWbnU3MUdpMHdBc2xvRGptekkyS3J2REZtZkZNbmNVTTQzNk04Ymlld1E2
TzNUSXBYcDhCWGlpYXFmZWFZOHJHcXFHRklYRHBxRm1Sb3VlRUNLQnd1OF8wdDJVVW1CeFVXd08x
dVZhWnRWUnRkS1NmMkR0NENsT2ZJQTQwN1FGNnlMSnpJYllyYkU4YktoYUlTZ3VZZEhIb3hjeTB0
ZXdmOEszTGxlYkVpTHo1MXVkc3lSZVVMT1VWWnFJWEMzVUMxckd2SUp6cWgxTkVJX2dPYU9kT3Zq
eFVINUJ6MEk0TlF3X2tZSGQzWFptenB3UXd5VDwvdXJsPjwvcmVsYXRlZC11cmxzPjwvdXJscz48
ZWxlY3Ryb25pYy1yZXNvdXJjZS1udW0+MTAuMTA5My9udHIvbnR5MDk3PC9lbGVjdHJvbmljLXJl
c291cmNlLW51bT48L3JlY29yZD48L0NpdGU+PC9FbmROb3RlPn==
</w:fldData>
        </w:fldChar>
      </w:r>
      <w:r>
        <w:instrText xml:space="preserve"> ADDIN EN.CITE </w:instrText>
      </w:r>
      <w:r>
        <w:fldChar w:fldCharType="begin">
          <w:fldData xml:space="preserve">PEVuZE5vdGU+PENpdGU+PEF1dGhvcj5Vcm1hbjwvQXV0aG9yPjxZZWFyPjIwMTg8L1llYXI+PFJl
Y051bT4xMDM2MzwvUmVjTnVtPjxEaXNwbGF5VGV4dD4oVXJtYW4sIE1jQ29ubmVsbCBldCBhbC4g
MjAxOCk8L0Rpc3BsYXlUZXh0PjxyZWNvcmQ+PHJlYy1udW1iZXI+MTAzNjM8L3JlYy1udW1iZXI+
PGZvcmVpZ24ta2V5cz48a2V5IGFwcD0iRU4iIGRiLWlkPSI5ejA1ZHowcHJhYWRmdWVlMHpveHpl
ZGs5emZlNWZ4eDUwejUiIHRpbWVzdGFtcD0iMTUyNjg2OTg3OCI+MTAzNjM8L2tleT48a2V5IGFw
cD0iRU5XZWIiIGRiLWlkPSIiPjA8L2tleT48L2ZvcmVpZ24ta2V5cz48cmVmLXR5cGUgbmFtZT0i
Sm91cm5hbCBBcnRpY2xlIj4xNzwvcmVmLXR5cGU+PGNvbnRyaWJ1dG9ycz48YXV0aG9ycz48YXV0
aG9yPlVybWFuLCBSb2JlcnQ8L2F1dGhvcj48YXV0aG9yPk1jQ29ubmVsbCwgUm9iPC9hdXRob3I+
PGF1dGhvcj5VbmdlciwgSmVubmlmZXIgQi48L2F1dGhvcj48YXV0aG9yPkNydXosIFRlc3MgQm9s
ZXk8L2F1dGhvcj48YXV0aG9yPlNhbWV0LCBKb25hdGhhbiBNLjwvYXV0aG9yPjxhdXRob3I+QmVy
aGFuZSwgS2lyb3M8L2F1dGhvcj48YXV0aG9yPkJhcnJpbmd0b24tVHJpbWlzLCBKZXNzaWNhIEwu
PC9hdXRob3I+PC9hdXRob3JzPjwvY29udHJpYnV0b3JzPjx0aXRsZXM+PHRpdGxlPkVsZWN0cm9u
aWMgQ2lnYXJldHRlIGFuZCBDaWdhcmV0dGUgU29jaWFsIEVudmlyb25tZW50cyBhbmQgRXZlciBV
c2Ugb2YgRWFjaCBQcm9kdWN0OiBBIFByb3NwZWN0aXZlIFN0dWR5IG9mIFlvdW5nIEFkdWx0cyBp
biBTb3V0aGVybiBDYWxpZm9ybmlhPC90aXRsZT48c2Vjb25kYXJ5LXRpdGxlPk5pY290aW5lICZh
bXA7IHRvYmFjY28gcmVzZWFyY2ggOiBvZmZpY2lhbCBqb3VybmFsIG9mIHRoZSBTb2NpZXR5IGZv
ciBSZXNlYXJjaCBvbiBOaWNvdGluZSBhbmQgVG9iYWNjbzwvc2Vjb25kYXJ5LXRpdGxlPjwvdGl0
bGVzPjxwZXJpb2RpY2FsPjxmdWxsLXRpdGxlPk5pY290aW5lIFRvYiBSZXM8L2Z1bGwtdGl0bGU+
PGFiYnItMT5OaWNvdGluZSAmYW1wOyB0b2JhY2NvIHJlc2VhcmNoIDogb2ZmaWNpYWwgam91cm5h
bCBvZiB0aGUgU29jaWV0eSBmb3IgUmVzZWFyY2ggb24gTmljb3RpbmUgYW5kIFRvYmFjY288L2Fi
YnItMT48L3BlcmlvZGljYWw+PGRhdGVzPjx5ZWFyPjIwMTg8L3llYXI+PHB1Yi1kYXRlcz48ZGF0
ZT4yMDE4LU1heS0wODwvZGF0ZT48L3B1Yi1kYXRlcz48L2RhdGVzPjxhY2Nlc3Npb24tbnVtPk1F
RExJTkU6Mjk3NDE3MTM8L2FjY2Vzc2lvbi1udW0+PHVybHM+PHJlbGF0ZWQtdXJscz48dXJsPiZs
dDtHbyB0byBJU0kmZ3Q7Oi8vTUVETElORToyOTc0MTcxMzwvdXJsPjx1cmw+aHR0cHM6Ly93YXRl
cm1hcmsuc2lsdmVyY2hhaXIuY29tL250eTA5Ny5wZGY/dG9rZW49QVFFQ0FIaTIwOEJFNDlPb2Fu
OWtraFdfRXJjeTdEbTNaTF85Q2YzcWZLQWM0ODV5c2dBQUFkSXdnZ0hPQmdrcWhraUc5dzBCQndh
Z2dnR19NSUlCdXdJQkFEQ0NBYlFHQ1NxR1NJYjNEUUVIQVRBZUJnbGdoa2dCWlFNRUFTNHdFUVFN
ZS1PX29wdGlwN2FNLUdvdEFnRVFnSUlCaFNmaHBqSEZDTGloaFlzNGI0dEJqRzBMY1cwZVFNU3lx
dW84eGZ3TllfN1lreTlqSXhFNHJjb1BzMXA5anltdy1zMUx6RVhveERtT3VYUnY3b010R3didXJR
WHNsSTNuaWYxdElFaWpib2sxMjRtOVJRMFRDeWtvdmxJc3lDUnNMaXBTd3RYaEhNenZPdGc5Ti1I
anpXVy1Cd2gzY01zU01xbUNsWHFzRzkyV3pPU3ZFMHkxek1Xb21fRWVfRE5SUXE4RVZpSXZnWUZw
MF81VnBaZVAwak9MS2ozdlZQT1pqNDh0SGREeXQxajBGenZNUXpRZXU3b0thNHlVUzB1MUF5dVN5
eGloTGFnM2JnMXZwZ0pvTVFYaUlReEFEVTN2OFBHZkJZSlN0M20yaTI3bUE4T2xuN2dBNlN2Yk5X
Smc3d2lkMmpjWjNURGZCazE1bTVJQ3hmdncwLXpKc2pUeV92a2ctQUozLVd5Z000Z3dUeHMxVDd1
M2FnVFRINUUzNHZmZGJNWEpoOWhGc3FDTktveHlVME50T0ExekdRN3B0TlRMeUVQcVpkNXhDSWNp
cHdlbnhZZnMyUjJuUXAxczBKWmhrTDJHSGE4a01GUzNTVk50cVJ1VENCNWNhZG8xcER2WXFKWmNu
ZFV3UjFUd1p1S2JGUDZLdjAyaXA3anpSRjNodlR3MjwvdXJsPjx1cmw+aHR0cHM6Ly93YXRlcm1h
cmsuc2lsdmVyY2hhaXIuY29tL250eTA5Ny5wZGY/dG9rZW49QVFFQ0FIaTIwOEJFNDlPb2FuOWtr
aFdfRXJjeTdEbTNaTF85Q2YzcWZLQWM0ODV5c2dBQUFkSXdnZ0hPQmdrcWhraUc5dzBCQndhZ2dn
R19NSUlCdXdJQkFEQ0NBYlFHQ1NxR1NJYjNEUUVIQVRBZUJnbGdoa2dCWlFNRUFTNHdFUVFNODdT
Si1ZZV9GRW55SGFxV0FnRVFnSUlCaGE1bHdNaHBJbjNheGlGNVhBaVBCenNtb0dkRi1IaTEzMWxF
U3pYanFabG01ekJBLVFCX29fYy1CMGJSb0twMUVYdTJDRnMxMElQNXo4NWxXeWJpSE9YVUtkUWxo
OUtwVzh0NldCSE1vMV9hemU2VUhjLVN2OTZ6M3dwUmpYUm55MnlsRmRHUG5Wcm80OG9IZzhUY3M2
bElaSnlEMlpyNE5Wd3JESHB6cUJfVVBramlvNkFRaVZTYzBZdjRERExBdEd3dF8wN29lb3ZzYVFm
S05kaHZJcGhxZUdFMUlBdlFYUXVQc05VVk1zX1NXblhSNEgyeEdWWlRBc0t6U1gzRHJid1d6SVRl
M0wtZE8xd3luLVNveFVWbnU3MUdpMHdBc2xvRGptekkyS3J2REZtZkZNbmNVTTQzNk04Ymlld1E2
TzNUSXBYcDhCWGlpYXFmZWFZOHJHcXFHRklYRHBxRm1Sb3VlRUNLQnd1OF8wdDJVVW1CeFVXd08x
dVZhWnRWUnRkS1NmMkR0NENsT2ZJQTQwN1FGNnlMSnpJYllyYkU4YktoYUlTZ3VZZEhIb3hjeTB0
ZXdmOEszTGxlYkVpTHo1MXVkc3lSZVVMT1VWWnFJWEMzVUMxckd2SUp6cWgxTkVJX2dPYU9kT3Zq
eFVINUJ6MEk0TlF3X2tZSGQzWFptenB3UXd5VDwvdXJsPjwvcmVsYXRlZC11cmxzPjwvdXJscz48
ZWxlY3Ryb25pYy1yZXNvdXJjZS1udW0+MTAuMTA5My9udHIvbnR5MDk3PC9lbGVjdHJvbmljLXJl
c291cmNlLW51bT48L3JlY29yZD48L0NpdGU+PC9FbmROb3RlPn==
</w:fldData>
        </w:fldChar>
      </w:r>
      <w:r>
        <w:instrText xml:space="preserve"> ADDIN EN.CITE.DATA </w:instrText>
      </w:r>
      <w:r>
        <w:fldChar w:fldCharType="end"/>
      </w:r>
      <w:r w:rsidRPr="00892582">
        <w:fldChar w:fldCharType="separate"/>
      </w:r>
      <w:r w:rsidRPr="00892582">
        <w:rPr>
          <w:noProof/>
        </w:rPr>
        <w:t>(Urman, McConnell et al. 2018)</w:t>
      </w:r>
      <w:r w:rsidRPr="00892582">
        <w:fldChar w:fldCharType="end"/>
      </w:r>
      <w:r w:rsidRPr="00892582">
        <w:t xml:space="preserve">. Urman et al </w:t>
      </w:r>
      <w:r w:rsidRPr="00892582">
        <w:fldChar w:fldCharType="begin">
          <w:fldData xml:space="preserve">PEVuZE5vdGU+PENpdGU+PEF1dGhvcj5Vcm1hbjwvQXV0aG9yPjxZZWFyPjIwMTg8L1llYXI+PFJl
Y051bT4xMDM2MzwvUmVjTnVtPjxEaXNwbGF5VGV4dD4oVXJtYW4sIE1jQ29ubmVsbCBldCBhbC4g
MjAxOCk8L0Rpc3BsYXlUZXh0PjxyZWNvcmQ+PHJlYy1udW1iZXI+MTAzNjM8L3JlYy1udW1iZXI+
PGZvcmVpZ24ta2V5cz48a2V5IGFwcD0iRU4iIGRiLWlkPSI5ejA1ZHowcHJhYWRmdWVlMHpveHpl
ZGs5emZlNWZ4eDUwejUiIHRpbWVzdGFtcD0iMTUyNjg2OTg3OCI+MTAzNjM8L2tleT48a2V5IGFw
cD0iRU5XZWIiIGRiLWlkPSIiPjA8L2tleT48L2ZvcmVpZ24ta2V5cz48cmVmLXR5cGUgbmFtZT0i
Sm91cm5hbCBBcnRpY2xlIj4xNzwvcmVmLXR5cGU+PGNvbnRyaWJ1dG9ycz48YXV0aG9ycz48YXV0
aG9yPlVybWFuLCBSb2JlcnQ8L2F1dGhvcj48YXV0aG9yPk1jQ29ubmVsbCwgUm9iPC9hdXRob3I+
PGF1dGhvcj5VbmdlciwgSmVubmlmZXIgQi48L2F1dGhvcj48YXV0aG9yPkNydXosIFRlc3MgQm9s
ZXk8L2F1dGhvcj48YXV0aG9yPlNhbWV0LCBKb25hdGhhbiBNLjwvYXV0aG9yPjxhdXRob3I+QmVy
aGFuZSwgS2lyb3M8L2F1dGhvcj48YXV0aG9yPkJhcnJpbmd0b24tVHJpbWlzLCBKZXNzaWNhIEwu
PC9hdXRob3I+PC9hdXRob3JzPjwvY29udHJpYnV0b3JzPjx0aXRsZXM+PHRpdGxlPkVsZWN0cm9u
aWMgQ2lnYXJldHRlIGFuZCBDaWdhcmV0dGUgU29jaWFsIEVudmlyb25tZW50cyBhbmQgRXZlciBV
c2Ugb2YgRWFjaCBQcm9kdWN0OiBBIFByb3NwZWN0aXZlIFN0dWR5IG9mIFlvdW5nIEFkdWx0cyBp
biBTb3V0aGVybiBDYWxpZm9ybmlhPC90aXRsZT48c2Vjb25kYXJ5LXRpdGxlPk5pY290aW5lICZh
bXA7IHRvYmFjY28gcmVzZWFyY2ggOiBvZmZpY2lhbCBqb3VybmFsIG9mIHRoZSBTb2NpZXR5IGZv
ciBSZXNlYXJjaCBvbiBOaWNvdGluZSBhbmQgVG9iYWNjbzwvc2Vjb25kYXJ5LXRpdGxlPjwvdGl0
bGVzPjxwZXJpb2RpY2FsPjxmdWxsLXRpdGxlPk5pY290aW5lIFRvYiBSZXM8L2Z1bGwtdGl0bGU+
PGFiYnItMT5OaWNvdGluZSAmYW1wOyB0b2JhY2NvIHJlc2VhcmNoIDogb2ZmaWNpYWwgam91cm5h
bCBvZiB0aGUgU29jaWV0eSBmb3IgUmVzZWFyY2ggb24gTmljb3RpbmUgYW5kIFRvYmFjY288L2Fi
YnItMT48L3BlcmlvZGljYWw+PGRhdGVzPjx5ZWFyPjIwMTg8L3llYXI+PHB1Yi1kYXRlcz48ZGF0
ZT4yMDE4LU1heS0wODwvZGF0ZT48L3B1Yi1kYXRlcz48L2RhdGVzPjxhY2Nlc3Npb24tbnVtPk1F
RExJTkU6Mjk3NDE3MTM8L2FjY2Vzc2lvbi1udW0+PHVybHM+PHJlbGF0ZWQtdXJscz48dXJsPiZs
dDtHbyB0byBJU0kmZ3Q7Oi8vTUVETElORToyOTc0MTcxMzwvdXJsPjx1cmw+aHR0cHM6Ly93YXRl
cm1hcmsuc2lsdmVyY2hhaXIuY29tL250eTA5Ny5wZGY/dG9rZW49QVFFQ0FIaTIwOEJFNDlPb2Fu
OWtraFdfRXJjeTdEbTNaTF85Q2YzcWZLQWM0ODV5c2dBQUFkSXdnZ0hPQmdrcWhraUc5dzBCQndh
Z2dnR19NSUlCdXdJQkFEQ0NBYlFHQ1NxR1NJYjNEUUVIQVRBZUJnbGdoa2dCWlFNRUFTNHdFUVFN
ZS1PX29wdGlwN2FNLUdvdEFnRVFnSUlCaFNmaHBqSEZDTGloaFlzNGI0dEJqRzBMY1cwZVFNU3lx
dW84eGZ3TllfN1lreTlqSXhFNHJjb1BzMXA5anltdy1zMUx6RVhveERtT3VYUnY3b010R3didXJR
WHNsSTNuaWYxdElFaWpib2sxMjRtOVJRMFRDeWtvdmxJc3lDUnNMaXBTd3RYaEhNenZPdGc5Ti1I
anpXVy1Cd2gzY01zU01xbUNsWHFzRzkyV3pPU3ZFMHkxek1Xb21fRWVfRE5SUXE4RVZpSXZnWUZw
MF81VnBaZVAwak9MS2ozdlZQT1pqNDh0SGREeXQxajBGenZNUXpRZXU3b0thNHlVUzB1MUF5dVN5
eGloTGFnM2JnMXZwZ0pvTVFYaUlReEFEVTN2OFBHZkJZSlN0M20yaTI3bUE4T2xuN2dBNlN2Yk5X
Smc3d2lkMmpjWjNURGZCazE1bTVJQ3hmdncwLXpKc2pUeV92a2ctQUozLVd5Z000Z3dUeHMxVDd1
M2FnVFRINUUzNHZmZGJNWEpoOWhGc3FDTktveHlVME50T0ExekdRN3B0TlRMeUVQcVpkNXhDSWNp
cHdlbnhZZnMyUjJuUXAxczBKWmhrTDJHSGE4a01GUzNTVk50cVJ1VENCNWNhZG8xcER2WXFKWmNu
ZFV3UjFUd1p1S2JGUDZLdjAyaXA3anpSRjNodlR3MjwvdXJsPjx1cmw+aHR0cHM6Ly93YXRlcm1h
cmsuc2lsdmVyY2hhaXIuY29tL250eTA5Ny5wZGY/dG9rZW49QVFFQ0FIaTIwOEJFNDlPb2FuOWtr
aFdfRXJjeTdEbTNaTF85Q2YzcWZLQWM0ODV5c2dBQUFkSXdnZ0hPQmdrcWhraUc5dzBCQndhZ2dn
R19NSUlCdXdJQkFEQ0NBYlFHQ1NxR1NJYjNEUUVIQVRBZUJnbGdoa2dCWlFNRUFTNHdFUVFNODdT
Si1ZZV9GRW55SGFxV0FnRVFnSUlCaGE1bHdNaHBJbjNheGlGNVhBaVBCenNtb0dkRi1IaTEzMWxF
U3pYanFabG01ekJBLVFCX29fYy1CMGJSb0twMUVYdTJDRnMxMElQNXo4NWxXeWJpSE9YVUtkUWxo
OUtwVzh0NldCSE1vMV9hemU2VUhjLVN2OTZ6M3dwUmpYUm55MnlsRmRHUG5Wcm80OG9IZzhUY3M2
bElaSnlEMlpyNE5Wd3JESHB6cUJfVVBramlvNkFRaVZTYzBZdjRERExBdEd3dF8wN29lb3ZzYVFm
S05kaHZJcGhxZUdFMUlBdlFYUXVQc05VVk1zX1NXblhSNEgyeEdWWlRBc0t6U1gzRHJid1d6SVRl
M0wtZE8xd3luLVNveFVWbnU3MUdpMHdBc2xvRGptekkyS3J2REZtZkZNbmNVTTQzNk04Ymlld1E2
TzNUSXBYcDhCWGlpYXFmZWFZOHJHcXFHRklYRHBxRm1Sb3VlRUNLQnd1OF8wdDJVVW1CeFVXd08x
dVZhWnRWUnRkS1NmMkR0NENsT2ZJQTQwN1FGNnlMSnpJYllyYkU4YktoYUlTZ3VZZEhIb3hjeTB0
ZXdmOEszTGxlYkVpTHo1MXVkc3lSZVVMT1VWWnFJWEMzVUMxckd2SUp6cWgxTkVJX2dPYU9kT3Zq
eFVINUJ6MEk0TlF3X2tZSGQzWFptenB3UXd5VDwvdXJsPjwvcmVsYXRlZC11cmxzPjwvdXJscz48
ZWxlY3Ryb25pYy1yZXNvdXJjZS1udW0+MTAuMTA5My9udHIvbnR5MDk3PC9lbGVjdHJvbmljLXJl
c291cmNlLW51bT48L3JlY29yZD48L0NpdGU+PC9FbmROb3RlPn==
</w:fldData>
        </w:fldChar>
      </w:r>
      <w:r>
        <w:instrText xml:space="preserve"> ADDIN EN.CITE </w:instrText>
      </w:r>
      <w:r>
        <w:fldChar w:fldCharType="begin">
          <w:fldData xml:space="preserve">PEVuZE5vdGU+PENpdGU+PEF1dGhvcj5Vcm1hbjwvQXV0aG9yPjxZZWFyPjIwMTg8L1llYXI+PFJl
Y051bT4xMDM2MzwvUmVjTnVtPjxEaXNwbGF5VGV4dD4oVXJtYW4sIE1jQ29ubmVsbCBldCBhbC4g
MjAxOCk8L0Rpc3BsYXlUZXh0PjxyZWNvcmQ+PHJlYy1udW1iZXI+MTAzNjM8L3JlYy1udW1iZXI+
PGZvcmVpZ24ta2V5cz48a2V5IGFwcD0iRU4iIGRiLWlkPSI5ejA1ZHowcHJhYWRmdWVlMHpveHpl
ZGs5emZlNWZ4eDUwejUiIHRpbWVzdGFtcD0iMTUyNjg2OTg3OCI+MTAzNjM8L2tleT48a2V5IGFw
cD0iRU5XZWIiIGRiLWlkPSIiPjA8L2tleT48L2ZvcmVpZ24ta2V5cz48cmVmLXR5cGUgbmFtZT0i
Sm91cm5hbCBBcnRpY2xlIj4xNzwvcmVmLXR5cGU+PGNvbnRyaWJ1dG9ycz48YXV0aG9ycz48YXV0
aG9yPlVybWFuLCBSb2JlcnQ8L2F1dGhvcj48YXV0aG9yPk1jQ29ubmVsbCwgUm9iPC9hdXRob3I+
PGF1dGhvcj5VbmdlciwgSmVubmlmZXIgQi48L2F1dGhvcj48YXV0aG9yPkNydXosIFRlc3MgQm9s
ZXk8L2F1dGhvcj48YXV0aG9yPlNhbWV0LCBKb25hdGhhbiBNLjwvYXV0aG9yPjxhdXRob3I+QmVy
aGFuZSwgS2lyb3M8L2F1dGhvcj48YXV0aG9yPkJhcnJpbmd0b24tVHJpbWlzLCBKZXNzaWNhIEwu
PC9hdXRob3I+PC9hdXRob3JzPjwvY29udHJpYnV0b3JzPjx0aXRsZXM+PHRpdGxlPkVsZWN0cm9u
aWMgQ2lnYXJldHRlIGFuZCBDaWdhcmV0dGUgU29jaWFsIEVudmlyb25tZW50cyBhbmQgRXZlciBV
c2Ugb2YgRWFjaCBQcm9kdWN0OiBBIFByb3NwZWN0aXZlIFN0dWR5IG9mIFlvdW5nIEFkdWx0cyBp
biBTb3V0aGVybiBDYWxpZm9ybmlhPC90aXRsZT48c2Vjb25kYXJ5LXRpdGxlPk5pY290aW5lICZh
bXA7IHRvYmFjY28gcmVzZWFyY2ggOiBvZmZpY2lhbCBqb3VybmFsIG9mIHRoZSBTb2NpZXR5IGZv
ciBSZXNlYXJjaCBvbiBOaWNvdGluZSBhbmQgVG9iYWNjbzwvc2Vjb25kYXJ5LXRpdGxlPjwvdGl0
bGVzPjxwZXJpb2RpY2FsPjxmdWxsLXRpdGxlPk5pY290aW5lIFRvYiBSZXM8L2Z1bGwtdGl0bGU+
PGFiYnItMT5OaWNvdGluZSAmYW1wOyB0b2JhY2NvIHJlc2VhcmNoIDogb2ZmaWNpYWwgam91cm5h
bCBvZiB0aGUgU29jaWV0eSBmb3IgUmVzZWFyY2ggb24gTmljb3RpbmUgYW5kIFRvYmFjY288L2Fi
YnItMT48L3BlcmlvZGljYWw+PGRhdGVzPjx5ZWFyPjIwMTg8L3llYXI+PHB1Yi1kYXRlcz48ZGF0
ZT4yMDE4LU1heS0wODwvZGF0ZT48L3B1Yi1kYXRlcz48L2RhdGVzPjxhY2Nlc3Npb24tbnVtPk1F
RExJTkU6Mjk3NDE3MTM8L2FjY2Vzc2lvbi1udW0+PHVybHM+PHJlbGF0ZWQtdXJscz48dXJsPiZs
dDtHbyB0byBJU0kmZ3Q7Oi8vTUVETElORToyOTc0MTcxMzwvdXJsPjx1cmw+aHR0cHM6Ly93YXRl
cm1hcmsuc2lsdmVyY2hhaXIuY29tL250eTA5Ny5wZGY/dG9rZW49QVFFQ0FIaTIwOEJFNDlPb2Fu
OWtraFdfRXJjeTdEbTNaTF85Q2YzcWZLQWM0ODV5c2dBQUFkSXdnZ0hPQmdrcWhraUc5dzBCQndh
Z2dnR19NSUlCdXdJQkFEQ0NBYlFHQ1NxR1NJYjNEUUVIQVRBZUJnbGdoa2dCWlFNRUFTNHdFUVFN
ZS1PX29wdGlwN2FNLUdvdEFnRVFnSUlCaFNmaHBqSEZDTGloaFlzNGI0dEJqRzBMY1cwZVFNU3lx
dW84eGZ3TllfN1lreTlqSXhFNHJjb1BzMXA5anltdy1zMUx6RVhveERtT3VYUnY3b010R3didXJR
WHNsSTNuaWYxdElFaWpib2sxMjRtOVJRMFRDeWtvdmxJc3lDUnNMaXBTd3RYaEhNenZPdGc5Ti1I
anpXVy1Cd2gzY01zU01xbUNsWHFzRzkyV3pPU3ZFMHkxek1Xb21fRWVfRE5SUXE4RVZpSXZnWUZw
MF81VnBaZVAwak9MS2ozdlZQT1pqNDh0SGREeXQxajBGenZNUXpRZXU3b0thNHlVUzB1MUF5dVN5
eGloTGFnM2JnMXZwZ0pvTVFYaUlReEFEVTN2OFBHZkJZSlN0M20yaTI3bUE4T2xuN2dBNlN2Yk5X
Smc3d2lkMmpjWjNURGZCazE1bTVJQ3hmdncwLXpKc2pUeV92a2ctQUozLVd5Z000Z3dUeHMxVDd1
M2FnVFRINUUzNHZmZGJNWEpoOWhGc3FDTktveHlVME50T0ExekdRN3B0TlRMeUVQcVpkNXhDSWNp
cHdlbnhZZnMyUjJuUXAxczBKWmhrTDJHSGE4a01GUzNTVk50cVJ1VENCNWNhZG8xcER2WXFKWmNu
ZFV3UjFUd1p1S2JGUDZLdjAyaXA3anpSRjNodlR3MjwvdXJsPjx1cmw+aHR0cHM6Ly93YXRlcm1h
cmsuc2lsdmVyY2hhaXIuY29tL250eTA5Ny5wZGY/dG9rZW49QVFFQ0FIaTIwOEJFNDlPb2FuOWtr
aFdfRXJjeTdEbTNaTF85Q2YzcWZLQWM0ODV5c2dBQUFkSXdnZ0hPQmdrcWhraUc5dzBCQndhZ2dn
R19NSUlCdXdJQkFEQ0NBYlFHQ1NxR1NJYjNEUUVIQVRBZUJnbGdoa2dCWlFNRUFTNHdFUVFNODdT
Si1ZZV9GRW55SGFxV0FnRVFnSUlCaGE1bHdNaHBJbjNheGlGNVhBaVBCenNtb0dkRi1IaTEzMWxF
U3pYanFabG01ekJBLVFCX29fYy1CMGJSb0twMUVYdTJDRnMxMElQNXo4NWxXeWJpSE9YVUtkUWxo
OUtwVzh0NldCSE1vMV9hemU2VUhjLVN2OTZ6M3dwUmpYUm55MnlsRmRHUG5Wcm80OG9IZzhUY3M2
bElaSnlEMlpyNE5Wd3JESHB6cUJfVVBramlvNkFRaVZTYzBZdjRERExBdEd3dF8wN29lb3ZzYVFm
S05kaHZJcGhxZUdFMUlBdlFYUXVQc05VVk1zX1NXblhSNEgyeEdWWlRBc0t6U1gzRHJid1d6SVRl
M0wtZE8xd3luLVNveFVWbnU3MUdpMHdBc2xvRGptekkyS3J2REZtZkZNbmNVTTQzNk04Ymlld1E2
TzNUSXBYcDhCWGlpYXFmZWFZOHJHcXFHRklYRHBxRm1Sb3VlRUNLQnd1OF8wdDJVVW1CeFVXd08x
dVZhWnRWUnRkS1NmMkR0NENsT2ZJQTQwN1FGNnlMSnpJYllyYkU4YktoYUlTZ3VZZEhIb3hjeTB0
ZXdmOEszTGxlYkVpTHo1MXVkc3lSZVVMT1VWWnFJWEMzVUMxckd2SUp6cWgxTkVJX2dPYU9kT3Zq
eFVINUJ6MEk0TlF3X2tZSGQzWFptenB3UXd5VDwvdXJsPjwvcmVsYXRlZC11cmxzPjwvdXJscz48
ZWxlY3Ryb25pYy1yZXNvdXJjZS1udW0+MTAuMTA5My9udHIvbnR5MDk3PC9lbGVjdHJvbmljLXJl
c291cmNlLW51bT48L3JlY29yZD48L0NpdGU+PC9FbmROb3RlPn==
</w:fldData>
        </w:fldChar>
      </w:r>
      <w:r>
        <w:instrText xml:space="preserve"> ADDIN EN.CITE.DATA </w:instrText>
      </w:r>
      <w:r>
        <w:fldChar w:fldCharType="end"/>
      </w:r>
      <w:r w:rsidRPr="00892582">
        <w:fldChar w:fldCharType="separate"/>
      </w:r>
      <w:r w:rsidRPr="00892582">
        <w:rPr>
          <w:noProof/>
        </w:rPr>
        <w:t>(Urman, McConnell et al. 2018)</w:t>
      </w:r>
      <w:r w:rsidRPr="00892582">
        <w:fldChar w:fldCharType="end"/>
      </w:r>
      <w:r w:rsidRPr="00892582">
        <w:t xml:space="preserve"> assessed the bidirectional relationship between social environment and </w:t>
      </w:r>
      <w:r>
        <w:t>e</w:t>
      </w:r>
      <w:r>
        <w:noBreakHyphen/>
        <w:t>cig</w:t>
      </w:r>
      <w:r w:rsidRPr="00892582">
        <w:t>arette use and initiation. The authors observed that 11</w:t>
      </w:r>
      <w:r w:rsidR="00C91154">
        <w:t>th</w:t>
      </w:r>
      <w:r w:rsidRPr="00892582">
        <w:t xml:space="preserve"> and 12th graders with 3-4 friends using </w:t>
      </w:r>
      <w:r>
        <w:t>e</w:t>
      </w:r>
      <w:r>
        <w:noBreakHyphen/>
        <w:t>cig</w:t>
      </w:r>
      <w:r w:rsidRPr="00892582">
        <w:t xml:space="preserve">arettes at baseline had </w:t>
      </w:r>
      <w:r w:rsidR="00C91154">
        <w:t>four</w:t>
      </w:r>
      <w:r w:rsidRPr="00892582">
        <w:t xml:space="preserve"> times in the probability of initiating use. Other social variables that predicted initiation were, having friends who had a friendly reaction to </w:t>
      </w:r>
      <w:r>
        <w:t>e</w:t>
      </w:r>
      <w:r>
        <w:noBreakHyphen/>
        <w:t>cig</w:t>
      </w:r>
      <w:r w:rsidRPr="00892582">
        <w:t xml:space="preserve">arette use, and students with a person at home using them. Meanwhile, for those students who had used </w:t>
      </w:r>
      <w:r>
        <w:t>e</w:t>
      </w:r>
      <w:r>
        <w:noBreakHyphen/>
        <w:t>cig</w:t>
      </w:r>
      <w:r w:rsidRPr="00892582">
        <w:t xml:space="preserve">arettes at baseline, there were changes in their environment. They were more likely to have friends who used </w:t>
      </w:r>
      <w:r>
        <w:t>e</w:t>
      </w:r>
      <w:r>
        <w:noBreakHyphen/>
        <w:t>cig</w:t>
      </w:r>
      <w:r w:rsidRPr="00892582">
        <w:t xml:space="preserve">arettes, and have friends who were supportive of the use. These results are interesting because they describe not only what social factors may lead to initiation but also how social factors may change once </w:t>
      </w:r>
      <w:r>
        <w:t>e</w:t>
      </w:r>
      <w:r>
        <w:noBreakHyphen/>
        <w:t>cig</w:t>
      </w:r>
      <w:r w:rsidRPr="00892582">
        <w:t xml:space="preserve">arette use has begun. </w:t>
      </w:r>
    </w:p>
    <w:p w14:paraId="0F52EEE5" w14:textId="77777777" w:rsidR="002E3AED" w:rsidRDefault="002E3AED" w:rsidP="002E3AED">
      <w:pPr>
        <w:pStyle w:val="BodyText"/>
      </w:pPr>
    </w:p>
    <w:p w14:paraId="7BA383CE" w14:textId="77777777" w:rsidR="00E53F6C" w:rsidRDefault="00E53F6C" w:rsidP="00E53F6C">
      <w:pPr>
        <w:pStyle w:val="Heading2"/>
        <w:ind w:left="1134" w:hanging="1134"/>
        <w:rPr>
          <w:rFonts w:eastAsia="Times New Roman"/>
        </w:rPr>
      </w:pPr>
      <w:bookmarkStart w:id="306" w:name="_Toc517706739"/>
      <w:bookmarkStart w:id="307" w:name="_Toc514669956"/>
      <w:bookmarkStart w:id="308" w:name="_Toc515893207"/>
      <w:r>
        <w:rPr>
          <w:rFonts w:eastAsia="Times New Roman"/>
        </w:rPr>
        <w:t>US literature based on investigator-developed surveys and other research methods</w:t>
      </w:r>
      <w:bookmarkEnd w:id="306"/>
      <w:r>
        <w:rPr>
          <w:rFonts w:eastAsia="Times New Roman"/>
        </w:rPr>
        <w:t xml:space="preserve"> </w:t>
      </w:r>
      <w:bookmarkEnd w:id="307"/>
      <w:bookmarkEnd w:id="308"/>
    </w:p>
    <w:p w14:paraId="4B047404" w14:textId="77777777" w:rsidR="00E53F6C" w:rsidRPr="00892582" w:rsidRDefault="00E53F6C" w:rsidP="00E53F6C">
      <w:pPr>
        <w:pStyle w:val="BodyText"/>
      </w:pPr>
      <w:r w:rsidRPr="00892582">
        <w:t xml:space="preserve">Twenty-nine papers reported on studies that performed primary analysis on data collected by the investigators (Tables </w:t>
      </w:r>
      <w:r w:rsidR="005D4809">
        <w:t>38</w:t>
      </w:r>
      <w:r w:rsidRPr="00892582">
        <w:t xml:space="preserve"> and </w:t>
      </w:r>
      <w:r w:rsidR="005D4809">
        <w:t>39</w:t>
      </w:r>
      <w:r w:rsidRPr="00892582">
        <w:t xml:space="preserve">). Nine of these were conducted with high school students </w:t>
      </w:r>
      <w:r w:rsidRPr="00892582">
        <w:fldChar w:fldCharType="begin">
          <w:fldData xml:space="preserve">PEVuZE5vdGU+PENpdGU+PEF1dGhvcj5Cb2xkPC9BdXRob3I+PFllYXI+MjAxNzwvWWVhcj48UmVj
TnVtPjUyODI8L1JlY051bT48RGlzcGxheVRleHQ+KEJvbGQsIEtvbmcgZXQgYWwuIDIwMTcsIEJv
bGQsIE1vcmVhbiBldCBhbC4gMjAxNywgQ2FtZW5nYSwgS29uZyBldCBhbC4gMjAxNywgSm9obnNv
biwgTWF5cyBldCBhbC4gMjAxNywgVGVtcGxlLCBTaG9yZXkgZXQgYWwuIDIwMTcsIFdlc3RsaW5n
LCBSdXNieSBldCBhbC4gMjAxNywgRml0ZSwgQ3VzaGluZyBldCBhbC4gMjAxOCwgUGVwcGVyLCBG
YXJyZWxseSBldCBhbC4gMjAxOCwgVm9nZWwsIFJhbW8gZXQgYWwuIDIwMTgpPC9EaXNwbGF5VGV4
dD48cmVjb3JkPjxyZWMtbnVtYmVyPjUyODI8L3JlYy1udW1iZXI+PGZvcmVpZ24ta2V5cz48a2V5
IGFwcD0iRU4iIGRiLWlkPSJmcHQ5cHR0cm01emZzYWVzcDlmcHNkZHYwOWV3c3Y1eGV3ZmQiIHRp
bWVzdGFtcD0iMTUyNTA0NjM3NCI+NTI4Mjwva2V5PjxrZXkgYXBwPSJFTldlYiIgZGItaWQ9IiI+
MDwva2V5PjwvZm9yZWlnbi1rZXlzPjxyZWYtdHlwZSBuYW1lPSJKb3VybmFsIEFydGljbGUiPjE3
PC9yZWYtdHlwZT48Y29udHJpYnV0b3JzPjxhdXRob3JzPjxhdXRob3I+Qm9sZCwgSy4gVy48L2F1
dGhvcj48YXV0aG9yPktvbmcsIEcuPC9hdXRob3I+PGF1dGhvcj5DYXZhbGxvLCBELiBBLjwvYXV0
aG9yPjxhdXRob3I+Q2FtZW5nYSwgRC4gUi48L2F1dGhvcj48YXV0aG9yPktyaXNobmFuLVNhcmlu
LCBTLjwvYXV0aG9yPjwvYXV0aG9ycz48L2NvbnRyaWJ1dG9ycz48YXV0aC1hZGRyZXNzPkRlcGFy
dG1lbnQgb2YgUHN5Y2hpYXRyeSwgQ01IQywgWWFsZSBTY2hvb2wgb2YgTWVkaWNpbmUsIE5ldyBI
YXZlbiwgQ1QuJiN4RDtEZXBhcnRtZW50IG9mIEVtZXJnZW5jeSBNZWRpY2luZSwgWWFsZSBTY2hv
b2wgb2YgTWVkaWNpbmUsIE5ldyBIYXZlbiwgQ1QuPC9hdXRoLWFkZHJlc3M+PHRpdGxlcz48dGl0
bGU+RS1DaWdhcmV0dGUgU3VzY2VwdGliaWxpdHkgYXMgYSBQcmVkaWN0b3Igb2YgWW91dGggSW5p
dGlhdGlvbiBvZiBFLUNpZ2FyZXR0ZXM8L3RpdGxlPjxzZWNvbmRhcnktdGl0bGU+Tmljb3RpbmUg
VG9iIFJlczwvc2Vjb25kYXJ5LXRpdGxlPjxhbHQtdGl0bGU+Tmljb3RpbmUgJmFtcDsgdG9iYWNj
byByZXNlYXJjaCA6IG9mZmljaWFsIGpvdXJuYWwgb2YgdGhlIFNvY2lldHkgZm9yIFJlc2VhcmNo
IG9uIE5pY290aW5lIGFuZCBUb2JhY2NvPC9hbHQtdGl0bGU+PC90aXRsZXM+PHBlcmlvZGljYWw+
PGZ1bGwtdGl0bGU+Tmljb3RpbmUgVG9iIFJlczwvZnVsbC10aXRsZT48YWJici0xPk5pY290aW5l
ICZhbXA7IHRvYmFjY28gcmVzZWFyY2ggOiBvZmZpY2lhbCBqb3VybmFsIG9mIHRoZSBTb2NpZXR5
IGZvciBSZXNlYXJjaCBvbiBOaWNvdGluZSBhbmQgVG9iYWNjbzwvYWJici0xPjwvcGVyaW9kaWNh
bD48YWx0LXBlcmlvZGljYWw+PGZ1bGwtdGl0bGU+Tmljb3RpbmUgVG9iIFJlczwvZnVsbC10aXRs
ZT48YWJici0xPk5pY290aW5lICZhbXA7IHRvYmFjY28gcmVzZWFyY2ggOiBvZmZpY2lhbCBqb3Vy
bmFsIG9mIHRoZSBTb2NpZXR5IGZvciBSZXNlYXJjaCBvbiBOaWNvdGluZSBhbmQgVG9iYWNjbzwv
YWJici0xPjwvYWx0LXBlcmlvZGljYWw+PHBhZ2VzPjE0MC0xNDQ8L3BhZ2VzPjx2b2x1bWU+MjA8
L3ZvbHVtZT48bnVtYmVyPjE8L251bWJlcj48ZWRpdGlvbj4yMDE2LzEyLzMxPC9lZGl0aW9uPjxk
YXRlcz48eWVhcj4yMDE3PC95ZWFyPjxwdWItZGF0ZXM+PGRhdGU+RGVjIDEzPC9kYXRlPjwvcHVi
LWRhdGVzPjwvZGF0ZXM+PGlzYm4+MTQ2Mi0yMjAzPC9pc2JuPjxhY2Nlc3Npb24tbnVtPjI4MDM1
MDAwPC9hY2Nlc3Npb24tbnVtPjx1cmxzPjxyZWxhdGVkLXVybHM+PHVybD5odHRwczovL3dhdGVy
bWFyay5zaWx2ZXJjaGFpci5jb20vbnR3MzkzLnBkZj90b2tlbj1BUUVDQUhpMjA4QkU0OU9vYW45
a2toV19FcmN5N0RtM1pMXzlDZjNxZktBYzQ4NXlzZ0FBQWJNd2dnR3ZCZ2txaGtpRzl3MEJCd2Fn
Z2dHZ01JSUJuQUlCQURDQ0FaVUdDU3FHU0liM0RRRUhBVEFlQmdsZ2hrZ0JaUU1FQVM0d0VRUU1I
MGU5NXZMTUhTcElST1k3QWdFUWdJSUJacmMxZHVoVVJHRWdlMGZ2TkpmUWxpODFJM1RneFFwME9a
TE4xWW9Ob1F5T0VkSk5EY2NrbGlzNlF2Mko4ejFDNHdnNUlZem5oTlo5ZkRSam9CVUctdU96UFZU
R1JQd1NxLTBrTWVwN05nVHB1LTkwRTRuZUZ6WDh4VmRfUVl6RnVZaEFJZXZQMVBuZ3hIMUI2ZzM5
eVNFaVZhVDRTUFExR3lOVTRTb0lwZXdISXg3TURiYm9BenhNM0tzVHlvTjNFc1N4ZlZ0YXhyUEo0
VlN3TllQSWpaNDJmRnFjaGxqdGZpVmlVeGtjakp2TTJPOTR4OUdCVGpnY1dUSGdIenh0U0h2ZzZJ
VTlKblNfRWJ6aldXenlzTU9EU2NSV3VqckVXanNQRXZMRTdaemRGa1R1WW9QM0lDZEZWbjVfaUUw
SDJxY190Z0dpbWhnLXVUWWRQRXlTaDZDa1BNd2FwUnlSLVVhZTVQRm1sMFJmYy1ySFM4VG9WTFlE
Wkg1Wl85WWdmWkhSc0ZTMDJOdWJZeU56Zzljb3c5MlhEMFA0amVwQjFCWVBibmpfV0pxNUZtVkRr
Wjk0d056TUhuMER3eTJWZkF2c0xfaUZ4aENDd2tJU2lKWVN5SXBQckZCMXF5TTwvdXJsPjwvcmVs
YXRlZC11cmxzPjwvdXJscz48ZWxlY3Ryb25pYy1yZXNvdXJjZS1udW0+MTAuMTA5My9udHIvbnR3
MzkzPC9lbGVjdHJvbmljLXJlc291cmNlLW51bT48cmVtb3RlLWRhdGFiYXNlLXByb3ZpZGVyPk5M
TTwvcmVtb3RlLWRhdGFiYXNlLXByb3ZpZGVyPjxsYW5ndWFnZT5lbmc8L2xhbmd1YWdlPjwvcmVj
b3JkPjwvQ2l0ZT48Q2l0ZT48QXV0aG9yPkJvbGQ8L0F1dGhvcj48WWVhcj4yMDE3PC9ZZWFyPjxS
ZWNOdW0+NDgyODwvUmVjTnVtPjxyZWNvcmQ+PHJlYy1udW1iZXI+NDgyODwvcmVjLW51bWJlcj48
Zm9yZWlnbi1rZXlzPjxrZXkgYXBwPSJFTiIgZGItaWQ9ImZwdDlwdHRybTV6ZnNhZXNwOWZwc2Rk
djA5ZXdzdjV4ZXdmZCIgdGltZXN0YW1wPSIxNTI1MDQ1NTYyIj40ODI4PC9rZXk+PGtleSBhcHA9
IkVOV2ViIiBkYi1pZD0iIj4wPC9rZXk+PC9mb3JlaWduLWtleXM+PHJlZi10eXBlIG5hbWU9Ikpv
dXJuYWwgQXJ0aWNsZSI+MTc8L3JlZi10eXBlPjxjb250cmlidXRvcnM+PGF1dGhvcnM+PGF1dGhv
cj5Cb2xkLCBLLiBXLjwvYXV0aG9yPjxhdXRob3I+TW9yZWFuLCBNLiBFLjwvYXV0aG9yPjxhdXRo
b3I+S29uZywgRy48L2F1dGhvcj48YXV0aG9yPlNpbW9uLCBQLjwvYXV0aG9yPjxhdXRob3I+Q2Ft
ZW5nYSwgRC4gUi48L2F1dGhvcj48YXV0aG9yPkNhdmFsbG8sIEQuIEEuPC9hdXRob3I+PGF1dGhv
cj5LcmlzaG5hbi1TYXJpbiwgUy48L2F1dGhvcj48L2F1dGhvcnM+PC9jb250cmlidXRvcnM+PGF1
dGgtYWRkcmVzcz5EZXBhcnRtZW50IG9mIFBzeWNoaWF0cnksIFlhbGUgVW5pdmVyc2l0eSBTY2hv
b2wgb2YgTWVkaWNpbmUsIE5ldyBIYXZlbiwgQ1QsIFVuaXRlZCBTdGF0ZXMuIEVsZWN0cm9uaWMg
YWRkcmVzczogS3J5c3Rlbi5ib2xkQHlhbGUuZWR1LiYjeEQ7RGVwYXJ0bWVudCBvZiBQc3ljaG9s
b2d5LCBPYmVybGluIENvbGxlZ2UsIE9iZXJsaW4sIE9ILCBVbml0ZWQgU3RhdGVzLiYjeEQ7RGVw
YXJ0bWVudCBvZiBQc3ljaGlhdHJ5LCBZYWxlIFVuaXZlcnNpdHkgU2Nob29sIG9mIE1lZGljaW5l
LCBOZXcgSGF2ZW4sIENULCBVbml0ZWQgU3RhdGVzLiYjeEQ7RGVwYXJ0bWVudCBvZiBFbWVyZ2Vu
Y3kgTWVkaWNpbmUsIFlhbGUgVW5pdmVyc2l0eSBTY2hvb2wgb2YgTWVkaWNpbmUsIE5ldyBIYXZl
biwgQ1QsIFVuaXRlZCBTdGF0ZXMuPC9hdXRoLWFkZHJlc3M+PHRpdGxlcz48dGl0bGU+RWFybHkg
YWdlIG9mIGUtY2lnYXJldHRlIHVzZSBvbnNldCBtZWRpYXRlcyB0aGUgYXNzb2NpYXRpb24gYmV0
d2VlbiBpbXB1bHNpdml0eSBhbmQgZS1jaWdhcmV0dGUgdXNlIGZyZXF1ZW5jeSBpbiB5b3V0aDwv
dGl0bGU+PHNlY29uZGFyeS10aXRsZT5EcnVnIEFsY29ob2wgRGVwZW5kPC9zZWNvbmRhcnktdGl0
bGU+PGFsdC10aXRsZT5EcnVnIGFuZCBhbGNvaG9sIGRlcGVuZGVuY2U8L2FsdC10aXRsZT48L3Rp
dGxlcz48YWx0LXBlcmlvZGljYWw+PGZ1bGwtdGl0bGU+RHJ1ZyBhbmQgQWxjb2hvbCBEZXBlbmRl
bmNlPC9mdWxsLXRpdGxlPjwvYWx0LXBlcmlvZGljYWw+PHBhZ2VzPjE0Ni0xNTE8L3BhZ2VzPjx2
b2x1bWU+MTgxPC92b2x1bWU+PGVkaXRpb24+MjAxNy8xMC8yMjwvZWRpdGlvbj48a2V5d29yZHM+
PGtleXdvcmQ+RS1jaWdhcmV0dGU8L2tleXdvcmQ+PGtleXdvcmQ+SW1wdWxzaXZpdHk8L2tleXdv
cmQ+PGtleXdvcmQ+SW5pdGlhdGlvbjwva2V5d29yZD48a2V5d29yZD5Ub2JhY2NvPC9rZXl3b3Jk
PjxrZXl3b3JkPllvdXRoPC9rZXl3b3JkPjwva2V5d29yZHM+PGRhdGVzPjx5ZWFyPjIwMTc8L3ll
YXI+PHB1Yi1kYXRlcz48ZGF0ZT5EZWMgMTwvZGF0ZT48L3B1Yi1kYXRlcz48L2RhdGVzPjxpc2Ju
PjAzNzYtODcxNjwvaXNibj48YWNjZXNzaW9uLW51bT4yOTA1NTI2ODwvYWNjZXNzaW9uLW51bT48
dXJscz48cmVsYXRlZC11cmxzPjx1cmw+aHR0cDovL3d3dy5kcnVnYW5kYWxjb2hvbGRlcGVuZGVu
Y2UuY29tL2FydGljbGUvUzAzNzYtODcxNigxNykzMDUxNy0zL3BkZjwvdXJsPjwvcmVsYXRlZC11
cmxzPjwvdXJscz48Y3VzdG9tMj5QTUM1NjgzOTM1PC9jdXN0b20yPjxjdXN0b202Pk5JSE1TOTE0
MjI0PC9jdXN0b202PjxlbGVjdHJvbmljLXJlc291cmNlLW51bT4xMC4xMDE2L2ouZHJ1Z2FsY2Rl
cC4yMDE3LjA5LjAyNTwvZWxlY3Ryb25pYy1yZXNvdXJjZS1udW0+PHJlbW90ZS1kYXRhYmFzZS1w
cm92aWRlcj5OTE08L3JlbW90ZS1kYXRhYmFzZS1wcm92aWRlcj48bGFuZ3VhZ2U+ZW5nPC9sYW5n
dWFnZT48L3JlY29yZD48L0NpdGU+PENpdGU+PEF1dGhvcj5DYW1lbmdhPC9BdXRob3I+PFllYXI+
MjAxNzwvWWVhcj48UmVjTnVtPjY1Mzk8L1JlY051bT48cmVjb3JkPjxyZWMtbnVtYmVyPjY1Mzk8
L3JlYy1udW1iZXI+PGZvcmVpZ24ta2V5cz48a2V5IGFwcD0iRU4iIGRiLWlkPSJmcHQ5cHR0cm01
emZzYWVzcDlmcHNkZHYwOWV3c3Y1eGV3ZmQiIHRpbWVzdGFtcD0iMTUyNTA0ODQ5OCI+NjUzOTwv
a2V5PjxrZXkgYXBwPSJFTldlYiIgZGItaWQ9IiI+MDwva2V5PjwvZm9yZWlnbi1rZXlzPjxyZWYt
dHlwZSBuYW1lPSJKb3VybmFsIEFydGljbGUiPjE3PC9yZWYtdHlwZT48Y29udHJpYnV0b3JzPjxh
dXRob3JzPjxhdXRob3I+Q2FtZW5nYSwgRC4gUi48L2F1dGhvcj48YXV0aG9yPktvbmcsIEcuPC9h
dXRob3I+PGF1dGhvcj5DYXZhbGxvLCBELiBBLjwvYXV0aG9yPjxhdXRob3I+S3Jpc2huYW4tU2Fy
aW4sIFMuPC9hdXRob3I+PC9hdXRob3JzPjwvY29udHJpYnV0b3JzPjxhdXRoLWFkZHJlc3M+RGVw
YXJ0bWVudCBvZiBFbWVyZ2VuY3kgTWVkaWNpbmUsIFlhbGUgU2Nob29sIG9mIE1lZGljaW5lLCBO
ZXcgSGF2ZW4sIENULiYjeEQ7RGVwYXJ0bWVudCBvZiBQc3ljaGlhdHJ5LCBZYWxlIFNjaG9vbCBv
ZiBNZWRpY2luZSwgTmV3IEhhdmVuLCBDVC48L2F1dGgtYWRkcmVzcz48dGl0bGVzPjx0aXRsZT5D
dXJyZW50IGFuZCBGb3JtZXIgU21va2VycyZhcG9zOyBVc2Ugb2YgRWxlY3Ryb25pYyBDaWdhcmV0
dGVzIGZvciBRdWl0dGluZyBTbW9raW5nOiBBbiBFeHBsb3JhdG9yeSBTdHVkeSBvZiBBZG9sZXNj
ZW50cyBhbmQgWW91bmcgQWR1bHRzPC90aXRsZT48c2Vjb25kYXJ5LXRpdGxlPk5pY290aW5lIFRv
YiBSZXM8L3NlY29uZGFyeS10aXRsZT48YWx0LXRpdGxlPk5pY290aW5lICZhbXA7IHRvYmFjY28g
cmVzZWFyY2ggOiBvZmZpY2lhbCBqb3VybmFsIG9mIHRoZSBTb2NpZXR5IGZvciBSZXNlYXJjaCBv
biBOaWNvdGluZSBhbmQgVG9iYWNjbzwvYWx0LXRpdGxlPjwvdGl0bGVzPjxwZXJpb2RpY2FsPjxm
dWxsLXRpdGxlPk5pY290aW5lIFRvYiBSZXM8L2Z1bGwtdGl0bGU+PGFiYnItMT5OaWNvdGluZSAm
YW1wOyB0b2JhY2NvIHJlc2VhcmNoIDogb2ZmaWNpYWwgam91cm5hbCBvZiB0aGUgU29jaWV0eSBm
b3IgUmVzZWFyY2ggb24gTmljb3RpbmUgYW5kIFRvYmFjY288L2FiYnItMT48L3BlcmlvZGljYWw+
PGFsdC1wZXJpb2RpY2FsPjxmdWxsLXRpdGxlPk5pY290aW5lIFRvYiBSZXM8L2Z1bGwtdGl0bGU+
PGFiYnItMT5OaWNvdGluZSAmYW1wOyB0b2JhY2NvIHJlc2VhcmNoIDogb2ZmaWNpYWwgam91cm5h
bCBvZiB0aGUgU29jaWV0eSBmb3IgUmVzZWFyY2ggb24gTmljb3RpbmUgYW5kIFRvYmFjY288L2Fi
YnItMT48L2FsdC1wZXJpb2RpY2FsPjxwYWdlcz4xNTMxLTE1MzU8L3BhZ2VzPjx2b2x1bWU+MTk8
L3ZvbHVtZT48bnVtYmVyPjEyPC9udW1iZXI+PGVkaXRpb24+MjAxNi8wOS8yNTwvZWRpdGlvbj48
ZGF0ZXM+PHllYXI+MjAxNzwveWVhcj48cHViLWRhdGVzPjxkYXRlPk5vdiA3PC9kYXRlPjwvcHVi
LWRhdGVzPjwvZGF0ZXM+PGlzYm4+MTQ2Mi0yMjAzPC9pc2JuPjxhY2Nlc3Npb24tbnVtPjI3NjYz
NzgxPC9hY2Nlc3Npb24tbnVtPjx1cmxzPjxyZWxhdGVkLXVybHM+PHVybD5odHRwczovL3dhdGVy
bWFyay5zaWx2ZXJjaGFpci5jb20vbnR3MjQ4LnBkZj90b2tlbj1BUUVDQUhpMjA4QkU0OU9vYW45
a2toV19FcmN5N0RtM1pMXzlDZjNxZktBYzQ4NXlzZ0FBQWJZd2dnR3lCZ2txaGtpRzl3MEJCd2Fn
Z2dHak1JSUJud0lCQURDQ0FaZ0dDU3FHU0liM0RRRUhBVEFlQmdsZ2hrZ0JaUU1FQVM0d0VRUU1P
N2ljN2MwTDdzWUZmY0h3QWdFUWdJSUJhUnJua0l3ckZaY1dsSXRyYjMzd1VOMGpjX25CSXFqbG1i
aXZUWDF5c1ZRdFVjc1BMVUFVOHhrRERpeWZMc20tVzVQb1J1ZFNlYUdLYmFoY3Z4VEdTc0pMTnFS
RjRZRnJ6eDN1VUl4TzV0bzVLWkJrUXZlZHg4ZkJ0QU5SZGZ4T1E4dFNoMm1hdDNBaVhlMGRvLXVh
UHJRdzRnR1ZfbnduZW0wWF9rbUdoMm1LSFpBeUxkRjJOX0VDWlVRaDJ4Nm5PTWdJUnphY2ZWckhH
bDNEcFhtZ1FUemxsMDdOb0tmTzBydVk5V3ZVTXkxdV9Hb01vYmdtUFhiazZUZG1GZm1MSzRmaHRp
anRKNm4yVFVIQXQyRDdGY3UxVTFIS1FjTXg4SDJiSlJPTFNkcjRxdjloN0czdzZscDBLVmZfdEdQ
U0N5di1KU1AtZDZPQzd4akdndEpfSGZTck0wdF9aR3dMQy1FVW1vak5xWmR5WXlOUjF2eFdvb19y
S0FoZWVpWUxNeGNLWThlTkVYNU96OVBVSTM4NFlyV1hmZGlNMF8wbDlUcjBuS2MzdlUzUXRWT3hq
ZWpTR3JwbHZidHRXOGtrYjRCRG4wU2Q3VHZDNTI0VDIwWGF5aTlJd2NwTm12WjA2WUk8L3VybD48
dXJsPmh0dHBzOi8vd2F0ZXJtYXJrLnNpbHZlcmNoYWlyLmNvbS9udHcyNDgucGRmP3Rva2VuPUFR
RUNBSGkyMDhCRTQ5T29hbjlra2hXX0VyY3k3RG0zWkxfOUNmM3FmS0FjNDg1eXNnQUFBY0l3Z2dH
LUJna3Foa2lHOXcwQkJ3YWdnZ0d2TUlJQnF3SUJBRENDQWFRR0NTcUdTSWIzRFFFSEFUQWVCZ2xn
aGtnQlpRTUVBUzR3RVFRTVFtdDA3djN5dXVRYVFoTWFBZ0VRZ0lJQmRUTG5UTUhjcjdFTV95Ynl1
c2ZmcThMZTZqTjNaQUtMa0ZJYXlucm01YWxfN1lfMUN6N2tFWTNmbkF6ZkJNZzlNMERVTjVzampX
ejIwNGxaRTBiVC1XNzZPdjh6R2R2VFAzWWR1cmhqSllBdGk5WWNNLWZPSUtZYWhTRzRQRy1SSWNJ
QS13Tk1FZ18yU0lTX1JWdVJqV2ZrODZfeVNna1BOamFDMEo4T1dVODA2N1Y0a0poVlY2UFYyTElR
N1lXcjh3bVNVQWpXcXQ3TjVIUmFpdVBUWndBTjlidzdKVXZueGkwa0I3QjQxSTJweVVGX0o4bDlU
NmRKdWtqcE96ZUM5TWstd0ZDU24wYkdheGJNTkVUZlZzNy0wX2JmbV9EbXRXU0tMdjRpbnEwenla
NXdHTy1hRHNSRUFYVEhicThMM25LZDloT3A5dWFENUcxSW5KbWZoRDcwaklBd0xPdXhzbl9pbFk1
cFp1aHlGZ1Nla21hNWxWdXV4Y0J4QllHRUktVWpna3ljWXJ1aFgyU212amxLSFZ4b29remZpYTN3
YWFNQVFBWkZJN1hMMmd1NFRlTFpIZzdDN0E2d1FZbHFQaVBTSmQ0Z0h2a3ByTUp2Qlk4VDdtaUdH
NEI2RmxpVWx2bnl1WGx5TU9SOEhLMWRPdFk8L3VybD48L3JlbGF0ZWQtdXJscz48L3VybHM+PGVs
ZWN0cm9uaWMtcmVzb3VyY2UtbnVtPjEwLjEwOTMvbnRyL250dzI0ODwvZWxlY3Ryb25pYy1yZXNv
dXJjZS1udW0+PHJlbW90ZS1kYXRhYmFzZS1wcm92aWRlcj5OTE08L3JlbW90ZS1kYXRhYmFzZS1w
cm92aWRlcj48bGFuZ3VhZ2U+ZW5nPC9sYW5ndWFnZT48L3JlY29yZD48L0NpdGU+PENpdGU+PEF1
dGhvcj5GaXRlPC9BdXRob3I+PFllYXI+MjAxODwvWWVhcj48UmVjTnVtPjYzNDI8L1JlY051bT48
cmVjb3JkPjxyZWMtbnVtYmVyPjYzNDI8L3JlYy1udW1iZXI+PGZvcmVpZ24ta2V5cz48a2V5IGFw
cD0iRU4iIGRiLWlkPSJmcHQ5cHR0cm01emZzYWVzcDlmcHNkZHYwOWV3c3Y1eGV3ZmQiIHRpbWVz
dGFtcD0iMTUyNTA0NzE5OSI+NjM0Mjwva2V5PjxrZXkgYXBwPSJFTldlYiIgZGItaWQ9IiI+MDwv
a2V5PjwvZm9yZWlnbi1rZXlzPjxyZWYtdHlwZSBuYW1lPSJKb3VybmFsIEFydGljbGUiPjE3PC9y
ZWYtdHlwZT48Y29udHJpYnV0b3JzPjxhdXRob3JzPjxhdXRob3I+Rml0ZSwgUC4gSi48L2F1dGhv
cj48YXV0aG9yPkN1c2hpbmcsIEMuIEMuPC9hdXRob3I+PGF1dGhvcj5Qb3F1aXosIEouPC9hdXRo
b3I+PGF1dGhvcj5GcmF6ZXIsIEEuIEwuPC9hdXRob3I+PC9hdXRob3JzPjwvY29udHJpYnV0b3Jz
Pjx0aXRsZXM+PHRpdGxlPkZhbWlseSBpbmZsdWVuY2VzIG9uIHRoZSB1c2Ugb2YgZS1jaWdhcmV0
dGVzPC90aXRsZT48c2Vjb25kYXJ5LXRpdGxlPkpvdXJuYWwgb2YgU3Vic3RhbmNlIFVzZTwvc2Vj
b25kYXJ5LXRpdGxlPjwvdGl0bGVzPjxwZXJpb2RpY2FsPjxmdWxsLXRpdGxlPkpvdXJuYWwgb2Yg
U3Vic3RhbmNlIFVzZTwvZnVsbC10aXRsZT48L3BlcmlvZGljYWw+PHBhZ2VzPjEtNjwvcGFnZXM+
PGRhdGVzPjx5ZWFyPjIwMTg8L3llYXI+PC9kYXRlcz48dXJscz48cmVsYXRlZC11cmxzPjx1cmw+
aHR0cHM6Ly93d3cuc2NvcHVzLmNvbS9pbndhcmQvcmVjb3JkLnVyaT9laWQ9Mi1zMi4wLTg1MDQx
NTQwMTgwJmFtcDtkb2k9MTAuMTA4MCUyZjE0NjU5ODkxLjIwMTguMTQzNjYwMSZhbXA7cGFydG5l
cklEPTQwJmFtcDttZDU9ZWRhZGIyNmJhM2EyMTdlMGIwMTlhZWRiMmFkNzQ0ZmU8L3VybD48dXJs
Pmh0dHBzOi8vd3d3LnRhbmRmb25saW5lLmNvbS9kb2kvcGRmLzEwLjEwODAvMTQ2NTk4OTEuMjAx
OC4xNDM2NjAxP25lZWRBY2Nlc3M9dHJ1ZTwvdXJsPjwvcmVsYXRlZC11cmxzPjwvdXJscz48ZWxl
Y3Ryb25pYy1yZXNvdXJjZS1udW0+MTAuMTA4MC8xNDY1OTg5MS4yMDE4LjE0MzY2MDE8L2VsZWN0
cm9uaWMtcmVzb3VyY2UtbnVtPjxyZW1vdGUtZGF0YWJhc2UtbmFtZT5TY29wdXM8L3JlbW90ZS1k
YXRhYmFzZS1uYW1lPjwvcmVjb3JkPjwvQ2l0ZT48Q2l0ZT48QXV0aG9yPkpvaG5zb248L0F1dGhv
cj48WWVhcj4yMDE3PC9ZZWFyPjxSZWNOdW0+NjMzNzwvUmVjTnVtPjxyZWNvcmQ+PHJlYy1udW1i
ZXI+NjMzNzwvcmVjLW51bWJlcj48Zm9yZWlnbi1rZXlzPjxrZXkgYXBwPSJFTiIgZGItaWQ9ImZw
dDlwdHRybTV6ZnNhZXNwOWZwc2RkdjA5ZXdzdjV4ZXdmZCIgdGltZXN0YW1wPSIxNTI1MDQ3MTg2
Ij42MzM3PC9rZXk+PGtleSBhcHA9IkVOV2ViIiBkYi1pZD0iIj4wPC9rZXk+PC9mb3JlaWduLWtl
eXM+PHJlZi10eXBlIG5hbWU9IkpvdXJuYWwgQXJ0aWNsZSI+MTc8L3JlZi10eXBlPjxjb250cmli
dXRvcnM+PGF1dGhvcnM+PGF1dGhvcj5Kb2huc29uLCBBLiBDLjwvYXV0aG9yPjxhdXRob3I+TWF5
cywgRC48L2F1dGhvcj48YXV0aG9yPkhhd2tpbnMsIEsuIEIuPC9hdXRob3I+PGF1dGhvcj5EZW56
ZWwsIE0uPC9hdXRob3I+PGF1dGhvcj5UZXJjeWFrLCBLLiBQLjwvYXV0aG9yPjwvYXV0aG9ycz48
L2NvbnRyaWJ1dG9ycz48dGl0bGVzPjx0aXRsZT5BIHF1YWxpdGF0aXZlIHN0dWR5IG9mIGFkb2xl
c2NlbnQgcGVyY2VwdGlvbnMgb2YgZWxlY3Ryb25pYyBjaWdhcmV0dGVzIGFuZCB0aGVpciBtYXJr
ZXRpbmc6IEltcGxpY2F0aW9ucyBmb3IgcHJldmVudGlvbiBhbmQgcG9saWN5PC90aXRsZT48c2Vj
b25kYXJ5LXRpdGxlPkNoaWxkcmVuJmFwb3M7cyBIZWFsdGggQ2FyZTwvc2Vjb25kYXJ5LXRpdGxl
PjwvdGl0bGVzPjxwZXJpb2RpY2FsPjxmdWxsLXRpdGxlPkNoaWxkcmVuJmFwb3M7cyBIZWFsdGgg
Q2FyZTwvZnVsbC10aXRsZT48L3BlcmlvZGljYWw+PHBhZ2VzPjM3OS0zOTI8L3BhZ2VzPjx2b2x1
bWU+NDY8L3ZvbHVtZT48bnVtYmVyPjQ8L251bWJlcj48a2V5d29yZHM+PGtleXdvcmQ+YWRvbGVz
Y2VudDwva2V5d29yZD48a2V5d29yZD5hZHZlcnRpc2luZzwva2V5d29yZD48a2V5d29yZD5BcnRp
Y2xlPC9rZXl3b3JkPjxrZXl3b3JkPmNvdW5zZWxpbmc8L2tleXdvcmQ+PGtleXdvcmQ+ZmVtYWxl
PC9rZXl3b3JkPjxrZXl3b3JkPmhlYWx0aCBjYXJlIHBvbGljeTwva2V5d29yZD48a2V5d29yZD5o
dW1hbjwva2V5d29yZD48a2V5d29yZD5odW1hbiByZWxhdGlvbjwva2V5d29yZD48a2V5d29yZD5t
YWxlPC9rZXl3b3JkPjxrZXl3b3JkPm1hcmtldGluZzwva2V5d29yZD48a2V5d29yZD5tZWRpY2Fs
IGluZm9ybWF0aW9uPC9rZXl3b3JkPjxrZXl3b3JkPnBlcmNlcHRpb248L2tleXdvcmQ+PGtleXdv
cmQ+cXVhbGl0YXRpdmUgcmVzZWFyY2g8L2tleXdvcmQ+PGtleXdvcmQ+c21va2luZzwva2V5d29y
ZD48a2V5d29yZD5zbW9raW5nIGNlc3NhdGlvbjwva2V5d29yZD48L2tleXdvcmRzPjxkYXRlcz48
eWVhcj4yMDE3PC95ZWFyPjwvZGF0ZXM+PHVybHM+PHJlbGF0ZWQtdXJscz48dXJsPmh0dHBzOi8v
d3d3LnNjb3B1cy5jb20vaW53YXJkL3JlY29yZC51cmk/ZWlkPTItczIuMC04NTAwMzk0NTAxMiZh
bXA7ZG9pPTEwLjEwODAlMmYwMjczOTYxNS4yMDE2LjEyMjc5MzcmYW1wO3BhcnRuZXJJRD00MCZh
bXA7bWQ1PTY1NjVkM2ViMWEzZDJiYWZmNTNhNzc5NWRmNmMxMzA5PC91cmw+PHVybD5odHRwczov
L3d3dy50YW5kZm9ubGluZS5jb20vZG9pL3BkZi8xMC4xMDgwLzAyNzM5NjE1LjIwMTYuMTIyNzkz
Nz9uZWVkQWNjZXNzPXRydWU8L3VybD48L3JlbGF0ZWQtdXJscz48L3VybHM+PGVsZWN0cm9uaWMt
cmVzb3VyY2UtbnVtPjEwLjEwODAvMDI3Mzk2MTUuMjAxNi4xMjI3OTM3PC9lbGVjdHJvbmljLXJl
c291cmNlLW51bT48cmVtb3RlLWRhdGFiYXNlLW5hbWU+U2NvcHVzPC9yZW1vdGUtZGF0YWJhc2Ut
bmFtZT48L3JlY29yZD48L0NpdGU+PENpdGU+PEF1dGhvcj5UZW1wbGU8L0F1dGhvcj48WWVhcj4y
MDE3PC9ZZWFyPjxSZWNOdW0+NTEzOTwvUmVjTnVtPjxyZWNvcmQ+PHJlYy1udW1iZXI+NTEzOTwv
cmVjLW51bWJlcj48Zm9yZWlnbi1rZXlzPjxrZXkgYXBwPSJFTiIgZGItaWQ9ImZwdDlwdHRybTV6
ZnNhZXNwOWZwc2RkdjA5ZXdzdjV4ZXdmZCIgdGltZXN0YW1wPSIxNTI1MDQ2MDk3Ij41MTM5PC9r
ZXk+PGtleSBhcHA9IkVOV2ViIiBkYi1pZD0iIj4wPC9rZXk+PC9mb3JlaWduLWtleXM+PHJlZi10
eXBlIG5hbWU9IkpvdXJuYWwgQXJ0aWNsZSI+MTc8L3JlZi10eXBlPjxjb250cmlidXRvcnM+PGF1
dGhvcnM+PGF1dGhvcj5UZW1wbGUsIEouIFIuPC9hdXRob3I+PGF1dGhvcj5TaG9yZXksIFIuIEMu
PC9hdXRob3I+PGF1dGhvcj5MdSwgWS48L2F1dGhvcj48YXV0aG9yPlRvcnJlcywgRS48L2F1dGhv
cj48YXV0aG9yPlN0dWFydCwgRy4gTC48L2F1dGhvcj48YXV0aG9yPkxlLCBWLiBELjwvYXV0aG9y
PjwvYXV0aG9ycz48L2NvbnRyaWJ1dG9ycz48YXV0aC1hZGRyZXNzPkRlcGFydG1lbnQgb2YgT2Iv
R3luLCBVbml2ZXJzaXR5IG9mIFRleGFzIE1lZGljYWwgQnJhbmNoLCBHYWx2ZXN0b24sIFRleGFz
LiYjeEQ7RGVwYXJ0bWVudCBvZiBQc3ljaG9sb2d5LCBPaGlvIFVuaXZlcnNpdHksIEF0aGVucywg
T2hpby4mI3hEO0RlcGFydG1lbnQgb2YgUHN5Y2hvbG9neSwgVW5pdmVyc2l0eSBvZiBUZW5uZXNz
ZWUsIEtub3h2aWxsZSwgVGVubmVzc2VlLjwvYXV0aC1hZGRyZXNzPjx0aXRsZXM+PHRpdGxlPkUt
Y2lnYXJldHRlIHVzZSBvZiB5b3VuZyBhZHVsdHMgbW90aXZhdGlvbnMgYW5kIGFzc29jaWF0aW9u
cyB3aXRoIGNvbWJ1c3RpYmxlIGNpZ2FyZXR0ZSBhbGNvaG9sLCBtYXJpanVhbmEsIGFuZCBvdGhl
ciBpbGxpY2l0IGRydWdzPC90aXRsZT48c2Vjb25kYXJ5LXRpdGxlPkFtIEogQWRkaWN0PC9zZWNv
bmRhcnktdGl0bGU+PGFsdC10aXRsZT5UaGUgQW1lcmljYW4gam91cm5hbCBvbiBhZGRpY3Rpb25z
PC9hbHQtdGl0bGU+PC90aXRsZXM+PHBlcmlvZGljYWw+PGZ1bGwtdGl0bGU+QW0gSiBBZGRpY3Q8
L2Z1bGwtdGl0bGU+PGFiYnItMT5UaGUgQW1lcmljYW4gam91cm5hbCBvbiBhZGRpY3Rpb25zPC9h
YmJyLTE+PC9wZXJpb2RpY2FsPjxhbHQtcGVyaW9kaWNhbD48ZnVsbC10aXRsZT5BbSBKIEFkZGlj
dDwvZnVsbC10aXRsZT48YWJici0xPlRoZSBBbWVyaWNhbiBqb3VybmFsIG9uIGFkZGljdGlvbnM8
L2FiYnItMT48L2FsdC1wZXJpb2RpY2FsPjxwYWdlcz4zNDMtMzQ4PC9wYWdlcz48dm9sdW1lPjI2
PC92b2x1bWU+PG51bWJlcj40PC9udW1iZXI+PGVkaXRpb24+MjAxNy8wNC8wNDwvZWRpdGlvbj48
a2V5d29yZHM+PGtleXdvcmQ+QWRvbGVzY2VudDwva2V5d29yZD48a2V5d29yZD5FbGVjdHJvbmlj
IE5pY290aW5lIERlbGl2ZXJ5IFN5c3RlbXMvKnN0YXRpc3RpY3MgJmFtcDsgbnVtZXJpY2FsIGRh
dGE8L2tleXdvcmQ+PGtleXdvcmQ+RXRobmljIEdyb3Vwcy8qcHN5Y2hvbG9neTwva2V5d29yZD48
a2V5d29yZD5GZW1hbGU8L2tleXdvcmQ+PGtleXdvcmQ+SHVtYW5zPC9rZXl3b3JkPjxrZXl3b3Jk
PkxvbmdpdHVkaW5hbCBTdHVkaWVzPC9rZXl3b3JkPjxrZXl3b3JkPk1hbGU8L2tleXdvcmQ+PGtl
eXdvcmQ+Kk1vdGl2YXRpb248L2tleXdvcmQ+PGtleXdvcmQ+UHJldmFsZW5jZTwva2V5d29yZD48
a2V5d29yZD5SaXNrLVRha2luZzwva2V5d29yZD48a2V5d29yZD5TbW9raW5nLyplcGlkZW1pb2xv
Z3k8L2tleXdvcmQ+PGtleXdvcmQ+U3Vic3RhbmNlLVJlbGF0ZWQgRGlzb3JkZXJzLyplcGlkZW1p
b2xvZ3k8L2tleXdvcmQ+PGtleXdvcmQ+VGV4YXMvZXBpZGVtaW9sb2d5PC9rZXl3b3JkPjxrZXl3
b3JkPllvdW5nIEFkdWx0PC9rZXl3b3JkPjwva2V5d29yZHM+PGRhdGVzPjx5ZWFyPjIwMTc8L3ll
YXI+PHB1Yi1kYXRlcz48ZGF0ZT5KdW48L2RhdGU+PC9wdWItZGF0ZXM+PC9kYXRlcz48aXNibj4x
MDU1LTA0OTY8L2lzYm4+PGFjY2Vzc2lvbi1udW0+MjgzNzA3MTc8L2FjY2Vzc2lvbi1udW0+PHVy
bHM+PHJlbGF0ZWQtdXJscz48dXJsPmh0dHBzOi8vb25saW5lbGlicmFyeS53aWxleS5jb20vZG9p
L3BkZi8xMC4xMTExL2FqYWQuMTI1MzA8L3VybD48L3JlbGF0ZWQtdXJscz48L3VybHM+PGN1c3Rv
bTI+UE1DNTQyNjk2NjwvY3VzdG9tMj48Y3VzdG9tNj5OSUhNUzg1Mzk1NzwvY3VzdG9tNj48ZWxl
Y3Ryb25pYy1yZXNvdXJjZS1udW0+MTAuMTExMS9hamFkLjEyNTMwPC9lbGVjdHJvbmljLXJlc291
cmNlLW51bT48cmVtb3RlLWRhdGFiYXNlLXByb3ZpZGVyPk5MTTwvcmVtb3RlLWRhdGFiYXNlLXBy
b3ZpZGVyPjxsYW5ndWFnZT5lbmc8L2xhbmd1YWdlPjwvcmVjb3JkPjwvQ2l0ZT48Q2l0ZT48QXV0
aG9yPldlc3RsaW5nPC9BdXRob3I+PFllYXI+MjAxNzwvWWVhcj48UmVjTnVtPjc4ODwvUmVjTnVt
PjxyZWNvcmQ+PHJlYy1udW1iZXI+Nzg4PC9yZWMtbnVtYmVyPjxmb3JlaWduLWtleXM+PGtleSBh
cHA9IkVOIiBkYi1pZD0iNXh2NXc1dDJiZHh0eGZlengwMnh0eGRmdDVyejVwdHZ2dDI5IiB0aW1l
c3RhbXA9IjE1MjA1Njg0OTYiPjc4ODwva2V5PjxrZXkgYXBwPSJFTldlYiIgZGItaWQ9IiI+MDwv
a2V5PjwvZm9yZWlnbi1rZXlzPjxyZWYtdHlwZSBuYW1lPSJKb3VybmFsIEFydGljbGUiPjE3PC9y
ZWYtdHlwZT48Y29udHJpYnV0b3JzPjxhdXRob3JzPjxhdXRob3I+V2VzdGxpbmcsIEUuPC9hdXRo
b3I+PGF1dGhvcj5SdXNieSwgSi4gQy48L2F1dGhvcj48YXV0aG9yPkNyb3dsZXksIFIuPC9hdXRo
b3I+PGF1dGhvcj5MaWdodCwgSi4gTS48L2F1dGhvcj48L2F1dGhvcnM+PC9jb250cmlidXRvcnM+
PGF1dGgtYWRkcmVzcz5PcmVnb24gUmVzZWFyY2ggSW5zdGl0dXRlLCBFdWdlbmUsIE9yZWdvbi4g
RWxlY3Ryb25pYyBhZGRyZXNzOiBlcmlrYXdAb3JpLm9yZy4mI3hEO09yZWdvbiBSZXNlYXJjaCBJ
bnN0aXR1dGUsIEV1Z2VuZSwgT3JlZ29uLjwvYXV0aC1hZGRyZXNzPjx0aXRsZXM+PHRpdGxlPkVs
ZWN0cm9uaWMgQ2lnYXJldHRlIFVzZSBieSBZb3V0aDogUHJldmFsZW5jZSwgQ29ycmVsYXRlcywg
YW5kIFVzZSBUcmFqZWN0b3JpZXMgRnJvbSBNaWRkbGUgdG8gSGlnaCBTY2hvb2w8L3RpdGxlPjxz
ZWNvbmRhcnktdGl0bGU+SiBBZG9sZXNjIEhlYWx0aDwvc2Vjb25kYXJ5LXRpdGxlPjxhbHQtdGl0
bGU+VGhlIEpvdXJuYWwgb2YgYWRvbGVzY2VudCBoZWFsdGggOiBvZmZpY2lhbCBwdWJsaWNhdGlv
biBvZiB0aGUgU29jaWV0eSBmb3IgQWRvbGVzY2VudCBNZWRpY2luZTwvYWx0LXRpdGxlPjwvdGl0
bGVzPjxwZXJpb2RpY2FsPjxmdWxsLXRpdGxlPkogQWRvbGVzYyBIZWFsdGg8L2Z1bGwtdGl0bGU+
PGFiYnItMT5UaGUgSm91cm5hbCBvZiBhZG9sZXNjZW50IGhlYWx0aCA6IG9mZmljaWFsIHB1Ymxp
Y2F0aW9uIG9mIHRoZSBTb2NpZXR5IGZvciBBZG9sZXNjZW50IE1lZGljaW5lPC9hYmJyLTE+PC9w
ZXJpb2RpY2FsPjxhbHQtcGVyaW9kaWNhbD48ZnVsbC10aXRsZT5KIEFkb2xlc2MgSGVhbHRoPC9m
dWxsLXRpdGxlPjxhYmJyLTE+VGhlIEpvdXJuYWwgb2YgYWRvbGVzY2VudCBoZWFsdGggOiBvZmZp
Y2lhbCBwdWJsaWNhdGlvbiBvZiB0aGUgU29jaWV0eSBmb3IgQWRvbGVzY2VudCBNZWRpY2luZTwv
YWJici0xPjwvYWx0LXBlcmlvZGljYWw+PHBhZ2VzPjY2MC02NjY8L3BhZ2VzPjx2b2x1bWU+NjA8
L3ZvbHVtZT48bnVtYmVyPjY8L251bWJlcj48ZWRpdGlvbj4yMDE3LzAzLzAxPC9lZGl0aW9uPjxr
ZXl3b3Jkcz48a2V5d29yZD5BZG9sZXNjZW50czwva2V5d29yZD48a2V5d29yZD5FLWNpZ2FyZXR0
ZXM8L2tleXdvcmQ+PGtleXdvcmQ+U3Vic3RhbmNlIHVzZTwva2V5d29yZD48L2tleXdvcmRzPjxk
YXRlcz48eWVhcj4yMDE3PC95ZWFyPjxwdWItZGF0ZXM+PGRhdGU+SnVuPC9kYXRlPjwvcHViLWRh
dGVzPjwvZGF0ZXM+PGlzYm4+MTA1NC0xMzl4PC9pc2JuPjxhY2Nlc3Npb24tbnVtPjI4MjQyMTg3
PC9hY2Nlc3Npb24tbnVtPjx1cmxzPjxyZWxhdGVkLXVybHM+PHVybD5odHRwOi8vd3d3LmphaG9u
bGluZS5vcmcvYXJ0aWNsZS9TMTA1NC0xMzlYKDE2KTMwOTY1LVgvcGRmPC91cmw+PC9yZWxhdGVk
LXVybHM+PC91cmxzPjxjdXN0b20yPlBNQzU0NDE5NDY8L2N1c3RvbTI+PGN1c3RvbTY+TklITVM4
NDAyNTE8L2N1c3RvbTY+PGVsZWN0cm9uaWMtcmVzb3VyY2UtbnVtPjEwLjEwMTYvai5qYWRvaGVh
bHRoLjIwMTYuMTIuMDE5PC9lbGVjdHJvbmljLXJlc291cmNlLW51bT48cmVtb3RlLWRhdGFiYXNl
LXByb3ZpZGVyPk5MTTwvcmVtb3RlLWRhdGFiYXNlLXByb3ZpZGVyPjxsYW5ndWFnZT5lbmc8L2xh
bmd1YWdlPjwvcmVjb3JkPjwvQ2l0ZT48Q2l0ZT48QXV0aG9yPlBlcHBlcjwvQXV0aG9yPjxZZWFy
PjIwMTg8L1llYXI+PFJlY051bT4xMDMzNzwvUmVjTnVtPjxyZWNvcmQ+PHJlYy1udW1iZXI+MTAz
Mzc8L3JlYy1udW1iZXI+PGZvcmVpZ24ta2V5cz48a2V5IGFwcD0iRU4iIGRiLWlkPSI5ejA1ZHow
cHJhYWRmdWVlMHpveHplZGs5emZlNWZ4eDUwejUiIHRpbWVzdGFtcD0iMTUyNjg2OTg3OCI+MTAz
Mzc8L2tleT48a2V5IGFwcD0iRU5XZWIiIGRiLWlkPSIiPjA8L2tleT48L2ZvcmVpZ24ta2V5cz48
cmVmLXR5cGUgbmFtZT0iSm91cm5hbCBBcnRpY2xlIj4xNzwvcmVmLXR5cGU+PGNvbnRyaWJ1dG9y
cz48YXV0aG9ycz48YXV0aG9yPlBlcHBlciwgSmVzc2ljYSBLLjwvYXV0aG9yPjxhdXRob3I+RmFy
cmVsbHksIE1hdHRoZXcgQy48L2F1dGhvcj48YXV0aG9yPldhdHNvbiwgS2ltYmVybHkgQS48L2F1
dGhvcj48L2F1dGhvcnM+PC9jb250cmlidXRvcnM+PHRpdGxlcz48dGl0bGU+QWRvbGVzY2VudHMm
YXBvczsgdW5kZXJzdGFuZGluZyBhbmQgdXNlIG9mIG5pY290aW5lIGluIGUtY2lnYXJldHRlczwv
dGl0bGU+PHNlY29uZGFyeS10aXRsZT5BZGRpY3RpdmUgQmVoYXZpb3JzPC9zZWNvbmRhcnktdGl0
bGU+PC90aXRsZXM+PHBlcmlvZGljYWw+PGZ1bGwtdGl0bGU+QWRkaWN0aXZlIEJlaGF2aW9yczwv
ZnVsbC10aXRsZT48L3BlcmlvZGljYWw+PHBhZ2VzPjEwOS0xMTM8L3BhZ2VzPjx2b2x1bWU+ODI8
L3ZvbHVtZT48ZGF0ZXM+PHllYXI+MjAxODwveWVhcj48cHViLWRhdGVzPjxkYXRlPkp1bDwvZGF0
ZT48L3B1Yi1kYXRlcz48L2RhdGVzPjxpc2JuPjAzMDYtNDYwMzwvaXNibj48YWNjZXNzaW9uLW51
bT5XT1M6MDAwNDMwNTIyODAwMDE4PC9hY2Nlc3Npb24tbnVtPjx1cmxzPjxyZWxhdGVkLXVybHM+
PHVybD4mbHQ7R28gdG8gSVNJJmd0OzovL1dPUzowMDA0MzA1MjI4MDAwMTg8L3VybD48dXJsPmh0
dHBzOi8vd3d3LnNjaWVuY2VkaXJlY3QuY29tL3NjaWVuY2UvYXJ0aWNsZS9waWkvUzAzMDY0NjAz
MTgzMDA4MDc/dmlhJTNEaWh1YjwvdXJsPjwvcmVsYXRlZC11cmxzPjwvdXJscz48ZWxlY3Ryb25p
Yy1yZXNvdXJjZS1udW0+MTAuMTAxNi9qLmFkZGJlaC4yMDE4LjAyLjAxNTwvZWxlY3Ryb25pYy1y
ZXNvdXJjZS1udW0+PC9yZWNvcmQ+PC9DaXRlPjxDaXRlPjxBdXRob3I+Vm9nZWw8L0F1dGhvcj48
WWVhcj4yMDE4PC9ZZWFyPjxSZWNOdW0+MTAzNjE8L1JlY051bT48cmVjb3JkPjxyZWMtbnVtYmVy
PjEwMzYxPC9yZWMtbnVtYmVyPjxmb3JlaWduLWtleXM+PGtleSBhcHA9IkVOIiBkYi1pZD0iOXow
NWR6MHByYWFkZnVlZTB6b3h6ZWRrOXpmZTVmeHg1MHo1IiB0aW1lc3RhbXA9IjE1MjY4Njk4Nzgi
PjEwMzYxPC9rZXk+PGtleSBhcHA9IkVOV2ViIiBkYi1pZD0iIj4wPC9rZXk+PC9mb3JlaWduLWtl
eXM+PHJlZi10eXBlIG5hbWU9IkpvdXJuYWwgQXJ0aWNsZSI+MTc8L3JlZi10eXBlPjxjb250cmli
dXRvcnM+PGF1dGhvcnM+PGF1dGhvcj5Wb2dlbCwgRXJpbiBBLjwvYXV0aG9yPjxhdXRob3I+UmFt
bywgRGFuaWVsbGUgRS48L2F1dGhvcj48YXV0aG9yPlJ1Ymluc3RlaW4sIE1hcmsgTC48L2F1dGhv
cj48L2F1dGhvcnM+PC9jb250cmlidXRvcnM+PHRpdGxlcz48dGl0bGU+UHJldmFsZW5jZSBhbmQg
Y29ycmVsYXRlcyBvZiBhZG9sZXNjZW50cyZhcG9zOyBlLWNpZ2FyZXR0ZSB1c2UgZnJlcXVlbmN5
IGFuZCBkZXBlbmRlbmNlPC90aXRsZT48c2Vjb25kYXJ5LXRpdGxlPkRydWcgYW5kIGFsY29ob2wg
ZGVwZW5kZW5jZTwvc2Vjb25kYXJ5LXRpdGxlPjwvdGl0bGVzPjxwZXJpb2RpY2FsPjxmdWxsLXRp
dGxlPkRydWcgYW5kIEFsY29ob2wgRGVwZW5kZW5jZTwvZnVsbC10aXRsZT48L3BlcmlvZGljYWw+
PHBhZ2VzPjEwOS0xMTI8L3BhZ2VzPjx2b2x1bWU+MTg4PC92b2x1bWU+PGRhdGVzPjx5ZWFyPjIw
MTg8L3llYXI+PHB1Yi1kYXRlcz48ZGF0ZT4yMDE4LU1heS0wODwvZGF0ZT48L3B1Yi1kYXRlcz48
L2RhdGVzPjxhY2Nlc3Npb24tbnVtPk1FRExJTkU6Mjk3NjM4NDg8L2FjY2Vzc2lvbi1udW0+PHVy
bHM+PHJlbGF0ZWQtdXJscz48dXJsPiZsdDtHbyB0byBJU0kmZ3Q7Oi8vTUVETElORToyOTc2Mzg0
ODwvdXJsPjx1cmw+aHR0cHM6Ly93d3cuc2NpZW5jZWRpcmVjdC5jb20vc2NpZW5jZS9hcnRpY2xl
L3BpaS9TMDM3Njg3MTYxODMwMjYzMT92aWElM0RpaHViPC91cmw+PC9yZWxhdGVkLXVybHM+PC91
cmxzPjxlbGVjdHJvbmljLXJlc291cmNlLW51bT4xMC4xMDE2L2ouZHJ1Z2FsY2RlcC4yMDE4LjAz
LjA1MTwvZWxlY3Ryb25pYy1yZXNvdXJjZS1udW0+PC9yZWNvcmQ+PC9DaXRlPjwvRW5kTm90ZT4A
</w:fldData>
        </w:fldChar>
      </w:r>
      <w:r w:rsidR="00903735">
        <w:instrText xml:space="preserve"> ADDIN EN.CITE </w:instrText>
      </w:r>
      <w:r w:rsidR="00903735">
        <w:fldChar w:fldCharType="begin">
          <w:fldData xml:space="preserve">PEVuZE5vdGU+PENpdGU+PEF1dGhvcj5Cb2xkPC9BdXRob3I+PFllYXI+MjAxNzwvWWVhcj48UmVj
TnVtPjUyODI8L1JlY051bT48RGlzcGxheVRleHQ+KEJvbGQsIEtvbmcgZXQgYWwuIDIwMTcsIEJv
bGQsIE1vcmVhbiBldCBhbC4gMjAxNywgQ2FtZW5nYSwgS29uZyBldCBhbC4gMjAxNywgSm9obnNv
biwgTWF5cyBldCBhbC4gMjAxNywgVGVtcGxlLCBTaG9yZXkgZXQgYWwuIDIwMTcsIFdlc3RsaW5n
LCBSdXNieSBldCBhbC4gMjAxNywgRml0ZSwgQ3VzaGluZyBldCBhbC4gMjAxOCwgUGVwcGVyLCBG
YXJyZWxseSBldCBhbC4gMjAxOCwgVm9nZWwsIFJhbW8gZXQgYWwuIDIwMTgpPC9EaXNwbGF5VGV4
dD48cmVjb3JkPjxyZWMtbnVtYmVyPjUyODI8L3JlYy1udW1iZXI+PGZvcmVpZ24ta2V5cz48a2V5
IGFwcD0iRU4iIGRiLWlkPSJmcHQ5cHR0cm01emZzYWVzcDlmcHNkZHYwOWV3c3Y1eGV3ZmQiIHRp
bWVzdGFtcD0iMTUyNTA0NjM3NCI+NTI4Mjwva2V5PjxrZXkgYXBwPSJFTldlYiIgZGItaWQ9IiI+
MDwva2V5PjwvZm9yZWlnbi1rZXlzPjxyZWYtdHlwZSBuYW1lPSJKb3VybmFsIEFydGljbGUiPjE3
PC9yZWYtdHlwZT48Y29udHJpYnV0b3JzPjxhdXRob3JzPjxhdXRob3I+Qm9sZCwgSy4gVy48L2F1
dGhvcj48YXV0aG9yPktvbmcsIEcuPC9hdXRob3I+PGF1dGhvcj5DYXZhbGxvLCBELiBBLjwvYXV0
aG9yPjxhdXRob3I+Q2FtZW5nYSwgRC4gUi48L2F1dGhvcj48YXV0aG9yPktyaXNobmFuLVNhcmlu
LCBTLjwvYXV0aG9yPjwvYXV0aG9ycz48L2NvbnRyaWJ1dG9ycz48YXV0aC1hZGRyZXNzPkRlcGFy
dG1lbnQgb2YgUHN5Y2hpYXRyeSwgQ01IQywgWWFsZSBTY2hvb2wgb2YgTWVkaWNpbmUsIE5ldyBI
YXZlbiwgQ1QuJiN4RDtEZXBhcnRtZW50IG9mIEVtZXJnZW5jeSBNZWRpY2luZSwgWWFsZSBTY2hv
b2wgb2YgTWVkaWNpbmUsIE5ldyBIYXZlbiwgQ1QuPC9hdXRoLWFkZHJlc3M+PHRpdGxlcz48dGl0
bGU+RS1DaWdhcmV0dGUgU3VzY2VwdGliaWxpdHkgYXMgYSBQcmVkaWN0b3Igb2YgWW91dGggSW5p
dGlhdGlvbiBvZiBFLUNpZ2FyZXR0ZXM8L3RpdGxlPjxzZWNvbmRhcnktdGl0bGU+Tmljb3RpbmUg
VG9iIFJlczwvc2Vjb25kYXJ5LXRpdGxlPjxhbHQtdGl0bGU+Tmljb3RpbmUgJmFtcDsgdG9iYWNj
byByZXNlYXJjaCA6IG9mZmljaWFsIGpvdXJuYWwgb2YgdGhlIFNvY2lldHkgZm9yIFJlc2VhcmNo
IG9uIE5pY290aW5lIGFuZCBUb2JhY2NvPC9hbHQtdGl0bGU+PC90aXRsZXM+PHBlcmlvZGljYWw+
PGZ1bGwtdGl0bGU+Tmljb3RpbmUgVG9iIFJlczwvZnVsbC10aXRsZT48YWJici0xPk5pY290aW5l
ICZhbXA7IHRvYmFjY28gcmVzZWFyY2ggOiBvZmZpY2lhbCBqb3VybmFsIG9mIHRoZSBTb2NpZXR5
IGZvciBSZXNlYXJjaCBvbiBOaWNvdGluZSBhbmQgVG9iYWNjbzwvYWJici0xPjwvcGVyaW9kaWNh
bD48YWx0LXBlcmlvZGljYWw+PGZ1bGwtdGl0bGU+Tmljb3RpbmUgVG9iIFJlczwvZnVsbC10aXRs
ZT48YWJici0xPk5pY290aW5lICZhbXA7IHRvYmFjY28gcmVzZWFyY2ggOiBvZmZpY2lhbCBqb3Vy
bmFsIG9mIHRoZSBTb2NpZXR5IGZvciBSZXNlYXJjaCBvbiBOaWNvdGluZSBhbmQgVG9iYWNjbzwv
YWJici0xPjwvYWx0LXBlcmlvZGljYWw+PHBhZ2VzPjE0MC0xNDQ8L3BhZ2VzPjx2b2x1bWU+MjA8
L3ZvbHVtZT48bnVtYmVyPjE8L251bWJlcj48ZWRpdGlvbj4yMDE2LzEyLzMxPC9lZGl0aW9uPjxk
YXRlcz48eWVhcj4yMDE3PC95ZWFyPjxwdWItZGF0ZXM+PGRhdGU+RGVjIDEzPC9kYXRlPjwvcHVi
LWRhdGVzPjwvZGF0ZXM+PGlzYm4+MTQ2Mi0yMjAzPC9pc2JuPjxhY2Nlc3Npb24tbnVtPjI4MDM1
MDAwPC9hY2Nlc3Npb24tbnVtPjx1cmxzPjxyZWxhdGVkLXVybHM+PHVybD5odHRwczovL3dhdGVy
bWFyay5zaWx2ZXJjaGFpci5jb20vbnR3MzkzLnBkZj90b2tlbj1BUUVDQUhpMjA4QkU0OU9vYW45
a2toV19FcmN5N0RtM1pMXzlDZjNxZktBYzQ4NXlzZ0FBQWJNd2dnR3ZCZ2txaGtpRzl3MEJCd2Fn
Z2dHZ01JSUJuQUlCQURDQ0FaVUdDU3FHU0liM0RRRUhBVEFlQmdsZ2hrZ0JaUU1FQVM0d0VRUU1I
MGU5NXZMTUhTcElST1k3QWdFUWdJSUJacmMxZHVoVVJHRWdlMGZ2TkpmUWxpODFJM1RneFFwME9a
TE4xWW9Ob1F5T0VkSk5EY2NrbGlzNlF2Mko4ejFDNHdnNUlZem5oTlo5ZkRSam9CVUctdU96UFZU
R1JQd1NxLTBrTWVwN05nVHB1LTkwRTRuZUZ6WDh4VmRfUVl6RnVZaEFJZXZQMVBuZ3hIMUI2ZzM5
eVNFaVZhVDRTUFExR3lOVTRTb0lwZXdISXg3TURiYm9BenhNM0tzVHlvTjNFc1N4ZlZ0YXhyUEo0
VlN3TllQSWpaNDJmRnFjaGxqdGZpVmlVeGtjakp2TTJPOTR4OUdCVGpnY1dUSGdIenh0U0h2ZzZJ
VTlKblNfRWJ6aldXenlzTU9EU2NSV3VqckVXanNQRXZMRTdaemRGa1R1WW9QM0lDZEZWbjVfaUUw
SDJxY190Z0dpbWhnLXVUWWRQRXlTaDZDa1BNd2FwUnlSLVVhZTVQRm1sMFJmYy1ySFM4VG9WTFlE
Wkg1Wl85WWdmWkhSc0ZTMDJOdWJZeU56Zzljb3c5MlhEMFA0amVwQjFCWVBibmpfV0pxNUZtVkRr
Wjk0d056TUhuMER3eTJWZkF2c0xfaUZ4aENDd2tJU2lKWVN5SXBQckZCMXF5TTwvdXJsPjwvcmVs
YXRlZC11cmxzPjwvdXJscz48ZWxlY3Ryb25pYy1yZXNvdXJjZS1udW0+MTAuMTA5My9udHIvbnR3
MzkzPC9lbGVjdHJvbmljLXJlc291cmNlLW51bT48cmVtb3RlLWRhdGFiYXNlLXByb3ZpZGVyPk5M
TTwvcmVtb3RlLWRhdGFiYXNlLXByb3ZpZGVyPjxsYW5ndWFnZT5lbmc8L2xhbmd1YWdlPjwvcmVj
b3JkPjwvQ2l0ZT48Q2l0ZT48QXV0aG9yPkJvbGQ8L0F1dGhvcj48WWVhcj4yMDE3PC9ZZWFyPjxS
ZWNOdW0+NDgyODwvUmVjTnVtPjxyZWNvcmQ+PHJlYy1udW1iZXI+NDgyODwvcmVjLW51bWJlcj48
Zm9yZWlnbi1rZXlzPjxrZXkgYXBwPSJFTiIgZGItaWQ9ImZwdDlwdHRybTV6ZnNhZXNwOWZwc2Rk
djA5ZXdzdjV4ZXdmZCIgdGltZXN0YW1wPSIxNTI1MDQ1NTYyIj40ODI4PC9rZXk+PGtleSBhcHA9
IkVOV2ViIiBkYi1pZD0iIj4wPC9rZXk+PC9mb3JlaWduLWtleXM+PHJlZi10eXBlIG5hbWU9Ikpv
dXJuYWwgQXJ0aWNsZSI+MTc8L3JlZi10eXBlPjxjb250cmlidXRvcnM+PGF1dGhvcnM+PGF1dGhv
cj5Cb2xkLCBLLiBXLjwvYXV0aG9yPjxhdXRob3I+TW9yZWFuLCBNLiBFLjwvYXV0aG9yPjxhdXRo
b3I+S29uZywgRy48L2F1dGhvcj48YXV0aG9yPlNpbW9uLCBQLjwvYXV0aG9yPjxhdXRob3I+Q2Ft
ZW5nYSwgRC4gUi48L2F1dGhvcj48YXV0aG9yPkNhdmFsbG8sIEQuIEEuPC9hdXRob3I+PGF1dGhv
cj5LcmlzaG5hbi1TYXJpbiwgUy48L2F1dGhvcj48L2F1dGhvcnM+PC9jb250cmlidXRvcnM+PGF1
dGgtYWRkcmVzcz5EZXBhcnRtZW50IG9mIFBzeWNoaWF0cnksIFlhbGUgVW5pdmVyc2l0eSBTY2hv
b2wgb2YgTWVkaWNpbmUsIE5ldyBIYXZlbiwgQ1QsIFVuaXRlZCBTdGF0ZXMuIEVsZWN0cm9uaWMg
YWRkcmVzczogS3J5c3Rlbi5ib2xkQHlhbGUuZWR1LiYjeEQ7RGVwYXJ0bWVudCBvZiBQc3ljaG9s
b2d5LCBPYmVybGluIENvbGxlZ2UsIE9iZXJsaW4sIE9ILCBVbml0ZWQgU3RhdGVzLiYjeEQ7RGVw
YXJ0bWVudCBvZiBQc3ljaGlhdHJ5LCBZYWxlIFVuaXZlcnNpdHkgU2Nob29sIG9mIE1lZGljaW5l
LCBOZXcgSGF2ZW4sIENULCBVbml0ZWQgU3RhdGVzLiYjeEQ7RGVwYXJ0bWVudCBvZiBFbWVyZ2Vu
Y3kgTWVkaWNpbmUsIFlhbGUgVW5pdmVyc2l0eSBTY2hvb2wgb2YgTWVkaWNpbmUsIE5ldyBIYXZl
biwgQ1QsIFVuaXRlZCBTdGF0ZXMuPC9hdXRoLWFkZHJlc3M+PHRpdGxlcz48dGl0bGU+RWFybHkg
YWdlIG9mIGUtY2lnYXJldHRlIHVzZSBvbnNldCBtZWRpYXRlcyB0aGUgYXNzb2NpYXRpb24gYmV0
d2VlbiBpbXB1bHNpdml0eSBhbmQgZS1jaWdhcmV0dGUgdXNlIGZyZXF1ZW5jeSBpbiB5b3V0aDwv
dGl0bGU+PHNlY29uZGFyeS10aXRsZT5EcnVnIEFsY29ob2wgRGVwZW5kPC9zZWNvbmRhcnktdGl0
bGU+PGFsdC10aXRsZT5EcnVnIGFuZCBhbGNvaG9sIGRlcGVuZGVuY2U8L2FsdC10aXRsZT48L3Rp
dGxlcz48YWx0LXBlcmlvZGljYWw+PGZ1bGwtdGl0bGU+RHJ1ZyBhbmQgQWxjb2hvbCBEZXBlbmRl
bmNlPC9mdWxsLXRpdGxlPjwvYWx0LXBlcmlvZGljYWw+PHBhZ2VzPjE0Ni0xNTE8L3BhZ2VzPjx2
b2x1bWU+MTgxPC92b2x1bWU+PGVkaXRpb24+MjAxNy8xMC8yMjwvZWRpdGlvbj48a2V5d29yZHM+
PGtleXdvcmQ+RS1jaWdhcmV0dGU8L2tleXdvcmQ+PGtleXdvcmQ+SW1wdWxzaXZpdHk8L2tleXdv
cmQ+PGtleXdvcmQ+SW5pdGlhdGlvbjwva2V5d29yZD48a2V5d29yZD5Ub2JhY2NvPC9rZXl3b3Jk
PjxrZXl3b3JkPllvdXRoPC9rZXl3b3JkPjwva2V5d29yZHM+PGRhdGVzPjx5ZWFyPjIwMTc8L3ll
YXI+PHB1Yi1kYXRlcz48ZGF0ZT5EZWMgMTwvZGF0ZT48L3B1Yi1kYXRlcz48L2RhdGVzPjxpc2Ju
PjAzNzYtODcxNjwvaXNibj48YWNjZXNzaW9uLW51bT4yOTA1NTI2ODwvYWNjZXNzaW9uLW51bT48
dXJscz48cmVsYXRlZC11cmxzPjx1cmw+aHR0cDovL3d3dy5kcnVnYW5kYWxjb2hvbGRlcGVuZGVu
Y2UuY29tL2FydGljbGUvUzAzNzYtODcxNigxNykzMDUxNy0zL3BkZjwvdXJsPjwvcmVsYXRlZC11
cmxzPjwvdXJscz48Y3VzdG9tMj5QTUM1NjgzOTM1PC9jdXN0b20yPjxjdXN0b202Pk5JSE1TOTE0
MjI0PC9jdXN0b202PjxlbGVjdHJvbmljLXJlc291cmNlLW51bT4xMC4xMDE2L2ouZHJ1Z2FsY2Rl
cC4yMDE3LjA5LjAyNTwvZWxlY3Ryb25pYy1yZXNvdXJjZS1udW0+PHJlbW90ZS1kYXRhYmFzZS1w
cm92aWRlcj5OTE08L3JlbW90ZS1kYXRhYmFzZS1wcm92aWRlcj48bGFuZ3VhZ2U+ZW5nPC9sYW5n
dWFnZT48L3JlY29yZD48L0NpdGU+PENpdGU+PEF1dGhvcj5DYW1lbmdhPC9BdXRob3I+PFllYXI+
MjAxNzwvWWVhcj48UmVjTnVtPjY1Mzk8L1JlY051bT48cmVjb3JkPjxyZWMtbnVtYmVyPjY1Mzk8
L3JlYy1udW1iZXI+PGZvcmVpZ24ta2V5cz48a2V5IGFwcD0iRU4iIGRiLWlkPSJmcHQ5cHR0cm01
emZzYWVzcDlmcHNkZHYwOWV3c3Y1eGV3ZmQiIHRpbWVzdGFtcD0iMTUyNTA0ODQ5OCI+NjUzOTwv
a2V5PjxrZXkgYXBwPSJFTldlYiIgZGItaWQ9IiI+MDwva2V5PjwvZm9yZWlnbi1rZXlzPjxyZWYt
dHlwZSBuYW1lPSJKb3VybmFsIEFydGljbGUiPjE3PC9yZWYtdHlwZT48Y29udHJpYnV0b3JzPjxh
dXRob3JzPjxhdXRob3I+Q2FtZW5nYSwgRC4gUi48L2F1dGhvcj48YXV0aG9yPktvbmcsIEcuPC9h
dXRob3I+PGF1dGhvcj5DYXZhbGxvLCBELiBBLjwvYXV0aG9yPjxhdXRob3I+S3Jpc2huYW4tU2Fy
aW4sIFMuPC9hdXRob3I+PC9hdXRob3JzPjwvY29udHJpYnV0b3JzPjxhdXRoLWFkZHJlc3M+RGVw
YXJ0bWVudCBvZiBFbWVyZ2VuY3kgTWVkaWNpbmUsIFlhbGUgU2Nob29sIG9mIE1lZGljaW5lLCBO
ZXcgSGF2ZW4sIENULiYjeEQ7RGVwYXJ0bWVudCBvZiBQc3ljaGlhdHJ5LCBZYWxlIFNjaG9vbCBv
ZiBNZWRpY2luZSwgTmV3IEhhdmVuLCBDVC48L2F1dGgtYWRkcmVzcz48dGl0bGVzPjx0aXRsZT5D
dXJyZW50IGFuZCBGb3JtZXIgU21va2VycyZhcG9zOyBVc2Ugb2YgRWxlY3Ryb25pYyBDaWdhcmV0
dGVzIGZvciBRdWl0dGluZyBTbW9raW5nOiBBbiBFeHBsb3JhdG9yeSBTdHVkeSBvZiBBZG9sZXNj
ZW50cyBhbmQgWW91bmcgQWR1bHRzPC90aXRsZT48c2Vjb25kYXJ5LXRpdGxlPk5pY290aW5lIFRv
YiBSZXM8L3NlY29uZGFyeS10aXRsZT48YWx0LXRpdGxlPk5pY290aW5lICZhbXA7IHRvYmFjY28g
cmVzZWFyY2ggOiBvZmZpY2lhbCBqb3VybmFsIG9mIHRoZSBTb2NpZXR5IGZvciBSZXNlYXJjaCBv
biBOaWNvdGluZSBhbmQgVG9iYWNjbzwvYWx0LXRpdGxlPjwvdGl0bGVzPjxwZXJpb2RpY2FsPjxm
dWxsLXRpdGxlPk5pY290aW5lIFRvYiBSZXM8L2Z1bGwtdGl0bGU+PGFiYnItMT5OaWNvdGluZSAm
YW1wOyB0b2JhY2NvIHJlc2VhcmNoIDogb2ZmaWNpYWwgam91cm5hbCBvZiB0aGUgU29jaWV0eSBm
b3IgUmVzZWFyY2ggb24gTmljb3RpbmUgYW5kIFRvYmFjY288L2FiYnItMT48L3BlcmlvZGljYWw+
PGFsdC1wZXJpb2RpY2FsPjxmdWxsLXRpdGxlPk5pY290aW5lIFRvYiBSZXM8L2Z1bGwtdGl0bGU+
PGFiYnItMT5OaWNvdGluZSAmYW1wOyB0b2JhY2NvIHJlc2VhcmNoIDogb2ZmaWNpYWwgam91cm5h
bCBvZiB0aGUgU29jaWV0eSBmb3IgUmVzZWFyY2ggb24gTmljb3RpbmUgYW5kIFRvYmFjY288L2Fi
YnItMT48L2FsdC1wZXJpb2RpY2FsPjxwYWdlcz4xNTMxLTE1MzU8L3BhZ2VzPjx2b2x1bWU+MTk8
L3ZvbHVtZT48bnVtYmVyPjEyPC9udW1iZXI+PGVkaXRpb24+MjAxNi8wOS8yNTwvZWRpdGlvbj48
ZGF0ZXM+PHllYXI+MjAxNzwveWVhcj48cHViLWRhdGVzPjxkYXRlPk5vdiA3PC9kYXRlPjwvcHVi
LWRhdGVzPjwvZGF0ZXM+PGlzYm4+MTQ2Mi0yMjAzPC9pc2JuPjxhY2Nlc3Npb24tbnVtPjI3NjYz
NzgxPC9hY2Nlc3Npb24tbnVtPjx1cmxzPjxyZWxhdGVkLXVybHM+PHVybD5odHRwczovL3dhdGVy
bWFyay5zaWx2ZXJjaGFpci5jb20vbnR3MjQ4LnBkZj90b2tlbj1BUUVDQUhpMjA4QkU0OU9vYW45
a2toV19FcmN5N0RtM1pMXzlDZjNxZktBYzQ4NXlzZ0FBQWJZd2dnR3lCZ2txaGtpRzl3MEJCd2Fn
Z2dHak1JSUJud0lCQURDQ0FaZ0dDU3FHU0liM0RRRUhBVEFlQmdsZ2hrZ0JaUU1FQVM0d0VRUU1P
N2ljN2MwTDdzWUZmY0h3QWdFUWdJSUJhUnJua0l3ckZaY1dsSXRyYjMzd1VOMGpjX25CSXFqbG1i
aXZUWDF5c1ZRdFVjc1BMVUFVOHhrRERpeWZMc20tVzVQb1J1ZFNlYUdLYmFoY3Z4VEdTc0pMTnFS
RjRZRnJ6eDN1VUl4TzV0bzVLWkJrUXZlZHg4ZkJ0QU5SZGZ4T1E4dFNoMm1hdDNBaVhlMGRvLXVh
UHJRdzRnR1ZfbnduZW0wWF9rbUdoMm1LSFpBeUxkRjJOX0VDWlVRaDJ4Nm5PTWdJUnphY2ZWckhH
bDNEcFhtZ1FUemxsMDdOb0tmTzBydVk5V3ZVTXkxdV9Hb01vYmdtUFhiazZUZG1GZm1MSzRmaHRp
anRKNm4yVFVIQXQyRDdGY3UxVTFIS1FjTXg4SDJiSlJPTFNkcjRxdjloN0czdzZscDBLVmZfdEdQ
U0N5di1KU1AtZDZPQzd4akdndEpfSGZTck0wdF9aR3dMQy1FVW1vak5xWmR5WXlOUjF2eFdvb19y
S0FoZWVpWUxNeGNLWThlTkVYNU96OVBVSTM4NFlyV1hmZGlNMF8wbDlUcjBuS2MzdlUzUXRWT3hq
ZWpTR3JwbHZidHRXOGtrYjRCRG4wU2Q3VHZDNTI0VDIwWGF5aTlJd2NwTm12WjA2WUk8L3VybD48
dXJsPmh0dHBzOi8vd2F0ZXJtYXJrLnNpbHZlcmNoYWlyLmNvbS9udHcyNDgucGRmP3Rva2VuPUFR
RUNBSGkyMDhCRTQ5T29hbjlra2hXX0VyY3k3RG0zWkxfOUNmM3FmS0FjNDg1eXNnQUFBY0l3Z2dH
LUJna3Foa2lHOXcwQkJ3YWdnZ0d2TUlJQnF3SUJBRENDQWFRR0NTcUdTSWIzRFFFSEFUQWVCZ2xn
aGtnQlpRTUVBUzR3RVFRTVFtdDA3djN5dXVRYVFoTWFBZ0VRZ0lJQmRUTG5UTUhjcjdFTV95Ynl1
c2ZmcThMZTZqTjNaQUtMa0ZJYXlucm01YWxfN1lfMUN6N2tFWTNmbkF6ZkJNZzlNMERVTjVzampX
ejIwNGxaRTBiVC1XNzZPdjh6R2R2VFAzWWR1cmhqSllBdGk5WWNNLWZPSUtZYWhTRzRQRy1SSWNJ
QS13Tk1FZ18yU0lTX1JWdVJqV2ZrODZfeVNna1BOamFDMEo4T1dVODA2N1Y0a0poVlY2UFYyTElR
N1lXcjh3bVNVQWpXcXQ3TjVIUmFpdVBUWndBTjlidzdKVXZueGkwa0I3QjQxSTJweVVGX0o4bDlU
NmRKdWtqcE96ZUM5TWstd0ZDU24wYkdheGJNTkVUZlZzNy0wX2JmbV9EbXRXU0tMdjRpbnEwenla
NXdHTy1hRHNSRUFYVEhicThMM25LZDloT3A5dWFENUcxSW5KbWZoRDcwaklBd0xPdXhzbl9pbFk1
cFp1aHlGZ1Nla21hNWxWdXV4Y0J4QllHRUktVWpna3ljWXJ1aFgyU212amxLSFZ4b29remZpYTN3
YWFNQVFBWkZJN1hMMmd1NFRlTFpIZzdDN0E2d1FZbHFQaVBTSmQ0Z0h2a3ByTUp2Qlk4VDdtaUdH
NEI2RmxpVWx2bnl1WGx5TU9SOEhLMWRPdFk8L3VybD48L3JlbGF0ZWQtdXJscz48L3VybHM+PGVs
ZWN0cm9uaWMtcmVzb3VyY2UtbnVtPjEwLjEwOTMvbnRyL250dzI0ODwvZWxlY3Ryb25pYy1yZXNv
dXJjZS1udW0+PHJlbW90ZS1kYXRhYmFzZS1wcm92aWRlcj5OTE08L3JlbW90ZS1kYXRhYmFzZS1w
cm92aWRlcj48bGFuZ3VhZ2U+ZW5nPC9sYW5ndWFnZT48L3JlY29yZD48L0NpdGU+PENpdGU+PEF1
dGhvcj5GaXRlPC9BdXRob3I+PFllYXI+MjAxODwvWWVhcj48UmVjTnVtPjYzNDI8L1JlY051bT48
cmVjb3JkPjxyZWMtbnVtYmVyPjYzNDI8L3JlYy1udW1iZXI+PGZvcmVpZ24ta2V5cz48a2V5IGFw
cD0iRU4iIGRiLWlkPSJmcHQ5cHR0cm01emZzYWVzcDlmcHNkZHYwOWV3c3Y1eGV3ZmQiIHRpbWVz
dGFtcD0iMTUyNTA0NzE5OSI+NjM0Mjwva2V5PjxrZXkgYXBwPSJFTldlYiIgZGItaWQ9IiI+MDwv
a2V5PjwvZm9yZWlnbi1rZXlzPjxyZWYtdHlwZSBuYW1lPSJKb3VybmFsIEFydGljbGUiPjE3PC9y
ZWYtdHlwZT48Y29udHJpYnV0b3JzPjxhdXRob3JzPjxhdXRob3I+Rml0ZSwgUC4gSi48L2F1dGhv
cj48YXV0aG9yPkN1c2hpbmcsIEMuIEMuPC9hdXRob3I+PGF1dGhvcj5Qb3F1aXosIEouPC9hdXRo
b3I+PGF1dGhvcj5GcmF6ZXIsIEEuIEwuPC9hdXRob3I+PC9hdXRob3JzPjwvY29udHJpYnV0b3Jz
Pjx0aXRsZXM+PHRpdGxlPkZhbWlseSBpbmZsdWVuY2VzIG9uIHRoZSB1c2Ugb2YgZS1jaWdhcmV0
dGVzPC90aXRsZT48c2Vjb25kYXJ5LXRpdGxlPkpvdXJuYWwgb2YgU3Vic3RhbmNlIFVzZTwvc2Vj
b25kYXJ5LXRpdGxlPjwvdGl0bGVzPjxwZXJpb2RpY2FsPjxmdWxsLXRpdGxlPkpvdXJuYWwgb2Yg
U3Vic3RhbmNlIFVzZTwvZnVsbC10aXRsZT48L3BlcmlvZGljYWw+PHBhZ2VzPjEtNjwvcGFnZXM+
PGRhdGVzPjx5ZWFyPjIwMTg8L3llYXI+PC9kYXRlcz48dXJscz48cmVsYXRlZC11cmxzPjx1cmw+
aHR0cHM6Ly93d3cuc2NvcHVzLmNvbS9pbndhcmQvcmVjb3JkLnVyaT9laWQ9Mi1zMi4wLTg1MDQx
NTQwMTgwJmFtcDtkb2k9MTAuMTA4MCUyZjE0NjU5ODkxLjIwMTguMTQzNjYwMSZhbXA7cGFydG5l
cklEPTQwJmFtcDttZDU9ZWRhZGIyNmJhM2EyMTdlMGIwMTlhZWRiMmFkNzQ0ZmU8L3VybD48dXJs
Pmh0dHBzOi8vd3d3LnRhbmRmb25saW5lLmNvbS9kb2kvcGRmLzEwLjEwODAvMTQ2NTk4OTEuMjAx
OC4xNDM2NjAxP25lZWRBY2Nlc3M9dHJ1ZTwvdXJsPjwvcmVsYXRlZC11cmxzPjwvdXJscz48ZWxl
Y3Ryb25pYy1yZXNvdXJjZS1udW0+MTAuMTA4MC8xNDY1OTg5MS4yMDE4LjE0MzY2MDE8L2VsZWN0
cm9uaWMtcmVzb3VyY2UtbnVtPjxyZW1vdGUtZGF0YWJhc2UtbmFtZT5TY29wdXM8L3JlbW90ZS1k
YXRhYmFzZS1uYW1lPjwvcmVjb3JkPjwvQ2l0ZT48Q2l0ZT48QXV0aG9yPkpvaG5zb248L0F1dGhv
cj48WWVhcj4yMDE3PC9ZZWFyPjxSZWNOdW0+NjMzNzwvUmVjTnVtPjxyZWNvcmQ+PHJlYy1udW1i
ZXI+NjMzNzwvcmVjLW51bWJlcj48Zm9yZWlnbi1rZXlzPjxrZXkgYXBwPSJFTiIgZGItaWQ9ImZw
dDlwdHRybTV6ZnNhZXNwOWZwc2RkdjA5ZXdzdjV4ZXdmZCIgdGltZXN0YW1wPSIxNTI1MDQ3MTg2
Ij42MzM3PC9rZXk+PGtleSBhcHA9IkVOV2ViIiBkYi1pZD0iIj4wPC9rZXk+PC9mb3JlaWduLWtl
eXM+PHJlZi10eXBlIG5hbWU9IkpvdXJuYWwgQXJ0aWNsZSI+MTc8L3JlZi10eXBlPjxjb250cmli
dXRvcnM+PGF1dGhvcnM+PGF1dGhvcj5Kb2huc29uLCBBLiBDLjwvYXV0aG9yPjxhdXRob3I+TWF5
cywgRC48L2F1dGhvcj48YXV0aG9yPkhhd2tpbnMsIEsuIEIuPC9hdXRob3I+PGF1dGhvcj5EZW56
ZWwsIE0uPC9hdXRob3I+PGF1dGhvcj5UZXJjeWFrLCBLLiBQLjwvYXV0aG9yPjwvYXV0aG9ycz48
L2NvbnRyaWJ1dG9ycz48dGl0bGVzPjx0aXRsZT5BIHF1YWxpdGF0aXZlIHN0dWR5IG9mIGFkb2xl
c2NlbnQgcGVyY2VwdGlvbnMgb2YgZWxlY3Ryb25pYyBjaWdhcmV0dGVzIGFuZCB0aGVpciBtYXJr
ZXRpbmc6IEltcGxpY2F0aW9ucyBmb3IgcHJldmVudGlvbiBhbmQgcG9saWN5PC90aXRsZT48c2Vj
b25kYXJ5LXRpdGxlPkNoaWxkcmVuJmFwb3M7cyBIZWFsdGggQ2FyZTwvc2Vjb25kYXJ5LXRpdGxl
PjwvdGl0bGVzPjxwZXJpb2RpY2FsPjxmdWxsLXRpdGxlPkNoaWxkcmVuJmFwb3M7cyBIZWFsdGgg
Q2FyZTwvZnVsbC10aXRsZT48L3BlcmlvZGljYWw+PHBhZ2VzPjM3OS0zOTI8L3BhZ2VzPjx2b2x1
bWU+NDY8L3ZvbHVtZT48bnVtYmVyPjQ8L251bWJlcj48a2V5d29yZHM+PGtleXdvcmQ+YWRvbGVz
Y2VudDwva2V5d29yZD48a2V5d29yZD5hZHZlcnRpc2luZzwva2V5d29yZD48a2V5d29yZD5BcnRp
Y2xlPC9rZXl3b3JkPjxrZXl3b3JkPmNvdW5zZWxpbmc8L2tleXdvcmQ+PGtleXdvcmQ+ZmVtYWxl
PC9rZXl3b3JkPjxrZXl3b3JkPmhlYWx0aCBjYXJlIHBvbGljeTwva2V5d29yZD48a2V5d29yZD5o
dW1hbjwva2V5d29yZD48a2V5d29yZD5odW1hbiByZWxhdGlvbjwva2V5d29yZD48a2V5d29yZD5t
YWxlPC9rZXl3b3JkPjxrZXl3b3JkPm1hcmtldGluZzwva2V5d29yZD48a2V5d29yZD5tZWRpY2Fs
IGluZm9ybWF0aW9uPC9rZXl3b3JkPjxrZXl3b3JkPnBlcmNlcHRpb248L2tleXdvcmQ+PGtleXdv
cmQ+cXVhbGl0YXRpdmUgcmVzZWFyY2g8L2tleXdvcmQ+PGtleXdvcmQ+c21va2luZzwva2V5d29y
ZD48a2V5d29yZD5zbW9raW5nIGNlc3NhdGlvbjwva2V5d29yZD48L2tleXdvcmRzPjxkYXRlcz48
eWVhcj4yMDE3PC95ZWFyPjwvZGF0ZXM+PHVybHM+PHJlbGF0ZWQtdXJscz48dXJsPmh0dHBzOi8v
d3d3LnNjb3B1cy5jb20vaW53YXJkL3JlY29yZC51cmk/ZWlkPTItczIuMC04NTAwMzk0NTAxMiZh
bXA7ZG9pPTEwLjEwODAlMmYwMjczOTYxNS4yMDE2LjEyMjc5MzcmYW1wO3BhcnRuZXJJRD00MCZh
bXA7bWQ1PTY1NjVkM2ViMWEzZDJiYWZmNTNhNzc5NWRmNmMxMzA5PC91cmw+PHVybD5odHRwczov
L3d3dy50YW5kZm9ubGluZS5jb20vZG9pL3BkZi8xMC4xMDgwLzAyNzM5NjE1LjIwMTYuMTIyNzkz
Nz9uZWVkQWNjZXNzPXRydWU8L3VybD48L3JlbGF0ZWQtdXJscz48L3VybHM+PGVsZWN0cm9uaWMt
cmVzb3VyY2UtbnVtPjEwLjEwODAvMDI3Mzk2MTUuMjAxNi4xMjI3OTM3PC9lbGVjdHJvbmljLXJl
c291cmNlLW51bT48cmVtb3RlLWRhdGFiYXNlLW5hbWU+U2NvcHVzPC9yZW1vdGUtZGF0YWJhc2Ut
bmFtZT48L3JlY29yZD48L0NpdGU+PENpdGU+PEF1dGhvcj5UZW1wbGU8L0F1dGhvcj48WWVhcj4y
MDE3PC9ZZWFyPjxSZWNOdW0+NTEzOTwvUmVjTnVtPjxyZWNvcmQ+PHJlYy1udW1iZXI+NTEzOTwv
cmVjLW51bWJlcj48Zm9yZWlnbi1rZXlzPjxrZXkgYXBwPSJFTiIgZGItaWQ9ImZwdDlwdHRybTV6
ZnNhZXNwOWZwc2RkdjA5ZXdzdjV4ZXdmZCIgdGltZXN0YW1wPSIxNTI1MDQ2MDk3Ij41MTM5PC9r
ZXk+PGtleSBhcHA9IkVOV2ViIiBkYi1pZD0iIj4wPC9rZXk+PC9mb3JlaWduLWtleXM+PHJlZi10
eXBlIG5hbWU9IkpvdXJuYWwgQXJ0aWNsZSI+MTc8L3JlZi10eXBlPjxjb250cmlidXRvcnM+PGF1
dGhvcnM+PGF1dGhvcj5UZW1wbGUsIEouIFIuPC9hdXRob3I+PGF1dGhvcj5TaG9yZXksIFIuIEMu
PC9hdXRob3I+PGF1dGhvcj5MdSwgWS48L2F1dGhvcj48YXV0aG9yPlRvcnJlcywgRS48L2F1dGhv
cj48YXV0aG9yPlN0dWFydCwgRy4gTC48L2F1dGhvcj48YXV0aG9yPkxlLCBWLiBELjwvYXV0aG9y
PjwvYXV0aG9ycz48L2NvbnRyaWJ1dG9ycz48YXV0aC1hZGRyZXNzPkRlcGFydG1lbnQgb2YgT2Iv
R3luLCBVbml2ZXJzaXR5IG9mIFRleGFzIE1lZGljYWwgQnJhbmNoLCBHYWx2ZXN0b24sIFRleGFz
LiYjeEQ7RGVwYXJ0bWVudCBvZiBQc3ljaG9sb2d5LCBPaGlvIFVuaXZlcnNpdHksIEF0aGVucywg
T2hpby4mI3hEO0RlcGFydG1lbnQgb2YgUHN5Y2hvbG9neSwgVW5pdmVyc2l0eSBvZiBUZW5uZXNz
ZWUsIEtub3h2aWxsZSwgVGVubmVzc2VlLjwvYXV0aC1hZGRyZXNzPjx0aXRsZXM+PHRpdGxlPkUt
Y2lnYXJldHRlIHVzZSBvZiB5b3VuZyBhZHVsdHMgbW90aXZhdGlvbnMgYW5kIGFzc29jaWF0aW9u
cyB3aXRoIGNvbWJ1c3RpYmxlIGNpZ2FyZXR0ZSBhbGNvaG9sLCBtYXJpanVhbmEsIGFuZCBvdGhl
ciBpbGxpY2l0IGRydWdzPC90aXRsZT48c2Vjb25kYXJ5LXRpdGxlPkFtIEogQWRkaWN0PC9zZWNv
bmRhcnktdGl0bGU+PGFsdC10aXRsZT5UaGUgQW1lcmljYW4gam91cm5hbCBvbiBhZGRpY3Rpb25z
PC9hbHQtdGl0bGU+PC90aXRsZXM+PHBlcmlvZGljYWw+PGZ1bGwtdGl0bGU+QW0gSiBBZGRpY3Q8
L2Z1bGwtdGl0bGU+PGFiYnItMT5UaGUgQW1lcmljYW4gam91cm5hbCBvbiBhZGRpY3Rpb25zPC9h
YmJyLTE+PC9wZXJpb2RpY2FsPjxhbHQtcGVyaW9kaWNhbD48ZnVsbC10aXRsZT5BbSBKIEFkZGlj
dDwvZnVsbC10aXRsZT48YWJici0xPlRoZSBBbWVyaWNhbiBqb3VybmFsIG9uIGFkZGljdGlvbnM8
L2FiYnItMT48L2FsdC1wZXJpb2RpY2FsPjxwYWdlcz4zNDMtMzQ4PC9wYWdlcz48dm9sdW1lPjI2
PC92b2x1bWU+PG51bWJlcj40PC9udW1iZXI+PGVkaXRpb24+MjAxNy8wNC8wNDwvZWRpdGlvbj48
a2V5d29yZHM+PGtleXdvcmQ+QWRvbGVzY2VudDwva2V5d29yZD48a2V5d29yZD5FbGVjdHJvbmlj
IE5pY290aW5lIERlbGl2ZXJ5IFN5c3RlbXMvKnN0YXRpc3RpY3MgJmFtcDsgbnVtZXJpY2FsIGRh
dGE8L2tleXdvcmQ+PGtleXdvcmQ+RXRobmljIEdyb3Vwcy8qcHN5Y2hvbG9neTwva2V5d29yZD48
a2V5d29yZD5GZW1hbGU8L2tleXdvcmQ+PGtleXdvcmQ+SHVtYW5zPC9rZXl3b3JkPjxrZXl3b3Jk
PkxvbmdpdHVkaW5hbCBTdHVkaWVzPC9rZXl3b3JkPjxrZXl3b3JkPk1hbGU8L2tleXdvcmQ+PGtl
eXdvcmQ+Kk1vdGl2YXRpb248L2tleXdvcmQ+PGtleXdvcmQ+UHJldmFsZW5jZTwva2V5d29yZD48
a2V5d29yZD5SaXNrLVRha2luZzwva2V5d29yZD48a2V5d29yZD5TbW9raW5nLyplcGlkZW1pb2xv
Z3k8L2tleXdvcmQ+PGtleXdvcmQ+U3Vic3RhbmNlLVJlbGF0ZWQgRGlzb3JkZXJzLyplcGlkZW1p
b2xvZ3k8L2tleXdvcmQ+PGtleXdvcmQ+VGV4YXMvZXBpZGVtaW9sb2d5PC9rZXl3b3JkPjxrZXl3
b3JkPllvdW5nIEFkdWx0PC9rZXl3b3JkPjwva2V5d29yZHM+PGRhdGVzPjx5ZWFyPjIwMTc8L3ll
YXI+PHB1Yi1kYXRlcz48ZGF0ZT5KdW48L2RhdGU+PC9wdWItZGF0ZXM+PC9kYXRlcz48aXNibj4x
MDU1LTA0OTY8L2lzYm4+PGFjY2Vzc2lvbi1udW0+MjgzNzA3MTc8L2FjY2Vzc2lvbi1udW0+PHVy
bHM+PHJlbGF0ZWQtdXJscz48dXJsPmh0dHBzOi8vb25saW5lbGlicmFyeS53aWxleS5jb20vZG9p
L3BkZi8xMC4xMTExL2FqYWQuMTI1MzA8L3VybD48L3JlbGF0ZWQtdXJscz48L3VybHM+PGN1c3Rv
bTI+UE1DNTQyNjk2NjwvY3VzdG9tMj48Y3VzdG9tNj5OSUhNUzg1Mzk1NzwvY3VzdG9tNj48ZWxl
Y3Ryb25pYy1yZXNvdXJjZS1udW0+MTAuMTExMS9hamFkLjEyNTMwPC9lbGVjdHJvbmljLXJlc291
cmNlLW51bT48cmVtb3RlLWRhdGFiYXNlLXByb3ZpZGVyPk5MTTwvcmVtb3RlLWRhdGFiYXNlLXBy
b3ZpZGVyPjxsYW5ndWFnZT5lbmc8L2xhbmd1YWdlPjwvcmVjb3JkPjwvQ2l0ZT48Q2l0ZT48QXV0
aG9yPldlc3RsaW5nPC9BdXRob3I+PFllYXI+MjAxNzwvWWVhcj48UmVjTnVtPjc4ODwvUmVjTnVt
PjxyZWNvcmQ+PHJlYy1udW1iZXI+Nzg4PC9yZWMtbnVtYmVyPjxmb3JlaWduLWtleXM+PGtleSBh
cHA9IkVOIiBkYi1pZD0iNXh2NXc1dDJiZHh0eGZlengwMnh0eGRmdDVyejVwdHZ2dDI5IiB0aW1l
c3RhbXA9IjE1MjA1Njg0OTYiPjc4ODwva2V5PjxrZXkgYXBwPSJFTldlYiIgZGItaWQ9IiI+MDwv
a2V5PjwvZm9yZWlnbi1rZXlzPjxyZWYtdHlwZSBuYW1lPSJKb3VybmFsIEFydGljbGUiPjE3PC9y
ZWYtdHlwZT48Y29udHJpYnV0b3JzPjxhdXRob3JzPjxhdXRob3I+V2VzdGxpbmcsIEUuPC9hdXRo
b3I+PGF1dGhvcj5SdXNieSwgSi4gQy48L2F1dGhvcj48YXV0aG9yPkNyb3dsZXksIFIuPC9hdXRo
b3I+PGF1dGhvcj5MaWdodCwgSi4gTS48L2F1dGhvcj48L2F1dGhvcnM+PC9jb250cmlidXRvcnM+
PGF1dGgtYWRkcmVzcz5PcmVnb24gUmVzZWFyY2ggSW5zdGl0dXRlLCBFdWdlbmUsIE9yZWdvbi4g
RWxlY3Ryb25pYyBhZGRyZXNzOiBlcmlrYXdAb3JpLm9yZy4mI3hEO09yZWdvbiBSZXNlYXJjaCBJ
bnN0aXR1dGUsIEV1Z2VuZSwgT3JlZ29uLjwvYXV0aC1hZGRyZXNzPjx0aXRsZXM+PHRpdGxlPkVs
ZWN0cm9uaWMgQ2lnYXJldHRlIFVzZSBieSBZb3V0aDogUHJldmFsZW5jZSwgQ29ycmVsYXRlcywg
YW5kIFVzZSBUcmFqZWN0b3JpZXMgRnJvbSBNaWRkbGUgdG8gSGlnaCBTY2hvb2w8L3RpdGxlPjxz
ZWNvbmRhcnktdGl0bGU+SiBBZG9sZXNjIEhlYWx0aDwvc2Vjb25kYXJ5LXRpdGxlPjxhbHQtdGl0
bGU+VGhlIEpvdXJuYWwgb2YgYWRvbGVzY2VudCBoZWFsdGggOiBvZmZpY2lhbCBwdWJsaWNhdGlv
biBvZiB0aGUgU29jaWV0eSBmb3IgQWRvbGVzY2VudCBNZWRpY2luZTwvYWx0LXRpdGxlPjwvdGl0
bGVzPjxwZXJpb2RpY2FsPjxmdWxsLXRpdGxlPkogQWRvbGVzYyBIZWFsdGg8L2Z1bGwtdGl0bGU+
PGFiYnItMT5UaGUgSm91cm5hbCBvZiBhZG9sZXNjZW50IGhlYWx0aCA6IG9mZmljaWFsIHB1Ymxp
Y2F0aW9uIG9mIHRoZSBTb2NpZXR5IGZvciBBZG9sZXNjZW50IE1lZGljaW5lPC9hYmJyLTE+PC9w
ZXJpb2RpY2FsPjxhbHQtcGVyaW9kaWNhbD48ZnVsbC10aXRsZT5KIEFkb2xlc2MgSGVhbHRoPC9m
dWxsLXRpdGxlPjxhYmJyLTE+VGhlIEpvdXJuYWwgb2YgYWRvbGVzY2VudCBoZWFsdGggOiBvZmZp
Y2lhbCBwdWJsaWNhdGlvbiBvZiB0aGUgU29jaWV0eSBmb3IgQWRvbGVzY2VudCBNZWRpY2luZTwv
YWJici0xPjwvYWx0LXBlcmlvZGljYWw+PHBhZ2VzPjY2MC02NjY8L3BhZ2VzPjx2b2x1bWU+NjA8
L3ZvbHVtZT48bnVtYmVyPjY8L251bWJlcj48ZWRpdGlvbj4yMDE3LzAzLzAxPC9lZGl0aW9uPjxr
ZXl3b3Jkcz48a2V5d29yZD5BZG9sZXNjZW50czwva2V5d29yZD48a2V5d29yZD5FLWNpZ2FyZXR0
ZXM8L2tleXdvcmQ+PGtleXdvcmQ+U3Vic3RhbmNlIHVzZTwva2V5d29yZD48L2tleXdvcmRzPjxk
YXRlcz48eWVhcj4yMDE3PC95ZWFyPjxwdWItZGF0ZXM+PGRhdGU+SnVuPC9kYXRlPjwvcHViLWRh
dGVzPjwvZGF0ZXM+PGlzYm4+MTA1NC0xMzl4PC9pc2JuPjxhY2Nlc3Npb24tbnVtPjI4MjQyMTg3
PC9hY2Nlc3Npb24tbnVtPjx1cmxzPjxyZWxhdGVkLXVybHM+PHVybD5odHRwOi8vd3d3LmphaG9u
bGluZS5vcmcvYXJ0aWNsZS9TMTA1NC0xMzlYKDE2KTMwOTY1LVgvcGRmPC91cmw+PC9yZWxhdGVk
LXVybHM+PC91cmxzPjxjdXN0b20yPlBNQzU0NDE5NDY8L2N1c3RvbTI+PGN1c3RvbTY+TklITVM4
NDAyNTE8L2N1c3RvbTY+PGVsZWN0cm9uaWMtcmVzb3VyY2UtbnVtPjEwLjEwMTYvai5qYWRvaGVh
bHRoLjIwMTYuMTIuMDE5PC9lbGVjdHJvbmljLXJlc291cmNlLW51bT48cmVtb3RlLWRhdGFiYXNl
LXByb3ZpZGVyPk5MTTwvcmVtb3RlLWRhdGFiYXNlLXByb3ZpZGVyPjxsYW5ndWFnZT5lbmc8L2xh
bmd1YWdlPjwvcmVjb3JkPjwvQ2l0ZT48Q2l0ZT48QXV0aG9yPlBlcHBlcjwvQXV0aG9yPjxZZWFy
PjIwMTg8L1llYXI+PFJlY051bT4xMDMzNzwvUmVjTnVtPjxyZWNvcmQ+PHJlYy1udW1iZXI+MTAz
Mzc8L3JlYy1udW1iZXI+PGZvcmVpZ24ta2V5cz48a2V5IGFwcD0iRU4iIGRiLWlkPSI5ejA1ZHow
cHJhYWRmdWVlMHpveHplZGs5emZlNWZ4eDUwejUiIHRpbWVzdGFtcD0iMTUyNjg2OTg3OCI+MTAz
Mzc8L2tleT48a2V5IGFwcD0iRU5XZWIiIGRiLWlkPSIiPjA8L2tleT48L2ZvcmVpZ24ta2V5cz48
cmVmLXR5cGUgbmFtZT0iSm91cm5hbCBBcnRpY2xlIj4xNzwvcmVmLXR5cGU+PGNvbnRyaWJ1dG9y
cz48YXV0aG9ycz48YXV0aG9yPlBlcHBlciwgSmVzc2ljYSBLLjwvYXV0aG9yPjxhdXRob3I+RmFy
cmVsbHksIE1hdHRoZXcgQy48L2F1dGhvcj48YXV0aG9yPldhdHNvbiwgS2ltYmVybHkgQS48L2F1
dGhvcj48L2F1dGhvcnM+PC9jb250cmlidXRvcnM+PHRpdGxlcz48dGl0bGU+QWRvbGVzY2VudHMm
YXBvczsgdW5kZXJzdGFuZGluZyBhbmQgdXNlIG9mIG5pY290aW5lIGluIGUtY2lnYXJldHRlczwv
dGl0bGU+PHNlY29uZGFyeS10aXRsZT5BZGRpY3RpdmUgQmVoYXZpb3JzPC9zZWNvbmRhcnktdGl0
bGU+PC90aXRsZXM+PHBlcmlvZGljYWw+PGZ1bGwtdGl0bGU+QWRkaWN0aXZlIEJlaGF2aW9yczwv
ZnVsbC10aXRsZT48L3BlcmlvZGljYWw+PHBhZ2VzPjEwOS0xMTM8L3BhZ2VzPjx2b2x1bWU+ODI8
L3ZvbHVtZT48ZGF0ZXM+PHllYXI+MjAxODwveWVhcj48cHViLWRhdGVzPjxkYXRlPkp1bDwvZGF0
ZT48L3B1Yi1kYXRlcz48L2RhdGVzPjxpc2JuPjAzMDYtNDYwMzwvaXNibj48YWNjZXNzaW9uLW51
bT5XT1M6MDAwNDMwNTIyODAwMDE4PC9hY2Nlc3Npb24tbnVtPjx1cmxzPjxyZWxhdGVkLXVybHM+
PHVybD4mbHQ7R28gdG8gSVNJJmd0OzovL1dPUzowMDA0MzA1MjI4MDAwMTg8L3VybD48dXJsPmh0
dHBzOi8vd3d3LnNjaWVuY2VkaXJlY3QuY29tL3NjaWVuY2UvYXJ0aWNsZS9waWkvUzAzMDY0NjAz
MTgzMDA4MDc/dmlhJTNEaWh1YjwvdXJsPjwvcmVsYXRlZC11cmxzPjwvdXJscz48ZWxlY3Ryb25p
Yy1yZXNvdXJjZS1udW0+MTAuMTAxNi9qLmFkZGJlaC4yMDE4LjAyLjAxNTwvZWxlY3Ryb25pYy1y
ZXNvdXJjZS1udW0+PC9yZWNvcmQ+PC9DaXRlPjxDaXRlPjxBdXRob3I+Vm9nZWw8L0F1dGhvcj48
WWVhcj4yMDE4PC9ZZWFyPjxSZWNOdW0+MTAzNjE8L1JlY051bT48cmVjb3JkPjxyZWMtbnVtYmVy
PjEwMzYxPC9yZWMtbnVtYmVyPjxmb3JlaWduLWtleXM+PGtleSBhcHA9IkVOIiBkYi1pZD0iOXow
NWR6MHByYWFkZnVlZTB6b3h6ZWRrOXpmZTVmeHg1MHo1IiB0aW1lc3RhbXA9IjE1MjY4Njk4Nzgi
PjEwMzYxPC9rZXk+PGtleSBhcHA9IkVOV2ViIiBkYi1pZD0iIj4wPC9rZXk+PC9mb3JlaWduLWtl
eXM+PHJlZi10eXBlIG5hbWU9IkpvdXJuYWwgQXJ0aWNsZSI+MTc8L3JlZi10eXBlPjxjb250cmli
dXRvcnM+PGF1dGhvcnM+PGF1dGhvcj5Wb2dlbCwgRXJpbiBBLjwvYXV0aG9yPjxhdXRob3I+UmFt
bywgRGFuaWVsbGUgRS48L2F1dGhvcj48YXV0aG9yPlJ1Ymluc3RlaW4sIE1hcmsgTC48L2F1dGhv
cj48L2F1dGhvcnM+PC9jb250cmlidXRvcnM+PHRpdGxlcz48dGl0bGU+UHJldmFsZW5jZSBhbmQg
Y29ycmVsYXRlcyBvZiBhZG9sZXNjZW50cyZhcG9zOyBlLWNpZ2FyZXR0ZSB1c2UgZnJlcXVlbmN5
IGFuZCBkZXBlbmRlbmNlPC90aXRsZT48c2Vjb25kYXJ5LXRpdGxlPkRydWcgYW5kIGFsY29ob2wg
ZGVwZW5kZW5jZTwvc2Vjb25kYXJ5LXRpdGxlPjwvdGl0bGVzPjxwZXJpb2RpY2FsPjxmdWxsLXRp
dGxlPkRydWcgYW5kIEFsY29ob2wgRGVwZW5kZW5jZTwvZnVsbC10aXRsZT48L3BlcmlvZGljYWw+
PHBhZ2VzPjEwOS0xMTI8L3BhZ2VzPjx2b2x1bWU+MTg4PC92b2x1bWU+PGRhdGVzPjx5ZWFyPjIw
MTg8L3llYXI+PHB1Yi1kYXRlcz48ZGF0ZT4yMDE4LU1heS0wODwvZGF0ZT48L3B1Yi1kYXRlcz48
L2RhdGVzPjxhY2Nlc3Npb24tbnVtPk1FRExJTkU6Mjk3NjM4NDg8L2FjY2Vzc2lvbi1udW0+PHVy
bHM+PHJlbGF0ZWQtdXJscz48dXJsPiZsdDtHbyB0byBJU0kmZ3Q7Oi8vTUVETElORToyOTc2Mzg0
ODwvdXJsPjx1cmw+aHR0cHM6Ly93d3cuc2NpZW5jZWRpcmVjdC5jb20vc2NpZW5jZS9hcnRpY2xl
L3BpaS9TMDM3Njg3MTYxODMwMjYzMT92aWElM0RpaHViPC91cmw+PC9yZWxhdGVkLXVybHM+PC91
cmxzPjxlbGVjdHJvbmljLXJlc291cmNlLW51bT4xMC4xMDE2L2ouZHJ1Z2FsY2RlcC4yMDE4LjAz
LjA1MTwvZWxlY3Ryb25pYy1yZXNvdXJjZS1udW0+PC9yZWNvcmQ+PC9DaXRlPjwvRW5kTm90ZT4A
</w:fldData>
        </w:fldChar>
      </w:r>
      <w:r w:rsidR="00903735">
        <w:instrText xml:space="preserve"> ADDIN EN.CITE.DATA </w:instrText>
      </w:r>
      <w:r w:rsidR="00903735">
        <w:fldChar w:fldCharType="end"/>
      </w:r>
      <w:r w:rsidRPr="00892582">
        <w:fldChar w:fldCharType="separate"/>
      </w:r>
      <w:r w:rsidRPr="00892582">
        <w:rPr>
          <w:noProof/>
        </w:rPr>
        <w:t>(Bold, Kong et al. 2017, Bold, Morean et al. 2017, Camenga, Kong et al. 2017, Johnson, Mays et al. 2017, Temple, Shorey et al. 2017, Westling, Rusby et al. 2017, Fite, Cushing et al. 2018, Pepper, Farrelly et al. 2018, Vogel, Ramo et al. 2018)</w:t>
      </w:r>
      <w:r w:rsidRPr="00892582">
        <w:fldChar w:fldCharType="end"/>
      </w:r>
      <w:r w:rsidRPr="00892582">
        <w:t xml:space="preserve"> and eight were performed using college students </w:t>
      </w:r>
      <w:r w:rsidRPr="00892582">
        <w:fldChar w:fldCharType="begin">
          <w:fldData xml:space="preserve">PEVuZE5vdGU+PENpdGU+PEF1dGhvcj5BYmFkaTwvQXV0aG9yPjxZZWFyPjIwMTc8L1llYXI+PFJl
Y051bT40NzgxPC9SZWNOdW0+PERpc3BsYXlUZXh0PihBYmFkaSwgQ291Y2ggZXQgYWwuIDIwMTcs
IENvcGVsYW5kLCBQZWx0aWVyIGV0IGFsLiAyMDE3LCBGcmFua3MsIEhhd2VzIGV0IGFsLiAyMDE3
LCBMZWUsIExpbiBldCBhbC4gMjAxNywgTGVlLCBOb25uZW1ha2VyIGV0IGFsLiAyMDE3LCBDaGVu
ZXksIEdvd2luIGV0IGFsLiAyMDE4LCBLaW5nLCBSZWJvdXNzaW4gZXQgYWwuIDIwMTgpPC9EaXNw
bGF5VGV4dD48cmVjb3JkPjxyZWMtbnVtYmVyPjQ3ODE8L3JlYy1udW1iZXI+PGZvcmVpZ24ta2V5
cz48a2V5IGFwcD0iRU4iIGRiLWlkPSJmcHQ5cHR0cm01emZzYWVzcDlmcHNkZHYwOWV3c3Y1eGV3
ZmQiIHRpbWVzdGFtcD0iMTUyNTA0NTUwMiI+NDc4MTwva2V5PjxrZXkgYXBwPSJFTldlYiIgZGIt
aWQ9IiI+MDwva2V5PjwvZm9yZWlnbi1rZXlzPjxyZWYtdHlwZSBuYW1lPSJKb3VybmFsIEFydGlj
bGUiPjE3PC9yZWYtdHlwZT48Y29udHJpYnV0b3JzPjxhdXRob3JzPjxhdXRob3I+QWJhZGksIFMu
PC9hdXRob3I+PGF1dGhvcj5Db3VjaCwgRS4gVC48L2F1dGhvcj48YXV0aG9yPkNoYWZmZWUsIEIu
IFcuPC9hdXRob3I+PGF1dGhvcj5XYWxzaCwgTS4gTS48L2F1dGhvcj48L2F1dGhvcnM+PC9jb250
cmlidXRvcnM+PHRpdGxlcz48dGl0bGU+UGVyY2VwdGlvbnMgUmVsYXRlZCB0byBVc2Ugb2YgRWxl
Y3Ryb25pYyBDaWdhcmV0dGVzIGFtb25nIENhbGlmb3JuaWEgQ29sbGVnZSBTdHVkZW50czwvdGl0
bGU+PHNlY29uZGFyeS10aXRsZT5KIERlbnQgSHlnPC9zZWNvbmRhcnktdGl0bGU+PGFsdC10aXRs
ZT5Kb3VybmFsIG9mIGRlbnRhbCBoeWdpZW5lIDogSkRIPC9hbHQtdGl0bGU+PC90aXRsZXM+PHBl
cmlvZGljYWw+PGZ1bGwtdGl0bGU+SiBEZW50IEh5ZzwvZnVsbC10aXRsZT48YWJici0xPkpvdXJu
YWwgb2YgZGVudGFsIGh5Z2llbmUgOiBKREg8L2FiYnItMT48L3BlcmlvZGljYWw+PGFsdC1wZXJp
b2RpY2FsPjxmdWxsLXRpdGxlPkogRGVudCBIeWc8L2Z1bGwtdGl0bGU+PGFiYnItMT5Kb3VybmFs
IG9mIGRlbnRhbCBoeWdpZW5lIDogSkRIPC9hYmJyLTE+PC9hbHQtcGVyaW9kaWNhbD48cGFnZXM+
MzUtNDM8L3BhZ2VzPjx2b2x1bWU+OTE8L3ZvbHVtZT48bnVtYmVyPjE8L251bWJlcj48ZWRpdGlv
bj4yMDE3LzExLzEwPC9lZGl0aW9uPjxrZXl3b3Jkcz48a2V5d29yZD5hd2FyZW5lc3M8L2tleXdv
cmQ+PGtleXdvcmQ+ZWxlY3Ryb25pYyBjaWdhcmV0dGVzPC9rZXl3b3JkPjxrZXl3b3JkPmhlYWx0
aCBwcm9tb3Rpb248L2tleXdvcmQ+PGtleXdvcmQ+cGVyY2VwdGlvbnM8L2tleXdvcmQ+PC9rZXl3
b3Jkcz48ZGF0ZXM+PHllYXI+MjAxNzwveWVhcj48cHViLWRhdGVzPjxkYXRlPkZlYjwvZGF0ZT48
L3B1Yi1kYXRlcz48L2RhdGVzPjxpc2JuPjEwNDMtMjU0eDwvaXNibj48YWNjZXNzaW9uLW51bT4y
OTExODE0OTwvYWNjZXNzaW9uLW51bT48dXJscz48L3VybHM+PHJlbW90ZS1kYXRhYmFzZS1wcm92
aWRlcj5OTE08L3JlbW90ZS1kYXRhYmFzZS1wcm92aWRlcj48bGFuZ3VhZ2U+ZW5nPC9sYW5ndWFn
ZT48L3JlY29yZD48L0NpdGU+PENpdGU+PEF1dGhvcj5DaGVuZXk8L0F1dGhvcj48WWVhcj4yMDE4
PC9ZZWFyPjxSZWNOdW0+NDU4NzwvUmVjTnVtPjxyZWNvcmQ+PHJlYy1udW1iZXI+NDU4NzwvcmVj
LW51bWJlcj48Zm9yZWlnbi1rZXlzPjxrZXkgYXBwPSJFTiIgZGItaWQ9ImZwdDlwdHRybTV6ZnNh
ZXNwOWZwc2RkdjA5ZXdzdjV4ZXdmZCIgdGltZXN0YW1wPSIxNTI1MDQ1MTEwIj40NTg3PC9rZXk+
PGtleSBhcHA9IkVOV2ViIiBkYi1pZD0iIj4wPC9rZXk+PC9mb3JlaWduLWtleXM+PHJlZi10eXBl
IG5hbWU9IkpvdXJuYWwgQXJ0aWNsZSI+MTc8L3JlZi10eXBlPjxjb250cmlidXRvcnM+PGF1dGhv
cnM+PGF1dGhvcj5DaGVuZXksIE0uPC9hdXRob3I+PGF1dGhvcj5Hb3dpbiwgTS48L2F1dGhvcj48
YXV0aG9yPkNsYXdzb24sIEEuIEguPC9hdXRob3I+PC9hdXRob3JzPjwvY29udHJpYnV0b3JzPjxh
dXRoLWFkZHJlc3M+YSBVbml2ZXJzaXR5IG9mIE9rbGFob21hICwgRGVwYXJ0bWVudCBvZiBIZWFs
dGggYW5kIEV4ZXJjaXNlIFNjaWVuY2UuJiN4RDtiIERlcGFydG1lbnQgb2YgUHN5Y2hvbG9neSAs
IE9rbGFob21hIFN0YXRlIFVuaXZlcnNpdHkuPC9hdXRoLWFkZHJlc3M+PHRpdGxlcz48dGl0bGU+
VXNpbmcgdGhlIEVjb2xvZ2ljYWwgTW9kZWwgdG8gVW5kZXJzdGFuZCBJbmZsdWVuY2VzIG9uIENv
bGxlZ2UgU3R1ZGVudCBWYXBpbmc8L3RpdGxlPjxzZWNvbmRhcnktdGl0bGU+SiBBbSBDb2xsIEhl
YWx0aDwvc2Vjb25kYXJ5LXRpdGxlPjxhbHQtdGl0bGU+Sm91cm5hbCBvZiBBbWVyaWNhbiBjb2xs
ZWdlIGhlYWx0aCA6IEogb2YgQUNIPC9hbHQtdGl0bGU+PC90aXRsZXM+PHBlcmlvZGljYWw+PGZ1
bGwtdGl0bGU+SiBBbSBDb2xsIEhlYWx0aDwvZnVsbC10aXRsZT48YWJici0xPkpvdXJuYWwgb2Yg
QW1lcmljYW4gY29sbGVnZSBoZWFsdGggOiBKIG9mIEFDSDwvYWJici0xPjwvcGVyaW9kaWNhbD48
YWx0LXBlcmlvZGljYWw+PGZ1bGwtdGl0bGU+SiBBbSBDb2xsIEhlYWx0aDwvZnVsbC10aXRsZT48
YWJici0xPkpvdXJuYWwgb2YgQW1lcmljYW4gY29sbGVnZSBoZWFsdGggOiBKIG9mIEFDSDwvYWJi
ci0xPjwvYWx0LXBlcmlvZGljYWw+PHBhZ2VzPjEtMzI8L3BhZ2VzPjxlZGl0aW9uPjIwMTgvMDIv
MTc8L2VkaXRpb24+PGRhdGVzPjx5ZWFyPjIwMTg8L3llYXI+PHB1Yi1kYXRlcz48ZGF0ZT5GZWIg
MTY8L2RhdGU+PC9wdWItZGF0ZXM+PC9kYXRlcz48aXNibj4wNzQ0LTg0ODE8L2lzYm4+PGFjY2Vz
c2lvbi1udW0+Mjk0NTIwNTE8L2FjY2Vzc2lvbi1udW0+PHVybHM+PHJlbGF0ZWQtdXJscz48dXJs
Pmh0dHBzOi8vd3d3LnRhbmRmb25saW5lLmNvbS9kb2kvcGRmLzEwLjEwODAvMDc0NDg0ODEuMjAx
OC4xNDQwNTc4P25lZWRBY2Nlc3M9dHJ1ZTwvdXJsPjwvcmVsYXRlZC11cmxzPjwvdXJscz48ZWxl
Y3Ryb25pYy1yZXNvdXJjZS1udW0+MTAuMTA4MC8wNzQ0ODQ4MS4yMDE4LjE0NDA1Nzg8L2VsZWN0
cm9uaWMtcmVzb3VyY2UtbnVtPjxyZW1vdGUtZGF0YWJhc2UtcHJvdmlkZXI+TkxNPC9yZW1vdGUt
ZGF0YWJhc2UtcHJvdmlkZXI+PGxhbmd1YWdlPmVuZzwvbGFuZ3VhZ2U+PC9yZWNvcmQ+PC9DaXRl
PjxDaXRlPjxBdXRob3I+Q29wZWxhbmQ8L0F1dGhvcj48WWVhcj4yMDE3PC9ZZWFyPjxSZWNOdW0+
NTE5NzwvUmVjTnVtPjxyZWNvcmQ+PHJlYy1udW1iZXI+NTE5NzwvcmVjLW51bWJlcj48Zm9yZWln
bi1rZXlzPjxrZXkgYXBwPSJFTiIgZGItaWQ9ImZwdDlwdHRybTV6ZnNhZXNwOWZwc2RkdjA5ZXdz
djV4ZXdmZCIgdGltZXN0YW1wPSIxNTI1MDQ2MjI4Ij41MTk3PC9rZXk+PGtleSBhcHA9IkVOV2Vi
IiBkYi1pZD0iIj4wPC9rZXk+PC9mb3JlaWduLWtleXM+PHJlZi10eXBlIG5hbWU9IkpvdXJuYWwg
QXJ0aWNsZSI+MTc8L3JlZi10eXBlPjxjb250cmlidXRvcnM+PGF1dGhvcnM+PGF1dGhvcj5Db3Bl
bGFuZCwgQS4gTC48L2F1dGhvcj48YXV0aG9yPlBlbHRpZXIsIE0uIFIuPC9hdXRob3I+PGF1dGhv
cj5XYWxkbywgSy48L2F1dGhvcj48L2F1dGhvcnM+PC9jb250cmlidXRvcnM+PGF1dGgtYWRkcmVz
cz5EZXBhcnRtZW50IG9mIFBzeWNob2xvZ3ksIExvdWlzaWFuYSBTdGF0ZSBVbml2ZXJzaXR5LCBV
bml0ZWQgU3RhdGVzLiBFbGVjdHJvbmljIGFkZHJlc3M6IGNvcGVsYW5AbHN1LmVkdS4mI3hEO0Rl
cGFydG1lbnQgb2YgUHN5Y2hvbG9neSwgTG91aXNpYW5hIFN0YXRlIFVuaXZlcnNpdHksIFVuaXRl
ZCBTdGF0ZXMuPC9hdXRoLWFkZHJlc3M+PHRpdGxlcz48dGl0bGU+UGVyY2VpdmVkIHJpc2sgYW5k
IGJlbmVmaXRzIG9mIGUtY2lnYXJldHRlIHVzZSBhbW9uZyBjb2xsZWdlIHN0dWRlbnRzPC90aXRs
ZT48c2Vjb25kYXJ5LXRpdGxlPkFkZGljdCBCZWhhdjwvc2Vjb25kYXJ5LXRpdGxlPjxhbHQtdGl0
bGU+QWRkaWN0aXZlIGJlaGF2aW9yczwvYWx0LXRpdGxlPjwvdGl0bGVzPjxhbHQtcGVyaW9kaWNh
bD48ZnVsbC10aXRsZT5BZGRpY3RpdmUgQmVoYXZpb3JzPC9mdWxsLXRpdGxlPjwvYWx0LXBlcmlv
ZGljYWw+PHBhZ2VzPjMxLTM3PC9wYWdlcz48dm9sdW1lPjcxPC92b2x1bWU+PGVkaXRpb24+MjAx
Ny8wMy8wMTwvZWRpdGlvbj48a2V5d29yZHM+PGtleXdvcmQ+QWR1bHQ8L2tleXdvcmQ+PGtleXdv
cmQ+RWxlY3Ryb25pYyBOaWNvdGluZSBEZWxpdmVyeSBTeXN0ZW1zLypzdGF0aXN0aWNzICZhbXA7
IG51bWVyaWNhbCBkYXRhPC9rZXl3b3JkPjxrZXl3b3JkPkZlbWFsZTwva2V5d29yZD48a2V5d29y
ZD4qSGVhbHRoIEtub3dsZWRnZSwgQXR0aXR1ZGVzLCBQcmFjdGljZTwva2V5d29yZD48a2V5d29y
ZD5IdW1hbnM8L2tleXdvcmQ+PGtleXdvcmQ+TWFsZTwva2V5d29yZD48a2V5d29yZD5QcmluY2lw
YWwgQ29tcG9uZW50IEFuYWx5c2lzPC9rZXl3b3JkPjxrZXl3b3JkPlJpc2stVGFraW5nPC9rZXl3
b3JkPjxrZXl3b3JkPlN0dWRlbnRzLypwc3ljaG9sb2d5LypzdGF0aXN0aWNzICZhbXA7IG51bWVy
aWNhbCBkYXRhPC9rZXl3b3JkPjxrZXl3b3JkPlN1cnZleXMgYW5kIFF1ZXN0aW9ubmFpcmVzPC9r
ZXl3b3JkPjxrZXl3b3JkPlVuaXZlcnNpdGllczwva2V5d29yZD48a2V5d29yZD5Zb3VuZyBBZHVs
dDwva2V5d29yZD48a2V5d29yZD5Db2xsZWdlIHN0dWRlbnRzPC9rZXl3b3JkPjxrZXl3b3JkPkUt
Y2lnYXJldHRlPC9rZXl3b3JkPjxrZXl3b3JkPlBlcmNlcHRpb25zPC9rZXl3b3JkPjwva2V5d29y
ZHM+PGRhdGVzPjx5ZWFyPjIwMTc8L3llYXI+PHB1Yi1kYXRlcz48ZGF0ZT5BdWc8L2RhdGU+PC9w
dWItZGF0ZXM+PC9kYXRlcz48aXNibj4wMzA2LTQ2MDM8L2lzYm4+PGFjY2Vzc2lvbi1udW0+Mjgy
NDI1MzM8L2FjY2Vzc2lvbi1udW0+PHVybHM+PHJlbGF0ZWQtdXJscz48dXJsPmh0dHBzOi8vd3d3
LnNjaWVuY2VkaXJlY3QuY29tL3NjaWVuY2UvYXJ0aWNsZS9waWkvUzAzMDY0NjAzMTczMDA2OTI/
dmlhJTNEaWh1YjwvdXJsPjwvcmVsYXRlZC11cmxzPjwvdXJscz48ZWxlY3Ryb25pYy1yZXNvdXJj
ZS1udW0+MTAuMTAxNi9qLmFkZGJlaC4yMDE3LjAyLjAwNTwvZWxlY3Ryb25pYy1yZXNvdXJjZS1u
dW0+PHJlbW90ZS1kYXRhYmFzZS1wcm92aWRlcj5OTE08L3JlbW90ZS1kYXRhYmFzZS1wcm92aWRl
cj48bGFuZ3VhZ2U+ZW5nPC9sYW5ndWFnZT48L3JlY29yZD48L0NpdGU+PENpdGU+PEF1dGhvcj5G
cmFua3M8L0F1dGhvcj48WWVhcj4yMDE3PC9ZZWFyPjxSZWNOdW0+NDcyMTwvUmVjTnVtPjxyZWNv
cmQ+PHJlYy1udW1iZXI+NDcyMTwvcmVjLW51bWJlcj48Zm9yZWlnbi1rZXlzPjxrZXkgYXBwPSJF
TiIgZGItaWQ9ImZwdDlwdHRybTV6ZnNhZXNwOWZwc2RkdjA5ZXdzdjV4ZXdmZCIgdGltZXN0YW1w
PSIxNTI1MDQ1MzgzIj40NzIxPC9rZXk+PGtleSBhcHA9IkVOV2ViIiBkYi1pZD0iIj4wPC9rZXk+
PC9mb3JlaWduLWtleXM+PHJlZi10eXBlIG5hbWU9IkpvdXJuYWwgQXJ0aWNsZSI+MTc8L3JlZi10
eXBlPjxjb250cmlidXRvcnM+PGF1dGhvcnM+PGF1dGhvcj5GcmFua3MsIEEuIE0uPC9hdXRob3I+
PGF1dGhvcj5IYXdlcywgVy4gQS48L2F1dGhvcj48YXV0aG9yPk1jQ2FpbiwgSy4gUi48L2F1dGhv
cj48YXV0aG9yPlBheWFrYWNoYXQsIE4uPC9hdXRob3I+PC9hdXRob3JzPjwvY29udHJpYnV0b3Jz
PjxhdXRoLWFkZHJlc3M+RGVwYXJ0bWVudCBvZiBQaGFybWFjeSBQcmFjdGljZSwgVW5pdmVyc2l0
eSBvZiBBcmthbnNhcyBmb3IgTWVkaWNhbCBTY2llbmNlcyBDb2xsZWdlIG9mIFBoYXJtYWN5LCA0
MzAxIFdlc3QgTWFya2hhbSBTdHJlZXQgIzUyMiwgTGl0dGxlIFJvY2ssIEFSIDcyMjA1LCBVbml0
ZXMgU3RhdGVzLiBFbGVjdHJvbmljIGFkZHJlc3M6IGFmcmFua3NAdWFtcy5lZHUuJiN4RDtVbml2
ZXJzaXR5IG9mIEFya2Fuc2FzIGZvciBNZWRpY2FsIFNjaWVuY2VzIENvbGxlZ2Ugb2YgUGhhcm1h
Y3ksIDQzMDEgV2VzdCBNYXJraGFtIFN0cmVldCAjNTIyLCBMaXR0bGUgUm9jaywgQVIgNzIyMDUs
IFVuaXRlZCBTdGF0ZXMuIEVsZWN0cm9uaWMgYWRkcmVzczogd2hhd2VzQHVhbXMuZWR1LiYjeEQ7
RGVwYXJ0bWVudCBvZiBQaGFybWFjeSBQcmFjdGljZSwgVW5pdmVyc2l0eSBvZiBBcmthbnNhcyBm
b3IgTWVkaWNhbCBTY2llbmNlcyBDb2xsZWdlIG9mIFBoYXJtYWN5LCA0MzAxIFdlc3QgTWFya2hh
bSBTdHJlZXQgIzUyMiwgTGl0dGxlIFJvY2ssIEFSIDcyMjA1LCBVbml0ZXMgU3RhdGVzLiBFbGVj
dHJvbmljIGFkZHJlc3M6IG1jY2FpbmtlaXRoQHVhbXMuZWR1LiYjeEQ7RGVwYXJ0bWVudCBvZiBQ
aGFybWFjeSBQcmFjdGljZSwgVW5pdmVyc2l0eSBvZiBBcmthbnNhcyBmb3IgTWVkaWNhbCBTY2ll
bmNlcyBDb2xsZWdlIG9mIFBoYXJtYWN5LCA0MzAxIFdlc3QgTWFya2hhbSBTdHJlZXQgIzUyMiwg
TGl0dGxlIFJvY2ssIEFSIDcyMjA1LCBVbml0ZXMgU3RhdGVzLiBFbGVjdHJvbmljIGFkZHJlc3M6
IG5wYXlha2FjaGF0QHVhbXMuZWR1LjwvYXV0aC1hZGRyZXNzPjx0aXRsZXM+PHRpdGxlPkVsZWN0
cm9uaWMgY2lnYXJldHRlIHVzZSwga25vd2xlZGdlLCBhbmQgcGVyY2VwdGlvbnMgYW1vbmcgaGVh
bHRoIHByb2Zlc3Npb25hbCBzdHVkZW50czwvdGl0bGU+PHNlY29uZGFyeS10aXRsZT5DdXJyIFBo
YXJtIFRlYWNoIExlYXJuPC9zZWNvbmRhcnktdGl0bGU+PGFsdC10aXRsZT5DdXJyZW50cyBpbiBw
aGFybWFjeSB0ZWFjaGluZyAmYW1wOyBsZWFybmluZzwvYWx0LXRpdGxlPjwvdGl0bGVzPjxwZXJp
b2RpY2FsPjxmdWxsLXRpdGxlPkN1cnIgUGhhcm0gVGVhY2ggTGVhcm48L2Z1bGwtdGl0bGU+PGFi
YnItMT5DdXJyZW50cyBpbiBwaGFybWFjeSB0ZWFjaGluZyAmYW1wOyBsZWFybmluZzwvYWJici0x
PjwvcGVyaW9kaWNhbD48YWx0LXBlcmlvZGljYWw+PGZ1bGwtdGl0bGU+Q3VyciBQaGFybSBUZWFj
aCBMZWFybjwvZnVsbC10aXRsZT48YWJici0xPkN1cnJlbnRzIGluIHBoYXJtYWN5IHRlYWNoaW5n
ICZhbXA7IGxlYXJuaW5nPC9hYmJyLTE+PC9hbHQtcGVyaW9kaWNhbD48cGFnZXM+MTAwMy0xMDA5
PC9wYWdlcz48dm9sdW1lPjk8L3ZvbHVtZT48bnVtYmVyPjY8L251bWJlcj48ZWRpdGlvbj4yMDE3
LzEyLzE0PC9lZGl0aW9uPjxrZXl3b3Jkcz48a2V5d29yZD5FbGVjdHJvbmljIGNpZ2FyZXR0ZXM8
L2tleXdvcmQ+PGtleXdvcmQ+S25vd2xlZGdlPC9rZXl3b3JkPjxrZXl3b3JkPlNtb2tpbmcgY2Vz
c2F0aW9uPC9rZXl3b3JkPjxrZXl3b3JkPlN0dWRlbnRzLCBoZWFsdGggb2NjdXBhdGlvbnM8L2tl
eXdvcmQ+PGtleXdvcmQ+VG9iYWNjbyB1c2U8L2tleXdvcmQ+PC9rZXl3b3Jkcz48ZGF0ZXM+PHll
YXI+MjAxNzwveWVhcj48cHViLWRhdGVzPjxkYXRlPk5vdjwvZGF0ZT48L3B1Yi1kYXRlcz48L2Rh
dGVzPjxpc2JuPjE4NzctMTI5NzwvaXNibj48YWNjZXNzaW9uLW51bT4yOTIzMzM2NzwvYWNjZXNz
aW9uLW51bT48dXJscz48cmVsYXRlZC11cmxzPjx1cmw+aHR0cHM6Ly93d3cuc2NpZW5jZWRpcmVj
dC5jb20vc2NpZW5jZS9hcnRpY2xlL3BpaS9TMTg3NzEyOTcxNjMwMjUyMD92aWElM0RpaHViPC91
cmw+PC9yZWxhdGVkLXVybHM+PC91cmxzPjxlbGVjdHJvbmljLXJlc291cmNlLW51bT4xMC4xMDE2
L2ouY3B0bC4yMDE3LjA3LjAyMzwvZWxlY3Ryb25pYy1yZXNvdXJjZS1udW0+PHJlbW90ZS1kYXRh
YmFzZS1wcm92aWRlcj5OTE08L3JlbW90ZS1kYXRhYmFzZS1wcm92aWRlcj48bGFuZ3VhZ2U+ZW5n
PC9sYW5ndWFnZT48L3JlY29yZD48L0NpdGU+PENpdGU+PEF1dGhvcj5LaW5nPC9BdXRob3I+PFll
YXI+MjAxODwvWWVhcj48UmVjTnVtPjQ4NjM8L1JlY051bT48cmVjb3JkPjxyZWMtbnVtYmVyPjQ4
NjM8L3JlYy1udW1iZXI+PGZvcmVpZ24ta2V5cz48a2V5IGFwcD0iRU4iIGRiLWlkPSJmcHQ5cHR0
cm01emZzYWVzcDlmcHNkZHYwOWV3c3Y1eGV3ZmQiIHRpbWVzdGFtcD0iMTUyNTA0NTYyMCI+NDg2
Mzwva2V5PjwvZm9yZWlnbi1rZXlzPjxyZWYtdHlwZSBuYW1lPSJKb3VybmFsIEFydGljbGUiPjE3
PC9yZWYtdHlwZT48Y29udHJpYnV0b3JzPjxhdXRob3JzPjxhdXRob3I+S2luZywgSi4gTC48L2F1
dGhvcj48YXV0aG9yPlJlYm91c3NpbiwgQi4gQS48L2F1dGhvcj48YXV0aG9yPlNwYW5nbGVyLCBK
LjwvYXV0aG9yPjxhdXRob3I+Q29ybmFjY2hpb25lIFJvc3MsIEouPC9hdXRob3I+PGF1dGhvcj5T
dXRmaW4sIEUuIEwuPC9hdXRob3I+PC9hdXRob3JzPjwvY29udHJpYnV0b3JzPjxhdXRoLWFkZHJl
c3M+V2FrZSBGb3Jlc3QgU2Nob29sIG9mIE1lZGljaW5lLCBNZWRpY2FsIENlbnRlciBCb3VsZXZh
cmQsIFdpbnN0b24tU2FsZW0sIE5DIDI3MTU3LCBVbml0ZWQgU3RhdGVzLiBFbGVjdHJvbmljIGFk
ZHJlc3M6IGpsa2luZ0B3YWtlaGVhbHRoLmVkdS4mI3hEO1dha2UgRm9yZXN0IFNjaG9vbCBvZiBN
ZWRpY2luZSwgTWVkaWNhbCBDZW50ZXIgQm91bGV2YXJkLCBXaW5zdG9uLVNhbGVtLCBOQyAyNzE1
NywgVW5pdGVkIFN0YXRlcy4gRWxlY3Ryb25pYyBhZGRyZXNzOiBicmVib3Vzc0B3YWtlaGVhbHRo
LmVkdS4mI3hEO1dha2UgRm9yZXN0IFNjaG9vbCBvZiBNZWRpY2luZSwgTWVkaWNhbCBDZW50ZXIg
Qm91bGV2YXJkLCBXaW5zdG9uLVNhbGVtLCBOQyAyNzE1NywgVW5pdGVkIFN0YXRlcy4gRWxlY3Ry
b25pYyBhZGRyZXNzOiBqc3BhbmdsZUB3YWtlaGVhbHRoLmVkdS4mI3hEO1dha2UgRm9yZXN0IFNj
aG9vbCBvZiBNZWRpY2luZSwgTWVkaWNhbCBDZW50ZXIgQm91bGV2YXJkLCBXaW5zdG9uLVNhbGVt
LCBOQyAyNzE1NywgVW5pdGVkIFN0YXRlcy4gRWxlY3Ryb25pYyBhZGRyZXNzOiBqY29ybmFjY0B3
YWtlaGVhbHRoLmVkdS4mI3hEO1dha2UgRm9yZXN0IFNjaG9vbCBvZiBNZWRpY2luZSwgTWVkaWNh
bCBDZW50ZXIgQm91bGV2YXJkLCBXaW5zdG9uLVNhbGVtLCBOQyAyNzE1NywgVW5pdGVkIFN0YXRl
cy4gRWxlY3Ryb25pYyBhZGRyZXNzOiBlc3V0ZmluQHdha2VoZWFsdGguZWR1LjwvYXV0aC1hZGRy
ZXNzPjx0aXRsZXM+PHRpdGxlPlRvYmFjY28gcHJvZHVjdCB1c2UgYW5kIG1lbnRhbCBoZWFsdGgg
c3RhdHVzIGFtb25nIHlvdW5nIGFkdWx0czwvdGl0bGU+PHNlY29uZGFyeS10aXRsZT5BZGRpY3Qg
QmVoYXY8L3NlY29uZGFyeS10aXRsZT48YWx0LXRpdGxlPkFkZGljdGl2ZSBiZWhhdmlvcnM8L2Fs
dC10aXRsZT48L3RpdGxlcz48YWx0LXBlcmlvZGljYWw+PGZ1bGwtdGl0bGU+QWRkaWN0aXZlIEJl
aGF2aW9yczwvZnVsbC10aXRsZT48L2FsdC1wZXJpb2RpY2FsPjxwYWdlcz42Ny03MjwvcGFnZXM+
PHZvbHVtZT43Nzwvdm9sdW1lPjxlZGl0aW9uPjIwMTcvMTAvMDI8L2VkaXRpb24+PGtleXdvcmRz
PjxrZXl3b3JkPkNvbGxlZ2Ugc3R1ZGVudHM8L2tleXdvcmQ+PGtleXdvcmQ+TWVudGFsIGhlYWx0
aDwva2V5d29yZD48a2V5d29yZD5TbW9raW5nPC9rZXl3b3JkPjxrZXl3b3JkPlRvYmFjY28gdXNl
PC9rZXl3b3JkPjwva2V5d29yZHM+PGRhdGVzPjx5ZWFyPjIwMTg8L3llYXI+PHB1Yi1kYXRlcz48
ZGF0ZT5GZWI8L2RhdGU+PC9wdWItZGF0ZXM+PC9kYXRlcz48aXNibj4wMzA2LTQ2MDM8L2lzYm4+
PGFjY2Vzc2lvbi1udW0+Mjg5NjUwNjk8L2FjY2Vzc2lvbi1udW0+PHVybHM+PHJlbGF0ZWQtdXJs
cz48dXJsPmh0dHBzOi8vd3d3LnNjaWVuY2VkaXJlY3QuY29tL3NjaWVuY2UvYXJ0aWNsZS9waWkv
UzAzMDY0NjAzMTczMDM1N1g/dmlhJTNEaWh1YjwvdXJsPjwvcmVsYXRlZC11cmxzPjwvdXJscz48
Y3VzdG9tMj5QTUM1NzAxODcyPC9jdXN0b20yPjxjdXN0b202Pk5JSE1TOTEwMDE2PC9jdXN0b202
PjxlbGVjdHJvbmljLXJlc291cmNlLW51bT4xMC4xMDE2L2ouYWRkYmVoLjIwMTcuMDkuMDEyPC9l
bGVjdHJvbmljLXJlc291cmNlLW51bT48cmVtb3RlLWRhdGFiYXNlLXByb3ZpZGVyPk5MTTwvcmVt
b3RlLWRhdGFiYXNlLXByb3ZpZGVyPjxsYW5ndWFnZT5lbmc8L2xhbmd1YWdlPjwvcmVjb3JkPjwv
Q2l0ZT48Q2l0ZT48QXV0aG9yPkxlZTwvQXV0aG9yPjxZZWFyPjIwMTc8L1llYXI+PFJlY051bT41
MzUwPC9SZWNOdW0+PHJlY29yZD48cmVjLW51bWJlcj41MzUwPC9yZWMtbnVtYmVyPjxmb3JlaWdu
LWtleXM+PGtleSBhcHA9IkVOIiBkYi1pZD0iZnB0OXB0dHJtNXpmc2Flc3A5ZnBzZGR2MDlld3N2
NXhld2ZkIiB0aW1lc3RhbXA9IjE1MjUwNDY1MTQiPjUzNTA8L2tleT48L2ZvcmVpZ24ta2V5cz48
cmVmLXR5cGUgbmFtZT0iSm91cm5hbCBBcnRpY2xlIj4xNzwvcmVmLXR5cGU+PGNvbnRyaWJ1dG9y
cz48YXV0aG9ycz48YXV0aG9yPkxlZSwgSC4gWS48L2F1dGhvcj48YXV0aG9yPkxpbiwgSC4gQy48
L2F1dGhvcj48YXV0aG9yPlNlbywgRC4gQy48L2F1dGhvcj48YXV0aG9yPkxvaHJtYW5uLCBELiBL
LjwvYXV0aG9yPjwvYXV0aG9ycz48L2NvbnRyaWJ1dG9ycz48YXV0aC1hZGRyZXNzPkRlcGFydG1l
bnQgb2YgQXBwbGllZCBIZWFsdGggU2NpZW5jZSwgU2Nob29sIG9mIFB1YmxpYyBIZWFsdGgsIElu
ZGlhbmEgVW5pdmVyc2l0eSwgQmxvb21pbmd0b24sIEluZGlhbmEgNDc0MDUtNzEwOSwgVVNBLiYj
eEQ7RGVwYXJ0bWVudCBvZiBBcHBsaWVkIEhlYWx0aCBTY2llbmNlLCBTY2hvb2wgb2YgUHVibGlj
IEhlYWx0aCwgSW5kaWFuYSBVbml2ZXJzaXR5LCBCbG9vbWluZ3RvbiwgSW5kaWFuYSA0NzQwNS03
MTA5LCBVU0EuIEVsZWN0cm9uaWMgYWRkcmVzczogc2VvQGluZGlhbmEuZWR1LjwvYXV0aC1hZGRy
ZXNzPjx0aXRsZXM+PHRpdGxlPkRldGVybWluYW50cyBhc3NvY2lhdGVkIHdpdGggRS1jaWdhcmV0
dGUgYWRvcHRpb24gYW5kIHVzZSBpbnRlbnRpb24gYW1vbmcgY29sbGVnZSBzdHVkZW50czwvdGl0
bGU+PHNlY29uZGFyeS10aXRsZT5BZGRpY3QgQmVoYXY8L3NlY29uZGFyeS10aXRsZT48YWx0LXRp
dGxlPkFkZGljdGl2ZSBiZWhhdmlvcnM8L2FsdC10aXRsZT48L3RpdGxlcz48YWx0LXBlcmlvZGlj
YWw+PGZ1bGwtdGl0bGU+QWRkaWN0aXZlIEJlaGF2aW9yczwvZnVsbC10aXRsZT48L2FsdC1wZXJp
b2RpY2FsPjxwYWdlcz4xMDItMTEwPC9wYWdlcz48dm9sdW1lPjY1PC92b2x1bWU+PGVkaXRpb24+
MjAxNi8xMS8wNzwvZWRpdGlvbj48a2V5d29yZHM+PGtleXdvcmQ+QWRvbGVzY2VudDwva2V5d29y
ZD48a2V5d29yZD5BZHVsdDwva2V5d29yZD48a2V5d29yZD5FbGVjdHJvbmljIE5pY290aW5lIERl
bGl2ZXJ5IFN5c3RlbXMvKnN0YXRpc3RpY3MgJmFtcDsgbnVtZXJpY2FsIGRhdGE8L2tleXdvcmQ+
PGtleXdvcmQ+RmVtYWxlPC9rZXl3b3JkPjxrZXl3b3JkPkh1bWFuczwva2V5d29yZD48a2V5d29y
ZD4qSW50ZW50aW9uPC9rZXl3b3JkPjxrZXl3b3JkPk1hbGU8L2tleXdvcmQ+PGtleXdvcmQ+U3R1
ZGVudHMvKnBzeWNob2xvZ3kvKnN0YXRpc3RpY3MgJmFtcDsgbnVtZXJpY2FsIGRhdGE8L2tleXdv
cmQ+PGtleXdvcmQ+U3VydmV5cyBhbmQgUXVlc3Rpb25uYWlyZXM8L2tleXdvcmQ+PGtleXdvcmQ+
VW5pdmVyc2l0aWVzPC9rZXl3b3JkPjxrZXl3b3JkPllvdW5nIEFkdWx0PC9rZXl3b3JkPjxrZXl3
b3JkPkFkb3B0aW9uPC9rZXl3b3JkPjxrZXl3b3JkPkNvbGxlZ2Ugc3R1ZGVudHM8L2tleXdvcmQ+
PGtleXdvcmQ+RGlmZnVzaW9uIG9mIGlubm92YXRpb24gdGhlb3J5PC9rZXl3b3JkPjxrZXl3b3Jk
PkUtY2lnYXJldHRlPC9rZXl3b3JkPjwva2V5d29yZHM+PGRhdGVzPjx5ZWFyPjIwMTc8L3llYXI+
PHB1Yi1kYXRlcz48ZGF0ZT5GZWI8L2RhdGU+PC9wdWItZGF0ZXM+PC9kYXRlcz48aXNibj4wMzA2
LTQ2MDM8L2lzYm4+PGFjY2Vzc2lvbi1udW0+Mjc4MTYwMzQ8L2FjY2Vzc2lvbi1udW0+PHVybHM+
PHJlbGF0ZWQtdXJscz48dXJsPmh0dHBzOi8vd3d3LnNjaWVuY2VkaXJlY3QuY29tL3NjaWVuY2Uv
YXJ0aWNsZS9waWkvUzAzMDY0NjAzMTYzMDM3OTM/dmlhJTNEaWh1YjwvdXJsPjwvcmVsYXRlZC11
cmxzPjwvdXJscz48ZWxlY3Ryb25pYy1yZXNvdXJjZS1udW0+MTAuMTAxNi9qLmFkZGJlaC4yMDE2
LjEwLjAyMzwvZWxlY3Ryb25pYy1yZXNvdXJjZS1udW0+PHJlbW90ZS1kYXRhYmFzZS1wcm92aWRl
cj5OTE08L3JlbW90ZS1kYXRhYmFzZS1wcm92aWRlcj48bGFuZ3VhZ2U+ZW5nPC9sYW5ndWFnZT48
L3JlY29yZD48L0NpdGU+PENpdGU+PEF1dGhvcj5MZWU8L0F1dGhvcj48WWVhcj4yMDE3PC9ZZWFy
PjxSZWNOdW0+NDgxNzwvUmVjTnVtPjxyZWNvcmQ+PHJlYy1udW1iZXI+NDgxNzwvcmVjLW51bWJl
cj48Zm9yZWlnbi1rZXlzPjxrZXkgYXBwPSJFTiIgZGItaWQ9ImZwdDlwdHRybTV6ZnNhZXNwOWZw
c2RkdjA5ZXdzdjV4ZXdmZCIgdGltZXN0YW1wPSIxNTI1MDQ1NTUyIj40ODE3PC9rZXk+PGtleSBh
cHA9IkVOV2ViIiBkYi1pZD0iIj4wPC9rZXk+PC9mb3JlaWduLWtleXM+PHJlZi10eXBlIG5hbWU9
IkpvdXJuYWwgQXJ0aWNsZSI+MTc8L3JlZi10eXBlPjxjb250cmlidXRvcnM+PGF1dGhvcnM+PGF1
dGhvcj5MZWUsIFkuIE8uPC9hdXRob3I+PGF1dGhvcj5Ob25uZW1ha2VyLCBKLiBNLjwvYXV0aG9y
PjxhdXRob3I+QnJhZGZpZWxkLCBCLjwvYXV0aG9yPjxhdXRob3I+SGVuc2VsLCBFLiBDLjwvYXV0
aG9yPjxhdXRob3I+Um9iaW5zb24sIFIuIEouPC9hdXRob3I+PC9hdXRob3JzPjwvY29udHJpYnV0
b3JzPjxhdXRoLWFkZHJlc3M+UlRJIEludGVybmF0aW9uYWwsIFJlc2VhcmNoIFRyaWFuZ2xlIFBh
cmssIE5DLCBVU0EuJiN4RDtEZXBhcnRtZW50IG9mIE1lY2hhbmljYWwgRW5naW5lZXJpbmcsIFJv
Y2hlc3RlciBJbnN0aXR1dGUgb2YgVGVjaG5vbG9neSwgUm9jaGVzdGVyIE5ZLCBVU0EuPC9hdXRo
LWFkZHJlc3M+PHRpdGxlcz48dGl0bGU+RXhhbWluaW5nIERhaWx5IEVsZWN0cm9uaWMgQ2lnYXJl
dHRlIFB1ZmYgVG9wb2dyYXBoeSBBbW9uZyBFc3RhYmxpc2hlZCBhbmQgTm9uLWVzdGFibGlzaGVk
IENpZ2FyZXR0ZSBTbW9rZXJzIGluIHRoZWlyIE5hdHVyYWwgRW52aXJvbm1lbnQ8L3RpdGxlPjxz
ZWNvbmRhcnktdGl0bGU+Tmljb3RpbmUgVG9iIFJlczwvc2Vjb25kYXJ5LXRpdGxlPjxhbHQtdGl0
bGU+Tmljb3RpbmUgJmFtcDsgdG9iYWNjbyByZXNlYXJjaCA6IG9mZmljaWFsIGpvdXJuYWwgb2Yg
dGhlIFNvY2lldHkgZm9yIFJlc2VhcmNoIG9uIE5pY290aW5lIGFuZCBUb2JhY2NvPC9hbHQtdGl0
bGU+PC90aXRsZXM+PHBlcmlvZGljYWw+PGZ1bGwtdGl0bGU+Tmljb3RpbmUgVG9iIFJlczwvZnVs
bC10aXRsZT48YWJici0xPk5pY290aW5lICZhbXA7IHRvYmFjY28gcmVzZWFyY2ggOiBvZmZpY2lh
bCBqb3VybmFsIG9mIHRoZSBTb2NpZXR5IGZvciBSZXNlYXJjaCBvbiBOaWNvdGluZSBhbmQgVG9i
YWNjbzwvYWJici0xPjwvcGVyaW9kaWNhbD48YWx0LXBlcmlvZGljYWw+PGZ1bGwtdGl0bGU+Tmlj
b3RpbmUgVG9iIFJlczwvZnVsbC10aXRsZT48YWJici0xPk5pY290aW5lICZhbXA7IHRvYmFjY28g
cmVzZWFyY2ggOiBvZmZpY2lhbCBqb3VybmFsIG9mIHRoZSBTb2NpZXR5IGZvciBSZXNlYXJjaCBv
biBOaWNvdGluZSBhbmQgVG9iYWNjbzwvYWJici0xPjwvYWx0LXBlcmlvZGljYWw+PGVkaXRpb24+
MjAxNy8xMC8yNDwvZWRpdGlvbj48a2V5d29yZHM+PGtleXdvcmQ+Y29tYnVzdGlibGUgY2lnYXJl
dHRlPC9rZXl3b3JkPjxrZXl3b3JkPmUtY2lnYXJldHRlPC9rZXl3b3JkPjxrZXl3b3JkPmVsZWN0
cm9uaWMgbmljb3RpbmUgZGVsaXZlcnkgc3lzdGVtPC9rZXl3b3JkPjxrZXl3b3JkPnB1ZmZpbmc8
L2tleXdvcmQ+PGtleXdvcmQ+dG9wb2dyYXBoeTwva2V5d29yZD48a2V5d29yZD52YXBpbmc8L2tl
eXdvcmQ+PC9rZXl3b3Jkcz48ZGF0ZXM+PHllYXI+MjAxNzwveWVhcj48cHViLWRhdGVzPjxkYXRl
Pk9jdCA0PC9kYXRlPjwvcHViLWRhdGVzPjwvZGF0ZXM+PGlzYm4+MTQ2Mi0yMjAzPC9pc2JuPjxh
Y2Nlc3Npb24tbnVtPjI5MDU5NDE2PC9hY2Nlc3Npb24tbnVtPjx1cmxzPjwvdXJscz48ZWxlY3Ry
b25pYy1yZXNvdXJjZS1udW0+MTAuMTA5My9udHIvbnR4MjIyPC9lbGVjdHJvbmljLXJlc291cmNl
LW51bT48cmVtb3RlLWRhdGFiYXNlLXByb3ZpZGVyPk5MTTwvcmVtb3RlLWRhdGFiYXNlLXByb3Zp
ZGVyPjxsYW5ndWFnZT5lbmc8L2xhbmd1YWdlPjwvcmVjb3JkPjwvQ2l0ZT48L0VuZE5vdGU+
</w:fldData>
        </w:fldChar>
      </w:r>
      <w:r w:rsidRPr="00892582">
        <w:instrText xml:space="preserve"> ADDIN EN.CITE </w:instrText>
      </w:r>
      <w:r w:rsidRPr="00892582">
        <w:fldChar w:fldCharType="begin">
          <w:fldData xml:space="preserve">PEVuZE5vdGU+PENpdGU+PEF1dGhvcj5BYmFkaTwvQXV0aG9yPjxZZWFyPjIwMTc8L1llYXI+PFJl
Y051bT40NzgxPC9SZWNOdW0+PERpc3BsYXlUZXh0PihBYmFkaSwgQ291Y2ggZXQgYWwuIDIwMTcs
IENvcGVsYW5kLCBQZWx0aWVyIGV0IGFsLiAyMDE3LCBGcmFua3MsIEhhd2VzIGV0IGFsLiAyMDE3
LCBMZWUsIExpbiBldCBhbC4gMjAxNywgTGVlLCBOb25uZW1ha2VyIGV0IGFsLiAyMDE3LCBDaGVu
ZXksIEdvd2luIGV0IGFsLiAyMDE4LCBLaW5nLCBSZWJvdXNzaW4gZXQgYWwuIDIwMTgpPC9EaXNw
bGF5VGV4dD48cmVjb3JkPjxyZWMtbnVtYmVyPjQ3ODE8L3JlYy1udW1iZXI+PGZvcmVpZ24ta2V5
cz48a2V5IGFwcD0iRU4iIGRiLWlkPSJmcHQ5cHR0cm01emZzYWVzcDlmcHNkZHYwOWV3c3Y1eGV3
ZmQiIHRpbWVzdGFtcD0iMTUyNTA0NTUwMiI+NDc4MTwva2V5PjxrZXkgYXBwPSJFTldlYiIgZGIt
aWQ9IiI+MDwva2V5PjwvZm9yZWlnbi1rZXlzPjxyZWYtdHlwZSBuYW1lPSJKb3VybmFsIEFydGlj
bGUiPjE3PC9yZWYtdHlwZT48Y29udHJpYnV0b3JzPjxhdXRob3JzPjxhdXRob3I+QWJhZGksIFMu
PC9hdXRob3I+PGF1dGhvcj5Db3VjaCwgRS4gVC48L2F1dGhvcj48YXV0aG9yPkNoYWZmZWUsIEIu
IFcuPC9hdXRob3I+PGF1dGhvcj5XYWxzaCwgTS4gTS48L2F1dGhvcj48L2F1dGhvcnM+PC9jb250
cmlidXRvcnM+PHRpdGxlcz48dGl0bGU+UGVyY2VwdGlvbnMgUmVsYXRlZCB0byBVc2Ugb2YgRWxl
Y3Ryb25pYyBDaWdhcmV0dGVzIGFtb25nIENhbGlmb3JuaWEgQ29sbGVnZSBTdHVkZW50czwvdGl0
bGU+PHNlY29uZGFyeS10aXRsZT5KIERlbnQgSHlnPC9zZWNvbmRhcnktdGl0bGU+PGFsdC10aXRs
ZT5Kb3VybmFsIG9mIGRlbnRhbCBoeWdpZW5lIDogSkRIPC9hbHQtdGl0bGU+PC90aXRsZXM+PHBl
cmlvZGljYWw+PGZ1bGwtdGl0bGU+SiBEZW50IEh5ZzwvZnVsbC10aXRsZT48YWJici0xPkpvdXJu
YWwgb2YgZGVudGFsIGh5Z2llbmUgOiBKREg8L2FiYnItMT48L3BlcmlvZGljYWw+PGFsdC1wZXJp
b2RpY2FsPjxmdWxsLXRpdGxlPkogRGVudCBIeWc8L2Z1bGwtdGl0bGU+PGFiYnItMT5Kb3VybmFs
IG9mIGRlbnRhbCBoeWdpZW5lIDogSkRIPC9hYmJyLTE+PC9hbHQtcGVyaW9kaWNhbD48cGFnZXM+
MzUtNDM8L3BhZ2VzPjx2b2x1bWU+OTE8L3ZvbHVtZT48bnVtYmVyPjE8L251bWJlcj48ZWRpdGlv
bj4yMDE3LzExLzEwPC9lZGl0aW9uPjxrZXl3b3Jkcz48a2V5d29yZD5hd2FyZW5lc3M8L2tleXdv
cmQ+PGtleXdvcmQ+ZWxlY3Ryb25pYyBjaWdhcmV0dGVzPC9rZXl3b3JkPjxrZXl3b3JkPmhlYWx0
aCBwcm9tb3Rpb248L2tleXdvcmQ+PGtleXdvcmQ+cGVyY2VwdGlvbnM8L2tleXdvcmQ+PC9rZXl3
b3Jkcz48ZGF0ZXM+PHllYXI+MjAxNzwveWVhcj48cHViLWRhdGVzPjxkYXRlPkZlYjwvZGF0ZT48
L3B1Yi1kYXRlcz48L2RhdGVzPjxpc2JuPjEwNDMtMjU0eDwvaXNibj48YWNjZXNzaW9uLW51bT4y
OTExODE0OTwvYWNjZXNzaW9uLW51bT48dXJscz48L3VybHM+PHJlbW90ZS1kYXRhYmFzZS1wcm92
aWRlcj5OTE08L3JlbW90ZS1kYXRhYmFzZS1wcm92aWRlcj48bGFuZ3VhZ2U+ZW5nPC9sYW5ndWFn
ZT48L3JlY29yZD48L0NpdGU+PENpdGU+PEF1dGhvcj5DaGVuZXk8L0F1dGhvcj48WWVhcj4yMDE4
PC9ZZWFyPjxSZWNOdW0+NDU4NzwvUmVjTnVtPjxyZWNvcmQ+PHJlYy1udW1iZXI+NDU4NzwvcmVj
LW51bWJlcj48Zm9yZWlnbi1rZXlzPjxrZXkgYXBwPSJFTiIgZGItaWQ9ImZwdDlwdHRybTV6ZnNh
ZXNwOWZwc2RkdjA5ZXdzdjV4ZXdmZCIgdGltZXN0YW1wPSIxNTI1MDQ1MTEwIj40NTg3PC9rZXk+
PGtleSBhcHA9IkVOV2ViIiBkYi1pZD0iIj4wPC9rZXk+PC9mb3JlaWduLWtleXM+PHJlZi10eXBl
IG5hbWU9IkpvdXJuYWwgQXJ0aWNsZSI+MTc8L3JlZi10eXBlPjxjb250cmlidXRvcnM+PGF1dGhv
cnM+PGF1dGhvcj5DaGVuZXksIE0uPC9hdXRob3I+PGF1dGhvcj5Hb3dpbiwgTS48L2F1dGhvcj48
YXV0aG9yPkNsYXdzb24sIEEuIEguPC9hdXRob3I+PC9hdXRob3JzPjwvY29udHJpYnV0b3JzPjxh
dXRoLWFkZHJlc3M+YSBVbml2ZXJzaXR5IG9mIE9rbGFob21hICwgRGVwYXJ0bWVudCBvZiBIZWFs
dGggYW5kIEV4ZXJjaXNlIFNjaWVuY2UuJiN4RDtiIERlcGFydG1lbnQgb2YgUHN5Y2hvbG9neSAs
IE9rbGFob21hIFN0YXRlIFVuaXZlcnNpdHkuPC9hdXRoLWFkZHJlc3M+PHRpdGxlcz48dGl0bGU+
VXNpbmcgdGhlIEVjb2xvZ2ljYWwgTW9kZWwgdG8gVW5kZXJzdGFuZCBJbmZsdWVuY2VzIG9uIENv
bGxlZ2UgU3R1ZGVudCBWYXBpbmc8L3RpdGxlPjxzZWNvbmRhcnktdGl0bGU+SiBBbSBDb2xsIEhl
YWx0aDwvc2Vjb25kYXJ5LXRpdGxlPjxhbHQtdGl0bGU+Sm91cm5hbCBvZiBBbWVyaWNhbiBjb2xs
ZWdlIGhlYWx0aCA6IEogb2YgQUNIPC9hbHQtdGl0bGU+PC90aXRsZXM+PHBlcmlvZGljYWw+PGZ1
bGwtdGl0bGU+SiBBbSBDb2xsIEhlYWx0aDwvZnVsbC10aXRsZT48YWJici0xPkpvdXJuYWwgb2Yg
QW1lcmljYW4gY29sbGVnZSBoZWFsdGggOiBKIG9mIEFDSDwvYWJici0xPjwvcGVyaW9kaWNhbD48
YWx0LXBlcmlvZGljYWw+PGZ1bGwtdGl0bGU+SiBBbSBDb2xsIEhlYWx0aDwvZnVsbC10aXRsZT48
YWJici0xPkpvdXJuYWwgb2YgQW1lcmljYW4gY29sbGVnZSBoZWFsdGggOiBKIG9mIEFDSDwvYWJi
ci0xPjwvYWx0LXBlcmlvZGljYWw+PHBhZ2VzPjEtMzI8L3BhZ2VzPjxlZGl0aW9uPjIwMTgvMDIv
MTc8L2VkaXRpb24+PGRhdGVzPjx5ZWFyPjIwMTg8L3llYXI+PHB1Yi1kYXRlcz48ZGF0ZT5GZWIg
MTY8L2RhdGU+PC9wdWItZGF0ZXM+PC9kYXRlcz48aXNibj4wNzQ0LTg0ODE8L2lzYm4+PGFjY2Vz
c2lvbi1udW0+Mjk0NTIwNTE8L2FjY2Vzc2lvbi1udW0+PHVybHM+PHJlbGF0ZWQtdXJscz48dXJs
Pmh0dHBzOi8vd3d3LnRhbmRmb25saW5lLmNvbS9kb2kvcGRmLzEwLjEwODAvMDc0NDg0ODEuMjAx
OC4xNDQwNTc4P25lZWRBY2Nlc3M9dHJ1ZTwvdXJsPjwvcmVsYXRlZC11cmxzPjwvdXJscz48ZWxl
Y3Ryb25pYy1yZXNvdXJjZS1udW0+MTAuMTA4MC8wNzQ0ODQ4MS4yMDE4LjE0NDA1Nzg8L2VsZWN0
cm9uaWMtcmVzb3VyY2UtbnVtPjxyZW1vdGUtZGF0YWJhc2UtcHJvdmlkZXI+TkxNPC9yZW1vdGUt
ZGF0YWJhc2UtcHJvdmlkZXI+PGxhbmd1YWdlPmVuZzwvbGFuZ3VhZ2U+PC9yZWNvcmQ+PC9DaXRl
PjxDaXRlPjxBdXRob3I+Q29wZWxhbmQ8L0F1dGhvcj48WWVhcj4yMDE3PC9ZZWFyPjxSZWNOdW0+
NTE5NzwvUmVjTnVtPjxyZWNvcmQ+PHJlYy1udW1iZXI+NTE5NzwvcmVjLW51bWJlcj48Zm9yZWln
bi1rZXlzPjxrZXkgYXBwPSJFTiIgZGItaWQ9ImZwdDlwdHRybTV6ZnNhZXNwOWZwc2RkdjA5ZXdz
djV4ZXdmZCIgdGltZXN0YW1wPSIxNTI1MDQ2MjI4Ij41MTk3PC9rZXk+PGtleSBhcHA9IkVOV2Vi
IiBkYi1pZD0iIj4wPC9rZXk+PC9mb3JlaWduLWtleXM+PHJlZi10eXBlIG5hbWU9IkpvdXJuYWwg
QXJ0aWNsZSI+MTc8L3JlZi10eXBlPjxjb250cmlidXRvcnM+PGF1dGhvcnM+PGF1dGhvcj5Db3Bl
bGFuZCwgQS4gTC48L2F1dGhvcj48YXV0aG9yPlBlbHRpZXIsIE0uIFIuPC9hdXRob3I+PGF1dGhv
cj5XYWxkbywgSy48L2F1dGhvcj48L2F1dGhvcnM+PC9jb250cmlidXRvcnM+PGF1dGgtYWRkcmVz
cz5EZXBhcnRtZW50IG9mIFBzeWNob2xvZ3ksIExvdWlzaWFuYSBTdGF0ZSBVbml2ZXJzaXR5LCBV
bml0ZWQgU3RhdGVzLiBFbGVjdHJvbmljIGFkZHJlc3M6IGNvcGVsYW5AbHN1LmVkdS4mI3hEO0Rl
cGFydG1lbnQgb2YgUHN5Y2hvbG9neSwgTG91aXNpYW5hIFN0YXRlIFVuaXZlcnNpdHksIFVuaXRl
ZCBTdGF0ZXMuPC9hdXRoLWFkZHJlc3M+PHRpdGxlcz48dGl0bGU+UGVyY2VpdmVkIHJpc2sgYW5k
IGJlbmVmaXRzIG9mIGUtY2lnYXJldHRlIHVzZSBhbW9uZyBjb2xsZWdlIHN0dWRlbnRzPC90aXRs
ZT48c2Vjb25kYXJ5LXRpdGxlPkFkZGljdCBCZWhhdjwvc2Vjb25kYXJ5LXRpdGxlPjxhbHQtdGl0
bGU+QWRkaWN0aXZlIGJlaGF2aW9yczwvYWx0LXRpdGxlPjwvdGl0bGVzPjxhbHQtcGVyaW9kaWNh
bD48ZnVsbC10aXRsZT5BZGRpY3RpdmUgQmVoYXZpb3JzPC9mdWxsLXRpdGxlPjwvYWx0LXBlcmlv
ZGljYWw+PHBhZ2VzPjMxLTM3PC9wYWdlcz48dm9sdW1lPjcxPC92b2x1bWU+PGVkaXRpb24+MjAx
Ny8wMy8wMTwvZWRpdGlvbj48a2V5d29yZHM+PGtleXdvcmQ+QWR1bHQ8L2tleXdvcmQ+PGtleXdv
cmQ+RWxlY3Ryb25pYyBOaWNvdGluZSBEZWxpdmVyeSBTeXN0ZW1zLypzdGF0aXN0aWNzICZhbXA7
IG51bWVyaWNhbCBkYXRhPC9rZXl3b3JkPjxrZXl3b3JkPkZlbWFsZTwva2V5d29yZD48a2V5d29y
ZD4qSGVhbHRoIEtub3dsZWRnZSwgQXR0aXR1ZGVzLCBQcmFjdGljZTwva2V5d29yZD48a2V5d29y
ZD5IdW1hbnM8L2tleXdvcmQ+PGtleXdvcmQ+TWFsZTwva2V5d29yZD48a2V5d29yZD5QcmluY2lw
YWwgQ29tcG9uZW50IEFuYWx5c2lzPC9rZXl3b3JkPjxrZXl3b3JkPlJpc2stVGFraW5nPC9rZXl3
b3JkPjxrZXl3b3JkPlN0dWRlbnRzLypwc3ljaG9sb2d5LypzdGF0aXN0aWNzICZhbXA7IG51bWVy
aWNhbCBkYXRhPC9rZXl3b3JkPjxrZXl3b3JkPlN1cnZleXMgYW5kIFF1ZXN0aW9ubmFpcmVzPC9r
ZXl3b3JkPjxrZXl3b3JkPlVuaXZlcnNpdGllczwva2V5d29yZD48a2V5d29yZD5Zb3VuZyBBZHVs
dDwva2V5d29yZD48a2V5d29yZD5Db2xsZWdlIHN0dWRlbnRzPC9rZXl3b3JkPjxrZXl3b3JkPkUt
Y2lnYXJldHRlPC9rZXl3b3JkPjxrZXl3b3JkPlBlcmNlcHRpb25zPC9rZXl3b3JkPjwva2V5d29y
ZHM+PGRhdGVzPjx5ZWFyPjIwMTc8L3llYXI+PHB1Yi1kYXRlcz48ZGF0ZT5BdWc8L2RhdGU+PC9w
dWItZGF0ZXM+PC9kYXRlcz48aXNibj4wMzA2LTQ2MDM8L2lzYm4+PGFjY2Vzc2lvbi1udW0+Mjgy
NDI1MzM8L2FjY2Vzc2lvbi1udW0+PHVybHM+PHJlbGF0ZWQtdXJscz48dXJsPmh0dHBzOi8vd3d3
LnNjaWVuY2VkaXJlY3QuY29tL3NjaWVuY2UvYXJ0aWNsZS9waWkvUzAzMDY0NjAzMTczMDA2OTI/
dmlhJTNEaWh1YjwvdXJsPjwvcmVsYXRlZC11cmxzPjwvdXJscz48ZWxlY3Ryb25pYy1yZXNvdXJj
ZS1udW0+MTAuMTAxNi9qLmFkZGJlaC4yMDE3LjAyLjAwNTwvZWxlY3Ryb25pYy1yZXNvdXJjZS1u
dW0+PHJlbW90ZS1kYXRhYmFzZS1wcm92aWRlcj5OTE08L3JlbW90ZS1kYXRhYmFzZS1wcm92aWRl
cj48bGFuZ3VhZ2U+ZW5nPC9sYW5ndWFnZT48L3JlY29yZD48L0NpdGU+PENpdGU+PEF1dGhvcj5G
cmFua3M8L0F1dGhvcj48WWVhcj4yMDE3PC9ZZWFyPjxSZWNOdW0+NDcyMTwvUmVjTnVtPjxyZWNv
cmQ+PHJlYy1udW1iZXI+NDcyMTwvcmVjLW51bWJlcj48Zm9yZWlnbi1rZXlzPjxrZXkgYXBwPSJF
TiIgZGItaWQ9ImZwdDlwdHRybTV6ZnNhZXNwOWZwc2RkdjA5ZXdzdjV4ZXdmZCIgdGltZXN0YW1w
PSIxNTI1MDQ1MzgzIj40NzIxPC9rZXk+PGtleSBhcHA9IkVOV2ViIiBkYi1pZD0iIj4wPC9rZXk+
PC9mb3JlaWduLWtleXM+PHJlZi10eXBlIG5hbWU9IkpvdXJuYWwgQXJ0aWNsZSI+MTc8L3JlZi10
eXBlPjxjb250cmlidXRvcnM+PGF1dGhvcnM+PGF1dGhvcj5GcmFua3MsIEEuIE0uPC9hdXRob3I+
PGF1dGhvcj5IYXdlcywgVy4gQS48L2F1dGhvcj48YXV0aG9yPk1jQ2FpbiwgSy4gUi48L2F1dGhv
cj48YXV0aG9yPlBheWFrYWNoYXQsIE4uPC9hdXRob3I+PC9hdXRob3JzPjwvY29udHJpYnV0b3Jz
PjxhdXRoLWFkZHJlc3M+RGVwYXJ0bWVudCBvZiBQaGFybWFjeSBQcmFjdGljZSwgVW5pdmVyc2l0
eSBvZiBBcmthbnNhcyBmb3IgTWVkaWNhbCBTY2llbmNlcyBDb2xsZWdlIG9mIFBoYXJtYWN5LCA0
MzAxIFdlc3QgTWFya2hhbSBTdHJlZXQgIzUyMiwgTGl0dGxlIFJvY2ssIEFSIDcyMjA1LCBVbml0
ZXMgU3RhdGVzLiBFbGVjdHJvbmljIGFkZHJlc3M6IGFmcmFua3NAdWFtcy5lZHUuJiN4RDtVbml2
ZXJzaXR5IG9mIEFya2Fuc2FzIGZvciBNZWRpY2FsIFNjaWVuY2VzIENvbGxlZ2Ugb2YgUGhhcm1h
Y3ksIDQzMDEgV2VzdCBNYXJraGFtIFN0cmVldCAjNTIyLCBMaXR0bGUgUm9jaywgQVIgNzIyMDUs
IFVuaXRlZCBTdGF0ZXMuIEVsZWN0cm9uaWMgYWRkcmVzczogd2hhd2VzQHVhbXMuZWR1LiYjeEQ7
RGVwYXJ0bWVudCBvZiBQaGFybWFjeSBQcmFjdGljZSwgVW5pdmVyc2l0eSBvZiBBcmthbnNhcyBm
b3IgTWVkaWNhbCBTY2llbmNlcyBDb2xsZWdlIG9mIFBoYXJtYWN5LCA0MzAxIFdlc3QgTWFya2hh
bSBTdHJlZXQgIzUyMiwgTGl0dGxlIFJvY2ssIEFSIDcyMjA1LCBVbml0ZXMgU3RhdGVzLiBFbGVj
dHJvbmljIGFkZHJlc3M6IG1jY2FpbmtlaXRoQHVhbXMuZWR1LiYjeEQ7RGVwYXJ0bWVudCBvZiBQ
aGFybWFjeSBQcmFjdGljZSwgVW5pdmVyc2l0eSBvZiBBcmthbnNhcyBmb3IgTWVkaWNhbCBTY2ll
bmNlcyBDb2xsZWdlIG9mIFBoYXJtYWN5LCA0MzAxIFdlc3QgTWFya2hhbSBTdHJlZXQgIzUyMiwg
TGl0dGxlIFJvY2ssIEFSIDcyMjA1LCBVbml0ZXMgU3RhdGVzLiBFbGVjdHJvbmljIGFkZHJlc3M6
IG5wYXlha2FjaGF0QHVhbXMuZWR1LjwvYXV0aC1hZGRyZXNzPjx0aXRsZXM+PHRpdGxlPkVsZWN0
cm9uaWMgY2lnYXJldHRlIHVzZSwga25vd2xlZGdlLCBhbmQgcGVyY2VwdGlvbnMgYW1vbmcgaGVh
bHRoIHByb2Zlc3Npb25hbCBzdHVkZW50czwvdGl0bGU+PHNlY29uZGFyeS10aXRsZT5DdXJyIFBo
YXJtIFRlYWNoIExlYXJuPC9zZWNvbmRhcnktdGl0bGU+PGFsdC10aXRsZT5DdXJyZW50cyBpbiBw
aGFybWFjeSB0ZWFjaGluZyAmYW1wOyBsZWFybmluZzwvYWx0LXRpdGxlPjwvdGl0bGVzPjxwZXJp
b2RpY2FsPjxmdWxsLXRpdGxlPkN1cnIgUGhhcm0gVGVhY2ggTGVhcm48L2Z1bGwtdGl0bGU+PGFi
YnItMT5DdXJyZW50cyBpbiBwaGFybWFjeSB0ZWFjaGluZyAmYW1wOyBsZWFybmluZzwvYWJici0x
PjwvcGVyaW9kaWNhbD48YWx0LXBlcmlvZGljYWw+PGZ1bGwtdGl0bGU+Q3VyciBQaGFybSBUZWFj
aCBMZWFybjwvZnVsbC10aXRsZT48YWJici0xPkN1cnJlbnRzIGluIHBoYXJtYWN5IHRlYWNoaW5n
ICZhbXA7IGxlYXJuaW5nPC9hYmJyLTE+PC9hbHQtcGVyaW9kaWNhbD48cGFnZXM+MTAwMy0xMDA5
PC9wYWdlcz48dm9sdW1lPjk8L3ZvbHVtZT48bnVtYmVyPjY8L251bWJlcj48ZWRpdGlvbj4yMDE3
LzEyLzE0PC9lZGl0aW9uPjxrZXl3b3Jkcz48a2V5d29yZD5FbGVjdHJvbmljIGNpZ2FyZXR0ZXM8
L2tleXdvcmQ+PGtleXdvcmQ+S25vd2xlZGdlPC9rZXl3b3JkPjxrZXl3b3JkPlNtb2tpbmcgY2Vz
c2F0aW9uPC9rZXl3b3JkPjxrZXl3b3JkPlN0dWRlbnRzLCBoZWFsdGggb2NjdXBhdGlvbnM8L2tl
eXdvcmQ+PGtleXdvcmQ+VG9iYWNjbyB1c2U8L2tleXdvcmQ+PC9rZXl3b3Jkcz48ZGF0ZXM+PHll
YXI+MjAxNzwveWVhcj48cHViLWRhdGVzPjxkYXRlPk5vdjwvZGF0ZT48L3B1Yi1kYXRlcz48L2Rh
dGVzPjxpc2JuPjE4NzctMTI5NzwvaXNibj48YWNjZXNzaW9uLW51bT4yOTIzMzM2NzwvYWNjZXNz
aW9uLW51bT48dXJscz48cmVsYXRlZC11cmxzPjx1cmw+aHR0cHM6Ly93d3cuc2NpZW5jZWRpcmVj
dC5jb20vc2NpZW5jZS9hcnRpY2xlL3BpaS9TMTg3NzEyOTcxNjMwMjUyMD92aWElM0RpaHViPC91
cmw+PC9yZWxhdGVkLXVybHM+PC91cmxzPjxlbGVjdHJvbmljLXJlc291cmNlLW51bT4xMC4xMDE2
L2ouY3B0bC4yMDE3LjA3LjAyMzwvZWxlY3Ryb25pYy1yZXNvdXJjZS1udW0+PHJlbW90ZS1kYXRh
YmFzZS1wcm92aWRlcj5OTE08L3JlbW90ZS1kYXRhYmFzZS1wcm92aWRlcj48bGFuZ3VhZ2U+ZW5n
PC9sYW5ndWFnZT48L3JlY29yZD48L0NpdGU+PENpdGU+PEF1dGhvcj5LaW5nPC9BdXRob3I+PFll
YXI+MjAxODwvWWVhcj48UmVjTnVtPjQ4NjM8L1JlY051bT48cmVjb3JkPjxyZWMtbnVtYmVyPjQ4
NjM8L3JlYy1udW1iZXI+PGZvcmVpZ24ta2V5cz48a2V5IGFwcD0iRU4iIGRiLWlkPSJmcHQ5cHR0
cm01emZzYWVzcDlmcHNkZHYwOWV3c3Y1eGV3ZmQiIHRpbWVzdGFtcD0iMTUyNTA0NTYyMCI+NDg2
Mzwva2V5PjwvZm9yZWlnbi1rZXlzPjxyZWYtdHlwZSBuYW1lPSJKb3VybmFsIEFydGljbGUiPjE3
PC9yZWYtdHlwZT48Y29udHJpYnV0b3JzPjxhdXRob3JzPjxhdXRob3I+S2luZywgSi4gTC48L2F1
dGhvcj48YXV0aG9yPlJlYm91c3NpbiwgQi4gQS48L2F1dGhvcj48YXV0aG9yPlNwYW5nbGVyLCBK
LjwvYXV0aG9yPjxhdXRob3I+Q29ybmFjY2hpb25lIFJvc3MsIEouPC9hdXRob3I+PGF1dGhvcj5T
dXRmaW4sIEUuIEwuPC9hdXRob3I+PC9hdXRob3JzPjwvY29udHJpYnV0b3JzPjxhdXRoLWFkZHJl
c3M+V2FrZSBGb3Jlc3QgU2Nob29sIG9mIE1lZGljaW5lLCBNZWRpY2FsIENlbnRlciBCb3VsZXZh
cmQsIFdpbnN0b24tU2FsZW0sIE5DIDI3MTU3LCBVbml0ZWQgU3RhdGVzLiBFbGVjdHJvbmljIGFk
ZHJlc3M6IGpsa2luZ0B3YWtlaGVhbHRoLmVkdS4mI3hEO1dha2UgRm9yZXN0IFNjaG9vbCBvZiBN
ZWRpY2luZSwgTWVkaWNhbCBDZW50ZXIgQm91bGV2YXJkLCBXaW5zdG9uLVNhbGVtLCBOQyAyNzE1
NywgVW5pdGVkIFN0YXRlcy4gRWxlY3Ryb25pYyBhZGRyZXNzOiBicmVib3Vzc0B3YWtlaGVhbHRo
LmVkdS4mI3hEO1dha2UgRm9yZXN0IFNjaG9vbCBvZiBNZWRpY2luZSwgTWVkaWNhbCBDZW50ZXIg
Qm91bGV2YXJkLCBXaW5zdG9uLVNhbGVtLCBOQyAyNzE1NywgVW5pdGVkIFN0YXRlcy4gRWxlY3Ry
b25pYyBhZGRyZXNzOiBqc3BhbmdsZUB3YWtlaGVhbHRoLmVkdS4mI3hEO1dha2UgRm9yZXN0IFNj
aG9vbCBvZiBNZWRpY2luZSwgTWVkaWNhbCBDZW50ZXIgQm91bGV2YXJkLCBXaW5zdG9uLVNhbGVt
LCBOQyAyNzE1NywgVW5pdGVkIFN0YXRlcy4gRWxlY3Ryb25pYyBhZGRyZXNzOiBqY29ybmFjY0B3
YWtlaGVhbHRoLmVkdS4mI3hEO1dha2UgRm9yZXN0IFNjaG9vbCBvZiBNZWRpY2luZSwgTWVkaWNh
bCBDZW50ZXIgQm91bGV2YXJkLCBXaW5zdG9uLVNhbGVtLCBOQyAyNzE1NywgVW5pdGVkIFN0YXRl
cy4gRWxlY3Ryb25pYyBhZGRyZXNzOiBlc3V0ZmluQHdha2VoZWFsdGguZWR1LjwvYXV0aC1hZGRy
ZXNzPjx0aXRsZXM+PHRpdGxlPlRvYmFjY28gcHJvZHVjdCB1c2UgYW5kIG1lbnRhbCBoZWFsdGgg
c3RhdHVzIGFtb25nIHlvdW5nIGFkdWx0czwvdGl0bGU+PHNlY29uZGFyeS10aXRsZT5BZGRpY3Qg
QmVoYXY8L3NlY29uZGFyeS10aXRsZT48YWx0LXRpdGxlPkFkZGljdGl2ZSBiZWhhdmlvcnM8L2Fs
dC10aXRsZT48L3RpdGxlcz48YWx0LXBlcmlvZGljYWw+PGZ1bGwtdGl0bGU+QWRkaWN0aXZlIEJl
aGF2aW9yczwvZnVsbC10aXRsZT48L2FsdC1wZXJpb2RpY2FsPjxwYWdlcz42Ny03MjwvcGFnZXM+
PHZvbHVtZT43Nzwvdm9sdW1lPjxlZGl0aW9uPjIwMTcvMTAvMDI8L2VkaXRpb24+PGtleXdvcmRz
PjxrZXl3b3JkPkNvbGxlZ2Ugc3R1ZGVudHM8L2tleXdvcmQ+PGtleXdvcmQ+TWVudGFsIGhlYWx0
aDwva2V5d29yZD48a2V5d29yZD5TbW9raW5nPC9rZXl3b3JkPjxrZXl3b3JkPlRvYmFjY28gdXNl
PC9rZXl3b3JkPjwva2V5d29yZHM+PGRhdGVzPjx5ZWFyPjIwMTg8L3llYXI+PHB1Yi1kYXRlcz48
ZGF0ZT5GZWI8L2RhdGU+PC9wdWItZGF0ZXM+PC9kYXRlcz48aXNibj4wMzA2LTQ2MDM8L2lzYm4+
PGFjY2Vzc2lvbi1udW0+Mjg5NjUwNjk8L2FjY2Vzc2lvbi1udW0+PHVybHM+PHJlbGF0ZWQtdXJs
cz48dXJsPmh0dHBzOi8vd3d3LnNjaWVuY2VkaXJlY3QuY29tL3NjaWVuY2UvYXJ0aWNsZS9waWkv
UzAzMDY0NjAzMTczMDM1N1g/dmlhJTNEaWh1YjwvdXJsPjwvcmVsYXRlZC11cmxzPjwvdXJscz48
Y3VzdG9tMj5QTUM1NzAxODcyPC9jdXN0b20yPjxjdXN0b202Pk5JSE1TOTEwMDE2PC9jdXN0b202
PjxlbGVjdHJvbmljLXJlc291cmNlLW51bT4xMC4xMDE2L2ouYWRkYmVoLjIwMTcuMDkuMDEyPC9l
bGVjdHJvbmljLXJlc291cmNlLW51bT48cmVtb3RlLWRhdGFiYXNlLXByb3ZpZGVyPk5MTTwvcmVt
b3RlLWRhdGFiYXNlLXByb3ZpZGVyPjxsYW5ndWFnZT5lbmc8L2xhbmd1YWdlPjwvcmVjb3JkPjwv
Q2l0ZT48Q2l0ZT48QXV0aG9yPkxlZTwvQXV0aG9yPjxZZWFyPjIwMTc8L1llYXI+PFJlY051bT41
MzUwPC9SZWNOdW0+PHJlY29yZD48cmVjLW51bWJlcj41MzUwPC9yZWMtbnVtYmVyPjxmb3JlaWdu
LWtleXM+PGtleSBhcHA9IkVOIiBkYi1pZD0iZnB0OXB0dHJtNXpmc2Flc3A5ZnBzZGR2MDlld3N2
NXhld2ZkIiB0aW1lc3RhbXA9IjE1MjUwNDY1MTQiPjUzNTA8L2tleT48L2ZvcmVpZ24ta2V5cz48
cmVmLXR5cGUgbmFtZT0iSm91cm5hbCBBcnRpY2xlIj4xNzwvcmVmLXR5cGU+PGNvbnRyaWJ1dG9y
cz48YXV0aG9ycz48YXV0aG9yPkxlZSwgSC4gWS48L2F1dGhvcj48YXV0aG9yPkxpbiwgSC4gQy48
L2F1dGhvcj48YXV0aG9yPlNlbywgRC4gQy48L2F1dGhvcj48YXV0aG9yPkxvaHJtYW5uLCBELiBL
LjwvYXV0aG9yPjwvYXV0aG9ycz48L2NvbnRyaWJ1dG9ycz48YXV0aC1hZGRyZXNzPkRlcGFydG1l
bnQgb2YgQXBwbGllZCBIZWFsdGggU2NpZW5jZSwgU2Nob29sIG9mIFB1YmxpYyBIZWFsdGgsIElu
ZGlhbmEgVW5pdmVyc2l0eSwgQmxvb21pbmd0b24sIEluZGlhbmEgNDc0MDUtNzEwOSwgVVNBLiYj
eEQ7RGVwYXJ0bWVudCBvZiBBcHBsaWVkIEhlYWx0aCBTY2llbmNlLCBTY2hvb2wgb2YgUHVibGlj
IEhlYWx0aCwgSW5kaWFuYSBVbml2ZXJzaXR5LCBCbG9vbWluZ3RvbiwgSW5kaWFuYSA0NzQwNS03
MTA5LCBVU0EuIEVsZWN0cm9uaWMgYWRkcmVzczogc2VvQGluZGlhbmEuZWR1LjwvYXV0aC1hZGRy
ZXNzPjx0aXRsZXM+PHRpdGxlPkRldGVybWluYW50cyBhc3NvY2lhdGVkIHdpdGggRS1jaWdhcmV0
dGUgYWRvcHRpb24gYW5kIHVzZSBpbnRlbnRpb24gYW1vbmcgY29sbGVnZSBzdHVkZW50czwvdGl0
bGU+PHNlY29uZGFyeS10aXRsZT5BZGRpY3QgQmVoYXY8L3NlY29uZGFyeS10aXRsZT48YWx0LXRp
dGxlPkFkZGljdGl2ZSBiZWhhdmlvcnM8L2FsdC10aXRsZT48L3RpdGxlcz48YWx0LXBlcmlvZGlj
YWw+PGZ1bGwtdGl0bGU+QWRkaWN0aXZlIEJlaGF2aW9yczwvZnVsbC10aXRsZT48L2FsdC1wZXJp
b2RpY2FsPjxwYWdlcz4xMDItMTEwPC9wYWdlcz48dm9sdW1lPjY1PC92b2x1bWU+PGVkaXRpb24+
MjAxNi8xMS8wNzwvZWRpdGlvbj48a2V5d29yZHM+PGtleXdvcmQ+QWRvbGVzY2VudDwva2V5d29y
ZD48a2V5d29yZD5BZHVsdDwva2V5d29yZD48a2V5d29yZD5FbGVjdHJvbmljIE5pY290aW5lIERl
bGl2ZXJ5IFN5c3RlbXMvKnN0YXRpc3RpY3MgJmFtcDsgbnVtZXJpY2FsIGRhdGE8L2tleXdvcmQ+
PGtleXdvcmQ+RmVtYWxlPC9rZXl3b3JkPjxrZXl3b3JkPkh1bWFuczwva2V5d29yZD48a2V5d29y
ZD4qSW50ZW50aW9uPC9rZXl3b3JkPjxrZXl3b3JkPk1hbGU8L2tleXdvcmQ+PGtleXdvcmQ+U3R1
ZGVudHMvKnBzeWNob2xvZ3kvKnN0YXRpc3RpY3MgJmFtcDsgbnVtZXJpY2FsIGRhdGE8L2tleXdv
cmQ+PGtleXdvcmQ+U3VydmV5cyBhbmQgUXVlc3Rpb25uYWlyZXM8L2tleXdvcmQ+PGtleXdvcmQ+
VW5pdmVyc2l0aWVzPC9rZXl3b3JkPjxrZXl3b3JkPllvdW5nIEFkdWx0PC9rZXl3b3JkPjxrZXl3
b3JkPkFkb3B0aW9uPC9rZXl3b3JkPjxrZXl3b3JkPkNvbGxlZ2Ugc3R1ZGVudHM8L2tleXdvcmQ+
PGtleXdvcmQ+RGlmZnVzaW9uIG9mIGlubm92YXRpb24gdGhlb3J5PC9rZXl3b3JkPjxrZXl3b3Jk
PkUtY2lnYXJldHRlPC9rZXl3b3JkPjwva2V5d29yZHM+PGRhdGVzPjx5ZWFyPjIwMTc8L3llYXI+
PHB1Yi1kYXRlcz48ZGF0ZT5GZWI8L2RhdGU+PC9wdWItZGF0ZXM+PC9kYXRlcz48aXNibj4wMzA2
LTQ2MDM8L2lzYm4+PGFjY2Vzc2lvbi1udW0+Mjc4MTYwMzQ8L2FjY2Vzc2lvbi1udW0+PHVybHM+
PHJlbGF0ZWQtdXJscz48dXJsPmh0dHBzOi8vd3d3LnNjaWVuY2VkaXJlY3QuY29tL3NjaWVuY2Uv
YXJ0aWNsZS9waWkvUzAzMDY0NjAzMTYzMDM3OTM/dmlhJTNEaWh1YjwvdXJsPjwvcmVsYXRlZC11
cmxzPjwvdXJscz48ZWxlY3Ryb25pYy1yZXNvdXJjZS1udW0+MTAuMTAxNi9qLmFkZGJlaC4yMDE2
LjEwLjAyMzwvZWxlY3Ryb25pYy1yZXNvdXJjZS1udW0+PHJlbW90ZS1kYXRhYmFzZS1wcm92aWRl
cj5OTE08L3JlbW90ZS1kYXRhYmFzZS1wcm92aWRlcj48bGFuZ3VhZ2U+ZW5nPC9sYW5ndWFnZT48
L3JlY29yZD48L0NpdGU+PENpdGU+PEF1dGhvcj5MZWU8L0F1dGhvcj48WWVhcj4yMDE3PC9ZZWFy
PjxSZWNOdW0+NDgxNzwvUmVjTnVtPjxyZWNvcmQ+PHJlYy1udW1iZXI+NDgxNzwvcmVjLW51bWJl
cj48Zm9yZWlnbi1rZXlzPjxrZXkgYXBwPSJFTiIgZGItaWQ9ImZwdDlwdHRybTV6ZnNhZXNwOWZw
c2RkdjA5ZXdzdjV4ZXdmZCIgdGltZXN0YW1wPSIxNTI1MDQ1NTUyIj40ODE3PC9rZXk+PGtleSBh
cHA9IkVOV2ViIiBkYi1pZD0iIj4wPC9rZXk+PC9mb3JlaWduLWtleXM+PHJlZi10eXBlIG5hbWU9
IkpvdXJuYWwgQXJ0aWNsZSI+MTc8L3JlZi10eXBlPjxjb250cmlidXRvcnM+PGF1dGhvcnM+PGF1
dGhvcj5MZWUsIFkuIE8uPC9hdXRob3I+PGF1dGhvcj5Ob25uZW1ha2VyLCBKLiBNLjwvYXV0aG9y
PjxhdXRob3I+QnJhZGZpZWxkLCBCLjwvYXV0aG9yPjxhdXRob3I+SGVuc2VsLCBFLiBDLjwvYXV0
aG9yPjxhdXRob3I+Um9iaW5zb24sIFIuIEouPC9hdXRob3I+PC9hdXRob3JzPjwvY29udHJpYnV0
b3JzPjxhdXRoLWFkZHJlc3M+UlRJIEludGVybmF0aW9uYWwsIFJlc2VhcmNoIFRyaWFuZ2xlIFBh
cmssIE5DLCBVU0EuJiN4RDtEZXBhcnRtZW50IG9mIE1lY2hhbmljYWwgRW5naW5lZXJpbmcsIFJv
Y2hlc3RlciBJbnN0aXR1dGUgb2YgVGVjaG5vbG9neSwgUm9jaGVzdGVyIE5ZLCBVU0EuPC9hdXRo
LWFkZHJlc3M+PHRpdGxlcz48dGl0bGU+RXhhbWluaW5nIERhaWx5IEVsZWN0cm9uaWMgQ2lnYXJl
dHRlIFB1ZmYgVG9wb2dyYXBoeSBBbW9uZyBFc3RhYmxpc2hlZCBhbmQgTm9uLWVzdGFibGlzaGVk
IENpZ2FyZXR0ZSBTbW9rZXJzIGluIHRoZWlyIE5hdHVyYWwgRW52aXJvbm1lbnQ8L3RpdGxlPjxz
ZWNvbmRhcnktdGl0bGU+Tmljb3RpbmUgVG9iIFJlczwvc2Vjb25kYXJ5LXRpdGxlPjxhbHQtdGl0
bGU+Tmljb3RpbmUgJmFtcDsgdG9iYWNjbyByZXNlYXJjaCA6IG9mZmljaWFsIGpvdXJuYWwgb2Yg
dGhlIFNvY2lldHkgZm9yIFJlc2VhcmNoIG9uIE5pY290aW5lIGFuZCBUb2JhY2NvPC9hbHQtdGl0
bGU+PC90aXRsZXM+PHBlcmlvZGljYWw+PGZ1bGwtdGl0bGU+Tmljb3RpbmUgVG9iIFJlczwvZnVs
bC10aXRsZT48YWJici0xPk5pY290aW5lICZhbXA7IHRvYmFjY28gcmVzZWFyY2ggOiBvZmZpY2lh
bCBqb3VybmFsIG9mIHRoZSBTb2NpZXR5IGZvciBSZXNlYXJjaCBvbiBOaWNvdGluZSBhbmQgVG9i
YWNjbzwvYWJici0xPjwvcGVyaW9kaWNhbD48YWx0LXBlcmlvZGljYWw+PGZ1bGwtdGl0bGU+Tmlj
b3RpbmUgVG9iIFJlczwvZnVsbC10aXRsZT48YWJici0xPk5pY290aW5lICZhbXA7IHRvYmFjY28g
cmVzZWFyY2ggOiBvZmZpY2lhbCBqb3VybmFsIG9mIHRoZSBTb2NpZXR5IGZvciBSZXNlYXJjaCBv
biBOaWNvdGluZSBhbmQgVG9iYWNjbzwvYWJici0xPjwvYWx0LXBlcmlvZGljYWw+PGVkaXRpb24+
MjAxNy8xMC8yNDwvZWRpdGlvbj48a2V5d29yZHM+PGtleXdvcmQ+Y29tYnVzdGlibGUgY2lnYXJl
dHRlPC9rZXl3b3JkPjxrZXl3b3JkPmUtY2lnYXJldHRlPC9rZXl3b3JkPjxrZXl3b3JkPmVsZWN0
cm9uaWMgbmljb3RpbmUgZGVsaXZlcnkgc3lzdGVtPC9rZXl3b3JkPjxrZXl3b3JkPnB1ZmZpbmc8
L2tleXdvcmQ+PGtleXdvcmQ+dG9wb2dyYXBoeTwva2V5d29yZD48a2V5d29yZD52YXBpbmc8L2tl
eXdvcmQ+PC9rZXl3b3Jkcz48ZGF0ZXM+PHllYXI+MjAxNzwveWVhcj48cHViLWRhdGVzPjxkYXRl
Pk9jdCA0PC9kYXRlPjwvcHViLWRhdGVzPjwvZGF0ZXM+PGlzYm4+MTQ2Mi0yMjAzPC9pc2JuPjxh
Y2Nlc3Npb24tbnVtPjI5MDU5NDE2PC9hY2Nlc3Npb24tbnVtPjx1cmxzPjwvdXJscz48ZWxlY3Ry
b25pYy1yZXNvdXJjZS1udW0+MTAuMTA5My9udHIvbnR4MjIyPC9lbGVjdHJvbmljLXJlc291cmNl
LW51bT48cmVtb3RlLWRhdGFiYXNlLXByb3ZpZGVyPk5MTTwvcmVtb3RlLWRhdGFiYXNlLXByb3Zp
ZGVyPjxsYW5ndWFnZT5lbmc8L2xhbmd1YWdlPjwvcmVjb3JkPjwvQ2l0ZT48L0VuZE5vdGU+
</w:fldData>
        </w:fldChar>
      </w:r>
      <w:r w:rsidRPr="00892582">
        <w:instrText xml:space="preserve"> ADDIN EN.CITE.DATA </w:instrText>
      </w:r>
      <w:r w:rsidRPr="00892582">
        <w:fldChar w:fldCharType="end"/>
      </w:r>
      <w:r w:rsidRPr="00892582">
        <w:fldChar w:fldCharType="separate"/>
      </w:r>
      <w:r w:rsidRPr="00892582">
        <w:t>(Abadi, Couch et al. 2017, Copeland, Peltier et al. 2017, Franks, Hawes et al. 2017, Lee, Lin et al. 2017, Lee, Nonnemaker et al. 2017, Cheney, Gowin et al. 2018, King, Reboussin et al. 2018)</w:t>
      </w:r>
      <w:r w:rsidRPr="00892582">
        <w:fldChar w:fldCharType="end"/>
      </w:r>
      <w:r w:rsidRPr="00892582">
        <w:t xml:space="preserve">. </w:t>
      </w:r>
    </w:p>
    <w:p w14:paraId="04E392CD" w14:textId="566B1B75" w:rsidR="00E53F6C" w:rsidRDefault="00E53F6C" w:rsidP="00E53F6C">
      <w:pPr>
        <w:pStyle w:val="BodyText"/>
      </w:pPr>
      <w:r w:rsidRPr="00892582">
        <w:t xml:space="preserve">The author-described aims of these papers was used to thematically code the purpose of the 29 papers. The following themes were identified: Use and/or perception of </w:t>
      </w:r>
      <w:r>
        <w:t>e</w:t>
      </w:r>
      <w:r>
        <w:noBreakHyphen/>
        <w:t>cig</w:t>
      </w:r>
      <w:r w:rsidRPr="00892582">
        <w:t xml:space="preserve">arettes (n=11), influences on use of </w:t>
      </w:r>
      <w:r>
        <w:t>e</w:t>
      </w:r>
      <w:r>
        <w:noBreakHyphen/>
        <w:t>cig</w:t>
      </w:r>
      <w:r w:rsidRPr="00892582">
        <w:t xml:space="preserve">arettes (n=10), and characteristics of users (n=4). The remaining four papers did not fit into any of these themes and included an expert discussion </w:t>
      </w:r>
      <w:r w:rsidRPr="00892582">
        <w:fldChar w:fldCharType="begin"/>
      </w:r>
      <w:r w:rsidRPr="00892582">
        <w:instrText xml:space="preserve"> ADDIN EN.CITE &lt;EndNote&gt;&lt;Cite&gt;&lt;Author&gt;Bold&lt;/Author&gt;&lt;Year&gt;2018&lt;/Year&gt;&lt;RecNum&gt;4750&lt;/RecNum&gt;&lt;DisplayText&gt;(Bold, Sussman et al. 2018)&lt;/DisplayText&gt;&lt;record&gt;&lt;rec-number&gt;4750&lt;/rec-number&gt;&lt;foreign-keys&gt;&lt;key app="EN" db-id="fpt9pttrm5zfsaesp9fpsddv09ewsv5xewfd" timestamp="1525045425"&gt;4750&lt;/key&gt;&lt;key app="ENWeb" db-id=""&gt;0&lt;/key&gt;&lt;/foreign-keys&gt;&lt;ref-type name="Journal Article"&gt;17&lt;/ref-type&gt;&lt;contributors&gt;&lt;authors&gt;&lt;author&gt;Bold, K. W.&lt;/author&gt;&lt;author&gt;Sussman, S.&lt;/author&gt;&lt;author&gt;O&amp;apos;Malley, S. S.&lt;/author&gt;&lt;author&gt;Grana, R.&lt;/author&gt;&lt;author&gt;Foulds, J.&lt;/author&gt;&lt;author&gt;Fishbein, H.&lt;/author&gt;&lt;author&gt;Krishnan-Sarin, S.&lt;/author&gt;&lt;/authors&gt;&lt;/contributors&gt;&lt;auth-address&gt;Yale School of Medicine, United States. Electronic address: Krysten.bold@yale.edu.&amp;#xD;University of Southern California, United States.&amp;#xD;Yale School of Medicine, United States.&amp;#xD;Tobacco Control Research Branch, National Cancer Institute, United States.&amp;#xD;Pennsylvania State University, College of Medicine, Hershey, PA, United States.&amp;#xD;Westat, United States.&lt;/auth-address&gt;&lt;titles&gt;&lt;title&gt;Measuring E-cigarette dependence: Initial guidance&lt;/title&gt;&lt;secondary-title&gt;Addict Behav&lt;/secondary-title&gt;&lt;alt-title&gt;Addictive behaviors&lt;/alt-title&gt;&lt;/titles&gt;&lt;alt-periodical&gt;&lt;full-title&gt;Addictive Behaviors&lt;/full-title&gt;&lt;/alt-periodical&gt;&lt;pages&gt;213-218&lt;/pages&gt;&lt;volume&gt;79&lt;/volume&gt;&lt;edition&gt;2017/11/28&lt;/edition&gt;&lt;keywords&gt;&lt;keyword&gt;Dependence&lt;/keyword&gt;&lt;keyword&gt;E-cigarette&lt;/keyword&gt;&lt;keyword&gt;Electronic cigarette&lt;/keyword&gt;&lt;keyword&gt;Tobacco&lt;/keyword&gt;&lt;/keywords&gt;&lt;dates&gt;&lt;year&gt;2018&lt;/year&gt;&lt;pub-dates&gt;&lt;date&gt;Apr&lt;/date&gt;&lt;/pub-dates&gt;&lt;/dates&gt;&lt;isbn&gt;0306-4603&lt;/isbn&gt;&lt;accession-num&gt;29174664&lt;/accession-num&gt;&lt;urls&gt;&lt;related-urls&gt;&lt;url&gt;https://www.sciencedirect.com/science/article/pii/S0306460317304252?via%3Dihub&lt;/url&gt;&lt;/related-urls&gt;&lt;/urls&gt;&lt;custom2&gt;PMC5807200&lt;/custom2&gt;&lt;custom6&gt;NIHMS927305&lt;/custom6&gt;&lt;electronic-resource-num&gt;10.1016/j.addbeh.2017.11.015&lt;/electronic-resource-num&gt;&lt;remote-database-provider&gt;NLM&lt;/remote-database-provider&gt;&lt;language&gt;eng&lt;/language&gt;&lt;/record&gt;&lt;/Cite&gt;&lt;/EndNote&gt;</w:instrText>
      </w:r>
      <w:r w:rsidRPr="00892582">
        <w:fldChar w:fldCharType="separate"/>
      </w:r>
      <w:r w:rsidRPr="00892582">
        <w:t>(Bold, Sussman et al. 2018)</w:t>
      </w:r>
      <w:r w:rsidRPr="00892582">
        <w:fldChar w:fldCharType="end"/>
      </w:r>
      <w:r w:rsidRPr="00892582">
        <w:t xml:space="preserve">, development of tools for assessing </w:t>
      </w:r>
      <w:r>
        <w:t>e</w:t>
      </w:r>
      <w:r>
        <w:noBreakHyphen/>
        <w:t>cig</w:t>
      </w:r>
      <w:r w:rsidRPr="00892582">
        <w:t xml:space="preserve">arette use or perception </w:t>
      </w:r>
      <w:r w:rsidRPr="00892582">
        <w:fldChar w:fldCharType="begin">
          <w:fldData xml:space="preserve">PEVuZE5vdGU+PENpdGU+PEF1dGhvcj5Cb2xkPC9BdXRob3I+PFllYXI+MjAxNzwvWWVhcj48UmVj
TnVtPjUyODI8L1JlY051bT48RGlzcGxheVRleHQ+KEJvbGQsIEtvbmcgZXQgYWwuIDIwMTcsIENv
cGVsYW5kLCBQZWx0aWVyIGV0IGFsLiAyMDE3KTwvRGlzcGxheVRleHQ+PHJlY29yZD48cmVjLW51
bWJlcj41MjgyPC9yZWMtbnVtYmVyPjxmb3JlaWduLWtleXM+PGtleSBhcHA9IkVOIiBkYi1pZD0i
ZnB0OXB0dHJtNXpmc2Flc3A5ZnBzZGR2MDlld3N2NXhld2ZkIiB0aW1lc3RhbXA9IjE1MjUwNDYz
NzQiPjUyODI8L2tleT48a2V5IGFwcD0iRU5XZWIiIGRiLWlkPSIiPjA8L2tleT48L2ZvcmVpZ24t
a2V5cz48cmVmLXR5cGUgbmFtZT0iSm91cm5hbCBBcnRpY2xlIj4xNzwvcmVmLXR5cGU+PGNvbnRy
aWJ1dG9ycz48YXV0aG9ycz48YXV0aG9yPkJvbGQsIEsuIFcuPC9hdXRob3I+PGF1dGhvcj5Lb25n
LCBHLjwvYXV0aG9yPjxhdXRob3I+Q2F2YWxsbywgRC4gQS48L2F1dGhvcj48YXV0aG9yPkNhbWVu
Z2EsIEQuIFIuPC9hdXRob3I+PGF1dGhvcj5LcmlzaG5hbi1TYXJpbiwgUy48L2F1dGhvcj48L2F1
dGhvcnM+PC9jb250cmlidXRvcnM+PGF1dGgtYWRkcmVzcz5EZXBhcnRtZW50IG9mIFBzeWNoaWF0
cnksIENNSEMsIFlhbGUgU2Nob29sIG9mIE1lZGljaW5lLCBOZXcgSGF2ZW4sIENULiYjeEQ7RGVw
YXJ0bWVudCBvZiBFbWVyZ2VuY3kgTWVkaWNpbmUsIFlhbGUgU2Nob29sIG9mIE1lZGljaW5lLCBO
ZXcgSGF2ZW4sIENULjwvYXV0aC1hZGRyZXNzPjx0aXRsZXM+PHRpdGxlPkUtQ2lnYXJldHRlIFN1
c2NlcHRpYmlsaXR5IGFzIGEgUHJlZGljdG9yIG9mIFlvdXRoIEluaXRpYXRpb24gb2YgRS1DaWdh
cmV0dGVzPC90aXRsZT48c2Vjb25kYXJ5LXRpdGxlPk5pY290aW5lIFRvYiBSZXM8L3NlY29uZGFy
eS10aXRsZT48YWx0LXRpdGxlPk5pY290aW5lICZhbXA7IHRvYmFjY28gcmVzZWFyY2ggOiBvZmZp
Y2lhbCBqb3VybmFsIG9mIHRoZSBTb2NpZXR5IGZvciBSZXNlYXJjaCBvbiBOaWNvdGluZSBhbmQg
VG9iYWNjbzwvYWx0LXRpdGxlPjwvdGl0bGVzPjxwZXJpb2RpY2FsPjxmdWxsLXRpdGxlPk5pY290
aW5lIFRvYiBSZXM8L2Z1bGwtdGl0bGU+PGFiYnItMT5OaWNvdGluZSAmYW1wOyB0b2JhY2NvIHJl
c2VhcmNoIDogb2ZmaWNpYWwgam91cm5hbCBvZiB0aGUgU29jaWV0eSBmb3IgUmVzZWFyY2ggb24g
Tmljb3RpbmUgYW5kIFRvYmFjY288L2FiYnItMT48L3BlcmlvZGljYWw+PGFsdC1wZXJpb2RpY2Fs
PjxmdWxsLXRpdGxlPk5pY290aW5lIFRvYiBSZXM8L2Z1bGwtdGl0bGU+PGFiYnItMT5OaWNvdGlu
ZSAmYW1wOyB0b2JhY2NvIHJlc2VhcmNoIDogb2ZmaWNpYWwgam91cm5hbCBvZiB0aGUgU29jaWV0
eSBmb3IgUmVzZWFyY2ggb24gTmljb3RpbmUgYW5kIFRvYmFjY288L2FiYnItMT48L2FsdC1wZXJp
b2RpY2FsPjxwYWdlcz4xNDAtMTQ0PC9wYWdlcz48dm9sdW1lPjIwPC92b2x1bWU+PG51bWJlcj4x
PC9udW1iZXI+PGVkaXRpb24+MjAxNi8xMi8zMTwvZWRpdGlvbj48ZGF0ZXM+PHllYXI+MjAxNzwv
eWVhcj48cHViLWRhdGVzPjxkYXRlPkRlYyAxMzwvZGF0ZT48L3B1Yi1kYXRlcz48L2RhdGVzPjxp
c2JuPjE0NjItMjIwMzwvaXNibj48YWNjZXNzaW9uLW51bT4yODAzNTAwMDwvYWNjZXNzaW9uLW51
bT48dXJscz48cmVsYXRlZC11cmxzPjx1cmw+aHR0cHM6Ly93YXRlcm1hcmsuc2lsdmVyY2hhaXIu
Y29tL250dzM5My5wZGY/dG9rZW49QVFFQ0FIaTIwOEJFNDlPb2FuOWtraFdfRXJjeTdEbTNaTF85
Q2YzcWZLQWM0ODV5c2dBQUFiTXdnZ0d2QmdrcWhraUc5dzBCQndhZ2dnR2dNSUlCbkFJQkFEQ0NB
WlVHQ1NxR1NJYjNEUUVIQVRBZUJnbGdoa2dCWlFNRUFTNHdFUVFNSDBlOTV2TE1IU3BJUk9ZN0Fn
RVFnSUlCWnJjMWR1aFVSR0VnZTBmdk5KZlFsaTgxSTNUZ3hRcDBPWkxOMVlvTm9ReU9FZEpORGNj
a2xpczZRdjJKOHoxQzR3ZzVJWXpuaE5aOWZEUmpvQlVHLXVPelBWVEdSUHdTcS0wa01lcDdOZ1Rw
dS05MEU0bmVGelg4eFZkX1FZekZ1WWhBSWV2UDFQbmd4SDFCNmczOXlTRWlWYVQ0U1BRMUd5TlU0
U29JcGV3SEl4N01EYmJvQXp4TTNLc1R5b04zRXNTeGZWdGF4clBKNFZTd05ZUElqWjQyZkZxY2hs
anRmaVZpVXhrY2pKdk0yTzk0eDlHQlRqZ2NXVEhnSHp4dFNIdmc2SVU5Sm5TX0ViempXV3p5c01P
RFNjUld1anJFV2pzUEV2TEU3WnpkRmtUdVlvUDNJQ2RGVm41X2lFMEgycWNfdGdHaW1oZy11VFlk
UEV5U2g2Q2tQTXdhcFJ5Ui1VYWU1UEZtbDBSZmMtckhTOFRvVkxZRFpINVpfOVlnZlpIUnNGUzAy
TnViWXlOemc5Y293OTJYRDBQNGplcEIxQllQYm5qX1dKcTVGbVZEa1o5NHdOek1IbjBEd3kyVmZB
dnNMX2lGeGhDQ3drSVNpSllTeUlwUHJGQjFxeU08L3VybD48L3JlbGF0ZWQtdXJscz48L3VybHM+
PGVsZWN0cm9uaWMtcmVzb3VyY2UtbnVtPjEwLjEwOTMvbnRyL250dzM5MzwvZWxlY3Ryb25pYy1y
ZXNvdXJjZS1udW0+PHJlbW90ZS1kYXRhYmFzZS1wcm92aWRlcj5OTE08L3JlbW90ZS1kYXRhYmFz
ZS1wcm92aWRlcj48bGFuZ3VhZ2U+ZW5nPC9sYW5ndWFnZT48L3JlY29yZD48L0NpdGU+PENpdGU+
PEF1dGhvcj5Db3BlbGFuZDwvQXV0aG9yPjxZZWFyPjIwMTc8L1llYXI+PFJlY051bT41MTk3PC9S
ZWNOdW0+PHJlY29yZD48cmVjLW51bWJlcj41MTk3PC9yZWMtbnVtYmVyPjxmb3JlaWduLWtleXM+
PGtleSBhcHA9IkVOIiBkYi1pZD0iZnB0OXB0dHJtNXpmc2Flc3A5ZnBzZGR2MDlld3N2NXhld2Zk
IiB0aW1lc3RhbXA9IjE1MjUwNDYyMjgiPjUxOTc8L2tleT48a2V5IGFwcD0iRU5XZWIiIGRiLWlk
PSIiPjA8L2tleT48L2ZvcmVpZ24ta2V5cz48cmVmLXR5cGUgbmFtZT0iSm91cm5hbCBBcnRpY2xl
Ij4xNzwvcmVmLXR5cGU+PGNvbnRyaWJ1dG9ycz48YXV0aG9ycz48YXV0aG9yPkNvcGVsYW5kLCBB
LiBMLjwvYXV0aG9yPjxhdXRob3I+UGVsdGllciwgTS4gUi48L2F1dGhvcj48YXV0aG9yPldhbGRv
LCBLLjwvYXV0aG9yPjwvYXV0aG9ycz48L2NvbnRyaWJ1dG9ycz48YXV0aC1hZGRyZXNzPkRlcGFy
dG1lbnQgb2YgUHN5Y2hvbG9neSwgTG91aXNpYW5hIFN0YXRlIFVuaXZlcnNpdHksIFVuaXRlZCBT
dGF0ZXMuIEVsZWN0cm9uaWMgYWRkcmVzczogY29wZWxhbkBsc3UuZWR1LiYjeEQ7RGVwYXJ0bWVu
dCBvZiBQc3ljaG9sb2d5LCBMb3Vpc2lhbmEgU3RhdGUgVW5pdmVyc2l0eSwgVW5pdGVkIFN0YXRl
cy48L2F1dGgtYWRkcmVzcz48dGl0bGVzPjx0aXRsZT5QZXJjZWl2ZWQgcmlzayBhbmQgYmVuZWZp
dHMgb2YgZS1jaWdhcmV0dGUgdXNlIGFtb25nIGNvbGxlZ2Ugc3R1ZGVudHM8L3RpdGxlPjxzZWNv
bmRhcnktdGl0bGU+QWRkaWN0IEJlaGF2PC9zZWNvbmRhcnktdGl0bGU+PGFsdC10aXRsZT5BZGRp
Y3RpdmUgYmVoYXZpb3JzPC9hbHQtdGl0bGU+PC90aXRsZXM+PGFsdC1wZXJpb2RpY2FsPjxmdWxs
LXRpdGxlPkFkZGljdGl2ZSBCZWhhdmlvcnM8L2Z1bGwtdGl0bGU+PC9hbHQtcGVyaW9kaWNhbD48
cGFnZXM+MzEtMzc8L3BhZ2VzPjx2b2x1bWU+NzE8L3ZvbHVtZT48ZWRpdGlvbj4yMDE3LzAzLzAx
PC9lZGl0aW9uPjxrZXl3b3Jkcz48a2V5d29yZD5BZHVsdDwva2V5d29yZD48a2V5d29yZD5FbGVj
dHJvbmljIE5pY290aW5lIERlbGl2ZXJ5IFN5c3RlbXMvKnN0YXRpc3RpY3MgJmFtcDsgbnVtZXJp
Y2FsIGRhdGE8L2tleXdvcmQ+PGtleXdvcmQ+RmVtYWxlPC9rZXl3b3JkPjxrZXl3b3JkPipIZWFs
dGggS25vd2xlZGdlLCBBdHRpdHVkZXMsIFByYWN0aWNlPC9rZXl3b3JkPjxrZXl3b3JkPkh1bWFu
czwva2V5d29yZD48a2V5d29yZD5NYWxlPC9rZXl3b3JkPjxrZXl3b3JkPlByaW5jaXBhbCBDb21w
b25lbnQgQW5hbHlzaXM8L2tleXdvcmQ+PGtleXdvcmQ+Umlzay1UYWtpbmc8L2tleXdvcmQ+PGtl
eXdvcmQ+U3R1ZGVudHMvKnBzeWNob2xvZ3kvKnN0YXRpc3RpY3MgJmFtcDsgbnVtZXJpY2FsIGRh
dGE8L2tleXdvcmQ+PGtleXdvcmQ+U3VydmV5cyBhbmQgUXVlc3Rpb25uYWlyZXM8L2tleXdvcmQ+
PGtleXdvcmQ+VW5pdmVyc2l0aWVzPC9rZXl3b3JkPjxrZXl3b3JkPllvdW5nIEFkdWx0PC9rZXl3
b3JkPjxrZXl3b3JkPkNvbGxlZ2Ugc3R1ZGVudHM8L2tleXdvcmQ+PGtleXdvcmQ+RS1jaWdhcmV0
dGU8L2tleXdvcmQ+PGtleXdvcmQ+UGVyY2VwdGlvbnM8L2tleXdvcmQ+PC9rZXl3b3Jkcz48ZGF0
ZXM+PHllYXI+MjAxNzwveWVhcj48cHViLWRhdGVzPjxkYXRlPkF1ZzwvZGF0ZT48L3B1Yi1kYXRl
cz48L2RhdGVzPjxpc2JuPjAzMDYtNDYwMzwvaXNibj48YWNjZXNzaW9uLW51bT4yODI0MjUzMzwv
YWNjZXNzaW9uLW51bT48dXJscz48cmVsYXRlZC11cmxzPjx1cmw+aHR0cHM6Ly93d3cuc2NpZW5j
ZWRpcmVjdC5jb20vc2NpZW5jZS9hcnRpY2xlL3BpaS9TMDMwNjQ2MDMxNzMwMDY5Mj92aWElM0Rp
aHViPC91cmw+PC9yZWxhdGVkLXVybHM+PC91cmxzPjxlbGVjdHJvbmljLXJlc291cmNlLW51bT4x
MC4xMDE2L2ouYWRkYmVoLjIwMTcuMDIuMDA1PC9lbGVjdHJvbmljLXJlc291cmNlLW51bT48cmVt
b3RlLWRhdGFiYXNlLXByb3ZpZGVyPk5MTTwvcmVtb3RlLWRhdGFiYXNlLXByb3ZpZGVyPjxsYW5n
dWFnZT5lbmc8L2xhbmd1YWdlPjwvcmVjb3JkPjwvQ2l0ZT48L0VuZE5vdGU+AG==
</w:fldData>
        </w:fldChar>
      </w:r>
      <w:r w:rsidRPr="00892582">
        <w:instrText xml:space="preserve"> ADDIN EN.CITE </w:instrText>
      </w:r>
      <w:r w:rsidRPr="00892582">
        <w:fldChar w:fldCharType="begin">
          <w:fldData xml:space="preserve">PEVuZE5vdGU+PENpdGU+PEF1dGhvcj5Cb2xkPC9BdXRob3I+PFllYXI+MjAxNzwvWWVhcj48UmVj
TnVtPjUyODI8L1JlY051bT48RGlzcGxheVRleHQ+KEJvbGQsIEtvbmcgZXQgYWwuIDIwMTcsIENv
cGVsYW5kLCBQZWx0aWVyIGV0IGFsLiAyMDE3KTwvRGlzcGxheVRleHQ+PHJlY29yZD48cmVjLW51
bWJlcj41MjgyPC9yZWMtbnVtYmVyPjxmb3JlaWduLWtleXM+PGtleSBhcHA9IkVOIiBkYi1pZD0i
ZnB0OXB0dHJtNXpmc2Flc3A5ZnBzZGR2MDlld3N2NXhld2ZkIiB0aW1lc3RhbXA9IjE1MjUwNDYz
NzQiPjUyODI8L2tleT48a2V5IGFwcD0iRU5XZWIiIGRiLWlkPSIiPjA8L2tleT48L2ZvcmVpZ24t
a2V5cz48cmVmLXR5cGUgbmFtZT0iSm91cm5hbCBBcnRpY2xlIj4xNzwvcmVmLXR5cGU+PGNvbnRy
aWJ1dG9ycz48YXV0aG9ycz48YXV0aG9yPkJvbGQsIEsuIFcuPC9hdXRob3I+PGF1dGhvcj5Lb25n
LCBHLjwvYXV0aG9yPjxhdXRob3I+Q2F2YWxsbywgRC4gQS48L2F1dGhvcj48YXV0aG9yPkNhbWVu
Z2EsIEQuIFIuPC9hdXRob3I+PGF1dGhvcj5LcmlzaG5hbi1TYXJpbiwgUy48L2F1dGhvcj48L2F1
dGhvcnM+PC9jb250cmlidXRvcnM+PGF1dGgtYWRkcmVzcz5EZXBhcnRtZW50IG9mIFBzeWNoaWF0
cnksIENNSEMsIFlhbGUgU2Nob29sIG9mIE1lZGljaW5lLCBOZXcgSGF2ZW4sIENULiYjeEQ7RGVw
YXJ0bWVudCBvZiBFbWVyZ2VuY3kgTWVkaWNpbmUsIFlhbGUgU2Nob29sIG9mIE1lZGljaW5lLCBO
ZXcgSGF2ZW4sIENULjwvYXV0aC1hZGRyZXNzPjx0aXRsZXM+PHRpdGxlPkUtQ2lnYXJldHRlIFN1
c2NlcHRpYmlsaXR5IGFzIGEgUHJlZGljdG9yIG9mIFlvdXRoIEluaXRpYXRpb24gb2YgRS1DaWdh
cmV0dGVzPC90aXRsZT48c2Vjb25kYXJ5LXRpdGxlPk5pY290aW5lIFRvYiBSZXM8L3NlY29uZGFy
eS10aXRsZT48YWx0LXRpdGxlPk5pY290aW5lICZhbXA7IHRvYmFjY28gcmVzZWFyY2ggOiBvZmZp
Y2lhbCBqb3VybmFsIG9mIHRoZSBTb2NpZXR5IGZvciBSZXNlYXJjaCBvbiBOaWNvdGluZSBhbmQg
VG9iYWNjbzwvYWx0LXRpdGxlPjwvdGl0bGVzPjxwZXJpb2RpY2FsPjxmdWxsLXRpdGxlPk5pY290
aW5lIFRvYiBSZXM8L2Z1bGwtdGl0bGU+PGFiYnItMT5OaWNvdGluZSAmYW1wOyB0b2JhY2NvIHJl
c2VhcmNoIDogb2ZmaWNpYWwgam91cm5hbCBvZiB0aGUgU29jaWV0eSBmb3IgUmVzZWFyY2ggb24g
Tmljb3RpbmUgYW5kIFRvYmFjY288L2FiYnItMT48L3BlcmlvZGljYWw+PGFsdC1wZXJpb2RpY2Fs
PjxmdWxsLXRpdGxlPk5pY290aW5lIFRvYiBSZXM8L2Z1bGwtdGl0bGU+PGFiYnItMT5OaWNvdGlu
ZSAmYW1wOyB0b2JhY2NvIHJlc2VhcmNoIDogb2ZmaWNpYWwgam91cm5hbCBvZiB0aGUgU29jaWV0
eSBmb3IgUmVzZWFyY2ggb24gTmljb3RpbmUgYW5kIFRvYmFjY288L2FiYnItMT48L2FsdC1wZXJp
b2RpY2FsPjxwYWdlcz4xNDAtMTQ0PC9wYWdlcz48dm9sdW1lPjIwPC92b2x1bWU+PG51bWJlcj4x
PC9udW1iZXI+PGVkaXRpb24+MjAxNi8xMi8zMTwvZWRpdGlvbj48ZGF0ZXM+PHllYXI+MjAxNzwv
eWVhcj48cHViLWRhdGVzPjxkYXRlPkRlYyAxMzwvZGF0ZT48L3B1Yi1kYXRlcz48L2RhdGVzPjxp
c2JuPjE0NjItMjIwMzwvaXNibj48YWNjZXNzaW9uLW51bT4yODAzNTAwMDwvYWNjZXNzaW9uLW51
bT48dXJscz48cmVsYXRlZC11cmxzPjx1cmw+aHR0cHM6Ly93YXRlcm1hcmsuc2lsdmVyY2hhaXIu
Y29tL250dzM5My5wZGY/dG9rZW49QVFFQ0FIaTIwOEJFNDlPb2FuOWtraFdfRXJjeTdEbTNaTF85
Q2YzcWZLQWM0ODV5c2dBQUFiTXdnZ0d2QmdrcWhraUc5dzBCQndhZ2dnR2dNSUlCbkFJQkFEQ0NB
WlVHQ1NxR1NJYjNEUUVIQVRBZUJnbGdoa2dCWlFNRUFTNHdFUVFNSDBlOTV2TE1IU3BJUk9ZN0Fn
RVFnSUlCWnJjMWR1aFVSR0VnZTBmdk5KZlFsaTgxSTNUZ3hRcDBPWkxOMVlvTm9ReU9FZEpORGNj
a2xpczZRdjJKOHoxQzR3ZzVJWXpuaE5aOWZEUmpvQlVHLXVPelBWVEdSUHdTcS0wa01lcDdOZ1Rw
dS05MEU0bmVGelg4eFZkX1FZekZ1WWhBSWV2UDFQbmd4SDFCNmczOXlTRWlWYVQ0U1BRMUd5TlU0
U29JcGV3SEl4N01EYmJvQXp4TTNLc1R5b04zRXNTeGZWdGF4clBKNFZTd05ZUElqWjQyZkZxY2hs
anRmaVZpVXhrY2pKdk0yTzk0eDlHQlRqZ2NXVEhnSHp4dFNIdmc2SVU5Sm5TX0ViempXV3p5c01P
RFNjUld1anJFV2pzUEV2TEU3WnpkRmtUdVlvUDNJQ2RGVm41X2lFMEgycWNfdGdHaW1oZy11VFlk
UEV5U2g2Q2tQTXdhcFJ5Ui1VYWU1UEZtbDBSZmMtckhTOFRvVkxZRFpINVpfOVlnZlpIUnNGUzAy
TnViWXlOemc5Y293OTJYRDBQNGplcEIxQllQYm5qX1dKcTVGbVZEa1o5NHdOek1IbjBEd3kyVmZB
dnNMX2lGeGhDQ3drSVNpSllTeUlwUHJGQjFxeU08L3VybD48L3JlbGF0ZWQtdXJscz48L3VybHM+
PGVsZWN0cm9uaWMtcmVzb3VyY2UtbnVtPjEwLjEwOTMvbnRyL250dzM5MzwvZWxlY3Ryb25pYy1y
ZXNvdXJjZS1udW0+PHJlbW90ZS1kYXRhYmFzZS1wcm92aWRlcj5OTE08L3JlbW90ZS1kYXRhYmFz
ZS1wcm92aWRlcj48bGFuZ3VhZ2U+ZW5nPC9sYW5ndWFnZT48L3JlY29yZD48L0NpdGU+PENpdGU+
PEF1dGhvcj5Db3BlbGFuZDwvQXV0aG9yPjxZZWFyPjIwMTc8L1llYXI+PFJlY051bT41MTk3PC9S
ZWNOdW0+PHJlY29yZD48cmVjLW51bWJlcj41MTk3PC9yZWMtbnVtYmVyPjxmb3JlaWduLWtleXM+
PGtleSBhcHA9IkVOIiBkYi1pZD0iZnB0OXB0dHJtNXpmc2Flc3A5ZnBzZGR2MDlld3N2NXhld2Zk
IiB0aW1lc3RhbXA9IjE1MjUwNDYyMjgiPjUxOTc8L2tleT48a2V5IGFwcD0iRU5XZWIiIGRiLWlk
PSIiPjA8L2tleT48L2ZvcmVpZ24ta2V5cz48cmVmLXR5cGUgbmFtZT0iSm91cm5hbCBBcnRpY2xl
Ij4xNzwvcmVmLXR5cGU+PGNvbnRyaWJ1dG9ycz48YXV0aG9ycz48YXV0aG9yPkNvcGVsYW5kLCBB
LiBMLjwvYXV0aG9yPjxhdXRob3I+UGVsdGllciwgTS4gUi48L2F1dGhvcj48YXV0aG9yPldhbGRv
LCBLLjwvYXV0aG9yPjwvYXV0aG9ycz48L2NvbnRyaWJ1dG9ycz48YXV0aC1hZGRyZXNzPkRlcGFy
dG1lbnQgb2YgUHN5Y2hvbG9neSwgTG91aXNpYW5hIFN0YXRlIFVuaXZlcnNpdHksIFVuaXRlZCBT
dGF0ZXMuIEVsZWN0cm9uaWMgYWRkcmVzczogY29wZWxhbkBsc3UuZWR1LiYjeEQ7RGVwYXJ0bWVu
dCBvZiBQc3ljaG9sb2d5LCBMb3Vpc2lhbmEgU3RhdGUgVW5pdmVyc2l0eSwgVW5pdGVkIFN0YXRl
cy48L2F1dGgtYWRkcmVzcz48dGl0bGVzPjx0aXRsZT5QZXJjZWl2ZWQgcmlzayBhbmQgYmVuZWZp
dHMgb2YgZS1jaWdhcmV0dGUgdXNlIGFtb25nIGNvbGxlZ2Ugc3R1ZGVudHM8L3RpdGxlPjxzZWNv
bmRhcnktdGl0bGU+QWRkaWN0IEJlaGF2PC9zZWNvbmRhcnktdGl0bGU+PGFsdC10aXRsZT5BZGRp
Y3RpdmUgYmVoYXZpb3JzPC9hbHQtdGl0bGU+PC90aXRsZXM+PGFsdC1wZXJpb2RpY2FsPjxmdWxs
LXRpdGxlPkFkZGljdGl2ZSBCZWhhdmlvcnM8L2Z1bGwtdGl0bGU+PC9hbHQtcGVyaW9kaWNhbD48
cGFnZXM+MzEtMzc8L3BhZ2VzPjx2b2x1bWU+NzE8L3ZvbHVtZT48ZWRpdGlvbj4yMDE3LzAzLzAx
PC9lZGl0aW9uPjxrZXl3b3Jkcz48a2V5d29yZD5BZHVsdDwva2V5d29yZD48a2V5d29yZD5FbGVj
dHJvbmljIE5pY290aW5lIERlbGl2ZXJ5IFN5c3RlbXMvKnN0YXRpc3RpY3MgJmFtcDsgbnVtZXJp
Y2FsIGRhdGE8L2tleXdvcmQ+PGtleXdvcmQ+RmVtYWxlPC9rZXl3b3JkPjxrZXl3b3JkPipIZWFs
dGggS25vd2xlZGdlLCBBdHRpdHVkZXMsIFByYWN0aWNlPC9rZXl3b3JkPjxrZXl3b3JkPkh1bWFu
czwva2V5d29yZD48a2V5d29yZD5NYWxlPC9rZXl3b3JkPjxrZXl3b3JkPlByaW5jaXBhbCBDb21w
b25lbnQgQW5hbHlzaXM8L2tleXdvcmQ+PGtleXdvcmQ+Umlzay1UYWtpbmc8L2tleXdvcmQ+PGtl
eXdvcmQ+U3R1ZGVudHMvKnBzeWNob2xvZ3kvKnN0YXRpc3RpY3MgJmFtcDsgbnVtZXJpY2FsIGRh
dGE8L2tleXdvcmQ+PGtleXdvcmQ+U3VydmV5cyBhbmQgUXVlc3Rpb25uYWlyZXM8L2tleXdvcmQ+
PGtleXdvcmQ+VW5pdmVyc2l0aWVzPC9rZXl3b3JkPjxrZXl3b3JkPllvdW5nIEFkdWx0PC9rZXl3
b3JkPjxrZXl3b3JkPkNvbGxlZ2Ugc3R1ZGVudHM8L2tleXdvcmQ+PGtleXdvcmQ+RS1jaWdhcmV0
dGU8L2tleXdvcmQ+PGtleXdvcmQ+UGVyY2VwdGlvbnM8L2tleXdvcmQ+PC9rZXl3b3Jkcz48ZGF0
ZXM+PHllYXI+MjAxNzwveWVhcj48cHViLWRhdGVzPjxkYXRlPkF1ZzwvZGF0ZT48L3B1Yi1kYXRl
cz48L2RhdGVzPjxpc2JuPjAzMDYtNDYwMzwvaXNibj48YWNjZXNzaW9uLW51bT4yODI0MjUzMzwv
YWNjZXNzaW9uLW51bT48dXJscz48cmVsYXRlZC11cmxzPjx1cmw+aHR0cHM6Ly93d3cuc2NpZW5j
ZWRpcmVjdC5jb20vc2NpZW5jZS9hcnRpY2xlL3BpaS9TMDMwNjQ2MDMxNzMwMDY5Mj92aWElM0Rp
aHViPC91cmw+PC9yZWxhdGVkLXVybHM+PC91cmxzPjxlbGVjdHJvbmljLXJlc291cmNlLW51bT4x
MC4xMDE2L2ouYWRkYmVoLjIwMTcuMDIuMDA1PC9lbGVjdHJvbmljLXJlc291cmNlLW51bT48cmVt
b3RlLWRhdGFiYXNlLXByb3ZpZGVyPk5MTTwvcmVtb3RlLWRhdGFiYXNlLXByb3ZpZGVyPjxsYW5n
dWFnZT5lbmc8L2xhbmd1YWdlPjwvcmVjb3JkPjwvQ2l0ZT48L0VuZE5vdGU+AG==
</w:fldData>
        </w:fldChar>
      </w:r>
      <w:r w:rsidRPr="00892582">
        <w:instrText xml:space="preserve"> ADDIN EN.CITE.DATA </w:instrText>
      </w:r>
      <w:r w:rsidRPr="00892582">
        <w:fldChar w:fldCharType="end"/>
      </w:r>
      <w:r w:rsidRPr="00892582">
        <w:fldChar w:fldCharType="separate"/>
      </w:r>
      <w:r w:rsidRPr="00892582">
        <w:t>(Bold, Kong et al. 2017, Copeland, Peltier et al. 2017)</w:t>
      </w:r>
      <w:r w:rsidRPr="00892582">
        <w:fldChar w:fldCharType="end"/>
      </w:r>
      <w:r w:rsidRPr="00892582">
        <w:t xml:space="preserve"> and a study exploring the topographies of </w:t>
      </w:r>
      <w:r>
        <w:t>e</w:t>
      </w:r>
      <w:r>
        <w:noBreakHyphen/>
        <w:t>cig</w:t>
      </w:r>
      <w:r w:rsidRPr="00892582">
        <w:t xml:space="preserve">arettes </w:t>
      </w:r>
      <w:r w:rsidRPr="00892582">
        <w:fldChar w:fldCharType="begin"/>
      </w:r>
      <w:r w:rsidRPr="00892582">
        <w:instrText xml:space="preserve"> ADDIN EN.CITE &lt;EndNote&gt;&lt;Cite&gt;&lt;Author&gt;Lee&lt;/Author&gt;&lt;Year&gt;2017&lt;/Year&gt;&lt;RecNum&gt;4817&lt;/RecNum&gt;&lt;DisplayText&gt;(Lee, Nonnemaker et al. 2017)&lt;/DisplayText&gt;&lt;record&gt;&lt;rec-number&gt;4817&lt;/rec-number&gt;&lt;foreign-keys&gt;&lt;key app="EN" db-id="fpt9pttrm5zfsaesp9fpsddv09ewsv5xewfd" timestamp="1525045552"&gt;4817&lt;/key&gt;&lt;key app="ENWeb" db-id=""&gt;0&lt;/key&gt;&lt;/foreign-keys&gt;&lt;ref-type name="Journal Article"&gt;17&lt;/ref-type&gt;&lt;contributors&gt;&lt;authors&gt;&lt;author&gt;Lee, Y. O.&lt;/author&gt;&lt;author&gt;Nonnemaker, J. M.&lt;/author&gt;&lt;author&gt;Bradfield, B.&lt;/author&gt;&lt;author&gt;Hensel, E. C.&lt;/author&gt;&lt;author&gt;Robinson, R. J.&lt;/author&gt;&lt;/authors&gt;&lt;/contributors&gt;&lt;auth-address&gt;RTI International, Research Triangle Park, NC, USA.&amp;#xD;Department of Mechanical Engineering, Rochester Institute of Technology, Rochester NY, USA.&lt;/auth-address&gt;&lt;titles&gt;&lt;title&gt;Examining Daily Electronic Cigarette Puff Topography Among Established and Non-established Cigarette Smokers in their Natural Environment&lt;/title&gt;&lt;secondary-title&gt;Nicotine Tob Res&lt;/secondary-title&gt;&lt;alt-title&gt;Nicotine &amp;amp; tobacco research : official journal of the Society for Research on Nicotine and Tobacco&lt;/alt-title&gt;&lt;/titles&gt;&lt;periodical&gt;&lt;full-title&gt;Nicotine Tob Res&lt;/full-title&gt;&lt;abbr-1&gt;Nicotine &amp;amp; tobacco research : official journal of the Society for Research on Nicotine and Tobacco&lt;/abbr-1&gt;&lt;/periodical&gt;&lt;alt-periodical&gt;&lt;full-title&gt;Nicotine Tob Res&lt;/full-title&gt;&lt;abbr-1&gt;Nicotine &amp;amp; tobacco research : official journal of the Society for Research on Nicotine and Tobacco&lt;/abbr-1&gt;&lt;/alt-periodical&gt;&lt;edition&gt;2017/10/24&lt;/edition&gt;&lt;keywords&gt;&lt;keyword&gt;combustible cigarette&lt;/keyword&gt;&lt;keyword&gt;e-cigarette&lt;/keyword&gt;&lt;keyword&gt;electronic nicotine delivery system&lt;/keyword&gt;&lt;keyword&gt;puffing&lt;/keyword&gt;&lt;keyword&gt;topography&lt;/keyword&gt;&lt;keyword&gt;vaping&lt;/keyword&gt;&lt;/keywords&gt;&lt;dates&gt;&lt;year&gt;2017&lt;/year&gt;&lt;pub-dates&gt;&lt;date&gt;Oct 4&lt;/date&gt;&lt;/pub-dates&gt;&lt;/dates&gt;&lt;isbn&gt;1462-2203&lt;/isbn&gt;&lt;accession-num&gt;29059416&lt;/accession-num&gt;&lt;urls&gt;&lt;/urls&gt;&lt;electronic-resource-num&gt;10.1093/ntr/ntx222&lt;/electronic-resource-num&gt;&lt;remote-database-provider&gt;NLM&lt;/remote-database-provider&gt;&lt;language&gt;eng&lt;/language&gt;&lt;/record&gt;&lt;/Cite&gt;&lt;/EndNote&gt;</w:instrText>
      </w:r>
      <w:r w:rsidRPr="00892582">
        <w:fldChar w:fldCharType="separate"/>
      </w:r>
      <w:r w:rsidRPr="00892582">
        <w:t>(Lee, Nonnemaker et al. 2017)</w:t>
      </w:r>
      <w:r w:rsidRPr="00892582">
        <w:fldChar w:fldCharType="end"/>
      </w:r>
      <w:r w:rsidRPr="00892582">
        <w:t xml:space="preserve">. </w:t>
      </w:r>
    </w:p>
    <w:p w14:paraId="298371AE" w14:textId="77777777" w:rsidR="00E53F6C" w:rsidRPr="00892582" w:rsidRDefault="00E53F6C" w:rsidP="00E53F6C">
      <w:pPr>
        <w:pStyle w:val="BodyText"/>
      </w:pPr>
    </w:p>
    <w:p w14:paraId="32ACE452" w14:textId="77777777" w:rsidR="00E53F6C" w:rsidRDefault="00E53F6C" w:rsidP="00E53F6C">
      <w:pPr>
        <w:pStyle w:val="BodyText"/>
      </w:pPr>
      <w:r w:rsidRPr="00892582">
        <w:t xml:space="preserve">Papers on use and perception of </w:t>
      </w:r>
      <w:r>
        <w:t>e</w:t>
      </w:r>
      <w:r>
        <w:noBreakHyphen/>
        <w:t>cig</w:t>
      </w:r>
      <w:r w:rsidRPr="00892582">
        <w:t xml:space="preserve">arettes added limited, novel insights regarding the use of </w:t>
      </w:r>
      <w:r>
        <w:t>e</w:t>
      </w:r>
      <w:r>
        <w:noBreakHyphen/>
        <w:t>cig</w:t>
      </w:r>
      <w:r w:rsidRPr="00892582">
        <w:t xml:space="preserve">arettes. Two papers explored use in military personnel </w:t>
      </w:r>
      <w:r w:rsidRPr="00892582">
        <w:fldChar w:fldCharType="begin">
          <w:fldData xml:space="preserve">PEVuZE5vdGU+PENpdGU+PEF1dGhvcj5DaGluPC9BdXRob3I+PFllYXI+MjAxODwvWWVhcj48UmVj
TnVtPjQ2Mjg8L1JlY051bT48RGlzcGxheVRleHQ+KENoaW4sIEx1c3RpayBldCBhbC4gMjAxOCwg
SGFsbCwgQXVzdGluIGV0IGFsLiAyMDE4KTwvRGlzcGxheVRleHQ+PHJlY29yZD48cmVjLW51bWJl
cj40NjI4PC9yZWMtbnVtYmVyPjxmb3JlaWduLWtleXM+PGtleSBhcHA9IkVOIiBkYi1pZD0iZnB0
OXB0dHJtNXpmc2Flc3A5ZnBzZGR2MDlld3N2NXhld2ZkIiB0aW1lc3RhbXA9IjE1MjUwNDUxNjki
PjQ2Mjg8L2tleT48a2V5IGFwcD0iRU5XZWIiIGRiLWlkPSIiPjA8L2tleT48L2ZvcmVpZ24ta2V5
cz48cmVmLXR5cGUgbmFtZT0iSm91cm5hbCBBcnRpY2xlIj4xNzwvcmVmLXR5cGU+PGNvbnRyaWJ1
dG9ycz48YXV0aG9ycz48YXV0aG9yPkNoaW4sIEouPC9hdXRob3I+PGF1dGhvcj5MdXN0aWssIE0u
IEIuPC9hdXRob3I+PGF1dGhvcj5QZmxpcHNlbiwgTS48L2F1dGhvcj48L2F1dGhvcnM+PC9jb250
cmlidXRvcnM+PGF1dGgtYWRkcmVzcz5EZXBhcnRtZW50IG9mIEZhbWlseSBNZWRpY2luZSwgVHJp
cGxlciBBcm15IE1lZGljYWwgQ2VudGVyLCAxIEphcnJldHQgV2hpdGUgUm9hZCwgSG9ub2x1bHUg
SEkgOTY4MTUuJiN4RDtEZXBhcnRtZW50IG9mIENsaW5pY2FsIEludmVzdGlnYXRpb25zLCBUcmlw
bGVyIEFybXkgTWVkaWNhbCBDZW50ZXIsIDEgSmFycmV0dCBXaGl0ZSBSb2FkLCBIb25vbHVsdSBI
SSA5NjgxNS48L2F1dGgtYWRkcmVzcz48dGl0bGVzPjx0aXRsZT5QcmV2YWxlbmNlIG9mIFVzZSBh
bmQgUGVyY2VwdGlvbnMgb2YgRWxlY3Ryb25pYyBTbW9raW5nIERldmljZXMgaW4gYSBVUyBBcm15
IEluZmFudHJ5IERpdmlzaW9uPC90aXRsZT48c2Vjb25kYXJ5LXRpdGxlPk1pbCBNZWQ8L3NlY29u
ZGFyeS10aXRsZT48YWx0LXRpdGxlPk1pbGl0YXJ5IG1lZGljaW5lPC9hbHQtdGl0bGU+PC90aXRs
ZXM+PGFsdC1wZXJpb2RpY2FsPjxmdWxsLXRpdGxlPk1pbGl0YXJ5IE1lZGljaW5lPC9mdWxsLXRp
dGxlPjwvYWx0LXBlcmlvZGljYWw+PHBhZ2VzPmUxMjctZTEzMzwvcGFnZXM+PHZvbHVtZT4xODM8
L3ZvbHVtZT48bnVtYmVyPjEtMjwvbnVtYmVyPjxlZGl0aW9uPjIwMTgvMDIvMDY8L2VkaXRpb24+
PGtleXdvcmRzPjxrZXl3b3JkPkUtY2lnYXJldHRlPC9rZXl3b3JkPjxrZXl3b3JkPk1pbGl0YXJ5
PC9rZXl3b3JkPjxrZXl3b3JkPlByZXZhbGVuY2U8L2tleXdvcmQ+PGtleXdvcmQ+U21va2luZzwv
a2V5d29yZD48L2tleXdvcmRzPjxkYXRlcz48eWVhcj4yMDE4PC95ZWFyPjxwdWItZGF0ZXM+PGRh
dGU+SmFuIDE8L2RhdGU+PC9wdWItZGF0ZXM+PC9kYXRlcz48aXNibj4wMDI2LTQwNzU8L2lzYm4+
PGFjY2Vzc2lvbi1udW0+Mjk0MDEzNDA8L2FjY2Vzc2lvbi1udW0+PHVybHM+PHJlbGF0ZWQtdXJs
cz48dXJsPmh0dHBzOi8vd2F0ZXJtYXJrLnNpbHZlcmNoYWlyLmNvbS91c3gwMjQucGRmP3Rva2Vu
PUFRRUNBSGkyMDhCRTQ5T29hbjlra2hXX0VyY3k3RG0zWkxfOUNmM3FmS0FjNDg1eXNnQUFBYzh3
Z2dITEJna3Foa2lHOXcwQkJ3YWdnZ0c4TUlJQnVBSUJBRENDQWJFR0NTcUdTSWIzRFFFSEFUQWVC
Z2xnaGtnQlpRTUVBUzR3RVFRTXNIZ2JDQmFtXzB1TVpzM2tBZ0VRZ0lJQmd0M2RpX1JPWWF2d3pG
d3VteWdtOG14YmdObktKa0VEY3BNYlRhNWp3NklzaWFNZ3NBMmM2SW5RZlcyX0tNc3Qyb0xFTzg5
aFpYdWJrZk5RTTlJbEdGOHBwQ3lTQ21MR2ZsOWVTd08xOGtXYkM4NjFhRjkwQnJhM3hyZXFDNXJY
Y0EwbE4wblpHbWFsX1pKUGdjSHloeldhb1haNGxrczJpT2lfamp0VFlDamp4NjFIYWN3Y2prMGRN
M3pzZXFOQUxYa2JXZ2xYTEEzOTh4Sk1YcDhWLTg2X0VkUWdJXzVOSWpqY0VXa1B6R19lV0tBRmds
UXBmekh1VTNDTmlBeDd6ZGROTVhDMG9uallSZXMxVHZJNXVDQW1scjhoWDgyUDJ1OFBtLTg0a0JT
TEIwV0ZYN0lLemtXMU00LWtSSnRhb01XYWg3NTNUaHJSVUU3S0dybWh3WWUxZUJzeTRjM2RlamFr
QTJacUdIRkZpWmZKZjlWN1lrUTVMWm54eHhXZGV2V2NZR2xBYUVSM3Mwdi1LNlRBT3Z3dHNEMHBQ
VWhRVnpJbGdEY1B2ZE03YWJPNWp0emRBd0toQXdXVE54OGRmRGpRaHh6S011aGloMVNDQkt2TmJK
OWlGckNZY1dkTkFZV0xNaFk2YnpfaENmc3FDQXp5ZTBVZVAxZmpMcjFna3lRVzwvdXJsPjx1cmw+
aHR0cHM6Ly93YXRlcm1hcmsuc2lsdmVyY2hhaXIuY29tL3VzeDAyNC5wZGY/dG9rZW49QVFFQ0FI
aTIwOEJFNDlPb2FuOWtraFdfRXJjeTdEbTNaTF85Q2YzcWZLQWM0ODV5c2dBQUFjTXdnZ0dfQmdr
cWhraUc5dzBCQndhZ2dnR3dNSUlCckFJQkFEQ0NBYVVHQ1NxR1NJYjNEUUVIQVRBZUJnbGdoa2dC
WlFNRUFTNHdFUVFNaG1EdG8xMkM1V1cySm1BYkFnRVFnSUlCZGtOWjlGR3lNUk82SUp6WEdJY1VB
OVlhUjFDRmVVRUVGbEpwbkx1MDdHYkMwRjZSMjMzX2dMZHRsVzBXT3d3SHdwT2JaQ3ZOQUNYLWpG
U3AyU1lGdnVaQ1VfOHpEaUlKMGNZdFc1T1BIVVcyME1tclQ1R1JPYUdoaVdIaWlaN1pwc0l3VnFy
Nllka0pJY1FvbV9uVHpJc2FUTFA2YlhGY3hVRTBzbXFQQ3dLX01kRzhVTENuU3J0NTRJZmJrMHll
dURBb0pnZjV2V1Q1ZlF1ZkRBSkItN2xqNXFXU3phaER1eGszX3g3MnZOZzZJUy1FMmNwbDhHRHJp
TE41c1R2Ny13X0Vhb0lVMGQ1T253MFdrNXhmcE9ET19IWjU0YVdjMDViMFdHWHpxT3c1VHBsUWdK
MkF3ZE5zOUs1NlR6N1l0aEctdzBMR0xqVmhURXAxMTc2T2ZTWm51Zm5JMlNLMmo5WEJWRFU4Szkx
VklaU1NSSU1PWWI0RUIxN1hhNnRiRjdDOVJOLUtBVG02bk1pZVdxNEhMeW43S0dlM3kxX3p3VTBT
NWFHazhXOHhVZWRKM0tLR2Nkd0o4N3YwUVBqeDVuVTdIdHdvS21ETTdVS3VfajJDMmU3d203M0hi
VFFTUlZneEp0c2RJb2I0LUVSZ01sX2g8L3VybD48L3JlbGF0ZWQtdXJscz48L3VybHM+PGVsZWN0
cm9uaWMtcmVzb3VyY2UtbnVtPjEwLjEwOTMvbWlsbWVkL3VzeDAyNDwvZWxlY3Ryb25pYy1yZXNv
dXJjZS1udW0+PHJlbW90ZS1kYXRhYmFzZS1wcm92aWRlcj5OTE08L3JlbW90ZS1kYXRhYmFzZS1w
cm92aWRlcj48bGFuZ3VhZ2U+ZW5nPC9sYW5ndWFnZT48L3JlY29yZD48L0NpdGU+PENpdGU+PEF1
dGhvcj5IYWxsPC9BdXRob3I+PFllYXI+MjAxODwvWWVhcj48UmVjTnVtPjQ2NTI8L1JlY051bT48
cmVjb3JkPjxyZWMtbnVtYmVyPjQ2NTI8L3JlYy1udW1iZXI+PGZvcmVpZ24ta2V5cz48a2V5IGFw
cD0iRU4iIGRiLWlkPSJmcHQ5cHR0cm01emZzYWVzcDlmcHNkZHYwOWV3c3Y1eGV3ZmQiIHRpbWVz
dGFtcD0iMTUyNTA0NTIzOCI+NDY1Mjwva2V5PjxrZXkgYXBwPSJFTldlYiIgZGItaWQ9IiI+MDwv
a2V5PjwvZm9yZWlnbi1rZXlzPjxyZWYtdHlwZSBuYW1lPSJKb3VybmFsIEFydGljbGUiPjE3PC9y
ZWYtdHlwZT48Y29udHJpYnV0b3JzPjxhdXRob3JzPjxhdXRob3I+SGFsbCwgTS4gVC48L2F1dGhv
cj48YXV0aG9yPkF1c3RpbiwgUi4gUC48L2F1dGhvcj48YXV0aG9yPkRvLCBULiBBLjwvYXV0aG9y
PjxhdXRob3I+TWNHbHlubiwgQS48L2F1dGhvcj48L2F1dGhvcnM+PC9jb250cmlidXRvcnM+PGF1
dGgtYWRkcmVzcz5EZXBhcnRtZW50IG9mIEF2aWF0aW9uIE1lZGljaW5lLCBOYXZhbCBIb3NwaXRh
bCBKYWNrc29udmlsbGUsIDIwODAgQ2hpbGQgU3RyZWV0LCBKYWNrc29udmlsbGUsIEZMIDMyMjE0
LiYjeEQ7RGlyZWN0b3JhdGUgb2YgUHVibGljIEhlYWx0aCBTZXJ2aWNlcywgVS5TLiBOYXZhbCBI
b3NwaXRhbCBPa2luYXdhLCBPa2luYXdhLCBKYXBhbi4gUFNDIDQ4MiwgRlBPIEFQIDk2MzYyLTE2
MDAuJiN4RDtEZXBhcnRtZW50IG9mIENsaW5pY2FsIEludmVzdGlnYXRpb24sIE5hdmFsIE1lZGlj
YWwgQ2VudGVyIFBvcnRzbW91dGgsIDYyMCBKb2huIFBhdWwgSm9uZXMgQ2lyY2xlLCBQb3J0c21v
dXRoLCBWSSAyMzcwOC48L2F1dGgtYWRkcmVzcz48dGl0bGVzPjx0aXRsZT5WYXBlIGFuZCBBdmlh
dGU6IEVsZWN0cm9uaWMtQ2lnYXJldHRlIFVzZSBhbmQgTWlzdXNlIGluIE5hdmFsIEF2aWF0aW9u
PC90aXRsZT48c2Vjb25kYXJ5LXRpdGxlPk1pbCBNZWQ8L3NlY29uZGFyeS10aXRsZT48YWx0LXRp
dGxlPk1pbGl0YXJ5IG1lZGljaW5lPC9hbHQtdGl0bGU+PC90aXRsZXM+PGFsdC1wZXJpb2RpY2Fs
PjxmdWxsLXRpdGxlPk1pbGl0YXJ5IE1lZGljaW5lPC9mdWxsLXRpdGxlPjwvYWx0LXBlcmlvZGlj
YWw+PHBhZ2VzPmUxNjUtZTE3MDwvcGFnZXM+PHZvbHVtZT4xODM8L3ZvbHVtZT48bnVtYmVyPjMt
NDwvbnVtYmVyPjxlZGl0aW9uPjIwMTgvMDEvMjU8L2VkaXRpb24+PGRhdGVzPjx5ZWFyPjIwMTg8
L3llYXI+PHB1Yi1kYXRlcz48ZGF0ZT5NYXIgMTwvZGF0ZT48L3B1Yi1kYXRlcz48L2RhdGVzPjxp
c2JuPjAwMjYtNDA3NTwvaXNibj48YWNjZXNzaW9uLW51bT4yOTM2NTE5MTwvYWNjZXNzaW9uLW51
bT48dXJscz48cmVsYXRlZC11cmxzPjx1cmw+aHR0cHM6Ly93YXRlcm1hcmsuc2lsdmVyY2hhaXIu
Y29tL3VzeDAwMy5wZGY/dG9rZW49QVFFQ0FIaTIwOEJFNDlPb2FuOWtraFdfRXJjeTdEbTNaTF85
Q2YzcWZLQWM0ODV5c2dBQUFjTXdnZ0dfQmdrcWhraUc5dzBCQndhZ2dnR3dNSUlCckFJQkFEQ0NB
YVVHQ1NxR1NJYjNEUUVIQVRBZUJnbGdoa2dCWlFNRUFTNHdFUVFNeUlsYTZZMHNxTngwQWgwZkFn
RVFnSUlCZHNrNGtLS0F5SnpkUzN5OE9lZWRYbm1admZXcEZSQkVxbXVoRDR6QlQ0a01iRUFQZmRT
U1E4NjhMSXhteWxFSkppUUZTeE5NNmNHM0poa2V0eVp6clh4c0RPTkNQNkJ0RE1Xb2h3YzN2Q19j
eXNZWUF2eGhQR2RHZnU5NEVTM3B2SkdoX21wOGlWQmhEZXoteHQzeUJjeGpKZTZXMkJTT3hnWXlu
azRORi1LYWd1ZmJEZ0VQeUtCZTN3UUJReEU1ZmthQ2NseXdqbXRqd2R6WXlmckhud0xJUkNBbk4x
M2gwSElOUDB1N1pvek5YTjBHQjVTSHZXOUVKMDljUnF2Ui05alc5MkZYMXFOYm95Y3ZxLTFnSFBn
dVdDWTNuUWZtNWJxVzdlLXkxSHNwZE1JZGpBU0hZeW41ak5oU3BDWVNyazFEUkRUTW51dTR4clhL
elhDeTR5UlV5UThuSGxOa2lCck1LZENkdWtUaE9ScHNMWVhRNlNZQjdxcXh0dldzN1dJRUFPdW1F
M2hKQUtrMjBBRG1qNEtBTWR3eHBxc1U2U2F5VDNTTnd0NElsNy01M3dvRVJQLUk2cmY3WVRLNTRR
RU5XLThaOXNZWUhYN09aZGo4UmdDZTAtN0F0YzByWFpsZUF1OXQzRzlVNVpoQnhjaVg8L3VybD48
L3JlbGF0ZWQtdXJscz48L3VybHM+PGVsZWN0cm9uaWMtcmVzb3VyY2UtbnVtPjEwLjEwOTMvbWls
bWVkL3VzeDAwMzwvZWxlY3Ryb25pYy1yZXNvdXJjZS1udW0+PHJlbW90ZS1kYXRhYmFzZS1wcm92
aWRlcj5OTE08L3JlbW90ZS1kYXRhYmFzZS1wcm92aWRlcj48bGFuZ3VhZ2U+ZW5nPC9sYW5ndWFn
ZT48L3JlY29yZD48L0NpdGU+PC9FbmROb3RlPgB=
</w:fldData>
        </w:fldChar>
      </w:r>
      <w:r w:rsidRPr="00892582">
        <w:instrText xml:space="preserve"> ADDIN EN.CITE </w:instrText>
      </w:r>
      <w:r w:rsidRPr="00892582">
        <w:fldChar w:fldCharType="begin">
          <w:fldData xml:space="preserve">PEVuZE5vdGU+PENpdGU+PEF1dGhvcj5DaGluPC9BdXRob3I+PFllYXI+MjAxODwvWWVhcj48UmVj
TnVtPjQ2Mjg8L1JlY051bT48RGlzcGxheVRleHQ+KENoaW4sIEx1c3RpayBldCBhbC4gMjAxOCwg
SGFsbCwgQXVzdGluIGV0IGFsLiAyMDE4KTwvRGlzcGxheVRleHQ+PHJlY29yZD48cmVjLW51bWJl
cj40NjI4PC9yZWMtbnVtYmVyPjxmb3JlaWduLWtleXM+PGtleSBhcHA9IkVOIiBkYi1pZD0iZnB0
OXB0dHJtNXpmc2Flc3A5ZnBzZGR2MDlld3N2NXhld2ZkIiB0aW1lc3RhbXA9IjE1MjUwNDUxNjki
PjQ2Mjg8L2tleT48a2V5IGFwcD0iRU5XZWIiIGRiLWlkPSIiPjA8L2tleT48L2ZvcmVpZ24ta2V5
cz48cmVmLXR5cGUgbmFtZT0iSm91cm5hbCBBcnRpY2xlIj4xNzwvcmVmLXR5cGU+PGNvbnRyaWJ1
dG9ycz48YXV0aG9ycz48YXV0aG9yPkNoaW4sIEouPC9hdXRob3I+PGF1dGhvcj5MdXN0aWssIE0u
IEIuPC9hdXRob3I+PGF1dGhvcj5QZmxpcHNlbiwgTS48L2F1dGhvcj48L2F1dGhvcnM+PC9jb250
cmlidXRvcnM+PGF1dGgtYWRkcmVzcz5EZXBhcnRtZW50IG9mIEZhbWlseSBNZWRpY2luZSwgVHJp
cGxlciBBcm15IE1lZGljYWwgQ2VudGVyLCAxIEphcnJldHQgV2hpdGUgUm9hZCwgSG9ub2x1bHUg
SEkgOTY4MTUuJiN4RDtEZXBhcnRtZW50IG9mIENsaW5pY2FsIEludmVzdGlnYXRpb25zLCBUcmlw
bGVyIEFybXkgTWVkaWNhbCBDZW50ZXIsIDEgSmFycmV0dCBXaGl0ZSBSb2FkLCBIb25vbHVsdSBI
SSA5NjgxNS48L2F1dGgtYWRkcmVzcz48dGl0bGVzPjx0aXRsZT5QcmV2YWxlbmNlIG9mIFVzZSBh
bmQgUGVyY2VwdGlvbnMgb2YgRWxlY3Ryb25pYyBTbW9raW5nIERldmljZXMgaW4gYSBVUyBBcm15
IEluZmFudHJ5IERpdmlzaW9uPC90aXRsZT48c2Vjb25kYXJ5LXRpdGxlPk1pbCBNZWQ8L3NlY29u
ZGFyeS10aXRsZT48YWx0LXRpdGxlPk1pbGl0YXJ5IG1lZGljaW5lPC9hbHQtdGl0bGU+PC90aXRs
ZXM+PGFsdC1wZXJpb2RpY2FsPjxmdWxsLXRpdGxlPk1pbGl0YXJ5IE1lZGljaW5lPC9mdWxsLXRp
dGxlPjwvYWx0LXBlcmlvZGljYWw+PHBhZ2VzPmUxMjctZTEzMzwvcGFnZXM+PHZvbHVtZT4xODM8
L3ZvbHVtZT48bnVtYmVyPjEtMjwvbnVtYmVyPjxlZGl0aW9uPjIwMTgvMDIvMDY8L2VkaXRpb24+
PGtleXdvcmRzPjxrZXl3b3JkPkUtY2lnYXJldHRlPC9rZXl3b3JkPjxrZXl3b3JkPk1pbGl0YXJ5
PC9rZXl3b3JkPjxrZXl3b3JkPlByZXZhbGVuY2U8L2tleXdvcmQ+PGtleXdvcmQ+U21va2luZzwv
a2V5d29yZD48L2tleXdvcmRzPjxkYXRlcz48eWVhcj4yMDE4PC95ZWFyPjxwdWItZGF0ZXM+PGRh
dGU+SmFuIDE8L2RhdGU+PC9wdWItZGF0ZXM+PC9kYXRlcz48aXNibj4wMDI2LTQwNzU8L2lzYm4+
PGFjY2Vzc2lvbi1udW0+Mjk0MDEzNDA8L2FjY2Vzc2lvbi1udW0+PHVybHM+PHJlbGF0ZWQtdXJs
cz48dXJsPmh0dHBzOi8vd2F0ZXJtYXJrLnNpbHZlcmNoYWlyLmNvbS91c3gwMjQucGRmP3Rva2Vu
PUFRRUNBSGkyMDhCRTQ5T29hbjlra2hXX0VyY3k3RG0zWkxfOUNmM3FmS0FjNDg1eXNnQUFBYzh3
Z2dITEJna3Foa2lHOXcwQkJ3YWdnZ0c4TUlJQnVBSUJBRENDQWJFR0NTcUdTSWIzRFFFSEFUQWVC
Z2xnaGtnQlpRTUVBUzR3RVFRTXNIZ2JDQmFtXzB1TVpzM2tBZ0VRZ0lJQmd0M2RpX1JPWWF2d3pG
d3VteWdtOG14YmdObktKa0VEY3BNYlRhNWp3NklzaWFNZ3NBMmM2SW5RZlcyX0tNc3Qyb0xFTzg5
aFpYdWJrZk5RTTlJbEdGOHBwQ3lTQ21MR2ZsOWVTd08xOGtXYkM4NjFhRjkwQnJhM3hyZXFDNXJY
Y0EwbE4wblpHbWFsX1pKUGdjSHloeldhb1haNGxrczJpT2lfamp0VFlDamp4NjFIYWN3Y2prMGRN
M3pzZXFOQUxYa2JXZ2xYTEEzOTh4Sk1YcDhWLTg2X0VkUWdJXzVOSWpqY0VXa1B6R19lV0tBRmds
UXBmekh1VTNDTmlBeDd6ZGROTVhDMG9uallSZXMxVHZJNXVDQW1scjhoWDgyUDJ1OFBtLTg0a0JT
TEIwV0ZYN0lLemtXMU00LWtSSnRhb01XYWg3NTNUaHJSVUU3S0dybWh3WWUxZUJzeTRjM2RlamFr
QTJacUdIRkZpWmZKZjlWN1lrUTVMWm54eHhXZGV2V2NZR2xBYUVSM3Mwdi1LNlRBT3Z3dHNEMHBQ
VWhRVnpJbGdEY1B2ZE03YWJPNWp0emRBd0toQXdXVE54OGRmRGpRaHh6S011aGloMVNDQkt2TmJK
OWlGckNZY1dkTkFZV0xNaFk2YnpfaENmc3FDQXp5ZTBVZVAxZmpMcjFna3lRVzwvdXJsPjx1cmw+
aHR0cHM6Ly93YXRlcm1hcmsuc2lsdmVyY2hhaXIuY29tL3VzeDAyNC5wZGY/dG9rZW49QVFFQ0FI
aTIwOEJFNDlPb2FuOWtraFdfRXJjeTdEbTNaTF85Q2YzcWZLQWM0ODV5c2dBQUFjTXdnZ0dfQmdr
cWhraUc5dzBCQndhZ2dnR3dNSUlCckFJQkFEQ0NBYVVHQ1NxR1NJYjNEUUVIQVRBZUJnbGdoa2dC
WlFNRUFTNHdFUVFNaG1EdG8xMkM1V1cySm1BYkFnRVFnSUlCZGtOWjlGR3lNUk82SUp6WEdJY1VB
OVlhUjFDRmVVRUVGbEpwbkx1MDdHYkMwRjZSMjMzX2dMZHRsVzBXT3d3SHdwT2JaQ3ZOQUNYLWpG
U3AyU1lGdnVaQ1VfOHpEaUlKMGNZdFc1T1BIVVcyME1tclQ1R1JPYUdoaVdIaWlaN1pwc0l3VnFy
Nllka0pJY1FvbV9uVHpJc2FUTFA2YlhGY3hVRTBzbXFQQ3dLX01kRzhVTENuU3J0NTRJZmJrMHll
dURBb0pnZjV2V1Q1ZlF1ZkRBSkItN2xqNXFXU3phaER1eGszX3g3MnZOZzZJUy1FMmNwbDhHRHJp
TE41c1R2Ny13X0Vhb0lVMGQ1T253MFdrNXhmcE9ET19IWjU0YVdjMDViMFdHWHpxT3c1VHBsUWdK
MkF3ZE5zOUs1NlR6N1l0aEctdzBMR0xqVmhURXAxMTc2T2ZTWm51Zm5JMlNLMmo5WEJWRFU4Szkx
VklaU1NSSU1PWWI0RUIxN1hhNnRiRjdDOVJOLUtBVG02bk1pZVdxNEhMeW43S0dlM3kxX3p3VTBT
NWFHazhXOHhVZWRKM0tLR2Nkd0o4N3YwUVBqeDVuVTdIdHdvS21ETTdVS3VfajJDMmU3d203M0hi
VFFTUlZneEp0c2RJb2I0LUVSZ01sX2g8L3VybD48L3JlbGF0ZWQtdXJscz48L3VybHM+PGVsZWN0
cm9uaWMtcmVzb3VyY2UtbnVtPjEwLjEwOTMvbWlsbWVkL3VzeDAyNDwvZWxlY3Ryb25pYy1yZXNv
dXJjZS1udW0+PHJlbW90ZS1kYXRhYmFzZS1wcm92aWRlcj5OTE08L3JlbW90ZS1kYXRhYmFzZS1w
cm92aWRlcj48bGFuZ3VhZ2U+ZW5nPC9sYW5ndWFnZT48L3JlY29yZD48L0NpdGU+PENpdGU+PEF1
dGhvcj5IYWxsPC9BdXRob3I+PFllYXI+MjAxODwvWWVhcj48UmVjTnVtPjQ2NTI8L1JlY051bT48
cmVjb3JkPjxyZWMtbnVtYmVyPjQ2NTI8L3JlYy1udW1iZXI+PGZvcmVpZ24ta2V5cz48a2V5IGFw
cD0iRU4iIGRiLWlkPSJmcHQ5cHR0cm01emZzYWVzcDlmcHNkZHYwOWV3c3Y1eGV3ZmQiIHRpbWVz
dGFtcD0iMTUyNTA0NTIzOCI+NDY1Mjwva2V5PjxrZXkgYXBwPSJFTldlYiIgZGItaWQ9IiI+MDwv
a2V5PjwvZm9yZWlnbi1rZXlzPjxyZWYtdHlwZSBuYW1lPSJKb3VybmFsIEFydGljbGUiPjE3PC9y
ZWYtdHlwZT48Y29udHJpYnV0b3JzPjxhdXRob3JzPjxhdXRob3I+SGFsbCwgTS4gVC48L2F1dGhv
cj48YXV0aG9yPkF1c3RpbiwgUi4gUC48L2F1dGhvcj48YXV0aG9yPkRvLCBULiBBLjwvYXV0aG9y
PjxhdXRob3I+TWNHbHlubiwgQS48L2F1dGhvcj48L2F1dGhvcnM+PC9jb250cmlidXRvcnM+PGF1
dGgtYWRkcmVzcz5EZXBhcnRtZW50IG9mIEF2aWF0aW9uIE1lZGljaW5lLCBOYXZhbCBIb3NwaXRh
bCBKYWNrc29udmlsbGUsIDIwODAgQ2hpbGQgU3RyZWV0LCBKYWNrc29udmlsbGUsIEZMIDMyMjE0
LiYjeEQ7RGlyZWN0b3JhdGUgb2YgUHVibGljIEhlYWx0aCBTZXJ2aWNlcywgVS5TLiBOYXZhbCBI
b3NwaXRhbCBPa2luYXdhLCBPa2luYXdhLCBKYXBhbi4gUFNDIDQ4MiwgRlBPIEFQIDk2MzYyLTE2
MDAuJiN4RDtEZXBhcnRtZW50IG9mIENsaW5pY2FsIEludmVzdGlnYXRpb24sIE5hdmFsIE1lZGlj
YWwgQ2VudGVyIFBvcnRzbW91dGgsIDYyMCBKb2huIFBhdWwgSm9uZXMgQ2lyY2xlLCBQb3J0c21v
dXRoLCBWSSAyMzcwOC48L2F1dGgtYWRkcmVzcz48dGl0bGVzPjx0aXRsZT5WYXBlIGFuZCBBdmlh
dGU6IEVsZWN0cm9uaWMtQ2lnYXJldHRlIFVzZSBhbmQgTWlzdXNlIGluIE5hdmFsIEF2aWF0aW9u
PC90aXRsZT48c2Vjb25kYXJ5LXRpdGxlPk1pbCBNZWQ8L3NlY29uZGFyeS10aXRsZT48YWx0LXRp
dGxlPk1pbGl0YXJ5IG1lZGljaW5lPC9hbHQtdGl0bGU+PC90aXRsZXM+PGFsdC1wZXJpb2RpY2Fs
PjxmdWxsLXRpdGxlPk1pbGl0YXJ5IE1lZGljaW5lPC9mdWxsLXRpdGxlPjwvYWx0LXBlcmlvZGlj
YWw+PHBhZ2VzPmUxNjUtZTE3MDwvcGFnZXM+PHZvbHVtZT4xODM8L3ZvbHVtZT48bnVtYmVyPjMt
NDwvbnVtYmVyPjxlZGl0aW9uPjIwMTgvMDEvMjU8L2VkaXRpb24+PGRhdGVzPjx5ZWFyPjIwMTg8
L3llYXI+PHB1Yi1kYXRlcz48ZGF0ZT5NYXIgMTwvZGF0ZT48L3B1Yi1kYXRlcz48L2RhdGVzPjxp
c2JuPjAwMjYtNDA3NTwvaXNibj48YWNjZXNzaW9uLW51bT4yOTM2NTE5MTwvYWNjZXNzaW9uLW51
bT48dXJscz48cmVsYXRlZC11cmxzPjx1cmw+aHR0cHM6Ly93YXRlcm1hcmsuc2lsdmVyY2hhaXIu
Y29tL3VzeDAwMy5wZGY/dG9rZW49QVFFQ0FIaTIwOEJFNDlPb2FuOWtraFdfRXJjeTdEbTNaTF85
Q2YzcWZLQWM0ODV5c2dBQUFjTXdnZ0dfQmdrcWhraUc5dzBCQndhZ2dnR3dNSUlCckFJQkFEQ0NB
YVVHQ1NxR1NJYjNEUUVIQVRBZUJnbGdoa2dCWlFNRUFTNHdFUVFNeUlsYTZZMHNxTngwQWgwZkFn
RVFnSUlCZHNrNGtLS0F5SnpkUzN5OE9lZWRYbm1admZXcEZSQkVxbXVoRDR6QlQ0a01iRUFQZmRT
U1E4NjhMSXhteWxFSkppUUZTeE5NNmNHM0poa2V0eVp6clh4c0RPTkNQNkJ0RE1Xb2h3YzN2Q19j
eXNZWUF2eGhQR2RHZnU5NEVTM3B2SkdoX21wOGlWQmhEZXoteHQzeUJjeGpKZTZXMkJTT3hnWXlu
azRORi1LYWd1ZmJEZ0VQeUtCZTN3UUJReEU1ZmthQ2NseXdqbXRqd2R6WXlmckhud0xJUkNBbk4x
M2gwSElOUDB1N1pvek5YTjBHQjVTSHZXOUVKMDljUnF2Ui05alc5MkZYMXFOYm95Y3ZxLTFnSFBn
dVdDWTNuUWZtNWJxVzdlLXkxSHNwZE1JZGpBU0hZeW41ak5oU3BDWVNyazFEUkRUTW51dTR4clhL
elhDeTR5UlV5UThuSGxOa2lCck1LZENkdWtUaE9ScHNMWVhRNlNZQjdxcXh0dldzN1dJRUFPdW1F
M2hKQUtrMjBBRG1qNEtBTWR3eHBxc1U2U2F5VDNTTnd0NElsNy01M3dvRVJQLUk2cmY3WVRLNTRR
RU5XLThaOXNZWUhYN09aZGo4UmdDZTAtN0F0YzByWFpsZUF1OXQzRzlVNVpoQnhjaVg8L3VybD48
L3JlbGF0ZWQtdXJscz48L3VybHM+PGVsZWN0cm9uaWMtcmVzb3VyY2UtbnVtPjEwLjEwOTMvbWls
bWVkL3VzeDAwMzwvZWxlY3Ryb25pYy1yZXNvdXJjZS1udW0+PHJlbW90ZS1kYXRhYmFzZS1wcm92
aWRlcj5OTE08L3JlbW90ZS1kYXRhYmFzZS1wcm92aWRlcj48bGFuZ3VhZ2U+ZW5nPC9sYW5ndWFn
ZT48L3JlY29yZD48L0NpdGU+PC9FbmROb3RlPgB=
</w:fldData>
        </w:fldChar>
      </w:r>
      <w:r w:rsidRPr="00892582">
        <w:instrText xml:space="preserve"> ADDIN EN.CITE.DATA </w:instrText>
      </w:r>
      <w:r w:rsidRPr="00892582">
        <w:fldChar w:fldCharType="end"/>
      </w:r>
      <w:r w:rsidRPr="00892582">
        <w:fldChar w:fldCharType="separate"/>
      </w:r>
      <w:r w:rsidRPr="00892582">
        <w:t>(Chin, Lustik et al. 2018, Hall, Austin et al. 2018)</w:t>
      </w:r>
      <w:r w:rsidRPr="00892582">
        <w:fldChar w:fldCharType="end"/>
      </w:r>
      <w:r w:rsidRPr="00892582">
        <w:t xml:space="preserve">. These samples included large numbers of males (85 and 86%). Chin et al </w:t>
      </w:r>
      <w:r w:rsidRPr="00892582">
        <w:fldChar w:fldCharType="begin">
          <w:fldData xml:space="preserve">PEVuZE5vdGU+PENpdGU+PEF1dGhvcj5DaGluPC9BdXRob3I+PFllYXI+MjAxODwvWWVhcj48UmVj
TnVtPjQ2Mjg8L1JlY051bT48U3VmZml4Pl0gb2J0YWluZWQgcmVwb25zZXMgZnJvbSAxYCwyODgg
YXJteSBtZW1iZXJzIHdpdGggYSByZXNwb25zZSByYXRlIG9mIDk1JS4gVGhleSBvYnNlcnZlZCBh
biBldmVyLXVzZSBwcmV2YWxlbmNlIG9mIDYxJSB3aGljaCBhcHBlYXJzIG11Y2ggaGlnaGVyIHRo
YW4gb3RoZXIgc3RhdGlzdGljcyByZXBvcnRlZCBmb3IgdGhlIFVTYCwgd2hpY2ggd2FzIDM1Ljgl
IGJhc2VkIG9uIHRoZSAyMDEzLTIwMTQgTkFUUy4gSG93ZXZlcmAsIGluIGEgc2FtcGxlIG9mIE5h
dnkgbWVtYmVyc2AsIHRoZSBldmVyLXVzZSByYXRlIHdhcyAzMS40JXtIYWxsYCwgMjAxOCBgIzQ2
NTI8L1N1ZmZpeD48RGlzcGxheVRleHQ+KENoaW4sIEx1c3RpayBldCBhbC4gMjAxOF0gb2J0YWlu
ZWQgcmVwb25zZXMgZnJvbSAxLDI4OCBhcm15IG1lbWJlcnMgd2l0aCBhIHJlc3BvbnNlIHJhdGUg
b2YgOTUlLiBUaGV5IG9ic2VydmVkIGFuIGV2ZXItdXNlIHByZXZhbGVuY2Ugb2YgNjElIHdoaWNo
IGFwcGVhcnMgbXVjaCBoaWdoZXIgdGhhbiBvdGhlciBzdGF0aXN0aWNzIHJlcG9ydGVkIGZvciB0
aGUgVVMsIHdoaWNoIHdhcyAzNS44JSBiYXNlZCBvbiB0aGUgMjAxMy0yMDE0IE5BVFMuIEhvd2V2
ZXIsIGluIGEgc2FtcGxlIG9mIE5hdnkgbWVtYmVycywgdGhlIGV2ZXItdXNlIHJhdGUgd2FzIDMx
LjQle0hhbGwsIDIwMTggIzQ2NTIpPC9EaXNwbGF5VGV4dD48cmVjb3JkPjxyZWMtbnVtYmVyPjQ2
Mjg8L3JlYy1udW1iZXI+PGZvcmVpZ24ta2V5cz48a2V5IGFwcD0iRU4iIGRiLWlkPSJmcHQ5cHR0
cm01emZzYWVzcDlmcHNkZHYwOWV3c3Y1eGV3ZmQiIHRpbWVzdGFtcD0iMTUyNTA0NTE2OSI+NDYy
ODwva2V5PjxrZXkgYXBwPSJFTldlYiIgZGItaWQ9IiI+MDwva2V5PjwvZm9yZWlnbi1rZXlzPjxy
ZWYtdHlwZSBuYW1lPSJKb3VybmFsIEFydGljbGUiPjE3PC9yZWYtdHlwZT48Y29udHJpYnV0b3Jz
PjxhdXRob3JzPjxhdXRob3I+Q2hpbiwgSi48L2F1dGhvcj48YXV0aG9yPkx1c3RpaywgTS4gQi48
L2F1dGhvcj48YXV0aG9yPlBmbGlwc2VuLCBNLjwvYXV0aG9yPjwvYXV0aG9ycz48L2NvbnRyaWJ1
dG9ycz48YXV0aC1hZGRyZXNzPkRlcGFydG1lbnQgb2YgRmFtaWx5IE1lZGljaW5lLCBUcmlwbGVy
IEFybXkgTWVkaWNhbCBDZW50ZXIsIDEgSmFycmV0dCBXaGl0ZSBSb2FkLCBIb25vbHVsdSBISSA5
NjgxNS4mI3hEO0RlcGFydG1lbnQgb2YgQ2xpbmljYWwgSW52ZXN0aWdhdGlvbnMsIFRyaXBsZXIg
QXJteSBNZWRpY2FsIENlbnRlciwgMSBKYXJyZXR0IFdoaXRlIFJvYWQsIEhvbm9sdWx1IEhJIDk2
ODE1LjwvYXV0aC1hZGRyZXNzPjx0aXRsZXM+PHRpdGxlPlByZXZhbGVuY2Ugb2YgVXNlIGFuZCBQ
ZXJjZXB0aW9ucyBvZiBFbGVjdHJvbmljIFNtb2tpbmcgRGV2aWNlcyBpbiBhIFVTIEFybXkgSW5m
YW50cnkgRGl2aXNpb248L3RpdGxlPjxzZWNvbmRhcnktdGl0bGU+TWlsIE1lZDwvc2Vjb25kYXJ5
LXRpdGxlPjxhbHQtdGl0bGU+TWlsaXRhcnkgbWVkaWNpbmU8L2FsdC10aXRsZT48L3RpdGxlcz48
YWx0LXBlcmlvZGljYWw+PGZ1bGwtdGl0bGU+TWlsaXRhcnkgTWVkaWNpbmU8L2Z1bGwtdGl0bGU+
PC9hbHQtcGVyaW9kaWNhbD48cGFnZXM+ZTEyNy1lMTMzPC9wYWdlcz48dm9sdW1lPjE4Mzwvdm9s
dW1lPjxudW1iZXI+MS0yPC9udW1iZXI+PGVkaXRpb24+MjAxOC8wMi8wNjwvZWRpdGlvbj48a2V5
d29yZHM+PGtleXdvcmQ+RS1jaWdhcmV0dGU8L2tleXdvcmQ+PGtleXdvcmQ+TWlsaXRhcnk8L2tl
eXdvcmQ+PGtleXdvcmQ+UHJldmFsZW5jZTwva2V5d29yZD48a2V5d29yZD5TbW9raW5nPC9rZXl3
b3JkPjwva2V5d29yZHM+PGRhdGVzPjx5ZWFyPjIwMTg8L3llYXI+PHB1Yi1kYXRlcz48ZGF0ZT5K
YW4gMTwvZGF0ZT48L3B1Yi1kYXRlcz48L2RhdGVzPjxpc2JuPjAwMjYtNDA3NTwvaXNibj48YWNj
ZXNzaW9uLW51bT4yOTQwMTM0MDwvYWNjZXNzaW9uLW51bT48dXJscz48cmVsYXRlZC11cmxzPjx1
cmw+aHR0cHM6Ly93YXRlcm1hcmsuc2lsdmVyY2hhaXIuY29tL3VzeDAyNC5wZGY/dG9rZW49QVFF
Q0FIaTIwOEJFNDlPb2FuOWtraFdfRXJjeTdEbTNaTF85Q2YzcWZLQWM0ODV5c2dBQUFjOHdnZ0hM
QmdrcWhraUc5dzBCQndhZ2dnRzhNSUlCdUFJQkFEQ0NBYkVHQ1NxR1NJYjNEUUVIQVRBZUJnbGdo
a2dCWlFNRUFTNHdFUVFNc0hnYkNCYW1fMHVNWnMza0FnRVFnSUlCZ3QzZGlfUk9ZYXZ3ekZ3dW15
Z204bXhiZ05uS0prRURjcE1iVGE1anc2SXNpYU1nc0EyYzZJblFmVzJfS01zdDJvTEVPODloWlh1
YmtmTlFNOUlsR0Y4cHBDeVNDbUxHZmw5ZVN3TzE4a1diQzg2MWFGOTBCcmEzeHJlcUM1clhjQTBs
TjBuWkdtYWxfWkpQZ2NIeWh6V2FvWFo0bGtzMmlPaV9qanRUWUNqang2MUhhY3djamswZE0zenNl
cU5BTFhrYldnbFhMQTM5OHhKTVhwOFYtODZfRWRRZ0lfNU5JampjRVdrUHpHX2VXS0FGZ2xRcGZ6
SHVVM0NOaUF4N3pkZE5NWEMwb25qWVJlczFUdkk1dUNBbWxyOGhYODJQMnU4UG0tODRrQlNMQjBX
Rlg3SUt6a1cxTTQta1JKdGFvTVdhaDc1M1RoclJVRTdLR3JtaHdZZTFlQnN5NGMzZGVqYWtBMlpx
R0hGRmlaZkpmOVY3WWtRNUxabnh4eFdkZXZXY1lHbEFhRVIzczB2LUs2VEFPdnd0c0QwcFBVaFFW
eklsZ0RjUHZkTTdhYk81anR6ZEF3S2hBd1dUTng4ZGZEalFoeHpLTXVoaWgxU0NCS3ZOYko5aUZy
Q1ljV2ROQVlXTE1oWTZiel9oQ2ZzcUNBenllMFVlUDFmakxyMWdreVFXPC91cmw+PHVybD5odHRw
czovL3dhdGVybWFyay5zaWx2ZXJjaGFpci5jb20vdXN4MDI0LnBkZj90b2tlbj1BUUVDQUhpMjA4
QkU0OU9vYW45a2toV19FcmN5N0RtM1pMXzlDZjNxZktBYzQ4NXlzZ0FBQWNNd2dnR19CZ2txaGtp
Rzl3MEJCd2FnZ2dHd01JSUJyQUlCQURDQ0FhVUdDU3FHU0liM0RRRUhBVEFlQmdsZ2hrZ0JaUU1F
QVM0d0VRUU1obUR0bzEyQzVXVzJKbUFiQWdFUWdJSUJka05aOUZHeU1STzZJSnpYR0ljVUE5WWFS
MUNGZVVFRUZsSnBuTHUwN0diQzBGNlIyMzNfZ0xkdGxXMFdPd3dId3BPYlpDdk5BQ1gtakZTcDJT
WUZ2dVpDVV84ekRpSUowY1l0VzVPUEhVVzIwTW1yVDVHUk9hR2hpV0hpaVo3WnBzSXdWcXI2WWRr
SkljUW9tX25UeklzYVRMUDZiWEZjeFVFMHNtcVBDd0tfTWRHOFVMQ25TcnQ1NElmYmsweWV1REFv
SmdmNXZXVDVmUXVmREFKQi03bGo1cVdTemFoRHV4azNfeDcydk5nNklTLUUyY3BsOEdEcmlMTjVz
VHY3LXdfRWFvSVUwZDVPbncwV2s1eGZwT0RPX0haNTRhV2MwNWIwV0dYenFPdzVUcGxRZ0oyQXdk
TnM5SzU2VHo3WXRoRy13MExHTGpWaFRFcDExNzZPZlNabnVmbkkyU0syajlYQlZEVThLOTFWSVpT
U1JJTU9ZYjRFQjE3WGE2dGJGN0M5Uk4tS0FUbTZuTWllV3E0SEx5bjdLR2UzeTFfendVMFM1YUdr
OFc4eFVlZEozS0tHY2R3Sjg3djBRUGp4NW5VN0h0d29LbURNN1VLdV9qMkMyZTd3bTczSGJUUVNS
Vmd4SnRzZElvYjQtRVJnTWxfaDwvdXJsPjwvcmVsYXRlZC11cmxzPjwvdXJscz48ZWxlY3Ryb25p
Yy1yZXNvdXJjZS1udW0+MTAuMTA5My9taWxtZWQvdXN4MDI0PC9lbGVjdHJvbmljLXJlc291cmNl
LW51bT48cmVtb3RlLWRhdGFiYXNlLXByb3ZpZGVyPk5MTTwvcmVtb3RlLWRhdGFiYXNlLXByb3Zp
ZGVyPjxsYW5ndWFnZT5lbmc8L2xhbmd1YWdlPjwvcmVjb3JkPjwvQ2l0ZT48L0VuZE5vdGU+
</w:fldData>
        </w:fldChar>
      </w:r>
      <w:r w:rsidR="00535C67">
        <w:instrText xml:space="preserve"> ADDIN EN.CITE </w:instrText>
      </w:r>
      <w:r w:rsidR="00535C67">
        <w:fldChar w:fldCharType="begin">
          <w:fldData xml:space="preserve">PEVuZE5vdGU+PENpdGU+PEF1dGhvcj5DaGluPC9BdXRob3I+PFllYXI+MjAxODwvWWVhcj48UmVj
TnVtPjQ2Mjg8L1JlY051bT48U3VmZml4Pl0gb2J0YWluZWQgcmVwb25zZXMgZnJvbSAxYCwyODgg
YXJteSBtZW1iZXJzIHdpdGggYSByZXNwb25zZSByYXRlIG9mIDk1JS4gVGhleSBvYnNlcnZlZCBh
biBldmVyLXVzZSBwcmV2YWxlbmNlIG9mIDYxJSB3aGljaCBhcHBlYXJzIG11Y2ggaGlnaGVyIHRo
YW4gb3RoZXIgc3RhdGlzdGljcyByZXBvcnRlZCBmb3IgdGhlIFVTYCwgd2hpY2ggd2FzIDM1Ljgl
IGJhc2VkIG9uIHRoZSAyMDEzLTIwMTQgTkFUUy4gSG93ZXZlcmAsIGluIGEgc2FtcGxlIG9mIE5h
dnkgbWVtYmVyc2AsIHRoZSBldmVyLXVzZSByYXRlIHdhcyAzMS40JXtIYWxsYCwgMjAxOCBgIzQ2
NTI8L1N1ZmZpeD48RGlzcGxheVRleHQ+KENoaW4sIEx1c3RpayBldCBhbC4gMjAxOF0gb2J0YWlu
ZWQgcmVwb25zZXMgZnJvbSAxLDI4OCBhcm15IG1lbWJlcnMgd2l0aCBhIHJlc3BvbnNlIHJhdGUg
b2YgOTUlLiBUaGV5IG9ic2VydmVkIGFuIGV2ZXItdXNlIHByZXZhbGVuY2Ugb2YgNjElIHdoaWNo
IGFwcGVhcnMgbXVjaCBoaWdoZXIgdGhhbiBvdGhlciBzdGF0aXN0aWNzIHJlcG9ydGVkIGZvciB0
aGUgVVMsIHdoaWNoIHdhcyAzNS44JSBiYXNlZCBvbiB0aGUgMjAxMy0yMDE0IE5BVFMuIEhvd2V2
ZXIsIGluIGEgc2FtcGxlIG9mIE5hdnkgbWVtYmVycywgdGhlIGV2ZXItdXNlIHJhdGUgd2FzIDMx
LjQle0hhbGwsIDIwMTggIzQ2NTIpPC9EaXNwbGF5VGV4dD48cmVjb3JkPjxyZWMtbnVtYmVyPjQ2
Mjg8L3JlYy1udW1iZXI+PGZvcmVpZ24ta2V5cz48a2V5IGFwcD0iRU4iIGRiLWlkPSJmcHQ5cHR0
cm01emZzYWVzcDlmcHNkZHYwOWV3c3Y1eGV3ZmQiIHRpbWVzdGFtcD0iMTUyNTA0NTE2OSI+NDYy
ODwva2V5PjxrZXkgYXBwPSJFTldlYiIgZGItaWQ9IiI+MDwva2V5PjwvZm9yZWlnbi1rZXlzPjxy
ZWYtdHlwZSBuYW1lPSJKb3VybmFsIEFydGljbGUiPjE3PC9yZWYtdHlwZT48Y29udHJpYnV0b3Jz
PjxhdXRob3JzPjxhdXRob3I+Q2hpbiwgSi48L2F1dGhvcj48YXV0aG9yPkx1c3RpaywgTS4gQi48
L2F1dGhvcj48YXV0aG9yPlBmbGlwc2VuLCBNLjwvYXV0aG9yPjwvYXV0aG9ycz48L2NvbnRyaWJ1
dG9ycz48YXV0aC1hZGRyZXNzPkRlcGFydG1lbnQgb2YgRmFtaWx5IE1lZGljaW5lLCBUcmlwbGVy
IEFybXkgTWVkaWNhbCBDZW50ZXIsIDEgSmFycmV0dCBXaGl0ZSBSb2FkLCBIb25vbHVsdSBISSA5
NjgxNS4mI3hEO0RlcGFydG1lbnQgb2YgQ2xpbmljYWwgSW52ZXN0aWdhdGlvbnMsIFRyaXBsZXIg
QXJteSBNZWRpY2FsIENlbnRlciwgMSBKYXJyZXR0IFdoaXRlIFJvYWQsIEhvbm9sdWx1IEhJIDk2
ODE1LjwvYXV0aC1hZGRyZXNzPjx0aXRsZXM+PHRpdGxlPlByZXZhbGVuY2Ugb2YgVXNlIGFuZCBQ
ZXJjZXB0aW9ucyBvZiBFbGVjdHJvbmljIFNtb2tpbmcgRGV2aWNlcyBpbiBhIFVTIEFybXkgSW5m
YW50cnkgRGl2aXNpb248L3RpdGxlPjxzZWNvbmRhcnktdGl0bGU+TWlsIE1lZDwvc2Vjb25kYXJ5
LXRpdGxlPjxhbHQtdGl0bGU+TWlsaXRhcnkgbWVkaWNpbmU8L2FsdC10aXRsZT48L3RpdGxlcz48
YWx0LXBlcmlvZGljYWw+PGZ1bGwtdGl0bGU+TWlsaXRhcnkgTWVkaWNpbmU8L2Z1bGwtdGl0bGU+
PC9hbHQtcGVyaW9kaWNhbD48cGFnZXM+ZTEyNy1lMTMzPC9wYWdlcz48dm9sdW1lPjE4Mzwvdm9s
dW1lPjxudW1iZXI+MS0yPC9udW1iZXI+PGVkaXRpb24+MjAxOC8wMi8wNjwvZWRpdGlvbj48a2V5
d29yZHM+PGtleXdvcmQ+RS1jaWdhcmV0dGU8L2tleXdvcmQ+PGtleXdvcmQ+TWlsaXRhcnk8L2tl
eXdvcmQ+PGtleXdvcmQ+UHJldmFsZW5jZTwva2V5d29yZD48a2V5d29yZD5TbW9raW5nPC9rZXl3
b3JkPjwva2V5d29yZHM+PGRhdGVzPjx5ZWFyPjIwMTg8L3llYXI+PHB1Yi1kYXRlcz48ZGF0ZT5K
YW4gMTwvZGF0ZT48L3B1Yi1kYXRlcz48L2RhdGVzPjxpc2JuPjAwMjYtNDA3NTwvaXNibj48YWNj
ZXNzaW9uLW51bT4yOTQwMTM0MDwvYWNjZXNzaW9uLW51bT48dXJscz48cmVsYXRlZC11cmxzPjx1
cmw+aHR0cHM6Ly93YXRlcm1hcmsuc2lsdmVyY2hhaXIuY29tL3VzeDAyNC5wZGY/dG9rZW49QVFF
Q0FIaTIwOEJFNDlPb2FuOWtraFdfRXJjeTdEbTNaTF85Q2YzcWZLQWM0ODV5c2dBQUFjOHdnZ0hM
QmdrcWhraUc5dzBCQndhZ2dnRzhNSUlCdUFJQkFEQ0NBYkVHQ1NxR1NJYjNEUUVIQVRBZUJnbGdo
a2dCWlFNRUFTNHdFUVFNc0hnYkNCYW1fMHVNWnMza0FnRVFnSUlCZ3QzZGlfUk9ZYXZ3ekZ3dW15
Z204bXhiZ05uS0prRURjcE1iVGE1anc2SXNpYU1nc0EyYzZJblFmVzJfS01zdDJvTEVPODloWlh1
YmtmTlFNOUlsR0Y4cHBDeVNDbUxHZmw5ZVN3TzE4a1diQzg2MWFGOTBCcmEzeHJlcUM1clhjQTBs
TjBuWkdtYWxfWkpQZ2NIeWh6V2FvWFo0bGtzMmlPaV9qanRUWUNqang2MUhhY3djamswZE0zenNl
cU5BTFhrYldnbFhMQTM5OHhKTVhwOFYtODZfRWRRZ0lfNU5JampjRVdrUHpHX2VXS0FGZ2xRcGZ6
SHVVM0NOaUF4N3pkZE5NWEMwb25qWVJlczFUdkk1dUNBbWxyOGhYODJQMnU4UG0tODRrQlNMQjBX
Rlg3SUt6a1cxTTQta1JKdGFvTVdhaDc1M1RoclJVRTdLR3JtaHdZZTFlQnN5NGMzZGVqYWtBMlpx
R0hGRmlaZkpmOVY3WWtRNUxabnh4eFdkZXZXY1lHbEFhRVIzczB2LUs2VEFPdnd0c0QwcFBVaFFW
eklsZ0RjUHZkTTdhYk81anR6ZEF3S2hBd1dUTng4ZGZEalFoeHpLTXVoaWgxU0NCS3ZOYko5aUZy
Q1ljV2ROQVlXTE1oWTZiel9oQ2ZzcUNBenllMFVlUDFmakxyMWdreVFXPC91cmw+PHVybD5odHRw
czovL3dhdGVybWFyay5zaWx2ZXJjaGFpci5jb20vdXN4MDI0LnBkZj90b2tlbj1BUUVDQUhpMjA4
QkU0OU9vYW45a2toV19FcmN5N0RtM1pMXzlDZjNxZktBYzQ4NXlzZ0FBQWNNd2dnR19CZ2txaGtp
Rzl3MEJCd2FnZ2dHd01JSUJyQUlCQURDQ0FhVUdDU3FHU0liM0RRRUhBVEFlQmdsZ2hrZ0JaUU1F
QVM0d0VRUU1obUR0bzEyQzVXVzJKbUFiQWdFUWdJSUJka05aOUZHeU1STzZJSnpYR0ljVUE5WWFS
MUNGZVVFRUZsSnBuTHUwN0diQzBGNlIyMzNfZ0xkdGxXMFdPd3dId3BPYlpDdk5BQ1gtakZTcDJT
WUZ2dVpDVV84ekRpSUowY1l0VzVPUEhVVzIwTW1yVDVHUk9hR2hpV0hpaVo3WnBzSXdWcXI2WWRr
SkljUW9tX25UeklzYVRMUDZiWEZjeFVFMHNtcVBDd0tfTWRHOFVMQ25TcnQ1NElmYmsweWV1REFv
SmdmNXZXVDVmUXVmREFKQi03bGo1cVdTemFoRHV4azNfeDcydk5nNklTLUUyY3BsOEdEcmlMTjVz
VHY3LXdfRWFvSVUwZDVPbncwV2s1eGZwT0RPX0haNTRhV2MwNWIwV0dYenFPdzVUcGxRZ0oyQXdk
TnM5SzU2VHo3WXRoRy13MExHTGpWaFRFcDExNzZPZlNabnVmbkkyU0syajlYQlZEVThLOTFWSVpT
U1JJTU9ZYjRFQjE3WGE2dGJGN0M5Uk4tS0FUbTZuTWllV3E0SEx5bjdLR2UzeTFfendVMFM1YUdr
OFc4eFVlZEozS0tHY2R3Sjg3djBRUGp4NW5VN0h0d29LbURNN1VLdV9qMkMyZTd3bTczSGJUUVNS
Vmd4SnRzZElvYjQtRVJnTWxfaDwvdXJsPjwvcmVsYXRlZC11cmxzPjwvdXJscz48ZWxlY3Ryb25p
Yy1yZXNvdXJjZS1udW0+MTAuMTA5My9taWxtZWQvdXN4MDI0PC9lbGVjdHJvbmljLXJlc291cmNl
LW51bT48cmVtb3RlLWRhdGFiYXNlLXByb3ZpZGVyPk5MTTwvcmVtb3RlLWRhdGFiYXNlLXByb3Zp
ZGVyPjxsYW5ndWFnZT5lbmc8L2xhbmd1YWdlPjwvcmVjb3JkPjwvQ2l0ZT48L0VuZE5vdGU+
</w:fldData>
        </w:fldChar>
      </w:r>
      <w:r w:rsidR="00535C67">
        <w:instrText xml:space="preserve"> ADDIN EN.CITE.DATA </w:instrText>
      </w:r>
      <w:r w:rsidR="00535C67">
        <w:fldChar w:fldCharType="end"/>
      </w:r>
      <w:r w:rsidRPr="00892582">
        <w:fldChar w:fldCharType="separate"/>
      </w:r>
      <w:r w:rsidR="00535C67">
        <w:rPr>
          <w:noProof/>
        </w:rPr>
        <w:t>(Chin, Lustik et al. 2018] obtained reponses from 1,288 army members with a response rate of 95%. They observed an ever-use prevalence of 61% which appears much higher than other statistics reported for the US, which was 35.8% based on the 2013-2014 NATS. However, in a sample of Navy members, the ever-use rate was 31.4%{Hall, 2018 #4652)</w:t>
      </w:r>
      <w:r w:rsidRPr="00892582">
        <w:fldChar w:fldCharType="end"/>
      </w:r>
      <w:r w:rsidRPr="00892582">
        <w:t xml:space="preserve"> which is lower than nationally representative data. It may be that different service types have different rates of </w:t>
      </w:r>
      <w:r>
        <w:t>e</w:t>
      </w:r>
      <w:r>
        <w:noBreakHyphen/>
        <w:t>cig</w:t>
      </w:r>
      <w:r w:rsidRPr="00892582">
        <w:t xml:space="preserve">arette use due to job demands. However, a direct comparison would be needed to understand prevalence in military samples. </w:t>
      </w:r>
    </w:p>
    <w:p w14:paraId="2DBFFBE7" w14:textId="77777777" w:rsidR="00E53F6C" w:rsidRPr="00892582" w:rsidRDefault="00E53F6C" w:rsidP="00E53F6C">
      <w:pPr>
        <w:pStyle w:val="BodyText"/>
      </w:pPr>
    </w:p>
    <w:p w14:paraId="392F85CA" w14:textId="77777777" w:rsidR="00E53F6C" w:rsidRDefault="00E53F6C" w:rsidP="00E53F6C">
      <w:pPr>
        <w:pStyle w:val="BodyText"/>
      </w:pPr>
      <w:r w:rsidRPr="00892582">
        <w:lastRenderedPageBreak/>
        <w:t xml:space="preserve">Two papers exploring influences on </w:t>
      </w:r>
      <w:r>
        <w:t>e</w:t>
      </w:r>
      <w:r>
        <w:noBreakHyphen/>
        <w:t>cig</w:t>
      </w:r>
      <w:r w:rsidRPr="00892582">
        <w:t xml:space="preserve">arette use investigated impulsivity in children </w:t>
      </w:r>
      <w:r w:rsidRPr="00892582">
        <w:fldChar w:fldCharType="begin">
          <w:fldData xml:space="preserve">PEVuZE5vdGU+PENpdGU+PEF1dGhvcj5Cb2xkPC9BdXRob3I+PFllYXI+MjAxNzwvWWVhcj48UmVj
TnVtPjQ4Mjg8L1JlY051bT48RGlzcGxheVRleHQ+KEJvbGQsIE1vcmVhbiBldCBhbC4gMjAxNyk8
L0Rpc3BsYXlUZXh0PjxyZWNvcmQ+PHJlYy1udW1iZXI+NDgyODwvcmVjLW51bWJlcj48Zm9yZWln
bi1rZXlzPjxrZXkgYXBwPSJFTiIgZGItaWQ9ImZwdDlwdHRybTV6ZnNhZXNwOWZwc2RkdjA5ZXdz
djV4ZXdmZCIgdGltZXN0YW1wPSIxNTI1MDQ1NTYyIj40ODI4PC9rZXk+PGtleSBhcHA9IkVOV2Vi
IiBkYi1pZD0iIj4wPC9rZXk+PC9mb3JlaWduLWtleXM+PHJlZi10eXBlIG5hbWU9IkpvdXJuYWwg
QXJ0aWNsZSI+MTc8L3JlZi10eXBlPjxjb250cmlidXRvcnM+PGF1dGhvcnM+PGF1dGhvcj5Cb2xk
LCBLLiBXLjwvYXV0aG9yPjxhdXRob3I+TW9yZWFuLCBNLiBFLjwvYXV0aG9yPjxhdXRob3I+S29u
ZywgRy48L2F1dGhvcj48YXV0aG9yPlNpbW9uLCBQLjwvYXV0aG9yPjxhdXRob3I+Q2FtZW5nYSwg
RC4gUi48L2F1dGhvcj48YXV0aG9yPkNhdmFsbG8sIEQuIEEuPC9hdXRob3I+PGF1dGhvcj5Lcmlz
aG5hbi1TYXJpbiwgUy48L2F1dGhvcj48L2F1dGhvcnM+PC9jb250cmlidXRvcnM+PGF1dGgtYWRk
cmVzcz5EZXBhcnRtZW50IG9mIFBzeWNoaWF0cnksIFlhbGUgVW5pdmVyc2l0eSBTY2hvb2wgb2Yg
TWVkaWNpbmUsIE5ldyBIYXZlbiwgQ1QsIFVuaXRlZCBTdGF0ZXMuIEVsZWN0cm9uaWMgYWRkcmVz
czogS3J5c3Rlbi5ib2xkQHlhbGUuZWR1LiYjeEQ7RGVwYXJ0bWVudCBvZiBQc3ljaG9sb2d5LCBP
YmVybGluIENvbGxlZ2UsIE9iZXJsaW4sIE9ILCBVbml0ZWQgU3RhdGVzLiYjeEQ7RGVwYXJ0bWVu
dCBvZiBQc3ljaGlhdHJ5LCBZYWxlIFVuaXZlcnNpdHkgU2Nob29sIG9mIE1lZGljaW5lLCBOZXcg
SGF2ZW4sIENULCBVbml0ZWQgU3RhdGVzLiYjeEQ7RGVwYXJ0bWVudCBvZiBFbWVyZ2VuY3kgTWVk
aWNpbmUsIFlhbGUgVW5pdmVyc2l0eSBTY2hvb2wgb2YgTWVkaWNpbmUsIE5ldyBIYXZlbiwgQ1Qs
IFVuaXRlZCBTdGF0ZXMuPC9hdXRoLWFkZHJlc3M+PHRpdGxlcz48dGl0bGU+RWFybHkgYWdlIG9m
IGUtY2lnYXJldHRlIHVzZSBvbnNldCBtZWRpYXRlcyB0aGUgYXNzb2NpYXRpb24gYmV0d2VlbiBp
bXB1bHNpdml0eSBhbmQgZS1jaWdhcmV0dGUgdXNlIGZyZXF1ZW5jeSBpbiB5b3V0aDwvdGl0bGU+
PHNlY29uZGFyeS10aXRsZT5EcnVnIEFsY29ob2wgRGVwZW5kPC9zZWNvbmRhcnktdGl0bGU+PGFs
dC10aXRsZT5EcnVnIGFuZCBhbGNvaG9sIGRlcGVuZGVuY2U8L2FsdC10aXRsZT48L3RpdGxlcz48
YWx0LXBlcmlvZGljYWw+PGZ1bGwtdGl0bGU+RHJ1ZyBhbmQgQWxjb2hvbCBEZXBlbmRlbmNlPC9m
dWxsLXRpdGxlPjwvYWx0LXBlcmlvZGljYWw+PHBhZ2VzPjE0Ni0xNTE8L3BhZ2VzPjx2b2x1bWU+
MTgxPC92b2x1bWU+PGVkaXRpb24+MjAxNy8xMC8yMjwvZWRpdGlvbj48a2V5d29yZHM+PGtleXdv
cmQ+RS1jaWdhcmV0dGU8L2tleXdvcmQ+PGtleXdvcmQ+SW1wdWxzaXZpdHk8L2tleXdvcmQ+PGtl
eXdvcmQ+SW5pdGlhdGlvbjwva2V5d29yZD48a2V5d29yZD5Ub2JhY2NvPC9rZXl3b3JkPjxrZXl3
b3JkPllvdXRoPC9rZXl3b3JkPjwva2V5d29yZHM+PGRhdGVzPjx5ZWFyPjIwMTc8L3llYXI+PHB1
Yi1kYXRlcz48ZGF0ZT5EZWMgMTwvZGF0ZT48L3B1Yi1kYXRlcz48L2RhdGVzPjxpc2JuPjAzNzYt
ODcxNjwvaXNibj48YWNjZXNzaW9uLW51bT4yOTA1NTI2ODwvYWNjZXNzaW9uLW51bT48dXJscz48
cmVsYXRlZC11cmxzPjx1cmw+aHR0cDovL3d3dy5kcnVnYW5kYWxjb2hvbGRlcGVuZGVuY2UuY29t
L2FydGljbGUvUzAzNzYtODcxNigxNykzMDUxNy0zL3BkZjwvdXJsPjwvcmVsYXRlZC11cmxzPjwv
dXJscz48Y3VzdG9tMj5QTUM1NjgzOTM1PC9jdXN0b20yPjxjdXN0b202Pk5JSE1TOTE0MjI0PC9j
dXN0b202PjxlbGVjdHJvbmljLXJlc291cmNlLW51bT4xMC4xMDE2L2ouZHJ1Z2FsY2RlcC4yMDE3
LjA5LjAyNTwvZWxlY3Ryb25pYy1yZXNvdXJjZS1udW0+PHJlbW90ZS1kYXRhYmFzZS1wcm92aWRl
cj5OTE08L3JlbW90ZS1kYXRhYmFzZS1wcm92aWRlcj48bGFuZ3VhZ2U+ZW5nPC9sYW5ndWFnZT48
L3JlY29yZD48L0NpdGU+PC9FbmROb3RlPn==
</w:fldData>
        </w:fldChar>
      </w:r>
      <w:r w:rsidRPr="00892582">
        <w:instrText xml:space="preserve"> ADDIN EN.CITE </w:instrText>
      </w:r>
      <w:r w:rsidRPr="00892582">
        <w:fldChar w:fldCharType="begin">
          <w:fldData xml:space="preserve">PEVuZE5vdGU+PENpdGU+PEF1dGhvcj5Cb2xkPC9BdXRob3I+PFllYXI+MjAxNzwvWWVhcj48UmVj
TnVtPjQ4Mjg8L1JlY051bT48RGlzcGxheVRleHQ+KEJvbGQsIE1vcmVhbiBldCBhbC4gMjAxNyk8
L0Rpc3BsYXlUZXh0PjxyZWNvcmQ+PHJlYy1udW1iZXI+NDgyODwvcmVjLW51bWJlcj48Zm9yZWln
bi1rZXlzPjxrZXkgYXBwPSJFTiIgZGItaWQ9ImZwdDlwdHRybTV6ZnNhZXNwOWZwc2RkdjA5ZXdz
djV4ZXdmZCIgdGltZXN0YW1wPSIxNTI1MDQ1NTYyIj40ODI4PC9rZXk+PGtleSBhcHA9IkVOV2Vi
IiBkYi1pZD0iIj4wPC9rZXk+PC9mb3JlaWduLWtleXM+PHJlZi10eXBlIG5hbWU9IkpvdXJuYWwg
QXJ0aWNsZSI+MTc8L3JlZi10eXBlPjxjb250cmlidXRvcnM+PGF1dGhvcnM+PGF1dGhvcj5Cb2xk
LCBLLiBXLjwvYXV0aG9yPjxhdXRob3I+TW9yZWFuLCBNLiBFLjwvYXV0aG9yPjxhdXRob3I+S29u
ZywgRy48L2F1dGhvcj48YXV0aG9yPlNpbW9uLCBQLjwvYXV0aG9yPjxhdXRob3I+Q2FtZW5nYSwg
RC4gUi48L2F1dGhvcj48YXV0aG9yPkNhdmFsbG8sIEQuIEEuPC9hdXRob3I+PGF1dGhvcj5Lcmlz
aG5hbi1TYXJpbiwgUy48L2F1dGhvcj48L2F1dGhvcnM+PC9jb250cmlidXRvcnM+PGF1dGgtYWRk
cmVzcz5EZXBhcnRtZW50IG9mIFBzeWNoaWF0cnksIFlhbGUgVW5pdmVyc2l0eSBTY2hvb2wgb2Yg
TWVkaWNpbmUsIE5ldyBIYXZlbiwgQ1QsIFVuaXRlZCBTdGF0ZXMuIEVsZWN0cm9uaWMgYWRkcmVz
czogS3J5c3Rlbi5ib2xkQHlhbGUuZWR1LiYjeEQ7RGVwYXJ0bWVudCBvZiBQc3ljaG9sb2d5LCBP
YmVybGluIENvbGxlZ2UsIE9iZXJsaW4sIE9ILCBVbml0ZWQgU3RhdGVzLiYjeEQ7RGVwYXJ0bWVu
dCBvZiBQc3ljaGlhdHJ5LCBZYWxlIFVuaXZlcnNpdHkgU2Nob29sIG9mIE1lZGljaW5lLCBOZXcg
SGF2ZW4sIENULCBVbml0ZWQgU3RhdGVzLiYjeEQ7RGVwYXJ0bWVudCBvZiBFbWVyZ2VuY3kgTWVk
aWNpbmUsIFlhbGUgVW5pdmVyc2l0eSBTY2hvb2wgb2YgTWVkaWNpbmUsIE5ldyBIYXZlbiwgQ1Qs
IFVuaXRlZCBTdGF0ZXMuPC9hdXRoLWFkZHJlc3M+PHRpdGxlcz48dGl0bGU+RWFybHkgYWdlIG9m
IGUtY2lnYXJldHRlIHVzZSBvbnNldCBtZWRpYXRlcyB0aGUgYXNzb2NpYXRpb24gYmV0d2VlbiBp
bXB1bHNpdml0eSBhbmQgZS1jaWdhcmV0dGUgdXNlIGZyZXF1ZW5jeSBpbiB5b3V0aDwvdGl0bGU+
PHNlY29uZGFyeS10aXRsZT5EcnVnIEFsY29ob2wgRGVwZW5kPC9zZWNvbmRhcnktdGl0bGU+PGFs
dC10aXRsZT5EcnVnIGFuZCBhbGNvaG9sIGRlcGVuZGVuY2U8L2FsdC10aXRsZT48L3RpdGxlcz48
YWx0LXBlcmlvZGljYWw+PGZ1bGwtdGl0bGU+RHJ1ZyBhbmQgQWxjb2hvbCBEZXBlbmRlbmNlPC9m
dWxsLXRpdGxlPjwvYWx0LXBlcmlvZGljYWw+PHBhZ2VzPjE0Ni0xNTE8L3BhZ2VzPjx2b2x1bWU+
MTgxPC92b2x1bWU+PGVkaXRpb24+MjAxNy8xMC8yMjwvZWRpdGlvbj48a2V5d29yZHM+PGtleXdv
cmQ+RS1jaWdhcmV0dGU8L2tleXdvcmQ+PGtleXdvcmQ+SW1wdWxzaXZpdHk8L2tleXdvcmQ+PGtl
eXdvcmQ+SW5pdGlhdGlvbjwva2V5d29yZD48a2V5d29yZD5Ub2JhY2NvPC9rZXl3b3JkPjxrZXl3
b3JkPllvdXRoPC9rZXl3b3JkPjwva2V5d29yZHM+PGRhdGVzPjx5ZWFyPjIwMTc8L3llYXI+PHB1
Yi1kYXRlcz48ZGF0ZT5EZWMgMTwvZGF0ZT48L3B1Yi1kYXRlcz48L2RhdGVzPjxpc2JuPjAzNzYt
ODcxNjwvaXNibj48YWNjZXNzaW9uLW51bT4yOTA1NTI2ODwvYWNjZXNzaW9uLW51bT48dXJscz48
cmVsYXRlZC11cmxzPjx1cmw+aHR0cDovL3d3dy5kcnVnYW5kYWxjb2hvbGRlcGVuZGVuY2UuY29t
L2FydGljbGUvUzAzNzYtODcxNigxNykzMDUxNy0zL3BkZjwvdXJsPjwvcmVsYXRlZC11cmxzPjwv
dXJscz48Y3VzdG9tMj5QTUM1NjgzOTM1PC9jdXN0b20yPjxjdXN0b202Pk5JSE1TOTE0MjI0PC9j
dXN0b202PjxlbGVjdHJvbmljLXJlc291cmNlLW51bT4xMC4xMDE2L2ouZHJ1Z2FsY2RlcC4yMDE3
LjA5LjAyNTwvZWxlY3Ryb25pYy1yZXNvdXJjZS1udW0+PHJlbW90ZS1kYXRhYmFzZS1wcm92aWRl
cj5OTE08L3JlbW90ZS1kYXRhYmFzZS1wcm92aWRlcj48bGFuZ3VhZ2U+ZW5nPC9sYW5ndWFnZT48
L3JlY29yZD48L0NpdGU+PC9FbmROb3RlPn==
</w:fldData>
        </w:fldChar>
      </w:r>
      <w:r w:rsidRPr="00892582">
        <w:instrText xml:space="preserve"> ADDIN EN.CITE.DATA </w:instrText>
      </w:r>
      <w:r w:rsidRPr="00892582">
        <w:fldChar w:fldCharType="end"/>
      </w:r>
      <w:r w:rsidRPr="00892582">
        <w:fldChar w:fldCharType="separate"/>
      </w:r>
      <w:r w:rsidRPr="00892582">
        <w:t>(Bold, Morean et al. 2017)</w:t>
      </w:r>
      <w:r w:rsidRPr="00892582">
        <w:fldChar w:fldCharType="end"/>
      </w:r>
      <w:r w:rsidRPr="00892582">
        <w:t xml:space="preserve"> and adults </w:t>
      </w:r>
      <w:r w:rsidRPr="00892582">
        <w:fldChar w:fldCharType="begin"/>
      </w:r>
      <w:r w:rsidRPr="00892582">
        <w:instrText xml:space="preserve"> ADDIN EN.CITE &lt;EndNote&gt;&lt;Cite&gt;&lt;Author&gt;Hershberger&lt;/Author&gt;&lt;Year&gt;2017&lt;/Year&gt;&lt;RecNum&gt;5543&lt;/RecNum&gt;&lt;DisplayText&gt;(Hershberger, Connors et al. 2017)&lt;/DisplayText&gt;&lt;record&gt;&lt;rec-number&gt;5543&lt;/rec-number&gt;&lt;foreign-keys&gt;&lt;key app="EN" db-id="fpt9pttrm5zfsaesp9fpsddv09ewsv5xewfd" timestamp="1525046667"&gt;5543&lt;/key&gt;&lt;key app="ENWeb" db-id=""&gt;0&lt;/key&gt;&lt;/foreign-keys&gt;&lt;ref-type name="Journal Article"&gt;17&lt;/ref-type&gt;&lt;contributors&gt;&lt;authors&gt;&lt;author&gt;Hershberger, A.&lt;/author&gt;&lt;author&gt;Connors, M.&lt;/author&gt;&lt;author&gt;Um, M.&lt;/author&gt;&lt;author&gt;Cyders, M. A.&lt;/author&gt;&lt;/authors&gt;&lt;/contributors&gt;&lt;titles&gt;&lt;title&gt;The Theory of Planned Behavior and E-cig Use: Impulsive Personality, E-cig Attitudes, and E-cig Use&lt;/title&gt;&lt;secondary-title&gt;International Journal of Mental Health and Addiction&lt;/secondary-title&gt;&lt;/titles&gt;&lt;periodical&gt;&lt;full-title&gt;International Journal of Mental Health and Addiction&lt;/full-title&gt;&lt;/periodical&gt;&lt;pages&gt;1-11&lt;/pages&gt;&lt;dates&gt;&lt;year&gt;2017&lt;/year&gt;&lt;/dates&gt;&lt;urls&gt;&lt;related-urls&gt;&lt;url&gt;https://www.scopus.com/inward/record.uri?eid=2-s2.0-85021784668&amp;amp;doi=10.1007%2fs11469-017-9783-6&amp;amp;partnerID=40&amp;amp;md5=eab3de594a3e1e92a77c20d98683f79d&lt;/url&gt;&lt;url&gt;https://link.springer.com/content/pdf/10.1007%2Fs11469-017-9783-6.pdf&lt;/url&gt;&lt;/related-urls&gt;&lt;/urls&gt;&lt;electronic-resource-num&gt;10.1007/s11469-017-9783-6&lt;/electronic-resource-num&gt;&lt;remote-database-name&gt;Scopus&lt;/remote-database-name&gt;&lt;/record&gt;&lt;/Cite&gt;&lt;/EndNote&gt;</w:instrText>
      </w:r>
      <w:r w:rsidRPr="00892582">
        <w:fldChar w:fldCharType="separate"/>
      </w:r>
      <w:r w:rsidRPr="00892582">
        <w:t>(Hershberger, Connors et al. 2017)</w:t>
      </w:r>
      <w:r w:rsidRPr="00892582">
        <w:fldChar w:fldCharType="end"/>
      </w:r>
      <w:r w:rsidRPr="00892582">
        <w:t xml:space="preserve">. Results from both samples suggest impulsivity is associated with </w:t>
      </w:r>
      <w:r>
        <w:t>e</w:t>
      </w:r>
      <w:r>
        <w:noBreakHyphen/>
        <w:t>cig</w:t>
      </w:r>
      <w:r w:rsidRPr="00892582">
        <w:t xml:space="preserve">arette use. This finding is interesting in the context of sensation seeking papers. Hershberger et al </w:t>
      </w:r>
      <w:r w:rsidRPr="00892582">
        <w:fldChar w:fldCharType="begin"/>
      </w:r>
      <w:r w:rsidRPr="00892582">
        <w:instrText xml:space="preserve"> ADDIN EN.CITE &lt;EndNote&gt;&lt;Cite&gt;&lt;Author&gt;Hershberger&lt;/Author&gt;&lt;Year&gt;2017&lt;/Year&gt;&lt;RecNum&gt;5543&lt;/RecNum&gt;&lt;DisplayText&gt;(Hershberger, Connors et al. 2017)&lt;/DisplayText&gt;&lt;record&gt;&lt;rec-number&gt;5543&lt;/rec-number&gt;&lt;foreign-keys&gt;&lt;key app="EN" db-id="fpt9pttrm5zfsaesp9fpsddv09ewsv5xewfd" timestamp="1525046667"&gt;5543&lt;/key&gt;&lt;key app="ENWeb" db-id=""&gt;0&lt;/key&gt;&lt;/foreign-keys&gt;&lt;ref-type name="Journal Article"&gt;17&lt;/ref-type&gt;&lt;contributors&gt;&lt;authors&gt;&lt;author&gt;Hershberger, A.&lt;/author&gt;&lt;author&gt;Connors, M.&lt;/author&gt;&lt;author&gt;Um, M.&lt;/author&gt;&lt;author&gt;Cyders, M. A.&lt;/author&gt;&lt;/authors&gt;&lt;/contributors&gt;&lt;titles&gt;&lt;title&gt;The Theory of Planned Behavior and E-cig Use: Impulsive Personality, E-cig Attitudes, and E-cig Use&lt;/title&gt;&lt;secondary-title&gt;International Journal of Mental Health and Addiction&lt;/secondary-title&gt;&lt;/titles&gt;&lt;periodical&gt;&lt;full-title&gt;International Journal of Mental Health and Addiction&lt;/full-title&gt;&lt;/periodical&gt;&lt;pages&gt;1-11&lt;/pages&gt;&lt;dates&gt;&lt;year&gt;2017&lt;/year&gt;&lt;/dates&gt;&lt;urls&gt;&lt;related-urls&gt;&lt;url&gt;https://www.scopus.com/inward/record.uri?eid=2-s2.0-85021784668&amp;amp;doi=10.1007%2fs11469-017-9783-6&amp;amp;partnerID=40&amp;amp;md5=eab3de594a3e1e92a77c20d98683f79d&lt;/url&gt;&lt;url&gt;https://link.springer.com/content/pdf/10.1007%2Fs11469-017-9783-6.pdf&lt;/url&gt;&lt;/related-urls&gt;&lt;/urls&gt;&lt;electronic-resource-num&gt;10.1007/s11469-017-9783-6&lt;/electronic-resource-num&gt;&lt;remote-database-name&gt;Scopus&lt;/remote-database-name&gt;&lt;/record&gt;&lt;/Cite&gt;&lt;/EndNote&gt;</w:instrText>
      </w:r>
      <w:r w:rsidRPr="00892582">
        <w:fldChar w:fldCharType="separate"/>
      </w:r>
      <w:r w:rsidRPr="00892582">
        <w:t>(Hershberger, Connors et al. 2017)</w:t>
      </w:r>
      <w:r w:rsidRPr="00892582">
        <w:fldChar w:fldCharType="end"/>
      </w:r>
      <w:r w:rsidRPr="00892582">
        <w:t xml:space="preserve"> provide a summary figure of the relationships (Figure 1</w:t>
      </w:r>
      <w:r w:rsidR="00764508">
        <w:t>4</w:t>
      </w:r>
      <w:r w:rsidRPr="00892582">
        <w:t xml:space="preserve">). There may be a parcel of personality traits associated with </w:t>
      </w:r>
      <w:r>
        <w:t>e</w:t>
      </w:r>
      <w:r>
        <w:noBreakHyphen/>
        <w:t>cig</w:t>
      </w:r>
      <w:r w:rsidRPr="00892582">
        <w:t xml:space="preserve">arette use. Whether or not this is unique to </w:t>
      </w:r>
      <w:r>
        <w:t>e</w:t>
      </w:r>
      <w:r>
        <w:noBreakHyphen/>
        <w:t>cig</w:t>
      </w:r>
      <w:r w:rsidRPr="00892582">
        <w:t xml:space="preserve">arette use or general substance use is yet to be determined in the literature. </w:t>
      </w:r>
    </w:p>
    <w:p w14:paraId="6F2C6B0D" w14:textId="77777777" w:rsidR="00E53F6C" w:rsidRDefault="00E53F6C" w:rsidP="002E3AED">
      <w:pPr>
        <w:pStyle w:val="BodyText"/>
      </w:pPr>
    </w:p>
    <w:p w14:paraId="1613B54E" w14:textId="77777777" w:rsidR="00E53F6C" w:rsidRDefault="00955544" w:rsidP="00955544">
      <w:pPr>
        <w:pStyle w:val="Caption"/>
      </w:pPr>
      <w:bookmarkStart w:id="309" w:name="_Toc517707400"/>
      <w:r>
        <w:t xml:space="preserve">Figure </w:t>
      </w:r>
      <w:r w:rsidR="0048064B">
        <w:rPr>
          <w:noProof/>
        </w:rPr>
        <w:fldChar w:fldCharType="begin"/>
      </w:r>
      <w:r w:rsidR="0048064B">
        <w:rPr>
          <w:noProof/>
        </w:rPr>
        <w:instrText xml:space="preserve"> SEQ Figure \* ARABIC </w:instrText>
      </w:r>
      <w:r w:rsidR="0048064B">
        <w:rPr>
          <w:noProof/>
        </w:rPr>
        <w:fldChar w:fldCharType="separate"/>
      </w:r>
      <w:r w:rsidR="000C06DA">
        <w:rPr>
          <w:noProof/>
        </w:rPr>
        <w:t>14</w:t>
      </w:r>
      <w:r w:rsidR="0048064B">
        <w:rPr>
          <w:noProof/>
        </w:rPr>
        <w:fldChar w:fldCharType="end"/>
      </w:r>
      <w:r w:rsidR="00E53F6C">
        <w:t>: Summary of the relationship of urgency, deficits in conscientiousness and sensation seeking to e</w:t>
      </w:r>
      <w:r w:rsidR="00E53F6C">
        <w:noBreakHyphen/>
        <w:t>cigarette use</w:t>
      </w:r>
      <w:bookmarkEnd w:id="309"/>
    </w:p>
    <w:p w14:paraId="0D1F3440" w14:textId="77777777" w:rsidR="00E53F6C" w:rsidRDefault="00E53F6C" w:rsidP="00E53F6C">
      <w:pPr>
        <w:pStyle w:val="BodyText"/>
        <w:rPr>
          <w:sz w:val="22"/>
        </w:rPr>
      </w:pPr>
      <w:r>
        <w:rPr>
          <w:noProof/>
        </w:rPr>
        <w:drawing>
          <wp:inline distT="0" distB="0" distL="0" distR="0" wp14:anchorId="3BFA226E" wp14:editId="2F50379B">
            <wp:extent cx="4882311" cy="2725420"/>
            <wp:effectExtent l="0" t="0" r="0" b="0"/>
            <wp:docPr id="31" name="Picture 5" title="Chart showing the relationship of urgency, deficits in conscientiousness and sensation seeking to e cigarette use"/>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rotWithShape="1">
                    <a:blip r:embed="rId47"/>
                    <a:srcRect l="59011" t="31095" r="4779" b="11374"/>
                    <a:stretch/>
                  </pic:blipFill>
                  <pic:spPr bwMode="auto">
                    <a:xfrm>
                      <a:off x="0" y="0"/>
                      <a:ext cx="4887403" cy="2728263"/>
                    </a:xfrm>
                    <a:prstGeom prst="rect">
                      <a:avLst/>
                    </a:prstGeom>
                    <a:ln>
                      <a:noFill/>
                    </a:ln>
                    <a:extLst>
                      <a:ext uri="{53640926-AAD7-44D8-BBD7-CCE9431645EC}">
                        <a14:shadowObscured xmlns:a14="http://schemas.microsoft.com/office/drawing/2010/main"/>
                      </a:ext>
                    </a:extLst>
                  </pic:spPr>
                </pic:pic>
              </a:graphicData>
            </a:graphic>
          </wp:inline>
        </w:drawing>
      </w:r>
    </w:p>
    <w:p w14:paraId="01243699" w14:textId="77777777" w:rsidR="00E53F6C" w:rsidRDefault="00E53F6C" w:rsidP="00E53F6C">
      <w:pPr>
        <w:pStyle w:val="FigureTableSource"/>
      </w:pPr>
      <w:r>
        <w:t>Figure from Hershberger, Connors, Um, Cyders, 2017. International Journal of Mental Health and Addiction.</w:t>
      </w:r>
    </w:p>
    <w:p w14:paraId="654F39A9" w14:textId="77777777" w:rsidR="00E53F6C" w:rsidRDefault="00E53F6C" w:rsidP="00E53F6C">
      <w:pPr>
        <w:pStyle w:val="BodyText"/>
        <w:rPr>
          <w:sz w:val="22"/>
        </w:rPr>
      </w:pPr>
    </w:p>
    <w:p w14:paraId="2B63FD6F" w14:textId="77777777" w:rsidR="00E53F6C" w:rsidRDefault="00E53F6C" w:rsidP="00E53F6C">
      <w:pPr>
        <w:pStyle w:val="BodyText"/>
      </w:pPr>
      <w:r w:rsidRPr="00892582">
        <w:t xml:space="preserve">One paper reported on semi-structured interviews with 33 college student vapers </w:t>
      </w:r>
      <w:r w:rsidRPr="00892582">
        <w:fldChar w:fldCharType="begin"/>
      </w:r>
      <w:r w:rsidRPr="00892582">
        <w:instrText xml:space="preserve"> ADDIN EN.CITE &lt;EndNote&gt;&lt;Cite&gt;&lt;Author&gt;Cheney&lt;/Author&gt;&lt;Year&gt;2018&lt;/Year&gt;&lt;RecNum&gt;4587&lt;/RecNum&gt;&lt;DisplayText&gt;(Cheney, Gowin et al. 2018)&lt;/DisplayText&gt;&lt;record&gt;&lt;rec-number&gt;4587&lt;/rec-number&gt;&lt;foreign-keys&gt;&lt;key app="EN" db-id="fpt9pttrm5zfsaesp9fpsddv09ewsv5xewfd" timestamp="1525045110"&gt;4587&lt;/key&gt;&lt;key app="ENWeb" db-id=""&gt;0&lt;/key&gt;&lt;/foreign-keys&gt;&lt;ref-type name="Journal Article"&gt;17&lt;/ref-type&gt;&lt;contributors&gt;&lt;authors&gt;&lt;author&gt;Cheney, M.&lt;/author&gt;&lt;author&gt;Gowin, M.&lt;/author&gt;&lt;author&gt;Clawson, A. H.&lt;/author&gt;&lt;/authors&gt;&lt;/contributors&gt;&lt;auth-address&gt;a University of Oklahoma , Department of Health and Exercise Science.&amp;#xD;b Department of Psychology , Oklahoma State University.&lt;/auth-address&gt;&lt;titles&gt;&lt;title&gt;Using the Ecological Model to Understand Influences on College Student Vaping&lt;/title&gt;&lt;secondary-title&gt;J Am Coll Health&lt;/secondary-title&gt;&lt;alt-title&gt;Journal of American college health : J of ACH&lt;/alt-title&gt;&lt;/titles&gt;&lt;periodical&gt;&lt;full-title&gt;J Am Coll Health&lt;/full-title&gt;&lt;abbr-1&gt;Journal of American college health : J of ACH&lt;/abbr-1&gt;&lt;/periodical&gt;&lt;alt-periodical&gt;&lt;full-title&gt;J Am Coll Health&lt;/full-title&gt;&lt;abbr-1&gt;Journal of American college health : J of ACH&lt;/abbr-1&gt;&lt;/alt-periodical&gt;&lt;pages&gt;1-32&lt;/pages&gt;&lt;edition&gt;2018/02/17&lt;/edition&gt;&lt;dates&gt;&lt;year&gt;2018&lt;/year&gt;&lt;pub-dates&gt;&lt;date&gt;Feb 16&lt;/date&gt;&lt;/pub-dates&gt;&lt;/dates&gt;&lt;isbn&gt;0744-8481&lt;/isbn&gt;&lt;accession-num&gt;29452051&lt;/accession-num&gt;&lt;urls&gt;&lt;related-urls&gt;&lt;url&gt;https://www.tandfonline.com/doi/pdf/10.1080/07448481.2018.1440578?needAccess=true&lt;/url&gt;&lt;/related-urls&gt;&lt;/urls&gt;&lt;electronic-resource-num&gt;10.1080/07448481.2018.1440578&lt;/electronic-resource-num&gt;&lt;remote-database-provider&gt;NLM&lt;/remote-database-provider&gt;&lt;language&gt;eng&lt;/language&gt;&lt;/record&gt;&lt;/Cite&gt;&lt;/EndNote&gt;</w:instrText>
      </w:r>
      <w:r w:rsidRPr="00892582">
        <w:fldChar w:fldCharType="separate"/>
      </w:r>
      <w:r w:rsidRPr="00892582">
        <w:t>(Cheney, Gowin et al. 2018)</w:t>
      </w:r>
      <w:r w:rsidRPr="00892582">
        <w:fldChar w:fldCharType="end"/>
      </w:r>
      <w:r w:rsidRPr="00892582">
        <w:t xml:space="preserve">. This qualitative data provides more in-depth data from smaller numbers of people. Supporting previous survey data, the authors report that social and physical environment influences determine how and when college students choose to vape. Using a survey, Fite et al </w:t>
      </w:r>
      <w:r w:rsidRPr="00892582">
        <w:fldChar w:fldCharType="begin"/>
      </w:r>
      <w:r w:rsidRPr="00892582">
        <w:instrText xml:space="preserve"> ADDIN EN.CITE &lt;EndNote&gt;&lt;Cite&gt;&lt;Author&gt;Fite&lt;/Author&gt;&lt;Year&gt;2018&lt;/Year&gt;&lt;RecNum&gt;6342&lt;/RecNum&gt;&lt;DisplayText&gt;(Fite, Cushing et al. 2018)&lt;/DisplayText&gt;&lt;record&gt;&lt;rec-number&gt;6342&lt;/rec-number&gt;&lt;foreign-keys&gt;&lt;key app="EN" db-id="fpt9pttrm5zfsaesp9fpsddv09ewsv5xewfd" timestamp="1525047199"&gt;6342&lt;/key&gt;&lt;key app="ENWeb" db-id=""&gt;0&lt;/key&gt;&lt;/foreign-keys&gt;&lt;ref-type name="Journal Article"&gt;17&lt;/ref-type&gt;&lt;contributors&gt;&lt;authors&gt;&lt;author&gt;Fite, P. J.&lt;/author&gt;&lt;author&gt;Cushing, C. C.&lt;/author&gt;&lt;author&gt;Poquiz, J.&lt;/author&gt;&lt;author&gt;Frazer, A. L.&lt;/author&gt;&lt;/authors&gt;&lt;/contributors&gt;&lt;titles&gt;&lt;title&gt;Family influences on the use of e-cigarettes&lt;/title&gt;&lt;secondary-title&gt;Journal of Substance Use&lt;/secondary-title&gt;&lt;/titles&gt;&lt;periodical&gt;&lt;full-title&gt;Journal of Substance Use&lt;/full-title&gt;&lt;/periodical&gt;&lt;pages&gt;1-6&lt;/pages&gt;&lt;dates&gt;&lt;year&gt;2018&lt;/year&gt;&lt;/dates&gt;&lt;urls&gt;&lt;related-urls&gt;&lt;url&gt;https://www.scopus.com/inward/record.uri?eid=2-s2.0-85041540180&amp;amp;doi=10.1080%2f14659891.2018.1436601&amp;amp;partnerID=40&amp;amp;md5=edadb26ba3a217e0b019aedb2ad744fe&lt;/url&gt;&lt;url&gt;https://www.tandfonline.com/doi/pdf/10.1080/14659891.2018.1436601?needAccess=true&lt;/url&gt;&lt;/related-urls&gt;&lt;/urls&gt;&lt;electronic-resource-num&gt;10.1080/14659891.2018.1436601&lt;/electronic-resource-num&gt;&lt;remote-database-name&gt;Scopus&lt;/remote-database-name&gt;&lt;/record&gt;&lt;/Cite&gt;&lt;/EndNote&gt;</w:instrText>
      </w:r>
      <w:r w:rsidRPr="00892582">
        <w:fldChar w:fldCharType="separate"/>
      </w:r>
      <w:r w:rsidRPr="00892582">
        <w:t>(Fite, Cushing et al. 2018)</w:t>
      </w:r>
      <w:r w:rsidRPr="00892582">
        <w:fldChar w:fldCharType="end"/>
      </w:r>
      <w:r w:rsidRPr="00892582">
        <w:t xml:space="preserve"> extended these and similar observations by also suggesting that parental attitudes are predictive of </w:t>
      </w:r>
      <w:r>
        <w:t>e</w:t>
      </w:r>
      <w:r>
        <w:noBreakHyphen/>
        <w:t>cig</w:t>
      </w:r>
      <w:r w:rsidRPr="00892582">
        <w:t xml:space="preserve">arette use in adolescents. Finally, Abadi et al </w:t>
      </w:r>
      <w:r w:rsidRPr="00892582">
        <w:fldChar w:fldCharType="begin"/>
      </w:r>
      <w:r w:rsidRPr="00892582">
        <w:instrText xml:space="preserve"> ADDIN EN.CITE &lt;EndNote&gt;&lt;Cite&gt;&lt;Author&gt;Abadi&lt;/Author&gt;&lt;Year&gt;2017&lt;/Year&gt;&lt;RecNum&gt;4781&lt;/RecNum&gt;&lt;DisplayText&gt;(Abadi, Couch et al. 2017)&lt;/DisplayText&gt;&lt;record&gt;&lt;rec-number&gt;4781&lt;/rec-number&gt;&lt;foreign-keys&gt;&lt;key app="EN" db-id="fpt9pttrm5zfsaesp9fpsddv09ewsv5xewfd" timestamp="1525045502"&gt;4781&lt;/key&gt;&lt;key app="ENWeb" db-id=""&gt;0&lt;/key&gt;&lt;/foreign-keys&gt;&lt;ref-type name="Journal Article"&gt;17&lt;/ref-type&gt;&lt;contributors&gt;&lt;authors&gt;&lt;author&gt;Abadi, S.&lt;/author&gt;&lt;author&gt;Couch, E. T.&lt;/author&gt;&lt;author&gt;Chaffee, B. W.&lt;/author&gt;&lt;author&gt;Walsh, M. M.&lt;/author&gt;&lt;/authors&gt;&lt;/contributors&gt;&lt;titles&gt;&lt;title&gt;Perceptions Related to Use of Electronic Cigarettes among California College Students&lt;/title&gt;&lt;secondary-title&gt;J Dent Hyg&lt;/secondary-title&gt;&lt;alt-title&gt;Journal of dental hygiene : JDH&lt;/alt-title&gt;&lt;/titles&gt;&lt;periodical&gt;&lt;full-title&gt;J Dent Hyg&lt;/full-title&gt;&lt;abbr-1&gt;Journal of dental hygiene : JDH&lt;/abbr-1&gt;&lt;/periodical&gt;&lt;alt-periodical&gt;&lt;full-title&gt;J Dent Hyg&lt;/full-title&gt;&lt;abbr-1&gt;Journal of dental hygiene : JDH&lt;/abbr-1&gt;&lt;/alt-periodical&gt;&lt;pages&gt;35-43&lt;/pages&gt;&lt;volume&gt;91&lt;/volume&gt;&lt;number&gt;1&lt;/number&gt;&lt;edition&gt;2017/11/10&lt;/edition&gt;&lt;keywords&gt;&lt;keyword&gt;awareness&lt;/keyword&gt;&lt;keyword&gt;electronic cigarettes&lt;/keyword&gt;&lt;keyword&gt;health promotion&lt;/keyword&gt;&lt;keyword&gt;perceptions&lt;/keyword&gt;&lt;/keywords&gt;&lt;dates&gt;&lt;year&gt;2017&lt;/year&gt;&lt;pub-dates&gt;&lt;date&gt;Feb&lt;/date&gt;&lt;/pub-dates&gt;&lt;/dates&gt;&lt;isbn&gt;1043-254x&lt;/isbn&gt;&lt;accession-num&gt;29118149&lt;/accession-num&gt;&lt;urls&gt;&lt;/urls&gt;&lt;remote-database-provider&gt;NLM&lt;/remote-database-provider&gt;&lt;language&gt;eng&lt;/language&gt;&lt;/record&gt;&lt;/Cite&gt;&lt;/EndNote&gt;</w:instrText>
      </w:r>
      <w:r w:rsidRPr="00892582">
        <w:fldChar w:fldCharType="separate"/>
      </w:r>
      <w:r w:rsidRPr="00892582">
        <w:t>(Abadi, Couch et al. 2017)</w:t>
      </w:r>
      <w:r w:rsidRPr="00892582">
        <w:fldChar w:fldCharType="end"/>
      </w:r>
      <w:r w:rsidRPr="00892582">
        <w:t xml:space="preserve"> reported on the perceived differences in risks and benefits of </w:t>
      </w:r>
      <w:r>
        <w:t>e</w:t>
      </w:r>
      <w:r>
        <w:noBreakHyphen/>
        <w:t>cig</w:t>
      </w:r>
      <w:r w:rsidRPr="00892582">
        <w:t xml:space="preserve">arettes relative to conventional cigarettes. Similar data has been reported based on national datasets and in the Surgeon General’s report </w:t>
      </w:r>
      <w:r w:rsidRPr="00892582">
        <w:fldChar w:fldCharType="begin"/>
      </w:r>
      <w:r w:rsidR="00903735">
        <w:instrText xml:space="preserve"> ADDIN EN.CITE &lt;EndNote&gt;&lt;Cite&gt;&lt;Author&gt;US Dept of Health and Human Services&lt;/Author&gt;&lt;Year&gt;2016&lt;/Year&gt;&lt;RecNum&gt;13024&lt;/RecNum&gt;&lt;DisplayText&gt;(US Dept of Health and Human Services 2016)&lt;/DisplayText&gt;&lt;record&gt;&lt;rec-number&gt;13024&lt;/rec-number&gt;&lt;foreign-keys&gt;&lt;key app="EN" db-id="5xv5w5t2bdxtxfezx02xtxdft5rz5ptvvt29" timestamp="1524017182"&gt;13024&lt;/key&gt;&lt;/foreign-keys&gt;&lt;ref-type name="Journal Article"&gt;17&lt;/ref-type&gt;&lt;contributors&gt;&lt;authors&gt;&lt;author&gt;US Dept of Health and Human Services,&lt;/author&gt;&lt;/authors&gt;&lt;/contributors&gt;&lt;titles&gt;&lt;title&gt;E-cigarette Use among Youth and Young Adults:A report of the Surgeon General&lt;/title&gt;&lt;/titles&gt;&lt;dates&gt;&lt;year&gt;2016&lt;/year&gt;&lt;/dates&gt;&lt;urls&gt;&lt;/urls&gt;&lt;/record&gt;&lt;/Cite&gt;&lt;/EndNote&gt;</w:instrText>
      </w:r>
      <w:r w:rsidRPr="00892582">
        <w:fldChar w:fldCharType="separate"/>
      </w:r>
      <w:r w:rsidRPr="00892582">
        <w:rPr>
          <w:noProof/>
        </w:rPr>
        <w:t>(US Dept of Health and Human Services 2016)</w:t>
      </w:r>
      <w:r w:rsidRPr="00892582">
        <w:fldChar w:fldCharType="end"/>
      </w:r>
      <w:r w:rsidRPr="00892582">
        <w:t xml:space="preserve">. However, Abadi et al compared specific risks and reported that bad breath, a friend being upset, getting in trouble and feeling nervous were seen as more likely for cigarettes relative to </w:t>
      </w:r>
      <w:r>
        <w:t>e</w:t>
      </w:r>
      <w:r>
        <w:noBreakHyphen/>
        <w:t>cig</w:t>
      </w:r>
      <w:r w:rsidRPr="00892582">
        <w:t xml:space="preserve">arettes in their small college sample (n=91). </w:t>
      </w:r>
    </w:p>
    <w:p w14:paraId="35FE65FD" w14:textId="77777777" w:rsidR="00E53F6C" w:rsidRPr="00892582" w:rsidRDefault="00E53F6C" w:rsidP="00E53F6C">
      <w:pPr>
        <w:pStyle w:val="BodyText"/>
      </w:pPr>
    </w:p>
    <w:p w14:paraId="7B9B6C81" w14:textId="77777777" w:rsidR="00E53F6C" w:rsidRPr="00892582" w:rsidRDefault="00E53F6C" w:rsidP="00E53F6C">
      <w:pPr>
        <w:pStyle w:val="BodyText"/>
      </w:pPr>
      <w:r w:rsidRPr="00892582">
        <w:lastRenderedPageBreak/>
        <w:t xml:space="preserve">Finally, papers on the characteristics of </w:t>
      </w:r>
      <w:r>
        <w:t>e</w:t>
      </w:r>
      <w:r>
        <w:noBreakHyphen/>
        <w:t>cig</w:t>
      </w:r>
      <w:r w:rsidRPr="00892582">
        <w:t xml:space="preserve">arette users explored whether </w:t>
      </w:r>
      <w:r>
        <w:t>e</w:t>
      </w:r>
      <w:r>
        <w:noBreakHyphen/>
        <w:t>cig</w:t>
      </w:r>
      <w:r w:rsidRPr="00892582">
        <w:t xml:space="preserve">arette use was associated with eating disorders </w:t>
      </w:r>
      <w:r w:rsidRPr="00892582">
        <w:fldChar w:fldCharType="begin"/>
      </w:r>
      <w:r w:rsidRPr="00892582">
        <w:instrText xml:space="preserve"> ADDIN EN.CITE &lt;EndNote&gt;&lt;Cite&gt;&lt;Author&gt;Morean&lt;/Author&gt;&lt;Year&gt;2018&lt;/Year&gt;&lt;RecNum&gt;4806&lt;/RecNum&gt;&lt;DisplayText&gt;(Morean and L&amp;apos;Insalata 2018)&lt;/DisplayText&gt;&lt;record&gt;&lt;rec-number&gt;4806&lt;/rec-number&gt;&lt;foreign-keys&gt;&lt;key app="EN" db-id="fpt9pttrm5zfsaesp9fpsddv09ewsv5xewfd" timestamp="1525045528"&gt;4806&lt;/key&gt;&lt;key app="ENWeb" db-id=""&gt;0&lt;/key&gt;&lt;/foreign-keys&gt;&lt;ref-type name="Journal Article"&gt;17&lt;/ref-type&gt;&lt;contributors&gt;&lt;authors&gt;&lt;author&gt;Morean, M. E.&lt;/author&gt;&lt;author&gt;L&amp;apos;Insalata, A.&lt;/author&gt;&lt;/authors&gt;&lt;/contributors&gt;&lt;auth-address&gt;Department of Psychology, Oberlin College, 120 W Lorain St. Oberlin, Ohio.&amp;#xD;Department of Psychiatry, Yale School of Medicine, 34 Park St., New Haven, Connecticut.&lt;/auth-address&gt;&lt;titles&gt;&lt;title&gt;Electronic cigarette use among individuals with a self-reported eating disorder diagnosis&lt;/title&gt;&lt;secondary-title&gt;Int J Eat Disord&lt;/secondary-title&gt;&lt;alt-title&gt;The International journal of eating disorders&lt;/alt-title&gt;&lt;/titles&gt;&lt;periodical&gt;&lt;full-title&gt;Int J Eat Disord&lt;/full-title&gt;&lt;abbr-1&gt;The International journal of eating disorders&lt;/abbr-1&gt;&lt;/periodical&gt;&lt;alt-periodical&gt;&lt;full-title&gt;Int J Eat Disord&lt;/full-title&gt;&lt;abbr-1&gt;The International journal of eating disorders&lt;/abbr-1&gt;&lt;/alt-periodical&gt;&lt;pages&gt;77-81&lt;/pages&gt;&lt;volume&gt;51&lt;/volume&gt;&lt;number&gt;1&lt;/number&gt;&lt;edition&gt;2017/10/28&lt;/edition&gt;&lt;keywords&gt;&lt;keyword&gt;electronic cigarettes&lt;/keyword&gt;&lt;keyword&gt;feeding and eating disorders&lt;/keyword&gt;&lt;keyword&gt;survey methods&lt;/keyword&gt;&lt;/keywords&gt;&lt;dates&gt;&lt;year&gt;2018&lt;/year&gt;&lt;pub-dates&gt;&lt;date&gt;Jan&lt;/date&gt;&lt;/pub-dates&gt;&lt;/dates&gt;&lt;isbn&gt;0276-3478&lt;/isbn&gt;&lt;accession-num&gt;29076176&lt;/accession-num&gt;&lt;urls&gt;&lt;related-urls&gt;&lt;url&gt;https://onlinelibrary.wiley.com/doi/pdf/10.1002/eat.22793&lt;/url&gt;&lt;/related-urls&gt;&lt;/urls&gt;&lt;electronic-resource-num&gt;10.1002/eat.22793&lt;/electronic-resource-num&gt;&lt;remote-database-provider&gt;NLM&lt;/remote-database-provider&gt;&lt;language&gt;eng&lt;/language&gt;&lt;/record&gt;&lt;/Cite&gt;&lt;/EndNote&gt;</w:instrText>
      </w:r>
      <w:r w:rsidRPr="00892582">
        <w:fldChar w:fldCharType="separate"/>
      </w:r>
      <w:r w:rsidRPr="00892582">
        <w:t>(Morean and L'Insalata 2018)</w:t>
      </w:r>
      <w:r w:rsidRPr="00892582">
        <w:fldChar w:fldCharType="end"/>
      </w:r>
      <w:r w:rsidRPr="00892582">
        <w:t xml:space="preserve">, mental health </w:t>
      </w:r>
      <w:r w:rsidRPr="00892582">
        <w:fldChar w:fldCharType="begin">
          <w:fldData xml:space="preserve">PEVuZE5vdGU+PENpdGU+PEF1dGhvcj5LaW5nPC9BdXRob3I+PFllYXI+MjAxODwvWWVhcj48UmVj
TnVtPjQ4NjM8L1JlY051bT48RGlzcGxheVRleHQ+KEtpbmcsIFJlYm91c3NpbiBldCBhbC4gMjAx
OCk8L0Rpc3BsYXlUZXh0PjxyZWNvcmQ+PHJlYy1udW1iZXI+NDg2MzwvcmVjLW51bWJlcj48Zm9y
ZWlnbi1rZXlzPjxrZXkgYXBwPSJFTiIgZGItaWQ9ImZwdDlwdHRybTV6ZnNhZXNwOWZwc2RkdjA5
ZXdzdjV4ZXdmZCIgdGltZXN0YW1wPSIxNTI1MDQ1NjIwIj40ODYzPC9rZXk+PC9mb3JlaWduLWtl
eXM+PHJlZi10eXBlIG5hbWU9IkpvdXJuYWwgQXJ0aWNsZSI+MTc8L3JlZi10eXBlPjxjb250cmli
dXRvcnM+PGF1dGhvcnM+PGF1dGhvcj5LaW5nLCBKLiBMLjwvYXV0aG9yPjxhdXRob3I+UmVib3Vz
c2luLCBCLiBBLjwvYXV0aG9yPjxhdXRob3I+U3BhbmdsZXIsIEouPC9hdXRob3I+PGF1dGhvcj5D
b3JuYWNjaGlvbmUgUm9zcywgSi48L2F1dGhvcj48YXV0aG9yPlN1dGZpbiwgRS4gTC48L2F1dGhv
cj48L2F1dGhvcnM+PC9jb250cmlidXRvcnM+PGF1dGgtYWRkcmVzcz5XYWtlIEZvcmVzdCBTY2hv
b2wgb2YgTWVkaWNpbmUsIE1lZGljYWwgQ2VudGVyIEJvdWxldmFyZCwgV2luc3Rvbi1TYWxlbSwg
TkMgMjcxNTcsIFVuaXRlZCBTdGF0ZXMuIEVsZWN0cm9uaWMgYWRkcmVzczogamxraW5nQHdha2Vo
ZWFsdGguZWR1LiYjeEQ7V2FrZSBGb3Jlc3QgU2Nob29sIG9mIE1lZGljaW5lLCBNZWRpY2FsIENl
bnRlciBCb3VsZXZhcmQsIFdpbnN0b24tU2FsZW0sIE5DIDI3MTU3LCBVbml0ZWQgU3RhdGVzLiBF
bGVjdHJvbmljIGFkZHJlc3M6IGJyZWJvdXNzQHdha2VoZWFsdGguZWR1LiYjeEQ7V2FrZSBGb3Jl
c3QgU2Nob29sIG9mIE1lZGljaW5lLCBNZWRpY2FsIENlbnRlciBCb3VsZXZhcmQsIFdpbnN0b24t
U2FsZW0sIE5DIDI3MTU3LCBVbml0ZWQgU3RhdGVzLiBFbGVjdHJvbmljIGFkZHJlc3M6IGpzcGFu
Z2xlQHdha2VoZWFsdGguZWR1LiYjeEQ7V2FrZSBGb3Jlc3QgU2Nob29sIG9mIE1lZGljaW5lLCBN
ZWRpY2FsIENlbnRlciBCb3VsZXZhcmQsIFdpbnN0b24tU2FsZW0sIE5DIDI3MTU3LCBVbml0ZWQg
U3RhdGVzLiBFbGVjdHJvbmljIGFkZHJlc3M6IGpjb3JuYWNjQHdha2VoZWFsdGguZWR1LiYjeEQ7
V2FrZSBGb3Jlc3QgU2Nob29sIG9mIE1lZGljaW5lLCBNZWRpY2FsIENlbnRlciBCb3VsZXZhcmQs
IFdpbnN0b24tU2FsZW0sIE5DIDI3MTU3LCBVbml0ZWQgU3RhdGVzLiBFbGVjdHJvbmljIGFkZHJl
c3M6IGVzdXRmaW5Ad2FrZWhlYWx0aC5lZHUuPC9hdXRoLWFkZHJlc3M+PHRpdGxlcz48dGl0bGU+
VG9iYWNjbyBwcm9kdWN0IHVzZSBhbmQgbWVudGFsIGhlYWx0aCBzdGF0dXMgYW1vbmcgeW91bmcg
YWR1bHRzPC90aXRsZT48c2Vjb25kYXJ5LXRpdGxlPkFkZGljdCBCZWhhdjwvc2Vjb25kYXJ5LXRp
dGxlPjxhbHQtdGl0bGU+QWRkaWN0aXZlIGJlaGF2aW9yczwvYWx0LXRpdGxlPjwvdGl0bGVzPjxh
bHQtcGVyaW9kaWNhbD48ZnVsbC10aXRsZT5BZGRpY3RpdmUgQmVoYXZpb3JzPC9mdWxsLXRpdGxl
PjwvYWx0LXBlcmlvZGljYWw+PHBhZ2VzPjY3LTcyPC9wYWdlcz48dm9sdW1lPjc3PC92b2x1bWU+
PGVkaXRpb24+MjAxNy8xMC8wMjwvZWRpdGlvbj48a2V5d29yZHM+PGtleXdvcmQ+Q29sbGVnZSBz
dHVkZW50czwva2V5d29yZD48a2V5d29yZD5NZW50YWwgaGVhbHRoPC9rZXl3b3JkPjxrZXl3b3Jk
PlNtb2tpbmc8L2tleXdvcmQ+PGtleXdvcmQ+VG9iYWNjbyB1c2U8L2tleXdvcmQ+PC9rZXl3b3Jk
cz48ZGF0ZXM+PHllYXI+MjAxODwveWVhcj48cHViLWRhdGVzPjxkYXRlPkZlYjwvZGF0ZT48L3B1
Yi1kYXRlcz48L2RhdGVzPjxpc2JuPjAzMDYtNDYwMzwvaXNibj48YWNjZXNzaW9uLW51bT4yODk2
NTA2OTwvYWNjZXNzaW9uLW51bT48dXJscz48cmVsYXRlZC11cmxzPjx1cmw+aHR0cHM6Ly93d3cu
c2NpZW5jZWRpcmVjdC5jb20vc2NpZW5jZS9hcnRpY2xlL3BpaS9TMDMwNjQ2MDMxNzMwMzU3WD92
aWElM0RpaHViPC91cmw+PC9yZWxhdGVkLXVybHM+PC91cmxzPjxjdXN0b20yPlBNQzU3MDE4NzI8
L2N1c3RvbTI+PGN1c3RvbTY+TklITVM5MTAwMTY8L2N1c3RvbTY+PGVsZWN0cm9uaWMtcmVzb3Vy
Y2UtbnVtPjEwLjEwMTYvai5hZGRiZWguMjAxNy4wOS4wMTI8L2VsZWN0cm9uaWMtcmVzb3VyY2Ut
bnVtPjxyZW1vdGUtZGF0YWJhc2UtcHJvdmlkZXI+TkxNPC9yZW1vdGUtZGF0YWJhc2UtcHJvdmlk
ZXI+PGxhbmd1YWdlPmVuZzwvbGFuZ3VhZ2U+PC9yZWNvcmQ+PC9DaXRlPjwvRW5kTm90ZT5=
</w:fldData>
        </w:fldChar>
      </w:r>
      <w:r w:rsidRPr="00892582">
        <w:instrText xml:space="preserve"> ADDIN EN.CITE </w:instrText>
      </w:r>
      <w:r w:rsidRPr="00892582">
        <w:fldChar w:fldCharType="begin">
          <w:fldData xml:space="preserve">PEVuZE5vdGU+PENpdGU+PEF1dGhvcj5LaW5nPC9BdXRob3I+PFllYXI+MjAxODwvWWVhcj48UmVj
TnVtPjQ4NjM8L1JlY051bT48RGlzcGxheVRleHQ+KEtpbmcsIFJlYm91c3NpbiBldCBhbC4gMjAx
OCk8L0Rpc3BsYXlUZXh0PjxyZWNvcmQ+PHJlYy1udW1iZXI+NDg2MzwvcmVjLW51bWJlcj48Zm9y
ZWlnbi1rZXlzPjxrZXkgYXBwPSJFTiIgZGItaWQ9ImZwdDlwdHRybTV6ZnNhZXNwOWZwc2RkdjA5
ZXdzdjV4ZXdmZCIgdGltZXN0YW1wPSIxNTI1MDQ1NjIwIj40ODYzPC9rZXk+PC9mb3JlaWduLWtl
eXM+PHJlZi10eXBlIG5hbWU9IkpvdXJuYWwgQXJ0aWNsZSI+MTc8L3JlZi10eXBlPjxjb250cmli
dXRvcnM+PGF1dGhvcnM+PGF1dGhvcj5LaW5nLCBKLiBMLjwvYXV0aG9yPjxhdXRob3I+UmVib3Vz
c2luLCBCLiBBLjwvYXV0aG9yPjxhdXRob3I+U3BhbmdsZXIsIEouPC9hdXRob3I+PGF1dGhvcj5D
b3JuYWNjaGlvbmUgUm9zcywgSi48L2F1dGhvcj48YXV0aG9yPlN1dGZpbiwgRS4gTC48L2F1dGhv
cj48L2F1dGhvcnM+PC9jb250cmlidXRvcnM+PGF1dGgtYWRkcmVzcz5XYWtlIEZvcmVzdCBTY2hv
b2wgb2YgTWVkaWNpbmUsIE1lZGljYWwgQ2VudGVyIEJvdWxldmFyZCwgV2luc3Rvbi1TYWxlbSwg
TkMgMjcxNTcsIFVuaXRlZCBTdGF0ZXMuIEVsZWN0cm9uaWMgYWRkcmVzczogamxraW5nQHdha2Vo
ZWFsdGguZWR1LiYjeEQ7V2FrZSBGb3Jlc3QgU2Nob29sIG9mIE1lZGljaW5lLCBNZWRpY2FsIENl
bnRlciBCb3VsZXZhcmQsIFdpbnN0b24tU2FsZW0sIE5DIDI3MTU3LCBVbml0ZWQgU3RhdGVzLiBF
bGVjdHJvbmljIGFkZHJlc3M6IGJyZWJvdXNzQHdha2VoZWFsdGguZWR1LiYjeEQ7V2FrZSBGb3Jl
c3QgU2Nob29sIG9mIE1lZGljaW5lLCBNZWRpY2FsIENlbnRlciBCb3VsZXZhcmQsIFdpbnN0b24t
U2FsZW0sIE5DIDI3MTU3LCBVbml0ZWQgU3RhdGVzLiBFbGVjdHJvbmljIGFkZHJlc3M6IGpzcGFu
Z2xlQHdha2VoZWFsdGguZWR1LiYjeEQ7V2FrZSBGb3Jlc3QgU2Nob29sIG9mIE1lZGljaW5lLCBN
ZWRpY2FsIENlbnRlciBCb3VsZXZhcmQsIFdpbnN0b24tU2FsZW0sIE5DIDI3MTU3LCBVbml0ZWQg
U3RhdGVzLiBFbGVjdHJvbmljIGFkZHJlc3M6IGpjb3JuYWNjQHdha2VoZWFsdGguZWR1LiYjeEQ7
V2FrZSBGb3Jlc3QgU2Nob29sIG9mIE1lZGljaW5lLCBNZWRpY2FsIENlbnRlciBCb3VsZXZhcmQs
IFdpbnN0b24tU2FsZW0sIE5DIDI3MTU3LCBVbml0ZWQgU3RhdGVzLiBFbGVjdHJvbmljIGFkZHJl
c3M6IGVzdXRmaW5Ad2FrZWhlYWx0aC5lZHUuPC9hdXRoLWFkZHJlc3M+PHRpdGxlcz48dGl0bGU+
VG9iYWNjbyBwcm9kdWN0IHVzZSBhbmQgbWVudGFsIGhlYWx0aCBzdGF0dXMgYW1vbmcgeW91bmcg
YWR1bHRzPC90aXRsZT48c2Vjb25kYXJ5LXRpdGxlPkFkZGljdCBCZWhhdjwvc2Vjb25kYXJ5LXRp
dGxlPjxhbHQtdGl0bGU+QWRkaWN0aXZlIGJlaGF2aW9yczwvYWx0LXRpdGxlPjwvdGl0bGVzPjxh
bHQtcGVyaW9kaWNhbD48ZnVsbC10aXRsZT5BZGRpY3RpdmUgQmVoYXZpb3JzPC9mdWxsLXRpdGxl
PjwvYWx0LXBlcmlvZGljYWw+PHBhZ2VzPjY3LTcyPC9wYWdlcz48dm9sdW1lPjc3PC92b2x1bWU+
PGVkaXRpb24+MjAxNy8xMC8wMjwvZWRpdGlvbj48a2V5d29yZHM+PGtleXdvcmQ+Q29sbGVnZSBz
dHVkZW50czwva2V5d29yZD48a2V5d29yZD5NZW50YWwgaGVhbHRoPC9rZXl3b3JkPjxrZXl3b3Jk
PlNtb2tpbmc8L2tleXdvcmQ+PGtleXdvcmQ+VG9iYWNjbyB1c2U8L2tleXdvcmQ+PC9rZXl3b3Jk
cz48ZGF0ZXM+PHllYXI+MjAxODwveWVhcj48cHViLWRhdGVzPjxkYXRlPkZlYjwvZGF0ZT48L3B1
Yi1kYXRlcz48L2RhdGVzPjxpc2JuPjAzMDYtNDYwMzwvaXNibj48YWNjZXNzaW9uLW51bT4yODk2
NTA2OTwvYWNjZXNzaW9uLW51bT48dXJscz48cmVsYXRlZC11cmxzPjx1cmw+aHR0cHM6Ly93d3cu
c2NpZW5jZWRpcmVjdC5jb20vc2NpZW5jZS9hcnRpY2xlL3BpaS9TMDMwNjQ2MDMxNzMwMzU3WD92
aWElM0RpaHViPC91cmw+PC9yZWxhdGVkLXVybHM+PC91cmxzPjxjdXN0b20yPlBNQzU3MDE4NzI8
L2N1c3RvbTI+PGN1c3RvbTY+TklITVM5MTAwMTY8L2N1c3RvbTY+PGVsZWN0cm9uaWMtcmVzb3Vy
Y2UtbnVtPjEwLjEwMTYvai5hZGRiZWguMjAxNy4wOS4wMTI8L2VsZWN0cm9uaWMtcmVzb3VyY2Ut
bnVtPjxyZW1vdGUtZGF0YWJhc2UtcHJvdmlkZXI+TkxNPC9yZW1vdGUtZGF0YWJhc2UtcHJvdmlk
ZXI+PGxhbmd1YWdlPmVuZzwvbGFuZ3VhZ2U+PC9yZWNvcmQ+PC9DaXRlPjwvRW5kTm90ZT5=
</w:fldData>
        </w:fldChar>
      </w:r>
      <w:r w:rsidRPr="00892582">
        <w:instrText xml:space="preserve"> ADDIN EN.CITE.DATA </w:instrText>
      </w:r>
      <w:r w:rsidRPr="00892582">
        <w:fldChar w:fldCharType="end"/>
      </w:r>
      <w:r w:rsidRPr="00892582">
        <w:fldChar w:fldCharType="separate"/>
      </w:r>
      <w:r w:rsidRPr="00892582">
        <w:t>(King, Reboussin et al. 2018)</w:t>
      </w:r>
      <w:r w:rsidRPr="00892582">
        <w:fldChar w:fldCharType="end"/>
      </w:r>
      <w:r w:rsidRPr="00892582">
        <w:t xml:space="preserve"> or general demographic characteristics </w:t>
      </w:r>
      <w:r w:rsidRPr="00892582">
        <w:fldChar w:fldCharType="begin">
          <w:fldData xml:space="preserve">PEVuZE5vdGU+PENpdGU+PEF1dGhvcj5MZWU8L0F1dGhvcj48WWVhcj4yMDE3PC9ZZWFyPjxSZWNO
dW0+NTM1MDwvUmVjTnVtPjxEaXNwbGF5VGV4dD4oTGVlLCBMaW4gZXQgYWwuIDIwMTcsIFN1c3Nh
biwgU2hhaHphZCBldCBhbC4gMjAxNyk8L0Rpc3BsYXlUZXh0PjxyZWNvcmQ+PHJlYy1udW1iZXI+
NTM1MDwvcmVjLW51bWJlcj48Zm9yZWlnbi1rZXlzPjxrZXkgYXBwPSJFTiIgZGItaWQ9ImZwdDlw
dHRybTV6ZnNhZXNwOWZwc2RkdjA5ZXdzdjV4ZXdmZCIgdGltZXN0YW1wPSIxNTI1MDQ2NTE0Ij41
MzUwPC9rZXk+PC9mb3JlaWduLWtleXM+PHJlZi10eXBlIG5hbWU9IkpvdXJuYWwgQXJ0aWNsZSI+
MTc8L3JlZi10eXBlPjxjb250cmlidXRvcnM+PGF1dGhvcnM+PGF1dGhvcj5MZWUsIEguIFkuPC9h
dXRob3I+PGF1dGhvcj5MaW4sIEguIEMuPC9hdXRob3I+PGF1dGhvcj5TZW8sIEQuIEMuPC9hdXRo
b3I+PGF1dGhvcj5Mb2hybWFubiwgRC4gSy48L2F1dGhvcj48L2F1dGhvcnM+PC9jb250cmlidXRv
cnM+PGF1dGgtYWRkcmVzcz5EZXBhcnRtZW50IG9mIEFwcGxpZWQgSGVhbHRoIFNjaWVuY2UsIFNj
aG9vbCBvZiBQdWJsaWMgSGVhbHRoLCBJbmRpYW5hIFVuaXZlcnNpdHksIEJsb29taW5ndG9uLCBJ
bmRpYW5hIDQ3NDA1LTcxMDksIFVTQS4mI3hEO0RlcGFydG1lbnQgb2YgQXBwbGllZCBIZWFsdGgg
U2NpZW5jZSwgU2Nob29sIG9mIFB1YmxpYyBIZWFsdGgsIEluZGlhbmEgVW5pdmVyc2l0eSwgQmxv
b21pbmd0b24sIEluZGlhbmEgNDc0MDUtNzEwOSwgVVNBLiBFbGVjdHJvbmljIGFkZHJlc3M6IHNl
b0BpbmRpYW5hLmVkdS48L2F1dGgtYWRkcmVzcz48dGl0bGVzPjx0aXRsZT5EZXRlcm1pbmFudHMg
YXNzb2NpYXRlZCB3aXRoIEUtY2lnYXJldHRlIGFkb3B0aW9uIGFuZCB1c2UgaW50ZW50aW9uIGFt
b25nIGNvbGxlZ2Ugc3R1ZGVudHM8L3RpdGxlPjxzZWNvbmRhcnktdGl0bGU+QWRkaWN0IEJlaGF2
PC9zZWNvbmRhcnktdGl0bGU+PGFsdC10aXRsZT5BZGRpY3RpdmUgYmVoYXZpb3JzPC9hbHQtdGl0
bGU+PC90aXRsZXM+PGFsdC1wZXJpb2RpY2FsPjxmdWxsLXRpdGxlPkFkZGljdGl2ZSBCZWhhdmlv
cnM8L2Z1bGwtdGl0bGU+PC9hbHQtcGVyaW9kaWNhbD48cGFnZXM+MTAyLTExMDwvcGFnZXM+PHZv
bHVtZT42NTwvdm9sdW1lPjxlZGl0aW9uPjIwMTYvMTEvMDc8L2VkaXRpb24+PGtleXdvcmRzPjxr
ZXl3b3JkPkFkb2xlc2NlbnQ8L2tleXdvcmQ+PGtleXdvcmQ+QWR1bHQ8L2tleXdvcmQ+PGtleXdv
cmQ+RWxlY3Ryb25pYyBOaWNvdGluZSBEZWxpdmVyeSBTeXN0ZW1zLypzdGF0aXN0aWNzICZhbXA7
IG51bWVyaWNhbCBkYXRhPC9rZXl3b3JkPjxrZXl3b3JkPkZlbWFsZTwva2V5d29yZD48a2V5d29y
ZD5IdW1hbnM8L2tleXdvcmQ+PGtleXdvcmQ+KkludGVudGlvbjwva2V5d29yZD48a2V5d29yZD5N
YWxlPC9rZXl3b3JkPjxrZXl3b3JkPlN0dWRlbnRzLypwc3ljaG9sb2d5LypzdGF0aXN0aWNzICZh
bXA7IG51bWVyaWNhbCBkYXRhPC9rZXl3b3JkPjxrZXl3b3JkPlN1cnZleXMgYW5kIFF1ZXN0aW9u
bmFpcmVzPC9rZXl3b3JkPjxrZXl3b3JkPlVuaXZlcnNpdGllczwva2V5d29yZD48a2V5d29yZD5Z
b3VuZyBBZHVsdDwva2V5d29yZD48a2V5d29yZD5BZG9wdGlvbjwva2V5d29yZD48a2V5d29yZD5D
b2xsZWdlIHN0dWRlbnRzPC9rZXl3b3JkPjxrZXl3b3JkPkRpZmZ1c2lvbiBvZiBpbm5vdmF0aW9u
IHRoZW9yeTwva2V5d29yZD48a2V5d29yZD5FLWNpZ2FyZXR0ZTwva2V5d29yZD48L2tleXdvcmRz
PjxkYXRlcz48eWVhcj4yMDE3PC95ZWFyPjxwdWItZGF0ZXM+PGRhdGU+RmViPC9kYXRlPjwvcHVi
LWRhdGVzPjwvZGF0ZXM+PGlzYm4+MDMwNi00NjAzPC9pc2JuPjxhY2Nlc3Npb24tbnVtPjI3ODE2
MDM0PC9hY2Nlc3Npb24tbnVtPjx1cmxzPjxyZWxhdGVkLXVybHM+PHVybD5odHRwczovL3d3dy5z
Y2llbmNlZGlyZWN0LmNvbS9zY2llbmNlL2FydGljbGUvcGlpL1MwMzA2NDYwMzE2MzAzNzkzP3Zp
YSUzRGlodWI8L3VybD48L3JlbGF0ZWQtdXJscz48L3VybHM+PGVsZWN0cm9uaWMtcmVzb3VyY2Ut
bnVtPjEwLjEwMTYvai5hZGRiZWguMjAxNi4xMC4wMjM8L2VsZWN0cm9uaWMtcmVzb3VyY2UtbnVt
PjxyZW1vdGUtZGF0YWJhc2UtcHJvdmlkZXI+TkxNPC9yZW1vdGUtZGF0YWJhc2UtcHJvdmlkZXI+
PGxhbmd1YWdlPmVuZzwvbGFuZ3VhZ2U+PC9yZWNvcmQ+PC9DaXRlPjxDaXRlPjxBdXRob3I+U3Vz
c2FuPC9BdXRob3I+PFllYXI+MjAxNzwvWWVhcj48UmVjTnVtPjY1MDc8L1JlY051bT48cmVjb3Jk
PjxyZWMtbnVtYmVyPjY1MDc8L3JlYy1udW1iZXI+PGZvcmVpZ24ta2V5cz48a2V5IGFwcD0iRU4i
IGRiLWlkPSJmcHQ5cHR0cm01emZzYWVzcDlmcHNkZHYwOWV3c3Y1eGV3ZmQiIHRpbWVzdGFtcD0i
MTUyNTA0ODA2OCI+NjUwNzwva2V5PjxrZXkgYXBwPSJFTldlYiIgZGItaWQ9IiI+MDwva2V5Pjwv
Zm9yZWlnbi1rZXlzPjxyZWYtdHlwZSBuYW1lPSJKb3VybmFsIEFydGljbGUiPjE3PC9yZWYtdHlw
ZT48Y29udHJpYnV0b3JzPjxhdXRob3JzPjxhdXRob3I+U3Vzc2FuLCBULiBFLjwvYXV0aG9yPjxh
dXRob3I+U2hhaHphZCwgRi4gRy48L2F1dGhvcj48YXV0aG9yPlRhYmFzc3VtLCBFLjwvYXV0aG9y
PjxhdXRob3I+Q29oZW4sIEouIEUuPC9hdXRob3I+PGF1dGhvcj5XaXNlLCBSLiBBLjwvYXV0aG9y
PjxhdXRob3I+QmxhaGEsIE0uIEouPC9hdXRob3I+PGF1dGhvcj5Ib2xicm9vaywgSi4gVC48L2F1
dGhvcj48YXV0aG9yPkJpc3dhbCwgUy48L2F1dGhvcj48L2F1dGhvcnM+PC9jb250cmlidXRvcnM+
PGF1dGgtYWRkcmVzcz5EZXBhcnRtZW50IG9mIEVudmlyb25tZW50YWwgSGVhbHRoIGFuZCBFbmdp
bmVlcmluZywgSm9obnMgSG9wa2lucyBCbG9vbWJlcmcgU2Nob29sIG9mIFB1YmxpYyBIZWFsdGgs
IDYxNSBOLiBXb2xmZSBTdHJlZXQsIEJhbHRpbW9yZSwgTUQsIFVTQS4mI3hEO1ByZXNlbnQgQWRk
cmVzczogVW5pdGVkIFN0YXRlcyBBcm15IFB1YmxpYyBIZWFsdGggQ2VudGVyLCBUb3hpY29sb2d5
IERpcmVjdG9yYXRlLCBBYmVyZGVlbiBQcm92aW5nIEdyb3VuZCwgQWJlcmRlZW4sIE1ELCBVU0Eu
JiN4RDtEZXBhcnRtZW50IG9mIEhlYWx0aCwgQmVoYXZpb3IgYW5kIFNvY2lldHksIEluc3RpdHV0
ZSBmb3IgR2xvYmFsIFRvYmFjY28gQ29udHJvbCwgSm9obnMgSG9wa2lucyBCbG9vbWJlcmcgU2No
b29sIG9mIFB1YmxpYyBIZWFsdGgsIEJhbHRpbW9yZSwgTUQsIFVTQS4mI3hEO0RlcGFydG1lbnQg
b2YgTWVkaWNpbmUsIERpdmlzaW9uIG9mIFB1bG1vbmFyeSBhbmQgQ3JpdGljYWwgQ2FyZSBNZWRp
Y2luZSwgSm9obnMgSG9wa2lucyBTY2hvb2wgb2YgTWVkaWNpbmUsIEJhbHRpbW9yZSwgTUQsIFVT
QS4mI3hEO0RlcGFydG1lbnQgb2YgTWVkaWNpbmUsIENpY2Nhcm9uZSBDZW50ZXIgZm9yIHRoZSBQ
cmV2ZW50aW9uIG9mIEhlYXJ0IERpc2Vhc2UsIEpvaG5zIEhvcGtpbnMgU2Nob29sIG9mIE1lZGlj
aW5lLCBCYWx0aW1vcmUsIE1ELCBVU0EuJiN4RDtEZXBhcnRtZW50IG9mIEVwaWRlbWlvbG9neSwg
Q2VudGVyIGZvciBDbGluaWNhbCBUcmlhbHMgYW5kIEV2aWRlbmNlIFN5bnRoZXNpcywgSm9obnMg
SG9wa2lucyBCbG9vbWJlcmcgU2Nob29sIG9mIFB1YmxpYyBIZWFsdGgsIEJhbHRpbW9yZSwgTUQs
IFVTQS4mI3hEO0RlcGFydG1lbnQgb2YgRW52aXJvbm1lbnRhbCBIZWFsdGggYW5kIEVuZ2luZWVy
aW5nLCBKb2hucyBIb3BraW5zIEJsb29tYmVyZyBTY2hvb2wgb2YgUHVibGljIEhlYWx0aCwgNjE1
IE4uIFdvbGZlIFN0cmVldCwgQmFsdGltb3JlLCBNRCwgVVNBLiBzYmlzd2FsQGpodS5lZHUuPC9h
dXRoLWFkZHJlc3M+PHRpdGxlcz48dGl0bGU+RWxlY3Ryb25pYyBjaWdhcmV0dGUgdXNlIGJlaGF2
aW9ycyBhbmQgbW90aXZhdGlvbnMgYW1vbmcgc21va2VycyBhbmQgbm9uLXNtb2tlcnM8L3RpdGxl
PjxzZWNvbmRhcnktdGl0bGU+Qk1DIFB1YmxpYyBIZWFsdGg8L3NlY29uZGFyeS10aXRsZT48YWx0
LXRpdGxlPkJNQyBwdWJsaWMgaGVhbHRoPC9hbHQtdGl0bGU+PC90aXRsZXM+PHBlcmlvZGljYWw+
PGZ1bGwtdGl0bGU+Qm1jIFB1YmxpYyBIZWFsdGg8L2Z1bGwtdGl0bGU+PC9wZXJpb2RpY2FsPjxh
bHQtcGVyaW9kaWNhbD48ZnVsbC10aXRsZT5CbWMgUHVibGljIEhlYWx0aDwvZnVsbC10aXRsZT48
L2FsdC1wZXJpb2RpY2FsPjxwYWdlcz42ODY8L3BhZ2VzPjx2b2x1bWU+MTc8L3ZvbHVtZT48bnVt
YmVyPjE8L251bWJlcj48ZWRpdGlvbj4yMDE3LzA5LzA5PC9lZGl0aW9uPjxrZXl3b3Jkcz48a2V5
d29yZD5BZG9sZXNjZW50PC9rZXl3b3JkPjxrZXl3b3JkPkFkdWx0PC9rZXl3b3JkPjxrZXl3b3Jk
PkJhbHRpbW9yZS9lcGlkZW1pb2xvZ3k8L2tleXdvcmQ+PGtleXdvcmQ+RmVtYWxlPC9rZXl3b3Jk
PjxrZXl3b3JkPkhlYWx0aCBTdXJ2ZXlzPC9rZXl3b3JkPjxrZXl3b3JkPkh1bWFuczwva2V5d29y
ZD48a2V5d29yZD5NYWxlPC9rZXl3b3JkPjxrZXl3b3JkPipNb3RpdmF0aW9uPC9rZXl3b3JkPjxr
ZXl3b3JkPlNtb2tlcnMvKnBzeWNob2xvZ3kvc3RhdGlzdGljcyAmYW1wOyBudW1lcmljYWwgZGF0
YTwva2V5d29yZD48a2V5d29yZD5TbW9raW5nLyplcGlkZW1pb2xvZ3kvKnBzeWNob2xvZ3k8L2tl
eXdvcmQ+PGtleXdvcmQ+VmFwaW5nLypwc3ljaG9sb2d5PC9rZXl3b3JkPjxrZXl3b3JkPllvdW5n
IEFkdWx0PC9rZXl3b3JkPjxrZXl3b3JkPipCYWx0aW1vcmU8L2tleXdvcmQ+PGtleXdvcmQ+KkVs
ZWN0cm9uaWMgY2lnYXJldHRlczwva2V5d29yZD48a2V5d29yZD4qTWFyeWxhbmQ8L2tleXdvcmQ+
PGtleXdvcmQ+KlByZWZlcmVuY2VzPC9rZXl3b3JkPjxrZXl3b3JkPipTbW9rZXJzPC9rZXl3b3Jk
PjxrZXl3b3JkPipTdXJ2ZXk8L2tleXdvcmQ+PGtleXdvcmQ+KlZhcG9yPC9rZXl3b3JkPjwva2V5
d29yZHM+PGRhdGVzPjx5ZWFyPjIwMTc8L3llYXI+PHB1Yi1kYXRlcz48ZGF0ZT5TZXAgODwvZGF0
ZT48L3B1Yi1kYXRlcz48L2RhdGVzPjxpc2JuPjE0NzEtMjQ1ODwvaXNibj48YWNjZXNzaW9uLW51
bT4yODg4MjEyMzwvYWNjZXNzaW9uLW51bT48dXJscz48cmVsYXRlZC11cmxzPjx1cmw+aHR0cHM6
Ly93d3cubmNiaS5ubG0ubmloLmdvdi9wbWMvYXJ0aWNsZXMvUE1DNTU5MDEyMy9wZGYvMTI4ODlf
MjAxN19BcnRpY2xlXzQ2NzEucGRmPC91cmw+PC9yZWxhdGVkLXVybHM+PC91cmxzPjxjdXN0b20y
PlBNQzU1OTAxMjM8L2N1c3RvbTI+PGVsZWN0cm9uaWMtcmVzb3VyY2UtbnVtPjEwLjExODYvczEy
ODg5LTAxNy00NjcxLTM8L2VsZWN0cm9uaWMtcmVzb3VyY2UtbnVtPjxyZW1vdGUtZGF0YWJhc2Ut
cHJvdmlkZXI+TkxNPC9yZW1vdGUtZGF0YWJhc2UtcHJvdmlkZXI+PGxhbmd1YWdlPmVuZzwvbGFu
Z3VhZ2U+PC9yZWNvcmQ+PC9DaXRlPjwvRW5kTm90ZT5=
</w:fldData>
        </w:fldChar>
      </w:r>
      <w:r w:rsidRPr="00892582">
        <w:instrText xml:space="preserve"> ADDIN EN.CITE </w:instrText>
      </w:r>
      <w:r w:rsidRPr="00892582">
        <w:fldChar w:fldCharType="begin">
          <w:fldData xml:space="preserve">PEVuZE5vdGU+PENpdGU+PEF1dGhvcj5MZWU8L0F1dGhvcj48WWVhcj4yMDE3PC9ZZWFyPjxSZWNO
dW0+NTM1MDwvUmVjTnVtPjxEaXNwbGF5VGV4dD4oTGVlLCBMaW4gZXQgYWwuIDIwMTcsIFN1c3Nh
biwgU2hhaHphZCBldCBhbC4gMjAxNyk8L0Rpc3BsYXlUZXh0PjxyZWNvcmQ+PHJlYy1udW1iZXI+
NTM1MDwvcmVjLW51bWJlcj48Zm9yZWlnbi1rZXlzPjxrZXkgYXBwPSJFTiIgZGItaWQ9ImZwdDlw
dHRybTV6ZnNhZXNwOWZwc2RkdjA5ZXdzdjV4ZXdmZCIgdGltZXN0YW1wPSIxNTI1MDQ2NTE0Ij41
MzUwPC9rZXk+PC9mb3JlaWduLWtleXM+PHJlZi10eXBlIG5hbWU9IkpvdXJuYWwgQXJ0aWNsZSI+
MTc8L3JlZi10eXBlPjxjb250cmlidXRvcnM+PGF1dGhvcnM+PGF1dGhvcj5MZWUsIEguIFkuPC9h
dXRob3I+PGF1dGhvcj5MaW4sIEguIEMuPC9hdXRob3I+PGF1dGhvcj5TZW8sIEQuIEMuPC9hdXRo
b3I+PGF1dGhvcj5Mb2hybWFubiwgRC4gSy48L2F1dGhvcj48L2F1dGhvcnM+PC9jb250cmlidXRv
cnM+PGF1dGgtYWRkcmVzcz5EZXBhcnRtZW50IG9mIEFwcGxpZWQgSGVhbHRoIFNjaWVuY2UsIFNj
aG9vbCBvZiBQdWJsaWMgSGVhbHRoLCBJbmRpYW5hIFVuaXZlcnNpdHksIEJsb29taW5ndG9uLCBJ
bmRpYW5hIDQ3NDA1LTcxMDksIFVTQS4mI3hEO0RlcGFydG1lbnQgb2YgQXBwbGllZCBIZWFsdGgg
U2NpZW5jZSwgU2Nob29sIG9mIFB1YmxpYyBIZWFsdGgsIEluZGlhbmEgVW5pdmVyc2l0eSwgQmxv
b21pbmd0b24sIEluZGlhbmEgNDc0MDUtNzEwOSwgVVNBLiBFbGVjdHJvbmljIGFkZHJlc3M6IHNl
b0BpbmRpYW5hLmVkdS48L2F1dGgtYWRkcmVzcz48dGl0bGVzPjx0aXRsZT5EZXRlcm1pbmFudHMg
YXNzb2NpYXRlZCB3aXRoIEUtY2lnYXJldHRlIGFkb3B0aW9uIGFuZCB1c2UgaW50ZW50aW9uIGFt
b25nIGNvbGxlZ2Ugc3R1ZGVudHM8L3RpdGxlPjxzZWNvbmRhcnktdGl0bGU+QWRkaWN0IEJlaGF2
PC9zZWNvbmRhcnktdGl0bGU+PGFsdC10aXRsZT5BZGRpY3RpdmUgYmVoYXZpb3JzPC9hbHQtdGl0
bGU+PC90aXRsZXM+PGFsdC1wZXJpb2RpY2FsPjxmdWxsLXRpdGxlPkFkZGljdGl2ZSBCZWhhdmlv
cnM8L2Z1bGwtdGl0bGU+PC9hbHQtcGVyaW9kaWNhbD48cGFnZXM+MTAyLTExMDwvcGFnZXM+PHZv
bHVtZT42NTwvdm9sdW1lPjxlZGl0aW9uPjIwMTYvMTEvMDc8L2VkaXRpb24+PGtleXdvcmRzPjxr
ZXl3b3JkPkFkb2xlc2NlbnQ8L2tleXdvcmQ+PGtleXdvcmQ+QWR1bHQ8L2tleXdvcmQ+PGtleXdv
cmQ+RWxlY3Ryb25pYyBOaWNvdGluZSBEZWxpdmVyeSBTeXN0ZW1zLypzdGF0aXN0aWNzICZhbXA7
IG51bWVyaWNhbCBkYXRhPC9rZXl3b3JkPjxrZXl3b3JkPkZlbWFsZTwva2V5d29yZD48a2V5d29y
ZD5IdW1hbnM8L2tleXdvcmQ+PGtleXdvcmQ+KkludGVudGlvbjwva2V5d29yZD48a2V5d29yZD5N
YWxlPC9rZXl3b3JkPjxrZXl3b3JkPlN0dWRlbnRzLypwc3ljaG9sb2d5LypzdGF0aXN0aWNzICZh
bXA7IG51bWVyaWNhbCBkYXRhPC9rZXl3b3JkPjxrZXl3b3JkPlN1cnZleXMgYW5kIFF1ZXN0aW9u
bmFpcmVzPC9rZXl3b3JkPjxrZXl3b3JkPlVuaXZlcnNpdGllczwva2V5d29yZD48a2V5d29yZD5Z
b3VuZyBBZHVsdDwva2V5d29yZD48a2V5d29yZD5BZG9wdGlvbjwva2V5d29yZD48a2V5d29yZD5D
b2xsZWdlIHN0dWRlbnRzPC9rZXl3b3JkPjxrZXl3b3JkPkRpZmZ1c2lvbiBvZiBpbm5vdmF0aW9u
IHRoZW9yeTwva2V5d29yZD48a2V5d29yZD5FLWNpZ2FyZXR0ZTwva2V5d29yZD48L2tleXdvcmRz
PjxkYXRlcz48eWVhcj4yMDE3PC95ZWFyPjxwdWItZGF0ZXM+PGRhdGU+RmViPC9kYXRlPjwvcHVi
LWRhdGVzPjwvZGF0ZXM+PGlzYm4+MDMwNi00NjAzPC9pc2JuPjxhY2Nlc3Npb24tbnVtPjI3ODE2
MDM0PC9hY2Nlc3Npb24tbnVtPjx1cmxzPjxyZWxhdGVkLXVybHM+PHVybD5odHRwczovL3d3dy5z
Y2llbmNlZGlyZWN0LmNvbS9zY2llbmNlL2FydGljbGUvcGlpL1MwMzA2NDYwMzE2MzAzNzkzP3Zp
YSUzRGlodWI8L3VybD48L3JlbGF0ZWQtdXJscz48L3VybHM+PGVsZWN0cm9uaWMtcmVzb3VyY2Ut
bnVtPjEwLjEwMTYvai5hZGRiZWguMjAxNi4xMC4wMjM8L2VsZWN0cm9uaWMtcmVzb3VyY2UtbnVt
PjxyZW1vdGUtZGF0YWJhc2UtcHJvdmlkZXI+TkxNPC9yZW1vdGUtZGF0YWJhc2UtcHJvdmlkZXI+
PGxhbmd1YWdlPmVuZzwvbGFuZ3VhZ2U+PC9yZWNvcmQ+PC9DaXRlPjxDaXRlPjxBdXRob3I+U3Vz
c2FuPC9BdXRob3I+PFllYXI+MjAxNzwvWWVhcj48UmVjTnVtPjY1MDc8L1JlY051bT48cmVjb3Jk
PjxyZWMtbnVtYmVyPjY1MDc8L3JlYy1udW1iZXI+PGZvcmVpZ24ta2V5cz48a2V5IGFwcD0iRU4i
IGRiLWlkPSJmcHQ5cHR0cm01emZzYWVzcDlmcHNkZHYwOWV3c3Y1eGV3ZmQiIHRpbWVzdGFtcD0i
MTUyNTA0ODA2OCI+NjUwNzwva2V5PjxrZXkgYXBwPSJFTldlYiIgZGItaWQ9IiI+MDwva2V5Pjwv
Zm9yZWlnbi1rZXlzPjxyZWYtdHlwZSBuYW1lPSJKb3VybmFsIEFydGljbGUiPjE3PC9yZWYtdHlw
ZT48Y29udHJpYnV0b3JzPjxhdXRob3JzPjxhdXRob3I+U3Vzc2FuLCBULiBFLjwvYXV0aG9yPjxh
dXRob3I+U2hhaHphZCwgRi4gRy48L2F1dGhvcj48YXV0aG9yPlRhYmFzc3VtLCBFLjwvYXV0aG9y
PjxhdXRob3I+Q29oZW4sIEouIEUuPC9hdXRob3I+PGF1dGhvcj5XaXNlLCBSLiBBLjwvYXV0aG9y
PjxhdXRob3I+QmxhaGEsIE0uIEouPC9hdXRob3I+PGF1dGhvcj5Ib2xicm9vaywgSi4gVC48L2F1
dGhvcj48YXV0aG9yPkJpc3dhbCwgUy48L2F1dGhvcj48L2F1dGhvcnM+PC9jb250cmlidXRvcnM+
PGF1dGgtYWRkcmVzcz5EZXBhcnRtZW50IG9mIEVudmlyb25tZW50YWwgSGVhbHRoIGFuZCBFbmdp
bmVlcmluZywgSm9obnMgSG9wa2lucyBCbG9vbWJlcmcgU2Nob29sIG9mIFB1YmxpYyBIZWFsdGgs
IDYxNSBOLiBXb2xmZSBTdHJlZXQsIEJhbHRpbW9yZSwgTUQsIFVTQS4mI3hEO1ByZXNlbnQgQWRk
cmVzczogVW5pdGVkIFN0YXRlcyBBcm15IFB1YmxpYyBIZWFsdGggQ2VudGVyLCBUb3hpY29sb2d5
IERpcmVjdG9yYXRlLCBBYmVyZGVlbiBQcm92aW5nIEdyb3VuZCwgQWJlcmRlZW4sIE1ELCBVU0Eu
JiN4RDtEZXBhcnRtZW50IG9mIEhlYWx0aCwgQmVoYXZpb3IgYW5kIFNvY2lldHksIEluc3RpdHV0
ZSBmb3IgR2xvYmFsIFRvYmFjY28gQ29udHJvbCwgSm9obnMgSG9wa2lucyBCbG9vbWJlcmcgU2No
b29sIG9mIFB1YmxpYyBIZWFsdGgsIEJhbHRpbW9yZSwgTUQsIFVTQS4mI3hEO0RlcGFydG1lbnQg
b2YgTWVkaWNpbmUsIERpdmlzaW9uIG9mIFB1bG1vbmFyeSBhbmQgQ3JpdGljYWwgQ2FyZSBNZWRp
Y2luZSwgSm9obnMgSG9wa2lucyBTY2hvb2wgb2YgTWVkaWNpbmUsIEJhbHRpbW9yZSwgTUQsIFVT
QS4mI3hEO0RlcGFydG1lbnQgb2YgTWVkaWNpbmUsIENpY2Nhcm9uZSBDZW50ZXIgZm9yIHRoZSBQ
cmV2ZW50aW9uIG9mIEhlYXJ0IERpc2Vhc2UsIEpvaG5zIEhvcGtpbnMgU2Nob29sIG9mIE1lZGlj
aW5lLCBCYWx0aW1vcmUsIE1ELCBVU0EuJiN4RDtEZXBhcnRtZW50IG9mIEVwaWRlbWlvbG9neSwg
Q2VudGVyIGZvciBDbGluaWNhbCBUcmlhbHMgYW5kIEV2aWRlbmNlIFN5bnRoZXNpcywgSm9obnMg
SG9wa2lucyBCbG9vbWJlcmcgU2Nob29sIG9mIFB1YmxpYyBIZWFsdGgsIEJhbHRpbW9yZSwgTUQs
IFVTQS4mI3hEO0RlcGFydG1lbnQgb2YgRW52aXJvbm1lbnRhbCBIZWFsdGggYW5kIEVuZ2luZWVy
aW5nLCBKb2hucyBIb3BraW5zIEJsb29tYmVyZyBTY2hvb2wgb2YgUHVibGljIEhlYWx0aCwgNjE1
IE4uIFdvbGZlIFN0cmVldCwgQmFsdGltb3JlLCBNRCwgVVNBLiBzYmlzd2FsQGpodS5lZHUuPC9h
dXRoLWFkZHJlc3M+PHRpdGxlcz48dGl0bGU+RWxlY3Ryb25pYyBjaWdhcmV0dGUgdXNlIGJlaGF2
aW9ycyBhbmQgbW90aXZhdGlvbnMgYW1vbmcgc21va2VycyBhbmQgbm9uLXNtb2tlcnM8L3RpdGxl
PjxzZWNvbmRhcnktdGl0bGU+Qk1DIFB1YmxpYyBIZWFsdGg8L3NlY29uZGFyeS10aXRsZT48YWx0
LXRpdGxlPkJNQyBwdWJsaWMgaGVhbHRoPC9hbHQtdGl0bGU+PC90aXRsZXM+PHBlcmlvZGljYWw+
PGZ1bGwtdGl0bGU+Qm1jIFB1YmxpYyBIZWFsdGg8L2Z1bGwtdGl0bGU+PC9wZXJpb2RpY2FsPjxh
bHQtcGVyaW9kaWNhbD48ZnVsbC10aXRsZT5CbWMgUHVibGljIEhlYWx0aDwvZnVsbC10aXRsZT48
L2FsdC1wZXJpb2RpY2FsPjxwYWdlcz42ODY8L3BhZ2VzPjx2b2x1bWU+MTc8L3ZvbHVtZT48bnVt
YmVyPjE8L251bWJlcj48ZWRpdGlvbj4yMDE3LzA5LzA5PC9lZGl0aW9uPjxrZXl3b3Jkcz48a2V5
d29yZD5BZG9sZXNjZW50PC9rZXl3b3JkPjxrZXl3b3JkPkFkdWx0PC9rZXl3b3JkPjxrZXl3b3Jk
PkJhbHRpbW9yZS9lcGlkZW1pb2xvZ3k8L2tleXdvcmQ+PGtleXdvcmQ+RmVtYWxlPC9rZXl3b3Jk
PjxrZXl3b3JkPkhlYWx0aCBTdXJ2ZXlzPC9rZXl3b3JkPjxrZXl3b3JkPkh1bWFuczwva2V5d29y
ZD48a2V5d29yZD5NYWxlPC9rZXl3b3JkPjxrZXl3b3JkPipNb3RpdmF0aW9uPC9rZXl3b3JkPjxr
ZXl3b3JkPlNtb2tlcnMvKnBzeWNob2xvZ3kvc3RhdGlzdGljcyAmYW1wOyBudW1lcmljYWwgZGF0
YTwva2V5d29yZD48a2V5d29yZD5TbW9raW5nLyplcGlkZW1pb2xvZ3kvKnBzeWNob2xvZ3k8L2tl
eXdvcmQ+PGtleXdvcmQ+VmFwaW5nLypwc3ljaG9sb2d5PC9rZXl3b3JkPjxrZXl3b3JkPllvdW5n
IEFkdWx0PC9rZXl3b3JkPjxrZXl3b3JkPipCYWx0aW1vcmU8L2tleXdvcmQ+PGtleXdvcmQ+KkVs
ZWN0cm9uaWMgY2lnYXJldHRlczwva2V5d29yZD48a2V5d29yZD4qTWFyeWxhbmQ8L2tleXdvcmQ+
PGtleXdvcmQ+KlByZWZlcmVuY2VzPC9rZXl3b3JkPjxrZXl3b3JkPipTbW9rZXJzPC9rZXl3b3Jk
PjxrZXl3b3JkPipTdXJ2ZXk8L2tleXdvcmQ+PGtleXdvcmQ+KlZhcG9yPC9rZXl3b3JkPjwva2V5
d29yZHM+PGRhdGVzPjx5ZWFyPjIwMTc8L3llYXI+PHB1Yi1kYXRlcz48ZGF0ZT5TZXAgODwvZGF0
ZT48L3B1Yi1kYXRlcz48L2RhdGVzPjxpc2JuPjE0NzEtMjQ1ODwvaXNibj48YWNjZXNzaW9uLW51
bT4yODg4MjEyMzwvYWNjZXNzaW9uLW51bT48dXJscz48cmVsYXRlZC11cmxzPjx1cmw+aHR0cHM6
Ly93d3cubmNiaS5ubG0ubmloLmdvdi9wbWMvYXJ0aWNsZXMvUE1DNTU5MDEyMy9wZGYvMTI4ODlf
MjAxN19BcnRpY2xlXzQ2NzEucGRmPC91cmw+PC9yZWxhdGVkLXVybHM+PC91cmxzPjxjdXN0b20y
PlBNQzU1OTAxMjM8L2N1c3RvbTI+PGVsZWN0cm9uaWMtcmVzb3VyY2UtbnVtPjEwLjExODYvczEy
ODg5LTAxNy00NjcxLTM8L2VsZWN0cm9uaWMtcmVzb3VyY2UtbnVtPjxyZW1vdGUtZGF0YWJhc2Ut
cHJvdmlkZXI+TkxNPC9yZW1vdGUtZGF0YWJhc2UtcHJvdmlkZXI+PGxhbmd1YWdlPmVuZzwvbGFu
Z3VhZ2U+PC9yZWNvcmQ+PC9DaXRlPjwvRW5kTm90ZT5=
</w:fldData>
        </w:fldChar>
      </w:r>
      <w:r w:rsidRPr="00892582">
        <w:instrText xml:space="preserve"> ADDIN EN.CITE.DATA </w:instrText>
      </w:r>
      <w:r w:rsidRPr="00892582">
        <w:fldChar w:fldCharType="end"/>
      </w:r>
      <w:r w:rsidRPr="00892582">
        <w:fldChar w:fldCharType="separate"/>
      </w:r>
      <w:r w:rsidRPr="00892582">
        <w:t>(Lee, Lin et al. 2017, Sussan, Shahzad et al. 2017)</w:t>
      </w:r>
      <w:r w:rsidRPr="00892582">
        <w:fldChar w:fldCharType="end"/>
      </w:r>
      <w:r w:rsidRPr="00892582">
        <w:t xml:space="preserve">. King et al’s </w:t>
      </w:r>
      <w:r w:rsidRPr="00892582">
        <w:fldChar w:fldCharType="begin">
          <w:fldData xml:space="preserve">PEVuZE5vdGU+PENpdGU+PEF1dGhvcj5LaW5nPC9BdXRob3I+PFllYXI+MjAxODwvWWVhcj48UmVj
TnVtPjQ4NjM8L1JlY051bT48RGlzcGxheVRleHQ+KEtpbmcsIFJlYm91c3NpbiBldCBhbC4gMjAx
OCk8L0Rpc3BsYXlUZXh0PjxyZWNvcmQ+PHJlYy1udW1iZXI+NDg2MzwvcmVjLW51bWJlcj48Zm9y
ZWlnbi1rZXlzPjxrZXkgYXBwPSJFTiIgZGItaWQ9ImZwdDlwdHRybTV6ZnNhZXNwOWZwc2RkdjA5
ZXdzdjV4ZXdmZCIgdGltZXN0YW1wPSIxNTI1MDQ1NjIwIj40ODYzPC9rZXk+PC9mb3JlaWduLWtl
eXM+PHJlZi10eXBlIG5hbWU9IkpvdXJuYWwgQXJ0aWNsZSI+MTc8L3JlZi10eXBlPjxjb250cmli
dXRvcnM+PGF1dGhvcnM+PGF1dGhvcj5LaW5nLCBKLiBMLjwvYXV0aG9yPjxhdXRob3I+UmVib3Vz
c2luLCBCLiBBLjwvYXV0aG9yPjxhdXRob3I+U3BhbmdsZXIsIEouPC9hdXRob3I+PGF1dGhvcj5D
b3JuYWNjaGlvbmUgUm9zcywgSi48L2F1dGhvcj48YXV0aG9yPlN1dGZpbiwgRS4gTC48L2F1dGhv
cj48L2F1dGhvcnM+PC9jb250cmlidXRvcnM+PGF1dGgtYWRkcmVzcz5XYWtlIEZvcmVzdCBTY2hv
b2wgb2YgTWVkaWNpbmUsIE1lZGljYWwgQ2VudGVyIEJvdWxldmFyZCwgV2luc3Rvbi1TYWxlbSwg
TkMgMjcxNTcsIFVuaXRlZCBTdGF0ZXMuIEVsZWN0cm9uaWMgYWRkcmVzczogamxraW5nQHdha2Vo
ZWFsdGguZWR1LiYjeEQ7V2FrZSBGb3Jlc3QgU2Nob29sIG9mIE1lZGljaW5lLCBNZWRpY2FsIENl
bnRlciBCb3VsZXZhcmQsIFdpbnN0b24tU2FsZW0sIE5DIDI3MTU3LCBVbml0ZWQgU3RhdGVzLiBF
bGVjdHJvbmljIGFkZHJlc3M6IGJyZWJvdXNzQHdha2VoZWFsdGguZWR1LiYjeEQ7V2FrZSBGb3Jl
c3QgU2Nob29sIG9mIE1lZGljaW5lLCBNZWRpY2FsIENlbnRlciBCb3VsZXZhcmQsIFdpbnN0b24t
U2FsZW0sIE5DIDI3MTU3LCBVbml0ZWQgU3RhdGVzLiBFbGVjdHJvbmljIGFkZHJlc3M6IGpzcGFu
Z2xlQHdha2VoZWFsdGguZWR1LiYjeEQ7V2FrZSBGb3Jlc3QgU2Nob29sIG9mIE1lZGljaW5lLCBN
ZWRpY2FsIENlbnRlciBCb3VsZXZhcmQsIFdpbnN0b24tU2FsZW0sIE5DIDI3MTU3LCBVbml0ZWQg
U3RhdGVzLiBFbGVjdHJvbmljIGFkZHJlc3M6IGpjb3JuYWNjQHdha2VoZWFsdGguZWR1LiYjeEQ7
V2FrZSBGb3Jlc3QgU2Nob29sIG9mIE1lZGljaW5lLCBNZWRpY2FsIENlbnRlciBCb3VsZXZhcmQs
IFdpbnN0b24tU2FsZW0sIE5DIDI3MTU3LCBVbml0ZWQgU3RhdGVzLiBFbGVjdHJvbmljIGFkZHJl
c3M6IGVzdXRmaW5Ad2FrZWhlYWx0aC5lZHUuPC9hdXRoLWFkZHJlc3M+PHRpdGxlcz48dGl0bGU+
VG9iYWNjbyBwcm9kdWN0IHVzZSBhbmQgbWVudGFsIGhlYWx0aCBzdGF0dXMgYW1vbmcgeW91bmcg
YWR1bHRzPC90aXRsZT48c2Vjb25kYXJ5LXRpdGxlPkFkZGljdCBCZWhhdjwvc2Vjb25kYXJ5LXRp
dGxlPjxhbHQtdGl0bGU+QWRkaWN0aXZlIGJlaGF2aW9yczwvYWx0LXRpdGxlPjwvdGl0bGVzPjxh
bHQtcGVyaW9kaWNhbD48ZnVsbC10aXRsZT5BZGRpY3RpdmUgQmVoYXZpb3JzPC9mdWxsLXRpdGxl
PjwvYWx0LXBlcmlvZGljYWw+PHBhZ2VzPjY3LTcyPC9wYWdlcz48dm9sdW1lPjc3PC92b2x1bWU+
PGVkaXRpb24+MjAxNy8xMC8wMjwvZWRpdGlvbj48a2V5d29yZHM+PGtleXdvcmQ+Q29sbGVnZSBz
dHVkZW50czwva2V5d29yZD48a2V5d29yZD5NZW50YWwgaGVhbHRoPC9rZXl3b3JkPjxrZXl3b3Jk
PlNtb2tpbmc8L2tleXdvcmQ+PGtleXdvcmQ+VG9iYWNjbyB1c2U8L2tleXdvcmQ+PC9rZXl3b3Jk
cz48ZGF0ZXM+PHllYXI+MjAxODwveWVhcj48cHViLWRhdGVzPjxkYXRlPkZlYjwvZGF0ZT48L3B1
Yi1kYXRlcz48L2RhdGVzPjxpc2JuPjAzMDYtNDYwMzwvaXNibj48YWNjZXNzaW9uLW51bT4yODk2
NTA2OTwvYWNjZXNzaW9uLW51bT48dXJscz48cmVsYXRlZC11cmxzPjx1cmw+aHR0cHM6Ly93d3cu
c2NpZW5jZWRpcmVjdC5jb20vc2NpZW5jZS9hcnRpY2xlL3BpaS9TMDMwNjQ2MDMxNzMwMzU3WD92
aWElM0RpaHViPC91cmw+PC9yZWxhdGVkLXVybHM+PC91cmxzPjxjdXN0b20yPlBNQzU3MDE4NzI8
L2N1c3RvbTI+PGN1c3RvbTY+TklITVM5MTAwMTY8L2N1c3RvbTY+PGVsZWN0cm9uaWMtcmVzb3Vy
Y2UtbnVtPjEwLjEwMTYvai5hZGRiZWguMjAxNy4wOS4wMTI8L2VsZWN0cm9uaWMtcmVzb3VyY2Ut
bnVtPjxyZW1vdGUtZGF0YWJhc2UtcHJvdmlkZXI+TkxNPC9yZW1vdGUtZGF0YWJhc2UtcHJvdmlk
ZXI+PGxhbmd1YWdlPmVuZzwvbGFuZ3VhZ2U+PC9yZWNvcmQ+PC9DaXRlPjwvRW5kTm90ZT5=
</w:fldData>
        </w:fldChar>
      </w:r>
      <w:r w:rsidRPr="00892582">
        <w:instrText xml:space="preserve"> ADDIN EN.CITE </w:instrText>
      </w:r>
      <w:r w:rsidRPr="00892582">
        <w:fldChar w:fldCharType="begin">
          <w:fldData xml:space="preserve">PEVuZE5vdGU+PENpdGU+PEF1dGhvcj5LaW5nPC9BdXRob3I+PFllYXI+MjAxODwvWWVhcj48UmVj
TnVtPjQ4NjM8L1JlY051bT48RGlzcGxheVRleHQ+KEtpbmcsIFJlYm91c3NpbiBldCBhbC4gMjAx
OCk8L0Rpc3BsYXlUZXh0PjxyZWNvcmQ+PHJlYy1udW1iZXI+NDg2MzwvcmVjLW51bWJlcj48Zm9y
ZWlnbi1rZXlzPjxrZXkgYXBwPSJFTiIgZGItaWQ9ImZwdDlwdHRybTV6ZnNhZXNwOWZwc2RkdjA5
ZXdzdjV4ZXdmZCIgdGltZXN0YW1wPSIxNTI1MDQ1NjIwIj40ODYzPC9rZXk+PC9mb3JlaWduLWtl
eXM+PHJlZi10eXBlIG5hbWU9IkpvdXJuYWwgQXJ0aWNsZSI+MTc8L3JlZi10eXBlPjxjb250cmli
dXRvcnM+PGF1dGhvcnM+PGF1dGhvcj5LaW5nLCBKLiBMLjwvYXV0aG9yPjxhdXRob3I+UmVib3Vz
c2luLCBCLiBBLjwvYXV0aG9yPjxhdXRob3I+U3BhbmdsZXIsIEouPC9hdXRob3I+PGF1dGhvcj5D
b3JuYWNjaGlvbmUgUm9zcywgSi48L2F1dGhvcj48YXV0aG9yPlN1dGZpbiwgRS4gTC48L2F1dGhv
cj48L2F1dGhvcnM+PC9jb250cmlidXRvcnM+PGF1dGgtYWRkcmVzcz5XYWtlIEZvcmVzdCBTY2hv
b2wgb2YgTWVkaWNpbmUsIE1lZGljYWwgQ2VudGVyIEJvdWxldmFyZCwgV2luc3Rvbi1TYWxlbSwg
TkMgMjcxNTcsIFVuaXRlZCBTdGF0ZXMuIEVsZWN0cm9uaWMgYWRkcmVzczogamxraW5nQHdha2Vo
ZWFsdGguZWR1LiYjeEQ7V2FrZSBGb3Jlc3QgU2Nob29sIG9mIE1lZGljaW5lLCBNZWRpY2FsIENl
bnRlciBCb3VsZXZhcmQsIFdpbnN0b24tU2FsZW0sIE5DIDI3MTU3LCBVbml0ZWQgU3RhdGVzLiBF
bGVjdHJvbmljIGFkZHJlc3M6IGJyZWJvdXNzQHdha2VoZWFsdGguZWR1LiYjeEQ7V2FrZSBGb3Jl
c3QgU2Nob29sIG9mIE1lZGljaW5lLCBNZWRpY2FsIENlbnRlciBCb3VsZXZhcmQsIFdpbnN0b24t
U2FsZW0sIE5DIDI3MTU3LCBVbml0ZWQgU3RhdGVzLiBFbGVjdHJvbmljIGFkZHJlc3M6IGpzcGFu
Z2xlQHdha2VoZWFsdGguZWR1LiYjeEQ7V2FrZSBGb3Jlc3QgU2Nob29sIG9mIE1lZGljaW5lLCBN
ZWRpY2FsIENlbnRlciBCb3VsZXZhcmQsIFdpbnN0b24tU2FsZW0sIE5DIDI3MTU3LCBVbml0ZWQg
U3RhdGVzLiBFbGVjdHJvbmljIGFkZHJlc3M6IGpjb3JuYWNjQHdha2VoZWFsdGguZWR1LiYjeEQ7
V2FrZSBGb3Jlc3QgU2Nob29sIG9mIE1lZGljaW5lLCBNZWRpY2FsIENlbnRlciBCb3VsZXZhcmQs
IFdpbnN0b24tU2FsZW0sIE5DIDI3MTU3LCBVbml0ZWQgU3RhdGVzLiBFbGVjdHJvbmljIGFkZHJl
c3M6IGVzdXRmaW5Ad2FrZWhlYWx0aC5lZHUuPC9hdXRoLWFkZHJlc3M+PHRpdGxlcz48dGl0bGU+
VG9iYWNjbyBwcm9kdWN0IHVzZSBhbmQgbWVudGFsIGhlYWx0aCBzdGF0dXMgYW1vbmcgeW91bmcg
YWR1bHRzPC90aXRsZT48c2Vjb25kYXJ5LXRpdGxlPkFkZGljdCBCZWhhdjwvc2Vjb25kYXJ5LXRp
dGxlPjxhbHQtdGl0bGU+QWRkaWN0aXZlIGJlaGF2aW9yczwvYWx0LXRpdGxlPjwvdGl0bGVzPjxh
bHQtcGVyaW9kaWNhbD48ZnVsbC10aXRsZT5BZGRpY3RpdmUgQmVoYXZpb3JzPC9mdWxsLXRpdGxl
PjwvYWx0LXBlcmlvZGljYWw+PHBhZ2VzPjY3LTcyPC9wYWdlcz48dm9sdW1lPjc3PC92b2x1bWU+
PGVkaXRpb24+MjAxNy8xMC8wMjwvZWRpdGlvbj48a2V5d29yZHM+PGtleXdvcmQ+Q29sbGVnZSBz
dHVkZW50czwva2V5d29yZD48a2V5d29yZD5NZW50YWwgaGVhbHRoPC9rZXl3b3JkPjxrZXl3b3Jk
PlNtb2tpbmc8L2tleXdvcmQ+PGtleXdvcmQ+VG9iYWNjbyB1c2U8L2tleXdvcmQ+PC9rZXl3b3Jk
cz48ZGF0ZXM+PHllYXI+MjAxODwveWVhcj48cHViLWRhdGVzPjxkYXRlPkZlYjwvZGF0ZT48L3B1
Yi1kYXRlcz48L2RhdGVzPjxpc2JuPjAzMDYtNDYwMzwvaXNibj48YWNjZXNzaW9uLW51bT4yODk2
NTA2OTwvYWNjZXNzaW9uLW51bT48dXJscz48cmVsYXRlZC11cmxzPjx1cmw+aHR0cHM6Ly93d3cu
c2NpZW5jZWRpcmVjdC5jb20vc2NpZW5jZS9hcnRpY2xlL3BpaS9TMDMwNjQ2MDMxNzMwMzU3WD92
aWElM0RpaHViPC91cmw+PC9yZWxhdGVkLXVybHM+PC91cmxzPjxjdXN0b20yPlBNQzU3MDE4NzI8
L2N1c3RvbTI+PGN1c3RvbTY+TklITVM5MTAwMTY8L2N1c3RvbTY+PGVsZWN0cm9uaWMtcmVzb3Vy
Y2UtbnVtPjEwLjEwMTYvai5hZGRiZWguMjAxNy4wOS4wMTI8L2VsZWN0cm9uaWMtcmVzb3VyY2Ut
bnVtPjxyZW1vdGUtZGF0YWJhc2UtcHJvdmlkZXI+TkxNPC9yZW1vdGUtZGF0YWJhc2UtcHJvdmlk
ZXI+PGxhbmd1YWdlPmVuZzwvbGFuZ3VhZ2U+PC9yZWNvcmQ+PC9DaXRlPjwvRW5kTm90ZT5=
</w:fldData>
        </w:fldChar>
      </w:r>
      <w:r w:rsidRPr="00892582">
        <w:instrText xml:space="preserve"> ADDIN EN.CITE.DATA </w:instrText>
      </w:r>
      <w:r w:rsidRPr="00892582">
        <w:fldChar w:fldCharType="end"/>
      </w:r>
      <w:r w:rsidRPr="00892582">
        <w:fldChar w:fldCharType="separate"/>
      </w:r>
      <w:r w:rsidRPr="00892582">
        <w:t>(King, Reboussin et al. 2018)</w:t>
      </w:r>
      <w:r w:rsidRPr="00892582">
        <w:fldChar w:fldCharType="end"/>
      </w:r>
      <w:r w:rsidRPr="00892582">
        <w:t xml:space="preserve"> observations based on 2,370 college students were slightly different to those previous reported for mental health. They suggested that stress and depression predicted </w:t>
      </w:r>
      <w:r>
        <w:t>e</w:t>
      </w:r>
      <w:r>
        <w:noBreakHyphen/>
        <w:t>cig</w:t>
      </w:r>
      <w:r w:rsidRPr="00892582">
        <w:t xml:space="preserve">arette use but that mental health diagnosis did not. Morean et al’s </w:t>
      </w:r>
      <w:r w:rsidRPr="00892582">
        <w:fldChar w:fldCharType="begin"/>
      </w:r>
      <w:r w:rsidRPr="00892582">
        <w:instrText xml:space="preserve"> ADDIN EN.CITE &lt;EndNote&gt;&lt;Cite&gt;&lt;Author&gt;Morean&lt;/Author&gt;&lt;Year&gt;2018&lt;/Year&gt;&lt;RecNum&gt;4806&lt;/RecNum&gt;&lt;DisplayText&gt;(Morean and L&amp;apos;Insalata 2018)&lt;/DisplayText&gt;&lt;record&gt;&lt;rec-number&gt;4806&lt;/rec-number&gt;&lt;foreign-keys&gt;&lt;key app="EN" db-id="fpt9pttrm5zfsaesp9fpsddv09ewsv5xewfd" timestamp="1525045528"&gt;4806&lt;/key&gt;&lt;key app="ENWeb" db-id=""&gt;0&lt;/key&gt;&lt;/foreign-keys&gt;&lt;ref-type name="Journal Article"&gt;17&lt;/ref-type&gt;&lt;contributors&gt;&lt;authors&gt;&lt;author&gt;Morean, M. E.&lt;/author&gt;&lt;author&gt;L&amp;apos;Insalata, A.&lt;/author&gt;&lt;/authors&gt;&lt;/contributors&gt;&lt;auth-address&gt;Department of Psychology, Oberlin College, 120 W Lorain St. Oberlin, Ohio.&amp;#xD;Department of Psychiatry, Yale School of Medicine, 34 Park St., New Haven, Connecticut.&lt;/auth-address&gt;&lt;titles&gt;&lt;title&gt;Electronic cigarette use among individuals with a self-reported eating disorder diagnosis&lt;/title&gt;&lt;secondary-title&gt;Int J Eat Disord&lt;/secondary-title&gt;&lt;alt-title&gt;The International journal of eating disorders&lt;/alt-title&gt;&lt;/titles&gt;&lt;periodical&gt;&lt;full-title&gt;Int J Eat Disord&lt;/full-title&gt;&lt;abbr-1&gt;The International journal of eating disorders&lt;/abbr-1&gt;&lt;/periodical&gt;&lt;alt-periodical&gt;&lt;full-title&gt;Int J Eat Disord&lt;/full-title&gt;&lt;abbr-1&gt;The International journal of eating disorders&lt;/abbr-1&gt;&lt;/alt-periodical&gt;&lt;pages&gt;77-81&lt;/pages&gt;&lt;volume&gt;51&lt;/volume&gt;&lt;number&gt;1&lt;/number&gt;&lt;edition&gt;2017/10/28&lt;/edition&gt;&lt;keywords&gt;&lt;keyword&gt;electronic cigarettes&lt;/keyword&gt;&lt;keyword&gt;feeding and eating disorders&lt;/keyword&gt;&lt;keyword&gt;survey methods&lt;/keyword&gt;&lt;/keywords&gt;&lt;dates&gt;&lt;year&gt;2018&lt;/year&gt;&lt;pub-dates&gt;&lt;date&gt;Jan&lt;/date&gt;&lt;/pub-dates&gt;&lt;/dates&gt;&lt;isbn&gt;0276-3478&lt;/isbn&gt;&lt;accession-num&gt;29076176&lt;/accession-num&gt;&lt;urls&gt;&lt;related-urls&gt;&lt;url&gt;https://onlinelibrary.wiley.com/doi/pdf/10.1002/eat.22793&lt;/url&gt;&lt;/related-urls&gt;&lt;/urls&gt;&lt;electronic-resource-num&gt;10.1002/eat.22793&lt;/electronic-resource-num&gt;&lt;remote-database-provider&gt;NLM&lt;/remote-database-provider&gt;&lt;language&gt;eng&lt;/language&gt;&lt;/record&gt;&lt;/Cite&gt;&lt;/EndNote&gt;</w:instrText>
      </w:r>
      <w:r w:rsidRPr="00892582">
        <w:fldChar w:fldCharType="separate"/>
      </w:r>
      <w:r w:rsidRPr="00892582">
        <w:t>(Morean and L'Insalata 2018)</w:t>
      </w:r>
      <w:r w:rsidRPr="00892582">
        <w:fldChar w:fldCharType="end"/>
      </w:r>
      <w:r w:rsidRPr="00892582">
        <w:t xml:space="preserve"> observations of </w:t>
      </w:r>
      <w:r>
        <w:t>e</w:t>
      </w:r>
      <w:r>
        <w:noBreakHyphen/>
        <w:t>cig</w:t>
      </w:r>
      <w:r w:rsidRPr="00892582">
        <w:t xml:space="preserve">arette use in those with eating disorders suggested that </w:t>
      </w:r>
      <w:r>
        <w:t>e</w:t>
      </w:r>
      <w:r>
        <w:noBreakHyphen/>
        <w:t>cig</w:t>
      </w:r>
      <w:r w:rsidRPr="00892582">
        <w:t xml:space="preserve">arettes were more likely to vape. Motivations and the way in which vaping was done reflected behaviours generally associated with disordered eating which may suggest that these people use </w:t>
      </w:r>
      <w:r>
        <w:t>e</w:t>
      </w:r>
      <w:r>
        <w:noBreakHyphen/>
        <w:t>cig</w:t>
      </w:r>
      <w:r w:rsidRPr="00892582">
        <w:t>arettes to extend their problematic behaviours.</w:t>
      </w:r>
    </w:p>
    <w:p w14:paraId="149E89A7" w14:textId="77777777" w:rsidR="00E53F6C" w:rsidRDefault="00E53F6C" w:rsidP="002E3AED">
      <w:pPr>
        <w:pStyle w:val="BodyText"/>
      </w:pPr>
    </w:p>
    <w:p w14:paraId="211377A7" w14:textId="77777777" w:rsidR="00E53F6C" w:rsidRDefault="00E53F6C" w:rsidP="00E53F6C">
      <w:pPr>
        <w:pStyle w:val="Heading2"/>
        <w:ind w:left="1134" w:hanging="1134"/>
        <w:rPr>
          <w:rFonts w:eastAsia="Times New Roman"/>
        </w:rPr>
      </w:pPr>
      <w:bookmarkStart w:id="310" w:name="_Toc517706740"/>
      <w:bookmarkStart w:id="311" w:name="_Toc514669957"/>
      <w:bookmarkStart w:id="312" w:name="_Toc515893208"/>
      <w:r>
        <w:rPr>
          <w:rFonts w:eastAsia="Times New Roman"/>
        </w:rPr>
        <w:t>Gender/sexuality minorities</w:t>
      </w:r>
      <w:bookmarkEnd w:id="310"/>
      <w:r>
        <w:rPr>
          <w:rFonts w:eastAsia="Times New Roman"/>
        </w:rPr>
        <w:t xml:space="preserve"> </w:t>
      </w:r>
      <w:bookmarkEnd w:id="311"/>
      <w:bookmarkEnd w:id="312"/>
    </w:p>
    <w:p w14:paraId="02E20D0D" w14:textId="77777777" w:rsidR="00E53F6C" w:rsidRDefault="00E53F6C" w:rsidP="00E53F6C">
      <w:pPr>
        <w:pStyle w:val="BodyText"/>
      </w:pPr>
      <w:r>
        <w:t>Eleven papers had a focus on understanding e</w:t>
      </w:r>
      <w:r>
        <w:noBreakHyphen/>
        <w:t xml:space="preserve">cigarette, or more widely, tobacco product use in sexual orientation or gender minorities of youth and adults (Tables </w:t>
      </w:r>
      <w:r w:rsidR="005D4809">
        <w:t>40</w:t>
      </w:r>
      <w:r>
        <w:t xml:space="preserve"> and </w:t>
      </w:r>
      <w:r w:rsidR="005D4809">
        <w:t>4</w:t>
      </w:r>
      <w:r>
        <w:t xml:space="preserve">1). These papers were exclusively from US Samples. These papers reported on large national datasets of over 300,000 students </w:t>
      </w:r>
      <w:r>
        <w:fldChar w:fldCharType="begin">
          <w:fldData xml:space="preserve">PEVuZE5vdGU+PENpdGU+PEF1dGhvcj5Db3VsdGVyPC9BdXRob3I+PFllYXI+MjAxNzwvWWVhcj48
UmVjTnVtPjQ3MTM8L1JlY051bT48RGlzcGxheVRleHQ+KENvdWx0ZXIsIEJlcnNhbWluIGV0IGFs
LiAyMDE3KTwvRGlzcGxheVRleHQ+PHJlY29yZD48cmVjLW51bWJlcj40NzEzPC9yZWMtbnVtYmVy
Pjxmb3JlaWduLWtleXM+PGtleSBhcHA9IkVOIiBkYi1pZD0iZnB0OXB0dHJtNXpmc2Flc3A5ZnBz
ZGR2MDlld3N2NXhld2ZkIiB0aW1lc3RhbXA9IjE1MjUwNDUzNjMiPjQ3MTM8L2tleT48a2V5IGFw
cD0iRU5XZWIiIGRiLWlkPSIiPjA8L2tleT48L2ZvcmVpZ24ta2V5cz48cmVmLXR5cGUgbmFtZT0i
Sm91cm5hbCBBcnRpY2xlIj4xNzwvcmVmLXR5cGU+PGNvbnRyaWJ1dG9ycz48YXV0aG9ycz48YXV0
aG9yPkNvdWx0ZXIsIFIuIFcuIFMuPC9hdXRob3I+PGF1dGhvcj5CZXJzYW1pbiwgTS48L2F1dGhv
cj48YXV0aG9yPlJ1c3NlbGwsIFMuIFQuPC9hdXRob3I+PGF1dGhvcj5NYWlyLCBDLjwvYXV0aG9y
PjwvYXV0aG9ycz48L2NvbnRyaWJ1dG9ycz48YXV0aC1hZGRyZXNzPkRlcGFydG1lbnQgb2YgQmVo
YXZpb3JhbCBhbmQgQ29tbXVuaXR5IEhlYWx0aCBTY2llbmNlcywgR3JhZHVhdGUgU2Nob29sIG9m
IFB1YmxpYyBIZWFsdGgsIFVuaXZlcnNpdHkgb2YgUGl0dHNidXJnaCwgUGl0dHNidXJnaCwgUGVu
bnN5bHZhbmlhOyBDZW50ZXIgZm9yIExHQlQgSGVhbHRoIFJlc2VhcmNoLCBHcmFkdWF0ZSBTY2hv
b2wgb2YgUHVibGljIEhlYWx0aCwgVW5pdmVyc2l0eSBvZiBQaXR0c2J1cmdoLCBQaXR0c2J1cmdo
LCBQZW5uc3lsdmFuaWE7IENsaW5pY2FsIGFuZCBUcmFuc2xhdGlvbmFsIFNjaWVuY2UgSW5zdGl0
dXRlLCBTY2hvb2wgb2YgTWVkaWNpbmUsIFVuaXZlcnNpdHkgb2YgUGl0dHNidXJnaCwgUGl0dHNi
dXJnaCwgUGVubnN5bHZhbmlhOyBEaXZpc2lvbiBvZiBBZG9sZXNjZW50IGFuZCBZb3VuZyBBZHVs
dCBNZWRpY2luZSwgQ2hpbGRyZW4mYXBvcztzIEhvc3BpdGFsIG9mIFBpdHRzYnVyZ2ggb2YgVVBN
QywgUGl0dHNidXJnaCwgUGVubnN5bHZhbmlhLiBFbGVjdHJvbmljIGFkZHJlc3M6IHJvYmVydC53
cy5jb3VsdGVyQHBpdHQuZWR1LiYjeEQ7UHJldmVudGlvbiBSZXNlYXJjaCBDZW50ZXIsIFBhY2lm
aWMgSW5zdGl0dXRlIGZvciBSZXNlYXJjaCBhbmQgRXZhbHVhdGlvbiwgT2FrbGFuZCwgQ2FsaWZv
cm5pYS4mI3hEO0RlcGFydG1lbnQgb2YgSHVtYW4gRGV2ZWxvcG1lbnQgYW5kIEZhbWlseSBTY2ll
bmNlcywgUG9wdWxhdGlvbiBSZXNlYXJjaCBDZW50ZXIsIFVuaXZlcnNpdHkgb2YgVGV4YXMgYXQg
QXVzdGluLCBBdXN0aW4sIFRleGFzLiYjeEQ7RGVwYXJ0bWVudCBvZiBCZWhhdmlvcmFsIGFuZCBD
b21tdW5pdHkgSGVhbHRoIFNjaWVuY2VzLCBHcmFkdWF0ZSBTY2hvb2wgb2YgUHVibGljIEhlYWx0
aCwgVW5pdmVyc2l0eSBvZiBQaXR0c2J1cmdoLCBQaXR0c2J1cmdoLCBQZW5uc3lsdmFuaWEuPC9h
dXRoLWFkZHJlc3M+PHRpdGxlcz48dGl0bGU+VGhlIEVmZmVjdHMgb2YgR2VuZGVyLSBhbmQgU2V4
dWFsaXR5LUJhc2VkIEhhcmFzc21lbnQgb24gTGVzYmlhbiwgR2F5LCBCaXNleHVhbCwgYW5kIFRy
YW5zZ2VuZGVyIFN1YnN0YW5jZSBVc2UgRGlzcGFyaXRpZXM8L3RpdGxlPjxzZWNvbmRhcnktdGl0
bGU+SiBBZG9sZXNjIEhlYWx0aDwvc2Vjb25kYXJ5LXRpdGxlPjxhbHQtdGl0bGU+VGhlIEpvdXJu
YWwgb2YgYWRvbGVzY2VudCBoZWFsdGggOiBvZmZpY2lhbCBwdWJsaWNhdGlvbiBvZiB0aGUgU29j
aWV0eSBmb3IgQWRvbGVzY2VudCBNZWRpY2luZTwvYWx0LXRpdGxlPjwvdGl0bGVzPjxwZXJpb2Rp
Y2FsPjxmdWxsLXRpdGxlPkogQWRvbGVzYyBIZWFsdGg8L2Z1bGwtdGl0bGU+PGFiYnItMT5UaGUg
Sm91cm5hbCBvZiBhZG9sZXNjZW50IGhlYWx0aCA6IG9mZmljaWFsIHB1YmxpY2F0aW9uIG9mIHRo
ZSBTb2NpZXR5IGZvciBBZG9sZXNjZW50IE1lZGljaW5lPC9hYmJyLTE+PC9wZXJpb2RpY2FsPjxh
bHQtcGVyaW9kaWNhbD48ZnVsbC10aXRsZT5KIEFkb2xlc2MgSGVhbHRoPC9mdWxsLXRpdGxlPjxh
YmJyLTE+VGhlIEpvdXJuYWwgb2YgYWRvbGVzY2VudCBoZWFsdGggOiBvZmZpY2lhbCBwdWJsaWNh
dGlvbiBvZiB0aGUgU29jaWV0eSBmb3IgQWRvbGVzY2VudCBNZWRpY2luZTwvYWJici0xPjwvYWx0
LXBlcmlvZGljYWw+PGVkaXRpb24+MjAxNy8xMi8xNjwvZWRpdGlvbj48a2V5d29yZHM+PGtleXdv
cmQ+QWxjb2hvbCB1c2U8L2tleXdvcmQ+PGtleXdvcmQ+Q2lnYXJldHRlIHVzZTwva2V5d29yZD48
a2V5d29yZD5FbGVjdHJvbmljIGNpZ2FyZXR0ZSB1c2U8L2tleXdvcmQ+PGtleXdvcmQ+SGFyYXNz
bWVudDwva2V5d29yZD48a2V5d29yZD5MZXNiaWFuLCBnYXksIGJpc2V4dWFsLCBhbmQgdHJhbnNn
ZW5kZXI8L2tleXdvcmQ+PC9rZXl3b3Jkcz48ZGF0ZXM+PHllYXI+MjAxNzwveWVhcj48cHViLWRh
dGVzPjxkYXRlPkRlYyAxMTwvZGF0ZT48L3B1Yi1kYXRlcz48L2RhdGVzPjxpc2JuPjEwNTQtMTM5
eDwvaXNibj48YWNjZXNzaW9uLW51bT4yOTI0MTk4NjwvYWNjZXNzaW9uLW51bT48dXJscz48cmVs
YXRlZC11cmxzPjx1cmw+aHR0cDovL3d3dy5qYWhvbmxpbmUub3JnL2FydGljbGUvUzEwNTQtMTM5
WCgxNykzMDUwMC0xL3BkZjwvdXJsPjwvcmVsYXRlZC11cmxzPjwvdXJscz48ZWxlY3Ryb25pYy1y
ZXNvdXJjZS1udW0+MTAuMTAxNi9qLmphZG9oZWFsdGguMjAxNy4xMC4wMDQ8L2VsZWN0cm9uaWMt
cmVzb3VyY2UtbnVtPjxyZW1vdGUtZGF0YWJhc2UtcHJvdmlkZXI+TkxNPC9yZW1vdGUtZGF0YWJh
c2UtcHJvdmlkZXI+PGxhbmd1YWdlPmVuZzwvbGFuZ3VhZ2U+PC9yZWNvcmQ+PC9DaXRlPjwvRW5k
Tm90ZT4A
</w:fldData>
        </w:fldChar>
      </w:r>
      <w:r>
        <w:instrText xml:space="preserve"> ADDIN EN.CITE </w:instrText>
      </w:r>
      <w:r>
        <w:fldChar w:fldCharType="begin">
          <w:fldData xml:space="preserve">PEVuZE5vdGU+PENpdGU+PEF1dGhvcj5Db3VsdGVyPC9BdXRob3I+PFllYXI+MjAxNzwvWWVhcj48
UmVjTnVtPjQ3MTM8L1JlY051bT48RGlzcGxheVRleHQ+KENvdWx0ZXIsIEJlcnNhbWluIGV0IGFs
LiAyMDE3KTwvRGlzcGxheVRleHQ+PHJlY29yZD48cmVjLW51bWJlcj40NzEzPC9yZWMtbnVtYmVy
Pjxmb3JlaWduLWtleXM+PGtleSBhcHA9IkVOIiBkYi1pZD0iZnB0OXB0dHJtNXpmc2Flc3A5ZnBz
ZGR2MDlld3N2NXhld2ZkIiB0aW1lc3RhbXA9IjE1MjUwNDUzNjMiPjQ3MTM8L2tleT48a2V5IGFw
cD0iRU5XZWIiIGRiLWlkPSIiPjA8L2tleT48L2ZvcmVpZ24ta2V5cz48cmVmLXR5cGUgbmFtZT0i
Sm91cm5hbCBBcnRpY2xlIj4xNzwvcmVmLXR5cGU+PGNvbnRyaWJ1dG9ycz48YXV0aG9ycz48YXV0
aG9yPkNvdWx0ZXIsIFIuIFcuIFMuPC9hdXRob3I+PGF1dGhvcj5CZXJzYW1pbiwgTS48L2F1dGhv
cj48YXV0aG9yPlJ1c3NlbGwsIFMuIFQuPC9hdXRob3I+PGF1dGhvcj5NYWlyLCBDLjwvYXV0aG9y
PjwvYXV0aG9ycz48L2NvbnRyaWJ1dG9ycz48YXV0aC1hZGRyZXNzPkRlcGFydG1lbnQgb2YgQmVo
YXZpb3JhbCBhbmQgQ29tbXVuaXR5IEhlYWx0aCBTY2llbmNlcywgR3JhZHVhdGUgU2Nob29sIG9m
IFB1YmxpYyBIZWFsdGgsIFVuaXZlcnNpdHkgb2YgUGl0dHNidXJnaCwgUGl0dHNidXJnaCwgUGVu
bnN5bHZhbmlhOyBDZW50ZXIgZm9yIExHQlQgSGVhbHRoIFJlc2VhcmNoLCBHcmFkdWF0ZSBTY2hv
b2wgb2YgUHVibGljIEhlYWx0aCwgVW5pdmVyc2l0eSBvZiBQaXR0c2J1cmdoLCBQaXR0c2J1cmdo
LCBQZW5uc3lsdmFuaWE7IENsaW5pY2FsIGFuZCBUcmFuc2xhdGlvbmFsIFNjaWVuY2UgSW5zdGl0
dXRlLCBTY2hvb2wgb2YgTWVkaWNpbmUsIFVuaXZlcnNpdHkgb2YgUGl0dHNidXJnaCwgUGl0dHNi
dXJnaCwgUGVubnN5bHZhbmlhOyBEaXZpc2lvbiBvZiBBZG9sZXNjZW50IGFuZCBZb3VuZyBBZHVs
dCBNZWRpY2luZSwgQ2hpbGRyZW4mYXBvcztzIEhvc3BpdGFsIG9mIFBpdHRzYnVyZ2ggb2YgVVBN
QywgUGl0dHNidXJnaCwgUGVubnN5bHZhbmlhLiBFbGVjdHJvbmljIGFkZHJlc3M6IHJvYmVydC53
cy5jb3VsdGVyQHBpdHQuZWR1LiYjeEQ7UHJldmVudGlvbiBSZXNlYXJjaCBDZW50ZXIsIFBhY2lm
aWMgSW5zdGl0dXRlIGZvciBSZXNlYXJjaCBhbmQgRXZhbHVhdGlvbiwgT2FrbGFuZCwgQ2FsaWZv
cm5pYS4mI3hEO0RlcGFydG1lbnQgb2YgSHVtYW4gRGV2ZWxvcG1lbnQgYW5kIEZhbWlseSBTY2ll
bmNlcywgUG9wdWxhdGlvbiBSZXNlYXJjaCBDZW50ZXIsIFVuaXZlcnNpdHkgb2YgVGV4YXMgYXQg
QXVzdGluLCBBdXN0aW4sIFRleGFzLiYjeEQ7RGVwYXJ0bWVudCBvZiBCZWhhdmlvcmFsIGFuZCBD
b21tdW5pdHkgSGVhbHRoIFNjaWVuY2VzLCBHcmFkdWF0ZSBTY2hvb2wgb2YgUHVibGljIEhlYWx0
aCwgVW5pdmVyc2l0eSBvZiBQaXR0c2J1cmdoLCBQaXR0c2J1cmdoLCBQZW5uc3lsdmFuaWEuPC9h
dXRoLWFkZHJlc3M+PHRpdGxlcz48dGl0bGU+VGhlIEVmZmVjdHMgb2YgR2VuZGVyLSBhbmQgU2V4
dWFsaXR5LUJhc2VkIEhhcmFzc21lbnQgb24gTGVzYmlhbiwgR2F5LCBCaXNleHVhbCwgYW5kIFRy
YW5zZ2VuZGVyIFN1YnN0YW5jZSBVc2UgRGlzcGFyaXRpZXM8L3RpdGxlPjxzZWNvbmRhcnktdGl0
bGU+SiBBZG9sZXNjIEhlYWx0aDwvc2Vjb25kYXJ5LXRpdGxlPjxhbHQtdGl0bGU+VGhlIEpvdXJu
YWwgb2YgYWRvbGVzY2VudCBoZWFsdGggOiBvZmZpY2lhbCBwdWJsaWNhdGlvbiBvZiB0aGUgU29j
aWV0eSBmb3IgQWRvbGVzY2VudCBNZWRpY2luZTwvYWx0LXRpdGxlPjwvdGl0bGVzPjxwZXJpb2Rp
Y2FsPjxmdWxsLXRpdGxlPkogQWRvbGVzYyBIZWFsdGg8L2Z1bGwtdGl0bGU+PGFiYnItMT5UaGUg
Sm91cm5hbCBvZiBhZG9sZXNjZW50IGhlYWx0aCA6IG9mZmljaWFsIHB1YmxpY2F0aW9uIG9mIHRo
ZSBTb2NpZXR5IGZvciBBZG9sZXNjZW50IE1lZGljaW5lPC9hYmJyLTE+PC9wZXJpb2RpY2FsPjxh
bHQtcGVyaW9kaWNhbD48ZnVsbC10aXRsZT5KIEFkb2xlc2MgSGVhbHRoPC9mdWxsLXRpdGxlPjxh
YmJyLTE+VGhlIEpvdXJuYWwgb2YgYWRvbGVzY2VudCBoZWFsdGggOiBvZmZpY2lhbCBwdWJsaWNh
dGlvbiBvZiB0aGUgU29jaWV0eSBmb3IgQWRvbGVzY2VudCBNZWRpY2luZTwvYWJici0xPjwvYWx0
LXBlcmlvZGljYWw+PGVkaXRpb24+MjAxNy8xMi8xNjwvZWRpdGlvbj48a2V5d29yZHM+PGtleXdv
cmQ+QWxjb2hvbCB1c2U8L2tleXdvcmQ+PGtleXdvcmQ+Q2lnYXJldHRlIHVzZTwva2V5d29yZD48
a2V5d29yZD5FbGVjdHJvbmljIGNpZ2FyZXR0ZSB1c2U8L2tleXdvcmQ+PGtleXdvcmQ+SGFyYXNz
bWVudDwva2V5d29yZD48a2V5d29yZD5MZXNiaWFuLCBnYXksIGJpc2V4dWFsLCBhbmQgdHJhbnNn
ZW5kZXI8L2tleXdvcmQ+PC9rZXl3b3Jkcz48ZGF0ZXM+PHllYXI+MjAxNzwveWVhcj48cHViLWRh
dGVzPjxkYXRlPkRlYyAxMTwvZGF0ZT48L3B1Yi1kYXRlcz48L2RhdGVzPjxpc2JuPjEwNTQtMTM5
eDwvaXNibj48YWNjZXNzaW9uLW51bT4yOTI0MTk4NjwvYWNjZXNzaW9uLW51bT48dXJscz48cmVs
YXRlZC11cmxzPjx1cmw+aHR0cDovL3d3dy5qYWhvbmxpbmUub3JnL2FydGljbGUvUzEwNTQtMTM5
WCgxNykzMDUwMC0xL3BkZjwvdXJsPjwvcmVsYXRlZC11cmxzPjwvdXJscz48ZWxlY3Ryb25pYy1y
ZXNvdXJjZS1udW0+MTAuMTAxNi9qLmphZG9oZWFsdGguMjAxNy4xMC4wMDQ8L2VsZWN0cm9uaWMt
cmVzb3VyY2UtbnVtPjxyZW1vdGUtZGF0YWJhc2UtcHJvdmlkZXI+TkxNPC9yZW1vdGUtZGF0YWJh
c2UtcHJvdmlkZXI+PGxhbmd1YWdlPmVuZzwvbGFuZ3VhZ2U+PC9yZWNvcmQ+PC9DaXRlPjwvRW5k
Tm90ZT4A
</w:fldData>
        </w:fldChar>
      </w:r>
      <w:r>
        <w:instrText xml:space="preserve"> ADDIN EN.CITE.DATA </w:instrText>
      </w:r>
      <w:r>
        <w:fldChar w:fldCharType="end"/>
      </w:r>
      <w:r>
        <w:fldChar w:fldCharType="separate"/>
      </w:r>
      <w:r>
        <w:rPr>
          <w:noProof/>
        </w:rPr>
        <w:t>(Coulter, Bersamin et al. 2017)</w:t>
      </w:r>
      <w:r>
        <w:fldChar w:fldCharType="end"/>
      </w:r>
      <w:r>
        <w:t xml:space="preserve"> to 29 focus group interviews with LGBTQ adults </w:t>
      </w:r>
      <w:r>
        <w:fldChar w:fldCharType="begin"/>
      </w:r>
      <w:r>
        <w:instrText xml:space="preserve"> ADDIN EN.CITE &lt;EndNote&gt;&lt;Cite&gt;&lt;Author&gt;Giachello&lt;/Author&gt;&lt;Year&gt;2017&lt;/Year&gt;&lt;RecNum&gt;5755&lt;/RecNum&gt;&lt;DisplayText&gt;(Giachello, Thanh-Huyen et al. 2017)&lt;/DisplayText&gt;&lt;record&gt;&lt;rec-number&gt;5755&lt;/rec-number&gt;&lt;foreign-keys&gt;&lt;key app="EN" db-id="fpt9pttrm5zfsaesp9fpsddv09ewsv5xewfd" timestamp="1525046804"&gt;5755&lt;/key&gt;&lt;/foreign-keys&gt;&lt;ref-type name="Journal Article"&gt;17&lt;/ref-type&gt;&lt;contributors&gt;&lt;authors&gt;&lt;author&gt;Giachello, Aida L.&lt;/author&gt;&lt;author&gt;Thanh-Huyen, Vu&lt;/author&gt;&lt;author&gt;Payne, Thomas J.&lt;/author&gt;&lt;author&gt;Robertson, Rose M.&lt;/author&gt;&lt;author&gt;Rodriguez, Carlos&lt;/author&gt;&lt;author&gt;Groom, Allison&lt;/author&gt;&lt;author&gt;Walker, Kandi&lt;/author&gt;&lt;author&gt;Hart, Joy&lt;/author&gt;&lt;author&gt;Langdon, Sarah&lt;/author&gt;&lt;author&gt;Okhomina, Victoria&lt;/author&gt;&lt;author&gt;Kesh, Anshula&lt;/author&gt;&lt;author&gt;Seale, Samantha R.&lt;/author&gt;&lt;author&gt;Navas-Nacher, Elena&lt;/author&gt;&lt;author&gt;Murillo, Erika&lt;/author&gt;&lt;author&gt;Sims, Mario&lt;/author&gt;&lt;author&gt;Salazar-Mitchell, Patricia&lt;/author&gt;&lt;author&gt;Landry, Robyn&lt;/author&gt;&lt;author&gt;Bates-Ambrus, Venoncia&lt;/author&gt;&lt;/authors&gt;&lt;/contributors&gt;&lt;titles&gt;&lt;title&gt;Use of Tobacco Products Among LGBTQ: Results From 2016 Surveys &amp;amp; Focus Groups&lt;/title&gt;&lt;secondary-title&gt;Circulation&lt;/secondary-title&gt;&lt;/titles&gt;&lt;periodical&gt;&lt;full-title&gt;Circulation&lt;/full-title&gt;&lt;/periodical&gt;&lt;volume&gt;135&lt;/volume&gt;&lt;dates&gt;&lt;year&gt;2017&lt;/year&gt;&lt;pub-dates&gt;&lt;date&gt;Mar 7&lt;/date&gt;&lt;/pub-dates&gt;&lt;/dates&gt;&lt;isbn&gt;0009-7322&lt;/isbn&gt;&lt;accession-num&gt;WOS:000396461300218&lt;/accession-num&gt;&lt;urls&gt;&lt;related-urls&gt;&lt;url&gt;&amp;lt;Go to ISI&amp;gt;://WOS:000396461300218&lt;/url&gt;&lt;/related-urls&gt;&lt;/urls&gt;&lt;/record&gt;&lt;/Cite&gt;&lt;/EndNote&gt;</w:instrText>
      </w:r>
      <w:r>
        <w:fldChar w:fldCharType="separate"/>
      </w:r>
      <w:r>
        <w:rPr>
          <w:noProof/>
        </w:rPr>
        <w:t>(Giachello, Thanh-Huyen et al. 2017)</w:t>
      </w:r>
      <w:r>
        <w:fldChar w:fldCharType="end"/>
      </w:r>
      <w:r>
        <w:t>. Despite different methods, the results for this subset of papers are highly consistent and suggest that gender and sexuality minorities are at greater risk of e</w:t>
      </w:r>
      <w:r>
        <w:noBreakHyphen/>
        <w:t xml:space="preserve">cigarette use. It is likely that this is due to higher use of other substances </w:t>
      </w:r>
      <w:r>
        <w:fldChar w:fldCharType="begin">
          <w:fldData xml:space="preserve">PEVuZE5vdGU+PENpdGU+PEF1dGhvcj5Hb2xkYmFjaDwvQXV0aG9yPjxZZWFyPjIwMTc8L1llYXI+
PFJlY051bT41MzY0PC9SZWNOdW0+PERpc3BsYXlUZXh0PihHb2xkYmFjaCwgTWVyZWlzaCBldCBh
bC4gMjAxNyk8L0Rpc3BsYXlUZXh0PjxyZWNvcmQ+PHJlYy1udW1iZXI+NTM2NDwvcmVjLW51bWJl
cj48Zm9yZWlnbi1rZXlzPjxrZXkgYXBwPSJFTiIgZGItaWQ9ImZwdDlwdHRybTV6ZnNhZXNwOWZw
c2RkdjA5ZXdzdjV4ZXdmZCIgdGltZXN0YW1wPSIxNTI1MDQ2NTYxIj41MzY0PC9rZXk+PGtleSBh
cHA9IkVOV2ViIiBkYi1pZD0iIj4wPC9rZXk+PC9mb3JlaWduLWtleXM+PHJlZi10eXBlIG5hbWU9
IkpvdXJuYWwgQXJ0aWNsZSI+MTc8L3JlZi10eXBlPjxjb250cmlidXRvcnM+PGF1dGhvcnM+PGF1
dGhvcj5Hb2xkYmFjaCwgSi4gVC48L2F1dGhvcj48YXV0aG9yPk1lcmVpc2gsIEUuIEguPC9hdXRo
b3I+PGF1dGhvcj5CdXJnZXNzLCBDLjwvYXV0aG9yPjwvYXV0aG9ycz48L2NvbnRyaWJ1dG9ycz48
YXV0aC1hZGRyZXNzPmEgU2Nob29sIG9mIFNvY2lhbCBXb3JrLCBVbml2ZXJzaXR5IG9mIFNvdXRo
ZXJuIENhbGlmb3JuaWEgLCBMb3MgQW5nZWxlcyAsIENhbGlmb3JuaWEgLCBVU0EuJiN4RDtiIENl
bnRlciBmb3IgQWxjb2hvbCBhbmQgQWRkaWN0aW9uIFN0dWRpZXMsIEJyb3duIFVuaXZlcnNpdHkg
LCBQcm92aWRlbmNlICwgUmhvZGUgSXNsYW5kICwgVVNBLiYjeEQ7YyBEZXBhcnRtZW50IG9mIENs
aW5pY2FsIFNjaWVuY2UgLCBVbml2ZXJzaXR5IG9mIFNvdXRoZXJuIENhbGlmb3JuaWEgLCBMb3Mg
QW5nZWxlcyAsIENhbGlmb3JuaWEgLCBVU0EuPC9hdXRoLWFkZHJlc3M+PHRpdGxlcz48dGl0bGU+
U2V4dWFsIE9yaWVudGF0aW9uIERpc3Bhcml0aWVzIGluIHRoZSBVc2Ugb2YgRW1lcmdpbmcgRHJ1
Z3M8L3RpdGxlPjxzZWNvbmRhcnktdGl0bGU+U3Vic3QgVXNlIE1pc3VzZTwvc2Vjb25kYXJ5LXRp
dGxlPjxhbHQtdGl0bGU+U3Vic3RhbmNlIHVzZSAmYW1wOyBtaXN1c2U8L2FsdC10aXRsZT48L3Rp
dGxlcz48YWx0LXBlcmlvZGljYWw+PGZ1bGwtdGl0bGU+U3Vic3RhbmNlIFVzZSAmYW1wOyBNaXN1
c2U8L2Z1bGwtdGl0bGU+PC9hbHQtcGVyaW9kaWNhbD48cGFnZXM+MjY1LTI3MTwvcGFnZXM+PHZv
bHVtZT41Mjwvdm9sdW1lPjxudW1iZXI+MjwvbnVtYmVyPjxlZGl0aW9uPjIwMTYvMTAvMjE8L2Vk
aXRpb24+PGtleXdvcmRzPjxrZXl3b3JkPkFkb2xlc2NlbnQ8L2tleXdvcmQ+PGtleXdvcmQ+Q2hp
bGQ8L2tleXdvcmQ+PGtleXdvcmQ+Q2lnYXJldHRlIFNtb2tpbmc8L2tleXdvcmQ+PGtleXdvcmQ+
RHJ1ZyBVc2Vycy8qcHN5Y2hvbG9neTwva2V5d29yZD48a2V5d29yZD4qRWxlY3Ryb25pYyBOaWNv
dGluZSBEZWxpdmVyeSBTeXN0ZW1zPC9rZXl3b3JkPjxrZXl3b3JkPkZlbWFsZTwva2V5d29yZD48
a2V5d29yZD5IdW1hbnM8L2tleXdvcmQ+PGtleXdvcmQ+TWFsZTwva2V5d29yZD48a2V5d29yZD5O
b3J0aCBDYXJvbGluYTwva2V5d29yZD48a2V5d29yZD4qUHJlc2NyaXB0aW9uIERydWdzPC9rZXl3
b3JkPjxrZXl3b3JkPlNleHVhbGl0eS8qcHN5Y2hvbG9neTwva2V5d29yZD48a2V5d29yZD5MZXNi
aWFuPC9rZXl3b3JkPjxrZXl3b3JkPmJpc2V4dWFsPC9rZXl3b3JkPjxrZXl3b3JkPmUtY2lnYXJl
dHRlczwva2V5d29yZD48a2V5d29yZD5nYXk8L2tleXdvcmQ+PGtleXdvcmQ+cHJlc2NyaXB0aW9u
IGRydWcgbWlzdXNlPC9rZXl3b3JkPjxrZXl3b3JkPnN1YnN0YW5jZSB1c2U8L2tleXdvcmQ+PGtl
eXdvcmQ+c3ludGhldGljIGRydWdzPC9rZXl3b3JkPjwva2V5d29yZHM+PGRhdGVzPjx5ZWFyPjIw
MTc8L3llYXI+PHB1Yi1kYXRlcz48ZGF0ZT5KYW4gMjg8L2RhdGU+PC9wdWItZGF0ZXM+PC9kYXRl
cz48aXNibj4xMDgyLTYwODQ8L2lzYm4+PGFjY2Vzc2lvbi1udW0+Mjc3NTk0ODA8L2FjY2Vzc2lv
bi1udW0+PHVybHM+PHJlbGF0ZWQtdXJscz48dXJsPmh0dHBzOi8vd3d3LnRhbmRmb25saW5lLmNv
bS9kb2kvcGRmLzEwLjEwODAvMTA4MjYwODQuMjAxNi4xMjIzNjkxP25lZWRBY2Nlc3M9dHJ1ZTwv
dXJsPjwvcmVsYXRlZC11cmxzPjwvdXJscz48ZWxlY3Ryb25pYy1yZXNvdXJjZS1udW0+MTAuMTA4
MC8xMDgyNjA4NC4yMDE2LjEyMjM2OTE8L2VsZWN0cm9uaWMtcmVzb3VyY2UtbnVtPjxyZW1vdGUt
ZGF0YWJhc2UtcHJvdmlkZXI+TkxNPC9yZW1vdGUtZGF0YWJhc2UtcHJvdmlkZXI+PGxhbmd1YWdl
PmVuZzwvbGFuZ3VhZ2U+PC9yZWNvcmQ+PC9DaXRlPjwvRW5kTm90ZT5=
</w:fldData>
        </w:fldChar>
      </w:r>
      <w:r>
        <w:instrText xml:space="preserve"> ADDIN EN.CITE </w:instrText>
      </w:r>
      <w:r>
        <w:fldChar w:fldCharType="begin">
          <w:fldData xml:space="preserve">PEVuZE5vdGU+PENpdGU+PEF1dGhvcj5Hb2xkYmFjaDwvQXV0aG9yPjxZZWFyPjIwMTc8L1llYXI+
PFJlY051bT41MzY0PC9SZWNOdW0+PERpc3BsYXlUZXh0PihHb2xkYmFjaCwgTWVyZWlzaCBldCBh
bC4gMjAxNyk8L0Rpc3BsYXlUZXh0PjxyZWNvcmQ+PHJlYy1udW1iZXI+NTM2NDwvcmVjLW51bWJl
cj48Zm9yZWlnbi1rZXlzPjxrZXkgYXBwPSJFTiIgZGItaWQ9ImZwdDlwdHRybTV6ZnNhZXNwOWZw
c2RkdjA5ZXdzdjV4ZXdmZCIgdGltZXN0YW1wPSIxNTI1MDQ2NTYxIj41MzY0PC9rZXk+PGtleSBh
cHA9IkVOV2ViIiBkYi1pZD0iIj4wPC9rZXk+PC9mb3JlaWduLWtleXM+PHJlZi10eXBlIG5hbWU9
IkpvdXJuYWwgQXJ0aWNsZSI+MTc8L3JlZi10eXBlPjxjb250cmlidXRvcnM+PGF1dGhvcnM+PGF1
dGhvcj5Hb2xkYmFjaCwgSi4gVC48L2F1dGhvcj48YXV0aG9yPk1lcmVpc2gsIEUuIEguPC9hdXRo
b3I+PGF1dGhvcj5CdXJnZXNzLCBDLjwvYXV0aG9yPjwvYXV0aG9ycz48L2NvbnRyaWJ1dG9ycz48
YXV0aC1hZGRyZXNzPmEgU2Nob29sIG9mIFNvY2lhbCBXb3JrLCBVbml2ZXJzaXR5IG9mIFNvdXRo
ZXJuIENhbGlmb3JuaWEgLCBMb3MgQW5nZWxlcyAsIENhbGlmb3JuaWEgLCBVU0EuJiN4RDtiIENl
bnRlciBmb3IgQWxjb2hvbCBhbmQgQWRkaWN0aW9uIFN0dWRpZXMsIEJyb3duIFVuaXZlcnNpdHkg
LCBQcm92aWRlbmNlICwgUmhvZGUgSXNsYW5kICwgVVNBLiYjeEQ7YyBEZXBhcnRtZW50IG9mIENs
aW5pY2FsIFNjaWVuY2UgLCBVbml2ZXJzaXR5IG9mIFNvdXRoZXJuIENhbGlmb3JuaWEgLCBMb3Mg
QW5nZWxlcyAsIENhbGlmb3JuaWEgLCBVU0EuPC9hdXRoLWFkZHJlc3M+PHRpdGxlcz48dGl0bGU+
U2V4dWFsIE9yaWVudGF0aW9uIERpc3Bhcml0aWVzIGluIHRoZSBVc2Ugb2YgRW1lcmdpbmcgRHJ1
Z3M8L3RpdGxlPjxzZWNvbmRhcnktdGl0bGU+U3Vic3QgVXNlIE1pc3VzZTwvc2Vjb25kYXJ5LXRp
dGxlPjxhbHQtdGl0bGU+U3Vic3RhbmNlIHVzZSAmYW1wOyBtaXN1c2U8L2FsdC10aXRsZT48L3Rp
dGxlcz48YWx0LXBlcmlvZGljYWw+PGZ1bGwtdGl0bGU+U3Vic3RhbmNlIFVzZSAmYW1wOyBNaXN1
c2U8L2Z1bGwtdGl0bGU+PC9hbHQtcGVyaW9kaWNhbD48cGFnZXM+MjY1LTI3MTwvcGFnZXM+PHZv
bHVtZT41Mjwvdm9sdW1lPjxudW1iZXI+MjwvbnVtYmVyPjxlZGl0aW9uPjIwMTYvMTAvMjE8L2Vk
aXRpb24+PGtleXdvcmRzPjxrZXl3b3JkPkFkb2xlc2NlbnQ8L2tleXdvcmQ+PGtleXdvcmQ+Q2hp
bGQ8L2tleXdvcmQ+PGtleXdvcmQ+Q2lnYXJldHRlIFNtb2tpbmc8L2tleXdvcmQ+PGtleXdvcmQ+
RHJ1ZyBVc2Vycy8qcHN5Y2hvbG9neTwva2V5d29yZD48a2V5d29yZD4qRWxlY3Ryb25pYyBOaWNv
dGluZSBEZWxpdmVyeSBTeXN0ZW1zPC9rZXl3b3JkPjxrZXl3b3JkPkZlbWFsZTwva2V5d29yZD48
a2V5d29yZD5IdW1hbnM8L2tleXdvcmQ+PGtleXdvcmQ+TWFsZTwva2V5d29yZD48a2V5d29yZD5O
b3J0aCBDYXJvbGluYTwva2V5d29yZD48a2V5d29yZD4qUHJlc2NyaXB0aW9uIERydWdzPC9rZXl3
b3JkPjxrZXl3b3JkPlNleHVhbGl0eS8qcHN5Y2hvbG9neTwva2V5d29yZD48a2V5d29yZD5MZXNi
aWFuPC9rZXl3b3JkPjxrZXl3b3JkPmJpc2V4dWFsPC9rZXl3b3JkPjxrZXl3b3JkPmUtY2lnYXJl
dHRlczwva2V5d29yZD48a2V5d29yZD5nYXk8L2tleXdvcmQ+PGtleXdvcmQ+cHJlc2NyaXB0aW9u
IGRydWcgbWlzdXNlPC9rZXl3b3JkPjxrZXl3b3JkPnN1YnN0YW5jZSB1c2U8L2tleXdvcmQ+PGtl
eXdvcmQ+c3ludGhldGljIGRydWdzPC9rZXl3b3JkPjwva2V5d29yZHM+PGRhdGVzPjx5ZWFyPjIw
MTc8L3llYXI+PHB1Yi1kYXRlcz48ZGF0ZT5KYW4gMjg8L2RhdGU+PC9wdWItZGF0ZXM+PC9kYXRl
cz48aXNibj4xMDgyLTYwODQ8L2lzYm4+PGFjY2Vzc2lvbi1udW0+Mjc3NTk0ODA8L2FjY2Vzc2lv
bi1udW0+PHVybHM+PHJlbGF0ZWQtdXJscz48dXJsPmh0dHBzOi8vd3d3LnRhbmRmb25saW5lLmNv
bS9kb2kvcGRmLzEwLjEwODAvMTA4MjYwODQuMjAxNi4xMjIzNjkxP25lZWRBY2Nlc3M9dHJ1ZTwv
dXJsPjwvcmVsYXRlZC11cmxzPjwvdXJscz48ZWxlY3Ryb25pYy1yZXNvdXJjZS1udW0+MTAuMTA4
MC8xMDgyNjA4NC4yMDE2LjEyMjM2OTE8L2VsZWN0cm9uaWMtcmVzb3VyY2UtbnVtPjxyZW1vdGUt
ZGF0YWJhc2UtcHJvdmlkZXI+TkxNPC9yZW1vdGUtZGF0YWJhc2UtcHJvdmlkZXI+PGxhbmd1YWdl
PmVuZzwvbGFuZ3VhZ2U+PC9yZWNvcmQ+PC9DaXRlPjwvRW5kTm90ZT5=
</w:fldData>
        </w:fldChar>
      </w:r>
      <w:r>
        <w:instrText xml:space="preserve"> ADDIN EN.CITE.DATA </w:instrText>
      </w:r>
      <w:r>
        <w:fldChar w:fldCharType="end"/>
      </w:r>
      <w:r>
        <w:fldChar w:fldCharType="separate"/>
      </w:r>
      <w:r>
        <w:rPr>
          <w:noProof/>
        </w:rPr>
        <w:t>(Goldbach, Mereish et al. 2017)</w:t>
      </w:r>
      <w:r>
        <w:fldChar w:fldCharType="end"/>
      </w:r>
      <w:r>
        <w:t xml:space="preserve"> which would be in keeping with the Common Liability Use Model. One paper also provides further insight into disparities by suggesting that school harassment may be an early driver of differences </w:t>
      </w:r>
      <w:r>
        <w:fldChar w:fldCharType="begin">
          <w:fldData xml:space="preserve">PEVuZE5vdGU+PENpdGU+PEF1dGhvcj5Db3VsdGVyPC9BdXRob3I+PFllYXI+MjAxNzwvWWVhcj48
UmVjTnVtPjQ3MTM8L1JlY051bT48RGlzcGxheVRleHQ+KENvdWx0ZXIsIEJlcnNhbWluIGV0IGFs
LiAyMDE3KTwvRGlzcGxheVRleHQ+PHJlY29yZD48cmVjLW51bWJlcj40NzEzPC9yZWMtbnVtYmVy
Pjxmb3JlaWduLWtleXM+PGtleSBhcHA9IkVOIiBkYi1pZD0iZnB0OXB0dHJtNXpmc2Flc3A5ZnBz
ZGR2MDlld3N2NXhld2ZkIiB0aW1lc3RhbXA9IjE1MjUwNDUzNjMiPjQ3MTM8L2tleT48a2V5IGFw
cD0iRU5XZWIiIGRiLWlkPSIiPjA8L2tleT48L2ZvcmVpZ24ta2V5cz48cmVmLXR5cGUgbmFtZT0i
Sm91cm5hbCBBcnRpY2xlIj4xNzwvcmVmLXR5cGU+PGNvbnRyaWJ1dG9ycz48YXV0aG9ycz48YXV0
aG9yPkNvdWx0ZXIsIFIuIFcuIFMuPC9hdXRob3I+PGF1dGhvcj5CZXJzYW1pbiwgTS48L2F1dGhv
cj48YXV0aG9yPlJ1c3NlbGwsIFMuIFQuPC9hdXRob3I+PGF1dGhvcj5NYWlyLCBDLjwvYXV0aG9y
PjwvYXV0aG9ycz48L2NvbnRyaWJ1dG9ycz48YXV0aC1hZGRyZXNzPkRlcGFydG1lbnQgb2YgQmVo
YXZpb3JhbCBhbmQgQ29tbXVuaXR5IEhlYWx0aCBTY2llbmNlcywgR3JhZHVhdGUgU2Nob29sIG9m
IFB1YmxpYyBIZWFsdGgsIFVuaXZlcnNpdHkgb2YgUGl0dHNidXJnaCwgUGl0dHNidXJnaCwgUGVu
bnN5bHZhbmlhOyBDZW50ZXIgZm9yIExHQlQgSGVhbHRoIFJlc2VhcmNoLCBHcmFkdWF0ZSBTY2hv
b2wgb2YgUHVibGljIEhlYWx0aCwgVW5pdmVyc2l0eSBvZiBQaXR0c2J1cmdoLCBQaXR0c2J1cmdo
LCBQZW5uc3lsdmFuaWE7IENsaW5pY2FsIGFuZCBUcmFuc2xhdGlvbmFsIFNjaWVuY2UgSW5zdGl0
dXRlLCBTY2hvb2wgb2YgTWVkaWNpbmUsIFVuaXZlcnNpdHkgb2YgUGl0dHNidXJnaCwgUGl0dHNi
dXJnaCwgUGVubnN5bHZhbmlhOyBEaXZpc2lvbiBvZiBBZG9sZXNjZW50IGFuZCBZb3VuZyBBZHVs
dCBNZWRpY2luZSwgQ2hpbGRyZW4mYXBvcztzIEhvc3BpdGFsIG9mIFBpdHRzYnVyZ2ggb2YgVVBN
QywgUGl0dHNidXJnaCwgUGVubnN5bHZhbmlhLiBFbGVjdHJvbmljIGFkZHJlc3M6IHJvYmVydC53
cy5jb3VsdGVyQHBpdHQuZWR1LiYjeEQ7UHJldmVudGlvbiBSZXNlYXJjaCBDZW50ZXIsIFBhY2lm
aWMgSW5zdGl0dXRlIGZvciBSZXNlYXJjaCBhbmQgRXZhbHVhdGlvbiwgT2FrbGFuZCwgQ2FsaWZv
cm5pYS4mI3hEO0RlcGFydG1lbnQgb2YgSHVtYW4gRGV2ZWxvcG1lbnQgYW5kIEZhbWlseSBTY2ll
bmNlcywgUG9wdWxhdGlvbiBSZXNlYXJjaCBDZW50ZXIsIFVuaXZlcnNpdHkgb2YgVGV4YXMgYXQg
QXVzdGluLCBBdXN0aW4sIFRleGFzLiYjeEQ7RGVwYXJ0bWVudCBvZiBCZWhhdmlvcmFsIGFuZCBD
b21tdW5pdHkgSGVhbHRoIFNjaWVuY2VzLCBHcmFkdWF0ZSBTY2hvb2wgb2YgUHVibGljIEhlYWx0
aCwgVW5pdmVyc2l0eSBvZiBQaXR0c2J1cmdoLCBQaXR0c2J1cmdoLCBQZW5uc3lsdmFuaWEuPC9h
dXRoLWFkZHJlc3M+PHRpdGxlcz48dGl0bGU+VGhlIEVmZmVjdHMgb2YgR2VuZGVyLSBhbmQgU2V4
dWFsaXR5LUJhc2VkIEhhcmFzc21lbnQgb24gTGVzYmlhbiwgR2F5LCBCaXNleHVhbCwgYW5kIFRy
YW5zZ2VuZGVyIFN1YnN0YW5jZSBVc2UgRGlzcGFyaXRpZXM8L3RpdGxlPjxzZWNvbmRhcnktdGl0
bGU+SiBBZG9sZXNjIEhlYWx0aDwvc2Vjb25kYXJ5LXRpdGxlPjxhbHQtdGl0bGU+VGhlIEpvdXJu
YWwgb2YgYWRvbGVzY2VudCBoZWFsdGggOiBvZmZpY2lhbCBwdWJsaWNhdGlvbiBvZiB0aGUgU29j
aWV0eSBmb3IgQWRvbGVzY2VudCBNZWRpY2luZTwvYWx0LXRpdGxlPjwvdGl0bGVzPjxwZXJpb2Rp
Y2FsPjxmdWxsLXRpdGxlPkogQWRvbGVzYyBIZWFsdGg8L2Z1bGwtdGl0bGU+PGFiYnItMT5UaGUg
Sm91cm5hbCBvZiBhZG9sZXNjZW50IGhlYWx0aCA6IG9mZmljaWFsIHB1YmxpY2F0aW9uIG9mIHRo
ZSBTb2NpZXR5IGZvciBBZG9sZXNjZW50IE1lZGljaW5lPC9hYmJyLTE+PC9wZXJpb2RpY2FsPjxh
bHQtcGVyaW9kaWNhbD48ZnVsbC10aXRsZT5KIEFkb2xlc2MgSGVhbHRoPC9mdWxsLXRpdGxlPjxh
YmJyLTE+VGhlIEpvdXJuYWwgb2YgYWRvbGVzY2VudCBoZWFsdGggOiBvZmZpY2lhbCBwdWJsaWNh
dGlvbiBvZiB0aGUgU29jaWV0eSBmb3IgQWRvbGVzY2VudCBNZWRpY2luZTwvYWJici0xPjwvYWx0
LXBlcmlvZGljYWw+PGVkaXRpb24+MjAxNy8xMi8xNjwvZWRpdGlvbj48a2V5d29yZHM+PGtleXdv
cmQ+QWxjb2hvbCB1c2U8L2tleXdvcmQ+PGtleXdvcmQ+Q2lnYXJldHRlIHVzZTwva2V5d29yZD48
a2V5d29yZD5FbGVjdHJvbmljIGNpZ2FyZXR0ZSB1c2U8L2tleXdvcmQ+PGtleXdvcmQ+SGFyYXNz
bWVudDwva2V5d29yZD48a2V5d29yZD5MZXNiaWFuLCBnYXksIGJpc2V4dWFsLCBhbmQgdHJhbnNn
ZW5kZXI8L2tleXdvcmQ+PC9rZXl3b3Jkcz48ZGF0ZXM+PHllYXI+MjAxNzwveWVhcj48cHViLWRh
dGVzPjxkYXRlPkRlYyAxMTwvZGF0ZT48L3B1Yi1kYXRlcz48L2RhdGVzPjxpc2JuPjEwNTQtMTM5
eDwvaXNibj48YWNjZXNzaW9uLW51bT4yOTI0MTk4NjwvYWNjZXNzaW9uLW51bT48dXJscz48cmVs
YXRlZC11cmxzPjx1cmw+aHR0cDovL3d3dy5qYWhvbmxpbmUub3JnL2FydGljbGUvUzEwNTQtMTM5
WCgxNykzMDUwMC0xL3BkZjwvdXJsPjwvcmVsYXRlZC11cmxzPjwvdXJscz48ZWxlY3Ryb25pYy1y
ZXNvdXJjZS1udW0+MTAuMTAxNi9qLmphZG9oZWFsdGguMjAxNy4xMC4wMDQ8L2VsZWN0cm9uaWMt
cmVzb3VyY2UtbnVtPjxyZW1vdGUtZGF0YWJhc2UtcHJvdmlkZXI+TkxNPC9yZW1vdGUtZGF0YWJh
c2UtcHJvdmlkZXI+PGxhbmd1YWdlPmVuZzwvbGFuZ3VhZ2U+PC9yZWNvcmQ+PC9DaXRlPjwvRW5k
Tm90ZT4A
</w:fldData>
        </w:fldChar>
      </w:r>
      <w:r>
        <w:instrText xml:space="preserve"> ADDIN EN.CITE </w:instrText>
      </w:r>
      <w:r>
        <w:fldChar w:fldCharType="begin">
          <w:fldData xml:space="preserve">PEVuZE5vdGU+PENpdGU+PEF1dGhvcj5Db3VsdGVyPC9BdXRob3I+PFllYXI+MjAxNzwvWWVhcj48
UmVjTnVtPjQ3MTM8L1JlY051bT48RGlzcGxheVRleHQ+KENvdWx0ZXIsIEJlcnNhbWluIGV0IGFs
LiAyMDE3KTwvRGlzcGxheVRleHQ+PHJlY29yZD48cmVjLW51bWJlcj40NzEzPC9yZWMtbnVtYmVy
Pjxmb3JlaWduLWtleXM+PGtleSBhcHA9IkVOIiBkYi1pZD0iZnB0OXB0dHJtNXpmc2Flc3A5ZnBz
ZGR2MDlld3N2NXhld2ZkIiB0aW1lc3RhbXA9IjE1MjUwNDUzNjMiPjQ3MTM8L2tleT48a2V5IGFw
cD0iRU5XZWIiIGRiLWlkPSIiPjA8L2tleT48L2ZvcmVpZ24ta2V5cz48cmVmLXR5cGUgbmFtZT0i
Sm91cm5hbCBBcnRpY2xlIj4xNzwvcmVmLXR5cGU+PGNvbnRyaWJ1dG9ycz48YXV0aG9ycz48YXV0
aG9yPkNvdWx0ZXIsIFIuIFcuIFMuPC9hdXRob3I+PGF1dGhvcj5CZXJzYW1pbiwgTS48L2F1dGhv
cj48YXV0aG9yPlJ1c3NlbGwsIFMuIFQuPC9hdXRob3I+PGF1dGhvcj5NYWlyLCBDLjwvYXV0aG9y
PjwvYXV0aG9ycz48L2NvbnRyaWJ1dG9ycz48YXV0aC1hZGRyZXNzPkRlcGFydG1lbnQgb2YgQmVo
YXZpb3JhbCBhbmQgQ29tbXVuaXR5IEhlYWx0aCBTY2llbmNlcywgR3JhZHVhdGUgU2Nob29sIG9m
IFB1YmxpYyBIZWFsdGgsIFVuaXZlcnNpdHkgb2YgUGl0dHNidXJnaCwgUGl0dHNidXJnaCwgUGVu
bnN5bHZhbmlhOyBDZW50ZXIgZm9yIExHQlQgSGVhbHRoIFJlc2VhcmNoLCBHcmFkdWF0ZSBTY2hv
b2wgb2YgUHVibGljIEhlYWx0aCwgVW5pdmVyc2l0eSBvZiBQaXR0c2J1cmdoLCBQaXR0c2J1cmdo
LCBQZW5uc3lsdmFuaWE7IENsaW5pY2FsIGFuZCBUcmFuc2xhdGlvbmFsIFNjaWVuY2UgSW5zdGl0
dXRlLCBTY2hvb2wgb2YgTWVkaWNpbmUsIFVuaXZlcnNpdHkgb2YgUGl0dHNidXJnaCwgUGl0dHNi
dXJnaCwgUGVubnN5bHZhbmlhOyBEaXZpc2lvbiBvZiBBZG9sZXNjZW50IGFuZCBZb3VuZyBBZHVs
dCBNZWRpY2luZSwgQ2hpbGRyZW4mYXBvcztzIEhvc3BpdGFsIG9mIFBpdHRzYnVyZ2ggb2YgVVBN
QywgUGl0dHNidXJnaCwgUGVubnN5bHZhbmlhLiBFbGVjdHJvbmljIGFkZHJlc3M6IHJvYmVydC53
cy5jb3VsdGVyQHBpdHQuZWR1LiYjeEQ7UHJldmVudGlvbiBSZXNlYXJjaCBDZW50ZXIsIFBhY2lm
aWMgSW5zdGl0dXRlIGZvciBSZXNlYXJjaCBhbmQgRXZhbHVhdGlvbiwgT2FrbGFuZCwgQ2FsaWZv
cm5pYS4mI3hEO0RlcGFydG1lbnQgb2YgSHVtYW4gRGV2ZWxvcG1lbnQgYW5kIEZhbWlseSBTY2ll
bmNlcywgUG9wdWxhdGlvbiBSZXNlYXJjaCBDZW50ZXIsIFVuaXZlcnNpdHkgb2YgVGV4YXMgYXQg
QXVzdGluLCBBdXN0aW4sIFRleGFzLiYjeEQ7RGVwYXJ0bWVudCBvZiBCZWhhdmlvcmFsIGFuZCBD
b21tdW5pdHkgSGVhbHRoIFNjaWVuY2VzLCBHcmFkdWF0ZSBTY2hvb2wgb2YgUHVibGljIEhlYWx0
aCwgVW5pdmVyc2l0eSBvZiBQaXR0c2J1cmdoLCBQaXR0c2J1cmdoLCBQZW5uc3lsdmFuaWEuPC9h
dXRoLWFkZHJlc3M+PHRpdGxlcz48dGl0bGU+VGhlIEVmZmVjdHMgb2YgR2VuZGVyLSBhbmQgU2V4
dWFsaXR5LUJhc2VkIEhhcmFzc21lbnQgb24gTGVzYmlhbiwgR2F5LCBCaXNleHVhbCwgYW5kIFRy
YW5zZ2VuZGVyIFN1YnN0YW5jZSBVc2UgRGlzcGFyaXRpZXM8L3RpdGxlPjxzZWNvbmRhcnktdGl0
bGU+SiBBZG9sZXNjIEhlYWx0aDwvc2Vjb25kYXJ5LXRpdGxlPjxhbHQtdGl0bGU+VGhlIEpvdXJu
YWwgb2YgYWRvbGVzY2VudCBoZWFsdGggOiBvZmZpY2lhbCBwdWJsaWNhdGlvbiBvZiB0aGUgU29j
aWV0eSBmb3IgQWRvbGVzY2VudCBNZWRpY2luZTwvYWx0LXRpdGxlPjwvdGl0bGVzPjxwZXJpb2Rp
Y2FsPjxmdWxsLXRpdGxlPkogQWRvbGVzYyBIZWFsdGg8L2Z1bGwtdGl0bGU+PGFiYnItMT5UaGUg
Sm91cm5hbCBvZiBhZG9sZXNjZW50IGhlYWx0aCA6IG9mZmljaWFsIHB1YmxpY2F0aW9uIG9mIHRo
ZSBTb2NpZXR5IGZvciBBZG9sZXNjZW50IE1lZGljaW5lPC9hYmJyLTE+PC9wZXJpb2RpY2FsPjxh
bHQtcGVyaW9kaWNhbD48ZnVsbC10aXRsZT5KIEFkb2xlc2MgSGVhbHRoPC9mdWxsLXRpdGxlPjxh
YmJyLTE+VGhlIEpvdXJuYWwgb2YgYWRvbGVzY2VudCBoZWFsdGggOiBvZmZpY2lhbCBwdWJsaWNh
dGlvbiBvZiB0aGUgU29jaWV0eSBmb3IgQWRvbGVzY2VudCBNZWRpY2luZTwvYWJici0xPjwvYWx0
LXBlcmlvZGljYWw+PGVkaXRpb24+MjAxNy8xMi8xNjwvZWRpdGlvbj48a2V5d29yZHM+PGtleXdv
cmQ+QWxjb2hvbCB1c2U8L2tleXdvcmQ+PGtleXdvcmQ+Q2lnYXJldHRlIHVzZTwva2V5d29yZD48
a2V5d29yZD5FbGVjdHJvbmljIGNpZ2FyZXR0ZSB1c2U8L2tleXdvcmQ+PGtleXdvcmQ+SGFyYXNz
bWVudDwva2V5d29yZD48a2V5d29yZD5MZXNiaWFuLCBnYXksIGJpc2V4dWFsLCBhbmQgdHJhbnNn
ZW5kZXI8L2tleXdvcmQ+PC9rZXl3b3Jkcz48ZGF0ZXM+PHllYXI+MjAxNzwveWVhcj48cHViLWRh
dGVzPjxkYXRlPkRlYyAxMTwvZGF0ZT48L3B1Yi1kYXRlcz48L2RhdGVzPjxpc2JuPjEwNTQtMTM5
eDwvaXNibj48YWNjZXNzaW9uLW51bT4yOTI0MTk4NjwvYWNjZXNzaW9uLW51bT48dXJscz48cmVs
YXRlZC11cmxzPjx1cmw+aHR0cDovL3d3dy5qYWhvbmxpbmUub3JnL2FydGljbGUvUzEwNTQtMTM5
WCgxNykzMDUwMC0xL3BkZjwvdXJsPjwvcmVsYXRlZC11cmxzPjwvdXJscz48ZWxlY3Ryb25pYy1y
ZXNvdXJjZS1udW0+MTAuMTAxNi9qLmphZG9oZWFsdGguMjAxNy4xMC4wMDQ8L2VsZWN0cm9uaWMt
cmVzb3VyY2UtbnVtPjxyZW1vdGUtZGF0YWJhc2UtcHJvdmlkZXI+TkxNPC9yZW1vdGUtZGF0YWJh
c2UtcHJvdmlkZXI+PGxhbmd1YWdlPmVuZzwvbGFuZ3VhZ2U+PC9yZWNvcmQ+PC9DaXRlPjwvRW5k
Tm90ZT4A
</w:fldData>
        </w:fldChar>
      </w:r>
      <w:r>
        <w:instrText xml:space="preserve"> ADDIN EN.CITE.DATA </w:instrText>
      </w:r>
      <w:r>
        <w:fldChar w:fldCharType="end"/>
      </w:r>
      <w:r>
        <w:fldChar w:fldCharType="separate"/>
      </w:r>
      <w:r>
        <w:rPr>
          <w:noProof/>
        </w:rPr>
        <w:t>(Coulter, Bersamin et al. 2017)</w:t>
      </w:r>
      <w:r>
        <w:fldChar w:fldCharType="end"/>
      </w:r>
      <w:r>
        <w:t>.</w:t>
      </w:r>
    </w:p>
    <w:p w14:paraId="351B54DC" w14:textId="77777777" w:rsidR="00E53F6C" w:rsidRDefault="00E53F6C" w:rsidP="00E53F6C">
      <w:pPr>
        <w:pStyle w:val="BodyText"/>
      </w:pPr>
    </w:p>
    <w:p w14:paraId="74934B0C" w14:textId="77777777" w:rsidR="00E53F6C" w:rsidRDefault="00E53F6C" w:rsidP="00E53F6C">
      <w:pPr>
        <w:pStyle w:val="Heading2"/>
        <w:ind w:left="1134" w:hanging="1134"/>
      </w:pPr>
      <w:bookmarkStart w:id="313" w:name="_Toc517706741"/>
      <w:r>
        <w:t>Conclusion</w:t>
      </w:r>
      <w:bookmarkEnd w:id="313"/>
    </w:p>
    <w:p w14:paraId="51B2F502" w14:textId="77777777" w:rsidR="00E53F6C" w:rsidRDefault="00E53F6C" w:rsidP="00E53F6C">
      <w:pPr>
        <w:pStyle w:val="BodyText"/>
      </w:pPr>
      <w:r>
        <w:t>Large quantities of data have been produced based on US samples. Many of these are also based on large, national samples which offer a large scale snapshot into e</w:t>
      </w:r>
      <w:r>
        <w:noBreakHyphen/>
        <w:t>cigarette use. There is keen interest in the US in youth and adolescent samples. Approximately one in five of the papers that have been produced since the Surgeon General’s report use the same (or older) datasets and add little new knowledge to the understanding of the use of e</w:t>
      </w:r>
      <w:r>
        <w:noBreakHyphen/>
        <w:t xml:space="preserve">cigarettes. </w:t>
      </w:r>
    </w:p>
    <w:p w14:paraId="596E2C0F" w14:textId="77777777" w:rsidR="00E53F6C" w:rsidRDefault="00E53F6C" w:rsidP="00E53F6C">
      <w:pPr>
        <w:pStyle w:val="BodyText"/>
      </w:pPr>
      <w:r w:rsidRPr="00806ACF">
        <w:t xml:space="preserve">Papers reporting on secondary analysis of national youth datasets in the US add limited new insights into use of </w:t>
      </w:r>
      <w:r>
        <w:t>e</w:t>
      </w:r>
      <w:r>
        <w:noBreakHyphen/>
        <w:t>cig</w:t>
      </w:r>
      <w:r w:rsidRPr="00806ACF">
        <w:t xml:space="preserve">arettes to that included in the Surgeon General’s report </w:t>
      </w:r>
      <w:r>
        <w:fldChar w:fldCharType="begin"/>
      </w:r>
      <w:r w:rsidR="00903735">
        <w:instrText xml:space="preserve"> ADDIN EN.CITE &lt;EndNote&gt;&lt;Cite&gt;&lt;Author&gt;US Dept of Health and Human Services&lt;/Author&gt;&lt;Year&gt;2016&lt;/Year&gt;&lt;RecNum&gt;13024&lt;/RecNum&gt;&lt;DisplayText&gt;(US Dept of Health and Human Services 2016)&lt;/DisplayText&gt;&lt;record&gt;&lt;rec-number&gt;13024&lt;/rec-number&gt;&lt;foreign-keys&gt;&lt;key app="EN" db-id="5xv5w5t2bdxtxfezx02xtxdft5rz5ptvvt29" timestamp="1524017182"&gt;13024&lt;/key&gt;&lt;/foreign-keys&gt;&lt;ref-type name="Journal Article"&gt;17&lt;/ref-type&gt;&lt;contributors&gt;&lt;authors&gt;&lt;author&gt;US Dept of Health and Human Services,&lt;/author&gt;&lt;/authors&gt;&lt;/contributors&gt;&lt;titles&gt;&lt;title&gt;E-cigarette Use among Youth and Young Adults:A report of the Surgeon General&lt;/title&gt;&lt;/titles&gt;&lt;dates&gt;&lt;year&gt;2016&lt;/year&gt;&lt;/dates&gt;&lt;urls&gt;&lt;/urls&gt;&lt;/record&gt;&lt;/Cite&gt;&lt;/EndNote&gt;</w:instrText>
      </w:r>
      <w:r>
        <w:fldChar w:fldCharType="separate"/>
      </w:r>
      <w:r>
        <w:rPr>
          <w:noProof/>
        </w:rPr>
        <w:t>(US Dept of Health and Human Services 2016)</w:t>
      </w:r>
      <w:r>
        <w:fldChar w:fldCharType="end"/>
      </w:r>
      <w:r>
        <w:t xml:space="preserve"> </w:t>
      </w:r>
      <w:r w:rsidRPr="00806ACF">
        <w:t>or the Academy of Science report</w:t>
      </w:r>
      <w:r>
        <w:t xml:space="preserve"> </w:t>
      </w:r>
      <w:r>
        <w:fldChar w:fldCharType="begin"/>
      </w:r>
      <w:r>
        <w:instrText xml:space="preserve"> ADDIN EN.CITE &lt;EndNote&gt;&lt;Cite&gt;&lt;Author&gt;McNeill A&lt;/Author&gt;&lt;Year&gt;2018&lt;/Year&gt;&lt;RecNum&gt;9330&lt;/RecNum&gt;&lt;DisplayText&gt;(McNeill A 2018)&lt;/DisplayText&gt;&lt;record&gt;&lt;rec-number&gt;9330&lt;/rec-number&gt;&lt;foreign-keys&gt;&lt;key app="EN" db-id="9z05dz0praadfuee0zoxzedk9zfe5fxx50z5" timestamp="1524019080"&gt;9330&lt;/key&gt;&lt;key app="ENWeb" db-id=""&gt;0&lt;/key&gt;&lt;/foreign-keys&gt;&lt;ref-type name="Report"&gt;27&lt;/ref-type&gt;&lt;contributors&gt;&lt;authors&gt;&lt;author&gt;McNeill A,  Brose. L., Calder R,  Bauld L, Robson D.&lt;/author&gt;&lt;/authors&gt;&lt;/contributors&gt;&lt;titles&gt;&lt;title&gt;Evidence Review of e-cigarettes and heated tobacco products 2018. A Report commissioned by Public Health England.&lt;/title&gt;&lt;/titles&gt;&lt;dates&gt;&lt;year&gt;2018&lt;/year&gt;&lt;/dates&gt;&lt;pub-location&gt;London&lt;/pub-location&gt;&lt;publisher&gt;Public Health England&lt;/publisher&gt;&lt;urls&gt;&lt;related-urls&gt;&lt;url&gt;https://www.gov.uk/government/publications/e-cigarettes-and-heated-tobacco-products-evidence-review&lt;/url&gt;&lt;/related-urls&gt;&lt;/urls&gt;&lt;/record&gt;&lt;/Cite&gt;&lt;/EndNote&gt;</w:instrText>
      </w:r>
      <w:r>
        <w:fldChar w:fldCharType="separate"/>
      </w:r>
      <w:r>
        <w:rPr>
          <w:noProof/>
        </w:rPr>
        <w:t>(McNeill A 2018)</w:t>
      </w:r>
      <w:r>
        <w:fldChar w:fldCharType="end"/>
      </w:r>
      <w:r w:rsidRPr="00806ACF">
        <w:t xml:space="preserve">. The Surgeon General’s report discusses the Common Liability Model to describe substance use and the fact that the use of one substance may promote the use of others. It is important to note that the parcelling of </w:t>
      </w:r>
      <w:r>
        <w:t>e</w:t>
      </w:r>
      <w:r>
        <w:noBreakHyphen/>
        <w:t>cig</w:t>
      </w:r>
      <w:r w:rsidRPr="00806ACF">
        <w:t>arette use with other health-risk behaviours (Demissie, Everett Jones et al. 2017) as well other substance use (Owotomo and Maslowsky 2017) suggests that</w:t>
      </w:r>
      <w:r>
        <w:t xml:space="preserve"> there </w:t>
      </w:r>
      <w:r w:rsidRPr="00806ACF">
        <w:t xml:space="preserve">may be ‘downstream’ effects for youth beyond directly associated with </w:t>
      </w:r>
      <w:r>
        <w:t>e</w:t>
      </w:r>
      <w:r>
        <w:noBreakHyphen/>
        <w:t>cig</w:t>
      </w:r>
      <w:r w:rsidRPr="00806ACF">
        <w:t>arette use and beyond other substances.</w:t>
      </w:r>
    </w:p>
    <w:p w14:paraId="729D2F96" w14:textId="77777777" w:rsidR="00E53F6C" w:rsidRDefault="00E53F6C" w:rsidP="00E53F6C">
      <w:pPr>
        <w:pStyle w:val="BodyText"/>
      </w:pPr>
      <w:r>
        <w:lastRenderedPageBreak/>
        <w:t>There are some interesting themes amongst the other papers. These include the association between certain personality characteristics (impulsivity, sensation seeking) and e</w:t>
      </w:r>
      <w:r>
        <w:noBreakHyphen/>
        <w:t>cigarette use in multiple samples of adults and youth. Likewise, there appears to be a consistent link between mental health, stress and depression and e</w:t>
      </w:r>
      <w:r>
        <w:noBreakHyphen/>
        <w:t>cigarette use. One unexpected theme was that of sexuality and gender minorities who seem to be disproportionate</w:t>
      </w:r>
      <w:r w:rsidR="005D4809">
        <w:t>ly heavy</w:t>
      </w:r>
      <w:r>
        <w:t xml:space="preserve"> users of e</w:t>
      </w:r>
      <w:r>
        <w:noBreakHyphen/>
        <w:t>cigarettes.</w:t>
      </w:r>
      <w:r w:rsidRPr="00E63F53">
        <w:t xml:space="preserve"> </w:t>
      </w:r>
    </w:p>
    <w:p w14:paraId="13377C2A" w14:textId="77777777" w:rsidR="00E53F6C" w:rsidRDefault="00E53F6C" w:rsidP="00E53F6C">
      <w:pPr>
        <w:pStyle w:val="BodyText"/>
      </w:pPr>
      <w:r>
        <w:t>Some of the papers explored provide greater depth into observations already made. For example, the powerful influence of social and environment factors on e</w:t>
      </w:r>
      <w:r>
        <w:noBreakHyphen/>
        <w:t>cigarette use. This may be particularly relevant for youth who generally have more sources of social influence.</w:t>
      </w:r>
    </w:p>
    <w:p w14:paraId="52A315AC" w14:textId="0C6BE7C8" w:rsidR="00E53F6C" w:rsidRPr="002E3AED" w:rsidRDefault="00E53F6C" w:rsidP="00E53F6C">
      <w:pPr>
        <w:pStyle w:val="BodyText"/>
      </w:pPr>
      <w:r>
        <w:t>More or less, the picture painted based on US data is fairly consistent with previous reports that e</w:t>
      </w:r>
      <w:r>
        <w:noBreakHyphen/>
        <w:t>cigarette use is increasing, that males, young people and certain racial groups are more likely to be ever-users of e</w:t>
      </w:r>
      <w:r>
        <w:noBreakHyphen/>
        <w:t>cigarettes. There also appears to be an association with level of education. However, the direction of this association is unclear with some datasets suggest that use is lowest amongst those with a college degree (2013-2014 NATS)</w:t>
      </w:r>
      <w:r w:rsidR="00C74449">
        <w:t xml:space="preserve"> </w:t>
      </w:r>
      <w:r>
        <w:fldChar w:fldCharType="begin"/>
      </w:r>
      <w:r w:rsidR="00903735">
        <w:instrText xml:space="preserve"> ADDIN EN.CITE &lt;EndNote&gt;&lt;Cite&gt;&lt;Author&gt;US Dept of Health and Human Services&lt;/Author&gt;&lt;Year&gt;2016&lt;/Year&gt;&lt;RecNum&gt;13024&lt;/RecNum&gt;&lt;DisplayText&gt;(US Dept of Health and Human Services 2016)&lt;/DisplayText&gt;&lt;record&gt;&lt;rec-number&gt;13024&lt;/rec-number&gt;&lt;foreign-keys&gt;&lt;key app="EN" db-id="5xv5w5t2bdxtxfezx02xtxdft5rz5ptvvt29" timestamp="1524017182"&gt;13024&lt;/key&gt;&lt;/foreign-keys&gt;&lt;ref-type name="Journal Article"&gt;17&lt;/ref-type&gt;&lt;contributors&gt;&lt;authors&gt;&lt;author&gt;US Dept of Health and Human Services,&lt;/author&gt;&lt;/authors&gt;&lt;/contributors&gt;&lt;titles&gt;&lt;title&gt;E-cigarette Use among Youth and Young Adults:A report of the Surgeon General&lt;/title&gt;&lt;/titles&gt;&lt;dates&gt;&lt;year&gt;2016&lt;/year&gt;&lt;/dates&gt;&lt;urls&gt;&lt;/urls&gt;&lt;/record&gt;&lt;/Cite&gt;&lt;/EndNote&gt;</w:instrText>
      </w:r>
      <w:r>
        <w:fldChar w:fldCharType="separate"/>
      </w:r>
      <w:r>
        <w:rPr>
          <w:noProof/>
        </w:rPr>
        <w:t>(US Dept of Health and Human Services 2016)</w:t>
      </w:r>
      <w:r>
        <w:fldChar w:fldCharType="end"/>
      </w:r>
      <w:r>
        <w:t xml:space="preserve">, whilst others indicate that it is highest amongst those </w:t>
      </w:r>
      <w:r w:rsidRPr="00755033">
        <w:t>with a high school and associate degree</w:t>
      </w:r>
      <w:r>
        <w:t xml:space="preserve"> (</w:t>
      </w:r>
      <w:r w:rsidRPr="00C54E31">
        <w:t>TUS-CPS</w:t>
      </w:r>
      <w:r>
        <w:t>)</w:t>
      </w:r>
      <w:r>
        <w:fldChar w:fldCharType="begin">
          <w:fldData xml:space="preserve">PEVuZE5vdGU+PENpdGU+PEF1dGhvcj5MZXZ5PC9BdXRob3I+PFllYXI+MjAxNzwvWWVhcj48UmVj
TnVtPjQ4NDk8L1JlY051bT48RGlzcGxheVRleHQ+KExldnksIFl1YW4gZXQgYWwuIDIwMTcpPC9E
aXNwbGF5VGV4dD48cmVjb3JkPjxyZWMtbnVtYmVyPjQ4NDk8L3JlYy1udW1iZXI+PGZvcmVpZ24t
a2V5cz48a2V5IGFwcD0iRU4iIGRiLWlkPSJmcHQ5cHR0cm01emZzYWVzcDlmcHNkZHYwOWV3c3Y1
eGV3ZmQiIHRpbWVzdGFtcD0iMTUyNTA0NTYwMiI+NDg0OTwva2V5PjxrZXkgYXBwPSJFTldlYiIg
ZGItaWQ9IiI+MDwva2V5PjwvZm9yZWlnbi1rZXlzPjxyZWYtdHlwZSBuYW1lPSJKb3VybmFsIEFy
dGljbGUiPjE3PC9yZWYtdHlwZT48Y29udHJpYnV0b3JzPjxhdXRob3JzPjxhdXRob3I+TGV2eSwg
RC4gVC48L2F1dGhvcj48YXV0aG9yPll1YW4sIFouPC9hdXRob3I+PGF1dGhvcj5MaSwgWS48L2F1
dGhvcj48L2F1dGhvcnM+PC9jb250cmlidXRvcnM+PGF1dGgtYWRkcmVzcz5Mb21iYXJkaSBDb21w
cmVoZW5zaXZlIENhbmNlciBDZW50ZXIsIEdlb3JnZXRvd24gVW5pdmVyc2l0eSwgV2FzaGluZ3Rv
biwgREMgMjAwMDcsIFVTQS4gZGw3NzdAZ2VvcmdldG93bi5lZHUuJiN4RDtMb21iYXJkaSBDb21w
cmVoZW5zaXZlIENhbmNlciBDZW50ZXIsIEdlb3JnZXRvd24gVW5pdmVyc2l0eSwgV2FzaGluZ3Rv
biwgREMgMjAwMDcsIFVTQS4genk3MEBnZW9yZ2V0b3duLmVkdS4mI3hEO0xvbWJhcmRpIENvbXBy
ZWhlbnNpdmUgQ2FuY2VyIENlbnRlciwgR2VvcmdldG93biBVbml2ZXJzaXR5LCBXYXNoaW5ndG9u
LCBEQyAyMDAwNywgVVNBLiB5bDk1NEBnZW9yZ2V0b3duLmVkdS48L2F1dGgtYWRkcmVzcz48dGl0
bGVzPjx0aXRsZT5UaGUgUHJldmFsZW5jZSBhbmQgQ2hhcmFjdGVyaXN0aWNzIG9mIEUtQ2lnYXJl
dHRlIFVzZXJzIGluIHRoZSBVLlM8L3RpdGxlPjxzZWNvbmRhcnktdGl0bGU+SW50IEogRW52aXJv
biBSZXMgUHVibGljIEhlYWx0aDwvc2Vjb25kYXJ5LXRpdGxlPjxhbHQtdGl0bGU+SW50ZXJuYXRp
b25hbCBqb3VybmFsIG9mIGVudmlyb25tZW50YWwgcmVzZWFyY2ggYW5kIHB1YmxpYyBoZWFsdGg8
L2FsdC10aXRsZT48L3RpdGxlcz48YWx0LXBlcmlvZGljYWw+PGZ1bGwtdGl0bGU+SW50ZXJuYXRp
b25hbCBKb3VybmFsIG9mIEVudmlyb25tZW50YWwgUmVzZWFyY2ggYW5kIFB1YmxpYyBIZWFsdGg8
L2Z1bGwtdGl0bGU+PC9hbHQtcGVyaW9kaWNhbD48dm9sdW1lPjE0PC92b2x1bWU+PG51bWJlcj4x
MDwvbnVtYmVyPjxlZGl0aW9uPjIwMTcvMTAvMTI8L2VkaXRpb24+PGtleXdvcmRzPjxrZXl3b3Jk
PmRlbW9ncmFwaGljczwva2V5d29yZD48a2V5d29yZD5lLWNpZ2FyZXR0ZXMsIHByZXZhbGVuY2U8
L2tleXdvcmQ+PGtleXdvcmQ+ZWxlY3Ryb25pYyBjaWdhcmV0dGVzPC9rZXl3b3JkPjxrZXl3b3Jk
PnB1YmxpYyBwb2xpY3k8L2tleXdvcmQ+PGtleXdvcmQ+dGhlIGRlc2lnbiBvZiB0aGUgc3R1ZHk8
L2tleXdvcmQ+PGtleXdvcmQ+aW4gdGhlIGNvbGxlY3Rpb24sIGFuYWx5c2VzLCBvciBpbnRlcnBy
ZXRhdGlvbiBvZiBkYXRhPC9rZXl3b3JkPjxrZXl3b3JkPmluIHRoZSB3cml0aW5nIG9mIHRoZSBt
YW51c2NyaXB0LCBhbmQgaW4gdGhlIGRlY2lzaW9uIHRvIHB1Ymxpc2ggdGhlIHJlc3VsdHMuPC9r
ZXl3b3JkPjwva2V5d29yZHM+PGRhdGVzPjx5ZWFyPjIwMTc8L3llYXI+PHB1Yi1kYXRlcz48ZGF0
ZT5PY3QgMTE8L2RhdGU+PC9wdWItZGF0ZXM+PC9kYXRlcz48aXNibj4xNjYwLTQ2MDE8L2lzYm4+
PGFjY2Vzc2lvbi1udW0+MjkwMTk5MTc8L2FjY2Vzc2lvbi1udW0+PHVybHM+PHJlbGF0ZWQtdXJs
cz48dXJsPmh0dHA6Ly93d3cubWRwaS5jb20vMTY2MC00NjAxLzE0LzEwLzEyMDAvcGRmPC91cmw+
PC9yZWxhdGVkLXVybHM+PC91cmxzPjxjdXN0b20yPlBNQzU2NjQ3MDE8L2N1c3RvbTI+PGVsZWN0
cm9uaWMtcmVzb3VyY2UtbnVtPjEwLjMzOTAvaWplcnBoMTQxMDEyMDA8L2VsZWN0cm9uaWMtcmVz
b3VyY2UtbnVtPjxyZW1vdGUtZGF0YWJhc2UtcHJvdmlkZXI+TkxNPC9yZW1vdGUtZGF0YWJhc2Ut
cHJvdmlkZXI+PGxhbmd1YWdlPmVuZzwvbGFuZ3VhZ2U+PC9yZWNvcmQ+PC9DaXRlPjwvRW5kTm90
ZT4A
</w:fldData>
        </w:fldChar>
      </w:r>
      <w:r>
        <w:instrText xml:space="preserve"> ADDIN EN.CITE </w:instrText>
      </w:r>
      <w:r>
        <w:fldChar w:fldCharType="begin">
          <w:fldData xml:space="preserve">PEVuZE5vdGU+PENpdGU+PEF1dGhvcj5MZXZ5PC9BdXRob3I+PFllYXI+MjAxNzwvWWVhcj48UmVj
TnVtPjQ4NDk8L1JlY051bT48RGlzcGxheVRleHQ+KExldnksIFl1YW4gZXQgYWwuIDIwMTcpPC9E
aXNwbGF5VGV4dD48cmVjb3JkPjxyZWMtbnVtYmVyPjQ4NDk8L3JlYy1udW1iZXI+PGZvcmVpZ24t
a2V5cz48a2V5IGFwcD0iRU4iIGRiLWlkPSJmcHQ5cHR0cm01emZzYWVzcDlmcHNkZHYwOWV3c3Y1
eGV3ZmQiIHRpbWVzdGFtcD0iMTUyNTA0NTYwMiI+NDg0OTwva2V5PjxrZXkgYXBwPSJFTldlYiIg
ZGItaWQ9IiI+MDwva2V5PjwvZm9yZWlnbi1rZXlzPjxyZWYtdHlwZSBuYW1lPSJKb3VybmFsIEFy
dGljbGUiPjE3PC9yZWYtdHlwZT48Y29udHJpYnV0b3JzPjxhdXRob3JzPjxhdXRob3I+TGV2eSwg
RC4gVC48L2F1dGhvcj48YXV0aG9yPll1YW4sIFouPC9hdXRob3I+PGF1dGhvcj5MaSwgWS48L2F1
dGhvcj48L2F1dGhvcnM+PC9jb250cmlidXRvcnM+PGF1dGgtYWRkcmVzcz5Mb21iYXJkaSBDb21w
cmVoZW5zaXZlIENhbmNlciBDZW50ZXIsIEdlb3JnZXRvd24gVW5pdmVyc2l0eSwgV2FzaGluZ3Rv
biwgREMgMjAwMDcsIFVTQS4gZGw3NzdAZ2VvcmdldG93bi5lZHUuJiN4RDtMb21iYXJkaSBDb21w
cmVoZW5zaXZlIENhbmNlciBDZW50ZXIsIEdlb3JnZXRvd24gVW5pdmVyc2l0eSwgV2FzaGluZ3Rv
biwgREMgMjAwMDcsIFVTQS4genk3MEBnZW9yZ2V0b3duLmVkdS4mI3hEO0xvbWJhcmRpIENvbXBy
ZWhlbnNpdmUgQ2FuY2VyIENlbnRlciwgR2VvcmdldG93biBVbml2ZXJzaXR5LCBXYXNoaW5ndG9u
LCBEQyAyMDAwNywgVVNBLiB5bDk1NEBnZW9yZ2V0b3duLmVkdS48L2F1dGgtYWRkcmVzcz48dGl0
bGVzPjx0aXRsZT5UaGUgUHJldmFsZW5jZSBhbmQgQ2hhcmFjdGVyaXN0aWNzIG9mIEUtQ2lnYXJl
dHRlIFVzZXJzIGluIHRoZSBVLlM8L3RpdGxlPjxzZWNvbmRhcnktdGl0bGU+SW50IEogRW52aXJv
biBSZXMgUHVibGljIEhlYWx0aDwvc2Vjb25kYXJ5LXRpdGxlPjxhbHQtdGl0bGU+SW50ZXJuYXRp
b25hbCBqb3VybmFsIG9mIGVudmlyb25tZW50YWwgcmVzZWFyY2ggYW5kIHB1YmxpYyBoZWFsdGg8
L2FsdC10aXRsZT48L3RpdGxlcz48YWx0LXBlcmlvZGljYWw+PGZ1bGwtdGl0bGU+SW50ZXJuYXRp
b25hbCBKb3VybmFsIG9mIEVudmlyb25tZW50YWwgUmVzZWFyY2ggYW5kIFB1YmxpYyBIZWFsdGg8
L2Z1bGwtdGl0bGU+PC9hbHQtcGVyaW9kaWNhbD48dm9sdW1lPjE0PC92b2x1bWU+PG51bWJlcj4x
MDwvbnVtYmVyPjxlZGl0aW9uPjIwMTcvMTAvMTI8L2VkaXRpb24+PGtleXdvcmRzPjxrZXl3b3Jk
PmRlbW9ncmFwaGljczwva2V5d29yZD48a2V5d29yZD5lLWNpZ2FyZXR0ZXMsIHByZXZhbGVuY2U8
L2tleXdvcmQ+PGtleXdvcmQ+ZWxlY3Ryb25pYyBjaWdhcmV0dGVzPC9rZXl3b3JkPjxrZXl3b3Jk
PnB1YmxpYyBwb2xpY3k8L2tleXdvcmQ+PGtleXdvcmQ+dGhlIGRlc2lnbiBvZiB0aGUgc3R1ZHk8
L2tleXdvcmQ+PGtleXdvcmQ+aW4gdGhlIGNvbGxlY3Rpb24sIGFuYWx5c2VzLCBvciBpbnRlcnBy
ZXRhdGlvbiBvZiBkYXRhPC9rZXl3b3JkPjxrZXl3b3JkPmluIHRoZSB3cml0aW5nIG9mIHRoZSBt
YW51c2NyaXB0LCBhbmQgaW4gdGhlIGRlY2lzaW9uIHRvIHB1Ymxpc2ggdGhlIHJlc3VsdHMuPC9r
ZXl3b3JkPjwva2V5d29yZHM+PGRhdGVzPjx5ZWFyPjIwMTc8L3llYXI+PHB1Yi1kYXRlcz48ZGF0
ZT5PY3QgMTE8L2RhdGU+PC9wdWItZGF0ZXM+PC9kYXRlcz48aXNibj4xNjYwLTQ2MDE8L2lzYm4+
PGFjY2Vzc2lvbi1udW0+MjkwMTk5MTc8L2FjY2Vzc2lvbi1udW0+PHVybHM+PHJlbGF0ZWQtdXJs
cz48dXJsPmh0dHA6Ly93d3cubWRwaS5jb20vMTY2MC00NjAxLzE0LzEwLzEyMDAvcGRmPC91cmw+
PC9yZWxhdGVkLXVybHM+PC91cmxzPjxjdXN0b20yPlBNQzU2NjQ3MDE8L2N1c3RvbTI+PGVsZWN0
cm9uaWMtcmVzb3VyY2UtbnVtPjEwLjMzOTAvaWplcnBoMTQxMDEyMDA8L2VsZWN0cm9uaWMtcmVz
b3VyY2UtbnVtPjxyZW1vdGUtZGF0YWJhc2UtcHJvdmlkZXI+TkxNPC9yZW1vdGUtZGF0YWJhc2Ut
cHJvdmlkZXI+PGxhbmd1YWdlPmVuZzwvbGFuZ3VhZ2U+PC9yZWNvcmQ+PC9DaXRlPjwvRW5kTm90
ZT4A
</w:fldData>
        </w:fldChar>
      </w:r>
      <w:r>
        <w:instrText xml:space="preserve"> ADDIN EN.CITE.DATA </w:instrText>
      </w:r>
      <w:r>
        <w:fldChar w:fldCharType="end"/>
      </w:r>
      <w:r>
        <w:fldChar w:fldCharType="separate"/>
      </w:r>
      <w:r>
        <w:rPr>
          <w:noProof/>
        </w:rPr>
        <w:t>(Levy, Yuan et al. 2017)</w:t>
      </w:r>
      <w:r>
        <w:fldChar w:fldCharType="end"/>
      </w:r>
      <w:r>
        <w:t xml:space="preserve"> and others still suggest that those who switch from smoking conventional cigarettes to e</w:t>
      </w:r>
      <w:r>
        <w:noBreakHyphen/>
        <w:t xml:space="preserve">cigarettes have a higher level of education </w:t>
      </w:r>
      <w:r>
        <w:fldChar w:fldCharType="begin">
          <w:fldData xml:space="preserve">PEVuZE5vdGU+PENpdGU+PEF1dGhvcj5QYXJrPC9BdXRob3I+PFllYXI+MjAxNzwvWWVhcj48UmVj
TnVtPjYzNjI8L1JlY051bT48RGlzcGxheVRleHQ+KFBhcmssIER1bmNhbiBldCBhbC4gMjAxNyk8
L0Rpc3BsYXlUZXh0PjxyZWNvcmQ+PHJlYy1udW1iZXI+NjM2MjwvcmVjLW51bWJlcj48Zm9yZWln
bi1rZXlzPjxrZXkgYXBwPSJFTiIgZGItaWQ9ImZwdDlwdHRybTV6ZnNhZXNwOWZwc2RkdjA5ZXdz
djV4ZXdmZCIgdGltZXN0YW1wPSIxNTI1MDQ3ODExIj42MzYyPC9rZXk+PGtleSBhcHA9IkVOV2Vi
IiBkYi1pZD0iIj4wPC9rZXk+PC9mb3JlaWduLWtleXM+PHJlZi10eXBlIG5hbWU9IkpvdXJuYWwg
QXJ0aWNsZSI+MTc8L3JlZi10eXBlPjxjb250cmlidXRvcnM+PGF1dGhvcnM+PGF1dGhvcj5QYXJr
LCBTLiBILjwvYXV0aG9yPjxhdXRob3I+RHVuY2FuLCBELiBULjwvYXV0aG9yPjxhdXRob3I+U2hh
aGF3eSwgTy4gRS48L2F1dGhvcj48YXV0aG9yPkxlZSwgTC48L2F1dGhvcj48YXV0aG9yPlNoZWFy
c3RvbiwgSi4gQS48L2F1dGhvcj48YXV0aG9yPlRhbXVyYSwgSy48L2F1dGhvcj48YXV0aG9yPlNo
ZXJtYW4sIFMuIEUuPC9hdXRob3I+PGF1dGhvcj5XZWl0em1hbiwgTS48L2F1dGhvcj48L2F1dGhv
cnM+PC9jb250cmlidXRvcnM+PGF1dGgtYWRkcmVzcz5EZXBhcnRtZW50IG9mIFBlZGlhdHJpY3Ms
IE5ldyBZb3JrIFVuaXZlcnNpdHkgU2Nob29sIG9mIE1lZGljaW5lLCBOZXcgWW9yaywgTmV3IFlv
cms7IERlcGFydG1lbnQgb2YgUG9wdWxhdGlvbiBIZWFsdGgsIE5ldyBZb3JrIFVuaXZlcnNpdHkg
U2Nob29sIG9mIE1lZGljaW5lLCBOZXcgWW9yaywgTmV3IFlvcmsuIEVsZWN0cm9uaWMgYWRkcmVz
czogc3VoeXVuLnBhcmtAbnl1bWMub3JnLiYjeEQ7RGVwYXJ0bWVudCBvZiBQb3B1bGF0aW9uIEhl
YWx0aCwgTmV3IFlvcmsgVW5pdmVyc2l0eSBTY2hvb2wgb2YgTWVkaWNpbmUsIE5ldyBZb3JrLCBO
ZXcgWW9yay4mI3hEO0RlcGFydG1lbnQgb2YgUG9wdWxhdGlvbiBIZWFsdGgsIE5ldyBZb3JrIFVu
aXZlcnNpdHkgU2Nob29sIG9mIE1lZGljaW5lLCBOZXcgWW9yaywgTmV3IFlvcms7IE5ZVS9BYnUg
RGhhYmkgUHVibGljIEhlYWx0aCBSZXNlYXJjaCBDZW50ZXIsIEFidSBEaGFiaSwgVW5pdGVkIEFy
YWIgRW1pcmF0ZXMuJiN4RDtEZXBhcnRtZW50IG9mIFBlZGlhdHJpY3MsIE5ldyBZb3JrIFVuaXZl
cnNpdHkgU2Nob29sIG9mIE1lZGljaW5lLCBOZXcgWW9yaywgTmV3IFlvcms7IERlcGFydG1lbnQg
b2YgQ2hlbWlzdHJ5LCBCcm9va2x5biBDb2xsZWdlLCBOZXcgWW9yaywgTmV3IFlvcmsuJiN4RDtE
ZXBhcnRtZW50IG9mIFBvcHVsYXRpb24gSGVhbHRoLCBOZXcgWW9yayBVbml2ZXJzaXR5IFNjaG9v
bCBvZiBNZWRpY2luZSwgTmV3IFlvcmssIE5ldyBZb3JrOyBOWVUvQWJ1IERoYWJpIFB1YmxpYyBI
ZWFsdGggUmVzZWFyY2ggQ2VudGVyLCBBYnUgRGhhYmksIFVuaXRlZCBBcmFiIEVtaXJhdGVzOyBD
b2xsZWdlIG9mIEdsb2JhbCBQdWJsaWMgSGVhbHRoLCBOZXcgWW9yayBVbml2ZXJzaXR5LCBOZXcg
WW9yaywgTmV3IFlvcmsuJiN4RDtEZXBhcnRtZW50IG9mIFBvcHVsYXRpb24gSGVhbHRoLCBOZXcg
WW9yayBVbml2ZXJzaXR5IFNjaG9vbCBvZiBNZWRpY2luZSwgTmV3IFlvcmssIE5ldyBZb3JrOyBO
WVUvQWJ1IERoYWJpIFB1YmxpYyBIZWFsdGggUmVzZWFyY2ggQ2VudGVyLCBBYnUgRGhhYmksIFVu
aXRlZCBBcmFiIEVtaXJhdGVzOyBDb2xsZWdlIG9mIEdsb2JhbCBQdWJsaWMgSGVhbHRoLCBOZXcg
WW9yayBVbml2ZXJzaXR5LCBOZXcgWW9yaywgTmV3IFlvcms7IFZBIE5ldyBZb3JrIEhhcmJvciBI
ZWFsdGhjYXJlIFN5c3RlbSwgTmV3IFlvcmssIE5ldyBZb3JrLiYjeEQ7RGVwYXJ0bWVudCBvZiBQ
ZWRpYXRyaWNzLCBOZXcgWW9yayBVbml2ZXJzaXR5IFNjaG9vbCBvZiBNZWRpY2luZSwgTmV3IFlv
cmssIE5ldyBZb3JrOyBOWVUvQWJ1IERoYWJpIFB1YmxpYyBIZWFsdGggUmVzZWFyY2ggQ2VudGVy
LCBBYnUgRGhhYmksIFVuaXRlZCBBcmFiIEVtaXJhdGVzOyBDb2xsZWdlIG9mIEdsb2JhbCBQdWJs
aWMgSGVhbHRoLCBOZXcgWW9yayBVbml2ZXJzaXR5LCBOZXcgWW9yaywgTmV3IFlvcms7IERlcGFy
dG1lbnQgb2YgRW52aXJvbm1lbnRhbCBNZWRpY2luZSwgTmV3IFlvcmsgVW5pdmVyc2l0eSBTY2hv
b2wgb2YgTWVkaWNpbmUsIE5ldyBZb3JrLCBOZXcgWW9yay48L2F1dGgtYWRkcmVzcz48dGl0bGVz
Pjx0aXRsZT5DaGFyYWN0ZXJpc3RpY3Mgb2YgQWR1bHRzIFdobyBTd2l0Y2hlZCBGcm9tIENpZ2Fy
ZXR0ZSBTbW9raW5nIHRvIEUtY2lnYXJldHRlczwvdGl0bGU+PHNlY29uZGFyeS10aXRsZT5BbSBK
IFByZXYgTWVkPC9zZWNvbmRhcnktdGl0bGU+PGFsdC10aXRsZT5BbWVyaWNhbiBqb3VybmFsIG9m
IHByZXZlbnRpdmUgbWVkaWNpbmU8L2FsdC10aXRsZT48L3RpdGxlcz48YWx0LXBlcmlvZGljYWw+
PGZ1bGwtdGl0bGU+QW1lcmljYW4gSm91cm5hbCBvZiBQcmV2ZW50aXZlIE1lZGljaW5lPC9mdWxs
LXRpdGxlPjwvYWx0LXBlcmlvZGljYWw+PHBhZ2VzPjY1Mi02NjA8L3BhZ2VzPjx2b2x1bWU+NTM8
L3ZvbHVtZT48bnVtYmVyPjU8L251bWJlcj48ZWRpdGlvbj4yMDE3LzA5LzAzPC9lZGl0aW9uPjxk
YXRlcz48eWVhcj4yMDE3PC95ZWFyPjxwdWItZGF0ZXM+PGRhdGU+Tm92PC9kYXRlPjwvcHViLWRh
dGVzPjwvZGF0ZXM+PGlzYm4+MDc0OS0zNzk3PC9pc2JuPjxhY2Nlc3Npb24tbnVtPjI4ODY0MTMw
PC9hY2Nlc3Npb24tbnVtPjx1cmxzPjxyZWxhdGVkLXVybHM+PHVybD5odHRwOi8vd3d3LmFqcG1v
bmxpbmUub3JnL2FydGljbGUvUzA3NDktMzc5NygxNykzMDM2My1YL3BkZjwvdXJsPjwvcmVsYXRl
ZC11cmxzPjwvdXJscz48ZWxlY3Ryb25pYy1yZXNvdXJjZS1udW0+MTAuMTAxNi9qLmFtZXByZS4y
MDE3LjA2LjAzMzwvZWxlY3Ryb25pYy1yZXNvdXJjZS1udW0+PHJlbW90ZS1kYXRhYmFzZS1wcm92
aWRlcj5OTE08L3JlbW90ZS1kYXRhYmFzZS1wcm92aWRlcj48bGFuZ3VhZ2U+ZW5nPC9sYW5ndWFn
ZT48L3JlY29yZD48L0NpdGU+PC9FbmROb3RlPgB=
</w:fldData>
        </w:fldChar>
      </w:r>
      <w:r>
        <w:instrText xml:space="preserve"> ADDIN EN.CITE </w:instrText>
      </w:r>
      <w:r>
        <w:fldChar w:fldCharType="begin">
          <w:fldData xml:space="preserve">PEVuZE5vdGU+PENpdGU+PEF1dGhvcj5QYXJrPC9BdXRob3I+PFllYXI+MjAxNzwvWWVhcj48UmVj
TnVtPjYzNjI8L1JlY051bT48RGlzcGxheVRleHQ+KFBhcmssIER1bmNhbiBldCBhbC4gMjAxNyk8
L0Rpc3BsYXlUZXh0PjxyZWNvcmQ+PHJlYy1udW1iZXI+NjM2MjwvcmVjLW51bWJlcj48Zm9yZWln
bi1rZXlzPjxrZXkgYXBwPSJFTiIgZGItaWQ9ImZwdDlwdHRybTV6ZnNhZXNwOWZwc2RkdjA5ZXdz
djV4ZXdmZCIgdGltZXN0YW1wPSIxNTI1MDQ3ODExIj42MzYyPC9rZXk+PGtleSBhcHA9IkVOV2Vi
IiBkYi1pZD0iIj4wPC9rZXk+PC9mb3JlaWduLWtleXM+PHJlZi10eXBlIG5hbWU9IkpvdXJuYWwg
QXJ0aWNsZSI+MTc8L3JlZi10eXBlPjxjb250cmlidXRvcnM+PGF1dGhvcnM+PGF1dGhvcj5QYXJr
LCBTLiBILjwvYXV0aG9yPjxhdXRob3I+RHVuY2FuLCBELiBULjwvYXV0aG9yPjxhdXRob3I+U2hh
aGF3eSwgTy4gRS48L2F1dGhvcj48YXV0aG9yPkxlZSwgTC48L2F1dGhvcj48YXV0aG9yPlNoZWFy
c3RvbiwgSi4gQS48L2F1dGhvcj48YXV0aG9yPlRhbXVyYSwgSy48L2F1dGhvcj48YXV0aG9yPlNo
ZXJtYW4sIFMuIEUuPC9hdXRob3I+PGF1dGhvcj5XZWl0em1hbiwgTS48L2F1dGhvcj48L2F1dGhv
cnM+PC9jb250cmlidXRvcnM+PGF1dGgtYWRkcmVzcz5EZXBhcnRtZW50IG9mIFBlZGlhdHJpY3Ms
IE5ldyBZb3JrIFVuaXZlcnNpdHkgU2Nob29sIG9mIE1lZGljaW5lLCBOZXcgWW9yaywgTmV3IFlv
cms7IERlcGFydG1lbnQgb2YgUG9wdWxhdGlvbiBIZWFsdGgsIE5ldyBZb3JrIFVuaXZlcnNpdHkg
U2Nob29sIG9mIE1lZGljaW5lLCBOZXcgWW9yaywgTmV3IFlvcmsuIEVsZWN0cm9uaWMgYWRkcmVz
czogc3VoeXVuLnBhcmtAbnl1bWMub3JnLiYjeEQ7RGVwYXJ0bWVudCBvZiBQb3B1bGF0aW9uIEhl
YWx0aCwgTmV3IFlvcmsgVW5pdmVyc2l0eSBTY2hvb2wgb2YgTWVkaWNpbmUsIE5ldyBZb3JrLCBO
ZXcgWW9yay4mI3hEO0RlcGFydG1lbnQgb2YgUG9wdWxhdGlvbiBIZWFsdGgsIE5ldyBZb3JrIFVu
aXZlcnNpdHkgU2Nob29sIG9mIE1lZGljaW5lLCBOZXcgWW9yaywgTmV3IFlvcms7IE5ZVS9BYnUg
RGhhYmkgUHVibGljIEhlYWx0aCBSZXNlYXJjaCBDZW50ZXIsIEFidSBEaGFiaSwgVW5pdGVkIEFy
YWIgRW1pcmF0ZXMuJiN4RDtEZXBhcnRtZW50IG9mIFBlZGlhdHJpY3MsIE5ldyBZb3JrIFVuaXZl
cnNpdHkgU2Nob29sIG9mIE1lZGljaW5lLCBOZXcgWW9yaywgTmV3IFlvcms7IERlcGFydG1lbnQg
b2YgQ2hlbWlzdHJ5LCBCcm9va2x5biBDb2xsZWdlLCBOZXcgWW9yaywgTmV3IFlvcmsuJiN4RDtE
ZXBhcnRtZW50IG9mIFBvcHVsYXRpb24gSGVhbHRoLCBOZXcgWW9yayBVbml2ZXJzaXR5IFNjaG9v
bCBvZiBNZWRpY2luZSwgTmV3IFlvcmssIE5ldyBZb3JrOyBOWVUvQWJ1IERoYWJpIFB1YmxpYyBI
ZWFsdGggUmVzZWFyY2ggQ2VudGVyLCBBYnUgRGhhYmksIFVuaXRlZCBBcmFiIEVtaXJhdGVzOyBD
b2xsZWdlIG9mIEdsb2JhbCBQdWJsaWMgSGVhbHRoLCBOZXcgWW9yayBVbml2ZXJzaXR5LCBOZXcg
WW9yaywgTmV3IFlvcmsuJiN4RDtEZXBhcnRtZW50IG9mIFBvcHVsYXRpb24gSGVhbHRoLCBOZXcg
WW9yayBVbml2ZXJzaXR5IFNjaG9vbCBvZiBNZWRpY2luZSwgTmV3IFlvcmssIE5ldyBZb3JrOyBO
WVUvQWJ1IERoYWJpIFB1YmxpYyBIZWFsdGggUmVzZWFyY2ggQ2VudGVyLCBBYnUgRGhhYmksIFVu
aXRlZCBBcmFiIEVtaXJhdGVzOyBDb2xsZWdlIG9mIEdsb2JhbCBQdWJsaWMgSGVhbHRoLCBOZXcg
WW9yayBVbml2ZXJzaXR5LCBOZXcgWW9yaywgTmV3IFlvcms7IFZBIE5ldyBZb3JrIEhhcmJvciBI
ZWFsdGhjYXJlIFN5c3RlbSwgTmV3IFlvcmssIE5ldyBZb3JrLiYjeEQ7RGVwYXJ0bWVudCBvZiBQ
ZWRpYXRyaWNzLCBOZXcgWW9yayBVbml2ZXJzaXR5IFNjaG9vbCBvZiBNZWRpY2luZSwgTmV3IFlv
cmssIE5ldyBZb3JrOyBOWVUvQWJ1IERoYWJpIFB1YmxpYyBIZWFsdGggUmVzZWFyY2ggQ2VudGVy
LCBBYnUgRGhhYmksIFVuaXRlZCBBcmFiIEVtaXJhdGVzOyBDb2xsZWdlIG9mIEdsb2JhbCBQdWJs
aWMgSGVhbHRoLCBOZXcgWW9yayBVbml2ZXJzaXR5LCBOZXcgWW9yaywgTmV3IFlvcms7IERlcGFy
dG1lbnQgb2YgRW52aXJvbm1lbnRhbCBNZWRpY2luZSwgTmV3IFlvcmsgVW5pdmVyc2l0eSBTY2hv
b2wgb2YgTWVkaWNpbmUsIE5ldyBZb3JrLCBOZXcgWW9yay48L2F1dGgtYWRkcmVzcz48dGl0bGVz
Pjx0aXRsZT5DaGFyYWN0ZXJpc3RpY3Mgb2YgQWR1bHRzIFdobyBTd2l0Y2hlZCBGcm9tIENpZ2Fy
ZXR0ZSBTbW9raW5nIHRvIEUtY2lnYXJldHRlczwvdGl0bGU+PHNlY29uZGFyeS10aXRsZT5BbSBK
IFByZXYgTWVkPC9zZWNvbmRhcnktdGl0bGU+PGFsdC10aXRsZT5BbWVyaWNhbiBqb3VybmFsIG9m
IHByZXZlbnRpdmUgbWVkaWNpbmU8L2FsdC10aXRsZT48L3RpdGxlcz48YWx0LXBlcmlvZGljYWw+
PGZ1bGwtdGl0bGU+QW1lcmljYW4gSm91cm5hbCBvZiBQcmV2ZW50aXZlIE1lZGljaW5lPC9mdWxs
LXRpdGxlPjwvYWx0LXBlcmlvZGljYWw+PHBhZ2VzPjY1Mi02NjA8L3BhZ2VzPjx2b2x1bWU+NTM8
L3ZvbHVtZT48bnVtYmVyPjU8L251bWJlcj48ZWRpdGlvbj4yMDE3LzA5LzAzPC9lZGl0aW9uPjxk
YXRlcz48eWVhcj4yMDE3PC95ZWFyPjxwdWItZGF0ZXM+PGRhdGU+Tm92PC9kYXRlPjwvcHViLWRh
dGVzPjwvZGF0ZXM+PGlzYm4+MDc0OS0zNzk3PC9pc2JuPjxhY2Nlc3Npb24tbnVtPjI4ODY0MTMw
PC9hY2Nlc3Npb24tbnVtPjx1cmxzPjxyZWxhdGVkLXVybHM+PHVybD5odHRwOi8vd3d3LmFqcG1v
bmxpbmUub3JnL2FydGljbGUvUzA3NDktMzc5NygxNykzMDM2My1YL3BkZjwvdXJsPjwvcmVsYXRl
ZC11cmxzPjwvdXJscz48ZWxlY3Ryb25pYy1yZXNvdXJjZS1udW0+MTAuMTAxNi9qLmFtZXByZS4y
MDE3LjA2LjAzMzwvZWxlY3Ryb25pYy1yZXNvdXJjZS1udW0+PHJlbW90ZS1kYXRhYmFzZS1wcm92
aWRlcj5OTE08L3JlbW90ZS1kYXRhYmFzZS1wcm92aWRlcj48bGFuZ3VhZ2U+ZW5nPC9sYW5ndWFn
ZT48L3JlY29yZD48L0NpdGU+PC9FbmROb3RlPgB=
</w:fldData>
        </w:fldChar>
      </w:r>
      <w:r>
        <w:instrText xml:space="preserve"> ADDIN EN.CITE.DATA </w:instrText>
      </w:r>
      <w:r>
        <w:fldChar w:fldCharType="end"/>
      </w:r>
      <w:r>
        <w:fldChar w:fldCharType="separate"/>
      </w:r>
      <w:r>
        <w:rPr>
          <w:noProof/>
        </w:rPr>
        <w:t>(Park, Duncan et al. 2017)</w:t>
      </w:r>
      <w:r>
        <w:fldChar w:fldCharType="end"/>
      </w:r>
      <w:r>
        <w:t>.</w:t>
      </w:r>
    </w:p>
    <w:bookmarkEnd w:id="294"/>
    <w:p w14:paraId="55834D16" w14:textId="77777777" w:rsidR="002E3AED" w:rsidRDefault="002E3AED">
      <w:pPr>
        <w:spacing w:after="0"/>
        <w:rPr>
          <w:sz w:val="24"/>
        </w:rPr>
      </w:pPr>
      <w:r>
        <w:br w:type="page"/>
      </w:r>
    </w:p>
    <w:p w14:paraId="29312A86" w14:textId="77777777" w:rsidR="00673D5A" w:rsidRDefault="00673D5A" w:rsidP="00673D5A">
      <w:pPr>
        <w:pStyle w:val="Heading1"/>
        <w:pageBreakBefore w:val="0"/>
        <w:spacing w:before="480" w:after="360" w:line="240" w:lineRule="auto"/>
        <w:ind w:left="1134" w:hanging="1134"/>
        <w:rPr>
          <w:rFonts w:eastAsia="Times New Roman"/>
        </w:rPr>
      </w:pPr>
      <w:bookmarkStart w:id="314" w:name="_Toc514669959"/>
      <w:bookmarkStart w:id="315" w:name="_Toc515893210"/>
      <w:bookmarkStart w:id="316" w:name="_Toc517706742"/>
      <w:r>
        <w:lastRenderedPageBreak/>
        <w:t>Non-US data on e</w:t>
      </w:r>
      <w:r>
        <w:noBreakHyphen/>
        <w:t>cigarette use</w:t>
      </w:r>
      <w:bookmarkEnd w:id="314"/>
      <w:bookmarkEnd w:id="315"/>
      <w:bookmarkEnd w:id="316"/>
      <w:r w:rsidRPr="001A3D56">
        <w:rPr>
          <w:rFonts w:eastAsia="Times New Roman"/>
        </w:rPr>
        <w:t xml:space="preserve"> </w:t>
      </w:r>
    </w:p>
    <w:p w14:paraId="5E390EE0" w14:textId="77777777" w:rsidR="00673D5A" w:rsidRDefault="00673D5A" w:rsidP="00673D5A">
      <w:pPr>
        <w:pStyle w:val="BodyText"/>
      </w:pPr>
      <w:r>
        <w:t xml:space="preserve">Data from the UK (n=8) were analysed separately to allow easier comparison to the Public Health England report </w:t>
      </w:r>
      <w:r>
        <w:fldChar w:fldCharType="begin"/>
      </w:r>
      <w:r w:rsidR="00903735">
        <w:instrText xml:space="preserve"> ADDIN EN.CITE &lt;EndNote&gt;&lt;Cite&gt;&lt;Author&gt;Stratton&lt;/Author&gt;&lt;Year&gt;2018&lt;/Year&gt;&lt;RecNum&gt;7073&lt;/RecNum&gt;&lt;DisplayText&gt;(Stratton, Kwan et al. 2018)&lt;/DisplayText&gt;&lt;record&gt;&lt;rec-number&gt;7073&lt;/rec-number&gt;&lt;foreign-keys&gt;&lt;key app="EN" db-id="5xv5w5t2bdxtxfezx02xtxdft5rz5ptvvt29" timestamp="1521076678"&gt;7073&lt;/key&gt;&lt;/foreign-keys&gt;&lt;ref-type name="Report"&gt;27&lt;/ref-type&gt;&lt;contributors&gt;&lt;authors&gt;&lt;author&gt;Kathleen Stratton&lt;/author&gt;&lt;author&gt;Leslie Y Kwan&lt;/author&gt;&lt;author&gt;David L Eaton&lt;/author&gt;&lt;/authors&gt;&lt;tertiary-authors&gt;&lt;author&gt;The National Academies Press&lt;/author&gt;&lt;/tertiary-authors&gt;&lt;/contributors&gt;&lt;titles&gt;&lt;title&gt;Public Health Consequences of e-Cigarettes&lt;/title&gt;&lt;/titles&gt;&lt;dates&gt;&lt;year&gt;2018&lt;/year&gt;&lt;/dates&gt;&lt;pub-location&gt;Washington DC&lt;/pub-location&gt;&lt;publisher&gt;Board on Population Health and Public Health Practice, Health and Medicine Division, The National Academies of Sciences, Engineering and Medicine&lt;/publisher&gt;&lt;urls&gt;&lt;/urls&gt;&lt;/record&gt;&lt;/Cite&gt;&lt;/EndNote&gt;</w:instrText>
      </w:r>
      <w:r>
        <w:fldChar w:fldCharType="separate"/>
      </w:r>
      <w:r>
        <w:rPr>
          <w:noProof/>
        </w:rPr>
        <w:t>(Stratton, Kwan et al. 2018)</w:t>
      </w:r>
      <w:r>
        <w:fldChar w:fldCharType="end"/>
      </w:r>
      <w:r>
        <w:t>. Given the specific interest in Australian data (n=6), these papers were also analysed separately from the others. Due to cultural and physical proximity, two papers from New Zealand are also summarised with these data.</w:t>
      </w:r>
    </w:p>
    <w:p w14:paraId="4DFC8A0E" w14:textId="77777777" w:rsidR="00673D5A" w:rsidRDefault="00673D5A" w:rsidP="00673D5A">
      <w:pPr>
        <w:pStyle w:val="BodyText"/>
      </w:pPr>
    </w:p>
    <w:p w14:paraId="6C491D64" w14:textId="77777777" w:rsidR="00673D5A" w:rsidRDefault="00673D5A" w:rsidP="00673D5A">
      <w:pPr>
        <w:pStyle w:val="Heading2"/>
        <w:ind w:left="1134" w:hanging="1134"/>
      </w:pPr>
      <w:bookmarkStart w:id="317" w:name="_Toc517706743"/>
      <w:bookmarkStart w:id="318" w:name="_Toc515893211"/>
      <w:r>
        <w:t>Australian Studies</w:t>
      </w:r>
      <w:bookmarkEnd w:id="317"/>
      <w:r>
        <w:t xml:space="preserve"> </w:t>
      </w:r>
      <w:bookmarkEnd w:id="318"/>
    </w:p>
    <w:p w14:paraId="4BF96B28" w14:textId="77777777" w:rsidR="00673D5A" w:rsidRDefault="00673D5A" w:rsidP="00673D5A">
      <w:pPr>
        <w:pStyle w:val="BodyText"/>
      </w:pPr>
      <w:r>
        <w:t xml:space="preserve">Of the </w:t>
      </w:r>
      <w:r w:rsidR="00726029">
        <w:t>six</w:t>
      </w:r>
      <w:r>
        <w:t xml:space="preserve"> Australian studies found, half were qualitative studies </w:t>
      </w:r>
      <w:r>
        <w:fldChar w:fldCharType="begin">
          <w:fldData xml:space="preserve">PEVuZE5vdGU+PENpdGU+PEF1dGhvcj5Ccm93bjwvQXV0aG9yPjxZZWFyPjIwMTg8L1llYXI+PFJl
Y051bT42MzQzPC9SZWNOdW0+PERpc3BsYXlUZXh0PihLZWFuZSwgV2VpZXIgZXQgYWwuIDIwMTcs
IEJyb3duIDIwMTgsIFl1a2UsIEZvcmQgZXQgYWwuIDIwMTgpPC9EaXNwbGF5VGV4dD48cmVjb3Jk
PjxyZWMtbnVtYmVyPjYzNDM8L3JlYy1udW1iZXI+PGZvcmVpZ24ta2V5cz48a2V5IGFwcD0iRU4i
IGRiLWlkPSJmcHQ5cHR0cm01emZzYWVzcDlmcHNkZHYwOWV3c3Y1eGV3ZmQiIHRpbWVzdGFtcD0i
MTUyNTA0NzIwMiI+NjM0Mzwva2V5PjxrZXkgYXBwPSJFTldlYiIgZGItaWQ9IiI+MDwva2V5Pjwv
Zm9yZWlnbi1rZXlzPjxyZWYtdHlwZSBuYW1lPSJKb3VybmFsIEFydGljbGUiPjE3PC9yZWYtdHlw
ZT48Y29udHJpYnV0b3JzPjxhdXRob3JzPjxhdXRob3I+QnJvd24sIEouIEUuIEguPC9hdXRob3I+
PC9hdXRob3JzPjwvY29udHJpYnV0b3JzPjx0aXRsZXM+PHRpdGxlPuKAmERvaW5nIFRoaW5ncyBM
aXR0bGUgYnkgTGl0dGxl4oCZOiBTbW9raW5nIGFuZCBWYXBpbmcgV2hpbGUgQmVpbmcgUGhhcm1h
Y2V1dGljYWxseSBUcmVhdGVkIGZvciBTY2hpem9waHJlbmlhPC90aXRsZT48c2Vjb25kYXJ5LXRp
dGxlPkFudGhyb3BvbG9naWNhbCBGb3J1bTwvc2Vjb25kYXJ5LXRpdGxlPjwvdGl0bGVzPjxwZXJp
b2RpY2FsPjxmdWxsLXRpdGxlPkFudGhyb3BvbG9naWNhbCBGb3J1bTwvZnVsbC10aXRsZT48L3Bl
cmlvZGljYWw+PHBhZ2VzPjEtMTM8L3BhZ2VzPjxkYXRlcz48eWVhcj4yMDE4PC95ZWFyPjwvZGF0
ZXM+PHVybHM+PHJlbGF0ZWQtdXJscz48dXJsPmh0dHBzOi8vd3d3LnNjb3B1cy5jb20vaW53YXJk
L3JlY29yZC51cmk/ZWlkPTItczIuMC04NTA0MjIzMTE1NyZhbXA7ZG9pPTEwLjEwODAlMmYwMDY2
NDY3Ny4yMDE4LjE0NDAxOTImYW1wO3BhcnRuZXJJRD00MCZhbXA7bWQ1PTczYTliZWY3MDliZTEw
YTMxNjM0ZjIyNTBjYTdkZDU0PC91cmw+PHVybD5odHRwczovL3d3dy50YW5kZm9ubGluZS5jb20v
ZG9pL3BkZi8xMC4xMDgwLzAwNjY0Njc3LjIwMTguMTQ0MDE5Mj9uZWVkQWNjZXNzPXRydWU8L3Vy
bD48L3JlbGF0ZWQtdXJscz48L3VybHM+PGVsZWN0cm9uaWMtcmVzb3VyY2UtbnVtPjEwLjEwODAv
MDA2NjQ2NzcuMjAxOC4xNDQwMTkyPC9lbGVjdHJvbmljLXJlc291cmNlLW51bT48cmVtb3RlLWRh
dGFiYXNlLW5hbWU+U2NvcHVzPC9yZW1vdGUtZGF0YWJhc2UtbmFtZT48L3JlY29yZD48L0NpdGU+
PENpdGU+PEF1dGhvcj5LZWFuZTwvQXV0aG9yPjxZZWFyPjIwMTc8L1llYXI+PFJlY051bT42MzM1
PC9SZWNOdW0+PHJlY29yZD48cmVjLW51bWJlcj42MzM1PC9yZWMtbnVtYmVyPjxmb3JlaWduLWtl
eXM+PGtleSBhcHA9IkVOIiBkYi1pZD0iZnB0OXB0dHJtNXpmc2Flc3A5ZnBzZGR2MDlld3N2NXhl
d2ZkIiB0aW1lc3RhbXA9IjE1MjUwNDcxNzgiPjYzMzU8L2tleT48a2V5IGFwcD0iRU5XZWIiIGRi
LWlkPSIiPjA8L2tleT48L2ZvcmVpZ24ta2V5cz48cmVmLXR5cGUgbmFtZT0iSm91cm5hbCBBcnRp
Y2xlIj4xNzwvcmVmLXR5cGU+PGNvbnRyaWJ1dG9ycz48YXV0aG9ycz48YXV0aG9yPktlYW5lLCBI
LjwvYXV0aG9yPjxhdXRob3I+V2VpZXIsIE0uPC9hdXRob3I+PGF1dGhvcj5GcmFzZXIsIEQuPC9h
dXRob3I+PGF1dGhvcj5HYXJ0bmVyLCBDLjwvYXV0aG9yPjwvYXV0aG9ycz48L2NvbnRyaWJ1dG9y
cz48dGl0bGVzPjx0aXRsZT7igJhBbnl0aW1lLCBhbnl3aGVyZeKAmTogdmFwaW5nIGFzIHNvY2lh
bCBwcmFjdGljZTwvdGl0bGU+PHNlY29uZGFyeS10aXRsZT5Dcml0aWNhbCBQdWJsaWMgSGVhbHRo
PC9zZWNvbmRhcnktdGl0bGU+PC90aXRsZXM+PHBlcmlvZGljYWw+PGZ1bGwtdGl0bGU+Q3JpdGlj
YWwgUHVibGljIEhlYWx0aDwvZnVsbC10aXRsZT48L3BlcmlvZGljYWw+PHBhZ2VzPjQ2NS00NzY8
L3BhZ2VzPjx2b2x1bWU+Mjc8L3ZvbHVtZT48bnVtYmVyPjQ8L251bWJlcj48a2V5d29yZHM+PGtl
eXdvcmQ+QXJ0aWNsZTwva2V5d29yZD48a2V5d29yZD5hdHRpdHVkZSB0byBoZWFsdGg8L2tleXdv
cmQ+PGtleXdvcmQ+Y3VsdHVyYWwgY29tcGV0ZW5jZTwva2V5d29yZD48a2V5d29yZD5lbGVjdHJv
bmljIGNpZ2FyZXR0ZTwva2V5d29yZD48a2V5d29yZD5mZW1hbGU8L2tleXdvcmQ+PGtleXdvcmQ+
aGFiaXR1YWwgYWRhcHRhdGlvbjwva2V5d29yZD48a2V5d29yZD5oZWFsdGggYmVoYXZpb3I8L2tl
eXdvcmQ+PGtleXdvcmQ+aGVhbHRoIGNhcmUgcG9saWN5PC9rZXl3b3JkPjxrZXl3b3JkPmhlYWx0
aCBlZHVjYXRpb248L2tleXdvcmQ+PGtleXdvcmQ+aGVhbHRoIHN1cnZleTwva2V5d29yZD48a2V5
d29yZD5odW1hbjwva2V5d29yZD48a2V5d29yZD5rbm93bGVkZ2U8L2tleXdvcmQ+PGtleXdvcmQ+
bWFsZTwva2V5d29yZD48a2V5d29yZD5wdWJsaWMgaGVhbHRoPC9rZXl3b3JkPjxrZXl3b3JkPnNt
b2tpbmc8L2tleXdvcmQ+PGtleXdvcmQ+c29jaWFsIGJlaGF2aW9yPC9rZXl3b3JkPjxrZXl3b3Jk
PnNvY2lhbCBkZXRlcm1pbmFudHMgb2YgaGVhbHRoPC9rZXl3b3JkPjxrZXl3b3JkPnRvYmFjY28g
ZGVwZW5kZW5jZTwva2V5d29yZD48a2V5d29yZD52YXBpbmc8L2tleXdvcmQ+PC9rZXl3b3Jkcz48
ZGF0ZXM+PHllYXI+MjAxNzwveWVhcj48L2RhdGVzPjx1cmxzPjxyZWxhdGVkLXVybHM+PHVybD5o
dHRwczovL3d3dy5zY29wdXMuY29tL2lud2FyZC9yZWNvcmQudXJpP2VpZD0yLXMyLjAtODQ5OTQw
OTcwMTEmYW1wO2RvaT0xMC4xMDgwJTJmMDk1ODE1OTYuMjAxNi4xMjUwODY3JmFtcDtwYXJ0bmVy
SUQ9NDAmYW1wO21kNT0xMzQ5NDY5NjcwNmU4MmQxY2UyOTg0MTRmNTI2NzdhZTwvdXJsPjx1cmw+
aHR0cHM6Ly93d3cudGFuZGZvbmxpbmUuY29tL2RvaS9wZGYvMTAuMTA4MC8wOTU4MTU5Ni4yMDE2
LjEyNTA4Njc/bmVlZEFjY2Vzcz10cnVlPC91cmw+PC9yZWxhdGVkLXVybHM+PC91cmxzPjxlbGVj
dHJvbmljLXJlc291cmNlLW51bT4xMC4xMDgwLzA5NTgxNTk2LjIwMTYuMTI1MDg2NzwvZWxlY3Ry
b25pYy1yZXNvdXJjZS1udW0+PHJlbW90ZS1kYXRhYmFzZS1uYW1lPlNjb3B1czwvcmVtb3RlLWRh
dGFiYXNlLW5hbWU+PC9yZWNvcmQ+PC9DaXRlPjxDaXRlPjxBdXRob3I+WXVrZTwvQXV0aG9yPjxZ
ZWFyPjIwMTg8L1llYXI+PFJlY051bT4xMjM1NTwvUmVjTnVtPjxyZWNvcmQ+PHJlYy1udW1iZXI+
MTIzNTU8L3JlYy1udW1iZXI+PGZvcmVpZ24ta2V5cz48a2V5IGFwcD0iRU4iIGRiLWlkPSI1eHY1
dzV0MmJkeHR4ZmV6eDAyeHR4ZGZ0NXJ6NXB0dnZ0MjkiIHRpbWVzdGFtcD0iMTUyMzg2OTI5OSI+
MTIzNTU8L2tleT48a2V5IGFwcD0iRU5XZWIiIGRiLWlkPSIiPjA8L2tleT48L2ZvcmVpZ24ta2V5
cz48cmVmLXR5cGUgbmFtZT0iSm91cm5hbCBBcnRpY2xlIj4xNzwvcmVmLXR5cGU+PGNvbnRyaWJ1
dG9ycz48YXV0aG9ycz48YXV0aG9yPll1a2UsIEsuPC9hdXRob3I+PGF1dGhvcj5Gb3JkLCBQLjwv
YXV0aG9yPjxhdXRob3I+Rm9sZXksIFcuPC9hdXRob3I+PGF1dGhvcj5NdXRjaCwgQS48L2F1dGhv
cj48YXV0aG9yPkZpdHpnZXJhbGQsIEwuPC9hdXRob3I+PGF1dGhvcj5HYXJ0bmVyLCBDLjwvYXV0
aG9yPjwvYXV0aG9ycz48L2NvbnRyaWJ1dG9ycz48YXV0aC1hZGRyZXNzPlNvdXRoZXJuIFF1ZWVu
c2xhbmQgQ2VudHJlIG9mIEV4Y2VsbGVuY2UgaW4gQWJvcmlnaW5hbCBhbmQgVG9ycmVzIFN0cmFp
dCBJc2xhbmRlciBQcmltYXJ5IEhlYWx0aCBDYXJlLCBCcmlzYmFuZSwgQXVzdHJhbGlhLiYjeEQ7
U2Nob29sIG9mIFB1YmxpYyBIZWFsdGgsIFRoZSBVbml2ZXJzaXR5IG9mIFF1ZWVuc2xhbmQsIEJy
aXNiYW5lLCBBdXN0cmFsaWEuJiN4RDtTY2hvb2wgb2YgRGVudGlzdHJ5LCBUaGUgVW5pdmVyc2l0
eSBvZiBRdWVlbnNsYW5kLCBCcmlzYmFuZSwgQXVzdHJhbGlhLjwvYXV0aC1hZGRyZXNzPjx0aXRs
ZXM+PHRpdGxlPkF1c3RyYWxpYW4gdXJiYW4gSW5kaWdlbm91cyBzbW9rZXJzJmFwb3M7IHBlcnNw
ZWN0aXZlcyBvbiBuaWNvdGluZSBwcm9kdWN0cyBhbmQgdG9iYWNjbyBoYXJtIHJlZHVjdGlvbjwv
dGl0bGU+PHNlY29uZGFyeS10aXRsZT5EcnVnIEFsY29ob2wgUmV2PC9zZWNvbmRhcnktdGl0bGU+
PGFsdC10aXRsZT5EcnVnIGFuZCBhbGNvaG9sIHJldmlldzwvYWx0LXRpdGxlPjwvdGl0bGVzPjxw
ZXJpb2RpY2FsPjxmdWxsLXRpdGxlPkRydWcgQWxjb2hvbCBSZXY8L2Z1bGwtdGl0bGU+PGFiYnIt
MT5EcnVnIGFuZCBhbGNvaG9sIHJldmlldzwvYWJici0xPjwvcGVyaW9kaWNhbD48YWx0LXBlcmlv
ZGljYWw+PGZ1bGwtdGl0bGU+RHJ1ZyBBbGNvaG9sIFJldjwvZnVsbC10aXRsZT48YWJici0xPkRy
dWcgYW5kIGFsY29ob2wgcmV2aWV3PC9hYmJyLTE+PC9hbHQtcGVyaW9kaWNhbD48cGFnZXM+ODct
OTY8L3BhZ2VzPjx2b2x1bWU+Mzc8L3ZvbHVtZT48bnVtYmVyPjE8L251bWJlcj48ZWRpdGlvbj4y
MDE3LzA1LzEyPC9lZGl0aW9uPjxrZXl3b3Jkcz48a2V5d29yZD5JbmRpZ2Vub3VzPC9rZXl3b3Jk
PjxrZXl3b3JkPmUtY2lnYXJldHRlczwva2V5d29yZD48a2V5d29yZD5uaWNvdGluZSByZXBsYWNl
bWVudCB0aGVyYXB5PC9rZXl3b3JkPjxrZXl3b3JkPnF1YWxpdGF0aXZlIHJlc2VhcmNoPC9rZXl3
b3JkPjxrZXl3b3JkPnRvYmFjY28gaGFybSByZWR1Y3Rpb248L2tleXdvcmQ+PC9rZXl3b3Jkcz48
ZGF0ZXM+PHllYXI+MjAxODwveWVhcj48cHViLWRhdGVzPjxkYXRlPkphbjwvZGF0ZT48L3B1Yi1k
YXRlcz48L2RhdGVzPjxpc2JuPjA5NTktNTIzNjwvaXNibj48YWNjZXNzaW9uLW51bT4yODQ5MzQw
NTwvYWNjZXNzaW9uLW51bT48dXJscz48cmVsYXRlZC11cmxzPjx1cmw+aHR0cHM6Ly9vbmxpbmVs
aWJyYXJ5LndpbGV5LmNvbS9kb2kvcGRmLzEwLjExMTEvZGFyLjEyNTQ5PC91cmw+PC9yZWxhdGVk
LXVybHM+PC91cmxzPjxlbGVjdHJvbmljLXJlc291cmNlLW51bT4xMC4xMTExL2Rhci4xMjU0OTwv
ZWxlY3Ryb25pYy1yZXNvdXJjZS1udW0+PHJlbW90ZS1kYXRhYmFzZS1wcm92aWRlcj5OTE08L3Jl
bW90ZS1kYXRhYmFzZS1wcm92aWRlcj48bGFuZ3VhZ2U+ZW5nPC9sYW5ndWFnZT48L3JlY29yZD48
L0NpdGU+PC9FbmROb3RlPgB=
</w:fldData>
        </w:fldChar>
      </w:r>
      <w:r w:rsidR="00903735">
        <w:instrText xml:space="preserve"> ADDIN EN.CITE </w:instrText>
      </w:r>
      <w:r w:rsidR="00903735">
        <w:fldChar w:fldCharType="begin">
          <w:fldData xml:space="preserve">PEVuZE5vdGU+PENpdGU+PEF1dGhvcj5Ccm93bjwvQXV0aG9yPjxZZWFyPjIwMTg8L1llYXI+PFJl
Y051bT42MzQzPC9SZWNOdW0+PERpc3BsYXlUZXh0PihLZWFuZSwgV2VpZXIgZXQgYWwuIDIwMTcs
IEJyb3duIDIwMTgsIFl1a2UsIEZvcmQgZXQgYWwuIDIwMTgpPC9EaXNwbGF5VGV4dD48cmVjb3Jk
PjxyZWMtbnVtYmVyPjYzNDM8L3JlYy1udW1iZXI+PGZvcmVpZ24ta2V5cz48a2V5IGFwcD0iRU4i
IGRiLWlkPSJmcHQ5cHR0cm01emZzYWVzcDlmcHNkZHYwOWV3c3Y1eGV3ZmQiIHRpbWVzdGFtcD0i
MTUyNTA0NzIwMiI+NjM0Mzwva2V5PjxrZXkgYXBwPSJFTldlYiIgZGItaWQ9IiI+MDwva2V5Pjwv
Zm9yZWlnbi1rZXlzPjxyZWYtdHlwZSBuYW1lPSJKb3VybmFsIEFydGljbGUiPjE3PC9yZWYtdHlw
ZT48Y29udHJpYnV0b3JzPjxhdXRob3JzPjxhdXRob3I+QnJvd24sIEouIEUuIEguPC9hdXRob3I+
PC9hdXRob3JzPjwvY29udHJpYnV0b3JzPjx0aXRsZXM+PHRpdGxlPuKAmERvaW5nIFRoaW5ncyBM
aXR0bGUgYnkgTGl0dGxl4oCZOiBTbW9raW5nIGFuZCBWYXBpbmcgV2hpbGUgQmVpbmcgUGhhcm1h
Y2V1dGljYWxseSBUcmVhdGVkIGZvciBTY2hpem9waHJlbmlhPC90aXRsZT48c2Vjb25kYXJ5LXRp
dGxlPkFudGhyb3BvbG9naWNhbCBGb3J1bTwvc2Vjb25kYXJ5LXRpdGxlPjwvdGl0bGVzPjxwZXJp
b2RpY2FsPjxmdWxsLXRpdGxlPkFudGhyb3BvbG9naWNhbCBGb3J1bTwvZnVsbC10aXRsZT48L3Bl
cmlvZGljYWw+PHBhZ2VzPjEtMTM8L3BhZ2VzPjxkYXRlcz48eWVhcj4yMDE4PC95ZWFyPjwvZGF0
ZXM+PHVybHM+PHJlbGF0ZWQtdXJscz48dXJsPmh0dHBzOi8vd3d3LnNjb3B1cy5jb20vaW53YXJk
L3JlY29yZC51cmk/ZWlkPTItczIuMC04NTA0MjIzMTE1NyZhbXA7ZG9pPTEwLjEwODAlMmYwMDY2
NDY3Ny4yMDE4LjE0NDAxOTImYW1wO3BhcnRuZXJJRD00MCZhbXA7bWQ1PTczYTliZWY3MDliZTEw
YTMxNjM0ZjIyNTBjYTdkZDU0PC91cmw+PHVybD5odHRwczovL3d3dy50YW5kZm9ubGluZS5jb20v
ZG9pL3BkZi8xMC4xMDgwLzAwNjY0Njc3LjIwMTguMTQ0MDE5Mj9uZWVkQWNjZXNzPXRydWU8L3Vy
bD48L3JlbGF0ZWQtdXJscz48L3VybHM+PGVsZWN0cm9uaWMtcmVzb3VyY2UtbnVtPjEwLjEwODAv
MDA2NjQ2NzcuMjAxOC4xNDQwMTkyPC9lbGVjdHJvbmljLXJlc291cmNlLW51bT48cmVtb3RlLWRh
dGFiYXNlLW5hbWU+U2NvcHVzPC9yZW1vdGUtZGF0YWJhc2UtbmFtZT48L3JlY29yZD48L0NpdGU+
PENpdGU+PEF1dGhvcj5LZWFuZTwvQXV0aG9yPjxZZWFyPjIwMTc8L1llYXI+PFJlY051bT42MzM1
PC9SZWNOdW0+PHJlY29yZD48cmVjLW51bWJlcj42MzM1PC9yZWMtbnVtYmVyPjxmb3JlaWduLWtl
eXM+PGtleSBhcHA9IkVOIiBkYi1pZD0iZnB0OXB0dHJtNXpmc2Flc3A5ZnBzZGR2MDlld3N2NXhl
d2ZkIiB0aW1lc3RhbXA9IjE1MjUwNDcxNzgiPjYzMzU8L2tleT48a2V5IGFwcD0iRU5XZWIiIGRi
LWlkPSIiPjA8L2tleT48L2ZvcmVpZ24ta2V5cz48cmVmLXR5cGUgbmFtZT0iSm91cm5hbCBBcnRp
Y2xlIj4xNzwvcmVmLXR5cGU+PGNvbnRyaWJ1dG9ycz48YXV0aG9ycz48YXV0aG9yPktlYW5lLCBI
LjwvYXV0aG9yPjxhdXRob3I+V2VpZXIsIE0uPC9hdXRob3I+PGF1dGhvcj5GcmFzZXIsIEQuPC9h
dXRob3I+PGF1dGhvcj5HYXJ0bmVyLCBDLjwvYXV0aG9yPjwvYXV0aG9ycz48L2NvbnRyaWJ1dG9y
cz48dGl0bGVzPjx0aXRsZT7igJhBbnl0aW1lLCBhbnl3aGVyZeKAmTogdmFwaW5nIGFzIHNvY2lh
bCBwcmFjdGljZTwvdGl0bGU+PHNlY29uZGFyeS10aXRsZT5Dcml0aWNhbCBQdWJsaWMgSGVhbHRo
PC9zZWNvbmRhcnktdGl0bGU+PC90aXRsZXM+PHBlcmlvZGljYWw+PGZ1bGwtdGl0bGU+Q3JpdGlj
YWwgUHVibGljIEhlYWx0aDwvZnVsbC10aXRsZT48L3BlcmlvZGljYWw+PHBhZ2VzPjQ2NS00NzY8
L3BhZ2VzPjx2b2x1bWU+Mjc8L3ZvbHVtZT48bnVtYmVyPjQ8L251bWJlcj48a2V5d29yZHM+PGtl
eXdvcmQ+QXJ0aWNsZTwva2V5d29yZD48a2V5d29yZD5hdHRpdHVkZSB0byBoZWFsdGg8L2tleXdv
cmQ+PGtleXdvcmQ+Y3VsdHVyYWwgY29tcGV0ZW5jZTwva2V5d29yZD48a2V5d29yZD5lbGVjdHJv
bmljIGNpZ2FyZXR0ZTwva2V5d29yZD48a2V5d29yZD5mZW1hbGU8L2tleXdvcmQ+PGtleXdvcmQ+
aGFiaXR1YWwgYWRhcHRhdGlvbjwva2V5d29yZD48a2V5d29yZD5oZWFsdGggYmVoYXZpb3I8L2tl
eXdvcmQ+PGtleXdvcmQ+aGVhbHRoIGNhcmUgcG9saWN5PC9rZXl3b3JkPjxrZXl3b3JkPmhlYWx0
aCBlZHVjYXRpb248L2tleXdvcmQ+PGtleXdvcmQ+aGVhbHRoIHN1cnZleTwva2V5d29yZD48a2V5
d29yZD5odW1hbjwva2V5d29yZD48a2V5d29yZD5rbm93bGVkZ2U8L2tleXdvcmQ+PGtleXdvcmQ+
bWFsZTwva2V5d29yZD48a2V5d29yZD5wdWJsaWMgaGVhbHRoPC9rZXl3b3JkPjxrZXl3b3JkPnNt
b2tpbmc8L2tleXdvcmQ+PGtleXdvcmQ+c29jaWFsIGJlaGF2aW9yPC9rZXl3b3JkPjxrZXl3b3Jk
PnNvY2lhbCBkZXRlcm1pbmFudHMgb2YgaGVhbHRoPC9rZXl3b3JkPjxrZXl3b3JkPnRvYmFjY28g
ZGVwZW5kZW5jZTwva2V5d29yZD48a2V5d29yZD52YXBpbmc8L2tleXdvcmQ+PC9rZXl3b3Jkcz48
ZGF0ZXM+PHllYXI+MjAxNzwveWVhcj48L2RhdGVzPjx1cmxzPjxyZWxhdGVkLXVybHM+PHVybD5o
dHRwczovL3d3dy5zY29wdXMuY29tL2lud2FyZC9yZWNvcmQudXJpP2VpZD0yLXMyLjAtODQ5OTQw
OTcwMTEmYW1wO2RvaT0xMC4xMDgwJTJmMDk1ODE1OTYuMjAxNi4xMjUwODY3JmFtcDtwYXJ0bmVy
SUQ9NDAmYW1wO21kNT0xMzQ5NDY5NjcwNmU4MmQxY2UyOTg0MTRmNTI2NzdhZTwvdXJsPjx1cmw+
aHR0cHM6Ly93d3cudGFuZGZvbmxpbmUuY29tL2RvaS9wZGYvMTAuMTA4MC8wOTU4MTU5Ni4yMDE2
LjEyNTA4Njc/bmVlZEFjY2Vzcz10cnVlPC91cmw+PC9yZWxhdGVkLXVybHM+PC91cmxzPjxlbGVj
dHJvbmljLXJlc291cmNlLW51bT4xMC4xMDgwLzA5NTgxNTk2LjIwMTYuMTI1MDg2NzwvZWxlY3Ry
b25pYy1yZXNvdXJjZS1udW0+PHJlbW90ZS1kYXRhYmFzZS1uYW1lPlNjb3B1czwvcmVtb3RlLWRh
dGFiYXNlLW5hbWU+PC9yZWNvcmQ+PC9DaXRlPjxDaXRlPjxBdXRob3I+WXVrZTwvQXV0aG9yPjxZ
ZWFyPjIwMTg8L1llYXI+PFJlY051bT4xMjM1NTwvUmVjTnVtPjxyZWNvcmQ+PHJlYy1udW1iZXI+
MTIzNTU8L3JlYy1udW1iZXI+PGZvcmVpZ24ta2V5cz48a2V5IGFwcD0iRU4iIGRiLWlkPSI1eHY1
dzV0MmJkeHR4ZmV6eDAyeHR4ZGZ0NXJ6NXB0dnZ0MjkiIHRpbWVzdGFtcD0iMTUyMzg2OTI5OSI+
MTIzNTU8L2tleT48a2V5IGFwcD0iRU5XZWIiIGRiLWlkPSIiPjA8L2tleT48L2ZvcmVpZ24ta2V5
cz48cmVmLXR5cGUgbmFtZT0iSm91cm5hbCBBcnRpY2xlIj4xNzwvcmVmLXR5cGU+PGNvbnRyaWJ1
dG9ycz48YXV0aG9ycz48YXV0aG9yPll1a2UsIEsuPC9hdXRob3I+PGF1dGhvcj5Gb3JkLCBQLjwv
YXV0aG9yPjxhdXRob3I+Rm9sZXksIFcuPC9hdXRob3I+PGF1dGhvcj5NdXRjaCwgQS48L2F1dGhv
cj48YXV0aG9yPkZpdHpnZXJhbGQsIEwuPC9hdXRob3I+PGF1dGhvcj5HYXJ0bmVyLCBDLjwvYXV0
aG9yPjwvYXV0aG9ycz48L2NvbnRyaWJ1dG9ycz48YXV0aC1hZGRyZXNzPlNvdXRoZXJuIFF1ZWVu
c2xhbmQgQ2VudHJlIG9mIEV4Y2VsbGVuY2UgaW4gQWJvcmlnaW5hbCBhbmQgVG9ycmVzIFN0cmFp
dCBJc2xhbmRlciBQcmltYXJ5IEhlYWx0aCBDYXJlLCBCcmlzYmFuZSwgQXVzdHJhbGlhLiYjeEQ7
U2Nob29sIG9mIFB1YmxpYyBIZWFsdGgsIFRoZSBVbml2ZXJzaXR5IG9mIFF1ZWVuc2xhbmQsIEJy
aXNiYW5lLCBBdXN0cmFsaWEuJiN4RDtTY2hvb2wgb2YgRGVudGlzdHJ5LCBUaGUgVW5pdmVyc2l0
eSBvZiBRdWVlbnNsYW5kLCBCcmlzYmFuZSwgQXVzdHJhbGlhLjwvYXV0aC1hZGRyZXNzPjx0aXRs
ZXM+PHRpdGxlPkF1c3RyYWxpYW4gdXJiYW4gSW5kaWdlbm91cyBzbW9rZXJzJmFwb3M7IHBlcnNw
ZWN0aXZlcyBvbiBuaWNvdGluZSBwcm9kdWN0cyBhbmQgdG9iYWNjbyBoYXJtIHJlZHVjdGlvbjwv
dGl0bGU+PHNlY29uZGFyeS10aXRsZT5EcnVnIEFsY29ob2wgUmV2PC9zZWNvbmRhcnktdGl0bGU+
PGFsdC10aXRsZT5EcnVnIGFuZCBhbGNvaG9sIHJldmlldzwvYWx0LXRpdGxlPjwvdGl0bGVzPjxw
ZXJpb2RpY2FsPjxmdWxsLXRpdGxlPkRydWcgQWxjb2hvbCBSZXY8L2Z1bGwtdGl0bGU+PGFiYnIt
MT5EcnVnIGFuZCBhbGNvaG9sIHJldmlldzwvYWJici0xPjwvcGVyaW9kaWNhbD48YWx0LXBlcmlv
ZGljYWw+PGZ1bGwtdGl0bGU+RHJ1ZyBBbGNvaG9sIFJldjwvZnVsbC10aXRsZT48YWJici0xPkRy
dWcgYW5kIGFsY29ob2wgcmV2aWV3PC9hYmJyLTE+PC9hbHQtcGVyaW9kaWNhbD48cGFnZXM+ODct
OTY8L3BhZ2VzPjx2b2x1bWU+Mzc8L3ZvbHVtZT48bnVtYmVyPjE8L251bWJlcj48ZWRpdGlvbj4y
MDE3LzA1LzEyPC9lZGl0aW9uPjxrZXl3b3Jkcz48a2V5d29yZD5JbmRpZ2Vub3VzPC9rZXl3b3Jk
PjxrZXl3b3JkPmUtY2lnYXJldHRlczwva2V5d29yZD48a2V5d29yZD5uaWNvdGluZSByZXBsYWNl
bWVudCB0aGVyYXB5PC9rZXl3b3JkPjxrZXl3b3JkPnF1YWxpdGF0aXZlIHJlc2VhcmNoPC9rZXl3
b3JkPjxrZXl3b3JkPnRvYmFjY28gaGFybSByZWR1Y3Rpb248L2tleXdvcmQ+PC9rZXl3b3Jkcz48
ZGF0ZXM+PHllYXI+MjAxODwveWVhcj48cHViLWRhdGVzPjxkYXRlPkphbjwvZGF0ZT48L3B1Yi1k
YXRlcz48L2RhdGVzPjxpc2JuPjA5NTktNTIzNjwvaXNibj48YWNjZXNzaW9uLW51bT4yODQ5MzQw
NTwvYWNjZXNzaW9uLW51bT48dXJscz48cmVsYXRlZC11cmxzPjx1cmw+aHR0cHM6Ly9vbmxpbmVs
aWJyYXJ5LndpbGV5LmNvbS9kb2kvcGRmLzEwLjExMTEvZGFyLjEyNTQ5PC91cmw+PC9yZWxhdGVk
LXVybHM+PC91cmxzPjxlbGVjdHJvbmljLXJlc291cmNlLW51bT4xMC4xMTExL2Rhci4xMjU0OTwv
ZWxlY3Ryb25pYy1yZXNvdXJjZS1udW0+PHJlbW90ZS1kYXRhYmFzZS1wcm92aWRlcj5OTE08L3Jl
bW90ZS1kYXRhYmFzZS1wcm92aWRlcj48bGFuZ3VhZ2U+ZW5nPC9sYW5ndWFnZT48L3JlY29yZD48
L0NpdGU+PC9FbmROb3RlPgB=
</w:fldData>
        </w:fldChar>
      </w:r>
      <w:r w:rsidR="00903735">
        <w:instrText xml:space="preserve"> ADDIN EN.CITE.DATA </w:instrText>
      </w:r>
      <w:r w:rsidR="00903735">
        <w:fldChar w:fldCharType="end"/>
      </w:r>
      <w:r>
        <w:fldChar w:fldCharType="separate"/>
      </w:r>
      <w:r>
        <w:rPr>
          <w:noProof/>
        </w:rPr>
        <w:t>(Keane, Weier et al. 2017, Brown 2018, Yuke, Ford et al. 2018)</w:t>
      </w:r>
      <w:r>
        <w:fldChar w:fldCharType="end"/>
      </w:r>
      <w:r>
        <w:t xml:space="preserve"> with the remaining studies being a telephone survey, a national, school-based survey </w:t>
      </w:r>
      <w:r>
        <w:fldChar w:fldCharType="begin"/>
      </w:r>
      <w:r w:rsidR="00903735">
        <w:instrText xml:space="preserve"> ADDIN EN.CITE &lt;EndNote&gt;&lt;Cite&gt;&lt;Author&gt;Williams&lt;/Author&gt;&lt;Year&gt;2018&lt;/Year&gt;&lt;RecNum&gt;132&lt;/RecNum&gt;&lt;DisplayText&gt;(Williams and White 2018)&lt;/DisplayText&gt;&lt;record&gt;&lt;rec-number&gt;132&lt;/rec-number&gt;&lt;foreign-keys&gt;&lt;key app="EN" db-id="5xv5w5t2bdxtxfezx02xtxdft5rz5ptvvt29" timestamp="1520568414"&gt;132&lt;/key&gt;&lt;key app="ENWeb" db-id=""&gt;0&lt;/key&gt;&lt;/foreign-keys&gt;&lt;ref-type name="Journal Article"&gt;17&lt;/ref-type&gt;&lt;contributors&gt;&lt;authors&gt;&lt;author&gt;Williams, T.&lt;/author&gt;&lt;author&gt;White, V.&lt;/author&gt;&lt;/authors&gt;&lt;/contributors&gt;&lt;auth-address&gt;a Centre for Behavioural Research in Cancer , Cancer Council Victoria, Melbourne , Australia.&amp;#xD;b School of Psychology , Deakin University , Geelong , Australia.&lt;/auth-address&gt;&lt;titles&gt;&lt;title&gt;What Factors are Associated with Electronic Cigarette, Shisha-Tobacco and Conventional Cigarette Use? Findings from a Cross-Sectional Survey of Australian Adolescents?&lt;/title&gt;&lt;secondary-title&gt;Subst Use Misuse&lt;/secondary-title&gt;&lt;alt-title&gt;Substance use &amp;amp; misuse&lt;/alt-title&gt;&lt;/titles&gt;&lt;periodical&gt;&lt;full-title&gt;Subst Use Misuse&lt;/full-title&gt;&lt;abbr-1&gt;Substance use &amp;amp; misuse&lt;/abbr-1&gt;&lt;/periodical&gt;&lt;alt-periodical&gt;&lt;full-title&gt;Subst Use Misuse&lt;/full-title&gt;&lt;abbr-1&gt;Substance use &amp;amp; misuse&lt;/abbr-1&gt;&lt;/alt-periodical&gt;&lt;pages&gt;1-11&lt;/pages&gt;&lt;edition&gt;2018/01/18&lt;/edition&gt;&lt;keywords&gt;&lt;keyword&gt;Australia&lt;/keyword&gt;&lt;keyword&gt;Tobacco&lt;/keyword&gt;&lt;keyword&gt;adolescents&lt;/keyword&gt;&lt;keyword&gt;electronic cigarettes&lt;/keyword&gt;&lt;keyword&gt;hookah&lt;/keyword&gt;&lt;keyword&gt;shisha&lt;/keyword&gt;&lt;/keywords&gt;&lt;dates&gt;&lt;year&gt;2018&lt;/year&gt;&lt;pub-dates&gt;&lt;date&gt;Jan 16&lt;/date&gt;&lt;/pub-dates&gt;&lt;/dates&gt;&lt;isbn&gt;1082-6084&lt;/isbn&gt;&lt;accession-num&gt;29336657&lt;/accession-num&gt;&lt;urls&gt;&lt;related-urls&gt;&lt;url&gt;https://www.tandfonline.com/doi/pdf/10.1080/10826084.2017.1411367?needAccess=true&lt;/url&gt;&lt;/related-urls&gt;&lt;/urls&gt;&lt;electronic-resource-num&gt;10.1080/10826084.2017.1411367&lt;/electronic-resource-num&gt;&lt;remote-database-provider&gt;NLM&lt;/remote-database-provider&gt;&lt;language&gt;eng&lt;/language&gt;&lt;/record&gt;&lt;/Cite&gt;&lt;/EndNote&gt;</w:instrText>
      </w:r>
      <w:r>
        <w:fldChar w:fldCharType="separate"/>
      </w:r>
      <w:r>
        <w:rPr>
          <w:noProof/>
        </w:rPr>
        <w:t>(Williams and White 2018)</w:t>
      </w:r>
      <w:r>
        <w:fldChar w:fldCharType="end"/>
      </w:r>
      <w:r>
        <w:t xml:space="preserve"> and an international tobacco survey </w:t>
      </w:r>
      <w:r>
        <w:fldChar w:fldCharType="begin">
          <w:fldData xml:space="preserve">PEVuZE5vdGU+PENpdGU+PEF1dGhvcj5MZWU8L0F1dGhvcj48WWVhcj4yMDE4PC9ZZWFyPjxSZWNO
dW0+NDU5NTwvUmVjTnVtPjxEaXNwbGF5VGV4dD4oTGVlLCBZb25nIGV0IGFsLiAyMDE4KTwvRGlz
cGxheVRleHQ+PHJlY29yZD48cmVjLW51bWJlcj40NTk1PC9yZWMtbnVtYmVyPjxmb3JlaWduLWtl
eXM+PGtleSBhcHA9IkVOIiBkYi1pZD0iZnB0OXB0dHJtNXpmc2Flc3A5ZnBzZGR2MDlld3N2NXhl
d2ZkIiB0aW1lc3RhbXA9IjE1MjUwNDUxMjQiPjQ1OTU8L2tleT48a2V5IGFwcD0iRU5XZWIiIGRi
LWlkPSIiPjA8L2tleT48L2ZvcmVpZ24ta2V5cz48cmVmLXR5cGUgbmFtZT0iSm91cm5hbCBBcnRp
Y2xlIj4xNzwvcmVmLXR5cGU+PGNvbnRyaWJ1dG9ycz48YXV0aG9ycz48YXV0aG9yPkxlZSwgQy48
L2F1dGhvcj48YXV0aG9yPllvbmcsIEguIEguPC9hdXRob3I+PGF1dGhvcj5Cb3JsYW5kLCBSLjwv
YXV0aG9yPjxhdXRob3I+TWNOZWlsbCwgQS48L2F1dGhvcj48YXV0aG9yPkhpdGNobWFuLCBTLiBD
LjwvYXV0aG9yPjwvYXV0aG9ycz48L2NvbnRyaWJ1dG9ycz48YXV0aC1hZGRyZXNzPkRlcGFydG1l
bnQgb2YgRmFtaWx5IE1lZGljaW5lLCBIZWFsdGhjYXJlIFN5c3RlbSBHYW5nbmFtIENlbnRlciwg
U2VvdWwgTmF0aW9uYWwgVW5pdmVyc2l0eSBIb3NwaXRhbCwgU2VvdWwsIFNvdXRoIEtvcmVhLiYj
eEQ7TmlnZWwgR3JheSBGZWxsb3dzaGlwIEdyb3VwLCBDYW5jZXIgQ291bmNpbCBWaWN0b3JpYSwg
TWVsYm91cm5lLCBBdXN0cmFsaWEuJiN4RDtOaWdlbCBHcmF5IEZlbGxvd3NoaXAgR3JvdXAsIENh
bmNlciBDb3VuY2lsIFZpY3RvcmlhLCBNZWxib3VybmUsIEF1c3RyYWxpYS4gRWxlY3Ryb25pYyBh
ZGRyZXNzOiBSb24uQm9ybGFuZEBjYW5jZXJ2aWMub3JnLmF1LiYjeEQ7RGVwYXJ0bWVudCBvZiBB
ZGRpY3Rpb25zLCBJbnN0aXR1dGUgb2YgUHN5Y2hpYXRyeSwgUHN5Y2hvbG9neSwgYW5kIE5ldXJv
c2NpZW5jZSwgS2luZyZhcG9zO3MgQ29sbGVnZSBMb25kb24sIFVuaXRlZCBLaW5nZG9tOyBVSyBD
ZW50cmUgZm9yIFRvYmFjY28gYW5kIEFsY29ob2wgU3R1ZGllcyAoVUtDVEFTKSwgVW5pdmVyc2l0
eSBvZiBOb3R0aW5naGFtLCBOb3R0aW5naGFtLCBVbml0ZWQgS2luZ2RvbS48L2F1dGgtYWRkcmVz
cz48dGl0bGVzPjx0aXRsZT5BY2NlcHRhbmNlIGFuZCBwYXR0ZXJucyBvZiBwZXJzb25hbCB2YXBv
cml6ZXIgdXNlIGluIEF1c3RyYWxpYSBhbmQgdGhlIFVuaXRlZCBLaW5nZG9tOiBSZXN1bHRzIGZy
b20gdGhlIEludGVybmF0aW9uYWwgVG9iYWNjbyBDb250cm9sIHN1cnZleTwvdGl0bGU+PHNlY29u
ZGFyeS10aXRsZT5EcnVnIEFsY29ob2wgRGVwZW5kPC9zZWNvbmRhcnktdGl0bGU+PGFsdC10aXRs
ZT5EcnVnIGFuZCBhbGNvaG9sIGRlcGVuZGVuY2U8L2FsdC10aXRsZT48L3RpdGxlcz48YWx0LXBl
cmlvZGljYWw+PGZ1bGwtdGl0bGU+RHJ1ZyBhbmQgQWxjb2hvbCBEZXBlbmRlbmNlPC9mdWxsLXRp
dGxlPjwvYWx0LXBlcmlvZGljYWw+PHBhZ2VzPjE0Mi0xNDg8L3BhZ2VzPjx2b2x1bWU+MTg1PC92
b2x1bWU+PGVkaXRpb24+MjAxOC8wMi8xNjwvZWRpdGlvbj48a2V5d29yZHM+PGtleXdvcmQ+RWxl
Y3Ryb25pYyBjaWdhcmV0dGU8L2tleXdvcmQ+PGtleXdvcmQ+UGVyc29uYWwgdmFwb3JpemVyczwv
a2V5d29yZD48a2V5d29yZD5TbW9rZS1mcmVlIHBsYWNlczwva2V5d29yZD48a2V5d29yZD5Tb2Np
YWwgbm9ybXM8L2tleXdvcmQ+PGtleXdvcmQ+U3VydmV5IHJlc2VhcmNoPC9rZXl3b3JkPjxrZXl3
b3JkPlZhcGluZzwva2V5d29yZD48L2tleXdvcmRzPjxkYXRlcz48eWVhcj4yMDE4PC95ZWFyPjxw
dWItZGF0ZXM+PGRhdGU+RmViIDEwPC9kYXRlPjwvcHViLWRhdGVzPjwvZGF0ZXM+PGlzYm4+MDM3
Ni04NzE2PC9pc2JuPjxhY2Nlc3Npb24tbnVtPjI5NDQ4MTQ3PC9hY2Nlc3Npb24tbnVtPjx1cmxz
PjxyZWxhdGVkLXVybHM+PHVybD5odHRwOi8vd3d3LmRydWdhbmRhbGNvaG9sZGVwZW5kZW5jZS5j
b20vYXJ0aWNsZS9TMDM3Ni04NzE2KDE4KTMwMDc2LTAvcGRmPC91cmw+PC9yZWxhdGVkLXVybHM+
PC91cmxzPjxlbGVjdHJvbmljLXJlc291cmNlLW51bT4xMC4xMDE2L2ouZHJ1Z2FsY2RlcC4yMDE3
LjEyLjAxODwvZWxlY3Ryb25pYy1yZXNvdXJjZS1udW0+PHJlbW90ZS1kYXRhYmFzZS1wcm92aWRl
cj5OTE08L3JlbW90ZS1kYXRhYmFzZS1wcm92aWRlcj48bGFuZ3VhZ2U+ZW5nPC9sYW5ndWFnZT48
L3JlY29yZD48L0NpdGU+PC9FbmROb3RlPn==
</w:fldData>
        </w:fldChar>
      </w:r>
      <w:r>
        <w:instrText xml:space="preserve"> ADDIN EN.CITE </w:instrText>
      </w:r>
      <w:r>
        <w:fldChar w:fldCharType="begin">
          <w:fldData xml:space="preserve">PEVuZE5vdGU+PENpdGU+PEF1dGhvcj5MZWU8L0F1dGhvcj48WWVhcj4yMDE4PC9ZZWFyPjxSZWNO
dW0+NDU5NTwvUmVjTnVtPjxEaXNwbGF5VGV4dD4oTGVlLCBZb25nIGV0IGFsLiAyMDE4KTwvRGlz
cGxheVRleHQ+PHJlY29yZD48cmVjLW51bWJlcj40NTk1PC9yZWMtbnVtYmVyPjxmb3JlaWduLWtl
eXM+PGtleSBhcHA9IkVOIiBkYi1pZD0iZnB0OXB0dHJtNXpmc2Flc3A5ZnBzZGR2MDlld3N2NXhl
d2ZkIiB0aW1lc3RhbXA9IjE1MjUwNDUxMjQiPjQ1OTU8L2tleT48a2V5IGFwcD0iRU5XZWIiIGRi
LWlkPSIiPjA8L2tleT48L2ZvcmVpZ24ta2V5cz48cmVmLXR5cGUgbmFtZT0iSm91cm5hbCBBcnRp
Y2xlIj4xNzwvcmVmLXR5cGU+PGNvbnRyaWJ1dG9ycz48YXV0aG9ycz48YXV0aG9yPkxlZSwgQy48
L2F1dGhvcj48YXV0aG9yPllvbmcsIEguIEguPC9hdXRob3I+PGF1dGhvcj5Cb3JsYW5kLCBSLjwv
YXV0aG9yPjxhdXRob3I+TWNOZWlsbCwgQS48L2F1dGhvcj48YXV0aG9yPkhpdGNobWFuLCBTLiBD
LjwvYXV0aG9yPjwvYXV0aG9ycz48L2NvbnRyaWJ1dG9ycz48YXV0aC1hZGRyZXNzPkRlcGFydG1l
bnQgb2YgRmFtaWx5IE1lZGljaW5lLCBIZWFsdGhjYXJlIFN5c3RlbSBHYW5nbmFtIENlbnRlciwg
U2VvdWwgTmF0aW9uYWwgVW5pdmVyc2l0eSBIb3NwaXRhbCwgU2VvdWwsIFNvdXRoIEtvcmVhLiYj
eEQ7TmlnZWwgR3JheSBGZWxsb3dzaGlwIEdyb3VwLCBDYW5jZXIgQ291bmNpbCBWaWN0b3JpYSwg
TWVsYm91cm5lLCBBdXN0cmFsaWEuJiN4RDtOaWdlbCBHcmF5IEZlbGxvd3NoaXAgR3JvdXAsIENh
bmNlciBDb3VuY2lsIFZpY3RvcmlhLCBNZWxib3VybmUsIEF1c3RyYWxpYS4gRWxlY3Ryb25pYyBh
ZGRyZXNzOiBSb24uQm9ybGFuZEBjYW5jZXJ2aWMub3JnLmF1LiYjeEQ7RGVwYXJ0bWVudCBvZiBB
ZGRpY3Rpb25zLCBJbnN0aXR1dGUgb2YgUHN5Y2hpYXRyeSwgUHN5Y2hvbG9neSwgYW5kIE5ldXJv
c2NpZW5jZSwgS2luZyZhcG9zO3MgQ29sbGVnZSBMb25kb24sIFVuaXRlZCBLaW5nZG9tOyBVSyBD
ZW50cmUgZm9yIFRvYmFjY28gYW5kIEFsY29ob2wgU3R1ZGllcyAoVUtDVEFTKSwgVW5pdmVyc2l0
eSBvZiBOb3R0aW5naGFtLCBOb3R0aW5naGFtLCBVbml0ZWQgS2luZ2RvbS48L2F1dGgtYWRkcmVz
cz48dGl0bGVzPjx0aXRsZT5BY2NlcHRhbmNlIGFuZCBwYXR0ZXJucyBvZiBwZXJzb25hbCB2YXBv
cml6ZXIgdXNlIGluIEF1c3RyYWxpYSBhbmQgdGhlIFVuaXRlZCBLaW5nZG9tOiBSZXN1bHRzIGZy
b20gdGhlIEludGVybmF0aW9uYWwgVG9iYWNjbyBDb250cm9sIHN1cnZleTwvdGl0bGU+PHNlY29u
ZGFyeS10aXRsZT5EcnVnIEFsY29ob2wgRGVwZW5kPC9zZWNvbmRhcnktdGl0bGU+PGFsdC10aXRs
ZT5EcnVnIGFuZCBhbGNvaG9sIGRlcGVuZGVuY2U8L2FsdC10aXRsZT48L3RpdGxlcz48YWx0LXBl
cmlvZGljYWw+PGZ1bGwtdGl0bGU+RHJ1ZyBhbmQgQWxjb2hvbCBEZXBlbmRlbmNlPC9mdWxsLXRp
dGxlPjwvYWx0LXBlcmlvZGljYWw+PHBhZ2VzPjE0Mi0xNDg8L3BhZ2VzPjx2b2x1bWU+MTg1PC92
b2x1bWU+PGVkaXRpb24+MjAxOC8wMi8xNjwvZWRpdGlvbj48a2V5d29yZHM+PGtleXdvcmQ+RWxl
Y3Ryb25pYyBjaWdhcmV0dGU8L2tleXdvcmQ+PGtleXdvcmQ+UGVyc29uYWwgdmFwb3JpemVyczwv
a2V5d29yZD48a2V5d29yZD5TbW9rZS1mcmVlIHBsYWNlczwva2V5d29yZD48a2V5d29yZD5Tb2Np
YWwgbm9ybXM8L2tleXdvcmQ+PGtleXdvcmQ+U3VydmV5IHJlc2VhcmNoPC9rZXl3b3JkPjxrZXl3
b3JkPlZhcGluZzwva2V5d29yZD48L2tleXdvcmRzPjxkYXRlcz48eWVhcj4yMDE4PC95ZWFyPjxw
dWItZGF0ZXM+PGRhdGU+RmViIDEwPC9kYXRlPjwvcHViLWRhdGVzPjwvZGF0ZXM+PGlzYm4+MDM3
Ni04NzE2PC9pc2JuPjxhY2Nlc3Npb24tbnVtPjI5NDQ4MTQ3PC9hY2Nlc3Npb24tbnVtPjx1cmxz
PjxyZWxhdGVkLXVybHM+PHVybD5odHRwOi8vd3d3LmRydWdhbmRhbGNvaG9sZGVwZW5kZW5jZS5j
b20vYXJ0aWNsZS9TMDM3Ni04NzE2KDE4KTMwMDc2LTAvcGRmPC91cmw+PC9yZWxhdGVkLXVybHM+
PC91cmxzPjxlbGVjdHJvbmljLXJlc291cmNlLW51bT4xMC4xMDE2L2ouZHJ1Z2FsY2RlcC4yMDE3
LjEyLjAxODwvZWxlY3Ryb25pYy1yZXNvdXJjZS1udW0+PHJlbW90ZS1kYXRhYmFzZS1wcm92aWRl
cj5OTE08L3JlbW90ZS1kYXRhYmFzZS1wcm92aWRlcj48bGFuZ3VhZ2U+ZW5nPC9sYW5ndWFnZT48
L3JlY29yZD48L0NpdGU+PC9FbmROb3RlPn==
</w:fldData>
        </w:fldChar>
      </w:r>
      <w:r>
        <w:instrText xml:space="preserve"> ADDIN EN.CITE.DATA </w:instrText>
      </w:r>
      <w:r>
        <w:fldChar w:fldCharType="end"/>
      </w:r>
      <w:r>
        <w:fldChar w:fldCharType="separate"/>
      </w:r>
      <w:r>
        <w:rPr>
          <w:noProof/>
        </w:rPr>
        <w:t>(Lee, Yong et al. 2018)</w:t>
      </w:r>
      <w:r>
        <w:fldChar w:fldCharType="end"/>
      </w:r>
      <w:r w:rsidR="008E7BEC">
        <w:t xml:space="preserve"> (Tables 4</w:t>
      </w:r>
      <w:r w:rsidR="005D4809">
        <w:t>4</w:t>
      </w:r>
      <w:r w:rsidR="008E7BEC">
        <w:t xml:space="preserve"> and 4</w:t>
      </w:r>
      <w:r w:rsidR="005D4809">
        <w:t>5</w:t>
      </w:r>
      <w:r>
        <w:t xml:space="preserve">). </w:t>
      </w:r>
    </w:p>
    <w:p w14:paraId="3A90B1AD" w14:textId="77777777" w:rsidR="00673D5A" w:rsidRDefault="00673D5A" w:rsidP="00673D5A">
      <w:pPr>
        <w:pStyle w:val="BodyText"/>
      </w:pPr>
      <w:r>
        <w:t>Two of the qualitative studies focussed on very specific subsamples of e</w:t>
      </w:r>
      <w:r>
        <w:noBreakHyphen/>
        <w:t xml:space="preserve">cigarette users: Indigenous Australians </w:t>
      </w:r>
      <w:r>
        <w:fldChar w:fldCharType="begin"/>
      </w:r>
      <w:r w:rsidR="00903735">
        <w:instrText xml:space="preserve"> ADDIN EN.CITE &lt;EndNote&gt;&lt;Cite&gt;&lt;Author&gt;Yuke&lt;/Author&gt;&lt;Year&gt;2018&lt;/Year&gt;&lt;RecNum&gt;12355&lt;/RecNum&gt;&lt;DisplayText&gt;(Yuke, Ford et al. 2018)&lt;/DisplayText&gt;&lt;record&gt;&lt;rec-number&gt;12355&lt;/rec-number&gt;&lt;foreign-keys&gt;&lt;key app="EN" db-id="5xv5w5t2bdxtxfezx02xtxdft5rz5ptvvt29" timestamp="1523869299"&gt;12355&lt;/key&gt;&lt;key app="ENWeb" db-id=""&gt;0&lt;/key&gt;&lt;/foreign-keys&gt;&lt;ref-type name="Journal Article"&gt;17&lt;/ref-type&gt;&lt;contributors&gt;&lt;authors&gt;&lt;author&gt;Yuke, K.&lt;/author&gt;&lt;author&gt;Ford, P.&lt;/author&gt;&lt;author&gt;Foley, W.&lt;/author&gt;&lt;author&gt;Mutch, A.&lt;/author&gt;&lt;author&gt;Fitzgerald, L.&lt;/author&gt;&lt;author&gt;Gartner, C.&lt;/author&gt;&lt;/authors&gt;&lt;/contributors&gt;&lt;auth-address&gt;Southern Queensland Centre of Excellence in Aboriginal and Torres Strait Islander Primary Health Care, Brisbane, Australia.&amp;#xD;School of Public Health, The University of Queensland, Brisbane, Australia.&amp;#xD;School of Dentistry, The University of Queensland, Brisbane, Australia.&lt;/auth-address&gt;&lt;titles&gt;&lt;title&gt;Australian urban Indigenous smokers&amp;apos; perspectives on nicotine products and tobacco harm reduction&lt;/title&gt;&lt;secondary-title&gt;Drug Alcohol Rev&lt;/secondary-title&gt;&lt;alt-title&gt;Drug and alcohol review&lt;/alt-title&gt;&lt;/titles&gt;&lt;periodical&gt;&lt;full-title&gt;Drug Alcohol Rev&lt;/full-title&gt;&lt;abbr-1&gt;Drug and alcohol review&lt;/abbr-1&gt;&lt;/periodical&gt;&lt;alt-periodical&gt;&lt;full-title&gt;Drug Alcohol Rev&lt;/full-title&gt;&lt;abbr-1&gt;Drug and alcohol review&lt;/abbr-1&gt;&lt;/alt-periodical&gt;&lt;pages&gt;87-96&lt;/pages&gt;&lt;volume&gt;37&lt;/volume&gt;&lt;number&gt;1&lt;/number&gt;&lt;edition&gt;2017/05/12&lt;/edition&gt;&lt;keywords&gt;&lt;keyword&gt;Indigenous&lt;/keyword&gt;&lt;keyword&gt;e-cigarettes&lt;/keyword&gt;&lt;keyword&gt;nicotine replacement therapy&lt;/keyword&gt;&lt;keyword&gt;qualitative research&lt;/keyword&gt;&lt;keyword&gt;tobacco harm reduction&lt;/keyword&gt;&lt;/keywords&gt;&lt;dates&gt;&lt;year&gt;2018&lt;/year&gt;&lt;pub-dates&gt;&lt;date&gt;Jan&lt;/date&gt;&lt;/pub-dates&gt;&lt;/dates&gt;&lt;isbn&gt;0959-5236&lt;/isbn&gt;&lt;accession-num&gt;28493405&lt;/accession-num&gt;&lt;urls&gt;&lt;related-urls&gt;&lt;url&gt;https://onlinelibrary.wiley.com/doi/pdf/10.1111/dar.12549&lt;/url&gt;&lt;/related-urls&gt;&lt;/urls&gt;&lt;electronic-resource-num&gt;10.1111/dar.12549&lt;/electronic-resource-num&gt;&lt;remote-database-provider&gt;NLM&lt;/remote-database-provider&gt;&lt;language&gt;eng&lt;/language&gt;&lt;/record&gt;&lt;/Cite&gt;&lt;/EndNote&gt;</w:instrText>
      </w:r>
      <w:r>
        <w:fldChar w:fldCharType="separate"/>
      </w:r>
      <w:r>
        <w:rPr>
          <w:noProof/>
        </w:rPr>
        <w:t>(Yuke, Ford et al. 2018)</w:t>
      </w:r>
      <w:r>
        <w:fldChar w:fldCharType="end"/>
      </w:r>
      <w:r>
        <w:t xml:space="preserve"> and people with schizophrenia </w:t>
      </w:r>
      <w:r>
        <w:fldChar w:fldCharType="begin"/>
      </w:r>
      <w:r>
        <w:instrText xml:space="preserve"> ADDIN EN.CITE &lt;EndNote&gt;&lt;Cite&gt;&lt;Author&gt;Brown&lt;/Author&gt;&lt;Year&gt;2018&lt;/Year&gt;&lt;RecNum&gt;6343&lt;/RecNum&gt;&lt;DisplayText&gt;(Brown 2018)&lt;/DisplayText&gt;&lt;record&gt;&lt;rec-number&gt;6343&lt;/rec-number&gt;&lt;foreign-keys&gt;&lt;key app="EN" db-id="fpt9pttrm5zfsaesp9fpsddv09ewsv5xewfd" timestamp="1525047202"&gt;6343&lt;/key&gt;&lt;key app="ENWeb" db-id=""&gt;0&lt;/key&gt;&lt;/foreign-keys&gt;&lt;ref-type name="Journal Article"&gt;17&lt;/ref-type&gt;&lt;contributors&gt;&lt;authors&gt;&lt;author&gt;Brown, J. E. H.&lt;/author&gt;&lt;/authors&gt;&lt;/contributors&gt;&lt;titles&gt;&lt;title&gt;‘Doing Things Little by Little’: Smoking and Vaping While Being Pharmaceutically Treated for Schizophrenia&lt;/title&gt;&lt;secondary-title&gt;Anthropological Forum&lt;/secondary-title&gt;&lt;/titles&gt;&lt;periodical&gt;&lt;full-title&gt;Anthropological Forum&lt;/full-title&gt;&lt;/periodical&gt;&lt;pages&gt;1-13&lt;/pages&gt;&lt;dates&gt;&lt;year&gt;2018&lt;/year&gt;&lt;/dates&gt;&lt;urls&gt;&lt;related-urls&gt;&lt;url&gt;https://www.scopus.com/inward/record.uri?eid=2-s2.0-85042231157&amp;amp;doi=10.1080%2f00664677.2018.1440192&amp;amp;partnerID=40&amp;amp;md5=73a9bef709be10a31634f2250ca7dd54&lt;/url&gt;&lt;url&gt;https://www.tandfonline.com/doi/pdf/10.1080/00664677.2018.1440192?needAccess=true&lt;/url&gt;&lt;/related-urls&gt;&lt;/urls&gt;&lt;electronic-resource-num&gt;10.1080/00664677.2018.1440192&lt;/electronic-resource-num&gt;&lt;remote-database-name&gt;Scopus&lt;/remote-database-name&gt;&lt;/record&gt;&lt;/Cite&gt;&lt;/EndNote&gt;</w:instrText>
      </w:r>
      <w:r>
        <w:fldChar w:fldCharType="separate"/>
      </w:r>
      <w:r>
        <w:rPr>
          <w:noProof/>
        </w:rPr>
        <w:t>(Brown 2018)</w:t>
      </w:r>
      <w:r>
        <w:fldChar w:fldCharType="end"/>
      </w:r>
      <w:r>
        <w:t xml:space="preserve">. Brown’s ethnographic study used observations in Australia and the UK to explore experiences of smoking and vaping. Few details are available on the quantity of observations and an in-depth discussion of experiences are provided with the ultimate conclusion that this sample emphasised harm from smoking relative to vaping. </w:t>
      </w:r>
    </w:p>
    <w:p w14:paraId="5BFD1303" w14:textId="77777777" w:rsidR="00673D5A" w:rsidRDefault="00673D5A" w:rsidP="00673D5A">
      <w:pPr>
        <w:pStyle w:val="BodyText"/>
      </w:pPr>
    </w:p>
    <w:p w14:paraId="16CF39C7" w14:textId="77777777" w:rsidR="00673D5A" w:rsidRDefault="00673D5A" w:rsidP="00673D5A">
      <w:pPr>
        <w:pStyle w:val="BodyText"/>
      </w:pPr>
      <w:r>
        <w:t xml:space="preserve">Interviews with Indigenous Australians were performed with the aim of understanding the acceptability of new nicotine products </w:t>
      </w:r>
      <w:r>
        <w:fldChar w:fldCharType="begin"/>
      </w:r>
      <w:r w:rsidR="00903735">
        <w:instrText xml:space="preserve"> ADDIN EN.CITE &lt;EndNote&gt;&lt;Cite&gt;&lt;Author&gt;Yuke&lt;/Author&gt;&lt;Year&gt;2018&lt;/Year&gt;&lt;RecNum&gt;12355&lt;/RecNum&gt;&lt;DisplayText&gt;(Yuke, Ford et al. 2018)&lt;/DisplayText&gt;&lt;record&gt;&lt;rec-number&gt;12355&lt;/rec-number&gt;&lt;foreign-keys&gt;&lt;key app="EN" db-id="5xv5w5t2bdxtxfezx02xtxdft5rz5ptvvt29" timestamp="1523869299"&gt;12355&lt;/key&gt;&lt;key app="ENWeb" db-id=""&gt;0&lt;/key&gt;&lt;/foreign-keys&gt;&lt;ref-type name="Journal Article"&gt;17&lt;/ref-type&gt;&lt;contributors&gt;&lt;authors&gt;&lt;author&gt;Yuke, K.&lt;/author&gt;&lt;author&gt;Ford, P.&lt;/author&gt;&lt;author&gt;Foley, W.&lt;/author&gt;&lt;author&gt;Mutch, A.&lt;/author&gt;&lt;author&gt;Fitzgerald, L.&lt;/author&gt;&lt;author&gt;Gartner, C.&lt;/author&gt;&lt;/authors&gt;&lt;/contributors&gt;&lt;auth-address&gt;Southern Queensland Centre of Excellence in Aboriginal and Torres Strait Islander Primary Health Care, Brisbane, Australia.&amp;#xD;School of Public Health, The University of Queensland, Brisbane, Australia.&amp;#xD;School of Dentistry, The University of Queensland, Brisbane, Australia.&lt;/auth-address&gt;&lt;titles&gt;&lt;title&gt;Australian urban Indigenous smokers&amp;apos; perspectives on nicotine products and tobacco harm reduction&lt;/title&gt;&lt;secondary-title&gt;Drug Alcohol Rev&lt;/secondary-title&gt;&lt;alt-title&gt;Drug and alcohol review&lt;/alt-title&gt;&lt;/titles&gt;&lt;periodical&gt;&lt;full-title&gt;Drug Alcohol Rev&lt;/full-title&gt;&lt;abbr-1&gt;Drug and alcohol review&lt;/abbr-1&gt;&lt;/periodical&gt;&lt;alt-periodical&gt;&lt;full-title&gt;Drug Alcohol Rev&lt;/full-title&gt;&lt;abbr-1&gt;Drug and alcohol review&lt;/abbr-1&gt;&lt;/alt-periodical&gt;&lt;pages&gt;87-96&lt;/pages&gt;&lt;volume&gt;37&lt;/volume&gt;&lt;number&gt;1&lt;/number&gt;&lt;edition&gt;2017/05/12&lt;/edition&gt;&lt;keywords&gt;&lt;keyword&gt;Indigenous&lt;/keyword&gt;&lt;keyword&gt;e-cigarettes&lt;/keyword&gt;&lt;keyword&gt;nicotine replacement therapy&lt;/keyword&gt;&lt;keyword&gt;qualitative research&lt;/keyword&gt;&lt;keyword&gt;tobacco harm reduction&lt;/keyword&gt;&lt;/keywords&gt;&lt;dates&gt;&lt;year&gt;2018&lt;/year&gt;&lt;pub-dates&gt;&lt;date&gt;Jan&lt;/date&gt;&lt;/pub-dates&gt;&lt;/dates&gt;&lt;isbn&gt;0959-5236&lt;/isbn&gt;&lt;accession-num&gt;28493405&lt;/accession-num&gt;&lt;urls&gt;&lt;related-urls&gt;&lt;url&gt;https://onlinelibrary.wiley.com/doi/pdf/10.1111/dar.12549&lt;/url&gt;&lt;/related-urls&gt;&lt;/urls&gt;&lt;electronic-resource-num&gt;10.1111/dar.12549&lt;/electronic-resource-num&gt;&lt;remote-database-provider&gt;NLM&lt;/remote-database-provider&gt;&lt;language&gt;eng&lt;/language&gt;&lt;/record&gt;&lt;/Cite&gt;&lt;/EndNote&gt;</w:instrText>
      </w:r>
      <w:r>
        <w:fldChar w:fldCharType="separate"/>
      </w:r>
      <w:r>
        <w:rPr>
          <w:noProof/>
        </w:rPr>
        <w:t>(Yuke, Ford et al. 2018)</w:t>
      </w:r>
      <w:r>
        <w:fldChar w:fldCharType="end"/>
      </w:r>
      <w:r>
        <w:t>. While the majority of women reported no willingness to try e</w:t>
      </w:r>
      <w:r>
        <w:noBreakHyphen/>
        <w:t>cigarettes (70%), a majority of men were willing (82%). Therefore, in this specific group there may be very pronounced difference in uptake of e</w:t>
      </w:r>
      <w:r>
        <w:noBreakHyphen/>
        <w:t xml:space="preserve">cigarettes. However, no recent data exist that quantify prevalence of use in this population. </w:t>
      </w:r>
    </w:p>
    <w:p w14:paraId="26E8390C" w14:textId="77777777" w:rsidR="00673D5A" w:rsidRDefault="00673D5A" w:rsidP="00673D5A">
      <w:pPr>
        <w:pStyle w:val="BodyText"/>
      </w:pPr>
    </w:p>
    <w:p w14:paraId="35E14C37" w14:textId="77777777" w:rsidR="00673D5A" w:rsidRDefault="00673D5A" w:rsidP="00673D5A">
      <w:pPr>
        <w:pStyle w:val="BodyText"/>
      </w:pPr>
      <w:r>
        <w:t xml:space="preserve">The final qualitative study </w:t>
      </w:r>
      <w:r>
        <w:fldChar w:fldCharType="begin"/>
      </w:r>
      <w:r>
        <w:instrText xml:space="preserve"> ADDIN EN.CITE &lt;EndNote&gt;&lt;Cite&gt;&lt;Author&gt;Keane&lt;/Author&gt;&lt;Year&gt;2017&lt;/Year&gt;&lt;RecNum&gt;6335&lt;/RecNum&gt;&lt;DisplayText&gt;(Keane, Weier et al. 2017)&lt;/DisplayText&gt;&lt;record&gt;&lt;rec-number&gt;6335&lt;/rec-number&gt;&lt;foreign-keys&gt;&lt;key app="EN" db-id="fpt9pttrm5zfsaesp9fpsddv09ewsv5xewfd" timestamp="1525047178"&gt;6335&lt;/key&gt;&lt;key app="ENWeb" db-id=""&gt;0&lt;/key&gt;&lt;/foreign-keys&gt;&lt;ref-type name="Journal Article"&gt;17&lt;/ref-type&gt;&lt;contributors&gt;&lt;authors&gt;&lt;author&gt;Keane, H.&lt;/author&gt;&lt;author&gt;Weier, M.&lt;/author&gt;&lt;author&gt;Fraser, D.&lt;/author&gt;&lt;author&gt;Gartner, C.&lt;/author&gt;&lt;/authors&gt;&lt;/contributors&gt;&lt;titles&gt;&lt;title&gt;‘Anytime, anywhere’: vaping as social practice&lt;/title&gt;&lt;secondary-title&gt;Critical Public Health&lt;/secondary-title&gt;&lt;/titles&gt;&lt;periodical&gt;&lt;full-title&gt;Critical Public Health&lt;/full-title&gt;&lt;/periodical&gt;&lt;pages&gt;465-476&lt;/pages&gt;&lt;volume&gt;27&lt;/volume&gt;&lt;number&gt;4&lt;/number&gt;&lt;keywords&gt;&lt;keyword&gt;Article&lt;/keyword&gt;&lt;keyword&gt;attitude to health&lt;/keyword&gt;&lt;keyword&gt;cultural competence&lt;/keyword&gt;&lt;keyword&gt;electronic cigarette&lt;/keyword&gt;&lt;keyword&gt;female&lt;/keyword&gt;&lt;keyword&gt;habitual adaptation&lt;/keyword&gt;&lt;keyword&gt;health behavior&lt;/keyword&gt;&lt;keyword&gt;health care policy&lt;/keyword&gt;&lt;keyword&gt;health education&lt;/keyword&gt;&lt;keyword&gt;health survey&lt;/keyword&gt;&lt;keyword&gt;human&lt;/keyword&gt;&lt;keyword&gt;knowledge&lt;/keyword&gt;&lt;keyword&gt;male&lt;/keyword&gt;&lt;keyword&gt;public health&lt;/keyword&gt;&lt;keyword&gt;smoking&lt;/keyword&gt;&lt;keyword&gt;social behavior&lt;/keyword&gt;&lt;keyword&gt;social determinants of health&lt;/keyword&gt;&lt;keyword&gt;tobacco dependence&lt;/keyword&gt;&lt;keyword&gt;vaping&lt;/keyword&gt;&lt;/keywords&gt;&lt;dates&gt;&lt;year&gt;2017&lt;/year&gt;&lt;/dates&gt;&lt;urls&gt;&lt;related-urls&gt;&lt;url&gt;https://www.scopus.com/inward/record.uri?eid=2-s2.0-84994097011&amp;amp;doi=10.1080%2f09581596.2016.1250867&amp;amp;partnerID=40&amp;amp;md5=13494696706e82d1ce298414f52677ae&lt;/url&gt;&lt;url&gt;https://www.tandfonline.com/doi/pdf/10.1080/09581596.2016.1250867?needAccess=true&lt;/url&gt;&lt;/related-urls&gt;&lt;/urls&gt;&lt;electronic-resource-num&gt;10.1080/09581596.2016.1250867&lt;/electronic-resource-num&gt;&lt;remote-database-name&gt;Scopus&lt;/remote-database-name&gt;&lt;/record&gt;&lt;/Cite&gt;&lt;/EndNote&gt;</w:instrText>
      </w:r>
      <w:r>
        <w:fldChar w:fldCharType="separate"/>
      </w:r>
      <w:r>
        <w:rPr>
          <w:noProof/>
        </w:rPr>
        <w:t>(Keane, Weier et al. 2017)</w:t>
      </w:r>
      <w:r>
        <w:fldChar w:fldCharType="end"/>
      </w:r>
      <w:r>
        <w:t xml:space="preserve"> analysed data from an open-ended question included as part of another survey using Theories of Social Practice. Discussion is strongly grounded in the context of this theory which is beyond the scope of the current summary. However, the authors conclude that health and freedom are important for vaping and that word of mouth is a driver of uptake.</w:t>
      </w:r>
    </w:p>
    <w:p w14:paraId="1F359F11" w14:textId="77777777" w:rsidR="00673D5A" w:rsidRDefault="00673D5A" w:rsidP="00673D5A">
      <w:pPr>
        <w:pStyle w:val="BodyText"/>
      </w:pPr>
    </w:p>
    <w:p w14:paraId="672414C8" w14:textId="5DA9E126" w:rsidR="00673D5A" w:rsidRDefault="00673D5A" w:rsidP="00673D5A">
      <w:pPr>
        <w:pStyle w:val="BodyText"/>
      </w:pPr>
      <w:r>
        <w:lastRenderedPageBreak/>
        <w:t xml:space="preserve">Williams and White </w:t>
      </w:r>
      <w:r>
        <w:fldChar w:fldCharType="begin"/>
      </w:r>
      <w:r w:rsidR="00903735">
        <w:instrText xml:space="preserve"> ADDIN EN.CITE &lt;EndNote&gt;&lt;Cite&gt;&lt;Author&gt;Williams&lt;/Author&gt;&lt;Year&gt;2018&lt;/Year&gt;&lt;RecNum&gt;132&lt;/RecNum&gt;&lt;DisplayText&gt;(Williams and White 2018)&lt;/DisplayText&gt;&lt;record&gt;&lt;rec-number&gt;132&lt;/rec-number&gt;&lt;foreign-keys&gt;&lt;key app="EN" db-id="5xv5w5t2bdxtxfezx02xtxdft5rz5ptvvt29" timestamp="1520568414"&gt;132&lt;/key&gt;&lt;key app="ENWeb" db-id=""&gt;0&lt;/key&gt;&lt;/foreign-keys&gt;&lt;ref-type name="Journal Article"&gt;17&lt;/ref-type&gt;&lt;contributors&gt;&lt;authors&gt;&lt;author&gt;Williams, T.&lt;/author&gt;&lt;author&gt;White, V.&lt;/author&gt;&lt;/authors&gt;&lt;/contributors&gt;&lt;auth-address&gt;a Centre for Behavioural Research in Cancer , Cancer Council Victoria, Melbourne , Australia.&amp;#xD;b School of Psychology , Deakin University , Geelong , Australia.&lt;/auth-address&gt;&lt;titles&gt;&lt;title&gt;What Factors are Associated with Electronic Cigarette, Shisha-Tobacco and Conventional Cigarette Use? Findings from a Cross-Sectional Survey of Australian Adolescents?&lt;/title&gt;&lt;secondary-title&gt;Subst Use Misuse&lt;/secondary-title&gt;&lt;alt-title&gt;Substance use &amp;amp; misuse&lt;/alt-title&gt;&lt;/titles&gt;&lt;periodical&gt;&lt;full-title&gt;Subst Use Misuse&lt;/full-title&gt;&lt;abbr-1&gt;Substance use &amp;amp; misuse&lt;/abbr-1&gt;&lt;/periodical&gt;&lt;alt-periodical&gt;&lt;full-title&gt;Subst Use Misuse&lt;/full-title&gt;&lt;abbr-1&gt;Substance use &amp;amp; misuse&lt;/abbr-1&gt;&lt;/alt-periodical&gt;&lt;pages&gt;1-11&lt;/pages&gt;&lt;edition&gt;2018/01/18&lt;/edition&gt;&lt;keywords&gt;&lt;keyword&gt;Australia&lt;/keyword&gt;&lt;keyword&gt;Tobacco&lt;/keyword&gt;&lt;keyword&gt;adolescents&lt;/keyword&gt;&lt;keyword&gt;electronic cigarettes&lt;/keyword&gt;&lt;keyword&gt;hookah&lt;/keyword&gt;&lt;keyword&gt;shisha&lt;/keyword&gt;&lt;/keywords&gt;&lt;dates&gt;&lt;year&gt;2018&lt;/year&gt;&lt;pub-dates&gt;&lt;date&gt;Jan 16&lt;/date&gt;&lt;/pub-dates&gt;&lt;/dates&gt;&lt;isbn&gt;1082-6084&lt;/isbn&gt;&lt;accession-num&gt;29336657&lt;/accession-num&gt;&lt;urls&gt;&lt;related-urls&gt;&lt;url&gt;https://www.tandfonline.com/doi/pdf/10.1080/10826084.2017.1411367?needAccess=true&lt;/url&gt;&lt;/related-urls&gt;&lt;/urls&gt;&lt;electronic-resource-num&gt;10.1080/10826084.2017.1411367&lt;/electronic-resource-num&gt;&lt;remote-database-provider&gt;NLM&lt;/remote-database-provider&gt;&lt;language&gt;eng&lt;/language&gt;&lt;/record&gt;&lt;/Cite&gt;&lt;/EndNote&gt;</w:instrText>
      </w:r>
      <w:r>
        <w:fldChar w:fldCharType="separate"/>
      </w:r>
      <w:r>
        <w:rPr>
          <w:noProof/>
        </w:rPr>
        <w:t>(Williams and White 2018)</w:t>
      </w:r>
      <w:r>
        <w:fldChar w:fldCharType="end"/>
      </w:r>
      <w:r>
        <w:t xml:space="preserve"> analysed data from the </w:t>
      </w:r>
      <w:r w:rsidRPr="00FF2069">
        <w:t>Australian Secondary Schools Alcohol and Drug survey</w:t>
      </w:r>
      <w:r>
        <w:t xml:space="preserve"> but restricted their analysis to one state (Victoria). Based on 4,576 adolescents, they report a prevalence of 14% ever-use of e</w:t>
      </w:r>
      <w:r>
        <w:noBreakHyphen/>
        <w:t>cigarettes and 13% ever-use of shisha tobacco with most students using in combination with conventional cigarettes. This rate of e</w:t>
      </w:r>
      <w:r>
        <w:noBreakHyphen/>
        <w:t>cigarette use is similar to that reported in the Public Health England report for 11-16 year olds (7-18%)</w:t>
      </w:r>
      <w:r w:rsidR="002B2612">
        <w:t xml:space="preserve"> </w:t>
      </w:r>
      <w:r>
        <w:fldChar w:fldCharType="begin"/>
      </w:r>
      <w:r w:rsidR="00903735">
        <w:instrText xml:space="preserve"> ADDIN EN.CITE &lt;EndNote&gt;&lt;Cite&gt;&lt;Author&gt;Stratton&lt;/Author&gt;&lt;Year&gt;2018&lt;/Year&gt;&lt;RecNum&gt;7073&lt;/RecNum&gt;&lt;DisplayText&gt;(Stratton, Kwan et al. 2018)&lt;/DisplayText&gt;&lt;record&gt;&lt;rec-number&gt;7073&lt;/rec-number&gt;&lt;foreign-keys&gt;&lt;key app="EN" db-id="5xv5w5t2bdxtxfezx02xtxdft5rz5ptvvt29" timestamp="1521076678"&gt;7073&lt;/key&gt;&lt;/foreign-keys&gt;&lt;ref-type name="Report"&gt;27&lt;/ref-type&gt;&lt;contributors&gt;&lt;authors&gt;&lt;author&gt;Kathleen Stratton&lt;/author&gt;&lt;author&gt;Leslie Y Kwan&lt;/author&gt;&lt;author&gt;David L Eaton&lt;/author&gt;&lt;/authors&gt;&lt;tertiary-authors&gt;&lt;author&gt;The National Academies Press&lt;/author&gt;&lt;/tertiary-authors&gt;&lt;/contributors&gt;&lt;titles&gt;&lt;title&gt;Public Health Consequences of e-Cigarettes&lt;/title&gt;&lt;/titles&gt;&lt;dates&gt;&lt;year&gt;2018&lt;/year&gt;&lt;/dates&gt;&lt;pub-location&gt;Washington DC&lt;/pub-location&gt;&lt;publisher&gt;Board on Population Health and Public Health Practice, Health and Medicine Division, The National Academies of Sciences, Engineering and Medicine&lt;/publisher&gt;&lt;urls&gt;&lt;/urls&gt;&lt;/record&gt;&lt;/Cite&gt;&lt;/EndNote&gt;</w:instrText>
      </w:r>
      <w:r>
        <w:fldChar w:fldCharType="separate"/>
      </w:r>
      <w:r>
        <w:rPr>
          <w:noProof/>
        </w:rPr>
        <w:t>(Stratton, Kwan et al. 2018)</w:t>
      </w:r>
      <w:r>
        <w:fldChar w:fldCharType="end"/>
      </w:r>
      <w:r>
        <w:t xml:space="preserve">. What is very interesting about this study is the high rate of shisha use. In the YTS in the US, the rate of ever-use of Hookah is usually combined with other combustible tobacco products such as pipes. Harrell et al </w:t>
      </w:r>
      <w:r>
        <w:fldChar w:fldCharType="begin">
          <w:fldData xml:space="preserve">PEVuZE5vdGU+PENpdGU+PEF1dGhvcj5IYXJyZWxsPC9BdXRob3I+PFllYXI+MjAxNzwvWWVhcj48
UmVjTnVtPjUzNzQ8L1JlY051bT48RGlzcGxheVRleHQ+KEhhcnJlbGwsIE5hcXZpIGV0IGFsLiAy
MDE3KTwvRGlzcGxheVRleHQ+PHJlY29yZD48cmVjLW51bWJlcj41Mzc0PC9yZWMtbnVtYmVyPjxm
b3JlaWduLWtleXM+PGtleSBhcHA9IkVOIiBkYi1pZD0iZnB0OXB0dHJtNXpmc2Flc3A5ZnBzZGR2
MDlld3N2NXhld2ZkIiB0aW1lc3RhbXA9IjE1MjUwNDY1ODMiPjUzNzQ8L2tleT48a2V5IGFwcD0i
RU5XZWIiIGRiLWlkPSIiPjA8L2tleT48L2ZvcmVpZ24ta2V5cz48cmVmLXR5cGUgbmFtZT0iSm91
cm5hbCBBcnRpY2xlIj4xNzwvcmVmLXR5cGU+PGNvbnRyaWJ1dG9ycz48YXV0aG9ycz48YXV0aG9y
PkhhcnJlbGwsIFAuIFQuPC9hdXRob3I+PGF1dGhvcj5OYXF2aSwgUy4gTS4gSC48L2F1dGhvcj48
YXV0aG9yPlBsdW5rLCBBLiBELjwvYXV0aG9yPjxhdXRob3I+SmksIE0uPC9hdXRob3I+PGF1dGhv
cj5NYXJ0aW5zLCBTLiBTLjwvYXV0aG9yPjwvYXV0aG9ycz48L2NvbnRyaWJ1dG9ycz48YXV0aC1h
ZGRyZXNzPmEgRGVwYXJ0bWVudCBvZiBQZWRpYXRyaWNzLCBFYXN0ZXJuIFZpcmdpbmlhIE1lZGlj
YWwgU2Nob29sICwgTm9yZm9sayAsIFZBICwgVVNBLiYjeEQ7YiBEZXBhcnRtZW50IG9mIFN0YXRp
c3RpY3MvQmlvc3RhdGlzdGljcywgQ29sbGVnZSBvZiBOdXJzaW5nICwgVW5pdmVyc2l0eSBvZiBT
b3V0aCBGbG9yaWRhICwgVGFtcGEgLCBGTCAsIFVTQS4mI3hEO2MgRGVwYXJ0bWVudCBvZiBFcGlk
ZW1pb2xvZ3kgLCBDb2x1bWJpYSBVbml2ZXJzaXR5IE1haWxtYW4gU2Nob29sIG9mIFB1YmxpYyBI
ZWFsdGggLCBOZXcgWW9yayAsIE5ZICwgVVNBLjwvYXV0aC1hZGRyZXNzPjx0aXRsZXM+PHRpdGxl
PlBhdHRlcm5zIG9mIHlvdXRoIHRvYmFjY28gYW5kIHBvbHl0b2JhY2NvIHVzYWdlOiBUaGUgc2hp
ZnQgdG8gYWx0ZXJuYXRpdmUgdG9iYWNjbyBwcm9kdWN0czwvdGl0bGU+PHNlY29uZGFyeS10aXRs
ZT5BbSBKIERydWcgQWxjb2hvbCBBYnVzZTwvc2Vjb25kYXJ5LXRpdGxlPjxhbHQtdGl0bGU+VGhl
IEFtZXJpY2FuIGpvdXJuYWwgb2YgZHJ1ZyBhbmQgYWxjb2hvbCBhYnVzZTwvYWx0LXRpdGxlPjwv
dGl0bGVzPjxwZXJpb2RpY2FsPjxmdWxsLXRpdGxlPkFtIEogRHJ1ZyBBbGNvaG9sIEFidXNlPC9m
dWxsLXRpdGxlPjxhYmJyLTE+VGhlIEFtZXJpY2FuIGpvdXJuYWwgb2YgZHJ1ZyBhbmQgYWxjb2hv
bCBhYnVzZTwvYWJici0xPjwvcGVyaW9kaWNhbD48YWx0LXBlcmlvZGljYWw+PGZ1bGwtdGl0bGU+
QW0gSiBEcnVnIEFsY29ob2wgQWJ1c2U8L2Z1bGwtdGl0bGU+PGFiYnItMT5UaGUgQW1lcmljYW4g
am91cm5hbCBvZiBkcnVnIGFuZCBhbGNvaG9sIGFidXNlPC9hYmJyLTE+PC9hbHQtcGVyaW9kaWNh
bD48cGFnZXM+Njk0LTcwMjwvcGFnZXM+PHZvbHVtZT40Mzwvdm9sdW1lPjxudW1iZXI+NjwvbnVt
YmVyPjxlZGl0aW9uPjIwMTYvMDkvMjc8L2VkaXRpb24+PGtleXdvcmRzPjxrZXl3b3JkPkFkb2xl
c2NlbnQ8L2tleXdvcmQ+PGtleXdvcmQ+QWRvbGVzY2VudCBCZWhhdmlvci8qcHN5Y2hvbG9neTwv
a2V5d29yZD48a2V5d29yZD5DaGlsZDwva2V5d29yZD48a2V5d29yZD5GZW1hbGU8L2tleXdvcmQ+
PGtleXdvcmQ+SHVtYW5zPC9rZXl3b3JkPjxrZXl3b3JkPk1hbGU8L2tleXdvcmQ+PGtleXdvcmQ+
UmlzayBGYWN0b3JzPC9rZXl3b3JkPjxrZXl3b3JkPlN1cnZleXMgYW5kIFF1ZXN0aW9ubmFpcmVz
PC9rZXl3b3JkPjxrZXl3b3JkPlRvYmFjY28gUHJvZHVjdHMvKnN0YXRpc3RpY3MgJmFtcDsgbnVt
ZXJpY2FsIGRhdGE8L2tleXdvcmQ+PGtleXdvcmQ+VG9iYWNjbyBVc2UvKmVwaWRlbWlvbG9neS8q
cHN5Y2hvbG9neTwva2V5d29yZD48a2V5d29yZD5Ub2JhY2NvIFVzZSBEaXNvcmRlci9lcGlkZW1p
b2xvZ3k8L2tleXdvcmQ+PGtleXdvcmQ+VW5pdGVkIFN0YXRlcy9lcGlkZW1pb2xvZ3k8L2tleXdv
cmQ+PGtleXdvcmQ+WW91bmcgQWR1bHQ8L2tleXdvcmQ+PGtleXdvcmQ+Tm9uLWNpZ2FyZXR0ZSB0
b2JhY2NvIHByb2R1Y3RzPC9rZXl3b3JkPjxrZXl3b3JkPmFkZGljdGlvbjwva2V5d29yZD48a2V5
d29yZD5jby1zdWJzdGFuY2UgdXNlPC9rZXl3b3JkPjxrZXl3b3JkPmVsZWN0cm9uaWMgbmljb3Rp
bmUgZGVsaXZlcnkgc3lzdGVtczwva2V5d29yZD48a2V5d29yZD5wcmlvcml0eS9zcGVjaWFsIHBv
cHVsYXRpb25zPC9rZXl3b3JkPjwva2V5d29yZHM+PGRhdGVzPjx5ZWFyPjIwMTc8L3llYXI+PHB1
Yi1kYXRlcz48ZGF0ZT5Ob3Y8L2RhdGU+PC9wdWItZGF0ZXM+PC9kYXRlcz48aXNibj4wMDk1LTI5
OTA8L2lzYm4+PGFjY2Vzc2lvbi1udW0+Mjc2NjgzMjA8L2FjY2Vzc2lvbi1udW0+PHVybHM+PHJl
bGF0ZWQtdXJscz48dXJsPmh0dHBzOi8vd3d3LnRhbmRmb25saW5lLmNvbS9kb2kvcGRmLzEwLjEw
ODAvMDA5NTI5OTAuMjAxNi4xMjI1MDcyP25lZWRBY2Nlc3M9dHJ1ZTwvdXJsPjwvcmVsYXRlZC11
cmxzPjwvdXJscz48Y3VzdG9tMj5QTUM1NDQwMjEyPC9jdXN0b20yPjxjdXN0b202Pk5JSE1TODU3
MjY0PC9jdXN0b202PjxlbGVjdHJvbmljLXJlc291cmNlLW51bT4xMC4xMDgwLzAwOTUyOTkwLjIw
MTYuMTIyNTA3MjwvZWxlY3Ryb25pYy1yZXNvdXJjZS1udW0+PHJlbW90ZS1kYXRhYmFzZS1wcm92
aWRlcj5OTE08L3JlbW90ZS1kYXRhYmFzZS1wcm92aWRlcj48bGFuZ3VhZ2U+ZW5nPC9sYW5ndWFn
ZT48L3JlY29yZD48L0NpdGU+PC9FbmROb3RlPn==
</w:fldData>
        </w:fldChar>
      </w:r>
      <w:r>
        <w:instrText xml:space="preserve"> ADDIN EN.CITE </w:instrText>
      </w:r>
      <w:r>
        <w:fldChar w:fldCharType="begin">
          <w:fldData xml:space="preserve">PEVuZE5vdGU+PENpdGU+PEF1dGhvcj5IYXJyZWxsPC9BdXRob3I+PFllYXI+MjAxNzwvWWVhcj48
UmVjTnVtPjUzNzQ8L1JlY051bT48RGlzcGxheVRleHQ+KEhhcnJlbGwsIE5hcXZpIGV0IGFsLiAy
MDE3KTwvRGlzcGxheVRleHQ+PHJlY29yZD48cmVjLW51bWJlcj41Mzc0PC9yZWMtbnVtYmVyPjxm
b3JlaWduLWtleXM+PGtleSBhcHA9IkVOIiBkYi1pZD0iZnB0OXB0dHJtNXpmc2Flc3A5ZnBzZGR2
MDlld3N2NXhld2ZkIiB0aW1lc3RhbXA9IjE1MjUwNDY1ODMiPjUzNzQ8L2tleT48a2V5IGFwcD0i
RU5XZWIiIGRiLWlkPSIiPjA8L2tleT48L2ZvcmVpZ24ta2V5cz48cmVmLXR5cGUgbmFtZT0iSm91
cm5hbCBBcnRpY2xlIj4xNzwvcmVmLXR5cGU+PGNvbnRyaWJ1dG9ycz48YXV0aG9ycz48YXV0aG9y
PkhhcnJlbGwsIFAuIFQuPC9hdXRob3I+PGF1dGhvcj5OYXF2aSwgUy4gTS4gSC48L2F1dGhvcj48
YXV0aG9yPlBsdW5rLCBBLiBELjwvYXV0aG9yPjxhdXRob3I+SmksIE0uPC9hdXRob3I+PGF1dGhv
cj5NYXJ0aW5zLCBTLiBTLjwvYXV0aG9yPjwvYXV0aG9ycz48L2NvbnRyaWJ1dG9ycz48YXV0aC1h
ZGRyZXNzPmEgRGVwYXJ0bWVudCBvZiBQZWRpYXRyaWNzLCBFYXN0ZXJuIFZpcmdpbmlhIE1lZGlj
YWwgU2Nob29sICwgTm9yZm9sayAsIFZBICwgVVNBLiYjeEQ7YiBEZXBhcnRtZW50IG9mIFN0YXRp
c3RpY3MvQmlvc3RhdGlzdGljcywgQ29sbGVnZSBvZiBOdXJzaW5nICwgVW5pdmVyc2l0eSBvZiBT
b3V0aCBGbG9yaWRhICwgVGFtcGEgLCBGTCAsIFVTQS4mI3hEO2MgRGVwYXJ0bWVudCBvZiBFcGlk
ZW1pb2xvZ3kgLCBDb2x1bWJpYSBVbml2ZXJzaXR5IE1haWxtYW4gU2Nob29sIG9mIFB1YmxpYyBI
ZWFsdGggLCBOZXcgWW9yayAsIE5ZICwgVVNBLjwvYXV0aC1hZGRyZXNzPjx0aXRsZXM+PHRpdGxl
PlBhdHRlcm5zIG9mIHlvdXRoIHRvYmFjY28gYW5kIHBvbHl0b2JhY2NvIHVzYWdlOiBUaGUgc2hp
ZnQgdG8gYWx0ZXJuYXRpdmUgdG9iYWNjbyBwcm9kdWN0czwvdGl0bGU+PHNlY29uZGFyeS10aXRs
ZT5BbSBKIERydWcgQWxjb2hvbCBBYnVzZTwvc2Vjb25kYXJ5LXRpdGxlPjxhbHQtdGl0bGU+VGhl
IEFtZXJpY2FuIGpvdXJuYWwgb2YgZHJ1ZyBhbmQgYWxjb2hvbCBhYnVzZTwvYWx0LXRpdGxlPjwv
dGl0bGVzPjxwZXJpb2RpY2FsPjxmdWxsLXRpdGxlPkFtIEogRHJ1ZyBBbGNvaG9sIEFidXNlPC9m
dWxsLXRpdGxlPjxhYmJyLTE+VGhlIEFtZXJpY2FuIGpvdXJuYWwgb2YgZHJ1ZyBhbmQgYWxjb2hv
bCBhYnVzZTwvYWJici0xPjwvcGVyaW9kaWNhbD48YWx0LXBlcmlvZGljYWw+PGZ1bGwtdGl0bGU+
QW0gSiBEcnVnIEFsY29ob2wgQWJ1c2U8L2Z1bGwtdGl0bGU+PGFiYnItMT5UaGUgQW1lcmljYW4g
am91cm5hbCBvZiBkcnVnIGFuZCBhbGNvaG9sIGFidXNlPC9hYmJyLTE+PC9hbHQtcGVyaW9kaWNh
bD48cGFnZXM+Njk0LTcwMjwvcGFnZXM+PHZvbHVtZT40Mzwvdm9sdW1lPjxudW1iZXI+NjwvbnVt
YmVyPjxlZGl0aW9uPjIwMTYvMDkvMjc8L2VkaXRpb24+PGtleXdvcmRzPjxrZXl3b3JkPkFkb2xl
c2NlbnQ8L2tleXdvcmQ+PGtleXdvcmQ+QWRvbGVzY2VudCBCZWhhdmlvci8qcHN5Y2hvbG9neTwv
a2V5d29yZD48a2V5d29yZD5DaGlsZDwva2V5d29yZD48a2V5d29yZD5GZW1hbGU8L2tleXdvcmQ+
PGtleXdvcmQ+SHVtYW5zPC9rZXl3b3JkPjxrZXl3b3JkPk1hbGU8L2tleXdvcmQ+PGtleXdvcmQ+
UmlzayBGYWN0b3JzPC9rZXl3b3JkPjxrZXl3b3JkPlN1cnZleXMgYW5kIFF1ZXN0aW9ubmFpcmVz
PC9rZXl3b3JkPjxrZXl3b3JkPlRvYmFjY28gUHJvZHVjdHMvKnN0YXRpc3RpY3MgJmFtcDsgbnVt
ZXJpY2FsIGRhdGE8L2tleXdvcmQ+PGtleXdvcmQ+VG9iYWNjbyBVc2UvKmVwaWRlbWlvbG9neS8q
cHN5Y2hvbG9neTwva2V5d29yZD48a2V5d29yZD5Ub2JhY2NvIFVzZSBEaXNvcmRlci9lcGlkZW1p
b2xvZ3k8L2tleXdvcmQ+PGtleXdvcmQ+VW5pdGVkIFN0YXRlcy9lcGlkZW1pb2xvZ3k8L2tleXdv
cmQ+PGtleXdvcmQ+WW91bmcgQWR1bHQ8L2tleXdvcmQ+PGtleXdvcmQ+Tm9uLWNpZ2FyZXR0ZSB0
b2JhY2NvIHByb2R1Y3RzPC9rZXl3b3JkPjxrZXl3b3JkPmFkZGljdGlvbjwva2V5d29yZD48a2V5
d29yZD5jby1zdWJzdGFuY2UgdXNlPC9rZXl3b3JkPjxrZXl3b3JkPmVsZWN0cm9uaWMgbmljb3Rp
bmUgZGVsaXZlcnkgc3lzdGVtczwva2V5d29yZD48a2V5d29yZD5wcmlvcml0eS9zcGVjaWFsIHBv
cHVsYXRpb25zPC9rZXl3b3JkPjwva2V5d29yZHM+PGRhdGVzPjx5ZWFyPjIwMTc8L3llYXI+PHB1
Yi1kYXRlcz48ZGF0ZT5Ob3Y8L2RhdGU+PC9wdWItZGF0ZXM+PC9kYXRlcz48aXNibj4wMDk1LTI5
OTA8L2lzYm4+PGFjY2Vzc2lvbi1udW0+Mjc2NjgzMjA8L2FjY2Vzc2lvbi1udW0+PHVybHM+PHJl
bGF0ZWQtdXJscz48dXJsPmh0dHBzOi8vd3d3LnRhbmRmb25saW5lLmNvbS9kb2kvcGRmLzEwLjEw
ODAvMDA5NTI5OTAuMjAxNi4xMjI1MDcyP25lZWRBY2Nlc3M9dHJ1ZTwvdXJsPjwvcmVsYXRlZC11
cmxzPjwvdXJscz48Y3VzdG9tMj5QTUM1NDQwMjEyPC9jdXN0b20yPjxjdXN0b202Pk5JSE1TODU3
MjY0PC9jdXN0b202PjxlbGVjdHJvbmljLXJlc291cmNlLW51bT4xMC4xMDgwLzAwOTUyOTkwLjIw
MTYuMTIyNTA3MjwvZWxlY3Ryb25pYy1yZXNvdXJjZS1udW0+PHJlbW90ZS1kYXRhYmFzZS1wcm92
aWRlcj5OTE08L3JlbW90ZS1kYXRhYmFzZS1wcm92aWRlcj48bGFuZ3VhZ2U+ZW5nPC9sYW5ndWFn
ZT48L3JlY29yZD48L0NpdGU+PC9FbmROb3RlPn==
</w:fldData>
        </w:fldChar>
      </w:r>
      <w:r>
        <w:instrText xml:space="preserve"> ADDIN EN.CITE.DATA </w:instrText>
      </w:r>
      <w:r>
        <w:fldChar w:fldCharType="end"/>
      </w:r>
      <w:r>
        <w:fldChar w:fldCharType="separate"/>
      </w:r>
      <w:r>
        <w:rPr>
          <w:noProof/>
        </w:rPr>
        <w:t>(Harrell, Naqvi et al. 2017)</w:t>
      </w:r>
      <w:r>
        <w:fldChar w:fldCharType="end"/>
      </w:r>
      <w:r>
        <w:t xml:space="preserve"> report that past 30-day use of hookah was 22.6% while e</w:t>
      </w:r>
      <w:r>
        <w:noBreakHyphen/>
        <w:t xml:space="preserve">cigarette use was 16.1% in a sample of past-month tobacco users in the YTS. The Surgeon General’s report </w:t>
      </w:r>
      <w:r>
        <w:fldChar w:fldCharType="begin"/>
      </w:r>
      <w:r w:rsidR="00903735">
        <w:instrText xml:space="preserve"> ADDIN EN.CITE &lt;EndNote&gt;&lt;Cite&gt;&lt;Author&gt;US Dept of Health and Human Services&lt;/Author&gt;&lt;Year&gt;2016&lt;/Year&gt;&lt;RecNum&gt;13024&lt;/RecNum&gt;&lt;DisplayText&gt;(US Dept of Health and Human Services 2016)&lt;/DisplayText&gt;&lt;record&gt;&lt;rec-number&gt;13024&lt;/rec-number&gt;&lt;foreign-keys&gt;&lt;key app="EN" db-id="5xv5w5t2bdxtxfezx02xtxdft5rz5ptvvt29" timestamp="1524017182"&gt;13024&lt;/key&gt;&lt;/foreign-keys&gt;&lt;ref-type name="Journal Article"&gt;17&lt;/ref-type&gt;&lt;contributors&gt;&lt;authors&gt;&lt;author&gt;US Dept of Health and Human Services,&lt;/author&gt;&lt;/authors&gt;&lt;/contributors&gt;&lt;titles&gt;&lt;title&gt;E-cigarette Use among Youth and Young Adults:A report of the Surgeon General&lt;/title&gt;&lt;/titles&gt;&lt;dates&gt;&lt;year&gt;2016&lt;/year&gt;&lt;/dates&gt;&lt;urls&gt;&lt;/urls&gt;&lt;/record&gt;&lt;/Cite&gt;&lt;/EndNote&gt;</w:instrText>
      </w:r>
      <w:r>
        <w:fldChar w:fldCharType="separate"/>
      </w:r>
      <w:r>
        <w:rPr>
          <w:noProof/>
        </w:rPr>
        <w:t>(US Dept of Health and Human Services 2016)</w:t>
      </w:r>
      <w:r>
        <w:fldChar w:fldCharType="end"/>
      </w:r>
      <w:r>
        <w:t xml:space="preserve"> refers to Hookah lounges and </w:t>
      </w:r>
      <w:r w:rsidR="002B2612">
        <w:t xml:space="preserve">Shisha </w:t>
      </w:r>
      <w:r>
        <w:t xml:space="preserve">cafes are also commonplace in Australia. </w:t>
      </w:r>
    </w:p>
    <w:p w14:paraId="6E3E330A" w14:textId="77777777" w:rsidR="00673D5A" w:rsidRDefault="00673D5A" w:rsidP="00673D5A">
      <w:pPr>
        <w:pStyle w:val="BodyText"/>
      </w:pPr>
    </w:p>
    <w:p w14:paraId="63390689" w14:textId="77777777" w:rsidR="00673D5A" w:rsidRDefault="00673D5A" w:rsidP="00673D5A">
      <w:pPr>
        <w:pStyle w:val="BodyText"/>
      </w:pPr>
      <w:r>
        <w:t xml:space="preserve">Bonevski et al </w:t>
      </w:r>
      <w:r>
        <w:fldChar w:fldCharType="begin"/>
      </w:r>
      <w:r>
        <w:instrText xml:space="preserve"> ADDIN EN.CITE &lt;EndNote&gt;&lt;Cite&gt;&lt;Author&gt;Bonevski&lt;/Author&gt;&lt;Year&gt;2017&lt;/Year&gt;&lt;RecNum&gt;6348&lt;/RecNum&gt;&lt;DisplayText&gt;(Bonevski, Guillaumier et al. 2017)&lt;/DisplayText&gt;&lt;record&gt;&lt;rec-number&gt;6348&lt;/rec-number&gt;&lt;foreign-keys&gt;&lt;key app="EN" db-id="fpt9pttrm5zfsaesp9fpsddv09ewsv5xewfd" timestamp="1525047216"&gt;6348&lt;/key&gt;&lt;key app="ENWeb" db-id=""&gt;0&lt;/key&gt;&lt;/foreign-keys&gt;&lt;ref-type name="Journal Article"&gt;17&lt;/ref-type&gt;&lt;contributors&gt;&lt;authors&gt;&lt;author&gt;Bonevski, Billie&lt;/author&gt;&lt;author&gt;Guillaumier, Ashleigh&lt;/author&gt;&lt;author&gt;Skelton, Eliza&lt;/author&gt;&lt;author&gt;Shakeshaft, Anthony&lt;/author&gt;&lt;author&gt;Farrell, Michael&lt;/author&gt;&lt;author&gt;Tzelepis, Flora&lt;/author&gt;&lt;author&gt;Dunlop, Adrian J.&lt;/author&gt;&lt;author&gt;Paul, Chris&lt;/author&gt;&lt;author&gt;D&amp;apos;Este, Catherine&lt;/author&gt;&lt;/authors&gt;&lt;/contributors&gt;&lt;titles&gt;&lt;title&gt;ALCOHOL AND OTHER DRUG TREATMENT CLIENT PERCEPTIONS OF ELECTRONIC CIGARETTE USE, SAFETY AND HARM REDUCTION&lt;/title&gt;&lt;secondary-title&gt;Drug and Alcohol Review&lt;/secondary-title&gt;&lt;/titles&gt;&lt;periodical&gt;&lt;full-title&gt;Drug and Alcohol Review&lt;/full-title&gt;&lt;/periodical&gt;&lt;pages&gt;22-22&lt;/pages&gt;&lt;volume&gt;36&lt;/volume&gt;&lt;dates&gt;&lt;year&gt;2017&lt;/year&gt;&lt;pub-dates&gt;&lt;date&gt;Nov&lt;/date&gt;&lt;/pub-dates&gt;&lt;/dates&gt;&lt;isbn&gt;0959-5236&lt;/isbn&gt;&lt;accession-num&gt;WOS:000424000500052&lt;/accession-num&gt;&lt;urls&gt;&lt;related-urls&gt;&lt;url&gt;&amp;lt;Go to ISI&amp;gt;://WOS:000424000500052&lt;/url&gt;&lt;/related-urls&gt;&lt;/urls&gt;&lt;/record&gt;&lt;/Cite&gt;&lt;/EndNote&gt;</w:instrText>
      </w:r>
      <w:r>
        <w:fldChar w:fldCharType="separate"/>
      </w:r>
      <w:r>
        <w:rPr>
          <w:noProof/>
        </w:rPr>
        <w:t>(Bonevski, Guillaumier et al. 2017)</w:t>
      </w:r>
      <w:r>
        <w:fldChar w:fldCharType="end"/>
      </w:r>
      <w:r>
        <w:t xml:space="preserve"> surveyed 427 people at substance use centres and reported 39% ever-use of e</w:t>
      </w:r>
      <w:r>
        <w:noBreakHyphen/>
        <w:t>cigarettes and that 70% had used them to try to stop smoking. One of th</w:t>
      </w:r>
      <w:r w:rsidR="008E7BEC">
        <w:t>e international studies (Table 38</w:t>
      </w:r>
      <w:r>
        <w:t xml:space="preserve">), also surveyed people in treatment centres across the US </w:t>
      </w:r>
      <w:r>
        <w:fldChar w:fldCharType="begin">
          <w:fldData xml:space="preserve">PEVuZE5vdGU+PENpdGU+PEF1dGhvcj5HdWJuZXI8L0F1dGhvcj48WWVhcj4yMDE3PC9ZZWFyPjxS
ZWNOdW0+NTAzNjwvUmVjTnVtPjxEaXNwbGF5VGV4dD4oR3VibmVyLCBQYWdhbm8gZXQgYWwuIDIw
MTcpPC9EaXNwbGF5VGV4dD48cmVjb3JkPjxyZWMtbnVtYmVyPjUwMzY8L3JlYy1udW1iZXI+PGZv
cmVpZ24ta2V5cz48a2V5IGFwcD0iRU4iIGRiLWlkPSJmcHQ5cHR0cm01emZzYWVzcDlmcHNkZHYw
OWV3c3Y1eGV3ZmQiIHRpbWVzdGFtcD0iMTUyNTA0NTg3MyI+NTAzNjwva2V5PjxrZXkgYXBwPSJF
TldlYiIgZGItaWQ9IiI+MDwva2V5PjwvZm9yZWlnbi1rZXlzPjxyZWYtdHlwZSBuYW1lPSJKb3Vy
bmFsIEFydGljbGUiPjE3PC9yZWYtdHlwZT48Y29udHJpYnV0b3JzPjxhdXRob3JzPjxhdXRob3I+
R3VibmVyLCBOLiBSLjwvYXV0aG9yPjxhdXRob3I+UGFnYW5vLCBBLjwvYXV0aG9yPjxhdXRob3I+
VGFqaW1hLCBCLjwvYXV0aG9yPjxhdXRob3I+R3V5ZGlzaCwgSi48L2F1dGhvcj48L2F1dGhvcnM+
PC9jb250cmlidXRvcnM+PGF1dGgtYWRkcmVzcz5QaGlsaXAgUi4gTGVlIEluc3RpdHV0ZSBmb3Ig
SGVhbHRoIFBvbGljeSBTdHVkaWVzLCBVbml2ZXJzaXR5IG9mIENhbGlmb3JuaWEsIFNhbiBGcmFu
Y2lzY28sIENBLCBVU0EuJiN4RDtEZXBhcnRtZW50IG9mIFBzeWNoaWF0cnkgYW5kIFdlaWxsIElu
c3RpdHV0ZSBmb3IgTmV1cm9zY2llbmNlcywgVW5pdmVyc2l0eSBvZiBDYWxpZm9ybmlhLCBTYW4g
RnJhbmNpc2NvLCBDQSwgVVNBLiYjeEQ7UHJldmVudGlvbiBSZXNlYXJjaCBDZW50ZXIsIFBhY2lm
aWMgSW5zdGl0dXRlIGZvciBSZXNlYXJjaCBhbmQgRXZhbHVhdGlvbiAoUElSRSksIE9ha2xhbmQs
IENBLCBVU0EuPC9hdXRoLWFkZHJlc3M+PHRpdGxlcz48dGl0bGU+QSBjb21wYXJpc29uIG9mIGRh
aWx5IHZlcnN1cyB3ZWVrbHkgZWxlY3Ryb25pYyBjaWdhcmV0dGUgdXNlcnMgaW4gdHJlYXRtZW50
IGZvciBzdWJzdGFuY2UgYWJ1c2U8L3RpdGxlPjxzZWNvbmRhcnktdGl0bGU+Tmljb3RpbmUgVG9i
IFJlczwvc2Vjb25kYXJ5LXRpdGxlPjxhbHQtdGl0bGU+Tmljb3RpbmUgJmFtcDsgdG9iYWNjbyBy
ZXNlYXJjaCA6IG9mZmljaWFsIGpvdXJuYWwgb2YgdGhlIFNvY2lldHkgZm9yIFJlc2VhcmNoIG9u
IE5pY290aW5lIGFuZCBUb2JhY2NvPC9hbHQtdGl0bGU+PC90aXRsZXM+PHBlcmlvZGljYWw+PGZ1
bGwtdGl0bGU+Tmljb3RpbmUgVG9iIFJlczwvZnVsbC10aXRsZT48YWJici0xPk5pY290aW5lICZh
bXA7IHRvYmFjY28gcmVzZWFyY2ggOiBvZmZpY2lhbCBqb3VybmFsIG9mIHRoZSBTb2NpZXR5IGZv
ciBSZXNlYXJjaCBvbiBOaWNvdGluZSBhbmQgVG9iYWNjbzwvYWJici0xPjwvcGVyaW9kaWNhbD48
YWx0LXBlcmlvZGljYWw+PGZ1bGwtdGl0bGU+Tmljb3RpbmUgVG9iIFJlczwvZnVsbC10aXRsZT48
YWJici0xPk5pY290aW5lICZhbXA7IHRvYmFjY28gcmVzZWFyY2ggOiBvZmZpY2lhbCBqb3VybmFs
IG9mIHRoZSBTb2NpZXR5IGZvciBSZXNlYXJjaCBvbiBOaWNvdGluZSBhbmQgVG9iYWNjbzwvYWJi
ci0xPjwvYWx0LXBlcmlvZGljYWw+PGVkaXRpb24+MjAxNy8wNi8wMzwvZWRpdGlvbj48a2V5d29y
ZHM+PGtleXdvcmQ+QWxjb2hvbDwva2V5d29yZD48a2V5d29yZD5EZXBlbmRlbmNlPC9rZXl3b3Jk
PjxrZXl3b3JkPkRydWc8L2tleXdvcmQ+PGtleXdvcmQ+ZHJ1ZyBhYnVzZS48L2tleXdvcmQ+PGtl
eXdvcmQ+ZS1jaWc8L2tleXdvcmQ+PGtleXdvcmQ+ZS1jaWdhcmV0dGU8L2tleXdvcmQ+PGtleXdv
cmQ+bmljb3RpbmU8L2tleXdvcmQ+PC9rZXl3b3Jkcz48ZGF0ZXM+PHllYXI+MjAxNzwveWVhcj48
cHViLWRhdGVzPjxkYXRlPkp1biAxPC9kYXRlPjwvcHViLWRhdGVzPjwvZGF0ZXM+PGlzYm4+MTQ2
Mi0yMjAzPC9pc2JuPjxhY2Nlc3Npb24tbnVtPjI4NTc1NTE5PC9hY2Nlc3Npb24tbnVtPjx1cmxz
PjxyZWxhdGVkLXVybHM+PHVybD5odHRwczovL3dhdGVybWFyay5zaWx2ZXJjaGFpci5jb20vbnR4
MTE2LnBkZj90b2tlbj1BUUVDQUhpMjA4QkU0OU9vYW45a2toV19FcmN5N0RtM1pMXzlDZjNxZktB
YzQ4NXlzZ0FBQWNnd2dnSEVCZ2txaGtpRzl3MEJCd2FnZ2dHMU1JSUJzUUlCQURDQ0Fhb0dDU3FH
U0liM0RRRUhBVEFlQmdsZ2hrZ0JaUU1FQVM0d0VRUU1fenhVNXpnZ3laeDh1RldqQWdFUWdJSUJl
eUhGZ0pPZ0p1ZXNJZzZpTFdLcmhDTm9mUUppalQzZURnbGw3TVJBU1Y4N3l0amZ3cUtIamFtSk12
X0o2bmV1RXFTVlpqMkVlRnlXMzdERkRMN3dnYjBxQ21hSnZKOFBTLVFpaV9hTFdwSGtSVEE5Y1Nz
RzFwMFYzRFhRbi15b0poWTZ3cG5OMTl1V2h3RVBGaGpTTk1JOGRjRGhjRk04ZjRRNElLdGtyTEM4
YzNRa3Y5N25uZnRuZHI2ajRSRXNMc0NkQ3NOdFhFRXlnQ2hYNmd5dktlM0dPSmlMbkhHOUhIZG9n
R2tRWUpEd05NTTJhV0ZXRjFHU1I5dGJ5REwwa2tFZTg3ZU84N2s1S3B5OXI2ekdqSE81VTZGb21a
d1pYcVF4YjNFQk1lR1g3OWRFX0Y5aTJQTGlIV3puMWlkRGNsaXVCNk5pR2ZPUVFPUGVoWlI4ZFg5
cWlHQVh4NUZGZkFZeFh5cXE4aEtzZWhzMC1vVzNEQWpQcWxfWkt0R1NiZENkMlRZazl3VzRHSzNO
c1BJLUtJUUx5QmtKVTduZW1DR3ZWQzdGY2liMEJ1NW1IVDVIQ0lkc2tIdHZTWW5qbzFOSkUtX0xU
WWhZS3hCR3A5SXhWUUZJUzc0bEpoRmcxTFRFWWVZaXFVZjkyVzJyY1VzTDJyS1J0dDQ8L3VybD48
L3JlbGF0ZWQtdXJscz48L3VybHM+PGVsZWN0cm9uaWMtcmVzb3VyY2UtbnVtPjEwLjEwOTMvbnRy
L250eDExNjwvZWxlY3Ryb25pYy1yZXNvdXJjZS1udW0+PHJlbW90ZS1kYXRhYmFzZS1wcm92aWRl
cj5OTE08L3JlbW90ZS1kYXRhYmFzZS1wcm92aWRlcj48bGFuZ3VhZ2U+ZW5nPC9sYW5ndWFnZT48
L3JlY29yZD48L0NpdGU+PC9FbmROb3RlPgB=
</w:fldData>
        </w:fldChar>
      </w:r>
      <w:r>
        <w:instrText xml:space="preserve"> ADDIN EN.CITE </w:instrText>
      </w:r>
      <w:r>
        <w:fldChar w:fldCharType="begin">
          <w:fldData xml:space="preserve">PEVuZE5vdGU+PENpdGU+PEF1dGhvcj5HdWJuZXI8L0F1dGhvcj48WWVhcj4yMDE3PC9ZZWFyPjxS
ZWNOdW0+NTAzNjwvUmVjTnVtPjxEaXNwbGF5VGV4dD4oR3VibmVyLCBQYWdhbm8gZXQgYWwuIDIw
MTcpPC9EaXNwbGF5VGV4dD48cmVjb3JkPjxyZWMtbnVtYmVyPjUwMzY8L3JlYy1udW1iZXI+PGZv
cmVpZ24ta2V5cz48a2V5IGFwcD0iRU4iIGRiLWlkPSJmcHQ5cHR0cm01emZzYWVzcDlmcHNkZHYw
OWV3c3Y1eGV3ZmQiIHRpbWVzdGFtcD0iMTUyNTA0NTg3MyI+NTAzNjwva2V5PjxrZXkgYXBwPSJF
TldlYiIgZGItaWQ9IiI+MDwva2V5PjwvZm9yZWlnbi1rZXlzPjxyZWYtdHlwZSBuYW1lPSJKb3Vy
bmFsIEFydGljbGUiPjE3PC9yZWYtdHlwZT48Y29udHJpYnV0b3JzPjxhdXRob3JzPjxhdXRob3I+
R3VibmVyLCBOLiBSLjwvYXV0aG9yPjxhdXRob3I+UGFnYW5vLCBBLjwvYXV0aG9yPjxhdXRob3I+
VGFqaW1hLCBCLjwvYXV0aG9yPjxhdXRob3I+R3V5ZGlzaCwgSi48L2F1dGhvcj48L2F1dGhvcnM+
PC9jb250cmlidXRvcnM+PGF1dGgtYWRkcmVzcz5QaGlsaXAgUi4gTGVlIEluc3RpdHV0ZSBmb3Ig
SGVhbHRoIFBvbGljeSBTdHVkaWVzLCBVbml2ZXJzaXR5IG9mIENhbGlmb3JuaWEsIFNhbiBGcmFu
Y2lzY28sIENBLCBVU0EuJiN4RDtEZXBhcnRtZW50IG9mIFBzeWNoaWF0cnkgYW5kIFdlaWxsIElu
c3RpdHV0ZSBmb3IgTmV1cm9zY2llbmNlcywgVW5pdmVyc2l0eSBvZiBDYWxpZm9ybmlhLCBTYW4g
RnJhbmNpc2NvLCBDQSwgVVNBLiYjeEQ7UHJldmVudGlvbiBSZXNlYXJjaCBDZW50ZXIsIFBhY2lm
aWMgSW5zdGl0dXRlIGZvciBSZXNlYXJjaCBhbmQgRXZhbHVhdGlvbiAoUElSRSksIE9ha2xhbmQs
IENBLCBVU0EuPC9hdXRoLWFkZHJlc3M+PHRpdGxlcz48dGl0bGU+QSBjb21wYXJpc29uIG9mIGRh
aWx5IHZlcnN1cyB3ZWVrbHkgZWxlY3Ryb25pYyBjaWdhcmV0dGUgdXNlcnMgaW4gdHJlYXRtZW50
IGZvciBzdWJzdGFuY2UgYWJ1c2U8L3RpdGxlPjxzZWNvbmRhcnktdGl0bGU+Tmljb3RpbmUgVG9i
IFJlczwvc2Vjb25kYXJ5LXRpdGxlPjxhbHQtdGl0bGU+Tmljb3RpbmUgJmFtcDsgdG9iYWNjbyBy
ZXNlYXJjaCA6IG9mZmljaWFsIGpvdXJuYWwgb2YgdGhlIFNvY2lldHkgZm9yIFJlc2VhcmNoIG9u
IE5pY290aW5lIGFuZCBUb2JhY2NvPC9hbHQtdGl0bGU+PC90aXRsZXM+PHBlcmlvZGljYWw+PGZ1
bGwtdGl0bGU+Tmljb3RpbmUgVG9iIFJlczwvZnVsbC10aXRsZT48YWJici0xPk5pY290aW5lICZh
bXA7IHRvYmFjY28gcmVzZWFyY2ggOiBvZmZpY2lhbCBqb3VybmFsIG9mIHRoZSBTb2NpZXR5IGZv
ciBSZXNlYXJjaCBvbiBOaWNvdGluZSBhbmQgVG9iYWNjbzwvYWJici0xPjwvcGVyaW9kaWNhbD48
YWx0LXBlcmlvZGljYWw+PGZ1bGwtdGl0bGU+Tmljb3RpbmUgVG9iIFJlczwvZnVsbC10aXRsZT48
YWJici0xPk5pY290aW5lICZhbXA7IHRvYmFjY28gcmVzZWFyY2ggOiBvZmZpY2lhbCBqb3VybmFs
IG9mIHRoZSBTb2NpZXR5IGZvciBSZXNlYXJjaCBvbiBOaWNvdGluZSBhbmQgVG9iYWNjbzwvYWJi
ci0xPjwvYWx0LXBlcmlvZGljYWw+PGVkaXRpb24+MjAxNy8wNi8wMzwvZWRpdGlvbj48a2V5d29y
ZHM+PGtleXdvcmQ+QWxjb2hvbDwva2V5d29yZD48a2V5d29yZD5EZXBlbmRlbmNlPC9rZXl3b3Jk
PjxrZXl3b3JkPkRydWc8L2tleXdvcmQ+PGtleXdvcmQ+ZHJ1ZyBhYnVzZS48L2tleXdvcmQ+PGtl
eXdvcmQ+ZS1jaWc8L2tleXdvcmQ+PGtleXdvcmQ+ZS1jaWdhcmV0dGU8L2tleXdvcmQ+PGtleXdv
cmQ+bmljb3RpbmU8L2tleXdvcmQ+PC9rZXl3b3Jkcz48ZGF0ZXM+PHllYXI+MjAxNzwveWVhcj48
cHViLWRhdGVzPjxkYXRlPkp1biAxPC9kYXRlPjwvcHViLWRhdGVzPjwvZGF0ZXM+PGlzYm4+MTQ2
Mi0yMjAzPC9pc2JuPjxhY2Nlc3Npb24tbnVtPjI4NTc1NTE5PC9hY2Nlc3Npb24tbnVtPjx1cmxz
PjxyZWxhdGVkLXVybHM+PHVybD5odHRwczovL3dhdGVybWFyay5zaWx2ZXJjaGFpci5jb20vbnR4
MTE2LnBkZj90b2tlbj1BUUVDQUhpMjA4QkU0OU9vYW45a2toV19FcmN5N0RtM1pMXzlDZjNxZktB
YzQ4NXlzZ0FBQWNnd2dnSEVCZ2txaGtpRzl3MEJCd2FnZ2dHMU1JSUJzUUlCQURDQ0Fhb0dDU3FH
U0liM0RRRUhBVEFlQmdsZ2hrZ0JaUU1FQVM0d0VRUU1fenhVNXpnZ3laeDh1RldqQWdFUWdJSUJl
eUhGZ0pPZ0p1ZXNJZzZpTFdLcmhDTm9mUUppalQzZURnbGw3TVJBU1Y4N3l0amZ3cUtIamFtSk12
X0o2bmV1RXFTVlpqMkVlRnlXMzdERkRMN3dnYjBxQ21hSnZKOFBTLVFpaV9hTFdwSGtSVEE5Y1Nz
RzFwMFYzRFhRbi15b0poWTZ3cG5OMTl1V2h3RVBGaGpTTk1JOGRjRGhjRk04ZjRRNElLdGtyTEM4
YzNRa3Y5N25uZnRuZHI2ajRSRXNMc0NkQ3NOdFhFRXlnQ2hYNmd5dktlM0dPSmlMbkhHOUhIZG9n
R2tRWUpEd05NTTJhV0ZXRjFHU1I5dGJ5REwwa2tFZTg3ZU84N2s1S3B5OXI2ekdqSE81VTZGb21a
d1pYcVF4YjNFQk1lR1g3OWRFX0Y5aTJQTGlIV3puMWlkRGNsaXVCNk5pR2ZPUVFPUGVoWlI4ZFg5
cWlHQVh4NUZGZkFZeFh5cXE4aEtzZWhzMC1vVzNEQWpQcWxfWkt0R1NiZENkMlRZazl3VzRHSzNO
c1BJLUtJUUx5QmtKVTduZW1DR3ZWQzdGY2liMEJ1NW1IVDVIQ0lkc2tIdHZTWW5qbzFOSkUtX0xU
WWhZS3hCR3A5SXhWUUZJUzc0bEpoRmcxTFRFWWVZaXFVZjkyVzJyY1VzTDJyS1J0dDQ8L3VybD48
L3JlbGF0ZWQtdXJscz48L3VybHM+PGVsZWN0cm9uaWMtcmVzb3VyY2UtbnVtPjEwLjEwOTMvbnRy
L250eDExNjwvZWxlY3Ryb25pYy1yZXNvdXJjZS1udW0+PHJlbW90ZS1kYXRhYmFzZS1wcm92aWRl
cj5OTE08L3JlbW90ZS1kYXRhYmFzZS1wcm92aWRlcj48bGFuZ3VhZ2U+ZW5nPC9sYW5ndWFnZT48
L3JlY29yZD48L0NpdGU+PC9FbmROb3RlPgB=
</w:fldData>
        </w:fldChar>
      </w:r>
      <w:r>
        <w:instrText xml:space="preserve"> ADDIN EN.CITE.DATA </w:instrText>
      </w:r>
      <w:r>
        <w:fldChar w:fldCharType="end"/>
      </w:r>
      <w:r>
        <w:fldChar w:fldCharType="separate"/>
      </w:r>
      <w:r>
        <w:rPr>
          <w:noProof/>
        </w:rPr>
        <w:t>(Gubner, Pagano et al. 2017)</w:t>
      </w:r>
      <w:r>
        <w:fldChar w:fldCharType="end"/>
      </w:r>
      <w:r>
        <w:t>. Based on 1,127 people surveyed in this study, the prevalence of e</w:t>
      </w:r>
      <w:r>
        <w:noBreakHyphen/>
        <w:t xml:space="preserve">cigarette use was 59.8% which is much higher than that in the Australian sample. </w:t>
      </w:r>
    </w:p>
    <w:p w14:paraId="1DBC9202" w14:textId="77777777" w:rsidR="00673D5A" w:rsidRDefault="00673D5A" w:rsidP="00673D5A">
      <w:pPr>
        <w:pStyle w:val="BodyText"/>
      </w:pPr>
    </w:p>
    <w:p w14:paraId="663A2134" w14:textId="77777777" w:rsidR="00673D5A" w:rsidRDefault="00673D5A" w:rsidP="00673D5A">
      <w:pPr>
        <w:pStyle w:val="BodyText"/>
      </w:pPr>
      <w:r>
        <w:t xml:space="preserve">In the final Australian study </w:t>
      </w:r>
      <w:r>
        <w:fldChar w:fldCharType="begin">
          <w:fldData xml:space="preserve">PEVuZE5vdGU+PENpdGU+PEF1dGhvcj5MZWU8L0F1dGhvcj48WWVhcj4yMDE4PC9ZZWFyPjxSZWNO
dW0+NDU5NTwvUmVjTnVtPjxEaXNwbGF5VGV4dD4oTGVlLCBZb25nIGV0IGFsLiAyMDE4KTwvRGlz
cGxheVRleHQ+PHJlY29yZD48cmVjLW51bWJlcj40NTk1PC9yZWMtbnVtYmVyPjxmb3JlaWduLWtl
eXM+PGtleSBhcHA9IkVOIiBkYi1pZD0iZnB0OXB0dHJtNXpmc2Flc3A5ZnBzZGR2MDlld3N2NXhl
d2ZkIiB0aW1lc3RhbXA9IjE1MjUwNDUxMjQiPjQ1OTU8L2tleT48a2V5IGFwcD0iRU5XZWIiIGRi
LWlkPSIiPjA8L2tleT48L2ZvcmVpZ24ta2V5cz48cmVmLXR5cGUgbmFtZT0iSm91cm5hbCBBcnRp
Y2xlIj4xNzwvcmVmLXR5cGU+PGNvbnRyaWJ1dG9ycz48YXV0aG9ycz48YXV0aG9yPkxlZSwgQy48
L2F1dGhvcj48YXV0aG9yPllvbmcsIEguIEguPC9hdXRob3I+PGF1dGhvcj5Cb3JsYW5kLCBSLjwv
YXV0aG9yPjxhdXRob3I+TWNOZWlsbCwgQS48L2F1dGhvcj48YXV0aG9yPkhpdGNobWFuLCBTLiBD
LjwvYXV0aG9yPjwvYXV0aG9ycz48L2NvbnRyaWJ1dG9ycz48YXV0aC1hZGRyZXNzPkRlcGFydG1l
bnQgb2YgRmFtaWx5IE1lZGljaW5lLCBIZWFsdGhjYXJlIFN5c3RlbSBHYW5nbmFtIENlbnRlciwg
U2VvdWwgTmF0aW9uYWwgVW5pdmVyc2l0eSBIb3NwaXRhbCwgU2VvdWwsIFNvdXRoIEtvcmVhLiYj
eEQ7TmlnZWwgR3JheSBGZWxsb3dzaGlwIEdyb3VwLCBDYW5jZXIgQ291bmNpbCBWaWN0b3JpYSwg
TWVsYm91cm5lLCBBdXN0cmFsaWEuJiN4RDtOaWdlbCBHcmF5IEZlbGxvd3NoaXAgR3JvdXAsIENh
bmNlciBDb3VuY2lsIFZpY3RvcmlhLCBNZWxib3VybmUsIEF1c3RyYWxpYS4gRWxlY3Ryb25pYyBh
ZGRyZXNzOiBSb24uQm9ybGFuZEBjYW5jZXJ2aWMub3JnLmF1LiYjeEQ7RGVwYXJ0bWVudCBvZiBB
ZGRpY3Rpb25zLCBJbnN0aXR1dGUgb2YgUHN5Y2hpYXRyeSwgUHN5Y2hvbG9neSwgYW5kIE5ldXJv
c2NpZW5jZSwgS2luZyZhcG9zO3MgQ29sbGVnZSBMb25kb24sIFVuaXRlZCBLaW5nZG9tOyBVSyBD
ZW50cmUgZm9yIFRvYmFjY28gYW5kIEFsY29ob2wgU3R1ZGllcyAoVUtDVEFTKSwgVW5pdmVyc2l0
eSBvZiBOb3R0aW5naGFtLCBOb3R0aW5naGFtLCBVbml0ZWQgS2luZ2RvbS48L2F1dGgtYWRkcmVz
cz48dGl0bGVzPjx0aXRsZT5BY2NlcHRhbmNlIGFuZCBwYXR0ZXJucyBvZiBwZXJzb25hbCB2YXBv
cml6ZXIgdXNlIGluIEF1c3RyYWxpYSBhbmQgdGhlIFVuaXRlZCBLaW5nZG9tOiBSZXN1bHRzIGZy
b20gdGhlIEludGVybmF0aW9uYWwgVG9iYWNjbyBDb250cm9sIHN1cnZleTwvdGl0bGU+PHNlY29u
ZGFyeS10aXRsZT5EcnVnIEFsY29ob2wgRGVwZW5kPC9zZWNvbmRhcnktdGl0bGU+PGFsdC10aXRs
ZT5EcnVnIGFuZCBhbGNvaG9sIGRlcGVuZGVuY2U8L2FsdC10aXRsZT48L3RpdGxlcz48YWx0LXBl
cmlvZGljYWw+PGZ1bGwtdGl0bGU+RHJ1ZyBhbmQgQWxjb2hvbCBEZXBlbmRlbmNlPC9mdWxsLXRp
dGxlPjwvYWx0LXBlcmlvZGljYWw+PHBhZ2VzPjE0Mi0xNDg8L3BhZ2VzPjx2b2x1bWU+MTg1PC92
b2x1bWU+PGVkaXRpb24+MjAxOC8wMi8xNjwvZWRpdGlvbj48a2V5d29yZHM+PGtleXdvcmQ+RWxl
Y3Ryb25pYyBjaWdhcmV0dGU8L2tleXdvcmQ+PGtleXdvcmQ+UGVyc29uYWwgdmFwb3JpemVyczwv
a2V5d29yZD48a2V5d29yZD5TbW9rZS1mcmVlIHBsYWNlczwva2V5d29yZD48a2V5d29yZD5Tb2Np
YWwgbm9ybXM8L2tleXdvcmQ+PGtleXdvcmQ+U3VydmV5IHJlc2VhcmNoPC9rZXl3b3JkPjxrZXl3
b3JkPlZhcGluZzwva2V5d29yZD48L2tleXdvcmRzPjxkYXRlcz48eWVhcj4yMDE4PC95ZWFyPjxw
dWItZGF0ZXM+PGRhdGU+RmViIDEwPC9kYXRlPjwvcHViLWRhdGVzPjwvZGF0ZXM+PGlzYm4+MDM3
Ni04NzE2PC9pc2JuPjxhY2Nlc3Npb24tbnVtPjI5NDQ4MTQ3PC9hY2Nlc3Npb24tbnVtPjx1cmxz
PjxyZWxhdGVkLXVybHM+PHVybD5odHRwOi8vd3d3LmRydWdhbmRhbGNvaG9sZGVwZW5kZW5jZS5j
b20vYXJ0aWNsZS9TMDM3Ni04NzE2KDE4KTMwMDc2LTAvcGRmPC91cmw+PC9yZWxhdGVkLXVybHM+
PC91cmxzPjxlbGVjdHJvbmljLXJlc291cmNlLW51bT4xMC4xMDE2L2ouZHJ1Z2FsY2RlcC4yMDE3
LjEyLjAxODwvZWxlY3Ryb25pYy1yZXNvdXJjZS1udW0+PHJlbW90ZS1kYXRhYmFzZS1wcm92aWRl
cj5OTE08L3JlbW90ZS1kYXRhYmFzZS1wcm92aWRlcj48bGFuZ3VhZ2U+ZW5nPC9sYW5ndWFnZT48
L3JlY29yZD48L0NpdGU+PC9FbmROb3RlPn==
</w:fldData>
        </w:fldChar>
      </w:r>
      <w:r>
        <w:instrText xml:space="preserve"> ADDIN EN.CITE </w:instrText>
      </w:r>
      <w:r>
        <w:fldChar w:fldCharType="begin">
          <w:fldData xml:space="preserve">PEVuZE5vdGU+PENpdGU+PEF1dGhvcj5MZWU8L0F1dGhvcj48WWVhcj4yMDE4PC9ZZWFyPjxSZWNO
dW0+NDU5NTwvUmVjTnVtPjxEaXNwbGF5VGV4dD4oTGVlLCBZb25nIGV0IGFsLiAyMDE4KTwvRGlz
cGxheVRleHQ+PHJlY29yZD48cmVjLW51bWJlcj40NTk1PC9yZWMtbnVtYmVyPjxmb3JlaWduLWtl
eXM+PGtleSBhcHA9IkVOIiBkYi1pZD0iZnB0OXB0dHJtNXpmc2Flc3A5ZnBzZGR2MDlld3N2NXhl
d2ZkIiB0aW1lc3RhbXA9IjE1MjUwNDUxMjQiPjQ1OTU8L2tleT48a2V5IGFwcD0iRU5XZWIiIGRi
LWlkPSIiPjA8L2tleT48L2ZvcmVpZ24ta2V5cz48cmVmLXR5cGUgbmFtZT0iSm91cm5hbCBBcnRp
Y2xlIj4xNzwvcmVmLXR5cGU+PGNvbnRyaWJ1dG9ycz48YXV0aG9ycz48YXV0aG9yPkxlZSwgQy48
L2F1dGhvcj48YXV0aG9yPllvbmcsIEguIEguPC9hdXRob3I+PGF1dGhvcj5Cb3JsYW5kLCBSLjwv
YXV0aG9yPjxhdXRob3I+TWNOZWlsbCwgQS48L2F1dGhvcj48YXV0aG9yPkhpdGNobWFuLCBTLiBD
LjwvYXV0aG9yPjwvYXV0aG9ycz48L2NvbnRyaWJ1dG9ycz48YXV0aC1hZGRyZXNzPkRlcGFydG1l
bnQgb2YgRmFtaWx5IE1lZGljaW5lLCBIZWFsdGhjYXJlIFN5c3RlbSBHYW5nbmFtIENlbnRlciwg
U2VvdWwgTmF0aW9uYWwgVW5pdmVyc2l0eSBIb3NwaXRhbCwgU2VvdWwsIFNvdXRoIEtvcmVhLiYj
eEQ7TmlnZWwgR3JheSBGZWxsb3dzaGlwIEdyb3VwLCBDYW5jZXIgQ291bmNpbCBWaWN0b3JpYSwg
TWVsYm91cm5lLCBBdXN0cmFsaWEuJiN4RDtOaWdlbCBHcmF5IEZlbGxvd3NoaXAgR3JvdXAsIENh
bmNlciBDb3VuY2lsIFZpY3RvcmlhLCBNZWxib3VybmUsIEF1c3RyYWxpYS4gRWxlY3Ryb25pYyBh
ZGRyZXNzOiBSb24uQm9ybGFuZEBjYW5jZXJ2aWMub3JnLmF1LiYjeEQ7RGVwYXJ0bWVudCBvZiBB
ZGRpY3Rpb25zLCBJbnN0aXR1dGUgb2YgUHN5Y2hpYXRyeSwgUHN5Y2hvbG9neSwgYW5kIE5ldXJv
c2NpZW5jZSwgS2luZyZhcG9zO3MgQ29sbGVnZSBMb25kb24sIFVuaXRlZCBLaW5nZG9tOyBVSyBD
ZW50cmUgZm9yIFRvYmFjY28gYW5kIEFsY29ob2wgU3R1ZGllcyAoVUtDVEFTKSwgVW5pdmVyc2l0
eSBvZiBOb3R0aW5naGFtLCBOb3R0aW5naGFtLCBVbml0ZWQgS2luZ2RvbS48L2F1dGgtYWRkcmVz
cz48dGl0bGVzPjx0aXRsZT5BY2NlcHRhbmNlIGFuZCBwYXR0ZXJucyBvZiBwZXJzb25hbCB2YXBv
cml6ZXIgdXNlIGluIEF1c3RyYWxpYSBhbmQgdGhlIFVuaXRlZCBLaW5nZG9tOiBSZXN1bHRzIGZy
b20gdGhlIEludGVybmF0aW9uYWwgVG9iYWNjbyBDb250cm9sIHN1cnZleTwvdGl0bGU+PHNlY29u
ZGFyeS10aXRsZT5EcnVnIEFsY29ob2wgRGVwZW5kPC9zZWNvbmRhcnktdGl0bGU+PGFsdC10aXRs
ZT5EcnVnIGFuZCBhbGNvaG9sIGRlcGVuZGVuY2U8L2FsdC10aXRsZT48L3RpdGxlcz48YWx0LXBl
cmlvZGljYWw+PGZ1bGwtdGl0bGU+RHJ1ZyBhbmQgQWxjb2hvbCBEZXBlbmRlbmNlPC9mdWxsLXRp
dGxlPjwvYWx0LXBlcmlvZGljYWw+PHBhZ2VzPjE0Mi0xNDg8L3BhZ2VzPjx2b2x1bWU+MTg1PC92
b2x1bWU+PGVkaXRpb24+MjAxOC8wMi8xNjwvZWRpdGlvbj48a2V5d29yZHM+PGtleXdvcmQ+RWxl
Y3Ryb25pYyBjaWdhcmV0dGU8L2tleXdvcmQ+PGtleXdvcmQ+UGVyc29uYWwgdmFwb3JpemVyczwv
a2V5d29yZD48a2V5d29yZD5TbW9rZS1mcmVlIHBsYWNlczwva2V5d29yZD48a2V5d29yZD5Tb2Np
YWwgbm9ybXM8L2tleXdvcmQ+PGtleXdvcmQ+U3VydmV5IHJlc2VhcmNoPC9rZXl3b3JkPjxrZXl3
b3JkPlZhcGluZzwva2V5d29yZD48L2tleXdvcmRzPjxkYXRlcz48eWVhcj4yMDE4PC95ZWFyPjxw
dWItZGF0ZXM+PGRhdGU+RmViIDEwPC9kYXRlPjwvcHViLWRhdGVzPjwvZGF0ZXM+PGlzYm4+MDM3
Ni04NzE2PC9pc2JuPjxhY2Nlc3Npb24tbnVtPjI5NDQ4MTQ3PC9hY2Nlc3Npb24tbnVtPjx1cmxz
PjxyZWxhdGVkLXVybHM+PHVybD5odHRwOi8vd3d3LmRydWdhbmRhbGNvaG9sZGVwZW5kZW5jZS5j
b20vYXJ0aWNsZS9TMDM3Ni04NzE2KDE4KTMwMDc2LTAvcGRmPC91cmw+PC9yZWxhdGVkLXVybHM+
PC91cmxzPjxlbGVjdHJvbmljLXJlc291cmNlLW51bT4xMC4xMDE2L2ouZHJ1Z2FsY2RlcC4yMDE3
LjEyLjAxODwvZWxlY3Ryb25pYy1yZXNvdXJjZS1udW0+PHJlbW90ZS1kYXRhYmFzZS1wcm92aWRl
cj5OTE08L3JlbW90ZS1kYXRhYmFzZS1wcm92aWRlcj48bGFuZ3VhZ2U+ZW5nPC9sYW5ndWFnZT48
L3JlY29yZD48L0NpdGU+PC9FbmROb3RlPn==
</w:fldData>
        </w:fldChar>
      </w:r>
      <w:r>
        <w:instrText xml:space="preserve"> ADDIN EN.CITE.DATA </w:instrText>
      </w:r>
      <w:r>
        <w:fldChar w:fldCharType="end"/>
      </w:r>
      <w:r>
        <w:fldChar w:fldCharType="separate"/>
      </w:r>
      <w:r>
        <w:rPr>
          <w:noProof/>
        </w:rPr>
        <w:t>(Lee, Yong et al. 2018)</w:t>
      </w:r>
      <w:r>
        <w:fldChar w:fldCharType="end"/>
      </w:r>
      <w:r>
        <w:t xml:space="preserve">, the authors used data collected about part of the 2014 International Tobacco Control Survey to compare vaping in people in Australia and the UK. People in this sample are slightly different to the general population as they have smoked at least 100 cigarettes throughout their lifetime. Data analysed included 2,849 adults of which 1,430 were Australian. The prevalence of current vaping in Australians was 11.9% with 2.5% using daily. Compared to those in the UK, Australians had lower rates of vaping, higher opinions about it, and felt that there were less social constraints. </w:t>
      </w:r>
    </w:p>
    <w:p w14:paraId="5F18B6DC" w14:textId="77777777" w:rsidR="00673D5A" w:rsidRDefault="00673D5A" w:rsidP="00673D5A">
      <w:pPr>
        <w:pStyle w:val="BodyText"/>
      </w:pPr>
    </w:p>
    <w:p w14:paraId="522BF022" w14:textId="77777777" w:rsidR="00673D5A" w:rsidRDefault="00673D5A" w:rsidP="00673D5A">
      <w:pPr>
        <w:pStyle w:val="BodyText"/>
      </w:pPr>
      <w:r>
        <w:t xml:space="preserve">Both of the papers based on data collected in New Zealand focussed on vaping as a means of smoking cessation through an online survey with 218 vapers </w:t>
      </w:r>
      <w:r>
        <w:fldChar w:fldCharType="begin">
          <w:fldData xml:space="preserve">PEVuZE5vdGU+PENpdGU+PEF1dGhvcj5UcnVtYW48L0F1dGhvcj48WWVhcj4yMDE4PC9ZZWFyPjxS
ZWNOdW0+NDY0MDwvUmVjTnVtPjxEaXNwbGF5VGV4dD4oVHJ1bWFuLCBHbG92ZXIgZXQgYWwuIDIw
MTgpPC9EaXNwbGF5VGV4dD48cmVjb3JkPjxyZWMtbnVtYmVyPjQ2NDA8L3JlYy1udW1iZXI+PGZv
cmVpZ24ta2V5cz48a2V5IGFwcD0iRU4iIGRiLWlkPSJmcHQ5cHR0cm01emZzYWVzcDlmcHNkZHYw
OWV3c3Y1eGV3ZmQiIHRpbWVzdGFtcD0iMTUyNTA0NTE5OSI+NDY0MDwva2V5PjxrZXkgYXBwPSJF
TldlYiIgZGItaWQ9IiI+MDwva2V5PjwvZm9yZWlnbi1rZXlzPjxyZWYtdHlwZSBuYW1lPSJKb3Vy
bmFsIEFydGljbGUiPjE3PC9yZWYtdHlwZT48Y29udHJpYnV0b3JzPjxhdXRob3JzPjxhdXRob3I+
VHJ1bWFuLCBQLjwvYXV0aG9yPjxhdXRob3I+R2xvdmVyLCBNLjwvYXV0aG9yPjxhdXRob3I+RnJh
c2VyLCBULjwvYXV0aG9yPjwvYXV0aG9ycz48L2NvbnRyaWJ1dG9ycz48YXV0aC1hZGRyZXNzPlNj
aG9vbCBvZiBIZWFsdGggU2NpZW5jZXMsIE1hc3NleSBVbml2ZXJzaXR5LCBXZWxsaW5ndG9uIDYw
MjEsIE5ldyBaZWFsYW5kLiBwLnRydW1hbkBtYXNzZXkuYWMubnouJiN4RDtJbnN0aXR1dGUgb2Yg
RW52aXJvbm1lbnRhbCBTY2llbmNlIGFuZCBSZXNlYXJjaCBMdGQuLCBQb3JpcnVhIDUyNDAsIE5l
dyBaZWFsYW5kLiBwLnRydW1hbkBtYXNzZXkuYWMubnouJiN4RDtTY2hvb2wgb2YgSGVhbHRoIFNj
aWVuY2VzLCBNYXNzZXkgVW5pdmVyc2l0eSwgQXVja2xhbmQgMDYzMiwgTmV3IFplYWxhbmQuIG0u
Z2xvdmVyQG1hc3NleS5hYy5uei4mI3hEO0dsb2JhbCBQdWJsaWMgSGVhbHRoIEx0ZC4sIEdsZW5v
cmNoeSA5MzUwLCBOZXcgWmVhbGFuZC4gdHJpc2hAdHVrdXdhaGFnbGVub3JjaHkuY29tLjwvYXV0
aC1hZGRyZXNzPjx0aXRsZXM+PHRpdGxlPkFuIE9ubGluZSBTdXJ2ZXkgb2YgTmV3IFplYWxhbmQg
VmFwZXJzPC90aXRsZT48c2Vjb25kYXJ5LXRpdGxlPkludCBKIEVudmlyb24gUmVzIFB1YmxpYyBI
ZWFsdGg8L3NlY29uZGFyeS10aXRsZT48YWx0LXRpdGxlPkludGVybmF0aW9uYWwgam91cm5hbCBv
ZiBlbnZpcm9ubWVudGFsIHJlc2VhcmNoIGFuZCBwdWJsaWMgaGVhbHRoPC9hbHQtdGl0bGU+PC90
aXRsZXM+PGFsdC1wZXJpb2RpY2FsPjxmdWxsLXRpdGxlPkludGVybmF0aW9uYWwgSm91cm5hbCBv
ZiBFbnZpcm9ubWVudGFsIFJlc2VhcmNoIGFuZCBQdWJsaWMgSGVhbHRoPC9mdWxsLXRpdGxlPjwv
YWx0LXBlcmlvZGljYWw+PHZvbHVtZT4xNTwvdm9sdW1lPjxudW1iZXI+MjwvbnVtYmVyPjxlZGl0
aW9uPjIwMTgvMDIvMDE8L2VkaXRpb24+PGtleXdvcmRzPjxrZXl3b3JkPmVsZWN0cm9uaWMgY2ln
YXJldHRlczwva2V5d29yZD48a2V5d29yZD5uaWNvdGluZTwva2V5d29yZD48a2V5d29yZD5zbW9r
aW5nIGNlc3NhdGlvbjwva2V5d29yZD48a2V5d29yZD50b2JhY2NvIGRlcGVuZGVuY2U8L2tleXdv
cmQ+PGtleXdvcmQ+dmFwaW5nPC9rZXl3b3JkPjxrZXl3b3JkPmFyZSBjdXJyZW50IG1lbWJlcnMg
b2YgRW5kU21va2luZyBOZXcgWmVhbGFuZCwgYW4gb3JnYW5pc2F0aW9uIHdoaWNoIGFkdm9jYXRl
czwva2V5d29yZD48a2V5d29yZD5mb3IgaGFybSByZWR1Y3Rpb24gYXBwcm9hY2hlcyB0byBzbW9r
aW5nIGNlc3NhdGlvbi4gRW5kIFNtb2tpbmcgTmV3IFplYWxhbmQgd2FzIGE8L2tleXdvcmQ+PGtl
eXdvcmQ+bWlub3Igc3BvbnNvciBvZiB0aGUgV29ybGQgUHJlbWllcmUgb2YgJmFwb3M7QSBCaWxs
aW9uIExpdmVzJmFwb3M7IChhIGRvY3VtZW50YXJ5IG9uPC9rZXl3b3JkPjxrZXl3b3JkPmUtY2ln
YXJldHRlcykuIFBlbmVsb3BlIFRydW1hbiBpcyBhIG1lbWJlciBvZiB0aGUgVGVjaG5pY2FsIEV4
cGVydCBBZHZpc29yeTwva2V5d29yZD48a2V5d29yZD5Hcm91cDogRWxlY3Ryb25pYyBDaWdhcmV0
dGUgUHJvZHVjdCBTYWZldHksIGFkdmlzaW5nIHRoZSBOZXcgWmVhbGFuZCBNaW5pc3RyeSBvZjwv
a2V5d29yZD48a2V5d29yZD5IZWFsdGggb24gYXBwcm9wcmlhdGUgc3RhbmRhcmRzIGZvciBlLWNp
ZyBsaXF1aWRzLjwva2V5d29yZD48L2tleXdvcmRzPjxkYXRlcz48eWVhcj4yMDE4PC95ZWFyPjxw
dWItZGF0ZXM+PGRhdGU+SmFuIDI5PC9kYXRlPjwvcHViLWRhdGVzPjwvZGF0ZXM+PGlzYm4+MTY2
MC00NjAxPC9pc2JuPjxhY2Nlc3Npb24tbnVtPjI5MzgyMTI5PC9hY2Nlc3Npb24tbnVtPjx1cmxz
PjxyZWxhdGVkLXVybHM+PHVybD5odHRwOi8vd3d3Lm1kcGkuY29tLzE2NjAtNDYwMS8xNS8yLzIy
Mi9wZGY8L3VybD48L3JlbGF0ZWQtdXJscz48L3VybHM+PGVsZWN0cm9uaWMtcmVzb3VyY2UtbnVt
PjEwLjMzOTAvaWplcnBoMTUwMjAyMjI8L2VsZWN0cm9uaWMtcmVzb3VyY2UtbnVtPjxyZW1vdGUt
ZGF0YWJhc2UtcHJvdmlkZXI+TkxNPC9yZW1vdGUtZGF0YWJhc2UtcHJvdmlkZXI+PGxhbmd1YWdl
PmVuZzwvbGFuZ3VhZ2U+PC9yZWNvcmQ+PC9DaXRlPjwvRW5kTm90ZT5=
</w:fldData>
        </w:fldChar>
      </w:r>
      <w:r>
        <w:instrText xml:space="preserve"> ADDIN EN.CITE </w:instrText>
      </w:r>
      <w:r>
        <w:fldChar w:fldCharType="begin">
          <w:fldData xml:space="preserve">PEVuZE5vdGU+PENpdGU+PEF1dGhvcj5UcnVtYW48L0F1dGhvcj48WWVhcj4yMDE4PC9ZZWFyPjxS
ZWNOdW0+NDY0MDwvUmVjTnVtPjxEaXNwbGF5VGV4dD4oVHJ1bWFuLCBHbG92ZXIgZXQgYWwuIDIw
MTgpPC9EaXNwbGF5VGV4dD48cmVjb3JkPjxyZWMtbnVtYmVyPjQ2NDA8L3JlYy1udW1iZXI+PGZv
cmVpZ24ta2V5cz48a2V5IGFwcD0iRU4iIGRiLWlkPSJmcHQ5cHR0cm01emZzYWVzcDlmcHNkZHYw
OWV3c3Y1eGV3ZmQiIHRpbWVzdGFtcD0iMTUyNTA0NTE5OSI+NDY0MDwva2V5PjxrZXkgYXBwPSJF
TldlYiIgZGItaWQ9IiI+MDwva2V5PjwvZm9yZWlnbi1rZXlzPjxyZWYtdHlwZSBuYW1lPSJKb3Vy
bmFsIEFydGljbGUiPjE3PC9yZWYtdHlwZT48Y29udHJpYnV0b3JzPjxhdXRob3JzPjxhdXRob3I+
VHJ1bWFuLCBQLjwvYXV0aG9yPjxhdXRob3I+R2xvdmVyLCBNLjwvYXV0aG9yPjxhdXRob3I+RnJh
c2VyLCBULjwvYXV0aG9yPjwvYXV0aG9ycz48L2NvbnRyaWJ1dG9ycz48YXV0aC1hZGRyZXNzPlNj
aG9vbCBvZiBIZWFsdGggU2NpZW5jZXMsIE1hc3NleSBVbml2ZXJzaXR5LCBXZWxsaW5ndG9uIDYw
MjEsIE5ldyBaZWFsYW5kLiBwLnRydW1hbkBtYXNzZXkuYWMubnouJiN4RDtJbnN0aXR1dGUgb2Yg
RW52aXJvbm1lbnRhbCBTY2llbmNlIGFuZCBSZXNlYXJjaCBMdGQuLCBQb3JpcnVhIDUyNDAsIE5l
dyBaZWFsYW5kLiBwLnRydW1hbkBtYXNzZXkuYWMubnouJiN4RDtTY2hvb2wgb2YgSGVhbHRoIFNj
aWVuY2VzLCBNYXNzZXkgVW5pdmVyc2l0eSwgQXVja2xhbmQgMDYzMiwgTmV3IFplYWxhbmQuIG0u
Z2xvdmVyQG1hc3NleS5hYy5uei4mI3hEO0dsb2JhbCBQdWJsaWMgSGVhbHRoIEx0ZC4sIEdsZW5v
cmNoeSA5MzUwLCBOZXcgWmVhbGFuZC4gdHJpc2hAdHVrdXdhaGFnbGVub3JjaHkuY29tLjwvYXV0
aC1hZGRyZXNzPjx0aXRsZXM+PHRpdGxlPkFuIE9ubGluZSBTdXJ2ZXkgb2YgTmV3IFplYWxhbmQg
VmFwZXJzPC90aXRsZT48c2Vjb25kYXJ5LXRpdGxlPkludCBKIEVudmlyb24gUmVzIFB1YmxpYyBI
ZWFsdGg8L3NlY29uZGFyeS10aXRsZT48YWx0LXRpdGxlPkludGVybmF0aW9uYWwgam91cm5hbCBv
ZiBlbnZpcm9ubWVudGFsIHJlc2VhcmNoIGFuZCBwdWJsaWMgaGVhbHRoPC9hbHQtdGl0bGU+PC90
aXRsZXM+PGFsdC1wZXJpb2RpY2FsPjxmdWxsLXRpdGxlPkludGVybmF0aW9uYWwgSm91cm5hbCBv
ZiBFbnZpcm9ubWVudGFsIFJlc2VhcmNoIGFuZCBQdWJsaWMgSGVhbHRoPC9mdWxsLXRpdGxlPjwv
YWx0LXBlcmlvZGljYWw+PHZvbHVtZT4xNTwvdm9sdW1lPjxudW1iZXI+MjwvbnVtYmVyPjxlZGl0
aW9uPjIwMTgvMDIvMDE8L2VkaXRpb24+PGtleXdvcmRzPjxrZXl3b3JkPmVsZWN0cm9uaWMgY2ln
YXJldHRlczwva2V5d29yZD48a2V5d29yZD5uaWNvdGluZTwva2V5d29yZD48a2V5d29yZD5zbW9r
aW5nIGNlc3NhdGlvbjwva2V5d29yZD48a2V5d29yZD50b2JhY2NvIGRlcGVuZGVuY2U8L2tleXdv
cmQ+PGtleXdvcmQ+dmFwaW5nPC9rZXl3b3JkPjxrZXl3b3JkPmFyZSBjdXJyZW50IG1lbWJlcnMg
b2YgRW5kU21va2luZyBOZXcgWmVhbGFuZCwgYW4gb3JnYW5pc2F0aW9uIHdoaWNoIGFkdm9jYXRl
czwva2V5d29yZD48a2V5d29yZD5mb3IgaGFybSByZWR1Y3Rpb24gYXBwcm9hY2hlcyB0byBzbW9r
aW5nIGNlc3NhdGlvbi4gRW5kIFNtb2tpbmcgTmV3IFplYWxhbmQgd2FzIGE8L2tleXdvcmQ+PGtl
eXdvcmQ+bWlub3Igc3BvbnNvciBvZiB0aGUgV29ybGQgUHJlbWllcmUgb2YgJmFwb3M7QSBCaWxs
aW9uIExpdmVzJmFwb3M7IChhIGRvY3VtZW50YXJ5IG9uPC9rZXl3b3JkPjxrZXl3b3JkPmUtY2ln
YXJldHRlcykuIFBlbmVsb3BlIFRydW1hbiBpcyBhIG1lbWJlciBvZiB0aGUgVGVjaG5pY2FsIEV4
cGVydCBBZHZpc29yeTwva2V5d29yZD48a2V5d29yZD5Hcm91cDogRWxlY3Ryb25pYyBDaWdhcmV0
dGUgUHJvZHVjdCBTYWZldHksIGFkdmlzaW5nIHRoZSBOZXcgWmVhbGFuZCBNaW5pc3RyeSBvZjwv
a2V5d29yZD48a2V5d29yZD5IZWFsdGggb24gYXBwcm9wcmlhdGUgc3RhbmRhcmRzIGZvciBlLWNp
ZyBsaXF1aWRzLjwva2V5d29yZD48L2tleXdvcmRzPjxkYXRlcz48eWVhcj4yMDE4PC95ZWFyPjxw
dWItZGF0ZXM+PGRhdGU+SmFuIDI5PC9kYXRlPjwvcHViLWRhdGVzPjwvZGF0ZXM+PGlzYm4+MTY2
MC00NjAxPC9pc2JuPjxhY2Nlc3Npb24tbnVtPjI5MzgyMTI5PC9hY2Nlc3Npb24tbnVtPjx1cmxz
PjxyZWxhdGVkLXVybHM+PHVybD5odHRwOi8vd3d3Lm1kcGkuY29tLzE2NjAtNDYwMS8xNS8yLzIy
Mi9wZGY8L3VybD48L3JlbGF0ZWQtdXJscz48L3VybHM+PGVsZWN0cm9uaWMtcmVzb3VyY2UtbnVt
PjEwLjMzOTAvaWplcnBoMTUwMjAyMjI8L2VsZWN0cm9uaWMtcmVzb3VyY2UtbnVtPjxyZW1vdGUt
ZGF0YWJhc2UtcHJvdmlkZXI+TkxNPC9yZW1vdGUtZGF0YWJhc2UtcHJvdmlkZXI+PGxhbmd1YWdl
PmVuZzwvbGFuZ3VhZ2U+PC9yZWNvcmQ+PC9DaXRlPjwvRW5kTm90ZT5=
</w:fldData>
        </w:fldChar>
      </w:r>
      <w:r>
        <w:instrText xml:space="preserve"> ADDIN EN.CITE.DATA </w:instrText>
      </w:r>
      <w:r>
        <w:fldChar w:fldCharType="end"/>
      </w:r>
      <w:r>
        <w:fldChar w:fldCharType="separate"/>
      </w:r>
      <w:r>
        <w:rPr>
          <w:noProof/>
        </w:rPr>
        <w:t>(Truman, Glover et al. 2018)</w:t>
      </w:r>
      <w:r>
        <w:fldChar w:fldCharType="end"/>
      </w:r>
      <w:r>
        <w:t xml:space="preserve"> and 20 semi-structured interviews </w:t>
      </w:r>
      <w:r>
        <w:fldChar w:fldCharType="begin">
          <w:fldData xml:space="preserve">PEVuZE5vdGU+PENpdGU+PEF1dGhvcj5Sb2JlcnRzb248L0F1dGhvcj48WWVhcj4yMDE4PC9ZZWFy
PjxSZWNOdW0+NDYxOTwvUmVjTnVtPjxEaXNwbGF5VGV4dD4oUm9iZXJ0c29uLCBIb2VrIGV0IGFs
LiAyMDE4KTwvRGlzcGxheVRleHQ+PHJlY29yZD48cmVjLW51bWJlcj40NjE5PC9yZWMtbnVtYmVy
Pjxmb3JlaWduLWtleXM+PGtleSBhcHA9IkVOIiBkYi1pZD0iZnB0OXB0dHJtNXpmc2Flc3A5ZnBz
ZGR2MDlld3N2NXhld2ZkIiB0aW1lc3RhbXA9IjE1MjUwNDUxNTMiPjQ2MTk8L2tleT48a2V5IGFw
cD0iRU5XZWIiIGRiLWlkPSIiPjA8L2tleT48L2ZvcmVpZ24ta2V5cz48cmVmLXR5cGUgbmFtZT0i
Sm91cm5hbCBBcnRpY2xlIj4xNzwvcmVmLXR5cGU+PGNvbnRyaWJ1dG9ycz48YXV0aG9ycz48YXV0
aG9yPlJvYmVydHNvbiwgTC48L2F1dGhvcj48YXV0aG9yPkhvZWssIEouPC9hdXRob3I+PGF1dGhv
cj5CbGFuaywgTS4gTC48L2F1dGhvcj48YXV0aG9yPlJpY2hhcmRzLCBSLjwvYXV0aG9yPjxhdXRo
b3I+TGluZywgUC48L2F1dGhvcj48YXV0aG9yPlBvcG92YSwgTC48L2F1dGhvcj48L2F1dGhvcnM+
PC9jb250cmlidXRvcnM+PGF1dGgtYWRkcmVzcz5DYW5jZXIgU29jaWV0eSBTb2NpYWwgYW5kIEJl
aGF2aW91cmFsIFJlc2VhcmNoIFVuaXQsIERlcGFydG1lbnQgb2YgUHJldmVudGl2ZSBhbmQgU29j
aWFsIE1lZGljaW5lLCBVbml2ZXJzaXR5IG9mIE90YWdvLCBEdW5lZGluLCBOZXcgWmVhbGFuZC4m
I3hEO0RlcGFydG1lbnRzIG9mIFB1YmxpYyBIZWFsdGggYW5kIE1hcmtldGluZywgVW5pdmVyc2l0
eSBvZiBPdGFnbywgRHVuZWRpbiwgTmV3IFplYWxhbmQuJiN4RDtDZW50ZXIgZm9yIFRvYmFjY28g
Q29udHJvbCBSZXNlYXJjaCBhbmQgRWR1Y2F0aW9uLCBVbml2ZXJzaXR5IG9mIENhbGlmb3JuaWEg
U2FuIEZyYW5jaXNjbywgU2FuIEZyYW5jaXNjbywgQ2FsaWZvcm5pYSwgVVNBLiYjeEQ7U2Nob29s
IG9mIFB1YmxpYyBIZWFsdGgsIEdlb3JnaWEgU3RhdGUgVW5pdmVyc2l0eSwgQXRsYW50YSwgR2Vv
cmdpYSwgVVNBLjwvYXV0aC1hZGRyZXNzPjx0aXRsZXM+PHRpdGxlPkR1YWwgdXNlIG9mIGVsZWN0
cm9uaWMgbmljb3RpbmUgZGVsaXZlcnkgc3lzdGVtcyAoRU5EUykgYW5kIHNtb2tlZCB0b2JhY2Nv
OiBhIHF1YWxpdGF0aXZlIGFuYWx5c2lzPC90aXRsZT48c2Vjb25kYXJ5LXRpdGxlPlRvYiBDb250
cm9sPC9zZWNvbmRhcnktdGl0bGU+PGFsdC10aXRsZT5Ub2JhY2NvIGNvbnRyb2w8L2FsdC10aXRs
ZT48L3RpdGxlcz48YWx0LXBlcmlvZGljYWw+PGZ1bGwtdGl0bGU+VG9iYWNjbyBDb250cm9sPC9m
dWxsLXRpdGxlPjwvYWx0LXBlcmlvZGljYWw+PGVkaXRpb24+MjAxOC8wMi8wOTwvZWRpdGlvbj48
a2V5d29yZHM+PGtleXdvcmQ+ZS1jaWdhcmV0dGVzPC9rZXl3b3JkPjxrZXl3b3JkPmVsZWN0cm9u
aWMgY2lnYXJldHRlczwva2V5d29yZD48a2V5d29yZD5lbGVjdHJvbmljIG5pY290aW5lIGRlbGl2
ZXJ5IHN5c3RlbXMgKEVORFMpPC9rZXl3b3JkPjxrZXl3b3JkPnNtb2tpbmcgY2Vzc2F0aW9uPC9r
ZXl3b3JkPjxrZXl3b3JkPnRvYmFjY288L2tleXdvcmQ+PGtleXdvcmQ+c2FrZSBvZiBmdWxsIHRy
YW5zcGFyZW5jeSB3ZSBub3RlIHRoYXQgYWxsIGF1dGhvcnMgaGF2ZSB1bmRlcnRha2VuIHdvcmsg
Zm9yPC9rZXl3b3JkPjxrZXl3b3JkPmhlYWx0aCBzZWN0b3IgYWdlbmNpZXMgd29ya2luZyBpbiB0
b2JhY2NvIGNvbnRyb2wuPC9rZXl3b3JkPjwva2V5d29yZHM+PGRhdGVzPjx5ZWFyPjIwMTg8L3ll
YXI+PHB1Yi1kYXRlcz48ZGF0ZT5GZWIgMTwvZGF0ZT48L3B1Yi1kYXRlcz48L2RhdGVzPjxpc2Ju
PjA5NjQtNDU2MzwvaXNibj48YWNjZXNzaW9uLW51bT4yOTQxOTQ4ODwvYWNjZXNzaW9uLW51bT48
dXJscz48cmVsYXRlZC11cmxzPjx1cmw+aHR0cDovL3RvYmFjY29jb250cm9sLmJtai5jb20vY29u
dGVudC90b2JhY2NvY29udHJvbC9lYXJseS8yMDE4LzAxLzMxL3RvYmFjY29jb250cm9sLTIwMTct
MDU0MDcwLmZ1bGwucGRmPC91cmw+PC9yZWxhdGVkLXVybHM+PC91cmxzPjxlbGVjdHJvbmljLXJl
c291cmNlLW51bT4xMC4xMTM2L3RvYmFjY29jb250cm9sLTIwMTctMDU0MDcwPC9lbGVjdHJvbmlj
LXJlc291cmNlLW51bT48cmVtb3RlLWRhdGFiYXNlLXByb3ZpZGVyPk5MTTwvcmVtb3RlLWRhdGFi
YXNlLXByb3ZpZGVyPjxsYW5ndWFnZT5lbmc8L2xhbmd1YWdlPjwvcmVjb3JkPjwvQ2l0ZT48L0Vu
ZE5vdGU+AG==
</w:fldData>
        </w:fldChar>
      </w:r>
      <w:r>
        <w:instrText xml:space="preserve"> ADDIN EN.CITE </w:instrText>
      </w:r>
      <w:r>
        <w:fldChar w:fldCharType="begin">
          <w:fldData xml:space="preserve">PEVuZE5vdGU+PENpdGU+PEF1dGhvcj5Sb2JlcnRzb248L0F1dGhvcj48WWVhcj4yMDE4PC9ZZWFy
PjxSZWNOdW0+NDYxOTwvUmVjTnVtPjxEaXNwbGF5VGV4dD4oUm9iZXJ0c29uLCBIb2VrIGV0IGFs
LiAyMDE4KTwvRGlzcGxheVRleHQ+PHJlY29yZD48cmVjLW51bWJlcj40NjE5PC9yZWMtbnVtYmVy
Pjxmb3JlaWduLWtleXM+PGtleSBhcHA9IkVOIiBkYi1pZD0iZnB0OXB0dHJtNXpmc2Flc3A5ZnBz
ZGR2MDlld3N2NXhld2ZkIiB0aW1lc3RhbXA9IjE1MjUwNDUxNTMiPjQ2MTk8L2tleT48a2V5IGFw
cD0iRU5XZWIiIGRiLWlkPSIiPjA8L2tleT48L2ZvcmVpZ24ta2V5cz48cmVmLXR5cGUgbmFtZT0i
Sm91cm5hbCBBcnRpY2xlIj4xNzwvcmVmLXR5cGU+PGNvbnRyaWJ1dG9ycz48YXV0aG9ycz48YXV0
aG9yPlJvYmVydHNvbiwgTC48L2F1dGhvcj48YXV0aG9yPkhvZWssIEouPC9hdXRob3I+PGF1dGhv
cj5CbGFuaywgTS4gTC48L2F1dGhvcj48YXV0aG9yPlJpY2hhcmRzLCBSLjwvYXV0aG9yPjxhdXRo
b3I+TGluZywgUC48L2F1dGhvcj48YXV0aG9yPlBvcG92YSwgTC48L2F1dGhvcj48L2F1dGhvcnM+
PC9jb250cmlidXRvcnM+PGF1dGgtYWRkcmVzcz5DYW5jZXIgU29jaWV0eSBTb2NpYWwgYW5kIEJl
aGF2aW91cmFsIFJlc2VhcmNoIFVuaXQsIERlcGFydG1lbnQgb2YgUHJldmVudGl2ZSBhbmQgU29j
aWFsIE1lZGljaW5lLCBVbml2ZXJzaXR5IG9mIE90YWdvLCBEdW5lZGluLCBOZXcgWmVhbGFuZC4m
I3hEO0RlcGFydG1lbnRzIG9mIFB1YmxpYyBIZWFsdGggYW5kIE1hcmtldGluZywgVW5pdmVyc2l0
eSBvZiBPdGFnbywgRHVuZWRpbiwgTmV3IFplYWxhbmQuJiN4RDtDZW50ZXIgZm9yIFRvYmFjY28g
Q29udHJvbCBSZXNlYXJjaCBhbmQgRWR1Y2F0aW9uLCBVbml2ZXJzaXR5IG9mIENhbGlmb3JuaWEg
U2FuIEZyYW5jaXNjbywgU2FuIEZyYW5jaXNjbywgQ2FsaWZvcm5pYSwgVVNBLiYjeEQ7U2Nob29s
IG9mIFB1YmxpYyBIZWFsdGgsIEdlb3JnaWEgU3RhdGUgVW5pdmVyc2l0eSwgQXRsYW50YSwgR2Vv
cmdpYSwgVVNBLjwvYXV0aC1hZGRyZXNzPjx0aXRsZXM+PHRpdGxlPkR1YWwgdXNlIG9mIGVsZWN0
cm9uaWMgbmljb3RpbmUgZGVsaXZlcnkgc3lzdGVtcyAoRU5EUykgYW5kIHNtb2tlZCB0b2JhY2Nv
OiBhIHF1YWxpdGF0aXZlIGFuYWx5c2lzPC90aXRsZT48c2Vjb25kYXJ5LXRpdGxlPlRvYiBDb250
cm9sPC9zZWNvbmRhcnktdGl0bGU+PGFsdC10aXRsZT5Ub2JhY2NvIGNvbnRyb2w8L2FsdC10aXRs
ZT48L3RpdGxlcz48YWx0LXBlcmlvZGljYWw+PGZ1bGwtdGl0bGU+VG9iYWNjbyBDb250cm9sPC9m
dWxsLXRpdGxlPjwvYWx0LXBlcmlvZGljYWw+PGVkaXRpb24+MjAxOC8wMi8wOTwvZWRpdGlvbj48
a2V5d29yZHM+PGtleXdvcmQ+ZS1jaWdhcmV0dGVzPC9rZXl3b3JkPjxrZXl3b3JkPmVsZWN0cm9u
aWMgY2lnYXJldHRlczwva2V5d29yZD48a2V5d29yZD5lbGVjdHJvbmljIG5pY290aW5lIGRlbGl2
ZXJ5IHN5c3RlbXMgKEVORFMpPC9rZXl3b3JkPjxrZXl3b3JkPnNtb2tpbmcgY2Vzc2F0aW9uPC9r
ZXl3b3JkPjxrZXl3b3JkPnRvYmFjY288L2tleXdvcmQ+PGtleXdvcmQ+c2FrZSBvZiBmdWxsIHRy
YW5zcGFyZW5jeSB3ZSBub3RlIHRoYXQgYWxsIGF1dGhvcnMgaGF2ZSB1bmRlcnRha2VuIHdvcmsg
Zm9yPC9rZXl3b3JkPjxrZXl3b3JkPmhlYWx0aCBzZWN0b3IgYWdlbmNpZXMgd29ya2luZyBpbiB0
b2JhY2NvIGNvbnRyb2wuPC9rZXl3b3JkPjwva2V5d29yZHM+PGRhdGVzPjx5ZWFyPjIwMTg8L3ll
YXI+PHB1Yi1kYXRlcz48ZGF0ZT5GZWIgMTwvZGF0ZT48L3B1Yi1kYXRlcz48L2RhdGVzPjxpc2Ju
PjA5NjQtNDU2MzwvaXNibj48YWNjZXNzaW9uLW51bT4yOTQxOTQ4ODwvYWNjZXNzaW9uLW51bT48
dXJscz48cmVsYXRlZC11cmxzPjx1cmw+aHR0cDovL3RvYmFjY29jb250cm9sLmJtai5jb20vY29u
dGVudC90b2JhY2NvY29udHJvbC9lYXJseS8yMDE4LzAxLzMxL3RvYmFjY29jb250cm9sLTIwMTct
MDU0MDcwLmZ1bGwucGRmPC91cmw+PC9yZWxhdGVkLXVybHM+PC91cmxzPjxlbGVjdHJvbmljLXJl
c291cmNlLW51bT4xMC4xMTM2L3RvYmFjY29jb250cm9sLTIwMTctMDU0MDcwPC9lbGVjdHJvbmlj
LXJlc291cmNlLW51bT48cmVtb3RlLWRhdGFiYXNlLXByb3ZpZGVyPk5MTTwvcmVtb3RlLWRhdGFi
YXNlLXByb3ZpZGVyPjxsYW5ndWFnZT5lbmc8L2xhbmd1YWdlPjwvcmVjb3JkPjwvQ2l0ZT48L0Vu
ZE5vdGU+AG==
</w:fldData>
        </w:fldChar>
      </w:r>
      <w:r>
        <w:instrText xml:space="preserve"> ADDIN EN.CITE.DATA </w:instrText>
      </w:r>
      <w:r>
        <w:fldChar w:fldCharType="end"/>
      </w:r>
      <w:r>
        <w:fldChar w:fldCharType="separate"/>
      </w:r>
      <w:r>
        <w:rPr>
          <w:noProof/>
        </w:rPr>
        <w:t>(Robertson, Hoek et al. 2018)</w:t>
      </w:r>
      <w:r>
        <w:fldChar w:fldCharType="end"/>
      </w:r>
      <w:r>
        <w:t>. Despite their different research approaches, both papers conclude that vaping may be useful for smoking cessation in New Zealand.</w:t>
      </w:r>
    </w:p>
    <w:p w14:paraId="7AA83CDD" w14:textId="77777777" w:rsidR="00673D5A" w:rsidRDefault="00673D5A" w:rsidP="00673D5A">
      <w:pPr>
        <w:pStyle w:val="BodyText"/>
      </w:pPr>
    </w:p>
    <w:p w14:paraId="2333D56F" w14:textId="77777777" w:rsidR="00673D5A" w:rsidRDefault="00673D5A" w:rsidP="00673D5A">
      <w:pPr>
        <w:pStyle w:val="Heading3"/>
        <w:ind w:left="1134" w:hanging="1134"/>
      </w:pPr>
      <w:r>
        <w:t>Conclusion</w:t>
      </w:r>
    </w:p>
    <w:p w14:paraId="168FD393" w14:textId="77777777" w:rsidR="00673D5A" w:rsidRDefault="00673D5A" w:rsidP="00673D5A">
      <w:pPr>
        <w:pStyle w:val="BodyText"/>
      </w:pPr>
      <w:r>
        <w:t>Recent data from Australia is limited but provides a mixture of depth through qualitative studies and reach through quantitative surveys. While none of these data are appropriate to draw conclusions about use of e</w:t>
      </w:r>
      <w:r>
        <w:noBreakHyphen/>
        <w:t>cigarettes in Australia, they give some indication that rates of use may be lower than in the UK – which is already lower than that reported in the US. One of the interesting discoveries from Australian data is the role of shisha and how this may have a similar prevalence to e</w:t>
      </w:r>
      <w:r>
        <w:noBreakHyphen/>
        <w:t>cigarette use in youth.</w:t>
      </w:r>
    </w:p>
    <w:p w14:paraId="26B4767C" w14:textId="77777777" w:rsidR="00673D5A" w:rsidRDefault="00673D5A" w:rsidP="00673D5A">
      <w:pPr>
        <w:pStyle w:val="BodyText"/>
      </w:pPr>
    </w:p>
    <w:p w14:paraId="743242D8" w14:textId="77777777" w:rsidR="00673D5A" w:rsidRDefault="00673D5A" w:rsidP="00673D5A">
      <w:pPr>
        <w:pStyle w:val="Heading2"/>
        <w:ind w:left="1134" w:hanging="1134"/>
      </w:pPr>
      <w:r>
        <w:lastRenderedPageBreak/>
        <w:t xml:space="preserve"> </w:t>
      </w:r>
      <w:bookmarkStart w:id="319" w:name="_Toc517706744"/>
      <w:bookmarkStart w:id="320" w:name="_Toc514669961"/>
      <w:bookmarkStart w:id="321" w:name="_Toc515893212"/>
      <w:r>
        <w:t>Data from the UK</w:t>
      </w:r>
      <w:bookmarkEnd w:id="319"/>
      <w:r>
        <w:t xml:space="preserve"> </w:t>
      </w:r>
      <w:bookmarkEnd w:id="320"/>
      <w:bookmarkEnd w:id="321"/>
    </w:p>
    <w:p w14:paraId="473B4377" w14:textId="77777777" w:rsidR="00673D5A" w:rsidRDefault="00673D5A" w:rsidP="00673D5A">
      <w:pPr>
        <w:pStyle w:val="BodyText"/>
      </w:pPr>
      <w:r>
        <w:t>The search process revealed nine studies based on samples in the UK. Five of these us</w:t>
      </w:r>
      <w:r w:rsidR="008E7BEC">
        <w:t xml:space="preserve">ed adolescent samples (Tables 42 and </w:t>
      </w:r>
      <w:r>
        <w:t>4</w:t>
      </w:r>
      <w:r w:rsidR="008E7BEC">
        <w:t>3</w:t>
      </w:r>
      <w:r>
        <w:t xml:space="preserve">). </w:t>
      </w:r>
    </w:p>
    <w:p w14:paraId="479814C1" w14:textId="77777777" w:rsidR="00673D5A" w:rsidRDefault="00673D5A" w:rsidP="00673D5A">
      <w:pPr>
        <w:pStyle w:val="BodyText"/>
      </w:pPr>
      <w:r>
        <w:t xml:space="preserve">Three papers reported on analysis of datasets included in the Public Health England report </w:t>
      </w:r>
      <w:r>
        <w:fldChar w:fldCharType="begin"/>
      </w:r>
      <w:r>
        <w:instrText xml:space="preserve"> ADDIN EN.CITE &lt;EndNote&gt;&lt;Cite&gt;&lt;Author&gt;McNeill A&lt;/Author&gt;&lt;Year&gt;2018&lt;/Year&gt;&lt;RecNum&gt;9330&lt;/RecNum&gt;&lt;DisplayText&gt;(McNeill A 2018)&lt;/DisplayText&gt;&lt;record&gt;&lt;rec-number&gt;9330&lt;/rec-number&gt;&lt;foreign-keys&gt;&lt;key app="EN" db-id="9z05dz0praadfuee0zoxzedk9zfe5fxx50z5" timestamp="1524019080"&gt;9330&lt;/key&gt;&lt;key app="ENWeb" db-id=""&gt;0&lt;/key&gt;&lt;/foreign-keys&gt;&lt;ref-type name="Report"&gt;27&lt;/ref-type&gt;&lt;contributors&gt;&lt;authors&gt;&lt;author&gt;McNeill A,  Brose. L., Calder R,  Bauld L, Robson D.&lt;/author&gt;&lt;/authors&gt;&lt;/contributors&gt;&lt;titles&gt;&lt;title&gt;Evidence Review of e-cigarettes and heated tobacco products 2018. A Report commissioned by Public Health England.&lt;/title&gt;&lt;/titles&gt;&lt;dates&gt;&lt;year&gt;2018&lt;/year&gt;&lt;/dates&gt;&lt;pub-location&gt;London&lt;/pub-location&gt;&lt;publisher&gt;Public Health England&lt;/publisher&gt;&lt;urls&gt;&lt;related-urls&gt;&lt;url&gt;https://www.gov.uk/government/publications/e-cigarettes-and-heated-tobacco-products-evidence-review&lt;/url&gt;&lt;/related-urls&gt;&lt;/urls&gt;&lt;/record&gt;&lt;/Cite&gt;&lt;/EndNote&gt;</w:instrText>
      </w:r>
      <w:r>
        <w:fldChar w:fldCharType="separate"/>
      </w:r>
      <w:r>
        <w:rPr>
          <w:noProof/>
        </w:rPr>
        <w:t>(McNeill A 2018)</w:t>
      </w:r>
      <w:r>
        <w:fldChar w:fldCharType="end"/>
      </w:r>
      <w:r>
        <w:t xml:space="preserve">, including ASH Smoke-free Great Britain </w:t>
      </w:r>
      <w:r>
        <w:fldChar w:fldCharType="begin">
          <w:fldData xml:space="preserve">PEVuZE5vdGU+PENpdGU+PEF1dGhvcj5TaW1vbmF2aWNpdXM8L0F1dGhvcj48WWVhcj4yMDE3PC9Z
ZWFyPjxSZWNOdW0+NjUzNzwvUmVjTnVtPjxEaXNwbGF5VGV4dD4oU2ltb25hdmljaXVzLCBNY05l
aWxsIGV0IGFsLiAyMDE3KTwvRGlzcGxheVRleHQ+PHJlY29yZD48cmVjLW51bWJlcj42NTM3PC9y
ZWMtbnVtYmVyPjxmb3JlaWduLWtleXM+PGtleSBhcHA9IkVOIiBkYi1pZD0iZnB0OXB0dHJtNXpm
c2Flc3A5ZnBzZGR2MDlld3N2NXhld2ZkIiB0aW1lc3RhbXA9IjE1MjUwNDg0NzMiPjY1Mzc8L2tl
eT48a2V5IGFwcD0iRU5XZWIiIGRiLWlkPSIiPjA8L2tleT48L2ZvcmVpZ24ta2V5cz48cmVmLXR5
cGUgbmFtZT0iSm91cm5hbCBBcnRpY2xlIj4xNzwvcmVmLXR5cGU+PGNvbnRyaWJ1dG9ycz48YXV0
aG9ycz48YXV0aG9yPlNpbW9uYXZpY2l1cywgRS48L2F1dGhvcj48YXV0aG9yPk1jTmVpbGwsIEEu
PC9hdXRob3I+PGF1dGhvcj5Bcm5vdHQsIEQuPC9hdXRob3I+PGF1dGhvcj5Ccm9zZSwgTC4gUy48
L2F1dGhvcj48L2F1dGhvcnM+PC9jb250cmlidXRvcnM+PGF1dGgtYWRkcmVzcz5EZXBhcnRtZW50
IG9mIEFkZGljdGlvbnMsIEluc3RpdHV0ZSBvZiBQc3ljaGlhdHJ5LCBQc3ljaG9sb2d5IGFuZCBO
ZXVyb3NjaWVuY2UsIEtpbmcmYXBvcztzIENvbGxlZ2UgTG9uZG9uLCBMb25kb24sIFVuaXRlZCBL
aW5nZG9tLiBFbGVjdHJvbmljIGFkZHJlc3M6IGVyaWthcy5zaW1vbmF2aWNpdXNAa2NsLmFjLnVr
LiYjeEQ7RGVwYXJ0bWVudCBvZiBBZGRpY3Rpb25zLCBJbnN0aXR1dGUgb2YgUHN5Y2hpYXRyeSwg
UHN5Y2hvbG9neSBhbmQgTmV1cm9zY2llbmNlLCBLaW5nJmFwb3M7cyBDb2xsZWdlIExvbmRvbiwg
TG9uZG9uLCBVbml0ZWQgS2luZ2RvbS4mI3hEO0FjdGlvbiBvbiBTbW9raW5nIGFuZCBIZWFsdGgs
IExvbmRvbiwgVW5pdGVkIEtpbmdkb20uPC9hdXRoLWFkZHJlc3M+PHRpdGxlcz48dGl0bGU+V2hh
dCBmYWN0b3JzIGFyZSBhc3NvY2lhdGVkIHdpdGggY3VycmVudCBzbW9rZXJzIHVzaW5nIG9yIHN0
b3BwaW5nIGUtY2lnYXJldHRlIHVzZT88L3RpdGxlPjxzZWNvbmRhcnktdGl0bGU+RHJ1ZyBBbGNv
aG9sIERlcGVuZDwvc2Vjb25kYXJ5LXRpdGxlPjxhbHQtdGl0bGU+RHJ1ZyBhbmQgYWxjb2hvbCBk
ZXBlbmRlbmNlPC9hbHQtdGl0bGU+PC90aXRsZXM+PGFsdC1wZXJpb2RpY2FsPjxmdWxsLXRpdGxl
PkRydWcgYW5kIEFsY29ob2wgRGVwZW5kZW5jZTwvZnVsbC10aXRsZT48L2FsdC1wZXJpb2RpY2Fs
PjxwYWdlcz4xMzktMTQzPC9wYWdlcz48dm9sdW1lPjE3Mzwvdm9sdW1lPjxlZGl0aW9uPjIwMTcv
MDMvMDI8L2VkaXRpb24+PGtleXdvcmRzPjxrZXl3b3JkPkFkb2xlc2NlbnQ8L2tleXdvcmQ+PGtl
eXdvcmQ+QWR1bHQ8L2tleXdvcmQ+PGtleXdvcmQ+Q3JhdmluZzwva2V5d29yZD48a2V5d29yZD5F
bGVjdHJvbmljIE5pY290aW5lIERlbGl2ZXJ5IFN5c3RlbXMvKnBzeWNob2xvZ3k8L2tleXdvcmQ+
PGtleXdvcmQ+RmVtYWxlPC9rZXl3b3JkPjxrZXl3b3JkPkhlYWx0aCBTdXJ2ZXlzPC9rZXl3b3Jk
PjxrZXl3b3JkPkh1bWFuczwva2V5d29yZD48a2V5d29yZD5NYWxlPC9rZXl3b3JkPjxrZXl3b3Jk
Pk1pZGRsZSBBZ2VkPC9rZXl3b3JkPjxrZXl3b3JkPk1vdGl2YXRpb248L2tleXdvcmQ+PGtleXdv
cmQ+U21va2luZy8qcHN5Y2hvbG9neTwva2V5d29yZD48a2V5d29yZD5TbW9raW5nIENlc3NhdGlv
bi8qcHN5Y2hvbG9neTwva2V5d29yZD48a2V5d29yZD5TdXJ2ZXlzIGFuZCBRdWVzdGlvbm5haXJl
czwva2V5d29yZD48a2V5d29yZD5Vbml0ZWQgS2luZ2RvbTwva2V5d29yZD48a2V5d29yZD5Zb3Vu
ZyBBZHVsdDwva2V5d29yZD48a2V5d29yZD4qRWxlY3Ryb25pYyBjaWdhcmV0dGVzPC9rZXl3b3Jk
PjxrZXl3b3JkPipNb3RpdmF0aW9uIHRvIHF1aXQ8L2tleXdvcmQ+PGtleXdvcmQ+KlNtb2tpbmc8
L2tleXdvcmQ+PC9rZXl3b3Jkcz48ZGF0ZXM+PHllYXI+MjAxNzwveWVhcj48cHViLWRhdGVzPjxk
YXRlPkFwciAxPC9kYXRlPjwvcHViLWRhdGVzPjwvZGF0ZXM+PGlzYm4+MDM3Ni04NzE2PC9pc2Ju
PjxhY2Nlc3Npb24tbnVtPjI4MjQ2MDQ5PC9hY2Nlc3Npb24tbnVtPjx1cmxzPjxyZWxhdGVkLXVy
bHM+PHVybD5odHRwOi8vd3d3LmRydWdhbmRhbGNvaG9sZGVwZW5kZW5jZS5jb20vYXJ0aWNsZS9T
MDM3Ni04NzE2KDE3KTMwMDY3LTQvcGRmPC91cmw+PHVybD5odHRwczovL3d3dy5uY2JpLm5sbS5u
aWguZ292L3BtYy9hcnRpY2xlcy9QTUM1MzgwNjUzL3BkZi9tYWluLnBkZjwvdXJsPjwvcmVsYXRl
ZC11cmxzPjwvdXJscz48Y3VzdG9tMj5QTUM1MzgwNjUzPC9jdXN0b20yPjxlbGVjdHJvbmljLXJl
c291cmNlLW51bT4xMC4xMDE2L2ouZHJ1Z2FsY2RlcC4yMDE3LjAxLjAwMjwvZWxlY3Ryb25pYy1y
ZXNvdXJjZS1udW0+PHJlbW90ZS1kYXRhYmFzZS1wcm92aWRlcj5OTE08L3JlbW90ZS1kYXRhYmFz
ZS1wcm92aWRlcj48bGFuZ3VhZ2U+ZW5nPC9sYW5ndWFnZT48L3JlY29yZD48L0NpdGU+PC9FbmRO
b3RlPn==
</w:fldData>
        </w:fldChar>
      </w:r>
      <w:r>
        <w:instrText xml:space="preserve"> ADDIN EN.CITE </w:instrText>
      </w:r>
      <w:r>
        <w:fldChar w:fldCharType="begin">
          <w:fldData xml:space="preserve">PEVuZE5vdGU+PENpdGU+PEF1dGhvcj5TaW1vbmF2aWNpdXM8L0F1dGhvcj48WWVhcj4yMDE3PC9Z
ZWFyPjxSZWNOdW0+NjUzNzwvUmVjTnVtPjxEaXNwbGF5VGV4dD4oU2ltb25hdmljaXVzLCBNY05l
aWxsIGV0IGFsLiAyMDE3KTwvRGlzcGxheVRleHQ+PHJlY29yZD48cmVjLW51bWJlcj42NTM3PC9y
ZWMtbnVtYmVyPjxmb3JlaWduLWtleXM+PGtleSBhcHA9IkVOIiBkYi1pZD0iZnB0OXB0dHJtNXpm
c2Flc3A5ZnBzZGR2MDlld3N2NXhld2ZkIiB0aW1lc3RhbXA9IjE1MjUwNDg0NzMiPjY1Mzc8L2tl
eT48a2V5IGFwcD0iRU5XZWIiIGRiLWlkPSIiPjA8L2tleT48L2ZvcmVpZ24ta2V5cz48cmVmLXR5
cGUgbmFtZT0iSm91cm5hbCBBcnRpY2xlIj4xNzwvcmVmLXR5cGU+PGNvbnRyaWJ1dG9ycz48YXV0
aG9ycz48YXV0aG9yPlNpbW9uYXZpY2l1cywgRS48L2F1dGhvcj48YXV0aG9yPk1jTmVpbGwsIEEu
PC9hdXRob3I+PGF1dGhvcj5Bcm5vdHQsIEQuPC9hdXRob3I+PGF1dGhvcj5Ccm9zZSwgTC4gUy48
L2F1dGhvcj48L2F1dGhvcnM+PC9jb250cmlidXRvcnM+PGF1dGgtYWRkcmVzcz5EZXBhcnRtZW50
IG9mIEFkZGljdGlvbnMsIEluc3RpdHV0ZSBvZiBQc3ljaGlhdHJ5LCBQc3ljaG9sb2d5IGFuZCBO
ZXVyb3NjaWVuY2UsIEtpbmcmYXBvcztzIENvbGxlZ2UgTG9uZG9uLCBMb25kb24sIFVuaXRlZCBL
aW5nZG9tLiBFbGVjdHJvbmljIGFkZHJlc3M6IGVyaWthcy5zaW1vbmF2aWNpdXNAa2NsLmFjLnVr
LiYjeEQ7RGVwYXJ0bWVudCBvZiBBZGRpY3Rpb25zLCBJbnN0aXR1dGUgb2YgUHN5Y2hpYXRyeSwg
UHN5Y2hvbG9neSBhbmQgTmV1cm9zY2llbmNlLCBLaW5nJmFwb3M7cyBDb2xsZWdlIExvbmRvbiwg
TG9uZG9uLCBVbml0ZWQgS2luZ2RvbS4mI3hEO0FjdGlvbiBvbiBTbW9raW5nIGFuZCBIZWFsdGgs
IExvbmRvbiwgVW5pdGVkIEtpbmdkb20uPC9hdXRoLWFkZHJlc3M+PHRpdGxlcz48dGl0bGU+V2hh
dCBmYWN0b3JzIGFyZSBhc3NvY2lhdGVkIHdpdGggY3VycmVudCBzbW9rZXJzIHVzaW5nIG9yIHN0
b3BwaW5nIGUtY2lnYXJldHRlIHVzZT88L3RpdGxlPjxzZWNvbmRhcnktdGl0bGU+RHJ1ZyBBbGNv
aG9sIERlcGVuZDwvc2Vjb25kYXJ5LXRpdGxlPjxhbHQtdGl0bGU+RHJ1ZyBhbmQgYWxjb2hvbCBk
ZXBlbmRlbmNlPC9hbHQtdGl0bGU+PC90aXRsZXM+PGFsdC1wZXJpb2RpY2FsPjxmdWxsLXRpdGxl
PkRydWcgYW5kIEFsY29ob2wgRGVwZW5kZW5jZTwvZnVsbC10aXRsZT48L2FsdC1wZXJpb2RpY2Fs
PjxwYWdlcz4xMzktMTQzPC9wYWdlcz48dm9sdW1lPjE3Mzwvdm9sdW1lPjxlZGl0aW9uPjIwMTcv
MDMvMDI8L2VkaXRpb24+PGtleXdvcmRzPjxrZXl3b3JkPkFkb2xlc2NlbnQ8L2tleXdvcmQ+PGtl
eXdvcmQ+QWR1bHQ8L2tleXdvcmQ+PGtleXdvcmQ+Q3JhdmluZzwva2V5d29yZD48a2V5d29yZD5F
bGVjdHJvbmljIE5pY290aW5lIERlbGl2ZXJ5IFN5c3RlbXMvKnBzeWNob2xvZ3k8L2tleXdvcmQ+
PGtleXdvcmQ+RmVtYWxlPC9rZXl3b3JkPjxrZXl3b3JkPkhlYWx0aCBTdXJ2ZXlzPC9rZXl3b3Jk
PjxrZXl3b3JkPkh1bWFuczwva2V5d29yZD48a2V5d29yZD5NYWxlPC9rZXl3b3JkPjxrZXl3b3Jk
Pk1pZGRsZSBBZ2VkPC9rZXl3b3JkPjxrZXl3b3JkPk1vdGl2YXRpb248L2tleXdvcmQ+PGtleXdv
cmQ+U21va2luZy8qcHN5Y2hvbG9neTwva2V5d29yZD48a2V5d29yZD5TbW9raW5nIENlc3NhdGlv
bi8qcHN5Y2hvbG9neTwva2V5d29yZD48a2V5d29yZD5TdXJ2ZXlzIGFuZCBRdWVzdGlvbm5haXJl
czwva2V5d29yZD48a2V5d29yZD5Vbml0ZWQgS2luZ2RvbTwva2V5d29yZD48a2V5d29yZD5Zb3Vu
ZyBBZHVsdDwva2V5d29yZD48a2V5d29yZD4qRWxlY3Ryb25pYyBjaWdhcmV0dGVzPC9rZXl3b3Jk
PjxrZXl3b3JkPipNb3RpdmF0aW9uIHRvIHF1aXQ8L2tleXdvcmQ+PGtleXdvcmQ+KlNtb2tpbmc8
L2tleXdvcmQ+PC9rZXl3b3Jkcz48ZGF0ZXM+PHllYXI+MjAxNzwveWVhcj48cHViLWRhdGVzPjxk
YXRlPkFwciAxPC9kYXRlPjwvcHViLWRhdGVzPjwvZGF0ZXM+PGlzYm4+MDM3Ni04NzE2PC9pc2Ju
PjxhY2Nlc3Npb24tbnVtPjI4MjQ2MDQ5PC9hY2Nlc3Npb24tbnVtPjx1cmxzPjxyZWxhdGVkLXVy
bHM+PHVybD5odHRwOi8vd3d3LmRydWdhbmRhbGNvaG9sZGVwZW5kZW5jZS5jb20vYXJ0aWNsZS9T
MDM3Ni04NzE2KDE3KTMwMDY3LTQvcGRmPC91cmw+PHVybD5odHRwczovL3d3dy5uY2JpLm5sbS5u
aWguZ292L3BtYy9hcnRpY2xlcy9QTUM1MzgwNjUzL3BkZi9tYWluLnBkZjwvdXJsPjwvcmVsYXRl
ZC11cmxzPjwvdXJscz48Y3VzdG9tMj5QTUM1MzgwNjUzPC9jdXN0b20yPjxlbGVjdHJvbmljLXJl
c291cmNlLW51bT4xMC4xMDE2L2ouZHJ1Z2FsY2RlcC4yMDE3LjAxLjAwMjwvZWxlY3Ryb25pYy1y
ZXNvdXJjZS1udW0+PHJlbW90ZS1kYXRhYmFzZS1wcm92aWRlcj5OTE08L3JlbW90ZS1kYXRhYmFz
ZS1wcm92aWRlcj48bGFuZ3VhZ2U+ZW5nPC9sYW5ndWFnZT48L3JlY29yZD48L0NpdGU+PC9FbmRO
b3RlPn==
</w:fldData>
        </w:fldChar>
      </w:r>
      <w:r>
        <w:instrText xml:space="preserve"> ADDIN EN.CITE.DATA </w:instrText>
      </w:r>
      <w:r>
        <w:fldChar w:fldCharType="end"/>
      </w:r>
      <w:r>
        <w:fldChar w:fldCharType="separate"/>
      </w:r>
      <w:r>
        <w:rPr>
          <w:noProof/>
        </w:rPr>
        <w:t>(Simonavicius, McNeill et al. 2017)</w:t>
      </w:r>
      <w:r>
        <w:fldChar w:fldCharType="end"/>
      </w:r>
      <w:r>
        <w:t xml:space="preserve">, the </w:t>
      </w:r>
      <w:r w:rsidRPr="0071482E">
        <w:t>Scottish Schools Adolescent Lifestyle and Substance Use Survey</w:t>
      </w:r>
      <w:r>
        <w:t xml:space="preserve"> </w:t>
      </w:r>
      <w:r>
        <w:fldChar w:fldCharType="begin"/>
      </w:r>
      <w:r>
        <w:instrText xml:space="preserve"> ADDIN EN.CITE &lt;EndNote&gt;&lt;Cite&gt;&lt;Author&gt;Kaufmann&lt;/Author&gt;&lt;Year&gt;2017&lt;/Year&gt;&lt;RecNum&gt;5106&lt;/RecNum&gt;&lt;DisplayText&gt;(Kaufmann and Currie 2017)&lt;/DisplayText&gt;&lt;record&gt;&lt;rec-number&gt;5106&lt;/rec-number&gt;&lt;foreign-keys&gt;&lt;key app="EN" db-id="fpt9pttrm5zfsaesp9fpsddv09ewsv5xewfd" timestamp="1525046033"&gt;5106&lt;/key&gt;&lt;key app="ENWeb" db-id=""&gt;0&lt;/key&gt;&lt;/foreign-keys&gt;&lt;ref-type name="Journal Article"&gt;17&lt;/ref-type&gt;&lt;contributors&gt;&lt;authors&gt;&lt;author&gt;Kaufmann, N.&lt;/author&gt;&lt;author&gt;Currie, D.&lt;/author&gt;&lt;/authors&gt;&lt;/contributors&gt;&lt;auth-address&gt;University of Manchester, School of Medicine, United Kingdom. Electronic address: kaufmann267@yahoo.co.uk.&amp;#xD;University of St. Andrews, Child and Adolescent Health Research Unit, School of Medicine, United Kingdom.&lt;/auth-address&gt;&lt;titles&gt;&lt;title&gt;The Scottish adolescent e-cigarette user: profiling from the Scottish Schools Adolescent Lifestyle and Substance Use Survey (SALSUS)&lt;/title&gt;&lt;secondary-title&gt;Public Health&lt;/secondary-title&gt;&lt;alt-title&gt;Public health&lt;/alt-title&gt;&lt;/titles&gt;&lt;periodical&gt;&lt;full-title&gt;Public Health&lt;/full-title&gt;&lt;abbr-1&gt;Public health&lt;/abbr-1&gt;&lt;/periodical&gt;&lt;alt-periodical&gt;&lt;full-title&gt;Public Health&lt;/full-title&gt;&lt;abbr-1&gt;Public health&lt;/abbr-1&gt;&lt;/alt-periodical&gt;&lt;pages&gt;69-71&lt;/pages&gt;&lt;volume&gt;147&lt;/volume&gt;&lt;edition&gt;2017/04/14&lt;/edition&gt;&lt;keywords&gt;&lt;keyword&gt;Adolescent&lt;/keyword&gt;&lt;keyword&gt;E-cigarette&lt;/keyword&gt;&lt;keyword&gt;Profile&lt;/keyword&gt;&lt;keyword&gt;Public health&lt;/keyword&gt;&lt;keyword&gt;Scottish&lt;/keyword&gt;&lt;/keywords&gt;&lt;dates&gt;&lt;year&gt;2017&lt;/year&gt;&lt;pub-dates&gt;&lt;date&gt;Jun&lt;/date&gt;&lt;/pub-dates&gt;&lt;/dates&gt;&lt;isbn&gt;0033-3506&lt;/isbn&gt;&lt;accession-num&gt;28404499&lt;/accession-num&gt;&lt;urls&gt;&lt;related-urls&gt;&lt;url&gt;http://www.publichealthjrnl.com/article/S0033-3506(17)30045-8/pdf&lt;/url&gt;&lt;/related-urls&gt;&lt;/urls&gt;&lt;electronic-resource-num&gt;10.1016/j.puhe.2017.02.004&lt;/electronic-resource-num&gt;&lt;remote-database-provider&gt;NLM&lt;/remote-database-provider&gt;&lt;language&gt;eng&lt;/language&gt;&lt;/record&gt;&lt;/Cite&gt;&lt;/EndNote&gt;</w:instrText>
      </w:r>
      <w:r>
        <w:fldChar w:fldCharType="separate"/>
      </w:r>
      <w:r>
        <w:rPr>
          <w:noProof/>
        </w:rPr>
        <w:t>(Kaufmann and Currie 2017)</w:t>
      </w:r>
      <w:r>
        <w:fldChar w:fldCharType="end"/>
      </w:r>
      <w:r>
        <w:t>, and the S</w:t>
      </w:r>
      <w:r w:rsidRPr="0071482E">
        <w:t>chool Health Research Network</w:t>
      </w:r>
      <w:r>
        <w:t xml:space="preserve"> </w:t>
      </w:r>
      <w:r>
        <w:fldChar w:fldCharType="begin">
          <w:fldData xml:space="preserve">PEVuZE5vdGU+PENpdGU+PEF1dGhvcj5kZSBMYWN5PC9BdXRob3I+PFllYXI+MjAxNzwvWWVhcj48
UmVjTnVtPjUyMjg8L1JlY051bT48RGlzcGxheVRleHQ+KGRlIExhY3ksIEZsZXRjaGVyIGV0IGFs
LiAyMDE3LCBGYXQsIFNjaG9sZXMgZXQgYWwuIDIwMTcpPC9EaXNwbGF5VGV4dD48cmVjb3JkPjxy
ZWMtbnVtYmVyPjUyMjg8L3JlYy1udW1iZXI+PGZvcmVpZ24ta2V5cz48a2V5IGFwcD0iRU4iIGRi
LWlkPSJmcHQ5cHR0cm01emZzYWVzcDlmcHNkZHYwOWV3c3Y1eGV3ZmQiIHRpbWVzdGFtcD0iMTUy
NTA0NjI4NSI+NTIyODwva2V5PjxrZXkgYXBwPSJFTldlYiIgZGItaWQ9IiI+MDwva2V5PjwvZm9y
ZWlnbi1rZXlzPjxyZWYtdHlwZSBuYW1lPSJKb3VybmFsIEFydGljbGUiPjE3PC9yZWYtdHlwZT48
Y29udHJpYnV0b3JzPjxhdXRob3JzPjxhdXRob3I+ZGUgTGFjeSwgRS48L2F1dGhvcj48YXV0aG9y
PkZsZXRjaGVyLCBBLjwvYXV0aG9yPjxhdXRob3I+SGV3aXR0LCBHLjwvYXV0aG9yPjxhdXRob3I+
TXVycGh5LCBTLjwvYXV0aG9yPjxhdXRob3I+TW9vcmUsIEcuPC9hdXRob3I+PC9hdXRob3JzPjwv
Y29udHJpYnV0b3JzPjxhdXRoLWFkZHJlc3M+Q2VudHJlIGZvciB0aGUgRGV2ZWxvcG1lbnQgYW5k
IEV2YWx1YXRpb24gb2YgQ29tcGxleCBJbnRlcnZlbnRpb25zIGZvciBQdWJsaWMgSGVhbHRoIElt
cHJvdmVtZW50IChERUNJUEhlciksIFNjaG9vbCBvZiBTb2NpYWwgU2NpZW5jZXMsIENhcmRpZmYg
VW5pdmVyc2l0eSwgQ2FyZGlmZiwgVUsuJiN4RDtZIExhYiwgU2Nob29sIG9mIFNvY2lhbCBTY2ll
bmNlcywgQ2FyZGlmZiBVbml2ZXJzaXR5LCBDYXJkaWZmLCBVSy48L2F1dGgtYWRkcmVzcz48dGl0
bGVzPjx0aXRsZT5Dcm9zcy1zZWN0aW9uYWwgc3R1ZHkgZXhhbWluaW5nIHRoZSBwcmV2YWxlbmNl
LCBjb3JyZWxhdGVzIGFuZCBzZXF1ZW5jaW5nIG9mIGVsZWN0cm9uaWMgY2lnYXJldHRlIGFuZCB0
b2JhY2NvIHVzZSBhbW9uZyAxMS0xNi15ZWFyIG9sZHMgaW4gc2Nob29scyBpbiBXYWxlczwvdGl0
bGU+PHNlY29uZGFyeS10aXRsZT5CTUogT3Blbjwvc2Vjb25kYXJ5LXRpdGxlPjxhbHQtdGl0bGU+
Qk1KIG9wZW48L2FsdC10aXRsZT48L3RpdGxlcz48cGVyaW9kaWNhbD48ZnVsbC10aXRsZT5CbWog
T3BlbjwvZnVsbC10aXRsZT48L3BlcmlvZGljYWw+PGFsdC1wZXJpb2RpY2FsPjxmdWxsLXRpdGxl
PkJtaiBPcGVuPC9mdWxsLXRpdGxlPjwvYWx0LXBlcmlvZGljYWw+PHBhZ2VzPmUwMTI3ODQ8L3Bh
Z2VzPjx2b2x1bWU+Nzwvdm9sdW1lPjxudW1iZXI+MjwvbnVtYmVyPjxlZGl0aW9uPjIwMTcvMDIv
MDY8L2VkaXRpb24+PGtleXdvcmRzPjxrZXl3b3JkPkFkb2xlc2NlbnQ8L2tleXdvcmQ+PGtleXdv
cmQ+QW1waGV0YW1pbmUtUmVsYXRlZCBEaXNvcmRlcnMvKmVwaWRlbWlvbG9neTwva2V5d29yZD48
a2V5d29yZD5CaW5nZSBEcmlua2luZy8qZXBpZGVtaW9sb2d5PC9rZXl3b3JkPjxrZXl3b3JkPkNo
aWxkPC9rZXl3b3JkPjxrZXl3b3JkPkNpZ2FyZXR0ZSBTbW9raW5nLyplcGlkZW1pb2xvZ3k8L2tl
eXdvcmQ+PGtleXdvcmQ+Q3Jvc3MtU2VjdGlvbmFsIFN0dWRpZXM8L2tleXdvcmQ+PGtleXdvcmQ+
RmVtYWxlPC9rZXl3b3JkPjxrZXl3b3JkPkh1bWFuczwva2V5d29yZD48a2V5d29yZD5NYWxlPC9r
ZXl3b3JkPjxrZXl3b3JkPk1hcmlqdWFuYSBTbW9raW5nLyplcGlkZW1pb2xvZ3k8L2tleXdvcmQ+
PGtleXdvcmQ+Tml0cm91cyBPeGlkZTwva2V5d29yZD48a2V5d29yZD5QcmV2YWxlbmNlPC9rZXl3
b3JkPjxrZXl3b3JkPlJpc2sgRmFjdG9yczwva2V5d29yZD48a2V5d29yZD5TY2hvb2xzPC9rZXl3
b3JkPjxrZXl3b3JkPlNleCBGYWN0b3JzPC9rZXl3b3JkPjxrZXl3b3JkPlN0dWRlbnRzLypzdGF0
aXN0aWNzICZhbXA7IG51bWVyaWNhbCBkYXRhPC9rZXl3b3JkPjxrZXl3b3JkPlZhcGluZy8qc3Rh
dGlzdGljcyAmYW1wOyBudW1lcmljYWwgZGF0YTwva2V5d29yZD48a2V5d29yZD5XYWxlcy9lcGlk
ZW1pb2xvZ3k8L2tleXdvcmQ+PGtleXdvcmQ+KkNoaWxkcmVuPC9rZXl3b3JkPjxrZXl3b3JkPipF
LWNpZ2FyZXR0ZXM8L2tleXdvcmQ+PGtleXdvcmQ+KkVsZWN0cm9uaWMgQ2lnYXJldHRlczwva2V5
d29yZD48a2V5d29yZD4qU21va2luZzwva2V5d29yZD48a2V5d29yZD4qWW91dGg8L2tleXdvcmQ+
PC9rZXl3b3Jkcz48ZGF0ZXM+PHllYXI+MjAxNzwveWVhcj48cHViLWRhdGVzPjxkYXRlPkZlYiAz
PC9kYXRlPjwvcHViLWRhdGVzPjwvZGF0ZXM+PGlzYm4+MjA0NC02MDU1PC9pc2JuPjxhY2Nlc3Np
b24tbnVtPjI4MTU5ODQ4PC9hY2Nlc3Npb24tbnVtPjx1cmxzPjxyZWxhdGVkLXVybHM+PHVybD5o
dHRwczovL3d3dy5uY2JpLm5sbS5uaWguZ292L3BtYy9hcnRpY2xlcy9QTUM1Mjk0MDAwL3BkZi9i
bWpvcGVuLTIwMTYtMDEyNzg0LnBkZjwvdXJsPjwvcmVsYXRlZC11cmxzPjwvdXJscz48Y3VzdG9t
Mj5QTUM1Mjk0MDAwPC9jdXN0b20yPjxlbGVjdHJvbmljLXJlc291cmNlLW51bT4xMC4xMTM2L2Jt
am9wZW4tMjAxNi0wMTI3ODQ8L2VsZWN0cm9uaWMtcmVzb3VyY2UtbnVtPjxyZW1vdGUtZGF0YWJh
c2UtcHJvdmlkZXI+TkxNPC9yZW1vdGUtZGF0YWJhc2UtcHJvdmlkZXI+PGxhbmd1YWdlPmVuZzwv
bGFuZ3VhZ2U+PC9yZWNvcmQ+PC9DaXRlPjxDaXRlPjxBdXRob3I+RmF0PC9BdXRob3I+PFllYXI+
MjAxNzwvWWVhcj48UmVjTnVtPjU2ODE8L1JlY051bT48cmVjb3JkPjxyZWMtbnVtYmVyPjU2ODE8
L3JlYy1udW1iZXI+PGZvcmVpZ24ta2V5cz48a2V5IGFwcD0iRU4iIGRiLWlkPSJmcHQ5cHR0cm01
emZzYWVzcDlmcHNkZHYwOWV3c3Y1eGV3ZmQiIHRpbWVzdGFtcD0iMTUyNTA0Njc0MiI+NTY4MTwv
a2V5PjxrZXkgYXBwPSJFTldlYiIgZGItaWQ9IiI+MDwva2V5PjwvZm9yZWlnbi1rZXlzPjxyZWYt
dHlwZSBuYW1lPSJKb3VybmFsIEFydGljbGUiPjE3PC9yZWYtdHlwZT48Y29udHJpYnV0b3JzPjxh
dXRob3JzPjxhdXRob3I+RmF0LCBMLiBOZzwvYXV0aG9yPjxhdXRob3I+U2Nob2xlcywgUy48L2F1
dGhvcj48YXV0aG9yPk1pbmRlbGwsIEouIFMuPC9hdXRob3I+PC9hdXRob3JzPjwvY29udHJpYnV0
b3JzPjx0aXRsZXM+PHRpdGxlPk1PVElWQVRJT04gVE8gUVVJVCBTTU9LSU5HIEFORCBDSEFOR0VT
IElOIENJR0FSRVRURSBDT05TVU1QVElPTiwgQU1PTkcgU01PS0VSUyBXSE8gVVNFIEUtQ0lHQVJF
VFRFUywgRklORElOR1MgRlJPTSBUSEUgSEVBTFRIIFNVUlZFWSBGT1IgRU5HTEFORDwvdGl0bGU+
PHNlY29uZGFyeS10aXRsZT5Kb3VybmFsIG9mIEVwaWRlbWlvbG9neSBhbmQgQ29tbXVuaXR5IEhl
YWx0aDwvc2Vjb25kYXJ5LXRpdGxlPjwvdGl0bGVzPjxwZXJpb2RpY2FsPjxmdWxsLXRpdGxlPkpv
dXJuYWwgb2YgRXBpZGVtaW9sb2d5IGFuZCBDb21tdW5pdHkgSGVhbHRoPC9mdWxsLXRpdGxlPjwv
cGVyaW9kaWNhbD48cGFnZXM+QTMzLUEzMzwvcGFnZXM+PHZvbHVtZT43MTwvdm9sdW1lPjxkYXRl
cz48eWVhcj4yMDE3PC95ZWFyPjxwdWItZGF0ZXM+PGRhdGU+U2VwPC9kYXRlPjwvcHViLWRhdGVz
PjwvZGF0ZXM+PGlzYm4+MDE0My0wMDVYPC9pc2JuPjxhY2Nlc3Npb24tbnVtPldPUzowMDA0MTk0
NDAzMDAwNjY8L2FjY2Vzc2lvbi1udW0+PHVybHM+PHJlbGF0ZWQtdXJscz48dXJsPiZsdDtHbyB0
byBJU0kmZ3Q7Oi8vV09TOjAwMDQxOTQ0MDMwMDA2NjwvdXJsPjwvcmVsYXRlZC11cmxzPjwvdXJs
cz48ZWxlY3Ryb25pYy1yZXNvdXJjZS1udW0+MTAuMTEzNi9qZWNoLTIwMTctU1NNQWJzdHJhY3Rz
LjY1PC9lbGVjdHJvbmljLXJlc291cmNlLW51bT48L3JlY29yZD48L0NpdGU+PENpdGU+PEF1dGhv
cj5GYXQ8L0F1dGhvcj48WWVhcj4yMDE3PC9ZZWFyPjxSZWNOdW0+NTY4MTwvUmVjTnVtPjxyZWNv
cmQ+PHJlYy1udW1iZXI+NTY4MTwvcmVjLW51bWJlcj48Zm9yZWlnbi1rZXlzPjxrZXkgYXBwPSJF
TiIgZGItaWQ9ImZwdDlwdHRybTV6ZnNhZXNwOWZwc2RkdjA5ZXdzdjV4ZXdmZCIgdGltZXN0YW1w
PSIxNTI1MDQ2NzQyIj41NjgxPC9rZXk+PGtleSBhcHA9IkVOV2ViIiBkYi1pZD0iIj4wPC9rZXk+
PC9mb3JlaWduLWtleXM+PHJlZi10eXBlIG5hbWU9IkpvdXJuYWwgQXJ0aWNsZSI+MTc8L3JlZi10
eXBlPjxjb250cmlidXRvcnM+PGF1dGhvcnM+PGF1dGhvcj5GYXQsIEwuIE5nPC9hdXRob3I+PGF1
dGhvcj5TY2hvbGVzLCBTLjwvYXV0aG9yPjxhdXRob3I+TWluZGVsbCwgSi4gUy48L2F1dGhvcj48
L2F1dGhvcnM+PC9jb250cmlidXRvcnM+PHRpdGxlcz48dGl0bGU+TU9USVZBVElPTiBUTyBRVUlU
IFNNT0tJTkcgQU5EIENIQU5HRVMgSU4gQ0lHQVJFVFRFIENPTlNVTVBUSU9OLCBBTU9ORyBTTU9L
RVJTIFdITyBVU0UgRS1DSUdBUkVUVEVTLCBGSU5ESU5HUyBGUk9NIFRIRSBIRUFMVEggU1VSVkVZ
IEZPUiBFTkdMQU5EPC90aXRsZT48c2Vjb25kYXJ5LXRpdGxlPkpvdXJuYWwgb2YgRXBpZGVtaW9s
b2d5IGFuZCBDb21tdW5pdHkgSGVhbHRoPC9zZWNvbmRhcnktdGl0bGU+PC90aXRsZXM+PHBlcmlv
ZGljYWw+PGZ1bGwtdGl0bGU+Sm91cm5hbCBvZiBFcGlkZW1pb2xvZ3kgYW5kIENvbW11bml0eSBI
ZWFsdGg8L2Z1bGwtdGl0bGU+PC9wZXJpb2RpY2FsPjxwYWdlcz5BMzMtQTMzPC9wYWdlcz48dm9s
dW1lPjcxPC92b2x1bWU+PGRhdGVzPjx5ZWFyPjIwMTc8L3llYXI+PHB1Yi1kYXRlcz48ZGF0ZT5T
ZXA8L2RhdGU+PC9wdWItZGF0ZXM+PC9kYXRlcz48aXNibj4wMTQzLTAwNVg8L2lzYm4+PGFjY2Vz
c2lvbi1udW0+V09TOjAwMDQxOTQ0MDMwMDA2NjwvYWNjZXNzaW9uLW51bT48dXJscz48cmVsYXRl
ZC11cmxzPjx1cmw+Jmx0O0dvIHRvIElTSSZndDs6Ly9XT1M6MDAwNDE5NDQwMzAwMDY2PC91cmw+
PC9yZWxhdGVkLXVybHM+PC91cmxzPjxlbGVjdHJvbmljLXJlc291cmNlLW51bT4xMC4xMTM2L2pl
Y2gtMjAxNy1TU01BYnN0cmFjdHMuNjU8L2VsZWN0cm9uaWMtcmVzb3VyY2UtbnVtPjwvcmVjb3Jk
PjwvQ2l0ZT48L0VuZE5vdGU+AG==
</w:fldData>
        </w:fldChar>
      </w:r>
      <w:r>
        <w:instrText xml:space="preserve"> ADDIN EN.CITE </w:instrText>
      </w:r>
      <w:r>
        <w:fldChar w:fldCharType="begin">
          <w:fldData xml:space="preserve">PEVuZE5vdGU+PENpdGU+PEF1dGhvcj5kZSBMYWN5PC9BdXRob3I+PFllYXI+MjAxNzwvWWVhcj48
UmVjTnVtPjUyMjg8L1JlY051bT48RGlzcGxheVRleHQ+KGRlIExhY3ksIEZsZXRjaGVyIGV0IGFs
LiAyMDE3LCBGYXQsIFNjaG9sZXMgZXQgYWwuIDIwMTcpPC9EaXNwbGF5VGV4dD48cmVjb3JkPjxy
ZWMtbnVtYmVyPjUyMjg8L3JlYy1udW1iZXI+PGZvcmVpZ24ta2V5cz48a2V5IGFwcD0iRU4iIGRi
LWlkPSJmcHQ5cHR0cm01emZzYWVzcDlmcHNkZHYwOWV3c3Y1eGV3ZmQiIHRpbWVzdGFtcD0iMTUy
NTA0NjI4NSI+NTIyODwva2V5PjxrZXkgYXBwPSJFTldlYiIgZGItaWQ9IiI+MDwva2V5PjwvZm9y
ZWlnbi1rZXlzPjxyZWYtdHlwZSBuYW1lPSJKb3VybmFsIEFydGljbGUiPjE3PC9yZWYtdHlwZT48
Y29udHJpYnV0b3JzPjxhdXRob3JzPjxhdXRob3I+ZGUgTGFjeSwgRS48L2F1dGhvcj48YXV0aG9y
PkZsZXRjaGVyLCBBLjwvYXV0aG9yPjxhdXRob3I+SGV3aXR0LCBHLjwvYXV0aG9yPjxhdXRob3I+
TXVycGh5LCBTLjwvYXV0aG9yPjxhdXRob3I+TW9vcmUsIEcuPC9hdXRob3I+PC9hdXRob3JzPjwv
Y29udHJpYnV0b3JzPjxhdXRoLWFkZHJlc3M+Q2VudHJlIGZvciB0aGUgRGV2ZWxvcG1lbnQgYW5k
IEV2YWx1YXRpb24gb2YgQ29tcGxleCBJbnRlcnZlbnRpb25zIGZvciBQdWJsaWMgSGVhbHRoIElt
cHJvdmVtZW50IChERUNJUEhlciksIFNjaG9vbCBvZiBTb2NpYWwgU2NpZW5jZXMsIENhcmRpZmYg
VW5pdmVyc2l0eSwgQ2FyZGlmZiwgVUsuJiN4RDtZIExhYiwgU2Nob29sIG9mIFNvY2lhbCBTY2ll
bmNlcywgQ2FyZGlmZiBVbml2ZXJzaXR5LCBDYXJkaWZmLCBVSy48L2F1dGgtYWRkcmVzcz48dGl0
bGVzPjx0aXRsZT5Dcm9zcy1zZWN0aW9uYWwgc3R1ZHkgZXhhbWluaW5nIHRoZSBwcmV2YWxlbmNl
LCBjb3JyZWxhdGVzIGFuZCBzZXF1ZW5jaW5nIG9mIGVsZWN0cm9uaWMgY2lnYXJldHRlIGFuZCB0
b2JhY2NvIHVzZSBhbW9uZyAxMS0xNi15ZWFyIG9sZHMgaW4gc2Nob29scyBpbiBXYWxlczwvdGl0
bGU+PHNlY29uZGFyeS10aXRsZT5CTUogT3Blbjwvc2Vjb25kYXJ5LXRpdGxlPjxhbHQtdGl0bGU+
Qk1KIG9wZW48L2FsdC10aXRsZT48L3RpdGxlcz48cGVyaW9kaWNhbD48ZnVsbC10aXRsZT5CbWog
T3BlbjwvZnVsbC10aXRsZT48L3BlcmlvZGljYWw+PGFsdC1wZXJpb2RpY2FsPjxmdWxsLXRpdGxl
PkJtaiBPcGVuPC9mdWxsLXRpdGxlPjwvYWx0LXBlcmlvZGljYWw+PHBhZ2VzPmUwMTI3ODQ8L3Bh
Z2VzPjx2b2x1bWU+Nzwvdm9sdW1lPjxudW1iZXI+MjwvbnVtYmVyPjxlZGl0aW9uPjIwMTcvMDIv
MDY8L2VkaXRpb24+PGtleXdvcmRzPjxrZXl3b3JkPkFkb2xlc2NlbnQ8L2tleXdvcmQ+PGtleXdv
cmQ+QW1waGV0YW1pbmUtUmVsYXRlZCBEaXNvcmRlcnMvKmVwaWRlbWlvbG9neTwva2V5d29yZD48
a2V5d29yZD5CaW5nZSBEcmlua2luZy8qZXBpZGVtaW9sb2d5PC9rZXl3b3JkPjxrZXl3b3JkPkNo
aWxkPC9rZXl3b3JkPjxrZXl3b3JkPkNpZ2FyZXR0ZSBTbW9raW5nLyplcGlkZW1pb2xvZ3k8L2tl
eXdvcmQ+PGtleXdvcmQ+Q3Jvc3MtU2VjdGlvbmFsIFN0dWRpZXM8L2tleXdvcmQ+PGtleXdvcmQ+
RmVtYWxlPC9rZXl3b3JkPjxrZXl3b3JkPkh1bWFuczwva2V5d29yZD48a2V5d29yZD5NYWxlPC9r
ZXl3b3JkPjxrZXl3b3JkPk1hcmlqdWFuYSBTbW9raW5nLyplcGlkZW1pb2xvZ3k8L2tleXdvcmQ+
PGtleXdvcmQ+Tml0cm91cyBPeGlkZTwva2V5d29yZD48a2V5d29yZD5QcmV2YWxlbmNlPC9rZXl3
b3JkPjxrZXl3b3JkPlJpc2sgRmFjdG9yczwva2V5d29yZD48a2V5d29yZD5TY2hvb2xzPC9rZXl3
b3JkPjxrZXl3b3JkPlNleCBGYWN0b3JzPC9rZXl3b3JkPjxrZXl3b3JkPlN0dWRlbnRzLypzdGF0
aXN0aWNzICZhbXA7IG51bWVyaWNhbCBkYXRhPC9rZXl3b3JkPjxrZXl3b3JkPlZhcGluZy8qc3Rh
dGlzdGljcyAmYW1wOyBudW1lcmljYWwgZGF0YTwva2V5d29yZD48a2V5d29yZD5XYWxlcy9lcGlk
ZW1pb2xvZ3k8L2tleXdvcmQ+PGtleXdvcmQ+KkNoaWxkcmVuPC9rZXl3b3JkPjxrZXl3b3JkPipF
LWNpZ2FyZXR0ZXM8L2tleXdvcmQ+PGtleXdvcmQ+KkVsZWN0cm9uaWMgQ2lnYXJldHRlczwva2V5
d29yZD48a2V5d29yZD4qU21va2luZzwva2V5d29yZD48a2V5d29yZD4qWW91dGg8L2tleXdvcmQ+
PC9rZXl3b3Jkcz48ZGF0ZXM+PHllYXI+MjAxNzwveWVhcj48cHViLWRhdGVzPjxkYXRlPkZlYiAz
PC9kYXRlPjwvcHViLWRhdGVzPjwvZGF0ZXM+PGlzYm4+MjA0NC02MDU1PC9pc2JuPjxhY2Nlc3Np
b24tbnVtPjI4MTU5ODQ4PC9hY2Nlc3Npb24tbnVtPjx1cmxzPjxyZWxhdGVkLXVybHM+PHVybD5o
dHRwczovL3d3dy5uY2JpLm5sbS5uaWguZ292L3BtYy9hcnRpY2xlcy9QTUM1Mjk0MDAwL3BkZi9i
bWpvcGVuLTIwMTYtMDEyNzg0LnBkZjwvdXJsPjwvcmVsYXRlZC11cmxzPjwvdXJscz48Y3VzdG9t
Mj5QTUM1Mjk0MDAwPC9jdXN0b20yPjxlbGVjdHJvbmljLXJlc291cmNlLW51bT4xMC4xMTM2L2Jt
am9wZW4tMjAxNi0wMTI3ODQ8L2VsZWN0cm9uaWMtcmVzb3VyY2UtbnVtPjxyZW1vdGUtZGF0YWJh
c2UtcHJvdmlkZXI+TkxNPC9yZW1vdGUtZGF0YWJhc2UtcHJvdmlkZXI+PGxhbmd1YWdlPmVuZzwv
bGFuZ3VhZ2U+PC9yZWNvcmQ+PC9DaXRlPjxDaXRlPjxBdXRob3I+RmF0PC9BdXRob3I+PFllYXI+
MjAxNzwvWWVhcj48UmVjTnVtPjU2ODE8L1JlY051bT48cmVjb3JkPjxyZWMtbnVtYmVyPjU2ODE8
L3JlYy1udW1iZXI+PGZvcmVpZ24ta2V5cz48a2V5IGFwcD0iRU4iIGRiLWlkPSJmcHQ5cHR0cm01
emZzYWVzcDlmcHNkZHYwOWV3c3Y1eGV3ZmQiIHRpbWVzdGFtcD0iMTUyNTA0Njc0MiI+NTY4MTwv
a2V5PjxrZXkgYXBwPSJFTldlYiIgZGItaWQ9IiI+MDwva2V5PjwvZm9yZWlnbi1rZXlzPjxyZWYt
dHlwZSBuYW1lPSJKb3VybmFsIEFydGljbGUiPjE3PC9yZWYtdHlwZT48Y29udHJpYnV0b3JzPjxh
dXRob3JzPjxhdXRob3I+RmF0LCBMLiBOZzwvYXV0aG9yPjxhdXRob3I+U2Nob2xlcywgUy48L2F1
dGhvcj48YXV0aG9yPk1pbmRlbGwsIEouIFMuPC9hdXRob3I+PC9hdXRob3JzPjwvY29udHJpYnV0
b3JzPjx0aXRsZXM+PHRpdGxlPk1PVElWQVRJT04gVE8gUVVJVCBTTU9LSU5HIEFORCBDSEFOR0VT
IElOIENJR0FSRVRURSBDT05TVU1QVElPTiwgQU1PTkcgU01PS0VSUyBXSE8gVVNFIEUtQ0lHQVJF
VFRFUywgRklORElOR1MgRlJPTSBUSEUgSEVBTFRIIFNVUlZFWSBGT1IgRU5HTEFORDwvdGl0bGU+
PHNlY29uZGFyeS10aXRsZT5Kb3VybmFsIG9mIEVwaWRlbWlvbG9neSBhbmQgQ29tbXVuaXR5IEhl
YWx0aDwvc2Vjb25kYXJ5LXRpdGxlPjwvdGl0bGVzPjxwZXJpb2RpY2FsPjxmdWxsLXRpdGxlPkpv
dXJuYWwgb2YgRXBpZGVtaW9sb2d5IGFuZCBDb21tdW5pdHkgSGVhbHRoPC9mdWxsLXRpdGxlPjwv
cGVyaW9kaWNhbD48cGFnZXM+QTMzLUEzMzwvcGFnZXM+PHZvbHVtZT43MTwvdm9sdW1lPjxkYXRl
cz48eWVhcj4yMDE3PC95ZWFyPjxwdWItZGF0ZXM+PGRhdGU+U2VwPC9kYXRlPjwvcHViLWRhdGVz
PjwvZGF0ZXM+PGlzYm4+MDE0My0wMDVYPC9pc2JuPjxhY2Nlc3Npb24tbnVtPldPUzowMDA0MTk0
NDAzMDAwNjY8L2FjY2Vzc2lvbi1udW0+PHVybHM+PHJlbGF0ZWQtdXJscz48dXJsPiZsdDtHbyB0
byBJU0kmZ3Q7Oi8vV09TOjAwMDQxOTQ0MDMwMDA2NjwvdXJsPjwvcmVsYXRlZC11cmxzPjwvdXJs
cz48ZWxlY3Ryb25pYy1yZXNvdXJjZS1udW0+MTAuMTEzNi9qZWNoLTIwMTctU1NNQWJzdHJhY3Rz
LjY1PC9lbGVjdHJvbmljLXJlc291cmNlLW51bT48L3JlY29yZD48L0NpdGU+PENpdGU+PEF1dGhv
cj5GYXQ8L0F1dGhvcj48WWVhcj4yMDE3PC9ZZWFyPjxSZWNOdW0+NTY4MTwvUmVjTnVtPjxyZWNv
cmQ+PHJlYy1udW1iZXI+NTY4MTwvcmVjLW51bWJlcj48Zm9yZWlnbi1rZXlzPjxrZXkgYXBwPSJF
TiIgZGItaWQ9ImZwdDlwdHRybTV6ZnNhZXNwOWZwc2RkdjA5ZXdzdjV4ZXdmZCIgdGltZXN0YW1w
PSIxNTI1MDQ2NzQyIj41NjgxPC9rZXk+PGtleSBhcHA9IkVOV2ViIiBkYi1pZD0iIj4wPC9rZXk+
PC9mb3JlaWduLWtleXM+PHJlZi10eXBlIG5hbWU9IkpvdXJuYWwgQXJ0aWNsZSI+MTc8L3JlZi10
eXBlPjxjb250cmlidXRvcnM+PGF1dGhvcnM+PGF1dGhvcj5GYXQsIEwuIE5nPC9hdXRob3I+PGF1
dGhvcj5TY2hvbGVzLCBTLjwvYXV0aG9yPjxhdXRob3I+TWluZGVsbCwgSi4gUy48L2F1dGhvcj48
L2F1dGhvcnM+PC9jb250cmlidXRvcnM+PHRpdGxlcz48dGl0bGU+TU9USVZBVElPTiBUTyBRVUlU
IFNNT0tJTkcgQU5EIENIQU5HRVMgSU4gQ0lHQVJFVFRFIENPTlNVTVBUSU9OLCBBTU9ORyBTTU9L
RVJTIFdITyBVU0UgRS1DSUdBUkVUVEVTLCBGSU5ESU5HUyBGUk9NIFRIRSBIRUFMVEggU1VSVkVZ
IEZPUiBFTkdMQU5EPC90aXRsZT48c2Vjb25kYXJ5LXRpdGxlPkpvdXJuYWwgb2YgRXBpZGVtaW9s
b2d5IGFuZCBDb21tdW5pdHkgSGVhbHRoPC9zZWNvbmRhcnktdGl0bGU+PC90aXRsZXM+PHBlcmlv
ZGljYWw+PGZ1bGwtdGl0bGU+Sm91cm5hbCBvZiBFcGlkZW1pb2xvZ3kgYW5kIENvbW11bml0eSBI
ZWFsdGg8L2Z1bGwtdGl0bGU+PC9wZXJpb2RpY2FsPjxwYWdlcz5BMzMtQTMzPC9wYWdlcz48dm9s
dW1lPjcxPC92b2x1bWU+PGRhdGVzPjx5ZWFyPjIwMTc8L3llYXI+PHB1Yi1kYXRlcz48ZGF0ZT5T
ZXA8L2RhdGU+PC9wdWItZGF0ZXM+PC9kYXRlcz48aXNibj4wMTQzLTAwNVg8L2lzYm4+PGFjY2Vz
c2lvbi1udW0+V09TOjAwMDQxOTQ0MDMwMDA2NjwvYWNjZXNzaW9uLW51bT48dXJscz48cmVsYXRl
ZC11cmxzPjx1cmw+Jmx0O0dvIHRvIElTSSZndDs6Ly9XT1M6MDAwNDE5NDQwMzAwMDY2PC91cmw+
PC9yZWxhdGVkLXVybHM+PC91cmxzPjxlbGVjdHJvbmljLXJlc291cmNlLW51bT4xMC4xMTM2L2pl
Y2gtMjAxNy1TU01BYnN0cmFjdHMuNjU8L2VsZWN0cm9uaWMtcmVzb3VyY2UtbnVtPjwvcmVjb3Jk
PjwvQ2l0ZT48L0VuZE5vdGU+AG==
</w:fldData>
        </w:fldChar>
      </w:r>
      <w:r>
        <w:instrText xml:space="preserve"> ADDIN EN.CITE.DATA </w:instrText>
      </w:r>
      <w:r>
        <w:fldChar w:fldCharType="end"/>
      </w:r>
      <w:r>
        <w:fldChar w:fldCharType="separate"/>
      </w:r>
      <w:r>
        <w:rPr>
          <w:noProof/>
        </w:rPr>
        <w:t>(de Lacy, Fletcher et al. 2017, Fat, Scholes et al. 2017)</w:t>
      </w:r>
      <w:r>
        <w:fldChar w:fldCharType="end"/>
      </w:r>
      <w:r>
        <w:t xml:space="preserve"> and one combined data based largely on these datasets </w:t>
      </w:r>
      <w:r>
        <w:fldChar w:fldCharType="begin">
          <w:fldData xml:space="preserve">PEVuZE5vdGU+PENpdGU+PEF1dGhvcj5CYXVsZDwvQXV0aG9yPjxZZWFyPjIwMTc8L1llYXI+PFJl
Y051bT42MzY0PC9SZWNOdW0+PERpc3BsYXlUZXh0PihCYXVsZCwgTWFjS2ludG9zaCBldCBhbC4g
MjAxNyk8L0Rpc3BsYXlUZXh0PjxyZWNvcmQ+PHJlYy1udW1iZXI+NjM2NDwvcmVjLW51bWJlcj48
Zm9yZWlnbi1rZXlzPjxrZXkgYXBwPSJFTiIgZGItaWQ9ImZwdDlwdHRybTV6ZnNhZXNwOWZwc2Rk
djA5ZXdzdjV4ZXdmZCIgdGltZXN0YW1wPSIxNTI1MDQ3ODE3Ij42MzY0PC9rZXk+PGtleSBhcHA9
IkVOV2ViIiBkYi1pZD0iIj4wPC9rZXk+PC9mb3JlaWduLWtleXM+PHJlZi10eXBlIG5hbWU9Ikpv
dXJuYWwgQXJ0aWNsZSI+MTc8L3JlZi10eXBlPjxjb250cmlidXRvcnM+PGF1dGhvcnM+PGF1dGhv
cj5CYXVsZCwgTC48L2F1dGhvcj48YXV0aG9yPk1hY0tpbnRvc2gsIEEuIE0uPC9hdXRob3I+PGF1
dGhvcj5FYXN0d29vZCwgQi48L2F1dGhvcj48YXV0aG9yPkZvcmQsIEEuPC9hdXRob3I+PGF1dGhv
cj5Nb29yZSwgRy48L2F1dGhvcj48YXV0aG9yPkRvY2tyZWxsLCBNLjwvYXV0aG9yPjxhdXRob3I+
QXJub3R0LCBELjwvYXV0aG9yPjxhdXRob3I+Q2hlZXNlbWFuLCBILjwvYXV0aG9yPjxhdXRob3I+
TWNOZWlsbCwgQS48L2F1dGhvcj48L2F1dGhvcnM+PC9jb250cmlidXRvcnM+PGF1dGgtYWRkcmVz
cz5JbnN0aXR1dGUgZm9yIFNvY2lhbCBNYXJrZXRpbmcsIFVuaXZlcnNpdHkgb2YgU3Rpcmxpbmcs
IFN0aXJsaW5nIEZLOSA0TEEsIFVLLiBsaW5kYS5iYXVsZEBzdGlyLmFjLnVrLiYjeEQ7VUsgQ2Vu
dHJlIGZvciBUb2JhY2NvIGFuZCBBbGNvaG9sIFN0dWRpZXMuIGxpbmRhLmJhdWxkQHN0aXIuYWMu
dWsuJiN4RDtJbnN0aXR1dGUgZm9yIFNvY2lhbCBNYXJrZXRpbmcsIFVuaXZlcnNpdHkgb2YgU3Rp
cmxpbmcsIFN0aXJsaW5nIEZLOSA0TEEsIFVLLiBhLm0ubWFja2ludG9zaEBzdGlyLmFjLnVrLiYj
eEQ7VUsgQ2VudHJlIGZvciBUb2JhY2NvIGFuZCBBbGNvaG9sIFN0dWRpZXMuIGEubS5tYWNraW50
b3NoQHN0aXIuYWMudWsuJiN4RDtBbGNvaG9sLCBEcnVncyBhbmQgVG9iYWNjbyBEaXZpc2lvbiwg
SGVhbHRoIEltcHJvdmVtZW50IERpcmVjdG9yYXRlLCBQdWJsaWMgSGVhbHRoIEVuZ2xhbmQsIFNr
aXB0b24gSG91c2UsIDgwIExvbmRvbiBSb2FkLCBMb25kb24gU0UxIDZMSCwgVUsuIGJyaWFuLmVh
c3R3b29kQHBoZS5nb3YudWsuJiN4RDtJbnN0aXR1dGUgZm9yIFNvY2lhbCBNYXJrZXRpbmcsIFVu
aXZlcnNpdHkgb2YgU3RpcmxpbmcsIFN0aXJsaW5nIEZLOSA0TEEsIFVLLiBhLmouZm9yZEBzdGly
LmFjLnVrLiYjeEQ7VUsgQ2VudHJlIGZvciBUb2JhY2NvIGFuZCBBbGNvaG9sIFN0dWRpZXMuIGEu
ai5mb3JkQHN0aXIuYWMudWsuJiN4RDtDZW50cmUgZm9yIHRoZSBEZXZlbG9wbWVudCBhbmQgRXZh
bHVhdGlvbiBvZiBDb21wbGV4IEludGVydmVudGlvbnMgZm9yIFB1YmxpYyBIZWFsdGggSW1wcm92
ZW1lbnQgKERFQ0lQSGVyKSwgU2Nob29sIG9mIFNvY2lhbCBTY2llbmNlcywgQ2FyZGlmZiBVbml2
ZXJzaXR5LCAxLTMgTXVzZXVtIFBsYWNlLCBDYXJkaWZmIENGMTAgM0JELCBVSy4gbW9vcmVnQGNh
cmRpZmYuYWMudWsuJiN4RDtBbGNvaG9sLCBEcnVncyBhbmQgVG9iYWNjbyBEaXZpc2lvbiwgSGVh
bHRoIEltcHJvdmVtZW50IERpcmVjdG9yYXRlLCBQdWJsaWMgSGVhbHRoIEVuZ2xhbmQsIFNraXB0
b24gSG91c2UsIDgwIExvbmRvbiBSb2FkLCBMb25kb24gU0UxIDZMSCwgVUsuIG1hcnRpbi5kb2Nr
cmVsbEBwaGUuZ292LnVrLiYjeEQ7QWN0aW9uIG9uIFNtb2tpbmcgYW5kIEhlYWx0aCAoQVNIKTsg
NjctNjggSGF0dG9uIEdhcmRlbiwgTG9uZG9uIEVDMU4gOEpZLCBVSy4gZGVib3JhaC5hcm5vdHRA
YXNoLm9yZy51ay4mI3hEO0FjdGlvbiBvbiBTbW9raW5nIGFuZCBIZWFsdGggKEFTSCk7IDY3LTY4
IEhhdHRvbiBHYXJkZW4sIExvbmRvbiBFQzFOIDhKWSwgVUsuIGhhemVsLmNoZWVzZW1hbkBhc2gu
b3JnLnVrLiYjeEQ7VUsgQ2VudHJlIGZvciBUb2JhY2NvIGFuZCBBbGNvaG9sIFN0dWRpZXMuIGFu
bi5tY25laWxsQGtjbC5hYy51ay4mI3hEO0FkZGljdGlvbnMgRGVwYXJ0bWVudCwgSW5zdGl0dXRl
IG9mIFBzeWNoaWF0cnksIFBzeWNob2xvZ3kgYW5kIE5ldXJvc2NpZW5jZSwgS2luZyZhcG9zO3Mg
Q29sbGVnZSBMb25kb24sIDQgV2luZHNvciBXYWxrLCBMb25kb24gU0U1IDhCQiwgVUsuIGFubi5t
Y25laWxsQGtjbC5hYy51ay48L2F1dGgtYWRkcmVzcz48dGl0bGVzPjx0aXRsZT5Zb3VuZyBQZW9w
bGUmYXBvcztzIFVzZSBvZiBFLUNpZ2FyZXR0ZXMgYWNyb3NzIHRoZSBVbml0ZWQgS2luZ2RvbTog
RmluZGluZ3MgZnJvbSBGaXZlIFN1cnZleXMgMjAxNS0yMDE3PC90aXRsZT48c2Vjb25kYXJ5LXRp
dGxlPkludCBKIEVudmlyb24gUmVzIFB1YmxpYyBIZWFsdGg8L3NlY29uZGFyeS10aXRsZT48YWx0
LXRpdGxlPkludGVybmF0aW9uYWwgam91cm5hbCBvZiBlbnZpcm9ubWVudGFsIHJlc2VhcmNoIGFu
ZCBwdWJsaWMgaGVhbHRoPC9hbHQtdGl0bGU+PC90aXRsZXM+PGFsdC1wZXJpb2RpY2FsPjxmdWxs
LXRpdGxlPkludGVybmF0aW9uYWwgSm91cm5hbCBvZiBFbnZpcm9ubWVudGFsIFJlc2VhcmNoIGFu
ZCBQdWJsaWMgSGVhbHRoPC9mdWxsLXRpdGxlPjwvYWx0LXBlcmlvZGljYWw+PHZvbHVtZT4xNDwv
dm9sdW1lPjxudW1iZXI+OTwvbnVtYmVyPjxlZGl0aW9uPjIwMTcvMDgvMzA8L2VkaXRpb24+PGtl
eXdvcmRzPjxrZXl3b3JkPkFkb2xlc2NlbnQ8L2tleXdvcmQ+PGtleXdvcmQ+QWRvbGVzY2VudCBI
ZWFsdGg8L2tleXdvcmQ+PGtleXdvcmQ+Q2hpbGQ8L2tleXdvcmQ+PGtleXdvcmQ+RWxlY3Ryb25p
YyBOaWNvdGluZSBEZWxpdmVyeSBTeXN0ZW1zLypzdGF0aXN0aWNzICZhbXA7IG51bWVyaWNhbCBk
YXRhPC9rZXl3b3JkPjxrZXl3b3JkPkZlbWFsZTwva2V5d29yZD48a2V5d29yZD5IdW1hbnM8L2tl
eXdvcmQ+PGtleXdvcmQ+TWFsZTwva2V5d29yZD48a2V5d29yZD5QcmV2YWxlbmNlPC9rZXl3b3Jk
PjxrZXl3b3JkPlNjaG9vbCBIZWFsdGggU2VydmljZXM8L2tleXdvcmQ+PGtleXdvcmQ+U21va2lu
Zy8qZXBpZGVtaW9sb2d5PC9rZXl3b3JkPjxrZXl3b3JkPlN1cnZleXMgYW5kIFF1ZXN0aW9ubmFp
cmVzPC9rZXl3b3JkPjxrZXl3b3JkPlVuaXRlZCBLaW5nZG9tL2VwaWRlbWlvbG9neTwva2V5d29y
ZD48a2V5d29yZD5lLWNpZ2FyZXR0ZXM8L2tleXdvcmQ+PGtleXdvcmQ+c21va2luZzwva2V5d29y
ZD48a2V5d29yZD5zdXJ2ZXlzPC9rZXl3b3JkPjxrZXl3b3JkPnRvYmFjY288L2tleXdvcmQ+PGtl
eXdvcmQ+eW91dGg8L2tleXdvcmQ+PGtleXdvcmQ+ZGVzaWduIG9mIHRoZSBzdHVkeTwva2V5d29y
ZD48a2V5d29yZD5pbiB0aGUgY29sbGVjdGlvbiwgYW5hbHlzZXMsIG9yIGludGVycHJldGF0aW9u
IG9mIGRhdGE8L2tleXdvcmQ+PGtleXdvcmQ+aW48L2tleXdvcmQ+PGtleXdvcmQ+dGhlIHdyaXRp
bmcgb2YgdGhlIG1hbnVzY3JpcHQsIGFuZCBpbiB0aGUgZGVjaXNpb24gdG8gcHVibGlzaCB0aGUg
cmVzdWx0cy48L2tleXdvcmQ+PC9rZXl3b3Jkcz48ZGF0ZXM+PHllYXI+MjAxNzwveWVhcj48cHVi
LWRhdGVzPjxkYXRlPkF1ZyAyOTwvZGF0ZT48L3B1Yi1kYXRlcz48L2RhdGVzPjxpc2JuPjE2NjAt
NDYwMTwvaXNibj48YWNjZXNzaW9uLW51bT4yODg1MDA2NTwvYWNjZXNzaW9uLW51bT48dXJscz48
cmVsYXRlZC11cmxzPjx1cmw+aHR0cDovL3d3dy5tZHBpLmNvbS8xNjYwLTQ2MDEvMTQvOS85NzMv
cGRmPC91cmw+PC9yZWxhdGVkLXVybHM+PC91cmxzPjxjdXN0b20yPlBNQzU2MTU1MTA8L2N1c3Rv
bTI+PGVsZWN0cm9uaWMtcmVzb3VyY2UtbnVtPjEwLjMzOTAvaWplcnBoMTQwOTA5NzM8L2VsZWN0
cm9uaWMtcmVzb3VyY2UtbnVtPjxyZW1vdGUtZGF0YWJhc2UtcHJvdmlkZXI+TkxNPC9yZW1vdGUt
ZGF0YWJhc2UtcHJvdmlkZXI+PGxhbmd1YWdlPmVuZzwvbGFuZ3VhZ2U+PC9yZWNvcmQ+PC9DaXRl
PjwvRW5kTm90ZT4A
</w:fldData>
        </w:fldChar>
      </w:r>
      <w:r>
        <w:instrText xml:space="preserve"> ADDIN EN.CITE </w:instrText>
      </w:r>
      <w:r>
        <w:fldChar w:fldCharType="begin">
          <w:fldData xml:space="preserve">PEVuZE5vdGU+PENpdGU+PEF1dGhvcj5CYXVsZDwvQXV0aG9yPjxZZWFyPjIwMTc8L1llYXI+PFJl
Y051bT42MzY0PC9SZWNOdW0+PERpc3BsYXlUZXh0PihCYXVsZCwgTWFjS2ludG9zaCBldCBhbC4g
MjAxNyk8L0Rpc3BsYXlUZXh0PjxyZWNvcmQ+PHJlYy1udW1iZXI+NjM2NDwvcmVjLW51bWJlcj48
Zm9yZWlnbi1rZXlzPjxrZXkgYXBwPSJFTiIgZGItaWQ9ImZwdDlwdHRybTV6ZnNhZXNwOWZwc2Rk
djA5ZXdzdjV4ZXdmZCIgdGltZXN0YW1wPSIxNTI1MDQ3ODE3Ij42MzY0PC9rZXk+PGtleSBhcHA9
IkVOV2ViIiBkYi1pZD0iIj4wPC9rZXk+PC9mb3JlaWduLWtleXM+PHJlZi10eXBlIG5hbWU9Ikpv
dXJuYWwgQXJ0aWNsZSI+MTc8L3JlZi10eXBlPjxjb250cmlidXRvcnM+PGF1dGhvcnM+PGF1dGhv
cj5CYXVsZCwgTC48L2F1dGhvcj48YXV0aG9yPk1hY0tpbnRvc2gsIEEuIE0uPC9hdXRob3I+PGF1
dGhvcj5FYXN0d29vZCwgQi48L2F1dGhvcj48YXV0aG9yPkZvcmQsIEEuPC9hdXRob3I+PGF1dGhv
cj5Nb29yZSwgRy48L2F1dGhvcj48YXV0aG9yPkRvY2tyZWxsLCBNLjwvYXV0aG9yPjxhdXRob3I+
QXJub3R0LCBELjwvYXV0aG9yPjxhdXRob3I+Q2hlZXNlbWFuLCBILjwvYXV0aG9yPjxhdXRob3I+
TWNOZWlsbCwgQS48L2F1dGhvcj48L2F1dGhvcnM+PC9jb250cmlidXRvcnM+PGF1dGgtYWRkcmVz
cz5JbnN0aXR1dGUgZm9yIFNvY2lhbCBNYXJrZXRpbmcsIFVuaXZlcnNpdHkgb2YgU3Rpcmxpbmcs
IFN0aXJsaW5nIEZLOSA0TEEsIFVLLiBsaW5kYS5iYXVsZEBzdGlyLmFjLnVrLiYjeEQ7VUsgQ2Vu
dHJlIGZvciBUb2JhY2NvIGFuZCBBbGNvaG9sIFN0dWRpZXMuIGxpbmRhLmJhdWxkQHN0aXIuYWMu
dWsuJiN4RDtJbnN0aXR1dGUgZm9yIFNvY2lhbCBNYXJrZXRpbmcsIFVuaXZlcnNpdHkgb2YgU3Rp
cmxpbmcsIFN0aXJsaW5nIEZLOSA0TEEsIFVLLiBhLm0ubWFja2ludG9zaEBzdGlyLmFjLnVrLiYj
eEQ7VUsgQ2VudHJlIGZvciBUb2JhY2NvIGFuZCBBbGNvaG9sIFN0dWRpZXMuIGEubS5tYWNraW50
b3NoQHN0aXIuYWMudWsuJiN4RDtBbGNvaG9sLCBEcnVncyBhbmQgVG9iYWNjbyBEaXZpc2lvbiwg
SGVhbHRoIEltcHJvdmVtZW50IERpcmVjdG9yYXRlLCBQdWJsaWMgSGVhbHRoIEVuZ2xhbmQsIFNr
aXB0b24gSG91c2UsIDgwIExvbmRvbiBSb2FkLCBMb25kb24gU0UxIDZMSCwgVUsuIGJyaWFuLmVh
c3R3b29kQHBoZS5nb3YudWsuJiN4RDtJbnN0aXR1dGUgZm9yIFNvY2lhbCBNYXJrZXRpbmcsIFVu
aXZlcnNpdHkgb2YgU3RpcmxpbmcsIFN0aXJsaW5nIEZLOSA0TEEsIFVLLiBhLmouZm9yZEBzdGly
LmFjLnVrLiYjeEQ7VUsgQ2VudHJlIGZvciBUb2JhY2NvIGFuZCBBbGNvaG9sIFN0dWRpZXMuIGEu
ai5mb3JkQHN0aXIuYWMudWsuJiN4RDtDZW50cmUgZm9yIHRoZSBEZXZlbG9wbWVudCBhbmQgRXZh
bHVhdGlvbiBvZiBDb21wbGV4IEludGVydmVudGlvbnMgZm9yIFB1YmxpYyBIZWFsdGggSW1wcm92
ZW1lbnQgKERFQ0lQSGVyKSwgU2Nob29sIG9mIFNvY2lhbCBTY2llbmNlcywgQ2FyZGlmZiBVbml2
ZXJzaXR5LCAxLTMgTXVzZXVtIFBsYWNlLCBDYXJkaWZmIENGMTAgM0JELCBVSy4gbW9vcmVnQGNh
cmRpZmYuYWMudWsuJiN4RDtBbGNvaG9sLCBEcnVncyBhbmQgVG9iYWNjbyBEaXZpc2lvbiwgSGVh
bHRoIEltcHJvdmVtZW50IERpcmVjdG9yYXRlLCBQdWJsaWMgSGVhbHRoIEVuZ2xhbmQsIFNraXB0
b24gSG91c2UsIDgwIExvbmRvbiBSb2FkLCBMb25kb24gU0UxIDZMSCwgVUsuIG1hcnRpbi5kb2Nr
cmVsbEBwaGUuZ292LnVrLiYjeEQ7QWN0aW9uIG9uIFNtb2tpbmcgYW5kIEhlYWx0aCAoQVNIKTsg
NjctNjggSGF0dG9uIEdhcmRlbiwgTG9uZG9uIEVDMU4gOEpZLCBVSy4gZGVib3JhaC5hcm5vdHRA
YXNoLm9yZy51ay4mI3hEO0FjdGlvbiBvbiBTbW9raW5nIGFuZCBIZWFsdGggKEFTSCk7IDY3LTY4
IEhhdHRvbiBHYXJkZW4sIExvbmRvbiBFQzFOIDhKWSwgVUsuIGhhemVsLmNoZWVzZW1hbkBhc2gu
b3JnLnVrLiYjeEQ7VUsgQ2VudHJlIGZvciBUb2JhY2NvIGFuZCBBbGNvaG9sIFN0dWRpZXMuIGFu
bi5tY25laWxsQGtjbC5hYy51ay4mI3hEO0FkZGljdGlvbnMgRGVwYXJ0bWVudCwgSW5zdGl0dXRl
IG9mIFBzeWNoaWF0cnksIFBzeWNob2xvZ3kgYW5kIE5ldXJvc2NpZW5jZSwgS2luZyZhcG9zO3Mg
Q29sbGVnZSBMb25kb24sIDQgV2luZHNvciBXYWxrLCBMb25kb24gU0U1IDhCQiwgVUsuIGFubi5t
Y25laWxsQGtjbC5hYy51ay48L2F1dGgtYWRkcmVzcz48dGl0bGVzPjx0aXRsZT5Zb3VuZyBQZW9w
bGUmYXBvcztzIFVzZSBvZiBFLUNpZ2FyZXR0ZXMgYWNyb3NzIHRoZSBVbml0ZWQgS2luZ2RvbTog
RmluZGluZ3MgZnJvbSBGaXZlIFN1cnZleXMgMjAxNS0yMDE3PC90aXRsZT48c2Vjb25kYXJ5LXRp
dGxlPkludCBKIEVudmlyb24gUmVzIFB1YmxpYyBIZWFsdGg8L3NlY29uZGFyeS10aXRsZT48YWx0
LXRpdGxlPkludGVybmF0aW9uYWwgam91cm5hbCBvZiBlbnZpcm9ubWVudGFsIHJlc2VhcmNoIGFu
ZCBwdWJsaWMgaGVhbHRoPC9hbHQtdGl0bGU+PC90aXRsZXM+PGFsdC1wZXJpb2RpY2FsPjxmdWxs
LXRpdGxlPkludGVybmF0aW9uYWwgSm91cm5hbCBvZiBFbnZpcm9ubWVudGFsIFJlc2VhcmNoIGFu
ZCBQdWJsaWMgSGVhbHRoPC9mdWxsLXRpdGxlPjwvYWx0LXBlcmlvZGljYWw+PHZvbHVtZT4xNDwv
dm9sdW1lPjxudW1iZXI+OTwvbnVtYmVyPjxlZGl0aW9uPjIwMTcvMDgvMzA8L2VkaXRpb24+PGtl
eXdvcmRzPjxrZXl3b3JkPkFkb2xlc2NlbnQ8L2tleXdvcmQ+PGtleXdvcmQ+QWRvbGVzY2VudCBI
ZWFsdGg8L2tleXdvcmQ+PGtleXdvcmQ+Q2hpbGQ8L2tleXdvcmQ+PGtleXdvcmQ+RWxlY3Ryb25p
YyBOaWNvdGluZSBEZWxpdmVyeSBTeXN0ZW1zLypzdGF0aXN0aWNzICZhbXA7IG51bWVyaWNhbCBk
YXRhPC9rZXl3b3JkPjxrZXl3b3JkPkZlbWFsZTwva2V5d29yZD48a2V5d29yZD5IdW1hbnM8L2tl
eXdvcmQ+PGtleXdvcmQ+TWFsZTwva2V5d29yZD48a2V5d29yZD5QcmV2YWxlbmNlPC9rZXl3b3Jk
PjxrZXl3b3JkPlNjaG9vbCBIZWFsdGggU2VydmljZXM8L2tleXdvcmQ+PGtleXdvcmQ+U21va2lu
Zy8qZXBpZGVtaW9sb2d5PC9rZXl3b3JkPjxrZXl3b3JkPlN1cnZleXMgYW5kIFF1ZXN0aW9ubmFp
cmVzPC9rZXl3b3JkPjxrZXl3b3JkPlVuaXRlZCBLaW5nZG9tL2VwaWRlbWlvbG9neTwva2V5d29y
ZD48a2V5d29yZD5lLWNpZ2FyZXR0ZXM8L2tleXdvcmQ+PGtleXdvcmQ+c21va2luZzwva2V5d29y
ZD48a2V5d29yZD5zdXJ2ZXlzPC9rZXl3b3JkPjxrZXl3b3JkPnRvYmFjY288L2tleXdvcmQ+PGtl
eXdvcmQ+eW91dGg8L2tleXdvcmQ+PGtleXdvcmQ+ZGVzaWduIG9mIHRoZSBzdHVkeTwva2V5d29y
ZD48a2V5d29yZD5pbiB0aGUgY29sbGVjdGlvbiwgYW5hbHlzZXMsIG9yIGludGVycHJldGF0aW9u
IG9mIGRhdGE8L2tleXdvcmQ+PGtleXdvcmQ+aW48L2tleXdvcmQ+PGtleXdvcmQ+dGhlIHdyaXRp
bmcgb2YgdGhlIG1hbnVzY3JpcHQsIGFuZCBpbiB0aGUgZGVjaXNpb24gdG8gcHVibGlzaCB0aGUg
cmVzdWx0cy48L2tleXdvcmQ+PC9rZXl3b3Jkcz48ZGF0ZXM+PHllYXI+MjAxNzwveWVhcj48cHVi
LWRhdGVzPjxkYXRlPkF1ZyAyOTwvZGF0ZT48L3B1Yi1kYXRlcz48L2RhdGVzPjxpc2JuPjE2NjAt
NDYwMTwvaXNibj48YWNjZXNzaW9uLW51bT4yODg1MDA2NTwvYWNjZXNzaW9uLW51bT48dXJscz48
cmVsYXRlZC11cmxzPjx1cmw+aHR0cDovL3d3dy5tZHBpLmNvbS8xNjYwLTQ2MDEvMTQvOS85NzMv
cGRmPC91cmw+PC9yZWxhdGVkLXVybHM+PC91cmxzPjxjdXN0b20yPlBNQzU2MTU1MTA8L2N1c3Rv
bTI+PGVsZWN0cm9uaWMtcmVzb3VyY2UtbnVtPjEwLjMzOTAvaWplcnBoMTQwOTA5NzM8L2VsZWN0
cm9uaWMtcmVzb3VyY2UtbnVtPjxyZW1vdGUtZGF0YWJhc2UtcHJvdmlkZXI+TkxNPC9yZW1vdGUt
ZGF0YWJhc2UtcHJvdmlkZXI+PGxhbmd1YWdlPmVuZzwvbGFuZ3VhZ2U+PC9yZWNvcmQ+PC9DaXRl
PjwvRW5kTm90ZT4A
</w:fldData>
        </w:fldChar>
      </w:r>
      <w:r>
        <w:instrText xml:space="preserve"> ADDIN EN.CITE.DATA </w:instrText>
      </w:r>
      <w:r>
        <w:fldChar w:fldCharType="end"/>
      </w:r>
      <w:r>
        <w:fldChar w:fldCharType="separate"/>
      </w:r>
      <w:r>
        <w:rPr>
          <w:noProof/>
        </w:rPr>
        <w:t>(Bauld, MacKintosh et al. 2017)</w:t>
      </w:r>
      <w:r>
        <w:fldChar w:fldCharType="end"/>
      </w:r>
      <w:r>
        <w:t xml:space="preserve">. The remaining five studies used data from the Health Survey for England </w:t>
      </w:r>
      <w:r w:rsidRPr="0071482E">
        <w:t>2013–2014</w:t>
      </w:r>
      <w:r>
        <w:t xml:space="preserve"> </w:t>
      </w:r>
      <w:r>
        <w:fldChar w:fldCharType="begin"/>
      </w:r>
      <w:r>
        <w:instrText xml:space="preserve"> ADDIN EN.CITE &lt;EndNote&gt;&lt;Cite&gt;&lt;Author&gt;Fat&lt;/Author&gt;&lt;Year&gt;2017&lt;/Year&gt;&lt;RecNum&gt;1885&lt;/RecNum&gt;&lt;DisplayText&gt;(Fat, Scholes et al. 2017)&lt;/DisplayText&gt;&lt;record&gt;&lt;rec-number&gt;1885&lt;/rec-number&gt;&lt;foreign-keys&gt;&lt;key app="EN" db-id="9z05dz0praadfuee0zoxzedk9zfe5fxx50z5" timestamp="1521507196"&gt;1885&lt;/key&gt;&lt;key app="ENWeb" db-id=""&gt;0&lt;/key&gt;&lt;/foreign-keys&gt;&lt;ref-type name="Journal Article"&gt;17&lt;/ref-type&gt;&lt;contributors&gt;&lt;authors&gt;&lt;author&gt;Fat, L. Ng&lt;/author&gt;&lt;author&gt;Scholes, S.&lt;/author&gt;&lt;author&gt;Mindell, J. S.&lt;/author&gt;&lt;/authors&gt;&lt;/contributors&gt;&lt;titles&gt;&lt;title&gt;Motivation to quit smoking and changes in cigarette consumption, among smokers who use e-cigarettes, findings from the health survey for england&lt;/title&gt;&lt;secondary-title&gt;Journal of Epidemiology and Community Health&lt;/secondary-title&gt;&lt;/titles&gt;&lt;periodical&gt;&lt;full-title&gt;Journal of Epidemiology and Community Health&lt;/full-title&gt;&lt;/periodical&gt;&lt;pages&gt;A33-A33&lt;/pages&gt;&lt;volume&gt;71&lt;/volume&gt;&lt;dates&gt;&lt;year&gt;2017&lt;/year&gt;&lt;pub-dates&gt;&lt;date&gt;Sep&lt;/date&gt;&lt;/pub-dates&gt;&lt;/dates&gt;&lt;isbn&gt;0143-005X&lt;/isbn&gt;&lt;accession-num&gt;WOS:000419440300066&lt;/accession-num&gt;&lt;urls&gt;&lt;related-urls&gt;&lt;url&gt;&amp;lt;Go to ISI&amp;gt;://WOS:000419440300066&lt;/url&gt;&lt;/related-urls&gt;&lt;/urls&gt;&lt;electronic-resource-num&gt;10.1136/jech-2017-SSMAbstracts.65&lt;/electronic-resource-num&gt;&lt;/record&gt;&lt;/Cite&gt;&lt;/EndNote&gt;</w:instrText>
      </w:r>
      <w:r>
        <w:fldChar w:fldCharType="separate"/>
      </w:r>
      <w:r>
        <w:rPr>
          <w:noProof/>
        </w:rPr>
        <w:t>(Fat, Scholes et al. 2017)</w:t>
      </w:r>
      <w:r>
        <w:fldChar w:fldCharType="end"/>
      </w:r>
      <w:r>
        <w:t xml:space="preserve">, a smoking initiation prevention program for adolescents </w:t>
      </w:r>
      <w:r>
        <w:fldChar w:fldCharType="begin">
          <w:fldData xml:space="preserve">PEVuZE5vdGU+PENpdGU+PEF1dGhvcj5Db25uZXI8L0F1dGhvcj48WWVhcj4yMDE3PC9ZZWFyPjxS
ZWNOdW0+NjM2NjwvUmVjTnVtPjxEaXNwbGF5VGV4dD4oQ29ubmVyLCBHcm9nYW4gZXQgYWwuIDIw
MTcpPC9EaXNwbGF5VGV4dD48cmVjb3JkPjxyZWMtbnVtYmVyPjYzNjY8L3JlYy1udW1iZXI+PGZv
cmVpZ24ta2V5cz48a2V5IGFwcD0iRU4iIGRiLWlkPSJmcHQ5cHR0cm01emZzYWVzcDlmcHNkZHYw
OWV3c3Y1eGV3ZmQiIHRpbWVzdGFtcD0iMTUyNTA0NzgyMyI+NjM2Njwva2V5PjxrZXkgYXBwPSJF
TldlYiIgZGItaWQ9IiI+MDwva2V5PjwvZm9yZWlnbi1rZXlzPjxyZWYtdHlwZSBuYW1lPSJKb3Vy
bmFsIEFydGljbGUiPjE3PC9yZWYtdHlwZT48Y29udHJpYnV0b3JzPjxhdXRob3JzPjxhdXRob3I+
Q29ubmVyLCBNLjwvYXV0aG9yPjxhdXRob3I+R3JvZ2FuLCBTLjwvYXV0aG9yPjxhdXRob3I+U2lt
bXMtRWxsaXMsIFIuPC9hdXRob3I+PGF1dGhvcj5GbGV0dCwgSy48L2F1dGhvcj48YXV0aG9yPlN5
a2VzLU11c2tldHQsIEIuPC9hdXRob3I+PGF1dGhvcj5Db3dhcCwgTC48L2F1dGhvcj48YXV0aG9y
Pkxhd3RvbiwgUi48L2F1dGhvcj48YXV0aG9yPkFybWl0YWdlLCBDLiBKLjwvYXV0aG9yPjxhdXRo
b3I+TWVhZHMsIEQuPC9hdXRob3I+PGF1dGhvcj5Ub3JnZXJzb24sIEMuPC9hdXRob3I+PGF1dGhv
cj5XZXN0LCBSLjwvYXV0aG9yPjxhdXRob3I+U2lkZGlxaSwgSy48L2F1dGhvcj48L2F1dGhvcnM+
PC9jb250cmlidXRvcnM+PGF1dGgtYWRkcmVzcz5TY2hvb2wgb2YgUHN5Y2hvbG9neSwgVW5pdmVy
c2l0eSBvZiBMZWVkcywgTGVlZHMsIFVLLiYjeEQ7RGVwYXJ0bWVudCBvZiBQc3ljaG9sb2d5LCBN
YW5jaGVzdGVyIE1ldHJvcG9saXRhbiBVbml2ZXJzaXR5LCBNYW5jaGVzdGVyLCBVSy4mI3hEO0Nl
bnRyZSBmb3IgSGVhbHRoIFBzeWNob2xvZ3ksIFRoZSBTY2llbmNlIENlbnRyZSwgU3RhZmZvcmRz
aGlyZSBVbml2ZXJzaXR5LCBTdG9rZS1vbi1UcmVudCwgVUsuJiN4RDtEaXZpc2lvbiBvZiBQc3lj
aG9sb2d5IGFuZCBNZW50YWwgSGVhbHRoLCBNYW5jaGVzdGVyIENlbnRyZSBmb3IgSGVhbHRoIFBz
eWNob2xvZ3ksIE1hbmNoZXN0ZXIgQWNhZGVtaWMgSGVhbHRoIFNjaWVuY2UgQ2VudHJlLCBVbml2
ZXJzaXR5IG9mIE1hbmNoZXN0ZXIsIE1hbmNoZXN0ZXIsIFVLLiYjeEQ7SW5zdGl0dXRlIG9mIEhl
YWx0aCBTY2llbmNlcywgVW5pdmVyc2l0eSBvZiBMZWVkcywgTGVlZHMsIFVLLiYjeEQ7U2Nob29s
IG9mIEVkdWNhdGlvbiwgRHVyaGFtIFVuaXZlcnNpdHksIER1cmhhbSwgVUsuJiN4RDtEZXBhcnRt
ZW50IG9mIEhlYWx0aCBTY2llbmNlcywgVW5pdmVyc2l0eSBvZiBZb3JrLCBZb3JrLCBVSy48L2F1
dGgtYWRkcmVzcz48dGl0bGVzPjx0aXRsZT5EbyBlbGVjdHJvbmljIGNpZ2FyZXR0ZXMgaW5jcmVh
c2UgY2lnYXJldHRlIHNtb2tpbmcgaW4gVUsgYWRvbGVzY2VudHM/IEV2aWRlbmNlIGZyb20gYSAx
Mi1tb250aCBwcm9zcGVjdGl2ZSBzdHVkeTwvdGl0bGU+PHNlY29uZGFyeS10aXRsZT5Ub2IgQ29u
dHJvbDwvc2Vjb25kYXJ5LXRpdGxlPjxhbHQtdGl0bGU+VG9iYWNjbyBjb250cm9sPC9hbHQtdGl0
bGU+PC90aXRsZXM+PGFsdC1wZXJpb2RpY2FsPjxmdWxsLXRpdGxlPlRvYmFjY28gQ29udHJvbDwv
ZnVsbC10aXRsZT48L2FsdC1wZXJpb2RpY2FsPjxlZGl0aW9uPjIwMTcvMDgvMTk8L2VkaXRpb24+
PGtleXdvcmRzPjxrZXl3b3JkPmUtY2lnYXJldHRlczwva2V5d29yZD48a2V5d29yZD5lbGVjdHJv
bmljIG5pY290aW5lIGRlbGl2ZXJ5IHN5c3RlbXM8L2tleXdvcmQ+PGtleXdvcmQ+aGFybSByZWR1
Y3Rpb248L2tleXdvcmQ+PGtleXdvcmQ+cHJldmVudGlvbjwva2V5d29yZD48a2V5d29yZD5zbW9r
aW5nPC9rZXl3b3JkPjxrZXl3b3JkPlByZXZlbnRpb24gUmVzZWFyY2ggSW5pdGlhdGl2ZSBkdXJp
bmcgdGhlIHN0dWR5LiBUaGUgYXV0aG9ycyBoYXZlIG5vIGNvbmZsaWN0cyBvZjwva2V5d29yZD48
a2V5d29yZD5pbnRlcmVzdC48L2tleXdvcmQ+PC9rZXl3b3Jkcz48ZGF0ZXM+PHllYXI+MjAxNzwv
eWVhcj48cHViLWRhdGVzPjxkYXRlPkF1ZyAxNzwvZGF0ZT48L3B1Yi1kYXRlcz48L2RhdGVzPjxp
c2JuPjA5NjQtNDU2MzwvaXNibj48YWNjZXNzaW9uLW51bT4yODgxODgzOTwvYWNjZXNzaW9uLW51
bT48dXJscz48cmVsYXRlZC11cmxzPjx1cmw+aHR0cDovL3RvYmFjY29jb250cm9sLmJtai5jb20v
Y29udGVudC90b2JhY2NvY29udHJvbC9lYXJseS8yMDE3LzA3LzI4L3RvYmFjY29jb250cm9sLTIw
MTYtMDUzNTM5LmZ1bGwucGRmPC91cmw+PC9yZWxhdGVkLXVybHM+PC91cmxzPjxlbGVjdHJvbmlj
LXJlc291cmNlLW51bT4xMC4xMTM2L3RvYmFjY29jb250cm9sLTIwMTYtMDUzNTM5PC9lbGVjdHJv
bmljLXJlc291cmNlLW51bT48cmVtb3RlLWRhdGFiYXNlLXByb3ZpZGVyPk5MTTwvcmVtb3RlLWRh
dGFiYXNlLXByb3ZpZGVyPjxsYW5ndWFnZT5lbmc8L2xhbmd1YWdlPjwvcmVjb3JkPjwvQ2l0ZT48
L0VuZE5vdGU+AG==
</w:fldData>
        </w:fldChar>
      </w:r>
      <w:r>
        <w:instrText xml:space="preserve"> ADDIN EN.CITE </w:instrText>
      </w:r>
      <w:r>
        <w:fldChar w:fldCharType="begin">
          <w:fldData xml:space="preserve">PEVuZE5vdGU+PENpdGU+PEF1dGhvcj5Db25uZXI8L0F1dGhvcj48WWVhcj4yMDE3PC9ZZWFyPjxS
ZWNOdW0+NjM2NjwvUmVjTnVtPjxEaXNwbGF5VGV4dD4oQ29ubmVyLCBHcm9nYW4gZXQgYWwuIDIw
MTcpPC9EaXNwbGF5VGV4dD48cmVjb3JkPjxyZWMtbnVtYmVyPjYzNjY8L3JlYy1udW1iZXI+PGZv
cmVpZ24ta2V5cz48a2V5IGFwcD0iRU4iIGRiLWlkPSJmcHQ5cHR0cm01emZzYWVzcDlmcHNkZHYw
OWV3c3Y1eGV3ZmQiIHRpbWVzdGFtcD0iMTUyNTA0NzgyMyI+NjM2Njwva2V5PjxrZXkgYXBwPSJF
TldlYiIgZGItaWQ9IiI+MDwva2V5PjwvZm9yZWlnbi1rZXlzPjxyZWYtdHlwZSBuYW1lPSJKb3Vy
bmFsIEFydGljbGUiPjE3PC9yZWYtdHlwZT48Y29udHJpYnV0b3JzPjxhdXRob3JzPjxhdXRob3I+
Q29ubmVyLCBNLjwvYXV0aG9yPjxhdXRob3I+R3JvZ2FuLCBTLjwvYXV0aG9yPjxhdXRob3I+U2lt
bXMtRWxsaXMsIFIuPC9hdXRob3I+PGF1dGhvcj5GbGV0dCwgSy48L2F1dGhvcj48YXV0aG9yPlN5
a2VzLU11c2tldHQsIEIuPC9hdXRob3I+PGF1dGhvcj5Db3dhcCwgTC48L2F1dGhvcj48YXV0aG9y
Pkxhd3RvbiwgUi48L2F1dGhvcj48YXV0aG9yPkFybWl0YWdlLCBDLiBKLjwvYXV0aG9yPjxhdXRo
b3I+TWVhZHMsIEQuPC9hdXRob3I+PGF1dGhvcj5Ub3JnZXJzb24sIEMuPC9hdXRob3I+PGF1dGhv
cj5XZXN0LCBSLjwvYXV0aG9yPjxhdXRob3I+U2lkZGlxaSwgSy48L2F1dGhvcj48L2F1dGhvcnM+
PC9jb250cmlidXRvcnM+PGF1dGgtYWRkcmVzcz5TY2hvb2wgb2YgUHN5Y2hvbG9neSwgVW5pdmVy
c2l0eSBvZiBMZWVkcywgTGVlZHMsIFVLLiYjeEQ7RGVwYXJ0bWVudCBvZiBQc3ljaG9sb2d5LCBN
YW5jaGVzdGVyIE1ldHJvcG9saXRhbiBVbml2ZXJzaXR5LCBNYW5jaGVzdGVyLCBVSy4mI3hEO0Nl
bnRyZSBmb3IgSGVhbHRoIFBzeWNob2xvZ3ksIFRoZSBTY2llbmNlIENlbnRyZSwgU3RhZmZvcmRz
aGlyZSBVbml2ZXJzaXR5LCBTdG9rZS1vbi1UcmVudCwgVUsuJiN4RDtEaXZpc2lvbiBvZiBQc3lj
aG9sb2d5IGFuZCBNZW50YWwgSGVhbHRoLCBNYW5jaGVzdGVyIENlbnRyZSBmb3IgSGVhbHRoIFBz
eWNob2xvZ3ksIE1hbmNoZXN0ZXIgQWNhZGVtaWMgSGVhbHRoIFNjaWVuY2UgQ2VudHJlLCBVbml2
ZXJzaXR5IG9mIE1hbmNoZXN0ZXIsIE1hbmNoZXN0ZXIsIFVLLiYjeEQ7SW5zdGl0dXRlIG9mIEhl
YWx0aCBTY2llbmNlcywgVW5pdmVyc2l0eSBvZiBMZWVkcywgTGVlZHMsIFVLLiYjeEQ7U2Nob29s
IG9mIEVkdWNhdGlvbiwgRHVyaGFtIFVuaXZlcnNpdHksIER1cmhhbSwgVUsuJiN4RDtEZXBhcnRt
ZW50IG9mIEhlYWx0aCBTY2llbmNlcywgVW5pdmVyc2l0eSBvZiBZb3JrLCBZb3JrLCBVSy48L2F1
dGgtYWRkcmVzcz48dGl0bGVzPjx0aXRsZT5EbyBlbGVjdHJvbmljIGNpZ2FyZXR0ZXMgaW5jcmVh
c2UgY2lnYXJldHRlIHNtb2tpbmcgaW4gVUsgYWRvbGVzY2VudHM/IEV2aWRlbmNlIGZyb20gYSAx
Mi1tb250aCBwcm9zcGVjdGl2ZSBzdHVkeTwvdGl0bGU+PHNlY29uZGFyeS10aXRsZT5Ub2IgQ29u
dHJvbDwvc2Vjb25kYXJ5LXRpdGxlPjxhbHQtdGl0bGU+VG9iYWNjbyBjb250cm9sPC9hbHQtdGl0
bGU+PC90aXRsZXM+PGFsdC1wZXJpb2RpY2FsPjxmdWxsLXRpdGxlPlRvYmFjY28gQ29udHJvbDwv
ZnVsbC10aXRsZT48L2FsdC1wZXJpb2RpY2FsPjxlZGl0aW9uPjIwMTcvMDgvMTk8L2VkaXRpb24+
PGtleXdvcmRzPjxrZXl3b3JkPmUtY2lnYXJldHRlczwva2V5d29yZD48a2V5d29yZD5lbGVjdHJv
bmljIG5pY290aW5lIGRlbGl2ZXJ5IHN5c3RlbXM8L2tleXdvcmQ+PGtleXdvcmQ+aGFybSByZWR1
Y3Rpb248L2tleXdvcmQ+PGtleXdvcmQ+cHJldmVudGlvbjwva2V5d29yZD48a2V5d29yZD5zbW9r
aW5nPC9rZXl3b3JkPjxrZXl3b3JkPlByZXZlbnRpb24gUmVzZWFyY2ggSW5pdGlhdGl2ZSBkdXJp
bmcgdGhlIHN0dWR5LiBUaGUgYXV0aG9ycyBoYXZlIG5vIGNvbmZsaWN0cyBvZjwva2V5d29yZD48
a2V5d29yZD5pbnRlcmVzdC48L2tleXdvcmQ+PC9rZXl3b3Jkcz48ZGF0ZXM+PHllYXI+MjAxNzwv
eWVhcj48cHViLWRhdGVzPjxkYXRlPkF1ZyAxNzwvZGF0ZT48L3B1Yi1kYXRlcz48L2RhdGVzPjxp
c2JuPjA5NjQtNDU2MzwvaXNibj48YWNjZXNzaW9uLW51bT4yODgxODgzOTwvYWNjZXNzaW9uLW51
bT48dXJscz48cmVsYXRlZC11cmxzPjx1cmw+aHR0cDovL3RvYmFjY29jb250cm9sLmJtai5jb20v
Y29udGVudC90b2JhY2NvY29udHJvbC9lYXJseS8yMDE3LzA3LzI4L3RvYmFjY29jb250cm9sLTIw
MTYtMDUzNTM5LmZ1bGwucGRmPC91cmw+PC9yZWxhdGVkLXVybHM+PC91cmxzPjxlbGVjdHJvbmlj
LXJlc291cmNlLW51bT4xMC4xMTM2L3RvYmFjY29jb250cm9sLTIwMTYtMDUzNTM5PC9lbGVjdHJv
bmljLXJlc291cmNlLW51bT48cmVtb3RlLWRhdGFiYXNlLXByb3ZpZGVyPk5MTTwvcmVtb3RlLWRh
dGFiYXNlLXByb3ZpZGVyPjxsYW5ndWFnZT5lbmc8L2xhbmd1YWdlPjwvcmVjb3JkPjwvQ2l0ZT48
L0VuZE5vdGU+AG==
</w:fldData>
        </w:fldChar>
      </w:r>
      <w:r>
        <w:instrText xml:space="preserve"> ADDIN EN.CITE.DATA </w:instrText>
      </w:r>
      <w:r>
        <w:fldChar w:fldCharType="end"/>
      </w:r>
      <w:r>
        <w:fldChar w:fldCharType="separate"/>
      </w:r>
      <w:r>
        <w:rPr>
          <w:noProof/>
        </w:rPr>
        <w:t>(Conner, Grogan et al. 2017)</w:t>
      </w:r>
      <w:r>
        <w:fldChar w:fldCharType="end"/>
      </w:r>
      <w:r>
        <w:t xml:space="preserve">, hospital records from patients with irritable bowel disease </w:t>
      </w:r>
      <w:r>
        <w:fldChar w:fldCharType="begin"/>
      </w:r>
      <w:r w:rsidR="00903735">
        <w:instrText xml:space="preserve"> ADDIN EN.CITE &lt;EndNote&gt;&lt;Cite&gt;&lt;Author&gt;Loonat&lt;/Author&gt;&lt;Year&gt;2018&lt;/Year&gt;&lt;RecNum&gt;14130&lt;/RecNum&gt;&lt;DisplayText&gt;(Loonat, Sagar et al. 2018)&lt;/DisplayText&gt;&lt;record&gt;&lt;rec-number&gt;14130&lt;/rec-number&gt;&lt;foreign-keys&gt;&lt;key app="EN" db-id="5xv5w5t2bdxtxfezx02xtxdft5rz5ptvvt29" timestamp="1527216006"&gt;14130&lt;/key&gt;&lt;key app="ENWeb" db-id=""&gt;0&lt;/key&gt;&lt;/foreign-keys&gt;&lt;ref-type name="Journal Article"&gt;17&lt;/ref-type&gt;&lt;contributors&gt;&lt;authors&gt;&lt;author&gt;Loonat, K.&lt;/author&gt;&lt;author&gt;Sagar, R.&lt;/author&gt;&lt;author&gt;Selinger, C.&lt;/author&gt;&lt;/authors&gt;&lt;/contributors&gt;&lt;titles&gt;&lt;title&gt;Current smoking trends in British IBD patients in the age of e-cigarettes&lt;/title&gt;&lt;secondary-title&gt;Journal of Crohns &amp;amp; Colitis&lt;/secondary-title&gt;&lt;/titles&gt;&lt;periodical&gt;&lt;full-title&gt;Journal of Crohns &amp;amp; Colitis&lt;/full-title&gt;&lt;/periodical&gt;&lt;pages&gt;S473-S474&lt;/pages&gt;&lt;volume&gt;12&lt;/volume&gt;&lt;dates&gt;&lt;year&gt;2018&lt;/year&gt;&lt;pub-dates&gt;&lt;date&gt;Feb&lt;/date&gt;&lt;/pub-dates&gt;&lt;/dates&gt;&lt;isbn&gt;1873-9946&lt;/isbn&gt;&lt;accession-num&gt;WOS:000427318902099&lt;/accession-num&gt;&lt;urls&gt;&lt;related-urls&gt;&lt;url&gt;&amp;lt;Go to ISI&amp;gt;://WOS:000427318902099&lt;/url&gt;&lt;/related-urls&gt;&lt;/urls&gt;&lt;/record&gt;&lt;/Cite&gt;&lt;/EndNote&gt;</w:instrText>
      </w:r>
      <w:r>
        <w:fldChar w:fldCharType="separate"/>
      </w:r>
      <w:r>
        <w:rPr>
          <w:noProof/>
        </w:rPr>
        <w:t>(Loonat, Sagar et al. 2018)</w:t>
      </w:r>
      <w:r>
        <w:fldChar w:fldCharType="end"/>
      </w:r>
      <w:r>
        <w:t xml:space="preserve"> and two investigator-led surveys </w:t>
      </w:r>
      <w:r>
        <w:fldChar w:fldCharType="begin">
          <w:fldData xml:space="preserve">PEVuZE5vdGU+PENpdGU+PEF1dGhvcj5DbGFya2U8L0F1dGhvcj48WWVhcj4yMDE3PC9ZZWFyPjxS
ZWNOdW0+NTUxMDwvUmVjTnVtPjxEaXNwbGF5VGV4dD4oQ2xhcmtlIGFuZCBMdXNoZXIgMjAxNywg
TWNLZWdhbmV5LCBCYXJuYXJkIGV0IGFsLiAyMDE4KTwvRGlzcGxheVRleHQ+PHJlY29yZD48cmVj
LW51bWJlcj41NTEwPC9yZWMtbnVtYmVyPjxmb3JlaWduLWtleXM+PGtleSBhcHA9IkVOIiBkYi1p
ZD0iZnB0OXB0dHJtNXpmc2Flc3A5ZnBzZGR2MDlld3N2NXhld2ZkIiB0aW1lc3RhbXA9IjE1MjUw
NDY2NTgiPjU1MTA8L2tleT48a2V5IGFwcD0iRU5XZWIiIGRiLWlkPSIiPjA8L2tleT48L2ZvcmVp
Z24ta2V5cz48cmVmLXR5cGUgbmFtZT0iSm91cm5hbCBBcnRpY2xlIj4xNzwvcmVmLXR5cGU+PGNv
bnRyaWJ1dG9ycz48YXV0aG9ycz48YXV0aG9yPkNsYXJrZSwgVC4gTi48L2F1dGhvcj48YXV0aG9y
Pkx1c2hlciwgSi4gTS48L2F1dGhvcj48L2F1dGhvcnM+PC9jb250cmlidXRvcnM+PHRpdGxlcz48
dGl0bGU+V2lsbGluZ25lc3MgdG8gVHJ5IEVsZWN0cm9uaWMgQ2lnYXJldHRlcyBBbW9uZyBVSyBB
ZG9sZXNjZW50czwvdGl0bGU+PHNlY29uZGFyeS10aXRsZT5Kb3VybmFsIG9mIENoaWxkIGFuZCBB
ZG9sZXNjZW50IFN1YnN0YW5jZSBBYnVzZTwvc2Vjb25kYXJ5LXRpdGxlPjwvdGl0bGVzPjxwZXJp
b2RpY2FsPjxmdWxsLXRpdGxlPkpvdXJuYWwgb2YgQ2hpbGQgYW5kIEFkb2xlc2NlbnQgU3Vic3Rh
bmNlIEFidXNlPC9mdWxsLXRpdGxlPjwvcGVyaW9kaWNhbD48cGFnZXM+MTc1LTE4MjwvcGFnZXM+
PHZvbHVtZT4yNjwvdm9sdW1lPjxudW1iZXI+MzwvbnVtYmVyPjxkYXRlcz48eWVhcj4yMDE3PC95
ZWFyPjwvZGF0ZXM+PHVybHM+PHJlbGF0ZWQtdXJscz48dXJsPmh0dHBzOi8vd3d3LnNjb3B1cy5j
b20vaW53YXJkL3JlY29yZC51cmk/ZWlkPTItczIuMC04NTAxMzQ2NjYyMCZhbXA7ZG9pPTEwLjEw
ODAlMmYxMDY3ODI4WC4yMDE2LjEyNDIwOTgmYW1wO3BhcnRuZXJJRD00MCZhbXA7bWQ1PTgxZjJi
MzgxZjljNGEyMTU3OTI1OTNjNTU4ZGQ5Njk4PC91cmw+PHVybD5odHRwczovL3d3dy50YW5kZm9u
bGluZS5jb20vZG9pL3BkZi8xMC4xMDgwLzEwNjc4MjhYLjIwMTYuMTI0MjA5OD9uZWVkQWNjZXNz
PXRydWU8L3VybD48L3JlbGF0ZWQtdXJscz48L3VybHM+PGVsZWN0cm9uaWMtcmVzb3VyY2UtbnVt
PjEwLjEwODAvMTA2NzgyOFguMjAxNi4xMjQyMDk4PC9lbGVjdHJvbmljLXJlc291cmNlLW51bT48
cmVtb3RlLWRhdGFiYXNlLW5hbWU+U2NvcHVzPC9yZW1vdGUtZGF0YWJhc2UtbmFtZT48L3JlY29y
ZD48L0NpdGU+PENpdGU+PEF1dGhvcj5NY0tlZ2FuZXk8L0F1dGhvcj48WWVhcj4yMDE4PC9ZZWFy
PjxSZWNOdW0+NjM0MTwvUmVjTnVtPjxyZWNvcmQ+PHJlYy1udW1iZXI+NjM0MTwvcmVjLW51bWJl
cj48Zm9yZWlnbi1rZXlzPjxrZXkgYXBwPSJFTiIgZGItaWQ9ImZwdDlwdHRybTV6ZnNhZXNwOWZw
c2RkdjA5ZXdzdjV4ZXdmZCIgdGltZXN0YW1wPSIxNTI1MDQ3MTk2Ij42MzQxPC9rZXk+PGtleSBh
cHA9IkVOV2ViIiBkYi1pZD0iIj4wPC9rZXk+PC9mb3JlaWduLWtleXM+PHJlZi10eXBlIG5hbWU9
IkpvdXJuYWwgQXJ0aWNsZSI+MTc8L3JlZi10eXBlPjxjb250cmlidXRvcnM+PGF1dGhvcnM+PGF1
dGhvcj5NY0tlZ2FuZXksIE4uPC9hdXRob3I+PGF1dGhvcj5CYXJuYXJkLCBNLjwvYXV0aG9yPjxh
dXRob3I+UnVzc2VsbCwgQy48L2F1dGhvcj48L2F1dGhvcnM+PC9jb250cmlidXRvcnM+PHRpdGxl
cz48dGl0bGU+VmFwZXJzIGFuZCB2YXBpbmc6IEUtY2lnYXJldHRlcyB1c2VycyB2aWV3cyBvZiB2
YXBpbmcgYW5kIHNtb2tpbmc8L3RpdGxlPjxzZWNvbmRhcnktdGl0bGU+RHJ1Z3M6IEVkdWNhdGlv
biwgUHJldmVudGlvbiBhbmQgUG9saWN5PC9zZWNvbmRhcnktdGl0bGU+PC90aXRsZXM+PHBlcmlv
ZGljYWw+PGZ1bGwtdGl0bGU+RHJ1Z3M6IEVkdWNhdGlvbiwgUHJldmVudGlvbiBhbmQgUG9saWN5
PC9mdWxsLXRpdGxlPjwvcGVyaW9kaWNhbD48cGFnZXM+MTMtMjA8L3BhZ2VzPjx2b2x1bWU+MjU8
L3ZvbHVtZT48bnVtYmVyPjE8L251bWJlcj48a2V5d29yZHM+PGtleXdvcmQ+YWRvbGVzY2VudDwv
a2V5d29yZD48a2V5d29yZD5hZHVsdDwva2V5d29yZD48a2V5d29yZD5jbGluaWNhbCBzdHVkeTwv
a2V5d29yZD48a2V5d29yZD5jb250cm9sbGVkIHN0dWR5PC9rZXl3b3JkPjxrZXl3b3JkPmZsYXZv
cjwva2V5d29yZD48a2V5d29yZD5oYXJtIHJlZHVjdGlvbjwva2V5d29yZD48a2V5d29yZD5odW1h
bjwva2V5d29yZD48a2V5d29yZD5odW1hbiB0aXNzdWU8L2tleXdvcmQ+PGtleXdvcmQ+b2Rvcjwv
a2V5d29yZD48a2V5d29yZD5wZXJjZXB0aW9uPC9rZXl3b3JkPjxrZXl3b3JkPnB1YmxpYyBoZWFs
dGg8L2tleXdvcmQ+PGtleXdvcmQ+c3RpZ21hPC9rZXl3b3JkPjxrZXl3b3JkPnZhcGluZzwva2V5
d29yZD48L2tleXdvcmRzPjxkYXRlcz48eWVhcj4yMDE4PC95ZWFyPjwvZGF0ZXM+PHVybHM+PHJl
bGF0ZWQtdXJscz48dXJsPmh0dHBzOi8vd3d3LnNjb3B1cy5jb20vaW53YXJkL3JlY29yZC51cmk/
ZWlkPTItczIuMC04NTAxNDU3MDY0OCZhbXA7ZG9pPTEwLjEwODAlMmYwOTY4NzYzNy4yMDE3LjEy
OTY5MzMmYW1wO3BhcnRuZXJJRD00MCZhbXA7bWQ1PWVhODJmOTU1ZjkwOGMyZWU2NGExYTEyNDEx
Yjc1ZmY4PC91cmw+PHVybD5odHRwczovL3d3dy50YW5kZm9ubGluZS5jb20vZG9pL3BkZi8xMC4x
MDgwLzA5Njg3NjM3LjIwMTcuMTI5NjkzMz9uZWVkQWNjZXNzPXRydWU8L3VybD48L3JlbGF0ZWQt
dXJscz48L3VybHM+PGVsZWN0cm9uaWMtcmVzb3VyY2UtbnVtPjEwLjEwODAvMDk2ODc2MzcuMjAx
Ny4xMjk2OTMzPC9lbGVjdHJvbmljLXJlc291cmNlLW51bT48cmVtb3RlLWRhdGFiYXNlLW5hbWU+
U2NvcHVzPC9yZW1vdGUtZGF0YWJhc2UtbmFtZT48L3JlY29yZD48L0NpdGU+PC9FbmROb3RlPn==
</w:fldData>
        </w:fldChar>
      </w:r>
      <w:r>
        <w:instrText xml:space="preserve"> ADDIN EN.CITE </w:instrText>
      </w:r>
      <w:r>
        <w:fldChar w:fldCharType="begin">
          <w:fldData xml:space="preserve">PEVuZE5vdGU+PENpdGU+PEF1dGhvcj5DbGFya2U8L0F1dGhvcj48WWVhcj4yMDE3PC9ZZWFyPjxS
ZWNOdW0+NTUxMDwvUmVjTnVtPjxEaXNwbGF5VGV4dD4oQ2xhcmtlIGFuZCBMdXNoZXIgMjAxNywg
TWNLZWdhbmV5LCBCYXJuYXJkIGV0IGFsLiAyMDE4KTwvRGlzcGxheVRleHQ+PHJlY29yZD48cmVj
LW51bWJlcj41NTEwPC9yZWMtbnVtYmVyPjxmb3JlaWduLWtleXM+PGtleSBhcHA9IkVOIiBkYi1p
ZD0iZnB0OXB0dHJtNXpmc2Flc3A5ZnBzZGR2MDlld3N2NXhld2ZkIiB0aW1lc3RhbXA9IjE1MjUw
NDY2NTgiPjU1MTA8L2tleT48a2V5IGFwcD0iRU5XZWIiIGRiLWlkPSIiPjA8L2tleT48L2ZvcmVp
Z24ta2V5cz48cmVmLXR5cGUgbmFtZT0iSm91cm5hbCBBcnRpY2xlIj4xNzwvcmVmLXR5cGU+PGNv
bnRyaWJ1dG9ycz48YXV0aG9ycz48YXV0aG9yPkNsYXJrZSwgVC4gTi48L2F1dGhvcj48YXV0aG9y
Pkx1c2hlciwgSi4gTS48L2F1dGhvcj48L2F1dGhvcnM+PC9jb250cmlidXRvcnM+PHRpdGxlcz48
dGl0bGU+V2lsbGluZ25lc3MgdG8gVHJ5IEVsZWN0cm9uaWMgQ2lnYXJldHRlcyBBbW9uZyBVSyBB
ZG9sZXNjZW50czwvdGl0bGU+PHNlY29uZGFyeS10aXRsZT5Kb3VybmFsIG9mIENoaWxkIGFuZCBB
ZG9sZXNjZW50IFN1YnN0YW5jZSBBYnVzZTwvc2Vjb25kYXJ5LXRpdGxlPjwvdGl0bGVzPjxwZXJp
b2RpY2FsPjxmdWxsLXRpdGxlPkpvdXJuYWwgb2YgQ2hpbGQgYW5kIEFkb2xlc2NlbnQgU3Vic3Rh
bmNlIEFidXNlPC9mdWxsLXRpdGxlPjwvcGVyaW9kaWNhbD48cGFnZXM+MTc1LTE4MjwvcGFnZXM+
PHZvbHVtZT4yNjwvdm9sdW1lPjxudW1iZXI+MzwvbnVtYmVyPjxkYXRlcz48eWVhcj4yMDE3PC95
ZWFyPjwvZGF0ZXM+PHVybHM+PHJlbGF0ZWQtdXJscz48dXJsPmh0dHBzOi8vd3d3LnNjb3B1cy5j
b20vaW53YXJkL3JlY29yZC51cmk/ZWlkPTItczIuMC04NTAxMzQ2NjYyMCZhbXA7ZG9pPTEwLjEw
ODAlMmYxMDY3ODI4WC4yMDE2LjEyNDIwOTgmYW1wO3BhcnRuZXJJRD00MCZhbXA7bWQ1PTgxZjJi
MzgxZjljNGEyMTU3OTI1OTNjNTU4ZGQ5Njk4PC91cmw+PHVybD5odHRwczovL3d3dy50YW5kZm9u
bGluZS5jb20vZG9pL3BkZi8xMC4xMDgwLzEwNjc4MjhYLjIwMTYuMTI0MjA5OD9uZWVkQWNjZXNz
PXRydWU8L3VybD48L3JlbGF0ZWQtdXJscz48L3VybHM+PGVsZWN0cm9uaWMtcmVzb3VyY2UtbnVt
PjEwLjEwODAvMTA2NzgyOFguMjAxNi4xMjQyMDk4PC9lbGVjdHJvbmljLXJlc291cmNlLW51bT48
cmVtb3RlLWRhdGFiYXNlLW5hbWU+U2NvcHVzPC9yZW1vdGUtZGF0YWJhc2UtbmFtZT48L3JlY29y
ZD48L0NpdGU+PENpdGU+PEF1dGhvcj5NY0tlZ2FuZXk8L0F1dGhvcj48WWVhcj4yMDE4PC9ZZWFy
PjxSZWNOdW0+NjM0MTwvUmVjTnVtPjxyZWNvcmQ+PHJlYy1udW1iZXI+NjM0MTwvcmVjLW51bWJl
cj48Zm9yZWlnbi1rZXlzPjxrZXkgYXBwPSJFTiIgZGItaWQ9ImZwdDlwdHRybTV6ZnNhZXNwOWZw
c2RkdjA5ZXdzdjV4ZXdmZCIgdGltZXN0YW1wPSIxNTI1MDQ3MTk2Ij42MzQxPC9rZXk+PGtleSBh
cHA9IkVOV2ViIiBkYi1pZD0iIj4wPC9rZXk+PC9mb3JlaWduLWtleXM+PHJlZi10eXBlIG5hbWU9
IkpvdXJuYWwgQXJ0aWNsZSI+MTc8L3JlZi10eXBlPjxjb250cmlidXRvcnM+PGF1dGhvcnM+PGF1
dGhvcj5NY0tlZ2FuZXksIE4uPC9hdXRob3I+PGF1dGhvcj5CYXJuYXJkLCBNLjwvYXV0aG9yPjxh
dXRob3I+UnVzc2VsbCwgQy48L2F1dGhvcj48L2F1dGhvcnM+PC9jb250cmlidXRvcnM+PHRpdGxl
cz48dGl0bGU+VmFwZXJzIGFuZCB2YXBpbmc6IEUtY2lnYXJldHRlcyB1c2VycyB2aWV3cyBvZiB2
YXBpbmcgYW5kIHNtb2tpbmc8L3RpdGxlPjxzZWNvbmRhcnktdGl0bGU+RHJ1Z3M6IEVkdWNhdGlv
biwgUHJldmVudGlvbiBhbmQgUG9saWN5PC9zZWNvbmRhcnktdGl0bGU+PC90aXRsZXM+PHBlcmlv
ZGljYWw+PGZ1bGwtdGl0bGU+RHJ1Z3M6IEVkdWNhdGlvbiwgUHJldmVudGlvbiBhbmQgUG9saWN5
PC9mdWxsLXRpdGxlPjwvcGVyaW9kaWNhbD48cGFnZXM+MTMtMjA8L3BhZ2VzPjx2b2x1bWU+MjU8
L3ZvbHVtZT48bnVtYmVyPjE8L251bWJlcj48a2V5d29yZHM+PGtleXdvcmQ+YWRvbGVzY2VudDwv
a2V5d29yZD48a2V5d29yZD5hZHVsdDwva2V5d29yZD48a2V5d29yZD5jbGluaWNhbCBzdHVkeTwv
a2V5d29yZD48a2V5d29yZD5jb250cm9sbGVkIHN0dWR5PC9rZXl3b3JkPjxrZXl3b3JkPmZsYXZv
cjwva2V5d29yZD48a2V5d29yZD5oYXJtIHJlZHVjdGlvbjwva2V5d29yZD48a2V5d29yZD5odW1h
bjwva2V5d29yZD48a2V5d29yZD5odW1hbiB0aXNzdWU8L2tleXdvcmQ+PGtleXdvcmQ+b2Rvcjwv
a2V5d29yZD48a2V5d29yZD5wZXJjZXB0aW9uPC9rZXl3b3JkPjxrZXl3b3JkPnB1YmxpYyBoZWFs
dGg8L2tleXdvcmQ+PGtleXdvcmQ+c3RpZ21hPC9rZXl3b3JkPjxrZXl3b3JkPnZhcGluZzwva2V5
d29yZD48L2tleXdvcmRzPjxkYXRlcz48eWVhcj4yMDE4PC95ZWFyPjwvZGF0ZXM+PHVybHM+PHJl
bGF0ZWQtdXJscz48dXJsPmh0dHBzOi8vd3d3LnNjb3B1cy5jb20vaW53YXJkL3JlY29yZC51cmk/
ZWlkPTItczIuMC04NTAxNDU3MDY0OCZhbXA7ZG9pPTEwLjEwODAlMmYwOTY4NzYzNy4yMDE3LjEy
OTY5MzMmYW1wO3BhcnRuZXJJRD00MCZhbXA7bWQ1PWVhODJmOTU1ZjkwOGMyZWU2NGExYTEyNDEx
Yjc1ZmY4PC91cmw+PHVybD5odHRwczovL3d3dy50YW5kZm9ubGluZS5jb20vZG9pL3BkZi8xMC4x
MDgwLzA5Njg3NjM3LjIwMTcuMTI5NjkzMz9uZWVkQWNjZXNzPXRydWU8L3VybD48L3JlbGF0ZWQt
dXJscz48L3VybHM+PGVsZWN0cm9uaWMtcmVzb3VyY2UtbnVtPjEwLjEwODAvMDk2ODc2MzcuMjAx
Ny4xMjk2OTMzPC9lbGVjdHJvbmljLXJlc291cmNlLW51bT48cmVtb3RlLWRhdGFiYXNlLW5hbWU+
U2NvcHVzPC9yZW1vdGUtZGF0YWJhc2UtbmFtZT48L3JlY29yZD48L0NpdGU+PC9FbmROb3RlPn==
</w:fldData>
        </w:fldChar>
      </w:r>
      <w:r>
        <w:instrText xml:space="preserve"> ADDIN EN.CITE.DATA </w:instrText>
      </w:r>
      <w:r>
        <w:fldChar w:fldCharType="end"/>
      </w:r>
      <w:r>
        <w:fldChar w:fldCharType="separate"/>
      </w:r>
      <w:r>
        <w:rPr>
          <w:noProof/>
        </w:rPr>
        <w:t>(Clarke and Lusher 2017, McKeganey, Barnard et al. 2018)</w:t>
      </w:r>
      <w:r>
        <w:fldChar w:fldCharType="end"/>
      </w:r>
      <w:r>
        <w:t xml:space="preserve">. </w:t>
      </w:r>
    </w:p>
    <w:p w14:paraId="306118DD" w14:textId="77777777" w:rsidR="00673D5A" w:rsidRDefault="00673D5A" w:rsidP="00673D5A">
      <w:pPr>
        <w:pStyle w:val="BodyText"/>
      </w:pPr>
    </w:p>
    <w:p w14:paraId="1803AD94" w14:textId="718E670F" w:rsidR="00673D5A" w:rsidRDefault="00AC7702" w:rsidP="00673D5A">
      <w:pPr>
        <w:pStyle w:val="BodyText"/>
      </w:pPr>
      <w:r>
        <w:t xml:space="preserve">An </w:t>
      </w:r>
      <w:r w:rsidR="0023535D">
        <w:t>a</w:t>
      </w:r>
      <w:r w:rsidR="00673D5A">
        <w:t xml:space="preserve">nalysis of the </w:t>
      </w:r>
      <w:r w:rsidR="0023535D">
        <w:t xml:space="preserve">Health Survey for England </w:t>
      </w:r>
      <w:r w:rsidR="0023535D" w:rsidRPr="0071482E">
        <w:t>2013–2014</w:t>
      </w:r>
      <w:r w:rsidR="0023535D">
        <w:t xml:space="preserve"> was available </w:t>
      </w:r>
      <w:r>
        <w:t xml:space="preserve">as </w:t>
      </w:r>
      <w:r w:rsidR="0023535D">
        <w:t>a</w:t>
      </w:r>
      <w:r w:rsidR="00673D5A">
        <w:t xml:space="preserve"> conference abstract only </w:t>
      </w:r>
      <w:r w:rsidR="00673D5A">
        <w:fldChar w:fldCharType="begin"/>
      </w:r>
      <w:r w:rsidR="00673D5A">
        <w:instrText xml:space="preserve"> ADDIN EN.CITE &lt;EndNote&gt;&lt;Cite&gt;&lt;Author&gt;Fat&lt;/Author&gt;&lt;Year&gt;2017&lt;/Year&gt;&lt;RecNum&gt;1885&lt;/RecNum&gt;&lt;DisplayText&gt;(Fat, Scholes et al. 2017)&lt;/DisplayText&gt;&lt;record&gt;&lt;rec-number&gt;1885&lt;/rec-number&gt;&lt;foreign-keys&gt;&lt;key app="EN" db-id="9z05dz0praadfuee0zoxzedk9zfe5fxx50z5" timestamp="1521507196"&gt;1885&lt;/key&gt;&lt;key app="ENWeb" db-id=""&gt;0&lt;/key&gt;&lt;/foreign-keys&gt;&lt;ref-type name="Journal Article"&gt;17&lt;/ref-type&gt;&lt;contributors&gt;&lt;authors&gt;&lt;author&gt;Fat, L. Ng&lt;/author&gt;&lt;author&gt;Scholes, S.&lt;/author&gt;&lt;author&gt;Mindell, J. S.&lt;/author&gt;&lt;/authors&gt;&lt;/contributors&gt;&lt;titles&gt;&lt;title&gt;Motivation to quit smoking and changes in cigarette consumption, among smokers who use e-cigarettes, findings from the health survey for england&lt;/title&gt;&lt;secondary-title&gt;Journal of Epidemiology and Community Health&lt;/secondary-title&gt;&lt;/titles&gt;&lt;periodical&gt;&lt;full-title&gt;Journal of Epidemiology and Community Health&lt;/full-title&gt;&lt;/periodical&gt;&lt;pages&gt;A33-A33&lt;/pages&gt;&lt;volume&gt;71&lt;/volume&gt;&lt;dates&gt;&lt;year&gt;2017&lt;/year&gt;&lt;pub-dates&gt;&lt;date&gt;Sep&lt;/date&gt;&lt;/pub-dates&gt;&lt;/dates&gt;&lt;isbn&gt;0143-005X&lt;/isbn&gt;&lt;accession-num&gt;WOS:000419440300066&lt;/accession-num&gt;&lt;urls&gt;&lt;related-urls&gt;&lt;url&gt;&amp;lt;Go to ISI&amp;gt;://WOS:000419440300066&lt;/url&gt;&lt;/related-urls&gt;&lt;/urls&gt;&lt;electronic-resource-num&gt;10.1136/jech-2017-SSMAbstracts.65&lt;/electronic-resource-num&gt;&lt;/record&gt;&lt;/Cite&gt;&lt;/EndNote&gt;</w:instrText>
      </w:r>
      <w:r w:rsidR="00673D5A">
        <w:fldChar w:fldCharType="separate"/>
      </w:r>
      <w:r w:rsidR="00673D5A">
        <w:rPr>
          <w:noProof/>
        </w:rPr>
        <w:t>(Fat, Scholes et al. 2017)</w:t>
      </w:r>
      <w:r w:rsidR="00673D5A">
        <w:fldChar w:fldCharType="end"/>
      </w:r>
      <w:r>
        <w:t xml:space="preserve"> and examined 3,039 current smokers aged 16 years and older</w:t>
      </w:r>
      <w:r w:rsidR="00673D5A">
        <w:t xml:space="preserve">. </w:t>
      </w:r>
      <w:r>
        <w:t>It found that 12% were current users and 20% were past users of e</w:t>
      </w:r>
      <w:r>
        <w:noBreakHyphen/>
        <w:t xml:space="preserve">cigarettes. Compared to ‘never-use’ of e-cigarettes, current use was not associated with age, while past use was associated with being younger. Conversely, current and past users of other nicotine delivery devices were more likely to be older than smokers who had never used other nicotine delivery devices. </w:t>
      </w:r>
    </w:p>
    <w:p w14:paraId="6026D1B1" w14:textId="77777777" w:rsidR="00673D5A" w:rsidRDefault="00673D5A" w:rsidP="00673D5A">
      <w:pPr>
        <w:pStyle w:val="BodyText"/>
      </w:pPr>
    </w:p>
    <w:p w14:paraId="4C4765B7" w14:textId="77777777" w:rsidR="00673D5A" w:rsidRDefault="00673D5A" w:rsidP="00673D5A">
      <w:pPr>
        <w:pStyle w:val="BodyText"/>
      </w:pPr>
      <w:r>
        <w:t xml:space="preserve">Data taken from the intervention program were collected across a 4-year period from control schools (those who did not have an active intervention) </w:t>
      </w:r>
      <w:r>
        <w:fldChar w:fldCharType="begin">
          <w:fldData xml:space="preserve">PEVuZE5vdGU+PENpdGU+PEF1dGhvcj5Db25uZXI8L0F1dGhvcj48WWVhcj4yMDE3PC9ZZWFyPjxS
ZWNOdW0+NjM2NjwvUmVjTnVtPjxEaXNwbGF5VGV4dD4oQ29ubmVyLCBHcm9nYW4gZXQgYWwuIDIw
MTcpPC9EaXNwbGF5VGV4dD48cmVjb3JkPjxyZWMtbnVtYmVyPjYzNjY8L3JlYy1udW1iZXI+PGZv
cmVpZ24ta2V5cz48a2V5IGFwcD0iRU4iIGRiLWlkPSJmcHQ5cHR0cm01emZzYWVzcDlmcHNkZHYw
OWV3c3Y1eGV3ZmQiIHRpbWVzdGFtcD0iMTUyNTA0NzgyMyI+NjM2Njwva2V5PjxrZXkgYXBwPSJF
TldlYiIgZGItaWQ9IiI+MDwva2V5PjwvZm9yZWlnbi1rZXlzPjxyZWYtdHlwZSBuYW1lPSJKb3Vy
bmFsIEFydGljbGUiPjE3PC9yZWYtdHlwZT48Y29udHJpYnV0b3JzPjxhdXRob3JzPjxhdXRob3I+
Q29ubmVyLCBNLjwvYXV0aG9yPjxhdXRob3I+R3JvZ2FuLCBTLjwvYXV0aG9yPjxhdXRob3I+U2lt
bXMtRWxsaXMsIFIuPC9hdXRob3I+PGF1dGhvcj5GbGV0dCwgSy48L2F1dGhvcj48YXV0aG9yPlN5
a2VzLU11c2tldHQsIEIuPC9hdXRob3I+PGF1dGhvcj5Db3dhcCwgTC48L2F1dGhvcj48YXV0aG9y
Pkxhd3RvbiwgUi48L2F1dGhvcj48YXV0aG9yPkFybWl0YWdlLCBDLiBKLjwvYXV0aG9yPjxhdXRo
b3I+TWVhZHMsIEQuPC9hdXRob3I+PGF1dGhvcj5Ub3JnZXJzb24sIEMuPC9hdXRob3I+PGF1dGhv
cj5XZXN0LCBSLjwvYXV0aG9yPjxhdXRob3I+U2lkZGlxaSwgSy48L2F1dGhvcj48L2F1dGhvcnM+
PC9jb250cmlidXRvcnM+PGF1dGgtYWRkcmVzcz5TY2hvb2wgb2YgUHN5Y2hvbG9neSwgVW5pdmVy
c2l0eSBvZiBMZWVkcywgTGVlZHMsIFVLLiYjeEQ7RGVwYXJ0bWVudCBvZiBQc3ljaG9sb2d5LCBN
YW5jaGVzdGVyIE1ldHJvcG9saXRhbiBVbml2ZXJzaXR5LCBNYW5jaGVzdGVyLCBVSy4mI3hEO0Nl
bnRyZSBmb3IgSGVhbHRoIFBzeWNob2xvZ3ksIFRoZSBTY2llbmNlIENlbnRyZSwgU3RhZmZvcmRz
aGlyZSBVbml2ZXJzaXR5LCBTdG9rZS1vbi1UcmVudCwgVUsuJiN4RDtEaXZpc2lvbiBvZiBQc3lj
aG9sb2d5IGFuZCBNZW50YWwgSGVhbHRoLCBNYW5jaGVzdGVyIENlbnRyZSBmb3IgSGVhbHRoIFBz
eWNob2xvZ3ksIE1hbmNoZXN0ZXIgQWNhZGVtaWMgSGVhbHRoIFNjaWVuY2UgQ2VudHJlLCBVbml2
ZXJzaXR5IG9mIE1hbmNoZXN0ZXIsIE1hbmNoZXN0ZXIsIFVLLiYjeEQ7SW5zdGl0dXRlIG9mIEhl
YWx0aCBTY2llbmNlcywgVW5pdmVyc2l0eSBvZiBMZWVkcywgTGVlZHMsIFVLLiYjeEQ7U2Nob29s
IG9mIEVkdWNhdGlvbiwgRHVyaGFtIFVuaXZlcnNpdHksIER1cmhhbSwgVUsuJiN4RDtEZXBhcnRt
ZW50IG9mIEhlYWx0aCBTY2llbmNlcywgVW5pdmVyc2l0eSBvZiBZb3JrLCBZb3JrLCBVSy48L2F1
dGgtYWRkcmVzcz48dGl0bGVzPjx0aXRsZT5EbyBlbGVjdHJvbmljIGNpZ2FyZXR0ZXMgaW5jcmVh
c2UgY2lnYXJldHRlIHNtb2tpbmcgaW4gVUsgYWRvbGVzY2VudHM/IEV2aWRlbmNlIGZyb20gYSAx
Mi1tb250aCBwcm9zcGVjdGl2ZSBzdHVkeTwvdGl0bGU+PHNlY29uZGFyeS10aXRsZT5Ub2IgQ29u
dHJvbDwvc2Vjb25kYXJ5LXRpdGxlPjxhbHQtdGl0bGU+VG9iYWNjbyBjb250cm9sPC9hbHQtdGl0
bGU+PC90aXRsZXM+PGFsdC1wZXJpb2RpY2FsPjxmdWxsLXRpdGxlPlRvYmFjY28gQ29udHJvbDwv
ZnVsbC10aXRsZT48L2FsdC1wZXJpb2RpY2FsPjxlZGl0aW9uPjIwMTcvMDgvMTk8L2VkaXRpb24+
PGtleXdvcmRzPjxrZXl3b3JkPmUtY2lnYXJldHRlczwva2V5d29yZD48a2V5d29yZD5lbGVjdHJv
bmljIG5pY290aW5lIGRlbGl2ZXJ5IHN5c3RlbXM8L2tleXdvcmQ+PGtleXdvcmQ+aGFybSByZWR1
Y3Rpb248L2tleXdvcmQ+PGtleXdvcmQ+cHJldmVudGlvbjwva2V5d29yZD48a2V5d29yZD5zbW9r
aW5nPC9rZXl3b3JkPjxrZXl3b3JkPlByZXZlbnRpb24gUmVzZWFyY2ggSW5pdGlhdGl2ZSBkdXJp
bmcgdGhlIHN0dWR5LiBUaGUgYXV0aG9ycyBoYXZlIG5vIGNvbmZsaWN0cyBvZjwva2V5d29yZD48
a2V5d29yZD5pbnRlcmVzdC48L2tleXdvcmQ+PC9rZXl3b3Jkcz48ZGF0ZXM+PHllYXI+MjAxNzwv
eWVhcj48cHViLWRhdGVzPjxkYXRlPkF1ZyAxNzwvZGF0ZT48L3B1Yi1kYXRlcz48L2RhdGVzPjxp
c2JuPjA5NjQtNDU2MzwvaXNibj48YWNjZXNzaW9uLW51bT4yODgxODgzOTwvYWNjZXNzaW9uLW51
bT48dXJscz48cmVsYXRlZC11cmxzPjx1cmw+aHR0cDovL3RvYmFjY29jb250cm9sLmJtai5jb20v
Y29udGVudC90b2JhY2NvY29udHJvbC9lYXJseS8yMDE3LzA3LzI4L3RvYmFjY29jb250cm9sLTIw
MTYtMDUzNTM5LmZ1bGwucGRmPC91cmw+PC9yZWxhdGVkLXVybHM+PC91cmxzPjxlbGVjdHJvbmlj
LXJlc291cmNlLW51bT4xMC4xMTM2L3RvYmFjY29jb250cm9sLTIwMTYtMDUzNTM5PC9lbGVjdHJv
bmljLXJlc291cmNlLW51bT48cmVtb3RlLWRhdGFiYXNlLXByb3ZpZGVyPk5MTTwvcmVtb3RlLWRh
dGFiYXNlLXByb3ZpZGVyPjxsYW5ndWFnZT5lbmc8L2xhbmd1YWdlPjwvcmVjb3JkPjwvQ2l0ZT48
L0VuZE5vdGU+AG==
</w:fldData>
        </w:fldChar>
      </w:r>
      <w:r>
        <w:instrText xml:space="preserve"> ADDIN EN.CITE </w:instrText>
      </w:r>
      <w:r>
        <w:fldChar w:fldCharType="begin">
          <w:fldData xml:space="preserve">PEVuZE5vdGU+PENpdGU+PEF1dGhvcj5Db25uZXI8L0F1dGhvcj48WWVhcj4yMDE3PC9ZZWFyPjxS
ZWNOdW0+NjM2NjwvUmVjTnVtPjxEaXNwbGF5VGV4dD4oQ29ubmVyLCBHcm9nYW4gZXQgYWwuIDIw
MTcpPC9EaXNwbGF5VGV4dD48cmVjb3JkPjxyZWMtbnVtYmVyPjYzNjY8L3JlYy1udW1iZXI+PGZv
cmVpZ24ta2V5cz48a2V5IGFwcD0iRU4iIGRiLWlkPSJmcHQ5cHR0cm01emZzYWVzcDlmcHNkZHYw
OWV3c3Y1eGV3ZmQiIHRpbWVzdGFtcD0iMTUyNTA0NzgyMyI+NjM2Njwva2V5PjxrZXkgYXBwPSJF
TldlYiIgZGItaWQ9IiI+MDwva2V5PjwvZm9yZWlnbi1rZXlzPjxyZWYtdHlwZSBuYW1lPSJKb3Vy
bmFsIEFydGljbGUiPjE3PC9yZWYtdHlwZT48Y29udHJpYnV0b3JzPjxhdXRob3JzPjxhdXRob3I+
Q29ubmVyLCBNLjwvYXV0aG9yPjxhdXRob3I+R3JvZ2FuLCBTLjwvYXV0aG9yPjxhdXRob3I+U2lt
bXMtRWxsaXMsIFIuPC9hdXRob3I+PGF1dGhvcj5GbGV0dCwgSy48L2F1dGhvcj48YXV0aG9yPlN5
a2VzLU11c2tldHQsIEIuPC9hdXRob3I+PGF1dGhvcj5Db3dhcCwgTC48L2F1dGhvcj48YXV0aG9y
Pkxhd3RvbiwgUi48L2F1dGhvcj48YXV0aG9yPkFybWl0YWdlLCBDLiBKLjwvYXV0aG9yPjxhdXRo
b3I+TWVhZHMsIEQuPC9hdXRob3I+PGF1dGhvcj5Ub3JnZXJzb24sIEMuPC9hdXRob3I+PGF1dGhv
cj5XZXN0LCBSLjwvYXV0aG9yPjxhdXRob3I+U2lkZGlxaSwgSy48L2F1dGhvcj48L2F1dGhvcnM+
PC9jb250cmlidXRvcnM+PGF1dGgtYWRkcmVzcz5TY2hvb2wgb2YgUHN5Y2hvbG9neSwgVW5pdmVy
c2l0eSBvZiBMZWVkcywgTGVlZHMsIFVLLiYjeEQ7RGVwYXJ0bWVudCBvZiBQc3ljaG9sb2d5LCBN
YW5jaGVzdGVyIE1ldHJvcG9saXRhbiBVbml2ZXJzaXR5LCBNYW5jaGVzdGVyLCBVSy4mI3hEO0Nl
bnRyZSBmb3IgSGVhbHRoIFBzeWNob2xvZ3ksIFRoZSBTY2llbmNlIENlbnRyZSwgU3RhZmZvcmRz
aGlyZSBVbml2ZXJzaXR5LCBTdG9rZS1vbi1UcmVudCwgVUsuJiN4RDtEaXZpc2lvbiBvZiBQc3lj
aG9sb2d5IGFuZCBNZW50YWwgSGVhbHRoLCBNYW5jaGVzdGVyIENlbnRyZSBmb3IgSGVhbHRoIFBz
eWNob2xvZ3ksIE1hbmNoZXN0ZXIgQWNhZGVtaWMgSGVhbHRoIFNjaWVuY2UgQ2VudHJlLCBVbml2
ZXJzaXR5IG9mIE1hbmNoZXN0ZXIsIE1hbmNoZXN0ZXIsIFVLLiYjeEQ7SW5zdGl0dXRlIG9mIEhl
YWx0aCBTY2llbmNlcywgVW5pdmVyc2l0eSBvZiBMZWVkcywgTGVlZHMsIFVLLiYjeEQ7U2Nob29s
IG9mIEVkdWNhdGlvbiwgRHVyaGFtIFVuaXZlcnNpdHksIER1cmhhbSwgVUsuJiN4RDtEZXBhcnRt
ZW50IG9mIEhlYWx0aCBTY2llbmNlcywgVW5pdmVyc2l0eSBvZiBZb3JrLCBZb3JrLCBVSy48L2F1
dGgtYWRkcmVzcz48dGl0bGVzPjx0aXRsZT5EbyBlbGVjdHJvbmljIGNpZ2FyZXR0ZXMgaW5jcmVh
c2UgY2lnYXJldHRlIHNtb2tpbmcgaW4gVUsgYWRvbGVzY2VudHM/IEV2aWRlbmNlIGZyb20gYSAx
Mi1tb250aCBwcm9zcGVjdGl2ZSBzdHVkeTwvdGl0bGU+PHNlY29uZGFyeS10aXRsZT5Ub2IgQ29u
dHJvbDwvc2Vjb25kYXJ5LXRpdGxlPjxhbHQtdGl0bGU+VG9iYWNjbyBjb250cm9sPC9hbHQtdGl0
bGU+PC90aXRsZXM+PGFsdC1wZXJpb2RpY2FsPjxmdWxsLXRpdGxlPlRvYmFjY28gQ29udHJvbDwv
ZnVsbC10aXRsZT48L2FsdC1wZXJpb2RpY2FsPjxlZGl0aW9uPjIwMTcvMDgvMTk8L2VkaXRpb24+
PGtleXdvcmRzPjxrZXl3b3JkPmUtY2lnYXJldHRlczwva2V5d29yZD48a2V5d29yZD5lbGVjdHJv
bmljIG5pY290aW5lIGRlbGl2ZXJ5IHN5c3RlbXM8L2tleXdvcmQ+PGtleXdvcmQ+aGFybSByZWR1
Y3Rpb248L2tleXdvcmQ+PGtleXdvcmQ+cHJldmVudGlvbjwva2V5d29yZD48a2V5d29yZD5zbW9r
aW5nPC9rZXl3b3JkPjxrZXl3b3JkPlByZXZlbnRpb24gUmVzZWFyY2ggSW5pdGlhdGl2ZSBkdXJp
bmcgdGhlIHN0dWR5LiBUaGUgYXV0aG9ycyBoYXZlIG5vIGNvbmZsaWN0cyBvZjwva2V5d29yZD48
a2V5d29yZD5pbnRlcmVzdC48L2tleXdvcmQ+PC9rZXl3b3Jkcz48ZGF0ZXM+PHllYXI+MjAxNzwv
eWVhcj48cHViLWRhdGVzPjxkYXRlPkF1ZyAxNzwvZGF0ZT48L3B1Yi1kYXRlcz48L2RhdGVzPjxp
c2JuPjA5NjQtNDU2MzwvaXNibj48YWNjZXNzaW9uLW51bT4yODgxODgzOTwvYWNjZXNzaW9uLW51
bT48dXJscz48cmVsYXRlZC11cmxzPjx1cmw+aHR0cDovL3RvYmFjY29jb250cm9sLmJtai5jb20v
Y29udGVudC90b2JhY2NvY29udHJvbC9lYXJseS8yMDE3LzA3LzI4L3RvYmFjY29jb250cm9sLTIw
MTYtMDUzNTM5LmZ1bGwucGRmPC91cmw+PC9yZWxhdGVkLXVybHM+PC91cmxzPjxlbGVjdHJvbmlj
LXJlc291cmNlLW51bT4xMC4xMTM2L3RvYmFjY29jb250cm9sLTIwMTYtMDUzNTM5PC9lbGVjdHJv
bmljLXJlc291cmNlLW51bT48cmVtb3RlLWRhdGFiYXNlLXByb3ZpZGVyPk5MTTwvcmVtb3RlLWRh
dGFiYXNlLXByb3ZpZGVyPjxsYW5ndWFnZT5lbmc8L2xhbmd1YWdlPjwvcmVjb3JkPjwvQ2l0ZT48
L0VuZE5vdGU+AG==
</w:fldData>
        </w:fldChar>
      </w:r>
      <w:r>
        <w:instrText xml:space="preserve"> ADDIN EN.CITE.DATA </w:instrText>
      </w:r>
      <w:r>
        <w:fldChar w:fldCharType="end"/>
      </w:r>
      <w:r>
        <w:fldChar w:fldCharType="separate"/>
      </w:r>
      <w:r>
        <w:rPr>
          <w:noProof/>
        </w:rPr>
        <w:t>(Conner, Grogan et al. 2017)</w:t>
      </w:r>
      <w:r>
        <w:fldChar w:fldCharType="end"/>
      </w:r>
      <w:r>
        <w:t>. Conner et al used these data to model prediction of e</w:t>
      </w:r>
      <w:r>
        <w:noBreakHyphen/>
        <w:t>cigarette initiation. Reported ever-use of e</w:t>
      </w:r>
      <w:r>
        <w:noBreakHyphen/>
        <w:t>cigarettes was 34.2% in their sample of 2,836 adolescents. Initiation was predicted by having ever used e</w:t>
      </w:r>
      <w:r>
        <w:noBreakHyphen/>
        <w:t xml:space="preserve">cigarettes. It was also high in those who had a few or most friends and/or family who smoked. Intentions to not smoke appeared protective. Ever-use in this sample was in the vicinity of similar age groups from the SALSUS survey (32%) but higher than those reported in other samples in the Public Health England report (YTPS reported 17%) </w:t>
      </w:r>
      <w:r>
        <w:fldChar w:fldCharType="begin"/>
      </w:r>
      <w:r>
        <w:instrText xml:space="preserve"> ADDIN EN.CITE &lt;EndNote&gt;&lt;Cite&gt;&lt;Author&gt;McNeill A&lt;/Author&gt;&lt;Year&gt;2018&lt;/Year&gt;&lt;RecNum&gt;9330&lt;/RecNum&gt;&lt;DisplayText&gt;(McNeill A 2018)&lt;/DisplayText&gt;&lt;record&gt;&lt;rec-number&gt;9330&lt;/rec-number&gt;&lt;foreign-keys&gt;&lt;key app="EN" db-id="9z05dz0praadfuee0zoxzedk9zfe5fxx50z5" timestamp="1524019080"&gt;9330&lt;/key&gt;&lt;key app="ENWeb" db-id=""&gt;0&lt;/key&gt;&lt;/foreign-keys&gt;&lt;ref-type name="Report"&gt;27&lt;/ref-type&gt;&lt;contributors&gt;&lt;authors&gt;&lt;author&gt;McNeill A,  Brose. L., Calder R,  Bauld L, Robson D.&lt;/author&gt;&lt;/authors&gt;&lt;/contributors&gt;&lt;titles&gt;&lt;title&gt;Evidence Review of e-cigarettes and heated tobacco products 2018. A Report commissioned by Public Health England.&lt;/title&gt;&lt;/titles&gt;&lt;dates&gt;&lt;year&gt;2018&lt;/year&gt;&lt;/dates&gt;&lt;pub-location&gt;London&lt;/pub-location&gt;&lt;publisher&gt;Public Health England&lt;/publisher&gt;&lt;urls&gt;&lt;related-urls&gt;&lt;url&gt;https://www.gov.uk/government/publications/e-cigarettes-and-heated-tobacco-products-evidence-review&lt;/url&gt;&lt;/related-urls&gt;&lt;/urls&gt;&lt;/record&gt;&lt;/Cite&gt;&lt;/EndNote&gt;</w:instrText>
      </w:r>
      <w:r>
        <w:fldChar w:fldCharType="separate"/>
      </w:r>
      <w:r>
        <w:rPr>
          <w:noProof/>
        </w:rPr>
        <w:t>(McNeill A 2018)</w:t>
      </w:r>
      <w:r>
        <w:fldChar w:fldCharType="end"/>
      </w:r>
      <w:r>
        <w:t xml:space="preserve">. </w:t>
      </w:r>
    </w:p>
    <w:p w14:paraId="6A160554" w14:textId="77777777" w:rsidR="00673D5A" w:rsidRDefault="00673D5A" w:rsidP="00673D5A">
      <w:pPr>
        <w:pStyle w:val="BodyText"/>
      </w:pPr>
    </w:p>
    <w:p w14:paraId="69D75E46" w14:textId="4CBCC349" w:rsidR="00673D5A" w:rsidRDefault="00673D5A" w:rsidP="00673D5A">
      <w:pPr>
        <w:pStyle w:val="BodyText"/>
      </w:pPr>
      <w:r>
        <w:t>The final two papers explore reasons for initiation of use of e</w:t>
      </w:r>
      <w:r>
        <w:noBreakHyphen/>
        <w:t xml:space="preserve">cigarettes. McKeganey et al </w:t>
      </w:r>
      <w:r>
        <w:fldChar w:fldCharType="begin"/>
      </w:r>
      <w:r>
        <w:instrText xml:space="preserve"> ADDIN EN.CITE &lt;EndNote&gt;&lt;Cite&gt;&lt;Author&gt;McKeganey&lt;/Author&gt;&lt;Year&gt;2018&lt;/Year&gt;&lt;RecNum&gt;6341&lt;/RecNum&gt;&lt;DisplayText&gt;(McKeganey, Barnard et al. 2018)&lt;/DisplayText&gt;&lt;record&gt;&lt;rec-number&gt;6341&lt;/rec-number&gt;&lt;foreign-keys&gt;&lt;key app="EN" db-id="fpt9pttrm5zfsaesp9fpsddv09ewsv5xewfd" timestamp="1525047196"&gt;6341&lt;/key&gt;&lt;key app="ENWeb" db-id=""&gt;0&lt;/key&gt;&lt;/foreign-keys&gt;&lt;ref-type name="Journal Article"&gt;17&lt;/ref-type&gt;&lt;contributors&gt;&lt;authors&gt;&lt;author&gt;McKeganey, N.&lt;/author&gt;&lt;author&gt;Barnard, M.&lt;/author&gt;&lt;author&gt;Russell, C.&lt;/author&gt;&lt;/authors&gt;&lt;/contributors&gt;&lt;titles&gt;&lt;title&gt;Vapers and vaping: E-cigarettes users views of vaping and smoking&lt;/title&gt;&lt;secondary-title&gt;Drugs: Education, Prevention and Policy&lt;/secondary-title&gt;&lt;/titles&gt;&lt;periodical&gt;&lt;full-title&gt;Drugs: Education, Prevention and Policy&lt;/full-title&gt;&lt;/periodical&gt;&lt;pages&gt;13-20&lt;/pages&gt;&lt;volume&gt;25&lt;/volume&gt;&lt;number&gt;1&lt;/number&gt;&lt;keywords&gt;&lt;keyword&gt;adolescent&lt;/keyword&gt;&lt;keyword&gt;adult&lt;/keyword&gt;&lt;keyword&gt;clinical study&lt;/keyword&gt;&lt;keyword&gt;controlled study&lt;/keyword&gt;&lt;keyword&gt;flavor&lt;/keyword&gt;&lt;keyword&gt;harm reduction&lt;/keyword&gt;&lt;keyword&gt;human&lt;/keyword&gt;&lt;keyword&gt;human tissue&lt;/keyword&gt;&lt;keyword&gt;odor&lt;/keyword&gt;&lt;keyword&gt;perception&lt;/keyword&gt;&lt;keyword&gt;public health&lt;/keyword&gt;&lt;keyword&gt;stigma&lt;/keyword&gt;&lt;keyword&gt;vaping&lt;/keyword&gt;&lt;/keywords&gt;&lt;dates&gt;&lt;year&gt;2018&lt;/year&gt;&lt;/dates&gt;&lt;urls&gt;&lt;related-urls&gt;&lt;url&gt;https://www.scopus.com/inward/record.uri?eid=2-s2.0-85014570648&amp;amp;doi=10.1080%2f09687637.2017.1296933&amp;amp;partnerID=40&amp;amp;md5=ea82f955f908c2ee64a1a12411b75ff8&lt;/url&gt;&lt;url&gt;https://www.tandfonline.com/doi/pdf/10.1080/09687637.2017.1296933?needAccess=true&lt;/url&gt;&lt;/related-urls&gt;&lt;/urls&gt;&lt;electronic-resource-num&gt;10.1080/09687637.2017.1296933&lt;/electronic-resource-num&gt;&lt;remote-database-name&gt;Scopus&lt;/remote-database-name&gt;&lt;/record&gt;&lt;/Cite&gt;&lt;/EndNote&gt;</w:instrText>
      </w:r>
      <w:r>
        <w:fldChar w:fldCharType="separate"/>
      </w:r>
      <w:r>
        <w:rPr>
          <w:noProof/>
        </w:rPr>
        <w:t>(McKeganey, Barnard et al. 2018)</w:t>
      </w:r>
      <w:r>
        <w:fldChar w:fldCharType="end"/>
      </w:r>
      <w:r>
        <w:t xml:space="preserve"> used semi-structured interviews with 50 young adults who use e</w:t>
      </w:r>
      <w:r>
        <w:noBreakHyphen/>
        <w:t xml:space="preserve">cigarettes. People in interviews reinforced observations seen in US data (page 59 of the Surgeon General’s report), that vaping is perceived as being associated with lower levels of harm than smoking. It also suggested, as US data did, that people had initiated </w:t>
      </w:r>
      <w:r w:rsidR="002B2612">
        <w:t xml:space="preserve">use </w:t>
      </w:r>
      <w:r>
        <w:t xml:space="preserve">through social contacts. </w:t>
      </w:r>
    </w:p>
    <w:p w14:paraId="06489FD1" w14:textId="77777777" w:rsidR="00673D5A" w:rsidRDefault="00673D5A" w:rsidP="00673D5A">
      <w:pPr>
        <w:pStyle w:val="BodyText"/>
      </w:pPr>
    </w:p>
    <w:p w14:paraId="2B27B61F" w14:textId="77777777" w:rsidR="00673D5A" w:rsidRDefault="00673D5A" w:rsidP="00673D5A">
      <w:pPr>
        <w:pStyle w:val="BodyText"/>
      </w:pPr>
      <w:r>
        <w:t xml:space="preserve">The final study was an investigator developed survey performed in schools throughout the UK </w:t>
      </w:r>
      <w:r>
        <w:fldChar w:fldCharType="begin"/>
      </w:r>
      <w:r>
        <w:instrText xml:space="preserve"> ADDIN EN.CITE &lt;EndNote&gt;&lt;Cite&gt;&lt;Author&gt;Clarke&lt;/Author&gt;&lt;Year&gt;2017&lt;/Year&gt;&lt;RecNum&gt;5510&lt;/RecNum&gt;&lt;DisplayText&gt;(Clarke and Lusher 2017)&lt;/DisplayText&gt;&lt;record&gt;&lt;rec-number&gt;5510&lt;/rec-number&gt;&lt;foreign-keys&gt;&lt;key app="EN" db-id="fpt9pttrm5zfsaesp9fpsddv09ewsv5xewfd" timestamp="1525046658"&gt;5510&lt;/key&gt;&lt;key app="ENWeb" db-id=""&gt;0&lt;/key&gt;&lt;/foreign-keys&gt;&lt;ref-type name="Journal Article"&gt;17&lt;/ref-type&gt;&lt;contributors&gt;&lt;authors&gt;&lt;author&gt;Clarke, T. N.&lt;/author&gt;&lt;author&gt;Lusher, J. M.&lt;/author&gt;&lt;/authors&gt;&lt;/contributors&gt;&lt;titles&gt;&lt;title&gt;Willingness to Try Electronic Cigarettes Among UK Adolescents&lt;/title&gt;&lt;secondary-title&gt;Journal of Child and Adolescent Substance Abuse&lt;/secondary-title&gt;&lt;/titles&gt;&lt;periodical&gt;&lt;full-title&gt;Journal of Child and Adolescent Substance Abuse&lt;/full-title&gt;&lt;/periodical&gt;&lt;pages&gt;175-182&lt;/pages&gt;&lt;volume&gt;26&lt;/volume&gt;&lt;number&gt;3&lt;/number&gt;&lt;dates&gt;&lt;year&gt;2017&lt;/year&gt;&lt;/dates&gt;&lt;urls&gt;&lt;related-urls&gt;&lt;url&gt;https://www.scopus.com/inward/record.uri?eid=2-s2.0-85013466620&amp;amp;doi=10.1080%2f1067828X.2016.1242098&amp;amp;partnerID=40&amp;amp;md5=81f2b381f9c4a215792593c558dd9698&lt;/url&gt;&lt;url&gt;https://www.tandfonline.com/doi/pdf/10.1080/1067828X.2016.1242098?needAccess=true&lt;/url&gt;&lt;/related-urls&gt;&lt;/urls&gt;&lt;electronic-resource-num&gt;10.1080/1067828X.2016.1242098&lt;/electronic-resource-num&gt;&lt;remote-database-name&gt;Scopus&lt;/remote-database-name&gt;&lt;/record&gt;&lt;/Cite&gt;&lt;/EndNote&gt;</w:instrText>
      </w:r>
      <w:r>
        <w:fldChar w:fldCharType="separate"/>
      </w:r>
      <w:r>
        <w:rPr>
          <w:noProof/>
        </w:rPr>
        <w:t>(Clarke and Lusher 2017)</w:t>
      </w:r>
      <w:r>
        <w:fldChar w:fldCharType="end"/>
      </w:r>
      <w:r>
        <w:t>. Willingness to try an e</w:t>
      </w:r>
      <w:r>
        <w:noBreakHyphen/>
        <w:t>cigarette was largely predicted by smoking status with those already smoking more willing. The authors also observe that flavours increase appeal to use e</w:t>
      </w:r>
      <w:r>
        <w:noBreakHyphen/>
        <w:t xml:space="preserve">cigarettes for this sample. Both of these observations are established based on larger datasets in the Public Health England report </w:t>
      </w:r>
      <w:r>
        <w:fldChar w:fldCharType="begin"/>
      </w:r>
      <w:r w:rsidR="00903735">
        <w:instrText xml:space="preserve"> ADDIN EN.CITE &lt;EndNote&gt;&lt;Cite&gt;&lt;Author&gt;Stratton&lt;/Author&gt;&lt;Year&gt;2018&lt;/Year&gt;&lt;RecNum&gt;7073&lt;/RecNum&gt;&lt;DisplayText&gt;(Stratton, Kwan et al. 2018)&lt;/DisplayText&gt;&lt;record&gt;&lt;rec-number&gt;7073&lt;/rec-number&gt;&lt;foreign-keys&gt;&lt;key app="EN" db-id="5xv5w5t2bdxtxfezx02xtxdft5rz5ptvvt29" timestamp="1521076678"&gt;7073&lt;/key&gt;&lt;/foreign-keys&gt;&lt;ref-type name="Report"&gt;27&lt;/ref-type&gt;&lt;contributors&gt;&lt;authors&gt;&lt;author&gt;Kathleen Stratton&lt;/author&gt;&lt;author&gt;Leslie Y Kwan&lt;/author&gt;&lt;author&gt;David L Eaton&lt;/author&gt;&lt;/authors&gt;&lt;tertiary-authors&gt;&lt;author&gt;The National Academies Press&lt;/author&gt;&lt;/tertiary-authors&gt;&lt;/contributors&gt;&lt;titles&gt;&lt;title&gt;Public Health Consequences of e-Cigarettes&lt;/title&gt;&lt;/titles&gt;&lt;dates&gt;&lt;year&gt;2018&lt;/year&gt;&lt;/dates&gt;&lt;pub-location&gt;Washington DC&lt;/pub-location&gt;&lt;publisher&gt;Board on Population Health and Public Health Practice, Health and Medicine Division, The National Academies of Sciences, Engineering and Medicine&lt;/publisher&gt;&lt;urls&gt;&lt;/urls&gt;&lt;/record&gt;&lt;/Cite&gt;&lt;/EndNote&gt;</w:instrText>
      </w:r>
      <w:r>
        <w:fldChar w:fldCharType="separate"/>
      </w:r>
      <w:r>
        <w:rPr>
          <w:noProof/>
        </w:rPr>
        <w:t>(Stratton, Kwan et al. 2018)</w:t>
      </w:r>
      <w:r>
        <w:fldChar w:fldCharType="end"/>
      </w:r>
      <w:r>
        <w:t xml:space="preserve">. </w:t>
      </w:r>
    </w:p>
    <w:p w14:paraId="2D8288A6" w14:textId="77777777" w:rsidR="00673D5A" w:rsidRPr="00C24EDC" w:rsidRDefault="00673D5A" w:rsidP="00673D5A"/>
    <w:p w14:paraId="03C1036D" w14:textId="77777777" w:rsidR="00673D5A" w:rsidRPr="001C6E84" w:rsidRDefault="00673D5A" w:rsidP="00673D5A">
      <w:pPr>
        <w:pStyle w:val="Heading2"/>
        <w:ind w:left="1134" w:hanging="1134"/>
      </w:pPr>
      <w:bookmarkStart w:id="322" w:name="_Toc517706745"/>
      <w:bookmarkStart w:id="323" w:name="_Toc514669962"/>
      <w:bookmarkStart w:id="324" w:name="_Toc515893213"/>
      <w:r>
        <w:t>International data</w:t>
      </w:r>
      <w:bookmarkEnd w:id="322"/>
      <w:r>
        <w:t xml:space="preserve"> </w:t>
      </w:r>
      <w:bookmarkEnd w:id="323"/>
      <w:bookmarkEnd w:id="324"/>
    </w:p>
    <w:p w14:paraId="1EAD2C24" w14:textId="77777777" w:rsidR="00673D5A" w:rsidRDefault="00673D5A" w:rsidP="00673D5A">
      <w:pPr>
        <w:pStyle w:val="BodyText"/>
      </w:pPr>
      <w:r>
        <w:t xml:space="preserve">Purposes of international research were coded thematically into different categories (Tables </w:t>
      </w:r>
      <w:r w:rsidR="008E7BEC">
        <w:t>46 and 47</w:t>
      </w:r>
      <w:r>
        <w:t>). Most of the international papers were classified as being focussed on use and perception of e</w:t>
      </w:r>
      <w:r>
        <w:noBreakHyphen/>
        <w:t>cigarettes (including prevalence; n=18). This was followed by those exploring influences on use (n=8), characteristics of users (n=8), and reporting on e</w:t>
      </w:r>
      <w:r>
        <w:noBreakHyphen/>
        <w:t xml:space="preserve">cigarette use and smoking (n=5). One paper did not fit into these categories and explored smoking topography in Japan </w:t>
      </w:r>
      <w:r>
        <w:fldChar w:fldCharType="begin">
          <w:fldData xml:space="preserve">PEVuZE5vdGU+PENpdGU+PEF1dGhvcj5HZWU8L0F1dGhvcj48WWVhcj4yMDE4PC9ZZWFyPjxSZWNO
dW0+NjM0NTwvUmVjTnVtPjxEaXNwbGF5VGV4dD4oR2VlLCBQcmFzYWQgZXQgYWwuIDIwMTgpPC9E
aXNwbGF5VGV4dD48cmVjb3JkPjxyZWMtbnVtYmVyPjYzNDU8L3JlYy1udW1iZXI+PGZvcmVpZ24t
a2V5cz48a2V5IGFwcD0iRU4iIGRiLWlkPSJmcHQ5cHR0cm01emZzYWVzcDlmcHNkZHYwOWV3c3Y1
eGV3ZmQiIHRpbWVzdGFtcD0iMTUyNTA0NzIwOCI+NjM0NTwva2V5PjxrZXkgYXBwPSJFTldlYiIg
ZGItaWQ9IiI+MDwva2V5PjwvZm9yZWlnbi1rZXlzPjxyZWYtdHlwZSBuYW1lPSJKb3VybmFsIEFy
dGljbGUiPjE3PC9yZWYtdHlwZT48Y29udHJpYnV0b3JzPjxhdXRob3JzPjxhdXRob3I+R2VlLCBK
LjwvYXV0aG9yPjxhdXRob3I+UHJhc2FkLCBLLjwvYXV0aG9yPjxhdXRob3I+U2xheWZvcmQsIFMu
PC9hdXRob3I+PGF1dGhvcj5HcmF5LCBBLjwvYXV0aG9yPjxhdXRob3I+Tm90aGVyLCBLLjwvYXV0
aG9yPjxhdXRob3I+Q3VubmluZ2hhbSwgQS48L2F1dGhvcj48YXV0aG9yPk1hdnJvcG91bG91LCBF
LjwvYXV0aG9yPjxhdXRob3I+UHJvY3RvciwgQy48L2F1dGhvcj48L2F1dGhvcnM+PC9jb250cmli
dXRvcnM+PHRpdGxlcz48dGl0bGU+QXNzZXNzbWVudCBvZiB0b2JhY2NvIGhlYXRpbmcgcHJvZHVj
dCBUSFAxLjAuIFBhcnQgODogU3R1ZHkgdG8gZGV0ZXJtaW5lIHB1ZmZpbmcgdG9wb2dyYXBoeSwg
bW91dGggbGV2ZWwgZXhwb3N1cmUgYW5kIGNvbnN1bXB0aW9uIGFtb25nIEphcGFuZXNlIHVzZXJz
PC90aXRsZT48c2Vjb25kYXJ5LXRpdGxlPlJlZ3VsYXRvcnkgVG94aWNvbG9neSBhbmQgUGhhcm1h
Y29sb2d5PC9zZWNvbmRhcnktdGl0bGU+PC90aXRsZXM+PHBlcmlvZGljYWw+PGZ1bGwtdGl0bGU+
UmVndWxhdG9yeSBUb3hpY29sb2d5IGFuZCBQaGFybWFjb2xvZ3k8L2Z1bGwtdGl0bGU+PC9wZXJp
b2RpY2FsPjxwYWdlcz44NC05MTwvcGFnZXM+PHZvbHVtZT45Mzwvdm9sdW1lPjxrZXl3b3Jkcz48
a2V5d29yZD5tZW50aG9sPC9rZXl3b3JkPjxrZXl3b3JkPm5pY290aW5lPC9rZXl3b3JkPjxrZXl3
b3JkPmFkdWx0PC9rZXl3b3JkPjxrZXl3b3JkPkFydGljbGU8L2tleXdvcmQ+PGtleXdvcmQ+Y2ln
YXJldHRlIHNtb2tpbmc8L2tleXdvcmQ+PGtleXdvcmQ+Y29ycmVsYXRpb25hbCBzdHVkeTwva2V5
d29yZD48a2V5d29yZD5lbGVjdHJvbmljIGNpZ2FyZXR0ZTwva2V5d29yZD48a2V5d29yZD5mZW1h
bGU8L2tleXdvcmQ+PGtleXdvcmQ+aHVtYW48L2tleXdvcmQ+PGtleXdvcmQ+SmFwYW48L2tleXdv
cmQ+PGtleXdvcmQ+SmFwYW5lc2UgKHBlb3BsZSk8L2tleXdvcmQ+PGtleXdvcmQ+bWFsZTwva2V5
d29yZD48a2V5d29yZD5tb3V0aCBsZXZlbCBleHBvc3VyZTwva2V5d29yZD48a2V5d29yZD5uaWNv
dGluZSBmcmVlIGRyeSBwYXJ0aWN1bGF0ZSBtYXR0ZXI8L2tleXdvcmQ+PGtleXdvcmQ+cGFydGlj
dWxhdGUgbWF0dGVyPC9rZXl3b3JkPjxrZXl3b3JkPnByaW9yaXR5IGpvdXJuYWw8L2tleXdvcmQ+
PGtleXdvcmQ+cHVmZmluZyB0b3BvZ3JhcGh5PC9rZXl3b3JkPjxrZXl3b3JkPnNtb2tpbmcgYW5k
IHNtb2tpbmcgcmVsYXRlZCBwaGVub21lbmE8L2tleXdvcmQ+PGtleXdvcmQ+c21va2luZyBoYWJp
dDwva2V5d29yZD48a2V5d29yZD50b2JhY2NvIGhlYXRpbmcgcHJvZHVjdDwva2V5d29yZD48L2tl
eXdvcmRzPjxkYXRlcz48eWVhcj4yMDE4PC95ZWFyPjwvZGF0ZXM+PHVybHM+PHJlbGF0ZWQtdXJs
cz48dXJsPmh0dHBzOi8vd3d3LnNjb3B1cy5jb20vaW53YXJkL3JlY29yZC51cmk/ZWlkPTItczIu
MC04NTAzMzQ2NDQ3NSZhbXA7ZG9pPTEwLjEwMTYlMmZqLnlydHBoLjIwMTcuMDguMDA1JmFtcDtw
YXJ0bmVySUQ9NDAmYW1wO21kNT0wYTc5YjQ3N2Y3ZTE4ZDUzMjVhMDE1NjA0NzgxOTE3MTwvdXJs
Pjx1cmw+aHR0cHM6Ly93d3cuc2NpZW5jZWRpcmVjdC5jb20vc2NpZW5jZS9hcnRpY2xlL3BpaS9T
MDI3MzIzMDAxNzMwMjQ3Nz92aWElM0RpaHViPC91cmw+PC9yZWxhdGVkLXVybHM+PC91cmxzPjxl
bGVjdHJvbmljLXJlc291cmNlLW51bT4xMC4xMDE2L2oueXJ0cGguMjAxNy4wOC4wMDU8L2VsZWN0
cm9uaWMtcmVzb3VyY2UtbnVtPjxyZW1vdGUtZGF0YWJhc2UtbmFtZT5TY29wdXM8L3JlbW90ZS1k
YXRhYmFzZS1uYW1lPjwvcmVjb3JkPjwvQ2l0ZT48L0VuZE5vdGU+AG==
</w:fldData>
        </w:fldChar>
      </w:r>
      <w:r>
        <w:instrText xml:space="preserve"> ADDIN EN.CITE </w:instrText>
      </w:r>
      <w:r>
        <w:fldChar w:fldCharType="begin">
          <w:fldData xml:space="preserve">PEVuZE5vdGU+PENpdGU+PEF1dGhvcj5HZWU8L0F1dGhvcj48WWVhcj4yMDE4PC9ZZWFyPjxSZWNO
dW0+NjM0NTwvUmVjTnVtPjxEaXNwbGF5VGV4dD4oR2VlLCBQcmFzYWQgZXQgYWwuIDIwMTgpPC9E
aXNwbGF5VGV4dD48cmVjb3JkPjxyZWMtbnVtYmVyPjYzNDU8L3JlYy1udW1iZXI+PGZvcmVpZ24t
a2V5cz48a2V5IGFwcD0iRU4iIGRiLWlkPSJmcHQ5cHR0cm01emZzYWVzcDlmcHNkZHYwOWV3c3Y1
eGV3ZmQiIHRpbWVzdGFtcD0iMTUyNTA0NzIwOCI+NjM0NTwva2V5PjxrZXkgYXBwPSJFTldlYiIg
ZGItaWQ9IiI+MDwva2V5PjwvZm9yZWlnbi1rZXlzPjxyZWYtdHlwZSBuYW1lPSJKb3VybmFsIEFy
dGljbGUiPjE3PC9yZWYtdHlwZT48Y29udHJpYnV0b3JzPjxhdXRob3JzPjxhdXRob3I+R2VlLCBK
LjwvYXV0aG9yPjxhdXRob3I+UHJhc2FkLCBLLjwvYXV0aG9yPjxhdXRob3I+U2xheWZvcmQsIFMu
PC9hdXRob3I+PGF1dGhvcj5HcmF5LCBBLjwvYXV0aG9yPjxhdXRob3I+Tm90aGVyLCBLLjwvYXV0
aG9yPjxhdXRob3I+Q3VubmluZ2hhbSwgQS48L2F1dGhvcj48YXV0aG9yPk1hdnJvcG91bG91LCBF
LjwvYXV0aG9yPjxhdXRob3I+UHJvY3RvciwgQy48L2F1dGhvcj48L2F1dGhvcnM+PC9jb250cmli
dXRvcnM+PHRpdGxlcz48dGl0bGU+QXNzZXNzbWVudCBvZiB0b2JhY2NvIGhlYXRpbmcgcHJvZHVj
dCBUSFAxLjAuIFBhcnQgODogU3R1ZHkgdG8gZGV0ZXJtaW5lIHB1ZmZpbmcgdG9wb2dyYXBoeSwg
bW91dGggbGV2ZWwgZXhwb3N1cmUgYW5kIGNvbnN1bXB0aW9uIGFtb25nIEphcGFuZXNlIHVzZXJz
PC90aXRsZT48c2Vjb25kYXJ5LXRpdGxlPlJlZ3VsYXRvcnkgVG94aWNvbG9neSBhbmQgUGhhcm1h
Y29sb2d5PC9zZWNvbmRhcnktdGl0bGU+PC90aXRsZXM+PHBlcmlvZGljYWw+PGZ1bGwtdGl0bGU+
UmVndWxhdG9yeSBUb3hpY29sb2d5IGFuZCBQaGFybWFjb2xvZ3k8L2Z1bGwtdGl0bGU+PC9wZXJp
b2RpY2FsPjxwYWdlcz44NC05MTwvcGFnZXM+PHZvbHVtZT45Mzwvdm9sdW1lPjxrZXl3b3Jkcz48
a2V5d29yZD5tZW50aG9sPC9rZXl3b3JkPjxrZXl3b3JkPm5pY290aW5lPC9rZXl3b3JkPjxrZXl3
b3JkPmFkdWx0PC9rZXl3b3JkPjxrZXl3b3JkPkFydGljbGU8L2tleXdvcmQ+PGtleXdvcmQ+Y2ln
YXJldHRlIHNtb2tpbmc8L2tleXdvcmQ+PGtleXdvcmQ+Y29ycmVsYXRpb25hbCBzdHVkeTwva2V5
d29yZD48a2V5d29yZD5lbGVjdHJvbmljIGNpZ2FyZXR0ZTwva2V5d29yZD48a2V5d29yZD5mZW1h
bGU8L2tleXdvcmQ+PGtleXdvcmQ+aHVtYW48L2tleXdvcmQ+PGtleXdvcmQ+SmFwYW48L2tleXdv
cmQ+PGtleXdvcmQ+SmFwYW5lc2UgKHBlb3BsZSk8L2tleXdvcmQ+PGtleXdvcmQ+bWFsZTwva2V5
d29yZD48a2V5d29yZD5tb3V0aCBsZXZlbCBleHBvc3VyZTwva2V5d29yZD48a2V5d29yZD5uaWNv
dGluZSBmcmVlIGRyeSBwYXJ0aWN1bGF0ZSBtYXR0ZXI8L2tleXdvcmQ+PGtleXdvcmQ+cGFydGlj
dWxhdGUgbWF0dGVyPC9rZXl3b3JkPjxrZXl3b3JkPnByaW9yaXR5IGpvdXJuYWw8L2tleXdvcmQ+
PGtleXdvcmQ+cHVmZmluZyB0b3BvZ3JhcGh5PC9rZXl3b3JkPjxrZXl3b3JkPnNtb2tpbmcgYW5k
IHNtb2tpbmcgcmVsYXRlZCBwaGVub21lbmE8L2tleXdvcmQ+PGtleXdvcmQ+c21va2luZyBoYWJp
dDwva2V5d29yZD48a2V5d29yZD50b2JhY2NvIGhlYXRpbmcgcHJvZHVjdDwva2V5d29yZD48L2tl
eXdvcmRzPjxkYXRlcz48eWVhcj4yMDE4PC95ZWFyPjwvZGF0ZXM+PHVybHM+PHJlbGF0ZWQtdXJs
cz48dXJsPmh0dHBzOi8vd3d3LnNjb3B1cy5jb20vaW53YXJkL3JlY29yZC51cmk/ZWlkPTItczIu
MC04NTAzMzQ2NDQ3NSZhbXA7ZG9pPTEwLjEwMTYlMmZqLnlydHBoLjIwMTcuMDguMDA1JmFtcDtw
YXJ0bmVySUQ9NDAmYW1wO21kNT0wYTc5YjQ3N2Y3ZTE4ZDUzMjVhMDE1NjA0NzgxOTE3MTwvdXJs
Pjx1cmw+aHR0cHM6Ly93d3cuc2NpZW5jZWRpcmVjdC5jb20vc2NpZW5jZS9hcnRpY2xlL3BpaS9T
MDI3MzIzMDAxNzMwMjQ3Nz92aWElM0RpaHViPC91cmw+PC9yZWxhdGVkLXVybHM+PC91cmxzPjxl
bGVjdHJvbmljLXJlc291cmNlLW51bT4xMC4xMDE2L2oueXJ0cGguMjAxNy4wOC4wMDU8L2VsZWN0
cm9uaWMtcmVzb3VyY2UtbnVtPjxyZW1vdGUtZGF0YWJhc2UtbmFtZT5TY29wdXM8L3JlbW90ZS1k
YXRhYmFzZS1uYW1lPjwvcmVjb3JkPjwvQ2l0ZT48L0VuZE5vdGU+AG==
</w:fldData>
        </w:fldChar>
      </w:r>
      <w:r>
        <w:instrText xml:space="preserve"> ADDIN EN.CITE.DATA </w:instrText>
      </w:r>
      <w:r>
        <w:fldChar w:fldCharType="end"/>
      </w:r>
      <w:r>
        <w:fldChar w:fldCharType="separate"/>
      </w:r>
      <w:r>
        <w:rPr>
          <w:noProof/>
        </w:rPr>
        <w:t>(Gee, Prasad et al. 2018)</w:t>
      </w:r>
      <w:r>
        <w:fldChar w:fldCharType="end"/>
      </w:r>
      <w:r>
        <w:t>. There was a total of forty-one studies.</w:t>
      </w:r>
    </w:p>
    <w:p w14:paraId="748315C0" w14:textId="42578FA1" w:rsidR="00673D5A" w:rsidRDefault="002B2612" w:rsidP="00673D5A">
      <w:pPr>
        <w:pStyle w:val="BodyText"/>
      </w:pPr>
      <w:r>
        <w:t>A s</w:t>
      </w:r>
      <w:r w:rsidR="00673D5A">
        <w:t>ummary of the international data reporting primaril</w:t>
      </w:r>
      <w:r w:rsidR="008E7BEC">
        <w:t>y on prevalence is included in pa</w:t>
      </w:r>
      <w:r w:rsidR="00673D5A">
        <w:t>rt 6</w:t>
      </w:r>
      <w:r w:rsidR="008E7BEC">
        <w:t xml:space="preserve"> of this report</w:t>
      </w:r>
      <w:r w:rsidR="00673D5A">
        <w:t>.</w:t>
      </w:r>
    </w:p>
    <w:p w14:paraId="63E65B30" w14:textId="77777777" w:rsidR="00673D5A" w:rsidRDefault="00673D5A" w:rsidP="00673D5A">
      <w:pPr>
        <w:pStyle w:val="BodyText"/>
      </w:pPr>
    </w:p>
    <w:p w14:paraId="174524C5" w14:textId="77777777" w:rsidR="00673D5A" w:rsidRDefault="00673D5A" w:rsidP="00673D5A">
      <w:pPr>
        <w:pStyle w:val="Heading3"/>
        <w:ind w:left="1134" w:hanging="1134"/>
      </w:pPr>
      <w:r>
        <w:t>Other studies on e</w:t>
      </w:r>
      <w:r>
        <w:noBreakHyphen/>
        <w:t>cigarettes use</w:t>
      </w:r>
    </w:p>
    <w:p w14:paraId="52A0555C" w14:textId="77777777" w:rsidR="00673D5A" w:rsidRDefault="00673D5A" w:rsidP="00673D5A">
      <w:pPr>
        <w:pStyle w:val="BodyText"/>
      </w:pPr>
      <w:r>
        <w:t xml:space="preserve">Most of the studies from European Union countries reported on prevalence which is summarized in the Eurobarometer study. A single study reported on data from the Russian Federation </w:t>
      </w:r>
      <w:r>
        <w:fldChar w:fldCharType="begin">
          <w:fldData xml:space="preserve">PEVuZE5vdGU+PENpdGU+PEF1dGhvcj5Lb25nPC9BdXRob3I+PFllYXI+MjAxNzwvWWVhcj48UmVj
TnVtPjUzNjM8L1JlY051bT48RGlzcGxheVRleHQ+KEtvbmcsIElkcmlzb3YgZXQgYWwuIDIwMTcp
PC9EaXNwbGF5VGV4dD48cmVjb3JkPjxyZWMtbnVtYmVyPjUzNjM8L3JlYy1udW1iZXI+PGZvcmVp
Z24ta2V5cz48a2V5IGFwcD0iRU4iIGRiLWlkPSJmcHQ5cHR0cm01emZzYWVzcDlmcHNkZHYwOWV3
c3Y1eGV3ZmQiIHRpbWVzdGFtcD0iMTUyNTA0NjU0OSI+NTM2Mzwva2V5PjxrZXkgYXBwPSJFTldl
YiIgZGItaWQ9IiI+MDwva2V5PjwvZm9yZWlnbi1rZXlzPjxyZWYtdHlwZSBuYW1lPSJKb3VybmFs
IEFydGljbGUiPjE3PC9yZWYtdHlwZT48Y29udHJpYnV0b3JzPjxhdXRob3JzPjxhdXRob3I+S29u
ZywgRy48L2F1dGhvcj48YXV0aG9yPklkcmlzb3YsIEIuPC9hdXRob3I+PGF1dGhvcj5HYWxpbW92
LCBBLjwvYXV0aG9yPjxhdXRob3I+TWFzYWd1dG92LCBSLjwvYXV0aG9yPjxhdXRob3I+U3Vzc21h
biwgUy48L2F1dGhvcj48L2F1dGhvcnM+PC9jb250cmlidXRvcnM+PGF1dGgtYWRkcmVzcz5hIERl
cGFydG1lbnQgb2YgUHN5Y2hpYXRyeSAsIFlhbGUgU2Nob29sIG9mIE1lZGljaW5lICwgTmV3IEhh
dmVuICwgQ29ubmVjdGljdXQgLCBVU0EuJiN4RDtiIFNlY3Rpb24gb2YgR2VuZXJhbCBJbnRlcm5h
bCBNZWRpY2luZSwgQm9zdG9uIE1lZGljYWwgQ2VudGVyLCBCb3N0b24gVW5pdmVyc2l0eSAsIEJv
c3RvbiAsIE1hc3NhY2h1c2V0dHMgLCBVU0EuJiN4RDtjIERlcGFydG1lbnQgb2YgUHJldmVudGl2
ZSBNZWRpY2luZSAsIEJhc2hraXIgU3RhdGUgTWVkaWNhbCBVbml2ZXJzaXR5ICwgVWZhICwgUnVz
c2lhbiBGZWRlcmF0aW9uLiYjeEQ7ZCBEZXBhcnRtZW50IG9mIFBzeWNoaWF0cnkgYW5kIE5hcmNv
bG9neSAsIEJhc2hraXIgU3RhdGUgTWVkaWNhbCBVbml2ZXJzaXR5ICwgVWZhICwgUnVzc2lhbiBG
ZWRlcmF0aW9uLiYjeEQ7ZSBEZXBhcnRtZW50IG9mIFByZXZlbnRpdmUgTWVkaWNpbmUgLCBVbml2
ZXJzaXR5IG9mIFNvdXRoZXJuIENhbGlmb3JuaWEgLCBMb3MgQW5nZWxlcyAsIENhbGlmb3JuaWEg
LCBVU0EuJiN4RDtmIERlcGFydG1lbnQgb2YgUHN5Y2hvbG9neSAsIFVuaXZlcnNpdHkgb2YgU291
dGhlcm4gQ2FsaWZvcm5pYSAsIExvcyBBbmdlbGVzICwgQ2FsaWZvcm5pYSAsIFVTQS4mI3hEO2cg
U2Nob29sIG9mIFNvY2lhbCBXb3JrLCBVbml2ZXJzaXR5IG9mIFNvdXRoZXJuIENhbGlmb3JuaWEg
LCBMb3MgQW5nZWxlcyAsIENhbGlmb3JuaWEgLCBVU0EuPC9hdXRoLWFkZHJlc3M+PHRpdGxlcz48
dGl0bGU+RWxlY3Ryb25pYyBDaWdhcmV0dGUgVXNlIEFtb25nIEFkb2xlc2NlbnRzIGluIHRoZSBS
dXNzaWFuIEZlZGVyYXRpb248L3RpdGxlPjxzZWNvbmRhcnktdGl0bGU+U3Vic3QgVXNlIE1pc3Vz
ZTwvc2Vjb25kYXJ5LXRpdGxlPjxhbHQtdGl0bGU+U3Vic3RhbmNlIHVzZSAmYW1wOyBtaXN1c2U8
L2FsdC10aXRsZT48L3RpdGxlcz48YWx0LXBlcmlvZGljYWw+PGZ1bGwtdGl0bGU+U3Vic3RhbmNl
IFVzZSAmYW1wOyBNaXN1c2U8L2Z1bGwtdGl0bGU+PC9hbHQtcGVyaW9kaWNhbD48cGFnZXM+MzMy
LTMzOTwvcGFnZXM+PHZvbHVtZT41Mjwvdm9sdW1lPjxudW1iZXI+MzwvbnVtYmVyPjxlZGl0aW9u
PjIwMTYvMTAvMjI8L2VkaXRpb24+PGtleXdvcmRzPjxrZXl3b3JkPkFkb2xlc2NlbnQ8L2tleXdv
cmQ+PGtleXdvcmQ+Q3Jvc3MtU2VjdGlvbmFsIFN0dWRpZXM8L2tleXdvcmQ+PGtleXdvcmQ+RWxl
Y3Ryb25pYyBOaWNvdGluZSBEZWxpdmVyeSBTeXN0ZW1zLypzdGF0aXN0aWNzICZhbXA7IG51bWVy
aWNhbCBkYXRhPC9rZXl3b3JkPjxrZXl3b3JkPkZlbWFsZTwva2V5d29yZD48a2V5d29yZD5IdW1h
bnM8L2tleXdvcmQ+PGtleXdvcmQ+TWFsZTwva2V5d29yZD48a2V5d29yZD5QcmV2YWxlbmNlPC9r
ZXl3b3JkPjxrZXl3b3JkPlJpc2sgRmFjdG9yczwva2V5d29yZD48a2V5d29yZD5TaWJlcmlhL2Vw
aWRlbWlvbG9neTwva2V5d29yZD48a2V5d29yZD5TbW9raW5nLyplcGlkZW1pb2xvZ3k8L2tleXdv
cmQ+PGtleXdvcmQ+U3VydmV5cyBhbmQgUXVlc3Rpb25uYWlyZXM8L2tleXdvcmQ+PGtleXdvcmQ+
UnVzc2lhbiBGZWRlcmF0aW9uPC9rZXl3b3JkPjxrZXl3b3JkPmVsZWN0cm9uaWMgY2lnYXJldHRl
czwva2V5d29yZD48a2V5d29yZD5zdHJlc3MgY29waW5nPC9rZXl3b3JkPjxrZXl3b3JkPnlvdXRo
PC9rZXl3b3JkPjwva2V5d29yZHM+PGRhdGVzPjx5ZWFyPjIwMTc8L3llYXI+PHB1Yi1kYXRlcz48
ZGF0ZT5GZWIgMjM8L2RhdGU+PC9wdWItZGF0ZXM+PC9kYXRlcz48aXNibj4xMDgyLTYwODQ8L2lz
Ym4+PGFjY2Vzc2lvbi1udW0+Mjc3NjczNzA8L2FjY2Vzc2lvbi1udW0+PHVybHM+PHJlbGF0ZWQt
dXJscz48dXJsPmh0dHBzOi8vd3d3LnRhbmRmb25saW5lLmNvbS9kb2kvcGRmLzEwLjEwODAvMTA4
MjYwODQuMjAxNi4xMjI1NzY2P25lZWRBY2Nlc3M9dHJ1ZTwvdXJsPjwvcmVsYXRlZC11cmxzPjwv
dXJscz48Y3VzdG9tMj5QTUM1NTI3Njc5PC9jdXN0b20yPjxjdXN0b202Pk5JSE1TODc3MTM0PC9j
dXN0b202PjxlbGVjdHJvbmljLXJlc291cmNlLW51bT4xMC4xMDgwLzEwODI2MDg0LjIwMTYuMTIy
NTc2NjwvZWxlY3Ryb25pYy1yZXNvdXJjZS1udW0+PHJlbW90ZS1kYXRhYmFzZS1wcm92aWRlcj5O
TE08L3JlbW90ZS1kYXRhYmFzZS1wcm92aWRlcj48bGFuZ3VhZ2U+ZW5nPC9sYW5ndWFnZT48L3Jl
Y29yZD48L0NpdGU+PC9FbmROb3RlPn==
</w:fldData>
        </w:fldChar>
      </w:r>
      <w:r>
        <w:instrText xml:space="preserve"> ADDIN EN.CITE </w:instrText>
      </w:r>
      <w:r>
        <w:fldChar w:fldCharType="begin">
          <w:fldData xml:space="preserve">PEVuZE5vdGU+PENpdGU+PEF1dGhvcj5Lb25nPC9BdXRob3I+PFllYXI+MjAxNzwvWWVhcj48UmVj
TnVtPjUzNjM8L1JlY051bT48RGlzcGxheVRleHQ+KEtvbmcsIElkcmlzb3YgZXQgYWwuIDIwMTcp
PC9EaXNwbGF5VGV4dD48cmVjb3JkPjxyZWMtbnVtYmVyPjUzNjM8L3JlYy1udW1iZXI+PGZvcmVp
Z24ta2V5cz48a2V5IGFwcD0iRU4iIGRiLWlkPSJmcHQ5cHR0cm01emZzYWVzcDlmcHNkZHYwOWV3
c3Y1eGV3ZmQiIHRpbWVzdGFtcD0iMTUyNTA0NjU0OSI+NTM2Mzwva2V5PjxrZXkgYXBwPSJFTldl
YiIgZGItaWQ9IiI+MDwva2V5PjwvZm9yZWlnbi1rZXlzPjxyZWYtdHlwZSBuYW1lPSJKb3VybmFs
IEFydGljbGUiPjE3PC9yZWYtdHlwZT48Y29udHJpYnV0b3JzPjxhdXRob3JzPjxhdXRob3I+S29u
ZywgRy48L2F1dGhvcj48YXV0aG9yPklkcmlzb3YsIEIuPC9hdXRob3I+PGF1dGhvcj5HYWxpbW92
LCBBLjwvYXV0aG9yPjxhdXRob3I+TWFzYWd1dG92LCBSLjwvYXV0aG9yPjxhdXRob3I+U3Vzc21h
biwgUy48L2F1dGhvcj48L2F1dGhvcnM+PC9jb250cmlidXRvcnM+PGF1dGgtYWRkcmVzcz5hIERl
cGFydG1lbnQgb2YgUHN5Y2hpYXRyeSAsIFlhbGUgU2Nob29sIG9mIE1lZGljaW5lICwgTmV3IEhh
dmVuICwgQ29ubmVjdGljdXQgLCBVU0EuJiN4RDtiIFNlY3Rpb24gb2YgR2VuZXJhbCBJbnRlcm5h
bCBNZWRpY2luZSwgQm9zdG9uIE1lZGljYWwgQ2VudGVyLCBCb3N0b24gVW5pdmVyc2l0eSAsIEJv
c3RvbiAsIE1hc3NhY2h1c2V0dHMgLCBVU0EuJiN4RDtjIERlcGFydG1lbnQgb2YgUHJldmVudGl2
ZSBNZWRpY2luZSAsIEJhc2hraXIgU3RhdGUgTWVkaWNhbCBVbml2ZXJzaXR5ICwgVWZhICwgUnVz
c2lhbiBGZWRlcmF0aW9uLiYjeEQ7ZCBEZXBhcnRtZW50IG9mIFBzeWNoaWF0cnkgYW5kIE5hcmNv
bG9neSAsIEJhc2hraXIgU3RhdGUgTWVkaWNhbCBVbml2ZXJzaXR5ICwgVWZhICwgUnVzc2lhbiBG
ZWRlcmF0aW9uLiYjeEQ7ZSBEZXBhcnRtZW50IG9mIFByZXZlbnRpdmUgTWVkaWNpbmUgLCBVbml2
ZXJzaXR5IG9mIFNvdXRoZXJuIENhbGlmb3JuaWEgLCBMb3MgQW5nZWxlcyAsIENhbGlmb3JuaWEg
LCBVU0EuJiN4RDtmIERlcGFydG1lbnQgb2YgUHN5Y2hvbG9neSAsIFVuaXZlcnNpdHkgb2YgU291
dGhlcm4gQ2FsaWZvcm5pYSAsIExvcyBBbmdlbGVzICwgQ2FsaWZvcm5pYSAsIFVTQS4mI3hEO2cg
U2Nob29sIG9mIFNvY2lhbCBXb3JrLCBVbml2ZXJzaXR5IG9mIFNvdXRoZXJuIENhbGlmb3JuaWEg
LCBMb3MgQW5nZWxlcyAsIENhbGlmb3JuaWEgLCBVU0EuPC9hdXRoLWFkZHJlc3M+PHRpdGxlcz48
dGl0bGU+RWxlY3Ryb25pYyBDaWdhcmV0dGUgVXNlIEFtb25nIEFkb2xlc2NlbnRzIGluIHRoZSBS
dXNzaWFuIEZlZGVyYXRpb248L3RpdGxlPjxzZWNvbmRhcnktdGl0bGU+U3Vic3QgVXNlIE1pc3Vz
ZTwvc2Vjb25kYXJ5LXRpdGxlPjxhbHQtdGl0bGU+U3Vic3RhbmNlIHVzZSAmYW1wOyBtaXN1c2U8
L2FsdC10aXRsZT48L3RpdGxlcz48YWx0LXBlcmlvZGljYWw+PGZ1bGwtdGl0bGU+U3Vic3RhbmNl
IFVzZSAmYW1wOyBNaXN1c2U8L2Z1bGwtdGl0bGU+PC9hbHQtcGVyaW9kaWNhbD48cGFnZXM+MzMy
LTMzOTwvcGFnZXM+PHZvbHVtZT41Mjwvdm9sdW1lPjxudW1iZXI+MzwvbnVtYmVyPjxlZGl0aW9u
PjIwMTYvMTAvMjI8L2VkaXRpb24+PGtleXdvcmRzPjxrZXl3b3JkPkFkb2xlc2NlbnQ8L2tleXdv
cmQ+PGtleXdvcmQ+Q3Jvc3MtU2VjdGlvbmFsIFN0dWRpZXM8L2tleXdvcmQ+PGtleXdvcmQ+RWxl
Y3Ryb25pYyBOaWNvdGluZSBEZWxpdmVyeSBTeXN0ZW1zLypzdGF0aXN0aWNzICZhbXA7IG51bWVy
aWNhbCBkYXRhPC9rZXl3b3JkPjxrZXl3b3JkPkZlbWFsZTwva2V5d29yZD48a2V5d29yZD5IdW1h
bnM8L2tleXdvcmQ+PGtleXdvcmQ+TWFsZTwva2V5d29yZD48a2V5d29yZD5QcmV2YWxlbmNlPC9r
ZXl3b3JkPjxrZXl3b3JkPlJpc2sgRmFjdG9yczwva2V5d29yZD48a2V5d29yZD5TaWJlcmlhL2Vw
aWRlbWlvbG9neTwva2V5d29yZD48a2V5d29yZD5TbW9raW5nLyplcGlkZW1pb2xvZ3k8L2tleXdv
cmQ+PGtleXdvcmQ+U3VydmV5cyBhbmQgUXVlc3Rpb25uYWlyZXM8L2tleXdvcmQ+PGtleXdvcmQ+
UnVzc2lhbiBGZWRlcmF0aW9uPC9rZXl3b3JkPjxrZXl3b3JkPmVsZWN0cm9uaWMgY2lnYXJldHRl
czwva2V5d29yZD48a2V5d29yZD5zdHJlc3MgY29waW5nPC9rZXl3b3JkPjxrZXl3b3JkPnlvdXRo
PC9rZXl3b3JkPjwva2V5d29yZHM+PGRhdGVzPjx5ZWFyPjIwMTc8L3llYXI+PHB1Yi1kYXRlcz48
ZGF0ZT5GZWIgMjM8L2RhdGU+PC9wdWItZGF0ZXM+PC9kYXRlcz48aXNibj4xMDgyLTYwODQ8L2lz
Ym4+PGFjY2Vzc2lvbi1udW0+Mjc3NjczNzA8L2FjY2Vzc2lvbi1udW0+PHVybHM+PHJlbGF0ZWQt
dXJscz48dXJsPmh0dHBzOi8vd3d3LnRhbmRmb25saW5lLmNvbS9kb2kvcGRmLzEwLjEwODAvMTA4
MjYwODQuMjAxNi4xMjI1NzY2P25lZWRBY2Nlc3M9dHJ1ZTwvdXJsPjwvcmVsYXRlZC11cmxzPjwv
dXJscz48Y3VzdG9tMj5QTUM1NTI3Njc5PC9jdXN0b20yPjxjdXN0b202Pk5JSE1TODc3MTM0PC9j
dXN0b202PjxlbGVjdHJvbmljLXJlc291cmNlLW51bT4xMC4xMDgwLzEwODI2MDg0LjIwMTYuMTIy
NTc2NjwvZWxlY3Ryb25pYy1yZXNvdXJjZS1udW0+PHJlbW90ZS1kYXRhYmFzZS1wcm92aWRlcj5O
TE08L3JlbW90ZS1kYXRhYmFzZS1wcm92aWRlcj48bGFuZ3VhZ2U+ZW5nPC9sYW5ndWFnZT48L3Jl
Y29yZD48L0NpdGU+PC9FbmROb3RlPn==
</w:fldData>
        </w:fldChar>
      </w:r>
      <w:r>
        <w:instrText xml:space="preserve"> ADDIN EN.CITE.DATA </w:instrText>
      </w:r>
      <w:r>
        <w:fldChar w:fldCharType="end"/>
      </w:r>
      <w:r>
        <w:fldChar w:fldCharType="separate"/>
      </w:r>
      <w:r>
        <w:rPr>
          <w:noProof/>
        </w:rPr>
        <w:t>(Kong, Idrisov et al. 2017)</w:t>
      </w:r>
      <w:r>
        <w:fldChar w:fldCharType="end"/>
      </w:r>
      <w:r>
        <w:t xml:space="preserve"> using a convenience sample of 716 high school students from the </w:t>
      </w:r>
      <w:r w:rsidRPr="00C80429">
        <w:t>Republic of Bashkortostan</w:t>
      </w:r>
      <w:r>
        <w:t>. The authors report on prevalence as well as predictors of use. In addition to reporting on the typical predictors of e</w:t>
      </w:r>
      <w:r>
        <w:noBreakHyphen/>
        <w:t>cigarette use (being male, having professional education) the authors also assessed personality characteristics and found that having a rebellious spirit, being adventurous, being impulsive and being less apt at making friends predicted e</w:t>
      </w:r>
      <w:r>
        <w:noBreakHyphen/>
        <w:t xml:space="preserve">cigarette use. These findings add to previous observations in US samples regarding sensation seeking and impulsivity and fill a gap left in the literature by simultaneously assessing a variety of characteristics. Unfortunately, the sampling and exclusive adolescent sample limit the generalisability of these findings. </w:t>
      </w:r>
    </w:p>
    <w:p w14:paraId="6BF7824F" w14:textId="77777777" w:rsidR="00673D5A" w:rsidRDefault="00673D5A" w:rsidP="00673D5A">
      <w:pPr>
        <w:pStyle w:val="BodyText"/>
      </w:pPr>
    </w:p>
    <w:p w14:paraId="114F1361" w14:textId="1741480B" w:rsidR="00673D5A" w:rsidRDefault="00673D5A" w:rsidP="00673D5A">
      <w:pPr>
        <w:pStyle w:val="BodyText"/>
      </w:pPr>
      <w:r>
        <w:t>A cohort study of 2</w:t>
      </w:r>
      <w:r w:rsidR="002B2612">
        <w:t>,</w:t>
      </w:r>
      <w:r>
        <w:t xml:space="preserve">186 Germany high school students also extended observations about sensation seeking in combination with other personality variables </w:t>
      </w:r>
      <w:r>
        <w:fldChar w:fldCharType="begin"/>
      </w:r>
      <w:r>
        <w:instrText xml:space="preserve"> ADDIN EN.CITE &lt;EndNote&gt;&lt;Cite&gt;&lt;Author&gt;Morgenstern&lt;/Author&gt;&lt;Year&gt;2018&lt;/Year&gt;&lt;RecNum&gt;10468&lt;/RecNum&gt;&lt;DisplayText&gt;(Morgenstern, Nies et al. 2018)&lt;/DisplayText&gt;&lt;record&gt;&lt;rec-number&gt;10468&lt;/rec-number&gt;&lt;foreign-keys&gt;&lt;key app="EN" db-id="9z05dz0praadfuee0zoxzedk9zfe5fxx50z5" timestamp="1526869878"&gt;10468&lt;/key&gt;&lt;key app="ENWeb" db-id=""&gt;0&lt;/key&gt;&lt;/foreign-keys&gt;&lt;ref-type name="Journal Article"&gt;17&lt;/ref-type&gt;&lt;contributors&gt;&lt;authors&gt;&lt;author&gt;Morgenstern, Matthis&lt;/author&gt;&lt;author&gt;Nies, Alina&lt;/author&gt;&lt;author&gt;Goecke, Michaela&lt;/author&gt;&lt;author&gt;Hanewinkel, Reiner&lt;/author&gt;&lt;/authors&gt;&lt;/contributors&gt;&lt;titles&gt;&lt;title&gt;E-Cigarettes and the Use of Conventional Cigarettes&lt;/title&gt;&lt;secondary-title&gt;Deutsches Arzteblatt International&lt;/secondary-title&gt;&lt;/titles&gt;&lt;periodical&gt;&lt;full-title&gt;Deutsches Arzteblatt International&lt;/full-title&gt;&lt;/periodical&gt;&lt;pages&gt;243-+&lt;/pages&gt;&lt;volume&gt;115&lt;/volume&gt;&lt;number&gt;14&lt;/number&gt;&lt;dates&gt;&lt;year&gt;2018&lt;/year&gt;&lt;pub-dates&gt;&lt;date&gt;Apr 6&lt;/date&gt;&lt;/pub-dates&gt;&lt;/dates&gt;&lt;isbn&gt;1866-0452&lt;/isbn&gt;&lt;accession-num&gt;WOS:000431149700004&lt;/accession-num&gt;&lt;urls&gt;&lt;related-urls&gt;&lt;url&gt;&amp;lt;Go to ISI&amp;gt;://WOS:000431149700004&lt;/url&gt;&lt;url&gt;https://www.ncbi.nlm.nih.gov/pmc/articles/PMC5938547/pdf/Dtsch_Arztebl_Int-115_0243.pdf&lt;/url&gt;&lt;/related-urls&gt;&lt;/urls&gt;&lt;electronic-resource-num&gt;10.3238/arztebl.2018.0243&lt;/electronic-resource-num&gt;&lt;/record&gt;&lt;/Cite&gt;&lt;/EndNote&gt;</w:instrText>
      </w:r>
      <w:r>
        <w:fldChar w:fldCharType="separate"/>
      </w:r>
      <w:r>
        <w:rPr>
          <w:noProof/>
        </w:rPr>
        <w:t>(Morgenstern, Nies et al. 2018)</w:t>
      </w:r>
      <w:r>
        <w:fldChar w:fldCharType="end"/>
      </w:r>
      <w:r>
        <w:t>. Rather than exploring e</w:t>
      </w:r>
      <w:r>
        <w:noBreakHyphen/>
        <w:t>cigarette use, these authors assessed the onset of conventional cigarette smoking from e</w:t>
      </w:r>
      <w:r>
        <w:noBreakHyphen/>
        <w:t>cigarette use over a 6 month period and what factors may predict this. Of the nine personality variables that the authors assessed, two significantly predicted initiation of conventional cigarette use: Sensation seeking and hopelessness. This finding adds more strength to the possible role of sensation seeking in e</w:t>
      </w:r>
      <w:r>
        <w:noBreakHyphen/>
        <w:t>cigarette use as well as the progression to smoking. The fact that</w:t>
      </w:r>
      <w:r w:rsidR="002B2612">
        <w:t xml:space="preserve"> a feeling of</w:t>
      </w:r>
      <w:r>
        <w:t xml:space="preserve"> hopeless</w:t>
      </w:r>
      <w:r w:rsidR="002B2612">
        <w:t>ness</w:t>
      </w:r>
      <w:r>
        <w:t xml:space="preserve"> was also significant is in line with observations about depression and e</w:t>
      </w:r>
      <w:r>
        <w:noBreakHyphen/>
        <w:t xml:space="preserve">cigarette use from US samples </w:t>
      </w:r>
      <w:r>
        <w:fldChar w:fldCharType="begin">
          <w:fldData xml:space="preserve">PEVuZE5vdGU+PENpdGU+PEF1dGhvcj5QYXJrPC9BdXRob3I+PFllYXI+MjAxNzwvWWVhcj48UmVj
TnVtPjUxNzY8L1JlY051bT48RGlzcGxheVRleHQ+KFBhcmssIExlZSBldCBhbC4gMjAxNyk8L0Rp
c3BsYXlUZXh0PjxyZWNvcmQ+PHJlYy1udW1iZXI+NTE3NjwvcmVjLW51bWJlcj48Zm9yZWlnbi1r
ZXlzPjxrZXkgYXBwPSJFTiIgZGItaWQ9ImZwdDlwdHRybTV6ZnNhZXNwOWZwc2RkdjA5ZXdzdjV4
ZXdmZCIgdGltZXN0YW1wPSIxNTI1MDQ2MTg0Ij41MTc2PC9rZXk+PGtleSBhcHA9IkVOV2ViIiBk
Yi1pZD0iIj4wPC9rZXk+PC9mb3JlaWduLWtleXM+PHJlZi10eXBlIG5hbWU9IkpvdXJuYWwgQXJ0
aWNsZSI+MTc8L3JlZi10eXBlPjxjb250cmlidXRvcnM+PGF1dGhvcnM+PGF1dGhvcj5QYXJrLCBT
LiBILjwvYXV0aG9yPjxhdXRob3I+TGVlLCBMLjwvYXV0aG9yPjxhdXRob3I+U2hlYXJzdG9uLCBK
LiBBLjwvYXV0aG9yPjxhdXRob3I+V2VpdHptYW4sIE0uPC9hdXRob3I+PC9hdXRob3JzPjwvY29u
dHJpYnV0b3JzPjxhdXRoLWFkZHJlc3M+RGVwYXJ0bWVudCBvZiBQZWRpYXRyaWNzLCBOZXcgWW9y
ayBVbml2ZXJzaXR5IFNjaG9vbCBvZiBNZWRpY2luZSwgTmV3IFlvcmssIE5ldyBZb3JrLCBVbml0
ZWQgU3RhdGVzIG9mIEFtZXJpY2EuJiN4RDtEZXBhcnRtZW50IG9mIFBvcHVsYXRpb24gSGVhbHRo
LCBOZXcgWW9yayBVbml2ZXJzaXR5IFNjaG9vbCBvZiBNZWRpY2luZSwgTmV3IFlvcmssIE5ldyBZ
b3JrLCBVbml0ZWQgU3RhdGVzIG9mIEFtZXJpY2EuJiN4RDtCcm9va2x5biBDb2xsZWdlLCBOZXcg
WW9yaywgTmV3IFlvcmssIFVuaXRlZCBTdGF0ZXMgb2YgQW1lcmljYS4mI3hEO0NvbGxlZ2Ugb2Yg
R2xvYmFsIFB1YmxpYyBIZWFsdGgsIE5ldyBZb3JrIFVuaXZlcnNpdHksIE5ldyBZb3JrLCBOZXcg
WW9yaywgVW5pdGVkIFN0YXRlcyBvZiBBbWVyaWNhLiYjeEQ7TmV3IFlvcmsgVW5pdmVyc2l0eS8g
QWJ1IERoYWJpIFB1YmxpYyBIZWFsdGggUmVzZWFyY2ggQ2VudGVyLCBBYnUgRGhhYmksIFVuaXRl
ZCBBcmFiIEVtaXJhdGVzLiYjeEQ7RGVwYXJ0bWVudCBvZiBFbnZpcm9ubWVudGFsIE1lZGljaW5l
LCBOZXcgWW9yayBVbml2ZXJzaXR5LCBOZXcgWW9yaywgTmV3IFlvcmssIFVuaXRlZCBTdGF0ZXMg
b2YgQW1lcmljYS48L2F1dGgtYWRkcmVzcz48dGl0bGVzPjx0aXRsZT5QYXR0ZXJucyBvZiBlbGVj
dHJvbmljIGNpZ2FyZXR0ZSB1c2UgYW5kIGxldmVsIG9mIHBzeWNob2xvZ2ljYWwgZGlzdHJlc3M8
L3RpdGxlPjxzZWNvbmRhcnktdGl0bGU+UExvUyBPbmU8L3NlY29uZGFyeS10aXRsZT48YWx0LXRp
dGxlPlBsb1Mgb25lPC9hbHQtdGl0bGU+PC90aXRsZXM+PHBlcmlvZGljYWw+PGZ1bGwtdGl0bGU+
UGxvcyBPbmU8L2Z1bGwtdGl0bGU+PC9wZXJpb2RpY2FsPjxhbHQtcGVyaW9kaWNhbD48ZnVsbC10
aXRsZT5QbG9zIE9uZTwvZnVsbC10aXRsZT48L2FsdC1wZXJpb2RpY2FsPjxwYWdlcz5lMDE3MzYy
NTwvcGFnZXM+PHZvbHVtZT4xMjwvdm9sdW1lPjxudW1iZXI+MzwvbnVtYmVyPjxlZGl0aW9uPjIw
MTcvMDMvMTA8L2VkaXRpb24+PGtleXdvcmRzPjxrZXl3b3JkPkFkb2xlc2NlbnQ8L2tleXdvcmQ+
PGtleXdvcmQ+QWR1bHQ8L2tleXdvcmQ+PGtleXdvcmQ+QWdlZDwva2V5d29yZD48a2V5d29yZD5D
cm9zcy1TZWN0aW9uYWwgU3R1ZGllczwva2V5d29yZD48a2V5d29yZD5FbGVjdHJvbmljIE5pY290
aW5lIERlbGl2ZXJ5IFN5c3RlbXMvcHN5Y2hvbG9neS8qdXRpbGl6YXRpb248L2tleXdvcmQ+PGtl
eXdvcmQ+RmVtYWxlPC9rZXl3b3JkPjxrZXl3b3JkPkh1bWFuczwva2V5d29yZD48a2V5d29yZD5N
YWxlPC9rZXl3b3JkPjxrZXl3b3JkPk1pZGRsZSBBZ2VkPC9rZXl3b3JkPjxrZXl3b3JkPlByZXZh
bGVuY2U8L2tleXdvcmQ+PGtleXdvcmQ+U3RyZXNzLCBQc3ljaG9sb2dpY2FsLyplcGlkZW1pb2xv
Z3k8L2tleXdvcmQ+PGtleXdvcmQ+VW5pdGVkIFN0YXRlcy9lcGlkZW1pb2xvZ3k8L2tleXdvcmQ+
PGtleXdvcmQ+WW91bmcgQWR1bHQ8L2tleXdvcmQ+PC9rZXl3b3Jkcz48ZGF0ZXM+PHllYXI+MjAx
NzwveWVhcj48L2RhdGVzPjxpc2JuPjE5MzItNjIwMzwvaXNibj48YWNjZXNzaW9uLW51bT4yODI3
ODIzOTwvYWNjZXNzaW9uLW51bT48dXJscz48cmVsYXRlZC11cmxzPjx1cmw+aHR0cHM6Ly93d3cu
bmNiaS5ubG0ubmloLmdvdi9wbWMvYXJ0aWNsZXMvUE1DNTM0NDQ1OS9wZGYvcG9uZS4wMTczNjI1
LnBkZjwvdXJsPjwvcmVsYXRlZC11cmxzPjwvdXJscz48Y3VzdG9tMj5QTUM1MzQ0NDU5PC9jdXN0
b20yPjxlbGVjdHJvbmljLXJlc291cmNlLW51bT4xMC4xMzcxL2pvdXJuYWwucG9uZS4wMTczNjI1
PC9lbGVjdHJvbmljLXJlc291cmNlLW51bT48cmVtb3RlLWRhdGFiYXNlLXByb3ZpZGVyPk5MTTwv
cmVtb3RlLWRhdGFiYXNlLXByb3ZpZGVyPjxsYW5ndWFnZT5lbmc8L2xhbmd1YWdlPjwvcmVjb3Jk
PjwvQ2l0ZT48L0VuZE5vdGU+AG==
</w:fldData>
        </w:fldChar>
      </w:r>
      <w:r>
        <w:instrText xml:space="preserve"> ADDIN EN.CITE </w:instrText>
      </w:r>
      <w:r>
        <w:fldChar w:fldCharType="begin">
          <w:fldData xml:space="preserve">PEVuZE5vdGU+PENpdGU+PEF1dGhvcj5QYXJrPC9BdXRob3I+PFllYXI+MjAxNzwvWWVhcj48UmVj
TnVtPjUxNzY8L1JlY051bT48RGlzcGxheVRleHQ+KFBhcmssIExlZSBldCBhbC4gMjAxNyk8L0Rp
c3BsYXlUZXh0PjxyZWNvcmQ+PHJlYy1udW1iZXI+NTE3NjwvcmVjLW51bWJlcj48Zm9yZWlnbi1r
ZXlzPjxrZXkgYXBwPSJFTiIgZGItaWQ9ImZwdDlwdHRybTV6ZnNhZXNwOWZwc2RkdjA5ZXdzdjV4
ZXdmZCIgdGltZXN0YW1wPSIxNTI1MDQ2MTg0Ij41MTc2PC9rZXk+PGtleSBhcHA9IkVOV2ViIiBk
Yi1pZD0iIj4wPC9rZXk+PC9mb3JlaWduLWtleXM+PHJlZi10eXBlIG5hbWU9IkpvdXJuYWwgQXJ0
aWNsZSI+MTc8L3JlZi10eXBlPjxjb250cmlidXRvcnM+PGF1dGhvcnM+PGF1dGhvcj5QYXJrLCBT
LiBILjwvYXV0aG9yPjxhdXRob3I+TGVlLCBMLjwvYXV0aG9yPjxhdXRob3I+U2hlYXJzdG9uLCBK
LiBBLjwvYXV0aG9yPjxhdXRob3I+V2VpdHptYW4sIE0uPC9hdXRob3I+PC9hdXRob3JzPjwvY29u
dHJpYnV0b3JzPjxhdXRoLWFkZHJlc3M+RGVwYXJ0bWVudCBvZiBQZWRpYXRyaWNzLCBOZXcgWW9y
ayBVbml2ZXJzaXR5IFNjaG9vbCBvZiBNZWRpY2luZSwgTmV3IFlvcmssIE5ldyBZb3JrLCBVbml0
ZWQgU3RhdGVzIG9mIEFtZXJpY2EuJiN4RDtEZXBhcnRtZW50IG9mIFBvcHVsYXRpb24gSGVhbHRo
LCBOZXcgWW9yayBVbml2ZXJzaXR5IFNjaG9vbCBvZiBNZWRpY2luZSwgTmV3IFlvcmssIE5ldyBZ
b3JrLCBVbml0ZWQgU3RhdGVzIG9mIEFtZXJpY2EuJiN4RDtCcm9va2x5biBDb2xsZWdlLCBOZXcg
WW9yaywgTmV3IFlvcmssIFVuaXRlZCBTdGF0ZXMgb2YgQW1lcmljYS4mI3hEO0NvbGxlZ2Ugb2Yg
R2xvYmFsIFB1YmxpYyBIZWFsdGgsIE5ldyBZb3JrIFVuaXZlcnNpdHksIE5ldyBZb3JrLCBOZXcg
WW9yaywgVW5pdGVkIFN0YXRlcyBvZiBBbWVyaWNhLiYjeEQ7TmV3IFlvcmsgVW5pdmVyc2l0eS8g
QWJ1IERoYWJpIFB1YmxpYyBIZWFsdGggUmVzZWFyY2ggQ2VudGVyLCBBYnUgRGhhYmksIFVuaXRl
ZCBBcmFiIEVtaXJhdGVzLiYjeEQ7RGVwYXJ0bWVudCBvZiBFbnZpcm9ubWVudGFsIE1lZGljaW5l
LCBOZXcgWW9yayBVbml2ZXJzaXR5LCBOZXcgWW9yaywgTmV3IFlvcmssIFVuaXRlZCBTdGF0ZXMg
b2YgQW1lcmljYS48L2F1dGgtYWRkcmVzcz48dGl0bGVzPjx0aXRsZT5QYXR0ZXJucyBvZiBlbGVj
dHJvbmljIGNpZ2FyZXR0ZSB1c2UgYW5kIGxldmVsIG9mIHBzeWNob2xvZ2ljYWwgZGlzdHJlc3M8
L3RpdGxlPjxzZWNvbmRhcnktdGl0bGU+UExvUyBPbmU8L3NlY29uZGFyeS10aXRsZT48YWx0LXRp
dGxlPlBsb1Mgb25lPC9hbHQtdGl0bGU+PC90aXRsZXM+PHBlcmlvZGljYWw+PGZ1bGwtdGl0bGU+
UGxvcyBPbmU8L2Z1bGwtdGl0bGU+PC9wZXJpb2RpY2FsPjxhbHQtcGVyaW9kaWNhbD48ZnVsbC10
aXRsZT5QbG9zIE9uZTwvZnVsbC10aXRsZT48L2FsdC1wZXJpb2RpY2FsPjxwYWdlcz5lMDE3MzYy
NTwvcGFnZXM+PHZvbHVtZT4xMjwvdm9sdW1lPjxudW1iZXI+MzwvbnVtYmVyPjxlZGl0aW9uPjIw
MTcvMDMvMTA8L2VkaXRpb24+PGtleXdvcmRzPjxrZXl3b3JkPkFkb2xlc2NlbnQ8L2tleXdvcmQ+
PGtleXdvcmQ+QWR1bHQ8L2tleXdvcmQ+PGtleXdvcmQ+QWdlZDwva2V5d29yZD48a2V5d29yZD5D
cm9zcy1TZWN0aW9uYWwgU3R1ZGllczwva2V5d29yZD48a2V5d29yZD5FbGVjdHJvbmljIE5pY290
aW5lIERlbGl2ZXJ5IFN5c3RlbXMvcHN5Y2hvbG9neS8qdXRpbGl6YXRpb248L2tleXdvcmQ+PGtl
eXdvcmQ+RmVtYWxlPC9rZXl3b3JkPjxrZXl3b3JkPkh1bWFuczwva2V5d29yZD48a2V5d29yZD5N
YWxlPC9rZXl3b3JkPjxrZXl3b3JkPk1pZGRsZSBBZ2VkPC9rZXl3b3JkPjxrZXl3b3JkPlByZXZh
bGVuY2U8L2tleXdvcmQ+PGtleXdvcmQ+U3RyZXNzLCBQc3ljaG9sb2dpY2FsLyplcGlkZW1pb2xv
Z3k8L2tleXdvcmQ+PGtleXdvcmQ+VW5pdGVkIFN0YXRlcy9lcGlkZW1pb2xvZ3k8L2tleXdvcmQ+
PGtleXdvcmQ+WW91bmcgQWR1bHQ8L2tleXdvcmQ+PC9rZXl3b3Jkcz48ZGF0ZXM+PHllYXI+MjAx
NzwveWVhcj48L2RhdGVzPjxpc2JuPjE5MzItNjIwMzwvaXNibj48YWNjZXNzaW9uLW51bT4yODI3
ODIzOTwvYWNjZXNzaW9uLW51bT48dXJscz48cmVsYXRlZC11cmxzPjx1cmw+aHR0cHM6Ly93d3cu
bmNiaS5ubG0ubmloLmdvdi9wbWMvYXJ0aWNsZXMvUE1DNTM0NDQ1OS9wZGYvcG9uZS4wMTczNjI1
LnBkZjwvdXJsPjwvcmVsYXRlZC11cmxzPjwvdXJscz48Y3VzdG9tMj5QTUM1MzQ0NDU5PC9jdXN0
b20yPjxlbGVjdHJvbmljLXJlc291cmNlLW51bT4xMC4xMzcxL2pvdXJuYWwucG9uZS4wMTczNjI1
PC9lbGVjdHJvbmljLXJlc291cmNlLW51bT48cmVtb3RlLWRhdGFiYXNlLXByb3ZpZGVyPk5MTTwv
cmVtb3RlLWRhdGFiYXNlLXByb3ZpZGVyPjxsYW5ndWFnZT5lbmc8L2xhbmd1YWdlPjwvcmVjb3Jk
PjwvQ2l0ZT48L0VuZE5vdGU+AG==
</w:fldData>
        </w:fldChar>
      </w:r>
      <w:r>
        <w:instrText xml:space="preserve"> ADDIN EN.CITE.DATA </w:instrText>
      </w:r>
      <w:r>
        <w:fldChar w:fldCharType="end"/>
      </w:r>
      <w:r>
        <w:fldChar w:fldCharType="separate"/>
      </w:r>
      <w:r>
        <w:rPr>
          <w:noProof/>
        </w:rPr>
        <w:t>(Park, Lee et al. 2017)</w:t>
      </w:r>
      <w:r>
        <w:fldChar w:fldCharType="end"/>
      </w:r>
      <w:r>
        <w:t>. Hopelessness is strongly linked to depression. These findings are supportive of observations made about e</w:t>
      </w:r>
      <w:r>
        <w:noBreakHyphen/>
        <w:t>cigarette use but extend this to better understanding of the transition to conventional cigarette use.</w:t>
      </w:r>
    </w:p>
    <w:p w14:paraId="21A71B53" w14:textId="77777777" w:rsidR="00673D5A" w:rsidRDefault="00673D5A" w:rsidP="00673D5A">
      <w:pPr>
        <w:pStyle w:val="BodyText"/>
      </w:pPr>
    </w:p>
    <w:p w14:paraId="22D003A4" w14:textId="77777777" w:rsidR="00673D5A" w:rsidRDefault="00673D5A" w:rsidP="00673D5A">
      <w:pPr>
        <w:pStyle w:val="BodyText"/>
      </w:pPr>
      <w:r>
        <w:t>The final nine studies extracted did not report on specific regions or report on data collected via the internet with no specific regional requirements.</w:t>
      </w:r>
    </w:p>
    <w:p w14:paraId="4B58D9CC" w14:textId="4C2D59E3" w:rsidR="002B2612" w:rsidRDefault="00673D5A" w:rsidP="00673D5A">
      <w:pPr>
        <w:pStyle w:val="BodyText"/>
      </w:pPr>
      <w:r>
        <w:lastRenderedPageBreak/>
        <w:t xml:space="preserve">Two papers analysed discussion forum content including 3.3 million </w:t>
      </w:r>
      <w:r w:rsidR="002B2612">
        <w:t>t</w:t>
      </w:r>
      <w:r>
        <w:t xml:space="preserve">weets </w:t>
      </w:r>
      <w:r>
        <w:fldChar w:fldCharType="begin">
          <w:fldData xml:space="preserve">PEVuZE5vdGU+PENpdGU+PEF1dGhvcj5BeWVyczwvQXV0aG9yPjxZZWFyPjIwMTc8L1llYXI+PFJl
Y051bT41MTkzPC9SZWNOdW0+PERpc3BsYXlUZXh0PihBeWVycywgTGVhcyBldCBhbC4gMjAxNyk8
L0Rpc3BsYXlUZXh0PjxyZWNvcmQ+PHJlYy1udW1iZXI+NTE5MzwvcmVjLW51bWJlcj48Zm9yZWln
bi1rZXlzPjxrZXkgYXBwPSJFTiIgZGItaWQ9ImZwdDlwdHRybTV6ZnNhZXNwOWZwc2RkdjA5ZXdz
djV4ZXdmZCIgdGltZXN0YW1wPSIxNTI1MDQ2MjIxIj41MTkzPC9rZXk+PGtleSBhcHA9IkVOV2Vi
IiBkYi1pZD0iIj4wPC9rZXk+PC9mb3JlaWduLWtleXM+PHJlZi10eXBlIG5hbWU9IkpvdXJuYWwg
QXJ0aWNsZSI+MTc8L3JlZi10eXBlPjxjb250cmlidXRvcnM+PGF1dGhvcnM+PGF1dGhvcj5BeWVy
cywgSi4gVy48L2F1dGhvcj48YXV0aG9yPkxlYXMsIEUuIEMuPC9hdXRob3I+PGF1dGhvcj5BbGxl
bSwgSi4gUC48L2F1dGhvcj48YXV0aG9yPkJlbnRvbiwgQS48L2F1dGhvcj48YXV0aG9yPkRyZWR6
ZSwgTS48L2F1dGhvcj48YXV0aG9yPkFsdGhvdXNlLCBCLiBNLjwvYXV0aG9yPjxhdXRob3I+Q3J1
eiwgVC4gQi48L2F1dGhvcj48YXV0aG9yPlVuZ2VyLCBKLiBCLjwvYXV0aG9yPjwvYXV0aG9ycz48
L2NvbnRyaWJ1dG9ycz48YXV0aC1hZGRyZXNzPkdyYWR1YXRlIFNjaG9vbCBvZiBQdWJsaWMgSGVh
bHRoLCBTYW4gRGllZ28gU3RhdGUgVW5pdmVyc2l0eSwgU2FuIERpZWdvLCBDYWxpZm9ybmlhLCBV
bml0ZWQgU3RhdGVzIG9mIEFtZXJpY2EuJiN4RDtVbml2ZXJzaXR5IG9mIENhbGlmb3JuaWEgU2Fu
IERpZWdvIFNjaG9vbCBvZiBNZWRpY2luZSwgU2FuIERpZWdvLCBDYWxpZm9ybmlhLCBVbml0ZWQg
U3RhdGVzIG9mIEFtZXJpY2EuJiN4RDtLZWNrIFNjaG9vbCBvZiBNZWRpY2luZSwgVW5pdmVyc2l0
eSBvZiBTb3V0aGVybiBDYWxpZm9ybmlhLCBMb3MgQW5nZWxlcywgQ2FsaWZvcm5pYSwgVW5pdGVk
IFN0YXRlcyBvZiBBbWVyaWNhLiYjeEQ7RGVwYXJ0bWVudCBvZiBDb21wdXRlciBTY2llbmNlLCBK
b2hucyBIb3BraW5zIFVuaXZlcnNpdHksIEJhbHRpbW9yZSwgTWFyeWxhbmQsIFVuaXRlZCBTdGF0
ZXMgb2YgQW1lcmljYS4mI3hEO0h1bWFuIExhbmd1YWdlIFRlY2hub2xvZ3kgQ2VudGVyIG9mIEV4
Y2VsbGVuY2UsIEpvaG5zIEhvcGtpbnMgVW5pdmVyc2l0eSwgQmFsdGltb3JlLCBNYXJ5bGFuZCwg
VW5pdGVkIFN0YXRlcyBvZiBBbWVyaWNhLiYjeEQ7Qmxvb21iZXJnIExQLCBOZXcgWW9yaywgTmV3
IFlvcmssIFVuaXRlZCBTdGF0ZXMgb2YgQW1lcmljYS4mI3hEO0luc3RpdHV0ZSBmb3IgRGlzZWFz
ZSBNb2RlbGluZywgQmVsbGV2dWUsIFdhc2hpbmd0b24sIFVuaXRlZCBTdGF0ZXMgb2YgQW1lcmlj
YS4mI3hEO1NhbnRhIEZlIEluc3RpdHV0ZSwgU2FudGEgRmUsIE5ldyBNZXhpY28sIFVuaXRlZCBT
dGF0ZXMgb2YgQW1lcmljYS4mI3hEO05ldyBNZXhpY28gU3RhdGUgVW5pdmVyc2l0eSwgTGFzIENy
dWNlcywgTmV3IE1leGljbywgVW5pdGVkIFN0YXRlcyBvZiBBbWVyaWNhLjwvYXV0aC1hZGRyZXNz
Pjx0aXRsZXM+PHRpdGxlPldoeSBkbyBwZW9wbGUgdXNlIGVsZWN0cm9uaWMgbmljb3RpbmUgZGVs
aXZlcnkgc3lzdGVtcyAoZWxlY3Ryb25pYyBjaWdhcmV0dGVzKT8gQSBjb250ZW50IGFuYWx5c2lz
IG9mIFR3aXR0ZXIsIDIwMTItMjAxNTwvdGl0bGU+PHNlY29uZGFyeS10aXRsZT5QTG9TIE9uZTwv
c2Vjb25kYXJ5LXRpdGxlPjxhbHQtdGl0bGU+UGxvUyBvbmU8L2FsdC10aXRsZT48L3RpdGxlcz48
cGVyaW9kaWNhbD48ZnVsbC10aXRsZT5QbG9zIE9uZTwvZnVsbC10aXRsZT48L3BlcmlvZGljYWw+
PGFsdC1wZXJpb2RpY2FsPjxmdWxsLXRpdGxlPlBsb3MgT25lPC9mdWxsLXRpdGxlPjwvYWx0LXBl
cmlvZGljYWw+PHBhZ2VzPmUwMTcwNzAyPC9wYWdlcz48dm9sdW1lPjEyPC92b2x1bWU+PG51bWJl
cj4zPC9udW1iZXI+PGVkaXRpb24+MjAxNy8wMy8wMjwvZWRpdGlvbj48a2V5d29yZHM+PGtleXdv
cmQ+Q3Jvc3MtU2VjdGlvbmFsIFN0dWRpZXM8L2tleXdvcmQ+PGtleXdvcmQ+KkVsZWN0cm9uaWMg
Tmljb3RpbmUgRGVsaXZlcnkgU3lzdGVtczwva2V5d29yZD48a2V5d29yZD5GZW1hbGU8L2tleXdv
cmQ+PGtleXdvcmQ+SHVtYW5zPC9rZXl3b3JkPjxrZXl3b3JkPk1hbGU8L2tleXdvcmQ+PGtleXdv
cmQ+KlNvY2lhbCBNZWRpYTwva2V5d29yZD48a2V5d29yZD4qVmFwaW5nPC9rZXl3b3JkPjwva2V5
d29yZHM+PGRhdGVzPjx5ZWFyPjIwMTc8L3llYXI+PC9kYXRlcz48aXNibj4xOTMyLTYyMDM8L2lz
Ym4+PGFjY2Vzc2lvbi1udW0+MjgyNDg5ODc8L2FjY2Vzc2lvbi1udW0+PHVybHM+PHJlbGF0ZWQt
dXJscz48dXJsPmh0dHBzOi8vd3d3Lm5jYmkubmxtLm5paC5nb3YvcG1jL2FydGljbGVzL1BNQzUz
MzE5NjEvcGRmL3BvbmUuMDE3MDcwMi5wZGY8L3VybD48L3JlbGF0ZWQtdXJscz48L3VybHM+PGN1
c3RvbTI+UE1DNTMzMTk2MTwvY3VzdG9tMj48ZWxlY3Ryb25pYy1yZXNvdXJjZS1udW0+MTAuMTM3
MS9qb3VybmFsLnBvbmUuMDE3MDcwMjwvZWxlY3Ryb25pYy1yZXNvdXJjZS1udW0+PHJlbW90ZS1k
YXRhYmFzZS1wcm92aWRlcj5OTE08L3JlbW90ZS1kYXRhYmFzZS1wcm92aWRlcj48bGFuZ3VhZ2U+
ZW5nPC9sYW5ndWFnZT48L3JlY29yZD48L0NpdGU+PC9FbmROb3RlPn==
</w:fldData>
        </w:fldChar>
      </w:r>
      <w:r>
        <w:instrText xml:space="preserve"> ADDIN EN.CITE </w:instrText>
      </w:r>
      <w:r>
        <w:fldChar w:fldCharType="begin">
          <w:fldData xml:space="preserve">PEVuZE5vdGU+PENpdGU+PEF1dGhvcj5BeWVyczwvQXV0aG9yPjxZZWFyPjIwMTc8L1llYXI+PFJl
Y051bT41MTkzPC9SZWNOdW0+PERpc3BsYXlUZXh0PihBeWVycywgTGVhcyBldCBhbC4gMjAxNyk8
L0Rpc3BsYXlUZXh0PjxyZWNvcmQ+PHJlYy1udW1iZXI+NTE5MzwvcmVjLW51bWJlcj48Zm9yZWln
bi1rZXlzPjxrZXkgYXBwPSJFTiIgZGItaWQ9ImZwdDlwdHRybTV6ZnNhZXNwOWZwc2RkdjA5ZXdz
djV4ZXdmZCIgdGltZXN0YW1wPSIxNTI1MDQ2MjIxIj41MTkzPC9rZXk+PGtleSBhcHA9IkVOV2Vi
IiBkYi1pZD0iIj4wPC9rZXk+PC9mb3JlaWduLWtleXM+PHJlZi10eXBlIG5hbWU9IkpvdXJuYWwg
QXJ0aWNsZSI+MTc8L3JlZi10eXBlPjxjb250cmlidXRvcnM+PGF1dGhvcnM+PGF1dGhvcj5BeWVy
cywgSi4gVy48L2F1dGhvcj48YXV0aG9yPkxlYXMsIEUuIEMuPC9hdXRob3I+PGF1dGhvcj5BbGxl
bSwgSi4gUC48L2F1dGhvcj48YXV0aG9yPkJlbnRvbiwgQS48L2F1dGhvcj48YXV0aG9yPkRyZWR6
ZSwgTS48L2F1dGhvcj48YXV0aG9yPkFsdGhvdXNlLCBCLiBNLjwvYXV0aG9yPjxhdXRob3I+Q3J1
eiwgVC4gQi48L2F1dGhvcj48YXV0aG9yPlVuZ2VyLCBKLiBCLjwvYXV0aG9yPjwvYXV0aG9ycz48
L2NvbnRyaWJ1dG9ycz48YXV0aC1hZGRyZXNzPkdyYWR1YXRlIFNjaG9vbCBvZiBQdWJsaWMgSGVh
bHRoLCBTYW4gRGllZ28gU3RhdGUgVW5pdmVyc2l0eSwgU2FuIERpZWdvLCBDYWxpZm9ybmlhLCBV
bml0ZWQgU3RhdGVzIG9mIEFtZXJpY2EuJiN4RDtVbml2ZXJzaXR5IG9mIENhbGlmb3JuaWEgU2Fu
IERpZWdvIFNjaG9vbCBvZiBNZWRpY2luZSwgU2FuIERpZWdvLCBDYWxpZm9ybmlhLCBVbml0ZWQg
U3RhdGVzIG9mIEFtZXJpY2EuJiN4RDtLZWNrIFNjaG9vbCBvZiBNZWRpY2luZSwgVW5pdmVyc2l0
eSBvZiBTb3V0aGVybiBDYWxpZm9ybmlhLCBMb3MgQW5nZWxlcywgQ2FsaWZvcm5pYSwgVW5pdGVk
IFN0YXRlcyBvZiBBbWVyaWNhLiYjeEQ7RGVwYXJ0bWVudCBvZiBDb21wdXRlciBTY2llbmNlLCBK
b2hucyBIb3BraW5zIFVuaXZlcnNpdHksIEJhbHRpbW9yZSwgTWFyeWxhbmQsIFVuaXRlZCBTdGF0
ZXMgb2YgQW1lcmljYS4mI3hEO0h1bWFuIExhbmd1YWdlIFRlY2hub2xvZ3kgQ2VudGVyIG9mIEV4
Y2VsbGVuY2UsIEpvaG5zIEhvcGtpbnMgVW5pdmVyc2l0eSwgQmFsdGltb3JlLCBNYXJ5bGFuZCwg
VW5pdGVkIFN0YXRlcyBvZiBBbWVyaWNhLiYjeEQ7Qmxvb21iZXJnIExQLCBOZXcgWW9yaywgTmV3
IFlvcmssIFVuaXRlZCBTdGF0ZXMgb2YgQW1lcmljYS4mI3hEO0luc3RpdHV0ZSBmb3IgRGlzZWFz
ZSBNb2RlbGluZywgQmVsbGV2dWUsIFdhc2hpbmd0b24sIFVuaXRlZCBTdGF0ZXMgb2YgQW1lcmlj
YS4mI3hEO1NhbnRhIEZlIEluc3RpdHV0ZSwgU2FudGEgRmUsIE5ldyBNZXhpY28sIFVuaXRlZCBT
dGF0ZXMgb2YgQW1lcmljYS4mI3hEO05ldyBNZXhpY28gU3RhdGUgVW5pdmVyc2l0eSwgTGFzIENy
dWNlcywgTmV3IE1leGljbywgVW5pdGVkIFN0YXRlcyBvZiBBbWVyaWNhLjwvYXV0aC1hZGRyZXNz
Pjx0aXRsZXM+PHRpdGxlPldoeSBkbyBwZW9wbGUgdXNlIGVsZWN0cm9uaWMgbmljb3RpbmUgZGVs
aXZlcnkgc3lzdGVtcyAoZWxlY3Ryb25pYyBjaWdhcmV0dGVzKT8gQSBjb250ZW50IGFuYWx5c2lz
IG9mIFR3aXR0ZXIsIDIwMTItMjAxNTwvdGl0bGU+PHNlY29uZGFyeS10aXRsZT5QTG9TIE9uZTwv
c2Vjb25kYXJ5LXRpdGxlPjxhbHQtdGl0bGU+UGxvUyBvbmU8L2FsdC10aXRsZT48L3RpdGxlcz48
cGVyaW9kaWNhbD48ZnVsbC10aXRsZT5QbG9zIE9uZTwvZnVsbC10aXRsZT48L3BlcmlvZGljYWw+
PGFsdC1wZXJpb2RpY2FsPjxmdWxsLXRpdGxlPlBsb3MgT25lPC9mdWxsLXRpdGxlPjwvYWx0LXBl
cmlvZGljYWw+PHBhZ2VzPmUwMTcwNzAyPC9wYWdlcz48dm9sdW1lPjEyPC92b2x1bWU+PG51bWJl
cj4zPC9udW1iZXI+PGVkaXRpb24+MjAxNy8wMy8wMjwvZWRpdGlvbj48a2V5d29yZHM+PGtleXdv
cmQ+Q3Jvc3MtU2VjdGlvbmFsIFN0dWRpZXM8L2tleXdvcmQ+PGtleXdvcmQ+KkVsZWN0cm9uaWMg
Tmljb3RpbmUgRGVsaXZlcnkgU3lzdGVtczwva2V5d29yZD48a2V5d29yZD5GZW1hbGU8L2tleXdv
cmQ+PGtleXdvcmQ+SHVtYW5zPC9rZXl3b3JkPjxrZXl3b3JkPk1hbGU8L2tleXdvcmQ+PGtleXdv
cmQ+KlNvY2lhbCBNZWRpYTwva2V5d29yZD48a2V5d29yZD4qVmFwaW5nPC9rZXl3b3JkPjwva2V5
d29yZHM+PGRhdGVzPjx5ZWFyPjIwMTc8L3llYXI+PC9kYXRlcz48aXNibj4xOTMyLTYyMDM8L2lz
Ym4+PGFjY2Vzc2lvbi1udW0+MjgyNDg5ODc8L2FjY2Vzc2lvbi1udW0+PHVybHM+PHJlbGF0ZWQt
dXJscz48dXJsPmh0dHBzOi8vd3d3Lm5jYmkubmxtLm5paC5nb3YvcG1jL2FydGljbGVzL1BNQzUz
MzE5NjEvcGRmL3BvbmUuMDE3MDcwMi5wZGY8L3VybD48L3JlbGF0ZWQtdXJscz48L3VybHM+PGN1
c3RvbTI+UE1DNTMzMTk2MTwvY3VzdG9tMj48ZWxlY3Ryb25pYy1yZXNvdXJjZS1udW0+MTAuMTM3
MS9qb3VybmFsLnBvbmUuMDE3MDcwMjwvZWxlY3Ryb25pYy1yZXNvdXJjZS1udW0+PHJlbW90ZS1k
YXRhYmFzZS1wcm92aWRlcj5OTE08L3JlbW90ZS1kYXRhYmFzZS1wcm92aWRlcj48bGFuZ3VhZ2U+
ZW5nPC9sYW5ndWFnZT48L3JlY29yZD48L0NpdGU+PC9FbmROb3RlPn==
</w:fldData>
        </w:fldChar>
      </w:r>
      <w:r>
        <w:instrText xml:space="preserve"> ADDIN EN.CITE.DATA </w:instrText>
      </w:r>
      <w:r>
        <w:fldChar w:fldCharType="end"/>
      </w:r>
      <w:r>
        <w:fldChar w:fldCharType="separate"/>
      </w:r>
      <w:r>
        <w:rPr>
          <w:noProof/>
        </w:rPr>
        <w:t>(Ayers, Leas et al. 2017)</w:t>
      </w:r>
      <w:r>
        <w:fldChar w:fldCharType="end"/>
      </w:r>
      <w:r>
        <w:t xml:space="preserve"> and 3,263 Reddit comments </w:t>
      </w:r>
      <w:r>
        <w:fldChar w:fldCharType="begin">
          <w:fldData xml:space="preserve">PEVuZE5vdGU+PENpdGU+PEF1dGhvcj5TaGFybWE8L0F1dGhvcj48WWVhcj4yMDE3PC9ZZWFyPjxS
ZWNOdW0+NTQzMTwvUmVjTnVtPjxEaXNwbGF5VGV4dD4oU2hhcm1hLCBXaWdnaW50b24gZXQgYWwu
IDIwMTcpPC9EaXNwbGF5VGV4dD48cmVjb3JkPjxyZWMtbnVtYmVyPjU0MzE8L3JlYy1udW1iZXI+
PGZvcmVpZ24ta2V5cz48a2V5IGFwcD0iRU4iIGRiLWlkPSJmcHQ5cHR0cm01emZzYWVzcDlmcHNk
ZHYwOWV3c3Y1eGV3ZmQiIHRpbWVzdGFtcD0iMTUyNTA0NjYyOSI+NTQzMTwva2V5PjxrZXkgYXBw
PSJFTldlYiIgZGItaWQ9IiI+MDwva2V5PjwvZm9yZWlnbi1rZXlzPjxyZWYtdHlwZSBuYW1lPSJK
b3VybmFsIEFydGljbGUiPjE3PC9yZWYtdHlwZT48Y29udHJpYnV0b3JzPjxhdXRob3JzPjxhdXRo
b3I+U2hhcm1hLCBSLjwvYXV0aG9yPjxhdXRob3I+V2lnZ2ludG9uLCBCLjwvYXV0aG9yPjxhdXRo
b3I+TWV1cmssIEMuPC9hdXRob3I+PGF1dGhvcj5Gb3JkLCBQLjwvYXV0aG9yPjxhdXRob3I+R2Fy
dG5lciwgQy4gRS48L2F1dGhvcj48L2F1dGhvcnM+PC9jb250cmlidXRvcnM+PHRpdGxlcz48dGl0
bGU+TW90aXZhdGlvbnMgYW5kIGxpbWl0YXRpb25zIGFzc29jaWF0ZWQgd2l0aCB2YXBpbmcgYW1v
bmcgcGVvcGxlIHdpdGggbWVudGFsIGlsbG5lc3M6IEEgcXVhbGl0YXRpdmUgYW5hbHlzaXMgb2Yg
cmVkZGl0IGRpc2N1c3Npb25zPC90aXRsZT48c2Vjb25kYXJ5LXRpdGxlPkludGVybmF0aW9uYWwg
Sm91cm5hbCBvZiBFbnZpcm9ubWVudGFsIFJlc2VhcmNoIGFuZCBQdWJsaWMgSGVhbHRoPC9zZWNv
bmRhcnktdGl0bGU+PC90aXRsZXM+PHBlcmlvZGljYWw+PGZ1bGwtdGl0bGU+SW50ZXJuYXRpb25h
bCBKb3VybmFsIG9mIEVudmlyb25tZW50YWwgUmVzZWFyY2ggYW5kIFB1YmxpYyBIZWFsdGg8L2Z1
bGwtdGl0bGU+PC9wZXJpb2RpY2FsPjx2b2x1bWU+MTQ8L3ZvbHVtZT48bnVtYmVyPjE8L251bWJl
cj48a2V5d29yZHM+PGtleXdvcmQ+bWVudGFsIGhlYWx0aDwva2V5d29yZD48a2V5d29yZD5xdWFs
aXRhdGl2ZSBhbmFseXNpczwva2V5d29yZD48a2V5d29yZD5yZXNlYXJjaCBtZXRob2Q8L2tleXdv
cmQ+PGtleXdvcmQ+c21va2luZzwva2V5d29yZD48a2V5d29yZD5zb2NpYWwgbWVkaWE8L2tleXdv
cmQ+PGtleXdvcmQ+V29ybGQgV2lkZSBXZWI8L2tleXdvcmQ+PGtleXdvcmQ+QXJ0aWNsZTwva2V5
d29yZD48a2V5d29yZD5jb3N0IGJlbmVmaXQgYW5hbHlzaXM8L2tleXdvcmQ+PGtleXdvcmQ+aGVh
bHRoIGNhcmUgcG9saWN5PC9rZXl3b3JkPjxrZXl3b3JkPmhlYWx0aCBoYXphcmQ8L2tleXdvcmQ+
PGtleXdvcmQ+aHVtYW48L2tleXdvcmQ+PGtleXdvcmQ+bGVpc3VyZTwva2V5d29yZD48a2V5d29y
ZD5tZW50YWwgcGF0aWVudDwva2V5d29yZD48a2V5d29yZD5tb3RpdmF0aW9uPC9rZXl3b3JkPjxr
ZXl3b3JkPnBhdGllbnQgYXR0aXR1ZGU8L2tleXdvcmQ+PGtleXdvcmQ+cG9wdWxhdGlvbiByZXNl
YXJjaDwva2V5d29yZD48a2V5d29yZD5yaXNrIGFzc2Vzc21lbnQ8L2tleXdvcmQ+PGtleXdvcmQ+
cmlzayBmYWN0b3I8L2tleXdvcmQ+PGtleXdvcmQ+c2VsZiBtZWRpY2F0aW9uPC9rZXl3b3JkPjxr
ZXl3b3JkPnNtb2tpbmcgY2Vzc2F0aW9uPC9rZXl3b3JkPjxrZXl3b3JkPnNvY2lhbCBiZWhhdmlv
cjwva2V5d29yZD48a2V5d29yZD5zb2NpYWwgc3VwcG9ydDwva2V5d29yZD48a2V5d29yZD50b2Jh
Y2NvIGRlcGVuZGVuY2U8L2tleXdvcmQ+PGtleXdvcmQ+dmFwaW5nPC9rZXl3b3JkPjxrZXl3b3Jk
PmF0dGl0dWRlPC9rZXl3b3JkPjxrZXl3b3JkPmVsZWN0cm9uaWMgY2lnYXJldHRlPC9rZXl3b3Jk
PjxrZXl3b3JkPm1lbnRhbCBkaXNlYXNlPC9rZXl3b3JkPjxrZXl3b3JkPnBzeWNob2xvZ3k8L2tl
eXdvcmQ+PGtleXdvcmQ+RWxlY3Ryb25pYyBDaWdhcmV0dGVzPC9rZXl3b3JkPjxrZXl3b3JkPkh1
bWFuczwva2V5d29yZD48a2V5d29yZD5NZW50YWwgRGlzb3JkZXJzPC9rZXl3b3JkPjwva2V5d29y
ZHM+PGRhdGVzPjx5ZWFyPjIwMTc8L3llYXI+PC9kYXRlcz48dXJscz48cmVsYXRlZC11cmxzPjx1
cmw+aHR0cHM6Ly93d3cuc2NvcHVzLmNvbS9pbndhcmQvcmVjb3JkLnVyaT9laWQ9Mi1zMi4wLTg1
MDA3MzA1NDA0JmFtcDtkb2k9MTAuMzM5MCUyZmlqZXJwaDE0MDEwMDA3JmFtcDtwYXJ0bmVySUQ9
NDAmYW1wO21kNT1kNDYxMGRlOGE5ODA4NGI3ZGQzNGYwMGE5NjZlNTE2MjwvdXJsPjx1cmw+aHR0
cDovL3d3dy5tZHBpLmNvbS8xNjYwLTQ2MDEvMTQvMS83L3BkZjwvdXJsPjwvcmVsYXRlZC11cmxz
PjwvdXJscz48ZWxlY3Ryb25pYy1yZXNvdXJjZS1udW0+MTAuMzM5MC9pamVycGgxNDAxMDAwNzwv
ZWxlY3Ryb25pYy1yZXNvdXJjZS1udW0+PHJlbW90ZS1kYXRhYmFzZS1uYW1lPlNjb3B1cyBDNyAt
IDcgQzIgLSAyODAyNTUxNjwvcmVtb3RlLWRhdGFiYXNlLW5hbWU+PC9yZWNvcmQ+PC9DaXRlPjwv
RW5kTm90ZT4A
</w:fldData>
        </w:fldChar>
      </w:r>
      <w:r>
        <w:instrText xml:space="preserve"> ADDIN EN.CITE </w:instrText>
      </w:r>
      <w:r>
        <w:fldChar w:fldCharType="begin">
          <w:fldData xml:space="preserve">PEVuZE5vdGU+PENpdGU+PEF1dGhvcj5TaGFybWE8L0F1dGhvcj48WWVhcj4yMDE3PC9ZZWFyPjxS
ZWNOdW0+NTQzMTwvUmVjTnVtPjxEaXNwbGF5VGV4dD4oU2hhcm1hLCBXaWdnaW50b24gZXQgYWwu
IDIwMTcpPC9EaXNwbGF5VGV4dD48cmVjb3JkPjxyZWMtbnVtYmVyPjU0MzE8L3JlYy1udW1iZXI+
PGZvcmVpZ24ta2V5cz48a2V5IGFwcD0iRU4iIGRiLWlkPSJmcHQ5cHR0cm01emZzYWVzcDlmcHNk
ZHYwOWV3c3Y1eGV3ZmQiIHRpbWVzdGFtcD0iMTUyNTA0NjYyOSI+NTQzMTwva2V5PjxrZXkgYXBw
PSJFTldlYiIgZGItaWQ9IiI+MDwva2V5PjwvZm9yZWlnbi1rZXlzPjxyZWYtdHlwZSBuYW1lPSJK
b3VybmFsIEFydGljbGUiPjE3PC9yZWYtdHlwZT48Y29udHJpYnV0b3JzPjxhdXRob3JzPjxhdXRo
b3I+U2hhcm1hLCBSLjwvYXV0aG9yPjxhdXRob3I+V2lnZ2ludG9uLCBCLjwvYXV0aG9yPjxhdXRo
b3I+TWV1cmssIEMuPC9hdXRob3I+PGF1dGhvcj5Gb3JkLCBQLjwvYXV0aG9yPjxhdXRob3I+R2Fy
dG5lciwgQy4gRS48L2F1dGhvcj48L2F1dGhvcnM+PC9jb250cmlidXRvcnM+PHRpdGxlcz48dGl0
bGU+TW90aXZhdGlvbnMgYW5kIGxpbWl0YXRpb25zIGFzc29jaWF0ZWQgd2l0aCB2YXBpbmcgYW1v
bmcgcGVvcGxlIHdpdGggbWVudGFsIGlsbG5lc3M6IEEgcXVhbGl0YXRpdmUgYW5hbHlzaXMgb2Yg
cmVkZGl0IGRpc2N1c3Npb25zPC90aXRsZT48c2Vjb25kYXJ5LXRpdGxlPkludGVybmF0aW9uYWwg
Sm91cm5hbCBvZiBFbnZpcm9ubWVudGFsIFJlc2VhcmNoIGFuZCBQdWJsaWMgSGVhbHRoPC9zZWNv
bmRhcnktdGl0bGU+PC90aXRsZXM+PHBlcmlvZGljYWw+PGZ1bGwtdGl0bGU+SW50ZXJuYXRpb25h
bCBKb3VybmFsIG9mIEVudmlyb25tZW50YWwgUmVzZWFyY2ggYW5kIFB1YmxpYyBIZWFsdGg8L2Z1
bGwtdGl0bGU+PC9wZXJpb2RpY2FsPjx2b2x1bWU+MTQ8L3ZvbHVtZT48bnVtYmVyPjE8L251bWJl
cj48a2V5d29yZHM+PGtleXdvcmQ+bWVudGFsIGhlYWx0aDwva2V5d29yZD48a2V5d29yZD5xdWFs
aXRhdGl2ZSBhbmFseXNpczwva2V5d29yZD48a2V5d29yZD5yZXNlYXJjaCBtZXRob2Q8L2tleXdv
cmQ+PGtleXdvcmQ+c21va2luZzwva2V5d29yZD48a2V5d29yZD5zb2NpYWwgbWVkaWE8L2tleXdv
cmQ+PGtleXdvcmQ+V29ybGQgV2lkZSBXZWI8L2tleXdvcmQ+PGtleXdvcmQ+QXJ0aWNsZTwva2V5
d29yZD48a2V5d29yZD5jb3N0IGJlbmVmaXQgYW5hbHlzaXM8L2tleXdvcmQ+PGtleXdvcmQ+aGVh
bHRoIGNhcmUgcG9saWN5PC9rZXl3b3JkPjxrZXl3b3JkPmhlYWx0aCBoYXphcmQ8L2tleXdvcmQ+
PGtleXdvcmQ+aHVtYW48L2tleXdvcmQ+PGtleXdvcmQ+bGVpc3VyZTwva2V5d29yZD48a2V5d29y
ZD5tZW50YWwgcGF0aWVudDwva2V5d29yZD48a2V5d29yZD5tb3RpdmF0aW9uPC9rZXl3b3JkPjxr
ZXl3b3JkPnBhdGllbnQgYXR0aXR1ZGU8L2tleXdvcmQ+PGtleXdvcmQ+cG9wdWxhdGlvbiByZXNl
YXJjaDwva2V5d29yZD48a2V5d29yZD5yaXNrIGFzc2Vzc21lbnQ8L2tleXdvcmQ+PGtleXdvcmQ+
cmlzayBmYWN0b3I8L2tleXdvcmQ+PGtleXdvcmQ+c2VsZiBtZWRpY2F0aW9uPC9rZXl3b3JkPjxr
ZXl3b3JkPnNtb2tpbmcgY2Vzc2F0aW9uPC9rZXl3b3JkPjxrZXl3b3JkPnNvY2lhbCBiZWhhdmlv
cjwva2V5d29yZD48a2V5d29yZD5zb2NpYWwgc3VwcG9ydDwva2V5d29yZD48a2V5d29yZD50b2Jh
Y2NvIGRlcGVuZGVuY2U8L2tleXdvcmQ+PGtleXdvcmQ+dmFwaW5nPC9rZXl3b3JkPjxrZXl3b3Jk
PmF0dGl0dWRlPC9rZXl3b3JkPjxrZXl3b3JkPmVsZWN0cm9uaWMgY2lnYXJldHRlPC9rZXl3b3Jk
PjxrZXl3b3JkPm1lbnRhbCBkaXNlYXNlPC9rZXl3b3JkPjxrZXl3b3JkPnBzeWNob2xvZ3k8L2tl
eXdvcmQ+PGtleXdvcmQ+RWxlY3Ryb25pYyBDaWdhcmV0dGVzPC9rZXl3b3JkPjxrZXl3b3JkPkh1
bWFuczwva2V5d29yZD48a2V5d29yZD5NZW50YWwgRGlzb3JkZXJzPC9rZXl3b3JkPjwva2V5d29y
ZHM+PGRhdGVzPjx5ZWFyPjIwMTc8L3llYXI+PC9kYXRlcz48dXJscz48cmVsYXRlZC11cmxzPjx1
cmw+aHR0cHM6Ly93d3cuc2NvcHVzLmNvbS9pbndhcmQvcmVjb3JkLnVyaT9laWQ9Mi1zMi4wLTg1
MDA3MzA1NDA0JmFtcDtkb2k9MTAuMzM5MCUyZmlqZXJwaDE0MDEwMDA3JmFtcDtwYXJ0bmVySUQ9
NDAmYW1wO21kNT1kNDYxMGRlOGE5ODA4NGI3ZGQzNGYwMGE5NjZlNTE2MjwvdXJsPjx1cmw+aHR0
cDovL3d3dy5tZHBpLmNvbS8xNjYwLTQ2MDEvMTQvMS83L3BkZjwvdXJsPjwvcmVsYXRlZC11cmxz
PjwvdXJscz48ZWxlY3Ryb25pYy1yZXNvdXJjZS1udW0+MTAuMzM5MC9pamVycGgxNDAxMDAwNzwv
ZWxlY3Ryb25pYy1yZXNvdXJjZS1udW0+PHJlbW90ZS1kYXRhYmFzZS1uYW1lPlNjb3B1cyBDNyAt
IDcgQzIgLSAyODAyNTUxNjwvcmVtb3RlLWRhdGFiYXNlLW5hbWU+PC9yZWNvcmQ+PC9DaXRlPjwv
RW5kTm90ZT4A
</w:fldData>
        </w:fldChar>
      </w:r>
      <w:r>
        <w:instrText xml:space="preserve"> ADDIN EN.CITE.DATA </w:instrText>
      </w:r>
      <w:r>
        <w:fldChar w:fldCharType="end"/>
      </w:r>
      <w:r>
        <w:fldChar w:fldCharType="separate"/>
      </w:r>
      <w:r>
        <w:rPr>
          <w:noProof/>
        </w:rPr>
        <w:t>(Sharma, Wigginton et al. 2017)</w:t>
      </w:r>
      <w:r>
        <w:fldChar w:fldCharType="end"/>
      </w:r>
      <w:r>
        <w:t xml:space="preserve">. These methods allow investigators to get an unobtrusive snapshot of what people are talking about and any related sentiment. Sharma et al </w:t>
      </w:r>
      <w:r>
        <w:fldChar w:fldCharType="begin">
          <w:fldData xml:space="preserve">PEVuZE5vdGU+PENpdGU+PEF1dGhvcj5TaGFybWE8L0F1dGhvcj48WWVhcj4yMDE3PC9ZZWFyPjxS
ZWNOdW0+NTQzMTwvUmVjTnVtPjxEaXNwbGF5VGV4dD4oU2hhcm1hLCBXaWdnaW50b24gZXQgYWwu
IDIwMTcpPC9EaXNwbGF5VGV4dD48cmVjb3JkPjxyZWMtbnVtYmVyPjU0MzE8L3JlYy1udW1iZXI+
PGZvcmVpZ24ta2V5cz48a2V5IGFwcD0iRU4iIGRiLWlkPSJmcHQ5cHR0cm01emZzYWVzcDlmcHNk
ZHYwOWV3c3Y1eGV3ZmQiIHRpbWVzdGFtcD0iMTUyNTA0NjYyOSI+NTQzMTwva2V5PjxrZXkgYXBw
PSJFTldlYiIgZGItaWQ9IiI+MDwva2V5PjwvZm9yZWlnbi1rZXlzPjxyZWYtdHlwZSBuYW1lPSJK
b3VybmFsIEFydGljbGUiPjE3PC9yZWYtdHlwZT48Y29udHJpYnV0b3JzPjxhdXRob3JzPjxhdXRo
b3I+U2hhcm1hLCBSLjwvYXV0aG9yPjxhdXRob3I+V2lnZ2ludG9uLCBCLjwvYXV0aG9yPjxhdXRo
b3I+TWV1cmssIEMuPC9hdXRob3I+PGF1dGhvcj5Gb3JkLCBQLjwvYXV0aG9yPjxhdXRob3I+R2Fy
dG5lciwgQy4gRS48L2F1dGhvcj48L2F1dGhvcnM+PC9jb250cmlidXRvcnM+PHRpdGxlcz48dGl0
bGU+TW90aXZhdGlvbnMgYW5kIGxpbWl0YXRpb25zIGFzc29jaWF0ZWQgd2l0aCB2YXBpbmcgYW1v
bmcgcGVvcGxlIHdpdGggbWVudGFsIGlsbG5lc3M6IEEgcXVhbGl0YXRpdmUgYW5hbHlzaXMgb2Yg
cmVkZGl0IGRpc2N1c3Npb25zPC90aXRsZT48c2Vjb25kYXJ5LXRpdGxlPkludGVybmF0aW9uYWwg
Sm91cm5hbCBvZiBFbnZpcm9ubWVudGFsIFJlc2VhcmNoIGFuZCBQdWJsaWMgSGVhbHRoPC9zZWNv
bmRhcnktdGl0bGU+PC90aXRsZXM+PHBlcmlvZGljYWw+PGZ1bGwtdGl0bGU+SW50ZXJuYXRpb25h
bCBKb3VybmFsIG9mIEVudmlyb25tZW50YWwgUmVzZWFyY2ggYW5kIFB1YmxpYyBIZWFsdGg8L2Z1
bGwtdGl0bGU+PC9wZXJpb2RpY2FsPjx2b2x1bWU+MTQ8L3ZvbHVtZT48bnVtYmVyPjE8L251bWJl
cj48a2V5d29yZHM+PGtleXdvcmQ+bWVudGFsIGhlYWx0aDwva2V5d29yZD48a2V5d29yZD5xdWFs
aXRhdGl2ZSBhbmFseXNpczwva2V5d29yZD48a2V5d29yZD5yZXNlYXJjaCBtZXRob2Q8L2tleXdv
cmQ+PGtleXdvcmQ+c21va2luZzwva2V5d29yZD48a2V5d29yZD5zb2NpYWwgbWVkaWE8L2tleXdv
cmQ+PGtleXdvcmQ+V29ybGQgV2lkZSBXZWI8L2tleXdvcmQ+PGtleXdvcmQ+QXJ0aWNsZTwva2V5
d29yZD48a2V5d29yZD5jb3N0IGJlbmVmaXQgYW5hbHlzaXM8L2tleXdvcmQ+PGtleXdvcmQ+aGVh
bHRoIGNhcmUgcG9saWN5PC9rZXl3b3JkPjxrZXl3b3JkPmhlYWx0aCBoYXphcmQ8L2tleXdvcmQ+
PGtleXdvcmQ+aHVtYW48L2tleXdvcmQ+PGtleXdvcmQ+bGVpc3VyZTwva2V5d29yZD48a2V5d29y
ZD5tZW50YWwgcGF0aWVudDwva2V5d29yZD48a2V5d29yZD5tb3RpdmF0aW9uPC9rZXl3b3JkPjxr
ZXl3b3JkPnBhdGllbnQgYXR0aXR1ZGU8L2tleXdvcmQ+PGtleXdvcmQ+cG9wdWxhdGlvbiByZXNl
YXJjaDwva2V5d29yZD48a2V5d29yZD5yaXNrIGFzc2Vzc21lbnQ8L2tleXdvcmQ+PGtleXdvcmQ+
cmlzayBmYWN0b3I8L2tleXdvcmQ+PGtleXdvcmQ+c2VsZiBtZWRpY2F0aW9uPC9rZXl3b3JkPjxr
ZXl3b3JkPnNtb2tpbmcgY2Vzc2F0aW9uPC9rZXl3b3JkPjxrZXl3b3JkPnNvY2lhbCBiZWhhdmlv
cjwva2V5d29yZD48a2V5d29yZD5zb2NpYWwgc3VwcG9ydDwva2V5d29yZD48a2V5d29yZD50b2Jh
Y2NvIGRlcGVuZGVuY2U8L2tleXdvcmQ+PGtleXdvcmQ+dmFwaW5nPC9rZXl3b3JkPjxrZXl3b3Jk
PmF0dGl0dWRlPC9rZXl3b3JkPjxrZXl3b3JkPmVsZWN0cm9uaWMgY2lnYXJldHRlPC9rZXl3b3Jk
PjxrZXl3b3JkPm1lbnRhbCBkaXNlYXNlPC9rZXl3b3JkPjxrZXl3b3JkPnBzeWNob2xvZ3k8L2tl
eXdvcmQ+PGtleXdvcmQ+RWxlY3Ryb25pYyBDaWdhcmV0dGVzPC9rZXl3b3JkPjxrZXl3b3JkPkh1
bWFuczwva2V5d29yZD48a2V5d29yZD5NZW50YWwgRGlzb3JkZXJzPC9rZXl3b3JkPjwva2V5d29y
ZHM+PGRhdGVzPjx5ZWFyPjIwMTc8L3llYXI+PC9kYXRlcz48dXJscz48cmVsYXRlZC11cmxzPjx1
cmw+aHR0cHM6Ly93d3cuc2NvcHVzLmNvbS9pbndhcmQvcmVjb3JkLnVyaT9laWQ9Mi1zMi4wLTg1
MDA3MzA1NDA0JmFtcDtkb2k9MTAuMzM5MCUyZmlqZXJwaDE0MDEwMDA3JmFtcDtwYXJ0bmVySUQ9
NDAmYW1wO21kNT1kNDYxMGRlOGE5ODA4NGI3ZGQzNGYwMGE5NjZlNTE2MjwvdXJsPjx1cmw+aHR0
cDovL3d3dy5tZHBpLmNvbS8xNjYwLTQ2MDEvMTQvMS83L3BkZjwvdXJsPjwvcmVsYXRlZC11cmxz
PjwvdXJscz48ZWxlY3Ryb25pYy1yZXNvdXJjZS1udW0+MTAuMzM5MC9pamVycGgxNDAxMDAwNzwv
ZWxlY3Ryb25pYy1yZXNvdXJjZS1udW0+PHJlbW90ZS1kYXRhYmFzZS1uYW1lPlNjb3B1cyBDNyAt
IDcgQzIgLSAyODAyNTUxNjwvcmVtb3RlLWRhdGFiYXNlLW5hbWU+PC9yZWNvcmQ+PC9DaXRlPjwv
RW5kTm90ZT4A
</w:fldData>
        </w:fldChar>
      </w:r>
      <w:r>
        <w:instrText xml:space="preserve"> ADDIN EN.CITE </w:instrText>
      </w:r>
      <w:r>
        <w:fldChar w:fldCharType="begin">
          <w:fldData xml:space="preserve">PEVuZE5vdGU+PENpdGU+PEF1dGhvcj5TaGFybWE8L0F1dGhvcj48WWVhcj4yMDE3PC9ZZWFyPjxS
ZWNOdW0+NTQzMTwvUmVjTnVtPjxEaXNwbGF5VGV4dD4oU2hhcm1hLCBXaWdnaW50b24gZXQgYWwu
IDIwMTcpPC9EaXNwbGF5VGV4dD48cmVjb3JkPjxyZWMtbnVtYmVyPjU0MzE8L3JlYy1udW1iZXI+
PGZvcmVpZ24ta2V5cz48a2V5IGFwcD0iRU4iIGRiLWlkPSJmcHQ5cHR0cm01emZzYWVzcDlmcHNk
ZHYwOWV3c3Y1eGV3ZmQiIHRpbWVzdGFtcD0iMTUyNTA0NjYyOSI+NTQzMTwva2V5PjxrZXkgYXBw
PSJFTldlYiIgZGItaWQ9IiI+MDwva2V5PjwvZm9yZWlnbi1rZXlzPjxyZWYtdHlwZSBuYW1lPSJK
b3VybmFsIEFydGljbGUiPjE3PC9yZWYtdHlwZT48Y29udHJpYnV0b3JzPjxhdXRob3JzPjxhdXRo
b3I+U2hhcm1hLCBSLjwvYXV0aG9yPjxhdXRob3I+V2lnZ2ludG9uLCBCLjwvYXV0aG9yPjxhdXRo
b3I+TWV1cmssIEMuPC9hdXRob3I+PGF1dGhvcj5Gb3JkLCBQLjwvYXV0aG9yPjxhdXRob3I+R2Fy
dG5lciwgQy4gRS48L2F1dGhvcj48L2F1dGhvcnM+PC9jb250cmlidXRvcnM+PHRpdGxlcz48dGl0
bGU+TW90aXZhdGlvbnMgYW5kIGxpbWl0YXRpb25zIGFzc29jaWF0ZWQgd2l0aCB2YXBpbmcgYW1v
bmcgcGVvcGxlIHdpdGggbWVudGFsIGlsbG5lc3M6IEEgcXVhbGl0YXRpdmUgYW5hbHlzaXMgb2Yg
cmVkZGl0IGRpc2N1c3Npb25zPC90aXRsZT48c2Vjb25kYXJ5LXRpdGxlPkludGVybmF0aW9uYWwg
Sm91cm5hbCBvZiBFbnZpcm9ubWVudGFsIFJlc2VhcmNoIGFuZCBQdWJsaWMgSGVhbHRoPC9zZWNv
bmRhcnktdGl0bGU+PC90aXRsZXM+PHBlcmlvZGljYWw+PGZ1bGwtdGl0bGU+SW50ZXJuYXRpb25h
bCBKb3VybmFsIG9mIEVudmlyb25tZW50YWwgUmVzZWFyY2ggYW5kIFB1YmxpYyBIZWFsdGg8L2Z1
bGwtdGl0bGU+PC9wZXJpb2RpY2FsPjx2b2x1bWU+MTQ8L3ZvbHVtZT48bnVtYmVyPjE8L251bWJl
cj48a2V5d29yZHM+PGtleXdvcmQ+bWVudGFsIGhlYWx0aDwva2V5d29yZD48a2V5d29yZD5xdWFs
aXRhdGl2ZSBhbmFseXNpczwva2V5d29yZD48a2V5d29yZD5yZXNlYXJjaCBtZXRob2Q8L2tleXdv
cmQ+PGtleXdvcmQ+c21va2luZzwva2V5d29yZD48a2V5d29yZD5zb2NpYWwgbWVkaWE8L2tleXdv
cmQ+PGtleXdvcmQ+V29ybGQgV2lkZSBXZWI8L2tleXdvcmQ+PGtleXdvcmQ+QXJ0aWNsZTwva2V5
d29yZD48a2V5d29yZD5jb3N0IGJlbmVmaXQgYW5hbHlzaXM8L2tleXdvcmQ+PGtleXdvcmQ+aGVh
bHRoIGNhcmUgcG9saWN5PC9rZXl3b3JkPjxrZXl3b3JkPmhlYWx0aCBoYXphcmQ8L2tleXdvcmQ+
PGtleXdvcmQ+aHVtYW48L2tleXdvcmQ+PGtleXdvcmQ+bGVpc3VyZTwva2V5d29yZD48a2V5d29y
ZD5tZW50YWwgcGF0aWVudDwva2V5d29yZD48a2V5d29yZD5tb3RpdmF0aW9uPC9rZXl3b3JkPjxr
ZXl3b3JkPnBhdGllbnQgYXR0aXR1ZGU8L2tleXdvcmQ+PGtleXdvcmQ+cG9wdWxhdGlvbiByZXNl
YXJjaDwva2V5d29yZD48a2V5d29yZD5yaXNrIGFzc2Vzc21lbnQ8L2tleXdvcmQ+PGtleXdvcmQ+
cmlzayBmYWN0b3I8L2tleXdvcmQ+PGtleXdvcmQ+c2VsZiBtZWRpY2F0aW9uPC9rZXl3b3JkPjxr
ZXl3b3JkPnNtb2tpbmcgY2Vzc2F0aW9uPC9rZXl3b3JkPjxrZXl3b3JkPnNvY2lhbCBiZWhhdmlv
cjwva2V5d29yZD48a2V5d29yZD5zb2NpYWwgc3VwcG9ydDwva2V5d29yZD48a2V5d29yZD50b2Jh
Y2NvIGRlcGVuZGVuY2U8L2tleXdvcmQ+PGtleXdvcmQ+dmFwaW5nPC9rZXl3b3JkPjxrZXl3b3Jk
PmF0dGl0dWRlPC9rZXl3b3JkPjxrZXl3b3JkPmVsZWN0cm9uaWMgY2lnYXJldHRlPC9rZXl3b3Jk
PjxrZXl3b3JkPm1lbnRhbCBkaXNlYXNlPC9rZXl3b3JkPjxrZXl3b3JkPnBzeWNob2xvZ3k8L2tl
eXdvcmQ+PGtleXdvcmQ+RWxlY3Ryb25pYyBDaWdhcmV0dGVzPC9rZXl3b3JkPjxrZXl3b3JkPkh1
bWFuczwva2V5d29yZD48a2V5d29yZD5NZW50YWwgRGlzb3JkZXJzPC9rZXl3b3JkPjwva2V5d29y
ZHM+PGRhdGVzPjx5ZWFyPjIwMTc8L3llYXI+PC9kYXRlcz48dXJscz48cmVsYXRlZC11cmxzPjx1
cmw+aHR0cHM6Ly93d3cuc2NvcHVzLmNvbS9pbndhcmQvcmVjb3JkLnVyaT9laWQ9Mi1zMi4wLTg1
MDA3MzA1NDA0JmFtcDtkb2k9MTAuMzM5MCUyZmlqZXJwaDE0MDEwMDA3JmFtcDtwYXJ0bmVySUQ9
NDAmYW1wO21kNT1kNDYxMGRlOGE5ODA4NGI3ZGQzNGYwMGE5NjZlNTE2MjwvdXJsPjx1cmw+aHR0
cDovL3d3dy5tZHBpLmNvbS8xNjYwLTQ2MDEvMTQvMS83L3BkZjwvdXJsPjwvcmVsYXRlZC11cmxz
PjwvdXJscz48ZWxlY3Ryb25pYy1yZXNvdXJjZS1udW0+MTAuMzM5MC9pamVycGgxNDAxMDAwNzwv
ZWxlY3Ryb25pYy1yZXNvdXJjZS1udW0+PHJlbW90ZS1kYXRhYmFzZS1uYW1lPlNjb3B1cyBDNyAt
IDcgQzIgLSAyODAyNTUxNjwvcmVtb3RlLWRhdGFiYXNlLW5hbWU+PC9yZWNvcmQ+PC9DaXRlPjwv
RW5kTm90ZT4A
</w:fldData>
        </w:fldChar>
      </w:r>
      <w:r>
        <w:instrText xml:space="preserve"> ADDIN EN.CITE.DATA </w:instrText>
      </w:r>
      <w:r>
        <w:fldChar w:fldCharType="end"/>
      </w:r>
      <w:r>
        <w:fldChar w:fldCharType="separate"/>
      </w:r>
      <w:r>
        <w:rPr>
          <w:noProof/>
        </w:rPr>
        <w:t>(Sharma, Wigginton et al. 2017)</w:t>
      </w:r>
      <w:r>
        <w:fldChar w:fldCharType="end"/>
      </w:r>
      <w:r>
        <w:t xml:space="preserve"> analysed Reddit posts about e</w:t>
      </w:r>
      <w:r>
        <w:noBreakHyphen/>
        <w:t>cigarette use and mental illness. The authors identify six themes that could be broken into benefits (freedom, self-medication, smoking cessation, freedom, hobby, social connectedness and motivation) and draw backs (u</w:t>
      </w:r>
      <w:r w:rsidRPr="005548B8">
        <w:t>nsatisfactory substitute for cigarettes and psychiatric medicines</w:t>
      </w:r>
      <w:r>
        <w:t>,</w:t>
      </w:r>
      <w:r w:rsidRPr="005548B8">
        <w:t xml:space="preserve"> interactions</w:t>
      </w:r>
      <w:r>
        <w:t xml:space="preserve"> with other drugs,</w:t>
      </w:r>
      <w:r w:rsidRPr="005548B8">
        <w:t xml:space="preserve"> </w:t>
      </w:r>
      <w:r>
        <w:t>nicotine addiction, risks of e-liquid and general</w:t>
      </w:r>
      <w:r w:rsidRPr="005548B8">
        <w:t xml:space="preserve"> </w:t>
      </w:r>
      <w:r>
        <w:t>practical difﬁculties</w:t>
      </w:r>
      <w:r w:rsidR="002B2612">
        <w:t>).</w:t>
      </w:r>
    </w:p>
    <w:p w14:paraId="21285ECE" w14:textId="2AA8461F" w:rsidR="00673D5A" w:rsidRDefault="00673D5A" w:rsidP="00673D5A">
      <w:pPr>
        <w:pStyle w:val="BodyText"/>
      </w:pPr>
      <w:r>
        <w:t xml:space="preserve">Observations based on Twitter data sought to summarise the reasons people give for vaping </w:t>
      </w:r>
      <w:r>
        <w:fldChar w:fldCharType="begin">
          <w:fldData xml:space="preserve">PEVuZE5vdGU+PENpdGU+PEF1dGhvcj5BeWVyczwvQXV0aG9yPjxZZWFyPjIwMTc8L1llYXI+PFJl
Y051bT41MTkzPC9SZWNOdW0+PERpc3BsYXlUZXh0PihBeWVycywgTGVhcyBldCBhbC4gMjAxNyk8
L0Rpc3BsYXlUZXh0PjxyZWNvcmQ+PHJlYy1udW1iZXI+NTE5MzwvcmVjLW51bWJlcj48Zm9yZWln
bi1rZXlzPjxrZXkgYXBwPSJFTiIgZGItaWQ9ImZwdDlwdHRybTV6ZnNhZXNwOWZwc2RkdjA5ZXdz
djV4ZXdmZCIgdGltZXN0YW1wPSIxNTI1MDQ2MjIxIj41MTkzPC9rZXk+PGtleSBhcHA9IkVOV2Vi
IiBkYi1pZD0iIj4wPC9rZXk+PC9mb3JlaWduLWtleXM+PHJlZi10eXBlIG5hbWU9IkpvdXJuYWwg
QXJ0aWNsZSI+MTc8L3JlZi10eXBlPjxjb250cmlidXRvcnM+PGF1dGhvcnM+PGF1dGhvcj5BeWVy
cywgSi4gVy48L2F1dGhvcj48YXV0aG9yPkxlYXMsIEUuIEMuPC9hdXRob3I+PGF1dGhvcj5BbGxl
bSwgSi4gUC48L2F1dGhvcj48YXV0aG9yPkJlbnRvbiwgQS48L2F1dGhvcj48YXV0aG9yPkRyZWR6
ZSwgTS48L2F1dGhvcj48YXV0aG9yPkFsdGhvdXNlLCBCLiBNLjwvYXV0aG9yPjxhdXRob3I+Q3J1
eiwgVC4gQi48L2F1dGhvcj48YXV0aG9yPlVuZ2VyLCBKLiBCLjwvYXV0aG9yPjwvYXV0aG9ycz48
L2NvbnRyaWJ1dG9ycz48YXV0aC1hZGRyZXNzPkdyYWR1YXRlIFNjaG9vbCBvZiBQdWJsaWMgSGVh
bHRoLCBTYW4gRGllZ28gU3RhdGUgVW5pdmVyc2l0eSwgU2FuIERpZWdvLCBDYWxpZm9ybmlhLCBV
bml0ZWQgU3RhdGVzIG9mIEFtZXJpY2EuJiN4RDtVbml2ZXJzaXR5IG9mIENhbGlmb3JuaWEgU2Fu
IERpZWdvIFNjaG9vbCBvZiBNZWRpY2luZSwgU2FuIERpZWdvLCBDYWxpZm9ybmlhLCBVbml0ZWQg
U3RhdGVzIG9mIEFtZXJpY2EuJiN4RDtLZWNrIFNjaG9vbCBvZiBNZWRpY2luZSwgVW5pdmVyc2l0
eSBvZiBTb3V0aGVybiBDYWxpZm9ybmlhLCBMb3MgQW5nZWxlcywgQ2FsaWZvcm5pYSwgVW5pdGVk
IFN0YXRlcyBvZiBBbWVyaWNhLiYjeEQ7RGVwYXJ0bWVudCBvZiBDb21wdXRlciBTY2llbmNlLCBK
b2hucyBIb3BraW5zIFVuaXZlcnNpdHksIEJhbHRpbW9yZSwgTWFyeWxhbmQsIFVuaXRlZCBTdGF0
ZXMgb2YgQW1lcmljYS4mI3hEO0h1bWFuIExhbmd1YWdlIFRlY2hub2xvZ3kgQ2VudGVyIG9mIEV4
Y2VsbGVuY2UsIEpvaG5zIEhvcGtpbnMgVW5pdmVyc2l0eSwgQmFsdGltb3JlLCBNYXJ5bGFuZCwg
VW5pdGVkIFN0YXRlcyBvZiBBbWVyaWNhLiYjeEQ7Qmxvb21iZXJnIExQLCBOZXcgWW9yaywgTmV3
IFlvcmssIFVuaXRlZCBTdGF0ZXMgb2YgQW1lcmljYS4mI3hEO0luc3RpdHV0ZSBmb3IgRGlzZWFz
ZSBNb2RlbGluZywgQmVsbGV2dWUsIFdhc2hpbmd0b24sIFVuaXRlZCBTdGF0ZXMgb2YgQW1lcmlj
YS4mI3hEO1NhbnRhIEZlIEluc3RpdHV0ZSwgU2FudGEgRmUsIE5ldyBNZXhpY28sIFVuaXRlZCBT
dGF0ZXMgb2YgQW1lcmljYS4mI3hEO05ldyBNZXhpY28gU3RhdGUgVW5pdmVyc2l0eSwgTGFzIENy
dWNlcywgTmV3IE1leGljbywgVW5pdGVkIFN0YXRlcyBvZiBBbWVyaWNhLjwvYXV0aC1hZGRyZXNz
Pjx0aXRsZXM+PHRpdGxlPldoeSBkbyBwZW9wbGUgdXNlIGVsZWN0cm9uaWMgbmljb3RpbmUgZGVs
aXZlcnkgc3lzdGVtcyAoZWxlY3Ryb25pYyBjaWdhcmV0dGVzKT8gQSBjb250ZW50IGFuYWx5c2lz
IG9mIFR3aXR0ZXIsIDIwMTItMjAxNTwvdGl0bGU+PHNlY29uZGFyeS10aXRsZT5QTG9TIE9uZTwv
c2Vjb25kYXJ5LXRpdGxlPjxhbHQtdGl0bGU+UGxvUyBvbmU8L2FsdC10aXRsZT48L3RpdGxlcz48
cGVyaW9kaWNhbD48ZnVsbC10aXRsZT5QbG9zIE9uZTwvZnVsbC10aXRsZT48L3BlcmlvZGljYWw+
PGFsdC1wZXJpb2RpY2FsPjxmdWxsLXRpdGxlPlBsb3MgT25lPC9mdWxsLXRpdGxlPjwvYWx0LXBl
cmlvZGljYWw+PHBhZ2VzPmUwMTcwNzAyPC9wYWdlcz48dm9sdW1lPjEyPC92b2x1bWU+PG51bWJl
cj4zPC9udW1iZXI+PGVkaXRpb24+MjAxNy8wMy8wMjwvZWRpdGlvbj48a2V5d29yZHM+PGtleXdv
cmQ+Q3Jvc3MtU2VjdGlvbmFsIFN0dWRpZXM8L2tleXdvcmQ+PGtleXdvcmQ+KkVsZWN0cm9uaWMg
Tmljb3RpbmUgRGVsaXZlcnkgU3lzdGVtczwva2V5d29yZD48a2V5d29yZD5GZW1hbGU8L2tleXdv
cmQ+PGtleXdvcmQ+SHVtYW5zPC9rZXl3b3JkPjxrZXl3b3JkPk1hbGU8L2tleXdvcmQ+PGtleXdv
cmQ+KlNvY2lhbCBNZWRpYTwva2V5d29yZD48a2V5d29yZD4qVmFwaW5nPC9rZXl3b3JkPjwva2V5
d29yZHM+PGRhdGVzPjx5ZWFyPjIwMTc8L3llYXI+PC9kYXRlcz48aXNibj4xOTMyLTYyMDM8L2lz
Ym4+PGFjY2Vzc2lvbi1udW0+MjgyNDg5ODc8L2FjY2Vzc2lvbi1udW0+PHVybHM+PHJlbGF0ZWQt
dXJscz48dXJsPmh0dHBzOi8vd3d3Lm5jYmkubmxtLm5paC5nb3YvcG1jL2FydGljbGVzL1BNQzUz
MzE5NjEvcGRmL3BvbmUuMDE3MDcwMi5wZGY8L3VybD48L3JlbGF0ZWQtdXJscz48L3VybHM+PGN1
c3RvbTI+UE1DNTMzMTk2MTwvY3VzdG9tMj48ZWxlY3Ryb25pYy1yZXNvdXJjZS1udW0+MTAuMTM3
MS9qb3VybmFsLnBvbmUuMDE3MDcwMjwvZWxlY3Ryb25pYy1yZXNvdXJjZS1udW0+PHJlbW90ZS1k
YXRhYmFzZS1wcm92aWRlcj5OTE08L3JlbW90ZS1kYXRhYmFzZS1wcm92aWRlcj48bGFuZ3VhZ2U+
ZW5nPC9sYW5ndWFnZT48L3JlY29yZD48L0NpdGU+PC9FbmROb3RlPn==
</w:fldData>
        </w:fldChar>
      </w:r>
      <w:r>
        <w:instrText xml:space="preserve"> ADDIN EN.CITE </w:instrText>
      </w:r>
      <w:r>
        <w:fldChar w:fldCharType="begin">
          <w:fldData xml:space="preserve">PEVuZE5vdGU+PENpdGU+PEF1dGhvcj5BeWVyczwvQXV0aG9yPjxZZWFyPjIwMTc8L1llYXI+PFJl
Y051bT41MTkzPC9SZWNOdW0+PERpc3BsYXlUZXh0PihBeWVycywgTGVhcyBldCBhbC4gMjAxNyk8
L0Rpc3BsYXlUZXh0PjxyZWNvcmQ+PHJlYy1udW1iZXI+NTE5MzwvcmVjLW51bWJlcj48Zm9yZWln
bi1rZXlzPjxrZXkgYXBwPSJFTiIgZGItaWQ9ImZwdDlwdHRybTV6ZnNhZXNwOWZwc2RkdjA5ZXdz
djV4ZXdmZCIgdGltZXN0YW1wPSIxNTI1MDQ2MjIxIj41MTkzPC9rZXk+PGtleSBhcHA9IkVOV2Vi
IiBkYi1pZD0iIj4wPC9rZXk+PC9mb3JlaWduLWtleXM+PHJlZi10eXBlIG5hbWU9IkpvdXJuYWwg
QXJ0aWNsZSI+MTc8L3JlZi10eXBlPjxjb250cmlidXRvcnM+PGF1dGhvcnM+PGF1dGhvcj5BeWVy
cywgSi4gVy48L2F1dGhvcj48YXV0aG9yPkxlYXMsIEUuIEMuPC9hdXRob3I+PGF1dGhvcj5BbGxl
bSwgSi4gUC48L2F1dGhvcj48YXV0aG9yPkJlbnRvbiwgQS48L2F1dGhvcj48YXV0aG9yPkRyZWR6
ZSwgTS48L2F1dGhvcj48YXV0aG9yPkFsdGhvdXNlLCBCLiBNLjwvYXV0aG9yPjxhdXRob3I+Q3J1
eiwgVC4gQi48L2F1dGhvcj48YXV0aG9yPlVuZ2VyLCBKLiBCLjwvYXV0aG9yPjwvYXV0aG9ycz48
L2NvbnRyaWJ1dG9ycz48YXV0aC1hZGRyZXNzPkdyYWR1YXRlIFNjaG9vbCBvZiBQdWJsaWMgSGVh
bHRoLCBTYW4gRGllZ28gU3RhdGUgVW5pdmVyc2l0eSwgU2FuIERpZWdvLCBDYWxpZm9ybmlhLCBV
bml0ZWQgU3RhdGVzIG9mIEFtZXJpY2EuJiN4RDtVbml2ZXJzaXR5IG9mIENhbGlmb3JuaWEgU2Fu
IERpZWdvIFNjaG9vbCBvZiBNZWRpY2luZSwgU2FuIERpZWdvLCBDYWxpZm9ybmlhLCBVbml0ZWQg
U3RhdGVzIG9mIEFtZXJpY2EuJiN4RDtLZWNrIFNjaG9vbCBvZiBNZWRpY2luZSwgVW5pdmVyc2l0
eSBvZiBTb3V0aGVybiBDYWxpZm9ybmlhLCBMb3MgQW5nZWxlcywgQ2FsaWZvcm5pYSwgVW5pdGVk
IFN0YXRlcyBvZiBBbWVyaWNhLiYjeEQ7RGVwYXJ0bWVudCBvZiBDb21wdXRlciBTY2llbmNlLCBK
b2hucyBIb3BraW5zIFVuaXZlcnNpdHksIEJhbHRpbW9yZSwgTWFyeWxhbmQsIFVuaXRlZCBTdGF0
ZXMgb2YgQW1lcmljYS4mI3hEO0h1bWFuIExhbmd1YWdlIFRlY2hub2xvZ3kgQ2VudGVyIG9mIEV4
Y2VsbGVuY2UsIEpvaG5zIEhvcGtpbnMgVW5pdmVyc2l0eSwgQmFsdGltb3JlLCBNYXJ5bGFuZCwg
VW5pdGVkIFN0YXRlcyBvZiBBbWVyaWNhLiYjeEQ7Qmxvb21iZXJnIExQLCBOZXcgWW9yaywgTmV3
IFlvcmssIFVuaXRlZCBTdGF0ZXMgb2YgQW1lcmljYS4mI3hEO0luc3RpdHV0ZSBmb3IgRGlzZWFz
ZSBNb2RlbGluZywgQmVsbGV2dWUsIFdhc2hpbmd0b24sIFVuaXRlZCBTdGF0ZXMgb2YgQW1lcmlj
YS4mI3hEO1NhbnRhIEZlIEluc3RpdHV0ZSwgU2FudGEgRmUsIE5ldyBNZXhpY28sIFVuaXRlZCBT
dGF0ZXMgb2YgQW1lcmljYS4mI3hEO05ldyBNZXhpY28gU3RhdGUgVW5pdmVyc2l0eSwgTGFzIENy
dWNlcywgTmV3IE1leGljbywgVW5pdGVkIFN0YXRlcyBvZiBBbWVyaWNhLjwvYXV0aC1hZGRyZXNz
Pjx0aXRsZXM+PHRpdGxlPldoeSBkbyBwZW9wbGUgdXNlIGVsZWN0cm9uaWMgbmljb3RpbmUgZGVs
aXZlcnkgc3lzdGVtcyAoZWxlY3Ryb25pYyBjaWdhcmV0dGVzKT8gQSBjb250ZW50IGFuYWx5c2lz
IG9mIFR3aXR0ZXIsIDIwMTItMjAxNTwvdGl0bGU+PHNlY29uZGFyeS10aXRsZT5QTG9TIE9uZTwv
c2Vjb25kYXJ5LXRpdGxlPjxhbHQtdGl0bGU+UGxvUyBvbmU8L2FsdC10aXRsZT48L3RpdGxlcz48
cGVyaW9kaWNhbD48ZnVsbC10aXRsZT5QbG9zIE9uZTwvZnVsbC10aXRsZT48L3BlcmlvZGljYWw+
PGFsdC1wZXJpb2RpY2FsPjxmdWxsLXRpdGxlPlBsb3MgT25lPC9mdWxsLXRpdGxlPjwvYWx0LXBl
cmlvZGljYWw+PHBhZ2VzPmUwMTcwNzAyPC9wYWdlcz48dm9sdW1lPjEyPC92b2x1bWU+PG51bWJl
cj4zPC9udW1iZXI+PGVkaXRpb24+MjAxNy8wMy8wMjwvZWRpdGlvbj48a2V5d29yZHM+PGtleXdv
cmQ+Q3Jvc3MtU2VjdGlvbmFsIFN0dWRpZXM8L2tleXdvcmQ+PGtleXdvcmQ+KkVsZWN0cm9uaWMg
Tmljb3RpbmUgRGVsaXZlcnkgU3lzdGVtczwva2V5d29yZD48a2V5d29yZD5GZW1hbGU8L2tleXdv
cmQ+PGtleXdvcmQ+SHVtYW5zPC9rZXl3b3JkPjxrZXl3b3JkPk1hbGU8L2tleXdvcmQ+PGtleXdv
cmQ+KlNvY2lhbCBNZWRpYTwva2V5d29yZD48a2V5d29yZD4qVmFwaW5nPC9rZXl3b3JkPjwva2V5
d29yZHM+PGRhdGVzPjx5ZWFyPjIwMTc8L3llYXI+PC9kYXRlcz48aXNibj4xOTMyLTYyMDM8L2lz
Ym4+PGFjY2Vzc2lvbi1udW0+MjgyNDg5ODc8L2FjY2Vzc2lvbi1udW0+PHVybHM+PHJlbGF0ZWQt
dXJscz48dXJsPmh0dHBzOi8vd3d3Lm5jYmkubmxtLm5paC5nb3YvcG1jL2FydGljbGVzL1BNQzUz
MzE5NjEvcGRmL3BvbmUuMDE3MDcwMi5wZGY8L3VybD48L3JlbGF0ZWQtdXJscz48L3VybHM+PGN1
c3RvbTI+UE1DNTMzMTk2MTwvY3VzdG9tMj48ZWxlY3Ryb25pYy1yZXNvdXJjZS1udW0+MTAuMTM3
MS9qb3VybmFsLnBvbmUuMDE3MDcwMjwvZWxlY3Ryb25pYy1yZXNvdXJjZS1udW0+PHJlbW90ZS1k
YXRhYmFzZS1wcm92aWRlcj5OTE08L3JlbW90ZS1kYXRhYmFzZS1wcm92aWRlcj48bGFuZ3VhZ2U+
ZW5nPC9sYW5ndWFnZT48L3JlY29yZD48L0NpdGU+PC9FbmROb3RlPn==
</w:fldData>
        </w:fldChar>
      </w:r>
      <w:r>
        <w:instrText xml:space="preserve"> ADDIN EN.CITE.DATA </w:instrText>
      </w:r>
      <w:r>
        <w:fldChar w:fldCharType="end"/>
      </w:r>
      <w:r>
        <w:fldChar w:fldCharType="separate"/>
      </w:r>
      <w:r>
        <w:rPr>
          <w:noProof/>
        </w:rPr>
        <w:t>(Ayers, Leas et al. 2017)</w:t>
      </w:r>
      <w:r>
        <w:fldChar w:fldCharType="end"/>
      </w:r>
      <w:r>
        <w:t xml:space="preserve">. The authors conclude that </w:t>
      </w:r>
      <w:r w:rsidRPr="005548B8">
        <w:t>data suggest the reasons people vape are shifting away from cessation and toward social image</w:t>
      </w:r>
      <w:r>
        <w:t xml:space="preserve">. However, given the high impression management that occurs on social media, it would be expected that these data are somewhat influenced by an individual’s image management. Using more conventional survey methods, Browne et al </w:t>
      </w:r>
      <w:r>
        <w:fldChar w:fldCharType="begin"/>
      </w:r>
      <w:r>
        <w:instrText xml:space="preserve"> ADDIN EN.CITE &lt;EndNote&gt;&lt;Cite&gt;&lt;Author&gt;Browne&lt;/Author&gt;&lt;Year&gt;2018&lt;/Year&gt;&lt;RecNum&gt;4933&lt;/RecNum&gt;&lt;DisplayText&gt;(Browne and Todd 2018)&lt;/DisplayText&gt;&lt;record&gt;&lt;rec-number&gt;4933&lt;/rec-number&gt;&lt;foreign-keys&gt;&lt;key app="EN" db-id="fpt9pttrm5zfsaesp9fpsddv09ewsv5xewfd" timestamp="1525045740"&gt;4933&lt;/key&gt;&lt;key app="ENWeb" db-id=""&gt;0&lt;/key&gt;&lt;/foreign-keys&gt;&lt;ref-type name="Journal Article"&gt;17&lt;/ref-type&gt;&lt;contributors&gt;&lt;authors&gt;&lt;author&gt;Browne, M.&lt;/author&gt;&lt;author&gt;Todd, D. G.&lt;/author&gt;&lt;/authors&gt;&lt;/contributors&gt;&lt;auth-address&gt;Central Queensland University, Australia. Electronic address: m.browne@cqu.edu.au.&amp;#xD;Central Queensland University, Australia.&lt;/auth-address&gt;&lt;titles&gt;&lt;title&gt;Then and now: Consumption and dependence in e-cigarette users who formerly smoked cigarettes&lt;/title&gt;&lt;secondary-title&gt;Addict Behav&lt;/secondary-title&gt;&lt;alt-title&gt;Addictive behaviors&lt;/alt-title&gt;&lt;/titles&gt;&lt;alt-periodical&gt;&lt;full-title&gt;Addictive Behaviors&lt;/full-title&gt;&lt;/alt-periodical&gt;&lt;pages&gt;113-121&lt;/pages&gt;&lt;volume&gt;76&lt;/volume&gt;&lt;edition&gt;2017/08/07&lt;/edition&gt;&lt;keywords&gt;&lt;keyword&gt;Consumption&lt;/keyword&gt;&lt;keyword&gt;Dependence&lt;/keyword&gt;&lt;keyword&gt;E-cigarettes&lt;/keyword&gt;&lt;keyword&gt;Nicotine&lt;/keyword&gt;&lt;keyword&gt;Vaping&lt;/keyword&gt;&lt;/keywords&gt;&lt;dates&gt;&lt;year&gt;2018&lt;/year&gt;&lt;pub-dates&gt;&lt;date&gt;Jan&lt;/date&gt;&lt;/pub-dates&gt;&lt;/dates&gt;&lt;isbn&gt;0306-4603&lt;/isbn&gt;&lt;accession-num&gt;28780356&lt;/accession-num&gt;&lt;urls&gt;&lt;related-urls&gt;&lt;url&gt;https://www.sciencedirect.com/science/article/pii/S0306460317302885?via%3Dihub&lt;/url&gt;&lt;/related-urls&gt;&lt;/urls&gt;&lt;electronic-resource-num&gt;10.1016/j.addbeh.2017.07.034&lt;/electronic-resource-num&gt;&lt;remote-database-provider&gt;NLM&lt;/remote-database-provider&gt;&lt;language&gt;eng&lt;/language&gt;&lt;/record&gt;&lt;/Cite&gt;&lt;/EndNote&gt;</w:instrText>
      </w:r>
      <w:r>
        <w:fldChar w:fldCharType="separate"/>
      </w:r>
      <w:r>
        <w:rPr>
          <w:noProof/>
        </w:rPr>
        <w:t>(Browne and Todd 2018)</w:t>
      </w:r>
      <w:r>
        <w:fldChar w:fldCharType="end"/>
      </w:r>
      <w:r>
        <w:t xml:space="preserve"> report that reasons for vaping were </w:t>
      </w:r>
      <w:r w:rsidRPr="00074967">
        <w:t xml:space="preserve">health beneﬁts (74.1%), other </w:t>
      </w:r>
      <w:r>
        <w:t xml:space="preserve">nicotine replacement therapies </w:t>
      </w:r>
      <w:r w:rsidRPr="00074967">
        <w:t>ineﬀective (45.2%), more enjoyable (35.1%) and for pleasure (22.7%), less oﬀensive to others (31.8%), and being easier than quitting nicotine completely (35.1%).</w:t>
      </w:r>
    </w:p>
    <w:p w14:paraId="24C9CF77" w14:textId="77777777" w:rsidR="00673D5A" w:rsidRDefault="00673D5A" w:rsidP="00673D5A">
      <w:pPr>
        <w:pStyle w:val="BodyText"/>
      </w:pPr>
    </w:p>
    <w:p w14:paraId="6D28DEC5" w14:textId="77777777" w:rsidR="00673D5A" w:rsidRDefault="00673D5A" w:rsidP="00673D5A">
      <w:pPr>
        <w:pStyle w:val="BodyText"/>
      </w:pPr>
      <w:r>
        <w:t xml:space="preserve">Berry et al </w:t>
      </w:r>
      <w:r>
        <w:fldChar w:fldCharType="begin">
          <w:fldData xml:space="preserve">PEVuZE5vdGU+PENpdGU+PEF1dGhvcj5CZXJyeTwvQXV0aG9yPjxZZWFyPjIwMTc8L1llYXI+PFJl
Y051bT41MTI3PC9SZWNOdW0+PERpc3BsYXlUZXh0PihCZXJyeSwgQnVydG9uIGV0IGFsLiAyMDE3
KTwvRGlzcGxheVRleHQ+PHJlY29yZD48cmVjLW51bWJlcj41MTI3PC9yZWMtbnVtYmVyPjxmb3Jl
aWduLWtleXM+PGtleSBhcHA9IkVOIiBkYi1pZD0iZnB0OXB0dHJtNXpmc2Flc3A5ZnBzZGR2MDll
d3N2NXhld2ZkIiB0aW1lc3RhbXA9IjE1MjUwNDYwODAiPjUxMjc8L2tleT48a2V5IGFwcD0iRU5X
ZWIiIGRiLWlkPSIiPjA8L2tleT48L2ZvcmVpZ24ta2V5cz48cmVmLXR5cGUgbmFtZT0iSm91cm5h
bCBBcnRpY2xlIj4xNzwvcmVmLXR5cGU+PGNvbnRyaWJ1dG9ycz48YXV0aG9ycz48YXV0aG9yPkJl
cnJ5LCBDLjwvYXV0aG9yPjxhdXRob3I+QnVydG9uLCBTLjwvYXV0aG9yPjxhdXRob3I+SG93bGV0
dCwgRS48L2F1dGhvcj48L2F1dGhvcnM+PC9jb250cmlidXRvcnM+PGF1dGgtYWRkcmVzcz5EZXBh
cnRtZW50IG9mIE1hcmtldGluZywgQ29sbGVnZSBvZiBCdXNpbmVzcywgQ29sb3JhZG8gU3RhdGUg
VW5pdmVyc2l0eSwgRm9ydCBDb2xsaW5zLCBDTy4mI3hEO0RlcGFydG1lbnQgb2YgTWFya2V0aW5n
LCBXYWx0b24gQ29sbGVnZSBvZiBCdXNpbmVzcywgVW5pdmVyc2l0eSBvZiBBcmthbnNhcywgRmF5
ZXR0ZXZpbGxlLCBBUi4mI3hEO0RlcGFydG1lbnQgb2YgTWFya2V0aW5nIGFuZCBJbnRlcm5hdGlv
bmFsIEJ1c2luZXNzLCBDYXJzb24gQ29sbGVnZSBvZiBCdXNpbmVzcywgV2FzaGluZ3RvbiBTdGF0
ZSBVbml2ZXJzaXR5LCBQdWxsbWFuLCBXQS48L2F1dGgtYWRkcmVzcz48dGl0bGVzPjx0aXRsZT5B
cmUgQ2lnYXJldHRlIFNtb2tlcnMmYXBvczssIEUtQ2lnYXJldHRlIFVzZXJzJmFwb3M7LCBhbmQg
RHVhbCBVc2VycyZhcG9zOyBIZWFsdGgtUmlzayBCZWxpZWZzIGFuZCBSZXNwb25zZXMgdG8gQWR2
ZXJ0aXNpbmcgSW5mbHVlbmNlZCBieSBBZGRpY3Rpb24gV2FybmluZ3MgYW5kIFByb2R1Y3QgVHlw
ZT88L3RpdGxlPjxzZWNvbmRhcnktdGl0bGU+Tmljb3RpbmUgVG9iIFJlczwvc2Vjb25kYXJ5LXRp
dGxlPjxhbHQtdGl0bGU+Tmljb3RpbmUgJmFtcDsgdG9iYWNjbyByZXNlYXJjaCA6IG9mZmljaWFs
IGpvdXJuYWwgb2YgdGhlIFNvY2lldHkgZm9yIFJlc2VhcmNoIG9uIE5pY290aW5lIGFuZCBUb2Jh
Y2NvPC9hbHQtdGl0bGU+PC90aXRsZXM+PHBlcmlvZGljYWw+PGZ1bGwtdGl0bGU+Tmljb3RpbmUg
VG9iIFJlczwvZnVsbC10aXRsZT48YWJici0xPk5pY290aW5lICZhbXA7IHRvYmFjY28gcmVzZWFy
Y2ggOiBvZmZpY2lhbCBqb3VybmFsIG9mIHRoZSBTb2NpZXR5IGZvciBSZXNlYXJjaCBvbiBOaWNv
dGluZSBhbmQgVG9iYWNjbzwvYWJici0xPjwvcGVyaW9kaWNhbD48YWx0LXBlcmlvZGljYWw+PGZ1
bGwtdGl0bGU+Tmljb3RpbmUgVG9iIFJlczwvZnVsbC10aXRsZT48YWJici0xPk5pY290aW5lICZh
bXA7IHRvYmFjY28gcmVzZWFyY2ggOiBvZmZpY2lhbCBqb3VybmFsIG9mIHRoZSBTb2NpZXR5IGZv
ciBSZXNlYXJjaCBvbiBOaWNvdGluZSBhbmQgVG9iYWNjbzwvYWJici0xPjwvYWx0LXBlcmlvZGlj
YWw+PHBhZ2VzPjExODUtMTE5MTwvcGFnZXM+PHZvbHVtZT4xOTwvdm9sdW1lPjxudW1iZXI+MTA8
L251bWJlcj48ZWRpdGlvbj4yMDE3LzA0LzA2PC9lZGl0aW9uPjxrZXl3b3Jkcz48a2V5d29yZD5B
ZG9sZXNjZW50PC9rZXl3b3JkPjxrZXl3b3JkPkFkdWx0PC9rZXl3b3JkPjxrZXl3b3JkPipBZHZl
cnRpc2luZyBhcyBUb3BpYzwva2V5d29yZD48a2V5d29yZD5Dcm9zcy1TZWN0aW9uYWwgU3R1ZGll
czwva2V5d29yZD48a2V5d29yZD5GZW1hbGU8L2tleXdvcmQ+PGtleXdvcmQ+SHVtYW5zPC9rZXl3
b3JkPjxrZXl3b3JkPk1hbGU8L2tleXdvcmQ+PGtleXdvcmQ+KlByb2R1Y3QgTGFiZWxpbmc8L2tl
eXdvcmQ+PGtleXdvcmQ+KlJpc2sgQXNzZXNzbWVudDwva2V5d29yZD48a2V5d29yZD5TbW9raW5n
Lypwc3ljaG9sb2d5PC9rZXl3b3JkPjxrZXl3b3JkPlNtb2tpbmcgQ2Vzc2F0aW9uLypwc3ljaG9s
b2d5PC9rZXl3b3JkPjxrZXl3b3JkPlRvYmFjY28gUHJvZHVjdHMvKmFkdmVyc2UgZWZmZWN0cy9j
bGFzc2lmaWNhdGlvbjwva2V5d29yZD48a2V5d29yZD5WYXBpbmcvcHN5Y2hvbG9neTwva2V5d29y
ZD48a2V5d29yZD5Zb3VuZyBBZHVsdDwva2V5d29yZD48L2tleXdvcmRzPjxkYXRlcz48eWVhcj4y
MDE3PC95ZWFyPjxwdWItZGF0ZXM+PGRhdGU+T2N0IDE8L2RhdGU+PC9wdWItZGF0ZXM+PC9kYXRl
cz48aXNibj4xNDYyLTIyMDM8L2lzYm4+PGFjY2Vzc2lvbi1udW0+MjgzNzk1Njg8L2FjY2Vzc2lv
bi1udW0+PHVybHM+PHJlbGF0ZWQtdXJscz48dXJsPmh0dHBzOi8vd2F0ZXJtYXJrLnNpbHZlcmNo
YWlyLmNvbS9udHgwNzUucGRmP3Rva2VuPUFRRUNBSGkyMDhCRTQ5T29hbjlra2hXX0VyY3k3RG0z
WkxfOUNmM3FmS0FjNDg1eXNnQUFBYll3Z2dHeUJna3Foa2lHOXcwQkJ3YWdnZ0dqTUlJQm53SUJB
RENDQVpnR0NTcUdTSWIzRFFFSEFUQWVCZ2xnaGtnQlpRTUVBUzR3RVFRTTF3ejMwbGRJUVBLYVdX
TGFBZ0VRZ0lJQmFWbUxsQ05oT0NWbzQtYV9OTHlibGRqaEpnSF9DOXdRMW5kS25ZXzIySnl6NTVZ
dFJ2Nks0V3VFTzU2bVpHYzZtcmRwYUNtX3NiTVh1Y0ZTVHBfd0F6eWNoZDgxNnNEWmVqT0k0UGc4
Z3lzXzlSVm84RGtfd2JTZXRJT3NxMFZfRlZwbUh1ZmthLXRrdmdRc0dFMXZOX0RFd0swczhrcDNz
VUNxOHhIbmpCOFllWGNXaFFkR1BQaUY4ZHpucjFaTjBmZ3paQWZ4X25KWkUwVmZmX1IyV1hoVHhv
bWd3STJuZkY5YldLbFdvb0thR200YUFuVW5tYV9mc1prOWNjV1dSeU1RX1NWVWdoazV0dkdrdUo0
bkJBdGpQWmZuVGNacnhqT004UHJlaTVsMlB6aWhvRk1GR2VDd085THExZzBQZkxaaFVFbVRzTGxB
T3QxSDhGVEZYcjhFa1pqU3piYXFqUnQwRkh1MHFSOGRrTVFaeGVaanhuX2pUb19pTjl2RlNaejk4
aHdMZjNQejFWVzk3MC05S1FHcUU2Q19DSU93N2RfcmVTcTdxMU1ud3pZd20wNm02MkhiRzZmNVN1
blNGYURvemdnSmF3UHBuaFZUOFd6RGNJUUhnbEtXdzRYLWJJdzwvdXJsPjwvcmVsYXRlZC11cmxz
PjwvdXJscz48ZWxlY3Ryb25pYy1yZXNvdXJjZS1udW0+MTAuMTA5My9udHIvbnR4MDc1PC9lbGVj
dHJvbmljLXJlc291cmNlLW51bT48cmVtb3RlLWRhdGFiYXNlLXByb3ZpZGVyPk5MTTwvcmVtb3Rl
LWRhdGFiYXNlLXByb3ZpZGVyPjxsYW5ndWFnZT5lbmc8L2xhbmd1YWdlPjwvcmVjb3JkPjwvQ2l0
ZT48L0VuZE5vdGU+AG==
</w:fldData>
        </w:fldChar>
      </w:r>
      <w:r>
        <w:instrText xml:space="preserve"> ADDIN EN.CITE </w:instrText>
      </w:r>
      <w:r>
        <w:fldChar w:fldCharType="begin">
          <w:fldData xml:space="preserve">PEVuZE5vdGU+PENpdGU+PEF1dGhvcj5CZXJyeTwvQXV0aG9yPjxZZWFyPjIwMTc8L1llYXI+PFJl
Y051bT41MTI3PC9SZWNOdW0+PERpc3BsYXlUZXh0PihCZXJyeSwgQnVydG9uIGV0IGFsLiAyMDE3
KTwvRGlzcGxheVRleHQ+PHJlY29yZD48cmVjLW51bWJlcj41MTI3PC9yZWMtbnVtYmVyPjxmb3Jl
aWduLWtleXM+PGtleSBhcHA9IkVOIiBkYi1pZD0iZnB0OXB0dHJtNXpmc2Flc3A5ZnBzZGR2MDll
d3N2NXhld2ZkIiB0aW1lc3RhbXA9IjE1MjUwNDYwODAiPjUxMjc8L2tleT48a2V5IGFwcD0iRU5X
ZWIiIGRiLWlkPSIiPjA8L2tleT48L2ZvcmVpZ24ta2V5cz48cmVmLXR5cGUgbmFtZT0iSm91cm5h
bCBBcnRpY2xlIj4xNzwvcmVmLXR5cGU+PGNvbnRyaWJ1dG9ycz48YXV0aG9ycz48YXV0aG9yPkJl
cnJ5LCBDLjwvYXV0aG9yPjxhdXRob3I+QnVydG9uLCBTLjwvYXV0aG9yPjxhdXRob3I+SG93bGV0
dCwgRS48L2F1dGhvcj48L2F1dGhvcnM+PC9jb250cmlidXRvcnM+PGF1dGgtYWRkcmVzcz5EZXBh
cnRtZW50IG9mIE1hcmtldGluZywgQ29sbGVnZSBvZiBCdXNpbmVzcywgQ29sb3JhZG8gU3RhdGUg
VW5pdmVyc2l0eSwgRm9ydCBDb2xsaW5zLCBDTy4mI3hEO0RlcGFydG1lbnQgb2YgTWFya2V0aW5n
LCBXYWx0b24gQ29sbGVnZSBvZiBCdXNpbmVzcywgVW5pdmVyc2l0eSBvZiBBcmthbnNhcywgRmF5
ZXR0ZXZpbGxlLCBBUi4mI3hEO0RlcGFydG1lbnQgb2YgTWFya2V0aW5nIGFuZCBJbnRlcm5hdGlv
bmFsIEJ1c2luZXNzLCBDYXJzb24gQ29sbGVnZSBvZiBCdXNpbmVzcywgV2FzaGluZ3RvbiBTdGF0
ZSBVbml2ZXJzaXR5LCBQdWxsbWFuLCBXQS48L2F1dGgtYWRkcmVzcz48dGl0bGVzPjx0aXRsZT5B
cmUgQ2lnYXJldHRlIFNtb2tlcnMmYXBvczssIEUtQ2lnYXJldHRlIFVzZXJzJmFwb3M7LCBhbmQg
RHVhbCBVc2VycyZhcG9zOyBIZWFsdGgtUmlzayBCZWxpZWZzIGFuZCBSZXNwb25zZXMgdG8gQWR2
ZXJ0aXNpbmcgSW5mbHVlbmNlZCBieSBBZGRpY3Rpb24gV2FybmluZ3MgYW5kIFByb2R1Y3QgVHlw
ZT88L3RpdGxlPjxzZWNvbmRhcnktdGl0bGU+Tmljb3RpbmUgVG9iIFJlczwvc2Vjb25kYXJ5LXRp
dGxlPjxhbHQtdGl0bGU+Tmljb3RpbmUgJmFtcDsgdG9iYWNjbyByZXNlYXJjaCA6IG9mZmljaWFs
IGpvdXJuYWwgb2YgdGhlIFNvY2lldHkgZm9yIFJlc2VhcmNoIG9uIE5pY290aW5lIGFuZCBUb2Jh
Y2NvPC9hbHQtdGl0bGU+PC90aXRsZXM+PHBlcmlvZGljYWw+PGZ1bGwtdGl0bGU+Tmljb3RpbmUg
VG9iIFJlczwvZnVsbC10aXRsZT48YWJici0xPk5pY290aW5lICZhbXA7IHRvYmFjY28gcmVzZWFy
Y2ggOiBvZmZpY2lhbCBqb3VybmFsIG9mIHRoZSBTb2NpZXR5IGZvciBSZXNlYXJjaCBvbiBOaWNv
dGluZSBhbmQgVG9iYWNjbzwvYWJici0xPjwvcGVyaW9kaWNhbD48YWx0LXBlcmlvZGljYWw+PGZ1
bGwtdGl0bGU+Tmljb3RpbmUgVG9iIFJlczwvZnVsbC10aXRsZT48YWJici0xPk5pY290aW5lICZh
bXA7IHRvYmFjY28gcmVzZWFyY2ggOiBvZmZpY2lhbCBqb3VybmFsIG9mIHRoZSBTb2NpZXR5IGZv
ciBSZXNlYXJjaCBvbiBOaWNvdGluZSBhbmQgVG9iYWNjbzwvYWJici0xPjwvYWx0LXBlcmlvZGlj
YWw+PHBhZ2VzPjExODUtMTE5MTwvcGFnZXM+PHZvbHVtZT4xOTwvdm9sdW1lPjxudW1iZXI+MTA8
L251bWJlcj48ZWRpdGlvbj4yMDE3LzA0LzA2PC9lZGl0aW9uPjxrZXl3b3Jkcz48a2V5d29yZD5B
ZG9sZXNjZW50PC9rZXl3b3JkPjxrZXl3b3JkPkFkdWx0PC9rZXl3b3JkPjxrZXl3b3JkPipBZHZl
cnRpc2luZyBhcyBUb3BpYzwva2V5d29yZD48a2V5d29yZD5Dcm9zcy1TZWN0aW9uYWwgU3R1ZGll
czwva2V5d29yZD48a2V5d29yZD5GZW1hbGU8L2tleXdvcmQ+PGtleXdvcmQ+SHVtYW5zPC9rZXl3
b3JkPjxrZXl3b3JkPk1hbGU8L2tleXdvcmQ+PGtleXdvcmQ+KlByb2R1Y3QgTGFiZWxpbmc8L2tl
eXdvcmQ+PGtleXdvcmQ+KlJpc2sgQXNzZXNzbWVudDwva2V5d29yZD48a2V5d29yZD5TbW9raW5n
Lypwc3ljaG9sb2d5PC9rZXl3b3JkPjxrZXl3b3JkPlNtb2tpbmcgQ2Vzc2F0aW9uLypwc3ljaG9s
b2d5PC9rZXl3b3JkPjxrZXl3b3JkPlRvYmFjY28gUHJvZHVjdHMvKmFkdmVyc2UgZWZmZWN0cy9j
bGFzc2lmaWNhdGlvbjwva2V5d29yZD48a2V5d29yZD5WYXBpbmcvcHN5Y2hvbG9neTwva2V5d29y
ZD48a2V5d29yZD5Zb3VuZyBBZHVsdDwva2V5d29yZD48L2tleXdvcmRzPjxkYXRlcz48eWVhcj4y
MDE3PC95ZWFyPjxwdWItZGF0ZXM+PGRhdGU+T2N0IDE8L2RhdGU+PC9wdWItZGF0ZXM+PC9kYXRl
cz48aXNibj4xNDYyLTIyMDM8L2lzYm4+PGFjY2Vzc2lvbi1udW0+MjgzNzk1Njg8L2FjY2Vzc2lv
bi1udW0+PHVybHM+PHJlbGF0ZWQtdXJscz48dXJsPmh0dHBzOi8vd2F0ZXJtYXJrLnNpbHZlcmNo
YWlyLmNvbS9udHgwNzUucGRmP3Rva2VuPUFRRUNBSGkyMDhCRTQ5T29hbjlra2hXX0VyY3k3RG0z
WkxfOUNmM3FmS0FjNDg1eXNnQUFBYll3Z2dHeUJna3Foa2lHOXcwQkJ3YWdnZ0dqTUlJQm53SUJB
RENDQVpnR0NTcUdTSWIzRFFFSEFUQWVCZ2xnaGtnQlpRTUVBUzR3RVFRTTF3ejMwbGRJUVBLYVdX
TGFBZ0VRZ0lJQmFWbUxsQ05oT0NWbzQtYV9OTHlibGRqaEpnSF9DOXdRMW5kS25ZXzIySnl6NTVZ
dFJ2Nks0V3VFTzU2bVpHYzZtcmRwYUNtX3NiTVh1Y0ZTVHBfd0F6eWNoZDgxNnNEWmVqT0k0UGc4
Z3lzXzlSVm84RGtfd2JTZXRJT3NxMFZfRlZwbUh1ZmthLXRrdmdRc0dFMXZOX0RFd0swczhrcDNz
VUNxOHhIbmpCOFllWGNXaFFkR1BQaUY4ZHpucjFaTjBmZ3paQWZ4X25KWkUwVmZmX1IyV1hoVHhv
bWd3STJuZkY5YldLbFdvb0thR200YUFuVW5tYV9mc1prOWNjV1dSeU1RX1NWVWdoazV0dkdrdUo0
bkJBdGpQWmZuVGNacnhqT004UHJlaTVsMlB6aWhvRk1GR2VDd085THExZzBQZkxaaFVFbVRzTGxB
T3QxSDhGVEZYcjhFa1pqU3piYXFqUnQwRkh1MHFSOGRrTVFaeGVaanhuX2pUb19pTjl2RlNaejk4
aHdMZjNQejFWVzk3MC05S1FHcUU2Q19DSU93N2RfcmVTcTdxMU1ud3pZd20wNm02MkhiRzZmNVN1
blNGYURvemdnSmF3UHBuaFZUOFd6RGNJUUhnbEtXdzRYLWJJdzwvdXJsPjwvcmVsYXRlZC11cmxz
PjwvdXJscz48ZWxlY3Ryb25pYy1yZXNvdXJjZS1udW0+MTAuMTA5My9udHIvbnR4MDc1PC9lbGVj
dHJvbmljLXJlc291cmNlLW51bT48cmVtb3RlLWRhdGFiYXNlLXByb3ZpZGVyPk5MTTwvcmVtb3Rl
LWRhdGFiYXNlLXByb3ZpZGVyPjxsYW5ndWFnZT5lbmc8L2xhbmd1YWdlPjwvcmVjb3JkPjwvQ2l0
ZT48L0VuZE5vdGU+AG==
</w:fldData>
        </w:fldChar>
      </w:r>
      <w:r>
        <w:instrText xml:space="preserve"> ADDIN EN.CITE.DATA </w:instrText>
      </w:r>
      <w:r>
        <w:fldChar w:fldCharType="end"/>
      </w:r>
      <w:r>
        <w:fldChar w:fldCharType="separate"/>
      </w:r>
      <w:r>
        <w:rPr>
          <w:noProof/>
        </w:rPr>
        <w:t>(Berry, Burton et al. 2017)</w:t>
      </w:r>
      <w:r>
        <w:fldChar w:fldCharType="end"/>
      </w:r>
      <w:r>
        <w:t xml:space="preserve"> performed a web-based experimental study to understand how addiction warning labels influence willingness to try e</w:t>
      </w:r>
      <w:r>
        <w:noBreakHyphen/>
        <w:t xml:space="preserve">cigarette products. They conclude that warnings may be effective in changing risk beliefs which may ultimately be persuasive. </w:t>
      </w:r>
    </w:p>
    <w:p w14:paraId="53F723E6" w14:textId="77777777" w:rsidR="00673D5A" w:rsidRDefault="00673D5A" w:rsidP="00673D5A">
      <w:pPr>
        <w:pStyle w:val="BodyText"/>
      </w:pPr>
    </w:p>
    <w:p w14:paraId="4B2923F8" w14:textId="77777777" w:rsidR="00673D5A" w:rsidRDefault="00673D5A" w:rsidP="00673D5A">
      <w:pPr>
        <w:pStyle w:val="BodyText"/>
      </w:pPr>
      <w:r>
        <w:t xml:space="preserve">Etter </w:t>
      </w:r>
      <w:r>
        <w:fldChar w:fldCharType="begin">
          <w:fldData xml:space="preserve">PEVuZE5vdGU+PENpdGU+PEF1dGhvcj5FdHRlcjwvQXV0aG9yPjxZZWFyPjIwMTc8L1llYXI+PFJl
Y051bT42NTU5PC9SZWNOdW0+PERpc3BsYXlUZXh0PihFdHRlciAyMDE3KTwvRGlzcGxheVRleHQ+
PHJlY29yZD48cmVjLW51bWJlcj42NTU5PC9yZWMtbnVtYmVyPjxmb3JlaWduLWtleXM+PGtleSBh
cHA9IkVOIiBkYi1pZD0iZnB0OXB0dHJtNXpmc2Flc3A5ZnBzZGR2MDlld3N2NXhld2ZkIiB0aW1l
c3RhbXA9IjE1MjUwNDg1NjUiPjY1NTk8L2tleT48a2V5IGFwcD0iRU5XZWIiIGRiLWlkPSIiPjA8
L2tleT48L2ZvcmVpZ24ta2V5cz48cmVmLXR5cGUgbmFtZT0iSm91cm5hbCBBcnRpY2xlIj4xNzwv
cmVmLXR5cGU+PGNvbnRyaWJ1dG9ycz48YXV0aG9ycz48YXV0aG9yPkV0dGVyLCBKLiBGLjwvYXV0
aG9yPjwvYXV0aG9ycz48L2NvbnRyaWJ1dG9ycz48YXV0aC1hZGRyZXNzPkluc3RpdHV0ZSBvZiBH
bG9iYWwgSGVhbHRoLCBGYWN1bHR5IG9mIE1lZGljaW5lLCBVbml2ZXJzaXR5IG9mIEdlbmV2YSwg
U3dpdHplcmxhbmQuPC9hdXRoLWFkZHJlc3M+PHRpdGxlcz48dGl0bGU+RWxlY3Ryb25pYyBjaWdh
cmV0dGU6IGEgbG9uZ2l0dWRpbmFsIHN0dWR5IG9mIHJlZ3VsYXIgdmFwZXJzPC90aXRsZT48c2Vj
b25kYXJ5LXRpdGxlPk5pY290aW5lIFRvYiBSZXM8L3NlY29uZGFyeS10aXRsZT48YWx0LXRpdGxl
Pk5pY290aW5lICZhbXA7IHRvYmFjY28gcmVzZWFyY2ggOiBvZmZpY2lhbCBqb3VybmFsIG9mIHRo
ZSBTb2NpZXR5IGZvciBSZXNlYXJjaCBvbiBOaWNvdGluZSBhbmQgVG9iYWNjbzwvYWx0LXRpdGxl
PjwvdGl0bGVzPjxwZXJpb2RpY2FsPjxmdWxsLXRpdGxlPk5pY290aW5lIFRvYiBSZXM8L2Z1bGwt
dGl0bGU+PGFiYnItMT5OaWNvdGluZSAmYW1wOyB0b2JhY2NvIHJlc2VhcmNoIDogb2ZmaWNpYWwg
am91cm5hbCBvZiB0aGUgU29jaWV0eSBmb3IgUmVzZWFyY2ggb24gTmljb3RpbmUgYW5kIFRvYmFj
Y288L2FiYnItMT48L3BlcmlvZGljYWw+PGFsdC1wZXJpb2RpY2FsPjxmdWxsLXRpdGxlPk5pY290
aW5lIFRvYiBSZXM8L2Z1bGwtdGl0bGU+PGFiYnItMT5OaWNvdGluZSAmYW1wOyB0b2JhY2NvIHJl
c2VhcmNoIDogb2ZmaWNpYWwgam91cm5hbCBvZiB0aGUgU29jaWV0eSBmb3IgUmVzZWFyY2ggb24g
Tmljb3RpbmUgYW5kIFRvYmFjY288L2FiYnItMT48L2FsdC1wZXJpb2RpY2FsPjxlZGl0aW9uPjIw
MTcvMDYvMDg8L2VkaXRpb24+PGtleXdvcmRzPjxrZXl3b3JkPkUtY2lnYXJldHRlPC9rZXl3b3Jk
PjxrZXl3b3JkPkVsZWN0cm9uaWMgQ2lnYXJldHRlPC9rZXl3b3JkPjxrZXl3b3JkPkVsZWN0cm9u
aWMgTmljb3RpbmUgRGVsaXZlcnkgRGV2aWNlcyAoRU5EUyk8L2tleXdvcmQ+PGtleXdvcmQ+SW50
ZXJuZXQ8L2tleXdvcmQ+PGtleXdvcmQ+Tmljb3RpbmU8L2tleXdvcmQ+PGtleXdvcmQ+U21va2lu
Zzwva2V5d29yZD48a2V5d29yZD5Ub2JhY2NvIFVzZSBEaXNvcmRlcjwva2V5d29yZD48L2tleXdv
cmRzPjxkYXRlcz48eWVhcj4yMDE3PC95ZWFyPjxwdWItZGF0ZXM+PGRhdGU+SnVuIDc8L2RhdGU+
PC9wdWItZGF0ZXM+PC9kYXRlcz48aXNibj4xNDYyLTIyMDM8L2lzYm4+PGFjY2Vzc2lvbi1udW0+
Mjg1OTE3ODg8L2FjY2Vzc2lvbi1udW0+PHVybHM+PHJlbGF0ZWQtdXJscz48dXJsPmh0dHBzOi8v
d2F0ZXJtYXJrLnNpbHZlcmNoYWlyLmNvbS9udHgxMzIucGRmP3Rva2VuPUFRRUNBSGkyMDhCRTQ5
T29hbjlra2hXX0VyY3k3RG0zWkxfOUNmM3FmS0FjNDg1eXNnQUFBY2d3Z2dIRUJna3Foa2lHOXcw
QkJ3YWdnZ0cxTUlJQnNRSUJBRENDQWFvR0NTcUdTSWIzRFFFSEFUQWVCZ2xnaGtnQlpRTUVBUzR3
RVFRTXk5ZjEwSk0xb1FBeURMUTFBZ0VRZ0lJQmV6T2tkUFgtMHlOb0tyQk9nNWh4T0xNWlB0eW1T
Ml91Q2lKbk9qLXgwSkdzVDBnLUxXMm04ZVNJWC1SRV9DMHdiV1AzcExHaDNSM1JnQ3JDVUVVeThr
ZWdiMXhrS3VzUzd1UFU3TGN5dlc1LS1JQ0EzWmZnYUVDaWFsM19WM3k5QTlqVVVQUHg4bWpNZmdw
cUF2Ny1IRGZnUG12bWRvbEFlYjRxM2xvSTFGWGZ5TmJMRGw3ZXZ1VENjUktkMDVZS2l0NV9uUFh5
NkpBSEtMZnBsU0UzRFI1VmtSd0xEV0gxNmRpT0ZTazlaZ0VPb3plUmdDMEZ3cDB0SnFibDZHakR4
ODFKeExYc2VPUzV6TWk0RFJYVjBRVVdqT3NtTE5Yci14b3JGSEExZk90MkxlTlBCZnB2d2V3LUEx
bl9nYlpORTFDR2FwMlJ5SjhKV083dTlFOUdhd05qekJCUDdQdlMzQklid1MybWt2NHJIb0paMlpX
bGNqZ242RmZicjlob1Y5QmJpVTNRMmxQR0oyNEdXd2FNMnQxVFhDb3VsSTNpajNEYk1CZmlVb2M0
NllEejNzYlRFM2RMTkNpZ043anNrSUlZQnRRaFhNdGdyelFSNTdCMVNUbEpKLWR5V01vd24tc3JF
aVlNSXREV2JQQTEtWmM1MUFlWFJMczwvdXJsPjx1cmw+aHR0cHM6Ly93YXRlcm1hcmsuc2lsdmVy
Y2hhaXIuY29tL250eDEzMi5wZGY/dG9rZW49QVFFQ0FIaTIwOEJFNDlPb2FuOWtraFdfRXJjeTdE
bTNaTF85Q2YzcWZLQWM0ODV5c2dBQUFkUXdnZ0hRQmdrcWhraUc5dzBCQndhZ2dnSEJNSUlCdlFJ
QkFEQ0NBYllHQ1NxR1NJYjNEUUVIQVRBZUJnbGdoa2dCWlFNRUFTNHdFUVFNYU1IY2RfczhSYXZq
THVZVkFnRVFnSUlCaDhlMmdvVTdIMEZfczBINlVTbmJ0Y1JwakRhX2RPWWJJOV9wVFNqZVcxcHJS
WDdaeEhMQUpydEYyTVg5dlNsQkp6UXBETE15WFJlaDJBY2syV3Z5TmRXZTMtampVX1p1Y2RMOGhp
U0JlS1dKcG1Uall4Y0JqVW5Qblc3ZnFMa2NNeXVETnNieVZGNkZPMy13UVVWNFQyTGNqTHc4Nl9V
ZVJ1ckd3UVRHVW9aNWFLN1R4a0N1VVctYWNVZS1WOGx0V29OVWVqN0ZDYUR6dzBMWmFNSV84TjRM
WndGRU5XdmlRRGdvcjdhZXBmMDA5dXl2OWxlcnpKVzZJNlNyQzZQMmFKenhNLUpMa1o0dkg1UGU1
Z1RhNUFBWmRvUm5oYUF6NlZOWDZWUlE5X2owQ0pQNE9sck93bk5SZFh4bUdBLURjMFh2cTIwOEhG
dFBRNl9hNWxOaFpaS0tud3ZSVndCZml2OEg0R0tyRVJGZWxiWHdIWnZwX3J5eGIycFdFa05ILTFB
bmVYOW9mOHBFQ0lUbUl0akZGSWxlMlBEeEZsVHhOUklGdW8yaVBGcnVVZHQyMDBNNTJpYXBLOXRk
SF82dGp5ZTBOaGlJdV8zNmZOaXpGU3RxNFNDM2lxd1lOT3p1UF9aSlB2SFpvM2QyWTAzY0dPT1N2
Y2M2THp0cVhGNFpxQmx5ZHN5Q251UTwvdXJsPjwvcmVsYXRlZC11cmxzPjwvdXJscz48ZWxlY3Ry
b25pYy1yZXNvdXJjZS1udW0+MTAuMTA5My9udHIvbnR4MTMyPC9lbGVjdHJvbmljLXJlc291cmNl
LW51bT48cmVtb3RlLWRhdGFiYXNlLXByb3ZpZGVyPk5MTTwvcmVtb3RlLWRhdGFiYXNlLXByb3Zp
ZGVyPjxsYW5ndWFnZT5lbmc8L2xhbmd1YWdlPjwvcmVjb3JkPjwvQ2l0ZT48L0VuZE5vdGU+AG==
</w:fldData>
        </w:fldChar>
      </w:r>
      <w:r>
        <w:instrText xml:space="preserve"> ADDIN EN.CITE </w:instrText>
      </w:r>
      <w:r>
        <w:fldChar w:fldCharType="begin">
          <w:fldData xml:space="preserve">PEVuZE5vdGU+PENpdGU+PEF1dGhvcj5FdHRlcjwvQXV0aG9yPjxZZWFyPjIwMTc8L1llYXI+PFJl
Y051bT42NTU5PC9SZWNOdW0+PERpc3BsYXlUZXh0PihFdHRlciAyMDE3KTwvRGlzcGxheVRleHQ+
PHJlY29yZD48cmVjLW51bWJlcj42NTU5PC9yZWMtbnVtYmVyPjxmb3JlaWduLWtleXM+PGtleSBh
cHA9IkVOIiBkYi1pZD0iZnB0OXB0dHJtNXpmc2Flc3A5ZnBzZGR2MDlld3N2NXhld2ZkIiB0aW1l
c3RhbXA9IjE1MjUwNDg1NjUiPjY1NTk8L2tleT48a2V5IGFwcD0iRU5XZWIiIGRiLWlkPSIiPjA8
L2tleT48L2ZvcmVpZ24ta2V5cz48cmVmLXR5cGUgbmFtZT0iSm91cm5hbCBBcnRpY2xlIj4xNzwv
cmVmLXR5cGU+PGNvbnRyaWJ1dG9ycz48YXV0aG9ycz48YXV0aG9yPkV0dGVyLCBKLiBGLjwvYXV0
aG9yPjwvYXV0aG9ycz48L2NvbnRyaWJ1dG9ycz48YXV0aC1hZGRyZXNzPkluc3RpdHV0ZSBvZiBH
bG9iYWwgSGVhbHRoLCBGYWN1bHR5IG9mIE1lZGljaW5lLCBVbml2ZXJzaXR5IG9mIEdlbmV2YSwg
U3dpdHplcmxhbmQuPC9hdXRoLWFkZHJlc3M+PHRpdGxlcz48dGl0bGU+RWxlY3Ryb25pYyBjaWdh
cmV0dGU6IGEgbG9uZ2l0dWRpbmFsIHN0dWR5IG9mIHJlZ3VsYXIgdmFwZXJzPC90aXRsZT48c2Vj
b25kYXJ5LXRpdGxlPk5pY290aW5lIFRvYiBSZXM8L3NlY29uZGFyeS10aXRsZT48YWx0LXRpdGxl
Pk5pY290aW5lICZhbXA7IHRvYmFjY28gcmVzZWFyY2ggOiBvZmZpY2lhbCBqb3VybmFsIG9mIHRo
ZSBTb2NpZXR5IGZvciBSZXNlYXJjaCBvbiBOaWNvdGluZSBhbmQgVG9iYWNjbzwvYWx0LXRpdGxl
PjwvdGl0bGVzPjxwZXJpb2RpY2FsPjxmdWxsLXRpdGxlPk5pY290aW5lIFRvYiBSZXM8L2Z1bGwt
dGl0bGU+PGFiYnItMT5OaWNvdGluZSAmYW1wOyB0b2JhY2NvIHJlc2VhcmNoIDogb2ZmaWNpYWwg
am91cm5hbCBvZiB0aGUgU29jaWV0eSBmb3IgUmVzZWFyY2ggb24gTmljb3RpbmUgYW5kIFRvYmFj
Y288L2FiYnItMT48L3BlcmlvZGljYWw+PGFsdC1wZXJpb2RpY2FsPjxmdWxsLXRpdGxlPk5pY290
aW5lIFRvYiBSZXM8L2Z1bGwtdGl0bGU+PGFiYnItMT5OaWNvdGluZSAmYW1wOyB0b2JhY2NvIHJl
c2VhcmNoIDogb2ZmaWNpYWwgam91cm5hbCBvZiB0aGUgU29jaWV0eSBmb3IgUmVzZWFyY2ggb24g
Tmljb3RpbmUgYW5kIFRvYmFjY288L2FiYnItMT48L2FsdC1wZXJpb2RpY2FsPjxlZGl0aW9uPjIw
MTcvMDYvMDg8L2VkaXRpb24+PGtleXdvcmRzPjxrZXl3b3JkPkUtY2lnYXJldHRlPC9rZXl3b3Jk
PjxrZXl3b3JkPkVsZWN0cm9uaWMgQ2lnYXJldHRlPC9rZXl3b3JkPjxrZXl3b3JkPkVsZWN0cm9u
aWMgTmljb3RpbmUgRGVsaXZlcnkgRGV2aWNlcyAoRU5EUyk8L2tleXdvcmQ+PGtleXdvcmQ+SW50
ZXJuZXQ8L2tleXdvcmQ+PGtleXdvcmQ+Tmljb3RpbmU8L2tleXdvcmQ+PGtleXdvcmQ+U21va2lu
Zzwva2V5d29yZD48a2V5d29yZD5Ub2JhY2NvIFVzZSBEaXNvcmRlcjwva2V5d29yZD48L2tleXdv
cmRzPjxkYXRlcz48eWVhcj4yMDE3PC95ZWFyPjxwdWItZGF0ZXM+PGRhdGU+SnVuIDc8L2RhdGU+
PC9wdWItZGF0ZXM+PC9kYXRlcz48aXNibj4xNDYyLTIyMDM8L2lzYm4+PGFjY2Vzc2lvbi1udW0+
Mjg1OTE3ODg8L2FjY2Vzc2lvbi1udW0+PHVybHM+PHJlbGF0ZWQtdXJscz48dXJsPmh0dHBzOi8v
d2F0ZXJtYXJrLnNpbHZlcmNoYWlyLmNvbS9udHgxMzIucGRmP3Rva2VuPUFRRUNBSGkyMDhCRTQ5
T29hbjlra2hXX0VyY3k3RG0zWkxfOUNmM3FmS0FjNDg1eXNnQUFBY2d3Z2dIRUJna3Foa2lHOXcw
QkJ3YWdnZ0cxTUlJQnNRSUJBRENDQWFvR0NTcUdTSWIzRFFFSEFUQWVCZ2xnaGtnQlpRTUVBUzR3
RVFRTXk5ZjEwSk0xb1FBeURMUTFBZ0VRZ0lJQmV6T2tkUFgtMHlOb0tyQk9nNWh4T0xNWlB0eW1T
Ml91Q2lKbk9qLXgwSkdzVDBnLUxXMm04ZVNJWC1SRV9DMHdiV1AzcExHaDNSM1JnQ3JDVUVVeThr
ZWdiMXhrS3VzUzd1UFU3TGN5dlc1LS1JQ0EzWmZnYUVDaWFsM19WM3k5QTlqVVVQUHg4bWpNZmdw
cUF2Ny1IRGZnUG12bWRvbEFlYjRxM2xvSTFGWGZ5TmJMRGw3ZXZ1VENjUktkMDVZS2l0NV9uUFh5
NkpBSEtMZnBsU0UzRFI1VmtSd0xEV0gxNmRpT0ZTazlaZ0VPb3plUmdDMEZ3cDB0SnFibDZHakR4
ODFKeExYc2VPUzV6TWk0RFJYVjBRVVdqT3NtTE5Yci14b3JGSEExZk90MkxlTlBCZnB2d2V3LUEx
bl9nYlpORTFDR2FwMlJ5SjhKV083dTlFOUdhd05qekJCUDdQdlMzQklid1MybWt2NHJIb0paMlpX
bGNqZ242RmZicjlob1Y5QmJpVTNRMmxQR0oyNEdXd2FNMnQxVFhDb3VsSTNpajNEYk1CZmlVb2M0
NllEejNzYlRFM2RMTkNpZ043anNrSUlZQnRRaFhNdGdyelFSNTdCMVNUbEpKLWR5V01vd24tc3JF
aVlNSXREV2JQQTEtWmM1MUFlWFJMczwvdXJsPjx1cmw+aHR0cHM6Ly93YXRlcm1hcmsuc2lsdmVy
Y2hhaXIuY29tL250eDEzMi5wZGY/dG9rZW49QVFFQ0FIaTIwOEJFNDlPb2FuOWtraFdfRXJjeTdE
bTNaTF85Q2YzcWZLQWM0ODV5c2dBQUFkUXdnZ0hRQmdrcWhraUc5dzBCQndhZ2dnSEJNSUlCdlFJ
QkFEQ0NBYllHQ1NxR1NJYjNEUUVIQVRBZUJnbGdoa2dCWlFNRUFTNHdFUVFNYU1IY2RfczhSYXZq
THVZVkFnRVFnSUlCaDhlMmdvVTdIMEZfczBINlVTbmJ0Y1JwakRhX2RPWWJJOV9wVFNqZVcxcHJS
WDdaeEhMQUpydEYyTVg5dlNsQkp6UXBETE15WFJlaDJBY2syV3Z5TmRXZTMtampVX1p1Y2RMOGhp
U0JlS1dKcG1Uall4Y0JqVW5Qblc3ZnFMa2NNeXVETnNieVZGNkZPMy13UVVWNFQyTGNqTHc4Nl9V
ZVJ1ckd3UVRHVW9aNWFLN1R4a0N1VVctYWNVZS1WOGx0V29OVWVqN0ZDYUR6dzBMWmFNSV84TjRM
WndGRU5XdmlRRGdvcjdhZXBmMDA5dXl2OWxlcnpKVzZJNlNyQzZQMmFKenhNLUpMa1o0dkg1UGU1
Z1RhNUFBWmRvUm5oYUF6NlZOWDZWUlE5X2owQ0pQNE9sck93bk5SZFh4bUdBLURjMFh2cTIwOEhG
dFBRNl9hNWxOaFpaS0tud3ZSVndCZml2OEg0R0tyRVJGZWxiWHdIWnZwX3J5eGIycFdFa05ILTFB
bmVYOW9mOHBFQ0lUbUl0akZGSWxlMlBEeEZsVHhOUklGdW8yaVBGcnVVZHQyMDBNNTJpYXBLOXRk
SF82dGp5ZTBOaGlJdV8zNmZOaXpGU3RxNFNDM2lxd1lOT3p1UF9aSlB2SFpvM2QyWTAzY0dPT1N2
Y2M2THp0cVhGNFpxQmx5ZHN5Q251UTwvdXJsPjwvcmVsYXRlZC11cmxzPjwvdXJscz48ZWxlY3Ry
b25pYy1yZXNvdXJjZS1udW0+MTAuMTA5My9udHIvbnR4MTMyPC9lbGVjdHJvbmljLXJlc291cmNl
LW51bT48cmVtb3RlLWRhdGFiYXNlLXByb3ZpZGVyPk5MTTwvcmVtb3RlLWRhdGFiYXNlLXByb3Zp
ZGVyPjxsYW5ndWFnZT5lbmc8L2xhbmd1YWdlPjwvcmVjb3JkPjwvQ2l0ZT48L0VuZE5vdGU+AG==
</w:fldData>
        </w:fldChar>
      </w:r>
      <w:r>
        <w:instrText xml:space="preserve"> ADDIN EN.CITE.DATA </w:instrText>
      </w:r>
      <w:r>
        <w:fldChar w:fldCharType="end"/>
      </w:r>
      <w:r>
        <w:fldChar w:fldCharType="separate"/>
      </w:r>
      <w:r>
        <w:rPr>
          <w:noProof/>
        </w:rPr>
        <w:t>(Etter 2017)</w:t>
      </w:r>
      <w:r>
        <w:fldChar w:fldCharType="end"/>
      </w:r>
      <w:r>
        <w:t xml:space="preserve"> performed a web-based survey following 3,868 vapers between 2012 and 2016 to assess smoking cessation and its relationship with vaping. He concludes that</w:t>
      </w:r>
      <w:r w:rsidRPr="00074967">
        <w:t xml:space="preserve"> enjoyment and relapse prevention were the most important reasons to vape</w:t>
      </w:r>
      <w:r>
        <w:t xml:space="preserve"> and that smoking relapse was low. This may also be reflected by the low (23%) retention rate with those who were more successful more likely to complete follow-up surveys. </w:t>
      </w:r>
    </w:p>
    <w:p w14:paraId="0455ACC6" w14:textId="77777777" w:rsidR="00673D5A" w:rsidRDefault="00673D5A" w:rsidP="00673D5A">
      <w:pPr>
        <w:pStyle w:val="BodyText"/>
      </w:pPr>
    </w:p>
    <w:p w14:paraId="65D1ECF0" w14:textId="77777777" w:rsidR="00673D5A" w:rsidRDefault="00673D5A" w:rsidP="00673D5A">
      <w:pPr>
        <w:pStyle w:val="BodyText"/>
      </w:pPr>
      <w:r>
        <w:t xml:space="preserve">The final four studies </w:t>
      </w:r>
      <w:r>
        <w:fldChar w:fldCharType="begin">
          <w:fldData xml:space="preserve">PEVuZE5vdGU+PENpdGU+PEF1dGhvcj5BbGV4YW5kZXI8L0F1dGhvcj48WWVhcj4yMDE3PC9ZZWFy
PjxSZWNOdW0+NTk5MDwvUmVjTnVtPjxEaXNwbGF5VGV4dD4oQWxleGFuZGVyIGFuZCBXaWxsaWFt
cyAyMDE3LCBDaGVzYW5pdWsgYW5kIFNva29sb3Zza3kgMjAxNywgRGUgR2VubmEsIEdvbGRzY2ht
aWR0IGV0IGFsLiAyMDE3LCBOYWhpbiwgQmlzcG8gZXQgYWwuIDIwMTcpPC9EaXNwbGF5VGV4dD48
cmVjb3JkPjxyZWMtbnVtYmVyPjU5OTA8L3JlYy1udW1iZXI+PGZvcmVpZ24ta2V5cz48a2V5IGFw
cD0iRU4iIGRiLWlkPSI5ejA1ZHowcHJhYWRmdWVlMHpveHplZGs5emZlNWZ4eDUwejUiIHRpbWVz
dGFtcD0iMTUyMzkyMTA0NCI+NTk5MDwva2V5PjxrZXkgYXBwPSJFTldlYiIgZGItaWQ9IiI+MDwv
a2V5PjwvZm9yZWlnbi1rZXlzPjxyZWYtdHlwZSBuYW1lPSJKb3VybmFsIEFydGljbGUiPjE3PC9y
ZWYtdHlwZT48Y29udHJpYnV0b3JzPjxhdXRob3JzPjxhdXRob3I+QWxleGFuZGVyLCBKZW5uaWZl
ciBQLjwvYXV0aG9yPjxhdXRob3I+V2lsbGlhbXMsIFBleXRvbjwvYXV0aG9yPjwvYXV0aG9ycz48
L2NvbnRyaWJ1dG9ycz48dGl0bGVzPjx0aXRsZT5VbmRlcnN0YW5kaW5nIGFkb2xlc2NlbnQgZS1j
aWdhcmV0dGUgdXNlcnM6IGF0dGl0dWRlcywgYmVsaWVmcywgYW5kIHNvY2lhbCBub3JtczwvdGl0
bGU+PHNlY29uZGFyeS10aXRsZT5Bbm5hbHMgb2YgQmVoYXZpb3JhbCBNZWRpY2luZTwvc2Vjb25k
YXJ5LXRpdGxlPjwvdGl0bGVzPjxwZXJpb2RpY2FsPjxmdWxsLXRpdGxlPkFubmFscyBvZiBCZWhh
dmlvcmFsIE1lZGljaW5lPC9mdWxsLXRpdGxlPjwvcGVyaW9kaWNhbD48cGFnZXM+UzI4NjYtUzI4
Njc8L3BhZ2VzPjx2b2x1bWU+NTE8L3ZvbHVtZT48ZGF0ZXM+PHllYXI+MjAxNzwveWVhcj48cHVi
LWRhdGVzPjxkYXRlPk1hcjwvZGF0ZT48L3B1Yi1kYXRlcz48L2RhdGVzPjxpc2JuPjA4ODMtNjYx
MjwvaXNibj48YWNjZXNzaW9uLW51bT5XT1M6MDAwMzk4OTQ3MjAzNDc2PC9hY2Nlc3Npb24tbnVt
Pjx1cmxzPjxyZWxhdGVkLXVybHM+PHVybD4mbHQ7R28gdG8gSVNJJmd0OzovL1dPUzowMDAzOTg5
NDcyMDM0NzY8L3VybD48L3JlbGF0ZWQtdXJscz48L3VybHM+PC9yZWNvcmQ+PC9DaXRlPjxDaXRl
PjxBdXRob3I+Q2hlc2FuaXVrPC9BdXRob3I+PFllYXI+MjAxNzwvWWVhcj48UmVjTnVtPjU5OTE8
L1JlY051bT48cmVjb3JkPjxyZWMtbnVtYmVyPjU5OTE8L3JlYy1udW1iZXI+PGZvcmVpZ24ta2V5
cz48a2V5IGFwcD0iRU4iIGRiLWlkPSI5ejA1ZHowcHJhYWRmdWVlMHpveHplZGs5emZlNWZ4eDUw
ejUiIHRpbWVzdGFtcD0iMTUyMzkyMTA0NCI+NTk5MTwva2V5PjxrZXkgYXBwPSJFTldlYiIgZGIt
aWQ9IiI+MDwva2V5PjwvZm9yZWlnbi1rZXlzPjxyZWYtdHlwZSBuYW1lPSJKb3VybmFsIEFydGlj
bGUiPjE3PC9yZWYtdHlwZT48Y29udHJpYnV0b3JzPjxhdXRob3JzPjxhdXRob3I+Q2hlc2FuaXVr
LCBNYXJpZTwvYXV0aG9yPjxhdXRob3I+U29rb2xvdnNreSwgQWxleGFuZGVyPC9hdXRob3I+PC9h
dXRob3JzPjwvY29udHJpYnV0b3JzPjx0aXRsZXM+PHRpdGxlPllvdW5nIGFkdWx0IG1vdGl2ZXMg
Zm9yIGVsZWN0cm9uaWMgbmljb3RpbmUgZGVsaXZlcnkgc3lzdGVtIHVzZTwvdGl0bGU+PHNlY29u
ZGFyeS10aXRsZT5Bbm5hbHMgb2YgQmVoYXZpb3JhbCBNZWRpY2luZTwvc2Vjb25kYXJ5LXRpdGxl
PjwvdGl0bGVzPjxwZXJpb2RpY2FsPjxmdWxsLXRpdGxlPkFubmFscyBvZiBCZWhhdmlvcmFsIE1l
ZGljaW5lPC9mdWxsLXRpdGxlPjwvcGVyaW9kaWNhbD48cGFnZXM+UzIzMTItUzIzMTI8L3BhZ2Vz
Pjx2b2x1bWU+NTE8L3ZvbHVtZT48ZGF0ZXM+PHllYXI+MjAxNzwveWVhcj48cHViLWRhdGVzPjxk
YXRlPk1hcjwvZGF0ZT48L3B1Yi1kYXRlcz48L2RhdGVzPjxpc2JuPjA4ODMtNjYxMjwvaXNibj48
YWNjZXNzaW9uLW51bT5XT1M6MDAwMzk4OTQ3MjAzMTI3PC9hY2Nlc3Npb24tbnVtPjx1cmxzPjxy
ZWxhdGVkLXVybHM+PHVybD4mbHQ7R28gdG8gSVNJJmd0OzovL1dPUzowMDAzOTg5NDcyMDMxMjc8
L3VybD48L3JlbGF0ZWQtdXJscz48L3VybHM+PC9yZWNvcmQ+PC9DaXRlPjxDaXRlPjxBdXRob3I+
RGUgR2VubmE8L0F1dGhvcj48WWVhcj4yMDE3PC9ZZWFyPjxSZWNOdW0+NTk2MDwvUmVjTnVtPjxy
ZWNvcmQ+PHJlYy1udW1iZXI+NTk2MDwvcmVjLW51bWJlcj48Zm9yZWlnbi1rZXlzPjxrZXkgYXBw
PSJFTiIgZGItaWQ9Ijl6MDVkejBwcmFhZGZ1ZWUwem94emVkazl6ZmU1Znh4NTB6NSIgdGltZXN0
YW1wPSIxNTIzOTIxMDQxIj41OTYwPC9rZXk+PGtleSBhcHA9IkVOV2ViIiBkYi1pZD0iIj4wPC9r
ZXk+PC9mb3JlaWduLWtleXM+PHJlZi10eXBlIG5hbWU9IkpvdXJuYWwgQXJ0aWNsZSI+MTc8L3Jl
Zi10eXBlPjxjb250cmlidXRvcnM+PGF1dGhvcnM+PGF1dGhvcj5EZSBHZW5uYSwgTmF0YWNoYTwv
YXV0aG9yPjxhdXRob3I+R29sZHNjaG1pZHQsIExpZHVzaDwvYXV0aG9yPjxhdXRob3I+UmljaGFy
ZHNvbiwgR2FsZTwvYXV0aG9yPjxhdXRob3I+RGF5LCBOYW5jeTwvYXV0aG9yPjxhdXRob3I+Q29y
bmVsaXVzLCBNYXJpZTwvYXV0aG9yPjwvYXV0aG9ycz48L2NvbnRyaWJ1dG9ycz48dGl0bGVzPjx0
aXRsZT5QYXRod2F5cyBmcm9tIHByZW5hdGFsIGV4cG9zdXJlcyB0byB0b2JhY2NvIGFuZCBjYW5u
YWJpcyB0byBhZHVsdCBlbGVjdHJvbmljIGNpZ2FyZXR0ZSB1c2U8L3RpdGxlPjxzZWNvbmRhcnkt
dGl0bGU+TmV1cm90b3hpY29sb2d5IGFuZCBUZXJhdG9sb2d5PC9zZWNvbmRhcnktdGl0bGU+PC90
aXRsZXM+PHBlcmlvZGljYWw+PGZ1bGwtdGl0bGU+TmV1cm90b3hpY29sb2d5IGFuZCBUZXJhdG9s
b2d5PC9mdWxsLXRpdGxlPjwvcGVyaW9kaWNhbD48cGFnZXM+MTUxLTE1MTwvcGFnZXM+PHZvbHVt
ZT42MTwvdm9sdW1lPjxkYXRlcz48eWVhcj4yMDE3PC95ZWFyPjxwdWItZGF0ZXM+PGRhdGU+TWF5
LUp1bjwvZGF0ZT48L3B1Yi1kYXRlcz48L2RhdGVzPjxpc2JuPjA4OTItMDM2MjwvaXNibj48YWNj
ZXNzaW9uLW51bT5XT1M6MDAwNDAzNTEyNzAwMDQ0PC9hY2Nlc3Npb24tbnVtPjx1cmxzPjxyZWxh
dGVkLXVybHM+PHVybD4mbHQ7R28gdG8gSVNJJmd0OzovL1dPUzowMDA0MDM1MTI3MDAwNDQ8L3Vy
bD48L3JlbGF0ZWQtdXJscz48L3VybHM+PC9yZWNvcmQ+PC9DaXRlPjxDaXRlPjxBdXRob3I+TmFo
aW48L0F1dGhvcj48WWVhcj4yMDE3PC9ZZWFyPjxSZWNOdW0+NTk5NjwvUmVjTnVtPjxyZWNvcmQ+
PHJlYy1udW1iZXI+NTk5NjwvcmVjLW51bWJlcj48Zm9yZWlnbi1rZXlzPjxrZXkgYXBwPSJFTiIg
ZGItaWQ9Ijl6MDVkejBwcmFhZGZ1ZWUwem94emVkazl6ZmU1Znh4NTB6NSIgdGltZXN0YW1wPSIx
NTIzOTIxMDQ1Ij41OTk2PC9rZXk+PC9mb3JlaWduLWtleXM+PHJlZi10eXBlIG5hbWU9IkpvdXJu
YWwgQXJ0aWNsZSI+MTc8L3JlZi10eXBlPjxjb250cmlidXRvcnM+PGF1dGhvcnM+PGF1dGhvcj5O
YWhpbiwgRXJpY2EgUi48L2F1dGhvcj48YXV0aG9yPkJpc3BvLCBKb3JkYW4gQS4gQmFla2VyPC9h
dXRob3I+PGF1dGhvcj5MbGFicmUsIE1hcmlhIE0uPC9hdXRob3I+PGF1dGhvcj5Tb2tvbG92c2t5
LCBBbGV4YW5kZXIgVy48L2F1dGhvcj48L2F1dGhvcnM+PC9jb250cmlidXRvcnM+PHRpdGxlcz48
dGl0bGU+RGlzY292ZXJpbmcgZGltZW5zaW9ucyBvZiBkZXBlbmRlbmN5IGFtb25nIHlvdW5nIGFk
dWx0IGVsZWN0cm9uaWMgbmljb3RpbmUgZGVsaXZlcnkgc3lzdGVtcyB1c2VyczwvdGl0bGU+PHNl
Y29uZGFyeS10aXRsZT5Bbm5hbHMgb2YgQmVoYXZpb3JhbCBNZWRpY2luZTwvc2Vjb25kYXJ5LXRp
dGxlPjwvdGl0bGVzPjxwZXJpb2RpY2FsPjxmdWxsLXRpdGxlPkFubmFscyBvZiBCZWhhdmlvcmFs
IE1lZGljaW5lPC9mdWxsLXRpdGxlPjwvcGVyaW9kaWNhbD48cGFnZXM+UzIyOTYtUzIyOTY8L3Bh
Z2VzPjx2b2x1bWU+NTE8L3ZvbHVtZT48ZGF0ZXM+PHllYXI+MjAxNzwveWVhcj48cHViLWRhdGVz
PjxkYXRlPk1hcjwvZGF0ZT48L3B1Yi1kYXRlcz48L2RhdGVzPjxpc2JuPjA4ODMtNjYxMjwvaXNi
bj48YWNjZXNzaW9uLW51bT5XT1M6MDAwMzk4OTQ3MjAzMTE4PC9hY2Nlc3Npb24tbnVtPjx1cmxz
PjxyZWxhdGVkLXVybHM+PHVybD4mbHQ7R28gdG8gSVNJJmd0OzovL1dPUzowMDAzOTg5NDcyMDMx
MTg8L3VybD48L3JlbGF0ZWQtdXJscz48L3VybHM+PC9yZWNvcmQ+PC9DaXRlPjwvRW5kTm90ZT4A
</w:fldData>
        </w:fldChar>
      </w:r>
      <w:r>
        <w:instrText xml:space="preserve"> ADDIN EN.CITE </w:instrText>
      </w:r>
      <w:r>
        <w:fldChar w:fldCharType="begin">
          <w:fldData xml:space="preserve">PEVuZE5vdGU+PENpdGU+PEF1dGhvcj5BbGV4YW5kZXI8L0F1dGhvcj48WWVhcj4yMDE3PC9ZZWFy
PjxSZWNOdW0+NTk5MDwvUmVjTnVtPjxEaXNwbGF5VGV4dD4oQWxleGFuZGVyIGFuZCBXaWxsaWFt
cyAyMDE3LCBDaGVzYW5pdWsgYW5kIFNva29sb3Zza3kgMjAxNywgRGUgR2VubmEsIEdvbGRzY2ht
aWR0IGV0IGFsLiAyMDE3LCBOYWhpbiwgQmlzcG8gZXQgYWwuIDIwMTcpPC9EaXNwbGF5VGV4dD48
cmVjb3JkPjxyZWMtbnVtYmVyPjU5OTA8L3JlYy1udW1iZXI+PGZvcmVpZ24ta2V5cz48a2V5IGFw
cD0iRU4iIGRiLWlkPSI5ejA1ZHowcHJhYWRmdWVlMHpveHplZGs5emZlNWZ4eDUwejUiIHRpbWVz
dGFtcD0iMTUyMzkyMTA0NCI+NTk5MDwva2V5PjxrZXkgYXBwPSJFTldlYiIgZGItaWQ9IiI+MDwv
a2V5PjwvZm9yZWlnbi1rZXlzPjxyZWYtdHlwZSBuYW1lPSJKb3VybmFsIEFydGljbGUiPjE3PC9y
ZWYtdHlwZT48Y29udHJpYnV0b3JzPjxhdXRob3JzPjxhdXRob3I+QWxleGFuZGVyLCBKZW5uaWZl
ciBQLjwvYXV0aG9yPjxhdXRob3I+V2lsbGlhbXMsIFBleXRvbjwvYXV0aG9yPjwvYXV0aG9ycz48
L2NvbnRyaWJ1dG9ycz48dGl0bGVzPjx0aXRsZT5VbmRlcnN0YW5kaW5nIGFkb2xlc2NlbnQgZS1j
aWdhcmV0dGUgdXNlcnM6IGF0dGl0dWRlcywgYmVsaWVmcywgYW5kIHNvY2lhbCBub3JtczwvdGl0
bGU+PHNlY29uZGFyeS10aXRsZT5Bbm5hbHMgb2YgQmVoYXZpb3JhbCBNZWRpY2luZTwvc2Vjb25k
YXJ5LXRpdGxlPjwvdGl0bGVzPjxwZXJpb2RpY2FsPjxmdWxsLXRpdGxlPkFubmFscyBvZiBCZWhh
dmlvcmFsIE1lZGljaW5lPC9mdWxsLXRpdGxlPjwvcGVyaW9kaWNhbD48cGFnZXM+UzI4NjYtUzI4
Njc8L3BhZ2VzPjx2b2x1bWU+NTE8L3ZvbHVtZT48ZGF0ZXM+PHllYXI+MjAxNzwveWVhcj48cHVi
LWRhdGVzPjxkYXRlPk1hcjwvZGF0ZT48L3B1Yi1kYXRlcz48L2RhdGVzPjxpc2JuPjA4ODMtNjYx
MjwvaXNibj48YWNjZXNzaW9uLW51bT5XT1M6MDAwMzk4OTQ3MjAzNDc2PC9hY2Nlc3Npb24tbnVt
Pjx1cmxzPjxyZWxhdGVkLXVybHM+PHVybD4mbHQ7R28gdG8gSVNJJmd0OzovL1dPUzowMDAzOTg5
NDcyMDM0NzY8L3VybD48L3JlbGF0ZWQtdXJscz48L3VybHM+PC9yZWNvcmQ+PC9DaXRlPjxDaXRl
PjxBdXRob3I+Q2hlc2FuaXVrPC9BdXRob3I+PFllYXI+MjAxNzwvWWVhcj48UmVjTnVtPjU5OTE8
L1JlY051bT48cmVjb3JkPjxyZWMtbnVtYmVyPjU5OTE8L3JlYy1udW1iZXI+PGZvcmVpZ24ta2V5
cz48a2V5IGFwcD0iRU4iIGRiLWlkPSI5ejA1ZHowcHJhYWRmdWVlMHpveHplZGs5emZlNWZ4eDUw
ejUiIHRpbWVzdGFtcD0iMTUyMzkyMTA0NCI+NTk5MTwva2V5PjxrZXkgYXBwPSJFTldlYiIgZGIt
aWQ9IiI+MDwva2V5PjwvZm9yZWlnbi1rZXlzPjxyZWYtdHlwZSBuYW1lPSJKb3VybmFsIEFydGlj
bGUiPjE3PC9yZWYtdHlwZT48Y29udHJpYnV0b3JzPjxhdXRob3JzPjxhdXRob3I+Q2hlc2FuaXVr
LCBNYXJpZTwvYXV0aG9yPjxhdXRob3I+U29rb2xvdnNreSwgQWxleGFuZGVyPC9hdXRob3I+PC9h
dXRob3JzPjwvY29udHJpYnV0b3JzPjx0aXRsZXM+PHRpdGxlPllvdW5nIGFkdWx0IG1vdGl2ZXMg
Zm9yIGVsZWN0cm9uaWMgbmljb3RpbmUgZGVsaXZlcnkgc3lzdGVtIHVzZTwvdGl0bGU+PHNlY29u
ZGFyeS10aXRsZT5Bbm5hbHMgb2YgQmVoYXZpb3JhbCBNZWRpY2luZTwvc2Vjb25kYXJ5LXRpdGxl
PjwvdGl0bGVzPjxwZXJpb2RpY2FsPjxmdWxsLXRpdGxlPkFubmFscyBvZiBCZWhhdmlvcmFsIE1l
ZGljaW5lPC9mdWxsLXRpdGxlPjwvcGVyaW9kaWNhbD48cGFnZXM+UzIzMTItUzIzMTI8L3BhZ2Vz
Pjx2b2x1bWU+NTE8L3ZvbHVtZT48ZGF0ZXM+PHllYXI+MjAxNzwveWVhcj48cHViLWRhdGVzPjxk
YXRlPk1hcjwvZGF0ZT48L3B1Yi1kYXRlcz48L2RhdGVzPjxpc2JuPjA4ODMtNjYxMjwvaXNibj48
YWNjZXNzaW9uLW51bT5XT1M6MDAwMzk4OTQ3MjAzMTI3PC9hY2Nlc3Npb24tbnVtPjx1cmxzPjxy
ZWxhdGVkLXVybHM+PHVybD4mbHQ7R28gdG8gSVNJJmd0OzovL1dPUzowMDAzOTg5NDcyMDMxMjc8
L3VybD48L3JlbGF0ZWQtdXJscz48L3VybHM+PC9yZWNvcmQ+PC9DaXRlPjxDaXRlPjxBdXRob3I+
RGUgR2VubmE8L0F1dGhvcj48WWVhcj4yMDE3PC9ZZWFyPjxSZWNOdW0+NTk2MDwvUmVjTnVtPjxy
ZWNvcmQ+PHJlYy1udW1iZXI+NTk2MDwvcmVjLW51bWJlcj48Zm9yZWlnbi1rZXlzPjxrZXkgYXBw
PSJFTiIgZGItaWQ9Ijl6MDVkejBwcmFhZGZ1ZWUwem94emVkazl6ZmU1Znh4NTB6NSIgdGltZXN0
YW1wPSIxNTIzOTIxMDQxIj41OTYwPC9rZXk+PGtleSBhcHA9IkVOV2ViIiBkYi1pZD0iIj4wPC9r
ZXk+PC9mb3JlaWduLWtleXM+PHJlZi10eXBlIG5hbWU9IkpvdXJuYWwgQXJ0aWNsZSI+MTc8L3Jl
Zi10eXBlPjxjb250cmlidXRvcnM+PGF1dGhvcnM+PGF1dGhvcj5EZSBHZW5uYSwgTmF0YWNoYTwv
YXV0aG9yPjxhdXRob3I+R29sZHNjaG1pZHQsIExpZHVzaDwvYXV0aG9yPjxhdXRob3I+UmljaGFy
ZHNvbiwgR2FsZTwvYXV0aG9yPjxhdXRob3I+RGF5LCBOYW5jeTwvYXV0aG9yPjxhdXRob3I+Q29y
bmVsaXVzLCBNYXJpZTwvYXV0aG9yPjwvYXV0aG9ycz48L2NvbnRyaWJ1dG9ycz48dGl0bGVzPjx0
aXRsZT5QYXRod2F5cyBmcm9tIHByZW5hdGFsIGV4cG9zdXJlcyB0byB0b2JhY2NvIGFuZCBjYW5u
YWJpcyB0byBhZHVsdCBlbGVjdHJvbmljIGNpZ2FyZXR0ZSB1c2U8L3RpdGxlPjxzZWNvbmRhcnkt
dGl0bGU+TmV1cm90b3hpY29sb2d5IGFuZCBUZXJhdG9sb2d5PC9zZWNvbmRhcnktdGl0bGU+PC90
aXRsZXM+PHBlcmlvZGljYWw+PGZ1bGwtdGl0bGU+TmV1cm90b3hpY29sb2d5IGFuZCBUZXJhdG9s
b2d5PC9mdWxsLXRpdGxlPjwvcGVyaW9kaWNhbD48cGFnZXM+MTUxLTE1MTwvcGFnZXM+PHZvbHVt
ZT42MTwvdm9sdW1lPjxkYXRlcz48eWVhcj4yMDE3PC95ZWFyPjxwdWItZGF0ZXM+PGRhdGU+TWF5
LUp1bjwvZGF0ZT48L3B1Yi1kYXRlcz48L2RhdGVzPjxpc2JuPjA4OTItMDM2MjwvaXNibj48YWNj
ZXNzaW9uLW51bT5XT1M6MDAwNDAzNTEyNzAwMDQ0PC9hY2Nlc3Npb24tbnVtPjx1cmxzPjxyZWxh
dGVkLXVybHM+PHVybD4mbHQ7R28gdG8gSVNJJmd0OzovL1dPUzowMDA0MDM1MTI3MDAwNDQ8L3Vy
bD48L3JlbGF0ZWQtdXJscz48L3VybHM+PC9yZWNvcmQ+PC9DaXRlPjxDaXRlPjxBdXRob3I+TmFo
aW48L0F1dGhvcj48WWVhcj4yMDE3PC9ZZWFyPjxSZWNOdW0+NTk5NjwvUmVjTnVtPjxyZWNvcmQ+
PHJlYy1udW1iZXI+NTk5NjwvcmVjLW51bWJlcj48Zm9yZWlnbi1rZXlzPjxrZXkgYXBwPSJFTiIg
ZGItaWQ9Ijl6MDVkejBwcmFhZGZ1ZWUwem94emVkazl6ZmU1Znh4NTB6NSIgdGltZXN0YW1wPSIx
NTIzOTIxMDQ1Ij41OTk2PC9rZXk+PC9mb3JlaWduLWtleXM+PHJlZi10eXBlIG5hbWU9IkpvdXJu
YWwgQXJ0aWNsZSI+MTc8L3JlZi10eXBlPjxjb250cmlidXRvcnM+PGF1dGhvcnM+PGF1dGhvcj5O
YWhpbiwgRXJpY2EgUi48L2F1dGhvcj48YXV0aG9yPkJpc3BvLCBKb3JkYW4gQS4gQmFla2VyPC9h
dXRob3I+PGF1dGhvcj5MbGFicmUsIE1hcmlhIE0uPC9hdXRob3I+PGF1dGhvcj5Tb2tvbG92c2t5
LCBBbGV4YW5kZXIgVy48L2F1dGhvcj48L2F1dGhvcnM+PC9jb250cmlidXRvcnM+PHRpdGxlcz48
dGl0bGU+RGlzY292ZXJpbmcgZGltZW5zaW9ucyBvZiBkZXBlbmRlbmN5IGFtb25nIHlvdW5nIGFk
dWx0IGVsZWN0cm9uaWMgbmljb3RpbmUgZGVsaXZlcnkgc3lzdGVtcyB1c2VyczwvdGl0bGU+PHNl
Y29uZGFyeS10aXRsZT5Bbm5hbHMgb2YgQmVoYXZpb3JhbCBNZWRpY2luZTwvc2Vjb25kYXJ5LXRp
dGxlPjwvdGl0bGVzPjxwZXJpb2RpY2FsPjxmdWxsLXRpdGxlPkFubmFscyBvZiBCZWhhdmlvcmFs
IE1lZGljaW5lPC9mdWxsLXRpdGxlPjwvcGVyaW9kaWNhbD48cGFnZXM+UzIyOTYtUzIyOTY8L3Bh
Z2VzPjx2b2x1bWU+NTE8L3ZvbHVtZT48ZGF0ZXM+PHllYXI+MjAxNzwveWVhcj48cHViLWRhdGVz
PjxkYXRlPk1hcjwvZGF0ZT48L3B1Yi1kYXRlcz48L2RhdGVzPjxpc2JuPjA4ODMtNjYxMjwvaXNi
bj48YWNjZXNzaW9uLW51bT5XT1M6MDAwMzk4OTQ3MjAzMTE4PC9hY2Nlc3Npb24tbnVtPjx1cmxz
PjxyZWxhdGVkLXVybHM+PHVybD4mbHQ7R28gdG8gSVNJJmd0OzovL1dPUzowMDAzOTg5NDcyMDMx
MTg8L3VybD48L3JlbGF0ZWQtdXJscz48L3VybHM+PC9yZWNvcmQ+PC9DaXRlPjwvRW5kTm90ZT4A
</w:fldData>
        </w:fldChar>
      </w:r>
      <w:r>
        <w:instrText xml:space="preserve"> ADDIN EN.CITE.DATA </w:instrText>
      </w:r>
      <w:r>
        <w:fldChar w:fldCharType="end"/>
      </w:r>
      <w:r>
        <w:fldChar w:fldCharType="separate"/>
      </w:r>
      <w:r>
        <w:rPr>
          <w:noProof/>
        </w:rPr>
        <w:t>(Alexander and Williams 2017, Chesaniuk and Sokolovsky 2017, De Genna, Goldschmidt et al. 2017, Nahin, Bispo et al. 2017)</w:t>
      </w:r>
      <w:r>
        <w:fldChar w:fldCharType="end"/>
      </w:r>
      <w:r>
        <w:t xml:space="preserve"> were based on conference abstracts only and added no new insights to other papers.</w:t>
      </w:r>
    </w:p>
    <w:p w14:paraId="417B9831" w14:textId="77777777" w:rsidR="00673D5A" w:rsidRDefault="00673D5A" w:rsidP="00673D5A">
      <w:pPr>
        <w:pStyle w:val="BodyText"/>
      </w:pPr>
    </w:p>
    <w:p w14:paraId="3D8A63F2" w14:textId="77777777" w:rsidR="00673D5A" w:rsidRDefault="00673D5A" w:rsidP="00673D5A">
      <w:pPr>
        <w:pStyle w:val="Heading2"/>
        <w:ind w:left="1134" w:hanging="1134"/>
      </w:pPr>
      <w:bookmarkStart w:id="325" w:name="_Toc517706746"/>
      <w:r>
        <w:t>Conclusion</w:t>
      </w:r>
      <w:bookmarkEnd w:id="325"/>
    </w:p>
    <w:p w14:paraId="01291415" w14:textId="02F6F868" w:rsidR="00F74F02" w:rsidRPr="008E7BEC" w:rsidRDefault="00673D5A" w:rsidP="00673D5A">
      <w:pPr>
        <w:spacing w:after="0"/>
        <w:rPr>
          <w:sz w:val="24"/>
          <w:szCs w:val="24"/>
        </w:rPr>
      </w:pPr>
      <w:r w:rsidRPr="008E7BEC">
        <w:rPr>
          <w:sz w:val="24"/>
          <w:szCs w:val="24"/>
        </w:rPr>
        <w:t xml:space="preserve">The new papers reviewed that have used data obtained in the UK are consistent in their findings to what has already been reported in the Public Health England report </w:t>
      </w:r>
      <w:r w:rsidRPr="008E7BEC">
        <w:rPr>
          <w:sz w:val="24"/>
          <w:szCs w:val="24"/>
        </w:rPr>
        <w:fldChar w:fldCharType="begin"/>
      </w:r>
      <w:r w:rsidR="00903735">
        <w:rPr>
          <w:sz w:val="24"/>
          <w:szCs w:val="24"/>
        </w:rPr>
        <w:instrText xml:space="preserve"> ADDIN EN.CITE &lt;EndNote&gt;&lt;Cite&gt;&lt;Author&gt;Stratton&lt;/Author&gt;&lt;Year&gt;2018&lt;/Year&gt;&lt;RecNum&gt;7073&lt;/RecNum&gt;&lt;DisplayText&gt;(Stratton, Kwan et al. 2018)&lt;/DisplayText&gt;&lt;record&gt;&lt;rec-number&gt;7073&lt;/rec-number&gt;&lt;foreign-keys&gt;&lt;key app="EN" db-id="5xv5w5t2bdxtxfezx02xtxdft5rz5ptvvt29" timestamp="1521076678"&gt;7073&lt;/key&gt;&lt;/foreign-keys&gt;&lt;ref-type name="Report"&gt;27&lt;/ref-type&gt;&lt;contributors&gt;&lt;authors&gt;&lt;author&gt;Kathleen Stratton&lt;/author&gt;&lt;author&gt;Leslie Y Kwan&lt;/author&gt;&lt;author&gt;David L Eaton&lt;/author&gt;&lt;/authors&gt;&lt;tertiary-authors&gt;&lt;author&gt;The National Academies Press&lt;/author&gt;&lt;/tertiary-authors&gt;&lt;/contributors&gt;&lt;titles&gt;&lt;title&gt;Public Health Consequences of e-Cigarettes&lt;/title&gt;&lt;/titles&gt;&lt;dates&gt;&lt;year&gt;2018&lt;/year&gt;&lt;/dates&gt;&lt;pub-location&gt;Washington DC&lt;/pub-location&gt;&lt;publisher&gt;Board on Population Health and Public Health Practice, Health and Medicine Division, The National Academies of Sciences, Engineering and Medicine&lt;/publisher&gt;&lt;urls&gt;&lt;/urls&gt;&lt;/record&gt;&lt;/Cite&gt;&lt;/EndNote&gt;</w:instrText>
      </w:r>
      <w:r w:rsidRPr="008E7BEC">
        <w:rPr>
          <w:sz w:val="24"/>
          <w:szCs w:val="24"/>
        </w:rPr>
        <w:fldChar w:fldCharType="separate"/>
      </w:r>
      <w:r w:rsidRPr="008E7BEC">
        <w:rPr>
          <w:noProof/>
          <w:sz w:val="24"/>
          <w:szCs w:val="24"/>
        </w:rPr>
        <w:t>(Stratton, Kwan et al. 2018)</w:t>
      </w:r>
      <w:r w:rsidRPr="008E7BEC">
        <w:rPr>
          <w:sz w:val="24"/>
          <w:szCs w:val="24"/>
        </w:rPr>
        <w:fldChar w:fldCharType="end"/>
      </w:r>
      <w:r w:rsidRPr="008E7BEC">
        <w:rPr>
          <w:sz w:val="24"/>
          <w:szCs w:val="24"/>
        </w:rPr>
        <w:t>. Likewise papers from other regions mostly report on prevalence of e</w:t>
      </w:r>
      <w:r w:rsidRPr="008E7BEC">
        <w:rPr>
          <w:sz w:val="24"/>
          <w:szCs w:val="24"/>
        </w:rPr>
        <w:noBreakHyphen/>
        <w:t>cigarette use which adds limited novel insight into e</w:t>
      </w:r>
      <w:r w:rsidRPr="008E7BEC">
        <w:rPr>
          <w:sz w:val="24"/>
          <w:szCs w:val="24"/>
        </w:rPr>
        <w:noBreakHyphen/>
        <w:t>cigarette use.</w:t>
      </w:r>
    </w:p>
    <w:p w14:paraId="1FF422F4" w14:textId="77777777" w:rsidR="00DA3CCD" w:rsidRDefault="00DA3CCD" w:rsidP="00673D5A">
      <w:pPr>
        <w:spacing w:after="0"/>
      </w:pPr>
    </w:p>
    <w:p w14:paraId="73ED9C64" w14:textId="77777777" w:rsidR="00DA3CCD" w:rsidRDefault="00DA3CCD">
      <w:pPr>
        <w:spacing w:after="0"/>
      </w:pPr>
      <w:r>
        <w:br w:type="page"/>
      </w:r>
    </w:p>
    <w:p w14:paraId="7D95A50B" w14:textId="77777777" w:rsidR="00DA3CCD" w:rsidRDefault="00DA3CCD" w:rsidP="00DA3CCD">
      <w:pPr>
        <w:pStyle w:val="Heading1"/>
        <w:pageBreakBefore w:val="0"/>
        <w:spacing w:before="480" w:after="360" w:line="240" w:lineRule="auto"/>
        <w:ind w:left="1134" w:hanging="1134"/>
      </w:pPr>
      <w:bookmarkStart w:id="326" w:name="_Toc514669964"/>
      <w:bookmarkStart w:id="327" w:name="_Toc515893215"/>
      <w:bookmarkStart w:id="328" w:name="_Toc517706747"/>
      <w:r>
        <w:lastRenderedPageBreak/>
        <w:t>Summary of e</w:t>
      </w:r>
      <w:r>
        <w:noBreakHyphen/>
        <w:t>cigarette use</w:t>
      </w:r>
      <w:bookmarkEnd w:id="326"/>
      <w:bookmarkEnd w:id="327"/>
      <w:bookmarkEnd w:id="328"/>
    </w:p>
    <w:p w14:paraId="70E99134" w14:textId="77777777" w:rsidR="00DA3CCD" w:rsidRDefault="00DA3CCD" w:rsidP="00DA3CCD">
      <w:pPr>
        <w:pStyle w:val="BodyText"/>
      </w:pPr>
      <w:r>
        <w:t>Most data being published about e</w:t>
      </w:r>
      <w:r>
        <w:noBreakHyphen/>
        <w:t>cigarette use is being analysed based on samples in the US. Fortunately, many of these are also based on national datasets that have been collected through surveys using methods attempting to attract representative samples. As a whole, results are consistent with observations made in the Surgeon General’s report about the type of people who may be more likely to use e</w:t>
      </w:r>
      <w:r>
        <w:noBreakHyphen/>
        <w:t>cigarette. These include males, people with different levels of education, different ethnic groups and current smokers. There are some inconsistencies about which level of education is predictive of e</w:t>
      </w:r>
      <w:r>
        <w:noBreakHyphen/>
        <w:t xml:space="preserve">cigarette use. </w:t>
      </w:r>
    </w:p>
    <w:p w14:paraId="4B745B9F" w14:textId="0B016F61" w:rsidR="00DA3CCD" w:rsidRDefault="00DA3CCD" w:rsidP="00DA3CCD">
      <w:pPr>
        <w:pStyle w:val="BodyText"/>
      </w:pPr>
      <w:r>
        <w:t>Many investigators have sought to describe prevalence and/or predictors of e</w:t>
      </w:r>
      <w:r>
        <w:noBreakHyphen/>
        <w:t>cigarette use. Few studies consider factors beyond sociodemographic profiles. However, when they do, they provide interesting results about psychological variables that may be predictive of use. In fact, personality variables have the potential to be more predictive for explaining e</w:t>
      </w:r>
      <w:r>
        <w:noBreakHyphen/>
        <w:t>cigarette use than sociodemographic variables</w:t>
      </w:r>
      <w:r w:rsidR="001676A3">
        <w:t>,</w:t>
      </w:r>
      <w:r>
        <w:t xml:space="preserve"> as these can be more reliable predictors of behaviour. Indeed, observations for characteristics such as sensation seeking and impulsivity paint a clearer picture of e</w:t>
      </w:r>
      <w:r>
        <w:noBreakHyphen/>
        <w:t>cigarette than factors such as age and level of education. For example, in the UK there appears to be limited association between gender and age and e</w:t>
      </w:r>
      <w:r>
        <w:noBreakHyphen/>
        <w:t>cigarette use whereas, relationships are consistent observed between these variables in the US. Meanwhile, observations on the association between personality and e</w:t>
      </w:r>
      <w:r>
        <w:noBreakHyphen/>
        <w:t>cigarette use seems consistent across European and US samples. Personality variables may also be predictive of any gateway effects of e</w:t>
      </w:r>
      <w:r>
        <w:noBreakHyphen/>
        <w:t>cigarettes. However, there is a need for future research to consider a combination of psychological and personality variables alongside with sociodemographic variables to truly understand their impact on e</w:t>
      </w:r>
      <w:r>
        <w:noBreakHyphen/>
        <w:t xml:space="preserve">cigarette use. </w:t>
      </w:r>
    </w:p>
    <w:p w14:paraId="49EBB39C" w14:textId="77777777" w:rsidR="00DA3CCD" w:rsidRDefault="00DA3CCD" w:rsidP="00DA3CCD">
      <w:pPr>
        <w:pStyle w:val="BodyText"/>
      </w:pPr>
      <w:r>
        <w:t>There has been a strong focus on youth samples internationally with most of the papers analysed using samples of school children, youth or college students. Young people provide a good opportunity to assess changes in uptake and many papers have tracked use over time to understand what predicts uptake of e</w:t>
      </w:r>
      <w:r>
        <w:noBreakHyphen/>
        <w:t>cigarette use in youth. Largely, observed influences on e</w:t>
      </w:r>
      <w:r>
        <w:noBreakHyphen/>
        <w:t>cigarette use are consistent with wider models designed to explain general behaviour. For example, the socio-ecological model which considers i</w:t>
      </w:r>
      <w:r w:rsidRPr="00162021">
        <w:t>ndividual, interpersonal, community, organizational, and policy/enabling environment</w:t>
      </w:r>
      <w:r>
        <w:t xml:space="preserve"> factors that determine behaviour </w:t>
      </w:r>
      <w:r>
        <w:fldChar w:fldCharType="begin"/>
      </w:r>
      <w:r>
        <w:instrText xml:space="preserve"> ADDIN EN.CITE &lt;EndNote&gt;&lt;Cite&gt;&lt;Author&gt;UNICEF&lt;/Author&gt;&lt;Year&gt;2015&lt;/Year&gt;&lt;RecNum&gt;10838&lt;/RecNum&gt;&lt;DisplayText&gt;(UNICEF 2015)&lt;/DisplayText&gt;&lt;record&gt;&lt;rec-number&gt;10838&lt;/rec-number&gt;&lt;foreign-keys&gt;&lt;key app="EN" db-id="9z05dz0praadfuee0zoxzedk9zfe5fxx50z5" timestamp="1528857447"&gt;10838&lt;/key&gt;&lt;/foreign-keys&gt;&lt;ref-type name="Web Page"&gt;12&lt;/ref-type&gt;&lt;contributors&gt;&lt;authors&gt;&lt;author&gt;UNICEF&lt;/author&gt;&lt;/authors&gt;&lt;/contributors&gt;&lt;titles&gt;&lt;title&gt;MODULE 1:  What are the Social Ecological Model (SEM), Communication for Development (C4D)?&lt;/title&gt;&lt;secondary-title&gt;Communication for Development (C4D)&lt;/secondary-title&gt;&lt;/titles&gt;&lt;volume&gt;2018&lt;/volume&gt;&lt;number&gt;13.06&lt;/number&gt;&lt;dates&gt;&lt;year&gt;2015&lt;/year&gt;&lt;/dates&gt;&lt;urls&gt;&lt;related-urls&gt;&lt;url&gt;https://www.unicef.org/cbsc/index_65738.html&lt;/url&gt;&lt;/related-urls&gt;&lt;/urls&gt;&lt;/record&gt;&lt;/Cite&gt;&lt;/EndNote&gt;</w:instrText>
      </w:r>
      <w:r>
        <w:fldChar w:fldCharType="separate"/>
      </w:r>
      <w:r>
        <w:rPr>
          <w:noProof/>
        </w:rPr>
        <w:t>(UNICEF 2015)</w:t>
      </w:r>
      <w:r>
        <w:fldChar w:fldCharType="end"/>
      </w:r>
      <w:r w:rsidRPr="00162021">
        <w:rPr>
          <w:rFonts w:asciiTheme="minorHAnsi" w:hAnsiTheme="minorHAnsi" w:cs="Arial"/>
          <w:color w:val="auto"/>
          <w:szCs w:val="24"/>
          <w:shd w:val="clear" w:color="auto" w:fill="FFFFFF"/>
        </w:rPr>
        <w:t>. In youth,</w:t>
      </w:r>
      <w:r>
        <w:rPr>
          <w:rFonts w:asciiTheme="minorHAnsi" w:hAnsiTheme="minorHAnsi" w:cs="Arial"/>
          <w:color w:val="auto"/>
          <w:szCs w:val="24"/>
          <w:shd w:val="clear" w:color="auto" w:fill="FFFFFF"/>
        </w:rPr>
        <w:t xml:space="preserve"> the findings that their use of e</w:t>
      </w:r>
      <w:r>
        <w:rPr>
          <w:rFonts w:asciiTheme="minorHAnsi" w:hAnsiTheme="minorHAnsi" w:cs="Arial"/>
          <w:color w:val="auto"/>
          <w:szCs w:val="24"/>
          <w:shd w:val="clear" w:color="auto" w:fill="FFFFFF"/>
        </w:rPr>
        <w:noBreakHyphen/>
        <w:t>cigarette is influenced by the use of family and friends</w:t>
      </w:r>
      <w:r w:rsidRPr="00162021">
        <w:rPr>
          <w:rFonts w:asciiTheme="minorHAnsi" w:hAnsiTheme="minorHAnsi" w:cs="Arial"/>
          <w:color w:val="auto"/>
          <w:szCs w:val="24"/>
          <w:shd w:val="clear" w:color="auto" w:fill="FFFFFF"/>
        </w:rPr>
        <w:t xml:space="preserve"> </w:t>
      </w:r>
      <w:r>
        <w:rPr>
          <w:rFonts w:asciiTheme="minorHAnsi" w:hAnsiTheme="minorHAnsi" w:cs="Arial"/>
          <w:color w:val="auto"/>
          <w:szCs w:val="24"/>
          <w:shd w:val="clear" w:color="auto" w:fill="FFFFFF"/>
        </w:rPr>
        <w:t xml:space="preserve">is consistent with Bandura’s classic </w:t>
      </w:r>
      <w:r>
        <w:rPr>
          <w:rFonts w:asciiTheme="minorHAnsi" w:hAnsiTheme="minorHAnsi"/>
          <w:color w:val="auto"/>
          <w:szCs w:val="24"/>
        </w:rPr>
        <w:t>S</w:t>
      </w:r>
      <w:r w:rsidRPr="00162021">
        <w:rPr>
          <w:rFonts w:asciiTheme="minorHAnsi" w:hAnsiTheme="minorHAnsi"/>
          <w:color w:val="auto"/>
          <w:szCs w:val="24"/>
        </w:rPr>
        <w:t xml:space="preserve">ocial </w:t>
      </w:r>
      <w:r>
        <w:rPr>
          <w:rFonts w:asciiTheme="minorHAnsi" w:hAnsiTheme="minorHAnsi"/>
          <w:color w:val="auto"/>
          <w:szCs w:val="24"/>
        </w:rPr>
        <w:t>L</w:t>
      </w:r>
      <w:r w:rsidRPr="00162021">
        <w:rPr>
          <w:rFonts w:asciiTheme="minorHAnsi" w:hAnsiTheme="minorHAnsi"/>
          <w:color w:val="auto"/>
          <w:szCs w:val="24"/>
        </w:rPr>
        <w:t xml:space="preserve">earning </w:t>
      </w:r>
      <w:r>
        <w:rPr>
          <w:rFonts w:asciiTheme="minorHAnsi" w:hAnsiTheme="minorHAnsi"/>
          <w:color w:val="auto"/>
          <w:szCs w:val="24"/>
        </w:rPr>
        <w:t>T</w:t>
      </w:r>
      <w:r w:rsidRPr="00162021">
        <w:rPr>
          <w:rFonts w:asciiTheme="minorHAnsi" w:hAnsiTheme="minorHAnsi"/>
          <w:color w:val="auto"/>
          <w:szCs w:val="24"/>
        </w:rPr>
        <w:t>heory.</w:t>
      </w:r>
      <w:r>
        <w:rPr>
          <w:rFonts w:asciiTheme="minorHAnsi" w:hAnsiTheme="minorHAnsi"/>
          <w:color w:val="auto"/>
          <w:szCs w:val="24"/>
        </w:rPr>
        <w:t xml:space="preserve"> While papers have considered some cognitive/attitudinal predictors such as perceived risk/harm, motivational factors are possible psychological predictors have been neglected. Nonetheless, it appears as though wider models of behaviour also apply to e</w:t>
      </w:r>
      <w:r>
        <w:rPr>
          <w:rFonts w:asciiTheme="minorHAnsi" w:hAnsiTheme="minorHAnsi"/>
          <w:color w:val="auto"/>
          <w:szCs w:val="24"/>
        </w:rPr>
        <w:noBreakHyphen/>
        <w:t>cigarette use.</w:t>
      </w:r>
    </w:p>
    <w:p w14:paraId="72564122" w14:textId="0BB9A870" w:rsidR="00DA3CCD" w:rsidRDefault="00DA3CCD" w:rsidP="00DA3CCD">
      <w:pPr>
        <w:pStyle w:val="BodyText"/>
      </w:pPr>
      <w:r>
        <w:t>Data from Australia is sparse and varied. It does not provide a clear indication of e</w:t>
      </w:r>
      <w:r>
        <w:noBreakHyphen/>
        <w:t>cigarette use. However, it provides some points for consideration</w:t>
      </w:r>
      <w:r w:rsidR="001676A3">
        <w:t>,</w:t>
      </w:r>
      <w:r>
        <w:t xml:space="preserve"> for example about Aboriginal Australians willingness to try and the role of shisha in e</w:t>
      </w:r>
      <w:r>
        <w:noBreakHyphen/>
        <w:t>cigarette use.</w:t>
      </w:r>
    </w:p>
    <w:p w14:paraId="720DB0E8" w14:textId="77777777" w:rsidR="00F74F02" w:rsidRPr="008E7BEC" w:rsidRDefault="00DA3CCD" w:rsidP="00871AB3">
      <w:pPr>
        <w:spacing w:after="0"/>
        <w:rPr>
          <w:b/>
          <w:sz w:val="24"/>
          <w:szCs w:val="24"/>
        </w:rPr>
      </w:pPr>
      <w:r w:rsidRPr="008E7BEC">
        <w:rPr>
          <w:sz w:val="24"/>
          <w:szCs w:val="24"/>
        </w:rPr>
        <w:t xml:space="preserve">Despite some idiosyncrasies, the wide range of data considered is largely consistent with previous reports. It adds some new insights but does not dramatically challenge conclusions made by the Surgeon General’s report </w:t>
      </w:r>
      <w:r w:rsidRPr="008E7BEC">
        <w:rPr>
          <w:sz w:val="24"/>
          <w:szCs w:val="24"/>
        </w:rPr>
        <w:fldChar w:fldCharType="begin"/>
      </w:r>
      <w:r w:rsidR="00903735">
        <w:rPr>
          <w:sz w:val="24"/>
          <w:szCs w:val="24"/>
        </w:rPr>
        <w:instrText xml:space="preserve"> ADDIN EN.CITE &lt;EndNote&gt;&lt;Cite&gt;&lt;Author&gt;US Dept of Health and Human Services&lt;/Author&gt;&lt;Year&gt;2016&lt;/Year&gt;&lt;RecNum&gt;13024&lt;/RecNum&gt;&lt;DisplayText&gt;(US Dept of Health and Human Services 2016)&lt;/DisplayText&gt;&lt;record&gt;&lt;rec-number&gt;13024&lt;/rec-number&gt;&lt;foreign-keys&gt;&lt;key app="EN" db-id="5xv5w5t2bdxtxfezx02xtxdft5rz5ptvvt29" timestamp="1524017182"&gt;13024&lt;/key&gt;&lt;/foreign-keys&gt;&lt;ref-type name="Journal Article"&gt;17&lt;/ref-type&gt;&lt;contributors&gt;&lt;authors&gt;&lt;author&gt;US Dept of Health and Human Services,&lt;/author&gt;&lt;/authors&gt;&lt;/contributors&gt;&lt;titles&gt;&lt;title&gt;E-cigarette Use among Youth and Young Adults:A report of the Surgeon General&lt;/title&gt;&lt;/titles&gt;&lt;dates&gt;&lt;year&gt;2016&lt;/year&gt;&lt;/dates&gt;&lt;urls&gt;&lt;/urls&gt;&lt;/record&gt;&lt;/Cite&gt;&lt;/EndNote&gt;</w:instrText>
      </w:r>
      <w:r w:rsidRPr="008E7BEC">
        <w:rPr>
          <w:sz w:val="24"/>
          <w:szCs w:val="24"/>
        </w:rPr>
        <w:fldChar w:fldCharType="separate"/>
      </w:r>
      <w:r w:rsidRPr="008E7BEC">
        <w:rPr>
          <w:noProof/>
          <w:sz w:val="24"/>
          <w:szCs w:val="24"/>
        </w:rPr>
        <w:t>(US Dept of Health and Human Services 2016)</w:t>
      </w:r>
      <w:r w:rsidRPr="008E7BEC">
        <w:rPr>
          <w:sz w:val="24"/>
          <w:szCs w:val="24"/>
        </w:rPr>
        <w:fldChar w:fldCharType="end"/>
      </w:r>
      <w:r w:rsidRPr="008E7BEC">
        <w:rPr>
          <w:sz w:val="24"/>
          <w:szCs w:val="24"/>
        </w:rPr>
        <w:t xml:space="preserve">, the Public Health England report </w:t>
      </w:r>
      <w:r w:rsidRPr="008E7BEC">
        <w:rPr>
          <w:sz w:val="24"/>
          <w:szCs w:val="24"/>
        </w:rPr>
        <w:fldChar w:fldCharType="begin"/>
      </w:r>
      <w:r w:rsidRPr="008E7BEC">
        <w:rPr>
          <w:sz w:val="24"/>
          <w:szCs w:val="24"/>
        </w:rPr>
        <w:instrText xml:space="preserve"> ADDIN EN.CITE &lt;EndNote&gt;&lt;Cite&gt;&lt;Author&gt;McNeill A&lt;/Author&gt;&lt;Year&gt;2018&lt;/Year&gt;&lt;RecNum&gt;9330&lt;/RecNum&gt;&lt;DisplayText&gt;(McNeill A 2018)&lt;/DisplayText&gt;&lt;record&gt;&lt;rec-number&gt;9330&lt;/rec-number&gt;&lt;foreign-keys&gt;&lt;key app="EN" db-id="9z05dz0praadfuee0zoxzedk9zfe5fxx50z5" timestamp="1524019080"&gt;9330&lt;/key&gt;&lt;key app="ENWeb" db-id=""&gt;0&lt;/key&gt;&lt;/foreign-keys&gt;&lt;ref-type name="Report"&gt;27&lt;/ref-type&gt;&lt;contributors&gt;&lt;authors&gt;&lt;author&gt;McNeill A,  Brose. L., Calder R,  Bauld L, Robson D.&lt;/author&gt;&lt;/authors&gt;&lt;/contributors&gt;&lt;titles&gt;&lt;title&gt;Evidence Review of e-cigarettes and heated tobacco products 2018. A Report commissioned by Public Health England.&lt;/title&gt;&lt;/titles&gt;&lt;dates&gt;&lt;year&gt;2018&lt;/year&gt;&lt;/dates&gt;&lt;pub-location&gt;London&lt;/pub-location&gt;&lt;publisher&gt;Public Health England&lt;/publisher&gt;&lt;urls&gt;&lt;related-urls&gt;&lt;url&gt;https://www.gov.uk/government/publications/e-cigarettes-and-heated-tobacco-products-evidence-review&lt;/url&gt;&lt;/related-urls&gt;&lt;/urls&gt;&lt;/record&gt;&lt;/Cite&gt;&lt;/EndNote&gt;</w:instrText>
      </w:r>
      <w:r w:rsidRPr="008E7BEC">
        <w:rPr>
          <w:sz w:val="24"/>
          <w:szCs w:val="24"/>
        </w:rPr>
        <w:fldChar w:fldCharType="separate"/>
      </w:r>
      <w:r w:rsidRPr="008E7BEC">
        <w:rPr>
          <w:noProof/>
          <w:sz w:val="24"/>
          <w:szCs w:val="24"/>
        </w:rPr>
        <w:t>(McNeill A 2018)</w:t>
      </w:r>
      <w:r w:rsidRPr="008E7BEC">
        <w:rPr>
          <w:sz w:val="24"/>
          <w:szCs w:val="24"/>
        </w:rPr>
        <w:fldChar w:fldCharType="end"/>
      </w:r>
      <w:r w:rsidRPr="008E7BEC">
        <w:rPr>
          <w:sz w:val="24"/>
          <w:szCs w:val="24"/>
        </w:rPr>
        <w:t xml:space="preserve"> or the Academy of Science report </w:t>
      </w:r>
      <w:r w:rsidRPr="008E7BEC">
        <w:rPr>
          <w:sz w:val="24"/>
          <w:szCs w:val="24"/>
        </w:rPr>
        <w:fldChar w:fldCharType="begin"/>
      </w:r>
      <w:r w:rsidR="00903735">
        <w:rPr>
          <w:sz w:val="24"/>
          <w:szCs w:val="24"/>
        </w:rPr>
        <w:instrText xml:space="preserve"> ADDIN EN.CITE &lt;EndNote&gt;&lt;Cite&gt;&lt;Author&gt;Stratton&lt;/Author&gt;&lt;Year&gt;2018&lt;/Year&gt;&lt;RecNum&gt;7073&lt;/RecNum&gt;&lt;DisplayText&gt;(Stratton, Kwan et al. 2018)&lt;/DisplayText&gt;&lt;record&gt;&lt;rec-number&gt;7073&lt;/rec-number&gt;&lt;foreign-keys&gt;&lt;key app="EN" db-id="5xv5w5t2bdxtxfezx02xtxdft5rz5ptvvt29" timestamp="1521076678"&gt;7073&lt;/key&gt;&lt;/foreign-keys&gt;&lt;ref-type name="Report"&gt;27&lt;/ref-type&gt;&lt;contributors&gt;&lt;authors&gt;&lt;author&gt;Kathleen Stratton&lt;/author&gt;&lt;author&gt;Leslie Y Kwan&lt;/author&gt;&lt;author&gt;David L Eaton&lt;/author&gt;&lt;/authors&gt;&lt;tertiary-authors&gt;&lt;author&gt;The National Academies Press&lt;/author&gt;&lt;/tertiary-authors&gt;&lt;/contributors&gt;&lt;titles&gt;&lt;title&gt;Public Health Consequences of e-Cigarettes&lt;/title&gt;&lt;/titles&gt;&lt;dates&gt;&lt;year&gt;2018&lt;/year&gt;&lt;/dates&gt;&lt;pub-location&gt;Washington DC&lt;/pub-location&gt;&lt;publisher&gt;Board on Population Health and Public Health Practice, Health and Medicine Division, The National Academies of Sciences, Engineering and Medicine&lt;/publisher&gt;&lt;urls&gt;&lt;/urls&gt;&lt;/record&gt;&lt;/Cite&gt;&lt;/EndNote&gt;</w:instrText>
      </w:r>
      <w:r w:rsidRPr="008E7BEC">
        <w:rPr>
          <w:sz w:val="24"/>
          <w:szCs w:val="24"/>
        </w:rPr>
        <w:fldChar w:fldCharType="separate"/>
      </w:r>
      <w:r w:rsidRPr="008E7BEC">
        <w:rPr>
          <w:noProof/>
          <w:sz w:val="24"/>
          <w:szCs w:val="24"/>
        </w:rPr>
        <w:t>(Stratton, Kwan et al. 2018)</w:t>
      </w:r>
      <w:r w:rsidRPr="008E7BEC">
        <w:rPr>
          <w:sz w:val="24"/>
          <w:szCs w:val="24"/>
        </w:rPr>
        <w:fldChar w:fldCharType="end"/>
      </w:r>
      <w:r w:rsidRPr="008E7BEC">
        <w:rPr>
          <w:sz w:val="24"/>
          <w:szCs w:val="24"/>
        </w:rPr>
        <w:t xml:space="preserve"> about </w:t>
      </w:r>
      <w:r w:rsidRPr="008E7BEC">
        <w:rPr>
          <w:sz w:val="24"/>
          <w:szCs w:val="24"/>
        </w:rPr>
        <w:lastRenderedPageBreak/>
        <w:t>predictors of e</w:t>
      </w:r>
      <w:r w:rsidRPr="008E7BEC">
        <w:rPr>
          <w:sz w:val="24"/>
          <w:szCs w:val="24"/>
        </w:rPr>
        <w:noBreakHyphen/>
        <w:t>cigarette use, prevalence of use, use of flavours, reasons for use and perceptions of risk/harm associated with use.</w:t>
      </w:r>
    </w:p>
    <w:p w14:paraId="1248A25B" w14:textId="77777777" w:rsidR="00DA3CCD" w:rsidRPr="008E7BEC" w:rsidRDefault="00DA3CCD" w:rsidP="00DA3CCD">
      <w:pPr>
        <w:pStyle w:val="BodyText"/>
        <w:rPr>
          <w:szCs w:val="24"/>
        </w:rPr>
        <w:sectPr w:rsidR="00DA3CCD" w:rsidRPr="008E7BEC" w:rsidSect="00F74F02">
          <w:pgSz w:w="11906" w:h="16838" w:code="9"/>
          <w:pgMar w:top="1134" w:right="1134" w:bottom="1134" w:left="1134" w:header="510" w:footer="624" w:gutter="0"/>
          <w:cols w:space="850"/>
          <w:titlePg/>
          <w:docGrid w:linePitch="360"/>
        </w:sectPr>
      </w:pPr>
    </w:p>
    <w:p w14:paraId="07892A18" w14:textId="77777777" w:rsidR="00F74F02" w:rsidRDefault="00F74F02" w:rsidP="00F74F02">
      <w:pPr>
        <w:pStyle w:val="Heading1"/>
        <w:pageBreakBefore w:val="0"/>
        <w:spacing w:before="480" w:after="360" w:line="240" w:lineRule="auto"/>
      </w:pPr>
      <w:bookmarkStart w:id="329" w:name="_Toc515227168"/>
      <w:bookmarkStart w:id="330" w:name="_Toc517706748"/>
      <w:r>
        <w:lastRenderedPageBreak/>
        <w:t>Tables</w:t>
      </w:r>
      <w:bookmarkEnd w:id="329"/>
      <w:bookmarkEnd w:id="330"/>
    </w:p>
    <w:p w14:paraId="34209490" w14:textId="77777777" w:rsidR="00B85C33" w:rsidRDefault="004C6D16" w:rsidP="004C6D16">
      <w:pPr>
        <w:pStyle w:val="Caption"/>
      </w:pPr>
      <w:bookmarkStart w:id="331" w:name="_Toc517707439"/>
      <w:r>
        <w:t xml:space="preserve">Table </w:t>
      </w:r>
      <w:r w:rsidR="0048064B">
        <w:rPr>
          <w:noProof/>
        </w:rPr>
        <w:fldChar w:fldCharType="begin"/>
      </w:r>
      <w:r w:rsidR="0048064B">
        <w:rPr>
          <w:noProof/>
        </w:rPr>
        <w:instrText xml:space="preserve"> SEQ Table \* ARABIC </w:instrText>
      </w:r>
      <w:r w:rsidR="0048064B">
        <w:rPr>
          <w:noProof/>
        </w:rPr>
        <w:fldChar w:fldCharType="separate"/>
      </w:r>
      <w:r w:rsidR="000C06DA">
        <w:rPr>
          <w:noProof/>
        </w:rPr>
        <w:t>30</w:t>
      </w:r>
      <w:r w:rsidR="0048064B">
        <w:rPr>
          <w:noProof/>
        </w:rPr>
        <w:fldChar w:fldCharType="end"/>
      </w:r>
      <w:r w:rsidR="00B85C33">
        <w:t xml:space="preserve">: </w:t>
      </w:r>
      <w:r w:rsidR="00B85C33" w:rsidRPr="00AD04B1">
        <w:t>Characteristics of studies from US national level youth</w:t>
      </w:r>
      <w:bookmarkEnd w:id="331"/>
    </w:p>
    <w:tbl>
      <w:tblPr>
        <w:tblStyle w:val="TableCSIRO"/>
        <w:tblW w:w="15055" w:type="dxa"/>
        <w:tblLook w:val="04A0" w:firstRow="1" w:lastRow="0" w:firstColumn="1" w:lastColumn="0" w:noHBand="0" w:noVBand="1"/>
      </w:tblPr>
      <w:tblGrid>
        <w:gridCol w:w="1326"/>
        <w:gridCol w:w="2497"/>
        <w:gridCol w:w="1417"/>
        <w:gridCol w:w="1225"/>
        <w:gridCol w:w="1043"/>
        <w:gridCol w:w="2268"/>
        <w:gridCol w:w="1448"/>
        <w:gridCol w:w="1279"/>
        <w:gridCol w:w="2552"/>
      </w:tblGrid>
      <w:tr w:rsidR="00B85C33" w:rsidRPr="000F6DEF" w14:paraId="182EA3EE" w14:textId="77777777" w:rsidTr="000376C7">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1326" w:type="dxa"/>
            <w:hideMark/>
          </w:tcPr>
          <w:p w14:paraId="60F03AD7" w14:textId="77777777" w:rsidR="00B85C33" w:rsidRPr="000F6DEF" w:rsidRDefault="00B85C33" w:rsidP="000376C7">
            <w:pPr>
              <w:rPr>
                <w:rFonts w:asciiTheme="minorHAnsi" w:hAnsiTheme="minorHAnsi" w:cstheme="minorHAnsi"/>
                <w:color w:val="auto"/>
                <w:sz w:val="16"/>
                <w:szCs w:val="16"/>
              </w:rPr>
            </w:pPr>
            <w:r w:rsidRPr="000F6DEF">
              <w:rPr>
                <w:rFonts w:asciiTheme="minorHAnsi" w:hAnsiTheme="minorHAnsi" w:cstheme="minorHAnsi"/>
                <w:color w:val="auto"/>
                <w:sz w:val="16"/>
                <w:szCs w:val="16"/>
              </w:rPr>
              <w:t>Study reference</w:t>
            </w:r>
          </w:p>
        </w:tc>
        <w:tc>
          <w:tcPr>
            <w:tcW w:w="2497" w:type="dxa"/>
            <w:hideMark/>
          </w:tcPr>
          <w:p w14:paraId="7B0E44D6" w14:textId="77777777" w:rsidR="00B85C33" w:rsidRPr="000F6DEF" w:rsidRDefault="00B85C33" w:rsidP="000376C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Purpose</w:t>
            </w:r>
          </w:p>
        </w:tc>
        <w:tc>
          <w:tcPr>
            <w:tcW w:w="1417" w:type="dxa"/>
            <w:hideMark/>
          </w:tcPr>
          <w:p w14:paraId="6D73B3CF" w14:textId="77777777" w:rsidR="00B85C33" w:rsidRPr="000F6DEF" w:rsidRDefault="00B85C33" w:rsidP="000376C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Name of survey</w:t>
            </w:r>
          </w:p>
        </w:tc>
        <w:tc>
          <w:tcPr>
            <w:tcW w:w="1225" w:type="dxa"/>
            <w:hideMark/>
          </w:tcPr>
          <w:p w14:paraId="0AC605F6" w14:textId="77777777" w:rsidR="00B85C33" w:rsidRPr="000F6DEF" w:rsidRDefault="00B85C33" w:rsidP="000376C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Country or location</w:t>
            </w:r>
          </w:p>
        </w:tc>
        <w:tc>
          <w:tcPr>
            <w:tcW w:w="1043" w:type="dxa"/>
            <w:hideMark/>
          </w:tcPr>
          <w:p w14:paraId="69DF6849" w14:textId="77777777" w:rsidR="00B85C33" w:rsidRPr="000F6DEF" w:rsidRDefault="00B85C33" w:rsidP="000376C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Year data collected</w:t>
            </w:r>
          </w:p>
        </w:tc>
        <w:tc>
          <w:tcPr>
            <w:tcW w:w="2268" w:type="dxa"/>
            <w:hideMark/>
          </w:tcPr>
          <w:p w14:paraId="3AB0A205" w14:textId="77777777" w:rsidR="00B85C33" w:rsidRPr="000F6DEF" w:rsidRDefault="00B85C33" w:rsidP="000376C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Participants</w:t>
            </w:r>
          </w:p>
        </w:tc>
        <w:tc>
          <w:tcPr>
            <w:tcW w:w="1448" w:type="dxa"/>
            <w:hideMark/>
          </w:tcPr>
          <w:p w14:paraId="25446A11" w14:textId="77777777" w:rsidR="00B85C33" w:rsidRPr="000F6DEF" w:rsidRDefault="00B85C33" w:rsidP="000376C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Recruitment/ selection method</w:t>
            </w:r>
          </w:p>
        </w:tc>
        <w:tc>
          <w:tcPr>
            <w:tcW w:w="1279" w:type="dxa"/>
            <w:hideMark/>
          </w:tcPr>
          <w:p w14:paraId="4CA5D642" w14:textId="77777777" w:rsidR="00B85C33" w:rsidRPr="000F6DEF" w:rsidRDefault="00B85C33" w:rsidP="000376C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 xml:space="preserve">Admin Method </w:t>
            </w:r>
          </w:p>
        </w:tc>
        <w:tc>
          <w:tcPr>
            <w:tcW w:w="2552" w:type="dxa"/>
            <w:hideMark/>
          </w:tcPr>
          <w:p w14:paraId="111971C7" w14:textId="77777777" w:rsidR="00B85C33" w:rsidRPr="000F6DEF" w:rsidRDefault="00B85C33" w:rsidP="000376C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Measures</w:t>
            </w:r>
          </w:p>
        </w:tc>
      </w:tr>
      <w:tr w:rsidR="00B85C33" w:rsidRPr="000F6DEF" w14:paraId="345D0538" w14:textId="77777777" w:rsidTr="000376C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26" w:type="dxa"/>
            <w:hideMark/>
          </w:tcPr>
          <w:p w14:paraId="5053A39F" w14:textId="77777777" w:rsidR="00B85C33" w:rsidRPr="000F6DEF" w:rsidRDefault="00B85C33" w:rsidP="000376C7">
            <w:pPr>
              <w:rPr>
                <w:rFonts w:asciiTheme="minorHAnsi" w:hAnsiTheme="minorHAnsi" w:cstheme="minorHAnsi"/>
                <w:color w:val="auto"/>
                <w:sz w:val="16"/>
                <w:szCs w:val="16"/>
              </w:rPr>
            </w:pPr>
            <w:r w:rsidRPr="000F6DEF">
              <w:rPr>
                <w:rFonts w:asciiTheme="minorHAnsi" w:hAnsiTheme="minorHAnsi" w:cstheme="minorHAnsi"/>
                <w:color w:val="auto"/>
                <w:sz w:val="16"/>
                <w:szCs w:val="16"/>
              </w:rPr>
              <w:t>Abouk, Adams 2017</w:t>
            </w:r>
          </w:p>
        </w:tc>
        <w:tc>
          <w:tcPr>
            <w:tcW w:w="2497" w:type="dxa"/>
            <w:hideMark/>
          </w:tcPr>
          <w:p w14:paraId="33B8F383" w14:textId="471EF874"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 xml:space="preserve">Model data to test for effects of restricting youth access to </w:t>
            </w:r>
            <w:r>
              <w:rPr>
                <w:rFonts w:asciiTheme="minorHAnsi" w:hAnsiTheme="minorHAnsi" w:cstheme="minorHAnsi"/>
                <w:color w:val="auto"/>
                <w:sz w:val="16"/>
                <w:szCs w:val="16"/>
              </w:rPr>
              <w:t>e</w:t>
            </w:r>
            <w:r>
              <w:rPr>
                <w:rFonts w:asciiTheme="minorHAnsi" w:hAnsiTheme="minorHAnsi" w:cstheme="minorHAnsi"/>
                <w:color w:val="auto"/>
                <w:sz w:val="16"/>
                <w:szCs w:val="16"/>
              </w:rPr>
              <w:noBreakHyphen/>
              <w:t>cig</w:t>
            </w:r>
            <w:r w:rsidRPr="000F6DEF">
              <w:rPr>
                <w:rFonts w:asciiTheme="minorHAnsi" w:hAnsiTheme="minorHAnsi" w:cstheme="minorHAnsi"/>
                <w:color w:val="auto"/>
                <w:sz w:val="16"/>
                <w:szCs w:val="16"/>
              </w:rPr>
              <w:t>arette on smoking traditional combustion cig</w:t>
            </w:r>
            <w:r w:rsidR="00CE05B6">
              <w:rPr>
                <w:rFonts w:asciiTheme="minorHAnsi" w:hAnsiTheme="minorHAnsi" w:cstheme="minorHAnsi"/>
                <w:color w:val="auto"/>
                <w:sz w:val="16"/>
                <w:szCs w:val="16"/>
              </w:rPr>
              <w:t>arette</w:t>
            </w:r>
            <w:r w:rsidRPr="000F6DEF">
              <w:rPr>
                <w:rFonts w:asciiTheme="minorHAnsi" w:hAnsiTheme="minorHAnsi" w:cstheme="minorHAnsi"/>
                <w:color w:val="auto"/>
                <w:sz w:val="16"/>
                <w:szCs w:val="16"/>
              </w:rPr>
              <w:t>s</w:t>
            </w:r>
            <w:r w:rsidR="00CE05B6">
              <w:rPr>
                <w:rFonts w:asciiTheme="minorHAnsi" w:hAnsiTheme="minorHAnsi" w:cstheme="minorHAnsi"/>
                <w:color w:val="auto"/>
                <w:sz w:val="16"/>
                <w:szCs w:val="16"/>
              </w:rPr>
              <w:t>.</w:t>
            </w:r>
          </w:p>
        </w:tc>
        <w:tc>
          <w:tcPr>
            <w:tcW w:w="1417" w:type="dxa"/>
            <w:hideMark/>
          </w:tcPr>
          <w:p w14:paraId="5962BFE1"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Monitoring the Future (MTF)</w:t>
            </w:r>
          </w:p>
        </w:tc>
        <w:tc>
          <w:tcPr>
            <w:tcW w:w="1225" w:type="dxa"/>
            <w:hideMark/>
          </w:tcPr>
          <w:p w14:paraId="3C680C08"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US national</w:t>
            </w:r>
          </w:p>
        </w:tc>
        <w:tc>
          <w:tcPr>
            <w:tcW w:w="1043" w:type="dxa"/>
            <w:hideMark/>
          </w:tcPr>
          <w:p w14:paraId="7EA25AF4"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2007-2014</w:t>
            </w:r>
          </w:p>
        </w:tc>
        <w:tc>
          <w:tcPr>
            <w:tcW w:w="2268" w:type="dxa"/>
            <w:hideMark/>
          </w:tcPr>
          <w:p w14:paraId="358850DB"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50,000 12th graders</w:t>
            </w:r>
          </w:p>
          <w:p w14:paraId="4992B21B"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6"/>
                <w:szCs w:val="16"/>
              </w:rPr>
            </w:pPr>
          </w:p>
        </w:tc>
        <w:tc>
          <w:tcPr>
            <w:tcW w:w="1448" w:type="dxa"/>
            <w:hideMark/>
          </w:tcPr>
          <w:p w14:paraId="1BC799C4"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NR</w:t>
            </w:r>
          </w:p>
        </w:tc>
        <w:tc>
          <w:tcPr>
            <w:tcW w:w="1279" w:type="dxa"/>
            <w:hideMark/>
          </w:tcPr>
          <w:p w14:paraId="5362B384"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NR</w:t>
            </w:r>
          </w:p>
        </w:tc>
        <w:tc>
          <w:tcPr>
            <w:tcW w:w="2552" w:type="dxa"/>
            <w:hideMark/>
          </w:tcPr>
          <w:p w14:paraId="0C8DBB74"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30-day smoking prevalence and intensity (number of cigs on a daily basis)</w:t>
            </w:r>
          </w:p>
        </w:tc>
      </w:tr>
      <w:tr w:rsidR="00B85C33" w:rsidRPr="000F6DEF" w14:paraId="56A69E9D" w14:textId="77777777" w:rsidTr="000376C7">
        <w:trPr>
          <w:trHeight w:val="567"/>
        </w:trPr>
        <w:tc>
          <w:tcPr>
            <w:cnfStyle w:val="001000000000" w:firstRow="0" w:lastRow="0" w:firstColumn="1" w:lastColumn="0" w:oddVBand="0" w:evenVBand="0" w:oddHBand="0" w:evenHBand="0" w:firstRowFirstColumn="0" w:firstRowLastColumn="0" w:lastRowFirstColumn="0" w:lastRowLastColumn="0"/>
            <w:tcW w:w="1326" w:type="dxa"/>
            <w:hideMark/>
          </w:tcPr>
          <w:p w14:paraId="6F9DF208" w14:textId="77777777" w:rsidR="00B85C33" w:rsidRPr="000F6DEF" w:rsidRDefault="00B85C33" w:rsidP="000376C7">
            <w:pPr>
              <w:rPr>
                <w:rFonts w:asciiTheme="minorHAnsi" w:hAnsiTheme="minorHAnsi" w:cstheme="minorHAnsi"/>
                <w:color w:val="auto"/>
                <w:sz w:val="16"/>
                <w:szCs w:val="16"/>
              </w:rPr>
            </w:pPr>
            <w:r w:rsidRPr="000F6DEF">
              <w:rPr>
                <w:rFonts w:asciiTheme="minorHAnsi" w:hAnsiTheme="minorHAnsi" w:cstheme="minorHAnsi"/>
                <w:color w:val="auto"/>
                <w:sz w:val="16"/>
                <w:szCs w:val="16"/>
              </w:rPr>
              <w:t>Owatomo, Maslowsky et al 2017</w:t>
            </w:r>
          </w:p>
        </w:tc>
        <w:tc>
          <w:tcPr>
            <w:tcW w:w="2497" w:type="dxa"/>
            <w:hideMark/>
          </w:tcPr>
          <w:p w14:paraId="195B220E" w14:textId="01AD2CF6"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 xml:space="preserve">To examine the relationship between </w:t>
            </w:r>
            <w:r>
              <w:rPr>
                <w:rFonts w:asciiTheme="minorHAnsi" w:hAnsiTheme="minorHAnsi" w:cstheme="minorHAnsi"/>
                <w:color w:val="auto"/>
                <w:sz w:val="16"/>
                <w:szCs w:val="16"/>
              </w:rPr>
              <w:t>e</w:t>
            </w:r>
            <w:r>
              <w:rPr>
                <w:rFonts w:asciiTheme="minorHAnsi" w:hAnsiTheme="minorHAnsi" w:cstheme="minorHAnsi"/>
                <w:color w:val="auto"/>
                <w:sz w:val="16"/>
                <w:szCs w:val="16"/>
              </w:rPr>
              <w:noBreakHyphen/>
              <w:t>cig</w:t>
            </w:r>
            <w:r w:rsidRPr="000F6DEF">
              <w:rPr>
                <w:rFonts w:asciiTheme="minorHAnsi" w:hAnsiTheme="minorHAnsi" w:cstheme="minorHAnsi"/>
                <w:color w:val="auto"/>
                <w:sz w:val="16"/>
                <w:szCs w:val="16"/>
              </w:rPr>
              <w:t>arette and marijuana use in adolescents</w:t>
            </w:r>
            <w:r w:rsidR="00CE05B6">
              <w:rPr>
                <w:rFonts w:asciiTheme="minorHAnsi" w:hAnsiTheme="minorHAnsi" w:cstheme="minorHAnsi"/>
                <w:color w:val="auto"/>
                <w:sz w:val="16"/>
                <w:szCs w:val="16"/>
              </w:rPr>
              <w:t>.</w:t>
            </w:r>
          </w:p>
        </w:tc>
        <w:tc>
          <w:tcPr>
            <w:tcW w:w="1417" w:type="dxa"/>
            <w:hideMark/>
          </w:tcPr>
          <w:p w14:paraId="58364462"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 xml:space="preserve">Monitoring the Future (MTF) </w:t>
            </w:r>
          </w:p>
        </w:tc>
        <w:tc>
          <w:tcPr>
            <w:tcW w:w="1225" w:type="dxa"/>
            <w:hideMark/>
          </w:tcPr>
          <w:p w14:paraId="34EA4083"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US national</w:t>
            </w:r>
          </w:p>
        </w:tc>
        <w:tc>
          <w:tcPr>
            <w:tcW w:w="1043" w:type="dxa"/>
            <w:hideMark/>
          </w:tcPr>
          <w:p w14:paraId="19B9C46C"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2014-15</w:t>
            </w:r>
          </w:p>
        </w:tc>
        <w:tc>
          <w:tcPr>
            <w:tcW w:w="2268" w:type="dxa"/>
            <w:hideMark/>
          </w:tcPr>
          <w:p w14:paraId="06B12D1E"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12,743, Grades 8 and 9, 48% male</w:t>
            </w:r>
          </w:p>
        </w:tc>
        <w:tc>
          <w:tcPr>
            <w:tcW w:w="1448" w:type="dxa"/>
            <w:hideMark/>
          </w:tcPr>
          <w:p w14:paraId="561C8F1F"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NA</w:t>
            </w:r>
          </w:p>
        </w:tc>
        <w:tc>
          <w:tcPr>
            <w:tcW w:w="1279" w:type="dxa"/>
            <w:hideMark/>
          </w:tcPr>
          <w:p w14:paraId="20AB6D15"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NA</w:t>
            </w:r>
          </w:p>
        </w:tc>
        <w:tc>
          <w:tcPr>
            <w:tcW w:w="2552" w:type="dxa"/>
            <w:hideMark/>
          </w:tcPr>
          <w:p w14:paraId="6B8489C8"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 xml:space="preserve">Past 30 day </w:t>
            </w:r>
            <w:r>
              <w:rPr>
                <w:rFonts w:asciiTheme="minorHAnsi" w:hAnsiTheme="minorHAnsi" w:cstheme="minorHAnsi"/>
                <w:color w:val="auto"/>
                <w:sz w:val="16"/>
                <w:szCs w:val="16"/>
              </w:rPr>
              <w:t>e</w:t>
            </w:r>
            <w:r>
              <w:rPr>
                <w:rFonts w:asciiTheme="minorHAnsi" w:hAnsiTheme="minorHAnsi" w:cstheme="minorHAnsi"/>
                <w:color w:val="auto"/>
                <w:sz w:val="16"/>
                <w:szCs w:val="16"/>
              </w:rPr>
              <w:noBreakHyphen/>
              <w:t>cig</w:t>
            </w:r>
            <w:r w:rsidRPr="000F6DEF">
              <w:rPr>
                <w:rFonts w:asciiTheme="minorHAnsi" w:hAnsiTheme="minorHAnsi" w:cstheme="minorHAnsi"/>
                <w:color w:val="auto"/>
                <w:sz w:val="16"/>
                <w:szCs w:val="16"/>
              </w:rPr>
              <w:t>arette use; perceived availability of marijuana; peer marijuana use; parental monitoring; religiosity; risk-taking propensity; paid employment; sociodemographics</w:t>
            </w:r>
          </w:p>
        </w:tc>
      </w:tr>
      <w:tr w:rsidR="00B85C33" w:rsidRPr="000F6DEF" w14:paraId="1F9372D5" w14:textId="77777777" w:rsidTr="000376C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26" w:type="dxa"/>
            <w:hideMark/>
          </w:tcPr>
          <w:p w14:paraId="511FC8AC" w14:textId="77777777" w:rsidR="00B85C33" w:rsidRPr="000F6DEF" w:rsidRDefault="00B85C33" w:rsidP="000376C7">
            <w:pPr>
              <w:rPr>
                <w:rFonts w:asciiTheme="minorHAnsi" w:hAnsiTheme="minorHAnsi" w:cstheme="minorHAnsi"/>
                <w:color w:val="auto"/>
                <w:sz w:val="16"/>
                <w:szCs w:val="16"/>
              </w:rPr>
            </w:pPr>
            <w:r w:rsidRPr="000F6DEF">
              <w:rPr>
                <w:rFonts w:asciiTheme="minorHAnsi" w:hAnsiTheme="minorHAnsi" w:cstheme="minorHAnsi"/>
                <w:color w:val="auto"/>
                <w:sz w:val="16"/>
                <w:szCs w:val="16"/>
              </w:rPr>
              <w:t>Veliz, McCabe et al 2017</w:t>
            </w:r>
          </w:p>
        </w:tc>
        <w:tc>
          <w:tcPr>
            <w:tcW w:w="2497" w:type="dxa"/>
            <w:hideMark/>
          </w:tcPr>
          <w:p w14:paraId="4B624DF1" w14:textId="53D9F02C"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 xml:space="preserve">To determine whether physical activity lowers the risk of </w:t>
            </w:r>
            <w:r>
              <w:rPr>
                <w:rFonts w:asciiTheme="minorHAnsi" w:hAnsiTheme="minorHAnsi" w:cstheme="minorHAnsi"/>
                <w:color w:val="auto"/>
                <w:sz w:val="16"/>
                <w:szCs w:val="16"/>
              </w:rPr>
              <w:t>e</w:t>
            </w:r>
            <w:r>
              <w:rPr>
                <w:rFonts w:asciiTheme="minorHAnsi" w:hAnsiTheme="minorHAnsi" w:cstheme="minorHAnsi"/>
                <w:color w:val="auto"/>
                <w:sz w:val="16"/>
                <w:szCs w:val="16"/>
              </w:rPr>
              <w:noBreakHyphen/>
              <w:t>cig</w:t>
            </w:r>
            <w:r w:rsidRPr="000F6DEF">
              <w:rPr>
                <w:rFonts w:asciiTheme="minorHAnsi" w:hAnsiTheme="minorHAnsi" w:cstheme="minorHAnsi"/>
                <w:color w:val="auto"/>
                <w:sz w:val="16"/>
                <w:szCs w:val="16"/>
              </w:rPr>
              <w:t>arette use among adolescents</w:t>
            </w:r>
            <w:r w:rsidR="00CE05B6">
              <w:rPr>
                <w:rFonts w:asciiTheme="minorHAnsi" w:hAnsiTheme="minorHAnsi" w:cstheme="minorHAnsi"/>
                <w:color w:val="auto"/>
                <w:sz w:val="16"/>
                <w:szCs w:val="16"/>
              </w:rPr>
              <w:t>.</w:t>
            </w:r>
          </w:p>
        </w:tc>
        <w:tc>
          <w:tcPr>
            <w:tcW w:w="1417" w:type="dxa"/>
            <w:hideMark/>
          </w:tcPr>
          <w:p w14:paraId="15550021"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 xml:space="preserve">Monitoring the Future (MTF) </w:t>
            </w:r>
          </w:p>
        </w:tc>
        <w:tc>
          <w:tcPr>
            <w:tcW w:w="1225" w:type="dxa"/>
            <w:hideMark/>
          </w:tcPr>
          <w:p w14:paraId="78F2A2D7"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US national</w:t>
            </w:r>
          </w:p>
        </w:tc>
        <w:tc>
          <w:tcPr>
            <w:tcW w:w="1043" w:type="dxa"/>
            <w:hideMark/>
          </w:tcPr>
          <w:p w14:paraId="0F5DFC6F"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2014-15</w:t>
            </w:r>
          </w:p>
        </w:tc>
        <w:tc>
          <w:tcPr>
            <w:tcW w:w="2268" w:type="dxa"/>
            <w:hideMark/>
          </w:tcPr>
          <w:p w14:paraId="23A9D836"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12th grade school students, 49% male</w:t>
            </w:r>
          </w:p>
        </w:tc>
        <w:tc>
          <w:tcPr>
            <w:tcW w:w="1448" w:type="dxa"/>
            <w:hideMark/>
          </w:tcPr>
          <w:p w14:paraId="45D857B3"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NR</w:t>
            </w:r>
          </w:p>
        </w:tc>
        <w:tc>
          <w:tcPr>
            <w:tcW w:w="1279" w:type="dxa"/>
            <w:hideMark/>
          </w:tcPr>
          <w:p w14:paraId="17A93DD4"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NR</w:t>
            </w:r>
          </w:p>
        </w:tc>
        <w:tc>
          <w:tcPr>
            <w:tcW w:w="2552" w:type="dxa"/>
            <w:hideMark/>
          </w:tcPr>
          <w:p w14:paraId="52B5B2A6"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 xml:space="preserve">30-day </w:t>
            </w:r>
            <w:r>
              <w:rPr>
                <w:rFonts w:asciiTheme="minorHAnsi" w:hAnsiTheme="minorHAnsi" w:cstheme="minorHAnsi"/>
                <w:color w:val="auto"/>
                <w:sz w:val="16"/>
                <w:szCs w:val="16"/>
              </w:rPr>
              <w:t>e</w:t>
            </w:r>
            <w:r>
              <w:rPr>
                <w:rFonts w:asciiTheme="minorHAnsi" w:hAnsiTheme="minorHAnsi" w:cstheme="minorHAnsi"/>
                <w:color w:val="auto"/>
                <w:sz w:val="16"/>
                <w:szCs w:val="16"/>
              </w:rPr>
              <w:noBreakHyphen/>
              <w:t>cig</w:t>
            </w:r>
            <w:r w:rsidRPr="000F6DEF">
              <w:rPr>
                <w:rFonts w:asciiTheme="minorHAnsi" w:hAnsiTheme="minorHAnsi" w:cstheme="minorHAnsi"/>
                <w:color w:val="auto"/>
                <w:sz w:val="16"/>
                <w:szCs w:val="16"/>
              </w:rPr>
              <w:t xml:space="preserve">arette use and traditional cig smoking; </w:t>
            </w:r>
            <w:r w:rsidRPr="000F6DEF">
              <w:rPr>
                <w:rFonts w:asciiTheme="minorHAnsi" w:hAnsiTheme="minorHAnsi" w:cstheme="minorHAnsi"/>
                <w:color w:val="auto"/>
                <w:sz w:val="16"/>
                <w:szCs w:val="16"/>
              </w:rPr>
              <w:br/>
              <w:t>participation in sports (13 different sports)</w:t>
            </w:r>
          </w:p>
        </w:tc>
      </w:tr>
      <w:tr w:rsidR="00B85C33" w:rsidRPr="000F6DEF" w14:paraId="6F7E4F23" w14:textId="77777777" w:rsidTr="000376C7">
        <w:trPr>
          <w:trHeight w:val="567"/>
        </w:trPr>
        <w:tc>
          <w:tcPr>
            <w:cnfStyle w:val="001000000000" w:firstRow="0" w:lastRow="0" w:firstColumn="1" w:lastColumn="0" w:oddVBand="0" w:evenVBand="0" w:oddHBand="0" w:evenHBand="0" w:firstRowFirstColumn="0" w:firstRowLastColumn="0" w:lastRowFirstColumn="0" w:lastRowLastColumn="0"/>
            <w:tcW w:w="1326" w:type="dxa"/>
            <w:hideMark/>
          </w:tcPr>
          <w:p w14:paraId="76A917C3" w14:textId="77777777" w:rsidR="00B85C33" w:rsidRPr="000F6DEF" w:rsidRDefault="00B85C33" w:rsidP="000376C7">
            <w:pPr>
              <w:rPr>
                <w:rFonts w:asciiTheme="minorHAnsi" w:hAnsiTheme="minorHAnsi" w:cstheme="minorHAnsi"/>
                <w:color w:val="auto"/>
                <w:sz w:val="16"/>
                <w:szCs w:val="16"/>
              </w:rPr>
            </w:pPr>
            <w:r w:rsidRPr="000F6DEF">
              <w:rPr>
                <w:rFonts w:asciiTheme="minorHAnsi" w:hAnsiTheme="minorHAnsi" w:cstheme="minorHAnsi"/>
                <w:color w:val="auto"/>
                <w:sz w:val="16"/>
                <w:szCs w:val="16"/>
              </w:rPr>
              <w:t>Chaffee, Couch, Gansky 2017</w:t>
            </w:r>
          </w:p>
        </w:tc>
        <w:tc>
          <w:tcPr>
            <w:tcW w:w="2497" w:type="dxa"/>
            <w:hideMark/>
          </w:tcPr>
          <w:p w14:paraId="5001917E"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To evaluate trends from 2011-2015 in electronic cigarette (</w:t>
            </w:r>
            <w:r>
              <w:rPr>
                <w:rFonts w:asciiTheme="minorHAnsi" w:hAnsiTheme="minorHAnsi" w:cstheme="minorHAnsi"/>
                <w:color w:val="auto"/>
                <w:sz w:val="16"/>
                <w:szCs w:val="16"/>
              </w:rPr>
              <w:t>e</w:t>
            </w:r>
            <w:r>
              <w:rPr>
                <w:rFonts w:asciiTheme="minorHAnsi" w:hAnsiTheme="minorHAnsi" w:cstheme="minorHAnsi"/>
                <w:color w:val="auto"/>
                <w:sz w:val="16"/>
                <w:szCs w:val="16"/>
              </w:rPr>
              <w:noBreakHyphen/>
              <w:t>cig</w:t>
            </w:r>
            <w:r w:rsidRPr="000F6DEF">
              <w:rPr>
                <w:rFonts w:asciiTheme="minorHAnsi" w:hAnsiTheme="minorHAnsi" w:cstheme="minorHAnsi"/>
                <w:color w:val="auto"/>
                <w:sz w:val="16"/>
                <w:szCs w:val="16"/>
              </w:rPr>
              <w:t xml:space="preserve">arette) use among U.S. adolescents, grades 6-12, including prevalence and associations with past month use of cigarettes and other tobacco products, cigarette smoking intensity, quit attempts, and quit contemplation. </w:t>
            </w:r>
          </w:p>
        </w:tc>
        <w:tc>
          <w:tcPr>
            <w:tcW w:w="1417" w:type="dxa"/>
            <w:hideMark/>
          </w:tcPr>
          <w:p w14:paraId="67378023"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National Youth Tobacco Survey</w:t>
            </w:r>
          </w:p>
        </w:tc>
        <w:tc>
          <w:tcPr>
            <w:tcW w:w="1225" w:type="dxa"/>
            <w:hideMark/>
          </w:tcPr>
          <w:p w14:paraId="573BB819"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US national</w:t>
            </w:r>
          </w:p>
        </w:tc>
        <w:tc>
          <w:tcPr>
            <w:tcW w:w="1043" w:type="dxa"/>
            <w:hideMark/>
          </w:tcPr>
          <w:p w14:paraId="29127AD0" w14:textId="00962C46"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2011-2015</w:t>
            </w:r>
            <w:r w:rsidR="00CE05B6">
              <w:rPr>
                <w:rFonts w:asciiTheme="minorHAnsi" w:hAnsiTheme="minorHAnsi" w:cstheme="minorHAnsi"/>
                <w:color w:val="auto"/>
                <w:sz w:val="16"/>
                <w:szCs w:val="16"/>
              </w:rPr>
              <w:t xml:space="preserve"> </w:t>
            </w:r>
          </w:p>
        </w:tc>
        <w:tc>
          <w:tcPr>
            <w:tcW w:w="2268" w:type="dxa"/>
            <w:hideMark/>
          </w:tcPr>
          <w:p w14:paraId="44FE4E56"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101,011 Grades 6-12, 51% male</w:t>
            </w:r>
          </w:p>
        </w:tc>
        <w:tc>
          <w:tcPr>
            <w:tcW w:w="1448" w:type="dxa"/>
            <w:hideMark/>
          </w:tcPr>
          <w:p w14:paraId="6B100BBC"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Three-stage cluster sampling design</w:t>
            </w:r>
          </w:p>
        </w:tc>
        <w:tc>
          <w:tcPr>
            <w:tcW w:w="1279" w:type="dxa"/>
            <w:hideMark/>
          </w:tcPr>
          <w:p w14:paraId="619F2AF9"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Self-administered</w:t>
            </w:r>
          </w:p>
        </w:tc>
        <w:tc>
          <w:tcPr>
            <w:tcW w:w="2552" w:type="dxa"/>
            <w:hideMark/>
          </w:tcPr>
          <w:p w14:paraId="32408014" w14:textId="0AD18B19"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 xml:space="preserve">Ever use </w:t>
            </w:r>
            <w:r>
              <w:rPr>
                <w:rFonts w:asciiTheme="minorHAnsi" w:hAnsiTheme="minorHAnsi" w:cstheme="minorHAnsi"/>
                <w:color w:val="auto"/>
                <w:sz w:val="16"/>
                <w:szCs w:val="16"/>
              </w:rPr>
              <w:t>e</w:t>
            </w:r>
            <w:r>
              <w:rPr>
                <w:rFonts w:asciiTheme="minorHAnsi" w:hAnsiTheme="minorHAnsi" w:cstheme="minorHAnsi"/>
                <w:color w:val="auto"/>
                <w:sz w:val="16"/>
                <w:szCs w:val="16"/>
              </w:rPr>
              <w:noBreakHyphen/>
              <w:t>cig</w:t>
            </w:r>
            <w:r w:rsidR="00CE05B6">
              <w:rPr>
                <w:rFonts w:asciiTheme="minorHAnsi" w:hAnsiTheme="minorHAnsi" w:cstheme="minorHAnsi"/>
                <w:color w:val="auto"/>
                <w:sz w:val="16"/>
                <w:szCs w:val="16"/>
              </w:rPr>
              <w:t>arettes</w:t>
            </w:r>
            <w:r w:rsidRPr="000F6DEF">
              <w:rPr>
                <w:rFonts w:asciiTheme="minorHAnsi" w:hAnsiTheme="minorHAnsi" w:cstheme="minorHAnsi"/>
                <w:color w:val="auto"/>
                <w:sz w:val="16"/>
                <w:szCs w:val="16"/>
              </w:rPr>
              <w:br/>
              <w:t xml:space="preserve">30-day use </w:t>
            </w:r>
            <w:r>
              <w:rPr>
                <w:rFonts w:asciiTheme="minorHAnsi" w:hAnsiTheme="minorHAnsi" w:cstheme="minorHAnsi"/>
                <w:color w:val="auto"/>
                <w:sz w:val="16"/>
                <w:szCs w:val="16"/>
              </w:rPr>
              <w:t>e</w:t>
            </w:r>
            <w:r>
              <w:rPr>
                <w:rFonts w:asciiTheme="minorHAnsi" w:hAnsiTheme="minorHAnsi" w:cstheme="minorHAnsi"/>
                <w:color w:val="auto"/>
                <w:sz w:val="16"/>
                <w:szCs w:val="16"/>
              </w:rPr>
              <w:noBreakHyphen/>
              <w:t>cig</w:t>
            </w:r>
            <w:r w:rsidR="00CE05B6">
              <w:rPr>
                <w:rFonts w:asciiTheme="minorHAnsi" w:hAnsiTheme="minorHAnsi" w:cstheme="minorHAnsi"/>
                <w:color w:val="auto"/>
                <w:sz w:val="16"/>
                <w:szCs w:val="16"/>
              </w:rPr>
              <w:t>arettes</w:t>
            </w:r>
            <w:r w:rsidRPr="000F6DEF">
              <w:rPr>
                <w:rFonts w:asciiTheme="minorHAnsi" w:hAnsiTheme="minorHAnsi" w:cstheme="minorHAnsi"/>
                <w:color w:val="auto"/>
                <w:sz w:val="16"/>
                <w:szCs w:val="16"/>
              </w:rPr>
              <w:br/>
              <w:t>Also nine other tobacco products</w:t>
            </w:r>
            <w:r w:rsidRPr="000F6DEF">
              <w:rPr>
                <w:rFonts w:asciiTheme="minorHAnsi" w:hAnsiTheme="minorHAnsi" w:cstheme="minorHAnsi"/>
                <w:color w:val="auto"/>
                <w:sz w:val="16"/>
                <w:szCs w:val="16"/>
              </w:rPr>
              <w:br/>
              <w:t>Intensity of cigarette smoking (users only)</w:t>
            </w:r>
            <w:r w:rsidRPr="000F6DEF">
              <w:rPr>
                <w:rFonts w:asciiTheme="minorHAnsi" w:hAnsiTheme="minorHAnsi" w:cstheme="minorHAnsi"/>
                <w:color w:val="auto"/>
                <w:sz w:val="16"/>
                <w:szCs w:val="16"/>
              </w:rPr>
              <w:br/>
              <w:t>Quit attempts</w:t>
            </w:r>
          </w:p>
        </w:tc>
      </w:tr>
      <w:tr w:rsidR="00B85C33" w:rsidRPr="000F6DEF" w14:paraId="75C21FE4" w14:textId="77777777" w:rsidTr="000376C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26" w:type="dxa"/>
            <w:hideMark/>
          </w:tcPr>
          <w:p w14:paraId="5BAEE3AE" w14:textId="77777777" w:rsidR="00B85C33" w:rsidRPr="000F6DEF" w:rsidRDefault="00B85C33" w:rsidP="000376C7">
            <w:pPr>
              <w:rPr>
                <w:rFonts w:asciiTheme="minorHAnsi" w:hAnsiTheme="minorHAnsi" w:cstheme="minorHAnsi"/>
                <w:color w:val="auto"/>
                <w:sz w:val="16"/>
                <w:szCs w:val="16"/>
              </w:rPr>
            </w:pPr>
            <w:r w:rsidRPr="000F6DEF">
              <w:rPr>
                <w:rFonts w:asciiTheme="minorHAnsi" w:hAnsiTheme="minorHAnsi" w:cstheme="minorHAnsi"/>
                <w:color w:val="auto"/>
                <w:sz w:val="16"/>
                <w:szCs w:val="16"/>
              </w:rPr>
              <w:t>Dobbs, Hammig, Henry 2017</w:t>
            </w:r>
          </w:p>
        </w:tc>
        <w:tc>
          <w:tcPr>
            <w:tcW w:w="2497" w:type="dxa"/>
            <w:hideMark/>
          </w:tcPr>
          <w:p w14:paraId="5F616EB0"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 xml:space="preserve">To examine the influence of perceived addiction and harm of </w:t>
            </w:r>
            <w:r>
              <w:rPr>
                <w:rFonts w:asciiTheme="minorHAnsi" w:hAnsiTheme="minorHAnsi" w:cstheme="minorHAnsi"/>
                <w:color w:val="auto"/>
                <w:sz w:val="16"/>
                <w:szCs w:val="16"/>
              </w:rPr>
              <w:t>e</w:t>
            </w:r>
            <w:r>
              <w:rPr>
                <w:rFonts w:asciiTheme="minorHAnsi" w:hAnsiTheme="minorHAnsi" w:cstheme="minorHAnsi"/>
                <w:color w:val="auto"/>
                <w:sz w:val="16"/>
                <w:szCs w:val="16"/>
              </w:rPr>
              <w:noBreakHyphen/>
              <w:t>cig</w:t>
            </w:r>
            <w:r w:rsidRPr="000F6DEF">
              <w:rPr>
                <w:rFonts w:asciiTheme="minorHAnsi" w:hAnsiTheme="minorHAnsi" w:cstheme="minorHAnsi"/>
                <w:color w:val="auto"/>
                <w:sz w:val="16"/>
                <w:szCs w:val="16"/>
              </w:rPr>
              <w:t xml:space="preserve">arettes on </w:t>
            </w:r>
            <w:r>
              <w:rPr>
                <w:rFonts w:asciiTheme="minorHAnsi" w:hAnsiTheme="minorHAnsi" w:cstheme="minorHAnsi"/>
                <w:color w:val="auto"/>
                <w:sz w:val="16"/>
                <w:szCs w:val="16"/>
              </w:rPr>
              <w:t>e</w:t>
            </w:r>
            <w:r>
              <w:rPr>
                <w:rFonts w:asciiTheme="minorHAnsi" w:hAnsiTheme="minorHAnsi" w:cstheme="minorHAnsi"/>
                <w:color w:val="auto"/>
                <w:sz w:val="16"/>
                <w:szCs w:val="16"/>
              </w:rPr>
              <w:noBreakHyphen/>
              <w:t>cig</w:t>
            </w:r>
            <w:r w:rsidRPr="000F6DEF">
              <w:rPr>
                <w:rFonts w:asciiTheme="minorHAnsi" w:hAnsiTheme="minorHAnsi" w:cstheme="minorHAnsi"/>
                <w:color w:val="auto"/>
                <w:sz w:val="16"/>
                <w:szCs w:val="16"/>
              </w:rPr>
              <w:t>arette use among adolescents.</w:t>
            </w:r>
          </w:p>
        </w:tc>
        <w:tc>
          <w:tcPr>
            <w:tcW w:w="1417" w:type="dxa"/>
            <w:hideMark/>
          </w:tcPr>
          <w:p w14:paraId="37E04608"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National Youth Tobacco Survey</w:t>
            </w:r>
          </w:p>
        </w:tc>
        <w:tc>
          <w:tcPr>
            <w:tcW w:w="1225" w:type="dxa"/>
            <w:hideMark/>
          </w:tcPr>
          <w:p w14:paraId="31EB708E"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US national</w:t>
            </w:r>
          </w:p>
        </w:tc>
        <w:tc>
          <w:tcPr>
            <w:tcW w:w="1043" w:type="dxa"/>
            <w:hideMark/>
          </w:tcPr>
          <w:p w14:paraId="3049D4A6"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2014</w:t>
            </w:r>
          </w:p>
        </w:tc>
        <w:tc>
          <w:tcPr>
            <w:tcW w:w="2268" w:type="dxa"/>
            <w:hideMark/>
          </w:tcPr>
          <w:p w14:paraId="1B6FAEB6"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22,007 9-19 year olds, 48% male</w:t>
            </w:r>
          </w:p>
        </w:tc>
        <w:tc>
          <w:tcPr>
            <w:tcW w:w="1448" w:type="dxa"/>
            <w:hideMark/>
          </w:tcPr>
          <w:p w14:paraId="268E3DC2"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 </w:t>
            </w:r>
          </w:p>
        </w:tc>
        <w:tc>
          <w:tcPr>
            <w:tcW w:w="1279" w:type="dxa"/>
            <w:hideMark/>
          </w:tcPr>
          <w:p w14:paraId="39E3F373"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 </w:t>
            </w:r>
          </w:p>
        </w:tc>
        <w:tc>
          <w:tcPr>
            <w:tcW w:w="2552" w:type="dxa"/>
            <w:hideMark/>
          </w:tcPr>
          <w:p w14:paraId="78FF508D" w14:textId="53D8DC76"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 xml:space="preserve">Ever use </w:t>
            </w:r>
            <w:r>
              <w:rPr>
                <w:rFonts w:asciiTheme="minorHAnsi" w:hAnsiTheme="minorHAnsi" w:cstheme="minorHAnsi"/>
                <w:color w:val="auto"/>
                <w:sz w:val="16"/>
                <w:szCs w:val="16"/>
              </w:rPr>
              <w:t>e</w:t>
            </w:r>
            <w:r>
              <w:rPr>
                <w:rFonts w:asciiTheme="minorHAnsi" w:hAnsiTheme="minorHAnsi" w:cstheme="minorHAnsi"/>
                <w:color w:val="auto"/>
                <w:sz w:val="16"/>
                <w:szCs w:val="16"/>
              </w:rPr>
              <w:noBreakHyphen/>
              <w:t>cig</w:t>
            </w:r>
            <w:r w:rsidR="00CE05B6">
              <w:rPr>
                <w:rFonts w:asciiTheme="minorHAnsi" w:hAnsiTheme="minorHAnsi" w:cstheme="minorHAnsi"/>
                <w:color w:val="auto"/>
                <w:sz w:val="16"/>
                <w:szCs w:val="16"/>
              </w:rPr>
              <w:t>arettes</w:t>
            </w:r>
            <w:r w:rsidRPr="000F6DEF">
              <w:rPr>
                <w:rFonts w:asciiTheme="minorHAnsi" w:hAnsiTheme="minorHAnsi" w:cstheme="minorHAnsi"/>
                <w:color w:val="auto"/>
                <w:sz w:val="16"/>
                <w:szCs w:val="16"/>
              </w:rPr>
              <w:br/>
              <w:t xml:space="preserve">30-day use </w:t>
            </w:r>
            <w:r w:rsidR="00CE05B6">
              <w:rPr>
                <w:rFonts w:asciiTheme="minorHAnsi" w:hAnsiTheme="minorHAnsi" w:cstheme="minorHAnsi"/>
                <w:color w:val="auto"/>
                <w:sz w:val="16"/>
                <w:szCs w:val="16"/>
              </w:rPr>
              <w:t>e</w:t>
            </w:r>
            <w:r w:rsidR="00CE05B6">
              <w:rPr>
                <w:rFonts w:asciiTheme="minorHAnsi" w:hAnsiTheme="minorHAnsi" w:cstheme="minorHAnsi"/>
                <w:color w:val="auto"/>
                <w:sz w:val="16"/>
                <w:szCs w:val="16"/>
              </w:rPr>
              <w:noBreakHyphen/>
              <w:t>cigarettes</w:t>
            </w:r>
            <w:r w:rsidRPr="000F6DEF">
              <w:rPr>
                <w:rFonts w:asciiTheme="minorHAnsi" w:hAnsiTheme="minorHAnsi" w:cstheme="minorHAnsi"/>
                <w:color w:val="auto"/>
                <w:sz w:val="16"/>
                <w:szCs w:val="16"/>
              </w:rPr>
              <w:br/>
              <w:t xml:space="preserve">Perceived harm of </w:t>
            </w:r>
            <w:r w:rsidR="00CE05B6">
              <w:rPr>
                <w:rFonts w:asciiTheme="minorHAnsi" w:hAnsiTheme="minorHAnsi" w:cstheme="minorHAnsi"/>
                <w:color w:val="auto"/>
                <w:sz w:val="16"/>
                <w:szCs w:val="16"/>
              </w:rPr>
              <w:t>e</w:t>
            </w:r>
            <w:r w:rsidR="00CE05B6">
              <w:rPr>
                <w:rFonts w:asciiTheme="minorHAnsi" w:hAnsiTheme="minorHAnsi" w:cstheme="minorHAnsi"/>
                <w:color w:val="auto"/>
                <w:sz w:val="16"/>
                <w:szCs w:val="16"/>
              </w:rPr>
              <w:noBreakHyphen/>
              <w:t>cigarettes</w:t>
            </w:r>
            <w:r w:rsidRPr="000F6DEF">
              <w:rPr>
                <w:rFonts w:asciiTheme="minorHAnsi" w:hAnsiTheme="minorHAnsi" w:cstheme="minorHAnsi"/>
                <w:color w:val="auto"/>
                <w:sz w:val="16"/>
                <w:szCs w:val="16"/>
              </w:rPr>
              <w:br/>
              <w:t xml:space="preserve">Perceived addictiveness of </w:t>
            </w:r>
            <w:r w:rsidR="00CE05B6">
              <w:rPr>
                <w:rFonts w:asciiTheme="minorHAnsi" w:hAnsiTheme="minorHAnsi" w:cstheme="minorHAnsi"/>
                <w:color w:val="auto"/>
                <w:sz w:val="16"/>
                <w:szCs w:val="16"/>
              </w:rPr>
              <w:t>e</w:t>
            </w:r>
            <w:r w:rsidR="00CE05B6">
              <w:rPr>
                <w:rFonts w:asciiTheme="minorHAnsi" w:hAnsiTheme="minorHAnsi" w:cstheme="minorHAnsi"/>
                <w:color w:val="auto"/>
                <w:sz w:val="16"/>
                <w:szCs w:val="16"/>
              </w:rPr>
              <w:noBreakHyphen/>
              <w:t>cigarettes</w:t>
            </w:r>
            <w:r w:rsidRPr="000F6DEF">
              <w:rPr>
                <w:rFonts w:asciiTheme="minorHAnsi" w:hAnsiTheme="minorHAnsi" w:cstheme="minorHAnsi"/>
                <w:color w:val="auto"/>
                <w:sz w:val="16"/>
                <w:szCs w:val="16"/>
              </w:rPr>
              <w:br/>
              <w:t>Smoking history (lifetime cigarettes)</w:t>
            </w:r>
          </w:p>
        </w:tc>
      </w:tr>
      <w:tr w:rsidR="00B85C33" w:rsidRPr="000F6DEF" w14:paraId="29355E62" w14:textId="77777777" w:rsidTr="000376C7">
        <w:trPr>
          <w:trHeight w:val="567"/>
        </w:trPr>
        <w:tc>
          <w:tcPr>
            <w:cnfStyle w:val="001000000000" w:firstRow="0" w:lastRow="0" w:firstColumn="1" w:lastColumn="0" w:oddVBand="0" w:evenVBand="0" w:oddHBand="0" w:evenHBand="0" w:firstRowFirstColumn="0" w:firstRowLastColumn="0" w:lastRowFirstColumn="0" w:lastRowLastColumn="0"/>
            <w:tcW w:w="1326" w:type="dxa"/>
            <w:hideMark/>
          </w:tcPr>
          <w:p w14:paraId="334E529C" w14:textId="77777777" w:rsidR="00B85C33" w:rsidRPr="000F6DEF" w:rsidRDefault="00B85C33" w:rsidP="000376C7">
            <w:pPr>
              <w:rPr>
                <w:rFonts w:asciiTheme="minorHAnsi" w:hAnsiTheme="minorHAnsi" w:cstheme="minorHAnsi"/>
                <w:color w:val="auto"/>
                <w:sz w:val="16"/>
                <w:szCs w:val="16"/>
              </w:rPr>
            </w:pPr>
            <w:r w:rsidRPr="000F6DEF">
              <w:rPr>
                <w:rFonts w:asciiTheme="minorHAnsi" w:hAnsiTheme="minorHAnsi" w:cstheme="minorHAnsi"/>
                <w:color w:val="auto"/>
                <w:sz w:val="16"/>
                <w:szCs w:val="16"/>
              </w:rPr>
              <w:t>Lanza, Russell, Braymiller 2017</w:t>
            </w:r>
          </w:p>
        </w:tc>
        <w:tc>
          <w:tcPr>
            <w:tcW w:w="2497" w:type="dxa"/>
            <w:hideMark/>
          </w:tcPr>
          <w:p w14:paraId="5EC3E9FC"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 xml:space="preserve">To examine rates of both products by age and examine differences in </w:t>
            </w:r>
            <w:r w:rsidRPr="000F6DEF">
              <w:rPr>
                <w:rFonts w:asciiTheme="minorHAnsi" w:hAnsiTheme="minorHAnsi" w:cstheme="minorHAnsi"/>
                <w:color w:val="auto"/>
                <w:sz w:val="16"/>
                <w:szCs w:val="16"/>
              </w:rPr>
              <w:lastRenderedPageBreak/>
              <w:t xml:space="preserve">age-varying rates by sex and race/ethnicity. </w:t>
            </w:r>
          </w:p>
        </w:tc>
        <w:tc>
          <w:tcPr>
            <w:tcW w:w="1417" w:type="dxa"/>
            <w:hideMark/>
          </w:tcPr>
          <w:p w14:paraId="1CF4550C"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lastRenderedPageBreak/>
              <w:t>National Youth Tobacco Survey</w:t>
            </w:r>
          </w:p>
        </w:tc>
        <w:tc>
          <w:tcPr>
            <w:tcW w:w="1225" w:type="dxa"/>
            <w:hideMark/>
          </w:tcPr>
          <w:p w14:paraId="646F616F"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US national</w:t>
            </w:r>
          </w:p>
        </w:tc>
        <w:tc>
          <w:tcPr>
            <w:tcW w:w="1043" w:type="dxa"/>
            <w:hideMark/>
          </w:tcPr>
          <w:p w14:paraId="1FF9C262"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2014</w:t>
            </w:r>
          </w:p>
        </w:tc>
        <w:tc>
          <w:tcPr>
            <w:tcW w:w="2268" w:type="dxa"/>
            <w:hideMark/>
          </w:tcPr>
          <w:p w14:paraId="4BA2E206"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22,007 average age 14.5yrs, 51% male</w:t>
            </w:r>
          </w:p>
        </w:tc>
        <w:tc>
          <w:tcPr>
            <w:tcW w:w="1448" w:type="dxa"/>
            <w:hideMark/>
          </w:tcPr>
          <w:p w14:paraId="42C5D167"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 </w:t>
            </w:r>
          </w:p>
        </w:tc>
        <w:tc>
          <w:tcPr>
            <w:tcW w:w="1279" w:type="dxa"/>
            <w:hideMark/>
          </w:tcPr>
          <w:p w14:paraId="39FF325D"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 </w:t>
            </w:r>
          </w:p>
        </w:tc>
        <w:tc>
          <w:tcPr>
            <w:tcW w:w="2552" w:type="dxa"/>
            <w:hideMark/>
          </w:tcPr>
          <w:p w14:paraId="0E3BDA60"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Demographics</w:t>
            </w:r>
            <w:r w:rsidRPr="000F6DEF">
              <w:rPr>
                <w:rFonts w:asciiTheme="minorHAnsi" w:hAnsiTheme="minorHAnsi" w:cstheme="minorHAnsi"/>
                <w:color w:val="auto"/>
                <w:sz w:val="16"/>
                <w:szCs w:val="16"/>
              </w:rPr>
              <w:br/>
              <w:t xml:space="preserve">30-day cig and </w:t>
            </w:r>
            <w:r>
              <w:rPr>
                <w:rFonts w:asciiTheme="minorHAnsi" w:hAnsiTheme="minorHAnsi" w:cstheme="minorHAnsi"/>
                <w:color w:val="auto"/>
                <w:sz w:val="16"/>
                <w:szCs w:val="16"/>
              </w:rPr>
              <w:t>e</w:t>
            </w:r>
            <w:r>
              <w:rPr>
                <w:rFonts w:asciiTheme="minorHAnsi" w:hAnsiTheme="minorHAnsi" w:cstheme="minorHAnsi"/>
                <w:color w:val="auto"/>
                <w:sz w:val="16"/>
                <w:szCs w:val="16"/>
              </w:rPr>
              <w:noBreakHyphen/>
              <w:t>cig</w:t>
            </w:r>
            <w:r w:rsidRPr="000F6DEF">
              <w:rPr>
                <w:rFonts w:asciiTheme="minorHAnsi" w:hAnsiTheme="minorHAnsi" w:cstheme="minorHAnsi"/>
                <w:color w:val="auto"/>
                <w:sz w:val="16"/>
                <w:szCs w:val="16"/>
              </w:rPr>
              <w:t>arette use</w:t>
            </w:r>
          </w:p>
        </w:tc>
      </w:tr>
      <w:tr w:rsidR="00B85C33" w:rsidRPr="000F6DEF" w14:paraId="794701B7" w14:textId="77777777" w:rsidTr="000376C7">
        <w:trPr>
          <w:cnfStyle w:val="000000100000" w:firstRow="0" w:lastRow="0" w:firstColumn="0" w:lastColumn="0" w:oddVBand="0" w:evenVBand="0" w:oddHBand="1"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1326" w:type="dxa"/>
            <w:hideMark/>
          </w:tcPr>
          <w:p w14:paraId="7F729058" w14:textId="77777777" w:rsidR="00B85C33" w:rsidRPr="000F6DEF" w:rsidRDefault="00B85C33" w:rsidP="000376C7">
            <w:pPr>
              <w:rPr>
                <w:rFonts w:asciiTheme="minorHAnsi" w:hAnsiTheme="minorHAnsi" w:cstheme="minorHAnsi"/>
                <w:color w:val="auto"/>
                <w:sz w:val="16"/>
                <w:szCs w:val="16"/>
              </w:rPr>
            </w:pPr>
            <w:r w:rsidRPr="000F6DEF">
              <w:rPr>
                <w:rFonts w:asciiTheme="minorHAnsi" w:hAnsiTheme="minorHAnsi" w:cstheme="minorHAnsi"/>
                <w:color w:val="auto"/>
                <w:sz w:val="16"/>
                <w:szCs w:val="16"/>
              </w:rPr>
              <w:t>Chen, Yu, Wang 2017</w:t>
            </w:r>
          </w:p>
        </w:tc>
        <w:tc>
          <w:tcPr>
            <w:tcW w:w="2497" w:type="dxa"/>
            <w:hideMark/>
          </w:tcPr>
          <w:p w14:paraId="69186964" w14:textId="0FF1A916"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 xml:space="preserve">To better understand age of initiation of </w:t>
            </w:r>
            <w:r>
              <w:rPr>
                <w:rFonts w:asciiTheme="minorHAnsi" w:hAnsiTheme="minorHAnsi" w:cstheme="minorHAnsi"/>
                <w:color w:val="auto"/>
                <w:sz w:val="16"/>
                <w:szCs w:val="16"/>
              </w:rPr>
              <w:t>e</w:t>
            </w:r>
            <w:r>
              <w:rPr>
                <w:rFonts w:asciiTheme="minorHAnsi" w:hAnsiTheme="minorHAnsi" w:cstheme="minorHAnsi"/>
                <w:color w:val="auto"/>
                <w:sz w:val="16"/>
                <w:szCs w:val="16"/>
              </w:rPr>
              <w:noBreakHyphen/>
              <w:t>cig</w:t>
            </w:r>
            <w:r w:rsidRPr="000F6DEF">
              <w:rPr>
                <w:rFonts w:asciiTheme="minorHAnsi" w:hAnsiTheme="minorHAnsi" w:cstheme="minorHAnsi"/>
                <w:color w:val="auto"/>
                <w:sz w:val="16"/>
                <w:szCs w:val="16"/>
              </w:rPr>
              <w:t>arette use</w:t>
            </w:r>
            <w:r w:rsidR="00CE05B6">
              <w:rPr>
                <w:rFonts w:asciiTheme="minorHAnsi" w:hAnsiTheme="minorHAnsi" w:cstheme="minorHAnsi"/>
                <w:color w:val="auto"/>
                <w:sz w:val="16"/>
                <w:szCs w:val="16"/>
              </w:rPr>
              <w:t>.</w:t>
            </w:r>
          </w:p>
        </w:tc>
        <w:tc>
          <w:tcPr>
            <w:tcW w:w="1417" w:type="dxa"/>
            <w:hideMark/>
          </w:tcPr>
          <w:p w14:paraId="6890110B"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 xml:space="preserve">National Youth Tobacco Survey </w:t>
            </w:r>
          </w:p>
        </w:tc>
        <w:tc>
          <w:tcPr>
            <w:tcW w:w="1225" w:type="dxa"/>
            <w:hideMark/>
          </w:tcPr>
          <w:p w14:paraId="79EACC87"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US national</w:t>
            </w:r>
          </w:p>
        </w:tc>
        <w:tc>
          <w:tcPr>
            <w:tcW w:w="1043" w:type="dxa"/>
            <w:hideMark/>
          </w:tcPr>
          <w:p w14:paraId="3FB548B6"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2014</w:t>
            </w:r>
          </w:p>
        </w:tc>
        <w:tc>
          <w:tcPr>
            <w:tcW w:w="2268" w:type="dxa"/>
            <w:hideMark/>
          </w:tcPr>
          <w:p w14:paraId="28B336B9"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20,680 11-19 year olds, 51% male</w:t>
            </w:r>
          </w:p>
        </w:tc>
        <w:tc>
          <w:tcPr>
            <w:tcW w:w="1448" w:type="dxa"/>
            <w:hideMark/>
          </w:tcPr>
          <w:p w14:paraId="7E47316B"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207 schools</w:t>
            </w:r>
          </w:p>
        </w:tc>
        <w:tc>
          <w:tcPr>
            <w:tcW w:w="1279" w:type="dxa"/>
            <w:hideMark/>
          </w:tcPr>
          <w:p w14:paraId="0C3FCA63"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NR</w:t>
            </w:r>
          </w:p>
        </w:tc>
        <w:tc>
          <w:tcPr>
            <w:tcW w:w="2552" w:type="dxa"/>
            <w:hideMark/>
          </w:tcPr>
          <w:p w14:paraId="0643FCD4" w14:textId="572A6EB9"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 xml:space="preserve">Age </w:t>
            </w:r>
            <w:r>
              <w:rPr>
                <w:rFonts w:asciiTheme="minorHAnsi" w:hAnsiTheme="minorHAnsi" w:cstheme="minorHAnsi"/>
                <w:color w:val="auto"/>
                <w:sz w:val="16"/>
                <w:szCs w:val="16"/>
              </w:rPr>
              <w:t>e</w:t>
            </w:r>
            <w:r>
              <w:rPr>
                <w:rFonts w:asciiTheme="minorHAnsi" w:hAnsiTheme="minorHAnsi" w:cstheme="minorHAnsi"/>
                <w:color w:val="auto"/>
                <w:sz w:val="16"/>
                <w:szCs w:val="16"/>
              </w:rPr>
              <w:noBreakHyphen/>
              <w:t>cig</w:t>
            </w:r>
            <w:r w:rsidRPr="000F6DEF">
              <w:rPr>
                <w:rFonts w:asciiTheme="minorHAnsi" w:hAnsiTheme="minorHAnsi" w:cstheme="minorHAnsi"/>
                <w:color w:val="auto"/>
                <w:sz w:val="16"/>
                <w:szCs w:val="16"/>
              </w:rPr>
              <w:t>arette smoking initiation</w:t>
            </w:r>
            <w:r w:rsidRPr="000F6DEF">
              <w:rPr>
                <w:rFonts w:asciiTheme="minorHAnsi" w:hAnsiTheme="minorHAnsi" w:cstheme="minorHAnsi"/>
                <w:color w:val="auto"/>
                <w:sz w:val="16"/>
                <w:szCs w:val="16"/>
              </w:rPr>
              <w:br/>
              <w:t xml:space="preserve">Ever use </w:t>
            </w:r>
            <w:r w:rsidR="00CE05B6">
              <w:rPr>
                <w:rFonts w:asciiTheme="minorHAnsi" w:hAnsiTheme="minorHAnsi" w:cstheme="minorHAnsi"/>
                <w:color w:val="auto"/>
                <w:sz w:val="16"/>
                <w:szCs w:val="16"/>
              </w:rPr>
              <w:t>e</w:t>
            </w:r>
            <w:r w:rsidR="00CE05B6">
              <w:rPr>
                <w:rFonts w:asciiTheme="minorHAnsi" w:hAnsiTheme="minorHAnsi" w:cstheme="minorHAnsi"/>
                <w:color w:val="auto"/>
                <w:sz w:val="16"/>
                <w:szCs w:val="16"/>
              </w:rPr>
              <w:noBreakHyphen/>
              <w:t>cigarettes</w:t>
            </w:r>
            <w:r w:rsidRPr="000F6DEF">
              <w:rPr>
                <w:rFonts w:asciiTheme="minorHAnsi" w:hAnsiTheme="minorHAnsi" w:cstheme="minorHAnsi"/>
                <w:color w:val="auto"/>
                <w:sz w:val="16"/>
                <w:szCs w:val="16"/>
              </w:rPr>
              <w:br/>
              <w:t xml:space="preserve">30-day use </w:t>
            </w:r>
            <w:r w:rsidR="00CE05B6">
              <w:rPr>
                <w:rFonts w:asciiTheme="minorHAnsi" w:hAnsiTheme="minorHAnsi" w:cstheme="minorHAnsi"/>
                <w:color w:val="auto"/>
                <w:sz w:val="16"/>
                <w:szCs w:val="16"/>
              </w:rPr>
              <w:t>e</w:t>
            </w:r>
            <w:r w:rsidR="00CE05B6">
              <w:rPr>
                <w:rFonts w:asciiTheme="minorHAnsi" w:hAnsiTheme="minorHAnsi" w:cstheme="minorHAnsi"/>
                <w:color w:val="auto"/>
                <w:sz w:val="16"/>
                <w:szCs w:val="16"/>
              </w:rPr>
              <w:noBreakHyphen/>
              <w:t>cigarettes</w:t>
            </w:r>
            <w:r w:rsidRPr="000F6DEF">
              <w:rPr>
                <w:rFonts w:asciiTheme="minorHAnsi" w:hAnsiTheme="minorHAnsi" w:cstheme="minorHAnsi"/>
                <w:color w:val="auto"/>
                <w:sz w:val="16"/>
                <w:szCs w:val="16"/>
              </w:rPr>
              <w:br/>
              <w:t>Demographics</w:t>
            </w:r>
          </w:p>
        </w:tc>
      </w:tr>
      <w:tr w:rsidR="00B85C33" w:rsidRPr="000F6DEF" w14:paraId="46E0AC70" w14:textId="77777777" w:rsidTr="000376C7">
        <w:trPr>
          <w:trHeight w:val="567"/>
        </w:trPr>
        <w:tc>
          <w:tcPr>
            <w:cnfStyle w:val="001000000000" w:firstRow="0" w:lastRow="0" w:firstColumn="1" w:lastColumn="0" w:oddVBand="0" w:evenVBand="0" w:oddHBand="0" w:evenHBand="0" w:firstRowFirstColumn="0" w:firstRowLastColumn="0" w:lastRowFirstColumn="0" w:lastRowLastColumn="0"/>
            <w:tcW w:w="1326" w:type="dxa"/>
            <w:hideMark/>
          </w:tcPr>
          <w:p w14:paraId="3419CC3B" w14:textId="77777777" w:rsidR="00B85C33" w:rsidRPr="000F6DEF" w:rsidRDefault="00B85C33" w:rsidP="000376C7">
            <w:pPr>
              <w:rPr>
                <w:rFonts w:asciiTheme="minorHAnsi" w:hAnsiTheme="minorHAnsi" w:cstheme="minorHAnsi"/>
                <w:color w:val="auto"/>
                <w:sz w:val="16"/>
                <w:szCs w:val="16"/>
              </w:rPr>
            </w:pPr>
            <w:r w:rsidRPr="000F6DEF">
              <w:rPr>
                <w:rFonts w:asciiTheme="minorHAnsi" w:hAnsiTheme="minorHAnsi" w:cstheme="minorHAnsi"/>
                <w:color w:val="auto"/>
                <w:sz w:val="16"/>
                <w:szCs w:val="16"/>
              </w:rPr>
              <w:t>Hammig, Daniel-Dobbs, Blunt-Vinti 2017</w:t>
            </w:r>
          </w:p>
        </w:tc>
        <w:tc>
          <w:tcPr>
            <w:tcW w:w="2497" w:type="dxa"/>
            <w:hideMark/>
          </w:tcPr>
          <w:p w14:paraId="5CBCCBEC"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 xml:space="preserve">To examine factors associated with </w:t>
            </w:r>
            <w:r>
              <w:rPr>
                <w:rFonts w:asciiTheme="minorHAnsi" w:hAnsiTheme="minorHAnsi" w:cstheme="minorHAnsi"/>
                <w:color w:val="auto"/>
                <w:sz w:val="16"/>
                <w:szCs w:val="16"/>
              </w:rPr>
              <w:t>e</w:t>
            </w:r>
            <w:r>
              <w:rPr>
                <w:rFonts w:asciiTheme="minorHAnsi" w:hAnsiTheme="minorHAnsi" w:cstheme="minorHAnsi"/>
                <w:color w:val="auto"/>
                <w:sz w:val="16"/>
                <w:szCs w:val="16"/>
              </w:rPr>
              <w:noBreakHyphen/>
              <w:t>cig</w:t>
            </w:r>
            <w:r w:rsidRPr="000F6DEF">
              <w:rPr>
                <w:rFonts w:asciiTheme="minorHAnsi" w:hAnsiTheme="minorHAnsi" w:cstheme="minorHAnsi"/>
                <w:color w:val="auto"/>
                <w:sz w:val="16"/>
                <w:szCs w:val="16"/>
              </w:rPr>
              <w:t>arette initiation among minority youth in the United States.</w:t>
            </w:r>
          </w:p>
        </w:tc>
        <w:tc>
          <w:tcPr>
            <w:tcW w:w="1417" w:type="dxa"/>
            <w:hideMark/>
          </w:tcPr>
          <w:p w14:paraId="51E80A6E"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 xml:space="preserve">National Youth Tobacco Survey </w:t>
            </w:r>
          </w:p>
        </w:tc>
        <w:tc>
          <w:tcPr>
            <w:tcW w:w="1225" w:type="dxa"/>
            <w:hideMark/>
          </w:tcPr>
          <w:p w14:paraId="4DE4F4CD"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US national</w:t>
            </w:r>
          </w:p>
        </w:tc>
        <w:tc>
          <w:tcPr>
            <w:tcW w:w="1043" w:type="dxa"/>
            <w:hideMark/>
          </w:tcPr>
          <w:p w14:paraId="63904A51"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2014</w:t>
            </w:r>
          </w:p>
        </w:tc>
        <w:tc>
          <w:tcPr>
            <w:tcW w:w="2268" w:type="dxa"/>
            <w:hideMark/>
          </w:tcPr>
          <w:p w14:paraId="317FEA35"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27,294,454 (weighted)</w:t>
            </w:r>
          </w:p>
          <w:p w14:paraId="1348B27F"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 </w:t>
            </w:r>
          </w:p>
          <w:p w14:paraId="66F4714D"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 </w:t>
            </w:r>
          </w:p>
        </w:tc>
        <w:tc>
          <w:tcPr>
            <w:tcW w:w="1448" w:type="dxa"/>
            <w:hideMark/>
          </w:tcPr>
          <w:p w14:paraId="4AAB7588"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 </w:t>
            </w:r>
          </w:p>
        </w:tc>
        <w:tc>
          <w:tcPr>
            <w:tcW w:w="1279" w:type="dxa"/>
            <w:hideMark/>
          </w:tcPr>
          <w:p w14:paraId="2EC8C517"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 </w:t>
            </w:r>
          </w:p>
        </w:tc>
        <w:tc>
          <w:tcPr>
            <w:tcW w:w="2552" w:type="dxa"/>
            <w:hideMark/>
          </w:tcPr>
          <w:p w14:paraId="673DBF4C"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 </w:t>
            </w:r>
          </w:p>
        </w:tc>
      </w:tr>
      <w:tr w:rsidR="00B85C33" w:rsidRPr="000F6DEF" w14:paraId="23BE3444" w14:textId="77777777" w:rsidTr="000376C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26" w:type="dxa"/>
            <w:hideMark/>
          </w:tcPr>
          <w:p w14:paraId="344418C2" w14:textId="77777777" w:rsidR="00B85C33" w:rsidRPr="000F6DEF" w:rsidRDefault="00B85C33" w:rsidP="000376C7">
            <w:pPr>
              <w:rPr>
                <w:rFonts w:asciiTheme="minorHAnsi" w:hAnsiTheme="minorHAnsi" w:cstheme="minorHAnsi"/>
                <w:color w:val="auto"/>
                <w:sz w:val="16"/>
                <w:szCs w:val="16"/>
              </w:rPr>
            </w:pPr>
            <w:r w:rsidRPr="000F6DEF">
              <w:rPr>
                <w:rFonts w:asciiTheme="minorHAnsi" w:hAnsiTheme="minorHAnsi" w:cstheme="minorHAnsi"/>
                <w:color w:val="auto"/>
                <w:sz w:val="16"/>
                <w:szCs w:val="16"/>
              </w:rPr>
              <w:t>Harrell, Nqvi, Plunk et al 2017</w:t>
            </w:r>
          </w:p>
        </w:tc>
        <w:tc>
          <w:tcPr>
            <w:tcW w:w="2497" w:type="dxa"/>
            <w:hideMark/>
          </w:tcPr>
          <w:p w14:paraId="33769CAD"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 xml:space="preserve">The present study was designed to identify patterns of youth tobacco use and examine associations with sociodemographic characteristics and tobacco dependence. </w:t>
            </w:r>
          </w:p>
        </w:tc>
        <w:tc>
          <w:tcPr>
            <w:tcW w:w="1417" w:type="dxa"/>
            <w:hideMark/>
          </w:tcPr>
          <w:p w14:paraId="68655649"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 xml:space="preserve">National Youth Tobacco Survey </w:t>
            </w:r>
          </w:p>
        </w:tc>
        <w:tc>
          <w:tcPr>
            <w:tcW w:w="1225" w:type="dxa"/>
            <w:hideMark/>
          </w:tcPr>
          <w:p w14:paraId="12AC2CA0"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US national</w:t>
            </w:r>
          </w:p>
        </w:tc>
        <w:tc>
          <w:tcPr>
            <w:tcW w:w="1043" w:type="dxa"/>
            <w:hideMark/>
          </w:tcPr>
          <w:p w14:paraId="7238C47F"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2012/2013</w:t>
            </w:r>
          </w:p>
        </w:tc>
        <w:tc>
          <w:tcPr>
            <w:tcW w:w="2268" w:type="dxa"/>
            <w:hideMark/>
          </w:tcPr>
          <w:p w14:paraId="06D73C31"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6,958 tobacco users, 61% male</w:t>
            </w:r>
          </w:p>
        </w:tc>
        <w:tc>
          <w:tcPr>
            <w:tcW w:w="1448" w:type="dxa"/>
            <w:hideMark/>
          </w:tcPr>
          <w:p w14:paraId="0A2CE79D"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 </w:t>
            </w:r>
          </w:p>
        </w:tc>
        <w:tc>
          <w:tcPr>
            <w:tcW w:w="1279" w:type="dxa"/>
            <w:hideMark/>
          </w:tcPr>
          <w:p w14:paraId="77BE3445"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 </w:t>
            </w:r>
          </w:p>
        </w:tc>
        <w:tc>
          <w:tcPr>
            <w:tcW w:w="2552" w:type="dxa"/>
            <w:hideMark/>
          </w:tcPr>
          <w:p w14:paraId="56E82AC9"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 xml:space="preserve">Past month use of tobacco products </w:t>
            </w:r>
            <w:r w:rsidRPr="000F6DEF">
              <w:rPr>
                <w:rFonts w:asciiTheme="minorHAnsi" w:hAnsiTheme="minorHAnsi" w:cstheme="minorHAnsi"/>
                <w:color w:val="auto"/>
                <w:sz w:val="16"/>
                <w:szCs w:val="16"/>
              </w:rPr>
              <w:br/>
              <w:t>tobacco dependence</w:t>
            </w:r>
            <w:r w:rsidRPr="000F6DEF">
              <w:rPr>
                <w:rFonts w:asciiTheme="minorHAnsi" w:hAnsiTheme="minorHAnsi" w:cstheme="minorHAnsi"/>
                <w:color w:val="auto"/>
                <w:sz w:val="16"/>
                <w:szCs w:val="16"/>
              </w:rPr>
              <w:br/>
              <w:t>demographics</w:t>
            </w:r>
          </w:p>
        </w:tc>
      </w:tr>
      <w:tr w:rsidR="00B85C33" w:rsidRPr="000F6DEF" w14:paraId="61C35945" w14:textId="77777777" w:rsidTr="000376C7">
        <w:trPr>
          <w:trHeight w:val="567"/>
        </w:trPr>
        <w:tc>
          <w:tcPr>
            <w:cnfStyle w:val="001000000000" w:firstRow="0" w:lastRow="0" w:firstColumn="1" w:lastColumn="0" w:oddVBand="0" w:evenVBand="0" w:oddHBand="0" w:evenHBand="0" w:firstRowFirstColumn="0" w:firstRowLastColumn="0" w:lastRowFirstColumn="0" w:lastRowLastColumn="0"/>
            <w:tcW w:w="1326" w:type="dxa"/>
            <w:hideMark/>
          </w:tcPr>
          <w:p w14:paraId="52E7E6F9" w14:textId="77777777" w:rsidR="00B85C33" w:rsidRPr="000F6DEF" w:rsidRDefault="00B85C33" w:rsidP="000376C7">
            <w:pPr>
              <w:rPr>
                <w:rFonts w:asciiTheme="minorHAnsi" w:hAnsiTheme="minorHAnsi" w:cstheme="minorHAnsi"/>
                <w:color w:val="auto"/>
                <w:sz w:val="16"/>
                <w:szCs w:val="16"/>
              </w:rPr>
            </w:pPr>
            <w:r w:rsidRPr="000F6DEF">
              <w:rPr>
                <w:rFonts w:asciiTheme="minorHAnsi" w:hAnsiTheme="minorHAnsi" w:cstheme="minorHAnsi"/>
                <w:color w:val="auto"/>
                <w:sz w:val="16"/>
                <w:szCs w:val="16"/>
              </w:rPr>
              <w:t>Merianos, Yockey, Wood et al 2017</w:t>
            </w:r>
          </w:p>
        </w:tc>
        <w:tc>
          <w:tcPr>
            <w:tcW w:w="2497" w:type="dxa"/>
            <w:hideMark/>
          </w:tcPr>
          <w:p w14:paraId="2594C93B"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 xml:space="preserve">To examine the influence friend and family factors have on lifetime </w:t>
            </w:r>
            <w:r>
              <w:rPr>
                <w:rFonts w:asciiTheme="minorHAnsi" w:hAnsiTheme="minorHAnsi" w:cstheme="minorHAnsi"/>
                <w:color w:val="auto"/>
                <w:sz w:val="16"/>
                <w:szCs w:val="16"/>
              </w:rPr>
              <w:t>e</w:t>
            </w:r>
            <w:r>
              <w:rPr>
                <w:rFonts w:asciiTheme="minorHAnsi" w:hAnsiTheme="minorHAnsi" w:cstheme="minorHAnsi"/>
                <w:color w:val="auto"/>
                <w:sz w:val="16"/>
                <w:szCs w:val="16"/>
              </w:rPr>
              <w:noBreakHyphen/>
              <w:t>cig</w:t>
            </w:r>
            <w:r w:rsidRPr="000F6DEF">
              <w:rPr>
                <w:rFonts w:asciiTheme="minorHAnsi" w:hAnsiTheme="minorHAnsi" w:cstheme="minorHAnsi"/>
                <w:color w:val="auto"/>
                <w:sz w:val="16"/>
                <w:szCs w:val="16"/>
              </w:rPr>
              <w:t xml:space="preserve">arette use, past year </w:t>
            </w:r>
            <w:r>
              <w:rPr>
                <w:rFonts w:asciiTheme="minorHAnsi" w:hAnsiTheme="minorHAnsi" w:cstheme="minorHAnsi"/>
                <w:color w:val="auto"/>
                <w:sz w:val="16"/>
                <w:szCs w:val="16"/>
              </w:rPr>
              <w:t>e</w:t>
            </w:r>
            <w:r>
              <w:rPr>
                <w:rFonts w:asciiTheme="minorHAnsi" w:hAnsiTheme="minorHAnsi" w:cstheme="minorHAnsi"/>
                <w:color w:val="auto"/>
                <w:sz w:val="16"/>
                <w:szCs w:val="16"/>
              </w:rPr>
              <w:noBreakHyphen/>
              <w:t>cig</w:t>
            </w:r>
            <w:r w:rsidRPr="000F6DEF">
              <w:rPr>
                <w:rFonts w:asciiTheme="minorHAnsi" w:hAnsiTheme="minorHAnsi" w:cstheme="minorHAnsi"/>
                <w:color w:val="auto"/>
                <w:sz w:val="16"/>
                <w:szCs w:val="16"/>
              </w:rPr>
              <w:t xml:space="preserve">arette use, and perceptions of trying </w:t>
            </w:r>
            <w:r>
              <w:rPr>
                <w:rFonts w:asciiTheme="minorHAnsi" w:hAnsiTheme="minorHAnsi" w:cstheme="minorHAnsi"/>
                <w:color w:val="auto"/>
                <w:sz w:val="16"/>
                <w:szCs w:val="16"/>
              </w:rPr>
              <w:t>e</w:t>
            </w:r>
            <w:r>
              <w:rPr>
                <w:rFonts w:asciiTheme="minorHAnsi" w:hAnsiTheme="minorHAnsi" w:cstheme="minorHAnsi"/>
                <w:color w:val="auto"/>
                <w:sz w:val="16"/>
                <w:szCs w:val="16"/>
              </w:rPr>
              <w:noBreakHyphen/>
              <w:t>cig</w:t>
            </w:r>
            <w:r w:rsidRPr="000F6DEF">
              <w:rPr>
                <w:rFonts w:asciiTheme="minorHAnsi" w:hAnsiTheme="minorHAnsi" w:cstheme="minorHAnsi"/>
                <w:color w:val="auto"/>
                <w:sz w:val="16"/>
                <w:szCs w:val="16"/>
              </w:rPr>
              <w:t>arettes soon in a national sample of Hispanic junior high and high school students.</w:t>
            </w:r>
          </w:p>
        </w:tc>
        <w:tc>
          <w:tcPr>
            <w:tcW w:w="1417" w:type="dxa"/>
            <w:hideMark/>
          </w:tcPr>
          <w:p w14:paraId="57F8B00D"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 xml:space="preserve">National Youth Tobacco Survey </w:t>
            </w:r>
          </w:p>
        </w:tc>
        <w:tc>
          <w:tcPr>
            <w:tcW w:w="1225" w:type="dxa"/>
            <w:hideMark/>
          </w:tcPr>
          <w:p w14:paraId="7A86D7D5"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US national</w:t>
            </w:r>
          </w:p>
        </w:tc>
        <w:tc>
          <w:tcPr>
            <w:tcW w:w="1043" w:type="dxa"/>
            <w:hideMark/>
          </w:tcPr>
          <w:p w14:paraId="221302E9"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2014</w:t>
            </w:r>
          </w:p>
        </w:tc>
        <w:tc>
          <w:tcPr>
            <w:tcW w:w="2268" w:type="dxa"/>
            <w:hideMark/>
          </w:tcPr>
          <w:p w14:paraId="4E637A49"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6,044</w:t>
            </w:r>
          </w:p>
        </w:tc>
        <w:tc>
          <w:tcPr>
            <w:tcW w:w="1448" w:type="dxa"/>
            <w:hideMark/>
          </w:tcPr>
          <w:p w14:paraId="595733F6"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 </w:t>
            </w:r>
          </w:p>
        </w:tc>
        <w:tc>
          <w:tcPr>
            <w:tcW w:w="1279" w:type="dxa"/>
            <w:hideMark/>
          </w:tcPr>
          <w:p w14:paraId="01713E5C"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 </w:t>
            </w:r>
          </w:p>
        </w:tc>
        <w:tc>
          <w:tcPr>
            <w:tcW w:w="2552" w:type="dxa"/>
            <w:hideMark/>
          </w:tcPr>
          <w:p w14:paraId="707208AA"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p>
        </w:tc>
      </w:tr>
      <w:tr w:rsidR="00B85C33" w:rsidRPr="000F6DEF" w14:paraId="61B6636A" w14:textId="77777777" w:rsidTr="000376C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26" w:type="dxa"/>
            <w:hideMark/>
          </w:tcPr>
          <w:p w14:paraId="1E4486A8" w14:textId="77777777" w:rsidR="00B85C33" w:rsidRPr="000F6DEF" w:rsidRDefault="00B85C33" w:rsidP="000376C7">
            <w:pPr>
              <w:rPr>
                <w:rFonts w:asciiTheme="minorHAnsi" w:hAnsiTheme="minorHAnsi" w:cstheme="minorHAnsi"/>
                <w:color w:val="auto"/>
                <w:sz w:val="16"/>
                <w:szCs w:val="16"/>
              </w:rPr>
            </w:pPr>
            <w:r w:rsidRPr="000F6DEF">
              <w:rPr>
                <w:rFonts w:asciiTheme="minorHAnsi" w:hAnsiTheme="minorHAnsi" w:cstheme="minorHAnsi"/>
                <w:color w:val="auto"/>
                <w:sz w:val="16"/>
                <w:szCs w:val="16"/>
              </w:rPr>
              <w:t>Lippert 2017</w:t>
            </w:r>
          </w:p>
        </w:tc>
        <w:tc>
          <w:tcPr>
            <w:tcW w:w="2497" w:type="dxa"/>
            <w:hideMark/>
          </w:tcPr>
          <w:p w14:paraId="45EEA5A9"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 xml:space="preserve">To examine temporal changes in the correlates of experimental and current </w:t>
            </w:r>
            <w:r>
              <w:rPr>
                <w:rFonts w:asciiTheme="minorHAnsi" w:hAnsiTheme="minorHAnsi" w:cstheme="minorHAnsi"/>
                <w:color w:val="auto"/>
                <w:sz w:val="16"/>
                <w:szCs w:val="16"/>
              </w:rPr>
              <w:t>e</w:t>
            </w:r>
            <w:r>
              <w:rPr>
                <w:rFonts w:asciiTheme="minorHAnsi" w:hAnsiTheme="minorHAnsi" w:cstheme="minorHAnsi"/>
                <w:color w:val="auto"/>
                <w:sz w:val="16"/>
                <w:szCs w:val="16"/>
              </w:rPr>
              <w:noBreakHyphen/>
              <w:t>cig</w:t>
            </w:r>
            <w:r w:rsidRPr="000F6DEF">
              <w:rPr>
                <w:rFonts w:asciiTheme="minorHAnsi" w:hAnsiTheme="minorHAnsi" w:cstheme="minorHAnsi"/>
                <w:color w:val="auto"/>
                <w:sz w:val="16"/>
                <w:szCs w:val="16"/>
              </w:rPr>
              <w:t>arette use and associations with tobacco quit attempts.</w:t>
            </w:r>
          </w:p>
        </w:tc>
        <w:tc>
          <w:tcPr>
            <w:tcW w:w="1417" w:type="dxa"/>
            <w:hideMark/>
          </w:tcPr>
          <w:p w14:paraId="6F561AEF"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National Youth Tobacco Surveys</w:t>
            </w:r>
          </w:p>
        </w:tc>
        <w:tc>
          <w:tcPr>
            <w:tcW w:w="1225" w:type="dxa"/>
            <w:hideMark/>
          </w:tcPr>
          <w:p w14:paraId="55543B28"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US national</w:t>
            </w:r>
          </w:p>
        </w:tc>
        <w:tc>
          <w:tcPr>
            <w:tcW w:w="1043" w:type="dxa"/>
            <w:hideMark/>
          </w:tcPr>
          <w:p w14:paraId="1B6E62F2"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2011,2012, 2013 (and 2014)</w:t>
            </w:r>
          </w:p>
        </w:tc>
        <w:tc>
          <w:tcPr>
            <w:tcW w:w="2268" w:type="dxa"/>
            <w:hideMark/>
          </w:tcPr>
          <w:p w14:paraId="74D6A997"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2011 n=17,741</w:t>
            </w:r>
            <w:r w:rsidRPr="000F6DEF">
              <w:rPr>
                <w:rFonts w:asciiTheme="minorHAnsi" w:hAnsiTheme="minorHAnsi" w:cstheme="minorHAnsi"/>
                <w:color w:val="auto"/>
                <w:sz w:val="16"/>
                <w:szCs w:val="16"/>
              </w:rPr>
              <w:br/>
              <w:t>2012 n=23,194</w:t>
            </w:r>
            <w:r w:rsidRPr="000F6DEF">
              <w:rPr>
                <w:rFonts w:asciiTheme="minorHAnsi" w:hAnsiTheme="minorHAnsi" w:cstheme="minorHAnsi"/>
                <w:color w:val="auto"/>
                <w:sz w:val="16"/>
                <w:szCs w:val="16"/>
              </w:rPr>
              <w:br/>
              <w:t xml:space="preserve">2013 n=16,858 </w:t>
            </w:r>
            <w:r w:rsidRPr="000F6DEF">
              <w:rPr>
                <w:rFonts w:asciiTheme="minorHAnsi" w:hAnsiTheme="minorHAnsi" w:cstheme="minorHAnsi"/>
                <w:color w:val="auto"/>
                <w:sz w:val="16"/>
                <w:szCs w:val="16"/>
              </w:rPr>
              <w:br/>
              <w:t>2014 n=22,007</w:t>
            </w:r>
            <w:r w:rsidRPr="000F6DEF">
              <w:rPr>
                <w:rFonts w:asciiTheme="minorHAnsi" w:hAnsiTheme="minorHAnsi" w:cstheme="minorHAnsi"/>
                <w:color w:val="auto"/>
                <w:sz w:val="16"/>
                <w:szCs w:val="16"/>
              </w:rPr>
              <w:br/>
            </w:r>
            <w:r w:rsidRPr="000F6DEF">
              <w:rPr>
                <w:rFonts w:asciiTheme="minorHAnsi" w:hAnsiTheme="minorHAnsi" w:cstheme="minorHAnsi"/>
                <w:color w:val="auto"/>
                <w:sz w:val="16"/>
                <w:szCs w:val="16"/>
              </w:rPr>
              <w:br/>
              <w:t>Regression based on n=18, 971</w:t>
            </w:r>
          </w:p>
        </w:tc>
        <w:tc>
          <w:tcPr>
            <w:tcW w:w="1448" w:type="dxa"/>
            <w:hideMark/>
          </w:tcPr>
          <w:p w14:paraId="6A34F13A"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 </w:t>
            </w:r>
          </w:p>
        </w:tc>
        <w:tc>
          <w:tcPr>
            <w:tcW w:w="1279" w:type="dxa"/>
            <w:hideMark/>
          </w:tcPr>
          <w:p w14:paraId="0C172327"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 </w:t>
            </w:r>
          </w:p>
        </w:tc>
        <w:tc>
          <w:tcPr>
            <w:tcW w:w="2552" w:type="dxa"/>
            <w:hideMark/>
          </w:tcPr>
          <w:p w14:paraId="6EAC43EA" w14:textId="57BF2708"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 xml:space="preserve">Lifetime and 30-day </w:t>
            </w:r>
            <w:r>
              <w:rPr>
                <w:rFonts w:asciiTheme="minorHAnsi" w:hAnsiTheme="minorHAnsi" w:cstheme="minorHAnsi"/>
                <w:color w:val="auto"/>
                <w:sz w:val="16"/>
                <w:szCs w:val="16"/>
              </w:rPr>
              <w:t>e</w:t>
            </w:r>
            <w:r>
              <w:rPr>
                <w:rFonts w:asciiTheme="minorHAnsi" w:hAnsiTheme="minorHAnsi" w:cstheme="minorHAnsi"/>
                <w:color w:val="auto"/>
                <w:sz w:val="16"/>
                <w:szCs w:val="16"/>
              </w:rPr>
              <w:noBreakHyphen/>
              <w:t>cig</w:t>
            </w:r>
            <w:r w:rsidRPr="000F6DEF">
              <w:rPr>
                <w:rFonts w:asciiTheme="minorHAnsi" w:hAnsiTheme="minorHAnsi" w:cstheme="minorHAnsi"/>
                <w:color w:val="auto"/>
                <w:sz w:val="16"/>
                <w:szCs w:val="16"/>
              </w:rPr>
              <w:t xml:space="preserve">arette use; </w:t>
            </w:r>
            <w:r w:rsidRPr="000F6DEF">
              <w:rPr>
                <w:rFonts w:asciiTheme="minorHAnsi" w:hAnsiTheme="minorHAnsi" w:cstheme="minorHAnsi"/>
                <w:color w:val="auto"/>
                <w:sz w:val="16"/>
                <w:szCs w:val="16"/>
              </w:rPr>
              <w:br/>
              <w:t xml:space="preserve">Age of initiation </w:t>
            </w:r>
            <w:r w:rsidR="00CE05B6">
              <w:rPr>
                <w:rFonts w:asciiTheme="minorHAnsi" w:hAnsiTheme="minorHAnsi" w:cstheme="minorHAnsi"/>
                <w:color w:val="auto"/>
                <w:sz w:val="16"/>
                <w:szCs w:val="16"/>
              </w:rPr>
              <w:t>e</w:t>
            </w:r>
            <w:r w:rsidR="00CE05B6">
              <w:rPr>
                <w:rFonts w:asciiTheme="minorHAnsi" w:hAnsiTheme="minorHAnsi" w:cstheme="minorHAnsi"/>
                <w:color w:val="auto"/>
                <w:sz w:val="16"/>
                <w:szCs w:val="16"/>
              </w:rPr>
              <w:noBreakHyphen/>
              <w:t>cigarettes</w:t>
            </w:r>
            <w:r w:rsidRPr="000F6DEF">
              <w:rPr>
                <w:rFonts w:asciiTheme="minorHAnsi" w:hAnsiTheme="minorHAnsi" w:cstheme="minorHAnsi"/>
                <w:color w:val="auto"/>
                <w:sz w:val="16"/>
                <w:szCs w:val="16"/>
              </w:rPr>
              <w:br/>
            </w:r>
            <w:r w:rsidRPr="000F6DEF">
              <w:rPr>
                <w:rFonts w:cstheme="minorHAnsi"/>
                <w:color w:val="auto"/>
                <w:sz w:val="16"/>
                <w:szCs w:val="16"/>
              </w:rPr>
              <w:t>Addictivity</w:t>
            </w:r>
            <w:r w:rsidRPr="000F6DEF">
              <w:rPr>
                <w:rFonts w:asciiTheme="minorHAnsi" w:hAnsiTheme="minorHAnsi" w:cstheme="minorHAnsi"/>
                <w:color w:val="auto"/>
                <w:sz w:val="16"/>
                <w:szCs w:val="16"/>
              </w:rPr>
              <w:t xml:space="preserve"> relative to cig</w:t>
            </w:r>
            <w:r w:rsidR="00CE05B6">
              <w:rPr>
                <w:rFonts w:asciiTheme="minorHAnsi" w:hAnsiTheme="minorHAnsi" w:cstheme="minorHAnsi"/>
                <w:color w:val="auto"/>
                <w:sz w:val="16"/>
                <w:szCs w:val="16"/>
              </w:rPr>
              <w:t>arettes</w:t>
            </w:r>
            <w:r w:rsidRPr="000F6DEF">
              <w:rPr>
                <w:rFonts w:asciiTheme="minorHAnsi" w:hAnsiTheme="minorHAnsi" w:cstheme="minorHAnsi"/>
                <w:color w:val="auto"/>
                <w:sz w:val="16"/>
                <w:szCs w:val="16"/>
              </w:rPr>
              <w:br/>
              <w:t xml:space="preserve">Perceived harm of </w:t>
            </w:r>
            <w:r w:rsidR="00CE05B6">
              <w:rPr>
                <w:rFonts w:asciiTheme="minorHAnsi" w:hAnsiTheme="minorHAnsi" w:cstheme="minorHAnsi"/>
                <w:color w:val="auto"/>
                <w:sz w:val="16"/>
                <w:szCs w:val="16"/>
              </w:rPr>
              <w:t>e</w:t>
            </w:r>
            <w:r w:rsidR="00CE05B6">
              <w:rPr>
                <w:rFonts w:asciiTheme="minorHAnsi" w:hAnsiTheme="minorHAnsi" w:cstheme="minorHAnsi"/>
                <w:color w:val="auto"/>
                <w:sz w:val="16"/>
                <w:szCs w:val="16"/>
              </w:rPr>
              <w:noBreakHyphen/>
              <w:t>cigarettes</w:t>
            </w:r>
            <w:r w:rsidRPr="000F6DEF">
              <w:rPr>
                <w:rFonts w:asciiTheme="minorHAnsi" w:hAnsiTheme="minorHAnsi" w:cstheme="minorHAnsi"/>
                <w:color w:val="auto"/>
                <w:sz w:val="16"/>
                <w:szCs w:val="16"/>
              </w:rPr>
              <w:br/>
              <w:t>Cig smoking status</w:t>
            </w:r>
            <w:r w:rsidRPr="000F6DEF">
              <w:rPr>
                <w:rFonts w:asciiTheme="minorHAnsi" w:hAnsiTheme="minorHAnsi" w:cstheme="minorHAnsi"/>
                <w:color w:val="auto"/>
                <w:sz w:val="16"/>
                <w:szCs w:val="16"/>
              </w:rPr>
              <w:br/>
              <w:t>Demographics</w:t>
            </w:r>
          </w:p>
        </w:tc>
      </w:tr>
      <w:tr w:rsidR="00B85C33" w:rsidRPr="000F6DEF" w14:paraId="767B36C7" w14:textId="77777777" w:rsidTr="000376C7">
        <w:trPr>
          <w:trHeight w:val="567"/>
        </w:trPr>
        <w:tc>
          <w:tcPr>
            <w:cnfStyle w:val="001000000000" w:firstRow="0" w:lastRow="0" w:firstColumn="1" w:lastColumn="0" w:oddVBand="0" w:evenVBand="0" w:oddHBand="0" w:evenHBand="0" w:firstRowFirstColumn="0" w:firstRowLastColumn="0" w:lastRowFirstColumn="0" w:lastRowLastColumn="0"/>
            <w:tcW w:w="1326" w:type="dxa"/>
            <w:hideMark/>
          </w:tcPr>
          <w:p w14:paraId="2D10B9A4" w14:textId="77777777" w:rsidR="00B85C33" w:rsidRPr="000F6DEF" w:rsidRDefault="00B85C33" w:rsidP="000376C7">
            <w:pPr>
              <w:rPr>
                <w:rFonts w:asciiTheme="minorHAnsi" w:hAnsiTheme="minorHAnsi" w:cstheme="minorHAnsi"/>
                <w:color w:val="auto"/>
                <w:sz w:val="16"/>
                <w:szCs w:val="16"/>
              </w:rPr>
            </w:pPr>
            <w:r w:rsidRPr="000F6DEF">
              <w:rPr>
                <w:rFonts w:asciiTheme="minorHAnsi" w:hAnsiTheme="minorHAnsi" w:cstheme="minorHAnsi"/>
                <w:color w:val="auto"/>
                <w:sz w:val="16"/>
                <w:szCs w:val="16"/>
              </w:rPr>
              <w:t>Tsai J, Walton K et al 2018</w:t>
            </w:r>
          </w:p>
        </w:tc>
        <w:tc>
          <w:tcPr>
            <w:tcW w:w="2497" w:type="dxa"/>
            <w:hideMark/>
          </w:tcPr>
          <w:p w14:paraId="75AEA423" w14:textId="04AC7B6A"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Reasons for Electronic Cigarette Use Among Middle and High School Students</w:t>
            </w:r>
            <w:r w:rsidR="00CE05B6">
              <w:rPr>
                <w:rFonts w:asciiTheme="minorHAnsi" w:hAnsiTheme="minorHAnsi" w:cstheme="minorHAnsi"/>
                <w:color w:val="auto"/>
                <w:sz w:val="16"/>
                <w:szCs w:val="16"/>
              </w:rPr>
              <w:t>.</w:t>
            </w:r>
          </w:p>
        </w:tc>
        <w:tc>
          <w:tcPr>
            <w:tcW w:w="1417" w:type="dxa"/>
            <w:hideMark/>
          </w:tcPr>
          <w:p w14:paraId="47DBD191"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National Youth Tobacco Survey</w:t>
            </w:r>
          </w:p>
        </w:tc>
        <w:tc>
          <w:tcPr>
            <w:tcW w:w="1225" w:type="dxa"/>
            <w:noWrap/>
            <w:hideMark/>
          </w:tcPr>
          <w:p w14:paraId="57039572"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US national</w:t>
            </w:r>
          </w:p>
        </w:tc>
        <w:tc>
          <w:tcPr>
            <w:tcW w:w="1043" w:type="dxa"/>
            <w:hideMark/>
          </w:tcPr>
          <w:p w14:paraId="3F89143A"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2016</w:t>
            </w:r>
          </w:p>
        </w:tc>
        <w:tc>
          <w:tcPr>
            <w:tcW w:w="2268" w:type="dxa"/>
            <w:hideMark/>
          </w:tcPr>
          <w:p w14:paraId="08D9B86F"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20,675</w:t>
            </w:r>
          </w:p>
          <w:p w14:paraId="2385391E"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p>
        </w:tc>
        <w:tc>
          <w:tcPr>
            <w:tcW w:w="1448" w:type="dxa"/>
            <w:hideMark/>
          </w:tcPr>
          <w:p w14:paraId="48ECEF9E"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Cross-sectional, nationally representative sample</w:t>
            </w:r>
            <w:r w:rsidRPr="000F6DEF">
              <w:rPr>
                <w:rFonts w:cstheme="minorHAnsi"/>
                <w:color w:val="auto"/>
                <w:sz w:val="16"/>
                <w:szCs w:val="16"/>
              </w:rPr>
              <w:t xml:space="preserve"> </w:t>
            </w:r>
            <w:r w:rsidRPr="000F6DEF">
              <w:rPr>
                <w:rFonts w:asciiTheme="minorHAnsi" w:hAnsiTheme="minorHAnsi" w:cstheme="minorHAnsi"/>
                <w:color w:val="auto"/>
                <w:sz w:val="16"/>
                <w:szCs w:val="16"/>
              </w:rPr>
              <w:t>of students in grades 6-12</w:t>
            </w:r>
          </w:p>
        </w:tc>
        <w:tc>
          <w:tcPr>
            <w:tcW w:w="1279" w:type="dxa"/>
            <w:hideMark/>
          </w:tcPr>
          <w:p w14:paraId="44B15152"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School based pencil and paper questionnaire</w:t>
            </w:r>
          </w:p>
        </w:tc>
        <w:tc>
          <w:tcPr>
            <w:tcW w:w="2552" w:type="dxa"/>
            <w:hideMark/>
          </w:tcPr>
          <w:p w14:paraId="61899738"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 xml:space="preserve">Self-reported reasons for </w:t>
            </w:r>
            <w:r>
              <w:rPr>
                <w:rFonts w:asciiTheme="minorHAnsi" w:hAnsiTheme="minorHAnsi" w:cstheme="minorHAnsi"/>
                <w:color w:val="auto"/>
                <w:sz w:val="16"/>
                <w:szCs w:val="16"/>
              </w:rPr>
              <w:t>e</w:t>
            </w:r>
            <w:r>
              <w:rPr>
                <w:rFonts w:asciiTheme="minorHAnsi" w:hAnsiTheme="minorHAnsi" w:cstheme="minorHAnsi"/>
                <w:color w:val="auto"/>
                <w:sz w:val="16"/>
                <w:szCs w:val="16"/>
              </w:rPr>
              <w:noBreakHyphen/>
              <w:t>cig</w:t>
            </w:r>
            <w:r w:rsidRPr="000F6DEF">
              <w:rPr>
                <w:rFonts w:asciiTheme="minorHAnsi" w:hAnsiTheme="minorHAnsi" w:cstheme="minorHAnsi"/>
                <w:color w:val="auto"/>
                <w:sz w:val="16"/>
                <w:szCs w:val="16"/>
              </w:rPr>
              <w:t>arette use</w:t>
            </w:r>
          </w:p>
        </w:tc>
      </w:tr>
      <w:tr w:rsidR="00B85C33" w:rsidRPr="000F6DEF" w14:paraId="3A972443" w14:textId="77777777" w:rsidTr="000376C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26" w:type="dxa"/>
            <w:hideMark/>
          </w:tcPr>
          <w:p w14:paraId="6FF15EA9" w14:textId="77777777" w:rsidR="00B85C33" w:rsidRPr="000F6DEF" w:rsidRDefault="00B85C33" w:rsidP="000376C7">
            <w:pPr>
              <w:rPr>
                <w:rFonts w:asciiTheme="minorHAnsi" w:hAnsiTheme="minorHAnsi" w:cstheme="minorHAnsi"/>
                <w:color w:val="auto"/>
                <w:sz w:val="16"/>
                <w:szCs w:val="16"/>
              </w:rPr>
            </w:pPr>
            <w:r w:rsidRPr="000F6DEF">
              <w:rPr>
                <w:rFonts w:asciiTheme="minorHAnsi" w:hAnsiTheme="minorHAnsi" w:cstheme="minorHAnsi"/>
                <w:color w:val="auto"/>
                <w:sz w:val="16"/>
                <w:szCs w:val="16"/>
              </w:rPr>
              <w:t>Chaffee, Watkins, Glantz 2018</w:t>
            </w:r>
          </w:p>
        </w:tc>
        <w:tc>
          <w:tcPr>
            <w:tcW w:w="2497" w:type="dxa"/>
            <w:hideMark/>
          </w:tcPr>
          <w:p w14:paraId="19C968AA"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 xml:space="preserve">We evaluated associations between </w:t>
            </w:r>
            <w:r>
              <w:rPr>
                <w:rFonts w:asciiTheme="minorHAnsi" w:hAnsiTheme="minorHAnsi" w:cstheme="minorHAnsi"/>
                <w:color w:val="auto"/>
                <w:sz w:val="16"/>
                <w:szCs w:val="16"/>
              </w:rPr>
              <w:t>e</w:t>
            </w:r>
            <w:r>
              <w:rPr>
                <w:rFonts w:asciiTheme="minorHAnsi" w:hAnsiTheme="minorHAnsi" w:cstheme="minorHAnsi"/>
                <w:color w:val="auto"/>
                <w:sz w:val="16"/>
                <w:szCs w:val="16"/>
              </w:rPr>
              <w:noBreakHyphen/>
              <w:t>cig</w:t>
            </w:r>
            <w:r w:rsidRPr="000F6DEF">
              <w:rPr>
                <w:rFonts w:asciiTheme="minorHAnsi" w:hAnsiTheme="minorHAnsi" w:cstheme="minorHAnsi"/>
                <w:color w:val="auto"/>
                <w:sz w:val="16"/>
                <w:szCs w:val="16"/>
              </w:rPr>
              <w:t xml:space="preserve">arette use and progression to established smoking among adolescents who had already tried cigarettes. </w:t>
            </w:r>
          </w:p>
        </w:tc>
        <w:tc>
          <w:tcPr>
            <w:tcW w:w="1417" w:type="dxa"/>
            <w:hideMark/>
          </w:tcPr>
          <w:p w14:paraId="5EC1118E"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 xml:space="preserve">Population Assessment of Tobacco and Health survey (PATH) </w:t>
            </w:r>
          </w:p>
        </w:tc>
        <w:tc>
          <w:tcPr>
            <w:tcW w:w="1225" w:type="dxa"/>
            <w:hideMark/>
          </w:tcPr>
          <w:p w14:paraId="2FCB5F96"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US national</w:t>
            </w:r>
          </w:p>
        </w:tc>
        <w:tc>
          <w:tcPr>
            <w:tcW w:w="1043" w:type="dxa"/>
            <w:hideMark/>
          </w:tcPr>
          <w:p w14:paraId="281EBFA8"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2013-2014; 2014-2015</w:t>
            </w:r>
          </w:p>
        </w:tc>
        <w:tc>
          <w:tcPr>
            <w:tcW w:w="2268" w:type="dxa"/>
            <w:hideMark/>
          </w:tcPr>
          <w:p w14:paraId="3EAB526B"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13,651, mean age 15.5 years, 54% male</w:t>
            </w:r>
          </w:p>
        </w:tc>
        <w:tc>
          <w:tcPr>
            <w:tcW w:w="1448" w:type="dxa"/>
            <w:hideMark/>
          </w:tcPr>
          <w:p w14:paraId="4D85AA29"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 xml:space="preserve">4-stage stratified </w:t>
            </w:r>
            <w:r w:rsidRPr="000F6DEF">
              <w:rPr>
                <w:rFonts w:cstheme="minorHAnsi"/>
                <w:color w:val="auto"/>
                <w:sz w:val="16"/>
                <w:szCs w:val="16"/>
              </w:rPr>
              <w:t>probability</w:t>
            </w:r>
            <w:r w:rsidRPr="000F6DEF">
              <w:rPr>
                <w:rFonts w:asciiTheme="minorHAnsi" w:hAnsiTheme="minorHAnsi" w:cstheme="minorHAnsi"/>
                <w:color w:val="auto"/>
                <w:sz w:val="16"/>
                <w:szCs w:val="16"/>
              </w:rPr>
              <w:t xml:space="preserve"> design oversampling tobacco users. Completers got $25</w:t>
            </w:r>
          </w:p>
        </w:tc>
        <w:tc>
          <w:tcPr>
            <w:tcW w:w="1279" w:type="dxa"/>
            <w:hideMark/>
          </w:tcPr>
          <w:p w14:paraId="1BDDD830"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 xml:space="preserve">In home, in person, computer </w:t>
            </w:r>
            <w:r w:rsidRPr="000F6DEF">
              <w:rPr>
                <w:rFonts w:cstheme="minorHAnsi"/>
                <w:color w:val="auto"/>
                <w:sz w:val="16"/>
                <w:szCs w:val="16"/>
              </w:rPr>
              <w:t>assisted</w:t>
            </w:r>
          </w:p>
        </w:tc>
        <w:tc>
          <w:tcPr>
            <w:tcW w:w="2552" w:type="dxa"/>
            <w:hideMark/>
          </w:tcPr>
          <w:p w14:paraId="28BB757E" w14:textId="625F8C7D"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 xml:space="preserve">Ever use </w:t>
            </w:r>
            <w:r w:rsidR="00CE05B6">
              <w:rPr>
                <w:rFonts w:asciiTheme="minorHAnsi" w:hAnsiTheme="minorHAnsi" w:cstheme="minorHAnsi"/>
                <w:color w:val="auto"/>
                <w:sz w:val="16"/>
                <w:szCs w:val="16"/>
              </w:rPr>
              <w:t>e</w:t>
            </w:r>
            <w:r w:rsidR="00CE05B6">
              <w:rPr>
                <w:rFonts w:asciiTheme="minorHAnsi" w:hAnsiTheme="minorHAnsi" w:cstheme="minorHAnsi"/>
                <w:color w:val="auto"/>
                <w:sz w:val="16"/>
                <w:szCs w:val="16"/>
              </w:rPr>
              <w:noBreakHyphen/>
              <w:t>cigarettes</w:t>
            </w:r>
            <w:r w:rsidRPr="000F6DEF">
              <w:rPr>
                <w:rFonts w:asciiTheme="minorHAnsi" w:hAnsiTheme="minorHAnsi" w:cstheme="minorHAnsi"/>
                <w:color w:val="auto"/>
                <w:sz w:val="16"/>
                <w:szCs w:val="16"/>
              </w:rPr>
              <w:br/>
              <w:t xml:space="preserve">30-day use </w:t>
            </w:r>
            <w:r w:rsidR="00CE05B6">
              <w:rPr>
                <w:rFonts w:asciiTheme="minorHAnsi" w:hAnsiTheme="minorHAnsi" w:cstheme="minorHAnsi"/>
                <w:color w:val="auto"/>
                <w:sz w:val="16"/>
                <w:szCs w:val="16"/>
              </w:rPr>
              <w:t>e</w:t>
            </w:r>
            <w:r w:rsidR="00CE05B6">
              <w:rPr>
                <w:rFonts w:asciiTheme="minorHAnsi" w:hAnsiTheme="minorHAnsi" w:cstheme="minorHAnsi"/>
                <w:color w:val="auto"/>
                <w:sz w:val="16"/>
                <w:szCs w:val="16"/>
              </w:rPr>
              <w:noBreakHyphen/>
              <w:t>cigarettes</w:t>
            </w:r>
            <w:r w:rsidRPr="000F6DEF">
              <w:rPr>
                <w:rFonts w:asciiTheme="minorHAnsi" w:hAnsiTheme="minorHAnsi" w:cstheme="minorHAnsi"/>
                <w:color w:val="auto"/>
                <w:sz w:val="16"/>
                <w:szCs w:val="16"/>
              </w:rPr>
              <w:br/>
              <w:t>Demographics</w:t>
            </w:r>
            <w:r w:rsidRPr="000F6DEF">
              <w:rPr>
                <w:rFonts w:asciiTheme="minorHAnsi" w:hAnsiTheme="minorHAnsi" w:cstheme="minorHAnsi"/>
                <w:color w:val="auto"/>
                <w:sz w:val="16"/>
                <w:szCs w:val="16"/>
              </w:rPr>
              <w:br/>
              <w:t>Alcohol use</w:t>
            </w:r>
            <w:r w:rsidRPr="000F6DEF">
              <w:rPr>
                <w:rFonts w:asciiTheme="minorHAnsi" w:hAnsiTheme="minorHAnsi" w:cstheme="minorHAnsi"/>
                <w:color w:val="auto"/>
                <w:sz w:val="16"/>
                <w:szCs w:val="16"/>
              </w:rPr>
              <w:br/>
              <w:t>Receptivity to tobacco advertising</w:t>
            </w:r>
            <w:r w:rsidRPr="000F6DEF">
              <w:rPr>
                <w:rFonts w:asciiTheme="minorHAnsi" w:hAnsiTheme="minorHAnsi" w:cstheme="minorHAnsi"/>
                <w:color w:val="auto"/>
                <w:sz w:val="16"/>
                <w:szCs w:val="16"/>
              </w:rPr>
              <w:br/>
              <w:t>Sensation seeking</w:t>
            </w:r>
            <w:r w:rsidRPr="000F6DEF">
              <w:rPr>
                <w:rFonts w:asciiTheme="minorHAnsi" w:hAnsiTheme="minorHAnsi" w:cstheme="minorHAnsi"/>
                <w:color w:val="auto"/>
                <w:sz w:val="16"/>
                <w:szCs w:val="16"/>
              </w:rPr>
              <w:br/>
            </w:r>
            <w:r w:rsidRPr="000F6DEF">
              <w:rPr>
                <w:rFonts w:asciiTheme="minorHAnsi" w:hAnsiTheme="minorHAnsi" w:cstheme="minorHAnsi"/>
                <w:color w:val="auto"/>
                <w:sz w:val="16"/>
                <w:szCs w:val="16"/>
              </w:rPr>
              <w:lastRenderedPageBreak/>
              <w:t xml:space="preserve">Cig label </w:t>
            </w:r>
            <w:r w:rsidRPr="000F6DEF">
              <w:rPr>
                <w:rFonts w:cstheme="minorHAnsi"/>
                <w:color w:val="auto"/>
                <w:sz w:val="16"/>
                <w:szCs w:val="16"/>
              </w:rPr>
              <w:t>exposure</w:t>
            </w:r>
            <w:r w:rsidRPr="000F6DEF">
              <w:rPr>
                <w:rFonts w:asciiTheme="minorHAnsi" w:hAnsiTheme="minorHAnsi" w:cstheme="minorHAnsi"/>
                <w:color w:val="auto"/>
                <w:sz w:val="16"/>
                <w:szCs w:val="16"/>
              </w:rPr>
              <w:br/>
              <w:t>Ever use other tobacco products</w:t>
            </w:r>
          </w:p>
        </w:tc>
      </w:tr>
      <w:tr w:rsidR="00B85C33" w:rsidRPr="000F6DEF" w14:paraId="05714DAD" w14:textId="77777777" w:rsidTr="000376C7">
        <w:trPr>
          <w:trHeight w:val="567"/>
        </w:trPr>
        <w:tc>
          <w:tcPr>
            <w:cnfStyle w:val="001000000000" w:firstRow="0" w:lastRow="0" w:firstColumn="1" w:lastColumn="0" w:oddVBand="0" w:evenVBand="0" w:oddHBand="0" w:evenHBand="0" w:firstRowFirstColumn="0" w:firstRowLastColumn="0" w:lastRowFirstColumn="0" w:lastRowLastColumn="0"/>
            <w:tcW w:w="1326" w:type="dxa"/>
          </w:tcPr>
          <w:p w14:paraId="5356EEBD" w14:textId="77777777" w:rsidR="00B85C33" w:rsidRPr="000F6DEF" w:rsidRDefault="00B85C33" w:rsidP="000376C7">
            <w:pPr>
              <w:rPr>
                <w:rFonts w:asciiTheme="minorHAnsi" w:hAnsiTheme="minorHAnsi" w:cstheme="minorHAnsi"/>
                <w:color w:val="auto"/>
                <w:sz w:val="16"/>
                <w:szCs w:val="16"/>
              </w:rPr>
            </w:pPr>
            <w:r w:rsidRPr="000F6DEF">
              <w:rPr>
                <w:rFonts w:asciiTheme="minorHAnsi" w:hAnsiTheme="minorHAnsi" w:cstheme="minorHAnsi"/>
                <w:color w:val="auto"/>
                <w:sz w:val="16"/>
                <w:szCs w:val="16"/>
              </w:rPr>
              <w:lastRenderedPageBreak/>
              <w:t>Coleman, Rostron et al 2018</w:t>
            </w:r>
          </w:p>
        </w:tc>
        <w:tc>
          <w:tcPr>
            <w:tcW w:w="2497" w:type="dxa"/>
          </w:tcPr>
          <w:p w14:paraId="49119EAD" w14:textId="7DC2D5EB" w:rsidR="00B85C33" w:rsidRPr="000F6DEF" w:rsidRDefault="00B85C33" w:rsidP="000376C7">
            <w:pPr>
              <w:spacing w:after="0"/>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0F6DEF">
              <w:rPr>
                <w:sz w:val="16"/>
                <w:szCs w:val="16"/>
              </w:rPr>
              <w:t xml:space="preserve">Transitions in </w:t>
            </w:r>
            <w:r>
              <w:rPr>
                <w:sz w:val="16"/>
                <w:szCs w:val="16"/>
              </w:rPr>
              <w:t>e</w:t>
            </w:r>
            <w:r>
              <w:rPr>
                <w:sz w:val="16"/>
                <w:szCs w:val="16"/>
              </w:rPr>
              <w:noBreakHyphen/>
              <w:t>cig</w:t>
            </w:r>
            <w:r w:rsidRPr="000F6DEF">
              <w:rPr>
                <w:sz w:val="16"/>
                <w:szCs w:val="16"/>
              </w:rPr>
              <w:t>arette use among adult</w:t>
            </w:r>
            <w:r w:rsidR="00CE05B6">
              <w:rPr>
                <w:sz w:val="16"/>
                <w:szCs w:val="16"/>
              </w:rPr>
              <w:t>s.</w:t>
            </w:r>
          </w:p>
          <w:p w14:paraId="440140C4"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p>
        </w:tc>
        <w:tc>
          <w:tcPr>
            <w:tcW w:w="1417" w:type="dxa"/>
          </w:tcPr>
          <w:p w14:paraId="7F1E8AF2" w14:textId="77777777" w:rsidR="00B85C33" w:rsidRPr="000F6DEF" w:rsidRDefault="00B85C33" w:rsidP="000376C7">
            <w:pPr>
              <w:spacing w:after="0"/>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0F6DEF">
              <w:rPr>
                <w:sz w:val="16"/>
                <w:szCs w:val="16"/>
              </w:rPr>
              <w:t>Population Assessment of Tobacco and Health (PATH)</w:t>
            </w:r>
          </w:p>
          <w:p w14:paraId="51C56DC2"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p>
        </w:tc>
        <w:tc>
          <w:tcPr>
            <w:tcW w:w="1225" w:type="dxa"/>
          </w:tcPr>
          <w:p w14:paraId="1E109175" w14:textId="77777777" w:rsidR="00B85C33" w:rsidRPr="000F6DEF" w:rsidRDefault="00B85C33" w:rsidP="000376C7">
            <w:pPr>
              <w:spacing w:after="0"/>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0F6DEF">
              <w:rPr>
                <w:sz w:val="16"/>
                <w:szCs w:val="16"/>
              </w:rPr>
              <w:t>US national</w:t>
            </w:r>
          </w:p>
          <w:p w14:paraId="7CA8F125"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p>
        </w:tc>
        <w:tc>
          <w:tcPr>
            <w:tcW w:w="1043" w:type="dxa"/>
          </w:tcPr>
          <w:p w14:paraId="783808C1"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2013-2015</w:t>
            </w:r>
          </w:p>
          <w:p w14:paraId="18B4DF1C"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(Wave 1 and 2)</w:t>
            </w:r>
          </w:p>
        </w:tc>
        <w:tc>
          <w:tcPr>
            <w:tcW w:w="2268" w:type="dxa"/>
          </w:tcPr>
          <w:p w14:paraId="6DDFE68C" w14:textId="6F47056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32</w:t>
            </w:r>
            <w:r w:rsidR="00FB01C7">
              <w:rPr>
                <w:rFonts w:asciiTheme="minorHAnsi" w:hAnsiTheme="minorHAnsi" w:cstheme="minorHAnsi"/>
                <w:color w:val="auto"/>
                <w:sz w:val="16"/>
                <w:szCs w:val="16"/>
              </w:rPr>
              <w:t>,</w:t>
            </w:r>
            <w:r w:rsidRPr="000F6DEF">
              <w:rPr>
                <w:rFonts w:asciiTheme="minorHAnsi" w:hAnsiTheme="minorHAnsi" w:cstheme="minorHAnsi"/>
                <w:color w:val="auto"/>
                <w:sz w:val="16"/>
                <w:szCs w:val="16"/>
              </w:rPr>
              <w:t>320 in Wave 1 and 28362 in Wave 2, 49% males</w:t>
            </w:r>
          </w:p>
        </w:tc>
        <w:tc>
          <w:tcPr>
            <w:tcW w:w="1448" w:type="dxa"/>
          </w:tcPr>
          <w:p w14:paraId="419C7D99"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Stratified address-based, area-probability sampling design that oversampled adult tobacco users, young adults and African American adults</w:t>
            </w:r>
          </w:p>
        </w:tc>
        <w:tc>
          <w:tcPr>
            <w:tcW w:w="1279" w:type="dxa"/>
          </w:tcPr>
          <w:p w14:paraId="2B8B306C"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Interviews</w:t>
            </w:r>
          </w:p>
        </w:tc>
        <w:tc>
          <w:tcPr>
            <w:tcW w:w="2552" w:type="dxa"/>
          </w:tcPr>
          <w:p w14:paraId="15CD70E9"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 xml:space="preserve">Demographics; </w:t>
            </w:r>
            <w:r>
              <w:rPr>
                <w:rFonts w:asciiTheme="minorHAnsi" w:hAnsiTheme="minorHAnsi" w:cstheme="minorHAnsi"/>
                <w:color w:val="auto"/>
                <w:sz w:val="16"/>
                <w:szCs w:val="16"/>
              </w:rPr>
              <w:t>e</w:t>
            </w:r>
            <w:r>
              <w:rPr>
                <w:rFonts w:asciiTheme="minorHAnsi" w:hAnsiTheme="minorHAnsi" w:cstheme="minorHAnsi"/>
                <w:color w:val="auto"/>
                <w:sz w:val="16"/>
                <w:szCs w:val="16"/>
              </w:rPr>
              <w:noBreakHyphen/>
              <w:t>cig</w:t>
            </w:r>
            <w:r w:rsidRPr="000F6DEF">
              <w:rPr>
                <w:rFonts w:asciiTheme="minorHAnsi" w:hAnsiTheme="minorHAnsi" w:cstheme="minorHAnsi"/>
                <w:color w:val="auto"/>
                <w:sz w:val="16"/>
                <w:szCs w:val="16"/>
              </w:rPr>
              <w:t>arette use;</w:t>
            </w:r>
          </w:p>
        </w:tc>
      </w:tr>
      <w:tr w:rsidR="00B85C33" w:rsidRPr="000F6DEF" w14:paraId="32F19803" w14:textId="77777777" w:rsidTr="000376C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26" w:type="dxa"/>
          </w:tcPr>
          <w:p w14:paraId="66BD8DB5" w14:textId="77777777" w:rsidR="00B85C33" w:rsidRPr="000F6DEF" w:rsidRDefault="00B85C33" w:rsidP="000376C7">
            <w:pPr>
              <w:rPr>
                <w:rFonts w:asciiTheme="minorHAnsi" w:hAnsiTheme="minorHAnsi" w:cstheme="minorHAnsi"/>
                <w:color w:val="auto"/>
                <w:sz w:val="16"/>
                <w:szCs w:val="16"/>
              </w:rPr>
            </w:pPr>
            <w:r w:rsidRPr="000F6DEF">
              <w:rPr>
                <w:rFonts w:asciiTheme="minorHAnsi" w:hAnsiTheme="minorHAnsi" w:cstheme="minorHAnsi"/>
                <w:color w:val="auto"/>
                <w:sz w:val="16"/>
                <w:szCs w:val="16"/>
              </w:rPr>
              <w:t>Kwon, Seo et al 2018</w:t>
            </w:r>
          </w:p>
        </w:tc>
        <w:tc>
          <w:tcPr>
            <w:tcW w:w="2497" w:type="dxa"/>
          </w:tcPr>
          <w:p w14:paraId="10F24ADF" w14:textId="0B57A344"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 xml:space="preserve">Predictors of </w:t>
            </w:r>
            <w:r>
              <w:rPr>
                <w:rFonts w:asciiTheme="minorHAnsi" w:hAnsiTheme="minorHAnsi" w:cstheme="minorHAnsi"/>
                <w:color w:val="auto"/>
                <w:sz w:val="16"/>
                <w:szCs w:val="16"/>
              </w:rPr>
              <w:t>e</w:t>
            </w:r>
            <w:r>
              <w:rPr>
                <w:rFonts w:asciiTheme="minorHAnsi" w:hAnsiTheme="minorHAnsi" w:cstheme="minorHAnsi"/>
                <w:color w:val="auto"/>
                <w:sz w:val="16"/>
                <w:szCs w:val="16"/>
              </w:rPr>
              <w:noBreakHyphen/>
              <w:t>cig</w:t>
            </w:r>
            <w:r w:rsidRPr="000F6DEF">
              <w:rPr>
                <w:rFonts w:asciiTheme="minorHAnsi" w:hAnsiTheme="minorHAnsi" w:cstheme="minorHAnsi"/>
                <w:color w:val="auto"/>
                <w:sz w:val="16"/>
                <w:szCs w:val="16"/>
              </w:rPr>
              <w:t>arette susceptibility in youth</w:t>
            </w:r>
            <w:r w:rsidR="00CE05B6">
              <w:rPr>
                <w:rFonts w:asciiTheme="minorHAnsi" w:hAnsiTheme="minorHAnsi" w:cstheme="minorHAnsi"/>
                <w:color w:val="auto"/>
                <w:sz w:val="16"/>
                <w:szCs w:val="16"/>
              </w:rPr>
              <w:t>.</w:t>
            </w:r>
          </w:p>
        </w:tc>
        <w:tc>
          <w:tcPr>
            <w:tcW w:w="1417" w:type="dxa"/>
          </w:tcPr>
          <w:p w14:paraId="3A2F18FD" w14:textId="77777777" w:rsidR="00B85C33" w:rsidRPr="000F6DEF" w:rsidRDefault="00B85C33" w:rsidP="000376C7">
            <w:pPr>
              <w:spacing w:after="0"/>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0F6DEF">
              <w:rPr>
                <w:sz w:val="16"/>
                <w:szCs w:val="16"/>
              </w:rPr>
              <w:t>Population Assessment of Tobacco and Health (PATH)</w:t>
            </w:r>
          </w:p>
          <w:p w14:paraId="3BDE82CB"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6"/>
                <w:szCs w:val="16"/>
              </w:rPr>
            </w:pPr>
          </w:p>
        </w:tc>
        <w:tc>
          <w:tcPr>
            <w:tcW w:w="1225" w:type="dxa"/>
          </w:tcPr>
          <w:p w14:paraId="624C7A43" w14:textId="77777777" w:rsidR="00B85C33" w:rsidRPr="000F6DEF" w:rsidRDefault="00B85C33" w:rsidP="000376C7">
            <w:pPr>
              <w:spacing w:after="0"/>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0F6DEF">
              <w:rPr>
                <w:sz w:val="16"/>
                <w:szCs w:val="16"/>
              </w:rPr>
              <w:t>US national</w:t>
            </w:r>
          </w:p>
          <w:p w14:paraId="2AFB5859"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6"/>
                <w:szCs w:val="16"/>
              </w:rPr>
            </w:pPr>
          </w:p>
        </w:tc>
        <w:tc>
          <w:tcPr>
            <w:tcW w:w="1043" w:type="dxa"/>
          </w:tcPr>
          <w:p w14:paraId="0779196A"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 xml:space="preserve">2013-2014 (Wave 1) </w:t>
            </w:r>
          </w:p>
        </w:tc>
        <w:tc>
          <w:tcPr>
            <w:tcW w:w="2268" w:type="dxa"/>
          </w:tcPr>
          <w:p w14:paraId="4BD0AB22" w14:textId="4BFB9A02"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9</w:t>
            </w:r>
            <w:r w:rsidR="00FB01C7">
              <w:rPr>
                <w:rFonts w:asciiTheme="minorHAnsi" w:hAnsiTheme="minorHAnsi" w:cstheme="minorHAnsi"/>
                <w:color w:val="auto"/>
                <w:sz w:val="16"/>
                <w:szCs w:val="16"/>
              </w:rPr>
              <w:t>,</w:t>
            </w:r>
            <w:r w:rsidRPr="000F6DEF">
              <w:rPr>
                <w:rFonts w:asciiTheme="minorHAnsi" w:hAnsiTheme="minorHAnsi" w:cstheme="minorHAnsi"/>
                <w:color w:val="auto"/>
                <w:sz w:val="16"/>
                <w:szCs w:val="16"/>
              </w:rPr>
              <w:t>853, 51% male, 12-17 years</w:t>
            </w:r>
          </w:p>
        </w:tc>
        <w:tc>
          <w:tcPr>
            <w:tcW w:w="1448" w:type="dxa"/>
          </w:tcPr>
          <w:p w14:paraId="1F4216F6"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Four-stage stratified area probability sampling</w:t>
            </w:r>
          </w:p>
        </w:tc>
        <w:tc>
          <w:tcPr>
            <w:tcW w:w="1279" w:type="dxa"/>
          </w:tcPr>
          <w:p w14:paraId="4577AC84"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Computer-assisted personal interviewing</w:t>
            </w:r>
          </w:p>
        </w:tc>
        <w:tc>
          <w:tcPr>
            <w:tcW w:w="2552" w:type="dxa"/>
          </w:tcPr>
          <w:p w14:paraId="1B2212EE" w14:textId="77777777" w:rsidR="00B85C33" w:rsidRPr="000F6DEF" w:rsidRDefault="00B85C33" w:rsidP="000376C7">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 xml:space="preserve">Susceptibility to </w:t>
            </w:r>
            <w:r>
              <w:rPr>
                <w:rFonts w:asciiTheme="minorHAnsi" w:hAnsiTheme="minorHAnsi" w:cstheme="minorHAnsi"/>
                <w:color w:val="auto"/>
                <w:sz w:val="16"/>
                <w:szCs w:val="16"/>
              </w:rPr>
              <w:t>e</w:t>
            </w:r>
            <w:r>
              <w:rPr>
                <w:rFonts w:asciiTheme="minorHAnsi" w:hAnsiTheme="minorHAnsi" w:cstheme="minorHAnsi"/>
                <w:color w:val="auto"/>
                <w:sz w:val="16"/>
                <w:szCs w:val="16"/>
              </w:rPr>
              <w:noBreakHyphen/>
              <w:t>cig</w:t>
            </w:r>
            <w:r w:rsidRPr="000F6DEF">
              <w:rPr>
                <w:rFonts w:asciiTheme="minorHAnsi" w:hAnsiTheme="minorHAnsi" w:cstheme="minorHAnsi"/>
                <w:color w:val="auto"/>
                <w:sz w:val="16"/>
                <w:szCs w:val="16"/>
              </w:rPr>
              <w:t>arette use</w:t>
            </w:r>
          </w:p>
          <w:p w14:paraId="053CF92D" w14:textId="77777777" w:rsidR="00B85C33" w:rsidRPr="000F6DEF" w:rsidRDefault="00B85C33" w:rsidP="000376C7">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Demographics</w:t>
            </w:r>
          </w:p>
          <w:p w14:paraId="0F2FD61E" w14:textId="77777777" w:rsidR="00B85C33" w:rsidRPr="000F6DEF" w:rsidRDefault="00B85C33" w:rsidP="000376C7">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Substance use</w:t>
            </w:r>
          </w:p>
          <w:p w14:paraId="3935FB2A" w14:textId="77777777" w:rsidR="00B85C33" w:rsidRPr="000F6DEF" w:rsidRDefault="00B85C33" w:rsidP="000376C7">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Attitudes toward advertisments</w:t>
            </w:r>
          </w:p>
          <w:p w14:paraId="66F151EC" w14:textId="77777777" w:rsidR="00B85C33" w:rsidRPr="000F6DEF" w:rsidRDefault="00B85C33" w:rsidP="000376C7">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Perception of addictiveness/harmfulness</w:t>
            </w:r>
          </w:p>
          <w:p w14:paraId="52E0B881" w14:textId="77777777" w:rsidR="00B85C33" w:rsidRPr="000F6DEF" w:rsidRDefault="00B85C33" w:rsidP="000376C7">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Psychological and personality factors (Global Appraisal of</w:t>
            </w:r>
          </w:p>
          <w:p w14:paraId="12130AAD" w14:textId="77777777" w:rsidR="00B85C33" w:rsidRPr="000F6DEF" w:rsidRDefault="00B85C33" w:rsidP="000376C7">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Individual Needs – Short Screener (GAIN-SS))</w:t>
            </w:r>
          </w:p>
          <w:p w14:paraId="7F8D5234" w14:textId="77777777" w:rsidR="00B85C33" w:rsidRPr="000F6DEF" w:rsidRDefault="00B85C33" w:rsidP="000376C7">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Parental factors</w:t>
            </w:r>
          </w:p>
          <w:p w14:paraId="6B97A068" w14:textId="77777777" w:rsidR="00B85C33" w:rsidRPr="000F6DEF" w:rsidRDefault="00B85C33" w:rsidP="000376C7">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6"/>
                <w:szCs w:val="16"/>
              </w:rPr>
            </w:pPr>
          </w:p>
        </w:tc>
      </w:tr>
      <w:tr w:rsidR="00B85C33" w:rsidRPr="000F6DEF" w14:paraId="66D25EB5" w14:textId="77777777" w:rsidTr="000376C7">
        <w:trPr>
          <w:trHeight w:val="567"/>
        </w:trPr>
        <w:tc>
          <w:tcPr>
            <w:cnfStyle w:val="001000000000" w:firstRow="0" w:lastRow="0" w:firstColumn="1" w:lastColumn="0" w:oddVBand="0" w:evenVBand="0" w:oddHBand="0" w:evenHBand="0" w:firstRowFirstColumn="0" w:firstRowLastColumn="0" w:lastRowFirstColumn="0" w:lastRowLastColumn="0"/>
            <w:tcW w:w="1326" w:type="dxa"/>
            <w:hideMark/>
          </w:tcPr>
          <w:p w14:paraId="79618A05" w14:textId="77777777" w:rsidR="00B85C33" w:rsidRPr="000F6DEF" w:rsidRDefault="00B85C33" w:rsidP="000376C7">
            <w:pPr>
              <w:rPr>
                <w:rFonts w:asciiTheme="minorHAnsi" w:hAnsiTheme="minorHAnsi" w:cstheme="minorHAnsi"/>
                <w:color w:val="auto"/>
                <w:sz w:val="16"/>
                <w:szCs w:val="16"/>
              </w:rPr>
            </w:pPr>
            <w:r w:rsidRPr="000F6DEF">
              <w:rPr>
                <w:rFonts w:asciiTheme="minorHAnsi" w:hAnsiTheme="minorHAnsi" w:cstheme="minorHAnsi"/>
                <w:color w:val="auto"/>
                <w:sz w:val="16"/>
                <w:szCs w:val="16"/>
              </w:rPr>
              <w:t>Nicksic, Snell, Barnes 2017</w:t>
            </w:r>
          </w:p>
        </w:tc>
        <w:tc>
          <w:tcPr>
            <w:tcW w:w="2497" w:type="dxa"/>
            <w:hideMark/>
          </w:tcPr>
          <w:p w14:paraId="2DF8E757"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 xml:space="preserve">The current study not only measures </w:t>
            </w:r>
            <w:r>
              <w:rPr>
                <w:rFonts w:asciiTheme="minorHAnsi" w:hAnsiTheme="minorHAnsi" w:cstheme="minorHAnsi"/>
                <w:color w:val="auto"/>
                <w:sz w:val="16"/>
                <w:szCs w:val="16"/>
              </w:rPr>
              <w:t>e</w:t>
            </w:r>
            <w:r>
              <w:rPr>
                <w:rFonts w:asciiTheme="minorHAnsi" w:hAnsiTheme="minorHAnsi" w:cstheme="minorHAnsi"/>
                <w:color w:val="auto"/>
                <w:sz w:val="16"/>
                <w:szCs w:val="16"/>
              </w:rPr>
              <w:noBreakHyphen/>
              <w:t>cig</w:t>
            </w:r>
            <w:r w:rsidRPr="000F6DEF">
              <w:rPr>
                <w:rFonts w:asciiTheme="minorHAnsi" w:hAnsiTheme="minorHAnsi" w:cstheme="minorHAnsi"/>
                <w:color w:val="auto"/>
                <w:sz w:val="16"/>
                <w:szCs w:val="16"/>
              </w:rPr>
              <w:t xml:space="preserve">arette advertisement exposure, but also determines participants’ receptivity to </w:t>
            </w:r>
            <w:r>
              <w:rPr>
                <w:rFonts w:asciiTheme="minorHAnsi" w:hAnsiTheme="minorHAnsi" w:cstheme="minorHAnsi"/>
                <w:color w:val="auto"/>
                <w:sz w:val="16"/>
                <w:szCs w:val="16"/>
              </w:rPr>
              <w:t>e</w:t>
            </w:r>
            <w:r>
              <w:rPr>
                <w:rFonts w:asciiTheme="minorHAnsi" w:hAnsiTheme="minorHAnsi" w:cstheme="minorHAnsi"/>
                <w:color w:val="auto"/>
                <w:sz w:val="16"/>
                <w:szCs w:val="16"/>
              </w:rPr>
              <w:noBreakHyphen/>
              <w:t>cig</w:t>
            </w:r>
            <w:r w:rsidRPr="000F6DEF">
              <w:rPr>
                <w:rFonts w:asciiTheme="minorHAnsi" w:hAnsiTheme="minorHAnsi" w:cstheme="minorHAnsi"/>
                <w:color w:val="auto"/>
                <w:sz w:val="16"/>
                <w:szCs w:val="16"/>
              </w:rPr>
              <w:t xml:space="preserve">arette advertisements by randomizing exposure to common </w:t>
            </w:r>
            <w:r>
              <w:rPr>
                <w:rFonts w:asciiTheme="minorHAnsi" w:hAnsiTheme="minorHAnsi" w:cstheme="minorHAnsi"/>
                <w:color w:val="auto"/>
                <w:sz w:val="16"/>
                <w:szCs w:val="16"/>
              </w:rPr>
              <w:t>e</w:t>
            </w:r>
            <w:r>
              <w:rPr>
                <w:rFonts w:asciiTheme="minorHAnsi" w:hAnsiTheme="minorHAnsi" w:cstheme="minorHAnsi"/>
                <w:color w:val="auto"/>
                <w:sz w:val="16"/>
                <w:szCs w:val="16"/>
              </w:rPr>
              <w:noBreakHyphen/>
              <w:t>cig</w:t>
            </w:r>
            <w:r w:rsidRPr="000F6DEF">
              <w:rPr>
                <w:rFonts w:asciiTheme="minorHAnsi" w:hAnsiTheme="minorHAnsi" w:cstheme="minorHAnsi"/>
                <w:color w:val="auto"/>
                <w:sz w:val="16"/>
                <w:szCs w:val="16"/>
              </w:rPr>
              <w:t>arette advertisements.</w:t>
            </w:r>
          </w:p>
        </w:tc>
        <w:tc>
          <w:tcPr>
            <w:tcW w:w="1417" w:type="dxa"/>
            <w:hideMark/>
          </w:tcPr>
          <w:p w14:paraId="40CFC275"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 xml:space="preserve">Population Assessment on Tobacco and Health survey (PATH) </w:t>
            </w:r>
          </w:p>
        </w:tc>
        <w:tc>
          <w:tcPr>
            <w:tcW w:w="1225" w:type="dxa"/>
            <w:hideMark/>
          </w:tcPr>
          <w:p w14:paraId="7D63D1C6"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US national</w:t>
            </w:r>
          </w:p>
        </w:tc>
        <w:tc>
          <w:tcPr>
            <w:tcW w:w="1043" w:type="dxa"/>
            <w:hideMark/>
          </w:tcPr>
          <w:p w14:paraId="79739FDF"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 xml:space="preserve">2013-2014 (Wave 1) </w:t>
            </w:r>
          </w:p>
        </w:tc>
        <w:tc>
          <w:tcPr>
            <w:tcW w:w="2268" w:type="dxa"/>
            <w:hideMark/>
          </w:tcPr>
          <w:p w14:paraId="63C93375"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13,651, 52% 15-17 years old, 52% male</w:t>
            </w:r>
          </w:p>
        </w:tc>
        <w:tc>
          <w:tcPr>
            <w:tcW w:w="1448" w:type="dxa"/>
            <w:hideMark/>
          </w:tcPr>
          <w:p w14:paraId="38C7FCAD"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Using a four-stage stratification design, mailing addresses were used to sample household participants</w:t>
            </w:r>
          </w:p>
        </w:tc>
        <w:tc>
          <w:tcPr>
            <w:tcW w:w="1279" w:type="dxa"/>
            <w:hideMark/>
          </w:tcPr>
          <w:p w14:paraId="6B354546"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NR</w:t>
            </w:r>
          </w:p>
        </w:tc>
        <w:tc>
          <w:tcPr>
            <w:tcW w:w="2552" w:type="dxa"/>
            <w:hideMark/>
          </w:tcPr>
          <w:p w14:paraId="75AF72C1"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r>
              <w:rPr>
                <w:rFonts w:asciiTheme="minorHAnsi" w:hAnsiTheme="minorHAnsi" w:cstheme="minorHAnsi"/>
                <w:color w:val="auto"/>
                <w:sz w:val="16"/>
                <w:szCs w:val="16"/>
              </w:rPr>
              <w:t>E</w:t>
            </w:r>
            <w:r>
              <w:rPr>
                <w:rFonts w:asciiTheme="minorHAnsi" w:hAnsiTheme="minorHAnsi" w:cstheme="minorHAnsi"/>
                <w:color w:val="auto"/>
                <w:sz w:val="16"/>
                <w:szCs w:val="16"/>
              </w:rPr>
              <w:noBreakHyphen/>
              <w:t>cig</w:t>
            </w:r>
            <w:r w:rsidRPr="000F6DEF">
              <w:rPr>
                <w:rFonts w:asciiTheme="minorHAnsi" w:hAnsiTheme="minorHAnsi" w:cstheme="minorHAnsi"/>
                <w:color w:val="auto"/>
                <w:sz w:val="16"/>
                <w:szCs w:val="16"/>
              </w:rPr>
              <w:t>arette use</w:t>
            </w:r>
            <w:r w:rsidRPr="000F6DEF">
              <w:rPr>
                <w:rFonts w:asciiTheme="minorHAnsi" w:hAnsiTheme="minorHAnsi" w:cstheme="minorHAnsi"/>
                <w:color w:val="auto"/>
                <w:sz w:val="16"/>
                <w:szCs w:val="16"/>
              </w:rPr>
              <w:br/>
            </w:r>
            <w:r>
              <w:rPr>
                <w:rFonts w:asciiTheme="minorHAnsi" w:hAnsiTheme="minorHAnsi" w:cstheme="minorHAnsi"/>
                <w:color w:val="auto"/>
                <w:sz w:val="16"/>
                <w:szCs w:val="16"/>
              </w:rPr>
              <w:t>E</w:t>
            </w:r>
            <w:r>
              <w:rPr>
                <w:rFonts w:asciiTheme="minorHAnsi" w:hAnsiTheme="minorHAnsi" w:cstheme="minorHAnsi"/>
                <w:color w:val="auto"/>
                <w:sz w:val="16"/>
                <w:szCs w:val="16"/>
              </w:rPr>
              <w:noBreakHyphen/>
              <w:t>cig</w:t>
            </w:r>
            <w:r w:rsidRPr="000F6DEF">
              <w:rPr>
                <w:rFonts w:asciiTheme="minorHAnsi" w:hAnsiTheme="minorHAnsi" w:cstheme="minorHAnsi"/>
                <w:color w:val="auto"/>
                <w:sz w:val="16"/>
                <w:szCs w:val="16"/>
              </w:rPr>
              <w:t xml:space="preserve">arette susceptibility </w:t>
            </w:r>
            <w:r w:rsidRPr="000F6DEF">
              <w:rPr>
                <w:rFonts w:asciiTheme="minorHAnsi" w:hAnsiTheme="minorHAnsi" w:cstheme="minorHAnsi"/>
                <w:color w:val="auto"/>
                <w:sz w:val="16"/>
                <w:szCs w:val="16"/>
              </w:rPr>
              <w:br/>
              <w:t>Cigarette use</w:t>
            </w:r>
            <w:r w:rsidRPr="000F6DEF">
              <w:rPr>
                <w:rFonts w:asciiTheme="minorHAnsi" w:hAnsiTheme="minorHAnsi" w:cstheme="minorHAnsi"/>
                <w:color w:val="auto"/>
                <w:sz w:val="16"/>
                <w:szCs w:val="16"/>
              </w:rPr>
              <w:br/>
              <w:t xml:space="preserve">Cigarette </w:t>
            </w:r>
            <w:r w:rsidRPr="000F6DEF">
              <w:rPr>
                <w:rFonts w:cstheme="minorHAnsi"/>
                <w:color w:val="auto"/>
                <w:sz w:val="16"/>
                <w:szCs w:val="16"/>
              </w:rPr>
              <w:t>susceptibility</w:t>
            </w:r>
            <w:r w:rsidRPr="000F6DEF">
              <w:rPr>
                <w:rFonts w:asciiTheme="minorHAnsi" w:hAnsiTheme="minorHAnsi" w:cstheme="minorHAnsi"/>
                <w:color w:val="auto"/>
                <w:sz w:val="16"/>
                <w:szCs w:val="16"/>
              </w:rPr>
              <w:t xml:space="preserve"> </w:t>
            </w:r>
            <w:r w:rsidRPr="000F6DEF">
              <w:rPr>
                <w:rFonts w:asciiTheme="minorHAnsi" w:hAnsiTheme="minorHAnsi" w:cstheme="minorHAnsi"/>
                <w:color w:val="auto"/>
                <w:sz w:val="16"/>
                <w:szCs w:val="16"/>
              </w:rPr>
              <w:br/>
            </w:r>
            <w:r>
              <w:rPr>
                <w:rFonts w:asciiTheme="minorHAnsi" w:hAnsiTheme="minorHAnsi" w:cstheme="minorHAnsi"/>
                <w:color w:val="auto"/>
                <w:sz w:val="16"/>
                <w:szCs w:val="16"/>
              </w:rPr>
              <w:t>E</w:t>
            </w:r>
            <w:r>
              <w:rPr>
                <w:rFonts w:asciiTheme="minorHAnsi" w:hAnsiTheme="minorHAnsi" w:cstheme="minorHAnsi"/>
                <w:color w:val="auto"/>
                <w:sz w:val="16"/>
                <w:szCs w:val="16"/>
              </w:rPr>
              <w:noBreakHyphen/>
              <w:t>cig</w:t>
            </w:r>
            <w:r w:rsidRPr="000F6DEF">
              <w:rPr>
                <w:rFonts w:asciiTheme="minorHAnsi" w:hAnsiTheme="minorHAnsi" w:cstheme="minorHAnsi"/>
                <w:color w:val="auto"/>
                <w:sz w:val="16"/>
                <w:szCs w:val="16"/>
              </w:rPr>
              <w:t>arette advertising exposure</w:t>
            </w:r>
            <w:r w:rsidRPr="000F6DEF">
              <w:rPr>
                <w:rFonts w:asciiTheme="minorHAnsi" w:hAnsiTheme="minorHAnsi" w:cstheme="minorHAnsi"/>
                <w:color w:val="auto"/>
                <w:sz w:val="16"/>
                <w:szCs w:val="16"/>
              </w:rPr>
              <w:br/>
            </w:r>
            <w:r>
              <w:rPr>
                <w:rFonts w:asciiTheme="minorHAnsi" w:hAnsiTheme="minorHAnsi" w:cstheme="minorHAnsi"/>
                <w:color w:val="auto"/>
                <w:sz w:val="16"/>
                <w:szCs w:val="16"/>
              </w:rPr>
              <w:t>E</w:t>
            </w:r>
            <w:r>
              <w:rPr>
                <w:rFonts w:asciiTheme="minorHAnsi" w:hAnsiTheme="minorHAnsi" w:cstheme="minorHAnsi"/>
                <w:color w:val="auto"/>
                <w:sz w:val="16"/>
                <w:szCs w:val="16"/>
              </w:rPr>
              <w:noBreakHyphen/>
              <w:t>cig</w:t>
            </w:r>
            <w:r w:rsidRPr="000F6DEF">
              <w:rPr>
                <w:rFonts w:asciiTheme="minorHAnsi" w:hAnsiTheme="minorHAnsi" w:cstheme="minorHAnsi"/>
                <w:color w:val="auto"/>
                <w:sz w:val="16"/>
                <w:szCs w:val="16"/>
              </w:rPr>
              <w:t>arette advertising receptivity</w:t>
            </w:r>
            <w:r w:rsidRPr="000F6DEF">
              <w:rPr>
                <w:rFonts w:asciiTheme="minorHAnsi" w:hAnsiTheme="minorHAnsi" w:cstheme="minorHAnsi"/>
                <w:color w:val="auto"/>
                <w:sz w:val="16"/>
                <w:szCs w:val="16"/>
              </w:rPr>
              <w:br/>
              <w:t>Other tobacco product use</w:t>
            </w:r>
            <w:r w:rsidRPr="000F6DEF">
              <w:rPr>
                <w:rFonts w:asciiTheme="minorHAnsi" w:hAnsiTheme="minorHAnsi" w:cstheme="minorHAnsi"/>
                <w:color w:val="auto"/>
                <w:sz w:val="16"/>
                <w:szCs w:val="16"/>
              </w:rPr>
              <w:br/>
              <w:t>Demographics</w:t>
            </w:r>
          </w:p>
        </w:tc>
      </w:tr>
      <w:tr w:rsidR="00B85C33" w:rsidRPr="000F6DEF" w14:paraId="28DAF2A1" w14:textId="77777777" w:rsidTr="000376C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26" w:type="dxa"/>
            <w:hideMark/>
          </w:tcPr>
          <w:p w14:paraId="2F8824B0" w14:textId="77777777" w:rsidR="00B85C33" w:rsidRPr="000F6DEF" w:rsidRDefault="00B85C33" w:rsidP="000376C7">
            <w:pPr>
              <w:rPr>
                <w:rFonts w:asciiTheme="minorHAnsi" w:hAnsiTheme="minorHAnsi" w:cstheme="minorHAnsi"/>
                <w:color w:val="auto"/>
                <w:sz w:val="16"/>
                <w:szCs w:val="16"/>
              </w:rPr>
            </w:pPr>
            <w:r w:rsidRPr="000F6DEF">
              <w:rPr>
                <w:rFonts w:asciiTheme="minorHAnsi" w:hAnsiTheme="minorHAnsi" w:cstheme="minorHAnsi"/>
                <w:color w:val="auto"/>
                <w:sz w:val="16"/>
                <w:szCs w:val="16"/>
              </w:rPr>
              <w:t>Demisse, Everett Jones, Clayton et al 2017</w:t>
            </w:r>
          </w:p>
        </w:tc>
        <w:tc>
          <w:tcPr>
            <w:tcW w:w="2497" w:type="dxa"/>
            <w:hideMark/>
          </w:tcPr>
          <w:p w14:paraId="14F45319" w14:textId="12C7836E"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 xml:space="preserve">To measure the prevalence and frequency of cigarette smoking and EVP (electronic vapour products) use among high school students, and associations between health-risk </w:t>
            </w:r>
            <w:r w:rsidRPr="000F6DEF">
              <w:rPr>
                <w:rFonts w:cstheme="minorHAnsi"/>
                <w:color w:val="auto"/>
                <w:sz w:val="16"/>
                <w:szCs w:val="16"/>
              </w:rPr>
              <w:t>behaviours</w:t>
            </w:r>
            <w:r w:rsidRPr="000F6DEF">
              <w:rPr>
                <w:rFonts w:asciiTheme="minorHAnsi" w:hAnsiTheme="minorHAnsi" w:cstheme="minorHAnsi"/>
                <w:color w:val="auto"/>
                <w:sz w:val="16"/>
                <w:szCs w:val="16"/>
              </w:rPr>
              <w:t xml:space="preserve"> and both cigarette smoking and EVP use</w:t>
            </w:r>
            <w:r w:rsidR="00CE05B6">
              <w:rPr>
                <w:rFonts w:asciiTheme="minorHAnsi" w:hAnsiTheme="minorHAnsi" w:cstheme="minorHAnsi"/>
                <w:color w:val="auto"/>
                <w:sz w:val="16"/>
                <w:szCs w:val="16"/>
              </w:rPr>
              <w:t>.</w:t>
            </w:r>
          </w:p>
        </w:tc>
        <w:tc>
          <w:tcPr>
            <w:tcW w:w="1417" w:type="dxa"/>
            <w:hideMark/>
          </w:tcPr>
          <w:p w14:paraId="7C24B3C8"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 xml:space="preserve">Youth Risk </w:t>
            </w:r>
            <w:r w:rsidRPr="000F6DEF">
              <w:rPr>
                <w:rFonts w:cstheme="minorHAnsi"/>
                <w:color w:val="auto"/>
                <w:sz w:val="16"/>
                <w:szCs w:val="16"/>
              </w:rPr>
              <w:t>Behaviour</w:t>
            </w:r>
            <w:r w:rsidRPr="000F6DEF">
              <w:rPr>
                <w:rFonts w:asciiTheme="minorHAnsi" w:hAnsiTheme="minorHAnsi" w:cstheme="minorHAnsi"/>
                <w:color w:val="auto"/>
                <w:sz w:val="16"/>
                <w:szCs w:val="16"/>
              </w:rPr>
              <w:t xml:space="preserve"> Survey </w:t>
            </w:r>
          </w:p>
        </w:tc>
        <w:tc>
          <w:tcPr>
            <w:tcW w:w="1225" w:type="dxa"/>
            <w:noWrap/>
            <w:hideMark/>
          </w:tcPr>
          <w:p w14:paraId="2711E75C"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US national</w:t>
            </w:r>
          </w:p>
        </w:tc>
        <w:tc>
          <w:tcPr>
            <w:tcW w:w="1043" w:type="dxa"/>
            <w:hideMark/>
          </w:tcPr>
          <w:p w14:paraId="74E576E1"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2015</w:t>
            </w:r>
          </w:p>
        </w:tc>
        <w:tc>
          <w:tcPr>
            <w:tcW w:w="2268" w:type="dxa"/>
            <w:hideMark/>
          </w:tcPr>
          <w:p w14:paraId="220E9A5D"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15,624 9-12th graders</w:t>
            </w:r>
          </w:p>
        </w:tc>
        <w:tc>
          <w:tcPr>
            <w:tcW w:w="1448" w:type="dxa"/>
            <w:noWrap/>
            <w:hideMark/>
          </w:tcPr>
          <w:p w14:paraId="2544A8BF"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NR</w:t>
            </w:r>
          </w:p>
        </w:tc>
        <w:tc>
          <w:tcPr>
            <w:tcW w:w="1279" w:type="dxa"/>
            <w:hideMark/>
          </w:tcPr>
          <w:p w14:paraId="560A5B63"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School 69%</w:t>
            </w:r>
            <w:r w:rsidRPr="000F6DEF">
              <w:rPr>
                <w:rFonts w:asciiTheme="minorHAnsi" w:hAnsiTheme="minorHAnsi" w:cstheme="minorHAnsi"/>
                <w:color w:val="auto"/>
                <w:sz w:val="16"/>
                <w:szCs w:val="16"/>
              </w:rPr>
              <w:br/>
              <w:t>Student 86%</w:t>
            </w:r>
          </w:p>
        </w:tc>
        <w:tc>
          <w:tcPr>
            <w:tcW w:w="2552" w:type="dxa"/>
            <w:hideMark/>
          </w:tcPr>
          <w:p w14:paraId="6660C10D"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Survey is self-administered and students record their responses directly on a computer-scannable questionnaire or answer sheet</w:t>
            </w:r>
          </w:p>
        </w:tc>
      </w:tr>
      <w:tr w:rsidR="00B85C33" w:rsidRPr="000F6DEF" w14:paraId="49984075" w14:textId="77777777" w:rsidTr="000376C7">
        <w:trPr>
          <w:trHeight w:val="567"/>
        </w:trPr>
        <w:tc>
          <w:tcPr>
            <w:cnfStyle w:val="001000000000" w:firstRow="0" w:lastRow="0" w:firstColumn="1" w:lastColumn="0" w:oddVBand="0" w:evenVBand="0" w:oddHBand="0" w:evenHBand="0" w:firstRowFirstColumn="0" w:firstRowLastColumn="0" w:lastRowFirstColumn="0" w:lastRowLastColumn="0"/>
            <w:tcW w:w="1326" w:type="dxa"/>
            <w:hideMark/>
          </w:tcPr>
          <w:p w14:paraId="729ADB55" w14:textId="77777777" w:rsidR="00B85C33" w:rsidRPr="000F6DEF" w:rsidRDefault="00B85C33" w:rsidP="000376C7">
            <w:pPr>
              <w:rPr>
                <w:rFonts w:asciiTheme="minorHAnsi" w:hAnsiTheme="minorHAnsi" w:cstheme="minorHAnsi"/>
                <w:color w:val="auto"/>
                <w:sz w:val="16"/>
                <w:szCs w:val="16"/>
              </w:rPr>
            </w:pPr>
            <w:r w:rsidRPr="000F6DEF">
              <w:rPr>
                <w:rFonts w:asciiTheme="minorHAnsi" w:hAnsiTheme="minorHAnsi" w:cstheme="minorHAnsi"/>
                <w:color w:val="auto"/>
                <w:sz w:val="16"/>
                <w:szCs w:val="16"/>
              </w:rPr>
              <w:t>Giovacchini, Pacek, McClernon, Que 2017</w:t>
            </w:r>
          </w:p>
        </w:tc>
        <w:tc>
          <w:tcPr>
            <w:tcW w:w="2497" w:type="dxa"/>
            <w:hideMark/>
          </w:tcPr>
          <w:p w14:paraId="39DD4BB5"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r w:rsidRPr="000F6DEF">
              <w:rPr>
                <w:rFonts w:cstheme="minorHAnsi"/>
                <w:color w:val="auto"/>
                <w:sz w:val="16"/>
                <w:szCs w:val="16"/>
              </w:rPr>
              <w:t>To</w:t>
            </w:r>
            <w:r w:rsidRPr="000F6DEF">
              <w:rPr>
                <w:rFonts w:asciiTheme="minorHAnsi" w:hAnsiTheme="minorHAnsi" w:cstheme="minorHAnsi"/>
                <w:color w:val="auto"/>
                <w:sz w:val="16"/>
                <w:szCs w:val="16"/>
              </w:rPr>
              <w:t xml:space="preserve"> describe the lifetime use and perceived risk of </w:t>
            </w:r>
            <w:r>
              <w:rPr>
                <w:rFonts w:asciiTheme="minorHAnsi" w:hAnsiTheme="minorHAnsi" w:cstheme="minorHAnsi"/>
                <w:color w:val="auto"/>
                <w:sz w:val="16"/>
                <w:szCs w:val="16"/>
              </w:rPr>
              <w:t>e</w:t>
            </w:r>
            <w:r>
              <w:rPr>
                <w:rFonts w:asciiTheme="minorHAnsi" w:hAnsiTheme="minorHAnsi" w:cstheme="minorHAnsi"/>
                <w:color w:val="auto"/>
                <w:sz w:val="16"/>
                <w:szCs w:val="16"/>
              </w:rPr>
              <w:noBreakHyphen/>
              <w:t>cig</w:t>
            </w:r>
            <w:r w:rsidRPr="000F6DEF">
              <w:rPr>
                <w:rFonts w:asciiTheme="minorHAnsi" w:hAnsiTheme="minorHAnsi" w:cstheme="minorHAnsi"/>
                <w:color w:val="auto"/>
                <w:sz w:val="16"/>
                <w:szCs w:val="16"/>
              </w:rPr>
              <w:t xml:space="preserve">arette use in the context of other risk-taking </w:t>
            </w:r>
            <w:r w:rsidRPr="000F6DEF">
              <w:rPr>
                <w:rFonts w:cstheme="minorHAnsi"/>
                <w:color w:val="auto"/>
                <w:sz w:val="16"/>
                <w:szCs w:val="16"/>
              </w:rPr>
              <w:lastRenderedPageBreak/>
              <w:t>behaviours</w:t>
            </w:r>
            <w:r w:rsidRPr="000F6DEF">
              <w:rPr>
                <w:rFonts w:asciiTheme="minorHAnsi" w:hAnsiTheme="minorHAnsi" w:cstheme="minorHAnsi"/>
                <w:color w:val="auto"/>
                <w:sz w:val="16"/>
                <w:szCs w:val="16"/>
              </w:rPr>
              <w:t xml:space="preserve"> among adolescents in North Carolina. </w:t>
            </w:r>
          </w:p>
        </w:tc>
        <w:tc>
          <w:tcPr>
            <w:tcW w:w="1417" w:type="dxa"/>
            <w:hideMark/>
          </w:tcPr>
          <w:p w14:paraId="79AE3418"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lastRenderedPageBreak/>
              <w:t xml:space="preserve">Youth Risk </w:t>
            </w:r>
            <w:r w:rsidRPr="000F6DEF">
              <w:rPr>
                <w:rFonts w:cstheme="minorHAnsi"/>
                <w:color w:val="auto"/>
                <w:sz w:val="16"/>
                <w:szCs w:val="16"/>
              </w:rPr>
              <w:t>Behaviour</w:t>
            </w:r>
            <w:r w:rsidRPr="000F6DEF">
              <w:rPr>
                <w:rFonts w:asciiTheme="minorHAnsi" w:hAnsiTheme="minorHAnsi" w:cstheme="minorHAnsi"/>
                <w:color w:val="auto"/>
                <w:sz w:val="16"/>
                <w:szCs w:val="16"/>
              </w:rPr>
              <w:t xml:space="preserve"> Survey (North Carolina)</w:t>
            </w:r>
          </w:p>
        </w:tc>
        <w:tc>
          <w:tcPr>
            <w:tcW w:w="1225" w:type="dxa"/>
            <w:hideMark/>
          </w:tcPr>
          <w:p w14:paraId="2B1178A7"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North Carolina, US</w:t>
            </w:r>
          </w:p>
        </w:tc>
        <w:tc>
          <w:tcPr>
            <w:tcW w:w="1043" w:type="dxa"/>
            <w:hideMark/>
          </w:tcPr>
          <w:p w14:paraId="584E62ED"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2015</w:t>
            </w:r>
          </w:p>
        </w:tc>
        <w:tc>
          <w:tcPr>
            <w:tcW w:w="2268" w:type="dxa"/>
            <w:hideMark/>
          </w:tcPr>
          <w:p w14:paraId="52360A25"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503 middle school, 444 high school</w:t>
            </w:r>
            <w:r w:rsidRPr="000F6DEF">
              <w:rPr>
                <w:rFonts w:asciiTheme="minorHAnsi" w:hAnsiTheme="minorHAnsi" w:cstheme="minorHAnsi"/>
                <w:color w:val="auto"/>
                <w:sz w:val="16"/>
                <w:szCs w:val="16"/>
              </w:rPr>
              <w:br/>
            </w:r>
            <w:r>
              <w:rPr>
                <w:rFonts w:asciiTheme="minorHAnsi" w:hAnsiTheme="minorHAnsi" w:cstheme="minorHAnsi"/>
                <w:color w:val="auto"/>
                <w:sz w:val="16"/>
                <w:szCs w:val="16"/>
              </w:rPr>
              <w:t>e</w:t>
            </w:r>
            <w:r>
              <w:rPr>
                <w:rFonts w:asciiTheme="minorHAnsi" w:hAnsiTheme="minorHAnsi" w:cstheme="minorHAnsi"/>
                <w:color w:val="auto"/>
                <w:sz w:val="16"/>
                <w:szCs w:val="16"/>
              </w:rPr>
              <w:noBreakHyphen/>
              <w:t>cig</w:t>
            </w:r>
            <w:r w:rsidRPr="000F6DEF">
              <w:rPr>
                <w:rFonts w:asciiTheme="minorHAnsi" w:hAnsiTheme="minorHAnsi" w:cstheme="minorHAnsi"/>
                <w:color w:val="auto"/>
                <w:sz w:val="16"/>
                <w:szCs w:val="16"/>
              </w:rPr>
              <w:t>arette use restricted to high school sample</w:t>
            </w:r>
          </w:p>
          <w:p w14:paraId="7E30046E"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lastRenderedPageBreak/>
              <w:t>Grades 6-12</w:t>
            </w:r>
          </w:p>
        </w:tc>
        <w:tc>
          <w:tcPr>
            <w:tcW w:w="1448" w:type="dxa"/>
            <w:hideMark/>
          </w:tcPr>
          <w:p w14:paraId="1326EBBF"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lastRenderedPageBreak/>
              <w:t>49.1</w:t>
            </w:r>
          </w:p>
        </w:tc>
        <w:tc>
          <w:tcPr>
            <w:tcW w:w="1279" w:type="dxa"/>
            <w:hideMark/>
          </w:tcPr>
          <w:p w14:paraId="572EB48F"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Response above 99%</w:t>
            </w:r>
          </w:p>
        </w:tc>
        <w:tc>
          <w:tcPr>
            <w:tcW w:w="2552" w:type="dxa"/>
            <w:hideMark/>
          </w:tcPr>
          <w:p w14:paraId="35D1B84D"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Self-report. Administered in test conditions</w:t>
            </w:r>
          </w:p>
        </w:tc>
      </w:tr>
    </w:tbl>
    <w:p w14:paraId="70EDA437" w14:textId="77777777" w:rsidR="00B85C33" w:rsidRDefault="00B85C33" w:rsidP="00B85C33">
      <w:pPr>
        <w:pStyle w:val="Caption"/>
      </w:pPr>
      <w:r>
        <w:rPr>
          <w:rFonts w:eastAsiaTheme="minorHAnsi"/>
          <w:b w:val="0"/>
          <w:caps/>
          <w:noProof/>
          <w:color w:val="FFFFFF"/>
          <w:spacing w:val="16"/>
          <w:szCs w:val="24"/>
          <w:lang w:eastAsia="en-US"/>
        </w:rPr>
        <w:br w:type="page"/>
      </w:r>
    </w:p>
    <w:p w14:paraId="67C1B868" w14:textId="168BC442" w:rsidR="00B85C33" w:rsidRDefault="004C6D16" w:rsidP="004C6D16">
      <w:pPr>
        <w:pStyle w:val="Caption"/>
      </w:pPr>
      <w:bookmarkStart w:id="332" w:name="_Toc517707440"/>
      <w:r>
        <w:lastRenderedPageBreak/>
        <w:t xml:space="preserve">Table </w:t>
      </w:r>
      <w:r w:rsidR="0048064B">
        <w:rPr>
          <w:noProof/>
        </w:rPr>
        <w:fldChar w:fldCharType="begin"/>
      </w:r>
      <w:r w:rsidR="0048064B">
        <w:rPr>
          <w:noProof/>
        </w:rPr>
        <w:instrText xml:space="preserve"> SEQ Table \* ARABIC </w:instrText>
      </w:r>
      <w:r w:rsidR="0048064B">
        <w:rPr>
          <w:noProof/>
        </w:rPr>
        <w:fldChar w:fldCharType="separate"/>
      </w:r>
      <w:r w:rsidR="000C06DA">
        <w:rPr>
          <w:noProof/>
        </w:rPr>
        <w:t>31</w:t>
      </w:r>
      <w:r w:rsidR="0048064B">
        <w:rPr>
          <w:noProof/>
        </w:rPr>
        <w:fldChar w:fldCharType="end"/>
      </w:r>
      <w:r w:rsidR="00B85C33">
        <w:t xml:space="preserve">: </w:t>
      </w:r>
      <w:r w:rsidR="00B85C33" w:rsidRPr="003957AC">
        <w:t>Results from studies of US national level youth</w:t>
      </w:r>
      <w:bookmarkEnd w:id="332"/>
    </w:p>
    <w:tbl>
      <w:tblPr>
        <w:tblStyle w:val="TableCSIRO"/>
        <w:tblW w:w="14913" w:type="dxa"/>
        <w:tblLayout w:type="fixed"/>
        <w:tblLook w:val="04A0" w:firstRow="1" w:lastRow="0" w:firstColumn="1" w:lastColumn="0" w:noHBand="0" w:noVBand="1"/>
      </w:tblPr>
      <w:tblGrid>
        <w:gridCol w:w="1435"/>
        <w:gridCol w:w="2044"/>
        <w:gridCol w:w="6924"/>
        <w:gridCol w:w="4510"/>
      </w:tblGrid>
      <w:tr w:rsidR="00B85C33" w:rsidRPr="000F6DEF" w14:paraId="4A51DDF1" w14:textId="77777777" w:rsidTr="000376C7">
        <w:trPr>
          <w:cnfStyle w:val="100000000000" w:firstRow="1" w:lastRow="0" w:firstColumn="0" w:lastColumn="0" w:oddVBand="0" w:evenVBand="0" w:oddHBand="0" w:evenHBand="0" w:firstRowFirstColumn="0" w:firstRowLastColumn="0" w:lastRowFirstColumn="0" w:lastRowLastColumn="0"/>
          <w:trHeight w:val="94"/>
          <w:tblHeader/>
        </w:trPr>
        <w:tc>
          <w:tcPr>
            <w:cnfStyle w:val="001000000000" w:firstRow="0" w:lastRow="0" w:firstColumn="1" w:lastColumn="0" w:oddVBand="0" w:evenVBand="0" w:oddHBand="0" w:evenHBand="0" w:firstRowFirstColumn="0" w:firstRowLastColumn="0" w:lastRowFirstColumn="0" w:lastRowLastColumn="0"/>
            <w:tcW w:w="1435" w:type="dxa"/>
            <w:hideMark/>
          </w:tcPr>
          <w:p w14:paraId="0DCC5350" w14:textId="77777777" w:rsidR="00B85C33" w:rsidRPr="000F6DEF" w:rsidRDefault="00B85C33" w:rsidP="000376C7">
            <w:pPr>
              <w:jc w:val="center"/>
              <w:rPr>
                <w:color w:val="FFFFFF" w:themeColor="background1"/>
                <w:sz w:val="16"/>
                <w:szCs w:val="16"/>
              </w:rPr>
            </w:pPr>
            <w:r w:rsidRPr="000F6DEF">
              <w:rPr>
                <w:color w:val="FFFFFF" w:themeColor="background1"/>
                <w:sz w:val="16"/>
                <w:szCs w:val="16"/>
              </w:rPr>
              <w:t>Study reference</w:t>
            </w:r>
          </w:p>
        </w:tc>
        <w:tc>
          <w:tcPr>
            <w:tcW w:w="2044" w:type="dxa"/>
            <w:hideMark/>
          </w:tcPr>
          <w:p w14:paraId="72A4DC42" w14:textId="77777777" w:rsidR="00B85C33" w:rsidRPr="000F6DEF" w:rsidRDefault="00B85C33" w:rsidP="000376C7">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0F6DEF">
              <w:rPr>
                <w:color w:val="FFFFFF" w:themeColor="background1"/>
                <w:sz w:val="16"/>
                <w:szCs w:val="16"/>
              </w:rPr>
              <w:t>Purpose</w:t>
            </w:r>
          </w:p>
        </w:tc>
        <w:tc>
          <w:tcPr>
            <w:tcW w:w="6924" w:type="dxa"/>
            <w:hideMark/>
          </w:tcPr>
          <w:p w14:paraId="39A2B2A8" w14:textId="77777777" w:rsidR="00B85C33" w:rsidRPr="000F6DEF" w:rsidRDefault="00B85C33" w:rsidP="000376C7">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0F6DEF">
              <w:rPr>
                <w:color w:val="FFFFFF" w:themeColor="background1"/>
                <w:sz w:val="16"/>
                <w:szCs w:val="16"/>
              </w:rPr>
              <w:t>Results</w:t>
            </w:r>
          </w:p>
        </w:tc>
        <w:tc>
          <w:tcPr>
            <w:tcW w:w="4510" w:type="dxa"/>
            <w:hideMark/>
          </w:tcPr>
          <w:p w14:paraId="31ACB96A" w14:textId="77777777" w:rsidR="00B85C33" w:rsidRPr="000F6DEF" w:rsidRDefault="00B85C33" w:rsidP="000376C7">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0F6DEF">
              <w:rPr>
                <w:color w:val="FFFFFF" w:themeColor="background1"/>
                <w:sz w:val="16"/>
                <w:szCs w:val="16"/>
              </w:rPr>
              <w:t>Author conclusion</w:t>
            </w:r>
          </w:p>
        </w:tc>
      </w:tr>
      <w:tr w:rsidR="00B85C33" w:rsidRPr="000F6DEF" w14:paraId="3C80EF81" w14:textId="77777777" w:rsidTr="000376C7">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435" w:type="dxa"/>
            <w:hideMark/>
          </w:tcPr>
          <w:p w14:paraId="41BC3680" w14:textId="77777777" w:rsidR="00B85C33" w:rsidRPr="000F6DEF" w:rsidRDefault="00B85C33" w:rsidP="000376C7">
            <w:pPr>
              <w:rPr>
                <w:sz w:val="16"/>
                <w:szCs w:val="16"/>
              </w:rPr>
            </w:pPr>
            <w:r w:rsidRPr="000F6DEF">
              <w:rPr>
                <w:sz w:val="16"/>
                <w:szCs w:val="16"/>
              </w:rPr>
              <w:t>Abouk, Adams 2017</w:t>
            </w:r>
          </w:p>
        </w:tc>
        <w:tc>
          <w:tcPr>
            <w:tcW w:w="2044" w:type="dxa"/>
            <w:hideMark/>
          </w:tcPr>
          <w:p w14:paraId="6C839F12" w14:textId="4711D93B"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sz w:val="16"/>
                <w:szCs w:val="16"/>
              </w:rPr>
            </w:pPr>
            <w:r w:rsidRPr="000F6DEF">
              <w:rPr>
                <w:sz w:val="16"/>
                <w:szCs w:val="16"/>
              </w:rPr>
              <w:t xml:space="preserve">Model data to test for effects of restricting youth access to </w:t>
            </w:r>
            <w:r>
              <w:rPr>
                <w:sz w:val="16"/>
                <w:szCs w:val="16"/>
              </w:rPr>
              <w:t>e</w:t>
            </w:r>
            <w:r>
              <w:rPr>
                <w:sz w:val="16"/>
                <w:szCs w:val="16"/>
              </w:rPr>
              <w:noBreakHyphen/>
              <w:t>cig</w:t>
            </w:r>
            <w:r w:rsidRPr="000F6DEF">
              <w:rPr>
                <w:sz w:val="16"/>
                <w:szCs w:val="16"/>
              </w:rPr>
              <w:t>arette on smoking traditional combustion cig</w:t>
            </w:r>
            <w:r w:rsidR="00CE05B6">
              <w:rPr>
                <w:sz w:val="16"/>
                <w:szCs w:val="16"/>
              </w:rPr>
              <w:t>arette</w:t>
            </w:r>
            <w:r w:rsidRPr="000F6DEF">
              <w:rPr>
                <w:sz w:val="16"/>
                <w:szCs w:val="16"/>
              </w:rPr>
              <w:t>s</w:t>
            </w:r>
            <w:r w:rsidR="00CE05B6">
              <w:rPr>
                <w:sz w:val="16"/>
                <w:szCs w:val="16"/>
              </w:rPr>
              <w:t>.</w:t>
            </w:r>
          </w:p>
        </w:tc>
        <w:tc>
          <w:tcPr>
            <w:tcW w:w="6924" w:type="dxa"/>
            <w:hideMark/>
          </w:tcPr>
          <w:p w14:paraId="107A55D3"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sz w:val="16"/>
                <w:szCs w:val="16"/>
              </w:rPr>
            </w:pPr>
            <w:r w:rsidRPr="000F6DEF">
              <w:rPr>
                <w:sz w:val="16"/>
                <w:szCs w:val="16"/>
              </w:rPr>
              <w:t xml:space="preserve">Modelled 15% reduction in smoking after </w:t>
            </w:r>
            <w:r>
              <w:rPr>
                <w:sz w:val="16"/>
                <w:szCs w:val="16"/>
              </w:rPr>
              <w:t>e</w:t>
            </w:r>
            <w:r>
              <w:rPr>
                <w:sz w:val="16"/>
                <w:szCs w:val="16"/>
              </w:rPr>
              <w:noBreakHyphen/>
              <w:t>cig</w:t>
            </w:r>
            <w:r w:rsidRPr="000F6DEF">
              <w:rPr>
                <w:sz w:val="16"/>
                <w:szCs w:val="16"/>
              </w:rPr>
              <w:t>arette bans</w:t>
            </w:r>
          </w:p>
        </w:tc>
        <w:tc>
          <w:tcPr>
            <w:tcW w:w="4510" w:type="dxa"/>
            <w:hideMark/>
          </w:tcPr>
          <w:p w14:paraId="403B42DD"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E</w:t>
            </w:r>
            <w:r>
              <w:rPr>
                <w:sz w:val="16"/>
                <w:szCs w:val="16"/>
              </w:rPr>
              <w:noBreakHyphen/>
              <w:t>cig</w:t>
            </w:r>
            <w:r w:rsidRPr="000F6DEF">
              <w:rPr>
                <w:sz w:val="16"/>
                <w:szCs w:val="16"/>
              </w:rPr>
              <w:t xml:space="preserve">arette and cigarettes are complementary. This evidence suggests that not only are </w:t>
            </w:r>
            <w:r>
              <w:rPr>
                <w:sz w:val="16"/>
                <w:szCs w:val="16"/>
              </w:rPr>
              <w:t>e</w:t>
            </w:r>
            <w:r>
              <w:rPr>
                <w:sz w:val="16"/>
                <w:szCs w:val="16"/>
              </w:rPr>
              <w:noBreakHyphen/>
              <w:t>cig</w:t>
            </w:r>
            <w:r w:rsidRPr="000F6DEF">
              <w:rPr>
                <w:sz w:val="16"/>
                <w:szCs w:val="16"/>
              </w:rPr>
              <w:t xml:space="preserve">arettes and smoking regular cigarettes positively related (and not substitutes) for young people, banning retail sales to minors is an effective policy tool in reducing tobacco use </w:t>
            </w:r>
          </w:p>
        </w:tc>
      </w:tr>
      <w:tr w:rsidR="00B85C33" w:rsidRPr="000F6DEF" w14:paraId="5E5076E7" w14:textId="77777777" w:rsidTr="000376C7">
        <w:trPr>
          <w:trHeight w:val="1134"/>
        </w:trPr>
        <w:tc>
          <w:tcPr>
            <w:cnfStyle w:val="001000000000" w:firstRow="0" w:lastRow="0" w:firstColumn="1" w:lastColumn="0" w:oddVBand="0" w:evenVBand="0" w:oddHBand="0" w:evenHBand="0" w:firstRowFirstColumn="0" w:firstRowLastColumn="0" w:lastRowFirstColumn="0" w:lastRowLastColumn="0"/>
            <w:tcW w:w="1435" w:type="dxa"/>
            <w:hideMark/>
          </w:tcPr>
          <w:p w14:paraId="3970EBD3" w14:textId="77777777" w:rsidR="00B85C33" w:rsidRPr="000F6DEF" w:rsidRDefault="00B85C33" w:rsidP="000376C7">
            <w:pPr>
              <w:rPr>
                <w:sz w:val="16"/>
                <w:szCs w:val="16"/>
              </w:rPr>
            </w:pPr>
            <w:r w:rsidRPr="000F6DEF">
              <w:rPr>
                <w:sz w:val="16"/>
                <w:szCs w:val="16"/>
              </w:rPr>
              <w:t>Owatomo, Maslowsky et al 2017</w:t>
            </w:r>
          </w:p>
        </w:tc>
        <w:tc>
          <w:tcPr>
            <w:tcW w:w="2044" w:type="dxa"/>
            <w:hideMark/>
          </w:tcPr>
          <w:p w14:paraId="3C13CDD4" w14:textId="77FFD1A5"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sz w:val="16"/>
                <w:szCs w:val="16"/>
              </w:rPr>
            </w:pPr>
            <w:r w:rsidRPr="000F6DEF">
              <w:rPr>
                <w:sz w:val="16"/>
                <w:szCs w:val="16"/>
              </w:rPr>
              <w:t xml:space="preserve">To examine the relationship between </w:t>
            </w:r>
            <w:r>
              <w:rPr>
                <w:sz w:val="16"/>
                <w:szCs w:val="16"/>
              </w:rPr>
              <w:t>e</w:t>
            </w:r>
            <w:r>
              <w:rPr>
                <w:sz w:val="16"/>
                <w:szCs w:val="16"/>
              </w:rPr>
              <w:noBreakHyphen/>
              <w:t>cig</w:t>
            </w:r>
            <w:r w:rsidRPr="000F6DEF">
              <w:rPr>
                <w:sz w:val="16"/>
                <w:szCs w:val="16"/>
              </w:rPr>
              <w:t>arette and marijuana use in adolescents</w:t>
            </w:r>
            <w:r w:rsidR="00CE05B6">
              <w:rPr>
                <w:sz w:val="16"/>
                <w:szCs w:val="16"/>
              </w:rPr>
              <w:t>.</w:t>
            </w:r>
          </w:p>
        </w:tc>
        <w:tc>
          <w:tcPr>
            <w:tcW w:w="6924" w:type="dxa"/>
            <w:hideMark/>
          </w:tcPr>
          <w:p w14:paraId="5ECBFF20"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sz w:val="16"/>
                <w:szCs w:val="16"/>
              </w:rPr>
            </w:pPr>
            <w:r w:rsidRPr="000F6DEF">
              <w:rPr>
                <w:sz w:val="16"/>
                <w:szCs w:val="16"/>
              </w:rPr>
              <w:t xml:space="preserve">Positive association between </w:t>
            </w:r>
            <w:r>
              <w:rPr>
                <w:sz w:val="16"/>
                <w:szCs w:val="16"/>
              </w:rPr>
              <w:t>e</w:t>
            </w:r>
            <w:r>
              <w:rPr>
                <w:sz w:val="16"/>
                <w:szCs w:val="16"/>
              </w:rPr>
              <w:noBreakHyphen/>
              <w:t>cig</w:t>
            </w:r>
            <w:r w:rsidRPr="000F6DEF">
              <w:rPr>
                <w:sz w:val="16"/>
                <w:szCs w:val="16"/>
              </w:rPr>
              <w:t xml:space="preserve">arette use and marijuana use among adolescents who have never smoked conventional cigarettes. A sizable proportion of these adolescents use marijuana (5.2%) and </w:t>
            </w:r>
            <w:r>
              <w:rPr>
                <w:sz w:val="16"/>
                <w:szCs w:val="16"/>
              </w:rPr>
              <w:t>e</w:t>
            </w:r>
            <w:r>
              <w:rPr>
                <w:sz w:val="16"/>
                <w:szCs w:val="16"/>
              </w:rPr>
              <w:noBreakHyphen/>
              <w:t>cig</w:t>
            </w:r>
            <w:r w:rsidRPr="000F6DEF">
              <w:rPr>
                <w:sz w:val="16"/>
                <w:szCs w:val="16"/>
              </w:rPr>
              <w:t xml:space="preserve">arettes (5.6%), with 24.2% of </w:t>
            </w:r>
            <w:r>
              <w:rPr>
                <w:sz w:val="16"/>
                <w:szCs w:val="16"/>
              </w:rPr>
              <w:t>e</w:t>
            </w:r>
            <w:r>
              <w:rPr>
                <w:sz w:val="16"/>
                <w:szCs w:val="16"/>
              </w:rPr>
              <w:noBreakHyphen/>
              <w:t>cig</w:t>
            </w:r>
            <w:r w:rsidRPr="000F6DEF">
              <w:rPr>
                <w:sz w:val="16"/>
                <w:szCs w:val="16"/>
              </w:rPr>
              <w:t xml:space="preserve">arette users concurrently using marijuana. Adolescents who refrain from smoking conventional cigarettes are still at risk of using either marijuana, or </w:t>
            </w:r>
            <w:r>
              <w:rPr>
                <w:sz w:val="16"/>
                <w:szCs w:val="16"/>
              </w:rPr>
              <w:t>e</w:t>
            </w:r>
            <w:r>
              <w:rPr>
                <w:sz w:val="16"/>
                <w:szCs w:val="16"/>
              </w:rPr>
              <w:noBreakHyphen/>
              <w:t>cig</w:t>
            </w:r>
            <w:r w:rsidRPr="000F6DEF">
              <w:rPr>
                <w:sz w:val="16"/>
                <w:szCs w:val="16"/>
              </w:rPr>
              <w:t xml:space="preserve">arettes, or both. Among these adolescents, those who use </w:t>
            </w:r>
            <w:r>
              <w:rPr>
                <w:sz w:val="16"/>
                <w:szCs w:val="16"/>
              </w:rPr>
              <w:t>e</w:t>
            </w:r>
            <w:r>
              <w:rPr>
                <w:sz w:val="16"/>
                <w:szCs w:val="16"/>
              </w:rPr>
              <w:noBreakHyphen/>
              <w:t>cig</w:t>
            </w:r>
            <w:r w:rsidRPr="000F6DEF">
              <w:rPr>
                <w:sz w:val="16"/>
                <w:szCs w:val="16"/>
              </w:rPr>
              <w:t xml:space="preserve">arettes are 3 times more likely (than those who do not use </w:t>
            </w:r>
            <w:r>
              <w:rPr>
                <w:sz w:val="16"/>
                <w:szCs w:val="16"/>
              </w:rPr>
              <w:t>e</w:t>
            </w:r>
            <w:r>
              <w:rPr>
                <w:sz w:val="16"/>
                <w:szCs w:val="16"/>
              </w:rPr>
              <w:noBreakHyphen/>
              <w:t>cig</w:t>
            </w:r>
            <w:r w:rsidRPr="000F6DEF">
              <w:rPr>
                <w:sz w:val="16"/>
                <w:szCs w:val="16"/>
              </w:rPr>
              <w:t>arettes) to also be marijuana users.</w:t>
            </w:r>
          </w:p>
        </w:tc>
        <w:tc>
          <w:tcPr>
            <w:tcW w:w="4510" w:type="dxa"/>
            <w:hideMark/>
          </w:tcPr>
          <w:p w14:paraId="530768E8"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sz w:val="16"/>
                <w:szCs w:val="16"/>
              </w:rPr>
            </w:pPr>
            <w:r w:rsidRPr="000F6DEF">
              <w:rPr>
                <w:sz w:val="16"/>
                <w:szCs w:val="16"/>
              </w:rPr>
              <w:t xml:space="preserve">Marijuana use was strongly associated with </w:t>
            </w:r>
            <w:r>
              <w:rPr>
                <w:sz w:val="16"/>
                <w:szCs w:val="16"/>
              </w:rPr>
              <w:t>e</w:t>
            </w:r>
            <w:r>
              <w:rPr>
                <w:sz w:val="16"/>
                <w:szCs w:val="16"/>
              </w:rPr>
              <w:noBreakHyphen/>
              <w:t>cig</w:t>
            </w:r>
            <w:r w:rsidRPr="000F6DEF">
              <w:rPr>
                <w:sz w:val="16"/>
                <w:szCs w:val="16"/>
              </w:rPr>
              <w:t xml:space="preserve">arette use, with about a quarter of </w:t>
            </w:r>
            <w:r>
              <w:rPr>
                <w:sz w:val="16"/>
                <w:szCs w:val="16"/>
              </w:rPr>
              <w:t>e</w:t>
            </w:r>
            <w:r>
              <w:rPr>
                <w:sz w:val="16"/>
                <w:szCs w:val="16"/>
              </w:rPr>
              <w:noBreakHyphen/>
              <w:t>cig</w:t>
            </w:r>
            <w:r w:rsidRPr="000F6DEF">
              <w:rPr>
                <w:sz w:val="16"/>
                <w:szCs w:val="16"/>
              </w:rPr>
              <w:t xml:space="preserve">arette users being concurrent marijuana users. Adolescent </w:t>
            </w:r>
            <w:r>
              <w:rPr>
                <w:sz w:val="16"/>
                <w:szCs w:val="16"/>
              </w:rPr>
              <w:t>e</w:t>
            </w:r>
            <w:r>
              <w:rPr>
                <w:sz w:val="16"/>
                <w:szCs w:val="16"/>
              </w:rPr>
              <w:noBreakHyphen/>
              <w:t>cig</w:t>
            </w:r>
            <w:r w:rsidRPr="000F6DEF">
              <w:rPr>
                <w:sz w:val="16"/>
                <w:szCs w:val="16"/>
              </w:rPr>
              <w:t>arette users who have never smoked conventional cigarettes are particularly more likely than non-</w:t>
            </w:r>
            <w:r>
              <w:rPr>
                <w:sz w:val="16"/>
                <w:szCs w:val="16"/>
              </w:rPr>
              <w:t>e</w:t>
            </w:r>
            <w:r>
              <w:rPr>
                <w:sz w:val="16"/>
                <w:szCs w:val="16"/>
              </w:rPr>
              <w:noBreakHyphen/>
              <w:t>cig</w:t>
            </w:r>
            <w:r w:rsidRPr="000F6DEF">
              <w:rPr>
                <w:sz w:val="16"/>
                <w:szCs w:val="16"/>
              </w:rPr>
              <w:t xml:space="preserve">arette users to be current marijuana users. High perceived availability of marijuana and high peer marijuana use were significantly associated with marijuana use among these adolescents while parental monitoring and religiosity were protective. </w:t>
            </w:r>
          </w:p>
        </w:tc>
      </w:tr>
      <w:tr w:rsidR="00B85C33" w:rsidRPr="000F6DEF" w14:paraId="5A55CED2" w14:textId="77777777" w:rsidTr="000376C7">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435" w:type="dxa"/>
            <w:hideMark/>
          </w:tcPr>
          <w:p w14:paraId="4FEE67F7" w14:textId="77777777" w:rsidR="00B85C33" w:rsidRPr="000F6DEF" w:rsidRDefault="00B85C33" w:rsidP="000376C7">
            <w:pPr>
              <w:rPr>
                <w:sz w:val="16"/>
                <w:szCs w:val="16"/>
              </w:rPr>
            </w:pPr>
            <w:r w:rsidRPr="000F6DEF">
              <w:rPr>
                <w:sz w:val="16"/>
                <w:szCs w:val="16"/>
              </w:rPr>
              <w:t>Veliz, McCabe et al 2017</w:t>
            </w:r>
          </w:p>
        </w:tc>
        <w:tc>
          <w:tcPr>
            <w:tcW w:w="2044" w:type="dxa"/>
            <w:hideMark/>
          </w:tcPr>
          <w:p w14:paraId="081745BA" w14:textId="7EFE9E18"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sz w:val="16"/>
                <w:szCs w:val="16"/>
              </w:rPr>
            </w:pPr>
            <w:r w:rsidRPr="000F6DEF">
              <w:rPr>
                <w:sz w:val="16"/>
                <w:szCs w:val="16"/>
              </w:rPr>
              <w:t xml:space="preserve">To determine whether physical activity lowers the risk of </w:t>
            </w:r>
            <w:r>
              <w:rPr>
                <w:sz w:val="16"/>
                <w:szCs w:val="16"/>
              </w:rPr>
              <w:t>e</w:t>
            </w:r>
            <w:r>
              <w:rPr>
                <w:sz w:val="16"/>
                <w:szCs w:val="16"/>
              </w:rPr>
              <w:noBreakHyphen/>
              <w:t>cig</w:t>
            </w:r>
            <w:r w:rsidRPr="000F6DEF">
              <w:rPr>
                <w:sz w:val="16"/>
                <w:szCs w:val="16"/>
              </w:rPr>
              <w:t>arette use among adolescents</w:t>
            </w:r>
            <w:r w:rsidR="00CE05B6">
              <w:rPr>
                <w:sz w:val="16"/>
                <w:szCs w:val="16"/>
              </w:rPr>
              <w:t>.</w:t>
            </w:r>
          </w:p>
        </w:tc>
        <w:tc>
          <w:tcPr>
            <w:tcW w:w="6924" w:type="dxa"/>
            <w:hideMark/>
          </w:tcPr>
          <w:p w14:paraId="7FDA9F9F"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sz w:val="16"/>
                <w:szCs w:val="16"/>
              </w:rPr>
            </w:pPr>
            <w:r w:rsidRPr="000F6DEF">
              <w:rPr>
                <w:sz w:val="16"/>
                <w:szCs w:val="16"/>
              </w:rPr>
              <w:t xml:space="preserve">Adolescents who participated in at least one competitive sport were less likely to engage in past 30-day traditional cigarette smoking (AOR=0.73, 95% CI=0.538, 0.973) and past 30-day dual use of traditional cigarettes and </w:t>
            </w:r>
            <w:r>
              <w:rPr>
                <w:sz w:val="16"/>
                <w:szCs w:val="16"/>
              </w:rPr>
              <w:t>e</w:t>
            </w:r>
            <w:r>
              <w:rPr>
                <w:sz w:val="16"/>
                <w:szCs w:val="16"/>
              </w:rPr>
              <w:noBreakHyphen/>
              <w:t>cig</w:t>
            </w:r>
            <w:r w:rsidRPr="000F6DEF">
              <w:rPr>
                <w:sz w:val="16"/>
                <w:szCs w:val="16"/>
              </w:rPr>
              <w:t xml:space="preserve">arettes (AOR=0.66, 95% CI=0.438, 0.982) when compared with their nonparticipating peers. Adolescents who participated in baseball/softball and wrestling were at greatest risk of </w:t>
            </w:r>
            <w:r>
              <w:rPr>
                <w:sz w:val="16"/>
                <w:szCs w:val="16"/>
              </w:rPr>
              <w:t>e</w:t>
            </w:r>
            <w:r>
              <w:rPr>
                <w:sz w:val="16"/>
                <w:szCs w:val="16"/>
              </w:rPr>
              <w:noBreakHyphen/>
              <w:t>cig</w:t>
            </w:r>
            <w:r w:rsidRPr="000F6DEF">
              <w:rPr>
                <w:sz w:val="16"/>
                <w:szCs w:val="16"/>
              </w:rPr>
              <w:t xml:space="preserve">arette use. Of the 13 assessed sports, none were found to lower the odds of </w:t>
            </w:r>
            <w:r>
              <w:rPr>
                <w:sz w:val="16"/>
                <w:szCs w:val="16"/>
              </w:rPr>
              <w:t>e</w:t>
            </w:r>
            <w:r>
              <w:rPr>
                <w:sz w:val="16"/>
                <w:szCs w:val="16"/>
              </w:rPr>
              <w:noBreakHyphen/>
              <w:t>cig</w:t>
            </w:r>
            <w:r w:rsidRPr="000F6DEF">
              <w:rPr>
                <w:sz w:val="16"/>
                <w:szCs w:val="16"/>
              </w:rPr>
              <w:t xml:space="preserve">arette use. </w:t>
            </w:r>
          </w:p>
        </w:tc>
        <w:tc>
          <w:tcPr>
            <w:tcW w:w="4510" w:type="dxa"/>
            <w:hideMark/>
          </w:tcPr>
          <w:p w14:paraId="012A99AA"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sz w:val="16"/>
                <w:szCs w:val="16"/>
              </w:rPr>
            </w:pPr>
            <w:r w:rsidRPr="000F6DEF">
              <w:rPr>
                <w:sz w:val="16"/>
                <w:szCs w:val="16"/>
              </w:rPr>
              <w:t xml:space="preserve">Some athletes are at elevated risk of </w:t>
            </w:r>
            <w:r>
              <w:rPr>
                <w:sz w:val="16"/>
                <w:szCs w:val="16"/>
              </w:rPr>
              <w:t>e</w:t>
            </w:r>
            <w:r>
              <w:rPr>
                <w:sz w:val="16"/>
                <w:szCs w:val="16"/>
              </w:rPr>
              <w:noBreakHyphen/>
              <w:t>cig</w:t>
            </w:r>
            <w:r w:rsidRPr="000F6DEF">
              <w:rPr>
                <w:sz w:val="16"/>
                <w:szCs w:val="16"/>
              </w:rPr>
              <w:t>arette use and prevention efforts targeted at these sports should be considered by school administrators (wrestling and baseball/softball)</w:t>
            </w:r>
          </w:p>
        </w:tc>
      </w:tr>
      <w:tr w:rsidR="00B85C33" w:rsidRPr="000F6DEF" w14:paraId="35E4ADDC" w14:textId="77777777" w:rsidTr="000376C7">
        <w:trPr>
          <w:trHeight w:val="1134"/>
        </w:trPr>
        <w:tc>
          <w:tcPr>
            <w:cnfStyle w:val="001000000000" w:firstRow="0" w:lastRow="0" w:firstColumn="1" w:lastColumn="0" w:oddVBand="0" w:evenVBand="0" w:oddHBand="0" w:evenHBand="0" w:firstRowFirstColumn="0" w:firstRowLastColumn="0" w:lastRowFirstColumn="0" w:lastRowLastColumn="0"/>
            <w:tcW w:w="1435" w:type="dxa"/>
            <w:hideMark/>
          </w:tcPr>
          <w:p w14:paraId="28EC33BF" w14:textId="77777777" w:rsidR="00B85C33" w:rsidRPr="000F6DEF" w:rsidRDefault="00B85C33" w:rsidP="000376C7">
            <w:pPr>
              <w:rPr>
                <w:sz w:val="16"/>
                <w:szCs w:val="16"/>
              </w:rPr>
            </w:pPr>
            <w:r w:rsidRPr="000F6DEF">
              <w:rPr>
                <w:sz w:val="16"/>
                <w:szCs w:val="16"/>
              </w:rPr>
              <w:t>Chaffee, Couch, Gansky 2017</w:t>
            </w:r>
          </w:p>
        </w:tc>
        <w:tc>
          <w:tcPr>
            <w:tcW w:w="2044" w:type="dxa"/>
            <w:hideMark/>
          </w:tcPr>
          <w:p w14:paraId="0889E315" w14:textId="013F1F35"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sz w:val="16"/>
                <w:szCs w:val="16"/>
              </w:rPr>
            </w:pPr>
            <w:r w:rsidRPr="000F6DEF">
              <w:rPr>
                <w:sz w:val="16"/>
                <w:szCs w:val="16"/>
              </w:rPr>
              <w:t>Evaluate trends from 2011-2015 in electronic cigarette (</w:t>
            </w:r>
            <w:r>
              <w:rPr>
                <w:sz w:val="16"/>
                <w:szCs w:val="16"/>
              </w:rPr>
              <w:t>e</w:t>
            </w:r>
            <w:r>
              <w:rPr>
                <w:sz w:val="16"/>
                <w:szCs w:val="16"/>
              </w:rPr>
              <w:noBreakHyphen/>
              <w:t>cig</w:t>
            </w:r>
            <w:r w:rsidRPr="000F6DEF">
              <w:rPr>
                <w:sz w:val="16"/>
                <w:szCs w:val="16"/>
              </w:rPr>
              <w:t>arette) use among U.S. adolescents, grades 6-12, including prevalence and associations with past month use of cigarettes and other tobacco products, cigarette smoking intensity, quit attempts, and quit</w:t>
            </w:r>
            <w:r w:rsidR="00CE05B6">
              <w:rPr>
                <w:sz w:val="16"/>
                <w:szCs w:val="16"/>
              </w:rPr>
              <w:t xml:space="preserve"> </w:t>
            </w:r>
            <w:r w:rsidRPr="000F6DEF">
              <w:rPr>
                <w:sz w:val="16"/>
                <w:szCs w:val="16"/>
              </w:rPr>
              <w:t xml:space="preserve">contemplation. </w:t>
            </w:r>
          </w:p>
        </w:tc>
        <w:tc>
          <w:tcPr>
            <w:tcW w:w="6924" w:type="dxa"/>
            <w:hideMark/>
          </w:tcPr>
          <w:p w14:paraId="2CD9550D"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sz w:val="16"/>
                <w:szCs w:val="16"/>
              </w:rPr>
            </w:pPr>
            <w:r w:rsidRPr="000F6DEF">
              <w:rPr>
                <w:sz w:val="16"/>
                <w:szCs w:val="16"/>
              </w:rPr>
              <w:t xml:space="preserve">Overall, </w:t>
            </w:r>
            <w:r>
              <w:rPr>
                <w:sz w:val="16"/>
                <w:szCs w:val="16"/>
              </w:rPr>
              <w:t>e</w:t>
            </w:r>
            <w:r>
              <w:rPr>
                <w:sz w:val="16"/>
                <w:szCs w:val="16"/>
              </w:rPr>
              <w:noBreakHyphen/>
              <w:t>cig</w:t>
            </w:r>
            <w:r w:rsidRPr="000F6DEF">
              <w:rPr>
                <w:sz w:val="16"/>
                <w:szCs w:val="16"/>
              </w:rPr>
              <w:t>arette ever use increased 10-fold among females (from 2.5% in 2011 to 24.8% in 2015) and nearly 7-fold among males (from 4.3% in 2011 to 29.4% in 2015)</w:t>
            </w:r>
            <w:r w:rsidRPr="000F6DEF">
              <w:rPr>
                <w:sz w:val="16"/>
                <w:szCs w:val="16"/>
              </w:rPr>
              <w:br/>
              <w:t xml:space="preserve">Ever and past month </w:t>
            </w:r>
            <w:r>
              <w:rPr>
                <w:sz w:val="16"/>
                <w:szCs w:val="16"/>
              </w:rPr>
              <w:t>e</w:t>
            </w:r>
            <w:r>
              <w:rPr>
                <w:sz w:val="16"/>
                <w:szCs w:val="16"/>
              </w:rPr>
              <w:noBreakHyphen/>
              <w:t>cig</w:t>
            </w:r>
            <w:r w:rsidRPr="000F6DEF">
              <w:rPr>
                <w:sz w:val="16"/>
                <w:szCs w:val="16"/>
              </w:rPr>
              <w:t xml:space="preserve">arette use was strongly associated with ever and past month use of cigarettes and other tobacco products. </w:t>
            </w:r>
            <w:r w:rsidRPr="000F6DEF">
              <w:rPr>
                <w:sz w:val="16"/>
                <w:szCs w:val="16"/>
              </w:rPr>
              <w:br/>
              <w:t xml:space="preserve">Expanding </w:t>
            </w:r>
            <w:r>
              <w:rPr>
                <w:sz w:val="16"/>
                <w:szCs w:val="16"/>
              </w:rPr>
              <w:t>e</w:t>
            </w:r>
            <w:r>
              <w:rPr>
                <w:sz w:val="16"/>
                <w:szCs w:val="16"/>
              </w:rPr>
              <w:noBreakHyphen/>
              <w:t>cig</w:t>
            </w:r>
            <w:r w:rsidRPr="000F6DEF">
              <w:rPr>
                <w:sz w:val="16"/>
                <w:szCs w:val="16"/>
              </w:rPr>
              <w:t xml:space="preserve">arette ever and past month use occurred simultaneously with a demonstrable shift in youth consumption of other tobacco products. Although past month combustible tobacco use declined, more U.S. middle school and high school students reported past month use of some form of tobacco and/or </w:t>
            </w:r>
            <w:r>
              <w:rPr>
                <w:sz w:val="16"/>
                <w:szCs w:val="16"/>
              </w:rPr>
              <w:t>e</w:t>
            </w:r>
            <w:r>
              <w:rPr>
                <w:sz w:val="16"/>
                <w:szCs w:val="16"/>
              </w:rPr>
              <w:noBreakHyphen/>
              <w:t>cig</w:t>
            </w:r>
            <w:r w:rsidRPr="000F6DEF">
              <w:rPr>
                <w:sz w:val="16"/>
                <w:szCs w:val="16"/>
              </w:rPr>
              <w:t>arettes in 2014–2015 than in 2011–2013.</w:t>
            </w:r>
            <w:r w:rsidRPr="000F6DEF">
              <w:rPr>
                <w:sz w:val="16"/>
                <w:szCs w:val="16"/>
              </w:rPr>
              <w:br/>
              <w:t xml:space="preserve">Although </w:t>
            </w:r>
            <w:r>
              <w:rPr>
                <w:sz w:val="16"/>
                <w:szCs w:val="16"/>
              </w:rPr>
              <w:t>e</w:t>
            </w:r>
            <w:r>
              <w:rPr>
                <w:sz w:val="16"/>
                <w:szCs w:val="16"/>
              </w:rPr>
              <w:noBreakHyphen/>
              <w:t>cig</w:t>
            </w:r>
            <w:r w:rsidRPr="000F6DEF">
              <w:rPr>
                <w:sz w:val="16"/>
                <w:szCs w:val="16"/>
              </w:rPr>
              <w:t xml:space="preserve">arette past month users were less likely to be past month multi-product users in 2014–2015 than in previous years (2011–2013), in all years and both sexes, past month </w:t>
            </w:r>
            <w:r>
              <w:rPr>
                <w:sz w:val="16"/>
                <w:szCs w:val="16"/>
              </w:rPr>
              <w:t>e</w:t>
            </w:r>
            <w:r>
              <w:rPr>
                <w:sz w:val="16"/>
                <w:szCs w:val="16"/>
              </w:rPr>
              <w:noBreakHyphen/>
              <w:t>cig</w:t>
            </w:r>
            <w:r w:rsidRPr="000F6DEF">
              <w:rPr>
                <w:sz w:val="16"/>
                <w:szCs w:val="16"/>
              </w:rPr>
              <w:t xml:space="preserve">arette users were several times more likely than past month </w:t>
            </w:r>
            <w:r>
              <w:rPr>
                <w:sz w:val="16"/>
                <w:szCs w:val="16"/>
              </w:rPr>
              <w:t>e</w:t>
            </w:r>
            <w:r>
              <w:rPr>
                <w:sz w:val="16"/>
                <w:szCs w:val="16"/>
              </w:rPr>
              <w:noBreakHyphen/>
              <w:t>cig</w:t>
            </w:r>
            <w:r w:rsidRPr="000F6DEF">
              <w:rPr>
                <w:sz w:val="16"/>
                <w:szCs w:val="16"/>
              </w:rPr>
              <w:t>arette non-users also to use one or more other tobacco product in the past month, and those who also smoked cigarettes in the past month were not more likely to have attempted or contemplated quitting.</w:t>
            </w:r>
          </w:p>
        </w:tc>
        <w:tc>
          <w:tcPr>
            <w:tcW w:w="4510" w:type="dxa"/>
            <w:hideMark/>
          </w:tcPr>
          <w:p w14:paraId="28A0A4F2"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sz w:val="16"/>
                <w:szCs w:val="16"/>
              </w:rPr>
            </w:pPr>
            <w:r w:rsidRPr="000F6DEF">
              <w:rPr>
                <w:sz w:val="16"/>
                <w:szCs w:val="16"/>
              </w:rPr>
              <w:t xml:space="preserve">Adolescent past month </w:t>
            </w:r>
            <w:r>
              <w:rPr>
                <w:sz w:val="16"/>
                <w:szCs w:val="16"/>
              </w:rPr>
              <w:t>e</w:t>
            </w:r>
            <w:r>
              <w:rPr>
                <w:sz w:val="16"/>
                <w:szCs w:val="16"/>
              </w:rPr>
              <w:noBreakHyphen/>
              <w:t>cig</w:t>
            </w:r>
            <w:r w:rsidRPr="000F6DEF">
              <w:rPr>
                <w:sz w:val="16"/>
                <w:szCs w:val="16"/>
              </w:rPr>
              <w:t xml:space="preserve">arette use is associated with past month use of other tobacco but not with cigarette quit attempts or quit contemplation among cigarette users. Over five years, the average characteristics of U.S. adolescents who use </w:t>
            </w:r>
            <w:r>
              <w:rPr>
                <w:sz w:val="16"/>
                <w:szCs w:val="16"/>
              </w:rPr>
              <w:t>e</w:t>
            </w:r>
            <w:r>
              <w:rPr>
                <w:sz w:val="16"/>
                <w:szCs w:val="16"/>
              </w:rPr>
              <w:noBreakHyphen/>
              <w:t>cig</w:t>
            </w:r>
            <w:r w:rsidRPr="000F6DEF">
              <w:rPr>
                <w:sz w:val="16"/>
                <w:szCs w:val="16"/>
              </w:rPr>
              <w:t xml:space="preserve">arettes have shifted, increasingly including more adolescents who do not use non </w:t>
            </w:r>
            <w:r>
              <w:rPr>
                <w:sz w:val="16"/>
                <w:szCs w:val="16"/>
              </w:rPr>
              <w:t>e</w:t>
            </w:r>
            <w:r>
              <w:rPr>
                <w:sz w:val="16"/>
                <w:szCs w:val="16"/>
              </w:rPr>
              <w:noBreakHyphen/>
              <w:t>cig</w:t>
            </w:r>
            <w:r w:rsidRPr="000F6DEF">
              <w:rPr>
                <w:sz w:val="16"/>
                <w:szCs w:val="16"/>
              </w:rPr>
              <w:t>arette tobacco products.</w:t>
            </w:r>
          </w:p>
        </w:tc>
      </w:tr>
      <w:tr w:rsidR="00B85C33" w:rsidRPr="000F6DEF" w14:paraId="5206A99F" w14:textId="77777777" w:rsidTr="000376C7">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435" w:type="dxa"/>
            <w:hideMark/>
          </w:tcPr>
          <w:p w14:paraId="20EE9183" w14:textId="77777777" w:rsidR="00B85C33" w:rsidRPr="000F6DEF" w:rsidRDefault="00B85C33" w:rsidP="000376C7">
            <w:pPr>
              <w:rPr>
                <w:sz w:val="16"/>
                <w:szCs w:val="16"/>
              </w:rPr>
            </w:pPr>
            <w:r w:rsidRPr="000F6DEF">
              <w:rPr>
                <w:sz w:val="16"/>
                <w:szCs w:val="16"/>
              </w:rPr>
              <w:t>Dobbs, Hammig, Henry 2017</w:t>
            </w:r>
          </w:p>
        </w:tc>
        <w:tc>
          <w:tcPr>
            <w:tcW w:w="2044" w:type="dxa"/>
            <w:hideMark/>
          </w:tcPr>
          <w:p w14:paraId="7B511817"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sz w:val="16"/>
                <w:szCs w:val="16"/>
              </w:rPr>
            </w:pPr>
            <w:r w:rsidRPr="000F6DEF">
              <w:rPr>
                <w:sz w:val="16"/>
                <w:szCs w:val="16"/>
              </w:rPr>
              <w:t xml:space="preserve">To examine the influence of perceived addiction and harm of </w:t>
            </w:r>
            <w:r>
              <w:rPr>
                <w:sz w:val="16"/>
                <w:szCs w:val="16"/>
              </w:rPr>
              <w:t>e</w:t>
            </w:r>
            <w:r>
              <w:rPr>
                <w:sz w:val="16"/>
                <w:szCs w:val="16"/>
              </w:rPr>
              <w:noBreakHyphen/>
              <w:t>cig</w:t>
            </w:r>
            <w:r w:rsidRPr="000F6DEF">
              <w:rPr>
                <w:sz w:val="16"/>
                <w:szCs w:val="16"/>
              </w:rPr>
              <w:t xml:space="preserve">arettes on </w:t>
            </w:r>
            <w:r>
              <w:rPr>
                <w:sz w:val="16"/>
                <w:szCs w:val="16"/>
              </w:rPr>
              <w:t>e</w:t>
            </w:r>
            <w:r>
              <w:rPr>
                <w:sz w:val="16"/>
                <w:szCs w:val="16"/>
              </w:rPr>
              <w:noBreakHyphen/>
              <w:t>cig</w:t>
            </w:r>
            <w:r w:rsidRPr="000F6DEF">
              <w:rPr>
                <w:sz w:val="16"/>
                <w:szCs w:val="16"/>
              </w:rPr>
              <w:t>arette use among adolescents.</w:t>
            </w:r>
          </w:p>
        </w:tc>
        <w:tc>
          <w:tcPr>
            <w:tcW w:w="6924" w:type="dxa"/>
            <w:hideMark/>
          </w:tcPr>
          <w:p w14:paraId="711631D3" w14:textId="53785FAF"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sz w:val="16"/>
                <w:szCs w:val="16"/>
              </w:rPr>
            </w:pPr>
            <w:r w:rsidRPr="000F6DEF">
              <w:rPr>
                <w:sz w:val="16"/>
                <w:szCs w:val="16"/>
              </w:rPr>
              <w:t xml:space="preserve">19.4% reported trying an </w:t>
            </w:r>
            <w:r>
              <w:rPr>
                <w:sz w:val="16"/>
                <w:szCs w:val="16"/>
              </w:rPr>
              <w:t>e</w:t>
            </w:r>
            <w:r>
              <w:rPr>
                <w:sz w:val="16"/>
                <w:szCs w:val="16"/>
              </w:rPr>
              <w:noBreakHyphen/>
              <w:t>cig</w:t>
            </w:r>
            <w:r w:rsidRPr="000F6DEF">
              <w:rPr>
                <w:sz w:val="16"/>
                <w:szCs w:val="16"/>
              </w:rPr>
              <w:t>arette</w:t>
            </w:r>
            <w:r w:rsidRPr="000F6DEF">
              <w:rPr>
                <w:sz w:val="16"/>
                <w:szCs w:val="16"/>
              </w:rPr>
              <w:br/>
              <w:t xml:space="preserve">9.2% current users </w:t>
            </w:r>
            <w:r>
              <w:rPr>
                <w:sz w:val="16"/>
                <w:szCs w:val="16"/>
              </w:rPr>
              <w:t>e</w:t>
            </w:r>
            <w:r>
              <w:rPr>
                <w:sz w:val="16"/>
                <w:szCs w:val="16"/>
              </w:rPr>
              <w:noBreakHyphen/>
              <w:t>cig</w:t>
            </w:r>
            <w:r w:rsidRPr="000F6DEF">
              <w:rPr>
                <w:sz w:val="16"/>
                <w:szCs w:val="16"/>
              </w:rPr>
              <w:t>arette</w:t>
            </w:r>
            <w:r w:rsidRPr="000F6DEF">
              <w:rPr>
                <w:sz w:val="16"/>
                <w:szCs w:val="16"/>
              </w:rPr>
              <w:br/>
              <w:t xml:space="preserve">Perceived less harm and less addictiveness is associated with lifetime use of </w:t>
            </w:r>
            <w:r>
              <w:rPr>
                <w:sz w:val="16"/>
                <w:szCs w:val="16"/>
              </w:rPr>
              <w:t>e</w:t>
            </w:r>
            <w:r>
              <w:rPr>
                <w:sz w:val="16"/>
                <w:szCs w:val="16"/>
              </w:rPr>
              <w:noBreakHyphen/>
              <w:t>cig</w:t>
            </w:r>
            <w:r w:rsidR="00FB01C7">
              <w:rPr>
                <w:sz w:val="16"/>
                <w:szCs w:val="16"/>
              </w:rPr>
              <w:t>arettes</w:t>
            </w:r>
            <w:r w:rsidRPr="000F6DEF">
              <w:rPr>
                <w:sz w:val="16"/>
                <w:szCs w:val="16"/>
              </w:rPr>
              <w:br/>
              <w:t xml:space="preserve">Strongest predictor of ever use </w:t>
            </w:r>
            <w:r>
              <w:rPr>
                <w:sz w:val="16"/>
                <w:szCs w:val="16"/>
              </w:rPr>
              <w:t>e</w:t>
            </w:r>
            <w:r>
              <w:rPr>
                <w:sz w:val="16"/>
                <w:szCs w:val="16"/>
              </w:rPr>
              <w:noBreakHyphen/>
              <w:t>cig</w:t>
            </w:r>
            <w:r w:rsidRPr="000F6DEF">
              <w:rPr>
                <w:sz w:val="16"/>
                <w:szCs w:val="16"/>
              </w:rPr>
              <w:t xml:space="preserve">arette was smoking history - more cigs, higher probability of trying </w:t>
            </w:r>
            <w:r>
              <w:rPr>
                <w:sz w:val="16"/>
                <w:szCs w:val="16"/>
              </w:rPr>
              <w:t>e</w:t>
            </w:r>
            <w:r>
              <w:rPr>
                <w:sz w:val="16"/>
                <w:szCs w:val="16"/>
              </w:rPr>
              <w:noBreakHyphen/>
              <w:t>cig</w:t>
            </w:r>
            <w:r w:rsidRPr="000F6DEF">
              <w:rPr>
                <w:sz w:val="16"/>
                <w:szCs w:val="16"/>
              </w:rPr>
              <w:t>arette.</w:t>
            </w:r>
          </w:p>
        </w:tc>
        <w:tc>
          <w:tcPr>
            <w:tcW w:w="4510" w:type="dxa"/>
            <w:hideMark/>
          </w:tcPr>
          <w:p w14:paraId="7B825513"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sz w:val="16"/>
                <w:szCs w:val="16"/>
              </w:rPr>
            </w:pPr>
            <w:r w:rsidRPr="000F6DEF">
              <w:rPr>
                <w:sz w:val="16"/>
                <w:szCs w:val="16"/>
              </w:rPr>
              <w:t xml:space="preserve">The perception that </w:t>
            </w:r>
            <w:r>
              <w:rPr>
                <w:sz w:val="16"/>
                <w:szCs w:val="16"/>
              </w:rPr>
              <w:t>e</w:t>
            </w:r>
            <w:r>
              <w:rPr>
                <w:sz w:val="16"/>
                <w:szCs w:val="16"/>
              </w:rPr>
              <w:noBreakHyphen/>
              <w:t>cig</w:t>
            </w:r>
            <w:r w:rsidRPr="000F6DEF">
              <w:rPr>
                <w:sz w:val="16"/>
                <w:szCs w:val="16"/>
              </w:rPr>
              <w:t xml:space="preserve">arettes are less addictive and harmful than their conventional counterparts may be an important risk factor for the use of </w:t>
            </w:r>
            <w:r>
              <w:rPr>
                <w:sz w:val="16"/>
                <w:szCs w:val="16"/>
              </w:rPr>
              <w:t>e</w:t>
            </w:r>
            <w:r>
              <w:rPr>
                <w:sz w:val="16"/>
                <w:szCs w:val="16"/>
              </w:rPr>
              <w:noBreakHyphen/>
              <w:t>cig</w:t>
            </w:r>
            <w:r w:rsidRPr="000F6DEF">
              <w:rPr>
                <w:sz w:val="16"/>
                <w:szCs w:val="16"/>
              </w:rPr>
              <w:t xml:space="preserve">arettes. </w:t>
            </w:r>
          </w:p>
        </w:tc>
      </w:tr>
      <w:tr w:rsidR="00B85C33" w:rsidRPr="000F6DEF" w14:paraId="665B6BF3" w14:textId="77777777" w:rsidTr="000376C7">
        <w:trPr>
          <w:trHeight w:val="1134"/>
        </w:trPr>
        <w:tc>
          <w:tcPr>
            <w:cnfStyle w:val="001000000000" w:firstRow="0" w:lastRow="0" w:firstColumn="1" w:lastColumn="0" w:oddVBand="0" w:evenVBand="0" w:oddHBand="0" w:evenHBand="0" w:firstRowFirstColumn="0" w:firstRowLastColumn="0" w:lastRowFirstColumn="0" w:lastRowLastColumn="0"/>
            <w:tcW w:w="1435" w:type="dxa"/>
            <w:hideMark/>
          </w:tcPr>
          <w:p w14:paraId="64A60C01" w14:textId="77777777" w:rsidR="00B85C33" w:rsidRPr="000F6DEF" w:rsidRDefault="00B85C33" w:rsidP="000376C7">
            <w:pPr>
              <w:rPr>
                <w:sz w:val="16"/>
                <w:szCs w:val="16"/>
              </w:rPr>
            </w:pPr>
            <w:r w:rsidRPr="000F6DEF">
              <w:rPr>
                <w:sz w:val="16"/>
                <w:szCs w:val="16"/>
              </w:rPr>
              <w:lastRenderedPageBreak/>
              <w:t>Lanza, Russell, Braymiller 2017</w:t>
            </w:r>
          </w:p>
        </w:tc>
        <w:tc>
          <w:tcPr>
            <w:tcW w:w="2044" w:type="dxa"/>
            <w:hideMark/>
          </w:tcPr>
          <w:p w14:paraId="51277AFF"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sz w:val="16"/>
                <w:szCs w:val="16"/>
              </w:rPr>
            </w:pPr>
            <w:r w:rsidRPr="000F6DEF">
              <w:rPr>
                <w:sz w:val="16"/>
                <w:szCs w:val="16"/>
              </w:rPr>
              <w:t xml:space="preserve">We examine rates of both products by age and examine differences in age-varying rates by sex and race/ethnicity. </w:t>
            </w:r>
          </w:p>
        </w:tc>
        <w:tc>
          <w:tcPr>
            <w:tcW w:w="6924" w:type="dxa"/>
            <w:hideMark/>
          </w:tcPr>
          <w:p w14:paraId="72A67368"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E</w:t>
            </w:r>
            <w:r>
              <w:rPr>
                <w:sz w:val="16"/>
                <w:szCs w:val="16"/>
              </w:rPr>
              <w:noBreakHyphen/>
              <w:t>cig</w:t>
            </w:r>
            <w:r w:rsidRPr="000F6DEF">
              <w:rPr>
                <w:sz w:val="16"/>
                <w:szCs w:val="16"/>
              </w:rPr>
              <w:t>arette use was most common among Hispanic adolescents (10.8%), followed by White (10.4%) and Black (5.0%) adolescents.</w:t>
            </w:r>
            <w:r w:rsidRPr="000F6DEF">
              <w:rPr>
                <w:sz w:val="16"/>
                <w:szCs w:val="16"/>
              </w:rPr>
              <w:br/>
              <w:t xml:space="preserve">The prevalence of </w:t>
            </w:r>
            <w:r>
              <w:rPr>
                <w:sz w:val="16"/>
                <w:szCs w:val="16"/>
              </w:rPr>
              <w:t>e</w:t>
            </w:r>
            <w:r>
              <w:rPr>
                <w:sz w:val="16"/>
                <w:szCs w:val="16"/>
              </w:rPr>
              <w:noBreakHyphen/>
              <w:t>cig</w:t>
            </w:r>
            <w:r w:rsidRPr="000F6DEF">
              <w:rPr>
                <w:sz w:val="16"/>
                <w:szCs w:val="16"/>
              </w:rPr>
              <w:t xml:space="preserve">arette use increased rapidly between ages 12 and 16 yrs, when it peaked at approximately 0.15; between ages 16 and 19 yrs the rate of </w:t>
            </w:r>
            <w:r>
              <w:rPr>
                <w:sz w:val="16"/>
                <w:szCs w:val="16"/>
              </w:rPr>
              <w:t>e</w:t>
            </w:r>
            <w:r>
              <w:rPr>
                <w:sz w:val="16"/>
                <w:szCs w:val="16"/>
              </w:rPr>
              <w:noBreakHyphen/>
              <w:t>cig</w:t>
            </w:r>
            <w:r w:rsidRPr="000F6DEF">
              <w:rPr>
                <w:sz w:val="16"/>
                <w:szCs w:val="16"/>
              </w:rPr>
              <w:t>arette use remained constant.</w:t>
            </w:r>
            <w:r w:rsidRPr="000F6DEF">
              <w:rPr>
                <w:sz w:val="16"/>
                <w:szCs w:val="16"/>
              </w:rPr>
              <w:br/>
              <w:t xml:space="preserve">Sex differences emerged at around age 14 yrs, with males using </w:t>
            </w:r>
            <w:r>
              <w:rPr>
                <w:sz w:val="16"/>
                <w:szCs w:val="16"/>
              </w:rPr>
              <w:t>e</w:t>
            </w:r>
            <w:r>
              <w:rPr>
                <w:sz w:val="16"/>
                <w:szCs w:val="16"/>
              </w:rPr>
              <w:noBreakHyphen/>
              <w:t>cig</w:t>
            </w:r>
            <w:r w:rsidRPr="000F6DEF">
              <w:rPr>
                <w:sz w:val="16"/>
                <w:szCs w:val="16"/>
              </w:rPr>
              <w:t xml:space="preserve">arettes at a higher rate than females; this difference was only present between ages 14 and 17.5. Among older adolescents, the rate of </w:t>
            </w:r>
            <w:r>
              <w:rPr>
                <w:sz w:val="16"/>
                <w:szCs w:val="16"/>
              </w:rPr>
              <w:t>e</w:t>
            </w:r>
            <w:r>
              <w:rPr>
                <w:sz w:val="16"/>
                <w:szCs w:val="16"/>
              </w:rPr>
              <w:noBreakHyphen/>
              <w:t>cig</w:t>
            </w:r>
            <w:r w:rsidRPr="000F6DEF">
              <w:rPr>
                <w:sz w:val="16"/>
                <w:szCs w:val="16"/>
              </w:rPr>
              <w:t>arette use was not significantly different for males</w:t>
            </w:r>
            <w:r w:rsidRPr="000F6DEF">
              <w:rPr>
                <w:sz w:val="16"/>
                <w:szCs w:val="16"/>
              </w:rPr>
              <w:br/>
              <w:t>and females.</w:t>
            </w:r>
            <w:r w:rsidRPr="000F6DEF">
              <w:rPr>
                <w:sz w:val="16"/>
                <w:szCs w:val="16"/>
              </w:rPr>
              <w:br/>
              <w:t xml:space="preserve">Between ages 12 and 14 yrs Hispanic adolescents emerged as the heaviest </w:t>
            </w:r>
            <w:r>
              <w:rPr>
                <w:sz w:val="16"/>
                <w:szCs w:val="16"/>
              </w:rPr>
              <w:t>e</w:t>
            </w:r>
            <w:r>
              <w:rPr>
                <w:sz w:val="16"/>
                <w:szCs w:val="16"/>
              </w:rPr>
              <w:noBreakHyphen/>
              <w:t>cig</w:t>
            </w:r>
            <w:r w:rsidRPr="000F6DEF">
              <w:rPr>
                <w:sz w:val="16"/>
                <w:szCs w:val="16"/>
              </w:rPr>
              <w:t>arette users.</w:t>
            </w:r>
          </w:p>
        </w:tc>
        <w:tc>
          <w:tcPr>
            <w:tcW w:w="4510" w:type="dxa"/>
            <w:hideMark/>
          </w:tcPr>
          <w:p w14:paraId="76A656C3"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sz w:val="16"/>
                <w:szCs w:val="16"/>
              </w:rPr>
            </w:pPr>
            <w:r w:rsidRPr="000F6DEF">
              <w:rPr>
                <w:sz w:val="16"/>
                <w:szCs w:val="16"/>
              </w:rPr>
              <w:t xml:space="preserve">Young Hispanic adolescents are at elevated risk for use of </w:t>
            </w:r>
            <w:r>
              <w:rPr>
                <w:sz w:val="16"/>
                <w:szCs w:val="16"/>
              </w:rPr>
              <w:t>e</w:t>
            </w:r>
            <w:r>
              <w:rPr>
                <w:sz w:val="16"/>
                <w:szCs w:val="16"/>
              </w:rPr>
              <w:noBreakHyphen/>
              <w:t>cig</w:t>
            </w:r>
            <w:r w:rsidRPr="000F6DEF">
              <w:rPr>
                <w:sz w:val="16"/>
                <w:szCs w:val="16"/>
              </w:rPr>
              <w:t xml:space="preserve">arettes and traditional cigarettes during early adolescence. During early adolescence, youth using </w:t>
            </w:r>
            <w:r>
              <w:rPr>
                <w:sz w:val="16"/>
                <w:szCs w:val="16"/>
              </w:rPr>
              <w:t>e</w:t>
            </w:r>
            <w:r>
              <w:rPr>
                <w:sz w:val="16"/>
                <w:szCs w:val="16"/>
              </w:rPr>
              <w:noBreakHyphen/>
              <w:t>cig</w:t>
            </w:r>
            <w:r w:rsidRPr="000F6DEF">
              <w:rPr>
                <w:sz w:val="16"/>
                <w:szCs w:val="16"/>
              </w:rPr>
              <w:t xml:space="preserve">arettes are more likely to smoke traditional cigarettes compared to youth not using </w:t>
            </w:r>
            <w:r>
              <w:rPr>
                <w:sz w:val="16"/>
                <w:szCs w:val="16"/>
              </w:rPr>
              <w:t>e</w:t>
            </w:r>
            <w:r>
              <w:rPr>
                <w:sz w:val="16"/>
                <w:szCs w:val="16"/>
              </w:rPr>
              <w:noBreakHyphen/>
              <w:t>cig</w:t>
            </w:r>
            <w:r w:rsidRPr="000F6DEF">
              <w:rPr>
                <w:sz w:val="16"/>
                <w:szCs w:val="16"/>
              </w:rPr>
              <w:t>arettes.</w:t>
            </w:r>
          </w:p>
        </w:tc>
      </w:tr>
      <w:tr w:rsidR="00B85C33" w:rsidRPr="000F6DEF" w14:paraId="2B717E7C" w14:textId="77777777" w:rsidTr="000376C7">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435" w:type="dxa"/>
            <w:hideMark/>
          </w:tcPr>
          <w:p w14:paraId="5C4945E2" w14:textId="77777777" w:rsidR="00B85C33" w:rsidRPr="000F6DEF" w:rsidRDefault="00B85C33" w:rsidP="000376C7">
            <w:pPr>
              <w:rPr>
                <w:sz w:val="16"/>
                <w:szCs w:val="16"/>
              </w:rPr>
            </w:pPr>
            <w:r w:rsidRPr="000F6DEF">
              <w:rPr>
                <w:sz w:val="16"/>
                <w:szCs w:val="16"/>
              </w:rPr>
              <w:t>Chen, Yu, Wang 2017</w:t>
            </w:r>
          </w:p>
        </w:tc>
        <w:tc>
          <w:tcPr>
            <w:tcW w:w="2044" w:type="dxa"/>
            <w:hideMark/>
          </w:tcPr>
          <w:p w14:paraId="020ACB91" w14:textId="4F7B4474"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sz w:val="16"/>
                <w:szCs w:val="16"/>
              </w:rPr>
            </w:pPr>
            <w:r w:rsidRPr="000F6DEF">
              <w:rPr>
                <w:sz w:val="16"/>
                <w:szCs w:val="16"/>
              </w:rPr>
              <w:t xml:space="preserve">To better understand age of initiation of </w:t>
            </w:r>
            <w:r>
              <w:rPr>
                <w:sz w:val="16"/>
                <w:szCs w:val="16"/>
              </w:rPr>
              <w:t>e</w:t>
            </w:r>
            <w:r>
              <w:rPr>
                <w:sz w:val="16"/>
                <w:szCs w:val="16"/>
              </w:rPr>
              <w:noBreakHyphen/>
              <w:t>cig</w:t>
            </w:r>
            <w:r w:rsidRPr="000F6DEF">
              <w:rPr>
                <w:sz w:val="16"/>
                <w:szCs w:val="16"/>
              </w:rPr>
              <w:t>arette use</w:t>
            </w:r>
            <w:r w:rsidR="00CE05B6">
              <w:rPr>
                <w:sz w:val="16"/>
                <w:szCs w:val="16"/>
              </w:rPr>
              <w:t>.</w:t>
            </w:r>
          </w:p>
        </w:tc>
        <w:tc>
          <w:tcPr>
            <w:tcW w:w="6924" w:type="dxa"/>
            <w:hideMark/>
          </w:tcPr>
          <w:p w14:paraId="733032B2" w14:textId="2CE6F6AC"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sz w:val="16"/>
                <w:szCs w:val="16"/>
              </w:rPr>
            </w:pPr>
            <w:r w:rsidRPr="000F6DEF">
              <w:rPr>
                <w:sz w:val="16"/>
                <w:szCs w:val="16"/>
              </w:rPr>
              <w:t xml:space="preserve">18.7% ever use </w:t>
            </w:r>
            <w:r w:rsidR="00CE05B6">
              <w:rPr>
                <w:rFonts w:asciiTheme="minorHAnsi" w:hAnsiTheme="minorHAnsi" w:cstheme="minorHAnsi"/>
                <w:color w:val="auto"/>
                <w:sz w:val="16"/>
                <w:szCs w:val="16"/>
              </w:rPr>
              <w:t>e</w:t>
            </w:r>
            <w:r w:rsidR="00CE05B6">
              <w:rPr>
                <w:rFonts w:asciiTheme="minorHAnsi" w:hAnsiTheme="minorHAnsi" w:cstheme="minorHAnsi"/>
                <w:color w:val="auto"/>
                <w:sz w:val="16"/>
                <w:szCs w:val="16"/>
              </w:rPr>
              <w:noBreakHyphen/>
              <w:t xml:space="preserve">cigarettes </w:t>
            </w:r>
            <w:r w:rsidRPr="000F6DEF">
              <w:rPr>
                <w:sz w:val="16"/>
                <w:szCs w:val="16"/>
              </w:rPr>
              <w:br/>
              <w:t xml:space="preserve">The estimated mean age of </w:t>
            </w:r>
            <w:r>
              <w:rPr>
                <w:sz w:val="16"/>
                <w:szCs w:val="16"/>
              </w:rPr>
              <w:t>e</w:t>
            </w:r>
            <w:r>
              <w:rPr>
                <w:sz w:val="16"/>
                <w:szCs w:val="16"/>
              </w:rPr>
              <w:noBreakHyphen/>
              <w:t>cig</w:t>
            </w:r>
            <w:r w:rsidRPr="000F6DEF">
              <w:rPr>
                <w:sz w:val="16"/>
                <w:szCs w:val="16"/>
              </w:rPr>
              <w:t xml:space="preserve">arette initiation was 17.50 (95% CI=17.47, 17.52) years. The estimated hazard of </w:t>
            </w:r>
            <w:r>
              <w:rPr>
                <w:sz w:val="16"/>
                <w:szCs w:val="16"/>
              </w:rPr>
              <w:t>e</w:t>
            </w:r>
            <w:r>
              <w:rPr>
                <w:sz w:val="16"/>
                <w:szCs w:val="16"/>
              </w:rPr>
              <w:noBreakHyphen/>
              <w:t>cig</w:t>
            </w:r>
            <w:r w:rsidRPr="000F6DEF">
              <w:rPr>
                <w:sz w:val="16"/>
                <w:szCs w:val="16"/>
              </w:rPr>
              <w:t xml:space="preserve">arette use initiation was 0 up to age 6 years, increased slowly from age 7 to 11 years, and continued with an accelerated increase up to age 17 years before it slowed down. There were significant gender (male&gt;female) and racial/ethnicity (from high to low: multiracial, white, Hispanic, African, and Asian) differences in the age pattern. </w:t>
            </w:r>
          </w:p>
        </w:tc>
        <w:tc>
          <w:tcPr>
            <w:tcW w:w="4510" w:type="dxa"/>
            <w:hideMark/>
          </w:tcPr>
          <w:p w14:paraId="1B15B946"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E</w:t>
            </w:r>
            <w:r>
              <w:rPr>
                <w:sz w:val="16"/>
                <w:szCs w:val="16"/>
              </w:rPr>
              <w:noBreakHyphen/>
              <w:t>cig</w:t>
            </w:r>
            <w:r w:rsidRPr="000F6DEF">
              <w:rPr>
                <w:sz w:val="16"/>
                <w:szCs w:val="16"/>
              </w:rPr>
              <w:t xml:space="preserve">arette smoking is initiated as young as age 7 years. Different from conventional cigarette smoking with peak initiation risk at age 14-15 years, the likelihood of initiating </w:t>
            </w:r>
            <w:r>
              <w:rPr>
                <w:sz w:val="16"/>
                <w:szCs w:val="16"/>
              </w:rPr>
              <w:t>e</w:t>
            </w:r>
            <w:r>
              <w:rPr>
                <w:sz w:val="16"/>
                <w:szCs w:val="16"/>
              </w:rPr>
              <w:noBreakHyphen/>
              <w:t>cig</w:t>
            </w:r>
            <w:r w:rsidRPr="000F6DEF">
              <w:rPr>
                <w:sz w:val="16"/>
                <w:szCs w:val="16"/>
              </w:rPr>
              <w:t xml:space="preserve">arette smoking continues to increase up to age 18 years. </w:t>
            </w:r>
          </w:p>
        </w:tc>
      </w:tr>
      <w:tr w:rsidR="00B85C33" w:rsidRPr="000F6DEF" w14:paraId="4AE36619" w14:textId="77777777" w:rsidTr="000376C7">
        <w:trPr>
          <w:trHeight w:val="1134"/>
        </w:trPr>
        <w:tc>
          <w:tcPr>
            <w:cnfStyle w:val="001000000000" w:firstRow="0" w:lastRow="0" w:firstColumn="1" w:lastColumn="0" w:oddVBand="0" w:evenVBand="0" w:oddHBand="0" w:evenHBand="0" w:firstRowFirstColumn="0" w:firstRowLastColumn="0" w:lastRowFirstColumn="0" w:lastRowLastColumn="0"/>
            <w:tcW w:w="1435" w:type="dxa"/>
            <w:hideMark/>
          </w:tcPr>
          <w:p w14:paraId="3C0E1C89" w14:textId="77777777" w:rsidR="00B85C33" w:rsidRPr="000F6DEF" w:rsidRDefault="00B85C33" w:rsidP="000376C7">
            <w:pPr>
              <w:rPr>
                <w:sz w:val="16"/>
                <w:szCs w:val="16"/>
              </w:rPr>
            </w:pPr>
            <w:r w:rsidRPr="000F6DEF">
              <w:rPr>
                <w:sz w:val="16"/>
                <w:szCs w:val="16"/>
              </w:rPr>
              <w:t>Hammig, Daniel-Dobbs, Blunt-Vinti 2017</w:t>
            </w:r>
          </w:p>
        </w:tc>
        <w:tc>
          <w:tcPr>
            <w:tcW w:w="2044" w:type="dxa"/>
            <w:hideMark/>
          </w:tcPr>
          <w:p w14:paraId="0469842C"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sz w:val="16"/>
                <w:szCs w:val="16"/>
              </w:rPr>
            </w:pPr>
            <w:r w:rsidRPr="000F6DEF">
              <w:rPr>
                <w:sz w:val="16"/>
                <w:szCs w:val="16"/>
              </w:rPr>
              <w:t xml:space="preserve">To examine factors associated with </w:t>
            </w:r>
            <w:r>
              <w:rPr>
                <w:sz w:val="16"/>
                <w:szCs w:val="16"/>
              </w:rPr>
              <w:t>e</w:t>
            </w:r>
            <w:r>
              <w:rPr>
                <w:sz w:val="16"/>
                <w:szCs w:val="16"/>
              </w:rPr>
              <w:noBreakHyphen/>
              <w:t>cig</w:t>
            </w:r>
            <w:r w:rsidRPr="000F6DEF">
              <w:rPr>
                <w:sz w:val="16"/>
                <w:szCs w:val="16"/>
              </w:rPr>
              <w:t>arette initiation among minority youth in the United States.</w:t>
            </w:r>
          </w:p>
        </w:tc>
        <w:tc>
          <w:tcPr>
            <w:tcW w:w="6924" w:type="dxa"/>
            <w:hideMark/>
          </w:tcPr>
          <w:p w14:paraId="5F003BA3"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sz w:val="16"/>
                <w:szCs w:val="16"/>
              </w:rPr>
            </w:pPr>
            <w:r w:rsidRPr="000F6DEF">
              <w:rPr>
                <w:sz w:val="16"/>
                <w:szCs w:val="16"/>
              </w:rPr>
              <w:t xml:space="preserve">Odds of </w:t>
            </w:r>
            <w:r>
              <w:rPr>
                <w:sz w:val="16"/>
                <w:szCs w:val="16"/>
              </w:rPr>
              <w:t>e</w:t>
            </w:r>
            <w:r>
              <w:rPr>
                <w:sz w:val="16"/>
                <w:szCs w:val="16"/>
              </w:rPr>
              <w:noBreakHyphen/>
              <w:t>cig</w:t>
            </w:r>
            <w:r w:rsidRPr="000F6DEF">
              <w:rPr>
                <w:sz w:val="16"/>
                <w:szCs w:val="16"/>
              </w:rPr>
              <w:t xml:space="preserve">arette initiation was highest among Hispanic youth [adjusted odds ratio (AOR)=2.70; 95% confidence interval (CI)=1.60-4.56]. Exposure to </w:t>
            </w:r>
            <w:r>
              <w:rPr>
                <w:sz w:val="16"/>
                <w:szCs w:val="16"/>
              </w:rPr>
              <w:t>e</w:t>
            </w:r>
            <w:r>
              <w:rPr>
                <w:sz w:val="16"/>
                <w:szCs w:val="16"/>
              </w:rPr>
              <w:noBreakHyphen/>
              <w:t>cig</w:t>
            </w:r>
            <w:r w:rsidRPr="000F6DEF">
              <w:rPr>
                <w:sz w:val="16"/>
                <w:szCs w:val="16"/>
              </w:rPr>
              <w:t xml:space="preserve">arette advertising (AOR=1.64; 95% CI=1.07-2.50), perceptions of little to no harm (AOR=7.08; 95% CI=4.03-12.46), and believing </w:t>
            </w:r>
            <w:r>
              <w:rPr>
                <w:sz w:val="16"/>
                <w:szCs w:val="16"/>
              </w:rPr>
              <w:t>e</w:t>
            </w:r>
            <w:r>
              <w:rPr>
                <w:sz w:val="16"/>
                <w:szCs w:val="16"/>
              </w:rPr>
              <w:noBreakHyphen/>
              <w:t>cig</w:t>
            </w:r>
            <w:r w:rsidRPr="000F6DEF">
              <w:rPr>
                <w:sz w:val="16"/>
                <w:szCs w:val="16"/>
              </w:rPr>
              <w:t xml:space="preserve">arettes were less addictive than tobacco (AOR=2.15; 95% CI=1.52-3.02) were associated with </w:t>
            </w:r>
            <w:r>
              <w:rPr>
                <w:sz w:val="16"/>
                <w:szCs w:val="16"/>
              </w:rPr>
              <w:t>e</w:t>
            </w:r>
            <w:r>
              <w:rPr>
                <w:sz w:val="16"/>
                <w:szCs w:val="16"/>
              </w:rPr>
              <w:noBreakHyphen/>
              <w:t>cig</w:t>
            </w:r>
            <w:r w:rsidRPr="000F6DEF">
              <w:rPr>
                <w:sz w:val="16"/>
                <w:szCs w:val="16"/>
              </w:rPr>
              <w:t>arette initiation.</w:t>
            </w:r>
          </w:p>
        </w:tc>
        <w:tc>
          <w:tcPr>
            <w:tcW w:w="4510" w:type="dxa"/>
            <w:hideMark/>
          </w:tcPr>
          <w:p w14:paraId="26FCCA23"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sz w:val="16"/>
                <w:szCs w:val="16"/>
              </w:rPr>
            </w:pPr>
            <w:r w:rsidRPr="000F6DEF">
              <w:rPr>
                <w:sz w:val="16"/>
                <w:szCs w:val="16"/>
              </w:rPr>
              <w:t xml:space="preserve">Odds of initiating </w:t>
            </w:r>
            <w:r>
              <w:rPr>
                <w:sz w:val="16"/>
                <w:szCs w:val="16"/>
              </w:rPr>
              <w:t>e</w:t>
            </w:r>
            <w:r>
              <w:rPr>
                <w:sz w:val="16"/>
                <w:szCs w:val="16"/>
              </w:rPr>
              <w:noBreakHyphen/>
              <w:t>cig</w:t>
            </w:r>
            <w:r w:rsidRPr="000F6DEF">
              <w:rPr>
                <w:sz w:val="16"/>
                <w:szCs w:val="16"/>
              </w:rPr>
              <w:t xml:space="preserve">arette use was highest among Hispanic youth. Among minority youth, </w:t>
            </w:r>
            <w:r>
              <w:rPr>
                <w:sz w:val="16"/>
                <w:szCs w:val="16"/>
              </w:rPr>
              <w:t>e</w:t>
            </w:r>
            <w:r>
              <w:rPr>
                <w:sz w:val="16"/>
                <w:szCs w:val="16"/>
              </w:rPr>
              <w:noBreakHyphen/>
              <w:t>cig</w:t>
            </w:r>
            <w:r w:rsidRPr="000F6DEF">
              <w:rPr>
                <w:sz w:val="16"/>
                <w:szCs w:val="16"/>
              </w:rPr>
              <w:t xml:space="preserve">arette initiation was associated with perceptions of harm and addiction potential, as well as exposure to </w:t>
            </w:r>
            <w:r>
              <w:rPr>
                <w:sz w:val="16"/>
                <w:szCs w:val="16"/>
              </w:rPr>
              <w:t>e</w:t>
            </w:r>
            <w:r>
              <w:rPr>
                <w:sz w:val="16"/>
                <w:szCs w:val="16"/>
              </w:rPr>
              <w:noBreakHyphen/>
              <w:t>cig</w:t>
            </w:r>
            <w:r w:rsidRPr="000F6DEF">
              <w:rPr>
                <w:sz w:val="16"/>
                <w:szCs w:val="16"/>
              </w:rPr>
              <w:t xml:space="preserve">arette advertising. </w:t>
            </w:r>
          </w:p>
        </w:tc>
      </w:tr>
      <w:tr w:rsidR="00B85C33" w:rsidRPr="000F6DEF" w14:paraId="656B5901" w14:textId="77777777" w:rsidTr="000376C7">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435" w:type="dxa"/>
            <w:hideMark/>
          </w:tcPr>
          <w:p w14:paraId="10D0AE91" w14:textId="77777777" w:rsidR="00B85C33" w:rsidRPr="000F6DEF" w:rsidRDefault="00B85C33" w:rsidP="000376C7">
            <w:pPr>
              <w:rPr>
                <w:sz w:val="16"/>
                <w:szCs w:val="16"/>
              </w:rPr>
            </w:pPr>
            <w:r w:rsidRPr="000F6DEF">
              <w:rPr>
                <w:sz w:val="16"/>
                <w:szCs w:val="16"/>
              </w:rPr>
              <w:t>Harrell, Nqvi, Plunk et al 2017</w:t>
            </w:r>
          </w:p>
        </w:tc>
        <w:tc>
          <w:tcPr>
            <w:tcW w:w="2044" w:type="dxa"/>
            <w:hideMark/>
          </w:tcPr>
          <w:p w14:paraId="30C5B037"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sz w:val="16"/>
                <w:szCs w:val="16"/>
              </w:rPr>
            </w:pPr>
            <w:r w:rsidRPr="000F6DEF">
              <w:rPr>
                <w:sz w:val="16"/>
                <w:szCs w:val="16"/>
              </w:rPr>
              <w:t xml:space="preserve">The present study was designed to identify patterns of youth tobacco use and examine associations with sociodemographic characteristics and tobacco dependence. </w:t>
            </w:r>
          </w:p>
        </w:tc>
        <w:tc>
          <w:tcPr>
            <w:tcW w:w="6924" w:type="dxa"/>
            <w:hideMark/>
          </w:tcPr>
          <w:p w14:paraId="2B060905"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sz w:val="16"/>
                <w:szCs w:val="16"/>
              </w:rPr>
            </w:pPr>
            <w:r w:rsidRPr="000F6DEF">
              <w:rPr>
                <w:sz w:val="16"/>
                <w:szCs w:val="16"/>
              </w:rPr>
              <w:t xml:space="preserve">Nine classes emerged: cigarette smokers (33.4% of sample, also included small probabilities for use of cigars and </w:t>
            </w:r>
            <w:r>
              <w:rPr>
                <w:sz w:val="16"/>
                <w:szCs w:val="16"/>
              </w:rPr>
              <w:t>e</w:t>
            </w:r>
            <w:r>
              <w:rPr>
                <w:sz w:val="16"/>
                <w:szCs w:val="16"/>
              </w:rPr>
              <w:noBreakHyphen/>
              <w:t>cig</w:t>
            </w:r>
            <w:r w:rsidRPr="000F6DEF">
              <w:rPr>
                <w:sz w:val="16"/>
                <w:szCs w:val="16"/>
              </w:rPr>
              <w:t>arettes), cigar smokers (16.8%, nearly exclusive), smokeless tobacco users (12.3%, also included small probabilities for cigarettes, cigars, snus), hookah smokers (11.8%), tobacco smokers/chewers (10.7%, variety of primarily traditional tobacco products), tobacco/hookah smokers (7.2%), tobacco/snus/</w:t>
            </w:r>
            <w:r>
              <w:rPr>
                <w:sz w:val="16"/>
                <w:szCs w:val="16"/>
              </w:rPr>
              <w:t>e</w:t>
            </w:r>
            <w:r>
              <w:rPr>
                <w:sz w:val="16"/>
                <w:szCs w:val="16"/>
              </w:rPr>
              <w:noBreakHyphen/>
              <w:t>cig</w:t>
            </w:r>
            <w:r w:rsidRPr="000F6DEF">
              <w:rPr>
                <w:sz w:val="16"/>
                <w:szCs w:val="16"/>
              </w:rPr>
              <w:t xml:space="preserve">arette users (3.3%), </w:t>
            </w:r>
            <w:r>
              <w:rPr>
                <w:sz w:val="16"/>
                <w:szCs w:val="16"/>
              </w:rPr>
              <w:t>e</w:t>
            </w:r>
            <w:r>
              <w:rPr>
                <w:sz w:val="16"/>
                <w:szCs w:val="16"/>
              </w:rPr>
              <w:noBreakHyphen/>
              <w:t>cig</w:t>
            </w:r>
            <w:r w:rsidRPr="000F6DEF">
              <w:rPr>
                <w:sz w:val="16"/>
                <w:szCs w:val="16"/>
              </w:rPr>
              <w:t xml:space="preserve">arette users (2.9%,), and polytobacco users (1.7%, high probabilities for all products). Compared to cigarette smokers, tobacco/hookah smokers and hookah smokers were more likely to report Hispanic ethnicity. Polytobacco users were more likely to report dependence (AOR:2.77, 95% CI:[1.49-5.18]), whereas </w:t>
            </w:r>
            <w:r>
              <w:rPr>
                <w:sz w:val="16"/>
                <w:szCs w:val="16"/>
              </w:rPr>
              <w:t>e</w:t>
            </w:r>
            <w:r>
              <w:rPr>
                <w:sz w:val="16"/>
                <w:szCs w:val="16"/>
              </w:rPr>
              <w:noBreakHyphen/>
              <w:t>cig</w:t>
            </w:r>
            <w:r w:rsidRPr="000F6DEF">
              <w:rPr>
                <w:sz w:val="16"/>
                <w:szCs w:val="16"/>
              </w:rPr>
              <w:t xml:space="preserve">arette users were less likely (AOR:0.49, 95% CI:[0.24-0.97]). </w:t>
            </w:r>
          </w:p>
        </w:tc>
        <w:tc>
          <w:tcPr>
            <w:tcW w:w="4510" w:type="dxa"/>
            <w:hideMark/>
          </w:tcPr>
          <w:p w14:paraId="2194D2E5"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sz w:val="16"/>
                <w:szCs w:val="16"/>
              </w:rPr>
            </w:pPr>
            <w:r w:rsidRPr="000F6DEF">
              <w:rPr>
                <w:sz w:val="16"/>
                <w:szCs w:val="16"/>
              </w:rPr>
              <w:t>Findings are consistent with other research demonstrating shifts in adolescent tobacco product usage towards non-cigarette tobacco products. Continuous monitoring of these patterns is needed to help predict if this shift will ultimately result in improved public health.</w:t>
            </w:r>
          </w:p>
        </w:tc>
      </w:tr>
      <w:tr w:rsidR="00B85C33" w:rsidRPr="000F6DEF" w14:paraId="79D36E66" w14:textId="77777777" w:rsidTr="000376C7">
        <w:trPr>
          <w:trHeight w:val="1134"/>
        </w:trPr>
        <w:tc>
          <w:tcPr>
            <w:cnfStyle w:val="001000000000" w:firstRow="0" w:lastRow="0" w:firstColumn="1" w:lastColumn="0" w:oddVBand="0" w:evenVBand="0" w:oddHBand="0" w:evenHBand="0" w:firstRowFirstColumn="0" w:firstRowLastColumn="0" w:lastRowFirstColumn="0" w:lastRowLastColumn="0"/>
            <w:tcW w:w="1435" w:type="dxa"/>
            <w:hideMark/>
          </w:tcPr>
          <w:p w14:paraId="624275F2" w14:textId="77777777" w:rsidR="00B85C33" w:rsidRPr="000F6DEF" w:rsidRDefault="00B85C33" w:rsidP="000376C7">
            <w:pPr>
              <w:rPr>
                <w:sz w:val="16"/>
                <w:szCs w:val="16"/>
              </w:rPr>
            </w:pPr>
            <w:r w:rsidRPr="000F6DEF">
              <w:rPr>
                <w:sz w:val="16"/>
                <w:szCs w:val="16"/>
              </w:rPr>
              <w:t>Merianos, Yockey, Wood et al 2017</w:t>
            </w:r>
          </w:p>
        </w:tc>
        <w:tc>
          <w:tcPr>
            <w:tcW w:w="2044" w:type="dxa"/>
            <w:hideMark/>
          </w:tcPr>
          <w:p w14:paraId="2AB3A50C"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sz w:val="16"/>
                <w:szCs w:val="16"/>
              </w:rPr>
            </w:pPr>
            <w:r w:rsidRPr="000F6DEF">
              <w:rPr>
                <w:sz w:val="16"/>
                <w:szCs w:val="16"/>
              </w:rPr>
              <w:t xml:space="preserve">To examine the influence friend and family factors have on lifetime </w:t>
            </w:r>
            <w:r>
              <w:rPr>
                <w:sz w:val="16"/>
                <w:szCs w:val="16"/>
              </w:rPr>
              <w:t>e</w:t>
            </w:r>
            <w:r>
              <w:rPr>
                <w:sz w:val="16"/>
                <w:szCs w:val="16"/>
              </w:rPr>
              <w:noBreakHyphen/>
              <w:t>cig</w:t>
            </w:r>
            <w:r w:rsidRPr="000F6DEF">
              <w:rPr>
                <w:sz w:val="16"/>
                <w:szCs w:val="16"/>
              </w:rPr>
              <w:t xml:space="preserve">arette use, past year </w:t>
            </w:r>
            <w:r>
              <w:rPr>
                <w:sz w:val="16"/>
                <w:szCs w:val="16"/>
              </w:rPr>
              <w:t>e</w:t>
            </w:r>
            <w:r>
              <w:rPr>
                <w:sz w:val="16"/>
                <w:szCs w:val="16"/>
              </w:rPr>
              <w:noBreakHyphen/>
              <w:t>cig</w:t>
            </w:r>
            <w:r w:rsidRPr="000F6DEF">
              <w:rPr>
                <w:sz w:val="16"/>
                <w:szCs w:val="16"/>
              </w:rPr>
              <w:t xml:space="preserve">arette use, and perceptions of trying </w:t>
            </w:r>
            <w:r>
              <w:rPr>
                <w:sz w:val="16"/>
                <w:szCs w:val="16"/>
              </w:rPr>
              <w:t>e</w:t>
            </w:r>
            <w:r>
              <w:rPr>
                <w:sz w:val="16"/>
                <w:szCs w:val="16"/>
              </w:rPr>
              <w:noBreakHyphen/>
              <w:t>cig</w:t>
            </w:r>
            <w:r w:rsidRPr="000F6DEF">
              <w:rPr>
                <w:sz w:val="16"/>
                <w:szCs w:val="16"/>
              </w:rPr>
              <w:t>arettes soon in a national sample of Hispanic junior high and high school students.</w:t>
            </w:r>
          </w:p>
        </w:tc>
        <w:tc>
          <w:tcPr>
            <w:tcW w:w="6924" w:type="dxa"/>
            <w:hideMark/>
          </w:tcPr>
          <w:p w14:paraId="48CF98EC"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sz w:val="16"/>
                <w:szCs w:val="16"/>
              </w:rPr>
            </w:pPr>
            <w:r w:rsidRPr="000F6DEF">
              <w:rPr>
                <w:sz w:val="16"/>
                <w:szCs w:val="16"/>
              </w:rPr>
              <w:t xml:space="preserve">Over one-fifth (22.8%) of Hispanic students have used </w:t>
            </w:r>
            <w:r>
              <w:rPr>
                <w:sz w:val="16"/>
                <w:szCs w:val="16"/>
              </w:rPr>
              <w:t>e</w:t>
            </w:r>
            <w:r>
              <w:rPr>
                <w:sz w:val="16"/>
                <w:szCs w:val="16"/>
              </w:rPr>
              <w:noBreakHyphen/>
              <w:t>cig</w:t>
            </w:r>
            <w:r w:rsidRPr="000F6DEF">
              <w:rPr>
                <w:sz w:val="16"/>
                <w:szCs w:val="16"/>
              </w:rPr>
              <w:t xml:space="preserve">arettes in their lifetime, 11.1% used in the past 30 days, and one-fifth (20.5%) think they will try </w:t>
            </w:r>
            <w:r>
              <w:rPr>
                <w:sz w:val="16"/>
                <w:szCs w:val="16"/>
              </w:rPr>
              <w:t>e</w:t>
            </w:r>
            <w:r>
              <w:rPr>
                <w:sz w:val="16"/>
                <w:szCs w:val="16"/>
              </w:rPr>
              <w:noBreakHyphen/>
              <w:t>cig</w:t>
            </w:r>
            <w:r w:rsidRPr="000F6DEF">
              <w:rPr>
                <w:sz w:val="16"/>
                <w:szCs w:val="16"/>
              </w:rPr>
              <w:t xml:space="preserve">arettes soon. </w:t>
            </w:r>
            <w:r w:rsidRPr="000F6DEF">
              <w:rPr>
                <w:sz w:val="16"/>
                <w:szCs w:val="16"/>
              </w:rPr>
              <w:br/>
              <w:t xml:space="preserve">Results revealed students who reported that young people who use </w:t>
            </w:r>
            <w:r>
              <w:rPr>
                <w:sz w:val="16"/>
                <w:szCs w:val="16"/>
              </w:rPr>
              <w:t>e</w:t>
            </w:r>
            <w:r>
              <w:rPr>
                <w:sz w:val="16"/>
                <w:szCs w:val="16"/>
              </w:rPr>
              <w:noBreakHyphen/>
              <w:t>cig</w:t>
            </w:r>
            <w:r w:rsidRPr="000F6DEF">
              <w:rPr>
                <w:sz w:val="16"/>
                <w:szCs w:val="16"/>
              </w:rPr>
              <w:t xml:space="preserve">arettes have more friends were 3-4 times more likely to report lifetime use, recent use, and think they will try </w:t>
            </w:r>
            <w:r>
              <w:rPr>
                <w:sz w:val="16"/>
                <w:szCs w:val="16"/>
              </w:rPr>
              <w:t>e</w:t>
            </w:r>
            <w:r>
              <w:rPr>
                <w:sz w:val="16"/>
                <w:szCs w:val="16"/>
              </w:rPr>
              <w:noBreakHyphen/>
              <w:t>cig</w:t>
            </w:r>
            <w:r w:rsidRPr="000F6DEF">
              <w:rPr>
                <w:sz w:val="16"/>
                <w:szCs w:val="16"/>
              </w:rPr>
              <w:t xml:space="preserve">arettes soon. Students who reported that if one of their best friends offered an </w:t>
            </w:r>
            <w:r>
              <w:rPr>
                <w:sz w:val="16"/>
                <w:szCs w:val="16"/>
              </w:rPr>
              <w:t>e</w:t>
            </w:r>
            <w:r>
              <w:rPr>
                <w:sz w:val="16"/>
                <w:szCs w:val="16"/>
              </w:rPr>
              <w:noBreakHyphen/>
              <w:t>cig</w:t>
            </w:r>
            <w:r w:rsidRPr="000F6DEF">
              <w:rPr>
                <w:sz w:val="16"/>
                <w:szCs w:val="16"/>
              </w:rPr>
              <w:t xml:space="preserve">arette that they would use were nearly 27 times more likely to report lifetime use, 38 times more likely to report recent use, and 77 times more likely to try </w:t>
            </w:r>
            <w:r>
              <w:rPr>
                <w:sz w:val="16"/>
                <w:szCs w:val="16"/>
              </w:rPr>
              <w:t>e</w:t>
            </w:r>
            <w:r>
              <w:rPr>
                <w:sz w:val="16"/>
                <w:szCs w:val="16"/>
              </w:rPr>
              <w:noBreakHyphen/>
              <w:t>cig</w:t>
            </w:r>
            <w:r w:rsidRPr="000F6DEF">
              <w:rPr>
                <w:sz w:val="16"/>
                <w:szCs w:val="16"/>
              </w:rPr>
              <w:t xml:space="preserve">arettes soon. Students who lived with someone who used </w:t>
            </w:r>
            <w:r>
              <w:rPr>
                <w:sz w:val="16"/>
                <w:szCs w:val="16"/>
              </w:rPr>
              <w:t>e</w:t>
            </w:r>
            <w:r>
              <w:rPr>
                <w:sz w:val="16"/>
                <w:szCs w:val="16"/>
              </w:rPr>
              <w:noBreakHyphen/>
              <w:t>cig</w:t>
            </w:r>
            <w:r w:rsidRPr="000F6DEF">
              <w:rPr>
                <w:sz w:val="16"/>
                <w:szCs w:val="16"/>
              </w:rPr>
              <w:t xml:space="preserve">arettes were 5-6 times more likely to report lifetime use, recent use, and think they will try </w:t>
            </w:r>
            <w:r>
              <w:rPr>
                <w:sz w:val="16"/>
                <w:szCs w:val="16"/>
              </w:rPr>
              <w:t>e</w:t>
            </w:r>
            <w:r>
              <w:rPr>
                <w:sz w:val="16"/>
                <w:szCs w:val="16"/>
              </w:rPr>
              <w:noBreakHyphen/>
              <w:t>cig</w:t>
            </w:r>
            <w:r w:rsidRPr="000F6DEF">
              <w:rPr>
                <w:sz w:val="16"/>
                <w:szCs w:val="16"/>
              </w:rPr>
              <w:t xml:space="preserve">arettes soon. Junior high school students who reported that young people who use </w:t>
            </w:r>
            <w:r>
              <w:rPr>
                <w:sz w:val="16"/>
                <w:szCs w:val="16"/>
              </w:rPr>
              <w:t>e</w:t>
            </w:r>
            <w:r>
              <w:rPr>
                <w:sz w:val="16"/>
                <w:szCs w:val="16"/>
              </w:rPr>
              <w:noBreakHyphen/>
              <w:t>cig</w:t>
            </w:r>
            <w:r w:rsidRPr="000F6DEF">
              <w:rPr>
                <w:sz w:val="16"/>
                <w:szCs w:val="16"/>
              </w:rPr>
              <w:t xml:space="preserve">arettes have more friends were 4-5 times more likely to report lifetime use, recent use and think they will try </w:t>
            </w:r>
            <w:r>
              <w:rPr>
                <w:sz w:val="16"/>
                <w:szCs w:val="16"/>
              </w:rPr>
              <w:t>e</w:t>
            </w:r>
            <w:r>
              <w:rPr>
                <w:sz w:val="16"/>
                <w:szCs w:val="16"/>
              </w:rPr>
              <w:noBreakHyphen/>
              <w:t>cig</w:t>
            </w:r>
            <w:r w:rsidRPr="000F6DEF">
              <w:rPr>
                <w:sz w:val="16"/>
                <w:szCs w:val="16"/>
              </w:rPr>
              <w:t xml:space="preserve">arettes soon. Junior high school students who reported that if one of their best friends offered an </w:t>
            </w:r>
            <w:r>
              <w:rPr>
                <w:sz w:val="16"/>
                <w:szCs w:val="16"/>
              </w:rPr>
              <w:t>e</w:t>
            </w:r>
            <w:r>
              <w:rPr>
                <w:sz w:val="16"/>
                <w:szCs w:val="16"/>
              </w:rPr>
              <w:noBreakHyphen/>
              <w:t>cig</w:t>
            </w:r>
            <w:r w:rsidRPr="000F6DEF">
              <w:rPr>
                <w:sz w:val="16"/>
                <w:szCs w:val="16"/>
              </w:rPr>
              <w:t xml:space="preserve">arette that they would use were 29 times more likely to report lifetime use, 44 times more likely to report recent use, and 74 times more likely to try </w:t>
            </w:r>
            <w:r>
              <w:rPr>
                <w:sz w:val="16"/>
                <w:szCs w:val="16"/>
              </w:rPr>
              <w:t>e</w:t>
            </w:r>
            <w:r>
              <w:rPr>
                <w:sz w:val="16"/>
                <w:szCs w:val="16"/>
              </w:rPr>
              <w:noBreakHyphen/>
              <w:t>cig</w:t>
            </w:r>
            <w:r w:rsidRPr="000F6DEF">
              <w:rPr>
                <w:sz w:val="16"/>
                <w:szCs w:val="16"/>
              </w:rPr>
              <w:t xml:space="preserve">arettes soon. Junior high school students who lived with someone who used </w:t>
            </w:r>
            <w:r>
              <w:rPr>
                <w:sz w:val="16"/>
                <w:szCs w:val="16"/>
              </w:rPr>
              <w:t>e</w:t>
            </w:r>
            <w:r>
              <w:rPr>
                <w:sz w:val="16"/>
                <w:szCs w:val="16"/>
              </w:rPr>
              <w:noBreakHyphen/>
              <w:t>cig</w:t>
            </w:r>
            <w:r w:rsidRPr="000F6DEF">
              <w:rPr>
                <w:sz w:val="16"/>
                <w:szCs w:val="16"/>
              </w:rPr>
              <w:t xml:space="preserve">arettes were 5-6 times more likely to report lifetime use, recent use, and think </w:t>
            </w:r>
            <w:r w:rsidRPr="000F6DEF">
              <w:rPr>
                <w:sz w:val="16"/>
                <w:szCs w:val="16"/>
              </w:rPr>
              <w:lastRenderedPageBreak/>
              <w:t xml:space="preserve">they will try </w:t>
            </w:r>
            <w:r>
              <w:rPr>
                <w:sz w:val="16"/>
                <w:szCs w:val="16"/>
              </w:rPr>
              <w:t>e</w:t>
            </w:r>
            <w:r>
              <w:rPr>
                <w:sz w:val="16"/>
                <w:szCs w:val="16"/>
              </w:rPr>
              <w:noBreakHyphen/>
              <w:t>cig</w:t>
            </w:r>
            <w:r w:rsidRPr="000F6DEF">
              <w:rPr>
                <w:sz w:val="16"/>
                <w:szCs w:val="16"/>
              </w:rPr>
              <w:t xml:space="preserve">arettes soon. Similar findings were indicated in high school students, although, lower odds ratios were found based on friend factors. </w:t>
            </w:r>
          </w:p>
        </w:tc>
        <w:tc>
          <w:tcPr>
            <w:tcW w:w="4510" w:type="dxa"/>
            <w:hideMark/>
          </w:tcPr>
          <w:p w14:paraId="5F2A6E39"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sz w:val="16"/>
                <w:szCs w:val="16"/>
              </w:rPr>
            </w:pPr>
            <w:r w:rsidRPr="000F6DEF">
              <w:rPr>
                <w:sz w:val="16"/>
                <w:szCs w:val="16"/>
              </w:rPr>
              <w:lastRenderedPageBreak/>
              <w:t xml:space="preserve">Results supported the ideas that family and friend use of </w:t>
            </w:r>
            <w:r>
              <w:rPr>
                <w:sz w:val="16"/>
                <w:szCs w:val="16"/>
              </w:rPr>
              <w:t>e</w:t>
            </w:r>
            <w:r>
              <w:rPr>
                <w:sz w:val="16"/>
                <w:szCs w:val="16"/>
              </w:rPr>
              <w:noBreakHyphen/>
              <w:t>cig</w:t>
            </w:r>
            <w:r w:rsidRPr="000F6DEF">
              <w:rPr>
                <w:sz w:val="16"/>
                <w:szCs w:val="16"/>
              </w:rPr>
              <w:t>arettes strongly influenced use among Hispanic adolescents. Prevention messages and interventions to reduce smoking among Hispanic students are necessary efforts in improving their health.</w:t>
            </w:r>
          </w:p>
        </w:tc>
      </w:tr>
      <w:tr w:rsidR="00B85C33" w:rsidRPr="000F6DEF" w14:paraId="68DAEAD6" w14:textId="77777777" w:rsidTr="000376C7">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435" w:type="dxa"/>
            <w:hideMark/>
          </w:tcPr>
          <w:p w14:paraId="3F3F3C43" w14:textId="77777777" w:rsidR="00B85C33" w:rsidRPr="000F6DEF" w:rsidRDefault="00B85C33" w:rsidP="000376C7">
            <w:pPr>
              <w:rPr>
                <w:sz w:val="16"/>
                <w:szCs w:val="16"/>
              </w:rPr>
            </w:pPr>
            <w:r w:rsidRPr="000F6DEF">
              <w:rPr>
                <w:sz w:val="16"/>
                <w:szCs w:val="16"/>
              </w:rPr>
              <w:t>Lippert 2017</w:t>
            </w:r>
          </w:p>
        </w:tc>
        <w:tc>
          <w:tcPr>
            <w:tcW w:w="2044" w:type="dxa"/>
            <w:hideMark/>
          </w:tcPr>
          <w:p w14:paraId="77F79DE5"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sz w:val="16"/>
                <w:szCs w:val="16"/>
              </w:rPr>
            </w:pPr>
            <w:r w:rsidRPr="000F6DEF">
              <w:rPr>
                <w:sz w:val="16"/>
                <w:szCs w:val="16"/>
              </w:rPr>
              <w:t xml:space="preserve">To examine temporal changes in the correlates of experimental and current </w:t>
            </w:r>
            <w:r>
              <w:rPr>
                <w:sz w:val="16"/>
                <w:szCs w:val="16"/>
              </w:rPr>
              <w:t>e</w:t>
            </w:r>
            <w:r>
              <w:rPr>
                <w:sz w:val="16"/>
                <w:szCs w:val="16"/>
              </w:rPr>
              <w:noBreakHyphen/>
              <w:t>cig</w:t>
            </w:r>
            <w:r w:rsidRPr="000F6DEF">
              <w:rPr>
                <w:sz w:val="16"/>
                <w:szCs w:val="16"/>
              </w:rPr>
              <w:t>arette use and associations with tobacco quit attempts.</w:t>
            </w:r>
          </w:p>
        </w:tc>
        <w:tc>
          <w:tcPr>
            <w:tcW w:w="6924" w:type="dxa"/>
            <w:hideMark/>
          </w:tcPr>
          <w:p w14:paraId="717145F0"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sz w:val="16"/>
                <w:szCs w:val="16"/>
              </w:rPr>
            </w:pPr>
            <w:r w:rsidRPr="000F6DEF">
              <w:rPr>
                <w:sz w:val="16"/>
                <w:szCs w:val="16"/>
              </w:rPr>
              <w:t xml:space="preserve">Lifetime use was higher among students in medium- (odds ratio [OR]=2.30, 95% confidence interval [CI]=1.82, 2.89) and high- (OR=4.66, 95% CI=3.67, 5.90) versus low-use schools. Past 30-day use followed a similar pattern. </w:t>
            </w:r>
            <w:r w:rsidRPr="000F6DEF">
              <w:rPr>
                <w:sz w:val="16"/>
                <w:szCs w:val="16"/>
              </w:rPr>
              <w:br/>
              <w:t xml:space="preserve">Multilevel ordinal logistic models revealed that initiates from high-use schools reported more days of use in the past month (OR=2.25, 95% CI=1.52, 3.33) and higher age-at-first-use (OR=1.45, 95% CI=1.08, 2.00) than students at low-use schools. Expectations for future use were higher among abstainers from medium- and high- versus low-use schools, and among all students, perceived addictivity and harm caused by </w:t>
            </w:r>
            <w:r>
              <w:rPr>
                <w:sz w:val="16"/>
                <w:szCs w:val="16"/>
              </w:rPr>
              <w:t>e</w:t>
            </w:r>
            <w:r>
              <w:rPr>
                <w:sz w:val="16"/>
                <w:szCs w:val="16"/>
              </w:rPr>
              <w:noBreakHyphen/>
              <w:t>cig</w:t>
            </w:r>
            <w:r w:rsidRPr="000F6DEF">
              <w:rPr>
                <w:sz w:val="16"/>
                <w:szCs w:val="16"/>
              </w:rPr>
              <w:t>arettes were lower in medium- and high- versus low-use schools</w:t>
            </w:r>
          </w:p>
        </w:tc>
        <w:tc>
          <w:tcPr>
            <w:tcW w:w="4510" w:type="dxa"/>
            <w:hideMark/>
          </w:tcPr>
          <w:p w14:paraId="2194E9D2"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sz w:val="16"/>
                <w:szCs w:val="16"/>
              </w:rPr>
            </w:pPr>
            <w:r w:rsidRPr="000F6DEF">
              <w:rPr>
                <w:sz w:val="16"/>
                <w:szCs w:val="16"/>
              </w:rPr>
              <w:t xml:space="preserve">The current study demonstrates a link between school prevalence of </w:t>
            </w:r>
            <w:r>
              <w:rPr>
                <w:sz w:val="16"/>
                <w:szCs w:val="16"/>
              </w:rPr>
              <w:t>e</w:t>
            </w:r>
            <w:r>
              <w:rPr>
                <w:sz w:val="16"/>
                <w:szCs w:val="16"/>
              </w:rPr>
              <w:noBreakHyphen/>
              <w:t>cig</w:t>
            </w:r>
            <w:r w:rsidRPr="000F6DEF">
              <w:rPr>
                <w:sz w:val="16"/>
                <w:szCs w:val="16"/>
              </w:rPr>
              <w:t xml:space="preserve">arette use and student-level use, as well as perceived risks of </w:t>
            </w:r>
            <w:r>
              <w:rPr>
                <w:sz w:val="16"/>
                <w:szCs w:val="16"/>
              </w:rPr>
              <w:t>e</w:t>
            </w:r>
            <w:r>
              <w:rPr>
                <w:sz w:val="16"/>
                <w:szCs w:val="16"/>
              </w:rPr>
              <w:noBreakHyphen/>
              <w:t>cig</w:t>
            </w:r>
            <w:r w:rsidRPr="000F6DEF">
              <w:rPr>
                <w:sz w:val="16"/>
                <w:szCs w:val="16"/>
              </w:rPr>
              <w:t>arette use, age of initiation and frequency of use among users, and intentions to use among abstainers.</w:t>
            </w:r>
          </w:p>
        </w:tc>
      </w:tr>
      <w:tr w:rsidR="00B85C33" w:rsidRPr="000F6DEF" w14:paraId="357A1DE6" w14:textId="77777777" w:rsidTr="000376C7">
        <w:trPr>
          <w:trHeight w:val="1134"/>
        </w:trPr>
        <w:tc>
          <w:tcPr>
            <w:cnfStyle w:val="001000000000" w:firstRow="0" w:lastRow="0" w:firstColumn="1" w:lastColumn="0" w:oddVBand="0" w:evenVBand="0" w:oddHBand="0" w:evenHBand="0" w:firstRowFirstColumn="0" w:firstRowLastColumn="0" w:lastRowFirstColumn="0" w:lastRowLastColumn="0"/>
            <w:tcW w:w="1435" w:type="dxa"/>
            <w:hideMark/>
          </w:tcPr>
          <w:p w14:paraId="317013DF" w14:textId="77777777" w:rsidR="00B85C33" w:rsidRPr="000F6DEF" w:rsidRDefault="00B85C33" w:rsidP="000376C7">
            <w:pPr>
              <w:rPr>
                <w:sz w:val="16"/>
                <w:szCs w:val="16"/>
              </w:rPr>
            </w:pPr>
            <w:r w:rsidRPr="000F6DEF">
              <w:rPr>
                <w:sz w:val="16"/>
                <w:szCs w:val="16"/>
              </w:rPr>
              <w:t>Tsai J, Walton K et al 2018</w:t>
            </w:r>
          </w:p>
        </w:tc>
        <w:tc>
          <w:tcPr>
            <w:tcW w:w="2044" w:type="dxa"/>
            <w:hideMark/>
          </w:tcPr>
          <w:p w14:paraId="33B71CB7" w14:textId="4C14D206"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sz w:val="16"/>
                <w:szCs w:val="16"/>
              </w:rPr>
            </w:pPr>
            <w:r w:rsidRPr="000F6DEF">
              <w:rPr>
                <w:sz w:val="16"/>
                <w:szCs w:val="16"/>
              </w:rPr>
              <w:t>Reasons for Electronic Cigarette Use Among Middle and High School Students</w:t>
            </w:r>
            <w:r w:rsidR="00CE05B6">
              <w:rPr>
                <w:sz w:val="16"/>
                <w:szCs w:val="16"/>
              </w:rPr>
              <w:t>.</w:t>
            </w:r>
          </w:p>
        </w:tc>
        <w:tc>
          <w:tcPr>
            <w:tcW w:w="6924" w:type="dxa"/>
            <w:hideMark/>
          </w:tcPr>
          <w:p w14:paraId="12D575FE"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sz w:val="16"/>
                <w:szCs w:val="16"/>
              </w:rPr>
            </w:pPr>
            <w:r w:rsidRPr="000F6DEF">
              <w:rPr>
                <w:sz w:val="16"/>
                <w:szCs w:val="16"/>
              </w:rPr>
              <w:t xml:space="preserve">Among students who had ever used </w:t>
            </w:r>
            <w:r>
              <w:rPr>
                <w:sz w:val="16"/>
                <w:szCs w:val="16"/>
              </w:rPr>
              <w:t>e</w:t>
            </w:r>
            <w:r>
              <w:rPr>
                <w:sz w:val="16"/>
                <w:szCs w:val="16"/>
              </w:rPr>
              <w:noBreakHyphen/>
              <w:t>cig</w:t>
            </w:r>
            <w:r w:rsidRPr="000F6DEF">
              <w:rPr>
                <w:sz w:val="16"/>
                <w:szCs w:val="16"/>
              </w:rPr>
              <w:t xml:space="preserve">arettes in 2016, the most commonly selected reasons for </w:t>
            </w:r>
            <w:r>
              <w:rPr>
                <w:sz w:val="16"/>
                <w:szCs w:val="16"/>
              </w:rPr>
              <w:t>e</w:t>
            </w:r>
            <w:r>
              <w:rPr>
                <w:sz w:val="16"/>
                <w:szCs w:val="16"/>
              </w:rPr>
              <w:noBreakHyphen/>
              <w:t>cig</w:t>
            </w:r>
            <w:r w:rsidRPr="000F6DEF">
              <w:rPr>
                <w:sz w:val="16"/>
                <w:szCs w:val="16"/>
              </w:rPr>
              <w:t xml:space="preserve">arette use were “friend or family member used them,” “they are available in flavours, such as mint, candy, fruit, or chocolate,” and “they are less harmful than other forms of tobacco, such as cigarettes.” </w:t>
            </w:r>
          </w:p>
        </w:tc>
        <w:tc>
          <w:tcPr>
            <w:tcW w:w="4510" w:type="dxa"/>
            <w:hideMark/>
          </w:tcPr>
          <w:p w14:paraId="221C5F20"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sz w:val="16"/>
                <w:szCs w:val="16"/>
              </w:rPr>
            </w:pPr>
            <w:r w:rsidRPr="000F6DEF">
              <w:rPr>
                <w:sz w:val="16"/>
                <w:szCs w:val="16"/>
              </w:rPr>
              <w:t xml:space="preserve">The prevalence of </w:t>
            </w:r>
            <w:r>
              <w:rPr>
                <w:sz w:val="16"/>
                <w:szCs w:val="16"/>
              </w:rPr>
              <w:t>e</w:t>
            </w:r>
            <w:r>
              <w:rPr>
                <w:sz w:val="16"/>
                <w:szCs w:val="16"/>
              </w:rPr>
              <w:noBreakHyphen/>
              <w:t>cig</w:t>
            </w:r>
            <w:r w:rsidRPr="000F6DEF">
              <w:rPr>
                <w:sz w:val="16"/>
                <w:szCs w:val="16"/>
              </w:rPr>
              <w:t xml:space="preserve">arette use among youths increased substantially during 2011–2015. In 2016, </w:t>
            </w:r>
            <w:r>
              <w:rPr>
                <w:sz w:val="16"/>
                <w:szCs w:val="16"/>
              </w:rPr>
              <w:t>e</w:t>
            </w:r>
            <w:r>
              <w:rPr>
                <w:sz w:val="16"/>
                <w:szCs w:val="16"/>
              </w:rPr>
              <w:noBreakHyphen/>
              <w:t>cig</w:t>
            </w:r>
            <w:r w:rsidRPr="000F6DEF">
              <w:rPr>
                <w:sz w:val="16"/>
                <w:szCs w:val="16"/>
              </w:rPr>
              <w:t xml:space="preserve">arettes were the most common tobacco product used among adolescents, although the overall prevalence of use declined from previous years </w:t>
            </w:r>
          </w:p>
        </w:tc>
      </w:tr>
      <w:tr w:rsidR="00B85C33" w:rsidRPr="000F6DEF" w14:paraId="6CB9F583" w14:textId="77777777" w:rsidTr="000376C7">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1435" w:type="dxa"/>
            <w:hideMark/>
          </w:tcPr>
          <w:p w14:paraId="28D9E124" w14:textId="77777777" w:rsidR="00B85C33" w:rsidRPr="000F6DEF" w:rsidRDefault="00B85C33" w:rsidP="000376C7">
            <w:pPr>
              <w:rPr>
                <w:sz w:val="16"/>
                <w:szCs w:val="16"/>
              </w:rPr>
            </w:pPr>
            <w:r w:rsidRPr="000F6DEF">
              <w:rPr>
                <w:sz w:val="16"/>
                <w:szCs w:val="16"/>
              </w:rPr>
              <w:t>Chaffee, Watkins, Glantz 2018</w:t>
            </w:r>
          </w:p>
        </w:tc>
        <w:tc>
          <w:tcPr>
            <w:tcW w:w="2044" w:type="dxa"/>
            <w:hideMark/>
          </w:tcPr>
          <w:p w14:paraId="499EDAB9"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sz w:val="16"/>
                <w:szCs w:val="16"/>
              </w:rPr>
            </w:pPr>
            <w:r w:rsidRPr="000F6DEF">
              <w:rPr>
                <w:sz w:val="16"/>
                <w:szCs w:val="16"/>
              </w:rPr>
              <w:t xml:space="preserve">We evaluated associations between </w:t>
            </w:r>
            <w:r>
              <w:rPr>
                <w:sz w:val="16"/>
                <w:szCs w:val="16"/>
              </w:rPr>
              <w:t>e</w:t>
            </w:r>
            <w:r>
              <w:rPr>
                <w:sz w:val="16"/>
                <w:szCs w:val="16"/>
              </w:rPr>
              <w:noBreakHyphen/>
              <w:t>cig</w:t>
            </w:r>
            <w:r w:rsidRPr="000F6DEF">
              <w:rPr>
                <w:sz w:val="16"/>
                <w:szCs w:val="16"/>
              </w:rPr>
              <w:t xml:space="preserve">arette use and progression to established smoking among adolescents who had already tried cigarettes. </w:t>
            </w:r>
          </w:p>
        </w:tc>
        <w:tc>
          <w:tcPr>
            <w:tcW w:w="6924" w:type="dxa"/>
            <w:hideMark/>
          </w:tcPr>
          <w:p w14:paraId="6E39D155"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sz w:val="16"/>
                <w:szCs w:val="16"/>
              </w:rPr>
            </w:pPr>
            <w:r w:rsidRPr="000F6DEF">
              <w:rPr>
                <w:sz w:val="16"/>
                <w:szCs w:val="16"/>
              </w:rPr>
              <w:t xml:space="preserve">Versus </w:t>
            </w:r>
            <w:r>
              <w:rPr>
                <w:sz w:val="16"/>
                <w:szCs w:val="16"/>
              </w:rPr>
              <w:t>e</w:t>
            </w:r>
            <w:r>
              <w:rPr>
                <w:sz w:val="16"/>
                <w:szCs w:val="16"/>
              </w:rPr>
              <w:noBreakHyphen/>
              <w:t>cig</w:t>
            </w:r>
            <w:r w:rsidRPr="000F6DEF">
              <w:rPr>
                <w:sz w:val="16"/>
                <w:szCs w:val="16"/>
              </w:rPr>
              <w:t xml:space="preserve">arette never use, having ever used </w:t>
            </w:r>
            <w:r>
              <w:rPr>
                <w:sz w:val="16"/>
                <w:szCs w:val="16"/>
              </w:rPr>
              <w:t>e</w:t>
            </w:r>
            <w:r>
              <w:rPr>
                <w:sz w:val="16"/>
                <w:szCs w:val="16"/>
              </w:rPr>
              <w:noBreakHyphen/>
              <w:t>cig</w:t>
            </w:r>
            <w:r w:rsidRPr="000F6DEF">
              <w:rPr>
                <w:sz w:val="16"/>
                <w:szCs w:val="16"/>
              </w:rPr>
              <w:t xml:space="preserve">arettes was positively associated with progression to established cigarette smoking (19.3% vs 9.7%), past 30-day smoking (38.8% vs 26.6%), and current established smoking (15.6% vs 7.1%). In adjusted models, </w:t>
            </w:r>
            <w:r>
              <w:rPr>
                <w:sz w:val="16"/>
                <w:szCs w:val="16"/>
              </w:rPr>
              <w:t>e</w:t>
            </w:r>
            <w:r>
              <w:rPr>
                <w:sz w:val="16"/>
                <w:szCs w:val="16"/>
              </w:rPr>
              <w:noBreakHyphen/>
              <w:t>cig</w:t>
            </w:r>
            <w:r w:rsidRPr="000F6DEF">
              <w:rPr>
                <w:sz w:val="16"/>
                <w:szCs w:val="16"/>
              </w:rPr>
              <w:t>arette ever use positively predicted current established smoking (OR: 1.80; 95% CI: 1.04-3.12) but did not reach statistical significance (alpha=.05) for established smoking (OR: 1.57; 95% CI: 0.99-2.49) and past 30-day smoking (OR: 1.32; 95% CI: 0.99-1.76).</w:t>
            </w:r>
          </w:p>
        </w:tc>
        <w:tc>
          <w:tcPr>
            <w:tcW w:w="4510" w:type="dxa"/>
            <w:hideMark/>
          </w:tcPr>
          <w:p w14:paraId="3B2099D3"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sz w:val="16"/>
                <w:szCs w:val="16"/>
              </w:rPr>
            </w:pPr>
            <w:r w:rsidRPr="000F6DEF">
              <w:rPr>
                <w:sz w:val="16"/>
                <w:szCs w:val="16"/>
              </w:rPr>
              <w:t xml:space="preserve">Among adolescent cigarette experimenters, using </w:t>
            </w:r>
            <w:r>
              <w:rPr>
                <w:sz w:val="16"/>
                <w:szCs w:val="16"/>
              </w:rPr>
              <w:t>e</w:t>
            </w:r>
            <w:r>
              <w:rPr>
                <w:sz w:val="16"/>
                <w:szCs w:val="16"/>
              </w:rPr>
              <w:noBreakHyphen/>
              <w:t>cig</w:t>
            </w:r>
            <w:r w:rsidRPr="000F6DEF">
              <w:rPr>
                <w:sz w:val="16"/>
                <w:szCs w:val="16"/>
              </w:rPr>
              <w:t xml:space="preserve">arettes was positively and independently associated with progression to current established smoking, suggesting that </w:t>
            </w:r>
            <w:r>
              <w:rPr>
                <w:sz w:val="16"/>
                <w:szCs w:val="16"/>
              </w:rPr>
              <w:t>e</w:t>
            </w:r>
            <w:r>
              <w:rPr>
                <w:sz w:val="16"/>
                <w:szCs w:val="16"/>
              </w:rPr>
              <w:noBreakHyphen/>
              <w:t>cig</w:t>
            </w:r>
            <w:r w:rsidRPr="000F6DEF">
              <w:rPr>
                <w:sz w:val="16"/>
                <w:szCs w:val="16"/>
              </w:rPr>
              <w:t>arettes do not divert from, and may encourage, cigarette smoking in this population.</w:t>
            </w:r>
          </w:p>
        </w:tc>
      </w:tr>
      <w:tr w:rsidR="00B85C33" w:rsidRPr="000F6DEF" w14:paraId="57EBF8FF" w14:textId="77777777" w:rsidTr="000376C7">
        <w:trPr>
          <w:trHeight w:val="1134"/>
        </w:trPr>
        <w:tc>
          <w:tcPr>
            <w:cnfStyle w:val="001000000000" w:firstRow="0" w:lastRow="0" w:firstColumn="1" w:lastColumn="0" w:oddVBand="0" w:evenVBand="0" w:oddHBand="0" w:evenHBand="0" w:firstRowFirstColumn="0" w:firstRowLastColumn="0" w:lastRowFirstColumn="0" w:lastRowLastColumn="0"/>
            <w:tcW w:w="1435" w:type="dxa"/>
            <w:hideMark/>
          </w:tcPr>
          <w:p w14:paraId="350C95D5" w14:textId="77777777" w:rsidR="00B85C33" w:rsidRPr="000F6DEF" w:rsidRDefault="00B85C33" w:rsidP="000376C7">
            <w:pPr>
              <w:rPr>
                <w:sz w:val="16"/>
                <w:szCs w:val="16"/>
              </w:rPr>
            </w:pPr>
            <w:r w:rsidRPr="000F6DEF">
              <w:rPr>
                <w:sz w:val="16"/>
                <w:szCs w:val="16"/>
              </w:rPr>
              <w:t>Nicksic, Snell, Barnes 2017</w:t>
            </w:r>
          </w:p>
        </w:tc>
        <w:tc>
          <w:tcPr>
            <w:tcW w:w="2044" w:type="dxa"/>
            <w:hideMark/>
          </w:tcPr>
          <w:p w14:paraId="3EDCCDF1"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sz w:val="16"/>
                <w:szCs w:val="16"/>
              </w:rPr>
            </w:pPr>
            <w:r w:rsidRPr="000F6DEF">
              <w:rPr>
                <w:sz w:val="16"/>
                <w:szCs w:val="16"/>
              </w:rPr>
              <w:t xml:space="preserve">The current study not only measures </w:t>
            </w:r>
            <w:r>
              <w:rPr>
                <w:sz w:val="16"/>
                <w:szCs w:val="16"/>
              </w:rPr>
              <w:t>e</w:t>
            </w:r>
            <w:r>
              <w:rPr>
                <w:sz w:val="16"/>
                <w:szCs w:val="16"/>
              </w:rPr>
              <w:noBreakHyphen/>
              <w:t>cig</w:t>
            </w:r>
            <w:r w:rsidRPr="000F6DEF">
              <w:rPr>
                <w:sz w:val="16"/>
                <w:szCs w:val="16"/>
              </w:rPr>
              <w:t xml:space="preserve">arette advertisement exposure, but also determines participants’ receptivity to </w:t>
            </w:r>
            <w:r>
              <w:rPr>
                <w:sz w:val="16"/>
                <w:szCs w:val="16"/>
              </w:rPr>
              <w:t>e</w:t>
            </w:r>
            <w:r>
              <w:rPr>
                <w:sz w:val="16"/>
                <w:szCs w:val="16"/>
              </w:rPr>
              <w:noBreakHyphen/>
              <w:t>cig</w:t>
            </w:r>
            <w:r w:rsidRPr="000F6DEF">
              <w:rPr>
                <w:sz w:val="16"/>
                <w:szCs w:val="16"/>
              </w:rPr>
              <w:t xml:space="preserve">arette advertisements by randomizing exposure to common </w:t>
            </w:r>
            <w:r>
              <w:rPr>
                <w:sz w:val="16"/>
                <w:szCs w:val="16"/>
              </w:rPr>
              <w:t>e</w:t>
            </w:r>
            <w:r>
              <w:rPr>
                <w:sz w:val="16"/>
                <w:szCs w:val="16"/>
              </w:rPr>
              <w:noBreakHyphen/>
              <w:t>cig</w:t>
            </w:r>
            <w:r w:rsidRPr="000F6DEF">
              <w:rPr>
                <w:sz w:val="16"/>
                <w:szCs w:val="16"/>
              </w:rPr>
              <w:t>arette advertisements.</w:t>
            </w:r>
          </w:p>
        </w:tc>
        <w:tc>
          <w:tcPr>
            <w:tcW w:w="6924" w:type="dxa"/>
            <w:hideMark/>
          </w:tcPr>
          <w:p w14:paraId="37D56DEB"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sz w:val="16"/>
                <w:szCs w:val="16"/>
              </w:rPr>
            </w:pPr>
            <w:r w:rsidRPr="000F6DEF">
              <w:rPr>
                <w:sz w:val="16"/>
                <w:szCs w:val="16"/>
              </w:rPr>
              <w:t xml:space="preserve">Ever use among youth was higher for conventional cigarettes than </w:t>
            </w:r>
            <w:r>
              <w:rPr>
                <w:sz w:val="16"/>
                <w:szCs w:val="16"/>
              </w:rPr>
              <w:t>e</w:t>
            </w:r>
            <w:r>
              <w:rPr>
                <w:sz w:val="16"/>
                <w:szCs w:val="16"/>
              </w:rPr>
              <w:noBreakHyphen/>
              <w:t>cig</w:t>
            </w:r>
            <w:r w:rsidRPr="000F6DEF">
              <w:rPr>
                <w:sz w:val="16"/>
                <w:szCs w:val="16"/>
              </w:rPr>
              <w:t xml:space="preserve">arettes (15% vs. 12%). The same pattern was observed for current use (5% for conventional cigarettes vs. 3.5% for </w:t>
            </w:r>
            <w:r>
              <w:rPr>
                <w:sz w:val="16"/>
                <w:szCs w:val="16"/>
              </w:rPr>
              <w:t>e</w:t>
            </w:r>
            <w:r>
              <w:rPr>
                <w:sz w:val="16"/>
                <w:szCs w:val="16"/>
              </w:rPr>
              <w:noBreakHyphen/>
              <w:t>cig</w:t>
            </w:r>
            <w:r w:rsidRPr="000F6DEF">
              <w:rPr>
                <w:sz w:val="16"/>
                <w:szCs w:val="16"/>
              </w:rPr>
              <w:t>arettes.</w:t>
            </w:r>
            <w:r w:rsidRPr="000F6DEF">
              <w:rPr>
                <w:sz w:val="16"/>
                <w:szCs w:val="16"/>
              </w:rPr>
              <w:br/>
              <w:t xml:space="preserve">A third of youth who were never-users were susceptible to future use of both </w:t>
            </w:r>
            <w:r>
              <w:rPr>
                <w:sz w:val="16"/>
                <w:szCs w:val="16"/>
              </w:rPr>
              <w:t>e</w:t>
            </w:r>
            <w:r>
              <w:rPr>
                <w:sz w:val="16"/>
                <w:szCs w:val="16"/>
              </w:rPr>
              <w:noBreakHyphen/>
              <w:t>cig</w:t>
            </w:r>
            <w:r w:rsidRPr="000F6DEF">
              <w:rPr>
                <w:sz w:val="16"/>
                <w:szCs w:val="16"/>
              </w:rPr>
              <w:t xml:space="preserve">arettes (34.7%). Additionally, 34% were exposed to at least one </w:t>
            </w:r>
            <w:r>
              <w:rPr>
                <w:sz w:val="16"/>
                <w:szCs w:val="16"/>
              </w:rPr>
              <w:t>e</w:t>
            </w:r>
            <w:r>
              <w:rPr>
                <w:sz w:val="16"/>
                <w:szCs w:val="16"/>
              </w:rPr>
              <w:noBreakHyphen/>
              <w:t>cig</w:t>
            </w:r>
            <w:r w:rsidRPr="000F6DEF">
              <w:rPr>
                <w:sz w:val="16"/>
                <w:szCs w:val="16"/>
              </w:rPr>
              <w:t xml:space="preserve">arette advertisement, while 57% were receptive. </w:t>
            </w:r>
            <w:r w:rsidRPr="000F6DEF">
              <w:rPr>
                <w:sz w:val="16"/>
                <w:szCs w:val="16"/>
              </w:rPr>
              <w:br/>
              <w:t xml:space="preserve">Youth exposed and receptive to </w:t>
            </w:r>
            <w:r>
              <w:rPr>
                <w:sz w:val="16"/>
                <w:szCs w:val="16"/>
              </w:rPr>
              <w:t>e</w:t>
            </w:r>
            <w:r>
              <w:rPr>
                <w:sz w:val="16"/>
                <w:szCs w:val="16"/>
              </w:rPr>
              <w:noBreakHyphen/>
              <w:t>cig</w:t>
            </w:r>
            <w:r w:rsidRPr="000F6DEF">
              <w:rPr>
                <w:sz w:val="16"/>
                <w:szCs w:val="16"/>
              </w:rPr>
              <w:t xml:space="preserve">arette advertisements are 6.8 percentage points (PP) more likely to be </w:t>
            </w:r>
            <w:r>
              <w:rPr>
                <w:sz w:val="16"/>
                <w:szCs w:val="16"/>
              </w:rPr>
              <w:t>e</w:t>
            </w:r>
            <w:r>
              <w:rPr>
                <w:sz w:val="16"/>
                <w:szCs w:val="16"/>
              </w:rPr>
              <w:noBreakHyphen/>
              <w:t>cig</w:t>
            </w:r>
            <w:r w:rsidRPr="000F6DEF">
              <w:rPr>
                <w:sz w:val="16"/>
                <w:szCs w:val="16"/>
              </w:rPr>
              <w:t>arette ever users compared to non-exposed, non-receptive youth (16.4% vs 9.6%).</w:t>
            </w:r>
            <w:r w:rsidRPr="000F6DEF">
              <w:rPr>
                <w:sz w:val="16"/>
                <w:szCs w:val="16"/>
              </w:rPr>
              <w:br/>
              <w:t xml:space="preserve">Our results document an association between </w:t>
            </w:r>
            <w:r>
              <w:rPr>
                <w:sz w:val="16"/>
                <w:szCs w:val="16"/>
              </w:rPr>
              <w:t>e</w:t>
            </w:r>
            <w:r>
              <w:rPr>
                <w:sz w:val="16"/>
                <w:szCs w:val="16"/>
              </w:rPr>
              <w:noBreakHyphen/>
              <w:t>cig</w:t>
            </w:r>
            <w:r w:rsidRPr="000F6DEF">
              <w:rPr>
                <w:sz w:val="16"/>
                <w:szCs w:val="16"/>
              </w:rPr>
              <w:t xml:space="preserve">arette advertising exposure and </w:t>
            </w:r>
            <w:r>
              <w:rPr>
                <w:sz w:val="16"/>
                <w:szCs w:val="16"/>
              </w:rPr>
              <w:t>e</w:t>
            </w:r>
            <w:r>
              <w:rPr>
                <w:sz w:val="16"/>
                <w:szCs w:val="16"/>
              </w:rPr>
              <w:noBreakHyphen/>
              <w:t>cig</w:t>
            </w:r>
            <w:r w:rsidRPr="000F6DEF">
              <w:rPr>
                <w:sz w:val="16"/>
                <w:szCs w:val="16"/>
              </w:rPr>
              <w:t>arette ever use, current use, and susceptibility to future use among youth.</w:t>
            </w:r>
          </w:p>
        </w:tc>
        <w:tc>
          <w:tcPr>
            <w:tcW w:w="4510" w:type="dxa"/>
            <w:hideMark/>
          </w:tcPr>
          <w:p w14:paraId="11E6A245"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sz w:val="16"/>
                <w:szCs w:val="16"/>
              </w:rPr>
            </w:pPr>
            <w:r w:rsidRPr="000F6DEF">
              <w:rPr>
                <w:sz w:val="16"/>
                <w:szCs w:val="16"/>
              </w:rPr>
              <w:t xml:space="preserve">Our study illustrates the critical association between advertising exposure and receptivity with </w:t>
            </w:r>
            <w:r>
              <w:rPr>
                <w:sz w:val="16"/>
                <w:szCs w:val="16"/>
              </w:rPr>
              <w:t>e</w:t>
            </w:r>
            <w:r>
              <w:rPr>
                <w:sz w:val="16"/>
                <w:szCs w:val="16"/>
              </w:rPr>
              <w:noBreakHyphen/>
              <w:t>cig</w:t>
            </w:r>
            <w:r w:rsidRPr="000F6DEF">
              <w:rPr>
                <w:sz w:val="16"/>
                <w:szCs w:val="16"/>
              </w:rPr>
              <w:t xml:space="preserve">arette and conventional cigarette use behaviours and can inform policies at federal, state, and local levels aimed at restricting </w:t>
            </w:r>
            <w:r>
              <w:rPr>
                <w:sz w:val="16"/>
                <w:szCs w:val="16"/>
              </w:rPr>
              <w:t>e</w:t>
            </w:r>
            <w:r>
              <w:rPr>
                <w:sz w:val="16"/>
                <w:szCs w:val="16"/>
              </w:rPr>
              <w:noBreakHyphen/>
              <w:t>cig</w:t>
            </w:r>
            <w:r w:rsidRPr="000F6DEF">
              <w:rPr>
                <w:sz w:val="16"/>
                <w:szCs w:val="16"/>
              </w:rPr>
              <w:t>arette advertising to prevent initiation of and continued tobacco use among youth.</w:t>
            </w:r>
          </w:p>
        </w:tc>
      </w:tr>
      <w:tr w:rsidR="00B85C33" w:rsidRPr="000F6DEF" w14:paraId="551BF725" w14:textId="77777777" w:rsidTr="000376C7">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435" w:type="dxa"/>
            <w:hideMark/>
          </w:tcPr>
          <w:p w14:paraId="12BC36DD" w14:textId="77777777" w:rsidR="00B85C33" w:rsidRPr="000F6DEF" w:rsidRDefault="00B85C33" w:rsidP="000376C7">
            <w:pPr>
              <w:rPr>
                <w:sz w:val="16"/>
                <w:szCs w:val="16"/>
              </w:rPr>
            </w:pPr>
            <w:r w:rsidRPr="000F6DEF">
              <w:rPr>
                <w:sz w:val="16"/>
                <w:szCs w:val="16"/>
              </w:rPr>
              <w:t>Demisse, Everett Jones, Clayton et al 2017</w:t>
            </w:r>
          </w:p>
        </w:tc>
        <w:tc>
          <w:tcPr>
            <w:tcW w:w="2044" w:type="dxa"/>
            <w:hideMark/>
          </w:tcPr>
          <w:p w14:paraId="59918929" w14:textId="3E9F787B"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sz w:val="16"/>
                <w:szCs w:val="16"/>
              </w:rPr>
            </w:pPr>
            <w:r w:rsidRPr="000F6DEF">
              <w:rPr>
                <w:sz w:val="16"/>
                <w:szCs w:val="16"/>
              </w:rPr>
              <w:t>We assessed the prevalence and frequency of cigarette smoking and EVP (electronic vapour products) use among high school students, and associations between health-risk behaviours and both cigarette smoking and EVP use</w:t>
            </w:r>
            <w:r w:rsidR="00CE05B6">
              <w:rPr>
                <w:sz w:val="16"/>
                <w:szCs w:val="16"/>
              </w:rPr>
              <w:t>.</w:t>
            </w:r>
          </w:p>
        </w:tc>
        <w:tc>
          <w:tcPr>
            <w:tcW w:w="6924" w:type="dxa"/>
            <w:hideMark/>
          </w:tcPr>
          <w:p w14:paraId="3F47D1AC"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sz w:val="16"/>
                <w:szCs w:val="16"/>
              </w:rPr>
            </w:pPr>
            <w:r w:rsidRPr="000F6DEF">
              <w:rPr>
                <w:sz w:val="16"/>
                <w:szCs w:val="16"/>
              </w:rPr>
              <w:t>15.8% used EVP and 7.5% dual users</w:t>
            </w:r>
            <w:r w:rsidRPr="000F6DEF">
              <w:rPr>
                <w:sz w:val="16"/>
                <w:szCs w:val="16"/>
              </w:rPr>
              <w:br/>
              <w:t>EVP use is associated with other health-risk behaviours. For a majority of the behaviours examined in this study, cigarette-only smokers and EVP-only users were as likely to engage in that behaviour, suggesting that the associations between health-risk behaviours and EVP use mirror the associations between health-risk behaviours and conventional cigarettes.</w:t>
            </w:r>
            <w:r w:rsidRPr="000F6DEF">
              <w:rPr>
                <w:sz w:val="16"/>
                <w:szCs w:val="16"/>
              </w:rPr>
              <w:br/>
              <w:t>Cigarette-only smokers, EVP-only users, and dual users were more likely than nonusers to engage in several injury, violence, and substance use behaviours; have &gt;/=4 lifetime sexual partners; be currently sexually active; and drink soda &gt;/=3 times/day. Only dual users were more likely than nonusers not to use a condom at last sexual intercourse.</w:t>
            </w:r>
          </w:p>
        </w:tc>
        <w:tc>
          <w:tcPr>
            <w:tcW w:w="4510" w:type="dxa"/>
          </w:tcPr>
          <w:p w14:paraId="41437CEA"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sz w:val="16"/>
                <w:szCs w:val="16"/>
              </w:rPr>
            </w:pPr>
            <w:r w:rsidRPr="000F6DEF">
              <w:rPr>
                <w:sz w:val="16"/>
                <w:szCs w:val="16"/>
              </w:rPr>
              <w:t>EVP use, alone and concurrent with cigarette smoking, is associated with health-risk behaviours among high school students.</w:t>
            </w:r>
          </w:p>
        </w:tc>
      </w:tr>
      <w:tr w:rsidR="00B85C33" w:rsidRPr="000F6DEF" w14:paraId="339DE387" w14:textId="77777777" w:rsidTr="000376C7">
        <w:trPr>
          <w:trHeight w:val="1134"/>
        </w:trPr>
        <w:tc>
          <w:tcPr>
            <w:cnfStyle w:val="001000000000" w:firstRow="0" w:lastRow="0" w:firstColumn="1" w:lastColumn="0" w:oddVBand="0" w:evenVBand="0" w:oddHBand="0" w:evenHBand="0" w:firstRowFirstColumn="0" w:firstRowLastColumn="0" w:lastRowFirstColumn="0" w:lastRowLastColumn="0"/>
            <w:tcW w:w="1435" w:type="dxa"/>
            <w:hideMark/>
          </w:tcPr>
          <w:p w14:paraId="2CE533FD" w14:textId="77777777" w:rsidR="00B85C33" w:rsidRPr="000F6DEF" w:rsidRDefault="00B85C33" w:rsidP="000376C7">
            <w:pPr>
              <w:rPr>
                <w:sz w:val="16"/>
                <w:szCs w:val="16"/>
              </w:rPr>
            </w:pPr>
            <w:r w:rsidRPr="000F6DEF">
              <w:rPr>
                <w:sz w:val="16"/>
                <w:szCs w:val="16"/>
              </w:rPr>
              <w:lastRenderedPageBreak/>
              <w:t>Giovacchini, Pacek, McClernon, Que 2017</w:t>
            </w:r>
          </w:p>
        </w:tc>
        <w:tc>
          <w:tcPr>
            <w:tcW w:w="2044" w:type="dxa"/>
            <w:hideMark/>
          </w:tcPr>
          <w:p w14:paraId="700839D0"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sz w:val="16"/>
                <w:szCs w:val="16"/>
              </w:rPr>
            </w:pPr>
            <w:r w:rsidRPr="000F6DEF">
              <w:rPr>
                <w:sz w:val="16"/>
                <w:szCs w:val="16"/>
              </w:rPr>
              <w:t xml:space="preserve">To describe the lifetime use and perceived risk of </w:t>
            </w:r>
            <w:r>
              <w:rPr>
                <w:sz w:val="16"/>
                <w:szCs w:val="16"/>
              </w:rPr>
              <w:t>e</w:t>
            </w:r>
            <w:r>
              <w:rPr>
                <w:sz w:val="16"/>
                <w:szCs w:val="16"/>
              </w:rPr>
              <w:noBreakHyphen/>
              <w:t>cig</w:t>
            </w:r>
            <w:r w:rsidRPr="000F6DEF">
              <w:rPr>
                <w:sz w:val="16"/>
                <w:szCs w:val="16"/>
              </w:rPr>
              <w:t xml:space="preserve">arette use in the context of other risk-taking behaviours among adolescents in North Carolina. </w:t>
            </w:r>
          </w:p>
        </w:tc>
        <w:tc>
          <w:tcPr>
            <w:tcW w:w="6924" w:type="dxa"/>
            <w:hideMark/>
          </w:tcPr>
          <w:p w14:paraId="069ED6A7"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sz w:val="16"/>
                <w:szCs w:val="16"/>
              </w:rPr>
            </w:pPr>
            <w:r w:rsidRPr="000F6DEF">
              <w:rPr>
                <w:sz w:val="16"/>
                <w:szCs w:val="16"/>
              </w:rPr>
              <w:t xml:space="preserve">Ever-use of </w:t>
            </w:r>
            <w:r>
              <w:rPr>
                <w:sz w:val="16"/>
                <w:szCs w:val="16"/>
              </w:rPr>
              <w:t>e</w:t>
            </w:r>
            <w:r>
              <w:rPr>
                <w:sz w:val="16"/>
                <w:szCs w:val="16"/>
              </w:rPr>
              <w:noBreakHyphen/>
              <w:t>cig</w:t>
            </w:r>
            <w:r w:rsidRPr="000F6DEF">
              <w:rPr>
                <w:sz w:val="16"/>
                <w:szCs w:val="16"/>
              </w:rPr>
              <w:t>arettes (37.2%)</w:t>
            </w:r>
            <w:r w:rsidRPr="000F6DEF">
              <w:rPr>
                <w:sz w:val="16"/>
                <w:szCs w:val="16"/>
              </w:rPr>
              <w:br/>
              <w:t xml:space="preserve">Most (73.7%) perceived cigarette use to pose a great health risk, while 33.6% perceived </w:t>
            </w:r>
            <w:r>
              <w:rPr>
                <w:sz w:val="16"/>
                <w:szCs w:val="16"/>
              </w:rPr>
              <w:t>e</w:t>
            </w:r>
            <w:r>
              <w:rPr>
                <w:sz w:val="16"/>
                <w:szCs w:val="16"/>
              </w:rPr>
              <w:noBreakHyphen/>
              <w:t>cig</w:t>
            </w:r>
            <w:r w:rsidRPr="000F6DEF">
              <w:rPr>
                <w:sz w:val="16"/>
                <w:szCs w:val="16"/>
              </w:rPr>
              <w:t xml:space="preserve">arette use to pose a great health risk. The majority perceived that their friends (95.4%) and parents (95.3%) would perceive </w:t>
            </w:r>
            <w:r>
              <w:rPr>
                <w:sz w:val="16"/>
                <w:szCs w:val="16"/>
              </w:rPr>
              <w:t>e</w:t>
            </w:r>
            <w:r>
              <w:rPr>
                <w:sz w:val="16"/>
                <w:szCs w:val="16"/>
              </w:rPr>
              <w:noBreakHyphen/>
              <w:t>cig</w:t>
            </w:r>
            <w:r w:rsidRPr="000F6DEF">
              <w:rPr>
                <w:sz w:val="16"/>
                <w:szCs w:val="16"/>
              </w:rPr>
              <w:t xml:space="preserve">arette use to be wrong or very wrong. Compared to non-users, ever-users of </w:t>
            </w:r>
            <w:r>
              <w:rPr>
                <w:sz w:val="16"/>
                <w:szCs w:val="16"/>
              </w:rPr>
              <w:t>e</w:t>
            </w:r>
            <w:r>
              <w:rPr>
                <w:sz w:val="16"/>
                <w:szCs w:val="16"/>
              </w:rPr>
              <w:noBreakHyphen/>
              <w:t>cig</w:t>
            </w:r>
            <w:r w:rsidRPr="000F6DEF">
              <w:rPr>
                <w:sz w:val="16"/>
                <w:szCs w:val="16"/>
              </w:rPr>
              <w:t xml:space="preserve">arettes were more likely to be African American (13.6% versus 22.8%) and less likely to be Asian (16.0% versus 8.6%; P=0.006). A greater proportion of </w:t>
            </w:r>
            <w:r>
              <w:rPr>
                <w:sz w:val="16"/>
                <w:szCs w:val="16"/>
              </w:rPr>
              <w:t>e</w:t>
            </w:r>
            <w:r>
              <w:rPr>
                <w:sz w:val="16"/>
                <w:szCs w:val="16"/>
              </w:rPr>
              <w:noBreakHyphen/>
              <w:t>cig</w:t>
            </w:r>
            <w:r w:rsidRPr="000F6DEF">
              <w:rPr>
                <w:sz w:val="16"/>
                <w:szCs w:val="16"/>
              </w:rPr>
              <w:t>arette users than non-users reported Hispanic ethnicity (22.8% versus 15.2%).</w:t>
            </w:r>
            <w:r w:rsidRPr="000F6DEF">
              <w:rPr>
                <w:sz w:val="16"/>
                <w:szCs w:val="16"/>
              </w:rPr>
              <w:br/>
              <w:t xml:space="preserve">There was a statistically significant association between being an ever-user of </w:t>
            </w:r>
            <w:r>
              <w:rPr>
                <w:sz w:val="16"/>
                <w:szCs w:val="16"/>
              </w:rPr>
              <w:t>e</w:t>
            </w:r>
            <w:r>
              <w:rPr>
                <w:sz w:val="16"/>
                <w:szCs w:val="16"/>
              </w:rPr>
              <w:noBreakHyphen/>
              <w:t>cig</w:t>
            </w:r>
            <w:r w:rsidRPr="000F6DEF">
              <w:rPr>
                <w:sz w:val="16"/>
                <w:szCs w:val="16"/>
              </w:rPr>
              <w:t xml:space="preserve">arettes and higher school grade; among those reporting ever-use of </w:t>
            </w:r>
            <w:r>
              <w:rPr>
                <w:sz w:val="16"/>
                <w:szCs w:val="16"/>
              </w:rPr>
              <w:t>e</w:t>
            </w:r>
            <w:r>
              <w:rPr>
                <w:sz w:val="16"/>
                <w:szCs w:val="16"/>
              </w:rPr>
              <w:noBreakHyphen/>
              <w:t>cig</w:t>
            </w:r>
            <w:r w:rsidRPr="000F6DEF">
              <w:rPr>
                <w:sz w:val="16"/>
                <w:szCs w:val="16"/>
              </w:rPr>
              <w:t>arettes, 18.9% were in 9th grade compared to 32.9% in 12th grade (p&lt;0.001).</w:t>
            </w:r>
            <w:r w:rsidRPr="000F6DEF">
              <w:rPr>
                <w:sz w:val="16"/>
                <w:szCs w:val="16"/>
              </w:rPr>
              <w:br/>
              <w:t xml:space="preserve">Ever-users of </w:t>
            </w:r>
            <w:r>
              <w:rPr>
                <w:sz w:val="16"/>
                <w:szCs w:val="16"/>
              </w:rPr>
              <w:t>e</w:t>
            </w:r>
            <w:r>
              <w:rPr>
                <w:sz w:val="16"/>
                <w:szCs w:val="16"/>
              </w:rPr>
              <w:noBreakHyphen/>
              <w:t>cig</w:t>
            </w:r>
            <w:r w:rsidRPr="000F6DEF">
              <w:rPr>
                <w:sz w:val="16"/>
                <w:szCs w:val="16"/>
              </w:rPr>
              <w:t>arettes had significantly higher odds of having ever used alcohol and/or illicit drugs.</w:t>
            </w:r>
          </w:p>
        </w:tc>
        <w:tc>
          <w:tcPr>
            <w:tcW w:w="4510" w:type="dxa"/>
          </w:tcPr>
          <w:p w14:paraId="169D8256"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E</w:t>
            </w:r>
            <w:r>
              <w:rPr>
                <w:sz w:val="16"/>
                <w:szCs w:val="16"/>
              </w:rPr>
              <w:noBreakHyphen/>
              <w:t>cig</w:t>
            </w:r>
            <w:r w:rsidRPr="000F6DEF">
              <w:rPr>
                <w:sz w:val="16"/>
                <w:szCs w:val="16"/>
              </w:rPr>
              <w:t xml:space="preserve">arette use among adolescents in North Carolina correlates positively with perceived friends' views of </w:t>
            </w:r>
            <w:r>
              <w:rPr>
                <w:sz w:val="16"/>
                <w:szCs w:val="16"/>
              </w:rPr>
              <w:t>e</w:t>
            </w:r>
            <w:r>
              <w:rPr>
                <w:sz w:val="16"/>
                <w:szCs w:val="16"/>
              </w:rPr>
              <w:noBreakHyphen/>
              <w:t>cig</w:t>
            </w:r>
            <w:r w:rsidRPr="000F6DEF">
              <w:rPr>
                <w:sz w:val="16"/>
                <w:szCs w:val="16"/>
              </w:rPr>
              <w:t xml:space="preserve">arettes, and use correlates negatively with personal perception of the risk of </w:t>
            </w:r>
            <w:r>
              <w:rPr>
                <w:sz w:val="16"/>
                <w:szCs w:val="16"/>
              </w:rPr>
              <w:t>e</w:t>
            </w:r>
            <w:r>
              <w:rPr>
                <w:sz w:val="16"/>
                <w:szCs w:val="16"/>
              </w:rPr>
              <w:noBreakHyphen/>
              <w:t>cig</w:t>
            </w:r>
            <w:r w:rsidRPr="000F6DEF">
              <w:rPr>
                <w:sz w:val="16"/>
                <w:szCs w:val="16"/>
              </w:rPr>
              <w:t>arettes.</w:t>
            </w:r>
          </w:p>
        </w:tc>
      </w:tr>
      <w:tr w:rsidR="00B85C33" w:rsidRPr="000F6DEF" w14:paraId="1D10E8DE" w14:textId="77777777" w:rsidTr="000376C7">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435" w:type="dxa"/>
          </w:tcPr>
          <w:p w14:paraId="4B2E740E" w14:textId="77777777" w:rsidR="00B85C33" w:rsidRPr="000F6DEF" w:rsidRDefault="00B85C33" w:rsidP="000376C7">
            <w:pPr>
              <w:rPr>
                <w:sz w:val="16"/>
                <w:szCs w:val="16"/>
              </w:rPr>
            </w:pPr>
            <w:r w:rsidRPr="000F6DEF">
              <w:rPr>
                <w:sz w:val="16"/>
                <w:szCs w:val="16"/>
              </w:rPr>
              <w:t>Kwon, Seo et al. 2018</w:t>
            </w:r>
          </w:p>
        </w:tc>
        <w:tc>
          <w:tcPr>
            <w:tcW w:w="2044" w:type="dxa"/>
          </w:tcPr>
          <w:p w14:paraId="502717E6" w14:textId="27ABFBCD" w:rsidR="00B85C33" w:rsidRPr="000F6DEF" w:rsidDel="00A01A55" w:rsidRDefault="00B85C33" w:rsidP="000376C7">
            <w:pPr>
              <w:cnfStyle w:val="000000100000" w:firstRow="0" w:lastRow="0" w:firstColumn="0" w:lastColumn="0" w:oddVBand="0" w:evenVBand="0" w:oddHBand="1" w:evenHBand="0" w:firstRowFirstColumn="0" w:firstRowLastColumn="0" w:lastRowFirstColumn="0" w:lastRowLastColumn="0"/>
              <w:rPr>
                <w:sz w:val="16"/>
                <w:szCs w:val="16"/>
              </w:rPr>
            </w:pPr>
            <w:r w:rsidRPr="000F6DEF">
              <w:rPr>
                <w:sz w:val="16"/>
                <w:szCs w:val="16"/>
              </w:rPr>
              <w:t xml:space="preserve">Predictors of </w:t>
            </w:r>
            <w:r>
              <w:rPr>
                <w:sz w:val="16"/>
                <w:szCs w:val="16"/>
              </w:rPr>
              <w:t>e</w:t>
            </w:r>
            <w:r>
              <w:rPr>
                <w:sz w:val="16"/>
                <w:szCs w:val="16"/>
              </w:rPr>
              <w:noBreakHyphen/>
              <w:t>cig</w:t>
            </w:r>
            <w:r w:rsidRPr="000F6DEF">
              <w:rPr>
                <w:sz w:val="16"/>
                <w:szCs w:val="16"/>
              </w:rPr>
              <w:t>arette susceptibility in youth</w:t>
            </w:r>
            <w:r w:rsidR="00CE05B6">
              <w:rPr>
                <w:sz w:val="16"/>
                <w:szCs w:val="16"/>
              </w:rPr>
              <w:t>.</w:t>
            </w:r>
          </w:p>
        </w:tc>
        <w:tc>
          <w:tcPr>
            <w:tcW w:w="6924" w:type="dxa"/>
          </w:tcPr>
          <w:p w14:paraId="06CCB218"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sz w:val="16"/>
                <w:szCs w:val="16"/>
              </w:rPr>
            </w:pPr>
            <w:r w:rsidRPr="000F6DEF">
              <w:rPr>
                <w:sz w:val="16"/>
                <w:szCs w:val="16"/>
              </w:rPr>
              <w:t xml:space="preserve">Overall, 24.2% (n=2410) of youth who have never used </w:t>
            </w:r>
            <w:r>
              <w:rPr>
                <w:sz w:val="16"/>
                <w:szCs w:val="16"/>
              </w:rPr>
              <w:t>e</w:t>
            </w:r>
            <w:r>
              <w:rPr>
                <w:sz w:val="16"/>
                <w:szCs w:val="16"/>
              </w:rPr>
              <w:noBreakHyphen/>
              <w:t>cig</w:t>
            </w:r>
            <w:r w:rsidRPr="000F6DEF">
              <w:rPr>
                <w:sz w:val="16"/>
                <w:szCs w:val="16"/>
              </w:rPr>
              <w:t xml:space="preserve">arettes were susceptible to </w:t>
            </w:r>
            <w:r>
              <w:rPr>
                <w:sz w:val="16"/>
                <w:szCs w:val="16"/>
              </w:rPr>
              <w:t>e</w:t>
            </w:r>
            <w:r>
              <w:rPr>
                <w:sz w:val="16"/>
                <w:szCs w:val="16"/>
              </w:rPr>
              <w:noBreakHyphen/>
              <w:t>cig</w:t>
            </w:r>
            <w:r w:rsidRPr="000F6DEF">
              <w:rPr>
                <w:sz w:val="16"/>
                <w:szCs w:val="16"/>
              </w:rPr>
              <w:t xml:space="preserve">arette use. Psychological problems and rebelliousness were associated with increased susceptibility. Ever use of alcohol, marijuana, and other substances and household secondhand smoke exposure were found to be risk factors. Perceptions of </w:t>
            </w:r>
            <w:r>
              <w:rPr>
                <w:sz w:val="16"/>
                <w:szCs w:val="16"/>
              </w:rPr>
              <w:t>e</w:t>
            </w:r>
            <w:r>
              <w:rPr>
                <w:sz w:val="16"/>
                <w:szCs w:val="16"/>
              </w:rPr>
              <w:noBreakHyphen/>
              <w:t>cig</w:t>
            </w:r>
            <w:r w:rsidRPr="000F6DEF">
              <w:rPr>
                <w:sz w:val="16"/>
                <w:szCs w:val="16"/>
              </w:rPr>
              <w:t>arettes as addictive and harmful worked as protective factors</w:t>
            </w:r>
          </w:p>
        </w:tc>
        <w:tc>
          <w:tcPr>
            <w:tcW w:w="4510" w:type="dxa"/>
          </w:tcPr>
          <w:p w14:paraId="75D8E688"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sz w:val="16"/>
                <w:szCs w:val="16"/>
              </w:rPr>
            </w:pPr>
            <w:r w:rsidRPr="000F6DEF">
              <w:rPr>
                <w:sz w:val="16"/>
                <w:szCs w:val="16"/>
              </w:rPr>
              <w:t xml:space="preserve">The results revealed determinants of </w:t>
            </w:r>
            <w:r>
              <w:rPr>
                <w:sz w:val="16"/>
                <w:szCs w:val="16"/>
              </w:rPr>
              <w:t>e</w:t>
            </w:r>
            <w:r>
              <w:rPr>
                <w:sz w:val="16"/>
                <w:szCs w:val="16"/>
              </w:rPr>
              <w:noBreakHyphen/>
              <w:t>cig</w:t>
            </w:r>
            <w:r w:rsidRPr="000F6DEF">
              <w:rPr>
                <w:sz w:val="16"/>
                <w:szCs w:val="16"/>
              </w:rPr>
              <w:t xml:space="preserve">arette use susceptibility. Multi-level intervention approach is needed to prevent youth from being susceptible to </w:t>
            </w:r>
            <w:r>
              <w:rPr>
                <w:sz w:val="16"/>
                <w:szCs w:val="16"/>
              </w:rPr>
              <w:t>e</w:t>
            </w:r>
            <w:r>
              <w:rPr>
                <w:sz w:val="16"/>
                <w:szCs w:val="16"/>
              </w:rPr>
              <w:noBreakHyphen/>
              <w:t>cig</w:t>
            </w:r>
            <w:r w:rsidRPr="000F6DEF">
              <w:rPr>
                <w:sz w:val="16"/>
                <w:szCs w:val="16"/>
              </w:rPr>
              <w:t>arette initiation.</w:t>
            </w:r>
          </w:p>
        </w:tc>
      </w:tr>
      <w:tr w:rsidR="00B85C33" w:rsidRPr="000F6DEF" w14:paraId="40B5AA37" w14:textId="77777777" w:rsidTr="000376C7">
        <w:trPr>
          <w:trHeight w:val="1134"/>
        </w:trPr>
        <w:tc>
          <w:tcPr>
            <w:cnfStyle w:val="001000000000" w:firstRow="0" w:lastRow="0" w:firstColumn="1" w:lastColumn="0" w:oddVBand="0" w:evenVBand="0" w:oddHBand="0" w:evenHBand="0" w:firstRowFirstColumn="0" w:firstRowLastColumn="0" w:lastRowFirstColumn="0" w:lastRowLastColumn="0"/>
            <w:tcW w:w="1435" w:type="dxa"/>
          </w:tcPr>
          <w:p w14:paraId="2CC2510F" w14:textId="77777777" w:rsidR="00B85C33" w:rsidRPr="000F6DEF" w:rsidRDefault="00B85C33" w:rsidP="000376C7">
            <w:pPr>
              <w:rPr>
                <w:sz w:val="16"/>
                <w:szCs w:val="16"/>
              </w:rPr>
            </w:pPr>
            <w:r w:rsidRPr="000F6DEF">
              <w:rPr>
                <w:sz w:val="16"/>
                <w:szCs w:val="16"/>
              </w:rPr>
              <w:t>Coleman, Rostron et al 2018</w:t>
            </w:r>
          </w:p>
        </w:tc>
        <w:tc>
          <w:tcPr>
            <w:tcW w:w="2044" w:type="dxa"/>
          </w:tcPr>
          <w:p w14:paraId="35AC8012" w14:textId="572D4C3B" w:rsidR="00B85C33" w:rsidRPr="000F6DEF" w:rsidDel="00A01A55" w:rsidRDefault="00B85C33" w:rsidP="000376C7">
            <w:pPr>
              <w:cnfStyle w:val="000000000000" w:firstRow="0" w:lastRow="0" w:firstColumn="0" w:lastColumn="0" w:oddVBand="0" w:evenVBand="0" w:oddHBand="0" w:evenHBand="0" w:firstRowFirstColumn="0" w:firstRowLastColumn="0" w:lastRowFirstColumn="0" w:lastRowLastColumn="0"/>
              <w:rPr>
                <w:sz w:val="16"/>
                <w:szCs w:val="16"/>
              </w:rPr>
            </w:pPr>
            <w:r w:rsidRPr="000F6DEF">
              <w:rPr>
                <w:sz w:val="16"/>
                <w:szCs w:val="16"/>
              </w:rPr>
              <w:t xml:space="preserve">Transitions in </w:t>
            </w:r>
            <w:r>
              <w:rPr>
                <w:sz w:val="16"/>
                <w:szCs w:val="16"/>
              </w:rPr>
              <w:t>e</w:t>
            </w:r>
            <w:r>
              <w:rPr>
                <w:sz w:val="16"/>
                <w:szCs w:val="16"/>
              </w:rPr>
              <w:noBreakHyphen/>
              <w:t>cig</w:t>
            </w:r>
            <w:r w:rsidRPr="000F6DEF">
              <w:rPr>
                <w:sz w:val="16"/>
                <w:szCs w:val="16"/>
              </w:rPr>
              <w:t>arette use among adults</w:t>
            </w:r>
            <w:r w:rsidR="00CE05B6">
              <w:rPr>
                <w:sz w:val="16"/>
                <w:szCs w:val="16"/>
              </w:rPr>
              <w:t>.</w:t>
            </w:r>
          </w:p>
        </w:tc>
        <w:tc>
          <w:tcPr>
            <w:tcW w:w="6924" w:type="dxa"/>
          </w:tcPr>
          <w:p w14:paraId="35BA014A"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sz w:val="16"/>
                <w:szCs w:val="16"/>
              </w:rPr>
            </w:pPr>
            <w:r w:rsidRPr="000F6DEF">
              <w:rPr>
                <w:sz w:val="16"/>
                <w:szCs w:val="16"/>
              </w:rPr>
              <w:t xml:space="preserve">Half (48.8%) of adult </w:t>
            </w:r>
            <w:r>
              <w:rPr>
                <w:sz w:val="16"/>
                <w:szCs w:val="16"/>
              </w:rPr>
              <w:t>e</w:t>
            </w:r>
            <w:r>
              <w:rPr>
                <w:sz w:val="16"/>
                <w:szCs w:val="16"/>
              </w:rPr>
              <w:noBreakHyphen/>
              <w:t>cig</w:t>
            </w:r>
            <w:r w:rsidRPr="000F6DEF">
              <w:rPr>
                <w:sz w:val="16"/>
                <w:szCs w:val="16"/>
              </w:rPr>
              <w:t xml:space="preserve">arette users at Wave 1 discontinued their use of </w:t>
            </w:r>
            <w:r>
              <w:rPr>
                <w:sz w:val="16"/>
                <w:szCs w:val="16"/>
              </w:rPr>
              <w:t>e</w:t>
            </w:r>
            <w:r>
              <w:rPr>
                <w:sz w:val="16"/>
                <w:szCs w:val="16"/>
              </w:rPr>
              <w:noBreakHyphen/>
              <w:t>cig</w:t>
            </w:r>
            <w:r w:rsidRPr="000F6DEF">
              <w:rPr>
                <w:sz w:val="16"/>
                <w:szCs w:val="16"/>
              </w:rPr>
              <w:t xml:space="preserve">arettes at Wave 2. Among dual users of </w:t>
            </w:r>
            <w:r>
              <w:rPr>
                <w:sz w:val="16"/>
                <w:szCs w:val="16"/>
              </w:rPr>
              <w:t>e</w:t>
            </w:r>
            <w:r>
              <w:rPr>
                <w:sz w:val="16"/>
                <w:szCs w:val="16"/>
              </w:rPr>
              <w:noBreakHyphen/>
              <w:t>cig</w:t>
            </w:r>
            <w:r w:rsidRPr="000F6DEF">
              <w:rPr>
                <w:sz w:val="16"/>
                <w:szCs w:val="16"/>
              </w:rPr>
              <w:t xml:space="preserve">arettes and cigarettes at Wave 1, 44.3% maintained dual use, 43.5% discontinued </w:t>
            </w:r>
            <w:r>
              <w:rPr>
                <w:sz w:val="16"/>
                <w:szCs w:val="16"/>
              </w:rPr>
              <w:t>e</w:t>
            </w:r>
            <w:r>
              <w:rPr>
                <w:sz w:val="16"/>
                <w:szCs w:val="16"/>
              </w:rPr>
              <w:noBreakHyphen/>
              <w:t>cig</w:t>
            </w:r>
            <w:r w:rsidRPr="000F6DEF">
              <w:rPr>
                <w:sz w:val="16"/>
                <w:szCs w:val="16"/>
              </w:rPr>
              <w:t xml:space="preserve">arette use and maintained cigarette smoking and 12.1% discontinued cigarette use at Wave 2, either by abstaining from cigarette smoking only (5.1%) or discontinuing both products (7.0%). Among dual users at Wave 1, daily </w:t>
            </w:r>
            <w:r>
              <w:rPr>
                <w:sz w:val="16"/>
                <w:szCs w:val="16"/>
              </w:rPr>
              <w:t>e</w:t>
            </w:r>
            <w:r>
              <w:rPr>
                <w:sz w:val="16"/>
                <w:szCs w:val="16"/>
              </w:rPr>
              <w:noBreakHyphen/>
              <w:t>cig</w:t>
            </w:r>
            <w:r w:rsidRPr="000F6DEF">
              <w:rPr>
                <w:sz w:val="16"/>
                <w:szCs w:val="16"/>
              </w:rPr>
              <w:t>arette users were more likely than non-daily users to report smoking abstinence at Wave 2 (aPR=1.40, 95% CI 1.02 to 1.91).</w:t>
            </w:r>
          </w:p>
        </w:tc>
        <w:tc>
          <w:tcPr>
            <w:tcW w:w="4510" w:type="dxa"/>
          </w:tcPr>
          <w:p w14:paraId="3BD04A0D"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sz w:val="16"/>
                <w:szCs w:val="16"/>
              </w:rPr>
            </w:pPr>
            <w:r w:rsidRPr="000F6DEF">
              <w:rPr>
                <w:sz w:val="16"/>
                <w:szCs w:val="16"/>
              </w:rPr>
              <w:t xml:space="preserve">The observed patterns of </w:t>
            </w:r>
            <w:r>
              <w:rPr>
                <w:sz w:val="16"/>
                <w:szCs w:val="16"/>
              </w:rPr>
              <w:t>e</w:t>
            </w:r>
            <w:r>
              <w:rPr>
                <w:sz w:val="16"/>
                <w:szCs w:val="16"/>
              </w:rPr>
              <w:noBreakHyphen/>
              <w:t>cig</w:t>
            </w:r>
            <w:r w:rsidRPr="000F6DEF">
              <w:rPr>
                <w:sz w:val="16"/>
                <w:szCs w:val="16"/>
              </w:rPr>
              <w:t xml:space="preserve">arette use and discontinuation between Waves 1 and 2, particularly among infrequent users, suggest a high level of transitory experimentation at Wave 1. As an emerging product on the US market in 2013–2014, the novelty of </w:t>
            </w:r>
            <w:r>
              <w:rPr>
                <w:sz w:val="16"/>
                <w:szCs w:val="16"/>
              </w:rPr>
              <w:t>e</w:t>
            </w:r>
            <w:r>
              <w:rPr>
                <w:sz w:val="16"/>
                <w:szCs w:val="16"/>
              </w:rPr>
              <w:noBreakHyphen/>
              <w:t>cig</w:t>
            </w:r>
            <w:r w:rsidRPr="000F6DEF">
              <w:rPr>
                <w:sz w:val="16"/>
                <w:szCs w:val="16"/>
              </w:rPr>
              <w:t xml:space="preserve">arettes may have prompted some people to try them out of curiosity, perhaps without any intention for sustained use. Indeed, curiosity about </w:t>
            </w:r>
            <w:r>
              <w:rPr>
                <w:sz w:val="16"/>
                <w:szCs w:val="16"/>
              </w:rPr>
              <w:t>e</w:t>
            </w:r>
            <w:r>
              <w:rPr>
                <w:sz w:val="16"/>
                <w:szCs w:val="16"/>
              </w:rPr>
              <w:noBreakHyphen/>
              <w:t>cig</w:t>
            </w:r>
            <w:r w:rsidRPr="000F6DEF">
              <w:rPr>
                <w:sz w:val="16"/>
                <w:szCs w:val="16"/>
              </w:rPr>
              <w:t xml:space="preserve">arettes is understandable when considering the context in which they emerged— namely, a marketplace of nicotine delivery products that had remained largely unchanged for decades. Moreover, </w:t>
            </w:r>
            <w:r>
              <w:rPr>
                <w:sz w:val="16"/>
                <w:szCs w:val="16"/>
              </w:rPr>
              <w:t>e</w:t>
            </w:r>
            <w:r>
              <w:rPr>
                <w:sz w:val="16"/>
                <w:szCs w:val="16"/>
              </w:rPr>
              <w:noBreakHyphen/>
              <w:t>cig</w:t>
            </w:r>
            <w:r w:rsidRPr="000F6DEF">
              <w:rPr>
                <w:sz w:val="16"/>
                <w:szCs w:val="16"/>
              </w:rPr>
              <w:t>arettes—and the culture that developed around them—received widespread media attention, potentially fuelling curiosity</w:t>
            </w:r>
          </w:p>
        </w:tc>
      </w:tr>
    </w:tbl>
    <w:p w14:paraId="144FE37D" w14:textId="77777777" w:rsidR="00B85C33" w:rsidRDefault="00B85C33" w:rsidP="00B85C33">
      <w:pPr>
        <w:spacing w:after="0"/>
        <w:rPr>
          <w:sz w:val="24"/>
        </w:rPr>
      </w:pPr>
      <w:r>
        <w:br w:type="page"/>
      </w:r>
    </w:p>
    <w:p w14:paraId="57D6EE47" w14:textId="77777777" w:rsidR="00B85C33" w:rsidRDefault="004C6D16" w:rsidP="004C6D16">
      <w:pPr>
        <w:pStyle w:val="Caption"/>
      </w:pPr>
      <w:bookmarkStart w:id="333" w:name="_Toc517707441"/>
      <w:r>
        <w:lastRenderedPageBreak/>
        <w:t xml:space="preserve">Table </w:t>
      </w:r>
      <w:r w:rsidR="0048064B">
        <w:rPr>
          <w:noProof/>
        </w:rPr>
        <w:fldChar w:fldCharType="begin"/>
      </w:r>
      <w:r w:rsidR="0048064B">
        <w:rPr>
          <w:noProof/>
        </w:rPr>
        <w:instrText xml:space="preserve"> SEQ Table \* ARABIC </w:instrText>
      </w:r>
      <w:r w:rsidR="0048064B">
        <w:rPr>
          <w:noProof/>
        </w:rPr>
        <w:fldChar w:fldCharType="separate"/>
      </w:r>
      <w:r w:rsidR="000C06DA">
        <w:rPr>
          <w:noProof/>
        </w:rPr>
        <w:t>32</w:t>
      </w:r>
      <w:r w:rsidR="0048064B">
        <w:rPr>
          <w:noProof/>
        </w:rPr>
        <w:fldChar w:fldCharType="end"/>
      </w:r>
      <w:r w:rsidR="00B85C33">
        <w:t xml:space="preserve">: </w:t>
      </w:r>
      <w:r w:rsidR="00B85C33" w:rsidRPr="00FE044C">
        <w:t xml:space="preserve">Characteristics of </w:t>
      </w:r>
      <w:r w:rsidR="009469EE">
        <w:t>studies from US national level a</w:t>
      </w:r>
      <w:r w:rsidR="00B85C33" w:rsidRPr="00FE044C">
        <w:t>dults</w:t>
      </w:r>
      <w:bookmarkEnd w:id="333"/>
    </w:p>
    <w:tbl>
      <w:tblPr>
        <w:tblStyle w:val="TableCSIRO"/>
        <w:tblW w:w="15055" w:type="dxa"/>
        <w:tblLayout w:type="fixed"/>
        <w:tblLook w:val="04A0" w:firstRow="1" w:lastRow="0" w:firstColumn="1" w:lastColumn="0" w:noHBand="0" w:noVBand="1"/>
      </w:tblPr>
      <w:tblGrid>
        <w:gridCol w:w="1302"/>
        <w:gridCol w:w="2237"/>
        <w:gridCol w:w="1605"/>
        <w:gridCol w:w="1088"/>
        <w:gridCol w:w="1134"/>
        <w:gridCol w:w="1735"/>
        <w:gridCol w:w="1701"/>
        <w:gridCol w:w="1985"/>
        <w:gridCol w:w="2268"/>
      </w:tblGrid>
      <w:tr w:rsidR="00B85C33" w:rsidRPr="000F6DEF" w14:paraId="5063F6DF" w14:textId="77777777" w:rsidTr="000376C7">
        <w:trPr>
          <w:cnfStyle w:val="100000000000" w:firstRow="1" w:lastRow="0" w:firstColumn="0" w:lastColumn="0" w:oddVBand="0" w:evenVBand="0" w:oddHBand="0" w:evenHBand="0" w:firstRowFirstColumn="0" w:firstRowLastColumn="0" w:lastRowFirstColumn="0" w:lastRowLastColumn="0"/>
          <w:trHeight w:val="496"/>
          <w:tblHeader/>
        </w:trPr>
        <w:tc>
          <w:tcPr>
            <w:cnfStyle w:val="001000000000" w:firstRow="0" w:lastRow="0" w:firstColumn="1" w:lastColumn="0" w:oddVBand="0" w:evenVBand="0" w:oddHBand="0" w:evenHBand="0" w:firstRowFirstColumn="0" w:firstRowLastColumn="0" w:lastRowFirstColumn="0" w:lastRowLastColumn="0"/>
            <w:tcW w:w="1302" w:type="dxa"/>
            <w:hideMark/>
          </w:tcPr>
          <w:p w14:paraId="6B7FF8A6" w14:textId="77777777" w:rsidR="00B85C33" w:rsidRPr="000F6DEF" w:rsidRDefault="00B85C33" w:rsidP="000376C7">
            <w:pPr>
              <w:rPr>
                <w:color w:val="auto"/>
                <w:sz w:val="16"/>
                <w:szCs w:val="16"/>
              </w:rPr>
            </w:pPr>
            <w:r w:rsidRPr="000F6DEF">
              <w:rPr>
                <w:color w:val="auto"/>
                <w:sz w:val="16"/>
                <w:szCs w:val="16"/>
              </w:rPr>
              <w:t>Study reference</w:t>
            </w:r>
          </w:p>
        </w:tc>
        <w:tc>
          <w:tcPr>
            <w:tcW w:w="2237" w:type="dxa"/>
            <w:hideMark/>
          </w:tcPr>
          <w:p w14:paraId="2772F6DC" w14:textId="77777777" w:rsidR="00B85C33" w:rsidRPr="000F6DEF" w:rsidRDefault="00B85C33" w:rsidP="000376C7">
            <w:pPr>
              <w:cnfStyle w:val="100000000000" w:firstRow="1" w:lastRow="0" w:firstColumn="0" w:lastColumn="0" w:oddVBand="0" w:evenVBand="0" w:oddHBand="0" w:evenHBand="0" w:firstRowFirstColumn="0" w:firstRowLastColumn="0" w:lastRowFirstColumn="0" w:lastRowLastColumn="0"/>
              <w:rPr>
                <w:color w:val="auto"/>
                <w:sz w:val="16"/>
                <w:szCs w:val="16"/>
              </w:rPr>
            </w:pPr>
            <w:r w:rsidRPr="000F6DEF">
              <w:rPr>
                <w:color w:val="auto"/>
                <w:sz w:val="16"/>
                <w:szCs w:val="16"/>
              </w:rPr>
              <w:t>Purpose</w:t>
            </w:r>
          </w:p>
        </w:tc>
        <w:tc>
          <w:tcPr>
            <w:tcW w:w="1605" w:type="dxa"/>
            <w:hideMark/>
          </w:tcPr>
          <w:p w14:paraId="007527D3" w14:textId="77777777" w:rsidR="00B85C33" w:rsidRPr="000F6DEF" w:rsidRDefault="00B85C33" w:rsidP="000376C7">
            <w:pPr>
              <w:cnfStyle w:val="100000000000" w:firstRow="1" w:lastRow="0" w:firstColumn="0" w:lastColumn="0" w:oddVBand="0" w:evenVBand="0" w:oddHBand="0" w:evenHBand="0" w:firstRowFirstColumn="0" w:firstRowLastColumn="0" w:lastRowFirstColumn="0" w:lastRowLastColumn="0"/>
              <w:rPr>
                <w:color w:val="auto"/>
                <w:sz w:val="16"/>
                <w:szCs w:val="16"/>
              </w:rPr>
            </w:pPr>
            <w:r w:rsidRPr="000F6DEF">
              <w:rPr>
                <w:color w:val="auto"/>
                <w:sz w:val="16"/>
                <w:szCs w:val="16"/>
              </w:rPr>
              <w:t>Name of survey</w:t>
            </w:r>
          </w:p>
        </w:tc>
        <w:tc>
          <w:tcPr>
            <w:tcW w:w="1088" w:type="dxa"/>
            <w:hideMark/>
          </w:tcPr>
          <w:p w14:paraId="29856B39" w14:textId="77777777" w:rsidR="00B85C33" w:rsidRPr="000F6DEF" w:rsidRDefault="00B85C33" w:rsidP="000376C7">
            <w:pPr>
              <w:cnfStyle w:val="100000000000" w:firstRow="1" w:lastRow="0" w:firstColumn="0" w:lastColumn="0" w:oddVBand="0" w:evenVBand="0" w:oddHBand="0" w:evenHBand="0" w:firstRowFirstColumn="0" w:firstRowLastColumn="0" w:lastRowFirstColumn="0" w:lastRowLastColumn="0"/>
              <w:rPr>
                <w:color w:val="auto"/>
                <w:sz w:val="16"/>
                <w:szCs w:val="16"/>
              </w:rPr>
            </w:pPr>
            <w:r w:rsidRPr="000F6DEF">
              <w:rPr>
                <w:color w:val="auto"/>
                <w:sz w:val="16"/>
                <w:szCs w:val="16"/>
              </w:rPr>
              <w:t>Country or location</w:t>
            </w:r>
          </w:p>
        </w:tc>
        <w:tc>
          <w:tcPr>
            <w:tcW w:w="1134" w:type="dxa"/>
            <w:hideMark/>
          </w:tcPr>
          <w:p w14:paraId="7E6F2B91" w14:textId="77777777" w:rsidR="00B85C33" w:rsidRPr="000F6DEF" w:rsidRDefault="00B85C33" w:rsidP="000376C7">
            <w:pPr>
              <w:cnfStyle w:val="100000000000" w:firstRow="1" w:lastRow="0" w:firstColumn="0" w:lastColumn="0" w:oddVBand="0" w:evenVBand="0" w:oddHBand="0" w:evenHBand="0" w:firstRowFirstColumn="0" w:firstRowLastColumn="0" w:lastRowFirstColumn="0" w:lastRowLastColumn="0"/>
              <w:rPr>
                <w:color w:val="auto"/>
                <w:sz w:val="16"/>
                <w:szCs w:val="16"/>
              </w:rPr>
            </w:pPr>
            <w:r w:rsidRPr="000F6DEF">
              <w:rPr>
                <w:color w:val="auto"/>
                <w:sz w:val="16"/>
                <w:szCs w:val="16"/>
              </w:rPr>
              <w:t>Year data collected</w:t>
            </w:r>
          </w:p>
        </w:tc>
        <w:tc>
          <w:tcPr>
            <w:tcW w:w="1735" w:type="dxa"/>
            <w:hideMark/>
          </w:tcPr>
          <w:p w14:paraId="09E7586C" w14:textId="77777777" w:rsidR="00B85C33" w:rsidRPr="000F6DEF" w:rsidRDefault="00B85C33" w:rsidP="000376C7">
            <w:pPr>
              <w:cnfStyle w:val="100000000000" w:firstRow="1" w:lastRow="0" w:firstColumn="0" w:lastColumn="0" w:oddVBand="0" w:evenVBand="0" w:oddHBand="0" w:evenHBand="0" w:firstRowFirstColumn="0" w:firstRowLastColumn="0" w:lastRowFirstColumn="0" w:lastRowLastColumn="0"/>
              <w:rPr>
                <w:color w:val="auto"/>
                <w:sz w:val="16"/>
                <w:szCs w:val="16"/>
              </w:rPr>
            </w:pPr>
            <w:r w:rsidRPr="000F6DEF">
              <w:rPr>
                <w:color w:val="auto"/>
                <w:sz w:val="16"/>
                <w:szCs w:val="16"/>
              </w:rPr>
              <w:t>Participants</w:t>
            </w:r>
          </w:p>
        </w:tc>
        <w:tc>
          <w:tcPr>
            <w:tcW w:w="1701" w:type="dxa"/>
            <w:hideMark/>
          </w:tcPr>
          <w:p w14:paraId="0B37D0F9" w14:textId="77777777" w:rsidR="00B85C33" w:rsidRPr="000F6DEF" w:rsidRDefault="00B85C33" w:rsidP="000376C7">
            <w:pPr>
              <w:cnfStyle w:val="100000000000" w:firstRow="1" w:lastRow="0" w:firstColumn="0" w:lastColumn="0" w:oddVBand="0" w:evenVBand="0" w:oddHBand="0" w:evenHBand="0" w:firstRowFirstColumn="0" w:firstRowLastColumn="0" w:lastRowFirstColumn="0" w:lastRowLastColumn="0"/>
              <w:rPr>
                <w:color w:val="auto"/>
                <w:sz w:val="16"/>
                <w:szCs w:val="16"/>
              </w:rPr>
            </w:pPr>
            <w:r w:rsidRPr="000F6DEF">
              <w:rPr>
                <w:color w:val="auto"/>
                <w:sz w:val="16"/>
                <w:szCs w:val="16"/>
              </w:rPr>
              <w:t>Recruitment/ selection method</w:t>
            </w:r>
          </w:p>
        </w:tc>
        <w:tc>
          <w:tcPr>
            <w:tcW w:w="1985" w:type="dxa"/>
            <w:hideMark/>
          </w:tcPr>
          <w:p w14:paraId="77589A99" w14:textId="77777777" w:rsidR="00B85C33" w:rsidRPr="000F6DEF" w:rsidRDefault="00B85C33" w:rsidP="000376C7">
            <w:pPr>
              <w:cnfStyle w:val="100000000000" w:firstRow="1" w:lastRow="0" w:firstColumn="0" w:lastColumn="0" w:oddVBand="0" w:evenVBand="0" w:oddHBand="0" w:evenHBand="0" w:firstRowFirstColumn="0" w:firstRowLastColumn="0" w:lastRowFirstColumn="0" w:lastRowLastColumn="0"/>
              <w:rPr>
                <w:color w:val="auto"/>
                <w:sz w:val="16"/>
                <w:szCs w:val="16"/>
              </w:rPr>
            </w:pPr>
            <w:r w:rsidRPr="000F6DEF">
              <w:rPr>
                <w:color w:val="auto"/>
                <w:sz w:val="16"/>
                <w:szCs w:val="16"/>
              </w:rPr>
              <w:t xml:space="preserve">Admin Method </w:t>
            </w:r>
          </w:p>
        </w:tc>
        <w:tc>
          <w:tcPr>
            <w:tcW w:w="2268" w:type="dxa"/>
            <w:hideMark/>
          </w:tcPr>
          <w:p w14:paraId="1D2FDDFD" w14:textId="77777777" w:rsidR="00B85C33" w:rsidRPr="000F6DEF" w:rsidRDefault="00B85C33" w:rsidP="000376C7">
            <w:pPr>
              <w:cnfStyle w:val="100000000000" w:firstRow="1" w:lastRow="0" w:firstColumn="0" w:lastColumn="0" w:oddVBand="0" w:evenVBand="0" w:oddHBand="0" w:evenHBand="0" w:firstRowFirstColumn="0" w:firstRowLastColumn="0" w:lastRowFirstColumn="0" w:lastRowLastColumn="0"/>
              <w:rPr>
                <w:color w:val="auto"/>
                <w:sz w:val="16"/>
                <w:szCs w:val="16"/>
              </w:rPr>
            </w:pPr>
            <w:r w:rsidRPr="000F6DEF">
              <w:rPr>
                <w:color w:val="auto"/>
                <w:sz w:val="16"/>
                <w:szCs w:val="16"/>
              </w:rPr>
              <w:t>Measures</w:t>
            </w:r>
          </w:p>
        </w:tc>
      </w:tr>
      <w:tr w:rsidR="00B85C33" w:rsidRPr="000F6DEF" w14:paraId="47DC3164" w14:textId="77777777" w:rsidTr="000376C7">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1302" w:type="dxa"/>
          </w:tcPr>
          <w:p w14:paraId="26029930" w14:textId="77777777" w:rsidR="00B85C33" w:rsidRPr="000F6DEF" w:rsidRDefault="00B85C33" w:rsidP="000376C7">
            <w:pPr>
              <w:spacing w:after="0"/>
              <w:rPr>
                <w:rFonts w:eastAsia="Times New Roman" w:cs="Calibri"/>
                <w:color w:val="auto"/>
                <w:sz w:val="16"/>
                <w:szCs w:val="16"/>
              </w:rPr>
            </w:pPr>
            <w:r w:rsidRPr="000F6DEF">
              <w:rPr>
                <w:rFonts w:cs="Calibri"/>
                <w:color w:val="auto"/>
                <w:sz w:val="16"/>
                <w:szCs w:val="16"/>
              </w:rPr>
              <w:t>Anic, Holder-Hayes, Ambrose</w:t>
            </w:r>
          </w:p>
        </w:tc>
        <w:tc>
          <w:tcPr>
            <w:tcW w:w="2237" w:type="dxa"/>
          </w:tcPr>
          <w:p w14:paraId="4CBB878D" w14:textId="28F2BE10"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 xml:space="preserve">To estimate the prevalence of </w:t>
            </w:r>
            <w:r>
              <w:rPr>
                <w:rFonts w:cs="Calibri"/>
                <w:color w:val="auto"/>
                <w:sz w:val="16"/>
                <w:szCs w:val="16"/>
              </w:rPr>
              <w:t>e</w:t>
            </w:r>
            <w:r>
              <w:rPr>
                <w:rFonts w:cs="Calibri"/>
                <w:color w:val="auto"/>
                <w:sz w:val="16"/>
                <w:szCs w:val="16"/>
              </w:rPr>
              <w:noBreakHyphen/>
              <w:t>cig</w:t>
            </w:r>
            <w:r w:rsidR="008146F9">
              <w:rPr>
                <w:rFonts w:cs="Calibri"/>
                <w:color w:val="auto"/>
                <w:sz w:val="16"/>
                <w:szCs w:val="16"/>
              </w:rPr>
              <w:t>arette</w:t>
            </w:r>
            <w:r w:rsidRPr="000F6DEF">
              <w:rPr>
                <w:rFonts w:cs="Calibri"/>
                <w:color w:val="auto"/>
                <w:sz w:val="16"/>
                <w:szCs w:val="16"/>
              </w:rPr>
              <w:t>, smokeless tobacco use and switching amongst current and recent former adults cigarette smokers</w:t>
            </w:r>
            <w:r w:rsidR="00CE05B6">
              <w:rPr>
                <w:rFonts w:cs="Calibri"/>
                <w:color w:val="auto"/>
                <w:sz w:val="16"/>
                <w:szCs w:val="16"/>
              </w:rPr>
              <w:t>.</w:t>
            </w:r>
          </w:p>
        </w:tc>
        <w:tc>
          <w:tcPr>
            <w:tcW w:w="1605" w:type="dxa"/>
          </w:tcPr>
          <w:p w14:paraId="514C0024"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National Adult Tobacco Survey</w:t>
            </w:r>
          </w:p>
        </w:tc>
        <w:tc>
          <w:tcPr>
            <w:tcW w:w="1088" w:type="dxa"/>
          </w:tcPr>
          <w:p w14:paraId="6BAE4FB3"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US national</w:t>
            </w:r>
          </w:p>
        </w:tc>
        <w:tc>
          <w:tcPr>
            <w:tcW w:w="1134" w:type="dxa"/>
          </w:tcPr>
          <w:p w14:paraId="19347214"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2012-2013</w:t>
            </w:r>
            <w:r w:rsidRPr="000F6DEF">
              <w:rPr>
                <w:rFonts w:cs="Calibri"/>
                <w:color w:val="auto"/>
                <w:sz w:val="16"/>
                <w:szCs w:val="16"/>
              </w:rPr>
              <w:br/>
              <w:t>Analysed 2016</w:t>
            </w:r>
          </w:p>
        </w:tc>
        <w:tc>
          <w:tcPr>
            <w:tcW w:w="1735" w:type="dxa"/>
          </w:tcPr>
          <w:p w14:paraId="0C091A0C"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2012/13 n=8,891</w:t>
            </w:r>
            <w:r w:rsidRPr="000F6DEF">
              <w:rPr>
                <w:rFonts w:cs="Calibri"/>
                <w:color w:val="auto"/>
                <w:sz w:val="16"/>
                <w:szCs w:val="16"/>
              </w:rPr>
              <w:br/>
              <w:t>2013/14 n=11,379</w:t>
            </w:r>
            <w:r w:rsidRPr="000F6DEF">
              <w:rPr>
                <w:rFonts w:cs="Calibri"/>
                <w:color w:val="auto"/>
                <w:sz w:val="16"/>
                <w:szCs w:val="16"/>
              </w:rPr>
              <w:br/>
              <w:t>Past-year smokers.</w:t>
            </w:r>
          </w:p>
          <w:p w14:paraId="5438FB5A"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Ages: 2012/13 Median 41.0 (IQR29-53.2)</w:t>
            </w:r>
            <w:r w:rsidRPr="000F6DEF">
              <w:rPr>
                <w:rFonts w:cs="Calibri"/>
                <w:color w:val="auto"/>
                <w:sz w:val="16"/>
                <w:szCs w:val="16"/>
              </w:rPr>
              <w:br/>
              <w:t>2012/13 Median 41.4 (IQR29.6-53.7)</w:t>
            </w:r>
          </w:p>
          <w:p w14:paraId="290F7FFE"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 males: 2012/13 57.5%</w:t>
            </w:r>
            <w:r w:rsidRPr="000F6DEF">
              <w:rPr>
                <w:rFonts w:cs="Calibri"/>
                <w:color w:val="auto"/>
                <w:sz w:val="16"/>
                <w:szCs w:val="16"/>
              </w:rPr>
              <w:br/>
              <w:t>2013/14% 55.5%</w:t>
            </w:r>
          </w:p>
        </w:tc>
        <w:tc>
          <w:tcPr>
            <w:tcW w:w="1701" w:type="dxa"/>
          </w:tcPr>
          <w:p w14:paraId="52ADF403"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Random digit dialling</w:t>
            </w:r>
          </w:p>
        </w:tc>
        <w:tc>
          <w:tcPr>
            <w:tcW w:w="1985" w:type="dxa"/>
          </w:tcPr>
          <w:p w14:paraId="7676EE87"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Landline and cellular phone administered survey based on random-digit dialling</w:t>
            </w:r>
          </w:p>
        </w:tc>
        <w:tc>
          <w:tcPr>
            <w:tcW w:w="2268" w:type="dxa"/>
          </w:tcPr>
          <w:p w14:paraId="4BA9B045" w14:textId="2B9E01C5"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Smoking status based on quit attempts</w:t>
            </w:r>
            <w:r w:rsidRPr="000F6DEF">
              <w:rPr>
                <w:rFonts w:cs="Calibri"/>
                <w:color w:val="auto"/>
                <w:sz w:val="16"/>
                <w:szCs w:val="16"/>
              </w:rPr>
              <w:br/>
              <w:t xml:space="preserve">Ever use </w:t>
            </w:r>
            <w:r>
              <w:rPr>
                <w:rFonts w:cs="Calibri"/>
                <w:color w:val="auto"/>
                <w:sz w:val="16"/>
                <w:szCs w:val="16"/>
              </w:rPr>
              <w:t>e</w:t>
            </w:r>
            <w:r>
              <w:rPr>
                <w:rFonts w:cs="Calibri"/>
                <w:color w:val="auto"/>
                <w:sz w:val="16"/>
                <w:szCs w:val="16"/>
              </w:rPr>
              <w:noBreakHyphen/>
              <w:t>cig</w:t>
            </w:r>
            <w:r w:rsidR="008146F9">
              <w:rPr>
                <w:rFonts w:cs="Calibri"/>
                <w:color w:val="auto"/>
                <w:sz w:val="16"/>
                <w:szCs w:val="16"/>
              </w:rPr>
              <w:t>arette</w:t>
            </w:r>
            <w:r w:rsidRPr="000F6DEF">
              <w:rPr>
                <w:rFonts w:cs="Calibri"/>
                <w:color w:val="auto"/>
                <w:sz w:val="16"/>
                <w:szCs w:val="16"/>
              </w:rPr>
              <w:br/>
              <w:t>Freq</w:t>
            </w:r>
            <w:r w:rsidR="008146F9">
              <w:rPr>
                <w:rFonts w:cs="Calibri"/>
                <w:color w:val="auto"/>
                <w:sz w:val="16"/>
                <w:szCs w:val="16"/>
              </w:rPr>
              <w:t>uent</w:t>
            </w:r>
            <w:r w:rsidRPr="000F6DEF">
              <w:rPr>
                <w:rFonts w:cs="Calibri"/>
                <w:color w:val="auto"/>
                <w:sz w:val="16"/>
                <w:szCs w:val="16"/>
              </w:rPr>
              <w:t xml:space="preserve"> use </w:t>
            </w:r>
            <w:r>
              <w:rPr>
                <w:rFonts w:cs="Calibri"/>
                <w:color w:val="auto"/>
                <w:sz w:val="16"/>
                <w:szCs w:val="16"/>
              </w:rPr>
              <w:t>e</w:t>
            </w:r>
            <w:r>
              <w:rPr>
                <w:rFonts w:cs="Calibri"/>
                <w:color w:val="auto"/>
                <w:sz w:val="16"/>
                <w:szCs w:val="16"/>
              </w:rPr>
              <w:noBreakHyphen/>
              <w:t>cig</w:t>
            </w:r>
            <w:r w:rsidR="008146F9">
              <w:rPr>
                <w:rFonts w:cs="Calibri"/>
                <w:color w:val="auto"/>
                <w:sz w:val="16"/>
                <w:szCs w:val="16"/>
              </w:rPr>
              <w:t>arette</w:t>
            </w:r>
            <w:r w:rsidRPr="000F6DEF">
              <w:rPr>
                <w:rFonts w:cs="Calibri"/>
                <w:color w:val="auto"/>
                <w:sz w:val="16"/>
                <w:szCs w:val="16"/>
              </w:rPr>
              <w:br/>
              <w:t>Use smokeless tobacco</w:t>
            </w:r>
            <w:r w:rsidRPr="000F6DEF">
              <w:rPr>
                <w:rFonts w:cs="Calibri"/>
                <w:color w:val="auto"/>
                <w:sz w:val="16"/>
                <w:szCs w:val="16"/>
              </w:rPr>
              <w:br/>
              <w:t xml:space="preserve">Switch from cig to </w:t>
            </w:r>
            <w:r>
              <w:rPr>
                <w:rFonts w:cs="Calibri"/>
                <w:color w:val="auto"/>
                <w:sz w:val="16"/>
                <w:szCs w:val="16"/>
              </w:rPr>
              <w:t>e</w:t>
            </w:r>
            <w:r>
              <w:rPr>
                <w:rFonts w:cs="Calibri"/>
                <w:color w:val="auto"/>
                <w:sz w:val="16"/>
                <w:szCs w:val="16"/>
              </w:rPr>
              <w:noBreakHyphen/>
              <w:t>cig</w:t>
            </w:r>
            <w:r w:rsidRPr="000F6DEF">
              <w:rPr>
                <w:rFonts w:cs="Calibri"/>
                <w:color w:val="auto"/>
                <w:sz w:val="16"/>
                <w:szCs w:val="16"/>
              </w:rPr>
              <w:br/>
              <w:t>Switch from cig to smokeless tobacco</w:t>
            </w:r>
            <w:r w:rsidRPr="000F6DEF">
              <w:rPr>
                <w:rFonts w:cs="Calibri"/>
                <w:color w:val="auto"/>
                <w:sz w:val="16"/>
                <w:szCs w:val="16"/>
              </w:rPr>
              <w:br/>
              <w:t>Demographics</w:t>
            </w:r>
          </w:p>
        </w:tc>
      </w:tr>
      <w:tr w:rsidR="00B85C33" w:rsidRPr="000F6DEF" w14:paraId="0F76AFA4" w14:textId="77777777" w:rsidTr="000376C7">
        <w:trPr>
          <w:trHeight w:val="496"/>
        </w:trPr>
        <w:tc>
          <w:tcPr>
            <w:cnfStyle w:val="001000000000" w:firstRow="0" w:lastRow="0" w:firstColumn="1" w:lastColumn="0" w:oddVBand="0" w:evenVBand="0" w:oddHBand="0" w:evenHBand="0" w:firstRowFirstColumn="0" w:firstRowLastColumn="0" w:lastRowFirstColumn="0" w:lastRowLastColumn="0"/>
            <w:tcW w:w="1302" w:type="dxa"/>
          </w:tcPr>
          <w:p w14:paraId="655F9980" w14:textId="77777777" w:rsidR="00B85C33" w:rsidRPr="000F6DEF" w:rsidRDefault="00B85C33" w:rsidP="000376C7">
            <w:pPr>
              <w:rPr>
                <w:rFonts w:cs="Calibri"/>
                <w:color w:val="auto"/>
                <w:sz w:val="16"/>
                <w:szCs w:val="16"/>
              </w:rPr>
            </w:pPr>
            <w:r w:rsidRPr="000F6DEF">
              <w:rPr>
                <w:rFonts w:cs="Calibri"/>
                <w:color w:val="auto"/>
                <w:sz w:val="16"/>
                <w:szCs w:val="16"/>
              </w:rPr>
              <w:t>Bigman, Mello, Sanderrs-Jackson, Tan</w:t>
            </w:r>
          </w:p>
        </w:tc>
        <w:tc>
          <w:tcPr>
            <w:tcW w:w="2237" w:type="dxa"/>
          </w:tcPr>
          <w:p w14:paraId="1F90AAFA"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 xml:space="preserve">This study examines psychosocial predictors of intentions to ask others not to use </w:t>
            </w:r>
            <w:r>
              <w:rPr>
                <w:rFonts w:cs="Calibri"/>
                <w:color w:val="auto"/>
                <w:sz w:val="16"/>
                <w:szCs w:val="16"/>
              </w:rPr>
              <w:t>e</w:t>
            </w:r>
            <w:r>
              <w:rPr>
                <w:rFonts w:cs="Calibri"/>
                <w:color w:val="auto"/>
                <w:sz w:val="16"/>
                <w:szCs w:val="16"/>
              </w:rPr>
              <w:noBreakHyphen/>
              <w:t>cig</w:t>
            </w:r>
            <w:r w:rsidRPr="000F6DEF">
              <w:rPr>
                <w:rFonts w:cs="Calibri"/>
                <w:color w:val="auto"/>
                <w:sz w:val="16"/>
                <w:szCs w:val="16"/>
              </w:rPr>
              <w:t>arettes (vape) and smoke - i.e., assertive communication intentions.</w:t>
            </w:r>
          </w:p>
        </w:tc>
        <w:tc>
          <w:tcPr>
            <w:tcW w:w="1605" w:type="dxa"/>
          </w:tcPr>
          <w:p w14:paraId="0BFC0CBE"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Survey paired with Annenberg National Health Communication Survey (ANHCS)</w:t>
            </w:r>
          </w:p>
        </w:tc>
        <w:tc>
          <w:tcPr>
            <w:tcW w:w="1088" w:type="dxa"/>
          </w:tcPr>
          <w:p w14:paraId="5F819948"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US national</w:t>
            </w:r>
          </w:p>
        </w:tc>
        <w:tc>
          <w:tcPr>
            <w:tcW w:w="1134" w:type="dxa"/>
          </w:tcPr>
          <w:p w14:paraId="09E24B35"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Dec-13</w:t>
            </w:r>
          </w:p>
        </w:tc>
        <w:tc>
          <w:tcPr>
            <w:tcW w:w="1735" w:type="dxa"/>
          </w:tcPr>
          <w:p w14:paraId="496BE0E2" w14:textId="65918475"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 xml:space="preserve">474 (heard of </w:t>
            </w:r>
            <w:r w:rsidR="00CE05B6">
              <w:rPr>
                <w:rFonts w:asciiTheme="minorHAnsi" w:hAnsiTheme="minorHAnsi" w:cstheme="minorHAnsi"/>
                <w:color w:val="auto"/>
                <w:sz w:val="16"/>
                <w:szCs w:val="16"/>
              </w:rPr>
              <w:t>e</w:t>
            </w:r>
            <w:r w:rsidR="00CE05B6">
              <w:rPr>
                <w:rFonts w:asciiTheme="minorHAnsi" w:hAnsiTheme="minorHAnsi" w:cstheme="minorHAnsi"/>
                <w:color w:val="auto"/>
                <w:sz w:val="16"/>
                <w:szCs w:val="16"/>
              </w:rPr>
              <w:noBreakHyphen/>
              <w:t>cigarettes</w:t>
            </w:r>
            <w:r w:rsidRPr="000F6DEF">
              <w:rPr>
                <w:rFonts w:cs="Calibri"/>
                <w:color w:val="auto"/>
                <w:sz w:val="16"/>
                <w:szCs w:val="16"/>
              </w:rPr>
              <w:t>)</w:t>
            </w:r>
            <w:r w:rsidRPr="000F6DEF">
              <w:rPr>
                <w:rFonts w:cs="Calibri"/>
                <w:color w:val="auto"/>
                <w:sz w:val="16"/>
                <w:szCs w:val="16"/>
              </w:rPr>
              <w:br/>
              <w:t xml:space="preserve">510 recruited </w:t>
            </w:r>
          </w:p>
          <w:p w14:paraId="4A9F1385"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 xml:space="preserve">Mean age: 48.91(16.03) </w:t>
            </w:r>
          </w:p>
          <w:p w14:paraId="53BCB1DA"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Male: 47%</w:t>
            </w:r>
          </w:p>
        </w:tc>
        <w:tc>
          <w:tcPr>
            <w:tcW w:w="1701" w:type="dxa"/>
          </w:tcPr>
          <w:p w14:paraId="08FFDE8D" w14:textId="2829DD7F"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Panel that is originally selected via</w:t>
            </w:r>
            <w:r w:rsidR="008146F9">
              <w:rPr>
                <w:rFonts w:cs="Calibri"/>
                <w:color w:val="auto"/>
                <w:sz w:val="16"/>
                <w:szCs w:val="16"/>
              </w:rPr>
              <w:t xml:space="preserve"> </w:t>
            </w:r>
            <w:r w:rsidRPr="000F6DEF">
              <w:rPr>
                <w:rFonts w:cs="Calibri"/>
                <w:color w:val="auto"/>
                <w:sz w:val="16"/>
                <w:szCs w:val="16"/>
              </w:rPr>
              <w:t>probability-based random-digit dial</w:t>
            </w:r>
          </w:p>
        </w:tc>
        <w:tc>
          <w:tcPr>
            <w:tcW w:w="1985" w:type="dxa"/>
          </w:tcPr>
          <w:p w14:paraId="5B097F58"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 xml:space="preserve">Online </w:t>
            </w:r>
            <w:r w:rsidRPr="000F6DEF">
              <w:rPr>
                <w:rFonts w:cs="Calibri"/>
                <w:color w:val="auto"/>
                <w:sz w:val="16"/>
                <w:szCs w:val="16"/>
              </w:rPr>
              <w:br/>
              <w:t xml:space="preserve">The ANHCS was a rolling cross-sectional survey among adults aged 18 years and older that surveyed the public from 2005 to 2013. ANHCS participants were U.S. adults who were members of GfK’s Knowledge Panel (previously Knowledge Networks). </w:t>
            </w:r>
          </w:p>
        </w:tc>
        <w:tc>
          <w:tcPr>
            <w:tcW w:w="2268" w:type="dxa"/>
          </w:tcPr>
          <w:p w14:paraId="16672EAF" w14:textId="79AF67F2"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Assertive Communication Intention (adapted from CDC NATS)</w:t>
            </w:r>
            <w:r w:rsidRPr="000F6DEF">
              <w:rPr>
                <w:rFonts w:cs="Calibri"/>
                <w:color w:val="auto"/>
                <w:sz w:val="16"/>
                <w:szCs w:val="16"/>
              </w:rPr>
              <w:br/>
              <w:t>Perceived health risks of exposure (adapted from CDC NATS)</w:t>
            </w:r>
            <w:r w:rsidRPr="000F6DEF">
              <w:rPr>
                <w:rFonts w:cs="Calibri"/>
                <w:color w:val="auto"/>
                <w:sz w:val="16"/>
                <w:szCs w:val="16"/>
              </w:rPr>
              <w:br/>
              <w:t>Attitude toward exposure (Theory of Planned Beh)</w:t>
            </w:r>
            <w:r w:rsidRPr="000F6DEF">
              <w:rPr>
                <w:rFonts w:cs="Calibri"/>
                <w:color w:val="auto"/>
                <w:sz w:val="16"/>
                <w:szCs w:val="16"/>
              </w:rPr>
              <w:br/>
              <w:t>Perceived normative support for assertive communication (Theory of Planned Beh)</w:t>
            </w:r>
            <w:r w:rsidRPr="000F6DEF">
              <w:rPr>
                <w:rFonts w:cs="Calibri"/>
                <w:color w:val="auto"/>
                <w:sz w:val="16"/>
                <w:szCs w:val="16"/>
              </w:rPr>
              <w:br/>
              <w:t>Self-efficacy toward assertive communication (Theory of Planned Beh)</w:t>
            </w:r>
            <w:r w:rsidRPr="000F6DEF">
              <w:rPr>
                <w:rFonts w:cs="Calibri"/>
                <w:color w:val="auto"/>
                <w:sz w:val="16"/>
                <w:szCs w:val="16"/>
              </w:rPr>
              <w:br/>
              <w:t>Demographics</w:t>
            </w:r>
            <w:r w:rsidRPr="000F6DEF">
              <w:rPr>
                <w:rFonts w:cs="Calibri"/>
                <w:color w:val="auto"/>
                <w:sz w:val="16"/>
                <w:szCs w:val="16"/>
              </w:rPr>
              <w:br/>
              <w:t>Cig</w:t>
            </w:r>
            <w:r w:rsidR="008146F9">
              <w:rPr>
                <w:rFonts w:cs="Calibri"/>
                <w:color w:val="auto"/>
                <w:sz w:val="16"/>
                <w:szCs w:val="16"/>
              </w:rPr>
              <w:t>arette</w:t>
            </w:r>
            <w:r w:rsidRPr="000F6DEF">
              <w:rPr>
                <w:rFonts w:cs="Calibri"/>
                <w:color w:val="auto"/>
                <w:sz w:val="16"/>
                <w:szCs w:val="16"/>
              </w:rPr>
              <w:t xml:space="preserve"> use</w:t>
            </w:r>
            <w:r w:rsidRPr="000F6DEF">
              <w:rPr>
                <w:rFonts w:cs="Calibri"/>
                <w:color w:val="auto"/>
                <w:sz w:val="16"/>
                <w:szCs w:val="16"/>
              </w:rPr>
              <w:br/>
            </w:r>
            <w:r>
              <w:rPr>
                <w:rFonts w:cs="Calibri"/>
                <w:color w:val="auto"/>
                <w:sz w:val="16"/>
                <w:szCs w:val="16"/>
              </w:rPr>
              <w:t>e</w:t>
            </w:r>
            <w:r>
              <w:rPr>
                <w:rFonts w:cs="Calibri"/>
                <w:color w:val="auto"/>
                <w:sz w:val="16"/>
                <w:szCs w:val="16"/>
              </w:rPr>
              <w:noBreakHyphen/>
              <w:t>cig</w:t>
            </w:r>
            <w:r w:rsidRPr="000F6DEF">
              <w:rPr>
                <w:rFonts w:cs="Calibri"/>
                <w:color w:val="auto"/>
                <w:sz w:val="16"/>
                <w:szCs w:val="16"/>
              </w:rPr>
              <w:t>arette use</w:t>
            </w:r>
          </w:p>
        </w:tc>
      </w:tr>
      <w:tr w:rsidR="00B85C33" w:rsidRPr="000F6DEF" w14:paraId="3A88976D" w14:textId="77777777" w:rsidTr="000376C7">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1302" w:type="dxa"/>
          </w:tcPr>
          <w:p w14:paraId="573CE5AB" w14:textId="77777777" w:rsidR="00B85C33" w:rsidRPr="000F6DEF" w:rsidRDefault="00B85C33" w:rsidP="000376C7">
            <w:pPr>
              <w:rPr>
                <w:rFonts w:cs="Calibri"/>
                <w:color w:val="auto"/>
                <w:sz w:val="16"/>
                <w:szCs w:val="16"/>
              </w:rPr>
            </w:pPr>
            <w:r w:rsidRPr="000F6DEF">
              <w:rPr>
                <w:rFonts w:cs="Calibri"/>
                <w:color w:val="auto"/>
                <w:sz w:val="16"/>
                <w:szCs w:val="16"/>
              </w:rPr>
              <w:t>Conway, Green, Kasza et al</w:t>
            </w:r>
          </w:p>
        </w:tc>
        <w:tc>
          <w:tcPr>
            <w:tcW w:w="2237" w:type="dxa"/>
          </w:tcPr>
          <w:p w14:paraId="5643A8B6" w14:textId="03627CE4"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This study examined co-occurrence of tobacco use, substance use, and mental health problems, and its moderation by gender</w:t>
            </w:r>
            <w:r w:rsidR="00CE05B6">
              <w:rPr>
                <w:rFonts w:cs="Calibri"/>
                <w:color w:val="auto"/>
                <w:sz w:val="16"/>
                <w:szCs w:val="16"/>
              </w:rPr>
              <w:t>.</w:t>
            </w:r>
          </w:p>
        </w:tc>
        <w:tc>
          <w:tcPr>
            <w:tcW w:w="1605" w:type="dxa"/>
          </w:tcPr>
          <w:p w14:paraId="7CAC34EA"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 xml:space="preserve">Population Assessment of Tobacco and Health survey (PATH) </w:t>
            </w:r>
          </w:p>
        </w:tc>
        <w:tc>
          <w:tcPr>
            <w:tcW w:w="1088" w:type="dxa"/>
          </w:tcPr>
          <w:p w14:paraId="7576FD4D"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US national</w:t>
            </w:r>
          </w:p>
        </w:tc>
        <w:tc>
          <w:tcPr>
            <w:tcW w:w="1134" w:type="dxa"/>
          </w:tcPr>
          <w:p w14:paraId="70E05C65"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2013-2014</w:t>
            </w:r>
          </w:p>
        </w:tc>
        <w:tc>
          <w:tcPr>
            <w:tcW w:w="1735" w:type="dxa"/>
          </w:tcPr>
          <w:p w14:paraId="6A457E68"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 xml:space="preserve">32,202 with valid data </w:t>
            </w:r>
          </w:p>
          <w:p w14:paraId="070F5565"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 xml:space="preserve">Age: 47.1% between 18 and 44 </w:t>
            </w:r>
          </w:p>
          <w:p w14:paraId="724BAF99"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Male: 48%</w:t>
            </w:r>
          </w:p>
        </w:tc>
        <w:tc>
          <w:tcPr>
            <w:tcW w:w="1701" w:type="dxa"/>
          </w:tcPr>
          <w:p w14:paraId="5C9C6B5A"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Address-based area probability sampling approach that oversampled tobacco users</w:t>
            </w:r>
          </w:p>
        </w:tc>
        <w:tc>
          <w:tcPr>
            <w:tcW w:w="1985" w:type="dxa"/>
          </w:tcPr>
          <w:p w14:paraId="77CF55C0" w14:textId="52E05FFA"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Audio Computer Assisted Self-Interviews administered in English or Spanish</w:t>
            </w:r>
          </w:p>
        </w:tc>
        <w:tc>
          <w:tcPr>
            <w:tcW w:w="2268" w:type="dxa"/>
          </w:tcPr>
          <w:p w14:paraId="6819A2D4"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 xml:space="preserve">Self-reported current cigarette, </w:t>
            </w:r>
            <w:r>
              <w:rPr>
                <w:rFonts w:cs="Calibri"/>
                <w:color w:val="auto"/>
                <w:sz w:val="16"/>
                <w:szCs w:val="16"/>
              </w:rPr>
              <w:t>e</w:t>
            </w:r>
            <w:r>
              <w:rPr>
                <w:rFonts w:cs="Calibri"/>
                <w:color w:val="auto"/>
                <w:sz w:val="16"/>
                <w:szCs w:val="16"/>
              </w:rPr>
              <w:noBreakHyphen/>
              <w:t>cig</w:t>
            </w:r>
            <w:r w:rsidRPr="000F6DEF">
              <w:rPr>
                <w:rFonts w:cs="Calibri"/>
                <w:color w:val="auto"/>
                <w:sz w:val="16"/>
                <w:szCs w:val="16"/>
              </w:rPr>
              <w:t xml:space="preserve">arette, traditional cigar, cigarillo, filtered cigar, hookah, smokeless tobacco and other tobacco product use; past year alcohol, marijuana, and other drug use; and past year substance use, internalizing and externalizing problems. </w:t>
            </w:r>
            <w:r w:rsidRPr="000F6DEF">
              <w:rPr>
                <w:rFonts w:cs="Calibri"/>
                <w:color w:val="auto"/>
                <w:sz w:val="16"/>
                <w:szCs w:val="16"/>
              </w:rPr>
              <w:br/>
              <w:t>GAIN-SS - mental health disorders</w:t>
            </w:r>
          </w:p>
        </w:tc>
      </w:tr>
      <w:tr w:rsidR="00B85C33" w:rsidRPr="000F6DEF" w14:paraId="6E441008" w14:textId="77777777" w:rsidTr="000376C7">
        <w:trPr>
          <w:trHeight w:val="496"/>
        </w:trPr>
        <w:tc>
          <w:tcPr>
            <w:cnfStyle w:val="001000000000" w:firstRow="0" w:lastRow="0" w:firstColumn="1" w:lastColumn="0" w:oddVBand="0" w:evenVBand="0" w:oddHBand="0" w:evenHBand="0" w:firstRowFirstColumn="0" w:firstRowLastColumn="0" w:lastRowFirstColumn="0" w:lastRowLastColumn="0"/>
            <w:tcW w:w="1302" w:type="dxa"/>
          </w:tcPr>
          <w:p w14:paraId="25260678" w14:textId="77777777" w:rsidR="00B85C33" w:rsidRPr="000F6DEF" w:rsidRDefault="00B85C33" w:rsidP="000376C7">
            <w:pPr>
              <w:rPr>
                <w:rFonts w:cs="Calibri"/>
                <w:color w:val="auto"/>
                <w:sz w:val="16"/>
                <w:szCs w:val="16"/>
              </w:rPr>
            </w:pPr>
            <w:r w:rsidRPr="000F6DEF">
              <w:rPr>
                <w:rFonts w:cs="Calibri"/>
                <w:color w:val="auto"/>
                <w:sz w:val="16"/>
                <w:szCs w:val="16"/>
              </w:rPr>
              <w:lastRenderedPageBreak/>
              <w:t>Gubner, Pagano, Tajima, Guydish</w:t>
            </w:r>
          </w:p>
        </w:tc>
        <w:tc>
          <w:tcPr>
            <w:tcW w:w="2237" w:type="dxa"/>
          </w:tcPr>
          <w:p w14:paraId="3ED2E337"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This research examined electronic cigarette (</w:t>
            </w:r>
            <w:r>
              <w:rPr>
                <w:rFonts w:cs="Calibri"/>
                <w:color w:val="auto"/>
                <w:sz w:val="16"/>
                <w:szCs w:val="16"/>
              </w:rPr>
              <w:t>e</w:t>
            </w:r>
            <w:r>
              <w:rPr>
                <w:rFonts w:cs="Calibri"/>
                <w:color w:val="auto"/>
                <w:sz w:val="16"/>
                <w:szCs w:val="16"/>
              </w:rPr>
              <w:noBreakHyphen/>
              <w:t>cig</w:t>
            </w:r>
            <w:r w:rsidRPr="000F6DEF">
              <w:rPr>
                <w:rFonts w:cs="Calibri"/>
                <w:color w:val="auto"/>
                <w:sz w:val="16"/>
                <w:szCs w:val="16"/>
              </w:rPr>
              <w:t xml:space="preserve">arette) use by individuals in treatment for substance abuse, a population with a high prevalence of tobacco use and poor smoking cessation outcomes. </w:t>
            </w:r>
          </w:p>
        </w:tc>
        <w:tc>
          <w:tcPr>
            <w:tcW w:w="1605" w:type="dxa"/>
          </w:tcPr>
          <w:p w14:paraId="3B63829B"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 xml:space="preserve">Part of a larger study unnamed </w:t>
            </w:r>
          </w:p>
        </w:tc>
        <w:tc>
          <w:tcPr>
            <w:tcW w:w="1088" w:type="dxa"/>
          </w:tcPr>
          <w:p w14:paraId="7396550A"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US national</w:t>
            </w:r>
          </w:p>
        </w:tc>
        <w:tc>
          <w:tcPr>
            <w:tcW w:w="1134" w:type="dxa"/>
          </w:tcPr>
          <w:p w14:paraId="69494D94"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2015</w:t>
            </w:r>
          </w:p>
        </w:tc>
        <w:tc>
          <w:tcPr>
            <w:tcW w:w="1735" w:type="dxa"/>
          </w:tcPr>
          <w:p w14:paraId="3C3204CD"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 xml:space="preserve">1127 Wave 2 </w:t>
            </w:r>
          </w:p>
          <w:p w14:paraId="65EF04BC"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 xml:space="preserve">Mean age: 33.3(9.0) years </w:t>
            </w:r>
          </w:p>
          <w:p w14:paraId="1D959F74"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Male: 54%</w:t>
            </w:r>
          </w:p>
        </w:tc>
        <w:tc>
          <w:tcPr>
            <w:tcW w:w="1701" w:type="dxa"/>
          </w:tcPr>
          <w:p w14:paraId="1012E1FC"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24 substance abuse treatment centres (10 residential,</w:t>
            </w:r>
            <w:r w:rsidRPr="000F6DEF">
              <w:rPr>
                <w:rFonts w:cs="Calibri"/>
                <w:color w:val="auto"/>
                <w:sz w:val="16"/>
                <w:szCs w:val="16"/>
              </w:rPr>
              <w:br/>
              <w:t>7 methadone maintenance, and 7 outpatient clinics) affiliated with</w:t>
            </w:r>
            <w:r w:rsidRPr="000F6DEF">
              <w:rPr>
                <w:rFonts w:cs="Calibri"/>
                <w:color w:val="auto"/>
                <w:sz w:val="16"/>
                <w:szCs w:val="16"/>
              </w:rPr>
              <w:br/>
              <w:t xml:space="preserve">the NIDA Clinical Trials Network (CTN). </w:t>
            </w:r>
          </w:p>
        </w:tc>
        <w:tc>
          <w:tcPr>
            <w:tcW w:w="1985" w:type="dxa"/>
          </w:tcPr>
          <w:p w14:paraId="3F7446E8"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Qualtrics, self-administered on site using iPads</w:t>
            </w:r>
            <w:r w:rsidRPr="000F6DEF">
              <w:rPr>
                <w:rFonts w:cs="Calibri"/>
                <w:color w:val="auto"/>
                <w:sz w:val="16"/>
                <w:szCs w:val="16"/>
              </w:rPr>
              <w:br/>
              <w:t>$20 gift card</w:t>
            </w:r>
          </w:p>
        </w:tc>
        <w:tc>
          <w:tcPr>
            <w:tcW w:w="2268" w:type="dxa"/>
          </w:tcPr>
          <w:p w14:paraId="6AD0FB42" w14:textId="5BAF308F"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Demographics</w:t>
            </w:r>
            <w:r w:rsidRPr="000F6DEF">
              <w:rPr>
                <w:rFonts w:cs="Calibri"/>
                <w:color w:val="auto"/>
                <w:sz w:val="16"/>
                <w:szCs w:val="16"/>
              </w:rPr>
              <w:br/>
              <w:t xml:space="preserve">lifetime use </w:t>
            </w:r>
            <w:r w:rsidR="00CE05B6">
              <w:rPr>
                <w:rFonts w:asciiTheme="minorHAnsi" w:hAnsiTheme="minorHAnsi" w:cstheme="minorHAnsi"/>
                <w:color w:val="auto"/>
                <w:sz w:val="16"/>
                <w:szCs w:val="16"/>
              </w:rPr>
              <w:t>e</w:t>
            </w:r>
            <w:r w:rsidR="00CE05B6">
              <w:rPr>
                <w:rFonts w:asciiTheme="minorHAnsi" w:hAnsiTheme="minorHAnsi" w:cstheme="minorHAnsi"/>
                <w:color w:val="auto"/>
                <w:sz w:val="16"/>
                <w:szCs w:val="16"/>
              </w:rPr>
              <w:noBreakHyphen/>
              <w:t>cigarettes</w:t>
            </w:r>
            <w:r w:rsidRPr="000F6DEF">
              <w:rPr>
                <w:rFonts w:cs="Calibri"/>
                <w:color w:val="auto"/>
                <w:sz w:val="16"/>
                <w:szCs w:val="16"/>
              </w:rPr>
              <w:br/>
              <w:t xml:space="preserve">30-day use </w:t>
            </w:r>
            <w:r w:rsidR="00CE05B6">
              <w:rPr>
                <w:rFonts w:asciiTheme="minorHAnsi" w:hAnsiTheme="minorHAnsi" w:cstheme="minorHAnsi"/>
                <w:color w:val="auto"/>
                <w:sz w:val="16"/>
                <w:szCs w:val="16"/>
              </w:rPr>
              <w:t>e</w:t>
            </w:r>
            <w:r w:rsidR="00CE05B6">
              <w:rPr>
                <w:rFonts w:asciiTheme="minorHAnsi" w:hAnsiTheme="minorHAnsi" w:cstheme="minorHAnsi"/>
                <w:color w:val="auto"/>
                <w:sz w:val="16"/>
                <w:szCs w:val="16"/>
              </w:rPr>
              <w:noBreakHyphen/>
              <w:t>cigarettes</w:t>
            </w:r>
            <w:r w:rsidRPr="000F6DEF">
              <w:rPr>
                <w:rFonts w:cs="Calibri"/>
                <w:color w:val="auto"/>
                <w:sz w:val="16"/>
                <w:szCs w:val="16"/>
              </w:rPr>
              <w:br/>
              <w:t xml:space="preserve">Details of </w:t>
            </w:r>
            <w:r>
              <w:rPr>
                <w:rFonts w:cs="Calibri"/>
                <w:color w:val="auto"/>
                <w:sz w:val="16"/>
                <w:szCs w:val="16"/>
              </w:rPr>
              <w:t>e</w:t>
            </w:r>
            <w:r>
              <w:rPr>
                <w:rFonts w:cs="Calibri"/>
                <w:color w:val="auto"/>
                <w:sz w:val="16"/>
                <w:szCs w:val="16"/>
              </w:rPr>
              <w:noBreakHyphen/>
              <w:t>cig</w:t>
            </w:r>
            <w:r w:rsidRPr="000F6DEF">
              <w:rPr>
                <w:rFonts w:cs="Calibri"/>
                <w:color w:val="auto"/>
                <w:sz w:val="16"/>
                <w:szCs w:val="16"/>
              </w:rPr>
              <w:t>arette device types</w:t>
            </w:r>
            <w:r w:rsidRPr="000F6DEF">
              <w:rPr>
                <w:rFonts w:cs="Calibri"/>
                <w:color w:val="auto"/>
                <w:sz w:val="16"/>
                <w:szCs w:val="16"/>
              </w:rPr>
              <w:br/>
              <w:t>Smoking status</w:t>
            </w:r>
          </w:p>
        </w:tc>
      </w:tr>
      <w:tr w:rsidR="00B85C33" w:rsidRPr="000F6DEF" w14:paraId="4DCDDCFA" w14:textId="77777777" w:rsidTr="000376C7">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1302" w:type="dxa"/>
          </w:tcPr>
          <w:p w14:paraId="4427E2E4" w14:textId="77777777" w:rsidR="00B85C33" w:rsidRPr="000F6DEF" w:rsidRDefault="00B85C33" w:rsidP="000376C7">
            <w:pPr>
              <w:rPr>
                <w:rFonts w:cs="Calibri"/>
                <w:color w:val="auto"/>
                <w:sz w:val="16"/>
                <w:szCs w:val="16"/>
              </w:rPr>
            </w:pPr>
            <w:r w:rsidRPr="000F6DEF">
              <w:rPr>
                <w:rFonts w:cs="Calibri"/>
                <w:color w:val="auto"/>
                <w:sz w:val="16"/>
                <w:szCs w:val="16"/>
              </w:rPr>
              <w:t>Henry, Gettens, Savageau et al</w:t>
            </w:r>
          </w:p>
        </w:tc>
        <w:tc>
          <w:tcPr>
            <w:tcW w:w="2237" w:type="dxa"/>
          </w:tcPr>
          <w:p w14:paraId="49381287"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 xml:space="preserve">We used surveys conducted in 2008 and 2014 to examine changes in smoking abstinence rates among MassHealth members identified as smokers and to identify factors associated with being a former smoker. </w:t>
            </w:r>
          </w:p>
        </w:tc>
        <w:tc>
          <w:tcPr>
            <w:tcW w:w="1605" w:type="dxa"/>
          </w:tcPr>
          <w:p w14:paraId="072BACBF"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MassHealth Smoking Cessation</w:t>
            </w:r>
            <w:r w:rsidRPr="000F6DEF">
              <w:rPr>
                <w:rFonts w:cs="Calibri"/>
                <w:color w:val="auto"/>
                <w:sz w:val="16"/>
                <w:szCs w:val="16"/>
              </w:rPr>
              <w:br/>
              <w:t>(MHSC) Surveys</w:t>
            </w:r>
          </w:p>
        </w:tc>
        <w:tc>
          <w:tcPr>
            <w:tcW w:w="1088" w:type="dxa"/>
          </w:tcPr>
          <w:p w14:paraId="318EDDD9"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US national (Massachusetts only)</w:t>
            </w:r>
          </w:p>
        </w:tc>
        <w:tc>
          <w:tcPr>
            <w:tcW w:w="1134" w:type="dxa"/>
          </w:tcPr>
          <w:p w14:paraId="50E1AC17"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2008 and 2014</w:t>
            </w:r>
          </w:p>
        </w:tc>
        <w:tc>
          <w:tcPr>
            <w:tcW w:w="1735" w:type="dxa"/>
          </w:tcPr>
          <w:p w14:paraId="7C93DB86" w14:textId="22B1049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2008 n1</w:t>
            </w:r>
            <w:r w:rsidR="00FB01C7">
              <w:rPr>
                <w:rFonts w:cs="Calibri"/>
                <w:color w:val="auto"/>
                <w:sz w:val="16"/>
                <w:szCs w:val="16"/>
              </w:rPr>
              <w:t>,</w:t>
            </w:r>
            <w:r w:rsidRPr="000F6DEF">
              <w:rPr>
                <w:rFonts w:cs="Calibri"/>
                <w:color w:val="auto"/>
                <w:sz w:val="16"/>
                <w:szCs w:val="16"/>
              </w:rPr>
              <w:t>635</w:t>
            </w:r>
            <w:r w:rsidRPr="000F6DEF">
              <w:rPr>
                <w:rFonts w:cs="Calibri"/>
                <w:color w:val="auto"/>
                <w:sz w:val="16"/>
                <w:szCs w:val="16"/>
              </w:rPr>
              <w:br/>
              <w:t xml:space="preserve">2014 n793 </w:t>
            </w:r>
          </w:p>
          <w:p w14:paraId="4F599678"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Age: 2008 31.4% 45-54</w:t>
            </w:r>
            <w:r w:rsidRPr="000F6DEF">
              <w:rPr>
                <w:rFonts w:cs="Calibri"/>
                <w:color w:val="auto"/>
                <w:sz w:val="16"/>
                <w:szCs w:val="16"/>
              </w:rPr>
              <w:br/>
              <w:t>2014 33.1% 55-64 years</w:t>
            </w:r>
          </w:p>
          <w:p w14:paraId="3AEE5DEC"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 male: 2008 41.5%</w:t>
            </w:r>
            <w:r w:rsidRPr="000F6DEF">
              <w:rPr>
                <w:rFonts w:cs="Calibri"/>
                <w:color w:val="auto"/>
                <w:sz w:val="16"/>
                <w:szCs w:val="16"/>
              </w:rPr>
              <w:br/>
              <w:t>2014 36.7%</w:t>
            </w:r>
          </w:p>
        </w:tc>
        <w:tc>
          <w:tcPr>
            <w:tcW w:w="1701" w:type="dxa"/>
          </w:tcPr>
          <w:p w14:paraId="659608E3"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People involved with MassHealth smoking cessation</w:t>
            </w:r>
          </w:p>
        </w:tc>
        <w:tc>
          <w:tcPr>
            <w:tcW w:w="1985" w:type="dxa"/>
          </w:tcPr>
          <w:p w14:paraId="47DFEAB8"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Mail and phone</w:t>
            </w:r>
          </w:p>
        </w:tc>
        <w:tc>
          <w:tcPr>
            <w:tcW w:w="2268" w:type="dxa"/>
          </w:tcPr>
          <w:p w14:paraId="743C7127"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Current and prior smoking behaviour</w:t>
            </w:r>
            <w:r w:rsidRPr="000F6DEF">
              <w:rPr>
                <w:rFonts w:cs="Calibri"/>
                <w:color w:val="auto"/>
                <w:sz w:val="16"/>
                <w:szCs w:val="16"/>
              </w:rPr>
              <w:br/>
              <w:t>attempts to quit</w:t>
            </w:r>
            <w:r w:rsidRPr="000F6DEF">
              <w:rPr>
                <w:rFonts w:cs="Calibri"/>
                <w:color w:val="auto"/>
                <w:sz w:val="16"/>
                <w:szCs w:val="16"/>
              </w:rPr>
              <w:br/>
              <w:t>chronic health conditions</w:t>
            </w:r>
            <w:r w:rsidRPr="000F6DEF">
              <w:rPr>
                <w:rFonts w:cs="Calibri"/>
                <w:color w:val="auto"/>
                <w:sz w:val="16"/>
                <w:szCs w:val="16"/>
              </w:rPr>
              <w:br/>
              <w:t>demographics</w:t>
            </w:r>
            <w:r w:rsidRPr="000F6DEF">
              <w:rPr>
                <w:rFonts w:cs="Calibri"/>
                <w:color w:val="auto"/>
                <w:sz w:val="16"/>
                <w:szCs w:val="16"/>
              </w:rPr>
              <w:br/>
              <w:t>Plus some open-ended items</w:t>
            </w:r>
          </w:p>
        </w:tc>
      </w:tr>
      <w:tr w:rsidR="00B85C33" w:rsidRPr="000F6DEF" w14:paraId="63BBC16F" w14:textId="77777777" w:rsidTr="000376C7">
        <w:trPr>
          <w:trHeight w:val="496"/>
        </w:trPr>
        <w:tc>
          <w:tcPr>
            <w:cnfStyle w:val="001000000000" w:firstRow="0" w:lastRow="0" w:firstColumn="1" w:lastColumn="0" w:oddVBand="0" w:evenVBand="0" w:oddHBand="0" w:evenHBand="0" w:firstRowFirstColumn="0" w:firstRowLastColumn="0" w:lastRowFirstColumn="0" w:lastRowLastColumn="0"/>
            <w:tcW w:w="1302" w:type="dxa"/>
          </w:tcPr>
          <w:p w14:paraId="6DA34DBE" w14:textId="77777777" w:rsidR="00B85C33" w:rsidRPr="000F6DEF" w:rsidRDefault="00B85C33" w:rsidP="000376C7">
            <w:pPr>
              <w:rPr>
                <w:rFonts w:cs="Calibri"/>
                <w:color w:val="auto"/>
                <w:sz w:val="16"/>
                <w:szCs w:val="16"/>
              </w:rPr>
            </w:pPr>
            <w:r w:rsidRPr="000F6DEF">
              <w:rPr>
                <w:rFonts w:cs="Calibri"/>
                <w:color w:val="auto"/>
                <w:sz w:val="16"/>
                <w:szCs w:val="16"/>
              </w:rPr>
              <w:t>Jones, Majeed, Weaver et al.</w:t>
            </w:r>
          </w:p>
        </w:tc>
        <w:tc>
          <w:tcPr>
            <w:tcW w:w="2237" w:type="dxa"/>
          </w:tcPr>
          <w:p w14:paraId="2CEA5395" w14:textId="7A1B3BD2"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We aimed to determine whether the prevalence of current use of smokeless tobacco products (STPs) changed during 2014-2016 and examine factors associated with use among adults in the United States</w:t>
            </w:r>
            <w:r w:rsidR="00CE05B6">
              <w:rPr>
                <w:rFonts w:cs="Calibri"/>
                <w:color w:val="auto"/>
                <w:sz w:val="16"/>
                <w:szCs w:val="16"/>
              </w:rPr>
              <w:t>.</w:t>
            </w:r>
          </w:p>
        </w:tc>
        <w:tc>
          <w:tcPr>
            <w:tcW w:w="1605" w:type="dxa"/>
          </w:tcPr>
          <w:p w14:paraId="349541CA"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Tobacco Products and Risk Perceptions Surveys</w:t>
            </w:r>
          </w:p>
        </w:tc>
        <w:tc>
          <w:tcPr>
            <w:tcW w:w="1088" w:type="dxa"/>
          </w:tcPr>
          <w:p w14:paraId="5D09A0DF"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US national</w:t>
            </w:r>
          </w:p>
        </w:tc>
        <w:tc>
          <w:tcPr>
            <w:tcW w:w="1134" w:type="dxa"/>
          </w:tcPr>
          <w:p w14:paraId="556D7795"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2014, 2015, 2016</w:t>
            </w:r>
          </w:p>
        </w:tc>
        <w:tc>
          <w:tcPr>
            <w:tcW w:w="1735" w:type="dxa"/>
          </w:tcPr>
          <w:p w14:paraId="63917089" w14:textId="5784F4D2"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5</w:t>
            </w:r>
            <w:r w:rsidR="00FB01C7">
              <w:rPr>
                <w:rFonts w:cs="Calibri"/>
                <w:color w:val="auto"/>
                <w:sz w:val="16"/>
                <w:szCs w:val="16"/>
              </w:rPr>
              <w:t>,</w:t>
            </w:r>
            <w:r w:rsidRPr="000F6DEF">
              <w:rPr>
                <w:rFonts w:cs="Calibri"/>
                <w:color w:val="auto"/>
                <w:sz w:val="16"/>
                <w:szCs w:val="16"/>
              </w:rPr>
              <w:t>717, 6</w:t>
            </w:r>
            <w:r w:rsidR="00FB01C7">
              <w:rPr>
                <w:rFonts w:cs="Calibri"/>
                <w:color w:val="auto"/>
                <w:sz w:val="16"/>
                <w:szCs w:val="16"/>
              </w:rPr>
              <w:t>,</w:t>
            </w:r>
            <w:r w:rsidRPr="000F6DEF">
              <w:rPr>
                <w:rFonts w:cs="Calibri"/>
                <w:color w:val="auto"/>
                <w:sz w:val="16"/>
                <w:szCs w:val="16"/>
              </w:rPr>
              <w:t>051, 6</w:t>
            </w:r>
            <w:r w:rsidR="00FB01C7">
              <w:rPr>
                <w:rFonts w:cs="Calibri"/>
                <w:color w:val="auto"/>
                <w:sz w:val="16"/>
                <w:szCs w:val="16"/>
              </w:rPr>
              <w:t>,</w:t>
            </w:r>
            <w:r w:rsidRPr="000F6DEF">
              <w:rPr>
                <w:rFonts w:cs="Calibri"/>
                <w:color w:val="auto"/>
                <w:sz w:val="16"/>
                <w:szCs w:val="16"/>
              </w:rPr>
              <w:t xml:space="preserve">014 </w:t>
            </w:r>
          </w:p>
        </w:tc>
        <w:tc>
          <w:tcPr>
            <w:tcW w:w="1701" w:type="dxa"/>
          </w:tcPr>
          <w:p w14:paraId="5D9716B4"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Gfk's Knowledge Panel</w:t>
            </w:r>
            <w:r w:rsidRPr="000F6DEF">
              <w:rPr>
                <w:rFonts w:cs="Calibri"/>
                <w:color w:val="auto"/>
                <w:sz w:val="16"/>
                <w:szCs w:val="16"/>
              </w:rPr>
              <w:br/>
              <w:t>Probability based web panel</w:t>
            </w:r>
          </w:p>
        </w:tc>
        <w:tc>
          <w:tcPr>
            <w:tcW w:w="1985" w:type="dxa"/>
          </w:tcPr>
          <w:p w14:paraId="084ED68E"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Web-based</w:t>
            </w:r>
          </w:p>
        </w:tc>
        <w:tc>
          <w:tcPr>
            <w:tcW w:w="2268" w:type="dxa"/>
          </w:tcPr>
          <w:p w14:paraId="5389ACEC"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Current STP use</w:t>
            </w:r>
            <w:r w:rsidRPr="000F6DEF">
              <w:rPr>
                <w:rFonts w:cs="Calibri"/>
                <w:color w:val="auto"/>
                <w:sz w:val="16"/>
                <w:szCs w:val="16"/>
              </w:rPr>
              <w:br/>
              <w:t>Other tobacco use</w:t>
            </w:r>
            <w:r w:rsidRPr="000F6DEF">
              <w:rPr>
                <w:rFonts w:cs="Calibri"/>
                <w:color w:val="auto"/>
                <w:sz w:val="16"/>
                <w:szCs w:val="16"/>
              </w:rPr>
              <w:br/>
              <w:t>Demographics</w:t>
            </w:r>
          </w:p>
        </w:tc>
      </w:tr>
      <w:tr w:rsidR="00B85C33" w:rsidRPr="000F6DEF" w14:paraId="5981FBF3" w14:textId="77777777" w:rsidTr="000376C7">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1302" w:type="dxa"/>
          </w:tcPr>
          <w:p w14:paraId="34F8A826" w14:textId="77777777" w:rsidR="00B85C33" w:rsidRPr="000F6DEF" w:rsidRDefault="00B85C33" w:rsidP="000376C7">
            <w:pPr>
              <w:rPr>
                <w:rFonts w:cs="Calibri"/>
                <w:color w:val="auto"/>
                <w:sz w:val="16"/>
                <w:szCs w:val="16"/>
              </w:rPr>
            </w:pPr>
            <w:r w:rsidRPr="000F6DEF">
              <w:rPr>
                <w:rFonts w:cs="Calibri"/>
                <w:color w:val="auto"/>
                <w:sz w:val="16"/>
                <w:szCs w:val="16"/>
              </w:rPr>
              <w:t>Levy, Yuan, Li</w:t>
            </w:r>
          </w:p>
        </w:tc>
        <w:tc>
          <w:tcPr>
            <w:tcW w:w="2237" w:type="dxa"/>
          </w:tcPr>
          <w:p w14:paraId="42579811"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 xml:space="preserve">While most studies consider a subset of these characteristics with weak measures of regular </w:t>
            </w:r>
            <w:r>
              <w:rPr>
                <w:rFonts w:cs="Calibri"/>
                <w:color w:val="auto"/>
                <w:sz w:val="16"/>
                <w:szCs w:val="16"/>
              </w:rPr>
              <w:t>e</w:t>
            </w:r>
            <w:r>
              <w:rPr>
                <w:rFonts w:cs="Calibri"/>
                <w:color w:val="auto"/>
                <w:sz w:val="16"/>
                <w:szCs w:val="16"/>
              </w:rPr>
              <w:noBreakHyphen/>
              <w:t>cig</w:t>
            </w:r>
            <w:r w:rsidRPr="000F6DEF">
              <w:rPr>
                <w:rFonts w:cs="Calibri"/>
                <w:color w:val="auto"/>
                <w:sz w:val="16"/>
                <w:szCs w:val="16"/>
              </w:rPr>
              <w:t>arette use, this study uses a large, recent U.S. survey to simultaneously consider the association of each of these factors with different use measures.</w:t>
            </w:r>
          </w:p>
        </w:tc>
        <w:tc>
          <w:tcPr>
            <w:tcW w:w="1605" w:type="dxa"/>
          </w:tcPr>
          <w:p w14:paraId="35718AFC"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Tobacco Use Supplement-Current Population Survey (TUS-CPS)</w:t>
            </w:r>
          </w:p>
        </w:tc>
        <w:tc>
          <w:tcPr>
            <w:tcW w:w="1088" w:type="dxa"/>
          </w:tcPr>
          <w:p w14:paraId="5FEDB1F9"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US national</w:t>
            </w:r>
          </w:p>
        </w:tc>
        <w:tc>
          <w:tcPr>
            <w:tcW w:w="1134" w:type="dxa"/>
          </w:tcPr>
          <w:p w14:paraId="3CD181C9"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2014</w:t>
            </w:r>
          </w:p>
        </w:tc>
        <w:tc>
          <w:tcPr>
            <w:tcW w:w="1735" w:type="dxa"/>
          </w:tcPr>
          <w:p w14:paraId="4C6CDE2D"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 xml:space="preserve">158,626 </w:t>
            </w:r>
          </w:p>
          <w:p w14:paraId="07943C3E"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Age: 36.7% 45-64 years</w:t>
            </w:r>
          </w:p>
          <w:p w14:paraId="5CD7CC78"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Male: 45%</w:t>
            </w:r>
          </w:p>
        </w:tc>
        <w:tc>
          <w:tcPr>
            <w:tcW w:w="1701" w:type="dxa"/>
          </w:tcPr>
          <w:p w14:paraId="5DCC0F67"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A probability sample employs stratified clusters of households drawn from an initial sampling frame that covers the civilian, non-institutionalized population ages 18 and older.</w:t>
            </w:r>
          </w:p>
        </w:tc>
        <w:tc>
          <w:tcPr>
            <w:tcW w:w="1985" w:type="dxa"/>
          </w:tcPr>
          <w:p w14:paraId="7877CD43"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 xml:space="preserve">Telephone and in-person interviews conducted by US Census Bureau </w:t>
            </w:r>
          </w:p>
        </w:tc>
        <w:tc>
          <w:tcPr>
            <w:tcW w:w="2268" w:type="dxa"/>
          </w:tcPr>
          <w:p w14:paraId="270A844B" w14:textId="1C95066A"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 xml:space="preserve">Ever use </w:t>
            </w:r>
            <w:r w:rsidR="00CE05B6">
              <w:rPr>
                <w:rFonts w:asciiTheme="minorHAnsi" w:hAnsiTheme="minorHAnsi" w:cstheme="minorHAnsi"/>
                <w:color w:val="auto"/>
                <w:sz w:val="16"/>
                <w:szCs w:val="16"/>
              </w:rPr>
              <w:t>e</w:t>
            </w:r>
            <w:r w:rsidR="00CE05B6">
              <w:rPr>
                <w:rFonts w:asciiTheme="minorHAnsi" w:hAnsiTheme="minorHAnsi" w:cstheme="minorHAnsi"/>
                <w:color w:val="auto"/>
                <w:sz w:val="16"/>
                <w:szCs w:val="16"/>
              </w:rPr>
              <w:noBreakHyphen/>
              <w:t>cigarettes</w:t>
            </w:r>
            <w:r w:rsidRPr="000F6DEF">
              <w:rPr>
                <w:rFonts w:cs="Calibri"/>
                <w:color w:val="auto"/>
                <w:sz w:val="16"/>
                <w:szCs w:val="16"/>
              </w:rPr>
              <w:br/>
              <w:t xml:space="preserve">30-day </w:t>
            </w:r>
            <w:r>
              <w:rPr>
                <w:rFonts w:cs="Calibri"/>
                <w:color w:val="auto"/>
                <w:sz w:val="16"/>
                <w:szCs w:val="16"/>
              </w:rPr>
              <w:t>e</w:t>
            </w:r>
            <w:r>
              <w:rPr>
                <w:rFonts w:cs="Calibri"/>
                <w:color w:val="auto"/>
                <w:sz w:val="16"/>
                <w:szCs w:val="16"/>
              </w:rPr>
              <w:noBreakHyphen/>
              <w:t>cig</w:t>
            </w:r>
            <w:r w:rsidRPr="000F6DEF">
              <w:rPr>
                <w:rFonts w:cs="Calibri"/>
                <w:color w:val="auto"/>
                <w:sz w:val="16"/>
                <w:szCs w:val="16"/>
              </w:rPr>
              <w:t>arette use</w:t>
            </w:r>
            <w:r w:rsidRPr="000F6DEF">
              <w:rPr>
                <w:rFonts w:cs="Calibri"/>
                <w:color w:val="auto"/>
                <w:sz w:val="16"/>
                <w:szCs w:val="16"/>
              </w:rPr>
              <w:br/>
              <w:t xml:space="preserve">Regular </w:t>
            </w:r>
            <w:r>
              <w:rPr>
                <w:rFonts w:cs="Calibri"/>
                <w:color w:val="auto"/>
                <w:sz w:val="16"/>
                <w:szCs w:val="16"/>
              </w:rPr>
              <w:t>e</w:t>
            </w:r>
            <w:r>
              <w:rPr>
                <w:rFonts w:cs="Calibri"/>
                <w:color w:val="auto"/>
                <w:sz w:val="16"/>
                <w:szCs w:val="16"/>
              </w:rPr>
              <w:noBreakHyphen/>
              <w:t>cig</w:t>
            </w:r>
            <w:r w:rsidRPr="000F6DEF">
              <w:rPr>
                <w:rFonts w:cs="Calibri"/>
                <w:color w:val="auto"/>
                <w:sz w:val="16"/>
                <w:szCs w:val="16"/>
              </w:rPr>
              <w:t>arette use</w:t>
            </w:r>
            <w:r w:rsidRPr="000F6DEF">
              <w:rPr>
                <w:rFonts w:cs="Calibri"/>
                <w:color w:val="auto"/>
                <w:sz w:val="16"/>
                <w:szCs w:val="16"/>
              </w:rPr>
              <w:br/>
              <w:t>Lifetime cig</w:t>
            </w:r>
            <w:r w:rsidR="00CE05B6">
              <w:rPr>
                <w:rFonts w:cs="Calibri"/>
                <w:color w:val="auto"/>
                <w:sz w:val="16"/>
                <w:szCs w:val="16"/>
              </w:rPr>
              <w:t>arette</w:t>
            </w:r>
            <w:r w:rsidRPr="000F6DEF">
              <w:rPr>
                <w:rFonts w:cs="Calibri"/>
                <w:color w:val="auto"/>
                <w:sz w:val="16"/>
                <w:szCs w:val="16"/>
              </w:rPr>
              <w:t xml:space="preserve"> use</w:t>
            </w:r>
            <w:r w:rsidRPr="000F6DEF">
              <w:rPr>
                <w:rFonts w:cs="Calibri"/>
                <w:color w:val="auto"/>
                <w:sz w:val="16"/>
                <w:szCs w:val="16"/>
              </w:rPr>
              <w:br/>
              <w:t>Current cig</w:t>
            </w:r>
            <w:r w:rsidR="00CE05B6">
              <w:rPr>
                <w:rFonts w:cs="Calibri"/>
                <w:color w:val="auto"/>
                <w:sz w:val="16"/>
                <w:szCs w:val="16"/>
              </w:rPr>
              <w:t>arette</w:t>
            </w:r>
            <w:r w:rsidRPr="000F6DEF">
              <w:rPr>
                <w:rFonts w:cs="Calibri"/>
                <w:color w:val="auto"/>
                <w:sz w:val="16"/>
                <w:szCs w:val="16"/>
              </w:rPr>
              <w:t xml:space="preserve"> use, intensity and frequency</w:t>
            </w:r>
            <w:r w:rsidRPr="000F6DEF">
              <w:rPr>
                <w:rFonts w:cs="Calibri"/>
                <w:color w:val="auto"/>
                <w:sz w:val="16"/>
                <w:szCs w:val="16"/>
              </w:rPr>
              <w:br/>
              <w:t>Smoking cessation</w:t>
            </w:r>
            <w:r w:rsidRPr="000F6DEF">
              <w:rPr>
                <w:rFonts w:cs="Calibri"/>
                <w:color w:val="auto"/>
                <w:sz w:val="16"/>
                <w:szCs w:val="16"/>
              </w:rPr>
              <w:br/>
              <w:t>Demographics</w:t>
            </w:r>
            <w:r w:rsidRPr="000F6DEF">
              <w:rPr>
                <w:rFonts w:cs="Calibri"/>
                <w:color w:val="auto"/>
                <w:sz w:val="16"/>
                <w:szCs w:val="16"/>
              </w:rPr>
              <w:br/>
              <w:t>Cig taxes and tobacco control spending data from records</w:t>
            </w:r>
          </w:p>
        </w:tc>
      </w:tr>
      <w:tr w:rsidR="00B85C33" w:rsidRPr="000F6DEF" w14:paraId="640B7D9E" w14:textId="77777777" w:rsidTr="000376C7">
        <w:trPr>
          <w:trHeight w:val="496"/>
        </w:trPr>
        <w:tc>
          <w:tcPr>
            <w:cnfStyle w:val="001000000000" w:firstRow="0" w:lastRow="0" w:firstColumn="1" w:lastColumn="0" w:oddVBand="0" w:evenVBand="0" w:oddHBand="0" w:evenHBand="0" w:firstRowFirstColumn="0" w:firstRowLastColumn="0" w:lastRowFirstColumn="0" w:lastRowLastColumn="0"/>
            <w:tcW w:w="1302" w:type="dxa"/>
          </w:tcPr>
          <w:p w14:paraId="6AAB76C9" w14:textId="77777777" w:rsidR="00B85C33" w:rsidRPr="000F6DEF" w:rsidRDefault="00B85C33" w:rsidP="000376C7">
            <w:pPr>
              <w:rPr>
                <w:rFonts w:cs="Calibri"/>
                <w:color w:val="auto"/>
                <w:sz w:val="16"/>
                <w:szCs w:val="16"/>
              </w:rPr>
            </w:pPr>
            <w:r w:rsidRPr="000F6DEF">
              <w:rPr>
                <w:rFonts w:cs="Calibri"/>
                <w:color w:val="auto"/>
                <w:sz w:val="16"/>
                <w:szCs w:val="16"/>
              </w:rPr>
              <w:t>Park, Duncan et al</w:t>
            </w:r>
          </w:p>
        </w:tc>
        <w:tc>
          <w:tcPr>
            <w:tcW w:w="2237" w:type="dxa"/>
          </w:tcPr>
          <w:p w14:paraId="4EF8F13C"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 xml:space="preserve">To investigate the individual characteristics and state-level prevalence of U.S. adults who have switched to </w:t>
            </w:r>
            <w:r>
              <w:rPr>
                <w:rFonts w:cs="Calibri"/>
                <w:color w:val="auto"/>
                <w:sz w:val="16"/>
                <w:szCs w:val="16"/>
              </w:rPr>
              <w:t>e</w:t>
            </w:r>
            <w:r>
              <w:rPr>
                <w:rFonts w:cs="Calibri"/>
                <w:color w:val="auto"/>
                <w:sz w:val="16"/>
                <w:szCs w:val="16"/>
              </w:rPr>
              <w:noBreakHyphen/>
              <w:t>cig</w:t>
            </w:r>
            <w:r w:rsidRPr="000F6DEF">
              <w:rPr>
                <w:rFonts w:cs="Calibri"/>
                <w:color w:val="auto"/>
                <w:sz w:val="16"/>
                <w:szCs w:val="16"/>
              </w:rPr>
              <w:t xml:space="preserve">arettes from traditional cigarettes. </w:t>
            </w:r>
          </w:p>
        </w:tc>
        <w:tc>
          <w:tcPr>
            <w:tcW w:w="1605" w:type="dxa"/>
          </w:tcPr>
          <w:p w14:paraId="3F4B5A12"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National Adult Tobacco Survey</w:t>
            </w:r>
          </w:p>
        </w:tc>
        <w:tc>
          <w:tcPr>
            <w:tcW w:w="1088" w:type="dxa"/>
          </w:tcPr>
          <w:p w14:paraId="48CB451F"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US national</w:t>
            </w:r>
          </w:p>
        </w:tc>
        <w:tc>
          <w:tcPr>
            <w:tcW w:w="1134" w:type="dxa"/>
          </w:tcPr>
          <w:p w14:paraId="39279546"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2012-14</w:t>
            </w:r>
          </w:p>
        </w:tc>
        <w:tc>
          <w:tcPr>
            <w:tcW w:w="1735" w:type="dxa"/>
          </w:tcPr>
          <w:p w14:paraId="3E965E32"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44,00 completed surveys</w:t>
            </w:r>
          </w:p>
        </w:tc>
        <w:tc>
          <w:tcPr>
            <w:tcW w:w="1701" w:type="dxa"/>
          </w:tcPr>
          <w:p w14:paraId="29A86DBF"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Stratified sample were selected by random-digit dialling</w:t>
            </w:r>
          </w:p>
        </w:tc>
        <w:tc>
          <w:tcPr>
            <w:tcW w:w="1985" w:type="dxa"/>
          </w:tcPr>
          <w:p w14:paraId="3D86FA19"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Telephone survey</w:t>
            </w:r>
          </w:p>
        </w:tc>
        <w:tc>
          <w:tcPr>
            <w:tcW w:w="2268" w:type="dxa"/>
          </w:tcPr>
          <w:p w14:paraId="7E357662" w14:textId="798DF5F2"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 xml:space="preserve">Switching to </w:t>
            </w:r>
            <w:r w:rsidR="00CE05B6">
              <w:rPr>
                <w:rFonts w:asciiTheme="minorHAnsi" w:hAnsiTheme="minorHAnsi" w:cstheme="minorHAnsi"/>
                <w:color w:val="auto"/>
                <w:sz w:val="16"/>
                <w:szCs w:val="16"/>
              </w:rPr>
              <w:t>e</w:t>
            </w:r>
            <w:r w:rsidR="00CE05B6">
              <w:rPr>
                <w:rFonts w:asciiTheme="minorHAnsi" w:hAnsiTheme="minorHAnsi" w:cstheme="minorHAnsi"/>
                <w:color w:val="auto"/>
                <w:sz w:val="16"/>
                <w:szCs w:val="16"/>
              </w:rPr>
              <w:noBreakHyphen/>
              <w:t>cigarettes</w:t>
            </w:r>
            <w:r w:rsidRPr="000F6DEF">
              <w:rPr>
                <w:rFonts w:cs="Calibri"/>
                <w:color w:val="auto"/>
                <w:sz w:val="16"/>
                <w:szCs w:val="16"/>
              </w:rPr>
              <w:t xml:space="preserve">; former smokers who quit without switching; current dual </w:t>
            </w:r>
            <w:r>
              <w:rPr>
                <w:rFonts w:cs="Calibri"/>
                <w:color w:val="auto"/>
                <w:sz w:val="16"/>
                <w:szCs w:val="16"/>
              </w:rPr>
              <w:t>e</w:t>
            </w:r>
            <w:r>
              <w:rPr>
                <w:rFonts w:cs="Calibri"/>
                <w:color w:val="auto"/>
                <w:sz w:val="16"/>
                <w:szCs w:val="16"/>
              </w:rPr>
              <w:noBreakHyphen/>
              <w:t>cig</w:t>
            </w:r>
            <w:r w:rsidRPr="000F6DEF">
              <w:rPr>
                <w:rFonts w:cs="Calibri"/>
                <w:color w:val="auto"/>
                <w:sz w:val="16"/>
                <w:szCs w:val="16"/>
              </w:rPr>
              <w:t>arette and cig users; sociodemographics</w:t>
            </w:r>
          </w:p>
        </w:tc>
      </w:tr>
      <w:tr w:rsidR="00B85C33" w:rsidRPr="000F6DEF" w14:paraId="3DBB7946" w14:textId="77777777" w:rsidTr="000376C7">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1302" w:type="dxa"/>
          </w:tcPr>
          <w:p w14:paraId="27DF0585" w14:textId="77777777" w:rsidR="00B85C33" w:rsidRPr="000F6DEF" w:rsidRDefault="00B85C33" w:rsidP="000376C7">
            <w:pPr>
              <w:rPr>
                <w:rFonts w:cs="Calibri"/>
                <w:color w:val="auto"/>
                <w:sz w:val="16"/>
                <w:szCs w:val="16"/>
              </w:rPr>
            </w:pPr>
            <w:r w:rsidRPr="000F6DEF">
              <w:rPr>
                <w:rFonts w:cs="Calibri"/>
                <w:color w:val="auto"/>
                <w:sz w:val="16"/>
                <w:szCs w:val="16"/>
              </w:rPr>
              <w:lastRenderedPageBreak/>
              <w:t>Park SH, Lee L et al 2017</w:t>
            </w:r>
          </w:p>
        </w:tc>
        <w:tc>
          <w:tcPr>
            <w:tcW w:w="2237" w:type="dxa"/>
          </w:tcPr>
          <w:p w14:paraId="31E3811B" w14:textId="34CF6A21"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 xml:space="preserve">Investigated the possible association between individuals' levels of psychological distress and </w:t>
            </w:r>
            <w:r>
              <w:rPr>
                <w:rFonts w:cs="Calibri"/>
                <w:color w:val="auto"/>
                <w:sz w:val="16"/>
                <w:szCs w:val="16"/>
              </w:rPr>
              <w:t>e</w:t>
            </w:r>
            <w:r>
              <w:rPr>
                <w:rFonts w:cs="Calibri"/>
                <w:color w:val="auto"/>
                <w:sz w:val="16"/>
                <w:szCs w:val="16"/>
              </w:rPr>
              <w:noBreakHyphen/>
              <w:t>cig</w:t>
            </w:r>
            <w:r w:rsidRPr="000F6DEF">
              <w:rPr>
                <w:rFonts w:cs="Calibri"/>
                <w:color w:val="auto"/>
                <w:sz w:val="16"/>
                <w:szCs w:val="16"/>
              </w:rPr>
              <w:t>arette use</w:t>
            </w:r>
            <w:r w:rsidR="00CE05B6">
              <w:rPr>
                <w:rFonts w:cs="Calibri"/>
                <w:color w:val="auto"/>
                <w:sz w:val="16"/>
                <w:szCs w:val="16"/>
              </w:rPr>
              <w:t>.</w:t>
            </w:r>
          </w:p>
        </w:tc>
        <w:tc>
          <w:tcPr>
            <w:tcW w:w="1605" w:type="dxa"/>
          </w:tcPr>
          <w:p w14:paraId="7FDCAEB7"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National Health Interview Survey (NHIS)</w:t>
            </w:r>
          </w:p>
        </w:tc>
        <w:tc>
          <w:tcPr>
            <w:tcW w:w="1088" w:type="dxa"/>
          </w:tcPr>
          <w:p w14:paraId="50278E60"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US national</w:t>
            </w:r>
          </w:p>
        </w:tc>
        <w:tc>
          <w:tcPr>
            <w:tcW w:w="1134" w:type="dxa"/>
          </w:tcPr>
          <w:p w14:paraId="188DE84C"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2014</w:t>
            </w:r>
          </w:p>
        </w:tc>
        <w:tc>
          <w:tcPr>
            <w:tcW w:w="1735" w:type="dxa"/>
          </w:tcPr>
          <w:p w14:paraId="171562E9"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36,697</w:t>
            </w:r>
          </w:p>
          <w:p w14:paraId="2A803A12"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Ages: 18+ years</w:t>
            </w:r>
          </w:p>
          <w:p w14:paraId="14408B93"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48% male</w:t>
            </w:r>
          </w:p>
        </w:tc>
        <w:tc>
          <w:tcPr>
            <w:tcW w:w="1701" w:type="dxa"/>
          </w:tcPr>
          <w:p w14:paraId="0B374160"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Cross-sectional nationally representative survey of the non-institutionalized US civilian population. The survey uses a complex, multistage, stratified probability design</w:t>
            </w:r>
          </w:p>
        </w:tc>
        <w:tc>
          <w:tcPr>
            <w:tcW w:w="1985" w:type="dxa"/>
          </w:tcPr>
          <w:p w14:paraId="61D3B17A"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Face-to-face interviews</w:t>
            </w:r>
          </w:p>
        </w:tc>
        <w:tc>
          <w:tcPr>
            <w:tcW w:w="2268" w:type="dxa"/>
          </w:tcPr>
          <w:p w14:paraId="114C789A"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Kessler 6 scale to measure psychological distress</w:t>
            </w:r>
            <w:r w:rsidRPr="000F6DEF">
              <w:rPr>
                <w:rFonts w:cs="Calibri"/>
                <w:color w:val="auto"/>
                <w:sz w:val="16"/>
                <w:szCs w:val="16"/>
              </w:rPr>
              <w:br/>
            </w:r>
            <w:r>
              <w:rPr>
                <w:rFonts w:cs="Calibri"/>
                <w:color w:val="auto"/>
                <w:sz w:val="16"/>
                <w:szCs w:val="16"/>
              </w:rPr>
              <w:t>e</w:t>
            </w:r>
            <w:r>
              <w:rPr>
                <w:rFonts w:cs="Calibri"/>
                <w:color w:val="auto"/>
                <w:sz w:val="16"/>
                <w:szCs w:val="16"/>
              </w:rPr>
              <w:noBreakHyphen/>
              <w:t>cig</w:t>
            </w:r>
            <w:r w:rsidRPr="000F6DEF">
              <w:rPr>
                <w:rFonts w:cs="Calibri"/>
                <w:color w:val="auto"/>
                <w:sz w:val="16"/>
                <w:szCs w:val="16"/>
              </w:rPr>
              <w:t>arette use</w:t>
            </w:r>
            <w:r w:rsidRPr="000F6DEF">
              <w:rPr>
                <w:rFonts w:cs="Calibri"/>
                <w:color w:val="auto"/>
                <w:sz w:val="16"/>
                <w:szCs w:val="16"/>
              </w:rPr>
              <w:br/>
              <w:t>demographics</w:t>
            </w:r>
          </w:p>
        </w:tc>
      </w:tr>
      <w:tr w:rsidR="00B85C33" w:rsidRPr="000F6DEF" w14:paraId="31D2C853" w14:textId="77777777" w:rsidTr="000376C7">
        <w:trPr>
          <w:trHeight w:val="496"/>
        </w:trPr>
        <w:tc>
          <w:tcPr>
            <w:cnfStyle w:val="001000000000" w:firstRow="0" w:lastRow="0" w:firstColumn="1" w:lastColumn="0" w:oddVBand="0" w:evenVBand="0" w:oddHBand="0" w:evenHBand="0" w:firstRowFirstColumn="0" w:firstRowLastColumn="0" w:lastRowFirstColumn="0" w:lastRowLastColumn="0"/>
            <w:tcW w:w="1302" w:type="dxa"/>
          </w:tcPr>
          <w:p w14:paraId="5C28374A" w14:textId="77777777" w:rsidR="00B85C33" w:rsidRPr="000F6DEF" w:rsidRDefault="00B85C33" w:rsidP="000376C7">
            <w:pPr>
              <w:rPr>
                <w:rFonts w:cs="Calibri"/>
                <w:color w:val="auto"/>
                <w:sz w:val="16"/>
                <w:szCs w:val="16"/>
              </w:rPr>
            </w:pPr>
            <w:r w:rsidRPr="000F6DEF">
              <w:rPr>
                <w:rFonts w:cs="Calibri"/>
                <w:color w:val="auto"/>
                <w:sz w:val="16"/>
                <w:szCs w:val="16"/>
              </w:rPr>
              <w:t>Pericot-Valverde I et al 2017</w:t>
            </w:r>
          </w:p>
        </w:tc>
        <w:tc>
          <w:tcPr>
            <w:tcW w:w="2237" w:type="dxa"/>
          </w:tcPr>
          <w:p w14:paraId="0DDDE8F4" w14:textId="52320AEC"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 xml:space="preserve">To estimate and update knowledge on rates and predictors of awareness, perceived harmfulness, and ever use of </w:t>
            </w:r>
            <w:r>
              <w:rPr>
                <w:rFonts w:cs="Calibri"/>
                <w:color w:val="auto"/>
                <w:sz w:val="16"/>
                <w:szCs w:val="16"/>
              </w:rPr>
              <w:t>e</w:t>
            </w:r>
            <w:r>
              <w:rPr>
                <w:rFonts w:cs="Calibri"/>
                <w:color w:val="auto"/>
                <w:sz w:val="16"/>
                <w:szCs w:val="16"/>
              </w:rPr>
              <w:noBreakHyphen/>
              <w:t>cig</w:t>
            </w:r>
            <w:r w:rsidRPr="000F6DEF">
              <w:rPr>
                <w:rFonts w:cs="Calibri"/>
                <w:color w:val="auto"/>
                <w:sz w:val="16"/>
                <w:szCs w:val="16"/>
              </w:rPr>
              <w:t>arettes among adults and (b) to utilize that information to identify risk-factor profiles associated with ever use</w:t>
            </w:r>
            <w:r w:rsidR="00CE05B6">
              <w:rPr>
                <w:rFonts w:cs="Calibri"/>
                <w:color w:val="auto"/>
                <w:sz w:val="16"/>
                <w:szCs w:val="16"/>
              </w:rPr>
              <w:t>.</w:t>
            </w:r>
          </w:p>
        </w:tc>
        <w:tc>
          <w:tcPr>
            <w:tcW w:w="1605" w:type="dxa"/>
          </w:tcPr>
          <w:p w14:paraId="153E8EAB"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Health Information National Trends Survey (HINTS)</w:t>
            </w:r>
          </w:p>
        </w:tc>
        <w:tc>
          <w:tcPr>
            <w:tcW w:w="1088" w:type="dxa"/>
          </w:tcPr>
          <w:p w14:paraId="1BF3E82D"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US national</w:t>
            </w:r>
          </w:p>
        </w:tc>
        <w:tc>
          <w:tcPr>
            <w:tcW w:w="1134" w:type="dxa"/>
          </w:tcPr>
          <w:p w14:paraId="771EC6B5"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2015</w:t>
            </w:r>
          </w:p>
        </w:tc>
        <w:tc>
          <w:tcPr>
            <w:tcW w:w="1735" w:type="dxa"/>
          </w:tcPr>
          <w:p w14:paraId="72BA0F14" w14:textId="75DC26BF"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3</w:t>
            </w:r>
            <w:r w:rsidR="00FB01C7">
              <w:rPr>
                <w:rFonts w:cs="Calibri"/>
                <w:color w:val="auto"/>
                <w:sz w:val="16"/>
                <w:szCs w:val="16"/>
              </w:rPr>
              <w:t>,</w:t>
            </w:r>
            <w:r w:rsidRPr="000F6DEF">
              <w:rPr>
                <w:rFonts w:cs="Calibri"/>
                <w:color w:val="auto"/>
                <w:sz w:val="16"/>
                <w:szCs w:val="16"/>
              </w:rPr>
              <w:t xml:space="preserve">738 </w:t>
            </w:r>
          </w:p>
          <w:p w14:paraId="66E15FE2"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 xml:space="preserve">Mean age: 30.4 (29.8, 30.8) </w:t>
            </w:r>
          </w:p>
          <w:p w14:paraId="6F285769"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49% male</w:t>
            </w:r>
          </w:p>
        </w:tc>
        <w:tc>
          <w:tcPr>
            <w:tcW w:w="1701" w:type="dxa"/>
          </w:tcPr>
          <w:p w14:paraId="79AE5013"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Stratified sample of households received the questionnaire. - A nationally-representative, cross-sectional survey of the U.S. non-institutionalized population.</w:t>
            </w:r>
          </w:p>
        </w:tc>
        <w:tc>
          <w:tcPr>
            <w:tcW w:w="1985" w:type="dxa"/>
          </w:tcPr>
          <w:p w14:paraId="2F42EFB3"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Mail (pen and paper)</w:t>
            </w:r>
          </w:p>
        </w:tc>
        <w:tc>
          <w:tcPr>
            <w:tcW w:w="2268" w:type="dxa"/>
          </w:tcPr>
          <w:p w14:paraId="35F2772D"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 xml:space="preserve">Demographics; sociodemographics incl sexual orientation; current use of other tobacco products and </w:t>
            </w:r>
            <w:r>
              <w:rPr>
                <w:rFonts w:cs="Calibri"/>
                <w:color w:val="auto"/>
                <w:sz w:val="16"/>
                <w:szCs w:val="16"/>
              </w:rPr>
              <w:t>e</w:t>
            </w:r>
            <w:r>
              <w:rPr>
                <w:rFonts w:cs="Calibri"/>
                <w:color w:val="auto"/>
                <w:sz w:val="16"/>
                <w:szCs w:val="16"/>
              </w:rPr>
              <w:noBreakHyphen/>
              <w:t>cig</w:t>
            </w:r>
            <w:r w:rsidRPr="000F6DEF">
              <w:rPr>
                <w:rFonts w:cs="Calibri"/>
                <w:color w:val="auto"/>
                <w:sz w:val="16"/>
                <w:szCs w:val="16"/>
              </w:rPr>
              <w:t>arette awareness, perceived harm and ever use</w:t>
            </w:r>
          </w:p>
        </w:tc>
      </w:tr>
      <w:tr w:rsidR="00B85C33" w:rsidRPr="000F6DEF" w14:paraId="17440D84" w14:textId="77777777" w:rsidTr="000376C7">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1302" w:type="dxa"/>
          </w:tcPr>
          <w:p w14:paraId="7E5BDCDC" w14:textId="77777777" w:rsidR="00B85C33" w:rsidRPr="000F6DEF" w:rsidRDefault="00B85C33" w:rsidP="000376C7">
            <w:pPr>
              <w:rPr>
                <w:rFonts w:cs="Calibri"/>
                <w:color w:val="auto"/>
                <w:sz w:val="16"/>
                <w:szCs w:val="16"/>
              </w:rPr>
            </w:pPr>
            <w:r w:rsidRPr="000F6DEF">
              <w:rPr>
                <w:rFonts w:cs="Calibri"/>
                <w:color w:val="auto"/>
                <w:sz w:val="16"/>
                <w:szCs w:val="16"/>
              </w:rPr>
              <w:t>Roberts ME, Doogan NJ et al 2017</w:t>
            </w:r>
          </w:p>
        </w:tc>
        <w:tc>
          <w:tcPr>
            <w:tcW w:w="2237" w:type="dxa"/>
          </w:tcPr>
          <w:p w14:paraId="2534D36B"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 xml:space="preserve">To examine urban–rural differences in US prevalence’s of traditional and emerging tobacco product use as well as dual or polytobacco use of these products. </w:t>
            </w:r>
          </w:p>
        </w:tc>
        <w:tc>
          <w:tcPr>
            <w:tcW w:w="1605" w:type="dxa"/>
          </w:tcPr>
          <w:p w14:paraId="769F6E22"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Population Assessment of Tobacco and Health (PATH) (Wave 1)</w:t>
            </w:r>
          </w:p>
        </w:tc>
        <w:tc>
          <w:tcPr>
            <w:tcW w:w="1088" w:type="dxa"/>
          </w:tcPr>
          <w:p w14:paraId="5D510C61"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US national</w:t>
            </w:r>
          </w:p>
        </w:tc>
        <w:tc>
          <w:tcPr>
            <w:tcW w:w="1134" w:type="dxa"/>
          </w:tcPr>
          <w:p w14:paraId="0954D329"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2013-14</w:t>
            </w:r>
          </w:p>
        </w:tc>
        <w:tc>
          <w:tcPr>
            <w:tcW w:w="1735" w:type="dxa"/>
          </w:tcPr>
          <w:p w14:paraId="16359148"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32,320</w:t>
            </w:r>
          </w:p>
          <w:p w14:paraId="20133247"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Mean age: 46.6 ±0.4</w:t>
            </w:r>
          </w:p>
          <w:p w14:paraId="1B7C8D56"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48% male</w:t>
            </w:r>
          </w:p>
        </w:tc>
        <w:tc>
          <w:tcPr>
            <w:tcW w:w="1701" w:type="dxa"/>
          </w:tcPr>
          <w:p w14:paraId="1446D0EB"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Sampled from 150,000 mailing addresses</w:t>
            </w:r>
          </w:p>
        </w:tc>
        <w:tc>
          <w:tcPr>
            <w:tcW w:w="1985" w:type="dxa"/>
          </w:tcPr>
          <w:p w14:paraId="7BC99571"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Ongoing household-based, nationally representative, longitudinal cohort study</w:t>
            </w:r>
          </w:p>
        </w:tc>
        <w:tc>
          <w:tcPr>
            <w:tcW w:w="2268" w:type="dxa"/>
          </w:tcPr>
          <w:p w14:paraId="7F771A97"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Urban vs rural, tobacco use, dual and poly-tobacco use, demographics</w:t>
            </w:r>
          </w:p>
        </w:tc>
      </w:tr>
      <w:tr w:rsidR="00B85C33" w:rsidRPr="000F6DEF" w14:paraId="7C42B5AC" w14:textId="77777777" w:rsidTr="000376C7">
        <w:trPr>
          <w:trHeight w:val="496"/>
        </w:trPr>
        <w:tc>
          <w:tcPr>
            <w:cnfStyle w:val="001000000000" w:firstRow="0" w:lastRow="0" w:firstColumn="1" w:lastColumn="0" w:oddVBand="0" w:evenVBand="0" w:oddHBand="0" w:evenHBand="0" w:firstRowFirstColumn="0" w:firstRowLastColumn="0" w:lastRowFirstColumn="0" w:lastRowLastColumn="0"/>
            <w:tcW w:w="1302" w:type="dxa"/>
          </w:tcPr>
          <w:p w14:paraId="28C741C5" w14:textId="77777777" w:rsidR="00B85C33" w:rsidRPr="000F6DEF" w:rsidRDefault="00B85C33" w:rsidP="000376C7">
            <w:pPr>
              <w:rPr>
                <w:rFonts w:cs="Calibri"/>
                <w:color w:val="auto"/>
                <w:sz w:val="16"/>
                <w:szCs w:val="16"/>
              </w:rPr>
            </w:pPr>
            <w:r w:rsidRPr="000F6DEF">
              <w:rPr>
                <w:rFonts w:cs="Calibri"/>
                <w:color w:val="auto"/>
                <w:sz w:val="16"/>
                <w:szCs w:val="16"/>
              </w:rPr>
              <w:t>Shah A et al 2017</w:t>
            </w:r>
          </w:p>
        </w:tc>
        <w:tc>
          <w:tcPr>
            <w:tcW w:w="2237" w:type="dxa"/>
          </w:tcPr>
          <w:p w14:paraId="7F32DA9C" w14:textId="75B073BC"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 xml:space="preserve">Prevalence and characteristics of </w:t>
            </w:r>
            <w:r>
              <w:rPr>
                <w:rFonts w:cs="Calibri"/>
                <w:color w:val="auto"/>
                <w:sz w:val="16"/>
                <w:szCs w:val="16"/>
              </w:rPr>
              <w:t>e</w:t>
            </w:r>
            <w:r>
              <w:rPr>
                <w:rFonts w:cs="Calibri"/>
                <w:color w:val="auto"/>
                <w:sz w:val="16"/>
                <w:szCs w:val="16"/>
              </w:rPr>
              <w:noBreakHyphen/>
              <w:t>cig</w:t>
            </w:r>
            <w:r w:rsidRPr="000F6DEF">
              <w:rPr>
                <w:rFonts w:cs="Calibri"/>
                <w:color w:val="auto"/>
                <w:sz w:val="16"/>
                <w:szCs w:val="16"/>
              </w:rPr>
              <w:t>arette users among COPD patient population</w:t>
            </w:r>
            <w:r w:rsidR="00CE05B6">
              <w:rPr>
                <w:rFonts w:cs="Calibri"/>
                <w:color w:val="auto"/>
                <w:sz w:val="16"/>
                <w:szCs w:val="16"/>
              </w:rPr>
              <w:t>.</w:t>
            </w:r>
          </w:p>
        </w:tc>
        <w:tc>
          <w:tcPr>
            <w:tcW w:w="1605" w:type="dxa"/>
          </w:tcPr>
          <w:p w14:paraId="5CF98DC7"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National Health Interview Survey (NHIS)</w:t>
            </w:r>
          </w:p>
        </w:tc>
        <w:tc>
          <w:tcPr>
            <w:tcW w:w="1088" w:type="dxa"/>
          </w:tcPr>
          <w:p w14:paraId="6CC0F5EA"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US national</w:t>
            </w:r>
          </w:p>
        </w:tc>
        <w:tc>
          <w:tcPr>
            <w:tcW w:w="1134" w:type="dxa"/>
          </w:tcPr>
          <w:p w14:paraId="41A6FE0E"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2014</w:t>
            </w:r>
          </w:p>
        </w:tc>
        <w:tc>
          <w:tcPr>
            <w:tcW w:w="1735" w:type="dxa"/>
          </w:tcPr>
          <w:p w14:paraId="3E6D363A"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642,848</w:t>
            </w:r>
          </w:p>
          <w:p w14:paraId="7EC6326C"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38% male</w:t>
            </w:r>
          </w:p>
        </w:tc>
        <w:tc>
          <w:tcPr>
            <w:tcW w:w="1701" w:type="dxa"/>
          </w:tcPr>
          <w:p w14:paraId="148953E5"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Self-selection; cross-sectional survey</w:t>
            </w:r>
          </w:p>
        </w:tc>
        <w:tc>
          <w:tcPr>
            <w:tcW w:w="1985" w:type="dxa"/>
          </w:tcPr>
          <w:p w14:paraId="73643900"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Face-to-face interviews</w:t>
            </w:r>
          </w:p>
        </w:tc>
        <w:tc>
          <w:tcPr>
            <w:tcW w:w="2268" w:type="dxa"/>
          </w:tcPr>
          <w:p w14:paraId="66EBB9C5"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 xml:space="preserve">Current </w:t>
            </w:r>
            <w:r>
              <w:rPr>
                <w:rFonts w:cs="Calibri"/>
                <w:color w:val="auto"/>
                <w:sz w:val="16"/>
                <w:szCs w:val="16"/>
              </w:rPr>
              <w:t>e</w:t>
            </w:r>
            <w:r>
              <w:rPr>
                <w:rFonts w:cs="Calibri"/>
                <w:color w:val="auto"/>
                <w:sz w:val="16"/>
                <w:szCs w:val="16"/>
              </w:rPr>
              <w:noBreakHyphen/>
              <w:t>cig</w:t>
            </w:r>
            <w:r w:rsidRPr="000F6DEF">
              <w:rPr>
                <w:rFonts w:cs="Calibri"/>
                <w:color w:val="auto"/>
                <w:sz w:val="16"/>
                <w:szCs w:val="16"/>
              </w:rPr>
              <w:t xml:space="preserve">arette user; ever </w:t>
            </w:r>
            <w:r>
              <w:rPr>
                <w:rFonts w:cs="Calibri"/>
                <w:color w:val="auto"/>
                <w:sz w:val="16"/>
                <w:szCs w:val="16"/>
              </w:rPr>
              <w:t>e</w:t>
            </w:r>
            <w:r>
              <w:rPr>
                <w:rFonts w:cs="Calibri"/>
                <w:color w:val="auto"/>
                <w:sz w:val="16"/>
                <w:szCs w:val="16"/>
              </w:rPr>
              <w:noBreakHyphen/>
              <w:t>cig</w:t>
            </w:r>
            <w:r w:rsidRPr="000F6DEF">
              <w:rPr>
                <w:rFonts w:cs="Calibri"/>
                <w:color w:val="auto"/>
                <w:sz w:val="16"/>
                <w:szCs w:val="16"/>
              </w:rPr>
              <w:t>arette user; sociodemographics</w:t>
            </w:r>
          </w:p>
        </w:tc>
      </w:tr>
      <w:tr w:rsidR="00B85C33" w:rsidRPr="000F6DEF" w14:paraId="35272034" w14:textId="77777777" w:rsidTr="000376C7">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1302" w:type="dxa"/>
          </w:tcPr>
          <w:p w14:paraId="26407209" w14:textId="77777777" w:rsidR="00B85C33" w:rsidRPr="000F6DEF" w:rsidRDefault="00B85C33" w:rsidP="000376C7">
            <w:pPr>
              <w:rPr>
                <w:rFonts w:cs="Calibri"/>
                <w:color w:val="auto"/>
                <w:sz w:val="16"/>
                <w:szCs w:val="16"/>
              </w:rPr>
            </w:pPr>
            <w:r w:rsidRPr="000F6DEF">
              <w:rPr>
                <w:rFonts w:cs="Calibri"/>
                <w:color w:val="auto"/>
                <w:sz w:val="16"/>
                <w:szCs w:val="16"/>
              </w:rPr>
              <w:t>Sharapova, Singh et al</w:t>
            </w:r>
          </w:p>
        </w:tc>
        <w:tc>
          <w:tcPr>
            <w:tcW w:w="2237" w:type="dxa"/>
          </w:tcPr>
          <w:p w14:paraId="11638223" w14:textId="1CADC5CA"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 xml:space="preserve">Patterns of </w:t>
            </w:r>
            <w:r>
              <w:rPr>
                <w:rFonts w:cs="Calibri"/>
                <w:color w:val="auto"/>
                <w:sz w:val="16"/>
                <w:szCs w:val="16"/>
              </w:rPr>
              <w:t>E</w:t>
            </w:r>
            <w:r>
              <w:rPr>
                <w:rFonts w:cs="Calibri"/>
                <w:color w:val="auto"/>
                <w:sz w:val="16"/>
                <w:szCs w:val="16"/>
              </w:rPr>
              <w:noBreakHyphen/>
              <w:t>cig</w:t>
            </w:r>
            <w:r w:rsidRPr="000F6DEF">
              <w:rPr>
                <w:rFonts w:cs="Calibri"/>
                <w:color w:val="auto"/>
                <w:sz w:val="16"/>
                <w:szCs w:val="16"/>
              </w:rPr>
              <w:t>arette Use Frequency</w:t>
            </w:r>
            <w:r w:rsidR="00CE05B6">
              <w:rPr>
                <w:rFonts w:cs="Calibri"/>
                <w:color w:val="auto"/>
                <w:sz w:val="16"/>
                <w:szCs w:val="16"/>
              </w:rPr>
              <w:t>.</w:t>
            </w:r>
          </w:p>
        </w:tc>
        <w:tc>
          <w:tcPr>
            <w:tcW w:w="1605" w:type="dxa"/>
          </w:tcPr>
          <w:p w14:paraId="31843B67"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National Adult Tobacco Survey</w:t>
            </w:r>
          </w:p>
        </w:tc>
        <w:tc>
          <w:tcPr>
            <w:tcW w:w="1088" w:type="dxa"/>
          </w:tcPr>
          <w:p w14:paraId="38E7AB38"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US national</w:t>
            </w:r>
          </w:p>
        </w:tc>
        <w:tc>
          <w:tcPr>
            <w:tcW w:w="1134" w:type="dxa"/>
          </w:tcPr>
          <w:p w14:paraId="2AA06427"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2012-2014</w:t>
            </w:r>
          </w:p>
        </w:tc>
        <w:tc>
          <w:tcPr>
            <w:tcW w:w="1735" w:type="dxa"/>
          </w:tcPr>
          <w:p w14:paraId="662EF9B7"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60,192</w:t>
            </w:r>
          </w:p>
          <w:p w14:paraId="332EE19C"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Ages: 18+ years</w:t>
            </w:r>
          </w:p>
        </w:tc>
        <w:tc>
          <w:tcPr>
            <w:tcW w:w="1701" w:type="dxa"/>
          </w:tcPr>
          <w:p w14:paraId="2891E861"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Nationally representative cross-sectional survey</w:t>
            </w:r>
          </w:p>
        </w:tc>
        <w:tc>
          <w:tcPr>
            <w:tcW w:w="1985" w:type="dxa"/>
          </w:tcPr>
          <w:p w14:paraId="008C8864"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Telephone based survey</w:t>
            </w:r>
          </w:p>
        </w:tc>
        <w:tc>
          <w:tcPr>
            <w:tcW w:w="2268" w:type="dxa"/>
          </w:tcPr>
          <w:p w14:paraId="2A590BD1"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 xml:space="preserve">Current </w:t>
            </w:r>
            <w:r>
              <w:rPr>
                <w:rFonts w:cs="Calibri"/>
                <w:color w:val="auto"/>
                <w:sz w:val="16"/>
                <w:szCs w:val="16"/>
              </w:rPr>
              <w:t>e</w:t>
            </w:r>
            <w:r>
              <w:rPr>
                <w:rFonts w:cs="Calibri"/>
                <w:color w:val="auto"/>
                <w:sz w:val="16"/>
                <w:szCs w:val="16"/>
              </w:rPr>
              <w:noBreakHyphen/>
              <w:t>cig</w:t>
            </w:r>
            <w:r w:rsidRPr="000F6DEF">
              <w:rPr>
                <w:rFonts w:cs="Calibri"/>
                <w:color w:val="auto"/>
                <w:sz w:val="16"/>
                <w:szCs w:val="16"/>
              </w:rPr>
              <w:t>arette use; cigarette and other tobacco product use</w:t>
            </w:r>
          </w:p>
        </w:tc>
      </w:tr>
      <w:tr w:rsidR="00B85C33" w:rsidRPr="000F6DEF" w14:paraId="04F5A266" w14:textId="77777777" w:rsidTr="000376C7">
        <w:trPr>
          <w:trHeight w:val="496"/>
        </w:trPr>
        <w:tc>
          <w:tcPr>
            <w:cnfStyle w:val="001000000000" w:firstRow="0" w:lastRow="0" w:firstColumn="1" w:lastColumn="0" w:oddVBand="0" w:evenVBand="0" w:oddHBand="0" w:evenHBand="0" w:firstRowFirstColumn="0" w:firstRowLastColumn="0" w:lastRowFirstColumn="0" w:lastRowLastColumn="0"/>
            <w:tcW w:w="1302" w:type="dxa"/>
          </w:tcPr>
          <w:p w14:paraId="390B309D" w14:textId="77777777" w:rsidR="00B85C33" w:rsidRPr="000F6DEF" w:rsidRDefault="00B85C33" w:rsidP="000376C7">
            <w:pPr>
              <w:rPr>
                <w:rFonts w:cs="Calibri"/>
                <w:color w:val="auto"/>
                <w:sz w:val="16"/>
                <w:szCs w:val="16"/>
              </w:rPr>
            </w:pPr>
            <w:r w:rsidRPr="000F6DEF">
              <w:rPr>
                <w:rFonts w:cs="Calibri"/>
                <w:color w:val="auto"/>
                <w:sz w:val="16"/>
                <w:szCs w:val="16"/>
              </w:rPr>
              <w:t>Spears CA, Jones DM et al 2017</w:t>
            </w:r>
          </w:p>
        </w:tc>
        <w:tc>
          <w:tcPr>
            <w:tcW w:w="2237" w:type="dxa"/>
          </w:tcPr>
          <w:p w14:paraId="7D54BE53" w14:textId="4F660BAB"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To assess the use of ENDS among adults with mental health conditions</w:t>
            </w:r>
            <w:r w:rsidR="00CE05B6">
              <w:rPr>
                <w:rFonts w:cs="Calibri"/>
                <w:color w:val="auto"/>
                <w:sz w:val="16"/>
                <w:szCs w:val="16"/>
              </w:rPr>
              <w:t>.</w:t>
            </w:r>
          </w:p>
        </w:tc>
        <w:tc>
          <w:tcPr>
            <w:tcW w:w="1605" w:type="dxa"/>
          </w:tcPr>
          <w:p w14:paraId="37168305"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 xml:space="preserve">Tobacco Products and Risk Perceptions Survey </w:t>
            </w:r>
          </w:p>
        </w:tc>
        <w:tc>
          <w:tcPr>
            <w:tcW w:w="1088" w:type="dxa"/>
          </w:tcPr>
          <w:p w14:paraId="75AD1CDF"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US national</w:t>
            </w:r>
          </w:p>
        </w:tc>
        <w:tc>
          <w:tcPr>
            <w:tcW w:w="1134" w:type="dxa"/>
          </w:tcPr>
          <w:p w14:paraId="0D3990D9"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2015</w:t>
            </w:r>
          </w:p>
        </w:tc>
        <w:tc>
          <w:tcPr>
            <w:tcW w:w="1735" w:type="dxa"/>
          </w:tcPr>
          <w:p w14:paraId="747695CB"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6,051</w:t>
            </w:r>
          </w:p>
        </w:tc>
        <w:tc>
          <w:tcPr>
            <w:tcW w:w="1701" w:type="dxa"/>
          </w:tcPr>
          <w:p w14:paraId="045D7919"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Cross</w:t>
            </w:r>
            <w:r w:rsidRPr="000F6DEF">
              <w:rPr>
                <w:rFonts w:cs="Calibri"/>
                <w:color w:val="auto"/>
                <w:sz w:val="16"/>
                <w:szCs w:val="16"/>
              </w:rPr>
              <w:noBreakHyphen/>
              <w:t xml:space="preserve">sectional survey of a national random probability sample with an over sample of current smokers from GfK’s Knowledge Panel </w:t>
            </w:r>
          </w:p>
        </w:tc>
        <w:tc>
          <w:tcPr>
            <w:tcW w:w="1985" w:type="dxa"/>
          </w:tcPr>
          <w:p w14:paraId="10FB5A60"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 xml:space="preserve">Online questionnaire </w:t>
            </w:r>
          </w:p>
        </w:tc>
        <w:tc>
          <w:tcPr>
            <w:tcW w:w="2268" w:type="dxa"/>
          </w:tcPr>
          <w:p w14:paraId="15C6C163"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Mental health condition; smoking status; ENDS use; ENDS use during smoking quit attempts; susceptibility to future ENDS use</w:t>
            </w:r>
          </w:p>
        </w:tc>
      </w:tr>
      <w:tr w:rsidR="00B85C33" w:rsidRPr="000F6DEF" w14:paraId="0589FAA3" w14:textId="77777777" w:rsidTr="000376C7">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1302" w:type="dxa"/>
          </w:tcPr>
          <w:p w14:paraId="5E63D5B4" w14:textId="77777777" w:rsidR="00B85C33" w:rsidRPr="000F6DEF" w:rsidRDefault="00B85C33" w:rsidP="000376C7">
            <w:pPr>
              <w:rPr>
                <w:rFonts w:cs="Calibri"/>
                <w:color w:val="auto"/>
                <w:sz w:val="16"/>
                <w:szCs w:val="16"/>
              </w:rPr>
            </w:pPr>
            <w:r w:rsidRPr="000F6DEF">
              <w:rPr>
                <w:rFonts w:cs="Calibri"/>
                <w:color w:val="auto"/>
                <w:sz w:val="16"/>
                <w:szCs w:val="16"/>
              </w:rPr>
              <w:t>Stokes, Collins et al 2018</w:t>
            </w:r>
          </w:p>
        </w:tc>
        <w:tc>
          <w:tcPr>
            <w:tcW w:w="2237" w:type="dxa"/>
          </w:tcPr>
          <w:p w14:paraId="370A5280"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 xml:space="preserve">The objectives of the present study therefore were to assess the prevalence of </w:t>
            </w:r>
            <w:r>
              <w:rPr>
                <w:rFonts w:cs="Calibri"/>
                <w:color w:val="auto"/>
                <w:sz w:val="16"/>
                <w:szCs w:val="16"/>
              </w:rPr>
              <w:t>e</w:t>
            </w:r>
            <w:r>
              <w:rPr>
                <w:rFonts w:cs="Calibri"/>
                <w:color w:val="auto"/>
                <w:sz w:val="16"/>
                <w:szCs w:val="16"/>
              </w:rPr>
              <w:noBreakHyphen/>
              <w:t>cig</w:t>
            </w:r>
            <w:r w:rsidRPr="000F6DEF">
              <w:rPr>
                <w:rFonts w:cs="Calibri"/>
                <w:color w:val="auto"/>
                <w:sz w:val="16"/>
                <w:szCs w:val="16"/>
              </w:rPr>
              <w:t xml:space="preserve">arette use in individuals with CVD using nationally representative </w:t>
            </w:r>
            <w:r w:rsidRPr="000F6DEF">
              <w:rPr>
                <w:rFonts w:cs="Calibri"/>
                <w:color w:val="auto"/>
                <w:sz w:val="16"/>
                <w:szCs w:val="16"/>
              </w:rPr>
              <w:lastRenderedPageBreak/>
              <w:t xml:space="preserve">data on adults in the United States and to characterize patterns of </w:t>
            </w:r>
            <w:r>
              <w:rPr>
                <w:rFonts w:cs="Calibri"/>
                <w:color w:val="auto"/>
                <w:sz w:val="16"/>
                <w:szCs w:val="16"/>
              </w:rPr>
              <w:t>e</w:t>
            </w:r>
            <w:r>
              <w:rPr>
                <w:rFonts w:cs="Calibri"/>
                <w:color w:val="auto"/>
                <w:sz w:val="16"/>
                <w:szCs w:val="16"/>
              </w:rPr>
              <w:noBreakHyphen/>
              <w:t>cig</w:t>
            </w:r>
            <w:r w:rsidRPr="000F6DEF">
              <w:rPr>
                <w:rFonts w:cs="Calibri"/>
                <w:color w:val="auto"/>
                <w:sz w:val="16"/>
                <w:szCs w:val="16"/>
              </w:rPr>
              <w:t>arette use by tobacco smoking status.</w:t>
            </w:r>
          </w:p>
        </w:tc>
        <w:tc>
          <w:tcPr>
            <w:tcW w:w="1605" w:type="dxa"/>
          </w:tcPr>
          <w:p w14:paraId="220BD8DC"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lastRenderedPageBreak/>
              <w:t>National Health Interview Survey (NHIS)</w:t>
            </w:r>
          </w:p>
        </w:tc>
        <w:tc>
          <w:tcPr>
            <w:tcW w:w="1088" w:type="dxa"/>
          </w:tcPr>
          <w:p w14:paraId="3B8B3A07"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US national</w:t>
            </w:r>
          </w:p>
        </w:tc>
        <w:tc>
          <w:tcPr>
            <w:tcW w:w="1134" w:type="dxa"/>
          </w:tcPr>
          <w:p w14:paraId="673DEAAB"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2014</w:t>
            </w:r>
          </w:p>
        </w:tc>
        <w:tc>
          <w:tcPr>
            <w:tcW w:w="1735" w:type="dxa"/>
          </w:tcPr>
          <w:p w14:paraId="4D6090F1" w14:textId="1DDAF1C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4</w:t>
            </w:r>
            <w:r w:rsidR="00FB01C7">
              <w:rPr>
                <w:rFonts w:cs="Calibri"/>
                <w:color w:val="auto"/>
                <w:sz w:val="16"/>
                <w:szCs w:val="16"/>
              </w:rPr>
              <w:t>,</w:t>
            </w:r>
            <w:r w:rsidRPr="000F6DEF">
              <w:rPr>
                <w:rFonts w:cs="Calibri"/>
                <w:color w:val="auto"/>
                <w:sz w:val="16"/>
                <w:szCs w:val="16"/>
              </w:rPr>
              <w:t>966 (with CVD)</w:t>
            </w:r>
          </w:p>
          <w:p w14:paraId="0CA539D5" w14:textId="77777777" w:rsidR="00B85C33" w:rsidRPr="000F6DEF" w:rsidRDefault="00B85C33" w:rsidP="000376C7">
            <w:pPr>
              <w:spacing w:after="0"/>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 xml:space="preserve">By </w:t>
            </w:r>
            <w:r>
              <w:rPr>
                <w:rFonts w:cs="Calibri"/>
                <w:color w:val="auto"/>
                <w:sz w:val="16"/>
                <w:szCs w:val="16"/>
              </w:rPr>
              <w:t>e</w:t>
            </w:r>
            <w:r>
              <w:rPr>
                <w:rFonts w:cs="Calibri"/>
                <w:color w:val="auto"/>
                <w:sz w:val="16"/>
                <w:szCs w:val="16"/>
              </w:rPr>
              <w:noBreakHyphen/>
              <w:t>cig</w:t>
            </w:r>
            <w:r w:rsidRPr="000F6DEF">
              <w:rPr>
                <w:rFonts w:cs="Calibri"/>
                <w:color w:val="auto"/>
                <w:sz w:val="16"/>
                <w:szCs w:val="16"/>
              </w:rPr>
              <w:t>arette status:</w:t>
            </w:r>
          </w:p>
          <w:p w14:paraId="39A85069" w14:textId="77777777" w:rsidR="00B85C33" w:rsidRPr="000F6DEF" w:rsidRDefault="00B85C33" w:rsidP="000376C7">
            <w:pPr>
              <w:spacing w:after="0"/>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Never 47.0% male, 64.8(15.8) years</w:t>
            </w:r>
          </w:p>
          <w:p w14:paraId="0921902F" w14:textId="77777777" w:rsidR="00B85C33" w:rsidRPr="000F6DEF" w:rsidRDefault="00B85C33" w:rsidP="000376C7">
            <w:pPr>
              <w:spacing w:after="0"/>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lastRenderedPageBreak/>
              <w:t>Former 49.4% male, 49.4(16.3) years</w:t>
            </w:r>
          </w:p>
          <w:p w14:paraId="67A50BDA" w14:textId="77777777" w:rsidR="00B85C33" w:rsidRPr="000F6DEF" w:rsidRDefault="00B85C33" w:rsidP="000376C7">
            <w:pPr>
              <w:spacing w:after="0"/>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Current 45.3% male, 52.0(15.4) years</w:t>
            </w:r>
          </w:p>
          <w:p w14:paraId="41C48D8D"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Ever 45.4% male, 50.3(16.0) years</w:t>
            </w:r>
          </w:p>
        </w:tc>
        <w:tc>
          <w:tcPr>
            <w:tcW w:w="1701" w:type="dxa"/>
          </w:tcPr>
          <w:p w14:paraId="2C772E85"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lastRenderedPageBreak/>
              <w:t>Nationally representative</w:t>
            </w:r>
          </w:p>
        </w:tc>
        <w:tc>
          <w:tcPr>
            <w:tcW w:w="1985" w:type="dxa"/>
          </w:tcPr>
          <w:p w14:paraId="7340650D"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Not reported in paper</w:t>
            </w:r>
          </w:p>
        </w:tc>
        <w:tc>
          <w:tcPr>
            <w:tcW w:w="2268" w:type="dxa"/>
          </w:tcPr>
          <w:p w14:paraId="0871A188"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Pr>
                <w:rFonts w:cs="Calibri"/>
                <w:color w:val="auto"/>
                <w:sz w:val="16"/>
                <w:szCs w:val="16"/>
              </w:rPr>
              <w:t>E</w:t>
            </w:r>
            <w:r>
              <w:rPr>
                <w:rFonts w:cs="Calibri"/>
                <w:color w:val="auto"/>
                <w:sz w:val="16"/>
                <w:szCs w:val="16"/>
              </w:rPr>
              <w:noBreakHyphen/>
              <w:t>cig</w:t>
            </w:r>
            <w:r w:rsidRPr="000F6DEF">
              <w:rPr>
                <w:rFonts w:cs="Calibri"/>
                <w:color w:val="auto"/>
                <w:sz w:val="16"/>
                <w:szCs w:val="16"/>
              </w:rPr>
              <w:t>arette use current/ever</w:t>
            </w:r>
          </w:p>
          <w:p w14:paraId="0A4E90FD"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Smoking history</w:t>
            </w:r>
          </w:p>
          <w:p w14:paraId="031CDE54"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p>
        </w:tc>
      </w:tr>
      <w:tr w:rsidR="00B85C33" w:rsidRPr="000F6DEF" w14:paraId="4F4FE0B4" w14:textId="77777777" w:rsidTr="000376C7">
        <w:trPr>
          <w:trHeight w:val="496"/>
        </w:trPr>
        <w:tc>
          <w:tcPr>
            <w:cnfStyle w:val="001000000000" w:firstRow="0" w:lastRow="0" w:firstColumn="1" w:lastColumn="0" w:oddVBand="0" w:evenVBand="0" w:oddHBand="0" w:evenHBand="0" w:firstRowFirstColumn="0" w:firstRowLastColumn="0" w:lastRowFirstColumn="0" w:lastRowLastColumn="0"/>
            <w:tcW w:w="1302" w:type="dxa"/>
          </w:tcPr>
          <w:p w14:paraId="1960E296" w14:textId="77777777" w:rsidR="00B85C33" w:rsidRPr="000F6DEF" w:rsidRDefault="00B85C33" w:rsidP="000376C7">
            <w:pPr>
              <w:rPr>
                <w:rFonts w:cs="Calibri"/>
                <w:color w:val="auto"/>
                <w:sz w:val="16"/>
                <w:szCs w:val="16"/>
              </w:rPr>
            </w:pPr>
            <w:r w:rsidRPr="000F6DEF">
              <w:rPr>
                <w:rFonts w:cs="Calibri"/>
                <w:color w:val="auto"/>
                <w:sz w:val="16"/>
                <w:szCs w:val="16"/>
              </w:rPr>
              <w:t>Yao T, Max W et al 2017</w:t>
            </w:r>
          </w:p>
        </w:tc>
        <w:tc>
          <w:tcPr>
            <w:tcW w:w="2237" w:type="dxa"/>
          </w:tcPr>
          <w:p w14:paraId="34E154C6" w14:textId="7B42AB7C"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Relationship between spending on electronic cigarettes, 30</w:t>
            </w:r>
            <w:r w:rsidRPr="000F6DEF">
              <w:rPr>
                <w:rFonts w:cs="Calibri"/>
                <w:color w:val="auto"/>
                <w:sz w:val="16"/>
                <w:szCs w:val="16"/>
              </w:rPr>
              <w:noBreakHyphen/>
              <w:t>day use, and disease symptoms</w:t>
            </w:r>
            <w:r w:rsidR="00CE05B6">
              <w:rPr>
                <w:rFonts w:cs="Calibri"/>
                <w:color w:val="auto"/>
                <w:sz w:val="16"/>
                <w:szCs w:val="16"/>
              </w:rPr>
              <w:t>.</w:t>
            </w:r>
            <w:r w:rsidRPr="000F6DEF">
              <w:rPr>
                <w:rFonts w:cs="Calibri"/>
                <w:color w:val="auto"/>
                <w:sz w:val="16"/>
                <w:szCs w:val="16"/>
              </w:rPr>
              <w:t xml:space="preserve"> </w:t>
            </w:r>
          </w:p>
        </w:tc>
        <w:tc>
          <w:tcPr>
            <w:tcW w:w="1605" w:type="dxa"/>
          </w:tcPr>
          <w:p w14:paraId="437DF4AD"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 xml:space="preserve">Tobacco and Attitudes Beliefs Survey </w:t>
            </w:r>
          </w:p>
        </w:tc>
        <w:tc>
          <w:tcPr>
            <w:tcW w:w="1088" w:type="dxa"/>
          </w:tcPr>
          <w:p w14:paraId="522070A5"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US national</w:t>
            </w:r>
          </w:p>
        </w:tc>
        <w:tc>
          <w:tcPr>
            <w:tcW w:w="1134" w:type="dxa"/>
          </w:tcPr>
          <w:p w14:paraId="418E395E"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August 20–31, 2015</w:t>
            </w:r>
          </w:p>
        </w:tc>
        <w:tc>
          <w:tcPr>
            <w:tcW w:w="1735" w:type="dxa"/>
          </w:tcPr>
          <w:p w14:paraId="083B934F"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539</w:t>
            </w:r>
          </w:p>
          <w:p w14:paraId="708EEE1A"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24 yrs and older</w:t>
            </w:r>
          </w:p>
          <w:p w14:paraId="36514253"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40% male</w:t>
            </w:r>
          </w:p>
        </w:tc>
        <w:tc>
          <w:tcPr>
            <w:tcW w:w="1701" w:type="dxa"/>
          </w:tcPr>
          <w:p w14:paraId="666A2CC3"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Recruited by the Qualtrics Research Company (an online survey company) using a probability</w:t>
            </w:r>
            <w:r w:rsidRPr="000F6DEF">
              <w:rPr>
                <w:rFonts w:cs="Calibri"/>
                <w:color w:val="auto"/>
                <w:sz w:val="16"/>
                <w:szCs w:val="16"/>
              </w:rPr>
              <w:noBreakHyphen/>
              <w:t>based sampling approach. Participants received $10.</w:t>
            </w:r>
          </w:p>
        </w:tc>
        <w:tc>
          <w:tcPr>
            <w:tcW w:w="1985" w:type="dxa"/>
          </w:tcPr>
          <w:p w14:paraId="1244210A"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Online survey</w:t>
            </w:r>
          </w:p>
        </w:tc>
        <w:tc>
          <w:tcPr>
            <w:tcW w:w="2268" w:type="dxa"/>
          </w:tcPr>
          <w:p w14:paraId="5AB43B32"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 xml:space="preserve">Disease symptoms; current (last 30 days) </w:t>
            </w:r>
            <w:r>
              <w:rPr>
                <w:rFonts w:cs="Calibri"/>
                <w:color w:val="auto"/>
                <w:sz w:val="16"/>
                <w:szCs w:val="16"/>
              </w:rPr>
              <w:t>e</w:t>
            </w:r>
            <w:r>
              <w:rPr>
                <w:rFonts w:cs="Calibri"/>
                <w:color w:val="auto"/>
                <w:sz w:val="16"/>
                <w:szCs w:val="16"/>
              </w:rPr>
              <w:noBreakHyphen/>
              <w:t>cig</w:t>
            </w:r>
            <w:r w:rsidRPr="000F6DEF">
              <w:rPr>
                <w:rFonts w:cs="Calibri"/>
                <w:color w:val="auto"/>
                <w:sz w:val="16"/>
                <w:szCs w:val="16"/>
              </w:rPr>
              <w:t xml:space="preserve">arette use; total spending on </w:t>
            </w:r>
            <w:r>
              <w:rPr>
                <w:rFonts w:cs="Calibri"/>
                <w:color w:val="auto"/>
                <w:sz w:val="16"/>
                <w:szCs w:val="16"/>
              </w:rPr>
              <w:t>e</w:t>
            </w:r>
            <w:r>
              <w:rPr>
                <w:rFonts w:cs="Calibri"/>
                <w:color w:val="auto"/>
                <w:sz w:val="16"/>
                <w:szCs w:val="16"/>
              </w:rPr>
              <w:noBreakHyphen/>
              <w:t>cig</w:t>
            </w:r>
            <w:r w:rsidRPr="000F6DEF">
              <w:rPr>
                <w:rFonts w:cs="Calibri"/>
                <w:color w:val="auto"/>
                <w:sz w:val="16"/>
                <w:szCs w:val="16"/>
              </w:rPr>
              <w:t>arettes in past month; Ave no of conventional cigs smoked per day; demographics</w:t>
            </w:r>
          </w:p>
        </w:tc>
      </w:tr>
      <w:tr w:rsidR="00B85C33" w:rsidRPr="000F6DEF" w14:paraId="428E0879" w14:textId="77777777" w:rsidTr="000376C7">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1302" w:type="dxa"/>
          </w:tcPr>
          <w:p w14:paraId="466C36AD" w14:textId="77777777" w:rsidR="00B85C33" w:rsidRPr="000F6DEF" w:rsidRDefault="00B85C33" w:rsidP="000376C7">
            <w:pPr>
              <w:spacing w:after="0"/>
              <w:rPr>
                <w:rFonts w:eastAsia="Times New Roman" w:cs="Calibri"/>
                <w:color w:val="auto"/>
                <w:sz w:val="16"/>
                <w:szCs w:val="16"/>
              </w:rPr>
            </w:pPr>
            <w:r w:rsidRPr="000F6DEF">
              <w:rPr>
                <w:rFonts w:cs="Calibri"/>
                <w:color w:val="auto"/>
                <w:sz w:val="16"/>
                <w:szCs w:val="16"/>
              </w:rPr>
              <w:t>Anic, Holder</w:t>
            </w:r>
            <w:r w:rsidRPr="000F6DEF">
              <w:rPr>
                <w:rFonts w:cs="Calibri"/>
                <w:color w:val="auto"/>
                <w:sz w:val="16"/>
                <w:szCs w:val="16"/>
              </w:rPr>
              <w:noBreakHyphen/>
              <w:t>Hayes, Ambrose</w:t>
            </w:r>
          </w:p>
        </w:tc>
        <w:tc>
          <w:tcPr>
            <w:tcW w:w="2237" w:type="dxa"/>
          </w:tcPr>
          <w:p w14:paraId="407A6A28" w14:textId="65BB1B81"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 xml:space="preserve">To estimate the prevalence of </w:t>
            </w:r>
            <w:r>
              <w:rPr>
                <w:rFonts w:cs="Calibri"/>
                <w:color w:val="auto"/>
                <w:sz w:val="16"/>
                <w:szCs w:val="16"/>
              </w:rPr>
              <w:t>e</w:t>
            </w:r>
            <w:r>
              <w:rPr>
                <w:rFonts w:cs="Calibri"/>
                <w:color w:val="auto"/>
                <w:sz w:val="16"/>
                <w:szCs w:val="16"/>
              </w:rPr>
              <w:noBreakHyphen/>
              <w:t>cig</w:t>
            </w:r>
            <w:r w:rsidRPr="000F6DEF">
              <w:rPr>
                <w:rFonts w:cs="Calibri"/>
                <w:color w:val="auto"/>
                <w:sz w:val="16"/>
                <w:szCs w:val="16"/>
              </w:rPr>
              <w:t>, smokeless tobacco use and switching amongst current and recent former adults cigarette smokers</w:t>
            </w:r>
            <w:r w:rsidR="00CE05B6">
              <w:rPr>
                <w:rFonts w:cs="Calibri"/>
                <w:color w:val="auto"/>
                <w:sz w:val="16"/>
                <w:szCs w:val="16"/>
              </w:rPr>
              <w:t>.</w:t>
            </w:r>
          </w:p>
        </w:tc>
        <w:tc>
          <w:tcPr>
            <w:tcW w:w="1605" w:type="dxa"/>
          </w:tcPr>
          <w:p w14:paraId="33475C2B"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National Adult Tobacco Survey</w:t>
            </w:r>
          </w:p>
        </w:tc>
        <w:tc>
          <w:tcPr>
            <w:tcW w:w="1088" w:type="dxa"/>
          </w:tcPr>
          <w:p w14:paraId="53A7BD14"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US national</w:t>
            </w:r>
          </w:p>
        </w:tc>
        <w:tc>
          <w:tcPr>
            <w:tcW w:w="1134" w:type="dxa"/>
          </w:tcPr>
          <w:p w14:paraId="650D91D6"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2012</w:t>
            </w:r>
            <w:r w:rsidRPr="000F6DEF">
              <w:rPr>
                <w:rFonts w:cs="Calibri"/>
                <w:color w:val="auto"/>
                <w:sz w:val="16"/>
                <w:szCs w:val="16"/>
              </w:rPr>
              <w:noBreakHyphen/>
              <w:t>2013</w:t>
            </w:r>
            <w:r w:rsidRPr="000F6DEF">
              <w:rPr>
                <w:rFonts w:cs="Calibri"/>
                <w:color w:val="auto"/>
                <w:sz w:val="16"/>
                <w:szCs w:val="16"/>
              </w:rPr>
              <w:br/>
              <w:t>Analysed 2016</w:t>
            </w:r>
          </w:p>
        </w:tc>
        <w:tc>
          <w:tcPr>
            <w:tcW w:w="1735" w:type="dxa"/>
          </w:tcPr>
          <w:p w14:paraId="54A0BC52"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2012/13 n=8,891</w:t>
            </w:r>
            <w:r w:rsidRPr="000F6DEF">
              <w:rPr>
                <w:rFonts w:cs="Calibri"/>
                <w:color w:val="auto"/>
                <w:sz w:val="16"/>
                <w:szCs w:val="16"/>
              </w:rPr>
              <w:br/>
              <w:t>2013/14 n=11,379</w:t>
            </w:r>
            <w:r w:rsidRPr="000F6DEF">
              <w:rPr>
                <w:rFonts w:cs="Calibri"/>
                <w:color w:val="auto"/>
                <w:sz w:val="16"/>
                <w:szCs w:val="16"/>
              </w:rPr>
              <w:br/>
              <w:t>Past</w:t>
            </w:r>
            <w:r w:rsidRPr="000F6DEF">
              <w:rPr>
                <w:rFonts w:cs="Calibri"/>
                <w:color w:val="auto"/>
                <w:sz w:val="16"/>
                <w:szCs w:val="16"/>
              </w:rPr>
              <w:noBreakHyphen/>
              <w:t xml:space="preserve">year smokers. </w:t>
            </w:r>
          </w:p>
          <w:p w14:paraId="3565801D"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Ages: 2012/13 Median 41.0 (IQR29</w:t>
            </w:r>
            <w:r w:rsidRPr="000F6DEF">
              <w:rPr>
                <w:rFonts w:cs="Calibri"/>
                <w:color w:val="auto"/>
                <w:sz w:val="16"/>
                <w:szCs w:val="16"/>
              </w:rPr>
              <w:noBreakHyphen/>
              <w:t>53.2)</w:t>
            </w:r>
            <w:r w:rsidRPr="000F6DEF">
              <w:rPr>
                <w:rFonts w:cs="Calibri"/>
                <w:color w:val="auto"/>
                <w:sz w:val="16"/>
                <w:szCs w:val="16"/>
              </w:rPr>
              <w:br/>
              <w:t>2012/13 Median 41.4 (IQR29.6</w:t>
            </w:r>
            <w:r w:rsidRPr="000F6DEF">
              <w:rPr>
                <w:rFonts w:cs="Calibri"/>
                <w:color w:val="auto"/>
                <w:sz w:val="16"/>
                <w:szCs w:val="16"/>
              </w:rPr>
              <w:noBreakHyphen/>
              <w:t>53.7)</w:t>
            </w:r>
          </w:p>
          <w:p w14:paraId="11F0A8B6"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 Male: 2012/13 57.5%</w:t>
            </w:r>
            <w:r w:rsidRPr="000F6DEF">
              <w:rPr>
                <w:rFonts w:cs="Calibri"/>
                <w:color w:val="auto"/>
                <w:sz w:val="16"/>
                <w:szCs w:val="16"/>
              </w:rPr>
              <w:br/>
              <w:t>2013/14% 55.5%</w:t>
            </w:r>
          </w:p>
        </w:tc>
        <w:tc>
          <w:tcPr>
            <w:tcW w:w="1701" w:type="dxa"/>
          </w:tcPr>
          <w:p w14:paraId="58850F3B"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Random digit dialling</w:t>
            </w:r>
          </w:p>
        </w:tc>
        <w:tc>
          <w:tcPr>
            <w:tcW w:w="1985" w:type="dxa"/>
          </w:tcPr>
          <w:p w14:paraId="03A61E5B"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Landline and cellular phone administered survey based on random</w:t>
            </w:r>
            <w:r w:rsidRPr="000F6DEF">
              <w:rPr>
                <w:rFonts w:cs="Calibri"/>
                <w:color w:val="auto"/>
                <w:sz w:val="16"/>
                <w:szCs w:val="16"/>
              </w:rPr>
              <w:noBreakHyphen/>
              <w:t>digit dialling</w:t>
            </w:r>
          </w:p>
        </w:tc>
        <w:tc>
          <w:tcPr>
            <w:tcW w:w="2268" w:type="dxa"/>
          </w:tcPr>
          <w:p w14:paraId="16E74D52"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Smoking status based on quit attempts</w:t>
            </w:r>
            <w:r w:rsidRPr="000F6DEF">
              <w:rPr>
                <w:rFonts w:cs="Calibri"/>
                <w:color w:val="auto"/>
                <w:sz w:val="16"/>
                <w:szCs w:val="16"/>
              </w:rPr>
              <w:br/>
              <w:t xml:space="preserve">Ever use </w:t>
            </w:r>
            <w:r>
              <w:rPr>
                <w:rFonts w:cs="Calibri"/>
                <w:color w:val="auto"/>
                <w:sz w:val="16"/>
                <w:szCs w:val="16"/>
              </w:rPr>
              <w:t>e</w:t>
            </w:r>
            <w:r>
              <w:rPr>
                <w:rFonts w:cs="Calibri"/>
                <w:color w:val="auto"/>
                <w:sz w:val="16"/>
                <w:szCs w:val="16"/>
              </w:rPr>
              <w:noBreakHyphen/>
              <w:t>cig</w:t>
            </w:r>
            <w:r w:rsidRPr="000F6DEF">
              <w:rPr>
                <w:sz w:val="16"/>
                <w:szCs w:val="16"/>
              </w:rPr>
              <w:t>arette</w:t>
            </w:r>
            <w:r w:rsidRPr="000F6DEF">
              <w:rPr>
                <w:rFonts w:cs="Calibri"/>
                <w:color w:val="auto"/>
                <w:sz w:val="16"/>
                <w:szCs w:val="16"/>
              </w:rPr>
              <w:br/>
              <w:t xml:space="preserve">Freq use </w:t>
            </w:r>
            <w:r>
              <w:rPr>
                <w:rFonts w:cs="Calibri"/>
                <w:color w:val="auto"/>
                <w:sz w:val="16"/>
                <w:szCs w:val="16"/>
              </w:rPr>
              <w:t>e</w:t>
            </w:r>
            <w:r>
              <w:rPr>
                <w:rFonts w:cs="Calibri"/>
                <w:color w:val="auto"/>
                <w:sz w:val="16"/>
                <w:szCs w:val="16"/>
              </w:rPr>
              <w:noBreakHyphen/>
              <w:t>cig</w:t>
            </w:r>
            <w:r w:rsidRPr="000F6DEF">
              <w:rPr>
                <w:sz w:val="16"/>
                <w:szCs w:val="16"/>
              </w:rPr>
              <w:t>arette</w:t>
            </w:r>
            <w:r w:rsidRPr="000F6DEF">
              <w:rPr>
                <w:rFonts w:cs="Calibri"/>
                <w:color w:val="auto"/>
                <w:sz w:val="16"/>
                <w:szCs w:val="16"/>
              </w:rPr>
              <w:br/>
              <w:t>Use smokeless tobacco</w:t>
            </w:r>
            <w:r w:rsidRPr="000F6DEF">
              <w:rPr>
                <w:rFonts w:cs="Calibri"/>
                <w:color w:val="auto"/>
                <w:sz w:val="16"/>
                <w:szCs w:val="16"/>
              </w:rPr>
              <w:br/>
              <w:t>Switch from cig</w:t>
            </w:r>
            <w:r w:rsidRPr="000F6DEF">
              <w:rPr>
                <w:sz w:val="16"/>
                <w:szCs w:val="16"/>
              </w:rPr>
              <w:t>arette</w:t>
            </w:r>
            <w:r w:rsidRPr="000F6DEF">
              <w:rPr>
                <w:rFonts w:cs="Calibri"/>
                <w:color w:val="auto"/>
                <w:sz w:val="16"/>
                <w:szCs w:val="16"/>
              </w:rPr>
              <w:t xml:space="preserve"> to </w:t>
            </w:r>
            <w:r>
              <w:rPr>
                <w:rFonts w:cs="Calibri"/>
                <w:color w:val="auto"/>
                <w:sz w:val="16"/>
                <w:szCs w:val="16"/>
              </w:rPr>
              <w:t>e</w:t>
            </w:r>
            <w:r>
              <w:rPr>
                <w:rFonts w:cs="Calibri"/>
                <w:color w:val="auto"/>
                <w:sz w:val="16"/>
                <w:szCs w:val="16"/>
              </w:rPr>
              <w:noBreakHyphen/>
              <w:t>cig</w:t>
            </w:r>
            <w:r w:rsidRPr="000F6DEF">
              <w:rPr>
                <w:sz w:val="16"/>
                <w:szCs w:val="16"/>
              </w:rPr>
              <w:t>arette</w:t>
            </w:r>
            <w:r w:rsidRPr="000F6DEF">
              <w:rPr>
                <w:rFonts w:cs="Calibri"/>
                <w:color w:val="auto"/>
                <w:sz w:val="16"/>
                <w:szCs w:val="16"/>
              </w:rPr>
              <w:br/>
              <w:t>Switch from cig</w:t>
            </w:r>
            <w:r w:rsidRPr="000F6DEF">
              <w:rPr>
                <w:sz w:val="16"/>
                <w:szCs w:val="16"/>
              </w:rPr>
              <w:t>arette</w:t>
            </w:r>
            <w:r w:rsidRPr="000F6DEF">
              <w:rPr>
                <w:rFonts w:cs="Calibri"/>
                <w:color w:val="auto"/>
                <w:sz w:val="16"/>
                <w:szCs w:val="16"/>
              </w:rPr>
              <w:t xml:space="preserve"> to smokeless tobacco</w:t>
            </w:r>
            <w:r w:rsidRPr="000F6DEF">
              <w:rPr>
                <w:rFonts w:cs="Calibri"/>
                <w:color w:val="auto"/>
                <w:sz w:val="16"/>
                <w:szCs w:val="16"/>
              </w:rPr>
              <w:br/>
              <w:t>Demographics</w:t>
            </w:r>
          </w:p>
        </w:tc>
      </w:tr>
    </w:tbl>
    <w:p w14:paraId="5DE7E0F3" w14:textId="77777777" w:rsidR="00B85C33" w:rsidRDefault="00B85C33" w:rsidP="00B85C33">
      <w:pPr>
        <w:spacing w:after="0"/>
        <w:rPr>
          <w:sz w:val="24"/>
        </w:rPr>
      </w:pPr>
      <w:r>
        <w:br w:type="page"/>
      </w:r>
    </w:p>
    <w:p w14:paraId="23AD9FB3" w14:textId="77777777" w:rsidR="00B85C33" w:rsidRDefault="004C6D16" w:rsidP="004C6D16">
      <w:pPr>
        <w:pStyle w:val="Caption"/>
      </w:pPr>
      <w:bookmarkStart w:id="334" w:name="_Toc517707442"/>
      <w:r>
        <w:lastRenderedPageBreak/>
        <w:t xml:space="preserve">Table </w:t>
      </w:r>
      <w:r w:rsidR="0048064B">
        <w:rPr>
          <w:noProof/>
        </w:rPr>
        <w:fldChar w:fldCharType="begin"/>
      </w:r>
      <w:r w:rsidR="0048064B">
        <w:rPr>
          <w:noProof/>
        </w:rPr>
        <w:instrText xml:space="preserve"> SEQ Table \* ARABIC </w:instrText>
      </w:r>
      <w:r w:rsidR="0048064B">
        <w:rPr>
          <w:noProof/>
        </w:rPr>
        <w:fldChar w:fldCharType="separate"/>
      </w:r>
      <w:r w:rsidR="000C06DA">
        <w:rPr>
          <w:noProof/>
        </w:rPr>
        <w:t>33</w:t>
      </w:r>
      <w:r w:rsidR="0048064B">
        <w:rPr>
          <w:noProof/>
        </w:rPr>
        <w:fldChar w:fldCharType="end"/>
      </w:r>
      <w:r w:rsidR="00B85C33">
        <w:t xml:space="preserve">: </w:t>
      </w:r>
      <w:r w:rsidR="00B85C33" w:rsidRPr="00C91909">
        <w:t xml:space="preserve">Results of </w:t>
      </w:r>
      <w:r w:rsidR="009469EE">
        <w:t>studies from US national level a</w:t>
      </w:r>
      <w:r w:rsidR="00B85C33" w:rsidRPr="00C91909">
        <w:t>dults</w:t>
      </w:r>
      <w:bookmarkEnd w:id="334"/>
    </w:p>
    <w:tbl>
      <w:tblPr>
        <w:tblStyle w:val="TableCSIRO"/>
        <w:tblW w:w="15026" w:type="dxa"/>
        <w:tblInd w:w="0" w:type="dxa"/>
        <w:tblLayout w:type="fixed"/>
        <w:tblLook w:val="04A0" w:firstRow="1" w:lastRow="0" w:firstColumn="1" w:lastColumn="0" w:noHBand="0" w:noVBand="1"/>
      </w:tblPr>
      <w:tblGrid>
        <w:gridCol w:w="1435"/>
        <w:gridCol w:w="2044"/>
        <w:gridCol w:w="6924"/>
        <w:gridCol w:w="4623"/>
      </w:tblGrid>
      <w:tr w:rsidR="00B85C33" w:rsidRPr="000F6DEF" w14:paraId="6475814C" w14:textId="77777777" w:rsidTr="000376C7">
        <w:trPr>
          <w:cnfStyle w:val="100000000000" w:firstRow="1" w:lastRow="0" w:firstColumn="0" w:lastColumn="0" w:oddVBand="0" w:evenVBand="0" w:oddHBand="0" w:evenHBand="0" w:firstRowFirstColumn="0" w:firstRowLastColumn="0" w:lastRowFirstColumn="0" w:lastRowLastColumn="0"/>
          <w:trHeight w:val="94"/>
          <w:tblHeader/>
        </w:trPr>
        <w:tc>
          <w:tcPr>
            <w:cnfStyle w:val="001000000000" w:firstRow="0" w:lastRow="0" w:firstColumn="1" w:lastColumn="0" w:oddVBand="0" w:evenVBand="0" w:oddHBand="0" w:evenHBand="0" w:firstRowFirstColumn="0" w:firstRowLastColumn="0" w:lastRowFirstColumn="0" w:lastRowLastColumn="0"/>
            <w:tcW w:w="1435" w:type="dxa"/>
            <w:hideMark/>
          </w:tcPr>
          <w:p w14:paraId="56D44C33" w14:textId="77777777" w:rsidR="00B85C33" w:rsidRPr="000F6DEF" w:rsidRDefault="00B85C33" w:rsidP="000376C7">
            <w:pPr>
              <w:rPr>
                <w:color w:val="auto"/>
                <w:sz w:val="16"/>
                <w:szCs w:val="16"/>
              </w:rPr>
            </w:pPr>
            <w:r w:rsidRPr="000F6DEF">
              <w:rPr>
                <w:color w:val="auto"/>
                <w:sz w:val="16"/>
                <w:szCs w:val="16"/>
              </w:rPr>
              <w:t>Study reference</w:t>
            </w:r>
          </w:p>
        </w:tc>
        <w:tc>
          <w:tcPr>
            <w:tcW w:w="2044" w:type="dxa"/>
            <w:hideMark/>
          </w:tcPr>
          <w:p w14:paraId="297C26E2" w14:textId="77777777" w:rsidR="00B85C33" w:rsidRPr="000F6DEF" w:rsidRDefault="00B85C33" w:rsidP="000376C7">
            <w:pPr>
              <w:cnfStyle w:val="100000000000" w:firstRow="1" w:lastRow="0" w:firstColumn="0" w:lastColumn="0" w:oddVBand="0" w:evenVBand="0" w:oddHBand="0" w:evenHBand="0" w:firstRowFirstColumn="0" w:firstRowLastColumn="0" w:lastRowFirstColumn="0" w:lastRowLastColumn="0"/>
              <w:rPr>
                <w:color w:val="auto"/>
                <w:sz w:val="16"/>
                <w:szCs w:val="16"/>
              </w:rPr>
            </w:pPr>
            <w:r w:rsidRPr="000F6DEF">
              <w:rPr>
                <w:color w:val="auto"/>
                <w:sz w:val="16"/>
                <w:szCs w:val="16"/>
              </w:rPr>
              <w:t>Purpose</w:t>
            </w:r>
          </w:p>
        </w:tc>
        <w:tc>
          <w:tcPr>
            <w:tcW w:w="6924" w:type="dxa"/>
            <w:hideMark/>
          </w:tcPr>
          <w:p w14:paraId="1AEC643A" w14:textId="77777777" w:rsidR="00B85C33" w:rsidRPr="000F6DEF" w:rsidRDefault="00B85C33" w:rsidP="000376C7">
            <w:pPr>
              <w:cnfStyle w:val="100000000000" w:firstRow="1" w:lastRow="0" w:firstColumn="0" w:lastColumn="0" w:oddVBand="0" w:evenVBand="0" w:oddHBand="0" w:evenHBand="0" w:firstRowFirstColumn="0" w:firstRowLastColumn="0" w:lastRowFirstColumn="0" w:lastRowLastColumn="0"/>
              <w:rPr>
                <w:color w:val="auto"/>
                <w:sz w:val="16"/>
                <w:szCs w:val="16"/>
              </w:rPr>
            </w:pPr>
            <w:r w:rsidRPr="000F6DEF">
              <w:rPr>
                <w:color w:val="auto"/>
                <w:sz w:val="16"/>
                <w:szCs w:val="16"/>
              </w:rPr>
              <w:t>Results</w:t>
            </w:r>
          </w:p>
        </w:tc>
        <w:tc>
          <w:tcPr>
            <w:tcW w:w="4623" w:type="dxa"/>
            <w:hideMark/>
          </w:tcPr>
          <w:p w14:paraId="79CDBA6B" w14:textId="77777777" w:rsidR="00B85C33" w:rsidRPr="000F6DEF" w:rsidRDefault="00B85C33" w:rsidP="000376C7">
            <w:pPr>
              <w:cnfStyle w:val="100000000000" w:firstRow="1" w:lastRow="0" w:firstColumn="0" w:lastColumn="0" w:oddVBand="0" w:evenVBand="0" w:oddHBand="0" w:evenHBand="0" w:firstRowFirstColumn="0" w:firstRowLastColumn="0" w:lastRowFirstColumn="0" w:lastRowLastColumn="0"/>
              <w:rPr>
                <w:color w:val="auto"/>
                <w:sz w:val="16"/>
                <w:szCs w:val="16"/>
              </w:rPr>
            </w:pPr>
            <w:r w:rsidRPr="000F6DEF">
              <w:rPr>
                <w:color w:val="auto"/>
                <w:sz w:val="16"/>
                <w:szCs w:val="16"/>
              </w:rPr>
              <w:t>Author conclusion</w:t>
            </w:r>
          </w:p>
        </w:tc>
      </w:tr>
      <w:tr w:rsidR="00B85C33" w:rsidRPr="000F6DEF" w14:paraId="33424905" w14:textId="77777777" w:rsidTr="000376C7">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1435" w:type="dxa"/>
          </w:tcPr>
          <w:p w14:paraId="0AEE2624" w14:textId="77777777" w:rsidR="00B85C33" w:rsidRPr="000F6DEF" w:rsidRDefault="00B85C33" w:rsidP="000376C7">
            <w:pPr>
              <w:spacing w:after="0"/>
              <w:rPr>
                <w:rFonts w:eastAsia="Times New Roman" w:cs="Calibri"/>
                <w:color w:val="auto"/>
                <w:sz w:val="16"/>
                <w:szCs w:val="16"/>
              </w:rPr>
            </w:pPr>
            <w:r w:rsidRPr="000F6DEF">
              <w:rPr>
                <w:rFonts w:cs="Calibri"/>
                <w:color w:val="auto"/>
                <w:sz w:val="16"/>
                <w:szCs w:val="16"/>
              </w:rPr>
              <w:t>Anic, Holder</w:t>
            </w:r>
            <w:r w:rsidRPr="000F6DEF">
              <w:rPr>
                <w:rFonts w:cs="Calibri"/>
                <w:color w:val="auto"/>
                <w:sz w:val="16"/>
                <w:szCs w:val="16"/>
              </w:rPr>
              <w:noBreakHyphen/>
              <w:t>Hayes, Ambrose</w:t>
            </w:r>
          </w:p>
        </w:tc>
        <w:tc>
          <w:tcPr>
            <w:tcW w:w="2044" w:type="dxa"/>
          </w:tcPr>
          <w:p w14:paraId="6D39EB46" w14:textId="703DBCFA"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 xml:space="preserve">To estimate the prevalence of </w:t>
            </w:r>
            <w:r>
              <w:rPr>
                <w:rFonts w:cs="Calibri"/>
                <w:color w:val="auto"/>
                <w:sz w:val="16"/>
                <w:szCs w:val="16"/>
              </w:rPr>
              <w:t>e</w:t>
            </w:r>
            <w:r>
              <w:rPr>
                <w:rFonts w:cs="Calibri"/>
                <w:color w:val="auto"/>
                <w:sz w:val="16"/>
                <w:szCs w:val="16"/>
              </w:rPr>
              <w:noBreakHyphen/>
              <w:t>cig</w:t>
            </w:r>
            <w:r w:rsidRPr="000F6DEF">
              <w:rPr>
                <w:rFonts w:cs="Calibri"/>
                <w:color w:val="auto"/>
                <w:sz w:val="16"/>
                <w:szCs w:val="16"/>
              </w:rPr>
              <w:t>, smokeless tobacco use and switching amongst current and recent former adults cigarette smokers</w:t>
            </w:r>
            <w:r w:rsidR="00CE05B6">
              <w:rPr>
                <w:rFonts w:cs="Calibri"/>
                <w:color w:val="auto"/>
                <w:sz w:val="16"/>
                <w:szCs w:val="16"/>
              </w:rPr>
              <w:t>.</w:t>
            </w:r>
          </w:p>
        </w:tc>
        <w:tc>
          <w:tcPr>
            <w:tcW w:w="6924" w:type="dxa"/>
          </w:tcPr>
          <w:p w14:paraId="6203BF1C"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Pr>
                <w:rFonts w:cs="Calibri"/>
                <w:color w:val="auto"/>
                <w:sz w:val="16"/>
                <w:szCs w:val="16"/>
              </w:rPr>
              <w:t>E</w:t>
            </w:r>
            <w:r>
              <w:rPr>
                <w:rFonts w:cs="Calibri"/>
                <w:color w:val="auto"/>
                <w:sz w:val="16"/>
                <w:szCs w:val="16"/>
              </w:rPr>
              <w:noBreakHyphen/>
              <w:t>cig</w:t>
            </w:r>
            <w:r w:rsidRPr="000F6DEF">
              <w:rPr>
                <w:rFonts w:cs="Calibri"/>
                <w:color w:val="auto"/>
                <w:sz w:val="16"/>
                <w:szCs w:val="16"/>
              </w:rPr>
              <w:t xml:space="preserve">arette use increased between years for all smoking status groups. More freq among smokers with unsuccessful attempt (10.4%; 14.8%) and recent quitters (9.1%; 15.8%) than smokers with no attempts (5.9%; 10.7%). Sig increase for recent quitters (7.7%; 11.9%), no quite attempt (1.5% 2.4%). No sig change over time for unsuccessful quit attempt (3.4%; 4.4%). Complete switch to </w:t>
            </w:r>
            <w:r>
              <w:rPr>
                <w:rFonts w:cs="Calibri"/>
                <w:color w:val="auto"/>
                <w:sz w:val="16"/>
                <w:szCs w:val="16"/>
              </w:rPr>
              <w:t>e</w:t>
            </w:r>
            <w:r>
              <w:rPr>
                <w:rFonts w:cs="Calibri"/>
                <w:color w:val="auto"/>
                <w:sz w:val="16"/>
                <w:szCs w:val="16"/>
              </w:rPr>
              <w:noBreakHyphen/>
              <w:t>cig</w:t>
            </w:r>
            <w:r w:rsidRPr="000F6DEF">
              <w:rPr>
                <w:rFonts w:cs="Calibri"/>
                <w:color w:val="auto"/>
                <w:sz w:val="16"/>
                <w:szCs w:val="16"/>
              </w:rPr>
              <w:t>arette at some point increased from 15.3% to 25.7%. 13/14 age diff: Recent quitters who switched more likely to be 18</w:t>
            </w:r>
            <w:r w:rsidRPr="000F6DEF">
              <w:rPr>
                <w:rFonts w:cs="Calibri"/>
                <w:color w:val="auto"/>
                <w:sz w:val="16"/>
                <w:szCs w:val="16"/>
              </w:rPr>
              <w:noBreakHyphen/>
              <w:t xml:space="preserve">24yo. Switchers more like to have history of daily cig smoking from &gt;6mo and current daily cig use. </w:t>
            </w:r>
            <w:r w:rsidRPr="000F6DEF">
              <w:rPr>
                <w:rFonts w:cs="Calibri"/>
                <w:color w:val="auto"/>
                <w:sz w:val="16"/>
                <w:szCs w:val="16"/>
              </w:rPr>
              <w:br/>
              <w:t xml:space="preserve">No diffs or sex, race, education. </w:t>
            </w:r>
          </w:p>
        </w:tc>
        <w:tc>
          <w:tcPr>
            <w:tcW w:w="4623" w:type="dxa"/>
          </w:tcPr>
          <w:p w14:paraId="44C7778E"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Pr>
                <w:rFonts w:cs="Calibri"/>
                <w:color w:val="auto"/>
                <w:sz w:val="16"/>
                <w:szCs w:val="16"/>
              </w:rPr>
              <w:t>E</w:t>
            </w:r>
            <w:r>
              <w:rPr>
                <w:rFonts w:cs="Calibri"/>
                <w:color w:val="auto"/>
                <w:sz w:val="16"/>
                <w:szCs w:val="16"/>
              </w:rPr>
              <w:noBreakHyphen/>
              <w:t>cig</w:t>
            </w:r>
            <w:r w:rsidRPr="000F6DEF">
              <w:rPr>
                <w:rFonts w:cs="Calibri"/>
                <w:color w:val="auto"/>
                <w:sz w:val="16"/>
                <w:szCs w:val="16"/>
              </w:rPr>
              <w:t>arette more popular than smokeless tobacco</w:t>
            </w:r>
            <w:r w:rsidRPr="000F6DEF">
              <w:rPr>
                <w:rFonts w:cs="Calibri"/>
                <w:color w:val="auto"/>
                <w:sz w:val="16"/>
                <w:szCs w:val="16"/>
              </w:rPr>
              <w:br/>
              <w:t xml:space="preserve">Recent quitters are considerably more like tot have switched to </w:t>
            </w:r>
            <w:r>
              <w:rPr>
                <w:rFonts w:cs="Calibri"/>
                <w:color w:val="auto"/>
                <w:sz w:val="16"/>
                <w:szCs w:val="16"/>
              </w:rPr>
              <w:t>e</w:t>
            </w:r>
            <w:r>
              <w:rPr>
                <w:rFonts w:cs="Calibri"/>
                <w:color w:val="auto"/>
                <w:sz w:val="16"/>
                <w:szCs w:val="16"/>
              </w:rPr>
              <w:noBreakHyphen/>
              <w:t>cig</w:t>
            </w:r>
            <w:r w:rsidRPr="000F6DEF">
              <w:rPr>
                <w:rFonts w:cs="Calibri"/>
                <w:color w:val="auto"/>
                <w:sz w:val="16"/>
                <w:szCs w:val="16"/>
              </w:rPr>
              <w:t xml:space="preserve">arette at some point in the past 12mo than smokeless tobacco. </w:t>
            </w:r>
          </w:p>
        </w:tc>
      </w:tr>
      <w:tr w:rsidR="00B85C33" w:rsidRPr="000F6DEF" w14:paraId="4D4BE125" w14:textId="77777777" w:rsidTr="000376C7">
        <w:trPr>
          <w:trHeight w:val="94"/>
        </w:trPr>
        <w:tc>
          <w:tcPr>
            <w:cnfStyle w:val="001000000000" w:firstRow="0" w:lastRow="0" w:firstColumn="1" w:lastColumn="0" w:oddVBand="0" w:evenVBand="0" w:oddHBand="0" w:evenHBand="0" w:firstRowFirstColumn="0" w:firstRowLastColumn="0" w:lastRowFirstColumn="0" w:lastRowLastColumn="0"/>
            <w:tcW w:w="1435" w:type="dxa"/>
          </w:tcPr>
          <w:p w14:paraId="10F814C5" w14:textId="77777777" w:rsidR="00B85C33" w:rsidRPr="000F6DEF" w:rsidRDefault="00B85C33" w:rsidP="000376C7">
            <w:pPr>
              <w:rPr>
                <w:rFonts w:cs="Calibri"/>
                <w:color w:val="auto"/>
                <w:sz w:val="16"/>
                <w:szCs w:val="16"/>
              </w:rPr>
            </w:pPr>
            <w:r w:rsidRPr="000F6DEF">
              <w:rPr>
                <w:rFonts w:cs="Calibri"/>
                <w:color w:val="auto"/>
                <w:sz w:val="16"/>
                <w:szCs w:val="16"/>
              </w:rPr>
              <w:t>Bigman, Mello, Sanderrs</w:t>
            </w:r>
            <w:r w:rsidRPr="000F6DEF">
              <w:rPr>
                <w:rFonts w:cs="Calibri"/>
                <w:color w:val="auto"/>
                <w:sz w:val="16"/>
                <w:szCs w:val="16"/>
              </w:rPr>
              <w:noBreakHyphen/>
              <w:t>Jackson, Tan</w:t>
            </w:r>
          </w:p>
        </w:tc>
        <w:tc>
          <w:tcPr>
            <w:tcW w:w="2044" w:type="dxa"/>
          </w:tcPr>
          <w:p w14:paraId="184175C7"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 xml:space="preserve">This study examines psychosocial predictors of intentions to ask others not to use </w:t>
            </w:r>
            <w:r>
              <w:rPr>
                <w:rFonts w:cs="Calibri"/>
                <w:color w:val="auto"/>
                <w:sz w:val="16"/>
                <w:szCs w:val="16"/>
              </w:rPr>
              <w:t>e</w:t>
            </w:r>
            <w:r>
              <w:rPr>
                <w:rFonts w:cs="Calibri"/>
                <w:color w:val="auto"/>
                <w:sz w:val="16"/>
                <w:szCs w:val="16"/>
              </w:rPr>
              <w:noBreakHyphen/>
              <w:t>cig</w:t>
            </w:r>
            <w:r w:rsidRPr="000F6DEF">
              <w:rPr>
                <w:rFonts w:cs="Calibri"/>
                <w:color w:val="auto"/>
                <w:sz w:val="16"/>
                <w:szCs w:val="16"/>
              </w:rPr>
              <w:t xml:space="preserve">arettes (vape) and smoke </w:t>
            </w:r>
            <w:r w:rsidRPr="000F6DEF">
              <w:rPr>
                <w:rFonts w:cs="Calibri"/>
                <w:color w:val="auto"/>
                <w:sz w:val="16"/>
                <w:szCs w:val="16"/>
              </w:rPr>
              <w:noBreakHyphen/>
              <w:t xml:space="preserve"> i.e., assertive communication intentions.</w:t>
            </w:r>
          </w:p>
        </w:tc>
        <w:tc>
          <w:tcPr>
            <w:tcW w:w="6924" w:type="dxa"/>
          </w:tcPr>
          <w:p w14:paraId="22500D37"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 xml:space="preserve">Tried </w:t>
            </w:r>
            <w:r>
              <w:rPr>
                <w:rFonts w:cs="Calibri"/>
                <w:color w:val="auto"/>
                <w:sz w:val="16"/>
                <w:szCs w:val="16"/>
              </w:rPr>
              <w:t>e</w:t>
            </w:r>
            <w:r>
              <w:rPr>
                <w:rFonts w:cs="Calibri"/>
                <w:color w:val="auto"/>
                <w:sz w:val="16"/>
                <w:szCs w:val="16"/>
              </w:rPr>
              <w:noBreakHyphen/>
              <w:t>cig</w:t>
            </w:r>
            <w:r w:rsidRPr="000F6DEF">
              <w:rPr>
                <w:rFonts w:cs="Calibri"/>
                <w:color w:val="auto"/>
                <w:sz w:val="16"/>
                <w:szCs w:val="16"/>
              </w:rPr>
              <w:t>arette 11.60%.</w:t>
            </w:r>
            <w:r w:rsidRPr="000F6DEF">
              <w:rPr>
                <w:rFonts w:cs="Calibri"/>
                <w:color w:val="auto"/>
                <w:sz w:val="16"/>
                <w:szCs w:val="16"/>
              </w:rPr>
              <w:br/>
              <w:t xml:space="preserve">Participants in this study were more willing to communicate assertively about smoking than vaping. The findings align with the fact that, on average, participants reported more risk for smoking than vaping, and perceived more normative support and efficacy for assertive communication for asking someone not to smoke. </w:t>
            </w:r>
          </w:p>
        </w:tc>
        <w:tc>
          <w:tcPr>
            <w:tcW w:w="4623" w:type="dxa"/>
          </w:tcPr>
          <w:p w14:paraId="7417BA1D"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Although a majority of respondents indicated they were unlikely to intervene to voice objections about SHSe and SHVe in public venues, this study suggests that incidental or intentional messages and policies that influence perceptions of risk, norms, and efficacy could affect willingness to voice objections about others' vaping and smoking in public.</w:t>
            </w:r>
          </w:p>
        </w:tc>
      </w:tr>
      <w:tr w:rsidR="00B85C33" w:rsidRPr="000F6DEF" w14:paraId="6689491A" w14:textId="77777777" w:rsidTr="000376C7">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1435" w:type="dxa"/>
          </w:tcPr>
          <w:p w14:paraId="730936F5" w14:textId="77777777" w:rsidR="00B85C33" w:rsidRPr="000F6DEF" w:rsidRDefault="00B85C33" w:rsidP="000376C7">
            <w:pPr>
              <w:rPr>
                <w:rFonts w:cs="Calibri"/>
                <w:color w:val="auto"/>
                <w:sz w:val="16"/>
                <w:szCs w:val="16"/>
              </w:rPr>
            </w:pPr>
            <w:r w:rsidRPr="000F6DEF">
              <w:rPr>
                <w:rFonts w:cs="Calibri"/>
                <w:color w:val="auto"/>
                <w:sz w:val="16"/>
                <w:szCs w:val="16"/>
              </w:rPr>
              <w:t>Conway, Green, Kasza et al</w:t>
            </w:r>
          </w:p>
        </w:tc>
        <w:tc>
          <w:tcPr>
            <w:tcW w:w="2044" w:type="dxa"/>
          </w:tcPr>
          <w:p w14:paraId="438E5222" w14:textId="237C107D"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This study examined co</w:t>
            </w:r>
            <w:r w:rsidRPr="000F6DEF">
              <w:rPr>
                <w:rFonts w:cs="Calibri"/>
                <w:color w:val="auto"/>
                <w:sz w:val="16"/>
                <w:szCs w:val="16"/>
              </w:rPr>
              <w:noBreakHyphen/>
              <w:t>occurrence of tobacco use, substance use, and mental health problems, and its moderation by gender</w:t>
            </w:r>
            <w:r w:rsidR="00CE05B6">
              <w:rPr>
                <w:rFonts w:cs="Calibri"/>
                <w:color w:val="auto"/>
                <w:sz w:val="16"/>
                <w:szCs w:val="16"/>
              </w:rPr>
              <w:t>.</w:t>
            </w:r>
          </w:p>
        </w:tc>
        <w:tc>
          <w:tcPr>
            <w:tcW w:w="6924" w:type="dxa"/>
          </w:tcPr>
          <w:p w14:paraId="45F1C961"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 xml:space="preserve">The associations of current </w:t>
            </w:r>
            <w:r>
              <w:rPr>
                <w:rFonts w:cs="Calibri"/>
                <w:color w:val="auto"/>
                <w:sz w:val="16"/>
                <w:szCs w:val="16"/>
              </w:rPr>
              <w:t>e</w:t>
            </w:r>
            <w:r>
              <w:rPr>
                <w:rFonts w:cs="Calibri"/>
                <w:color w:val="auto"/>
                <w:sz w:val="16"/>
                <w:szCs w:val="16"/>
              </w:rPr>
              <w:noBreakHyphen/>
              <w:t>cig</w:t>
            </w:r>
            <w:r w:rsidRPr="000F6DEF">
              <w:rPr>
                <w:rFonts w:cs="Calibri"/>
                <w:color w:val="auto"/>
                <w:sz w:val="16"/>
                <w:szCs w:val="16"/>
              </w:rPr>
              <w:t>arette use and current traditional cigar use with internalizing problems were stronger among females compared to males</w:t>
            </w:r>
          </w:p>
        </w:tc>
        <w:tc>
          <w:tcPr>
            <w:tcW w:w="4623" w:type="dxa"/>
          </w:tcPr>
          <w:p w14:paraId="67C75EB6"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Female tobacco users are at increased risk for substance use and mental health problems. These findings may point to gender differences in vulnerability and suggest that interventions incorporate gender</w:t>
            </w:r>
            <w:r w:rsidRPr="000F6DEF">
              <w:rPr>
                <w:rFonts w:cs="Calibri"/>
                <w:color w:val="auto"/>
                <w:sz w:val="16"/>
                <w:szCs w:val="16"/>
              </w:rPr>
              <w:noBreakHyphen/>
              <w:t>specific approaches.</w:t>
            </w:r>
          </w:p>
        </w:tc>
      </w:tr>
      <w:tr w:rsidR="00B85C33" w:rsidRPr="000F6DEF" w14:paraId="3C1E9EE4" w14:textId="77777777" w:rsidTr="000376C7">
        <w:trPr>
          <w:trHeight w:val="94"/>
        </w:trPr>
        <w:tc>
          <w:tcPr>
            <w:cnfStyle w:val="001000000000" w:firstRow="0" w:lastRow="0" w:firstColumn="1" w:lastColumn="0" w:oddVBand="0" w:evenVBand="0" w:oddHBand="0" w:evenHBand="0" w:firstRowFirstColumn="0" w:firstRowLastColumn="0" w:lastRowFirstColumn="0" w:lastRowLastColumn="0"/>
            <w:tcW w:w="1435" w:type="dxa"/>
          </w:tcPr>
          <w:p w14:paraId="3BC6543F" w14:textId="77777777" w:rsidR="00B85C33" w:rsidRPr="000F6DEF" w:rsidRDefault="00B85C33" w:rsidP="000376C7">
            <w:pPr>
              <w:rPr>
                <w:rFonts w:cs="Calibri"/>
                <w:color w:val="auto"/>
                <w:sz w:val="16"/>
                <w:szCs w:val="16"/>
              </w:rPr>
            </w:pPr>
            <w:r w:rsidRPr="000F6DEF">
              <w:rPr>
                <w:rFonts w:cs="Calibri"/>
                <w:color w:val="auto"/>
                <w:sz w:val="16"/>
                <w:szCs w:val="16"/>
              </w:rPr>
              <w:t>Gubner, Pagano, Tajima, Guydish</w:t>
            </w:r>
          </w:p>
        </w:tc>
        <w:tc>
          <w:tcPr>
            <w:tcW w:w="2044" w:type="dxa"/>
          </w:tcPr>
          <w:p w14:paraId="429ABAA5"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This research examined electronic cigarette (</w:t>
            </w:r>
            <w:r>
              <w:rPr>
                <w:rFonts w:cs="Calibri"/>
                <w:color w:val="auto"/>
                <w:sz w:val="16"/>
                <w:szCs w:val="16"/>
              </w:rPr>
              <w:t>e</w:t>
            </w:r>
            <w:r>
              <w:rPr>
                <w:rFonts w:cs="Calibri"/>
                <w:color w:val="auto"/>
                <w:sz w:val="16"/>
                <w:szCs w:val="16"/>
              </w:rPr>
              <w:noBreakHyphen/>
              <w:t>cig</w:t>
            </w:r>
            <w:r w:rsidRPr="000F6DEF">
              <w:rPr>
                <w:rFonts w:cs="Calibri"/>
                <w:color w:val="auto"/>
                <w:sz w:val="16"/>
                <w:szCs w:val="16"/>
              </w:rPr>
              <w:t xml:space="preserve">arette) use by individuals in treatment for substance abuse, a population with a high prevalence of tobacco use and poor smoking cessation outcomes. </w:t>
            </w:r>
          </w:p>
        </w:tc>
        <w:tc>
          <w:tcPr>
            <w:tcW w:w="6924" w:type="dxa"/>
          </w:tcPr>
          <w:p w14:paraId="44F729E7" w14:textId="34904605"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 xml:space="preserve">59.8% ever use </w:t>
            </w:r>
            <w:r>
              <w:rPr>
                <w:rFonts w:cs="Calibri"/>
                <w:color w:val="auto"/>
                <w:sz w:val="16"/>
                <w:szCs w:val="16"/>
              </w:rPr>
              <w:t>e</w:t>
            </w:r>
            <w:r>
              <w:rPr>
                <w:rFonts w:cs="Calibri"/>
                <w:color w:val="auto"/>
                <w:sz w:val="16"/>
                <w:szCs w:val="16"/>
              </w:rPr>
              <w:noBreakHyphen/>
              <w:t>cig</w:t>
            </w:r>
            <w:r w:rsidR="00FB01C7">
              <w:rPr>
                <w:rFonts w:cs="Calibri"/>
                <w:color w:val="auto"/>
                <w:sz w:val="16"/>
                <w:szCs w:val="16"/>
              </w:rPr>
              <w:t>arettes</w:t>
            </w:r>
            <w:r w:rsidRPr="000F6DEF">
              <w:rPr>
                <w:rFonts w:cs="Calibri"/>
                <w:color w:val="auto"/>
                <w:sz w:val="16"/>
                <w:szCs w:val="16"/>
              </w:rPr>
              <w:t xml:space="preserve">; 23.6% past month </w:t>
            </w:r>
            <w:r>
              <w:rPr>
                <w:rFonts w:cs="Calibri"/>
                <w:color w:val="auto"/>
                <w:sz w:val="16"/>
                <w:szCs w:val="16"/>
              </w:rPr>
              <w:t>e</w:t>
            </w:r>
            <w:r>
              <w:rPr>
                <w:rFonts w:cs="Calibri"/>
                <w:color w:val="auto"/>
                <w:sz w:val="16"/>
                <w:szCs w:val="16"/>
              </w:rPr>
              <w:noBreakHyphen/>
              <w:t>cig</w:t>
            </w:r>
            <w:r w:rsidRPr="000F6DEF">
              <w:rPr>
                <w:rFonts w:cs="Calibri"/>
                <w:color w:val="auto"/>
                <w:sz w:val="16"/>
                <w:szCs w:val="16"/>
              </w:rPr>
              <w:t xml:space="preserve">arette use. Being at methadone clinic, former tobacco smoker predicted daily versus weekly </w:t>
            </w:r>
            <w:r>
              <w:rPr>
                <w:rFonts w:cs="Calibri"/>
                <w:color w:val="auto"/>
                <w:sz w:val="16"/>
                <w:szCs w:val="16"/>
              </w:rPr>
              <w:t>e</w:t>
            </w:r>
            <w:r>
              <w:rPr>
                <w:rFonts w:cs="Calibri"/>
                <w:color w:val="auto"/>
                <w:sz w:val="16"/>
                <w:szCs w:val="16"/>
              </w:rPr>
              <w:noBreakHyphen/>
              <w:t>cig</w:t>
            </w:r>
            <w:r w:rsidRPr="000F6DEF">
              <w:rPr>
                <w:rFonts w:cs="Calibri"/>
                <w:color w:val="auto"/>
                <w:sz w:val="16"/>
                <w:szCs w:val="16"/>
              </w:rPr>
              <w:t xml:space="preserve">arette use. Daily </w:t>
            </w:r>
            <w:r>
              <w:rPr>
                <w:rFonts w:cs="Calibri"/>
                <w:color w:val="auto"/>
                <w:sz w:val="16"/>
                <w:szCs w:val="16"/>
              </w:rPr>
              <w:t>e</w:t>
            </w:r>
            <w:r>
              <w:rPr>
                <w:rFonts w:cs="Calibri"/>
                <w:color w:val="auto"/>
                <w:sz w:val="16"/>
                <w:szCs w:val="16"/>
              </w:rPr>
              <w:noBreakHyphen/>
              <w:t>cig</w:t>
            </w:r>
            <w:r w:rsidRPr="000F6DEF">
              <w:rPr>
                <w:rFonts w:cs="Calibri"/>
                <w:color w:val="auto"/>
                <w:sz w:val="16"/>
                <w:szCs w:val="16"/>
              </w:rPr>
              <w:t xml:space="preserve">arette users were more likely to report using </w:t>
            </w:r>
            <w:r>
              <w:rPr>
                <w:rFonts w:cs="Calibri"/>
                <w:color w:val="auto"/>
                <w:sz w:val="16"/>
                <w:szCs w:val="16"/>
              </w:rPr>
              <w:t>e</w:t>
            </w:r>
            <w:r>
              <w:rPr>
                <w:rFonts w:cs="Calibri"/>
                <w:color w:val="auto"/>
                <w:sz w:val="16"/>
                <w:szCs w:val="16"/>
              </w:rPr>
              <w:noBreakHyphen/>
              <w:t>cig</w:t>
            </w:r>
            <w:r w:rsidRPr="000F6DEF">
              <w:rPr>
                <w:rFonts w:cs="Calibri"/>
                <w:color w:val="auto"/>
                <w:sz w:val="16"/>
                <w:szCs w:val="16"/>
              </w:rPr>
              <w:t xml:space="preserve">arettes as a way to reduce health risk, and because they cost less than tobacco cigarettes, while weekly </w:t>
            </w:r>
            <w:r>
              <w:rPr>
                <w:rFonts w:cs="Calibri"/>
                <w:color w:val="auto"/>
                <w:sz w:val="16"/>
                <w:szCs w:val="16"/>
              </w:rPr>
              <w:t>e</w:t>
            </w:r>
            <w:r>
              <w:rPr>
                <w:rFonts w:cs="Calibri"/>
                <w:color w:val="auto"/>
                <w:sz w:val="16"/>
                <w:szCs w:val="16"/>
              </w:rPr>
              <w:noBreakHyphen/>
              <w:t>cig</w:t>
            </w:r>
            <w:r w:rsidRPr="000F6DEF">
              <w:rPr>
                <w:rFonts w:cs="Calibri"/>
                <w:color w:val="auto"/>
                <w:sz w:val="16"/>
                <w:szCs w:val="16"/>
              </w:rPr>
              <w:t xml:space="preserve">arette users were more likely to use </w:t>
            </w:r>
            <w:r>
              <w:rPr>
                <w:rFonts w:cs="Calibri"/>
                <w:color w:val="auto"/>
                <w:sz w:val="16"/>
                <w:szCs w:val="16"/>
              </w:rPr>
              <w:t>e</w:t>
            </w:r>
            <w:r>
              <w:rPr>
                <w:rFonts w:cs="Calibri"/>
                <w:color w:val="auto"/>
                <w:sz w:val="16"/>
                <w:szCs w:val="16"/>
              </w:rPr>
              <w:noBreakHyphen/>
              <w:t>cig</w:t>
            </w:r>
            <w:r w:rsidRPr="000F6DEF">
              <w:rPr>
                <w:rFonts w:cs="Calibri"/>
                <w:color w:val="auto"/>
                <w:sz w:val="16"/>
                <w:szCs w:val="16"/>
              </w:rPr>
              <w:t xml:space="preserve">arettes at times and places where they could not smoke tobacco cigarettes. Daily </w:t>
            </w:r>
            <w:r>
              <w:rPr>
                <w:rFonts w:cs="Calibri"/>
                <w:color w:val="auto"/>
                <w:sz w:val="16"/>
                <w:szCs w:val="16"/>
              </w:rPr>
              <w:t>e</w:t>
            </w:r>
            <w:r>
              <w:rPr>
                <w:rFonts w:cs="Calibri"/>
                <w:color w:val="auto"/>
                <w:sz w:val="16"/>
                <w:szCs w:val="16"/>
              </w:rPr>
              <w:noBreakHyphen/>
              <w:t>cig</w:t>
            </w:r>
            <w:r w:rsidRPr="000F6DEF">
              <w:rPr>
                <w:rFonts w:cs="Calibri"/>
                <w:color w:val="auto"/>
                <w:sz w:val="16"/>
                <w:szCs w:val="16"/>
              </w:rPr>
              <w:t xml:space="preserve">arette users were more likely to report using their </w:t>
            </w:r>
            <w:r>
              <w:rPr>
                <w:rFonts w:cs="Calibri"/>
                <w:color w:val="auto"/>
                <w:sz w:val="16"/>
                <w:szCs w:val="16"/>
              </w:rPr>
              <w:t>e</w:t>
            </w:r>
            <w:r>
              <w:rPr>
                <w:rFonts w:cs="Calibri"/>
                <w:color w:val="auto"/>
                <w:sz w:val="16"/>
                <w:szCs w:val="16"/>
              </w:rPr>
              <w:noBreakHyphen/>
              <w:t>cig</w:t>
            </w:r>
            <w:r w:rsidRPr="000F6DEF">
              <w:rPr>
                <w:rFonts w:cs="Calibri"/>
                <w:color w:val="auto"/>
                <w:sz w:val="16"/>
                <w:szCs w:val="16"/>
              </w:rPr>
              <w:t xml:space="preserve">arette continuously throughout the day, while weekly </w:t>
            </w:r>
            <w:r>
              <w:rPr>
                <w:rFonts w:cs="Calibri"/>
                <w:color w:val="auto"/>
                <w:sz w:val="16"/>
                <w:szCs w:val="16"/>
              </w:rPr>
              <w:t>e</w:t>
            </w:r>
            <w:r>
              <w:rPr>
                <w:rFonts w:cs="Calibri"/>
                <w:color w:val="auto"/>
                <w:sz w:val="16"/>
                <w:szCs w:val="16"/>
              </w:rPr>
              <w:noBreakHyphen/>
              <w:t>cig</w:t>
            </w:r>
            <w:r w:rsidRPr="000F6DEF">
              <w:rPr>
                <w:rFonts w:cs="Calibri"/>
                <w:color w:val="auto"/>
                <w:sz w:val="16"/>
                <w:szCs w:val="16"/>
              </w:rPr>
              <w:t xml:space="preserve">arette users were more likely to use </w:t>
            </w:r>
            <w:r>
              <w:rPr>
                <w:rFonts w:cs="Calibri"/>
                <w:color w:val="auto"/>
                <w:sz w:val="16"/>
                <w:szCs w:val="16"/>
              </w:rPr>
              <w:t>e</w:t>
            </w:r>
            <w:r>
              <w:rPr>
                <w:rFonts w:cs="Calibri"/>
                <w:color w:val="auto"/>
                <w:sz w:val="16"/>
                <w:szCs w:val="16"/>
              </w:rPr>
              <w:noBreakHyphen/>
              <w:t>cig</w:t>
            </w:r>
            <w:r w:rsidRPr="000F6DEF">
              <w:rPr>
                <w:rFonts w:cs="Calibri"/>
                <w:color w:val="auto"/>
                <w:sz w:val="16"/>
                <w:szCs w:val="16"/>
              </w:rPr>
              <w:t>arettes at times or places where they could not smoke tobacco cigarettes. Interestingly, especially among weekly users, more individuals did not know the concentration of nicotine used, than what flavour they used.</w:t>
            </w:r>
          </w:p>
        </w:tc>
        <w:tc>
          <w:tcPr>
            <w:tcW w:w="4623" w:type="dxa"/>
          </w:tcPr>
          <w:p w14:paraId="590F5437"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 xml:space="preserve">Daily </w:t>
            </w:r>
            <w:r>
              <w:rPr>
                <w:rFonts w:cs="Calibri"/>
                <w:color w:val="auto"/>
                <w:sz w:val="16"/>
                <w:szCs w:val="16"/>
              </w:rPr>
              <w:t>e</w:t>
            </w:r>
            <w:r>
              <w:rPr>
                <w:rFonts w:cs="Calibri"/>
                <w:color w:val="auto"/>
                <w:sz w:val="16"/>
                <w:szCs w:val="16"/>
              </w:rPr>
              <w:noBreakHyphen/>
              <w:t>cig</w:t>
            </w:r>
            <w:r w:rsidRPr="000F6DEF">
              <w:rPr>
                <w:rFonts w:cs="Calibri"/>
                <w:color w:val="auto"/>
                <w:sz w:val="16"/>
                <w:szCs w:val="16"/>
              </w:rPr>
              <w:t xml:space="preserve">arette users in substance abuse treatment were more likely to be from methadone clinics and former cigarette smokers. However, the majority of daily </w:t>
            </w:r>
            <w:r>
              <w:rPr>
                <w:rFonts w:cs="Calibri"/>
                <w:color w:val="auto"/>
                <w:sz w:val="16"/>
                <w:szCs w:val="16"/>
              </w:rPr>
              <w:t>e</w:t>
            </w:r>
            <w:r>
              <w:rPr>
                <w:rFonts w:cs="Calibri"/>
                <w:color w:val="auto"/>
                <w:sz w:val="16"/>
                <w:szCs w:val="16"/>
              </w:rPr>
              <w:noBreakHyphen/>
              <w:t>cig</w:t>
            </w:r>
            <w:r w:rsidRPr="000F6DEF">
              <w:rPr>
                <w:rFonts w:cs="Calibri"/>
                <w:color w:val="auto"/>
                <w:sz w:val="16"/>
                <w:szCs w:val="16"/>
              </w:rPr>
              <w:t xml:space="preserve">arette users were current cigarette smokers (73.6%). While a majority of </w:t>
            </w:r>
            <w:r>
              <w:rPr>
                <w:rFonts w:cs="Calibri"/>
                <w:color w:val="auto"/>
                <w:sz w:val="16"/>
                <w:szCs w:val="16"/>
              </w:rPr>
              <w:t>e</w:t>
            </w:r>
            <w:r>
              <w:rPr>
                <w:rFonts w:cs="Calibri"/>
                <w:color w:val="auto"/>
                <w:sz w:val="16"/>
                <w:szCs w:val="16"/>
              </w:rPr>
              <w:noBreakHyphen/>
              <w:t>cig</w:t>
            </w:r>
            <w:r w:rsidRPr="000F6DEF">
              <w:rPr>
                <w:rFonts w:cs="Calibri"/>
                <w:color w:val="auto"/>
                <w:sz w:val="16"/>
                <w:szCs w:val="16"/>
              </w:rPr>
              <w:t xml:space="preserve">arette users in substance abuse treatment were current cigarette smokers, daily </w:t>
            </w:r>
            <w:r>
              <w:rPr>
                <w:rFonts w:cs="Calibri"/>
                <w:color w:val="auto"/>
                <w:sz w:val="16"/>
                <w:szCs w:val="16"/>
              </w:rPr>
              <w:t>e</w:t>
            </w:r>
            <w:r>
              <w:rPr>
                <w:rFonts w:cs="Calibri"/>
                <w:color w:val="auto"/>
                <w:sz w:val="16"/>
                <w:szCs w:val="16"/>
              </w:rPr>
              <w:noBreakHyphen/>
              <w:t>cig</w:t>
            </w:r>
            <w:r w:rsidRPr="000F6DEF">
              <w:rPr>
                <w:rFonts w:cs="Calibri"/>
                <w:color w:val="auto"/>
                <w:sz w:val="16"/>
                <w:szCs w:val="16"/>
              </w:rPr>
              <w:t xml:space="preserve">arette users were more likely to be former cigarette smokers. Administrators of substance abuse treatment programs should evaluate potential benefits and harms of </w:t>
            </w:r>
            <w:r>
              <w:rPr>
                <w:rFonts w:cs="Calibri"/>
                <w:color w:val="auto"/>
                <w:sz w:val="16"/>
                <w:szCs w:val="16"/>
              </w:rPr>
              <w:t>e</w:t>
            </w:r>
            <w:r>
              <w:rPr>
                <w:rFonts w:cs="Calibri"/>
                <w:color w:val="auto"/>
                <w:sz w:val="16"/>
                <w:szCs w:val="16"/>
              </w:rPr>
              <w:noBreakHyphen/>
              <w:t>cig</w:t>
            </w:r>
            <w:r w:rsidRPr="000F6DEF">
              <w:rPr>
                <w:rFonts w:cs="Calibri"/>
                <w:color w:val="auto"/>
                <w:sz w:val="16"/>
                <w:szCs w:val="16"/>
              </w:rPr>
              <w:t>arettes when developing program policies.</w:t>
            </w:r>
          </w:p>
        </w:tc>
      </w:tr>
      <w:tr w:rsidR="00B85C33" w:rsidRPr="000F6DEF" w14:paraId="2FC9F95E" w14:textId="77777777" w:rsidTr="000376C7">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1435" w:type="dxa"/>
          </w:tcPr>
          <w:p w14:paraId="7DC273A8" w14:textId="77777777" w:rsidR="00B85C33" w:rsidRPr="000F6DEF" w:rsidRDefault="00B85C33" w:rsidP="000376C7">
            <w:pPr>
              <w:rPr>
                <w:rFonts w:cs="Calibri"/>
                <w:color w:val="auto"/>
                <w:sz w:val="16"/>
                <w:szCs w:val="16"/>
              </w:rPr>
            </w:pPr>
            <w:r w:rsidRPr="000F6DEF">
              <w:rPr>
                <w:rFonts w:cs="Calibri"/>
                <w:color w:val="auto"/>
                <w:sz w:val="16"/>
                <w:szCs w:val="16"/>
              </w:rPr>
              <w:t>Henry, Gettens, Savageau et al</w:t>
            </w:r>
          </w:p>
        </w:tc>
        <w:tc>
          <w:tcPr>
            <w:tcW w:w="2044" w:type="dxa"/>
          </w:tcPr>
          <w:p w14:paraId="27DBE447"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 xml:space="preserve">We used surveys conducted in 2008 and 2014 to examine changes in smoking abstinence rates among MassHealth members identified as smokers and to identify factors associated with being a former smoker. </w:t>
            </w:r>
          </w:p>
        </w:tc>
        <w:tc>
          <w:tcPr>
            <w:tcW w:w="6924" w:type="dxa"/>
          </w:tcPr>
          <w:p w14:paraId="39D12F2A"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 xml:space="preserve">The use of </w:t>
            </w:r>
            <w:r>
              <w:rPr>
                <w:rFonts w:cs="Calibri"/>
                <w:color w:val="auto"/>
                <w:sz w:val="16"/>
                <w:szCs w:val="16"/>
              </w:rPr>
              <w:t>e</w:t>
            </w:r>
            <w:r>
              <w:rPr>
                <w:rFonts w:cs="Calibri"/>
                <w:color w:val="auto"/>
                <w:sz w:val="16"/>
                <w:szCs w:val="16"/>
              </w:rPr>
              <w:noBreakHyphen/>
              <w:t>cig</w:t>
            </w:r>
            <w:r w:rsidRPr="000F6DEF">
              <w:rPr>
                <w:rFonts w:cs="Calibri"/>
                <w:color w:val="auto"/>
                <w:sz w:val="16"/>
                <w:szCs w:val="16"/>
              </w:rPr>
              <w:t>arettes within the last 30 days was significantly associated with a decreased odds of being a former smoker (OR=0.1, 95% CI=0.02–0.2).</w:t>
            </w:r>
            <w:r w:rsidRPr="000F6DEF">
              <w:rPr>
                <w:rFonts w:cs="Calibri"/>
                <w:color w:val="auto"/>
                <w:sz w:val="16"/>
                <w:szCs w:val="16"/>
              </w:rPr>
              <w:br/>
              <w:t>Of the factors identified by MassHealth members as ‘helping the most’ in quitting or quit attempts, three factors differed between smokers and former smokers: health concerns; influence of family members; and use of electronic cigarettes</w:t>
            </w:r>
            <w:r w:rsidRPr="000F6DEF">
              <w:rPr>
                <w:rFonts w:cs="Calibri"/>
                <w:color w:val="auto"/>
                <w:sz w:val="16"/>
                <w:szCs w:val="16"/>
              </w:rPr>
              <w:br/>
              <w:t>Almost one</w:t>
            </w:r>
            <w:r w:rsidRPr="000F6DEF">
              <w:rPr>
                <w:rFonts w:cs="Calibri"/>
                <w:color w:val="auto"/>
                <w:sz w:val="16"/>
                <w:szCs w:val="16"/>
              </w:rPr>
              <w:noBreakHyphen/>
              <w:t xml:space="preserve">quarter of smokers had used </w:t>
            </w:r>
            <w:r>
              <w:rPr>
                <w:rFonts w:cs="Calibri"/>
                <w:color w:val="auto"/>
                <w:sz w:val="16"/>
                <w:szCs w:val="16"/>
              </w:rPr>
              <w:t>e</w:t>
            </w:r>
            <w:r>
              <w:rPr>
                <w:rFonts w:cs="Calibri"/>
                <w:color w:val="auto"/>
                <w:sz w:val="16"/>
                <w:szCs w:val="16"/>
              </w:rPr>
              <w:noBreakHyphen/>
              <w:t>cig</w:t>
            </w:r>
            <w:r w:rsidRPr="000F6DEF">
              <w:rPr>
                <w:rFonts w:cs="Calibri"/>
                <w:color w:val="auto"/>
                <w:sz w:val="16"/>
                <w:szCs w:val="16"/>
              </w:rPr>
              <w:t>arettes within the past 30 days suggests that use of these devices may be a growing trend among Medicaid enrolees.</w:t>
            </w:r>
          </w:p>
        </w:tc>
        <w:tc>
          <w:tcPr>
            <w:tcW w:w="4623" w:type="dxa"/>
          </w:tcPr>
          <w:p w14:paraId="290B4104" w14:textId="084F7ED1"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 xml:space="preserve"> Compared to smokers, former smokers more frequently reported health concerns, the influence of family members, and the use of </w:t>
            </w:r>
            <w:r>
              <w:rPr>
                <w:rFonts w:cs="Calibri"/>
                <w:color w:val="auto"/>
                <w:sz w:val="16"/>
                <w:szCs w:val="16"/>
              </w:rPr>
              <w:t>e</w:t>
            </w:r>
            <w:r>
              <w:rPr>
                <w:rFonts w:cs="Calibri"/>
                <w:color w:val="auto"/>
                <w:sz w:val="16"/>
                <w:szCs w:val="16"/>
              </w:rPr>
              <w:noBreakHyphen/>
              <w:t>cig</w:t>
            </w:r>
            <w:r w:rsidRPr="000F6DEF">
              <w:rPr>
                <w:rFonts w:cs="Calibri"/>
                <w:color w:val="auto"/>
                <w:sz w:val="16"/>
                <w:szCs w:val="16"/>
              </w:rPr>
              <w:t>arettes as helping the most in quitting.</w:t>
            </w:r>
            <w:r w:rsidR="008146F9">
              <w:rPr>
                <w:rFonts w:cs="Calibri"/>
                <w:color w:val="auto"/>
                <w:sz w:val="16"/>
                <w:szCs w:val="16"/>
              </w:rPr>
              <w:t xml:space="preserve"> </w:t>
            </w:r>
            <w:r w:rsidRPr="000F6DEF">
              <w:rPr>
                <w:rFonts w:cs="Calibri"/>
                <w:color w:val="auto"/>
                <w:sz w:val="16"/>
                <w:szCs w:val="16"/>
              </w:rPr>
              <w:t>Additionally, smokers' concerns about health and the influence of family and friends provide opportunities for targeted intervention and messaging about quitting.</w:t>
            </w:r>
          </w:p>
        </w:tc>
      </w:tr>
      <w:tr w:rsidR="00B85C33" w:rsidRPr="000F6DEF" w14:paraId="01688EF6" w14:textId="77777777" w:rsidTr="000376C7">
        <w:trPr>
          <w:trHeight w:val="94"/>
        </w:trPr>
        <w:tc>
          <w:tcPr>
            <w:cnfStyle w:val="001000000000" w:firstRow="0" w:lastRow="0" w:firstColumn="1" w:lastColumn="0" w:oddVBand="0" w:evenVBand="0" w:oddHBand="0" w:evenHBand="0" w:firstRowFirstColumn="0" w:firstRowLastColumn="0" w:lastRowFirstColumn="0" w:lastRowLastColumn="0"/>
            <w:tcW w:w="1435" w:type="dxa"/>
          </w:tcPr>
          <w:p w14:paraId="7270467D" w14:textId="77777777" w:rsidR="00B85C33" w:rsidRPr="000F6DEF" w:rsidRDefault="00B85C33" w:rsidP="000376C7">
            <w:pPr>
              <w:rPr>
                <w:rFonts w:cs="Calibri"/>
                <w:color w:val="auto"/>
                <w:sz w:val="16"/>
                <w:szCs w:val="16"/>
              </w:rPr>
            </w:pPr>
            <w:r w:rsidRPr="000F6DEF">
              <w:rPr>
                <w:rFonts w:cs="Calibri"/>
                <w:color w:val="auto"/>
                <w:sz w:val="16"/>
                <w:szCs w:val="16"/>
              </w:rPr>
              <w:t>Jones, Majeed, Weaver et al.</w:t>
            </w:r>
          </w:p>
        </w:tc>
        <w:tc>
          <w:tcPr>
            <w:tcW w:w="2044" w:type="dxa"/>
          </w:tcPr>
          <w:p w14:paraId="584D2437" w14:textId="42C3B74B"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We aimed to determine whether the prevalence of current use of smokeless tobacco products (STPs) changed during 2014</w:t>
            </w:r>
            <w:r w:rsidRPr="000F6DEF">
              <w:rPr>
                <w:rFonts w:cs="Calibri"/>
                <w:color w:val="auto"/>
                <w:sz w:val="16"/>
                <w:szCs w:val="16"/>
              </w:rPr>
              <w:noBreakHyphen/>
              <w:t xml:space="preserve">2016 </w:t>
            </w:r>
            <w:r w:rsidRPr="000F6DEF">
              <w:rPr>
                <w:rFonts w:cs="Calibri"/>
                <w:color w:val="auto"/>
                <w:sz w:val="16"/>
                <w:szCs w:val="16"/>
              </w:rPr>
              <w:lastRenderedPageBreak/>
              <w:t>and examine factors associated with use among adults in the United States</w:t>
            </w:r>
            <w:r w:rsidR="00CE05B6">
              <w:rPr>
                <w:rFonts w:cs="Calibri"/>
                <w:color w:val="auto"/>
                <w:sz w:val="16"/>
                <w:szCs w:val="16"/>
              </w:rPr>
              <w:t>.</w:t>
            </w:r>
          </w:p>
        </w:tc>
        <w:tc>
          <w:tcPr>
            <w:tcW w:w="6924" w:type="dxa"/>
          </w:tcPr>
          <w:p w14:paraId="22734718"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lastRenderedPageBreak/>
              <w:t>The prevalence of current STP (smokeless tobacco products) use was 2.3% in 2014, 3.6% in 2015, and 2.7% in 2016</w:t>
            </w:r>
            <w:r w:rsidRPr="000F6DEF">
              <w:rPr>
                <w:rFonts w:cs="Calibri"/>
                <w:color w:val="auto"/>
                <w:sz w:val="16"/>
                <w:szCs w:val="16"/>
              </w:rPr>
              <w:br/>
              <w:t xml:space="preserve">Males, adults aged less than 60 years old, those with less than a college degree, those who resided in the Midwest or West, and current cigarette smokers had higher odds of being a current STP user. </w:t>
            </w:r>
            <w:r w:rsidRPr="000F6DEF">
              <w:rPr>
                <w:rFonts w:cs="Calibri"/>
                <w:color w:val="auto"/>
                <w:sz w:val="16"/>
                <w:szCs w:val="16"/>
              </w:rPr>
              <w:br/>
              <w:t xml:space="preserve">Being a current hookah smoker (AOR: 3.70; 95% CI: 1.51, 9.12) and current ENDS user (AOR: 2.71; 95% </w:t>
            </w:r>
            <w:r w:rsidRPr="000F6DEF">
              <w:rPr>
                <w:rFonts w:cs="Calibri"/>
                <w:color w:val="auto"/>
                <w:sz w:val="16"/>
                <w:szCs w:val="16"/>
              </w:rPr>
              <w:lastRenderedPageBreak/>
              <w:t>CI: 1.40, 5.24) was associated with statistically higher odds of being</w:t>
            </w:r>
            <w:r w:rsidRPr="000F6DEF">
              <w:rPr>
                <w:rFonts w:cs="Calibri"/>
                <w:color w:val="auto"/>
                <w:sz w:val="16"/>
                <w:szCs w:val="16"/>
              </w:rPr>
              <w:br/>
              <w:t>a current STP user, compared to a non</w:t>
            </w:r>
            <w:r w:rsidRPr="000F6DEF">
              <w:rPr>
                <w:rFonts w:cs="Calibri"/>
                <w:color w:val="auto"/>
                <w:sz w:val="16"/>
                <w:szCs w:val="16"/>
              </w:rPr>
              <w:noBreakHyphen/>
              <w:t xml:space="preserve">current user </w:t>
            </w:r>
          </w:p>
        </w:tc>
        <w:tc>
          <w:tcPr>
            <w:tcW w:w="4623" w:type="dxa"/>
          </w:tcPr>
          <w:p w14:paraId="3B7B39E3"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lastRenderedPageBreak/>
              <w:t>The prevalence of current STP use peaked in 2015. In 2016, current STP use was more prevalent among males and adults with lower education. Continuous monitoring of STP use is needed, particularly non</w:t>
            </w:r>
            <w:r w:rsidRPr="000F6DEF">
              <w:rPr>
                <w:rFonts w:cs="Calibri"/>
                <w:color w:val="auto"/>
                <w:sz w:val="16"/>
                <w:szCs w:val="16"/>
              </w:rPr>
              <w:noBreakHyphen/>
              <w:t>cigarette tobacco product users.</w:t>
            </w:r>
          </w:p>
        </w:tc>
      </w:tr>
      <w:tr w:rsidR="00B85C33" w:rsidRPr="000F6DEF" w14:paraId="1C6AF1E6" w14:textId="77777777" w:rsidTr="000376C7">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1435" w:type="dxa"/>
          </w:tcPr>
          <w:p w14:paraId="23413083" w14:textId="77777777" w:rsidR="00B85C33" w:rsidRPr="000F6DEF" w:rsidRDefault="00B85C33" w:rsidP="000376C7">
            <w:pPr>
              <w:rPr>
                <w:rFonts w:cs="Calibri"/>
                <w:color w:val="auto"/>
                <w:sz w:val="16"/>
                <w:szCs w:val="16"/>
              </w:rPr>
            </w:pPr>
            <w:r w:rsidRPr="000F6DEF">
              <w:rPr>
                <w:rFonts w:cs="Calibri"/>
                <w:color w:val="auto"/>
                <w:sz w:val="16"/>
                <w:szCs w:val="16"/>
              </w:rPr>
              <w:t>Levy, Yuan, Li</w:t>
            </w:r>
          </w:p>
        </w:tc>
        <w:tc>
          <w:tcPr>
            <w:tcW w:w="2044" w:type="dxa"/>
          </w:tcPr>
          <w:p w14:paraId="16EECD76"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 xml:space="preserve">While most studies consider a subset of these characteristics with weak measures of regular </w:t>
            </w:r>
            <w:r>
              <w:rPr>
                <w:rFonts w:cs="Calibri"/>
                <w:color w:val="auto"/>
                <w:sz w:val="16"/>
                <w:szCs w:val="16"/>
              </w:rPr>
              <w:t>e</w:t>
            </w:r>
            <w:r>
              <w:rPr>
                <w:rFonts w:cs="Calibri"/>
                <w:color w:val="auto"/>
                <w:sz w:val="16"/>
                <w:szCs w:val="16"/>
              </w:rPr>
              <w:noBreakHyphen/>
              <w:t>cig</w:t>
            </w:r>
            <w:r w:rsidRPr="000F6DEF">
              <w:rPr>
                <w:rFonts w:cs="Calibri"/>
                <w:color w:val="auto"/>
                <w:sz w:val="16"/>
                <w:szCs w:val="16"/>
              </w:rPr>
              <w:t>arette use, this study uses a large, recent U.S. survey to simultaneously consider the association of each of these factors with different use measures.</w:t>
            </w:r>
          </w:p>
        </w:tc>
        <w:tc>
          <w:tcPr>
            <w:tcW w:w="6924" w:type="dxa"/>
          </w:tcPr>
          <w:p w14:paraId="624CEBDD"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 xml:space="preserve">The prevalence of ever, current (at least 1 of the last 30 days), and regular (at least 20 of the last 30 days) </w:t>
            </w:r>
            <w:r>
              <w:rPr>
                <w:rFonts w:cs="Calibri"/>
                <w:color w:val="auto"/>
                <w:sz w:val="16"/>
                <w:szCs w:val="16"/>
              </w:rPr>
              <w:t>e</w:t>
            </w:r>
            <w:r>
              <w:rPr>
                <w:rFonts w:cs="Calibri"/>
                <w:color w:val="auto"/>
                <w:sz w:val="16"/>
                <w:szCs w:val="16"/>
              </w:rPr>
              <w:noBreakHyphen/>
              <w:t>cig</w:t>
            </w:r>
            <w:r w:rsidRPr="000F6DEF">
              <w:rPr>
                <w:rFonts w:cs="Calibri"/>
                <w:color w:val="auto"/>
                <w:sz w:val="16"/>
                <w:szCs w:val="16"/>
              </w:rPr>
              <w:t>arette use were 7.7%, 2.1% and 0.9%, implying that 27.0% of ever users were current users of which 45.3% were regular users.</w:t>
            </w:r>
            <w:r w:rsidRPr="000F6DEF">
              <w:rPr>
                <w:rFonts w:cs="Calibri"/>
                <w:color w:val="auto"/>
                <w:sz w:val="16"/>
                <w:szCs w:val="16"/>
              </w:rPr>
              <w:br/>
              <w:t xml:space="preserve">The odds of regular </w:t>
            </w:r>
            <w:r>
              <w:rPr>
                <w:rFonts w:cs="Calibri"/>
                <w:color w:val="auto"/>
                <w:sz w:val="16"/>
                <w:szCs w:val="16"/>
              </w:rPr>
              <w:t>e</w:t>
            </w:r>
            <w:r>
              <w:rPr>
                <w:rFonts w:cs="Calibri"/>
                <w:color w:val="auto"/>
                <w:sz w:val="16"/>
                <w:szCs w:val="16"/>
              </w:rPr>
              <w:noBreakHyphen/>
              <w:t>cig</w:t>
            </w:r>
            <w:r w:rsidRPr="000F6DEF">
              <w:rPr>
                <w:rFonts w:cs="Calibri"/>
                <w:color w:val="auto"/>
                <w:sz w:val="16"/>
                <w:szCs w:val="16"/>
              </w:rPr>
              <w:t>arette use was higher among males than females at age 18–34, among those with a high school and associate degree, and for those living in metropolitan areas, and was lower among age 45–64 and 65+, among Blacks and Asians compared to Whites, and among Hispanic compared to non</w:t>
            </w:r>
            <w:r w:rsidRPr="000F6DEF">
              <w:rPr>
                <w:rFonts w:cs="Calibri"/>
                <w:color w:val="auto"/>
                <w:sz w:val="16"/>
                <w:szCs w:val="16"/>
              </w:rPr>
              <w:noBreakHyphen/>
              <w:t>Hispanic.</w:t>
            </w:r>
            <w:r w:rsidRPr="000F6DEF">
              <w:rPr>
                <w:rFonts w:cs="Calibri"/>
                <w:color w:val="auto"/>
                <w:sz w:val="16"/>
                <w:szCs w:val="16"/>
              </w:rPr>
              <w:br/>
              <w:t xml:space="preserve">Among the policy variables, the only consistent finding that emerged was lower </w:t>
            </w:r>
            <w:r>
              <w:rPr>
                <w:rFonts w:cs="Calibri"/>
                <w:color w:val="auto"/>
                <w:sz w:val="16"/>
                <w:szCs w:val="16"/>
              </w:rPr>
              <w:t>e</w:t>
            </w:r>
            <w:r>
              <w:rPr>
                <w:rFonts w:cs="Calibri"/>
                <w:color w:val="auto"/>
                <w:sz w:val="16"/>
                <w:szCs w:val="16"/>
              </w:rPr>
              <w:noBreakHyphen/>
              <w:t>cig</w:t>
            </w:r>
            <w:r w:rsidRPr="000F6DEF">
              <w:rPr>
                <w:rFonts w:cs="Calibri"/>
                <w:color w:val="auto"/>
                <w:sz w:val="16"/>
                <w:szCs w:val="16"/>
              </w:rPr>
              <w:t>arette use in states at the highest quarter of tobacco control spending.</w:t>
            </w:r>
            <w:r w:rsidRPr="000F6DEF">
              <w:rPr>
                <w:rFonts w:cs="Calibri"/>
                <w:color w:val="auto"/>
                <w:sz w:val="16"/>
                <w:szCs w:val="16"/>
              </w:rPr>
              <w:br/>
              <w:t>The odds of regular use were about 140 times greater for former smokers who quit in the last year than never smokers.</w:t>
            </w:r>
            <w:r w:rsidRPr="000F6DEF">
              <w:rPr>
                <w:rFonts w:cs="Calibri"/>
                <w:color w:val="auto"/>
                <w:sz w:val="16"/>
                <w:szCs w:val="16"/>
              </w:rPr>
              <w:br/>
              <w:t xml:space="preserve">We found that </w:t>
            </w:r>
            <w:r>
              <w:rPr>
                <w:rFonts w:cs="Calibri"/>
                <w:color w:val="auto"/>
                <w:sz w:val="16"/>
                <w:szCs w:val="16"/>
              </w:rPr>
              <w:t>e</w:t>
            </w:r>
            <w:r>
              <w:rPr>
                <w:rFonts w:cs="Calibri"/>
                <w:color w:val="auto"/>
                <w:sz w:val="16"/>
                <w:szCs w:val="16"/>
              </w:rPr>
              <w:noBreakHyphen/>
              <w:t>cig</w:t>
            </w:r>
            <w:r w:rsidRPr="000F6DEF">
              <w:rPr>
                <w:rFonts w:cs="Calibri"/>
                <w:color w:val="auto"/>
                <w:sz w:val="16"/>
                <w:szCs w:val="16"/>
              </w:rPr>
              <w:t xml:space="preserve">arette ever use increased with the number of cigarettes smoked per day for those who were smokers one year ago. However, that relationship reverses, i.e., current smokers who smoke more CPD are less likely to be regular users, suggesting that </w:t>
            </w:r>
            <w:r>
              <w:rPr>
                <w:rFonts w:cs="Calibri"/>
                <w:color w:val="auto"/>
                <w:sz w:val="16"/>
                <w:szCs w:val="16"/>
              </w:rPr>
              <w:t>e</w:t>
            </w:r>
            <w:r>
              <w:rPr>
                <w:rFonts w:cs="Calibri"/>
                <w:color w:val="auto"/>
                <w:sz w:val="16"/>
                <w:szCs w:val="16"/>
              </w:rPr>
              <w:noBreakHyphen/>
              <w:t>cig</w:t>
            </w:r>
            <w:r w:rsidRPr="000F6DEF">
              <w:rPr>
                <w:rFonts w:cs="Calibri"/>
                <w:color w:val="auto"/>
                <w:sz w:val="16"/>
                <w:szCs w:val="16"/>
              </w:rPr>
              <w:t>arettes are particularly effective in enabling heavy smokers to quit</w:t>
            </w:r>
          </w:p>
        </w:tc>
        <w:tc>
          <w:tcPr>
            <w:tcW w:w="4623" w:type="dxa"/>
          </w:tcPr>
          <w:p w14:paraId="3C016420"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 xml:space="preserve">Our results indicate that it is essential to distinguish infrequent, experimental use from more established, regular use in analysing the role of </w:t>
            </w:r>
            <w:r>
              <w:rPr>
                <w:rFonts w:cs="Calibri"/>
                <w:color w:val="auto"/>
                <w:sz w:val="16"/>
                <w:szCs w:val="16"/>
              </w:rPr>
              <w:t>e</w:t>
            </w:r>
            <w:r>
              <w:rPr>
                <w:rFonts w:cs="Calibri"/>
                <w:color w:val="auto"/>
                <w:sz w:val="16"/>
                <w:szCs w:val="16"/>
              </w:rPr>
              <w:noBreakHyphen/>
              <w:t>cig</w:t>
            </w:r>
            <w:r w:rsidRPr="000F6DEF">
              <w:rPr>
                <w:rFonts w:cs="Calibri"/>
                <w:color w:val="auto"/>
                <w:sz w:val="16"/>
                <w:szCs w:val="16"/>
              </w:rPr>
              <w:t>arette use in the uptake and cessation of cigarette and other tobacco product use</w:t>
            </w:r>
          </w:p>
        </w:tc>
      </w:tr>
      <w:tr w:rsidR="00B85C33" w:rsidRPr="000F6DEF" w14:paraId="7121E69F" w14:textId="77777777" w:rsidTr="000376C7">
        <w:trPr>
          <w:trHeight w:val="94"/>
        </w:trPr>
        <w:tc>
          <w:tcPr>
            <w:cnfStyle w:val="001000000000" w:firstRow="0" w:lastRow="0" w:firstColumn="1" w:lastColumn="0" w:oddVBand="0" w:evenVBand="0" w:oddHBand="0" w:evenHBand="0" w:firstRowFirstColumn="0" w:firstRowLastColumn="0" w:lastRowFirstColumn="0" w:lastRowLastColumn="0"/>
            <w:tcW w:w="1435" w:type="dxa"/>
          </w:tcPr>
          <w:p w14:paraId="4DCEC8F7" w14:textId="77777777" w:rsidR="00B85C33" w:rsidRPr="000F6DEF" w:rsidRDefault="00B85C33" w:rsidP="000376C7">
            <w:pPr>
              <w:rPr>
                <w:rFonts w:cs="Calibri"/>
                <w:color w:val="auto"/>
                <w:sz w:val="16"/>
                <w:szCs w:val="16"/>
              </w:rPr>
            </w:pPr>
            <w:r w:rsidRPr="000F6DEF">
              <w:rPr>
                <w:rFonts w:cs="Calibri"/>
                <w:color w:val="auto"/>
                <w:sz w:val="16"/>
                <w:szCs w:val="16"/>
              </w:rPr>
              <w:t>Park SH, Lee L et al 2017</w:t>
            </w:r>
          </w:p>
        </w:tc>
        <w:tc>
          <w:tcPr>
            <w:tcW w:w="2044" w:type="dxa"/>
          </w:tcPr>
          <w:p w14:paraId="11007F5B" w14:textId="4496B9BB"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 xml:space="preserve">Investigated the possible association between individuals' levels of psychological distress and </w:t>
            </w:r>
            <w:r>
              <w:rPr>
                <w:rFonts w:cs="Calibri"/>
                <w:color w:val="auto"/>
                <w:sz w:val="16"/>
                <w:szCs w:val="16"/>
              </w:rPr>
              <w:t>e</w:t>
            </w:r>
            <w:r>
              <w:rPr>
                <w:rFonts w:cs="Calibri"/>
                <w:color w:val="auto"/>
                <w:sz w:val="16"/>
                <w:szCs w:val="16"/>
              </w:rPr>
              <w:noBreakHyphen/>
              <w:t>cig</w:t>
            </w:r>
            <w:r w:rsidRPr="000F6DEF">
              <w:rPr>
                <w:rFonts w:cs="Calibri"/>
                <w:color w:val="auto"/>
                <w:sz w:val="16"/>
                <w:szCs w:val="16"/>
              </w:rPr>
              <w:t>arette use</w:t>
            </w:r>
            <w:r w:rsidR="00CE05B6">
              <w:rPr>
                <w:rFonts w:cs="Calibri"/>
                <w:color w:val="auto"/>
                <w:sz w:val="16"/>
                <w:szCs w:val="16"/>
              </w:rPr>
              <w:t>.</w:t>
            </w:r>
          </w:p>
        </w:tc>
        <w:tc>
          <w:tcPr>
            <w:tcW w:w="6924" w:type="dxa"/>
          </w:tcPr>
          <w:p w14:paraId="5B226E72"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 xml:space="preserve">In a multivariate model, psychological distress was significantly associated with the following groups: (a) exclusive </w:t>
            </w:r>
            <w:r>
              <w:rPr>
                <w:rFonts w:cs="Calibri"/>
                <w:color w:val="auto"/>
                <w:sz w:val="16"/>
                <w:szCs w:val="16"/>
              </w:rPr>
              <w:t>e</w:t>
            </w:r>
            <w:r>
              <w:rPr>
                <w:rFonts w:cs="Calibri"/>
                <w:color w:val="auto"/>
                <w:sz w:val="16"/>
                <w:szCs w:val="16"/>
              </w:rPr>
              <w:noBreakHyphen/>
              <w:t>cig</w:t>
            </w:r>
            <w:r w:rsidRPr="000F6DEF">
              <w:rPr>
                <w:rFonts w:cs="Calibri"/>
                <w:color w:val="auto"/>
                <w:sz w:val="16"/>
                <w:szCs w:val="16"/>
              </w:rPr>
              <w:t>arette ever</w:t>
            </w:r>
            <w:r w:rsidRPr="000F6DEF">
              <w:rPr>
                <w:rFonts w:cs="Calibri"/>
                <w:color w:val="auto"/>
                <w:sz w:val="16"/>
                <w:szCs w:val="16"/>
              </w:rPr>
              <w:noBreakHyphen/>
              <w:t xml:space="preserve">use (aOR=3.7; 95% CI=1.6, 8.6), (b) current dual use of </w:t>
            </w:r>
            <w:r>
              <w:rPr>
                <w:rFonts w:cs="Calibri"/>
                <w:color w:val="auto"/>
                <w:sz w:val="16"/>
                <w:szCs w:val="16"/>
              </w:rPr>
              <w:t>e</w:t>
            </w:r>
            <w:r>
              <w:rPr>
                <w:rFonts w:cs="Calibri"/>
                <w:color w:val="auto"/>
                <w:sz w:val="16"/>
                <w:szCs w:val="16"/>
              </w:rPr>
              <w:noBreakHyphen/>
              <w:t>cig</w:t>
            </w:r>
            <w:r w:rsidRPr="000F6DEF">
              <w:rPr>
                <w:rFonts w:cs="Calibri"/>
                <w:color w:val="auto"/>
                <w:sz w:val="16"/>
                <w:szCs w:val="16"/>
              </w:rPr>
              <w:t xml:space="preserve">arettes and cigarettes (aOR=4.6; 95% CI=3.1, 6.7), (c) former cigarette use and ever use of </w:t>
            </w:r>
            <w:r>
              <w:rPr>
                <w:rFonts w:cs="Calibri"/>
                <w:color w:val="auto"/>
                <w:sz w:val="16"/>
                <w:szCs w:val="16"/>
              </w:rPr>
              <w:t>e</w:t>
            </w:r>
            <w:r>
              <w:rPr>
                <w:rFonts w:cs="Calibri"/>
                <w:color w:val="auto"/>
                <w:sz w:val="16"/>
                <w:szCs w:val="16"/>
              </w:rPr>
              <w:noBreakHyphen/>
              <w:t>cig</w:t>
            </w:r>
            <w:r w:rsidRPr="000F6DEF">
              <w:rPr>
                <w:rFonts w:cs="Calibri"/>
                <w:color w:val="auto"/>
                <w:sz w:val="16"/>
                <w:szCs w:val="16"/>
              </w:rPr>
              <w:t>arette (aOR=3.2; 95% CI=2.2, 4.8) and (d) current use of cigarettes only (aOR=2.1; 95% CI=1.7, 2.6)</w:t>
            </w:r>
          </w:p>
        </w:tc>
        <w:tc>
          <w:tcPr>
            <w:tcW w:w="4623" w:type="dxa"/>
          </w:tcPr>
          <w:p w14:paraId="52F3E195"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 xml:space="preserve">As is true for cigarettes, </w:t>
            </w:r>
            <w:r>
              <w:rPr>
                <w:rFonts w:cs="Calibri"/>
                <w:color w:val="auto"/>
                <w:sz w:val="16"/>
                <w:szCs w:val="16"/>
              </w:rPr>
              <w:t>e</w:t>
            </w:r>
            <w:r>
              <w:rPr>
                <w:rFonts w:cs="Calibri"/>
                <w:color w:val="auto"/>
                <w:sz w:val="16"/>
                <w:szCs w:val="16"/>
              </w:rPr>
              <w:noBreakHyphen/>
              <w:t>cig</w:t>
            </w:r>
            <w:r w:rsidRPr="000F6DEF">
              <w:rPr>
                <w:rFonts w:cs="Calibri"/>
                <w:color w:val="auto"/>
                <w:sz w:val="16"/>
                <w:szCs w:val="16"/>
              </w:rPr>
              <w:t>arette use is associated with increased levels of psychological distress</w:t>
            </w:r>
          </w:p>
        </w:tc>
      </w:tr>
      <w:tr w:rsidR="00B85C33" w:rsidRPr="000F6DEF" w14:paraId="47B57406" w14:textId="77777777" w:rsidTr="000376C7">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1435" w:type="dxa"/>
          </w:tcPr>
          <w:p w14:paraId="3C994544" w14:textId="77777777" w:rsidR="00B85C33" w:rsidRPr="000F6DEF" w:rsidRDefault="00B85C33" w:rsidP="000376C7">
            <w:pPr>
              <w:rPr>
                <w:rFonts w:cs="Calibri"/>
                <w:color w:val="auto"/>
                <w:sz w:val="16"/>
                <w:szCs w:val="16"/>
              </w:rPr>
            </w:pPr>
            <w:r w:rsidRPr="000F6DEF">
              <w:rPr>
                <w:rFonts w:cs="Calibri"/>
                <w:color w:val="auto"/>
                <w:sz w:val="16"/>
                <w:szCs w:val="16"/>
              </w:rPr>
              <w:t>Park, Duncan et al</w:t>
            </w:r>
          </w:p>
        </w:tc>
        <w:tc>
          <w:tcPr>
            <w:tcW w:w="2044" w:type="dxa"/>
          </w:tcPr>
          <w:p w14:paraId="5F0323EF"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To investigate the individual characteristics and state</w:t>
            </w:r>
            <w:r w:rsidRPr="000F6DEF">
              <w:rPr>
                <w:rFonts w:cs="Calibri"/>
                <w:color w:val="auto"/>
                <w:sz w:val="16"/>
                <w:szCs w:val="16"/>
              </w:rPr>
              <w:noBreakHyphen/>
              <w:t xml:space="preserve">level prevalence of U.S. adults who have switched to </w:t>
            </w:r>
            <w:r>
              <w:rPr>
                <w:rFonts w:cs="Calibri"/>
                <w:color w:val="auto"/>
                <w:sz w:val="16"/>
                <w:szCs w:val="16"/>
              </w:rPr>
              <w:t>e</w:t>
            </w:r>
            <w:r>
              <w:rPr>
                <w:rFonts w:cs="Calibri"/>
                <w:color w:val="auto"/>
                <w:sz w:val="16"/>
                <w:szCs w:val="16"/>
              </w:rPr>
              <w:noBreakHyphen/>
              <w:t>cig</w:t>
            </w:r>
            <w:r w:rsidRPr="000F6DEF">
              <w:rPr>
                <w:rFonts w:cs="Calibri"/>
                <w:color w:val="auto"/>
                <w:sz w:val="16"/>
                <w:szCs w:val="16"/>
              </w:rPr>
              <w:t xml:space="preserve">arettes from traditional cigarettes. </w:t>
            </w:r>
          </w:p>
        </w:tc>
        <w:tc>
          <w:tcPr>
            <w:tcW w:w="6924" w:type="dxa"/>
          </w:tcPr>
          <w:p w14:paraId="168666B0"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 xml:space="preserve">Overall, the number of individuals who switched from traditional cigarettes to </w:t>
            </w:r>
            <w:r>
              <w:rPr>
                <w:rFonts w:cs="Calibri"/>
                <w:color w:val="auto"/>
                <w:sz w:val="16"/>
                <w:szCs w:val="16"/>
              </w:rPr>
              <w:t>e</w:t>
            </w:r>
            <w:r>
              <w:rPr>
                <w:rFonts w:cs="Calibri"/>
                <w:color w:val="auto"/>
                <w:sz w:val="16"/>
                <w:szCs w:val="16"/>
              </w:rPr>
              <w:noBreakHyphen/>
              <w:t>cig</w:t>
            </w:r>
            <w:r w:rsidRPr="000F6DEF">
              <w:rPr>
                <w:rFonts w:cs="Calibri"/>
                <w:color w:val="auto"/>
                <w:sz w:val="16"/>
                <w:szCs w:val="16"/>
              </w:rPr>
              <w:t>arettes increased by approximately 100% over the 1</w:t>
            </w:r>
            <w:r w:rsidRPr="000F6DEF">
              <w:rPr>
                <w:rFonts w:cs="Calibri"/>
                <w:color w:val="auto"/>
                <w:sz w:val="16"/>
                <w:szCs w:val="16"/>
              </w:rPr>
              <w:noBreakHyphen/>
              <w:t xml:space="preserve">year interval. Those living in the South and West were more likely to switch to </w:t>
            </w:r>
            <w:r>
              <w:rPr>
                <w:rFonts w:cs="Calibri"/>
                <w:color w:val="auto"/>
                <w:sz w:val="16"/>
                <w:szCs w:val="16"/>
              </w:rPr>
              <w:t>e</w:t>
            </w:r>
            <w:r>
              <w:rPr>
                <w:rFonts w:cs="Calibri"/>
                <w:color w:val="auto"/>
                <w:sz w:val="16"/>
                <w:szCs w:val="16"/>
              </w:rPr>
              <w:noBreakHyphen/>
              <w:t>cig</w:t>
            </w:r>
            <w:r w:rsidRPr="000F6DEF">
              <w:rPr>
                <w:rFonts w:cs="Calibri"/>
                <w:color w:val="auto"/>
                <w:sz w:val="16"/>
                <w:szCs w:val="16"/>
              </w:rPr>
              <w:t xml:space="preserve">arettes, compared to former smokers who did not switch. Compared with current dual users, those with higher education and those who were not single were more likely to switch to </w:t>
            </w:r>
            <w:r>
              <w:rPr>
                <w:rFonts w:cs="Calibri"/>
                <w:color w:val="auto"/>
                <w:sz w:val="16"/>
                <w:szCs w:val="16"/>
              </w:rPr>
              <w:t>e</w:t>
            </w:r>
            <w:r>
              <w:rPr>
                <w:rFonts w:cs="Calibri"/>
                <w:color w:val="auto"/>
                <w:sz w:val="16"/>
                <w:szCs w:val="16"/>
              </w:rPr>
              <w:noBreakHyphen/>
              <w:t>cig</w:t>
            </w:r>
            <w:r w:rsidRPr="000F6DEF">
              <w:rPr>
                <w:rFonts w:cs="Calibri"/>
                <w:color w:val="auto"/>
                <w:sz w:val="16"/>
                <w:szCs w:val="16"/>
              </w:rPr>
              <w:t>arettes.</w:t>
            </w:r>
          </w:p>
        </w:tc>
        <w:tc>
          <w:tcPr>
            <w:tcW w:w="4623" w:type="dxa"/>
          </w:tcPr>
          <w:p w14:paraId="3D1E1FC4"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 xml:space="preserve">There is an increase in the progression from traditional cigarette use to </w:t>
            </w:r>
            <w:r>
              <w:rPr>
                <w:rFonts w:cs="Calibri"/>
                <w:color w:val="auto"/>
                <w:sz w:val="16"/>
                <w:szCs w:val="16"/>
              </w:rPr>
              <w:t>e</w:t>
            </w:r>
            <w:r>
              <w:rPr>
                <w:rFonts w:cs="Calibri"/>
                <w:color w:val="auto"/>
                <w:sz w:val="16"/>
                <w:szCs w:val="16"/>
              </w:rPr>
              <w:noBreakHyphen/>
              <w:t>cig</w:t>
            </w:r>
            <w:r w:rsidRPr="000F6DEF">
              <w:rPr>
                <w:rFonts w:cs="Calibri"/>
                <w:color w:val="auto"/>
                <w:sz w:val="16"/>
                <w:szCs w:val="16"/>
              </w:rPr>
              <w:t>arette use</w:t>
            </w:r>
          </w:p>
        </w:tc>
      </w:tr>
      <w:tr w:rsidR="00B85C33" w:rsidRPr="000F6DEF" w14:paraId="5F33E833" w14:textId="77777777" w:rsidTr="000376C7">
        <w:trPr>
          <w:trHeight w:val="94"/>
        </w:trPr>
        <w:tc>
          <w:tcPr>
            <w:cnfStyle w:val="001000000000" w:firstRow="0" w:lastRow="0" w:firstColumn="1" w:lastColumn="0" w:oddVBand="0" w:evenVBand="0" w:oddHBand="0" w:evenHBand="0" w:firstRowFirstColumn="0" w:firstRowLastColumn="0" w:lastRowFirstColumn="0" w:lastRowLastColumn="0"/>
            <w:tcW w:w="1435" w:type="dxa"/>
          </w:tcPr>
          <w:p w14:paraId="1730F182" w14:textId="77777777" w:rsidR="00B85C33" w:rsidRPr="000F6DEF" w:rsidRDefault="00B85C33" w:rsidP="000376C7">
            <w:pPr>
              <w:rPr>
                <w:rFonts w:cs="Calibri"/>
                <w:color w:val="auto"/>
                <w:sz w:val="16"/>
                <w:szCs w:val="16"/>
              </w:rPr>
            </w:pPr>
            <w:r w:rsidRPr="000F6DEF">
              <w:rPr>
                <w:rFonts w:cs="Calibri"/>
                <w:color w:val="auto"/>
                <w:sz w:val="16"/>
                <w:szCs w:val="16"/>
              </w:rPr>
              <w:t>Pericot</w:t>
            </w:r>
            <w:r w:rsidRPr="000F6DEF">
              <w:rPr>
                <w:rFonts w:cs="Calibri"/>
                <w:color w:val="auto"/>
                <w:sz w:val="16"/>
                <w:szCs w:val="16"/>
              </w:rPr>
              <w:noBreakHyphen/>
              <w:t>Valverde I et al 2017</w:t>
            </w:r>
          </w:p>
        </w:tc>
        <w:tc>
          <w:tcPr>
            <w:tcW w:w="2044" w:type="dxa"/>
          </w:tcPr>
          <w:p w14:paraId="4BADCE36" w14:textId="6DC489F3"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 xml:space="preserve">To estimate and update knowledge on rates and predictors of awareness, perceived harmfulness, and ever use of </w:t>
            </w:r>
            <w:r>
              <w:rPr>
                <w:rFonts w:cs="Calibri"/>
                <w:color w:val="auto"/>
                <w:sz w:val="16"/>
                <w:szCs w:val="16"/>
              </w:rPr>
              <w:t>e</w:t>
            </w:r>
            <w:r>
              <w:rPr>
                <w:rFonts w:cs="Calibri"/>
                <w:color w:val="auto"/>
                <w:sz w:val="16"/>
                <w:szCs w:val="16"/>
              </w:rPr>
              <w:noBreakHyphen/>
              <w:t>cig</w:t>
            </w:r>
            <w:r w:rsidRPr="000F6DEF">
              <w:rPr>
                <w:rFonts w:cs="Calibri"/>
                <w:color w:val="auto"/>
                <w:sz w:val="16"/>
                <w:szCs w:val="16"/>
              </w:rPr>
              <w:t>arettes among adults and (b) to utilize that information to identify risk</w:t>
            </w:r>
            <w:r w:rsidRPr="000F6DEF">
              <w:rPr>
                <w:rFonts w:cs="Calibri"/>
                <w:color w:val="auto"/>
                <w:sz w:val="16"/>
                <w:szCs w:val="16"/>
              </w:rPr>
              <w:noBreakHyphen/>
              <w:t>factor profiles associated with ever use</w:t>
            </w:r>
            <w:r w:rsidR="00CE05B6">
              <w:rPr>
                <w:rFonts w:cs="Calibri"/>
                <w:color w:val="auto"/>
                <w:sz w:val="16"/>
                <w:szCs w:val="16"/>
              </w:rPr>
              <w:t>.</w:t>
            </w:r>
          </w:p>
        </w:tc>
        <w:tc>
          <w:tcPr>
            <w:tcW w:w="6924" w:type="dxa"/>
          </w:tcPr>
          <w:p w14:paraId="65CCBA1E" w14:textId="77777777" w:rsidR="00B85C33" w:rsidRPr="000F6DEF" w:rsidRDefault="00013E76"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hyperlink r:id="rId48" w:tooltip="Learn more about Cigarette Smoking" w:history="1">
              <w:r w:rsidR="00B85C33" w:rsidRPr="000F6DEF">
                <w:rPr>
                  <w:rStyle w:val="Hyperlink"/>
                  <w:rFonts w:cs="Calibri"/>
                  <w:color w:val="auto"/>
                  <w:sz w:val="16"/>
                  <w:szCs w:val="16"/>
                </w:rPr>
                <w:t xml:space="preserve">Most respondents were aware of </w:t>
              </w:r>
              <w:r w:rsidR="00B85C33">
                <w:rPr>
                  <w:rStyle w:val="Hyperlink"/>
                  <w:rFonts w:cs="Calibri"/>
                  <w:color w:val="auto"/>
                  <w:sz w:val="16"/>
                  <w:szCs w:val="16"/>
                </w:rPr>
                <w:t>e</w:t>
              </w:r>
              <w:r w:rsidR="00B85C33">
                <w:rPr>
                  <w:rStyle w:val="Hyperlink"/>
                  <w:rFonts w:cs="Calibri"/>
                  <w:color w:val="auto"/>
                  <w:sz w:val="16"/>
                  <w:szCs w:val="16"/>
                </w:rPr>
                <w:noBreakHyphen/>
                <w:t>cig</w:t>
              </w:r>
              <w:r w:rsidR="00B85C33" w:rsidRPr="000F6DEF">
                <w:rPr>
                  <w:rStyle w:val="Hyperlink"/>
                  <w:rFonts w:cs="Calibri"/>
                  <w:color w:val="auto"/>
                  <w:sz w:val="16"/>
                  <w:szCs w:val="16"/>
                </w:rPr>
                <w:t xml:space="preserve">arettes (83.6%) and perceived them to be not at all or moderately harmful (54.7%). Prevalence of </w:t>
              </w:r>
              <w:r w:rsidR="00B85C33">
                <w:rPr>
                  <w:rStyle w:val="Hyperlink"/>
                  <w:rFonts w:cs="Calibri"/>
                  <w:color w:val="auto"/>
                  <w:sz w:val="16"/>
                  <w:szCs w:val="16"/>
                </w:rPr>
                <w:t>e</w:t>
              </w:r>
              <w:r w:rsidR="00B85C33">
                <w:rPr>
                  <w:rStyle w:val="Hyperlink"/>
                  <w:rFonts w:cs="Calibri"/>
                  <w:color w:val="auto"/>
                  <w:sz w:val="16"/>
                  <w:szCs w:val="16"/>
                </w:rPr>
                <w:noBreakHyphen/>
                <w:t>cig</w:t>
              </w:r>
              <w:r w:rsidR="00B85C33" w:rsidRPr="000F6DEF">
                <w:rPr>
                  <w:rStyle w:val="Hyperlink"/>
                  <w:rFonts w:cs="Calibri"/>
                  <w:color w:val="auto"/>
                  <w:sz w:val="16"/>
                  <w:szCs w:val="16"/>
                </w:rPr>
                <w:t xml:space="preserve">arette ever use was 22.4%. Current cigarette smoking and ever use of alternative tobacco products were powerful predictors of use. Other predictors of use of </w:t>
              </w:r>
              <w:r w:rsidR="00B85C33">
                <w:rPr>
                  <w:rStyle w:val="Hyperlink"/>
                  <w:rFonts w:cs="Calibri"/>
                  <w:color w:val="auto"/>
                  <w:sz w:val="16"/>
                  <w:szCs w:val="16"/>
                </w:rPr>
                <w:t>e</w:t>
              </w:r>
              <w:r w:rsidR="00B85C33">
                <w:rPr>
                  <w:rStyle w:val="Hyperlink"/>
                  <w:rFonts w:cs="Calibri"/>
                  <w:color w:val="auto"/>
                  <w:sz w:val="16"/>
                  <w:szCs w:val="16"/>
                </w:rPr>
                <w:noBreakHyphen/>
                <w:t>cig</w:t>
              </w:r>
              <w:r w:rsidR="00B85C33" w:rsidRPr="000F6DEF">
                <w:rPr>
                  <w:rStyle w:val="Hyperlink"/>
                  <w:rFonts w:cs="Calibri"/>
                  <w:color w:val="auto"/>
                  <w:sz w:val="16"/>
                  <w:szCs w:val="16"/>
                </w:rPr>
                <w:t xml:space="preserve">arettes were age, race/ethnicity, and educational attainment. Awareness and perceived harm were significant predictors among particular smoker subgroups. Fifteen risk profiles were identified across which prevalence of </w:t>
              </w:r>
              <w:r w:rsidR="00B85C33">
                <w:rPr>
                  <w:rStyle w:val="Hyperlink"/>
                  <w:rFonts w:cs="Calibri"/>
                  <w:color w:val="auto"/>
                  <w:sz w:val="16"/>
                  <w:szCs w:val="16"/>
                </w:rPr>
                <w:t>e</w:t>
              </w:r>
              <w:r w:rsidR="00B85C33">
                <w:rPr>
                  <w:rStyle w:val="Hyperlink"/>
                  <w:rFonts w:cs="Calibri"/>
                  <w:color w:val="auto"/>
                  <w:sz w:val="16"/>
                  <w:szCs w:val="16"/>
                </w:rPr>
                <w:noBreakHyphen/>
                <w:t>cig</w:t>
              </w:r>
              <w:r w:rsidR="00B85C33" w:rsidRPr="000F6DEF">
                <w:rPr>
                  <w:rStyle w:val="Hyperlink"/>
                  <w:rFonts w:cs="Calibri"/>
                  <w:color w:val="auto"/>
                  <w:sz w:val="16"/>
                  <w:szCs w:val="16"/>
                </w:rPr>
                <w:t>arette use varied from 6 to 94%.</w:t>
              </w:r>
            </w:hyperlink>
          </w:p>
        </w:tc>
        <w:tc>
          <w:tcPr>
            <w:tcW w:w="4623" w:type="dxa"/>
          </w:tcPr>
          <w:p w14:paraId="7A0CFC31"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New knowledge regarding risk</w:t>
            </w:r>
            <w:r w:rsidRPr="000F6DEF">
              <w:rPr>
                <w:rFonts w:cs="Calibri"/>
                <w:color w:val="auto"/>
                <w:sz w:val="16"/>
                <w:szCs w:val="16"/>
              </w:rPr>
              <w:noBreakHyphen/>
              <w:t xml:space="preserve">profiles associated with striking differences in prevalence of </w:t>
            </w:r>
            <w:r>
              <w:rPr>
                <w:rFonts w:cs="Calibri"/>
                <w:color w:val="auto"/>
                <w:sz w:val="16"/>
                <w:szCs w:val="16"/>
              </w:rPr>
              <w:t>e</w:t>
            </w:r>
            <w:r>
              <w:rPr>
                <w:rFonts w:cs="Calibri"/>
                <w:color w:val="auto"/>
                <w:sz w:val="16"/>
                <w:szCs w:val="16"/>
              </w:rPr>
              <w:noBreakHyphen/>
              <w:t>cig</w:t>
            </w:r>
            <w:r w:rsidRPr="000F6DEF">
              <w:rPr>
                <w:rFonts w:cs="Calibri"/>
                <w:color w:val="auto"/>
                <w:sz w:val="16"/>
                <w:szCs w:val="16"/>
              </w:rPr>
              <w:t xml:space="preserve">arette use that have the potential to be helpful when considering the need for or impact of </w:t>
            </w:r>
            <w:r>
              <w:rPr>
                <w:rFonts w:cs="Calibri"/>
                <w:color w:val="auto"/>
                <w:sz w:val="16"/>
                <w:szCs w:val="16"/>
              </w:rPr>
              <w:t>e</w:t>
            </w:r>
            <w:r>
              <w:rPr>
                <w:rFonts w:cs="Calibri"/>
                <w:color w:val="auto"/>
                <w:sz w:val="16"/>
                <w:szCs w:val="16"/>
              </w:rPr>
              <w:noBreakHyphen/>
              <w:t>cig</w:t>
            </w:r>
            <w:r w:rsidRPr="000F6DEF">
              <w:rPr>
                <w:rFonts w:cs="Calibri"/>
                <w:color w:val="auto"/>
                <w:sz w:val="16"/>
                <w:szCs w:val="16"/>
              </w:rPr>
              <w:t>arette regulatory policies.</w:t>
            </w:r>
          </w:p>
        </w:tc>
      </w:tr>
      <w:tr w:rsidR="00B85C33" w:rsidRPr="000F6DEF" w14:paraId="32844010" w14:textId="77777777" w:rsidTr="000376C7">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1435" w:type="dxa"/>
          </w:tcPr>
          <w:p w14:paraId="655FC4DE" w14:textId="77777777" w:rsidR="00B85C33" w:rsidRPr="000F6DEF" w:rsidRDefault="00B85C33" w:rsidP="000376C7">
            <w:pPr>
              <w:rPr>
                <w:rFonts w:cs="Calibri"/>
                <w:color w:val="auto"/>
                <w:sz w:val="16"/>
                <w:szCs w:val="16"/>
              </w:rPr>
            </w:pPr>
            <w:r w:rsidRPr="000F6DEF">
              <w:rPr>
                <w:rFonts w:cs="Calibri"/>
                <w:color w:val="auto"/>
                <w:sz w:val="16"/>
                <w:szCs w:val="16"/>
              </w:rPr>
              <w:t>Roberts ME, Doogan NJ et al 2017</w:t>
            </w:r>
          </w:p>
        </w:tc>
        <w:tc>
          <w:tcPr>
            <w:tcW w:w="2044" w:type="dxa"/>
          </w:tcPr>
          <w:p w14:paraId="26105869"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 xml:space="preserve">To examine urban–rural differences in US prevalence’s of traditional and emerging tobacco product use as well as dual </w:t>
            </w:r>
            <w:r w:rsidRPr="000F6DEF">
              <w:rPr>
                <w:rFonts w:cs="Calibri"/>
                <w:color w:val="auto"/>
                <w:sz w:val="16"/>
                <w:szCs w:val="16"/>
              </w:rPr>
              <w:lastRenderedPageBreak/>
              <w:t xml:space="preserve">or polytobacco use of these products. </w:t>
            </w:r>
          </w:p>
        </w:tc>
        <w:tc>
          <w:tcPr>
            <w:tcW w:w="6924" w:type="dxa"/>
          </w:tcPr>
          <w:p w14:paraId="5C1C6CDD"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lastRenderedPageBreak/>
              <w:t xml:space="preserve">Cigarette use and smokeless tobacco use, as well as dual or polytobacco use of traditional products, were more prevalent in rural than in urban areas. There was no signiﬁcant urban–rural difference in use of </w:t>
            </w:r>
            <w:r>
              <w:rPr>
                <w:rFonts w:cs="Calibri"/>
                <w:color w:val="auto"/>
                <w:sz w:val="16"/>
                <w:szCs w:val="16"/>
              </w:rPr>
              <w:t>e</w:t>
            </w:r>
            <w:r>
              <w:rPr>
                <w:rFonts w:cs="Calibri"/>
                <w:color w:val="auto"/>
                <w:sz w:val="16"/>
                <w:szCs w:val="16"/>
              </w:rPr>
              <w:noBreakHyphen/>
              <w:t>cig</w:t>
            </w:r>
            <w:r w:rsidRPr="000F6DEF">
              <w:rPr>
                <w:rFonts w:cs="Calibri"/>
                <w:color w:val="auto"/>
                <w:sz w:val="16"/>
                <w:szCs w:val="16"/>
              </w:rPr>
              <w:t>arettes</w:t>
            </w:r>
          </w:p>
        </w:tc>
        <w:tc>
          <w:tcPr>
            <w:tcW w:w="4623" w:type="dxa"/>
          </w:tcPr>
          <w:p w14:paraId="49894761"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 xml:space="preserve">Longitudinal data are needed to examine whether use of </w:t>
            </w:r>
            <w:r>
              <w:rPr>
                <w:rFonts w:cs="Calibri"/>
                <w:color w:val="auto"/>
                <w:sz w:val="16"/>
                <w:szCs w:val="16"/>
              </w:rPr>
              <w:t>e</w:t>
            </w:r>
            <w:r>
              <w:rPr>
                <w:rFonts w:cs="Calibri"/>
                <w:color w:val="auto"/>
                <w:sz w:val="16"/>
                <w:szCs w:val="16"/>
              </w:rPr>
              <w:noBreakHyphen/>
              <w:t>cig</w:t>
            </w:r>
            <w:r w:rsidRPr="000F6DEF">
              <w:rPr>
                <w:rFonts w:cs="Calibri"/>
                <w:color w:val="auto"/>
                <w:sz w:val="16"/>
                <w:szCs w:val="16"/>
              </w:rPr>
              <w:t xml:space="preserve">arettes will create a shift away from the predominance of cigarette and smokeless tobacco use that has been the mainstay of rural tobacco users for decades. The question of whether </w:t>
            </w:r>
            <w:r>
              <w:rPr>
                <w:rFonts w:cs="Calibri"/>
                <w:color w:val="auto"/>
                <w:sz w:val="16"/>
                <w:szCs w:val="16"/>
              </w:rPr>
              <w:t>e</w:t>
            </w:r>
            <w:r>
              <w:rPr>
                <w:rFonts w:cs="Calibri"/>
                <w:color w:val="auto"/>
                <w:sz w:val="16"/>
                <w:szCs w:val="16"/>
              </w:rPr>
              <w:noBreakHyphen/>
              <w:t>cig</w:t>
            </w:r>
            <w:r w:rsidRPr="000F6DEF">
              <w:rPr>
                <w:rFonts w:cs="Calibri"/>
                <w:color w:val="auto"/>
                <w:sz w:val="16"/>
                <w:szCs w:val="16"/>
              </w:rPr>
              <w:t xml:space="preserve">arette use aids cessation is complex and continues to be </w:t>
            </w:r>
            <w:r w:rsidRPr="000F6DEF">
              <w:rPr>
                <w:rFonts w:cs="Calibri"/>
                <w:color w:val="auto"/>
                <w:sz w:val="16"/>
                <w:szCs w:val="16"/>
              </w:rPr>
              <w:lastRenderedPageBreak/>
              <w:t xml:space="preserve">debated; how the use of </w:t>
            </w:r>
            <w:r>
              <w:rPr>
                <w:rFonts w:cs="Calibri"/>
                <w:color w:val="auto"/>
                <w:sz w:val="16"/>
                <w:szCs w:val="16"/>
              </w:rPr>
              <w:t>e</w:t>
            </w:r>
            <w:r>
              <w:rPr>
                <w:rFonts w:cs="Calibri"/>
                <w:color w:val="auto"/>
                <w:sz w:val="16"/>
                <w:szCs w:val="16"/>
              </w:rPr>
              <w:noBreakHyphen/>
              <w:t>cig</w:t>
            </w:r>
            <w:r w:rsidRPr="000F6DEF">
              <w:rPr>
                <w:rFonts w:cs="Calibri"/>
                <w:color w:val="auto"/>
                <w:sz w:val="16"/>
                <w:szCs w:val="16"/>
              </w:rPr>
              <w:t>arettes and other emerging tobacco products will contribute to the rise or decline of rural tobacco use remains to be seen.</w:t>
            </w:r>
          </w:p>
        </w:tc>
      </w:tr>
      <w:tr w:rsidR="00B85C33" w:rsidRPr="000F6DEF" w14:paraId="79080710" w14:textId="77777777" w:rsidTr="000376C7">
        <w:trPr>
          <w:trHeight w:val="94"/>
        </w:trPr>
        <w:tc>
          <w:tcPr>
            <w:cnfStyle w:val="001000000000" w:firstRow="0" w:lastRow="0" w:firstColumn="1" w:lastColumn="0" w:oddVBand="0" w:evenVBand="0" w:oddHBand="0" w:evenHBand="0" w:firstRowFirstColumn="0" w:firstRowLastColumn="0" w:lastRowFirstColumn="0" w:lastRowLastColumn="0"/>
            <w:tcW w:w="1435" w:type="dxa"/>
          </w:tcPr>
          <w:p w14:paraId="169A67E7" w14:textId="77777777" w:rsidR="00B85C33" w:rsidRPr="000F6DEF" w:rsidRDefault="00B85C33" w:rsidP="000376C7">
            <w:pPr>
              <w:rPr>
                <w:rFonts w:cs="Calibri"/>
                <w:color w:val="auto"/>
                <w:sz w:val="16"/>
                <w:szCs w:val="16"/>
              </w:rPr>
            </w:pPr>
            <w:r w:rsidRPr="000F6DEF">
              <w:rPr>
                <w:rFonts w:cs="Calibri"/>
                <w:color w:val="auto"/>
                <w:sz w:val="16"/>
                <w:szCs w:val="16"/>
              </w:rPr>
              <w:lastRenderedPageBreak/>
              <w:t>Shah A et al 2017</w:t>
            </w:r>
          </w:p>
        </w:tc>
        <w:tc>
          <w:tcPr>
            <w:tcW w:w="2044" w:type="dxa"/>
          </w:tcPr>
          <w:p w14:paraId="3C90C456" w14:textId="4281FB8A"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 xml:space="preserve">Prevalence and characteristics of </w:t>
            </w:r>
            <w:r>
              <w:rPr>
                <w:rFonts w:cs="Calibri"/>
                <w:color w:val="auto"/>
                <w:sz w:val="16"/>
                <w:szCs w:val="16"/>
              </w:rPr>
              <w:t>e</w:t>
            </w:r>
            <w:r>
              <w:rPr>
                <w:rFonts w:cs="Calibri"/>
                <w:color w:val="auto"/>
                <w:sz w:val="16"/>
                <w:szCs w:val="16"/>
              </w:rPr>
              <w:noBreakHyphen/>
              <w:t>cig</w:t>
            </w:r>
            <w:r w:rsidRPr="000F6DEF">
              <w:rPr>
                <w:rFonts w:cs="Calibri"/>
                <w:color w:val="auto"/>
                <w:sz w:val="16"/>
                <w:szCs w:val="16"/>
              </w:rPr>
              <w:t>arette users among COPD patient population</w:t>
            </w:r>
            <w:r w:rsidR="00CE05B6">
              <w:rPr>
                <w:rFonts w:cs="Calibri"/>
                <w:color w:val="auto"/>
                <w:sz w:val="16"/>
                <w:szCs w:val="16"/>
              </w:rPr>
              <w:t>.</w:t>
            </w:r>
          </w:p>
        </w:tc>
        <w:tc>
          <w:tcPr>
            <w:tcW w:w="6924" w:type="dxa"/>
          </w:tcPr>
          <w:p w14:paraId="18C8F2A8"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 xml:space="preserve">Among COPD individuals with current </w:t>
            </w:r>
            <w:r>
              <w:rPr>
                <w:rFonts w:cs="Calibri"/>
                <w:color w:val="auto"/>
                <w:sz w:val="16"/>
                <w:szCs w:val="16"/>
              </w:rPr>
              <w:t>e</w:t>
            </w:r>
            <w:r>
              <w:rPr>
                <w:rFonts w:cs="Calibri"/>
                <w:color w:val="auto"/>
                <w:sz w:val="16"/>
                <w:szCs w:val="16"/>
              </w:rPr>
              <w:noBreakHyphen/>
              <w:t>cig</w:t>
            </w:r>
            <w:r w:rsidRPr="000F6DEF">
              <w:rPr>
                <w:rFonts w:cs="Calibri"/>
                <w:color w:val="auto"/>
                <w:sz w:val="16"/>
                <w:szCs w:val="16"/>
              </w:rPr>
              <w:t>arettes use (N=642,848), user percentages were higher significantly (p&lt;0.05) among individuals: Between 45 and 64 years age (56.96%), Among divorced (30.75%), Residing in south (53.88%), Currently unemployed(87.50%), Working for a private firm (77.73%), Currently smoking tobacco (68.48%), Have tried quitting the use of tobacco at least once in past 12 months (62.20%).</w:t>
            </w:r>
          </w:p>
        </w:tc>
        <w:tc>
          <w:tcPr>
            <w:tcW w:w="4623" w:type="dxa"/>
          </w:tcPr>
          <w:p w14:paraId="7011E195"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 xml:space="preserve">With the increase in awareness of </w:t>
            </w:r>
            <w:r>
              <w:rPr>
                <w:rFonts w:cs="Calibri"/>
                <w:color w:val="auto"/>
                <w:sz w:val="16"/>
                <w:szCs w:val="16"/>
              </w:rPr>
              <w:t>e</w:t>
            </w:r>
            <w:r>
              <w:rPr>
                <w:rFonts w:cs="Calibri"/>
                <w:color w:val="auto"/>
                <w:sz w:val="16"/>
                <w:szCs w:val="16"/>
              </w:rPr>
              <w:noBreakHyphen/>
              <w:t>cig</w:t>
            </w:r>
            <w:r w:rsidRPr="000F6DEF">
              <w:rPr>
                <w:rFonts w:cs="Calibri"/>
                <w:color w:val="auto"/>
                <w:sz w:val="16"/>
                <w:szCs w:val="16"/>
              </w:rPr>
              <w:t xml:space="preserve">arette use for smoking cessation, its usage were found to be higher in COPD individuals who are current smokers and among those who want to quit tobacco use. </w:t>
            </w:r>
          </w:p>
        </w:tc>
      </w:tr>
      <w:tr w:rsidR="00B85C33" w:rsidRPr="000F6DEF" w14:paraId="05289D75" w14:textId="77777777" w:rsidTr="000376C7">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1435" w:type="dxa"/>
          </w:tcPr>
          <w:p w14:paraId="4403ED6B" w14:textId="77777777" w:rsidR="00B85C33" w:rsidRPr="000F6DEF" w:rsidRDefault="00B85C33" w:rsidP="000376C7">
            <w:pPr>
              <w:rPr>
                <w:rFonts w:cs="Calibri"/>
                <w:color w:val="auto"/>
                <w:sz w:val="16"/>
                <w:szCs w:val="16"/>
              </w:rPr>
            </w:pPr>
            <w:r w:rsidRPr="000F6DEF">
              <w:rPr>
                <w:rFonts w:cs="Calibri"/>
                <w:color w:val="auto"/>
                <w:sz w:val="16"/>
                <w:szCs w:val="16"/>
              </w:rPr>
              <w:t>Sharapova, Singh et al</w:t>
            </w:r>
          </w:p>
        </w:tc>
        <w:tc>
          <w:tcPr>
            <w:tcW w:w="2044" w:type="dxa"/>
          </w:tcPr>
          <w:p w14:paraId="65B7FE68" w14:textId="3730971C"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 xml:space="preserve">Patterns of </w:t>
            </w:r>
            <w:r>
              <w:rPr>
                <w:rFonts w:cs="Calibri"/>
                <w:color w:val="auto"/>
                <w:sz w:val="16"/>
                <w:szCs w:val="16"/>
              </w:rPr>
              <w:t>E</w:t>
            </w:r>
            <w:r>
              <w:rPr>
                <w:rFonts w:cs="Calibri"/>
                <w:color w:val="auto"/>
                <w:sz w:val="16"/>
                <w:szCs w:val="16"/>
              </w:rPr>
              <w:noBreakHyphen/>
              <w:t>cig</w:t>
            </w:r>
            <w:r w:rsidRPr="000F6DEF">
              <w:rPr>
                <w:rFonts w:cs="Calibri"/>
                <w:color w:val="auto"/>
                <w:sz w:val="16"/>
                <w:szCs w:val="16"/>
              </w:rPr>
              <w:t>arette Use Frequency</w:t>
            </w:r>
            <w:r w:rsidR="00CE05B6">
              <w:rPr>
                <w:rFonts w:cs="Calibri"/>
                <w:color w:val="auto"/>
                <w:sz w:val="16"/>
                <w:szCs w:val="16"/>
              </w:rPr>
              <w:t>.</w:t>
            </w:r>
          </w:p>
        </w:tc>
        <w:tc>
          <w:tcPr>
            <w:tcW w:w="6924" w:type="dxa"/>
          </w:tcPr>
          <w:p w14:paraId="5EA7C222"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 xml:space="preserve">Among current </w:t>
            </w:r>
            <w:r>
              <w:rPr>
                <w:rFonts w:cs="Calibri"/>
                <w:color w:val="auto"/>
                <w:sz w:val="16"/>
                <w:szCs w:val="16"/>
              </w:rPr>
              <w:t>e</w:t>
            </w:r>
            <w:r>
              <w:rPr>
                <w:rFonts w:cs="Calibri"/>
                <w:color w:val="auto"/>
                <w:sz w:val="16"/>
                <w:szCs w:val="16"/>
              </w:rPr>
              <w:noBreakHyphen/>
              <w:t>cig</w:t>
            </w:r>
            <w:r w:rsidRPr="000F6DEF">
              <w:rPr>
                <w:rFonts w:cs="Calibri"/>
                <w:color w:val="auto"/>
                <w:sz w:val="16"/>
                <w:szCs w:val="16"/>
              </w:rPr>
              <w:t>arette users, 19.3% used daily, 29.3% used some days, and 51.4% used rarely. Daily use was lowest among younger adults, Hispanics, and those who were single, never married, or not living with a partner; and greatest among non</w:t>
            </w:r>
            <w:r w:rsidRPr="000F6DEF">
              <w:rPr>
                <w:rFonts w:cs="Calibri"/>
                <w:color w:val="auto"/>
                <w:sz w:val="16"/>
                <w:szCs w:val="16"/>
              </w:rPr>
              <w:noBreakHyphen/>
              <w:t xml:space="preserve">Hispanic Asians (p&lt;0.0001). Among current </w:t>
            </w:r>
            <w:r>
              <w:rPr>
                <w:rFonts w:cs="Calibri"/>
                <w:color w:val="auto"/>
                <w:sz w:val="16"/>
                <w:szCs w:val="16"/>
              </w:rPr>
              <w:t>e</w:t>
            </w:r>
            <w:r>
              <w:rPr>
                <w:rFonts w:cs="Calibri"/>
                <w:color w:val="auto"/>
                <w:sz w:val="16"/>
                <w:szCs w:val="16"/>
              </w:rPr>
              <w:noBreakHyphen/>
              <w:t>cig</w:t>
            </w:r>
            <w:r w:rsidRPr="000F6DEF">
              <w:rPr>
                <w:rFonts w:cs="Calibri"/>
                <w:color w:val="auto"/>
                <w:sz w:val="16"/>
                <w:szCs w:val="16"/>
              </w:rPr>
              <w:t>arette users, 25.3% were cigarette</w:t>
            </w:r>
            <w:r w:rsidRPr="000F6DEF">
              <w:rPr>
                <w:rFonts w:cs="Calibri"/>
                <w:color w:val="auto"/>
                <w:sz w:val="16"/>
                <w:szCs w:val="16"/>
              </w:rPr>
              <w:noBreakHyphen/>
              <w:t>only smokers, 52.8% smoked cigarettes and used other tobacco products, 5.5% used other tobacco products only, 6.5% were former cigarette</w:t>
            </w:r>
            <w:r w:rsidRPr="000F6DEF">
              <w:rPr>
                <w:rFonts w:cs="Calibri"/>
                <w:color w:val="auto"/>
                <w:sz w:val="16"/>
                <w:szCs w:val="16"/>
              </w:rPr>
              <w:noBreakHyphen/>
              <w:t>only smokers, 6.7% were former users of cigarettes and other tobacco products, 1.3% were former other tobacco product users only, and 1.8% never used cigarettes or other tobacco products.</w:t>
            </w:r>
          </w:p>
        </w:tc>
        <w:tc>
          <w:tcPr>
            <w:tcW w:w="4623" w:type="dxa"/>
          </w:tcPr>
          <w:p w14:paraId="64CF70D6"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Pr>
                <w:rFonts w:cs="Calibri"/>
                <w:color w:val="auto"/>
                <w:sz w:val="16"/>
                <w:szCs w:val="16"/>
              </w:rPr>
              <w:t>E</w:t>
            </w:r>
            <w:r>
              <w:rPr>
                <w:rFonts w:cs="Calibri"/>
                <w:color w:val="auto"/>
                <w:sz w:val="16"/>
                <w:szCs w:val="16"/>
              </w:rPr>
              <w:noBreakHyphen/>
              <w:t>cig</w:t>
            </w:r>
            <w:r w:rsidRPr="000F6DEF">
              <w:rPr>
                <w:rFonts w:cs="Calibri"/>
                <w:color w:val="auto"/>
                <w:sz w:val="16"/>
                <w:szCs w:val="16"/>
              </w:rPr>
              <w:t xml:space="preserve">arette use frequency varies by sociodemographic characteristics and other tobacco use. Further surveillance, particularly related to frequency of </w:t>
            </w:r>
            <w:r>
              <w:rPr>
                <w:rFonts w:cs="Calibri"/>
                <w:color w:val="auto"/>
                <w:sz w:val="16"/>
                <w:szCs w:val="16"/>
              </w:rPr>
              <w:t>e</w:t>
            </w:r>
            <w:r>
              <w:rPr>
                <w:rFonts w:cs="Calibri"/>
                <w:color w:val="auto"/>
                <w:sz w:val="16"/>
                <w:szCs w:val="16"/>
              </w:rPr>
              <w:noBreakHyphen/>
              <w:t>cig</w:t>
            </w:r>
            <w:r w:rsidRPr="000F6DEF">
              <w:rPr>
                <w:rFonts w:cs="Calibri"/>
                <w:color w:val="auto"/>
                <w:sz w:val="16"/>
                <w:szCs w:val="16"/>
              </w:rPr>
              <w:t>arette use and its impact on cigarette cessation, could inform public health policy, planning, and practice.</w:t>
            </w:r>
          </w:p>
        </w:tc>
      </w:tr>
      <w:tr w:rsidR="00B85C33" w:rsidRPr="000F6DEF" w14:paraId="1FEA6AE8" w14:textId="77777777" w:rsidTr="000376C7">
        <w:trPr>
          <w:trHeight w:val="94"/>
        </w:trPr>
        <w:tc>
          <w:tcPr>
            <w:cnfStyle w:val="001000000000" w:firstRow="0" w:lastRow="0" w:firstColumn="1" w:lastColumn="0" w:oddVBand="0" w:evenVBand="0" w:oddHBand="0" w:evenHBand="0" w:firstRowFirstColumn="0" w:firstRowLastColumn="0" w:lastRowFirstColumn="0" w:lastRowLastColumn="0"/>
            <w:tcW w:w="1435" w:type="dxa"/>
          </w:tcPr>
          <w:p w14:paraId="022D5192" w14:textId="77777777" w:rsidR="00B85C33" w:rsidRPr="000F6DEF" w:rsidRDefault="00B85C33" w:rsidP="000376C7">
            <w:pPr>
              <w:rPr>
                <w:rFonts w:cs="Calibri"/>
                <w:color w:val="auto"/>
                <w:sz w:val="16"/>
                <w:szCs w:val="16"/>
              </w:rPr>
            </w:pPr>
            <w:r w:rsidRPr="000F6DEF">
              <w:rPr>
                <w:rFonts w:cs="Calibri"/>
                <w:color w:val="auto"/>
                <w:sz w:val="16"/>
                <w:szCs w:val="16"/>
              </w:rPr>
              <w:t>Spears CA, Jones DM et al 2017</w:t>
            </w:r>
          </w:p>
        </w:tc>
        <w:tc>
          <w:tcPr>
            <w:tcW w:w="2044" w:type="dxa"/>
          </w:tcPr>
          <w:p w14:paraId="1F9F0D22" w14:textId="3C03D4EF"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To assess the use of ENDS among adults with mental health conditions</w:t>
            </w:r>
            <w:r w:rsidR="00CE05B6">
              <w:rPr>
                <w:rFonts w:cs="Calibri"/>
                <w:color w:val="auto"/>
                <w:sz w:val="16"/>
                <w:szCs w:val="16"/>
              </w:rPr>
              <w:t>.</w:t>
            </w:r>
          </w:p>
        </w:tc>
        <w:tc>
          <w:tcPr>
            <w:tcW w:w="6924" w:type="dxa"/>
          </w:tcPr>
          <w:p w14:paraId="33C78295"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 xml:space="preserve">Participants with MHC were approximately 1.5 times more likely to have used ENDS in their lifetime and almost twice as likely to currently use ENDS as those without MHC. MHC status was most strongly linked to higher ENDS use among former smokers, and former smokers with MHC were more likely to report using ENDS during past smoking quit attempts than those without MHC. Among participants who had not tried ENDS, former smokers with MHC were especially susceptible to future ENDS use. </w:t>
            </w:r>
          </w:p>
        </w:tc>
        <w:tc>
          <w:tcPr>
            <w:tcW w:w="4623" w:type="dxa"/>
          </w:tcPr>
          <w:p w14:paraId="07E96593"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The potential advantage of ENDS for cessation purposes should be balanced with the risk of attracting former smokers with MHC to ENDS</w:t>
            </w:r>
          </w:p>
        </w:tc>
      </w:tr>
      <w:tr w:rsidR="00B85C33" w:rsidRPr="000F6DEF" w14:paraId="4EFFC98E" w14:textId="77777777" w:rsidTr="000376C7">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1435" w:type="dxa"/>
          </w:tcPr>
          <w:p w14:paraId="7F140A16" w14:textId="77777777" w:rsidR="00B85C33" w:rsidRPr="000F6DEF" w:rsidRDefault="00B85C33" w:rsidP="000376C7">
            <w:pPr>
              <w:rPr>
                <w:rFonts w:cs="Calibri"/>
                <w:color w:val="auto"/>
                <w:sz w:val="16"/>
                <w:szCs w:val="16"/>
              </w:rPr>
            </w:pPr>
            <w:r w:rsidRPr="000F6DEF">
              <w:rPr>
                <w:rFonts w:cs="Calibri"/>
                <w:color w:val="auto"/>
                <w:sz w:val="16"/>
                <w:szCs w:val="16"/>
              </w:rPr>
              <w:t>Stokes, Collins et al 2018</w:t>
            </w:r>
          </w:p>
        </w:tc>
        <w:tc>
          <w:tcPr>
            <w:tcW w:w="2044" w:type="dxa"/>
          </w:tcPr>
          <w:p w14:paraId="3ED3FCF5"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 xml:space="preserve">The objectives of the present study therefore were to assess the prevalence of </w:t>
            </w:r>
            <w:r>
              <w:rPr>
                <w:rFonts w:cs="Calibri"/>
                <w:color w:val="auto"/>
                <w:sz w:val="16"/>
                <w:szCs w:val="16"/>
              </w:rPr>
              <w:t>e</w:t>
            </w:r>
            <w:r>
              <w:rPr>
                <w:rFonts w:cs="Calibri"/>
                <w:color w:val="auto"/>
                <w:sz w:val="16"/>
                <w:szCs w:val="16"/>
              </w:rPr>
              <w:noBreakHyphen/>
              <w:t>cig</w:t>
            </w:r>
            <w:r w:rsidRPr="000F6DEF">
              <w:rPr>
                <w:rFonts w:cs="Calibri"/>
                <w:color w:val="auto"/>
                <w:sz w:val="16"/>
                <w:szCs w:val="16"/>
              </w:rPr>
              <w:t xml:space="preserve">arette use in individuals with CVD using nationally representative data on adults in the United States and to characterize patterns of </w:t>
            </w:r>
            <w:r>
              <w:rPr>
                <w:rFonts w:cs="Calibri"/>
                <w:color w:val="auto"/>
                <w:sz w:val="16"/>
                <w:szCs w:val="16"/>
              </w:rPr>
              <w:t>e</w:t>
            </w:r>
            <w:r>
              <w:rPr>
                <w:rFonts w:cs="Calibri"/>
                <w:color w:val="auto"/>
                <w:sz w:val="16"/>
                <w:szCs w:val="16"/>
              </w:rPr>
              <w:noBreakHyphen/>
              <w:t>cig</w:t>
            </w:r>
            <w:r w:rsidRPr="000F6DEF">
              <w:rPr>
                <w:rFonts w:cs="Calibri"/>
                <w:color w:val="auto"/>
                <w:sz w:val="16"/>
                <w:szCs w:val="16"/>
              </w:rPr>
              <w:t>arette use by tobacco smoking status.</w:t>
            </w:r>
          </w:p>
        </w:tc>
        <w:tc>
          <w:tcPr>
            <w:tcW w:w="6924" w:type="dxa"/>
          </w:tcPr>
          <w:p w14:paraId="659C0C5B"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 xml:space="preserve">11.0% ever used </w:t>
            </w:r>
            <w:r>
              <w:rPr>
                <w:rFonts w:cs="Calibri"/>
                <w:color w:val="auto"/>
                <w:sz w:val="16"/>
                <w:szCs w:val="16"/>
              </w:rPr>
              <w:t>e</w:t>
            </w:r>
            <w:r>
              <w:rPr>
                <w:rFonts w:cs="Calibri"/>
                <w:color w:val="auto"/>
                <w:sz w:val="16"/>
                <w:szCs w:val="16"/>
              </w:rPr>
              <w:noBreakHyphen/>
              <w:t>cig</w:t>
            </w:r>
            <w:r w:rsidRPr="000F6DEF">
              <w:rPr>
                <w:rFonts w:cs="Calibri"/>
                <w:color w:val="auto"/>
                <w:sz w:val="16"/>
                <w:szCs w:val="16"/>
              </w:rPr>
              <w:t>arette (3.7% current)</w:t>
            </w:r>
          </w:p>
          <w:p w14:paraId="2E92F898"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 xml:space="preserve">Compared with never users of </w:t>
            </w:r>
            <w:r>
              <w:rPr>
                <w:rFonts w:cs="Calibri"/>
                <w:color w:val="auto"/>
                <w:sz w:val="16"/>
                <w:szCs w:val="16"/>
              </w:rPr>
              <w:t>e</w:t>
            </w:r>
            <w:r>
              <w:rPr>
                <w:rFonts w:cs="Calibri"/>
                <w:color w:val="auto"/>
                <w:sz w:val="16"/>
                <w:szCs w:val="16"/>
              </w:rPr>
              <w:noBreakHyphen/>
              <w:t>cig</w:t>
            </w:r>
            <w:r w:rsidRPr="000F6DEF">
              <w:rPr>
                <w:rFonts w:cs="Calibri"/>
                <w:color w:val="auto"/>
                <w:sz w:val="16"/>
                <w:szCs w:val="16"/>
              </w:rPr>
              <w:t xml:space="preserve">arettes, those who had ever used </w:t>
            </w:r>
            <w:r>
              <w:rPr>
                <w:rFonts w:cs="Calibri"/>
                <w:color w:val="auto"/>
                <w:sz w:val="16"/>
                <w:szCs w:val="16"/>
              </w:rPr>
              <w:t>e</w:t>
            </w:r>
            <w:r>
              <w:rPr>
                <w:rFonts w:cs="Calibri"/>
                <w:color w:val="auto"/>
                <w:sz w:val="16"/>
                <w:szCs w:val="16"/>
              </w:rPr>
              <w:noBreakHyphen/>
              <w:t>cig</w:t>
            </w:r>
            <w:r w:rsidRPr="000F6DEF">
              <w:rPr>
                <w:rFonts w:cs="Calibri"/>
                <w:color w:val="auto"/>
                <w:sz w:val="16"/>
                <w:szCs w:val="16"/>
              </w:rPr>
              <w:t>arettes were younger, more likely to be non</w:t>
            </w:r>
            <w:r w:rsidRPr="000F6DEF">
              <w:rPr>
                <w:rFonts w:cs="Calibri"/>
                <w:color w:val="auto"/>
                <w:sz w:val="16"/>
                <w:szCs w:val="16"/>
              </w:rPr>
              <w:noBreakHyphen/>
              <w:t>Hispanic whites, and report some college without completion and current/recent former smokers.</w:t>
            </w:r>
          </w:p>
          <w:p w14:paraId="5757AA85"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 xml:space="preserve"> </w:t>
            </w:r>
          </w:p>
          <w:p w14:paraId="59359F36" w14:textId="617566F5"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p>
        </w:tc>
        <w:tc>
          <w:tcPr>
            <w:tcW w:w="4623" w:type="dxa"/>
          </w:tcPr>
          <w:p w14:paraId="7929ADDC"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 xml:space="preserve">Individuals with CVD who recently quit smoking or reported a recent quit attempt were significantly more likely to use </w:t>
            </w:r>
            <w:r>
              <w:rPr>
                <w:rFonts w:cs="Calibri"/>
                <w:color w:val="auto"/>
                <w:sz w:val="16"/>
                <w:szCs w:val="16"/>
              </w:rPr>
              <w:t>e</w:t>
            </w:r>
            <w:r>
              <w:rPr>
                <w:rFonts w:cs="Calibri"/>
                <w:color w:val="auto"/>
                <w:sz w:val="16"/>
                <w:szCs w:val="16"/>
              </w:rPr>
              <w:noBreakHyphen/>
              <w:t>cig</w:t>
            </w:r>
            <w:r w:rsidRPr="000F6DEF">
              <w:rPr>
                <w:rFonts w:cs="Calibri"/>
                <w:color w:val="auto"/>
                <w:sz w:val="16"/>
                <w:szCs w:val="16"/>
              </w:rPr>
              <w:t>arettes than current smokers and those who did not report a quit attempt</w:t>
            </w:r>
          </w:p>
        </w:tc>
      </w:tr>
      <w:tr w:rsidR="00B85C33" w:rsidRPr="000F6DEF" w14:paraId="1E6D58D2" w14:textId="77777777" w:rsidTr="000376C7">
        <w:trPr>
          <w:trHeight w:val="94"/>
        </w:trPr>
        <w:tc>
          <w:tcPr>
            <w:cnfStyle w:val="001000000000" w:firstRow="0" w:lastRow="0" w:firstColumn="1" w:lastColumn="0" w:oddVBand="0" w:evenVBand="0" w:oddHBand="0" w:evenHBand="0" w:firstRowFirstColumn="0" w:firstRowLastColumn="0" w:lastRowFirstColumn="0" w:lastRowLastColumn="0"/>
            <w:tcW w:w="1435" w:type="dxa"/>
          </w:tcPr>
          <w:p w14:paraId="45E43782" w14:textId="77777777" w:rsidR="00B85C33" w:rsidRPr="000F6DEF" w:rsidRDefault="00B85C33" w:rsidP="000376C7">
            <w:pPr>
              <w:rPr>
                <w:rFonts w:cs="Calibri"/>
                <w:color w:val="auto"/>
                <w:sz w:val="16"/>
                <w:szCs w:val="16"/>
              </w:rPr>
            </w:pPr>
            <w:r w:rsidRPr="000F6DEF">
              <w:rPr>
                <w:rFonts w:cs="Calibri"/>
                <w:color w:val="auto"/>
                <w:sz w:val="16"/>
                <w:szCs w:val="16"/>
              </w:rPr>
              <w:t>Yao T, Max W et al 2017</w:t>
            </w:r>
          </w:p>
        </w:tc>
        <w:tc>
          <w:tcPr>
            <w:tcW w:w="2044" w:type="dxa"/>
          </w:tcPr>
          <w:p w14:paraId="5F3257C8" w14:textId="1FD283D2"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Relationship between spending on electronic cigarettes, 30</w:t>
            </w:r>
            <w:r w:rsidRPr="000F6DEF">
              <w:rPr>
                <w:rFonts w:cs="Calibri"/>
                <w:color w:val="auto"/>
                <w:sz w:val="16"/>
                <w:szCs w:val="16"/>
              </w:rPr>
              <w:noBreakHyphen/>
              <w:t>day use, and disease symptoms</w:t>
            </w:r>
            <w:r w:rsidR="00CE05B6">
              <w:rPr>
                <w:rFonts w:cs="Calibri"/>
                <w:color w:val="auto"/>
                <w:sz w:val="16"/>
                <w:szCs w:val="16"/>
              </w:rPr>
              <w:t>.</w:t>
            </w:r>
            <w:r w:rsidRPr="000F6DEF">
              <w:rPr>
                <w:rFonts w:cs="Calibri"/>
                <w:color w:val="auto"/>
                <w:sz w:val="16"/>
                <w:szCs w:val="16"/>
              </w:rPr>
              <w:t xml:space="preserve"> </w:t>
            </w:r>
          </w:p>
        </w:tc>
        <w:tc>
          <w:tcPr>
            <w:tcW w:w="6924" w:type="dxa"/>
          </w:tcPr>
          <w:p w14:paraId="295E8087"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 xml:space="preserve">The most commonly reported disease symptoms were coughing (54.5%) and waking up feeling tired (52.0%), and the least common symptoms were having sores or ulcers in mouth (8.3%) and having more than one cold (6.8%). For each $100 increase in </w:t>
            </w:r>
            <w:r>
              <w:rPr>
                <w:rFonts w:cs="Calibri"/>
                <w:color w:val="auto"/>
                <w:sz w:val="16"/>
                <w:szCs w:val="16"/>
              </w:rPr>
              <w:t>e</w:t>
            </w:r>
            <w:r>
              <w:rPr>
                <w:rFonts w:cs="Calibri"/>
                <w:color w:val="auto"/>
                <w:sz w:val="16"/>
                <w:szCs w:val="16"/>
              </w:rPr>
              <w:noBreakHyphen/>
              <w:t>cig</w:t>
            </w:r>
            <w:r w:rsidRPr="000F6DEF">
              <w:rPr>
                <w:rFonts w:cs="Calibri"/>
                <w:color w:val="auto"/>
                <w:sz w:val="16"/>
                <w:szCs w:val="16"/>
              </w:rPr>
              <w:t>arette expenditures, the odds of reporting chest pain (versus not reporting chest pain), noticing blood when brushing teeth (versus not noticing blood when brushing teeth), having sores or ulcers in their mouth (versus not having sores or ulcers in their mouth), and having more than one cold (versus not having more than one cold) significantly increased by factors of 1.25, 1.23, 1.36, and 1.36, respectively.</w:t>
            </w:r>
          </w:p>
        </w:tc>
        <w:tc>
          <w:tcPr>
            <w:tcW w:w="4623" w:type="dxa"/>
          </w:tcPr>
          <w:p w14:paraId="297591F6"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Pr>
                <w:rFonts w:cs="Calibri"/>
                <w:color w:val="auto"/>
                <w:sz w:val="16"/>
                <w:szCs w:val="16"/>
              </w:rPr>
              <w:t>E</w:t>
            </w:r>
            <w:r>
              <w:rPr>
                <w:rFonts w:cs="Calibri"/>
                <w:color w:val="auto"/>
                <w:sz w:val="16"/>
                <w:szCs w:val="16"/>
              </w:rPr>
              <w:noBreakHyphen/>
              <w:t>cig</w:t>
            </w:r>
            <w:r w:rsidRPr="000F6DEF">
              <w:rPr>
                <w:rFonts w:cs="Calibri"/>
                <w:color w:val="auto"/>
                <w:sz w:val="16"/>
                <w:szCs w:val="16"/>
              </w:rPr>
              <w:t xml:space="preserve">arette expenditures might be a more useful measure of intensity of </w:t>
            </w:r>
            <w:r>
              <w:rPr>
                <w:rFonts w:cs="Calibri"/>
                <w:color w:val="auto"/>
                <w:sz w:val="16"/>
                <w:szCs w:val="16"/>
              </w:rPr>
              <w:t>e</w:t>
            </w:r>
            <w:r>
              <w:rPr>
                <w:rFonts w:cs="Calibri"/>
                <w:color w:val="auto"/>
                <w:sz w:val="16"/>
                <w:szCs w:val="16"/>
              </w:rPr>
              <w:noBreakHyphen/>
              <w:t>cig</w:t>
            </w:r>
            <w:r w:rsidRPr="000F6DEF">
              <w:rPr>
                <w:rFonts w:cs="Calibri"/>
                <w:color w:val="auto"/>
                <w:sz w:val="16"/>
                <w:szCs w:val="16"/>
              </w:rPr>
              <w:t xml:space="preserve">arette use. The additional health effect of </w:t>
            </w:r>
            <w:r>
              <w:rPr>
                <w:rFonts w:cs="Calibri"/>
                <w:color w:val="auto"/>
                <w:sz w:val="16"/>
                <w:szCs w:val="16"/>
              </w:rPr>
              <w:t>e</w:t>
            </w:r>
            <w:r>
              <w:rPr>
                <w:rFonts w:cs="Calibri"/>
                <w:color w:val="auto"/>
                <w:sz w:val="16"/>
                <w:szCs w:val="16"/>
              </w:rPr>
              <w:noBreakHyphen/>
              <w:t>cig</w:t>
            </w:r>
            <w:r w:rsidRPr="000F6DEF">
              <w:rPr>
                <w:rFonts w:cs="Calibri"/>
                <w:color w:val="auto"/>
                <w:sz w:val="16"/>
                <w:szCs w:val="16"/>
              </w:rPr>
              <w:t xml:space="preserve">arette use or expenditures among smokers independent of the effect of CPD suggests that </w:t>
            </w:r>
            <w:r>
              <w:rPr>
                <w:rFonts w:cs="Calibri"/>
                <w:color w:val="auto"/>
                <w:sz w:val="16"/>
                <w:szCs w:val="16"/>
              </w:rPr>
              <w:t>e</w:t>
            </w:r>
            <w:r>
              <w:rPr>
                <w:rFonts w:cs="Calibri"/>
                <w:color w:val="auto"/>
                <w:sz w:val="16"/>
                <w:szCs w:val="16"/>
              </w:rPr>
              <w:noBreakHyphen/>
              <w:t>cig</w:t>
            </w:r>
            <w:r w:rsidRPr="000F6DEF">
              <w:rPr>
                <w:rFonts w:cs="Calibri"/>
                <w:color w:val="auto"/>
                <w:sz w:val="16"/>
                <w:szCs w:val="16"/>
              </w:rPr>
              <w:t>arette use adds adverse health effects even among cigarette smokers.</w:t>
            </w:r>
          </w:p>
        </w:tc>
      </w:tr>
    </w:tbl>
    <w:p w14:paraId="63F52A95" w14:textId="77777777" w:rsidR="00B85C33" w:rsidRPr="0017265B" w:rsidRDefault="00B85C33" w:rsidP="00B85C33">
      <w:pPr>
        <w:pStyle w:val="BodyText"/>
      </w:pPr>
    </w:p>
    <w:p w14:paraId="4F6F7C1B" w14:textId="77777777" w:rsidR="00B85C33" w:rsidRPr="00F422F2" w:rsidRDefault="00B85C33" w:rsidP="00B85C33">
      <w:pPr>
        <w:pStyle w:val="BodyText"/>
      </w:pPr>
    </w:p>
    <w:p w14:paraId="02F8F9D2" w14:textId="77777777" w:rsidR="00B85C33" w:rsidRDefault="004C6D16" w:rsidP="004C6D16">
      <w:pPr>
        <w:pStyle w:val="Caption"/>
      </w:pPr>
      <w:bookmarkStart w:id="335" w:name="_Toc517707443"/>
      <w:r>
        <w:lastRenderedPageBreak/>
        <w:t xml:space="preserve">Table </w:t>
      </w:r>
      <w:r w:rsidR="0048064B">
        <w:rPr>
          <w:noProof/>
        </w:rPr>
        <w:fldChar w:fldCharType="begin"/>
      </w:r>
      <w:r w:rsidR="0048064B">
        <w:rPr>
          <w:noProof/>
        </w:rPr>
        <w:instrText xml:space="preserve"> SEQ Table \* ARABIC </w:instrText>
      </w:r>
      <w:r w:rsidR="0048064B">
        <w:rPr>
          <w:noProof/>
        </w:rPr>
        <w:fldChar w:fldCharType="separate"/>
      </w:r>
      <w:r w:rsidR="000C06DA">
        <w:rPr>
          <w:noProof/>
        </w:rPr>
        <w:t>34</w:t>
      </w:r>
      <w:r w:rsidR="0048064B">
        <w:rPr>
          <w:noProof/>
        </w:rPr>
        <w:fldChar w:fldCharType="end"/>
      </w:r>
      <w:r w:rsidR="00B85C33">
        <w:t xml:space="preserve">: </w:t>
      </w:r>
      <w:r w:rsidR="00B85C33" w:rsidRPr="004F0CBB">
        <w:t>Characteristics of studies that were US non</w:t>
      </w:r>
      <w:r w:rsidR="00B85C33">
        <w:t>-</w:t>
      </w:r>
      <w:r w:rsidR="00B85C33" w:rsidRPr="004F0CBB">
        <w:t>national level youth</w:t>
      </w:r>
      <w:bookmarkEnd w:id="335"/>
    </w:p>
    <w:tbl>
      <w:tblPr>
        <w:tblStyle w:val="TableCSIRO"/>
        <w:tblW w:w="14771" w:type="dxa"/>
        <w:tblLook w:val="04A0" w:firstRow="1" w:lastRow="0" w:firstColumn="1" w:lastColumn="0" w:noHBand="0" w:noVBand="1"/>
      </w:tblPr>
      <w:tblGrid>
        <w:gridCol w:w="1388"/>
        <w:gridCol w:w="2831"/>
        <w:gridCol w:w="1305"/>
        <w:gridCol w:w="1039"/>
        <w:gridCol w:w="1032"/>
        <w:gridCol w:w="1614"/>
        <w:gridCol w:w="2133"/>
        <w:gridCol w:w="1523"/>
        <w:gridCol w:w="1906"/>
      </w:tblGrid>
      <w:tr w:rsidR="00B85C33" w:rsidRPr="000F6DEF" w14:paraId="3B583EFC" w14:textId="77777777" w:rsidTr="000376C7">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1388" w:type="dxa"/>
            <w:hideMark/>
          </w:tcPr>
          <w:p w14:paraId="249490E2" w14:textId="77777777" w:rsidR="00B85C33" w:rsidRPr="000F6DEF" w:rsidRDefault="00B85C33" w:rsidP="000376C7">
            <w:pPr>
              <w:rPr>
                <w:rFonts w:asciiTheme="minorHAnsi" w:hAnsiTheme="minorHAnsi" w:cstheme="minorHAnsi"/>
                <w:color w:val="auto"/>
                <w:sz w:val="16"/>
                <w:szCs w:val="16"/>
              </w:rPr>
            </w:pPr>
            <w:r>
              <w:br w:type="page"/>
            </w:r>
            <w:r w:rsidRPr="000F6DEF">
              <w:rPr>
                <w:rFonts w:asciiTheme="minorHAnsi" w:hAnsiTheme="minorHAnsi" w:cstheme="minorHAnsi"/>
                <w:color w:val="auto"/>
                <w:sz w:val="16"/>
                <w:szCs w:val="16"/>
              </w:rPr>
              <w:t>Study reference</w:t>
            </w:r>
          </w:p>
        </w:tc>
        <w:tc>
          <w:tcPr>
            <w:tcW w:w="2831" w:type="dxa"/>
            <w:hideMark/>
          </w:tcPr>
          <w:p w14:paraId="7286EC4B" w14:textId="77777777" w:rsidR="00B85C33" w:rsidRPr="000F6DEF" w:rsidRDefault="00B85C33" w:rsidP="000376C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Purpose</w:t>
            </w:r>
          </w:p>
        </w:tc>
        <w:tc>
          <w:tcPr>
            <w:tcW w:w="1305" w:type="dxa"/>
            <w:hideMark/>
          </w:tcPr>
          <w:p w14:paraId="3D23E0F3" w14:textId="77777777" w:rsidR="00B85C33" w:rsidRPr="000F6DEF" w:rsidRDefault="00B85C33" w:rsidP="000376C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Name of survey</w:t>
            </w:r>
          </w:p>
        </w:tc>
        <w:tc>
          <w:tcPr>
            <w:tcW w:w="1039" w:type="dxa"/>
            <w:hideMark/>
          </w:tcPr>
          <w:p w14:paraId="24798CBE" w14:textId="77777777" w:rsidR="00B85C33" w:rsidRPr="000F6DEF" w:rsidRDefault="00B85C33" w:rsidP="000376C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Country or location</w:t>
            </w:r>
          </w:p>
        </w:tc>
        <w:tc>
          <w:tcPr>
            <w:tcW w:w="1032" w:type="dxa"/>
            <w:hideMark/>
          </w:tcPr>
          <w:p w14:paraId="66190CEB" w14:textId="77777777" w:rsidR="00B85C33" w:rsidRPr="000F6DEF" w:rsidRDefault="00B85C33" w:rsidP="000376C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Year data collected</w:t>
            </w:r>
          </w:p>
        </w:tc>
        <w:tc>
          <w:tcPr>
            <w:tcW w:w="1614" w:type="dxa"/>
            <w:hideMark/>
          </w:tcPr>
          <w:p w14:paraId="6A11808A" w14:textId="77777777" w:rsidR="00B85C33" w:rsidRPr="000F6DEF" w:rsidRDefault="00B85C33" w:rsidP="000376C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Participants</w:t>
            </w:r>
          </w:p>
        </w:tc>
        <w:tc>
          <w:tcPr>
            <w:tcW w:w="2133" w:type="dxa"/>
            <w:hideMark/>
          </w:tcPr>
          <w:p w14:paraId="3C7D20EC" w14:textId="77777777" w:rsidR="00B85C33" w:rsidRPr="000F6DEF" w:rsidRDefault="00B85C33" w:rsidP="000376C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Recruitment/ selection method</w:t>
            </w:r>
          </w:p>
        </w:tc>
        <w:tc>
          <w:tcPr>
            <w:tcW w:w="1523" w:type="dxa"/>
            <w:hideMark/>
          </w:tcPr>
          <w:p w14:paraId="2764E211" w14:textId="77777777" w:rsidR="00B85C33" w:rsidRPr="000F6DEF" w:rsidRDefault="00B85C33" w:rsidP="000376C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 xml:space="preserve">Admin Method </w:t>
            </w:r>
          </w:p>
        </w:tc>
        <w:tc>
          <w:tcPr>
            <w:tcW w:w="1906" w:type="dxa"/>
            <w:hideMark/>
          </w:tcPr>
          <w:p w14:paraId="644161F7" w14:textId="77777777" w:rsidR="00B85C33" w:rsidRPr="000F6DEF" w:rsidRDefault="00B85C33" w:rsidP="000376C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r w:rsidRPr="000F6DEF">
              <w:rPr>
                <w:rFonts w:asciiTheme="minorHAnsi" w:hAnsiTheme="minorHAnsi" w:cstheme="minorHAnsi"/>
                <w:color w:val="auto"/>
                <w:sz w:val="16"/>
                <w:szCs w:val="16"/>
              </w:rPr>
              <w:t>Measures</w:t>
            </w:r>
          </w:p>
        </w:tc>
      </w:tr>
      <w:tr w:rsidR="00B85C33" w:rsidRPr="000F6DEF" w14:paraId="31DBEDBE" w14:textId="77777777" w:rsidTr="000376C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88" w:type="dxa"/>
          </w:tcPr>
          <w:p w14:paraId="437525DC" w14:textId="77777777" w:rsidR="00B85C33" w:rsidRPr="000F6DEF" w:rsidRDefault="00B85C33" w:rsidP="000376C7">
            <w:pPr>
              <w:spacing w:after="0"/>
              <w:rPr>
                <w:rFonts w:eastAsia="Times New Roman" w:cs="Calibri"/>
                <w:color w:val="auto"/>
                <w:sz w:val="16"/>
                <w:szCs w:val="16"/>
              </w:rPr>
            </w:pPr>
            <w:r w:rsidRPr="000F6DEF">
              <w:rPr>
                <w:rFonts w:cs="Calibri"/>
                <w:color w:val="auto"/>
                <w:sz w:val="16"/>
                <w:szCs w:val="16"/>
              </w:rPr>
              <w:t>Barrington</w:t>
            </w:r>
            <w:r w:rsidRPr="000F6DEF">
              <w:rPr>
                <w:rFonts w:cs="Calibri"/>
                <w:color w:val="auto"/>
                <w:sz w:val="16"/>
                <w:szCs w:val="16"/>
              </w:rPr>
              <w:noBreakHyphen/>
              <w:t>Trimis, Gibson, Halpern</w:t>
            </w:r>
            <w:r w:rsidRPr="000F6DEF">
              <w:rPr>
                <w:rFonts w:cs="Calibri"/>
                <w:color w:val="auto"/>
                <w:sz w:val="16"/>
                <w:szCs w:val="16"/>
              </w:rPr>
              <w:noBreakHyphen/>
              <w:t>Felsher et al</w:t>
            </w:r>
          </w:p>
        </w:tc>
        <w:tc>
          <w:tcPr>
            <w:tcW w:w="2831" w:type="dxa"/>
          </w:tcPr>
          <w:p w14:paraId="003A3A60" w14:textId="70592B72"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Report the prevalence of using different device types among a combined 2</w:t>
            </w:r>
            <w:r w:rsidR="00CE05B6">
              <w:rPr>
                <w:rFonts w:cs="Calibri"/>
                <w:color w:val="auto"/>
                <w:sz w:val="16"/>
                <w:szCs w:val="16"/>
              </w:rPr>
              <w:t>,</w:t>
            </w:r>
            <w:r w:rsidRPr="000F6DEF">
              <w:rPr>
                <w:rFonts w:cs="Calibri"/>
                <w:color w:val="auto"/>
                <w:sz w:val="16"/>
                <w:szCs w:val="16"/>
              </w:rPr>
              <w:t xml:space="preserve">166 adolescent and young adult </w:t>
            </w:r>
            <w:r>
              <w:rPr>
                <w:rFonts w:cs="Calibri"/>
                <w:color w:val="auto"/>
                <w:sz w:val="16"/>
                <w:szCs w:val="16"/>
              </w:rPr>
              <w:t>e</w:t>
            </w:r>
            <w:r>
              <w:rPr>
                <w:rFonts w:cs="Calibri"/>
                <w:color w:val="auto"/>
                <w:sz w:val="16"/>
                <w:szCs w:val="16"/>
              </w:rPr>
              <w:noBreakHyphen/>
              <w:t>cig</w:t>
            </w:r>
            <w:r w:rsidRPr="000F6DEF">
              <w:rPr>
                <w:rFonts w:cs="Calibri"/>
                <w:color w:val="auto"/>
                <w:sz w:val="16"/>
                <w:szCs w:val="16"/>
              </w:rPr>
              <w:t>arette users across eight different studies</w:t>
            </w:r>
            <w:r w:rsidR="00CE05B6">
              <w:rPr>
                <w:rFonts w:cs="Calibri"/>
                <w:color w:val="auto"/>
                <w:sz w:val="16"/>
                <w:szCs w:val="16"/>
              </w:rPr>
              <w:t>.</w:t>
            </w:r>
          </w:p>
        </w:tc>
        <w:tc>
          <w:tcPr>
            <w:tcW w:w="1305" w:type="dxa"/>
          </w:tcPr>
          <w:p w14:paraId="54DE12FF"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Combination of 8 studies</w:t>
            </w:r>
          </w:p>
        </w:tc>
        <w:tc>
          <w:tcPr>
            <w:tcW w:w="1039" w:type="dxa"/>
          </w:tcPr>
          <w:p w14:paraId="668B9B39"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 xml:space="preserve">California (3 studies), Texas (2 studies), Connecticut (1 study), or randomly selected from the US population (2 studies). </w:t>
            </w:r>
          </w:p>
        </w:tc>
        <w:tc>
          <w:tcPr>
            <w:tcW w:w="1032" w:type="dxa"/>
          </w:tcPr>
          <w:p w14:paraId="14CED917"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Fall 2014 and Spring 2016</w:t>
            </w:r>
          </w:p>
        </w:tc>
        <w:tc>
          <w:tcPr>
            <w:tcW w:w="1614" w:type="dxa"/>
          </w:tcPr>
          <w:p w14:paraId="5E6AF2BD" w14:textId="1157F8FA"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2</w:t>
            </w:r>
            <w:r w:rsidR="00FB01C7">
              <w:rPr>
                <w:rFonts w:cs="Calibri"/>
                <w:color w:val="auto"/>
                <w:sz w:val="16"/>
                <w:szCs w:val="16"/>
              </w:rPr>
              <w:t>,</w:t>
            </w:r>
            <w:r w:rsidRPr="000F6DEF">
              <w:rPr>
                <w:rFonts w:cs="Calibri"/>
                <w:color w:val="auto"/>
                <w:sz w:val="16"/>
                <w:szCs w:val="16"/>
              </w:rPr>
              <w:t>166 adolescents</w:t>
            </w:r>
          </w:p>
        </w:tc>
        <w:tc>
          <w:tcPr>
            <w:tcW w:w="2133" w:type="dxa"/>
          </w:tcPr>
          <w:p w14:paraId="47EF1D05"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NR</w:t>
            </w:r>
          </w:p>
        </w:tc>
        <w:tc>
          <w:tcPr>
            <w:tcW w:w="1523" w:type="dxa"/>
          </w:tcPr>
          <w:p w14:paraId="3B3912EC"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Surveys were administered in school (2 studies), online (5 studies), or by phone (1 study).</w:t>
            </w:r>
          </w:p>
        </w:tc>
        <w:tc>
          <w:tcPr>
            <w:tcW w:w="1906" w:type="dxa"/>
          </w:tcPr>
          <w:p w14:paraId="1797B3DD"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Demographics</w:t>
            </w:r>
            <w:r w:rsidRPr="000F6DEF">
              <w:rPr>
                <w:rFonts w:cs="Calibri"/>
                <w:color w:val="auto"/>
                <w:sz w:val="16"/>
                <w:szCs w:val="16"/>
              </w:rPr>
              <w:br/>
            </w:r>
            <w:r>
              <w:rPr>
                <w:rFonts w:cs="Calibri"/>
                <w:color w:val="auto"/>
                <w:sz w:val="16"/>
                <w:szCs w:val="16"/>
              </w:rPr>
              <w:t>e</w:t>
            </w:r>
            <w:r>
              <w:rPr>
                <w:rFonts w:cs="Calibri"/>
                <w:color w:val="auto"/>
                <w:sz w:val="16"/>
                <w:szCs w:val="16"/>
              </w:rPr>
              <w:noBreakHyphen/>
              <w:t>cig</w:t>
            </w:r>
            <w:r w:rsidRPr="000F6DEF">
              <w:rPr>
                <w:rFonts w:cs="Calibri"/>
                <w:color w:val="auto"/>
                <w:sz w:val="16"/>
                <w:szCs w:val="16"/>
              </w:rPr>
              <w:t>arette use</w:t>
            </w:r>
            <w:r w:rsidRPr="000F6DEF">
              <w:rPr>
                <w:rFonts w:cs="Calibri"/>
                <w:color w:val="auto"/>
                <w:sz w:val="16"/>
                <w:szCs w:val="16"/>
              </w:rPr>
              <w:br/>
            </w:r>
            <w:r>
              <w:rPr>
                <w:rFonts w:cs="Calibri"/>
                <w:color w:val="auto"/>
                <w:sz w:val="16"/>
                <w:szCs w:val="16"/>
              </w:rPr>
              <w:t>e</w:t>
            </w:r>
            <w:r>
              <w:rPr>
                <w:rFonts w:cs="Calibri"/>
                <w:color w:val="auto"/>
                <w:sz w:val="16"/>
                <w:szCs w:val="16"/>
              </w:rPr>
              <w:noBreakHyphen/>
              <w:t>cig</w:t>
            </w:r>
            <w:r w:rsidRPr="000F6DEF">
              <w:rPr>
                <w:rFonts w:cs="Calibri"/>
                <w:color w:val="auto"/>
                <w:sz w:val="16"/>
                <w:szCs w:val="16"/>
              </w:rPr>
              <w:t>arette device type</w:t>
            </w:r>
          </w:p>
        </w:tc>
      </w:tr>
      <w:tr w:rsidR="00B85C33" w:rsidRPr="000F6DEF" w14:paraId="57F8F773" w14:textId="77777777" w:rsidTr="000376C7">
        <w:trPr>
          <w:trHeight w:val="567"/>
        </w:trPr>
        <w:tc>
          <w:tcPr>
            <w:cnfStyle w:val="001000000000" w:firstRow="0" w:lastRow="0" w:firstColumn="1" w:lastColumn="0" w:oddVBand="0" w:evenVBand="0" w:oddHBand="0" w:evenHBand="0" w:firstRowFirstColumn="0" w:firstRowLastColumn="0" w:lastRowFirstColumn="0" w:lastRowLastColumn="0"/>
            <w:tcW w:w="1388" w:type="dxa"/>
          </w:tcPr>
          <w:p w14:paraId="5D3C5E4D" w14:textId="77777777" w:rsidR="00B85C33" w:rsidRPr="000F6DEF" w:rsidRDefault="00B85C33" w:rsidP="000376C7">
            <w:pPr>
              <w:rPr>
                <w:rFonts w:cs="Calibri"/>
                <w:color w:val="auto"/>
                <w:sz w:val="16"/>
                <w:szCs w:val="16"/>
              </w:rPr>
            </w:pPr>
            <w:r w:rsidRPr="000F6DEF">
              <w:rPr>
                <w:rFonts w:cs="Calibri"/>
                <w:color w:val="auto"/>
                <w:sz w:val="16"/>
                <w:szCs w:val="16"/>
              </w:rPr>
              <w:t>Bersamin, Paschall, Fisher</w:t>
            </w:r>
          </w:p>
        </w:tc>
        <w:tc>
          <w:tcPr>
            <w:tcW w:w="2831" w:type="dxa"/>
          </w:tcPr>
          <w:p w14:paraId="6FFA865D" w14:textId="22E309D9"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The current study extends previous research and examines possible differences in the association between school</w:t>
            </w:r>
            <w:r w:rsidRPr="000F6DEF">
              <w:rPr>
                <w:rFonts w:cs="Calibri"/>
                <w:color w:val="auto"/>
                <w:sz w:val="16"/>
                <w:szCs w:val="16"/>
              </w:rPr>
              <w:noBreakHyphen/>
              <w:t>based health centre exposure and adolescent alcohol, tobacco, and other drug use by race/ethnicity, sex, and socioeconomic status</w:t>
            </w:r>
            <w:r w:rsidR="00CE05B6">
              <w:rPr>
                <w:rFonts w:cs="Calibri"/>
                <w:color w:val="auto"/>
                <w:sz w:val="16"/>
                <w:szCs w:val="16"/>
              </w:rPr>
              <w:t>.</w:t>
            </w:r>
          </w:p>
        </w:tc>
        <w:tc>
          <w:tcPr>
            <w:tcW w:w="1305" w:type="dxa"/>
          </w:tcPr>
          <w:p w14:paraId="7901882E"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California Healthy Kids Survey</w:t>
            </w:r>
          </w:p>
        </w:tc>
        <w:tc>
          <w:tcPr>
            <w:tcW w:w="1039" w:type="dxa"/>
          </w:tcPr>
          <w:p w14:paraId="4AD24A37"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California, US</w:t>
            </w:r>
          </w:p>
        </w:tc>
        <w:tc>
          <w:tcPr>
            <w:tcW w:w="1032" w:type="dxa"/>
          </w:tcPr>
          <w:p w14:paraId="0076036A"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2013</w:t>
            </w:r>
          </w:p>
        </w:tc>
        <w:tc>
          <w:tcPr>
            <w:tcW w:w="1614" w:type="dxa"/>
          </w:tcPr>
          <w:p w14:paraId="4A6DAE68" w14:textId="6B6E955C"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504 schools</w:t>
            </w:r>
            <w:r w:rsidR="008146F9">
              <w:rPr>
                <w:rFonts w:cs="Calibri"/>
                <w:color w:val="auto"/>
                <w:sz w:val="16"/>
                <w:szCs w:val="16"/>
              </w:rPr>
              <w:t xml:space="preserve"> </w:t>
            </w:r>
            <w:r w:rsidRPr="000F6DEF">
              <w:rPr>
                <w:rFonts w:cs="Calibri"/>
                <w:color w:val="auto"/>
                <w:sz w:val="16"/>
                <w:szCs w:val="16"/>
              </w:rPr>
              <w:t>330,764 9</w:t>
            </w:r>
            <w:r w:rsidRPr="000F6DEF">
              <w:rPr>
                <w:rFonts w:cs="Calibri"/>
                <w:color w:val="auto"/>
                <w:sz w:val="16"/>
                <w:szCs w:val="16"/>
              </w:rPr>
              <w:noBreakHyphen/>
              <w:t>12 graders</w:t>
            </w:r>
          </w:p>
          <w:p w14:paraId="6CC8AEC3"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Mean age: 15.4(1.2)</w:t>
            </w:r>
          </w:p>
          <w:p w14:paraId="69E5521E"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49% males</w:t>
            </w:r>
          </w:p>
        </w:tc>
        <w:tc>
          <w:tcPr>
            <w:tcW w:w="2133" w:type="dxa"/>
          </w:tcPr>
          <w:p w14:paraId="1D8C3CAA"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 xml:space="preserve">Survey conducted by WestEd. </w:t>
            </w:r>
          </w:p>
        </w:tc>
        <w:tc>
          <w:tcPr>
            <w:tcW w:w="1523" w:type="dxa"/>
          </w:tcPr>
          <w:p w14:paraId="28001196"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Anonymous, self</w:t>
            </w:r>
            <w:r w:rsidRPr="000F6DEF">
              <w:rPr>
                <w:rFonts w:cs="Calibri"/>
                <w:color w:val="auto"/>
                <w:sz w:val="16"/>
                <w:szCs w:val="16"/>
              </w:rPr>
              <w:noBreakHyphen/>
              <w:t>administered in classrooms as written or internet</w:t>
            </w:r>
            <w:r w:rsidRPr="000F6DEF">
              <w:rPr>
                <w:rFonts w:cs="Calibri"/>
                <w:color w:val="auto"/>
                <w:sz w:val="16"/>
                <w:szCs w:val="16"/>
              </w:rPr>
              <w:noBreakHyphen/>
              <w:t>based</w:t>
            </w:r>
          </w:p>
        </w:tc>
        <w:tc>
          <w:tcPr>
            <w:tcW w:w="1906" w:type="dxa"/>
          </w:tcPr>
          <w:p w14:paraId="25AF7A71" w14:textId="69463D4E"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Lifetime and past</w:t>
            </w:r>
            <w:r w:rsidRPr="000F6DEF">
              <w:rPr>
                <w:rFonts w:cs="Calibri"/>
                <w:color w:val="auto"/>
                <w:sz w:val="16"/>
                <w:szCs w:val="16"/>
              </w:rPr>
              <w:noBreakHyphen/>
              <w:t>month substance use</w:t>
            </w:r>
            <w:r w:rsidR="008146F9">
              <w:rPr>
                <w:rFonts w:cs="Calibri"/>
                <w:color w:val="auto"/>
                <w:sz w:val="16"/>
                <w:szCs w:val="16"/>
              </w:rPr>
              <w:t xml:space="preserve"> </w:t>
            </w:r>
            <w:r w:rsidRPr="000F6DEF">
              <w:rPr>
                <w:rFonts w:cs="Calibri"/>
                <w:color w:val="auto"/>
                <w:sz w:val="16"/>
                <w:szCs w:val="16"/>
              </w:rPr>
              <w:t>Demographics</w:t>
            </w:r>
          </w:p>
        </w:tc>
      </w:tr>
      <w:tr w:rsidR="00B85C33" w:rsidRPr="000F6DEF" w14:paraId="0D1C63B3" w14:textId="77777777" w:rsidTr="000376C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88" w:type="dxa"/>
          </w:tcPr>
          <w:p w14:paraId="0539CBAD" w14:textId="77777777" w:rsidR="00B85C33" w:rsidRPr="000F6DEF" w:rsidRDefault="00B85C33" w:rsidP="000376C7">
            <w:pPr>
              <w:rPr>
                <w:rFonts w:cs="Calibri"/>
                <w:color w:val="auto"/>
                <w:sz w:val="16"/>
                <w:szCs w:val="16"/>
              </w:rPr>
            </w:pPr>
            <w:r w:rsidRPr="000F6DEF">
              <w:rPr>
                <w:rFonts w:cs="Calibri"/>
                <w:color w:val="auto"/>
                <w:sz w:val="16"/>
                <w:szCs w:val="16"/>
              </w:rPr>
              <w:t>Case, Harrell, Perez et al</w:t>
            </w:r>
          </w:p>
        </w:tc>
        <w:tc>
          <w:tcPr>
            <w:tcW w:w="2831" w:type="dxa"/>
          </w:tcPr>
          <w:p w14:paraId="1547579C" w14:textId="29A74540"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This study examined cross</w:t>
            </w:r>
            <w:r w:rsidRPr="000F6DEF">
              <w:rPr>
                <w:rFonts w:cs="Calibri"/>
                <w:color w:val="auto"/>
                <w:sz w:val="16"/>
                <w:szCs w:val="16"/>
              </w:rPr>
              <w:noBreakHyphen/>
              <w:t xml:space="preserve">sectional and longitudinal associations between sensation seeking and a variety of </w:t>
            </w:r>
            <w:r>
              <w:rPr>
                <w:rFonts w:cs="Calibri"/>
                <w:color w:val="auto"/>
                <w:sz w:val="16"/>
                <w:szCs w:val="16"/>
              </w:rPr>
              <w:t>e</w:t>
            </w:r>
            <w:r>
              <w:rPr>
                <w:rFonts w:cs="Calibri"/>
                <w:color w:val="auto"/>
                <w:sz w:val="16"/>
                <w:szCs w:val="16"/>
              </w:rPr>
              <w:noBreakHyphen/>
              <w:t>cig</w:t>
            </w:r>
            <w:r w:rsidRPr="000F6DEF">
              <w:rPr>
                <w:rFonts w:cs="Calibri"/>
                <w:color w:val="auto"/>
                <w:sz w:val="16"/>
                <w:szCs w:val="16"/>
              </w:rPr>
              <w:t>arette use behaviours among Texas adolescents</w:t>
            </w:r>
            <w:r w:rsidR="00CE05B6">
              <w:rPr>
                <w:rFonts w:cs="Calibri"/>
                <w:color w:val="auto"/>
                <w:sz w:val="16"/>
                <w:szCs w:val="16"/>
              </w:rPr>
              <w:t>.</w:t>
            </w:r>
          </w:p>
        </w:tc>
        <w:tc>
          <w:tcPr>
            <w:tcW w:w="1305" w:type="dxa"/>
          </w:tcPr>
          <w:p w14:paraId="6CF8B224"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Texas Adolescent Tobacco and Marketing Surveillance System (TATAMS)</w:t>
            </w:r>
          </w:p>
        </w:tc>
        <w:tc>
          <w:tcPr>
            <w:tcW w:w="1039" w:type="dxa"/>
          </w:tcPr>
          <w:p w14:paraId="1BD7114E"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Texas, US</w:t>
            </w:r>
          </w:p>
        </w:tc>
        <w:tc>
          <w:tcPr>
            <w:tcW w:w="1032" w:type="dxa"/>
          </w:tcPr>
          <w:p w14:paraId="24BFAB7D"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2014</w:t>
            </w:r>
            <w:r w:rsidRPr="000F6DEF">
              <w:rPr>
                <w:rFonts w:cs="Calibri"/>
                <w:color w:val="auto"/>
                <w:sz w:val="16"/>
                <w:szCs w:val="16"/>
              </w:rPr>
              <w:noBreakHyphen/>
              <w:t>2015</w:t>
            </w:r>
          </w:p>
        </w:tc>
        <w:tc>
          <w:tcPr>
            <w:tcW w:w="1614" w:type="dxa"/>
          </w:tcPr>
          <w:p w14:paraId="68229F31" w14:textId="4C651B71"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N=2</w:t>
            </w:r>
            <w:r w:rsidR="00FB01C7">
              <w:rPr>
                <w:rFonts w:cs="Calibri"/>
                <w:color w:val="auto"/>
                <w:sz w:val="16"/>
                <w:szCs w:val="16"/>
              </w:rPr>
              <w:t>,</w:t>
            </w:r>
            <w:r w:rsidRPr="000F6DEF">
              <w:rPr>
                <w:rFonts w:cs="Calibri"/>
                <w:color w:val="auto"/>
                <w:sz w:val="16"/>
                <w:szCs w:val="16"/>
              </w:rPr>
              <w:t>488 at follow up</w:t>
            </w:r>
            <w:r w:rsidRPr="000F6DEF">
              <w:rPr>
                <w:rFonts w:cs="Calibri"/>
                <w:color w:val="auto"/>
                <w:sz w:val="16"/>
                <w:szCs w:val="16"/>
              </w:rPr>
              <w:br/>
              <w:t>3</w:t>
            </w:r>
            <w:r w:rsidR="00FB01C7">
              <w:rPr>
                <w:rFonts w:cs="Calibri"/>
                <w:color w:val="auto"/>
                <w:sz w:val="16"/>
                <w:szCs w:val="16"/>
              </w:rPr>
              <w:t>,</w:t>
            </w:r>
            <w:r w:rsidRPr="000F6DEF">
              <w:rPr>
                <w:rFonts w:cs="Calibri"/>
                <w:color w:val="auto"/>
                <w:sz w:val="16"/>
                <w:szCs w:val="16"/>
              </w:rPr>
              <w:t xml:space="preserve">907 at baseline </w:t>
            </w:r>
          </w:p>
          <w:p w14:paraId="13421144"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Baseline 51.1% males</w:t>
            </w:r>
          </w:p>
        </w:tc>
        <w:tc>
          <w:tcPr>
            <w:tcW w:w="2133" w:type="dxa"/>
          </w:tcPr>
          <w:p w14:paraId="689D17D8"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TATAMS is a three</w:t>
            </w:r>
            <w:r w:rsidRPr="000F6DEF">
              <w:rPr>
                <w:rFonts w:cs="Calibri"/>
                <w:color w:val="auto"/>
                <w:sz w:val="16"/>
                <w:szCs w:val="16"/>
              </w:rPr>
              <w:noBreakHyphen/>
              <w:t>year longitudinal study. Complex probability sampling representative of grades 6,8,10 in 4 largest cities in Texas.</w:t>
            </w:r>
          </w:p>
        </w:tc>
        <w:tc>
          <w:tcPr>
            <w:tcW w:w="1523" w:type="dxa"/>
          </w:tcPr>
          <w:p w14:paraId="6DA8B7DF"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NR</w:t>
            </w:r>
          </w:p>
        </w:tc>
        <w:tc>
          <w:tcPr>
            <w:tcW w:w="1906" w:type="dxa"/>
          </w:tcPr>
          <w:p w14:paraId="7CA2D042" w14:textId="1303BC35"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 xml:space="preserve">Susceptibility to </w:t>
            </w:r>
            <w:r>
              <w:rPr>
                <w:rFonts w:cs="Calibri"/>
                <w:color w:val="auto"/>
                <w:sz w:val="16"/>
                <w:szCs w:val="16"/>
              </w:rPr>
              <w:t>e</w:t>
            </w:r>
            <w:r>
              <w:rPr>
                <w:rFonts w:cs="Calibri"/>
                <w:color w:val="auto"/>
                <w:sz w:val="16"/>
                <w:szCs w:val="16"/>
              </w:rPr>
              <w:noBreakHyphen/>
              <w:t>cig</w:t>
            </w:r>
            <w:r w:rsidRPr="000F6DEF">
              <w:rPr>
                <w:rFonts w:cs="Calibri"/>
                <w:color w:val="auto"/>
                <w:sz w:val="16"/>
                <w:szCs w:val="16"/>
              </w:rPr>
              <w:t>arette use</w:t>
            </w:r>
            <w:r w:rsidRPr="000F6DEF">
              <w:rPr>
                <w:rFonts w:cs="Calibri"/>
                <w:color w:val="auto"/>
                <w:sz w:val="16"/>
                <w:szCs w:val="16"/>
              </w:rPr>
              <w:br/>
              <w:t xml:space="preserve">Ever use </w:t>
            </w:r>
            <w:r>
              <w:rPr>
                <w:rFonts w:cs="Calibri"/>
                <w:color w:val="auto"/>
                <w:sz w:val="16"/>
                <w:szCs w:val="16"/>
              </w:rPr>
              <w:t>e</w:t>
            </w:r>
            <w:r>
              <w:rPr>
                <w:rFonts w:cs="Calibri"/>
                <w:color w:val="auto"/>
                <w:sz w:val="16"/>
                <w:szCs w:val="16"/>
              </w:rPr>
              <w:noBreakHyphen/>
              <w:t>cig</w:t>
            </w:r>
            <w:r w:rsidR="00FB01C7">
              <w:rPr>
                <w:rFonts w:cs="Calibri"/>
                <w:color w:val="auto"/>
                <w:sz w:val="16"/>
                <w:szCs w:val="16"/>
              </w:rPr>
              <w:t>arettes</w:t>
            </w:r>
            <w:r w:rsidRPr="000F6DEF">
              <w:rPr>
                <w:rFonts w:cs="Calibri"/>
                <w:color w:val="auto"/>
                <w:sz w:val="16"/>
                <w:szCs w:val="16"/>
              </w:rPr>
              <w:br/>
              <w:t xml:space="preserve">Current use </w:t>
            </w:r>
            <w:r>
              <w:rPr>
                <w:rFonts w:cs="Calibri"/>
                <w:color w:val="auto"/>
                <w:sz w:val="16"/>
                <w:szCs w:val="16"/>
              </w:rPr>
              <w:t>e</w:t>
            </w:r>
            <w:r>
              <w:rPr>
                <w:rFonts w:cs="Calibri"/>
                <w:color w:val="auto"/>
                <w:sz w:val="16"/>
                <w:szCs w:val="16"/>
              </w:rPr>
              <w:noBreakHyphen/>
              <w:t>cig</w:t>
            </w:r>
            <w:r w:rsidR="00FB01C7">
              <w:rPr>
                <w:rFonts w:cs="Calibri"/>
                <w:color w:val="auto"/>
                <w:sz w:val="16"/>
                <w:szCs w:val="16"/>
              </w:rPr>
              <w:t>arettes</w:t>
            </w:r>
            <w:r w:rsidRPr="000F6DEF">
              <w:rPr>
                <w:rFonts w:cs="Calibri"/>
                <w:color w:val="auto"/>
                <w:sz w:val="16"/>
                <w:szCs w:val="16"/>
              </w:rPr>
              <w:br/>
              <w:t>Sensation seeking</w:t>
            </w:r>
            <w:r w:rsidRPr="000F6DEF">
              <w:rPr>
                <w:rFonts w:cs="Calibri"/>
                <w:color w:val="auto"/>
                <w:sz w:val="16"/>
                <w:szCs w:val="16"/>
              </w:rPr>
              <w:br/>
              <w:t>Demographics</w:t>
            </w:r>
            <w:r w:rsidRPr="000F6DEF">
              <w:rPr>
                <w:rFonts w:cs="Calibri"/>
                <w:color w:val="auto"/>
                <w:sz w:val="16"/>
                <w:szCs w:val="16"/>
              </w:rPr>
              <w:br/>
              <w:t>Use of other tobacco products</w:t>
            </w:r>
          </w:p>
        </w:tc>
      </w:tr>
      <w:tr w:rsidR="00B85C33" w:rsidRPr="000F6DEF" w14:paraId="60D76BDF" w14:textId="77777777" w:rsidTr="000376C7">
        <w:trPr>
          <w:trHeight w:val="567"/>
        </w:trPr>
        <w:tc>
          <w:tcPr>
            <w:cnfStyle w:val="001000000000" w:firstRow="0" w:lastRow="0" w:firstColumn="1" w:lastColumn="0" w:oddVBand="0" w:evenVBand="0" w:oddHBand="0" w:evenHBand="0" w:firstRowFirstColumn="0" w:firstRowLastColumn="0" w:lastRowFirstColumn="0" w:lastRowLastColumn="0"/>
            <w:tcW w:w="1388" w:type="dxa"/>
          </w:tcPr>
          <w:p w14:paraId="152976EA" w14:textId="77777777" w:rsidR="00B85C33" w:rsidRPr="000F6DEF" w:rsidRDefault="00B85C33" w:rsidP="000376C7">
            <w:pPr>
              <w:rPr>
                <w:rFonts w:cs="Calibri"/>
                <w:color w:val="auto"/>
                <w:sz w:val="16"/>
                <w:szCs w:val="16"/>
              </w:rPr>
            </w:pPr>
            <w:r w:rsidRPr="000F6DEF">
              <w:rPr>
                <w:rFonts w:cs="Calibri"/>
                <w:color w:val="auto"/>
                <w:sz w:val="16"/>
                <w:szCs w:val="16"/>
              </w:rPr>
              <w:t>Choi, Bestrashniy, Forster</w:t>
            </w:r>
          </w:p>
        </w:tc>
        <w:tc>
          <w:tcPr>
            <w:tcW w:w="2831" w:type="dxa"/>
          </w:tcPr>
          <w:p w14:paraId="72C39AEA"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 xml:space="preserve">We assessed trends in </w:t>
            </w:r>
            <w:r>
              <w:rPr>
                <w:rFonts w:cs="Calibri"/>
                <w:color w:val="auto"/>
                <w:sz w:val="16"/>
                <w:szCs w:val="16"/>
              </w:rPr>
              <w:t>e</w:t>
            </w:r>
            <w:r>
              <w:rPr>
                <w:rFonts w:cs="Calibri"/>
                <w:color w:val="auto"/>
                <w:sz w:val="16"/>
                <w:szCs w:val="16"/>
              </w:rPr>
              <w:noBreakHyphen/>
              <w:t>cig</w:t>
            </w:r>
            <w:r w:rsidRPr="000F6DEF">
              <w:rPr>
                <w:rFonts w:cs="Calibri"/>
                <w:color w:val="auto"/>
                <w:sz w:val="16"/>
                <w:szCs w:val="16"/>
              </w:rPr>
              <w:t>arette and snus in a cohort of young adults from the US Midwest.</w:t>
            </w:r>
          </w:p>
        </w:tc>
        <w:tc>
          <w:tcPr>
            <w:tcW w:w="1305" w:type="dxa"/>
          </w:tcPr>
          <w:p w14:paraId="551AEDC8"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Minnesota Adolescent Community Cohort (MAconventional cigarette) study</w:t>
            </w:r>
          </w:p>
        </w:tc>
        <w:tc>
          <w:tcPr>
            <w:tcW w:w="1039" w:type="dxa"/>
          </w:tcPr>
          <w:p w14:paraId="0520E55B"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Minnesota, US</w:t>
            </w:r>
          </w:p>
        </w:tc>
        <w:tc>
          <w:tcPr>
            <w:tcW w:w="1032" w:type="dxa"/>
          </w:tcPr>
          <w:p w14:paraId="5A0B8369"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2010</w:t>
            </w:r>
            <w:r w:rsidRPr="000F6DEF">
              <w:rPr>
                <w:rFonts w:cs="Calibri"/>
                <w:color w:val="auto"/>
                <w:sz w:val="16"/>
                <w:szCs w:val="16"/>
              </w:rPr>
              <w:noBreakHyphen/>
              <w:t>2013</w:t>
            </w:r>
          </w:p>
        </w:tc>
        <w:tc>
          <w:tcPr>
            <w:tcW w:w="1614" w:type="dxa"/>
          </w:tcPr>
          <w:p w14:paraId="06BD4B8F"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2010</w:t>
            </w:r>
            <w:r w:rsidRPr="000F6DEF">
              <w:rPr>
                <w:rFonts w:cs="Calibri"/>
                <w:color w:val="auto"/>
                <w:sz w:val="16"/>
                <w:szCs w:val="16"/>
              </w:rPr>
              <w:noBreakHyphen/>
              <w:t>2011 2622</w:t>
            </w:r>
            <w:r w:rsidRPr="000F6DEF">
              <w:rPr>
                <w:rFonts w:cs="Calibri"/>
                <w:color w:val="auto"/>
                <w:sz w:val="16"/>
                <w:szCs w:val="16"/>
              </w:rPr>
              <w:br/>
              <w:t>2011</w:t>
            </w:r>
            <w:r w:rsidRPr="000F6DEF">
              <w:rPr>
                <w:rFonts w:cs="Calibri"/>
                <w:color w:val="auto"/>
                <w:sz w:val="16"/>
                <w:szCs w:val="16"/>
              </w:rPr>
              <w:noBreakHyphen/>
              <w:t>2012 2550</w:t>
            </w:r>
            <w:r w:rsidRPr="000F6DEF">
              <w:rPr>
                <w:rFonts w:cs="Calibri"/>
                <w:color w:val="auto"/>
                <w:sz w:val="16"/>
                <w:szCs w:val="16"/>
              </w:rPr>
              <w:br/>
              <w:t>2012</w:t>
            </w:r>
            <w:r w:rsidRPr="000F6DEF">
              <w:rPr>
                <w:rFonts w:cs="Calibri"/>
                <w:color w:val="auto"/>
                <w:sz w:val="16"/>
                <w:szCs w:val="16"/>
              </w:rPr>
              <w:noBreakHyphen/>
              <w:t>2013 2420</w:t>
            </w:r>
          </w:p>
          <w:p w14:paraId="27085C75"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Mean ages: 2010</w:t>
            </w:r>
            <w:r w:rsidRPr="000F6DEF">
              <w:rPr>
                <w:rFonts w:cs="Calibri"/>
                <w:color w:val="auto"/>
                <w:sz w:val="16"/>
                <w:szCs w:val="16"/>
              </w:rPr>
              <w:noBreakHyphen/>
              <w:t>2011 24.0(1.7)</w:t>
            </w:r>
            <w:r w:rsidRPr="000F6DEF">
              <w:rPr>
                <w:rFonts w:cs="Calibri"/>
                <w:color w:val="auto"/>
                <w:sz w:val="16"/>
                <w:szCs w:val="16"/>
              </w:rPr>
              <w:br/>
              <w:t>2011</w:t>
            </w:r>
            <w:r w:rsidRPr="000F6DEF">
              <w:rPr>
                <w:rFonts w:cs="Calibri"/>
                <w:color w:val="auto"/>
                <w:sz w:val="16"/>
                <w:szCs w:val="16"/>
              </w:rPr>
              <w:noBreakHyphen/>
              <w:t>2012 25.0(1.7)</w:t>
            </w:r>
            <w:r w:rsidRPr="000F6DEF">
              <w:rPr>
                <w:rFonts w:cs="Calibri"/>
                <w:color w:val="auto"/>
                <w:sz w:val="16"/>
                <w:szCs w:val="16"/>
              </w:rPr>
              <w:br/>
              <w:t>2012</w:t>
            </w:r>
            <w:r w:rsidRPr="000F6DEF">
              <w:rPr>
                <w:rFonts w:cs="Calibri"/>
                <w:color w:val="auto"/>
                <w:sz w:val="16"/>
                <w:szCs w:val="16"/>
              </w:rPr>
              <w:noBreakHyphen/>
              <w:t>2013 26.0(1.7)</w:t>
            </w:r>
          </w:p>
          <w:p w14:paraId="06CFAE21"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 male: 2010</w:t>
            </w:r>
            <w:r w:rsidRPr="000F6DEF">
              <w:rPr>
                <w:rFonts w:cs="Calibri"/>
                <w:color w:val="auto"/>
                <w:sz w:val="16"/>
                <w:szCs w:val="16"/>
              </w:rPr>
              <w:noBreakHyphen/>
              <w:t>2011 47.3%</w:t>
            </w:r>
            <w:r w:rsidRPr="000F6DEF">
              <w:rPr>
                <w:rFonts w:cs="Calibri"/>
                <w:color w:val="auto"/>
                <w:sz w:val="16"/>
                <w:szCs w:val="16"/>
              </w:rPr>
              <w:br/>
              <w:t>2011</w:t>
            </w:r>
            <w:r w:rsidRPr="000F6DEF">
              <w:rPr>
                <w:rFonts w:cs="Calibri"/>
                <w:color w:val="auto"/>
                <w:sz w:val="16"/>
                <w:szCs w:val="16"/>
              </w:rPr>
              <w:noBreakHyphen/>
              <w:t>2012 47.6%</w:t>
            </w:r>
            <w:r w:rsidRPr="000F6DEF">
              <w:rPr>
                <w:rFonts w:cs="Calibri"/>
                <w:color w:val="auto"/>
                <w:sz w:val="16"/>
                <w:szCs w:val="16"/>
              </w:rPr>
              <w:br/>
              <w:t>2012</w:t>
            </w:r>
            <w:r w:rsidRPr="000F6DEF">
              <w:rPr>
                <w:rFonts w:cs="Calibri"/>
                <w:color w:val="auto"/>
                <w:sz w:val="16"/>
                <w:szCs w:val="16"/>
              </w:rPr>
              <w:noBreakHyphen/>
              <w:t>2013 46.8%</w:t>
            </w:r>
          </w:p>
        </w:tc>
        <w:tc>
          <w:tcPr>
            <w:tcW w:w="2133" w:type="dxa"/>
          </w:tcPr>
          <w:p w14:paraId="6857CF40"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 xml:space="preserve">Complex probability sample used to sample one adolescent per household among eligible households. Clearwater Research, Inc. conducted sampling and recruitment. </w:t>
            </w:r>
          </w:p>
        </w:tc>
        <w:tc>
          <w:tcPr>
            <w:tcW w:w="1523" w:type="dxa"/>
          </w:tcPr>
          <w:p w14:paraId="0BB6AAFC"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 xml:space="preserve">Telephone surveys that included questions about tobacco use and attitudes towards tobacco were completed every 6 months. $25 for participation. </w:t>
            </w:r>
          </w:p>
        </w:tc>
        <w:tc>
          <w:tcPr>
            <w:tcW w:w="1906" w:type="dxa"/>
          </w:tcPr>
          <w:p w14:paraId="79CA4C20" w14:textId="27A6D8A6"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 xml:space="preserve">Awareness </w:t>
            </w:r>
            <w:r>
              <w:rPr>
                <w:rFonts w:cs="Calibri"/>
                <w:color w:val="auto"/>
                <w:sz w:val="16"/>
                <w:szCs w:val="16"/>
              </w:rPr>
              <w:t>e</w:t>
            </w:r>
            <w:r>
              <w:rPr>
                <w:rFonts w:cs="Calibri"/>
                <w:color w:val="auto"/>
                <w:sz w:val="16"/>
                <w:szCs w:val="16"/>
              </w:rPr>
              <w:noBreakHyphen/>
              <w:t>cig</w:t>
            </w:r>
            <w:r w:rsidR="00FB01C7">
              <w:rPr>
                <w:rFonts w:cs="Calibri"/>
                <w:color w:val="auto"/>
                <w:sz w:val="16"/>
                <w:szCs w:val="16"/>
              </w:rPr>
              <w:t>arette</w:t>
            </w:r>
            <w:r w:rsidRPr="000F6DEF">
              <w:rPr>
                <w:rFonts w:cs="Calibri"/>
                <w:color w:val="auto"/>
                <w:sz w:val="16"/>
                <w:szCs w:val="16"/>
              </w:rPr>
              <w:br/>
              <w:t xml:space="preserve">Use </w:t>
            </w:r>
            <w:r>
              <w:rPr>
                <w:rFonts w:cs="Calibri"/>
                <w:color w:val="auto"/>
                <w:sz w:val="16"/>
                <w:szCs w:val="16"/>
              </w:rPr>
              <w:t>e</w:t>
            </w:r>
            <w:r>
              <w:rPr>
                <w:rFonts w:cs="Calibri"/>
                <w:color w:val="auto"/>
                <w:sz w:val="16"/>
                <w:szCs w:val="16"/>
              </w:rPr>
              <w:noBreakHyphen/>
              <w:t>cig</w:t>
            </w:r>
            <w:r w:rsidR="00FB01C7">
              <w:rPr>
                <w:rFonts w:cs="Calibri"/>
                <w:color w:val="auto"/>
                <w:sz w:val="16"/>
                <w:szCs w:val="16"/>
              </w:rPr>
              <w:t>arettes</w:t>
            </w:r>
            <w:r w:rsidRPr="000F6DEF">
              <w:rPr>
                <w:rFonts w:cs="Calibri"/>
                <w:color w:val="auto"/>
                <w:sz w:val="16"/>
                <w:szCs w:val="16"/>
              </w:rPr>
              <w:br/>
              <w:t>30</w:t>
            </w:r>
            <w:r w:rsidRPr="000F6DEF">
              <w:rPr>
                <w:rFonts w:cs="Calibri"/>
                <w:color w:val="auto"/>
                <w:sz w:val="16"/>
                <w:szCs w:val="16"/>
              </w:rPr>
              <w:noBreakHyphen/>
              <w:t xml:space="preserve">day use </w:t>
            </w:r>
            <w:r>
              <w:rPr>
                <w:rFonts w:cs="Calibri"/>
                <w:color w:val="auto"/>
                <w:sz w:val="16"/>
                <w:szCs w:val="16"/>
              </w:rPr>
              <w:t>e</w:t>
            </w:r>
            <w:r>
              <w:rPr>
                <w:rFonts w:cs="Calibri"/>
                <w:color w:val="auto"/>
                <w:sz w:val="16"/>
                <w:szCs w:val="16"/>
              </w:rPr>
              <w:noBreakHyphen/>
              <w:t>cig</w:t>
            </w:r>
            <w:r w:rsidR="00FB01C7">
              <w:rPr>
                <w:rFonts w:cs="Calibri"/>
                <w:color w:val="auto"/>
                <w:sz w:val="16"/>
                <w:szCs w:val="16"/>
              </w:rPr>
              <w:t>arettes</w:t>
            </w:r>
            <w:r w:rsidRPr="000F6DEF">
              <w:rPr>
                <w:rFonts w:cs="Calibri"/>
                <w:color w:val="auto"/>
                <w:sz w:val="16"/>
                <w:szCs w:val="16"/>
              </w:rPr>
              <w:br/>
              <w:t xml:space="preserve">Beliefs about </w:t>
            </w:r>
            <w:r>
              <w:rPr>
                <w:rFonts w:cs="Calibri"/>
                <w:color w:val="auto"/>
                <w:sz w:val="16"/>
                <w:szCs w:val="16"/>
              </w:rPr>
              <w:t>e</w:t>
            </w:r>
            <w:r>
              <w:rPr>
                <w:rFonts w:cs="Calibri"/>
                <w:color w:val="auto"/>
                <w:sz w:val="16"/>
                <w:szCs w:val="16"/>
              </w:rPr>
              <w:noBreakHyphen/>
              <w:t>cig</w:t>
            </w:r>
            <w:r w:rsidR="00FB01C7">
              <w:rPr>
                <w:rFonts w:cs="Calibri"/>
                <w:color w:val="auto"/>
                <w:sz w:val="16"/>
                <w:szCs w:val="16"/>
              </w:rPr>
              <w:t>arettes</w:t>
            </w:r>
            <w:r w:rsidRPr="000F6DEF">
              <w:rPr>
                <w:rFonts w:cs="Calibri"/>
                <w:color w:val="auto"/>
                <w:sz w:val="16"/>
                <w:szCs w:val="16"/>
              </w:rPr>
              <w:br/>
              <w:t>Demographics</w:t>
            </w:r>
          </w:p>
        </w:tc>
      </w:tr>
      <w:tr w:rsidR="00B85C33" w:rsidRPr="000F6DEF" w14:paraId="27216F57" w14:textId="77777777" w:rsidTr="000376C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88" w:type="dxa"/>
          </w:tcPr>
          <w:p w14:paraId="43523AC7" w14:textId="581EBE24" w:rsidR="00B85C33" w:rsidRPr="000F6DEF" w:rsidRDefault="00B85C33" w:rsidP="000376C7">
            <w:pPr>
              <w:rPr>
                <w:rFonts w:cs="Calibri"/>
                <w:color w:val="auto"/>
                <w:sz w:val="16"/>
                <w:szCs w:val="16"/>
              </w:rPr>
            </w:pPr>
            <w:r w:rsidRPr="000F6DEF">
              <w:rPr>
                <w:rFonts w:cs="Calibri"/>
                <w:color w:val="auto"/>
                <w:sz w:val="16"/>
                <w:szCs w:val="16"/>
              </w:rPr>
              <w:lastRenderedPageBreak/>
              <w:t xml:space="preserve">Creamer, Delk, Case </w:t>
            </w:r>
            <w:r w:rsidR="00065046">
              <w:rPr>
                <w:rFonts w:cs="Calibri"/>
                <w:color w:val="auto"/>
                <w:sz w:val="16"/>
                <w:szCs w:val="16"/>
              </w:rPr>
              <w:t>e</w:t>
            </w:r>
            <w:r w:rsidRPr="000F6DEF">
              <w:rPr>
                <w:rFonts w:cs="Calibri"/>
                <w:color w:val="auto"/>
                <w:sz w:val="16"/>
                <w:szCs w:val="16"/>
              </w:rPr>
              <w:t>t</w:t>
            </w:r>
            <w:r w:rsidR="008146F9">
              <w:rPr>
                <w:rFonts w:cs="Calibri"/>
                <w:color w:val="auto"/>
                <w:sz w:val="16"/>
                <w:szCs w:val="16"/>
              </w:rPr>
              <w:t xml:space="preserve"> </w:t>
            </w:r>
            <w:r w:rsidRPr="000F6DEF">
              <w:rPr>
                <w:rFonts w:cs="Calibri"/>
                <w:color w:val="auto"/>
                <w:sz w:val="16"/>
                <w:szCs w:val="16"/>
              </w:rPr>
              <w:t>al</w:t>
            </w:r>
          </w:p>
        </w:tc>
        <w:tc>
          <w:tcPr>
            <w:tcW w:w="2831" w:type="dxa"/>
          </w:tcPr>
          <w:p w14:paraId="44A5CC4B"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 xml:space="preserve">This study examines if outcome expectations at baseline, among an adolescent cohort of never users of tobacco products, predicts tobacco product use (i.e., cigarettes, hookah, </w:t>
            </w:r>
            <w:r>
              <w:rPr>
                <w:rFonts w:cs="Calibri"/>
                <w:color w:val="auto"/>
                <w:sz w:val="16"/>
                <w:szCs w:val="16"/>
              </w:rPr>
              <w:t>e</w:t>
            </w:r>
            <w:r>
              <w:rPr>
                <w:rFonts w:cs="Calibri"/>
                <w:color w:val="auto"/>
                <w:sz w:val="16"/>
                <w:szCs w:val="16"/>
              </w:rPr>
              <w:noBreakHyphen/>
              <w:t>cig</w:t>
            </w:r>
            <w:r w:rsidRPr="000F6DEF">
              <w:rPr>
                <w:rFonts w:cs="Calibri"/>
                <w:color w:val="auto"/>
                <w:sz w:val="16"/>
                <w:szCs w:val="16"/>
              </w:rPr>
              <w:t>arette, cigar, or smokeless tobacco) or susceptibility to use at 6</w:t>
            </w:r>
            <w:r w:rsidRPr="000F6DEF">
              <w:rPr>
                <w:rFonts w:cs="Calibri"/>
                <w:color w:val="auto"/>
                <w:sz w:val="16"/>
                <w:szCs w:val="16"/>
              </w:rPr>
              <w:noBreakHyphen/>
              <w:t>month follow</w:t>
            </w:r>
            <w:r w:rsidRPr="000F6DEF">
              <w:rPr>
                <w:rFonts w:cs="Calibri"/>
                <w:color w:val="auto"/>
                <w:sz w:val="16"/>
                <w:szCs w:val="16"/>
              </w:rPr>
              <w:noBreakHyphen/>
              <w:t xml:space="preserve">up. </w:t>
            </w:r>
          </w:p>
        </w:tc>
        <w:tc>
          <w:tcPr>
            <w:tcW w:w="1305" w:type="dxa"/>
          </w:tcPr>
          <w:p w14:paraId="279B3795"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 xml:space="preserve">Texas Adolescent Tobacco and Marketing Surveillance System (TATAMS) </w:t>
            </w:r>
          </w:p>
        </w:tc>
        <w:tc>
          <w:tcPr>
            <w:tcW w:w="1039" w:type="dxa"/>
          </w:tcPr>
          <w:p w14:paraId="08B01CE8"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Texas, US</w:t>
            </w:r>
          </w:p>
        </w:tc>
        <w:tc>
          <w:tcPr>
            <w:tcW w:w="1032" w:type="dxa"/>
          </w:tcPr>
          <w:p w14:paraId="6751B896"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2014</w:t>
            </w:r>
            <w:r w:rsidRPr="000F6DEF">
              <w:rPr>
                <w:rFonts w:cs="Calibri"/>
                <w:color w:val="auto"/>
                <w:sz w:val="16"/>
                <w:szCs w:val="16"/>
              </w:rPr>
              <w:noBreakHyphen/>
              <w:t>2015</w:t>
            </w:r>
          </w:p>
        </w:tc>
        <w:tc>
          <w:tcPr>
            <w:tcW w:w="1614" w:type="dxa"/>
          </w:tcPr>
          <w:p w14:paraId="45233732" w14:textId="766304FB"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Never users only at baseline</w:t>
            </w:r>
            <w:r w:rsidRPr="000F6DEF">
              <w:rPr>
                <w:rFonts w:cs="Calibri"/>
                <w:color w:val="auto"/>
                <w:sz w:val="16"/>
                <w:szCs w:val="16"/>
              </w:rPr>
              <w:br/>
              <w:t>n</w:t>
            </w:r>
            <w:r w:rsidR="00FB01C7">
              <w:rPr>
                <w:rFonts w:cs="Calibri"/>
                <w:color w:val="auto"/>
                <w:sz w:val="16"/>
                <w:szCs w:val="16"/>
              </w:rPr>
              <w:t>=</w:t>
            </w:r>
            <w:r w:rsidRPr="000F6DEF">
              <w:rPr>
                <w:rFonts w:cs="Calibri"/>
                <w:color w:val="auto"/>
                <w:sz w:val="16"/>
                <w:szCs w:val="16"/>
              </w:rPr>
              <w:t>1</w:t>
            </w:r>
            <w:r w:rsidR="00FB01C7">
              <w:rPr>
                <w:rFonts w:cs="Calibri"/>
                <w:color w:val="auto"/>
                <w:sz w:val="16"/>
                <w:szCs w:val="16"/>
              </w:rPr>
              <w:t>,</w:t>
            </w:r>
            <w:r w:rsidRPr="000F6DEF">
              <w:rPr>
                <w:rFonts w:cs="Calibri"/>
                <w:color w:val="auto"/>
                <w:sz w:val="16"/>
                <w:szCs w:val="16"/>
              </w:rPr>
              <w:t>999</w:t>
            </w:r>
          </w:p>
        </w:tc>
        <w:tc>
          <w:tcPr>
            <w:tcW w:w="2133" w:type="dxa"/>
          </w:tcPr>
          <w:p w14:paraId="730957CC"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TATAMS surveyed 3907 6th, 8th, and 10th grade students in the 5 counties that surround the 4 largest metropolitan areas</w:t>
            </w:r>
          </w:p>
        </w:tc>
        <w:tc>
          <w:tcPr>
            <w:tcW w:w="1523" w:type="dxa"/>
          </w:tcPr>
          <w:p w14:paraId="487A16C2"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NR</w:t>
            </w:r>
          </w:p>
        </w:tc>
        <w:tc>
          <w:tcPr>
            <w:tcW w:w="1906" w:type="dxa"/>
          </w:tcPr>
          <w:p w14:paraId="0EC7EED1"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Ever use smoking products</w:t>
            </w:r>
            <w:r w:rsidRPr="000F6DEF">
              <w:rPr>
                <w:rFonts w:cs="Calibri"/>
                <w:color w:val="auto"/>
                <w:sz w:val="16"/>
                <w:szCs w:val="16"/>
              </w:rPr>
              <w:br/>
              <w:t>Susceptibility to any smoking product</w:t>
            </w:r>
            <w:r w:rsidRPr="000F6DEF">
              <w:rPr>
                <w:rFonts w:cs="Calibri"/>
                <w:color w:val="auto"/>
                <w:sz w:val="16"/>
                <w:szCs w:val="16"/>
              </w:rPr>
              <w:br/>
              <w:t>Outcome expectancies for tobacco</w:t>
            </w:r>
            <w:r w:rsidRPr="000F6DEF">
              <w:rPr>
                <w:rFonts w:cs="Calibri"/>
                <w:color w:val="auto"/>
                <w:sz w:val="16"/>
                <w:szCs w:val="16"/>
              </w:rPr>
              <w:br/>
              <w:t>Demographics</w:t>
            </w:r>
          </w:p>
        </w:tc>
      </w:tr>
      <w:tr w:rsidR="00B85C33" w:rsidRPr="000F6DEF" w14:paraId="23AE41B8" w14:textId="77777777" w:rsidTr="000376C7">
        <w:trPr>
          <w:trHeight w:val="567"/>
        </w:trPr>
        <w:tc>
          <w:tcPr>
            <w:cnfStyle w:val="001000000000" w:firstRow="0" w:lastRow="0" w:firstColumn="1" w:lastColumn="0" w:oddVBand="0" w:evenVBand="0" w:oddHBand="0" w:evenHBand="0" w:firstRowFirstColumn="0" w:firstRowLastColumn="0" w:lastRowFirstColumn="0" w:lastRowLastColumn="0"/>
            <w:tcW w:w="1388" w:type="dxa"/>
          </w:tcPr>
          <w:p w14:paraId="48B924E9" w14:textId="77777777" w:rsidR="00B85C33" w:rsidRPr="000F6DEF" w:rsidRDefault="00B85C33" w:rsidP="000376C7">
            <w:pPr>
              <w:rPr>
                <w:rFonts w:cs="Calibri"/>
                <w:color w:val="auto"/>
                <w:sz w:val="16"/>
                <w:szCs w:val="16"/>
              </w:rPr>
            </w:pPr>
            <w:r w:rsidRPr="000F6DEF">
              <w:rPr>
                <w:rFonts w:cs="Calibri"/>
                <w:color w:val="auto"/>
                <w:sz w:val="16"/>
                <w:szCs w:val="16"/>
              </w:rPr>
              <w:t>Delk, Creamer, Perry, Harrell</w:t>
            </w:r>
          </w:p>
        </w:tc>
        <w:tc>
          <w:tcPr>
            <w:tcW w:w="2831" w:type="dxa"/>
          </w:tcPr>
          <w:p w14:paraId="01C9E35A"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 xml:space="preserve">Given the high rate of adolescent obesity and the rise in </w:t>
            </w:r>
            <w:r>
              <w:rPr>
                <w:rFonts w:cs="Calibri"/>
                <w:color w:val="auto"/>
                <w:sz w:val="16"/>
                <w:szCs w:val="16"/>
              </w:rPr>
              <w:t>e</w:t>
            </w:r>
            <w:r>
              <w:rPr>
                <w:rFonts w:cs="Calibri"/>
                <w:color w:val="auto"/>
                <w:sz w:val="16"/>
                <w:szCs w:val="16"/>
              </w:rPr>
              <w:noBreakHyphen/>
              <w:t>cig</w:t>
            </w:r>
            <w:r w:rsidRPr="000F6DEF">
              <w:rPr>
                <w:rFonts w:cs="Calibri"/>
                <w:color w:val="auto"/>
                <w:sz w:val="16"/>
                <w:szCs w:val="16"/>
              </w:rPr>
              <w:t xml:space="preserve">arette use in adolescents, this relationship should be investigated. </w:t>
            </w:r>
          </w:p>
        </w:tc>
        <w:tc>
          <w:tcPr>
            <w:tcW w:w="1305" w:type="dxa"/>
          </w:tcPr>
          <w:p w14:paraId="3923ABF8"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 xml:space="preserve">Texas Adolescent Tobacco and Marketing Surveillance (TATAMS) </w:t>
            </w:r>
          </w:p>
        </w:tc>
        <w:tc>
          <w:tcPr>
            <w:tcW w:w="1039" w:type="dxa"/>
          </w:tcPr>
          <w:p w14:paraId="28890C62"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Texas, US</w:t>
            </w:r>
          </w:p>
        </w:tc>
        <w:tc>
          <w:tcPr>
            <w:tcW w:w="1032" w:type="dxa"/>
          </w:tcPr>
          <w:p w14:paraId="2CACDA6D"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2015</w:t>
            </w:r>
            <w:r w:rsidRPr="000F6DEF">
              <w:rPr>
                <w:rFonts w:cs="Calibri"/>
                <w:color w:val="auto"/>
                <w:sz w:val="16"/>
                <w:szCs w:val="16"/>
              </w:rPr>
              <w:noBreakHyphen/>
              <w:t>2016</w:t>
            </w:r>
            <w:r w:rsidRPr="000F6DEF">
              <w:rPr>
                <w:rFonts w:cs="Calibri"/>
                <w:color w:val="auto"/>
                <w:sz w:val="16"/>
                <w:szCs w:val="16"/>
              </w:rPr>
              <w:br/>
              <w:t>Wave 3</w:t>
            </w:r>
          </w:p>
        </w:tc>
        <w:tc>
          <w:tcPr>
            <w:tcW w:w="1614" w:type="dxa"/>
          </w:tcPr>
          <w:p w14:paraId="7E4464BB"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2,733</w:t>
            </w:r>
          </w:p>
          <w:p w14:paraId="20D951AC"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Grades 7, 9 , 11</w:t>
            </w:r>
          </w:p>
          <w:p w14:paraId="4C1EF126"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n=1090 boys</w:t>
            </w:r>
            <w:r w:rsidRPr="000F6DEF">
              <w:rPr>
                <w:rFonts w:cs="Calibri"/>
                <w:color w:val="auto"/>
                <w:sz w:val="16"/>
                <w:szCs w:val="16"/>
              </w:rPr>
              <w:br/>
              <w:t>n=1434 girls</w:t>
            </w:r>
          </w:p>
        </w:tc>
        <w:tc>
          <w:tcPr>
            <w:tcW w:w="2133" w:type="dxa"/>
          </w:tcPr>
          <w:p w14:paraId="5A162B73"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As above</w:t>
            </w:r>
          </w:p>
        </w:tc>
        <w:tc>
          <w:tcPr>
            <w:tcW w:w="1523" w:type="dxa"/>
          </w:tcPr>
          <w:p w14:paraId="1F8DC328"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NR</w:t>
            </w:r>
          </w:p>
        </w:tc>
        <w:tc>
          <w:tcPr>
            <w:tcW w:w="1906" w:type="dxa"/>
          </w:tcPr>
          <w:p w14:paraId="1C8489FC" w14:textId="7E900BBD"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Weight status</w:t>
            </w:r>
            <w:r w:rsidRPr="000F6DEF">
              <w:rPr>
                <w:rFonts w:cs="Calibri"/>
                <w:color w:val="auto"/>
                <w:sz w:val="16"/>
                <w:szCs w:val="16"/>
              </w:rPr>
              <w:br/>
              <w:t xml:space="preserve">Ever use </w:t>
            </w:r>
            <w:r w:rsidR="005500FC">
              <w:rPr>
                <w:rFonts w:asciiTheme="minorHAnsi" w:hAnsiTheme="minorHAnsi" w:cstheme="minorHAnsi"/>
                <w:color w:val="auto"/>
                <w:sz w:val="16"/>
                <w:szCs w:val="16"/>
              </w:rPr>
              <w:t>e</w:t>
            </w:r>
            <w:r w:rsidR="005500FC">
              <w:rPr>
                <w:rFonts w:asciiTheme="minorHAnsi" w:hAnsiTheme="minorHAnsi" w:cstheme="minorHAnsi"/>
                <w:color w:val="auto"/>
                <w:sz w:val="16"/>
                <w:szCs w:val="16"/>
              </w:rPr>
              <w:noBreakHyphen/>
              <w:t>cigarette</w:t>
            </w:r>
            <w:r w:rsidRPr="000F6DEF">
              <w:rPr>
                <w:rFonts w:cs="Calibri"/>
                <w:color w:val="auto"/>
                <w:sz w:val="16"/>
                <w:szCs w:val="16"/>
              </w:rPr>
              <w:br/>
              <w:t>Past 30</w:t>
            </w:r>
            <w:r w:rsidRPr="000F6DEF">
              <w:rPr>
                <w:rFonts w:cs="Calibri"/>
                <w:color w:val="auto"/>
                <w:sz w:val="16"/>
                <w:szCs w:val="16"/>
              </w:rPr>
              <w:noBreakHyphen/>
              <w:t xml:space="preserve">day use </w:t>
            </w:r>
            <w:r w:rsidR="005500FC">
              <w:rPr>
                <w:rFonts w:asciiTheme="minorHAnsi" w:hAnsiTheme="minorHAnsi" w:cstheme="minorHAnsi"/>
                <w:color w:val="auto"/>
                <w:sz w:val="16"/>
                <w:szCs w:val="16"/>
              </w:rPr>
              <w:t>e</w:t>
            </w:r>
            <w:r w:rsidR="005500FC">
              <w:rPr>
                <w:rFonts w:asciiTheme="minorHAnsi" w:hAnsiTheme="minorHAnsi" w:cstheme="minorHAnsi"/>
                <w:color w:val="auto"/>
                <w:sz w:val="16"/>
                <w:szCs w:val="16"/>
              </w:rPr>
              <w:noBreakHyphen/>
              <w:t>cigarette</w:t>
            </w:r>
            <w:r w:rsidRPr="000F6DEF">
              <w:rPr>
                <w:rFonts w:cs="Calibri"/>
                <w:color w:val="auto"/>
                <w:sz w:val="16"/>
                <w:szCs w:val="16"/>
              </w:rPr>
              <w:br/>
              <w:t>Demographics</w:t>
            </w:r>
          </w:p>
        </w:tc>
      </w:tr>
      <w:tr w:rsidR="00B85C33" w:rsidRPr="000F6DEF" w14:paraId="1991D9B4" w14:textId="77777777" w:rsidTr="000376C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88" w:type="dxa"/>
          </w:tcPr>
          <w:p w14:paraId="6F1BFA05" w14:textId="77777777" w:rsidR="00B85C33" w:rsidRPr="000F6DEF" w:rsidRDefault="00B85C33" w:rsidP="000376C7">
            <w:pPr>
              <w:rPr>
                <w:rFonts w:cs="Calibri"/>
                <w:color w:val="auto"/>
                <w:sz w:val="16"/>
                <w:szCs w:val="16"/>
              </w:rPr>
            </w:pPr>
            <w:r w:rsidRPr="000F6DEF">
              <w:rPr>
                <w:rFonts w:cs="Calibri"/>
                <w:color w:val="auto"/>
                <w:sz w:val="16"/>
                <w:szCs w:val="16"/>
              </w:rPr>
              <w:t>Dunbar, Tucker, Ewing et al</w:t>
            </w:r>
          </w:p>
        </w:tc>
        <w:tc>
          <w:tcPr>
            <w:tcW w:w="2831" w:type="dxa"/>
          </w:tcPr>
          <w:p w14:paraId="1F538B47"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Pr>
                <w:rFonts w:cs="Calibri"/>
                <w:color w:val="auto"/>
                <w:sz w:val="16"/>
                <w:szCs w:val="16"/>
              </w:rPr>
              <w:t>E</w:t>
            </w:r>
            <w:r>
              <w:rPr>
                <w:rFonts w:cs="Calibri"/>
                <w:color w:val="auto"/>
                <w:sz w:val="16"/>
                <w:szCs w:val="16"/>
              </w:rPr>
              <w:noBreakHyphen/>
              <w:t>cig</w:t>
            </w:r>
            <w:r w:rsidRPr="000F6DEF">
              <w:rPr>
                <w:rFonts w:cs="Calibri"/>
                <w:color w:val="auto"/>
                <w:sz w:val="16"/>
                <w:szCs w:val="16"/>
              </w:rPr>
              <w:t>arettes (</w:t>
            </w:r>
            <w:r>
              <w:rPr>
                <w:rFonts w:cs="Calibri"/>
                <w:color w:val="auto"/>
                <w:sz w:val="16"/>
                <w:szCs w:val="16"/>
              </w:rPr>
              <w:t>e</w:t>
            </w:r>
            <w:r>
              <w:rPr>
                <w:rFonts w:cs="Calibri"/>
                <w:color w:val="auto"/>
                <w:sz w:val="16"/>
                <w:szCs w:val="16"/>
              </w:rPr>
              <w:noBreakHyphen/>
              <w:t>cig</w:t>
            </w:r>
            <w:r w:rsidRPr="000F6DEF">
              <w:rPr>
                <w:rFonts w:cs="Calibri"/>
                <w:color w:val="auto"/>
                <w:sz w:val="16"/>
                <w:szCs w:val="16"/>
              </w:rPr>
              <w:t xml:space="preserve">arettes) are increasingly popular among adolescents, who perceive them as "safer" than cigarettes. Although research has examined risk factors for adolescent </w:t>
            </w:r>
            <w:r>
              <w:rPr>
                <w:rFonts w:cs="Calibri"/>
                <w:color w:val="auto"/>
                <w:sz w:val="16"/>
                <w:szCs w:val="16"/>
              </w:rPr>
              <w:t>e</w:t>
            </w:r>
            <w:r>
              <w:rPr>
                <w:rFonts w:cs="Calibri"/>
                <w:color w:val="auto"/>
                <w:sz w:val="16"/>
                <w:szCs w:val="16"/>
              </w:rPr>
              <w:noBreakHyphen/>
              <w:t>cig</w:t>
            </w:r>
            <w:r w:rsidRPr="000F6DEF">
              <w:rPr>
                <w:rFonts w:cs="Calibri"/>
                <w:color w:val="auto"/>
                <w:sz w:val="16"/>
                <w:szCs w:val="16"/>
              </w:rPr>
              <w:t xml:space="preserve">arette use, little is known about how </w:t>
            </w:r>
            <w:r>
              <w:rPr>
                <w:rFonts w:cs="Calibri"/>
                <w:color w:val="auto"/>
                <w:sz w:val="16"/>
                <w:szCs w:val="16"/>
              </w:rPr>
              <w:t>e</w:t>
            </w:r>
            <w:r>
              <w:rPr>
                <w:rFonts w:cs="Calibri"/>
                <w:color w:val="auto"/>
                <w:sz w:val="16"/>
                <w:szCs w:val="16"/>
              </w:rPr>
              <w:noBreakHyphen/>
              <w:t>cig</w:t>
            </w:r>
            <w:r w:rsidRPr="000F6DEF">
              <w:rPr>
                <w:rFonts w:cs="Calibri"/>
                <w:color w:val="auto"/>
                <w:sz w:val="16"/>
                <w:szCs w:val="16"/>
              </w:rPr>
              <w:t xml:space="preserve">arette use correlates with health status and protective health behaviours. </w:t>
            </w:r>
          </w:p>
        </w:tc>
        <w:tc>
          <w:tcPr>
            <w:tcW w:w="1305" w:type="dxa"/>
          </w:tcPr>
          <w:p w14:paraId="6312E733"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CHOICE intervention program (wave 7)</w:t>
            </w:r>
          </w:p>
        </w:tc>
        <w:tc>
          <w:tcPr>
            <w:tcW w:w="1039" w:type="dxa"/>
          </w:tcPr>
          <w:p w14:paraId="673C8982"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Los Angeles, US</w:t>
            </w:r>
          </w:p>
        </w:tc>
        <w:tc>
          <w:tcPr>
            <w:tcW w:w="1032" w:type="dxa"/>
          </w:tcPr>
          <w:p w14:paraId="18743558"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2014</w:t>
            </w:r>
            <w:r w:rsidRPr="000F6DEF">
              <w:rPr>
                <w:rFonts w:cs="Calibri"/>
                <w:color w:val="auto"/>
                <w:sz w:val="16"/>
                <w:szCs w:val="16"/>
              </w:rPr>
              <w:noBreakHyphen/>
              <w:t>2015</w:t>
            </w:r>
          </w:p>
        </w:tc>
        <w:tc>
          <w:tcPr>
            <w:tcW w:w="1614" w:type="dxa"/>
          </w:tcPr>
          <w:p w14:paraId="3D2F20C6" w14:textId="5E21CB0C"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2</w:t>
            </w:r>
            <w:r w:rsidR="00FB01C7">
              <w:rPr>
                <w:rFonts w:cs="Calibri"/>
                <w:color w:val="auto"/>
                <w:sz w:val="16"/>
                <w:szCs w:val="16"/>
              </w:rPr>
              <w:t>,</w:t>
            </w:r>
            <w:r w:rsidRPr="000F6DEF">
              <w:rPr>
                <w:rFonts w:cs="Calibri"/>
                <w:color w:val="auto"/>
                <w:sz w:val="16"/>
                <w:szCs w:val="16"/>
              </w:rPr>
              <w:t>488</w:t>
            </w:r>
          </w:p>
          <w:p w14:paraId="5409216C"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Mean age: 17(0.67)</w:t>
            </w:r>
          </w:p>
          <w:p w14:paraId="7D540FBC"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46% males</w:t>
            </w:r>
          </w:p>
        </w:tc>
        <w:tc>
          <w:tcPr>
            <w:tcW w:w="2133" w:type="dxa"/>
          </w:tcPr>
          <w:p w14:paraId="1CECA7E5"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Part of the intervention program delivered in schools. Intervention program ended at wave 2.</w:t>
            </w:r>
          </w:p>
        </w:tc>
        <w:tc>
          <w:tcPr>
            <w:tcW w:w="1523" w:type="dxa"/>
          </w:tcPr>
          <w:p w14:paraId="3DF1B4C3"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Web</w:t>
            </w:r>
            <w:r w:rsidRPr="000F6DEF">
              <w:rPr>
                <w:rFonts w:cs="Calibri"/>
                <w:color w:val="auto"/>
                <w:sz w:val="16"/>
                <w:szCs w:val="16"/>
              </w:rPr>
              <w:noBreakHyphen/>
              <w:t>based</w:t>
            </w:r>
          </w:p>
        </w:tc>
        <w:tc>
          <w:tcPr>
            <w:tcW w:w="1906" w:type="dxa"/>
          </w:tcPr>
          <w:p w14:paraId="7CB07BFF"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Pr>
                <w:rFonts w:cs="Calibri"/>
                <w:color w:val="auto"/>
                <w:sz w:val="16"/>
                <w:szCs w:val="16"/>
              </w:rPr>
              <w:t>E</w:t>
            </w:r>
            <w:r>
              <w:rPr>
                <w:rFonts w:cs="Calibri"/>
                <w:color w:val="auto"/>
                <w:sz w:val="16"/>
                <w:szCs w:val="16"/>
              </w:rPr>
              <w:noBreakHyphen/>
              <w:t>cig</w:t>
            </w:r>
            <w:r w:rsidRPr="000F6DEF">
              <w:rPr>
                <w:rFonts w:cs="Calibri"/>
                <w:color w:val="auto"/>
                <w:sz w:val="16"/>
                <w:szCs w:val="16"/>
              </w:rPr>
              <w:t>arette use</w:t>
            </w:r>
            <w:r w:rsidRPr="000F6DEF">
              <w:rPr>
                <w:rFonts w:cs="Calibri"/>
                <w:color w:val="auto"/>
                <w:sz w:val="16"/>
                <w:szCs w:val="16"/>
              </w:rPr>
              <w:br/>
              <w:t>Cig and tobacco use</w:t>
            </w:r>
            <w:r w:rsidRPr="000F6DEF">
              <w:rPr>
                <w:rFonts w:cs="Calibri"/>
                <w:color w:val="auto"/>
                <w:sz w:val="16"/>
                <w:szCs w:val="16"/>
              </w:rPr>
              <w:br/>
              <w:t>Health status (physical and mental)</w:t>
            </w:r>
            <w:r w:rsidRPr="000F6DEF">
              <w:rPr>
                <w:rFonts w:cs="Calibri"/>
                <w:color w:val="auto"/>
                <w:sz w:val="16"/>
                <w:szCs w:val="16"/>
              </w:rPr>
              <w:br/>
              <w:t>Health protective behaviours (PA, Healthy diet, Sleep)</w:t>
            </w:r>
            <w:r w:rsidRPr="000F6DEF">
              <w:rPr>
                <w:rFonts w:cs="Calibri"/>
                <w:color w:val="auto"/>
                <w:sz w:val="16"/>
                <w:szCs w:val="16"/>
              </w:rPr>
              <w:br/>
              <w:t>Health Risk Behaviours (alcohol and drug use, sedentary behaviour)</w:t>
            </w:r>
            <w:r w:rsidRPr="000F6DEF">
              <w:rPr>
                <w:rFonts w:cs="Calibri"/>
                <w:color w:val="auto"/>
                <w:sz w:val="16"/>
                <w:szCs w:val="16"/>
              </w:rPr>
              <w:br/>
              <w:t>Demographics</w:t>
            </w:r>
          </w:p>
        </w:tc>
      </w:tr>
      <w:tr w:rsidR="00B85C33" w:rsidRPr="000F6DEF" w14:paraId="578E3157" w14:textId="77777777" w:rsidTr="000376C7">
        <w:trPr>
          <w:trHeight w:val="567"/>
        </w:trPr>
        <w:tc>
          <w:tcPr>
            <w:cnfStyle w:val="001000000000" w:firstRow="0" w:lastRow="0" w:firstColumn="1" w:lastColumn="0" w:oddVBand="0" w:evenVBand="0" w:oddHBand="0" w:evenHBand="0" w:firstRowFirstColumn="0" w:firstRowLastColumn="0" w:lastRowFirstColumn="0" w:lastRowLastColumn="0"/>
            <w:tcW w:w="1388" w:type="dxa"/>
          </w:tcPr>
          <w:p w14:paraId="0B598FCE" w14:textId="77777777" w:rsidR="00B85C33" w:rsidRPr="000F6DEF" w:rsidRDefault="00B85C33" w:rsidP="000376C7">
            <w:pPr>
              <w:rPr>
                <w:rFonts w:cs="Calibri"/>
                <w:color w:val="auto"/>
                <w:sz w:val="16"/>
                <w:szCs w:val="16"/>
              </w:rPr>
            </w:pPr>
            <w:r w:rsidRPr="000F6DEF">
              <w:rPr>
                <w:rFonts w:cs="Calibri"/>
                <w:color w:val="auto"/>
                <w:sz w:val="16"/>
                <w:szCs w:val="16"/>
              </w:rPr>
              <w:t>Hong, Barrington</w:t>
            </w:r>
            <w:r w:rsidRPr="000F6DEF">
              <w:rPr>
                <w:rFonts w:cs="Calibri"/>
                <w:color w:val="auto"/>
                <w:sz w:val="16"/>
                <w:szCs w:val="16"/>
              </w:rPr>
              <w:noBreakHyphen/>
              <w:t>Trimis, Liu et al</w:t>
            </w:r>
          </w:p>
        </w:tc>
        <w:tc>
          <w:tcPr>
            <w:tcW w:w="2831" w:type="dxa"/>
          </w:tcPr>
          <w:p w14:paraId="05EE9B45" w14:textId="14456EDE"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 xml:space="preserve">Examine reasons for </w:t>
            </w:r>
            <w:r>
              <w:rPr>
                <w:rFonts w:cs="Calibri"/>
                <w:color w:val="auto"/>
                <w:sz w:val="16"/>
                <w:szCs w:val="16"/>
              </w:rPr>
              <w:t>e</w:t>
            </w:r>
            <w:r>
              <w:rPr>
                <w:rFonts w:cs="Calibri"/>
                <w:color w:val="auto"/>
                <w:sz w:val="16"/>
                <w:szCs w:val="16"/>
              </w:rPr>
              <w:noBreakHyphen/>
              <w:t>cig</w:t>
            </w:r>
            <w:r w:rsidRPr="000F6DEF">
              <w:rPr>
                <w:rFonts w:cs="Calibri"/>
                <w:color w:val="auto"/>
                <w:sz w:val="16"/>
                <w:szCs w:val="16"/>
              </w:rPr>
              <w:t>arette use in Southern California cohort of adolescents</w:t>
            </w:r>
            <w:r w:rsidR="006E78E1">
              <w:rPr>
                <w:rFonts w:cs="Calibri"/>
                <w:color w:val="auto"/>
                <w:sz w:val="16"/>
                <w:szCs w:val="16"/>
              </w:rPr>
              <w:t>.</w:t>
            </w:r>
          </w:p>
        </w:tc>
        <w:tc>
          <w:tcPr>
            <w:tcW w:w="1305" w:type="dxa"/>
          </w:tcPr>
          <w:p w14:paraId="2DC759D8"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Southern California Children's Health Survey (CHS)</w:t>
            </w:r>
          </w:p>
        </w:tc>
        <w:tc>
          <w:tcPr>
            <w:tcW w:w="1039" w:type="dxa"/>
          </w:tcPr>
          <w:p w14:paraId="53CE7AA6"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California, US</w:t>
            </w:r>
          </w:p>
        </w:tc>
        <w:tc>
          <w:tcPr>
            <w:tcW w:w="1032" w:type="dxa"/>
          </w:tcPr>
          <w:p w14:paraId="33442193"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2015</w:t>
            </w:r>
            <w:r w:rsidRPr="000F6DEF">
              <w:rPr>
                <w:rFonts w:cs="Calibri"/>
                <w:color w:val="auto"/>
                <w:sz w:val="16"/>
                <w:szCs w:val="16"/>
              </w:rPr>
              <w:noBreakHyphen/>
              <w:t>2016</w:t>
            </w:r>
          </w:p>
        </w:tc>
        <w:tc>
          <w:tcPr>
            <w:tcW w:w="1614" w:type="dxa"/>
          </w:tcPr>
          <w:p w14:paraId="57C8D420"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614</w:t>
            </w:r>
          </w:p>
          <w:p w14:paraId="4E7EB3A7"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Mean age: 18.8</w:t>
            </w:r>
          </w:p>
          <w:p w14:paraId="6DBEFA50"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p>
        </w:tc>
        <w:tc>
          <w:tcPr>
            <w:tcW w:w="2133" w:type="dxa"/>
          </w:tcPr>
          <w:p w14:paraId="5295B770"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NR</w:t>
            </w:r>
          </w:p>
        </w:tc>
        <w:tc>
          <w:tcPr>
            <w:tcW w:w="1523" w:type="dxa"/>
          </w:tcPr>
          <w:p w14:paraId="54AB1E93"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Online</w:t>
            </w:r>
          </w:p>
        </w:tc>
        <w:tc>
          <w:tcPr>
            <w:tcW w:w="1906" w:type="dxa"/>
          </w:tcPr>
          <w:p w14:paraId="43C0D3E8" w14:textId="613469BE"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 xml:space="preserve">Reasons for use </w:t>
            </w:r>
            <w:r w:rsidR="005500FC">
              <w:rPr>
                <w:rFonts w:asciiTheme="minorHAnsi" w:hAnsiTheme="minorHAnsi" w:cstheme="minorHAnsi"/>
                <w:color w:val="auto"/>
                <w:sz w:val="16"/>
                <w:szCs w:val="16"/>
              </w:rPr>
              <w:t>e</w:t>
            </w:r>
            <w:r w:rsidR="005500FC">
              <w:rPr>
                <w:rFonts w:asciiTheme="minorHAnsi" w:hAnsiTheme="minorHAnsi" w:cstheme="minorHAnsi"/>
                <w:color w:val="auto"/>
                <w:sz w:val="16"/>
                <w:szCs w:val="16"/>
              </w:rPr>
              <w:noBreakHyphen/>
              <w:t>cigarette</w:t>
            </w:r>
            <w:r w:rsidRPr="000F6DEF">
              <w:rPr>
                <w:rFonts w:cs="Calibri"/>
                <w:color w:val="auto"/>
                <w:sz w:val="16"/>
                <w:szCs w:val="16"/>
              </w:rPr>
              <w:br/>
              <w:t xml:space="preserve">Ever use </w:t>
            </w:r>
            <w:r w:rsidR="005500FC">
              <w:rPr>
                <w:rFonts w:asciiTheme="minorHAnsi" w:hAnsiTheme="minorHAnsi" w:cstheme="minorHAnsi"/>
                <w:color w:val="auto"/>
                <w:sz w:val="16"/>
                <w:szCs w:val="16"/>
              </w:rPr>
              <w:t>e</w:t>
            </w:r>
            <w:r w:rsidR="005500FC">
              <w:rPr>
                <w:rFonts w:asciiTheme="minorHAnsi" w:hAnsiTheme="minorHAnsi" w:cstheme="minorHAnsi"/>
                <w:color w:val="auto"/>
                <w:sz w:val="16"/>
                <w:szCs w:val="16"/>
              </w:rPr>
              <w:noBreakHyphen/>
              <w:t>cigarette</w:t>
            </w:r>
            <w:r w:rsidRPr="000F6DEF">
              <w:rPr>
                <w:rFonts w:cs="Calibri"/>
                <w:color w:val="auto"/>
                <w:sz w:val="16"/>
                <w:szCs w:val="16"/>
              </w:rPr>
              <w:br/>
              <w:t>demographics</w:t>
            </w:r>
            <w:r w:rsidRPr="000F6DEF">
              <w:rPr>
                <w:rFonts w:cs="Calibri"/>
                <w:color w:val="auto"/>
                <w:sz w:val="16"/>
                <w:szCs w:val="16"/>
              </w:rPr>
              <w:br/>
              <w:t xml:space="preserve">history of </w:t>
            </w:r>
            <w:r>
              <w:rPr>
                <w:rFonts w:cs="Calibri"/>
                <w:color w:val="auto"/>
                <w:sz w:val="16"/>
                <w:szCs w:val="16"/>
              </w:rPr>
              <w:t>e</w:t>
            </w:r>
            <w:r>
              <w:rPr>
                <w:rFonts w:cs="Calibri"/>
                <w:color w:val="auto"/>
                <w:sz w:val="16"/>
                <w:szCs w:val="16"/>
              </w:rPr>
              <w:noBreakHyphen/>
              <w:t>cig</w:t>
            </w:r>
            <w:r w:rsidRPr="000F6DEF">
              <w:rPr>
                <w:rFonts w:cs="Calibri"/>
                <w:color w:val="auto"/>
                <w:sz w:val="16"/>
                <w:szCs w:val="16"/>
              </w:rPr>
              <w:t>arette and cig use</w:t>
            </w:r>
            <w:r w:rsidRPr="000F6DEF">
              <w:rPr>
                <w:rFonts w:cs="Calibri"/>
                <w:color w:val="auto"/>
                <w:sz w:val="16"/>
                <w:szCs w:val="16"/>
              </w:rPr>
              <w:br/>
              <w:t xml:space="preserve">Type of </w:t>
            </w:r>
            <w:r>
              <w:rPr>
                <w:rFonts w:cs="Calibri"/>
                <w:color w:val="auto"/>
                <w:sz w:val="16"/>
                <w:szCs w:val="16"/>
              </w:rPr>
              <w:t>e</w:t>
            </w:r>
            <w:r>
              <w:rPr>
                <w:rFonts w:cs="Calibri"/>
                <w:color w:val="auto"/>
                <w:sz w:val="16"/>
                <w:szCs w:val="16"/>
              </w:rPr>
              <w:noBreakHyphen/>
              <w:t>cig</w:t>
            </w:r>
            <w:r w:rsidRPr="000F6DEF">
              <w:rPr>
                <w:rFonts w:cs="Calibri"/>
                <w:color w:val="auto"/>
                <w:sz w:val="16"/>
                <w:szCs w:val="16"/>
              </w:rPr>
              <w:t>arette use</w:t>
            </w:r>
          </w:p>
        </w:tc>
      </w:tr>
      <w:tr w:rsidR="00B85C33" w:rsidRPr="000F6DEF" w14:paraId="509D80FC" w14:textId="77777777" w:rsidTr="000376C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88" w:type="dxa"/>
          </w:tcPr>
          <w:p w14:paraId="0507AA14" w14:textId="77777777" w:rsidR="00B85C33" w:rsidRPr="000F6DEF" w:rsidRDefault="00B85C33" w:rsidP="000376C7">
            <w:pPr>
              <w:rPr>
                <w:rFonts w:cs="Calibri"/>
                <w:color w:val="auto"/>
                <w:sz w:val="16"/>
                <w:szCs w:val="16"/>
              </w:rPr>
            </w:pPr>
            <w:r w:rsidRPr="000F6DEF">
              <w:rPr>
                <w:rFonts w:cs="Calibri"/>
                <w:color w:val="auto"/>
                <w:sz w:val="16"/>
                <w:szCs w:val="16"/>
              </w:rPr>
              <w:t>Kristjansson, Mann, Smith</w:t>
            </w:r>
          </w:p>
        </w:tc>
        <w:tc>
          <w:tcPr>
            <w:tcW w:w="2831" w:type="dxa"/>
          </w:tcPr>
          <w:p w14:paraId="12148215" w14:textId="76D64675" w:rsidR="00B85C33" w:rsidRPr="000F6DEF" w:rsidRDefault="00B85C33" w:rsidP="00065046">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 xml:space="preserve">The objective of this study was to compare the prevalence of substance use in </w:t>
            </w:r>
            <w:r>
              <w:rPr>
                <w:rFonts w:cs="Calibri"/>
                <w:color w:val="auto"/>
                <w:sz w:val="16"/>
                <w:szCs w:val="16"/>
              </w:rPr>
              <w:t>e</w:t>
            </w:r>
            <w:r>
              <w:rPr>
                <w:rFonts w:cs="Calibri"/>
                <w:color w:val="auto"/>
                <w:sz w:val="16"/>
                <w:szCs w:val="16"/>
              </w:rPr>
              <w:noBreakHyphen/>
              <w:t>cig</w:t>
            </w:r>
            <w:r w:rsidRPr="000F6DEF">
              <w:rPr>
                <w:rFonts w:cs="Calibri"/>
                <w:color w:val="auto"/>
                <w:sz w:val="16"/>
                <w:szCs w:val="16"/>
              </w:rPr>
              <w:t>arette</w:t>
            </w:r>
            <w:r w:rsidRPr="000F6DEF">
              <w:rPr>
                <w:rFonts w:cs="Calibri"/>
                <w:color w:val="auto"/>
                <w:sz w:val="16"/>
                <w:szCs w:val="16"/>
              </w:rPr>
              <w:noBreakHyphen/>
              <w:t>only users with conventional cigarette</w:t>
            </w:r>
            <w:r w:rsidRPr="000F6DEF">
              <w:rPr>
                <w:rFonts w:cs="Calibri"/>
                <w:color w:val="auto"/>
                <w:sz w:val="16"/>
                <w:szCs w:val="16"/>
              </w:rPr>
              <w:noBreakHyphen/>
              <w:t>only users, dual users, and nonusers in a large sample of middle school</w:t>
            </w:r>
            <w:r w:rsidRPr="000F6DEF">
              <w:rPr>
                <w:rFonts w:cs="Calibri"/>
                <w:color w:val="auto"/>
                <w:sz w:val="16"/>
                <w:szCs w:val="16"/>
              </w:rPr>
              <w:noBreakHyphen/>
              <w:t>aged adolescents</w:t>
            </w:r>
            <w:r w:rsidR="006E78E1">
              <w:rPr>
                <w:rFonts w:cs="Calibri"/>
                <w:color w:val="auto"/>
                <w:sz w:val="16"/>
                <w:szCs w:val="16"/>
              </w:rPr>
              <w:t>.</w:t>
            </w:r>
          </w:p>
        </w:tc>
        <w:tc>
          <w:tcPr>
            <w:tcW w:w="1305" w:type="dxa"/>
          </w:tcPr>
          <w:p w14:paraId="37CF17AD"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AWARE intervention</w:t>
            </w:r>
          </w:p>
        </w:tc>
        <w:tc>
          <w:tcPr>
            <w:tcW w:w="1039" w:type="dxa"/>
          </w:tcPr>
          <w:p w14:paraId="1ECC1C98"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West Virginia, US</w:t>
            </w:r>
          </w:p>
        </w:tc>
        <w:tc>
          <w:tcPr>
            <w:tcW w:w="1032" w:type="dxa"/>
          </w:tcPr>
          <w:p w14:paraId="1771B768"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2015</w:t>
            </w:r>
          </w:p>
        </w:tc>
        <w:tc>
          <w:tcPr>
            <w:tcW w:w="1614" w:type="dxa"/>
          </w:tcPr>
          <w:p w14:paraId="0095CF80"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6,547</w:t>
            </w:r>
          </w:p>
          <w:p w14:paraId="0E461641"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Grades 6</w:t>
            </w:r>
            <w:r w:rsidRPr="000F6DEF">
              <w:rPr>
                <w:rFonts w:cs="Calibri"/>
                <w:color w:val="auto"/>
                <w:sz w:val="16"/>
                <w:szCs w:val="16"/>
              </w:rPr>
              <w:noBreakHyphen/>
              <w:t>8</w:t>
            </w:r>
          </w:p>
          <w:p w14:paraId="31D06A4C"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50% males</w:t>
            </w:r>
          </w:p>
        </w:tc>
        <w:tc>
          <w:tcPr>
            <w:tcW w:w="2133" w:type="dxa"/>
          </w:tcPr>
          <w:p w14:paraId="238AAACF"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The sampling frame included all students in 15 public and</w:t>
            </w:r>
            <w:r w:rsidRPr="000F6DEF">
              <w:rPr>
                <w:rFonts w:cs="Calibri"/>
                <w:color w:val="auto"/>
                <w:sz w:val="16"/>
                <w:szCs w:val="16"/>
              </w:rPr>
              <w:br/>
              <w:t>private middle schools (grades 6–8) in the 3 counties</w:t>
            </w:r>
          </w:p>
        </w:tc>
        <w:tc>
          <w:tcPr>
            <w:tcW w:w="1523" w:type="dxa"/>
          </w:tcPr>
          <w:p w14:paraId="19C78415"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Collected by teachers</w:t>
            </w:r>
          </w:p>
        </w:tc>
        <w:tc>
          <w:tcPr>
            <w:tcW w:w="1906" w:type="dxa"/>
          </w:tcPr>
          <w:p w14:paraId="1622D04B"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Smoking status</w:t>
            </w:r>
            <w:r w:rsidRPr="000F6DEF">
              <w:rPr>
                <w:rFonts w:cs="Calibri"/>
                <w:color w:val="auto"/>
                <w:sz w:val="16"/>
                <w:szCs w:val="16"/>
              </w:rPr>
              <w:br/>
              <w:t>Chewing tobacco</w:t>
            </w:r>
            <w:r w:rsidRPr="000F6DEF">
              <w:rPr>
                <w:rFonts w:cs="Calibri"/>
                <w:color w:val="auto"/>
                <w:sz w:val="16"/>
                <w:szCs w:val="16"/>
              </w:rPr>
              <w:br/>
              <w:t>Alcohol use</w:t>
            </w:r>
            <w:r w:rsidRPr="000F6DEF">
              <w:rPr>
                <w:rFonts w:cs="Calibri"/>
                <w:color w:val="auto"/>
                <w:sz w:val="16"/>
                <w:szCs w:val="16"/>
              </w:rPr>
              <w:br/>
              <w:t>Use of illicit and licit drugs</w:t>
            </w:r>
            <w:r w:rsidRPr="000F6DEF">
              <w:rPr>
                <w:rFonts w:cs="Calibri"/>
                <w:color w:val="auto"/>
                <w:sz w:val="16"/>
                <w:szCs w:val="16"/>
              </w:rPr>
              <w:br/>
              <w:t>Demographics</w:t>
            </w:r>
          </w:p>
        </w:tc>
      </w:tr>
      <w:tr w:rsidR="00B85C33" w:rsidRPr="000F6DEF" w14:paraId="7A4A6346" w14:textId="77777777" w:rsidTr="000376C7">
        <w:trPr>
          <w:trHeight w:val="567"/>
        </w:trPr>
        <w:tc>
          <w:tcPr>
            <w:cnfStyle w:val="001000000000" w:firstRow="0" w:lastRow="0" w:firstColumn="1" w:lastColumn="0" w:oddVBand="0" w:evenVBand="0" w:oddHBand="0" w:evenHBand="0" w:firstRowFirstColumn="0" w:firstRowLastColumn="0" w:lastRowFirstColumn="0" w:lastRowLastColumn="0"/>
            <w:tcW w:w="1388" w:type="dxa"/>
          </w:tcPr>
          <w:p w14:paraId="456A1A6D" w14:textId="77777777" w:rsidR="00B85C33" w:rsidRPr="000F6DEF" w:rsidRDefault="00B85C33" w:rsidP="000376C7">
            <w:pPr>
              <w:rPr>
                <w:rFonts w:cs="Calibri"/>
                <w:color w:val="auto"/>
                <w:sz w:val="16"/>
                <w:szCs w:val="16"/>
              </w:rPr>
            </w:pPr>
            <w:r w:rsidRPr="000F6DEF">
              <w:rPr>
                <w:rFonts w:cs="Calibri"/>
                <w:color w:val="auto"/>
                <w:sz w:val="16"/>
                <w:szCs w:val="16"/>
              </w:rPr>
              <w:t>Kristjansson, Mann, Smith, Sigfusdottir</w:t>
            </w:r>
          </w:p>
        </w:tc>
        <w:tc>
          <w:tcPr>
            <w:tcW w:w="2831" w:type="dxa"/>
          </w:tcPr>
          <w:p w14:paraId="1284A5B6"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The purpose of this study was to assess the similarities and differences in the social profile of middle school</w:t>
            </w:r>
            <w:r w:rsidRPr="000F6DEF">
              <w:rPr>
                <w:rFonts w:cs="Calibri"/>
                <w:color w:val="auto"/>
                <w:sz w:val="16"/>
                <w:szCs w:val="16"/>
              </w:rPr>
              <w:noBreakHyphen/>
              <w:t xml:space="preserve">aged children that have used </w:t>
            </w:r>
            <w:r>
              <w:rPr>
                <w:rFonts w:cs="Calibri"/>
                <w:color w:val="auto"/>
                <w:sz w:val="16"/>
                <w:szCs w:val="16"/>
              </w:rPr>
              <w:t>e</w:t>
            </w:r>
            <w:r>
              <w:rPr>
                <w:rFonts w:cs="Calibri"/>
                <w:color w:val="auto"/>
                <w:sz w:val="16"/>
                <w:szCs w:val="16"/>
              </w:rPr>
              <w:noBreakHyphen/>
              <w:t>cig</w:t>
            </w:r>
            <w:r w:rsidRPr="000F6DEF">
              <w:rPr>
                <w:rFonts w:cs="Calibri"/>
                <w:color w:val="auto"/>
                <w:sz w:val="16"/>
                <w:szCs w:val="16"/>
              </w:rPr>
              <w:t>arette</w:t>
            </w:r>
            <w:r w:rsidRPr="000F6DEF">
              <w:rPr>
                <w:rFonts w:cs="Calibri"/>
                <w:color w:val="auto"/>
                <w:sz w:val="16"/>
                <w:szCs w:val="16"/>
              </w:rPr>
              <w:noBreakHyphen/>
              <w:t xml:space="preserve">only versus conventional cigarette use only </w:t>
            </w:r>
            <w:r w:rsidRPr="000F6DEF">
              <w:rPr>
                <w:rFonts w:cs="Calibri"/>
                <w:color w:val="auto"/>
                <w:sz w:val="16"/>
                <w:szCs w:val="16"/>
              </w:rPr>
              <w:lastRenderedPageBreak/>
              <w:t>and to compare those groups against non</w:t>
            </w:r>
            <w:r w:rsidRPr="000F6DEF">
              <w:rPr>
                <w:rFonts w:cs="Calibri"/>
                <w:color w:val="auto"/>
                <w:sz w:val="16"/>
                <w:szCs w:val="16"/>
              </w:rPr>
              <w:noBreakHyphen/>
              <w:t>users and dual users.</w:t>
            </w:r>
          </w:p>
        </w:tc>
        <w:tc>
          <w:tcPr>
            <w:tcW w:w="1305" w:type="dxa"/>
          </w:tcPr>
          <w:p w14:paraId="05D5EFFE"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lastRenderedPageBreak/>
              <w:t>AWARE intervention</w:t>
            </w:r>
          </w:p>
        </w:tc>
        <w:tc>
          <w:tcPr>
            <w:tcW w:w="1039" w:type="dxa"/>
          </w:tcPr>
          <w:p w14:paraId="7B649193"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West Virginia, US</w:t>
            </w:r>
          </w:p>
        </w:tc>
        <w:tc>
          <w:tcPr>
            <w:tcW w:w="1032" w:type="dxa"/>
          </w:tcPr>
          <w:p w14:paraId="5C31BE58"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2015</w:t>
            </w:r>
          </w:p>
        </w:tc>
        <w:tc>
          <w:tcPr>
            <w:tcW w:w="1614" w:type="dxa"/>
          </w:tcPr>
          <w:p w14:paraId="7B601F3D"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6,547</w:t>
            </w:r>
          </w:p>
          <w:p w14:paraId="319B6F3B"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Grades 6</w:t>
            </w:r>
            <w:r w:rsidRPr="000F6DEF">
              <w:rPr>
                <w:rFonts w:cs="Calibri"/>
                <w:color w:val="auto"/>
                <w:sz w:val="16"/>
                <w:szCs w:val="16"/>
              </w:rPr>
              <w:noBreakHyphen/>
              <w:t>9</w:t>
            </w:r>
          </w:p>
          <w:p w14:paraId="3306FEE1"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50% males</w:t>
            </w:r>
          </w:p>
        </w:tc>
        <w:tc>
          <w:tcPr>
            <w:tcW w:w="2133" w:type="dxa"/>
          </w:tcPr>
          <w:p w14:paraId="2E6CCC6A"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The sampling frame included all students in 15 public and</w:t>
            </w:r>
            <w:r w:rsidRPr="000F6DEF">
              <w:rPr>
                <w:rFonts w:cs="Calibri"/>
                <w:color w:val="auto"/>
                <w:sz w:val="16"/>
                <w:szCs w:val="16"/>
              </w:rPr>
              <w:br/>
              <w:t>private middle schools (grades 6–8) in the 3 counties</w:t>
            </w:r>
          </w:p>
        </w:tc>
        <w:tc>
          <w:tcPr>
            <w:tcW w:w="1523" w:type="dxa"/>
          </w:tcPr>
          <w:p w14:paraId="1EEACDB6"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Collected by teachers</w:t>
            </w:r>
          </w:p>
        </w:tc>
        <w:tc>
          <w:tcPr>
            <w:tcW w:w="1906" w:type="dxa"/>
          </w:tcPr>
          <w:p w14:paraId="30E2725F"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Smoking status</w:t>
            </w:r>
            <w:r w:rsidRPr="000F6DEF">
              <w:rPr>
                <w:rFonts w:cs="Calibri"/>
                <w:color w:val="auto"/>
                <w:sz w:val="16"/>
                <w:szCs w:val="16"/>
              </w:rPr>
              <w:br/>
              <w:t>Parents and family domain</w:t>
            </w:r>
            <w:r w:rsidRPr="000F6DEF">
              <w:rPr>
                <w:rFonts w:cs="Calibri"/>
                <w:color w:val="auto"/>
                <w:sz w:val="16"/>
                <w:szCs w:val="16"/>
              </w:rPr>
              <w:br/>
              <w:t>School environment domain</w:t>
            </w:r>
            <w:r w:rsidRPr="000F6DEF">
              <w:rPr>
                <w:rFonts w:cs="Calibri"/>
                <w:color w:val="auto"/>
                <w:sz w:val="16"/>
                <w:szCs w:val="16"/>
              </w:rPr>
              <w:br/>
            </w:r>
            <w:r w:rsidRPr="000F6DEF">
              <w:rPr>
                <w:rFonts w:cs="Calibri"/>
                <w:color w:val="auto"/>
                <w:sz w:val="16"/>
                <w:szCs w:val="16"/>
              </w:rPr>
              <w:lastRenderedPageBreak/>
              <w:t>Peer group domain</w:t>
            </w:r>
            <w:r w:rsidRPr="000F6DEF">
              <w:rPr>
                <w:rFonts w:cs="Calibri"/>
                <w:color w:val="auto"/>
                <w:sz w:val="16"/>
                <w:szCs w:val="16"/>
              </w:rPr>
              <w:br/>
              <w:t xml:space="preserve">Leisure time domain </w:t>
            </w:r>
            <w:r w:rsidRPr="000F6DEF">
              <w:rPr>
                <w:rFonts w:cs="Calibri"/>
                <w:color w:val="auto"/>
                <w:sz w:val="16"/>
                <w:szCs w:val="16"/>
              </w:rPr>
              <w:br/>
              <w:t>Demographics</w:t>
            </w:r>
          </w:p>
        </w:tc>
      </w:tr>
      <w:tr w:rsidR="00B85C33" w:rsidRPr="000F6DEF" w14:paraId="57C485DE" w14:textId="77777777" w:rsidTr="000376C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88" w:type="dxa"/>
          </w:tcPr>
          <w:p w14:paraId="12CF808C" w14:textId="77777777" w:rsidR="00B85C33" w:rsidRPr="000F6DEF" w:rsidRDefault="00B85C33" w:rsidP="000376C7">
            <w:pPr>
              <w:rPr>
                <w:rFonts w:cs="Calibri"/>
                <w:color w:val="auto"/>
                <w:sz w:val="16"/>
                <w:szCs w:val="16"/>
              </w:rPr>
            </w:pPr>
            <w:r w:rsidRPr="000F6DEF">
              <w:rPr>
                <w:rFonts w:cs="Calibri"/>
                <w:color w:val="auto"/>
                <w:sz w:val="16"/>
                <w:szCs w:val="16"/>
              </w:rPr>
              <w:lastRenderedPageBreak/>
              <w:t>Lee, Pepper et al 2018</w:t>
            </w:r>
          </w:p>
        </w:tc>
        <w:tc>
          <w:tcPr>
            <w:tcW w:w="2831" w:type="dxa"/>
          </w:tcPr>
          <w:p w14:paraId="3D83481C" w14:textId="607E78CB"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Examining youth dual and polytobacco use with</w:t>
            </w:r>
            <w:r w:rsidR="006E78E1">
              <w:rPr>
                <w:rFonts w:cs="Calibri"/>
                <w:color w:val="auto"/>
                <w:sz w:val="16"/>
                <w:szCs w:val="16"/>
              </w:rPr>
              <w:t xml:space="preserve"> </w:t>
            </w:r>
            <w:r w:rsidR="006E78E1">
              <w:rPr>
                <w:rFonts w:asciiTheme="minorHAnsi" w:hAnsiTheme="minorHAnsi" w:cstheme="minorHAnsi"/>
                <w:color w:val="auto"/>
                <w:sz w:val="16"/>
                <w:szCs w:val="16"/>
              </w:rPr>
              <w:t>e</w:t>
            </w:r>
            <w:r w:rsidR="006E78E1">
              <w:rPr>
                <w:rFonts w:asciiTheme="minorHAnsi" w:hAnsiTheme="minorHAnsi" w:cstheme="minorHAnsi"/>
                <w:color w:val="auto"/>
                <w:sz w:val="16"/>
                <w:szCs w:val="16"/>
              </w:rPr>
              <w:noBreakHyphen/>
              <w:t>cigarettes.</w:t>
            </w:r>
          </w:p>
        </w:tc>
        <w:tc>
          <w:tcPr>
            <w:tcW w:w="1305" w:type="dxa"/>
          </w:tcPr>
          <w:p w14:paraId="70723E6C"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Florida Youth Tobacco Survey</w:t>
            </w:r>
          </w:p>
        </w:tc>
        <w:tc>
          <w:tcPr>
            <w:tcW w:w="1039" w:type="dxa"/>
          </w:tcPr>
          <w:p w14:paraId="69D1B6C8"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Florida, US</w:t>
            </w:r>
          </w:p>
        </w:tc>
        <w:tc>
          <w:tcPr>
            <w:tcW w:w="1032" w:type="dxa"/>
          </w:tcPr>
          <w:p w14:paraId="2D5E191C"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2014</w:t>
            </w:r>
          </w:p>
        </w:tc>
        <w:tc>
          <w:tcPr>
            <w:tcW w:w="1614" w:type="dxa"/>
          </w:tcPr>
          <w:p w14:paraId="0DF603B8"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 xml:space="preserve">2,756 middle and highschool students </w:t>
            </w:r>
          </w:p>
        </w:tc>
        <w:tc>
          <w:tcPr>
            <w:tcW w:w="2133" w:type="dxa"/>
          </w:tcPr>
          <w:p w14:paraId="31F95454"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Two</w:t>
            </w:r>
            <w:r w:rsidRPr="000F6DEF">
              <w:rPr>
                <w:rFonts w:cs="Calibri"/>
                <w:color w:val="auto"/>
                <w:sz w:val="16"/>
                <w:szCs w:val="16"/>
              </w:rPr>
              <w:noBreakHyphen/>
              <w:t>stage cluster probability sample design</w:t>
            </w:r>
          </w:p>
        </w:tc>
        <w:tc>
          <w:tcPr>
            <w:tcW w:w="1523" w:type="dxa"/>
          </w:tcPr>
          <w:p w14:paraId="4524F3FB"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Pencil and paper questionnaire</w:t>
            </w:r>
          </w:p>
        </w:tc>
        <w:tc>
          <w:tcPr>
            <w:tcW w:w="1906" w:type="dxa"/>
          </w:tcPr>
          <w:p w14:paraId="35B0B961" w14:textId="06B23A56" w:rsidR="00B85C33" w:rsidRPr="000F6DEF" w:rsidRDefault="00B85C33" w:rsidP="000376C7">
            <w:pPr>
              <w:spacing w:after="240"/>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 xml:space="preserve">Psychosocial variables; </w:t>
            </w:r>
            <w:r w:rsidR="005500FC">
              <w:rPr>
                <w:rFonts w:asciiTheme="minorHAnsi" w:hAnsiTheme="minorHAnsi" w:cstheme="minorHAnsi"/>
                <w:color w:val="auto"/>
                <w:sz w:val="16"/>
                <w:szCs w:val="16"/>
              </w:rPr>
              <w:t>e</w:t>
            </w:r>
            <w:r w:rsidR="005500FC">
              <w:rPr>
                <w:rFonts w:asciiTheme="minorHAnsi" w:hAnsiTheme="minorHAnsi" w:cstheme="minorHAnsi"/>
                <w:color w:val="auto"/>
                <w:sz w:val="16"/>
                <w:szCs w:val="16"/>
              </w:rPr>
              <w:noBreakHyphen/>
              <w:t>cigarettes</w:t>
            </w:r>
            <w:r w:rsidRPr="000F6DEF">
              <w:rPr>
                <w:rFonts w:cs="Calibri"/>
                <w:color w:val="auto"/>
                <w:sz w:val="16"/>
                <w:szCs w:val="16"/>
              </w:rPr>
              <w:t>, cigarette and OTP use</w:t>
            </w:r>
          </w:p>
        </w:tc>
      </w:tr>
      <w:tr w:rsidR="00B85C33" w:rsidRPr="000F6DEF" w14:paraId="7E4E1906" w14:textId="77777777" w:rsidTr="000376C7">
        <w:trPr>
          <w:trHeight w:val="567"/>
        </w:trPr>
        <w:tc>
          <w:tcPr>
            <w:cnfStyle w:val="001000000000" w:firstRow="0" w:lastRow="0" w:firstColumn="1" w:lastColumn="0" w:oddVBand="0" w:evenVBand="0" w:oddHBand="0" w:evenHBand="0" w:firstRowFirstColumn="0" w:firstRowLastColumn="0" w:lastRowFirstColumn="0" w:lastRowLastColumn="0"/>
            <w:tcW w:w="1388" w:type="dxa"/>
          </w:tcPr>
          <w:p w14:paraId="2950885E" w14:textId="77777777" w:rsidR="00B85C33" w:rsidRPr="000F6DEF" w:rsidRDefault="00B85C33" w:rsidP="000376C7">
            <w:pPr>
              <w:rPr>
                <w:rFonts w:cs="Calibri"/>
                <w:color w:val="auto"/>
                <w:sz w:val="16"/>
                <w:szCs w:val="16"/>
              </w:rPr>
            </w:pPr>
            <w:r w:rsidRPr="000F6DEF">
              <w:rPr>
                <w:rFonts w:cs="Calibri"/>
                <w:color w:val="auto"/>
                <w:sz w:val="16"/>
                <w:szCs w:val="16"/>
              </w:rPr>
              <w:t>Leventhal, Urman, Barrington</w:t>
            </w:r>
            <w:r w:rsidRPr="000F6DEF">
              <w:rPr>
                <w:rFonts w:cs="Calibri"/>
                <w:color w:val="auto"/>
                <w:sz w:val="16"/>
                <w:szCs w:val="16"/>
              </w:rPr>
              <w:noBreakHyphen/>
              <w:t>Trimis et al</w:t>
            </w:r>
          </w:p>
        </w:tc>
        <w:tc>
          <w:tcPr>
            <w:tcW w:w="2831" w:type="dxa"/>
          </w:tcPr>
          <w:p w14:paraId="118C3526"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Perceived stress was examined as a predictor of later tobacco product use in a population</w:t>
            </w:r>
            <w:r w:rsidRPr="000F6DEF">
              <w:rPr>
                <w:rFonts w:cs="Calibri"/>
                <w:color w:val="auto"/>
                <w:sz w:val="16"/>
                <w:szCs w:val="16"/>
              </w:rPr>
              <w:noBreakHyphen/>
              <w:t>based cohort of southern California adolescents.</w:t>
            </w:r>
          </w:p>
        </w:tc>
        <w:tc>
          <w:tcPr>
            <w:tcW w:w="1305" w:type="dxa"/>
          </w:tcPr>
          <w:p w14:paraId="4ADFB2B8"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Southern California Children's Health Study (CHS)</w:t>
            </w:r>
          </w:p>
        </w:tc>
        <w:tc>
          <w:tcPr>
            <w:tcW w:w="1039" w:type="dxa"/>
          </w:tcPr>
          <w:p w14:paraId="02D8145D"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California, US</w:t>
            </w:r>
          </w:p>
        </w:tc>
        <w:tc>
          <w:tcPr>
            <w:tcW w:w="1032" w:type="dxa"/>
          </w:tcPr>
          <w:p w14:paraId="3691ED42"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2003</w:t>
            </w:r>
            <w:r w:rsidRPr="000F6DEF">
              <w:rPr>
                <w:rFonts w:cs="Calibri"/>
                <w:color w:val="auto"/>
                <w:sz w:val="16"/>
                <w:szCs w:val="16"/>
              </w:rPr>
              <w:noBreakHyphen/>
            </w:r>
          </w:p>
        </w:tc>
        <w:tc>
          <w:tcPr>
            <w:tcW w:w="1614" w:type="dxa"/>
          </w:tcPr>
          <w:p w14:paraId="1747BCAC" w14:textId="6BB35F7B"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1</w:t>
            </w:r>
            <w:r w:rsidR="00FB01C7">
              <w:rPr>
                <w:rFonts w:cs="Calibri"/>
                <w:color w:val="auto"/>
                <w:sz w:val="16"/>
                <w:szCs w:val="16"/>
              </w:rPr>
              <w:t>,</w:t>
            </w:r>
            <w:r w:rsidRPr="000F6DEF">
              <w:rPr>
                <w:rFonts w:cs="Calibri"/>
                <w:color w:val="auto"/>
                <w:sz w:val="16"/>
                <w:szCs w:val="16"/>
              </w:rPr>
              <w:t>851 (4</w:t>
            </w:r>
            <w:r w:rsidRPr="000F6DEF">
              <w:rPr>
                <w:rFonts w:cs="Calibri"/>
                <w:color w:val="auto"/>
                <w:sz w:val="16"/>
                <w:szCs w:val="16"/>
              </w:rPr>
              <w:noBreakHyphen/>
              <w:t>year FU)</w:t>
            </w:r>
          </w:p>
          <w:p w14:paraId="361DC5BC"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Mean ages: 13.5(0.6) baseline</w:t>
            </w:r>
            <w:r w:rsidRPr="000F6DEF">
              <w:rPr>
                <w:rFonts w:cs="Calibri"/>
                <w:color w:val="auto"/>
                <w:sz w:val="16"/>
                <w:szCs w:val="16"/>
              </w:rPr>
              <w:br/>
              <w:t>17.3(0.6) FU</w:t>
            </w:r>
          </w:p>
          <w:p w14:paraId="2F37A06E"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49% males</w:t>
            </w:r>
          </w:p>
        </w:tc>
        <w:tc>
          <w:tcPr>
            <w:tcW w:w="2133" w:type="dxa"/>
          </w:tcPr>
          <w:p w14:paraId="04125B5B"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12 communities across Southern California</w:t>
            </w:r>
          </w:p>
        </w:tc>
        <w:tc>
          <w:tcPr>
            <w:tcW w:w="1523" w:type="dxa"/>
          </w:tcPr>
          <w:p w14:paraId="4F4758CC"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Participants completed questionnaires in school classrooms under the supervision of study staff</w:t>
            </w:r>
          </w:p>
        </w:tc>
        <w:tc>
          <w:tcPr>
            <w:tcW w:w="1906" w:type="dxa"/>
          </w:tcPr>
          <w:p w14:paraId="7F26606C" w14:textId="73D616D4" w:rsidR="00B85C33" w:rsidRPr="000F6DEF" w:rsidRDefault="00B85C33" w:rsidP="000376C7">
            <w:pPr>
              <w:spacing w:after="240"/>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Perceived Stress (PSS)</w:t>
            </w:r>
            <w:r w:rsidRPr="000F6DEF">
              <w:rPr>
                <w:rFonts w:cs="Calibri"/>
                <w:color w:val="auto"/>
                <w:sz w:val="16"/>
                <w:szCs w:val="16"/>
              </w:rPr>
              <w:br/>
              <w:t>Tobacco product ever and 30</w:t>
            </w:r>
            <w:r w:rsidRPr="000F6DEF">
              <w:rPr>
                <w:rFonts w:cs="Calibri"/>
                <w:color w:val="auto"/>
                <w:sz w:val="16"/>
                <w:szCs w:val="16"/>
              </w:rPr>
              <w:noBreakHyphen/>
              <w:t>day use (cig</w:t>
            </w:r>
            <w:r w:rsidR="005500FC">
              <w:rPr>
                <w:rFonts w:cs="Calibri"/>
                <w:color w:val="auto"/>
                <w:sz w:val="16"/>
                <w:szCs w:val="16"/>
              </w:rPr>
              <w:t>arette</w:t>
            </w:r>
            <w:r w:rsidRPr="000F6DEF">
              <w:rPr>
                <w:rFonts w:cs="Calibri"/>
                <w:color w:val="auto"/>
                <w:sz w:val="16"/>
                <w:szCs w:val="16"/>
              </w:rPr>
              <w:t xml:space="preserve">, </w:t>
            </w:r>
            <w:r w:rsidR="005500FC">
              <w:rPr>
                <w:rFonts w:asciiTheme="minorHAnsi" w:hAnsiTheme="minorHAnsi" w:cstheme="minorHAnsi"/>
                <w:color w:val="auto"/>
                <w:sz w:val="16"/>
                <w:szCs w:val="16"/>
              </w:rPr>
              <w:t>e</w:t>
            </w:r>
            <w:r w:rsidR="005500FC">
              <w:rPr>
                <w:rFonts w:asciiTheme="minorHAnsi" w:hAnsiTheme="minorHAnsi" w:cstheme="minorHAnsi"/>
                <w:color w:val="auto"/>
                <w:sz w:val="16"/>
                <w:szCs w:val="16"/>
              </w:rPr>
              <w:noBreakHyphen/>
              <w:t>cigarettes</w:t>
            </w:r>
            <w:r w:rsidRPr="000F6DEF">
              <w:rPr>
                <w:rFonts w:cs="Calibri"/>
                <w:color w:val="auto"/>
                <w:sz w:val="16"/>
                <w:szCs w:val="16"/>
              </w:rPr>
              <w:t>, hookah, cigar)</w:t>
            </w:r>
            <w:r w:rsidRPr="000F6DEF">
              <w:rPr>
                <w:rFonts w:cs="Calibri"/>
                <w:color w:val="auto"/>
                <w:sz w:val="16"/>
                <w:szCs w:val="16"/>
              </w:rPr>
              <w:br/>
              <w:t>Demographics</w:t>
            </w:r>
          </w:p>
        </w:tc>
      </w:tr>
      <w:tr w:rsidR="00B85C33" w:rsidRPr="000F6DEF" w14:paraId="65DBCD76" w14:textId="77777777" w:rsidTr="000376C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88" w:type="dxa"/>
          </w:tcPr>
          <w:p w14:paraId="1522FCE2" w14:textId="77777777" w:rsidR="00B85C33" w:rsidRPr="000F6DEF" w:rsidRDefault="00B85C33" w:rsidP="000376C7">
            <w:pPr>
              <w:spacing w:after="0"/>
              <w:rPr>
                <w:rFonts w:cs="Calibri"/>
                <w:color w:val="auto"/>
                <w:sz w:val="16"/>
                <w:szCs w:val="16"/>
              </w:rPr>
            </w:pPr>
            <w:r w:rsidRPr="000F6DEF">
              <w:rPr>
                <w:rFonts w:cs="Calibri"/>
                <w:color w:val="auto"/>
                <w:sz w:val="16"/>
                <w:szCs w:val="16"/>
              </w:rPr>
              <w:t>Mantey, Harrell, Case et al</w:t>
            </w:r>
          </w:p>
        </w:tc>
        <w:tc>
          <w:tcPr>
            <w:tcW w:w="2831" w:type="dxa"/>
          </w:tcPr>
          <w:p w14:paraId="7A4C2DC2" w14:textId="662D959E"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 xml:space="preserve">In this paper, we assessed the prevalence of subjective experiences at first use across four different nicotine products (cigarettes, </w:t>
            </w:r>
            <w:r>
              <w:rPr>
                <w:rFonts w:cs="Calibri"/>
                <w:color w:val="auto"/>
                <w:sz w:val="16"/>
                <w:szCs w:val="16"/>
              </w:rPr>
              <w:t>e</w:t>
            </w:r>
            <w:r>
              <w:rPr>
                <w:rFonts w:cs="Calibri"/>
                <w:color w:val="auto"/>
                <w:sz w:val="16"/>
                <w:szCs w:val="16"/>
              </w:rPr>
              <w:noBreakHyphen/>
              <w:t>cig</w:t>
            </w:r>
            <w:r w:rsidRPr="000F6DEF">
              <w:rPr>
                <w:rFonts w:cs="Calibri"/>
                <w:color w:val="auto"/>
                <w:sz w:val="16"/>
                <w:szCs w:val="16"/>
              </w:rPr>
              <w:t>arettes, hookah, and cigars/cigarillo/LFC) and the associations between each subjective experience and current use of the four products</w:t>
            </w:r>
            <w:r w:rsidR="006E78E1">
              <w:rPr>
                <w:rFonts w:cs="Calibri"/>
                <w:color w:val="auto"/>
                <w:sz w:val="16"/>
                <w:szCs w:val="16"/>
              </w:rPr>
              <w:t>.</w:t>
            </w:r>
          </w:p>
        </w:tc>
        <w:tc>
          <w:tcPr>
            <w:tcW w:w="1305" w:type="dxa"/>
          </w:tcPr>
          <w:p w14:paraId="57846C81"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Texas Adolescent Tobacco and Marketing Surveillance System (TATAMS)</w:t>
            </w:r>
          </w:p>
        </w:tc>
        <w:tc>
          <w:tcPr>
            <w:tcW w:w="1039" w:type="dxa"/>
          </w:tcPr>
          <w:p w14:paraId="0E43629D"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Texas, US</w:t>
            </w:r>
          </w:p>
        </w:tc>
        <w:tc>
          <w:tcPr>
            <w:tcW w:w="1032" w:type="dxa"/>
          </w:tcPr>
          <w:p w14:paraId="4A2ADB08"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2014</w:t>
            </w:r>
            <w:r w:rsidRPr="000F6DEF">
              <w:rPr>
                <w:rFonts w:cs="Calibri"/>
                <w:color w:val="auto"/>
                <w:sz w:val="16"/>
                <w:szCs w:val="16"/>
              </w:rPr>
              <w:noBreakHyphen/>
              <w:t>2015 (Wave 1)</w:t>
            </w:r>
          </w:p>
        </w:tc>
        <w:tc>
          <w:tcPr>
            <w:tcW w:w="1614" w:type="dxa"/>
          </w:tcPr>
          <w:p w14:paraId="69218C02"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3,907</w:t>
            </w:r>
          </w:p>
          <w:p w14:paraId="47051B38"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Grades 6,8,10</w:t>
            </w:r>
          </w:p>
          <w:p w14:paraId="29F1FBCD"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51% males</w:t>
            </w:r>
          </w:p>
        </w:tc>
        <w:tc>
          <w:tcPr>
            <w:tcW w:w="2133" w:type="dxa"/>
          </w:tcPr>
          <w:p w14:paraId="4355B3C0"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 </w:t>
            </w:r>
          </w:p>
        </w:tc>
        <w:tc>
          <w:tcPr>
            <w:tcW w:w="1523" w:type="dxa"/>
          </w:tcPr>
          <w:p w14:paraId="49DDA324"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 </w:t>
            </w:r>
          </w:p>
        </w:tc>
        <w:tc>
          <w:tcPr>
            <w:tcW w:w="1906" w:type="dxa"/>
          </w:tcPr>
          <w:p w14:paraId="56C8867A"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Subjective experience of first use (if EVER use)</w:t>
            </w:r>
            <w:r w:rsidRPr="000F6DEF">
              <w:rPr>
                <w:rFonts w:cs="Calibri"/>
                <w:color w:val="auto"/>
                <w:sz w:val="16"/>
                <w:szCs w:val="16"/>
              </w:rPr>
              <w:br/>
              <w:t>Current use of tobacco products</w:t>
            </w:r>
            <w:r w:rsidRPr="000F6DEF">
              <w:rPr>
                <w:rFonts w:cs="Calibri"/>
                <w:color w:val="auto"/>
                <w:sz w:val="16"/>
                <w:szCs w:val="16"/>
              </w:rPr>
              <w:br/>
              <w:t>Demographics</w:t>
            </w:r>
          </w:p>
        </w:tc>
      </w:tr>
      <w:tr w:rsidR="00B85C33" w:rsidRPr="000F6DEF" w14:paraId="4C0348CE" w14:textId="77777777" w:rsidTr="000376C7">
        <w:trPr>
          <w:trHeight w:val="567"/>
        </w:trPr>
        <w:tc>
          <w:tcPr>
            <w:cnfStyle w:val="001000000000" w:firstRow="0" w:lastRow="0" w:firstColumn="1" w:lastColumn="0" w:oddVBand="0" w:evenVBand="0" w:oddHBand="0" w:evenHBand="0" w:firstRowFirstColumn="0" w:firstRowLastColumn="0" w:lastRowFirstColumn="0" w:lastRowLastColumn="0"/>
            <w:tcW w:w="1388" w:type="dxa"/>
          </w:tcPr>
          <w:p w14:paraId="3C660B39" w14:textId="77777777" w:rsidR="00B85C33" w:rsidRPr="000F6DEF" w:rsidRDefault="00B85C33" w:rsidP="000376C7">
            <w:pPr>
              <w:rPr>
                <w:rFonts w:cs="Calibri"/>
                <w:color w:val="auto"/>
                <w:sz w:val="16"/>
                <w:szCs w:val="16"/>
              </w:rPr>
            </w:pPr>
            <w:r w:rsidRPr="000F6DEF">
              <w:rPr>
                <w:rFonts w:cs="Calibri"/>
                <w:color w:val="auto"/>
                <w:sz w:val="16"/>
                <w:szCs w:val="16"/>
              </w:rPr>
              <w:t>Owusu D,Aibangbee et al 2017</w:t>
            </w:r>
          </w:p>
        </w:tc>
        <w:tc>
          <w:tcPr>
            <w:tcW w:w="2831" w:type="dxa"/>
          </w:tcPr>
          <w:p w14:paraId="31C95E01" w14:textId="699F941E"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 xml:space="preserve">To estimate the prevalence of </w:t>
            </w:r>
            <w:r>
              <w:rPr>
                <w:rFonts w:cs="Calibri"/>
                <w:color w:val="auto"/>
                <w:sz w:val="16"/>
                <w:szCs w:val="16"/>
              </w:rPr>
              <w:t>e</w:t>
            </w:r>
            <w:r>
              <w:rPr>
                <w:rFonts w:cs="Calibri"/>
                <w:color w:val="auto"/>
                <w:sz w:val="16"/>
                <w:szCs w:val="16"/>
              </w:rPr>
              <w:noBreakHyphen/>
              <w:t>cig</w:t>
            </w:r>
            <w:r w:rsidRPr="000F6DEF">
              <w:rPr>
                <w:rFonts w:cs="Calibri"/>
                <w:color w:val="auto"/>
                <w:sz w:val="16"/>
                <w:szCs w:val="16"/>
              </w:rPr>
              <w:t xml:space="preserve">arette use and examine association of </w:t>
            </w:r>
            <w:r>
              <w:rPr>
                <w:rFonts w:cs="Calibri"/>
                <w:color w:val="auto"/>
                <w:sz w:val="16"/>
                <w:szCs w:val="16"/>
              </w:rPr>
              <w:t>e</w:t>
            </w:r>
            <w:r>
              <w:rPr>
                <w:rFonts w:cs="Calibri"/>
                <w:color w:val="auto"/>
                <w:sz w:val="16"/>
                <w:szCs w:val="16"/>
              </w:rPr>
              <w:noBreakHyphen/>
              <w:t>cig</w:t>
            </w:r>
            <w:r w:rsidRPr="000F6DEF">
              <w:rPr>
                <w:rFonts w:cs="Calibri"/>
                <w:color w:val="auto"/>
                <w:sz w:val="16"/>
                <w:szCs w:val="16"/>
              </w:rPr>
              <w:t>arette use with two tobacco products among school</w:t>
            </w:r>
            <w:r w:rsidRPr="000F6DEF">
              <w:rPr>
                <w:rFonts w:cs="Calibri"/>
                <w:color w:val="auto"/>
                <w:sz w:val="16"/>
                <w:szCs w:val="16"/>
              </w:rPr>
              <w:noBreakHyphen/>
              <w:t>going adolescents</w:t>
            </w:r>
            <w:r w:rsidR="006E78E1">
              <w:rPr>
                <w:rFonts w:cs="Calibri"/>
                <w:color w:val="auto"/>
                <w:sz w:val="16"/>
                <w:szCs w:val="16"/>
              </w:rPr>
              <w:t>.</w:t>
            </w:r>
          </w:p>
        </w:tc>
        <w:tc>
          <w:tcPr>
            <w:tcW w:w="1305" w:type="dxa"/>
          </w:tcPr>
          <w:p w14:paraId="15280D1B"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Lunch and Learn Tobacco Use Survey</w:t>
            </w:r>
          </w:p>
        </w:tc>
        <w:tc>
          <w:tcPr>
            <w:tcW w:w="1039" w:type="dxa"/>
          </w:tcPr>
          <w:p w14:paraId="3C8B75E3"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Tennessee, US</w:t>
            </w:r>
          </w:p>
        </w:tc>
        <w:tc>
          <w:tcPr>
            <w:tcW w:w="1032" w:type="dxa"/>
          </w:tcPr>
          <w:p w14:paraId="4D365E54"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2016</w:t>
            </w:r>
          </w:p>
        </w:tc>
        <w:tc>
          <w:tcPr>
            <w:tcW w:w="1614" w:type="dxa"/>
          </w:tcPr>
          <w:p w14:paraId="39CDA6B1"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894</w:t>
            </w:r>
          </w:p>
          <w:p w14:paraId="2180968A"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Age: 14</w:t>
            </w:r>
            <w:r w:rsidRPr="000F6DEF">
              <w:rPr>
                <w:rFonts w:cs="Calibri"/>
                <w:color w:val="auto"/>
                <w:sz w:val="16"/>
                <w:szCs w:val="16"/>
              </w:rPr>
              <w:noBreakHyphen/>
              <w:t>22 (mean=16 yrs ± 1.4)</w:t>
            </w:r>
          </w:p>
          <w:p w14:paraId="5D1BF57C"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42% males</w:t>
            </w:r>
          </w:p>
        </w:tc>
        <w:tc>
          <w:tcPr>
            <w:tcW w:w="2133" w:type="dxa"/>
          </w:tcPr>
          <w:p w14:paraId="14A58F95"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All schools in county invited to participate, 4 accepted and all students eligible to participate</w:t>
            </w:r>
          </w:p>
        </w:tc>
        <w:tc>
          <w:tcPr>
            <w:tcW w:w="1523" w:type="dxa"/>
          </w:tcPr>
          <w:p w14:paraId="2E82126F"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Face</w:t>
            </w:r>
            <w:r w:rsidRPr="000F6DEF">
              <w:rPr>
                <w:rFonts w:cs="Calibri"/>
                <w:color w:val="auto"/>
                <w:sz w:val="16"/>
                <w:szCs w:val="16"/>
              </w:rPr>
              <w:noBreakHyphen/>
              <w:t>to</w:t>
            </w:r>
            <w:r w:rsidRPr="000F6DEF">
              <w:rPr>
                <w:rFonts w:cs="Calibri"/>
                <w:color w:val="auto"/>
                <w:sz w:val="16"/>
                <w:szCs w:val="16"/>
              </w:rPr>
              <w:noBreakHyphen/>
              <w:t>face interviews</w:t>
            </w:r>
          </w:p>
        </w:tc>
        <w:tc>
          <w:tcPr>
            <w:tcW w:w="1906" w:type="dxa"/>
          </w:tcPr>
          <w:p w14:paraId="4F09F4DB"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 xml:space="preserve">Current </w:t>
            </w:r>
            <w:r>
              <w:rPr>
                <w:rFonts w:cs="Calibri"/>
                <w:color w:val="auto"/>
                <w:sz w:val="16"/>
                <w:szCs w:val="16"/>
              </w:rPr>
              <w:t>e</w:t>
            </w:r>
            <w:r>
              <w:rPr>
                <w:rFonts w:cs="Calibri"/>
                <w:color w:val="auto"/>
                <w:sz w:val="16"/>
                <w:szCs w:val="16"/>
              </w:rPr>
              <w:noBreakHyphen/>
              <w:t>cig</w:t>
            </w:r>
            <w:r w:rsidRPr="000F6DEF">
              <w:rPr>
                <w:rFonts w:cs="Calibri"/>
                <w:color w:val="auto"/>
                <w:sz w:val="16"/>
                <w:szCs w:val="16"/>
              </w:rPr>
              <w:t>arette use (ever use, current use, age of initiation, and intention to quit of these three nicotine products); demographics</w:t>
            </w:r>
          </w:p>
        </w:tc>
      </w:tr>
      <w:tr w:rsidR="00B85C33" w:rsidRPr="000F6DEF" w14:paraId="2C3B8CD2" w14:textId="77777777" w:rsidTr="000376C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88" w:type="dxa"/>
          </w:tcPr>
          <w:p w14:paraId="350CD91C" w14:textId="77777777" w:rsidR="00B85C33" w:rsidRPr="000F6DEF" w:rsidRDefault="00B85C33" w:rsidP="000376C7">
            <w:pPr>
              <w:rPr>
                <w:rFonts w:cs="Calibri"/>
                <w:color w:val="auto"/>
                <w:sz w:val="16"/>
                <w:szCs w:val="16"/>
              </w:rPr>
            </w:pPr>
            <w:r w:rsidRPr="000F6DEF">
              <w:rPr>
                <w:rFonts w:cs="Calibri"/>
                <w:color w:val="auto"/>
                <w:sz w:val="16"/>
                <w:szCs w:val="16"/>
              </w:rPr>
              <w:t>Urman, McConnell et al 2018</w:t>
            </w:r>
          </w:p>
        </w:tc>
        <w:tc>
          <w:tcPr>
            <w:tcW w:w="2831" w:type="dxa"/>
          </w:tcPr>
          <w:p w14:paraId="48F1CB95"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 xml:space="preserve">We used two waves of data from the Southern Children’s Health Study to examine prospectively (1) whether the </w:t>
            </w:r>
            <w:r>
              <w:rPr>
                <w:rFonts w:cs="Calibri"/>
                <w:color w:val="auto"/>
                <w:sz w:val="16"/>
                <w:szCs w:val="16"/>
              </w:rPr>
              <w:t>e</w:t>
            </w:r>
            <w:r>
              <w:rPr>
                <w:rFonts w:cs="Calibri"/>
                <w:color w:val="auto"/>
                <w:sz w:val="16"/>
                <w:szCs w:val="16"/>
              </w:rPr>
              <w:noBreakHyphen/>
              <w:t>cig</w:t>
            </w:r>
            <w:r w:rsidRPr="000F6DEF">
              <w:rPr>
                <w:rFonts w:cs="Calibri"/>
                <w:color w:val="auto"/>
                <w:sz w:val="16"/>
                <w:szCs w:val="16"/>
              </w:rPr>
              <w:t xml:space="preserve">arette social environment was associated with subsequent initiation of </w:t>
            </w:r>
            <w:r>
              <w:rPr>
                <w:rFonts w:cs="Calibri"/>
                <w:color w:val="auto"/>
                <w:sz w:val="16"/>
                <w:szCs w:val="16"/>
              </w:rPr>
              <w:t>e</w:t>
            </w:r>
            <w:r>
              <w:rPr>
                <w:rFonts w:cs="Calibri"/>
                <w:color w:val="auto"/>
                <w:sz w:val="16"/>
                <w:szCs w:val="16"/>
              </w:rPr>
              <w:noBreakHyphen/>
              <w:t>cig</w:t>
            </w:r>
            <w:r w:rsidRPr="000F6DEF">
              <w:rPr>
                <w:rFonts w:cs="Calibri"/>
                <w:color w:val="auto"/>
                <w:sz w:val="16"/>
                <w:szCs w:val="16"/>
              </w:rPr>
              <w:t xml:space="preserve">arettes and (2) whether ever use of </w:t>
            </w:r>
            <w:r>
              <w:rPr>
                <w:rFonts w:cs="Calibri"/>
                <w:color w:val="auto"/>
                <w:sz w:val="16"/>
                <w:szCs w:val="16"/>
              </w:rPr>
              <w:t>e</w:t>
            </w:r>
            <w:r>
              <w:rPr>
                <w:rFonts w:cs="Calibri"/>
                <w:color w:val="auto"/>
                <w:sz w:val="16"/>
                <w:szCs w:val="16"/>
              </w:rPr>
              <w:noBreakHyphen/>
              <w:t>cig</w:t>
            </w:r>
            <w:r w:rsidRPr="000F6DEF">
              <w:rPr>
                <w:rFonts w:cs="Calibri"/>
                <w:color w:val="auto"/>
                <w:sz w:val="16"/>
                <w:szCs w:val="16"/>
              </w:rPr>
              <w:t xml:space="preserve">arettes at baseline was associated with the development of a social environment more supportive of </w:t>
            </w:r>
            <w:r>
              <w:rPr>
                <w:rFonts w:cs="Calibri"/>
                <w:color w:val="auto"/>
                <w:sz w:val="16"/>
                <w:szCs w:val="16"/>
              </w:rPr>
              <w:t>e</w:t>
            </w:r>
            <w:r>
              <w:rPr>
                <w:rFonts w:cs="Calibri"/>
                <w:color w:val="auto"/>
                <w:sz w:val="16"/>
                <w:szCs w:val="16"/>
              </w:rPr>
              <w:noBreakHyphen/>
              <w:t>cig</w:t>
            </w:r>
            <w:r w:rsidRPr="000F6DEF">
              <w:rPr>
                <w:rFonts w:cs="Calibri"/>
                <w:color w:val="auto"/>
                <w:sz w:val="16"/>
                <w:szCs w:val="16"/>
              </w:rPr>
              <w:t>arette use at follow</w:t>
            </w:r>
            <w:r w:rsidRPr="000F6DEF">
              <w:rPr>
                <w:rFonts w:cs="Calibri"/>
                <w:color w:val="auto"/>
                <w:sz w:val="16"/>
                <w:szCs w:val="16"/>
              </w:rPr>
              <w:noBreakHyphen/>
              <w:t>up.</w:t>
            </w:r>
          </w:p>
        </w:tc>
        <w:tc>
          <w:tcPr>
            <w:tcW w:w="1305" w:type="dxa"/>
          </w:tcPr>
          <w:p w14:paraId="7F1BE6BF"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Southern California Children’s Health Study</w:t>
            </w:r>
          </w:p>
        </w:tc>
        <w:tc>
          <w:tcPr>
            <w:tcW w:w="1039" w:type="dxa"/>
          </w:tcPr>
          <w:p w14:paraId="6C70227F"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California, US</w:t>
            </w:r>
          </w:p>
        </w:tc>
        <w:tc>
          <w:tcPr>
            <w:tcW w:w="1032" w:type="dxa"/>
          </w:tcPr>
          <w:p w14:paraId="24E85EBF"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2014</w:t>
            </w:r>
          </w:p>
        </w:tc>
        <w:tc>
          <w:tcPr>
            <w:tcW w:w="1614" w:type="dxa"/>
          </w:tcPr>
          <w:p w14:paraId="01877B90" w14:textId="499309E9"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1</w:t>
            </w:r>
            <w:r w:rsidR="007B1B17">
              <w:rPr>
                <w:rFonts w:cs="Calibri"/>
                <w:color w:val="auto"/>
                <w:sz w:val="16"/>
                <w:szCs w:val="16"/>
              </w:rPr>
              <w:t>,</w:t>
            </w:r>
            <w:r w:rsidRPr="000F6DEF">
              <w:rPr>
                <w:rFonts w:cs="Calibri"/>
                <w:color w:val="auto"/>
                <w:sz w:val="16"/>
                <w:szCs w:val="16"/>
              </w:rPr>
              <w:t>441, 17.3 years (median), 47.6% male</w:t>
            </w:r>
          </w:p>
        </w:tc>
        <w:tc>
          <w:tcPr>
            <w:tcW w:w="2133" w:type="dxa"/>
          </w:tcPr>
          <w:p w14:paraId="459C034D"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11 and 12 graders from 12 Southern California communities</w:t>
            </w:r>
          </w:p>
        </w:tc>
        <w:tc>
          <w:tcPr>
            <w:tcW w:w="1523" w:type="dxa"/>
          </w:tcPr>
          <w:p w14:paraId="0D377F76" w14:textId="77777777" w:rsidR="00B85C33" w:rsidRPr="000F6DEF" w:rsidRDefault="00B85C33" w:rsidP="000376C7">
            <w:pPr>
              <w:spacing w:after="0"/>
              <w:jc w:val="cente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In</w:t>
            </w:r>
            <w:r w:rsidRPr="000F6DEF">
              <w:rPr>
                <w:rFonts w:cs="Calibri"/>
                <w:color w:val="auto"/>
                <w:sz w:val="16"/>
                <w:szCs w:val="16"/>
              </w:rPr>
              <w:noBreakHyphen/>
              <w:t>class on paper</w:t>
            </w:r>
          </w:p>
          <w:p w14:paraId="252192AF" w14:textId="77777777" w:rsidR="00B85C33" w:rsidRPr="000F6DEF" w:rsidRDefault="00B85C33" w:rsidP="000376C7">
            <w:pPr>
              <w:spacing w:after="0"/>
              <w:jc w:val="cente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Follow</w:t>
            </w:r>
            <w:r w:rsidRPr="000F6DEF">
              <w:rPr>
                <w:rFonts w:cs="Calibri"/>
                <w:color w:val="auto"/>
                <w:sz w:val="16"/>
                <w:szCs w:val="16"/>
              </w:rPr>
              <w:noBreakHyphen/>
              <w:t>up online</w:t>
            </w:r>
          </w:p>
        </w:tc>
        <w:tc>
          <w:tcPr>
            <w:tcW w:w="1906" w:type="dxa"/>
          </w:tcPr>
          <w:p w14:paraId="1404FBA0"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Tobacco product use</w:t>
            </w:r>
          </w:p>
          <w:p w14:paraId="1E35D782"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Social environment</w:t>
            </w:r>
          </w:p>
          <w:p w14:paraId="12995A6A"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Demographics</w:t>
            </w:r>
          </w:p>
          <w:p w14:paraId="202E533A"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p>
        </w:tc>
      </w:tr>
      <w:tr w:rsidR="00B85C33" w:rsidRPr="000F6DEF" w14:paraId="092D73A0" w14:textId="77777777" w:rsidTr="000376C7">
        <w:trPr>
          <w:trHeight w:val="567"/>
        </w:trPr>
        <w:tc>
          <w:tcPr>
            <w:cnfStyle w:val="001000000000" w:firstRow="0" w:lastRow="0" w:firstColumn="1" w:lastColumn="0" w:oddVBand="0" w:evenVBand="0" w:oddHBand="0" w:evenHBand="0" w:firstRowFirstColumn="0" w:firstRowLastColumn="0" w:lastRowFirstColumn="0" w:lastRowLastColumn="0"/>
            <w:tcW w:w="1388" w:type="dxa"/>
          </w:tcPr>
          <w:p w14:paraId="03962956" w14:textId="77777777" w:rsidR="00B85C33" w:rsidRPr="000F6DEF" w:rsidRDefault="00B85C33" w:rsidP="000376C7">
            <w:pPr>
              <w:rPr>
                <w:rFonts w:cs="Calibri"/>
                <w:color w:val="auto"/>
                <w:sz w:val="16"/>
                <w:szCs w:val="16"/>
              </w:rPr>
            </w:pPr>
            <w:r w:rsidRPr="000F6DEF">
              <w:rPr>
                <w:rFonts w:cs="Calibri"/>
                <w:color w:val="auto"/>
                <w:sz w:val="16"/>
                <w:szCs w:val="16"/>
              </w:rPr>
              <w:t>Wong, Fan 2018</w:t>
            </w:r>
          </w:p>
        </w:tc>
        <w:tc>
          <w:tcPr>
            <w:tcW w:w="2831" w:type="dxa"/>
          </w:tcPr>
          <w:p w14:paraId="32BC81F0"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 xml:space="preserve">This study sought to determine </w:t>
            </w:r>
            <w:r>
              <w:rPr>
                <w:rFonts w:cs="Calibri"/>
                <w:color w:val="auto"/>
                <w:sz w:val="16"/>
                <w:szCs w:val="16"/>
              </w:rPr>
              <w:t>e</w:t>
            </w:r>
            <w:r>
              <w:rPr>
                <w:rFonts w:cs="Calibri"/>
                <w:color w:val="auto"/>
                <w:sz w:val="16"/>
                <w:szCs w:val="16"/>
              </w:rPr>
              <w:noBreakHyphen/>
              <w:t>cig</w:t>
            </w:r>
            <w:r w:rsidRPr="000F6DEF">
              <w:rPr>
                <w:rFonts w:cs="Calibri"/>
                <w:color w:val="auto"/>
                <w:sz w:val="16"/>
                <w:szCs w:val="16"/>
              </w:rPr>
              <w:t xml:space="preserve">arette use prevalence and its relation to alcohol use as a potential </w:t>
            </w:r>
            <w:r w:rsidRPr="000F6DEF">
              <w:rPr>
                <w:rFonts w:cs="Calibri"/>
                <w:color w:val="auto"/>
                <w:sz w:val="16"/>
                <w:szCs w:val="16"/>
              </w:rPr>
              <w:lastRenderedPageBreak/>
              <w:t>gateway drug, and how this may differ by sex and ethnicity in a multi</w:t>
            </w:r>
            <w:r w:rsidRPr="000F6DEF">
              <w:rPr>
                <w:rFonts w:cs="Calibri"/>
                <w:color w:val="auto"/>
                <w:sz w:val="16"/>
                <w:szCs w:val="16"/>
              </w:rPr>
              <w:noBreakHyphen/>
              <w:t>ethnic sample of California adolescents.</w:t>
            </w:r>
          </w:p>
        </w:tc>
        <w:tc>
          <w:tcPr>
            <w:tcW w:w="1305" w:type="dxa"/>
          </w:tcPr>
          <w:p w14:paraId="04D1A8C9"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lastRenderedPageBreak/>
              <w:t>California Health Interview Survey (CHIS)</w:t>
            </w:r>
          </w:p>
        </w:tc>
        <w:tc>
          <w:tcPr>
            <w:tcW w:w="1039" w:type="dxa"/>
          </w:tcPr>
          <w:p w14:paraId="7A44DD44"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sz w:val="16"/>
                <w:szCs w:val="16"/>
              </w:rPr>
              <w:t>California, US</w:t>
            </w:r>
          </w:p>
        </w:tc>
        <w:tc>
          <w:tcPr>
            <w:tcW w:w="1032" w:type="dxa"/>
          </w:tcPr>
          <w:p w14:paraId="3EE96706"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sz w:val="16"/>
                <w:szCs w:val="16"/>
              </w:rPr>
              <w:t>2014/2015</w:t>
            </w:r>
          </w:p>
        </w:tc>
        <w:tc>
          <w:tcPr>
            <w:tcW w:w="1614" w:type="dxa"/>
          </w:tcPr>
          <w:p w14:paraId="1B222B9F" w14:textId="2992E82B"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1</w:t>
            </w:r>
            <w:r w:rsidR="007B1B17">
              <w:rPr>
                <w:rFonts w:cs="Calibri"/>
                <w:color w:val="auto"/>
                <w:sz w:val="16"/>
                <w:szCs w:val="16"/>
              </w:rPr>
              <w:t>,</w:t>
            </w:r>
            <w:r w:rsidRPr="000F6DEF">
              <w:rPr>
                <w:rFonts w:cs="Calibri"/>
                <w:color w:val="auto"/>
                <w:sz w:val="16"/>
                <w:szCs w:val="16"/>
              </w:rPr>
              <w:t>806, 14.5 years (mean), 51.1% male</w:t>
            </w:r>
          </w:p>
        </w:tc>
        <w:tc>
          <w:tcPr>
            <w:tcW w:w="2133" w:type="dxa"/>
          </w:tcPr>
          <w:p w14:paraId="08F02F75"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cross</w:t>
            </w:r>
            <w:r w:rsidRPr="000F6DEF">
              <w:rPr>
                <w:rFonts w:cs="Calibri"/>
                <w:color w:val="auto"/>
                <w:sz w:val="16"/>
                <w:szCs w:val="16"/>
              </w:rPr>
              <w:noBreakHyphen/>
              <w:t xml:space="preserve">sectional, multistage sampling representative of </w:t>
            </w:r>
            <w:r w:rsidRPr="000F6DEF">
              <w:rPr>
                <w:rFonts w:cs="Calibri"/>
                <w:color w:val="auto"/>
                <w:sz w:val="16"/>
                <w:szCs w:val="16"/>
              </w:rPr>
              <w:lastRenderedPageBreak/>
              <w:t>the non</w:t>
            </w:r>
            <w:r w:rsidRPr="000F6DEF">
              <w:rPr>
                <w:rFonts w:cs="Calibri"/>
                <w:color w:val="auto"/>
                <w:sz w:val="16"/>
                <w:szCs w:val="16"/>
              </w:rPr>
              <w:noBreakHyphen/>
              <w:t>institutionalised population</w:t>
            </w:r>
          </w:p>
        </w:tc>
        <w:tc>
          <w:tcPr>
            <w:tcW w:w="1523" w:type="dxa"/>
          </w:tcPr>
          <w:p w14:paraId="015953EE" w14:textId="77777777" w:rsidR="00B85C33" w:rsidRPr="000F6DEF" w:rsidRDefault="00B85C33" w:rsidP="000376C7">
            <w:pPr>
              <w:spacing w:after="0"/>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lastRenderedPageBreak/>
              <w:t>Telephone (CATI)</w:t>
            </w:r>
          </w:p>
          <w:p w14:paraId="5AF57C52" w14:textId="77777777" w:rsidR="00B85C33" w:rsidRPr="000F6DEF" w:rsidRDefault="00B85C33" w:rsidP="000376C7">
            <w:pPr>
              <w:spacing w:after="0"/>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lastRenderedPageBreak/>
              <w:t>household phones and then cell phones</w:t>
            </w:r>
          </w:p>
        </w:tc>
        <w:tc>
          <w:tcPr>
            <w:tcW w:w="1906" w:type="dxa"/>
          </w:tcPr>
          <w:p w14:paraId="16AF2BBC" w14:textId="66802681"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lastRenderedPageBreak/>
              <w:t>Ever</w:t>
            </w:r>
            <w:r w:rsidRPr="000F6DEF">
              <w:rPr>
                <w:rFonts w:cs="Calibri"/>
                <w:color w:val="auto"/>
                <w:sz w:val="16"/>
                <w:szCs w:val="16"/>
              </w:rPr>
              <w:noBreakHyphen/>
              <w:t xml:space="preserve">use </w:t>
            </w:r>
            <w:r w:rsidR="005500FC">
              <w:rPr>
                <w:rFonts w:asciiTheme="minorHAnsi" w:hAnsiTheme="minorHAnsi" w:cstheme="minorHAnsi"/>
                <w:color w:val="auto"/>
                <w:sz w:val="16"/>
                <w:szCs w:val="16"/>
              </w:rPr>
              <w:t>e</w:t>
            </w:r>
            <w:r w:rsidR="005500FC">
              <w:rPr>
                <w:rFonts w:asciiTheme="minorHAnsi" w:hAnsiTheme="minorHAnsi" w:cstheme="minorHAnsi"/>
                <w:color w:val="auto"/>
                <w:sz w:val="16"/>
                <w:szCs w:val="16"/>
              </w:rPr>
              <w:noBreakHyphen/>
              <w:t>cigarettes</w:t>
            </w:r>
          </w:p>
          <w:p w14:paraId="592D9759"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Ever</w:t>
            </w:r>
            <w:r w:rsidRPr="000F6DEF">
              <w:rPr>
                <w:rFonts w:cs="Calibri"/>
                <w:color w:val="auto"/>
                <w:sz w:val="16"/>
                <w:szCs w:val="16"/>
              </w:rPr>
              <w:noBreakHyphen/>
              <w:t>use alcohol</w:t>
            </w:r>
          </w:p>
          <w:p w14:paraId="4514192F"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lastRenderedPageBreak/>
              <w:t>Demographics</w:t>
            </w:r>
          </w:p>
          <w:p w14:paraId="2F16F079" w14:textId="3DB707B2"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Ever</w:t>
            </w:r>
            <w:r w:rsidRPr="000F6DEF">
              <w:rPr>
                <w:rFonts w:cs="Calibri"/>
                <w:color w:val="auto"/>
                <w:sz w:val="16"/>
                <w:szCs w:val="16"/>
              </w:rPr>
              <w:noBreakHyphen/>
              <w:t>use cig</w:t>
            </w:r>
            <w:r w:rsidR="005500FC">
              <w:rPr>
                <w:rFonts w:cs="Calibri"/>
                <w:color w:val="auto"/>
                <w:sz w:val="16"/>
                <w:szCs w:val="16"/>
              </w:rPr>
              <w:t>arettes</w:t>
            </w:r>
          </w:p>
          <w:p w14:paraId="1E1427FA"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Fruit and vegetable consumption</w:t>
            </w:r>
          </w:p>
          <w:p w14:paraId="064E6961"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Levels of physical activity</w:t>
            </w:r>
          </w:p>
        </w:tc>
      </w:tr>
    </w:tbl>
    <w:p w14:paraId="2FB97C3F" w14:textId="77777777" w:rsidR="00B85C33" w:rsidRDefault="00B85C33" w:rsidP="00B85C33">
      <w:pPr>
        <w:pStyle w:val="Caption"/>
        <w:rPr>
          <w:b w:val="0"/>
          <w:bCs w:val="0"/>
          <w:color w:val="000000"/>
          <w:sz w:val="24"/>
          <w:szCs w:val="22"/>
        </w:rPr>
      </w:pPr>
    </w:p>
    <w:p w14:paraId="79E03C6C" w14:textId="77777777" w:rsidR="00B85C33" w:rsidRDefault="00B85C33" w:rsidP="00B85C33">
      <w:pPr>
        <w:spacing w:after="0"/>
        <w:rPr>
          <w:sz w:val="24"/>
        </w:rPr>
      </w:pPr>
      <w:r>
        <w:rPr>
          <w:b/>
          <w:bCs/>
          <w:sz w:val="24"/>
        </w:rPr>
        <w:br w:type="page"/>
      </w:r>
    </w:p>
    <w:p w14:paraId="2A7AFCA3" w14:textId="77777777" w:rsidR="00B85C33" w:rsidRDefault="004C6D16" w:rsidP="004C6D16">
      <w:pPr>
        <w:pStyle w:val="Caption"/>
      </w:pPr>
      <w:bookmarkStart w:id="336" w:name="_Toc517707444"/>
      <w:r>
        <w:lastRenderedPageBreak/>
        <w:t xml:space="preserve">Table </w:t>
      </w:r>
      <w:r w:rsidR="0048064B">
        <w:rPr>
          <w:noProof/>
        </w:rPr>
        <w:fldChar w:fldCharType="begin"/>
      </w:r>
      <w:r w:rsidR="0048064B">
        <w:rPr>
          <w:noProof/>
        </w:rPr>
        <w:instrText xml:space="preserve"> SEQ Table \* ARABIC </w:instrText>
      </w:r>
      <w:r w:rsidR="0048064B">
        <w:rPr>
          <w:noProof/>
        </w:rPr>
        <w:fldChar w:fldCharType="separate"/>
      </w:r>
      <w:r w:rsidR="000C06DA">
        <w:rPr>
          <w:noProof/>
        </w:rPr>
        <w:t>35</w:t>
      </w:r>
      <w:r w:rsidR="0048064B">
        <w:rPr>
          <w:noProof/>
        </w:rPr>
        <w:fldChar w:fldCharType="end"/>
      </w:r>
      <w:r w:rsidR="00B85C33" w:rsidRPr="00F21007">
        <w:t>: Results of studies that were US non</w:t>
      </w:r>
      <w:r w:rsidR="00B85C33">
        <w:noBreakHyphen/>
      </w:r>
      <w:r w:rsidR="00B85C33" w:rsidRPr="00F21007">
        <w:t>national level youth</w:t>
      </w:r>
      <w:bookmarkEnd w:id="336"/>
    </w:p>
    <w:tbl>
      <w:tblPr>
        <w:tblStyle w:val="TableCSIRO"/>
        <w:tblW w:w="15026" w:type="dxa"/>
        <w:tblInd w:w="0" w:type="dxa"/>
        <w:tblLayout w:type="fixed"/>
        <w:tblLook w:val="04A0" w:firstRow="1" w:lastRow="0" w:firstColumn="1" w:lastColumn="0" w:noHBand="0" w:noVBand="1"/>
      </w:tblPr>
      <w:tblGrid>
        <w:gridCol w:w="1435"/>
        <w:gridCol w:w="2044"/>
        <w:gridCol w:w="6924"/>
        <w:gridCol w:w="4623"/>
      </w:tblGrid>
      <w:tr w:rsidR="00B85C33" w:rsidRPr="000F6DEF" w14:paraId="65020190" w14:textId="77777777" w:rsidTr="000376C7">
        <w:trPr>
          <w:cnfStyle w:val="100000000000" w:firstRow="1" w:lastRow="0" w:firstColumn="0" w:lastColumn="0" w:oddVBand="0" w:evenVBand="0" w:oddHBand="0" w:evenHBand="0" w:firstRowFirstColumn="0" w:firstRowLastColumn="0" w:lastRowFirstColumn="0" w:lastRowLastColumn="0"/>
          <w:trHeight w:val="94"/>
          <w:tblHeader/>
        </w:trPr>
        <w:tc>
          <w:tcPr>
            <w:cnfStyle w:val="001000000000" w:firstRow="0" w:lastRow="0" w:firstColumn="1" w:lastColumn="0" w:oddVBand="0" w:evenVBand="0" w:oddHBand="0" w:evenHBand="0" w:firstRowFirstColumn="0" w:firstRowLastColumn="0" w:lastRowFirstColumn="0" w:lastRowLastColumn="0"/>
            <w:tcW w:w="1435" w:type="dxa"/>
            <w:hideMark/>
          </w:tcPr>
          <w:p w14:paraId="4B3AC75D" w14:textId="77777777" w:rsidR="00B85C33" w:rsidRPr="000F6DEF" w:rsidRDefault="00B85C33" w:rsidP="000376C7">
            <w:pPr>
              <w:rPr>
                <w:color w:val="auto"/>
                <w:sz w:val="16"/>
                <w:szCs w:val="16"/>
              </w:rPr>
            </w:pPr>
            <w:r w:rsidRPr="000F6DEF">
              <w:rPr>
                <w:color w:val="auto"/>
                <w:sz w:val="16"/>
                <w:szCs w:val="16"/>
              </w:rPr>
              <w:t>Study reference</w:t>
            </w:r>
          </w:p>
        </w:tc>
        <w:tc>
          <w:tcPr>
            <w:tcW w:w="2044" w:type="dxa"/>
            <w:hideMark/>
          </w:tcPr>
          <w:p w14:paraId="28FF25EF" w14:textId="77777777" w:rsidR="00B85C33" w:rsidRPr="000F6DEF" w:rsidRDefault="00B85C33" w:rsidP="000376C7">
            <w:pPr>
              <w:cnfStyle w:val="100000000000" w:firstRow="1" w:lastRow="0" w:firstColumn="0" w:lastColumn="0" w:oddVBand="0" w:evenVBand="0" w:oddHBand="0" w:evenHBand="0" w:firstRowFirstColumn="0" w:firstRowLastColumn="0" w:lastRowFirstColumn="0" w:lastRowLastColumn="0"/>
              <w:rPr>
                <w:color w:val="auto"/>
                <w:sz w:val="16"/>
                <w:szCs w:val="16"/>
              </w:rPr>
            </w:pPr>
            <w:r w:rsidRPr="000F6DEF">
              <w:rPr>
                <w:color w:val="auto"/>
                <w:sz w:val="16"/>
                <w:szCs w:val="16"/>
              </w:rPr>
              <w:t>Purpose</w:t>
            </w:r>
          </w:p>
        </w:tc>
        <w:tc>
          <w:tcPr>
            <w:tcW w:w="6924" w:type="dxa"/>
            <w:hideMark/>
          </w:tcPr>
          <w:p w14:paraId="5F5F11EC" w14:textId="77777777" w:rsidR="00B85C33" w:rsidRPr="000F6DEF" w:rsidRDefault="00B85C33" w:rsidP="000376C7">
            <w:pPr>
              <w:cnfStyle w:val="100000000000" w:firstRow="1" w:lastRow="0" w:firstColumn="0" w:lastColumn="0" w:oddVBand="0" w:evenVBand="0" w:oddHBand="0" w:evenHBand="0" w:firstRowFirstColumn="0" w:firstRowLastColumn="0" w:lastRowFirstColumn="0" w:lastRowLastColumn="0"/>
              <w:rPr>
                <w:color w:val="auto"/>
                <w:sz w:val="16"/>
                <w:szCs w:val="16"/>
              </w:rPr>
            </w:pPr>
            <w:r w:rsidRPr="000F6DEF">
              <w:rPr>
                <w:color w:val="auto"/>
                <w:sz w:val="16"/>
                <w:szCs w:val="16"/>
              </w:rPr>
              <w:t>Results</w:t>
            </w:r>
          </w:p>
        </w:tc>
        <w:tc>
          <w:tcPr>
            <w:tcW w:w="4623" w:type="dxa"/>
            <w:hideMark/>
          </w:tcPr>
          <w:p w14:paraId="5D3F6B3E" w14:textId="77777777" w:rsidR="00B85C33" w:rsidRPr="000F6DEF" w:rsidRDefault="00B85C33" w:rsidP="000376C7">
            <w:pPr>
              <w:cnfStyle w:val="100000000000" w:firstRow="1" w:lastRow="0" w:firstColumn="0" w:lastColumn="0" w:oddVBand="0" w:evenVBand="0" w:oddHBand="0" w:evenHBand="0" w:firstRowFirstColumn="0" w:firstRowLastColumn="0" w:lastRowFirstColumn="0" w:lastRowLastColumn="0"/>
              <w:rPr>
                <w:color w:val="auto"/>
                <w:sz w:val="16"/>
                <w:szCs w:val="16"/>
              </w:rPr>
            </w:pPr>
            <w:r w:rsidRPr="000F6DEF">
              <w:rPr>
                <w:color w:val="auto"/>
                <w:sz w:val="16"/>
                <w:szCs w:val="16"/>
              </w:rPr>
              <w:t>Author conclusion</w:t>
            </w:r>
          </w:p>
        </w:tc>
      </w:tr>
      <w:tr w:rsidR="00B85C33" w:rsidRPr="000F6DEF" w14:paraId="77511858" w14:textId="77777777" w:rsidTr="000376C7">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1435" w:type="dxa"/>
          </w:tcPr>
          <w:p w14:paraId="1902DB90" w14:textId="77777777" w:rsidR="00B85C33" w:rsidRPr="000F6DEF" w:rsidRDefault="00B85C33" w:rsidP="000376C7">
            <w:pPr>
              <w:spacing w:after="0"/>
              <w:rPr>
                <w:rFonts w:eastAsia="Times New Roman" w:cs="Calibri"/>
                <w:color w:val="auto"/>
                <w:sz w:val="16"/>
                <w:szCs w:val="16"/>
              </w:rPr>
            </w:pPr>
            <w:r w:rsidRPr="000F6DEF">
              <w:rPr>
                <w:rFonts w:cs="Calibri"/>
                <w:color w:val="auto"/>
                <w:sz w:val="16"/>
                <w:szCs w:val="16"/>
              </w:rPr>
              <w:t>Barrington</w:t>
            </w:r>
            <w:r w:rsidRPr="000F6DEF">
              <w:rPr>
                <w:rFonts w:cs="Calibri"/>
                <w:color w:val="auto"/>
                <w:sz w:val="16"/>
                <w:szCs w:val="16"/>
              </w:rPr>
              <w:noBreakHyphen/>
              <w:t>Trimis, Gibson, Halpern</w:t>
            </w:r>
            <w:r w:rsidRPr="000F6DEF">
              <w:rPr>
                <w:rFonts w:cs="Calibri"/>
                <w:color w:val="auto"/>
                <w:sz w:val="16"/>
                <w:szCs w:val="16"/>
              </w:rPr>
              <w:noBreakHyphen/>
              <w:t>Felsher et al</w:t>
            </w:r>
          </w:p>
        </w:tc>
        <w:tc>
          <w:tcPr>
            <w:tcW w:w="2044" w:type="dxa"/>
          </w:tcPr>
          <w:p w14:paraId="1DADEC85" w14:textId="754E09A9"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Report the prevalence of using different device types among a combined 2</w:t>
            </w:r>
            <w:r w:rsidR="006E78E1">
              <w:rPr>
                <w:rFonts w:cs="Calibri"/>
                <w:color w:val="auto"/>
                <w:sz w:val="16"/>
                <w:szCs w:val="16"/>
              </w:rPr>
              <w:t>,</w:t>
            </w:r>
            <w:r w:rsidRPr="000F6DEF">
              <w:rPr>
                <w:rFonts w:cs="Calibri"/>
                <w:color w:val="auto"/>
                <w:sz w:val="16"/>
                <w:szCs w:val="16"/>
              </w:rPr>
              <w:t xml:space="preserve">166 adolescent and young adult </w:t>
            </w:r>
            <w:r>
              <w:rPr>
                <w:rFonts w:cs="Calibri"/>
                <w:color w:val="auto"/>
                <w:sz w:val="16"/>
                <w:szCs w:val="16"/>
              </w:rPr>
              <w:t>e</w:t>
            </w:r>
            <w:r>
              <w:rPr>
                <w:rFonts w:cs="Calibri"/>
                <w:color w:val="auto"/>
                <w:sz w:val="16"/>
                <w:szCs w:val="16"/>
              </w:rPr>
              <w:noBreakHyphen/>
              <w:t>cig</w:t>
            </w:r>
            <w:r w:rsidRPr="000F6DEF">
              <w:rPr>
                <w:rFonts w:cs="Calibri"/>
                <w:color w:val="auto"/>
                <w:sz w:val="16"/>
                <w:szCs w:val="16"/>
              </w:rPr>
              <w:t>arette users across eight different studies</w:t>
            </w:r>
            <w:r w:rsidR="006E78E1">
              <w:rPr>
                <w:rFonts w:cs="Calibri"/>
                <w:color w:val="auto"/>
                <w:sz w:val="16"/>
                <w:szCs w:val="16"/>
              </w:rPr>
              <w:t>.</w:t>
            </w:r>
          </w:p>
        </w:tc>
        <w:tc>
          <w:tcPr>
            <w:tcW w:w="6924" w:type="dxa"/>
          </w:tcPr>
          <w:p w14:paraId="34576F8D"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Use data in supplementary table [need to download from journal]</w:t>
            </w:r>
            <w:r w:rsidRPr="000F6DEF">
              <w:rPr>
                <w:rFonts w:cs="Calibri"/>
                <w:color w:val="auto"/>
                <w:sz w:val="16"/>
                <w:szCs w:val="16"/>
              </w:rPr>
              <w:br/>
              <w:t>Past 30</w:t>
            </w:r>
            <w:r w:rsidRPr="000F6DEF">
              <w:rPr>
                <w:rFonts w:cs="Calibri"/>
                <w:color w:val="auto"/>
                <w:sz w:val="16"/>
                <w:szCs w:val="16"/>
              </w:rPr>
              <w:noBreakHyphen/>
              <w:t xml:space="preserve">day </w:t>
            </w:r>
            <w:r>
              <w:rPr>
                <w:rFonts w:cs="Calibri"/>
                <w:color w:val="auto"/>
                <w:sz w:val="16"/>
                <w:szCs w:val="16"/>
              </w:rPr>
              <w:t>e</w:t>
            </w:r>
            <w:r>
              <w:rPr>
                <w:rFonts w:cs="Calibri"/>
                <w:color w:val="auto"/>
                <w:sz w:val="16"/>
                <w:szCs w:val="16"/>
              </w:rPr>
              <w:noBreakHyphen/>
              <w:t>cig</w:t>
            </w:r>
            <w:r w:rsidRPr="000F6DEF">
              <w:rPr>
                <w:rFonts w:cs="Calibri"/>
                <w:color w:val="auto"/>
                <w:sz w:val="16"/>
                <w:szCs w:val="16"/>
              </w:rPr>
              <w:t xml:space="preserve">arette use ranged from 3.5% to 13.2% </w:t>
            </w:r>
            <w:r w:rsidRPr="000F6DEF">
              <w:rPr>
                <w:rFonts w:cs="Calibri"/>
                <w:color w:val="auto"/>
                <w:sz w:val="16"/>
                <w:szCs w:val="16"/>
              </w:rPr>
              <w:br/>
              <w:t>Across the eight studies, 8.0% reported primary use of a disposable/cigalike device and 77.0% used later generation device</w:t>
            </w:r>
            <w:r w:rsidRPr="000F6DEF">
              <w:rPr>
                <w:rFonts w:cs="Calibri"/>
                <w:color w:val="auto"/>
                <w:sz w:val="16"/>
                <w:szCs w:val="16"/>
              </w:rPr>
              <w:br/>
              <w:t xml:space="preserve"> </w:t>
            </w:r>
          </w:p>
        </w:tc>
        <w:tc>
          <w:tcPr>
            <w:tcW w:w="4623" w:type="dxa"/>
          </w:tcPr>
          <w:p w14:paraId="195F47C5"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 xml:space="preserve">Among adolescent and young adult </w:t>
            </w:r>
            <w:r>
              <w:rPr>
                <w:rFonts w:cs="Calibri"/>
                <w:color w:val="auto"/>
                <w:sz w:val="16"/>
                <w:szCs w:val="16"/>
              </w:rPr>
              <w:t>e</w:t>
            </w:r>
            <w:r>
              <w:rPr>
                <w:rFonts w:cs="Calibri"/>
                <w:color w:val="auto"/>
                <w:sz w:val="16"/>
                <w:szCs w:val="16"/>
              </w:rPr>
              <w:noBreakHyphen/>
              <w:t>cig</w:t>
            </w:r>
            <w:r w:rsidRPr="000F6DEF">
              <w:rPr>
                <w:rFonts w:cs="Calibri"/>
                <w:color w:val="auto"/>
                <w:sz w:val="16"/>
                <w:szCs w:val="16"/>
              </w:rPr>
              <w:t>arette users, primary use of disposable/ cigalike devices was rare</w:t>
            </w:r>
          </w:p>
        </w:tc>
      </w:tr>
      <w:tr w:rsidR="00B85C33" w:rsidRPr="000F6DEF" w14:paraId="72A254ED" w14:textId="77777777" w:rsidTr="000376C7">
        <w:trPr>
          <w:trHeight w:val="94"/>
        </w:trPr>
        <w:tc>
          <w:tcPr>
            <w:cnfStyle w:val="001000000000" w:firstRow="0" w:lastRow="0" w:firstColumn="1" w:lastColumn="0" w:oddVBand="0" w:evenVBand="0" w:oddHBand="0" w:evenHBand="0" w:firstRowFirstColumn="0" w:firstRowLastColumn="0" w:lastRowFirstColumn="0" w:lastRowLastColumn="0"/>
            <w:tcW w:w="1435" w:type="dxa"/>
          </w:tcPr>
          <w:p w14:paraId="7D1FE89E" w14:textId="77777777" w:rsidR="00B85C33" w:rsidRPr="000F6DEF" w:rsidRDefault="00B85C33" w:rsidP="000376C7">
            <w:pPr>
              <w:rPr>
                <w:rFonts w:cs="Calibri"/>
                <w:color w:val="auto"/>
                <w:sz w:val="16"/>
                <w:szCs w:val="16"/>
              </w:rPr>
            </w:pPr>
            <w:r w:rsidRPr="000F6DEF">
              <w:rPr>
                <w:rFonts w:cs="Calibri"/>
                <w:color w:val="auto"/>
                <w:sz w:val="16"/>
                <w:szCs w:val="16"/>
              </w:rPr>
              <w:t>Bersamin, Paschall, Fisher</w:t>
            </w:r>
          </w:p>
        </w:tc>
        <w:tc>
          <w:tcPr>
            <w:tcW w:w="2044" w:type="dxa"/>
          </w:tcPr>
          <w:p w14:paraId="4C2BF0F4" w14:textId="4DD598BF"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The current study extends previous research and examines possible differences in the association between school</w:t>
            </w:r>
            <w:r w:rsidRPr="000F6DEF">
              <w:rPr>
                <w:rFonts w:cs="Calibri"/>
                <w:color w:val="auto"/>
                <w:sz w:val="16"/>
                <w:szCs w:val="16"/>
              </w:rPr>
              <w:noBreakHyphen/>
              <w:t>based health centre exposure and adolescent alcohol, tobacco, and other drug use by race/ethnicity, sex, and socioeconomic status</w:t>
            </w:r>
            <w:r w:rsidR="006E78E1">
              <w:rPr>
                <w:rFonts w:cs="Calibri"/>
                <w:color w:val="auto"/>
                <w:sz w:val="16"/>
                <w:szCs w:val="16"/>
              </w:rPr>
              <w:t>.</w:t>
            </w:r>
            <w:r w:rsidRPr="000F6DEF">
              <w:rPr>
                <w:rFonts w:cs="Calibri"/>
                <w:color w:val="auto"/>
                <w:sz w:val="16"/>
                <w:szCs w:val="16"/>
              </w:rPr>
              <w:t xml:space="preserve"> </w:t>
            </w:r>
          </w:p>
        </w:tc>
        <w:tc>
          <w:tcPr>
            <w:tcW w:w="6924" w:type="dxa"/>
          </w:tcPr>
          <w:p w14:paraId="4CC7AEB6" w14:textId="24039E65"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Pr>
                <w:rFonts w:cs="Calibri"/>
                <w:color w:val="auto"/>
                <w:sz w:val="16"/>
                <w:szCs w:val="16"/>
              </w:rPr>
              <w:t>E</w:t>
            </w:r>
            <w:r>
              <w:rPr>
                <w:rFonts w:cs="Calibri"/>
                <w:color w:val="auto"/>
                <w:sz w:val="16"/>
                <w:szCs w:val="16"/>
              </w:rPr>
              <w:noBreakHyphen/>
              <w:t>cig</w:t>
            </w:r>
            <w:r w:rsidRPr="000F6DEF">
              <w:rPr>
                <w:rFonts w:cs="Calibri"/>
                <w:color w:val="auto"/>
                <w:sz w:val="16"/>
                <w:szCs w:val="16"/>
              </w:rPr>
              <w:t>arette use lifetime 27.2%; past 30</w:t>
            </w:r>
            <w:r w:rsidRPr="000F6DEF">
              <w:rPr>
                <w:rFonts w:cs="Calibri"/>
                <w:color w:val="auto"/>
                <w:sz w:val="16"/>
                <w:szCs w:val="16"/>
              </w:rPr>
              <w:noBreakHyphen/>
              <w:t>days 14.3%</w:t>
            </w:r>
            <w:r w:rsidR="008146F9">
              <w:rPr>
                <w:rFonts w:cs="Calibri"/>
                <w:color w:val="auto"/>
                <w:sz w:val="16"/>
                <w:szCs w:val="16"/>
              </w:rPr>
              <w:t xml:space="preserve"> </w:t>
            </w:r>
            <w:r w:rsidRPr="000F6DEF">
              <w:rPr>
                <w:rFonts w:cs="Calibri"/>
                <w:color w:val="auto"/>
                <w:sz w:val="16"/>
                <w:szCs w:val="16"/>
              </w:rPr>
              <w:t xml:space="preserve">Strongest predictor of </w:t>
            </w:r>
            <w:r>
              <w:rPr>
                <w:rFonts w:cs="Calibri"/>
                <w:color w:val="auto"/>
                <w:sz w:val="16"/>
                <w:szCs w:val="16"/>
              </w:rPr>
              <w:t>e</w:t>
            </w:r>
            <w:r>
              <w:rPr>
                <w:rFonts w:cs="Calibri"/>
                <w:color w:val="auto"/>
                <w:sz w:val="16"/>
                <w:szCs w:val="16"/>
              </w:rPr>
              <w:noBreakHyphen/>
              <w:t>cig</w:t>
            </w:r>
            <w:r w:rsidRPr="000F6DEF">
              <w:rPr>
                <w:rFonts w:cs="Calibri"/>
                <w:color w:val="auto"/>
                <w:sz w:val="16"/>
                <w:szCs w:val="16"/>
              </w:rPr>
              <w:t xml:space="preserve">arette use was male followed by parent not graduating from college </w:t>
            </w:r>
            <w:r w:rsidRPr="000F6DEF">
              <w:rPr>
                <w:rFonts w:cs="Calibri"/>
                <w:color w:val="auto"/>
                <w:sz w:val="16"/>
                <w:szCs w:val="16"/>
              </w:rPr>
              <w:noBreakHyphen/>
            </w:r>
            <w:r w:rsidRPr="000F6DEF">
              <w:rPr>
                <w:rFonts w:cs="Calibri"/>
                <w:color w:val="auto"/>
                <w:sz w:val="16"/>
                <w:szCs w:val="16"/>
              </w:rPr>
              <w:noBreakHyphen/>
              <w:t xml:space="preserve"> similar for cigarettes (plus being African American for cigs).</w:t>
            </w:r>
            <w:r w:rsidR="008146F9">
              <w:rPr>
                <w:rFonts w:cs="Calibri"/>
                <w:color w:val="auto"/>
                <w:sz w:val="16"/>
                <w:szCs w:val="16"/>
              </w:rPr>
              <w:t xml:space="preserve"> </w:t>
            </w:r>
            <w:r w:rsidRPr="000F6DEF">
              <w:rPr>
                <w:rFonts w:cs="Calibri"/>
                <w:color w:val="auto"/>
                <w:sz w:val="16"/>
                <w:szCs w:val="16"/>
              </w:rPr>
              <w:t xml:space="preserve">The current study found that SBHCs had a differential association with substance use behaviours among (1) African Americans and Asian/Paciﬁc Islanders compared to white youth; and (2) youth whose parent(s) did not complete college compared to those who did. Among African Americans, access to an SBHC was inversely associated with alcohol use, binge drinking, cigarette, and </w:t>
            </w:r>
            <w:r>
              <w:rPr>
                <w:rFonts w:cs="Calibri"/>
                <w:color w:val="auto"/>
                <w:sz w:val="16"/>
                <w:szCs w:val="16"/>
              </w:rPr>
              <w:t>e</w:t>
            </w:r>
            <w:r>
              <w:rPr>
                <w:rFonts w:cs="Calibri"/>
                <w:color w:val="auto"/>
                <w:sz w:val="16"/>
                <w:szCs w:val="16"/>
              </w:rPr>
              <w:noBreakHyphen/>
              <w:t>cig</w:t>
            </w:r>
            <w:r w:rsidRPr="000F6DEF">
              <w:rPr>
                <w:rFonts w:cs="Calibri"/>
                <w:color w:val="auto"/>
                <w:sz w:val="16"/>
                <w:szCs w:val="16"/>
              </w:rPr>
              <w:t xml:space="preserve">arette use. Among Asian/Paciﬁc Islanders, SBHC access was inversely associated with cigarette and marijuana use. In contrast, among white youth, there were positive associations between SBHC access and alcohol and marijuana use, no association between SBHC access and cigarette use, and a weak inverse association between SBHC access and </w:t>
            </w:r>
            <w:r>
              <w:rPr>
                <w:rFonts w:cs="Calibri"/>
                <w:color w:val="auto"/>
                <w:sz w:val="16"/>
                <w:szCs w:val="16"/>
              </w:rPr>
              <w:t>e</w:t>
            </w:r>
            <w:r>
              <w:rPr>
                <w:rFonts w:cs="Calibri"/>
                <w:color w:val="auto"/>
                <w:sz w:val="16"/>
                <w:szCs w:val="16"/>
              </w:rPr>
              <w:noBreakHyphen/>
              <w:t>cig</w:t>
            </w:r>
            <w:r w:rsidRPr="000F6DEF">
              <w:rPr>
                <w:rFonts w:cs="Calibri"/>
                <w:color w:val="auto"/>
                <w:sz w:val="16"/>
                <w:szCs w:val="16"/>
              </w:rPr>
              <w:t xml:space="preserve">arette use. </w:t>
            </w:r>
          </w:p>
        </w:tc>
        <w:tc>
          <w:tcPr>
            <w:tcW w:w="4623" w:type="dxa"/>
          </w:tcPr>
          <w:p w14:paraId="23864F71"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 xml:space="preserve">SBHC exposure appears to be inversely related to substance use among youth in some ethnic minority groups and youth of lower SES. </w:t>
            </w:r>
          </w:p>
        </w:tc>
      </w:tr>
      <w:tr w:rsidR="00B85C33" w:rsidRPr="000F6DEF" w14:paraId="609CD023" w14:textId="77777777" w:rsidTr="000376C7">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1435" w:type="dxa"/>
          </w:tcPr>
          <w:p w14:paraId="58A0EEC0" w14:textId="77777777" w:rsidR="00B85C33" w:rsidRPr="000F6DEF" w:rsidRDefault="00B85C33" w:rsidP="000376C7">
            <w:pPr>
              <w:rPr>
                <w:rFonts w:cs="Calibri"/>
                <w:color w:val="auto"/>
                <w:sz w:val="16"/>
                <w:szCs w:val="16"/>
              </w:rPr>
            </w:pPr>
            <w:r w:rsidRPr="000F6DEF">
              <w:rPr>
                <w:rFonts w:cs="Calibri"/>
                <w:color w:val="auto"/>
                <w:sz w:val="16"/>
                <w:szCs w:val="16"/>
              </w:rPr>
              <w:t>Case, Harrell, Perez et al</w:t>
            </w:r>
          </w:p>
        </w:tc>
        <w:tc>
          <w:tcPr>
            <w:tcW w:w="2044" w:type="dxa"/>
          </w:tcPr>
          <w:p w14:paraId="30F40FE5" w14:textId="218AC8E3"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This study examined cross</w:t>
            </w:r>
            <w:r w:rsidRPr="000F6DEF">
              <w:rPr>
                <w:rFonts w:cs="Calibri"/>
                <w:color w:val="auto"/>
                <w:sz w:val="16"/>
                <w:szCs w:val="16"/>
              </w:rPr>
              <w:noBreakHyphen/>
              <w:t xml:space="preserve">sectional and longitudinal associations between sensation seeking and a variety of </w:t>
            </w:r>
            <w:r>
              <w:rPr>
                <w:rFonts w:cs="Calibri"/>
                <w:color w:val="auto"/>
                <w:sz w:val="16"/>
                <w:szCs w:val="16"/>
              </w:rPr>
              <w:t>e</w:t>
            </w:r>
            <w:r>
              <w:rPr>
                <w:rFonts w:cs="Calibri"/>
                <w:color w:val="auto"/>
                <w:sz w:val="16"/>
                <w:szCs w:val="16"/>
              </w:rPr>
              <w:noBreakHyphen/>
              <w:t>cig</w:t>
            </w:r>
            <w:r w:rsidRPr="000F6DEF">
              <w:rPr>
                <w:rFonts w:cs="Calibri"/>
                <w:color w:val="auto"/>
                <w:sz w:val="16"/>
                <w:szCs w:val="16"/>
              </w:rPr>
              <w:t>arette use behaviours among Texas adolescents</w:t>
            </w:r>
            <w:r w:rsidR="006E78E1">
              <w:rPr>
                <w:rFonts w:cs="Calibri"/>
                <w:color w:val="auto"/>
                <w:sz w:val="16"/>
                <w:szCs w:val="16"/>
              </w:rPr>
              <w:t>.</w:t>
            </w:r>
          </w:p>
        </w:tc>
        <w:tc>
          <w:tcPr>
            <w:tcW w:w="6924" w:type="dxa"/>
          </w:tcPr>
          <w:p w14:paraId="1E129D5C"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 xml:space="preserve">30.9% of never </w:t>
            </w:r>
            <w:r>
              <w:rPr>
                <w:rFonts w:cs="Calibri"/>
                <w:color w:val="auto"/>
                <w:sz w:val="16"/>
                <w:szCs w:val="16"/>
              </w:rPr>
              <w:t>e</w:t>
            </w:r>
            <w:r>
              <w:rPr>
                <w:rFonts w:cs="Calibri"/>
                <w:color w:val="auto"/>
                <w:sz w:val="16"/>
                <w:szCs w:val="16"/>
              </w:rPr>
              <w:noBreakHyphen/>
              <w:t>cig</w:t>
            </w:r>
            <w:r w:rsidRPr="000F6DEF">
              <w:rPr>
                <w:rFonts w:cs="Calibri"/>
                <w:color w:val="auto"/>
                <w:sz w:val="16"/>
                <w:szCs w:val="16"/>
              </w:rPr>
              <w:t>arette use were susceptible to future use</w:t>
            </w:r>
            <w:r w:rsidRPr="000F6DEF">
              <w:rPr>
                <w:rFonts w:cs="Calibri"/>
                <w:color w:val="auto"/>
                <w:sz w:val="16"/>
                <w:szCs w:val="16"/>
              </w:rPr>
              <w:br/>
              <w:t>7.3% reported current use.</w:t>
            </w:r>
            <w:r w:rsidRPr="000F6DEF">
              <w:rPr>
                <w:rFonts w:cs="Calibri"/>
                <w:color w:val="auto"/>
                <w:sz w:val="16"/>
                <w:szCs w:val="16"/>
              </w:rPr>
              <w:br/>
              <w:t xml:space="preserve">Adolescents with higher mean sensation seeking scores had significantly higher odds of being susceptible to </w:t>
            </w:r>
            <w:r>
              <w:rPr>
                <w:rFonts w:cs="Calibri"/>
                <w:color w:val="auto"/>
                <w:sz w:val="16"/>
                <w:szCs w:val="16"/>
              </w:rPr>
              <w:t>e</w:t>
            </w:r>
            <w:r>
              <w:rPr>
                <w:rFonts w:cs="Calibri"/>
                <w:color w:val="auto"/>
                <w:sz w:val="16"/>
                <w:szCs w:val="16"/>
              </w:rPr>
              <w:noBreakHyphen/>
              <w:t>cig</w:t>
            </w:r>
            <w:r w:rsidRPr="000F6DEF">
              <w:rPr>
                <w:rFonts w:cs="Calibri"/>
                <w:color w:val="auto"/>
                <w:sz w:val="16"/>
                <w:szCs w:val="16"/>
              </w:rPr>
              <w:t xml:space="preserve">arette use as compared to adolescents with lower mean sensation seeking scores (AOR=1.25, 95% CI=1.07, 1.47). Similarly, adolescents with higher mean sensation seeking scores had significantly higher odds of ever </w:t>
            </w:r>
            <w:r>
              <w:rPr>
                <w:rFonts w:cs="Calibri"/>
                <w:color w:val="auto"/>
                <w:sz w:val="16"/>
                <w:szCs w:val="16"/>
              </w:rPr>
              <w:t>e</w:t>
            </w:r>
            <w:r>
              <w:rPr>
                <w:rFonts w:cs="Calibri"/>
                <w:color w:val="auto"/>
                <w:sz w:val="16"/>
                <w:szCs w:val="16"/>
              </w:rPr>
              <w:noBreakHyphen/>
              <w:t>cig</w:t>
            </w:r>
            <w:r w:rsidRPr="000F6DEF">
              <w:rPr>
                <w:rFonts w:cs="Calibri"/>
                <w:color w:val="auto"/>
                <w:sz w:val="16"/>
                <w:szCs w:val="16"/>
              </w:rPr>
              <w:t xml:space="preserve">arette use (AOR=1.24, 95% CI=1.08, 1.43) as compared to adolescents with lower mean sensation seeking scores. </w:t>
            </w:r>
          </w:p>
        </w:tc>
        <w:tc>
          <w:tcPr>
            <w:tcW w:w="4623" w:type="dxa"/>
          </w:tcPr>
          <w:p w14:paraId="4B2B8BBE"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 xml:space="preserve">Higher sensation seeking scores were consistently and significantly related to experimentation with </w:t>
            </w:r>
            <w:r>
              <w:rPr>
                <w:rFonts w:cs="Calibri"/>
                <w:color w:val="auto"/>
                <w:sz w:val="16"/>
                <w:szCs w:val="16"/>
              </w:rPr>
              <w:t>e</w:t>
            </w:r>
            <w:r>
              <w:rPr>
                <w:rFonts w:cs="Calibri"/>
                <w:color w:val="auto"/>
                <w:sz w:val="16"/>
                <w:szCs w:val="16"/>
              </w:rPr>
              <w:noBreakHyphen/>
              <w:t>cig</w:t>
            </w:r>
            <w:r w:rsidRPr="000F6DEF">
              <w:rPr>
                <w:rFonts w:cs="Calibri"/>
                <w:color w:val="auto"/>
                <w:sz w:val="16"/>
                <w:szCs w:val="16"/>
              </w:rPr>
              <w:t>arette use among Texas adolescents.</w:t>
            </w:r>
          </w:p>
        </w:tc>
      </w:tr>
      <w:tr w:rsidR="00B85C33" w:rsidRPr="000F6DEF" w14:paraId="153E3B69" w14:textId="77777777" w:rsidTr="000376C7">
        <w:trPr>
          <w:trHeight w:val="94"/>
        </w:trPr>
        <w:tc>
          <w:tcPr>
            <w:cnfStyle w:val="001000000000" w:firstRow="0" w:lastRow="0" w:firstColumn="1" w:lastColumn="0" w:oddVBand="0" w:evenVBand="0" w:oddHBand="0" w:evenHBand="0" w:firstRowFirstColumn="0" w:firstRowLastColumn="0" w:lastRowFirstColumn="0" w:lastRowLastColumn="0"/>
            <w:tcW w:w="1435" w:type="dxa"/>
          </w:tcPr>
          <w:p w14:paraId="7AE9BFEE" w14:textId="77777777" w:rsidR="00B85C33" w:rsidRPr="000F6DEF" w:rsidRDefault="00B85C33" w:rsidP="000376C7">
            <w:pPr>
              <w:rPr>
                <w:rFonts w:cs="Calibri"/>
                <w:color w:val="auto"/>
                <w:sz w:val="16"/>
                <w:szCs w:val="16"/>
              </w:rPr>
            </w:pPr>
            <w:r w:rsidRPr="000F6DEF">
              <w:rPr>
                <w:rFonts w:cs="Calibri"/>
                <w:color w:val="auto"/>
                <w:sz w:val="16"/>
                <w:szCs w:val="16"/>
              </w:rPr>
              <w:t>Choi, Bestrashniy, Forster</w:t>
            </w:r>
          </w:p>
        </w:tc>
        <w:tc>
          <w:tcPr>
            <w:tcW w:w="2044" w:type="dxa"/>
          </w:tcPr>
          <w:p w14:paraId="7474F8E8"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 xml:space="preserve">We assessed trends in </w:t>
            </w:r>
            <w:r>
              <w:rPr>
                <w:rFonts w:cs="Calibri"/>
                <w:color w:val="auto"/>
                <w:sz w:val="16"/>
                <w:szCs w:val="16"/>
              </w:rPr>
              <w:t>e</w:t>
            </w:r>
            <w:r>
              <w:rPr>
                <w:rFonts w:cs="Calibri"/>
                <w:color w:val="auto"/>
                <w:sz w:val="16"/>
                <w:szCs w:val="16"/>
              </w:rPr>
              <w:noBreakHyphen/>
              <w:t>cig</w:t>
            </w:r>
            <w:r w:rsidRPr="000F6DEF">
              <w:rPr>
                <w:rFonts w:cs="Calibri"/>
                <w:color w:val="auto"/>
                <w:sz w:val="16"/>
                <w:szCs w:val="16"/>
              </w:rPr>
              <w:t>arette and snus in a cohort of young adults from the US Midwest.</w:t>
            </w:r>
          </w:p>
        </w:tc>
        <w:tc>
          <w:tcPr>
            <w:tcW w:w="6924" w:type="dxa"/>
          </w:tcPr>
          <w:p w14:paraId="467DC867"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 xml:space="preserve">Ever use </w:t>
            </w:r>
            <w:r>
              <w:rPr>
                <w:rFonts w:cs="Calibri"/>
                <w:color w:val="auto"/>
                <w:sz w:val="16"/>
                <w:szCs w:val="16"/>
              </w:rPr>
              <w:t>e</w:t>
            </w:r>
            <w:r>
              <w:rPr>
                <w:rFonts w:cs="Calibri"/>
                <w:color w:val="auto"/>
                <w:sz w:val="16"/>
                <w:szCs w:val="16"/>
              </w:rPr>
              <w:noBreakHyphen/>
              <w:t>cig</w:t>
            </w:r>
            <w:r w:rsidRPr="000F6DEF">
              <w:rPr>
                <w:rFonts w:cs="Calibri"/>
                <w:color w:val="auto"/>
                <w:sz w:val="16"/>
                <w:szCs w:val="16"/>
              </w:rPr>
              <w:t>arette 2010</w:t>
            </w:r>
            <w:r w:rsidRPr="000F6DEF">
              <w:rPr>
                <w:rFonts w:cs="Calibri"/>
                <w:color w:val="auto"/>
                <w:sz w:val="16"/>
                <w:szCs w:val="16"/>
              </w:rPr>
              <w:noBreakHyphen/>
              <w:t>2011 7%; 2011</w:t>
            </w:r>
            <w:r w:rsidRPr="000F6DEF">
              <w:rPr>
                <w:rFonts w:cs="Calibri"/>
                <w:color w:val="auto"/>
                <w:sz w:val="16"/>
                <w:szCs w:val="16"/>
              </w:rPr>
              <w:noBreakHyphen/>
              <w:t>2012 11.1%; 2012</w:t>
            </w:r>
            <w:r w:rsidRPr="000F6DEF">
              <w:rPr>
                <w:rFonts w:cs="Calibri"/>
                <w:color w:val="auto"/>
                <w:sz w:val="16"/>
                <w:szCs w:val="16"/>
              </w:rPr>
              <w:noBreakHyphen/>
              <w:t xml:space="preserve">2013 15.5% young adults in our sample were increasingly likely over time to believe that </w:t>
            </w:r>
            <w:r>
              <w:rPr>
                <w:rFonts w:cs="Calibri"/>
                <w:color w:val="auto"/>
                <w:sz w:val="16"/>
                <w:szCs w:val="16"/>
              </w:rPr>
              <w:t>e</w:t>
            </w:r>
            <w:r>
              <w:rPr>
                <w:rFonts w:cs="Calibri"/>
                <w:color w:val="auto"/>
                <w:sz w:val="16"/>
                <w:szCs w:val="16"/>
              </w:rPr>
              <w:noBreakHyphen/>
              <w:t>cig</w:t>
            </w:r>
            <w:r w:rsidRPr="000F6DEF">
              <w:rPr>
                <w:rFonts w:cs="Calibri"/>
                <w:color w:val="auto"/>
                <w:sz w:val="16"/>
                <w:szCs w:val="16"/>
              </w:rPr>
              <w:t>arettes are less harmful than cigarettes and can help people quit smoking. Trends did not vary by smoking status.</w:t>
            </w:r>
          </w:p>
        </w:tc>
        <w:tc>
          <w:tcPr>
            <w:tcW w:w="4623" w:type="dxa"/>
          </w:tcPr>
          <w:p w14:paraId="627DF574"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 xml:space="preserve">The increasingly favourable beliefs about </w:t>
            </w:r>
            <w:r>
              <w:rPr>
                <w:rFonts w:cs="Calibri"/>
                <w:color w:val="auto"/>
                <w:sz w:val="16"/>
                <w:szCs w:val="16"/>
              </w:rPr>
              <w:t>e</w:t>
            </w:r>
            <w:r>
              <w:rPr>
                <w:rFonts w:cs="Calibri"/>
                <w:color w:val="auto"/>
                <w:sz w:val="16"/>
                <w:szCs w:val="16"/>
              </w:rPr>
              <w:noBreakHyphen/>
              <w:t>cig</w:t>
            </w:r>
            <w:r w:rsidRPr="000F6DEF">
              <w:rPr>
                <w:rFonts w:cs="Calibri"/>
                <w:color w:val="auto"/>
                <w:sz w:val="16"/>
                <w:szCs w:val="16"/>
              </w:rPr>
              <w:t>arettes may explain the increasing prevalence of their use particularly among young adults, both among smokers and non</w:t>
            </w:r>
            <w:r w:rsidRPr="000F6DEF">
              <w:rPr>
                <w:rFonts w:cs="Calibri"/>
                <w:color w:val="auto"/>
                <w:sz w:val="16"/>
                <w:szCs w:val="16"/>
              </w:rPr>
              <w:noBreakHyphen/>
              <w:t xml:space="preserve">smokers. </w:t>
            </w:r>
          </w:p>
        </w:tc>
      </w:tr>
      <w:tr w:rsidR="00B85C33" w:rsidRPr="000F6DEF" w14:paraId="79F94056" w14:textId="77777777" w:rsidTr="000376C7">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1435" w:type="dxa"/>
          </w:tcPr>
          <w:p w14:paraId="0F79DD93" w14:textId="7D062B64" w:rsidR="00B85C33" w:rsidRPr="000F6DEF" w:rsidRDefault="00B85C33" w:rsidP="000376C7">
            <w:pPr>
              <w:rPr>
                <w:rFonts w:cs="Calibri"/>
                <w:color w:val="auto"/>
                <w:sz w:val="16"/>
                <w:szCs w:val="16"/>
              </w:rPr>
            </w:pPr>
            <w:r w:rsidRPr="000F6DEF">
              <w:rPr>
                <w:rFonts w:cs="Calibri"/>
                <w:color w:val="auto"/>
                <w:sz w:val="16"/>
                <w:szCs w:val="16"/>
              </w:rPr>
              <w:t xml:space="preserve">Creamer, Delk, Case </w:t>
            </w:r>
            <w:r w:rsidR="00065046">
              <w:rPr>
                <w:rFonts w:cs="Calibri"/>
                <w:color w:val="auto"/>
                <w:sz w:val="16"/>
                <w:szCs w:val="16"/>
              </w:rPr>
              <w:t>e</w:t>
            </w:r>
            <w:r w:rsidRPr="000F6DEF">
              <w:rPr>
                <w:rFonts w:cs="Calibri"/>
                <w:color w:val="auto"/>
                <w:sz w:val="16"/>
                <w:szCs w:val="16"/>
              </w:rPr>
              <w:t>t</w:t>
            </w:r>
            <w:r w:rsidR="008146F9">
              <w:rPr>
                <w:rFonts w:cs="Calibri"/>
                <w:color w:val="auto"/>
                <w:sz w:val="16"/>
                <w:szCs w:val="16"/>
              </w:rPr>
              <w:t xml:space="preserve"> </w:t>
            </w:r>
            <w:r w:rsidRPr="000F6DEF">
              <w:rPr>
                <w:rFonts w:cs="Calibri"/>
                <w:color w:val="auto"/>
                <w:sz w:val="16"/>
                <w:szCs w:val="16"/>
              </w:rPr>
              <w:t>al</w:t>
            </w:r>
          </w:p>
        </w:tc>
        <w:tc>
          <w:tcPr>
            <w:tcW w:w="2044" w:type="dxa"/>
          </w:tcPr>
          <w:p w14:paraId="51360D3E"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This study examines if outcome expectations at baseline, among an adolescent cohort of never users of tobacco products, predicts tobacco product use or susceptibility to use at 6</w:t>
            </w:r>
            <w:r w:rsidRPr="000F6DEF">
              <w:rPr>
                <w:rFonts w:cs="Calibri"/>
                <w:color w:val="auto"/>
                <w:sz w:val="16"/>
                <w:szCs w:val="16"/>
              </w:rPr>
              <w:noBreakHyphen/>
              <w:t>month follow</w:t>
            </w:r>
            <w:r w:rsidRPr="000F6DEF">
              <w:rPr>
                <w:rFonts w:cs="Calibri"/>
                <w:color w:val="auto"/>
                <w:sz w:val="16"/>
                <w:szCs w:val="16"/>
              </w:rPr>
              <w:noBreakHyphen/>
              <w:t xml:space="preserve">up. </w:t>
            </w:r>
          </w:p>
        </w:tc>
        <w:tc>
          <w:tcPr>
            <w:tcW w:w="6924" w:type="dxa"/>
          </w:tcPr>
          <w:p w14:paraId="21A6F03F"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78 (3.6%) never users</w:t>
            </w:r>
            <w:r w:rsidRPr="000F6DEF">
              <w:rPr>
                <w:rFonts w:cs="Calibri"/>
                <w:color w:val="auto"/>
                <w:sz w:val="16"/>
                <w:szCs w:val="16"/>
              </w:rPr>
              <w:br/>
              <w:t xml:space="preserve">63.2% of ever users tried </w:t>
            </w:r>
            <w:r>
              <w:rPr>
                <w:rFonts w:cs="Calibri"/>
                <w:color w:val="auto"/>
                <w:sz w:val="16"/>
                <w:szCs w:val="16"/>
              </w:rPr>
              <w:t>e</w:t>
            </w:r>
            <w:r>
              <w:rPr>
                <w:rFonts w:cs="Calibri"/>
                <w:color w:val="auto"/>
                <w:sz w:val="16"/>
                <w:szCs w:val="16"/>
              </w:rPr>
              <w:noBreakHyphen/>
              <w:t>cig</w:t>
            </w:r>
            <w:r w:rsidRPr="000F6DEF">
              <w:rPr>
                <w:rFonts w:cs="Calibri"/>
                <w:color w:val="auto"/>
                <w:sz w:val="16"/>
                <w:szCs w:val="16"/>
              </w:rPr>
              <w:t>arette (denominator n78)</w:t>
            </w:r>
            <w:r w:rsidRPr="000F6DEF">
              <w:rPr>
                <w:rFonts w:cs="Calibri"/>
                <w:color w:val="auto"/>
                <w:sz w:val="16"/>
                <w:szCs w:val="16"/>
              </w:rPr>
              <w:br/>
              <w:t>Outcome expectancies reported for total tobacco use only</w:t>
            </w:r>
          </w:p>
        </w:tc>
        <w:tc>
          <w:tcPr>
            <w:tcW w:w="4623" w:type="dxa"/>
          </w:tcPr>
          <w:p w14:paraId="1C5B69DF"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This study extends the literature regarding outcome expectations among adolescents regarding tobacco products. It is important that interventions offer alternative solutions to stress relief that do not include tobacco products.</w:t>
            </w:r>
          </w:p>
        </w:tc>
      </w:tr>
      <w:tr w:rsidR="00B85C33" w:rsidRPr="000F6DEF" w14:paraId="11DE41A9" w14:textId="77777777" w:rsidTr="000376C7">
        <w:trPr>
          <w:trHeight w:val="94"/>
        </w:trPr>
        <w:tc>
          <w:tcPr>
            <w:cnfStyle w:val="001000000000" w:firstRow="0" w:lastRow="0" w:firstColumn="1" w:lastColumn="0" w:oddVBand="0" w:evenVBand="0" w:oddHBand="0" w:evenHBand="0" w:firstRowFirstColumn="0" w:firstRowLastColumn="0" w:lastRowFirstColumn="0" w:lastRowLastColumn="0"/>
            <w:tcW w:w="1435" w:type="dxa"/>
          </w:tcPr>
          <w:p w14:paraId="6A262983" w14:textId="77777777" w:rsidR="00B85C33" w:rsidRPr="000F6DEF" w:rsidRDefault="00B85C33" w:rsidP="000376C7">
            <w:pPr>
              <w:rPr>
                <w:rFonts w:cs="Calibri"/>
                <w:color w:val="auto"/>
                <w:sz w:val="16"/>
                <w:szCs w:val="16"/>
              </w:rPr>
            </w:pPr>
            <w:r w:rsidRPr="000F6DEF">
              <w:rPr>
                <w:rFonts w:cs="Calibri"/>
                <w:color w:val="auto"/>
                <w:sz w:val="16"/>
                <w:szCs w:val="16"/>
              </w:rPr>
              <w:t>Delk, Creamer, Perry, Harrell</w:t>
            </w:r>
          </w:p>
        </w:tc>
        <w:tc>
          <w:tcPr>
            <w:tcW w:w="2044" w:type="dxa"/>
          </w:tcPr>
          <w:p w14:paraId="5513739C"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 xml:space="preserve">Given the high rate of adolescent obesity and the rise in </w:t>
            </w:r>
            <w:r>
              <w:rPr>
                <w:rFonts w:cs="Calibri"/>
                <w:color w:val="auto"/>
                <w:sz w:val="16"/>
                <w:szCs w:val="16"/>
              </w:rPr>
              <w:t>e</w:t>
            </w:r>
            <w:r>
              <w:rPr>
                <w:rFonts w:cs="Calibri"/>
                <w:color w:val="auto"/>
                <w:sz w:val="16"/>
                <w:szCs w:val="16"/>
              </w:rPr>
              <w:noBreakHyphen/>
              <w:t>cig</w:t>
            </w:r>
            <w:r w:rsidRPr="000F6DEF">
              <w:rPr>
                <w:rFonts w:cs="Calibri"/>
                <w:color w:val="auto"/>
                <w:sz w:val="16"/>
                <w:szCs w:val="16"/>
              </w:rPr>
              <w:t xml:space="preserve">arette use in adolescents, this </w:t>
            </w:r>
            <w:r w:rsidRPr="000F6DEF">
              <w:rPr>
                <w:rFonts w:cs="Calibri"/>
                <w:color w:val="auto"/>
                <w:sz w:val="16"/>
                <w:szCs w:val="16"/>
              </w:rPr>
              <w:lastRenderedPageBreak/>
              <w:t xml:space="preserve">relationship should be investigated. </w:t>
            </w:r>
          </w:p>
        </w:tc>
        <w:tc>
          <w:tcPr>
            <w:tcW w:w="6924" w:type="dxa"/>
          </w:tcPr>
          <w:p w14:paraId="66470C86"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lastRenderedPageBreak/>
              <w:t>Compared with healthy</w:t>
            </w:r>
            <w:r w:rsidRPr="000F6DEF">
              <w:rPr>
                <w:rFonts w:cs="Calibri"/>
                <w:color w:val="auto"/>
                <w:sz w:val="16"/>
                <w:szCs w:val="16"/>
              </w:rPr>
              <w:noBreakHyphen/>
              <w:t>weight boys, obese boys had higher odds of past 30</w:t>
            </w:r>
            <w:r w:rsidRPr="000F6DEF">
              <w:rPr>
                <w:rFonts w:cs="Calibri"/>
                <w:color w:val="auto"/>
                <w:sz w:val="16"/>
                <w:szCs w:val="16"/>
              </w:rPr>
              <w:noBreakHyphen/>
              <w:t xml:space="preserve">day </w:t>
            </w:r>
            <w:r>
              <w:rPr>
                <w:rFonts w:cs="Calibri"/>
                <w:color w:val="auto"/>
                <w:sz w:val="16"/>
                <w:szCs w:val="16"/>
              </w:rPr>
              <w:t>e</w:t>
            </w:r>
            <w:r>
              <w:rPr>
                <w:rFonts w:cs="Calibri"/>
                <w:color w:val="auto"/>
                <w:sz w:val="16"/>
                <w:szCs w:val="16"/>
              </w:rPr>
              <w:noBreakHyphen/>
              <w:t>cig</w:t>
            </w:r>
            <w:r w:rsidRPr="000F6DEF">
              <w:rPr>
                <w:rFonts w:cs="Calibri"/>
                <w:color w:val="auto"/>
                <w:sz w:val="16"/>
                <w:szCs w:val="16"/>
              </w:rPr>
              <w:t xml:space="preserve">arette use (AOR=3.45, 95% CI=1.34, 8.33) and cigarette smoking (AOR=4.52, 95% CI=1.32, 15.51). There was no significant relationship between weight status and cigarette or </w:t>
            </w:r>
            <w:r>
              <w:rPr>
                <w:rFonts w:cs="Calibri"/>
                <w:color w:val="auto"/>
                <w:sz w:val="16"/>
                <w:szCs w:val="16"/>
              </w:rPr>
              <w:t>e</w:t>
            </w:r>
            <w:r>
              <w:rPr>
                <w:rFonts w:cs="Calibri"/>
                <w:color w:val="auto"/>
                <w:sz w:val="16"/>
                <w:szCs w:val="16"/>
              </w:rPr>
              <w:noBreakHyphen/>
              <w:t>cig</w:t>
            </w:r>
            <w:r w:rsidRPr="000F6DEF">
              <w:rPr>
                <w:rFonts w:cs="Calibri"/>
                <w:color w:val="auto"/>
                <w:sz w:val="16"/>
                <w:szCs w:val="16"/>
              </w:rPr>
              <w:t xml:space="preserve">arette use in girls. </w:t>
            </w:r>
          </w:p>
        </w:tc>
        <w:tc>
          <w:tcPr>
            <w:tcW w:w="4623" w:type="dxa"/>
          </w:tcPr>
          <w:p w14:paraId="4EB85D40"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This study supports that there is a positive relationship between weight status and past 30</w:t>
            </w:r>
            <w:r w:rsidRPr="000F6DEF">
              <w:rPr>
                <w:rFonts w:cs="Calibri"/>
                <w:color w:val="auto"/>
                <w:sz w:val="16"/>
                <w:szCs w:val="16"/>
              </w:rPr>
              <w:noBreakHyphen/>
              <w:t xml:space="preserve">day cigarette and </w:t>
            </w:r>
            <w:r>
              <w:rPr>
                <w:rFonts w:cs="Calibri"/>
                <w:color w:val="auto"/>
                <w:sz w:val="16"/>
                <w:szCs w:val="16"/>
              </w:rPr>
              <w:t>e</w:t>
            </w:r>
            <w:r>
              <w:rPr>
                <w:rFonts w:cs="Calibri"/>
                <w:color w:val="auto"/>
                <w:sz w:val="16"/>
                <w:szCs w:val="16"/>
              </w:rPr>
              <w:noBreakHyphen/>
              <w:t>cig</w:t>
            </w:r>
            <w:r w:rsidRPr="000F6DEF">
              <w:rPr>
                <w:rFonts w:cs="Calibri"/>
                <w:color w:val="auto"/>
                <w:sz w:val="16"/>
                <w:szCs w:val="16"/>
              </w:rPr>
              <w:t>arette use for boys, but that there is no association for girls</w:t>
            </w:r>
          </w:p>
        </w:tc>
      </w:tr>
      <w:tr w:rsidR="00B85C33" w:rsidRPr="000F6DEF" w14:paraId="7DBB05D8" w14:textId="77777777" w:rsidTr="000376C7">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1435" w:type="dxa"/>
          </w:tcPr>
          <w:p w14:paraId="1689A8F8" w14:textId="77777777" w:rsidR="00B85C33" w:rsidRPr="000F6DEF" w:rsidRDefault="00B85C33" w:rsidP="000376C7">
            <w:pPr>
              <w:rPr>
                <w:rFonts w:cs="Calibri"/>
                <w:color w:val="auto"/>
                <w:sz w:val="16"/>
                <w:szCs w:val="16"/>
              </w:rPr>
            </w:pPr>
            <w:r w:rsidRPr="000F6DEF">
              <w:rPr>
                <w:rFonts w:cs="Calibri"/>
                <w:color w:val="auto"/>
                <w:sz w:val="16"/>
                <w:szCs w:val="16"/>
              </w:rPr>
              <w:t>Dunbar, Tucker, Ewing et al</w:t>
            </w:r>
          </w:p>
        </w:tc>
        <w:tc>
          <w:tcPr>
            <w:tcW w:w="2044" w:type="dxa"/>
          </w:tcPr>
          <w:p w14:paraId="3A23EAE4"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 xml:space="preserve">Investigate how </w:t>
            </w:r>
            <w:r>
              <w:rPr>
                <w:rFonts w:cs="Calibri"/>
                <w:color w:val="auto"/>
                <w:sz w:val="16"/>
                <w:szCs w:val="16"/>
              </w:rPr>
              <w:t>e</w:t>
            </w:r>
            <w:r>
              <w:rPr>
                <w:rFonts w:cs="Calibri"/>
                <w:color w:val="auto"/>
                <w:sz w:val="16"/>
                <w:szCs w:val="16"/>
              </w:rPr>
              <w:noBreakHyphen/>
              <w:t>cig</w:t>
            </w:r>
            <w:r w:rsidRPr="000F6DEF">
              <w:rPr>
                <w:rFonts w:cs="Calibri"/>
                <w:color w:val="auto"/>
                <w:sz w:val="16"/>
                <w:szCs w:val="16"/>
              </w:rPr>
              <w:t xml:space="preserve">arette use correlates with health status and protective health behaviours. </w:t>
            </w:r>
          </w:p>
        </w:tc>
        <w:tc>
          <w:tcPr>
            <w:tcW w:w="6924" w:type="dxa"/>
          </w:tcPr>
          <w:p w14:paraId="0EF6FA88"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 xml:space="preserve">Sig predictor of </w:t>
            </w:r>
            <w:r>
              <w:rPr>
                <w:rFonts w:cs="Calibri"/>
                <w:color w:val="auto"/>
                <w:sz w:val="16"/>
                <w:szCs w:val="16"/>
              </w:rPr>
              <w:t>e</w:t>
            </w:r>
            <w:r>
              <w:rPr>
                <w:rFonts w:cs="Calibri"/>
                <w:color w:val="auto"/>
                <w:sz w:val="16"/>
                <w:szCs w:val="16"/>
              </w:rPr>
              <w:noBreakHyphen/>
              <w:t>cig</w:t>
            </w:r>
            <w:r w:rsidRPr="000F6DEF">
              <w:rPr>
                <w:rFonts w:cs="Calibri"/>
                <w:color w:val="auto"/>
                <w:sz w:val="16"/>
                <w:szCs w:val="16"/>
              </w:rPr>
              <w:t xml:space="preserve">arette in </w:t>
            </w:r>
            <w:r>
              <w:rPr>
                <w:rFonts w:cs="Calibri"/>
                <w:color w:val="auto"/>
                <w:sz w:val="16"/>
                <w:szCs w:val="16"/>
              </w:rPr>
              <w:t>e</w:t>
            </w:r>
            <w:r>
              <w:rPr>
                <w:rFonts w:cs="Calibri"/>
                <w:color w:val="auto"/>
                <w:sz w:val="16"/>
                <w:szCs w:val="16"/>
              </w:rPr>
              <w:noBreakHyphen/>
              <w:t>cig</w:t>
            </w:r>
            <w:r w:rsidRPr="000F6DEF">
              <w:rPr>
                <w:rFonts w:cs="Calibri"/>
                <w:color w:val="auto"/>
                <w:sz w:val="16"/>
                <w:szCs w:val="16"/>
              </w:rPr>
              <w:t>arette users only: Did not limited consumption of unhealthy foods/drink; alcohol use; heavy drinking; marijuana use; other drug use.</w:t>
            </w:r>
            <w:r w:rsidRPr="000F6DEF">
              <w:rPr>
                <w:rFonts w:cs="Calibri"/>
                <w:color w:val="auto"/>
                <w:sz w:val="16"/>
                <w:szCs w:val="16"/>
              </w:rPr>
              <w:br/>
              <w:t xml:space="preserve">User groups were similar on physical health and engagement in protective health behaviours (physical activity, sleep duration/quality, healthy diet), but </w:t>
            </w:r>
            <w:r>
              <w:rPr>
                <w:rFonts w:cs="Calibri"/>
                <w:color w:val="auto"/>
                <w:sz w:val="16"/>
                <w:szCs w:val="16"/>
              </w:rPr>
              <w:t>e</w:t>
            </w:r>
            <w:r>
              <w:rPr>
                <w:rFonts w:cs="Calibri"/>
                <w:color w:val="auto"/>
                <w:sz w:val="16"/>
                <w:szCs w:val="16"/>
              </w:rPr>
              <w:noBreakHyphen/>
              <w:t>cig</w:t>
            </w:r>
            <w:r w:rsidRPr="000F6DEF">
              <w:rPr>
                <w:rFonts w:cs="Calibri"/>
                <w:color w:val="auto"/>
                <w:sz w:val="16"/>
                <w:szCs w:val="16"/>
              </w:rPr>
              <w:t>arette</w:t>
            </w:r>
            <w:r w:rsidRPr="000F6DEF">
              <w:rPr>
                <w:rFonts w:cs="Calibri"/>
                <w:color w:val="auto"/>
                <w:sz w:val="16"/>
                <w:szCs w:val="16"/>
              </w:rPr>
              <w:noBreakHyphen/>
              <w:t>only users reported fewer mental health symptoms and less AOD use than dual or cigarette</w:t>
            </w:r>
            <w:r w:rsidRPr="000F6DEF">
              <w:rPr>
                <w:rFonts w:cs="Calibri"/>
                <w:color w:val="auto"/>
                <w:sz w:val="16"/>
                <w:szCs w:val="16"/>
              </w:rPr>
              <w:noBreakHyphen/>
              <w:t xml:space="preserve">only users. Among </w:t>
            </w:r>
            <w:r>
              <w:rPr>
                <w:rFonts w:cs="Calibri"/>
                <w:color w:val="auto"/>
                <w:sz w:val="16"/>
                <w:szCs w:val="16"/>
              </w:rPr>
              <w:t>e</w:t>
            </w:r>
            <w:r>
              <w:rPr>
                <w:rFonts w:cs="Calibri"/>
                <w:color w:val="auto"/>
                <w:sz w:val="16"/>
                <w:szCs w:val="16"/>
              </w:rPr>
              <w:noBreakHyphen/>
              <w:t>cig</w:t>
            </w:r>
            <w:r w:rsidRPr="000F6DEF">
              <w:rPr>
                <w:rFonts w:cs="Calibri"/>
                <w:color w:val="auto"/>
                <w:sz w:val="16"/>
                <w:szCs w:val="16"/>
              </w:rPr>
              <w:t>arette</w:t>
            </w:r>
            <w:r w:rsidRPr="000F6DEF">
              <w:rPr>
                <w:rFonts w:cs="Calibri"/>
                <w:color w:val="auto"/>
                <w:sz w:val="16"/>
                <w:szCs w:val="16"/>
              </w:rPr>
              <w:noBreakHyphen/>
              <w:t xml:space="preserve">only users, AOD use (all p&lt;0.0001) predicted more frequent </w:t>
            </w:r>
            <w:r>
              <w:rPr>
                <w:rFonts w:cs="Calibri"/>
                <w:color w:val="auto"/>
                <w:sz w:val="16"/>
                <w:szCs w:val="16"/>
              </w:rPr>
              <w:t>e</w:t>
            </w:r>
            <w:r>
              <w:rPr>
                <w:rFonts w:cs="Calibri"/>
                <w:color w:val="auto"/>
                <w:sz w:val="16"/>
                <w:szCs w:val="16"/>
              </w:rPr>
              <w:noBreakHyphen/>
              <w:t>cig</w:t>
            </w:r>
            <w:r w:rsidRPr="000F6DEF">
              <w:rPr>
                <w:rFonts w:cs="Calibri"/>
                <w:color w:val="auto"/>
                <w:sz w:val="16"/>
                <w:szCs w:val="16"/>
              </w:rPr>
              <w:t>arette use; healthy diet predicted less frequent use (p&lt;0.01).</w:t>
            </w:r>
          </w:p>
        </w:tc>
        <w:tc>
          <w:tcPr>
            <w:tcW w:w="4623" w:type="dxa"/>
          </w:tcPr>
          <w:p w14:paraId="33F5F4BF"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Pr>
                <w:rFonts w:cs="Calibri"/>
                <w:color w:val="auto"/>
                <w:sz w:val="16"/>
                <w:szCs w:val="16"/>
              </w:rPr>
              <w:t>E</w:t>
            </w:r>
            <w:r>
              <w:rPr>
                <w:rFonts w:cs="Calibri"/>
                <w:color w:val="auto"/>
                <w:sz w:val="16"/>
                <w:szCs w:val="16"/>
              </w:rPr>
              <w:noBreakHyphen/>
              <w:t>cig</w:t>
            </w:r>
            <w:r w:rsidRPr="000F6DEF">
              <w:rPr>
                <w:rFonts w:cs="Calibri"/>
                <w:color w:val="auto"/>
                <w:sz w:val="16"/>
                <w:szCs w:val="16"/>
              </w:rPr>
              <w:t>arette</w:t>
            </w:r>
            <w:r w:rsidRPr="000F6DEF">
              <w:rPr>
                <w:rFonts w:cs="Calibri"/>
                <w:color w:val="auto"/>
                <w:sz w:val="16"/>
                <w:szCs w:val="16"/>
              </w:rPr>
              <w:noBreakHyphen/>
              <w:t xml:space="preserve">only use is associated with lower engagement in risky behaviours, but not better health status or higher engagement in protective health behaviours, compared with cigarette smoking. Dual </w:t>
            </w:r>
            <w:r>
              <w:rPr>
                <w:rFonts w:cs="Calibri"/>
                <w:color w:val="auto"/>
                <w:sz w:val="16"/>
                <w:szCs w:val="16"/>
              </w:rPr>
              <w:t>e</w:t>
            </w:r>
            <w:r>
              <w:rPr>
                <w:rFonts w:cs="Calibri"/>
                <w:color w:val="auto"/>
                <w:sz w:val="16"/>
                <w:szCs w:val="16"/>
              </w:rPr>
              <w:noBreakHyphen/>
              <w:t>cig</w:t>
            </w:r>
            <w:r w:rsidRPr="000F6DEF">
              <w:rPr>
                <w:rFonts w:cs="Calibri"/>
                <w:color w:val="auto"/>
                <w:sz w:val="16"/>
                <w:szCs w:val="16"/>
              </w:rPr>
              <w:t>arette/cigarette users may represent a particularly high</w:t>
            </w:r>
            <w:r w:rsidRPr="000F6DEF">
              <w:rPr>
                <w:rFonts w:cs="Calibri"/>
                <w:color w:val="auto"/>
                <w:sz w:val="16"/>
                <w:szCs w:val="16"/>
              </w:rPr>
              <w:noBreakHyphen/>
              <w:t>risk group due to their greater AOD use and cigarette consumption. Among "intermediate</w:t>
            </w:r>
            <w:r w:rsidRPr="000F6DEF">
              <w:rPr>
                <w:rFonts w:cs="Calibri"/>
                <w:color w:val="auto"/>
                <w:sz w:val="16"/>
                <w:szCs w:val="16"/>
              </w:rPr>
              <w:noBreakHyphen/>
              <w:t xml:space="preserve">risk" </w:t>
            </w:r>
            <w:r>
              <w:rPr>
                <w:rFonts w:cs="Calibri"/>
                <w:color w:val="auto"/>
                <w:sz w:val="16"/>
                <w:szCs w:val="16"/>
              </w:rPr>
              <w:t>e</w:t>
            </w:r>
            <w:r>
              <w:rPr>
                <w:rFonts w:cs="Calibri"/>
                <w:color w:val="auto"/>
                <w:sz w:val="16"/>
                <w:szCs w:val="16"/>
              </w:rPr>
              <w:noBreakHyphen/>
              <w:t>cig</w:t>
            </w:r>
            <w:r w:rsidRPr="000F6DEF">
              <w:rPr>
                <w:rFonts w:cs="Calibri"/>
                <w:color w:val="auto"/>
                <w:sz w:val="16"/>
                <w:szCs w:val="16"/>
              </w:rPr>
              <w:t>arette</w:t>
            </w:r>
            <w:r w:rsidRPr="000F6DEF">
              <w:rPr>
                <w:rFonts w:cs="Calibri"/>
                <w:color w:val="auto"/>
                <w:sz w:val="16"/>
                <w:szCs w:val="16"/>
              </w:rPr>
              <w:noBreakHyphen/>
              <w:t>only users, AOD use and unhealthy diet correlated with heavier use, and may be important targets for preventing escalation to more harmful tobacco use.</w:t>
            </w:r>
          </w:p>
        </w:tc>
      </w:tr>
      <w:tr w:rsidR="00B85C33" w:rsidRPr="000F6DEF" w14:paraId="0E6FB14D" w14:textId="77777777" w:rsidTr="000376C7">
        <w:trPr>
          <w:trHeight w:val="94"/>
        </w:trPr>
        <w:tc>
          <w:tcPr>
            <w:cnfStyle w:val="001000000000" w:firstRow="0" w:lastRow="0" w:firstColumn="1" w:lastColumn="0" w:oddVBand="0" w:evenVBand="0" w:oddHBand="0" w:evenHBand="0" w:firstRowFirstColumn="0" w:firstRowLastColumn="0" w:lastRowFirstColumn="0" w:lastRowLastColumn="0"/>
            <w:tcW w:w="1435" w:type="dxa"/>
          </w:tcPr>
          <w:p w14:paraId="0ADC3418" w14:textId="77777777" w:rsidR="00B85C33" w:rsidRPr="000F6DEF" w:rsidRDefault="00B85C33" w:rsidP="000376C7">
            <w:pPr>
              <w:rPr>
                <w:rFonts w:cs="Calibri"/>
                <w:color w:val="auto"/>
                <w:sz w:val="16"/>
                <w:szCs w:val="16"/>
              </w:rPr>
            </w:pPr>
            <w:r w:rsidRPr="000F6DEF">
              <w:rPr>
                <w:rFonts w:cs="Calibri"/>
                <w:color w:val="auto"/>
                <w:sz w:val="16"/>
                <w:szCs w:val="16"/>
              </w:rPr>
              <w:t>Hong, Barrington</w:t>
            </w:r>
            <w:r w:rsidRPr="000F6DEF">
              <w:rPr>
                <w:rFonts w:cs="Calibri"/>
                <w:color w:val="auto"/>
                <w:sz w:val="16"/>
                <w:szCs w:val="16"/>
              </w:rPr>
              <w:noBreakHyphen/>
              <w:t>Trimis, Liu et al</w:t>
            </w:r>
          </w:p>
        </w:tc>
        <w:tc>
          <w:tcPr>
            <w:tcW w:w="2044" w:type="dxa"/>
          </w:tcPr>
          <w:p w14:paraId="3CC743AD" w14:textId="43B8026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 xml:space="preserve">Examine reasons for </w:t>
            </w:r>
            <w:r>
              <w:rPr>
                <w:rFonts w:cs="Calibri"/>
                <w:color w:val="auto"/>
                <w:sz w:val="16"/>
                <w:szCs w:val="16"/>
              </w:rPr>
              <w:t>e</w:t>
            </w:r>
            <w:r>
              <w:rPr>
                <w:rFonts w:cs="Calibri"/>
                <w:color w:val="auto"/>
                <w:sz w:val="16"/>
                <w:szCs w:val="16"/>
              </w:rPr>
              <w:noBreakHyphen/>
              <w:t>cig</w:t>
            </w:r>
            <w:r w:rsidRPr="000F6DEF">
              <w:rPr>
                <w:rFonts w:cs="Calibri"/>
                <w:color w:val="auto"/>
                <w:sz w:val="16"/>
                <w:szCs w:val="16"/>
              </w:rPr>
              <w:t>arette use in Southern California cohort of adolescents</w:t>
            </w:r>
            <w:r w:rsidR="006E78E1">
              <w:rPr>
                <w:rFonts w:cs="Calibri"/>
                <w:color w:val="auto"/>
                <w:sz w:val="16"/>
                <w:szCs w:val="16"/>
              </w:rPr>
              <w:t>.</w:t>
            </w:r>
          </w:p>
        </w:tc>
        <w:tc>
          <w:tcPr>
            <w:tcW w:w="6924" w:type="dxa"/>
          </w:tcPr>
          <w:p w14:paraId="437C1E36"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 xml:space="preserve">56.6% smoked </w:t>
            </w:r>
            <w:r>
              <w:rPr>
                <w:rFonts w:cs="Calibri"/>
                <w:color w:val="auto"/>
                <w:sz w:val="16"/>
                <w:szCs w:val="16"/>
              </w:rPr>
              <w:t>e</w:t>
            </w:r>
            <w:r>
              <w:rPr>
                <w:rFonts w:cs="Calibri"/>
                <w:color w:val="auto"/>
                <w:sz w:val="16"/>
                <w:szCs w:val="16"/>
              </w:rPr>
              <w:noBreakHyphen/>
              <w:t>cig</w:t>
            </w:r>
            <w:r w:rsidRPr="000F6DEF">
              <w:rPr>
                <w:rFonts w:cs="Calibri"/>
                <w:color w:val="auto"/>
                <w:sz w:val="16"/>
                <w:szCs w:val="16"/>
              </w:rPr>
              <w:t xml:space="preserve">arette because it had flavours they like, 51% because they taste better than cigarettes and 46.7% due to perceived less harm to themselves or others (43.7%). </w:t>
            </w:r>
          </w:p>
        </w:tc>
        <w:tc>
          <w:tcPr>
            <w:tcW w:w="4623" w:type="dxa"/>
          </w:tcPr>
          <w:p w14:paraId="0B9FD9B5"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 xml:space="preserve">Flavourings were cited as the most common reason for </w:t>
            </w:r>
            <w:r>
              <w:rPr>
                <w:rFonts w:cs="Calibri"/>
                <w:color w:val="auto"/>
                <w:sz w:val="16"/>
                <w:szCs w:val="16"/>
              </w:rPr>
              <w:t>e</w:t>
            </w:r>
            <w:r>
              <w:rPr>
                <w:rFonts w:cs="Calibri"/>
                <w:color w:val="auto"/>
                <w:sz w:val="16"/>
                <w:szCs w:val="16"/>
              </w:rPr>
              <w:noBreakHyphen/>
              <w:t>cig</w:t>
            </w:r>
            <w:r w:rsidRPr="000F6DEF">
              <w:rPr>
                <w:rFonts w:cs="Calibri"/>
                <w:color w:val="auto"/>
                <w:sz w:val="16"/>
                <w:szCs w:val="16"/>
              </w:rPr>
              <w:t xml:space="preserve">arette use and few cited use for smoking cessation. </w:t>
            </w:r>
          </w:p>
        </w:tc>
      </w:tr>
      <w:tr w:rsidR="00B85C33" w:rsidRPr="000F6DEF" w14:paraId="22427B17" w14:textId="77777777" w:rsidTr="000376C7">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1435" w:type="dxa"/>
          </w:tcPr>
          <w:p w14:paraId="6DF18174" w14:textId="77777777" w:rsidR="00B85C33" w:rsidRPr="000F6DEF" w:rsidRDefault="00B85C33" w:rsidP="000376C7">
            <w:pPr>
              <w:rPr>
                <w:rFonts w:cs="Calibri"/>
                <w:color w:val="auto"/>
                <w:sz w:val="16"/>
                <w:szCs w:val="16"/>
              </w:rPr>
            </w:pPr>
            <w:r w:rsidRPr="000F6DEF">
              <w:rPr>
                <w:rFonts w:cs="Calibri"/>
                <w:color w:val="auto"/>
                <w:sz w:val="16"/>
                <w:szCs w:val="16"/>
              </w:rPr>
              <w:t>Kristjansson, Mann, Smith</w:t>
            </w:r>
          </w:p>
        </w:tc>
        <w:tc>
          <w:tcPr>
            <w:tcW w:w="2044" w:type="dxa"/>
          </w:tcPr>
          <w:p w14:paraId="65003EF7" w14:textId="746C2E21"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 xml:space="preserve">The objective of this study was to compare the prevalence of substance use in </w:t>
            </w:r>
            <w:r>
              <w:rPr>
                <w:rFonts w:cs="Calibri"/>
                <w:color w:val="auto"/>
                <w:sz w:val="16"/>
                <w:szCs w:val="16"/>
              </w:rPr>
              <w:t>e</w:t>
            </w:r>
            <w:r>
              <w:rPr>
                <w:rFonts w:cs="Calibri"/>
                <w:color w:val="auto"/>
                <w:sz w:val="16"/>
                <w:szCs w:val="16"/>
              </w:rPr>
              <w:noBreakHyphen/>
              <w:t>cig</w:t>
            </w:r>
            <w:r w:rsidRPr="000F6DEF">
              <w:rPr>
                <w:rFonts w:cs="Calibri"/>
                <w:color w:val="auto"/>
                <w:sz w:val="16"/>
                <w:szCs w:val="16"/>
              </w:rPr>
              <w:t>arette</w:t>
            </w:r>
            <w:r w:rsidRPr="000F6DEF">
              <w:rPr>
                <w:rFonts w:cs="Calibri"/>
                <w:color w:val="auto"/>
                <w:sz w:val="16"/>
                <w:szCs w:val="16"/>
              </w:rPr>
              <w:noBreakHyphen/>
              <w:t>only users with combustible cigarette</w:t>
            </w:r>
            <w:r w:rsidRPr="000F6DEF">
              <w:rPr>
                <w:rFonts w:cs="Calibri"/>
                <w:color w:val="auto"/>
                <w:sz w:val="16"/>
                <w:szCs w:val="16"/>
              </w:rPr>
              <w:noBreakHyphen/>
              <w:t>only users, dual users, and nonusers in a large sample of middle school</w:t>
            </w:r>
            <w:r w:rsidRPr="000F6DEF">
              <w:rPr>
                <w:rFonts w:cs="Calibri"/>
                <w:color w:val="auto"/>
                <w:sz w:val="16"/>
                <w:szCs w:val="16"/>
              </w:rPr>
              <w:noBreakHyphen/>
              <w:t>aged adolescents</w:t>
            </w:r>
            <w:r w:rsidR="006E78E1">
              <w:rPr>
                <w:rFonts w:cs="Calibri"/>
                <w:color w:val="auto"/>
                <w:sz w:val="16"/>
                <w:szCs w:val="16"/>
              </w:rPr>
              <w:t>.</w:t>
            </w:r>
          </w:p>
        </w:tc>
        <w:tc>
          <w:tcPr>
            <w:tcW w:w="6924" w:type="dxa"/>
          </w:tcPr>
          <w:p w14:paraId="557C8570"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 xml:space="preserve">4.3% had used </w:t>
            </w:r>
            <w:r>
              <w:rPr>
                <w:rFonts w:cs="Calibri"/>
                <w:color w:val="auto"/>
                <w:sz w:val="16"/>
                <w:szCs w:val="16"/>
              </w:rPr>
              <w:t>e</w:t>
            </w:r>
            <w:r>
              <w:rPr>
                <w:rFonts w:cs="Calibri"/>
                <w:color w:val="auto"/>
                <w:sz w:val="16"/>
                <w:szCs w:val="16"/>
              </w:rPr>
              <w:noBreakHyphen/>
              <w:t>cig</w:t>
            </w:r>
            <w:r w:rsidRPr="000F6DEF">
              <w:rPr>
                <w:rFonts w:cs="Calibri"/>
                <w:color w:val="auto"/>
                <w:sz w:val="16"/>
                <w:szCs w:val="16"/>
              </w:rPr>
              <w:t xml:space="preserve">arette but not conventional cigarette, 4.5% had used conventional cigarette but not </w:t>
            </w:r>
            <w:r>
              <w:rPr>
                <w:rFonts w:cs="Calibri"/>
                <w:color w:val="auto"/>
                <w:sz w:val="16"/>
                <w:szCs w:val="16"/>
              </w:rPr>
              <w:t>e</w:t>
            </w:r>
            <w:r>
              <w:rPr>
                <w:rFonts w:cs="Calibri"/>
                <w:color w:val="auto"/>
                <w:sz w:val="16"/>
                <w:szCs w:val="16"/>
              </w:rPr>
              <w:noBreakHyphen/>
              <w:t>cig</w:t>
            </w:r>
            <w:r w:rsidRPr="000F6DEF">
              <w:rPr>
                <w:rFonts w:cs="Calibri"/>
                <w:color w:val="auto"/>
                <w:sz w:val="16"/>
                <w:szCs w:val="16"/>
              </w:rPr>
              <w:t xml:space="preserve">arette, and 5.5% had used both </w:t>
            </w:r>
            <w:r>
              <w:rPr>
                <w:rFonts w:cs="Calibri"/>
                <w:color w:val="auto"/>
                <w:sz w:val="16"/>
                <w:szCs w:val="16"/>
              </w:rPr>
              <w:t>e</w:t>
            </w:r>
            <w:r>
              <w:rPr>
                <w:rFonts w:cs="Calibri"/>
                <w:color w:val="auto"/>
                <w:sz w:val="16"/>
                <w:szCs w:val="16"/>
              </w:rPr>
              <w:noBreakHyphen/>
              <w:t>cig</w:t>
            </w:r>
            <w:r w:rsidRPr="000F6DEF">
              <w:rPr>
                <w:rFonts w:cs="Calibri"/>
                <w:color w:val="auto"/>
                <w:sz w:val="16"/>
                <w:szCs w:val="16"/>
              </w:rPr>
              <w:t>arette and conventional cigarette</w:t>
            </w:r>
            <w:r w:rsidRPr="000F6DEF">
              <w:rPr>
                <w:rFonts w:cs="Calibri"/>
                <w:color w:val="auto"/>
                <w:sz w:val="16"/>
                <w:szCs w:val="16"/>
              </w:rPr>
              <w:br/>
              <w:t xml:space="preserve">Nonusers have significantly lower odds of substance use than </w:t>
            </w:r>
            <w:r>
              <w:rPr>
                <w:rFonts w:cs="Calibri"/>
                <w:color w:val="auto"/>
                <w:sz w:val="16"/>
                <w:szCs w:val="16"/>
              </w:rPr>
              <w:t>e</w:t>
            </w:r>
            <w:r>
              <w:rPr>
                <w:rFonts w:cs="Calibri"/>
                <w:color w:val="auto"/>
                <w:sz w:val="16"/>
                <w:szCs w:val="16"/>
              </w:rPr>
              <w:noBreakHyphen/>
              <w:t>cig</w:t>
            </w:r>
            <w:r w:rsidRPr="000F6DEF">
              <w:rPr>
                <w:rFonts w:cs="Calibri"/>
                <w:color w:val="auto"/>
                <w:sz w:val="16"/>
                <w:szCs w:val="16"/>
              </w:rPr>
              <w:t xml:space="preserve">arette users and the </w:t>
            </w:r>
            <w:r>
              <w:rPr>
                <w:rFonts w:cs="Calibri"/>
                <w:color w:val="auto"/>
                <w:sz w:val="16"/>
                <w:szCs w:val="16"/>
              </w:rPr>
              <w:t>e</w:t>
            </w:r>
            <w:r>
              <w:rPr>
                <w:rFonts w:cs="Calibri"/>
                <w:color w:val="auto"/>
                <w:sz w:val="16"/>
                <w:szCs w:val="16"/>
              </w:rPr>
              <w:noBreakHyphen/>
              <w:t>cig</w:t>
            </w:r>
            <w:r w:rsidRPr="000F6DEF">
              <w:rPr>
                <w:rFonts w:cs="Calibri"/>
                <w:color w:val="auto"/>
                <w:sz w:val="16"/>
                <w:szCs w:val="16"/>
              </w:rPr>
              <w:t>arette users are not significantly different from conventional cigarette users in terms of odds for substance use.</w:t>
            </w:r>
            <w:r w:rsidRPr="000F6DEF">
              <w:rPr>
                <w:rFonts w:cs="Calibri"/>
                <w:color w:val="auto"/>
                <w:sz w:val="16"/>
                <w:szCs w:val="16"/>
              </w:rPr>
              <w:br/>
              <w:t xml:space="preserve">The dual users are at increased odds for substance use over </w:t>
            </w:r>
            <w:r>
              <w:rPr>
                <w:rFonts w:cs="Calibri"/>
                <w:color w:val="auto"/>
                <w:sz w:val="16"/>
                <w:szCs w:val="16"/>
              </w:rPr>
              <w:t>e</w:t>
            </w:r>
            <w:r>
              <w:rPr>
                <w:rFonts w:cs="Calibri"/>
                <w:color w:val="auto"/>
                <w:sz w:val="16"/>
                <w:szCs w:val="16"/>
              </w:rPr>
              <w:noBreakHyphen/>
              <w:t>cig</w:t>
            </w:r>
            <w:r w:rsidRPr="000F6DEF">
              <w:rPr>
                <w:rFonts w:cs="Calibri"/>
                <w:color w:val="auto"/>
                <w:sz w:val="16"/>
                <w:szCs w:val="16"/>
              </w:rPr>
              <w:t>arette users.</w:t>
            </w:r>
          </w:p>
        </w:tc>
        <w:tc>
          <w:tcPr>
            <w:tcW w:w="4623" w:type="dxa"/>
          </w:tcPr>
          <w:p w14:paraId="2517EF42"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Among middle school</w:t>
            </w:r>
            <w:r w:rsidRPr="000F6DEF">
              <w:rPr>
                <w:rFonts w:cs="Calibri"/>
                <w:color w:val="auto"/>
                <w:sz w:val="16"/>
                <w:szCs w:val="16"/>
              </w:rPr>
              <w:noBreakHyphen/>
              <w:t xml:space="preserve">aged adolescents, </w:t>
            </w:r>
            <w:r>
              <w:rPr>
                <w:rFonts w:cs="Calibri"/>
                <w:color w:val="auto"/>
                <w:sz w:val="16"/>
                <w:szCs w:val="16"/>
              </w:rPr>
              <w:t>e</w:t>
            </w:r>
            <w:r>
              <w:rPr>
                <w:rFonts w:cs="Calibri"/>
                <w:color w:val="auto"/>
                <w:sz w:val="16"/>
                <w:szCs w:val="16"/>
              </w:rPr>
              <w:noBreakHyphen/>
              <w:t>cig</w:t>
            </w:r>
            <w:r w:rsidRPr="000F6DEF">
              <w:rPr>
                <w:rFonts w:cs="Calibri"/>
                <w:color w:val="auto"/>
                <w:sz w:val="16"/>
                <w:szCs w:val="16"/>
              </w:rPr>
              <w:t>arette</w:t>
            </w:r>
            <w:r w:rsidRPr="000F6DEF">
              <w:rPr>
                <w:rFonts w:cs="Calibri"/>
                <w:color w:val="auto"/>
                <w:sz w:val="16"/>
                <w:szCs w:val="16"/>
              </w:rPr>
              <w:noBreakHyphen/>
              <w:t>only users do not differ from conventional cigarette</w:t>
            </w:r>
            <w:r w:rsidRPr="000F6DEF">
              <w:rPr>
                <w:rFonts w:cs="Calibri"/>
                <w:color w:val="auto"/>
                <w:sz w:val="16"/>
                <w:szCs w:val="16"/>
              </w:rPr>
              <w:noBreakHyphen/>
              <w:t>only users in odds for other forms of substance use.</w:t>
            </w:r>
          </w:p>
        </w:tc>
      </w:tr>
      <w:tr w:rsidR="00B85C33" w:rsidRPr="000F6DEF" w14:paraId="60D221AA" w14:textId="77777777" w:rsidTr="000376C7">
        <w:trPr>
          <w:trHeight w:val="94"/>
        </w:trPr>
        <w:tc>
          <w:tcPr>
            <w:cnfStyle w:val="001000000000" w:firstRow="0" w:lastRow="0" w:firstColumn="1" w:lastColumn="0" w:oddVBand="0" w:evenVBand="0" w:oddHBand="0" w:evenHBand="0" w:firstRowFirstColumn="0" w:firstRowLastColumn="0" w:lastRowFirstColumn="0" w:lastRowLastColumn="0"/>
            <w:tcW w:w="1435" w:type="dxa"/>
          </w:tcPr>
          <w:p w14:paraId="6B78D91A" w14:textId="77777777" w:rsidR="00B85C33" w:rsidRPr="000F6DEF" w:rsidRDefault="00B85C33" w:rsidP="000376C7">
            <w:pPr>
              <w:rPr>
                <w:rFonts w:cs="Calibri"/>
                <w:color w:val="auto"/>
                <w:sz w:val="16"/>
                <w:szCs w:val="16"/>
              </w:rPr>
            </w:pPr>
            <w:r w:rsidRPr="000F6DEF">
              <w:rPr>
                <w:rFonts w:cs="Calibri"/>
                <w:color w:val="auto"/>
                <w:sz w:val="16"/>
                <w:szCs w:val="16"/>
              </w:rPr>
              <w:t>Kristjansson, Mann, Smith, Sigfusdottir</w:t>
            </w:r>
          </w:p>
        </w:tc>
        <w:tc>
          <w:tcPr>
            <w:tcW w:w="2044" w:type="dxa"/>
          </w:tcPr>
          <w:p w14:paraId="162D99AF"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The purpose of this study was to assess the similarities and differences in the social profile of middle school</w:t>
            </w:r>
            <w:r w:rsidRPr="000F6DEF">
              <w:rPr>
                <w:rFonts w:cs="Calibri"/>
                <w:color w:val="auto"/>
                <w:sz w:val="16"/>
                <w:szCs w:val="16"/>
              </w:rPr>
              <w:noBreakHyphen/>
              <w:t xml:space="preserve">aged children that have used </w:t>
            </w:r>
            <w:r>
              <w:rPr>
                <w:rFonts w:cs="Calibri"/>
                <w:color w:val="auto"/>
                <w:sz w:val="16"/>
                <w:szCs w:val="16"/>
              </w:rPr>
              <w:t>e</w:t>
            </w:r>
            <w:r>
              <w:rPr>
                <w:rFonts w:cs="Calibri"/>
                <w:color w:val="auto"/>
                <w:sz w:val="16"/>
                <w:szCs w:val="16"/>
              </w:rPr>
              <w:noBreakHyphen/>
              <w:t>cig</w:t>
            </w:r>
            <w:r w:rsidRPr="000F6DEF">
              <w:rPr>
                <w:rFonts w:cs="Calibri"/>
                <w:color w:val="auto"/>
                <w:sz w:val="16"/>
                <w:szCs w:val="16"/>
              </w:rPr>
              <w:t>arette</w:t>
            </w:r>
            <w:r w:rsidRPr="000F6DEF">
              <w:rPr>
                <w:rFonts w:cs="Calibri"/>
                <w:color w:val="auto"/>
                <w:sz w:val="16"/>
                <w:szCs w:val="16"/>
              </w:rPr>
              <w:noBreakHyphen/>
              <w:t>only versus conventional cigarette use only and to compare those groups against non</w:t>
            </w:r>
            <w:r w:rsidRPr="000F6DEF">
              <w:rPr>
                <w:rFonts w:cs="Calibri"/>
                <w:color w:val="auto"/>
                <w:sz w:val="16"/>
                <w:szCs w:val="16"/>
              </w:rPr>
              <w:noBreakHyphen/>
              <w:t>users and dual users.</w:t>
            </w:r>
          </w:p>
        </w:tc>
        <w:tc>
          <w:tcPr>
            <w:tcW w:w="6924" w:type="dxa"/>
          </w:tcPr>
          <w:p w14:paraId="6E6D7CF4"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 xml:space="preserve">The results show that compared to never smokers, </w:t>
            </w:r>
            <w:r>
              <w:rPr>
                <w:rFonts w:cs="Calibri"/>
                <w:color w:val="auto"/>
                <w:sz w:val="16"/>
                <w:szCs w:val="16"/>
              </w:rPr>
              <w:t>e</w:t>
            </w:r>
            <w:r>
              <w:rPr>
                <w:rFonts w:cs="Calibri"/>
                <w:color w:val="auto"/>
                <w:sz w:val="16"/>
                <w:szCs w:val="16"/>
              </w:rPr>
              <w:noBreakHyphen/>
              <w:t>cig</w:t>
            </w:r>
            <w:r w:rsidRPr="000F6DEF">
              <w:rPr>
                <w:rFonts w:cs="Calibri"/>
                <w:color w:val="auto"/>
                <w:sz w:val="16"/>
                <w:szCs w:val="16"/>
              </w:rPr>
              <w:t>arette</w:t>
            </w:r>
            <w:r w:rsidRPr="000F6DEF">
              <w:rPr>
                <w:rFonts w:cs="Calibri"/>
                <w:color w:val="auto"/>
                <w:sz w:val="16"/>
                <w:szCs w:val="16"/>
              </w:rPr>
              <w:noBreakHyphen/>
              <w:t xml:space="preserve">only users possessed a weaker social support and parental monitoring profile and performed worse in school. Additionally, </w:t>
            </w:r>
            <w:r>
              <w:rPr>
                <w:rFonts w:cs="Calibri"/>
                <w:color w:val="auto"/>
                <w:sz w:val="16"/>
                <w:szCs w:val="16"/>
              </w:rPr>
              <w:t>e</w:t>
            </w:r>
            <w:r>
              <w:rPr>
                <w:rFonts w:cs="Calibri"/>
                <w:color w:val="auto"/>
                <w:sz w:val="16"/>
                <w:szCs w:val="16"/>
              </w:rPr>
              <w:noBreakHyphen/>
              <w:t>cig</w:t>
            </w:r>
            <w:r w:rsidRPr="000F6DEF">
              <w:rPr>
                <w:rFonts w:cs="Calibri"/>
                <w:color w:val="auto"/>
                <w:sz w:val="16"/>
                <w:szCs w:val="16"/>
              </w:rPr>
              <w:t>arette</w:t>
            </w:r>
            <w:r w:rsidRPr="000F6DEF">
              <w:rPr>
                <w:rFonts w:cs="Calibri"/>
                <w:color w:val="auto"/>
                <w:sz w:val="16"/>
                <w:szCs w:val="16"/>
              </w:rPr>
              <w:noBreakHyphen/>
              <w:t xml:space="preserve">only users were more likely to feel alienated from school, to associate with delinquent peers, to spend time outside late at night, and to engage in unsupervised gatherings with their friends. In 11 of 13 statistical models no difference was observed between </w:t>
            </w:r>
            <w:r>
              <w:rPr>
                <w:rFonts w:cs="Calibri"/>
                <w:color w:val="auto"/>
                <w:sz w:val="16"/>
                <w:szCs w:val="16"/>
              </w:rPr>
              <w:t>e</w:t>
            </w:r>
            <w:r>
              <w:rPr>
                <w:rFonts w:cs="Calibri"/>
                <w:color w:val="auto"/>
                <w:sz w:val="16"/>
                <w:szCs w:val="16"/>
              </w:rPr>
              <w:noBreakHyphen/>
              <w:t>cig</w:t>
            </w:r>
            <w:r w:rsidRPr="000F6DEF">
              <w:rPr>
                <w:rFonts w:cs="Calibri"/>
                <w:color w:val="auto"/>
                <w:sz w:val="16"/>
                <w:szCs w:val="16"/>
              </w:rPr>
              <w:t>arette</w:t>
            </w:r>
            <w:r w:rsidRPr="000F6DEF">
              <w:rPr>
                <w:rFonts w:cs="Calibri"/>
                <w:color w:val="auto"/>
                <w:sz w:val="16"/>
                <w:szCs w:val="16"/>
              </w:rPr>
              <w:noBreakHyphen/>
              <w:t>only users compared with conventional cigarette</w:t>
            </w:r>
            <w:r w:rsidRPr="000F6DEF">
              <w:rPr>
                <w:rFonts w:cs="Calibri"/>
                <w:color w:val="auto"/>
                <w:sz w:val="16"/>
                <w:szCs w:val="16"/>
              </w:rPr>
              <w:noBreakHyphen/>
              <w:t xml:space="preserve">only users. However, dual users (that had used both </w:t>
            </w:r>
            <w:r>
              <w:rPr>
                <w:rFonts w:cs="Calibri"/>
                <w:color w:val="auto"/>
                <w:sz w:val="16"/>
                <w:szCs w:val="16"/>
              </w:rPr>
              <w:t>e</w:t>
            </w:r>
            <w:r>
              <w:rPr>
                <w:rFonts w:cs="Calibri"/>
                <w:color w:val="auto"/>
                <w:sz w:val="16"/>
                <w:szCs w:val="16"/>
              </w:rPr>
              <w:noBreakHyphen/>
              <w:t>cig</w:t>
            </w:r>
            <w:r w:rsidRPr="000F6DEF">
              <w:rPr>
                <w:rFonts w:cs="Calibri"/>
                <w:color w:val="auto"/>
                <w:sz w:val="16"/>
                <w:szCs w:val="16"/>
              </w:rPr>
              <w:t xml:space="preserve">arette and conventional cigarette in their lifetime) demonstrated a significantly greater risk profile compared with </w:t>
            </w:r>
            <w:r>
              <w:rPr>
                <w:rFonts w:cs="Calibri"/>
                <w:color w:val="auto"/>
                <w:sz w:val="16"/>
                <w:szCs w:val="16"/>
              </w:rPr>
              <w:t>e</w:t>
            </w:r>
            <w:r>
              <w:rPr>
                <w:rFonts w:cs="Calibri"/>
                <w:color w:val="auto"/>
                <w:sz w:val="16"/>
                <w:szCs w:val="16"/>
              </w:rPr>
              <w:noBreakHyphen/>
              <w:t>cig</w:t>
            </w:r>
            <w:r w:rsidRPr="000F6DEF">
              <w:rPr>
                <w:rFonts w:cs="Calibri"/>
                <w:color w:val="auto"/>
                <w:sz w:val="16"/>
                <w:szCs w:val="16"/>
              </w:rPr>
              <w:t>arette</w:t>
            </w:r>
            <w:r w:rsidRPr="000F6DEF">
              <w:rPr>
                <w:rFonts w:cs="Calibri"/>
                <w:color w:val="auto"/>
                <w:sz w:val="16"/>
                <w:szCs w:val="16"/>
              </w:rPr>
              <w:noBreakHyphen/>
              <w:t xml:space="preserve">only users. </w:t>
            </w:r>
          </w:p>
        </w:tc>
        <w:tc>
          <w:tcPr>
            <w:tcW w:w="4623" w:type="dxa"/>
          </w:tcPr>
          <w:p w14:paraId="795F872F"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We conclude that middle school</w:t>
            </w:r>
            <w:r w:rsidRPr="000F6DEF">
              <w:rPr>
                <w:rFonts w:cs="Calibri"/>
                <w:color w:val="auto"/>
                <w:sz w:val="16"/>
                <w:szCs w:val="16"/>
              </w:rPr>
              <w:noBreakHyphen/>
              <w:t xml:space="preserve">aged kids that use </w:t>
            </w:r>
            <w:r>
              <w:rPr>
                <w:rFonts w:cs="Calibri"/>
                <w:color w:val="auto"/>
                <w:sz w:val="16"/>
                <w:szCs w:val="16"/>
              </w:rPr>
              <w:t>e</w:t>
            </w:r>
            <w:r>
              <w:rPr>
                <w:rFonts w:cs="Calibri"/>
                <w:color w:val="auto"/>
                <w:sz w:val="16"/>
                <w:szCs w:val="16"/>
              </w:rPr>
              <w:noBreakHyphen/>
              <w:t>cig</w:t>
            </w:r>
            <w:r w:rsidRPr="000F6DEF">
              <w:rPr>
                <w:rFonts w:cs="Calibri"/>
                <w:color w:val="auto"/>
                <w:sz w:val="16"/>
                <w:szCs w:val="16"/>
              </w:rPr>
              <w:t xml:space="preserve">arette share a similar risk profile as kids of the same age that use conventional cigarette. </w:t>
            </w:r>
          </w:p>
        </w:tc>
      </w:tr>
      <w:tr w:rsidR="00B85C33" w:rsidRPr="000F6DEF" w14:paraId="5360FD9C" w14:textId="77777777" w:rsidTr="000376C7">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1435" w:type="dxa"/>
          </w:tcPr>
          <w:p w14:paraId="78625FE1" w14:textId="77777777" w:rsidR="00B85C33" w:rsidRPr="000F6DEF" w:rsidRDefault="00B85C33" w:rsidP="000376C7">
            <w:pPr>
              <w:rPr>
                <w:rFonts w:cs="Calibri"/>
                <w:color w:val="auto"/>
                <w:sz w:val="16"/>
                <w:szCs w:val="16"/>
              </w:rPr>
            </w:pPr>
            <w:r w:rsidRPr="000F6DEF">
              <w:rPr>
                <w:rFonts w:cs="Calibri"/>
                <w:color w:val="auto"/>
                <w:sz w:val="16"/>
                <w:szCs w:val="16"/>
              </w:rPr>
              <w:t>Lee, Pepper et al 2018</w:t>
            </w:r>
          </w:p>
        </w:tc>
        <w:tc>
          <w:tcPr>
            <w:tcW w:w="2044" w:type="dxa"/>
          </w:tcPr>
          <w:p w14:paraId="710534DE" w14:textId="5E597964"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 xml:space="preserve">Examining youth dual and polytobacco use with </w:t>
            </w:r>
            <w:r>
              <w:rPr>
                <w:rFonts w:cs="Calibri"/>
                <w:color w:val="auto"/>
                <w:sz w:val="16"/>
                <w:szCs w:val="16"/>
              </w:rPr>
              <w:t>e</w:t>
            </w:r>
            <w:r>
              <w:rPr>
                <w:rFonts w:cs="Calibri"/>
                <w:color w:val="auto"/>
                <w:sz w:val="16"/>
                <w:szCs w:val="16"/>
              </w:rPr>
              <w:noBreakHyphen/>
              <w:t>cig</w:t>
            </w:r>
            <w:r w:rsidR="007B1B17">
              <w:rPr>
                <w:rFonts w:cs="Calibri"/>
                <w:color w:val="auto"/>
                <w:sz w:val="16"/>
                <w:szCs w:val="16"/>
              </w:rPr>
              <w:t>arette</w:t>
            </w:r>
            <w:r w:rsidRPr="000F6DEF">
              <w:rPr>
                <w:rFonts w:cs="Calibri"/>
                <w:color w:val="auto"/>
                <w:sz w:val="16"/>
                <w:szCs w:val="16"/>
              </w:rPr>
              <w:t>s</w:t>
            </w:r>
          </w:p>
        </w:tc>
        <w:tc>
          <w:tcPr>
            <w:tcW w:w="6924" w:type="dxa"/>
          </w:tcPr>
          <w:p w14:paraId="6FCA2BD8"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 xml:space="preserve">Most </w:t>
            </w:r>
            <w:r>
              <w:rPr>
                <w:rFonts w:cs="Calibri"/>
                <w:color w:val="auto"/>
                <w:sz w:val="16"/>
                <w:szCs w:val="16"/>
              </w:rPr>
              <w:t>e</w:t>
            </w:r>
            <w:r>
              <w:rPr>
                <w:rFonts w:cs="Calibri"/>
                <w:color w:val="auto"/>
                <w:sz w:val="16"/>
                <w:szCs w:val="16"/>
              </w:rPr>
              <w:noBreakHyphen/>
              <w:t>cig</w:t>
            </w:r>
            <w:r w:rsidRPr="000F6DEF">
              <w:rPr>
                <w:rFonts w:cs="Calibri"/>
                <w:color w:val="auto"/>
                <w:sz w:val="16"/>
                <w:szCs w:val="16"/>
              </w:rPr>
              <w:t>arette</w:t>
            </w:r>
            <w:r w:rsidRPr="000F6DEF">
              <w:rPr>
                <w:rFonts w:cs="Calibri"/>
                <w:color w:val="auto"/>
                <w:sz w:val="16"/>
                <w:szCs w:val="16"/>
              </w:rPr>
              <w:noBreakHyphen/>
              <w:t xml:space="preserve">using youth used at least one other product (81%). Perceiving cigarettes as easy to quit was signiﬁcantly associated with greater likelihood of combined </w:t>
            </w:r>
            <w:r>
              <w:rPr>
                <w:rFonts w:cs="Calibri"/>
                <w:color w:val="auto"/>
                <w:sz w:val="16"/>
                <w:szCs w:val="16"/>
              </w:rPr>
              <w:t>e</w:t>
            </w:r>
            <w:r>
              <w:rPr>
                <w:rFonts w:cs="Calibri"/>
                <w:color w:val="auto"/>
                <w:sz w:val="16"/>
                <w:szCs w:val="16"/>
              </w:rPr>
              <w:noBreakHyphen/>
              <w:t>cig</w:t>
            </w:r>
            <w:r w:rsidRPr="000F6DEF">
              <w:rPr>
                <w:rFonts w:cs="Calibri"/>
                <w:color w:val="auto"/>
                <w:sz w:val="16"/>
                <w:szCs w:val="16"/>
              </w:rPr>
              <w:t xml:space="preserve">arette/OTP use (relative risk ratio (RRR)=2.51, p&lt;0.001) and combined </w:t>
            </w:r>
            <w:r>
              <w:rPr>
                <w:rFonts w:cs="Calibri"/>
                <w:color w:val="auto"/>
                <w:sz w:val="16"/>
                <w:szCs w:val="16"/>
              </w:rPr>
              <w:t>e</w:t>
            </w:r>
            <w:r>
              <w:rPr>
                <w:rFonts w:cs="Calibri"/>
                <w:color w:val="auto"/>
                <w:sz w:val="16"/>
                <w:szCs w:val="16"/>
              </w:rPr>
              <w:noBreakHyphen/>
              <w:t>cig</w:t>
            </w:r>
            <w:r w:rsidRPr="000F6DEF">
              <w:rPr>
                <w:rFonts w:cs="Calibri"/>
                <w:color w:val="auto"/>
                <w:sz w:val="16"/>
                <w:szCs w:val="16"/>
              </w:rPr>
              <w:t>arette/cigarette/OTP use (RRR=3.20, p&lt;0.0001). Thinking you will be smoking cigarettes in 5 years was associated with product combinations that include cigarettes</w:t>
            </w:r>
          </w:p>
        </w:tc>
        <w:tc>
          <w:tcPr>
            <w:tcW w:w="4623" w:type="dxa"/>
          </w:tcPr>
          <w:p w14:paraId="3A00FFC5"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 xml:space="preserve">Given that speciﬁc psychosocial factors put youth at risk for concurrent use of </w:t>
            </w:r>
            <w:r>
              <w:rPr>
                <w:rFonts w:cs="Calibri"/>
                <w:color w:val="auto"/>
                <w:sz w:val="16"/>
                <w:szCs w:val="16"/>
              </w:rPr>
              <w:t>e</w:t>
            </w:r>
            <w:r>
              <w:rPr>
                <w:rFonts w:cs="Calibri"/>
                <w:color w:val="auto"/>
                <w:sz w:val="16"/>
                <w:szCs w:val="16"/>
              </w:rPr>
              <w:noBreakHyphen/>
              <w:t>cig</w:t>
            </w:r>
            <w:r w:rsidRPr="000F6DEF">
              <w:rPr>
                <w:rFonts w:cs="Calibri"/>
                <w:color w:val="auto"/>
                <w:sz w:val="16"/>
                <w:szCs w:val="16"/>
              </w:rPr>
              <w:t xml:space="preserve">arettes with tobacco products, public health efforts should address polytobacco use speciﬁcally, instead of individual product use. Youth perceptions about the ease of quitting cigarettes, intentions to continue smoking cigarettes and receptivity to tobacco company marketing are promising areas for messaging aimed at reducing </w:t>
            </w:r>
            <w:r>
              <w:rPr>
                <w:rFonts w:cs="Calibri"/>
                <w:color w:val="auto"/>
                <w:sz w:val="16"/>
                <w:szCs w:val="16"/>
              </w:rPr>
              <w:t>e</w:t>
            </w:r>
            <w:r>
              <w:rPr>
                <w:rFonts w:cs="Calibri"/>
                <w:color w:val="auto"/>
                <w:sz w:val="16"/>
                <w:szCs w:val="16"/>
              </w:rPr>
              <w:noBreakHyphen/>
              <w:t>cig</w:t>
            </w:r>
            <w:r w:rsidRPr="000F6DEF">
              <w:rPr>
                <w:rFonts w:cs="Calibri"/>
                <w:color w:val="auto"/>
                <w:sz w:val="16"/>
                <w:szCs w:val="16"/>
              </w:rPr>
              <w:t>arette polytobacco product use.</w:t>
            </w:r>
          </w:p>
        </w:tc>
      </w:tr>
      <w:tr w:rsidR="00B85C33" w:rsidRPr="000F6DEF" w14:paraId="3D0ED546" w14:textId="77777777" w:rsidTr="000376C7">
        <w:trPr>
          <w:trHeight w:val="94"/>
        </w:trPr>
        <w:tc>
          <w:tcPr>
            <w:cnfStyle w:val="001000000000" w:firstRow="0" w:lastRow="0" w:firstColumn="1" w:lastColumn="0" w:oddVBand="0" w:evenVBand="0" w:oddHBand="0" w:evenHBand="0" w:firstRowFirstColumn="0" w:firstRowLastColumn="0" w:lastRowFirstColumn="0" w:lastRowLastColumn="0"/>
            <w:tcW w:w="1435" w:type="dxa"/>
          </w:tcPr>
          <w:p w14:paraId="4AEE29BB" w14:textId="77777777" w:rsidR="00B85C33" w:rsidRPr="000F6DEF" w:rsidRDefault="00B85C33" w:rsidP="000376C7">
            <w:pPr>
              <w:rPr>
                <w:rFonts w:cs="Calibri"/>
                <w:color w:val="auto"/>
                <w:sz w:val="16"/>
                <w:szCs w:val="16"/>
              </w:rPr>
            </w:pPr>
            <w:r w:rsidRPr="000F6DEF">
              <w:rPr>
                <w:rFonts w:cs="Calibri"/>
                <w:color w:val="auto"/>
                <w:sz w:val="16"/>
                <w:szCs w:val="16"/>
              </w:rPr>
              <w:lastRenderedPageBreak/>
              <w:t>Leventhal, Urman, Barrington</w:t>
            </w:r>
            <w:r w:rsidRPr="000F6DEF">
              <w:rPr>
                <w:rFonts w:cs="Calibri"/>
                <w:color w:val="auto"/>
                <w:sz w:val="16"/>
                <w:szCs w:val="16"/>
              </w:rPr>
              <w:noBreakHyphen/>
              <w:t>Trimis et al</w:t>
            </w:r>
          </w:p>
        </w:tc>
        <w:tc>
          <w:tcPr>
            <w:tcW w:w="2044" w:type="dxa"/>
          </w:tcPr>
          <w:p w14:paraId="2DC3BF87"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Perceived stress was examined as a</w:t>
            </w:r>
            <w:r w:rsidRPr="000F6DEF">
              <w:rPr>
                <w:rFonts w:cs="Calibri"/>
                <w:color w:val="auto"/>
                <w:sz w:val="16"/>
                <w:szCs w:val="16"/>
              </w:rPr>
              <w:br/>
              <w:t>predictor of later tobacco product use in a population</w:t>
            </w:r>
            <w:r w:rsidRPr="000F6DEF">
              <w:rPr>
                <w:rFonts w:cs="Calibri"/>
                <w:color w:val="auto"/>
                <w:sz w:val="16"/>
                <w:szCs w:val="16"/>
              </w:rPr>
              <w:noBreakHyphen/>
              <w:t>based cohort</w:t>
            </w:r>
            <w:r w:rsidRPr="000F6DEF">
              <w:rPr>
                <w:rFonts w:cs="Calibri"/>
                <w:color w:val="auto"/>
                <w:sz w:val="16"/>
                <w:szCs w:val="16"/>
              </w:rPr>
              <w:br/>
              <w:t>of southern California adolescents.</w:t>
            </w:r>
          </w:p>
        </w:tc>
        <w:tc>
          <w:tcPr>
            <w:tcW w:w="6924" w:type="dxa"/>
          </w:tcPr>
          <w:p w14:paraId="49977AA7" w14:textId="21B3E196"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 xml:space="preserve">14.1% ever use </w:t>
            </w:r>
            <w:r>
              <w:rPr>
                <w:rFonts w:cs="Calibri"/>
                <w:color w:val="auto"/>
                <w:sz w:val="16"/>
                <w:szCs w:val="16"/>
              </w:rPr>
              <w:t>e</w:t>
            </w:r>
            <w:r>
              <w:rPr>
                <w:rFonts w:cs="Calibri"/>
                <w:color w:val="auto"/>
                <w:sz w:val="16"/>
                <w:szCs w:val="16"/>
              </w:rPr>
              <w:noBreakHyphen/>
              <w:t>cig</w:t>
            </w:r>
            <w:r w:rsidR="007B1B17">
              <w:rPr>
                <w:rFonts w:cs="Calibri"/>
                <w:color w:val="auto"/>
                <w:sz w:val="16"/>
                <w:szCs w:val="16"/>
              </w:rPr>
              <w:t>arette</w:t>
            </w:r>
            <w:r w:rsidRPr="000F6DEF">
              <w:rPr>
                <w:rFonts w:cs="Calibri"/>
                <w:color w:val="auto"/>
                <w:sz w:val="16"/>
                <w:szCs w:val="16"/>
              </w:rPr>
              <w:t>; 9.7% past 30</w:t>
            </w:r>
            <w:r w:rsidRPr="000F6DEF">
              <w:rPr>
                <w:rFonts w:cs="Calibri"/>
                <w:color w:val="auto"/>
                <w:sz w:val="16"/>
                <w:szCs w:val="16"/>
              </w:rPr>
              <w:noBreakHyphen/>
              <w:t>day use</w:t>
            </w:r>
            <w:r w:rsidRPr="000F6DEF">
              <w:rPr>
                <w:rFonts w:cs="Calibri"/>
                <w:color w:val="auto"/>
                <w:sz w:val="16"/>
                <w:szCs w:val="16"/>
              </w:rPr>
              <w:br/>
              <w:t>A standardized baseline perceived stress score predicted electronic cigarette, hookah, combustible cigarette, and cigar use and a poly</w:t>
            </w:r>
            <w:r w:rsidRPr="000F6DEF">
              <w:rPr>
                <w:rFonts w:cs="Calibri"/>
                <w:color w:val="auto"/>
                <w:sz w:val="16"/>
                <w:szCs w:val="16"/>
              </w:rPr>
              <w:noBreakHyphen/>
              <w:t>tobacco use index at the 4</w:t>
            </w:r>
            <w:r w:rsidRPr="000F6DEF">
              <w:rPr>
                <w:rFonts w:cs="Calibri"/>
                <w:color w:val="auto"/>
                <w:sz w:val="16"/>
                <w:szCs w:val="16"/>
              </w:rPr>
              <w:noBreakHyphen/>
              <w:t>year follow</w:t>
            </w:r>
            <w:r w:rsidRPr="000F6DEF">
              <w:rPr>
                <w:rFonts w:cs="Calibri"/>
                <w:color w:val="auto"/>
                <w:sz w:val="16"/>
                <w:szCs w:val="16"/>
              </w:rPr>
              <w:noBreakHyphen/>
              <w:t>up in the overall sample.</w:t>
            </w:r>
          </w:p>
        </w:tc>
        <w:tc>
          <w:tcPr>
            <w:tcW w:w="4623" w:type="dxa"/>
          </w:tcPr>
          <w:p w14:paraId="534945FD"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In the current era in which teen use of alternative tobacco products is increasingly common, adolescent tobacco use and poly</w:t>
            </w:r>
            <w:r w:rsidRPr="000F6DEF">
              <w:rPr>
                <w:rFonts w:cs="Calibri"/>
                <w:color w:val="auto"/>
                <w:sz w:val="16"/>
                <w:szCs w:val="16"/>
              </w:rPr>
              <w:noBreakHyphen/>
              <w:t>use research and prevention strategies should address gender</w:t>
            </w:r>
            <w:r w:rsidRPr="000F6DEF">
              <w:rPr>
                <w:rFonts w:cs="Calibri"/>
                <w:color w:val="auto"/>
                <w:sz w:val="16"/>
                <w:szCs w:val="16"/>
              </w:rPr>
              <w:noBreakHyphen/>
              <w:t>specific origins of tobacco product use risk and consider perceived stress and other emotional endophenotypes in such risk pathways.</w:t>
            </w:r>
          </w:p>
        </w:tc>
      </w:tr>
      <w:tr w:rsidR="00B85C33" w:rsidRPr="000F6DEF" w14:paraId="1D9FBF1A" w14:textId="77777777" w:rsidTr="000376C7">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1435" w:type="dxa"/>
          </w:tcPr>
          <w:p w14:paraId="7D18BA83" w14:textId="77777777" w:rsidR="00B85C33" w:rsidRPr="000F6DEF" w:rsidRDefault="00B85C33" w:rsidP="000376C7">
            <w:pPr>
              <w:rPr>
                <w:rFonts w:cs="Calibri"/>
                <w:color w:val="auto"/>
                <w:sz w:val="16"/>
                <w:szCs w:val="16"/>
              </w:rPr>
            </w:pPr>
            <w:r w:rsidRPr="000F6DEF">
              <w:rPr>
                <w:rFonts w:cs="Calibri"/>
                <w:color w:val="auto"/>
                <w:sz w:val="16"/>
                <w:szCs w:val="16"/>
              </w:rPr>
              <w:t>Mantey, Harrell, Case et al</w:t>
            </w:r>
          </w:p>
        </w:tc>
        <w:tc>
          <w:tcPr>
            <w:tcW w:w="2044" w:type="dxa"/>
          </w:tcPr>
          <w:p w14:paraId="38B83CDC" w14:textId="5033658E"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In this paper, we assessed the prevalence of subjective experiences</w:t>
            </w:r>
            <w:r w:rsidRPr="000F6DEF">
              <w:rPr>
                <w:rFonts w:cs="Calibri"/>
                <w:color w:val="auto"/>
                <w:sz w:val="16"/>
                <w:szCs w:val="16"/>
              </w:rPr>
              <w:br/>
              <w:t xml:space="preserve">at first use across four different nicotine products (cigarettes, </w:t>
            </w:r>
            <w:r>
              <w:rPr>
                <w:rFonts w:cs="Calibri"/>
                <w:color w:val="auto"/>
                <w:sz w:val="16"/>
                <w:szCs w:val="16"/>
              </w:rPr>
              <w:t>e</w:t>
            </w:r>
            <w:r>
              <w:rPr>
                <w:rFonts w:cs="Calibri"/>
                <w:color w:val="auto"/>
                <w:sz w:val="16"/>
                <w:szCs w:val="16"/>
              </w:rPr>
              <w:noBreakHyphen/>
              <w:t>cig</w:t>
            </w:r>
            <w:r w:rsidRPr="000F6DEF">
              <w:rPr>
                <w:rFonts w:cs="Calibri"/>
                <w:color w:val="auto"/>
                <w:sz w:val="16"/>
                <w:szCs w:val="16"/>
              </w:rPr>
              <w:t>arettes, hookah, and cigars/cigarillo/LFC) and the associations between</w:t>
            </w:r>
            <w:r w:rsidRPr="000F6DEF">
              <w:rPr>
                <w:rFonts w:cs="Calibri"/>
                <w:color w:val="auto"/>
                <w:sz w:val="16"/>
                <w:szCs w:val="16"/>
              </w:rPr>
              <w:br/>
              <w:t>each subjective experience and current use of the four products</w:t>
            </w:r>
            <w:r w:rsidR="006E78E1">
              <w:rPr>
                <w:rFonts w:cs="Calibri"/>
                <w:color w:val="auto"/>
                <w:sz w:val="16"/>
                <w:szCs w:val="16"/>
              </w:rPr>
              <w:t>.</w:t>
            </w:r>
          </w:p>
        </w:tc>
        <w:tc>
          <w:tcPr>
            <w:tcW w:w="6924" w:type="dxa"/>
          </w:tcPr>
          <w:p w14:paraId="0F0394C6"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 xml:space="preserve">The weighted prevalence rates of ever use of/tobacco products were: 19.5% for </w:t>
            </w:r>
            <w:r>
              <w:rPr>
                <w:rFonts w:cs="Calibri"/>
                <w:color w:val="auto"/>
                <w:sz w:val="16"/>
                <w:szCs w:val="16"/>
              </w:rPr>
              <w:t>e</w:t>
            </w:r>
            <w:r>
              <w:rPr>
                <w:rFonts w:cs="Calibri"/>
                <w:color w:val="auto"/>
                <w:sz w:val="16"/>
                <w:szCs w:val="16"/>
              </w:rPr>
              <w:noBreakHyphen/>
              <w:t>cig</w:t>
            </w:r>
            <w:r w:rsidRPr="000F6DEF">
              <w:rPr>
                <w:rFonts w:cs="Calibri"/>
                <w:color w:val="auto"/>
                <w:sz w:val="16"/>
                <w:szCs w:val="16"/>
              </w:rPr>
              <w:t>arettes.</w:t>
            </w:r>
            <w:r w:rsidRPr="000F6DEF">
              <w:rPr>
                <w:rFonts w:cs="Calibri"/>
                <w:color w:val="auto"/>
                <w:sz w:val="16"/>
                <w:szCs w:val="16"/>
              </w:rPr>
              <w:br/>
            </w:r>
            <w:r>
              <w:rPr>
                <w:rFonts w:cs="Calibri"/>
                <w:color w:val="auto"/>
                <w:sz w:val="16"/>
                <w:szCs w:val="16"/>
              </w:rPr>
              <w:t>E</w:t>
            </w:r>
            <w:r>
              <w:rPr>
                <w:rFonts w:cs="Calibri"/>
                <w:color w:val="auto"/>
                <w:sz w:val="16"/>
                <w:szCs w:val="16"/>
              </w:rPr>
              <w:noBreakHyphen/>
              <w:t>cig</w:t>
            </w:r>
            <w:r w:rsidRPr="000F6DEF">
              <w:rPr>
                <w:rFonts w:cs="Calibri"/>
                <w:color w:val="auto"/>
                <w:sz w:val="16"/>
                <w:szCs w:val="16"/>
              </w:rPr>
              <w:t>arette ever users had the lowest reported rates of almost all subjective experiences, including dizziness, coughing rush/buzz and relaxed/good, although ever hookah users had the lowest prevalence of sick/nausea.</w:t>
            </w:r>
            <w:r w:rsidRPr="000F6DEF">
              <w:rPr>
                <w:rFonts w:cs="Calibri"/>
                <w:color w:val="auto"/>
                <w:sz w:val="16"/>
                <w:szCs w:val="16"/>
              </w:rPr>
              <w:br/>
              <w:t xml:space="preserve">No first use subjective experiences were significantly associated with increased odds of using </w:t>
            </w:r>
            <w:r>
              <w:rPr>
                <w:rFonts w:cs="Calibri"/>
                <w:color w:val="auto"/>
                <w:sz w:val="16"/>
                <w:szCs w:val="16"/>
              </w:rPr>
              <w:t>e</w:t>
            </w:r>
            <w:r>
              <w:rPr>
                <w:rFonts w:cs="Calibri"/>
                <w:color w:val="auto"/>
                <w:sz w:val="16"/>
                <w:szCs w:val="16"/>
              </w:rPr>
              <w:noBreakHyphen/>
              <w:t>cig</w:t>
            </w:r>
            <w:r w:rsidRPr="000F6DEF">
              <w:rPr>
                <w:rFonts w:cs="Calibri"/>
                <w:color w:val="auto"/>
                <w:sz w:val="16"/>
                <w:szCs w:val="16"/>
              </w:rPr>
              <w:t>arettes or hookah.</w:t>
            </w:r>
          </w:p>
        </w:tc>
        <w:tc>
          <w:tcPr>
            <w:tcW w:w="4623" w:type="dxa"/>
          </w:tcPr>
          <w:p w14:paraId="176F2309"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Subjective experiences at first use differ by tobacco product. </w:t>
            </w:r>
          </w:p>
        </w:tc>
      </w:tr>
      <w:tr w:rsidR="00B85C33" w:rsidRPr="000F6DEF" w14:paraId="20123CA2" w14:textId="77777777" w:rsidTr="000376C7">
        <w:trPr>
          <w:trHeight w:val="94"/>
        </w:trPr>
        <w:tc>
          <w:tcPr>
            <w:cnfStyle w:val="001000000000" w:firstRow="0" w:lastRow="0" w:firstColumn="1" w:lastColumn="0" w:oddVBand="0" w:evenVBand="0" w:oddHBand="0" w:evenHBand="0" w:firstRowFirstColumn="0" w:firstRowLastColumn="0" w:lastRowFirstColumn="0" w:lastRowLastColumn="0"/>
            <w:tcW w:w="1435" w:type="dxa"/>
          </w:tcPr>
          <w:p w14:paraId="14731014" w14:textId="77777777" w:rsidR="00B85C33" w:rsidRPr="000F6DEF" w:rsidRDefault="00B85C33" w:rsidP="000376C7">
            <w:pPr>
              <w:rPr>
                <w:rFonts w:cs="Calibri"/>
                <w:color w:val="auto"/>
                <w:sz w:val="16"/>
                <w:szCs w:val="16"/>
              </w:rPr>
            </w:pPr>
            <w:r w:rsidRPr="000F6DEF">
              <w:rPr>
                <w:rFonts w:cs="Calibri"/>
                <w:color w:val="auto"/>
                <w:sz w:val="16"/>
                <w:szCs w:val="16"/>
              </w:rPr>
              <w:t>Owusu D,Aibangbee et al 2017</w:t>
            </w:r>
          </w:p>
        </w:tc>
        <w:tc>
          <w:tcPr>
            <w:tcW w:w="2044" w:type="dxa"/>
          </w:tcPr>
          <w:p w14:paraId="1D3C9B9F" w14:textId="61E1C872" w:rsidR="00B85C33" w:rsidRPr="000F6DEF" w:rsidRDefault="007B1B17"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Pr>
                <w:rFonts w:cs="Calibri"/>
                <w:color w:val="auto"/>
                <w:sz w:val="16"/>
                <w:szCs w:val="16"/>
              </w:rPr>
              <w:t>T</w:t>
            </w:r>
            <w:r w:rsidR="00B85C33" w:rsidRPr="000F6DEF">
              <w:rPr>
                <w:rFonts w:cs="Calibri"/>
                <w:color w:val="auto"/>
                <w:sz w:val="16"/>
                <w:szCs w:val="16"/>
              </w:rPr>
              <w:t xml:space="preserve">o estimate the prevalence of </w:t>
            </w:r>
            <w:r w:rsidR="00B85C33">
              <w:rPr>
                <w:rFonts w:cs="Calibri"/>
                <w:color w:val="auto"/>
                <w:sz w:val="16"/>
                <w:szCs w:val="16"/>
              </w:rPr>
              <w:t>e</w:t>
            </w:r>
            <w:r w:rsidR="00B85C33">
              <w:rPr>
                <w:rFonts w:cs="Calibri"/>
                <w:color w:val="auto"/>
                <w:sz w:val="16"/>
                <w:szCs w:val="16"/>
              </w:rPr>
              <w:noBreakHyphen/>
              <w:t>cig</w:t>
            </w:r>
            <w:r w:rsidR="00B85C33" w:rsidRPr="000F6DEF">
              <w:rPr>
                <w:rFonts w:cs="Calibri"/>
                <w:color w:val="auto"/>
                <w:sz w:val="16"/>
                <w:szCs w:val="16"/>
              </w:rPr>
              <w:t xml:space="preserve">arette use and examine association of </w:t>
            </w:r>
            <w:r w:rsidR="00B85C33">
              <w:rPr>
                <w:rFonts w:cs="Calibri"/>
                <w:color w:val="auto"/>
                <w:sz w:val="16"/>
                <w:szCs w:val="16"/>
              </w:rPr>
              <w:t>e</w:t>
            </w:r>
            <w:r w:rsidR="00B85C33">
              <w:rPr>
                <w:rFonts w:cs="Calibri"/>
                <w:color w:val="auto"/>
                <w:sz w:val="16"/>
                <w:szCs w:val="16"/>
              </w:rPr>
              <w:noBreakHyphen/>
              <w:t>cig</w:t>
            </w:r>
            <w:r w:rsidR="00B85C33" w:rsidRPr="000F6DEF">
              <w:rPr>
                <w:rFonts w:cs="Calibri"/>
                <w:color w:val="auto"/>
                <w:sz w:val="16"/>
                <w:szCs w:val="16"/>
              </w:rPr>
              <w:t>arette use with two tobacco products among school</w:t>
            </w:r>
            <w:r w:rsidR="00B85C33" w:rsidRPr="000F6DEF">
              <w:rPr>
                <w:rFonts w:cs="Calibri"/>
                <w:color w:val="auto"/>
                <w:sz w:val="16"/>
                <w:szCs w:val="16"/>
              </w:rPr>
              <w:noBreakHyphen/>
              <w:t>going adolescents</w:t>
            </w:r>
            <w:r w:rsidR="006E78E1">
              <w:rPr>
                <w:rFonts w:cs="Calibri"/>
                <w:color w:val="auto"/>
                <w:sz w:val="16"/>
                <w:szCs w:val="16"/>
              </w:rPr>
              <w:t>.</w:t>
            </w:r>
          </w:p>
        </w:tc>
        <w:tc>
          <w:tcPr>
            <w:tcW w:w="6924" w:type="dxa"/>
          </w:tcPr>
          <w:p w14:paraId="392AD9C3"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 xml:space="preserve">11% of the participants currently used </w:t>
            </w:r>
            <w:r>
              <w:rPr>
                <w:rFonts w:cs="Calibri"/>
                <w:color w:val="auto"/>
                <w:sz w:val="16"/>
                <w:szCs w:val="16"/>
              </w:rPr>
              <w:t>e</w:t>
            </w:r>
            <w:r>
              <w:rPr>
                <w:rFonts w:cs="Calibri"/>
                <w:color w:val="auto"/>
                <w:sz w:val="16"/>
                <w:szCs w:val="16"/>
              </w:rPr>
              <w:noBreakHyphen/>
              <w:t>cig</w:t>
            </w:r>
            <w:r w:rsidRPr="000F6DEF">
              <w:rPr>
                <w:rFonts w:cs="Calibri"/>
                <w:color w:val="auto"/>
                <w:sz w:val="16"/>
                <w:szCs w:val="16"/>
              </w:rPr>
              <w:t xml:space="preserve">arettes, and 35% had ever used </w:t>
            </w:r>
            <w:r>
              <w:rPr>
                <w:rFonts w:cs="Calibri"/>
                <w:color w:val="auto"/>
                <w:sz w:val="16"/>
                <w:szCs w:val="16"/>
              </w:rPr>
              <w:t>e</w:t>
            </w:r>
            <w:r>
              <w:rPr>
                <w:rFonts w:cs="Calibri"/>
                <w:color w:val="auto"/>
                <w:sz w:val="16"/>
                <w:szCs w:val="16"/>
              </w:rPr>
              <w:noBreakHyphen/>
              <w:t>cig</w:t>
            </w:r>
            <w:r w:rsidRPr="000F6DEF">
              <w:rPr>
                <w:rFonts w:cs="Calibri"/>
                <w:color w:val="auto"/>
                <w:sz w:val="16"/>
                <w:szCs w:val="16"/>
              </w:rPr>
              <w:t xml:space="preserve">arettes. About 6% of the participants were current users of both </w:t>
            </w:r>
            <w:r>
              <w:rPr>
                <w:rFonts w:cs="Calibri"/>
                <w:color w:val="auto"/>
                <w:sz w:val="16"/>
                <w:szCs w:val="16"/>
              </w:rPr>
              <w:t>e</w:t>
            </w:r>
            <w:r>
              <w:rPr>
                <w:rFonts w:cs="Calibri"/>
                <w:color w:val="auto"/>
                <w:sz w:val="16"/>
                <w:szCs w:val="16"/>
              </w:rPr>
              <w:noBreakHyphen/>
              <w:t>cig</w:t>
            </w:r>
            <w:r w:rsidRPr="000F6DEF">
              <w:rPr>
                <w:rFonts w:cs="Calibri"/>
                <w:color w:val="auto"/>
                <w:sz w:val="16"/>
                <w:szCs w:val="16"/>
              </w:rPr>
              <w:t xml:space="preserve">arettes and cigarettes; 4% were current users of </w:t>
            </w:r>
            <w:r>
              <w:rPr>
                <w:rFonts w:cs="Calibri"/>
                <w:color w:val="auto"/>
                <w:sz w:val="16"/>
                <w:szCs w:val="16"/>
              </w:rPr>
              <w:t>e</w:t>
            </w:r>
            <w:r>
              <w:rPr>
                <w:rFonts w:cs="Calibri"/>
                <w:color w:val="auto"/>
                <w:sz w:val="16"/>
                <w:szCs w:val="16"/>
              </w:rPr>
              <w:noBreakHyphen/>
              <w:t>cig</w:t>
            </w:r>
            <w:r w:rsidRPr="000F6DEF">
              <w:rPr>
                <w:rFonts w:cs="Calibri"/>
                <w:color w:val="auto"/>
                <w:sz w:val="16"/>
                <w:szCs w:val="16"/>
              </w:rPr>
              <w:t>arettes and smokeless tobacco; 3% were current users of all three products, and 15% had ever tried all three products. More than one</w:t>
            </w:r>
            <w:r w:rsidRPr="000F6DEF">
              <w:rPr>
                <w:rFonts w:cs="Calibri"/>
                <w:color w:val="auto"/>
                <w:sz w:val="16"/>
                <w:szCs w:val="16"/>
              </w:rPr>
              <w:noBreakHyphen/>
              <w:t xml:space="preserve">half of current </w:t>
            </w:r>
            <w:r>
              <w:rPr>
                <w:rFonts w:cs="Calibri"/>
                <w:color w:val="auto"/>
                <w:sz w:val="16"/>
                <w:szCs w:val="16"/>
              </w:rPr>
              <w:t>e</w:t>
            </w:r>
            <w:r>
              <w:rPr>
                <w:rFonts w:cs="Calibri"/>
                <w:color w:val="auto"/>
                <w:sz w:val="16"/>
                <w:szCs w:val="16"/>
              </w:rPr>
              <w:noBreakHyphen/>
              <w:t>cig</w:t>
            </w:r>
            <w:r w:rsidRPr="000F6DEF">
              <w:rPr>
                <w:rFonts w:cs="Calibri"/>
                <w:color w:val="auto"/>
                <w:sz w:val="16"/>
                <w:szCs w:val="16"/>
              </w:rPr>
              <w:t xml:space="preserve">arette users (52%) also smoked cigarettes. Adjusting for covariates, current </w:t>
            </w:r>
            <w:r>
              <w:rPr>
                <w:rFonts w:cs="Calibri"/>
                <w:color w:val="auto"/>
                <w:sz w:val="16"/>
                <w:szCs w:val="16"/>
              </w:rPr>
              <w:t>e</w:t>
            </w:r>
            <w:r>
              <w:rPr>
                <w:rFonts w:cs="Calibri"/>
                <w:color w:val="auto"/>
                <w:sz w:val="16"/>
                <w:szCs w:val="16"/>
              </w:rPr>
              <w:noBreakHyphen/>
              <w:t>cig</w:t>
            </w:r>
            <w:r w:rsidRPr="000F6DEF">
              <w:rPr>
                <w:rFonts w:cs="Calibri"/>
                <w:color w:val="auto"/>
                <w:sz w:val="16"/>
                <w:szCs w:val="16"/>
              </w:rPr>
              <w:t>arette use was positively associated with cigarette smoking [Odds Ratio (OR) 27.32, 95% confidence interval (CI) 14.4</w:t>
            </w:r>
            <w:r w:rsidRPr="000F6DEF">
              <w:rPr>
                <w:rFonts w:cs="Calibri"/>
                <w:color w:val="auto"/>
                <w:sz w:val="16"/>
                <w:szCs w:val="16"/>
              </w:rPr>
              <w:noBreakHyphen/>
              <w:t>51.7] and smokeless tobacco use [OR 7.92, 95% CI 3.8</w:t>
            </w:r>
            <w:r w:rsidRPr="000F6DEF">
              <w:rPr>
                <w:rFonts w:cs="Calibri"/>
                <w:color w:val="auto"/>
                <w:sz w:val="16"/>
                <w:szCs w:val="16"/>
              </w:rPr>
              <w:noBreakHyphen/>
              <w:t>16.5]</w:t>
            </w:r>
          </w:p>
        </w:tc>
        <w:tc>
          <w:tcPr>
            <w:tcW w:w="4623" w:type="dxa"/>
          </w:tcPr>
          <w:p w14:paraId="3BF0CDC1"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Pr>
                <w:rFonts w:cs="Calibri"/>
                <w:color w:val="auto"/>
                <w:sz w:val="16"/>
                <w:szCs w:val="16"/>
              </w:rPr>
              <w:t>E</w:t>
            </w:r>
            <w:r>
              <w:rPr>
                <w:rFonts w:cs="Calibri"/>
                <w:color w:val="auto"/>
                <w:sz w:val="16"/>
                <w:szCs w:val="16"/>
              </w:rPr>
              <w:noBreakHyphen/>
              <w:t>cig</w:t>
            </w:r>
            <w:r w:rsidRPr="000F6DEF">
              <w:rPr>
                <w:rFonts w:cs="Calibri"/>
                <w:color w:val="auto"/>
                <w:sz w:val="16"/>
                <w:szCs w:val="16"/>
              </w:rPr>
              <w:t>arette use was more common among the high school students than cigarette and smokeless tobacco use, and a significant proportion of users either smoked cigarettes, used smokeless tobacco, or both. Thus, there is a critical need for preventive policies and programs to address dual and poly</w:t>
            </w:r>
            <w:r w:rsidRPr="000F6DEF">
              <w:rPr>
                <w:rFonts w:cs="Calibri"/>
                <w:color w:val="auto"/>
                <w:sz w:val="16"/>
                <w:szCs w:val="16"/>
              </w:rPr>
              <w:noBreakHyphen/>
              <w:t>use of these products.</w:t>
            </w:r>
          </w:p>
        </w:tc>
      </w:tr>
      <w:tr w:rsidR="00B85C33" w:rsidRPr="000F6DEF" w14:paraId="4A7E2694" w14:textId="77777777" w:rsidTr="000376C7">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1435" w:type="dxa"/>
          </w:tcPr>
          <w:p w14:paraId="76ACCC52" w14:textId="77777777" w:rsidR="00B85C33" w:rsidRPr="000F6DEF" w:rsidRDefault="00B85C33" w:rsidP="000376C7">
            <w:pPr>
              <w:rPr>
                <w:rFonts w:cs="Calibri"/>
                <w:color w:val="auto"/>
                <w:sz w:val="16"/>
                <w:szCs w:val="16"/>
              </w:rPr>
            </w:pPr>
            <w:r w:rsidRPr="000F6DEF">
              <w:rPr>
                <w:rFonts w:cs="Calibri"/>
                <w:color w:val="auto"/>
                <w:sz w:val="16"/>
                <w:szCs w:val="16"/>
              </w:rPr>
              <w:t>Urman, McConnell et al 2018</w:t>
            </w:r>
          </w:p>
        </w:tc>
        <w:tc>
          <w:tcPr>
            <w:tcW w:w="2044" w:type="dxa"/>
          </w:tcPr>
          <w:p w14:paraId="5E274BD7"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 xml:space="preserve">We used two waves of data from the Southern Children’s Health Study to examine prospectively (1) whether the </w:t>
            </w:r>
            <w:r>
              <w:rPr>
                <w:rFonts w:cs="Calibri"/>
                <w:color w:val="auto"/>
                <w:sz w:val="16"/>
                <w:szCs w:val="16"/>
              </w:rPr>
              <w:t>e</w:t>
            </w:r>
            <w:r>
              <w:rPr>
                <w:rFonts w:cs="Calibri"/>
                <w:color w:val="auto"/>
                <w:sz w:val="16"/>
                <w:szCs w:val="16"/>
              </w:rPr>
              <w:noBreakHyphen/>
              <w:t>cig</w:t>
            </w:r>
            <w:r w:rsidRPr="000F6DEF">
              <w:rPr>
                <w:rFonts w:cs="Calibri"/>
                <w:color w:val="auto"/>
                <w:sz w:val="16"/>
                <w:szCs w:val="16"/>
              </w:rPr>
              <w:t xml:space="preserve">arette social environment was associated with subsequent initiation of </w:t>
            </w:r>
            <w:r>
              <w:rPr>
                <w:rFonts w:cs="Calibri"/>
                <w:color w:val="auto"/>
                <w:sz w:val="16"/>
                <w:szCs w:val="16"/>
              </w:rPr>
              <w:t>e</w:t>
            </w:r>
            <w:r>
              <w:rPr>
                <w:rFonts w:cs="Calibri"/>
                <w:color w:val="auto"/>
                <w:sz w:val="16"/>
                <w:szCs w:val="16"/>
              </w:rPr>
              <w:noBreakHyphen/>
              <w:t>cig</w:t>
            </w:r>
            <w:r w:rsidRPr="000F6DEF">
              <w:rPr>
                <w:rFonts w:cs="Calibri"/>
                <w:color w:val="auto"/>
                <w:sz w:val="16"/>
                <w:szCs w:val="16"/>
              </w:rPr>
              <w:t xml:space="preserve">arettes and (2) whether ever use of </w:t>
            </w:r>
            <w:r>
              <w:rPr>
                <w:rFonts w:cs="Calibri"/>
                <w:color w:val="auto"/>
                <w:sz w:val="16"/>
                <w:szCs w:val="16"/>
              </w:rPr>
              <w:t>e</w:t>
            </w:r>
            <w:r>
              <w:rPr>
                <w:rFonts w:cs="Calibri"/>
                <w:color w:val="auto"/>
                <w:sz w:val="16"/>
                <w:szCs w:val="16"/>
              </w:rPr>
              <w:noBreakHyphen/>
              <w:t>cig</w:t>
            </w:r>
            <w:r w:rsidRPr="000F6DEF">
              <w:rPr>
                <w:rFonts w:cs="Calibri"/>
                <w:color w:val="auto"/>
                <w:sz w:val="16"/>
                <w:szCs w:val="16"/>
              </w:rPr>
              <w:t xml:space="preserve">arettes at baseline was associated with the development of a social environment more supportive of </w:t>
            </w:r>
            <w:r>
              <w:rPr>
                <w:rFonts w:cs="Calibri"/>
                <w:color w:val="auto"/>
                <w:sz w:val="16"/>
                <w:szCs w:val="16"/>
              </w:rPr>
              <w:t>e</w:t>
            </w:r>
            <w:r>
              <w:rPr>
                <w:rFonts w:cs="Calibri"/>
                <w:color w:val="auto"/>
                <w:sz w:val="16"/>
                <w:szCs w:val="16"/>
              </w:rPr>
              <w:noBreakHyphen/>
              <w:t>cig</w:t>
            </w:r>
            <w:r w:rsidRPr="000F6DEF">
              <w:rPr>
                <w:rFonts w:cs="Calibri"/>
                <w:color w:val="auto"/>
                <w:sz w:val="16"/>
                <w:szCs w:val="16"/>
              </w:rPr>
              <w:t>arette use at follow</w:t>
            </w:r>
            <w:r w:rsidRPr="000F6DEF">
              <w:rPr>
                <w:rFonts w:cs="Calibri"/>
                <w:color w:val="auto"/>
                <w:sz w:val="16"/>
                <w:szCs w:val="16"/>
              </w:rPr>
              <w:noBreakHyphen/>
              <w:t>up.</w:t>
            </w:r>
          </w:p>
        </w:tc>
        <w:tc>
          <w:tcPr>
            <w:tcW w:w="6924" w:type="dxa"/>
          </w:tcPr>
          <w:p w14:paraId="2495603B" w14:textId="4A8D6491"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Participants with 3</w:t>
            </w:r>
            <w:r w:rsidRPr="000F6DEF">
              <w:rPr>
                <w:rFonts w:cs="Calibri"/>
                <w:color w:val="auto"/>
                <w:sz w:val="16"/>
                <w:szCs w:val="16"/>
              </w:rPr>
              <w:noBreakHyphen/>
              <w:t xml:space="preserve">4 friends using </w:t>
            </w:r>
            <w:r>
              <w:rPr>
                <w:rFonts w:cs="Calibri"/>
                <w:color w:val="auto"/>
                <w:sz w:val="16"/>
                <w:szCs w:val="16"/>
              </w:rPr>
              <w:t>e</w:t>
            </w:r>
            <w:r>
              <w:rPr>
                <w:rFonts w:cs="Calibri"/>
                <w:color w:val="auto"/>
                <w:sz w:val="16"/>
                <w:szCs w:val="16"/>
              </w:rPr>
              <w:noBreakHyphen/>
              <w:t>cig</w:t>
            </w:r>
            <w:r w:rsidRPr="000F6DEF">
              <w:rPr>
                <w:rFonts w:cs="Calibri"/>
                <w:color w:val="auto"/>
                <w:sz w:val="16"/>
                <w:szCs w:val="16"/>
              </w:rPr>
              <w:t>arettes at baseline (vs. no friends) had an odds ratio (OR) of 4.08 of subsequent initiation (95% confidence interval (CI): 1.96,</w:t>
            </w:r>
            <w:r w:rsidR="00065046">
              <w:rPr>
                <w:rFonts w:cs="Calibri"/>
                <w:color w:val="auto"/>
                <w:sz w:val="16"/>
                <w:szCs w:val="16"/>
              </w:rPr>
              <w:t xml:space="preserve"> </w:t>
            </w:r>
            <w:r w:rsidRPr="000F6DEF">
              <w:rPr>
                <w:rFonts w:cs="Calibri"/>
                <w:color w:val="auto"/>
                <w:sz w:val="16"/>
                <w:szCs w:val="16"/>
              </w:rPr>
              <w:t xml:space="preserve">8.49); those with best friends who would have a very friendly (vs. unfriendly) reaction to </w:t>
            </w:r>
            <w:r>
              <w:rPr>
                <w:rFonts w:cs="Calibri"/>
                <w:color w:val="auto"/>
                <w:sz w:val="16"/>
                <w:szCs w:val="16"/>
              </w:rPr>
              <w:t>e</w:t>
            </w:r>
            <w:r>
              <w:rPr>
                <w:rFonts w:cs="Calibri"/>
                <w:color w:val="auto"/>
                <w:sz w:val="16"/>
                <w:szCs w:val="16"/>
              </w:rPr>
              <w:noBreakHyphen/>
              <w:t>cig</w:t>
            </w:r>
            <w:r w:rsidRPr="000F6DEF">
              <w:rPr>
                <w:rFonts w:cs="Calibri"/>
                <w:color w:val="auto"/>
                <w:sz w:val="16"/>
                <w:szCs w:val="16"/>
              </w:rPr>
              <w:t>arette use had OR 2.54 of initiation (95%CI: 1.57,</w:t>
            </w:r>
            <w:r w:rsidR="00065046">
              <w:rPr>
                <w:rFonts w:cs="Calibri"/>
                <w:color w:val="auto"/>
                <w:sz w:val="16"/>
                <w:szCs w:val="16"/>
              </w:rPr>
              <w:t xml:space="preserve"> </w:t>
            </w:r>
            <w:r w:rsidRPr="000F6DEF">
              <w:rPr>
                <w:rFonts w:cs="Calibri"/>
                <w:color w:val="auto"/>
                <w:sz w:val="16"/>
                <w:szCs w:val="16"/>
              </w:rPr>
              <w:t xml:space="preserve">4.10); and those with someone in the home using </w:t>
            </w:r>
            <w:r>
              <w:rPr>
                <w:rFonts w:cs="Calibri"/>
                <w:color w:val="auto"/>
                <w:sz w:val="16"/>
                <w:szCs w:val="16"/>
              </w:rPr>
              <w:t>e</w:t>
            </w:r>
            <w:r>
              <w:rPr>
                <w:rFonts w:cs="Calibri"/>
                <w:color w:val="auto"/>
                <w:sz w:val="16"/>
                <w:szCs w:val="16"/>
              </w:rPr>
              <w:noBreakHyphen/>
              <w:t>cig</w:t>
            </w:r>
            <w:r w:rsidRPr="000F6DEF">
              <w:rPr>
                <w:rFonts w:cs="Calibri"/>
                <w:color w:val="auto"/>
                <w:sz w:val="16"/>
                <w:szCs w:val="16"/>
              </w:rPr>
              <w:t>arettes had OR 1.94 of initiation (95%CI: 1.19,</w:t>
            </w:r>
            <w:r w:rsidR="00065046">
              <w:rPr>
                <w:rFonts w:cs="Calibri"/>
                <w:color w:val="auto"/>
                <w:sz w:val="16"/>
                <w:szCs w:val="16"/>
              </w:rPr>
              <w:t xml:space="preserve"> </w:t>
            </w:r>
            <w:r w:rsidRPr="000F6DEF">
              <w:rPr>
                <w:rFonts w:cs="Calibri"/>
                <w:color w:val="auto"/>
                <w:sz w:val="16"/>
                <w:szCs w:val="16"/>
              </w:rPr>
              <w:t xml:space="preserve">3.15). Participants who had ever used </w:t>
            </w:r>
            <w:r>
              <w:rPr>
                <w:rFonts w:cs="Calibri"/>
                <w:color w:val="auto"/>
                <w:sz w:val="16"/>
                <w:szCs w:val="16"/>
              </w:rPr>
              <w:t>e</w:t>
            </w:r>
            <w:r>
              <w:rPr>
                <w:rFonts w:cs="Calibri"/>
                <w:color w:val="auto"/>
                <w:sz w:val="16"/>
                <w:szCs w:val="16"/>
              </w:rPr>
              <w:noBreakHyphen/>
              <w:t>cig</w:t>
            </w:r>
            <w:r w:rsidRPr="000F6DEF">
              <w:rPr>
                <w:rFonts w:cs="Calibri"/>
                <w:color w:val="auto"/>
                <w:sz w:val="16"/>
                <w:szCs w:val="16"/>
              </w:rPr>
              <w:t>arettes at baseline developed a supportive social environment at follow</w:t>
            </w:r>
            <w:r w:rsidRPr="000F6DEF">
              <w:rPr>
                <w:rFonts w:cs="Calibri"/>
                <w:color w:val="auto"/>
                <w:sz w:val="16"/>
                <w:szCs w:val="16"/>
              </w:rPr>
              <w:noBreakHyphen/>
              <w:t xml:space="preserve">up (OR 2.06 of having any friends who used </w:t>
            </w:r>
            <w:r>
              <w:rPr>
                <w:rFonts w:cs="Calibri"/>
                <w:color w:val="auto"/>
                <w:sz w:val="16"/>
                <w:szCs w:val="16"/>
              </w:rPr>
              <w:t>e</w:t>
            </w:r>
            <w:r>
              <w:rPr>
                <w:rFonts w:cs="Calibri"/>
                <w:color w:val="auto"/>
                <w:sz w:val="16"/>
                <w:szCs w:val="16"/>
              </w:rPr>
              <w:noBreakHyphen/>
              <w:t>cig</w:t>
            </w:r>
            <w:r w:rsidRPr="000F6DEF">
              <w:rPr>
                <w:rFonts w:cs="Calibri"/>
                <w:color w:val="auto"/>
                <w:sz w:val="16"/>
                <w:szCs w:val="16"/>
              </w:rPr>
              <w:t>arettes (95%CI: 1.29, 3.30) and OR 2.33 of having friends who were friendly toward use (95%CI: 1.32, 4.11). Similar bidirectional associations were observed between ever cigarette use and a supportive cigarette social environment</w:t>
            </w:r>
          </w:p>
        </w:tc>
        <w:tc>
          <w:tcPr>
            <w:tcW w:w="4623" w:type="dxa"/>
          </w:tcPr>
          <w:p w14:paraId="11998B35"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0F6DEF">
              <w:rPr>
                <w:rFonts w:cs="Calibri"/>
                <w:color w:val="auto"/>
                <w:sz w:val="16"/>
                <w:szCs w:val="16"/>
              </w:rPr>
              <w:t xml:space="preserve">The bidirectional relationship between a supportive </w:t>
            </w:r>
            <w:r>
              <w:rPr>
                <w:rFonts w:cs="Calibri"/>
                <w:color w:val="auto"/>
                <w:sz w:val="16"/>
                <w:szCs w:val="16"/>
              </w:rPr>
              <w:t>e</w:t>
            </w:r>
            <w:r>
              <w:rPr>
                <w:rFonts w:cs="Calibri"/>
                <w:color w:val="auto"/>
                <w:sz w:val="16"/>
                <w:szCs w:val="16"/>
              </w:rPr>
              <w:noBreakHyphen/>
              <w:t>cig</w:t>
            </w:r>
            <w:r w:rsidRPr="000F6DEF">
              <w:rPr>
                <w:rFonts w:cs="Calibri"/>
                <w:color w:val="auto"/>
                <w:sz w:val="16"/>
                <w:szCs w:val="16"/>
              </w:rPr>
              <w:t xml:space="preserve">arette social environment and ever use of </w:t>
            </w:r>
            <w:r>
              <w:rPr>
                <w:rFonts w:cs="Calibri"/>
                <w:color w:val="auto"/>
                <w:sz w:val="16"/>
                <w:szCs w:val="16"/>
              </w:rPr>
              <w:t>e</w:t>
            </w:r>
            <w:r>
              <w:rPr>
                <w:rFonts w:cs="Calibri"/>
                <w:color w:val="auto"/>
                <w:sz w:val="16"/>
                <w:szCs w:val="16"/>
              </w:rPr>
              <w:noBreakHyphen/>
              <w:t>cig</w:t>
            </w:r>
            <w:r w:rsidRPr="000F6DEF">
              <w:rPr>
                <w:rFonts w:cs="Calibri"/>
                <w:color w:val="auto"/>
                <w:sz w:val="16"/>
                <w:szCs w:val="16"/>
              </w:rPr>
              <w:t>arettes was similar to that previously observed between cigarette social environment and cigarette use.</w:t>
            </w:r>
          </w:p>
        </w:tc>
      </w:tr>
      <w:tr w:rsidR="00B85C33" w:rsidRPr="000F6DEF" w14:paraId="58237BE6" w14:textId="77777777" w:rsidTr="000376C7">
        <w:trPr>
          <w:trHeight w:val="94"/>
        </w:trPr>
        <w:tc>
          <w:tcPr>
            <w:cnfStyle w:val="001000000000" w:firstRow="0" w:lastRow="0" w:firstColumn="1" w:lastColumn="0" w:oddVBand="0" w:evenVBand="0" w:oddHBand="0" w:evenHBand="0" w:firstRowFirstColumn="0" w:firstRowLastColumn="0" w:lastRowFirstColumn="0" w:lastRowLastColumn="0"/>
            <w:tcW w:w="1435" w:type="dxa"/>
          </w:tcPr>
          <w:p w14:paraId="649AC9B0" w14:textId="77777777" w:rsidR="00B85C33" w:rsidRPr="000F6DEF" w:rsidRDefault="00B85C33" w:rsidP="000376C7">
            <w:pPr>
              <w:rPr>
                <w:rFonts w:cs="Calibri"/>
                <w:color w:val="auto"/>
                <w:sz w:val="16"/>
                <w:szCs w:val="16"/>
              </w:rPr>
            </w:pPr>
            <w:r w:rsidRPr="000F6DEF">
              <w:rPr>
                <w:rFonts w:cs="Calibri"/>
                <w:color w:val="auto"/>
                <w:sz w:val="16"/>
                <w:szCs w:val="16"/>
              </w:rPr>
              <w:t>Wong, Fan 2018</w:t>
            </w:r>
          </w:p>
        </w:tc>
        <w:tc>
          <w:tcPr>
            <w:tcW w:w="2044" w:type="dxa"/>
          </w:tcPr>
          <w:p w14:paraId="2138618C"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t xml:space="preserve">This study sought to determine </w:t>
            </w:r>
            <w:r>
              <w:rPr>
                <w:rFonts w:cs="Calibri"/>
                <w:color w:val="auto"/>
                <w:sz w:val="16"/>
                <w:szCs w:val="16"/>
              </w:rPr>
              <w:t>e</w:t>
            </w:r>
            <w:r>
              <w:rPr>
                <w:rFonts w:cs="Calibri"/>
                <w:color w:val="auto"/>
                <w:sz w:val="16"/>
                <w:szCs w:val="16"/>
              </w:rPr>
              <w:noBreakHyphen/>
              <w:t>cig</w:t>
            </w:r>
            <w:r w:rsidRPr="000F6DEF">
              <w:rPr>
                <w:rFonts w:cs="Calibri"/>
                <w:color w:val="auto"/>
                <w:sz w:val="16"/>
                <w:szCs w:val="16"/>
              </w:rPr>
              <w:t xml:space="preserve">arette use prevalence and its relation </w:t>
            </w:r>
            <w:r w:rsidRPr="000F6DEF">
              <w:rPr>
                <w:rFonts w:cs="Calibri"/>
                <w:color w:val="auto"/>
                <w:sz w:val="16"/>
                <w:szCs w:val="16"/>
              </w:rPr>
              <w:lastRenderedPageBreak/>
              <w:t>to alcohol use as a potential gateway drug, and how this may differ by sex and ethnicity in a multi</w:t>
            </w:r>
            <w:r w:rsidRPr="000F6DEF">
              <w:rPr>
                <w:rFonts w:cs="Calibri"/>
                <w:color w:val="auto"/>
                <w:sz w:val="16"/>
                <w:szCs w:val="16"/>
              </w:rPr>
              <w:noBreakHyphen/>
              <w:t>ethnic sample of California adolescents.</w:t>
            </w:r>
          </w:p>
        </w:tc>
        <w:tc>
          <w:tcPr>
            <w:tcW w:w="6924" w:type="dxa"/>
          </w:tcPr>
          <w:p w14:paraId="0B02EDF6" w14:textId="295D4746"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sidRPr="000F6DEF">
              <w:rPr>
                <w:rFonts w:cs="Calibri"/>
                <w:color w:val="auto"/>
                <w:sz w:val="16"/>
                <w:szCs w:val="16"/>
              </w:rPr>
              <w:lastRenderedPageBreak/>
              <w:t>9.1% ever</w:t>
            </w:r>
            <w:r w:rsidRPr="000F6DEF">
              <w:rPr>
                <w:rFonts w:cs="Calibri"/>
                <w:color w:val="auto"/>
                <w:sz w:val="16"/>
                <w:szCs w:val="16"/>
              </w:rPr>
              <w:noBreakHyphen/>
              <w:t xml:space="preserve">use of </w:t>
            </w:r>
            <w:r>
              <w:rPr>
                <w:rFonts w:cs="Calibri"/>
                <w:color w:val="auto"/>
                <w:sz w:val="16"/>
                <w:szCs w:val="16"/>
              </w:rPr>
              <w:t>e</w:t>
            </w:r>
            <w:r>
              <w:rPr>
                <w:rFonts w:cs="Calibri"/>
                <w:color w:val="auto"/>
                <w:sz w:val="16"/>
                <w:szCs w:val="16"/>
              </w:rPr>
              <w:noBreakHyphen/>
              <w:t>cig</w:t>
            </w:r>
            <w:r w:rsidR="007B1B17">
              <w:rPr>
                <w:rFonts w:cs="Calibri"/>
                <w:color w:val="auto"/>
                <w:sz w:val="16"/>
                <w:szCs w:val="16"/>
              </w:rPr>
              <w:t>arettes</w:t>
            </w:r>
          </w:p>
          <w:p w14:paraId="0A6FAF64"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r>
              <w:rPr>
                <w:rFonts w:cs="Calibri"/>
                <w:color w:val="auto"/>
                <w:sz w:val="16"/>
                <w:szCs w:val="16"/>
              </w:rPr>
              <w:lastRenderedPageBreak/>
              <w:t>e</w:t>
            </w:r>
            <w:r>
              <w:rPr>
                <w:rFonts w:cs="Calibri"/>
                <w:color w:val="auto"/>
                <w:sz w:val="16"/>
                <w:szCs w:val="16"/>
              </w:rPr>
              <w:noBreakHyphen/>
              <w:t>cig</w:t>
            </w:r>
            <w:r w:rsidRPr="000F6DEF">
              <w:rPr>
                <w:rFonts w:cs="Calibri"/>
                <w:color w:val="auto"/>
                <w:sz w:val="16"/>
                <w:szCs w:val="16"/>
              </w:rPr>
              <w:t>arette use highest in boys among non</w:t>
            </w:r>
            <w:r w:rsidRPr="000F6DEF">
              <w:rPr>
                <w:rFonts w:cs="Calibri"/>
                <w:color w:val="auto"/>
                <w:sz w:val="16"/>
                <w:szCs w:val="16"/>
              </w:rPr>
              <w:noBreakHyphen/>
              <w:t xml:space="preserve">Hispanic Whites (15.1%) and in Asian girls (13.3%). The logistic regression odds of alcohol use, adjusted for age, ethnicity, body mass index, cigarette smoking status, socioeconomic status, parents' education level, and insurance status among </w:t>
            </w:r>
            <w:r>
              <w:rPr>
                <w:rFonts w:cs="Calibri"/>
                <w:color w:val="auto"/>
                <w:sz w:val="16"/>
                <w:szCs w:val="16"/>
              </w:rPr>
              <w:t>e</w:t>
            </w:r>
            <w:r>
              <w:rPr>
                <w:rFonts w:cs="Calibri"/>
                <w:color w:val="auto"/>
                <w:sz w:val="16"/>
                <w:szCs w:val="16"/>
              </w:rPr>
              <w:noBreakHyphen/>
              <w:t>cig</w:t>
            </w:r>
            <w:r w:rsidRPr="000F6DEF">
              <w:rPr>
                <w:rFonts w:cs="Calibri"/>
                <w:color w:val="auto"/>
                <w:sz w:val="16"/>
                <w:szCs w:val="16"/>
              </w:rPr>
              <w:t>arettes users (compared with non</w:t>
            </w:r>
            <w:r w:rsidRPr="000F6DEF">
              <w:rPr>
                <w:rFonts w:cs="Calibri"/>
                <w:color w:val="auto"/>
                <w:sz w:val="16"/>
                <w:szCs w:val="16"/>
              </w:rPr>
              <w:noBreakHyphen/>
              <w:t>users) was 9.2 in girls and 3.1 in boys (both p&lt;0.01). Asians/others, non</w:t>
            </w:r>
            <w:r w:rsidRPr="000F6DEF">
              <w:rPr>
                <w:rFonts w:cs="Calibri"/>
                <w:color w:val="auto"/>
                <w:sz w:val="16"/>
                <w:szCs w:val="16"/>
              </w:rPr>
              <w:noBreakHyphen/>
              <w:t>Hispanic whites and Hispanics were similarly at increased odds: 17.8, 5.4, and 3.0, respectively (p&lt;0.01 for Asians/others and for whites) of using alcohol compared with their non</w:t>
            </w:r>
            <w:r w:rsidRPr="000F6DEF">
              <w:rPr>
                <w:rFonts w:cs="Calibri"/>
                <w:color w:val="auto"/>
                <w:sz w:val="16"/>
                <w:szCs w:val="16"/>
              </w:rPr>
              <w:noBreakHyphen/>
            </w:r>
            <w:r>
              <w:rPr>
                <w:rFonts w:cs="Calibri"/>
                <w:color w:val="auto"/>
                <w:sz w:val="16"/>
                <w:szCs w:val="16"/>
              </w:rPr>
              <w:t>e</w:t>
            </w:r>
            <w:r>
              <w:rPr>
                <w:rFonts w:cs="Calibri"/>
                <w:color w:val="auto"/>
                <w:sz w:val="16"/>
                <w:szCs w:val="16"/>
              </w:rPr>
              <w:noBreakHyphen/>
              <w:t>cig</w:t>
            </w:r>
            <w:r w:rsidRPr="000F6DEF">
              <w:rPr>
                <w:rFonts w:cs="Calibri"/>
                <w:color w:val="auto"/>
                <w:sz w:val="16"/>
                <w:szCs w:val="16"/>
              </w:rPr>
              <w:t>arette using counterparts, respectively.</w:t>
            </w:r>
          </w:p>
        </w:tc>
        <w:tc>
          <w:tcPr>
            <w:tcW w:w="4623" w:type="dxa"/>
          </w:tcPr>
          <w:p w14:paraId="79A84B91" w14:textId="77777777" w:rsidR="00B85C33" w:rsidRPr="000F6DEF" w:rsidRDefault="00B85C33" w:rsidP="000376C7">
            <w:pPr>
              <w:spacing w:after="0"/>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0F6DEF">
              <w:rPr>
                <w:sz w:val="16"/>
                <w:szCs w:val="16"/>
              </w:rPr>
              <w:lastRenderedPageBreak/>
              <w:t xml:space="preserve">Our study has shown that </w:t>
            </w:r>
            <w:r>
              <w:rPr>
                <w:sz w:val="16"/>
                <w:szCs w:val="16"/>
              </w:rPr>
              <w:t>e</w:t>
            </w:r>
            <w:r>
              <w:rPr>
                <w:sz w:val="16"/>
                <w:szCs w:val="16"/>
              </w:rPr>
              <w:noBreakHyphen/>
              <w:t>cig</w:t>
            </w:r>
            <w:r w:rsidRPr="000F6DEF">
              <w:rPr>
                <w:sz w:val="16"/>
                <w:szCs w:val="16"/>
              </w:rPr>
              <w:t xml:space="preserve">arette use varies by sex and ethnic groups, is particularly high in White boys and Asian girls, and is </w:t>
            </w:r>
            <w:r w:rsidRPr="000F6DEF">
              <w:rPr>
                <w:sz w:val="16"/>
                <w:szCs w:val="16"/>
              </w:rPr>
              <w:lastRenderedPageBreak/>
              <w:t>closely related to alcohol use, especially among females, Caucasians, and Asians/others.</w:t>
            </w:r>
          </w:p>
          <w:p w14:paraId="4867FB60"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color w:val="auto"/>
                <w:sz w:val="16"/>
                <w:szCs w:val="16"/>
              </w:rPr>
            </w:pPr>
          </w:p>
        </w:tc>
      </w:tr>
    </w:tbl>
    <w:p w14:paraId="64550137" w14:textId="77777777" w:rsidR="00B85C33" w:rsidRPr="004735D2" w:rsidRDefault="00B85C33" w:rsidP="00B85C33">
      <w:pPr>
        <w:pStyle w:val="BodyText"/>
      </w:pPr>
    </w:p>
    <w:p w14:paraId="2C1C92F1" w14:textId="77777777" w:rsidR="00B85C33" w:rsidRPr="00F422F2" w:rsidRDefault="00B85C33" w:rsidP="00B85C33">
      <w:pPr>
        <w:pStyle w:val="BodyText"/>
      </w:pPr>
    </w:p>
    <w:p w14:paraId="5F3DF9F8" w14:textId="77777777" w:rsidR="00B85C33" w:rsidRDefault="00B85C33" w:rsidP="00B85C33">
      <w:pPr>
        <w:spacing w:after="0"/>
        <w:rPr>
          <w:sz w:val="24"/>
        </w:rPr>
      </w:pPr>
      <w:r>
        <w:br w:type="page"/>
      </w:r>
    </w:p>
    <w:p w14:paraId="67AB97CD" w14:textId="77777777" w:rsidR="00B85C33" w:rsidRDefault="004C6D16" w:rsidP="004C6D16">
      <w:pPr>
        <w:pStyle w:val="Caption"/>
      </w:pPr>
      <w:bookmarkStart w:id="337" w:name="_Toc517707445"/>
      <w:r>
        <w:lastRenderedPageBreak/>
        <w:t xml:space="preserve">Table </w:t>
      </w:r>
      <w:r w:rsidR="0048064B">
        <w:rPr>
          <w:noProof/>
        </w:rPr>
        <w:fldChar w:fldCharType="begin"/>
      </w:r>
      <w:r w:rsidR="0048064B">
        <w:rPr>
          <w:noProof/>
        </w:rPr>
        <w:instrText xml:space="preserve"> SEQ Table \* ARABIC </w:instrText>
      </w:r>
      <w:r w:rsidR="0048064B">
        <w:rPr>
          <w:noProof/>
        </w:rPr>
        <w:fldChar w:fldCharType="separate"/>
      </w:r>
      <w:r w:rsidR="000C06DA">
        <w:rPr>
          <w:noProof/>
        </w:rPr>
        <w:t>36</w:t>
      </w:r>
      <w:r w:rsidR="0048064B">
        <w:rPr>
          <w:noProof/>
        </w:rPr>
        <w:fldChar w:fldCharType="end"/>
      </w:r>
      <w:r w:rsidR="00B85C33">
        <w:t xml:space="preserve">: </w:t>
      </w:r>
      <w:r w:rsidR="00B85C33" w:rsidRPr="00427E41">
        <w:t>Characteristics of studies that were US non</w:t>
      </w:r>
      <w:r w:rsidR="00B85C33">
        <w:noBreakHyphen/>
      </w:r>
      <w:r w:rsidR="00B85C33" w:rsidRPr="00427E41">
        <w:t>national adults</w:t>
      </w:r>
      <w:bookmarkEnd w:id="337"/>
    </w:p>
    <w:tbl>
      <w:tblPr>
        <w:tblStyle w:val="TableCSIRO"/>
        <w:tblW w:w="15055" w:type="dxa"/>
        <w:tblLook w:val="04A0" w:firstRow="1" w:lastRow="0" w:firstColumn="1" w:lastColumn="0" w:noHBand="0" w:noVBand="1"/>
      </w:tblPr>
      <w:tblGrid>
        <w:gridCol w:w="1389"/>
        <w:gridCol w:w="2469"/>
        <w:gridCol w:w="1414"/>
        <w:gridCol w:w="1289"/>
        <w:gridCol w:w="1032"/>
        <w:gridCol w:w="2217"/>
        <w:gridCol w:w="2092"/>
        <w:gridCol w:w="1735"/>
        <w:gridCol w:w="1418"/>
      </w:tblGrid>
      <w:tr w:rsidR="00B85C33" w:rsidRPr="000F6DEF" w14:paraId="4476B091" w14:textId="77777777" w:rsidTr="00065046">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1389" w:type="dxa"/>
            <w:hideMark/>
          </w:tcPr>
          <w:p w14:paraId="3CEB8537" w14:textId="77777777" w:rsidR="00B85C33" w:rsidRPr="000F6DEF" w:rsidRDefault="00B85C33" w:rsidP="000376C7">
            <w:pPr>
              <w:rPr>
                <w:rFonts w:cstheme="minorHAnsi"/>
                <w:color w:val="auto"/>
                <w:sz w:val="16"/>
                <w:szCs w:val="16"/>
              </w:rPr>
            </w:pPr>
            <w:r w:rsidRPr="000F6DEF">
              <w:rPr>
                <w:rFonts w:cstheme="minorHAnsi"/>
                <w:color w:val="auto"/>
                <w:sz w:val="16"/>
                <w:szCs w:val="16"/>
              </w:rPr>
              <w:t>Study reference</w:t>
            </w:r>
          </w:p>
        </w:tc>
        <w:tc>
          <w:tcPr>
            <w:tcW w:w="2469" w:type="dxa"/>
            <w:hideMark/>
          </w:tcPr>
          <w:p w14:paraId="32625E7B" w14:textId="77777777" w:rsidR="00B85C33" w:rsidRPr="000F6DEF" w:rsidRDefault="00B85C33" w:rsidP="000376C7">
            <w:pPr>
              <w:cnfStyle w:val="100000000000" w:firstRow="1" w:lastRow="0" w:firstColumn="0" w:lastColumn="0" w:oddVBand="0" w:evenVBand="0" w:oddHBand="0" w:evenHBand="0" w:firstRowFirstColumn="0" w:firstRowLastColumn="0" w:lastRowFirstColumn="0" w:lastRowLastColumn="0"/>
              <w:rPr>
                <w:rFonts w:cstheme="minorHAnsi"/>
                <w:color w:val="auto"/>
                <w:sz w:val="16"/>
                <w:szCs w:val="16"/>
              </w:rPr>
            </w:pPr>
            <w:r w:rsidRPr="000F6DEF">
              <w:rPr>
                <w:rFonts w:cstheme="minorHAnsi"/>
                <w:color w:val="auto"/>
                <w:sz w:val="16"/>
                <w:szCs w:val="16"/>
              </w:rPr>
              <w:t>Purpose</w:t>
            </w:r>
          </w:p>
        </w:tc>
        <w:tc>
          <w:tcPr>
            <w:tcW w:w="1414" w:type="dxa"/>
            <w:hideMark/>
          </w:tcPr>
          <w:p w14:paraId="02CF63D0" w14:textId="77777777" w:rsidR="00B85C33" w:rsidRPr="000F6DEF" w:rsidRDefault="00B85C33" w:rsidP="000376C7">
            <w:pPr>
              <w:cnfStyle w:val="100000000000" w:firstRow="1" w:lastRow="0" w:firstColumn="0" w:lastColumn="0" w:oddVBand="0" w:evenVBand="0" w:oddHBand="0" w:evenHBand="0" w:firstRowFirstColumn="0" w:firstRowLastColumn="0" w:lastRowFirstColumn="0" w:lastRowLastColumn="0"/>
              <w:rPr>
                <w:rFonts w:cstheme="minorHAnsi"/>
                <w:color w:val="auto"/>
                <w:sz w:val="16"/>
                <w:szCs w:val="16"/>
              </w:rPr>
            </w:pPr>
            <w:r w:rsidRPr="000F6DEF">
              <w:rPr>
                <w:rFonts w:cstheme="minorHAnsi"/>
                <w:color w:val="auto"/>
                <w:sz w:val="16"/>
                <w:szCs w:val="16"/>
              </w:rPr>
              <w:t>Name of survey</w:t>
            </w:r>
          </w:p>
        </w:tc>
        <w:tc>
          <w:tcPr>
            <w:tcW w:w="1289" w:type="dxa"/>
            <w:hideMark/>
          </w:tcPr>
          <w:p w14:paraId="6934CED8" w14:textId="77777777" w:rsidR="00B85C33" w:rsidRPr="000F6DEF" w:rsidRDefault="00B85C33" w:rsidP="000376C7">
            <w:pPr>
              <w:cnfStyle w:val="100000000000" w:firstRow="1" w:lastRow="0" w:firstColumn="0" w:lastColumn="0" w:oddVBand="0" w:evenVBand="0" w:oddHBand="0" w:evenHBand="0" w:firstRowFirstColumn="0" w:firstRowLastColumn="0" w:lastRowFirstColumn="0" w:lastRowLastColumn="0"/>
              <w:rPr>
                <w:rFonts w:cstheme="minorHAnsi"/>
                <w:color w:val="auto"/>
                <w:sz w:val="16"/>
                <w:szCs w:val="16"/>
              </w:rPr>
            </w:pPr>
            <w:r w:rsidRPr="000F6DEF">
              <w:rPr>
                <w:rFonts w:cstheme="minorHAnsi"/>
                <w:color w:val="auto"/>
                <w:sz w:val="16"/>
                <w:szCs w:val="16"/>
              </w:rPr>
              <w:t>Country or location</w:t>
            </w:r>
          </w:p>
        </w:tc>
        <w:tc>
          <w:tcPr>
            <w:tcW w:w="1032" w:type="dxa"/>
            <w:hideMark/>
          </w:tcPr>
          <w:p w14:paraId="29F01BB9" w14:textId="77777777" w:rsidR="00B85C33" w:rsidRPr="000F6DEF" w:rsidRDefault="00B85C33" w:rsidP="000376C7">
            <w:pPr>
              <w:cnfStyle w:val="100000000000" w:firstRow="1" w:lastRow="0" w:firstColumn="0" w:lastColumn="0" w:oddVBand="0" w:evenVBand="0" w:oddHBand="0" w:evenHBand="0" w:firstRowFirstColumn="0" w:firstRowLastColumn="0" w:lastRowFirstColumn="0" w:lastRowLastColumn="0"/>
              <w:rPr>
                <w:rFonts w:cstheme="minorHAnsi"/>
                <w:color w:val="auto"/>
                <w:sz w:val="16"/>
                <w:szCs w:val="16"/>
              </w:rPr>
            </w:pPr>
            <w:r w:rsidRPr="000F6DEF">
              <w:rPr>
                <w:rFonts w:cstheme="minorHAnsi"/>
                <w:color w:val="auto"/>
                <w:sz w:val="16"/>
                <w:szCs w:val="16"/>
              </w:rPr>
              <w:t>Year data collected</w:t>
            </w:r>
          </w:p>
        </w:tc>
        <w:tc>
          <w:tcPr>
            <w:tcW w:w="2217" w:type="dxa"/>
            <w:hideMark/>
          </w:tcPr>
          <w:p w14:paraId="7B645E39" w14:textId="77777777" w:rsidR="00B85C33" w:rsidRPr="000F6DEF" w:rsidRDefault="00B85C33" w:rsidP="000376C7">
            <w:pPr>
              <w:cnfStyle w:val="100000000000" w:firstRow="1" w:lastRow="0" w:firstColumn="0" w:lastColumn="0" w:oddVBand="0" w:evenVBand="0" w:oddHBand="0" w:evenHBand="0" w:firstRowFirstColumn="0" w:firstRowLastColumn="0" w:lastRowFirstColumn="0" w:lastRowLastColumn="0"/>
              <w:rPr>
                <w:rFonts w:cstheme="minorHAnsi"/>
                <w:color w:val="auto"/>
                <w:sz w:val="16"/>
                <w:szCs w:val="16"/>
              </w:rPr>
            </w:pPr>
            <w:r w:rsidRPr="000F6DEF">
              <w:rPr>
                <w:rFonts w:cstheme="minorHAnsi"/>
                <w:color w:val="auto"/>
                <w:sz w:val="16"/>
                <w:szCs w:val="16"/>
              </w:rPr>
              <w:t>Participants</w:t>
            </w:r>
          </w:p>
        </w:tc>
        <w:tc>
          <w:tcPr>
            <w:tcW w:w="2092" w:type="dxa"/>
            <w:hideMark/>
          </w:tcPr>
          <w:p w14:paraId="547F9EA0" w14:textId="77777777" w:rsidR="00B85C33" w:rsidRPr="000F6DEF" w:rsidRDefault="00B85C33" w:rsidP="000376C7">
            <w:pPr>
              <w:cnfStyle w:val="100000000000" w:firstRow="1" w:lastRow="0" w:firstColumn="0" w:lastColumn="0" w:oddVBand="0" w:evenVBand="0" w:oddHBand="0" w:evenHBand="0" w:firstRowFirstColumn="0" w:firstRowLastColumn="0" w:lastRowFirstColumn="0" w:lastRowLastColumn="0"/>
              <w:rPr>
                <w:rFonts w:cstheme="minorHAnsi"/>
                <w:color w:val="auto"/>
                <w:sz w:val="16"/>
                <w:szCs w:val="16"/>
              </w:rPr>
            </w:pPr>
            <w:r w:rsidRPr="000F6DEF">
              <w:rPr>
                <w:rFonts w:cstheme="minorHAnsi"/>
                <w:color w:val="auto"/>
                <w:sz w:val="16"/>
                <w:szCs w:val="16"/>
              </w:rPr>
              <w:t>Recruitment/ selection method</w:t>
            </w:r>
          </w:p>
        </w:tc>
        <w:tc>
          <w:tcPr>
            <w:tcW w:w="1735" w:type="dxa"/>
            <w:hideMark/>
          </w:tcPr>
          <w:p w14:paraId="3EF54BF2" w14:textId="77777777" w:rsidR="00B85C33" w:rsidRPr="000F6DEF" w:rsidRDefault="00B85C33" w:rsidP="000376C7">
            <w:pPr>
              <w:cnfStyle w:val="100000000000" w:firstRow="1" w:lastRow="0" w:firstColumn="0" w:lastColumn="0" w:oddVBand="0" w:evenVBand="0" w:oddHBand="0" w:evenHBand="0" w:firstRowFirstColumn="0" w:firstRowLastColumn="0" w:lastRowFirstColumn="0" w:lastRowLastColumn="0"/>
              <w:rPr>
                <w:rFonts w:cstheme="minorHAnsi"/>
                <w:color w:val="auto"/>
                <w:sz w:val="16"/>
                <w:szCs w:val="16"/>
              </w:rPr>
            </w:pPr>
            <w:r w:rsidRPr="000F6DEF">
              <w:rPr>
                <w:rFonts w:cstheme="minorHAnsi"/>
                <w:color w:val="auto"/>
                <w:sz w:val="16"/>
                <w:szCs w:val="16"/>
              </w:rPr>
              <w:t xml:space="preserve">Admin Method </w:t>
            </w:r>
          </w:p>
        </w:tc>
        <w:tc>
          <w:tcPr>
            <w:tcW w:w="1418" w:type="dxa"/>
            <w:hideMark/>
          </w:tcPr>
          <w:p w14:paraId="636F6B5D" w14:textId="77777777" w:rsidR="00B85C33" w:rsidRPr="000F6DEF" w:rsidRDefault="00B85C33" w:rsidP="000376C7">
            <w:pPr>
              <w:cnfStyle w:val="100000000000" w:firstRow="1" w:lastRow="0" w:firstColumn="0" w:lastColumn="0" w:oddVBand="0" w:evenVBand="0" w:oddHBand="0" w:evenHBand="0" w:firstRowFirstColumn="0" w:firstRowLastColumn="0" w:lastRowFirstColumn="0" w:lastRowLastColumn="0"/>
              <w:rPr>
                <w:rFonts w:cstheme="minorHAnsi"/>
                <w:color w:val="auto"/>
                <w:sz w:val="16"/>
                <w:szCs w:val="16"/>
              </w:rPr>
            </w:pPr>
            <w:r w:rsidRPr="000F6DEF">
              <w:rPr>
                <w:rFonts w:cstheme="minorHAnsi"/>
                <w:color w:val="auto"/>
                <w:sz w:val="16"/>
                <w:szCs w:val="16"/>
              </w:rPr>
              <w:t>Measures</w:t>
            </w:r>
          </w:p>
        </w:tc>
      </w:tr>
      <w:tr w:rsidR="00B85C33" w:rsidRPr="000F6DEF" w14:paraId="2C9432CF" w14:textId="77777777" w:rsidTr="0006504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89" w:type="dxa"/>
          </w:tcPr>
          <w:p w14:paraId="18608617" w14:textId="77777777" w:rsidR="00B85C33" w:rsidRPr="000F6DEF" w:rsidRDefault="00B85C33" w:rsidP="000376C7">
            <w:pPr>
              <w:spacing w:after="0"/>
              <w:rPr>
                <w:rFonts w:eastAsia="Times New Roman" w:cs="Calibri"/>
                <w:sz w:val="16"/>
                <w:szCs w:val="16"/>
              </w:rPr>
            </w:pPr>
            <w:r w:rsidRPr="000F6DEF">
              <w:rPr>
                <w:rFonts w:cs="Calibri"/>
                <w:sz w:val="16"/>
                <w:szCs w:val="16"/>
              </w:rPr>
              <w:t>Agarwal, Loukas, Perry</w:t>
            </w:r>
          </w:p>
        </w:tc>
        <w:tc>
          <w:tcPr>
            <w:tcW w:w="2469" w:type="dxa"/>
          </w:tcPr>
          <w:p w14:paraId="4A04EAE9" w14:textId="3691EBEE"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To examine the role of the social environment, normative beliefs, and attitudes in predicting subsequent ENDS initiation across a 1</w:t>
            </w:r>
            <w:r w:rsidRPr="000F6DEF">
              <w:rPr>
                <w:rFonts w:cs="Calibri"/>
                <w:sz w:val="16"/>
                <w:szCs w:val="16"/>
              </w:rPr>
              <w:noBreakHyphen/>
              <w:t>year period among 18</w:t>
            </w:r>
            <w:r w:rsidRPr="000F6DEF">
              <w:rPr>
                <w:rFonts w:cs="Calibri"/>
                <w:sz w:val="16"/>
                <w:szCs w:val="16"/>
              </w:rPr>
              <w:noBreakHyphen/>
              <w:t xml:space="preserve"> to 29</w:t>
            </w:r>
            <w:r w:rsidRPr="000F6DEF">
              <w:rPr>
                <w:rFonts w:cs="Calibri"/>
                <w:sz w:val="16"/>
                <w:szCs w:val="16"/>
              </w:rPr>
              <w:noBreakHyphen/>
              <w:t>year</w:t>
            </w:r>
            <w:r w:rsidRPr="000F6DEF">
              <w:rPr>
                <w:rFonts w:cs="Calibri"/>
                <w:sz w:val="16"/>
                <w:szCs w:val="16"/>
              </w:rPr>
              <w:noBreakHyphen/>
              <w:t>old college students</w:t>
            </w:r>
            <w:r w:rsidR="006E78E1">
              <w:rPr>
                <w:rFonts w:cs="Calibri"/>
                <w:sz w:val="16"/>
                <w:szCs w:val="16"/>
              </w:rPr>
              <w:t>.</w:t>
            </w:r>
          </w:p>
        </w:tc>
        <w:tc>
          <w:tcPr>
            <w:tcW w:w="1414" w:type="dxa"/>
          </w:tcPr>
          <w:p w14:paraId="39B4BC38"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Marketing and Promotions across Colleges in Texas Project (Project M</w:t>
            </w:r>
            <w:r w:rsidRPr="000F6DEF">
              <w:rPr>
                <w:rFonts w:cs="Calibri"/>
                <w:sz w:val="16"/>
                <w:szCs w:val="16"/>
              </w:rPr>
              <w:noBreakHyphen/>
              <w:t>PACT)</w:t>
            </w:r>
          </w:p>
        </w:tc>
        <w:tc>
          <w:tcPr>
            <w:tcW w:w="1289" w:type="dxa"/>
          </w:tcPr>
          <w:p w14:paraId="65A5866F"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Texas, US</w:t>
            </w:r>
          </w:p>
        </w:tc>
        <w:tc>
          <w:tcPr>
            <w:tcW w:w="1032" w:type="dxa"/>
          </w:tcPr>
          <w:p w14:paraId="1A234537"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Nov 2014 to Mar 2015</w:t>
            </w:r>
          </w:p>
        </w:tc>
        <w:tc>
          <w:tcPr>
            <w:tcW w:w="2217" w:type="dxa"/>
          </w:tcPr>
          <w:p w14:paraId="5623103E" w14:textId="776AA405"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2</w:t>
            </w:r>
            <w:r w:rsidR="007B1B17">
              <w:rPr>
                <w:rFonts w:cs="Calibri"/>
                <w:sz w:val="16"/>
                <w:szCs w:val="16"/>
              </w:rPr>
              <w:t>,</w:t>
            </w:r>
            <w:r w:rsidRPr="000F6DEF">
              <w:rPr>
                <w:rFonts w:cs="Calibri"/>
                <w:sz w:val="16"/>
                <w:szCs w:val="16"/>
              </w:rPr>
              <w:t>110 of a 5482 cohort for longitudinal study where data are collected every 6mo</w:t>
            </w:r>
          </w:p>
          <w:p w14:paraId="1A32FC62"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Mean age: 20.27 (2.17)</w:t>
            </w:r>
          </w:p>
          <w:p w14:paraId="3108F79F"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34% male</w:t>
            </w:r>
          </w:p>
          <w:p w14:paraId="40105532"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p>
          <w:p w14:paraId="4DA12F1D"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p>
        </w:tc>
        <w:tc>
          <w:tcPr>
            <w:tcW w:w="2092" w:type="dxa"/>
          </w:tcPr>
          <w:p w14:paraId="3B993E1B"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E</w:t>
            </w:r>
            <w:r w:rsidRPr="000F6DEF">
              <w:rPr>
                <w:rFonts w:cs="Calibri"/>
                <w:sz w:val="16"/>
                <w:szCs w:val="16"/>
              </w:rPr>
              <w:noBreakHyphen/>
              <w:t xml:space="preserve">mail invitations were sent that described the purpose of the study and included a link to an eligibility survey. </w:t>
            </w:r>
            <w:r w:rsidRPr="000F6DEF">
              <w:rPr>
                <w:rFonts w:cs="Calibri"/>
                <w:sz w:val="16"/>
                <w:szCs w:val="16"/>
              </w:rPr>
              <w:br/>
            </w:r>
          </w:p>
        </w:tc>
        <w:tc>
          <w:tcPr>
            <w:tcW w:w="1735" w:type="dxa"/>
          </w:tcPr>
          <w:p w14:paraId="00F07218" w14:textId="77777777" w:rsidR="00B85C33" w:rsidRPr="000F6DEF" w:rsidRDefault="00B85C33" w:rsidP="000376C7">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0F6DEF">
              <w:rPr>
                <w:rFonts w:cs="Calibri"/>
                <w:sz w:val="16"/>
                <w:szCs w:val="16"/>
              </w:rPr>
              <w:t>Not clearly reported</w:t>
            </w:r>
          </w:p>
        </w:tc>
        <w:tc>
          <w:tcPr>
            <w:tcW w:w="1418" w:type="dxa"/>
          </w:tcPr>
          <w:p w14:paraId="2355C5DB"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ENDS use: reported use, peer use, household use, social acceptability, inclination to date END user, demographics</w:t>
            </w:r>
          </w:p>
        </w:tc>
      </w:tr>
      <w:tr w:rsidR="00B85C33" w:rsidRPr="000F6DEF" w14:paraId="2A8082F3" w14:textId="77777777" w:rsidTr="00065046">
        <w:trPr>
          <w:trHeight w:val="567"/>
        </w:trPr>
        <w:tc>
          <w:tcPr>
            <w:cnfStyle w:val="001000000000" w:firstRow="0" w:lastRow="0" w:firstColumn="1" w:lastColumn="0" w:oddVBand="0" w:evenVBand="0" w:oddHBand="0" w:evenHBand="0" w:firstRowFirstColumn="0" w:firstRowLastColumn="0" w:lastRowFirstColumn="0" w:lastRowLastColumn="0"/>
            <w:tcW w:w="1389" w:type="dxa"/>
          </w:tcPr>
          <w:p w14:paraId="4C6E02C8" w14:textId="77777777" w:rsidR="00B85C33" w:rsidRPr="000F6DEF" w:rsidRDefault="00B85C33" w:rsidP="000376C7">
            <w:pPr>
              <w:rPr>
                <w:rFonts w:cs="Calibri"/>
                <w:sz w:val="16"/>
                <w:szCs w:val="16"/>
              </w:rPr>
            </w:pPr>
            <w:r w:rsidRPr="000F6DEF">
              <w:rPr>
                <w:rFonts w:cs="Calibri"/>
                <w:sz w:val="16"/>
                <w:szCs w:val="16"/>
              </w:rPr>
              <w:t>Amato, Boyle, Levy</w:t>
            </w:r>
          </w:p>
        </w:tc>
        <w:tc>
          <w:tcPr>
            <w:tcW w:w="2469" w:type="dxa"/>
          </w:tcPr>
          <w:p w14:paraId="336D911B" w14:textId="2BAFA3AF"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Investigated the predictive validity of ENDS use frequency as a measure for likelihood of continued use, and cigarette smoking abstinence</w:t>
            </w:r>
            <w:r w:rsidR="006E78E1">
              <w:rPr>
                <w:rFonts w:cs="Calibri"/>
                <w:sz w:val="16"/>
                <w:szCs w:val="16"/>
              </w:rPr>
              <w:t>.</w:t>
            </w:r>
          </w:p>
        </w:tc>
        <w:tc>
          <w:tcPr>
            <w:tcW w:w="1414" w:type="dxa"/>
          </w:tcPr>
          <w:p w14:paraId="0D647DE5" w14:textId="1FBC3888"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Recontacted people from</w:t>
            </w:r>
            <w:r w:rsidR="008146F9">
              <w:rPr>
                <w:rFonts w:cs="Calibri"/>
                <w:sz w:val="16"/>
                <w:szCs w:val="16"/>
              </w:rPr>
              <w:t xml:space="preserve"> </w:t>
            </w:r>
            <w:r w:rsidRPr="000F6DEF">
              <w:rPr>
                <w:rFonts w:cs="Calibri"/>
                <w:sz w:val="16"/>
                <w:szCs w:val="16"/>
              </w:rPr>
              <w:t>2014 Minnesota Adult Tobacco Survey 1171 consented to recontact</w:t>
            </w:r>
          </w:p>
        </w:tc>
        <w:tc>
          <w:tcPr>
            <w:tcW w:w="1289" w:type="dxa"/>
          </w:tcPr>
          <w:p w14:paraId="633E7FCC"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Minnesota, US</w:t>
            </w:r>
          </w:p>
        </w:tc>
        <w:tc>
          <w:tcPr>
            <w:tcW w:w="1032" w:type="dxa"/>
          </w:tcPr>
          <w:p w14:paraId="6FB9AB7E"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2015</w:t>
            </w:r>
          </w:p>
        </w:tc>
        <w:tc>
          <w:tcPr>
            <w:tcW w:w="2217" w:type="dxa"/>
          </w:tcPr>
          <w:p w14:paraId="40F500AD"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601</w:t>
            </w:r>
          </w:p>
          <w:p w14:paraId="1227C916"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18–24 4% (n=24) 25–44 32% (n=193) 45–64 47% (n=285) 65 or older 16% (n=99)</w:t>
            </w:r>
          </w:p>
          <w:p w14:paraId="1B5A1B79"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49% male</w:t>
            </w:r>
          </w:p>
        </w:tc>
        <w:tc>
          <w:tcPr>
            <w:tcW w:w="2092" w:type="dxa"/>
          </w:tcPr>
          <w:p w14:paraId="6ADCB98F"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Recruitment: dual</w:t>
            </w:r>
            <w:r w:rsidRPr="000F6DEF">
              <w:rPr>
                <w:rFonts w:cs="Calibri"/>
                <w:sz w:val="16"/>
                <w:szCs w:val="16"/>
              </w:rPr>
              <w:noBreakHyphen/>
              <w:t>frame random digit dialling sampling procedure</w:t>
            </w:r>
          </w:p>
        </w:tc>
        <w:tc>
          <w:tcPr>
            <w:tcW w:w="1735" w:type="dxa"/>
          </w:tcPr>
          <w:p w14:paraId="30C7A387"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Telephone surveys</w:t>
            </w:r>
          </w:p>
        </w:tc>
        <w:tc>
          <w:tcPr>
            <w:tcW w:w="1418" w:type="dxa"/>
          </w:tcPr>
          <w:p w14:paraId="75D94031"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ENDS use; cigarette smoking</w:t>
            </w:r>
          </w:p>
        </w:tc>
      </w:tr>
      <w:tr w:rsidR="00B85C33" w:rsidRPr="000F6DEF" w14:paraId="2ABD28F8" w14:textId="77777777" w:rsidTr="0006504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89" w:type="dxa"/>
          </w:tcPr>
          <w:p w14:paraId="1F2C7487" w14:textId="77777777" w:rsidR="00B85C33" w:rsidRPr="000F6DEF" w:rsidRDefault="00B85C33" w:rsidP="000376C7">
            <w:pPr>
              <w:rPr>
                <w:rFonts w:cs="Calibri"/>
                <w:sz w:val="16"/>
                <w:szCs w:val="16"/>
              </w:rPr>
            </w:pPr>
            <w:r w:rsidRPr="000F6DEF">
              <w:rPr>
                <w:rFonts w:cs="Calibri"/>
                <w:sz w:val="16"/>
                <w:szCs w:val="16"/>
              </w:rPr>
              <w:t>Bandiera, Loukas, Li et al</w:t>
            </w:r>
          </w:p>
        </w:tc>
        <w:tc>
          <w:tcPr>
            <w:tcW w:w="2469" w:type="dxa"/>
          </w:tcPr>
          <w:p w14:paraId="077F2721"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The main objective of the current study was to establish a potential bi</w:t>
            </w:r>
            <w:r w:rsidRPr="000F6DEF">
              <w:rPr>
                <w:rFonts w:cs="Calibri"/>
                <w:sz w:val="16"/>
                <w:szCs w:val="16"/>
              </w:rPr>
              <w:noBreakHyphen/>
              <w:t xml:space="preserve">directional relationship between </w:t>
            </w:r>
            <w:r>
              <w:rPr>
                <w:rFonts w:cs="Calibri"/>
                <w:sz w:val="16"/>
                <w:szCs w:val="16"/>
              </w:rPr>
              <w:t>e</w:t>
            </w:r>
            <w:r>
              <w:rPr>
                <w:rFonts w:cs="Calibri"/>
                <w:sz w:val="16"/>
                <w:szCs w:val="16"/>
              </w:rPr>
              <w:noBreakHyphen/>
              <w:t>cig</w:t>
            </w:r>
            <w:r w:rsidRPr="000F6DEF">
              <w:rPr>
                <w:rFonts w:cs="Calibri"/>
                <w:sz w:val="16"/>
                <w:szCs w:val="16"/>
              </w:rPr>
              <w:t>arette use and elevated depressive symptoms among college students in Texas, across a 1 year period of time.</w:t>
            </w:r>
          </w:p>
        </w:tc>
        <w:tc>
          <w:tcPr>
            <w:tcW w:w="1414" w:type="dxa"/>
          </w:tcPr>
          <w:p w14:paraId="340CC66D"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Marketing and Promotions Across Colleges in Texas Project (Project M</w:t>
            </w:r>
            <w:r w:rsidRPr="000F6DEF">
              <w:rPr>
                <w:rFonts w:cs="Calibri"/>
                <w:sz w:val="16"/>
                <w:szCs w:val="16"/>
              </w:rPr>
              <w:noBreakHyphen/>
              <w:t>PACT)???</w:t>
            </w:r>
            <w:r w:rsidRPr="000F6DEF">
              <w:rPr>
                <w:rFonts w:cs="Calibri"/>
                <w:sz w:val="16"/>
                <w:szCs w:val="16"/>
              </w:rPr>
              <w:br/>
              <w:t>Not actually specified but very similar methods</w:t>
            </w:r>
          </w:p>
        </w:tc>
        <w:tc>
          <w:tcPr>
            <w:tcW w:w="1289" w:type="dxa"/>
          </w:tcPr>
          <w:p w14:paraId="6925083B"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Texas, US</w:t>
            </w:r>
          </w:p>
        </w:tc>
        <w:tc>
          <w:tcPr>
            <w:tcW w:w="1032" w:type="dxa"/>
          </w:tcPr>
          <w:p w14:paraId="4CB9A7F5" w14:textId="57E18859"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Nov 2014 –Feb 2015 </w:t>
            </w:r>
          </w:p>
        </w:tc>
        <w:tc>
          <w:tcPr>
            <w:tcW w:w="2217" w:type="dxa"/>
          </w:tcPr>
          <w:p w14:paraId="096D4AC2" w14:textId="46444BFE"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5</w:t>
            </w:r>
            <w:r w:rsidR="007B1B17">
              <w:rPr>
                <w:rFonts w:cs="Calibri"/>
                <w:sz w:val="16"/>
                <w:szCs w:val="16"/>
              </w:rPr>
              <w:t>,</w:t>
            </w:r>
            <w:r w:rsidRPr="000F6DEF">
              <w:rPr>
                <w:rFonts w:cs="Calibri"/>
                <w:sz w:val="16"/>
                <w:szCs w:val="16"/>
              </w:rPr>
              <w:t>445</w:t>
            </w:r>
          </w:p>
          <w:p w14:paraId="40D9A568"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Mean ages: Wave 1 20.5(2.4); Wave 2 20.4 (2.3); Wave 3 20.5 (2.3)</w:t>
            </w:r>
          </w:p>
          <w:p w14:paraId="78AB51B5"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male: Wave 1 36.2%; Wave 2 35.6%; Wave 3 35.5%</w:t>
            </w:r>
          </w:p>
        </w:tc>
        <w:tc>
          <w:tcPr>
            <w:tcW w:w="2092" w:type="dxa"/>
          </w:tcPr>
          <w:p w14:paraId="5F6A7F2B"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Participants were recruited from 24 colleges in Texas. </w:t>
            </w:r>
          </w:p>
        </w:tc>
        <w:tc>
          <w:tcPr>
            <w:tcW w:w="1735" w:type="dxa"/>
          </w:tcPr>
          <w:p w14:paraId="139D7C8D"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Online</w:t>
            </w:r>
          </w:p>
        </w:tc>
        <w:tc>
          <w:tcPr>
            <w:tcW w:w="1418" w:type="dxa"/>
          </w:tcPr>
          <w:p w14:paraId="1BBFDE3A" w14:textId="77777777" w:rsidR="00B85C33" w:rsidRPr="000F6DEF" w:rsidRDefault="00B85C33" w:rsidP="000376C7">
            <w:pPr>
              <w:spacing w:after="240"/>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Demographics</w:t>
            </w:r>
            <w:r w:rsidRPr="000F6DEF">
              <w:rPr>
                <w:rFonts w:cs="Calibri"/>
                <w:sz w:val="16"/>
                <w:szCs w:val="16"/>
              </w:rPr>
              <w:br/>
              <w:t>Current tobacco use (four types)</w:t>
            </w:r>
            <w:r w:rsidRPr="000F6DEF">
              <w:rPr>
                <w:rFonts w:cs="Calibri"/>
                <w:sz w:val="16"/>
                <w:szCs w:val="16"/>
              </w:rPr>
              <w:br/>
              <w:t xml:space="preserve">Current </w:t>
            </w:r>
            <w:r>
              <w:rPr>
                <w:rFonts w:cs="Calibri"/>
                <w:sz w:val="16"/>
                <w:szCs w:val="16"/>
              </w:rPr>
              <w:t>e</w:t>
            </w:r>
            <w:r>
              <w:rPr>
                <w:rFonts w:cs="Calibri"/>
                <w:sz w:val="16"/>
                <w:szCs w:val="16"/>
              </w:rPr>
              <w:noBreakHyphen/>
              <w:t>cig</w:t>
            </w:r>
            <w:r w:rsidRPr="000F6DEF">
              <w:rPr>
                <w:rFonts w:cs="Calibri"/>
                <w:sz w:val="16"/>
                <w:szCs w:val="16"/>
              </w:rPr>
              <w:t>arette use</w:t>
            </w:r>
            <w:r w:rsidRPr="000F6DEF">
              <w:rPr>
                <w:rFonts w:cs="Calibri"/>
                <w:sz w:val="16"/>
                <w:szCs w:val="16"/>
              </w:rPr>
              <w:br/>
              <w:t>Depressive symptoms (CES</w:t>
            </w:r>
            <w:r w:rsidRPr="000F6DEF">
              <w:rPr>
                <w:rFonts w:cs="Calibri"/>
                <w:sz w:val="16"/>
                <w:szCs w:val="16"/>
              </w:rPr>
              <w:noBreakHyphen/>
              <w:t>D)</w:t>
            </w:r>
          </w:p>
        </w:tc>
      </w:tr>
      <w:tr w:rsidR="00B85C33" w:rsidRPr="000F6DEF" w14:paraId="1FE9EA50" w14:textId="77777777" w:rsidTr="00065046">
        <w:trPr>
          <w:trHeight w:val="567"/>
        </w:trPr>
        <w:tc>
          <w:tcPr>
            <w:cnfStyle w:val="001000000000" w:firstRow="0" w:lastRow="0" w:firstColumn="1" w:lastColumn="0" w:oddVBand="0" w:evenVBand="0" w:oddHBand="0" w:evenHBand="0" w:firstRowFirstColumn="0" w:firstRowLastColumn="0" w:lastRowFirstColumn="0" w:lastRowLastColumn="0"/>
            <w:tcW w:w="1389" w:type="dxa"/>
          </w:tcPr>
          <w:p w14:paraId="35D97A07" w14:textId="77777777" w:rsidR="00B85C33" w:rsidRPr="000F6DEF" w:rsidRDefault="00B85C33" w:rsidP="000376C7">
            <w:pPr>
              <w:spacing w:after="0"/>
              <w:rPr>
                <w:rFonts w:cs="Calibri"/>
                <w:sz w:val="16"/>
                <w:szCs w:val="16"/>
              </w:rPr>
            </w:pPr>
            <w:r w:rsidRPr="000F6DEF">
              <w:rPr>
                <w:rFonts w:cs="Calibri"/>
                <w:sz w:val="16"/>
                <w:szCs w:val="16"/>
              </w:rPr>
              <w:t>Case, Loukas, Harrell et al</w:t>
            </w:r>
          </w:p>
        </w:tc>
        <w:tc>
          <w:tcPr>
            <w:tcW w:w="2469" w:type="dxa"/>
          </w:tcPr>
          <w:p w14:paraId="732B2067"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To examine the associations between sensation seeking and ever and current </w:t>
            </w:r>
            <w:r>
              <w:rPr>
                <w:rFonts w:cs="Calibri"/>
                <w:sz w:val="16"/>
                <w:szCs w:val="16"/>
              </w:rPr>
              <w:t>e</w:t>
            </w:r>
            <w:r>
              <w:rPr>
                <w:rFonts w:cs="Calibri"/>
                <w:sz w:val="16"/>
                <w:szCs w:val="16"/>
              </w:rPr>
              <w:noBreakHyphen/>
              <w:t>cig</w:t>
            </w:r>
            <w:r w:rsidRPr="000F6DEF">
              <w:rPr>
                <w:rFonts w:cs="Calibri"/>
                <w:sz w:val="16"/>
                <w:szCs w:val="16"/>
              </w:rPr>
              <w:t>arette use in Texas young adults (18–29 years old).</w:t>
            </w:r>
          </w:p>
        </w:tc>
        <w:tc>
          <w:tcPr>
            <w:tcW w:w="1414" w:type="dxa"/>
          </w:tcPr>
          <w:p w14:paraId="588702A8"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Marketing and Promotions across Colleges in Texas Project (Project M</w:t>
            </w:r>
            <w:r w:rsidRPr="000F6DEF">
              <w:rPr>
                <w:rFonts w:cs="Calibri"/>
                <w:sz w:val="16"/>
                <w:szCs w:val="16"/>
              </w:rPr>
              <w:noBreakHyphen/>
              <w:t>PACT)</w:t>
            </w:r>
          </w:p>
        </w:tc>
        <w:tc>
          <w:tcPr>
            <w:tcW w:w="1289" w:type="dxa"/>
          </w:tcPr>
          <w:p w14:paraId="4E7DCEF5"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Texas, US</w:t>
            </w:r>
          </w:p>
        </w:tc>
        <w:tc>
          <w:tcPr>
            <w:tcW w:w="1032" w:type="dxa"/>
          </w:tcPr>
          <w:p w14:paraId="4B79645F"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2014/2015</w:t>
            </w:r>
          </w:p>
        </w:tc>
        <w:tc>
          <w:tcPr>
            <w:tcW w:w="2217" w:type="dxa"/>
          </w:tcPr>
          <w:p w14:paraId="0B0C6269"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n=5,418</w:t>
            </w:r>
          </w:p>
          <w:p w14:paraId="75281E13"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Mean age: 20.5(2.36)</w:t>
            </w:r>
          </w:p>
          <w:p w14:paraId="1F16A721"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46% male</w:t>
            </w:r>
          </w:p>
          <w:p w14:paraId="431669F1"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p>
        </w:tc>
        <w:tc>
          <w:tcPr>
            <w:tcW w:w="2092" w:type="dxa"/>
          </w:tcPr>
          <w:p w14:paraId="4DEB0AEE"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Recruited from colleges and vocational/technical programs in Texas via e</w:t>
            </w:r>
            <w:r w:rsidRPr="000F6DEF">
              <w:rPr>
                <w:rFonts w:cs="Calibri"/>
                <w:sz w:val="16"/>
                <w:szCs w:val="16"/>
              </w:rPr>
              <w:noBreakHyphen/>
              <w:t>mail, and student consent was obtained online prior to study enrolment.</w:t>
            </w:r>
          </w:p>
        </w:tc>
        <w:tc>
          <w:tcPr>
            <w:tcW w:w="1735" w:type="dxa"/>
          </w:tcPr>
          <w:p w14:paraId="4D0F3822" w14:textId="77777777" w:rsidR="00B85C33" w:rsidRPr="000F6DEF" w:rsidRDefault="00B85C33" w:rsidP="000376C7">
            <w:pPr>
              <w:spacing w:after="0"/>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NR</w:t>
            </w:r>
          </w:p>
        </w:tc>
        <w:tc>
          <w:tcPr>
            <w:tcW w:w="1418" w:type="dxa"/>
          </w:tcPr>
          <w:p w14:paraId="5BE94ADD" w14:textId="43A07FC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Ever use </w:t>
            </w:r>
            <w:r w:rsidR="005500FC">
              <w:rPr>
                <w:rFonts w:asciiTheme="minorHAnsi" w:hAnsiTheme="minorHAnsi" w:cstheme="minorHAnsi"/>
                <w:color w:val="auto"/>
                <w:sz w:val="16"/>
                <w:szCs w:val="16"/>
              </w:rPr>
              <w:t>e</w:t>
            </w:r>
            <w:r w:rsidR="005500FC">
              <w:rPr>
                <w:rFonts w:asciiTheme="minorHAnsi" w:hAnsiTheme="minorHAnsi" w:cstheme="minorHAnsi"/>
                <w:color w:val="auto"/>
                <w:sz w:val="16"/>
                <w:szCs w:val="16"/>
              </w:rPr>
              <w:noBreakHyphen/>
              <w:t>cigarettes</w:t>
            </w:r>
            <w:r w:rsidR="005500FC" w:rsidDel="005500FC">
              <w:rPr>
                <w:rFonts w:cs="Calibri"/>
                <w:sz w:val="16"/>
                <w:szCs w:val="16"/>
              </w:rPr>
              <w:t xml:space="preserve"> </w:t>
            </w:r>
            <w:r w:rsidRPr="000F6DEF">
              <w:rPr>
                <w:rFonts w:cs="Calibri"/>
                <w:sz w:val="16"/>
                <w:szCs w:val="16"/>
              </w:rPr>
              <w:br/>
              <w:t xml:space="preserve">Current use </w:t>
            </w:r>
            <w:r w:rsidR="005500FC">
              <w:rPr>
                <w:rFonts w:asciiTheme="minorHAnsi" w:hAnsiTheme="minorHAnsi" w:cstheme="minorHAnsi"/>
                <w:color w:val="auto"/>
                <w:sz w:val="16"/>
                <w:szCs w:val="16"/>
              </w:rPr>
              <w:t>e</w:t>
            </w:r>
            <w:r w:rsidR="005500FC">
              <w:rPr>
                <w:rFonts w:asciiTheme="minorHAnsi" w:hAnsiTheme="minorHAnsi" w:cstheme="minorHAnsi"/>
                <w:color w:val="auto"/>
                <w:sz w:val="16"/>
                <w:szCs w:val="16"/>
              </w:rPr>
              <w:noBreakHyphen/>
              <w:t>cigarettes</w:t>
            </w:r>
            <w:r w:rsidRPr="000F6DEF">
              <w:rPr>
                <w:rFonts w:cs="Calibri"/>
                <w:sz w:val="16"/>
                <w:szCs w:val="16"/>
              </w:rPr>
              <w:br/>
              <w:t>Brief Sensation Seeking Scale 4 (BSSS</w:t>
            </w:r>
            <w:r w:rsidRPr="000F6DEF">
              <w:rPr>
                <w:rFonts w:cs="Calibri"/>
                <w:sz w:val="16"/>
                <w:szCs w:val="16"/>
              </w:rPr>
              <w:noBreakHyphen/>
              <w:t>4)</w:t>
            </w:r>
            <w:r w:rsidRPr="000F6DEF">
              <w:rPr>
                <w:rFonts w:cs="Calibri"/>
                <w:sz w:val="16"/>
                <w:szCs w:val="16"/>
              </w:rPr>
              <w:br/>
              <w:t>Demographics</w:t>
            </w:r>
            <w:r w:rsidRPr="000F6DEF">
              <w:rPr>
                <w:rFonts w:cs="Calibri"/>
                <w:sz w:val="16"/>
                <w:szCs w:val="16"/>
              </w:rPr>
              <w:br/>
              <w:t>Cig use</w:t>
            </w:r>
            <w:r w:rsidRPr="000F6DEF">
              <w:rPr>
                <w:rFonts w:cs="Calibri"/>
                <w:sz w:val="16"/>
                <w:szCs w:val="16"/>
              </w:rPr>
              <w:br/>
              <w:t>Alcohol use</w:t>
            </w:r>
            <w:r w:rsidRPr="000F6DEF">
              <w:rPr>
                <w:rFonts w:cs="Calibri"/>
                <w:sz w:val="16"/>
                <w:szCs w:val="16"/>
              </w:rPr>
              <w:br/>
              <w:t>Impulsivity (Substance Use Risk Profile Scale)</w:t>
            </w:r>
          </w:p>
        </w:tc>
      </w:tr>
      <w:tr w:rsidR="00B85C33" w:rsidRPr="000F6DEF" w14:paraId="5A24300F" w14:textId="77777777" w:rsidTr="0006504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89" w:type="dxa"/>
          </w:tcPr>
          <w:p w14:paraId="6BCEB35C" w14:textId="77777777" w:rsidR="00B85C33" w:rsidRPr="000F6DEF" w:rsidRDefault="00B85C33" w:rsidP="000376C7">
            <w:pPr>
              <w:rPr>
                <w:rFonts w:cs="Calibri"/>
                <w:sz w:val="16"/>
                <w:szCs w:val="16"/>
              </w:rPr>
            </w:pPr>
            <w:r w:rsidRPr="000F6DEF">
              <w:rPr>
                <w:rFonts w:cs="Calibri"/>
                <w:sz w:val="16"/>
                <w:szCs w:val="16"/>
              </w:rPr>
              <w:t>Creamer, Loukas, Clendennen et al</w:t>
            </w:r>
          </w:p>
        </w:tc>
        <w:tc>
          <w:tcPr>
            <w:tcW w:w="2469" w:type="dxa"/>
          </w:tcPr>
          <w:p w14:paraId="73C3C861"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The purpose of this study is to examine differences between current and non</w:t>
            </w:r>
            <w:r w:rsidRPr="000F6DEF">
              <w:rPr>
                <w:rFonts w:cs="Calibri"/>
                <w:sz w:val="16"/>
                <w:szCs w:val="16"/>
              </w:rPr>
              <w:noBreakHyphen/>
              <w:t xml:space="preserve">current cigarette users, focusing on </w:t>
            </w:r>
            <w:r w:rsidRPr="000F6DEF">
              <w:rPr>
                <w:rFonts w:cs="Calibri"/>
                <w:sz w:val="16"/>
                <w:szCs w:val="16"/>
              </w:rPr>
              <w:lastRenderedPageBreak/>
              <w:t>sociodemographic factors, non</w:t>
            </w:r>
            <w:r w:rsidRPr="000F6DEF">
              <w:rPr>
                <w:rFonts w:cs="Calibri"/>
                <w:sz w:val="16"/>
                <w:szCs w:val="16"/>
              </w:rPr>
              <w:noBreakHyphen/>
              <w:t>cigarette tobacco product use, parental and friend use, and alcohol and marijuana use; and to identify predictors of cigarette use at six</w:t>
            </w:r>
            <w:r w:rsidRPr="000F6DEF">
              <w:rPr>
                <w:rFonts w:cs="Calibri"/>
                <w:sz w:val="16"/>
                <w:szCs w:val="16"/>
              </w:rPr>
              <w:noBreakHyphen/>
              <w:t>month follow</w:t>
            </w:r>
            <w:r w:rsidRPr="000F6DEF">
              <w:rPr>
                <w:rFonts w:cs="Calibri"/>
                <w:sz w:val="16"/>
                <w:szCs w:val="16"/>
              </w:rPr>
              <w:noBreakHyphen/>
              <w:t>up.</w:t>
            </w:r>
          </w:p>
        </w:tc>
        <w:tc>
          <w:tcPr>
            <w:tcW w:w="1414" w:type="dxa"/>
          </w:tcPr>
          <w:p w14:paraId="38EB2A19"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lastRenderedPageBreak/>
              <w:t xml:space="preserve">Marketing and Promotions Across Colleges in Texas </w:t>
            </w:r>
            <w:r w:rsidRPr="000F6DEF">
              <w:rPr>
                <w:rFonts w:cs="Calibri"/>
                <w:sz w:val="16"/>
                <w:szCs w:val="16"/>
              </w:rPr>
              <w:lastRenderedPageBreak/>
              <w:t>Project (Project M</w:t>
            </w:r>
            <w:r w:rsidRPr="000F6DEF">
              <w:rPr>
                <w:rFonts w:cs="Calibri"/>
                <w:sz w:val="16"/>
                <w:szCs w:val="16"/>
              </w:rPr>
              <w:noBreakHyphen/>
              <w:t>PACT)</w:t>
            </w:r>
          </w:p>
        </w:tc>
        <w:tc>
          <w:tcPr>
            <w:tcW w:w="1289" w:type="dxa"/>
          </w:tcPr>
          <w:p w14:paraId="30BADA79"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lastRenderedPageBreak/>
              <w:t>Texas, US</w:t>
            </w:r>
          </w:p>
        </w:tc>
        <w:tc>
          <w:tcPr>
            <w:tcW w:w="1032" w:type="dxa"/>
          </w:tcPr>
          <w:p w14:paraId="0B5C2230"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2014/2015</w:t>
            </w:r>
          </w:p>
        </w:tc>
        <w:tc>
          <w:tcPr>
            <w:tcW w:w="2217" w:type="dxa"/>
          </w:tcPr>
          <w:p w14:paraId="689830D3" w14:textId="4D47E265" w:rsidR="0013484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4</w:t>
            </w:r>
            <w:r w:rsidR="007B1B17">
              <w:rPr>
                <w:rFonts w:cs="Calibri"/>
                <w:sz w:val="16"/>
                <w:szCs w:val="16"/>
              </w:rPr>
              <w:t>,</w:t>
            </w:r>
            <w:r w:rsidRPr="000F6DEF">
              <w:rPr>
                <w:rFonts w:cs="Calibri"/>
                <w:sz w:val="16"/>
                <w:szCs w:val="16"/>
              </w:rPr>
              <w:t>296</w:t>
            </w:r>
            <w:r w:rsidR="0013484F">
              <w:rPr>
                <w:rFonts w:cs="Calibri"/>
                <w:sz w:val="16"/>
                <w:szCs w:val="16"/>
              </w:rPr>
              <w:t xml:space="preserve"> (</w:t>
            </w:r>
            <w:r w:rsidRPr="000F6DEF">
              <w:rPr>
                <w:rFonts w:cs="Calibri"/>
                <w:sz w:val="16"/>
                <w:szCs w:val="16"/>
              </w:rPr>
              <w:t>Wave 1</w:t>
            </w:r>
            <w:r w:rsidR="0013484F">
              <w:rPr>
                <w:rFonts w:cs="Calibri"/>
                <w:sz w:val="16"/>
                <w:szCs w:val="16"/>
              </w:rPr>
              <w:t>)</w:t>
            </w:r>
          </w:p>
          <w:p w14:paraId="319600FE" w14:textId="5C526E81"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lastRenderedPageBreak/>
              <w:t>Mean ages: 20.3(2.2) non</w:t>
            </w:r>
            <w:r w:rsidRPr="000F6DEF">
              <w:rPr>
                <w:rFonts w:cs="Calibri"/>
                <w:sz w:val="16"/>
                <w:szCs w:val="16"/>
              </w:rPr>
              <w:noBreakHyphen/>
              <w:t>current cig</w:t>
            </w:r>
            <w:r w:rsidR="005500FC">
              <w:rPr>
                <w:rFonts w:cs="Calibri"/>
                <w:sz w:val="16"/>
                <w:szCs w:val="16"/>
              </w:rPr>
              <w:t>arette</w:t>
            </w:r>
            <w:r w:rsidRPr="000F6DEF">
              <w:rPr>
                <w:rFonts w:cs="Calibri"/>
                <w:sz w:val="16"/>
                <w:szCs w:val="16"/>
              </w:rPr>
              <w:t xml:space="preserve"> user; 21.2(2.8) current cig user</w:t>
            </w:r>
          </w:p>
          <w:p w14:paraId="62B0F127" w14:textId="72E61E78"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male: 33.6% non</w:t>
            </w:r>
            <w:r w:rsidRPr="000F6DEF">
              <w:rPr>
                <w:rFonts w:cs="Calibri"/>
                <w:sz w:val="16"/>
                <w:szCs w:val="16"/>
              </w:rPr>
              <w:noBreakHyphen/>
              <w:t>current cig</w:t>
            </w:r>
            <w:r w:rsidR="005500FC">
              <w:rPr>
                <w:rFonts w:cs="Calibri"/>
                <w:sz w:val="16"/>
                <w:szCs w:val="16"/>
              </w:rPr>
              <w:t>arette</w:t>
            </w:r>
            <w:r w:rsidRPr="000F6DEF">
              <w:rPr>
                <w:rFonts w:cs="Calibri"/>
                <w:sz w:val="16"/>
                <w:szCs w:val="16"/>
              </w:rPr>
              <w:t xml:space="preserve"> user (denominator n3547); 45.6% current user (denominator n749)</w:t>
            </w:r>
          </w:p>
        </w:tc>
        <w:tc>
          <w:tcPr>
            <w:tcW w:w="2092" w:type="dxa"/>
          </w:tcPr>
          <w:p w14:paraId="3920600D"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lastRenderedPageBreak/>
              <w:t xml:space="preserve">The 24 colleges were recruited from ﬁve counties </w:t>
            </w:r>
            <w:r w:rsidRPr="000F6DEF">
              <w:rPr>
                <w:rFonts w:cs="Calibri"/>
                <w:sz w:val="16"/>
                <w:szCs w:val="16"/>
              </w:rPr>
              <w:lastRenderedPageBreak/>
              <w:t xml:space="preserve">that included the four largest metropolitan areas in Texas. </w:t>
            </w:r>
          </w:p>
        </w:tc>
        <w:tc>
          <w:tcPr>
            <w:tcW w:w="1735" w:type="dxa"/>
          </w:tcPr>
          <w:p w14:paraId="2A11A85E"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lastRenderedPageBreak/>
              <w:t>Email invitation to online survey</w:t>
            </w:r>
          </w:p>
        </w:tc>
        <w:tc>
          <w:tcPr>
            <w:tcW w:w="1418" w:type="dxa"/>
          </w:tcPr>
          <w:p w14:paraId="0274E93B" w14:textId="63596BA3"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Current use </w:t>
            </w:r>
            <w:r w:rsidR="005500FC">
              <w:rPr>
                <w:rFonts w:asciiTheme="minorHAnsi" w:hAnsiTheme="minorHAnsi" w:cstheme="minorHAnsi"/>
                <w:color w:val="auto"/>
                <w:sz w:val="16"/>
                <w:szCs w:val="16"/>
              </w:rPr>
              <w:t>e</w:t>
            </w:r>
            <w:r w:rsidR="005500FC">
              <w:rPr>
                <w:rFonts w:asciiTheme="minorHAnsi" w:hAnsiTheme="minorHAnsi" w:cstheme="minorHAnsi"/>
                <w:color w:val="auto"/>
                <w:sz w:val="16"/>
                <w:szCs w:val="16"/>
              </w:rPr>
              <w:noBreakHyphen/>
              <w:t>cigarettes</w:t>
            </w:r>
            <w:r w:rsidRPr="000F6DEF">
              <w:rPr>
                <w:rFonts w:cs="Calibri"/>
                <w:sz w:val="16"/>
                <w:szCs w:val="16"/>
              </w:rPr>
              <w:br/>
              <w:t>Other non</w:t>
            </w:r>
            <w:r w:rsidRPr="000F6DEF">
              <w:rPr>
                <w:rFonts w:cs="Calibri"/>
                <w:sz w:val="16"/>
                <w:szCs w:val="16"/>
              </w:rPr>
              <w:noBreakHyphen/>
              <w:t>cig</w:t>
            </w:r>
            <w:r w:rsidR="005500FC">
              <w:rPr>
                <w:rFonts w:cs="Calibri"/>
                <w:sz w:val="16"/>
                <w:szCs w:val="16"/>
              </w:rPr>
              <w:t>arettes</w:t>
            </w:r>
            <w:r w:rsidRPr="000F6DEF">
              <w:rPr>
                <w:rFonts w:cs="Calibri"/>
                <w:sz w:val="16"/>
                <w:szCs w:val="16"/>
              </w:rPr>
              <w:t xml:space="preserve"> </w:t>
            </w:r>
            <w:r w:rsidRPr="000F6DEF">
              <w:rPr>
                <w:rFonts w:cs="Calibri"/>
                <w:sz w:val="16"/>
                <w:szCs w:val="16"/>
              </w:rPr>
              <w:lastRenderedPageBreak/>
              <w:t>tobacco product use</w:t>
            </w:r>
            <w:r w:rsidRPr="000F6DEF">
              <w:rPr>
                <w:rFonts w:cs="Calibri"/>
                <w:sz w:val="16"/>
                <w:szCs w:val="16"/>
              </w:rPr>
              <w:br/>
              <w:t>Drug and alcohol use</w:t>
            </w:r>
            <w:r w:rsidRPr="000F6DEF">
              <w:rPr>
                <w:rFonts w:cs="Calibri"/>
                <w:sz w:val="16"/>
                <w:szCs w:val="16"/>
              </w:rPr>
              <w:br/>
              <w:t>Parental and peer variables</w:t>
            </w:r>
            <w:r w:rsidRPr="000F6DEF">
              <w:rPr>
                <w:rFonts w:cs="Calibri"/>
                <w:sz w:val="16"/>
                <w:szCs w:val="16"/>
              </w:rPr>
              <w:br/>
              <w:t>Demographics</w:t>
            </w:r>
          </w:p>
        </w:tc>
      </w:tr>
      <w:tr w:rsidR="00B85C33" w:rsidRPr="000F6DEF" w14:paraId="4157E129" w14:textId="77777777" w:rsidTr="00065046">
        <w:trPr>
          <w:trHeight w:val="567"/>
        </w:trPr>
        <w:tc>
          <w:tcPr>
            <w:cnfStyle w:val="001000000000" w:firstRow="0" w:lastRow="0" w:firstColumn="1" w:lastColumn="0" w:oddVBand="0" w:evenVBand="0" w:oddHBand="0" w:evenHBand="0" w:firstRowFirstColumn="0" w:firstRowLastColumn="0" w:lastRowFirstColumn="0" w:lastRowLastColumn="0"/>
            <w:tcW w:w="1389" w:type="dxa"/>
          </w:tcPr>
          <w:p w14:paraId="39548F10" w14:textId="77777777" w:rsidR="00B85C33" w:rsidRPr="000F6DEF" w:rsidRDefault="00B85C33" w:rsidP="000376C7">
            <w:pPr>
              <w:rPr>
                <w:rFonts w:cs="Calibri"/>
                <w:sz w:val="16"/>
                <w:szCs w:val="16"/>
              </w:rPr>
            </w:pPr>
            <w:r w:rsidRPr="000F6DEF">
              <w:rPr>
                <w:rFonts w:cs="Calibri"/>
                <w:sz w:val="16"/>
                <w:szCs w:val="16"/>
              </w:rPr>
              <w:lastRenderedPageBreak/>
              <w:t>Kalkhoran, Alvarado, Vijayaraghavan et al</w:t>
            </w:r>
          </w:p>
        </w:tc>
        <w:tc>
          <w:tcPr>
            <w:tcW w:w="2469" w:type="dxa"/>
          </w:tcPr>
          <w:p w14:paraId="7C011A99"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Identify how and why smokers in primary care use </w:t>
            </w:r>
            <w:r>
              <w:rPr>
                <w:rFonts w:cs="Calibri"/>
                <w:sz w:val="16"/>
                <w:szCs w:val="16"/>
              </w:rPr>
              <w:t>e</w:t>
            </w:r>
            <w:r>
              <w:rPr>
                <w:rFonts w:cs="Calibri"/>
                <w:sz w:val="16"/>
                <w:szCs w:val="16"/>
              </w:rPr>
              <w:noBreakHyphen/>
              <w:t>cig</w:t>
            </w:r>
            <w:r w:rsidRPr="000F6DEF">
              <w:rPr>
                <w:rFonts w:cs="Calibri"/>
                <w:sz w:val="16"/>
                <w:szCs w:val="16"/>
              </w:rPr>
              <w:t xml:space="preserve">arettes. </w:t>
            </w:r>
          </w:p>
        </w:tc>
        <w:tc>
          <w:tcPr>
            <w:tcW w:w="1414" w:type="dxa"/>
          </w:tcPr>
          <w:p w14:paraId="51664BDA"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Sample based on a smoking cessation program delivered through primary care</w:t>
            </w:r>
          </w:p>
        </w:tc>
        <w:tc>
          <w:tcPr>
            <w:tcW w:w="1289" w:type="dxa"/>
          </w:tcPr>
          <w:p w14:paraId="5C78D62A"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California, US</w:t>
            </w:r>
          </w:p>
        </w:tc>
        <w:tc>
          <w:tcPr>
            <w:tcW w:w="1032" w:type="dxa"/>
          </w:tcPr>
          <w:p w14:paraId="22BCFFA6"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2014</w:t>
            </w:r>
            <w:r w:rsidRPr="000F6DEF">
              <w:rPr>
                <w:rFonts w:cs="Calibri"/>
                <w:sz w:val="16"/>
                <w:szCs w:val="16"/>
              </w:rPr>
              <w:noBreakHyphen/>
              <w:t>2015</w:t>
            </w:r>
          </w:p>
        </w:tc>
        <w:tc>
          <w:tcPr>
            <w:tcW w:w="2217" w:type="dxa"/>
          </w:tcPr>
          <w:p w14:paraId="47A8367B"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788</w:t>
            </w:r>
          </w:p>
          <w:p w14:paraId="1B3EE8D9" w14:textId="462B8AA8"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Mean ages: 53.8(10.3) (Never use </w:t>
            </w:r>
            <w:r>
              <w:rPr>
                <w:rFonts w:cs="Calibri"/>
                <w:sz w:val="16"/>
                <w:szCs w:val="16"/>
              </w:rPr>
              <w:t>e</w:t>
            </w:r>
            <w:r>
              <w:rPr>
                <w:rFonts w:cs="Calibri"/>
                <w:sz w:val="16"/>
                <w:szCs w:val="16"/>
              </w:rPr>
              <w:noBreakHyphen/>
              <w:t>cig</w:t>
            </w:r>
            <w:r w:rsidR="005500FC">
              <w:rPr>
                <w:rFonts w:cs="Calibri"/>
                <w:sz w:val="16"/>
                <w:szCs w:val="16"/>
              </w:rPr>
              <w:t>arette</w:t>
            </w:r>
            <w:r w:rsidRPr="000F6DEF">
              <w:rPr>
                <w:rFonts w:cs="Calibri"/>
                <w:sz w:val="16"/>
                <w:szCs w:val="16"/>
              </w:rPr>
              <w:t xml:space="preserve">); 48.4(11.2) (Ever use </w:t>
            </w:r>
            <w:r>
              <w:rPr>
                <w:rFonts w:cs="Calibri"/>
                <w:sz w:val="16"/>
                <w:szCs w:val="16"/>
              </w:rPr>
              <w:t>e</w:t>
            </w:r>
            <w:r>
              <w:rPr>
                <w:rFonts w:cs="Calibri"/>
                <w:sz w:val="16"/>
                <w:szCs w:val="16"/>
              </w:rPr>
              <w:noBreakHyphen/>
              <w:t>cig</w:t>
            </w:r>
            <w:r w:rsidR="005500FC">
              <w:rPr>
                <w:rFonts w:cs="Calibri"/>
                <w:sz w:val="16"/>
                <w:szCs w:val="16"/>
              </w:rPr>
              <w:t>arette</w:t>
            </w:r>
            <w:r w:rsidRPr="000F6DEF">
              <w:rPr>
                <w:rFonts w:cs="Calibri"/>
                <w:sz w:val="16"/>
                <w:szCs w:val="16"/>
              </w:rPr>
              <w:t>)</w:t>
            </w:r>
          </w:p>
          <w:p w14:paraId="57779057" w14:textId="3E22BB80"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 male: 63% (Never use </w:t>
            </w:r>
            <w:r>
              <w:rPr>
                <w:rFonts w:cs="Calibri"/>
                <w:sz w:val="16"/>
                <w:szCs w:val="16"/>
              </w:rPr>
              <w:t>e</w:t>
            </w:r>
            <w:r>
              <w:rPr>
                <w:rFonts w:cs="Calibri"/>
                <w:sz w:val="16"/>
                <w:szCs w:val="16"/>
              </w:rPr>
              <w:noBreakHyphen/>
              <w:t>cig</w:t>
            </w:r>
            <w:r w:rsidR="005500FC">
              <w:rPr>
                <w:rFonts w:cs="Calibri"/>
                <w:sz w:val="16"/>
                <w:szCs w:val="16"/>
              </w:rPr>
              <w:t>arette</w:t>
            </w:r>
            <w:r w:rsidRPr="000F6DEF">
              <w:rPr>
                <w:rFonts w:cs="Calibri"/>
                <w:sz w:val="16"/>
                <w:szCs w:val="16"/>
              </w:rPr>
              <w:t xml:space="preserve">); 64% (Ever use </w:t>
            </w:r>
            <w:r>
              <w:rPr>
                <w:rFonts w:cs="Calibri"/>
                <w:sz w:val="16"/>
                <w:szCs w:val="16"/>
              </w:rPr>
              <w:t>e</w:t>
            </w:r>
            <w:r>
              <w:rPr>
                <w:rFonts w:cs="Calibri"/>
                <w:sz w:val="16"/>
                <w:szCs w:val="16"/>
              </w:rPr>
              <w:noBreakHyphen/>
              <w:t>cig</w:t>
            </w:r>
            <w:r w:rsidR="005500FC">
              <w:rPr>
                <w:rFonts w:cs="Calibri"/>
                <w:sz w:val="16"/>
                <w:szCs w:val="16"/>
              </w:rPr>
              <w:t>arette</w:t>
            </w:r>
            <w:r w:rsidRPr="000F6DEF">
              <w:rPr>
                <w:rFonts w:cs="Calibri"/>
                <w:sz w:val="16"/>
                <w:szCs w:val="16"/>
              </w:rPr>
              <w:t>)</w:t>
            </w:r>
          </w:p>
        </w:tc>
        <w:tc>
          <w:tcPr>
            <w:tcW w:w="2092" w:type="dxa"/>
          </w:tcPr>
          <w:p w14:paraId="20E94CB3"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Cross</w:t>
            </w:r>
            <w:r w:rsidRPr="000F6DEF">
              <w:rPr>
                <w:rFonts w:cs="Calibri"/>
                <w:sz w:val="16"/>
                <w:szCs w:val="16"/>
              </w:rPr>
              <w:noBreakHyphen/>
              <w:t>sectional secondary data analysis from a randomized controlled trial of a tablet intervention to deliver the 5As for smoking cessation in primary care.</w:t>
            </w:r>
          </w:p>
        </w:tc>
        <w:tc>
          <w:tcPr>
            <w:tcW w:w="1735" w:type="dxa"/>
          </w:tcPr>
          <w:p w14:paraId="31302281"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Computer tablet prior to appointment. Then 72h later phone or in</w:t>
            </w:r>
            <w:r w:rsidRPr="000F6DEF">
              <w:rPr>
                <w:rFonts w:cs="Calibri"/>
                <w:sz w:val="16"/>
                <w:szCs w:val="16"/>
              </w:rPr>
              <w:noBreakHyphen/>
              <w:t>person interview</w:t>
            </w:r>
          </w:p>
        </w:tc>
        <w:tc>
          <w:tcPr>
            <w:tcW w:w="1418" w:type="dxa"/>
          </w:tcPr>
          <w:p w14:paraId="1EA8808A" w14:textId="77777777" w:rsidR="00B85C33" w:rsidRPr="000F6DEF" w:rsidRDefault="00B85C33" w:rsidP="0013484F">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Demographics </w:t>
            </w:r>
            <w:r w:rsidRPr="000F6DEF">
              <w:rPr>
                <w:rFonts w:cs="Calibri"/>
                <w:sz w:val="16"/>
                <w:szCs w:val="16"/>
              </w:rPr>
              <w:br/>
              <w:t>type of health insurance</w:t>
            </w:r>
            <w:r w:rsidRPr="000F6DEF">
              <w:rPr>
                <w:rFonts w:cs="Calibri"/>
                <w:sz w:val="16"/>
                <w:szCs w:val="16"/>
              </w:rPr>
              <w:br/>
              <w:t>smoking habits</w:t>
            </w:r>
            <w:r w:rsidRPr="000F6DEF">
              <w:rPr>
                <w:rFonts w:cs="Calibri"/>
                <w:sz w:val="16"/>
                <w:szCs w:val="16"/>
              </w:rPr>
              <w:br/>
              <w:t>readiness to quit</w:t>
            </w:r>
            <w:r w:rsidRPr="000F6DEF">
              <w:rPr>
                <w:rFonts w:cs="Calibri"/>
                <w:sz w:val="16"/>
                <w:szCs w:val="16"/>
              </w:rPr>
              <w:br/>
              <w:t xml:space="preserve">smoking habits and </w:t>
            </w:r>
            <w:r>
              <w:rPr>
                <w:rFonts w:cs="Calibri"/>
                <w:sz w:val="16"/>
                <w:szCs w:val="16"/>
              </w:rPr>
              <w:t>e</w:t>
            </w:r>
            <w:r>
              <w:rPr>
                <w:rFonts w:cs="Calibri"/>
                <w:sz w:val="16"/>
                <w:szCs w:val="16"/>
              </w:rPr>
              <w:noBreakHyphen/>
              <w:t>cig</w:t>
            </w:r>
            <w:r w:rsidR="0013484F">
              <w:rPr>
                <w:rFonts w:cs="Calibri"/>
                <w:sz w:val="16"/>
                <w:szCs w:val="16"/>
              </w:rPr>
              <w:t xml:space="preserve">arette use, </w:t>
            </w:r>
            <w:r w:rsidRPr="000F6DEF">
              <w:rPr>
                <w:rFonts w:cs="Calibri"/>
                <w:sz w:val="16"/>
                <w:szCs w:val="16"/>
              </w:rPr>
              <w:t>e</w:t>
            </w:r>
            <w:r w:rsidRPr="000F6DEF">
              <w:rPr>
                <w:rFonts w:cs="Calibri"/>
                <w:sz w:val="16"/>
                <w:szCs w:val="16"/>
              </w:rPr>
              <w:noBreakHyphen/>
              <w:t>health records</w:t>
            </w:r>
          </w:p>
        </w:tc>
      </w:tr>
      <w:tr w:rsidR="00B85C33" w:rsidRPr="000F6DEF" w14:paraId="6AA814C3" w14:textId="77777777" w:rsidTr="0006504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89" w:type="dxa"/>
          </w:tcPr>
          <w:p w14:paraId="6365B01E" w14:textId="77777777" w:rsidR="00B85C33" w:rsidRPr="000F6DEF" w:rsidRDefault="00B85C33" w:rsidP="000376C7">
            <w:pPr>
              <w:rPr>
                <w:rFonts w:cs="Calibri"/>
                <w:sz w:val="16"/>
                <w:szCs w:val="16"/>
              </w:rPr>
            </w:pPr>
            <w:r w:rsidRPr="000F6DEF">
              <w:rPr>
                <w:rFonts w:cs="Calibri"/>
                <w:sz w:val="16"/>
                <w:szCs w:val="16"/>
              </w:rPr>
              <w:t>Kalkhoran, Yuan, Alvarado, Satterfield</w:t>
            </w:r>
          </w:p>
        </w:tc>
        <w:tc>
          <w:tcPr>
            <w:tcW w:w="2469" w:type="dxa"/>
          </w:tcPr>
          <w:p w14:paraId="4F226103"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We aimed to identify how and why smokers in primary care use </w:t>
            </w:r>
            <w:r>
              <w:rPr>
                <w:rFonts w:cs="Calibri"/>
                <w:sz w:val="16"/>
                <w:szCs w:val="16"/>
              </w:rPr>
              <w:t>e</w:t>
            </w:r>
            <w:r>
              <w:rPr>
                <w:rFonts w:cs="Calibri"/>
                <w:sz w:val="16"/>
                <w:szCs w:val="16"/>
              </w:rPr>
              <w:noBreakHyphen/>
              <w:t>cig</w:t>
            </w:r>
            <w:r w:rsidRPr="000F6DEF">
              <w:rPr>
                <w:rFonts w:cs="Calibri"/>
                <w:sz w:val="16"/>
                <w:szCs w:val="16"/>
              </w:rPr>
              <w:t>arettes.</w:t>
            </w:r>
          </w:p>
        </w:tc>
        <w:tc>
          <w:tcPr>
            <w:tcW w:w="1414" w:type="dxa"/>
          </w:tcPr>
          <w:p w14:paraId="74F0A26D"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Sample based on a smoking cessation program delivered through primary care</w:t>
            </w:r>
          </w:p>
        </w:tc>
        <w:tc>
          <w:tcPr>
            <w:tcW w:w="1289" w:type="dxa"/>
          </w:tcPr>
          <w:p w14:paraId="4E9436D8"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California, US</w:t>
            </w:r>
          </w:p>
        </w:tc>
        <w:tc>
          <w:tcPr>
            <w:tcW w:w="1032" w:type="dxa"/>
          </w:tcPr>
          <w:p w14:paraId="2708D111"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NR</w:t>
            </w:r>
          </w:p>
        </w:tc>
        <w:tc>
          <w:tcPr>
            <w:tcW w:w="2217" w:type="dxa"/>
          </w:tcPr>
          <w:p w14:paraId="18492F6D"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718</w:t>
            </w:r>
          </w:p>
        </w:tc>
        <w:tc>
          <w:tcPr>
            <w:tcW w:w="2092" w:type="dxa"/>
          </w:tcPr>
          <w:p w14:paraId="4AAD2F8E"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Cross</w:t>
            </w:r>
            <w:r w:rsidRPr="000F6DEF">
              <w:rPr>
                <w:rFonts w:cs="Calibri"/>
                <w:sz w:val="16"/>
                <w:szCs w:val="16"/>
              </w:rPr>
              <w:noBreakHyphen/>
              <w:t>sectional secondary data analysis from a randomized controlled trial of a tablet intervention to deliver the 5As for smoking cessation in primary care.</w:t>
            </w:r>
          </w:p>
        </w:tc>
        <w:tc>
          <w:tcPr>
            <w:tcW w:w="1735" w:type="dxa"/>
          </w:tcPr>
          <w:p w14:paraId="710634F2"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NR</w:t>
            </w:r>
          </w:p>
        </w:tc>
        <w:tc>
          <w:tcPr>
            <w:tcW w:w="1418" w:type="dxa"/>
          </w:tcPr>
          <w:p w14:paraId="162A2A5E"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w:t>
            </w:r>
          </w:p>
        </w:tc>
      </w:tr>
      <w:tr w:rsidR="00B85C33" w:rsidRPr="000F6DEF" w14:paraId="751A7EF8" w14:textId="77777777" w:rsidTr="00065046">
        <w:trPr>
          <w:trHeight w:val="567"/>
        </w:trPr>
        <w:tc>
          <w:tcPr>
            <w:cnfStyle w:val="001000000000" w:firstRow="0" w:lastRow="0" w:firstColumn="1" w:lastColumn="0" w:oddVBand="0" w:evenVBand="0" w:oddHBand="0" w:evenHBand="0" w:firstRowFirstColumn="0" w:firstRowLastColumn="0" w:lastRowFirstColumn="0" w:lastRowLastColumn="0"/>
            <w:tcW w:w="1389" w:type="dxa"/>
          </w:tcPr>
          <w:p w14:paraId="4D317B05" w14:textId="77777777" w:rsidR="00B85C33" w:rsidRPr="000F6DEF" w:rsidRDefault="00B85C33" w:rsidP="000376C7">
            <w:pPr>
              <w:rPr>
                <w:rFonts w:cs="Calibri"/>
                <w:sz w:val="16"/>
                <w:szCs w:val="16"/>
              </w:rPr>
            </w:pPr>
            <w:r w:rsidRPr="000F6DEF">
              <w:rPr>
                <w:rFonts w:cs="Calibri"/>
                <w:sz w:val="16"/>
                <w:szCs w:val="16"/>
              </w:rPr>
              <w:t>Mendy, Vargas, Cannon</w:t>
            </w:r>
            <w:r w:rsidRPr="000F6DEF">
              <w:rPr>
                <w:rFonts w:cs="Calibri"/>
                <w:sz w:val="16"/>
                <w:szCs w:val="16"/>
              </w:rPr>
              <w:noBreakHyphen/>
              <w:t>Smith et al</w:t>
            </w:r>
          </w:p>
        </w:tc>
        <w:tc>
          <w:tcPr>
            <w:tcW w:w="2469" w:type="dxa"/>
          </w:tcPr>
          <w:p w14:paraId="7E494428" w14:textId="77777777" w:rsidR="00B85C33" w:rsidRPr="000F6DEF" w:rsidRDefault="0013484F"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Pr>
                <w:rFonts w:cs="Calibri"/>
                <w:sz w:val="16"/>
                <w:szCs w:val="16"/>
              </w:rPr>
              <w:t>To</w:t>
            </w:r>
            <w:r w:rsidR="00B85C33" w:rsidRPr="000F6DEF">
              <w:rPr>
                <w:rFonts w:cs="Calibri"/>
                <w:sz w:val="16"/>
                <w:szCs w:val="16"/>
              </w:rPr>
              <w:t xml:space="preserve"> identify differences and associations in </w:t>
            </w:r>
            <w:r w:rsidR="00B85C33">
              <w:rPr>
                <w:rFonts w:cs="Calibri"/>
                <w:sz w:val="16"/>
                <w:szCs w:val="16"/>
              </w:rPr>
              <w:t>e</w:t>
            </w:r>
            <w:r w:rsidR="00B85C33">
              <w:rPr>
                <w:rFonts w:cs="Calibri"/>
                <w:sz w:val="16"/>
                <w:szCs w:val="16"/>
              </w:rPr>
              <w:noBreakHyphen/>
              <w:t>cig</w:t>
            </w:r>
            <w:r w:rsidR="00B85C33" w:rsidRPr="000F6DEF">
              <w:rPr>
                <w:rFonts w:cs="Calibri"/>
                <w:sz w:val="16"/>
                <w:szCs w:val="16"/>
              </w:rPr>
              <w:t xml:space="preserve">arette use by sociodemographic characteristics and describe the reported reasons for initiating use among Mississippi adults. </w:t>
            </w:r>
          </w:p>
        </w:tc>
        <w:tc>
          <w:tcPr>
            <w:tcW w:w="1414" w:type="dxa"/>
          </w:tcPr>
          <w:p w14:paraId="5BC8AE76"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Mississippi Behavioural Risk Factor Surveillance System</w:t>
            </w:r>
          </w:p>
        </w:tc>
        <w:tc>
          <w:tcPr>
            <w:tcW w:w="1289" w:type="dxa"/>
          </w:tcPr>
          <w:p w14:paraId="3CD9CF7E"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Mississippi, US</w:t>
            </w:r>
          </w:p>
        </w:tc>
        <w:tc>
          <w:tcPr>
            <w:tcW w:w="1032" w:type="dxa"/>
          </w:tcPr>
          <w:p w14:paraId="0AF9DA76"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2015</w:t>
            </w:r>
          </w:p>
        </w:tc>
        <w:tc>
          <w:tcPr>
            <w:tcW w:w="2217" w:type="dxa"/>
          </w:tcPr>
          <w:p w14:paraId="2E3E917F"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6,035</w:t>
            </w:r>
          </w:p>
          <w:p w14:paraId="31608A8E"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Mean age: 46.8</w:t>
            </w:r>
          </w:p>
          <w:p w14:paraId="5FB0461F"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48% male</w:t>
            </w:r>
          </w:p>
        </w:tc>
        <w:tc>
          <w:tcPr>
            <w:tcW w:w="2092" w:type="dxa"/>
          </w:tcPr>
          <w:p w14:paraId="087EF99E" w14:textId="6B63008C" w:rsidR="00B85C33" w:rsidRPr="000F6DEF" w:rsidRDefault="007B1B17"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Pr>
                <w:rFonts w:cs="Calibri"/>
                <w:sz w:val="16"/>
                <w:szCs w:val="16"/>
              </w:rPr>
              <w:t>S</w:t>
            </w:r>
            <w:r w:rsidR="00B85C33" w:rsidRPr="000F6DEF">
              <w:rPr>
                <w:rFonts w:cs="Calibri"/>
                <w:sz w:val="16"/>
                <w:szCs w:val="16"/>
              </w:rPr>
              <w:t>tate</w:t>
            </w:r>
            <w:r w:rsidR="00B85C33" w:rsidRPr="000F6DEF">
              <w:rPr>
                <w:rFonts w:cs="Calibri"/>
                <w:sz w:val="16"/>
                <w:szCs w:val="16"/>
              </w:rPr>
              <w:noBreakHyphen/>
              <w:t>based, random</w:t>
            </w:r>
            <w:r w:rsidR="00B85C33" w:rsidRPr="000F6DEF">
              <w:rPr>
                <w:rFonts w:cs="Calibri"/>
                <w:sz w:val="16"/>
                <w:szCs w:val="16"/>
              </w:rPr>
              <w:noBreakHyphen/>
              <w:t>digit</w:t>
            </w:r>
            <w:r w:rsidR="00B85C33" w:rsidRPr="000F6DEF">
              <w:rPr>
                <w:rFonts w:cs="Calibri"/>
                <w:sz w:val="16"/>
                <w:szCs w:val="16"/>
              </w:rPr>
              <w:noBreakHyphen/>
              <w:t>dialled telephone survey</w:t>
            </w:r>
          </w:p>
        </w:tc>
        <w:tc>
          <w:tcPr>
            <w:tcW w:w="1735" w:type="dxa"/>
          </w:tcPr>
          <w:p w14:paraId="0A3ADA86"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BRFSS data included both landline and</w:t>
            </w:r>
            <w:r w:rsidRPr="000F6DEF">
              <w:rPr>
                <w:rFonts w:cs="Calibri"/>
                <w:sz w:val="16"/>
                <w:szCs w:val="16"/>
              </w:rPr>
              <w:br/>
              <w:t>cell phone surveys</w:t>
            </w:r>
          </w:p>
        </w:tc>
        <w:tc>
          <w:tcPr>
            <w:tcW w:w="1418" w:type="dxa"/>
          </w:tcPr>
          <w:p w14:paraId="0EDDFC08"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Pr>
                <w:rFonts w:cs="Calibri"/>
                <w:sz w:val="16"/>
                <w:szCs w:val="16"/>
              </w:rPr>
              <w:t>E</w:t>
            </w:r>
            <w:r>
              <w:rPr>
                <w:rFonts w:cs="Calibri"/>
                <w:sz w:val="16"/>
                <w:szCs w:val="16"/>
              </w:rPr>
              <w:noBreakHyphen/>
              <w:t>cig</w:t>
            </w:r>
            <w:r w:rsidRPr="000F6DEF">
              <w:rPr>
                <w:rFonts w:cs="Calibri"/>
                <w:sz w:val="16"/>
                <w:szCs w:val="16"/>
              </w:rPr>
              <w:t>arette use, frequency and reasons for trying</w:t>
            </w:r>
            <w:r w:rsidRPr="000F6DEF">
              <w:rPr>
                <w:rFonts w:cs="Calibri"/>
                <w:sz w:val="16"/>
                <w:szCs w:val="16"/>
              </w:rPr>
              <w:br/>
              <w:t>Demographics</w:t>
            </w:r>
          </w:p>
        </w:tc>
      </w:tr>
      <w:tr w:rsidR="00B85C33" w:rsidRPr="000F6DEF" w14:paraId="57D4EFF8" w14:textId="77777777" w:rsidTr="0006504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89" w:type="dxa"/>
          </w:tcPr>
          <w:p w14:paraId="1485D58D" w14:textId="77777777" w:rsidR="00B85C33" w:rsidRPr="000F6DEF" w:rsidRDefault="00B85C33" w:rsidP="000376C7">
            <w:pPr>
              <w:rPr>
                <w:rFonts w:cs="Calibri"/>
                <w:sz w:val="16"/>
                <w:szCs w:val="16"/>
              </w:rPr>
            </w:pPr>
            <w:r w:rsidRPr="000F6DEF">
              <w:rPr>
                <w:rFonts w:cs="Calibri"/>
                <w:sz w:val="16"/>
                <w:szCs w:val="16"/>
              </w:rPr>
              <w:t>O'Gara, Sharma, Boyle, Taylor</w:t>
            </w:r>
          </w:p>
        </w:tc>
        <w:tc>
          <w:tcPr>
            <w:tcW w:w="2469" w:type="dxa"/>
          </w:tcPr>
          <w:p w14:paraId="6D5E3399"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This study examines patterns of exclusive cigarette and polyuse among adult smokers in Minnesota.</w:t>
            </w:r>
          </w:p>
        </w:tc>
        <w:tc>
          <w:tcPr>
            <w:tcW w:w="1414" w:type="dxa"/>
          </w:tcPr>
          <w:p w14:paraId="51EE6952"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Minnesota Adult Tobacco Survey (MATS) </w:t>
            </w:r>
          </w:p>
        </w:tc>
        <w:tc>
          <w:tcPr>
            <w:tcW w:w="1289" w:type="dxa"/>
          </w:tcPr>
          <w:p w14:paraId="424B48A1"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Minnesota, US</w:t>
            </w:r>
          </w:p>
        </w:tc>
        <w:tc>
          <w:tcPr>
            <w:tcW w:w="1032" w:type="dxa"/>
          </w:tcPr>
          <w:p w14:paraId="5D2E1A29"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1999</w:t>
            </w:r>
            <w:r w:rsidRPr="000F6DEF">
              <w:rPr>
                <w:rFonts w:cs="Calibri"/>
                <w:sz w:val="16"/>
                <w:szCs w:val="16"/>
              </w:rPr>
              <w:noBreakHyphen/>
              <w:t>2014</w:t>
            </w:r>
          </w:p>
        </w:tc>
        <w:tc>
          <w:tcPr>
            <w:tcW w:w="2217" w:type="dxa"/>
          </w:tcPr>
          <w:p w14:paraId="4CAE7049" w14:textId="3049BE64"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1999 n=5</w:t>
            </w:r>
            <w:r w:rsidR="007B1B17">
              <w:rPr>
                <w:rFonts w:cs="Calibri"/>
                <w:sz w:val="16"/>
                <w:szCs w:val="16"/>
              </w:rPr>
              <w:t>,</w:t>
            </w:r>
            <w:r w:rsidRPr="000F6DEF">
              <w:rPr>
                <w:rFonts w:cs="Calibri"/>
                <w:sz w:val="16"/>
                <w:szCs w:val="16"/>
              </w:rPr>
              <w:t>968</w:t>
            </w:r>
            <w:r w:rsidRPr="000F6DEF">
              <w:rPr>
                <w:rFonts w:cs="Calibri"/>
                <w:sz w:val="16"/>
                <w:szCs w:val="16"/>
              </w:rPr>
              <w:br/>
              <w:t>2003 n=8</w:t>
            </w:r>
            <w:r w:rsidR="007B1B17">
              <w:rPr>
                <w:rFonts w:cs="Calibri"/>
                <w:sz w:val="16"/>
                <w:szCs w:val="16"/>
              </w:rPr>
              <w:t>,</w:t>
            </w:r>
            <w:r w:rsidRPr="000F6DEF">
              <w:rPr>
                <w:rFonts w:cs="Calibri"/>
                <w:sz w:val="16"/>
                <w:szCs w:val="16"/>
              </w:rPr>
              <w:t>782</w:t>
            </w:r>
            <w:r w:rsidRPr="000F6DEF">
              <w:rPr>
                <w:rFonts w:cs="Calibri"/>
                <w:sz w:val="16"/>
                <w:szCs w:val="16"/>
              </w:rPr>
              <w:br/>
              <w:t>2007 n=12,580</w:t>
            </w:r>
            <w:r w:rsidRPr="000F6DEF">
              <w:rPr>
                <w:rFonts w:cs="Calibri"/>
                <w:sz w:val="16"/>
                <w:szCs w:val="16"/>
              </w:rPr>
              <w:br/>
              <w:t>2010 n=7</w:t>
            </w:r>
            <w:r w:rsidR="007B1B17">
              <w:rPr>
                <w:rFonts w:cs="Calibri"/>
                <w:sz w:val="16"/>
                <w:szCs w:val="16"/>
              </w:rPr>
              <w:t>,</w:t>
            </w:r>
            <w:r w:rsidRPr="000F6DEF">
              <w:rPr>
                <w:rFonts w:cs="Calibri"/>
                <w:sz w:val="16"/>
                <w:szCs w:val="16"/>
              </w:rPr>
              <w:t>057</w:t>
            </w:r>
            <w:r w:rsidRPr="000F6DEF">
              <w:rPr>
                <w:rFonts w:cs="Calibri"/>
                <w:sz w:val="16"/>
                <w:szCs w:val="16"/>
              </w:rPr>
              <w:br/>
              <w:t>2014 n=9</w:t>
            </w:r>
            <w:r w:rsidR="007B1B17">
              <w:rPr>
                <w:rFonts w:cs="Calibri"/>
                <w:sz w:val="16"/>
                <w:szCs w:val="16"/>
              </w:rPr>
              <w:t>,</w:t>
            </w:r>
            <w:r w:rsidRPr="000F6DEF">
              <w:rPr>
                <w:rFonts w:cs="Calibri"/>
                <w:sz w:val="16"/>
                <w:szCs w:val="16"/>
              </w:rPr>
              <w:t>304</w:t>
            </w:r>
          </w:p>
        </w:tc>
        <w:tc>
          <w:tcPr>
            <w:tcW w:w="2092" w:type="dxa"/>
          </w:tcPr>
          <w:p w14:paraId="5B166EBE" w14:textId="0576E4A0" w:rsidR="00B85C33" w:rsidRPr="000F6DEF" w:rsidRDefault="007B1B17"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Pr>
                <w:rFonts w:cs="Calibri"/>
                <w:sz w:val="16"/>
                <w:szCs w:val="16"/>
              </w:rPr>
              <w:t>R</w:t>
            </w:r>
            <w:r w:rsidR="00B85C33" w:rsidRPr="000F6DEF">
              <w:rPr>
                <w:rFonts w:cs="Calibri"/>
                <w:sz w:val="16"/>
                <w:szCs w:val="16"/>
              </w:rPr>
              <w:t>andom digit dealing sample method for landlines and</w:t>
            </w:r>
            <w:r w:rsidR="00B85C33" w:rsidRPr="000F6DEF">
              <w:rPr>
                <w:rFonts w:cs="Calibri"/>
                <w:sz w:val="16"/>
                <w:szCs w:val="16"/>
              </w:rPr>
              <w:br/>
              <w:t xml:space="preserve">(starting in 2010) cell telephones </w:t>
            </w:r>
          </w:p>
        </w:tc>
        <w:tc>
          <w:tcPr>
            <w:tcW w:w="1735" w:type="dxa"/>
          </w:tcPr>
          <w:p w14:paraId="06A36125"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Telephone interviews</w:t>
            </w:r>
          </w:p>
        </w:tc>
        <w:tc>
          <w:tcPr>
            <w:tcW w:w="1418" w:type="dxa"/>
          </w:tcPr>
          <w:p w14:paraId="44D26E0E" w14:textId="0BE1AE5F" w:rsidR="00B85C33" w:rsidRPr="000F6DEF" w:rsidRDefault="00B85C33" w:rsidP="0013484F">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Demographics</w:t>
            </w:r>
            <w:r w:rsidRPr="000F6DEF">
              <w:rPr>
                <w:rFonts w:cs="Calibri"/>
                <w:sz w:val="16"/>
                <w:szCs w:val="16"/>
              </w:rPr>
              <w:br/>
              <w:t>Current use cig</w:t>
            </w:r>
            <w:r w:rsidR="008F4D73">
              <w:rPr>
                <w:rFonts w:cs="Calibri"/>
                <w:sz w:val="16"/>
                <w:szCs w:val="16"/>
              </w:rPr>
              <w:t>arette</w:t>
            </w:r>
            <w:r w:rsidR="0013484F">
              <w:rPr>
                <w:rFonts w:cs="Calibri"/>
                <w:sz w:val="16"/>
                <w:szCs w:val="16"/>
              </w:rPr>
              <w:t xml:space="preserve">, </w:t>
            </w:r>
            <w:r>
              <w:rPr>
                <w:rFonts w:cs="Calibri"/>
                <w:sz w:val="16"/>
                <w:szCs w:val="16"/>
              </w:rPr>
              <w:t>e</w:t>
            </w:r>
            <w:r>
              <w:rPr>
                <w:rFonts w:cs="Calibri"/>
                <w:sz w:val="16"/>
                <w:szCs w:val="16"/>
              </w:rPr>
              <w:noBreakHyphen/>
              <w:t>cig</w:t>
            </w:r>
            <w:r w:rsidR="008F4D73">
              <w:rPr>
                <w:rFonts w:cs="Calibri"/>
                <w:sz w:val="16"/>
                <w:szCs w:val="16"/>
              </w:rPr>
              <w:t>arette</w:t>
            </w:r>
            <w:r w:rsidR="0013484F">
              <w:rPr>
                <w:rFonts w:cs="Calibri"/>
                <w:sz w:val="16"/>
                <w:szCs w:val="16"/>
              </w:rPr>
              <w:t xml:space="preserve">. Use of </w:t>
            </w:r>
            <w:r w:rsidRPr="000F6DEF">
              <w:rPr>
                <w:rFonts w:cs="Calibri"/>
                <w:sz w:val="16"/>
                <w:szCs w:val="16"/>
              </w:rPr>
              <w:t>other tobacco products</w:t>
            </w:r>
            <w:r w:rsidRPr="000F6DEF">
              <w:rPr>
                <w:rFonts w:cs="Calibri"/>
                <w:sz w:val="16"/>
                <w:szCs w:val="16"/>
              </w:rPr>
              <w:br/>
            </w:r>
            <w:r>
              <w:rPr>
                <w:rFonts w:cs="Calibri"/>
                <w:sz w:val="16"/>
                <w:szCs w:val="16"/>
              </w:rPr>
              <w:t>e</w:t>
            </w:r>
            <w:r>
              <w:rPr>
                <w:rFonts w:cs="Calibri"/>
                <w:sz w:val="16"/>
                <w:szCs w:val="16"/>
              </w:rPr>
              <w:noBreakHyphen/>
              <w:t>cig</w:t>
            </w:r>
            <w:r w:rsidRPr="000F6DEF">
              <w:rPr>
                <w:rFonts w:cs="Calibri"/>
                <w:sz w:val="16"/>
                <w:szCs w:val="16"/>
              </w:rPr>
              <w:t>arette only added in 2010</w:t>
            </w:r>
            <w:r w:rsidRPr="000F6DEF">
              <w:rPr>
                <w:rFonts w:cs="Calibri"/>
                <w:sz w:val="16"/>
                <w:szCs w:val="16"/>
              </w:rPr>
              <w:br/>
              <w:t xml:space="preserve">Smoking dependence </w:t>
            </w:r>
            <w:r w:rsidRPr="000F6DEF">
              <w:rPr>
                <w:rFonts w:cs="Calibri"/>
                <w:sz w:val="16"/>
                <w:szCs w:val="16"/>
              </w:rPr>
              <w:br/>
              <w:t>Recent quit attempts</w:t>
            </w:r>
            <w:r w:rsidRPr="000F6DEF">
              <w:rPr>
                <w:rFonts w:cs="Calibri"/>
                <w:sz w:val="16"/>
                <w:szCs w:val="16"/>
              </w:rPr>
              <w:br/>
              <w:t>Smoking intensity</w:t>
            </w:r>
          </w:p>
        </w:tc>
      </w:tr>
    </w:tbl>
    <w:p w14:paraId="1F06D19D" w14:textId="77777777" w:rsidR="00B85C33" w:rsidRDefault="00B85C33" w:rsidP="00B85C33">
      <w:pPr>
        <w:spacing w:after="0"/>
        <w:rPr>
          <w:b/>
          <w:bCs/>
          <w:color w:val="007E9A" w:themeColor="accent1" w:themeShade="BF"/>
          <w:sz w:val="20"/>
          <w:szCs w:val="18"/>
        </w:rPr>
      </w:pPr>
      <w:r>
        <w:lastRenderedPageBreak/>
        <w:br w:type="page"/>
      </w:r>
    </w:p>
    <w:p w14:paraId="63A449AD" w14:textId="77777777" w:rsidR="00B85C33" w:rsidRDefault="004C6D16" w:rsidP="004C6D16">
      <w:pPr>
        <w:pStyle w:val="Caption"/>
      </w:pPr>
      <w:bookmarkStart w:id="338" w:name="_Toc517707446"/>
      <w:r>
        <w:lastRenderedPageBreak/>
        <w:t xml:space="preserve">Table </w:t>
      </w:r>
      <w:r w:rsidR="0048064B">
        <w:rPr>
          <w:noProof/>
        </w:rPr>
        <w:fldChar w:fldCharType="begin"/>
      </w:r>
      <w:r w:rsidR="0048064B">
        <w:rPr>
          <w:noProof/>
        </w:rPr>
        <w:instrText xml:space="preserve"> SEQ Table \* ARABIC </w:instrText>
      </w:r>
      <w:r w:rsidR="0048064B">
        <w:rPr>
          <w:noProof/>
        </w:rPr>
        <w:fldChar w:fldCharType="separate"/>
      </w:r>
      <w:r w:rsidR="000C06DA">
        <w:rPr>
          <w:noProof/>
        </w:rPr>
        <w:t>37</w:t>
      </w:r>
      <w:r w:rsidR="0048064B">
        <w:rPr>
          <w:noProof/>
        </w:rPr>
        <w:fldChar w:fldCharType="end"/>
      </w:r>
      <w:r w:rsidR="00B85C33" w:rsidRPr="006C1322">
        <w:t>: Results of studies that were US non</w:t>
      </w:r>
      <w:r w:rsidR="00B85C33">
        <w:noBreakHyphen/>
      </w:r>
      <w:r w:rsidR="00B85C33" w:rsidRPr="006C1322">
        <w:t>national adults</w:t>
      </w:r>
      <w:bookmarkEnd w:id="338"/>
    </w:p>
    <w:tbl>
      <w:tblPr>
        <w:tblStyle w:val="TableCSIRO"/>
        <w:tblW w:w="15055" w:type="dxa"/>
        <w:tblLayout w:type="fixed"/>
        <w:tblLook w:val="04A0" w:firstRow="1" w:lastRow="0" w:firstColumn="1" w:lastColumn="0" w:noHBand="0" w:noVBand="1"/>
      </w:tblPr>
      <w:tblGrid>
        <w:gridCol w:w="1435"/>
        <w:gridCol w:w="2044"/>
        <w:gridCol w:w="6924"/>
        <w:gridCol w:w="4652"/>
      </w:tblGrid>
      <w:tr w:rsidR="00B85C33" w:rsidRPr="000F6DEF" w14:paraId="3D89EA9F" w14:textId="77777777" w:rsidTr="000376C7">
        <w:trPr>
          <w:cnfStyle w:val="100000000000" w:firstRow="1" w:lastRow="0" w:firstColumn="0" w:lastColumn="0" w:oddVBand="0" w:evenVBand="0" w:oddHBand="0" w:evenHBand="0" w:firstRowFirstColumn="0" w:firstRowLastColumn="0" w:lastRowFirstColumn="0" w:lastRowLastColumn="0"/>
          <w:trHeight w:val="94"/>
          <w:tblHeader/>
        </w:trPr>
        <w:tc>
          <w:tcPr>
            <w:cnfStyle w:val="001000000000" w:firstRow="0" w:lastRow="0" w:firstColumn="1" w:lastColumn="0" w:oddVBand="0" w:evenVBand="0" w:oddHBand="0" w:evenHBand="0" w:firstRowFirstColumn="0" w:firstRowLastColumn="0" w:lastRowFirstColumn="0" w:lastRowLastColumn="0"/>
            <w:tcW w:w="1435" w:type="dxa"/>
            <w:hideMark/>
          </w:tcPr>
          <w:p w14:paraId="30AB634A" w14:textId="77777777" w:rsidR="00B85C33" w:rsidRPr="000F6DEF" w:rsidRDefault="00B85C33" w:rsidP="000376C7">
            <w:pPr>
              <w:rPr>
                <w:color w:val="auto"/>
                <w:sz w:val="16"/>
                <w:szCs w:val="16"/>
              </w:rPr>
            </w:pPr>
            <w:r w:rsidRPr="000F6DEF">
              <w:rPr>
                <w:color w:val="auto"/>
                <w:sz w:val="16"/>
                <w:szCs w:val="16"/>
              </w:rPr>
              <w:t>Study reference</w:t>
            </w:r>
          </w:p>
        </w:tc>
        <w:tc>
          <w:tcPr>
            <w:tcW w:w="2044" w:type="dxa"/>
            <w:hideMark/>
          </w:tcPr>
          <w:p w14:paraId="3A0CE7DF" w14:textId="77777777" w:rsidR="00B85C33" w:rsidRPr="000F6DEF" w:rsidRDefault="00B85C33" w:rsidP="000376C7">
            <w:pPr>
              <w:cnfStyle w:val="100000000000" w:firstRow="1" w:lastRow="0" w:firstColumn="0" w:lastColumn="0" w:oddVBand="0" w:evenVBand="0" w:oddHBand="0" w:evenHBand="0" w:firstRowFirstColumn="0" w:firstRowLastColumn="0" w:lastRowFirstColumn="0" w:lastRowLastColumn="0"/>
              <w:rPr>
                <w:color w:val="auto"/>
                <w:sz w:val="16"/>
                <w:szCs w:val="16"/>
              </w:rPr>
            </w:pPr>
            <w:r w:rsidRPr="000F6DEF">
              <w:rPr>
                <w:color w:val="auto"/>
                <w:sz w:val="16"/>
                <w:szCs w:val="16"/>
              </w:rPr>
              <w:t>Purpose</w:t>
            </w:r>
          </w:p>
        </w:tc>
        <w:tc>
          <w:tcPr>
            <w:tcW w:w="6924" w:type="dxa"/>
            <w:hideMark/>
          </w:tcPr>
          <w:p w14:paraId="1C28359F" w14:textId="77777777" w:rsidR="00B85C33" w:rsidRPr="000F6DEF" w:rsidRDefault="00B85C33" w:rsidP="000376C7">
            <w:pPr>
              <w:cnfStyle w:val="100000000000" w:firstRow="1" w:lastRow="0" w:firstColumn="0" w:lastColumn="0" w:oddVBand="0" w:evenVBand="0" w:oddHBand="0" w:evenHBand="0" w:firstRowFirstColumn="0" w:firstRowLastColumn="0" w:lastRowFirstColumn="0" w:lastRowLastColumn="0"/>
              <w:rPr>
                <w:color w:val="auto"/>
                <w:sz w:val="16"/>
                <w:szCs w:val="16"/>
              </w:rPr>
            </w:pPr>
            <w:r w:rsidRPr="000F6DEF">
              <w:rPr>
                <w:color w:val="auto"/>
                <w:sz w:val="16"/>
                <w:szCs w:val="16"/>
              </w:rPr>
              <w:t>Results</w:t>
            </w:r>
          </w:p>
        </w:tc>
        <w:tc>
          <w:tcPr>
            <w:tcW w:w="4652" w:type="dxa"/>
            <w:hideMark/>
          </w:tcPr>
          <w:p w14:paraId="4D9DE5E9" w14:textId="77777777" w:rsidR="00B85C33" w:rsidRPr="000F6DEF" w:rsidRDefault="00B85C33" w:rsidP="000376C7">
            <w:pPr>
              <w:cnfStyle w:val="100000000000" w:firstRow="1" w:lastRow="0" w:firstColumn="0" w:lastColumn="0" w:oddVBand="0" w:evenVBand="0" w:oddHBand="0" w:evenHBand="0" w:firstRowFirstColumn="0" w:firstRowLastColumn="0" w:lastRowFirstColumn="0" w:lastRowLastColumn="0"/>
              <w:rPr>
                <w:color w:val="auto"/>
                <w:sz w:val="16"/>
                <w:szCs w:val="16"/>
              </w:rPr>
            </w:pPr>
            <w:r w:rsidRPr="000F6DEF">
              <w:rPr>
                <w:color w:val="auto"/>
                <w:sz w:val="16"/>
                <w:szCs w:val="16"/>
              </w:rPr>
              <w:t>Author conclusion</w:t>
            </w:r>
          </w:p>
        </w:tc>
      </w:tr>
      <w:tr w:rsidR="00B85C33" w:rsidRPr="000F6DEF" w14:paraId="7AB7635D" w14:textId="77777777" w:rsidTr="000376C7">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1435" w:type="dxa"/>
          </w:tcPr>
          <w:p w14:paraId="6EFA9A78" w14:textId="77777777" w:rsidR="00B85C33" w:rsidRPr="000F6DEF" w:rsidRDefault="00B85C33" w:rsidP="000376C7">
            <w:pPr>
              <w:spacing w:after="0"/>
              <w:rPr>
                <w:rFonts w:eastAsia="Times New Roman" w:cs="Calibri"/>
                <w:sz w:val="16"/>
                <w:szCs w:val="16"/>
              </w:rPr>
            </w:pPr>
            <w:r w:rsidRPr="000F6DEF">
              <w:rPr>
                <w:rFonts w:cs="Calibri"/>
                <w:sz w:val="16"/>
                <w:szCs w:val="16"/>
              </w:rPr>
              <w:t>Agarwal, Loukas, Perry</w:t>
            </w:r>
          </w:p>
        </w:tc>
        <w:tc>
          <w:tcPr>
            <w:tcW w:w="2044" w:type="dxa"/>
          </w:tcPr>
          <w:p w14:paraId="1F04DD17" w14:textId="2C03B4FE"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To examine the role of the social environment, normative beliefs, and attitudes in predicting subsequent ENDS initiation across a 1</w:t>
            </w:r>
            <w:r w:rsidRPr="000F6DEF">
              <w:rPr>
                <w:rFonts w:cs="Calibri"/>
                <w:sz w:val="16"/>
                <w:szCs w:val="16"/>
              </w:rPr>
              <w:noBreakHyphen/>
              <w:t>year period among 18</w:t>
            </w:r>
            <w:r w:rsidRPr="000F6DEF">
              <w:rPr>
                <w:rFonts w:cs="Calibri"/>
                <w:sz w:val="16"/>
                <w:szCs w:val="16"/>
              </w:rPr>
              <w:noBreakHyphen/>
              <w:t xml:space="preserve"> to 29</w:t>
            </w:r>
            <w:r w:rsidRPr="000F6DEF">
              <w:rPr>
                <w:rFonts w:cs="Calibri"/>
                <w:sz w:val="16"/>
                <w:szCs w:val="16"/>
              </w:rPr>
              <w:noBreakHyphen/>
              <w:t>year</w:t>
            </w:r>
            <w:r w:rsidRPr="000F6DEF">
              <w:rPr>
                <w:rFonts w:cs="Calibri"/>
                <w:sz w:val="16"/>
                <w:szCs w:val="16"/>
              </w:rPr>
              <w:noBreakHyphen/>
              <w:t>old college students</w:t>
            </w:r>
            <w:r w:rsidR="006E78E1">
              <w:rPr>
                <w:rFonts w:cs="Calibri"/>
                <w:sz w:val="16"/>
                <w:szCs w:val="16"/>
              </w:rPr>
              <w:t>.</w:t>
            </w:r>
          </w:p>
        </w:tc>
        <w:tc>
          <w:tcPr>
            <w:tcW w:w="6924" w:type="dxa"/>
          </w:tcPr>
          <w:p w14:paraId="18A279A0"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2,110 never users at baseline.</w:t>
            </w:r>
            <w:r w:rsidRPr="000F6DEF">
              <w:rPr>
                <w:rFonts w:cs="Calibri"/>
                <w:sz w:val="16"/>
                <w:szCs w:val="16"/>
              </w:rPr>
              <w:br/>
              <w:t>By Y1, 15.6% initiated use of ENDS, 10% at Wave 2, 6% at Wave 3. 329 initiators, and 27% did not use tobacco products at baseline.</w:t>
            </w:r>
            <w:r w:rsidRPr="000F6DEF">
              <w:rPr>
                <w:rFonts w:cs="Calibri"/>
                <w:sz w:val="16"/>
                <w:szCs w:val="16"/>
              </w:rPr>
              <w:br/>
              <w:t xml:space="preserve">Males and Hispanics more likely to initiate by Wave 3. Asians less likely. </w:t>
            </w:r>
            <w:r w:rsidRPr="000F6DEF">
              <w:rPr>
                <w:rFonts w:cs="Calibri"/>
                <w:sz w:val="16"/>
                <w:szCs w:val="16"/>
              </w:rPr>
              <w:br/>
              <w:t xml:space="preserve">Age and number of other tobacco products ever used predicted initiation of ENDS use. </w:t>
            </w:r>
            <w:r w:rsidRPr="000F6DEF">
              <w:rPr>
                <w:rFonts w:cs="Calibri"/>
                <w:sz w:val="16"/>
                <w:szCs w:val="16"/>
              </w:rPr>
              <w:br/>
              <w:t xml:space="preserve">Peer ENDS use and inclination to date someone who uses ENDS predicted increased odds of initiating ENDS </w:t>
            </w:r>
          </w:p>
        </w:tc>
        <w:tc>
          <w:tcPr>
            <w:tcW w:w="4652" w:type="dxa"/>
          </w:tcPr>
          <w:p w14:paraId="2C20A06E"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Tobacco prevention programs on college campuses should include ENDS as part of comprehensive tobacco control efforts to prevent the use of all types of tobacco products</w:t>
            </w:r>
          </w:p>
        </w:tc>
      </w:tr>
      <w:tr w:rsidR="00B85C33" w:rsidRPr="000F6DEF" w14:paraId="3FC844CE" w14:textId="77777777" w:rsidTr="000376C7">
        <w:trPr>
          <w:trHeight w:val="94"/>
        </w:trPr>
        <w:tc>
          <w:tcPr>
            <w:cnfStyle w:val="001000000000" w:firstRow="0" w:lastRow="0" w:firstColumn="1" w:lastColumn="0" w:oddVBand="0" w:evenVBand="0" w:oddHBand="0" w:evenHBand="0" w:firstRowFirstColumn="0" w:firstRowLastColumn="0" w:lastRowFirstColumn="0" w:lastRowLastColumn="0"/>
            <w:tcW w:w="1435" w:type="dxa"/>
          </w:tcPr>
          <w:p w14:paraId="686BEAF5" w14:textId="77777777" w:rsidR="00B85C33" w:rsidRPr="000F6DEF" w:rsidRDefault="00B85C33" w:rsidP="000376C7">
            <w:pPr>
              <w:rPr>
                <w:rFonts w:cs="Calibri"/>
                <w:sz w:val="16"/>
                <w:szCs w:val="16"/>
              </w:rPr>
            </w:pPr>
            <w:r w:rsidRPr="000F6DEF">
              <w:rPr>
                <w:rFonts w:cs="Calibri"/>
                <w:sz w:val="16"/>
                <w:szCs w:val="16"/>
              </w:rPr>
              <w:t>Amato, Boyle, Levy</w:t>
            </w:r>
          </w:p>
        </w:tc>
        <w:tc>
          <w:tcPr>
            <w:tcW w:w="2044" w:type="dxa"/>
          </w:tcPr>
          <w:p w14:paraId="0F21A2BB" w14:textId="2F446FF2"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Investigated the predictive validity of ENDS use frequency as a measure for likelihood of continued use, and cigarette smoking abstinence</w:t>
            </w:r>
            <w:r w:rsidR="006E78E1">
              <w:rPr>
                <w:rFonts w:cs="Calibri"/>
                <w:sz w:val="16"/>
                <w:szCs w:val="16"/>
              </w:rPr>
              <w:t>.</w:t>
            </w:r>
          </w:p>
        </w:tc>
        <w:tc>
          <w:tcPr>
            <w:tcW w:w="6924" w:type="dxa"/>
          </w:tcPr>
          <w:p w14:paraId="186C9EBA"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Daily use of ENDSs at T1 was closely associated with past 30</w:t>
            </w:r>
            <w:r w:rsidRPr="000F6DEF">
              <w:rPr>
                <w:rFonts w:cs="Calibri"/>
                <w:sz w:val="16"/>
                <w:szCs w:val="16"/>
              </w:rPr>
              <w:noBreakHyphen/>
              <w:t>day use at T2 across smokers and former smokers, while infrequent use at T1 was associated with not using at T2. Intermediate use was not signiﬁcantly predictive; however, the numerical pattern was similar to infrequent use.</w:t>
            </w:r>
          </w:p>
        </w:tc>
        <w:tc>
          <w:tcPr>
            <w:tcW w:w="4652" w:type="dxa"/>
          </w:tcPr>
          <w:p w14:paraId="1A12014A"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For adult population surveillance surveys, deﬁning current use prevalence as ‘any use in the past 30 days’ includes many individuals who can be expected to discontinue use within 1 year. Until measures of ENDS use become standardised, researchers should choose deﬁnitions carefully because different deﬁnitions are likely to yield different results.</w:t>
            </w:r>
          </w:p>
        </w:tc>
      </w:tr>
      <w:tr w:rsidR="00B85C33" w:rsidRPr="000F6DEF" w14:paraId="29CDE785" w14:textId="77777777" w:rsidTr="000376C7">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1435" w:type="dxa"/>
          </w:tcPr>
          <w:p w14:paraId="01047346" w14:textId="77777777" w:rsidR="00B85C33" w:rsidRPr="000F6DEF" w:rsidRDefault="00B85C33" w:rsidP="000376C7">
            <w:pPr>
              <w:rPr>
                <w:rFonts w:cs="Calibri"/>
                <w:sz w:val="16"/>
                <w:szCs w:val="16"/>
              </w:rPr>
            </w:pPr>
            <w:r w:rsidRPr="000F6DEF">
              <w:rPr>
                <w:rFonts w:cs="Calibri"/>
                <w:sz w:val="16"/>
                <w:szCs w:val="16"/>
              </w:rPr>
              <w:t>Bandiera, Loukas, Li et al</w:t>
            </w:r>
          </w:p>
        </w:tc>
        <w:tc>
          <w:tcPr>
            <w:tcW w:w="2044" w:type="dxa"/>
          </w:tcPr>
          <w:p w14:paraId="22C6EF24"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The main objective of the current study was to establish a potential bi</w:t>
            </w:r>
            <w:r w:rsidRPr="000F6DEF">
              <w:rPr>
                <w:rFonts w:cs="Calibri"/>
                <w:sz w:val="16"/>
                <w:szCs w:val="16"/>
              </w:rPr>
              <w:noBreakHyphen/>
              <w:t xml:space="preserve">directional relationship between </w:t>
            </w:r>
            <w:r>
              <w:rPr>
                <w:rFonts w:cs="Calibri"/>
                <w:sz w:val="16"/>
                <w:szCs w:val="16"/>
              </w:rPr>
              <w:t>e</w:t>
            </w:r>
            <w:r>
              <w:rPr>
                <w:rFonts w:cs="Calibri"/>
                <w:sz w:val="16"/>
                <w:szCs w:val="16"/>
              </w:rPr>
              <w:noBreakHyphen/>
              <w:t>cig</w:t>
            </w:r>
            <w:r w:rsidRPr="000F6DEF">
              <w:rPr>
                <w:rFonts w:cs="Calibri"/>
                <w:sz w:val="16"/>
                <w:szCs w:val="16"/>
              </w:rPr>
              <w:t>arette use and elevated depressive symptoms among college students in Texas, across a 1 year period of time.</w:t>
            </w:r>
          </w:p>
        </w:tc>
        <w:tc>
          <w:tcPr>
            <w:tcW w:w="6924" w:type="dxa"/>
          </w:tcPr>
          <w:p w14:paraId="44D10016"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Elevated depressive symptoms predicted </w:t>
            </w:r>
            <w:r>
              <w:rPr>
                <w:rFonts w:cs="Calibri"/>
                <w:sz w:val="16"/>
                <w:szCs w:val="16"/>
              </w:rPr>
              <w:t>e</w:t>
            </w:r>
            <w:r>
              <w:rPr>
                <w:rFonts w:cs="Calibri"/>
                <w:sz w:val="16"/>
                <w:szCs w:val="16"/>
              </w:rPr>
              <w:noBreakHyphen/>
              <w:t>cig</w:t>
            </w:r>
            <w:r w:rsidRPr="000F6DEF">
              <w:rPr>
                <w:rFonts w:cs="Calibri"/>
                <w:sz w:val="16"/>
                <w:szCs w:val="16"/>
              </w:rPr>
              <w:t>arette use 6 months later among a young adult college population, even after controlling for a variety of socio</w:t>
            </w:r>
            <w:r w:rsidRPr="000F6DEF">
              <w:rPr>
                <w:rFonts w:cs="Calibri"/>
                <w:sz w:val="16"/>
                <w:szCs w:val="16"/>
              </w:rPr>
              <w:noBreakHyphen/>
              <w:t xml:space="preserve">demographics and number of tobacco products used. No evidence that </w:t>
            </w:r>
            <w:r>
              <w:rPr>
                <w:rFonts w:cs="Calibri"/>
                <w:sz w:val="16"/>
                <w:szCs w:val="16"/>
              </w:rPr>
              <w:t>e</w:t>
            </w:r>
            <w:r>
              <w:rPr>
                <w:rFonts w:cs="Calibri"/>
                <w:sz w:val="16"/>
                <w:szCs w:val="16"/>
              </w:rPr>
              <w:noBreakHyphen/>
              <w:t>cig</w:t>
            </w:r>
            <w:r w:rsidRPr="000F6DEF">
              <w:rPr>
                <w:rFonts w:cs="Calibri"/>
                <w:sz w:val="16"/>
                <w:szCs w:val="16"/>
              </w:rPr>
              <w:t xml:space="preserve">arette use predicted elevated depressive symptoms. Despite the high levels of stability across time of depressive symptoms and </w:t>
            </w:r>
            <w:r>
              <w:rPr>
                <w:rFonts w:cs="Calibri"/>
                <w:sz w:val="16"/>
                <w:szCs w:val="16"/>
              </w:rPr>
              <w:t>e</w:t>
            </w:r>
            <w:r>
              <w:rPr>
                <w:rFonts w:cs="Calibri"/>
                <w:sz w:val="16"/>
                <w:szCs w:val="16"/>
              </w:rPr>
              <w:noBreakHyphen/>
              <w:t>cig</w:t>
            </w:r>
            <w:r w:rsidRPr="000F6DEF">
              <w:rPr>
                <w:rFonts w:cs="Calibri"/>
                <w:sz w:val="16"/>
                <w:szCs w:val="16"/>
              </w:rPr>
              <w:t xml:space="preserve">arette use (betas&gt;0.70), depressive symptoms were robust predictors of subsequent </w:t>
            </w:r>
            <w:r>
              <w:rPr>
                <w:rFonts w:cs="Calibri"/>
                <w:sz w:val="16"/>
                <w:szCs w:val="16"/>
              </w:rPr>
              <w:t>e</w:t>
            </w:r>
            <w:r>
              <w:rPr>
                <w:rFonts w:cs="Calibri"/>
                <w:sz w:val="16"/>
                <w:szCs w:val="16"/>
              </w:rPr>
              <w:noBreakHyphen/>
              <w:t>cig</w:t>
            </w:r>
            <w:r w:rsidRPr="000F6DEF">
              <w:rPr>
                <w:rFonts w:cs="Calibri"/>
                <w:sz w:val="16"/>
                <w:szCs w:val="16"/>
              </w:rPr>
              <w:t>arette use 6 months later</w:t>
            </w:r>
          </w:p>
        </w:tc>
        <w:tc>
          <w:tcPr>
            <w:tcW w:w="4652" w:type="dxa"/>
          </w:tcPr>
          <w:p w14:paraId="20FD2054"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This study established a temporal relationship, such that elevated depressive symptoms predicted </w:t>
            </w:r>
            <w:r>
              <w:rPr>
                <w:rFonts w:cs="Calibri"/>
                <w:sz w:val="16"/>
                <w:szCs w:val="16"/>
              </w:rPr>
              <w:t>e</w:t>
            </w:r>
            <w:r>
              <w:rPr>
                <w:rFonts w:cs="Calibri"/>
                <w:sz w:val="16"/>
                <w:szCs w:val="16"/>
              </w:rPr>
              <w:noBreakHyphen/>
              <w:t>cig</w:t>
            </w:r>
            <w:r w:rsidRPr="000F6DEF">
              <w:rPr>
                <w:rFonts w:cs="Calibri"/>
                <w:sz w:val="16"/>
                <w:szCs w:val="16"/>
              </w:rPr>
              <w:t xml:space="preserve">arette use 6 months later among college students. </w:t>
            </w:r>
          </w:p>
        </w:tc>
      </w:tr>
      <w:tr w:rsidR="00B85C33" w:rsidRPr="000F6DEF" w14:paraId="7C49943D" w14:textId="77777777" w:rsidTr="000376C7">
        <w:trPr>
          <w:trHeight w:val="94"/>
        </w:trPr>
        <w:tc>
          <w:tcPr>
            <w:cnfStyle w:val="001000000000" w:firstRow="0" w:lastRow="0" w:firstColumn="1" w:lastColumn="0" w:oddVBand="0" w:evenVBand="0" w:oddHBand="0" w:evenHBand="0" w:firstRowFirstColumn="0" w:firstRowLastColumn="0" w:lastRowFirstColumn="0" w:lastRowLastColumn="0"/>
            <w:tcW w:w="1435" w:type="dxa"/>
          </w:tcPr>
          <w:p w14:paraId="5B37AB36" w14:textId="77777777" w:rsidR="00B85C33" w:rsidRPr="000F6DEF" w:rsidRDefault="00B85C33" w:rsidP="000376C7">
            <w:pPr>
              <w:rPr>
                <w:rFonts w:cs="Calibri"/>
                <w:sz w:val="16"/>
                <w:szCs w:val="16"/>
              </w:rPr>
            </w:pPr>
            <w:r w:rsidRPr="000F6DEF">
              <w:rPr>
                <w:rFonts w:cs="Calibri"/>
                <w:sz w:val="16"/>
                <w:szCs w:val="16"/>
              </w:rPr>
              <w:t>Case, Loukas, Harrell et al</w:t>
            </w:r>
          </w:p>
        </w:tc>
        <w:tc>
          <w:tcPr>
            <w:tcW w:w="2044" w:type="dxa"/>
          </w:tcPr>
          <w:p w14:paraId="01B024EA"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To examine the associations between sensation seeking and ever and current </w:t>
            </w:r>
            <w:r>
              <w:rPr>
                <w:rFonts w:cs="Calibri"/>
                <w:sz w:val="16"/>
                <w:szCs w:val="16"/>
              </w:rPr>
              <w:t>e</w:t>
            </w:r>
            <w:r>
              <w:rPr>
                <w:rFonts w:cs="Calibri"/>
                <w:sz w:val="16"/>
                <w:szCs w:val="16"/>
              </w:rPr>
              <w:noBreakHyphen/>
              <w:t>cig</w:t>
            </w:r>
            <w:r w:rsidRPr="000F6DEF">
              <w:rPr>
                <w:rFonts w:cs="Calibri"/>
                <w:sz w:val="16"/>
                <w:szCs w:val="16"/>
              </w:rPr>
              <w:t>arette use in Texas young adults (18–29 years old).</w:t>
            </w:r>
          </w:p>
        </w:tc>
        <w:tc>
          <w:tcPr>
            <w:tcW w:w="6924" w:type="dxa"/>
          </w:tcPr>
          <w:p w14:paraId="5D84E6DE"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A higher proportion of ever users were men, current cigarette smokers, and current alcohol users, as compared to never </w:t>
            </w:r>
            <w:r>
              <w:rPr>
                <w:rFonts w:cs="Calibri"/>
                <w:sz w:val="16"/>
                <w:szCs w:val="16"/>
              </w:rPr>
              <w:t>e</w:t>
            </w:r>
            <w:r>
              <w:rPr>
                <w:rFonts w:cs="Calibri"/>
                <w:sz w:val="16"/>
                <w:szCs w:val="16"/>
              </w:rPr>
              <w:noBreakHyphen/>
              <w:t>cig</w:t>
            </w:r>
            <w:r w:rsidRPr="000F6DEF">
              <w:rPr>
                <w:rFonts w:cs="Calibri"/>
                <w:sz w:val="16"/>
                <w:szCs w:val="16"/>
              </w:rPr>
              <w:t xml:space="preserve">arette users. </w:t>
            </w:r>
            <w:r w:rsidRPr="000F6DEF">
              <w:rPr>
                <w:rFonts w:cs="Calibri"/>
                <w:sz w:val="16"/>
                <w:szCs w:val="16"/>
              </w:rPr>
              <w:br/>
              <w:t xml:space="preserve">The crude OR indicates that young adults with higher mean sensation seeking scores had significantly higher odds of current </w:t>
            </w:r>
            <w:r>
              <w:rPr>
                <w:rFonts w:cs="Calibri"/>
                <w:sz w:val="16"/>
                <w:szCs w:val="16"/>
              </w:rPr>
              <w:t>e</w:t>
            </w:r>
            <w:r>
              <w:rPr>
                <w:rFonts w:cs="Calibri"/>
                <w:sz w:val="16"/>
                <w:szCs w:val="16"/>
              </w:rPr>
              <w:noBreakHyphen/>
              <w:t>cig</w:t>
            </w:r>
            <w:r w:rsidRPr="000F6DEF">
              <w:rPr>
                <w:rFonts w:cs="Calibri"/>
                <w:sz w:val="16"/>
                <w:szCs w:val="16"/>
              </w:rPr>
              <w:t xml:space="preserve">arette use as compared to low sensation seekers (OR = 1.86, 95% CI = 1.66, 2.08, results not shown in the table). The association remained significant after controlling for sex, race/ethnicity, age, college type, parental education, current cigarette use, current alcohol use, and mean impulsivity score (AOR = 1.38, 95% CI = 1.22, 1.57). </w:t>
            </w:r>
          </w:p>
        </w:tc>
        <w:tc>
          <w:tcPr>
            <w:tcW w:w="4652" w:type="dxa"/>
          </w:tcPr>
          <w:p w14:paraId="4E99C5E4"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Sensation seeking is an important factor in identifying college students who may be at increased risk for </w:t>
            </w:r>
            <w:r>
              <w:rPr>
                <w:rFonts w:cs="Calibri"/>
                <w:sz w:val="16"/>
                <w:szCs w:val="16"/>
              </w:rPr>
              <w:t>e</w:t>
            </w:r>
            <w:r>
              <w:rPr>
                <w:rFonts w:cs="Calibri"/>
                <w:sz w:val="16"/>
                <w:szCs w:val="16"/>
              </w:rPr>
              <w:noBreakHyphen/>
              <w:t>cig</w:t>
            </w:r>
            <w:r w:rsidRPr="000F6DEF">
              <w:rPr>
                <w:rFonts w:cs="Calibri"/>
                <w:sz w:val="16"/>
                <w:szCs w:val="16"/>
              </w:rPr>
              <w:t>arette use behaviours.</w:t>
            </w:r>
          </w:p>
        </w:tc>
      </w:tr>
      <w:tr w:rsidR="00B85C33" w:rsidRPr="000F6DEF" w14:paraId="4054714B" w14:textId="77777777" w:rsidTr="000376C7">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1435" w:type="dxa"/>
          </w:tcPr>
          <w:p w14:paraId="2DC8F540" w14:textId="77777777" w:rsidR="00B85C33" w:rsidRPr="000F6DEF" w:rsidRDefault="00B85C33" w:rsidP="000376C7">
            <w:pPr>
              <w:rPr>
                <w:rFonts w:cs="Calibri"/>
                <w:sz w:val="16"/>
                <w:szCs w:val="16"/>
              </w:rPr>
            </w:pPr>
            <w:r w:rsidRPr="000F6DEF">
              <w:rPr>
                <w:rFonts w:cs="Calibri"/>
                <w:sz w:val="16"/>
                <w:szCs w:val="16"/>
              </w:rPr>
              <w:t>Creamer, Loukas, Clendennen et al</w:t>
            </w:r>
          </w:p>
        </w:tc>
        <w:tc>
          <w:tcPr>
            <w:tcW w:w="2044" w:type="dxa"/>
          </w:tcPr>
          <w:p w14:paraId="1175734B"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The purpose of this study is to examine differences between current and non</w:t>
            </w:r>
            <w:r w:rsidRPr="000F6DEF">
              <w:rPr>
                <w:rFonts w:cs="Calibri"/>
                <w:sz w:val="16"/>
                <w:szCs w:val="16"/>
              </w:rPr>
              <w:noBreakHyphen/>
              <w:t>current cigarette users, focusing on sociodemographic factors, non</w:t>
            </w:r>
            <w:r w:rsidRPr="000F6DEF">
              <w:rPr>
                <w:rFonts w:cs="Calibri"/>
                <w:sz w:val="16"/>
                <w:szCs w:val="16"/>
              </w:rPr>
              <w:noBreakHyphen/>
              <w:t xml:space="preserve">cigarette tobacco product use, parental and friend use, and alcohol and marijuana use; and to identify predictors of </w:t>
            </w:r>
            <w:r w:rsidRPr="000F6DEF">
              <w:rPr>
                <w:rFonts w:cs="Calibri"/>
                <w:sz w:val="16"/>
                <w:szCs w:val="16"/>
              </w:rPr>
              <w:lastRenderedPageBreak/>
              <w:t>cigarette use at six</w:t>
            </w:r>
            <w:r w:rsidRPr="000F6DEF">
              <w:rPr>
                <w:rFonts w:cs="Calibri"/>
                <w:sz w:val="16"/>
                <w:szCs w:val="16"/>
              </w:rPr>
              <w:noBreakHyphen/>
              <w:t>month follow</w:t>
            </w:r>
            <w:r w:rsidRPr="000F6DEF">
              <w:rPr>
                <w:rFonts w:cs="Calibri"/>
                <w:sz w:val="16"/>
                <w:szCs w:val="16"/>
              </w:rPr>
              <w:noBreakHyphen/>
              <w:t>up.</w:t>
            </w:r>
          </w:p>
        </w:tc>
        <w:tc>
          <w:tcPr>
            <w:tcW w:w="6924" w:type="dxa"/>
          </w:tcPr>
          <w:p w14:paraId="61D4ABF5"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lastRenderedPageBreak/>
              <w:t>Among current cigarette smokers at follow</w:t>
            </w:r>
            <w:r w:rsidRPr="000F6DEF">
              <w:rPr>
                <w:rFonts w:cs="Calibri"/>
                <w:sz w:val="16"/>
                <w:szCs w:val="16"/>
              </w:rPr>
              <w:noBreakHyphen/>
              <w:t xml:space="preserve">up, use of tobacco products at baseline was common: 73% were current cigarette smokers, 41% were current </w:t>
            </w:r>
            <w:r>
              <w:rPr>
                <w:rFonts w:cs="Calibri"/>
                <w:sz w:val="16"/>
                <w:szCs w:val="16"/>
              </w:rPr>
              <w:t>e</w:t>
            </w:r>
            <w:r>
              <w:rPr>
                <w:rFonts w:cs="Calibri"/>
                <w:sz w:val="16"/>
                <w:szCs w:val="16"/>
              </w:rPr>
              <w:noBreakHyphen/>
              <w:t>cig</w:t>
            </w:r>
            <w:r w:rsidRPr="000F6DEF">
              <w:rPr>
                <w:rFonts w:cs="Calibri"/>
                <w:sz w:val="16"/>
                <w:szCs w:val="16"/>
              </w:rPr>
              <w:t xml:space="preserve">arette users, 35% were current hookah users, and 22% were current cigar smokers and 8% were smokeless tobacco users. </w:t>
            </w:r>
          </w:p>
        </w:tc>
        <w:tc>
          <w:tcPr>
            <w:tcW w:w="4652" w:type="dxa"/>
          </w:tcPr>
          <w:p w14:paraId="36D5BA2F"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Prevention programs that target multiple tobacco products are needed in colleges, as it appears that non</w:t>
            </w:r>
            <w:r w:rsidRPr="000F6DEF">
              <w:rPr>
                <w:rFonts w:cs="Calibri"/>
                <w:sz w:val="16"/>
                <w:szCs w:val="16"/>
              </w:rPr>
              <w:noBreakHyphen/>
              <w:t>cigarette tobacco use and other high risk behaviours are independent risk factors for continued cigarette use in young adults</w:t>
            </w:r>
          </w:p>
        </w:tc>
      </w:tr>
      <w:tr w:rsidR="00B85C33" w:rsidRPr="000F6DEF" w14:paraId="7D6AC1F3" w14:textId="77777777" w:rsidTr="000376C7">
        <w:trPr>
          <w:trHeight w:val="94"/>
        </w:trPr>
        <w:tc>
          <w:tcPr>
            <w:cnfStyle w:val="001000000000" w:firstRow="0" w:lastRow="0" w:firstColumn="1" w:lastColumn="0" w:oddVBand="0" w:evenVBand="0" w:oddHBand="0" w:evenHBand="0" w:firstRowFirstColumn="0" w:firstRowLastColumn="0" w:lastRowFirstColumn="0" w:lastRowLastColumn="0"/>
            <w:tcW w:w="1435" w:type="dxa"/>
          </w:tcPr>
          <w:p w14:paraId="028B2A62" w14:textId="77777777" w:rsidR="00B85C33" w:rsidRPr="000F6DEF" w:rsidRDefault="00B85C33" w:rsidP="000376C7">
            <w:pPr>
              <w:rPr>
                <w:rFonts w:cs="Calibri"/>
                <w:sz w:val="16"/>
                <w:szCs w:val="16"/>
              </w:rPr>
            </w:pPr>
            <w:r w:rsidRPr="000F6DEF">
              <w:rPr>
                <w:rFonts w:cs="Calibri"/>
                <w:sz w:val="16"/>
                <w:szCs w:val="16"/>
              </w:rPr>
              <w:t>Kalkhoran, Alvarado, Vijayaraghavan et al</w:t>
            </w:r>
          </w:p>
        </w:tc>
        <w:tc>
          <w:tcPr>
            <w:tcW w:w="2044" w:type="dxa"/>
          </w:tcPr>
          <w:p w14:paraId="2FE5A6CD"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Identify how and why smokers in primary care use </w:t>
            </w:r>
            <w:r>
              <w:rPr>
                <w:rFonts w:cs="Calibri"/>
                <w:sz w:val="16"/>
                <w:szCs w:val="16"/>
              </w:rPr>
              <w:t>e</w:t>
            </w:r>
            <w:r>
              <w:rPr>
                <w:rFonts w:cs="Calibri"/>
                <w:sz w:val="16"/>
                <w:szCs w:val="16"/>
              </w:rPr>
              <w:noBreakHyphen/>
              <w:t>cig</w:t>
            </w:r>
            <w:r w:rsidRPr="000F6DEF">
              <w:rPr>
                <w:rFonts w:cs="Calibri"/>
                <w:sz w:val="16"/>
                <w:szCs w:val="16"/>
              </w:rPr>
              <w:t xml:space="preserve">arettes. </w:t>
            </w:r>
          </w:p>
        </w:tc>
        <w:tc>
          <w:tcPr>
            <w:tcW w:w="6924" w:type="dxa"/>
          </w:tcPr>
          <w:p w14:paraId="183CDEF8"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Fifty</w:t>
            </w:r>
            <w:r w:rsidRPr="000F6DEF">
              <w:rPr>
                <w:rFonts w:cs="Calibri"/>
                <w:sz w:val="16"/>
                <w:szCs w:val="16"/>
              </w:rPr>
              <w:noBreakHyphen/>
              <w:t xml:space="preserve">two percent (n=408) of patients reported ever using an </w:t>
            </w:r>
            <w:r>
              <w:rPr>
                <w:rFonts w:cs="Calibri"/>
                <w:sz w:val="16"/>
                <w:szCs w:val="16"/>
              </w:rPr>
              <w:t>e</w:t>
            </w:r>
            <w:r>
              <w:rPr>
                <w:rFonts w:cs="Calibri"/>
                <w:sz w:val="16"/>
                <w:szCs w:val="16"/>
              </w:rPr>
              <w:noBreakHyphen/>
              <w:t>cig</w:t>
            </w:r>
            <w:r w:rsidRPr="000F6DEF">
              <w:rPr>
                <w:rFonts w:cs="Calibri"/>
                <w:sz w:val="16"/>
                <w:szCs w:val="16"/>
              </w:rPr>
              <w:t>arette, and 20% (n=154) reported past</w:t>
            </w:r>
            <w:r w:rsidRPr="000F6DEF">
              <w:rPr>
                <w:rFonts w:cs="Calibri"/>
                <w:sz w:val="16"/>
                <w:szCs w:val="16"/>
              </w:rPr>
              <w:noBreakHyphen/>
              <w:t>30</w:t>
            </w:r>
            <w:r w:rsidRPr="000F6DEF">
              <w:rPr>
                <w:rFonts w:cs="Calibri"/>
                <w:sz w:val="16"/>
                <w:szCs w:val="16"/>
              </w:rPr>
              <w:noBreakHyphen/>
              <w:t xml:space="preserve">day use. Ever </w:t>
            </w:r>
            <w:r>
              <w:rPr>
                <w:rFonts w:cs="Calibri"/>
                <w:sz w:val="16"/>
                <w:szCs w:val="16"/>
              </w:rPr>
              <w:t>e</w:t>
            </w:r>
            <w:r>
              <w:rPr>
                <w:rFonts w:cs="Calibri"/>
                <w:sz w:val="16"/>
                <w:szCs w:val="16"/>
              </w:rPr>
              <w:noBreakHyphen/>
              <w:t>cig</w:t>
            </w:r>
            <w:r w:rsidRPr="000F6DEF">
              <w:rPr>
                <w:rFonts w:cs="Calibri"/>
                <w:sz w:val="16"/>
                <w:szCs w:val="16"/>
              </w:rPr>
              <w:t>arette use was associated with younger age and negatively associated with being seen at practices at a public safety</w:t>
            </w:r>
            <w:r w:rsidRPr="000F6DEF">
              <w:rPr>
                <w:rFonts w:cs="Calibri"/>
                <w:sz w:val="16"/>
                <w:szCs w:val="16"/>
              </w:rPr>
              <w:noBreakHyphen/>
              <w:t>net hospital compared to a practice at University</w:t>
            </w:r>
            <w:r w:rsidRPr="000F6DEF">
              <w:rPr>
                <w:rFonts w:cs="Calibri"/>
                <w:sz w:val="16"/>
                <w:szCs w:val="16"/>
              </w:rPr>
              <w:noBreakHyphen/>
              <w:t xml:space="preserve">affiliated hospital. The most common reason for having used </w:t>
            </w:r>
            <w:r>
              <w:rPr>
                <w:rFonts w:cs="Calibri"/>
                <w:sz w:val="16"/>
                <w:szCs w:val="16"/>
              </w:rPr>
              <w:t>e</w:t>
            </w:r>
            <w:r>
              <w:rPr>
                <w:rFonts w:cs="Calibri"/>
                <w:sz w:val="16"/>
                <w:szCs w:val="16"/>
              </w:rPr>
              <w:noBreakHyphen/>
              <w:t>cig</w:t>
            </w:r>
            <w:r w:rsidRPr="000F6DEF">
              <w:rPr>
                <w:rFonts w:cs="Calibri"/>
                <w:sz w:val="16"/>
                <w:szCs w:val="16"/>
              </w:rPr>
              <w:t xml:space="preserve">arettes among ever </w:t>
            </w:r>
            <w:r>
              <w:rPr>
                <w:rFonts w:cs="Calibri"/>
                <w:sz w:val="16"/>
                <w:szCs w:val="16"/>
              </w:rPr>
              <w:t>e</w:t>
            </w:r>
            <w:r>
              <w:rPr>
                <w:rFonts w:cs="Calibri"/>
                <w:sz w:val="16"/>
                <w:szCs w:val="16"/>
              </w:rPr>
              <w:noBreakHyphen/>
              <w:t>cig</w:t>
            </w:r>
            <w:r w:rsidRPr="000F6DEF">
              <w:rPr>
                <w:rFonts w:cs="Calibri"/>
                <w:sz w:val="16"/>
                <w:szCs w:val="16"/>
              </w:rPr>
              <w:t xml:space="preserve">arette users, and for interest in future use of </w:t>
            </w:r>
            <w:r>
              <w:rPr>
                <w:rFonts w:cs="Calibri"/>
                <w:sz w:val="16"/>
                <w:szCs w:val="16"/>
              </w:rPr>
              <w:t>e</w:t>
            </w:r>
            <w:r>
              <w:rPr>
                <w:rFonts w:cs="Calibri"/>
                <w:sz w:val="16"/>
                <w:szCs w:val="16"/>
              </w:rPr>
              <w:noBreakHyphen/>
              <w:t>cig</w:t>
            </w:r>
            <w:r w:rsidRPr="000F6DEF">
              <w:rPr>
                <w:rFonts w:cs="Calibri"/>
                <w:sz w:val="16"/>
                <w:szCs w:val="16"/>
              </w:rPr>
              <w:t xml:space="preserve">arettes among never </w:t>
            </w:r>
            <w:r>
              <w:rPr>
                <w:rFonts w:cs="Calibri"/>
                <w:sz w:val="16"/>
                <w:szCs w:val="16"/>
              </w:rPr>
              <w:t>e</w:t>
            </w:r>
            <w:r>
              <w:rPr>
                <w:rFonts w:cs="Calibri"/>
                <w:sz w:val="16"/>
                <w:szCs w:val="16"/>
              </w:rPr>
              <w:noBreakHyphen/>
              <w:t>cig</w:t>
            </w:r>
            <w:r w:rsidRPr="000F6DEF">
              <w:rPr>
                <w:rFonts w:cs="Calibri"/>
                <w:sz w:val="16"/>
                <w:szCs w:val="16"/>
              </w:rPr>
              <w:t xml:space="preserve">arette users, was to cut down cigarette use. The mean number of days of </w:t>
            </w:r>
            <w:r>
              <w:rPr>
                <w:rFonts w:cs="Calibri"/>
                <w:sz w:val="16"/>
                <w:szCs w:val="16"/>
              </w:rPr>
              <w:t>e</w:t>
            </w:r>
            <w:r>
              <w:rPr>
                <w:rFonts w:cs="Calibri"/>
                <w:sz w:val="16"/>
                <w:szCs w:val="16"/>
              </w:rPr>
              <w:noBreakHyphen/>
              <w:t>cig</w:t>
            </w:r>
            <w:r w:rsidRPr="000F6DEF">
              <w:rPr>
                <w:rFonts w:cs="Calibri"/>
                <w:sz w:val="16"/>
                <w:szCs w:val="16"/>
              </w:rPr>
              <w:t xml:space="preserve">arette use in the past 30 increased with duration of </w:t>
            </w:r>
            <w:r>
              <w:rPr>
                <w:rFonts w:cs="Calibri"/>
                <w:sz w:val="16"/>
                <w:szCs w:val="16"/>
              </w:rPr>
              <w:t>e</w:t>
            </w:r>
            <w:r>
              <w:rPr>
                <w:rFonts w:cs="Calibri"/>
                <w:sz w:val="16"/>
                <w:szCs w:val="16"/>
              </w:rPr>
              <w:noBreakHyphen/>
              <w:t>cig</w:t>
            </w:r>
            <w:r w:rsidRPr="000F6DEF">
              <w:rPr>
                <w:rFonts w:cs="Calibri"/>
                <w:sz w:val="16"/>
                <w:szCs w:val="16"/>
              </w:rPr>
              <w:t xml:space="preserve">arette use. Most current </w:t>
            </w:r>
            <w:r>
              <w:rPr>
                <w:rFonts w:cs="Calibri"/>
                <w:sz w:val="16"/>
                <w:szCs w:val="16"/>
              </w:rPr>
              <w:t>e</w:t>
            </w:r>
            <w:r>
              <w:rPr>
                <w:rFonts w:cs="Calibri"/>
                <w:sz w:val="16"/>
                <w:szCs w:val="16"/>
              </w:rPr>
              <w:noBreakHyphen/>
              <w:t>cig</w:t>
            </w:r>
            <w:r w:rsidRPr="000F6DEF">
              <w:rPr>
                <w:rFonts w:cs="Calibri"/>
                <w:sz w:val="16"/>
                <w:szCs w:val="16"/>
              </w:rPr>
              <w:t xml:space="preserve">arette users did not know the nicotine content of their </w:t>
            </w:r>
            <w:r>
              <w:rPr>
                <w:rFonts w:cs="Calibri"/>
                <w:sz w:val="16"/>
                <w:szCs w:val="16"/>
              </w:rPr>
              <w:t>e</w:t>
            </w:r>
            <w:r>
              <w:rPr>
                <w:rFonts w:cs="Calibri"/>
                <w:sz w:val="16"/>
                <w:szCs w:val="16"/>
              </w:rPr>
              <w:noBreakHyphen/>
              <w:t>cig</w:t>
            </w:r>
            <w:r w:rsidRPr="000F6DEF">
              <w:rPr>
                <w:rFonts w:cs="Calibri"/>
                <w:sz w:val="16"/>
                <w:szCs w:val="16"/>
              </w:rPr>
              <w:t xml:space="preserve">arettes. </w:t>
            </w:r>
          </w:p>
        </w:tc>
        <w:tc>
          <w:tcPr>
            <w:tcW w:w="4652" w:type="dxa"/>
          </w:tcPr>
          <w:p w14:paraId="72428810"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Over half of smokers in primary care have ever used </w:t>
            </w:r>
            <w:r>
              <w:rPr>
                <w:rFonts w:cs="Calibri"/>
                <w:sz w:val="16"/>
                <w:szCs w:val="16"/>
              </w:rPr>
              <w:t>e</w:t>
            </w:r>
            <w:r>
              <w:rPr>
                <w:rFonts w:cs="Calibri"/>
                <w:sz w:val="16"/>
                <w:szCs w:val="16"/>
              </w:rPr>
              <w:noBreakHyphen/>
              <w:t>cig</w:t>
            </w:r>
            <w:r w:rsidRPr="000F6DEF">
              <w:rPr>
                <w:rFonts w:cs="Calibri"/>
                <w:sz w:val="16"/>
                <w:szCs w:val="16"/>
              </w:rPr>
              <w:t>arettes, and one</w:t>
            </w:r>
            <w:r w:rsidRPr="000F6DEF">
              <w:rPr>
                <w:rFonts w:cs="Calibri"/>
                <w:sz w:val="16"/>
                <w:szCs w:val="16"/>
              </w:rPr>
              <w:noBreakHyphen/>
              <w:t xml:space="preserve">fifth are currently using them. Most reported using </w:t>
            </w:r>
            <w:r>
              <w:rPr>
                <w:rFonts w:cs="Calibri"/>
                <w:sz w:val="16"/>
                <w:szCs w:val="16"/>
              </w:rPr>
              <w:t>e</w:t>
            </w:r>
            <w:r>
              <w:rPr>
                <w:rFonts w:cs="Calibri"/>
                <w:sz w:val="16"/>
                <w:szCs w:val="16"/>
              </w:rPr>
              <w:noBreakHyphen/>
              <w:t>cig</w:t>
            </w:r>
            <w:r w:rsidRPr="000F6DEF">
              <w:rPr>
                <w:rFonts w:cs="Calibri"/>
                <w:sz w:val="16"/>
                <w:szCs w:val="16"/>
              </w:rPr>
              <w:t xml:space="preserve">arettes to cut down or quit cigarettes. </w:t>
            </w:r>
          </w:p>
        </w:tc>
      </w:tr>
      <w:tr w:rsidR="00B85C33" w:rsidRPr="000F6DEF" w14:paraId="7B7D89B6" w14:textId="77777777" w:rsidTr="000376C7">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1435" w:type="dxa"/>
          </w:tcPr>
          <w:p w14:paraId="039F761A" w14:textId="77777777" w:rsidR="00B85C33" w:rsidRPr="000F6DEF" w:rsidRDefault="00B85C33" w:rsidP="000376C7">
            <w:pPr>
              <w:rPr>
                <w:rFonts w:cs="Calibri"/>
                <w:sz w:val="16"/>
                <w:szCs w:val="16"/>
              </w:rPr>
            </w:pPr>
            <w:r w:rsidRPr="000F6DEF">
              <w:rPr>
                <w:rFonts w:cs="Calibri"/>
                <w:sz w:val="16"/>
                <w:szCs w:val="16"/>
              </w:rPr>
              <w:t>Kalkhoran, Yuan, Alvarado, Satterfield</w:t>
            </w:r>
          </w:p>
        </w:tc>
        <w:tc>
          <w:tcPr>
            <w:tcW w:w="2044" w:type="dxa"/>
          </w:tcPr>
          <w:p w14:paraId="17826970"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We aimed to identify how and why smokers in primary care use </w:t>
            </w:r>
            <w:r>
              <w:rPr>
                <w:rFonts w:cs="Calibri"/>
                <w:sz w:val="16"/>
                <w:szCs w:val="16"/>
              </w:rPr>
              <w:t>e</w:t>
            </w:r>
            <w:r>
              <w:rPr>
                <w:rFonts w:cs="Calibri"/>
                <w:sz w:val="16"/>
                <w:szCs w:val="16"/>
              </w:rPr>
              <w:noBreakHyphen/>
              <w:t>cig</w:t>
            </w:r>
            <w:r w:rsidRPr="000F6DEF">
              <w:rPr>
                <w:rFonts w:cs="Calibri"/>
                <w:sz w:val="16"/>
                <w:szCs w:val="16"/>
              </w:rPr>
              <w:t>arettes.</w:t>
            </w:r>
          </w:p>
        </w:tc>
        <w:tc>
          <w:tcPr>
            <w:tcW w:w="6924" w:type="dxa"/>
          </w:tcPr>
          <w:p w14:paraId="0113A4B0"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57% (n=408) of patients reported ever using an </w:t>
            </w:r>
            <w:r>
              <w:rPr>
                <w:rFonts w:cs="Calibri"/>
                <w:sz w:val="16"/>
                <w:szCs w:val="16"/>
              </w:rPr>
              <w:t>e</w:t>
            </w:r>
            <w:r>
              <w:rPr>
                <w:rFonts w:cs="Calibri"/>
                <w:sz w:val="16"/>
                <w:szCs w:val="16"/>
              </w:rPr>
              <w:noBreakHyphen/>
              <w:t>cig</w:t>
            </w:r>
            <w:r w:rsidRPr="000F6DEF">
              <w:rPr>
                <w:rFonts w:cs="Calibri"/>
                <w:sz w:val="16"/>
                <w:szCs w:val="16"/>
              </w:rPr>
              <w:t xml:space="preserve">arette and 21% (n=154) reported past 30 day use. Ever </w:t>
            </w:r>
            <w:r>
              <w:rPr>
                <w:rFonts w:cs="Calibri"/>
                <w:sz w:val="16"/>
                <w:szCs w:val="16"/>
              </w:rPr>
              <w:t>e</w:t>
            </w:r>
            <w:r>
              <w:rPr>
                <w:rFonts w:cs="Calibri"/>
                <w:sz w:val="16"/>
                <w:szCs w:val="16"/>
              </w:rPr>
              <w:noBreakHyphen/>
              <w:t>cig</w:t>
            </w:r>
            <w:r w:rsidRPr="000F6DEF">
              <w:rPr>
                <w:rFonts w:cs="Calibri"/>
                <w:sz w:val="16"/>
                <w:szCs w:val="16"/>
              </w:rPr>
              <w:t>arette users were more likely to be younger, white, more educated, daily smokers, have smoked for more years, and more nicotine dependent than never users.</w:t>
            </w:r>
            <w:r w:rsidRPr="000F6DEF">
              <w:rPr>
                <w:rFonts w:cs="Calibri"/>
                <w:sz w:val="16"/>
                <w:szCs w:val="16"/>
              </w:rPr>
              <w:br/>
              <w:t xml:space="preserve">Ever </w:t>
            </w:r>
            <w:r>
              <w:rPr>
                <w:rFonts w:cs="Calibri"/>
                <w:sz w:val="16"/>
                <w:szCs w:val="16"/>
              </w:rPr>
              <w:t>e</w:t>
            </w:r>
            <w:r>
              <w:rPr>
                <w:rFonts w:cs="Calibri"/>
                <w:sz w:val="16"/>
                <w:szCs w:val="16"/>
              </w:rPr>
              <w:noBreakHyphen/>
              <w:t>cig</w:t>
            </w:r>
            <w:r w:rsidRPr="000F6DEF">
              <w:rPr>
                <w:rFonts w:cs="Calibri"/>
                <w:sz w:val="16"/>
                <w:szCs w:val="16"/>
              </w:rPr>
              <w:t xml:space="preserve">arette users had higher prevalence of mental illness than never users. The most and second most common reasons for </w:t>
            </w:r>
            <w:r>
              <w:rPr>
                <w:rFonts w:cs="Calibri"/>
                <w:sz w:val="16"/>
                <w:szCs w:val="16"/>
              </w:rPr>
              <w:t>e</w:t>
            </w:r>
            <w:r>
              <w:rPr>
                <w:rFonts w:cs="Calibri"/>
                <w:sz w:val="16"/>
                <w:szCs w:val="16"/>
              </w:rPr>
              <w:noBreakHyphen/>
              <w:t>cig</w:t>
            </w:r>
            <w:r w:rsidRPr="000F6DEF">
              <w:rPr>
                <w:rFonts w:cs="Calibri"/>
                <w:sz w:val="16"/>
                <w:szCs w:val="16"/>
              </w:rPr>
              <w:t xml:space="preserve">arette use among current and former </w:t>
            </w:r>
            <w:r>
              <w:rPr>
                <w:rFonts w:cs="Calibri"/>
                <w:sz w:val="16"/>
                <w:szCs w:val="16"/>
              </w:rPr>
              <w:t>e</w:t>
            </w:r>
            <w:r>
              <w:rPr>
                <w:rFonts w:cs="Calibri"/>
                <w:sz w:val="16"/>
                <w:szCs w:val="16"/>
              </w:rPr>
              <w:noBreakHyphen/>
              <w:t>cig</w:t>
            </w:r>
            <w:r w:rsidRPr="000F6DEF">
              <w:rPr>
                <w:rFonts w:cs="Calibri"/>
                <w:sz w:val="16"/>
                <w:szCs w:val="16"/>
              </w:rPr>
              <w:t xml:space="preserve">arette users were to cut down on and quit cigarette smoking, respectively. These were also the most common reasons never </w:t>
            </w:r>
            <w:r>
              <w:rPr>
                <w:rFonts w:cs="Calibri"/>
                <w:sz w:val="16"/>
                <w:szCs w:val="16"/>
              </w:rPr>
              <w:t>e</w:t>
            </w:r>
            <w:r>
              <w:rPr>
                <w:rFonts w:cs="Calibri"/>
                <w:sz w:val="16"/>
                <w:szCs w:val="16"/>
              </w:rPr>
              <w:noBreakHyphen/>
              <w:t>cig</w:t>
            </w:r>
            <w:r w:rsidRPr="000F6DEF">
              <w:rPr>
                <w:rFonts w:cs="Calibri"/>
                <w:sz w:val="16"/>
                <w:szCs w:val="16"/>
              </w:rPr>
              <w:t xml:space="preserve">arette users reported for why they would use </w:t>
            </w:r>
            <w:r>
              <w:rPr>
                <w:rFonts w:cs="Calibri"/>
                <w:sz w:val="16"/>
                <w:szCs w:val="16"/>
              </w:rPr>
              <w:t>e</w:t>
            </w:r>
            <w:r>
              <w:rPr>
                <w:rFonts w:cs="Calibri"/>
                <w:sz w:val="16"/>
                <w:szCs w:val="16"/>
              </w:rPr>
              <w:noBreakHyphen/>
              <w:t>cig</w:t>
            </w:r>
            <w:r w:rsidRPr="000F6DEF">
              <w:rPr>
                <w:rFonts w:cs="Calibri"/>
                <w:sz w:val="16"/>
                <w:szCs w:val="16"/>
              </w:rPr>
              <w:t>arettes.</w:t>
            </w:r>
          </w:p>
        </w:tc>
        <w:tc>
          <w:tcPr>
            <w:tcW w:w="4652" w:type="dxa"/>
          </w:tcPr>
          <w:p w14:paraId="69A1B3D9"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Over half of smokers in primary care use </w:t>
            </w:r>
            <w:r>
              <w:rPr>
                <w:rFonts w:cs="Calibri"/>
                <w:sz w:val="16"/>
                <w:szCs w:val="16"/>
              </w:rPr>
              <w:t>e</w:t>
            </w:r>
            <w:r>
              <w:rPr>
                <w:rFonts w:cs="Calibri"/>
                <w:sz w:val="16"/>
                <w:szCs w:val="16"/>
              </w:rPr>
              <w:noBreakHyphen/>
              <w:t>cig</w:t>
            </w:r>
            <w:r w:rsidRPr="000F6DEF">
              <w:rPr>
                <w:rFonts w:cs="Calibri"/>
                <w:sz w:val="16"/>
                <w:szCs w:val="16"/>
              </w:rPr>
              <w:t xml:space="preserve">arettes, with 1 in 5 reporting current use. </w:t>
            </w:r>
            <w:r>
              <w:rPr>
                <w:rFonts w:cs="Calibri"/>
                <w:sz w:val="16"/>
                <w:szCs w:val="16"/>
              </w:rPr>
              <w:t>E</w:t>
            </w:r>
            <w:r>
              <w:rPr>
                <w:rFonts w:cs="Calibri"/>
                <w:sz w:val="16"/>
                <w:szCs w:val="16"/>
              </w:rPr>
              <w:noBreakHyphen/>
              <w:t>cig</w:t>
            </w:r>
            <w:r w:rsidRPr="000F6DEF">
              <w:rPr>
                <w:rFonts w:cs="Calibri"/>
                <w:sz w:val="16"/>
                <w:szCs w:val="16"/>
              </w:rPr>
              <w:t>arette use is intermittent in this population, with most reporting non</w:t>
            </w:r>
            <w:r w:rsidRPr="000F6DEF">
              <w:rPr>
                <w:rFonts w:cs="Calibri"/>
                <w:sz w:val="16"/>
                <w:szCs w:val="16"/>
              </w:rPr>
              <w:noBreakHyphen/>
              <w:t xml:space="preserve">daily use. Most patients report using </w:t>
            </w:r>
            <w:r>
              <w:rPr>
                <w:rFonts w:cs="Calibri"/>
                <w:sz w:val="16"/>
                <w:szCs w:val="16"/>
              </w:rPr>
              <w:t>e</w:t>
            </w:r>
            <w:r>
              <w:rPr>
                <w:rFonts w:cs="Calibri"/>
                <w:sz w:val="16"/>
                <w:szCs w:val="16"/>
              </w:rPr>
              <w:noBreakHyphen/>
              <w:t>cig</w:t>
            </w:r>
            <w:r w:rsidRPr="000F6DEF">
              <w:rPr>
                <w:rFonts w:cs="Calibri"/>
                <w:sz w:val="16"/>
                <w:szCs w:val="16"/>
              </w:rPr>
              <w:t>arettes to cut down or quit cigarettes.</w:t>
            </w:r>
          </w:p>
        </w:tc>
      </w:tr>
      <w:tr w:rsidR="00B85C33" w:rsidRPr="000F6DEF" w14:paraId="0C49D2B2" w14:textId="77777777" w:rsidTr="000376C7">
        <w:trPr>
          <w:trHeight w:val="94"/>
        </w:trPr>
        <w:tc>
          <w:tcPr>
            <w:cnfStyle w:val="001000000000" w:firstRow="0" w:lastRow="0" w:firstColumn="1" w:lastColumn="0" w:oddVBand="0" w:evenVBand="0" w:oddHBand="0" w:evenHBand="0" w:firstRowFirstColumn="0" w:firstRowLastColumn="0" w:lastRowFirstColumn="0" w:lastRowLastColumn="0"/>
            <w:tcW w:w="1435" w:type="dxa"/>
          </w:tcPr>
          <w:p w14:paraId="1A18F66B" w14:textId="77777777" w:rsidR="00B85C33" w:rsidRPr="000F6DEF" w:rsidRDefault="00B85C33" w:rsidP="000376C7">
            <w:pPr>
              <w:rPr>
                <w:rFonts w:cs="Calibri"/>
                <w:sz w:val="16"/>
                <w:szCs w:val="16"/>
              </w:rPr>
            </w:pPr>
            <w:r w:rsidRPr="000F6DEF">
              <w:rPr>
                <w:rFonts w:cs="Calibri"/>
                <w:sz w:val="16"/>
                <w:szCs w:val="16"/>
              </w:rPr>
              <w:t>Mendy, Vargas, Cannon</w:t>
            </w:r>
            <w:r w:rsidRPr="000F6DEF">
              <w:rPr>
                <w:rFonts w:cs="Calibri"/>
                <w:sz w:val="16"/>
                <w:szCs w:val="16"/>
              </w:rPr>
              <w:noBreakHyphen/>
              <w:t>Smith et al</w:t>
            </w:r>
          </w:p>
        </w:tc>
        <w:tc>
          <w:tcPr>
            <w:tcW w:w="2044" w:type="dxa"/>
          </w:tcPr>
          <w:p w14:paraId="4AB21E8B"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We identify differences and associations in </w:t>
            </w:r>
            <w:r>
              <w:rPr>
                <w:rFonts w:cs="Calibri"/>
                <w:sz w:val="16"/>
                <w:szCs w:val="16"/>
              </w:rPr>
              <w:t>e</w:t>
            </w:r>
            <w:r>
              <w:rPr>
                <w:rFonts w:cs="Calibri"/>
                <w:sz w:val="16"/>
                <w:szCs w:val="16"/>
              </w:rPr>
              <w:noBreakHyphen/>
              <w:t>cig</w:t>
            </w:r>
            <w:r w:rsidRPr="000F6DEF">
              <w:rPr>
                <w:rFonts w:cs="Calibri"/>
                <w:sz w:val="16"/>
                <w:szCs w:val="16"/>
              </w:rPr>
              <w:t xml:space="preserve">arette use by sociodemographic characteristics and describe the reported reasons for initiating use among Mississippi adults. </w:t>
            </w:r>
          </w:p>
        </w:tc>
        <w:tc>
          <w:tcPr>
            <w:tcW w:w="6924" w:type="dxa"/>
          </w:tcPr>
          <w:p w14:paraId="2E4A92C3"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4.7% of Mississippi adults currently used </w:t>
            </w:r>
            <w:r>
              <w:rPr>
                <w:rFonts w:cs="Calibri"/>
                <w:sz w:val="16"/>
                <w:szCs w:val="16"/>
              </w:rPr>
              <w:t>e</w:t>
            </w:r>
            <w:r>
              <w:rPr>
                <w:rFonts w:cs="Calibri"/>
                <w:sz w:val="16"/>
                <w:szCs w:val="16"/>
              </w:rPr>
              <w:noBreakHyphen/>
              <w:t>cig</w:t>
            </w:r>
            <w:r w:rsidRPr="000F6DEF">
              <w:rPr>
                <w:rFonts w:cs="Calibri"/>
                <w:sz w:val="16"/>
                <w:szCs w:val="16"/>
              </w:rPr>
              <w:t xml:space="preserve">arettes, while 20.5% had ever tried an </w:t>
            </w:r>
            <w:r>
              <w:rPr>
                <w:rFonts w:cs="Calibri"/>
                <w:sz w:val="16"/>
                <w:szCs w:val="16"/>
              </w:rPr>
              <w:t>e</w:t>
            </w:r>
            <w:r>
              <w:rPr>
                <w:rFonts w:cs="Calibri"/>
                <w:sz w:val="16"/>
                <w:szCs w:val="16"/>
              </w:rPr>
              <w:noBreakHyphen/>
              <w:t>cig</w:t>
            </w:r>
            <w:r w:rsidRPr="000F6DEF">
              <w:rPr>
                <w:rFonts w:cs="Calibri"/>
                <w:sz w:val="16"/>
                <w:szCs w:val="16"/>
              </w:rPr>
              <w:t>arette.</w:t>
            </w:r>
            <w:r w:rsidRPr="000F6DEF">
              <w:rPr>
                <w:rFonts w:cs="Calibri"/>
                <w:sz w:val="16"/>
                <w:szCs w:val="16"/>
              </w:rPr>
              <w:br/>
              <w:t xml:space="preserve">The prevalence of current </w:t>
            </w:r>
            <w:r>
              <w:rPr>
                <w:rFonts w:cs="Calibri"/>
                <w:sz w:val="16"/>
                <w:szCs w:val="16"/>
              </w:rPr>
              <w:t>e</w:t>
            </w:r>
            <w:r>
              <w:rPr>
                <w:rFonts w:cs="Calibri"/>
                <w:sz w:val="16"/>
                <w:szCs w:val="16"/>
              </w:rPr>
              <w:noBreakHyphen/>
              <w:t>cig</w:t>
            </w:r>
            <w:r w:rsidRPr="000F6DEF">
              <w:rPr>
                <w:rFonts w:cs="Calibri"/>
                <w:sz w:val="16"/>
                <w:szCs w:val="16"/>
              </w:rPr>
              <w:t>arette use was significantly higher for young adults, whites, men, individuals unable to work, those with income $35,000</w:t>
            </w:r>
            <w:r w:rsidRPr="000F6DEF">
              <w:rPr>
                <w:rFonts w:cs="Calibri"/>
                <w:sz w:val="16"/>
                <w:szCs w:val="16"/>
              </w:rPr>
              <w:noBreakHyphen/>
              <w:t xml:space="preserve">$49,999, and current smokers compared to their counterparts. Similar results were observed for having ever tried an </w:t>
            </w:r>
            <w:r>
              <w:rPr>
                <w:rFonts w:cs="Calibri"/>
                <w:sz w:val="16"/>
                <w:szCs w:val="16"/>
              </w:rPr>
              <w:t>e</w:t>
            </w:r>
            <w:r>
              <w:rPr>
                <w:rFonts w:cs="Calibri"/>
                <w:sz w:val="16"/>
                <w:szCs w:val="16"/>
              </w:rPr>
              <w:noBreakHyphen/>
              <w:t>cig</w:t>
            </w:r>
            <w:r w:rsidRPr="000F6DEF">
              <w:rPr>
                <w:rFonts w:cs="Calibri"/>
                <w:sz w:val="16"/>
                <w:szCs w:val="16"/>
              </w:rPr>
              <w:t xml:space="preserve">arette. </w:t>
            </w:r>
            <w:r>
              <w:rPr>
                <w:rFonts w:cs="Calibri"/>
                <w:sz w:val="16"/>
                <w:szCs w:val="16"/>
              </w:rPr>
              <w:t>E</w:t>
            </w:r>
            <w:r>
              <w:rPr>
                <w:rFonts w:cs="Calibri"/>
                <w:sz w:val="16"/>
                <w:szCs w:val="16"/>
              </w:rPr>
              <w:noBreakHyphen/>
              <w:t>cig</w:t>
            </w:r>
            <w:r w:rsidRPr="000F6DEF">
              <w:rPr>
                <w:rFonts w:cs="Calibri"/>
                <w:sz w:val="16"/>
                <w:szCs w:val="16"/>
              </w:rPr>
              <w:t xml:space="preserve">arette use was associated with age, race, income, and smoking status. Most (71.2%) of current </w:t>
            </w:r>
            <w:r>
              <w:rPr>
                <w:rFonts w:cs="Calibri"/>
                <w:sz w:val="16"/>
                <w:szCs w:val="16"/>
              </w:rPr>
              <w:t>e</w:t>
            </w:r>
            <w:r>
              <w:rPr>
                <w:rFonts w:cs="Calibri"/>
                <w:sz w:val="16"/>
                <w:szCs w:val="16"/>
              </w:rPr>
              <w:noBreakHyphen/>
              <w:t>cig</w:t>
            </w:r>
            <w:r w:rsidRPr="000F6DEF">
              <w:rPr>
                <w:rFonts w:cs="Calibri"/>
                <w:sz w:val="16"/>
                <w:szCs w:val="16"/>
              </w:rPr>
              <w:t xml:space="preserve">arette users and over half (52.1%) of those who have ever tried </w:t>
            </w:r>
            <w:r>
              <w:rPr>
                <w:rFonts w:cs="Calibri"/>
                <w:sz w:val="16"/>
                <w:szCs w:val="16"/>
              </w:rPr>
              <w:t>e</w:t>
            </w:r>
            <w:r>
              <w:rPr>
                <w:rFonts w:cs="Calibri"/>
                <w:sz w:val="16"/>
                <w:szCs w:val="16"/>
              </w:rPr>
              <w:noBreakHyphen/>
              <w:t>cig</w:t>
            </w:r>
            <w:r w:rsidRPr="000F6DEF">
              <w:rPr>
                <w:rFonts w:cs="Calibri"/>
                <w:sz w:val="16"/>
                <w:szCs w:val="16"/>
              </w:rPr>
              <w:t xml:space="preserve">arettes reported that a main reason for trying or using </w:t>
            </w:r>
            <w:r>
              <w:rPr>
                <w:rFonts w:cs="Calibri"/>
                <w:sz w:val="16"/>
                <w:szCs w:val="16"/>
              </w:rPr>
              <w:t>e</w:t>
            </w:r>
            <w:r>
              <w:rPr>
                <w:rFonts w:cs="Calibri"/>
                <w:sz w:val="16"/>
                <w:szCs w:val="16"/>
              </w:rPr>
              <w:noBreakHyphen/>
              <w:t>cig</w:t>
            </w:r>
            <w:r w:rsidRPr="000F6DEF">
              <w:rPr>
                <w:rFonts w:cs="Calibri"/>
                <w:sz w:val="16"/>
                <w:szCs w:val="16"/>
              </w:rPr>
              <w:t>arettes was "to cut down or quit smoking."</w:t>
            </w:r>
          </w:p>
        </w:tc>
        <w:tc>
          <w:tcPr>
            <w:tcW w:w="4652" w:type="dxa"/>
          </w:tcPr>
          <w:p w14:paraId="7DED1BA0" w14:textId="78C4D031"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These findings highlight the need for </w:t>
            </w:r>
            <w:r>
              <w:rPr>
                <w:rFonts w:cs="Calibri"/>
                <w:sz w:val="16"/>
                <w:szCs w:val="16"/>
              </w:rPr>
              <w:t>e</w:t>
            </w:r>
            <w:r>
              <w:rPr>
                <w:rFonts w:cs="Calibri"/>
                <w:sz w:val="16"/>
                <w:szCs w:val="16"/>
              </w:rPr>
              <w:noBreakHyphen/>
              <w:t>cig</w:t>
            </w:r>
            <w:r w:rsidRPr="000F6DEF">
              <w:rPr>
                <w:rFonts w:cs="Calibri"/>
                <w:sz w:val="16"/>
                <w:szCs w:val="16"/>
              </w:rPr>
              <w:t>arette policies</w:t>
            </w:r>
            <w:r w:rsidRPr="000F6DEF">
              <w:rPr>
                <w:rFonts w:cs="Calibri"/>
                <w:sz w:val="16"/>
                <w:szCs w:val="16"/>
              </w:rPr>
              <w:br/>
              <w:t>and community interventions addressing the initiation of e</w:t>
            </w:r>
            <w:r w:rsidR="008F4D73">
              <w:rPr>
                <w:rFonts w:cs="Calibri"/>
                <w:sz w:val="16"/>
                <w:szCs w:val="16"/>
              </w:rPr>
              <w:noBreakHyphen/>
            </w:r>
            <w:r w:rsidRPr="000F6DEF">
              <w:rPr>
                <w:rFonts w:cs="Calibri"/>
                <w:sz w:val="16"/>
                <w:szCs w:val="16"/>
              </w:rPr>
              <w:t>cigarette use among at</w:t>
            </w:r>
            <w:r w:rsidRPr="000F6DEF">
              <w:rPr>
                <w:rFonts w:cs="Calibri"/>
                <w:sz w:val="16"/>
                <w:szCs w:val="16"/>
              </w:rPr>
              <w:noBreakHyphen/>
              <w:t>risk subgroups in Mississippi.</w:t>
            </w:r>
          </w:p>
        </w:tc>
      </w:tr>
      <w:tr w:rsidR="00B85C33" w:rsidRPr="000F6DEF" w14:paraId="728BB313" w14:textId="77777777" w:rsidTr="000376C7">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1435" w:type="dxa"/>
          </w:tcPr>
          <w:p w14:paraId="0724BD07" w14:textId="77777777" w:rsidR="00B85C33" w:rsidRPr="000F6DEF" w:rsidRDefault="00B85C33" w:rsidP="000376C7">
            <w:pPr>
              <w:rPr>
                <w:rFonts w:cs="Calibri"/>
                <w:sz w:val="16"/>
                <w:szCs w:val="16"/>
              </w:rPr>
            </w:pPr>
            <w:r w:rsidRPr="000F6DEF">
              <w:rPr>
                <w:rFonts w:cs="Calibri"/>
                <w:sz w:val="16"/>
                <w:szCs w:val="16"/>
              </w:rPr>
              <w:t>O'Gara, Sharma, Boyle, Taylor</w:t>
            </w:r>
          </w:p>
        </w:tc>
        <w:tc>
          <w:tcPr>
            <w:tcW w:w="2044" w:type="dxa"/>
          </w:tcPr>
          <w:p w14:paraId="27745829"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This study examines patterns of exclusive cigarette and polyuse among adult smokers in Minnesota.</w:t>
            </w:r>
          </w:p>
        </w:tc>
        <w:tc>
          <w:tcPr>
            <w:tcW w:w="6924" w:type="dxa"/>
          </w:tcPr>
          <w:p w14:paraId="3566F396"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Use of ENDS in combination with cigarettes increased from 3.6% in 2010 to 27.3% in 2014. The most common combination of products in 2014 was combustible cigarettes and electronic nicotine delivery systems (ENDS), a combination that increased significantly between 2010 and 2014.</w:t>
            </w:r>
          </w:p>
        </w:tc>
        <w:tc>
          <w:tcPr>
            <w:tcW w:w="4652" w:type="dxa"/>
          </w:tcPr>
          <w:p w14:paraId="499BA166"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In this state</w:t>
            </w:r>
            <w:r w:rsidRPr="000F6DEF">
              <w:rPr>
                <w:rFonts w:cs="Calibri"/>
                <w:sz w:val="16"/>
                <w:szCs w:val="16"/>
              </w:rPr>
              <w:noBreakHyphen/>
              <w:t>based survey, the number of people using multiple tobacco products remains modest but nearly doubled from 1999 to 2014.</w:t>
            </w:r>
          </w:p>
        </w:tc>
      </w:tr>
    </w:tbl>
    <w:p w14:paraId="7461C4C1" w14:textId="77777777" w:rsidR="00B85C33" w:rsidRPr="00F422F2" w:rsidRDefault="00B85C33" w:rsidP="00B85C33">
      <w:pPr>
        <w:pStyle w:val="BodyText"/>
      </w:pPr>
    </w:p>
    <w:p w14:paraId="65C60CD5" w14:textId="77777777" w:rsidR="00B85C33" w:rsidRDefault="00B85C33" w:rsidP="00B85C33">
      <w:pPr>
        <w:spacing w:after="0"/>
        <w:rPr>
          <w:sz w:val="24"/>
        </w:rPr>
      </w:pPr>
      <w:r>
        <w:br w:type="page"/>
      </w:r>
    </w:p>
    <w:p w14:paraId="79E736CB" w14:textId="77777777" w:rsidR="00B85C33" w:rsidRDefault="004C6D16" w:rsidP="004C6D16">
      <w:pPr>
        <w:pStyle w:val="Caption"/>
      </w:pPr>
      <w:bookmarkStart w:id="339" w:name="_Toc517707447"/>
      <w:r>
        <w:lastRenderedPageBreak/>
        <w:t xml:space="preserve">Table </w:t>
      </w:r>
      <w:r w:rsidR="0048064B">
        <w:rPr>
          <w:noProof/>
        </w:rPr>
        <w:fldChar w:fldCharType="begin"/>
      </w:r>
      <w:r w:rsidR="0048064B">
        <w:rPr>
          <w:noProof/>
        </w:rPr>
        <w:instrText xml:space="preserve"> SEQ Table \* ARABIC </w:instrText>
      </w:r>
      <w:r w:rsidR="0048064B">
        <w:rPr>
          <w:noProof/>
        </w:rPr>
        <w:fldChar w:fldCharType="separate"/>
      </w:r>
      <w:r w:rsidR="000C06DA">
        <w:rPr>
          <w:noProof/>
        </w:rPr>
        <w:t>38</w:t>
      </w:r>
      <w:r w:rsidR="0048064B">
        <w:rPr>
          <w:noProof/>
        </w:rPr>
        <w:fldChar w:fldCharType="end"/>
      </w:r>
      <w:r w:rsidR="00B85C33" w:rsidRPr="003E2DFC">
        <w:t>: Character</w:t>
      </w:r>
      <w:r>
        <w:t>istics of studies that were US i</w:t>
      </w:r>
      <w:r w:rsidR="00B85C33" w:rsidRPr="003E2DFC">
        <w:t>nvestigator developed</w:t>
      </w:r>
      <w:bookmarkEnd w:id="339"/>
    </w:p>
    <w:tbl>
      <w:tblPr>
        <w:tblStyle w:val="TableCSIRO"/>
        <w:tblW w:w="14913" w:type="dxa"/>
        <w:tblLook w:val="04A0" w:firstRow="1" w:lastRow="0" w:firstColumn="1" w:lastColumn="0" w:noHBand="0" w:noVBand="1"/>
      </w:tblPr>
      <w:tblGrid>
        <w:gridCol w:w="1411"/>
        <w:gridCol w:w="2327"/>
        <w:gridCol w:w="1403"/>
        <w:gridCol w:w="1385"/>
        <w:gridCol w:w="1155"/>
        <w:gridCol w:w="2056"/>
        <w:gridCol w:w="1972"/>
        <w:gridCol w:w="1620"/>
        <w:gridCol w:w="1584"/>
      </w:tblGrid>
      <w:tr w:rsidR="00B85C33" w:rsidRPr="000F6DEF" w14:paraId="49778EFF" w14:textId="77777777" w:rsidTr="000376C7">
        <w:trPr>
          <w:cnfStyle w:val="100000000000" w:firstRow="1" w:lastRow="0" w:firstColumn="0" w:lastColumn="0" w:oddVBand="0" w:evenVBand="0" w:oddHBand="0" w:evenHBand="0" w:firstRowFirstColumn="0" w:firstRowLastColumn="0" w:lastRowFirstColumn="0" w:lastRowLastColumn="0"/>
          <w:trHeight w:val="568"/>
          <w:tblHeader/>
        </w:trPr>
        <w:tc>
          <w:tcPr>
            <w:cnfStyle w:val="001000000000" w:firstRow="0" w:lastRow="0" w:firstColumn="1" w:lastColumn="0" w:oddVBand="0" w:evenVBand="0" w:oddHBand="0" w:evenHBand="0" w:firstRowFirstColumn="0" w:firstRowLastColumn="0" w:lastRowFirstColumn="0" w:lastRowLastColumn="0"/>
            <w:tcW w:w="1433" w:type="dxa"/>
            <w:hideMark/>
          </w:tcPr>
          <w:p w14:paraId="362E0DC5" w14:textId="77777777" w:rsidR="00B85C33" w:rsidRPr="000F6DEF" w:rsidRDefault="00B85C33" w:rsidP="000376C7">
            <w:pPr>
              <w:rPr>
                <w:rFonts w:cstheme="minorHAnsi"/>
                <w:color w:val="auto"/>
                <w:sz w:val="16"/>
                <w:szCs w:val="16"/>
              </w:rPr>
            </w:pPr>
            <w:r w:rsidRPr="000F6DEF">
              <w:rPr>
                <w:rFonts w:cstheme="minorHAnsi"/>
                <w:color w:val="auto"/>
                <w:sz w:val="16"/>
                <w:szCs w:val="16"/>
              </w:rPr>
              <w:t>Study reference</w:t>
            </w:r>
          </w:p>
        </w:tc>
        <w:tc>
          <w:tcPr>
            <w:tcW w:w="2388" w:type="dxa"/>
            <w:hideMark/>
          </w:tcPr>
          <w:p w14:paraId="1FD31A81" w14:textId="77777777" w:rsidR="00B85C33" w:rsidRPr="000F6DEF" w:rsidRDefault="00B85C33" w:rsidP="000376C7">
            <w:pPr>
              <w:cnfStyle w:val="100000000000" w:firstRow="1" w:lastRow="0" w:firstColumn="0" w:lastColumn="0" w:oddVBand="0" w:evenVBand="0" w:oddHBand="0" w:evenHBand="0" w:firstRowFirstColumn="0" w:firstRowLastColumn="0" w:lastRowFirstColumn="0" w:lastRowLastColumn="0"/>
              <w:rPr>
                <w:rFonts w:cstheme="minorHAnsi"/>
                <w:color w:val="auto"/>
                <w:sz w:val="16"/>
                <w:szCs w:val="16"/>
              </w:rPr>
            </w:pPr>
            <w:r w:rsidRPr="000F6DEF">
              <w:rPr>
                <w:rFonts w:cstheme="minorHAnsi"/>
                <w:color w:val="auto"/>
                <w:sz w:val="16"/>
                <w:szCs w:val="16"/>
              </w:rPr>
              <w:t>Purpose</w:t>
            </w:r>
          </w:p>
        </w:tc>
        <w:tc>
          <w:tcPr>
            <w:tcW w:w="1405" w:type="dxa"/>
            <w:hideMark/>
          </w:tcPr>
          <w:p w14:paraId="00AC9BD6" w14:textId="77777777" w:rsidR="00B85C33" w:rsidRPr="000F6DEF" w:rsidRDefault="00B85C33" w:rsidP="000376C7">
            <w:pPr>
              <w:cnfStyle w:val="100000000000" w:firstRow="1" w:lastRow="0" w:firstColumn="0" w:lastColumn="0" w:oddVBand="0" w:evenVBand="0" w:oddHBand="0" w:evenHBand="0" w:firstRowFirstColumn="0" w:firstRowLastColumn="0" w:lastRowFirstColumn="0" w:lastRowLastColumn="0"/>
              <w:rPr>
                <w:rFonts w:cstheme="minorHAnsi"/>
                <w:color w:val="auto"/>
                <w:sz w:val="16"/>
                <w:szCs w:val="16"/>
              </w:rPr>
            </w:pPr>
            <w:r w:rsidRPr="000F6DEF">
              <w:rPr>
                <w:rFonts w:cstheme="minorHAnsi"/>
                <w:color w:val="auto"/>
                <w:sz w:val="16"/>
                <w:szCs w:val="16"/>
              </w:rPr>
              <w:t>Name of survey</w:t>
            </w:r>
          </w:p>
        </w:tc>
        <w:tc>
          <w:tcPr>
            <w:tcW w:w="1406" w:type="dxa"/>
            <w:hideMark/>
          </w:tcPr>
          <w:p w14:paraId="78E31377" w14:textId="77777777" w:rsidR="00B85C33" w:rsidRPr="000F6DEF" w:rsidRDefault="00B85C33" w:rsidP="000376C7">
            <w:pPr>
              <w:cnfStyle w:val="100000000000" w:firstRow="1" w:lastRow="0" w:firstColumn="0" w:lastColumn="0" w:oddVBand="0" w:evenVBand="0" w:oddHBand="0" w:evenHBand="0" w:firstRowFirstColumn="0" w:firstRowLastColumn="0" w:lastRowFirstColumn="0" w:lastRowLastColumn="0"/>
              <w:rPr>
                <w:rFonts w:cstheme="minorHAnsi"/>
                <w:color w:val="auto"/>
                <w:sz w:val="16"/>
                <w:szCs w:val="16"/>
              </w:rPr>
            </w:pPr>
            <w:r w:rsidRPr="000F6DEF">
              <w:rPr>
                <w:rFonts w:cstheme="minorHAnsi"/>
                <w:color w:val="auto"/>
                <w:sz w:val="16"/>
                <w:szCs w:val="16"/>
              </w:rPr>
              <w:t>Country or location</w:t>
            </w:r>
          </w:p>
        </w:tc>
        <w:tc>
          <w:tcPr>
            <w:tcW w:w="1167" w:type="dxa"/>
            <w:hideMark/>
          </w:tcPr>
          <w:p w14:paraId="3A6EBB50" w14:textId="77777777" w:rsidR="00B85C33" w:rsidRPr="000F6DEF" w:rsidRDefault="00B85C33" w:rsidP="000376C7">
            <w:pPr>
              <w:cnfStyle w:val="100000000000" w:firstRow="1" w:lastRow="0" w:firstColumn="0" w:lastColumn="0" w:oddVBand="0" w:evenVBand="0" w:oddHBand="0" w:evenHBand="0" w:firstRowFirstColumn="0" w:firstRowLastColumn="0" w:lastRowFirstColumn="0" w:lastRowLastColumn="0"/>
              <w:rPr>
                <w:rFonts w:cstheme="minorHAnsi"/>
                <w:color w:val="auto"/>
                <w:sz w:val="16"/>
                <w:szCs w:val="16"/>
              </w:rPr>
            </w:pPr>
            <w:r w:rsidRPr="000F6DEF">
              <w:rPr>
                <w:rFonts w:cstheme="minorHAnsi"/>
                <w:color w:val="auto"/>
                <w:sz w:val="16"/>
                <w:szCs w:val="16"/>
              </w:rPr>
              <w:t>Year data collected</w:t>
            </w:r>
          </w:p>
        </w:tc>
        <w:tc>
          <w:tcPr>
            <w:tcW w:w="2125" w:type="dxa"/>
            <w:hideMark/>
          </w:tcPr>
          <w:p w14:paraId="4514AD7A" w14:textId="77777777" w:rsidR="00B85C33" w:rsidRPr="000F6DEF" w:rsidRDefault="00B85C33" w:rsidP="000376C7">
            <w:pPr>
              <w:cnfStyle w:val="100000000000" w:firstRow="1" w:lastRow="0" w:firstColumn="0" w:lastColumn="0" w:oddVBand="0" w:evenVBand="0" w:oddHBand="0" w:evenHBand="0" w:firstRowFirstColumn="0" w:firstRowLastColumn="0" w:lastRowFirstColumn="0" w:lastRowLastColumn="0"/>
              <w:rPr>
                <w:rFonts w:cstheme="minorHAnsi"/>
                <w:color w:val="auto"/>
                <w:sz w:val="16"/>
                <w:szCs w:val="16"/>
              </w:rPr>
            </w:pPr>
            <w:r w:rsidRPr="000F6DEF">
              <w:rPr>
                <w:rFonts w:cstheme="minorHAnsi"/>
                <w:color w:val="auto"/>
                <w:sz w:val="16"/>
                <w:szCs w:val="16"/>
              </w:rPr>
              <w:t>Participants</w:t>
            </w:r>
          </w:p>
        </w:tc>
        <w:tc>
          <w:tcPr>
            <w:tcW w:w="2003" w:type="dxa"/>
            <w:hideMark/>
          </w:tcPr>
          <w:p w14:paraId="454FEAC0" w14:textId="77777777" w:rsidR="00B85C33" w:rsidRPr="000F6DEF" w:rsidRDefault="00B85C33" w:rsidP="000376C7">
            <w:pPr>
              <w:cnfStyle w:val="100000000000" w:firstRow="1" w:lastRow="0" w:firstColumn="0" w:lastColumn="0" w:oddVBand="0" w:evenVBand="0" w:oddHBand="0" w:evenHBand="0" w:firstRowFirstColumn="0" w:firstRowLastColumn="0" w:lastRowFirstColumn="0" w:lastRowLastColumn="0"/>
              <w:rPr>
                <w:rFonts w:cstheme="minorHAnsi"/>
                <w:color w:val="auto"/>
                <w:sz w:val="16"/>
                <w:szCs w:val="16"/>
              </w:rPr>
            </w:pPr>
            <w:r w:rsidRPr="000F6DEF">
              <w:rPr>
                <w:rFonts w:cstheme="minorHAnsi"/>
                <w:color w:val="auto"/>
                <w:sz w:val="16"/>
                <w:szCs w:val="16"/>
              </w:rPr>
              <w:t>Recruitment/ selection method</w:t>
            </w:r>
          </w:p>
        </w:tc>
        <w:tc>
          <w:tcPr>
            <w:tcW w:w="1623" w:type="dxa"/>
            <w:hideMark/>
          </w:tcPr>
          <w:p w14:paraId="25EDA1E4" w14:textId="77777777" w:rsidR="00B85C33" w:rsidRPr="000F6DEF" w:rsidRDefault="00B85C33" w:rsidP="000376C7">
            <w:pPr>
              <w:cnfStyle w:val="100000000000" w:firstRow="1" w:lastRow="0" w:firstColumn="0" w:lastColumn="0" w:oddVBand="0" w:evenVBand="0" w:oddHBand="0" w:evenHBand="0" w:firstRowFirstColumn="0" w:firstRowLastColumn="0" w:lastRowFirstColumn="0" w:lastRowLastColumn="0"/>
              <w:rPr>
                <w:rFonts w:cstheme="minorHAnsi"/>
                <w:color w:val="auto"/>
                <w:sz w:val="16"/>
                <w:szCs w:val="16"/>
              </w:rPr>
            </w:pPr>
            <w:r w:rsidRPr="000F6DEF">
              <w:rPr>
                <w:rFonts w:cstheme="minorHAnsi"/>
                <w:color w:val="auto"/>
                <w:sz w:val="16"/>
                <w:szCs w:val="16"/>
              </w:rPr>
              <w:t xml:space="preserve">Admin Method </w:t>
            </w:r>
          </w:p>
        </w:tc>
        <w:tc>
          <w:tcPr>
            <w:tcW w:w="1363" w:type="dxa"/>
            <w:hideMark/>
          </w:tcPr>
          <w:p w14:paraId="28686F03" w14:textId="77777777" w:rsidR="00B85C33" w:rsidRPr="000F6DEF" w:rsidRDefault="00B85C33" w:rsidP="000376C7">
            <w:pPr>
              <w:cnfStyle w:val="100000000000" w:firstRow="1" w:lastRow="0" w:firstColumn="0" w:lastColumn="0" w:oddVBand="0" w:evenVBand="0" w:oddHBand="0" w:evenHBand="0" w:firstRowFirstColumn="0" w:firstRowLastColumn="0" w:lastRowFirstColumn="0" w:lastRowLastColumn="0"/>
              <w:rPr>
                <w:rFonts w:cstheme="minorHAnsi"/>
                <w:color w:val="auto"/>
                <w:sz w:val="16"/>
                <w:szCs w:val="16"/>
              </w:rPr>
            </w:pPr>
            <w:r w:rsidRPr="000F6DEF">
              <w:rPr>
                <w:rFonts w:cstheme="minorHAnsi"/>
                <w:color w:val="auto"/>
                <w:sz w:val="16"/>
                <w:szCs w:val="16"/>
              </w:rPr>
              <w:t>Measures</w:t>
            </w:r>
          </w:p>
        </w:tc>
      </w:tr>
      <w:tr w:rsidR="00B85C33" w:rsidRPr="000F6DEF" w14:paraId="30A39FF0" w14:textId="77777777" w:rsidTr="000376C7">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1433" w:type="dxa"/>
          </w:tcPr>
          <w:p w14:paraId="0AB59C5D" w14:textId="77777777" w:rsidR="00B85C33" w:rsidRPr="000F6DEF" w:rsidRDefault="00B85C33" w:rsidP="000376C7">
            <w:pPr>
              <w:spacing w:after="0"/>
              <w:rPr>
                <w:rFonts w:eastAsia="Times New Roman" w:cs="Calibri"/>
                <w:sz w:val="16"/>
                <w:szCs w:val="16"/>
              </w:rPr>
            </w:pPr>
            <w:r w:rsidRPr="000F6DEF">
              <w:rPr>
                <w:rFonts w:cs="Calibri"/>
                <w:sz w:val="16"/>
                <w:szCs w:val="16"/>
              </w:rPr>
              <w:t>Abadi, Couch, Chaffee, Walsh</w:t>
            </w:r>
          </w:p>
        </w:tc>
        <w:tc>
          <w:tcPr>
            <w:tcW w:w="2388" w:type="dxa"/>
          </w:tcPr>
          <w:p w14:paraId="743C5973"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To assess electronic cigarette (</w:t>
            </w:r>
            <w:r>
              <w:rPr>
                <w:rFonts w:cs="Calibri"/>
                <w:sz w:val="16"/>
                <w:szCs w:val="16"/>
              </w:rPr>
              <w:t>e</w:t>
            </w:r>
            <w:r>
              <w:rPr>
                <w:rFonts w:cs="Calibri"/>
                <w:sz w:val="16"/>
                <w:szCs w:val="16"/>
              </w:rPr>
              <w:noBreakHyphen/>
              <w:t>cig</w:t>
            </w:r>
            <w:r w:rsidRPr="000F6DEF">
              <w:rPr>
                <w:rFonts w:cs="Calibri"/>
                <w:sz w:val="16"/>
                <w:szCs w:val="16"/>
              </w:rPr>
              <w:t xml:space="preserve">arette) use, factors associated with use, and exposure to </w:t>
            </w:r>
            <w:r>
              <w:rPr>
                <w:rFonts w:cs="Calibri"/>
                <w:sz w:val="16"/>
                <w:szCs w:val="16"/>
              </w:rPr>
              <w:t>e</w:t>
            </w:r>
            <w:r>
              <w:rPr>
                <w:rFonts w:cs="Calibri"/>
                <w:sz w:val="16"/>
                <w:szCs w:val="16"/>
              </w:rPr>
              <w:noBreakHyphen/>
              <w:t>cig</w:t>
            </w:r>
            <w:r w:rsidRPr="000F6DEF">
              <w:rPr>
                <w:rFonts w:cs="Calibri"/>
                <w:sz w:val="16"/>
                <w:szCs w:val="16"/>
              </w:rPr>
              <w:t>arette</w:t>
            </w:r>
            <w:r w:rsidRPr="000F6DEF">
              <w:rPr>
                <w:rFonts w:cs="Calibri"/>
                <w:sz w:val="16"/>
                <w:szCs w:val="16"/>
              </w:rPr>
              <w:noBreakHyphen/>
              <w:t>related information from health professionals in a sample of college students attending a public university in northern California, using a web</w:t>
            </w:r>
            <w:r w:rsidRPr="000F6DEF">
              <w:rPr>
                <w:rFonts w:cs="Calibri"/>
                <w:sz w:val="16"/>
                <w:szCs w:val="16"/>
              </w:rPr>
              <w:noBreakHyphen/>
              <w:t>based survey.</w:t>
            </w:r>
          </w:p>
        </w:tc>
        <w:tc>
          <w:tcPr>
            <w:tcW w:w="1405" w:type="dxa"/>
          </w:tcPr>
          <w:p w14:paraId="4A407D6C"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Investigator developed</w:t>
            </w:r>
            <w:r w:rsidRPr="000F6DEF">
              <w:rPr>
                <w:rFonts w:cs="Calibri"/>
                <w:sz w:val="16"/>
                <w:szCs w:val="16"/>
              </w:rPr>
              <w:br/>
              <w:t>18</w:t>
            </w:r>
            <w:r w:rsidRPr="000F6DEF">
              <w:rPr>
                <w:rFonts w:cs="Calibri"/>
                <w:sz w:val="16"/>
                <w:szCs w:val="16"/>
              </w:rPr>
              <w:noBreakHyphen/>
              <w:t>item survey, developed in part by study investigators</w:t>
            </w:r>
          </w:p>
        </w:tc>
        <w:tc>
          <w:tcPr>
            <w:tcW w:w="1406" w:type="dxa"/>
          </w:tcPr>
          <w:p w14:paraId="271880C3"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San Francisco Bay, US</w:t>
            </w:r>
          </w:p>
        </w:tc>
        <w:tc>
          <w:tcPr>
            <w:tcW w:w="1167" w:type="dxa"/>
          </w:tcPr>
          <w:p w14:paraId="72107B39"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NR</w:t>
            </w:r>
          </w:p>
        </w:tc>
        <w:tc>
          <w:tcPr>
            <w:tcW w:w="2125" w:type="dxa"/>
          </w:tcPr>
          <w:p w14:paraId="7D54375C"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N=91 College students</w:t>
            </w:r>
          </w:p>
          <w:p w14:paraId="22DCB5CA"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Ages: 18</w:t>
            </w:r>
            <w:r w:rsidRPr="000F6DEF">
              <w:rPr>
                <w:rFonts w:cs="Calibri"/>
                <w:sz w:val="16"/>
                <w:szCs w:val="16"/>
              </w:rPr>
              <w:noBreakHyphen/>
              <w:t>21 (33%)</w:t>
            </w:r>
            <w:r w:rsidRPr="000F6DEF">
              <w:rPr>
                <w:rFonts w:cs="Calibri"/>
                <w:sz w:val="16"/>
                <w:szCs w:val="16"/>
              </w:rPr>
              <w:br/>
              <w:t>22</w:t>
            </w:r>
            <w:r w:rsidRPr="000F6DEF">
              <w:rPr>
                <w:rFonts w:cs="Calibri"/>
                <w:sz w:val="16"/>
                <w:szCs w:val="16"/>
              </w:rPr>
              <w:noBreakHyphen/>
              <w:t>24 (12%)</w:t>
            </w:r>
            <w:r w:rsidRPr="000F6DEF">
              <w:rPr>
                <w:rFonts w:cs="Calibri"/>
                <w:sz w:val="16"/>
                <w:szCs w:val="16"/>
              </w:rPr>
              <w:br/>
              <w:t>25 and over (10%)</w:t>
            </w:r>
          </w:p>
          <w:p w14:paraId="0836D97B"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22% male</w:t>
            </w:r>
          </w:p>
          <w:p w14:paraId="3B420805"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p>
        </w:tc>
        <w:tc>
          <w:tcPr>
            <w:tcW w:w="2003" w:type="dxa"/>
          </w:tcPr>
          <w:p w14:paraId="6F3A7477" w14:textId="77777777" w:rsidR="00B85C33" w:rsidRPr="000F6DEF" w:rsidRDefault="00B85C33" w:rsidP="000376C7">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0F6DEF">
              <w:rPr>
                <w:rFonts w:cs="Calibri"/>
                <w:sz w:val="16"/>
                <w:szCs w:val="16"/>
              </w:rPr>
              <w:t>Through faculty members in three university courses</w:t>
            </w:r>
          </w:p>
        </w:tc>
        <w:tc>
          <w:tcPr>
            <w:tcW w:w="1623" w:type="dxa"/>
          </w:tcPr>
          <w:p w14:paraId="3092F277"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Link provided in a recruitment letter</w:t>
            </w:r>
            <w:r w:rsidRPr="000F6DEF">
              <w:rPr>
                <w:rFonts w:cs="Calibri"/>
                <w:sz w:val="16"/>
                <w:szCs w:val="16"/>
              </w:rPr>
              <w:br/>
              <w:t>Online vis Qualtrics</w:t>
            </w:r>
            <w:r w:rsidRPr="000F6DEF">
              <w:rPr>
                <w:rFonts w:cs="Calibri"/>
                <w:sz w:val="16"/>
                <w:szCs w:val="16"/>
              </w:rPr>
              <w:br/>
              <w:t>Total 18 items, piloted with 10 students</w:t>
            </w:r>
          </w:p>
        </w:tc>
        <w:tc>
          <w:tcPr>
            <w:tcW w:w="1363" w:type="dxa"/>
          </w:tcPr>
          <w:p w14:paraId="106C952D" w14:textId="266C6870"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Pr>
                <w:rFonts w:cs="Calibri"/>
                <w:sz w:val="16"/>
                <w:szCs w:val="16"/>
              </w:rPr>
              <w:t>E</w:t>
            </w:r>
            <w:r>
              <w:rPr>
                <w:rFonts w:cs="Calibri"/>
                <w:sz w:val="16"/>
                <w:szCs w:val="16"/>
              </w:rPr>
              <w:noBreakHyphen/>
              <w:t>cig</w:t>
            </w:r>
            <w:r w:rsidRPr="000F6DEF">
              <w:rPr>
                <w:rFonts w:cs="Calibri"/>
                <w:sz w:val="16"/>
                <w:szCs w:val="16"/>
              </w:rPr>
              <w:t>arette awareness;</w:t>
            </w:r>
            <w:r w:rsidR="008146F9">
              <w:rPr>
                <w:rFonts w:cs="Calibri"/>
                <w:sz w:val="16"/>
                <w:szCs w:val="16"/>
              </w:rPr>
              <w:t xml:space="preserve"> </w:t>
            </w:r>
            <w:r>
              <w:rPr>
                <w:rFonts w:cs="Calibri"/>
                <w:sz w:val="16"/>
                <w:szCs w:val="16"/>
              </w:rPr>
              <w:t>e</w:t>
            </w:r>
            <w:r>
              <w:rPr>
                <w:rFonts w:cs="Calibri"/>
                <w:sz w:val="16"/>
                <w:szCs w:val="16"/>
              </w:rPr>
              <w:noBreakHyphen/>
              <w:t>cig</w:t>
            </w:r>
            <w:r w:rsidRPr="000F6DEF">
              <w:rPr>
                <w:rFonts w:cs="Calibri"/>
                <w:sz w:val="16"/>
                <w:szCs w:val="16"/>
              </w:rPr>
              <w:t xml:space="preserve">arette use; perceptions of harm, addiction, risk, social acceptability for tobacco and </w:t>
            </w:r>
            <w:r>
              <w:rPr>
                <w:rFonts w:cs="Calibri"/>
                <w:sz w:val="16"/>
                <w:szCs w:val="16"/>
              </w:rPr>
              <w:t>e</w:t>
            </w:r>
            <w:r>
              <w:rPr>
                <w:rFonts w:cs="Calibri"/>
                <w:sz w:val="16"/>
                <w:szCs w:val="16"/>
              </w:rPr>
              <w:noBreakHyphen/>
              <w:t>cig</w:t>
            </w:r>
            <w:r w:rsidRPr="000F6DEF">
              <w:rPr>
                <w:rFonts w:cs="Calibri"/>
                <w:sz w:val="16"/>
                <w:szCs w:val="16"/>
              </w:rPr>
              <w:t>arettes; previous use of healthcare counselling; demographics</w:t>
            </w:r>
          </w:p>
        </w:tc>
      </w:tr>
      <w:tr w:rsidR="00B85C33" w:rsidRPr="000F6DEF" w14:paraId="2D038E33" w14:textId="77777777" w:rsidTr="000376C7">
        <w:trPr>
          <w:trHeight w:val="568"/>
        </w:trPr>
        <w:tc>
          <w:tcPr>
            <w:cnfStyle w:val="001000000000" w:firstRow="0" w:lastRow="0" w:firstColumn="1" w:lastColumn="0" w:oddVBand="0" w:evenVBand="0" w:oddHBand="0" w:evenHBand="0" w:firstRowFirstColumn="0" w:firstRowLastColumn="0" w:lastRowFirstColumn="0" w:lastRowLastColumn="0"/>
            <w:tcW w:w="1433" w:type="dxa"/>
          </w:tcPr>
          <w:p w14:paraId="103B83B2" w14:textId="77777777" w:rsidR="00B85C33" w:rsidRPr="000F6DEF" w:rsidRDefault="00B85C33" w:rsidP="000376C7">
            <w:pPr>
              <w:rPr>
                <w:rFonts w:cs="Calibri"/>
                <w:sz w:val="16"/>
                <w:szCs w:val="16"/>
              </w:rPr>
            </w:pPr>
            <w:r w:rsidRPr="000F6DEF">
              <w:rPr>
                <w:rFonts w:cs="Calibri"/>
                <w:sz w:val="16"/>
                <w:szCs w:val="16"/>
              </w:rPr>
              <w:t xml:space="preserve">Ashford, Rayens, Wiggins et al. </w:t>
            </w:r>
          </w:p>
        </w:tc>
        <w:tc>
          <w:tcPr>
            <w:tcW w:w="2388" w:type="dxa"/>
          </w:tcPr>
          <w:p w14:paraId="5637FE68" w14:textId="73B08700"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The study examined the relationship between exposure to </w:t>
            </w:r>
            <w:r>
              <w:rPr>
                <w:rFonts w:cs="Calibri"/>
                <w:sz w:val="16"/>
                <w:szCs w:val="16"/>
              </w:rPr>
              <w:t>e</w:t>
            </w:r>
            <w:r>
              <w:rPr>
                <w:rFonts w:cs="Calibri"/>
                <w:sz w:val="16"/>
                <w:szCs w:val="16"/>
              </w:rPr>
              <w:noBreakHyphen/>
              <w:t>cig</w:t>
            </w:r>
            <w:r w:rsidRPr="000F6DEF">
              <w:rPr>
                <w:rFonts w:cs="Calibri"/>
                <w:sz w:val="16"/>
                <w:szCs w:val="16"/>
              </w:rPr>
              <w:t xml:space="preserve">arette advertising and </w:t>
            </w:r>
            <w:r>
              <w:rPr>
                <w:rFonts w:cs="Calibri"/>
                <w:sz w:val="16"/>
                <w:szCs w:val="16"/>
              </w:rPr>
              <w:t>e</w:t>
            </w:r>
            <w:r>
              <w:rPr>
                <w:rFonts w:cs="Calibri"/>
                <w:sz w:val="16"/>
                <w:szCs w:val="16"/>
              </w:rPr>
              <w:noBreakHyphen/>
              <w:t>cig</w:t>
            </w:r>
            <w:r w:rsidRPr="000F6DEF">
              <w:rPr>
                <w:rFonts w:cs="Calibri"/>
                <w:sz w:val="16"/>
                <w:szCs w:val="16"/>
              </w:rPr>
              <w:t xml:space="preserve">arette use by pregnancy status, including use of flavoured </w:t>
            </w:r>
            <w:r>
              <w:rPr>
                <w:rFonts w:cs="Calibri"/>
                <w:sz w:val="16"/>
                <w:szCs w:val="16"/>
              </w:rPr>
              <w:t>e</w:t>
            </w:r>
            <w:r>
              <w:rPr>
                <w:rFonts w:cs="Calibri"/>
                <w:sz w:val="16"/>
                <w:szCs w:val="16"/>
              </w:rPr>
              <w:noBreakHyphen/>
              <w:t>cig</w:t>
            </w:r>
            <w:r w:rsidRPr="000F6DEF">
              <w:rPr>
                <w:rFonts w:cs="Calibri"/>
                <w:sz w:val="16"/>
                <w:szCs w:val="16"/>
              </w:rPr>
              <w:t>arette products, among women of childbearing age</w:t>
            </w:r>
            <w:r w:rsidR="006E78E1">
              <w:rPr>
                <w:rFonts w:cs="Calibri"/>
                <w:sz w:val="16"/>
                <w:szCs w:val="16"/>
              </w:rPr>
              <w:t>.</w:t>
            </w:r>
          </w:p>
        </w:tc>
        <w:tc>
          <w:tcPr>
            <w:tcW w:w="1405" w:type="dxa"/>
          </w:tcPr>
          <w:p w14:paraId="3D27C535"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Investigator developed </w:t>
            </w:r>
          </w:p>
        </w:tc>
        <w:tc>
          <w:tcPr>
            <w:tcW w:w="1406" w:type="dxa"/>
          </w:tcPr>
          <w:p w14:paraId="39C54B89"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Kentucky, US</w:t>
            </w:r>
          </w:p>
        </w:tc>
        <w:tc>
          <w:tcPr>
            <w:tcW w:w="1167" w:type="dxa"/>
          </w:tcPr>
          <w:p w14:paraId="60EF92F8"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July 2014 to April 2015</w:t>
            </w:r>
          </w:p>
        </w:tc>
        <w:tc>
          <w:tcPr>
            <w:tcW w:w="2125" w:type="dxa"/>
          </w:tcPr>
          <w:p w14:paraId="61E629E1"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n=194</w:t>
            </w:r>
            <w:r w:rsidRPr="000F6DEF">
              <w:rPr>
                <w:rFonts w:cs="Calibri"/>
                <w:sz w:val="16"/>
                <w:szCs w:val="16"/>
              </w:rPr>
              <w:br/>
              <w:t>51.5% pregnant</w:t>
            </w:r>
          </w:p>
          <w:p w14:paraId="55E18B42"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Mean age: 29.56(6.71) </w:t>
            </w:r>
          </w:p>
          <w:p w14:paraId="48A839BE"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0% male</w:t>
            </w:r>
          </w:p>
        </w:tc>
        <w:tc>
          <w:tcPr>
            <w:tcW w:w="2003" w:type="dxa"/>
          </w:tcPr>
          <w:p w14:paraId="78BC14E6"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Pregnant women were recruited from two university</w:t>
            </w:r>
            <w:r w:rsidRPr="000F6DEF">
              <w:rPr>
                <w:rFonts w:cs="Calibri"/>
                <w:sz w:val="16"/>
                <w:szCs w:val="16"/>
              </w:rPr>
              <w:noBreakHyphen/>
              <w:t xml:space="preserve"> affiliated prenatal clinics and non</w:t>
            </w:r>
            <w:r w:rsidRPr="000F6DEF">
              <w:rPr>
                <w:rFonts w:cs="Calibri"/>
                <w:sz w:val="16"/>
                <w:szCs w:val="16"/>
              </w:rPr>
              <w:noBreakHyphen/>
              <w:t>pregnant women of childbearing age were recruited from one women’s health clinic; clinics were located in Central and Eastern Kentucky</w:t>
            </w:r>
          </w:p>
        </w:tc>
        <w:tc>
          <w:tcPr>
            <w:tcW w:w="1623" w:type="dxa"/>
          </w:tcPr>
          <w:p w14:paraId="627AA474"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Nearly, three</w:t>
            </w:r>
            <w:r w:rsidRPr="000F6DEF">
              <w:rPr>
                <w:rFonts w:cs="Calibri"/>
                <w:sz w:val="16"/>
                <w:szCs w:val="16"/>
              </w:rPr>
              <w:noBreakHyphen/>
              <w:t xml:space="preserve"> fourths of participants completed the survey via an iPad; the remainder completed a paper form and their responses were entered into the database. </w:t>
            </w:r>
            <w:r w:rsidRPr="000F6DEF">
              <w:rPr>
                <w:rFonts w:cs="Calibri"/>
                <w:sz w:val="16"/>
                <w:szCs w:val="16"/>
              </w:rPr>
              <w:br/>
              <w:t>$10 gift card</w:t>
            </w:r>
          </w:p>
        </w:tc>
        <w:tc>
          <w:tcPr>
            <w:tcW w:w="1363" w:type="dxa"/>
          </w:tcPr>
          <w:p w14:paraId="1603DB5F" w14:textId="55B32E9C"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Demographics</w:t>
            </w:r>
            <w:r w:rsidRPr="000F6DEF">
              <w:rPr>
                <w:rFonts w:cs="Calibri"/>
                <w:sz w:val="16"/>
                <w:szCs w:val="16"/>
              </w:rPr>
              <w:br/>
              <w:t xml:space="preserve">Exposure to </w:t>
            </w:r>
            <w:r>
              <w:rPr>
                <w:rFonts w:cs="Calibri"/>
                <w:sz w:val="16"/>
                <w:szCs w:val="16"/>
              </w:rPr>
              <w:t>e</w:t>
            </w:r>
            <w:r>
              <w:rPr>
                <w:rFonts w:cs="Calibri"/>
                <w:sz w:val="16"/>
                <w:szCs w:val="16"/>
              </w:rPr>
              <w:noBreakHyphen/>
              <w:t>cig</w:t>
            </w:r>
            <w:r w:rsidRPr="000F6DEF">
              <w:rPr>
                <w:rFonts w:cs="Calibri"/>
                <w:sz w:val="16"/>
                <w:szCs w:val="16"/>
              </w:rPr>
              <w:t>arette advertising (NIDA 2014 PATH survey 10 items)</w:t>
            </w:r>
            <w:r w:rsidRPr="000F6DEF">
              <w:rPr>
                <w:rFonts w:cs="Calibri"/>
                <w:sz w:val="16"/>
                <w:szCs w:val="16"/>
              </w:rPr>
              <w:br/>
              <w:t>Cig use past 30 days</w:t>
            </w:r>
            <w:r w:rsidRPr="000F6DEF">
              <w:rPr>
                <w:rFonts w:cs="Calibri"/>
                <w:sz w:val="16"/>
                <w:szCs w:val="16"/>
              </w:rPr>
              <w:br/>
              <w:t xml:space="preserve">Ever use </w:t>
            </w:r>
            <w:r>
              <w:rPr>
                <w:rFonts w:cs="Calibri"/>
                <w:sz w:val="16"/>
                <w:szCs w:val="16"/>
              </w:rPr>
              <w:t>e</w:t>
            </w:r>
            <w:r>
              <w:rPr>
                <w:rFonts w:cs="Calibri"/>
                <w:sz w:val="16"/>
                <w:szCs w:val="16"/>
              </w:rPr>
              <w:noBreakHyphen/>
              <w:t>cig</w:t>
            </w:r>
            <w:r w:rsidR="008F4D73">
              <w:rPr>
                <w:rFonts w:cs="Calibri"/>
                <w:sz w:val="16"/>
                <w:szCs w:val="16"/>
              </w:rPr>
              <w:t>arette</w:t>
            </w:r>
            <w:r w:rsidRPr="000F6DEF">
              <w:rPr>
                <w:rFonts w:cs="Calibri"/>
                <w:sz w:val="16"/>
                <w:szCs w:val="16"/>
              </w:rPr>
              <w:br/>
              <w:t xml:space="preserve">Use flavoured </w:t>
            </w:r>
            <w:r>
              <w:rPr>
                <w:rFonts w:cs="Calibri"/>
                <w:sz w:val="16"/>
                <w:szCs w:val="16"/>
              </w:rPr>
              <w:t>e</w:t>
            </w:r>
            <w:r>
              <w:rPr>
                <w:rFonts w:cs="Calibri"/>
                <w:sz w:val="16"/>
                <w:szCs w:val="16"/>
              </w:rPr>
              <w:noBreakHyphen/>
              <w:t>cig</w:t>
            </w:r>
            <w:r w:rsidR="008F4D73">
              <w:rPr>
                <w:rFonts w:cs="Calibri"/>
                <w:sz w:val="16"/>
                <w:szCs w:val="16"/>
              </w:rPr>
              <w:t>arette</w:t>
            </w:r>
          </w:p>
        </w:tc>
      </w:tr>
      <w:tr w:rsidR="00B85C33" w:rsidRPr="000F6DEF" w14:paraId="541D19CE" w14:textId="77777777" w:rsidTr="000376C7">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1433" w:type="dxa"/>
          </w:tcPr>
          <w:p w14:paraId="7C730753" w14:textId="77777777" w:rsidR="00B85C33" w:rsidRPr="000F6DEF" w:rsidRDefault="00B85C33" w:rsidP="000376C7">
            <w:pPr>
              <w:rPr>
                <w:rFonts w:cs="Calibri"/>
                <w:sz w:val="16"/>
                <w:szCs w:val="16"/>
              </w:rPr>
            </w:pPr>
            <w:r w:rsidRPr="000F6DEF">
              <w:rPr>
                <w:rFonts w:cs="Calibri"/>
                <w:sz w:val="16"/>
                <w:szCs w:val="16"/>
              </w:rPr>
              <w:t>Bauhoff, Montero, Scharf</w:t>
            </w:r>
          </w:p>
        </w:tc>
        <w:tc>
          <w:tcPr>
            <w:tcW w:w="2388" w:type="dxa"/>
          </w:tcPr>
          <w:p w14:paraId="63ED0252"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To examine how smoking status impacts adult perceptions and expectations of </w:t>
            </w:r>
            <w:r>
              <w:rPr>
                <w:rFonts w:cs="Calibri"/>
                <w:sz w:val="16"/>
                <w:szCs w:val="16"/>
              </w:rPr>
              <w:t>e</w:t>
            </w:r>
            <w:r>
              <w:rPr>
                <w:rFonts w:cs="Calibri"/>
                <w:sz w:val="16"/>
                <w:szCs w:val="16"/>
              </w:rPr>
              <w:noBreakHyphen/>
              <w:t>cig</w:t>
            </w:r>
            <w:r w:rsidRPr="000F6DEF">
              <w:rPr>
                <w:rFonts w:cs="Calibri"/>
                <w:sz w:val="16"/>
                <w:szCs w:val="16"/>
              </w:rPr>
              <w:t>arettes.</w:t>
            </w:r>
          </w:p>
        </w:tc>
        <w:tc>
          <w:tcPr>
            <w:tcW w:w="1405" w:type="dxa"/>
          </w:tcPr>
          <w:p w14:paraId="167EF7B5"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Investigator developed</w:t>
            </w:r>
          </w:p>
        </w:tc>
        <w:tc>
          <w:tcPr>
            <w:tcW w:w="1406" w:type="dxa"/>
          </w:tcPr>
          <w:p w14:paraId="1FF18E28"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US national</w:t>
            </w:r>
          </w:p>
        </w:tc>
        <w:tc>
          <w:tcPr>
            <w:tcW w:w="1167" w:type="dxa"/>
          </w:tcPr>
          <w:p w14:paraId="10E75F3D"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March, 2014</w:t>
            </w:r>
          </w:p>
        </w:tc>
        <w:tc>
          <w:tcPr>
            <w:tcW w:w="2125" w:type="dxa"/>
          </w:tcPr>
          <w:p w14:paraId="173D5E4F"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796</w:t>
            </w:r>
          </w:p>
          <w:p w14:paraId="2857CA8D"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Ages: 18</w:t>
            </w:r>
            <w:r w:rsidRPr="000F6DEF">
              <w:rPr>
                <w:rFonts w:cs="Calibri"/>
                <w:sz w:val="16"/>
                <w:szCs w:val="16"/>
              </w:rPr>
              <w:noBreakHyphen/>
              <w:t>24 18%; 25</w:t>
            </w:r>
            <w:r w:rsidRPr="000F6DEF">
              <w:rPr>
                <w:rFonts w:cs="Calibri"/>
                <w:sz w:val="16"/>
                <w:szCs w:val="16"/>
              </w:rPr>
              <w:noBreakHyphen/>
              <w:t>34 40%; 35</w:t>
            </w:r>
            <w:r w:rsidRPr="000F6DEF">
              <w:rPr>
                <w:rFonts w:cs="Calibri"/>
                <w:sz w:val="16"/>
                <w:szCs w:val="16"/>
              </w:rPr>
              <w:noBreakHyphen/>
              <w:t>44 19%; 45</w:t>
            </w:r>
            <w:r w:rsidRPr="000F6DEF">
              <w:rPr>
                <w:rFonts w:cs="Calibri"/>
                <w:sz w:val="16"/>
                <w:szCs w:val="16"/>
              </w:rPr>
              <w:noBreakHyphen/>
              <w:t>54 14%; 55</w:t>
            </w:r>
            <w:r w:rsidRPr="000F6DEF">
              <w:rPr>
                <w:rFonts w:cs="Calibri"/>
                <w:sz w:val="16"/>
                <w:szCs w:val="16"/>
              </w:rPr>
              <w:noBreakHyphen/>
              <w:t>64 9%</w:t>
            </w:r>
          </w:p>
          <w:p w14:paraId="4B02527F"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52% male</w:t>
            </w:r>
          </w:p>
        </w:tc>
        <w:tc>
          <w:tcPr>
            <w:tcW w:w="2003" w:type="dxa"/>
          </w:tcPr>
          <w:p w14:paraId="3323B2B8"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Mechanical Turk (MTurk), a "crowdsourcing" platform for participants on a US</w:t>
            </w:r>
            <w:r w:rsidRPr="000F6DEF">
              <w:rPr>
                <w:rFonts w:cs="Calibri"/>
                <w:sz w:val="16"/>
                <w:szCs w:val="16"/>
              </w:rPr>
              <w:noBreakHyphen/>
              <w:t>based computer</w:t>
            </w:r>
          </w:p>
        </w:tc>
        <w:tc>
          <w:tcPr>
            <w:tcW w:w="1623" w:type="dxa"/>
          </w:tcPr>
          <w:p w14:paraId="7B8C1BD9"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Clicked on a link for a “Social Science Study” and provided informed consent. 35 items</w:t>
            </w:r>
          </w:p>
        </w:tc>
        <w:tc>
          <w:tcPr>
            <w:tcW w:w="1363" w:type="dxa"/>
          </w:tcPr>
          <w:p w14:paraId="49156053" w14:textId="787CB8CA"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Demographics</w:t>
            </w:r>
            <w:r w:rsidRPr="000F6DEF">
              <w:rPr>
                <w:rFonts w:cs="Calibri"/>
                <w:sz w:val="16"/>
                <w:szCs w:val="16"/>
              </w:rPr>
              <w:br/>
              <w:t>Cig</w:t>
            </w:r>
            <w:r w:rsidR="007B1B17">
              <w:rPr>
                <w:rFonts w:cs="Calibri"/>
                <w:sz w:val="16"/>
                <w:szCs w:val="16"/>
              </w:rPr>
              <w:t>arette</w:t>
            </w:r>
            <w:r w:rsidRPr="000F6DEF">
              <w:rPr>
                <w:rFonts w:cs="Calibri"/>
                <w:sz w:val="16"/>
                <w:szCs w:val="16"/>
              </w:rPr>
              <w:t xml:space="preserve"> smoking status and history</w:t>
            </w:r>
            <w:r w:rsidRPr="000F6DEF">
              <w:rPr>
                <w:rFonts w:cs="Calibri"/>
                <w:sz w:val="16"/>
                <w:szCs w:val="16"/>
              </w:rPr>
              <w:br/>
            </w:r>
            <w:r>
              <w:rPr>
                <w:rFonts w:cs="Calibri"/>
                <w:sz w:val="16"/>
                <w:szCs w:val="16"/>
              </w:rPr>
              <w:t>e</w:t>
            </w:r>
            <w:r>
              <w:rPr>
                <w:rFonts w:cs="Calibri"/>
                <w:sz w:val="16"/>
                <w:szCs w:val="16"/>
              </w:rPr>
              <w:noBreakHyphen/>
              <w:t>cig</w:t>
            </w:r>
            <w:r w:rsidRPr="000F6DEF">
              <w:rPr>
                <w:rFonts w:cs="Calibri"/>
                <w:sz w:val="16"/>
                <w:szCs w:val="16"/>
              </w:rPr>
              <w:t>arette status and history</w:t>
            </w:r>
            <w:r w:rsidRPr="000F6DEF">
              <w:rPr>
                <w:rFonts w:cs="Calibri"/>
                <w:sz w:val="16"/>
                <w:szCs w:val="16"/>
              </w:rPr>
              <w:br/>
              <w:t xml:space="preserve">First to learn of </w:t>
            </w:r>
            <w:r>
              <w:rPr>
                <w:rFonts w:cs="Calibri"/>
                <w:sz w:val="16"/>
                <w:szCs w:val="16"/>
              </w:rPr>
              <w:t>e</w:t>
            </w:r>
            <w:r>
              <w:rPr>
                <w:rFonts w:cs="Calibri"/>
                <w:sz w:val="16"/>
                <w:szCs w:val="16"/>
              </w:rPr>
              <w:noBreakHyphen/>
              <w:t>cig</w:t>
            </w:r>
            <w:r w:rsidR="008F4D73">
              <w:rPr>
                <w:rFonts w:cs="Calibri"/>
                <w:sz w:val="16"/>
                <w:szCs w:val="16"/>
              </w:rPr>
              <w:t>arette</w:t>
            </w:r>
            <w:r w:rsidRPr="000F6DEF">
              <w:rPr>
                <w:rFonts w:cs="Calibri"/>
                <w:sz w:val="16"/>
                <w:szCs w:val="16"/>
              </w:rPr>
              <w:br/>
              <w:t xml:space="preserve">Intention to use </w:t>
            </w:r>
            <w:r>
              <w:rPr>
                <w:rFonts w:cs="Calibri"/>
                <w:sz w:val="16"/>
                <w:szCs w:val="16"/>
              </w:rPr>
              <w:t>e</w:t>
            </w:r>
            <w:r>
              <w:rPr>
                <w:rFonts w:cs="Calibri"/>
                <w:sz w:val="16"/>
                <w:szCs w:val="16"/>
              </w:rPr>
              <w:noBreakHyphen/>
              <w:t>cig</w:t>
            </w:r>
            <w:r w:rsidR="008F4D73">
              <w:rPr>
                <w:rFonts w:cs="Calibri"/>
                <w:sz w:val="16"/>
                <w:szCs w:val="16"/>
              </w:rPr>
              <w:t>arette</w:t>
            </w:r>
            <w:r w:rsidRPr="000F6DEF">
              <w:rPr>
                <w:rFonts w:cs="Calibri"/>
                <w:sz w:val="16"/>
                <w:szCs w:val="16"/>
              </w:rPr>
              <w:br/>
              <w:t xml:space="preserve">Reasons for trying/not </w:t>
            </w:r>
            <w:r>
              <w:rPr>
                <w:rFonts w:cs="Calibri"/>
                <w:sz w:val="16"/>
                <w:szCs w:val="16"/>
              </w:rPr>
              <w:t>e</w:t>
            </w:r>
            <w:r>
              <w:rPr>
                <w:rFonts w:cs="Calibri"/>
                <w:sz w:val="16"/>
                <w:szCs w:val="16"/>
              </w:rPr>
              <w:noBreakHyphen/>
              <w:t>cig</w:t>
            </w:r>
            <w:r w:rsidR="008F4D73">
              <w:rPr>
                <w:rFonts w:cs="Calibri"/>
                <w:sz w:val="16"/>
                <w:szCs w:val="16"/>
              </w:rPr>
              <w:t>arette</w:t>
            </w:r>
            <w:r w:rsidRPr="000F6DEF">
              <w:rPr>
                <w:rFonts w:cs="Calibri"/>
                <w:sz w:val="16"/>
                <w:szCs w:val="16"/>
              </w:rPr>
              <w:br/>
              <w:t xml:space="preserve">Perceptions of </w:t>
            </w:r>
            <w:r>
              <w:rPr>
                <w:rFonts w:cs="Calibri"/>
                <w:sz w:val="16"/>
                <w:szCs w:val="16"/>
              </w:rPr>
              <w:t>e</w:t>
            </w:r>
            <w:r>
              <w:rPr>
                <w:rFonts w:cs="Calibri"/>
                <w:sz w:val="16"/>
                <w:szCs w:val="16"/>
              </w:rPr>
              <w:noBreakHyphen/>
              <w:t>cig</w:t>
            </w:r>
            <w:r w:rsidR="008F4D73">
              <w:rPr>
                <w:rFonts w:cs="Calibri"/>
                <w:sz w:val="16"/>
                <w:szCs w:val="16"/>
              </w:rPr>
              <w:t>arette</w:t>
            </w:r>
          </w:p>
        </w:tc>
      </w:tr>
      <w:tr w:rsidR="00B85C33" w:rsidRPr="000F6DEF" w14:paraId="5499484A" w14:textId="77777777" w:rsidTr="000376C7">
        <w:trPr>
          <w:trHeight w:val="568"/>
        </w:trPr>
        <w:tc>
          <w:tcPr>
            <w:cnfStyle w:val="001000000000" w:firstRow="0" w:lastRow="0" w:firstColumn="1" w:lastColumn="0" w:oddVBand="0" w:evenVBand="0" w:oddHBand="0" w:evenHBand="0" w:firstRowFirstColumn="0" w:firstRowLastColumn="0" w:lastRowFirstColumn="0" w:lastRowLastColumn="0"/>
            <w:tcW w:w="1433" w:type="dxa"/>
          </w:tcPr>
          <w:p w14:paraId="7B73E2E0" w14:textId="77777777" w:rsidR="00B85C33" w:rsidRPr="000F6DEF" w:rsidRDefault="00B85C33" w:rsidP="000376C7">
            <w:pPr>
              <w:rPr>
                <w:rFonts w:cs="Calibri"/>
                <w:sz w:val="16"/>
                <w:szCs w:val="16"/>
              </w:rPr>
            </w:pPr>
            <w:r w:rsidRPr="000F6DEF">
              <w:rPr>
                <w:rFonts w:cs="Calibri"/>
                <w:sz w:val="16"/>
                <w:szCs w:val="16"/>
              </w:rPr>
              <w:t>Bold, Kong, Cavallo et al.</w:t>
            </w:r>
          </w:p>
        </w:tc>
        <w:tc>
          <w:tcPr>
            <w:tcW w:w="2388" w:type="dxa"/>
          </w:tcPr>
          <w:p w14:paraId="27D3B2EC"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This study aimed to examine whether items adapted for </w:t>
            </w:r>
            <w:r>
              <w:rPr>
                <w:rFonts w:cs="Calibri"/>
                <w:sz w:val="16"/>
                <w:szCs w:val="16"/>
              </w:rPr>
              <w:t>e</w:t>
            </w:r>
            <w:r>
              <w:rPr>
                <w:rFonts w:cs="Calibri"/>
                <w:sz w:val="16"/>
                <w:szCs w:val="16"/>
              </w:rPr>
              <w:noBreakHyphen/>
              <w:t>cig</w:t>
            </w:r>
            <w:r w:rsidRPr="000F6DEF">
              <w:rPr>
                <w:rFonts w:cs="Calibri"/>
                <w:sz w:val="16"/>
                <w:szCs w:val="16"/>
              </w:rPr>
              <w:t xml:space="preserve">arette susceptibility predicted subsequent </w:t>
            </w:r>
            <w:r>
              <w:rPr>
                <w:rFonts w:cs="Calibri"/>
                <w:sz w:val="16"/>
                <w:szCs w:val="16"/>
              </w:rPr>
              <w:lastRenderedPageBreak/>
              <w:t>e</w:t>
            </w:r>
            <w:r>
              <w:rPr>
                <w:rFonts w:cs="Calibri"/>
                <w:sz w:val="16"/>
                <w:szCs w:val="16"/>
              </w:rPr>
              <w:noBreakHyphen/>
              <w:t>cig</w:t>
            </w:r>
            <w:r w:rsidRPr="000F6DEF">
              <w:rPr>
                <w:rFonts w:cs="Calibri"/>
                <w:sz w:val="16"/>
                <w:szCs w:val="16"/>
              </w:rPr>
              <w:t xml:space="preserve">arette use among never </w:t>
            </w:r>
            <w:r>
              <w:rPr>
                <w:rFonts w:cs="Calibri"/>
                <w:sz w:val="16"/>
                <w:szCs w:val="16"/>
              </w:rPr>
              <w:t>e</w:t>
            </w:r>
            <w:r>
              <w:rPr>
                <w:rFonts w:cs="Calibri"/>
                <w:sz w:val="16"/>
                <w:szCs w:val="16"/>
              </w:rPr>
              <w:noBreakHyphen/>
              <w:t>cig</w:t>
            </w:r>
            <w:r w:rsidRPr="000F6DEF">
              <w:rPr>
                <w:rFonts w:cs="Calibri"/>
                <w:sz w:val="16"/>
                <w:szCs w:val="16"/>
              </w:rPr>
              <w:t xml:space="preserve">arette users. </w:t>
            </w:r>
          </w:p>
        </w:tc>
        <w:tc>
          <w:tcPr>
            <w:tcW w:w="1405" w:type="dxa"/>
          </w:tcPr>
          <w:p w14:paraId="7F83D1D6"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lastRenderedPageBreak/>
              <w:t>Investigator developed</w:t>
            </w:r>
          </w:p>
        </w:tc>
        <w:tc>
          <w:tcPr>
            <w:tcW w:w="1406" w:type="dxa"/>
          </w:tcPr>
          <w:p w14:paraId="7F15F13B"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US</w:t>
            </w:r>
          </w:p>
        </w:tc>
        <w:tc>
          <w:tcPr>
            <w:tcW w:w="1167" w:type="dxa"/>
          </w:tcPr>
          <w:p w14:paraId="07D45342"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Fall 2013, Spring 2014</w:t>
            </w:r>
          </w:p>
        </w:tc>
        <w:tc>
          <w:tcPr>
            <w:tcW w:w="2125" w:type="dxa"/>
          </w:tcPr>
          <w:p w14:paraId="778AB0F6" w14:textId="4A7FAB0B"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Wave 1 1</w:t>
            </w:r>
            <w:r w:rsidR="007B1B17">
              <w:rPr>
                <w:rFonts w:cs="Calibri"/>
                <w:sz w:val="16"/>
                <w:szCs w:val="16"/>
              </w:rPr>
              <w:t>,</w:t>
            </w:r>
            <w:r w:rsidRPr="000F6DEF">
              <w:rPr>
                <w:rFonts w:cs="Calibri"/>
                <w:sz w:val="16"/>
                <w:szCs w:val="16"/>
              </w:rPr>
              <w:t xml:space="preserve">720 </w:t>
            </w:r>
            <w:r>
              <w:rPr>
                <w:rFonts w:cs="Calibri"/>
                <w:sz w:val="16"/>
                <w:szCs w:val="16"/>
              </w:rPr>
              <w:t>e</w:t>
            </w:r>
            <w:r>
              <w:rPr>
                <w:rFonts w:cs="Calibri"/>
                <w:sz w:val="16"/>
                <w:szCs w:val="16"/>
              </w:rPr>
              <w:noBreakHyphen/>
              <w:t>cig</w:t>
            </w:r>
            <w:r w:rsidRPr="000F6DEF">
              <w:rPr>
                <w:rFonts w:cs="Calibri"/>
                <w:sz w:val="16"/>
                <w:szCs w:val="16"/>
              </w:rPr>
              <w:t xml:space="preserve">arette users: adolescents </w:t>
            </w:r>
          </w:p>
          <w:p w14:paraId="1EB3D118"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Mean age: 14.4(1.9) (matched)</w:t>
            </w:r>
          </w:p>
          <w:p w14:paraId="736945C8"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lastRenderedPageBreak/>
              <w:t>Wave 1 46.1% male</w:t>
            </w:r>
          </w:p>
        </w:tc>
        <w:tc>
          <w:tcPr>
            <w:tcW w:w="2003" w:type="dxa"/>
          </w:tcPr>
          <w:p w14:paraId="28A6EF1C"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lastRenderedPageBreak/>
              <w:t>Parents contacted through schools</w:t>
            </w:r>
          </w:p>
        </w:tc>
        <w:tc>
          <w:tcPr>
            <w:tcW w:w="1623" w:type="dxa"/>
          </w:tcPr>
          <w:p w14:paraId="272FDCEA"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Teachers administered, pencil and paper</w:t>
            </w:r>
          </w:p>
        </w:tc>
        <w:tc>
          <w:tcPr>
            <w:tcW w:w="1363" w:type="dxa"/>
          </w:tcPr>
          <w:p w14:paraId="723ACB61"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Pr>
                <w:rFonts w:cs="Calibri"/>
                <w:sz w:val="16"/>
                <w:szCs w:val="16"/>
              </w:rPr>
              <w:t>e</w:t>
            </w:r>
            <w:r>
              <w:rPr>
                <w:rFonts w:cs="Calibri"/>
                <w:sz w:val="16"/>
                <w:szCs w:val="16"/>
              </w:rPr>
              <w:noBreakHyphen/>
              <w:t>cig</w:t>
            </w:r>
            <w:r w:rsidRPr="000F6DEF">
              <w:rPr>
                <w:rFonts w:cs="Calibri"/>
                <w:sz w:val="16"/>
                <w:szCs w:val="16"/>
              </w:rPr>
              <w:t>arette susceptibility</w:t>
            </w:r>
            <w:r w:rsidRPr="000F6DEF">
              <w:rPr>
                <w:rFonts w:cs="Calibri"/>
                <w:sz w:val="16"/>
                <w:szCs w:val="16"/>
              </w:rPr>
              <w:br/>
            </w:r>
            <w:r>
              <w:rPr>
                <w:rFonts w:cs="Calibri"/>
                <w:sz w:val="16"/>
                <w:szCs w:val="16"/>
              </w:rPr>
              <w:t>e</w:t>
            </w:r>
            <w:r>
              <w:rPr>
                <w:rFonts w:cs="Calibri"/>
                <w:sz w:val="16"/>
                <w:szCs w:val="16"/>
              </w:rPr>
              <w:noBreakHyphen/>
              <w:t>cig</w:t>
            </w:r>
            <w:r w:rsidRPr="000F6DEF">
              <w:rPr>
                <w:rFonts w:cs="Calibri"/>
                <w:sz w:val="16"/>
                <w:szCs w:val="16"/>
              </w:rPr>
              <w:t>arette use</w:t>
            </w:r>
            <w:r w:rsidRPr="000F6DEF">
              <w:rPr>
                <w:rFonts w:cs="Calibri"/>
                <w:sz w:val="16"/>
                <w:szCs w:val="16"/>
              </w:rPr>
              <w:br/>
              <w:t>Other substance use</w:t>
            </w:r>
          </w:p>
        </w:tc>
      </w:tr>
      <w:tr w:rsidR="00B85C33" w:rsidRPr="000F6DEF" w14:paraId="277BDB47" w14:textId="77777777" w:rsidTr="000376C7">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1433" w:type="dxa"/>
          </w:tcPr>
          <w:p w14:paraId="1777290F" w14:textId="77777777" w:rsidR="00B85C33" w:rsidRPr="000F6DEF" w:rsidRDefault="00B85C33" w:rsidP="000376C7">
            <w:pPr>
              <w:rPr>
                <w:rFonts w:cs="Calibri"/>
                <w:sz w:val="16"/>
                <w:szCs w:val="16"/>
              </w:rPr>
            </w:pPr>
            <w:r w:rsidRPr="000F6DEF">
              <w:rPr>
                <w:rFonts w:cs="Calibri"/>
                <w:sz w:val="16"/>
                <w:szCs w:val="16"/>
              </w:rPr>
              <w:t>Bold, Morean, Kong et al</w:t>
            </w:r>
          </w:p>
        </w:tc>
        <w:tc>
          <w:tcPr>
            <w:tcW w:w="2388" w:type="dxa"/>
          </w:tcPr>
          <w:p w14:paraId="516EE6AF"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The current study examined whether an early age of onset of </w:t>
            </w:r>
            <w:r>
              <w:rPr>
                <w:rFonts w:cs="Calibri"/>
                <w:sz w:val="16"/>
                <w:szCs w:val="16"/>
              </w:rPr>
              <w:t>e</w:t>
            </w:r>
            <w:r>
              <w:rPr>
                <w:rFonts w:cs="Calibri"/>
                <w:sz w:val="16"/>
                <w:szCs w:val="16"/>
              </w:rPr>
              <w:noBreakHyphen/>
              <w:t>cig</w:t>
            </w:r>
            <w:r w:rsidRPr="000F6DEF">
              <w:rPr>
                <w:rFonts w:cs="Calibri"/>
                <w:sz w:val="16"/>
                <w:szCs w:val="16"/>
              </w:rPr>
              <w:t xml:space="preserve">arette use mediates the association between impulsivity and </w:t>
            </w:r>
            <w:r>
              <w:rPr>
                <w:rFonts w:cs="Calibri"/>
                <w:sz w:val="16"/>
                <w:szCs w:val="16"/>
              </w:rPr>
              <w:t>e</w:t>
            </w:r>
            <w:r>
              <w:rPr>
                <w:rFonts w:cs="Calibri"/>
                <w:sz w:val="16"/>
                <w:szCs w:val="16"/>
              </w:rPr>
              <w:noBreakHyphen/>
              <w:t>cig</w:t>
            </w:r>
            <w:r w:rsidRPr="000F6DEF">
              <w:rPr>
                <w:rFonts w:cs="Calibri"/>
                <w:sz w:val="16"/>
                <w:szCs w:val="16"/>
              </w:rPr>
              <w:t xml:space="preserve">arette frequency. </w:t>
            </w:r>
          </w:p>
        </w:tc>
        <w:tc>
          <w:tcPr>
            <w:tcW w:w="1405" w:type="dxa"/>
          </w:tcPr>
          <w:p w14:paraId="2694B74B"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Investigator developed</w:t>
            </w:r>
            <w:r w:rsidRPr="000F6DEF">
              <w:rPr>
                <w:rFonts w:cs="Calibri"/>
                <w:sz w:val="16"/>
                <w:szCs w:val="16"/>
              </w:rPr>
              <w:br/>
              <w:t xml:space="preserve">Two versions </w:t>
            </w:r>
            <w:r w:rsidRPr="000F6DEF">
              <w:rPr>
                <w:rFonts w:cs="Calibri"/>
                <w:sz w:val="16"/>
                <w:szCs w:val="16"/>
              </w:rPr>
              <w:noBreakHyphen/>
              <w:t xml:space="preserve"> one with impulsivity</w:t>
            </w:r>
          </w:p>
        </w:tc>
        <w:tc>
          <w:tcPr>
            <w:tcW w:w="1406" w:type="dxa"/>
          </w:tcPr>
          <w:p w14:paraId="32488B6B"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Connecticut, US</w:t>
            </w:r>
          </w:p>
        </w:tc>
        <w:tc>
          <w:tcPr>
            <w:tcW w:w="1167" w:type="dxa"/>
          </w:tcPr>
          <w:p w14:paraId="2419532D"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Spring 2015</w:t>
            </w:r>
          </w:p>
        </w:tc>
        <w:tc>
          <w:tcPr>
            <w:tcW w:w="2125" w:type="dxa"/>
          </w:tcPr>
          <w:p w14:paraId="7A98ADE0" w14:textId="19096A6A"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927 </w:t>
            </w:r>
            <w:r>
              <w:rPr>
                <w:rFonts w:cs="Calibri"/>
                <w:sz w:val="16"/>
                <w:szCs w:val="16"/>
              </w:rPr>
              <w:t>e</w:t>
            </w:r>
            <w:r>
              <w:rPr>
                <w:rFonts w:cs="Calibri"/>
                <w:sz w:val="16"/>
                <w:szCs w:val="16"/>
              </w:rPr>
              <w:noBreakHyphen/>
              <w:t>cig</w:t>
            </w:r>
            <w:r w:rsidRPr="000F6DEF">
              <w:rPr>
                <w:rFonts w:cs="Calibri"/>
                <w:sz w:val="16"/>
                <w:szCs w:val="16"/>
              </w:rPr>
              <w:t>arette users (valid data)</w:t>
            </w:r>
            <w:r w:rsidRPr="000F6DEF">
              <w:rPr>
                <w:rFonts w:cs="Calibri"/>
                <w:sz w:val="16"/>
                <w:szCs w:val="16"/>
              </w:rPr>
              <w:br/>
              <w:t>Original survey of 7045</w:t>
            </w:r>
            <w:r w:rsidR="008146F9">
              <w:rPr>
                <w:rFonts w:cs="Calibri"/>
                <w:sz w:val="16"/>
                <w:szCs w:val="16"/>
              </w:rPr>
              <w:t xml:space="preserve"> </w:t>
            </w:r>
            <w:r w:rsidRPr="000F6DEF">
              <w:rPr>
                <w:rFonts w:cs="Calibri"/>
                <w:sz w:val="16"/>
                <w:szCs w:val="16"/>
              </w:rPr>
              <w:t>3474 got the impulsivity survey: adolescents</w:t>
            </w:r>
          </w:p>
          <w:p w14:paraId="4E5363FC"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Mean age: 16.2(1.2)</w:t>
            </w:r>
          </w:p>
          <w:p w14:paraId="702F8CE4"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63% male</w:t>
            </w:r>
          </w:p>
        </w:tc>
        <w:tc>
          <w:tcPr>
            <w:tcW w:w="2003" w:type="dxa"/>
          </w:tcPr>
          <w:p w14:paraId="6B3CF891"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7 of 9 district reference groups</w:t>
            </w:r>
          </w:p>
        </w:tc>
        <w:tc>
          <w:tcPr>
            <w:tcW w:w="1623" w:type="dxa"/>
          </w:tcPr>
          <w:p w14:paraId="1D18C8B1"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Pencil and paper during homeroom periods at school</w:t>
            </w:r>
          </w:p>
        </w:tc>
        <w:tc>
          <w:tcPr>
            <w:tcW w:w="1363" w:type="dxa"/>
          </w:tcPr>
          <w:p w14:paraId="5AD7E512"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Demographics</w:t>
            </w:r>
            <w:r w:rsidRPr="000F6DEF">
              <w:rPr>
                <w:rFonts w:cs="Calibri"/>
                <w:sz w:val="16"/>
                <w:szCs w:val="16"/>
              </w:rPr>
              <w:br/>
              <w:t>Impulsivity (Barratts)</w:t>
            </w:r>
            <w:r w:rsidRPr="000F6DEF">
              <w:rPr>
                <w:rFonts w:cs="Calibri"/>
                <w:sz w:val="16"/>
                <w:szCs w:val="16"/>
              </w:rPr>
              <w:br/>
            </w:r>
            <w:r>
              <w:rPr>
                <w:rFonts w:cs="Calibri"/>
                <w:sz w:val="16"/>
                <w:szCs w:val="16"/>
              </w:rPr>
              <w:t>e</w:t>
            </w:r>
            <w:r>
              <w:rPr>
                <w:rFonts w:cs="Calibri"/>
                <w:sz w:val="16"/>
                <w:szCs w:val="16"/>
              </w:rPr>
              <w:noBreakHyphen/>
              <w:t>cig</w:t>
            </w:r>
            <w:r w:rsidRPr="000F6DEF">
              <w:rPr>
                <w:rFonts w:cs="Calibri"/>
                <w:sz w:val="16"/>
                <w:szCs w:val="16"/>
              </w:rPr>
              <w:t>arette use</w:t>
            </w:r>
            <w:r w:rsidRPr="000F6DEF">
              <w:rPr>
                <w:rFonts w:cs="Calibri"/>
                <w:sz w:val="16"/>
                <w:szCs w:val="16"/>
              </w:rPr>
              <w:br/>
            </w:r>
            <w:r>
              <w:rPr>
                <w:rFonts w:cs="Calibri"/>
                <w:sz w:val="16"/>
                <w:szCs w:val="16"/>
              </w:rPr>
              <w:t>e</w:t>
            </w:r>
            <w:r>
              <w:rPr>
                <w:rFonts w:cs="Calibri"/>
                <w:sz w:val="16"/>
                <w:szCs w:val="16"/>
              </w:rPr>
              <w:noBreakHyphen/>
              <w:t>cig</w:t>
            </w:r>
            <w:r w:rsidRPr="000F6DEF">
              <w:rPr>
                <w:rFonts w:cs="Calibri"/>
                <w:sz w:val="16"/>
                <w:szCs w:val="16"/>
              </w:rPr>
              <w:t>arette use with peers</w:t>
            </w:r>
            <w:r w:rsidRPr="000F6DEF">
              <w:rPr>
                <w:rFonts w:cs="Calibri"/>
                <w:sz w:val="16"/>
                <w:szCs w:val="16"/>
              </w:rPr>
              <w:br/>
              <w:t>Other tobacco use</w:t>
            </w:r>
          </w:p>
        </w:tc>
      </w:tr>
      <w:tr w:rsidR="00B85C33" w:rsidRPr="000F6DEF" w14:paraId="1F90FDFA" w14:textId="77777777" w:rsidTr="000376C7">
        <w:trPr>
          <w:trHeight w:val="568"/>
        </w:trPr>
        <w:tc>
          <w:tcPr>
            <w:cnfStyle w:val="001000000000" w:firstRow="0" w:lastRow="0" w:firstColumn="1" w:lastColumn="0" w:oddVBand="0" w:evenVBand="0" w:oddHBand="0" w:evenHBand="0" w:firstRowFirstColumn="0" w:firstRowLastColumn="0" w:lastRowFirstColumn="0" w:lastRowLastColumn="0"/>
            <w:tcW w:w="1433" w:type="dxa"/>
          </w:tcPr>
          <w:p w14:paraId="5597F04F" w14:textId="77777777" w:rsidR="00B85C33" w:rsidRPr="000F6DEF" w:rsidRDefault="00B85C33" w:rsidP="000376C7">
            <w:pPr>
              <w:rPr>
                <w:rFonts w:cs="Calibri"/>
                <w:sz w:val="16"/>
                <w:szCs w:val="16"/>
              </w:rPr>
            </w:pPr>
            <w:r w:rsidRPr="000F6DEF">
              <w:rPr>
                <w:rFonts w:cs="Calibri"/>
                <w:sz w:val="16"/>
                <w:szCs w:val="16"/>
              </w:rPr>
              <w:t>Bold, Sussman, O'Malley et al</w:t>
            </w:r>
          </w:p>
        </w:tc>
        <w:tc>
          <w:tcPr>
            <w:tcW w:w="2388" w:type="dxa"/>
          </w:tcPr>
          <w:p w14:paraId="40EAE569" w14:textId="546DDACA"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The Tobacco Center for Regulatory Science (TCORS) Measurement Workgroup was convened to consider aspects to include in a measure of </w:t>
            </w:r>
            <w:r>
              <w:rPr>
                <w:rFonts w:cs="Calibri"/>
                <w:sz w:val="16"/>
                <w:szCs w:val="16"/>
              </w:rPr>
              <w:t>e</w:t>
            </w:r>
            <w:r>
              <w:rPr>
                <w:rFonts w:cs="Calibri"/>
                <w:sz w:val="16"/>
                <w:szCs w:val="16"/>
              </w:rPr>
              <w:noBreakHyphen/>
              <w:t>cig</w:t>
            </w:r>
            <w:r w:rsidRPr="000F6DEF">
              <w:rPr>
                <w:rFonts w:cs="Calibri"/>
                <w:sz w:val="16"/>
                <w:szCs w:val="16"/>
              </w:rPr>
              <w:t>arette dependence</w:t>
            </w:r>
            <w:r w:rsidR="006E78E1">
              <w:rPr>
                <w:rFonts w:cs="Calibri"/>
                <w:sz w:val="16"/>
                <w:szCs w:val="16"/>
              </w:rPr>
              <w:t>.</w:t>
            </w:r>
          </w:p>
        </w:tc>
        <w:tc>
          <w:tcPr>
            <w:tcW w:w="1405" w:type="dxa"/>
          </w:tcPr>
          <w:p w14:paraId="0E6FB767"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NA </w:t>
            </w:r>
            <w:r w:rsidRPr="000F6DEF">
              <w:rPr>
                <w:rFonts w:cs="Calibri"/>
                <w:sz w:val="16"/>
                <w:szCs w:val="16"/>
              </w:rPr>
              <w:noBreakHyphen/>
              <w:t xml:space="preserve"> Expert discussion</w:t>
            </w:r>
          </w:p>
        </w:tc>
        <w:tc>
          <w:tcPr>
            <w:tcW w:w="1406" w:type="dxa"/>
          </w:tcPr>
          <w:p w14:paraId="6EDB9E1E"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US</w:t>
            </w:r>
          </w:p>
        </w:tc>
        <w:tc>
          <w:tcPr>
            <w:tcW w:w="1167" w:type="dxa"/>
          </w:tcPr>
          <w:p w14:paraId="7A4DCB79"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Jun</w:t>
            </w:r>
            <w:r w:rsidRPr="000F6DEF">
              <w:rPr>
                <w:rFonts w:cs="Calibri"/>
                <w:sz w:val="16"/>
                <w:szCs w:val="16"/>
              </w:rPr>
              <w:noBreakHyphen/>
              <w:t>15</w:t>
            </w:r>
          </w:p>
        </w:tc>
        <w:tc>
          <w:tcPr>
            <w:tcW w:w="2125" w:type="dxa"/>
          </w:tcPr>
          <w:p w14:paraId="1583D46D"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6 experts conducted a literature review; 10 external experts reviewed a list of constructs</w:t>
            </w:r>
          </w:p>
          <w:p w14:paraId="7D7909A0"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p>
          <w:p w14:paraId="27732986"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p>
        </w:tc>
        <w:tc>
          <w:tcPr>
            <w:tcW w:w="2003" w:type="dxa"/>
          </w:tcPr>
          <w:p w14:paraId="080CD0D3"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NR</w:t>
            </w:r>
          </w:p>
        </w:tc>
        <w:tc>
          <w:tcPr>
            <w:tcW w:w="1623" w:type="dxa"/>
          </w:tcPr>
          <w:p w14:paraId="6EB3EBA4"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Search of Google Scholar, provision of written feedback</w:t>
            </w:r>
          </w:p>
        </w:tc>
        <w:tc>
          <w:tcPr>
            <w:tcW w:w="1363" w:type="dxa"/>
          </w:tcPr>
          <w:p w14:paraId="0763ED3D"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List of items provided to reviewers</w:t>
            </w:r>
          </w:p>
        </w:tc>
      </w:tr>
      <w:tr w:rsidR="00B85C33" w:rsidRPr="000F6DEF" w14:paraId="0BE49F54" w14:textId="77777777" w:rsidTr="000376C7">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1433" w:type="dxa"/>
          </w:tcPr>
          <w:p w14:paraId="186C17DF" w14:textId="77777777" w:rsidR="00B85C33" w:rsidRPr="000F6DEF" w:rsidRDefault="00B85C33" w:rsidP="000376C7">
            <w:pPr>
              <w:rPr>
                <w:rFonts w:cs="Calibri"/>
                <w:sz w:val="16"/>
                <w:szCs w:val="16"/>
              </w:rPr>
            </w:pPr>
            <w:r w:rsidRPr="000F6DEF">
              <w:rPr>
                <w:rFonts w:cs="Calibri"/>
                <w:sz w:val="16"/>
                <w:szCs w:val="16"/>
              </w:rPr>
              <w:t>Brikmanis, Petersen, Doran</w:t>
            </w:r>
          </w:p>
        </w:tc>
        <w:tc>
          <w:tcPr>
            <w:tcW w:w="2388" w:type="dxa"/>
          </w:tcPr>
          <w:p w14:paraId="05DC7465" w14:textId="5AABC268"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The purpose of the present study was to prospectively investigate perceptions of </w:t>
            </w:r>
            <w:r>
              <w:rPr>
                <w:rFonts w:cs="Calibri"/>
                <w:sz w:val="16"/>
                <w:szCs w:val="16"/>
              </w:rPr>
              <w:t>e</w:t>
            </w:r>
            <w:r>
              <w:rPr>
                <w:rFonts w:cs="Calibri"/>
                <w:sz w:val="16"/>
                <w:szCs w:val="16"/>
              </w:rPr>
              <w:noBreakHyphen/>
              <w:t>cig</w:t>
            </w:r>
            <w:r w:rsidRPr="000F6DEF">
              <w:rPr>
                <w:rFonts w:cs="Calibri"/>
                <w:sz w:val="16"/>
                <w:szCs w:val="16"/>
              </w:rPr>
              <w:t xml:space="preserve">arettes, cigarette smoking intentions, and their associations with </w:t>
            </w:r>
            <w:r>
              <w:rPr>
                <w:rFonts w:cs="Calibri"/>
                <w:sz w:val="16"/>
                <w:szCs w:val="16"/>
              </w:rPr>
              <w:t>e</w:t>
            </w:r>
            <w:r>
              <w:rPr>
                <w:rFonts w:cs="Calibri"/>
                <w:sz w:val="16"/>
                <w:szCs w:val="16"/>
              </w:rPr>
              <w:noBreakHyphen/>
              <w:t>cig</w:t>
            </w:r>
            <w:r w:rsidRPr="000F6DEF">
              <w:rPr>
                <w:rFonts w:cs="Calibri"/>
                <w:sz w:val="16"/>
                <w:szCs w:val="16"/>
              </w:rPr>
              <w:t>arette use over time</w:t>
            </w:r>
            <w:r w:rsidR="006E78E1">
              <w:rPr>
                <w:rFonts w:cs="Calibri"/>
                <w:sz w:val="16"/>
                <w:szCs w:val="16"/>
              </w:rPr>
              <w:t>.</w:t>
            </w:r>
          </w:p>
        </w:tc>
        <w:tc>
          <w:tcPr>
            <w:tcW w:w="1405" w:type="dxa"/>
          </w:tcPr>
          <w:p w14:paraId="756A0AE0"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Investigator developed (longitudinal)</w:t>
            </w:r>
          </w:p>
        </w:tc>
        <w:tc>
          <w:tcPr>
            <w:tcW w:w="1406" w:type="dxa"/>
          </w:tcPr>
          <w:p w14:paraId="00301875"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California, US</w:t>
            </w:r>
          </w:p>
        </w:tc>
        <w:tc>
          <w:tcPr>
            <w:tcW w:w="1167" w:type="dxa"/>
          </w:tcPr>
          <w:p w14:paraId="5026F554"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2015</w:t>
            </w:r>
          </w:p>
        </w:tc>
        <w:tc>
          <w:tcPr>
            <w:tcW w:w="2125" w:type="dxa"/>
          </w:tcPr>
          <w:p w14:paraId="019E7388"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348</w:t>
            </w:r>
          </w:p>
          <w:p w14:paraId="36C2EC5E"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Mean age: 20.5(1.8)</w:t>
            </w:r>
          </w:p>
          <w:p w14:paraId="6EF2A252"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57% male</w:t>
            </w:r>
          </w:p>
        </w:tc>
        <w:tc>
          <w:tcPr>
            <w:tcW w:w="2003" w:type="dxa"/>
          </w:tcPr>
          <w:p w14:paraId="6D4A16BA"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Facebook posts and referral for intermittent smokers</w:t>
            </w:r>
          </w:p>
        </w:tc>
        <w:tc>
          <w:tcPr>
            <w:tcW w:w="1623" w:type="dxa"/>
          </w:tcPr>
          <w:p w14:paraId="4E56CFFC"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Online using Survey Monkey. $25+ up to $40 for completion</w:t>
            </w:r>
          </w:p>
        </w:tc>
        <w:tc>
          <w:tcPr>
            <w:tcW w:w="1363" w:type="dxa"/>
          </w:tcPr>
          <w:p w14:paraId="7375DE78" w14:textId="6F25E34D"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Demographics</w:t>
            </w:r>
            <w:r w:rsidRPr="000F6DEF">
              <w:rPr>
                <w:rFonts w:cs="Calibri"/>
                <w:sz w:val="16"/>
                <w:szCs w:val="16"/>
              </w:rPr>
              <w:br/>
              <w:t xml:space="preserve">cigarette and </w:t>
            </w:r>
            <w:r>
              <w:rPr>
                <w:rFonts w:cs="Calibri"/>
                <w:sz w:val="16"/>
                <w:szCs w:val="16"/>
              </w:rPr>
              <w:t>e</w:t>
            </w:r>
            <w:r>
              <w:rPr>
                <w:rFonts w:cs="Calibri"/>
                <w:sz w:val="16"/>
                <w:szCs w:val="16"/>
              </w:rPr>
              <w:noBreakHyphen/>
              <w:t>cig</w:t>
            </w:r>
            <w:r w:rsidRPr="000F6DEF">
              <w:rPr>
                <w:rFonts w:cs="Calibri"/>
                <w:sz w:val="16"/>
                <w:szCs w:val="16"/>
              </w:rPr>
              <w:t>arette use</w:t>
            </w:r>
            <w:r w:rsidRPr="000F6DEF">
              <w:rPr>
                <w:rFonts w:cs="Calibri"/>
                <w:sz w:val="16"/>
                <w:szCs w:val="16"/>
              </w:rPr>
              <w:br/>
              <w:t xml:space="preserve">Use of </w:t>
            </w:r>
            <w:r>
              <w:rPr>
                <w:rFonts w:cs="Calibri"/>
                <w:sz w:val="16"/>
                <w:szCs w:val="16"/>
              </w:rPr>
              <w:t>e</w:t>
            </w:r>
            <w:r>
              <w:rPr>
                <w:rFonts w:cs="Calibri"/>
                <w:sz w:val="16"/>
                <w:szCs w:val="16"/>
              </w:rPr>
              <w:noBreakHyphen/>
              <w:t>cig</w:t>
            </w:r>
            <w:r w:rsidRPr="000F6DEF">
              <w:rPr>
                <w:rFonts w:cs="Calibri"/>
                <w:sz w:val="16"/>
                <w:szCs w:val="16"/>
              </w:rPr>
              <w:t>arette to circumvent smoking bans</w:t>
            </w:r>
            <w:r w:rsidRPr="000F6DEF">
              <w:rPr>
                <w:rFonts w:cs="Calibri"/>
                <w:sz w:val="16"/>
                <w:szCs w:val="16"/>
              </w:rPr>
              <w:br/>
              <w:t xml:space="preserve">harmfulness of </w:t>
            </w:r>
            <w:r>
              <w:rPr>
                <w:rFonts w:cs="Calibri"/>
                <w:sz w:val="16"/>
                <w:szCs w:val="16"/>
              </w:rPr>
              <w:t>e</w:t>
            </w:r>
            <w:r>
              <w:rPr>
                <w:rFonts w:cs="Calibri"/>
                <w:sz w:val="16"/>
                <w:szCs w:val="16"/>
              </w:rPr>
              <w:noBreakHyphen/>
              <w:t>cig</w:t>
            </w:r>
            <w:r w:rsidR="008F4D73">
              <w:rPr>
                <w:rFonts w:cs="Calibri"/>
                <w:sz w:val="16"/>
                <w:szCs w:val="16"/>
              </w:rPr>
              <w:t>arette</w:t>
            </w:r>
            <w:r w:rsidR="007B1B17">
              <w:rPr>
                <w:rFonts w:cs="Calibri"/>
                <w:sz w:val="16"/>
                <w:szCs w:val="16"/>
              </w:rPr>
              <w:t>s</w:t>
            </w:r>
            <w:r w:rsidRPr="000F6DEF">
              <w:rPr>
                <w:rFonts w:cs="Calibri"/>
                <w:sz w:val="16"/>
                <w:szCs w:val="16"/>
              </w:rPr>
              <w:br/>
            </w:r>
            <w:r>
              <w:rPr>
                <w:rFonts w:cs="Calibri"/>
                <w:sz w:val="16"/>
                <w:szCs w:val="16"/>
              </w:rPr>
              <w:t>e</w:t>
            </w:r>
            <w:r>
              <w:rPr>
                <w:rFonts w:cs="Calibri"/>
                <w:sz w:val="16"/>
                <w:szCs w:val="16"/>
              </w:rPr>
              <w:noBreakHyphen/>
              <w:t>cig</w:t>
            </w:r>
            <w:r w:rsidRPr="000F6DEF">
              <w:rPr>
                <w:rFonts w:cs="Calibri"/>
                <w:sz w:val="16"/>
                <w:szCs w:val="16"/>
              </w:rPr>
              <w:t>arette expectancies</w:t>
            </w:r>
            <w:r w:rsidRPr="000F6DEF">
              <w:rPr>
                <w:rFonts w:cs="Calibri"/>
                <w:sz w:val="16"/>
                <w:szCs w:val="16"/>
              </w:rPr>
              <w:br/>
              <w:t>Intention to quit smoking</w:t>
            </w:r>
            <w:r w:rsidRPr="000F6DEF">
              <w:rPr>
                <w:rFonts w:cs="Calibri"/>
                <w:sz w:val="16"/>
                <w:szCs w:val="16"/>
              </w:rPr>
              <w:br/>
              <w:t>Intention to maintain or increase smoking</w:t>
            </w:r>
          </w:p>
        </w:tc>
      </w:tr>
      <w:tr w:rsidR="00B85C33" w:rsidRPr="000F6DEF" w14:paraId="457E8ADD" w14:textId="77777777" w:rsidTr="000376C7">
        <w:trPr>
          <w:trHeight w:val="568"/>
        </w:trPr>
        <w:tc>
          <w:tcPr>
            <w:cnfStyle w:val="001000000000" w:firstRow="0" w:lastRow="0" w:firstColumn="1" w:lastColumn="0" w:oddVBand="0" w:evenVBand="0" w:oddHBand="0" w:evenHBand="0" w:firstRowFirstColumn="0" w:firstRowLastColumn="0" w:lastRowFirstColumn="0" w:lastRowLastColumn="0"/>
            <w:tcW w:w="1433" w:type="dxa"/>
          </w:tcPr>
          <w:p w14:paraId="5CC10533" w14:textId="77777777" w:rsidR="00B85C33" w:rsidRPr="000F6DEF" w:rsidRDefault="00B85C33" w:rsidP="000376C7">
            <w:pPr>
              <w:rPr>
                <w:rFonts w:cs="Calibri"/>
                <w:sz w:val="16"/>
                <w:szCs w:val="16"/>
              </w:rPr>
            </w:pPr>
            <w:r w:rsidRPr="000F6DEF">
              <w:rPr>
                <w:rFonts w:cs="Calibri"/>
                <w:sz w:val="16"/>
                <w:szCs w:val="16"/>
              </w:rPr>
              <w:t>Camenga, Kong, Cavallo et al</w:t>
            </w:r>
          </w:p>
        </w:tc>
        <w:tc>
          <w:tcPr>
            <w:tcW w:w="2388" w:type="dxa"/>
          </w:tcPr>
          <w:p w14:paraId="73F14B64" w14:textId="1A09CE94"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This exploratory study examines the prevalence and predictors of current and former smokers' use of electronic (e</w:t>
            </w:r>
            <w:r w:rsidRPr="000F6DEF">
              <w:rPr>
                <w:rFonts w:cs="Calibri"/>
                <w:sz w:val="16"/>
                <w:szCs w:val="16"/>
              </w:rPr>
              <w:noBreakHyphen/>
              <w:t>) cigarettes for smoking cessation among a sample of adolescent and young adult established smokers</w:t>
            </w:r>
            <w:r w:rsidR="006E78E1">
              <w:rPr>
                <w:rFonts w:cs="Calibri"/>
                <w:sz w:val="16"/>
                <w:szCs w:val="16"/>
              </w:rPr>
              <w:t>.</w:t>
            </w:r>
          </w:p>
        </w:tc>
        <w:tc>
          <w:tcPr>
            <w:tcW w:w="1405" w:type="dxa"/>
          </w:tcPr>
          <w:p w14:paraId="0AE641AE"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Investigator developed</w:t>
            </w:r>
          </w:p>
        </w:tc>
        <w:tc>
          <w:tcPr>
            <w:tcW w:w="1406" w:type="dxa"/>
          </w:tcPr>
          <w:p w14:paraId="3E72578C"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Connecticut, US</w:t>
            </w:r>
          </w:p>
        </w:tc>
        <w:tc>
          <w:tcPr>
            <w:tcW w:w="1167" w:type="dxa"/>
          </w:tcPr>
          <w:p w14:paraId="43957D8F"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2013/2014</w:t>
            </w:r>
          </w:p>
        </w:tc>
        <w:tc>
          <w:tcPr>
            <w:tcW w:w="2125" w:type="dxa"/>
          </w:tcPr>
          <w:p w14:paraId="58FEBFC6" w14:textId="60FD43FB"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middle school n1166; high school n3614; college n625</w:t>
            </w:r>
            <w:r w:rsidRPr="000F6DEF">
              <w:rPr>
                <w:rFonts w:cs="Calibri"/>
                <w:sz w:val="16"/>
                <w:szCs w:val="16"/>
              </w:rPr>
              <w:br/>
              <w:t xml:space="preserve">Data analysis on 189 established smokers with ever use of </w:t>
            </w:r>
            <w:r>
              <w:rPr>
                <w:rFonts w:cs="Calibri"/>
                <w:sz w:val="16"/>
                <w:szCs w:val="16"/>
              </w:rPr>
              <w:t>e</w:t>
            </w:r>
            <w:r>
              <w:rPr>
                <w:rFonts w:cs="Calibri"/>
                <w:sz w:val="16"/>
                <w:szCs w:val="16"/>
              </w:rPr>
              <w:noBreakHyphen/>
              <w:t>cig</w:t>
            </w:r>
            <w:r w:rsidR="007B1B17">
              <w:rPr>
                <w:rFonts w:cs="Calibri"/>
                <w:sz w:val="16"/>
                <w:szCs w:val="16"/>
              </w:rPr>
              <w:t>arettes</w:t>
            </w:r>
            <w:r w:rsidRPr="000F6DEF">
              <w:rPr>
                <w:rFonts w:cs="Calibri"/>
                <w:sz w:val="16"/>
                <w:szCs w:val="16"/>
              </w:rPr>
              <w:t>; adolescents</w:t>
            </w:r>
          </w:p>
          <w:p w14:paraId="400FED31"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Mean age: 18.3(2.8)</w:t>
            </w:r>
          </w:p>
          <w:p w14:paraId="3E0B379C"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49% male</w:t>
            </w:r>
          </w:p>
        </w:tc>
        <w:tc>
          <w:tcPr>
            <w:tcW w:w="2003" w:type="dxa"/>
          </w:tcPr>
          <w:p w14:paraId="4F612819"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School selection based on district reference groups</w:t>
            </w:r>
          </w:p>
        </w:tc>
        <w:tc>
          <w:tcPr>
            <w:tcW w:w="1623" w:type="dxa"/>
          </w:tcPr>
          <w:p w14:paraId="5D4C2B69"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Teacher distributed paper surveys. College students online. </w:t>
            </w:r>
          </w:p>
        </w:tc>
        <w:tc>
          <w:tcPr>
            <w:tcW w:w="1363" w:type="dxa"/>
          </w:tcPr>
          <w:p w14:paraId="4E2A3D4D" w14:textId="60DD605F"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Cig</w:t>
            </w:r>
            <w:r w:rsidR="008F4D73">
              <w:rPr>
                <w:rFonts w:cs="Calibri"/>
                <w:sz w:val="16"/>
                <w:szCs w:val="16"/>
              </w:rPr>
              <w:t>arette</w:t>
            </w:r>
            <w:r w:rsidRPr="000F6DEF">
              <w:rPr>
                <w:rFonts w:cs="Calibri"/>
                <w:sz w:val="16"/>
                <w:szCs w:val="16"/>
              </w:rPr>
              <w:t xml:space="preserve"> smoking status</w:t>
            </w:r>
            <w:r w:rsidRPr="000F6DEF">
              <w:rPr>
                <w:rFonts w:cs="Calibri"/>
                <w:sz w:val="16"/>
                <w:szCs w:val="16"/>
              </w:rPr>
              <w:br/>
              <w:t xml:space="preserve">Ever use </w:t>
            </w:r>
            <w:r>
              <w:rPr>
                <w:rFonts w:cs="Calibri"/>
                <w:sz w:val="16"/>
                <w:szCs w:val="16"/>
              </w:rPr>
              <w:t>e</w:t>
            </w:r>
            <w:r>
              <w:rPr>
                <w:rFonts w:cs="Calibri"/>
                <w:sz w:val="16"/>
                <w:szCs w:val="16"/>
              </w:rPr>
              <w:noBreakHyphen/>
              <w:t>cig</w:t>
            </w:r>
            <w:r w:rsidR="008F4D73">
              <w:rPr>
                <w:rFonts w:cs="Calibri"/>
                <w:sz w:val="16"/>
                <w:szCs w:val="16"/>
              </w:rPr>
              <w:t>arette</w:t>
            </w:r>
            <w:r w:rsidRPr="000F6DEF">
              <w:rPr>
                <w:rFonts w:cs="Calibri"/>
                <w:sz w:val="16"/>
                <w:szCs w:val="16"/>
              </w:rPr>
              <w:br/>
            </w:r>
            <w:r>
              <w:rPr>
                <w:rFonts w:cs="Calibri"/>
                <w:sz w:val="16"/>
                <w:szCs w:val="16"/>
              </w:rPr>
              <w:t>e</w:t>
            </w:r>
            <w:r>
              <w:rPr>
                <w:rFonts w:cs="Calibri"/>
                <w:sz w:val="16"/>
                <w:szCs w:val="16"/>
              </w:rPr>
              <w:noBreakHyphen/>
              <w:t>cig</w:t>
            </w:r>
            <w:r w:rsidRPr="000F6DEF">
              <w:rPr>
                <w:rFonts w:cs="Calibri"/>
                <w:sz w:val="16"/>
                <w:szCs w:val="16"/>
              </w:rPr>
              <w:t>arette frequency</w:t>
            </w:r>
            <w:r w:rsidRPr="000F6DEF">
              <w:rPr>
                <w:rFonts w:cs="Calibri"/>
                <w:sz w:val="16"/>
                <w:szCs w:val="16"/>
              </w:rPr>
              <w:br/>
              <w:t xml:space="preserve">Use of </w:t>
            </w:r>
            <w:r>
              <w:rPr>
                <w:rFonts w:cs="Calibri"/>
                <w:sz w:val="16"/>
                <w:szCs w:val="16"/>
              </w:rPr>
              <w:t>e</w:t>
            </w:r>
            <w:r>
              <w:rPr>
                <w:rFonts w:cs="Calibri"/>
                <w:sz w:val="16"/>
                <w:szCs w:val="16"/>
              </w:rPr>
              <w:noBreakHyphen/>
              <w:t>cig</w:t>
            </w:r>
            <w:r w:rsidRPr="000F6DEF">
              <w:rPr>
                <w:rFonts w:cs="Calibri"/>
                <w:sz w:val="16"/>
                <w:szCs w:val="16"/>
              </w:rPr>
              <w:t>arette to quit smoking</w:t>
            </w:r>
            <w:r w:rsidRPr="000F6DEF">
              <w:rPr>
                <w:rFonts w:cs="Calibri"/>
                <w:sz w:val="16"/>
                <w:szCs w:val="16"/>
              </w:rPr>
              <w:br/>
              <w:t>Flavour preferences</w:t>
            </w:r>
            <w:r w:rsidRPr="000F6DEF">
              <w:rPr>
                <w:rFonts w:cs="Calibri"/>
                <w:sz w:val="16"/>
                <w:szCs w:val="16"/>
              </w:rPr>
              <w:br/>
              <w:t>Risk perceptions</w:t>
            </w:r>
          </w:p>
        </w:tc>
      </w:tr>
      <w:tr w:rsidR="00B85C33" w:rsidRPr="000F6DEF" w14:paraId="4A06B572" w14:textId="77777777" w:rsidTr="000376C7">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1433" w:type="dxa"/>
          </w:tcPr>
          <w:p w14:paraId="22A21C99" w14:textId="4041E4DB" w:rsidR="00B85C33" w:rsidRPr="000F6DEF" w:rsidRDefault="00B85C33" w:rsidP="000376C7">
            <w:pPr>
              <w:rPr>
                <w:rFonts w:cs="Calibri"/>
                <w:sz w:val="16"/>
                <w:szCs w:val="16"/>
              </w:rPr>
            </w:pPr>
            <w:r w:rsidRPr="000F6DEF">
              <w:rPr>
                <w:rFonts w:cs="Calibri"/>
                <w:sz w:val="16"/>
                <w:szCs w:val="16"/>
              </w:rPr>
              <w:lastRenderedPageBreak/>
              <w:t>Carroll, Wagener,</w:t>
            </w:r>
            <w:r w:rsidR="008146F9">
              <w:rPr>
                <w:rFonts w:cs="Calibri"/>
                <w:sz w:val="16"/>
                <w:szCs w:val="16"/>
              </w:rPr>
              <w:t xml:space="preserve"> </w:t>
            </w:r>
            <w:r w:rsidRPr="000F6DEF">
              <w:rPr>
                <w:rFonts w:cs="Calibri"/>
                <w:sz w:val="16"/>
                <w:szCs w:val="16"/>
              </w:rPr>
              <w:t>Thompson</w:t>
            </w:r>
          </w:p>
        </w:tc>
        <w:tc>
          <w:tcPr>
            <w:tcW w:w="2388" w:type="dxa"/>
          </w:tcPr>
          <w:p w14:paraId="402FEB08"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The objective of this small</w:t>
            </w:r>
            <w:r w:rsidRPr="000F6DEF">
              <w:rPr>
                <w:rFonts w:cs="Calibri"/>
                <w:sz w:val="16"/>
                <w:szCs w:val="16"/>
              </w:rPr>
              <w:noBreakHyphen/>
              <w:t>scaled study was to examine use behaviours and dependence among exclusive ENDS users and dual users of American Indian descent.</w:t>
            </w:r>
          </w:p>
        </w:tc>
        <w:tc>
          <w:tcPr>
            <w:tcW w:w="1405" w:type="dxa"/>
          </w:tcPr>
          <w:p w14:paraId="09585665"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Investigator developed</w:t>
            </w:r>
          </w:p>
        </w:tc>
        <w:tc>
          <w:tcPr>
            <w:tcW w:w="1406" w:type="dxa"/>
          </w:tcPr>
          <w:p w14:paraId="1CF714EB"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Oklahoma, US</w:t>
            </w:r>
          </w:p>
        </w:tc>
        <w:tc>
          <w:tcPr>
            <w:tcW w:w="1167" w:type="dxa"/>
          </w:tcPr>
          <w:p w14:paraId="4DEA4600"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2016</w:t>
            </w:r>
          </w:p>
        </w:tc>
        <w:tc>
          <w:tcPr>
            <w:tcW w:w="2125" w:type="dxa"/>
          </w:tcPr>
          <w:p w14:paraId="2F8C448B"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ENDS users n27</w:t>
            </w:r>
            <w:r w:rsidRPr="000F6DEF">
              <w:rPr>
                <w:rFonts w:cs="Calibri"/>
                <w:sz w:val="16"/>
                <w:szCs w:val="16"/>
              </w:rPr>
              <w:br/>
              <w:t>Dual users n28</w:t>
            </w:r>
            <w:r w:rsidRPr="000F6DEF">
              <w:rPr>
                <w:rFonts w:cs="Calibri"/>
                <w:sz w:val="16"/>
                <w:szCs w:val="16"/>
              </w:rPr>
              <w:br/>
              <w:t>cig users n27</w:t>
            </w:r>
          </w:p>
          <w:p w14:paraId="332E5A78"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Median age: 41.5</w:t>
            </w:r>
          </w:p>
          <w:p w14:paraId="14517C7F"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38% male</w:t>
            </w:r>
          </w:p>
        </w:tc>
        <w:tc>
          <w:tcPr>
            <w:tcW w:w="2003" w:type="dxa"/>
          </w:tcPr>
          <w:p w14:paraId="1521D1E1"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Posting ads online, staff attending cultural events</w:t>
            </w:r>
          </w:p>
        </w:tc>
        <w:tc>
          <w:tcPr>
            <w:tcW w:w="1623" w:type="dxa"/>
          </w:tcPr>
          <w:p w14:paraId="4D7D71FD"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Described elsewhere</w:t>
            </w:r>
          </w:p>
        </w:tc>
        <w:tc>
          <w:tcPr>
            <w:tcW w:w="1363" w:type="dxa"/>
          </w:tcPr>
          <w:p w14:paraId="608ADB2A"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Hooked on Nicotine Checklist </w:t>
            </w:r>
            <w:r w:rsidRPr="000F6DEF">
              <w:rPr>
                <w:rFonts w:cs="Calibri"/>
                <w:sz w:val="16"/>
                <w:szCs w:val="16"/>
              </w:rPr>
              <w:br/>
              <w:t>CO2 measures</w:t>
            </w:r>
          </w:p>
        </w:tc>
      </w:tr>
      <w:tr w:rsidR="00B85C33" w:rsidRPr="000F6DEF" w14:paraId="1CDF4172" w14:textId="77777777" w:rsidTr="000376C7">
        <w:trPr>
          <w:trHeight w:val="568"/>
        </w:trPr>
        <w:tc>
          <w:tcPr>
            <w:cnfStyle w:val="001000000000" w:firstRow="0" w:lastRow="0" w:firstColumn="1" w:lastColumn="0" w:oddVBand="0" w:evenVBand="0" w:oddHBand="0" w:evenHBand="0" w:firstRowFirstColumn="0" w:firstRowLastColumn="0" w:lastRowFirstColumn="0" w:lastRowLastColumn="0"/>
            <w:tcW w:w="1433" w:type="dxa"/>
          </w:tcPr>
          <w:p w14:paraId="7E6BB26C" w14:textId="77777777" w:rsidR="00B85C33" w:rsidRPr="000F6DEF" w:rsidRDefault="00B85C33" w:rsidP="000376C7">
            <w:pPr>
              <w:rPr>
                <w:rFonts w:cs="Calibri"/>
                <w:sz w:val="16"/>
                <w:szCs w:val="16"/>
              </w:rPr>
            </w:pPr>
            <w:r w:rsidRPr="000F6DEF">
              <w:rPr>
                <w:rFonts w:cs="Calibri"/>
                <w:sz w:val="16"/>
                <w:szCs w:val="16"/>
              </w:rPr>
              <w:t>Cheney, Gowin, Clawson</w:t>
            </w:r>
          </w:p>
        </w:tc>
        <w:tc>
          <w:tcPr>
            <w:tcW w:w="2388" w:type="dxa"/>
          </w:tcPr>
          <w:p w14:paraId="04A8DB8A" w14:textId="12E649CF"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The Ecological Model was used to examine the social and environmental influences of the college environment on </w:t>
            </w:r>
            <w:r>
              <w:rPr>
                <w:rFonts w:cs="Calibri"/>
                <w:sz w:val="16"/>
                <w:szCs w:val="16"/>
              </w:rPr>
              <w:t>e</w:t>
            </w:r>
            <w:r>
              <w:rPr>
                <w:rFonts w:cs="Calibri"/>
                <w:sz w:val="16"/>
                <w:szCs w:val="16"/>
              </w:rPr>
              <w:noBreakHyphen/>
              <w:t>cig</w:t>
            </w:r>
            <w:r w:rsidRPr="000F6DEF">
              <w:rPr>
                <w:rFonts w:cs="Calibri"/>
                <w:sz w:val="16"/>
                <w:szCs w:val="16"/>
              </w:rPr>
              <w:t>arette use (vaping) among college students</w:t>
            </w:r>
            <w:r w:rsidR="006E78E1">
              <w:rPr>
                <w:rFonts w:cs="Calibri"/>
                <w:sz w:val="16"/>
                <w:szCs w:val="16"/>
              </w:rPr>
              <w:t>.</w:t>
            </w:r>
          </w:p>
        </w:tc>
        <w:tc>
          <w:tcPr>
            <w:tcW w:w="1405" w:type="dxa"/>
          </w:tcPr>
          <w:p w14:paraId="5CFAEBD0"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NA </w:t>
            </w:r>
            <w:r w:rsidRPr="000F6DEF">
              <w:rPr>
                <w:rFonts w:cs="Calibri"/>
                <w:sz w:val="16"/>
                <w:szCs w:val="16"/>
              </w:rPr>
              <w:noBreakHyphen/>
              <w:t xml:space="preserve"> Interviews</w:t>
            </w:r>
          </w:p>
        </w:tc>
        <w:tc>
          <w:tcPr>
            <w:tcW w:w="1406" w:type="dxa"/>
          </w:tcPr>
          <w:p w14:paraId="21356A9F"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Southwest US</w:t>
            </w:r>
          </w:p>
        </w:tc>
        <w:tc>
          <w:tcPr>
            <w:tcW w:w="1167" w:type="dxa"/>
          </w:tcPr>
          <w:p w14:paraId="19482A5C"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2015</w:t>
            </w:r>
            <w:r w:rsidRPr="000F6DEF">
              <w:rPr>
                <w:rFonts w:cs="Calibri"/>
                <w:sz w:val="16"/>
                <w:szCs w:val="16"/>
              </w:rPr>
              <w:noBreakHyphen/>
              <w:t>2016</w:t>
            </w:r>
          </w:p>
        </w:tc>
        <w:tc>
          <w:tcPr>
            <w:tcW w:w="2125" w:type="dxa"/>
          </w:tcPr>
          <w:p w14:paraId="008DC1AD"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33 College students</w:t>
            </w:r>
          </w:p>
          <w:p w14:paraId="594BAA71"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Mean age: 20.4</w:t>
            </w:r>
          </w:p>
          <w:p w14:paraId="46D68B6A"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66% male</w:t>
            </w:r>
          </w:p>
        </w:tc>
        <w:tc>
          <w:tcPr>
            <w:tcW w:w="2003" w:type="dxa"/>
          </w:tcPr>
          <w:p w14:paraId="2FAF490F"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Posters placed on campus</w:t>
            </w:r>
          </w:p>
        </w:tc>
        <w:tc>
          <w:tcPr>
            <w:tcW w:w="1623" w:type="dxa"/>
          </w:tcPr>
          <w:p w14:paraId="72929F56"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Conducted by 2 interviewers based on interview guide, then transcribed</w:t>
            </w:r>
          </w:p>
        </w:tc>
        <w:tc>
          <w:tcPr>
            <w:tcW w:w="1363" w:type="dxa"/>
          </w:tcPr>
          <w:p w14:paraId="7DF78CBE"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Coded interviews</w:t>
            </w:r>
          </w:p>
        </w:tc>
      </w:tr>
      <w:tr w:rsidR="00B85C33" w:rsidRPr="000F6DEF" w14:paraId="2FDD043F" w14:textId="77777777" w:rsidTr="000376C7">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1433" w:type="dxa"/>
          </w:tcPr>
          <w:p w14:paraId="3BDE85F6" w14:textId="77777777" w:rsidR="00B85C33" w:rsidRPr="000F6DEF" w:rsidRDefault="00B85C33" w:rsidP="000376C7">
            <w:pPr>
              <w:rPr>
                <w:rFonts w:cs="Calibri"/>
                <w:sz w:val="16"/>
                <w:szCs w:val="16"/>
              </w:rPr>
            </w:pPr>
            <w:r w:rsidRPr="000F6DEF">
              <w:rPr>
                <w:rFonts w:cs="Calibri"/>
                <w:sz w:val="16"/>
                <w:szCs w:val="16"/>
              </w:rPr>
              <w:t>Chin, Lustik, Pflipsen</w:t>
            </w:r>
          </w:p>
        </w:tc>
        <w:tc>
          <w:tcPr>
            <w:tcW w:w="2388" w:type="dxa"/>
          </w:tcPr>
          <w:p w14:paraId="62C5F626"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The primary outcome of this study was to define the prevalence of ESD use in a US Army division.</w:t>
            </w:r>
          </w:p>
        </w:tc>
        <w:tc>
          <w:tcPr>
            <w:tcW w:w="1405" w:type="dxa"/>
          </w:tcPr>
          <w:p w14:paraId="5F80EA17"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Investigator developed</w:t>
            </w:r>
          </w:p>
        </w:tc>
        <w:tc>
          <w:tcPr>
            <w:tcW w:w="1406" w:type="dxa"/>
          </w:tcPr>
          <w:p w14:paraId="6FA16FD6"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HI, US (?)</w:t>
            </w:r>
          </w:p>
        </w:tc>
        <w:tc>
          <w:tcPr>
            <w:tcW w:w="1167" w:type="dxa"/>
          </w:tcPr>
          <w:p w14:paraId="1F4C4BC5"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2015</w:t>
            </w:r>
          </w:p>
        </w:tc>
        <w:tc>
          <w:tcPr>
            <w:tcW w:w="2125" w:type="dxa"/>
          </w:tcPr>
          <w:p w14:paraId="4D03951D" w14:textId="0FF1CA99"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1</w:t>
            </w:r>
            <w:r w:rsidR="007B1B17">
              <w:rPr>
                <w:rFonts w:cs="Calibri"/>
                <w:sz w:val="16"/>
                <w:szCs w:val="16"/>
              </w:rPr>
              <w:t>,</w:t>
            </w:r>
            <w:r w:rsidRPr="000F6DEF">
              <w:rPr>
                <w:rFonts w:cs="Calibri"/>
                <w:sz w:val="16"/>
                <w:szCs w:val="16"/>
              </w:rPr>
              <w:t>288 military service members</w:t>
            </w:r>
          </w:p>
          <w:p w14:paraId="1D7C5D7E"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Median age: 26</w:t>
            </w:r>
          </w:p>
          <w:p w14:paraId="471B6A16"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86% male</w:t>
            </w:r>
          </w:p>
        </w:tc>
        <w:tc>
          <w:tcPr>
            <w:tcW w:w="2003" w:type="dxa"/>
          </w:tcPr>
          <w:p w14:paraId="01C1BA7E"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Using a randomizer on www. random.org, we randomly selected 20 of 108 companies from the 25th Infantry Division to participate in the study. Each company had 40–100 service members. </w:t>
            </w:r>
          </w:p>
        </w:tc>
        <w:tc>
          <w:tcPr>
            <w:tcW w:w="1623" w:type="dxa"/>
          </w:tcPr>
          <w:p w14:paraId="001C27DA"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Administered by a member of the research team</w:t>
            </w:r>
          </w:p>
        </w:tc>
        <w:tc>
          <w:tcPr>
            <w:tcW w:w="1363" w:type="dxa"/>
          </w:tcPr>
          <w:p w14:paraId="533192E4"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ESD use</w:t>
            </w:r>
            <w:r w:rsidRPr="000F6DEF">
              <w:rPr>
                <w:rFonts w:cs="Calibri"/>
                <w:sz w:val="16"/>
                <w:szCs w:val="16"/>
              </w:rPr>
              <w:br/>
              <w:t>ESD opinions</w:t>
            </w:r>
            <w:r w:rsidRPr="000F6DEF">
              <w:rPr>
                <w:rFonts w:cs="Calibri"/>
                <w:sz w:val="16"/>
                <w:szCs w:val="16"/>
              </w:rPr>
              <w:br/>
              <w:t>Demographics</w:t>
            </w:r>
          </w:p>
        </w:tc>
      </w:tr>
      <w:tr w:rsidR="00B85C33" w:rsidRPr="000F6DEF" w14:paraId="2D5B6028" w14:textId="77777777" w:rsidTr="000376C7">
        <w:trPr>
          <w:trHeight w:val="568"/>
        </w:trPr>
        <w:tc>
          <w:tcPr>
            <w:cnfStyle w:val="001000000000" w:firstRow="0" w:lastRow="0" w:firstColumn="1" w:lastColumn="0" w:oddVBand="0" w:evenVBand="0" w:oddHBand="0" w:evenHBand="0" w:firstRowFirstColumn="0" w:firstRowLastColumn="0" w:lastRowFirstColumn="0" w:lastRowLastColumn="0"/>
            <w:tcW w:w="1433" w:type="dxa"/>
          </w:tcPr>
          <w:p w14:paraId="4CF8C325" w14:textId="77777777" w:rsidR="00B85C33" w:rsidRPr="000F6DEF" w:rsidRDefault="00B85C33" w:rsidP="000376C7">
            <w:pPr>
              <w:rPr>
                <w:rFonts w:cs="Calibri"/>
                <w:sz w:val="16"/>
                <w:szCs w:val="16"/>
              </w:rPr>
            </w:pPr>
            <w:r w:rsidRPr="000F6DEF">
              <w:rPr>
                <w:rFonts w:cs="Calibri"/>
                <w:sz w:val="16"/>
                <w:szCs w:val="16"/>
              </w:rPr>
              <w:t>Copeland, Peltier, Waldo</w:t>
            </w:r>
          </w:p>
        </w:tc>
        <w:tc>
          <w:tcPr>
            <w:tcW w:w="2388" w:type="dxa"/>
          </w:tcPr>
          <w:p w14:paraId="7E634F9C" w14:textId="0FCF232E"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The present study sought to develop the Risks and Benefits of </w:t>
            </w:r>
            <w:r>
              <w:rPr>
                <w:rFonts w:cs="Calibri"/>
                <w:sz w:val="16"/>
                <w:szCs w:val="16"/>
              </w:rPr>
              <w:t>E</w:t>
            </w:r>
            <w:r>
              <w:rPr>
                <w:rFonts w:cs="Calibri"/>
                <w:sz w:val="16"/>
                <w:szCs w:val="16"/>
              </w:rPr>
              <w:noBreakHyphen/>
              <w:t>cig</w:t>
            </w:r>
            <w:r w:rsidRPr="000F6DEF">
              <w:rPr>
                <w:rFonts w:cs="Calibri"/>
                <w:sz w:val="16"/>
                <w:szCs w:val="16"/>
              </w:rPr>
              <w:t xml:space="preserve">arettes (RABE) questionnaire to assess the perceptions about </w:t>
            </w:r>
            <w:r>
              <w:rPr>
                <w:rFonts w:cs="Calibri"/>
                <w:sz w:val="16"/>
                <w:szCs w:val="16"/>
              </w:rPr>
              <w:t>e</w:t>
            </w:r>
            <w:r>
              <w:rPr>
                <w:rFonts w:cs="Calibri"/>
                <w:sz w:val="16"/>
                <w:szCs w:val="16"/>
              </w:rPr>
              <w:noBreakHyphen/>
              <w:t>cig</w:t>
            </w:r>
            <w:r w:rsidRPr="000F6DEF">
              <w:rPr>
                <w:rFonts w:cs="Calibri"/>
                <w:sz w:val="16"/>
                <w:szCs w:val="16"/>
              </w:rPr>
              <w:t>arette use among college students</w:t>
            </w:r>
            <w:r w:rsidR="006E78E1">
              <w:rPr>
                <w:rFonts w:cs="Calibri"/>
                <w:sz w:val="16"/>
                <w:szCs w:val="16"/>
              </w:rPr>
              <w:t>.</w:t>
            </w:r>
          </w:p>
        </w:tc>
        <w:tc>
          <w:tcPr>
            <w:tcW w:w="1405" w:type="dxa"/>
          </w:tcPr>
          <w:p w14:paraId="42F20676"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Investigator developed </w:t>
            </w:r>
            <w:r w:rsidRPr="000F6DEF">
              <w:rPr>
                <w:rFonts w:cs="Calibri"/>
                <w:sz w:val="16"/>
                <w:szCs w:val="16"/>
              </w:rPr>
              <w:noBreakHyphen/>
              <w:t xml:space="preserve"> RABE survey</w:t>
            </w:r>
          </w:p>
        </w:tc>
        <w:tc>
          <w:tcPr>
            <w:tcW w:w="1406" w:type="dxa"/>
          </w:tcPr>
          <w:p w14:paraId="59EEC132"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Southern US</w:t>
            </w:r>
          </w:p>
        </w:tc>
        <w:tc>
          <w:tcPr>
            <w:tcW w:w="1167" w:type="dxa"/>
          </w:tcPr>
          <w:p w14:paraId="37767D52"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NR</w:t>
            </w:r>
          </w:p>
        </w:tc>
        <w:tc>
          <w:tcPr>
            <w:tcW w:w="2125" w:type="dxa"/>
          </w:tcPr>
          <w:p w14:paraId="57B28AAE"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734 Psychology undergrads </w:t>
            </w:r>
          </w:p>
          <w:p w14:paraId="777F1185"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Mean age: 20.07(1.97)</w:t>
            </w:r>
          </w:p>
          <w:p w14:paraId="60D01320"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22% male</w:t>
            </w:r>
          </w:p>
        </w:tc>
        <w:tc>
          <w:tcPr>
            <w:tcW w:w="2003" w:type="dxa"/>
          </w:tcPr>
          <w:p w14:paraId="297A9D8D"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Recruited from Department of Psychology research pool at college</w:t>
            </w:r>
          </w:p>
        </w:tc>
        <w:tc>
          <w:tcPr>
            <w:tcW w:w="1623" w:type="dxa"/>
          </w:tcPr>
          <w:p w14:paraId="5FFAE56A"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Online</w:t>
            </w:r>
          </w:p>
        </w:tc>
        <w:tc>
          <w:tcPr>
            <w:tcW w:w="1363" w:type="dxa"/>
          </w:tcPr>
          <w:p w14:paraId="37400061"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Demographics</w:t>
            </w:r>
            <w:r w:rsidRPr="000F6DEF">
              <w:rPr>
                <w:rFonts w:cs="Calibri"/>
                <w:sz w:val="16"/>
                <w:szCs w:val="16"/>
              </w:rPr>
              <w:br/>
              <w:t>Smoking status</w:t>
            </w:r>
            <w:r w:rsidRPr="000F6DEF">
              <w:rPr>
                <w:rFonts w:cs="Calibri"/>
                <w:sz w:val="16"/>
                <w:szCs w:val="16"/>
              </w:rPr>
              <w:br/>
              <w:t xml:space="preserve">Risks and benefits of </w:t>
            </w:r>
            <w:r>
              <w:rPr>
                <w:rFonts w:cs="Calibri"/>
                <w:sz w:val="16"/>
                <w:szCs w:val="16"/>
              </w:rPr>
              <w:t>e</w:t>
            </w:r>
            <w:r>
              <w:rPr>
                <w:rFonts w:cs="Calibri"/>
                <w:sz w:val="16"/>
                <w:szCs w:val="16"/>
              </w:rPr>
              <w:noBreakHyphen/>
              <w:t>cig</w:t>
            </w:r>
            <w:r w:rsidRPr="000F6DEF">
              <w:rPr>
                <w:rFonts w:cs="Calibri"/>
                <w:sz w:val="16"/>
                <w:szCs w:val="16"/>
              </w:rPr>
              <w:t>arette (RABE)</w:t>
            </w:r>
          </w:p>
        </w:tc>
      </w:tr>
      <w:tr w:rsidR="00B85C33" w:rsidRPr="000F6DEF" w14:paraId="07F3C244" w14:textId="77777777" w:rsidTr="000376C7">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1433" w:type="dxa"/>
          </w:tcPr>
          <w:p w14:paraId="2584ACFC" w14:textId="77777777" w:rsidR="00B85C33" w:rsidRPr="000F6DEF" w:rsidRDefault="00B85C33" w:rsidP="000376C7">
            <w:pPr>
              <w:rPr>
                <w:rFonts w:cs="Calibri"/>
                <w:sz w:val="16"/>
                <w:szCs w:val="16"/>
              </w:rPr>
            </w:pPr>
            <w:r w:rsidRPr="000F6DEF">
              <w:rPr>
                <w:rFonts w:cs="Calibri"/>
                <w:sz w:val="16"/>
                <w:szCs w:val="16"/>
              </w:rPr>
              <w:t>De Genna, Ylioja, Schulze et al</w:t>
            </w:r>
          </w:p>
        </w:tc>
        <w:tc>
          <w:tcPr>
            <w:tcW w:w="2388" w:type="dxa"/>
          </w:tcPr>
          <w:p w14:paraId="6DECF9D7"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The objectives of this study were to examine the prevalence of electronic cigarette use among counselled tobacco users admitted to 2 academic hospitals. </w:t>
            </w:r>
          </w:p>
        </w:tc>
        <w:tc>
          <w:tcPr>
            <w:tcW w:w="1405" w:type="dxa"/>
          </w:tcPr>
          <w:p w14:paraId="37399315"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NA </w:t>
            </w:r>
            <w:r w:rsidRPr="000F6DEF">
              <w:rPr>
                <w:rFonts w:cs="Calibri"/>
                <w:sz w:val="16"/>
                <w:szCs w:val="16"/>
              </w:rPr>
              <w:noBreakHyphen/>
              <w:t xml:space="preserve"> observational data</w:t>
            </w:r>
          </w:p>
        </w:tc>
        <w:tc>
          <w:tcPr>
            <w:tcW w:w="1406" w:type="dxa"/>
          </w:tcPr>
          <w:p w14:paraId="36CC6EB6"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Pennsylvania, US</w:t>
            </w:r>
          </w:p>
        </w:tc>
        <w:tc>
          <w:tcPr>
            <w:tcW w:w="1167" w:type="dxa"/>
          </w:tcPr>
          <w:p w14:paraId="5BC00D0A"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2015</w:t>
            </w:r>
          </w:p>
        </w:tc>
        <w:tc>
          <w:tcPr>
            <w:tcW w:w="2125" w:type="dxa"/>
          </w:tcPr>
          <w:p w14:paraId="71C11910" w14:textId="647B7D5D"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2</w:t>
            </w:r>
            <w:r w:rsidR="007B1B17">
              <w:rPr>
                <w:rFonts w:cs="Calibri"/>
                <w:sz w:val="16"/>
                <w:szCs w:val="16"/>
              </w:rPr>
              <w:t>,</w:t>
            </w:r>
            <w:r w:rsidRPr="000F6DEF">
              <w:rPr>
                <w:rFonts w:cs="Calibri"/>
                <w:sz w:val="16"/>
                <w:szCs w:val="16"/>
              </w:rPr>
              <w:t>194</w:t>
            </w:r>
          </w:p>
          <w:p w14:paraId="17EB7240"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Mean age: 50.2(14.2)</w:t>
            </w:r>
          </w:p>
          <w:p w14:paraId="3E8AC968"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64% male</w:t>
            </w:r>
          </w:p>
        </w:tc>
        <w:tc>
          <w:tcPr>
            <w:tcW w:w="2003" w:type="dxa"/>
          </w:tcPr>
          <w:p w14:paraId="6D5D718C"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Those admitted to one of 2 hospitals in 2015 </w:t>
            </w:r>
            <w:r w:rsidRPr="000F6DEF">
              <w:rPr>
                <w:rFonts w:cs="Calibri"/>
                <w:sz w:val="16"/>
                <w:szCs w:val="16"/>
              </w:rPr>
              <w:br/>
              <w:t>24% identified as smokers</w:t>
            </w:r>
          </w:p>
        </w:tc>
        <w:tc>
          <w:tcPr>
            <w:tcW w:w="1623" w:type="dxa"/>
          </w:tcPr>
          <w:p w14:paraId="34D9EEBD"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tobacco counsellors recorded after interview/counselling </w:t>
            </w:r>
          </w:p>
        </w:tc>
        <w:tc>
          <w:tcPr>
            <w:tcW w:w="1363" w:type="dxa"/>
          </w:tcPr>
          <w:p w14:paraId="27A88B46" w14:textId="325F5FFA"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Ever use </w:t>
            </w:r>
            <w:r>
              <w:rPr>
                <w:rFonts w:cs="Calibri"/>
                <w:sz w:val="16"/>
                <w:szCs w:val="16"/>
              </w:rPr>
              <w:t>e</w:t>
            </w:r>
            <w:r>
              <w:rPr>
                <w:rFonts w:cs="Calibri"/>
                <w:sz w:val="16"/>
                <w:szCs w:val="16"/>
              </w:rPr>
              <w:noBreakHyphen/>
              <w:t>cig</w:t>
            </w:r>
            <w:r w:rsidR="008F4D73">
              <w:rPr>
                <w:rFonts w:cs="Calibri"/>
                <w:sz w:val="16"/>
                <w:szCs w:val="16"/>
              </w:rPr>
              <w:t>arette</w:t>
            </w:r>
            <w:r w:rsidRPr="000F6DEF">
              <w:rPr>
                <w:rFonts w:cs="Calibri"/>
                <w:sz w:val="16"/>
                <w:szCs w:val="16"/>
              </w:rPr>
              <w:br/>
              <w:t>Reasons for use (categorical)</w:t>
            </w:r>
            <w:r w:rsidRPr="000F6DEF">
              <w:rPr>
                <w:rFonts w:cs="Calibri"/>
                <w:sz w:val="16"/>
                <w:szCs w:val="16"/>
              </w:rPr>
              <w:br/>
              <w:t>Cig</w:t>
            </w:r>
            <w:r w:rsidR="007B1B17">
              <w:rPr>
                <w:rFonts w:cs="Calibri"/>
                <w:sz w:val="16"/>
                <w:szCs w:val="16"/>
              </w:rPr>
              <w:t>arette</w:t>
            </w:r>
            <w:r w:rsidRPr="000F6DEF">
              <w:rPr>
                <w:rFonts w:cs="Calibri"/>
                <w:sz w:val="16"/>
                <w:szCs w:val="16"/>
              </w:rPr>
              <w:t xml:space="preserve"> history</w:t>
            </w:r>
            <w:r w:rsidRPr="000F6DEF">
              <w:rPr>
                <w:rFonts w:cs="Calibri"/>
                <w:sz w:val="16"/>
                <w:szCs w:val="16"/>
              </w:rPr>
              <w:br/>
              <w:t>Demographics</w:t>
            </w:r>
          </w:p>
        </w:tc>
      </w:tr>
      <w:tr w:rsidR="00B85C33" w:rsidRPr="000F6DEF" w14:paraId="3412CA7B" w14:textId="77777777" w:rsidTr="000376C7">
        <w:trPr>
          <w:trHeight w:val="568"/>
        </w:trPr>
        <w:tc>
          <w:tcPr>
            <w:cnfStyle w:val="001000000000" w:firstRow="0" w:lastRow="0" w:firstColumn="1" w:lastColumn="0" w:oddVBand="0" w:evenVBand="0" w:oddHBand="0" w:evenHBand="0" w:firstRowFirstColumn="0" w:firstRowLastColumn="0" w:lastRowFirstColumn="0" w:lastRowLastColumn="0"/>
            <w:tcW w:w="1433" w:type="dxa"/>
          </w:tcPr>
          <w:p w14:paraId="2D706945" w14:textId="77777777" w:rsidR="00B85C33" w:rsidRPr="000F6DEF" w:rsidRDefault="00B85C33" w:rsidP="000376C7">
            <w:pPr>
              <w:rPr>
                <w:rFonts w:cs="Calibri"/>
                <w:sz w:val="16"/>
                <w:szCs w:val="16"/>
              </w:rPr>
            </w:pPr>
            <w:r w:rsidRPr="000F6DEF">
              <w:rPr>
                <w:rFonts w:cs="Calibri"/>
                <w:sz w:val="16"/>
                <w:szCs w:val="16"/>
              </w:rPr>
              <w:t>Fite, Cushing, Poquiz, Frazer</w:t>
            </w:r>
          </w:p>
        </w:tc>
        <w:tc>
          <w:tcPr>
            <w:tcW w:w="2388" w:type="dxa"/>
          </w:tcPr>
          <w:p w14:paraId="4C83493E"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The goal of the current study was to better understand family influences (i.e., perceptions of parental attitudes and sibling use) of </w:t>
            </w:r>
            <w:r>
              <w:rPr>
                <w:rFonts w:cs="Calibri"/>
                <w:sz w:val="16"/>
                <w:szCs w:val="16"/>
              </w:rPr>
              <w:t>e</w:t>
            </w:r>
            <w:r>
              <w:rPr>
                <w:rFonts w:cs="Calibri"/>
                <w:sz w:val="16"/>
                <w:szCs w:val="16"/>
              </w:rPr>
              <w:noBreakHyphen/>
              <w:t>cig</w:t>
            </w:r>
            <w:r w:rsidRPr="000F6DEF">
              <w:rPr>
                <w:rFonts w:cs="Calibri"/>
                <w:sz w:val="16"/>
                <w:szCs w:val="16"/>
              </w:rPr>
              <w:t xml:space="preserve">arette use and determine how these influences on </w:t>
            </w:r>
            <w:r>
              <w:rPr>
                <w:rFonts w:cs="Calibri"/>
                <w:sz w:val="16"/>
                <w:szCs w:val="16"/>
              </w:rPr>
              <w:t>e</w:t>
            </w:r>
            <w:r>
              <w:rPr>
                <w:rFonts w:cs="Calibri"/>
                <w:sz w:val="16"/>
                <w:szCs w:val="16"/>
              </w:rPr>
              <w:noBreakHyphen/>
              <w:t>cig</w:t>
            </w:r>
            <w:r w:rsidRPr="000F6DEF">
              <w:rPr>
                <w:rFonts w:cs="Calibri"/>
                <w:sz w:val="16"/>
                <w:szCs w:val="16"/>
              </w:rPr>
              <w:t xml:space="preserve">arette use compared to their influence on other substances (i.e., alcohol, </w:t>
            </w:r>
            <w:r w:rsidRPr="000F6DEF">
              <w:rPr>
                <w:rFonts w:cs="Calibri"/>
                <w:sz w:val="16"/>
                <w:szCs w:val="16"/>
              </w:rPr>
              <w:lastRenderedPageBreak/>
              <w:t xml:space="preserve">traditional tobacco, and marijuana). </w:t>
            </w:r>
          </w:p>
        </w:tc>
        <w:tc>
          <w:tcPr>
            <w:tcW w:w="1405" w:type="dxa"/>
          </w:tcPr>
          <w:p w14:paraId="639DACCF"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lastRenderedPageBreak/>
              <w:t>Investigator developed</w:t>
            </w:r>
          </w:p>
        </w:tc>
        <w:tc>
          <w:tcPr>
            <w:tcW w:w="1406" w:type="dxa"/>
          </w:tcPr>
          <w:p w14:paraId="32FB6082"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Midwest, US</w:t>
            </w:r>
          </w:p>
        </w:tc>
        <w:tc>
          <w:tcPr>
            <w:tcW w:w="1167" w:type="dxa"/>
          </w:tcPr>
          <w:p w14:paraId="70B236DC"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NR</w:t>
            </w:r>
          </w:p>
        </w:tc>
        <w:tc>
          <w:tcPr>
            <w:tcW w:w="2125" w:type="dxa"/>
          </w:tcPr>
          <w:p w14:paraId="7FEF9BBE"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279 Adolescents</w:t>
            </w:r>
          </w:p>
          <w:p w14:paraId="2636B1C0"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Mean age: 15.59(1.20)</w:t>
            </w:r>
          </w:p>
          <w:p w14:paraId="1B4DD19E"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50% male</w:t>
            </w:r>
          </w:p>
          <w:p w14:paraId="136F5D16"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p>
        </w:tc>
        <w:tc>
          <w:tcPr>
            <w:tcW w:w="2003" w:type="dxa"/>
          </w:tcPr>
          <w:p w14:paraId="3252E1CB"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Consent forms send home with parents</w:t>
            </w:r>
          </w:p>
        </w:tc>
        <w:tc>
          <w:tcPr>
            <w:tcW w:w="1623" w:type="dxa"/>
          </w:tcPr>
          <w:p w14:paraId="30AD098E"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Administered in school vis computer using an online link </w:t>
            </w:r>
            <w:r w:rsidRPr="000F6DEF">
              <w:rPr>
                <w:rFonts w:cs="Calibri"/>
                <w:sz w:val="16"/>
                <w:szCs w:val="16"/>
              </w:rPr>
              <w:br/>
              <w:t>Firewall blocked and 54.8% had to complete via paper</w:t>
            </w:r>
          </w:p>
        </w:tc>
        <w:tc>
          <w:tcPr>
            <w:tcW w:w="1363" w:type="dxa"/>
          </w:tcPr>
          <w:p w14:paraId="79545A22"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Demographics</w:t>
            </w:r>
            <w:r w:rsidRPr="000F6DEF">
              <w:rPr>
                <w:rFonts w:cs="Calibri"/>
                <w:sz w:val="16"/>
                <w:szCs w:val="16"/>
              </w:rPr>
              <w:br/>
              <w:t>Lifetime substance use</w:t>
            </w:r>
            <w:r w:rsidRPr="000F6DEF">
              <w:rPr>
                <w:rFonts w:cs="Calibri"/>
                <w:sz w:val="16"/>
                <w:szCs w:val="16"/>
              </w:rPr>
              <w:br/>
              <w:t>Parental approval of substance use</w:t>
            </w:r>
            <w:r w:rsidRPr="000F6DEF">
              <w:rPr>
                <w:rFonts w:cs="Calibri"/>
                <w:sz w:val="16"/>
                <w:szCs w:val="16"/>
              </w:rPr>
              <w:br/>
              <w:t>Sibling use of substances</w:t>
            </w:r>
          </w:p>
        </w:tc>
      </w:tr>
      <w:tr w:rsidR="00B85C33" w:rsidRPr="000F6DEF" w14:paraId="47AC5AA2" w14:textId="77777777" w:rsidTr="000376C7">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1433" w:type="dxa"/>
          </w:tcPr>
          <w:p w14:paraId="4FEE9B89" w14:textId="77777777" w:rsidR="00B85C33" w:rsidRPr="000F6DEF" w:rsidRDefault="00B85C33" w:rsidP="000376C7">
            <w:pPr>
              <w:rPr>
                <w:rFonts w:cs="Calibri"/>
                <w:sz w:val="16"/>
                <w:szCs w:val="16"/>
              </w:rPr>
            </w:pPr>
            <w:r w:rsidRPr="000F6DEF">
              <w:rPr>
                <w:rFonts w:cs="Calibri"/>
                <w:sz w:val="16"/>
                <w:szCs w:val="16"/>
              </w:rPr>
              <w:t>Franks, Hawkes, McCain, Payakachat</w:t>
            </w:r>
          </w:p>
        </w:tc>
        <w:tc>
          <w:tcPr>
            <w:tcW w:w="2388" w:type="dxa"/>
          </w:tcPr>
          <w:p w14:paraId="0FD1C238"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Our study evaluated the electronic cigarette (</w:t>
            </w:r>
            <w:r>
              <w:rPr>
                <w:rFonts w:cs="Calibri"/>
                <w:sz w:val="16"/>
                <w:szCs w:val="16"/>
              </w:rPr>
              <w:t>e</w:t>
            </w:r>
            <w:r>
              <w:rPr>
                <w:rFonts w:cs="Calibri"/>
                <w:sz w:val="16"/>
                <w:szCs w:val="16"/>
              </w:rPr>
              <w:noBreakHyphen/>
              <w:t>cig</w:t>
            </w:r>
            <w:r w:rsidRPr="000F6DEF">
              <w:rPr>
                <w:rFonts w:cs="Calibri"/>
                <w:sz w:val="16"/>
                <w:szCs w:val="16"/>
              </w:rPr>
              <w:t>arette) use, knowledge, and perceptions of health professional students enrolled in one of five colleges at a single academic health centre.</w:t>
            </w:r>
          </w:p>
        </w:tc>
        <w:tc>
          <w:tcPr>
            <w:tcW w:w="1405" w:type="dxa"/>
          </w:tcPr>
          <w:p w14:paraId="7D14A3F3"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Investigator developed</w:t>
            </w:r>
          </w:p>
        </w:tc>
        <w:tc>
          <w:tcPr>
            <w:tcW w:w="1406" w:type="dxa"/>
          </w:tcPr>
          <w:p w14:paraId="1BE297AB"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Arkansas, US</w:t>
            </w:r>
          </w:p>
        </w:tc>
        <w:tc>
          <w:tcPr>
            <w:tcW w:w="1167" w:type="dxa"/>
          </w:tcPr>
          <w:p w14:paraId="5EE12E4C"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2014</w:t>
            </w:r>
          </w:p>
        </w:tc>
        <w:tc>
          <w:tcPr>
            <w:tcW w:w="2125" w:type="dxa"/>
          </w:tcPr>
          <w:p w14:paraId="7FB9F5C5"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853 College students</w:t>
            </w:r>
          </w:p>
          <w:p w14:paraId="1C167071"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Ages: 38.7% 21</w:t>
            </w:r>
            <w:r w:rsidRPr="000F6DEF">
              <w:rPr>
                <w:rFonts w:cs="Calibri"/>
                <w:sz w:val="16"/>
                <w:szCs w:val="16"/>
              </w:rPr>
              <w:noBreakHyphen/>
              <w:t>24 years; 25.0% 25</w:t>
            </w:r>
            <w:r w:rsidRPr="000F6DEF">
              <w:rPr>
                <w:rFonts w:cs="Calibri"/>
                <w:sz w:val="16"/>
                <w:szCs w:val="16"/>
              </w:rPr>
              <w:noBreakHyphen/>
              <w:t>29 years</w:t>
            </w:r>
          </w:p>
          <w:p w14:paraId="23E46BDB"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26% male</w:t>
            </w:r>
          </w:p>
        </w:tc>
        <w:tc>
          <w:tcPr>
            <w:tcW w:w="2003" w:type="dxa"/>
          </w:tcPr>
          <w:p w14:paraId="0D0A6B02"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All students currently enrolled in a health professional degree or certificate program in one of five colleges within a single US academic health centre</w:t>
            </w:r>
          </w:p>
        </w:tc>
        <w:tc>
          <w:tcPr>
            <w:tcW w:w="1623" w:type="dxa"/>
          </w:tcPr>
          <w:p w14:paraId="63B7D2EA"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Online survey (Survey Monkey)</w:t>
            </w:r>
            <w:r w:rsidRPr="000F6DEF">
              <w:rPr>
                <w:rFonts w:cs="Calibri"/>
                <w:sz w:val="16"/>
                <w:szCs w:val="16"/>
              </w:rPr>
              <w:br/>
              <w:t>Chance to win iPod shuffle</w:t>
            </w:r>
          </w:p>
        </w:tc>
        <w:tc>
          <w:tcPr>
            <w:tcW w:w="1363" w:type="dxa"/>
          </w:tcPr>
          <w:p w14:paraId="1E2334C6" w14:textId="391C01E4"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History of tobacco smoking</w:t>
            </w:r>
            <w:r w:rsidRPr="000F6DEF">
              <w:rPr>
                <w:rFonts w:cs="Calibri"/>
                <w:sz w:val="16"/>
                <w:szCs w:val="16"/>
              </w:rPr>
              <w:br/>
              <w:t>Knowledge (</w:t>
            </w:r>
            <w:r>
              <w:rPr>
                <w:rFonts w:cs="Calibri"/>
                <w:sz w:val="16"/>
                <w:szCs w:val="16"/>
              </w:rPr>
              <w:t>e</w:t>
            </w:r>
            <w:r>
              <w:rPr>
                <w:rFonts w:cs="Calibri"/>
                <w:sz w:val="16"/>
                <w:szCs w:val="16"/>
              </w:rPr>
              <w:noBreakHyphen/>
              <w:t>cig</w:t>
            </w:r>
            <w:r w:rsidR="008F4D73">
              <w:rPr>
                <w:rFonts w:cs="Calibri"/>
                <w:sz w:val="16"/>
                <w:szCs w:val="16"/>
              </w:rPr>
              <w:t>arette</w:t>
            </w:r>
            <w:r w:rsidRPr="000F6DEF">
              <w:rPr>
                <w:rFonts w:cs="Calibri"/>
                <w:sz w:val="16"/>
                <w:szCs w:val="16"/>
              </w:rPr>
              <w:t>)</w:t>
            </w:r>
            <w:r w:rsidRPr="000F6DEF">
              <w:rPr>
                <w:rFonts w:cs="Calibri"/>
                <w:sz w:val="16"/>
                <w:szCs w:val="16"/>
              </w:rPr>
              <w:br/>
              <w:t>Perception of smoking cessation, harm reduction and enhanced regulation</w:t>
            </w:r>
            <w:r w:rsidRPr="000F6DEF">
              <w:rPr>
                <w:rFonts w:cs="Calibri"/>
                <w:sz w:val="16"/>
                <w:szCs w:val="16"/>
              </w:rPr>
              <w:br/>
              <w:t>Demographics</w:t>
            </w:r>
          </w:p>
        </w:tc>
      </w:tr>
      <w:tr w:rsidR="00B85C33" w:rsidRPr="000F6DEF" w14:paraId="0AC00A5A" w14:textId="77777777" w:rsidTr="000376C7">
        <w:trPr>
          <w:trHeight w:val="568"/>
        </w:trPr>
        <w:tc>
          <w:tcPr>
            <w:cnfStyle w:val="001000000000" w:firstRow="0" w:lastRow="0" w:firstColumn="1" w:lastColumn="0" w:oddVBand="0" w:evenVBand="0" w:oddHBand="0" w:evenHBand="0" w:firstRowFirstColumn="0" w:firstRowLastColumn="0" w:lastRowFirstColumn="0" w:lastRowLastColumn="0"/>
            <w:tcW w:w="1433" w:type="dxa"/>
          </w:tcPr>
          <w:p w14:paraId="3A1DD65D" w14:textId="77777777" w:rsidR="00B85C33" w:rsidRPr="000F6DEF" w:rsidRDefault="00B85C33" w:rsidP="000376C7">
            <w:pPr>
              <w:rPr>
                <w:rFonts w:cs="Calibri"/>
                <w:sz w:val="16"/>
                <w:szCs w:val="16"/>
              </w:rPr>
            </w:pPr>
            <w:r w:rsidRPr="000F6DEF">
              <w:rPr>
                <w:rFonts w:cs="Calibri"/>
                <w:sz w:val="16"/>
                <w:szCs w:val="16"/>
              </w:rPr>
              <w:t>Hall, Austin, Do et al</w:t>
            </w:r>
          </w:p>
        </w:tc>
        <w:tc>
          <w:tcPr>
            <w:tcW w:w="2388" w:type="dxa"/>
          </w:tcPr>
          <w:p w14:paraId="25B57BA3"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The purpose of this study was to assess the prevalence and correlates of </w:t>
            </w:r>
            <w:r>
              <w:rPr>
                <w:rFonts w:cs="Calibri"/>
                <w:sz w:val="16"/>
                <w:szCs w:val="16"/>
              </w:rPr>
              <w:t>e</w:t>
            </w:r>
            <w:r>
              <w:rPr>
                <w:rFonts w:cs="Calibri"/>
                <w:sz w:val="16"/>
                <w:szCs w:val="16"/>
              </w:rPr>
              <w:noBreakHyphen/>
              <w:t>cig</w:t>
            </w:r>
            <w:r w:rsidRPr="000F6DEF">
              <w:rPr>
                <w:rFonts w:cs="Calibri"/>
                <w:sz w:val="16"/>
                <w:szCs w:val="16"/>
              </w:rPr>
              <w:t>arette use in a select population of active duty U.S. Naval personnel.</w:t>
            </w:r>
          </w:p>
        </w:tc>
        <w:tc>
          <w:tcPr>
            <w:tcW w:w="1405" w:type="dxa"/>
          </w:tcPr>
          <w:p w14:paraId="3E54EB7D"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Investigator developed</w:t>
            </w:r>
          </w:p>
        </w:tc>
        <w:tc>
          <w:tcPr>
            <w:tcW w:w="1406" w:type="dxa"/>
          </w:tcPr>
          <w:p w14:paraId="5ADAFAFE"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Virginia, US</w:t>
            </w:r>
          </w:p>
        </w:tc>
        <w:tc>
          <w:tcPr>
            <w:tcW w:w="1167" w:type="dxa"/>
          </w:tcPr>
          <w:p w14:paraId="1DDBC149"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2015</w:t>
            </w:r>
            <w:r w:rsidRPr="000F6DEF">
              <w:rPr>
                <w:rFonts w:cs="Calibri"/>
                <w:sz w:val="16"/>
                <w:szCs w:val="16"/>
              </w:rPr>
              <w:noBreakHyphen/>
              <w:t>2016</w:t>
            </w:r>
          </w:p>
        </w:tc>
        <w:tc>
          <w:tcPr>
            <w:tcW w:w="2125" w:type="dxa"/>
          </w:tcPr>
          <w:p w14:paraId="1292CD49"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977</w:t>
            </w:r>
          </w:p>
          <w:p w14:paraId="24DA331A"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Ages: 62.5% older than 25</w:t>
            </w:r>
          </w:p>
          <w:p w14:paraId="61E72E28"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85% male</w:t>
            </w:r>
          </w:p>
        </w:tc>
        <w:tc>
          <w:tcPr>
            <w:tcW w:w="2003" w:type="dxa"/>
          </w:tcPr>
          <w:p w14:paraId="7CE299D5"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US Navy personnel undertaking a health assessment at a specific department</w:t>
            </w:r>
          </w:p>
        </w:tc>
        <w:tc>
          <w:tcPr>
            <w:tcW w:w="1623" w:type="dxa"/>
          </w:tcPr>
          <w:p w14:paraId="1C347066"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Survey attached to other paperwork</w:t>
            </w:r>
          </w:p>
        </w:tc>
        <w:tc>
          <w:tcPr>
            <w:tcW w:w="1363" w:type="dxa"/>
          </w:tcPr>
          <w:p w14:paraId="22C8C1D0" w14:textId="3E500315"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Ever</w:t>
            </w:r>
            <w:r w:rsidRPr="000F6DEF">
              <w:rPr>
                <w:rFonts w:cs="Calibri"/>
                <w:sz w:val="16"/>
                <w:szCs w:val="16"/>
              </w:rPr>
              <w:noBreakHyphen/>
              <w:t xml:space="preserve">use of </w:t>
            </w:r>
            <w:r>
              <w:rPr>
                <w:rFonts w:cs="Calibri"/>
                <w:sz w:val="16"/>
                <w:szCs w:val="16"/>
              </w:rPr>
              <w:t>e</w:t>
            </w:r>
            <w:r>
              <w:rPr>
                <w:rFonts w:cs="Calibri"/>
                <w:sz w:val="16"/>
                <w:szCs w:val="16"/>
              </w:rPr>
              <w:noBreakHyphen/>
              <w:t>cig</w:t>
            </w:r>
            <w:r w:rsidR="008F4D73">
              <w:rPr>
                <w:rFonts w:cs="Calibri"/>
                <w:sz w:val="16"/>
                <w:szCs w:val="16"/>
              </w:rPr>
              <w:t>arette</w:t>
            </w:r>
            <w:r w:rsidRPr="000F6DEF">
              <w:rPr>
                <w:rFonts w:cs="Calibri"/>
                <w:sz w:val="16"/>
                <w:szCs w:val="16"/>
              </w:rPr>
              <w:br/>
              <w:t xml:space="preserve">Use of </w:t>
            </w:r>
            <w:r>
              <w:rPr>
                <w:rFonts w:cs="Calibri"/>
                <w:sz w:val="16"/>
                <w:szCs w:val="16"/>
              </w:rPr>
              <w:t>e</w:t>
            </w:r>
            <w:r>
              <w:rPr>
                <w:rFonts w:cs="Calibri"/>
                <w:sz w:val="16"/>
                <w:szCs w:val="16"/>
              </w:rPr>
              <w:noBreakHyphen/>
              <w:t>cig</w:t>
            </w:r>
            <w:r w:rsidR="008F4D73">
              <w:rPr>
                <w:rFonts w:cs="Calibri"/>
                <w:sz w:val="16"/>
                <w:szCs w:val="16"/>
              </w:rPr>
              <w:t>arette</w:t>
            </w:r>
            <w:r w:rsidRPr="000F6DEF">
              <w:rPr>
                <w:rFonts w:cs="Calibri"/>
                <w:sz w:val="16"/>
                <w:szCs w:val="16"/>
              </w:rPr>
              <w:br/>
              <w:t>Demographics</w:t>
            </w:r>
          </w:p>
        </w:tc>
      </w:tr>
      <w:tr w:rsidR="00B85C33" w:rsidRPr="000F6DEF" w14:paraId="1C0F3321" w14:textId="77777777" w:rsidTr="000376C7">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1433" w:type="dxa"/>
          </w:tcPr>
          <w:p w14:paraId="0459E49B" w14:textId="77777777" w:rsidR="00B85C33" w:rsidRPr="000F6DEF" w:rsidRDefault="00B85C33" w:rsidP="000376C7">
            <w:pPr>
              <w:rPr>
                <w:rFonts w:cs="Calibri"/>
                <w:sz w:val="16"/>
                <w:szCs w:val="16"/>
              </w:rPr>
            </w:pPr>
            <w:r w:rsidRPr="000F6DEF">
              <w:rPr>
                <w:rFonts w:cs="Calibri"/>
                <w:sz w:val="16"/>
                <w:szCs w:val="16"/>
              </w:rPr>
              <w:t>Hershberger, Connors, Um, Cyders</w:t>
            </w:r>
          </w:p>
        </w:tc>
        <w:tc>
          <w:tcPr>
            <w:tcW w:w="2388" w:type="dxa"/>
          </w:tcPr>
          <w:p w14:paraId="07A3D3D9" w14:textId="0F8B2FBE"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The current paper applied the theory of planned behaviour to understand how impulsive personality traits and attitudes concerning </w:t>
            </w:r>
            <w:r>
              <w:rPr>
                <w:rFonts w:cs="Calibri"/>
                <w:sz w:val="16"/>
                <w:szCs w:val="16"/>
              </w:rPr>
              <w:t>e</w:t>
            </w:r>
            <w:r>
              <w:rPr>
                <w:rFonts w:cs="Calibri"/>
                <w:sz w:val="16"/>
                <w:szCs w:val="16"/>
              </w:rPr>
              <w:noBreakHyphen/>
              <w:t>cig</w:t>
            </w:r>
            <w:r w:rsidRPr="000F6DEF">
              <w:rPr>
                <w:rFonts w:cs="Calibri"/>
                <w:sz w:val="16"/>
                <w:szCs w:val="16"/>
              </w:rPr>
              <w:t>arette use relate to the likelihood of electronic cigarette (</w:t>
            </w:r>
            <w:r>
              <w:rPr>
                <w:rFonts w:cs="Calibri"/>
                <w:sz w:val="16"/>
                <w:szCs w:val="16"/>
              </w:rPr>
              <w:t>e</w:t>
            </w:r>
            <w:r>
              <w:rPr>
                <w:rFonts w:cs="Calibri"/>
                <w:sz w:val="16"/>
                <w:szCs w:val="16"/>
              </w:rPr>
              <w:noBreakHyphen/>
              <w:t>cig</w:t>
            </w:r>
            <w:r w:rsidR="007B1B17">
              <w:rPr>
                <w:rFonts w:cs="Calibri"/>
                <w:sz w:val="16"/>
                <w:szCs w:val="16"/>
              </w:rPr>
              <w:t>arette</w:t>
            </w:r>
            <w:r w:rsidRPr="000F6DEF">
              <w:rPr>
                <w:rFonts w:cs="Calibri"/>
                <w:sz w:val="16"/>
                <w:szCs w:val="16"/>
              </w:rPr>
              <w:t>) use.</w:t>
            </w:r>
          </w:p>
        </w:tc>
        <w:tc>
          <w:tcPr>
            <w:tcW w:w="1405" w:type="dxa"/>
          </w:tcPr>
          <w:p w14:paraId="3302CE86"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Investigator developed</w:t>
            </w:r>
          </w:p>
        </w:tc>
        <w:tc>
          <w:tcPr>
            <w:tcW w:w="1406" w:type="dxa"/>
          </w:tcPr>
          <w:p w14:paraId="0DB9C858"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US national</w:t>
            </w:r>
          </w:p>
        </w:tc>
        <w:tc>
          <w:tcPr>
            <w:tcW w:w="1167" w:type="dxa"/>
          </w:tcPr>
          <w:p w14:paraId="2B478D65"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NR</w:t>
            </w:r>
          </w:p>
        </w:tc>
        <w:tc>
          <w:tcPr>
            <w:tcW w:w="2125" w:type="dxa"/>
          </w:tcPr>
          <w:p w14:paraId="730822B8"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714</w:t>
            </w:r>
          </w:p>
          <w:p w14:paraId="1A28F48B"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Mean age: 34.01(10.89)</w:t>
            </w:r>
          </w:p>
          <w:p w14:paraId="303A2A2D"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51% male</w:t>
            </w:r>
          </w:p>
        </w:tc>
        <w:tc>
          <w:tcPr>
            <w:tcW w:w="2003" w:type="dxa"/>
          </w:tcPr>
          <w:p w14:paraId="4270C43C"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Amazon’s Mechanical Turk (MTurk)</w:t>
            </w:r>
          </w:p>
        </w:tc>
        <w:tc>
          <w:tcPr>
            <w:tcW w:w="1623" w:type="dxa"/>
          </w:tcPr>
          <w:p w14:paraId="7B24FB00"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Survey Monkey</w:t>
            </w:r>
          </w:p>
        </w:tc>
        <w:tc>
          <w:tcPr>
            <w:tcW w:w="1363" w:type="dxa"/>
          </w:tcPr>
          <w:p w14:paraId="54BE1A99"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Demographics</w:t>
            </w:r>
            <w:r w:rsidRPr="000F6DEF">
              <w:rPr>
                <w:rFonts w:cs="Calibri"/>
                <w:sz w:val="16"/>
                <w:szCs w:val="16"/>
              </w:rPr>
              <w:br/>
            </w:r>
            <w:r>
              <w:rPr>
                <w:rFonts w:cs="Calibri"/>
                <w:sz w:val="16"/>
                <w:szCs w:val="16"/>
              </w:rPr>
              <w:t>e</w:t>
            </w:r>
            <w:r>
              <w:rPr>
                <w:rFonts w:cs="Calibri"/>
                <w:sz w:val="16"/>
                <w:szCs w:val="16"/>
              </w:rPr>
              <w:noBreakHyphen/>
              <w:t>cig</w:t>
            </w:r>
            <w:r w:rsidRPr="000F6DEF">
              <w:rPr>
                <w:rFonts w:cs="Calibri"/>
                <w:sz w:val="16"/>
                <w:szCs w:val="16"/>
              </w:rPr>
              <w:t>arette use</w:t>
            </w:r>
            <w:r w:rsidRPr="000F6DEF">
              <w:rPr>
                <w:rFonts w:cs="Calibri"/>
                <w:sz w:val="16"/>
                <w:szCs w:val="16"/>
              </w:rPr>
              <w:br/>
              <w:t>Impulse related personality traits</w:t>
            </w:r>
            <w:r w:rsidRPr="000F6DEF">
              <w:rPr>
                <w:rFonts w:cs="Calibri"/>
                <w:sz w:val="16"/>
                <w:szCs w:val="16"/>
              </w:rPr>
              <w:br/>
              <w:t xml:space="preserve">Comparing </w:t>
            </w:r>
            <w:r>
              <w:rPr>
                <w:rFonts w:cs="Calibri"/>
                <w:sz w:val="16"/>
                <w:szCs w:val="16"/>
              </w:rPr>
              <w:t>E</w:t>
            </w:r>
            <w:r>
              <w:rPr>
                <w:rFonts w:cs="Calibri"/>
                <w:sz w:val="16"/>
                <w:szCs w:val="16"/>
              </w:rPr>
              <w:noBreakHyphen/>
              <w:t>cig</w:t>
            </w:r>
            <w:r w:rsidRPr="000F6DEF">
              <w:rPr>
                <w:rFonts w:cs="Calibri"/>
                <w:sz w:val="16"/>
                <w:szCs w:val="16"/>
              </w:rPr>
              <w:t>arettes and Cigarettes Questionnaire (CEAC)</w:t>
            </w:r>
          </w:p>
        </w:tc>
      </w:tr>
      <w:tr w:rsidR="00B85C33" w:rsidRPr="000F6DEF" w14:paraId="2067FAD7" w14:textId="77777777" w:rsidTr="000376C7">
        <w:trPr>
          <w:trHeight w:val="568"/>
        </w:trPr>
        <w:tc>
          <w:tcPr>
            <w:cnfStyle w:val="001000000000" w:firstRow="0" w:lastRow="0" w:firstColumn="1" w:lastColumn="0" w:oddVBand="0" w:evenVBand="0" w:oddHBand="0" w:evenHBand="0" w:firstRowFirstColumn="0" w:firstRowLastColumn="0" w:lastRowFirstColumn="0" w:lastRowLastColumn="0"/>
            <w:tcW w:w="1433" w:type="dxa"/>
          </w:tcPr>
          <w:p w14:paraId="0E2940C6" w14:textId="77777777" w:rsidR="00B85C33" w:rsidRPr="000F6DEF" w:rsidRDefault="00B85C33" w:rsidP="000376C7">
            <w:pPr>
              <w:rPr>
                <w:rFonts w:cs="Calibri"/>
                <w:sz w:val="16"/>
                <w:szCs w:val="16"/>
              </w:rPr>
            </w:pPr>
            <w:r w:rsidRPr="000F6DEF">
              <w:rPr>
                <w:rFonts w:cs="Calibri"/>
                <w:sz w:val="16"/>
                <w:szCs w:val="16"/>
              </w:rPr>
              <w:t>Johnson, Mays, Hawkins et al</w:t>
            </w:r>
          </w:p>
        </w:tc>
        <w:tc>
          <w:tcPr>
            <w:tcW w:w="2388" w:type="dxa"/>
          </w:tcPr>
          <w:p w14:paraId="5FA69FDA"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This study examined youths’ perceptions of electronic cigarettes (“</w:t>
            </w:r>
            <w:r>
              <w:rPr>
                <w:rFonts w:cs="Calibri"/>
                <w:sz w:val="16"/>
                <w:szCs w:val="16"/>
              </w:rPr>
              <w:t>e</w:t>
            </w:r>
            <w:r>
              <w:rPr>
                <w:rFonts w:cs="Calibri"/>
                <w:sz w:val="16"/>
                <w:szCs w:val="16"/>
              </w:rPr>
              <w:noBreakHyphen/>
              <w:t>cig</w:t>
            </w:r>
            <w:r w:rsidRPr="000F6DEF">
              <w:rPr>
                <w:rFonts w:cs="Calibri"/>
                <w:sz w:val="16"/>
                <w:szCs w:val="16"/>
              </w:rPr>
              <w:t xml:space="preserve">arettes”), sources of </w:t>
            </w:r>
            <w:r>
              <w:rPr>
                <w:rFonts w:cs="Calibri"/>
                <w:sz w:val="16"/>
                <w:szCs w:val="16"/>
              </w:rPr>
              <w:t>e</w:t>
            </w:r>
            <w:r>
              <w:rPr>
                <w:rFonts w:cs="Calibri"/>
                <w:sz w:val="16"/>
                <w:szCs w:val="16"/>
              </w:rPr>
              <w:noBreakHyphen/>
              <w:t>cig</w:t>
            </w:r>
            <w:r w:rsidRPr="000F6DEF">
              <w:rPr>
                <w:rFonts w:cs="Calibri"/>
                <w:sz w:val="16"/>
                <w:szCs w:val="16"/>
              </w:rPr>
              <w:t xml:space="preserve">arette exposure, and preferred sources of </w:t>
            </w:r>
            <w:r>
              <w:rPr>
                <w:rFonts w:cs="Calibri"/>
                <w:sz w:val="16"/>
                <w:szCs w:val="16"/>
              </w:rPr>
              <w:t>e</w:t>
            </w:r>
            <w:r>
              <w:rPr>
                <w:rFonts w:cs="Calibri"/>
                <w:sz w:val="16"/>
                <w:szCs w:val="16"/>
              </w:rPr>
              <w:noBreakHyphen/>
              <w:t>cig</w:t>
            </w:r>
            <w:r w:rsidRPr="000F6DEF">
              <w:rPr>
                <w:rFonts w:cs="Calibri"/>
                <w:sz w:val="16"/>
                <w:szCs w:val="16"/>
              </w:rPr>
              <w:t xml:space="preserve">arette health information. </w:t>
            </w:r>
          </w:p>
        </w:tc>
        <w:tc>
          <w:tcPr>
            <w:tcW w:w="1405" w:type="dxa"/>
          </w:tcPr>
          <w:p w14:paraId="164F69AE"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Investigator developed</w:t>
            </w:r>
          </w:p>
        </w:tc>
        <w:tc>
          <w:tcPr>
            <w:tcW w:w="1406" w:type="dxa"/>
          </w:tcPr>
          <w:p w14:paraId="7F95F8DF"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Washington, US</w:t>
            </w:r>
          </w:p>
        </w:tc>
        <w:tc>
          <w:tcPr>
            <w:tcW w:w="1167" w:type="dxa"/>
          </w:tcPr>
          <w:p w14:paraId="377979D9"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w:t>
            </w:r>
          </w:p>
        </w:tc>
        <w:tc>
          <w:tcPr>
            <w:tcW w:w="2125" w:type="dxa"/>
          </w:tcPr>
          <w:p w14:paraId="4A4456F8"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25 Adolescents</w:t>
            </w:r>
          </w:p>
          <w:p w14:paraId="3AC93977"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Mean age: 15(1.5)</w:t>
            </w:r>
          </w:p>
          <w:p w14:paraId="54AE6E1C"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44% male</w:t>
            </w:r>
          </w:p>
        </w:tc>
        <w:tc>
          <w:tcPr>
            <w:tcW w:w="2003" w:type="dxa"/>
          </w:tcPr>
          <w:p w14:paraId="42C306E2"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Approached during a primary care visit to a specific clinic</w:t>
            </w:r>
          </w:p>
        </w:tc>
        <w:tc>
          <w:tcPr>
            <w:tcW w:w="1623" w:type="dxa"/>
          </w:tcPr>
          <w:p w14:paraId="4EEBD65B"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In</w:t>
            </w:r>
            <w:r w:rsidRPr="000F6DEF">
              <w:rPr>
                <w:rFonts w:cs="Calibri"/>
                <w:sz w:val="16"/>
                <w:szCs w:val="16"/>
              </w:rPr>
              <w:noBreakHyphen/>
              <w:t>depth interview over the telephone</w:t>
            </w:r>
          </w:p>
        </w:tc>
        <w:tc>
          <w:tcPr>
            <w:tcW w:w="1363" w:type="dxa"/>
          </w:tcPr>
          <w:p w14:paraId="488B3B1F" w14:textId="117785D4"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Open and close ended questions regarding </w:t>
            </w:r>
            <w:r>
              <w:rPr>
                <w:rFonts w:cs="Calibri"/>
                <w:sz w:val="16"/>
                <w:szCs w:val="16"/>
              </w:rPr>
              <w:t>e</w:t>
            </w:r>
            <w:r>
              <w:rPr>
                <w:rFonts w:cs="Calibri"/>
                <w:sz w:val="16"/>
                <w:szCs w:val="16"/>
              </w:rPr>
              <w:noBreakHyphen/>
              <w:t>cig</w:t>
            </w:r>
            <w:r w:rsidR="008F4D73">
              <w:rPr>
                <w:rFonts w:cs="Calibri"/>
                <w:sz w:val="16"/>
                <w:szCs w:val="16"/>
              </w:rPr>
              <w:t>arette</w:t>
            </w:r>
            <w:r w:rsidRPr="000F6DEF">
              <w:rPr>
                <w:rFonts w:cs="Calibri"/>
                <w:sz w:val="16"/>
                <w:szCs w:val="16"/>
              </w:rPr>
              <w:t>s</w:t>
            </w:r>
          </w:p>
        </w:tc>
      </w:tr>
      <w:tr w:rsidR="00B85C33" w:rsidRPr="000F6DEF" w14:paraId="2DD338D0" w14:textId="77777777" w:rsidTr="000376C7">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1433" w:type="dxa"/>
          </w:tcPr>
          <w:p w14:paraId="500ED722" w14:textId="77777777" w:rsidR="00B85C33" w:rsidRPr="000F6DEF" w:rsidRDefault="00B85C33" w:rsidP="000376C7">
            <w:pPr>
              <w:rPr>
                <w:rFonts w:cs="Calibri"/>
                <w:sz w:val="16"/>
                <w:szCs w:val="16"/>
              </w:rPr>
            </w:pPr>
            <w:r w:rsidRPr="000F6DEF">
              <w:rPr>
                <w:rFonts w:cs="Calibri"/>
                <w:sz w:val="16"/>
                <w:szCs w:val="16"/>
              </w:rPr>
              <w:t xml:space="preserve">King, Reboussin, Spangler et al </w:t>
            </w:r>
          </w:p>
        </w:tc>
        <w:tc>
          <w:tcPr>
            <w:tcW w:w="2388" w:type="dxa"/>
          </w:tcPr>
          <w:p w14:paraId="646002B3"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Individuals with mental health conditions represent a priority population for tobacco control. This population smokes cigarettes at disproportionately higher rates than the general population, but less is known about the relationship between non</w:t>
            </w:r>
            <w:r w:rsidRPr="000F6DEF">
              <w:rPr>
                <w:rFonts w:cs="Calibri"/>
                <w:sz w:val="16"/>
                <w:szCs w:val="16"/>
              </w:rPr>
              <w:noBreakHyphen/>
              <w:t xml:space="preserve">cigarette tobacco use and mental health status. </w:t>
            </w:r>
          </w:p>
        </w:tc>
        <w:tc>
          <w:tcPr>
            <w:tcW w:w="1405" w:type="dxa"/>
          </w:tcPr>
          <w:p w14:paraId="52547494"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Investigator developed</w:t>
            </w:r>
            <w:r w:rsidRPr="000F6DEF">
              <w:rPr>
                <w:rFonts w:cs="Calibri"/>
                <w:sz w:val="16"/>
                <w:szCs w:val="16"/>
              </w:rPr>
              <w:br/>
              <w:t>10</w:t>
            </w:r>
            <w:r w:rsidRPr="000F6DEF">
              <w:rPr>
                <w:rFonts w:cs="Calibri"/>
                <w:sz w:val="16"/>
                <w:szCs w:val="16"/>
              </w:rPr>
              <w:noBreakHyphen/>
              <w:t>item survey</w:t>
            </w:r>
          </w:p>
        </w:tc>
        <w:tc>
          <w:tcPr>
            <w:tcW w:w="1406" w:type="dxa"/>
          </w:tcPr>
          <w:p w14:paraId="0D092CA8"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North Carolina and Virginia, US</w:t>
            </w:r>
          </w:p>
        </w:tc>
        <w:tc>
          <w:tcPr>
            <w:tcW w:w="1167" w:type="dxa"/>
          </w:tcPr>
          <w:p w14:paraId="3402E92C"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2013 (wave 6)</w:t>
            </w:r>
          </w:p>
        </w:tc>
        <w:tc>
          <w:tcPr>
            <w:tcW w:w="2125" w:type="dxa"/>
          </w:tcPr>
          <w:p w14:paraId="6EB8030A"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2370 College students</w:t>
            </w:r>
          </w:p>
          <w:p w14:paraId="24599078"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Mean age: 21.1(0.4)</w:t>
            </w:r>
          </w:p>
          <w:p w14:paraId="1B080C8F"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36% male</w:t>
            </w:r>
          </w:p>
        </w:tc>
        <w:tc>
          <w:tcPr>
            <w:tcW w:w="2003" w:type="dxa"/>
          </w:tcPr>
          <w:p w14:paraId="1ED68FEF"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Students in 11 colleges </w:t>
            </w:r>
            <w:r w:rsidRPr="000F6DEF">
              <w:rPr>
                <w:rFonts w:cs="Calibri"/>
                <w:sz w:val="16"/>
                <w:szCs w:val="16"/>
              </w:rPr>
              <w:br/>
              <w:t>10,528 invited to complete screener. Surveyed twice a year since 2011. $40 gift card</w:t>
            </w:r>
          </w:p>
        </w:tc>
        <w:tc>
          <w:tcPr>
            <w:tcW w:w="1623" w:type="dxa"/>
          </w:tcPr>
          <w:p w14:paraId="285C9054"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Online</w:t>
            </w:r>
          </w:p>
        </w:tc>
        <w:tc>
          <w:tcPr>
            <w:tcW w:w="1363" w:type="dxa"/>
          </w:tcPr>
          <w:p w14:paraId="0219AB74" w14:textId="146D0FB6"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Mental Health diagnosis (Self</w:t>
            </w:r>
            <w:r w:rsidRPr="000F6DEF">
              <w:rPr>
                <w:rFonts w:cs="Calibri"/>
                <w:sz w:val="16"/>
                <w:szCs w:val="16"/>
              </w:rPr>
              <w:noBreakHyphen/>
              <w:t>reported)</w:t>
            </w:r>
            <w:r w:rsidRPr="000F6DEF">
              <w:rPr>
                <w:rFonts w:cs="Calibri"/>
                <w:sz w:val="16"/>
                <w:szCs w:val="16"/>
              </w:rPr>
              <w:br/>
              <w:t>Stress (PSS)</w:t>
            </w:r>
            <w:r w:rsidRPr="000F6DEF">
              <w:rPr>
                <w:rFonts w:cs="Calibri"/>
                <w:sz w:val="16"/>
                <w:szCs w:val="16"/>
              </w:rPr>
              <w:br/>
              <w:t>Depression (CED</w:t>
            </w:r>
            <w:r w:rsidRPr="000F6DEF">
              <w:rPr>
                <w:rFonts w:cs="Calibri"/>
                <w:sz w:val="16"/>
                <w:szCs w:val="16"/>
              </w:rPr>
              <w:noBreakHyphen/>
              <w:t>S)</w:t>
            </w:r>
            <w:r w:rsidRPr="000F6DEF">
              <w:rPr>
                <w:rFonts w:cs="Calibri"/>
                <w:sz w:val="16"/>
                <w:szCs w:val="16"/>
              </w:rPr>
              <w:br/>
              <w:t xml:space="preserve">Tobacco use (including </w:t>
            </w:r>
            <w:r>
              <w:rPr>
                <w:rFonts w:cs="Calibri"/>
                <w:sz w:val="16"/>
                <w:szCs w:val="16"/>
              </w:rPr>
              <w:t>e</w:t>
            </w:r>
            <w:r>
              <w:rPr>
                <w:rFonts w:cs="Calibri"/>
                <w:sz w:val="16"/>
                <w:szCs w:val="16"/>
              </w:rPr>
              <w:noBreakHyphen/>
              <w:t>cig</w:t>
            </w:r>
            <w:r w:rsidR="008F4D73">
              <w:rPr>
                <w:rFonts w:cs="Calibri"/>
                <w:sz w:val="16"/>
                <w:szCs w:val="16"/>
              </w:rPr>
              <w:t>arette</w:t>
            </w:r>
            <w:r w:rsidRPr="000F6DEF">
              <w:rPr>
                <w:rFonts w:cs="Calibri"/>
                <w:sz w:val="16"/>
                <w:szCs w:val="16"/>
              </w:rPr>
              <w:t>)</w:t>
            </w:r>
            <w:r w:rsidRPr="000F6DEF">
              <w:rPr>
                <w:rFonts w:cs="Calibri"/>
                <w:sz w:val="16"/>
                <w:szCs w:val="16"/>
              </w:rPr>
              <w:br/>
              <w:t>Demographics</w:t>
            </w:r>
          </w:p>
        </w:tc>
      </w:tr>
      <w:tr w:rsidR="00B85C33" w:rsidRPr="000F6DEF" w14:paraId="74985975" w14:textId="77777777" w:rsidTr="000376C7">
        <w:trPr>
          <w:trHeight w:val="568"/>
        </w:trPr>
        <w:tc>
          <w:tcPr>
            <w:cnfStyle w:val="001000000000" w:firstRow="0" w:lastRow="0" w:firstColumn="1" w:lastColumn="0" w:oddVBand="0" w:evenVBand="0" w:oddHBand="0" w:evenHBand="0" w:firstRowFirstColumn="0" w:firstRowLastColumn="0" w:lastRowFirstColumn="0" w:lastRowLastColumn="0"/>
            <w:tcW w:w="1433" w:type="dxa"/>
          </w:tcPr>
          <w:p w14:paraId="1B375BD5" w14:textId="77777777" w:rsidR="00B85C33" w:rsidRPr="000F6DEF" w:rsidRDefault="00B85C33" w:rsidP="000376C7">
            <w:pPr>
              <w:rPr>
                <w:rFonts w:cs="Calibri"/>
                <w:sz w:val="16"/>
                <w:szCs w:val="16"/>
              </w:rPr>
            </w:pPr>
            <w:r w:rsidRPr="000F6DEF">
              <w:rPr>
                <w:rFonts w:cs="Calibri"/>
                <w:sz w:val="16"/>
                <w:szCs w:val="16"/>
              </w:rPr>
              <w:lastRenderedPageBreak/>
              <w:t>Lee, Lin, Seo, Lohrmann</w:t>
            </w:r>
          </w:p>
        </w:tc>
        <w:tc>
          <w:tcPr>
            <w:tcW w:w="2388" w:type="dxa"/>
          </w:tcPr>
          <w:p w14:paraId="35CAC3CF"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This study investigated characteristics of potential and current </w:t>
            </w:r>
            <w:r>
              <w:rPr>
                <w:rFonts w:cs="Calibri"/>
                <w:sz w:val="16"/>
                <w:szCs w:val="16"/>
              </w:rPr>
              <w:t>e</w:t>
            </w:r>
            <w:r>
              <w:rPr>
                <w:rFonts w:cs="Calibri"/>
                <w:sz w:val="16"/>
                <w:szCs w:val="16"/>
              </w:rPr>
              <w:noBreakHyphen/>
              <w:t>cig</w:t>
            </w:r>
            <w:r w:rsidRPr="000F6DEF">
              <w:rPr>
                <w:rFonts w:cs="Calibri"/>
                <w:sz w:val="16"/>
                <w:szCs w:val="16"/>
              </w:rPr>
              <w:t xml:space="preserve">arette users based on four different levels of use acceptability along with the determinants that promote </w:t>
            </w:r>
            <w:r>
              <w:rPr>
                <w:rFonts w:cs="Calibri"/>
                <w:sz w:val="16"/>
                <w:szCs w:val="16"/>
              </w:rPr>
              <w:t>e</w:t>
            </w:r>
            <w:r>
              <w:rPr>
                <w:rFonts w:cs="Calibri"/>
                <w:sz w:val="16"/>
                <w:szCs w:val="16"/>
              </w:rPr>
              <w:noBreakHyphen/>
              <w:t>cig</w:t>
            </w:r>
            <w:r w:rsidRPr="000F6DEF">
              <w:rPr>
                <w:rFonts w:cs="Calibri"/>
                <w:sz w:val="16"/>
                <w:szCs w:val="16"/>
              </w:rPr>
              <w:t>arette use acceptability among college students.</w:t>
            </w:r>
          </w:p>
        </w:tc>
        <w:tc>
          <w:tcPr>
            <w:tcW w:w="1405" w:type="dxa"/>
          </w:tcPr>
          <w:p w14:paraId="3EC6B657"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Investigator developed</w:t>
            </w:r>
          </w:p>
        </w:tc>
        <w:tc>
          <w:tcPr>
            <w:tcW w:w="1406" w:type="dxa"/>
          </w:tcPr>
          <w:p w14:paraId="684DEEC9"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US</w:t>
            </w:r>
          </w:p>
        </w:tc>
        <w:tc>
          <w:tcPr>
            <w:tcW w:w="1167" w:type="dxa"/>
          </w:tcPr>
          <w:p w14:paraId="10CE844B"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2015</w:t>
            </w:r>
          </w:p>
        </w:tc>
        <w:tc>
          <w:tcPr>
            <w:tcW w:w="2125" w:type="dxa"/>
          </w:tcPr>
          <w:p w14:paraId="5DB5DA9B"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1,198 College students</w:t>
            </w:r>
          </w:p>
          <w:p w14:paraId="24905057"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Mean age: 19.9(1.54)</w:t>
            </w:r>
          </w:p>
          <w:p w14:paraId="4F66DFE3"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33% male</w:t>
            </w:r>
          </w:p>
        </w:tc>
        <w:tc>
          <w:tcPr>
            <w:tcW w:w="2003" w:type="dxa"/>
          </w:tcPr>
          <w:p w14:paraId="38A7EFD7"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Instructors of undergraduate</w:t>
            </w:r>
            <w:r w:rsidRPr="000F6DEF">
              <w:rPr>
                <w:rFonts w:cs="Calibri"/>
                <w:sz w:val="16"/>
                <w:szCs w:val="16"/>
              </w:rPr>
              <w:noBreakHyphen/>
              <w:t>level general education courses were first contacted via email for permission to either administer paper</w:t>
            </w:r>
            <w:r w:rsidRPr="000F6DEF">
              <w:rPr>
                <w:rFonts w:cs="Calibri"/>
                <w:sz w:val="16"/>
                <w:szCs w:val="16"/>
              </w:rPr>
              <w:noBreakHyphen/>
              <w:t>and</w:t>
            </w:r>
            <w:r w:rsidRPr="000F6DEF">
              <w:rPr>
                <w:rFonts w:cs="Calibri"/>
                <w:sz w:val="16"/>
                <w:szCs w:val="16"/>
              </w:rPr>
              <w:noBreakHyphen/>
              <w:t>pencil surveys in class or provide a survey link to an online version of the questionnaire.</w:t>
            </w:r>
          </w:p>
        </w:tc>
        <w:tc>
          <w:tcPr>
            <w:tcW w:w="1623" w:type="dxa"/>
          </w:tcPr>
          <w:p w14:paraId="1DA8E5EC"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Self</w:t>
            </w:r>
            <w:r w:rsidRPr="000F6DEF">
              <w:rPr>
                <w:rFonts w:cs="Calibri"/>
                <w:sz w:val="16"/>
                <w:szCs w:val="16"/>
              </w:rPr>
              <w:noBreakHyphen/>
              <w:t>administered pencil and paper</w:t>
            </w:r>
          </w:p>
        </w:tc>
        <w:tc>
          <w:tcPr>
            <w:tcW w:w="1363" w:type="dxa"/>
          </w:tcPr>
          <w:p w14:paraId="738947E7" w14:textId="2FA7564C"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Ever use </w:t>
            </w:r>
            <w:r>
              <w:rPr>
                <w:rFonts w:cs="Calibri"/>
                <w:sz w:val="16"/>
                <w:szCs w:val="16"/>
              </w:rPr>
              <w:t>e</w:t>
            </w:r>
            <w:r>
              <w:rPr>
                <w:rFonts w:cs="Calibri"/>
                <w:sz w:val="16"/>
                <w:szCs w:val="16"/>
              </w:rPr>
              <w:noBreakHyphen/>
              <w:t>cig</w:t>
            </w:r>
            <w:r w:rsidR="008F4D73">
              <w:rPr>
                <w:rFonts w:cs="Calibri"/>
                <w:sz w:val="16"/>
                <w:szCs w:val="16"/>
              </w:rPr>
              <w:t>arette</w:t>
            </w:r>
            <w:r w:rsidRPr="000F6DEF">
              <w:rPr>
                <w:rFonts w:cs="Calibri"/>
                <w:sz w:val="16"/>
                <w:szCs w:val="16"/>
              </w:rPr>
              <w:br/>
              <w:t xml:space="preserve">Intention to use </w:t>
            </w:r>
            <w:r>
              <w:rPr>
                <w:rFonts w:cs="Calibri"/>
                <w:sz w:val="16"/>
                <w:szCs w:val="16"/>
              </w:rPr>
              <w:t>e</w:t>
            </w:r>
            <w:r>
              <w:rPr>
                <w:rFonts w:cs="Calibri"/>
                <w:sz w:val="16"/>
                <w:szCs w:val="16"/>
              </w:rPr>
              <w:noBreakHyphen/>
              <w:t>cig</w:t>
            </w:r>
            <w:r w:rsidR="008F4D73">
              <w:rPr>
                <w:rFonts w:cs="Calibri"/>
                <w:sz w:val="16"/>
                <w:szCs w:val="16"/>
              </w:rPr>
              <w:t>arette</w:t>
            </w:r>
            <w:r w:rsidR="007B1B17">
              <w:rPr>
                <w:rFonts w:cs="Calibri"/>
                <w:sz w:val="16"/>
                <w:szCs w:val="16"/>
              </w:rPr>
              <w:t>s</w:t>
            </w:r>
            <w:r w:rsidRPr="000F6DEF">
              <w:rPr>
                <w:rFonts w:cs="Calibri"/>
                <w:sz w:val="16"/>
                <w:szCs w:val="16"/>
              </w:rPr>
              <w:br/>
              <w:t xml:space="preserve">Current </w:t>
            </w:r>
            <w:r>
              <w:rPr>
                <w:rFonts w:cs="Calibri"/>
                <w:sz w:val="16"/>
                <w:szCs w:val="16"/>
              </w:rPr>
              <w:t>e</w:t>
            </w:r>
            <w:r>
              <w:rPr>
                <w:rFonts w:cs="Calibri"/>
                <w:sz w:val="16"/>
                <w:szCs w:val="16"/>
              </w:rPr>
              <w:noBreakHyphen/>
              <w:t>cig</w:t>
            </w:r>
            <w:r w:rsidRPr="000F6DEF">
              <w:rPr>
                <w:rFonts w:cs="Calibri"/>
                <w:sz w:val="16"/>
                <w:szCs w:val="16"/>
              </w:rPr>
              <w:t>arette use</w:t>
            </w:r>
            <w:r w:rsidRPr="000F6DEF">
              <w:rPr>
                <w:rFonts w:cs="Calibri"/>
                <w:sz w:val="16"/>
                <w:szCs w:val="16"/>
              </w:rPr>
              <w:br/>
            </w:r>
            <w:r>
              <w:rPr>
                <w:rFonts w:cs="Calibri"/>
                <w:sz w:val="16"/>
                <w:szCs w:val="16"/>
              </w:rPr>
              <w:t>e</w:t>
            </w:r>
            <w:r>
              <w:rPr>
                <w:rFonts w:cs="Calibri"/>
                <w:sz w:val="16"/>
                <w:szCs w:val="16"/>
              </w:rPr>
              <w:noBreakHyphen/>
              <w:t>cig</w:t>
            </w:r>
            <w:r w:rsidRPr="000F6DEF">
              <w:rPr>
                <w:rFonts w:cs="Calibri"/>
                <w:sz w:val="16"/>
                <w:szCs w:val="16"/>
              </w:rPr>
              <w:t>arette use acceptability</w:t>
            </w:r>
            <w:r w:rsidRPr="000F6DEF">
              <w:rPr>
                <w:rFonts w:cs="Calibri"/>
                <w:sz w:val="16"/>
                <w:szCs w:val="16"/>
              </w:rPr>
              <w:br/>
              <w:t xml:space="preserve">Perceived advantages of </w:t>
            </w:r>
            <w:r>
              <w:rPr>
                <w:rFonts w:cs="Calibri"/>
                <w:sz w:val="16"/>
                <w:szCs w:val="16"/>
              </w:rPr>
              <w:t>e</w:t>
            </w:r>
            <w:r>
              <w:rPr>
                <w:rFonts w:cs="Calibri"/>
                <w:sz w:val="16"/>
                <w:szCs w:val="16"/>
              </w:rPr>
              <w:noBreakHyphen/>
              <w:t>cig</w:t>
            </w:r>
            <w:r w:rsidR="008F4D73">
              <w:rPr>
                <w:rFonts w:cs="Calibri"/>
                <w:sz w:val="16"/>
                <w:szCs w:val="16"/>
              </w:rPr>
              <w:t>arette</w:t>
            </w:r>
            <w:r w:rsidRPr="000F6DEF">
              <w:rPr>
                <w:rFonts w:cs="Calibri"/>
                <w:sz w:val="16"/>
                <w:szCs w:val="16"/>
              </w:rPr>
              <w:br/>
              <w:t xml:space="preserve">Compatibility of </w:t>
            </w:r>
            <w:r>
              <w:rPr>
                <w:rFonts w:cs="Calibri"/>
                <w:sz w:val="16"/>
                <w:szCs w:val="16"/>
              </w:rPr>
              <w:t>e</w:t>
            </w:r>
            <w:r>
              <w:rPr>
                <w:rFonts w:cs="Calibri"/>
                <w:sz w:val="16"/>
                <w:szCs w:val="16"/>
              </w:rPr>
              <w:noBreakHyphen/>
              <w:t>cig</w:t>
            </w:r>
            <w:r w:rsidRPr="000F6DEF">
              <w:rPr>
                <w:rFonts w:cs="Calibri"/>
                <w:sz w:val="16"/>
                <w:szCs w:val="16"/>
              </w:rPr>
              <w:t xml:space="preserve">arette with preferences Exposure to </w:t>
            </w:r>
            <w:r>
              <w:rPr>
                <w:rFonts w:cs="Calibri"/>
                <w:sz w:val="16"/>
                <w:szCs w:val="16"/>
              </w:rPr>
              <w:t>e</w:t>
            </w:r>
            <w:r>
              <w:rPr>
                <w:rFonts w:cs="Calibri"/>
                <w:sz w:val="16"/>
                <w:szCs w:val="16"/>
              </w:rPr>
              <w:noBreakHyphen/>
              <w:t>cig</w:t>
            </w:r>
            <w:r w:rsidRPr="000F6DEF">
              <w:rPr>
                <w:rFonts w:cs="Calibri"/>
                <w:sz w:val="16"/>
                <w:szCs w:val="16"/>
              </w:rPr>
              <w:t>arette advertisement</w:t>
            </w:r>
            <w:r w:rsidRPr="000F6DEF">
              <w:rPr>
                <w:rFonts w:cs="Calibri"/>
                <w:sz w:val="16"/>
                <w:szCs w:val="16"/>
              </w:rPr>
              <w:br/>
              <w:t>Substance use</w:t>
            </w:r>
            <w:r w:rsidRPr="000F6DEF">
              <w:rPr>
                <w:rFonts w:cs="Calibri"/>
                <w:sz w:val="16"/>
                <w:szCs w:val="16"/>
              </w:rPr>
              <w:br/>
              <w:t>Demographics</w:t>
            </w:r>
          </w:p>
        </w:tc>
      </w:tr>
      <w:tr w:rsidR="00B85C33" w:rsidRPr="000F6DEF" w14:paraId="1CE555CE" w14:textId="77777777" w:rsidTr="000376C7">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1433" w:type="dxa"/>
          </w:tcPr>
          <w:p w14:paraId="13ACD71E" w14:textId="77777777" w:rsidR="00B85C33" w:rsidRPr="000F6DEF" w:rsidRDefault="00B85C33" w:rsidP="000376C7">
            <w:pPr>
              <w:rPr>
                <w:rFonts w:cs="Calibri"/>
                <w:sz w:val="16"/>
                <w:szCs w:val="16"/>
              </w:rPr>
            </w:pPr>
            <w:r w:rsidRPr="000F6DEF">
              <w:rPr>
                <w:rFonts w:cs="Calibri"/>
                <w:sz w:val="16"/>
                <w:szCs w:val="16"/>
              </w:rPr>
              <w:t>Lee, Nonnemaker, Bradfield et al</w:t>
            </w:r>
          </w:p>
        </w:tc>
        <w:tc>
          <w:tcPr>
            <w:tcW w:w="2388" w:type="dxa"/>
          </w:tcPr>
          <w:p w14:paraId="68C545E1"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In this study, we compare </w:t>
            </w:r>
            <w:r>
              <w:rPr>
                <w:rFonts w:cs="Calibri"/>
                <w:sz w:val="16"/>
                <w:szCs w:val="16"/>
              </w:rPr>
              <w:t>e</w:t>
            </w:r>
            <w:r>
              <w:rPr>
                <w:rFonts w:cs="Calibri"/>
                <w:sz w:val="16"/>
                <w:szCs w:val="16"/>
              </w:rPr>
              <w:noBreakHyphen/>
              <w:t>cig</w:t>
            </w:r>
            <w:r w:rsidRPr="000F6DEF">
              <w:rPr>
                <w:rFonts w:cs="Calibri"/>
                <w:sz w:val="16"/>
                <w:szCs w:val="16"/>
              </w:rPr>
              <w:t>arette topographies of established cigarette smokers and non</w:t>
            </w:r>
            <w:r w:rsidRPr="000F6DEF">
              <w:rPr>
                <w:rFonts w:cs="Calibri"/>
                <w:sz w:val="16"/>
                <w:szCs w:val="16"/>
              </w:rPr>
              <w:noBreakHyphen/>
              <w:t>established cigarette smokers.</w:t>
            </w:r>
          </w:p>
        </w:tc>
        <w:tc>
          <w:tcPr>
            <w:tcW w:w="1405" w:type="dxa"/>
          </w:tcPr>
          <w:p w14:paraId="7316BA7A"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NA </w:t>
            </w:r>
            <w:r w:rsidRPr="000F6DEF">
              <w:rPr>
                <w:rFonts w:cs="Calibri"/>
                <w:sz w:val="16"/>
                <w:szCs w:val="16"/>
              </w:rPr>
              <w:noBreakHyphen/>
              <w:t xml:space="preserve"> observational data</w:t>
            </w:r>
          </w:p>
        </w:tc>
        <w:tc>
          <w:tcPr>
            <w:tcW w:w="1406" w:type="dxa"/>
          </w:tcPr>
          <w:p w14:paraId="49FCD02F"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New York, US</w:t>
            </w:r>
          </w:p>
        </w:tc>
        <w:tc>
          <w:tcPr>
            <w:tcW w:w="1167" w:type="dxa"/>
          </w:tcPr>
          <w:p w14:paraId="02CB6A47"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2015</w:t>
            </w:r>
          </w:p>
        </w:tc>
        <w:tc>
          <w:tcPr>
            <w:tcW w:w="2125" w:type="dxa"/>
          </w:tcPr>
          <w:p w14:paraId="50B8D90B"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20 College students</w:t>
            </w:r>
          </w:p>
          <w:p w14:paraId="5E6B5E21"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Ages: 18</w:t>
            </w:r>
            <w:r w:rsidRPr="000F6DEF">
              <w:rPr>
                <w:rFonts w:cs="Calibri"/>
                <w:sz w:val="16"/>
                <w:szCs w:val="16"/>
              </w:rPr>
              <w:noBreakHyphen/>
              <w:t>25</w:t>
            </w:r>
          </w:p>
          <w:p w14:paraId="5806EE61"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95% male</w:t>
            </w:r>
          </w:p>
        </w:tc>
        <w:tc>
          <w:tcPr>
            <w:tcW w:w="2003" w:type="dxa"/>
          </w:tcPr>
          <w:p w14:paraId="1CF3E9A4"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Subjects were recruited using posters placed on the Rochester Institute of Technology campus and paid $200 for participating in the study</w:t>
            </w:r>
          </w:p>
        </w:tc>
        <w:tc>
          <w:tcPr>
            <w:tcW w:w="1623" w:type="dxa"/>
          </w:tcPr>
          <w:p w14:paraId="5456E95B"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Observational plus online surveys</w:t>
            </w:r>
          </w:p>
        </w:tc>
        <w:tc>
          <w:tcPr>
            <w:tcW w:w="1363" w:type="dxa"/>
          </w:tcPr>
          <w:p w14:paraId="25432B6A" w14:textId="31DFC89E"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Puffing topography was measured with a wireless personal use monitor (wPUM)</w:t>
            </w:r>
            <w:r w:rsidRPr="000F6DEF">
              <w:rPr>
                <w:rFonts w:cs="Calibri"/>
                <w:sz w:val="16"/>
                <w:szCs w:val="16"/>
              </w:rPr>
              <w:br/>
              <w:t>Puff, session, daily pattern</w:t>
            </w:r>
            <w:r w:rsidRPr="000F6DEF">
              <w:rPr>
                <w:rFonts w:cs="Calibri"/>
                <w:sz w:val="16"/>
                <w:szCs w:val="16"/>
              </w:rPr>
              <w:br/>
              <w:t xml:space="preserve">Cig smoking </w:t>
            </w:r>
            <w:r w:rsidRPr="000F6DEF">
              <w:rPr>
                <w:rFonts w:cs="Calibri"/>
                <w:sz w:val="16"/>
                <w:szCs w:val="16"/>
              </w:rPr>
              <w:br/>
              <w:t xml:space="preserve">Craving to use </w:t>
            </w:r>
            <w:r>
              <w:rPr>
                <w:rFonts w:cs="Calibri"/>
                <w:sz w:val="16"/>
                <w:szCs w:val="16"/>
              </w:rPr>
              <w:t>e</w:t>
            </w:r>
            <w:r>
              <w:rPr>
                <w:rFonts w:cs="Calibri"/>
                <w:sz w:val="16"/>
                <w:szCs w:val="16"/>
              </w:rPr>
              <w:noBreakHyphen/>
              <w:t>cig</w:t>
            </w:r>
            <w:r w:rsidR="008F4D73">
              <w:rPr>
                <w:rFonts w:cs="Calibri"/>
                <w:sz w:val="16"/>
                <w:szCs w:val="16"/>
              </w:rPr>
              <w:t>arette</w:t>
            </w:r>
            <w:r w:rsidRPr="000F6DEF">
              <w:rPr>
                <w:rFonts w:cs="Calibri"/>
                <w:sz w:val="16"/>
                <w:szCs w:val="16"/>
              </w:rPr>
              <w:br/>
              <w:t xml:space="preserve">Use of </w:t>
            </w:r>
            <w:r>
              <w:rPr>
                <w:rFonts w:cs="Calibri"/>
                <w:sz w:val="16"/>
                <w:szCs w:val="16"/>
              </w:rPr>
              <w:t>e</w:t>
            </w:r>
            <w:r>
              <w:rPr>
                <w:rFonts w:cs="Calibri"/>
                <w:sz w:val="16"/>
                <w:szCs w:val="16"/>
              </w:rPr>
              <w:noBreakHyphen/>
              <w:t>cig</w:t>
            </w:r>
            <w:r w:rsidR="008F4D73">
              <w:rPr>
                <w:rFonts w:cs="Calibri"/>
                <w:sz w:val="16"/>
                <w:szCs w:val="16"/>
              </w:rPr>
              <w:t>arette</w:t>
            </w:r>
          </w:p>
        </w:tc>
      </w:tr>
      <w:tr w:rsidR="00B85C33" w:rsidRPr="000F6DEF" w14:paraId="6B53E738" w14:textId="77777777" w:rsidTr="000376C7">
        <w:trPr>
          <w:trHeight w:val="1281"/>
        </w:trPr>
        <w:tc>
          <w:tcPr>
            <w:cnfStyle w:val="001000000000" w:firstRow="0" w:lastRow="0" w:firstColumn="1" w:lastColumn="0" w:oddVBand="0" w:evenVBand="0" w:oddHBand="0" w:evenHBand="0" w:firstRowFirstColumn="0" w:firstRowLastColumn="0" w:lastRowFirstColumn="0" w:lastRowLastColumn="0"/>
            <w:tcW w:w="1433" w:type="dxa"/>
          </w:tcPr>
          <w:p w14:paraId="25198093" w14:textId="77777777" w:rsidR="00B85C33" w:rsidRPr="000F6DEF" w:rsidRDefault="00B85C33" w:rsidP="000376C7">
            <w:pPr>
              <w:rPr>
                <w:rFonts w:cs="Calibri"/>
                <w:sz w:val="16"/>
                <w:szCs w:val="16"/>
              </w:rPr>
            </w:pPr>
            <w:r w:rsidRPr="000F6DEF">
              <w:rPr>
                <w:rFonts w:cs="Calibri"/>
                <w:sz w:val="16"/>
                <w:szCs w:val="16"/>
              </w:rPr>
              <w:t>Morean, L'Insalata</w:t>
            </w:r>
          </w:p>
        </w:tc>
        <w:tc>
          <w:tcPr>
            <w:tcW w:w="2388" w:type="dxa"/>
          </w:tcPr>
          <w:p w14:paraId="5E665ED8" w14:textId="6F77045D"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The primary study aim was to examine whether rates of using </w:t>
            </w:r>
            <w:r>
              <w:rPr>
                <w:rFonts w:cs="Calibri"/>
                <w:sz w:val="16"/>
                <w:szCs w:val="16"/>
              </w:rPr>
              <w:t>e</w:t>
            </w:r>
            <w:r>
              <w:rPr>
                <w:rFonts w:cs="Calibri"/>
                <w:sz w:val="16"/>
                <w:szCs w:val="16"/>
              </w:rPr>
              <w:noBreakHyphen/>
              <w:t>cig</w:t>
            </w:r>
            <w:r w:rsidRPr="000F6DEF">
              <w:rPr>
                <w:rFonts w:cs="Calibri"/>
                <w:sz w:val="16"/>
                <w:szCs w:val="16"/>
              </w:rPr>
              <w:t>arettes ("vaping") to lose weight are elevated among American adults who self</w:t>
            </w:r>
            <w:r w:rsidRPr="000F6DEF">
              <w:rPr>
                <w:rFonts w:cs="Calibri"/>
                <w:sz w:val="16"/>
                <w:szCs w:val="16"/>
              </w:rPr>
              <w:noBreakHyphen/>
              <w:t>report having an eating disorder (ED)</w:t>
            </w:r>
            <w:r w:rsidR="006E78E1">
              <w:rPr>
                <w:rFonts w:cs="Calibri"/>
                <w:sz w:val="16"/>
                <w:szCs w:val="16"/>
              </w:rPr>
              <w:t>.</w:t>
            </w:r>
          </w:p>
        </w:tc>
        <w:tc>
          <w:tcPr>
            <w:tcW w:w="1405" w:type="dxa"/>
          </w:tcPr>
          <w:p w14:paraId="18515D56"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Investigator developed</w:t>
            </w:r>
          </w:p>
        </w:tc>
        <w:tc>
          <w:tcPr>
            <w:tcW w:w="1406" w:type="dxa"/>
          </w:tcPr>
          <w:p w14:paraId="0476700E"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US national</w:t>
            </w:r>
          </w:p>
        </w:tc>
        <w:tc>
          <w:tcPr>
            <w:tcW w:w="1167" w:type="dxa"/>
          </w:tcPr>
          <w:p w14:paraId="4EB58B52"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2016</w:t>
            </w:r>
          </w:p>
        </w:tc>
        <w:tc>
          <w:tcPr>
            <w:tcW w:w="2125" w:type="dxa"/>
          </w:tcPr>
          <w:p w14:paraId="25AEB882"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611</w:t>
            </w:r>
            <w:r w:rsidRPr="000F6DEF">
              <w:rPr>
                <w:rFonts w:cs="Calibri"/>
                <w:sz w:val="16"/>
                <w:szCs w:val="16"/>
              </w:rPr>
              <w:br/>
              <w:t>433 no ED; 178 ED</w:t>
            </w:r>
          </w:p>
          <w:p w14:paraId="3AE92666"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Ages: 35.98(11.71) no ED</w:t>
            </w:r>
            <w:r w:rsidRPr="000F6DEF">
              <w:rPr>
                <w:rFonts w:cs="Calibri"/>
                <w:sz w:val="16"/>
                <w:szCs w:val="16"/>
              </w:rPr>
              <w:br/>
              <w:t>33.26(8.35) ED</w:t>
            </w:r>
          </w:p>
          <w:p w14:paraId="1D72E25C"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male: 45.3% no ED; 27.5% ED</w:t>
            </w:r>
          </w:p>
        </w:tc>
        <w:tc>
          <w:tcPr>
            <w:tcW w:w="2003" w:type="dxa"/>
          </w:tcPr>
          <w:p w14:paraId="5B62ABF3"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Participants were recruited through Qualtrics Online Research Panels</w:t>
            </w:r>
          </w:p>
        </w:tc>
        <w:tc>
          <w:tcPr>
            <w:tcW w:w="1623" w:type="dxa"/>
          </w:tcPr>
          <w:p w14:paraId="736B82E2"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Online</w:t>
            </w:r>
          </w:p>
        </w:tc>
        <w:tc>
          <w:tcPr>
            <w:tcW w:w="1363" w:type="dxa"/>
          </w:tcPr>
          <w:p w14:paraId="7E8910BC" w14:textId="2C00A42E"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Vaping frequency</w:t>
            </w:r>
            <w:r w:rsidRPr="000F6DEF">
              <w:rPr>
                <w:rFonts w:cs="Calibri"/>
                <w:sz w:val="16"/>
                <w:szCs w:val="16"/>
              </w:rPr>
              <w:br/>
              <w:t>ED status</w:t>
            </w:r>
            <w:r w:rsidRPr="000F6DEF">
              <w:rPr>
                <w:rFonts w:cs="Calibri"/>
                <w:sz w:val="16"/>
                <w:szCs w:val="16"/>
              </w:rPr>
              <w:br/>
              <w:t>Demographics</w:t>
            </w:r>
            <w:r w:rsidRPr="000F6DEF">
              <w:rPr>
                <w:rFonts w:cs="Calibri"/>
                <w:sz w:val="16"/>
                <w:szCs w:val="16"/>
              </w:rPr>
              <w:br/>
              <w:t>ED symptoms</w:t>
            </w:r>
            <w:r w:rsidRPr="000F6DEF">
              <w:rPr>
                <w:rFonts w:cs="Calibri"/>
                <w:sz w:val="16"/>
                <w:szCs w:val="16"/>
              </w:rPr>
              <w:br/>
              <w:t>Cig</w:t>
            </w:r>
            <w:r w:rsidR="007B1B17">
              <w:rPr>
                <w:rFonts w:cs="Calibri"/>
                <w:sz w:val="16"/>
                <w:szCs w:val="16"/>
              </w:rPr>
              <w:t>arette</w:t>
            </w:r>
            <w:r w:rsidRPr="000F6DEF">
              <w:rPr>
                <w:rFonts w:cs="Calibri"/>
                <w:sz w:val="16"/>
                <w:szCs w:val="16"/>
              </w:rPr>
              <w:t xml:space="preserve"> smoking status</w:t>
            </w:r>
            <w:r w:rsidRPr="000F6DEF">
              <w:rPr>
                <w:rFonts w:cs="Calibri"/>
                <w:sz w:val="16"/>
                <w:szCs w:val="16"/>
              </w:rPr>
              <w:br/>
              <w:t>e</w:t>
            </w:r>
            <w:r w:rsidRPr="000F6DEF">
              <w:rPr>
                <w:rFonts w:cs="Calibri"/>
                <w:sz w:val="16"/>
                <w:szCs w:val="16"/>
              </w:rPr>
              <w:noBreakHyphen/>
              <w:t>liquid nicotine content</w:t>
            </w:r>
            <w:r w:rsidRPr="000F6DEF">
              <w:rPr>
                <w:rFonts w:cs="Calibri"/>
                <w:sz w:val="16"/>
                <w:szCs w:val="16"/>
              </w:rPr>
              <w:br/>
              <w:t>SF Vaping consequences questionnaire</w:t>
            </w:r>
            <w:r w:rsidRPr="000F6DEF">
              <w:rPr>
                <w:rFonts w:cs="Calibri"/>
                <w:sz w:val="16"/>
                <w:szCs w:val="16"/>
              </w:rPr>
              <w:br/>
              <w:t>Vaping motives</w:t>
            </w:r>
          </w:p>
        </w:tc>
      </w:tr>
      <w:tr w:rsidR="00B85C33" w:rsidRPr="000F6DEF" w14:paraId="745F2176" w14:textId="77777777" w:rsidTr="000376C7">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1433" w:type="dxa"/>
          </w:tcPr>
          <w:p w14:paraId="0CDA30FB" w14:textId="77777777" w:rsidR="00B85C33" w:rsidRPr="000F6DEF" w:rsidRDefault="00B85C33" w:rsidP="000376C7">
            <w:pPr>
              <w:rPr>
                <w:rFonts w:cs="Calibri"/>
                <w:sz w:val="16"/>
                <w:szCs w:val="16"/>
              </w:rPr>
            </w:pPr>
            <w:r w:rsidRPr="000F6DEF">
              <w:rPr>
                <w:rFonts w:cs="Calibri"/>
                <w:sz w:val="16"/>
                <w:szCs w:val="16"/>
              </w:rPr>
              <w:t>Morean, Wedel</w:t>
            </w:r>
          </w:p>
        </w:tc>
        <w:tc>
          <w:tcPr>
            <w:tcW w:w="2388" w:type="dxa"/>
          </w:tcPr>
          <w:p w14:paraId="2995B45F"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The current study evaluated whether a subset of adult </w:t>
            </w:r>
            <w:r>
              <w:rPr>
                <w:rFonts w:cs="Calibri"/>
                <w:sz w:val="16"/>
                <w:szCs w:val="16"/>
              </w:rPr>
              <w:t>e</w:t>
            </w:r>
            <w:r>
              <w:rPr>
                <w:rFonts w:cs="Calibri"/>
                <w:sz w:val="16"/>
                <w:szCs w:val="16"/>
              </w:rPr>
              <w:noBreakHyphen/>
              <w:t>cig</w:t>
            </w:r>
            <w:r w:rsidRPr="000F6DEF">
              <w:rPr>
                <w:rFonts w:cs="Calibri"/>
                <w:sz w:val="16"/>
                <w:szCs w:val="16"/>
              </w:rPr>
              <w:t xml:space="preserve">arette users reported vaping to lose or control their </w:t>
            </w:r>
            <w:r w:rsidRPr="000F6DEF">
              <w:rPr>
                <w:rFonts w:cs="Calibri"/>
                <w:sz w:val="16"/>
                <w:szCs w:val="16"/>
              </w:rPr>
              <w:lastRenderedPageBreak/>
              <w:t xml:space="preserve">weight and examined potential predictors of vaping for weight management. </w:t>
            </w:r>
          </w:p>
        </w:tc>
        <w:tc>
          <w:tcPr>
            <w:tcW w:w="1405" w:type="dxa"/>
          </w:tcPr>
          <w:p w14:paraId="6F357A46"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lastRenderedPageBreak/>
              <w:t>Investigator developed</w:t>
            </w:r>
          </w:p>
        </w:tc>
        <w:tc>
          <w:tcPr>
            <w:tcW w:w="1406" w:type="dxa"/>
          </w:tcPr>
          <w:p w14:paraId="71A0C07E"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US national</w:t>
            </w:r>
          </w:p>
        </w:tc>
        <w:tc>
          <w:tcPr>
            <w:tcW w:w="1167" w:type="dxa"/>
          </w:tcPr>
          <w:p w14:paraId="3F05A5B9"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2015</w:t>
            </w:r>
          </w:p>
        </w:tc>
        <w:tc>
          <w:tcPr>
            <w:tcW w:w="2125" w:type="dxa"/>
          </w:tcPr>
          <w:p w14:paraId="56B37F1A"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459 </w:t>
            </w:r>
          </w:p>
          <w:p w14:paraId="3F1FDA91"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Mean age: 34.42(9.69)</w:t>
            </w:r>
          </w:p>
          <w:p w14:paraId="4410C983"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lastRenderedPageBreak/>
              <w:t>51% male</w:t>
            </w:r>
          </w:p>
          <w:p w14:paraId="530F8273"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p>
        </w:tc>
        <w:tc>
          <w:tcPr>
            <w:tcW w:w="2003" w:type="dxa"/>
          </w:tcPr>
          <w:p w14:paraId="150C6A25"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lastRenderedPageBreak/>
              <w:t>Amazon Mechanical Turk (i.e.,Mturk)</w:t>
            </w:r>
          </w:p>
        </w:tc>
        <w:tc>
          <w:tcPr>
            <w:tcW w:w="1623" w:type="dxa"/>
          </w:tcPr>
          <w:p w14:paraId="1850C44B"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Online</w:t>
            </w:r>
          </w:p>
        </w:tc>
        <w:tc>
          <w:tcPr>
            <w:tcW w:w="1363" w:type="dxa"/>
          </w:tcPr>
          <w:p w14:paraId="6D872339" w14:textId="5C47DD65"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Demographics</w:t>
            </w:r>
            <w:r w:rsidRPr="000F6DEF">
              <w:rPr>
                <w:rFonts w:cs="Calibri"/>
                <w:sz w:val="16"/>
                <w:szCs w:val="16"/>
              </w:rPr>
              <w:br/>
              <w:t>Cig smoking status</w:t>
            </w:r>
            <w:r w:rsidRPr="000F6DEF">
              <w:rPr>
                <w:rFonts w:cs="Calibri"/>
                <w:sz w:val="16"/>
                <w:szCs w:val="16"/>
              </w:rPr>
              <w:br/>
              <w:t>Vaping to lose weight</w:t>
            </w:r>
            <w:r w:rsidRPr="000F6DEF">
              <w:rPr>
                <w:rFonts w:cs="Calibri"/>
                <w:sz w:val="16"/>
                <w:szCs w:val="16"/>
              </w:rPr>
              <w:br/>
              <w:t>Frequency of vaping</w:t>
            </w:r>
            <w:r w:rsidRPr="000F6DEF">
              <w:rPr>
                <w:rFonts w:cs="Calibri"/>
                <w:sz w:val="16"/>
                <w:szCs w:val="16"/>
              </w:rPr>
              <w:br/>
            </w:r>
            <w:r w:rsidRPr="000F6DEF">
              <w:rPr>
                <w:rFonts w:cs="Calibri"/>
                <w:sz w:val="16"/>
                <w:szCs w:val="16"/>
              </w:rPr>
              <w:lastRenderedPageBreak/>
              <w:t xml:space="preserve">Nicotine content of </w:t>
            </w:r>
            <w:r>
              <w:rPr>
                <w:rFonts w:cs="Calibri"/>
                <w:sz w:val="16"/>
                <w:szCs w:val="16"/>
              </w:rPr>
              <w:t>e</w:t>
            </w:r>
            <w:r>
              <w:rPr>
                <w:rFonts w:cs="Calibri"/>
                <w:sz w:val="16"/>
                <w:szCs w:val="16"/>
              </w:rPr>
              <w:noBreakHyphen/>
              <w:t>cig</w:t>
            </w:r>
            <w:r w:rsidR="008F4D73">
              <w:rPr>
                <w:rFonts w:cs="Calibri"/>
                <w:sz w:val="16"/>
                <w:szCs w:val="16"/>
              </w:rPr>
              <w:t>arette</w:t>
            </w:r>
            <w:r w:rsidRPr="000F6DEF">
              <w:rPr>
                <w:rFonts w:cs="Calibri"/>
                <w:sz w:val="16"/>
                <w:szCs w:val="16"/>
              </w:rPr>
              <w:br/>
              <w:t>Flavour preferences</w:t>
            </w:r>
            <w:r w:rsidRPr="000F6DEF">
              <w:rPr>
                <w:rFonts w:cs="Calibri"/>
                <w:sz w:val="16"/>
                <w:szCs w:val="16"/>
              </w:rPr>
              <w:br/>
              <w:t>Weight perceptions</w:t>
            </w:r>
            <w:r w:rsidRPr="000F6DEF">
              <w:rPr>
                <w:rFonts w:cs="Calibri"/>
                <w:sz w:val="16"/>
                <w:szCs w:val="16"/>
              </w:rPr>
              <w:br/>
              <w:t>Weight control strategies</w:t>
            </w:r>
            <w:r w:rsidRPr="000F6DEF">
              <w:rPr>
                <w:rFonts w:cs="Calibri"/>
                <w:sz w:val="16"/>
                <w:szCs w:val="16"/>
              </w:rPr>
              <w:br/>
              <w:t xml:space="preserve">Binge eating </w:t>
            </w:r>
            <w:r w:rsidRPr="000F6DEF">
              <w:rPr>
                <w:rFonts w:cs="Calibri"/>
                <w:sz w:val="16"/>
                <w:szCs w:val="16"/>
              </w:rPr>
              <w:br/>
              <w:t>Impulse control/self</w:t>
            </w:r>
            <w:r w:rsidRPr="000F6DEF">
              <w:rPr>
                <w:rFonts w:cs="Calibri"/>
                <w:sz w:val="16"/>
                <w:szCs w:val="16"/>
              </w:rPr>
              <w:noBreakHyphen/>
              <w:t>discipline</w:t>
            </w:r>
          </w:p>
        </w:tc>
      </w:tr>
      <w:tr w:rsidR="00B85C33" w:rsidRPr="000F6DEF" w14:paraId="63AAE0C2" w14:textId="77777777" w:rsidTr="000376C7">
        <w:trPr>
          <w:trHeight w:val="568"/>
        </w:trPr>
        <w:tc>
          <w:tcPr>
            <w:cnfStyle w:val="001000000000" w:firstRow="0" w:lastRow="0" w:firstColumn="1" w:lastColumn="0" w:oddVBand="0" w:evenVBand="0" w:oddHBand="0" w:evenHBand="0" w:firstRowFirstColumn="0" w:firstRowLastColumn="0" w:lastRowFirstColumn="0" w:lastRowLastColumn="0"/>
            <w:tcW w:w="1433" w:type="dxa"/>
          </w:tcPr>
          <w:p w14:paraId="0093B178" w14:textId="77777777" w:rsidR="00B85C33" w:rsidRPr="000F6DEF" w:rsidRDefault="00B85C33" w:rsidP="000376C7">
            <w:pPr>
              <w:rPr>
                <w:rFonts w:cs="Calibri"/>
                <w:sz w:val="16"/>
                <w:szCs w:val="16"/>
              </w:rPr>
            </w:pPr>
            <w:r w:rsidRPr="000F6DEF">
              <w:rPr>
                <w:rFonts w:cs="Calibri"/>
                <w:sz w:val="16"/>
                <w:szCs w:val="16"/>
              </w:rPr>
              <w:lastRenderedPageBreak/>
              <w:t>Oncken, Ricci et al 2017</w:t>
            </w:r>
          </w:p>
        </w:tc>
        <w:tc>
          <w:tcPr>
            <w:tcW w:w="2388" w:type="dxa"/>
          </w:tcPr>
          <w:p w14:paraId="3D0BF6FA" w14:textId="54D89089"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To investigate reasons for </w:t>
            </w:r>
            <w:r>
              <w:rPr>
                <w:rFonts w:cs="Calibri"/>
                <w:sz w:val="16"/>
                <w:szCs w:val="16"/>
              </w:rPr>
              <w:t>e</w:t>
            </w:r>
            <w:r>
              <w:rPr>
                <w:rFonts w:cs="Calibri"/>
                <w:sz w:val="16"/>
                <w:szCs w:val="16"/>
              </w:rPr>
              <w:noBreakHyphen/>
              <w:t>cig</w:t>
            </w:r>
            <w:r w:rsidRPr="000F6DEF">
              <w:rPr>
                <w:rFonts w:cs="Calibri"/>
                <w:sz w:val="16"/>
                <w:szCs w:val="16"/>
              </w:rPr>
              <w:t>arette use by women of reproductive age</w:t>
            </w:r>
            <w:r w:rsidR="006E78E1">
              <w:rPr>
                <w:rFonts w:cs="Calibri"/>
                <w:sz w:val="16"/>
                <w:szCs w:val="16"/>
              </w:rPr>
              <w:t>.</w:t>
            </w:r>
          </w:p>
        </w:tc>
        <w:tc>
          <w:tcPr>
            <w:tcW w:w="1405" w:type="dxa"/>
          </w:tcPr>
          <w:p w14:paraId="0F0E9902"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Investigator developed</w:t>
            </w:r>
          </w:p>
        </w:tc>
        <w:tc>
          <w:tcPr>
            <w:tcW w:w="1406" w:type="dxa"/>
          </w:tcPr>
          <w:p w14:paraId="3E10ABE8"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US</w:t>
            </w:r>
          </w:p>
        </w:tc>
        <w:tc>
          <w:tcPr>
            <w:tcW w:w="1167" w:type="dxa"/>
          </w:tcPr>
          <w:p w14:paraId="209FB661"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Oct 2012</w:t>
            </w:r>
            <w:r w:rsidRPr="000F6DEF">
              <w:rPr>
                <w:rFonts w:cs="Calibri"/>
                <w:sz w:val="16"/>
                <w:szCs w:val="16"/>
              </w:rPr>
              <w:noBreakHyphen/>
              <w:t>March 2016</w:t>
            </w:r>
          </w:p>
        </w:tc>
        <w:tc>
          <w:tcPr>
            <w:tcW w:w="2125" w:type="dxa"/>
          </w:tcPr>
          <w:p w14:paraId="2A246B93"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55</w:t>
            </w:r>
          </w:p>
          <w:p w14:paraId="523FB30E"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Mean age: 27.7</w:t>
            </w:r>
          </w:p>
          <w:p w14:paraId="70C4F2F4"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0% male</w:t>
            </w:r>
          </w:p>
        </w:tc>
        <w:tc>
          <w:tcPr>
            <w:tcW w:w="2003" w:type="dxa"/>
          </w:tcPr>
          <w:p w14:paraId="4EA976CC"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From prenatal clinics or referred from private practitioners</w:t>
            </w:r>
          </w:p>
        </w:tc>
        <w:tc>
          <w:tcPr>
            <w:tcW w:w="1623" w:type="dxa"/>
          </w:tcPr>
          <w:p w14:paraId="563F4933"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Pen and paper, face</w:t>
            </w:r>
            <w:r w:rsidRPr="000F6DEF">
              <w:rPr>
                <w:rFonts w:cs="Calibri"/>
                <w:sz w:val="16"/>
                <w:szCs w:val="16"/>
              </w:rPr>
              <w:noBreakHyphen/>
              <w:t>to</w:t>
            </w:r>
            <w:r w:rsidRPr="000F6DEF">
              <w:rPr>
                <w:rFonts w:cs="Calibri"/>
                <w:sz w:val="16"/>
                <w:szCs w:val="16"/>
              </w:rPr>
              <w:noBreakHyphen/>
              <w:t>face</w:t>
            </w:r>
          </w:p>
        </w:tc>
        <w:tc>
          <w:tcPr>
            <w:tcW w:w="1363" w:type="dxa"/>
          </w:tcPr>
          <w:p w14:paraId="54E8023E"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Use of electronic cigarettes, previous use of treatments for smoking cessation; Fagerstrom Test for Cigarette Dependence; depression; Smoking Cessation Self</w:t>
            </w:r>
            <w:r w:rsidRPr="000F6DEF">
              <w:rPr>
                <w:rFonts w:cs="Calibri"/>
                <w:sz w:val="16"/>
                <w:szCs w:val="16"/>
              </w:rPr>
              <w:noBreakHyphen/>
              <w:t>Efficacy Questionnaire.</w:t>
            </w:r>
          </w:p>
        </w:tc>
      </w:tr>
      <w:tr w:rsidR="00B85C33" w:rsidRPr="000F6DEF" w14:paraId="0CFD6785" w14:textId="77777777" w:rsidTr="000376C7">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1433" w:type="dxa"/>
          </w:tcPr>
          <w:p w14:paraId="2D7D6352" w14:textId="77777777" w:rsidR="00B85C33" w:rsidRPr="000F6DEF" w:rsidRDefault="00B85C33" w:rsidP="000376C7">
            <w:pPr>
              <w:rPr>
                <w:rFonts w:cs="Calibri"/>
                <w:sz w:val="16"/>
                <w:szCs w:val="16"/>
              </w:rPr>
            </w:pPr>
            <w:r w:rsidRPr="000F6DEF">
              <w:rPr>
                <w:rFonts w:cs="Calibri"/>
                <w:sz w:val="16"/>
                <w:szCs w:val="16"/>
              </w:rPr>
              <w:t>Pepper, Farrelly, Watson 2018</w:t>
            </w:r>
          </w:p>
        </w:tc>
        <w:tc>
          <w:tcPr>
            <w:tcW w:w="2388" w:type="dxa"/>
          </w:tcPr>
          <w:p w14:paraId="3E580965"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We explored adolescents' use of nicotine</w:t>
            </w:r>
            <w:r w:rsidRPr="000F6DEF">
              <w:rPr>
                <w:rFonts w:cs="Calibri"/>
                <w:sz w:val="16"/>
                <w:szCs w:val="16"/>
              </w:rPr>
              <w:noBreakHyphen/>
              <w:t xml:space="preserve">free </w:t>
            </w:r>
            <w:r>
              <w:rPr>
                <w:rFonts w:cs="Calibri"/>
                <w:sz w:val="16"/>
                <w:szCs w:val="16"/>
              </w:rPr>
              <w:t>e</w:t>
            </w:r>
            <w:r>
              <w:rPr>
                <w:rFonts w:cs="Calibri"/>
                <w:sz w:val="16"/>
                <w:szCs w:val="16"/>
              </w:rPr>
              <w:noBreakHyphen/>
              <w:t>cig</w:t>
            </w:r>
            <w:r w:rsidRPr="000F6DEF">
              <w:rPr>
                <w:rFonts w:cs="Calibri"/>
                <w:sz w:val="16"/>
                <w:szCs w:val="16"/>
              </w:rPr>
              <w:t xml:space="preserve">arettes and understanding of chemicals in </w:t>
            </w:r>
            <w:r>
              <w:rPr>
                <w:rFonts w:cs="Calibri"/>
                <w:sz w:val="16"/>
                <w:szCs w:val="16"/>
              </w:rPr>
              <w:t>e</w:t>
            </w:r>
            <w:r>
              <w:rPr>
                <w:rFonts w:cs="Calibri"/>
                <w:sz w:val="16"/>
                <w:szCs w:val="16"/>
              </w:rPr>
              <w:noBreakHyphen/>
              <w:t>cig</w:t>
            </w:r>
            <w:r w:rsidRPr="000F6DEF">
              <w:rPr>
                <w:rFonts w:cs="Calibri"/>
                <w:sz w:val="16"/>
                <w:szCs w:val="16"/>
              </w:rPr>
              <w:t>arettes, including nicotine.</w:t>
            </w:r>
          </w:p>
        </w:tc>
        <w:tc>
          <w:tcPr>
            <w:tcW w:w="1405" w:type="dxa"/>
          </w:tcPr>
          <w:p w14:paraId="526D41E7"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Investigator developed</w:t>
            </w:r>
          </w:p>
        </w:tc>
        <w:tc>
          <w:tcPr>
            <w:tcW w:w="1406" w:type="dxa"/>
          </w:tcPr>
          <w:p w14:paraId="44862F6E"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US</w:t>
            </w:r>
          </w:p>
        </w:tc>
        <w:tc>
          <w:tcPr>
            <w:tcW w:w="1167" w:type="dxa"/>
          </w:tcPr>
          <w:p w14:paraId="6AD67A1B"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2016</w:t>
            </w:r>
          </w:p>
        </w:tc>
        <w:tc>
          <w:tcPr>
            <w:tcW w:w="2125" w:type="dxa"/>
          </w:tcPr>
          <w:p w14:paraId="41175445"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1589 </w:t>
            </w:r>
            <w:r>
              <w:rPr>
                <w:rFonts w:cs="Calibri"/>
                <w:sz w:val="16"/>
                <w:szCs w:val="16"/>
              </w:rPr>
              <w:t>e</w:t>
            </w:r>
            <w:r>
              <w:rPr>
                <w:rFonts w:cs="Calibri"/>
                <w:sz w:val="16"/>
                <w:szCs w:val="16"/>
              </w:rPr>
              <w:noBreakHyphen/>
              <w:t>cig</w:t>
            </w:r>
            <w:r w:rsidRPr="000F6DEF">
              <w:rPr>
                <w:rFonts w:cs="Calibri"/>
                <w:sz w:val="16"/>
                <w:szCs w:val="16"/>
              </w:rPr>
              <w:t>arette users, 15</w:t>
            </w:r>
            <w:r w:rsidRPr="000F6DEF">
              <w:rPr>
                <w:rFonts w:cs="Calibri"/>
                <w:sz w:val="16"/>
                <w:szCs w:val="16"/>
              </w:rPr>
              <w:noBreakHyphen/>
              <w:t>17 years, 53.3% male (use without nicotine, 60.7% male (use with nicotine)</w:t>
            </w:r>
          </w:p>
        </w:tc>
        <w:tc>
          <w:tcPr>
            <w:tcW w:w="2003" w:type="dxa"/>
          </w:tcPr>
          <w:p w14:paraId="3708BBA6"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Social media (Facebook and Instagram)</w:t>
            </w:r>
          </w:p>
        </w:tc>
        <w:tc>
          <w:tcPr>
            <w:tcW w:w="1623" w:type="dxa"/>
          </w:tcPr>
          <w:p w14:paraId="6513AE50"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Online. Survey was piloted prior to launch.</w:t>
            </w:r>
          </w:p>
        </w:tc>
        <w:tc>
          <w:tcPr>
            <w:tcW w:w="1363" w:type="dxa"/>
          </w:tcPr>
          <w:p w14:paraId="3F131931"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Pr>
                <w:rFonts w:cs="Calibri"/>
                <w:sz w:val="16"/>
                <w:szCs w:val="16"/>
              </w:rPr>
              <w:t>E</w:t>
            </w:r>
            <w:r>
              <w:rPr>
                <w:rFonts w:cs="Calibri"/>
                <w:sz w:val="16"/>
                <w:szCs w:val="16"/>
              </w:rPr>
              <w:noBreakHyphen/>
              <w:t>cig</w:t>
            </w:r>
            <w:r w:rsidRPr="000F6DEF">
              <w:rPr>
                <w:rFonts w:cs="Calibri"/>
                <w:sz w:val="16"/>
                <w:szCs w:val="16"/>
              </w:rPr>
              <w:t>arette use with/out nicotine</w:t>
            </w:r>
          </w:p>
          <w:p w14:paraId="5ABA3661"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Pr>
                <w:rFonts w:cs="Calibri"/>
                <w:sz w:val="16"/>
                <w:szCs w:val="16"/>
              </w:rPr>
              <w:t>e</w:t>
            </w:r>
            <w:r>
              <w:rPr>
                <w:rFonts w:cs="Calibri"/>
                <w:sz w:val="16"/>
                <w:szCs w:val="16"/>
              </w:rPr>
              <w:noBreakHyphen/>
              <w:t>cig</w:t>
            </w:r>
            <w:r w:rsidRPr="000F6DEF">
              <w:rPr>
                <w:rFonts w:cs="Calibri"/>
                <w:sz w:val="16"/>
                <w:szCs w:val="16"/>
              </w:rPr>
              <w:t>arette device</w:t>
            </w:r>
          </w:p>
          <w:p w14:paraId="34C50F51" w14:textId="7B3F2C5C"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Cig</w:t>
            </w:r>
            <w:r w:rsidR="008F4D73">
              <w:rPr>
                <w:rFonts w:cs="Calibri"/>
                <w:sz w:val="16"/>
                <w:szCs w:val="16"/>
              </w:rPr>
              <w:t>arette</w:t>
            </w:r>
            <w:r w:rsidRPr="000F6DEF">
              <w:rPr>
                <w:rFonts w:cs="Calibri"/>
                <w:sz w:val="16"/>
                <w:szCs w:val="16"/>
              </w:rPr>
              <w:t xml:space="preserve"> use</w:t>
            </w:r>
          </w:p>
          <w:p w14:paraId="06E9555F"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Vaping use</w:t>
            </w:r>
          </w:p>
          <w:p w14:paraId="407CC0CE"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Demographics</w:t>
            </w:r>
          </w:p>
        </w:tc>
      </w:tr>
      <w:tr w:rsidR="00B85C33" w:rsidRPr="000F6DEF" w14:paraId="0EA0F4C3" w14:textId="77777777" w:rsidTr="000376C7">
        <w:trPr>
          <w:trHeight w:val="568"/>
        </w:trPr>
        <w:tc>
          <w:tcPr>
            <w:cnfStyle w:val="001000000000" w:firstRow="0" w:lastRow="0" w:firstColumn="1" w:lastColumn="0" w:oddVBand="0" w:evenVBand="0" w:oddHBand="0" w:evenHBand="0" w:firstRowFirstColumn="0" w:firstRowLastColumn="0" w:lastRowFirstColumn="0" w:lastRowLastColumn="0"/>
            <w:tcW w:w="1433" w:type="dxa"/>
          </w:tcPr>
          <w:p w14:paraId="70791422" w14:textId="1A2331C4" w:rsidR="00B85C33" w:rsidRPr="000F6DEF" w:rsidRDefault="00B85C33" w:rsidP="000376C7">
            <w:pPr>
              <w:rPr>
                <w:rFonts w:cs="Calibri"/>
                <w:sz w:val="16"/>
                <w:szCs w:val="16"/>
              </w:rPr>
            </w:pPr>
            <w:r w:rsidRPr="000F6DEF">
              <w:rPr>
                <w:rFonts w:cs="Calibri"/>
                <w:sz w:val="16"/>
                <w:szCs w:val="16"/>
              </w:rPr>
              <w:t>Sussan TE, Shahzad FG</w:t>
            </w:r>
            <w:r w:rsidR="008146F9">
              <w:rPr>
                <w:rFonts w:cs="Calibri"/>
                <w:sz w:val="16"/>
                <w:szCs w:val="16"/>
              </w:rPr>
              <w:t xml:space="preserve"> </w:t>
            </w:r>
            <w:r w:rsidRPr="000F6DEF">
              <w:rPr>
                <w:rFonts w:cs="Calibri"/>
                <w:sz w:val="16"/>
                <w:szCs w:val="16"/>
              </w:rPr>
              <w:t>et al 2017 (2 of the Sussan papers were corrections)</w:t>
            </w:r>
          </w:p>
        </w:tc>
        <w:tc>
          <w:tcPr>
            <w:tcW w:w="2388" w:type="dxa"/>
          </w:tcPr>
          <w:p w14:paraId="70064CBE" w14:textId="272F5C32"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To determine demographics, behaviours, perceptions and motivations underlying the use of </w:t>
            </w:r>
            <w:r>
              <w:rPr>
                <w:rFonts w:cs="Calibri"/>
                <w:sz w:val="16"/>
                <w:szCs w:val="16"/>
              </w:rPr>
              <w:t>e</w:t>
            </w:r>
            <w:r>
              <w:rPr>
                <w:rFonts w:cs="Calibri"/>
                <w:sz w:val="16"/>
                <w:szCs w:val="16"/>
              </w:rPr>
              <w:noBreakHyphen/>
              <w:t>cig</w:t>
            </w:r>
            <w:r w:rsidR="006E78E1">
              <w:rPr>
                <w:rFonts w:cs="Calibri"/>
                <w:sz w:val="16"/>
                <w:szCs w:val="16"/>
              </w:rPr>
              <w:t>arettes.</w:t>
            </w:r>
          </w:p>
        </w:tc>
        <w:tc>
          <w:tcPr>
            <w:tcW w:w="1405" w:type="dxa"/>
          </w:tcPr>
          <w:p w14:paraId="3CBB008C"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Investigator developed</w:t>
            </w:r>
          </w:p>
        </w:tc>
        <w:tc>
          <w:tcPr>
            <w:tcW w:w="1406" w:type="dxa"/>
          </w:tcPr>
          <w:p w14:paraId="6D10C782"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US</w:t>
            </w:r>
          </w:p>
        </w:tc>
        <w:tc>
          <w:tcPr>
            <w:tcW w:w="1167" w:type="dxa"/>
          </w:tcPr>
          <w:p w14:paraId="37C2BF76"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Dec 2014 </w:t>
            </w:r>
            <w:r w:rsidRPr="000F6DEF">
              <w:rPr>
                <w:rFonts w:cs="Calibri"/>
                <w:sz w:val="16"/>
                <w:szCs w:val="16"/>
              </w:rPr>
              <w:noBreakHyphen/>
              <w:t xml:space="preserve"> July 2015</w:t>
            </w:r>
          </w:p>
        </w:tc>
        <w:tc>
          <w:tcPr>
            <w:tcW w:w="2125" w:type="dxa"/>
          </w:tcPr>
          <w:p w14:paraId="4537E7CF"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320</w:t>
            </w:r>
          </w:p>
          <w:p w14:paraId="0CC4D727"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Half population younger than 35 yrs</w:t>
            </w:r>
          </w:p>
          <w:p w14:paraId="767EBCAB"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78% male</w:t>
            </w:r>
          </w:p>
        </w:tc>
        <w:tc>
          <w:tcPr>
            <w:tcW w:w="2003" w:type="dxa"/>
          </w:tcPr>
          <w:p w14:paraId="7718F397"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Survey conducted in 3 vaping stores or online</w:t>
            </w:r>
          </w:p>
        </w:tc>
        <w:tc>
          <w:tcPr>
            <w:tcW w:w="1623" w:type="dxa"/>
          </w:tcPr>
          <w:p w14:paraId="1345D148"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Pen and paper</w:t>
            </w:r>
          </w:p>
        </w:tc>
        <w:tc>
          <w:tcPr>
            <w:tcW w:w="1363" w:type="dxa"/>
          </w:tcPr>
          <w:p w14:paraId="787A8082"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Demographics; tobacco use; </w:t>
            </w:r>
            <w:r>
              <w:rPr>
                <w:rFonts w:cs="Calibri"/>
                <w:sz w:val="16"/>
                <w:szCs w:val="16"/>
              </w:rPr>
              <w:t>e</w:t>
            </w:r>
            <w:r>
              <w:rPr>
                <w:rFonts w:cs="Calibri"/>
                <w:sz w:val="16"/>
                <w:szCs w:val="16"/>
              </w:rPr>
              <w:noBreakHyphen/>
              <w:t>cig</w:t>
            </w:r>
            <w:r w:rsidRPr="000F6DEF">
              <w:rPr>
                <w:rFonts w:cs="Calibri"/>
                <w:sz w:val="16"/>
                <w:szCs w:val="16"/>
              </w:rPr>
              <w:t>arette use; motivations for use</w:t>
            </w:r>
          </w:p>
        </w:tc>
      </w:tr>
      <w:tr w:rsidR="00B85C33" w:rsidRPr="000F6DEF" w14:paraId="56F76F27" w14:textId="77777777" w:rsidTr="000376C7">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1433" w:type="dxa"/>
          </w:tcPr>
          <w:p w14:paraId="4FDAA84B" w14:textId="7A904199" w:rsidR="00B85C33" w:rsidRPr="000F6DEF" w:rsidRDefault="00B85C33" w:rsidP="000376C7">
            <w:pPr>
              <w:rPr>
                <w:rFonts w:cs="Calibri"/>
                <w:sz w:val="16"/>
                <w:szCs w:val="16"/>
              </w:rPr>
            </w:pPr>
            <w:r w:rsidRPr="000F6DEF">
              <w:rPr>
                <w:rFonts w:cs="Calibri"/>
                <w:sz w:val="16"/>
                <w:szCs w:val="16"/>
              </w:rPr>
              <w:t>Temple, Shorey</w:t>
            </w:r>
            <w:r w:rsidR="008146F9">
              <w:rPr>
                <w:rFonts w:cs="Calibri"/>
                <w:sz w:val="16"/>
                <w:szCs w:val="16"/>
              </w:rPr>
              <w:t xml:space="preserve"> </w:t>
            </w:r>
            <w:r w:rsidRPr="000F6DEF">
              <w:rPr>
                <w:rFonts w:cs="Calibri"/>
                <w:sz w:val="16"/>
                <w:szCs w:val="16"/>
              </w:rPr>
              <w:t xml:space="preserve">et al 2017 </w:t>
            </w:r>
          </w:p>
        </w:tc>
        <w:tc>
          <w:tcPr>
            <w:tcW w:w="2388" w:type="dxa"/>
          </w:tcPr>
          <w:p w14:paraId="12771BB7" w14:textId="5724D18D"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To examine associations between </w:t>
            </w:r>
            <w:r>
              <w:rPr>
                <w:rFonts w:cs="Calibri"/>
                <w:sz w:val="16"/>
                <w:szCs w:val="16"/>
              </w:rPr>
              <w:t>e</w:t>
            </w:r>
            <w:r>
              <w:rPr>
                <w:rFonts w:cs="Calibri"/>
                <w:sz w:val="16"/>
                <w:szCs w:val="16"/>
              </w:rPr>
              <w:noBreakHyphen/>
              <w:t>cig</w:t>
            </w:r>
            <w:r w:rsidRPr="000F6DEF">
              <w:rPr>
                <w:rFonts w:cs="Calibri"/>
                <w:sz w:val="16"/>
                <w:szCs w:val="16"/>
              </w:rPr>
              <w:t xml:space="preserve">arette use and other substances and identified motives for </w:t>
            </w:r>
            <w:r>
              <w:rPr>
                <w:rFonts w:cs="Calibri"/>
                <w:sz w:val="16"/>
                <w:szCs w:val="16"/>
              </w:rPr>
              <w:t>e</w:t>
            </w:r>
            <w:r>
              <w:rPr>
                <w:rFonts w:cs="Calibri"/>
                <w:sz w:val="16"/>
                <w:szCs w:val="16"/>
              </w:rPr>
              <w:noBreakHyphen/>
              <w:t>cig</w:t>
            </w:r>
            <w:r w:rsidRPr="000F6DEF">
              <w:rPr>
                <w:rFonts w:cs="Calibri"/>
                <w:sz w:val="16"/>
                <w:szCs w:val="16"/>
              </w:rPr>
              <w:t>arette use among young adults</w:t>
            </w:r>
            <w:r w:rsidR="006E78E1">
              <w:rPr>
                <w:rFonts w:cs="Calibri"/>
                <w:sz w:val="16"/>
                <w:szCs w:val="16"/>
              </w:rPr>
              <w:t>.</w:t>
            </w:r>
          </w:p>
        </w:tc>
        <w:tc>
          <w:tcPr>
            <w:tcW w:w="1405" w:type="dxa"/>
          </w:tcPr>
          <w:p w14:paraId="7E6F067B"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Investigator developed (longitudinal)</w:t>
            </w:r>
          </w:p>
        </w:tc>
        <w:tc>
          <w:tcPr>
            <w:tcW w:w="1406" w:type="dxa"/>
          </w:tcPr>
          <w:p w14:paraId="04589612"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Texas, US</w:t>
            </w:r>
          </w:p>
        </w:tc>
        <w:tc>
          <w:tcPr>
            <w:tcW w:w="1167" w:type="dxa"/>
          </w:tcPr>
          <w:p w14:paraId="5581EDE8"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2010</w:t>
            </w:r>
          </w:p>
        </w:tc>
        <w:tc>
          <w:tcPr>
            <w:tcW w:w="2125" w:type="dxa"/>
          </w:tcPr>
          <w:p w14:paraId="7490AE0D"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1042 Adolescents</w:t>
            </w:r>
          </w:p>
          <w:p w14:paraId="6D722194"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Mean age: 20.3 ±.79</w:t>
            </w:r>
          </w:p>
          <w:p w14:paraId="4E7F2A85"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44% male</w:t>
            </w:r>
          </w:p>
        </w:tc>
        <w:tc>
          <w:tcPr>
            <w:tcW w:w="2003" w:type="dxa"/>
          </w:tcPr>
          <w:p w14:paraId="7F8EFE9D"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From mandated classes in 7 public high schools; $30 gift voucher</w:t>
            </w:r>
          </w:p>
        </w:tc>
        <w:tc>
          <w:tcPr>
            <w:tcW w:w="1623" w:type="dxa"/>
          </w:tcPr>
          <w:p w14:paraId="2BCAC61F"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NR "45 min survey"</w:t>
            </w:r>
          </w:p>
        </w:tc>
        <w:tc>
          <w:tcPr>
            <w:tcW w:w="1363" w:type="dxa"/>
          </w:tcPr>
          <w:p w14:paraId="1D1F5B1F"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Pr>
                <w:rFonts w:cs="Calibri"/>
                <w:sz w:val="16"/>
                <w:szCs w:val="16"/>
              </w:rPr>
              <w:t>E</w:t>
            </w:r>
            <w:r>
              <w:rPr>
                <w:rFonts w:cs="Calibri"/>
                <w:sz w:val="16"/>
                <w:szCs w:val="16"/>
              </w:rPr>
              <w:noBreakHyphen/>
              <w:t>cig</w:t>
            </w:r>
            <w:r w:rsidRPr="000F6DEF">
              <w:rPr>
                <w:rFonts w:cs="Calibri"/>
                <w:sz w:val="16"/>
                <w:szCs w:val="16"/>
              </w:rPr>
              <w:t xml:space="preserve">arette use in past year, other drugs use; motivations for using </w:t>
            </w:r>
            <w:r>
              <w:rPr>
                <w:rFonts w:cs="Calibri"/>
                <w:sz w:val="16"/>
                <w:szCs w:val="16"/>
              </w:rPr>
              <w:t>e</w:t>
            </w:r>
            <w:r>
              <w:rPr>
                <w:rFonts w:cs="Calibri"/>
                <w:sz w:val="16"/>
                <w:szCs w:val="16"/>
              </w:rPr>
              <w:noBreakHyphen/>
              <w:t>cig</w:t>
            </w:r>
            <w:r w:rsidRPr="000F6DEF">
              <w:rPr>
                <w:rFonts w:cs="Calibri"/>
                <w:sz w:val="16"/>
                <w:szCs w:val="16"/>
              </w:rPr>
              <w:t>arettes</w:t>
            </w:r>
          </w:p>
        </w:tc>
      </w:tr>
      <w:tr w:rsidR="00B85C33" w:rsidRPr="000F6DEF" w14:paraId="55EA469A" w14:textId="77777777" w:rsidTr="000376C7">
        <w:trPr>
          <w:trHeight w:val="568"/>
        </w:trPr>
        <w:tc>
          <w:tcPr>
            <w:cnfStyle w:val="001000000000" w:firstRow="0" w:lastRow="0" w:firstColumn="1" w:lastColumn="0" w:oddVBand="0" w:evenVBand="0" w:oddHBand="0" w:evenHBand="0" w:firstRowFirstColumn="0" w:firstRowLastColumn="0" w:lastRowFirstColumn="0" w:lastRowLastColumn="0"/>
            <w:tcW w:w="1433" w:type="dxa"/>
          </w:tcPr>
          <w:p w14:paraId="6D702287" w14:textId="77777777" w:rsidR="00B85C33" w:rsidRPr="000F6DEF" w:rsidRDefault="00B85C33" w:rsidP="000376C7">
            <w:pPr>
              <w:rPr>
                <w:rFonts w:cs="Calibri"/>
                <w:sz w:val="16"/>
                <w:szCs w:val="16"/>
              </w:rPr>
            </w:pPr>
            <w:r w:rsidRPr="000F6DEF">
              <w:rPr>
                <w:rFonts w:cs="Calibri"/>
                <w:sz w:val="16"/>
                <w:szCs w:val="16"/>
              </w:rPr>
              <w:t>Vogel, Ramo, Rubinstein 2018</w:t>
            </w:r>
          </w:p>
        </w:tc>
        <w:tc>
          <w:tcPr>
            <w:tcW w:w="2388" w:type="dxa"/>
          </w:tcPr>
          <w:p w14:paraId="01E97C73"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This study identifies correlates of </w:t>
            </w:r>
            <w:r>
              <w:rPr>
                <w:rFonts w:cs="Calibri"/>
                <w:sz w:val="16"/>
                <w:szCs w:val="16"/>
              </w:rPr>
              <w:t>e</w:t>
            </w:r>
            <w:r>
              <w:rPr>
                <w:rFonts w:cs="Calibri"/>
                <w:sz w:val="16"/>
                <w:szCs w:val="16"/>
              </w:rPr>
              <w:noBreakHyphen/>
              <w:t>cig</w:t>
            </w:r>
            <w:r w:rsidRPr="000F6DEF">
              <w:rPr>
                <w:rFonts w:cs="Calibri"/>
                <w:sz w:val="16"/>
                <w:szCs w:val="16"/>
              </w:rPr>
              <w:t xml:space="preserve">arette use frequency and </w:t>
            </w:r>
            <w:r w:rsidRPr="000F6DEF">
              <w:rPr>
                <w:rFonts w:cs="Calibri"/>
                <w:sz w:val="16"/>
                <w:szCs w:val="16"/>
              </w:rPr>
              <w:lastRenderedPageBreak/>
              <w:t>dependence among adolescent users.</w:t>
            </w:r>
          </w:p>
        </w:tc>
        <w:tc>
          <w:tcPr>
            <w:tcW w:w="1405" w:type="dxa"/>
          </w:tcPr>
          <w:p w14:paraId="7557EE5D"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lastRenderedPageBreak/>
              <w:t>Investigator developed</w:t>
            </w:r>
          </w:p>
        </w:tc>
        <w:tc>
          <w:tcPr>
            <w:tcW w:w="1406" w:type="dxa"/>
          </w:tcPr>
          <w:p w14:paraId="49605488"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San Francisco, US</w:t>
            </w:r>
          </w:p>
        </w:tc>
        <w:tc>
          <w:tcPr>
            <w:tcW w:w="1167" w:type="dxa"/>
          </w:tcPr>
          <w:p w14:paraId="0F97C1CC"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Not reported</w:t>
            </w:r>
          </w:p>
        </w:tc>
        <w:tc>
          <w:tcPr>
            <w:tcW w:w="2125" w:type="dxa"/>
          </w:tcPr>
          <w:p w14:paraId="4BF26129"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173 </w:t>
            </w:r>
            <w:r>
              <w:rPr>
                <w:rFonts w:cs="Calibri"/>
                <w:sz w:val="16"/>
                <w:szCs w:val="16"/>
              </w:rPr>
              <w:t>e</w:t>
            </w:r>
            <w:r>
              <w:rPr>
                <w:rFonts w:cs="Calibri"/>
                <w:sz w:val="16"/>
                <w:szCs w:val="16"/>
              </w:rPr>
              <w:noBreakHyphen/>
              <w:t>cig</w:t>
            </w:r>
            <w:r w:rsidRPr="000F6DEF">
              <w:rPr>
                <w:rFonts w:cs="Calibri"/>
                <w:sz w:val="16"/>
                <w:szCs w:val="16"/>
              </w:rPr>
              <w:t>arette users, 16.6(SE1.2) years, 75.1% male</w:t>
            </w:r>
          </w:p>
        </w:tc>
        <w:tc>
          <w:tcPr>
            <w:tcW w:w="2003" w:type="dxa"/>
          </w:tcPr>
          <w:p w14:paraId="2C86489F"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Adolescents (age 13–18) who reported having used an </w:t>
            </w:r>
            <w:r>
              <w:rPr>
                <w:rFonts w:cs="Calibri"/>
                <w:sz w:val="16"/>
                <w:szCs w:val="16"/>
              </w:rPr>
              <w:t>e</w:t>
            </w:r>
            <w:r>
              <w:rPr>
                <w:rFonts w:cs="Calibri"/>
                <w:sz w:val="16"/>
                <w:szCs w:val="16"/>
              </w:rPr>
              <w:noBreakHyphen/>
              <w:t>cig</w:t>
            </w:r>
            <w:r w:rsidRPr="000F6DEF">
              <w:rPr>
                <w:rFonts w:cs="Calibri"/>
                <w:sz w:val="16"/>
                <w:szCs w:val="16"/>
              </w:rPr>
              <w:t xml:space="preserve">arette product at </w:t>
            </w:r>
            <w:r w:rsidRPr="000F6DEF">
              <w:rPr>
                <w:rFonts w:cs="Calibri"/>
                <w:sz w:val="16"/>
                <w:szCs w:val="16"/>
              </w:rPr>
              <w:lastRenderedPageBreak/>
              <w:t>least once in the past 30 days and at least 10 times in their lives recruited through online advertising and posters</w:t>
            </w:r>
          </w:p>
        </w:tc>
        <w:tc>
          <w:tcPr>
            <w:tcW w:w="1623" w:type="dxa"/>
          </w:tcPr>
          <w:p w14:paraId="369CD6BA"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lastRenderedPageBreak/>
              <w:t>In</w:t>
            </w:r>
            <w:r w:rsidRPr="000F6DEF">
              <w:rPr>
                <w:rFonts w:cs="Calibri"/>
                <w:sz w:val="16"/>
                <w:szCs w:val="16"/>
              </w:rPr>
              <w:noBreakHyphen/>
              <w:t>person</w:t>
            </w:r>
          </w:p>
        </w:tc>
        <w:tc>
          <w:tcPr>
            <w:tcW w:w="1363" w:type="dxa"/>
          </w:tcPr>
          <w:p w14:paraId="39E664AE"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Frequency of </w:t>
            </w:r>
            <w:r>
              <w:rPr>
                <w:rFonts w:cs="Calibri"/>
                <w:sz w:val="16"/>
                <w:szCs w:val="16"/>
              </w:rPr>
              <w:t>e</w:t>
            </w:r>
            <w:r>
              <w:rPr>
                <w:rFonts w:cs="Calibri"/>
                <w:sz w:val="16"/>
                <w:szCs w:val="16"/>
              </w:rPr>
              <w:noBreakHyphen/>
              <w:t>cig</w:t>
            </w:r>
            <w:r w:rsidRPr="000F6DEF">
              <w:rPr>
                <w:rFonts w:cs="Calibri"/>
                <w:sz w:val="16"/>
                <w:szCs w:val="16"/>
              </w:rPr>
              <w:t>arette use</w:t>
            </w:r>
          </w:p>
          <w:p w14:paraId="56B12926"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lastRenderedPageBreak/>
              <w:t xml:space="preserve">Dependence on </w:t>
            </w:r>
            <w:r>
              <w:rPr>
                <w:rFonts w:cs="Calibri"/>
                <w:sz w:val="16"/>
                <w:szCs w:val="16"/>
              </w:rPr>
              <w:t>e</w:t>
            </w:r>
            <w:r>
              <w:rPr>
                <w:rFonts w:cs="Calibri"/>
                <w:sz w:val="16"/>
                <w:szCs w:val="16"/>
              </w:rPr>
              <w:noBreakHyphen/>
              <w:t>cig</w:t>
            </w:r>
            <w:r w:rsidRPr="000F6DEF">
              <w:rPr>
                <w:rFonts w:cs="Calibri"/>
                <w:sz w:val="16"/>
                <w:szCs w:val="16"/>
              </w:rPr>
              <w:t>arettes</w:t>
            </w:r>
          </w:p>
          <w:p w14:paraId="65846AA6"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Demographics</w:t>
            </w:r>
          </w:p>
          <w:p w14:paraId="23FC45F6"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Pr>
                <w:rFonts w:cs="Calibri"/>
                <w:sz w:val="16"/>
                <w:szCs w:val="16"/>
              </w:rPr>
              <w:t>e</w:t>
            </w:r>
            <w:r>
              <w:rPr>
                <w:rFonts w:cs="Calibri"/>
                <w:sz w:val="16"/>
                <w:szCs w:val="16"/>
              </w:rPr>
              <w:noBreakHyphen/>
              <w:t>cig</w:t>
            </w:r>
            <w:r w:rsidRPr="000F6DEF">
              <w:rPr>
                <w:rFonts w:cs="Calibri"/>
                <w:sz w:val="16"/>
                <w:szCs w:val="16"/>
              </w:rPr>
              <w:t>arette use history</w:t>
            </w:r>
          </w:p>
          <w:p w14:paraId="2014B82D"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current </w:t>
            </w:r>
            <w:r>
              <w:rPr>
                <w:rFonts w:cs="Calibri"/>
                <w:sz w:val="16"/>
                <w:szCs w:val="16"/>
              </w:rPr>
              <w:t>e</w:t>
            </w:r>
            <w:r>
              <w:rPr>
                <w:rFonts w:cs="Calibri"/>
                <w:sz w:val="16"/>
                <w:szCs w:val="16"/>
              </w:rPr>
              <w:noBreakHyphen/>
              <w:t>cig</w:t>
            </w:r>
            <w:r w:rsidRPr="000F6DEF">
              <w:rPr>
                <w:rFonts w:cs="Calibri"/>
                <w:sz w:val="16"/>
                <w:szCs w:val="16"/>
              </w:rPr>
              <w:t>arette and cig use</w:t>
            </w:r>
          </w:p>
        </w:tc>
      </w:tr>
      <w:tr w:rsidR="00B85C33" w:rsidRPr="000F6DEF" w14:paraId="79E68864" w14:textId="77777777" w:rsidTr="000376C7">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1433" w:type="dxa"/>
          </w:tcPr>
          <w:p w14:paraId="17A35AE3" w14:textId="77777777" w:rsidR="00B85C33" w:rsidRPr="000F6DEF" w:rsidRDefault="00B85C33" w:rsidP="000376C7">
            <w:pPr>
              <w:rPr>
                <w:rFonts w:cs="Calibri"/>
                <w:sz w:val="16"/>
                <w:szCs w:val="16"/>
              </w:rPr>
            </w:pPr>
            <w:r w:rsidRPr="000F6DEF">
              <w:rPr>
                <w:rFonts w:cs="Calibri"/>
                <w:sz w:val="16"/>
                <w:szCs w:val="16"/>
              </w:rPr>
              <w:lastRenderedPageBreak/>
              <w:t>Westling E, Rusby J et al 2017</w:t>
            </w:r>
          </w:p>
        </w:tc>
        <w:tc>
          <w:tcPr>
            <w:tcW w:w="2388" w:type="dxa"/>
          </w:tcPr>
          <w:p w14:paraId="70E2813E" w14:textId="3A87F925"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To examine the use of electronic cigarettes (</w:t>
            </w:r>
            <w:r>
              <w:rPr>
                <w:rFonts w:cs="Calibri"/>
                <w:sz w:val="16"/>
                <w:szCs w:val="16"/>
              </w:rPr>
              <w:t>e</w:t>
            </w:r>
            <w:r>
              <w:rPr>
                <w:rFonts w:cs="Calibri"/>
                <w:sz w:val="16"/>
                <w:szCs w:val="16"/>
              </w:rPr>
              <w:noBreakHyphen/>
              <w:t>cig</w:t>
            </w:r>
            <w:r w:rsidRPr="000F6DEF">
              <w:rPr>
                <w:rFonts w:cs="Calibri"/>
                <w:sz w:val="16"/>
                <w:szCs w:val="16"/>
              </w:rPr>
              <w:t>arettes) among adolescents over time, including correlates of lifetime use by eighth grade and trajectories of current use across ninth grade</w:t>
            </w:r>
            <w:r w:rsidR="006E78E1">
              <w:rPr>
                <w:rFonts w:cs="Calibri"/>
                <w:sz w:val="16"/>
                <w:szCs w:val="16"/>
              </w:rPr>
              <w:t>.</w:t>
            </w:r>
          </w:p>
        </w:tc>
        <w:tc>
          <w:tcPr>
            <w:tcW w:w="1405" w:type="dxa"/>
          </w:tcPr>
          <w:p w14:paraId="3C850C01"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Investigator developed</w:t>
            </w:r>
          </w:p>
        </w:tc>
        <w:tc>
          <w:tcPr>
            <w:tcW w:w="1406" w:type="dxa"/>
          </w:tcPr>
          <w:p w14:paraId="572A4C2B"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Oregon, US</w:t>
            </w:r>
          </w:p>
        </w:tc>
        <w:tc>
          <w:tcPr>
            <w:tcW w:w="1167" w:type="dxa"/>
          </w:tcPr>
          <w:p w14:paraId="0CB8E43E"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2014</w:t>
            </w:r>
            <w:r w:rsidRPr="000F6DEF">
              <w:rPr>
                <w:rFonts w:cs="Calibri"/>
                <w:sz w:val="16"/>
                <w:szCs w:val="16"/>
              </w:rPr>
              <w:noBreakHyphen/>
              <w:t>16</w:t>
            </w:r>
          </w:p>
        </w:tc>
        <w:tc>
          <w:tcPr>
            <w:tcW w:w="2125" w:type="dxa"/>
          </w:tcPr>
          <w:p w14:paraId="2C18D11A"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1091 Adolescents</w:t>
            </w:r>
          </w:p>
          <w:p w14:paraId="4F1A9D39"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Mean age: 14.4±0.5</w:t>
            </w:r>
          </w:p>
          <w:p w14:paraId="4B0E782F"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47% male</w:t>
            </w:r>
          </w:p>
        </w:tc>
        <w:tc>
          <w:tcPr>
            <w:tcW w:w="2003" w:type="dxa"/>
          </w:tcPr>
          <w:p w14:paraId="0525932C"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Via schools </w:t>
            </w:r>
            <w:r w:rsidRPr="000F6DEF">
              <w:rPr>
                <w:rFonts w:cs="Calibri"/>
                <w:sz w:val="16"/>
                <w:szCs w:val="16"/>
              </w:rPr>
              <w:noBreakHyphen/>
              <w:t xml:space="preserve"> selected based on serving above Ave numbers of free lunches (proxy for lower income households) </w:t>
            </w:r>
          </w:p>
        </w:tc>
        <w:tc>
          <w:tcPr>
            <w:tcW w:w="1623" w:type="dxa"/>
          </w:tcPr>
          <w:p w14:paraId="0D8BA846"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Online; project staff administered the surveys during regular classes</w:t>
            </w:r>
          </w:p>
        </w:tc>
        <w:tc>
          <w:tcPr>
            <w:tcW w:w="1363" w:type="dxa"/>
          </w:tcPr>
          <w:p w14:paraId="41C33C21"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demographics; lifetime and current substance use </w:t>
            </w:r>
          </w:p>
        </w:tc>
      </w:tr>
    </w:tbl>
    <w:p w14:paraId="1C0B4C55" w14:textId="77777777" w:rsidR="00B85C33" w:rsidRDefault="00B85C33" w:rsidP="00B85C33">
      <w:pPr>
        <w:pStyle w:val="BodyText"/>
      </w:pPr>
    </w:p>
    <w:p w14:paraId="787C10D9" w14:textId="77777777" w:rsidR="00B85C33" w:rsidRDefault="00B85C33" w:rsidP="00B85C33">
      <w:pPr>
        <w:spacing w:after="0"/>
        <w:rPr>
          <w:sz w:val="24"/>
        </w:rPr>
      </w:pPr>
      <w:r>
        <w:br w:type="page"/>
      </w:r>
    </w:p>
    <w:p w14:paraId="4A9F48F8" w14:textId="77777777" w:rsidR="00B85C33" w:rsidRDefault="004C6D16" w:rsidP="004C6D16">
      <w:pPr>
        <w:pStyle w:val="Caption"/>
      </w:pPr>
      <w:bookmarkStart w:id="340" w:name="_Toc517707448"/>
      <w:r>
        <w:lastRenderedPageBreak/>
        <w:t xml:space="preserve">Table </w:t>
      </w:r>
      <w:r w:rsidR="0048064B">
        <w:rPr>
          <w:noProof/>
        </w:rPr>
        <w:fldChar w:fldCharType="begin"/>
      </w:r>
      <w:r w:rsidR="0048064B">
        <w:rPr>
          <w:noProof/>
        </w:rPr>
        <w:instrText xml:space="preserve"> SEQ Table \* ARABIC </w:instrText>
      </w:r>
      <w:r w:rsidR="0048064B">
        <w:rPr>
          <w:noProof/>
        </w:rPr>
        <w:fldChar w:fldCharType="separate"/>
      </w:r>
      <w:r w:rsidR="000C06DA">
        <w:rPr>
          <w:noProof/>
        </w:rPr>
        <w:t>39</w:t>
      </w:r>
      <w:r w:rsidR="0048064B">
        <w:rPr>
          <w:noProof/>
        </w:rPr>
        <w:fldChar w:fldCharType="end"/>
      </w:r>
      <w:r w:rsidR="00B85C33" w:rsidRPr="00E34F68">
        <w:t>: R</w:t>
      </w:r>
      <w:r>
        <w:t>esults of studies that were US i</w:t>
      </w:r>
      <w:r w:rsidR="00B85C33" w:rsidRPr="00E34F68">
        <w:t>nvestigator developed</w:t>
      </w:r>
      <w:bookmarkEnd w:id="340"/>
    </w:p>
    <w:tbl>
      <w:tblPr>
        <w:tblStyle w:val="TableCSIRO"/>
        <w:tblW w:w="14913" w:type="dxa"/>
        <w:tblLayout w:type="fixed"/>
        <w:tblLook w:val="04A0" w:firstRow="1" w:lastRow="0" w:firstColumn="1" w:lastColumn="0" w:noHBand="0" w:noVBand="1"/>
      </w:tblPr>
      <w:tblGrid>
        <w:gridCol w:w="1435"/>
        <w:gridCol w:w="2529"/>
        <w:gridCol w:w="6521"/>
        <w:gridCol w:w="4428"/>
      </w:tblGrid>
      <w:tr w:rsidR="00B85C33" w:rsidRPr="000F6DEF" w14:paraId="0F5FE524" w14:textId="77777777" w:rsidTr="000376C7">
        <w:trPr>
          <w:cnfStyle w:val="100000000000" w:firstRow="1" w:lastRow="0" w:firstColumn="0" w:lastColumn="0" w:oddVBand="0" w:evenVBand="0" w:oddHBand="0" w:evenHBand="0" w:firstRowFirstColumn="0" w:firstRowLastColumn="0" w:lastRowFirstColumn="0" w:lastRowLastColumn="0"/>
          <w:trHeight w:val="94"/>
          <w:tblHeader/>
        </w:trPr>
        <w:tc>
          <w:tcPr>
            <w:cnfStyle w:val="001000000000" w:firstRow="0" w:lastRow="0" w:firstColumn="1" w:lastColumn="0" w:oddVBand="0" w:evenVBand="0" w:oddHBand="0" w:evenHBand="0" w:firstRowFirstColumn="0" w:firstRowLastColumn="0" w:lastRowFirstColumn="0" w:lastRowLastColumn="0"/>
            <w:tcW w:w="1435" w:type="dxa"/>
            <w:hideMark/>
          </w:tcPr>
          <w:p w14:paraId="5BBF40E9" w14:textId="77777777" w:rsidR="00B85C33" w:rsidRPr="000F6DEF" w:rsidRDefault="00B85C33" w:rsidP="000376C7">
            <w:pPr>
              <w:rPr>
                <w:color w:val="auto"/>
                <w:sz w:val="16"/>
                <w:szCs w:val="16"/>
              </w:rPr>
            </w:pPr>
            <w:r w:rsidRPr="000F6DEF">
              <w:rPr>
                <w:color w:val="auto"/>
                <w:sz w:val="16"/>
                <w:szCs w:val="16"/>
              </w:rPr>
              <w:t>Study reference</w:t>
            </w:r>
          </w:p>
        </w:tc>
        <w:tc>
          <w:tcPr>
            <w:tcW w:w="2529" w:type="dxa"/>
            <w:hideMark/>
          </w:tcPr>
          <w:p w14:paraId="532A1D49" w14:textId="77777777" w:rsidR="00B85C33" w:rsidRPr="000F6DEF" w:rsidRDefault="00B85C33" w:rsidP="000376C7">
            <w:pPr>
              <w:cnfStyle w:val="100000000000" w:firstRow="1" w:lastRow="0" w:firstColumn="0" w:lastColumn="0" w:oddVBand="0" w:evenVBand="0" w:oddHBand="0" w:evenHBand="0" w:firstRowFirstColumn="0" w:firstRowLastColumn="0" w:lastRowFirstColumn="0" w:lastRowLastColumn="0"/>
              <w:rPr>
                <w:color w:val="auto"/>
                <w:sz w:val="16"/>
                <w:szCs w:val="16"/>
              </w:rPr>
            </w:pPr>
            <w:r w:rsidRPr="000F6DEF">
              <w:rPr>
                <w:color w:val="auto"/>
                <w:sz w:val="16"/>
                <w:szCs w:val="16"/>
              </w:rPr>
              <w:t>Purpose</w:t>
            </w:r>
          </w:p>
        </w:tc>
        <w:tc>
          <w:tcPr>
            <w:tcW w:w="6521" w:type="dxa"/>
            <w:hideMark/>
          </w:tcPr>
          <w:p w14:paraId="11B24FEA" w14:textId="77777777" w:rsidR="00B85C33" w:rsidRPr="000F6DEF" w:rsidRDefault="00B85C33" w:rsidP="000376C7">
            <w:pPr>
              <w:cnfStyle w:val="100000000000" w:firstRow="1" w:lastRow="0" w:firstColumn="0" w:lastColumn="0" w:oddVBand="0" w:evenVBand="0" w:oddHBand="0" w:evenHBand="0" w:firstRowFirstColumn="0" w:firstRowLastColumn="0" w:lastRowFirstColumn="0" w:lastRowLastColumn="0"/>
              <w:rPr>
                <w:color w:val="auto"/>
                <w:sz w:val="16"/>
                <w:szCs w:val="16"/>
              </w:rPr>
            </w:pPr>
            <w:r w:rsidRPr="000F6DEF">
              <w:rPr>
                <w:color w:val="auto"/>
                <w:sz w:val="16"/>
                <w:szCs w:val="16"/>
              </w:rPr>
              <w:t>Results</w:t>
            </w:r>
          </w:p>
        </w:tc>
        <w:tc>
          <w:tcPr>
            <w:tcW w:w="4428" w:type="dxa"/>
            <w:hideMark/>
          </w:tcPr>
          <w:p w14:paraId="00B0880C" w14:textId="77777777" w:rsidR="00B85C33" w:rsidRPr="000F6DEF" w:rsidRDefault="00B85C33" w:rsidP="000376C7">
            <w:pPr>
              <w:cnfStyle w:val="100000000000" w:firstRow="1" w:lastRow="0" w:firstColumn="0" w:lastColumn="0" w:oddVBand="0" w:evenVBand="0" w:oddHBand="0" w:evenHBand="0" w:firstRowFirstColumn="0" w:firstRowLastColumn="0" w:lastRowFirstColumn="0" w:lastRowLastColumn="0"/>
              <w:rPr>
                <w:color w:val="auto"/>
                <w:sz w:val="16"/>
                <w:szCs w:val="16"/>
              </w:rPr>
            </w:pPr>
            <w:r w:rsidRPr="000F6DEF">
              <w:rPr>
                <w:color w:val="auto"/>
                <w:sz w:val="16"/>
                <w:szCs w:val="16"/>
              </w:rPr>
              <w:t>Author conclusion</w:t>
            </w:r>
          </w:p>
        </w:tc>
      </w:tr>
      <w:tr w:rsidR="00B85C33" w:rsidRPr="000F6DEF" w14:paraId="02352208" w14:textId="77777777" w:rsidTr="000376C7">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1435" w:type="dxa"/>
          </w:tcPr>
          <w:p w14:paraId="6CE65312" w14:textId="77777777" w:rsidR="00B85C33" w:rsidRPr="000F6DEF" w:rsidRDefault="00B85C33" w:rsidP="000376C7">
            <w:pPr>
              <w:spacing w:after="0"/>
              <w:rPr>
                <w:rFonts w:eastAsia="Times New Roman" w:cs="Calibri"/>
                <w:sz w:val="16"/>
                <w:szCs w:val="16"/>
              </w:rPr>
            </w:pPr>
            <w:r w:rsidRPr="000F6DEF">
              <w:rPr>
                <w:rFonts w:cs="Calibri"/>
                <w:sz w:val="16"/>
                <w:szCs w:val="16"/>
              </w:rPr>
              <w:t>Abadi, Couch, Chaffee, Walsh</w:t>
            </w:r>
          </w:p>
        </w:tc>
        <w:tc>
          <w:tcPr>
            <w:tcW w:w="2529" w:type="dxa"/>
          </w:tcPr>
          <w:p w14:paraId="5B0DB955" w14:textId="1D48B225"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To assess electronic cigarette (</w:t>
            </w:r>
            <w:r>
              <w:rPr>
                <w:rFonts w:cs="Calibri"/>
                <w:sz w:val="16"/>
                <w:szCs w:val="16"/>
              </w:rPr>
              <w:t>e</w:t>
            </w:r>
            <w:r>
              <w:rPr>
                <w:rFonts w:cs="Calibri"/>
                <w:sz w:val="16"/>
                <w:szCs w:val="16"/>
              </w:rPr>
              <w:noBreakHyphen/>
              <w:t>cig</w:t>
            </w:r>
            <w:r w:rsidRPr="000F6DEF">
              <w:rPr>
                <w:rFonts w:cs="Calibri"/>
                <w:sz w:val="16"/>
                <w:szCs w:val="16"/>
              </w:rPr>
              <w:t xml:space="preserve">arette) use, factors associated with use, and exposure to </w:t>
            </w:r>
            <w:r>
              <w:rPr>
                <w:rFonts w:cs="Calibri"/>
                <w:sz w:val="16"/>
                <w:szCs w:val="16"/>
              </w:rPr>
              <w:t>e</w:t>
            </w:r>
            <w:r>
              <w:rPr>
                <w:rFonts w:cs="Calibri"/>
                <w:sz w:val="16"/>
                <w:szCs w:val="16"/>
              </w:rPr>
              <w:noBreakHyphen/>
              <w:t>cig</w:t>
            </w:r>
            <w:r w:rsidRPr="000F6DEF">
              <w:rPr>
                <w:rFonts w:cs="Calibri"/>
                <w:sz w:val="16"/>
                <w:szCs w:val="16"/>
              </w:rPr>
              <w:t>arette</w:t>
            </w:r>
            <w:r w:rsidRPr="000F6DEF">
              <w:rPr>
                <w:rFonts w:cs="Calibri"/>
                <w:sz w:val="16"/>
                <w:szCs w:val="16"/>
              </w:rPr>
              <w:noBreakHyphen/>
              <w:t>related information from health professionals in a sample of college students attending a public university in northern California, using a web</w:t>
            </w:r>
            <w:r w:rsidRPr="000F6DEF">
              <w:rPr>
                <w:rFonts w:cs="Calibri"/>
                <w:sz w:val="16"/>
                <w:szCs w:val="16"/>
              </w:rPr>
              <w:noBreakHyphen/>
              <w:t>based survey</w:t>
            </w:r>
            <w:r w:rsidR="006E78E1">
              <w:rPr>
                <w:rFonts w:cs="Calibri"/>
                <w:sz w:val="16"/>
                <w:szCs w:val="16"/>
              </w:rPr>
              <w:t>.</w:t>
            </w:r>
          </w:p>
        </w:tc>
        <w:tc>
          <w:tcPr>
            <w:tcW w:w="6521" w:type="dxa"/>
          </w:tcPr>
          <w:p w14:paraId="388BE7BE"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Use: Ever user (45%); Current user (9%); Never (41%); Missing (5%)</w:t>
            </w:r>
            <w:r w:rsidRPr="000F6DEF">
              <w:rPr>
                <w:rFonts w:cs="Calibri"/>
                <w:sz w:val="16"/>
                <w:szCs w:val="16"/>
              </w:rPr>
              <w:br/>
              <w:t>Top reasons for use: Sampling flavours with friends (16%), enjoy watching the vapour (15%), calming effect (9%). Concentration don't know (43%)/missing(33%), 0</w:t>
            </w:r>
            <w:r w:rsidRPr="000F6DEF">
              <w:rPr>
                <w:rFonts w:cs="Calibri"/>
                <w:sz w:val="16"/>
                <w:szCs w:val="16"/>
              </w:rPr>
              <w:noBreakHyphen/>
              <w:t>6mg (14%), 7</w:t>
            </w:r>
            <w:r w:rsidRPr="000F6DEF">
              <w:rPr>
                <w:rFonts w:cs="Calibri"/>
                <w:sz w:val="16"/>
                <w:szCs w:val="16"/>
              </w:rPr>
              <w:noBreakHyphen/>
              <w:t xml:space="preserve">18mg (3%). Flavours: fruit (25%), Mint (13%), Candy (12%), Tobacco (5%), Dessert (5%), Coffee or Cola (4%). </w:t>
            </w:r>
          </w:p>
          <w:p w14:paraId="6A463325"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Perceived harmfulness of smoking products (extreme ratings reported as %): cigarettes (87%), cigars (89%), smokeless tobacco (75%), Hookah (42%), </w:t>
            </w:r>
            <w:r>
              <w:rPr>
                <w:rFonts w:cs="Calibri"/>
                <w:sz w:val="16"/>
                <w:szCs w:val="16"/>
              </w:rPr>
              <w:t>e</w:t>
            </w:r>
            <w:r>
              <w:rPr>
                <w:rFonts w:cs="Calibri"/>
                <w:sz w:val="16"/>
                <w:szCs w:val="16"/>
              </w:rPr>
              <w:noBreakHyphen/>
              <w:t>cig</w:t>
            </w:r>
            <w:r w:rsidRPr="000F6DEF">
              <w:rPr>
                <w:rFonts w:cs="Calibri"/>
                <w:sz w:val="16"/>
                <w:szCs w:val="16"/>
              </w:rPr>
              <w:t>arette (47%), marijuana (24%)</w:t>
            </w:r>
            <w:r w:rsidRPr="000F6DEF">
              <w:rPr>
                <w:rFonts w:cs="Calibri"/>
                <w:sz w:val="16"/>
                <w:szCs w:val="16"/>
              </w:rPr>
              <w:br/>
              <w:t>Sig differences for risks: Bad breath, feel jittery/nervous, get mouth sores, friends will be upset, you will get into trouble. Sig differences for benefits: none, look cool (p=0.07)</w:t>
            </w:r>
          </w:p>
        </w:tc>
        <w:tc>
          <w:tcPr>
            <w:tcW w:w="4428" w:type="dxa"/>
          </w:tcPr>
          <w:p w14:paraId="22250B74"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Our findings demonstrate a high prevalence of </w:t>
            </w:r>
            <w:r>
              <w:rPr>
                <w:rFonts w:cs="Calibri"/>
                <w:sz w:val="16"/>
                <w:szCs w:val="16"/>
              </w:rPr>
              <w:t>e</w:t>
            </w:r>
            <w:r>
              <w:rPr>
                <w:rFonts w:cs="Calibri"/>
                <w:sz w:val="16"/>
                <w:szCs w:val="16"/>
              </w:rPr>
              <w:noBreakHyphen/>
              <w:t>cig</w:t>
            </w:r>
            <w:r w:rsidRPr="000F6DEF">
              <w:rPr>
                <w:rFonts w:cs="Calibri"/>
                <w:sz w:val="16"/>
                <w:szCs w:val="16"/>
              </w:rPr>
              <w:t xml:space="preserve">arette use and experimentation among college students in our sample population. Participants’ perceptions related to reduced harm of </w:t>
            </w:r>
            <w:r>
              <w:rPr>
                <w:rFonts w:cs="Calibri"/>
                <w:sz w:val="16"/>
                <w:szCs w:val="16"/>
              </w:rPr>
              <w:t>e</w:t>
            </w:r>
            <w:r>
              <w:rPr>
                <w:rFonts w:cs="Calibri"/>
                <w:sz w:val="16"/>
                <w:szCs w:val="16"/>
              </w:rPr>
              <w:noBreakHyphen/>
              <w:t>cig</w:t>
            </w:r>
            <w:r w:rsidRPr="000F6DEF">
              <w:rPr>
                <w:rFonts w:cs="Calibri"/>
                <w:sz w:val="16"/>
                <w:szCs w:val="16"/>
              </w:rPr>
              <w:t xml:space="preserve">arettes may influence their willingness to use such products. </w:t>
            </w:r>
          </w:p>
        </w:tc>
      </w:tr>
      <w:tr w:rsidR="00B85C33" w:rsidRPr="000F6DEF" w14:paraId="62F9D7F6" w14:textId="77777777" w:rsidTr="000376C7">
        <w:trPr>
          <w:trHeight w:val="94"/>
        </w:trPr>
        <w:tc>
          <w:tcPr>
            <w:cnfStyle w:val="001000000000" w:firstRow="0" w:lastRow="0" w:firstColumn="1" w:lastColumn="0" w:oddVBand="0" w:evenVBand="0" w:oddHBand="0" w:evenHBand="0" w:firstRowFirstColumn="0" w:firstRowLastColumn="0" w:lastRowFirstColumn="0" w:lastRowLastColumn="0"/>
            <w:tcW w:w="1435" w:type="dxa"/>
          </w:tcPr>
          <w:p w14:paraId="4B674BEC" w14:textId="77777777" w:rsidR="00B85C33" w:rsidRPr="000F6DEF" w:rsidRDefault="00B85C33" w:rsidP="000376C7">
            <w:pPr>
              <w:rPr>
                <w:rFonts w:cs="Calibri"/>
                <w:sz w:val="16"/>
                <w:szCs w:val="16"/>
              </w:rPr>
            </w:pPr>
            <w:r w:rsidRPr="000F6DEF">
              <w:rPr>
                <w:rFonts w:cs="Calibri"/>
                <w:sz w:val="16"/>
                <w:szCs w:val="16"/>
              </w:rPr>
              <w:t xml:space="preserve">Ashford, Rayens, Wiggins et al. </w:t>
            </w:r>
          </w:p>
        </w:tc>
        <w:tc>
          <w:tcPr>
            <w:tcW w:w="2529" w:type="dxa"/>
          </w:tcPr>
          <w:p w14:paraId="54D86D5C" w14:textId="3E70D506"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The study examined the relationship between exposure to </w:t>
            </w:r>
            <w:r>
              <w:rPr>
                <w:rFonts w:cs="Calibri"/>
                <w:sz w:val="16"/>
                <w:szCs w:val="16"/>
              </w:rPr>
              <w:t>e</w:t>
            </w:r>
            <w:r>
              <w:rPr>
                <w:rFonts w:cs="Calibri"/>
                <w:sz w:val="16"/>
                <w:szCs w:val="16"/>
              </w:rPr>
              <w:noBreakHyphen/>
              <w:t>cig</w:t>
            </w:r>
            <w:r w:rsidRPr="000F6DEF">
              <w:rPr>
                <w:rFonts w:cs="Calibri"/>
                <w:sz w:val="16"/>
                <w:szCs w:val="16"/>
              </w:rPr>
              <w:t xml:space="preserve">arette advertising and </w:t>
            </w:r>
            <w:r>
              <w:rPr>
                <w:rFonts w:cs="Calibri"/>
                <w:sz w:val="16"/>
                <w:szCs w:val="16"/>
              </w:rPr>
              <w:t>e</w:t>
            </w:r>
            <w:r>
              <w:rPr>
                <w:rFonts w:cs="Calibri"/>
                <w:sz w:val="16"/>
                <w:szCs w:val="16"/>
              </w:rPr>
              <w:noBreakHyphen/>
              <w:t>cig</w:t>
            </w:r>
            <w:r w:rsidRPr="000F6DEF">
              <w:rPr>
                <w:rFonts w:cs="Calibri"/>
                <w:sz w:val="16"/>
                <w:szCs w:val="16"/>
              </w:rPr>
              <w:t xml:space="preserve">arette use by pregnancy status, including use of flavoured </w:t>
            </w:r>
            <w:r>
              <w:rPr>
                <w:rFonts w:cs="Calibri"/>
                <w:sz w:val="16"/>
                <w:szCs w:val="16"/>
              </w:rPr>
              <w:t>e</w:t>
            </w:r>
            <w:r>
              <w:rPr>
                <w:rFonts w:cs="Calibri"/>
                <w:sz w:val="16"/>
                <w:szCs w:val="16"/>
              </w:rPr>
              <w:noBreakHyphen/>
              <w:t>cig</w:t>
            </w:r>
            <w:r w:rsidRPr="000F6DEF">
              <w:rPr>
                <w:rFonts w:cs="Calibri"/>
                <w:sz w:val="16"/>
                <w:szCs w:val="16"/>
              </w:rPr>
              <w:t>arette products, among women of childbearing age</w:t>
            </w:r>
            <w:r w:rsidR="006E78E1">
              <w:rPr>
                <w:rFonts w:cs="Calibri"/>
                <w:sz w:val="16"/>
                <w:szCs w:val="16"/>
              </w:rPr>
              <w:t>.</w:t>
            </w:r>
          </w:p>
        </w:tc>
        <w:tc>
          <w:tcPr>
            <w:tcW w:w="6521" w:type="dxa"/>
          </w:tcPr>
          <w:p w14:paraId="0DE83DFD" w14:textId="58704D4E"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96.4% ever use of cig; 64.9% ever use </w:t>
            </w:r>
            <w:r>
              <w:rPr>
                <w:rFonts w:cs="Calibri"/>
                <w:sz w:val="16"/>
                <w:szCs w:val="16"/>
              </w:rPr>
              <w:t>e</w:t>
            </w:r>
            <w:r>
              <w:rPr>
                <w:rFonts w:cs="Calibri"/>
                <w:sz w:val="16"/>
                <w:szCs w:val="16"/>
              </w:rPr>
              <w:noBreakHyphen/>
              <w:t>cig</w:t>
            </w:r>
            <w:r w:rsidR="007B1B17">
              <w:rPr>
                <w:rFonts w:cs="Calibri"/>
                <w:sz w:val="16"/>
                <w:szCs w:val="16"/>
              </w:rPr>
              <w:t>arettes</w:t>
            </w:r>
            <w:r w:rsidRPr="000F6DEF">
              <w:rPr>
                <w:rFonts w:cs="Calibri"/>
                <w:sz w:val="16"/>
                <w:szCs w:val="16"/>
              </w:rPr>
              <w:br/>
              <w:t xml:space="preserve">Sig predictor of ever use for </w:t>
            </w:r>
            <w:r>
              <w:rPr>
                <w:rFonts w:cs="Calibri"/>
                <w:sz w:val="16"/>
                <w:szCs w:val="16"/>
              </w:rPr>
              <w:t>e</w:t>
            </w:r>
            <w:r>
              <w:rPr>
                <w:rFonts w:cs="Calibri"/>
                <w:sz w:val="16"/>
                <w:szCs w:val="16"/>
              </w:rPr>
              <w:noBreakHyphen/>
              <w:t>cig</w:t>
            </w:r>
            <w:r w:rsidRPr="000F6DEF">
              <w:rPr>
                <w:rFonts w:cs="Calibri"/>
                <w:sz w:val="16"/>
                <w:szCs w:val="16"/>
              </w:rPr>
              <w:t xml:space="preserve">arette were age (young), being white, and media exposure to </w:t>
            </w:r>
            <w:r>
              <w:rPr>
                <w:rFonts w:cs="Calibri"/>
                <w:sz w:val="16"/>
                <w:szCs w:val="16"/>
              </w:rPr>
              <w:t>e</w:t>
            </w:r>
            <w:r>
              <w:rPr>
                <w:rFonts w:cs="Calibri"/>
                <w:sz w:val="16"/>
                <w:szCs w:val="16"/>
              </w:rPr>
              <w:noBreakHyphen/>
              <w:t>cig</w:t>
            </w:r>
            <w:r w:rsidR="007B1B17">
              <w:rPr>
                <w:rFonts w:cs="Calibri"/>
                <w:sz w:val="16"/>
                <w:szCs w:val="16"/>
              </w:rPr>
              <w:t>arettes</w:t>
            </w:r>
            <w:r w:rsidRPr="000F6DEF">
              <w:rPr>
                <w:rFonts w:cs="Calibri"/>
                <w:sz w:val="16"/>
                <w:szCs w:val="16"/>
              </w:rPr>
              <w:br/>
              <w:t xml:space="preserve">Age (younger) only predictor of use of flavoured </w:t>
            </w:r>
            <w:r>
              <w:rPr>
                <w:rFonts w:cs="Calibri"/>
                <w:sz w:val="16"/>
                <w:szCs w:val="16"/>
              </w:rPr>
              <w:t>e</w:t>
            </w:r>
            <w:r>
              <w:rPr>
                <w:rFonts w:cs="Calibri"/>
                <w:sz w:val="16"/>
                <w:szCs w:val="16"/>
              </w:rPr>
              <w:noBreakHyphen/>
              <w:t>cig</w:t>
            </w:r>
            <w:r w:rsidR="007B1B17">
              <w:rPr>
                <w:rFonts w:cs="Calibri"/>
                <w:sz w:val="16"/>
                <w:szCs w:val="16"/>
              </w:rPr>
              <w:t>arettes</w:t>
            </w:r>
          </w:p>
        </w:tc>
        <w:tc>
          <w:tcPr>
            <w:tcW w:w="4428" w:type="dxa"/>
          </w:tcPr>
          <w:p w14:paraId="219EC50A"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There is a link between advertising exposure and ever use of e</w:t>
            </w:r>
            <w:r w:rsidRPr="000F6DEF">
              <w:rPr>
                <w:rFonts w:cs="Calibri"/>
                <w:sz w:val="16"/>
                <w:szCs w:val="16"/>
              </w:rPr>
              <w:noBreakHyphen/>
              <w:t xml:space="preserve"> cigarettes, though surprisingly, pregnancy status is not significantly associated with ever use. Use of flavoured e</w:t>
            </w:r>
            <w:r w:rsidRPr="000F6DEF">
              <w:rPr>
                <w:rFonts w:cs="Calibri"/>
                <w:sz w:val="16"/>
                <w:szCs w:val="16"/>
              </w:rPr>
              <w:noBreakHyphen/>
              <w:t xml:space="preserve"> cigarettes is associated with increased exposure to advertising on social media</w:t>
            </w:r>
          </w:p>
        </w:tc>
      </w:tr>
      <w:tr w:rsidR="00B85C33" w:rsidRPr="000F6DEF" w14:paraId="43813501" w14:textId="77777777" w:rsidTr="000376C7">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1435" w:type="dxa"/>
          </w:tcPr>
          <w:p w14:paraId="25DEF593" w14:textId="77777777" w:rsidR="00B85C33" w:rsidRPr="000F6DEF" w:rsidRDefault="00B85C33" w:rsidP="000376C7">
            <w:pPr>
              <w:rPr>
                <w:rFonts w:cs="Calibri"/>
                <w:sz w:val="16"/>
                <w:szCs w:val="16"/>
              </w:rPr>
            </w:pPr>
            <w:r w:rsidRPr="000F6DEF">
              <w:rPr>
                <w:rFonts w:cs="Calibri"/>
                <w:sz w:val="16"/>
                <w:szCs w:val="16"/>
              </w:rPr>
              <w:t>Bauhoff, Montero, Scharf</w:t>
            </w:r>
          </w:p>
        </w:tc>
        <w:tc>
          <w:tcPr>
            <w:tcW w:w="2529" w:type="dxa"/>
          </w:tcPr>
          <w:p w14:paraId="757FCFE2"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To examine how smoking status impacts adult perceptions and expectations of </w:t>
            </w:r>
            <w:r>
              <w:rPr>
                <w:rFonts w:cs="Calibri"/>
                <w:sz w:val="16"/>
                <w:szCs w:val="16"/>
              </w:rPr>
              <w:t>e</w:t>
            </w:r>
            <w:r>
              <w:rPr>
                <w:rFonts w:cs="Calibri"/>
                <w:sz w:val="16"/>
                <w:szCs w:val="16"/>
              </w:rPr>
              <w:noBreakHyphen/>
              <w:t>cig</w:t>
            </w:r>
            <w:r w:rsidRPr="000F6DEF">
              <w:rPr>
                <w:rFonts w:cs="Calibri"/>
                <w:sz w:val="16"/>
                <w:szCs w:val="16"/>
              </w:rPr>
              <w:t>arettes.</w:t>
            </w:r>
          </w:p>
        </w:tc>
        <w:tc>
          <w:tcPr>
            <w:tcW w:w="6521" w:type="dxa"/>
          </w:tcPr>
          <w:p w14:paraId="4356F5E1"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72% (n=572) of all participants had never tried </w:t>
            </w:r>
            <w:r>
              <w:rPr>
                <w:rFonts w:cs="Calibri"/>
                <w:sz w:val="16"/>
                <w:szCs w:val="16"/>
              </w:rPr>
              <w:t>e</w:t>
            </w:r>
            <w:r>
              <w:rPr>
                <w:rFonts w:cs="Calibri"/>
                <w:sz w:val="16"/>
                <w:szCs w:val="16"/>
              </w:rPr>
              <w:noBreakHyphen/>
              <w:t>cig</w:t>
            </w:r>
            <w:r w:rsidRPr="000F6DEF">
              <w:rPr>
                <w:rFonts w:cs="Calibri"/>
                <w:sz w:val="16"/>
                <w:szCs w:val="16"/>
              </w:rPr>
              <w:t xml:space="preserve">arettes. Among those who had tried </w:t>
            </w:r>
            <w:r>
              <w:rPr>
                <w:rFonts w:cs="Calibri"/>
                <w:sz w:val="16"/>
                <w:szCs w:val="16"/>
              </w:rPr>
              <w:t>e</w:t>
            </w:r>
            <w:r>
              <w:rPr>
                <w:rFonts w:cs="Calibri"/>
                <w:sz w:val="16"/>
                <w:szCs w:val="16"/>
              </w:rPr>
              <w:noBreakHyphen/>
              <w:t>cig</w:t>
            </w:r>
            <w:r w:rsidRPr="000F6DEF">
              <w:rPr>
                <w:rFonts w:cs="Calibri"/>
                <w:sz w:val="16"/>
                <w:szCs w:val="16"/>
              </w:rPr>
              <w:t xml:space="preserve">arettes, 47% were current smokers </w:t>
            </w:r>
            <w:r w:rsidRPr="000F6DEF">
              <w:rPr>
                <w:rFonts w:cs="Calibri"/>
                <w:sz w:val="16"/>
                <w:szCs w:val="16"/>
              </w:rPr>
              <w:br/>
              <w:t xml:space="preserve">13% of the total sample identified themselves as current </w:t>
            </w:r>
            <w:r>
              <w:rPr>
                <w:rFonts w:cs="Calibri"/>
                <w:sz w:val="16"/>
                <w:szCs w:val="16"/>
              </w:rPr>
              <w:t>e</w:t>
            </w:r>
            <w:r>
              <w:rPr>
                <w:rFonts w:cs="Calibri"/>
                <w:sz w:val="16"/>
                <w:szCs w:val="16"/>
              </w:rPr>
              <w:noBreakHyphen/>
              <w:t>cig</w:t>
            </w:r>
            <w:r w:rsidRPr="000F6DEF">
              <w:rPr>
                <w:rFonts w:cs="Calibri"/>
                <w:sz w:val="16"/>
                <w:szCs w:val="16"/>
              </w:rPr>
              <w:t xml:space="preserve">arette users; 15% identified as former </w:t>
            </w:r>
            <w:r>
              <w:rPr>
                <w:rFonts w:cs="Calibri"/>
                <w:sz w:val="16"/>
                <w:szCs w:val="16"/>
              </w:rPr>
              <w:t>e</w:t>
            </w:r>
            <w:r>
              <w:rPr>
                <w:rFonts w:cs="Calibri"/>
                <w:sz w:val="16"/>
                <w:szCs w:val="16"/>
              </w:rPr>
              <w:noBreakHyphen/>
              <w:t>cig</w:t>
            </w:r>
            <w:r w:rsidRPr="000F6DEF">
              <w:rPr>
                <w:rFonts w:cs="Calibri"/>
                <w:sz w:val="16"/>
                <w:szCs w:val="16"/>
              </w:rPr>
              <w:t>arette users.</w:t>
            </w:r>
            <w:r w:rsidRPr="000F6DEF">
              <w:rPr>
                <w:rFonts w:cs="Calibri"/>
                <w:sz w:val="16"/>
                <w:szCs w:val="16"/>
              </w:rPr>
              <w:br/>
              <w:t xml:space="preserve">Participants reported learning about </w:t>
            </w:r>
            <w:r>
              <w:rPr>
                <w:rFonts w:cs="Calibri"/>
                <w:sz w:val="16"/>
                <w:szCs w:val="16"/>
              </w:rPr>
              <w:t>e</w:t>
            </w:r>
            <w:r>
              <w:rPr>
                <w:rFonts w:cs="Calibri"/>
                <w:sz w:val="16"/>
                <w:szCs w:val="16"/>
              </w:rPr>
              <w:noBreakHyphen/>
              <w:t>cig</w:t>
            </w:r>
            <w:r w:rsidRPr="000F6DEF">
              <w:rPr>
                <w:rFonts w:cs="Calibri"/>
                <w:sz w:val="16"/>
                <w:szCs w:val="16"/>
              </w:rPr>
              <w:t xml:space="preserve">arettes primarily through internet sources (55%), conversations (53%), TV advertisements (41%), and retail POS locations (30%). Ever smokers were more likely than never smokers to have learned about </w:t>
            </w:r>
            <w:r>
              <w:rPr>
                <w:rFonts w:cs="Calibri"/>
                <w:sz w:val="16"/>
                <w:szCs w:val="16"/>
              </w:rPr>
              <w:t>e</w:t>
            </w:r>
            <w:r>
              <w:rPr>
                <w:rFonts w:cs="Calibri"/>
                <w:sz w:val="16"/>
                <w:szCs w:val="16"/>
              </w:rPr>
              <w:noBreakHyphen/>
              <w:t>cig</w:t>
            </w:r>
            <w:r w:rsidRPr="000F6DEF">
              <w:rPr>
                <w:rFonts w:cs="Calibri"/>
                <w:sz w:val="16"/>
                <w:szCs w:val="16"/>
              </w:rPr>
              <w:t xml:space="preserve">arettes from POS locations (37% versus 24%) but less likely to have heard about </w:t>
            </w:r>
            <w:r>
              <w:rPr>
                <w:rFonts w:cs="Calibri"/>
                <w:sz w:val="16"/>
                <w:szCs w:val="16"/>
              </w:rPr>
              <w:t>e</w:t>
            </w:r>
            <w:r>
              <w:rPr>
                <w:rFonts w:cs="Calibri"/>
                <w:sz w:val="16"/>
                <w:szCs w:val="16"/>
              </w:rPr>
              <w:noBreakHyphen/>
              <w:t>cig</w:t>
            </w:r>
            <w:r w:rsidRPr="000F6DEF">
              <w:rPr>
                <w:rFonts w:cs="Calibri"/>
                <w:sz w:val="16"/>
                <w:szCs w:val="16"/>
              </w:rPr>
              <w:t xml:space="preserve">arettes on TV (36% versus 45%). Current smokers were more likely than former smokers to have learned about </w:t>
            </w:r>
            <w:r>
              <w:rPr>
                <w:rFonts w:cs="Calibri"/>
                <w:sz w:val="16"/>
                <w:szCs w:val="16"/>
              </w:rPr>
              <w:t>e</w:t>
            </w:r>
            <w:r>
              <w:rPr>
                <w:rFonts w:cs="Calibri"/>
                <w:sz w:val="16"/>
                <w:szCs w:val="16"/>
              </w:rPr>
              <w:noBreakHyphen/>
              <w:t>cig</w:t>
            </w:r>
            <w:r w:rsidRPr="000F6DEF">
              <w:rPr>
                <w:rFonts w:cs="Calibri"/>
                <w:sz w:val="16"/>
                <w:szCs w:val="16"/>
              </w:rPr>
              <w:t>arettes through in</w:t>
            </w:r>
            <w:r w:rsidRPr="000F6DEF">
              <w:rPr>
                <w:rFonts w:cs="Calibri"/>
                <w:sz w:val="16"/>
                <w:szCs w:val="16"/>
              </w:rPr>
              <w:noBreakHyphen/>
              <w:t xml:space="preserve">person conversations (61% versus 48%), from POS locations (42% versus 30%), and through social media (18% versus 9%). </w:t>
            </w:r>
            <w:r w:rsidRPr="000F6DEF">
              <w:rPr>
                <w:rFonts w:cs="Calibri"/>
                <w:sz w:val="16"/>
                <w:szCs w:val="16"/>
              </w:rPr>
              <w:br/>
              <w:t xml:space="preserve">Perceptions: </w:t>
            </w:r>
            <w:r>
              <w:rPr>
                <w:rFonts w:cs="Calibri"/>
                <w:sz w:val="16"/>
                <w:szCs w:val="16"/>
              </w:rPr>
              <w:t>e</w:t>
            </w:r>
            <w:r>
              <w:rPr>
                <w:rFonts w:cs="Calibri"/>
                <w:sz w:val="16"/>
                <w:szCs w:val="16"/>
              </w:rPr>
              <w:noBreakHyphen/>
              <w:t>cig</w:t>
            </w:r>
            <w:r w:rsidRPr="000F6DEF">
              <w:rPr>
                <w:rFonts w:cs="Calibri"/>
                <w:sz w:val="16"/>
                <w:szCs w:val="16"/>
              </w:rPr>
              <w:t xml:space="preserve">arettes can help smokers quit smoking (58%) and that they are less harmful than conventional cigarettes (64%). Participants were unlikely, however, to believe that they are less addictive than conventional cigarettes (27%). </w:t>
            </w:r>
            <w:r w:rsidRPr="000F6DEF">
              <w:rPr>
                <w:rFonts w:cs="Calibri"/>
                <w:sz w:val="16"/>
                <w:szCs w:val="16"/>
              </w:rPr>
              <w:br/>
              <w:t xml:space="preserve">Top reasons for </w:t>
            </w:r>
            <w:r>
              <w:rPr>
                <w:rFonts w:cs="Calibri"/>
                <w:sz w:val="16"/>
                <w:szCs w:val="16"/>
              </w:rPr>
              <w:t>e</w:t>
            </w:r>
            <w:r>
              <w:rPr>
                <w:rFonts w:cs="Calibri"/>
                <w:sz w:val="16"/>
                <w:szCs w:val="16"/>
              </w:rPr>
              <w:noBreakHyphen/>
              <w:t>cig</w:t>
            </w:r>
            <w:r w:rsidRPr="000F6DEF">
              <w:rPr>
                <w:rFonts w:cs="Calibri"/>
                <w:sz w:val="16"/>
                <w:szCs w:val="16"/>
              </w:rPr>
              <w:t xml:space="preserve">arette use: to quit or reduce smoking (58%), curiosity/novelty (19%), because </w:t>
            </w:r>
            <w:r>
              <w:rPr>
                <w:rFonts w:cs="Calibri"/>
                <w:sz w:val="16"/>
                <w:szCs w:val="16"/>
              </w:rPr>
              <w:t>e</w:t>
            </w:r>
            <w:r>
              <w:rPr>
                <w:rFonts w:cs="Calibri"/>
                <w:sz w:val="16"/>
                <w:szCs w:val="16"/>
              </w:rPr>
              <w:noBreakHyphen/>
              <w:t>cig</w:t>
            </w:r>
            <w:r w:rsidRPr="000F6DEF">
              <w:rPr>
                <w:rFonts w:cs="Calibri"/>
                <w:sz w:val="16"/>
                <w:szCs w:val="16"/>
              </w:rPr>
              <w:t xml:space="preserve">arettes are cleaner/ less smelly or offensive than cigarettes (19%). Current smokers’ top reasons for not trying </w:t>
            </w:r>
            <w:r>
              <w:rPr>
                <w:rFonts w:cs="Calibri"/>
                <w:sz w:val="16"/>
                <w:szCs w:val="16"/>
              </w:rPr>
              <w:t>e</w:t>
            </w:r>
            <w:r>
              <w:rPr>
                <w:rFonts w:cs="Calibri"/>
                <w:sz w:val="16"/>
                <w:szCs w:val="16"/>
              </w:rPr>
              <w:noBreakHyphen/>
              <w:t>cig</w:t>
            </w:r>
            <w:r w:rsidRPr="000F6DEF">
              <w:rPr>
                <w:rFonts w:cs="Calibri"/>
                <w:sz w:val="16"/>
                <w:szCs w:val="16"/>
              </w:rPr>
              <w:t xml:space="preserve">arettes included safety and health (38%), expense (26%), less satisfaction or enjoyment than from cigarettes (18%), and addictive potential (12%). </w:t>
            </w:r>
          </w:p>
        </w:tc>
        <w:tc>
          <w:tcPr>
            <w:tcW w:w="4428" w:type="dxa"/>
          </w:tcPr>
          <w:p w14:paraId="7A239E6A"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Never, former, and current smokers have different reasons for wanting to try or avoid </w:t>
            </w:r>
            <w:r>
              <w:rPr>
                <w:rFonts w:cs="Calibri"/>
                <w:sz w:val="16"/>
                <w:szCs w:val="16"/>
              </w:rPr>
              <w:t>e</w:t>
            </w:r>
            <w:r>
              <w:rPr>
                <w:rFonts w:cs="Calibri"/>
                <w:sz w:val="16"/>
                <w:szCs w:val="16"/>
              </w:rPr>
              <w:noBreakHyphen/>
              <w:t>cig</w:t>
            </w:r>
            <w:r w:rsidRPr="000F6DEF">
              <w:rPr>
                <w:rFonts w:cs="Calibri"/>
                <w:sz w:val="16"/>
                <w:szCs w:val="16"/>
              </w:rPr>
              <w:t xml:space="preserve">arettes, and public health messages about </w:t>
            </w:r>
            <w:r>
              <w:rPr>
                <w:rFonts w:cs="Calibri"/>
                <w:sz w:val="16"/>
                <w:szCs w:val="16"/>
              </w:rPr>
              <w:t>e</w:t>
            </w:r>
            <w:r>
              <w:rPr>
                <w:rFonts w:cs="Calibri"/>
                <w:sz w:val="16"/>
                <w:szCs w:val="16"/>
              </w:rPr>
              <w:noBreakHyphen/>
              <w:t>cig</w:t>
            </w:r>
            <w:r w:rsidRPr="000F6DEF">
              <w:rPr>
                <w:rFonts w:cs="Calibri"/>
                <w:sz w:val="16"/>
                <w:szCs w:val="16"/>
              </w:rPr>
              <w:t>arettes may need to be tailored separately for these groups</w:t>
            </w:r>
          </w:p>
        </w:tc>
      </w:tr>
      <w:tr w:rsidR="00B85C33" w:rsidRPr="000F6DEF" w14:paraId="0E17311B" w14:textId="77777777" w:rsidTr="000376C7">
        <w:trPr>
          <w:trHeight w:val="94"/>
        </w:trPr>
        <w:tc>
          <w:tcPr>
            <w:cnfStyle w:val="001000000000" w:firstRow="0" w:lastRow="0" w:firstColumn="1" w:lastColumn="0" w:oddVBand="0" w:evenVBand="0" w:oddHBand="0" w:evenHBand="0" w:firstRowFirstColumn="0" w:firstRowLastColumn="0" w:lastRowFirstColumn="0" w:lastRowLastColumn="0"/>
            <w:tcW w:w="1435" w:type="dxa"/>
          </w:tcPr>
          <w:p w14:paraId="4EDB41CD" w14:textId="77777777" w:rsidR="00B85C33" w:rsidRPr="000F6DEF" w:rsidRDefault="00B85C33" w:rsidP="000376C7">
            <w:pPr>
              <w:rPr>
                <w:rFonts w:cs="Calibri"/>
                <w:sz w:val="16"/>
                <w:szCs w:val="16"/>
              </w:rPr>
            </w:pPr>
            <w:r w:rsidRPr="000F6DEF">
              <w:rPr>
                <w:rFonts w:cs="Calibri"/>
                <w:sz w:val="16"/>
                <w:szCs w:val="16"/>
              </w:rPr>
              <w:t>Bold, Kong, Cavallo et al.</w:t>
            </w:r>
          </w:p>
        </w:tc>
        <w:tc>
          <w:tcPr>
            <w:tcW w:w="2529" w:type="dxa"/>
          </w:tcPr>
          <w:p w14:paraId="4C783887"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This study aimed to examine whether items adapted for </w:t>
            </w:r>
            <w:r>
              <w:rPr>
                <w:rFonts w:cs="Calibri"/>
                <w:sz w:val="16"/>
                <w:szCs w:val="16"/>
              </w:rPr>
              <w:t>e</w:t>
            </w:r>
            <w:r>
              <w:rPr>
                <w:rFonts w:cs="Calibri"/>
                <w:sz w:val="16"/>
                <w:szCs w:val="16"/>
              </w:rPr>
              <w:noBreakHyphen/>
              <w:t>cig</w:t>
            </w:r>
            <w:r w:rsidRPr="000F6DEF">
              <w:rPr>
                <w:rFonts w:cs="Calibri"/>
                <w:sz w:val="16"/>
                <w:szCs w:val="16"/>
              </w:rPr>
              <w:t xml:space="preserve">arette susceptibility predicted subsequent </w:t>
            </w:r>
            <w:r>
              <w:rPr>
                <w:rFonts w:cs="Calibri"/>
                <w:sz w:val="16"/>
                <w:szCs w:val="16"/>
              </w:rPr>
              <w:t>e</w:t>
            </w:r>
            <w:r>
              <w:rPr>
                <w:rFonts w:cs="Calibri"/>
                <w:sz w:val="16"/>
                <w:szCs w:val="16"/>
              </w:rPr>
              <w:noBreakHyphen/>
              <w:t>cig</w:t>
            </w:r>
            <w:r w:rsidRPr="000F6DEF">
              <w:rPr>
                <w:rFonts w:cs="Calibri"/>
                <w:sz w:val="16"/>
                <w:szCs w:val="16"/>
              </w:rPr>
              <w:t xml:space="preserve">arette use among never </w:t>
            </w:r>
            <w:r>
              <w:rPr>
                <w:rFonts w:cs="Calibri"/>
                <w:sz w:val="16"/>
                <w:szCs w:val="16"/>
              </w:rPr>
              <w:t>e</w:t>
            </w:r>
            <w:r>
              <w:rPr>
                <w:rFonts w:cs="Calibri"/>
                <w:sz w:val="16"/>
                <w:szCs w:val="16"/>
              </w:rPr>
              <w:noBreakHyphen/>
              <w:t>cig</w:t>
            </w:r>
            <w:r w:rsidRPr="000F6DEF">
              <w:rPr>
                <w:rFonts w:cs="Calibri"/>
                <w:sz w:val="16"/>
                <w:szCs w:val="16"/>
              </w:rPr>
              <w:t xml:space="preserve">arette users. </w:t>
            </w:r>
          </w:p>
        </w:tc>
        <w:tc>
          <w:tcPr>
            <w:tcW w:w="6521" w:type="dxa"/>
          </w:tcPr>
          <w:p w14:paraId="3B1D71D4"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Comparing demographics between susceptible (n=489) and non</w:t>
            </w:r>
            <w:r w:rsidRPr="000F6DEF">
              <w:rPr>
                <w:rFonts w:cs="Calibri"/>
                <w:sz w:val="16"/>
                <w:szCs w:val="16"/>
              </w:rPr>
              <w:noBreakHyphen/>
              <w:t>susceptible (n=1231) youth indicated susceptible youth are slightly older (14.7 ± 1.8 vs. 14.5 ± 2.0 non</w:t>
            </w:r>
            <w:r w:rsidRPr="000F6DEF">
              <w:rPr>
                <w:rFonts w:cs="Calibri"/>
                <w:sz w:val="16"/>
                <w:szCs w:val="16"/>
              </w:rPr>
              <w:noBreakHyphen/>
              <w:t>susceptible, p=0.02), more likely to be male (51.9 vs. 43.8% non</w:t>
            </w:r>
            <w:r w:rsidRPr="000F6DEF">
              <w:rPr>
                <w:rFonts w:cs="Calibri"/>
                <w:sz w:val="16"/>
                <w:szCs w:val="16"/>
              </w:rPr>
              <w:noBreakHyphen/>
              <w:t>susceptible, p=0.002) and report ever use of other tobacco products (8.2 vs. 1.9% non</w:t>
            </w:r>
            <w:r w:rsidRPr="000F6DEF">
              <w:rPr>
                <w:rFonts w:cs="Calibri"/>
                <w:sz w:val="16"/>
                <w:szCs w:val="16"/>
              </w:rPr>
              <w:noBreakHyphen/>
              <w:t>susceptible, p&lt;0.001), alcohol (24.7 vs. 10.0% non</w:t>
            </w:r>
            <w:r w:rsidRPr="000F6DEF">
              <w:rPr>
                <w:rFonts w:cs="Calibri"/>
                <w:sz w:val="16"/>
                <w:szCs w:val="16"/>
              </w:rPr>
              <w:noBreakHyphen/>
              <w:t>susceptible, p&lt;0.001), and marijuana (5.1 vs. 1.5% non</w:t>
            </w:r>
            <w:r w:rsidRPr="000F6DEF">
              <w:rPr>
                <w:rFonts w:cs="Calibri"/>
                <w:sz w:val="16"/>
                <w:szCs w:val="16"/>
              </w:rPr>
              <w:noBreakHyphen/>
              <w:t xml:space="preserve">susceptible, p&lt;0.001). Susceptibility did not differ by race or school SES. </w:t>
            </w:r>
            <w:r w:rsidRPr="000F6DEF">
              <w:rPr>
                <w:rFonts w:cs="Calibri"/>
                <w:sz w:val="16"/>
                <w:szCs w:val="16"/>
              </w:rPr>
              <w:br/>
              <w:t xml:space="preserve">Six months later, 8.9% (n=153) of youth initiated </w:t>
            </w:r>
            <w:r>
              <w:rPr>
                <w:rFonts w:cs="Calibri"/>
                <w:sz w:val="16"/>
                <w:szCs w:val="16"/>
              </w:rPr>
              <w:t>e</w:t>
            </w:r>
            <w:r>
              <w:rPr>
                <w:rFonts w:cs="Calibri"/>
                <w:sz w:val="16"/>
                <w:szCs w:val="16"/>
              </w:rPr>
              <w:noBreakHyphen/>
              <w:t>cig</w:t>
            </w:r>
            <w:r w:rsidRPr="000F6DEF">
              <w:rPr>
                <w:rFonts w:cs="Calibri"/>
                <w:sz w:val="16"/>
                <w:szCs w:val="16"/>
              </w:rPr>
              <w:t>arettes and 3.7% (n=63) reported past 30</w:t>
            </w:r>
            <w:r w:rsidRPr="000F6DEF">
              <w:rPr>
                <w:rFonts w:cs="Calibri"/>
                <w:sz w:val="16"/>
                <w:szCs w:val="16"/>
              </w:rPr>
              <w:noBreakHyphen/>
              <w:t xml:space="preserve">day use of </w:t>
            </w:r>
            <w:r>
              <w:rPr>
                <w:rFonts w:cs="Calibri"/>
                <w:sz w:val="16"/>
                <w:szCs w:val="16"/>
              </w:rPr>
              <w:t>e</w:t>
            </w:r>
            <w:r>
              <w:rPr>
                <w:rFonts w:cs="Calibri"/>
                <w:sz w:val="16"/>
                <w:szCs w:val="16"/>
              </w:rPr>
              <w:noBreakHyphen/>
              <w:t>cig</w:t>
            </w:r>
            <w:r w:rsidRPr="000F6DEF">
              <w:rPr>
                <w:rFonts w:cs="Calibri"/>
                <w:sz w:val="16"/>
                <w:szCs w:val="16"/>
              </w:rPr>
              <w:t xml:space="preserve">arettes. By comparison, 3.1% (n=53) of youth initiated conventional cigarettes </w:t>
            </w:r>
            <w:r w:rsidRPr="000F6DEF">
              <w:rPr>
                <w:rFonts w:cs="Calibri"/>
                <w:sz w:val="16"/>
                <w:szCs w:val="16"/>
              </w:rPr>
              <w:lastRenderedPageBreak/>
              <w:t>and 0.9% (n=16) reported past 30</w:t>
            </w:r>
            <w:r w:rsidRPr="000F6DEF">
              <w:rPr>
                <w:rFonts w:cs="Calibri"/>
                <w:sz w:val="16"/>
                <w:szCs w:val="16"/>
              </w:rPr>
              <w:noBreakHyphen/>
              <w:t>day use of cigarettes 6 months later</w:t>
            </w:r>
            <w:r w:rsidRPr="000F6DEF">
              <w:rPr>
                <w:rFonts w:cs="Calibri"/>
                <w:sz w:val="16"/>
                <w:szCs w:val="16"/>
              </w:rPr>
              <w:br/>
              <w:t xml:space="preserve"> The results indicated that </w:t>
            </w:r>
            <w:r>
              <w:rPr>
                <w:rFonts w:cs="Calibri"/>
                <w:sz w:val="16"/>
                <w:szCs w:val="16"/>
              </w:rPr>
              <w:t>e</w:t>
            </w:r>
            <w:r>
              <w:rPr>
                <w:rFonts w:cs="Calibri"/>
                <w:sz w:val="16"/>
                <w:szCs w:val="16"/>
              </w:rPr>
              <w:noBreakHyphen/>
              <w:t>cig</w:t>
            </w:r>
            <w:r w:rsidRPr="000F6DEF">
              <w:rPr>
                <w:rFonts w:cs="Calibri"/>
                <w:sz w:val="16"/>
                <w:szCs w:val="16"/>
              </w:rPr>
              <w:t>arette susceptibility was a significant independent predictor of future initiation and past 30</w:t>
            </w:r>
            <w:r w:rsidRPr="000F6DEF">
              <w:rPr>
                <w:rFonts w:cs="Calibri"/>
                <w:sz w:val="16"/>
                <w:szCs w:val="16"/>
              </w:rPr>
              <w:noBreakHyphen/>
              <w:t xml:space="preserve">day use of </w:t>
            </w:r>
            <w:r>
              <w:rPr>
                <w:rFonts w:cs="Calibri"/>
                <w:sz w:val="16"/>
                <w:szCs w:val="16"/>
              </w:rPr>
              <w:t>e</w:t>
            </w:r>
            <w:r>
              <w:rPr>
                <w:rFonts w:cs="Calibri"/>
                <w:sz w:val="16"/>
                <w:szCs w:val="16"/>
              </w:rPr>
              <w:noBreakHyphen/>
              <w:t>cig</w:t>
            </w:r>
            <w:r w:rsidRPr="000F6DEF">
              <w:rPr>
                <w:rFonts w:cs="Calibri"/>
                <w:sz w:val="16"/>
                <w:szCs w:val="16"/>
              </w:rPr>
              <w:t>arettes</w:t>
            </w:r>
          </w:p>
        </w:tc>
        <w:tc>
          <w:tcPr>
            <w:tcW w:w="4428" w:type="dxa"/>
          </w:tcPr>
          <w:p w14:paraId="73A4A33C" w14:textId="55F9907B"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lastRenderedPageBreak/>
              <w:t xml:space="preserve">These findings provide initial support for adapting two susceptibility items to identify adolescents at risk for future </w:t>
            </w:r>
            <w:r>
              <w:rPr>
                <w:rFonts w:cs="Calibri"/>
                <w:sz w:val="16"/>
                <w:szCs w:val="16"/>
              </w:rPr>
              <w:t>e</w:t>
            </w:r>
            <w:r>
              <w:rPr>
                <w:rFonts w:cs="Calibri"/>
                <w:sz w:val="16"/>
                <w:szCs w:val="16"/>
              </w:rPr>
              <w:noBreakHyphen/>
              <w:t>cig</w:t>
            </w:r>
            <w:r w:rsidRPr="000F6DEF">
              <w:rPr>
                <w:rFonts w:cs="Calibri"/>
                <w:sz w:val="16"/>
                <w:szCs w:val="16"/>
              </w:rPr>
              <w:t>arette use.</w:t>
            </w:r>
            <w:r w:rsidRPr="000F6DEF">
              <w:rPr>
                <w:rFonts w:cs="Calibri"/>
                <w:sz w:val="16"/>
                <w:szCs w:val="16"/>
              </w:rPr>
              <w:br/>
              <w:t xml:space="preserve">The robust relationship between </w:t>
            </w:r>
            <w:r>
              <w:rPr>
                <w:rFonts w:cs="Calibri"/>
                <w:sz w:val="16"/>
                <w:szCs w:val="16"/>
              </w:rPr>
              <w:t>e</w:t>
            </w:r>
            <w:r>
              <w:rPr>
                <w:rFonts w:cs="Calibri"/>
                <w:sz w:val="16"/>
                <w:szCs w:val="16"/>
              </w:rPr>
              <w:noBreakHyphen/>
              <w:t>cig</w:t>
            </w:r>
            <w:r w:rsidRPr="000F6DEF">
              <w:rPr>
                <w:rFonts w:cs="Calibri"/>
                <w:sz w:val="16"/>
                <w:szCs w:val="16"/>
              </w:rPr>
              <w:t xml:space="preserve">arette susceptibility and future use suggests these items can predict which adolescents are at risk for trying </w:t>
            </w:r>
            <w:r>
              <w:rPr>
                <w:rFonts w:cs="Calibri"/>
                <w:sz w:val="16"/>
                <w:szCs w:val="16"/>
              </w:rPr>
              <w:t>e</w:t>
            </w:r>
            <w:r>
              <w:rPr>
                <w:rFonts w:cs="Calibri"/>
                <w:sz w:val="16"/>
                <w:szCs w:val="16"/>
              </w:rPr>
              <w:noBreakHyphen/>
              <w:t>cig</w:t>
            </w:r>
            <w:r w:rsidRPr="000F6DEF">
              <w:rPr>
                <w:rFonts w:cs="Calibri"/>
                <w:sz w:val="16"/>
                <w:szCs w:val="16"/>
              </w:rPr>
              <w:t>arettes in the future</w:t>
            </w:r>
          </w:p>
        </w:tc>
      </w:tr>
      <w:tr w:rsidR="00B85C33" w:rsidRPr="000F6DEF" w14:paraId="4B9F463D" w14:textId="77777777" w:rsidTr="000376C7">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1435" w:type="dxa"/>
          </w:tcPr>
          <w:p w14:paraId="2AC39979" w14:textId="77777777" w:rsidR="00B85C33" w:rsidRPr="000F6DEF" w:rsidRDefault="00B85C33" w:rsidP="000376C7">
            <w:pPr>
              <w:rPr>
                <w:rFonts w:cs="Calibri"/>
                <w:sz w:val="16"/>
                <w:szCs w:val="16"/>
              </w:rPr>
            </w:pPr>
            <w:r w:rsidRPr="000F6DEF">
              <w:rPr>
                <w:rFonts w:cs="Calibri"/>
                <w:sz w:val="16"/>
                <w:szCs w:val="16"/>
              </w:rPr>
              <w:t>Bold, Morean, Kong et al</w:t>
            </w:r>
          </w:p>
        </w:tc>
        <w:tc>
          <w:tcPr>
            <w:tcW w:w="2529" w:type="dxa"/>
          </w:tcPr>
          <w:p w14:paraId="2CE3876E"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The current study examined whether an early age of onset of </w:t>
            </w:r>
            <w:r>
              <w:rPr>
                <w:rFonts w:cs="Calibri"/>
                <w:sz w:val="16"/>
                <w:szCs w:val="16"/>
              </w:rPr>
              <w:t>e</w:t>
            </w:r>
            <w:r>
              <w:rPr>
                <w:rFonts w:cs="Calibri"/>
                <w:sz w:val="16"/>
                <w:szCs w:val="16"/>
              </w:rPr>
              <w:noBreakHyphen/>
              <w:t>cig</w:t>
            </w:r>
            <w:r w:rsidRPr="000F6DEF">
              <w:rPr>
                <w:rFonts w:cs="Calibri"/>
                <w:sz w:val="16"/>
                <w:szCs w:val="16"/>
              </w:rPr>
              <w:t xml:space="preserve">arette use mediates the association between impulsivity and </w:t>
            </w:r>
            <w:r>
              <w:rPr>
                <w:rFonts w:cs="Calibri"/>
                <w:sz w:val="16"/>
                <w:szCs w:val="16"/>
              </w:rPr>
              <w:t>e</w:t>
            </w:r>
            <w:r>
              <w:rPr>
                <w:rFonts w:cs="Calibri"/>
                <w:sz w:val="16"/>
                <w:szCs w:val="16"/>
              </w:rPr>
              <w:noBreakHyphen/>
              <w:t>cig</w:t>
            </w:r>
            <w:r w:rsidRPr="000F6DEF">
              <w:rPr>
                <w:rFonts w:cs="Calibri"/>
                <w:sz w:val="16"/>
                <w:szCs w:val="16"/>
              </w:rPr>
              <w:t xml:space="preserve">arette frequency. </w:t>
            </w:r>
          </w:p>
        </w:tc>
        <w:tc>
          <w:tcPr>
            <w:tcW w:w="6521" w:type="dxa"/>
          </w:tcPr>
          <w:p w14:paraId="2FCF63F3"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Ever use </w:t>
            </w:r>
            <w:r>
              <w:rPr>
                <w:rFonts w:cs="Calibri"/>
                <w:sz w:val="16"/>
                <w:szCs w:val="16"/>
              </w:rPr>
              <w:t>e</w:t>
            </w:r>
            <w:r>
              <w:rPr>
                <w:rFonts w:cs="Calibri"/>
                <w:sz w:val="16"/>
                <w:szCs w:val="16"/>
              </w:rPr>
              <w:noBreakHyphen/>
              <w:t>cig</w:t>
            </w:r>
            <w:r w:rsidRPr="000F6DEF">
              <w:rPr>
                <w:rFonts w:cs="Calibri"/>
                <w:sz w:val="16"/>
                <w:szCs w:val="16"/>
              </w:rPr>
              <w:t>arette 26.8% of 3474</w:t>
            </w:r>
            <w:r w:rsidRPr="000F6DEF">
              <w:rPr>
                <w:rFonts w:cs="Calibri"/>
                <w:sz w:val="16"/>
                <w:szCs w:val="16"/>
              </w:rPr>
              <w:br/>
              <w:t xml:space="preserve">results indicate that youth </w:t>
            </w:r>
            <w:r>
              <w:rPr>
                <w:rFonts w:cs="Calibri"/>
                <w:sz w:val="16"/>
                <w:szCs w:val="16"/>
              </w:rPr>
              <w:t>e</w:t>
            </w:r>
            <w:r>
              <w:rPr>
                <w:rFonts w:cs="Calibri"/>
                <w:sz w:val="16"/>
                <w:szCs w:val="16"/>
              </w:rPr>
              <w:noBreakHyphen/>
              <w:t>cig</w:t>
            </w:r>
            <w:r w:rsidRPr="000F6DEF">
              <w:rPr>
                <w:rFonts w:cs="Calibri"/>
                <w:sz w:val="16"/>
                <w:szCs w:val="16"/>
              </w:rPr>
              <w:t>arette users who had greater impaired self</w:t>
            </w:r>
            <w:r w:rsidRPr="000F6DEF">
              <w:rPr>
                <w:rFonts w:cs="Calibri"/>
                <w:sz w:val="16"/>
                <w:szCs w:val="16"/>
              </w:rPr>
              <w:noBreakHyphen/>
              <w:t xml:space="preserve">regulation and behavioural impulsivity were more likely to try </w:t>
            </w:r>
            <w:r>
              <w:rPr>
                <w:rFonts w:cs="Calibri"/>
                <w:sz w:val="16"/>
                <w:szCs w:val="16"/>
              </w:rPr>
              <w:t>e</w:t>
            </w:r>
            <w:r>
              <w:rPr>
                <w:rFonts w:cs="Calibri"/>
                <w:sz w:val="16"/>
                <w:szCs w:val="16"/>
              </w:rPr>
              <w:noBreakHyphen/>
              <w:t>cig</w:t>
            </w:r>
            <w:r w:rsidRPr="000F6DEF">
              <w:rPr>
                <w:rFonts w:cs="Calibri"/>
                <w:sz w:val="16"/>
                <w:szCs w:val="16"/>
              </w:rPr>
              <w:t xml:space="preserve">arettes at an earlier age, and that earlier initiation was associated with using </w:t>
            </w:r>
            <w:r>
              <w:rPr>
                <w:rFonts w:cs="Calibri"/>
                <w:sz w:val="16"/>
                <w:szCs w:val="16"/>
              </w:rPr>
              <w:t>e</w:t>
            </w:r>
            <w:r>
              <w:rPr>
                <w:rFonts w:cs="Calibri"/>
                <w:sz w:val="16"/>
                <w:szCs w:val="16"/>
              </w:rPr>
              <w:noBreakHyphen/>
              <w:t>cig</w:t>
            </w:r>
            <w:r w:rsidRPr="000F6DEF">
              <w:rPr>
                <w:rFonts w:cs="Calibri"/>
                <w:sz w:val="16"/>
                <w:szCs w:val="16"/>
              </w:rPr>
              <w:t xml:space="preserve">arettes on more days in the past month. </w:t>
            </w:r>
          </w:p>
        </w:tc>
        <w:tc>
          <w:tcPr>
            <w:tcW w:w="4428" w:type="dxa"/>
          </w:tcPr>
          <w:p w14:paraId="423A24B7" w14:textId="62289CB8"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Adolescents who endorse aspects of impulsivity, such as acting without thinking, are at greater risk for more frequent </w:t>
            </w:r>
            <w:r>
              <w:rPr>
                <w:rFonts w:cs="Calibri"/>
                <w:sz w:val="16"/>
                <w:szCs w:val="16"/>
              </w:rPr>
              <w:t>e</w:t>
            </w:r>
            <w:r>
              <w:rPr>
                <w:rFonts w:cs="Calibri"/>
                <w:sz w:val="16"/>
                <w:szCs w:val="16"/>
              </w:rPr>
              <w:noBreakHyphen/>
              <w:t>cig</w:t>
            </w:r>
            <w:r w:rsidRPr="000F6DEF">
              <w:rPr>
                <w:rFonts w:cs="Calibri"/>
                <w:sz w:val="16"/>
                <w:szCs w:val="16"/>
              </w:rPr>
              <w:t xml:space="preserve">arette use through an early age of </w:t>
            </w:r>
            <w:r>
              <w:rPr>
                <w:rFonts w:cs="Calibri"/>
                <w:sz w:val="16"/>
                <w:szCs w:val="16"/>
              </w:rPr>
              <w:t>e</w:t>
            </w:r>
            <w:r>
              <w:rPr>
                <w:rFonts w:cs="Calibri"/>
                <w:sz w:val="16"/>
                <w:szCs w:val="16"/>
              </w:rPr>
              <w:noBreakHyphen/>
              <w:t>cig</w:t>
            </w:r>
            <w:r w:rsidRPr="000F6DEF">
              <w:rPr>
                <w:rFonts w:cs="Calibri"/>
                <w:sz w:val="16"/>
                <w:szCs w:val="16"/>
              </w:rPr>
              <w:t xml:space="preserve">arette initiation. </w:t>
            </w:r>
          </w:p>
        </w:tc>
      </w:tr>
      <w:tr w:rsidR="00B85C33" w:rsidRPr="000F6DEF" w14:paraId="50E4BFFE" w14:textId="77777777" w:rsidTr="000376C7">
        <w:trPr>
          <w:trHeight w:val="94"/>
        </w:trPr>
        <w:tc>
          <w:tcPr>
            <w:cnfStyle w:val="001000000000" w:firstRow="0" w:lastRow="0" w:firstColumn="1" w:lastColumn="0" w:oddVBand="0" w:evenVBand="0" w:oddHBand="0" w:evenHBand="0" w:firstRowFirstColumn="0" w:firstRowLastColumn="0" w:lastRowFirstColumn="0" w:lastRowLastColumn="0"/>
            <w:tcW w:w="1435" w:type="dxa"/>
          </w:tcPr>
          <w:p w14:paraId="3856701F" w14:textId="77777777" w:rsidR="00B85C33" w:rsidRPr="000F6DEF" w:rsidRDefault="00B85C33" w:rsidP="000376C7">
            <w:pPr>
              <w:rPr>
                <w:rFonts w:cs="Calibri"/>
                <w:sz w:val="16"/>
                <w:szCs w:val="16"/>
              </w:rPr>
            </w:pPr>
            <w:r w:rsidRPr="000F6DEF">
              <w:rPr>
                <w:rFonts w:cs="Calibri"/>
                <w:sz w:val="16"/>
                <w:szCs w:val="16"/>
              </w:rPr>
              <w:t>Bold, Sussman, O'Malley et al</w:t>
            </w:r>
          </w:p>
        </w:tc>
        <w:tc>
          <w:tcPr>
            <w:tcW w:w="2529" w:type="dxa"/>
          </w:tcPr>
          <w:p w14:paraId="6718268F" w14:textId="3C237A8B"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The Tobacco Center for Regulatory Science (TCORS) Measurement Workgroup was convened to consider aspects to include in a measure of </w:t>
            </w:r>
            <w:r>
              <w:rPr>
                <w:rFonts w:cs="Calibri"/>
                <w:sz w:val="16"/>
                <w:szCs w:val="16"/>
              </w:rPr>
              <w:t>e</w:t>
            </w:r>
            <w:r>
              <w:rPr>
                <w:rFonts w:cs="Calibri"/>
                <w:sz w:val="16"/>
                <w:szCs w:val="16"/>
              </w:rPr>
              <w:noBreakHyphen/>
              <w:t>cig</w:t>
            </w:r>
            <w:r w:rsidRPr="000F6DEF">
              <w:rPr>
                <w:rFonts w:cs="Calibri"/>
                <w:sz w:val="16"/>
                <w:szCs w:val="16"/>
              </w:rPr>
              <w:t>arette dependence</w:t>
            </w:r>
            <w:r w:rsidR="005500FC">
              <w:rPr>
                <w:rFonts w:cs="Calibri"/>
                <w:sz w:val="16"/>
                <w:szCs w:val="16"/>
              </w:rPr>
              <w:t>.</w:t>
            </w:r>
          </w:p>
        </w:tc>
        <w:tc>
          <w:tcPr>
            <w:tcW w:w="6521" w:type="dxa"/>
          </w:tcPr>
          <w:p w14:paraId="248C18DD"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Constructs to consider: Quantity and frequency of use; tolerance; perceived benefits; withdrawal symptoms; cravings/urges; use despite harm; impaired control; automaticity; preferred over competing rewards; sensory dependence</w:t>
            </w:r>
          </w:p>
        </w:tc>
        <w:tc>
          <w:tcPr>
            <w:tcW w:w="4428" w:type="dxa"/>
          </w:tcPr>
          <w:p w14:paraId="2DA292C1"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The purpose of this manuscript is to provide guidance on domains or constructs to consider when developing a measure of </w:t>
            </w:r>
            <w:r>
              <w:rPr>
                <w:rFonts w:cs="Calibri"/>
                <w:sz w:val="16"/>
                <w:szCs w:val="16"/>
              </w:rPr>
              <w:t>e</w:t>
            </w:r>
            <w:r>
              <w:rPr>
                <w:rFonts w:cs="Calibri"/>
                <w:sz w:val="16"/>
                <w:szCs w:val="16"/>
              </w:rPr>
              <w:noBreakHyphen/>
              <w:t>cig</w:t>
            </w:r>
            <w:r w:rsidRPr="000F6DEF">
              <w:rPr>
                <w:rFonts w:cs="Calibri"/>
                <w:sz w:val="16"/>
                <w:szCs w:val="16"/>
              </w:rPr>
              <w:t>arette dependence</w:t>
            </w:r>
          </w:p>
        </w:tc>
      </w:tr>
      <w:tr w:rsidR="00B85C33" w:rsidRPr="000F6DEF" w14:paraId="58ACDEB1" w14:textId="77777777" w:rsidTr="000376C7">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1435" w:type="dxa"/>
          </w:tcPr>
          <w:p w14:paraId="72A650DB" w14:textId="77777777" w:rsidR="00B85C33" w:rsidRPr="000F6DEF" w:rsidRDefault="00B85C33" w:rsidP="000376C7">
            <w:pPr>
              <w:rPr>
                <w:rFonts w:cs="Calibri"/>
                <w:sz w:val="16"/>
                <w:szCs w:val="16"/>
              </w:rPr>
            </w:pPr>
            <w:r w:rsidRPr="000F6DEF">
              <w:rPr>
                <w:rFonts w:cs="Calibri"/>
                <w:sz w:val="16"/>
                <w:szCs w:val="16"/>
              </w:rPr>
              <w:t>Brikmanis, Petersen, Doran</w:t>
            </w:r>
          </w:p>
        </w:tc>
        <w:tc>
          <w:tcPr>
            <w:tcW w:w="2529" w:type="dxa"/>
          </w:tcPr>
          <w:p w14:paraId="7178DCBD" w14:textId="37AFC52B"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The purpose of the present study was to prospectively investigate perceptions of </w:t>
            </w:r>
            <w:r>
              <w:rPr>
                <w:rFonts w:cs="Calibri"/>
                <w:sz w:val="16"/>
                <w:szCs w:val="16"/>
              </w:rPr>
              <w:t>e</w:t>
            </w:r>
            <w:r>
              <w:rPr>
                <w:rFonts w:cs="Calibri"/>
                <w:sz w:val="16"/>
                <w:szCs w:val="16"/>
              </w:rPr>
              <w:noBreakHyphen/>
              <w:t>cig</w:t>
            </w:r>
            <w:r w:rsidRPr="000F6DEF">
              <w:rPr>
                <w:rFonts w:cs="Calibri"/>
                <w:sz w:val="16"/>
                <w:szCs w:val="16"/>
              </w:rPr>
              <w:t xml:space="preserve">arettes, cigarette smoking intentions, and their associations with </w:t>
            </w:r>
            <w:r>
              <w:rPr>
                <w:rFonts w:cs="Calibri"/>
                <w:sz w:val="16"/>
                <w:szCs w:val="16"/>
              </w:rPr>
              <w:t>e</w:t>
            </w:r>
            <w:r>
              <w:rPr>
                <w:rFonts w:cs="Calibri"/>
                <w:sz w:val="16"/>
                <w:szCs w:val="16"/>
              </w:rPr>
              <w:noBreakHyphen/>
              <w:t>cig</w:t>
            </w:r>
            <w:r w:rsidRPr="000F6DEF">
              <w:rPr>
                <w:rFonts w:cs="Calibri"/>
                <w:sz w:val="16"/>
                <w:szCs w:val="16"/>
              </w:rPr>
              <w:t>arette use over time</w:t>
            </w:r>
            <w:r w:rsidR="005500FC">
              <w:rPr>
                <w:rFonts w:cs="Calibri"/>
                <w:sz w:val="16"/>
                <w:szCs w:val="16"/>
              </w:rPr>
              <w:t>.</w:t>
            </w:r>
          </w:p>
        </w:tc>
        <w:tc>
          <w:tcPr>
            <w:tcW w:w="6521" w:type="dxa"/>
          </w:tcPr>
          <w:p w14:paraId="44B9302D" w14:textId="3338F0D1"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Ever use </w:t>
            </w:r>
            <w:r>
              <w:rPr>
                <w:rFonts w:cs="Calibri"/>
                <w:sz w:val="16"/>
                <w:szCs w:val="16"/>
              </w:rPr>
              <w:t>e</w:t>
            </w:r>
            <w:r>
              <w:rPr>
                <w:rFonts w:cs="Calibri"/>
                <w:sz w:val="16"/>
                <w:szCs w:val="16"/>
              </w:rPr>
              <w:noBreakHyphen/>
              <w:t>cig</w:t>
            </w:r>
            <w:r w:rsidRPr="000F6DEF">
              <w:rPr>
                <w:rFonts w:cs="Calibri"/>
                <w:sz w:val="16"/>
                <w:szCs w:val="16"/>
              </w:rPr>
              <w:t xml:space="preserve">arette 33%; 22% in last 9mo those who smoked cigarettes more frequently also used </w:t>
            </w:r>
            <w:r>
              <w:rPr>
                <w:rFonts w:cs="Calibri"/>
                <w:sz w:val="16"/>
                <w:szCs w:val="16"/>
              </w:rPr>
              <w:t>e</w:t>
            </w:r>
            <w:r>
              <w:rPr>
                <w:rFonts w:cs="Calibri"/>
                <w:sz w:val="16"/>
                <w:szCs w:val="16"/>
              </w:rPr>
              <w:noBreakHyphen/>
              <w:t>cig</w:t>
            </w:r>
            <w:r w:rsidRPr="000F6DEF">
              <w:rPr>
                <w:rFonts w:cs="Calibri"/>
                <w:sz w:val="16"/>
                <w:szCs w:val="16"/>
              </w:rPr>
              <w:t>arettes more frequently.</w:t>
            </w:r>
            <w:r w:rsidR="008146F9">
              <w:rPr>
                <w:rFonts w:cs="Calibri"/>
                <w:sz w:val="16"/>
                <w:szCs w:val="16"/>
              </w:rPr>
              <w:t xml:space="preserve"> </w:t>
            </w:r>
            <w:r w:rsidRPr="000F6DEF">
              <w:rPr>
                <w:rFonts w:cs="Calibri"/>
                <w:sz w:val="16"/>
                <w:szCs w:val="16"/>
              </w:rPr>
              <w:t xml:space="preserve">This association did not change over time. Student status was a significant predictor of </w:t>
            </w:r>
            <w:r>
              <w:rPr>
                <w:rFonts w:cs="Calibri"/>
                <w:sz w:val="16"/>
                <w:szCs w:val="16"/>
              </w:rPr>
              <w:t>e</w:t>
            </w:r>
            <w:r>
              <w:rPr>
                <w:rFonts w:cs="Calibri"/>
                <w:sz w:val="16"/>
                <w:szCs w:val="16"/>
              </w:rPr>
              <w:noBreakHyphen/>
              <w:t>cig</w:t>
            </w:r>
            <w:r w:rsidRPr="000F6DEF">
              <w:rPr>
                <w:rFonts w:cs="Calibri"/>
                <w:sz w:val="16"/>
                <w:szCs w:val="16"/>
              </w:rPr>
              <w:t>arette use in all models except the expectancies and circumvention models (ds</w:t>
            </w:r>
            <w:r w:rsidR="008146F9">
              <w:rPr>
                <w:rFonts w:cs="Calibri"/>
                <w:sz w:val="16"/>
                <w:szCs w:val="16"/>
              </w:rPr>
              <w:t xml:space="preserve"> </w:t>
            </w:r>
            <w:r w:rsidRPr="000F6DEF">
              <w:rPr>
                <w:rFonts w:cs="Calibri"/>
                <w:sz w:val="16"/>
                <w:szCs w:val="16"/>
              </w:rPr>
              <w:t xml:space="preserve">0.13 to 0.11; zs 2.48 to 2.03; ps .05), indicating that students used </w:t>
            </w:r>
            <w:r>
              <w:rPr>
                <w:rFonts w:cs="Calibri"/>
                <w:sz w:val="16"/>
                <w:szCs w:val="16"/>
              </w:rPr>
              <w:t>e</w:t>
            </w:r>
            <w:r>
              <w:rPr>
                <w:rFonts w:cs="Calibri"/>
                <w:sz w:val="16"/>
                <w:szCs w:val="16"/>
              </w:rPr>
              <w:noBreakHyphen/>
              <w:t>cig</w:t>
            </w:r>
            <w:r w:rsidRPr="000F6DEF">
              <w:rPr>
                <w:rFonts w:cs="Calibri"/>
                <w:sz w:val="16"/>
                <w:szCs w:val="16"/>
              </w:rPr>
              <w:t xml:space="preserve">arettes less frequently. No changes over time. Frequency of using </w:t>
            </w:r>
            <w:r>
              <w:rPr>
                <w:rFonts w:cs="Calibri"/>
                <w:sz w:val="16"/>
                <w:szCs w:val="16"/>
              </w:rPr>
              <w:t>e</w:t>
            </w:r>
            <w:r>
              <w:rPr>
                <w:rFonts w:cs="Calibri"/>
                <w:sz w:val="16"/>
                <w:szCs w:val="16"/>
              </w:rPr>
              <w:noBreakHyphen/>
              <w:t>cig</w:t>
            </w:r>
            <w:r w:rsidRPr="000F6DEF">
              <w:rPr>
                <w:rFonts w:cs="Calibri"/>
                <w:sz w:val="16"/>
                <w:szCs w:val="16"/>
              </w:rPr>
              <w:t>arettes to circumvent smoking bans was also a significant predictor (d</w:t>
            </w:r>
            <w:r w:rsidR="008146F9">
              <w:rPr>
                <w:rFonts w:cs="Calibri"/>
                <w:sz w:val="16"/>
                <w:szCs w:val="16"/>
              </w:rPr>
              <w:t xml:space="preserve"> </w:t>
            </w:r>
            <w:r w:rsidRPr="000F6DEF">
              <w:rPr>
                <w:rFonts w:cs="Calibri"/>
                <w:sz w:val="16"/>
                <w:szCs w:val="16"/>
              </w:rPr>
              <w:t>0.24, z</w:t>
            </w:r>
            <w:r w:rsidR="008146F9">
              <w:rPr>
                <w:rFonts w:cs="Calibri"/>
                <w:sz w:val="16"/>
                <w:szCs w:val="16"/>
              </w:rPr>
              <w:t xml:space="preserve"> </w:t>
            </w:r>
            <w:r w:rsidRPr="000F6DEF">
              <w:rPr>
                <w:rFonts w:cs="Calibri"/>
                <w:sz w:val="16"/>
                <w:szCs w:val="16"/>
              </w:rPr>
              <w:t xml:space="preserve">4.08, p .001), such that those who reported doing so more often tended to use </w:t>
            </w:r>
            <w:r>
              <w:rPr>
                <w:rFonts w:cs="Calibri"/>
                <w:sz w:val="16"/>
                <w:szCs w:val="16"/>
              </w:rPr>
              <w:t>e</w:t>
            </w:r>
            <w:r>
              <w:rPr>
                <w:rFonts w:cs="Calibri"/>
                <w:sz w:val="16"/>
                <w:szCs w:val="16"/>
              </w:rPr>
              <w:noBreakHyphen/>
              <w:t>cig</w:t>
            </w:r>
            <w:r w:rsidRPr="000F6DEF">
              <w:rPr>
                <w:rFonts w:cs="Calibri"/>
                <w:sz w:val="16"/>
                <w:szCs w:val="16"/>
              </w:rPr>
              <w:t xml:space="preserve">arettes more frequently. The model testing the effect of perceived harmfulness of </w:t>
            </w:r>
            <w:r>
              <w:rPr>
                <w:rFonts w:cs="Calibri"/>
                <w:sz w:val="16"/>
                <w:szCs w:val="16"/>
              </w:rPr>
              <w:t>e</w:t>
            </w:r>
            <w:r>
              <w:rPr>
                <w:rFonts w:cs="Calibri"/>
                <w:sz w:val="16"/>
                <w:szCs w:val="16"/>
              </w:rPr>
              <w:noBreakHyphen/>
              <w:t>cig</w:t>
            </w:r>
            <w:r w:rsidRPr="000F6DEF">
              <w:rPr>
                <w:rFonts w:cs="Calibri"/>
                <w:sz w:val="16"/>
                <w:szCs w:val="16"/>
              </w:rPr>
              <w:t>arettes versus cigarettes yielded a significant main effect of perceived harmfulness (d</w:t>
            </w:r>
            <w:r w:rsidR="008146F9">
              <w:rPr>
                <w:rFonts w:cs="Calibri"/>
                <w:sz w:val="16"/>
                <w:szCs w:val="16"/>
              </w:rPr>
              <w:t xml:space="preserve"> </w:t>
            </w:r>
            <w:r w:rsidRPr="000F6DEF">
              <w:rPr>
                <w:rFonts w:cs="Calibri"/>
                <w:sz w:val="16"/>
                <w:szCs w:val="16"/>
              </w:rPr>
              <w:t>0.10, z</w:t>
            </w:r>
            <w:r w:rsidR="008146F9">
              <w:rPr>
                <w:rFonts w:cs="Calibri"/>
                <w:sz w:val="16"/>
                <w:szCs w:val="16"/>
              </w:rPr>
              <w:t xml:space="preserve"> </w:t>
            </w:r>
            <w:r w:rsidRPr="000F6DEF">
              <w:rPr>
                <w:rFonts w:cs="Calibri"/>
                <w:sz w:val="16"/>
                <w:szCs w:val="16"/>
              </w:rPr>
              <w:t xml:space="preserve">1.97, p .049), suggesting that those who perceived a greater safety advantage for </w:t>
            </w:r>
            <w:r>
              <w:rPr>
                <w:rFonts w:cs="Calibri"/>
                <w:sz w:val="16"/>
                <w:szCs w:val="16"/>
              </w:rPr>
              <w:t>e</w:t>
            </w:r>
            <w:r>
              <w:rPr>
                <w:rFonts w:cs="Calibri"/>
                <w:sz w:val="16"/>
                <w:szCs w:val="16"/>
              </w:rPr>
              <w:noBreakHyphen/>
              <w:t>cig</w:t>
            </w:r>
            <w:r w:rsidRPr="000F6DEF">
              <w:rPr>
                <w:rFonts w:cs="Calibri"/>
                <w:sz w:val="16"/>
                <w:szCs w:val="16"/>
              </w:rPr>
              <w:t xml:space="preserve">arettes tended to use </w:t>
            </w:r>
            <w:r>
              <w:rPr>
                <w:rFonts w:cs="Calibri"/>
                <w:sz w:val="16"/>
                <w:szCs w:val="16"/>
              </w:rPr>
              <w:t>e</w:t>
            </w:r>
            <w:r>
              <w:rPr>
                <w:rFonts w:cs="Calibri"/>
                <w:sz w:val="16"/>
                <w:szCs w:val="16"/>
              </w:rPr>
              <w:noBreakHyphen/>
              <w:t>cig</w:t>
            </w:r>
            <w:r w:rsidRPr="000F6DEF">
              <w:rPr>
                <w:rFonts w:cs="Calibri"/>
                <w:sz w:val="16"/>
                <w:szCs w:val="16"/>
              </w:rPr>
              <w:t xml:space="preserve">arettes more frequently. </w:t>
            </w:r>
            <w:r w:rsidRPr="000F6DEF">
              <w:rPr>
                <w:rFonts w:cs="Calibri"/>
                <w:sz w:val="16"/>
                <w:szCs w:val="16"/>
              </w:rPr>
              <w:br/>
              <w:t xml:space="preserve">More positive baseline expectancies were associated with more frequent </w:t>
            </w:r>
            <w:r>
              <w:rPr>
                <w:rFonts w:cs="Calibri"/>
                <w:sz w:val="16"/>
                <w:szCs w:val="16"/>
              </w:rPr>
              <w:t>e</w:t>
            </w:r>
            <w:r>
              <w:rPr>
                <w:rFonts w:cs="Calibri"/>
                <w:sz w:val="16"/>
                <w:szCs w:val="16"/>
              </w:rPr>
              <w:noBreakHyphen/>
              <w:t>cig</w:t>
            </w:r>
            <w:r w:rsidRPr="000F6DEF">
              <w:rPr>
                <w:rFonts w:cs="Calibri"/>
                <w:sz w:val="16"/>
                <w:szCs w:val="16"/>
              </w:rPr>
              <w:t>arette use at each assessment, but that the slope of the effect became more negative over time.</w:t>
            </w:r>
            <w:r w:rsidRPr="000F6DEF">
              <w:rPr>
                <w:rFonts w:cs="Calibri"/>
                <w:sz w:val="16"/>
                <w:szCs w:val="16"/>
              </w:rPr>
              <w:br/>
              <w:t xml:space="preserve">Intentions to quit not related to </w:t>
            </w:r>
            <w:r>
              <w:rPr>
                <w:rFonts w:cs="Calibri"/>
                <w:sz w:val="16"/>
                <w:szCs w:val="16"/>
              </w:rPr>
              <w:t>e</w:t>
            </w:r>
            <w:r>
              <w:rPr>
                <w:rFonts w:cs="Calibri"/>
                <w:sz w:val="16"/>
                <w:szCs w:val="16"/>
              </w:rPr>
              <w:noBreakHyphen/>
              <w:t>cig</w:t>
            </w:r>
            <w:r w:rsidRPr="000F6DEF">
              <w:rPr>
                <w:rFonts w:cs="Calibri"/>
                <w:sz w:val="16"/>
                <w:szCs w:val="16"/>
              </w:rPr>
              <w:t>arette use.</w:t>
            </w:r>
          </w:p>
        </w:tc>
        <w:tc>
          <w:tcPr>
            <w:tcW w:w="4428" w:type="dxa"/>
          </w:tcPr>
          <w:p w14:paraId="0F7A0F62"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The combination of these findings suggests that, at least among nondaily smoking young adults, other factors may influence frequency of </w:t>
            </w:r>
            <w:r>
              <w:rPr>
                <w:rFonts w:cs="Calibri"/>
                <w:sz w:val="16"/>
                <w:szCs w:val="16"/>
              </w:rPr>
              <w:t>e</w:t>
            </w:r>
            <w:r>
              <w:rPr>
                <w:rFonts w:cs="Calibri"/>
                <w:sz w:val="16"/>
                <w:szCs w:val="16"/>
              </w:rPr>
              <w:noBreakHyphen/>
              <w:t>cig</w:t>
            </w:r>
            <w:r w:rsidRPr="000F6DEF">
              <w:rPr>
                <w:rFonts w:cs="Calibri"/>
                <w:sz w:val="16"/>
                <w:szCs w:val="16"/>
              </w:rPr>
              <w:t xml:space="preserve">arette use more than harm reduction. Findings instead seem consistent with the hypothesis that </w:t>
            </w:r>
            <w:r>
              <w:rPr>
                <w:rFonts w:cs="Calibri"/>
                <w:sz w:val="16"/>
                <w:szCs w:val="16"/>
              </w:rPr>
              <w:t>e</w:t>
            </w:r>
            <w:r>
              <w:rPr>
                <w:rFonts w:cs="Calibri"/>
                <w:sz w:val="16"/>
                <w:szCs w:val="16"/>
              </w:rPr>
              <w:noBreakHyphen/>
              <w:t>cig</w:t>
            </w:r>
            <w:r w:rsidRPr="000F6DEF">
              <w:rPr>
                <w:rFonts w:cs="Calibri"/>
                <w:sz w:val="16"/>
                <w:szCs w:val="16"/>
              </w:rPr>
              <w:t xml:space="preserve">arettes are more often used to complement ongoing cigarette smoking. </w:t>
            </w:r>
          </w:p>
        </w:tc>
      </w:tr>
      <w:tr w:rsidR="00B85C33" w:rsidRPr="000F6DEF" w14:paraId="7E1CE3E8" w14:textId="77777777" w:rsidTr="000376C7">
        <w:trPr>
          <w:trHeight w:val="94"/>
        </w:trPr>
        <w:tc>
          <w:tcPr>
            <w:cnfStyle w:val="001000000000" w:firstRow="0" w:lastRow="0" w:firstColumn="1" w:lastColumn="0" w:oddVBand="0" w:evenVBand="0" w:oddHBand="0" w:evenHBand="0" w:firstRowFirstColumn="0" w:firstRowLastColumn="0" w:lastRowFirstColumn="0" w:lastRowLastColumn="0"/>
            <w:tcW w:w="1435" w:type="dxa"/>
          </w:tcPr>
          <w:p w14:paraId="7AE82010" w14:textId="77777777" w:rsidR="00B85C33" w:rsidRPr="000F6DEF" w:rsidRDefault="00B85C33" w:rsidP="000376C7">
            <w:pPr>
              <w:rPr>
                <w:rFonts w:cs="Calibri"/>
                <w:sz w:val="16"/>
                <w:szCs w:val="16"/>
              </w:rPr>
            </w:pPr>
            <w:r w:rsidRPr="000F6DEF">
              <w:rPr>
                <w:rFonts w:cs="Calibri"/>
                <w:sz w:val="16"/>
                <w:szCs w:val="16"/>
              </w:rPr>
              <w:t>Camenga, Kong, Cavallo et al</w:t>
            </w:r>
          </w:p>
        </w:tc>
        <w:tc>
          <w:tcPr>
            <w:tcW w:w="2529" w:type="dxa"/>
          </w:tcPr>
          <w:p w14:paraId="3622F801" w14:textId="31955073"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This exploratory study examines the prevalence and predictors of current and former smokers' use of electronic (e</w:t>
            </w:r>
            <w:r w:rsidRPr="000F6DEF">
              <w:rPr>
                <w:rFonts w:cs="Calibri"/>
                <w:sz w:val="16"/>
                <w:szCs w:val="16"/>
              </w:rPr>
              <w:noBreakHyphen/>
              <w:t>) cigarettes for smoking cessation among a sample of adolescent and young adult established smokers</w:t>
            </w:r>
            <w:r w:rsidR="005500FC">
              <w:rPr>
                <w:rFonts w:cs="Calibri"/>
                <w:sz w:val="16"/>
                <w:szCs w:val="16"/>
              </w:rPr>
              <w:t>.</w:t>
            </w:r>
          </w:p>
        </w:tc>
        <w:tc>
          <w:tcPr>
            <w:tcW w:w="6521" w:type="dxa"/>
          </w:tcPr>
          <w:p w14:paraId="7691114E" w14:textId="621A08EE" w:rsidR="00B85C33" w:rsidRPr="000F6DEF" w:rsidRDefault="00B85C33" w:rsidP="000A2C8E">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The prevalence of using </w:t>
            </w:r>
            <w:r>
              <w:rPr>
                <w:rFonts w:cs="Calibri"/>
                <w:sz w:val="16"/>
                <w:szCs w:val="16"/>
              </w:rPr>
              <w:t>e</w:t>
            </w:r>
            <w:r>
              <w:rPr>
                <w:rFonts w:cs="Calibri"/>
                <w:sz w:val="16"/>
                <w:szCs w:val="16"/>
              </w:rPr>
              <w:noBreakHyphen/>
              <w:t>cig</w:t>
            </w:r>
            <w:r w:rsidRPr="000F6DEF">
              <w:rPr>
                <w:rFonts w:cs="Calibri"/>
                <w:sz w:val="16"/>
                <w:szCs w:val="16"/>
              </w:rPr>
              <w:t>arettes to quit smoking was 41.8% among this sample of youth with a history of established smoking.</w:t>
            </w:r>
            <w:r w:rsidRPr="000F6DEF">
              <w:rPr>
                <w:rFonts w:cs="Calibri"/>
                <w:sz w:val="16"/>
                <w:szCs w:val="16"/>
              </w:rPr>
              <w:br/>
              <w:t xml:space="preserve">Older students, White race, higher </w:t>
            </w:r>
            <w:r>
              <w:rPr>
                <w:rFonts w:cs="Calibri"/>
                <w:sz w:val="16"/>
                <w:szCs w:val="16"/>
              </w:rPr>
              <w:t>e</w:t>
            </w:r>
            <w:r>
              <w:rPr>
                <w:rFonts w:cs="Calibri"/>
                <w:sz w:val="16"/>
                <w:szCs w:val="16"/>
              </w:rPr>
              <w:noBreakHyphen/>
              <w:t>cig</w:t>
            </w:r>
            <w:r w:rsidRPr="000F6DEF">
              <w:rPr>
                <w:rFonts w:cs="Calibri"/>
                <w:sz w:val="16"/>
                <w:szCs w:val="16"/>
              </w:rPr>
              <w:t xml:space="preserve">arette frequency, and preference for “a combination of 2 or more flavours mixed together” predicted increased likelihood of using </w:t>
            </w:r>
            <w:r>
              <w:rPr>
                <w:rFonts w:cs="Calibri"/>
                <w:sz w:val="16"/>
                <w:szCs w:val="16"/>
              </w:rPr>
              <w:t>e</w:t>
            </w:r>
            <w:r>
              <w:rPr>
                <w:rFonts w:cs="Calibri"/>
                <w:sz w:val="16"/>
                <w:szCs w:val="16"/>
              </w:rPr>
              <w:noBreakHyphen/>
              <w:t>cig</w:t>
            </w:r>
            <w:r w:rsidRPr="000F6DEF">
              <w:rPr>
                <w:rFonts w:cs="Calibri"/>
                <w:sz w:val="16"/>
                <w:szCs w:val="16"/>
              </w:rPr>
              <w:t>arettes to quit smoking.</w:t>
            </w:r>
          </w:p>
        </w:tc>
        <w:tc>
          <w:tcPr>
            <w:tcW w:w="4428" w:type="dxa"/>
          </w:tcPr>
          <w:p w14:paraId="3651E076"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Among young established smokers, more frequent </w:t>
            </w:r>
            <w:r>
              <w:rPr>
                <w:rFonts w:cs="Calibri"/>
                <w:sz w:val="16"/>
                <w:szCs w:val="16"/>
              </w:rPr>
              <w:t>e</w:t>
            </w:r>
            <w:r>
              <w:rPr>
                <w:rFonts w:cs="Calibri"/>
                <w:sz w:val="16"/>
                <w:szCs w:val="16"/>
              </w:rPr>
              <w:noBreakHyphen/>
              <w:t>cig</w:t>
            </w:r>
            <w:r w:rsidRPr="000F6DEF">
              <w:rPr>
                <w:rFonts w:cs="Calibri"/>
                <w:sz w:val="16"/>
                <w:szCs w:val="16"/>
              </w:rPr>
              <w:t xml:space="preserve">arette use and preference for using flavours mixed together, but not perceptions of harmfulness of </w:t>
            </w:r>
            <w:r>
              <w:rPr>
                <w:rFonts w:cs="Calibri"/>
                <w:sz w:val="16"/>
                <w:szCs w:val="16"/>
              </w:rPr>
              <w:t>e</w:t>
            </w:r>
            <w:r>
              <w:rPr>
                <w:rFonts w:cs="Calibri"/>
                <w:sz w:val="16"/>
                <w:szCs w:val="16"/>
              </w:rPr>
              <w:noBreakHyphen/>
              <w:t>cig</w:t>
            </w:r>
            <w:r w:rsidRPr="000F6DEF">
              <w:rPr>
                <w:rFonts w:cs="Calibri"/>
                <w:sz w:val="16"/>
                <w:szCs w:val="16"/>
              </w:rPr>
              <w:t xml:space="preserve">arettes or comparative safety of </w:t>
            </w:r>
            <w:r>
              <w:rPr>
                <w:rFonts w:cs="Calibri"/>
                <w:sz w:val="16"/>
                <w:szCs w:val="16"/>
              </w:rPr>
              <w:t>e</w:t>
            </w:r>
            <w:r>
              <w:rPr>
                <w:rFonts w:cs="Calibri"/>
                <w:sz w:val="16"/>
                <w:szCs w:val="16"/>
              </w:rPr>
              <w:noBreakHyphen/>
              <w:t>cig</w:t>
            </w:r>
            <w:r w:rsidRPr="000F6DEF">
              <w:rPr>
                <w:rFonts w:cs="Calibri"/>
                <w:sz w:val="16"/>
                <w:szCs w:val="16"/>
              </w:rPr>
              <w:t xml:space="preserve">arettes compared with cigarettes or other smoking cessation medications or helpfulness of </w:t>
            </w:r>
            <w:r>
              <w:rPr>
                <w:rFonts w:cs="Calibri"/>
                <w:sz w:val="16"/>
                <w:szCs w:val="16"/>
              </w:rPr>
              <w:t>e</w:t>
            </w:r>
            <w:r>
              <w:rPr>
                <w:rFonts w:cs="Calibri"/>
                <w:sz w:val="16"/>
                <w:szCs w:val="16"/>
              </w:rPr>
              <w:noBreakHyphen/>
              <w:t>cig</w:t>
            </w:r>
            <w:r w:rsidRPr="000F6DEF">
              <w:rPr>
                <w:rFonts w:cs="Calibri"/>
                <w:sz w:val="16"/>
                <w:szCs w:val="16"/>
              </w:rPr>
              <w:t xml:space="preserve">arettes in quitting smoking, are associated with using </w:t>
            </w:r>
            <w:r>
              <w:rPr>
                <w:rFonts w:cs="Calibri"/>
                <w:sz w:val="16"/>
                <w:szCs w:val="16"/>
              </w:rPr>
              <w:t>e</w:t>
            </w:r>
            <w:r>
              <w:rPr>
                <w:rFonts w:cs="Calibri"/>
                <w:sz w:val="16"/>
                <w:szCs w:val="16"/>
              </w:rPr>
              <w:noBreakHyphen/>
              <w:t>cig</w:t>
            </w:r>
            <w:r w:rsidRPr="000F6DEF">
              <w:rPr>
                <w:rFonts w:cs="Calibri"/>
                <w:sz w:val="16"/>
                <w:szCs w:val="16"/>
              </w:rPr>
              <w:t>arettes for smoking cessation.</w:t>
            </w:r>
          </w:p>
        </w:tc>
      </w:tr>
      <w:tr w:rsidR="00B85C33" w:rsidRPr="000F6DEF" w14:paraId="661236F6" w14:textId="77777777" w:rsidTr="000376C7">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1435" w:type="dxa"/>
          </w:tcPr>
          <w:p w14:paraId="356041B4" w14:textId="1BD57811" w:rsidR="00B85C33" w:rsidRPr="000F6DEF" w:rsidRDefault="00B85C33" w:rsidP="000376C7">
            <w:pPr>
              <w:rPr>
                <w:rFonts w:cs="Calibri"/>
                <w:sz w:val="16"/>
                <w:szCs w:val="16"/>
              </w:rPr>
            </w:pPr>
            <w:r w:rsidRPr="000F6DEF">
              <w:rPr>
                <w:rFonts w:cs="Calibri"/>
                <w:sz w:val="16"/>
                <w:szCs w:val="16"/>
              </w:rPr>
              <w:t>Carroll, Wagener,</w:t>
            </w:r>
            <w:r w:rsidR="008146F9">
              <w:rPr>
                <w:rFonts w:cs="Calibri"/>
                <w:sz w:val="16"/>
                <w:szCs w:val="16"/>
              </w:rPr>
              <w:t xml:space="preserve"> </w:t>
            </w:r>
            <w:r w:rsidRPr="000F6DEF">
              <w:rPr>
                <w:rFonts w:cs="Calibri"/>
                <w:sz w:val="16"/>
                <w:szCs w:val="16"/>
              </w:rPr>
              <w:t>Thompson</w:t>
            </w:r>
          </w:p>
        </w:tc>
        <w:tc>
          <w:tcPr>
            <w:tcW w:w="2529" w:type="dxa"/>
          </w:tcPr>
          <w:p w14:paraId="48C56B22"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The objective of this small</w:t>
            </w:r>
            <w:r w:rsidRPr="000F6DEF">
              <w:rPr>
                <w:rFonts w:cs="Calibri"/>
                <w:sz w:val="16"/>
                <w:szCs w:val="16"/>
              </w:rPr>
              <w:noBreakHyphen/>
              <w:t>scaled study was to examine use behaviours and dependence among exclusive ENDS users and dual users of American Indian descent.</w:t>
            </w:r>
          </w:p>
        </w:tc>
        <w:tc>
          <w:tcPr>
            <w:tcW w:w="6521" w:type="dxa"/>
          </w:tcPr>
          <w:p w14:paraId="58ABE1E6"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The vast majority of ENDS users (92.6%) reported being former cigarette smokers</w:t>
            </w:r>
            <w:r w:rsidRPr="000F6DEF">
              <w:rPr>
                <w:rFonts w:cs="Calibri"/>
                <w:sz w:val="16"/>
                <w:szCs w:val="16"/>
              </w:rPr>
              <w:br/>
              <w:t xml:space="preserve"> Comparing ENDS users with smokers, ENDS users had a lower severity of diminished autonomy (4 vs 8; P=0.0077). Comparing dual users with smokers, median severity of diminished autonomy over cigarettes did not differ (P=0.6865). </w:t>
            </w:r>
          </w:p>
        </w:tc>
        <w:tc>
          <w:tcPr>
            <w:tcW w:w="4428" w:type="dxa"/>
          </w:tcPr>
          <w:p w14:paraId="550619A2"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This study provides an in</w:t>
            </w:r>
            <w:r w:rsidRPr="000F6DEF">
              <w:rPr>
                <w:rFonts w:cs="Calibri"/>
                <w:sz w:val="16"/>
                <w:szCs w:val="16"/>
              </w:rPr>
              <w:noBreakHyphen/>
              <w:t xml:space="preserve">depth description of ENDS use, including both exclusive use and dual use with cigarettes, among AIs. </w:t>
            </w:r>
          </w:p>
        </w:tc>
      </w:tr>
      <w:tr w:rsidR="00B85C33" w:rsidRPr="000F6DEF" w14:paraId="79BE1746" w14:textId="77777777" w:rsidTr="000376C7">
        <w:trPr>
          <w:trHeight w:val="94"/>
        </w:trPr>
        <w:tc>
          <w:tcPr>
            <w:cnfStyle w:val="001000000000" w:firstRow="0" w:lastRow="0" w:firstColumn="1" w:lastColumn="0" w:oddVBand="0" w:evenVBand="0" w:oddHBand="0" w:evenHBand="0" w:firstRowFirstColumn="0" w:firstRowLastColumn="0" w:lastRowFirstColumn="0" w:lastRowLastColumn="0"/>
            <w:tcW w:w="1435" w:type="dxa"/>
          </w:tcPr>
          <w:p w14:paraId="63D376C6" w14:textId="77777777" w:rsidR="00B85C33" w:rsidRPr="000F6DEF" w:rsidRDefault="00B85C33" w:rsidP="000376C7">
            <w:pPr>
              <w:rPr>
                <w:rFonts w:cs="Calibri"/>
                <w:sz w:val="16"/>
                <w:szCs w:val="16"/>
              </w:rPr>
            </w:pPr>
            <w:r w:rsidRPr="000F6DEF">
              <w:rPr>
                <w:rFonts w:cs="Calibri"/>
                <w:sz w:val="16"/>
                <w:szCs w:val="16"/>
              </w:rPr>
              <w:t>Cheney, Gowin, Clawson</w:t>
            </w:r>
          </w:p>
        </w:tc>
        <w:tc>
          <w:tcPr>
            <w:tcW w:w="2529" w:type="dxa"/>
          </w:tcPr>
          <w:p w14:paraId="428069FD" w14:textId="5AE16701"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The Ecological Model was used to examine the social and environmental influences of the </w:t>
            </w:r>
            <w:r w:rsidRPr="000F6DEF">
              <w:rPr>
                <w:rFonts w:cs="Calibri"/>
                <w:sz w:val="16"/>
                <w:szCs w:val="16"/>
              </w:rPr>
              <w:lastRenderedPageBreak/>
              <w:t xml:space="preserve">college environment on </w:t>
            </w:r>
            <w:r>
              <w:rPr>
                <w:rFonts w:cs="Calibri"/>
                <w:sz w:val="16"/>
                <w:szCs w:val="16"/>
              </w:rPr>
              <w:t>e</w:t>
            </w:r>
            <w:r>
              <w:rPr>
                <w:rFonts w:cs="Calibri"/>
                <w:sz w:val="16"/>
                <w:szCs w:val="16"/>
              </w:rPr>
              <w:noBreakHyphen/>
              <w:t>cig</w:t>
            </w:r>
            <w:r w:rsidRPr="000F6DEF">
              <w:rPr>
                <w:rFonts w:cs="Calibri"/>
                <w:sz w:val="16"/>
                <w:szCs w:val="16"/>
              </w:rPr>
              <w:t>arette use (vaping) among college students</w:t>
            </w:r>
            <w:r w:rsidR="005500FC">
              <w:rPr>
                <w:rFonts w:cs="Calibri"/>
                <w:sz w:val="16"/>
                <w:szCs w:val="16"/>
              </w:rPr>
              <w:t>.</w:t>
            </w:r>
          </w:p>
        </w:tc>
        <w:tc>
          <w:tcPr>
            <w:tcW w:w="6521" w:type="dxa"/>
          </w:tcPr>
          <w:p w14:paraId="536EE381"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lastRenderedPageBreak/>
              <w:t xml:space="preserve">College student vapers report multiple levels of influence on their vaping beyond personal beliefs and peer influences, including parents, explicit campus and community messaging, community </w:t>
            </w:r>
            <w:r w:rsidRPr="000F6DEF">
              <w:rPr>
                <w:rFonts w:cs="Calibri"/>
                <w:sz w:val="16"/>
                <w:szCs w:val="16"/>
              </w:rPr>
              <w:lastRenderedPageBreak/>
              <w:t>member requests, and respect for others. College student vapers also describe constant associations with smokers in allowable public places to vape.</w:t>
            </w:r>
          </w:p>
        </w:tc>
        <w:tc>
          <w:tcPr>
            <w:tcW w:w="4428" w:type="dxa"/>
          </w:tcPr>
          <w:p w14:paraId="601AA879"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lastRenderedPageBreak/>
              <w:t>Parents, community members, campus policy, and the physical environment all influence where and when college students vape</w:t>
            </w:r>
          </w:p>
        </w:tc>
      </w:tr>
      <w:tr w:rsidR="00B85C33" w:rsidRPr="000F6DEF" w14:paraId="0C2BDCF3" w14:textId="77777777" w:rsidTr="000376C7">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1435" w:type="dxa"/>
          </w:tcPr>
          <w:p w14:paraId="0C8FD929" w14:textId="77777777" w:rsidR="00B85C33" w:rsidRPr="000F6DEF" w:rsidRDefault="00B85C33" w:rsidP="000376C7">
            <w:pPr>
              <w:rPr>
                <w:rFonts w:cs="Calibri"/>
                <w:sz w:val="16"/>
                <w:szCs w:val="16"/>
              </w:rPr>
            </w:pPr>
            <w:r w:rsidRPr="000F6DEF">
              <w:rPr>
                <w:rFonts w:cs="Calibri"/>
                <w:sz w:val="16"/>
                <w:szCs w:val="16"/>
              </w:rPr>
              <w:t>Chin, Lustik, Pflipsen</w:t>
            </w:r>
          </w:p>
        </w:tc>
        <w:tc>
          <w:tcPr>
            <w:tcW w:w="2529" w:type="dxa"/>
          </w:tcPr>
          <w:p w14:paraId="058AAFC6"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The primary outcome of this study was to define the prevalence of ESD use in a US Army division.</w:t>
            </w:r>
          </w:p>
        </w:tc>
        <w:tc>
          <w:tcPr>
            <w:tcW w:w="6521" w:type="dxa"/>
          </w:tcPr>
          <w:p w14:paraId="3485E30C"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Electronic smoking device use 20%; ever use 61%</w:t>
            </w:r>
            <w:r w:rsidRPr="000F6DEF">
              <w:rPr>
                <w:rFonts w:cs="Calibri"/>
                <w:sz w:val="16"/>
                <w:szCs w:val="16"/>
              </w:rPr>
              <w:br/>
              <w:t>Lower education, current smokers, ex</w:t>
            </w:r>
            <w:r w:rsidRPr="000F6DEF">
              <w:rPr>
                <w:rFonts w:cs="Calibri"/>
                <w:sz w:val="16"/>
                <w:szCs w:val="16"/>
              </w:rPr>
              <w:noBreakHyphen/>
              <w:t>smokers most likely to use</w:t>
            </w:r>
          </w:p>
        </w:tc>
        <w:tc>
          <w:tcPr>
            <w:tcW w:w="4428" w:type="dxa"/>
          </w:tcPr>
          <w:p w14:paraId="0F640BF8"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There is a high prevalence of current and ever use ESD among active duty service members assigned to a US Army Infantry Division</w:t>
            </w:r>
          </w:p>
        </w:tc>
      </w:tr>
      <w:tr w:rsidR="00B85C33" w:rsidRPr="000F6DEF" w14:paraId="3F2DAEB4" w14:textId="77777777" w:rsidTr="000376C7">
        <w:trPr>
          <w:trHeight w:val="94"/>
        </w:trPr>
        <w:tc>
          <w:tcPr>
            <w:cnfStyle w:val="001000000000" w:firstRow="0" w:lastRow="0" w:firstColumn="1" w:lastColumn="0" w:oddVBand="0" w:evenVBand="0" w:oddHBand="0" w:evenHBand="0" w:firstRowFirstColumn="0" w:firstRowLastColumn="0" w:lastRowFirstColumn="0" w:lastRowLastColumn="0"/>
            <w:tcW w:w="1435" w:type="dxa"/>
          </w:tcPr>
          <w:p w14:paraId="09C7FE11" w14:textId="77777777" w:rsidR="00B85C33" w:rsidRPr="000F6DEF" w:rsidRDefault="00B85C33" w:rsidP="000376C7">
            <w:pPr>
              <w:rPr>
                <w:rFonts w:cs="Calibri"/>
                <w:sz w:val="16"/>
                <w:szCs w:val="16"/>
              </w:rPr>
            </w:pPr>
            <w:r w:rsidRPr="000F6DEF">
              <w:rPr>
                <w:rFonts w:cs="Calibri"/>
                <w:sz w:val="16"/>
                <w:szCs w:val="16"/>
              </w:rPr>
              <w:t>Copeland, Peltier, Waldo</w:t>
            </w:r>
          </w:p>
        </w:tc>
        <w:tc>
          <w:tcPr>
            <w:tcW w:w="2529" w:type="dxa"/>
          </w:tcPr>
          <w:p w14:paraId="586A96F5" w14:textId="1EE71F0C"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The present study sought to develop the Risks and Benefits of </w:t>
            </w:r>
            <w:r>
              <w:rPr>
                <w:rFonts w:cs="Calibri"/>
                <w:sz w:val="16"/>
                <w:szCs w:val="16"/>
              </w:rPr>
              <w:t>E</w:t>
            </w:r>
            <w:r>
              <w:rPr>
                <w:rFonts w:cs="Calibri"/>
                <w:sz w:val="16"/>
                <w:szCs w:val="16"/>
              </w:rPr>
              <w:noBreakHyphen/>
              <w:t>cig</w:t>
            </w:r>
            <w:r w:rsidRPr="000F6DEF">
              <w:rPr>
                <w:rFonts w:cs="Calibri"/>
                <w:sz w:val="16"/>
                <w:szCs w:val="16"/>
              </w:rPr>
              <w:t xml:space="preserve">arettes (RABE) questionnaire to assess the perceptions about </w:t>
            </w:r>
            <w:r>
              <w:rPr>
                <w:rFonts w:cs="Calibri"/>
                <w:sz w:val="16"/>
                <w:szCs w:val="16"/>
              </w:rPr>
              <w:t>e</w:t>
            </w:r>
            <w:r>
              <w:rPr>
                <w:rFonts w:cs="Calibri"/>
                <w:sz w:val="16"/>
                <w:szCs w:val="16"/>
              </w:rPr>
              <w:noBreakHyphen/>
              <w:t>cig</w:t>
            </w:r>
            <w:r w:rsidRPr="000F6DEF">
              <w:rPr>
                <w:rFonts w:cs="Calibri"/>
                <w:sz w:val="16"/>
                <w:szCs w:val="16"/>
              </w:rPr>
              <w:t>arette use among college students</w:t>
            </w:r>
            <w:r w:rsidR="005500FC">
              <w:rPr>
                <w:rFonts w:cs="Calibri"/>
                <w:sz w:val="16"/>
                <w:szCs w:val="16"/>
              </w:rPr>
              <w:t>.</w:t>
            </w:r>
          </w:p>
        </w:tc>
        <w:tc>
          <w:tcPr>
            <w:tcW w:w="6521" w:type="dxa"/>
          </w:tcPr>
          <w:p w14:paraId="0C2E2B78"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Benefits of </w:t>
            </w:r>
            <w:r>
              <w:rPr>
                <w:rFonts w:cs="Calibri"/>
                <w:sz w:val="16"/>
                <w:szCs w:val="16"/>
              </w:rPr>
              <w:t>e</w:t>
            </w:r>
            <w:r>
              <w:rPr>
                <w:rFonts w:cs="Calibri"/>
                <w:sz w:val="16"/>
                <w:szCs w:val="16"/>
              </w:rPr>
              <w:noBreakHyphen/>
              <w:t>cig</w:t>
            </w:r>
            <w:r w:rsidRPr="000F6DEF">
              <w:rPr>
                <w:rFonts w:cs="Calibri"/>
                <w:sz w:val="16"/>
                <w:szCs w:val="16"/>
              </w:rPr>
              <w:t xml:space="preserve">arette use differed across smoking status: </w:t>
            </w:r>
            <w:r>
              <w:rPr>
                <w:rFonts w:cs="Calibri"/>
                <w:sz w:val="16"/>
                <w:szCs w:val="16"/>
              </w:rPr>
              <w:t>e</w:t>
            </w:r>
            <w:r>
              <w:rPr>
                <w:rFonts w:cs="Calibri"/>
                <w:sz w:val="16"/>
                <w:szCs w:val="16"/>
              </w:rPr>
              <w:noBreakHyphen/>
              <w:t>cig</w:t>
            </w:r>
            <w:r w:rsidRPr="000F6DEF">
              <w:rPr>
                <w:rFonts w:cs="Calibri"/>
                <w:sz w:val="16"/>
                <w:szCs w:val="16"/>
              </w:rPr>
              <w:t>arette highest, then dual users, then smokers, then non</w:t>
            </w:r>
            <w:r w:rsidRPr="000F6DEF">
              <w:rPr>
                <w:rFonts w:cs="Calibri"/>
                <w:sz w:val="16"/>
                <w:szCs w:val="16"/>
              </w:rPr>
              <w:noBreakHyphen/>
              <w:t>smokers</w:t>
            </w:r>
            <w:r w:rsidRPr="000F6DEF">
              <w:rPr>
                <w:rFonts w:cs="Calibri"/>
                <w:sz w:val="16"/>
                <w:szCs w:val="16"/>
              </w:rPr>
              <w:br/>
              <w:t>No differences in risk</w:t>
            </w:r>
          </w:p>
        </w:tc>
        <w:tc>
          <w:tcPr>
            <w:tcW w:w="4428" w:type="dxa"/>
          </w:tcPr>
          <w:p w14:paraId="624654BD"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The present results indicate that the RABE is a reliable instrument to measure college student's perceived risks and benefits of </w:t>
            </w:r>
            <w:r>
              <w:rPr>
                <w:rFonts w:cs="Calibri"/>
                <w:sz w:val="16"/>
                <w:szCs w:val="16"/>
              </w:rPr>
              <w:t>e</w:t>
            </w:r>
            <w:r>
              <w:rPr>
                <w:rFonts w:cs="Calibri"/>
                <w:sz w:val="16"/>
                <w:szCs w:val="16"/>
              </w:rPr>
              <w:noBreakHyphen/>
              <w:t>cig</w:t>
            </w:r>
            <w:r w:rsidRPr="000F6DEF">
              <w:rPr>
                <w:rFonts w:cs="Calibri"/>
                <w:sz w:val="16"/>
                <w:szCs w:val="16"/>
              </w:rPr>
              <w:t>arettes.</w:t>
            </w:r>
          </w:p>
        </w:tc>
      </w:tr>
      <w:tr w:rsidR="00B85C33" w:rsidRPr="000F6DEF" w14:paraId="15B015D4" w14:textId="77777777" w:rsidTr="000376C7">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1435" w:type="dxa"/>
          </w:tcPr>
          <w:p w14:paraId="5693F346" w14:textId="77777777" w:rsidR="00B85C33" w:rsidRPr="000F6DEF" w:rsidRDefault="00B85C33" w:rsidP="000376C7">
            <w:pPr>
              <w:rPr>
                <w:rFonts w:cs="Calibri"/>
                <w:sz w:val="16"/>
                <w:szCs w:val="16"/>
              </w:rPr>
            </w:pPr>
            <w:r w:rsidRPr="000F6DEF">
              <w:rPr>
                <w:rFonts w:cs="Calibri"/>
                <w:sz w:val="16"/>
                <w:szCs w:val="16"/>
              </w:rPr>
              <w:t>De Genna, Ylioja, Schulze et al</w:t>
            </w:r>
          </w:p>
        </w:tc>
        <w:tc>
          <w:tcPr>
            <w:tcW w:w="2529" w:type="dxa"/>
          </w:tcPr>
          <w:p w14:paraId="04E8B400"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The objectives of this study were to examine the prevalence of electronic cigarette use among counselled tobacco users admitted to 2 academic hospitals. </w:t>
            </w:r>
          </w:p>
        </w:tc>
        <w:tc>
          <w:tcPr>
            <w:tcW w:w="6521" w:type="dxa"/>
          </w:tcPr>
          <w:p w14:paraId="6E4E293B" w14:textId="3D227843"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22% had used an </w:t>
            </w:r>
            <w:r>
              <w:rPr>
                <w:rFonts w:cs="Calibri"/>
                <w:sz w:val="16"/>
                <w:szCs w:val="16"/>
              </w:rPr>
              <w:t>e</w:t>
            </w:r>
            <w:r>
              <w:rPr>
                <w:rFonts w:cs="Calibri"/>
                <w:sz w:val="16"/>
                <w:szCs w:val="16"/>
              </w:rPr>
              <w:noBreakHyphen/>
              <w:t>cig</w:t>
            </w:r>
            <w:r w:rsidR="00571385">
              <w:rPr>
                <w:rFonts w:cs="Calibri"/>
                <w:sz w:val="16"/>
                <w:szCs w:val="16"/>
              </w:rPr>
              <w:t>arette</w:t>
            </w:r>
            <w:r w:rsidRPr="000F6DEF">
              <w:rPr>
                <w:rFonts w:cs="Calibri"/>
                <w:sz w:val="16"/>
                <w:szCs w:val="16"/>
              </w:rPr>
              <w:br/>
              <w:t>Most of these patients used electronic cigarettes to quit or reduce use of combustible cigarettes. Adjusted odds of electronic cigarette use were higher for females (adjusted odds ratio [AOR] 0.60 for male patients, 95% confidence interval [CI] 0.47</w:t>
            </w:r>
            <w:r w:rsidRPr="000F6DEF">
              <w:rPr>
                <w:rFonts w:cs="Calibri"/>
                <w:sz w:val="16"/>
                <w:szCs w:val="16"/>
              </w:rPr>
              <w:noBreakHyphen/>
              <w:t>0.76), younger patients (AOR 0.98 for older patients, 95% CI 0.97</w:t>
            </w:r>
            <w:r w:rsidRPr="000F6DEF">
              <w:rPr>
                <w:rFonts w:cs="Calibri"/>
                <w:sz w:val="16"/>
                <w:szCs w:val="16"/>
              </w:rPr>
              <w:noBreakHyphen/>
              <w:t>0.99), and individuals who initiated tobacco use earlier in life (AOR 0.97 for later smoking initiation, 95% CI 0.95</w:t>
            </w:r>
            <w:r w:rsidRPr="000F6DEF">
              <w:rPr>
                <w:rFonts w:cs="Calibri"/>
                <w:sz w:val="16"/>
                <w:szCs w:val="16"/>
              </w:rPr>
              <w:noBreakHyphen/>
              <w:t xml:space="preserve">0.99). </w:t>
            </w:r>
            <w:r w:rsidRPr="000F6DEF">
              <w:rPr>
                <w:rFonts w:cs="Calibri"/>
                <w:sz w:val="16"/>
                <w:szCs w:val="16"/>
              </w:rPr>
              <w:br/>
              <w:t xml:space="preserve">52% of smokers had tried </w:t>
            </w:r>
            <w:r>
              <w:rPr>
                <w:rFonts w:cs="Calibri"/>
                <w:sz w:val="16"/>
                <w:szCs w:val="16"/>
              </w:rPr>
              <w:t>e</w:t>
            </w:r>
            <w:r>
              <w:rPr>
                <w:rFonts w:cs="Calibri"/>
                <w:sz w:val="16"/>
                <w:szCs w:val="16"/>
              </w:rPr>
              <w:noBreakHyphen/>
              <w:t>cig</w:t>
            </w:r>
            <w:r w:rsidRPr="000F6DEF">
              <w:rPr>
                <w:rFonts w:cs="Calibri"/>
                <w:sz w:val="16"/>
                <w:szCs w:val="16"/>
              </w:rPr>
              <w:t>arette to quit; 23% used to cut down smoking cigs</w:t>
            </w:r>
          </w:p>
        </w:tc>
        <w:tc>
          <w:tcPr>
            <w:tcW w:w="4428" w:type="dxa"/>
          </w:tcPr>
          <w:p w14:paraId="4790B657"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Young, female patients are most likely to use electronic cigarettes and may benefit most from directed discussions about electronic cigarette use and Federal Drug Administration</w:t>
            </w:r>
            <w:r w:rsidRPr="000F6DEF">
              <w:rPr>
                <w:rFonts w:cs="Calibri"/>
                <w:sz w:val="16"/>
                <w:szCs w:val="16"/>
              </w:rPr>
              <w:noBreakHyphen/>
              <w:t>approved cessation methods during smoking cessation counselling.</w:t>
            </w:r>
          </w:p>
        </w:tc>
      </w:tr>
      <w:tr w:rsidR="00B85C33" w:rsidRPr="000F6DEF" w14:paraId="0C801A19" w14:textId="77777777" w:rsidTr="000376C7">
        <w:trPr>
          <w:trHeight w:val="94"/>
        </w:trPr>
        <w:tc>
          <w:tcPr>
            <w:cnfStyle w:val="001000000000" w:firstRow="0" w:lastRow="0" w:firstColumn="1" w:lastColumn="0" w:oddVBand="0" w:evenVBand="0" w:oddHBand="0" w:evenHBand="0" w:firstRowFirstColumn="0" w:firstRowLastColumn="0" w:lastRowFirstColumn="0" w:lastRowLastColumn="0"/>
            <w:tcW w:w="1435" w:type="dxa"/>
          </w:tcPr>
          <w:p w14:paraId="1F4220E9" w14:textId="77777777" w:rsidR="00B85C33" w:rsidRPr="000F6DEF" w:rsidRDefault="00B85C33" w:rsidP="000376C7">
            <w:pPr>
              <w:rPr>
                <w:rFonts w:cs="Calibri"/>
                <w:sz w:val="16"/>
                <w:szCs w:val="16"/>
              </w:rPr>
            </w:pPr>
            <w:r w:rsidRPr="000F6DEF">
              <w:rPr>
                <w:rFonts w:cs="Calibri"/>
                <w:sz w:val="16"/>
                <w:szCs w:val="16"/>
              </w:rPr>
              <w:t>Fite, Cushing, Poquiz, Frazer</w:t>
            </w:r>
          </w:p>
        </w:tc>
        <w:tc>
          <w:tcPr>
            <w:tcW w:w="2529" w:type="dxa"/>
          </w:tcPr>
          <w:p w14:paraId="46F55BA4"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The goal of the current study was to better understand family influences (i.e., perceptions of parental attitudes and sibling use) of </w:t>
            </w:r>
            <w:r>
              <w:rPr>
                <w:rFonts w:cs="Calibri"/>
                <w:sz w:val="16"/>
                <w:szCs w:val="16"/>
              </w:rPr>
              <w:t>e</w:t>
            </w:r>
            <w:r>
              <w:rPr>
                <w:rFonts w:cs="Calibri"/>
                <w:sz w:val="16"/>
                <w:szCs w:val="16"/>
              </w:rPr>
              <w:noBreakHyphen/>
              <w:t>cig</w:t>
            </w:r>
            <w:r w:rsidRPr="000F6DEF">
              <w:rPr>
                <w:rFonts w:cs="Calibri"/>
                <w:sz w:val="16"/>
                <w:szCs w:val="16"/>
              </w:rPr>
              <w:t xml:space="preserve">arette use and determine how these influences on </w:t>
            </w:r>
            <w:r>
              <w:rPr>
                <w:rFonts w:cs="Calibri"/>
                <w:sz w:val="16"/>
                <w:szCs w:val="16"/>
              </w:rPr>
              <w:t>e</w:t>
            </w:r>
            <w:r>
              <w:rPr>
                <w:rFonts w:cs="Calibri"/>
                <w:sz w:val="16"/>
                <w:szCs w:val="16"/>
              </w:rPr>
              <w:noBreakHyphen/>
              <w:t>cig</w:t>
            </w:r>
            <w:r w:rsidRPr="000F6DEF">
              <w:rPr>
                <w:rFonts w:cs="Calibri"/>
                <w:sz w:val="16"/>
                <w:szCs w:val="16"/>
              </w:rPr>
              <w:t xml:space="preserve">arette use compared to their influence on other substances (i.e., alcohol, traditional tobacco, and marijuana). </w:t>
            </w:r>
          </w:p>
        </w:tc>
        <w:tc>
          <w:tcPr>
            <w:tcW w:w="6521" w:type="dxa"/>
          </w:tcPr>
          <w:p w14:paraId="4DC989FB"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Pr>
                <w:rFonts w:cs="Calibri"/>
                <w:sz w:val="16"/>
                <w:szCs w:val="16"/>
              </w:rPr>
              <w:t>E</w:t>
            </w:r>
            <w:r>
              <w:rPr>
                <w:rFonts w:cs="Calibri"/>
                <w:sz w:val="16"/>
                <w:szCs w:val="16"/>
              </w:rPr>
              <w:noBreakHyphen/>
              <w:t>cig</w:t>
            </w:r>
            <w:r w:rsidRPr="000F6DEF">
              <w:rPr>
                <w:rFonts w:cs="Calibri"/>
                <w:sz w:val="16"/>
                <w:szCs w:val="16"/>
              </w:rPr>
              <w:t xml:space="preserve">arette ever use 19.25% </w:t>
            </w:r>
            <w:r w:rsidRPr="000F6DEF">
              <w:rPr>
                <w:rFonts w:cs="Calibri"/>
                <w:sz w:val="16"/>
                <w:szCs w:val="16"/>
              </w:rPr>
              <w:br/>
              <w:t xml:space="preserve">Parental attitudes, sibling substance use and age (younger?) predicted </w:t>
            </w:r>
            <w:r>
              <w:rPr>
                <w:rFonts w:cs="Calibri"/>
                <w:sz w:val="16"/>
                <w:szCs w:val="16"/>
              </w:rPr>
              <w:t>e</w:t>
            </w:r>
            <w:r>
              <w:rPr>
                <w:rFonts w:cs="Calibri"/>
                <w:sz w:val="16"/>
                <w:szCs w:val="16"/>
              </w:rPr>
              <w:noBreakHyphen/>
              <w:t>cig</w:t>
            </w:r>
            <w:r w:rsidRPr="000F6DEF">
              <w:rPr>
                <w:rFonts w:cs="Calibri"/>
                <w:sz w:val="16"/>
                <w:szCs w:val="16"/>
              </w:rPr>
              <w:t>arette use</w:t>
            </w:r>
          </w:p>
        </w:tc>
        <w:tc>
          <w:tcPr>
            <w:tcW w:w="4428" w:type="dxa"/>
          </w:tcPr>
          <w:p w14:paraId="47BF2F23"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Findings from the current study indicate the need to educate parents on the dangers of </w:t>
            </w:r>
            <w:r>
              <w:rPr>
                <w:rFonts w:cs="Calibri"/>
                <w:sz w:val="16"/>
                <w:szCs w:val="16"/>
              </w:rPr>
              <w:t>e</w:t>
            </w:r>
            <w:r>
              <w:rPr>
                <w:rFonts w:cs="Calibri"/>
                <w:sz w:val="16"/>
                <w:szCs w:val="16"/>
              </w:rPr>
              <w:noBreakHyphen/>
              <w:t>cig</w:t>
            </w:r>
            <w:r w:rsidRPr="000F6DEF">
              <w:rPr>
                <w:rFonts w:cs="Calibri"/>
                <w:sz w:val="16"/>
                <w:szCs w:val="16"/>
              </w:rPr>
              <w:t xml:space="preserve">arette use and for the need for parents to convey their negative viewpoints of </w:t>
            </w:r>
            <w:r>
              <w:rPr>
                <w:rFonts w:cs="Calibri"/>
                <w:sz w:val="16"/>
                <w:szCs w:val="16"/>
              </w:rPr>
              <w:t>e</w:t>
            </w:r>
            <w:r>
              <w:rPr>
                <w:rFonts w:cs="Calibri"/>
                <w:sz w:val="16"/>
                <w:szCs w:val="16"/>
              </w:rPr>
              <w:noBreakHyphen/>
              <w:t>cig</w:t>
            </w:r>
            <w:r w:rsidRPr="000F6DEF">
              <w:rPr>
                <w:rFonts w:cs="Calibri"/>
                <w:sz w:val="16"/>
                <w:szCs w:val="16"/>
              </w:rPr>
              <w:t>arette use to their children.</w:t>
            </w:r>
          </w:p>
        </w:tc>
      </w:tr>
      <w:tr w:rsidR="00B85C33" w:rsidRPr="000F6DEF" w14:paraId="5371AA44" w14:textId="77777777" w:rsidTr="000376C7">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1435" w:type="dxa"/>
          </w:tcPr>
          <w:p w14:paraId="2975F664" w14:textId="77777777" w:rsidR="00B85C33" w:rsidRPr="000F6DEF" w:rsidRDefault="00B85C33" w:rsidP="000376C7">
            <w:pPr>
              <w:rPr>
                <w:rFonts w:cs="Calibri"/>
                <w:sz w:val="16"/>
                <w:szCs w:val="16"/>
              </w:rPr>
            </w:pPr>
            <w:r w:rsidRPr="000F6DEF">
              <w:rPr>
                <w:rFonts w:cs="Calibri"/>
                <w:sz w:val="16"/>
                <w:szCs w:val="16"/>
              </w:rPr>
              <w:t>Franks, Hawkes, McCain, Payakachat</w:t>
            </w:r>
          </w:p>
        </w:tc>
        <w:tc>
          <w:tcPr>
            <w:tcW w:w="2529" w:type="dxa"/>
          </w:tcPr>
          <w:p w14:paraId="2D7A34D8"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Our study evaluated the electronic cigarette (</w:t>
            </w:r>
            <w:r>
              <w:rPr>
                <w:rFonts w:cs="Calibri"/>
                <w:sz w:val="16"/>
                <w:szCs w:val="16"/>
              </w:rPr>
              <w:t>e</w:t>
            </w:r>
            <w:r>
              <w:rPr>
                <w:rFonts w:cs="Calibri"/>
                <w:sz w:val="16"/>
                <w:szCs w:val="16"/>
              </w:rPr>
              <w:noBreakHyphen/>
              <w:t>cig</w:t>
            </w:r>
            <w:r w:rsidRPr="000F6DEF">
              <w:rPr>
                <w:rFonts w:cs="Calibri"/>
                <w:sz w:val="16"/>
                <w:szCs w:val="16"/>
              </w:rPr>
              <w:t>arette) use, knowledge, and perceptions of health professional students enrolled in one of five colleges at a single academic health centre.</w:t>
            </w:r>
          </w:p>
        </w:tc>
        <w:tc>
          <w:tcPr>
            <w:tcW w:w="6521" w:type="dxa"/>
          </w:tcPr>
          <w:p w14:paraId="444A0621"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99.2% awareness of </w:t>
            </w:r>
            <w:r>
              <w:rPr>
                <w:rFonts w:cs="Calibri"/>
                <w:sz w:val="16"/>
                <w:szCs w:val="16"/>
              </w:rPr>
              <w:t>e</w:t>
            </w:r>
            <w:r>
              <w:rPr>
                <w:rFonts w:cs="Calibri"/>
                <w:sz w:val="16"/>
                <w:szCs w:val="16"/>
              </w:rPr>
              <w:noBreakHyphen/>
              <w:t>cig</w:t>
            </w:r>
            <w:r w:rsidRPr="000F6DEF">
              <w:rPr>
                <w:rFonts w:cs="Calibri"/>
                <w:sz w:val="16"/>
                <w:szCs w:val="16"/>
              </w:rPr>
              <w:t>arettes</w:t>
            </w:r>
            <w:r w:rsidRPr="000F6DEF">
              <w:rPr>
                <w:rFonts w:cs="Calibri"/>
                <w:sz w:val="16"/>
                <w:szCs w:val="16"/>
              </w:rPr>
              <w:br/>
              <w:t>24.2% ever use of these 23.1% used for smoking cessation</w:t>
            </w:r>
            <w:r w:rsidRPr="000F6DEF">
              <w:rPr>
                <w:rFonts w:cs="Calibri"/>
                <w:sz w:val="16"/>
                <w:szCs w:val="16"/>
              </w:rPr>
              <w:br/>
              <w:t xml:space="preserve">Participants enrolled in the colleges of public health, pharmacy, and nursing had statistically higher knowledge scores than those from allied health programs. However, mean scores from each of these groups were below 75% correct, indicating substantial gaps in knowledge about </w:t>
            </w:r>
            <w:r>
              <w:rPr>
                <w:rFonts w:cs="Calibri"/>
                <w:sz w:val="16"/>
                <w:szCs w:val="16"/>
              </w:rPr>
              <w:t>e</w:t>
            </w:r>
            <w:r>
              <w:rPr>
                <w:rFonts w:cs="Calibri"/>
                <w:sz w:val="16"/>
                <w:szCs w:val="16"/>
              </w:rPr>
              <w:noBreakHyphen/>
              <w:t>cig</w:t>
            </w:r>
            <w:r w:rsidRPr="000F6DEF">
              <w:rPr>
                <w:rFonts w:cs="Calibri"/>
                <w:sz w:val="16"/>
                <w:szCs w:val="16"/>
              </w:rPr>
              <w:t>arettes even among the most knowledgeable groups</w:t>
            </w:r>
            <w:r w:rsidRPr="000F6DEF">
              <w:rPr>
                <w:rFonts w:cs="Calibri"/>
                <w:sz w:val="16"/>
                <w:szCs w:val="16"/>
              </w:rPr>
              <w:br/>
              <w:t xml:space="preserve">Perceptions relating to smoking cessation, harm reduction, and opposition to enhanced </w:t>
            </w:r>
            <w:r>
              <w:rPr>
                <w:rFonts w:cs="Calibri"/>
                <w:sz w:val="16"/>
                <w:szCs w:val="16"/>
              </w:rPr>
              <w:t>e</w:t>
            </w:r>
            <w:r>
              <w:rPr>
                <w:rFonts w:cs="Calibri"/>
                <w:sz w:val="16"/>
                <w:szCs w:val="16"/>
              </w:rPr>
              <w:noBreakHyphen/>
              <w:t>cig</w:t>
            </w:r>
            <w:r w:rsidRPr="000F6DEF">
              <w:rPr>
                <w:rFonts w:cs="Calibri"/>
                <w:sz w:val="16"/>
                <w:szCs w:val="16"/>
              </w:rPr>
              <w:t xml:space="preserve">arette regulation were all associated with using </w:t>
            </w:r>
            <w:r>
              <w:rPr>
                <w:rFonts w:cs="Calibri"/>
                <w:sz w:val="16"/>
                <w:szCs w:val="16"/>
              </w:rPr>
              <w:t>e</w:t>
            </w:r>
            <w:r>
              <w:rPr>
                <w:rFonts w:cs="Calibri"/>
                <w:sz w:val="16"/>
                <w:szCs w:val="16"/>
              </w:rPr>
              <w:noBreakHyphen/>
              <w:t>cig</w:t>
            </w:r>
            <w:r w:rsidRPr="000F6DEF">
              <w:rPr>
                <w:rFonts w:cs="Calibri"/>
                <w:sz w:val="16"/>
                <w:szCs w:val="16"/>
              </w:rPr>
              <w:t>arettes</w:t>
            </w:r>
          </w:p>
        </w:tc>
        <w:tc>
          <w:tcPr>
            <w:tcW w:w="4428" w:type="dxa"/>
          </w:tcPr>
          <w:p w14:paraId="66D9FAA6"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Our study is the first to examine the use, knowledge, and perception of </w:t>
            </w:r>
            <w:r>
              <w:rPr>
                <w:rFonts w:cs="Calibri"/>
                <w:sz w:val="16"/>
                <w:szCs w:val="16"/>
              </w:rPr>
              <w:t>e</w:t>
            </w:r>
            <w:r>
              <w:rPr>
                <w:rFonts w:cs="Calibri"/>
                <w:sz w:val="16"/>
                <w:szCs w:val="16"/>
              </w:rPr>
              <w:noBreakHyphen/>
              <w:t>cig</w:t>
            </w:r>
            <w:r w:rsidRPr="000F6DEF">
              <w:rPr>
                <w:rFonts w:cs="Calibri"/>
                <w:sz w:val="16"/>
                <w:szCs w:val="16"/>
              </w:rPr>
              <w:t xml:space="preserve">arettes among health professional students from a wide variety of disciplines. We found the highest estimate of </w:t>
            </w:r>
            <w:r>
              <w:rPr>
                <w:rFonts w:cs="Calibri"/>
                <w:sz w:val="16"/>
                <w:szCs w:val="16"/>
              </w:rPr>
              <w:t>e</w:t>
            </w:r>
            <w:r>
              <w:rPr>
                <w:rFonts w:cs="Calibri"/>
                <w:sz w:val="16"/>
                <w:szCs w:val="16"/>
              </w:rPr>
              <w:noBreakHyphen/>
              <w:t>cig</w:t>
            </w:r>
            <w:r w:rsidRPr="000F6DEF">
              <w:rPr>
                <w:rFonts w:cs="Calibri"/>
                <w:sz w:val="16"/>
                <w:szCs w:val="16"/>
              </w:rPr>
              <w:t xml:space="preserve">arette use to date among health professional students, as well as notable across disciplines of health professional students. We also found that perceptions of using </w:t>
            </w:r>
            <w:r>
              <w:rPr>
                <w:rFonts w:cs="Calibri"/>
                <w:sz w:val="16"/>
                <w:szCs w:val="16"/>
              </w:rPr>
              <w:t>e</w:t>
            </w:r>
            <w:r>
              <w:rPr>
                <w:rFonts w:cs="Calibri"/>
                <w:sz w:val="16"/>
                <w:szCs w:val="16"/>
              </w:rPr>
              <w:noBreakHyphen/>
              <w:t>cig</w:t>
            </w:r>
            <w:r w:rsidRPr="000F6DEF">
              <w:rPr>
                <w:rFonts w:cs="Calibri"/>
                <w:sz w:val="16"/>
                <w:szCs w:val="16"/>
              </w:rPr>
              <w:t xml:space="preserve">arettes as smoking cessation aids, a perceived reduction in harm compared to tobacco, and a preference for reduced </w:t>
            </w:r>
            <w:r>
              <w:rPr>
                <w:rFonts w:cs="Calibri"/>
                <w:sz w:val="16"/>
                <w:szCs w:val="16"/>
              </w:rPr>
              <w:t>e</w:t>
            </w:r>
            <w:r>
              <w:rPr>
                <w:rFonts w:cs="Calibri"/>
                <w:sz w:val="16"/>
                <w:szCs w:val="16"/>
              </w:rPr>
              <w:noBreakHyphen/>
              <w:t>cig</w:t>
            </w:r>
            <w:r w:rsidRPr="000F6DEF">
              <w:rPr>
                <w:rFonts w:cs="Calibri"/>
                <w:sz w:val="16"/>
                <w:szCs w:val="16"/>
              </w:rPr>
              <w:t xml:space="preserve">arette regulation were all significantly associated with using </w:t>
            </w:r>
            <w:r>
              <w:rPr>
                <w:rFonts w:cs="Calibri"/>
                <w:sz w:val="16"/>
                <w:szCs w:val="16"/>
              </w:rPr>
              <w:t>e</w:t>
            </w:r>
            <w:r>
              <w:rPr>
                <w:rFonts w:cs="Calibri"/>
                <w:sz w:val="16"/>
                <w:szCs w:val="16"/>
              </w:rPr>
              <w:noBreakHyphen/>
              <w:t>cig</w:t>
            </w:r>
            <w:r w:rsidRPr="000F6DEF">
              <w:rPr>
                <w:rFonts w:cs="Calibri"/>
                <w:sz w:val="16"/>
                <w:szCs w:val="16"/>
              </w:rPr>
              <w:t>arettes.</w:t>
            </w:r>
          </w:p>
        </w:tc>
      </w:tr>
      <w:tr w:rsidR="00B85C33" w:rsidRPr="000F6DEF" w14:paraId="5720EFA6" w14:textId="77777777" w:rsidTr="000376C7">
        <w:trPr>
          <w:trHeight w:val="94"/>
        </w:trPr>
        <w:tc>
          <w:tcPr>
            <w:cnfStyle w:val="001000000000" w:firstRow="0" w:lastRow="0" w:firstColumn="1" w:lastColumn="0" w:oddVBand="0" w:evenVBand="0" w:oddHBand="0" w:evenHBand="0" w:firstRowFirstColumn="0" w:firstRowLastColumn="0" w:lastRowFirstColumn="0" w:lastRowLastColumn="0"/>
            <w:tcW w:w="1435" w:type="dxa"/>
          </w:tcPr>
          <w:p w14:paraId="4A9DC520" w14:textId="77777777" w:rsidR="00B85C33" w:rsidRPr="000F6DEF" w:rsidRDefault="00B85C33" w:rsidP="000376C7">
            <w:pPr>
              <w:rPr>
                <w:rFonts w:cs="Calibri"/>
                <w:sz w:val="16"/>
                <w:szCs w:val="16"/>
              </w:rPr>
            </w:pPr>
            <w:r w:rsidRPr="000F6DEF">
              <w:rPr>
                <w:rFonts w:cs="Calibri"/>
                <w:sz w:val="16"/>
                <w:szCs w:val="16"/>
              </w:rPr>
              <w:t>Hall, Austin, Do et al</w:t>
            </w:r>
          </w:p>
        </w:tc>
        <w:tc>
          <w:tcPr>
            <w:tcW w:w="2529" w:type="dxa"/>
          </w:tcPr>
          <w:p w14:paraId="21A02EF9"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The purpose of this study was to assess the prevalence and correlates of </w:t>
            </w:r>
            <w:r>
              <w:rPr>
                <w:rFonts w:cs="Calibri"/>
                <w:sz w:val="16"/>
                <w:szCs w:val="16"/>
              </w:rPr>
              <w:t>e</w:t>
            </w:r>
            <w:r>
              <w:rPr>
                <w:rFonts w:cs="Calibri"/>
                <w:sz w:val="16"/>
                <w:szCs w:val="16"/>
              </w:rPr>
              <w:noBreakHyphen/>
              <w:t>cig</w:t>
            </w:r>
            <w:r w:rsidRPr="000F6DEF">
              <w:rPr>
                <w:rFonts w:cs="Calibri"/>
                <w:sz w:val="16"/>
                <w:szCs w:val="16"/>
              </w:rPr>
              <w:t>arette use in a select population of active duty U.S. Naval personnel.</w:t>
            </w:r>
          </w:p>
        </w:tc>
        <w:tc>
          <w:tcPr>
            <w:tcW w:w="6521" w:type="dxa"/>
          </w:tcPr>
          <w:p w14:paraId="1936D1D6"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Ever use </w:t>
            </w:r>
            <w:r>
              <w:rPr>
                <w:rFonts w:cs="Calibri"/>
                <w:sz w:val="16"/>
                <w:szCs w:val="16"/>
              </w:rPr>
              <w:t>e</w:t>
            </w:r>
            <w:r>
              <w:rPr>
                <w:rFonts w:cs="Calibri"/>
                <w:sz w:val="16"/>
                <w:szCs w:val="16"/>
              </w:rPr>
              <w:noBreakHyphen/>
              <w:t>cig</w:t>
            </w:r>
            <w:r w:rsidRPr="000F6DEF">
              <w:rPr>
                <w:rFonts w:cs="Calibri"/>
                <w:sz w:val="16"/>
                <w:szCs w:val="16"/>
              </w:rPr>
              <w:t>arette 31.4%</w:t>
            </w:r>
            <w:r w:rsidRPr="000F6DEF">
              <w:rPr>
                <w:rFonts w:cs="Calibri"/>
                <w:sz w:val="16"/>
                <w:szCs w:val="16"/>
              </w:rPr>
              <w:br/>
              <w:t xml:space="preserve">9.3% current users </w:t>
            </w:r>
            <w:r>
              <w:rPr>
                <w:rFonts w:cs="Calibri"/>
                <w:sz w:val="16"/>
                <w:szCs w:val="16"/>
              </w:rPr>
              <w:t>e</w:t>
            </w:r>
            <w:r>
              <w:rPr>
                <w:rFonts w:cs="Calibri"/>
                <w:sz w:val="16"/>
                <w:szCs w:val="16"/>
              </w:rPr>
              <w:noBreakHyphen/>
              <w:t>cig</w:t>
            </w:r>
            <w:r w:rsidRPr="000F6DEF">
              <w:rPr>
                <w:rFonts w:cs="Calibri"/>
                <w:sz w:val="16"/>
                <w:szCs w:val="16"/>
              </w:rPr>
              <w:t>arette</w:t>
            </w:r>
            <w:r w:rsidRPr="000F6DEF">
              <w:rPr>
                <w:rFonts w:cs="Calibri"/>
                <w:sz w:val="16"/>
                <w:szCs w:val="16"/>
              </w:rPr>
              <w:br/>
              <w:t xml:space="preserve">Having a Bachelor degree and higher income protective against current use </w:t>
            </w:r>
            <w:r>
              <w:rPr>
                <w:rFonts w:cs="Calibri"/>
                <w:sz w:val="16"/>
                <w:szCs w:val="16"/>
              </w:rPr>
              <w:t>e</w:t>
            </w:r>
            <w:r>
              <w:rPr>
                <w:rFonts w:cs="Calibri"/>
                <w:sz w:val="16"/>
                <w:szCs w:val="16"/>
              </w:rPr>
              <w:noBreakHyphen/>
              <w:t>cig</w:t>
            </w:r>
            <w:r w:rsidRPr="000F6DEF">
              <w:rPr>
                <w:rFonts w:cs="Calibri"/>
                <w:sz w:val="16"/>
                <w:szCs w:val="16"/>
              </w:rPr>
              <w:br/>
              <w:t xml:space="preserve">Trying cigarettes was associated with nearly 12 times the risk for trying </w:t>
            </w:r>
            <w:r>
              <w:rPr>
                <w:rFonts w:cs="Calibri"/>
                <w:sz w:val="16"/>
                <w:szCs w:val="16"/>
              </w:rPr>
              <w:t>e</w:t>
            </w:r>
            <w:r>
              <w:rPr>
                <w:rFonts w:cs="Calibri"/>
                <w:sz w:val="16"/>
                <w:szCs w:val="16"/>
              </w:rPr>
              <w:noBreakHyphen/>
              <w:t>cig</w:t>
            </w:r>
            <w:r w:rsidRPr="000F6DEF">
              <w:rPr>
                <w:rFonts w:cs="Calibri"/>
                <w:sz w:val="16"/>
                <w:szCs w:val="16"/>
              </w:rPr>
              <w:t>arettes compared with those who never tried cigarettes</w:t>
            </w:r>
          </w:p>
        </w:tc>
        <w:tc>
          <w:tcPr>
            <w:tcW w:w="4428" w:type="dxa"/>
          </w:tcPr>
          <w:p w14:paraId="671CCE3D"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The findings of increased risk of </w:t>
            </w:r>
            <w:r>
              <w:rPr>
                <w:rFonts w:cs="Calibri"/>
                <w:sz w:val="16"/>
                <w:szCs w:val="16"/>
              </w:rPr>
              <w:t>e</w:t>
            </w:r>
            <w:r>
              <w:rPr>
                <w:rFonts w:cs="Calibri"/>
                <w:sz w:val="16"/>
                <w:szCs w:val="16"/>
              </w:rPr>
              <w:noBreakHyphen/>
              <w:t>cig</w:t>
            </w:r>
            <w:r w:rsidRPr="000F6DEF">
              <w:rPr>
                <w:rFonts w:cs="Calibri"/>
                <w:sz w:val="16"/>
                <w:szCs w:val="16"/>
              </w:rPr>
              <w:t xml:space="preserve">arette use among those with lower income and less than a bachelor's degree suggest social determinants of health implications. This study sheds new light on </w:t>
            </w:r>
            <w:r>
              <w:rPr>
                <w:rFonts w:cs="Calibri"/>
                <w:sz w:val="16"/>
                <w:szCs w:val="16"/>
              </w:rPr>
              <w:t>e</w:t>
            </w:r>
            <w:r>
              <w:rPr>
                <w:rFonts w:cs="Calibri"/>
                <w:sz w:val="16"/>
                <w:szCs w:val="16"/>
              </w:rPr>
              <w:noBreakHyphen/>
              <w:t>cig</w:t>
            </w:r>
            <w:r w:rsidRPr="000F6DEF">
              <w:rPr>
                <w:rFonts w:cs="Calibri"/>
                <w:sz w:val="16"/>
                <w:szCs w:val="16"/>
              </w:rPr>
              <w:t xml:space="preserve">arette use, characteristics of use, addiction </w:t>
            </w:r>
            <w:r w:rsidRPr="000F6DEF">
              <w:rPr>
                <w:rFonts w:cs="Calibri"/>
                <w:sz w:val="16"/>
                <w:szCs w:val="16"/>
              </w:rPr>
              <w:lastRenderedPageBreak/>
              <w:t>implications, and highlights concerns for a growing health risk behaviour.</w:t>
            </w:r>
          </w:p>
        </w:tc>
      </w:tr>
      <w:tr w:rsidR="00B85C33" w:rsidRPr="000F6DEF" w14:paraId="15D6A97C" w14:textId="77777777" w:rsidTr="000376C7">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1435" w:type="dxa"/>
          </w:tcPr>
          <w:p w14:paraId="259685F4" w14:textId="77777777" w:rsidR="00B85C33" w:rsidRPr="000F6DEF" w:rsidRDefault="00B85C33" w:rsidP="000376C7">
            <w:pPr>
              <w:rPr>
                <w:rFonts w:cs="Calibri"/>
                <w:sz w:val="16"/>
                <w:szCs w:val="16"/>
              </w:rPr>
            </w:pPr>
            <w:r w:rsidRPr="000F6DEF">
              <w:rPr>
                <w:rFonts w:cs="Calibri"/>
                <w:sz w:val="16"/>
                <w:szCs w:val="16"/>
              </w:rPr>
              <w:lastRenderedPageBreak/>
              <w:t>Hershberger, Connors, Um, Cyders</w:t>
            </w:r>
          </w:p>
        </w:tc>
        <w:tc>
          <w:tcPr>
            <w:tcW w:w="2529" w:type="dxa"/>
          </w:tcPr>
          <w:p w14:paraId="1A9DA288"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The current paper applied the theory of planned behaviour to understand how impulsive personality traits and attitudes concerning </w:t>
            </w:r>
            <w:r>
              <w:rPr>
                <w:rFonts w:cs="Calibri"/>
                <w:sz w:val="16"/>
                <w:szCs w:val="16"/>
              </w:rPr>
              <w:t>e</w:t>
            </w:r>
            <w:r>
              <w:rPr>
                <w:rFonts w:cs="Calibri"/>
                <w:sz w:val="16"/>
                <w:szCs w:val="16"/>
              </w:rPr>
              <w:noBreakHyphen/>
              <w:t>cig</w:t>
            </w:r>
            <w:r w:rsidRPr="000F6DEF">
              <w:rPr>
                <w:rFonts w:cs="Calibri"/>
                <w:sz w:val="16"/>
                <w:szCs w:val="16"/>
              </w:rPr>
              <w:t>arette use relate to the likelihood of electronic cigarette (</w:t>
            </w:r>
            <w:r>
              <w:rPr>
                <w:rFonts w:cs="Calibri"/>
                <w:sz w:val="16"/>
                <w:szCs w:val="16"/>
              </w:rPr>
              <w:t>e</w:t>
            </w:r>
            <w:r>
              <w:rPr>
                <w:rFonts w:cs="Calibri"/>
                <w:sz w:val="16"/>
                <w:szCs w:val="16"/>
              </w:rPr>
              <w:noBreakHyphen/>
              <w:t>cig</w:t>
            </w:r>
            <w:r w:rsidRPr="000F6DEF">
              <w:rPr>
                <w:rFonts w:cs="Calibri"/>
                <w:sz w:val="16"/>
                <w:szCs w:val="16"/>
              </w:rPr>
              <w:t>) use.</w:t>
            </w:r>
          </w:p>
        </w:tc>
        <w:tc>
          <w:tcPr>
            <w:tcW w:w="6521" w:type="dxa"/>
          </w:tcPr>
          <w:p w14:paraId="2C70FA6C" w14:textId="77777777" w:rsidR="00B85C33" w:rsidRPr="000F6DEF" w:rsidRDefault="00B85C33" w:rsidP="000376C7">
            <w:pPr>
              <w:spacing w:after="240"/>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30.3% </w:t>
            </w:r>
            <w:r>
              <w:rPr>
                <w:rFonts w:cs="Calibri"/>
                <w:sz w:val="16"/>
                <w:szCs w:val="16"/>
              </w:rPr>
              <w:t>e</w:t>
            </w:r>
            <w:r>
              <w:rPr>
                <w:rFonts w:cs="Calibri"/>
                <w:sz w:val="16"/>
                <w:szCs w:val="16"/>
              </w:rPr>
              <w:noBreakHyphen/>
              <w:t>cig</w:t>
            </w:r>
            <w:r w:rsidRPr="000F6DEF">
              <w:rPr>
                <w:rFonts w:cs="Calibri"/>
                <w:sz w:val="16"/>
                <w:szCs w:val="16"/>
              </w:rPr>
              <w:t xml:space="preserve">arette users (y/n). Urgency and deficits in conscientiousness were significantly related to </w:t>
            </w:r>
            <w:r>
              <w:rPr>
                <w:rFonts w:cs="Calibri"/>
                <w:sz w:val="16"/>
                <w:szCs w:val="16"/>
              </w:rPr>
              <w:t>e</w:t>
            </w:r>
            <w:r>
              <w:rPr>
                <w:rFonts w:cs="Calibri"/>
                <w:sz w:val="16"/>
                <w:szCs w:val="16"/>
              </w:rPr>
              <w:noBreakHyphen/>
              <w:t>cig</w:t>
            </w:r>
            <w:r w:rsidRPr="000F6DEF">
              <w:rPr>
                <w:rFonts w:cs="Calibri"/>
                <w:sz w:val="16"/>
                <w:szCs w:val="16"/>
              </w:rPr>
              <w:t xml:space="preserve">arette attitudes (CFI=0.99, TLI=0.99, RMSEA=0.02; urgency: β=0.32, p=0.001; deficits in conscientiousness: β=−0.48, p&lt;0.001). </w:t>
            </w:r>
            <w:r>
              <w:rPr>
                <w:rFonts w:cs="Calibri"/>
                <w:sz w:val="16"/>
                <w:szCs w:val="16"/>
              </w:rPr>
              <w:t>E</w:t>
            </w:r>
            <w:r>
              <w:rPr>
                <w:rFonts w:cs="Calibri"/>
                <w:sz w:val="16"/>
                <w:szCs w:val="16"/>
              </w:rPr>
              <w:noBreakHyphen/>
              <w:t>cig</w:t>
            </w:r>
            <w:r w:rsidRPr="000F6DEF">
              <w:rPr>
                <w:rFonts w:cs="Calibri"/>
                <w:sz w:val="16"/>
                <w:szCs w:val="16"/>
              </w:rPr>
              <w:t xml:space="preserve">arette attitude scores were significantly higher for </w:t>
            </w:r>
            <w:r>
              <w:rPr>
                <w:rFonts w:cs="Calibri"/>
                <w:sz w:val="16"/>
                <w:szCs w:val="16"/>
              </w:rPr>
              <w:t>e</w:t>
            </w:r>
            <w:r>
              <w:rPr>
                <w:rFonts w:cs="Calibri"/>
                <w:sz w:val="16"/>
                <w:szCs w:val="16"/>
              </w:rPr>
              <w:noBreakHyphen/>
              <w:t>cig</w:t>
            </w:r>
            <w:r w:rsidRPr="000F6DEF">
              <w:rPr>
                <w:rFonts w:cs="Calibri"/>
                <w:sz w:val="16"/>
                <w:szCs w:val="16"/>
              </w:rPr>
              <w:t>arette users than non</w:t>
            </w:r>
            <w:r w:rsidRPr="000F6DEF">
              <w:rPr>
                <w:rFonts w:cs="Calibri"/>
                <w:sz w:val="16"/>
                <w:szCs w:val="16"/>
              </w:rPr>
              <w:noBreakHyphen/>
              <w:t>users, β=0.85, p&lt;0.001.</w:t>
            </w:r>
            <w:r w:rsidRPr="000F6DEF">
              <w:rPr>
                <w:rFonts w:cs="Calibri"/>
                <w:sz w:val="16"/>
                <w:szCs w:val="16"/>
              </w:rPr>
              <w:br/>
            </w:r>
          </w:p>
        </w:tc>
        <w:tc>
          <w:tcPr>
            <w:tcW w:w="4428" w:type="dxa"/>
          </w:tcPr>
          <w:p w14:paraId="0543D1DC" w14:textId="77777777" w:rsidR="00B85C33" w:rsidRPr="000F6DEF" w:rsidRDefault="00B85C33" w:rsidP="000376C7">
            <w:pPr>
              <w:spacing w:after="0"/>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Findings provide initial support for a model in which impulsive traits are related to </w:t>
            </w:r>
            <w:r>
              <w:rPr>
                <w:rFonts w:cs="Calibri"/>
                <w:sz w:val="16"/>
                <w:szCs w:val="16"/>
              </w:rPr>
              <w:t>e</w:t>
            </w:r>
            <w:r>
              <w:rPr>
                <w:rFonts w:cs="Calibri"/>
                <w:sz w:val="16"/>
                <w:szCs w:val="16"/>
              </w:rPr>
              <w:noBreakHyphen/>
              <w:t>cig</w:t>
            </w:r>
            <w:r w:rsidRPr="000F6DEF">
              <w:rPr>
                <w:rFonts w:cs="Calibri"/>
                <w:sz w:val="16"/>
                <w:szCs w:val="16"/>
              </w:rPr>
              <w:t xml:space="preserve">arette use through positive </w:t>
            </w:r>
            <w:r>
              <w:rPr>
                <w:rFonts w:cs="Calibri"/>
                <w:sz w:val="16"/>
                <w:szCs w:val="16"/>
              </w:rPr>
              <w:t>e</w:t>
            </w:r>
            <w:r>
              <w:rPr>
                <w:rFonts w:cs="Calibri"/>
                <w:sz w:val="16"/>
                <w:szCs w:val="16"/>
              </w:rPr>
              <w:noBreakHyphen/>
              <w:t>cig</w:t>
            </w:r>
            <w:r w:rsidRPr="000F6DEF">
              <w:rPr>
                <w:rFonts w:cs="Calibri"/>
                <w:sz w:val="16"/>
                <w:szCs w:val="16"/>
              </w:rPr>
              <w:t>arette attitudes</w:t>
            </w:r>
          </w:p>
        </w:tc>
      </w:tr>
      <w:tr w:rsidR="00B85C33" w:rsidRPr="000F6DEF" w14:paraId="23598A1B" w14:textId="77777777" w:rsidTr="000376C7">
        <w:trPr>
          <w:trHeight w:val="94"/>
        </w:trPr>
        <w:tc>
          <w:tcPr>
            <w:cnfStyle w:val="001000000000" w:firstRow="0" w:lastRow="0" w:firstColumn="1" w:lastColumn="0" w:oddVBand="0" w:evenVBand="0" w:oddHBand="0" w:evenHBand="0" w:firstRowFirstColumn="0" w:firstRowLastColumn="0" w:lastRowFirstColumn="0" w:lastRowLastColumn="0"/>
            <w:tcW w:w="1435" w:type="dxa"/>
          </w:tcPr>
          <w:p w14:paraId="6730B53D" w14:textId="77777777" w:rsidR="00B85C33" w:rsidRPr="000F6DEF" w:rsidRDefault="00B85C33" w:rsidP="000376C7">
            <w:pPr>
              <w:rPr>
                <w:rFonts w:cs="Calibri"/>
                <w:sz w:val="16"/>
                <w:szCs w:val="16"/>
              </w:rPr>
            </w:pPr>
            <w:r w:rsidRPr="000F6DEF">
              <w:rPr>
                <w:rFonts w:cs="Calibri"/>
                <w:sz w:val="16"/>
                <w:szCs w:val="16"/>
              </w:rPr>
              <w:t>Johnson, Mays, Hawkins et al</w:t>
            </w:r>
          </w:p>
        </w:tc>
        <w:tc>
          <w:tcPr>
            <w:tcW w:w="2529" w:type="dxa"/>
          </w:tcPr>
          <w:p w14:paraId="52A5D208"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This study examined youths’ perceptions of electronic cigarettes (“</w:t>
            </w:r>
            <w:r>
              <w:rPr>
                <w:rFonts w:cs="Calibri"/>
                <w:sz w:val="16"/>
                <w:szCs w:val="16"/>
              </w:rPr>
              <w:t>e</w:t>
            </w:r>
            <w:r>
              <w:rPr>
                <w:rFonts w:cs="Calibri"/>
                <w:sz w:val="16"/>
                <w:szCs w:val="16"/>
              </w:rPr>
              <w:noBreakHyphen/>
              <w:t>cig</w:t>
            </w:r>
            <w:r w:rsidRPr="000F6DEF">
              <w:rPr>
                <w:rFonts w:cs="Calibri"/>
                <w:sz w:val="16"/>
                <w:szCs w:val="16"/>
              </w:rPr>
              <w:t xml:space="preserve">arettes”), sources of </w:t>
            </w:r>
            <w:r>
              <w:rPr>
                <w:rFonts w:cs="Calibri"/>
                <w:sz w:val="16"/>
                <w:szCs w:val="16"/>
              </w:rPr>
              <w:t>e</w:t>
            </w:r>
            <w:r>
              <w:rPr>
                <w:rFonts w:cs="Calibri"/>
                <w:sz w:val="16"/>
                <w:szCs w:val="16"/>
              </w:rPr>
              <w:noBreakHyphen/>
              <w:t>cig</w:t>
            </w:r>
            <w:r w:rsidRPr="000F6DEF">
              <w:rPr>
                <w:rFonts w:cs="Calibri"/>
                <w:sz w:val="16"/>
                <w:szCs w:val="16"/>
              </w:rPr>
              <w:t xml:space="preserve">arette exposure, and preferred sources of </w:t>
            </w:r>
            <w:r>
              <w:rPr>
                <w:rFonts w:cs="Calibri"/>
                <w:sz w:val="16"/>
                <w:szCs w:val="16"/>
              </w:rPr>
              <w:t>e</w:t>
            </w:r>
            <w:r>
              <w:rPr>
                <w:rFonts w:cs="Calibri"/>
                <w:sz w:val="16"/>
                <w:szCs w:val="16"/>
              </w:rPr>
              <w:noBreakHyphen/>
              <w:t>cig</w:t>
            </w:r>
            <w:r w:rsidRPr="000F6DEF">
              <w:rPr>
                <w:rFonts w:cs="Calibri"/>
                <w:sz w:val="16"/>
                <w:szCs w:val="16"/>
              </w:rPr>
              <w:t xml:space="preserve">arette health information. </w:t>
            </w:r>
          </w:p>
        </w:tc>
        <w:tc>
          <w:tcPr>
            <w:tcW w:w="6521" w:type="dxa"/>
          </w:tcPr>
          <w:p w14:paraId="3E7753D3"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Most participants (72%) perceived </w:t>
            </w:r>
            <w:r>
              <w:rPr>
                <w:rFonts w:cs="Calibri"/>
                <w:sz w:val="16"/>
                <w:szCs w:val="16"/>
              </w:rPr>
              <w:t>e</w:t>
            </w:r>
            <w:r>
              <w:rPr>
                <w:rFonts w:cs="Calibri"/>
                <w:sz w:val="16"/>
                <w:szCs w:val="16"/>
              </w:rPr>
              <w:noBreakHyphen/>
              <w:t>cig</w:t>
            </w:r>
            <w:r w:rsidRPr="000F6DEF">
              <w:rPr>
                <w:rFonts w:cs="Calibri"/>
                <w:sz w:val="16"/>
                <w:szCs w:val="16"/>
              </w:rPr>
              <w:t xml:space="preserve">arettes as “healthier” than cigarettes and reported </w:t>
            </w:r>
            <w:r>
              <w:rPr>
                <w:rFonts w:cs="Calibri"/>
                <w:sz w:val="16"/>
                <w:szCs w:val="16"/>
              </w:rPr>
              <w:t>e</w:t>
            </w:r>
            <w:r>
              <w:rPr>
                <w:rFonts w:cs="Calibri"/>
                <w:sz w:val="16"/>
                <w:szCs w:val="16"/>
              </w:rPr>
              <w:noBreakHyphen/>
              <w:t>cig</w:t>
            </w:r>
            <w:r w:rsidRPr="000F6DEF">
              <w:rPr>
                <w:rFonts w:cs="Calibri"/>
                <w:sz w:val="16"/>
                <w:szCs w:val="16"/>
              </w:rPr>
              <w:t xml:space="preserve">arette advertising exposure (80%) and interpersonal exposure (60%). Participants reported that advertisements portray </w:t>
            </w:r>
            <w:r>
              <w:rPr>
                <w:rFonts w:cs="Calibri"/>
                <w:sz w:val="16"/>
                <w:szCs w:val="16"/>
              </w:rPr>
              <w:t>e</w:t>
            </w:r>
            <w:r>
              <w:rPr>
                <w:rFonts w:cs="Calibri"/>
                <w:sz w:val="16"/>
                <w:szCs w:val="16"/>
              </w:rPr>
              <w:noBreakHyphen/>
              <w:t>cig</w:t>
            </w:r>
            <w:r w:rsidRPr="000F6DEF">
              <w:rPr>
                <w:rFonts w:cs="Calibri"/>
                <w:sz w:val="16"/>
                <w:szCs w:val="16"/>
              </w:rPr>
              <w:t xml:space="preserve">arettes as less harmful than cigarettes and novel products. Most (72%) indicated their doctor was their preferred source of </w:t>
            </w:r>
            <w:r>
              <w:rPr>
                <w:rFonts w:cs="Calibri"/>
                <w:sz w:val="16"/>
                <w:szCs w:val="16"/>
              </w:rPr>
              <w:t>e</w:t>
            </w:r>
            <w:r>
              <w:rPr>
                <w:rFonts w:cs="Calibri"/>
                <w:sz w:val="16"/>
                <w:szCs w:val="16"/>
              </w:rPr>
              <w:noBreakHyphen/>
              <w:t>cig</w:t>
            </w:r>
            <w:r w:rsidRPr="000F6DEF">
              <w:rPr>
                <w:rFonts w:cs="Calibri"/>
                <w:sz w:val="16"/>
                <w:szCs w:val="16"/>
              </w:rPr>
              <w:t>arette health information, suggesting paediatric health care providers are well</w:t>
            </w:r>
            <w:r w:rsidRPr="000F6DEF">
              <w:rPr>
                <w:rFonts w:cs="Calibri"/>
                <w:sz w:val="16"/>
                <w:szCs w:val="16"/>
              </w:rPr>
              <w:noBreakHyphen/>
              <w:t xml:space="preserve">positioned to counsel patients to prevent </w:t>
            </w:r>
            <w:r>
              <w:rPr>
                <w:rFonts w:cs="Calibri"/>
                <w:sz w:val="16"/>
                <w:szCs w:val="16"/>
              </w:rPr>
              <w:t>e</w:t>
            </w:r>
            <w:r>
              <w:rPr>
                <w:rFonts w:cs="Calibri"/>
                <w:sz w:val="16"/>
                <w:szCs w:val="16"/>
              </w:rPr>
              <w:noBreakHyphen/>
              <w:t>cig</w:t>
            </w:r>
            <w:r w:rsidRPr="000F6DEF">
              <w:rPr>
                <w:rFonts w:cs="Calibri"/>
                <w:sz w:val="16"/>
                <w:szCs w:val="16"/>
              </w:rPr>
              <w:t xml:space="preserve">arette use. </w:t>
            </w:r>
          </w:p>
        </w:tc>
        <w:tc>
          <w:tcPr>
            <w:tcW w:w="4428" w:type="dxa"/>
          </w:tcPr>
          <w:p w14:paraId="02D7941B"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Our findings highlight important areas of research to better understand risk factors for youth </w:t>
            </w:r>
            <w:r>
              <w:rPr>
                <w:rFonts w:cs="Calibri"/>
                <w:sz w:val="16"/>
                <w:szCs w:val="16"/>
              </w:rPr>
              <w:t>e</w:t>
            </w:r>
            <w:r>
              <w:rPr>
                <w:rFonts w:cs="Calibri"/>
                <w:sz w:val="16"/>
                <w:szCs w:val="16"/>
              </w:rPr>
              <w:noBreakHyphen/>
              <w:t>cig</w:t>
            </w:r>
            <w:r w:rsidRPr="000F6DEF">
              <w:rPr>
                <w:rFonts w:cs="Calibri"/>
                <w:sz w:val="16"/>
                <w:szCs w:val="16"/>
              </w:rPr>
              <w:t>arette use.</w:t>
            </w:r>
          </w:p>
        </w:tc>
      </w:tr>
      <w:tr w:rsidR="00B85C33" w:rsidRPr="000F6DEF" w14:paraId="49201252" w14:textId="77777777" w:rsidTr="000376C7">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1435" w:type="dxa"/>
          </w:tcPr>
          <w:p w14:paraId="3D13ED6D" w14:textId="77777777" w:rsidR="00B85C33" w:rsidRPr="000F6DEF" w:rsidRDefault="00B85C33" w:rsidP="000376C7">
            <w:pPr>
              <w:rPr>
                <w:rFonts w:cs="Calibri"/>
                <w:sz w:val="16"/>
                <w:szCs w:val="16"/>
              </w:rPr>
            </w:pPr>
            <w:r w:rsidRPr="000F6DEF">
              <w:rPr>
                <w:rFonts w:cs="Calibri"/>
                <w:sz w:val="16"/>
                <w:szCs w:val="16"/>
              </w:rPr>
              <w:t xml:space="preserve">King, Reboussin, Spangler et al </w:t>
            </w:r>
          </w:p>
        </w:tc>
        <w:tc>
          <w:tcPr>
            <w:tcW w:w="2529" w:type="dxa"/>
          </w:tcPr>
          <w:p w14:paraId="4088413E"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Individuals with mental health conditions represent a priority population for tobacco control. This population smokes cigarettes at disproportionately higher rates than the general population, but less is known about the relationship between non</w:t>
            </w:r>
            <w:r w:rsidRPr="000F6DEF">
              <w:rPr>
                <w:rFonts w:cs="Calibri"/>
                <w:sz w:val="16"/>
                <w:szCs w:val="16"/>
              </w:rPr>
              <w:noBreakHyphen/>
              <w:t xml:space="preserve">cigarette tobacco use and mental health status. </w:t>
            </w:r>
          </w:p>
        </w:tc>
        <w:tc>
          <w:tcPr>
            <w:tcW w:w="6521" w:type="dxa"/>
          </w:tcPr>
          <w:p w14:paraId="463BCEC6"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Total 30</w:t>
            </w:r>
            <w:r w:rsidRPr="000F6DEF">
              <w:rPr>
                <w:rFonts w:cs="Calibri"/>
                <w:sz w:val="16"/>
                <w:szCs w:val="16"/>
              </w:rPr>
              <w:noBreakHyphen/>
              <w:t xml:space="preserve">day </w:t>
            </w:r>
            <w:r>
              <w:rPr>
                <w:rFonts w:cs="Calibri"/>
                <w:sz w:val="16"/>
                <w:szCs w:val="16"/>
              </w:rPr>
              <w:t>e</w:t>
            </w:r>
            <w:r>
              <w:rPr>
                <w:rFonts w:cs="Calibri"/>
                <w:sz w:val="16"/>
                <w:szCs w:val="16"/>
              </w:rPr>
              <w:noBreakHyphen/>
              <w:t>cig</w:t>
            </w:r>
            <w:r w:rsidRPr="000F6DEF">
              <w:rPr>
                <w:rFonts w:cs="Calibri"/>
                <w:sz w:val="16"/>
                <w:szCs w:val="16"/>
              </w:rPr>
              <w:t>arette use 5.2%</w:t>
            </w:r>
            <w:r w:rsidRPr="000F6DEF">
              <w:rPr>
                <w:rFonts w:cs="Calibri"/>
                <w:sz w:val="16"/>
                <w:szCs w:val="16"/>
              </w:rPr>
              <w:br/>
              <w:t xml:space="preserve">Stress and depression predicted </w:t>
            </w:r>
            <w:r>
              <w:rPr>
                <w:rFonts w:cs="Calibri"/>
                <w:sz w:val="16"/>
                <w:szCs w:val="16"/>
              </w:rPr>
              <w:t>e</w:t>
            </w:r>
            <w:r>
              <w:rPr>
                <w:rFonts w:cs="Calibri"/>
                <w:sz w:val="16"/>
                <w:szCs w:val="16"/>
              </w:rPr>
              <w:noBreakHyphen/>
              <w:t>cig</w:t>
            </w:r>
            <w:r w:rsidRPr="000F6DEF">
              <w:rPr>
                <w:rFonts w:cs="Calibri"/>
                <w:sz w:val="16"/>
                <w:szCs w:val="16"/>
              </w:rPr>
              <w:t>arette use. Mental health diagnosis not related.</w:t>
            </w:r>
          </w:p>
        </w:tc>
        <w:tc>
          <w:tcPr>
            <w:tcW w:w="4428" w:type="dxa"/>
          </w:tcPr>
          <w:p w14:paraId="7F78674E"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Findings in this study provide further evidence of a potential relationship between non</w:t>
            </w:r>
            <w:r w:rsidRPr="000F6DEF">
              <w:rPr>
                <w:rFonts w:cs="Calibri"/>
                <w:sz w:val="16"/>
                <w:szCs w:val="16"/>
              </w:rPr>
              <w:noBreakHyphen/>
              <w:t xml:space="preserve">cigarette tobacco products and mental health status. </w:t>
            </w:r>
          </w:p>
        </w:tc>
      </w:tr>
      <w:tr w:rsidR="00B85C33" w:rsidRPr="000F6DEF" w14:paraId="79857A33" w14:textId="77777777" w:rsidTr="000376C7">
        <w:trPr>
          <w:trHeight w:val="94"/>
        </w:trPr>
        <w:tc>
          <w:tcPr>
            <w:cnfStyle w:val="001000000000" w:firstRow="0" w:lastRow="0" w:firstColumn="1" w:lastColumn="0" w:oddVBand="0" w:evenVBand="0" w:oddHBand="0" w:evenHBand="0" w:firstRowFirstColumn="0" w:firstRowLastColumn="0" w:lastRowFirstColumn="0" w:lastRowLastColumn="0"/>
            <w:tcW w:w="1435" w:type="dxa"/>
          </w:tcPr>
          <w:p w14:paraId="6E6BBEB6" w14:textId="77777777" w:rsidR="00B85C33" w:rsidRPr="000F6DEF" w:rsidRDefault="00B85C33" w:rsidP="000376C7">
            <w:pPr>
              <w:rPr>
                <w:rFonts w:cs="Calibri"/>
                <w:sz w:val="16"/>
                <w:szCs w:val="16"/>
              </w:rPr>
            </w:pPr>
            <w:r w:rsidRPr="000F6DEF">
              <w:rPr>
                <w:rFonts w:cs="Calibri"/>
                <w:sz w:val="16"/>
                <w:szCs w:val="16"/>
              </w:rPr>
              <w:t>Lee, Lin, Seo, Lohrmann</w:t>
            </w:r>
          </w:p>
        </w:tc>
        <w:tc>
          <w:tcPr>
            <w:tcW w:w="2529" w:type="dxa"/>
          </w:tcPr>
          <w:p w14:paraId="36802DAD"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This study investigated characteristics of potential and current </w:t>
            </w:r>
            <w:r>
              <w:rPr>
                <w:rFonts w:cs="Calibri"/>
                <w:sz w:val="16"/>
                <w:szCs w:val="16"/>
              </w:rPr>
              <w:t>e</w:t>
            </w:r>
            <w:r>
              <w:rPr>
                <w:rFonts w:cs="Calibri"/>
                <w:sz w:val="16"/>
                <w:szCs w:val="16"/>
              </w:rPr>
              <w:noBreakHyphen/>
              <w:t>cig</w:t>
            </w:r>
            <w:r w:rsidRPr="000F6DEF">
              <w:rPr>
                <w:rFonts w:cs="Calibri"/>
                <w:sz w:val="16"/>
                <w:szCs w:val="16"/>
              </w:rPr>
              <w:t xml:space="preserve">arette users based on four different levels of use acceptability along with the determinants that promote </w:t>
            </w:r>
            <w:r>
              <w:rPr>
                <w:rFonts w:cs="Calibri"/>
                <w:sz w:val="16"/>
                <w:szCs w:val="16"/>
              </w:rPr>
              <w:t>e</w:t>
            </w:r>
            <w:r>
              <w:rPr>
                <w:rFonts w:cs="Calibri"/>
                <w:sz w:val="16"/>
                <w:szCs w:val="16"/>
              </w:rPr>
              <w:noBreakHyphen/>
              <w:t>cig</w:t>
            </w:r>
            <w:r w:rsidRPr="000F6DEF">
              <w:rPr>
                <w:rFonts w:cs="Calibri"/>
                <w:sz w:val="16"/>
                <w:szCs w:val="16"/>
              </w:rPr>
              <w:t>arette use acceptability among college students.</w:t>
            </w:r>
          </w:p>
        </w:tc>
        <w:tc>
          <w:tcPr>
            <w:tcW w:w="6521" w:type="dxa"/>
          </w:tcPr>
          <w:p w14:paraId="6E650C81"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Approximately 40% of the participants reported ever using </w:t>
            </w:r>
            <w:r>
              <w:rPr>
                <w:rFonts w:cs="Calibri"/>
                <w:sz w:val="16"/>
                <w:szCs w:val="16"/>
              </w:rPr>
              <w:t>e</w:t>
            </w:r>
            <w:r>
              <w:rPr>
                <w:rFonts w:cs="Calibri"/>
                <w:sz w:val="16"/>
                <w:szCs w:val="16"/>
              </w:rPr>
              <w:noBreakHyphen/>
              <w:t>cig</w:t>
            </w:r>
            <w:r w:rsidRPr="000F6DEF">
              <w:rPr>
                <w:rFonts w:cs="Calibri"/>
                <w:sz w:val="16"/>
                <w:szCs w:val="16"/>
              </w:rPr>
              <w:t xml:space="preserve">arettes. </w:t>
            </w:r>
            <w:r>
              <w:rPr>
                <w:rFonts w:cs="Calibri"/>
                <w:sz w:val="16"/>
                <w:szCs w:val="16"/>
              </w:rPr>
              <w:t>E</w:t>
            </w:r>
            <w:r>
              <w:rPr>
                <w:rFonts w:cs="Calibri"/>
                <w:sz w:val="16"/>
                <w:szCs w:val="16"/>
              </w:rPr>
              <w:noBreakHyphen/>
              <w:t>cig</w:t>
            </w:r>
            <w:r w:rsidRPr="000F6DEF">
              <w:rPr>
                <w:rFonts w:cs="Calibri"/>
                <w:sz w:val="16"/>
                <w:szCs w:val="16"/>
              </w:rPr>
              <w:t xml:space="preserve">arette adopters agreed that </w:t>
            </w:r>
            <w:r>
              <w:rPr>
                <w:rFonts w:cs="Calibri"/>
                <w:sz w:val="16"/>
                <w:szCs w:val="16"/>
              </w:rPr>
              <w:t>e</w:t>
            </w:r>
            <w:r>
              <w:rPr>
                <w:rFonts w:cs="Calibri"/>
                <w:sz w:val="16"/>
                <w:szCs w:val="16"/>
              </w:rPr>
              <w:noBreakHyphen/>
              <w:t>cig</w:t>
            </w:r>
            <w:r w:rsidRPr="000F6DEF">
              <w:rPr>
                <w:rFonts w:cs="Calibri"/>
                <w:sz w:val="16"/>
                <w:szCs w:val="16"/>
              </w:rPr>
              <w:t xml:space="preserve">arettes are more socially acceptable than traditional tobacco cigarettes (relative risk ratio [RRR]=1.43, p&lt;0.01). Unique features such as flavour appeared to encourage college students' experimentation with </w:t>
            </w:r>
            <w:r>
              <w:rPr>
                <w:rFonts w:cs="Calibri"/>
                <w:sz w:val="16"/>
                <w:szCs w:val="16"/>
              </w:rPr>
              <w:t>e</w:t>
            </w:r>
            <w:r>
              <w:rPr>
                <w:rFonts w:cs="Calibri"/>
                <w:sz w:val="16"/>
                <w:szCs w:val="16"/>
              </w:rPr>
              <w:noBreakHyphen/>
              <w:t>cig</w:t>
            </w:r>
            <w:r w:rsidRPr="000F6DEF">
              <w:rPr>
                <w:rFonts w:cs="Calibri"/>
                <w:sz w:val="16"/>
                <w:szCs w:val="16"/>
              </w:rPr>
              <w:t xml:space="preserve">arettes (ps&lt;0.05). Participants mentioned positive sensory experiences as a reason for </w:t>
            </w:r>
            <w:r>
              <w:rPr>
                <w:rFonts w:cs="Calibri"/>
                <w:sz w:val="16"/>
                <w:szCs w:val="16"/>
              </w:rPr>
              <w:t>e</w:t>
            </w:r>
            <w:r>
              <w:rPr>
                <w:rFonts w:cs="Calibri"/>
                <w:sz w:val="16"/>
                <w:szCs w:val="16"/>
              </w:rPr>
              <w:noBreakHyphen/>
              <w:t>cig</w:t>
            </w:r>
            <w:r w:rsidRPr="000F6DEF">
              <w:rPr>
                <w:rFonts w:cs="Calibri"/>
                <w:sz w:val="16"/>
                <w:szCs w:val="16"/>
              </w:rPr>
              <w:t xml:space="preserve">arette use (ps&lt;0.01) and reported caring about their appearance more than their health (ps&lt;0.05) when asked about possible outcomes of </w:t>
            </w:r>
            <w:r>
              <w:rPr>
                <w:rFonts w:cs="Calibri"/>
                <w:sz w:val="16"/>
                <w:szCs w:val="16"/>
              </w:rPr>
              <w:t>e</w:t>
            </w:r>
            <w:r>
              <w:rPr>
                <w:rFonts w:cs="Calibri"/>
                <w:sz w:val="16"/>
                <w:szCs w:val="16"/>
              </w:rPr>
              <w:noBreakHyphen/>
              <w:t>cig</w:t>
            </w:r>
            <w:r w:rsidRPr="000F6DEF">
              <w:rPr>
                <w:rFonts w:cs="Calibri"/>
                <w:sz w:val="16"/>
                <w:szCs w:val="16"/>
              </w:rPr>
              <w:t xml:space="preserve">arette use. </w:t>
            </w:r>
          </w:p>
        </w:tc>
        <w:tc>
          <w:tcPr>
            <w:tcW w:w="4428" w:type="dxa"/>
          </w:tcPr>
          <w:p w14:paraId="359D95B8"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Study findings indicate a possible explosive increase in </w:t>
            </w:r>
            <w:r>
              <w:rPr>
                <w:rFonts w:cs="Calibri"/>
                <w:sz w:val="16"/>
                <w:szCs w:val="16"/>
              </w:rPr>
              <w:t>e</w:t>
            </w:r>
            <w:r>
              <w:rPr>
                <w:rFonts w:cs="Calibri"/>
                <w:sz w:val="16"/>
                <w:szCs w:val="16"/>
              </w:rPr>
              <w:noBreakHyphen/>
              <w:t>cig</w:t>
            </w:r>
            <w:r w:rsidRPr="000F6DEF">
              <w:rPr>
                <w:rFonts w:cs="Calibri"/>
                <w:sz w:val="16"/>
                <w:szCs w:val="16"/>
              </w:rPr>
              <w:t xml:space="preserve">arette experimentation or use among college students. Unique features of </w:t>
            </w:r>
            <w:r>
              <w:rPr>
                <w:rFonts w:cs="Calibri"/>
                <w:sz w:val="16"/>
                <w:szCs w:val="16"/>
              </w:rPr>
              <w:t>e</w:t>
            </w:r>
            <w:r>
              <w:rPr>
                <w:rFonts w:cs="Calibri"/>
                <w:sz w:val="16"/>
                <w:szCs w:val="16"/>
              </w:rPr>
              <w:noBreakHyphen/>
              <w:t>cig</w:t>
            </w:r>
            <w:r w:rsidRPr="000F6DEF">
              <w:rPr>
                <w:rFonts w:cs="Calibri"/>
                <w:sz w:val="16"/>
                <w:szCs w:val="16"/>
              </w:rPr>
              <w:t>arettes such as flavour and USB recharge</w:t>
            </w:r>
            <w:r w:rsidRPr="000F6DEF">
              <w:rPr>
                <w:rFonts w:cs="Calibri"/>
                <w:sz w:val="16"/>
                <w:szCs w:val="16"/>
              </w:rPr>
              <w:noBreakHyphen/>
              <w:t xml:space="preserve">ability appear to be strong factors making </w:t>
            </w:r>
            <w:r>
              <w:rPr>
                <w:rFonts w:cs="Calibri"/>
                <w:sz w:val="16"/>
                <w:szCs w:val="16"/>
              </w:rPr>
              <w:t>e</w:t>
            </w:r>
            <w:r>
              <w:rPr>
                <w:rFonts w:cs="Calibri"/>
                <w:sz w:val="16"/>
                <w:szCs w:val="16"/>
              </w:rPr>
              <w:noBreakHyphen/>
              <w:t>cig</w:t>
            </w:r>
            <w:r w:rsidRPr="000F6DEF">
              <w:rPr>
                <w:rFonts w:cs="Calibri"/>
                <w:sz w:val="16"/>
                <w:szCs w:val="16"/>
              </w:rPr>
              <w:t>arettes more acceptable and appealing to young adults regardless of their smoking status.</w:t>
            </w:r>
          </w:p>
        </w:tc>
      </w:tr>
      <w:tr w:rsidR="00B85C33" w:rsidRPr="000F6DEF" w14:paraId="2CC1107D" w14:textId="77777777" w:rsidTr="000376C7">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1435" w:type="dxa"/>
          </w:tcPr>
          <w:p w14:paraId="10ADE5E0" w14:textId="77777777" w:rsidR="00B85C33" w:rsidRPr="000F6DEF" w:rsidRDefault="00B85C33" w:rsidP="000376C7">
            <w:pPr>
              <w:rPr>
                <w:rFonts w:cs="Calibri"/>
                <w:sz w:val="16"/>
                <w:szCs w:val="16"/>
              </w:rPr>
            </w:pPr>
            <w:r w:rsidRPr="000F6DEF">
              <w:rPr>
                <w:rFonts w:cs="Calibri"/>
                <w:sz w:val="16"/>
                <w:szCs w:val="16"/>
              </w:rPr>
              <w:t>Lee, Nonnemaker, Bradfield et al</w:t>
            </w:r>
          </w:p>
        </w:tc>
        <w:tc>
          <w:tcPr>
            <w:tcW w:w="2529" w:type="dxa"/>
          </w:tcPr>
          <w:p w14:paraId="7A5872DA"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In this study, we compare </w:t>
            </w:r>
            <w:r>
              <w:rPr>
                <w:rFonts w:cs="Calibri"/>
                <w:sz w:val="16"/>
                <w:szCs w:val="16"/>
              </w:rPr>
              <w:t>e</w:t>
            </w:r>
            <w:r>
              <w:rPr>
                <w:rFonts w:cs="Calibri"/>
                <w:sz w:val="16"/>
                <w:szCs w:val="16"/>
              </w:rPr>
              <w:noBreakHyphen/>
              <w:t>cig</w:t>
            </w:r>
            <w:r w:rsidRPr="000F6DEF">
              <w:rPr>
                <w:rFonts w:cs="Calibri"/>
                <w:sz w:val="16"/>
                <w:szCs w:val="16"/>
              </w:rPr>
              <w:t>arette topographies of established cigarette smokers and non</w:t>
            </w:r>
            <w:r w:rsidRPr="000F6DEF">
              <w:rPr>
                <w:rFonts w:cs="Calibri"/>
                <w:sz w:val="16"/>
                <w:szCs w:val="16"/>
              </w:rPr>
              <w:noBreakHyphen/>
              <w:t>established cigarette smokers.</w:t>
            </w:r>
          </w:p>
        </w:tc>
        <w:tc>
          <w:tcPr>
            <w:tcW w:w="6521" w:type="dxa"/>
          </w:tcPr>
          <w:p w14:paraId="2E3B030B"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The non</w:t>
            </w:r>
            <w:r w:rsidRPr="000F6DEF">
              <w:rPr>
                <w:rFonts w:cs="Calibri"/>
                <w:sz w:val="16"/>
                <w:szCs w:val="16"/>
              </w:rPr>
              <w:noBreakHyphen/>
              <w:t xml:space="preserve">established cigarette smokers reported nicotine levels of 17–24 mg and 4.4%, which were relatively high compared to what is typically available in the market. The established cigarette smokers reported a wider range of nicotine levels, including 3–24 mg as well as 0.6%–4.8% and one reported a level of “high.” </w:t>
            </w:r>
            <w:r w:rsidRPr="000F6DEF">
              <w:rPr>
                <w:rFonts w:cs="Calibri"/>
                <w:sz w:val="16"/>
                <w:szCs w:val="16"/>
              </w:rPr>
              <w:br/>
              <w:t xml:space="preserve">On average, established cigarette smokers in the sample used </w:t>
            </w:r>
            <w:r>
              <w:rPr>
                <w:rFonts w:cs="Calibri"/>
                <w:sz w:val="16"/>
                <w:szCs w:val="16"/>
              </w:rPr>
              <w:t>e</w:t>
            </w:r>
            <w:r>
              <w:rPr>
                <w:rFonts w:cs="Calibri"/>
                <w:sz w:val="16"/>
                <w:szCs w:val="16"/>
              </w:rPr>
              <w:noBreakHyphen/>
              <w:t>cig</w:t>
            </w:r>
            <w:r w:rsidRPr="000F6DEF">
              <w:rPr>
                <w:rFonts w:cs="Calibri"/>
                <w:sz w:val="16"/>
                <w:szCs w:val="16"/>
              </w:rPr>
              <w:t>arettes for</w:t>
            </w:r>
            <w:r w:rsidRPr="000F6DEF">
              <w:rPr>
                <w:rFonts w:cs="Calibri"/>
                <w:sz w:val="16"/>
                <w:szCs w:val="16"/>
              </w:rPr>
              <w:br/>
              <w:t>more sessions per day (5.3 s vs. 3.5 s, p=0.14), had longer sessions (566.3 s vs. 279.7 s, p=0.06), had more puffs per session (13.7 vs. 11.9, p=0.481), and had larger puff volume per session (1,509.3 mL vs. 651.7 mL, p&lt;0.05).</w:t>
            </w:r>
          </w:p>
        </w:tc>
        <w:tc>
          <w:tcPr>
            <w:tcW w:w="4428" w:type="dxa"/>
          </w:tcPr>
          <w:p w14:paraId="28F07B90"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A user's topography affects his or her exposure to HPHCs. As this study demonstrates, user characteristics, such as level of smoking, can influence topography.</w:t>
            </w:r>
          </w:p>
        </w:tc>
      </w:tr>
      <w:tr w:rsidR="00B85C33" w:rsidRPr="000F6DEF" w14:paraId="098C6AED" w14:textId="77777777" w:rsidTr="000376C7">
        <w:trPr>
          <w:trHeight w:val="94"/>
        </w:trPr>
        <w:tc>
          <w:tcPr>
            <w:cnfStyle w:val="001000000000" w:firstRow="0" w:lastRow="0" w:firstColumn="1" w:lastColumn="0" w:oddVBand="0" w:evenVBand="0" w:oddHBand="0" w:evenHBand="0" w:firstRowFirstColumn="0" w:firstRowLastColumn="0" w:lastRowFirstColumn="0" w:lastRowLastColumn="0"/>
            <w:tcW w:w="1435" w:type="dxa"/>
          </w:tcPr>
          <w:p w14:paraId="05A268B3" w14:textId="77777777" w:rsidR="00B85C33" w:rsidRPr="000F6DEF" w:rsidRDefault="00B85C33" w:rsidP="000376C7">
            <w:pPr>
              <w:rPr>
                <w:rFonts w:cs="Calibri"/>
                <w:sz w:val="16"/>
                <w:szCs w:val="16"/>
              </w:rPr>
            </w:pPr>
            <w:r w:rsidRPr="000F6DEF">
              <w:rPr>
                <w:rFonts w:cs="Calibri"/>
                <w:sz w:val="16"/>
                <w:szCs w:val="16"/>
              </w:rPr>
              <w:t>Morean, L'Insalata</w:t>
            </w:r>
          </w:p>
        </w:tc>
        <w:tc>
          <w:tcPr>
            <w:tcW w:w="2529" w:type="dxa"/>
          </w:tcPr>
          <w:p w14:paraId="429753F9" w14:textId="59B1A576"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The primary study aim was to examine whether rates of using </w:t>
            </w:r>
            <w:r>
              <w:rPr>
                <w:rFonts w:cs="Calibri"/>
                <w:sz w:val="16"/>
                <w:szCs w:val="16"/>
              </w:rPr>
              <w:lastRenderedPageBreak/>
              <w:t>e</w:t>
            </w:r>
            <w:r>
              <w:rPr>
                <w:rFonts w:cs="Calibri"/>
                <w:sz w:val="16"/>
                <w:szCs w:val="16"/>
              </w:rPr>
              <w:noBreakHyphen/>
              <w:t>cig</w:t>
            </w:r>
            <w:r w:rsidRPr="000F6DEF">
              <w:rPr>
                <w:rFonts w:cs="Calibri"/>
                <w:sz w:val="16"/>
                <w:szCs w:val="16"/>
              </w:rPr>
              <w:t>arettes ("vaping") to lose weight are elevated among American adults who self</w:t>
            </w:r>
            <w:r w:rsidRPr="000F6DEF">
              <w:rPr>
                <w:rFonts w:cs="Calibri"/>
                <w:sz w:val="16"/>
                <w:szCs w:val="16"/>
              </w:rPr>
              <w:noBreakHyphen/>
              <w:t>report having an eating disorder (ED)</w:t>
            </w:r>
            <w:r w:rsidR="005500FC">
              <w:rPr>
                <w:rFonts w:cs="Calibri"/>
                <w:sz w:val="16"/>
                <w:szCs w:val="16"/>
              </w:rPr>
              <w:t>.</w:t>
            </w:r>
          </w:p>
        </w:tc>
        <w:tc>
          <w:tcPr>
            <w:tcW w:w="6521" w:type="dxa"/>
          </w:tcPr>
          <w:p w14:paraId="427D5318"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lastRenderedPageBreak/>
              <w:t xml:space="preserve">Relative to individuals reporting no ED history, those reporting a current ED were significantly more likely to report vaping daily (OR 5 3.75), vaping for weight loss (OR 5 4.06), vaping because </w:t>
            </w:r>
            <w:r w:rsidRPr="000F6DEF">
              <w:rPr>
                <w:rFonts w:cs="Calibri"/>
                <w:sz w:val="16"/>
                <w:szCs w:val="16"/>
              </w:rPr>
              <w:lastRenderedPageBreak/>
              <w:t>of the availability of sweet flavours (OR 5 1.79), vaping because it is easy to conceal/hide from others (OR 5 2.75), vaping because it is difficult to detect indoors (OR 5 1.63), and using nicotine e</w:t>
            </w:r>
            <w:r w:rsidRPr="000F6DEF">
              <w:rPr>
                <w:rFonts w:cs="Calibri"/>
                <w:sz w:val="16"/>
                <w:szCs w:val="16"/>
              </w:rPr>
              <w:noBreakHyphen/>
              <w:t>liquid (OR 5 1.82 [and higher concentrations of nicotine e</w:t>
            </w:r>
            <w:r w:rsidRPr="000F6DEF">
              <w:rPr>
                <w:rFonts w:cs="Calibri"/>
                <w:sz w:val="16"/>
                <w:szCs w:val="16"/>
              </w:rPr>
              <w:noBreakHyphen/>
              <w:t>liquid]), p values&lt;.05</w:t>
            </w:r>
          </w:p>
        </w:tc>
        <w:tc>
          <w:tcPr>
            <w:tcW w:w="4428" w:type="dxa"/>
          </w:tcPr>
          <w:p w14:paraId="5CE99F2D"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lastRenderedPageBreak/>
              <w:t>Individuals who self</w:t>
            </w:r>
            <w:r w:rsidRPr="000F6DEF">
              <w:rPr>
                <w:rFonts w:cs="Calibri"/>
                <w:sz w:val="16"/>
                <w:szCs w:val="16"/>
              </w:rPr>
              <w:noBreakHyphen/>
              <w:t xml:space="preserve">reported currently having an ED endorsed vaping motives that are consistent with eating pathology (e.g., </w:t>
            </w:r>
            <w:r w:rsidRPr="000F6DEF">
              <w:rPr>
                <w:rFonts w:cs="Calibri"/>
                <w:sz w:val="16"/>
                <w:szCs w:val="16"/>
              </w:rPr>
              <w:lastRenderedPageBreak/>
              <w:t>substance</w:t>
            </w:r>
            <w:r w:rsidRPr="000F6DEF">
              <w:rPr>
                <w:rFonts w:cs="Calibri"/>
                <w:sz w:val="16"/>
                <w:szCs w:val="16"/>
              </w:rPr>
              <w:noBreakHyphen/>
              <w:t xml:space="preserve">induced weight loss, hiding compensatory behaviours from others). They also were more likely to vape daily and to use higher nicotine concentrations, raising health concerns. </w:t>
            </w:r>
          </w:p>
        </w:tc>
      </w:tr>
      <w:tr w:rsidR="00B85C33" w:rsidRPr="000F6DEF" w14:paraId="440CECAF" w14:textId="77777777" w:rsidTr="000376C7">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1435" w:type="dxa"/>
          </w:tcPr>
          <w:p w14:paraId="6AEEB6F3" w14:textId="77777777" w:rsidR="00B85C33" w:rsidRPr="000F6DEF" w:rsidRDefault="00B85C33" w:rsidP="000376C7">
            <w:pPr>
              <w:rPr>
                <w:rFonts w:cs="Calibri"/>
                <w:sz w:val="16"/>
                <w:szCs w:val="16"/>
              </w:rPr>
            </w:pPr>
            <w:r w:rsidRPr="000F6DEF">
              <w:rPr>
                <w:rFonts w:cs="Calibri"/>
                <w:sz w:val="16"/>
                <w:szCs w:val="16"/>
              </w:rPr>
              <w:lastRenderedPageBreak/>
              <w:t>Morean, Wedel</w:t>
            </w:r>
          </w:p>
        </w:tc>
        <w:tc>
          <w:tcPr>
            <w:tcW w:w="2529" w:type="dxa"/>
          </w:tcPr>
          <w:p w14:paraId="62ED7299"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The current study evaluated whether a subset of adult </w:t>
            </w:r>
            <w:r>
              <w:rPr>
                <w:rFonts w:cs="Calibri"/>
                <w:sz w:val="16"/>
                <w:szCs w:val="16"/>
              </w:rPr>
              <w:t>e</w:t>
            </w:r>
            <w:r>
              <w:rPr>
                <w:rFonts w:cs="Calibri"/>
                <w:sz w:val="16"/>
                <w:szCs w:val="16"/>
              </w:rPr>
              <w:noBreakHyphen/>
              <w:t>cig</w:t>
            </w:r>
            <w:r w:rsidRPr="000F6DEF">
              <w:rPr>
                <w:rFonts w:cs="Calibri"/>
                <w:sz w:val="16"/>
                <w:szCs w:val="16"/>
              </w:rPr>
              <w:t xml:space="preserve">arette users reported vaping to lose or control their weight and examined potential predictors of vaping for weight management. </w:t>
            </w:r>
          </w:p>
        </w:tc>
        <w:tc>
          <w:tcPr>
            <w:tcW w:w="6521" w:type="dxa"/>
          </w:tcPr>
          <w:p w14:paraId="4A524E31"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13.5% of the analytic sample reported vaping to lose/control weight </w:t>
            </w:r>
            <w:r w:rsidRPr="000F6DEF">
              <w:rPr>
                <w:rFonts w:cs="Calibri"/>
                <w:sz w:val="16"/>
                <w:szCs w:val="16"/>
              </w:rPr>
              <w:br/>
              <w:t>Participants who reported vaping to lose/control weight vaped more frequently (adjOR=1.15); were currently overweight (adjOR=2.80); reported engaging in calorie restriction (adjOR=2.23); reported poor impulse control (OR=0.59); and reported preferences for coffee (adjOR=2.92) and vanilla</w:t>
            </w:r>
            <w:r w:rsidRPr="000F6DEF">
              <w:rPr>
                <w:rFonts w:cs="Calibri"/>
                <w:sz w:val="16"/>
                <w:szCs w:val="16"/>
              </w:rPr>
              <w:noBreakHyphen/>
              <w:t>flavoured e</w:t>
            </w:r>
            <w:r w:rsidRPr="000F6DEF">
              <w:rPr>
                <w:rFonts w:cs="Calibri"/>
                <w:sz w:val="16"/>
                <w:szCs w:val="16"/>
              </w:rPr>
              <w:noBreakHyphen/>
              <w:t>liquid (adjOR=7.44)</w:t>
            </w:r>
          </w:p>
        </w:tc>
        <w:tc>
          <w:tcPr>
            <w:tcW w:w="4428" w:type="dxa"/>
          </w:tcPr>
          <w:p w14:paraId="528E9C3F"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A subset of adult </w:t>
            </w:r>
            <w:r>
              <w:rPr>
                <w:rFonts w:cs="Calibri"/>
                <w:sz w:val="16"/>
                <w:szCs w:val="16"/>
              </w:rPr>
              <w:t>e</w:t>
            </w:r>
            <w:r>
              <w:rPr>
                <w:rFonts w:cs="Calibri"/>
                <w:sz w:val="16"/>
                <w:szCs w:val="16"/>
              </w:rPr>
              <w:noBreakHyphen/>
              <w:t>cig</w:t>
            </w:r>
            <w:r w:rsidRPr="000F6DEF">
              <w:rPr>
                <w:rFonts w:cs="Calibri"/>
                <w:sz w:val="16"/>
                <w:szCs w:val="16"/>
              </w:rPr>
              <w:t xml:space="preserve">arette users reported vaping for weight loss/control, raising concerns about expanded, scientifically unsubstantiated uses of </w:t>
            </w:r>
            <w:r>
              <w:rPr>
                <w:rFonts w:cs="Calibri"/>
                <w:sz w:val="16"/>
                <w:szCs w:val="16"/>
              </w:rPr>
              <w:t>e</w:t>
            </w:r>
            <w:r>
              <w:rPr>
                <w:rFonts w:cs="Calibri"/>
                <w:sz w:val="16"/>
                <w:szCs w:val="16"/>
              </w:rPr>
              <w:noBreakHyphen/>
              <w:t>cig</w:t>
            </w:r>
            <w:r w:rsidRPr="000F6DEF">
              <w:rPr>
                <w:rFonts w:cs="Calibri"/>
                <w:sz w:val="16"/>
                <w:szCs w:val="16"/>
              </w:rPr>
              <w:t xml:space="preserve">arettes. Identifying where individuals obtain information about vaping for weight loss (e.g., </w:t>
            </w:r>
            <w:r>
              <w:rPr>
                <w:rFonts w:cs="Calibri"/>
                <w:sz w:val="16"/>
                <w:szCs w:val="16"/>
              </w:rPr>
              <w:t>e</w:t>
            </w:r>
            <w:r>
              <w:rPr>
                <w:rFonts w:cs="Calibri"/>
                <w:sz w:val="16"/>
                <w:szCs w:val="16"/>
              </w:rPr>
              <w:noBreakHyphen/>
              <w:t>cig</w:t>
            </w:r>
            <w:r w:rsidRPr="000F6DEF">
              <w:rPr>
                <w:rFonts w:cs="Calibri"/>
                <w:sz w:val="16"/>
                <w:szCs w:val="16"/>
              </w:rPr>
              <w:t>arette ads, Internet) and whether weight</w:t>
            </w:r>
            <w:r w:rsidRPr="000F6DEF">
              <w:rPr>
                <w:rFonts w:cs="Calibri"/>
                <w:sz w:val="16"/>
                <w:szCs w:val="16"/>
              </w:rPr>
              <w:noBreakHyphen/>
              <w:t xml:space="preserve">related motives promote </w:t>
            </w:r>
            <w:r>
              <w:rPr>
                <w:rFonts w:cs="Calibri"/>
                <w:sz w:val="16"/>
                <w:szCs w:val="16"/>
              </w:rPr>
              <w:t>e</w:t>
            </w:r>
            <w:r>
              <w:rPr>
                <w:rFonts w:cs="Calibri"/>
                <w:sz w:val="16"/>
                <w:szCs w:val="16"/>
              </w:rPr>
              <w:noBreakHyphen/>
              <w:t>cig</w:t>
            </w:r>
            <w:r w:rsidRPr="000F6DEF">
              <w:rPr>
                <w:rFonts w:cs="Calibri"/>
                <w:sz w:val="16"/>
                <w:szCs w:val="16"/>
              </w:rPr>
              <w:t xml:space="preserve">arette initiation among </w:t>
            </w:r>
            <w:r>
              <w:rPr>
                <w:rFonts w:cs="Calibri"/>
                <w:sz w:val="16"/>
                <w:szCs w:val="16"/>
              </w:rPr>
              <w:t>e</w:t>
            </w:r>
            <w:r>
              <w:rPr>
                <w:rFonts w:cs="Calibri"/>
                <w:sz w:val="16"/>
                <w:szCs w:val="16"/>
              </w:rPr>
              <w:noBreakHyphen/>
              <w:t>cig</w:t>
            </w:r>
            <w:r w:rsidRPr="000F6DEF">
              <w:rPr>
                <w:rFonts w:cs="Calibri"/>
                <w:sz w:val="16"/>
                <w:szCs w:val="16"/>
              </w:rPr>
              <w:t>arette naive individuals is important to informing regulatory efforts.</w:t>
            </w:r>
          </w:p>
        </w:tc>
      </w:tr>
      <w:tr w:rsidR="00B85C33" w:rsidRPr="000F6DEF" w14:paraId="6971F1BC" w14:textId="77777777" w:rsidTr="000376C7">
        <w:trPr>
          <w:trHeight w:val="94"/>
        </w:trPr>
        <w:tc>
          <w:tcPr>
            <w:cnfStyle w:val="001000000000" w:firstRow="0" w:lastRow="0" w:firstColumn="1" w:lastColumn="0" w:oddVBand="0" w:evenVBand="0" w:oddHBand="0" w:evenHBand="0" w:firstRowFirstColumn="0" w:firstRowLastColumn="0" w:lastRowFirstColumn="0" w:lastRowLastColumn="0"/>
            <w:tcW w:w="1435" w:type="dxa"/>
          </w:tcPr>
          <w:p w14:paraId="3EE0E092" w14:textId="77777777" w:rsidR="00B85C33" w:rsidRPr="000F6DEF" w:rsidRDefault="00B85C33" w:rsidP="000376C7">
            <w:pPr>
              <w:rPr>
                <w:rFonts w:cs="Calibri"/>
                <w:sz w:val="16"/>
                <w:szCs w:val="16"/>
              </w:rPr>
            </w:pPr>
            <w:r w:rsidRPr="000F6DEF">
              <w:rPr>
                <w:rFonts w:cs="Calibri"/>
                <w:sz w:val="16"/>
                <w:szCs w:val="16"/>
              </w:rPr>
              <w:t>Oncken, Ricci et al 2017</w:t>
            </w:r>
          </w:p>
        </w:tc>
        <w:tc>
          <w:tcPr>
            <w:tcW w:w="2529" w:type="dxa"/>
          </w:tcPr>
          <w:p w14:paraId="54142990"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To investigate reasons for </w:t>
            </w:r>
            <w:r>
              <w:rPr>
                <w:rFonts w:cs="Calibri"/>
                <w:sz w:val="16"/>
                <w:szCs w:val="16"/>
              </w:rPr>
              <w:t>e</w:t>
            </w:r>
            <w:r>
              <w:rPr>
                <w:rFonts w:cs="Calibri"/>
                <w:sz w:val="16"/>
                <w:szCs w:val="16"/>
              </w:rPr>
              <w:noBreakHyphen/>
              <w:t>cig</w:t>
            </w:r>
            <w:r w:rsidRPr="000F6DEF">
              <w:rPr>
                <w:rFonts w:cs="Calibri"/>
                <w:sz w:val="16"/>
                <w:szCs w:val="16"/>
              </w:rPr>
              <w:t>arette use by women of reproductive age</w:t>
            </w:r>
          </w:p>
        </w:tc>
        <w:tc>
          <w:tcPr>
            <w:tcW w:w="6521" w:type="dxa"/>
          </w:tcPr>
          <w:p w14:paraId="248B6210"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53% percent (55/103) of participants had previously tried electronic cigarettes. Ever users smoked more cigarettes per day before pregnancy (p=0.049), had a greater number of previous quit attempts (p=0.033), and were more likely to identify as being Hispanic or non</w:t>
            </w:r>
            <w:r w:rsidRPr="000F6DEF">
              <w:rPr>
                <w:rFonts w:cs="Calibri"/>
                <w:sz w:val="16"/>
                <w:szCs w:val="16"/>
              </w:rPr>
              <w:noBreakHyphen/>
              <w:t>Hispanic white than never users (p=0.027). Fifteen percent of participants (15/103) reported previous use of electronic cigarettes for smoking cessation, which was more common than the use of any specific FDA</w:t>
            </w:r>
            <w:r w:rsidRPr="000F6DEF">
              <w:rPr>
                <w:rFonts w:cs="Calibri"/>
                <w:sz w:val="16"/>
                <w:szCs w:val="16"/>
              </w:rPr>
              <w:noBreakHyphen/>
              <w:t xml:space="preserve">approved smoking cessation medication. Fourteen percent of participants (14/103) reported electronic cigarette use during pregnancy, most commonly to quit smoking. A history of substance abuse (p=0.043) and more previous quit attempts (p=0.018) were associated with electronic cigarette use during pregnancy. </w:t>
            </w:r>
          </w:p>
        </w:tc>
        <w:tc>
          <w:tcPr>
            <w:tcW w:w="4428" w:type="dxa"/>
          </w:tcPr>
          <w:p w14:paraId="123DD71B"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Shows that electronic cigarettes are used by women of reproductive age, including pregnant smokers. The implications of this finding are that there is an urgent need to examine the risks and benefits of electronic cigarette use, especially by pregnant women. The study also shows that electronic cigarettes are commonly used as a smoking cessation aid in women of reproductive age. The greater likelihood of electronic cigarette use compared to proven adjunctive smoking treatments suggests that electronic cigarettes should be examined as a potential aid to cessation in this population.</w:t>
            </w:r>
          </w:p>
        </w:tc>
      </w:tr>
      <w:tr w:rsidR="00B85C33" w:rsidRPr="000F6DEF" w14:paraId="099899B9" w14:textId="77777777" w:rsidTr="000376C7">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1435" w:type="dxa"/>
          </w:tcPr>
          <w:p w14:paraId="5353ABB6" w14:textId="77777777" w:rsidR="00B85C33" w:rsidRPr="000F6DEF" w:rsidRDefault="00B85C33" w:rsidP="000376C7">
            <w:pPr>
              <w:rPr>
                <w:rFonts w:cs="Calibri"/>
                <w:sz w:val="16"/>
                <w:szCs w:val="16"/>
              </w:rPr>
            </w:pPr>
            <w:r w:rsidRPr="000F6DEF">
              <w:rPr>
                <w:rFonts w:cs="Calibri"/>
                <w:sz w:val="16"/>
                <w:szCs w:val="16"/>
              </w:rPr>
              <w:t>Pepper, Farrelly, Watson 2018</w:t>
            </w:r>
          </w:p>
        </w:tc>
        <w:tc>
          <w:tcPr>
            <w:tcW w:w="2529" w:type="dxa"/>
          </w:tcPr>
          <w:p w14:paraId="4BEF4CF8"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We explored adolescents' use of nicotine</w:t>
            </w:r>
            <w:r w:rsidRPr="000F6DEF">
              <w:rPr>
                <w:rFonts w:cs="Calibri"/>
                <w:sz w:val="16"/>
                <w:szCs w:val="16"/>
              </w:rPr>
              <w:noBreakHyphen/>
              <w:t xml:space="preserve">free </w:t>
            </w:r>
            <w:r>
              <w:rPr>
                <w:rFonts w:cs="Calibri"/>
                <w:sz w:val="16"/>
                <w:szCs w:val="16"/>
              </w:rPr>
              <w:t>e</w:t>
            </w:r>
            <w:r>
              <w:rPr>
                <w:rFonts w:cs="Calibri"/>
                <w:sz w:val="16"/>
                <w:szCs w:val="16"/>
              </w:rPr>
              <w:noBreakHyphen/>
              <w:t>cig</w:t>
            </w:r>
            <w:r w:rsidRPr="000F6DEF">
              <w:rPr>
                <w:rFonts w:cs="Calibri"/>
                <w:sz w:val="16"/>
                <w:szCs w:val="16"/>
              </w:rPr>
              <w:t xml:space="preserve">arettes and understanding of chemicals in </w:t>
            </w:r>
            <w:r>
              <w:rPr>
                <w:rFonts w:cs="Calibri"/>
                <w:sz w:val="16"/>
                <w:szCs w:val="16"/>
              </w:rPr>
              <w:t>e</w:t>
            </w:r>
            <w:r>
              <w:rPr>
                <w:rFonts w:cs="Calibri"/>
                <w:sz w:val="16"/>
                <w:szCs w:val="16"/>
              </w:rPr>
              <w:noBreakHyphen/>
              <w:t>cig</w:t>
            </w:r>
            <w:r w:rsidRPr="000F6DEF">
              <w:rPr>
                <w:rFonts w:cs="Calibri"/>
                <w:sz w:val="16"/>
                <w:szCs w:val="16"/>
              </w:rPr>
              <w:t>arettes, including nicotine.</w:t>
            </w:r>
          </w:p>
        </w:tc>
        <w:tc>
          <w:tcPr>
            <w:tcW w:w="6521" w:type="dxa"/>
          </w:tcPr>
          <w:p w14:paraId="3668967E"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66.3% usually used </w:t>
            </w:r>
            <w:r>
              <w:rPr>
                <w:rFonts w:cs="Calibri"/>
                <w:sz w:val="16"/>
                <w:szCs w:val="16"/>
              </w:rPr>
              <w:t>e</w:t>
            </w:r>
            <w:r>
              <w:rPr>
                <w:rFonts w:cs="Calibri"/>
                <w:sz w:val="16"/>
                <w:szCs w:val="16"/>
              </w:rPr>
              <w:noBreakHyphen/>
              <w:t>cig</w:t>
            </w:r>
            <w:r w:rsidRPr="000F6DEF">
              <w:rPr>
                <w:rFonts w:cs="Calibri"/>
                <w:sz w:val="16"/>
                <w:szCs w:val="16"/>
              </w:rPr>
              <w:t>arette with nicotine.</w:t>
            </w:r>
          </w:p>
          <w:p w14:paraId="656235CA"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Older adolescents less likely to usually use without nicotine. Hispanic youth were more likely than non</w:t>
            </w:r>
            <w:r w:rsidRPr="000F6DEF">
              <w:rPr>
                <w:rFonts w:cs="Calibri"/>
                <w:sz w:val="16"/>
                <w:szCs w:val="16"/>
              </w:rPr>
              <w:noBreakHyphen/>
              <w:t>Hispanic white youth to usually use without nicotine. Current cigarette smokers, cigarillo or little cigar users, and OTP users were less likely to usually use without nicotine than non</w:t>
            </w:r>
            <w:r w:rsidRPr="000F6DEF">
              <w:rPr>
                <w:rFonts w:cs="Calibri"/>
                <w:sz w:val="16"/>
                <w:szCs w:val="16"/>
              </w:rPr>
              <w:noBreakHyphen/>
              <w:t xml:space="preserve">users of those products. “Some day” users and ‘rarely’ users were more likely than ‘every day’ users to usually use without nicotine. Those endorsing the use of </w:t>
            </w:r>
            <w:r>
              <w:rPr>
                <w:rFonts w:cs="Calibri"/>
                <w:sz w:val="16"/>
                <w:szCs w:val="16"/>
              </w:rPr>
              <w:t>e</w:t>
            </w:r>
            <w:r>
              <w:rPr>
                <w:rFonts w:cs="Calibri"/>
                <w:sz w:val="16"/>
                <w:szCs w:val="16"/>
              </w:rPr>
              <w:noBreakHyphen/>
              <w:t>cig</w:t>
            </w:r>
            <w:r w:rsidRPr="000F6DEF">
              <w:rPr>
                <w:rFonts w:cs="Calibri"/>
                <w:sz w:val="16"/>
                <w:szCs w:val="16"/>
              </w:rPr>
              <w:t xml:space="preserve">arettes with other people around and higher perceived health risks were less likely to usually use </w:t>
            </w:r>
            <w:r>
              <w:rPr>
                <w:rFonts w:cs="Calibri"/>
                <w:sz w:val="16"/>
                <w:szCs w:val="16"/>
              </w:rPr>
              <w:t>e</w:t>
            </w:r>
            <w:r>
              <w:rPr>
                <w:rFonts w:cs="Calibri"/>
                <w:sz w:val="16"/>
                <w:szCs w:val="16"/>
              </w:rPr>
              <w:noBreakHyphen/>
              <w:t>cig</w:t>
            </w:r>
            <w:r w:rsidRPr="000F6DEF">
              <w:rPr>
                <w:rFonts w:cs="Calibri"/>
                <w:sz w:val="16"/>
                <w:szCs w:val="16"/>
              </w:rPr>
              <w:t>arettes without nicotine. Non</w:t>
            </w:r>
            <w:r w:rsidRPr="000F6DEF">
              <w:rPr>
                <w:rFonts w:cs="Calibri"/>
                <w:sz w:val="16"/>
                <w:szCs w:val="16"/>
              </w:rPr>
              <w:noBreakHyphen/>
              <w:t>nicotine users were less likely to correctly answer the questions about the source of nicotine in e</w:t>
            </w:r>
            <w:r w:rsidRPr="000F6DEF">
              <w:rPr>
                <w:rFonts w:cs="Calibri"/>
                <w:sz w:val="16"/>
                <w:szCs w:val="16"/>
              </w:rPr>
              <w:noBreakHyphen/>
              <w:t xml:space="preserve">liquid and whether firsthand </w:t>
            </w:r>
            <w:r>
              <w:rPr>
                <w:rFonts w:cs="Calibri"/>
                <w:sz w:val="16"/>
                <w:szCs w:val="16"/>
              </w:rPr>
              <w:t>e</w:t>
            </w:r>
            <w:r>
              <w:rPr>
                <w:rFonts w:cs="Calibri"/>
                <w:sz w:val="16"/>
                <w:szCs w:val="16"/>
              </w:rPr>
              <w:noBreakHyphen/>
              <w:t>cig</w:t>
            </w:r>
            <w:r w:rsidRPr="000F6DEF">
              <w:rPr>
                <w:rFonts w:cs="Calibri"/>
                <w:sz w:val="16"/>
                <w:szCs w:val="16"/>
              </w:rPr>
              <w:t>arette aerosol is just water vapour</w:t>
            </w:r>
          </w:p>
        </w:tc>
        <w:tc>
          <w:tcPr>
            <w:tcW w:w="4428" w:type="dxa"/>
          </w:tcPr>
          <w:p w14:paraId="03B6744E"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The adolescents who reported usually using </w:t>
            </w:r>
            <w:r>
              <w:rPr>
                <w:rFonts w:cs="Calibri"/>
                <w:sz w:val="16"/>
                <w:szCs w:val="16"/>
              </w:rPr>
              <w:t>e</w:t>
            </w:r>
            <w:r>
              <w:rPr>
                <w:rFonts w:cs="Calibri"/>
                <w:sz w:val="16"/>
                <w:szCs w:val="16"/>
              </w:rPr>
              <w:noBreakHyphen/>
              <w:t>cig</w:t>
            </w:r>
            <w:r w:rsidRPr="000F6DEF">
              <w:rPr>
                <w:rFonts w:cs="Calibri"/>
                <w:sz w:val="16"/>
                <w:szCs w:val="16"/>
              </w:rPr>
              <w:t xml:space="preserve">arettes without nicotine had poorer knowledge of </w:t>
            </w:r>
            <w:r>
              <w:rPr>
                <w:rFonts w:cs="Calibri"/>
                <w:sz w:val="16"/>
                <w:szCs w:val="16"/>
              </w:rPr>
              <w:t>e</w:t>
            </w:r>
            <w:r>
              <w:rPr>
                <w:rFonts w:cs="Calibri"/>
                <w:sz w:val="16"/>
                <w:szCs w:val="16"/>
              </w:rPr>
              <w:noBreakHyphen/>
              <w:t>cig</w:t>
            </w:r>
            <w:r w:rsidRPr="000F6DEF">
              <w:rPr>
                <w:rFonts w:cs="Calibri"/>
                <w:sz w:val="16"/>
                <w:szCs w:val="16"/>
              </w:rPr>
              <w:t>arettes.</w:t>
            </w:r>
          </w:p>
        </w:tc>
      </w:tr>
      <w:tr w:rsidR="00B85C33" w:rsidRPr="000F6DEF" w14:paraId="7A26E75A" w14:textId="77777777" w:rsidTr="000376C7">
        <w:trPr>
          <w:trHeight w:val="94"/>
        </w:trPr>
        <w:tc>
          <w:tcPr>
            <w:cnfStyle w:val="001000000000" w:firstRow="0" w:lastRow="0" w:firstColumn="1" w:lastColumn="0" w:oddVBand="0" w:evenVBand="0" w:oddHBand="0" w:evenHBand="0" w:firstRowFirstColumn="0" w:firstRowLastColumn="0" w:lastRowFirstColumn="0" w:lastRowLastColumn="0"/>
            <w:tcW w:w="1435" w:type="dxa"/>
          </w:tcPr>
          <w:p w14:paraId="3E4E0953" w14:textId="5C6420D1" w:rsidR="00B85C33" w:rsidRPr="000F6DEF" w:rsidRDefault="00B85C33" w:rsidP="000376C7">
            <w:pPr>
              <w:rPr>
                <w:rFonts w:cs="Calibri"/>
                <w:sz w:val="16"/>
                <w:szCs w:val="16"/>
              </w:rPr>
            </w:pPr>
            <w:r w:rsidRPr="000F6DEF">
              <w:rPr>
                <w:rFonts w:cs="Calibri"/>
                <w:sz w:val="16"/>
                <w:szCs w:val="16"/>
              </w:rPr>
              <w:t>Sussan TE, Shahzad FG</w:t>
            </w:r>
            <w:r w:rsidR="008146F9">
              <w:rPr>
                <w:rFonts w:cs="Calibri"/>
                <w:sz w:val="16"/>
                <w:szCs w:val="16"/>
              </w:rPr>
              <w:t xml:space="preserve"> </w:t>
            </w:r>
            <w:r w:rsidRPr="000F6DEF">
              <w:rPr>
                <w:rFonts w:cs="Calibri"/>
                <w:sz w:val="16"/>
                <w:szCs w:val="16"/>
              </w:rPr>
              <w:t>et al 2017 (2 of the Sussan papers were corrections)</w:t>
            </w:r>
          </w:p>
        </w:tc>
        <w:tc>
          <w:tcPr>
            <w:tcW w:w="2529" w:type="dxa"/>
          </w:tcPr>
          <w:p w14:paraId="52C89B0E" w14:textId="084BD2E3"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To determine demographics, behaviours, perceptions and motivations underlying the use of </w:t>
            </w:r>
            <w:r>
              <w:rPr>
                <w:rFonts w:cs="Calibri"/>
                <w:sz w:val="16"/>
                <w:szCs w:val="16"/>
              </w:rPr>
              <w:t>e</w:t>
            </w:r>
            <w:r>
              <w:rPr>
                <w:rFonts w:cs="Calibri"/>
                <w:sz w:val="16"/>
                <w:szCs w:val="16"/>
              </w:rPr>
              <w:noBreakHyphen/>
              <w:t>cig</w:t>
            </w:r>
            <w:r w:rsidR="005500FC">
              <w:rPr>
                <w:rFonts w:cs="Calibri"/>
                <w:sz w:val="16"/>
                <w:szCs w:val="16"/>
              </w:rPr>
              <w:t>arettes.</w:t>
            </w:r>
          </w:p>
        </w:tc>
        <w:tc>
          <w:tcPr>
            <w:tcW w:w="6521" w:type="dxa"/>
          </w:tcPr>
          <w:p w14:paraId="74F1431F"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The survey respondents were predominantly young, Caucasian males, 74% of whom identified themselves as former smokers, while 20% identified as current smokers and 6% were never smokers. Former smokers reported a longer history of </w:t>
            </w:r>
            <w:r>
              <w:rPr>
                <w:rFonts w:cs="Calibri"/>
                <w:sz w:val="16"/>
                <w:szCs w:val="16"/>
              </w:rPr>
              <w:t>e</w:t>
            </w:r>
            <w:r>
              <w:rPr>
                <w:rFonts w:cs="Calibri"/>
                <w:sz w:val="16"/>
                <w:szCs w:val="16"/>
              </w:rPr>
              <w:noBreakHyphen/>
              <w:t>cig</w:t>
            </w:r>
            <w:r w:rsidRPr="000F6DEF">
              <w:rPr>
                <w:rFonts w:cs="Calibri"/>
                <w:sz w:val="16"/>
                <w:szCs w:val="16"/>
              </w:rPr>
              <w:t xml:space="preserve">arette use and higher nicotine concentrations than current smokers. For former and current smokers, the primary motivation for </w:t>
            </w:r>
            <w:r>
              <w:rPr>
                <w:rFonts w:cs="Calibri"/>
                <w:sz w:val="16"/>
                <w:szCs w:val="16"/>
              </w:rPr>
              <w:t>e</w:t>
            </w:r>
            <w:r>
              <w:rPr>
                <w:rFonts w:cs="Calibri"/>
                <w:sz w:val="16"/>
                <w:szCs w:val="16"/>
              </w:rPr>
              <w:noBreakHyphen/>
              <w:t>cig</w:t>
            </w:r>
            <w:r w:rsidRPr="000F6DEF">
              <w:rPr>
                <w:rFonts w:cs="Calibri"/>
                <w:sz w:val="16"/>
                <w:szCs w:val="16"/>
              </w:rPr>
              <w:t xml:space="preserve">arette use was assistance to quit smoking, and nearly half indicated that they plan to reduce their nicotine concentration and eventually quit using </w:t>
            </w:r>
            <w:r>
              <w:rPr>
                <w:rFonts w:cs="Calibri"/>
                <w:sz w:val="16"/>
                <w:szCs w:val="16"/>
              </w:rPr>
              <w:t>e</w:t>
            </w:r>
            <w:r>
              <w:rPr>
                <w:rFonts w:cs="Calibri"/>
                <w:sz w:val="16"/>
                <w:szCs w:val="16"/>
              </w:rPr>
              <w:noBreakHyphen/>
              <w:t>cig</w:t>
            </w:r>
            <w:r w:rsidRPr="000F6DEF">
              <w:rPr>
                <w:rFonts w:cs="Calibri"/>
                <w:sz w:val="16"/>
                <w:szCs w:val="16"/>
              </w:rPr>
              <w:t>arettes. Among former smokers, self</w:t>
            </w:r>
            <w:r w:rsidRPr="000F6DEF">
              <w:rPr>
                <w:rFonts w:cs="Calibri"/>
                <w:sz w:val="16"/>
                <w:szCs w:val="16"/>
              </w:rPr>
              <w:noBreakHyphen/>
              <w:t xml:space="preserve">reports on use and measures of dependence were consistent with nicotine replacement as their primary motivation. The majority of former and current smokers also reported that their respiratory health had improved as a result of </w:t>
            </w:r>
            <w:r>
              <w:rPr>
                <w:rFonts w:cs="Calibri"/>
                <w:sz w:val="16"/>
                <w:szCs w:val="16"/>
              </w:rPr>
              <w:t>e</w:t>
            </w:r>
            <w:r>
              <w:rPr>
                <w:rFonts w:cs="Calibri"/>
                <w:sz w:val="16"/>
                <w:szCs w:val="16"/>
              </w:rPr>
              <w:noBreakHyphen/>
              <w:t>cig</w:t>
            </w:r>
            <w:r w:rsidRPr="000F6DEF">
              <w:rPr>
                <w:rFonts w:cs="Calibri"/>
                <w:sz w:val="16"/>
                <w:szCs w:val="16"/>
              </w:rPr>
              <w:t xml:space="preserve">arette use, although this effect was stronger for former smokers. Never smokers reported less frequent </w:t>
            </w:r>
            <w:r>
              <w:rPr>
                <w:rFonts w:cs="Calibri"/>
                <w:sz w:val="16"/>
                <w:szCs w:val="16"/>
              </w:rPr>
              <w:t>e</w:t>
            </w:r>
            <w:r>
              <w:rPr>
                <w:rFonts w:cs="Calibri"/>
                <w:sz w:val="16"/>
                <w:szCs w:val="16"/>
              </w:rPr>
              <w:noBreakHyphen/>
              <w:t>cig</w:t>
            </w:r>
            <w:r w:rsidRPr="000F6DEF">
              <w:rPr>
                <w:rFonts w:cs="Calibri"/>
                <w:sz w:val="16"/>
                <w:szCs w:val="16"/>
              </w:rPr>
              <w:t xml:space="preserve">arette use and dependence compared to former and current smokers. Their motivations for use were more commonly for enjoyment and popularity, and they displayed a reduced desire to eventually quit using </w:t>
            </w:r>
            <w:r>
              <w:rPr>
                <w:rFonts w:cs="Calibri"/>
                <w:sz w:val="16"/>
                <w:szCs w:val="16"/>
              </w:rPr>
              <w:t>e</w:t>
            </w:r>
            <w:r>
              <w:rPr>
                <w:rFonts w:cs="Calibri"/>
                <w:sz w:val="16"/>
                <w:szCs w:val="16"/>
              </w:rPr>
              <w:noBreakHyphen/>
              <w:t>cig</w:t>
            </w:r>
            <w:r w:rsidRPr="000F6DEF">
              <w:rPr>
                <w:rFonts w:cs="Calibri"/>
                <w:sz w:val="16"/>
                <w:szCs w:val="16"/>
              </w:rPr>
              <w:t xml:space="preserve">arettes. </w:t>
            </w:r>
          </w:p>
        </w:tc>
        <w:tc>
          <w:tcPr>
            <w:tcW w:w="4428" w:type="dxa"/>
          </w:tcPr>
          <w:p w14:paraId="66A8F0B3"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Never-smoking </w:t>
            </w:r>
            <w:r>
              <w:rPr>
                <w:rFonts w:cs="Calibri"/>
                <w:sz w:val="16"/>
                <w:szCs w:val="16"/>
              </w:rPr>
              <w:t>e</w:t>
            </w:r>
            <w:r>
              <w:rPr>
                <w:rFonts w:cs="Calibri"/>
                <w:sz w:val="16"/>
                <w:szCs w:val="16"/>
              </w:rPr>
              <w:noBreakHyphen/>
              <w:t>cig</w:t>
            </w:r>
            <w:r w:rsidRPr="000F6DEF">
              <w:rPr>
                <w:rFonts w:cs="Calibri"/>
                <w:sz w:val="16"/>
                <w:szCs w:val="16"/>
              </w:rPr>
              <w:t>arette users are an emerging demographic with different motivations and perceptions than those of current and former smokers</w:t>
            </w:r>
          </w:p>
        </w:tc>
      </w:tr>
      <w:tr w:rsidR="00B85C33" w:rsidRPr="000F6DEF" w14:paraId="18F2ADD7" w14:textId="77777777" w:rsidTr="000376C7">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1435" w:type="dxa"/>
          </w:tcPr>
          <w:p w14:paraId="41867037" w14:textId="5FE60396" w:rsidR="00B85C33" w:rsidRPr="000F6DEF" w:rsidRDefault="00B85C33" w:rsidP="000376C7">
            <w:pPr>
              <w:rPr>
                <w:rFonts w:cs="Calibri"/>
                <w:sz w:val="16"/>
                <w:szCs w:val="16"/>
              </w:rPr>
            </w:pPr>
            <w:r w:rsidRPr="000F6DEF">
              <w:rPr>
                <w:rFonts w:cs="Calibri"/>
                <w:sz w:val="16"/>
                <w:szCs w:val="16"/>
              </w:rPr>
              <w:lastRenderedPageBreak/>
              <w:t>Temple, Shorey</w:t>
            </w:r>
            <w:r w:rsidR="008146F9">
              <w:rPr>
                <w:rFonts w:cs="Calibri"/>
                <w:sz w:val="16"/>
                <w:szCs w:val="16"/>
              </w:rPr>
              <w:t xml:space="preserve"> </w:t>
            </w:r>
            <w:r w:rsidRPr="000F6DEF">
              <w:rPr>
                <w:rFonts w:cs="Calibri"/>
                <w:sz w:val="16"/>
                <w:szCs w:val="16"/>
              </w:rPr>
              <w:t xml:space="preserve">et al 2017 </w:t>
            </w:r>
          </w:p>
        </w:tc>
        <w:tc>
          <w:tcPr>
            <w:tcW w:w="2529" w:type="dxa"/>
          </w:tcPr>
          <w:p w14:paraId="5D8BC605" w14:textId="685DC722"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To examine associations between </w:t>
            </w:r>
            <w:r>
              <w:rPr>
                <w:rFonts w:cs="Calibri"/>
                <w:sz w:val="16"/>
                <w:szCs w:val="16"/>
              </w:rPr>
              <w:t>e</w:t>
            </w:r>
            <w:r>
              <w:rPr>
                <w:rFonts w:cs="Calibri"/>
                <w:sz w:val="16"/>
                <w:szCs w:val="16"/>
              </w:rPr>
              <w:noBreakHyphen/>
              <w:t>cig</w:t>
            </w:r>
            <w:r w:rsidRPr="000F6DEF">
              <w:rPr>
                <w:rFonts w:cs="Calibri"/>
                <w:sz w:val="16"/>
                <w:szCs w:val="16"/>
              </w:rPr>
              <w:t xml:space="preserve">arette use and other substances and identified motives for </w:t>
            </w:r>
            <w:r>
              <w:rPr>
                <w:rFonts w:cs="Calibri"/>
                <w:sz w:val="16"/>
                <w:szCs w:val="16"/>
              </w:rPr>
              <w:t>e</w:t>
            </w:r>
            <w:r>
              <w:rPr>
                <w:rFonts w:cs="Calibri"/>
                <w:sz w:val="16"/>
                <w:szCs w:val="16"/>
              </w:rPr>
              <w:noBreakHyphen/>
              <w:t>cig</w:t>
            </w:r>
            <w:r w:rsidRPr="000F6DEF">
              <w:rPr>
                <w:rFonts w:cs="Calibri"/>
                <w:sz w:val="16"/>
                <w:szCs w:val="16"/>
              </w:rPr>
              <w:t>arette use among young adults</w:t>
            </w:r>
            <w:r w:rsidR="005500FC">
              <w:rPr>
                <w:rFonts w:cs="Calibri"/>
                <w:sz w:val="16"/>
                <w:szCs w:val="16"/>
              </w:rPr>
              <w:t>.</w:t>
            </w:r>
          </w:p>
        </w:tc>
        <w:tc>
          <w:tcPr>
            <w:tcW w:w="6521" w:type="dxa"/>
          </w:tcPr>
          <w:p w14:paraId="56389810"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Hispanic, White, and male young adults reported signiﬁcantly greater past year </w:t>
            </w:r>
            <w:r>
              <w:rPr>
                <w:rFonts w:cs="Calibri"/>
                <w:sz w:val="16"/>
                <w:szCs w:val="16"/>
              </w:rPr>
              <w:t>e</w:t>
            </w:r>
            <w:r>
              <w:rPr>
                <w:rFonts w:cs="Calibri"/>
                <w:sz w:val="16"/>
                <w:szCs w:val="16"/>
              </w:rPr>
              <w:noBreakHyphen/>
              <w:t>cig</w:t>
            </w:r>
            <w:r w:rsidRPr="000F6DEF">
              <w:rPr>
                <w:rFonts w:cs="Calibri"/>
                <w:sz w:val="16"/>
                <w:szCs w:val="16"/>
              </w:rPr>
              <w:t xml:space="preserve">arette use compared to their African American and female counterparts. Bivariate correlations showed that use of </w:t>
            </w:r>
            <w:r>
              <w:rPr>
                <w:rFonts w:cs="Calibri"/>
                <w:sz w:val="16"/>
                <w:szCs w:val="16"/>
              </w:rPr>
              <w:t>e</w:t>
            </w:r>
            <w:r>
              <w:rPr>
                <w:rFonts w:cs="Calibri"/>
                <w:sz w:val="16"/>
                <w:szCs w:val="16"/>
              </w:rPr>
              <w:noBreakHyphen/>
              <w:t>cig</w:t>
            </w:r>
            <w:r w:rsidRPr="000F6DEF">
              <w:rPr>
                <w:rFonts w:cs="Calibri"/>
                <w:sz w:val="16"/>
                <w:szCs w:val="16"/>
              </w:rPr>
              <w:t>arettes was positively associated with use of combustible cigarettes, alcohol, marijuana, cocaine, amphetamines, inhalants, hallucinogens, ecstasy, and misuse of over</w:t>
            </w:r>
            <w:r w:rsidRPr="000F6DEF">
              <w:rPr>
                <w:rFonts w:cs="Calibri"/>
                <w:sz w:val="16"/>
                <w:szCs w:val="16"/>
              </w:rPr>
              <w:noBreakHyphen/>
              <w:t>the</w:t>
            </w:r>
            <w:r w:rsidRPr="000F6DEF">
              <w:rPr>
                <w:rFonts w:cs="Calibri"/>
                <w:sz w:val="16"/>
                <w:szCs w:val="16"/>
              </w:rPr>
              <w:noBreakHyphen/>
              <w:t xml:space="preserve">counter and prescription medications. </w:t>
            </w:r>
            <w:r>
              <w:rPr>
                <w:rFonts w:cs="Calibri"/>
                <w:sz w:val="16"/>
                <w:szCs w:val="16"/>
              </w:rPr>
              <w:t>E</w:t>
            </w:r>
            <w:r>
              <w:rPr>
                <w:rFonts w:cs="Calibri"/>
                <w:sz w:val="16"/>
                <w:szCs w:val="16"/>
              </w:rPr>
              <w:noBreakHyphen/>
              <w:t>cig</w:t>
            </w:r>
            <w:r w:rsidRPr="000F6DEF">
              <w:rPr>
                <w:rFonts w:cs="Calibri"/>
                <w:sz w:val="16"/>
                <w:szCs w:val="16"/>
              </w:rPr>
              <w:t xml:space="preserve">arette users reported a higher prevalence of substance use relative to those who did not use </w:t>
            </w:r>
            <w:r>
              <w:rPr>
                <w:rFonts w:cs="Calibri"/>
                <w:sz w:val="16"/>
                <w:szCs w:val="16"/>
              </w:rPr>
              <w:t>e</w:t>
            </w:r>
            <w:r>
              <w:rPr>
                <w:rFonts w:cs="Calibri"/>
                <w:sz w:val="16"/>
                <w:szCs w:val="16"/>
              </w:rPr>
              <w:noBreakHyphen/>
              <w:t>cig</w:t>
            </w:r>
            <w:r w:rsidRPr="000F6DEF">
              <w:rPr>
                <w:rFonts w:cs="Calibri"/>
                <w:sz w:val="16"/>
                <w:szCs w:val="16"/>
              </w:rPr>
              <w:t xml:space="preserve">arettes. The taste of </w:t>
            </w:r>
            <w:r>
              <w:rPr>
                <w:rFonts w:cs="Calibri"/>
                <w:sz w:val="16"/>
                <w:szCs w:val="16"/>
              </w:rPr>
              <w:t>e</w:t>
            </w:r>
            <w:r>
              <w:rPr>
                <w:rFonts w:cs="Calibri"/>
                <w:sz w:val="16"/>
                <w:szCs w:val="16"/>
              </w:rPr>
              <w:noBreakHyphen/>
              <w:t>cig</w:t>
            </w:r>
            <w:r w:rsidRPr="000F6DEF">
              <w:rPr>
                <w:rFonts w:cs="Calibri"/>
                <w:sz w:val="16"/>
                <w:szCs w:val="16"/>
              </w:rPr>
              <w:t xml:space="preserve">arettes was identiﬁed as an important motive for use. </w:t>
            </w:r>
          </w:p>
        </w:tc>
        <w:tc>
          <w:tcPr>
            <w:tcW w:w="4428" w:type="dxa"/>
          </w:tcPr>
          <w:p w14:paraId="542E8D61"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Pr>
                <w:rFonts w:cs="Calibri"/>
                <w:sz w:val="16"/>
                <w:szCs w:val="16"/>
              </w:rPr>
              <w:t>E</w:t>
            </w:r>
            <w:r>
              <w:rPr>
                <w:rFonts w:cs="Calibri"/>
                <w:sz w:val="16"/>
                <w:szCs w:val="16"/>
              </w:rPr>
              <w:noBreakHyphen/>
              <w:t>cig</w:t>
            </w:r>
            <w:r w:rsidRPr="000F6DEF">
              <w:rPr>
                <w:rFonts w:cs="Calibri"/>
                <w:sz w:val="16"/>
                <w:szCs w:val="16"/>
              </w:rPr>
              <w:t xml:space="preserve">arettes appear to be a risk marker for the use of substances that are known to pose substantial health problems. Youth substance use prevention programs should target the reduction of </w:t>
            </w:r>
            <w:r>
              <w:rPr>
                <w:rFonts w:cs="Calibri"/>
                <w:sz w:val="16"/>
                <w:szCs w:val="16"/>
              </w:rPr>
              <w:t>e</w:t>
            </w:r>
            <w:r>
              <w:rPr>
                <w:rFonts w:cs="Calibri"/>
                <w:sz w:val="16"/>
                <w:szCs w:val="16"/>
              </w:rPr>
              <w:noBreakHyphen/>
              <w:t>cig</w:t>
            </w:r>
            <w:r w:rsidRPr="000F6DEF">
              <w:rPr>
                <w:rFonts w:cs="Calibri"/>
                <w:sz w:val="16"/>
                <w:szCs w:val="16"/>
              </w:rPr>
              <w:t>arette use with particular attention to addressing their taste appeal.</w:t>
            </w:r>
          </w:p>
        </w:tc>
      </w:tr>
      <w:tr w:rsidR="00B85C33" w:rsidRPr="000F6DEF" w14:paraId="50DBF44B" w14:textId="77777777" w:rsidTr="000376C7">
        <w:trPr>
          <w:trHeight w:val="94"/>
        </w:trPr>
        <w:tc>
          <w:tcPr>
            <w:cnfStyle w:val="001000000000" w:firstRow="0" w:lastRow="0" w:firstColumn="1" w:lastColumn="0" w:oddVBand="0" w:evenVBand="0" w:oddHBand="0" w:evenHBand="0" w:firstRowFirstColumn="0" w:firstRowLastColumn="0" w:lastRowFirstColumn="0" w:lastRowLastColumn="0"/>
            <w:tcW w:w="1435" w:type="dxa"/>
          </w:tcPr>
          <w:p w14:paraId="3103BE4A" w14:textId="77777777" w:rsidR="00B85C33" w:rsidRPr="000F6DEF" w:rsidRDefault="00B85C33" w:rsidP="000376C7">
            <w:pPr>
              <w:rPr>
                <w:rFonts w:cs="Calibri"/>
                <w:sz w:val="16"/>
                <w:szCs w:val="16"/>
              </w:rPr>
            </w:pPr>
            <w:r w:rsidRPr="000F6DEF">
              <w:rPr>
                <w:rFonts w:cs="Calibri"/>
                <w:sz w:val="16"/>
                <w:szCs w:val="16"/>
              </w:rPr>
              <w:t>Vogel, Ramo, Rubinstein 2018</w:t>
            </w:r>
          </w:p>
        </w:tc>
        <w:tc>
          <w:tcPr>
            <w:tcW w:w="2529" w:type="dxa"/>
          </w:tcPr>
          <w:p w14:paraId="77A7E4A9"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This study identifies correlates of </w:t>
            </w:r>
            <w:r>
              <w:rPr>
                <w:rFonts w:cs="Calibri"/>
                <w:sz w:val="16"/>
                <w:szCs w:val="16"/>
              </w:rPr>
              <w:t>e</w:t>
            </w:r>
            <w:r>
              <w:rPr>
                <w:rFonts w:cs="Calibri"/>
                <w:sz w:val="16"/>
                <w:szCs w:val="16"/>
              </w:rPr>
              <w:noBreakHyphen/>
              <w:t>cig</w:t>
            </w:r>
            <w:r w:rsidRPr="000F6DEF">
              <w:rPr>
                <w:rFonts w:cs="Calibri"/>
                <w:sz w:val="16"/>
                <w:szCs w:val="16"/>
              </w:rPr>
              <w:t>arette use frequency and dependence among adolescent users.</w:t>
            </w:r>
          </w:p>
        </w:tc>
        <w:tc>
          <w:tcPr>
            <w:tcW w:w="6521" w:type="dxa"/>
          </w:tcPr>
          <w:p w14:paraId="7EFC280B"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sz w:val="16"/>
                <w:szCs w:val="16"/>
              </w:rPr>
              <w:t>Significant bivariate correlates of frequency of use (p&lt;0.10) were older age, SES , source</w:t>
            </w:r>
            <w:r w:rsidRPr="000F6DEF">
              <w:rPr>
                <w:sz w:val="16"/>
                <w:szCs w:val="16"/>
              </w:rPr>
              <w:br/>
              <w:t xml:space="preserve">of first </w:t>
            </w:r>
            <w:r>
              <w:rPr>
                <w:sz w:val="16"/>
                <w:szCs w:val="16"/>
              </w:rPr>
              <w:t>e</w:t>
            </w:r>
            <w:r>
              <w:rPr>
                <w:sz w:val="16"/>
                <w:szCs w:val="16"/>
              </w:rPr>
              <w:noBreakHyphen/>
              <w:t>cig</w:t>
            </w:r>
            <w:r w:rsidRPr="000F6DEF">
              <w:rPr>
                <w:sz w:val="16"/>
                <w:szCs w:val="16"/>
              </w:rPr>
              <w:t xml:space="preserve">arette, presence of nicotine in one’s first </w:t>
            </w:r>
            <w:r>
              <w:rPr>
                <w:sz w:val="16"/>
                <w:szCs w:val="16"/>
              </w:rPr>
              <w:t>e</w:t>
            </w:r>
            <w:r>
              <w:rPr>
                <w:sz w:val="16"/>
                <w:szCs w:val="16"/>
              </w:rPr>
              <w:noBreakHyphen/>
              <w:t>cig</w:t>
            </w:r>
            <w:r w:rsidRPr="000F6DEF">
              <w:rPr>
                <w:sz w:val="16"/>
                <w:szCs w:val="16"/>
              </w:rPr>
              <w:t xml:space="preserve">arette, current use of nicotine in </w:t>
            </w:r>
            <w:r>
              <w:rPr>
                <w:sz w:val="16"/>
                <w:szCs w:val="16"/>
              </w:rPr>
              <w:t>e</w:t>
            </w:r>
            <w:r>
              <w:rPr>
                <w:sz w:val="16"/>
                <w:szCs w:val="16"/>
              </w:rPr>
              <w:noBreakHyphen/>
              <w:t>cig</w:t>
            </w:r>
            <w:r w:rsidRPr="000F6DEF">
              <w:rPr>
                <w:sz w:val="16"/>
                <w:szCs w:val="16"/>
              </w:rPr>
              <w:t xml:space="preserve">arettes, device type, having friends who use </w:t>
            </w:r>
            <w:r>
              <w:rPr>
                <w:sz w:val="16"/>
                <w:szCs w:val="16"/>
              </w:rPr>
              <w:t>e</w:t>
            </w:r>
            <w:r>
              <w:rPr>
                <w:sz w:val="16"/>
                <w:szCs w:val="16"/>
              </w:rPr>
              <w:noBreakHyphen/>
              <w:t>cig</w:t>
            </w:r>
            <w:r w:rsidRPr="000F6DEF">
              <w:rPr>
                <w:sz w:val="16"/>
                <w:szCs w:val="16"/>
              </w:rPr>
              <w:t>arettes, and recent cigarette smoking.</w:t>
            </w:r>
            <w:r w:rsidRPr="000F6DEF">
              <w:rPr>
                <w:sz w:val="16"/>
                <w:szCs w:val="16"/>
              </w:rPr>
              <w:br/>
              <w:t xml:space="preserve">Significant bivariate correlates of dependence were younger age of first use, source of first </w:t>
            </w:r>
            <w:r>
              <w:rPr>
                <w:sz w:val="16"/>
                <w:szCs w:val="16"/>
              </w:rPr>
              <w:t>e</w:t>
            </w:r>
            <w:r>
              <w:rPr>
                <w:sz w:val="16"/>
                <w:szCs w:val="16"/>
              </w:rPr>
              <w:noBreakHyphen/>
              <w:t>cig</w:t>
            </w:r>
            <w:r w:rsidRPr="000F6DEF">
              <w:rPr>
                <w:sz w:val="16"/>
                <w:szCs w:val="16"/>
              </w:rPr>
              <w:t xml:space="preserve">arette, presence of nicotine in one’s first </w:t>
            </w:r>
            <w:r>
              <w:rPr>
                <w:sz w:val="16"/>
                <w:szCs w:val="16"/>
              </w:rPr>
              <w:t>e</w:t>
            </w:r>
            <w:r>
              <w:rPr>
                <w:sz w:val="16"/>
                <w:szCs w:val="16"/>
              </w:rPr>
              <w:noBreakHyphen/>
              <w:t>cig</w:t>
            </w:r>
            <w:r w:rsidRPr="000F6DEF">
              <w:rPr>
                <w:sz w:val="16"/>
                <w:szCs w:val="16"/>
              </w:rPr>
              <w:t xml:space="preserve">arette, current use of nicotine in </w:t>
            </w:r>
            <w:r>
              <w:rPr>
                <w:sz w:val="16"/>
                <w:szCs w:val="16"/>
              </w:rPr>
              <w:t>e</w:t>
            </w:r>
            <w:r>
              <w:rPr>
                <w:sz w:val="16"/>
                <w:szCs w:val="16"/>
              </w:rPr>
              <w:noBreakHyphen/>
              <w:t>cig</w:t>
            </w:r>
            <w:r w:rsidRPr="000F6DEF">
              <w:rPr>
                <w:sz w:val="16"/>
                <w:szCs w:val="16"/>
              </w:rPr>
              <w:t xml:space="preserve">arettes, source of first hearing about </w:t>
            </w:r>
            <w:r>
              <w:rPr>
                <w:sz w:val="16"/>
                <w:szCs w:val="16"/>
              </w:rPr>
              <w:t>e</w:t>
            </w:r>
            <w:r>
              <w:rPr>
                <w:sz w:val="16"/>
                <w:szCs w:val="16"/>
              </w:rPr>
              <w:noBreakHyphen/>
              <w:t>cig</w:t>
            </w:r>
            <w:r w:rsidRPr="000F6DEF">
              <w:rPr>
                <w:sz w:val="16"/>
                <w:szCs w:val="16"/>
              </w:rPr>
              <w:t xml:space="preserve">arettes, device type, having many friends who use </w:t>
            </w:r>
            <w:r>
              <w:rPr>
                <w:sz w:val="16"/>
                <w:szCs w:val="16"/>
              </w:rPr>
              <w:t>e</w:t>
            </w:r>
            <w:r>
              <w:rPr>
                <w:sz w:val="16"/>
                <w:szCs w:val="16"/>
              </w:rPr>
              <w:noBreakHyphen/>
              <w:t>cig</w:t>
            </w:r>
            <w:r w:rsidRPr="000F6DEF">
              <w:rPr>
                <w:sz w:val="16"/>
                <w:szCs w:val="16"/>
              </w:rPr>
              <w:t>arettes, and recent cigarette smoking.</w:t>
            </w:r>
          </w:p>
        </w:tc>
        <w:tc>
          <w:tcPr>
            <w:tcW w:w="4428" w:type="dxa"/>
          </w:tcPr>
          <w:p w14:paraId="2A99298E"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sz w:val="16"/>
                <w:szCs w:val="16"/>
              </w:rPr>
              <w:t xml:space="preserve">When assessing problematic </w:t>
            </w:r>
            <w:r>
              <w:rPr>
                <w:sz w:val="16"/>
                <w:szCs w:val="16"/>
              </w:rPr>
              <w:t>e</w:t>
            </w:r>
            <w:r>
              <w:rPr>
                <w:sz w:val="16"/>
                <w:szCs w:val="16"/>
              </w:rPr>
              <w:noBreakHyphen/>
              <w:t>cig</w:t>
            </w:r>
            <w:r w:rsidRPr="000F6DEF">
              <w:rPr>
                <w:sz w:val="16"/>
                <w:szCs w:val="16"/>
              </w:rPr>
              <w:t xml:space="preserve">arette use among adolescents, it is important to consider social factors (e.g., friends' and family members' </w:t>
            </w:r>
            <w:r>
              <w:rPr>
                <w:sz w:val="16"/>
                <w:szCs w:val="16"/>
              </w:rPr>
              <w:t>e</w:t>
            </w:r>
            <w:r>
              <w:rPr>
                <w:sz w:val="16"/>
                <w:szCs w:val="16"/>
              </w:rPr>
              <w:noBreakHyphen/>
              <w:t>cig</w:t>
            </w:r>
            <w:r w:rsidRPr="000F6DEF">
              <w:rPr>
                <w:sz w:val="16"/>
                <w:szCs w:val="16"/>
              </w:rPr>
              <w:t>arette use), device type, and dual use with cigarettes.</w:t>
            </w:r>
          </w:p>
        </w:tc>
      </w:tr>
      <w:tr w:rsidR="00B85C33" w:rsidRPr="000F6DEF" w14:paraId="6836744C" w14:textId="77777777" w:rsidTr="000376C7">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1435" w:type="dxa"/>
          </w:tcPr>
          <w:p w14:paraId="2137B492" w14:textId="77777777" w:rsidR="00B85C33" w:rsidRPr="000F6DEF" w:rsidRDefault="00B85C33" w:rsidP="000376C7">
            <w:pPr>
              <w:rPr>
                <w:rFonts w:cs="Calibri"/>
                <w:sz w:val="16"/>
                <w:szCs w:val="16"/>
              </w:rPr>
            </w:pPr>
            <w:r w:rsidRPr="000F6DEF">
              <w:rPr>
                <w:rFonts w:cs="Calibri"/>
                <w:sz w:val="16"/>
                <w:szCs w:val="16"/>
              </w:rPr>
              <w:t>Westling E, Rusby J et al 2017</w:t>
            </w:r>
          </w:p>
        </w:tc>
        <w:tc>
          <w:tcPr>
            <w:tcW w:w="2529" w:type="dxa"/>
          </w:tcPr>
          <w:p w14:paraId="7116F7EA" w14:textId="6FFCEF5F"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To examine the use of electronic cigarettes (</w:t>
            </w:r>
            <w:r>
              <w:rPr>
                <w:rFonts w:cs="Calibri"/>
                <w:sz w:val="16"/>
                <w:szCs w:val="16"/>
              </w:rPr>
              <w:t>e</w:t>
            </w:r>
            <w:r>
              <w:rPr>
                <w:rFonts w:cs="Calibri"/>
                <w:sz w:val="16"/>
                <w:szCs w:val="16"/>
              </w:rPr>
              <w:noBreakHyphen/>
              <w:t>cig</w:t>
            </w:r>
            <w:r w:rsidRPr="000F6DEF">
              <w:rPr>
                <w:rFonts w:cs="Calibri"/>
                <w:sz w:val="16"/>
                <w:szCs w:val="16"/>
              </w:rPr>
              <w:t>arettes) among adolescents over time, including correlates of lifetime use by eighth grade and trajectories of current use across ninth grade</w:t>
            </w:r>
            <w:r w:rsidR="005500FC">
              <w:rPr>
                <w:rFonts w:cs="Calibri"/>
                <w:sz w:val="16"/>
                <w:szCs w:val="16"/>
              </w:rPr>
              <w:t>.</w:t>
            </w:r>
          </w:p>
        </w:tc>
        <w:tc>
          <w:tcPr>
            <w:tcW w:w="6521" w:type="dxa"/>
          </w:tcPr>
          <w:p w14:paraId="1931B2AA"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Overall, 27.7% of eighth graders had used </w:t>
            </w:r>
            <w:r>
              <w:rPr>
                <w:rFonts w:cs="Calibri"/>
                <w:sz w:val="16"/>
                <w:szCs w:val="16"/>
              </w:rPr>
              <w:t>e</w:t>
            </w:r>
            <w:r>
              <w:rPr>
                <w:rFonts w:cs="Calibri"/>
                <w:sz w:val="16"/>
                <w:szCs w:val="16"/>
              </w:rPr>
              <w:noBreakHyphen/>
              <w:t>cig</w:t>
            </w:r>
            <w:r w:rsidRPr="000F6DEF">
              <w:rPr>
                <w:rFonts w:cs="Calibri"/>
                <w:sz w:val="16"/>
                <w:szCs w:val="16"/>
              </w:rPr>
              <w:t xml:space="preserve">arettes, and 16.8% were current </w:t>
            </w:r>
            <w:r>
              <w:rPr>
                <w:rFonts w:cs="Calibri"/>
                <w:sz w:val="16"/>
                <w:szCs w:val="16"/>
              </w:rPr>
              <w:t>e</w:t>
            </w:r>
            <w:r>
              <w:rPr>
                <w:rFonts w:cs="Calibri"/>
                <w:sz w:val="16"/>
                <w:szCs w:val="16"/>
              </w:rPr>
              <w:noBreakHyphen/>
              <w:t>cig</w:t>
            </w:r>
            <w:r w:rsidRPr="000F6DEF">
              <w:rPr>
                <w:rFonts w:cs="Calibri"/>
                <w:sz w:val="16"/>
                <w:szCs w:val="16"/>
              </w:rPr>
              <w:t xml:space="preserve">arette users (used in the past 30 days); use did not significantly differ by gender or ethnicity. Correlates of </w:t>
            </w:r>
            <w:r>
              <w:rPr>
                <w:rFonts w:cs="Calibri"/>
                <w:sz w:val="16"/>
                <w:szCs w:val="16"/>
              </w:rPr>
              <w:t>e</w:t>
            </w:r>
            <w:r>
              <w:rPr>
                <w:rFonts w:cs="Calibri"/>
                <w:sz w:val="16"/>
                <w:szCs w:val="16"/>
              </w:rPr>
              <w:noBreakHyphen/>
              <w:t>cig</w:t>
            </w:r>
            <w:r w:rsidRPr="000F6DEF">
              <w:rPr>
                <w:rFonts w:cs="Calibri"/>
                <w:sz w:val="16"/>
                <w:szCs w:val="16"/>
              </w:rPr>
              <w:t xml:space="preserve">arette lifetime use by eighth grade included lifetime and current use of marijuana, alcohol, cigarettes, and chewing tobacco. Five percent of students were "accelerators," on average using </w:t>
            </w:r>
            <w:r>
              <w:rPr>
                <w:rFonts w:cs="Calibri"/>
                <w:sz w:val="16"/>
                <w:szCs w:val="16"/>
              </w:rPr>
              <w:t>e</w:t>
            </w:r>
            <w:r>
              <w:rPr>
                <w:rFonts w:cs="Calibri"/>
                <w:sz w:val="16"/>
                <w:szCs w:val="16"/>
              </w:rPr>
              <w:noBreakHyphen/>
              <w:t>cig</w:t>
            </w:r>
            <w:r w:rsidRPr="000F6DEF">
              <w:rPr>
                <w:rFonts w:cs="Calibri"/>
                <w:sz w:val="16"/>
                <w:szCs w:val="16"/>
              </w:rPr>
              <w:t>arettes 14 of the last 30 days in eighth grade, increasing to daily use (30/30 days) by the end of ninth grade. Across all substances, those in the accelerator group were more likely to have reported lifetime substance use by eighth grade and current substance use in ninth grade, compared to the "infrequent/no use" group</w:t>
            </w:r>
          </w:p>
        </w:tc>
        <w:tc>
          <w:tcPr>
            <w:tcW w:w="4428" w:type="dxa"/>
          </w:tcPr>
          <w:p w14:paraId="229FD18B"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A sizeable proportion of young adolescents are using </w:t>
            </w:r>
            <w:r>
              <w:rPr>
                <w:rFonts w:cs="Calibri"/>
                <w:sz w:val="16"/>
                <w:szCs w:val="16"/>
              </w:rPr>
              <w:t>e</w:t>
            </w:r>
            <w:r>
              <w:rPr>
                <w:rFonts w:cs="Calibri"/>
                <w:sz w:val="16"/>
                <w:szCs w:val="16"/>
              </w:rPr>
              <w:noBreakHyphen/>
              <w:t>cig</w:t>
            </w:r>
            <w:r w:rsidRPr="000F6DEF">
              <w:rPr>
                <w:rFonts w:cs="Calibri"/>
                <w:sz w:val="16"/>
                <w:szCs w:val="16"/>
              </w:rPr>
              <w:t xml:space="preserve">arettes, and </w:t>
            </w:r>
            <w:r>
              <w:rPr>
                <w:rFonts w:cs="Calibri"/>
                <w:sz w:val="16"/>
                <w:szCs w:val="16"/>
              </w:rPr>
              <w:t>e</w:t>
            </w:r>
            <w:r>
              <w:rPr>
                <w:rFonts w:cs="Calibri"/>
                <w:sz w:val="16"/>
                <w:szCs w:val="16"/>
              </w:rPr>
              <w:noBreakHyphen/>
              <w:t>cig</w:t>
            </w:r>
            <w:r w:rsidRPr="000F6DEF">
              <w:rPr>
                <w:rFonts w:cs="Calibri"/>
                <w:sz w:val="16"/>
                <w:szCs w:val="16"/>
              </w:rPr>
              <w:t xml:space="preserve">arette use is highly correlated with use of other substances, including marijuana. Adolescents who progress to daily </w:t>
            </w:r>
            <w:r>
              <w:rPr>
                <w:rFonts w:cs="Calibri"/>
                <w:sz w:val="16"/>
                <w:szCs w:val="16"/>
              </w:rPr>
              <w:t>e</w:t>
            </w:r>
            <w:r>
              <w:rPr>
                <w:rFonts w:cs="Calibri"/>
                <w:sz w:val="16"/>
                <w:szCs w:val="16"/>
              </w:rPr>
              <w:noBreakHyphen/>
              <w:t>cig</w:t>
            </w:r>
            <w:r w:rsidRPr="000F6DEF">
              <w:rPr>
                <w:rFonts w:cs="Calibri"/>
                <w:sz w:val="16"/>
                <w:szCs w:val="16"/>
              </w:rPr>
              <w:t xml:space="preserve">arette use in high school are more likely to use other substances compared to low or nonusers. </w:t>
            </w:r>
            <w:r>
              <w:rPr>
                <w:rFonts w:cs="Calibri"/>
                <w:sz w:val="16"/>
                <w:szCs w:val="16"/>
              </w:rPr>
              <w:t>E</w:t>
            </w:r>
            <w:r>
              <w:rPr>
                <w:rFonts w:cs="Calibri"/>
                <w:sz w:val="16"/>
                <w:szCs w:val="16"/>
              </w:rPr>
              <w:noBreakHyphen/>
              <w:t>cig</w:t>
            </w:r>
            <w:r w:rsidRPr="000F6DEF">
              <w:rPr>
                <w:rFonts w:cs="Calibri"/>
                <w:sz w:val="16"/>
                <w:szCs w:val="16"/>
              </w:rPr>
              <w:t>arettes may be a relatively new addition to a constellation of substances being actively used by a segment of the youth population.</w:t>
            </w:r>
          </w:p>
        </w:tc>
      </w:tr>
    </w:tbl>
    <w:p w14:paraId="0C18674C" w14:textId="77777777" w:rsidR="00B85C33" w:rsidRDefault="00B85C33" w:rsidP="00B85C33">
      <w:pPr>
        <w:spacing w:after="0"/>
        <w:rPr>
          <w:sz w:val="24"/>
        </w:rPr>
      </w:pPr>
      <w:r>
        <w:br w:type="page"/>
      </w:r>
    </w:p>
    <w:p w14:paraId="1F3F805D" w14:textId="77777777" w:rsidR="00B85C33" w:rsidRDefault="004C6D16" w:rsidP="004C6D16">
      <w:pPr>
        <w:pStyle w:val="Caption"/>
      </w:pPr>
      <w:bookmarkStart w:id="341" w:name="_Toc517707449"/>
      <w:r>
        <w:lastRenderedPageBreak/>
        <w:t xml:space="preserve">Table </w:t>
      </w:r>
      <w:r w:rsidR="0048064B">
        <w:rPr>
          <w:noProof/>
        </w:rPr>
        <w:fldChar w:fldCharType="begin"/>
      </w:r>
      <w:r w:rsidR="0048064B">
        <w:rPr>
          <w:noProof/>
        </w:rPr>
        <w:instrText xml:space="preserve"> SEQ Table \* ARABIC </w:instrText>
      </w:r>
      <w:r w:rsidR="0048064B">
        <w:rPr>
          <w:noProof/>
        </w:rPr>
        <w:fldChar w:fldCharType="separate"/>
      </w:r>
      <w:r w:rsidR="000C06DA">
        <w:rPr>
          <w:noProof/>
        </w:rPr>
        <w:t>40</w:t>
      </w:r>
      <w:r w:rsidR="0048064B">
        <w:rPr>
          <w:noProof/>
        </w:rPr>
        <w:fldChar w:fldCharType="end"/>
      </w:r>
      <w:r w:rsidR="00B85C33" w:rsidRPr="00BE2699">
        <w:t>: Characteristics of studies of US LGBTI</w:t>
      </w:r>
      <w:bookmarkEnd w:id="341"/>
    </w:p>
    <w:tbl>
      <w:tblPr>
        <w:tblStyle w:val="TableCSIRO"/>
        <w:tblW w:w="14913" w:type="dxa"/>
        <w:tblLayout w:type="fixed"/>
        <w:tblLook w:val="04A0" w:firstRow="1" w:lastRow="0" w:firstColumn="1" w:lastColumn="0" w:noHBand="0" w:noVBand="1"/>
      </w:tblPr>
      <w:tblGrid>
        <w:gridCol w:w="1239"/>
        <w:gridCol w:w="2867"/>
        <w:gridCol w:w="1134"/>
        <w:gridCol w:w="992"/>
        <w:gridCol w:w="993"/>
        <w:gridCol w:w="2551"/>
        <w:gridCol w:w="1701"/>
        <w:gridCol w:w="1877"/>
        <w:gridCol w:w="1559"/>
      </w:tblGrid>
      <w:tr w:rsidR="00B85C33" w:rsidRPr="000F6DEF" w14:paraId="718AB04A" w14:textId="77777777" w:rsidTr="000A2C8E">
        <w:trPr>
          <w:cnfStyle w:val="100000000000" w:firstRow="1" w:lastRow="0" w:firstColumn="0" w:lastColumn="0" w:oddVBand="0" w:evenVBand="0" w:oddHBand="0" w:evenHBand="0" w:firstRowFirstColumn="0" w:firstRowLastColumn="0" w:lastRowFirstColumn="0" w:lastRowLastColumn="0"/>
          <w:trHeight w:val="569"/>
          <w:tblHeader/>
        </w:trPr>
        <w:tc>
          <w:tcPr>
            <w:cnfStyle w:val="001000000000" w:firstRow="0" w:lastRow="0" w:firstColumn="1" w:lastColumn="0" w:oddVBand="0" w:evenVBand="0" w:oddHBand="0" w:evenHBand="0" w:firstRowFirstColumn="0" w:firstRowLastColumn="0" w:lastRowFirstColumn="0" w:lastRowLastColumn="0"/>
            <w:tcW w:w="1239" w:type="dxa"/>
            <w:hideMark/>
          </w:tcPr>
          <w:p w14:paraId="622C3AA3" w14:textId="77777777" w:rsidR="00B85C33" w:rsidRPr="000F6DEF" w:rsidRDefault="00B85C33" w:rsidP="000376C7">
            <w:pPr>
              <w:rPr>
                <w:rFonts w:cstheme="minorHAnsi"/>
                <w:color w:val="auto"/>
                <w:sz w:val="16"/>
                <w:szCs w:val="16"/>
              </w:rPr>
            </w:pPr>
            <w:r w:rsidRPr="000F6DEF">
              <w:rPr>
                <w:rFonts w:cstheme="minorHAnsi"/>
                <w:color w:val="auto"/>
                <w:sz w:val="16"/>
                <w:szCs w:val="16"/>
              </w:rPr>
              <w:t>Study reference</w:t>
            </w:r>
          </w:p>
        </w:tc>
        <w:tc>
          <w:tcPr>
            <w:tcW w:w="2867" w:type="dxa"/>
            <w:hideMark/>
          </w:tcPr>
          <w:p w14:paraId="55D26AA9" w14:textId="77777777" w:rsidR="00B85C33" w:rsidRPr="000F6DEF" w:rsidRDefault="00B85C33" w:rsidP="000376C7">
            <w:pPr>
              <w:cnfStyle w:val="100000000000" w:firstRow="1" w:lastRow="0" w:firstColumn="0" w:lastColumn="0" w:oddVBand="0" w:evenVBand="0" w:oddHBand="0" w:evenHBand="0" w:firstRowFirstColumn="0" w:firstRowLastColumn="0" w:lastRowFirstColumn="0" w:lastRowLastColumn="0"/>
              <w:rPr>
                <w:rFonts w:cstheme="minorHAnsi"/>
                <w:color w:val="auto"/>
                <w:sz w:val="16"/>
                <w:szCs w:val="16"/>
              </w:rPr>
            </w:pPr>
            <w:r w:rsidRPr="000F6DEF">
              <w:rPr>
                <w:rFonts w:cstheme="minorHAnsi"/>
                <w:color w:val="auto"/>
                <w:sz w:val="16"/>
                <w:szCs w:val="16"/>
              </w:rPr>
              <w:t>Purpose</w:t>
            </w:r>
          </w:p>
        </w:tc>
        <w:tc>
          <w:tcPr>
            <w:tcW w:w="1134" w:type="dxa"/>
            <w:hideMark/>
          </w:tcPr>
          <w:p w14:paraId="0452C15F" w14:textId="77777777" w:rsidR="00B85C33" w:rsidRPr="000F6DEF" w:rsidRDefault="00B85C33" w:rsidP="000376C7">
            <w:pPr>
              <w:cnfStyle w:val="100000000000" w:firstRow="1" w:lastRow="0" w:firstColumn="0" w:lastColumn="0" w:oddVBand="0" w:evenVBand="0" w:oddHBand="0" w:evenHBand="0" w:firstRowFirstColumn="0" w:firstRowLastColumn="0" w:lastRowFirstColumn="0" w:lastRowLastColumn="0"/>
              <w:rPr>
                <w:rFonts w:cstheme="minorHAnsi"/>
                <w:color w:val="auto"/>
                <w:sz w:val="16"/>
                <w:szCs w:val="16"/>
              </w:rPr>
            </w:pPr>
            <w:r w:rsidRPr="000F6DEF">
              <w:rPr>
                <w:rFonts w:cstheme="minorHAnsi"/>
                <w:color w:val="auto"/>
                <w:sz w:val="16"/>
                <w:szCs w:val="16"/>
              </w:rPr>
              <w:t>Name of survey</w:t>
            </w:r>
          </w:p>
        </w:tc>
        <w:tc>
          <w:tcPr>
            <w:tcW w:w="992" w:type="dxa"/>
            <w:hideMark/>
          </w:tcPr>
          <w:p w14:paraId="75D1032B" w14:textId="77777777" w:rsidR="00B85C33" w:rsidRPr="000F6DEF" w:rsidRDefault="00B85C33" w:rsidP="000376C7">
            <w:pPr>
              <w:cnfStyle w:val="100000000000" w:firstRow="1" w:lastRow="0" w:firstColumn="0" w:lastColumn="0" w:oddVBand="0" w:evenVBand="0" w:oddHBand="0" w:evenHBand="0" w:firstRowFirstColumn="0" w:firstRowLastColumn="0" w:lastRowFirstColumn="0" w:lastRowLastColumn="0"/>
              <w:rPr>
                <w:rFonts w:cstheme="minorHAnsi"/>
                <w:color w:val="auto"/>
                <w:sz w:val="16"/>
                <w:szCs w:val="16"/>
              </w:rPr>
            </w:pPr>
            <w:r w:rsidRPr="000F6DEF">
              <w:rPr>
                <w:rFonts w:cstheme="minorHAnsi"/>
                <w:color w:val="auto"/>
                <w:sz w:val="16"/>
                <w:szCs w:val="16"/>
              </w:rPr>
              <w:t>Country or location</w:t>
            </w:r>
          </w:p>
        </w:tc>
        <w:tc>
          <w:tcPr>
            <w:tcW w:w="993" w:type="dxa"/>
            <w:hideMark/>
          </w:tcPr>
          <w:p w14:paraId="6E738885" w14:textId="77777777" w:rsidR="00B85C33" w:rsidRPr="000F6DEF" w:rsidRDefault="00B85C33" w:rsidP="000376C7">
            <w:pPr>
              <w:cnfStyle w:val="100000000000" w:firstRow="1" w:lastRow="0" w:firstColumn="0" w:lastColumn="0" w:oddVBand="0" w:evenVBand="0" w:oddHBand="0" w:evenHBand="0" w:firstRowFirstColumn="0" w:firstRowLastColumn="0" w:lastRowFirstColumn="0" w:lastRowLastColumn="0"/>
              <w:rPr>
                <w:rFonts w:cstheme="minorHAnsi"/>
                <w:color w:val="auto"/>
                <w:sz w:val="16"/>
                <w:szCs w:val="16"/>
              </w:rPr>
            </w:pPr>
            <w:r w:rsidRPr="000F6DEF">
              <w:rPr>
                <w:rFonts w:cstheme="minorHAnsi"/>
                <w:color w:val="auto"/>
                <w:sz w:val="16"/>
                <w:szCs w:val="16"/>
              </w:rPr>
              <w:t>Year data collected</w:t>
            </w:r>
          </w:p>
        </w:tc>
        <w:tc>
          <w:tcPr>
            <w:tcW w:w="2551" w:type="dxa"/>
            <w:hideMark/>
          </w:tcPr>
          <w:p w14:paraId="614958EA" w14:textId="77777777" w:rsidR="00B85C33" w:rsidRPr="000F6DEF" w:rsidRDefault="00B85C33" w:rsidP="000376C7">
            <w:pPr>
              <w:cnfStyle w:val="100000000000" w:firstRow="1" w:lastRow="0" w:firstColumn="0" w:lastColumn="0" w:oddVBand="0" w:evenVBand="0" w:oddHBand="0" w:evenHBand="0" w:firstRowFirstColumn="0" w:firstRowLastColumn="0" w:lastRowFirstColumn="0" w:lastRowLastColumn="0"/>
              <w:rPr>
                <w:rFonts w:cstheme="minorHAnsi"/>
                <w:color w:val="auto"/>
                <w:sz w:val="16"/>
                <w:szCs w:val="16"/>
              </w:rPr>
            </w:pPr>
            <w:r w:rsidRPr="000F6DEF">
              <w:rPr>
                <w:rFonts w:cstheme="minorHAnsi"/>
                <w:color w:val="auto"/>
                <w:sz w:val="16"/>
                <w:szCs w:val="16"/>
              </w:rPr>
              <w:t>Participants</w:t>
            </w:r>
          </w:p>
        </w:tc>
        <w:tc>
          <w:tcPr>
            <w:tcW w:w="1701" w:type="dxa"/>
            <w:hideMark/>
          </w:tcPr>
          <w:p w14:paraId="55E4F9EC" w14:textId="77777777" w:rsidR="00B85C33" w:rsidRPr="000F6DEF" w:rsidRDefault="00B85C33" w:rsidP="000376C7">
            <w:pPr>
              <w:cnfStyle w:val="100000000000" w:firstRow="1" w:lastRow="0" w:firstColumn="0" w:lastColumn="0" w:oddVBand="0" w:evenVBand="0" w:oddHBand="0" w:evenHBand="0" w:firstRowFirstColumn="0" w:firstRowLastColumn="0" w:lastRowFirstColumn="0" w:lastRowLastColumn="0"/>
              <w:rPr>
                <w:rFonts w:cstheme="minorHAnsi"/>
                <w:color w:val="auto"/>
                <w:sz w:val="16"/>
                <w:szCs w:val="16"/>
              </w:rPr>
            </w:pPr>
            <w:r w:rsidRPr="000F6DEF">
              <w:rPr>
                <w:rFonts w:cstheme="minorHAnsi"/>
                <w:color w:val="auto"/>
                <w:sz w:val="16"/>
                <w:szCs w:val="16"/>
              </w:rPr>
              <w:t>Recruitment/ selection method</w:t>
            </w:r>
          </w:p>
        </w:tc>
        <w:tc>
          <w:tcPr>
            <w:tcW w:w="1877" w:type="dxa"/>
            <w:hideMark/>
          </w:tcPr>
          <w:p w14:paraId="4C54C8AC" w14:textId="77777777" w:rsidR="00B85C33" w:rsidRPr="000F6DEF" w:rsidRDefault="00B85C33" w:rsidP="000376C7">
            <w:pPr>
              <w:cnfStyle w:val="100000000000" w:firstRow="1" w:lastRow="0" w:firstColumn="0" w:lastColumn="0" w:oddVBand="0" w:evenVBand="0" w:oddHBand="0" w:evenHBand="0" w:firstRowFirstColumn="0" w:firstRowLastColumn="0" w:lastRowFirstColumn="0" w:lastRowLastColumn="0"/>
              <w:rPr>
                <w:rFonts w:cstheme="minorHAnsi"/>
                <w:color w:val="auto"/>
                <w:sz w:val="16"/>
                <w:szCs w:val="16"/>
              </w:rPr>
            </w:pPr>
            <w:r w:rsidRPr="000F6DEF">
              <w:rPr>
                <w:rFonts w:cstheme="minorHAnsi"/>
                <w:color w:val="auto"/>
                <w:sz w:val="16"/>
                <w:szCs w:val="16"/>
              </w:rPr>
              <w:t xml:space="preserve">Admin Method </w:t>
            </w:r>
          </w:p>
        </w:tc>
        <w:tc>
          <w:tcPr>
            <w:tcW w:w="1559" w:type="dxa"/>
            <w:hideMark/>
          </w:tcPr>
          <w:p w14:paraId="6BA34493" w14:textId="77777777" w:rsidR="00B85C33" w:rsidRPr="000F6DEF" w:rsidRDefault="00B85C33" w:rsidP="000376C7">
            <w:pPr>
              <w:cnfStyle w:val="100000000000" w:firstRow="1" w:lastRow="0" w:firstColumn="0" w:lastColumn="0" w:oddVBand="0" w:evenVBand="0" w:oddHBand="0" w:evenHBand="0" w:firstRowFirstColumn="0" w:firstRowLastColumn="0" w:lastRowFirstColumn="0" w:lastRowLastColumn="0"/>
              <w:rPr>
                <w:rFonts w:cstheme="minorHAnsi"/>
                <w:color w:val="auto"/>
                <w:sz w:val="16"/>
                <w:szCs w:val="16"/>
              </w:rPr>
            </w:pPr>
            <w:r w:rsidRPr="000F6DEF">
              <w:rPr>
                <w:rFonts w:cstheme="minorHAnsi"/>
                <w:color w:val="auto"/>
                <w:sz w:val="16"/>
                <w:szCs w:val="16"/>
              </w:rPr>
              <w:t>Measures</w:t>
            </w:r>
          </w:p>
        </w:tc>
      </w:tr>
      <w:tr w:rsidR="00B85C33" w:rsidRPr="000F6DEF" w14:paraId="57C71402" w14:textId="77777777" w:rsidTr="000A2C8E">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1239" w:type="dxa"/>
          </w:tcPr>
          <w:p w14:paraId="7099EE82" w14:textId="77777777" w:rsidR="00B85C33" w:rsidRPr="000F6DEF" w:rsidRDefault="00B85C33" w:rsidP="000376C7">
            <w:pPr>
              <w:spacing w:after="0"/>
              <w:rPr>
                <w:rFonts w:eastAsia="Times New Roman" w:cs="Calibri"/>
                <w:sz w:val="16"/>
                <w:szCs w:val="16"/>
              </w:rPr>
            </w:pPr>
            <w:r w:rsidRPr="000F6DEF">
              <w:rPr>
                <w:rFonts w:cs="Calibri"/>
                <w:sz w:val="16"/>
                <w:szCs w:val="16"/>
              </w:rPr>
              <w:t>Buchting, Emory, Scout</w:t>
            </w:r>
          </w:p>
        </w:tc>
        <w:tc>
          <w:tcPr>
            <w:tcW w:w="2867" w:type="dxa"/>
          </w:tcPr>
          <w:p w14:paraId="5C5FD328"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This national study is the first to report on cigarettes, cigars, and </w:t>
            </w:r>
            <w:r>
              <w:rPr>
                <w:rFonts w:cs="Calibri"/>
                <w:sz w:val="16"/>
                <w:szCs w:val="16"/>
              </w:rPr>
              <w:t>e</w:t>
            </w:r>
            <w:r>
              <w:rPr>
                <w:rFonts w:cs="Calibri"/>
                <w:sz w:val="16"/>
                <w:szCs w:val="16"/>
              </w:rPr>
              <w:noBreakHyphen/>
              <w:t>cig</w:t>
            </w:r>
            <w:r w:rsidRPr="000F6DEF">
              <w:rPr>
                <w:rFonts w:cs="Calibri"/>
                <w:sz w:val="16"/>
                <w:szCs w:val="16"/>
              </w:rPr>
              <w:t xml:space="preserve">arettes by examining differences in transgender tobacco use independent of sexual orientation. </w:t>
            </w:r>
          </w:p>
        </w:tc>
        <w:tc>
          <w:tcPr>
            <w:tcW w:w="1134" w:type="dxa"/>
          </w:tcPr>
          <w:p w14:paraId="63348EF4"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Tobacco in a Changing Media Environment</w:t>
            </w:r>
          </w:p>
        </w:tc>
        <w:tc>
          <w:tcPr>
            <w:tcW w:w="992" w:type="dxa"/>
          </w:tcPr>
          <w:p w14:paraId="725D1648"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US national</w:t>
            </w:r>
          </w:p>
        </w:tc>
        <w:tc>
          <w:tcPr>
            <w:tcW w:w="993" w:type="dxa"/>
          </w:tcPr>
          <w:p w14:paraId="782CBAB8"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2013</w:t>
            </w:r>
          </w:p>
        </w:tc>
        <w:tc>
          <w:tcPr>
            <w:tcW w:w="2551" w:type="dxa"/>
          </w:tcPr>
          <w:p w14:paraId="67041AB4" w14:textId="585A1CD4"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168 transgender; 17</w:t>
            </w:r>
            <w:r w:rsidR="00571385">
              <w:rPr>
                <w:rFonts w:cs="Calibri"/>
                <w:sz w:val="16"/>
                <w:szCs w:val="16"/>
              </w:rPr>
              <w:t>,</w:t>
            </w:r>
            <w:r w:rsidRPr="000F6DEF">
              <w:rPr>
                <w:rFonts w:cs="Calibri"/>
                <w:sz w:val="16"/>
                <w:szCs w:val="16"/>
              </w:rPr>
              <w:t>164 cisgender</w:t>
            </w:r>
          </w:p>
          <w:p w14:paraId="238160F5"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Age: Trans: 53.8% 45</w:t>
            </w:r>
            <w:r w:rsidRPr="000F6DEF">
              <w:rPr>
                <w:rFonts w:cs="Calibri"/>
                <w:sz w:val="16"/>
                <w:szCs w:val="16"/>
              </w:rPr>
              <w:noBreakHyphen/>
              <w:t>64, Cisgender: 38.2% 45</w:t>
            </w:r>
            <w:r w:rsidRPr="000F6DEF">
              <w:rPr>
                <w:rFonts w:cs="Calibri"/>
                <w:sz w:val="16"/>
                <w:szCs w:val="16"/>
              </w:rPr>
              <w:noBreakHyphen/>
              <w:t>64</w:t>
            </w:r>
          </w:p>
          <w:p w14:paraId="35714A41"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male: Trans 49.6%, Cisgender 48.0%</w:t>
            </w:r>
          </w:p>
        </w:tc>
        <w:tc>
          <w:tcPr>
            <w:tcW w:w="1701" w:type="dxa"/>
          </w:tcPr>
          <w:p w14:paraId="563A82BE"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Administered by gfK Group online using research panel (75% or participants). Original panel recruited by random digit dialling</w:t>
            </w:r>
          </w:p>
        </w:tc>
        <w:tc>
          <w:tcPr>
            <w:tcW w:w="1877" w:type="dxa"/>
          </w:tcPr>
          <w:p w14:paraId="1DB698C7" w14:textId="77777777" w:rsidR="00B85C33" w:rsidRPr="000F6DEF" w:rsidRDefault="00B85C33" w:rsidP="000376C7">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0F6DEF">
              <w:rPr>
                <w:rFonts w:cs="Calibri"/>
                <w:sz w:val="16"/>
                <w:szCs w:val="16"/>
              </w:rPr>
              <w:t>Online</w:t>
            </w:r>
          </w:p>
        </w:tc>
        <w:tc>
          <w:tcPr>
            <w:tcW w:w="1559" w:type="dxa"/>
          </w:tcPr>
          <w:p w14:paraId="010FD766" w14:textId="6A29EBD4"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Demographics</w:t>
            </w:r>
            <w:r w:rsidRPr="000F6DEF">
              <w:rPr>
                <w:rFonts w:cs="Calibri"/>
                <w:sz w:val="16"/>
                <w:szCs w:val="16"/>
              </w:rPr>
              <w:br/>
              <w:t>Gender identity</w:t>
            </w:r>
            <w:r w:rsidRPr="000F6DEF">
              <w:rPr>
                <w:rFonts w:cs="Calibri"/>
                <w:sz w:val="16"/>
                <w:szCs w:val="16"/>
              </w:rPr>
              <w:br/>
              <w:t>Tobacco use behaviours:</w:t>
            </w:r>
            <w:r w:rsidRPr="000F6DEF">
              <w:rPr>
                <w:rFonts w:cs="Calibri"/>
                <w:sz w:val="16"/>
                <w:szCs w:val="16"/>
              </w:rPr>
              <w:br/>
              <w:t xml:space="preserve">Ever use cigarettes and </w:t>
            </w:r>
            <w:r>
              <w:rPr>
                <w:rFonts w:cs="Calibri"/>
                <w:sz w:val="16"/>
                <w:szCs w:val="16"/>
              </w:rPr>
              <w:t>e</w:t>
            </w:r>
            <w:r>
              <w:rPr>
                <w:rFonts w:cs="Calibri"/>
                <w:sz w:val="16"/>
                <w:szCs w:val="16"/>
              </w:rPr>
              <w:noBreakHyphen/>
              <w:t>cig</w:t>
            </w:r>
            <w:r w:rsidR="00571385">
              <w:rPr>
                <w:rFonts w:cs="Calibri"/>
                <w:sz w:val="16"/>
                <w:szCs w:val="16"/>
              </w:rPr>
              <w:t>arette</w:t>
            </w:r>
            <w:r w:rsidRPr="000F6DEF">
              <w:rPr>
                <w:rFonts w:cs="Calibri"/>
                <w:sz w:val="16"/>
                <w:szCs w:val="16"/>
              </w:rPr>
              <w:t>s, cigars, mini cigars</w:t>
            </w:r>
            <w:r w:rsidRPr="000F6DEF">
              <w:rPr>
                <w:rFonts w:cs="Calibri"/>
                <w:sz w:val="16"/>
                <w:szCs w:val="16"/>
              </w:rPr>
              <w:br/>
              <w:t>30</w:t>
            </w:r>
            <w:r w:rsidRPr="000F6DEF">
              <w:rPr>
                <w:rFonts w:cs="Calibri"/>
                <w:sz w:val="16"/>
                <w:szCs w:val="16"/>
              </w:rPr>
              <w:noBreakHyphen/>
              <w:t>day use</w:t>
            </w:r>
          </w:p>
        </w:tc>
      </w:tr>
      <w:tr w:rsidR="00B85C33" w:rsidRPr="000F6DEF" w14:paraId="795FF94F" w14:textId="77777777" w:rsidTr="000A2C8E">
        <w:trPr>
          <w:trHeight w:val="569"/>
        </w:trPr>
        <w:tc>
          <w:tcPr>
            <w:cnfStyle w:val="001000000000" w:firstRow="0" w:lastRow="0" w:firstColumn="1" w:lastColumn="0" w:oddVBand="0" w:evenVBand="0" w:oddHBand="0" w:evenHBand="0" w:firstRowFirstColumn="0" w:firstRowLastColumn="0" w:lastRowFirstColumn="0" w:lastRowLastColumn="0"/>
            <w:tcW w:w="1239" w:type="dxa"/>
          </w:tcPr>
          <w:p w14:paraId="0B577429" w14:textId="77777777" w:rsidR="00B85C33" w:rsidRPr="000F6DEF" w:rsidRDefault="00B85C33" w:rsidP="000376C7">
            <w:pPr>
              <w:rPr>
                <w:rFonts w:cs="Calibri"/>
                <w:sz w:val="16"/>
                <w:szCs w:val="16"/>
              </w:rPr>
            </w:pPr>
            <w:r w:rsidRPr="000F6DEF">
              <w:rPr>
                <w:rFonts w:cs="Calibri"/>
                <w:sz w:val="16"/>
                <w:szCs w:val="16"/>
              </w:rPr>
              <w:t>Coulter, Bersamin, Russell, Mair</w:t>
            </w:r>
          </w:p>
        </w:tc>
        <w:tc>
          <w:tcPr>
            <w:tcW w:w="2867" w:type="dxa"/>
          </w:tcPr>
          <w:p w14:paraId="35100942"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We tested three competing models about whether gender</w:t>
            </w:r>
            <w:r w:rsidRPr="000F6DEF">
              <w:rPr>
                <w:rFonts w:cs="Calibri"/>
                <w:sz w:val="16"/>
                <w:szCs w:val="16"/>
              </w:rPr>
              <w:noBreakHyphen/>
              <w:t xml:space="preserve"> and sexuality</w:t>
            </w:r>
            <w:r w:rsidRPr="000F6DEF">
              <w:rPr>
                <w:rFonts w:cs="Calibri"/>
                <w:sz w:val="16"/>
                <w:szCs w:val="16"/>
              </w:rPr>
              <w:noBreakHyphen/>
              <w:t>based harassment at school have non</w:t>
            </w:r>
            <w:r w:rsidRPr="000F6DEF">
              <w:rPr>
                <w:rFonts w:cs="Calibri"/>
                <w:sz w:val="16"/>
                <w:szCs w:val="16"/>
              </w:rPr>
              <w:noBreakHyphen/>
              <w:t xml:space="preserve">independent, additive, or interactive effects on adolescents' electronic cigarette use (i.e., vaping), cigarette smoking, alcohol use, and heavy episodic drinking (HED). </w:t>
            </w:r>
          </w:p>
        </w:tc>
        <w:tc>
          <w:tcPr>
            <w:tcW w:w="1134" w:type="dxa"/>
          </w:tcPr>
          <w:p w14:paraId="434003F1"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California Healthy Kids Survey</w:t>
            </w:r>
          </w:p>
        </w:tc>
        <w:tc>
          <w:tcPr>
            <w:tcW w:w="992" w:type="dxa"/>
          </w:tcPr>
          <w:p w14:paraId="09E3FBA9"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California, US</w:t>
            </w:r>
          </w:p>
        </w:tc>
        <w:tc>
          <w:tcPr>
            <w:tcW w:w="993" w:type="dxa"/>
          </w:tcPr>
          <w:p w14:paraId="0A3A4456"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2013</w:t>
            </w:r>
            <w:r w:rsidRPr="000F6DEF">
              <w:rPr>
                <w:rFonts w:cs="Calibri"/>
                <w:sz w:val="16"/>
                <w:szCs w:val="16"/>
              </w:rPr>
              <w:noBreakHyphen/>
              <w:t>2014</w:t>
            </w:r>
          </w:p>
        </w:tc>
        <w:tc>
          <w:tcPr>
            <w:tcW w:w="2551" w:type="dxa"/>
          </w:tcPr>
          <w:p w14:paraId="785C44B8"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316,766 students (adolescents) Grades 7, 9, 11</w:t>
            </w:r>
          </w:p>
          <w:p w14:paraId="06C550DE"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cismales 48.2%</w:t>
            </w:r>
          </w:p>
        </w:tc>
        <w:tc>
          <w:tcPr>
            <w:tcW w:w="1701" w:type="dxa"/>
          </w:tcPr>
          <w:p w14:paraId="5ABBF83D"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Randomly selected classrooms in schools with &gt;900 students per grade. </w:t>
            </w:r>
          </w:p>
        </w:tc>
        <w:tc>
          <w:tcPr>
            <w:tcW w:w="1877" w:type="dxa"/>
          </w:tcPr>
          <w:p w14:paraId="782F20B6"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Eligible students voluntarily completed anonymous conﬁdential surveys, either online or using paper surveys depending on their school’s administration method</w:t>
            </w:r>
          </w:p>
        </w:tc>
        <w:tc>
          <w:tcPr>
            <w:tcW w:w="1559" w:type="dxa"/>
          </w:tcPr>
          <w:p w14:paraId="4306DD2E"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Gender</w:t>
            </w:r>
            <w:r w:rsidRPr="000F6DEF">
              <w:rPr>
                <w:rFonts w:cs="Calibri"/>
                <w:sz w:val="16"/>
                <w:szCs w:val="16"/>
              </w:rPr>
              <w:br/>
              <w:t>Sexual identity</w:t>
            </w:r>
            <w:r w:rsidRPr="000F6DEF">
              <w:rPr>
                <w:rFonts w:cs="Calibri"/>
                <w:sz w:val="16"/>
                <w:szCs w:val="16"/>
              </w:rPr>
              <w:br/>
              <w:t>30</w:t>
            </w:r>
            <w:r w:rsidRPr="000F6DEF">
              <w:rPr>
                <w:rFonts w:cs="Calibri"/>
                <w:sz w:val="16"/>
                <w:szCs w:val="16"/>
              </w:rPr>
              <w:noBreakHyphen/>
              <w:t>day use of smoking devices</w:t>
            </w:r>
            <w:r w:rsidRPr="000F6DEF">
              <w:rPr>
                <w:rFonts w:cs="Calibri"/>
                <w:sz w:val="16"/>
                <w:szCs w:val="16"/>
              </w:rPr>
              <w:br/>
              <w:t>Demographics</w:t>
            </w:r>
          </w:p>
        </w:tc>
      </w:tr>
      <w:tr w:rsidR="00B85C33" w:rsidRPr="000F6DEF" w14:paraId="5CA92E51" w14:textId="77777777" w:rsidTr="000A2C8E">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1239" w:type="dxa"/>
          </w:tcPr>
          <w:p w14:paraId="71EC5677" w14:textId="77777777" w:rsidR="00B85C33" w:rsidRPr="000F6DEF" w:rsidRDefault="00B85C33" w:rsidP="000376C7">
            <w:pPr>
              <w:rPr>
                <w:rFonts w:cs="Calibri"/>
                <w:sz w:val="16"/>
                <w:szCs w:val="16"/>
              </w:rPr>
            </w:pPr>
            <w:r w:rsidRPr="000F6DEF">
              <w:rPr>
                <w:rFonts w:cs="Calibri"/>
                <w:sz w:val="16"/>
                <w:szCs w:val="16"/>
              </w:rPr>
              <w:t>Fallin</w:t>
            </w:r>
            <w:r w:rsidRPr="000F6DEF">
              <w:rPr>
                <w:rFonts w:cs="Calibri"/>
                <w:sz w:val="16"/>
                <w:szCs w:val="16"/>
              </w:rPr>
              <w:noBreakHyphen/>
              <w:t>Bennett, Lisha, Ling</w:t>
            </w:r>
          </w:p>
        </w:tc>
        <w:tc>
          <w:tcPr>
            <w:tcW w:w="2867" w:type="dxa"/>
          </w:tcPr>
          <w:p w14:paraId="12BDFC5C"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OTP (other tobacco products) use among young adult LGB bar patrons and the relationship among past quit attempts, intention to quit, and binge drinking with OTP use was examined. </w:t>
            </w:r>
          </w:p>
        </w:tc>
        <w:tc>
          <w:tcPr>
            <w:tcW w:w="1134" w:type="dxa"/>
          </w:tcPr>
          <w:p w14:paraId="1D8702E8"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Investigator developed</w:t>
            </w:r>
          </w:p>
        </w:tc>
        <w:tc>
          <w:tcPr>
            <w:tcW w:w="992" w:type="dxa"/>
          </w:tcPr>
          <w:p w14:paraId="5F873B92"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US</w:t>
            </w:r>
          </w:p>
        </w:tc>
        <w:tc>
          <w:tcPr>
            <w:tcW w:w="993" w:type="dxa"/>
          </w:tcPr>
          <w:p w14:paraId="62054034"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2012</w:t>
            </w:r>
            <w:r w:rsidRPr="000F6DEF">
              <w:rPr>
                <w:rFonts w:cs="Calibri"/>
                <w:sz w:val="16"/>
                <w:szCs w:val="16"/>
              </w:rPr>
              <w:noBreakHyphen/>
              <w:t>2014</w:t>
            </w:r>
          </w:p>
        </w:tc>
        <w:tc>
          <w:tcPr>
            <w:tcW w:w="2551" w:type="dxa"/>
          </w:tcPr>
          <w:p w14:paraId="7E7D07DE" w14:textId="7A8EEE55"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8</w:t>
            </w:r>
            <w:r w:rsidR="00571385">
              <w:rPr>
                <w:rFonts w:cs="Calibri"/>
                <w:sz w:val="16"/>
                <w:szCs w:val="16"/>
              </w:rPr>
              <w:t>,</w:t>
            </w:r>
            <w:r w:rsidRPr="000F6DEF">
              <w:rPr>
                <w:rFonts w:cs="Calibri"/>
                <w:sz w:val="16"/>
                <w:szCs w:val="16"/>
              </w:rPr>
              <w:t>010</w:t>
            </w:r>
            <w:r w:rsidRPr="000F6DEF">
              <w:rPr>
                <w:rFonts w:cs="Calibri"/>
                <w:sz w:val="16"/>
                <w:szCs w:val="16"/>
              </w:rPr>
              <w:br/>
              <w:t>3</w:t>
            </w:r>
            <w:r w:rsidR="00571385">
              <w:rPr>
                <w:rFonts w:cs="Calibri"/>
                <w:sz w:val="16"/>
                <w:szCs w:val="16"/>
              </w:rPr>
              <w:t>,</w:t>
            </w:r>
            <w:r w:rsidRPr="000F6DEF">
              <w:rPr>
                <w:rFonts w:cs="Calibri"/>
                <w:sz w:val="16"/>
                <w:szCs w:val="16"/>
              </w:rPr>
              <w:t>906 Females</w:t>
            </w:r>
            <w:r w:rsidRPr="000F6DEF">
              <w:rPr>
                <w:rFonts w:cs="Calibri"/>
                <w:sz w:val="16"/>
                <w:szCs w:val="16"/>
              </w:rPr>
              <w:br/>
              <w:t>4</w:t>
            </w:r>
            <w:r w:rsidR="00571385">
              <w:rPr>
                <w:rFonts w:cs="Calibri"/>
                <w:sz w:val="16"/>
                <w:szCs w:val="16"/>
              </w:rPr>
              <w:t>,</w:t>
            </w:r>
            <w:r w:rsidRPr="000F6DEF">
              <w:rPr>
                <w:rFonts w:cs="Calibri"/>
                <w:sz w:val="16"/>
                <w:szCs w:val="16"/>
              </w:rPr>
              <w:t xml:space="preserve">104 Males </w:t>
            </w:r>
          </w:p>
          <w:p w14:paraId="1DA3CEF4"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Age: Females 23.62(1.8); Males 23.88(1.9) </w:t>
            </w:r>
          </w:p>
          <w:p w14:paraId="3047317F"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51% male</w:t>
            </w:r>
          </w:p>
        </w:tc>
        <w:tc>
          <w:tcPr>
            <w:tcW w:w="1701" w:type="dxa"/>
          </w:tcPr>
          <w:p w14:paraId="36429A39"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Time location sampling</w:t>
            </w:r>
          </w:p>
        </w:tc>
        <w:tc>
          <w:tcPr>
            <w:tcW w:w="1877" w:type="dxa"/>
          </w:tcPr>
          <w:p w14:paraId="34234251"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Paper survey in pub/bar</w:t>
            </w:r>
            <w:r w:rsidRPr="000F6DEF">
              <w:rPr>
                <w:rFonts w:cs="Calibri"/>
                <w:sz w:val="16"/>
                <w:szCs w:val="16"/>
              </w:rPr>
              <w:br/>
              <w:t>Received $5 on the spot</w:t>
            </w:r>
          </w:p>
        </w:tc>
        <w:tc>
          <w:tcPr>
            <w:tcW w:w="1559" w:type="dxa"/>
          </w:tcPr>
          <w:p w14:paraId="47B3ED73"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Sexual orientation</w:t>
            </w:r>
            <w:r w:rsidRPr="000F6DEF">
              <w:rPr>
                <w:rFonts w:cs="Calibri"/>
                <w:sz w:val="16"/>
                <w:szCs w:val="16"/>
              </w:rPr>
              <w:br/>
              <w:t>30</w:t>
            </w:r>
            <w:r w:rsidRPr="000F6DEF">
              <w:rPr>
                <w:rFonts w:cs="Calibri"/>
                <w:sz w:val="16"/>
                <w:szCs w:val="16"/>
              </w:rPr>
              <w:noBreakHyphen/>
              <w:t>day tobacco product use</w:t>
            </w:r>
            <w:r w:rsidRPr="000F6DEF">
              <w:rPr>
                <w:rFonts w:cs="Calibri"/>
                <w:sz w:val="16"/>
                <w:szCs w:val="16"/>
              </w:rPr>
              <w:br/>
              <w:t>Demographics</w:t>
            </w:r>
            <w:r w:rsidRPr="000F6DEF">
              <w:rPr>
                <w:rFonts w:cs="Calibri"/>
                <w:sz w:val="16"/>
                <w:szCs w:val="16"/>
              </w:rPr>
              <w:br/>
              <w:t>Quit attempts</w:t>
            </w:r>
            <w:r w:rsidRPr="000F6DEF">
              <w:rPr>
                <w:rFonts w:cs="Calibri"/>
                <w:sz w:val="16"/>
                <w:szCs w:val="16"/>
              </w:rPr>
              <w:br/>
              <w:t>30</w:t>
            </w:r>
            <w:r w:rsidRPr="000F6DEF">
              <w:rPr>
                <w:rFonts w:cs="Calibri"/>
                <w:sz w:val="16"/>
                <w:szCs w:val="16"/>
              </w:rPr>
              <w:noBreakHyphen/>
              <w:t>day alcohol use</w:t>
            </w:r>
          </w:p>
        </w:tc>
      </w:tr>
      <w:tr w:rsidR="00B85C33" w:rsidRPr="000F6DEF" w14:paraId="36F800F6" w14:textId="77777777" w:rsidTr="000A2C8E">
        <w:trPr>
          <w:trHeight w:val="569"/>
        </w:trPr>
        <w:tc>
          <w:tcPr>
            <w:cnfStyle w:val="001000000000" w:firstRow="0" w:lastRow="0" w:firstColumn="1" w:lastColumn="0" w:oddVBand="0" w:evenVBand="0" w:oddHBand="0" w:evenHBand="0" w:firstRowFirstColumn="0" w:firstRowLastColumn="0" w:lastRowFirstColumn="0" w:lastRowLastColumn="0"/>
            <w:tcW w:w="1239" w:type="dxa"/>
          </w:tcPr>
          <w:p w14:paraId="6162B596" w14:textId="77777777" w:rsidR="00B85C33" w:rsidRPr="000F6DEF" w:rsidRDefault="00B85C33" w:rsidP="000376C7">
            <w:pPr>
              <w:rPr>
                <w:rFonts w:cs="Calibri"/>
                <w:sz w:val="16"/>
                <w:szCs w:val="16"/>
              </w:rPr>
            </w:pPr>
            <w:r w:rsidRPr="000F6DEF">
              <w:rPr>
                <w:rFonts w:cs="Calibri"/>
                <w:sz w:val="16"/>
                <w:szCs w:val="16"/>
              </w:rPr>
              <w:t>Ganz, Johnson, Cohn et al</w:t>
            </w:r>
          </w:p>
        </w:tc>
        <w:tc>
          <w:tcPr>
            <w:tcW w:w="2867" w:type="dxa"/>
          </w:tcPr>
          <w:p w14:paraId="22DD255E"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The purpose of this study was to examine differences between SGM SGM (sexual and gender minorities) and non</w:t>
            </w:r>
            <w:r w:rsidRPr="000F6DEF">
              <w:rPr>
                <w:rFonts w:cs="Calibri"/>
                <w:sz w:val="16"/>
                <w:szCs w:val="16"/>
              </w:rPr>
              <w:noBreakHyphen/>
              <w:t>SGM young adults in harm perceptions of various tobacco products and tobacco use behaviour and whether low tobacco</w:t>
            </w:r>
            <w:r w:rsidRPr="000F6DEF">
              <w:rPr>
                <w:rFonts w:cs="Calibri"/>
                <w:sz w:val="16"/>
                <w:szCs w:val="16"/>
              </w:rPr>
              <w:noBreakHyphen/>
              <w:t xml:space="preserve">related harm perceptions moderate the relationship between identifying as a SGM and tobacco use behaviour. </w:t>
            </w:r>
          </w:p>
        </w:tc>
        <w:tc>
          <w:tcPr>
            <w:tcW w:w="1134" w:type="dxa"/>
          </w:tcPr>
          <w:p w14:paraId="18EF53E1"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Truth Initiative Young Adult Cohort Study (Wave 10)</w:t>
            </w:r>
          </w:p>
        </w:tc>
        <w:tc>
          <w:tcPr>
            <w:tcW w:w="992" w:type="dxa"/>
          </w:tcPr>
          <w:p w14:paraId="30719237"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US national</w:t>
            </w:r>
          </w:p>
        </w:tc>
        <w:tc>
          <w:tcPr>
            <w:tcW w:w="993" w:type="dxa"/>
          </w:tcPr>
          <w:p w14:paraId="100319A8"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2016</w:t>
            </w:r>
          </w:p>
        </w:tc>
        <w:tc>
          <w:tcPr>
            <w:tcW w:w="2551" w:type="dxa"/>
          </w:tcPr>
          <w:p w14:paraId="61FBF50E"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3,089</w:t>
            </w:r>
          </w:p>
          <w:p w14:paraId="19F50EAD"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Age: 71.1% 25</w:t>
            </w:r>
            <w:r w:rsidRPr="000F6DEF">
              <w:rPr>
                <w:rFonts w:cs="Calibri"/>
                <w:sz w:val="16"/>
                <w:szCs w:val="16"/>
              </w:rPr>
              <w:noBreakHyphen/>
              <w:t>34 years</w:t>
            </w:r>
          </w:p>
          <w:p w14:paraId="6940CE99"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49% male</w:t>
            </w:r>
          </w:p>
        </w:tc>
        <w:tc>
          <w:tcPr>
            <w:tcW w:w="1701" w:type="dxa"/>
          </w:tcPr>
          <w:p w14:paraId="7642B5EB"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The sample was drawn from GfK's KnowledgePanel®, an online panel of adults ages≥18 that covers</w:t>
            </w:r>
            <w:r w:rsidRPr="000F6DEF">
              <w:rPr>
                <w:rFonts w:cs="Calibri"/>
                <w:sz w:val="16"/>
                <w:szCs w:val="16"/>
              </w:rPr>
              <w:br/>
              <w:t>both the online and offline populations in the U.S. Additional information about survey methodology have been reported elsewhere</w:t>
            </w:r>
          </w:p>
        </w:tc>
        <w:tc>
          <w:tcPr>
            <w:tcW w:w="1877" w:type="dxa"/>
          </w:tcPr>
          <w:p w14:paraId="7849FF9D"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Online self</w:t>
            </w:r>
            <w:r w:rsidRPr="000F6DEF">
              <w:rPr>
                <w:rFonts w:cs="Calibri"/>
                <w:sz w:val="16"/>
                <w:szCs w:val="16"/>
              </w:rPr>
              <w:noBreakHyphen/>
              <w:t>administration</w:t>
            </w:r>
          </w:p>
        </w:tc>
        <w:tc>
          <w:tcPr>
            <w:tcW w:w="1559" w:type="dxa"/>
          </w:tcPr>
          <w:p w14:paraId="49E024FE" w14:textId="7885F9FF" w:rsidR="00B85C33" w:rsidRPr="000F6DEF" w:rsidRDefault="00B85C33" w:rsidP="000376C7">
            <w:pPr>
              <w:spacing w:after="240"/>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SGM status</w:t>
            </w:r>
            <w:r w:rsidRPr="000F6DEF">
              <w:rPr>
                <w:rFonts w:cs="Calibri"/>
                <w:sz w:val="16"/>
                <w:szCs w:val="16"/>
              </w:rPr>
              <w:br/>
              <w:t>Demographics</w:t>
            </w:r>
            <w:r w:rsidRPr="000F6DEF">
              <w:rPr>
                <w:rFonts w:cs="Calibri"/>
                <w:sz w:val="16"/>
                <w:szCs w:val="16"/>
              </w:rPr>
              <w:br/>
              <w:t>Tobacco use (cig</w:t>
            </w:r>
            <w:r w:rsidR="00571385">
              <w:rPr>
                <w:rFonts w:cs="Calibri"/>
                <w:sz w:val="16"/>
                <w:szCs w:val="16"/>
              </w:rPr>
              <w:t>arettes</w:t>
            </w:r>
            <w:r w:rsidRPr="000F6DEF">
              <w:rPr>
                <w:rFonts w:cs="Calibri"/>
                <w:sz w:val="16"/>
                <w:szCs w:val="16"/>
              </w:rPr>
              <w:t xml:space="preserve">, </w:t>
            </w:r>
            <w:r>
              <w:rPr>
                <w:rFonts w:cs="Calibri"/>
                <w:sz w:val="16"/>
                <w:szCs w:val="16"/>
              </w:rPr>
              <w:t>e</w:t>
            </w:r>
            <w:r>
              <w:rPr>
                <w:rFonts w:cs="Calibri"/>
                <w:sz w:val="16"/>
                <w:szCs w:val="16"/>
              </w:rPr>
              <w:noBreakHyphen/>
              <w:t>cig</w:t>
            </w:r>
            <w:r w:rsidR="00571385">
              <w:rPr>
                <w:rFonts w:cs="Calibri"/>
                <w:sz w:val="16"/>
                <w:szCs w:val="16"/>
              </w:rPr>
              <w:t>arettes</w:t>
            </w:r>
            <w:r w:rsidRPr="000F6DEF">
              <w:rPr>
                <w:rFonts w:cs="Calibri"/>
                <w:sz w:val="16"/>
                <w:szCs w:val="16"/>
              </w:rPr>
              <w:t>, little cigars)</w:t>
            </w:r>
            <w:r w:rsidRPr="000F6DEF">
              <w:rPr>
                <w:rFonts w:cs="Calibri"/>
                <w:sz w:val="16"/>
                <w:szCs w:val="16"/>
              </w:rPr>
              <w:br/>
              <w:t>Harm perceptions</w:t>
            </w:r>
          </w:p>
        </w:tc>
      </w:tr>
      <w:tr w:rsidR="00B85C33" w:rsidRPr="000F6DEF" w14:paraId="5B352FDB" w14:textId="77777777" w:rsidTr="000A2C8E">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1239" w:type="dxa"/>
          </w:tcPr>
          <w:p w14:paraId="6349AB4A" w14:textId="77777777" w:rsidR="00B85C33" w:rsidRPr="000F6DEF" w:rsidRDefault="00B85C33" w:rsidP="000376C7">
            <w:pPr>
              <w:spacing w:after="0"/>
              <w:rPr>
                <w:rFonts w:cs="Calibri"/>
                <w:sz w:val="16"/>
                <w:szCs w:val="16"/>
              </w:rPr>
            </w:pPr>
            <w:r w:rsidRPr="000F6DEF">
              <w:rPr>
                <w:rFonts w:cs="Calibri"/>
                <w:sz w:val="16"/>
                <w:szCs w:val="16"/>
              </w:rPr>
              <w:t>Gerend, Newcomb, Mustanski</w:t>
            </w:r>
          </w:p>
        </w:tc>
        <w:tc>
          <w:tcPr>
            <w:tcW w:w="2867" w:type="dxa"/>
          </w:tcPr>
          <w:p w14:paraId="1C3D327E"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The goal of this study was not to compare gay, bisexual, and transgender individuals to their heterosexual/cis</w:t>
            </w:r>
            <w:r w:rsidRPr="000F6DEF">
              <w:rPr>
                <w:rFonts w:cs="Calibri"/>
                <w:sz w:val="16"/>
                <w:szCs w:val="16"/>
              </w:rPr>
              <w:noBreakHyphen/>
              <w:t xml:space="preserve">gender peers, but rather to identify correlates of tobacco </w:t>
            </w:r>
            <w:r w:rsidRPr="000F6DEF">
              <w:rPr>
                <w:rFonts w:cs="Calibri"/>
                <w:sz w:val="16"/>
                <w:szCs w:val="16"/>
              </w:rPr>
              <w:lastRenderedPageBreak/>
              <w:t>use within a large cohort of racially diverse MSM reporting different sexual (e.g., gay, bisexual) and gender identities (e.g., cisgender man, transgender woman).</w:t>
            </w:r>
          </w:p>
        </w:tc>
        <w:tc>
          <w:tcPr>
            <w:tcW w:w="1134" w:type="dxa"/>
          </w:tcPr>
          <w:p w14:paraId="72C6C1DE"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lastRenderedPageBreak/>
              <w:t>RADAR</w:t>
            </w:r>
          </w:p>
        </w:tc>
        <w:tc>
          <w:tcPr>
            <w:tcW w:w="992" w:type="dxa"/>
          </w:tcPr>
          <w:p w14:paraId="4E086765"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Chicago, US</w:t>
            </w:r>
          </w:p>
        </w:tc>
        <w:tc>
          <w:tcPr>
            <w:tcW w:w="993" w:type="dxa"/>
          </w:tcPr>
          <w:p w14:paraId="33737060"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2015</w:t>
            </w:r>
            <w:r w:rsidRPr="000F6DEF">
              <w:rPr>
                <w:rFonts w:cs="Calibri"/>
                <w:sz w:val="16"/>
                <w:szCs w:val="16"/>
              </w:rPr>
              <w:noBreakHyphen/>
              <w:t>2016 (baseline)</w:t>
            </w:r>
          </w:p>
        </w:tc>
        <w:tc>
          <w:tcPr>
            <w:tcW w:w="2551" w:type="dxa"/>
          </w:tcPr>
          <w:p w14:paraId="6EAACED1"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771 </w:t>
            </w:r>
          </w:p>
          <w:p w14:paraId="29CD0DC1"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Age: 34% 19</w:t>
            </w:r>
            <w:r w:rsidRPr="000F6DEF">
              <w:rPr>
                <w:rFonts w:cs="Calibri"/>
                <w:sz w:val="16"/>
                <w:szCs w:val="16"/>
              </w:rPr>
              <w:noBreakHyphen/>
              <w:t>21 years, 27% 22</w:t>
            </w:r>
            <w:r w:rsidRPr="000F6DEF">
              <w:rPr>
                <w:rFonts w:cs="Calibri"/>
                <w:sz w:val="16"/>
                <w:szCs w:val="16"/>
              </w:rPr>
              <w:noBreakHyphen/>
              <w:t>24 years</w:t>
            </w:r>
          </w:p>
          <w:p w14:paraId="3A957942"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lastRenderedPageBreak/>
              <w:t>92% cisgender male</w:t>
            </w:r>
          </w:p>
        </w:tc>
        <w:tc>
          <w:tcPr>
            <w:tcW w:w="1701" w:type="dxa"/>
          </w:tcPr>
          <w:p w14:paraId="1359B225"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lastRenderedPageBreak/>
              <w:t>Various methodologies</w:t>
            </w:r>
          </w:p>
        </w:tc>
        <w:tc>
          <w:tcPr>
            <w:tcW w:w="1877" w:type="dxa"/>
          </w:tcPr>
          <w:p w14:paraId="7313EEC2" w14:textId="77777777" w:rsidR="00B85C33" w:rsidRPr="000F6DEF" w:rsidRDefault="00B85C33" w:rsidP="000376C7">
            <w:pPr>
              <w:spacing w:after="0"/>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NR</w:t>
            </w:r>
          </w:p>
        </w:tc>
        <w:tc>
          <w:tcPr>
            <w:tcW w:w="1559" w:type="dxa"/>
          </w:tcPr>
          <w:p w14:paraId="5EBB86F4" w14:textId="10CB1EDB"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Demographics </w:t>
            </w:r>
            <w:r w:rsidRPr="000F6DEF">
              <w:rPr>
                <w:rFonts w:cs="Calibri"/>
                <w:sz w:val="16"/>
                <w:szCs w:val="16"/>
              </w:rPr>
              <w:br/>
              <w:t xml:space="preserve">Lifetime </w:t>
            </w:r>
            <w:r>
              <w:rPr>
                <w:rFonts w:cs="Calibri"/>
                <w:sz w:val="16"/>
                <w:szCs w:val="16"/>
              </w:rPr>
              <w:t>e</w:t>
            </w:r>
            <w:r>
              <w:rPr>
                <w:rFonts w:cs="Calibri"/>
                <w:sz w:val="16"/>
                <w:szCs w:val="16"/>
              </w:rPr>
              <w:noBreakHyphen/>
              <w:t>cig</w:t>
            </w:r>
            <w:r w:rsidR="00571385">
              <w:rPr>
                <w:rFonts w:cs="Calibri"/>
                <w:sz w:val="16"/>
                <w:szCs w:val="16"/>
              </w:rPr>
              <w:t>arette</w:t>
            </w:r>
            <w:r w:rsidRPr="000F6DEF">
              <w:rPr>
                <w:rFonts w:cs="Calibri"/>
                <w:sz w:val="16"/>
                <w:szCs w:val="16"/>
              </w:rPr>
              <w:t>, cig</w:t>
            </w:r>
            <w:r w:rsidR="00571385">
              <w:rPr>
                <w:rFonts w:cs="Calibri"/>
                <w:sz w:val="16"/>
                <w:szCs w:val="16"/>
              </w:rPr>
              <w:t>arette</w:t>
            </w:r>
            <w:r w:rsidRPr="000F6DEF">
              <w:rPr>
                <w:rFonts w:cs="Calibri"/>
                <w:sz w:val="16"/>
                <w:szCs w:val="16"/>
              </w:rPr>
              <w:t xml:space="preserve"> use</w:t>
            </w:r>
          </w:p>
        </w:tc>
      </w:tr>
      <w:tr w:rsidR="00B85C33" w:rsidRPr="000F6DEF" w14:paraId="02FFE91F" w14:textId="77777777" w:rsidTr="000A2C8E">
        <w:trPr>
          <w:trHeight w:val="569"/>
        </w:trPr>
        <w:tc>
          <w:tcPr>
            <w:cnfStyle w:val="001000000000" w:firstRow="0" w:lastRow="0" w:firstColumn="1" w:lastColumn="0" w:oddVBand="0" w:evenVBand="0" w:oddHBand="0" w:evenHBand="0" w:firstRowFirstColumn="0" w:firstRowLastColumn="0" w:lastRowFirstColumn="0" w:lastRowLastColumn="0"/>
            <w:tcW w:w="1239" w:type="dxa"/>
          </w:tcPr>
          <w:p w14:paraId="2279D002" w14:textId="77777777" w:rsidR="00B85C33" w:rsidRPr="000F6DEF" w:rsidRDefault="00B85C33" w:rsidP="000376C7">
            <w:pPr>
              <w:rPr>
                <w:rFonts w:cs="Calibri"/>
                <w:sz w:val="16"/>
                <w:szCs w:val="16"/>
              </w:rPr>
            </w:pPr>
            <w:r w:rsidRPr="000F6DEF">
              <w:rPr>
                <w:rFonts w:cs="Calibri"/>
                <w:sz w:val="16"/>
                <w:szCs w:val="16"/>
              </w:rPr>
              <w:t>Giachello, Thanh</w:t>
            </w:r>
            <w:r w:rsidRPr="000F6DEF">
              <w:rPr>
                <w:rFonts w:cs="Calibri"/>
                <w:sz w:val="16"/>
                <w:szCs w:val="16"/>
              </w:rPr>
              <w:noBreakHyphen/>
              <w:t>Huyen, Payne et al</w:t>
            </w:r>
          </w:p>
        </w:tc>
        <w:tc>
          <w:tcPr>
            <w:tcW w:w="2867" w:type="dxa"/>
          </w:tcPr>
          <w:p w14:paraId="362DA256"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Cigarette smoking has been reported to be high among Lesbian, Gay, Bisexual, Transgendered and Queer (LGBTQ) populations. However, in</w:t>
            </w:r>
            <w:r w:rsidRPr="000F6DEF">
              <w:rPr>
                <w:rFonts w:cs="Calibri"/>
                <w:sz w:val="16"/>
                <w:szCs w:val="16"/>
              </w:rPr>
              <w:noBreakHyphen/>
              <w:t>depth information on perception, knowledge, attitudes and behaviours, is limited.</w:t>
            </w:r>
          </w:p>
        </w:tc>
        <w:tc>
          <w:tcPr>
            <w:tcW w:w="1134" w:type="dxa"/>
          </w:tcPr>
          <w:p w14:paraId="0FB98D45"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AHA</w:t>
            </w:r>
            <w:r w:rsidRPr="000F6DEF">
              <w:rPr>
                <w:rFonts w:cs="Calibri"/>
                <w:sz w:val="16"/>
                <w:szCs w:val="16"/>
              </w:rPr>
              <w:noBreakHyphen/>
              <w:t>Tobacco Regulatory Addiction Center (A</w:t>
            </w:r>
            <w:r w:rsidRPr="000F6DEF">
              <w:rPr>
                <w:rFonts w:cs="Calibri"/>
                <w:sz w:val="16"/>
                <w:szCs w:val="16"/>
              </w:rPr>
              <w:noBreakHyphen/>
              <w:t xml:space="preserve">TRAC) </w:t>
            </w:r>
          </w:p>
        </w:tc>
        <w:tc>
          <w:tcPr>
            <w:tcW w:w="992" w:type="dxa"/>
          </w:tcPr>
          <w:p w14:paraId="5C6D433E"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Chicago and New York, US</w:t>
            </w:r>
          </w:p>
        </w:tc>
        <w:tc>
          <w:tcPr>
            <w:tcW w:w="993" w:type="dxa"/>
          </w:tcPr>
          <w:p w14:paraId="66B97DAF"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2016</w:t>
            </w:r>
          </w:p>
        </w:tc>
        <w:tc>
          <w:tcPr>
            <w:tcW w:w="2551" w:type="dxa"/>
          </w:tcPr>
          <w:p w14:paraId="75178C72"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29 focus groups</w:t>
            </w:r>
            <w:r w:rsidRPr="000F6DEF">
              <w:rPr>
                <w:rFonts w:cs="Calibri"/>
                <w:sz w:val="16"/>
                <w:szCs w:val="16"/>
              </w:rPr>
              <w:br/>
              <w:t>99 Surveys</w:t>
            </w:r>
          </w:p>
          <w:p w14:paraId="2373E482"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Age: 18</w:t>
            </w:r>
            <w:r w:rsidRPr="000F6DEF">
              <w:rPr>
                <w:rFonts w:cs="Calibri"/>
                <w:sz w:val="16"/>
                <w:szCs w:val="16"/>
              </w:rPr>
              <w:noBreakHyphen/>
              <w:t>64 years</w:t>
            </w:r>
          </w:p>
        </w:tc>
        <w:tc>
          <w:tcPr>
            <w:tcW w:w="1701" w:type="dxa"/>
          </w:tcPr>
          <w:p w14:paraId="301202B4"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NR</w:t>
            </w:r>
          </w:p>
        </w:tc>
        <w:tc>
          <w:tcPr>
            <w:tcW w:w="1877" w:type="dxa"/>
          </w:tcPr>
          <w:p w14:paraId="3DFE8510"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Focus group and survey</w:t>
            </w:r>
          </w:p>
        </w:tc>
        <w:tc>
          <w:tcPr>
            <w:tcW w:w="1559" w:type="dxa"/>
          </w:tcPr>
          <w:p w14:paraId="68439033"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Lifetime and current smoking history</w:t>
            </w:r>
            <w:r w:rsidRPr="000F6DEF">
              <w:rPr>
                <w:rFonts w:cs="Calibri"/>
                <w:sz w:val="16"/>
                <w:szCs w:val="16"/>
              </w:rPr>
              <w:br/>
              <w:t>Demographics</w:t>
            </w:r>
            <w:r w:rsidRPr="000F6DEF">
              <w:rPr>
                <w:rFonts w:cs="Calibri"/>
                <w:sz w:val="16"/>
                <w:szCs w:val="16"/>
              </w:rPr>
              <w:br/>
              <w:t>Perceptions of tobacco use</w:t>
            </w:r>
          </w:p>
        </w:tc>
      </w:tr>
      <w:tr w:rsidR="00B85C33" w:rsidRPr="000F6DEF" w14:paraId="0FD50455" w14:textId="77777777" w:rsidTr="000A2C8E">
        <w:trPr>
          <w:cnfStyle w:val="000000100000" w:firstRow="0" w:lastRow="0" w:firstColumn="0" w:lastColumn="0" w:oddVBand="0" w:evenVBand="0" w:oddHBand="1" w:evenHBand="0"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1239" w:type="dxa"/>
          </w:tcPr>
          <w:p w14:paraId="2E9EEFA7" w14:textId="77777777" w:rsidR="00B85C33" w:rsidRPr="000F6DEF" w:rsidRDefault="00B85C33" w:rsidP="000376C7">
            <w:pPr>
              <w:rPr>
                <w:rFonts w:cs="Calibri"/>
                <w:sz w:val="16"/>
                <w:szCs w:val="16"/>
              </w:rPr>
            </w:pPr>
            <w:r w:rsidRPr="000F6DEF">
              <w:rPr>
                <w:rFonts w:cs="Calibri"/>
                <w:sz w:val="16"/>
                <w:szCs w:val="16"/>
              </w:rPr>
              <w:t>Goldbach, Mereish, Burgess</w:t>
            </w:r>
          </w:p>
        </w:tc>
        <w:tc>
          <w:tcPr>
            <w:tcW w:w="2867" w:type="dxa"/>
          </w:tcPr>
          <w:p w14:paraId="225CA5A6"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This paper investigates the use of risky substances among adolescents, and examines disparities between sexual minority (i.e., mostly heterosexual and lesbian, gay, bisexual; LGB) and heterosexual adolescents in use of novel and emerging substances. </w:t>
            </w:r>
          </w:p>
        </w:tc>
        <w:tc>
          <w:tcPr>
            <w:tcW w:w="1134" w:type="dxa"/>
          </w:tcPr>
          <w:p w14:paraId="574BA2D3"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Youth Development Survey (YDS)</w:t>
            </w:r>
          </w:p>
        </w:tc>
        <w:tc>
          <w:tcPr>
            <w:tcW w:w="992" w:type="dxa"/>
          </w:tcPr>
          <w:p w14:paraId="0BB26A79"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North Carolina, US</w:t>
            </w:r>
          </w:p>
        </w:tc>
        <w:tc>
          <w:tcPr>
            <w:tcW w:w="993" w:type="dxa"/>
          </w:tcPr>
          <w:p w14:paraId="56AB540F"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2014</w:t>
            </w:r>
          </w:p>
        </w:tc>
        <w:tc>
          <w:tcPr>
            <w:tcW w:w="2551" w:type="dxa"/>
          </w:tcPr>
          <w:p w14:paraId="05C4B4D2"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3,343 for YDS</w:t>
            </w:r>
            <w:r w:rsidRPr="000F6DEF">
              <w:rPr>
                <w:rFonts w:cs="Calibri"/>
                <w:sz w:val="16"/>
                <w:szCs w:val="16"/>
              </w:rPr>
              <w:br/>
              <w:t xml:space="preserve">3,105 with sexual orientation data </w:t>
            </w:r>
          </w:p>
          <w:p w14:paraId="665988F2"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Adolescents</w:t>
            </w:r>
          </w:p>
          <w:p w14:paraId="13E78FA6"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Age: 10</w:t>
            </w:r>
            <w:r w:rsidRPr="000F6DEF">
              <w:rPr>
                <w:rFonts w:cs="Calibri"/>
                <w:sz w:val="16"/>
                <w:szCs w:val="16"/>
              </w:rPr>
              <w:noBreakHyphen/>
              <w:t>19+</w:t>
            </w:r>
          </w:p>
          <w:p w14:paraId="357E7DB7"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Male: 47%</w:t>
            </w:r>
          </w:p>
        </w:tc>
        <w:tc>
          <w:tcPr>
            <w:tcW w:w="1701" w:type="dxa"/>
          </w:tcPr>
          <w:p w14:paraId="50A9A7FA"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All public middle and high schools in the County were invited to participate. In total, 75 schools were invited and 74 schools participated. Randomly selected classrooms</w:t>
            </w:r>
          </w:p>
        </w:tc>
        <w:tc>
          <w:tcPr>
            <w:tcW w:w="1877" w:type="dxa"/>
          </w:tcPr>
          <w:p w14:paraId="179DFB23"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Administered in class</w:t>
            </w:r>
          </w:p>
        </w:tc>
        <w:tc>
          <w:tcPr>
            <w:tcW w:w="1559" w:type="dxa"/>
          </w:tcPr>
          <w:p w14:paraId="22B834F9" w14:textId="3793BB4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Demographics</w:t>
            </w:r>
            <w:r w:rsidRPr="000F6DEF">
              <w:rPr>
                <w:rFonts w:cs="Calibri"/>
                <w:sz w:val="16"/>
                <w:szCs w:val="16"/>
              </w:rPr>
              <w:br/>
              <w:t>Substance use (lifetime and 30</w:t>
            </w:r>
            <w:r w:rsidRPr="000F6DEF">
              <w:rPr>
                <w:rFonts w:cs="Calibri"/>
                <w:sz w:val="16"/>
                <w:szCs w:val="16"/>
              </w:rPr>
              <w:noBreakHyphen/>
              <w:t>day) of cig</w:t>
            </w:r>
            <w:r w:rsidR="00571385">
              <w:rPr>
                <w:rFonts w:cs="Calibri"/>
                <w:sz w:val="16"/>
                <w:szCs w:val="16"/>
              </w:rPr>
              <w:t>arette</w:t>
            </w:r>
            <w:r w:rsidRPr="000F6DEF">
              <w:rPr>
                <w:rFonts w:cs="Calibri"/>
                <w:sz w:val="16"/>
                <w:szCs w:val="16"/>
              </w:rPr>
              <w:t xml:space="preserve">, smokeless tobacco, </w:t>
            </w:r>
            <w:r>
              <w:rPr>
                <w:rFonts w:cs="Calibri"/>
                <w:sz w:val="16"/>
                <w:szCs w:val="16"/>
              </w:rPr>
              <w:t>e</w:t>
            </w:r>
            <w:r>
              <w:rPr>
                <w:rFonts w:cs="Calibri"/>
                <w:sz w:val="16"/>
                <w:szCs w:val="16"/>
              </w:rPr>
              <w:noBreakHyphen/>
              <w:t>cig</w:t>
            </w:r>
            <w:r w:rsidR="00571385">
              <w:rPr>
                <w:rFonts w:cs="Calibri"/>
                <w:sz w:val="16"/>
                <w:szCs w:val="16"/>
              </w:rPr>
              <w:t>arette</w:t>
            </w:r>
            <w:r w:rsidRPr="000F6DEF">
              <w:rPr>
                <w:rFonts w:cs="Calibri"/>
                <w:sz w:val="16"/>
                <w:szCs w:val="16"/>
              </w:rPr>
              <w:t>, alcohol, marijuana/hash, synthetic marijuana, prescription drugs (without prescription)</w:t>
            </w:r>
          </w:p>
        </w:tc>
      </w:tr>
      <w:tr w:rsidR="00B85C33" w:rsidRPr="000F6DEF" w14:paraId="505B9376" w14:textId="77777777" w:rsidTr="000A2C8E">
        <w:trPr>
          <w:trHeight w:val="569"/>
        </w:trPr>
        <w:tc>
          <w:tcPr>
            <w:cnfStyle w:val="001000000000" w:firstRow="0" w:lastRow="0" w:firstColumn="1" w:lastColumn="0" w:oddVBand="0" w:evenVBand="0" w:oddHBand="0" w:evenHBand="0" w:firstRowFirstColumn="0" w:firstRowLastColumn="0" w:lastRowFirstColumn="0" w:lastRowLastColumn="0"/>
            <w:tcW w:w="1239" w:type="dxa"/>
          </w:tcPr>
          <w:p w14:paraId="7A13FC7A" w14:textId="77777777" w:rsidR="00B85C33" w:rsidRPr="000F6DEF" w:rsidRDefault="00B85C33" w:rsidP="000376C7">
            <w:pPr>
              <w:rPr>
                <w:rFonts w:cs="Calibri"/>
                <w:sz w:val="16"/>
                <w:szCs w:val="16"/>
              </w:rPr>
            </w:pPr>
            <w:r w:rsidRPr="000F6DEF">
              <w:rPr>
                <w:rFonts w:cs="Calibri"/>
                <w:sz w:val="16"/>
                <w:szCs w:val="16"/>
              </w:rPr>
              <w:t>Hinds, Loukas, Perry</w:t>
            </w:r>
          </w:p>
        </w:tc>
        <w:tc>
          <w:tcPr>
            <w:tcW w:w="2867" w:type="dxa"/>
          </w:tcPr>
          <w:p w14:paraId="6BC9DF16"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This study examined differences in the odds of current use and age of initiation of five tobacco/nicotine products among three groups of SGM young adults who self</w:t>
            </w:r>
            <w:r w:rsidRPr="000F6DEF">
              <w:rPr>
                <w:rFonts w:cs="Calibri"/>
                <w:sz w:val="16"/>
                <w:szCs w:val="16"/>
              </w:rPr>
              <w:noBreakHyphen/>
              <w:t xml:space="preserve">identified as (1) gay or lesbian, (2) bisexual, and (3) queer, transgender, or "other," compared to their heterosexual peers. </w:t>
            </w:r>
          </w:p>
        </w:tc>
        <w:tc>
          <w:tcPr>
            <w:tcW w:w="1134" w:type="dxa"/>
          </w:tcPr>
          <w:p w14:paraId="3A80381E"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Marketing and Promotions across Colleges in Texas</w:t>
            </w:r>
            <w:r w:rsidRPr="000F6DEF">
              <w:rPr>
                <w:rFonts w:cs="Calibri"/>
                <w:sz w:val="16"/>
                <w:szCs w:val="16"/>
              </w:rPr>
              <w:br/>
              <w:t>project (Project M</w:t>
            </w:r>
            <w:r w:rsidRPr="000F6DEF">
              <w:rPr>
                <w:rFonts w:cs="Calibri"/>
                <w:sz w:val="16"/>
                <w:szCs w:val="16"/>
              </w:rPr>
              <w:noBreakHyphen/>
              <w:t xml:space="preserve">PACT) </w:t>
            </w:r>
          </w:p>
        </w:tc>
        <w:tc>
          <w:tcPr>
            <w:tcW w:w="992" w:type="dxa"/>
          </w:tcPr>
          <w:p w14:paraId="63F5AABE"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Texas, US</w:t>
            </w:r>
          </w:p>
        </w:tc>
        <w:tc>
          <w:tcPr>
            <w:tcW w:w="993" w:type="dxa"/>
          </w:tcPr>
          <w:p w14:paraId="62A41EAD"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2015</w:t>
            </w:r>
          </w:p>
        </w:tc>
        <w:tc>
          <w:tcPr>
            <w:tcW w:w="2551" w:type="dxa"/>
          </w:tcPr>
          <w:p w14:paraId="4D39C304" w14:textId="32D126F1"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5</w:t>
            </w:r>
            <w:r w:rsidR="00571385">
              <w:rPr>
                <w:rFonts w:cs="Calibri"/>
                <w:sz w:val="16"/>
                <w:szCs w:val="16"/>
              </w:rPr>
              <w:t>,</w:t>
            </w:r>
            <w:r w:rsidRPr="000F6DEF">
              <w:rPr>
                <w:rFonts w:cs="Calibri"/>
                <w:sz w:val="16"/>
                <w:szCs w:val="16"/>
              </w:rPr>
              <w:t>482</w:t>
            </w:r>
            <w:r w:rsidRPr="000F6DEF">
              <w:rPr>
                <w:rFonts w:cs="Calibri"/>
                <w:sz w:val="16"/>
                <w:szCs w:val="16"/>
              </w:rPr>
              <w:br/>
              <w:t>Wave 3 n4321 adolescents</w:t>
            </w:r>
          </w:p>
          <w:p w14:paraId="3BFB4712"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Mean age: 20.45(2.33)</w:t>
            </w:r>
          </w:p>
          <w:p w14:paraId="31E2567B"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Male: 36%</w:t>
            </w:r>
          </w:p>
        </w:tc>
        <w:tc>
          <w:tcPr>
            <w:tcW w:w="1701" w:type="dxa"/>
          </w:tcPr>
          <w:p w14:paraId="531C7776"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College students aged 18</w:t>
            </w:r>
            <w:r w:rsidRPr="000F6DEF">
              <w:rPr>
                <w:rFonts w:cs="Calibri"/>
                <w:sz w:val="16"/>
                <w:szCs w:val="16"/>
              </w:rPr>
              <w:noBreakHyphen/>
              <w:t xml:space="preserve"> to 29 years attending 24 two</w:t>
            </w:r>
            <w:r w:rsidRPr="000F6DEF">
              <w:rPr>
                <w:rFonts w:cs="Calibri"/>
                <w:sz w:val="16"/>
                <w:szCs w:val="16"/>
              </w:rPr>
              <w:noBreakHyphen/>
              <w:t xml:space="preserve"> and</w:t>
            </w:r>
            <w:r w:rsidRPr="000F6DEF">
              <w:rPr>
                <w:rFonts w:cs="Calibri"/>
                <w:sz w:val="16"/>
                <w:szCs w:val="16"/>
              </w:rPr>
              <w:br/>
              <w:t>four</w:t>
            </w:r>
            <w:r w:rsidRPr="000F6DEF">
              <w:rPr>
                <w:rFonts w:cs="Calibri"/>
                <w:sz w:val="16"/>
                <w:szCs w:val="16"/>
              </w:rPr>
              <w:noBreakHyphen/>
              <w:t>year colleges in five counties surrounding the four largest metropolitan areas of Texas, Austin, Dallas/Fort Worth, Houston, and</w:t>
            </w:r>
            <w:r w:rsidRPr="000F6DEF">
              <w:rPr>
                <w:rFonts w:cs="Calibri"/>
                <w:sz w:val="16"/>
                <w:szCs w:val="16"/>
              </w:rPr>
              <w:br/>
              <w:t>San Antonio</w:t>
            </w:r>
          </w:p>
        </w:tc>
        <w:tc>
          <w:tcPr>
            <w:tcW w:w="1877" w:type="dxa"/>
          </w:tcPr>
          <w:p w14:paraId="061FCE5A"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Online</w:t>
            </w:r>
          </w:p>
        </w:tc>
        <w:tc>
          <w:tcPr>
            <w:tcW w:w="1559" w:type="dxa"/>
          </w:tcPr>
          <w:p w14:paraId="0D3BF611" w14:textId="77777777" w:rsidR="00B85C33" w:rsidRPr="000F6DEF" w:rsidRDefault="00B85C33" w:rsidP="000376C7">
            <w:pPr>
              <w:spacing w:after="240"/>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Demographics</w:t>
            </w:r>
            <w:r w:rsidRPr="000F6DEF">
              <w:rPr>
                <w:rFonts w:cs="Calibri"/>
                <w:sz w:val="16"/>
                <w:szCs w:val="16"/>
              </w:rPr>
              <w:br/>
              <w:t>Sexual/gender status</w:t>
            </w:r>
            <w:r w:rsidRPr="000F6DEF">
              <w:rPr>
                <w:rFonts w:cs="Calibri"/>
                <w:sz w:val="16"/>
                <w:szCs w:val="16"/>
              </w:rPr>
              <w:br/>
              <w:t>Current tobacco product use</w:t>
            </w:r>
          </w:p>
        </w:tc>
      </w:tr>
      <w:tr w:rsidR="00B85C33" w:rsidRPr="000F6DEF" w14:paraId="48176CD1" w14:textId="77777777" w:rsidTr="000A2C8E">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1239" w:type="dxa"/>
          </w:tcPr>
          <w:p w14:paraId="6434F2ED" w14:textId="77777777" w:rsidR="00B85C33" w:rsidRPr="000F6DEF" w:rsidRDefault="00B85C33" w:rsidP="000376C7">
            <w:pPr>
              <w:spacing w:after="0"/>
              <w:rPr>
                <w:rFonts w:cs="Calibri"/>
                <w:sz w:val="16"/>
                <w:szCs w:val="16"/>
              </w:rPr>
            </w:pPr>
            <w:r w:rsidRPr="000F6DEF">
              <w:rPr>
                <w:rFonts w:cs="Calibri"/>
                <w:sz w:val="16"/>
                <w:szCs w:val="16"/>
              </w:rPr>
              <w:t>Jannat</w:t>
            </w:r>
            <w:r w:rsidRPr="000F6DEF">
              <w:rPr>
                <w:rFonts w:cs="Calibri"/>
                <w:sz w:val="16"/>
                <w:szCs w:val="16"/>
              </w:rPr>
              <w:noBreakHyphen/>
              <w:t>Khah, Reynolds, Dill, Joseph</w:t>
            </w:r>
          </w:p>
        </w:tc>
        <w:tc>
          <w:tcPr>
            <w:tcW w:w="2867" w:type="dxa"/>
          </w:tcPr>
          <w:p w14:paraId="5E585EDD"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Within the United States, alternative tobacco product (ATP) and varies by geographic region, gender and age. Few articles have been published on the usage of these products among the lesbian, gay, bisexual, transgender or queer (LGBTQ) population.</w:t>
            </w:r>
          </w:p>
        </w:tc>
        <w:tc>
          <w:tcPr>
            <w:tcW w:w="1134" w:type="dxa"/>
          </w:tcPr>
          <w:p w14:paraId="7F3C2C48"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Investigator developed </w:t>
            </w:r>
          </w:p>
        </w:tc>
        <w:tc>
          <w:tcPr>
            <w:tcW w:w="992" w:type="dxa"/>
          </w:tcPr>
          <w:p w14:paraId="427BCADB"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New York, US</w:t>
            </w:r>
          </w:p>
        </w:tc>
        <w:tc>
          <w:tcPr>
            <w:tcW w:w="993" w:type="dxa"/>
          </w:tcPr>
          <w:p w14:paraId="22220169"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2014</w:t>
            </w:r>
          </w:p>
        </w:tc>
        <w:tc>
          <w:tcPr>
            <w:tcW w:w="2551" w:type="dxa"/>
          </w:tcPr>
          <w:p w14:paraId="0D9CE86C"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64 </w:t>
            </w:r>
          </w:p>
          <w:p w14:paraId="578D3174"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Mean age: 33.033(13.89)</w:t>
            </w:r>
          </w:p>
          <w:p w14:paraId="5EAF0E26"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51.6% male/ transmale</w:t>
            </w:r>
          </w:p>
        </w:tc>
        <w:tc>
          <w:tcPr>
            <w:tcW w:w="1701" w:type="dxa"/>
          </w:tcPr>
          <w:p w14:paraId="7CBEADEE"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Through social media</w:t>
            </w:r>
          </w:p>
        </w:tc>
        <w:tc>
          <w:tcPr>
            <w:tcW w:w="1877" w:type="dxa"/>
          </w:tcPr>
          <w:p w14:paraId="3A237368" w14:textId="77777777" w:rsidR="00B85C33" w:rsidRPr="000F6DEF" w:rsidRDefault="00B85C33" w:rsidP="000376C7">
            <w:pPr>
              <w:spacing w:after="0"/>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Google Forms</w:t>
            </w:r>
          </w:p>
        </w:tc>
        <w:tc>
          <w:tcPr>
            <w:tcW w:w="1559" w:type="dxa"/>
          </w:tcPr>
          <w:p w14:paraId="7D0F1EA4"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Current, former, experimental tobacco use</w:t>
            </w:r>
            <w:r w:rsidRPr="000F6DEF">
              <w:rPr>
                <w:rFonts w:cs="Calibri"/>
                <w:sz w:val="16"/>
                <w:szCs w:val="16"/>
              </w:rPr>
              <w:br/>
              <w:t>Beliefs about alternative tobacco products</w:t>
            </w:r>
            <w:r w:rsidRPr="000F6DEF">
              <w:rPr>
                <w:rFonts w:cs="Calibri"/>
                <w:sz w:val="16"/>
                <w:szCs w:val="16"/>
              </w:rPr>
              <w:br/>
              <w:t>Sources of knowledge about ENDS</w:t>
            </w:r>
            <w:r w:rsidRPr="000F6DEF">
              <w:rPr>
                <w:rFonts w:cs="Calibri"/>
                <w:sz w:val="16"/>
                <w:szCs w:val="16"/>
              </w:rPr>
              <w:br/>
              <w:t>Stress</w:t>
            </w:r>
            <w:r w:rsidRPr="000F6DEF">
              <w:rPr>
                <w:rFonts w:cs="Calibri"/>
                <w:sz w:val="16"/>
                <w:szCs w:val="16"/>
              </w:rPr>
              <w:br/>
            </w:r>
            <w:r w:rsidRPr="000F6DEF">
              <w:rPr>
                <w:rFonts w:cs="Calibri"/>
                <w:sz w:val="16"/>
                <w:szCs w:val="16"/>
              </w:rPr>
              <w:lastRenderedPageBreak/>
              <w:t>Micro aggressions</w:t>
            </w:r>
            <w:r w:rsidRPr="000F6DEF">
              <w:rPr>
                <w:rFonts w:cs="Calibri"/>
                <w:sz w:val="16"/>
                <w:szCs w:val="16"/>
              </w:rPr>
              <w:br/>
              <w:t>Demographics</w:t>
            </w:r>
          </w:p>
        </w:tc>
      </w:tr>
      <w:tr w:rsidR="00B85C33" w:rsidRPr="000F6DEF" w14:paraId="270DD654" w14:textId="77777777" w:rsidTr="000A2C8E">
        <w:trPr>
          <w:trHeight w:val="569"/>
        </w:trPr>
        <w:tc>
          <w:tcPr>
            <w:cnfStyle w:val="001000000000" w:firstRow="0" w:lastRow="0" w:firstColumn="1" w:lastColumn="0" w:oddVBand="0" w:evenVBand="0" w:oddHBand="0" w:evenHBand="0" w:firstRowFirstColumn="0" w:firstRowLastColumn="0" w:lastRowFirstColumn="0" w:lastRowLastColumn="0"/>
            <w:tcW w:w="1239" w:type="dxa"/>
          </w:tcPr>
          <w:p w14:paraId="45B675DA" w14:textId="77777777" w:rsidR="00B85C33" w:rsidRPr="000F6DEF" w:rsidRDefault="00B85C33" w:rsidP="000376C7">
            <w:pPr>
              <w:rPr>
                <w:rFonts w:cs="Calibri"/>
                <w:sz w:val="16"/>
                <w:szCs w:val="16"/>
              </w:rPr>
            </w:pPr>
            <w:r w:rsidRPr="000F6DEF">
              <w:rPr>
                <w:rFonts w:cs="Calibri"/>
                <w:sz w:val="16"/>
                <w:szCs w:val="16"/>
              </w:rPr>
              <w:lastRenderedPageBreak/>
              <w:t>Nayak, Salazar, Kota, Pechacek</w:t>
            </w:r>
          </w:p>
        </w:tc>
        <w:tc>
          <w:tcPr>
            <w:tcW w:w="2867" w:type="dxa"/>
          </w:tcPr>
          <w:p w14:paraId="03D40391"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In this study, we compared rates of novel and other alternative tobacco product use, risk perceptions, and worldview between LGB and heterosexual (HET) adults. </w:t>
            </w:r>
          </w:p>
        </w:tc>
        <w:tc>
          <w:tcPr>
            <w:tcW w:w="1134" w:type="dxa"/>
          </w:tcPr>
          <w:p w14:paraId="77997D35"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Tobacco Products and Risk Perceptions Surveys</w:t>
            </w:r>
          </w:p>
        </w:tc>
        <w:tc>
          <w:tcPr>
            <w:tcW w:w="992" w:type="dxa"/>
          </w:tcPr>
          <w:p w14:paraId="5665488C"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Georgia, US</w:t>
            </w:r>
          </w:p>
        </w:tc>
        <w:tc>
          <w:tcPr>
            <w:tcW w:w="993" w:type="dxa"/>
          </w:tcPr>
          <w:p w14:paraId="069D0B17"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2014</w:t>
            </w:r>
            <w:r w:rsidRPr="000F6DEF">
              <w:rPr>
                <w:rFonts w:cs="Calibri"/>
                <w:sz w:val="16"/>
                <w:szCs w:val="16"/>
              </w:rPr>
              <w:noBreakHyphen/>
              <w:t>2015</w:t>
            </w:r>
          </w:p>
        </w:tc>
        <w:tc>
          <w:tcPr>
            <w:tcW w:w="2551" w:type="dxa"/>
          </w:tcPr>
          <w:p w14:paraId="51BF17DE"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11,525 (with sexual orientation data)</w:t>
            </w:r>
            <w:r w:rsidRPr="000F6DEF">
              <w:rPr>
                <w:rFonts w:cs="Calibri"/>
                <w:sz w:val="16"/>
                <w:szCs w:val="16"/>
              </w:rPr>
              <w:br/>
              <w:t>5,717 2014</w:t>
            </w:r>
            <w:r w:rsidRPr="000F6DEF">
              <w:rPr>
                <w:rFonts w:cs="Calibri"/>
                <w:sz w:val="16"/>
                <w:szCs w:val="16"/>
              </w:rPr>
              <w:br/>
              <w:t xml:space="preserve">6,051 2015 </w:t>
            </w:r>
          </w:p>
          <w:p w14:paraId="2B03876D"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Mean age: 47.15(0.2SE)</w:t>
            </w:r>
          </w:p>
          <w:p w14:paraId="416F2A07"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50% male</w:t>
            </w:r>
          </w:p>
        </w:tc>
        <w:tc>
          <w:tcPr>
            <w:tcW w:w="1701" w:type="dxa"/>
          </w:tcPr>
          <w:p w14:paraId="60AC28AE"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KnowledgePanel</w:t>
            </w:r>
          </w:p>
        </w:tc>
        <w:tc>
          <w:tcPr>
            <w:tcW w:w="1877" w:type="dxa"/>
          </w:tcPr>
          <w:p w14:paraId="47A188C2"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NR</w:t>
            </w:r>
          </w:p>
        </w:tc>
        <w:tc>
          <w:tcPr>
            <w:tcW w:w="1559" w:type="dxa"/>
          </w:tcPr>
          <w:p w14:paraId="1B084362" w14:textId="30EF3825"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Sexual identity</w:t>
            </w:r>
            <w:r w:rsidRPr="000F6DEF">
              <w:rPr>
                <w:rFonts w:cs="Calibri"/>
                <w:sz w:val="16"/>
                <w:szCs w:val="16"/>
              </w:rPr>
              <w:br/>
              <w:t>Awareness, ever use and current use of alternative tobacco products</w:t>
            </w:r>
            <w:r w:rsidRPr="000F6DEF">
              <w:rPr>
                <w:rFonts w:cs="Calibri"/>
                <w:sz w:val="16"/>
                <w:szCs w:val="16"/>
              </w:rPr>
              <w:br/>
              <w:t>Smoking status</w:t>
            </w:r>
            <w:r w:rsidRPr="000F6DEF">
              <w:rPr>
                <w:rFonts w:cs="Calibri"/>
                <w:sz w:val="16"/>
                <w:szCs w:val="16"/>
              </w:rPr>
              <w:br/>
              <w:t>Dual use</w:t>
            </w:r>
            <w:r w:rsidRPr="000F6DEF">
              <w:rPr>
                <w:rFonts w:cs="Calibri"/>
                <w:sz w:val="16"/>
                <w:szCs w:val="16"/>
              </w:rPr>
              <w:br/>
              <w:t>Intention to quit/quit attempts</w:t>
            </w:r>
            <w:r w:rsidRPr="000F6DEF">
              <w:rPr>
                <w:rFonts w:cs="Calibri"/>
                <w:sz w:val="16"/>
                <w:szCs w:val="16"/>
              </w:rPr>
              <w:br/>
              <w:t xml:space="preserve">Risk perceptions of </w:t>
            </w:r>
            <w:r>
              <w:rPr>
                <w:rFonts w:cs="Calibri"/>
                <w:sz w:val="16"/>
                <w:szCs w:val="16"/>
              </w:rPr>
              <w:t>e</w:t>
            </w:r>
            <w:r>
              <w:rPr>
                <w:rFonts w:cs="Calibri"/>
                <w:sz w:val="16"/>
                <w:szCs w:val="16"/>
              </w:rPr>
              <w:noBreakHyphen/>
              <w:t>cig</w:t>
            </w:r>
            <w:r w:rsidR="00571385">
              <w:rPr>
                <w:rFonts w:cs="Calibri"/>
                <w:sz w:val="16"/>
                <w:szCs w:val="16"/>
              </w:rPr>
              <w:t>arettes</w:t>
            </w:r>
            <w:r w:rsidRPr="000F6DEF">
              <w:rPr>
                <w:rFonts w:cs="Calibri"/>
                <w:sz w:val="16"/>
                <w:szCs w:val="16"/>
              </w:rPr>
              <w:br/>
              <w:t>Cultural cognition worldview scale</w:t>
            </w:r>
          </w:p>
        </w:tc>
      </w:tr>
      <w:tr w:rsidR="00B85C33" w:rsidRPr="000F6DEF" w14:paraId="73BDBFE8" w14:textId="77777777" w:rsidTr="000A2C8E">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1239" w:type="dxa"/>
          </w:tcPr>
          <w:p w14:paraId="58E4122E" w14:textId="77777777" w:rsidR="00B85C33" w:rsidRPr="000F6DEF" w:rsidRDefault="00B85C33" w:rsidP="000376C7">
            <w:pPr>
              <w:rPr>
                <w:rFonts w:cs="Calibri"/>
                <w:sz w:val="16"/>
                <w:szCs w:val="16"/>
              </w:rPr>
            </w:pPr>
            <w:r w:rsidRPr="000F6DEF">
              <w:rPr>
                <w:rFonts w:cs="Calibri"/>
                <w:sz w:val="16"/>
                <w:szCs w:val="16"/>
              </w:rPr>
              <w:t>Wheldon, Kaufman et al</w:t>
            </w:r>
          </w:p>
        </w:tc>
        <w:tc>
          <w:tcPr>
            <w:tcW w:w="2867" w:type="dxa"/>
          </w:tcPr>
          <w:p w14:paraId="409A5B5B"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To characterize lifetime tobacco use across two measures of sexual orientation and six types of tobacco products. </w:t>
            </w:r>
          </w:p>
        </w:tc>
        <w:tc>
          <w:tcPr>
            <w:tcW w:w="1134" w:type="dxa"/>
          </w:tcPr>
          <w:p w14:paraId="7CAF9A6E"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Population Assessment of Tobacco and Health (PATH) </w:t>
            </w:r>
          </w:p>
        </w:tc>
        <w:tc>
          <w:tcPr>
            <w:tcW w:w="992" w:type="dxa"/>
          </w:tcPr>
          <w:p w14:paraId="77C46F22"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US national</w:t>
            </w:r>
          </w:p>
        </w:tc>
        <w:tc>
          <w:tcPr>
            <w:tcW w:w="993" w:type="dxa"/>
          </w:tcPr>
          <w:p w14:paraId="45E87140"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Sept 2013 </w:t>
            </w:r>
            <w:r w:rsidRPr="000F6DEF">
              <w:rPr>
                <w:rFonts w:cs="Calibri"/>
                <w:sz w:val="16"/>
                <w:szCs w:val="16"/>
              </w:rPr>
              <w:noBreakHyphen/>
              <w:t xml:space="preserve"> Dec 2014</w:t>
            </w:r>
          </w:p>
        </w:tc>
        <w:tc>
          <w:tcPr>
            <w:tcW w:w="2551" w:type="dxa"/>
          </w:tcPr>
          <w:p w14:paraId="014D6E82"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31,500</w:t>
            </w:r>
          </w:p>
        </w:tc>
        <w:tc>
          <w:tcPr>
            <w:tcW w:w="1701" w:type="dxa"/>
          </w:tcPr>
          <w:p w14:paraId="129524EE"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Used screener of households</w:t>
            </w:r>
          </w:p>
        </w:tc>
        <w:tc>
          <w:tcPr>
            <w:tcW w:w="1877" w:type="dxa"/>
          </w:tcPr>
          <w:p w14:paraId="7EB67EAC"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Interviews in the home using audio</w:t>
            </w:r>
            <w:r w:rsidRPr="000F6DEF">
              <w:rPr>
                <w:rFonts w:cs="Calibri"/>
                <w:sz w:val="16"/>
                <w:szCs w:val="16"/>
              </w:rPr>
              <w:noBreakHyphen/>
              <w:t xml:space="preserve"> computer assisted self</w:t>
            </w:r>
            <w:r w:rsidRPr="000F6DEF">
              <w:rPr>
                <w:rFonts w:cs="Calibri"/>
                <w:sz w:val="16"/>
                <w:szCs w:val="16"/>
              </w:rPr>
              <w:noBreakHyphen/>
              <w:t>interviewing</w:t>
            </w:r>
          </w:p>
        </w:tc>
        <w:tc>
          <w:tcPr>
            <w:tcW w:w="1559" w:type="dxa"/>
          </w:tcPr>
          <w:p w14:paraId="3A268B60"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Sexual orientation; lifetime tobacco product use</w:t>
            </w:r>
          </w:p>
        </w:tc>
      </w:tr>
    </w:tbl>
    <w:p w14:paraId="517825E9" w14:textId="77777777" w:rsidR="00B85C33" w:rsidRDefault="00B85C33" w:rsidP="00B85C33">
      <w:pPr>
        <w:pStyle w:val="BodyText"/>
      </w:pPr>
    </w:p>
    <w:p w14:paraId="09533497" w14:textId="77777777" w:rsidR="00B85C33" w:rsidRDefault="00B85C33" w:rsidP="00B85C33">
      <w:pPr>
        <w:spacing w:after="0"/>
        <w:rPr>
          <w:sz w:val="24"/>
        </w:rPr>
      </w:pPr>
      <w:r>
        <w:br w:type="page"/>
      </w:r>
    </w:p>
    <w:p w14:paraId="58152945" w14:textId="77777777" w:rsidR="00B85C33" w:rsidRDefault="004C6D16" w:rsidP="004C6D16">
      <w:pPr>
        <w:pStyle w:val="Caption"/>
      </w:pPr>
      <w:bookmarkStart w:id="342" w:name="_Toc517707450"/>
      <w:r>
        <w:lastRenderedPageBreak/>
        <w:t xml:space="preserve">Table </w:t>
      </w:r>
      <w:r w:rsidR="0048064B">
        <w:rPr>
          <w:noProof/>
        </w:rPr>
        <w:fldChar w:fldCharType="begin"/>
      </w:r>
      <w:r w:rsidR="0048064B">
        <w:rPr>
          <w:noProof/>
        </w:rPr>
        <w:instrText xml:space="preserve"> SEQ Table \* ARABIC </w:instrText>
      </w:r>
      <w:r w:rsidR="0048064B">
        <w:rPr>
          <w:noProof/>
        </w:rPr>
        <w:fldChar w:fldCharType="separate"/>
      </w:r>
      <w:r w:rsidR="000C06DA">
        <w:rPr>
          <w:noProof/>
        </w:rPr>
        <w:t>41</w:t>
      </w:r>
      <w:r w:rsidR="0048064B">
        <w:rPr>
          <w:noProof/>
        </w:rPr>
        <w:fldChar w:fldCharType="end"/>
      </w:r>
      <w:r w:rsidR="00B85C33" w:rsidRPr="009A3E59">
        <w:t>: Results of studies of US LGBTI</w:t>
      </w:r>
      <w:bookmarkEnd w:id="342"/>
    </w:p>
    <w:tbl>
      <w:tblPr>
        <w:tblStyle w:val="TableCSIRO"/>
        <w:tblW w:w="15055" w:type="dxa"/>
        <w:tblLayout w:type="fixed"/>
        <w:tblLook w:val="04A0" w:firstRow="1" w:lastRow="0" w:firstColumn="1" w:lastColumn="0" w:noHBand="0" w:noVBand="1"/>
      </w:tblPr>
      <w:tblGrid>
        <w:gridCol w:w="1435"/>
        <w:gridCol w:w="3238"/>
        <w:gridCol w:w="5730"/>
        <w:gridCol w:w="4652"/>
      </w:tblGrid>
      <w:tr w:rsidR="00B85C33" w:rsidRPr="000F6DEF" w14:paraId="04DAFFA8" w14:textId="77777777" w:rsidTr="000376C7">
        <w:trPr>
          <w:cnfStyle w:val="100000000000" w:firstRow="1" w:lastRow="0" w:firstColumn="0" w:lastColumn="0" w:oddVBand="0" w:evenVBand="0" w:oddHBand="0" w:evenHBand="0" w:firstRowFirstColumn="0" w:firstRowLastColumn="0" w:lastRowFirstColumn="0" w:lastRowLastColumn="0"/>
          <w:trHeight w:val="94"/>
          <w:tblHeader/>
        </w:trPr>
        <w:tc>
          <w:tcPr>
            <w:cnfStyle w:val="001000000000" w:firstRow="0" w:lastRow="0" w:firstColumn="1" w:lastColumn="0" w:oddVBand="0" w:evenVBand="0" w:oddHBand="0" w:evenHBand="0" w:firstRowFirstColumn="0" w:firstRowLastColumn="0" w:lastRowFirstColumn="0" w:lastRowLastColumn="0"/>
            <w:tcW w:w="1435" w:type="dxa"/>
            <w:hideMark/>
          </w:tcPr>
          <w:p w14:paraId="3EDD208C" w14:textId="77777777" w:rsidR="00B85C33" w:rsidRPr="000F6DEF" w:rsidRDefault="00B85C33" w:rsidP="000376C7">
            <w:pPr>
              <w:rPr>
                <w:color w:val="auto"/>
                <w:sz w:val="16"/>
                <w:szCs w:val="16"/>
              </w:rPr>
            </w:pPr>
            <w:r w:rsidRPr="000F6DEF">
              <w:rPr>
                <w:color w:val="auto"/>
                <w:sz w:val="16"/>
                <w:szCs w:val="16"/>
              </w:rPr>
              <w:t>Study reference</w:t>
            </w:r>
          </w:p>
        </w:tc>
        <w:tc>
          <w:tcPr>
            <w:tcW w:w="3238" w:type="dxa"/>
            <w:hideMark/>
          </w:tcPr>
          <w:p w14:paraId="44366497" w14:textId="77777777" w:rsidR="00B85C33" w:rsidRPr="000F6DEF" w:rsidRDefault="00B85C33" w:rsidP="000376C7">
            <w:pPr>
              <w:cnfStyle w:val="100000000000" w:firstRow="1" w:lastRow="0" w:firstColumn="0" w:lastColumn="0" w:oddVBand="0" w:evenVBand="0" w:oddHBand="0" w:evenHBand="0" w:firstRowFirstColumn="0" w:firstRowLastColumn="0" w:lastRowFirstColumn="0" w:lastRowLastColumn="0"/>
              <w:rPr>
                <w:color w:val="auto"/>
                <w:sz w:val="16"/>
                <w:szCs w:val="16"/>
              </w:rPr>
            </w:pPr>
            <w:r w:rsidRPr="000F6DEF">
              <w:rPr>
                <w:color w:val="auto"/>
                <w:sz w:val="16"/>
                <w:szCs w:val="16"/>
              </w:rPr>
              <w:t>Purpose</w:t>
            </w:r>
          </w:p>
        </w:tc>
        <w:tc>
          <w:tcPr>
            <w:tcW w:w="5730" w:type="dxa"/>
            <w:hideMark/>
          </w:tcPr>
          <w:p w14:paraId="75BDC480" w14:textId="77777777" w:rsidR="00B85C33" w:rsidRPr="000F6DEF" w:rsidRDefault="00B85C33" w:rsidP="000376C7">
            <w:pPr>
              <w:cnfStyle w:val="100000000000" w:firstRow="1" w:lastRow="0" w:firstColumn="0" w:lastColumn="0" w:oddVBand="0" w:evenVBand="0" w:oddHBand="0" w:evenHBand="0" w:firstRowFirstColumn="0" w:firstRowLastColumn="0" w:lastRowFirstColumn="0" w:lastRowLastColumn="0"/>
              <w:rPr>
                <w:color w:val="auto"/>
                <w:sz w:val="16"/>
                <w:szCs w:val="16"/>
              </w:rPr>
            </w:pPr>
            <w:r w:rsidRPr="000F6DEF">
              <w:rPr>
                <w:color w:val="auto"/>
                <w:sz w:val="16"/>
                <w:szCs w:val="16"/>
              </w:rPr>
              <w:t>Results</w:t>
            </w:r>
          </w:p>
        </w:tc>
        <w:tc>
          <w:tcPr>
            <w:tcW w:w="4652" w:type="dxa"/>
            <w:hideMark/>
          </w:tcPr>
          <w:p w14:paraId="0C2865ED" w14:textId="77777777" w:rsidR="00B85C33" w:rsidRPr="000F6DEF" w:rsidRDefault="00B85C33" w:rsidP="000376C7">
            <w:pPr>
              <w:cnfStyle w:val="100000000000" w:firstRow="1" w:lastRow="0" w:firstColumn="0" w:lastColumn="0" w:oddVBand="0" w:evenVBand="0" w:oddHBand="0" w:evenHBand="0" w:firstRowFirstColumn="0" w:firstRowLastColumn="0" w:lastRowFirstColumn="0" w:lastRowLastColumn="0"/>
              <w:rPr>
                <w:color w:val="auto"/>
                <w:sz w:val="16"/>
                <w:szCs w:val="16"/>
              </w:rPr>
            </w:pPr>
            <w:r w:rsidRPr="000F6DEF">
              <w:rPr>
                <w:color w:val="auto"/>
                <w:sz w:val="16"/>
                <w:szCs w:val="16"/>
              </w:rPr>
              <w:t>Author conclusion</w:t>
            </w:r>
          </w:p>
        </w:tc>
      </w:tr>
      <w:tr w:rsidR="00B85C33" w:rsidRPr="000F6DEF" w14:paraId="20C3B848" w14:textId="77777777" w:rsidTr="000376C7">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1435" w:type="dxa"/>
          </w:tcPr>
          <w:p w14:paraId="608E793D" w14:textId="77777777" w:rsidR="00B85C33" w:rsidRPr="000F6DEF" w:rsidRDefault="00B85C33" w:rsidP="000376C7">
            <w:pPr>
              <w:spacing w:after="0"/>
              <w:rPr>
                <w:rFonts w:eastAsia="Times New Roman" w:cs="Calibri"/>
                <w:sz w:val="16"/>
                <w:szCs w:val="16"/>
              </w:rPr>
            </w:pPr>
            <w:r w:rsidRPr="000F6DEF">
              <w:rPr>
                <w:rFonts w:cs="Calibri"/>
                <w:sz w:val="16"/>
                <w:szCs w:val="16"/>
              </w:rPr>
              <w:t>Buchting, Emory, Scout</w:t>
            </w:r>
          </w:p>
        </w:tc>
        <w:tc>
          <w:tcPr>
            <w:tcW w:w="3238" w:type="dxa"/>
          </w:tcPr>
          <w:p w14:paraId="54CE159D"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This national study is the first to report on cigarettes, cigars, and </w:t>
            </w:r>
            <w:r>
              <w:rPr>
                <w:rFonts w:cs="Calibri"/>
                <w:sz w:val="16"/>
                <w:szCs w:val="16"/>
              </w:rPr>
              <w:t>e</w:t>
            </w:r>
            <w:r>
              <w:rPr>
                <w:rFonts w:cs="Calibri"/>
                <w:sz w:val="16"/>
                <w:szCs w:val="16"/>
              </w:rPr>
              <w:noBreakHyphen/>
              <w:t>cig</w:t>
            </w:r>
            <w:r w:rsidRPr="000F6DEF">
              <w:rPr>
                <w:rFonts w:cs="Calibri"/>
                <w:sz w:val="16"/>
                <w:szCs w:val="16"/>
              </w:rPr>
              <w:t xml:space="preserve">arettes by examining differences in transgender tobacco use independent of sexual orientation. </w:t>
            </w:r>
          </w:p>
        </w:tc>
        <w:tc>
          <w:tcPr>
            <w:tcW w:w="5730" w:type="dxa"/>
          </w:tcPr>
          <w:p w14:paraId="01201CED"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Current </w:t>
            </w:r>
            <w:r>
              <w:rPr>
                <w:rFonts w:cs="Calibri"/>
                <w:sz w:val="16"/>
                <w:szCs w:val="16"/>
              </w:rPr>
              <w:t>e</w:t>
            </w:r>
            <w:r>
              <w:rPr>
                <w:rFonts w:cs="Calibri"/>
                <w:sz w:val="16"/>
                <w:szCs w:val="16"/>
              </w:rPr>
              <w:noBreakHyphen/>
              <w:t>cig</w:t>
            </w:r>
            <w:r w:rsidRPr="000F6DEF">
              <w:rPr>
                <w:rFonts w:cs="Calibri"/>
                <w:sz w:val="16"/>
                <w:szCs w:val="16"/>
              </w:rPr>
              <w:t>arette use: Trans 69%; cisgender 5%. Transgender adults reported higher past 30</w:t>
            </w:r>
            <w:r w:rsidRPr="000F6DEF">
              <w:rPr>
                <w:rFonts w:cs="Calibri"/>
                <w:sz w:val="16"/>
                <w:szCs w:val="16"/>
              </w:rPr>
              <w:noBreakHyphen/>
              <w:t>day use of any cigarette/cigar/</w:t>
            </w:r>
            <w:r>
              <w:rPr>
                <w:rFonts w:cs="Calibri"/>
                <w:sz w:val="16"/>
                <w:szCs w:val="16"/>
              </w:rPr>
              <w:t>e</w:t>
            </w:r>
            <w:r>
              <w:rPr>
                <w:rFonts w:cs="Calibri"/>
                <w:sz w:val="16"/>
                <w:szCs w:val="16"/>
              </w:rPr>
              <w:noBreakHyphen/>
              <w:t>cig</w:t>
            </w:r>
            <w:r w:rsidRPr="000F6DEF">
              <w:rPr>
                <w:rFonts w:cs="Calibri"/>
                <w:sz w:val="16"/>
                <w:szCs w:val="16"/>
              </w:rPr>
              <w:t xml:space="preserve">arette product (39.7% vs 25.1%) and current use of cigarettes (35.5% vs 20.7%), cigars (26.8% vs 9.3%), and </w:t>
            </w:r>
            <w:r>
              <w:rPr>
                <w:rFonts w:cs="Calibri"/>
                <w:sz w:val="16"/>
                <w:szCs w:val="16"/>
              </w:rPr>
              <w:t>e</w:t>
            </w:r>
            <w:r>
              <w:rPr>
                <w:rFonts w:cs="Calibri"/>
                <w:sz w:val="16"/>
                <w:szCs w:val="16"/>
              </w:rPr>
              <w:noBreakHyphen/>
              <w:t>cig</w:t>
            </w:r>
            <w:r w:rsidRPr="000F6DEF">
              <w:rPr>
                <w:rFonts w:cs="Calibri"/>
                <w:sz w:val="16"/>
                <w:szCs w:val="16"/>
              </w:rPr>
              <w:t>arettes (21.3% vs 5.0%) compared with cisgender adults (all p</w:t>
            </w:r>
            <w:r w:rsidRPr="000F6DEF">
              <w:rPr>
                <w:rFonts w:cs="Calibri"/>
                <w:sz w:val="16"/>
                <w:szCs w:val="16"/>
              </w:rPr>
              <w:noBreakHyphen/>
              <w:t>values &lt;/=0.003). Transgender respondents had significantly higher odds of past 30</w:t>
            </w:r>
            <w:r w:rsidRPr="000F6DEF">
              <w:rPr>
                <w:rFonts w:cs="Calibri"/>
                <w:sz w:val="16"/>
                <w:szCs w:val="16"/>
              </w:rPr>
              <w:noBreakHyphen/>
              <w:t>day tobacco product use for any cigarette/cigar/</w:t>
            </w:r>
            <w:r>
              <w:rPr>
                <w:rFonts w:cs="Calibri"/>
                <w:sz w:val="16"/>
                <w:szCs w:val="16"/>
              </w:rPr>
              <w:t>e</w:t>
            </w:r>
            <w:r>
              <w:rPr>
                <w:rFonts w:cs="Calibri"/>
                <w:sz w:val="16"/>
                <w:szCs w:val="16"/>
              </w:rPr>
              <w:noBreakHyphen/>
              <w:t>cig</w:t>
            </w:r>
            <w:r w:rsidRPr="000F6DEF">
              <w:rPr>
                <w:rFonts w:cs="Calibri"/>
                <w:sz w:val="16"/>
                <w:szCs w:val="16"/>
              </w:rPr>
              <w:t xml:space="preserve">arette product (OR=1.97, 95% CI=1.25, 3.1), </w:t>
            </w:r>
            <w:r>
              <w:rPr>
                <w:rFonts w:cs="Calibri"/>
                <w:sz w:val="16"/>
                <w:szCs w:val="16"/>
              </w:rPr>
              <w:t>e</w:t>
            </w:r>
            <w:r>
              <w:rPr>
                <w:rFonts w:cs="Calibri"/>
                <w:sz w:val="16"/>
                <w:szCs w:val="16"/>
              </w:rPr>
              <w:noBreakHyphen/>
              <w:t>cig</w:t>
            </w:r>
            <w:r w:rsidRPr="000F6DEF">
              <w:rPr>
                <w:rFonts w:cs="Calibri"/>
                <w:sz w:val="16"/>
                <w:szCs w:val="16"/>
              </w:rPr>
              <w:t>arettes (OR=5.15, 95% CI=3.36, 7.88), cigars (OR=3.56, 95% CI=2.27, 5.59), and cigarettes (OR=2.10, 95% CI=1.35, 3.28) versus cisgender respondents (all p</w:t>
            </w:r>
            <w:r w:rsidRPr="000F6DEF">
              <w:rPr>
                <w:rFonts w:cs="Calibri"/>
                <w:sz w:val="16"/>
                <w:szCs w:val="16"/>
              </w:rPr>
              <w:noBreakHyphen/>
              <w:t>values &lt;/=0.0035).</w:t>
            </w:r>
          </w:p>
        </w:tc>
        <w:tc>
          <w:tcPr>
            <w:tcW w:w="4652" w:type="dxa"/>
          </w:tcPr>
          <w:p w14:paraId="4802715C"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Transgender adults are at higher risk for tobacco use than cisgender adults and risk of specific product use varies by gender. </w:t>
            </w:r>
          </w:p>
        </w:tc>
      </w:tr>
      <w:tr w:rsidR="00B85C33" w:rsidRPr="000F6DEF" w14:paraId="7160057A" w14:textId="77777777" w:rsidTr="000376C7">
        <w:trPr>
          <w:trHeight w:val="94"/>
        </w:trPr>
        <w:tc>
          <w:tcPr>
            <w:cnfStyle w:val="001000000000" w:firstRow="0" w:lastRow="0" w:firstColumn="1" w:lastColumn="0" w:oddVBand="0" w:evenVBand="0" w:oddHBand="0" w:evenHBand="0" w:firstRowFirstColumn="0" w:firstRowLastColumn="0" w:lastRowFirstColumn="0" w:lastRowLastColumn="0"/>
            <w:tcW w:w="1435" w:type="dxa"/>
          </w:tcPr>
          <w:p w14:paraId="0F8169A4" w14:textId="77777777" w:rsidR="00B85C33" w:rsidRPr="000F6DEF" w:rsidRDefault="00B85C33" w:rsidP="000376C7">
            <w:pPr>
              <w:rPr>
                <w:rFonts w:cs="Calibri"/>
                <w:sz w:val="16"/>
                <w:szCs w:val="16"/>
              </w:rPr>
            </w:pPr>
            <w:r w:rsidRPr="000F6DEF">
              <w:rPr>
                <w:rFonts w:cs="Calibri"/>
                <w:sz w:val="16"/>
                <w:szCs w:val="16"/>
              </w:rPr>
              <w:t>Coulter, Bersamin, Russell, Mair</w:t>
            </w:r>
          </w:p>
        </w:tc>
        <w:tc>
          <w:tcPr>
            <w:tcW w:w="3238" w:type="dxa"/>
          </w:tcPr>
          <w:p w14:paraId="72BE76FE"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We tested three competing models about whether gender</w:t>
            </w:r>
            <w:r w:rsidRPr="000F6DEF">
              <w:rPr>
                <w:rFonts w:cs="Calibri"/>
                <w:sz w:val="16"/>
                <w:szCs w:val="16"/>
              </w:rPr>
              <w:noBreakHyphen/>
              <w:t xml:space="preserve"> and sexuality</w:t>
            </w:r>
            <w:r w:rsidRPr="000F6DEF">
              <w:rPr>
                <w:rFonts w:cs="Calibri"/>
                <w:sz w:val="16"/>
                <w:szCs w:val="16"/>
              </w:rPr>
              <w:noBreakHyphen/>
              <w:t>based harassment at school have non</w:t>
            </w:r>
            <w:r w:rsidRPr="000F6DEF">
              <w:rPr>
                <w:rFonts w:cs="Calibri"/>
                <w:sz w:val="16"/>
                <w:szCs w:val="16"/>
              </w:rPr>
              <w:noBreakHyphen/>
              <w:t xml:space="preserve">independent, additive, or interactive effects on adolescents' electronic cigarette use (i.e., vaping), cigarette smoking, alcohol use, and heavy episodic drinking (HED). </w:t>
            </w:r>
          </w:p>
        </w:tc>
        <w:tc>
          <w:tcPr>
            <w:tcW w:w="5730" w:type="dxa"/>
          </w:tcPr>
          <w:p w14:paraId="0FE7D3E1"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Our study provides novel insights about disparities for transgender populations and about vaping as a health disparity for LGBT adolescents. Prevalence ranging from 6</w:t>
            </w:r>
            <w:r w:rsidRPr="000F6DEF">
              <w:rPr>
                <w:rFonts w:cs="Calibri"/>
                <w:sz w:val="16"/>
                <w:szCs w:val="16"/>
              </w:rPr>
              <w:noBreakHyphen/>
              <w:t>6.3% in cisgenders to 40.7% in LGB</w:t>
            </w:r>
            <w:r w:rsidRPr="000F6DEF">
              <w:rPr>
                <w:rFonts w:cs="Calibri"/>
                <w:sz w:val="16"/>
                <w:szCs w:val="16"/>
              </w:rPr>
              <w:noBreakHyphen/>
              <w:t>only trans for Grade 7; 10.3</w:t>
            </w:r>
            <w:r w:rsidRPr="000F6DEF">
              <w:rPr>
                <w:rFonts w:cs="Calibri"/>
                <w:sz w:val="16"/>
                <w:szCs w:val="16"/>
              </w:rPr>
              <w:noBreakHyphen/>
              <w:t>11.9 for cisgender to 35.8% for LGB</w:t>
            </w:r>
            <w:r w:rsidRPr="000F6DEF">
              <w:rPr>
                <w:rFonts w:cs="Calibri"/>
                <w:sz w:val="16"/>
                <w:szCs w:val="16"/>
              </w:rPr>
              <w:noBreakHyphen/>
              <w:t>only trans in Grade 9; 11.6% in cisgender females to 30.2.% in LGB</w:t>
            </w:r>
            <w:r w:rsidRPr="000F6DEF">
              <w:rPr>
                <w:rFonts w:cs="Calibri"/>
                <w:sz w:val="16"/>
                <w:szCs w:val="16"/>
              </w:rPr>
              <w:noBreakHyphen/>
              <w:t>only trans in Grade 11.</w:t>
            </w:r>
          </w:p>
        </w:tc>
        <w:tc>
          <w:tcPr>
            <w:tcW w:w="4652" w:type="dxa"/>
          </w:tcPr>
          <w:p w14:paraId="4BB81DE7"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Gender</w:t>
            </w:r>
            <w:r w:rsidRPr="000F6DEF">
              <w:rPr>
                <w:rFonts w:cs="Calibri"/>
                <w:sz w:val="16"/>
                <w:szCs w:val="16"/>
              </w:rPr>
              <w:noBreakHyphen/>
              <w:t xml:space="preserve"> and sexuality</w:t>
            </w:r>
            <w:r w:rsidRPr="000F6DEF">
              <w:rPr>
                <w:rFonts w:cs="Calibri"/>
                <w:sz w:val="16"/>
                <w:szCs w:val="16"/>
              </w:rPr>
              <w:noBreakHyphen/>
              <w:t>based harassment at school independently or interactively produced LGBT disparities in substance use. Reducing these types of discrimination in schools will likely mitigate these disparities.</w:t>
            </w:r>
          </w:p>
        </w:tc>
      </w:tr>
      <w:tr w:rsidR="00B85C33" w:rsidRPr="000F6DEF" w14:paraId="6E1DE7EA" w14:textId="77777777" w:rsidTr="000376C7">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1435" w:type="dxa"/>
          </w:tcPr>
          <w:p w14:paraId="0BBEFC01" w14:textId="77777777" w:rsidR="00B85C33" w:rsidRPr="000F6DEF" w:rsidRDefault="00B85C33" w:rsidP="000376C7">
            <w:pPr>
              <w:rPr>
                <w:rFonts w:cs="Calibri"/>
                <w:sz w:val="16"/>
                <w:szCs w:val="16"/>
              </w:rPr>
            </w:pPr>
            <w:r w:rsidRPr="000F6DEF">
              <w:rPr>
                <w:rFonts w:cs="Calibri"/>
                <w:sz w:val="16"/>
                <w:szCs w:val="16"/>
              </w:rPr>
              <w:t>Fallin</w:t>
            </w:r>
            <w:r w:rsidRPr="000F6DEF">
              <w:rPr>
                <w:rFonts w:cs="Calibri"/>
                <w:sz w:val="16"/>
                <w:szCs w:val="16"/>
              </w:rPr>
              <w:noBreakHyphen/>
              <w:t>Bennett, Lisha, Ling</w:t>
            </w:r>
          </w:p>
        </w:tc>
        <w:tc>
          <w:tcPr>
            <w:tcW w:w="3238" w:type="dxa"/>
          </w:tcPr>
          <w:p w14:paraId="38D66E62"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OTP (other tobacco products) use among young adult LGB bar patrons and the relationship among past quit attempts, intention to quit, and binge drinking with OTP use was examined. </w:t>
            </w:r>
          </w:p>
        </w:tc>
        <w:tc>
          <w:tcPr>
            <w:tcW w:w="5730" w:type="dxa"/>
          </w:tcPr>
          <w:p w14:paraId="15556C09"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Females LGB (n572) 20.9% </w:t>
            </w:r>
            <w:r>
              <w:rPr>
                <w:rFonts w:cs="Calibri"/>
                <w:sz w:val="16"/>
                <w:szCs w:val="16"/>
              </w:rPr>
              <w:t>e</w:t>
            </w:r>
            <w:r>
              <w:rPr>
                <w:rFonts w:cs="Calibri"/>
                <w:sz w:val="16"/>
                <w:szCs w:val="16"/>
              </w:rPr>
              <w:noBreakHyphen/>
              <w:t>cig</w:t>
            </w:r>
            <w:r w:rsidRPr="000F6DEF">
              <w:rPr>
                <w:rFonts w:cs="Calibri"/>
                <w:sz w:val="16"/>
                <w:szCs w:val="16"/>
              </w:rPr>
              <w:t>arette use; straight 11.6%</w:t>
            </w:r>
            <w:r w:rsidRPr="000F6DEF">
              <w:rPr>
                <w:rFonts w:cs="Calibri"/>
                <w:sz w:val="16"/>
                <w:szCs w:val="16"/>
              </w:rPr>
              <w:br/>
              <w:t>Males LGB (n486) 28.5%; straight 21.2%</w:t>
            </w:r>
            <w:r w:rsidRPr="000F6DEF">
              <w:rPr>
                <w:rFonts w:cs="Calibri"/>
                <w:sz w:val="16"/>
                <w:szCs w:val="16"/>
              </w:rPr>
              <w:br/>
              <w:t xml:space="preserve">Model results: Females sig predictors of </w:t>
            </w:r>
            <w:r>
              <w:rPr>
                <w:rFonts w:cs="Calibri"/>
                <w:sz w:val="16"/>
                <w:szCs w:val="16"/>
              </w:rPr>
              <w:t>e</w:t>
            </w:r>
            <w:r>
              <w:rPr>
                <w:rFonts w:cs="Calibri"/>
                <w:sz w:val="16"/>
                <w:szCs w:val="16"/>
              </w:rPr>
              <w:noBreakHyphen/>
              <w:t>cig</w:t>
            </w:r>
            <w:r w:rsidRPr="000F6DEF">
              <w:rPr>
                <w:rFonts w:cs="Calibri"/>
                <w:sz w:val="16"/>
                <w:szCs w:val="16"/>
              </w:rPr>
              <w:t xml:space="preserve">arette use; sexual orientation (LGB), not being college graduate. Males sig predictors of </w:t>
            </w:r>
            <w:r>
              <w:rPr>
                <w:rFonts w:cs="Calibri"/>
                <w:sz w:val="16"/>
                <w:szCs w:val="16"/>
              </w:rPr>
              <w:t>e</w:t>
            </w:r>
            <w:r>
              <w:rPr>
                <w:rFonts w:cs="Calibri"/>
                <w:sz w:val="16"/>
                <w:szCs w:val="16"/>
              </w:rPr>
              <w:noBreakHyphen/>
              <w:t>cig</w:t>
            </w:r>
            <w:r w:rsidRPr="000F6DEF">
              <w:rPr>
                <w:rFonts w:cs="Calibri"/>
                <w:sz w:val="16"/>
                <w:szCs w:val="16"/>
              </w:rPr>
              <w:t>arette use; sexual orientation, being younger, not being in college or having graduated college.</w:t>
            </w:r>
          </w:p>
        </w:tc>
        <w:tc>
          <w:tcPr>
            <w:tcW w:w="4652" w:type="dxa"/>
          </w:tcPr>
          <w:p w14:paraId="091E6539"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LGB bar</w:t>
            </w:r>
            <w:r w:rsidRPr="000F6DEF">
              <w:rPr>
                <w:rFonts w:cs="Calibri"/>
                <w:sz w:val="16"/>
                <w:szCs w:val="16"/>
              </w:rPr>
              <w:noBreakHyphen/>
              <w:t>going young adults are at higher risk for OTP use than their heterosexual counterparts. Bar</w:t>
            </w:r>
            <w:r w:rsidRPr="000F6DEF">
              <w:rPr>
                <w:rFonts w:cs="Calibri"/>
                <w:sz w:val="16"/>
                <w:szCs w:val="16"/>
              </w:rPr>
              <w:noBreakHyphen/>
              <w:t>based interventions are needed to address all forms of tobacco use in this high</w:t>
            </w:r>
            <w:r w:rsidRPr="000F6DEF">
              <w:rPr>
                <w:rFonts w:cs="Calibri"/>
                <w:sz w:val="16"/>
                <w:szCs w:val="16"/>
              </w:rPr>
              <w:noBreakHyphen/>
              <w:t>risk group.</w:t>
            </w:r>
          </w:p>
        </w:tc>
      </w:tr>
      <w:tr w:rsidR="00B85C33" w:rsidRPr="000F6DEF" w14:paraId="6037DDDE" w14:textId="77777777" w:rsidTr="000376C7">
        <w:trPr>
          <w:trHeight w:val="94"/>
        </w:trPr>
        <w:tc>
          <w:tcPr>
            <w:cnfStyle w:val="001000000000" w:firstRow="0" w:lastRow="0" w:firstColumn="1" w:lastColumn="0" w:oddVBand="0" w:evenVBand="0" w:oddHBand="0" w:evenHBand="0" w:firstRowFirstColumn="0" w:firstRowLastColumn="0" w:lastRowFirstColumn="0" w:lastRowLastColumn="0"/>
            <w:tcW w:w="1435" w:type="dxa"/>
          </w:tcPr>
          <w:p w14:paraId="0C56DC4B" w14:textId="77777777" w:rsidR="00B85C33" w:rsidRPr="000F6DEF" w:rsidRDefault="00B85C33" w:rsidP="000376C7">
            <w:pPr>
              <w:rPr>
                <w:rFonts w:cs="Calibri"/>
                <w:sz w:val="16"/>
                <w:szCs w:val="16"/>
              </w:rPr>
            </w:pPr>
            <w:r w:rsidRPr="000F6DEF">
              <w:rPr>
                <w:rFonts w:cs="Calibri"/>
                <w:sz w:val="16"/>
                <w:szCs w:val="16"/>
              </w:rPr>
              <w:t>Ganz, Johnson, Cohn et al</w:t>
            </w:r>
          </w:p>
        </w:tc>
        <w:tc>
          <w:tcPr>
            <w:tcW w:w="3238" w:type="dxa"/>
          </w:tcPr>
          <w:p w14:paraId="7B4DEC74"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The purpose of this study was to examine differences between SGM SGM (sexual and gender minorities) and non</w:t>
            </w:r>
            <w:r w:rsidRPr="000F6DEF">
              <w:rPr>
                <w:rFonts w:cs="Calibri"/>
                <w:sz w:val="16"/>
                <w:szCs w:val="16"/>
              </w:rPr>
              <w:noBreakHyphen/>
              <w:t>SGM young adults in harm perceptions of various tobacco products and tobacco use behaviour and whether low tobacco</w:t>
            </w:r>
            <w:r w:rsidRPr="000F6DEF">
              <w:rPr>
                <w:rFonts w:cs="Calibri"/>
                <w:sz w:val="16"/>
                <w:szCs w:val="16"/>
              </w:rPr>
              <w:noBreakHyphen/>
              <w:t xml:space="preserve">related harm perceptions moderate the relationship between identifying as a SGM and tobacco use behaviour. </w:t>
            </w:r>
          </w:p>
        </w:tc>
        <w:tc>
          <w:tcPr>
            <w:tcW w:w="5730" w:type="dxa"/>
          </w:tcPr>
          <w:p w14:paraId="77751BB8"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Chi</w:t>
            </w:r>
            <w:r w:rsidRPr="000F6DEF">
              <w:rPr>
                <w:rFonts w:cs="Calibri"/>
                <w:sz w:val="16"/>
                <w:szCs w:val="16"/>
              </w:rPr>
              <w:noBreakHyphen/>
              <w:t xml:space="preserve">square tests demonstrate that a greater proportion of SGM respondents perceived </w:t>
            </w:r>
            <w:r>
              <w:rPr>
                <w:rFonts w:cs="Calibri"/>
                <w:sz w:val="16"/>
                <w:szCs w:val="16"/>
              </w:rPr>
              <w:t>e</w:t>
            </w:r>
            <w:r>
              <w:rPr>
                <w:rFonts w:cs="Calibri"/>
                <w:sz w:val="16"/>
                <w:szCs w:val="16"/>
              </w:rPr>
              <w:noBreakHyphen/>
              <w:t>cig</w:t>
            </w:r>
            <w:r w:rsidRPr="000F6DEF">
              <w:rPr>
                <w:rFonts w:cs="Calibri"/>
                <w:sz w:val="16"/>
                <w:szCs w:val="16"/>
              </w:rPr>
              <w:t>arettes to be less harmful than cigarettes compared to non</w:t>
            </w:r>
            <w:r w:rsidRPr="000F6DEF">
              <w:rPr>
                <w:rFonts w:cs="Calibri"/>
                <w:sz w:val="16"/>
                <w:szCs w:val="16"/>
              </w:rPr>
              <w:noBreakHyphen/>
              <w:t>SGM respondents (44.6% vs. 37.3%; p&lt;0.05).</w:t>
            </w:r>
            <w:r w:rsidRPr="000F6DEF">
              <w:rPr>
                <w:rFonts w:cs="Calibri"/>
                <w:sz w:val="16"/>
                <w:szCs w:val="16"/>
              </w:rPr>
              <w:br/>
              <w:t>There was no interaction between SGM status and harm perceptions on past 30</w:t>
            </w:r>
            <w:r w:rsidRPr="000F6DEF">
              <w:rPr>
                <w:rFonts w:cs="Calibri"/>
                <w:sz w:val="16"/>
                <w:szCs w:val="16"/>
              </w:rPr>
              <w:noBreakHyphen/>
              <w:t>day tobacco use</w:t>
            </w:r>
          </w:p>
        </w:tc>
        <w:tc>
          <w:tcPr>
            <w:tcW w:w="4652" w:type="dxa"/>
          </w:tcPr>
          <w:p w14:paraId="62B54C2A"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Findings confirm that SGM young adults continue to disproportionately use tobacco products, compared to non</w:t>
            </w:r>
            <w:r w:rsidRPr="000F6DEF">
              <w:rPr>
                <w:rFonts w:cs="Calibri"/>
                <w:sz w:val="16"/>
                <w:szCs w:val="16"/>
              </w:rPr>
              <w:noBreakHyphen/>
              <w:t xml:space="preserve">SGM young adults. </w:t>
            </w:r>
          </w:p>
        </w:tc>
      </w:tr>
      <w:tr w:rsidR="00B85C33" w:rsidRPr="000F6DEF" w14:paraId="142A713A" w14:textId="77777777" w:rsidTr="000376C7">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1435" w:type="dxa"/>
          </w:tcPr>
          <w:p w14:paraId="5A477C17" w14:textId="77777777" w:rsidR="00B85C33" w:rsidRPr="000F6DEF" w:rsidRDefault="00B85C33" w:rsidP="000376C7">
            <w:pPr>
              <w:rPr>
                <w:rFonts w:cs="Calibri"/>
                <w:sz w:val="16"/>
                <w:szCs w:val="16"/>
              </w:rPr>
            </w:pPr>
            <w:r w:rsidRPr="000F6DEF">
              <w:rPr>
                <w:rFonts w:cs="Calibri"/>
                <w:sz w:val="16"/>
                <w:szCs w:val="16"/>
              </w:rPr>
              <w:t>Gerend, Newcomb, Mustanski</w:t>
            </w:r>
          </w:p>
        </w:tc>
        <w:tc>
          <w:tcPr>
            <w:tcW w:w="3238" w:type="dxa"/>
          </w:tcPr>
          <w:p w14:paraId="03707485"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The goal of this study was not to compare gay, bisexual, and transgender individuals to their heterosexual/cis</w:t>
            </w:r>
            <w:r w:rsidRPr="000F6DEF">
              <w:rPr>
                <w:rFonts w:cs="Calibri"/>
                <w:sz w:val="16"/>
                <w:szCs w:val="16"/>
              </w:rPr>
              <w:noBreakHyphen/>
              <w:t>gender peers, but rather to identify correlates of tobacco use within a large cohort of racially diverse MSM reporting different sexual (e.g., gay, bisexual) and gender identities (e.g., cisgender man, transgender woman).</w:t>
            </w:r>
          </w:p>
        </w:tc>
        <w:tc>
          <w:tcPr>
            <w:tcW w:w="5730" w:type="dxa"/>
          </w:tcPr>
          <w:p w14:paraId="0C32D6F4" w14:textId="7B051A8A"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40% ever use </w:t>
            </w:r>
            <w:r>
              <w:rPr>
                <w:rFonts w:cs="Calibri"/>
                <w:sz w:val="16"/>
                <w:szCs w:val="16"/>
              </w:rPr>
              <w:t>e</w:t>
            </w:r>
            <w:r>
              <w:rPr>
                <w:rFonts w:cs="Calibri"/>
                <w:sz w:val="16"/>
                <w:szCs w:val="16"/>
              </w:rPr>
              <w:noBreakHyphen/>
              <w:t>cig</w:t>
            </w:r>
            <w:r w:rsidR="00571385">
              <w:rPr>
                <w:rFonts w:cs="Calibri"/>
                <w:sz w:val="16"/>
                <w:szCs w:val="16"/>
              </w:rPr>
              <w:t>arette</w:t>
            </w:r>
            <w:r w:rsidRPr="000F6DEF">
              <w:rPr>
                <w:rFonts w:cs="Calibri"/>
                <w:sz w:val="16"/>
                <w:szCs w:val="16"/>
              </w:rPr>
              <w:br/>
              <w:t xml:space="preserve">Black/African American participants were 78% less likely to be </w:t>
            </w:r>
            <w:r>
              <w:rPr>
                <w:rFonts w:cs="Calibri"/>
                <w:sz w:val="16"/>
                <w:szCs w:val="16"/>
              </w:rPr>
              <w:t>e</w:t>
            </w:r>
            <w:r>
              <w:rPr>
                <w:rFonts w:cs="Calibri"/>
                <w:sz w:val="16"/>
                <w:szCs w:val="16"/>
              </w:rPr>
              <w:noBreakHyphen/>
              <w:t>cig</w:t>
            </w:r>
            <w:r w:rsidRPr="000F6DEF">
              <w:rPr>
                <w:rFonts w:cs="Calibri"/>
                <w:sz w:val="16"/>
                <w:szCs w:val="16"/>
              </w:rPr>
              <w:t>arette users relative to White participants.</w:t>
            </w:r>
            <w:r w:rsidRPr="000F6DEF">
              <w:rPr>
                <w:rFonts w:cs="Calibri"/>
                <w:sz w:val="16"/>
                <w:szCs w:val="16"/>
              </w:rPr>
              <w:br/>
              <w:t>Participants who completed some graduate school or had a graduate</w:t>
            </w:r>
            <w:r w:rsidRPr="000F6DEF">
              <w:rPr>
                <w:rFonts w:cs="Calibri"/>
                <w:sz w:val="16"/>
                <w:szCs w:val="16"/>
              </w:rPr>
              <w:br/>
              <w:t xml:space="preserve">degree were over eight times more likely to be </w:t>
            </w:r>
            <w:r>
              <w:rPr>
                <w:rFonts w:cs="Calibri"/>
                <w:sz w:val="16"/>
                <w:szCs w:val="16"/>
              </w:rPr>
              <w:t>e</w:t>
            </w:r>
            <w:r>
              <w:rPr>
                <w:rFonts w:cs="Calibri"/>
                <w:sz w:val="16"/>
                <w:szCs w:val="16"/>
              </w:rPr>
              <w:noBreakHyphen/>
              <w:t>cig</w:t>
            </w:r>
            <w:r w:rsidRPr="000F6DEF">
              <w:rPr>
                <w:rFonts w:cs="Calibri"/>
                <w:sz w:val="16"/>
                <w:szCs w:val="16"/>
              </w:rPr>
              <w:t xml:space="preserve">arette users relative to those with less than a high school education. Transgender women were 4.5 times more likely to be </w:t>
            </w:r>
            <w:r>
              <w:rPr>
                <w:rFonts w:cs="Calibri"/>
                <w:sz w:val="16"/>
                <w:szCs w:val="16"/>
              </w:rPr>
              <w:t>e</w:t>
            </w:r>
            <w:r>
              <w:rPr>
                <w:rFonts w:cs="Calibri"/>
                <w:sz w:val="16"/>
                <w:szCs w:val="16"/>
              </w:rPr>
              <w:noBreakHyphen/>
              <w:t>cig</w:t>
            </w:r>
            <w:r w:rsidRPr="000F6DEF">
              <w:rPr>
                <w:rFonts w:cs="Calibri"/>
                <w:sz w:val="16"/>
                <w:szCs w:val="16"/>
              </w:rPr>
              <w:t>arette users than cisgender men.</w:t>
            </w:r>
            <w:r w:rsidRPr="000F6DEF">
              <w:rPr>
                <w:rFonts w:cs="Calibri"/>
                <w:sz w:val="16"/>
                <w:szCs w:val="16"/>
              </w:rPr>
              <w:br/>
              <w:t>Finally, relative to participants who were attracted to only males, those</w:t>
            </w:r>
            <w:r w:rsidRPr="000F6DEF">
              <w:rPr>
                <w:rFonts w:cs="Calibri"/>
                <w:sz w:val="16"/>
                <w:szCs w:val="16"/>
              </w:rPr>
              <w:br/>
              <w:t xml:space="preserve">who were attracted to mostly females but some males were over five times more likely to use </w:t>
            </w:r>
            <w:r>
              <w:rPr>
                <w:rFonts w:cs="Calibri"/>
                <w:sz w:val="16"/>
                <w:szCs w:val="16"/>
              </w:rPr>
              <w:t>e</w:t>
            </w:r>
            <w:r>
              <w:rPr>
                <w:rFonts w:cs="Calibri"/>
                <w:sz w:val="16"/>
                <w:szCs w:val="16"/>
              </w:rPr>
              <w:noBreakHyphen/>
              <w:t>cig</w:t>
            </w:r>
            <w:r w:rsidRPr="000F6DEF">
              <w:rPr>
                <w:rFonts w:cs="Calibri"/>
                <w:sz w:val="16"/>
                <w:szCs w:val="16"/>
              </w:rPr>
              <w:t>arettes.</w:t>
            </w:r>
          </w:p>
        </w:tc>
        <w:tc>
          <w:tcPr>
            <w:tcW w:w="4652" w:type="dxa"/>
          </w:tcPr>
          <w:p w14:paraId="156D10CE"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The present study advances the literature by providing a nuanced understanding of risk factors for tobacco use within a large, diverse cohort of YMSM and transgender women.</w:t>
            </w:r>
          </w:p>
        </w:tc>
      </w:tr>
      <w:tr w:rsidR="00B85C33" w:rsidRPr="000F6DEF" w14:paraId="12A9BB74" w14:textId="77777777" w:rsidTr="000376C7">
        <w:trPr>
          <w:trHeight w:val="94"/>
        </w:trPr>
        <w:tc>
          <w:tcPr>
            <w:cnfStyle w:val="001000000000" w:firstRow="0" w:lastRow="0" w:firstColumn="1" w:lastColumn="0" w:oddVBand="0" w:evenVBand="0" w:oddHBand="0" w:evenHBand="0" w:firstRowFirstColumn="0" w:firstRowLastColumn="0" w:lastRowFirstColumn="0" w:lastRowLastColumn="0"/>
            <w:tcW w:w="1435" w:type="dxa"/>
          </w:tcPr>
          <w:p w14:paraId="3B466F00" w14:textId="77777777" w:rsidR="00B85C33" w:rsidRPr="000F6DEF" w:rsidRDefault="00B85C33" w:rsidP="000376C7">
            <w:pPr>
              <w:rPr>
                <w:rFonts w:cs="Calibri"/>
                <w:sz w:val="16"/>
                <w:szCs w:val="16"/>
              </w:rPr>
            </w:pPr>
            <w:r w:rsidRPr="000F6DEF">
              <w:rPr>
                <w:rFonts w:cs="Calibri"/>
                <w:sz w:val="16"/>
                <w:szCs w:val="16"/>
              </w:rPr>
              <w:lastRenderedPageBreak/>
              <w:t>Giachello, Thanh</w:t>
            </w:r>
            <w:r w:rsidRPr="000F6DEF">
              <w:rPr>
                <w:rFonts w:cs="Calibri"/>
                <w:sz w:val="16"/>
                <w:szCs w:val="16"/>
              </w:rPr>
              <w:noBreakHyphen/>
              <w:t>Huyen, Payne et al</w:t>
            </w:r>
          </w:p>
        </w:tc>
        <w:tc>
          <w:tcPr>
            <w:tcW w:w="3238" w:type="dxa"/>
          </w:tcPr>
          <w:p w14:paraId="181D1DEE"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Cigarette smoking has been reported to be high among Lesbian, Gay, Bisexual, Transgendered and Queer (LGBTQ) populations. However, in</w:t>
            </w:r>
            <w:r w:rsidRPr="000F6DEF">
              <w:rPr>
                <w:rFonts w:cs="Calibri"/>
                <w:sz w:val="16"/>
                <w:szCs w:val="16"/>
              </w:rPr>
              <w:noBreakHyphen/>
              <w:t>depth information on perception, knowledge, attitudes and behaviors, is limited.</w:t>
            </w:r>
          </w:p>
        </w:tc>
        <w:tc>
          <w:tcPr>
            <w:tcW w:w="5730" w:type="dxa"/>
          </w:tcPr>
          <w:p w14:paraId="3011FF84" w14:textId="3ACC775D"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17% reported frequent or occasion use of </w:t>
            </w:r>
            <w:r>
              <w:rPr>
                <w:rFonts w:cs="Calibri"/>
                <w:sz w:val="16"/>
                <w:szCs w:val="16"/>
              </w:rPr>
              <w:t>e</w:t>
            </w:r>
            <w:r>
              <w:rPr>
                <w:rFonts w:cs="Calibri"/>
                <w:sz w:val="16"/>
                <w:szCs w:val="16"/>
              </w:rPr>
              <w:noBreakHyphen/>
              <w:t>cig</w:t>
            </w:r>
            <w:r w:rsidR="00571385">
              <w:rPr>
                <w:rFonts w:cs="Calibri"/>
                <w:sz w:val="16"/>
                <w:szCs w:val="16"/>
              </w:rPr>
              <w:t>arettes</w:t>
            </w:r>
            <w:r w:rsidRPr="000F6DEF">
              <w:rPr>
                <w:rFonts w:cs="Calibri"/>
                <w:sz w:val="16"/>
                <w:szCs w:val="16"/>
              </w:rPr>
              <w:t>, e</w:t>
            </w:r>
            <w:r w:rsidRPr="000F6DEF">
              <w:rPr>
                <w:rFonts w:cs="Calibri"/>
                <w:sz w:val="16"/>
                <w:szCs w:val="16"/>
              </w:rPr>
              <w:noBreakHyphen/>
              <w:t>hookah or other types of vaping.</w:t>
            </w:r>
          </w:p>
        </w:tc>
        <w:tc>
          <w:tcPr>
            <w:tcW w:w="4652" w:type="dxa"/>
          </w:tcPr>
          <w:p w14:paraId="3D842C71"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Cigarette smoking was high among the LGBTQ individuals in our sample and they seems unlikely to quit. Social stressors appear to be a strong contributing factor. Educational efforts and culturally appropriate messages to this population, are critical.</w:t>
            </w:r>
          </w:p>
        </w:tc>
      </w:tr>
      <w:tr w:rsidR="00B85C33" w:rsidRPr="000F6DEF" w14:paraId="65C1BDDF" w14:textId="77777777" w:rsidTr="000376C7">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1435" w:type="dxa"/>
          </w:tcPr>
          <w:p w14:paraId="148900CC" w14:textId="77777777" w:rsidR="00B85C33" w:rsidRPr="000F6DEF" w:rsidRDefault="00B85C33" w:rsidP="000376C7">
            <w:pPr>
              <w:rPr>
                <w:rFonts w:cs="Calibri"/>
                <w:sz w:val="16"/>
                <w:szCs w:val="16"/>
              </w:rPr>
            </w:pPr>
            <w:r w:rsidRPr="000F6DEF">
              <w:rPr>
                <w:rFonts w:cs="Calibri"/>
                <w:sz w:val="16"/>
                <w:szCs w:val="16"/>
              </w:rPr>
              <w:t>Goldbach, Mereish, Burgess</w:t>
            </w:r>
          </w:p>
        </w:tc>
        <w:tc>
          <w:tcPr>
            <w:tcW w:w="3238" w:type="dxa"/>
          </w:tcPr>
          <w:p w14:paraId="66F059AA"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This paper investigates the use of risky substances among adolescents, and examines disparities between sexual minority (i.e., mostly heterosexual and lesbian, gay, bisexual; LGB) and heterosexual adolescents in use of novel and emerging substances. </w:t>
            </w:r>
          </w:p>
        </w:tc>
        <w:tc>
          <w:tcPr>
            <w:tcW w:w="5730" w:type="dxa"/>
          </w:tcPr>
          <w:p w14:paraId="2DACBA82"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Odds of substance use was higher for mostly heterosexual adolescents than for heterosexual adolescents on lifetime cigarette use (AOR=1.35 [1.0, 1.83], p=0.05), and past 30 day use for </w:t>
            </w:r>
            <w:r>
              <w:rPr>
                <w:rFonts w:cs="Calibri"/>
                <w:sz w:val="16"/>
                <w:szCs w:val="16"/>
              </w:rPr>
              <w:t>e</w:t>
            </w:r>
            <w:r>
              <w:rPr>
                <w:rFonts w:cs="Calibri"/>
                <w:sz w:val="16"/>
                <w:szCs w:val="16"/>
              </w:rPr>
              <w:noBreakHyphen/>
              <w:t>cig</w:t>
            </w:r>
            <w:r w:rsidRPr="000F6DEF">
              <w:rPr>
                <w:rFonts w:cs="Calibri"/>
                <w:sz w:val="16"/>
                <w:szCs w:val="16"/>
              </w:rPr>
              <w:t xml:space="preserve">arettes (AOR=1.52 [1.01, 2.29] and prescription drugs (2.10 [1.21, 3.66]). Odds of substance use were higher for LGB adolescents than for heterosexual adolescents over their lifetime and the past 30 days, respectively, on: cigarettes (AORs=2.90 [1.96, 4.31]; 2.77 [1.54, 5.0]); smokeless tobacco (AOR=1.88 [1.23, 3.14], lifetime only); </w:t>
            </w:r>
            <w:r>
              <w:rPr>
                <w:rFonts w:cs="Calibri"/>
                <w:sz w:val="16"/>
                <w:szCs w:val="16"/>
              </w:rPr>
              <w:t>e</w:t>
            </w:r>
            <w:r>
              <w:rPr>
                <w:rFonts w:cs="Calibri"/>
                <w:sz w:val="16"/>
                <w:szCs w:val="16"/>
              </w:rPr>
              <w:noBreakHyphen/>
              <w:t>cig</w:t>
            </w:r>
            <w:r w:rsidRPr="000F6DEF">
              <w:rPr>
                <w:rFonts w:cs="Calibri"/>
                <w:sz w:val="16"/>
                <w:szCs w:val="16"/>
              </w:rPr>
              <w:t>arettes (AOR=1.92 [1.27, 2.89], lifetime only); alcohol (AORs=2.20 [1.54, 3.14]; 1.70 [1.06, 2.71] ); marijuana (AORs=3.06 [2.10,</w:t>
            </w:r>
            <w:r w:rsidRPr="000F6DEF">
              <w:rPr>
                <w:rFonts w:cs="Calibri"/>
                <w:sz w:val="16"/>
                <w:szCs w:val="16"/>
              </w:rPr>
              <w:br/>
              <w:t>4.46]; 3.02 [1.96, 4.63]); synthetic marijuana (AORs=2.48 [1.16, 5.31]; 3.77 [1.55, 9.15]), and prescription drugs (AORs =2.55 [1.59, 4.10]; 3.82 [1.98, 7.37]).</w:t>
            </w:r>
            <w:r w:rsidRPr="000F6DEF">
              <w:rPr>
                <w:rFonts w:cs="Calibri"/>
                <w:sz w:val="16"/>
                <w:szCs w:val="16"/>
              </w:rPr>
              <w:br/>
              <w:t>There were no differences between LGB and heterosexual adolescents on lifetime or past 30</w:t>
            </w:r>
            <w:r w:rsidRPr="000F6DEF">
              <w:rPr>
                <w:rFonts w:cs="Calibri"/>
                <w:sz w:val="16"/>
                <w:szCs w:val="16"/>
              </w:rPr>
              <w:noBreakHyphen/>
              <w:t xml:space="preserve">day use of smokeless tobacco and </w:t>
            </w:r>
            <w:r>
              <w:rPr>
                <w:rFonts w:cs="Calibri"/>
                <w:sz w:val="16"/>
                <w:szCs w:val="16"/>
              </w:rPr>
              <w:t>e</w:t>
            </w:r>
            <w:r>
              <w:rPr>
                <w:rFonts w:cs="Calibri"/>
                <w:sz w:val="16"/>
                <w:szCs w:val="16"/>
              </w:rPr>
              <w:noBreakHyphen/>
              <w:t>cig</w:t>
            </w:r>
            <w:r w:rsidRPr="000F6DEF">
              <w:rPr>
                <w:rFonts w:cs="Calibri"/>
                <w:sz w:val="16"/>
                <w:szCs w:val="16"/>
              </w:rPr>
              <w:t>arette use.</w:t>
            </w:r>
          </w:p>
        </w:tc>
        <w:tc>
          <w:tcPr>
            <w:tcW w:w="4652" w:type="dxa"/>
          </w:tcPr>
          <w:p w14:paraId="567BC858"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Our results are notable given the dearth of data documenting use of increasingly emerging or "trendy" substances such as prescription drugs. </w:t>
            </w:r>
          </w:p>
        </w:tc>
      </w:tr>
      <w:tr w:rsidR="00B85C33" w:rsidRPr="000F6DEF" w14:paraId="4243A994" w14:textId="77777777" w:rsidTr="000376C7">
        <w:trPr>
          <w:trHeight w:val="94"/>
        </w:trPr>
        <w:tc>
          <w:tcPr>
            <w:cnfStyle w:val="001000000000" w:firstRow="0" w:lastRow="0" w:firstColumn="1" w:lastColumn="0" w:oddVBand="0" w:evenVBand="0" w:oddHBand="0" w:evenHBand="0" w:firstRowFirstColumn="0" w:firstRowLastColumn="0" w:lastRowFirstColumn="0" w:lastRowLastColumn="0"/>
            <w:tcW w:w="1435" w:type="dxa"/>
          </w:tcPr>
          <w:p w14:paraId="549DEF0C" w14:textId="77777777" w:rsidR="00B85C33" w:rsidRPr="000F6DEF" w:rsidRDefault="00B85C33" w:rsidP="000376C7">
            <w:pPr>
              <w:rPr>
                <w:rFonts w:cs="Calibri"/>
                <w:sz w:val="16"/>
                <w:szCs w:val="16"/>
              </w:rPr>
            </w:pPr>
            <w:r w:rsidRPr="000F6DEF">
              <w:rPr>
                <w:rFonts w:cs="Calibri"/>
                <w:sz w:val="16"/>
                <w:szCs w:val="16"/>
              </w:rPr>
              <w:t>Hinds, Loukas, Perry</w:t>
            </w:r>
          </w:p>
        </w:tc>
        <w:tc>
          <w:tcPr>
            <w:tcW w:w="3238" w:type="dxa"/>
          </w:tcPr>
          <w:p w14:paraId="49E893CC"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This study examined differences in the odds of current use and age of initiation of five tobacco/nicotine products among three groups of SGM young adults who self</w:t>
            </w:r>
            <w:r w:rsidRPr="000F6DEF">
              <w:rPr>
                <w:rFonts w:cs="Calibri"/>
                <w:sz w:val="16"/>
                <w:szCs w:val="16"/>
              </w:rPr>
              <w:noBreakHyphen/>
              <w:t xml:space="preserve">identified as (1) gay or lesbian, (2) bisexual, and (3) queer, transgender, or "other," compared to their heterosexual peers. </w:t>
            </w:r>
          </w:p>
        </w:tc>
        <w:tc>
          <w:tcPr>
            <w:tcW w:w="5730" w:type="dxa"/>
          </w:tcPr>
          <w:p w14:paraId="7A7ADD49"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Pr>
                <w:rFonts w:cs="Calibri"/>
                <w:sz w:val="16"/>
                <w:szCs w:val="16"/>
              </w:rPr>
              <w:t>E</w:t>
            </w:r>
            <w:r>
              <w:rPr>
                <w:rFonts w:cs="Calibri"/>
                <w:sz w:val="16"/>
                <w:szCs w:val="16"/>
              </w:rPr>
              <w:noBreakHyphen/>
              <w:t>cig</w:t>
            </w:r>
            <w:r w:rsidRPr="000F6DEF">
              <w:rPr>
                <w:rFonts w:cs="Calibri"/>
                <w:sz w:val="16"/>
                <w:szCs w:val="16"/>
              </w:rPr>
              <w:t>arette use 10.3% for Queer or Trans up to 21.7% for Bisexual. Bisexual and Gay/lesbian higher prevalence</w:t>
            </w:r>
          </w:p>
        </w:tc>
        <w:tc>
          <w:tcPr>
            <w:tcW w:w="4652" w:type="dxa"/>
          </w:tcPr>
          <w:p w14:paraId="5688341A"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Findings highlight some significant tobacco use disparities among SGM young adults compared to their heterosexual peers.</w:t>
            </w:r>
          </w:p>
        </w:tc>
      </w:tr>
      <w:tr w:rsidR="00B85C33" w:rsidRPr="000F6DEF" w14:paraId="280FAFBB" w14:textId="77777777" w:rsidTr="000376C7">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1435" w:type="dxa"/>
          </w:tcPr>
          <w:p w14:paraId="38CD6E54" w14:textId="77777777" w:rsidR="00B85C33" w:rsidRPr="000F6DEF" w:rsidRDefault="00B85C33" w:rsidP="000376C7">
            <w:pPr>
              <w:rPr>
                <w:rFonts w:cs="Calibri"/>
                <w:sz w:val="16"/>
                <w:szCs w:val="16"/>
              </w:rPr>
            </w:pPr>
            <w:r w:rsidRPr="000F6DEF">
              <w:rPr>
                <w:rFonts w:cs="Calibri"/>
                <w:sz w:val="16"/>
                <w:szCs w:val="16"/>
              </w:rPr>
              <w:t>Jannat</w:t>
            </w:r>
            <w:r w:rsidRPr="000F6DEF">
              <w:rPr>
                <w:rFonts w:cs="Calibri"/>
                <w:sz w:val="16"/>
                <w:szCs w:val="16"/>
              </w:rPr>
              <w:noBreakHyphen/>
              <w:t>Khah, Reynolds, Dill, Joseph</w:t>
            </w:r>
          </w:p>
        </w:tc>
        <w:tc>
          <w:tcPr>
            <w:tcW w:w="3238" w:type="dxa"/>
          </w:tcPr>
          <w:p w14:paraId="3C0E6502"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Within the United States, alternative tobacco product (ATP) and varies by geographic region, gender and age. Few articles have been published on the usage of these products among the lesbian, gay, bisexual, transgender or queer (LGBTQ) population.</w:t>
            </w:r>
          </w:p>
        </w:tc>
        <w:tc>
          <w:tcPr>
            <w:tcW w:w="5730" w:type="dxa"/>
          </w:tcPr>
          <w:p w14:paraId="0F45C510"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Heterosexuals were found to have tried cigarettes, on average, almost a year before the LGBTQ respondents. Social networks were influential to LGBTQ respondents for an introduction to smoking; 48.00% were introduced by friends, 28.00% by family, 12.00% by a significant other and 9.09% by someone else. For heterosexuals, 73.68% reported that friends introduced them to smoking. More heterosexuals reported trying hookah (N=10), snus (N=4) and roll your own cigarettes (N=5). On average respondents knew of eight different tobacco products, regardless of sexual identity</w:t>
            </w:r>
          </w:p>
        </w:tc>
        <w:tc>
          <w:tcPr>
            <w:tcW w:w="4652" w:type="dxa"/>
          </w:tcPr>
          <w:p w14:paraId="02A5A74C"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To our knowledge, we present for the first time a comparison of people who tried, current and former users of ATPs, beliefs and knowledge about ATPs, and sources of knowledge of ATPs by sexual identity from NYC</w:t>
            </w:r>
          </w:p>
        </w:tc>
      </w:tr>
      <w:tr w:rsidR="00B85C33" w:rsidRPr="000F6DEF" w14:paraId="205B5B70" w14:textId="77777777" w:rsidTr="000376C7">
        <w:trPr>
          <w:trHeight w:val="94"/>
        </w:trPr>
        <w:tc>
          <w:tcPr>
            <w:cnfStyle w:val="001000000000" w:firstRow="0" w:lastRow="0" w:firstColumn="1" w:lastColumn="0" w:oddVBand="0" w:evenVBand="0" w:oddHBand="0" w:evenHBand="0" w:firstRowFirstColumn="0" w:firstRowLastColumn="0" w:lastRowFirstColumn="0" w:lastRowLastColumn="0"/>
            <w:tcW w:w="1435" w:type="dxa"/>
          </w:tcPr>
          <w:p w14:paraId="7CD55759" w14:textId="77777777" w:rsidR="00B85C33" w:rsidRPr="000F6DEF" w:rsidRDefault="00B85C33" w:rsidP="000376C7">
            <w:pPr>
              <w:rPr>
                <w:rFonts w:cs="Calibri"/>
                <w:sz w:val="16"/>
                <w:szCs w:val="16"/>
              </w:rPr>
            </w:pPr>
            <w:r w:rsidRPr="000F6DEF">
              <w:rPr>
                <w:rFonts w:cs="Calibri"/>
                <w:sz w:val="16"/>
                <w:szCs w:val="16"/>
              </w:rPr>
              <w:t>Nayak, Salazar, Kota, Pechacek</w:t>
            </w:r>
          </w:p>
        </w:tc>
        <w:tc>
          <w:tcPr>
            <w:tcW w:w="3238" w:type="dxa"/>
          </w:tcPr>
          <w:p w14:paraId="1F84EDF1"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In this study, we compared rates of novel and other alternative tobacco product use, risk perceptions, and worldview between LGB and heterosexual (HET) adults. </w:t>
            </w:r>
          </w:p>
        </w:tc>
        <w:tc>
          <w:tcPr>
            <w:tcW w:w="5730" w:type="dxa"/>
          </w:tcPr>
          <w:p w14:paraId="49A8ECB9"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6% of sample LGB</w:t>
            </w:r>
            <w:r w:rsidRPr="000F6DEF">
              <w:rPr>
                <w:rFonts w:cs="Calibri"/>
                <w:sz w:val="16"/>
                <w:szCs w:val="16"/>
              </w:rPr>
              <w:br/>
              <w:t xml:space="preserve">Ever use </w:t>
            </w:r>
            <w:r>
              <w:rPr>
                <w:rFonts w:cs="Calibri"/>
                <w:sz w:val="16"/>
                <w:szCs w:val="16"/>
              </w:rPr>
              <w:t>e</w:t>
            </w:r>
            <w:r>
              <w:rPr>
                <w:rFonts w:cs="Calibri"/>
                <w:sz w:val="16"/>
                <w:szCs w:val="16"/>
              </w:rPr>
              <w:noBreakHyphen/>
              <w:t>cig</w:t>
            </w:r>
            <w:r w:rsidRPr="000F6DEF">
              <w:rPr>
                <w:rFonts w:cs="Calibri"/>
                <w:sz w:val="16"/>
                <w:szCs w:val="16"/>
              </w:rPr>
              <w:t xml:space="preserve">arette approx. 15% for heterosexual and 26% for LGB. LGB adults were 1.5 times more likely to have ever used </w:t>
            </w:r>
            <w:r>
              <w:rPr>
                <w:rFonts w:cs="Calibri"/>
                <w:sz w:val="16"/>
                <w:szCs w:val="16"/>
              </w:rPr>
              <w:t>e</w:t>
            </w:r>
            <w:r>
              <w:rPr>
                <w:rFonts w:cs="Calibri"/>
                <w:sz w:val="16"/>
                <w:szCs w:val="16"/>
              </w:rPr>
              <w:noBreakHyphen/>
              <w:t>cig</w:t>
            </w:r>
            <w:r w:rsidRPr="000F6DEF">
              <w:rPr>
                <w:rFonts w:cs="Calibri"/>
                <w:sz w:val="16"/>
                <w:szCs w:val="16"/>
              </w:rPr>
              <w:t>arettes</w:t>
            </w:r>
            <w:r w:rsidRPr="000F6DEF">
              <w:rPr>
                <w:rFonts w:cs="Calibri"/>
                <w:sz w:val="16"/>
                <w:szCs w:val="16"/>
              </w:rPr>
              <w:br/>
              <w:t>No difference for 30</w:t>
            </w:r>
            <w:r w:rsidRPr="000F6DEF">
              <w:rPr>
                <w:rFonts w:cs="Calibri"/>
                <w:sz w:val="16"/>
                <w:szCs w:val="16"/>
              </w:rPr>
              <w:noBreakHyphen/>
              <w:t>day use ~32%</w:t>
            </w:r>
            <w:r w:rsidRPr="000F6DEF">
              <w:rPr>
                <w:rFonts w:cs="Calibri"/>
                <w:sz w:val="16"/>
                <w:szCs w:val="16"/>
              </w:rPr>
              <w:br/>
              <w:t xml:space="preserve">A lower percentage of LGB adults, as compared to HET adults (16.7% vs. 19.2%), believed that exposure to vapours from </w:t>
            </w:r>
            <w:r>
              <w:rPr>
                <w:rFonts w:cs="Calibri"/>
                <w:sz w:val="16"/>
                <w:szCs w:val="16"/>
              </w:rPr>
              <w:t>e</w:t>
            </w:r>
            <w:r>
              <w:rPr>
                <w:rFonts w:cs="Calibri"/>
                <w:sz w:val="16"/>
                <w:szCs w:val="16"/>
              </w:rPr>
              <w:noBreakHyphen/>
              <w:t>cig</w:t>
            </w:r>
            <w:r w:rsidRPr="000F6DEF">
              <w:rPr>
                <w:rFonts w:cs="Calibri"/>
                <w:sz w:val="16"/>
                <w:szCs w:val="16"/>
              </w:rPr>
              <w:t>arettes was "harmful" and reported that they "did not know" of any harm (35.1% vs. 39.8%). LGB were 20% less likely than were HET adults to endorse an individualistic worldview.</w:t>
            </w:r>
          </w:p>
        </w:tc>
        <w:tc>
          <w:tcPr>
            <w:tcW w:w="4652" w:type="dxa"/>
          </w:tcPr>
          <w:p w14:paraId="708E5B8E"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These results help to inform LGB</w:t>
            </w:r>
            <w:r w:rsidRPr="000F6DEF">
              <w:rPr>
                <w:rFonts w:cs="Calibri"/>
                <w:sz w:val="16"/>
                <w:szCs w:val="16"/>
              </w:rPr>
              <w:noBreakHyphen/>
              <w:t xml:space="preserve">targeted specific health promotion efforts to reduce potential health risks related to the use of tobacco products, specifically, ever </w:t>
            </w:r>
            <w:r>
              <w:rPr>
                <w:rFonts w:cs="Calibri"/>
                <w:sz w:val="16"/>
                <w:szCs w:val="16"/>
              </w:rPr>
              <w:t>e</w:t>
            </w:r>
            <w:r>
              <w:rPr>
                <w:rFonts w:cs="Calibri"/>
                <w:sz w:val="16"/>
                <w:szCs w:val="16"/>
              </w:rPr>
              <w:noBreakHyphen/>
              <w:t>cig</w:t>
            </w:r>
            <w:r w:rsidRPr="000F6DEF">
              <w:rPr>
                <w:rFonts w:cs="Calibri"/>
                <w:sz w:val="16"/>
                <w:szCs w:val="16"/>
              </w:rPr>
              <w:t>arette use.</w:t>
            </w:r>
          </w:p>
        </w:tc>
      </w:tr>
      <w:tr w:rsidR="00B85C33" w:rsidRPr="000F6DEF" w14:paraId="3C58B195" w14:textId="77777777" w:rsidTr="000376C7">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1435" w:type="dxa"/>
          </w:tcPr>
          <w:p w14:paraId="6BCF8D1C" w14:textId="77777777" w:rsidR="00B85C33" w:rsidRPr="000F6DEF" w:rsidRDefault="00B85C33" w:rsidP="000376C7">
            <w:pPr>
              <w:rPr>
                <w:rFonts w:cs="Calibri"/>
                <w:sz w:val="16"/>
                <w:szCs w:val="16"/>
              </w:rPr>
            </w:pPr>
            <w:r w:rsidRPr="000F6DEF">
              <w:rPr>
                <w:rFonts w:cs="Calibri"/>
                <w:sz w:val="16"/>
                <w:szCs w:val="16"/>
              </w:rPr>
              <w:lastRenderedPageBreak/>
              <w:t>Wheldon, Kaufman et al</w:t>
            </w:r>
          </w:p>
        </w:tc>
        <w:tc>
          <w:tcPr>
            <w:tcW w:w="3238" w:type="dxa"/>
          </w:tcPr>
          <w:p w14:paraId="14655892"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To characterize lifetime tobacco use across two measures of sexual orientation and six types of tobacco products. </w:t>
            </w:r>
          </w:p>
        </w:tc>
        <w:tc>
          <w:tcPr>
            <w:tcW w:w="5730" w:type="dxa"/>
          </w:tcPr>
          <w:p w14:paraId="0F039403"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Younger lesbian/gay and bisexual women had higher relative odds of experimental use of all six tobacco products compared to heterosexual women, whereas lesbian/gay and bisexual women in both age groups had higher odds of regular use of cigarettes, </w:t>
            </w:r>
            <w:r>
              <w:rPr>
                <w:rFonts w:cs="Calibri"/>
                <w:sz w:val="16"/>
                <w:szCs w:val="16"/>
              </w:rPr>
              <w:t>e</w:t>
            </w:r>
            <w:r>
              <w:rPr>
                <w:rFonts w:cs="Calibri"/>
                <w:sz w:val="16"/>
                <w:szCs w:val="16"/>
              </w:rPr>
              <w:noBreakHyphen/>
              <w:t>cig</w:t>
            </w:r>
            <w:r w:rsidRPr="000F6DEF">
              <w:rPr>
                <w:rFonts w:cs="Calibri"/>
                <w:sz w:val="16"/>
                <w:szCs w:val="16"/>
              </w:rPr>
              <w:t xml:space="preserve">arettes, cigars, and hookah than heterosexual women. Younger gay men (but not older gay men) had higher relative odds of experimental and regular use of cigarettes compared to heterosexual men. Older gay men had higher odds of experimental </w:t>
            </w:r>
            <w:r>
              <w:rPr>
                <w:rFonts w:cs="Calibri"/>
                <w:sz w:val="16"/>
                <w:szCs w:val="16"/>
              </w:rPr>
              <w:t>e</w:t>
            </w:r>
            <w:r>
              <w:rPr>
                <w:rFonts w:cs="Calibri"/>
                <w:sz w:val="16"/>
                <w:szCs w:val="16"/>
              </w:rPr>
              <w:noBreakHyphen/>
              <w:t>cig</w:t>
            </w:r>
            <w:r w:rsidRPr="000F6DEF">
              <w:rPr>
                <w:rFonts w:cs="Calibri"/>
                <w:sz w:val="16"/>
                <w:szCs w:val="16"/>
              </w:rPr>
              <w:t xml:space="preserve">arette and hookah use, but lower odds of regular cigar and experimental/regular smokeless tobacco use. Measures of sexual orientation identity and sexual attraction resulted in similar estimates of tobacco use with noted differences in those who identiﬁed as ‘‘something else,’’ as well as among those who indicated asexual attraction. </w:t>
            </w:r>
          </w:p>
        </w:tc>
        <w:tc>
          <w:tcPr>
            <w:tcW w:w="4652" w:type="dxa"/>
          </w:tcPr>
          <w:p w14:paraId="1751E8B2"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There is a complex relationship between sexual orientation and tobacco use</w:t>
            </w:r>
          </w:p>
        </w:tc>
      </w:tr>
    </w:tbl>
    <w:p w14:paraId="31A16E75" w14:textId="77777777" w:rsidR="00B85C33" w:rsidRPr="00CF0A1E" w:rsidRDefault="00B85C33" w:rsidP="00B85C33">
      <w:pPr>
        <w:pStyle w:val="BodyText"/>
      </w:pPr>
    </w:p>
    <w:p w14:paraId="1917435E" w14:textId="77777777" w:rsidR="00B85C33" w:rsidRDefault="00B85C33" w:rsidP="00B85C33">
      <w:pPr>
        <w:spacing w:after="0"/>
        <w:rPr>
          <w:sz w:val="24"/>
        </w:rPr>
      </w:pPr>
      <w:r>
        <w:br w:type="page"/>
      </w:r>
    </w:p>
    <w:p w14:paraId="2C801DDA" w14:textId="77777777" w:rsidR="00B85C33" w:rsidRDefault="004C6D16" w:rsidP="004C6D16">
      <w:pPr>
        <w:pStyle w:val="Caption"/>
      </w:pPr>
      <w:bookmarkStart w:id="343" w:name="_Toc517707451"/>
      <w:r>
        <w:lastRenderedPageBreak/>
        <w:t xml:space="preserve">Table </w:t>
      </w:r>
      <w:r w:rsidR="0048064B">
        <w:rPr>
          <w:noProof/>
        </w:rPr>
        <w:fldChar w:fldCharType="begin"/>
      </w:r>
      <w:r w:rsidR="0048064B">
        <w:rPr>
          <w:noProof/>
        </w:rPr>
        <w:instrText xml:space="preserve"> SEQ Table \* ARABIC </w:instrText>
      </w:r>
      <w:r w:rsidR="0048064B">
        <w:rPr>
          <w:noProof/>
        </w:rPr>
        <w:fldChar w:fldCharType="separate"/>
      </w:r>
      <w:r w:rsidR="000C06DA">
        <w:rPr>
          <w:noProof/>
        </w:rPr>
        <w:t>42</w:t>
      </w:r>
      <w:r w:rsidR="0048064B">
        <w:rPr>
          <w:noProof/>
        </w:rPr>
        <w:fldChar w:fldCharType="end"/>
      </w:r>
      <w:r w:rsidR="00B85C33">
        <w:t xml:space="preserve">: </w:t>
      </w:r>
      <w:r w:rsidR="00B85C33" w:rsidRPr="0081026F">
        <w:t>Characteristics of studies from the UK</w:t>
      </w:r>
      <w:bookmarkEnd w:id="343"/>
    </w:p>
    <w:tbl>
      <w:tblPr>
        <w:tblStyle w:val="TableCSIRO"/>
        <w:tblW w:w="15055" w:type="dxa"/>
        <w:tblLayout w:type="fixed"/>
        <w:tblLook w:val="04A0" w:firstRow="1" w:lastRow="0" w:firstColumn="1" w:lastColumn="0" w:noHBand="0" w:noVBand="1"/>
      </w:tblPr>
      <w:tblGrid>
        <w:gridCol w:w="1239"/>
        <w:gridCol w:w="2476"/>
        <w:gridCol w:w="1701"/>
        <w:gridCol w:w="992"/>
        <w:gridCol w:w="817"/>
        <w:gridCol w:w="2551"/>
        <w:gridCol w:w="1735"/>
        <w:gridCol w:w="1951"/>
        <w:gridCol w:w="1593"/>
      </w:tblGrid>
      <w:tr w:rsidR="00B85C33" w:rsidRPr="000F6DEF" w14:paraId="5AA9D6CE" w14:textId="77777777" w:rsidTr="000376C7">
        <w:trPr>
          <w:cnfStyle w:val="100000000000" w:firstRow="1" w:lastRow="0" w:firstColumn="0" w:lastColumn="0" w:oddVBand="0" w:evenVBand="0" w:oddHBand="0" w:evenHBand="0" w:firstRowFirstColumn="0" w:firstRowLastColumn="0" w:lastRowFirstColumn="0" w:lastRowLastColumn="0"/>
          <w:trHeight w:val="569"/>
          <w:tblHeader/>
        </w:trPr>
        <w:tc>
          <w:tcPr>
            <w:cnfStyle w:val="001000000000" w:firstRow="0" w:lastRow="0" w:firstColumn="1" w:lastColumn="0" w:oddVBand="0" w:evenVBand="0" w:oddHBand="0" w:evenHBand="0" w:firstRowFirstColumn="0" w:firstRowLastColumn="0" w:lastRowFirstColumn="0" w:lastRowLastColumn="0"/>
            <w:tcW w:w="1239" w:type="dxa"/>
            <w:hideMark/>
          </w:tcPr>
          <w:p w14:paraId="4A061095" w14:textId="77777777" w:rsidR="00B85C33" w:rsidRPr="000F6DEF" w:rsidRDefault="00B85C33" w:rsidP="000376C7">
            <w:pPr>
              <w:rPr>
                <w:rFonts w:cstheme="minorHAnsi"/>
                <w:color w:val="auto"/>
                <w:sz w:val="16"/>
                <w:szCs w:val="16"/>
              </w:rPr>
            </w:pPr>
            <w:r w:rsidRPr="000F6DEF">
              <w:rPr>
                <w:rFonts w:cstheme="minorHAnsi"/>
                <w:color w:val="auto"/>
                <w:sz w:val="16"/>
                <w:szCs w:val="16"/>
              </w:rPr>
              <w:t>Study reference</w:t>
            </w:r>
          </w:p>
        </w:tc>
        <w:tc>
          <w:tcPr>
            <w:tcW w:w="2476" w:type="dxa"/>
            <w:hideMark/>
          </w:tcPr>
          <w:p w14:paraId="65B6FC8B" w14:textId="77777777" w:rsidR="00B85C33" w:rsidRPr="000F6DEF" w:rsidRDefault="00B85C33" w:rsidP="000376C7">
            <w:pPr>
              <w:cnfStyle w:val="100000000000" w:firstRow="1" w:lastRow="0" w:firstColumn="0" w:lastColumn="0" w:oddVBand="0" w:evenVBand="0" w:oddHBand="0" w:evenHBand="0" w:firstRowFirstColumn="0" w:firstRowLastColumn="0" w:lastRowFirstColumn="0" w:lastRowLastColumn="0"/>
              <w:rPr>
                <w:rFonts w:cstheme="minorHAnsi"/>
                <w:color w:val="auto"/>
                <w:sz w:val="16"/>
                <w:szCs w:val="16"/>
              </w:rPr>
            </w:pPr>
            <w:r w:rsidRPr="000F6DEF">
              <w:rPr>
                <w:rFonts w:cstheme="minorHAnsi"/>
                <w:color w:val="auto"/>
                <w:sz w:val="16"/>
                <w:szCs w:val="16"/>
              </w:rPr>
              <w:t>Purpose</w:t>
            </w:r>
          </w:p>
        </w:tc>
        <w:tc>
          <w:tcPr>
            <w:tcW w:w="1701" w:type="dxa"/>
            <w:hideMark/>
          </w:tcPr>
          <w:p w14:paraId="38034739" w14:textId="77777777" w:rsidR="00B85C33" w:rsidRPr="000F6DEF" w:rsidRDefault="00B85C33" w:rsidP="000376C7">
            <w:pPr>
              <w:cnfStyle w:val="100000000000" w:firstRow="1" w:lastRow="0" w:firstColumn="0" w:lastColumn="0" w:oddVBand="0" w:evenVBand="0" w:oddHBand="0" w:evenHBand="0" w:firstRowFirstColumn="0" w:firstRowLastColumn="0" w:lastRowFirstColumn="0" w:lastRowLastColumn="0"/>
              <w:rPr>
                <w:rFonts w:cstheme="minorHAnsi"/>
                <w:color w:val="auto"/>
                <w:sz w:val="16"/>
                <w:szCs w:val="16"/>
              </w:rPr>
            </w:pPr>
            <w:r w:rsidRPr="000F6DEF">
              <w:rPr>
                <w:rFonts w:cstheme="minorHAnsi"/>
                <w:color w:val="auto"/>
                <w:sz w:val="16"/>
                <w:szCs w:val="16"/>
              </w:rPr>
              <w:t>Name of survey</w:t>
            </w:r>
          </w:p>
        </w:tc>
        <w:tc>
          <w:tcPr>
            <w:tcW w:w="992" w:type="dxa"/>
            <w:hideMark/>
          </w:tcPr>
          <w:p w14:paraId="70D030AB" w14:textId="77777777" w:rsidR="00B85C33" w:rsidRPr="000F6DEF" w:rsidRDefault="00B85C33" w:rsidP="000376C7">
            <w:pPr>
              <w:cnfStyle w:val="100000000000" w:firstRow="1" w:lastRow="0" w:firstColumn="0" w:lastColumn="0" w:oddVBand="0" w:evenVBand="0" w:oddHBand="0" w:evenHBand="0" w:firstRowFirstColumn="0" w:firstRowLastColumn="0" w:lastRowFirstColumn="0" w:lastRowLastColumn="0"/>
              <w:rPr>
                <w:rFonts w:cstheme="minorHAnsi"/>
                <w:color w:val="auto"/>
                <w:sz w:val="16"/>
                <w:szCs w:val="16"/>
              </w:rPr>
            </w:pPr>
            <w:r w:rsidRPr="000F6DEF">
              <w:rPr>
                <w:rFonts w:cstheme="minorHAnsi"/>
                <w:color w:val="auto"/>
                <w:sz w:val="16"/>
                <w:szCs w:val="16"/>
              </w:rPr>
              <w:t>Country or location</w:t>
            </w:r>
          </w:p>
        </w:tc>
        <w:tc>
          <w:tcPr>
            <w:tcW w:w="817" w:type="dxa"/>
            <w:hideMark/>
          </w:tcPr>
          <w:p w14:paraId="7DE7FD96" w14:textId="77777777" w:rsidR="00B85C33" w:rsidRPr="000F6DEF" w:rsidRDefault="00B85C33" w:rsidP="000376C7">
            <w:pPr>
              <w:cnfStyle w:val="100000000000" w:firstRow="1" w:lastRow="0" w:firstColumn="0" w:lastColumn="0" w:oddVBand="0" w:evenVBand="0" w:oddHBand="0" w:evenHBand="0" w:firstRowFirstColumn="0" w:firstRowLastColumn="0" w:lastRowFirstColumn="0" w:lastRowLastColumn="0"/>
              <w:rPr>
                <w:rFonts w:cstheme="minorHAnsi"/>
                <w:color w:val="auto"/>
                <w:sz w:val="16"/>
                <w:szCs w:val="16"/>
              </w:rPr>
            </w:pPr>
            <w:r w:rsidRPr="000F6DEF">
              <w:rPr>
                <w:rFonts w:cstheme="minorHAnsi"/>
                <w:color w:val="auto"/>
                <w:sz w:val="16"/>
                <w:szCs w:val="16"/>
              </w:rPr>
              <w:t>Year data collected</w:t>
            </w:r>
          </w:p>
        </w:tc>
        <w:tc>
          <w:tcPr>
            <w:tcW w:w="2551" w:type="dxa"/>
            <w:hideMark/>
          </w:tcPr>
          <w:p w14:paraId="47F8723B" w14:textId="77777777" w:rsidR="00B85C33" w:rsidRPr="000F6DEF" w:rsidRDefault="00B85C33" w:rsidP="000376C7">
            <w:pPr>
              <w:cnfStyle w:val="100000000000" w:firstRow="1" w:lastRow="0" w:firstColumn="0" w:lastColumn="0" w:oddVBand="0" w:evenVBand="0" w:oddHBand="0" w:evenHBand="0" w:firstRowFirstColumn="0" w:firstRowLastColumn="0" w:lastRowFirstColumn="0" w:lastRowLastColumn="0"/>
              <w:rPr>
                <w:rFonts w:cstheme="minorHAnsi"/>
                <w:color w:val="auto"/>
                <w:sz w:val="16"/>
                <w:szCs w:val="16"/>
              </w:rPr>
            </w:pPr>
            <w:r w:rsidRPr="000F6DEF">
              <w:rPr>
                <w:rFonts w:cstheme="minorHAnsi"/>
                <w:color w:val="auto"/>
                <w:sz w:val="16"/>
                <w:szCs w:val="16"/>
              </w:rPr>
              <w:t>Participants</w:t>
            </w:r>
          </w:p>
        </w:tc>
        <w:tc>
          <w:tcPr>
            <w:tcW w:w="1735" w:type="dxa"/>
            <w:hideMark/>
          </w:tcPr>
          <w:p w14:paraId="21431C53" w14:textId="77777777" w:rsidR="00B85C33" w:rsidRPr="000F6DEF" w:rsidRDefault="00B85C33" w:rsidP="000376C7">
            <w:pPr>
              <w:cnfStyle w:val="100000000000" w:firstRow="1" w:lastRow="0" w:firstColumn="0" w:lastColumn="0" w:oddVBand="0" w:evenVBand="0" w:oddHBand="0" w:evenHBand="0" w:firstRowFirstColumn="0" w:firstRowLastColumn="0" w:lastRowFirstColumn="0" w:lastRowLastColumn="0"/>
              <w:rPr>
                <w:rFonts w:cstheme="minorHAnsi"/>
                <w:color w:val="auto"/>
                <w:sz w:val="16"/>
                <w:szCs w:val="16"/>
              </w:rPr>
            </w:pPr>
            <w:r w:rsidRPr="000F6DEF">
              <w:rPr>
                <w:rFonts w:cstheme="minorHAnsi"/>
                <w:color w:val="auto"/>
                <w:sz w:val="16"/>
                <w:szCs w:val="16"/>
              </w:rPr>
              <w:t>Recruitment/ selection method</w:t>
            </w:r>
          </w:p>
        </w:tc>
        <w:tc>
          <w:tcPr>
            <w:tcW w:w="1951" w:type="dxa"/>
            <w:hideMark/>
          </w:tcPr>
          <w:p w14:paraId="26A25C4B" w14:textId="77777777" w:rsidR="00B85C33" w:rsidRPr="000F6DEF" w:rsidRDefault="00B85C33" w:rsidP="000376C7">
            <w:pPr>
              <w:cnfStyle w:val="100000000000" w:firstRow="1" w:lastRow="0" w:firstColumn="0" w:lastColumn="0" w:oddVBand="0" w:evenVBand="0" w:oddHBand="0" w:evenHBand="0" w:firstRowFirstColumn="0" w:firstRowLastColumn="0" w:lastRowFirstColumn="0" w:lastRowLastColumn="0"/>
              <w:rPr>
                <w:rFonts w:cstheme="minorHAnsi"/>
                <w:color w:val="auto"/>
                <w:sz w:val="16"/>
                <w:szCs w:val="16"/>
              </w:rPr>
            </w:pPr>
            <w:r w:rsidRPr="000F6DEF">
              <w:rPr>
                <w:rFonts w:cstheme="minorHAnsi"/>
                <w:color w:val="auto"/>
                <w:sz w:val="16"/>
                <w:szCs w:val="16"/>
              </w:rPr>
              <w:t xml:space="preserve">Admin Method </w:t>
            </w:r>
          </w:p>
        </w:tc>
        <w:tc>
          <w:tcPr>
            <w:tcW w:w="1593" w:type="dxa"/>
            <w:hideMark/>
          </w:tcPr>
          <w:p w14:paraId="3DBB6F4E" w14:textId="77777777" w:rsidR="00B85C33" w:rsidRPr="000F6DEF" w:rsidRDefault="00B85C33" w:rsidP="000376C7">
            <w:pPr>
              <w:cnfStyle w:val="100000000000" w:firstRow="1" w:lastRow="0" w:firstColumn="0" w:lastColumn="0" w:oddVBand="0" w:evenVBand="0" w:oddHBand="0" w:evenHBand="0" w:firstRowFirstColumn="0" w:firstRowLastColumn="0" w:lastRowFirstColumn="0" w:lastRowLastColumn="0"/>
              <w:rPr>
                <w:rFonts w:cstheme="minorHAnsi"/>
                <w:color w:val="auto"/>
                <w:sz w:val="16"/>
                <w:szCs w:val="16"/>
              </w:rPr>
            </w:pPr>
            <w:r w:rsidRPr="000F6DEF">
              <w:rPr>
                <w:rFonts w:cstheme="minorHAnsi"/>
                <w:color w:val="auto"/>
                <w:sz w:val="16"/>
                <w:szCs w:val="16"/>
              </w:rPr>
              <w:t>Measures</w:t>
            </w:r>
          </w:p>
        </w:tc>
      </w:tr>
      <w:tr w:rsidR="00B85C33" w:rsidRPr="000F6DEF" w14:paraId="4953E332" w14:textId="77777777" w:rsidTr="000376C7">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1239" w:type="dxa"/>
          </w:tcPr>
          <w:p w14:paraId="40A28403" w14:textId="77777777" w:rsidR="00B85C33" w:rsidRPr="000F6DEF" w:rsidRDefault="00B85C33" w:rsidP="000376C7">
            <w:pPr>
              <w:rPr>
                <w:rFonts w:cs="Calibri"/>
                <w:sz w:val="16"/>
                <w:szCs w:val="16"/>
              </w:rPr>
            </w:pPr>
            <w:r w:rsidRPr="000F6DEF">
              <w:rPr>
                <w:rFonts w:cs="Calibri"/>
                <w:sz w:val="16"/>
                <w:szCs w:val="16"/>
              </w:rPr>
              <w:t>Bauld, MacKintosh, Eastwood, Ford et al.</w:t>
            </w:r>
          </w:p>
        </w:tc>
        <w:tc>
          <w:tcPr>
            <w:tcW w:w="2476" w:type="dxa"/>
          </w:tcPr>
          <w:p w14:paraId="35AF4580"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To assess recent trends in ever and regular use of tobacco and electronic cigarettes.</w:t>
            </w:r>
          </w:p>
        </w:tc>
        <w:tc>
          <w:tcPr>
            <w:tcW w:w="1701" w:type="dxa"/>
          </w:tcPr>
          <w:p w14:paraId="200A143F"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Youth Tobacco Policy Survey (YTPS); the Schools Health Research Network (SHRN) Wales survey; two Action on Smoking and Health (ASH) Smokefree GB</w:t>
            </w:r>
            <w:r w:rsidRPr="000F6DEF">
              <w:rPr>
                <w:rFonts w:cs="Calibri"/>
                <w:sz w:val="16"/>
                <w:szCs w:val="16"/>
              </w:rPr>
              <w:noBreakHyphen/>
              <w:t>Youth Surveys; and the Scottish Schools Adolescent Lifestyle and Substance Use Survey (SALSUS)</w:t>
            </w:r>
          </w:p>
        </w:tc>
        <w:tc>
          <w:tcPr>
            <w:tcW w:w="992" w:type="dxa"/>
          </w:tcPr>
          <w:p w14:paraId="3DB77912"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UK multiple countries</w:t>
            </w:r>
          </w:p>
        </w:tc>
        <w:tc>
          <w:tcPr>
            <w:tcW w:w="817" w:type="dxa"/>
          </w:tcPr>
          <w:p w14:paraId="42AC8C9E"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2015</w:t>
            </w:r>
            <w:r w:rsidRPr="000F6DEF">
              <w:rPr>
                <w:rFonts w:cs="Calibri"/>
                <w:sz w:val="16"/>
                <w:szCs w:val="16"/>
              </w:rPr>
              <w:noBreakHyphen/>
              <w:t>2017</w:t>
            </w:r>
          </w:p>
        </w:tc>
        <w:tc>
          <w:tcPr>
            <w:tcW w:w="2551" w:type="dxa"/>
          </w:tcPr>
          <w:p w14:paraId="709B6482"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YTPS 1213; SHRN 32,479; ASH Smokefree 1205 (2016); 1361 (2017); SALSUS 13,607 (13yo); 11,697 (15yo)</w:t>
            </w:r>
          </w:p>
          <w:p w14:paraId="146BCAA3"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All adolescents</w:t>
            </w:r>
          </w:p>
          <w:p w14:paraId="064988FD"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Ages: YTPS 11</w:t>
            </w:r>
            <w:r w:rsidRPr="000F6DEF">
              <w:rPr>
                <w:rFonts w:cs="Calibri"/>
                <w:sz w:val="16"/>
                <w:szCs w:val="16"/>
              </w:rPr>
              <w:noBreakHyphen/>
              <w:t>16; SHRN 11</w:t>
            </w:r>
            <w:r w:rsidRPr="000F6DEF">
              <w:rPr>
                <w:rFonts w:cs="Calibri"/>
                <w:sz w:val="16"/>
                <w:szCs w:val="16"/>
              </w:rPr>
              <w:noBreakHyphen/>
              <w:t>16; ASH Smokefree 11</w:t>
            </w:r>
            <w:r w:rsidRPr="000F6DEF">
              <w:rPr>
                <w:rFonts w:cs="Calibri"/>
                <w:sz w:val="16"/>
                <w:szCs w:val="16"/>
              </w:rPr>
              <w:noBreakHyphen/>
              <w:t>16; SALSUS 13/15</w:t>
            </w:r>
          </w:p>
        </w:tc>
        <w:tc>
          <w:tcPr>
            <w:tcW w:w="1735" w:type="dxa"/>
          </w:tcPr>
          <w:p w14:paraId="4E19071C"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YTPS random selection of 82 wards. Interviewers approach households.</w:t>
            </w:r>
            <w:r w:rsidRPr="000F6DEF">
              <w:rPr>
                <w:rFonts w:cs="Calibri"/>
                <w:sz w:val="16"/>
                <w:szCs w:val="16"/>
              </w:rPr>
              <w:br/>
              <w:t>SHRN all 113 schools approached (87 participated)</w:t>
            </w:r>
            <w:r w:rsidRPr="000F6DEF">
              <w:rPr>
                <w:rFonts w:cs="Calibri"/>
                <w:sz w:val="16"/>
                <w:szCs w:val="16"/>
              </w:rPr>
              <w:br/>
              <w:t>ASH Smokefree been running annually since 2013 some follow</w:t>
            </w:r>
            <w:r w:rsidRPr="000F6DEF">
              <w:rPr>
                <w:rFonts w:cs="Calibri"/>
                <w:sz w:val="16"/>
                <w:szCs w:val="16"/>
              </w:rPr>
              <w:noBreakHyphen/>
              <w:t>up, some cross</w:t>
            </w:r>
            <w:r w:rsidRPr="000F6DEF">
              <w:rPr>
                <w:rFonts w:cs="Calibri"/>
                <w:sz w:val="16"/>
                <w:szCs w:val="16"/>
              </w:rPr>
              <w:noBreakHyphen/>
              <w:t xml:space="preserve">sectional </w:t>
            </w:r>
            <w:r w:rsidRPr="000F6DEF">
              <w:rPr>
                <w:rFonts w:cs="Calibri"/>
                <w:sz w:val="16"/>
                <w:szCs w:val="16"/>
              </w:rPr>
              <w:br/>
              <w:t>SALSUS Random, national sample using classes as sampling unit</w:t>
            </w:r>
          </w:p>
        </w:tc>
        <w:tc>
          <w:tcPr>
            <w:tcW w:w="1951" w:type="dxa"/>
          </w:tcPr>
          <w:p w14:paraId="313295AA"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NR</w:t>
            </w:r>
          </w:p>
        </w:tc>
        <w:tc>
          <w:tcPr>
            <w:tcW w:w="1593" w:type="dxa"/>
          </w:tcPr>
          <w:p w14:paraId="7CA46216"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Smoking prevalence</w:t>
            </w:r>
            <w:r w:rsidRPr="000F6DEF">
              <w:rPr>
                <w:rFonts w:cs="Calibri"/>
                <w:sz w:val="16"/>
                <w:szCs w:val="16"/>
              </w:rPr>
              <w:br/>
            </w:r>
            <w:r>
              <w:rPr>
                <w:rFonts w:cs="Calibri"/>
                <w:sz w:val="16"/>
                <w:szCs w:val="16"/>
              </w:rPr>
              <w:t>e</w:t>
            </w:r>
            <w:r>
              <w:rPr>
                <w:rFonts w:cs="Calibri"/>
                <w:sz w:val="16"/>
                <w:szCs w:val="16"/>
              </w:rPr>
              <w:noBreakHyphen/>
              <w:t>cig</w:t>
            </w:r>
            <w:r w:rsidRPr="000F6DEF">
              <w:rPr>
                <w:rFonts w:cs="Calibri"/>
                <w:sz w:val="16"/>
                <w:szCs w:val="16"/>
              </w:rPr>
              <w:t>arette prevalence</w:t>
            </w:r>
            <w:r w:rsidRPr="000F6DEF">
              <w:rPr>
                <w:rFonts w:cs="Calibri"/>
                <w:sz w:val="16"/>
                <w:szCs w:val="16"/>
              </w:rPr>
              <w:br/>
              <w:t>Combined into never use, ever use and regular</w:t>
            </w:r>
          </w:p>
        </w:tc>
      </w:tr>
      <w:tr w:rsidR="00B85C33" w:rsidRPr="000F6DEF" w14:paraId="156A99D7" w14:textId="77777777" w:rsidTr="000376C7">
        <w:trPr>
          <w:trHeight w:val="569"/>
        </w:trPr>
        <w:tc>
          <w:tcPr>
            <w:cnfStyle w:val="001000000000" w:firstRow="0" w:lastRow="0" w:firstColumn="1" w:lastColumn="0" w:oddVBand="0" w:evenVBand="0" w:oddHBand="0" w:evenHBand="0" w:firstRowFirstColumn="0" w:firstRowLastColumn="0" w:lastRowFirstColumn="0" w:lastRowLastColumn="0"/>
            <w:tcW w:w="1239" w:type="dxa"/>
          </w:tcPr>
          <w:p w14:paraId="323FE316" w14:textId="77777777" w:rsidR="00B85C33" w:rsidRPr="000F6DEF" w:rsidRDefault="00B85C33" w:rsidP="000376C7">
            <w:pPr>
              <w:rPr>
                <w:rFonts w:cs="Calibri"/>
                <w:sz w:val="16"/>
                <w:szCs w:val="16"/>
              </w:rPr>
            </w:pPr>
            <w:r w:rsidRPr="000F6DEF">
              <w:rPr>
                <w:rFonts w:cs="Calibri"/>
                <w:sz w:val="16"/>
                <w:szCs w:val="16"/>
              </w:rPr>
              <w:t>Clarke, Lusher</w:t>
            </w:r>
          </w:p>
        </w:tc>
        <w:tc>
          <w:tcPr>
            <w:tcW w:w="2476" w:type="dxa"/>
          </w:tcPr>
          <w:p w14:paraId="57F78860"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To investigate factors that lead to willingness to try electronic cigarettes among UK adolescents. </w:t>
            </w:r>
          </w:p>
        </w:tc>
        <w:tc>
          <w:tcPr>
            <w:tcW w:w="1701" w:type="dxa"/>
          </w:tcPr>
          <w:p w14:paraId="4E37AC5B"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Investigator developed</w:t>
            </w:r>
          </w:p>
        </w:tc>
        <w:tc>
          <w:tcPr>
            <w:tcW w:w="992" w:type="dxa"/>
          </w:tcPr>
          <w:p w14:paraId="48DC04F6"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UK</w:t>
            </w:r>
          </w:p>
        </w:tc>
        <w:tc>
          <w:tcPr>
            <w:tcW w:w="817" w:type="dxa"/>
          </w:tcPr>
          <w:p w14:paraId="3BB72C68"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NR</w:t>
            </w:r>
          </w:p>
        </w:tc>
        <w:tc>
          <w:tcPr>
            <w:tcW w:w="2551" w:type="dxa"/>
          </w:tcPr>
          <w:p w14:paraId="7D2F5FDA"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256 adolescents </w:t>
            </w:r>
          </w:p>
          <w:p w14:paraId="1D7D38BD"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Ages: 16 to 19</w:t>
            </w:r>
          </w:p>
          <w:p w14:paraId="67F67EF4"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25% males</w:t>
            </w:r>
          </w:p>
        </w:tc>
        <w:tc>
          <w:tcPr>
            <w:tcW w:w="1735" w:type="dxa"/>
          </w:tcPr>
          <w:p w14:paraId="76713DBD"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purposive sampling from two London sixth form schools</w:t>
            </w:r>
          </w:p>
        </w:tc>
        <w:tc>
          <w:tcPr>
            <w:tcW w:w="1951" w:type="dxa"/>
          </w:tcPr>
          <w:p w14:paraId="715A7976"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Survey data were collected from pupils in class during a series of 45</w:t>
            </w:r>
            <w:r w:rsidRPr="000F6DEF">
              <w:rPr>
                <w:rFonts w:cs="Calibri"/>
                <w:sz w:val="16"/>
                <w:szCs w:val="16"/>
              </w:rPr>
              <w:noBreakHyphen/>
              <w:t>minute workshops held during school time. Detailed written responses for some pupils</w:t>
            </w:r>
          </w:p>
        </w:tc>
        <w:tc>
          <w:tcPr>
            <w:tcW w:w="1593" w:type="dxa"/>
          </w:tcPr>
          <w:p w14:paraId="36F2A32C" w14:textId="720B5B73"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Smoking status</w:t>
            </w:r>
            <w:r w:rsidRPr="000F6DEF">
              <w:rPr>
                <w:rFonts w:cs="Calibri"/>
                <w:sz w:val="16"/>
                <w:szCs w:val="16"/>
              </w:rPr>
              <w:br/>
              <w:t>Smoking prototypes</w:t>
            </w:r>
            <w:r w:rsidRPr="000F6DEF">
              <w:rPr>
                <w:rFonts w:cs="Calibri"/>
                <w:sz w:val="16"/>
                <w:szCs w:val="16"/>
              </w:rPr>
              <w:br/>
              <w:t xml:space="preserve">Willingness to try </w:t>
            </w:r>
            <w:r>
              <w:rPr>
                <w:rFonts w:cs="Calibri"/>
                <w:sz w:val="16"/>
                <w:szCs w:val="16"/>
              </w:rPr>
              <w:t>e</w:t>
            </w:r>
            <w:r>
              <w:rPr>
                <w:rFonts w:cs="Calibri"/>
                <w:sz w:val="16"/>
                <w:szCs w:val="16"/>
              </w:rPr>
              <w:noBreakHyphen/>
              <w:t>cig</w:t>
            </w:r>
            <w:r w:rsidR="00571385">
              <w:rPr>
                <w:rFonts w:cs="Calibri"/>
                <w:sz w:val="16"/>
                <w:szCs w:val="16"/>
              </w:rPr>
              <w:t xml:space="preserve">arettes </w:t>
            </w:r>
            <w:r w:rsidRPr="000F6DEF">
              <w:rPr>
                <w:rFonts w:cs="Calibri"/>
                <w:sz w:val="16"/>
                <w:szCs w:val="16"/>
              </w:rPr>
              <w:t xml:space="preserve">+ flavoured </w:t>
            </w:r>
            <w:r>
              <w:rPr>
                <w:rFonts w:cs="Calibri"/>
                <w:sz w:val="16"/>
                <w:szCs w:val="16"/>
              </w:rPr>
              <w:t>e</w:t>
            </w:r>
            <w:r>
              <w:rPr>
                <w:rFonts w:cs="Calibri"/>
                <w:sz w:val="16"/>
                <w:szCs w:val="16"/>
              </w:rPr>
              <w:noBreakHyphen/>
              <w:t>cig</w:t>
            </w:r>
            <w:r w:rsidR="00571385">
              <w:rPr>
                <w:rFonts w:cs="Calibri"/>
                <w:sz w:val="16"/>
                <w:szCs w:val="16"/>
              </w:rPr>
              <w:t>arettes</w:t>
            </w:r>
          </w:p>
        </w:tc>
      </w:tr>
      <w:tr w:rsidR="00B85C33" w:rsidRPr="000F6DEF" w14:paraId="19998D72" w14:textId="77777777" w:rsidTr="000376C7">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1239" w:type="dxa"/>
          </w:tcPr>
          <w:p w14:paraId="359C9231" w14:textId="77777777" w:rsidR="00B85C33" w:rsidRPr="000F6DEF" w:rsidRDefault="00B85C33" w:rsidP="000376C7">
            <w:pPr>
              <w:rPr>
                <w:rFonts w:cs="Calibri"/>
                <w:sz w:val="16"/>
                <w:szCs w:val="16"/>
              </w:rPr>
            </w:pPr>
            <w:r w:rsidRPr="000F6DEF">
              <w:rPr>
                <w:rFonts w:cs="Calibri"/>
                <w:sz w:val="16"/>
                <w:szCs w:val="16"/>
              </w:rPr>
              <w:t>Conner, Grogan, Simms</w:t>
            </w:r>
            <w:r w:rsidRPr="000F6DEF">
              <w:rPr>
                <w:rFonts w:cs="Calibri"/>
                <w:sz w:val="16"/>
                <w:szCs w:val="16"/>
              </w:rPr>
              <w:noBreakHyphen/>
              <w:t>Ellis</w:t>
            </w:r>
          </w:p>
        </w:tc>
        <w:tc>
          <w:tcPr>
            <w:tcW w:w="2476" w:type="dxa"/>
          </w:tcPr>
          <w:p w14:paraId="52A12769"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This study assessed whether adolescent </w:t>
            </w:r>
            <w:r>
              <w:rPr>
                <w:rFonts w:cs="Calibri"/>
                <w:sz w:val="16"/>
                <w:szCs w:val="16"/>
              </w:rPr>
              <w:t>e</w:t>
            </w:r>
            <w:r>
              <w:rPr>
                <w:rFonts w:cs="Calibri"/>
                <w:sz w:val="16"/>
                <w:szCs w:val="16"/>
              </w:rPr>
              <w:noBreakHyphen/>
              <w:t>cig</w:t>
            </w:r>
            <w:r w:rsidRPr="000F6DEF">
              <w:rPr>
                <w:rFonts w:cs="Calibri"/>
                <w:sz w:val="16"/>
                <w:szCs w:val="16"/>
              </w:rPr>
              <w:t xml:space="preserve">arette use was associated prospectively with initiation or escalation of cigarette use. </w:t>
            </w:r>
          </w:p>
        </w:tc>
        <w:tc>
          <w:tcPr>
            <w:tcW w:w="1701" w:type="dxa"/>
          </w:tcPr>
          <w:p w14:paraId="0B71B72C"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 4</w:t>
            </w:r>
            <w:r w:rsidRPr="000F6DEF">
              <w:rPr>
                <w:rFonts w:cs="Calibri"/>
                <w:sz w:val="16"/>
                <w:szCs w:val="16"/>
              </w:rPr>
              <w:noBreakHyphen/>
              <w:t>year cluster randomised controlled trial of a school</w:t>
            </w:r>
            <w:r w:rsidRPr="000F6DEF">
              <w:rPr>
                <w:rFonts w:cs="Calibri"/>
                <w:sz w:val="16"/>
                <w:szCs w:val="16"/>
              </w:rPr>
              <w:noBreakHyphen/>
              <w:t>based smoking initiation intervention</w:t>
            </w:r>
          </w:p>
        </w:tc>
        <w:tc>
          <w:tcPr>
            <w:tcW w:w="992" w:type="dxa"/>
          </w:tcPr>
          <w:p w14:paraId="248CC62A"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England</w:t>
            </w:r>
          </w:p>
        </w:tc>
        <w:tc>
          <w:tcPr>
            <w:tcW w:w="817" w:type="dxa"/>
          </w:tcPr>
          <w:p w14:paraId="479AEF0E"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NR</w:t>
            </w:r>
          </w:p>
        </w:tc>
        <w:tc>
          <w:tcPr>
            <w:tcW w:w="2551" w:type="dxa"/>
          </w:tcPr>
          <w:p w14:paraId="1DD1D5F6" w14:textId="32CA6E50"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2</w:t>
            </w:r>
            <w:r w:rsidR="00571385">
              <w:rPr>
                <w:rFonts w:cs="Calibri"/>
                <w:sz w:val="16"/>
                <w:szCs w:val="16"/>
              </w:rPr>
              <w:t>,</w:t>
            </w:r>
            <w:r w:rsidRPr="000F6DEF">
              <w:rPr>
                <w:rFonts w:cs="Calibri"/>
                <w:sz w:val="16"/>
                <w:szCs w:val="16"/>
              </w:rPr>
              <w:t>836 based on control schools only adolescents</w:t>
            </w:r>
          </w:p>
          <w:p w14:paraId="160A0B19"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Mean age: 13.8(0.39) </w:t>
            </w:r>
          </w:p>
          <w:p w14:paraId="1A58718F"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50% males</w:t>
            </w:r>
          </w:p>
        </w:tc>
        <w:tc>
          <w:tcPr>
            <w:tcW w:w="1735" w:type="dxa"/>
          </w:tcPr>
          <w:p w14:paraId="4E094C9F"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NR</w:t>
            </w:r>
          </w:p>
        </w:tc>
        <w:tc>
          <w:tcPr>
            <w:tcW w:w="1951" w:type="dxa"/>
          </w:tcPr>
          <w:p w14:paraId="55CD4926"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NR</w:t>
            </w:r>
          </w:p>
        </w:tc>
        <w:tc>
          <w:tcPr>
            <w:tcW w:w="1593" w:type="dxa"/>
          </w:tcPr>
          <w:p w14:paraId="3F7C2B65" w14:textId="745FE6CB"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Cigarette use</w:t>
            </w:r>
            <w:r w:rsidRPr="000F6DEF">
              <w:rPr>
                <w:rFonts w:cs="Calibri"/>
                <w:sz w:val="16"/>
                <w:szCs w:val="16"/>
              </w:rPr>
              <w:br/>
              <w:t xml:space="preserve">Awareness; ever use </w:t>
            </w:r>
            <w:r>
              <w:rPr>
                <w:rFonts w:cs="Calibri"/>
                <w:sz w:val="16"/>
                <w:szCs w:val="16"/>
              </w:rPr>
              <w:t>e</w:t>
            </w:r>
            <w:r>
              <w:rPr>
                <w:rFonts w:cs="Calibri"/>
                <w:sz w:val="16"/>
                <w:szCs w:val="16"/>
              </w:rPr>
              <w:noBreakHyphen/>
              <w:t>cig</w:t>
            </w:r>
            <w:r w:rsidR="00571385">
              <w:rPr>
                <w:rFonts w:cs="Calibri"/>
                <w:sz w:val="16"/>
                <w:szCs w:val="16"/>
              </w:rPr>
              <w:t>arettes</w:t>
            </w:r>
            <w:r w:rsidRPr="000F6DEF">
              <w:rPr>
                <w:rFonts w:cs="Calibri"/>
                <w:sz w:val="16"/>
                <w:szCs w:val="16"/>
              </w:rPr>
              <w:br/>
              <w:t xml:space="preserve">Demographics </w:t>
            </w:r>
            <w:r w:rsidRPr="000F6DEF">
              <w:rPr>
                <w:rFonts w:cs="Calibri"/>
                <w:sz w:val="16"/>
                <w:szCs w:val="16"/>
              </w:rPr>
              <w:br/>
              <w:t>Health cognitions about smoking</w:t>
            </w:r>
            <w:r w:rsidRPr="000F6DEF">
              <w:rPr>
                <w:rFonts w:cs="Calibri"/>
                <w:sz w:val="16"/>
                <w:szCs w:val="16"/>
              </w:rPr>
              <w:br/>
              <w:t>Intention to smoke</w:t>
            </w:r>
            <w:r w:rsidRPr="000F6DEF">
              <w:rPr>
                <w:rFonts w:cs="Calibri"/>
                <w:sz w:val="16"/>
                <w:szCs w:val="16"/>
              </w:rPr>
              <w:br/>
              <w:t>Social norms to smoking</w:t>
            </w:r>
            <w:r w:rsidRPr="000F6DEF">
              <w:rPr>
                <w:rFonts w:cs="Calibri"/>
                <w:sz w:val="16"/>
                <w:szCs w:val="16"/>
              </w:rPr>
              <w:br/>
              <w:t>Behavioural control to smoking</w:t>
            </w:r>
          </w:p>
        </w:tc>
      </w:tr>
      <w:tr w:rsidR="00B85C33" w:rsidRPr="000F6DEF" w14:paraId="6B7608CA" w14:textId="77777777" w:rsidTr="000376C7">
        <w:trPr>
          <w:trHeight w:val="569"/>
        </w:trPr>
        <w:tc>
          <w:tcPr>
            <w:cnfStyle w:val="001000000000" w:firstRow="0" w:lastRow="0" w:firstColumn="1" w:lastColumn="0" w:oddVBand="0" w:evenVBand="0" w:oddHBand="0" w:evenHBand="0" w:firstRowFirstColumn="0" w:firstRowLastColumn="0" w:lastRowFirstColumn="0" w:lastRowLastColumn="0"/>
            <w:tcW w:w="1239" w:type="dxa"/>
          </w:tcPr>
          <w:p w14:paraId="32D41A64" w14:textId="77777777" w:rsidR="00B85C33" w:rsidRPr="000F6DEF" w:rsidRDefault="00B85C33" w:rsidP="000376C7">
            <w:pPr>
              <w:rPr>
                <w:rFonts w:cs="Calibri"/>
                <w:sz w:val="16"/>
                <w:szCs w:val="16"/>
              </w:rPr>
            </w:pPr>
            <w:r w:rsidRPr="000F6DEF">
              <w:rPr>
                <w:rFonts w:cs="Calibri"/>
                <w:sz w:val="16"/>
                <w:szCs w:val="16"/>
              </w:rPr>
              <w:t>de Lacy, Fletcher, Hewitt et al</w:t>
            </w:r>
          </w:p>
        </w:tc>
        <w:tc>
          <w:tcPr>
            <w:tcW w:w="2476" w:type="dxa"/>
          </w:tcPr>
          <w:p w14:paraId="0E054F37"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To examine the prevalence and frequency of electronic (e)</w:t>
            </w:r>
            <w:r w:rsidRPr="000F6DEF">
              <w:rPr>
                <w:rFonts w:cs="Calibri"/>
                <w:sz w:val="16"/>
                <w:szCs w:val="16"/>
              </w:rPr>
              <w:noBreakHyphen/>
              <w:t>cigarette use among young people in Wales, associations with socio</w:t>
            </w:r>
            <w:r w:rsidRPr="000F6DEF">
              <w:rPr>
                <w:rFonts w:cs="Calibri"/>
                <w:sz w:val="16"/>
                <w:szCs w:val="16"/>
              </w:rPr>
              <w:noBreakHyphen/>
              <w:t xml:space="preserve">demographic characteristics, smoking and other substances and the sequencing of </w:t>
            </w:r>
            <w:r>
              <w:rPr>
                <w:rFonts w:cs="Calibri"/>
                <w:sz w:val="16"/>
                <w:szCs w:val="16"/>
              </w:rPr>
              <w:t>e</w:t>
            </w:r>
            <w:r>
              <w:rPr>
                <w:rFonts w:cs="Calibri"/>
                <w:sz w:val="16"/>
                <w:szCs w:val="16"/>
              </w:rPr>
              <w:noBreakHyphen/>
              <w:t>cig</w:t>
            </w:r>
            <w:r w:rsidRPr="000F6DEF">
              <w:rPr>
                <w:rFonts w:cs="Calibri"/>
                <w:sz w:val="16"/>
                <w:szCs w:val="16"/>
              </w:rPr>
              <w:t xml:space="preserve">arette and tobacco use. </w:t>
            </w:r>
          </w:p>
        </w:tc>
        <w:tc>
          <w:tcPr>
            <w:tcW w:w="1701" w:type="dxa"/>
          </w:tcPr>
          <w:p w14:paraId="7CBC9F22"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School Health Research Network </w:t>
            </w:r>
          </w:p>
        </w:tc>
        <w:tc>
          <w:tcPr>
            <w:tcW w:w="992" w:type="dxa"/>
          </w:tcPr>
          <w:p w14:paraId="6B31D75B"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Wales, UK</w:t>
            </w:r>
          </w:p>
        </w:tc>
        <w:tc>
          <w:tcPr>
            <w:tcW w:w="817" w:type="dxa"/>
          </w:tcPr>
          <w:p w14:paraId="721FAF92"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2015</w:t>
            </w:r>
          </w:p>
        </w:tc>
        <w:tc>
          <w:tcPr>
            <w:tcW w:w="2551" w:type="dxa"/>
          </w:tcPr>
          <w:p w14:paraId="449F7B6F" w14:textId="1090A439"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32</w:t>
            </w:r>
            <w:r w:rsidR="00571385">
              <w:rPr>
                <w:rFonts w:cs="Calibri"/>
                <w:sz w:val="16"/>
                <w:szCs w:val="16"/>
              </w:rPr>
              <w:t>,</w:t>
            </w:r>
            <w:r w:rsidRPr="000F6DEF">
              <w:rPr>
                <w:rFonts w:cs="Calibri"/>
                <w:sz w:val="16"/>
                <w:szCs w:val="16"/>
              </w:rPr>
              <w:t xml:space="preserve">479 recruited, 30,917 completers adolescents </w:t>
            </w:r>
          </w:p>
          <w:p w14:paraId="354F33DB"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Years 7</w:t>
            </w:r>
            <w:r w:rsidRPr="000F6DEF">
              <w:rPr>
                <w:rFonts w:cs="Calibri"/>
                <w:sz w:val="16"/>
                <w:szCs w:val="16"/>
              </w:rPr>
              <w:noBreakHyphen/>
              <w:t>11: 48%; Year 11: 46.6%</w:t>
            </w:r>
          </w:p>
        </w:tc>
        <w:tc>
          <w:tcPr>
            <w:tcW w:w="1735" w:type="dxa"/>
          </w:tcPr>
          <w:p w14:paraId="3A852CEE"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77% of schools</w:t>
            </w:r>
          </w:p>
        </w:tc>
        <w:tc>
          <w:tcPr>
            <w:tcW w:w="1951" w:type="dxa"/>
          </w:tcPr>
          <w:p w14:paraId="22196E2B" w14:textId="30A04C02"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Demographics</w:t>
            </w:r>
            <w:r w:rsidRPr="000F6DEF">
              <w:rPr>
                <w:rFonts w:cs="Calibri"/>
                <w:sz w:val="16"/>
                <w:szCs w:val="16"/>
              </w:rPr>
              <w:br/>
              <w:t xml:space="preserve">Ever use </w:t>
            </w:r>
            <w:r>
              <w:rPr>
                <w:rFonts w:cs="Calibri"/>
                <w:sz w:val="16"/>
                <w:szCs w:val="16"/>
              </w:rPr>
              <w:t>e</w:t>
            </w:r>
            <w:r>
              <w:rPr>
                <w:rFonts w:cs="Calibri"/>
                <w:sz w:val="16"/>
                <w:szCs w:val="16"/>
              </w:rPr>
              <w:noBreakHyphen/>
              <w:t>cig</w:t>
            </w:r>
            <w:r w:rsidR="00571385">
              <w:rPr>
                <w:rFonts w:cs="Calibri"/>
                <w:sz w:val="16"/>
                <w:szCs w:val="16"/>
              </w:rPr>
              <w:t>arettes</w:t>
            </w:r>
            <w:r w:rsidRPr="000F6DEF">
              <w:rPr>
                <w:rFonts w:cs="Calibri"/>
                <w:sz w:val="16"/>
                <w:szCs w:val="16"/>
              </w:rPr>
              <w:br/>
              <w:t xml:space="preserve">Frequency </w:t>
            </w:r>
            <w:r>
              <w:rPr>
                <w:rFonts w:cs="Calibri"/>
                <w:sz w:val="16"/>
                <w:szCs w:val="16"/>
              </w:rPr>
              <w:t>e</w:t>
            </w:r>
            <w:r>
              <w:rPr>
                <w:rFonts w:cs="Calibri"/>
                <w:sz w:val="16"/>
                <w:szCs w:val="16"/>
              </w:rPr>
              <w:noBreakHyphen/>
              <w:t>cig</w:t>
            </w:r>
            <w:r w:rsidRPr="000F6DEF">
              <w:rPr>
                <w:rFonts w:cs="Calibri"/>
                <w:sz w:val="16"/>
                <w:szCs w:val="16"/>
              </w:rPr>
              <w:t>arette use</w:t>
            </w:r>
            <w:r w:rsidRPr="000F6DEF">
              <w:rPr>
                <w:rFonts w:cs="Calibri"/>
                <w:sz w:val="16"/>
                <w:szCs w:val="16"/>
              </w:rPr>
              <w:br/>
              <w:t>Age of initiation (cig</w:t>
            </w:r>
            <w:r w:rsidR="00571385">
              <w:rPr>
                <w:rFonts w:cs="Calibri"/>
                <w:sz w:val="16"/>
                <w:szCs w:val="16"/>
              </w:rPr>
              <w:t>arettes</w:t>
            </w:r>
            <w:r w:rsidRPr="000F6DEF">
              <w:rPr>
                <w:rFonts w:cs="Calibri"/>
                <w:sz w:val="16"/>
                <w:szCs w:val="16"/>
              </w:rPr>
              <w:t xml:space="preserve"> and </w:t>
            </w:r>
            <w:r>
              <w:rPr>
                <w:rFonts w:cs="Calibri"/>
                <w:sz w:val="16"/>
                <w:szCs w:val="16"/>
              </w:rPr>
              <w:t>e</w:t>
            </w:r>
            <w:r>
              <w:rPr>
                <w:rFonts w:cs="Calibri"/>
                <w:sz w:val="16"/>
                <w:szCs w:val="16"/>
              </w:rPr>
              <w:noBreakHyphen/>
              <w:t>cig</w:t>
            </w:r>
            <w:r w:rsidR="00571385">
              <w:rPr>
                <w:rFonts w:cs="Calibri"/>
                <w:sz w:val="16"/>
                <w:szCs w:val="16"/>
              </w:rPr>
              <w:t>arettes</w:t>
            </w:r>
            <w:r w:rsidRPr="000F6DEF">
              <w:rPr>
                <w:rFonts w:cs="Calibri"/>
                <w:sz w:val="16"/>
                <w:szCs w:val="16"/>
              </w:rPr>
              <w:t>)</w:t>
            </w:r>
            <w:r w:rsidRPr="000F6DEF">
              <w:rPr>
                <w:rFonts w:cs="Calibri"/>
                <w:sz w:val="16"/>
                <w:szCs w:val="16"/>
              </w:rPr>
              <w:br/>
              <w:t>Frequency current smoking</w:t>
            </w:r>
            <w:r w:rsidRPr="000F6DEF">
              <w:rPr>
                <w:rFonts w:cs="Calibri"/>
                <w:sz w:val="16"/>
                <w:szCs w:val="16"/>
              </w:rPr>
              <w:br/>
              <w:t xml:space="preserve">Sequencing of </w:t>
            </w:r>
            <w:r>
              <w:rPr>
                <w:rFonts w:cs="Calibri"/>
                <w:sz w:val="16"/>
                <w:szCs w:val="16"/>
              </w:rPr>
              <w:t>e</w:t>
            </w:r>
            <w:r>
              <w:rPr>
                <w:rFonts w:cs="Calibri"/>
                <w:sz w:val="16"/>
                <w:szCs w:val="16"/>
              </w:rPr>
              <w:noBreakHyphen/>
              <w:t>cig</w:t>
            </w:r>
            <w:r w:rsidRPr="000F6DEF">
              <w:rPr>
                <w:rFonts w:cs="Calibri"/>
                <w:sz w:val="16"/>
                <w:szCs w:val="16"/>
              </w:rPr>
              <w:t>arette or tobacco use</w:t>
            </w:r>
            <w:r w:rsidRPr="000F6DEF">
              <w:rPr>
                <w:rFonts w:cs="Calibri"/>
                <w:sz w:val="16"/>
                <w:szCs w:val="16"/>
              </w:rPr>
              <w:br/>
              <w:t xml:space="preserve">Alcohol use per drinking </w:t>
            </w:r>
            <w:r w:rsidRPr="000F6DEF">
              <w:rPr>
                <w:rFonts w:cs="Calibri"/>
                <w:sz w:val="16"/>
                <w:szCs w:val="16"/>
              </w:rPr>
              <w:lastRenderedPageBreak/>
              <w:t>session</w:t>
            </w:r>
            <w:r w:rsidRPr="000F6DEF">
              <w:rPr>
                <w:rFonts w:cs="Calibri"/>
                <w:sz w:val="16"/>
                <w:szCs w:val="16"/>
              </w:rPr>
              <w:br/>
              <w:t>Prevalence and frequency of cannabis use.</w:t>
            </w:r>
            <w:r w:rsidRPr="000F6DEF">
              <w:rPr>
                <w:rFonts w:cs="Calibri"/>
                <w:sz w:val="16"/>
                <w:szCs w:val="16"/>
              </w:rPr>
              <w:br/>
              <w:t>Use of mephdrome and laughing gas</w:t>
            </w:r>
          </w:p>
        </w:tc>
        <w:tc>
          <w:tcPr>
            <w:tcW w:w="1593" w:type="dxa"/>
          </w:tcPr>
          <w:p w14:paraId="44A43AF1"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lastRenderedPageBreak/>
              <w:t>Binary logistic regression models</w:t>
            </w:r>
          </w:p>
        </w:tc>
      </w:tr>
      <w:tr w:rsidR="00B85C33" w:rsidRPr="000F6DEF" w14:paraId="019AFD4E" w14:textId="77777777" w:rsidTr="000376C7">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1239" w:type="dxa"/>
          </w:tcPr>
          <w:p w14:paraId="2A3C1409" w14:textId="77777777" w:rsidR="00B85C33" w:rsidRPr="000F6DEF" w:rsidRDefault="00B85C33" w:rsidP="000376C7">
            <w:pPr>
              <w:rPr>
                <w:rFonts w:cs="Calibri"/>
                <w:sz w:val="16"/>
                <w:szCs w:val="16"/>
              </w:rPr>
            </w:pPr>
            <w:r w:rsidRPr="000F6DEF">
              <w:rPr>
                <w:rFonts w:cs="Calibri"/>
                <w:sz w:val="16"/>
                <w:szCs w:val="16"/>
              </w:rPr>
              <w:t>Kaufmann, Currie</w:t>
            </w:r>
          </w:p>
        </w:tc>
        <w:tc>
          <w:tcPr>
            <w:tcW w:w="2476" w:type="dxa"/>
          </w:tcPr>
          <w:p w14:paraId="5DD9716A"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This study will provide the first national scale profiling of Scottish adolescent </w:t>
            </w:r>
            <w:r>
              <w:rPr>
                <w:rFonts w:cs="Calibri"/>
                <w:sz w:val="16"/>
                <w:szCs w:val="16"/>
              </w:rPr>
              <w:t>e</w:t>
            </w:r>
            <w:r>
              <w:rPr>
                <w:rFonts w:cs="Calibri"/>
                <w:sz w:val="16"/>
                <w:szCs w:val="16"/>
              </w:rPr>
              <w:noBreakHyphen/>
              <w:t>cig</w:t>
            </w:r>
            <w:r w:rsidRPr="000F6DEF">
              <w:rPr>
                <w:rFonts w:cs="Calibri"/>
                <w:sz w:val="16"/>
                <w:szCs w:val="16"/>
              </w:rPr>
              <w:t>arette users, which may be used to develop policies towards specific groups.</w:t>
            </w:r>
          </w:p>
        </w:tc>
        <w:tc>
          <w:tcPr>
            <w:tcW w:w="1701" w:type="dxa"/>
          </w:tcPr>
          <w:p w14:paraId="79E0C8AB"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Scottish Schools Adolescent Lifestyle and Substance Use Survey</w:t>
            </w:r>
          </w:p>
        </w:tc>
        <w:tc>
          <w:tcPr>
            <w:tcW w:w="992" w:type="dxa"/>
          </w:tcPr>
          <w:p w14:paraId="3F7F4E2B"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Scotland, UK</w:t>
            </w:r>
          </w:p>
        </w:tc>
        <w:tc>
          <w:tcPr>
            <w:tcW w:w="817" w:type="dxa"/>
          </w:tcPr>
          <w:p w14:paraId="11E69FD1"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2013</w:t>
            </w:r>
          </w:p>
        </w:tc>
        <w:tc>
          <w:tcPr>
            <w:tcW w:w="2551" w:type="dxa"/>
          </w:tcPr>
          <w:p w14:paraId="578DC062"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33,685 pupils (adolescents)</w:t>
            </w:r>
          </w:p>
          <w:p w14:paraId="741A56ED"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Ages: 13</w:t>
            </w:r>
            <w:r w:rsidRPr="000F6DEF">
              <w:rPr>
                <w:rFonts w:cs="Calibri"/>
                <w:sz w:val="16"/>
                <w:szCs w:val="16"/>
              </w:rPr>
              <w:noBreakHyphen/>
              <w:t>15 years</w:t>
            </w:r>
          </w:p>
        </w:tc>
        <w:tc>
          <w:tcPr>
            <w:tcW w:w="1735" w:type="dxa"/>
          </w:tcPr>
          <w:p w14:paraId="3185AE72"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Students from 283 schools</w:t>
            </w:r>
          </w:p>
        </w:tc>
        <w:tc>
          <w:tcPr>
            <w:tcW w:w="1951" w:type="dxa"/>
          </w:tcPr>
          <w:p w14:paraId="70821810"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Further details elsewhere</w:t>
            </w:r>
          </w:p>
        </w:tc>
        <w:tc>
          <w:tcPr>
            <w:tcW w:w="1593" w:type="dxa"/>
          </w:tcPr>
          <w:p w14:paraId="49E2170C"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NR</w:t>
            </w:r>
          </w:p>
        </w:tc>
      </w:tr>
      <w:tr w:rsidR="00B85C33" w:rsidRPr="000F6DEF" w14:paraId="332902C5" w14:textId="77777777" w:rsidTr="000376C7">
        <w:trPr>
          <w:trHeight w:val="569"/>
        </w:trPr>
        <w:tc>
          <w:tcPr>
            <w:cnfStyle w:val="001000000000" w:firstRow="0" w:lastRow="0" w:firstColumn="1" w:lastColumn="0" w:oddVBand="0" w:evenVBand="0" w:oddHBand="0" w:evenHBand="0" w:firstRowFirstColumn="0" w:firstRowLastColumn="0" w:lastRowFirstColumn="0" w:lastRowLastColumn="0"/>
            <w:tcW w:w="1239" w:type="dxa"/>
          </w:tcPr>
          <w:p w14:paraId="31F459ED" w14:textId="77777777" w:rsidR="00B85C33" w:rsidRPr="000F6DEF" w:rsidRDefault="00B85C33" w:rsidP="000376C7">
            <w:pPr>
              <w:rPr>
                <w:rFonts w:cs="Calibri"/>
                <w:sz w:val="16"/>
                <w:szCs w:val="16"/>
              </w:rPr>
            </w:pPr>
            <w:r w:rsidRPr="000F6DEF">
              <w:rPr>
                <w:rFonts w:cs="Calibri"/>
                <w:sz w:val="16"/>
                <w:szCs w:val="16"/>
              </w:rPr>
              <w:t>McKeganey, Barnard, Russell</w:t>
            </w:r>
          </w:p>
        </w:tc>
        <w:tc>
          <w:tcPr>
            <w:tcW w:w="2476" w:type="dxa"/>
          </w:tcPr>
          <w:p w14:paraId="062AA29B"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In this paper we report the views of a small sample of </w:t>
            </w:r>
            <w:r>
              <w:rPr>
                <w:rFonts w:cs="Calibri"/>
                <w:sz w:val="16"/>
                <w:szCs w:val="16"/>
              </w:rPr>
              <w:t>e</w:t>
            </w:r>
            <w:r>
              <w:rPr>
                <w:rFonts w:cs="Calibri"/>
                <w:sz w:val="16"/>
                <w:szCs w:val="16"/>
              </w:rPr>
              <w:noBreakHyphen/>
              <w:t>cig</w:t>
            </w:r>
            <w:r w:rsidRPr="000F6DEF">
              <w:rPr>
                <w:rFonts w:cs="Calibri"/>
                <w:sz w:val="16"/>
                <w:szCs w:val="16"/>
              </w:rPr>
              <w:t xml:space="preserve">arette users focussing on the circumstances in which individuals began vaping, their reasons for continuing vaping, their perceptions of the relative harm of vaping compared to smoking, and their views as to whether their use of </w:t>
            </w:r>
            <w:r>
              <w:rPr>
                <w:rFonts w:cs="Calibri"/>
                <w:sz w:val="16"/>
                <w:szCs w:val="16"/>
              </w:rPr>
              <w:t>e</w:t>
            </w:r>
            <w:r>
              <w:rPr>
                <w:rFonts w:cs="Calibri"/>
                <w:sz w:val="16"/>
                <w:szCs w:val="16"/>
              </w:rPr>
              <w:noBreakHyphen/>
              <w:t>cig</w:t>
            </w:r>
            <w:r w:rsidRPr="000F6DEF">
              <w:rPr>
                <w:rFonts w:cs="Calibri"/>
                <w:sz w:val="16"/>
                <w:szCs w:val="16"/>
              </w:rPr>
              <w:t>arettes had increased their likelihood of smoking.</w:t>
            </w:r>
          </w:p>
        </w:tc>
        <w:tc>
          <w:tcPr>
            <w:tcW w:w="1701" w:type="dxa"/>
          </w:tcPr>
          <w:p w14:paraId="2CACDA8E"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NA</w:t>
            </w:r>
          </w:p>
        </w:tc>
        <w:tc>
          <w:tcPr>
            <w:tcW w:w="992" w:type="dxa"/>
          </w:tcPr>
          <w:p w14:paraId="7E494B4B"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Scotland and England, UK</w:t>
            </w:r>
          </w:p>
        </w:tc>
        <w:tc>
          <w:tcPr>
            <w:tcW w:w="817" w:type="dxa"/>
          </w:tcPr>
          <w:p w14:paraId="5CDA6C4D"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NR</w:t>
            </w:r>
          </w:p>
        </w:tc>
        <w:tc>
          <w:tcPr>
            <w:tcW w:w="2551" w:type="dxa"/>
          </w:tcPr>
          <w:p w14:paraId="4279A55B"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50</w:t>
            </w:r>
          </w:p>
          <w:p w14:paraId="4FC976AA"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Mean age: 20.9</w:t>
            </w:r>
          </w:p>
          <w:p w14:paraId="7EDA3318"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64% males</w:t>
            </w:r>
          </w:p>
        </w:tc>
        <w:tc>
          <w:tcPr>
            <w:tcW w:w="1735" w:type="dxa"/>
          </w:tcPr>
          <w:p w14:paraId="13E709AC"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Interviewees were recruited from a range of educational</w:t>
            </w:r>
            <w:r w:rsidRPr="000F6DEF">
              <w:rPr>
                <w:rFonts w:cs="Calibri"/>
                <w:sz w:val="16"/>
                <w:szCs w:val="16"/>
              </w:rPr>
              <w:br/>
              <w:t>settings (universities/colleges), leisure, and work settings</w:t>
            </w:r>
            <w:r w:rsidRPr="000F6DEF">
              <w:rPr>
                <w:rFonts w:cs="Calibri"/>
                <w:sz w:val="16"/>
                <w:szCs w:val="16"/>
              </w:rPr>
              <w:br/>
              <w:t>across the North of England and Scotland drawing on social networks of young people within the various settings</w:t>
            </w:r>
          </w:p>
        </w:tc>
        <w:tc>
          <w:tcPr>
            <w:tcW w:w="1951" w:type="dxa"/>
          </w:tcPr>
          <w:p w14:paraId="216AB8F8"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Face</w:t>
            </w:r>
            <w:r w:rsidRPr="000F6DEF">
              <w:rPr>
                <w:rFonts w:cs="Calibri"/>
                <w:sz w:val="16"/>
                <w:szCs w:val="16"/>
              </w:rPr>
              <w:noBreakHyphen/>
              <w:t>to</w:t>
            </w:r>
            <w:r w:rsidRPr="000F6DEF">
              <w:rPr>
                <w:rFonts w:cs="Calibri"/>
                <w:sz w:val="16"/>
                <w:szCs w:val="16"/>
              </w:rPr>
              <w:noBreakHyphen/>
              <w:t xml:space="preserve">face interviews </w:t>
            </w:r>
          </w:p>
        </w:tc>
        <w:tc>
          <w:tcPr>
            <w:tcW w:w="1593" w:type="dxa"/>
          </w:tcPr>
          <w:p w14:paraId="1646BF63"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Semi</w:t>
            </w:r>
            <w:r w:rsidRPr="000F6DEF">
              <w:rPr>
                <w:rFonts w:cs="Calibri"/>
                <w:sz w:val="16"/>
                <w:szCs w:val="16"/>
              </w:rPr>
              <w:noBreakHyphen/>
              <w:t>structured interviews</w:t>
            </w:r>
          </w:p>
        </w:tc>
      </w:tr>
      <w:tr w:rsidR="00B85C33" w:rsidRPr="000F6DEF" w14:paraId="5E015B74" w14:textId="77777777" w:rsidTr="000376C7">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1239" w:type="dxa"/>
          </w:tcPr>
          <w:p w14:paraId="475C162F" w14:textId="77777777" w:rsidR="00B85C33" w:rsidRPr="000F6DEF" w:rsidRDefault="00B85C33" w:rsidP="000376C7">
            <w:pPr>
              <w:rPr>
                <w:rFonts w:cs="Calibri"/>
                <w:sz w:val="16"/>
                <w:szCs w:val="16"/>
              </w:rPr>
            </w:pPr>
            <w:r w:rsidRPr="000F6DEF">
              <w:rPr>
                <w:rFonts w:cs="Calibri"/>
                <w:sz w:val="16"/>
                <w:szCs w:val="16"/>
              </w:rPr>
              <w:t>Loonat, Sagar, Selinger 2018</w:t>
            </w:r>
          </w:p>
        </w:tc>
        <w:tc>
          <w:tcPr>
            <w:tcW w:w="2476" w:type="dxa"/>
          </w:tcPr>
          <w:p w14:paraId="32CBE204"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We aimed to describe current smoking rates in IBD (irritable bowel disease) patients compared with the general population and to ascertain any effects of smoking on disease course.</w:t>
            </w:r>
          </w:p>
        </w:tc>
        <w:tc>
          <w:tcPr>
            <w:tcW w:w="1701" w:type="dxa"/>
          </w:tcPr>
          <w:p w14:paraId="52AA7E3B"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Hospital records</w:t>
            </w:r>
          </w:p>
        </w:tc>
        <w:tc>
          <w:tcPr>
            <w:tcW w:w="992" w:type="dxa"/>
          </w:tcPr>
          <w:p w14:paraId="71B981E9"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UK</w:t>
            </w:r>
          </w:p>
        </w:tc>
        <w:tc>
          <w:tcPr>
            <w:tcW w:w="817" w:type="dxa"/>
          </w:tcPr>
          <w:p w14:paraId="74B9B7BC"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Not reported</w:t>
            </w:r>
          </w:p>
        </w:tc>
        <w:tc>
          <w:tcPr>
            <w:tcW w:w="2551" w:type="dxa"/>
          </w:tcPr>
          <w:p w14:paraId="13CA9D50"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375 people with IBD, 44.7 years (mean age)</w:t>
            </w:r>
          </w:p>
        </w:tc>
        <w:tc>
          <w:tcPr>
            <w:tcW w:w="1735" w:type="dxa"/>
          </w:tcPr>
          <w:p w14:paraId="5F01BCD5"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Out</w:t>
            </w:r>
            <w:r w:rsidRPr="000F6DEF">
              <w:rPr>
                <w:rFonts w:cs="Calibri"/>
                <w:sz w:val="16"/>
                <w:szCs w:val="16"/>
              </w:rPr>
              <w:noBreakHyphen/>
              <w:t>patients and clinical data</w:t>
            </w:r>
          </w:p>
        </w:tc>
        <w:tc>
          <w:tcPr>
            <w:tcW w:w="1951" w:type="dxa"/>
          </w:tcPr>
          <w:p w14:paraId="60B62F1D"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Records</w:t>
            </w:r>
          </w:p>
        </w:tc>
        <w:tc>
          <w:tcPr>
            <w:tcW w:w="1593" w:type="dxa"/>
          </w:tcPr>
          <w:p w14:paraId="483A4F6A"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Disease phenotype</w:t>
            </w:r>
          </w:p>
          <w:p w14:paraId="00057439"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treatment history</w:t>
            </w:r>
          </w:p>
          <w:p w14:paraId="6C485298"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disease status</w:t>
            </w:r>
          </w:p>
          <w:p w14:paraId="2D9591A6"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self</w:t>
            </w:r>
            <w:r w:rsidRPr="000F6DEF">
              <w:rPr>
                <w:rFonts w:cs="Calibri"/>
                <w:sz w:val="16"/>
                <w:szCs w:val="16"/>
              </w:rPr>
              <w:noBreakHyphen/>
              <w:t>reported smoking status</w:t>
            </w:r>
          </w:p>
        </w:tc>
      </w:tr>
      <w:tr w:rsidR="00B85C33" w:rsidRPr="000F6DEF" w14:paraId="4BBE6E42" w14:textId="77777777" w:rsidTr="000376C7">
        <w:trPr>
          <w:trHeight w:val="672"/>
        </w:trPr>
        <w:tc>
          <w:tcPr>
            <w:cnfStyle w:val="001000000000" w:firstRow="0" w:lastRow="0" w:firstColumn="1" w:lastColumn="0" w:oddVBand="0" w:evenVBand="0" w:oddHBand="0" w:evenHBand="0" w:firstRowFirstColumn="0" w:firstRowLastColumn="0" w:lastRowFirstColumn="0" w:lastRowLastColumn="0"/>
            <w:tcW w:w="1239" w:type="dxa"/>
          </w:tcPr>
          <w:p w14:paraId="751E5C49" w14:textId="77777777" w:rsidR="00B85C33" w:rsidRPr="000F6DEF" w:rsidRDefault="00B85C33" w:rsidP="000376C7">
            <w:pPr>
              <w:rPr>
                <w:rFonts w:cs="Calibri"/>
                <w:sz w:val="16"/>
                <w:szCs w:val="16"/>
              </w:rPr>
            </w:pPr>
            <w:r w:rsidRPr="000F6DEF">
              <w:rPr>
                <w:rFonts w:cs="Calibri"/>
                <w:sz w:val="16"/>
                <w:szCs w:val="16"/>
              </w:rPr>
              <w:t>Ng Fat, Scholes, Mindell</w:t>
            </w:r>
          </w:p>
        </w:tc>
        <w:tc>
          <w:tcPr>
            <w:tcW w:w="2476" w:type="dxa"/>
          </w:tcPr>
          <w:p w14:paraId="28C752FC"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This study explores the motivations for current and previous use of </w:t>
            </w:r>
            <w:r>
              <w:rPr>
                <w:rFonts w:cs="Calibri"/>
                <w:sz w:val="16"/>
                <w:szCs w:val="16"/>
              </w:rPr>
              <w:t>e</w:t>
            </w:r>
            <w:r>
              <w:rPr>
                <w:rFonts w:cs="Calibri"/>
                <w:sz w:val="16"/>
                <w:szCs w:val="16"/>
              </w:rPr>
              <w:noBreakHyphen/>
              <w:t>cig</w:t>
            </w:r>
            <w:r w:rsidRPr="000F6DEF">
              <w:rPr>
                <w:rFonts w:cs="Calibri"/>
                <w:sz w:val="16"/>
                <w:szCs w:val="16"/>
              </w:rPr>
              <w:t>arettes, and whether use is associated with reporting lower or higher cigarette consumption than a year ago.</w:t>
            </w:r>
          </w:p>
        </w:tc>
        <w:tc>
          <w:tcPr>
            <w:tcW w:w="1701" w:type="dxa"/>
          </w:tcPr>
          <w:p w14:paraId="01C747C5"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Health Survey for England, HSE2013–2014</w:t>
            </w:r>
          </w:p>
        </w:tc>
        <w:tc>
          <w:tcPr>
            <w:tcW w:w="992" w:type="dxa"/>
          </w:tcPr>
          <w:p w14:paraId="55190936"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England</w:t>
            </w:r>
          </w:p>
        </w:tc>
        <w:tc>
          <w:tcPr>
            <w:tcW w:w="817" w:type="dxa"/>
          </w:tcPr>
          <w:p w14:paraId="3C8342BF"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2013</w:t>
            </w:r>
            <w:r w:rsidRPr="000F6DEF">
              <w:rPr>
                <w:rFonts w:cs="Calibri"/>
                <w:sz w:val="16"/>
                <w:szCs w:val="16"/>
              </w:rPr>
              <w:noBreakHyphen/>
              <w:t>2014</w:t>
            </w:r>
          </w:p>
        </w:tc>
        <w:tc>
          <w:tcPr>
            <w:tcW w:w="2551" w:type="dxa"/>
          </w:tcPr>
          <w:p w14:paraId="12A479F9"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3,039 current smokers</w:t>
            </w:r>
          </w:p>
        </w:tc>
        <w:tc>
          <w:tcPr>
            <w:tcW w:w="1735" w:type="dxa"/>
          </w:tcPr>
          <w:p w14:paraId="4AE7FE1A"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NR</w:t>
            </w:r>
          </w:p>
        </w:tc>
        <w:tc>
          <w:tcPr>
            <w:tcW w:w="1951" w:type="dxa"/>
          </w:tcPr>
          <w:p w14:paraId="410C1193"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NR</w:t>
            </w:r>
          </w:p>
        </w:tc>
        <w:tc>
          <w:tcPr>
            <w:tcW w:w="1593" w:type="dxa"/>
          </w:tcPr>
          <w:p w14:paraId="070AFDFC"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Current use </w:t>
            </w:r>
            <w:r>
              <w:rPr>
                <w:rFonts w:cs="Calibri"/>
                <w:sz w:val="16"/>
                <w:szCs w:val="16"/>
              </w:rPr>
              <w:t>e</w:t>
            </w:r>
            <w:r>
              <w:rPr>
                <w:rFonts w:cs="Calibri"/>
                <w:sz w:val="16"/>
                <w:szCs w:val="16"/>
              </w:rPr>
              <w:noBreakHyphen/>
              <w:t>cig</w:t>
            </w:r>
            <w:r w:rsidRPr="000F6DEF">
              <w:rPr>
                <w:rFonts w:cs="Calibri"/>
                <w:sz w:val="16"/>
                <w:szCs w:val="16"/>
              </w:rPr>
              <w:t>arette</w:t>
            </w:r>
            <w:r w:rsidRPr="000F6DEF">
              <w:rPr>
                <w:rFonts w:cs="Calibri"/>
                <w:sz w:val="16"/>
                <w:szCs w:val="16"/>
              </w:rPr>
              <w:br/>
              <w:t xml:space="preserve">Ever use </w:t>
            </w:r>
            <w:r>
              <w:rPr>
                <w:rFonts w:cs="Calibri"/>
                <w:sz w:val="16"/>
                <w:szCs w:val="16"/>
              </w:rPr>
              <w:t>e</w:t>
            </w:r>
            <w:r>
              <w:rPr>
                <w:rFonts w:cs="Calibri"/>
                <w:sz w:val="16"/>
                <w:szCs w:val="16"/>
              </w:rPr>
              <w:noBreakHyphen/>
              <w:t>cig</w:t>
            </w:r>
            <w:r w:rsidRPr="000F6DEF">
              <w:rPr>
                <w:rFonts w:cs="Calibri"/>
                <w:sz w:val="16"/>
                <w:szCs w:val="16"/>
              </w:rPr>
              <w:t>arette Intentions to quit smoking</w:t>
            </w:r>
            <w:r w:rsidRPr="000F6DEF">
              <w:rPr>
                <w:rFonts w:cs="Calibri"/>
                <w:sz w:val="16"/>
                <w:szCs w:val="16"/>
              </w:rPr>
              <w:br/>
              <w:t>Cigarette use</w:t>
            </w:r>
          </w:p>
        </w:tc>
      </w:tr>
      <w:tr w:rsidR="00B85C33" w:rsidRPr="000F6DEF" w14:paraId="471A31C1" w14:textId="77777777" w:rsidTr="000376C7">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1239" w:type="dxa"/>
          </w:tcPr>
          <w:p w14:paraId="6398BF47" w14:textId="77777777" w:rsidR="00B85C33" w:rsidRPr="000F6DEF" w:rsidRDefault="00B85C33" w:rsidP="000376C7">
            <w:pPr>
              <w:rPr>
                <w:rFonts w:cs="Calibri"/>
                <w:sz w:val="16"/>
                <w:szCs w:val="16"/>
              </w:rPr>
            </w:pPr>
            <w:r w:rsidRPr="000F6DEF">
              <w:rPr>
                <w:rFonts w:cs="Calibri"/>
                <w:sz w:val="16"/>
                <w:szCs w:val="16"/>
              </w:rPr>
              <w:t>Simonavicius E et al 2017</w:t>
            </w:r>
          </w:p>
        </w:tc>
        <w:tc>
          <w:tcPr>
            <w:tcW w:w="2476" w:type="dxa"/>
          </w:tcPr>
          <w:p w14:paraId="75EEF6CF" w14:textId="4BF89A46"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To assess factors associated with ongoing </w:t>
            </w:r>
            <w:r>
              <w:rPr>
                <w:rFonts w:cs="Calibri"/>
                <w:sz w:val="16"/>
                <w:szCs w:val="16"/>
              </w:rPr>
              <w:t>e</w:t>
            </w:r>
            <w:r>
              <w:rPr>
                <w:rFonts w:cs="Calibri"/>
                <w:sz w:val="16"/>
                <w:szCs w:val="16"/>
              </w:rPr>
              <w:noBreakHyphen/>
              <w:t>cig</w:t>
            </w:r>
            <w:r w:rsidRPr="000F6DEF">
              <w:rPr>
                <w:rFonts w:cs="Calibri"/>
                <w:sz w:val="16"/>
                <w:szCs w:val="16"/>
              </w:rPr>
              <w:t>arette use and discontinuation among smokers</w:t>
            </w:r>
            <w:r w:rsidR="005500FC">
              <w:rPr>
                <w:rFonts w:cs="Calibri"/>
                <w:sz w:val="16"/>
                <w:szCs w:val="16"/>
              </w:rPr>
              <w:t>.</w:t>
            </w:r>
          </w:p>
        </w:tc>
        <w:tc>
          <w:tcPr>
            <w:tcW w:w="1701" w:type="dxa"/>
          </w:tcPr>
          <w:p w14:paraId="6B7F523E"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ASH Smoke free Britain survey annual survey </w:t>
            </w:r>
          </w:p>
        </w:tc>
        <w:tc>
          <w:tcPr>
            <w:tcW w:w="992" w:type="dxa"/>
          </w:tcPr>
          <w:p w14:paraId="0E82F5DC"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UK</w:t>
            </w:r>
          </w:p>
        </w:tc>
        <w:tc>
          <w:tcPr>
            <w:tcW w:w="817" w:type="dxa"/>
          </w:tcPr>
          <w:p w14:paraId="511EAA99"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2016</w:t>
            </w:r>
          </w:p>
        </w:tc>
        <w:tc>
          <w:tcPr>
            <w:tcW w:w="2551" w:type="dxa"/>
          </w:tcPr>
          <w:p w14:paraId="208399D5" w14:textId="518CD9DA"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12</w:t>
            </w:r>
            <w:r w:rsidR="00571385">
              <w:rPr>
                <w:rFonts w:cs="Calibri"/>
                <w:sz w:val="16"/>
                <w:szCs w:val="16"/>
              </w:rPr>
              <w:t>,</w:t>
            </w:r>
            <w:r w:rsidRPr="000F6DEF">
              <w:rPr>
                <w:rFonts w:cs="Calibri"/>
                <w:sz w:val="16"/>
                <w:szCs w:val="16"/>
              </w:rPr>
              <w:t>157</w:t>
            </w:r>
          </w:p>
        </w:tc>
        <w:tc>
          <w:tcPr>
            <w:tcW w:w="1735" w:type="dxa"/>
          </w:tcPr>
          <w:p w14:paraId="73B14995"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Panel members emailed an invitation to participate then members were </w:t>
            </w:r>
            <w:r w:rsidRPr="000F6DEF">
              <w:rPr>
                <w:rFonts w:cs="Calibri"/>
                <w:sz w:val="16"/>
                <w:szCs w:val="16"/>
              </w:rPr>
              <w:lastRenderedPageBreak/>
              <w:t>allocated in line with quotas</w:t>
            </w:r>
          </w:p>
        </w:tc>
        <w:tc>
          <w:tcPr>
            <w:tcW w:w="1951" w:type="dxa"/>
          </w:tcPr>
          <w:p w14:paraId="7360C4B9"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lastRenderedPageBreak/>
              <w:t xml:space="preserve">online questionnaire </w:t>
            </w:r>
          </w:p>
        </w:tc>
        <w:tc>
          <w:tcPr>
            <w:tcW w:w="1593" w:type="dxa"/>
          </w:tcPr>
          <w:p w14:paraId="6267E71D" w14:textId="1A407751"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Smoking status + motivation to stop smoking; reasons for and characteristics associated with using </w:t>
            </w:r>
            <w:r w:rsidRPr="000F6DEF">
              <w:rPr>
                <w:rFonts w:cs="Calibri"/>
                <w:sz w:val="16"/>
                <w:szCs w:val="16"/>
              </w:rPr>
              <w:lastRenderedPageBreak/>
              <w:t xml:space="preserve">and discontinuing </w:t>
            </w:r>
            <w:r>
              <w:rPr>
                <w:rFonts w:cs="Calibri"/>
                <w:sz w:val="16"/>
                <w:szCs w:val="16"/>
              </w:rPr>
              <w:t>e</w:t>
            </w:r>
            <w:r>
              <w:rPr>
                <w:rFonts w:cs="Calibri"/>
                <w:sz w:val="16"/>
                <w:szCs w:val="16"/>
              </w:rPr>
              <w:noBreakHyphen/>
              <w:t>cig</w:t>
            </w:r>
            <w:r w:rsidR="00571385">
              <w:rPr>
                <w:rFonts w:cs="Calibri"/>
                <w:sz w:val="16"/>
                <w:szCs w:val="16"/>
              </w:rPr>
              <w:t>arette</w:t>
            </w:r>
            <w:r w:rsidRPr="000F6DEF">
              <w:rPr>
                <w:rFonts w:cs="Calibri"/>
                <w:sz w:val="16"/>
                <w:szCs w:val="16"/>
              </w:rPr>
              <w:t>s</w:t>
            </w:r>
          </w:p>
        </w:tc>
      </w:tr>
    </w:tbl>
    <w:p w14:paraId="52F39A5F" w14:textId="77777777" w:rsidR="00B85C33" w:rsidRDefault="00B85C33" w:rsidP="00B85C33">
      <w:pPr>
        <w:pStyle w:val="Caption"/>
      </w:pPr>
    </w:p>
    <w:p w14:paraId="6675FF82" w14:textId="77777777" w:rsidR="00B85C33" w:rsidRDefault="00B85C33" w:rsidP="00B85C33">
      <w:pPr>
        <w:spacing w:after="0"/>
        <w:rPr>
          <w:b/>
          <w:bCs/>
          <w:color w:val="007E9A" w:themeColor="accent1" w:themeShade="BF"/>
          <w:sz w:val="20"/>
          <w:szCs w:val="18"/>
        </w:rPr>
      </w:pPr>
      <w:r>
        <w:br w:type="page"/>
      </w:r>
    </w:p>
    <w:p w14:paraId="57D805A0" w14:textId="77777777" w:rsidR="00B85C33" w:rsidRDefault="004C6D16" w:rsidP="004C6D16">
      <w:pPr>
        <w:pStyle w:val="Caption"/>
      </w:pPr>
      <w:bookmarkStart w:id="344" w:name="_Toc517707452"/>
      <w:r>
        <w:lastRenderedPageBreak/>
        <w:t xml:space="preserve">Table </w:t>
      </w:r>
      <w:r w:rsidR="0048064B">
        <w:rPr>
          <w:noProof/>
        </w:rPr>
        <w:fldChar w:fldCharType="begin"/>
      </w:r>
      <w:r w:rsidR="0048064B">
        <w:rPr>
          <w:noProof/>
        </w:rPr>
        <w:instrText xml:space="preserve"> SEQ Table \* ARABIC </w:instrText>
      </w:r>
      <w:r w:rsidR="0048064B">
        <w:rPr>
          <w:noProof/>
        </w:rPr>
        <w:fldChar w:fldCharType="separate"/>
      </w:r>
      <w:r w:rsidR="000C06DA">
        <w:rPr>
          <w:noProof/>
        </w:rPr>
        <w:t>43</w:t>
      </w:r>
      <w:r w:rsidR="0048064B">
        <w:rPr>
          <w:noProof/>
        </w:rPr>
        <w:fldChar w:fldCharType="end"/>
      </w:r>
      <w:r w:rsidR="00B85C33" w:rsidRPr="00646810">
        <w:t>: Results of studies from the UK</w:t>
      </w:r>
      <w:bookmarkEnd w:id="344"/>
    </w:p>
    <w:tbl>
      <w:tblPr>
        <w:tblStyle w:val="TableCSIRO"/>
        <w:tblW w:w="15168" w:type="dxa"/>
        <w:tblInd w:w="0" w:type="dxa"/>
        <w:tblLayout w:type="fixed"/>
        <w:tblLook w:val="04A0" w:firstRow="1" w:lastRow="0" w:firstColumn="1" w:lastColumn="0" w:noHBand="0" w:noVBand="1"/>
      </w:tblPr>
      <w:tblGrid>
        <w:gridCol w:w="1435"/>
        <w:gridCol w:w="3380"/>
        <w:gridCol w:w="7796"/>
        <w:gridCol w:w="2557"/>
      </w:tblGrid>
      <w:tr w:rsidR="00B85C33" w:rsidRPr="000F6DEF" w14:paraId="675466CE" w14:textId="77777777" w:rsidTr="000376C7">
        <w:trPr>
          <w:cnfStyle w:val="100000000000" w:firstRow="1" w:lastRow="0" w:firstColumn="0" w:lastColumn="0" w:oddVBand="0" w:evenVBand="0" w:oddHBand="0" w:evenHBand="0" w:firstRowFirstColumn="0" w:firstRowLastColumn="0" w:lastRowFirstColumn="0" w:lastRowLastColumn="0"/>
          <w:trHeight w:val="94"/>
          <w:tblHeader/>
        </w:trPr>
        <w:tc>
          <w:tcPr>
            <w:cnfStyle w:val="001000000000" w:firstRow="0" w:lastRow="0" w:firstColumn="1" w:lastColumn="0" w:oddVBand="0" w:evenVBand="0" w:oddHBand="0" w:evenHBand="0" w:firstRowFirstColumn="0" w:firstRowLastColumn="0" w:lastRowFirstColumn="0" w:lastRowLastColumn="0"/>
            <w:tcW w:w="1435" w:type="dxa"/>
            <w:hideMark/>
          </w:tcPr>
          <w:p w14:paraId="155CBE71" w14:textId="77777777" w:rsidR="00B85C33" w:rsidRPr="000F6DEF" w:rsidRDefault="00B85C33" w:rsidP="000376C7">
            <w:pPr>
              <w:rPr>
                <w:color w:val="auto"/>
                <w:sz w:val="16"/>
                <w:szCs w:val="16"/>
              </w:rPr>
            </w:pPr>
            <w:r w:rsidRPr="000F6DEF">
              <w:rPr>
                <w:color w:val="auto"/>
                <w:sz w:val="16"/>
                <w:szCs w:val="16"/>
              </w:rPr>
              <w:t>Study reference</w:t>
            </w:r>
          </w:p>
        </w:tc>
        <w:tc>
          <w:tcPr>
            <w:tcW w:w="3380" w:type="dxa"/>
            <w:hideMark/>
          </w:tcPr>
          <w:p w14:paraId="2202BD6F" w14:textId="77777777" w:rsidR="00B85C33" w:rsidRPr="000F6DEF" w:rsidRDefault="00B85C33" w:rsidP="000376C7">
            <w:pPr>
              <w:cnfStyle w:val="100000000000" w:firstRow="1" w:lastRow="0" w:firstColumn="0" w:lastColumn="0" w:oddVBand="0" w:evenVBand="0" w:oddHBand="0" w:evenHBand="0" w:firstRowFirstColumn="0" w:firstRowLastColumn="0" w:lastRowFirstColumn="0" w:lastRowLastColumn="0"/>
              <w:rPr>
                <w:color w:val="auto"/>
                <w:sz w:val="16"/>
                <w:szCs w:val="16"/>
              </w:rPr>
            </w:pPr>
            <w:r w:rsidRPr="000F6DEF">
              <w:rPr>
                <w:color w:val="auto"/>
                <w:sz w:val="16"/>
                <w:szCs w:val="16"/>
              </w:rPr>
              <w:t>Purpose</w:t>
            </w:r>
          </w:p>
        </w:tc>
        <w:tc>
          <w:tcPr>
            <w:tcW w:w="7796" w:type="dxa"/>
            <w:hideMark/>
          </w:tcPr>
          <w:p w14:paraId="5E2A10A2" w14:textId="77777777" w:rsidR="00B85C33" w:rsidRPr="000F6DEF" w:rsidRDefault="00B85C33" w:rsidP="000376C7">
            <w:pPr>
              <w:cnfStyle w:val="100000000000" w:firstRow="1" w:lastRow="0" w:firstColumn="0" w:lastColumn="0" w:oddVBand="0" w:evenVBand="0" w:oddHBand="0" w:evenHBand="0" w:firstRowFirstColumn="0" w:firstRowLastColumn="0" w:lastRowFirstColumn="0" w:lastRowLastColumn="0"/>
              <w:rPr>
                <w:color w:val="auto"/>
                <w:sz w:val="16"/>
                <w:szCs w:val="16"/>
              </w:rPr>
            </w:pPr>
            <w:r w:rsidRPr="000F6DEF">
              <w:rPr>
                <w:color w:val="auto"/>
                <w:sz w:val="16"/>
                <w:szCs w:val="16"/>
              </w:rPr>
              <w:t>Results</w:t>
            </w:r>
          </w:p>
        </w:tc>
        <w:tc>
          <w:tcPr>
            <w:tcW w:w="2557" w:type="dxa"/>
            <w:hideMark/>
          </w:tcPr>
          <w:p w14:paraId="0ECCF15E" w14:textId="77777777" w:rsidR="00B85C33" w:rsidRPr="000F6DEF" w:rsidRDefault="00B85C33" w:rsidP="000376C7">
            <w:pPr>
              <w:cnfStyle w:val="100000000000" w:firstRow="1" w:lastRow="0" w:firstColumn="0" w:lastColumn="0" w:oddVBand="0" w:evenVBand="0" w:oddHBand="0" w:evenHBand="0" w:firstRowFirstColumn="0" w:firstRowLastColumn="0" w:lastRowFirstColumn="0" w:lastRowLastColumn="0"/>
              <w:rPr>
                <w:color w:val="auto"/>
                <w:sz w:val="16"/>
                <w:szCs w:val="16"/>
              </w:rPr>
            </w:pPr>
            <w:r w:rsidRPr="000F6DEF">
              <w:rPr>
                <w:color w:val="auto"/>
                <w:sz w:val="16"/>
                <w:szCs w:val="16"/>
              </w:rPr>
              <w:t>Author conclusion</w:t>
            </w:r>
          </w:p>
        </w:tc>
      </w:tr>
      <w:tr w:rsidR="00B85C33" w:rsidRPr="000F6DEF" w14:paraId="0D161B00" w14:textId="77777777" w:rsidTr="000376C7">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1435" w:type="dxa"/>
          </w:tcPr>
          <w:p w14:paraId="2BF8EDDD" w14:textId="77777777" w:rsidR="00B85C33" w:rsidRPr="000F6DEF" w:rsidRDefault="00B85C33" w:rsidP="000376C7">
            <w:pPr>
              <w:rPr>
                <w:rFonts w:cs="Calibri"/>
                <w:sz w:val="16"/>
                <w:szCs w:val="16"/>
              </w:rPr>
            </w:pPr>
            <w:r w:rsidRPr="000F6DEF">
              <w:rPr>
                <w:rFonts w:cs="Calibri"/>
                <w:sz w:val="16"/>
                <w:szCs w:val="16"/>
              </w:rPr>
              <w:t>Bauld, MacKintosh, Eastwood, Ford et al.</w:t>
            </w:r>
          </w:p>
        </w:tc>
        <w:tc>
          <w:tcPr>
            <w:tcW w:w="3380" w:type="dxa"/>
          </w:tcPr>
          <w:p w14:paraId="07CA08E3"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To assess recent trends in ever and regular use of tobacco and electronic cigarettes.</w:t>
            </w:r>
          </w:p>
        </w:tc>
        <w:tc>
          <w:tcPr>
            <w:tcW w:w="7796" w:type="dxa"/>
          </w:tcPr>
          <w:p w14:paraId="6CC39885"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Ever use </w:t>
            </w:r>
            <w:r>
              <w:rPr>
                <w:rFonts w:cs="Calibri"/>
                <w:sz w:val="16"/>
                <w:szCs w:val="16"/>
              </w:rPr>
              <w:t>e</w:t>
            </w:r>
            <w:r>
              <w:rPr>
                <w:rFonts w:cs="Calibri"/>
                <w:sz w:val="16"/>
                <w:szCs w:val="16"/>
              </w:rPr>
              <w:noBreakHyphen/>
              <w:t>cig</w:t>
            </w:r>
            <w:r w:rsidRPr="000F6DEF">
              <w:rPr>
                <w:rFonts w:cs="Calibri"/>
                <w:sz w:val="16"/>
                <w:szCs w:val="16"/>
              </w:rPr>
              <w:t>arette ranged from 7</w:t>
            </w:r>
            <w:r w:rsidRPr="000F6DEF">
              <w:rPr>
                <w:rFonts w:cs="Calibri"/>
                <w:sz w:val="16"/>
                <w:szCs w:val="16"/>
              </w:rPr>
              <w:noBreakHyphen/>
              <w:t>18% in 11</w:t>
            </w:r>
            <w:r w:rsidRPr="000F6DEF">
              <w:rPr>
                <w:rFonts w:cs="Calibri"/>
                <w:sz w:val="16"/>
                <w:szCs w:val="16"/>
              </w:rPr>
              <w:noBreakHyphen/>
              <w:t>16yo.</w:t>
            </w:r>
            <w:r w:rsidRPr="000F6DEF">
              <w:rPr>
                <w:rFonts w:cs="Calibri"/>
                <w:sz w:val="16"/>
                <w:szCs w:val="16"/>
              </w:rPr>
              <w:br/>
              <w:t xml:space="preserve">1/10 to 1/5 of 11–16 year olds report having tried </w:t>
            </w:r>
            <w:r>
              <w:rPr>
                <w:rFonts w:cs="Calibri"/>
                <w:sz w:val="16"/>
                <w:szCs w:val="16"/>
              </w:rPr>
              <w:t>e</w:t>
            </w:r>
            <w:r>
              <w:rPr>
                <w:rFonts w:cs="Calibri"/>
                <w:sz w:val="16"/>
                <w:szCs w:val="16"/>
              </w:rPr>
              <w:noBreakHyphen/>
              <w:t>cig</w:t>
            </w:r>
            <w:r w:rsidRPr="000F6DEF">
              <w:rPr>
                <w:rFonts w:cs="Calibri"/>
                <w:sz w:val="16"/>
                <w:szCs w:val="16"/>
              </w:rPr>
              <w:t xml:space="preserve">arettes, only 3% or less report using them at least weekly, most of whom are regular smokers, with less than 0.5% of never smokers reporting weekly </w:t>
            </w:r>
            <w:r>
              <w:rPr>
                <w:rFonts w:cs="Calibri"/>
                <w:sz w:val="16"/>
                <w:szCs w:val="16"/>
              </w:rPr>
              <w:t>e</w:t>
            </w:r>
            <w:r>
              <w:rPr>
                <w:rFonts w:cs="Calibri"/>
                <w:sz w:val="16"/>
                <w:szCs w:val="16"/>
              </w:rPr>
              <w:noBreakHyphen/>
              <w:t>cig</w:t>
            </w:r>
            <w:r w:rsidRPr="000F6DEF">
              <w:rPr>
                <w:rFonts w:cs="Calibri"/>
                <w:sz w:val="16"/>
                <w:szCs w:val="16"/>
              </w:rPr>
              <w:t xml:space="preserve">arette use. </w:t>
            </w:r>
          </w:p>
        </w:tc>
        <w:tc>
          <w:tcPr>
            <w:tcW w:w="2557" w:type="dxa"/>
          </w:tcPr>
          <w:p w14:paraId="26BF1F07" w14:textId="772E9F2F"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In summary, surveys across the UK show a consistent pattern: most </w:t>
            </w:r>
            <w:r>
              <w:rPr>
                <w:rFonts w:cs="Calibri"/>
                <w:sz w:val="16"/>
                <w:szCs w:val="16"/>
              </w:rPr>
              <w:t>e</w:t>
            </w:r>
            <w:r>
              <w:rPr>
                <w:rFonts w:cs="Calibri"/>
                <w:sz w:val="16"/>
                <w:szCs w:val="16"/>
              </w:rPr>
              <w:noBreakHyphen/>
              <w:t>cig</w:t>
            </w:r>
            <w:r w:rsidRPr="000F6DEF">
              <w:rPr>
                <w:rFonts w:cs="Calibri"/>
                <w:sz w:val="16"/>
                <w:szCs w:val="16"/>
              </w:rPr>
              <w:t>arette experimentation does not turn into regular use, and levels of regular use in young people who have never smoked remain very low.</w:t>
            </w:r>
          </w:p>
        </w:tc>
      </w:tr>
      <w:tr w:rsidR="00B85C33" w:rsidRPr="000F6DEF" w14:paraId="772E0EB1" w14:textId="77777777" w:rsidTr="000376C7">
        <w:trPr>
          <w:trHeight w:val="94"/>
        </w:trPr>
        <w:tc>
          <w:tcPr>
            <w:cnfStyle w:val="001000000000" w:firstRow="0" w:lastRow="0" w:firstColumn="1" w:lastColumn="0" w:oddVBand="0" w:evenVBand="0" w:oddHBand="0" w:evenHBand="0" w:firstRowFirstColumn="0" w:firstRowLastColumn="0" w:lastRowFirstColumn="0" w:lastRowLastColumn="0"/>
            <w:tcW w:w="1435" w:type="dxa"/>
          </w:tcPr>
          <w:p w14:paraId="24167F1B" w14:textId="77777777" w:rsidR="00B85C33" w:rsidRPr="000F6DEF" w:rsidRDefault="00B85C33" w:rsidP="000376C7">
            <w:pPr>
              <w:rPr>
                <w:rFonts w:cs="Calibri"/>
                <w:sz w:val="16"/>
                <w:szCs w:val="16"/>
              </w:rPr>
            </w:pPr>
            <w:r w:rsidRPr="000F6DEF">
              <w:rPr>
                <w:rFonts w:cs="Calibri"/>
                <w:sz w:val="16"/>
                <w:szCs w:val="16"/>
              </w:rPr>
              <w:t>Clarke, Lusher</w:t>
            </w:r>
          </w:p>
        </w:tc>
        <w:tc>
          <w:tcPr>
            <w:tcW w:w="3380" w:type="dxa"/>
          </w:tcPr>
          <w:p w14:paraId="0E16F9D1"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To investigate factors that lead to willingness to try electronic cigarettes among UK adolescents. </w:t>
            </w:r>
          </w:p>
        </w:tc>
        <w:tc>
          <w:tcPr>
            <w:tcW w:w="7796" w:type="dxa"/>
          </w:tcPr>
          <w:p w14:paraId="227A7396"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Smoking status significantly predicted more than one</w:t>
            </w:r>
            <w:r w:rsidRPr="000F6DEF">
              <w:rPr>
                <w:rFonts w:cs="Calibri"/>
                <w:sz w:val="16"/>
                <w:szCs w:val="16"/>
              </w:rPr>
              <w:noBreakHyphen/>
              <w:t>third of the variance of willingness to try an electronic cigarette and a further 7.8% was significantly predicted by a positive prototype of a smoker (e.g., stylish) and a negative prototype of an electronic cigarette user (e.g., unattractive). Moreover, tobacco</w:t>
            </w:r>
            <w:r w:rsidRPr="000F6DEF">
              <w:rPr>
                <w:rFonts w:cs="Calibri"/>
                <w:sz w:val="16"/>
                <w:szCs w:val="16"/>
              </w:rPr>
              <w:noBreakHyphen/>
              <w:t>flavoured electronic cigarettes were less favourable than alternative flavours such as fruit, chocolate, and mint.</w:t>
            </w:r>
          </w:p>
        </w:tc>
        <w:tc>
          <w:tcPr>
            <w:tcW w:w="2557" w:type="dxa"/>
          </w:tcPr>
          <w:p w14:paraId="4EB0FEDC"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Findings provide evidence that flavored electronic cigarettes are more appealing to all; adolescents, smokers, non</w:t>
            </w:r>
            <w:r w:rsidRPr="000F6DEF">
              <w:rPr>
                <w:rFonts w:cs="Calibri"/>
                <w:sz w:val="16"/>
                <w:szCs w:val="16"/>
              </w:rPr>
              <w:noBreakHyphen/>
              <w:t>smokers, current and past electronic cigarette users, and never users</w:t>
            </w:r>
          </w:p>
        </w:tc>
      </w:tr>
      <w:tr w:rsidR="00B85C33" w:rsidRPr="000F6DEF" w14:paraId="00FBD90F" w14:textId="77777777" w:rsidTr="000376C7">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1435" w:type="dxa"/>
          </w:tcPr>
          <w:p w14:paraId="3CF69529" w14:textId="77777777" w:rsidR="00B85C33" w:rsidRPr="000F6DEF" w:rsidRDefault="00B85C33" w:rsidP="000376C7">
            <w:pPr>
              <w:rPr>
                <w:rFonts w:cs="Calibri"/>
                <w:sz w:val="16"/>
                <w:szCs w:val="16"/>
              </w:rPr>
            </w:pPr>
            <w:r w:rsidRPr="000F6DEF">
              <w:rPr>
                <w:rFonts w:cs="Calibri"/>
                <w:sz w:val="16"/>
                <w:szCs w:val="16"/>
              </w:rPr>
              <w:t>Conner, Grogan, Simms</w:t>
            </w:r>
            <w:r w:rsidRPr="000F6DEF">
              <w:rPr>
                <w:rFonts w:cs="Calibri"/>
                <w:sz w:val="16"/>
                <w:szCs w:val="16"/>
              </w:rPr>
              <w:noBreakHyphen/>
              <w:t>Ellis</w:t>
            </w:r>
          </w:p>
        </w:tc>
        <w:tc>
          <w:tcPr>
            <w:tcW w:w="3380" w:type="dxa"/>
          </w:tcPr>
          <w:p w14:paraId="5AC51F48"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This study assessed whether adolescent </w:t>
            </w:r>
            <w:r>
              <w:rPr>
                <w:rFonts w:cs="Calibri"/>
                <w:sz w:val="16"/>
                <w:szCs w:val="16"/>
              </w:rPr>
              <w:t>e</w:t>
            </w:r>
            <w:r>
              <w:rPr>
                <w:rFonts w:cs="Calibri"/>
                <w:sz w:val="16"/>
                <w:szCs w:val="16"/>
              </w:rPr>
              <w:noBreakHyphen/>
              <w:t>cig</w:t>
            </w:r>
            <w:r w:rsidRPr="000F6DEF">
              <w:rPr>
                <w:rFonts w:cs="Calibri"/>
                <w:sz w:val="16"/>
                <w:szCs w:val="16"/>
              </w:rPr>
              <w:t xml:space="preserve">arette use was associated prospectively with initiation or escalation of cigarette use. </w:t>
            </w:r>
          </w:p>
        </w:tc>
        <w:tc>
          <w:tcPr>
            <w:tcW w:w="7796" w:type="dxa"/>
          </w:tcPr>
          <w:p w14:paraId="574E01BE"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Ever use </w:t>
            </w:r>
            <w:r>
              <w:rPr>
                <w:rFonts w:cs="Calibri"/>
                <w:sz w:val="16"/>
                <w:szCs w:val="16"/>
              </w:rPr>
              <w:t>e</w:t>
            </w:r>
            <w:r>
              <w:rPr>
                <w:rFonts w:cs="Calibri"/>
                <w:sz w:val="16"/>
                <w:szCs w:val="16"/>
              </w:rPr>
              <w:noBreakHyphen/>
              <w:t>cig</w:t>
            </w:r>
            <w:r w:rsidRPr="000F6DEF">
              <w:rPr>
                <w:rFonts w:cs="Calibri"/>
                <w:sz w:val="16"/>
                <w:szCs w:val="16"/>
              </w:rPr>
              <w:t>arette 34.2%. Initiation of cigarette use at follow</w:t>
            </w:r>
            <w:r w:rsidRPr="000F6DEF">
              <w:rPr>
                <w:rFonts w:cs="Calibri"/>
                <w:sz w:val="16"/>
                <w:szCs w:val="16"/>
              </w:rPr>
              <w:noBreakHyphen/>
              <w:t xml:space="preserve">up was predicted by having ever used </w:t>
            </w:r>
            <w:r>
              <w:rPr>
                <w:rFonts w:cs="Calibri"/>
                <w:sz w:val="16"/>
                <w:szCs w:val="16"/>
              </w:rPr>
              <w:t>e</w:t>
            </w:r>
            <w:r>
              <w:rPr>
                <w:rFonts w:cs="Calibri"/>
                <w:sz w:val="16"/>
                <w:szCs w:val="16"/>
              </w:rPr>
              <w:noBreakHyphen/>
              <w:t>cig</w:t>
            </w:r>
            <w:r w:rsidRPr="000F6DEF">
              <w:rPr>
                <w:rFonts w:cs="Calibri"/>
                <w:sz w:val="16"/>
                <w:szCs w:val="16"/>
              </w:rPr>
              <w:t xml:space="preserve">arettes at baseline (table 4, model 1; OR 5.38, 95% CI 4.02 to 7.22) and remained so when controlling for covariates. Initiation of cigarette use was significantly higher in adolescents who at baseline were ever users of </w:t>
            </w:r>
            <w:r>
              <w:rPr>
                <w:rFonts w:cs="Calibri"/>
                <w:sz w:val="16"/>
                <w:szCs w:val="16"/>
              </w:rPr>
              <w:t>e</w:t>
            </w:r>
            <w:r>
              <w:rPr>
                <w:rFonts w:cs="Calibri"/>
                <w:sz w:val="16"/>
                <w:szCs w:val="16"/>
              </w:rPr>
              <w:noBreakHyphen/>
              <w:t>cig</w:t>
            </w:r>
            <w:r w:rsidRPr="000F6DEF">
              <w:rPr>
                <w:rFonts w:cs="Calibri"/>
                <w:sz w:val="16"/>
                <w:szCs w:val="16"/>
              </w:rPr>
              <w:t>arettes, had either a few or most friends who smoked and had one, two or three or more family members who smoked, but was significantly lower in adolescents with stronger intentions (not to smoke).</w:t>
            </w:r>
            <w:r w:rsidRPr="000F6DEF">
              <w:rPr>
                <w:rFonts w:cs="Calibri"/>
                <w:sz w:val="16"/>
                <w:szCs w:val="16"/>
              </w:rPr>
              <w:br/>
              <w:t xml:space="preserve">Ever use of </w:t>
            </w:r>
            <w:r>
              <w:rPr>
                <w:rFonts w:cs="Calibri"/>
                <w:sz w:val="16"/>
                <w:szCs w:val="16"/>
              </w:rPr>
              <w:t>e</w:t>
            </w:r>
            <w:r>
              <w:rPr>
                <w:rFonts w:cs="Calibri"/>
                <w:sz w:val="16"/>
                <w:szCs w:val="16"/>
              </w:rPr>
              <w:noBreakHyphen/>
              <w:t>cig</w:t>
            </w:r>
            <w:r w:rsidRPr="000F6DEF">
              <w:rPr>
                <w:rFonts w:cs="Calibri"/>
                <w:sz w:val="16"/>
                <w:szCs w:val="16"/>
              </w:rPr>
              <w:t>arettes is associated with initiation of cigarette use; an effect that remains when controlling for various predictors of smoking.</w:t>
            </w:r>
          </w:p>
        </w:tc>
        <w:tc>
          <w:tcPr>
            <w:tcW w:w="2557" w:type="dxa"/>
          </w:tcPr>
          <w:p w14:paraId="66A5C823"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Ever use of </w:t>
            </w:r>
            <w:r>
              <w:rPr>
                <w:rFonts w:cs="Calibri"/>
                <w:sz w:val="16"/>
                <w:szCs w:val="16"/>
              </w:rPr>
              <w:t>e</w:t>
            </w:r>
            <w:r>
              <w:rPr>
                <w:rFonts w:cs="Calibri"/>
                <w:sz w:val="16"/>
                <w:szCs w:val="16"/>
              </w:rPr>
              <w:noBreakHyphen/>
              <w:t>cig</w:t>
            </w:r>
            <w:r w:rsidRPr="000F6DEF">
              <w:rPr>
                <w:rFonts w:cs="Calibri"/>
                <w:sz w:val="16"/>
                <w:szCs w:val="16"/>
              </w:rPr>
              <w:t>arettes was robustly associated with initiation but more modestly related to escalation of cigarette use</w:t>
            </w:r>
          </w:p>
        </w:tc>
      </w:tr>
      <w:tr w:rsidR="00B85C33" w:rsidRPr="000F6DEF" w14:paraId="790E4024" w14:textId="77777777" w:rsidTr="000376C7">
        <w:trPr>
          <w:trHeight w:val="94"/>
        </w:trPr>
        <w:tc>
          <w:tcPr>
            <w:cnfStyle w:val="001000000000" w:firstRow="0" w:lastRow="0" w:firstColumn="1" w:lastColumn="0" w:oddVBand="0" w:evenVBand="0" w:oddHBand="0" w:evenHBand="0" w:firstRowFirstColumn="0" w:firstRowLastColumn="0" w:lastRowFirstColumn="0" w:lastRowLastColumn="0"/>
            <w:tcW w:w="1435" w:type="dxa"/>
          </w:tcPr>
          <w:p w14:paraId="58C2CEF8" w14:textId="77777777" w:rsidR="00B85C33" w:rsidRPr="000F6DEF" w:rsidRDefault="00B85C33" w:rsidP="000376C7">
            <w:pPr>
              <w:rPr>
                <w:rFonts w:cs="Calibri"/>
                <w:sz w:val="16"/>
                <w:szCs w:val="16"/>
              </w:rPr>
            </w:pPr>
            <w:r w:rsidRPr="000F6DEF">
              <w:rPr>
                <w:rFonts w:cs="Calibri"/>
                <w:sz w:val="16"/>
                <w:szCs w:val="16"/>
              </w:rPr>
              <w:t>de Lacy, Fletcher ,Hewitt et al</w:t>
            </w:r>
          </w:p>
        </w:tc>
        <w:tc>
          <w:tcPr>
            <w:tcW w:w="3380" w:type="dxa"/>
          </w:tcPr>
          <w:p w14:paraId="448AD49D"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To examine the prevalence and frequency of electronic (e)</w:t>
            </w:r>
            <w:r w:rsidRPr="000F6DEF">
              <w:rPr>
                <w:rFonts w:cs="Calibri"/>
                <w:sz w:val="16"/>
                <w:szCs w:val="16"/>
              </w:rPr>
              <w:noBreakHyphen/>
              <w:t>cigarette use among young people in Wales, associations with socio</w:t>
            </w:r>
            <w:r w:rsidRPr="000F6DEF">
              <w:rPr>
                <w:rFonts w:cs="Calibri"/>
                <w:sz w:val="16"/>
                <w:szCs w:val="16"/>
              </w:rPr>
              <w:noBreakHyphen/>
              <w:t xml:space="preserve">demographic characteristics, smoking and other substances and the sequencing of </w:t>
            </w:r>
            <w:r>
              <w:rPr>
                <w:rFonts w:cs="Calibri"/>
                <w:sz w:val="16"/>
                <w:szCs w:val="16"/>
              </w:rPr>
              <w:t>e</w:t>
            </w:r>
            <w:r>
              <w:rPr>
                <w:rFonts w:cs="Calibri"/>
                <w:sz w:val="16"/>
                <w:szCs w:val="16"/>
              </w:rPr>
              <w:noBreakHyphen/>
              <w:t>cig</w:t>
            </w:r>
            <w:r w:rsidRPr="000F6DEF">
              <w:rPr>
                <w:rFonts w:cs="Calibri"/>
                <w:sz w:val="16"/>
                <w:szCs w:val="16"/>
              </w:rPr>
              <w:t xml:space="preserve">arette and tobacco use. </w:t>
            </w:r>
          </w:p>
        </w:tc>
        <w:tc>
          <w:tcPr>
            <w:tcW w:w="7796" w:type="dxa"/>
          </w:tcPr>
          <w:p w14:paraId="1D0B6C25"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These data suggest that </w:t>
            </w:r>
            <w:r>
              <w:rPr>
                <w:rFonts w:cs="Calibri"/>
                <w:sz w:val="16"/>
                <w:szCs w:val="16"/>
              </w:rPr>
              <w:t>e</w:t>
            </w:r>
            <w:r>
              <w:rPr>
                <w:rFonts w:cs="Calibri"/>
                <w:sz w:val="16"/>
                <w:szCs w:val="16"/>
              </w:rPr>
              <w:noBreakHyphen/>
              <w:t>cig</w:t>
            </w:r>
            <w:r w:rsidRPr="000F6DEF">
              <w:rPr>
                <w:rFonts w:cs="Calibri"/>
                <w:sz w:val="16"/>
                <w:szCs w:val="16"/>
              </w:rPr>
              <w:t xml:space="preserve">arette use among youth is an emerging public health issue, even though there remains no evidence that it represents a new pathway into smoking. </w:t>
            </w:r>
          </w:p>
        </w:tc>
        <w:tc>
          <w:tcPr>
            <w:tcW w:w="2557" w:type="dxa"/>
          </w:tcPr>
          <w:p w14:paraId="5A408A80"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w:t>
            </w:r>
          </w:p>
        </w:tc>
      </w:tr>
      <w:tr w:rsidR="00B85C33" w:rsidRPr="000F6DEF" w14:paraId="043D699B" w14:textId="77777777" w:rsidTr="000376C7">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1435" w:type="dxa"/>
          </w:tcPr>
          <w:p w14:paraId="32BF97A5" w14:textId="77777777" w:rsidR="00B85C33" w:rsidRPr="000F6DEF" w:rsidRDefault="00B85C33" w:rsidP="000376C7">
            <w:pPr>
              <w:rPr>
                <w:rFonts w:cs="Calibri"/>
                <w:sz w:val="16"/>
                <w:szCs w:val="16"/>
              </w:rPr>
            </w:pPr>
            <w:r w:rsidRPr="000F6DEF">
              <w:rPr>
                <w:rFonts w:cs="Calibri"/>
                <w:sz w:val="16"/>
                <w:szCs w:val="16"/>
              </w:rPr>
              <w:t>Kaufmann, Currie</w:t>
            </w:r>
          </w:p>
        </w:tc>
        <w:tc>
          <w:tcPr>
            <w:tcW w:w="3380" w:type="dxa"/>
          </w:tcPr>
          <w:p w14:paraId="7B296470"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This study will provide the first national scale profiling of Scottish adolescent </w:t>
            </w:r>
            <w:r>
              <w:rPr>
                <w:rFonts w:cs="Calibri"/>
                <w:sz w:val="16"/>
                <w:szCs w:val="16"/>
              </w:rPr>
              <w:t>e</w:t>
            </w:r>
            <w:r>
              <w:rPr>
                <w:rFonts w:cs="Calibri"/>
                <w:sz w:val="16"/>
                <w:szCs w:val="16"/>
              </w:rPr>
              <w:noBreakHyphen/>
              <w:t>cig</w:t>
            </w:r>
            <w:r w:rsidRPr="000F6DEF">
              <w:rPr>
                <w:rFonts w:cs="Calibri"/>
                <w:sz w:val="16"/>
                <w:szCs w:val="16"/>
              </w:rPr>
              <w:t>arette users, which may be used to develop policies towards specific groups.</w:t>
            </w:r>
          </w:p>
        </w:tc>
        <w:tc>
          <w:tcPr>
            <w:tcW w:w="7796" w:type="dxa"/>
          </w:tcPr>
          <w:p w14:paraId="7DFF122C" w14:textId="7DA8F6F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1.1% current </w:t>
            </w:r>
            <w:r>
              <w:rPr>
                <w:rFonts w:cs="Calibri"/>
                <w:sz w:val="16"/>
                <w:szCs w:val="16"/>
              </w:rPr>
              <w:t>e</w:t>
            </w:r>
            <w:r>
              <w:rPr>
                <w:rFonts w:cs="Calibri"/>
                <w:sz w:val="16"/>
                <w:szCs w:val="16"/>
              </w:rPr>
              <w:noBreakHyphen/>
              <w:t>cig</w:t>
            </w:r>
            <w:r w:rsidRPr="000F6DEF">
              <w:rPr>
                <w:rFonts w:cs="Calibri"/>
                <w:sz w:val="16"/>
                <w:szCs w:val="16"/>
              </w:rPr>
              <w:t>arette users</w:t>
            </w:r>
            <w:r w:rsidRPr="000F6DEF">
              <w:rPr>
                <w:rFonts w:cs="Calibri"/>
                <w:sz w:val="16"/>
                <w:szCs w:val="16"/>
              </w:rPr>
              <w:br/>
              <w:t xml:space="preserve">11.6% ever use </w:t>
            </w:r>
            <w:r>
              <w:rPr>
                <w:rFonts w:cs="Calibri"/>
                <w:sz w:val="16"/>
                <w:szCs w:val="16"/>
              </w:rPr>
              <w:t>e</w:t>
            </w:r>
            <w:r>
              <w:rPr>
                <w:rFonts w:cs="Calibri"/>
                <w:sz w:val="16"/>
                <w:szCs w:val="16"/>
              </w:rPr>
              <w:noBreakHyphen/>
              <w:t>cig</w:t>
            </w:r>
            <w:r w:rsidR="00571385">
              <w:rPr>
                <w:rFonts w:cs="Calibri"/>
                <w:sz w:val="16"/>
                <w:szCs w:val="16"/>
              </w:rPr>
              <w:t>arette</w:t>
            </w:r>
            <w:r w:rsidRPr="000F6DEF">
              <w:rPr>
                <w:rFonts w:cs="Calibri"/>
                <w:sz w:val="16"/>
                <w:szCs w:val="16"/>
              </w:rPr>
              <w:br/>
              <w:t xml:space="preserve">26% exclusive </w:t>
            </w:r>
            <w:r>
              <w:rPr>
                <w:rFonts w:cs="Calibri"/>
                <w:sz w:val="16"/>
                <w:szCs w:val="16"/>
              </w:rPr>
              <w:t>e</w:t>
            </w:r>
            <w:r>
              <w:rPr>
                <w:rFonts w:cs="Calibri"/>
                <w:sz w:val="16"/>
                <w:szCs w:val="16"/>
              </w:rPr>
              <w:noBreakHyphen/>
              <w:t>cig</w:t>
            </w:r>
            <w:r w:rsidR="00571385">
              <w:rPr>
                <w:rFonts w:cs="Calibri"/>
                <w:sz w:val="16"/>
                <w:szCs w:val="16"/>
              </w:rPr>
              <w:t>arette</w:t>
            </w:r>
            <w:r w:rsidRPr="000F6DEF">
              <w:rPr>
                <w:rFonts w:cs="Calibri"/>
                <w:sz w:val="16"/>
                <w:szCs w:val="16"/>
              </w:rPr>
              <w:t>; 74% dual users</w:t>
            </w:r>
            <w:r w:rsidRPr="000F6DEF">
              <w:rPr>
                <w:rFonts w:cs="Calibri"/>
                <w:sz w:val="16"/>
                <w:szCs w:val="16"/>
              </w:rPr>
              <w:br/>
              <w:t xml:space="preserve">Males, rural adolescents more likely to be current users of </w:t>
            </w:r>
            <w:r>
              <w:rPr>
                <w:rFonts w:cs="Calibri"/>
                <w:sz w:val="16"/>
                <w:szCs w:val="16"/>
              </w:rPr>
              <w:t>e</w:t>
            </w:r>
            <w:r>
              <w:rPr>
                <w:rFonts w:cs="Calibri"/>
                <w:sz w:val="16"/>
                <w:szCs w:val="16"/>
              </w:rPr>
              <w:noBreakHyphen/>
              <w:t>cig</w:t>
            </w:r>
            <w:r w:rsidR="00571385">
              <w:rPr>
                <w:rFonts w:cs="Calibri"/>
                <w:sz w:val="16"/>
                <w:szCs w:val="16"/>
              </w:rPr>
              <w:t>arette</w:t>
            </w:r>
            <w:r w:rsidRPr="000F6DEF">
              <w:rPr>
                <w:rFonts w:cs="Calibri"/>
                <w:sz w:val="16"/>
                <w:szCs w:val="16"/>
              </w:rPr>
              <w:t xml:space="preserve">. Weekly alcohol use, current drug use and tobacco smoking all significantly associated with current </w:t>
            </w:r>
            <w:r>
              <w:rPr>
                <w:rFonts w:cs="Calibri"/>
                <w:sz w:val="16"/>
                <w:szCs w:val="16"/>
              </w:rPr>
              <w:t>e</w:t>
            </w:r>
            <w:r>
              <w:rPr>
                <w:rFonts w:cs="Calibri"/>
                <w:sz w:val="16"/>
                <w:szCs w:val="16"/>
              </w:rPr>
              <w:noBreakHyphen/>
              <w:t>cig</w:t>
            </w:r>
            <w:r w:rsidRPr="000F6DEF">
              <w:rPr>
                <w:rFonts w:cs="Calibri"/>
                <w:sz w:val="16"/>
                <w:szCs w:val="16"/>
              </w:rPr>
              <w:t>arette use</w:t>
            </w:r>
          </w:p>
        </w:tc>
        <w:tc>
          <w:tcPr>
            <w:tcW w:w="2557" w:type="dxa"/>
          </w:tcPr>
          <w:p w14:paraId="3D691AFE"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The low prevalence of current </w:t>
            </w:r>
            <w:r>
              <w:rPr>
                <w:rFonts w:cs="Calibri"/>
                <w:sz w:val="16"/>
                <w:szCs w:val="16"/>
              </w:rPr>
              <w:t>e</w:t>
            </w:r>
            <w:r>
              <w:rPr>
                <w:rFonts w:cs="Calibri"/>
                <w:sz w:val="16"/>
                <w:szCs w:val="16"/>
              </w:rPr>
              <w:noBreakHyphen/>
              <w:t>cig</w:t>
            </w:r>
            <w:r w:rsidRPr="000F6DEF">
              <w:rPr>
                <w:rFonts w:cs="Calibri"/>
                <w:sz w:val="16"/>
                <w:szCs w:val="16"/>
              </w:rPr>
              <w:t>arette use contrasts with other countries, but similar factors predict use. Contrasting the profiles of non</w:t>
            </w:r>
            <w:r w:rsidRPr="000F6DEF">
              <w:rPr>
                <w:rFonts w:cs="Calibri"/>
                <w:sz w:val="16"/>
                <w:szCs w:val="16"/>
              </w:rPr>
              <w:noBreakHyphen/>
              <w:t xml:space="preserve">smokers who are </w:t>
            </w:r>
            <w:r>
              <w:rPr>
                <w:rFonts w:cs="Calibri"/>
                <w:sz w:val="16"/>
                <w:szCs w:val="16"/>
              </w:rPr>
              <w:t>e</w:t>
            </w:r>
            <w:r>
              <w:rPr>
                <w:rFonts w:cs="Calibri"/>
                <w:sz w:val="16"/>
                <w:szCs w:val="16"/>
              </w:rPr>
              <w:noBreakHyphen/>
              <w:t>cig</w:t>
            </w:r>
            <w:r w:rsidRPr="000F6DEF">
              <w:rPr>
                <w:rFonts w:cs="Calibri"/>
                <w:sz w:val="16"/>
                <w:szCs w:val="16"/>
              </w:rPr>
              <w:t xml:space="preserve">arette users with those who solely use tobacco suggests that there are differences in predictive factors which may have implications for subsequent tobacco use indicating the need to carefully monitor the effects of </w:t>
            </w:r>
            <w:r>
              <w:rPr>
                <w:rFonts w:cs="Calibri"/>
                <w:sz w:val="16"/>
                <w:szCs w:val="16"/>
              </w:rPr>
              <w:t>e</w:t>
            </w:r>
            <w:r>
              <w:rPr>
                <w:rFonts w:cs="Calibri"/>
                <w:sz w:val="16"/>
                <w:szCs w:val="16"/>
              </w:rPr>
              <w:noBreakHyphen/>
              <w:t>cig</w:t>
            </w:r>
            <w:r w:rsidRPr="000F6DEF">
              <w:rPr>
                <w:rFonts w:cs="Calibri"/>
                <w:sz w:val="16"/>
                <w:szCs w:val="16"/>
              </w:rPr>
              <w:t>arette use in longitudinal studies.</w:t>
            </w:r>
          </w:p>
        </w:tc>
      </w:tr>
      <w:tr w:rsidR="00B85C33" w:rsidRPr="000F6DEF" w14:paraId="3A6C9316" w14:textId="77777777" w:rsidTr="000376C7">
        <w:trPr>
          <w:trHeight w:val="94"/>
        </w:trPr>
        <w:tc>
          <w:tcPr>
            <w:cnfStyle w:val="001000000000" w:firstRow="0" w:lastRow="0" w:firstColumn="1" w:lastColumn="0" w:oddVBand="0" w:evenVBand="0" w:oddHBand="0" w:evenHBand="0" w:firstRowFirstColumn="0" w:firstRowLastColumn="0" w:lastRowFirstColumn="0" w:lastRowLastColumn="0"/>
            <w:tcW w:w="1435" w:type="dxa"/>
          </w:tcPr>
          <w:p w14:paraId="4308FEEE" w14:textId="77777777" w:rsidR="00B85C33" w:rsidRPr="000F6DEF" w:rsidRDefault="00B85C33" w:rsidP="000376C7">
            <w:pPr>
              <w:rPr>
                <w:rFonts w:cs="Calibri"/>
                <w:sz w:val="16"/>
                <w:szCs w:val="16"/>
              </w:rPr>
            </w:pPr>
            <w:r w:rsidRPr="000F6DEF">
              <w:rPr>
                <w:rFonts w:cs="Calibri"/>
                <w:sz w:val="16"/>
                <w:szCs w:val="16"/>
              </w:rPr>
              <w:lastRenderedPageBreak/>
              <w:t>McKeganey, Barnard, Russell</w:t>
            </w:r>
          </w:p>
        </w:tc>
        <w:tc>
          <w:tcPr>
            <w:tcW w:w="3380" w:type="dxa"/>
          </w:tcPr>
          <w:p w14:paraId="4B28BCF6"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In this paper we report the views of a small sample of </w:t>
            </w:r>
            <w:r>
              <w:rPr>
                <w:rFonts w:cs="Calibri"/>
                <w:sz w:val="16"/>
                <w:szCs w:val="16"/>
              </w:rPr>
              <w:t>e</w:t>
            </w:r>
            <w:r>
              <w:rPr>
                <w:rFonts w:cs="Calibri"/>
                <w:sz w:val="16"/>
                <w:szCs w:val="16"/>
              </w:rPr>
              <w:noBreakHyphen/>
              <w:t>cig</w:t>
            </w:r>
            <w:r w:rsidRPr="000F6DEF">
              <w:rPr>
                <w:rFonts w:cs="Calibri"/>
                <w:sz w:val="16"/>
                <w:szCs w:val="16"/>
              </w:rPr>
              <w:t xml:space="preserve">arette users focussing on the circumstances in which individuals began vaping, their reasons for continuing vaping, their perceptions of the relative harm of vaping compared to smoking, and their views as to whether their use of </w:t>
            </w:r>
            <w:r>
              <w:rPr>
                <w:rFonts w:cs="Calibri"/>
                <w:sz w:val="16"/>
                <w:szCs w:val="16"/>
              </w:rPr>
              <w:t>e</w:t>
            </w:r>
            <w:r>
              <w:rPr>
                <w:rFonts w:cs="Calibri"/>
                <w:sz w:val="16"/>
                <w:szCs w:val="16"/>
              </w:rPr>
              <w:noBreakHyphen/>
              <w:t>cig</w:t>
            </w:r>
            <w:r w:rsidRPr="000F6DEF">
              <w:rPr>
                <w:rFonts w:cs="Calibri"/>
                <w:sz w:val="16"/>
                <w:szCs w:val="16"/>
              </w:rPr>
              <w:t>arettes had increased their likelihood of smoking.</w:t>
            </w:r>
          </w:p>
        </w:tc>
        <w:tc>
          <w:tcPr>
            <w:tcW w:w="7796" w:type="dxa"/>
          </w:tcPr>
          <w:p w14:paraId="7F68D965" w14:textId="07C090FE" w:rsidR="00571385" w:rsidRDefault="00B85C33">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Our interviewees saw the two activities of vaping and smoking as being associated with very different levels of harm. None of our interviewees felt that their e</w:t>
            </w:r>
            <w:r w:rsidRPr="000F6DEF">
              <w:rPr>
                <w:rFonts w:cs="Calibri"/>
                <w:sz w:val="16"/>
                <w:szCs w:val="16"/>
              </w:rPr>
              <w:noBreakHyphen/>
              <w:t>cigarette use had increased their likelihood of smoking even if a small number conceded that this might be the case for other people. In terms of how individual interviewees had begun vaping this had largely occurred in the midst of their social</w:t>
            </w:r>
            <w:r w:rsidR="00571385">
              <w:rPr>
                <w:rFonts w:cs="Calibri"/>
                <w:sz w:val="16"/>
                <w:szCs w:val="16"/>
              </w:rPr>
              <w:t xml:space="preserve"> </w:t>
            </w:r>
            <w:r w:rsidRPr="000F6DEF">
              <w:rPr>
                <w:rFonts w:cs="Calibri"/>
                <w:sz w:val="16"/>
                <w:szCs w:val="16"/>
              </w:rPr>
              <w:t xml:space="preserve">contacts with friends in which they had either asked or been offered a try of friends’ equipment and within which curiosity seemed to be a key driver of such experimentation. </w:t>
            </w:r>
          </w:p>
          <w:p w14:paraId="74E614A9" w14:textId="7468E875"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With regard to the decision to continue vaping, attention was drawn to such factors as the lower levels of harm associated with vaping compared to smoking, the availability of different flavours, the lack of an offensive smell associated with vaping (again in contrast to smoking), the fun that was seen to be associated with creating large vapour plumes, the greater range of situations within which one could use </w:t>
            </w:r>
            <w:r>
              <w:rPr>
                <w:rFonts w:cs="Calibri"/>
                <w:sz w:val="16"/>
                <w:szCs w:val="16"/>
              </w:rPr>
              <w:t>e</w:t>
            </w:r>
            <w:r>
              <w:rPr>
                <w:rFonts w:cs="Calibri"/>
                <w:sz w:val="16"/>
                <w:szCs w:val="16"/>
              </w:rPr>
              <w:noBreakHyphen/>
              <w:t>cig</w:t>
            </w:r>
            <w:r w:rsidRPr="000F6DEF">
              <w:rPr>
                <w:rFonts w:cs="Calibri"/>
                <w:sz w:val="16"/>
                <w:szCs w:val="16"/>
              </w:rPr>
              <w:t>arettes compared to combustible cigarettes, and the lower level of stigma attached to vaping compared to smoking.</w:t>
            </w:r>
          </w:p>
        </w:tc>
        <w:tc>
          <w:tcPr>
            <w:tcW w:w="2557" w:type="dxa"/>
          </w:tcPr>
          <w:p w14:paraId="39B39BCB"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The sample of interviewees were evenly split with regard to the perceived justification (or not) for banning vaping in public. Finally, we make the case that it is important to base policy and regulation of </w:t>
            </w:r>
            <w:r>
              <w:rPr>
                <w:rFonts w:cs="Calibri"/>
                <w:sz w:val="16"/>
                <w:szCs w:val="16"/>
              </w:rPr>
              <w:t>e</w:t>
            </w:r>
            <w:r>
              <w:rPr>
                <w:rFonts w:cs="Calibri"/>
                <w:sz w:val="16"/>
                <w:szCs w:val="16"/>
              </w:rPr>
              <w:noBreakHyphen/>
              <w:t>cig</w:t>
            </w:r>
            <w:r w:rsidRPr="000F6DEF">
              <w:rPr>
                <w:rFonts w:cs="Calibri"/>
                <w:sz w:val="16"/>
                <w:szCs w:val="16"/>
              </w:rPr>
              <w:t>arettes on both robust epidemiological data on the impact of these devices as well as more qualitative, ethnographic, information from users themselves.</w:t>
            </w:r>
          </w:p>
        </w:tc>
      </w:tr>
      <w:tr w:rsidR="00B85C33" w:rsidRPr="000F6DEF" w14:paraId="211CDC7E" w14:textId="77777777" w:rsidTr="000376C7">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1435" w:type="dxa"/>
          </w:tcPr>
          <w:p w14:paraId="725392BF" w14:textId="77777777" w:rsidR="00B85C33" w:rsidRPr="000F6DEF" w:rsidRDefault="00B85C33" w:rsidP="000376C7">
            <w:pPr>
              <w:rPr>
                <w:rFonts w:cs="Calibri"/>
                <w:sz w:val="16"/>
                <w:szCs w:val="16"/>
              </w:rPr>
            </w:pPr>
            <w:r w:rsidRPr="000F6DEF">
              <w:rPr>
                <w:rFonts w:cs="Calibri"/>
                <w:sz w:val="16"/>
                <w:szCs w:val="16"/>
              </w:rPr>
              <w:t>Loonat, Sagar, Selinger 2018</w:t>
            </w:r>
          </w:p>
        </w:tc>
        <w:tc>
          <w:tcPr>
            <w:tcW w:w="3380" w:type="dxa"/>
          </w:tcPr>
          <w:p w14:paraId="0B31AED6"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We aimed to describe current smoking rates in IBD (irritable bowel disease) patients compared with the general population and to ascertain any effects of smoking on disease course.</w:t>
            </w:r>
          </w:p>
        </w:tc>
        <w:tc>
          <w:tcPr>
            <w:tcW w:w="7796" w:type="dxa"/>
          </w:tcPr>
          <w:p w14:paraId="0C0D0E8E"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"Of 200 ever cigarette smokers 144 had stopped and 56 continued cigarette use, while of 30 ever </w:t>
            </w:r>
            <w:r>
              <w:rPr>
                <w:rFonts w:cs="Calibri"/>
                <w:sz w:val="16"/>
                <w:szCs w:val="16"/>
              </w:rPr>
              <w:t>e</w:t>
            </w:r>
            <w:r>
              <w:rPr>
                <w:rFonts w:cs="Calibri"/>
                <w:sz w:val="16"/>
                <w:szCs w:val="16"/>
              </w:rPr>
              <w:noBreakHyphen/>
              <w:t>cig</w:t>
            </w:r>
            <w:r w:rsidRPr="000F6DEF">
              <w:rPr>
                <w:rFonts w:cs="Calibri"/>
                <w:sz w:val="16"/>
                <w:szCs w:val="16"/>
              </w:rPr>
              <w:t xml:space="preserve">arette users 14 had stopped and 16 continued. All </w:t>
            </w:r>
            <w:r>
              <w:rPr>
                <w:rFonts w:cs="Calibri"/>
                <w:sz w:val="16"/>
                <w:szCs w:val="16"/>
              </w:rPr>
              <w:t>e</w:t>
            </w:r>
            <w:r>
              <w:rPr>
                <w:rFonts w:cs="Calibri"/>
                <w:sz w:val="16"/>
                <w:szCs w:val="16"/>
              </w:rPr>
              <w:noBreakHyphen/>
              <w:t>cig</w:t>
            </w:r>
            <w:r w:rsidRPr="000F6DEF">
              <w:rPr>
                <w:rFonts w:cs="Calibri"/>
                <w:sz w:val="16"/>
                <w:szCs w:val="16"/>
              </w:rPr>
              <w:t xml:space="preserve">arette users had previously smoked cigarettes and 10 had stopped smoking completely after </w:t>
            </w:r>
            <w:r>
              <w:rPr>
                <w:rFonts w:cs="Calibri"/>
                <w:sz w:val="16"/>
                <w:szCs w:val="16"/>
              </w:rPr>
              <w:t>e</w:t>
            </w:r>
            <w:r>
              <w:rPr>
                <w:rFonts w:cs="Calibri"/>
                <w:sz w:val="16"/>
                <w:szCs w:val="16"/>
              </w:rPr>
              <w:noBreakHyphen/>
              <w:t>cig</w:t>
            </w:r>
            <w:r w:rsidRPr="000F6DEF">
              <w:rPr>
                <w:rFonts w:cs="Calibri"/>
                <w:sz w:val="16"/>
                <w:szCs w:val="16"/>
              </w:rPr>
              <w:t>arettes.</w:t>
            </w:r>
          </w:p>
          <w:p w14:paraId="6BF403A6"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Crohn’s disease patients were more likely to smoke cigarettes (19.9% vs. 8.1%) or </w:t>
            </w:r>
            <w:r>
              <w:rPr>
                <w:rFonts w:cs="Calibri"/>
                <w:sz w:val="16"/>
                <w:szCs w:val="16"/>
              </w:rPr>
              <w:t>e</w:t>
            </w:r>
            <w:r>
              <w:rPr>
                <w:rFonts w:cs="Calibri"/>
                <w:sz w:val="16"/>
                <w:szCs w:val="16"/>
              </w:rPr>
              <w:noBreakHyphen/>
              <w:t>cig</w:t>
            </w:r>
            <w:r w:rsidRPr="000F6DEF">
              <w:rPr>
                <w:rFonts w:cs="Calibri"/>
                <w:sz w:val="16"/>
                <w:szCs w:val="16"/>
              </w:rPr>
              <w:t>arettes (4.1% vs. 3.4%) compared with UC/IBD</w:t>
            </w:r>
            <w:r w:rsidRPr="000F6DEF">
              <w:rPr>
                <w:rFonts w:cs="Calibri"/>
                <w:sz w:val="16"/>
                <w:szCs w:val="16"/>
              </w:rPr>
              <w:noBreakHyphen/>
              <w:t xml:space="preserve">U patients (p =0.026). Compared with the general population the proportion of current cigarette smokers (14.9% vs. 17.2%) and </w:t>
            </w:r>
            <w:r>
              <w:rPr>
                <w:rFonts w:cs="Calibri"/>
                <w:sz w:val="16"/>
                <w:szCs w:val="16"/>
              </w:rPr>
              <w:t>e</w:t>
            </w:r>
            <w:r>
              <w:rPr>
                <w:rFonts w:cs="Calibri"/>
                <w:sz w:val="16"/>
                <w:szCs w:val="16"/>
              </w:rPr>
              <w:noBreakHyphen/>
              <w:t>cig</w:t>
            </w:r>
            <w:r w:rsidRPr="000F6DEF">
              <w:rPr>
                <w:rFonts w:cs="Calibri"/>
                <w:sz w:val="16"/>
                <w:szCs w:val="16"/>
              </w:rPr>
              <w:t xml:space="preserve">arette users was similar in our cohort (4.26% vs. 4%). </w:t>
            </w:r>
          </w:p>
          <w:p w14:paraId="0B3CDBA3"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w:t>
            </w:r>
          </w:p>
        </w:tc>
        <w:tc>
          <w:tcPr>
            <w:tcW w:w="2557" w:type="dxa"/>
          </w:tcPr>
          <w:p w14:paraId="38C2B815"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IBD patients use </w:t>
            </w:r>
            <w:r>
              <w:rPr>
                <w:rFonts w:cs="Calibri"/>
                <w:sz w:val="16"/>
                <w:szCs w:val="16"/>
              </w:rPr>
              <w:t>e</w:t>
            </w:r>
            <w:r>
              <w:rPr>
                <w:rFonts w:cs="Calibri"/>
                <w:sz w:val="16"/>
                <w:szCs w:val="16"/>
              </w:rPr>
              <w:noBreakHyphen/>
              <w:t>cig</w:t>
            </w:r>
            <w:r w:rsidRPr="000F6DEF">
              <w:rPr>
                <w:rFonts w:cs="Calibri"/>
                <w:sz w:val="16"/>
                <w:szCs w:val="16"/>
              </w:rPr>
              <w:t>arettes as replacement for cigarettes or as an intermediate step for smoking cessation with no de</w:t>
            </w:r>
            <w:r w:rsidRPr="000F6DEF">
              <w:rPr>
                <w:rFonts w:cs="Calibri"/>
                <w:sz w:val="16"/>
                <w:szCs w:val="16"/>
              </w:rPr>
              <w:noBreakHyphen/>
              <w:t xml:space="preserve">novo </w:t>
            </w:r>
            <w:r>
              <w:rPr>
                <w:rFonts w:cs="Calibri"/>
                <w:sz w:val="16"/>
                <w:szCs w:val="16"/>
              </w:rPr>
              <w:t>e</w:t>
            </w:r>
            <w:r>
              <w:rPr>
                <w:rFonts w:cs="Calibri"/>
                <w:sz w:val="16"/>
                <w:szCs w:val="16"/>
              </w:rPr>
              <w:noBreakHyphen/>
              <w:t>cig</w:t>
            </w:r>
            <w:r w:rsidRPr="000F6DEF">
              <w:rPr>
                <w:rFonts w:cs="Calibri"/>
                <w:sz w:val="16"/>
                <w:szCs w:val="16"/>
              </w:rPr>
              <w:t>arette use in our cohort.</w:t>
            </w:r>
          </w:p>
        </w:tc>
      </w:tr>
      <w:tr w:rsidR="00B85C33" w:rsidRPr="000F6DEF" w14:paraId="119F11D5" w14:textId="77777777" w:rsidTr="000376C7">
        <w:trPr>
          <w:trHeight w:val="94"/>
        </w:trPr>
        <w:tc>
          <w:tcPr>
            <w:cnfStyle w:val="001000000000" w:firstRow="0" w:lastRow="0" w:firstColumn="1" w:lastColumn="0" w:oddVBand="0" w:evenVBand="0" w:oddHBand="0" w:evenHBand="0" w:firstRowFirstColumn="0" w:firstRowLastColumn="0" w:lastRowFirstColumn="0" w:lastRowLastColumn="0"/>
            <w:tcW w:w="1435" w:type="dxa"/>
          </w:tcPr>
          <w:p w14:paraId="6B437F99" w14:textId="77777777" w:rsidR="00B85C33" w:rsidRPr="000F6DEF" w:rsidRDefault="00B85C33" w:rsidP="000376C7">
            <w:pPr>
              <w:rPr>
                <w:rFonts w:cs="Calibri"/>
                <w:sz w:val="16"/>
                <w:szCs w:val="16"/>
              </w:rPr>
            </w:pPr>
            <w:r w:rsidRPr="000F6DEF">
              <w:rPr>
                <w:rFonts w:cs="Calibri"/>
                <w:sz w:val="16"/>
                <w:szCs w:val="16"/>
              </w:rPr>
              <w:t>Ng Fat, Scholes, Mindell</w:t>
            </w:r>
          </w:p>
        </w:tc>
        <w:tc>
          <w:tcPr>
            <w:tcW w:w="3380" w:type="dxa"/>
          </w:tcPr>
          <w:p w14:paraId="178308C5"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This study explores the motivations for current and previous use of </w:t>
            </w:r>
            <w:r>
              <w:rPr>
                <w:rFonts w:cs="Calibri"/>
                <w:sz w:val="16"/>
                <w:szCs w:val="16"/>
              </w:rPr>
              <w:t>e</w:t>
            </w:r>
            <w:r>
              <w:rPr>
                <w:rFonts w:cs="Calibri"/>
                <w:sz w:val="16"/>
                <w:szCs w:val="16"/>
              </w:rPr>
              <w:noBreakHyphen/>
              <w:t>cig</w:t>
            </w:r>
            <w:r w:rsidRPr="000F6DEF">
              <w:rPr>
                <w:rFonts w:cs="Calibri"/>
                <w:sz w:val="16"/>
                <w:szCs w:val="16"/>
              </w:rPr>
              <w:t>arettes, and whether use is associated with reporting lower or higher cigarette consumption than a year ago.</w:t>
            </w:r>
          </w:p>
        </w:tc>
        <w:tc>
          <w:tcPr>
            <w:tcW w:w="7796" w:type="dxa"/>
          </w:tcPr>
          <w:p w14:paraId="18F42E88"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12% were current users, and 20% previous users of </w:t>
            </w:r>
            <w:r>
              <w:rPr>
                <w:rFonts w:cs="Calibri"/>
                <w:sz w:val="16"/>
                <w:szCs w:val="16"/>
              </w:rPr>
              <w:t>e</w:t>
            </w:r>
            <w:r>
              <w:rPr>
                <w:rFonts w:cs="Calibri"/>
                <w:sz w:val="16"/>
                <w:szCs w:val="16"/>
              </w:rPr>
              <w:noBreakHyphen/>
              <w:t>cig</w:t>
            </w:r>
            <w:r w:rsidRPr="000F6DEF">
              <w:rPr>
                <w:rFonts w:cs="Calibri"/>
                <w:sz w:val="16"/>
                <w:szCs w:val="16"/>
              </w:rPr>
              <w:t xml:space="preserve">arettes. Compared with never use of </w:t>
            </w:r>
            <w:r>
              <w:rPr>
                <w:rFonts w:cs="Calibri"/>
                <w:sz w:val="16"/>
                <w:szCs w:val="16"/>
              </w:rPr>
              <w:t>e</w:t>
            </w:r>
            <w:r>
              <w:rPr>
                <w:rFonts w:cs="Calibri"/>
                <w:sz w:val="16"/>
                <w:szCs w:val="16"/>
              </w:rPr>
              <w:noBreakHyphen/>
              <w:t>cig</w:t>
            </w:r>
            <w:r w:rsidRPr="000F6DEF">
              <w:rPr>
                <w:rFonts w:cs="Calibri"/>
                <w:sz w:val="16"/>
                <w:szCs w:val="16"/>
              </w:rPr>
              <w:t>arettes, no association was found with age and current use, while being</w:t>
            </w:r>
            <w:r w:rsidRPr="000F6DEF">
              <w:rPr>
                <w:rFonts w:cs="Calibri"/>
                <w:sz w:val="16"/>
                <w:szCs w:val="16"/>
              </w:rPr>
              <w:br/>
              <w:t xml:space="preserve">younger was associated with previous use (45–54 v. 16–34 years, OR=0.68 [95%CI 0.46–0.79]). Conversely, current and previous users of NDPs were more likely to be older than never users of NDPs (45–54 years 2.07 [1.29–3.30]). Quit intentions had a dose response relationship with the odds of current </w:t>
            </w:r>
            <w:r>
              <w:rPr>
                <w:rFonts w:cs="Calibri"/>
                <w:sz w:val="16"/>
                <w:szCs w:val="16"/>
              </w:rPr>
              <w:t>e</w:t>
            </w:r>
            <w:r>
              <w:rPr>
                <w:rFonts w:cs="Calibri"/>
                <w:sz w:val="16"/>
                <w:szCs w:val="16"/>
              </w:rPr>
              <w:noBreakHyphen/>
              <w:t>cig</w:t>
            </w:r>
            <w:r w:rsidRPr="000F6DEF">
              <w:rPr>
                <w:rFonts w:cs="Calibri"/>
                <w:sz w:val="16"/>
                <w:szCs w:val="16"/>
              </w:rPr>
              <w:t xml:space="preserve">arette use (e.g. Preparation versus No intention (3.14 [2.24–4.42]); for previous </w:t>
            </w:r>
            <w:r>
              <w:rPr>
                <w:rFonts w:cs="Calibri"/>
                <w:sz w:val="16"/>
                <w:szCs w:val="16"/>
              </w:rPr>
              <w:t>e</w:t>
            </w:r>
            <w:r>
              <w:rPr>
                <w:rFonts w:cs="Calibri"/>
                <w:sz w:val="16"/>
                <w:szCs w:val="16"/>
              </w:rPr>
              <w:noBreakHyphen/>
              <w:t>cig</w:t>
            </w:r>
            <w:r w:rsidRPr="000F6DEF">
              <w:rPr>
                <w:rFonts w:cs="Calibri"/>
                <w:sz w:val="16"/>
                <w:szCs w:val="16"/>
              </w:rPr>
              <w:t>arette users the magnitude was smaller (1.39 [1.04–1.87]). However, ‘Preparation’ had stronger associations with other NDPs, for both current (8.93 [5.54–14.40]), and previous use (3.18 [2.47–4.09]).</w:t>
            </w:r>
            <w:r w:rsidRPr="000F6DEF">
              <w:rPr>
                <w:rFonts w:cs="Calibri"/>
                <w:sz w:val="16"/>
                <w:szCs w:val="16"/>
              </w:rPr>
              <w:br/>
              <w:t xml:space="preserve">Being a current user of </w:t>
            </w:r>
            <w:r>
              <w:rPr>
                <w:rFonts w:cs="Calibri"/>
                <w:sz w:val="16"/>
                <w:szCs w:val="16"/>
              </w:rPr>
              <w:t>e</w:t>
            </w:r>
            <w:r>
              <w:rPr>
                <w:rFonts w:cs="Calibri"/>
                <w:sz w:val="16"/>
                <w:szCs w:val="16"/>
              </w:rPr>
              <w:noBreakHyphen/>
              <w:t>cig</w:t>
            </w:r>
            <w:r w:rsidRPr="000F6DEF">
              <w:rPr>
                <w:rFonts w:cs="Calibri"/>
                <w:sz w:val="16"/>
                <w:szCs w:val="16"/>
              </w:rPr>
              <w:t xml:space="preserve">arettes (1.77 [1.36–3.20]) or other NDPs (1.72 [1.19–2.50]) increased the odds of reporting smoking fewer cigarettes than the previous year; previous use was not significant. </w:t>
            </w:r>
            <w:r>
              <w:rPr>
                <w:rFonts w:cs="Calibri"/>
                <w:sz w:val="16"/>
                <w:szCs w:val="16"/>
              </w:rPr>
              <w:t>E</w:t>
            </w:r>
            <w:r>
              <w:rPr>
                <w:rFonts w:cs="Calibri"/>
                <w:sz w:val="16"/>
                <w:szCs w:val="16"/>
              </w:rPr>
              <w:noBreakHyphen/>
              <w:t>cig</w:t>
            </w:r>
            <w:r w:rsidRPr="000F6DEF">
              <w:rPr>
                <w:rFonts w:cs="Calibri"/>
                <w:sz w:val="16"/>
                <w:szCs w:val="16"/>
              </w:rPr>
              <w:t>arette use was not associated with reporting smoking more than the previous year, however current use of NDPs was (1.84 [1.13–3.01]).</w:t>
            </w:r>
          </w:p>
        </w:tc>
        <w:tc>
          <w:tcPr>
            <w:tcW w:w="2557" w:type="dxa"/>
          </w:tcPr>
          <w:p w14:paraId="6AA9DD63"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Current or previous </w:t>
            </w:r>
            <w:r>
              <w:rPr>
                <w:rFonts w:cs="Calibri"/>
                <w:sz w:val="16"/>
                <w:szCs w:val="16"/>
              </w:rPr>
              <w:t>e</w:t>
            </w:r>
            <w:r>
              <w:rPr>
                <w:rFonts w:cs="Calibri"/>
                <w:sz w:val="16"/>
                <w:szCs w:val="16"/>
              </w:rPr>
              <w:noBreakHyphen/>
              <w:t>cig</w:t>
            </w:r>
            <w:r w:rsidRPr="000F6DEF">
              <w:rPr>
                <w:rFonts w:cs="Calibri"/>
                <w:sz w:val="16"/>
                <w:szCs w:val="16"/>
              </w:rPr>
              <w:t>arette use is unlikely to increase consumption of cigarettes compared with a year ago, but smokers who used them had weaker intentions to quit</w:t>
            </w:r>
            <w:r w:rsidRPr="000F6DEF">
              <w:rPr>
                <w:rFonts w:cs="Calibri"/>
                <w:sz w:val="16"/>
                <w:szCs w:val="16"/>
              </w:rPr>
              <w:br/>
              <w:t>smoking than smokers who used other NDPs.</w:t>
            </w:r>
          </w:p>
        </w:tc>
      </w:tr>
      <w:tr w:rsidR="00B85C33" w:rsidRPr="000F6DEF" w14:paraId="0E9967F4" w14:textId="77777777" w:rsidTr="000376C7">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1435" w:type="dxa"/>
          </w:tcPr>
          <w:p w14:paraId="1E7BDD51" w14:textId="77777777" w:rsidR="00B85C33" w:rsidRPr="000F6DEF" w:rsidRDefault="00B85C33" w:rsidP="000376C7">
            <w:pPr>
              <w:rPr>
                <w:rFonts w:cs="Calibri"/>
                <w:sz w:val="16"/>
                <w:szCs w:val="16"/>
              </w:rPr>
            </w:pPr>
            <w:r w:rsidRPr="000F6DEF">
              <w:rPr>
                <w:rFonts w:cs="Calibri"/>
                <w:sz w:val="16"/>
                <w:szCs w:val="16"/>
              </w:rPr>
              <w:t>Simonavicius E et al 2017</w:t>
            </w:r>
          </w:p>
        </w:tc>
        <w:tc>
          <w:tcPr>
            <w:tcW w:w="3380" w:type="dxa"/>
          </w:tcPr>
          <w:p w14:paraId="10E6241A" w14:textId="5FF2DFBF"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To assess factors associated with ongoing </w:t>
            </w:r>
            <w:r>
              <w:rPr>
                <w:rFonts w:cs="Calibri"/>
                <w:sz w:val="16"/>
                <w:szCs w:val="16"/>
              </w:rPr>
              <w:t>e</w:t>
            </w:r>
            <w:r>
              <w:rPr>
                <w:rFonts w:cs="Calibri"/>
                <w:sz w:val="16"/>
                <w:szCs w:val="16"/>
              </w:rPr>
              <w:noBreakHyphen/>
              <w:t>cig</w:t>
            </w:r>
            <w:r w:rsidRPr="000F6DEF">
              <w:rPr>
                <w:rFonts w:cs="Calibri"/>
                <w:sz w:val="16"/>
                <w:szCs w:val="16"/>
              </w:rPr>
              <w:t>arette use and discontinuation among smokers</w:t>
            </w:r>
            <w:r w:rsidR="005500FC">
              <w:rPr>
                <w:rFonts w:cs="Calibri"/>
                <w:sz w:val="16"/>
                <w:szCs w:val="16"/>
              </w:rPr>
              <w:t>.</w:t>
            </w:r>
          </w:p>
        </w:tc>
        <w:tc>
          <w:tcPr>
            <w:tcW w:w="7796" w:type="dxa"/>
          </w:tcPr>
          <w:p w14:paraId="6803AB58"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Current dual users were more motivated to stop smoking than past users; never users or past triers motivation did not differ from past users. Dual users were less dependent on cigs and to deal with smoking restrictions than past users. Smokers mostly discontinued </w:t>
            </w:r>
            <w:r>
              <w:rPr>
                <w:rFonts w:cs="Calibri"/>
                <w:sz w:val="16"/>
                <w:szCs w:val="16"/>
              </w:rPr>
              <w:t>e</w:t>
            </w:r>
            <w:r>
              <w:rPr>
                <w:rFonts w:cs="Calibri"/>
                <w:sz w:val="16"/>
                <w:szCs w:val="16"/>
              </w:rPr>
              <w:noBreakHyphen/>
              <w:t>cig</w:t>
            </w:r>
            <w:r w:rsidRPr="000F6DEF">
              <w:rPr>
                <w:rFonts w:cs="Calibri"/>
                <w:sz w:val="16"/>
                <w:szCs w:val="16"/>
              </w:rPr>
              <w:t>arette because they did not feel like smoking, did not help with cravings or respondents had just wanted to try them</w:t>
            </w:r>
          </w:p>
        </w:tc>
        <w:tc>
          <w:tcPr>
            <w:tcW w:w="2557" w:type="dxa"/>
          </w:tcPr>
          <w:p w14:paraId="6FD14E1F" w14:textId="77777777" w:rsidR="00B85C33" w:rsidRPr="000F6DEF" w:rsidRDefault="00B85C33" w:rsidP="000376C7">
            <w:pPr>
              <w:spacing w:after="0"/>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sidRPr="000F6DEF">
              <w:rPr>
                <w:rFonts w:cs="Calibri"/>
                <w:sz w:val="16"/>
                <w:szCs w:val="16"/>
              </w:rPr>
              <w:t xml:space="preserve">Among smokers, ongoing use of </w:t>
            </w:r>
            <w:r>
              <w:rPr>
                <w:rFonts w:cs="Calibri"/>
                <w:sz w:val="16"/>
                <w:szCs w:val="16"/>
              </w:rPr>
              <w:t>e</w:t>
            </w:r>
            <w:r>
              <w:rPr>
                <w:rFonts w:cs="Calibri"/>
                <w:sz w:val="16"/>
                <w:szCs w:val="16"/>
              </w:rPr>
              <w:noBreakHyphen/>
              <w:t>cig</w:t>
            </w:r>
            <w:r w:rsidRPr="000F6DEF">
              <w:rPr>
                <w:rFonts w:cs="Calibri"/>
                <w:sz w:val="16"/>
                <w:szCs w:val="16"/>
              </w:rPr>
              <w:t>arettes is assoc with reasons for reducing smoking and dealing with smoking restrictions, heightened motivation to stop smoking, and lower dependence on smoking.</w:t>
            </w:r>
          </w:p>
          <w:p w14:paraId="4BAEDE77"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p>
        </w:tc>
      </w:tr>
    </w:tbl>
    <w:p w14:paraId="2E35C49F" w14:textId="77777777" w:rsidR="00B85C33" w:rsidRDefault="00B85C33" w:rsidP="00B85C33">
      <w:pPr>
        <w:spacing w:after="0"/>
        <w:rPr>
          <w:sz w:val="24"/>
        </w:rPr>
      </w:pPr>
      <w:r>
        <w:br w:type="page"/>
      </w:r>
    </w:p>
    <w:p w14:paraId="5FC4DE74" w14:textId="77777777" w:rsidR="00B85C33" w:rsidRDefault="004C6D16" w:rsidP="004C6D16">
      <w:pPr>
        <w:pStyle w:val="Caption"/>
      </w:pPr>
      <w:bookmarkStart w:id="345" w:name="_Toc517707453"/>
      <w:r>
        <w:lastRenderedPageBreak/>
        <w:t xml:space="preserve">Table </w:t>
      </w:r>
      <w:r w:rsidR="0048064B">
        <w:rPr>
          <w:noProof/>
        </w:rPr>
        <w:fldChar w:fldCharType="begin"/>
      </w:r>
      <w:r w:rsidR="0048064B">
        <w:rPr>
          <w:noProof/>
        </w:rPr>
        <w:instrText xml:space="preserve"> SEQ Table \* ARABIC </w:instrText>
      </w:r>
      <w:r w:rsidR="0048064B">
        <w:rPr>
          <w:noProof/>
        </w:rPr>
        <w:fldChar w:fldCharType="separate"/>
      </w:r>
      <w:r w:rsidR="000C06DA">
        <w:rPr>
          <w:noProof/>
        </w:rPr>
        <w:t>44</w:t>
      </w:r>
      <w:r w:rsidR="0048064B">
        <w:rPr>
          <w:noProof/>
        </w:rPr>
        <w:fldChar w:fldCharType="end"/>
      </w:r>
      <w:r w:rsidR="00B85C33" w:rsidRPr="00BA604D">
        <w:t>: Characteristics of studies from Australia</w:t>
      </w:r>
      <w:bookmarkEnd w:id="345"/>
    </w:p>
    <w:tbl>
      <w:tblPr>
        <w:tblStyle w:val="TableCSIRO"/>
        <w:tblW w:w="15452" w:type="dxa"/>
        <w:tblInd w:w="-284" w:type="dxa"/>
        <w:tblLayout w:type="fixed"/>
        <w:tblLook w:val="04A0" w:firstRow="1" w:lastRow="0" w:firstColumn="1" w:lastColumn="0" w:noHBand="0" w:noVBand="1"/>
      </w:tblPr>
      <w:tblGrid>
        <w:gridCol w:w="1135"/>
        <w:gridCol w:w="3118"/>
        <w:gridCol w:w="993"/>
        <w:gridCol w:w="850"/>
        <w:gridCol w:w="851"/>
        <w:gridCol w:w="1842"/>
        <w:gridCol w:w="2410"/>
        <w:gridCol w:w="1559"/>
        <w:gridCol w:w="2694"/>
      </w:tblGrid>
      <w:tr w:rsidR="00B85C33" w:rsidRPr="000F6DEF" w14:paraId="218C66BF" w14:textId="77777777" w:rsidTr="004F3018">
        <w:trPr>
          <w:cnfStyle w:val="100000000000" w:firstRow="1" w:lastRow="0" w:firstColumn="0" w:lastColumn="0" w:oddVBand="0" w:evenVBand="0" w:oddHBand="0" w:evenHBand="0" w:firstRowFirstColumn="0" w:firstRowLastColumn="0" w:lastRowFirstColumn="0" w:lastRowLastColumn="0"/>
          <w:trHeight w:val="569"/>
          <w:tblHeader/>
        </w:trPr>
        <w:tc>
          <w:tcPr>
            <w:cnfStyle w:val="001000000000" w:firstRow="0" w:lastRow="0" w:firstColumn="1" w:lastColumn="0" w:oddVBand="0" w:evenVBand="0" w:oddHBand="0" w:evenHBand="0" w:firstRowFirstColumn="0" w:firstRowLastColumn="0" w:lastRowFirstColumn="0" w:lastRowLastColumn="0"/>
            <w:tcW w:w="1135" w:type="dxa"/>
            <w:hideMark/>
          </w:tcPr>
          <w:p w14:paraId="1E96E80D" w14:textId="77777777" w:rsidR="00B85C33" w:rsidRPr="000F6DEF" w:rsidRDefault="00B85C33" w:rsidP="000376C7">
            <w:pPr>
              <w:rPr>
                <w:rFonts w:cstheme="minorHAnsi"/>
                <w:color w:val="auto"/>
                <w:sz w:val="16"/>
                <w:szCs w:val="16"/>
              </w:rPr>
            </w:pPr>
            <w:r w:rsidRPr="000F6DEF">
              <w:rPr>
                <w:rFonts w:cstheme="minorHAnsi"/>
                <w:color w:val="auto"/>
                <w:sz w:val="16"/>
                <w:szCs w:val="16"/>
              </w:rPr>
              <w:t>Study reference</w:t>
            </w:r>
          </w:p>
        </w:tc>
        <w:tc>
          <w:tcPr>
            <w:tcW w:w="3118" w:type="dxa"/>
            <w:hideMark/>
          </w:tcPr>
          <w:p w14:paraId="1E510162" w14:textId="77777777" w:rsidR="00B85C33" w:rsidRPr="000F6DEF" w:rsidRDefault="00B85C33" w:rsidP="000376C7">
            <w:pPr>
              <w:cnfStyle w:val="100000000000" w:firstRow="1" w:lastRow="0" w:firstColumn="0" w:lastColumn="0" w:oddVBand="0" w:evenVBand="0" w:oddHBand="0" w:evenHBand="0" w:firstRowFirstColumn="0" w:firstRowLastColumn="0" w:lastRowFirstColumn="0" w:lastRowLastColumn="0"/>
              <w:rPr>
                <w:rFonts w:cstheme="minorHAnsi"/>
                <w:color w:val="auto"/>
                <w:sz w:val="16"/>
                <w:szCs w:val="16"/>
              </w:rPr>
            </w:pPr>
            <w:r w:rsidRPr="000F6DEF">
              <w:rPr>
                <w:rFonts w:cstheme="minorHAnsi"/>
                <w:color w:val="auto"/>
                <w:sz w:val="16"/>
                <w:szCs w:val="16"/>
              </w:rPr>
              <w:t>Purpose</w:t>
            </w:r>
          </w:p>
        </w:tc>
        <w:tc>
          <w:tcPr>
            <w:tcW w:w="993" w:type="dxa"/>
            <w:hideMark/>
          </w:tcPr>
          <w:p w14:paraId="24AECB18" w14:textId="77777777" w:rsidR="00B85C33" w:rsidRPr="000F6DEF" w:rsidRDefault="00B85C33" w:rsidP="000376C7">
            <w:pPr>
              <w:cnfStyle w:val="100000000000" w:firstRow="1" w:lastRow="0" w:firstColumn="0" w:lastColumn="0" w:oddVBand="0" w:evenVBand="0" w:oddHBand="0" w:evenHBand="0" w:firstRowFirstColumn="0" w:firstRowLastColumn="0" w:lastRowFirstColumn="0" w:lastRowLastColumn="0"/>
              <w:rPr>
                <w:rFonts w:cstheme="minorHAnsi"/>
                <w:color w:val="auto"/>
                <w:sz w:val="16"/>
                <w:szCs w:val="16"/>
              </w:rPr>
            </w:pPr>
            <w:r w:rsidRPr="000F6DEF">
              <w:rPr>
                <w:rFonts w:cstheme="minorHAnsi"/>
                <w:color w:val="auto"/>
                <w:sz w:val="16"/>
                <w:szCs w:val="16"/>
              </w:rPr>
              <w:t>Name of survey</w:t>
            </w:r>
          </w:p>
        </w:tc>
        <w:tc>
          <w:tcPr>
            <w:tcW w:w="850" w:type="dxa"/>
            <w:hideMark/>
          </w:tcPr>
          <w:p w14:paraId="60B21DED" w14:textId="77777777" w:rsidR="00B85C33" w:rsidRPr="000F6DEF" w:rsidRDefault="00B85C33" w:rsidP="000376C7">
            <w:pPr>
              <w:cnfStyle w:val="100000000000" w:firstRow="1" w:lastRow="0" w:firstColumn="0" w:lastColumn="0" w:oddVBand="0" w:evenVBand="0" w:oddHBand="0" w:evenHBand="0" w:firstRowFirstColumn="0" w:firstRowLastColumn="0" w:lastRowFirstColumn="0" w:lastRowLastColumn="0"/>
              <w:rPr>
                <w:rFonts w:cstheme="minorHAnsi"/>
                <w:color w:val="auto"/>
                <w:sz w:val="16"/>
                <w:szCs w:val="16"/>
              </w:rPr>
            </w:pPr>
            <w:r w:rsidRPr="000F6DEF">
              <w:rPr>
                <w:rFonts w:cstheme="minorHAnsi"/>
                <w:color w:val="auto"/>
                <w:sz w:val="16"/>
                <w:szCs w:val="16"/>
              </w:rPr>
              <w:t>Country or location</w:t>
            </w:r>
          </w:p>
        </w:tc>
        <w:tc>
          <w:tcPr>
            <w:tcW w:w="851" w:type="dxa"/>
            <w:hideMark/>
          </w:tcPr>
          <w:p w14:paraId="2C32EE82" w14:textId="77777777" w:rsidR="00B85C33" w:rsidRPr="000F6DEF" w:rsidRDefault="00B85C33" w:rsidP="000376C7">
            <w:pPr>
              <w:cnfStyle w:val="100000000000" w:firstRow="1" w:lastRow="0" w:firstColumn="0" w:lastColumn="0" w:oddVBand="0" w:evenVBand="0" w:oddHBand="0" w:evenHBand="0" w:firstRowFirstColumn="0" w:firstRowLastColumn="0" w:lastRowFirstColumn="0" w:lastRowLastColumn="0"/>
              <w:rPr>
                <w:rFonts w:cstheme="minorHAnsi"/>
                <w:color w:val="auto"/>
                <w:sz w:val="16"/>
                <w:szCs w:val="16"/>
              </w:rPr>
            </w:pPr>
            <w:r w:rsidRPr="000F6DEF">
              <w:rPr>
                <w:rFonts w:cstheme="minorHAnsi"/>
                <w:color w:val="auto"/>
                <w:sz w:val="16"/>
                <w:szCs w:val="16"/>
              </w:rPr>
              <w:t>Year data collected</w:t>
            </w:r>
          </w:p>
        </w:tc>
        <w:tc>
          <w:tcPr>
            <w:tcW w:w="1842" w:type="dxa"/>
            <w:hideMark/>
          </w:tcPr>
          <w:p w14:paraId="38F4A9CC" w14:textId="77777777" w:rsidR="00B85C33" w:rsidRPr="000F6DEF" w:rsidRDefault="00B85C33" w:rsidP="000376C7">
            <w:pPr>
              <w:cnfStyle w:val="100000000000" w:firstRow="1" w:lastRow="0" w:firstColumn="0" w:lastColumn="0" w:oddVBand="0" w:evenVBand="0" w:oddHBand="0" w:evenHBand="0" w:firstRowFirstColumn="0" w:firstRowLastColumn="0" w:lastRowFirstColumn="0" w:lastRowLastColumn="0"/>
              <w:rPr>
                <w:rFonts w:cstheme="minorHAnsi"/>
                <w:color w:val="auto"/>
                <w:sz w:val="16"/>
                <w:szCs w:val="16"/>
              </w:rPr>
            </w:pPr>
            <w:r w:rsidRPr="000F6DEF">
              <w:rPr>
                <w:rFonts w:cstheme="minorHAnsi"/>
                <w:color w:val="auto"/>
                <w:sz w:val="16"/>
                <w:szCs w:val="16"/>
              </w:rPr>
              <w:t>Participants</w:t>
            </w:r>
          </w:p>
        </w:tc>
        <w:tc>
          <w:tcPr>
            <w:tcW w:w="2410" w:type="dxa"/>
            <w:hideMark/>
          </w:tcPr>
          <w:p w14:paraId="1D22D645" w14:textId="77777777" w:rsidR="00B85C33" w:rsidRPr="000F6DEF" w:rsidRDefault="00B85C33" w:rsidP="000376C7">
            <w:pPr>
              <w:cnfStyle w:val="100000000000" w:firstRow="1" w:lastRow="0" w:firstColumn="0" w:lastColumn="0" w:oddVBand="0" w:evenVBand="0" w:oddHBand="0" w:evenHBand="0" w:firstRowFirstColumn="0" w:firstRowLastColumn="0" w:lastRowFirstColumn="0" w:lastRowLastColumn="0"/>
              <w:rPr>
                <w:rFonts w:cstheme="minorHAnsi"/>
                <w:color w:val="auto"/>
                <w:sz w:val="16"/>
                <w:szCs w:val="16"/>
              </w:rPr>
            </w:pPr>
            <w:r w:rsidRPr="000F6DEF">
              <w:rPr>
                <w:rFonts w:cstheme="minorHAnsi"/>
                <w:color w:val="auto"/>
                <w:sz w:val="16"/>
                <w:szCs w:val="16"/>
              </w:rPr>
              <w:t>Recruitment/ selection method</w:t>
            </w:r>
          </w:p>
        </w:tc>
        <w:tc>
          <w:tcPr>
            <w:tcW w:w="1559" w:type="dxa"/>
            <w:hideMark/>
          </w:tcPr>
          <w:p w14:paraId="5C82E2C4" w14:textId="77777777" w:rsidR="00B85C33" w:rsidRPr="000F6DEF" w:rsidRDefault="00B85C33" w:rsidP="000376C7">
            <w:pPr>
              <w:cnfStyle w:val="100000000000" w:firstRow="1" w:lastRow="0" w:firstColumn="0" w:lastColumn="0" w:oddVBand="0" w:evenVBand="0" w:oddHBand="0" w:evenHBand="0" w:firstRowFirstColumn="0" w:firstRowLastColumn="0" w:lastRowFirstColumn="0" w:lastRowLastColumn="0"/>
              <w:rPr>
                <w:rFonts w:cstheme="minorHAnsi"/>
                <w:color w:val="auto"/>
                <w:sz w:val="16"/>
                <w:szCs w:val="16"/>
              </w:rPr>
            </w:pPr>
            <w:r w:rsidRPr="000F6DEF">
              <w:rPr>
                <w:rFonts w:cstheme="minorHAnsi"/>
                <w:color w:val="auto"/>
                <w:sz w:val="16"/>
                <w:szCs w:val="16"/>
              </w:rPr>
              <w:t xml:space="preserve">Admin Method </w:t>
            </w:r>
          </w:p>
        </w:tc>
        <w:tc>
          <w:tcPr>
            <w:tcW w:w="2694" w:type="dxa"/>
            <w:hideMark/>
          </w:tcPr>
          <w:p w14:paraId="244260E8" w14:textId="77777777" w:rsidR="00B85C33" w:rsidRPr="000F6DEF" w:rsidRDefault="00B85C33" w:rsidP="000376C7">
            <w:pPr>
              <w:cnfStyle w:val="100000000000" w:firstRow="1" w:lastRow="0" w:firstColumn="0" w:lastColumn="0" w:oddVBand="0" w:evenVBand="0" w:oddHBand="0" w:evenHBand="0" w:firstRowFirstColumn="0" w:firstRowLastColumn="0" w:lastRowFirstColumn="0" w:lastRowLastColumn="0"/>
              <w:rPr>
                <w:rFonts w:cstheme="minorHAnsi"/>
                <w:color w:val="auto"/>
                <w:sz w:val="16"/>
                <w:szCs w:val="16"/>
              </w:rPr>
            </w:pPr>
            <w:r w:rsidRPr="000F6DEF">
              <w:rPr>
                <w:rFonts w:cstheme="minorHAnsi"/>
                <w:color w:val="auto"/>
                <w:sz w:val="16"/>
                <w:szCs w:val="16"/>
              </w:rPr>
              <w:t>Measures</w:t>
            </w:r>
          </w:p>
        </w:tc>
      </w:tr>
      <w:tr w:rsidR="00B85C33" w:rsidRPr="000F6DEF" w14:paraId="3BB447F9" w14:textId="77777777" w:rsidTr="004F3018">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1135" w:type="dxa"/>
          </w:tcPr>
          <w:p w14:paraId="224E6549" w14:textId="77777777" w:rsidR="00B85C33" w:rsidRPr="000F6DEF" w:rsidRDefault="00B85C33" w:rsidP="000376C7">
            <w:pPr>
              <w:rPr>
                <w:rFonts w:cs="Calibri"/>
                <w:sz w:val="16"/>
                <w:szCs w:val="16"/>
              </w:rPr>
            </w:pPr>
            <w:r w:rsidRPr="000F6DEF">
              <w:rPr>
                <w:rFonts w:cs="Calibri"/>
                <w:sz w:val="16"/>
                <w:szCs w:val="16"/>
              </w:rPr>
              <w:t>Bonevski, Guillaumier, Skelton et al.</w:t>
            </w:r>
          </w:p>
        </w:tc>
        <w:tc>
          <w:tcPr>
            <w:tcW w:w="3118" w:type="dxa"/>
          </w:tcPr>
          <w:p w14:paraId="34906854" w14:textId="24DBF91C"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Examine nicotine electronic cigarette awareness, use and place of purchase and reasons for use</w:t>
            </w:r>
            <w:r w:rsidR="005500FC">
              <w:rPr>
                <w:rFonts w:cs="Calibri"/>
                <w:sz w:val="16"/>
                <w:szCs w:val="16"/>
              </w:rPr>
              <w:t>.</w:t>
            </w:r>
          </w:p>
        </w:tc>
        <w:tc>
          <w:tcPr>
            <w:tcW w:w="993" w:type="dxa"/>
          </w:tcPr>
          <w:p w14:paraId="22FF2AF2"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Investigator developed</w:t>
            </w:r>
          </w:p>
        </w:tc>
        <w:tc>
          <w:tcPr>
            <w:tcW w:w="850" w:type="dxa"/>
          </w:tcPr>
          <w:p w14:paraId="321F43E2"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Australia</w:t>
            </w:r>
          </w:p>
        </w:tc>
        <w:tc>
          <w:tcPr>
            <w:tcW w:w="851" w:type="dxa"/>
          </w:tcPr>
          <w:p w14:paraId="747BF0E4"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NR</w:t>
            </w:r>
          </w:p>
        </w:tc>
        <w:tc>
          <w:tcPr>
            <w:tcW w:w="1842" w:type="dxa"/>
          </w:tcPr>
          <w:p w14:paraId="51D55915"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427</w:t>
            </w:r>
          </w:p>
          <w:p w14:paraId="00C75705"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Mean age: 37 years</w:t>
            </w:r>
          </w:p>
          <w:p w14:paraId="7A620CDE"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58% male</w:t>
            </w:r>
          </w:p>
        </w:tc>
        <w:tc>
          <w:tcPr>
            <w:tcW w:w="2410" w:type="dxa"/>
          </w:tcPr>
          <w:p w14:paraId="1E948761"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Clients from substance use treatment centres</w:t>
            </w:r>
          </w:p>
        </w:tc>
        <w:tc>
          <w:tcPr>
            <w:tcW w:w="1559" w:type="dxa"/>
          </w:tcPr>
          <w:p w14:paraId="431A5474"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Telephone</w:t>
            </w:r>
          </w:p>
        </w:tc>
        <w:tc>
          <w:tcPr>
            <w:tcW w:w="2694" w:type="dxa"/>
          </w:tcPr>
          <w:p w14:paraId="6426B32A" w14:textId="75ED9C5E"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Awareness </w:t>
            </w:r>
            <w:r>
              <w:rPr>
                <w:rFonts w:cs="Calibri"/>
                <w:sz w:val="16"/>
                <w:szCs w:val="16"/>
              </w:rPr>
              <w:t>e</w:t>
            </w:r>
            <w:r>
              <w:rPr>
                <w:rFonts w:cs="Calibri"/>
                <w:sz w:val="16"/>
                <w:szCs w:val="16"/>
              </w:rPr>
              <w:noBreakHyphen/>
              <w:t>cig</w:t>
            </w:r>
            <w:r w:rsidR="00326E8E">
              <w:rPr>
                <w:rFonts w:cs="Calibri"/>
                <w:sz w:val="16"/>
                <w:szCs w:val="16"/>
              </w:rPr>
              <w:t>arettes</w:t>
            </w:r>
            <w:r w:rsidRPr="000F6DEF">
              <w:rPr>
                <w:rFonts w:cs="Calibri"/>
                <w:sz w:val="16"/>
                <w:szCs w:val="16"/>
              </w:rPr>
              <w:t xml:space="preserve">; ever use </w:t>
            </w:r>
            <w:r>
              <w:rPr>
                <w:rFonts w:cs="Calibri"/>
                <w:sz w:val="16"/>
                <w:szCs w:val="16"/>
              </w:rPr>
              <w:t>e</w:t>
            </w:r>
            <w:r>
              <w:rPr>
                <w:rFonts w:cs="Calibri"/>
                <w:sz w:val="16"/>
                <w:szCs w:val="16"/>
              </w:rPr>
              <w:noBreakHyphen/>
              <w:t>cig</w:t>
            </w:r>
            <w:r w:rsidR="00326E8E">
              <w:rPr>
                <w:rFonts w:cs="Calibri"/>
                <w:sz w:val="16"/>
                <w:szCs w:val="16"/>
              </w:rPr>
              <w:t>arettes</w:t>
            </w:r>
            <w:r w:rsidRPr="000F6DEF">
              <w:rPr>
                <w:rFonts w:cs="Calibri"/>
                <w:sz w:val="16"/>
                <w:szCs w:val="16"/>
              </w:rPr>
              <w:t xml:space="preserve">; whether </w:t>
            </w:r>
            <w:r>
              <w:rPr>
                <w:rFonts w:cs="Calibri"/>
                <w:sz w:val="16"/>
                <w:szCs w:val="16"/>
              </w:rPr>
              <w:t>e</w:t>
            </w:r>
            <w:r>
              <w:rPr>
                <w:rFonts w:cs="Calibri"/>
                <w:sz w:val="16"/>
                <w:szCs w:val="16"/>
              </w:rPr>
              <w:noBreakHyphen/>
              <w:t>cig</w:t>
            </w:r>
            <w:r w:rsidRPr="000F6DEF">
              <w:rPr>
                <w:rFonts w:cs="Calibri"/>
                <w:sz w:val="16"/>
                <w:szCs w:val="16"/>
              </w:rPr>
              <w:t xml:space="preserve">arette contained nicotine; current use </w:t>
            </w:r>
            <w:r>
              <w:rPr>
                <w:rFonts w:cs="Calibri"/>
                <w:sz w:val="16"/>
                <w:szCs w:val="16"/>
              </w:rPr>
              <w:t>e</w:t>
            </w:r>
            <w:r>
              <w:rPr>
                <w:rFonts w:cs="Calibri"/>
                <w:sz w:val="16"/>
                <w:szCs w:val="16"/>
              </w:rPr>
              <w:noBreakHyphen/>
              <w:t>cig</w:t>
            </w:r>
            <w:r w:rsidR="00326E8E">
              <w:rPr>
                <w:rFonts w:cs="Calibri"/>
                <w:sz w:val="16"/>
                <w:szCs w:val="16"/>
              </w:rPr>
              <w:t>arettes</w:t>
            </w:r>
            <w:r w:rsidRPr="000F6DEF">
              <w:rPr>
                <w:rFonts w:cs="Calibri"/>
                <w:sz w:val="16"/>
                <w:szCs w:val="16"/>
              </w:rPr>
              <w:t>, reasons (select Y/N)</w:t>
            </w:r>
          </w:p>
        </w:tc>
      </w:tr>
      <w:tr w:rsidR="00B85C33" w:rsidRPr="000F6DEF" w14:paraId="6726C293" w14:textId="77777777" w:rsidTr="004F3018">
        <w:trPr>
          <w:trHeight w:val="569"/>
        </w:trPr>
        <w:tc>
          <w:tcPr>
            <w:cnfStyle w:val="001000000000" w:firstRow="0" w:lastRow="0" w:firstColumn="1" w:lastColumn="0" w:oddVBand="0" w:evenVBand="0" w:oddHBand="0" w:evenHBand="0" w:firstRowFirstColumn="0" w:firstRowLastColumn="0" w:lastRowFirstColumn="0" w:lastRowLastColumn="0"/>
            <w:tcW w:w="1135" w:type="dxa"/>
          </w:tcPr>
          <w:p w14:paraId="0E39DCA6" w14:textId="77777777" w:rsidR="00B85C33" w:rsidRPr="000F6DEF" w:rsidRDefault="00B85C33" w:rsidP="000376C7">
            <w:pPr>
              <w:rPr>
                <w:rFonts w:cs="Calibri"/>
                <w:sz w:val="16"/>
                <w:szCs w:val="16"/>
              </w:rPr>
            </w:pPr>
            <w:r w:rsidRPr="000F6DEF">
              <w:rPr>
                <w:rFonts w:cs="Calibri"/>
                <w:sz w:val="16"/>
                <w:szCs w:val="16"/>
              </w:rPr>
              <w:t>Brown</w:t>
            </w:r>
          </w:p>
        </w:tc>
        <w:tc>
          <w:tcPr>
            <w:tcW w:w="3118" w:type="dxa"/>
          </w:tcPr>
          <w:p w14:paraId="5CD280D4"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This paper explores the experiences of smoking and ‘vaping’ while being pharmaceutically treated for schizophrenia, as well as what the experiences of breathing smoke and vapour in and out can reveal about health ‘care’, toward the self and others.</w:t>
            </w:r>
          </w:p>
        </w:tc>
        <w:tc>
          <w:tcPr>
            <w:tcW w:w="993" w:type="dxa"/>
          </w:tcPr>
          <w:p w14:paraId="12A52B85"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ethnographic data</w:t>
            </w:r>
          </w:p>
        </w:tc>
        <w:tc>
          <w:tcPr>
            <w:tcW w:w="850" w:type="dxa"/>
          </w:tcPr>
          <w:p w14:paraId="6583535F"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Australia and UK</w:t>
            </w:r>
          </w:p>
        </w:tc>
        <w:tc>
          <w:tcPr>
            <w:tcW w:w="851" w:type="dxa"/>
          </w:tcPr>
          <w:p w14:paraId="7A225D58"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2015</w:t>
            </w:r>
            <w:r w:rsidRPr="000F6DEF">
              <w:rPr>
                <w:rFonts w:cs="Calibri"/>
                <w:sz w:val="16"/>
                <w:szCs w:val="16"/>
              </w:rPr>
              <w:noBreakHyphen/>
              <w:t>2016</w:t>
            </w:r>
          </w:p>
        </w:tc>
        <w:tc>
          <w:tcPr>
            <w:tcW w:w="1842" w:type="dxa"/>
          </w:tcPr>
          <w:p w14:paraId="1363E026"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NR</w:t>
            </w:r>
          </w:p>
        </w:tc>
        <w:tc>
          <w:tcPr>
            <w:tcW w:w="2410" w:type="dxa"/>
          </w:tcPr>
          <w:p w14:paraId="799AC9EC"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NR</w:t>
            </w:r>
          </w:p>
        </w:tc>
        <w:tc>
          <w:tcPr>
            <w:tcW w:w="1559" w:type="dxa"/>
          </w:tcPr>
          <w:p w14:paraId="424164CF"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p>
        </w:tc>
        <w:tc>
          <w:tcPr>
            <w:tcW w:w="2694" w:type="dxa"/>
          </w:tcPr>
          <w:p w14:paraId="61C53FA0"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p>
        </w:tc>
      </w:tr>
      <w:tr w:rsidR="00B85C33" w:rsidRPr="000F6DEF" w14:paraId="03C1029A" w14:textId="77777777" w:rsidTr="004F3018">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1135" w:type="dxa"/>
          </w:tcPr>
          <w:p w14:paraId="55037F5B" w14:textId="77777777" w:rsidR="00B85C33" w:rsidRPr="000F6DEF" w:rsidRDefault="00B85C33" w:rsidP="000376C7">
            <w:pPr>
              <w:rPr>
                <w:rFonts w:cs="Calibri"/>
                <w:sz w:val="16"/>
                <w:szCs w:val="16"/>
              </w:rPr>
            </w:pPr>
            <w:r w:rsidRPr="000F6DEF">
              <w:rPr>
                <w:rFonts w:cs="Calibri"/>
                <w:sz w:val="16"/>
                <w:szCs w:val="16"/>
              </w:rPr>
              <w:t>Keane, Weier, Fraser, Gartner</w:t>
            </w:r>
          </w:p>
        </w:tc>
        <w:tc>
          <w:tcPr>
            <w:tcW w:w="3118" w:type="dxa"/>
          </w:tcPr>
          <w:p w14:paraId="0239ACDD"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Rather than add to the literature on the health effects of </w:t>
            </w:r>
            <w:r>
              <w:rPr>
                <w:rFonts w:cs="Calibri"/>
                <w:sz w:val="16"/>
                <w:szCs w:val="16"/>
              </w:rPr>
              <w:t>e</w:t>
            </w:r>
            <w:r>
              <w:rPr>
                <w:rFonts w:cs="Calibri"/>
                <w:sz w:val="16"/>
                <w:szCs w:val="16"/>
              </w:rPr>
              <w:noBreakHyphen/>
              <w:t>cig</w:t>
            </w:r>
            <w:r w:rsidRPr="000F6DEF">
              <w:rPr>
                <w:rFonts w:cs="Calibri"/>
                <w:sz w:val="16"/>
                <w:szCs w:val="16"/>
              </w:rPr>
              <w:t>arettes, this article aims to explore</w:t>
            </w:r>
            <w:r w:rsidRPr="000F6DEF">
              <w:rPr>
                <w:rFonts w:cs="Calibri"/>
                <w:sz w:val="16"/>
                <w:szCs w:val="16"/>
              </w:rPr>
              <w:br/>
              <w:t>vaping through theories of social practice.</w:t>
            </w:r>
          </w:p>
        </w:tc>
        <w:tc>
          <w:tcPr>
            <w:tcW w:w="993" w:type="dxa"/>
          </w:tcPr>
          <w:p w14:paraId="79A955DA"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Investigator developed</w:t>
            </w:r>
          </w:p>
        </w:tc>
        <w:tc>
          <w:tcPr>
            <w:tcW w:w="850" w:type="dxa"/>
          </w:tcPr>
          <w:p w14:paraId="704F758B"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Australia</w:t>
            </w:r>
          </w:p>
        </w:tc>
        <w:tc>
          <w:tcPr>
            <w:tcW w:w="851" w:type="dxa"/>
          </w:tcPr>
          <w:p w14:paraId="335D5540"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2014</w:t>
            </w:r>
          </w:p>
        </w:tc>
        <w:tc>
          <w:tcPr>
            <w:tcW w:w="1842" w:type="dxa"/>
          </w:tcPr>
          <w:p w14:paraId="1E9C468D"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705</w:t>
            </w:r>
          </w:p>
          <w:p w14:paraId="6C4B61F1"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71% male</w:t>
            </w:r>
          </w:p>
        </w:tc>
        <w:tc>
          <w:tcPr>
            <w:tcW w:w="2410" w:type="dxa"/>
          </w:tcPr>
          <w:p w14:paraId="22F948C6"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Invitations to participate in the survey were distributed through online vaper forums, </w:t>
            </w:r>
            <w:r>
              <w:rPr>
                <w:rFonts w:cs="Calibri"/>
                <w:sz w:val="16"/>
                <w:szCs w:val="16"/>
              </w:rPr>
              <w:t>e</w:t>
            </w:r>
            <w:r>
              <w:rPr>
                <w:rFonts w:cs="Calibri"/>
                <w:sz w:val="16"/>
                <w:szCs w:val="16"/>
              </w:rPr>
              <w:noBreakHyphen/>
              <w:t>cig</w:t>
            </w:r>
            <w:r w:rsidRPr="000F6DEF">
              <w:rPr>
                <w:rFonts w:cs="Calibri"/>
                <w:sz w:val="16"/>
                <w:szCs w:val="16"/>
              </w:rPr>
              <w:t>arette vendors and word of mouth</w:t>
            </w:r>
          </w:p>
        </w:tc>
        <w:tc>
          <w:tcPr>
            <w:tcW w:w="1559" w:type="dxa"/>
          </w:tcPr>
          <w:p w14:paraId="50698EE6"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Online</w:t>
            </w:r>
          </w:p>
        </w:tc>
        <w:tc>
          <w:tcPr>
            <w:tcW w:w="2694" w:type="dxa"/>
          </w:tcPr>
          <w:p w14:paraId="7C9BE584"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‘tell us anything you would like to about personal vaporisers’</w:t>
            </w:r>
          </w:p>
        </w:tc>
      </w:tr>
      <w:tr w:rsidR="00B85C33" w:rsidRPr="000F6DEF" w14:paraId="6DCE6997" w14:textId="77777777" w:rsidTr="004F3018">
        <w:trPr>
          <w:trHeight w:val="569"/>
        </w:trPr>
        <w:tc>
          <w:tcPr>
            <w:cnfStyle w:val="001000000000" w:firstRow="0" w:lastRow="0" w:firstColumn="1" w:lastColumn="0" w:oddVBand="0" w:evenVBand="0" w:oddHBand="0" w:evenHBand="0" w:firstRowFirstColumn="0" w:firstRowLastColumn="0" w:lastRowFirstColumn="0" w:lastRowLastColumn="0"/>
            <w:tcW w:w="1135" w:type="dxa"/>
          </w:tcPr>
          <w:p w14:paraId="1E8D74FC" w14:textId="77777777" w:rsidR="00B85C33" w:rsidRPr="000F6DEF" w:rsidRDefault="00B85C33" w:rsidP="000376C7">
            <w:pPr>
              <w:rPr>
                <w:rFonts w:cs="Calibri"/>
                <w:sz w:val="16"/>
                <w:szCs w:val="16"/>
              </w:rPr>
            </w:pPr>
            <w:r w:rsidRPr="000F6DEF">
              <w:rPr>
                <w:rFonts w:cs="Calibri"/>
                <w:sz w:val="16"/>
                <w:szCs w:val="16"/>
              </w:rPr>
              <w:t>Lee, Yong, Borland et al</w:t>
            </w:r>
          </w:p>
        </w:tc>
        <w:tc>
          <w:tcPr>
            <w:tcW w:w="3118" w:type="dxa"/>
          </w:tcPr>
          <w:p w14:paraId="33CDB360"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This study examined the prevalence and correlates of (1) perceived social acceptability of personal vaporizer (PV)/</w:t>
            </w:r>
            <w:r>
              <w:rPr>
                <w:rFonts w:cs="Calibri"/>
                <w:sz w:val="16"/>
                <w:szCs w:val="16"/>
              </w:rPr>
              <w:t>e</w:t>
            </w:r>
            <w:r>
              <w:rPr>
                <w:rFonts w:cs="Calibri"/>
                <w:sz w:val="16"/>
                <w:szCs w:val="16"/>
              </w:rPr>
              <w:noBreakHyphen/>
              <w:t>cig</w:t>
            </w:r>
            <w:r w:rsidRPr="000F6DEF">
              <w:rPr>
                <w:rFonts w:cs="Calibri"/>
                <w:sz w:val="16"/>
                <w:szCs w:val="16"/>
              </w:rPr>
              <w:t>arette use, and (2) reported vaping in public and private places, in the UK and Australia with different regulatory environments for PVs.</w:t>
            </w:r>
          </w:p>
        </w:tc>
        <w:tc>
          <w:tcPr>
            <w:tcW w:w="993" w:type="dxa"/>
          </w:tcPr>
          <w:p w14:paraId="75673CD1"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International Tobacco Control Survey (ITC4)</w:t>
            </w:r>
          </w:p>
        </w:tc>
        <w:tc>
          <w:tcPr>
            <w:tcW w:w="850" w:type="dxa"/>
          </w:tcPr>
          <w:p w14:paraId="1495210E"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Australia, UK</w:t>
            </w:r>
          </w:p>
        </w:tc>
        <w:tc>
          <w:tcPr>
            <w:tcW w:w="851" w:type="dxa"/>
          </w:tcPr>
          <w:p w14:paraId="3821C4C4"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2014</w:t>
            </w:r>
          </w:p>
        </w:tc>
        <w:tc>
          <w:tcPr>
            <w:tcW w:w="1842" w:type="dxa"/>
          </w:tcPr>
          <w:p w14:paraId="02867344"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2,849</w:t>
            </w:r>
          </w:p>
          <w:p w14:paraId="7B00A5EE"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32.8% aged 18</w:t>
            </w:r>
            <w:r w:rsidRPr="000F6DEF">
              <w:rPr>
                <w:rFonts w:cs="Calibri"/>
                <w:sz w:val="16"/>
                <w:szCs w:val="16"/>
              </w:rPr>
              <w:noBreakHyphen/>
              <w:t>39 years</w:t>
            </w:r>
          </w:p>
          <w:p w14:paraId="62EA9E70"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56% male</w:t>
            </w:r>
          </w:p>
        </w:tc>
        <w:tc>
          <w:tcPr>
            <w:tcW w:w="2410" w:type="dxa"/>
          </w:tcPr>
          <w:p w14:paraId="5DCD0CB9"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Probability sampling methods using</w:t>
            </w:r>
            <w:r w:rsidRPr="000F6DEF">
              <w:rPr>
                <w:rFonts w:cs="Calibri"/>
                <w:sz w:val="16"/>
                <w:szCs w:val="16"/>
              </w:rPr>
              <w:br/>
              <w:t>random</w:t>
            </w:r>
            <w:r w:rsidRPr="000F6DEF">
              <w:rPr>
                <w:rFonts w:cs="Calibri"/>
                <w:sz w:val="16"/>
                <w:szCs w:val="16"/>
              </w:rPr>
              <w:noBreakHyphen/>
              <w:t>digit dialling from the population of each country within strata</w:t>
            </w:r>
            <w:r w:rsidRPr="000F6DEF">
              <w:rPr>
                <w:rFonts w:cs="Calibri"/>
                <w:sz w:val="16"/>
                <w:szCs w:val="16"/>
              </w:rPr>
              <w:br/>
              <w:t>defined by geographic region and community size,</w:t>
            </w:r>
          </w:p>
        </w:tc>
        <w:tc>
          <w:tcPr>
            <w:tcW w:w="1559" w:type="dxa"/>
          </w:tcPr>
          <w:p w14:paraId="1E6DED7A"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Web or phone interviews</w:t>
            </w:r>
          </w:p>
        </w:tc>
        <w:tc>
          <w:tcPr>
            <w:tcW w:w="2694" w:type="dxa"/>
          </w:tcPr>
          <w:p w14:paraId="7A3C13BE" w14:textId="0B7D8A2D"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PV awareness, trial, use (y/n)</w:t>
            </w:r>
            <w:r w:rsidRPr="000F6DEF">
              <w:rPr>
                <w:rFonts w:cs="Calibri"/>
                <w:sz w:val="16"/>
                <w:szCs w:val="16"/>
              </w:rPr>
              <w:br/>
              <w:t>Extent of current use</w:t>
            </w:r>
            <w:r w:rsidRPr="000F6DEF">
              <w:rPr>
                <w:rFonts w:cs="Calibri"/>
                <w:sz w:val="16"/>
                <w:szCs w:val="16"/>
              </w:rPr>
              <w:br/>
              <w:t>Social acceptability</w:t>
            </w:r>
            <w:r w:rsidRPr="000F6DEF">
              <w:rPr>
                <w:rFonts w:cs="Calibri"/>
                <w:sz w:val="16"/>
                <w:szCs w:val="16"/>
              </w:rPr>
              <w:br/>
              <w:t>Perceived harmfulness of PV</w:t>
            </w:r>
            <w:r w:rsidRPr="000F6DEF">
              <w:rPr>
                <w:rFonts w:cs="Calibri"/>
                <w:sz w:val="16"/>
                <w:szCs w:val="16"/>
              </w:rPr>
              <w:br/>
              <w:t>Friends and family who vape</w:t>
            </w:r>
            <w:r w:rsidRPr="000F6DEF">
              <w:rPr>
                <w:rFonts w:cs="Calibri"/>
                <w:sz w:val="16"/>
                <w:szCs w:val="16"/>
              </w:rPr>
              <w:br/>
              <w:t>Seen vaping in public places</w:t>
            </w:r>
            <w:r w:rsidRPr="000F6DEF">
              <w:rPr>
                <w:rFonts w:cs="Calibri"/>
                <w:sz w:val="16"/>
                <w:szCs w:val="16"/>
              </w:rPr>
              <w:br/>
              <w:t>Comfort using PV in public</w:t>
            </w:r>
            <w:r w:rsidRPr="000F6DEF">
              <w:rPr>
                <w:rFonts w:cs="Calibri"/>
                <w:sz w:val="16"/>
                <w:szCs w:val="16"/>
              </w:rPr>
              <w:br/>
              <w:t xml:space="preserve">Enjoyment of </w:t>
            </w:r>
            <w:r>
              <w:rPr>
                <w:rFonts w:cs="Calibri"/>
                <w:sz w:val="16"/>
                <w:szCs w:val="16"/>
              </w:rPr>
              <w:t>e</w:t>
            </w:r>
            <w:r>
              <w:rPr>
                <w:rFonts w:cs="Calibri"/>
                <w:sz w:val="16"/>
                <w:szCs w:val="16"/>
              </w:rPr>
              <w:noBreakHyphen/>
              <w:t>cig</w:t>
            </w:r>
            <w:r w:rsidR="00326E8E">
              <w:rPr>
                <w:rFonts w:cs="Calibri"/>
                <w:sz w:val="16"/>
                <w:szCs w:val="16"/>
              </w:rPr>
              <w:t>arettes</w:t>
            </w:r>
            <w:r w:rsidRPr="000F6DEF">
              <w:rPr>
                <w:rFonts w:cs="Calibri"/>
                <w:sz w:val="16"/>
                <w:szCs w:val="16"/>
              </w:rPr>
              <w:br/>
              <w:t>Demographics</w:t>
            </w:r>
          </w:p>
        </w:tc>
      </w:tr>
      <w:tr w:rsidR="00B85C33" w:rsidRPr="000F6DEF" w14:paraId="207F2C32" w14:textId="77777777" w:rsidTr="004F3018">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1135" w:type="dxa"/>
          </w:tcPr>
          <w:p w14:paraId="22B5B294" w14:textId="77777777" w:rsidR="00B85C33" w:rsidRPr="000F6DEF" w:rsidRDefault="00B85C33" w:rsidP="000376C7">
            <w:pPr>
              <w:rPr>
                <w:rFonts w:cs="Calibri"/>
                <w:sz w:val="16"/>
                <w:szCs w:val="16"/>
              </w:rPr>
            </w:pPr>
            <w:r w:rsidRPr="000F6DEF">
              <w:rPr>
                <w:rFonts w:cs="Calibri"/>
                <w:sz w:val="16"/>
                <w:szCs w:val="16"/>
              </w:rPr>
              <w:t>Sharma R, Wiggington B et al 2017</w:t>
            </w:r>
          </w:p>
        </w:tc>
        <w:tc>
          <w:tcPr>
            <w:tcW w:w="3118" w:type="dxa"/>
          </w:tcPr>
          <w:p w14:paraId="2F90A0D2" w14:textId="214DE8EC"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To determine motivations and Limitations Associated with Vaping among People with Mental Illness</w:t>
            </w:r>
            <w:r w:rsidR="005500FC">
              <w:rPr>
                <w:rFonts w:cs="Calibri"/>
                <w:sz w:val="16"/>
                <w:szCs w:val="16"/>
              </w:rPr>
              <w:t>.</w:t>
            </w:r>
          </w:p>
        </w:tc>
        <w:tc>
          <w:tcPr>
            <w:tcW w:w="993" w:type="dxa"/>
          </w:tcPr>
          <w:p w14:paraId="5A7675F3"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Qualitative Analysis of Reddit discussions; </w:t>
            </w:r>
          </w:p>
        </w:tc>
        <w:tc>
          <w:tcPr>
            <w:tcW w:w="850" w:type="dxa"/>
          </w:tcPr>
          <w:p w14:paraId="0D97C711"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Australia (Queensland)</w:t>
            </w:r>
          </w:p>
        </w:tc>
        <w:tc>
          <w:tcPr>
            <w:tcW w:w="851" w:type="dxa"/>
          </w:tcPr>
          <w:p w14:paraId="12BC9E36"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2016</w:t>
            </w:r>
          </w:p>
        </w:tc>
        <w:tc>
          <w:tcPr>
            <w:tcW w:w="1842" w:type="dxa"/>
          </w:tcPr>
          <w:p w14:paraId="690E3895" w14:textId="77AAB894"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Thematic analysis of 3</w:t>
            </w:r>
            <w:r w:rsidR="00571385">
              <w:rPr>
                <w:rFonts w:cs="Calibri"/>
                <w:sz w:val="16"/>
                <w:szCs w:val="16"/>
              </w:rPr>
              <w:t>,</w:t>
            </w:r>
            <w:r w:rsidRPr="000F6DEF">
              <w:rPr>
                <w:rFonts w:cs="Calibri"/>
                <w:sz w:val="16"/>
                <w:szCs w:val="16"/>
              </w:rPr>
              <w:t>263 comments from 133 discussion threads</w:t>
            </w:r>
          </w:p>
        </w:tc>
        <w:tc>
          <w:tcPr>
            <w:tcW w:w="2410" w:type="dxa"/>
          </w:tcPr>
          <w:p w14:paraId="619DAA75"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NA</w:t>
            </w:r>
          </w:p>
        </w:tc>
        <w:tc>
          <w:tcPr>
            <w:tcW w:w="1559" w:type="dxa"/>
          </w:tcPr>
          <w:p w14:paraId="78A12DC8"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Systematically searched the website Reddit.com using keywords related to </w:t>
            </w:r>
            <w:r>
              <w:rPr>
                <w:rFonts w:cs="Calibri"/>
                <w:sz w:val="16"/>
                <w:szCs w:val="16"/>
              </w:rPr>
              <w:t>e</w:t>
            </w:r>
            <w:r>
              <w:rPr>
                <w:rFonts w:cs="Calibri"/>
                <w:sz w:val="16"/>
                <w:szCs w:val="16"/>
              </w:rPr>
              <w:noBreakHyphen/>
              <w:t>cig</w:t>
            </w:r>
            <w:r w:rsidRPr="000F6DEF">
              <w:rPr>
                <w:rFonts w:cs="Calibri"/>
                <w:sz w:val="16"/>
                <w:szCs w:val="16"/>
              </w:rPr>
              <w:t>arettes and mental illness</w:t>
            </w:r>
          </w:p>
        </w:tc>
        <w:tc>
          <w:tcPr>
            <w:tcW w:w="2694" w:type="dxa"/>
          </w:tcPr>
          <w:p w14:paraId="5A664558"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Coded relevant posts into themes under the framework of motivations for and limitations of vaping for people with mental illness </w:t>
            </w:r>
          </w:p>
        </w:tc>
      </w:tr>
      <w:tr w:rsidR="00B85C33" w:rsidRPr="000F6DEF" w14:paraId="06B057B1" w14:textId="77777777" w:rsidTr="004F3018">
        <w:trPr>
          <w:trHeight w:val="569"/>
        </w:trPr>
        <w:tc>
          <w:tcPr>
            <w:cnfStyle w:val="001000000000" w:firstRow="0" w:lastRow="0" w:firstColumn="1" w:lastColumn="0" w:oddVBand="0" w:evenVBand="0" w:oddHBand="0" w:evenHBand="0" w:firstRowFirstColumn="0" w:firstRowLastColumn="0" w:lastRowFirstColumn="0" w:lastRowLastColumn="0"/>
            <w:tcW w:w="1135" w:type="dxa"/>
          </w:tcPr>
          <w:p w14:paraId="49CF2ADE" w14:textId="77777777" w:rsidR="00B85C33" w:rsidRPr="000F6DEF" w:rsidRDefault="00B85C33" w:rsidP="000376C7">
            <w:pPr>
              <w:rPr>
                <w:rFonts w:cs="Calibri"/>
                <w:sz w:val="16"/>
                <w:szCs w:val="16"/>
              </w:rPr>
            </w:pPr>
            <w:r w:rsidRPr="000F6DEF">
              <w:rPr>
                <w:rFonts w:cs="Calibri"/>
                <w:sz w:val="16"/>
                <w:szCs w:val="16"/>
              </w:rPr>
              <w:t>Williams T, White V et al 2017</w:t>
            </w:r>
          </w:p>
        </w:tc>
        <w:tc>
          <w:tcPr>
            <w:tcW w:w="3118" w:type="dxa"/>
          </w:tcPr>
          <w:p w14:paraId="2BAC6309" w14:textId="65CAB9BE"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To determine what Factors are Associated with Electronic Cigarette, Shisha</w:t>
            </w:r>
            <w:r w:rsidRPr="000F6DEF">
              <w:rPr>
                <w:rFonts w:cs="Calibri"/>
                <w:sz w:val="16"/>
                <w:szCs w:val="16"/>
              </w:rPr>
              <w:noBreakHyphen/>
              <w:t>Tobacco and Conventional Cigarette Use</w:t>
            </w:r>
            <w:r w:rsidR="005500FC">
              <w:rPr>
                <w:rFonts w:cs="Calibri"/>
                <w:sz w:val="16"/>
                <w:szCs w:val="16"/>
              </w:rPr>
              <w:t>.</w:t>
            </w:r>
          </w:p>
        </w:tc>
        <w:tc>
          <w:tcPr>
            <w:tcW w:w="993" w:type="dxa"/>
          </w:tcPr>
          <w:p w14:paraId="0F6028B0"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Victorian component of the Australian Secondary Schools </w:t>
            </w:r>
            <w:r w:rsidRPr="000F6DEF">
              <w:rPr>
                <w:rFonts w:cs="Calibri"/>
                <w:sz w:val="16"/>
                <w:szCs w:val="16"/>
              </w:rPr>
              <w:lastRenderedPageBreak/>
              <w:t>Alcohol and Drug survey</w:t>
            </w:r>
          </w:p>
        </w:tc>
        <w:tc>
          <w:tcPr>
            <w:tcW w:w="850" w:type="dxa"/>
          </w:tcPr>
          <w:p w14:paraId="7705A84C"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lastRenderedPageBreak/>
              <w:t>Australia (Victoria)</w:t>
            </w:r>
          </w:p>
        </w:tc>
        <w:tc>
          <w:tcPr>
            <w:tcW w:w="851" w:type="dxa"/>
          </w:tcPr>
          <w:p w14:paraId="2F166CF0"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June </w:t>
            </w:r>
            <w:r w:rsidRPr="000F6DEF">
              <w:rPr>
                <w:rFonts w:cs="Calibri"/>
                <w:sz w:val="16"/>
                <w:szCs w:val="16"/>
              </w:rPr>
              <w:noBreakHyphen/>
              <w:t xml:space="preserve"> August 2014</w:t>
            </w:r>
          </w:p>
        </w:tc>
        <w:tc>
          <w:tcPr>
            <w:tcW w:w="1842" w:type="dxa"/>
          </w:tcPr>
          <w:p w14:paraId="0A5DFA73" w14:textId="690C1FAE"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4</w:t>
            </w:r>
            <w:r w:rsidR="00571385">
              <w:rPr>
                <w:rFonts w:cs="Calibri"/>
                <w:sz w:val="16"/>
                <w:szCs w:val="16"/>
              </w:rPr>
              <w:t>,</w:t>
            </w:r>
            <w:r w:rsidRPr="000F6DEF">
              <w:rPr>
                <w:rFonts w:cs="Calibri"/>
                <w:sz w:val="16"/>
                <w:szCs w:val="16"/>
              </w:rPr>
              <w:t>576</w:t>
            </w:r>
          </w:p>
          <w:p w14:paraId="525DB749"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Aged 12</w:t>
            </w:r>
            <w:r w:rsidRPr="000F6DEF">
              <w:rPr>
                <w:rFonts w:cs="Calibri"/>
                <w:sz w:val="16"/>
                <w:szCs w:val="16"/>
              </w:rPr>
              <w:noBreakHyphen/>
              <w:t>17 years</w:t>
            </w:r>
          </w:p>
        </w:tc>
        <w:tc>
          <w:tcPr>
            <w:tcW w:w="2410" w:type="dxa"/>
          </w:tcPr>
          <w:p w14:paraId="704D5D7C"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Principals were approached and their school invited to participate. If a principal declined, a replacement school was selected. Replacement schools were geographically closest within the same education sector. In total, 264 schools were approached and </w:t>
            </w:r>
            <w:r w:rsidRPr="000F6DEF">
              <w:rPr>
                <w:rFonts w:cs="Calibri"/>
                <w:sz w:val="16"/>
                <w:szCs w:val="16"/>
              </w:rPr>
              <w:lastRenderedPageBreak/>
              <w:t>63 schools agreed to participate in the study</w:t>
            </w:r>
          </w:p>
        </w:tc>
        <w:tc>
          <w:tcPr>
            <w:tcW w:w="1559" w:type="dxa"/>
          </w:tcPr>
          <w:p w14:paraId="63084273"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lastRenderedPageBreak/>
              <w:t>Pen and paper survey face</w:t>
            </w:r>
            <w:r w:rsidRPr="000F6DEF">
              <w:rPr>
                <w:rFonts w:cs="Calibri"/>
                <w:sz w:val="16"/>
                <w:szCs w:val="16"/>
              </w:rPr>
              <w:noBreakHyphen/>
              <w:t>to</w:t>
            </w:r>
            <w:r w:rsidRPr="000F6DEF">
              <w:rPr>
                <w:rFonts w:cs="Calibri"/>
                <w:sz w:val="16"/>
                <w:szCs w:val="16"/>
              </w:rPr>
              <w:noBreakHyphen/>
              <w:t>face with researcher</w:t>
            </w:r>
          </w:p>
        </w:tc>
        <w:tc>
          <w:tcPr>
            <w:tcW w:w="2694" w:type="dxa"/>
          </w:tcPr>
          <w:p w14:paraId="4EEA1EE7" w14:textId="400F1E1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Outcome categories were based on cross</w:t>
            </w:r>
            <w:r w:rsidRPr="000F6DEF">
              <w:rPr>
                <w:rFonts w:cs="Calibri"/>
                <w:sz w:val="16"/>
                <w:szCs w:val="16"/>
              </w:rPr>
              <w:noBreakHyphen/>
              <w:t xml:space="preserve">classifying the sample by ever </w:t>
            </w:r>
            <w:r>
              <w:rPr>
                <w:rFonts w:cs="Calibri"/>
                <w:sz w:val="16"/>
                <w:szCs w:val="16"/>
              </w:rPr>
              <w:t>e</w:t>
            </w:r>
            <w:r>
              <w:rPr>
                <w:rFonts w:cs="Calibri"/>
                <w:sz w:val="16"/>
                <w:szCs w:val="16"/>
              </w:rPr>
              <w:noBreakHyphen/>
              <w:t>cig</w:t>
            </w:r>
            <w:r w:rsidRPr="000F6DEF">
              <w:rPr>
                <w:rFonts w:cs="Calibri"/>
                <w:sz w:val="16"/>
                <w:szCs w:val="16"/>
              </w:rPr>
              <w:t>arette, ever shisha</w:t>
            </w:r>
            <w:r w:rsidRPr="000F6DEF">
              <w:rPr>
                <w:rFonts w:cs="Calibri"/>
                <w:sz w:val="16"/>
                <w:szCs w:val="16"/>
              </w:rPr>
              <w:noBreakHyphen/>
              <w:t xml:space="preserve">tobacco and ever tobacco cigarette use. Eight unique groups were determined: </w:t>
            </w:r>
            <w:r>
              <w:rPr>
                <w:rFonts w:cs="Calibri"/>
                <w:sz w:val="16"/>
                <w:szCs w:val="16"/>
              </w:rPr>
              <w:t>e</w:t>
            </w:r>
            <w:r>
              <w:rPr>
                <w:rFonts w:cs="Calibri"/>
                <w:sz w:val="16"/>
                <w:szCs w:val="16"/>
              </w:rPr>
              <w:noBreakHyphen/>
              <w:t>cig</w:t>
            </w:r>
            <w:r w:rsidRPr="000F6DEF">
              <w:rPr>
                <w:rFonts w:cs="Calibri"/>
                <w:sz w:val="16"/>
                <w:szCs w:val="16"/>
              </w:rPr>
              <w:t>arettes only (</w:t>
            </w:r>
            <w:r>
              <w:rPr>
                <w:rFonts w:cs="Calibri"/>
                <w:sz w:val="16"/>
                <w:szCs w:val="16"/>
              </w:rPr>
              <w:t>e</w:t>
            </w:r>
            <w:r>
              <w:rPr>
                <w:rFonts w:cs="Calibri"/>
                <w:sz w:val="16"/>
                <w:szCs w:val="16"/>
              </w:rPr>
              <w:noBreakHyphen/>
              <w:t>cig</w:t>
            </w:r>
            <w:r w:rsidRPr="000F6DEF">
              <w:rPr>
                <w:rFonts w:cs="Calibri"/>
                <w:sz w:val="16"/>
                <w:szCs w:val="16"/>
              </w:rPr>
              <w:t>aretteO), shisha</w:t>
            </w:r>
            <w:r w:rsidRPr="000F6DEF">
              <w:rPr>
                <w:rFonts w:cs="Calibri"/>
                <w:sz w:val="16"/>
                <w:szCs w:val="16"/>
              </w:rPr>
              <w:noBreakHyphen/>
              <w:t xml:space="preserve">tobacco only (STO), tobacco cigarettes only (TCO), dual tobacco </w:t>
            </w:r>
            <w:r w:rsidRPr="000F6DEF">
              <w:rPr>
                <w:rFonts w:cs="Calibri"/>
                <w:sz w:val="16"/>
                <w:szCs w:val="16"/>
              </w:rPr>
              <w:lastRenderedPageBreak/>
              <w:t xml:space="preserve">cigarette and </w:t>
            </w:r>
            <w:r>
              <w:rPr>
                <w:rFonts w:cs="Calibri"/>
                <w:sz w:val="16"/>
                <w:szCs w:val="16"/>
              </w:rPr>
              <w:t>e</w:t>
            </w:r>
            <w:r>
              <w:rPr>
                <w:rFonts w:cs="Calibri"/>
                <w:sz w:val="16"/>
                <w:szCs w:val="16"/>
              </w:rPr>
              <w:noBreakHyphen/>
              <w:t>cig</w:t>
            </w:r>
            <w:r w:rsidRPr="000F6DEF">
              <w:rPr>
                <w:rFonts w:cs="Calibri"/>
                <w:sz w:val="16"/>
                <w:szCs w:val="16"/>
              </w:rPr>
              <w:t>arette use (T</w:t>
            </w:r>
            <w:r>
              <w:rPr>
                <w:rFonts w:cs="Calibri"/>
                <w:sz w:val="16"/>
                <w:szCs w:val="16"/>
              </w:rPr>
              <w:t>e</w:t>
            </w:r>
            <w:r>
              <w:rPr>
                <w:rFonts w:cs="Calibri"/>
                <w:sz w:val="16"/>
                <w:szCs w:val="16"/>
              </w:rPr>
              <w:noBreakHyphen/>
              <w:t>cig</w:t>
            </w:r>
            <w:r w:rsidRPr="000F6DEF">
              <w:rPr>
                <w:rFonts w:cs="Calibri"/>
                <w:sz w:val="16"/>
                <w:szCs w:val="16"/>
              </w:rPr>
              <w:t>arette), dual tobacco cigarette and shisha</w:t>
            </w:r>
            <w:r w:rsidRPr="000F6DEF">
              <w:rPr>
                <w:rFonts w:cs="Calibri"/>
                <w:sz w:val="16"/>
                <w:szCs w:val="16"/>
              </w:rPr>
              <w:noBreakHyphen/>
              <w:t xml:space="preserve">tobacco use (TCS), dual </w:t>
            </w:r>
            <w:r>
              <w:rPr>
                <w:rFonts w:cs="Calibri"/>
                <w:sz w:val="16"/>
                <w:szCs w:val="16"/>
              </w:rPr>
              <w:t>e</w:t>
            </w:r>
            <w:r>
              <w:rPr>
                <w:rFonts w:cs="Calibri"/>
                <w:sz w:val="16"/>
                <w:szCs w:val="16"/>
              </w:rPr>
              <w:noBreakHyphen/>
              <w:t>cig</w:t>
            </w:r>
            <w:r w:rsidRPr="000F6DEF">
              <w:rPr>
                <w:rFonts w:cs="Calibri"/>
                <w:sz w:val="16"/>
                <w:szCs w:val="16"/>
              </w:rPr>
              <w:t>arette and shisha</w:t>
            </w:r>
            <w:r w:rsidRPr="000F6DEF">
              <w:rPr>
                <w:rFonts w:cs="Calibri"/>
                <w:sz w:val="16"/>
                <w:szCs w:val="16"/>
              </w:rPr>
              <w:noBreakHyphen/>
              <w:t>tobacco use (</w:t>
            </w:r>
            <w:r>
              <w:rPr>
                <w:rFonts w:cs="Calibri"/>
                <w:sz w:val="16"/>
                <w:szCs w:val="16"/>
              </w:rPr>
              <w:t>e</w:t>
            </w:r>
            <w:r>
              <w:rPr>
                <w:rFonts w:cs="Calibri"/>
                <w:sz w:val="16"/>
                <w:szCs w:val="16"/>
              </w:rPr>
              <w:noBreakHyphen/>
              <w:t>cig</w:t>
            </w:r>
            <w:r w:rsidRPr="000F6DEF">
              <w:rPr>
                <w:rFonts w:cs="Calibri"/>
                <w:sz w:val="16"/>
                <w:szCs w:val="16"/>
              </w:rPr>
              <w:t>aretteTS) and use of all three products (EST).</w:t>
            </w:r>
            <w:r w:rsidR="008146F9">
              <w:rPr>
                <w:rFonts w:cs="Calibri"/>
                <w:sz w:val="16"/>
                <w:szCs w:val="16"/>
              </w:rPr>
              <w:t xml:space="preserve"> </w:t>
            </w:r>
            <w:r w:rsidRPr="000F6DEF">
              <w:rPr>
                <w:rFonts w:cs="Calibri"/>
                <w:sz w:val="16"/>
                <w:szCs w:val="16"/>
              </w:rPr>
              <w:t>Students who had not used any of the three products were classified as never smokers (NS).</w:t>
            </w:r>
          </w:p>
        </w:tc>
      </w:tr>
      <w:tr w:rsidR="00B85C33" w:rsidRPr="000F6DEF" w14:paraId="2626FBE5" w14:textId="77777777" w:rsidTr="004F3018">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1135" w:type="dxa"/>
          </w:tcPr>
          <w:p w14:paraId="3620D7A0" w14:textId="77777777" w:rsidR="00B85C33" w:rsidRPr="000F6DEF" w:rsidRDefault="00B85C33" w:rsidP="000376C7">
            <w:pPr>
              <w:rPr>
                <w:rFonts w:cs="Calibri"/>
                <w:sz w:val="16"/>
                <w:szCs w:val="16"/>
              </w:rPr>
            </w:pPr>
            <w:r w:rsidRPr="000F6DEF">
              <w:rPr>
                <w:rFonts w:cs="Calibri"/>
                <w:sz w:val="16"/>
                <w:szCs w:val="16"/>
              </w:rPr>
              <w:lastRenderedPageBreak/>
              <w:t>Yuke, K, Ford P, et al 2018</w:t>
            </w:r>
          </w:p>
        </w:tc>
        <w:tc>
          <w:tcPr>
            <w:tcW w:w="3118" w:type="dxa"/>
          </w:tcPr>
          <w:p w14:paraId="24FCE30D"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Exploration of the acceptability of novel nicotine products, such as </w:t>
            </w:r>
            <w:r>
              <w:rPr>
                <w:rFonts w:cs="Calibri"/>
                <w:sz w:val="16"/>
                <w:szCs w:val="16"/>
              </w:rPr>
              <w:t>e</w:t>
            </w:r>
            <w:r>
              <w:rPr>
                <w:rFonts w:cs="Calibri"/>
                <w:sz w:val="16"/>
                <w:szCs w:val="16"/>
              </w:rPr>
              <w:noBreakHyphen/>
              <w:t>cig</w:t>
            </w:r>
            <w:r w:rsidRPr="000F6DEF">
              <w:rPr>
                <w:rFonts w:cs="Calibri"/>
                <w:sz w:val="16"/>
                <w:szCs w:val="16"/>
              </w:rPr>
              <w:t>arettes.</w:t>
            </w:r>
          </w:p>
        </w:tc>
        <w:tc>
          <w:tcPr>
            <w:tcW w:w="993" w:type="dxa"/>
          </w:tcPr>
          <w:p w14:paraId="149F3FF8"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Indigenous smokers</w:t>
            </w:r>
          </w:p>
        </w:tc>
        <w:tc>
          <w:tcPr>
            <w:tcW w:w="850" w:type="dxa"/>
          </w:tcPr>
          <w:p w14:paraId="3C65C331"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Australia (Brisbane)</w:t>
            </w:r>
          </w:p>
        </w:tc>
        <w:tc>
          <w:tcPr>
            <w:tcW w:w="851" w:type="dxa"/>
          </w:tcPr>
          <w:p w14:paraId="26FE0E30"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2014</w:t>
            </w:r>
            <w:r w:rsidRPr="000F6DEF">
              <w:rPr>
                <w:rFonts w:cs="Calibri"/>
                <w:sz w:val="16"/>
                <w:szCs w:val="16"/>
              </w:rPr>
              <w:noBreakHyphen/>
              <w:t>15</w:t>
            </w:r>
          </w:p>
        </w:tc>
        <w:tc>
          <w:tcPr>
            <w:tcW w:w="1842" w:type="dxa"/>
          </w:tcPr>
          <w:p w14:paraId="7B7303AD"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27 </w:t>
            </w:r>
          </w:p>
          <w:p w14:paraId="0661058D"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63% male</w:t>
            </w:r>
          </w:p>
        </w:tc>
        <w:tc>
          <w:tcPr>
            <w:tcW w:w="2410" w:type="dxa"/>
          </w:tcPr>
          <w:p w14:paraId="531EB5E2"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Convenience through health care system</w:t>
            </w:r>
          </w:p>
        </w:tc>
        <w:tc>
          <w:tcPr>
            <w:tcW w:w="1559" w:type="dxa"/>
          </w:tcPr>
          <w:p w14:paraId="5C3479C3"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Small size focus groups, 3 individual interviews</w:t>
            </w:r>
          </w:p>
        </w:tc>
        <w:tc>
          <w:tcPr>
            <w:tcW w:w="2694" w:type="dxa"/>
          </w:tcPr>
          <w:p w14:paraId="643025CC"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Thematic</w:t>
            </w:r>
          </w:p>
        </w:tc>
      </w:tr>
    </w:tbl>
    <w:p w14:paraId="409A528A" w14:textId="77777777" w:rsidR="00B85C33" w:rsidRDefault="00B85C33" w:rsidP="00B85C33">
      <w:pPr>
        <w:pStyle w:val="BodyText"/>
      </w:pPr>
    </w:p>
    <w:p w14:paraId="7B5D4382" w14:textId="77777777" w:rsidR="00B85C33" w:rsidRDefault="00B85C33" w:rsidP="00B85C33">
      <w:pPr>
        <w:spacing w:after="0"/>
        <w:rPr>
          <w:sz w:val="24"/>
        </w:rPr>
      </w:pPr>
      <w:r>
        <w:br w:type="page"/>
      </w:r>
    </w:p>
    <w:p w14:paraId="43F3C817" w14:textId="77777777" w:rsidR="00B85C33" w:rsidRDefault="004C6D16" w:rsidP="004C6D16">
      <w:pPr>
        <w:pStyle w:val="Caption"/>
      </w:pPr>
      <w:bookmarkStart w:id="346" w:name="_Toc517707454"/>
      <w:r>
        <w:lastRenderedPageBreak/>
        <w:t xml:space="preserve">Table </w:t>
      </w:r>
      <w:r w:rsidR="0048064B">
        <w:rPr>
          <w:noProof/>
        </w:rPr>
        <w:fldChar w:fldCharType="begin"/>
      </w:r>
      <w:r w:rsidR="0048064B">
        <w:rPr>
          <w:noProof/>
        </w:rPr>
        <w:instrText xml:space="preserve"> SEQ Table \* ARABIC </w:instrText>
      </w:r>
      <w:r w:rsidR="0048064B">
        <w:rPr>
          <w:noProof/>
        </w:rPr>
        <w:fldChar w:fldCharType="separate"/>
      </w:r>
      <w:r w:rsidR="000C06DA">
        <w:rPr>
          <w:noProof/>
        </w:rPr>
        <w:t>45</w:t>
      </w:r>
      <w:r w:rsidR="0048064B">
        <w:rPr>
          <w:noProof/>
        </w:rPr>
        <w:fldChar w:fldCharType="end"/>
      </w:r>
      <w:r w:rsidR="00B85C33" w:rsidRPr="00895D22">
        <w:t>: Results of studies from Australia</w:t>
      </w:r>
      <w:bookmarkEnd w:id="346"/>
    </w:p>
    <w:tbl>
      <w:tblPr>
        <w:tblStyle w:val="TableCSIRO"/>
        <w:tblW w:w="15168" w:type="dxa"/>
        <w:tblInd w:w="0" w:type="dxa"/>
        <w:tblLayout w:type="fixed"/>
        <w:tblLook w:val="04A0" w:firstRow="1" w:lastRow="0" w:firstColumn="1" w:lastColumn="0" w:noHBand="0" w:noVBand="1"/>
      </w:tblPr>
      <w:tblGrid>
        <w:gridCol w:w="1582"/>
        <w:gridCol w:w="2671"/>
        <w:gridCol w:w="5812"/>
        <w:gridCol w:w="5103"/>
      </w:tblGrid>
      <w:tr w:rsidR="00B85C33" w:rsidRPr="000F6DEF" w14:paraId="48E3531F" w14:textId="77777777" w:rsidTr="000376C7">
        <w:trPr>
          <w:cnfStyle w:val="100000000000" w:firstRow="1" w:lastRow="0" w:firstColumn="0" w:lastColumn="0" w:oddVBand="0" w:evenVBand="0" w:oddHBand="0" w:evenHBand="0" w:firstRowFirstColumn="0" w:firstRowLastColumn="0" w:lastRowFirstColumn="0" w:lastRowLastColumn="0"/>
          <w:trHeight w:val="94"/>
          <w:tblHeader/>
        </w:trPr>
        <w:tc>
          <w:tcPr>
            <w:cnfStyle w:val="001000000000" w:firstRow="0" w:lastRow="0" w:firstColumn="1" w:lastColumn="0" w:oddVBand="0" w:evenVBand="0" w:oddHBand="0" w:evenHBand="0" w:firstRowFirstColumn="0" w:firstRowLastColumn="0" w:lastRowFirstColumn="0" w:lastRowLastColumn="0"/>
            <w:tcW w:w="1582" w:type="dxa"/>
            <w:hideMark/>
          </w:tcPr>
          <w:p w14:paraId="7A4FE98D" w14:textId="77777777" w:rsidR="00B85C33" w:rsidRPr="000F6DEF" w:rsidRDefault="00B85C33" w:rsidP="000376C7">
            <w:pPr>
              <w:rPr>
                <w:color w:val="auto"/>
                <w:sz w:val="16"/>
                <w:szCs w:val="16"/>
              </w:rPr>
            </w:pPr>
            <w:r w:rsidRPr="000F6DEF">
              <w:rPr>
                <w:color w:val="auto"/>
                <w:sz w:val="16"/>
                <w:szCs w:val="16"/>
              </w:rPr>
              <w:t>Study reference</w:t>
            </w:r>
          </w:p>
        </w:tc>
        <w:tc>
          <w:tcPr>
            <w:tcW w:w="2671" w:type="dxa"/>
            <w:hideMark/>
          </w:tcPr>
          <w:p w14:paraId="66BFC633" w14:textId="77777777" w:rsidR="00B85C33" w:rsidRPr="000F6DEF" w:rsidRDefault="00B85C33" w:rsidP="000376C7">
            <w:pPr>
              <w:cnfStyle w:val="100000000000" w:firstRow="1" w:lastRow="0" w:firstColumn="0" w:lastColumn="0" w:oddVBand="0" w:evenVBand="0" w:oddHBand="0" w:evenHBand="0" w:firstRowFirstColumn="0" w:firstRowLastColumn="0" w:lastRowFirstColumn="0" w:lastRowLastColumn="0"/>
              <w:rPr>
                <w:color w:val="auto"/>
                <w:sz w:val="16"/>
                <w:szCs w:val="16"/>
              </w:rPr>
            </w:pPr>
            <w:r w:rsidRPr="000F6DEF">
              <w:rPr>
                <w:color w:val="auto"/>
                <w:sz w:val="16"/>
                <w:szCs w:val="16"/>
              </w:rPr>
              <w:t>Purpose</w:t>
            </w:r>
          </w:p>
        </w:tc>
        <w:tc>
          <w:tcPr>
            <w:tcW w:w="5812" w:type="dxa"/>
            <w:hideMark/>
          </w:tcPr>
          <w:p w14:paraId="662375A8" w14:textId="77777777" w:rsidR="00B85C33" w:rsidRPr="000F6DEF" w:rsidRDefault="00B85C33" w:rsidP="000376C7">
            <w:pPr>
              <w:cnfStyle w:val="100000000000" w:firstRow="1" w:lastRow="0" w:firstColumn="0" w:lastColumn="0" w:oddVBand="0" w:evenVBand="0" w:oddHBand="0" w:evenHBand="0" w:firstRowFirstColumn="0" w:firstRowLastColumn="0" w:lastRowFirstColumn="0" w:lastRowLastColumn="0"/>
              <w:rPr>
                <w:color w:val="auto"/>
                <w:sz w:val="16"/>
                <w:szCs w:val="16"/>
              </w:rPr>
            </w:pPr>
            <w:r w:rsidRPr="000F6DEF">
              <w:rPr>
                <w:color w:val="auto"/>
                <w:sz w:val="16"/>
                <w:szCs w:val="16"/>
              </w:rPr>
              <w:t>Results</w:t>
            </w:r>
          </w:p>
        </w:tc>
        <w:tc>
          <w:tcPr>
            <w:tcW w:w="5103" w:type="dxa"/>
            <w:hideMark/>
          </w:tcPr>
          <w:p w14:paraId="796593C8" w14:textId="77777777" w:rsidR="00B85C33" w:rsidRPr="000F6DEF" w:rsidRDefault="00B85C33" w:rsidP="000376C7">
            <w:pPr>
              <w:cnfStyle w:val="100000000000" w:firstRow="1" w:lastRow="0" w:firstColumn="0" w:lastColumn="0" w:oddVBand="0" w:evenVBand="0" w:oddHBand="0" w:evenHBand="0" w:firstRowFirstColumn="0" w:firstRowLastColumn="0" w:lastRowFirstColumn="0" w:lastRowLastColumn="0"/>
              <w:rPr>
                <w:color w:val="auto"/>
                <w:sz w:val="16"/>
                <w:szCs w:val="16"/>
              </w:rPr>
            </w:pPr>
            <w:r w:rsidRPr="000F6DEF">
              <w:rPr>
                <w:color w:val="auto"/>
                <w:sz w:val="16"/>
                <w:szCs w:val="16"/>
              </w:rPr>
              <w:t>Author conclusion</w:t>
            </w:r>
          </w:p>
        </w:tc>
      </w:tr>
      <w:tr w:rsidR="00B85C33" w:rsidRPr="000F6DEF" w14:paraId="4881AD1A" w14:textId="77777777" w:rsidTr="000376C7">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1582" w:type="dxa"/>
          </w:tcPr>
          <w:p w14:paraId="53F8A2A7" w14:textId="77777777" w:rsidR="00B85C33" w:rsidRPr="000F6DEF" w:rsidRDefault="00B85C33" w:rsidP="000376C7">
            <w:pPr>
              <w:rPr>
                <w:rFonts w:cs="Calibri"/>
                <w:sz w:val="16"/>
                <w:szCs w:val="16"/>
              </w:rPr>
            </w:pPr>
            <w:r w:rsidRPr="000F6DEF">
              <w:rPr>
                <w:rFonts w:cs="Calibri"/>
                <w:sz w:val="16"/>
                <w:szCs w:val="16"/>
              </w:rPr>
              <w:t>Bonevski, guillaumier, Skelton et al.</w:t>
            </w:r>
          </w:p>
        </w:tc>
        <w:tc>
          <w:tcPr>
            <w:tcW w:w="2671" w:type="dxa"/>
          </w:tcPr>
          <w:p w14:paraId="0484CB12" w14:textId="627796B3"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Examine nicotine </w:t>
            </w:r>
            <w:r>
              <w:rPr>
                <w:rFonts w:cs="Calibri"/>
                <w:sz w:val="16"/>
                <w:szCs w:val="16"/>
              </w:rPr>
              <w:t>e</w:t>
            </w:r>
            <w:r>
              <w:rPr>
                <w:rFonts w:cs="Calibri"/>
                <w:sz w:val="16"/>
                <w:szCs w:val="16"/>
              </w:rPr>
              <w:noBreakHyphen/>
              <w:t>cig</w:t>
            </w:r>
            <w:r w:rsidRPr="000F6DEF">
              <w:rPr>
                <w:rFonts w:cs="Calibri"/>
                <w:sz w:val="16"/>
                <w:szCs w:val="16"/>
              </w:rPr>
              <w:t>arette awareness, use and place of purchase and reasons for use</w:t>
            </w:r>
            <w:r w:rsidR="005500FC">
              <w:rPr>
                <w:rFonts w:cs="Calibri"/>
                <w:sz w:val="16"/>
                <w:szCs w:val="16"/>
              </w:rPr>
              <w:t>.</w:t>
            </w:r>
          </w:p>
        </w:tc>
        <w:tc>
          <w:tcPr>
            <w:tcW w:w="5812" w:type="dxa"/>
          </w:tcPr>
          <w:p w14:paraId="756F2250" w14:textId="180DDF73"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39% ever use </w:t>
            </w:r>
            <w:r>
              <w:rPr>
                <w:rFonts w:cs="Calibri"/>
                <w:sz w:val="16"/>
                <w:szCs w:val="16"/>
              </w:rPr>
              <w:t>e</w:t>
            </w:r>
            <w:r>
              <w:rPr>
                <w:rFonts w:cs="Calibri"/>
                <w:sz w:val="16"/>
                <w:szCs w:val="16"/>
              </w:rPr>
              <w:noBreakHyphen/>
              <w:t>cig</w:t>
            </w:r>
            <w:r w:rsidR="00571385">
              <w:rPr>
                <w:rFonts w:cs="Calibri"/>
                <w:sz w:val="16"/>
                <w:szCs w:val="16"/>
              </w:rPr>
              <w:t>arettes</w:t>
            </w:r>
            <w:r w:rsidRPr="000F6DEF">
              <w:rPr>
                <w:rFonts w:cs="Calibri"/>
                <w:sz w:val="16"/>
                <w:szCs w:val="16"/>
              </w:rPr>
              <w:t xml:space="preserve">; 7% current use; 3% daily use. 72% wanted to try </w:t>
            </w:r>
            <w:r>
              <w:rPr>
                <w:rFonts w:cs="Calibri"/>
                <w:sz w:val="16"/>
                <w:szCs w:val="16"/>
              </w:rPr>
              <w:t>e</w:t>
            </w:r>
            <w:r>
              <w:rPr>
                <w:rFonts w:cs="Calibri"/>
                <w:sz w:val="16"/>
                <w:szCs w:val="16"/>
              </w:rPr>
              <w:noBreakHyphen/>
              <w:t>cig</w:t>
            </w:r>
            <w:r w:rsidR="00571385">
              <w:rPr>
                <w:rFonts w:cs="Calibri"/>
                <w:sz w:val="16"/>
                <w:szCs w:val="16"/>
              </w:rPr>
              <w:t>arettes</w:t>
            </w:r>
            <w:r w:rsidRPr="000F6DEF">
              <w:rPr>
                <w:rFonts w:cs="Calibri"/>
                <w:sz w:val="16"/>
                <w:szCs w:val="16"/>
              </w:rPr>
              <w:t xml:space="preserve">; 70% used to help cut down smoking; </w:t>
            </w:r>
          </w:p>
        </w:tc>
        <w:tc>
          <w:tcPr>
            <w:tcW w:w="5103" w:type="dxa"/>
          </w:tcPr>
          <w:p w14:paraId="438460C8"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Smokers are trialling </w:t>
            </w:r>
            <w:r>
              <w:rPr>
                <w:rFonts w:cs="Calibri"/>
                <w:sz w:val="16"/>
                <w:szCs w:val="16"/>
              </w:rPr>
              <w:t>e</w:t>
            </w:r>
            <w:r>
              <w:rPr>
                <w:rFonts w:cs="Calibri"/>
                <w:sz w:val="16"/>
                <w:szCs w:val="16"/>
              </w:rPr>
              <w:noBreakHyphen/>
              <w:t>cig</w:t>
            </w:r>
            <w:r w:rsidRPr="000F6DEF">
              <w:rPr>
                <w:rFonts w:cs="Calibri"/>
                <w:sz w:val="16"/>
                <w:szCs w:val="16"/>
              </w:rPr>
              <w:t>arettes to help quite but few persevere</w:t>
            </w:r>
          </w:p>
        </w:tc>
      </w:tr>
      <w:tr w:rsidR="00B85C33" w:rsidRPr="000F6DEF" w14:paraId="7112A750" w14:textId="77777777" w:rsidTr="000376C7">
        <w:trPr>
          <w:trHeight w:val="94"/>
        </w:trPr>
        <w:tc>
          <w:tcPr>
            <w:cnfStyle w:val="001000000000" w:firstRow="0" w:lastRow="0" w:firstColumn="1" w:lastColumn="0" w:oddVBand="0" w:evenVBand="0" w:oddHBand="0" w:evenHBand="0" w:firstRowFirstColumn="0" w:firstRowLastColumn="0" w:lastRowFirstColumn="0" w:lastRowLastColumn="0"/>
            <w:tcW w:w="1582" w:type="dxa"/>
          </w:tcPr>
          <w:p w14:paraId="31DA8D1F" w14:textId="77777777" w:rsidR="00B85C33" w:rsidRPr="000F6DEF" w:rsidRDefault="00B85C33" w:rsidP="000376C7">
            <w:pPr>
              <w:rPr>
                <w:rFonts w:cs="Calibri"/>
                <w:sz w:val="16"/>
                <w:szCs w:val="16"/>
              </w:rPr>
            </w:pPr>
            <w:r w:rsidRPr="000F6DEF">
              <w:rPr>
                <w:rFonts w:cs="Calibri"/>
                <w:sz w:val="16"/>
                <w:szCs w:val="16"/>
              </w:rPr>
              <w:t>Brown</w:t>
            </w:r>
          </w:p>
        </w:tc>
        <w:tc>
          <w:tcPr>
            <w:tcW w:w="2671" w:type="dxa"/>
          </w:tcPr>
          <w:p w14:paraId="2864AD76"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This paper explores the experiences of smoking and ‘vaping’ while being pharmaceutically treated for schizophrenia, as well as what the experiences of breathing smoke and vapour in and out can reveal about health ‘care’, toward the self and others.</w:t>
            </w:r>
          </w:p>
        </w:tc>
        <w:tc>
          <w:tcPr>
            <w:tcW w:w="5812" w:type="dxa"/>
          </w:tcPr>
          <w:p w14:paraId="395F617B"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p>
        </w:tc>
        <w:tc>
          <w:tcPr>
            <w:tcW w:w="5103" w:type="dxa"/>
          </w:tcPr>
          <w:p w14:paraId="1B2B8ED1" w14:textId="2013110D"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This paper has demonstrated how operations of health ‘care’ of self and others can be explored in and through experiences of breathing in and out cigarette smoke and </w:t>
            </w:r>
            <w:r>
              <w:rPr>
                <w:rFonts w:cs="Calibri"/>
                <w:sz w:val="16"/>
                <w:szCs w:val="16"/>
              </w:rPr>
              <w:t>e</w:t>
            </w:r>
            <w:r>
              <w:rPr>
                <w:rFonts w:cs="Calibri"/>
                <w:sz w:val="16"/>
                <w:szCs w:val="16"/>
              </w:rPr>
              <w:noBreakHyphen/>
              <w:t>cig</w:t>
            </w:r>
            <w:r w:rsidRPr="000F6DEF">
              <w:rPr>
                <w:rFonts w:cs="Calibri"/>
                <w:sz w:val="16"/>
                <w:szCs w:val="16"/>
              </w:rPr>
              <w:t>arette vapour. Smoking and vaping are and are not different from general population experiences</w:t>
            </w:r>
            <w:r w:rsidR="00326E8E">
              <w:rPr>
                <w:rFonts w:cs="Calibri"/>
                <w:sz w:val="16"/>
                <w:szCs w:val="16"/>
              </w:rPr>
              <w:t xml:space="preserve"> </w:t>
            </w:r>
            <w:r w:rsidRPr="000F6DEF">
              <w:rPr>
                <w:rFonts w:cs="Calibri"/>
                <w:sz w:val="16"/>
                <w:szCs w:val="16"/>
              </w:rPr>
              <w:t>of</w:t>
            </w:r>
            <w:r w:rsidR="00326E8E">
              <w:rPr>
                <w:rFonts w:cs="Calibri"/>
                <w:sz w:val="16"/>
                <w:szCs w:val="16"/>
              </w:rPr>
              <w:t xml:space="preserve"> </w:t>
            </w:r>
            <w:r w:rsidRPr="000F6DEF">
              <w:rPr>
                <w:rFonts w:cs="Calibri"/>
                <w:sz w:val="16"/>
                <w:szCs w:val="16"/>
              </w:rPr>
              <w:t>smoking</w:t>
            </w:r>
            <w:r w:rsidR="00326E8E">
              <w:rPr>
                <w:rFonts w:cs="Calibri"/>
                <w:sz w:val="16"/>
                <w:szCs w:val="16"/>
              </w:rPr>
              <w:t xml:space="preserve"> </w:t>
            </w:r>
            <w:r w:rsidRPr="000F6DEF">
              <w:rPr>
                <w:rFonts w:cs="Calibri"/>
                <w:sz w:val="16"/>
                <w:szCs w:val="16"/>
              </w:rPr>
              <w:t>where</w:t>
            </w:r>
            <w:r w:rsidR="00326E8E">
              <w:rPr>
                <w:rFonts w:cs="Calibri"/>
                <w:sz w:val="16"/>
                <w:szCs w:val="16"/>
              </w:rPr>
              <w:t xml:space="preserve"> </w:t>
            </w:r>
            <w:r w:rsidRPr="000F6DEF">
              <w:rPr>
                <w:rFonts w:cs="Calibri"/>
                <w:sz w:val="16"/>
                <w:szCs w:val="16"/>
              </w:rPr>
              <w:t>harms</w:t>
            </w:r>
            <w:r w:rsidR="00326E8E">
              <w:rPr>
                <w:rFonts w:cs="Calibri"/>
                <w:sz w:val="16"/>
                <w:szCs w:val="16"/>
              </w:rPr>
              <w:t xml:space="preserve"> </w:t>
            </w:r>
            <w:r w:rsidRPr="000F6DEF">
              <w:rPr>
                <w:rFonts w:cs="Calibri"/>
                <w:sz w:val="16"/>
                <w:szCs w:val="16"/>
              </w:rPr>
              <w:t>are</w:t>
            </w:r>
            <w:r w:rsidR="00326E8E">
              <w:rPr>
                <w:rFonts w:cs="Calibri"/>
                <w:sz w:val="16"/>
                <w:szCs w:val="16"/>
              </w:rPr>
              <w:t xml:space="preserve"> </w:t>
            </w:r>
            <w:r w:rsidRPr="000F6DEF">
              <w:rPr>
                <w:rFonts w:cs="Calibri"/>
                <w:sz w:val="16"/>
                <w:szCs w:val="16"/>
              </w:rPr>
              <w:t>emphasised.</w:t>
            </w:r>
            <w:r w:rsidR="00326E8E">
              <w:rPr>
                <w:rFonts w:cs="Calibri"/>
                <w:sz w:val="16"/>
                <w:szCs w:val="16"/>
              </w:rPr>
              <w:t xml:space="preserve"> </w:t>
            </w:r>
            <w:r w:rsidRPr="000F6DEF">
              <w:rPr>
                <w:rFonts w:cs="Calibri"/>
                <w:sz w:val="16"/>
                <w:szCs w:val="16"/>
              </w:rPr>
              <w:t>Forclozapine</w:t>
            </w:r>
            <w:r w:rsidRPr="000F6DEF">
              <w:rPr>
                <w:rFonts w:cs="Calibri"/>
                <w:sz w:val="16"/>
                <w:szCs w:val="16"/>
              </w:rPr>
              <w:noBreakHyphen/>
              <w:t>treated</w:t>
            </w:r>
            <w:r w:rsidR="000A2C8E">
              <w:rPr>
                <w:rFonts w:cs="Calibri"/>
                <w:sz w:val="16"/>
                <w:szCs w:val="16"/>
              </w:rPr>
              <w:t xml:space="preserve"> </w:t>
            </w:r>
            <w:r w:rsidRPr="000F6DEF">
              <w:rPr>
                <w:rFonts w:cs="Calibri"/>
                <w:sz w:val="16"/>
                <w:szCs w:val="16"/>
              </w:rPr>
              <w:t xml:space="preserve">schizophrenia patients in my ethnographic study, inhaling nicotine via both cigarettes and </w:t>
            </w:r>
            <w:r>
              <w:rPr>
                <w:rFonts w:cs="Calibri"/>
                <w:sz w:val="16"/>
                <w:szCs w:val="16"/>
              </w:rPr>
              <w:t>e</w:t>
            </w:r>
            <w:r>
              <w:rPr>
                <w:rFonts w:cs="Calibri"/>
                <w:sz w:val="16"/>
                <w:szCs w:val="16"/>
              </w:rPr>
              <w:noBreakHyphen/>
              <w:t>cig</w:t>
            </w:r>
            <w:r w:rsidRPr="000F6DEF">
              <w:rPr>
                <w:rFonts w:cs="Calibri"/>
                <w:sz w:val="16"/>
                <w:szCs w:val="16"/>
              </w:rPr>
              <w:t>arettes provoked a temporal, not just neuro</w:t>
            </w:r>
            <w:r w:rsidRPr="000F6DEF">
              <w:rPr>
                <w:rFonts w:cs="Calibri"/>
                <w:sz w:val="16"/>
                <w:szCs w:val="16"/>
              </w:rPr>
              <w:noBreakHyphen/>
              <w:t>chemical, reclamation of self and being in the world</w:t>
            </w:r>
          </w:p>
        </w:tc>
      </w:tr>
      <w:tr w:rsidR="00B85C33" w:rsidRPr="000F6DEF" w14:paraId="65CDBF93" w14:textId="77777777" w:rsidTr="000376C7">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1582" w:type="dxa"/>
          </w:tcPr>
          <w:p w14:paraId="73A99B86" w14:textId="77777777" w:rsidR="00B85C33" w:rsidRPr="000F6DEF" w:rsidRDefault="00B85C33" w:rsidP="000376C7">
            <w:pPr>
              <w:rPr>
                <w:rFonts w:cs="Calibri"/>
                <w:sz w:val="16"/>
                <w:szCs w:val="16"/>
              </w:rPr>
            </w:pPr>
            <w:r w:rsidRPr="000F6DEF">
              <w:rPr>
                <w:rFonts w:cs="Calibri"/>
                <w:sz w:val="16"/>
                <w:szCs w:val="16"/>
              </w:rPr>
              <w:t>Keane, Weier, Fraser, Gartner</w:t>
            </w:r>
          </w:p>
        </w:tc>
        <w:tc>
          <w:tcPr>
            <w:tcW w:w="2671" w:type="dxa"/>
          </w:tcPr>
          <w:p w14:paraId="4CC0606F"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Rather than add to the literature on the health effects of </w:t>
            </w:r>
            <w:r>
              <w:rPr>
                <w:rFonts w:cs="Calibri"/>
                <w:sz w:val="16"/>
                <w:szCs w:val="16"/>
              </w:rPr>
              <w:t>e</w:t>
            </w:r>
            <w:r>
              <w:rPr>
                <w:rFonts w:cs="Calibri"/>
                <w:sz w:val="16"/>
                <w:szCs w:val="16"/>
              </w:rPr>
              <w:noBreakHyphen/>
              <w:t>cig</w:t>
            </w:r>
            <w:r w:rsidRPr="000F6DEF">
              <w:rPr>
                <w:rFonts w:cs="Calibri"/>
                <w:sz w:val="16"/>
                <w:szCs w:val="16"/>
              </w:rPr>
              <w:t>arettes, this article aims to explore</w:t>
            </w:r>
            <w:r w:rsidRPr="000F6DEF">
              <w:rPr>
                <w:rFonts w:cs="Calibri"/>
                <w:sz w:val="16"/>
                <w:szCs w:val="16"/>
              </w:rPr>
              <w:br/>
              <w:t>vaping through theories of social practice.</w:t>
            </w:r>
          </w:p>
        </w:tc>
        <w:tc>
          <w:tcPr>
            <w:tcW w:w="5812" w:type="dxa"/>
          </w:tcPr>
          <w:p w14:paraId="0B406CCD"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Participants expressed a positive view of vaping, stating that vaping had enabled them to stop or dramatically reduce their smoking. </w:t>
            </w:r>
            <w:r w:rsidRPr="000F6DEF">
              <w:rPr>
                <w:rFonts w:cs="Calibri"/>
                <w:sz w:val="16"/>
                <w:szCs w:val="16"/>
              </w:rPr>
              <w:br/>
              <w:t>The survey responses produced a picture of vaping as an extensive and flexible practice that had expanded and opened up the possibilities of daily life.</w:t>
            </w:r>
            <w:r w:rsidRPr="000F6DEF">
              <w:rPr>
                <w:rFonts w:cs="Calibri"/>
                <w:sz w:val="16"/>
                <w:szCs w:val="16"/>
              </w:rPr>
              <w:br/>
              <w:t xml:space="preserve">The specific temporal capacities of </w:t>
            </w:r>
            <w:r>
              <w:rPr>
                <w:rFonts w:cs="Calibri"/>
                <w:sz w:val="16"/>
                <w:szCs w:val="16"/>
              </w:rPr>
              <w:t>e</w:t>
            </w:r>
            <w:r>
              <w:rPr>
                <w:rFonts w:cs="Calibri"/>
                <w:sz w:val="16"/>
                <w:szCs w:val="16"/>
              </w:rPr>
              <w:noBreakHyphen/>
              <w:t>cig</w:t>
            </w:r>
            <w:r w:rsidRPr="000F6DEF">
              <w:rPr>
                <w:rFonts w:cs="Calibri"/>
                <w:sz w:val="16"/>
                <w:szCs w:val="16"/>
              </w:rPr>
              <w:t>arettes also contribute to the flexibility valued by respondents.</w:t>
            </w:r>
            <w:r w:rsidRPr="000F6DEF">
              <w:rPr>
                <w:rFonts w:cs="Calibri"/>
                <w:sz w:val="16"/>
                <w:szCs w:val="16"/>
              </w:rPr>
              <w:br/>
              <w:t>While respondents emphasised that vaping allowed an expansion of the times and places of nicotine consumption, there was no discussion of consequences such as potentially increased ingestion of nicotine or other chemicals.</w:t>
            </w:r>
            <w:r w:rsidRPr="000F6DEF">
              <w:rPr>
                <w:rFonts w:cs="Calibri"/>
                <w:sz w:val="16"/>
                <w:szCs w:val="16"/>
              </w:rPr>
              <w:br/>
              <w:t>The survey also provided insights into the transmission of vaping as a social practice. The survey responses suggested that vaping is being spread efficiently through word of mouth or personal contact.</w:t>
            </w:r>
          </w:p>
        </w:tc>
        <w:tc>
          <w:tcPr>
            <w:tcW w:w="5103" w:type="dxa"/>
          </w:tcPr>
          <w:p w14:paraId="419AAC38"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Drawing on a survey of Australian vapers, this article has examined elements of vaping as social practice. It has suggested that vaping has temporal and spatial characteristics which enable it to be ‘bundled’ with other important social practices. Vaping also has a normative significance associated with the notion of health as an individual project of self</w:t>
            </w:r>
            <w:r w:rsidRPr="000F6DEF">
              <w:rPr>
                <w:rFonts w:cs="Calibri"/>
                <w:sz w:val="16"/>
                <w:szCs w:val="16"/>
              </w:rPr>
              <w:noBreakHyphen/>
              <w:t>improvement and a personal responsibility. Importantly, this positive web of meanings comprising concepts of health, freedom, transformation and choice is currently not affected by uncertainty about the long</w:t>
            </w:r>
            <w:r w:rsidRPr="000F6DEF">
              <w:rPr>
                <w:rFonts w:cs="Calibri"/>
                <w:sz w:val="16"/>
                <w:szCs w:val="16"/>
              </w:rPr>
              <w:noBreakHyphen/>
              <w:t>term effects of vaping. Vaping takes on these positive meanings through its relationship with smoking and its negative meanings and effects. Vaping also enables a different experience of nicotine addiction, in which dependency on the substance co</w:t>
            </w:r>
            <w:r w:rsidRPr="000F6DEF">
              <w:rPr>
                <w:rFonts w:cs="Calibri"/>
                <w:sz w:val="16"/>
                <w:szCs w:val="16"/>
              </w:rPr>
              <w:noBreakHyphen/>
              <w:t>exists with experiences of choice and control.</w:t>
            </w:r>
          </w:p>
        </w:tc>
      </w:tr>
      <w:tr w:rsidR="00B85C33" w:rsidRPr="000F6DEF" w14:paraId="0940A7C9" w14:textId="77777777" w:rsidTr="000376C7">
        <w:trPr>
          <w:trHeight w:val="94"/>
        </w:trPr>
        <w:tc>
          <w:tcPr>
            <w:cnfStyle w:val="001000000000" w:firstRow="0" w:lastRow="0" w:firstColumn="1" w:lastColumn="0" w:oddVBand="0" w:evenVBand="0" w:oddHBand="0" w:evenHBand="0" w:firstRowFirstColumn="0" w:firstRowLastColumn="0" w:lastRowFirstColumn="0" w:lastRowLastColumn="0"/>
            <w:tcW w:w="1582" w:type="dxa"/>
          </w:tcPr>
          <w:p w14:paraId="213B6570" w14:textId="77777777" w:rsidR="00B85C33" w:rsidRPr="000F6DEF" w:rsidRDefault="00B85C33" w:rsidP="000376C7">
            <w:pPr>
              <w:rPr>
                <w:rFonts w:cs="Calibri"/>
                <w:sz w:val="16"/>
                <w:szCs w:val="16"/>
              </w:rPr>
            </w:pPr>
            <w:r w:rsidRPr="000F6DEF">
              <w:rPr>
                <w:rFonts w:cs="Calibri"/>
                <w:sz w:val="16"/>
                <w:szCs w:val="16"/>
              </w:rPr>
              <w:t>Lee, Yong, Borland et al</w:t>
            </w:r>
          </w:p>
        </w:tc>
        <w:tc>
          <w:tcPr>
            <w:tcW w:w="2671" w:type="dxa"/>
          </w:tcPr>
          <w:p w14:paraId="7EAF36E7"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This study examined the prevalence and correlates of (1) perceived social acceptability of personal vaporizer (PV)/</w:t>
            </w:r>
            <w:r>
              <w:rPr>
                <w:rFonts w:cs="Calibri"/>
                <w:sz w:val="16"/>
                <w:szCs w:val="16"/>
              </w:rPr>
              <w:t>e</w:t>
            </w:r>
            <w:r>
              <w:rPr>
                <w:rFonts w:cs="Calibri"/>
                <w:sz w:val="16"/>
                <w:szCs w:val="16"/>
              </w:rPr>
              <w:noBreakHyphen/>
              <w:t>cig</w:t>
            </w:r>
            <w:r w:rsidRPr="000F6DEF">
              <w:rPr>
                <w:rFonts w:cs="Calibri"/>
                <w:sz w:val="16"/>
                <w:szCs w:val="16"/>
              </w:rPr>
              <w:t>arette use, and (2) reported vaping in public and private places, in the UK and Australia with different regulatory environments for PVs.</w:t>
            </w:r>
          </w:p>
        </w:tc>
        <w:tc>
          <w:tcPr>
            <w:tcW w:w="5812" w:type="dxa"/>
          </w:tcPr>
          <w:p w14:paraId="22DA251F" w14:textId="77777777" w:rsidR="00B85C33" w:rsidRPr="000F6DEF" w:rsidRDefault="00B85C33" w:rsidP="000376C7">
            <w:pPr>
              <w:spacing w:after="240"/>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Prevalence of current vaping (defined as any use of PVs) in the UK was more than twice that of AU (28.2% vs. 11.9%) and prevalence of daily use in the UK was about 4 times that of AU (9.2% vs. 2.5%).</w:t>
            </w:r>
            <w:r w:rsidRPr="000F6DEF">
              <w:rPr>
                <w:rFonts w:cs="Calibri"/>
                <w:sz w:val="16"/>
                <w:szCs w:val="16"/>
              </w:rPr>
              <w:br/>
              <w:t>UK respondents were more likely to think vaping is socially acceptable than Australians (56.4% vs. 27.9%; p&lt;0.001) and also more likely to believe that PVs are less harmful than conventional cigarettes (63.9% vs. 48.7%, p&lt;0.001)</w:t>
            </w:r>
            <w:r w:rsidRPr="000F6DEF">
              <w:rPr>
                <w:rFonts w:cs="Calibri"/>
                <w:sz w:val="16"/>
                <w:szCs w:val="16"/>
              </w:rPr>
              <w:br/>
              <w:t>Knowing regular vapers was significantly associated with greater social acceptability in AU but not in the UK</w:t>
            </w:r>
            <w:r w:rsidRPr="000F6DEF">
              <w:rPr>
                <w:rFonts w:cs="Calibri"/>
                <w:sz w:val="16"/>
                <w:szCs w:val="16"/>
              </w:rPr>
              <w:br/>
              <w:t>UK vapers tended to vape more frequently at home and in SF public places, and had more positive attitudes toward vaping, compared to AU vapers</w:t>
            </w:r>
          </w:p>
        </w:tc>
        <w:tc>
          <w:tcPr>
            <w:tcW w:w="5103" w:type="dxa"/>
          </w:tcPr>
          <w:p w14:paraId="25CECAA3" w14:textId="77777777" w:rsidR="00B85C33" w:rsidRPr="000F6DEF" w:rsidRDefault="00B85C33" w:rsidP="000376C7">
            <w:pPr>
              <w:spacing w:after="0"/>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The acceptability of vaping was greater among those who were more exposed to vaping and not just among those with some personal experience of vaping, suggesting no strong social barriers to increased use. Vaping in SF public places was less common than in homes, and both were more common in the UK than in Australia, suggesting some social constraints on use, particularly in Australia.</w:t>
            </w:r>
          </w:p>
        </w:tc>
      </w:tr>
      <w:tr w:rsidR="00B85C33" w:rsidRPr="000F6DEF" w14:paraId="111B2D6E" w14:textId="77777777" w:rsidTr="000376C7">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1582" w:type="dxa"/>
          </w:tcPr>
          <w:p w14:paraId="107171F6" w14:textId="77777777" w:rsidR="00B85C33" w:rsidRPr="000F6DEF" w:rsidRDefault="00B85C33" w:rsidP="000376C7">
            <w:pPr>
              <w:rPr>
                <w:rFonts w:cs="Calibri"/>
                <w:sz w:val="16"/>
                <w:szCs w:val="16"/>
              </w:rPr>
            </w:pPr>
            <w:r w:rsidRPr="000F6DEF">
              <w:rPr>
                <w:rFonts w:cs="Calibri"/>
                <w:sz w:val="16"/>
                <w:szCs w:val="16"/>
              </w:rPr>
              <w:t>Sharma R, Wiggington B et al 2017</w:t>
            </w:r>
          </w:p>
        </w:tc>
        <w:tc>
          <w:tcPr>
            <w:tcW w:w="2671" w:type="dxa"/>
          </w:tcPr>
          <w:p w14:paraId="6B2D96B9" w14:textId="04A9739F"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To determine motivations and Limitations Associated with Vaping among People with Mental Illness</w:t>
            </w:r>
            <w:r w:rsidR="005500FC">
              <w:rPr>
                <w:rFonts w:cs="Calibri"/>
                <w:sz w:val="16"/>
                <w:szCs w:val="16"/>
              </w:rPr>
              <w:t>.</w:t>
            </w:r>
          </w:p>
        </w:tc>
        <w:tc>
          <w:tcPr>
            <w:tcW w:w="5812" w:type="dxa"/>
          </w:tcPr>
          <w:p w14:paraId="4EFC256D"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6 themes classified as motivations: Self</w:t>
            </w:r>
            <w:r w:rsidRPr="000F6DEF">
              <w:rPr>
                <w:rFonts w:cs="Calibri"/>
                <w:sz w:val="16"/>
                <w:szCs w:val="16"/>
              </w:rPr>
              <w:noBreakHyphen/>
              <w:t>medication; Quitting smoking; Freedom and control; Hobby; Social connectedness; and Motivation from caregivers and online communities. The limitations of vaping included: Unsatisfactory substitute for cigarettes and psychiatric medicines; Drug interactions; Nicotine addiction; Risks of e</w:t>
            </w:r>
            <w:r w:rsidRPr="000F6DEF">
              <w:rPr>
                <w:rFonts w:cs="Calibri"/>
                <w:sz w:val="16"/>
                <w:szCs w:val="16"/>
              </w:rPr>
              <w:noBreakHyphen/>
              <w:t>liquid; Practical difﬁculties and Cost</w:t>
            </w:r>
          </w:p>
        </w:tc>
        <w:tc>
          <w:tcPr>
            <w:tcW w:w="5103" w:type="dxa"/>
          </w:tcPr>
          <w:p w14:paraId="3A34A7EE"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People with mental illness; and their carers; use online discussion boards like Reddit to discuss the beneﬁts and limitations of </w:t>
            </w:r>
            <w:r>
              <w:rPr>
                <w:rFonts w:cs="Calibri"/>
                <w:sz w:val="16"/>
                <w:szCs w:val="16"/>
              </w:rPr>
              <w:t>e</w:t>
            </w:r>
            <w:r>
              <w:rPr>
                <w:rFonts w:cs="Calibri"/>
                <w:sz w:val="16"/>
                <w:szCs w:val="16"/>
              </w:rPr>
              <w:noBreakHyphen/>
              <w:t>cig</w:t>
            </w:r>
            <w:r w:rsidRPr="000F6DEF">
              <w:rPr>
                <w:rFonts w:cs="Calibri"/>
                <w:sz w:val="16"/>
                <w:szCs w:val="16"/>
              </w:rPr>
              <w:t xml:space="preserve">arettes for people with mental illness. Both positive and negative views exist. </w:t>
            </w:r>
          </w:p>
        </w:tc>
      </w:tr>
      <w:tr w:rsidR="00B85C33" w:rsidRPr="000F6DEF" w14:paraId="4B9CC2A1" w14:textId="77777777" w:rsidTr="000376C7">
        <w:trPr>
          <w:trHeight w:val="94"/>
        </w:trPr>
        <w:tc>
          <w:tcPr>
            <w:cnfStyle w:val="001000000000" w:firstRow="0" w:lastRow="0" w:firstColumn="1" w:lastColumn="0" w:oddVBand="0" w:evenVBand="0" w:oddHBand="0" w:evenHBand="0" w:firstRowFirstColumn="0" w:firstRowLastColumn="0" w:lastRowFirstColumn="0" w:lastRowLastColumn="0"/>
            <w:tcW w:w="1582" w:type="dxa"/>
          </w:tcPr>
          <w:p w14:paraId="5AAA91E0" w14:textId="77777777" w:rsidR="00B85C33" w:rsidRPr="000F6DEF" w:rsidRDefault="00B85C33" w:rsidP="000376C7">
            <w:pPr>
              <w:rPr>
                <w:rFonts w:cs="Calibri"/>
                <w:sz w:val="16"/>
                <w:szCs w:val="16"/>
              </w:rPr>
            </w:pPr>
            <w:r w:rsidRPr="000F6DEF">
              <w:rPr>
                <w:rFonts w:cs="Calibri"/>
                <w:sz w:val="16"/>
                <w:szCs w:val="16"/>
              </w:rPr>
              <w:lastRenderedPageBreak/>
              <w:t>Williams T, White V et al 2017</w:t>
            </w:r>
          </w:p>
        </w:tc>
        <w:tc>
          <w:tcPr>
            <w:tcW w:w="2671" w:type="dxa"/>
          </w:tcPr>
          <w:p w14:paraId="5CAB3210" w14:textId="14E2A0FB"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To determine what Factors are Associated with Electronic Cigarette, Shisha</w:t>
            </w:r>
            <w:r w:rsidRPr="000F6DEF">
              <w:rPr>
                <w:rFonts w:cs="Calibri"/>
                <w:sz w:val="16"/>
                <w:szCs w:val="16"/>
              </w:rPr>
              <w:noBreakHyphen/>
              <w:t>Tobacco and Conventional Cigarette Use</w:t>
            </w:r>
            <w:r w:rsidR="005500FC">
              <w:rPr>
                <w:rFonts w:cs="Calibri"/>
                <w:sz w:val="16"/>
                <w:szCs w:val="16"/>
              </w:rPr>
              <w:t>.</w:t>
            </w:r>
          </w:p>
        </w:tc>
        <w:tc>
          <w:tcPr>
            <w:tcW w:w="5812" w:type="dxa"/>
          </w:tcPr>
          <w:p w14:paraId="2EAC7B09"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Overall, 14% of students had used an </w:t>
            </w:r>
            <w:r>
              <w:rPr>
                <w:rFonts w:cs="Calibri"/>
                <w:sz w:val="16"/>
                <w:szCs w:val="16"/>
              </w:rPr>
              <w:t>e</w:t>
            </w:r>
            <w:r>
              <w:rPr>
                <w:rFonts w:cs="Calibri"/>
                <w:sz w:val="16"/>
                <w:szCs w:val="16"/>
              </w:rPr>
              <w:noBreakHyphen/>
              <w:t>cig</w:t>
            </w:r>
            <w:r w:rsidRPr="000F6DEF">
              <w:rPr>
                <w:rFonts w:cs="Calibri"/>
                <w:sz w:val="16"/>
                <w:szCs w:val="16"/>
              </w:rPr>
              <w:t xml:space="preserve">arette with 3% using </w:t>
            </w:r>
            <w:r>
              <w:rPr>
                <w:rFonts w:cs="Calibri"/>
                <w:sz w:val="16"/>
                <w:szCs w:val="16"/>
              </w:rPr>
              <w:t>e</w:t>
            </w:r>
            <w:r>
              <w:rPr>
                <w:rFonts w:cs="Calibri"/>
                <w:sz w:val="16"/>
                <w:szCs w:val="16"/>
              </w:rPr>
              <w:noBreakHyphen/>
              <w:t>cig</w:t>
            </w:r>
            <w:r w:rsidRPr="000F6DEF">
              <w:rPr>
                <w:rFonts w:cs="Calibri"/>
                <w:sz w:val="16"/>
                <w:szCs w:val="16"/>
              </w:rPr>
              <w:t>arettes exclusively. 13% had used shisha</w:t>
            </w:r>
            <w:r w:rsidRPr="000F6DEF">
              <w:rPr>
                <w:rFonts w:cs="Calibri"/>
                <w:sz w:val="16"/>
                <w:szCs w:val="16"/>
              </w:rPr>
              <w:noBreakHyphen/>
              <w:t>tobacco, with 2% using shisha</w:t>
            </w:r>
            <w:r w:rsidRPr="000F6DEF">
              <w:rPr>
                <w:rFonts w:cs="Calibri"/>
                <w:sz w:val="16"/>
                <w:szCs w:val="16"/>
              </w:rPr>
              <w:noBreakHyphen/>
              <w:t xml:space="preserve">tobacco exclusively. Most students (65%) using </w:t>
            </w:r>
            <w:r>
              <w:rPr>
                <w:rFonts w:cs="Calibri"/>
                <w:sz w:val="16"/>
                <w:szCs w:val="16"/>
              </w:rPr>
              <w:t>e</w:t>
            </w:r>
            <w:r>
              <w:rPr>
                <w:rFonts w:cs="Calibri"/>
                <w:sz w:val="16"/>
                <w:szCs w:val="16"/>
              </w:rPr>
              <w:noBreakHyphen/>
              <w:t>cig</w:t>
            </w:r>
            <w:r w:rsidRPr="000F6DEF">
              <w:rPr>
                <w:rFonts w:cs="Calibri"/>
                <w:sz w:val="16"/>
                <w:szCs w:val="16"/>
              </w:rPr>
              <w:t>arette and shisha</w:t>
            </w:r>
            <w:r w:rsidRPr="000F6DEF">
              <w:rPr>
                <w:rFonts w:cs="Calibri"/>
                <w:sz w:val="16"/>
                <w:szCs w:val="16"/>
              </w:rPr>
              <w:noBreakHyphen/>
              <w:t xml:space="preserve">tobacco (67%) had also used tobacco cigarettes. After adjusting for demographic factors, students using </w:t>
            </w:r>
            <w:r>
              <w:rPr>
                <w:rFonts w:cs="Calibri"/>
                <w:sz w:val="16"/>
                <w:szCs w:val="16"/>
              </w:rPr>
              <w:t>e</w:t>
            </w:r>
            <w:r>
              <w:rPr>
                <w:rFonts w:cs="Calibri"/>
                <w:sz w:val="16"/>
                <w:szCs w:val="16"/>
              </w:rPr>
              <w:noBreakHyphen/>
              <w:t>cig</w:t>
            </w:r>
            <w:r w:rsidRPr="000F6DEF">
              <w:rPr>
                <w:rFonts w:cs="Calibri"/>
                <w:sz w:val="16"/>
                <w:szCs w:val="16"/>
              </w:rPr>
              <w:t>arettes only were more likely to have never used cannabis or drink alcohol in the past year compared to tobacco cigarette users. Compared to tobaccocigaretteusers,studentsusingonlyshisha</w:t>
            </w:r>
            <w:r w:rsidRPr="000F6DEF">
              <w:rPr>
                <w:rFonts w:cs="Calibri"/>
                <w:sz w:val="16"/>
                <w:szCs w:val="16"/>
              </w:rPr>
              <w:noBreakHyphen/>
              <w:t>tobaccowereyounger,lesslikelytousecannabis or alcohol or have friends or parents who smoke</w:t>
            </w:r>
          </w:p>
        </w:tc>
        <w:tc>
          <w:tcPr>
            <w:tcW w:w="5103" w:type="dxa"/>
          </w:tcPr>
          <w:p w14:paraId="29F8DF56"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Most Australian adolescents who use alternative nicotine and tobacco</w:t>
            </w:r>
            <w:r w:rsidRPr="000F6DEF">
              <w:rPr>
                <w:rFonts w:cs="Calibri"/>
                <w:sz w:val="16"/>
                <w:szCs w:val="16"/>
              </w:rPr>
              <w:noBreakHyphen/>
              <w:t xml:space="preserve">related products do so in conjunction with tobacco cigarettes. Students using </w:t>
            </w:r>
            <w:r>
              <w:rPr>
                <w:rFonts w:cs="Calibri"/>
                <w:sz w:val="16"/>
                <w:szCs w:val="16"/>
              </w:rPr>
              <w:t>e</w:t>
            </w:r>
            <w:r>
              <w:rPr>
                <w:rFonts w:cs="Calibri"/>
                <w:sz w:val="16"/>
                <w:szCs w:val="16"/>
              </w:rPr>
              <w:noBreakHyphen/>
              <w:t>cig</w:t>
            </w:r>
            <w:r w:rsidRPr="000F6DEF">
              <w:rPr>
                <w:rFonts w:cs="Calibri"/>
                <w:sz w:val="16"/>
                <w:szCs w:val="16"/>
              </w:rPr>
              <w:t>arettes or shisha</w:t>
            </w:r>
            <w:r w:rsidRPr="000F6DEF">
              <w:rPr>
                <w:rFonts w:cs="Calibri"/>
                <w:sz w:val="16"/>
                <w:szCs w:val="16"/>
              </w:rPr>
              <w:noBreakHyphen/>
              <w:t>tobacco exclusively were less likely to use other substances</w:t>
            </w:r>
          </w:p>
        </w:tc>
      </w:tr>
      <w:tr w:rsidR="00B85C33" w:rsidRPr="000F6DEF" w14:paraId="7B641743" w14:textId="77777777" w:rsidTr="000376C7">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1582" w:type="dxa"/>
          </w:tcPr>
          <w:p w14:paraId="57E372E7" w14:textId="77777777" w:rsidR="00B85C33" w:rsidRPr="000F6DEF" w:rsidRDefault="00B85C33" w:rsidP="000376C7">
            <w:pPr>
              <w:rPr>
                <w:rFonts w:cs="Calibri"/>
                <w:sz w:val="16"/>
                <w:szCs w:val="16"/>
              </w:rPr>
            </w:pPr>
            <w:r w:rsidRPr="000F6DEF">
              <w:rPr>
                <w:rFonts w:cs="Calibri"/>
                <w:sz w:val="16"/>
                <w:szCs w:val="16"/>
              </w:rPr>
              <w:t>Yuke, K, Ford P, et al 2018</w:t>
            </w:r>
          </w:p>
        </w:tc>
        <w:tc>
          <w:tcPr>
            <w:tcW w:w="2671" w:type="dxa"/>
          </w:tcPr>
          <w:p w14:paraId="4BBBEEA5"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Exploration of the acceptability of novel nicotine products, such as </w:t>
            </w:r>
            <w:r>
              <w:rPr>
                <w:rFonts w:cs="Calibri"/>
                <w:sz w:val="16"/>
                <w:szCs w:val="16"/>
              </w:rPr>
              <w:t>e</w:t>
            </w:r>
            <w:r>
              <w:rPr>
                <w:rFonts w:cs="Calibri"/>
                <w:sz w:val="16"/>
                <w:szCs w:val="16"/>
              </w:rPr>
              <w:noBreakHyphen/>
              <w:t>cig</w:t>
            </w:r>
            <w:r w:rsidRPr="000F6DEF">
              <w:rPr>
                <w:rFonts w:cs="Calibri"/>
                <w:sz w:val="16"/>
                <w:szCs w:val="16"/>
              </w:rPr>
              <w:t>arettes.</w:t>
            </w:r>
          </w:p>
        </w:tc>
        <w:tc>
          <w:tcPr>
            <w:tcW w:w="5812" w:type="dxa"/>
          </w:tcPr>
          <w:p w14:paraId="03BF0AE9" w14:textId="1681ED80"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82% of men 'very likely to try' </w:t>
            </w:r>
            <w:r>
              <w:rPr>
                <w:rFonts w:cs="Calibri"/>
                <w:sz w:val="16"/>
                <w:szCs w:val="16"/>
              </w:rPr>
              <w:t>e</w:t>
            </w:r>
            <w:r>
              <w:rPr>
                <w:rFonts w:cs="Calibri"/>
                <w:sz w:val="16"/>
                <w:szCs w:val="16"/>
              </w:rPr>
              <w:noBreakHyphen/>
              <w:t>cig</w:t>
            </w:r>
            <w:r w:rsidRPr="000F6DEF">
              <w:rPr>
                <w:rFonts w:cs="Calibri"/>
                <w:sz w:val="16"/>
                <w:szCs w:val="16"/>
              </w:rPr>
              <w:t>arette, 70% of women 'would never try'.</w:t>
            </w:r>
            <w:r w:rsidR="008146F9">
              <w:rPr>
                <w:rFonts w:cs="Calibri"/>
                <w:sz w:val="16"/>
                <w:szCs w:val="16"/>
              </w:rPr>
              <w:t xml:space="preserve"> </w:t>
            </w:r>
            <w:r w:rsidRPr="000F6DEF">
              <w:rPr>
                <w:rFonts w:cs="Calibri"/>
                <w:sz w:val="16"/>
                <w:szCs w:val="16"/>
              </w:rPr>
              <w:t>Common views on need to taste good (NRTs) and community endorsement. Divergent views on similarity to cigarette, visible vapour and appearance. Lack of interest in long</w:t>
            </w:r>
            <w:r w:rsidRPr="000F6DEF">
              <w:rPr>
                <w:rFonts w:cs="Calibri"/>
                <w:sz w:val="16"/>
                <w:szCs w:val="16"/>
              </w:rPr>
              <w:noBreakHyphen/>
              <w:t xml:space="preserve">term substitution, concern about </w:t>
            </w:r>
            <w:r>
              <w:rPr>
                <w:rFonts w:cs="Calibri"/>
                <w:sz w:val="16"/>
                <w:szCs w:val="16"/>
              </w:rPr>
              <w:t>e</w:t>
            </w:r>
            <w:r>
              <w:rPr>
                <w:rFonts w:cs="Calibri"/>
                <w:sz w:val="16"/>
                <w:szCs w:val="16"/>
              </w:rPr>
              <w:noBreakHyphen/>
              <w:t>cig</w:t>
            </w:r>
            <w:r w:rsidRPr="000F6DEF">
              <w:rPr>
                <w:rFonts w:cs="Calibri"/>
                <w:sz w:val="16"/>
                <w:szCs w:val="16"/>
              </w:rPr>
              <w:t>arettes being attractive to children.</w:t>
            </w:r>
          </w:p>
        </w:tc>
        <w:tc>
          <w:tcPr>
            <w:tcW w:w="5103" w:type="dxa"/>
          </w:tcPr>
          <w:p w14:paraId="53122D63"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 Some participants were interested in long</w:t>
            </w:r>
            <w:r w:rsidRPr="000F6DEF">
              <w:rPr>
                <w:rFonts w:cs="Calibri"/>
                <w:sz w:val="16"/>
                <w:szCs w:val="16"/>
              </w:rPr>
              <w:noBreakHyphen/>
              <w:t xml:space="preserve">term substitution if acceptable products were available. Improvements in current products and access to novel products are needed if tobacco harm reduction is to be acceptable. </w:t>
            </w:r>
          </w:p>
        </w:tc>
      </w:tr>
    </w:tbl>
    <w:p w14:paraId="49DD5F8C" w14:textId="77777777" w:rsidR="00B85C33" w:rsidRPr="00887894" w:rsidRDefault="00B85C33" w:rsidP="00B85C33">
      <w:pPr>
        <w:pStyle w:val="BodyText"/>
      </w:pPr>
    </w:p>
    <w:p w14:paraId="4CA76197" w14:textId="77777777" w:rsidR="00B85C33" w:rsidRPr="00F422F2" w:rsidRDefault="00B85C33" w:rsidP="00B85C33">
      <w:pPr>
        <w:pStyle w:val="BodyText"/>
      </w:pPr>
    </w:p>
    <w:p w14:paraId="4C57AEA1" w14:textId="77777777" w:rsidR="00B85C33" w:rsidRDefault="00B85C33" w:rsidP="00B85C33">
      <w:pPr>
        <w:spacing w:after="0"/>
        <w:rPr>
          <w:sz w:val="24"/>
        </w:rPr>
      </w:pPr>
      <w:r>
        <w:br w:type="page"/>
      </w:r>
    </w:p>
    <w:p w14:paraId="5AD328FC" w14:textId="77777777" w:rsidR="00B85C33" w:rsidRDefault="004C6D16" w:rsidP="004C6D16">
      <w:pPr>
        <w:pStyle w:val="Caption"/>
      </w:pPr>
      <w:bookmarkStart w:id="347" w:name="_Toc517707455"/>
      <w:r>
        <w:lastRenderedPageBreak/>
        <w:t xml:space="preserve">Table </w:t>
      </w:r>
      <w:r w:rsidR="0048064B">
        <w:rPr>
          <w:noProof/>
        </w:rPr>
        <w:fldChar w:fldCharType="begin"/>
      </w:r>
      <w:r w:rsidR="0048064B">
        <w:rPr>
          <w:noProof/>
        </w:rPr>
        <w:instrText xml:space="preserve"> SEQ Table \* ARABIC </w:instrText>
      </w:r>
      <w:r w:rsidR="0048064B">
        <w:rPr>
          <w:noProof/>
        </w:rPr>
        <w:fldChar w:fldCharType="separate"/>
      </w:r>
      <w:r w:rsidR="000C06DA">
        <w:rPr>
          <w:noProof/>
        </w:rPr>
        <w:t>46</w:t>
      </w:r>
      <w:r w:rsidR="0048064B">
        <w:rPr>
          <w:noProof/>
        </w:rPr>
        <w:fldChar w:fldCharType="end"/>
      </w:r>
      <w:r w:rsidR="00B85C33" w:rsidRPr="0037029D">
        <w:t xml:space="preserve">: Characteristics of studies from </w:t>
      </w:r>
      <w:r w:rsidR="00B85C33">
        <w:t>o</w:t>
      </w:r>
      <w:r w:rsidR="00B85C33" w:rsidRPr="0037029D">
        <w:t>ther countries</w:t>
      </w:r>
      <w:bookmarkEnd w:id="347"/>
    </w:p>
    <w:tbl>
      <w:tblPr>
        <w:tblStyle w:val="TableCSIRO"/>
        <w:tblW w:w="15055" w:type="dxa"/>
        <w:tblLayout w:type="fixed"/>
        <w:tblLook w:val="04A0" w:firstRow="1" w:lastRow="0" w:firstColumn="1" w:lastColumn="0" w:noHBand="0" w:noVBand="1"/>
      </w:tblPr>
      <w:tblGrid>
        <w:gridCol w:w="1271"/>
        <w:gridCol w:w="2835"/>
        <w:gridCol w:w="1134"/>
        <w:gridCol w:w="992"/>
        <w:gridCol w:w="993"/>
        <w:gridCol w:w="1593"/>
        <w:gridCol w:w="2376"/>
        <w:gridCol w:w="2268"/>
        <w:gridCol w:w="1593"/>
      </w:tblGrid>
      <w:tr w:rsidR="00B85C33" w:rsidRPr="000F6DEF" w14:paraId="1B69739D" w14:textId="77777777" w:rsidTr="000376C7">
        <w:trPr>
          <w:cnfStyle w:val="100000000000" w:firstRow="1" w:lastRow="0" w:firstColumn="0" w:lastColumn="0" w:oddVBand="0" w:evenVBand="0" w:oddHBand="0" w:evenHBand="0" w:firstRowFirstColumn="0" w:firstRowLastColumn="0" w:lastRowFirstColumn="0" w:lastRowLastColumn="0"/>
          <w:trHeight w:val="569"/>
          <w:tblHeader/>
        </w:trPr>
        <w:tc>
          <w:tcPr>
            <w:cnfStyle w:val="001000000000" w:firstRow="0" w:lastRow="0" w:firstColumn="1" w:lastColumn="0" w:oddVBand="0" w:evenVBand="0" w:oddHBand="0" w:evenHBand="0" w:firstRowFirstColumn="0" w:firstRowLastColumn="0" w:lastRowFirstColumn="0" w:lastRowLastColumn="0"/>
            <w:tcW w:w="1271" w:type="dxa"/>
            <w:hideMark/>
          </w:tcPr>
          <w:p w14:paraId="71D824DC" w14:textId="77777777" w:rsidR="00B85C33" w:rsidRPr="000F6DEF" w:rsidRDefault="00B85C33" w:rsidP="000376C7">
            <w:pPr>
              <w:rPr>
                <w:rFonts w:cstheme="minorHAnsi"/>
                <w:color w:val="FFFFFF" w:themeColor="background2"/>
                <w:sz w:val="16"/>
                <w:szCs w:val="16"/>
              </w:rPr>
            </w:pPr>
            <w:r w:rsidRPr="000F6DEF">
              <w:rPr>
                <w:rFonts w:cstheme="minorHAnsi"/>
                <w:color w:val="FFFFFF" w:themeColor="background2"/>
                <w:sz w:val="16"/>
                <w:szCs w:val="16"/>
              </w:rPr>
              <w:t>Study reference</w:t>
            </w:r>
          </w:p>
        </w:tc>
        <w:tc>
          <w:tcPr>
            <w:tcW w:w="2835" w:type="dxa"/>
            <w:hideMark/>
          </w:tcPr>
          <w:p w14:paraId="0C0AF98C" w14:textId="77777777" w:rsidR="00B85C33" w:rsidRPr="000F6DEF" w:rsidRDefault="00B85C33" w:rsidP="000376C7">
            <w:pPr>
              <w:cnfStyle w:val="100000000000" w:firstRow="1" w:lastRow="0" w:firstColumn="0" w:lastColumn="0" w:oddVBand="0" w:evenVBand="0" w:oddHBand="0" w:evenHBand="0" w:firstRowFirstColumn="0" w:firstRowLastColumn="0" w:lastRowFirstColumn="0" w:lastRowLastColumn="0"/>
              <w:rPr>
                <w:rFonts w:cstheme="minorHAnsi"/>
                <w:color w:val="FFFFFF" w:themeColor="background2"/>
                <w:sz w:val="16"/>
                <w:szCs w:val="16"/>
              </w:rPr>
            </w:pPr>
            <w:r w:rsidRPr="000F6DEF">
              <w:rPr>
                <w:rFonts w:cstheme="minorHAnsi"/>
                <w:color w:val="FFFFFF" w:themeColor="background2"/>
                <w:sz w:val="16"/>
                <w:szCs w:val="16"/>
              </w:rPr>
              <w:t>Purpose</w:t>
            </w:r>
          </w:p>
        </w:tc>
        <w:tc>
          <w:tcPr>
            <w:tcW w:w="1134" w:type="dxa"/>
            <w:hideMark/>
          </w:tcPr>
          <w:p w14:paraId="1C141972" w14:textId="77777777" w:rsidR="00B85C33" w:rsidRPr="000F6DEF" w:rsidRDefault="00B85C33" w:rsidP="000376C7">
            <w:pPr>
              <w:cnfStyle w:val="100000000000" w:firstRow="1" w:lastRow="0" w:firstColumn="0" w:lastColumn="0" w:oddVBand="0" w:evenVBand="0" w:oddHBand="0" w:evenHBand="0" w:firstRowFirstColumn="0" w:firstRowLastColumn="0" w:lastRowFirstColumn="0" w:lastRowLastColumn="0"/>
              <w:rPr>
                <w:rFonts w:cstheme="minorHAnsi"/>
                <w:color w:val="FFFFFF" w:themeColor="background2"/>
                <w:sz w:val="16"/>
                <w:szCs w:val="16"/>
              </w:rPr>
            </w:pPr>
            <w:r w:rsidRPr="000F6DEF">
              <w:rPr>
                <w:rFonts w:cstheme="minorHAnsi"/>
                <w:color w:val="FFFFFF" w:themeColor="background2"/>
                <w:sz w:val="16"/>
                <w:szCs w:val="16"/>
              </w:rPr>
              <w:t>Name of survey</w:t>
            </w:r>
          </w:p>
        </w:tc>
        <w:tc>
          <w:tcPr>
            <w:tcW w:w="992" w:type="dxa"/>
            <w:hideMark/>
          </w:tcPr>
          <w:p w14:paraId="4A20FCFC" w14:textId="77777777" w:rsidR="00B85C33" w:rsidRPr="000F6DEF" w:rsidRDefault="00B85C33" w:rsidP="000376C7">
            <w:pPr>
              <w:cnfStyle w:val="100000000000" w:firstRow="1" w:lastRow="0" w:firstColumn="0" w:lastColumn="0" w:oddVBand="0" w:evenVBand="0" w:oddHBand="0" w:evenHBand="0" w:firstRowFirstColumn="0" w:firstRowLastColumn="0" w:lastRowFirstColumn="0" w:lastRowLastColumn="0"/>
              <w:rPr>
                <w:rFonts w:cstheme="minorHAnsi"/>
                <w:color w:val="FFFFFF" w:themeColor="background2"/>
                <w:sz w:val="16"/>
                <w:szCs w:val="16"/>
              </w:rPr>
            </w:pPr>
            <w:r w:rsidRPr="000F6DEF">
              <w:rPr>
                <w:rFonts w:cstheme="minorHAnsi"/>
                <w:color w:val="FFFFFF" w:themeColor="background2"/>
                <w:sz w:val="16"/>
                <w:szCs w:val="16"/>
              </w:rPr>
              <w:t>Country or location</w:t>
            </w:r>
          </w:p>
        </w:tc>
        <w:tc>
          <w:tcPr>
            <w:tcW w:w="993" w:type="dxa"/>
            <w:hideMark/>
          </w:tcPr>
          <w:p w14:paraId="6E962FD4" w14:textId="77777777" w:rsidR="00B85C33" w:rsidRPr="000F6DEF" w:rsidRDefault="00B85C33" w:rsidP="000376C7">
            <w:pPr>
              <w:cnfStyle w:val="100000000000" w:firstRow="1" w:lastRow="0" w:firstColumn="0" w:lastColumn="0" w:oddVBand="0" w:evenVBand="0" w:oddHBand="0" w:evenHBand="0" w:firstRowFirstColumn="0" w:firstRowLastColumn="0" w:lastRowFirstColumn="0" w:lastRowLastColumn="0"/>
              <w:rPr>
                <w:rFonts w:cstheme="minorHAnsi"/>
                <w:color w:val="FFFFFF" w:themeColor="background2"/>
                <w:sz w:val="16"/>
                <w:szCs w:val="16"/>
              </w:rPr>
            </w:pPr>
            <w:r w:rsidRPr="000F6DEF">
              <w:rPr>
                <w:rFonts w:cstheme="minorHAnsi"/>
                <w:color w:val="FFFFFF" w:themeColor="background2"/>
                <w:sz w:val="16"/>
                <w:szCs w:val="16"/>
              </w:rPr>
              <w:t>Year data collected</w:t>
            </w:r>
          </w:p>
        </w:tc>
        <w:tc>
          <w:tcPr>
            <w:tcW w:w="1593" w:type="dxa"/>
            <w:hideMark/>
          </w:tcPr>
          <w:p w14:paraId="12B5C185" w14:textId="77777777" w:rsidR="00B85C33" w:rsidRPr="000F6DEF" w:rsidRDefault="00B85C33" w:rsidP="000376C7">
            <w:pPr>
              <w:cnfStyle w:val="100000000000" w:firstRow="1" w:lastRow="0" w:firstColumn="0" w:lastColumn="0" w:oddVBand="0" w:evenVBand="0" w:oddHBand="0" w:evenHBand="0" w:firstRowFirstColumn="0" w:firstRowLastColumn="0" w:lastRowFirstColumn="0" w:lastRowLastColumn="0"/>
              <w:rPr>
                <w:rFonts w:cstheme="minorHAnsi"/>
                <w:color w:val="FFFFFF" w:themeColor="background2"/>
                <w:sz w:val="16"/>
                <w:szCs w:val="16"/>
              </w:rPr>
            </w:pPr>
            <w:r w:rsidRPr="000F6DEF">
              <w:rPr>
                <w:rFonts w:cstheme="minorHAnsi"/>
                <w:color w:val="FFFFFF" w:themeColor="background2"/>
                <w:sz w:val="16"/>
                <w:szCs w:val="16"/>
              </w:rPr>
              <w:t>Participants</w:t>
            </w:r>
          </w:p>
        </w:tc>
        <w:tc>
          <w:tcPr>
            <w:tcW w:w="2376" w:type="dxa"/>
            <w:hideMark/>
          </w:tcPr>
          <w:p w14:paraId="61CDB533" w14:textId="77777777" w:rsidR="00B85C33" w:rsidRPr="000F6DEF" w:rsidRDefault="00B85C33" w:rsidP="000376C7">
            <w:pPr>
              <w:cnfStyle w:val="100000000000" w:firstRow="1" w:lastRow="0" w:firstColumn="0" w:lastColumn="0" w:oddVBand="0" w:evenVBand="0" w:oddHBand="0" w:evenHBand="0" w:firstRowFirstColumn="0" w:firstRowLastColumn="0" w:lastRowFirstColumn="0" w:lastRowLastColumn="0"/>
              <w:rPr>
                <w:rFonts w:cstheme="minorHAnsi"/>
                <w:color w:val="FFFFFF" w:themeColor="background2"/>
                <w:sz w:val="16"/>
                <w:szCs w:val="16"/>
              </w:rPr>
            </w:pPr>
            <w:r w:rsidRPr="000F6DEF">
              <w:rPr>
                <w:rFonts w:cstheme="minorHAnsi"/>
                <w:color w:val="FFFFFF" w:themeColor="background2"/>
                <w:sz w:val="16"/>
                <w:szCs w:val="16"/>
              </w:rPr>
              <w:t>Recruitment/ selection method</w:t>
            </w:r>
          </w:p>
        </w:tc>
        <w:tc>
          <w:tcPr>
            <w:tcW w:w="2268" w:type="dxa"/>
            <w:hideMark/>
          </w:tcPr>
          <w:p w14:paraId="2BAD53F9" w14:textId="77777777" w:rsidR="00B85C33" w:rsidRPr="000F6DEF" w:rsidRDefault="00B85C33" w:rsidP="000376C7">
            <w:pPr>
              <w:cnfStyle w:val="100000000000" w:firstRow="1" w:lastRow="0" w:firstColumn="0" w:lastColumn="0" w:oddVBand="0" w:evenVBand="0" w:oddHBand="0" w:evenHBand="0" w:firstRowFirstColumn="0" w:firstRowLastColumn="0" w:lastRowFirstColumn="0" w:lastRowLastColumn="0"/>
              <w:rPr>
                <w:rFonts w:cstheme="minorHAnsi"/>
                <w:color w:val="FFFFFF" w:themeColor="background2"/>
                <w:sz w:val="16"/>
                <w:szCs w:val="16"/>
              </w:rPr>
            </w:pPr>
            <w:r w:rsidRPr="000F6DEF">
              <w:rPr>
                <w:rFonts w:cstheme="minorHAnsi"/>
                <w:color w:val="FFFFFF" w:themeColor="background2"/>
                <w:sz w:val="16"/>
                <w:szCs w:val="16"/>
              </w:rPr>
              <w:t xml:space="preserve">Admin Method </w:t>
            </w:r>
          </w:p>
        </w:tc>
        <w:tc>
          <w:tcPr>
            <w:tcW w:w="1593" w:type="dxa"/>
            <w:hideMark/>
          </w:tcPr>
          <w:p w14:paraId="337B4742" w14:textId="77777777" w:rsidR="00B85C33" w:rsidRPr="000F6DEF" w:rsidRDefault="00B85C33" w:rsidP="000376C7">
            <w:pPr>
              <w:cnfStyle w:val="100000000000" w:firstRow="1" w:lastRow="0" w:firstColumn="0" w:lastColumn="0" w:oddVBand="0" w:evenVBand="0" w:oddHBand="0" w:evenHBand="0" w:firstRowFirstColumn="0" w:firstRowLastColumn="0" w:lastRowFirstColumn="0" w:lastRowLastColumn="0"/>
              <w:rPr>
                <w:rFonts w:cstheme="minorHAnsi"/>
                <w:color w:val="FFFFFF" w:themeColor="background2"/>
                <w:sz w:val="16"/>
                <w:szCs w:val="16"/>
              </w:rPr>
            </w:pPr>
            <w:r w:rsidRPr="000F6DEF">
              <w:rPr>
                <w:rFonts w:cstheme="minorHAnsi"/>
                <w:color w:val="FFFFFF" w:themeColor="background2"/>
                <w:sz w:val="16"/>
                <w:szCs w:val="16"/>
              </w:rPr>
              <w:t>Measures</w:t>
            </w:r>
          </w:p>
        </w:tc>
      </w:tr>
      <w:tr w:rsidR="00B85C33" w:rsidRPr="000F6DEF" w14:paraId="6D71D677" w14:textId="77777777" w:rsidTr="000376C7">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1271" w:type="dxa"/>
          </w:tcPr>
          <w:p w14:paraId="37851033" w14:textId="77777777" w:rsidR="00B85C33" w:rsidRPr="000F6DEF" w:rsidRDefault="00B85C33" w:rsidP="000376C7">
            <w:pPr>
              <w:rPr>
                <w:rFonts w:cs="Calibri"/>
                <w:sz w:val="16"/>
                <w:szCs w:val="16"/>
              </w:rPr>
            </w:pPr>
            <w:r w:rsidRPr="000F6DEF">
              <w:rPr>
                <w:rFonts w:cs="Calibri"/>
                <w:sz w:val="16"/>
                <w:szCs w:val="16"/>
              </w:rPr>
              <w:t>Adriaens, van Gucht, Baeyens</w:t>
            </w:r>
          </w:p>
        </w:tc>
        <w:tc>
          <w:tcPr>
            <w:tcW w:w="2835" w:type="dxa"/>
          </w:tcPr>
          <w:p w14:paraId="06CB36EB" w14:textId="0E9B2CF2"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To discover elements to be included in an intervention aiming at dual users who want to quit smoking completely in the future</w:t>
            </w:r>
            <w:r w:rsidR="005500FC">
              <w:rPr>
                <w:rFonts w:cs="Calibri"/>
                <w:sz w:val="16"/>
                <w:szCs w:val="16"/>
              </w:rPr>
              <w:t>.</w:t>
            </w:r>
          </w:p>
        </w:tc>
        <w:tc>
          <w:tcPr>
            <w:tcW w:w="1134" w:type="dxa"/>
          </w:tcPr>
          <w:p w14:paraId="3D06864D" w14:textId="1F48368B"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Investigator developed </w:t>
            </w:r>
            <w:r w:rsidR="00571385">
              <w:rPr>
                <w:rFonts w:cs="Calibri"/>
                <w:sz w:val="16"/>
                <w:szCs w:val="16"/>
              </w:rPr>
              <w:t>–</w:t>
            </w:r>
            <w:r w:rsidRPr="000F6DEF">
              <w:rPr>
                <w:rFonts w:cs="Calibri"/>
                <w:sz w:val="16"/>
                <w:szCs w:val="16"/>
              </w:rPr>
              <w:t xml:space="preserve"> 5</w:t>
            </w:r>
            <w:r w:rsidR="00571385">
              <w:rPr>
                <w:rFonts w:cs="Calibri"/>
                <w:sz w:val="16"/>
                <w:szCs w:val="16"/>
              </w:rPr>
              <w:noBreakHyphen/>
            </w:r>
            <w:r w:rsidRPr="000F6DEF">
              <w:rPr>
                <w:rFonts w:cs="Calibri"/>
                <w:sz w:val="16"/>
                <w:szCs w:val="16"/>
              </w:rPr>
              <w:t>part survey</w:t>
            </w:r>
          </w:p>
        </w:tc>
        <w:tc>
          <w:tcPr>
            <w:tcW w:w="992" w:type="dxa"/>
          </w:tcPr>
          <w:p w14:paraId="3E5B02E7"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Netherlands</w:t>
            </w:r>
          </w:p>
        </w:tc>
        <w:tc>
          <w:tcPr>
            <w:tcW w:w="993" w:type="dxa"/>
          </w:tcPr>
          <w:p w14:paraId="448B23F8"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Feb/Mar 2016</w:t>
            </w:r>
          </w:p>
        </w:tc>
        <w:tc>
          <w:tcPr>
            <w:tcW w:w="1593" w:type="dxa"/>
          </w:tcPr>
          <w:p w14:paraId="28EFC8F2"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217</w:t>
            </w:r>
          </w:p>
          <w:p w14:paraId="11FCBC51"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Mean age: 42.57(11.23)</w:t>
            </w:r>
          </w:p>
          <w:p w14:paraId="27D11F15"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75% male</w:t>
            </w:r>
          </w:p>
        </w:tc>
        <w:tc>
          <w:tcPr>
            <w:tcW w:w="2376" w:type="dxa"/>
          </w:tcPr>
          <w:p w14:paraId="1CA23030"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Distributed a link to an online Dutch questionnaire through social media (Facebook and Twitter) and a Dutch forum for vapers (www. dampforum.nu)</w:t>
            </w:r>
          </w:p>
        </w:tc>
        <w:tc>
          <w:tcPr>
            <w:tcW w:w="2268" w:type="dxa"/>
          </w:tcPr>
          <w:p w14:paraId="151F66D3"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Self</w:t>
            </w:r>
            <w:r w:rsidRPr="000F6DEF">
              <w:rPr>
                <w:rFonts w:cs="Calibri"/>
                <w:sz w:val="16"/>
                <w:szCs w:val="16"/>
              </w:rPr>
              <w:noBreakHyphen/>
              <w:t>administered, 13</w:t>
            </w:r>
            <w:r w:rsidRPr="000F6DEF">
              <w:rPr>
                <w:rFonts w:cs="Calibri"/>
                <w:sz w:val="16"/>
                <w:szCs w:val="16"/>
              </w:rPr>
              <w:noBreakHyphen/>
              <w:t>18 minutes, 25Euro voucher, Qualtrics</w:t>
            </w:r>
          </w:p>
        </w:tc>
        <w:tc>
          <w:tcPr>
            <w:tcW w:w="1593" w:type="dxa"/>
          </w:tcPr>
          <w:p w14:paraId="70B867C5"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Section 1: demographics</w:t>
            </w:r>
            <w:r w:rsidRPr="000F6DEF">
              <w:rPr>
                <w:rFonts w:cs="Calibri"/>
                <w:sz w:val="16"/>
                <w:szCs w:val="16"/>
              </w:rPr>
              <w:br/>
              <w:t>section 2: smoking behaviours</w:t>
            </w:r>
            <w:r w:rsidRPr="000F6DEF">
              <w:rPr>
                <w:rFonts w:cs="Calibri"/>
                <w:sz w:val="16"/>
                <w:szCs w:val="16"/>
              </w:rPr>
              <w:br/>
              <w:t xml:space="preserve">Section 3: </w:t>
            </w:r>
            <w:r>
              <w:rPr>
                <w:rFonts w:cs="Calibri"/>
                <w:sz w:val="16"/>
                <w:szCs w:val="16"/>
              </w:rPr>
              <w:t>e</w:t>
            </w:r>
            <w:r>
              <w:rPr>
                <w:rFonts w:cs="Calibri"/>
                <w:sz w:val="16"/>
                <w:szCs w:val="16"/>
              </w:rPr>
              <w:noBreakHyphen/>
              <w:t>cig</w:t>
            </w:r>
            <w:r w:rsidRPr="000F6DEF">
              <w:rPr>
                <w:rFonts w:cs="Calibri"/>
                <w:sz w:val="16"/>
                <w:szCs w:val="16"/>
              </w:rPr>
              <w:t>arette use</w:t>
            </w:r>
            <w:r w:rsidRPr="000F6DEF">
              <w:rPr>
                <w:rFonts w:cs="Calibri"/>
                <w:sz w:val="16"/>
                <w:szCs w:val="16"/>
              </w:rPr>
              <w:br/>
              <w:t>Section 4: attitudes of vaping/smoking</w:t>
            </w:r>
            <w:r w:rsidRPr="000F6DEF">
              <w:rPr>
                <w:rFonts w:cs="Calibri"/>
                <w:sz w:val="16"/>
                <w:szCs w:val="16"/>
              </w:rPr>
              <w:br/>
              <w:t>Section 5: Dual uses rate situations where they would use one versus the other</w:t>
            </w:r>
          </w:p>
        </w:tc>
      </w:tr>
      <w:tr w:rsidR="00B85C33" w:rsidRPr="000F6DEF" w14:paraId="5DD07CF0" w14:textId="77777777" w:rsidTr="000376C7">
        <w:trPr>
          <w:trHeight w:val="569"/>
        </w:trPr>
        <w:tc>
          <w:tcPr>
            <w:cnfStyle w:val="001000000000" w:firstRow="0" w:lastRow="0" w:firstColumn="1" w:lastColumn="0" w:oddVBand="0" w:evenVBand="0" w:oddHBand="0" w:evenHBand="0" w:firstRowFirstColumn="0" w:firstRowLastColumn="0" w:lastRowFirstColumn="0" w:lastRowLastColumn="0"/>
            <w:tcW w:w="1271" w:type="dxa"/>
          </w:tcPr>
          <w:p w14:paraId="433D94A2" w14:textId="77777777" w:rsidR="00B85C33" w:rsidRPr="000F6DEF" w:rsidRDefault="00B85C33" w:rsidP="000376C7">
            <w:pPr>
              <w:rPr>
                <w:rFonts w:cs="Calibri"/>
                <w:sz w:val="16"/>
                <w:szCs w:val="16"/>
              </w:rPr>
            </w:pPr>
            <w:r w:rsidRPr="000F6DEF">
              <w:rPr>
                <w:rFonts w:cs="Calibri"/>
                <w:sz w:val="16"/>
                <w:szCs w:val="16"/>
              </w:rPr>
              <w:t>Ajjandaleh, Bolze, Khoury, Melchior,</w:t>
            </w:r>
            <w:r w:rsidRPr="000F6DEF">
              <w:rPr>
                <w:rFonts w:cs="Calibri"/>
                <w:sz w:val="16"/>
                <w:szCs w:val="16"/>
              </w:rPr>
              <w:br/>
              <w:t>Mary</w:t>
            </w:r>
            <w:r w:rsidRPr="000F6DEF">
              <w:rPr>
                <w:rFonts w:cs="Calibri"/>
                <w:sz w:val="16"/>
                <w:szCs w:val="16"/>
              </w:rPr>
              <w:noBreakHyphen/>
              <w:t>Krause.</w:t>
            </w:r>
          </w:p>
        </w:tc>
        <w:tc>
          <w:tcPr>
            <w:tcW w:w="2835" w:type="dxa"/>
          </w:tcPr>
          <w:p w14:paraId="2C7BD901" w14:textId="69535D4D"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Understand factors associated with </w:t>
            </w:r>
            <w:r>
              <w:rPr>
                <w:rFonts w:cs="Calibri"/>
                <w:sz w:val="16"/>
                <w:szCs w:val="16"/>
              </w:rPr>
              <w:t>e</w:t>
            </w:r>
            <w:r>
              <w:rPr>
                <w:rFonts w:cs="Calibri"/>
                <w:sz w:val="16"/>
                <w:szCs w:val="16"/>
              </w:rPr>
              <w:noBreakHyphen/>
              <w:t>cig</w:t>
            </w:r>
            <w:r w:rsidRPr="000F6DEF">
              <w:rPr>
                <w:rFonts w:cs="Calibri"/>
                <w:sz w:val="16"/>
                <w:szCs w:val="16"/>
              </w:rPr>
              <w:t>arette use in young adults in France</w:t>
            </w:r>
            <w:r w:rsidR="005500FC">
              <w:rPr>
                <w:rFonts w:cs="Calibri"/>
                <w:sz w:val="16"/>
                <w:szCs w:val="16"/>
              </w:rPr>
              <w:t>.</w:t>
            </w:r>
          </w:p>
        </w:tc>
        <w:tc>
          <w:tcPr>
            <w:tcW w:w="1134" w:type="dxa"/>
          </w:tcPr>
          <w:p w14:paraId="2640C026"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Data collected from French Trajectoires Epide ´miologiques en Population (TEMPO) </w:t>
            </w:r>
          </w:p>
        </w:tc>
        <w:tc>
          <w:tcPr>
            <w:tcW w:w="992" w:type="dxa"/>
          </w:tcPr>
          <w:p w14:paraId="1D1841E8"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France</w:t>
            </w:r>
          </w:p>
        </w:tc>
        <w:tc>
          <w:tcPr>
            <w:tcW w:w="993" w:type="dxa"/>
          </w:tcPr>
          <w:p w14:paraId="46A51B6D"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2015</w:t>
            </w:r>
          </w:p>
        </w:tc>
        <w:tc>
          <w:tcPr>
            <w:tcW w:w="1593" w:type="dxa"/>
          </w:tcPr>
          <w:p w14:paraId="4719FCA3"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Restricted to smokers=358 adults</w:t>
            </w:r>
          </w:p>
          <w:p w14:paraId="4AFDE376"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Ages: 23 to 42 years</w:t>
            </w:r>
          </w:p>
        </w:tc>
        <w:tc>
          <w:tcPr>
            <w:tcW w:w="2376" w:type="dxa"/>
          </w:tcPr>
          <w:p w14:paraId="090C1570"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NR</w:t>
            </w:r>
          </w:p>
        </w:tc>
        <w:tc>
          <w:tcPr>
            <w:tcW w:w="2268" w:type="dxa"/>
          </w:tcPr>
          <w:p w14:paraId="2F9F2EEC"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Self</w:t>
            </w:r>
            <w:r w:rsidRPr="000F6DEF">
              <w:rPr>
                <w:rFonts w:cs="Calibri"/>
                <w:sz w:val="16"/>
                <w:szCs w:val="16"/>
              </w:rPr>
              <w:noBreakHyphen/>
              <w:t>administered questionnaire</w:t>
            </w:r>
          </w:p>
        </w:tc>
        <w:tc>
          <w:tcPr>
            <w:tcW w:w="1593" w:type="dxa"/>
          </w:tcPr>
          <w:p w14:paraId="08D7E748"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Family status, quality of family relations, educational attainment, occupation and type of work contract, chronic health problems, psychoactive substance use, as well as perception of </w:t>
            </w:r>
            <w:r>
              <w:rPr>
                <w:rFonts w:cs="Calibri"/>
                <w:sz w:val="16"/>
                <w:szCs w:val="16"/>
              </w:rPr>
              <w:t>e</w:t>
            </w:r>
            <w:r>
              <w:rPr>
                <w:rFonts w:cs="Calibri"/>
                <w:sz w:val="16"/>
                <w:szCs w:val="16"/>
              </w:rPr>
              <w:noBreakHyphen/>
              <w:t>cig</w:t>
            </w:r>
            <w:r w:rsidRPr="000F6DEF">
              <w:rPr>
                <w:rFonts w:cs="Calibri"/>
                <w:sz w:val="16"/>
                <w:szCs w:val="16"/>
              </w:rPr>
              <w:t xml:space="preserve">arettes. </w:t>
            </w:r>
          </w:p>
        </w:tc>
      </w:tr>
      <w:tr w:rsidR="00B85C33" w:rsidRPr="000F6DEF" w14:paraId="1B04ADBF" w14:textId="77777777" w:rsidTr="000376C7">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1271" w:type="dxa"/>
          </w:tcPr>
          <w:p w14:paraId="2255DD7A" w14:textId="77777777" w:rsidR="00B85C33" w:rsidRPr="000F6DEF" w:rsidRDefault="00B85C33" w:rsidP="000376C7">
            <w:pPr>
              <w:rPr>
                <w:rFonts w:cs="Calibri"/>
                <w:sz w:val="16"/>
                <w:szCs w:val="16"/>
              </w:rPr>
            </w:pPr>
            <w:r w:rsidRPr="000F6DEF">
              <w:rPr>
                <w:rFonts w:cs="Calibri"/>
                <w:sz w:val="16"/>
                <w:szCs w:val="16"/>
              </w:rPr>
              <w:t>Alexander, Williams</w:t>
            </w:r>
          </w:p>
        </w:tc>
        <w:tc>
          <w:tcPr>
            <w:tcW w:w="2835" w:type="dxa"/>
          </w:tcPr>
          <w:p w14:paraId="531E6670" w14:textId="1F4276BF"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Reasons for initiation and current use qualitatively explored among users of </w:t>
            </w:r>
            <w:r>
              <w:rPr>
                <w:rFonts w:cs="Calibri"/>
                <w:sz w:val="16"/>
                <w:szCs w:val="16"/>
              </w:rPr>
              <w:t>e</w:t>
            </w:r>
            <w:r>
              <w:rPr>
                <w:rFonts w:cs="Calibri"/>
                <w:sz w:val="16"/>
                <w:szCs w:val="16"/>
              </w:rPr>
              <w:noBreakHyphen/>
              <w:t>cig</w:t>
            </w:r>
            <w:r w:rsidR="005500FC">
              <w:rPr>
                <w:rFonts w:cs="Calibri"/>
                <w:sz w:val="16"/>
                <w:szCs w:val="16"/>
              </w:rPr>
              <w:t>arettes.</w:t>
            </w:r>
          </w:p>
        </w:tc>
        <w:tc>
          <w:tcPr>
            <w:tcW w:w="1134" w:type="dxa"/>
          </w:tcPr>
          <w:p w14:paraId="504CBDB7"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NA</w:t>
            </w:r>
          </w:p>
        </w:tc>
        <w:tc>
          <w:tcPr>
            <w:tcW w:w="992" w:type="dxa"/>
          </w:tcPr>
          <w:p w14:paraId="2B16E5F4"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NR</w:t>
            </w:r>
          </w:p>
        </w:tc>
        <w:tc>
          <w:tcPr>
            <w:tcW w:w="993" w:type="dxa"/>
          </w:tcPr>
          <w:p w14:paraId="28809EA1"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NR</w:t>
            </w:r>
          </w:p>
        </w:tc>
        <w:tc>
          <w:tcPr>
            <w:tcW w:w="1593" w:type="dxa"/>
          </w:tcPr>
          <w:p w14:paraId="695249EC"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42 adolescents</w:t>
            </w:r>
          </w:p>
          <w:p w14:paraId="14EACEDC"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Ages: 14</w:t>
            </w:r>
            <w:r w:rsidRPr="000F6DEF">
              <w:rPr>
                <w:rFonts w:cs="Calibri"/>
                <w:sz w:val="16"/>
                <w:szCs w:val="16"/>
              </w:rPr>
              <w:noBreakHyphen/>
              <w:t>17</w:t>
            </w:r>
          </w:p>
        </w:tc>
        <w:tc>
          <w:tcPr>
            <w:tcW w:w="2376" w:type="dxa"/>
          </w:tcPr>
          <w:p w14:paraId="0F0E8586"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NR</w:t>
            </w:r>
          </w:p>
        </w:tc>
        <w:tc>
          <w:tcPr>
            <w:tcW w:w="2268" w:type="dxa"/>
          </w:tcPr>
          <w:p w14:paraId="3B25109D"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Four focus groups</w:t>
            </w:r>
          </w:p>
        </w:tc>
        <w:tc>
          <w:tcPr>
            <w:tcW w:w="1593" w:type="dxa"/>
          </w:tcPr>
          <w:p w14:paraId="17FB33F3"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NR</w:t>
            </w:r>
          </w:p>
        </w:tc>
      </w:tr>
      <w:tr w:rsidR="00B85C33" w:rsidRPr="000F6DEF" w14:paraId="039AA99C" w14:textId="77777777" w:rsidTr="000376C7">
        <w:trPr>
          <w:trHeight w:val="569"/>
        </w:trPr>
        <w:tc>
          <w:tcPr>
            <w:cnfStyle w:val="001000000000" w:firstRow="0" w:lastRow="0" w:firstColumn="1" w:lastColumn="0" w:oddVBand="0" w:evenVBand="0" w:oddHBand="0" w:evenHBand="0" w:firstRowFirstColumn="0" w:firstRowLastColumn="0" w:lastRowFirstColumn="0" w:lastRowLastColumn="0"/>
            <w:tcW w:w="1271" w:type="dxa"/>
          </w:tcPr>
          <w:p w14:paraId="1D8A4245" w14:textId="77777777" w:rsidR="00B85C33" w:rsidRPr="000F6DEF" w:rsidRDefault="00B85C33" w:rsidP="000376C7">
            <w:pPr>
              <w:rPr>
                <w:rFonts w:cs="Calibri"/>
                <w:sz w:val="16"/>
                <w:szCs w:val="16"/>
              </w:rPr>
            </w:pPr>
            <w:r w:rsidRPr="000F6DEF">
              <w:rPr>
                <w:rFonts w:cs="Calibri"/>
                <w:sz w:val="16"/>
                <w:szCs w:val="16"/>
              </w:rPr>
              <w:t>Ayers, Leas, Allem et al.</w:t>
            </w:r>
          </w:p>
        </w:tc>
        <w:tc>
          <w:tcPr>
            <w:tcW w:w="2835" w:type="dxa"/>
          </w:tcPr>
          <w:p w14:paraId="5C1D084A" w14:textId="53D24DC9"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We demonstrate the feasibility of a data</w:t>
            </w:r>
            <w:r w:rsidRPr="000F6DEF">
              <w:rPr>
                <w:rFonts w:cs="Calibri"/>
                <w:sz w:val="16"/>
                <w:szCs w:val="16"/>
              </w:rPr>
              <w:noBreakHyphen/>
              <w:t>driven protocol that allows the public to describe why they vape in their own words by passively monitoring public tweets</w:t>
            </w:r>
            <w:r w:rsidR="005500FC">
              <w:rPr>
                <w:rFonts w:cs="Calibri"/>
                <w:sz w:val="16"/>
                <w:szCs w:val="16"/>
              </w:rPr>
              <w:t>.</w:t>
            </w:r>
          </w:p>
        </w:tc>
        <w:tc>
          <w:tcPr>
            <w:tcW w:w="1134" w:type="dxa"/>
          </w:tcPr>
          <w:p w14:paraId="60D3D3B3"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NA</w:t>
            </w:r>
          </w:p>
        </w:tc>
        <w:tc>
          <w:tcPr>
            <w:tcW w:w="992" w:type="dxa"/>
          </w:tcPr>
          <w:p w14:paraId="396D6B8B"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Internet</w:t>
            </w:r>
          </w:p>
        </w:tc>
        <w:tc>
          <w:tcPr>
            <w:tcW w:w="993" w:type="dxa"/>
          </w:tcPr>
          <w:p w14:paraId="35C39474"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2012</w:t>
            </w:r>
            <w:r w:rsidRPr="000F6DEF">
              <w:rPr>
                <w:rFonts w:cs="Calibri"/>
                <w:sz w:val="16"/>
                <w:szCs w:val="16"/>
              </w:rPr>
              <w:noBreakHyphen/>
              <w:t>2015</w:t>
            </w:r>
          </w:p>
        </w:tc>
        <w:tc>
          <w:tcPr>
            <w:tcW w:w="1593" w:type="dxa"/>
          </w:tcPr>
          <w:p w14:paraId="2B2301A1" w14:textId="7E109148"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3.3</w:t>
            </w:r>
            <w:r w:rsidR="00571385">
              <w:rPr>
                <w:rFonts w:cs="Calibri"/>
                <w:sz w:val="16"/>
                <w:szCs w:val="16"/>
              </w:rPr>
              <w:t xml:space="preserve"> </w:t>
            </w:r>
            <w:r w:rsidRPr="000F6DEF">
              <w:rPr>
                <w:rFonts w:cs="Calibri"/>
                <w:sz w:val="16"/>
                <w:szCs w:val="16"/>
              </w:rPr>
              <w:t>mil</w:t>
            </w:r>
            <w:r w:rsidR="00571385">
              <w:rPr>
                <w:rFonts w:cs="Calibri"/>
                <w:sz w:val="16"/>
                <w:szCs w:val="16"/>
              </w:rPr>
              <w:t>lion</w:t>
            </w:r>
            <w:r w:rsidRPr="000F6DEF">
              <w:rPr>
                <w:rFonts w:cs="Calibri"/>
                <w:sz w:val="16"/>
                <w:szCs w:val="16"/>
              </w:rPr>
              <w:t xml:space="preserve"> tweets</w:t>
            </w:r>
          </w:p>
        </w:tc>
        <w:tc>
          <w:tcPr>
            <w:tcW w:w="2376" w:type="dxa"/>
          </w:tcPr>
          <w:p w14:paraId="79024F02"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3.3 million public tweets from 2012 and 2015 that was collected from the Twitter API by searching for the following ENDS</w:t>
            </w:r>
            <w:r w:rsidRPr="000F6DEF">
              <w:rPr>
                <w:rFonts w:cs="Calibri"/>
                <w:sz w:val="16"/>
                <w:szCs w:val="16"/>
              </w:rPr>
              <w:noBreakHyphen/>
              <w:t xml:space="preserve">related keywords: electronic cigarette(s), electronic cig(s), e cig(s), </w:t>
            </w:r>
            <w:r>
              <w:rPr>
                <w:rFonts w:cs="Calibri"/>
                <w:sz w:val="16"/>
                <w:szCs w:val="16"/>
              </w:rPr>
              <w:t>e</w:t>
            </w:r>
            <w:r>
              <w:rPr>
                <w:rFonts w:cs="Calibri"/>
                <w:sz w:val="16"/>
                <w:szCs w:val="16"/>
              </w:rPr>
              <w:noBreakHyphen/>
              <w:t>cig</w:t>
            </w:r>
            <w:r w:rsidRPr="000F6DEF">
              <w:rPr>
                <w:rFonts w:cs="Calibri"/>
                <w:sz w:val="16"/>
                <w:szCs w:val="16"/>
              </w:rPr>
              <w:t xml:space="preserve">(s), eking(s), e cigarette(s), </w:t>
            </w:r>
            <w:r>
              <w:rPr>
                <w:rFonts w:cs="Calibri"/>
                <w:sz w:val="16"/>
                <w:szCs w:val="16"/>
              </w:rPr>
              <w:t>e</w:t>
            </w:r>
            <w:r>
              <w:rPr>
                <w:rFonts w:cs="Calibri"/>
                <w:sz w:val="16"/>
                <w:szCs w:val="16"/>
              </w:rPr>
              <w:noBreakHyphen/>
              <w:t>cig</w:t>
            </w:r>
            <w:r w:rsidRPr="000F6DEF">
              <w:rPr>
                <w:rFonts w:cs="Calibri"/>
                <w:sz w:val="16"/>
                <w:szCs w:val="16"/>
              </w:rPr>
              <w:t xml:space="preserve">arette(s), </w:t>
            </w:r>
            <w:r>
              <w:rPr>
                <w:rFonts w:cs="Calibri"/>
                <w:sz w:val="16"/>
                <w:szCs w:val="16"/>
              </w:rPr>
              <w:t>e</w:t>
            </w:r>
            <w:r>
              <w:rPr>
                <w:rFonts w:cs="Calibri"/>
                <w:sz w:val="16"/>
                <w:szCs w:val="16"/>
              </w:rPr>
              <w:noBreakHyphen/>
              <w:t>cig</w:t>
            </w:r>
            <w:r w:rsidRPr="000F6DEF">
              <w:rPr>
                <w:rFonts w:cs="Calibri"/>
                <w:sz w:val="16"/>
                <w:szCs w:val="16"/>
              </w:rPr>
              <w:t>arette(s), vape(s), vaper(s), and vaping</w:t>
            </w:r>
          </w:p>
        </w:tc>
        <w:tc>
          <w:tcPr>
            <w:tcW w:w="2268" w:type="dxa"/>
          </w:tcPr>
          <w:p w14:paraId="689DF18A"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Screened data for irrelevant and spam tweets using machine learning then identified reasons for use</w:t>
            </w:r>
          </w:p>
        </w:tc>
        <w:tc>
          <w:tcPr>
            <w:tcW w:w="1593" w:type="dxa"/>
          </w:tcPr>
          <w:p w14:paraId="0E48380B"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NA</w:t>
            </w:r>
          </w:p>
        </w:tc>
      </w:tr>
      <w:tr w:rsidR="00B85C33" w:rsidRPr="000F6DEF" w14:paraId="5A2C4A86" w14:textId="77777777" w:rsidTr="000376C7">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1271" w:type="dxa"/>
          </w:tcPr>
          <w:p w14:paraId="5F696E35" w14:textId="77777777" w:rsidR="00B85C33" w:rsidRPr="000F6DEF" w:rsidRDefault="00B85C33" w:rsidP="000376C7">
            <w:pPr>
              <w:rPr>
                <w:rFonts w:cs="Calibri"/>
                <w:sz w:val="16"/>
                <w:szCs w:val="16"/>
              </w:rPr>
            </w:pPr>
            <w:r w:rsidRPr="000F6DEF">
              <w:rPr>
                <w:rFonts w:cs="Calibri"/>
                <w:sz w:val="16"/>
                <w:szCs w:val="16"/>
              </w:rPr>
              <w:t>Azagba</w:t>
            </w:r>
          </w:p>
        </w:tc>
        <w:tc>
          <w:tcPr>
            <w:tcW w:w="2835" w:type="dxa"/>
          </w:tcPr>
          <w:p w14:paraId="6AB5CB5B" w14:textId="4AACC62F"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The current study examined associations between </w:t>
            </w:r>
            <w:r>
              <w:rPr>
                <w:rFonts w:cs="Calibri"/>
                <w:sz w:val="16"/>
                <w:szCs w:val="16"/>
              </w:rPr>
              <w:t>e</w:t>
            </w:r>
            <w:r>
              <w:rPr>
                <w:rFonts w:cs="Calibri"/>
                <w:sz w:val="16"/>
                <w:szCs w:val="16"/>
              </w:rPr>
              <w:noBreakHyphen/>
              <w:t>cig</w:t>
            </w:r>
            <w:r w:rsidRPr="000F6DEF">
              <w:rPr>
                <w:rFonts w:cs="Calibri"/>
                <w:sz w:val="16"/>
                <w:szCs w:val="16"/>
              </w:rPr>
              <w:t xml:space="preserve">arette use, dual use of </w:t>
            </w:r>
            <w:r>
              <w:rPr>
                <w:rFonts w:cs="Calibri"/>
                <w:sz w:val="16"/>
                <w:szCs w:val="16"/>
              </w:rPr>
              <w:t>e</w:t>
            </w:r>
            <w:r>
              <w:rPr>
                <w:rFonts w:cs="Calibri"/>
                <w:sz w:val="16"/>
                <w:szCs w:val="16"/>
              </w:rPr>
              <w:noBreakHyphen/>
              <w:t>cig</w:t>
            </w:r>
            <w:r w:rsidRPr="000F6DEF">
              <w:rPr>
                <w:rFonts w:cs="Calibri"/>
                <w:sz w:val="16"/>
                <w:szCs w:val="16"/>
              </w:rPr>
              <w:t>arettes and tobacco cigarettes, and frequency of cannabis use</w:t>
            </w:r>
            <w:r w:rsidR="005500FC">
              <w:rPr>
                <w:rFonts w:cs="Calibri"/>
                <w:sz w:val="16"/>
                <w:szCs w:val="16"/>
              </w:rPr>
              <w:t>.</w:t>
            </w:r>
          </w:p>
        </w:tc>
        <w:tc>
          <w:tcPr>
            <w:tcW w:w="1134" w:type="dxa"/>
          </w:tcPr>
          <w:p w14:paraId="5B4755AC"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2014</w:t>
            </w:r>
            <w:r w:rsidRPr="000F6DEF">
              <w:rPr>
                <w:rFonts w:cs="Calibri"/>
                <w:sz w:val="16"/>
                <w:szCs w:val="16"/>
              </w:rPr>
              <w:noBreakHyphen/>
              <w:t xml:space="preserve">2015 Canadian Student Tobacco, </w:t>
            </w:r>
            <w:r w:rsidRPr="000F6DEF">
              <w:rPr>
                <w:rFonts w:cs="Calibri"/>
                <w:sz w:val="16"/>
                <w:szCs w:val="16"/>
              </w:rPr>
              <w:lastRenderedPageBreak/>
              <w:t>Alcohol and Drugs Survey</w:t>
            </w:r>
            <w:r w:rsidRPr="000F6DEF">
              <w:rPr>
                <w:rFonts w:cs="Calibri"/>
                <w:sz w:val="16"/>
                <w:szCs w:val="16"/>
              </w:rPr>
              <w:br/>
              <w:t xml:space="preserve">The CSTADS </w:t>
            </w:r>
          </w:p>
        </w:tc>
        <w:tc>
          <w:tcPr>
            <w:tcW w:w="992" w:type="dxa"/>
          </w:tcPr>
          <w:p w14:paraId="5AAE8BBD"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lastRenderedPageBreak/>
              <w:t>Canada</w:t>
            </w:r>
          </w:p>
        </w:tc>
        <w:tc>
          <w:tcPr>
            <w:tcW w:w="993" w:type="dxa"/>
          </w:tcPr>
          <w:p w14:paraId="7533ACD8"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2014</w:t>
            </w:r>
            <w:r w:rsidRPr="000F6DEF">
              <w:rPr>
                <w:rFonts w:cs="Calibri"/>
                <w:sz w:val="16"/>
                <w:szCs w:val="16"/>
              </w:rPr>
              <w:noBreakHyphen/>
              <w:t>2015</w:t>
            </w:r>
          </w:p>
        </w:tc>
        <w:tc>
          <w:tcPr>
            <w:tcW w:w="1593" w:type="dxa"/>
          </w:tcPr>
          <w:p w14:paraId="5A7ADCD8" w14:textId="30612AC5"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23,429 in survey</w:t>
            </w:r>
            <w:r w:rsidRPr="000F6DEF">
              <w:rPr>
                <w:rFonts w:cs="Calibri"/>
                <w:sz w:val="16"/>
                <w:szCs w:val="16"/>
              </w:rPr>
              <w:br/>
              <w:t>23,429 students in grades 9 to 12</w:t>
            </w:r>
          </w:p>
          <w:p w14:paraId="36772668"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lastRenderedPageBreak/>
              <w:t>51% male</w:t>
            </w:r>
          </w:p>
        </w:tc>
        <w:tc>
          <w:tcPr>
            <w:tcW w:w="2376" w:type="dxa"/>
          </w:tcPr>
          <w:p w14:paraId="140938C1"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lastRenderedPageBreak/>
              <w:t> </w:t>
            </w:r>
          </w:p>
        </w:tc>
        <w:tc>
          <w:tcPr>
            <w:tcW w:w="2268" w:type="dxa"/>
          </w:tcPr>
          <w:p w14:paraId="40D2F6D7"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NR</w:t>
            </w:r>
          </w:p>
        </w:tc>
        <w:tc>
          <w:tcPr>
            <w:tcW w:w="1593" w:type="dxa"/>
          </w:tcPr>
          <w:p w14:paraId="78546ED1" w14:textId="0E38CF3A"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Cannabis use</w:t>
            </w:r>
            <w:r w:rsidRPr="000F6DEF">
              <w:rPr>
                <w:rFonts w:cs="Calibri"/>
                <w:sz w:val="16"/>
                <w:szCs w:val="16"/>
              </w:rPr>
              <w:br/>
            </w:r>
            <w:r>
              <w:rPr>
                <w:rFonts w:cs="Calibri"/>
                <w:sz w:val="16"/>
                <w:szCs w:val="16"/>
              </w:rPr>
              <w:t>e</w:t>
            </w:r>
            <w:r>
              <w:rPr>
                <w:rFonts w:cs="Calibri"/>
                <w:sz w:val="16"/>
                <w:szCs w:val="16"/>
              </w:rPr>
              <w:noBreakHyphen/>
              <w:t>cig</w:t>
            </w:r>
            <w:r w:rsidRPr="000F6DEF">
              <w:rPr>
                <w:rFonts w:cs="Calibri"/>
                <w:sz w:val="16"/>
                <w:szCs w:val="16"/>
              </w:rPr>
              <w:t>arette use</w:t>
            </w:r>
            <w:r w:rsidRPr="000F6DEF">
              <w:rPr>
                <w:rFonts w:cs="Calibri"/>
                <w:sz w:val="16"/>
                <w:szCs w:val="16"/>
              </w:rPr>
              <w:br/>
              <w:t>Cig</w:t>
            </w:r>
            <w:r w:rsidR="00571385">
              <w:rPr>
                <w:rFonts w:cs="Calibri"/>
                <w:sz w:val="16"/>
                <w:szCs w:val="16"/>
              </w:rPr>
              <w:t>arette</w:t>
            </w:r>
            <w:r w:rsidRPr="000F6DEF">
              <w:rPr>
                <w:rFonts w:cs="Calibri"/>
                <w:sz w:val="16"/>
                <w:szCs w:val="16"/>
              </w:rPr>
              <w:t xml:space="preserve"> use</w:t>
            </w:r>
            <w:r w:rsidRPr="000F6DEF">
              <w:rPr>
                <w:rFonts w:cs="Calibri"/>
                <w:sz w:val="16"/>
                <w:szCs w:val="16"/>
              </w:rPr>
              <w:br/>
              <w:t xml:space="preserve">Students' perceptions </w:t>
            </w:r>
            <w:r w:rsidRPr="000F6DEF">
              <w:rPr>
                <w:rFonts w:cs="Calibri"/>
                <w:sz w:val="16"/>
                <w:szCs w:val="16"/>
              </w:rPr>
              <w:lastRenderedPageBreak/>
              <w:t xml:space="preserve">about the risk of regular cannabis use </w:t>
            </w:r>
          </w:p>
        </w:tc>
      </w:tr>
      <w:tr w:rsidR="00B85C33" w:rsidRPr="000F6DEF" w14:paraId="509D01D1" w14:textId="77777777" w:rsidTr="000376C7">
        <w:trPr>
          <w:trHeight w:val="569"/>
        </w:trPr>
        <w:tc>
          <w:tcPr>
            <w:cnfStyle w:val="001000000000" w:firstRow="0" w:lastRow="0" w:firstColumn="1" w:lastColumn="0" w:oddVBand="0" w:evenVBand="0" w:oddHBand="0" w:evenHBand="0" w:firstRowFirstColumn="0" w:firstRowLastColumn="0" w:lastRowFirstColumn="0" w:lastRowLastColumn="0"/>
            <w:tcW w:w="1271" w:type="dxa"/>
          </w:tcPr>
          <w:p w14:paraId="7033E798" w14:textId="77777777" w:rsidR="00B85C33" w:rsidRPr="000F6DEF" w:rsidRDefault="00B85C33" w:rsidP="000376C7">
            <w:pPr>
              <w:rPr>
                <w:rFonts w:cs="Calibri"/>
                <w:sz w:val="16"/>
                <w:szCs w:val="16"/>
              </w:rPr>
            </w:pPr>
            <w:r w:rsidRPr="000F6DEF">
              <w:rPr>
                <w:rFonts w:cs="Calibri"/>
                <w:sz w:val="16"/>
                <w:szCs w:val="16"/>
              </w:rPr>
              <w:lastRenderedPageBreak/>
              <w:t>Azagba, Baskerville, Foley</w:t>
            </w:r>
          </w:p>
        </w:tc>
        <w:tc>
          <w:tcPr>
            <w:tcW w:w="2835" w:type="dxa"/>
          </w:tcPr>
          <w:p w14:paraId="1248A829" w14:textId="37281973"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This study examined the association between </w:t>
            </w:r>
            <w:r>
              <w:rPr>
                <w:rFonts w:cs="Calibri"/>
                <w:sz w:val="16"/>
                <w:szCs w:val="16"/>
              </w:rPr>
              <w:t>e</w:t>
            </w:r>
            <w:r>
              <w:rPr>
                <w:rFonts w:cs="Calibri"/>
                <w:sz w:val="16"/>
                <w:szCs w:val="16"/>
              </w:rPr>
              <w:noBreakHyphen/>
              <w:t>cig</w:t>
            </w:r>
            <w:r w:rsidRPr="000F6DEF">
              <w:rPr>
                <w:rFonts w:cs="Calibri"/>
                <w:sz w:val="16"/>
                <w:szCs w:val="16"/>
              </w:rPr>
              <w:t>arette use and future intention to smoke cigarettes among middle and high school students who had never smoked cigarette</w:t>
            </w:r>
            <w:r w:rsidR="005500FC">
              <w:rPr>
                <w:rFonts w:cs="Calibri"/>
                <w:sz w:val="16"/>
                <w:szCs w:val="16"/>
              </w:rPr>
              <w:t>.</w:t>
            </w:r>
          </w:p>
        </w:tc>
        <w:tc>
          <w:tcPr>
            <w:tcW w:w="1134" w:type="dxa"/>
          </w:tcPr>
          <w:p w14:paraId="0867DCC7"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2014</w:t>
            </w:r>
            <w:r w:rsidRPr="000F6DEF">
              <w:rPr>
                <w:rFonts w:cs="Calibri"/>
                <w:sz w:val="16"/>
                <w:szCs w:val="16"/>
              </w:rPr>
              <w:noBreakHyphen/>
              <w:t>2015 Canadian Student Tobacco, Alcohol and Drugs Survey</w:t>
            </w:r>
          </w:p>
        </w:tc>
        <w:tc>
          <w:tcPr>
            <w:tcW w:w="992" w:type="dxa"/>
          </w:tcPr>
          <w:p w14:paraId="138D7465"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Canada</w:t>
            </w:r>
          </w:p>
        </w:tc>
        <w:tc>
          <w:tcPr>
            <w:tcW w:w="993" w:type="dxa"/>
          </w:tcPr>
          <w:p w14:paraId="34B6FFB6"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October 2014 and May 2015</w:t>
            </w:r>
          </w:p>
        </w:tc>
        <w:tc>
          <w:tcPr>
            <w:tcW w:w="1593" w:type="dxa"/>
          </w:tcPr>
          <w:p w14:paraId="6B7CCBB8" w14:textId="76FF9912"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42</w:t>
            </w:r>
            <w:r w:rsidR="00571385">
              <w:rPr>
                <w:rFonts w:cs="Calibri"/>
                <w:sz w:val="16"/>
                <w:szCs w:val="16"/>
              </w:rPr>
              <w:t>,</w:t>
            </w:r>
            <w:r w:rsidRPr="000F6DEF">
              <w:rPr>
                <w:rFonts w:cs="Calibri"/>
                <w:sz w:val="16"/>
                <w:szCs w:val="16"/>
              </w:rPr>
              <w:t>094 original respondents</w:t>
            </w:r>
            <w:r w:rsidRPr="000F6DEF">
              <w:rPr>
                <w:rFonts w:cs="Calibri"/>
                <w:sz w:val="16"/>
                <w:szCs w:val="16"/>
              </w:rPr>
              <w:br/>
              <w:t>25</w:t>
            </w:r>
            <w:r w:rsidR="00571385">
              <w:rPr>
                <w:rFonts w:cs="Calibri"/>
                <w:sz w:val="16"/>
                <w:szCs w:val="16"/>
              </w:rPr>
              <w:t>,</w:t>
            </w:r>
            <w:r w:rsidRPr="000F6DEF">
              <w:rPr>
                <w:rFonts w:cs="Calibri"/>
                <w:sz w:val="16"/>
                <w:szCs w:val="16"/>
              </w:rPr>
              <w:t>637 (restricted to Grades 7</w:t>
            </w:r>
            <w:r w:rsidRPr="000F6DEF">
              <w:rPr>
                <w:rFonts w:cs="Calibri"/>
                <w:sz w:val="16"/>
                <w:szCs w:val="16"/>
              </w:rPr>
              <w:noBreakHyphen/>
              <w:t>12)</w:t>
            </w:r>
          </w:p>
          <w:p w14:paraId="2DA0538C"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50.9</w:t>
            </w:r>
            <w:r w:rsidRPr="000F6DEF">
              <w:rPr>
                <w:rFonts w:cs="Calibri"/>
                <w:sz w:val="16"/>
                <w:szCs w:val="16"/>
              </w:rPr>
              <w:noBreakHyphen/>
              <w:t>49.8% male</w:t>
            </w:r>
          </w:p>
        </w:tc>
        <w:tc>
          <w:tcPr>
            <w:tcW w:w="2376" w:type="dxa"/>
          </w:tcPr>
          <w:p w14:paraId="7AB1E584"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Stratified, single stage cluster design with strata based on health region smoking rates and type of school</w:t>
            </w:r>
          </w:p>
        </w:tc>
        <w:tc>
          <w:tcPr>
            <w:tcW w:w="2268" w:type="dxa"/>
          </w:tcPr>
          <w:p w14:paraId="15BEF9FC"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Teacher administered paper questionnaire in classroom. Sealed and coded by Optimal Software</w:t>
            </w:r>
          </w:p>
        </w:tc>
        <w:tc>
          <w:tcPr>
            <w:tcW w:w="1593" w:type="dxa"/>
          </w:tcPr>
          <w:p w14:paraId="5A88E3EE"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Susceptibility to smoking based on collection of questions</w:t>
            </w:r>
            <w:r w:rsidRPr="000F6DEF">
              <w:rPr>
                <w:rFonts w:cs="Calibri"/>
                <w:sz w:val="16"/>
                <w:szCs w:val="16"/>
              </w:rPr>
              <w:br/>
              <w:t xml:space="preserve">Ever </w:t>
            </w:r>
            <w:r>
              <w:rPr>
                <w:rFonts w:cs="Calibri"/>
                <w:sz w:val="16"/>
                <w:szCs w:val="16"/>
              </w:rPr>
              <w:t>e</w:t>
            </w:r>
            <w:r>
              <w:rPr>
                <w:rFonts w:cs="Calibri"/>
                <w:sz w:val="16"/>
                <w:szCs w:val="16"/>
              </w:rPr>
              <w:noBreakHyphen/>
              <w:t>cig</w:t>
            </w:r>
            <w:r w:rsidRPr="000F6DEF">
              <w:rPr>
                <w:rFonts w:cs="Calibri"/>
                <w:sz w:val="16"/>
                <w:szCs w:val="16"/>
              </w:rPr>
              <w:t>arette use</w:t>
            </w:r>
            <w:r w:rsidRPr="000F6DEF">
              <w:rPr>
                <w:rFonts w:cs="Calibri"/>
                <w:sz w:val="16"/>
                <w:szCs w:val="16"/>
              </w:rPr>
              <w:br/>
              <w:t xml:space="preserve">Current </w:t>
            </w:r>
            <w:r>
              <w:rPr>
                <w:rFonts w:cs="Calibri"/>
                <w:sz w:val="16"/>
                <w:szCs w:val="16"/>
              </w:rPr>
              <w:t>e</w:t>
            </w:r>
            <w:r>
              <w:rPr>
                <w:rFonts w:cs="Calibri"/>
                <w:sz w:val="16"/>
                <w:szCs w:val="16"/>
              </w:rPr>
              <w:noBreakHyphen/>
              <w:t>cig</w:t>
            </w:r>
            <w:r w:rsidRPr="000F6DEF">
              <w:rPr>
                <w:rFonts w:cs="Calibri"/>
                <w:sz w:val="16"/>
                <w:szCs w:val="16"/>
              </w:rPr>
              <w:t>arette use</w:t>
            </w:r>
            <w:r w:rsidRPr="000F6DEF">
              <w:rPr>
                <w:rFonts w:cs="Calibri"/>
                <w:sz w:val="16"/>
                <w:szCs w:val="16"/>
              </w:rPr>
              <w:br/>
              <w:t>Socio</w:t>
            </w:r>
            <w:r w:rsidRPr="000F6DEF">
              <w:rPr>
                <w:rFonts w:cs="Calibri"/>
                <w:sz w:val="16"/>
                <w:szCs w:val="16"/>
              </w:rPr>
              <w:noBreakHyphen/>
              <w:t>demographics</w:t>
            </w:r>
          </w:p>
        </w:tc>
      </w:tr>
      <w:tr w:rsidR="00B85C33" w:rsidRPr="000F6DEF" w14:paraId="41031C01" w14:textId="77777777" w:rsidTr="000376C7">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1271" w:type="dxa"/>
          </w:tcPr>
          <w:p w14:paraId="325B9F65" w14:textId="77777777" w:rsidR="00B85C33" w:rsidRPr="000F6DEF" w:rsidRDefault="00B85C33" w:rsidP="000376C7">
            <w:pPr>
              <w:rPr>
                <w:rFonts w:cs="Calibri"/>
                <w:sz w:val="16"/>
                <w:szCs w:val="16"/>
              </w:rPr>
            </w:pPr>
            <w:r w:rsidRPr="000F6DEF">
              <w:rPr>
                <w:rFonts w:cs="Calibri"/>
                <w:sz w:val="16"/>
                <w:szCs w:val="16"/>
              </w:rPr>
              <w:t>Azagba, Wolfson</w:t>
            </w:r>
          </w:p>
        </w:tc>
        <w:tc>
          <w:tcPr>
            <w:tcW w:w="2835" w:type="dxa"/>
          </w:tcPr>
          <w:p w14:paraId="7FFEB1D1"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The objective of the present study was to examine the association between current </w:t>
            </w:r>
            <w:r>
              <w:rPr>
                <w:rFonts w:cs="Calibri"/>
                <w:sz w:val="16"/>
                <w:szCs w:val="16"/>
              </w:rPr>
              <w:t>e</w:t>
            </w:r>
            <w:r>
              <w:rPr>
                <w:rFonts w:cs="Calibri"/>
                <w:sz w:val="16"/>
                <w:szCs w:val="16"/>
              </w:rPr>
              <w:noBreakHyphen/>
              <w:t>cig</w:t>
            </w:r>
            <w:r w:rsidRPr="000F6DEF">
              <w:rPr>
                <w:rFonts w:cs="Calibri"/>
                <w:sz w:val="16"/>
                <w:szCs w:val="16"/>
              </w:rPr>
              <w:t>arette use and quantity of cigarette smoking.</w:t>
            </w:r>
          </w:p>
        </w:tc>
        <w:tc>
          <w:tcPr>
            <w:tcW w:w="1134" w:type="dxa"/>
          </w:tcPr>
          <w:p w14:paraId="68F88DBE"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2014</w:t>
            </w:r>
            <w:r w:rsidRPr="000F6DEF">
              <w:rPr>
                <w:rFonts w:cs="Calibri"/>
                <w:sz w:val="16"/>
                <w:szCs w:val="16"/>
              </w:rPr>
              <w:noBreakHyphen/>
              <w:t>2015 Canadian Student Tobacco, Alcohol and Drugs Survey</w:t>
            </w:r>
          </w:p>
        </w:tc>
        <w:tc>
          <w:tcPr>
            <w:tcW w:w="992" w:type="dxa"/>
          </w:tcPr>
          <w:p w14:paraId="2262A4BE"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Canada</w:t>
            </w:r>
          </w:p>
        </w:tc>
        <w:tc>
          <w:tcPr>
            <w:tcW w:w="993" w:type="dxa"/>
          </w:tcPr>
          <w:p w14:paraId="3D56C405"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October 2014 and May 2015</w:t>
            </w:r>
          </w:p>
        </w:tc>
        <w:tc>
          <w:tcPr>
            <w:tcW w:w="1593" w:type="dxa"/>
          </w:tcPr>
          <w:p w14:paraId="44AADA18" w14:textId="3C56AD31"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n=1</w:t>
            </w:r>
            <w:r w:rsidR="00326E8E">
              <w:rPr>
                <w:rFonts w:cs="Calibri"/>
                <w:sz w:val="16"/>
                <w:szCs w:val="16"/>
              </w:rPr>
              <w:t>,</w:t>
            </w:r>
            <w:r w:rsidRPr="000F6DEF">
              <w:rPr>
                <w:rFonts w:cs="Calibri"/>
                <w:sz w:val="16"/>
                <w:szCs w:val="16"/>
              </w:rPr>
              <w:t>411 for this analysis; Current smokers only</w:t>
            </w:r>
          </w:p>
          <w:p w14:paraId="697DA23C"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53% male</w:t>
            </w:r>
          </w:p>
        </w:tc>
        <w:tc>
          <w:tcPr>
            <w:tcW w:w="2376" w:type="dxa"/>
          </w:tcPr>
          <w:p w14:paraId="13C5B7A2"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Stratified, single stage cluster design with strata based on health region smoking rates and type of school</w:t>
            </w:r>
          </w:p>
        </w:tc>
        <w:tc>
          <w:tcPr>
            <w:tcW w:w="2268" w:type="dxa"/>
          </w:tcPr>
          <w:p w14:paraId="2322818B"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NR</w:t>
            </w:r>
          </w:p>
        </w:tc>
        <w:tc>
          <w:tcPr>
            <w:tcW w:w="1593" w:type="dxa"/>
          </w:tcPr>
          <w:p w14:paraId="7DD0741B" w14:textId="3472AACE"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Quantity of cig</w:t>
            </w:r>
            <w:r w:rsidR="00571385">
              <w:rPr>
                <w:rFonts w:cs="Calibri"/>
                <w:sz w:val="16"/>
                <w:szCs w:val="16"/>
              </w:rPr>
              <w:t xml:space="preserve">arette </w:t>
            </w:r>
            <w:r w:rsidRPr="000F6DEF">
              <w:rPr>
                <w:rFonts w:cs="Calibri"/>
                <w:sz w:val="16"/>
                <w:szCs w:val="16"/>
              </w:rPr>
              <w:t>smoking</w:t>
            </w:r>
            <w:r w:rsidRPr="000F6DEF">
              <w:rPr>
                <w:rFonts w:cs="Calibri"/>
                <w:sz w:val="16"/>
                <w:szCs w:val="16"/>
              </w:rPr>
              <w:br/>
              <w:t>Demographics</w:t>
            </w:r>
          </w:p>
        </w:tc>
      </w:tr>
      <w:tr w:rsidR="00B85C33" w:rsidRPr="000F6DEF" w14:paraId="7DB3D5D2" w14:textId="77777777" w:rsidTr="000376C7">
        <w:trPr>
          <w:trHeight w:val="569"/>
        </w:trPr>
        <w:tc>
          <w:tcPr>
            <w:cnfStyle w:val="001000000000" w:firstRow="0" w:lastRow="0" w:firstColumn="1" w:lastColumn="0" w:oddVBand="0" w:evenVBand="0" w:oddHBand="0" w:evenHBand="0" w:firstRowFirstColumn="0" w:firstRowLastColumn="0" w:lastRowFirstColumn="0" w:lastRowLastColumn="0"/>
            <w:tcW w:w="1271" w:type="dxa"/>
          </w:tcPr>
          <w:p w14:paraId="2F56374B" w14:textId="77777777" w:rsidR="00B85C33" w:rsidRPr="000F6DEF" w:rsidRDefault="00B85C33" w:rsidP="000376C7">
            <w:pPr>
              <w:rPr>
                <w:rFonts w:cs="Calibri"/>
                <w:sz w:val="16"/>
                <w:szCs w:val="16"/>
              </w:rPr>
            </w:pPr>
            <w:r w:rsidRPr="000F6DEF">
              <w:rPr>
                <w:rFonts w:cs="Calibri"/>
                <w:sz w:val="16"/>
                <w:szCs w:val="16"/>
              </w:rPr>
              <w:t>Balogh, Faubl et al 2018</w:t>
            </w:r>
          </w:p>
        </w:tc>
        <w:tc>
          <w:tcPr>
            <w:tcW w:w="2835" w:type="dxa"/>
          </w:tcPr>
          <w:p w14:paraId="1994056D" w14:textId="6E6CB818"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Explore cigarette, waterpipe and </w:t>
            </w:r>
            <w:r>
              <w:rPr>
                <w:rFonts w:cs="Calibri"/>
                <w:sz w:val="16"/>
                <w:szCs w:val="16"/>
              </w:rPr>
              <w:t>e</w:t>
            </w:r>
            <w:r>
              <w:rPr>
                <w:rFonts w:cs="Calibri"/>
                <w:sz w:val="16"/>
                <w:szCs w:val="16"/>
              </w:rPr>
              <w:noBreakHyphen/>
              <w:t>cig</w:t>
            </w:r>
            <w:r w:rsidRPr="000F6DEF">
              <w:rPr>
                <w:rFonts w:cs="Calibri"/>
                <w:sz w:val="16"/>
                <w:szCs w:val="16"/>
              </w:rPr>
              <w:t>arette use among an international sample of medical students</w:t>
            </w:r>
            <w:r w:rsidR="005500FC">
              <w:rPr>
                <w:rFonts w:cs="Calibri"/>
                <w:sz w:val="16"/>
                <w:szCs w:val="16"/>
              </w:rPr>
              <w:t>.</w:t>
            </w:r>
          </w:p>
        </w:tc>
        <w:tc>
          <w:tcPr>
            <w:tcW w:w="1134" w:type="dxa"/>
          </w:tcPr>
          <w:p w14:paraId="5EA0DD85"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Researcher's survey (based on selected items from validated instruments eg 36</w:t>
            </w:r>
            <w:r w:rsidRPr="000F6DEF">
              <w:rPr>
                <w:rFonts w:cs="Calibri"/>
                <w:sz w:val="16"/>
                <w:szCs w:val="16"/>
              </w:rPr>
              <w:noBreakHyphen/>
              <w:t>item short form survey instrument</w:t>
            </w:r>
          </w:p>
        </w:tc>
        <w:tc>
          <w:tcPr>
            <w:tcW w:w="992" w:type="dxa"/>
          </w:tcPr>
          <w:p w14:paraId="5C5F16A0"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Hungary and Germany</w:t>
            </w:r>
          </w:p>
        </w:tc>
        <w:tc>
          <w:tcPr>
            <w:tcW w:w="993" w:type="dxa"/>
          </w:tcPr>
          <w:p w14:paraId="46F3D3C3"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2014</w:t>
            </w:r>
          </w:p>
        </w:tc>
        <w:tc>
          <w:tcPr>
            <w:tcW w:w="1593" w:type="dxa"/>
          </w:tcPr>
          <w:p w14:paraId="130FBF4D" w14:textId="46A03E2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2</w:t>
            </w:r>
            <w:r w:rsidR="00571385">
              <w:rPr>
                <w:rFonts w:cs="Calibri"/>
                <w:sz w:val="16"/>
                <w:szCs w:val="16"/>
              </w:rPr>
              <w:t>,</w:t>
            </w:r>
            <w:r w:rsidRPr="000F6DEF">
              <w:rPr>
                <w:rFonts w:cs="Calibri"/>
                <w:sz w:val="16"/>
                <w:szCs w:val="16"/>
              </w:rPr>
              <w:t>935, 22.5(SE3.3), 39% male</w:t>
            </w:r>
          </w:p>
        </w:tc>
        <w:tc>
          <w:tcPr>
            <w:tcW w:w="2376" w:type="dxa"/>
          </w:tcPr>
          <w:p w14:paraId="5E2AB02F"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All registered medical students were invited to participate in survey</w:t>
            </w:r>
          </w:p>
        </w:tc>
        <w:tc>
          <w:tcPr>
            <w:tcW w:w="2268" w:type="dxa"/>
          </w:tcPr>
          <w:p w14:paraId="26B5D24B"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Self</w:t>
            </w:r>
            <w:r w:rsidRPr="000F6DEF">
              <w:rPr>
                <w:rFonts w:cs="Calibri"/>
                <w:sz w:val="16"/>
                <w:szCs w:val="16"/>
              </w:rPr>
              <w:noBreakHyphen/>
              <w:t xml:space="preserve">administered questionnaire </w:t>
            </w:r>
          </w:p>
        </w:tc>
        <w:tc>
          <w:tcPr>
            <w:tcW w:w="1593" w:type="dxa"/>
          </w:tcPr>
          <w:p w14:paraId="28514B35" w14:textId="77777777" w:rsidR="00B85C33" w:rsidRPr="000F6DEF" w:rsidRDefault="00B85C33" w:rsidP="000376C7">
            <w:pPr>
              <w:spacing w:after="0"/>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Demographics</w:t>
            </w:r>
          </w:p>
          <w:p w14:paraId="51BF006D" w14:textId="77777777" w:rsidR="00B85C33" w:rsidRPr="000F6DEF" w:rsidRDefault="00B85C33" w:rsidP="000376C7">
            <w:pPr>
              <w:spacing w:after="0"/>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self</w:t>
            </w:r>
            <w:r w:rsidRPr="000F6DEF">
              <w:rPr>
                <w:rFonts w:cs="Calibri"/>
                <w:sz w:val="16"/>
                <w:szCs w:val="16"/>
              </w:rPr>
              <w:noBreakHyphen/>
              <w:t>reported health status</w:t>
            </w:r>
          </w:p>
          <w:p w14:paraId="27803D13" w14:textId="77777777" w:rsidR="00B85C33" w:rsidRPr="000F6DEF" w:rsidRDefault="00B85C33" w:rsidP="000376C7">
            <w:pPr>
              <w:spacing w:after="0"/>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data on risk behaviours incl tobacco consumption</w:t>
            </w:r>
          </w:p>
        </w:tc>
      </w:tr>
      <w:tr w:rsidR="00B85C33" w:rsidRPr="000F6DEF" w14:paraId="6B414C77" w14:textId="77777777" w:rsidTr="000376C7">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1271" w:type="dxa"/>
          </w:tcPr>
          <w:p w14:paraId="771EC3E9" w14:textId="77777777" w:rsidR="00B85C33" w:rsidRPr="000F6DEF" w:rsidRDefault="00B85C33" w:rsidP="000376C7">
            <w:pPr>
              <w:rPr>
                <w:rFonts w:cs="Calibri"/>
                <w:sz w:val="16"/>
                <w:szCs w:val="16"/>
              </w:rPr>
            </w:pPr>
            <w:r w:rsidRPr="000F6DEF">
              <w:rPr>
                <w:rFonts w:cs="Calibri"/>
                <w:sz w:val="16"/>
                <w:szCs w:val="16"/>
              </w:rPr>
              <w:t>Berry, Burton, Howlett</w:t>
            </w:r>
          </w:p>
        </w:tc>
        <w:tc>
          <w:tcPr>
            <w:tcW w:w="2835" w:type="dxa"/>
          </w:tcPr>
          <w:p w14:paraId="724EADC3"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This research examines cigarette smokers' and </w:t>
            </w:r>
            <w:r>
              <w:rPr>
                <w:rFonts w:cs="Calibri"/>
                <w:sz w:val="16"/>
                <w:szCs w:val="16"/>
              </w:rPr>
              <w:t>e</w:t>
            </w:r>
            <w:r>
              <w:rPr>
                <w:rFonts w:cs="Calibri"/>
                <w:sz w:val="16"/>
                <w:szCs w:val="16"/>
              </w:rPr>
              <w:noBreakHyphen/>
              <w:t>cig</w:t>
            </w:r>
            <w:r w:rsidRPr="000F6DEF">
              <w:rPr>
                <w:rFonts w:cs="Calibri"/>
                <w:sz w:val="16"/>
                <w:szCs w:val="16"/>
              </w:rPr>
              <w:t>arette users' product</w:t>
            </w:r>
            <w:r w:rsidRPr="000F6DEF">
              <w:rPr>
                <w:rFonts w:cs="Calibri"/>
                <w:sz w:val="16"/>
                <w:szCs w:val="16"/>
              </w:rPr>
              <w:noBreakHyphen/>
              <w:t>related health</w:t>
            </w:r>
            <w:r w:rsidRPr="000F6DEF">
              <w:rPr>
                <w:rFonts w:cs="Calibri"/>
                <w:sz w:val="16"/>
                <w:szCs w:val="16"/>
              </w:rPr>
              <w:noBreakHyphen/>
              <w:t>risk beliefs across tobacco products and considers the effects of addiction warnings on consumers' responses to persuasion attempts.</w:t>
            </w:r>
          </w:p>
        </w:tc>
        <w:tc>
          <w:tcPr>
            <w:tcW w:w="1134" w:type="dxa"/>
          </w:tcPr>
          <w:p w14:paraId="4F6D163D"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Investigator developed</w:t>
            </w:r>
          </w:p>
        </w:tc>
        <w:tc>
          <w:tcPr>
            <w:tcW w:w="992" w:type="dxa"/>
          </w:tcPr>
          <w:p w14:paraId="26FAFA81"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w:t>
            </w:r>
          </w:p>
        </w:tc>
        <w:tc>
          <w:tcPr>
            <w:tcW w:w="993" w:type="dxa"/>
          </w:tcPr>
          <w:p w14:paraId="0568E043"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NR</w:t>
            </w:r>
          </w:p>
        </w:tc>
        <w:tc>
          <w:tcPr>
            <w:tcW w:w="1593" w:type="dxa"/>
          </w:tcPr>
          <w:p w14:paraId="23702310"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Study 1 195</w:t>
            </w:r>
            <w:r w:rsidRPr="000F6DEF">
              <w:rPr>
                <w:rFonts w:cs="Calibri"/>
                <w:sz w:val="16"/>
                <w:szCs w:val="16"/>
              </w:rPr>
              <w:br/>
              <w:t>Study 2 265</w:t>
            </w:r>
          </w:p>
          <w:p w14:paraId="1FFDE38C"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Ages: Study 1 36.7 (NR); Study 2 34.0 (NR)</w:t>
            </w:r>
          </w:p>
          <w:p w14:paraId="6A0F3751"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male: Study 1 49.0%; Study 2 54.1%</w:t>
            </w:r>
          </w:p>
        </w:tc>
        <w:tc>
          <w:tcPr>
            <w:tcW w:w="2376" w:type="dxa"/>
          </w:tcPr>
          <w:p w14:paraId="64CA06E0"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Amazon’s Mechanical Turk (MTurk) was used to recruit participants </w:t>
            </w:r>
          </w:p>
        </w:tc>
        <w:tc>
          <w:tcPr>
            <w:tcW w:w="2268" w:type="dxa"/>
          </w:tcPr>
          <w:p w14:paraId="3576A128"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Unclear </w:t>
            </w:r>
            <w:r w:rsidRPr="000F6DEF">
              <w:rPr>
                <w:rFonts w:cs="Calibri"/>
                <w:sz w:val="16"/>
                <w:szCs w:val="16"/>
              </w:rPr>
              <w:noBreakHyphen/>
              <w:t xml:space="preserve"> presuming online</w:t>
            </w:r>
          </w:p>
        </w:tc>
        <w:tc>
          <w:tcPr>
            <w:tcW w:w="1593" w:type="dxa"/>
          </w:tcPr>
          <w:p w14:paraId="231156F2" w14:textId="033BE932"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Study 1: health</w:t>
            </w:r>
            <w:r w:rsidRPr="000F6DEF">
              <w:rPr>
                <w:rFonts w:cs="Calibri"/>
                <w:sz w:val="16"/>
                <w:szCs w:val="16"/>
              </w:rPr>
              <w:noBreakHyphen/>
              <w:t xml:space="preserve">risk beliefs associated with tobacco use and </w:t>
            </w:r>
            <w:r>
              <w:rPr>
                <w:rFonts w:cs="Calibri"/>
                <w:sz w:val="16"/>
                <w:szCs w:val="16"/>
              </w:rPr>
              <w:t>e</w:t>
            </w:r>
            <w:r>
              <w:rPr>
                <w:rFonts w:cs="Calibri"/>
                <w:sz w:val="16"/>
                <w:szCs w:val="16"/>
              </w:rPr>
              <w:noBreakHyphen/>
              <w:t>cig</w:t>
            </w:r>
            <w:r w:rsidRPr="000F6DEF">
              <w:rPr>
                <w:rFonts w:cs="Calibri"/>
                <w:sz w:val="16"/>
                <w:szCs w:val="16"/>
              </w:rPr>
              <w:t>arette use</w:t>
            </w:r>
            <w:r w:rsidRPr="000F6DEF">
              <w:rPr>
                <w:rFonts w:cs="Calibri"/>
                <w:sz w:val="16"/>
                <w:szCs w:val="16"/>
              </w:rPr>
              <w:br/>
              <w:t>Study 2:</w:t>
            </w:r>
            <w:r w:rsidR="008146F9">
              <w:rPr>
                <w:rFonts w:cs="Calibri"/>
                <w:sz w:val="16"/>
                <w:szCs w:val="16"/>
              </w:rPr>
              <w:t xml:space="preserve"> </w:t>
            </w:r>
            <w:r w:rsidRPr="000F6DEF">
              <w:rPr>
                <w:rFonts w:cs="Calibri"/>
                <w:sz w:val="16"/>
                <w:szCs w:val="16"/>
              </w:rPr>
              <w:t>Health</w:t>
            </w:r>
            <w:r w:rsidRPr="000F6DEF">
              <w:rPr>
                <w:rFonts w:cs="Calibri"/>
                <w:sz w:val="16"/>
                <w:szCs w:val="16"/>
              </w:rPr>
              <w:noBreakHyphen/>
              <w:t xml:space="preserve">risk belief and willingness to try the </w:t>
            </w:r>
            <w:r>
              <w:rPr>
                <w:rFonts w:cs="Calibri"/>
                <w:sz w:val="16"/>
                <w:szCs w:val="16"/>
              </w:rPr>
              <w:t>e</w:t>
            </w:r>
            <w:r>
              <w:rPr>
                <w:rFonts w:cs="Calibri"/>
                <w:sz w:val="16"/>
                <w:szCs w:val="16"/>
              </w:rPr>
              <w:noBreakHyphen/>
              <w:t>cig</w:t>
            </w:r>
            <w:r w:rsidRPr="000F6DEF">
              <w:rPr>
                <w:rFonts w:cs="Calibri"/>
                <w:sz w:val="16"/>
                <w:szCs w:val="16"/>
              </w:rPr>
              <w:t>arette.</w:t>
            </w:r>
          </w:p>
        </w:tc>
      </w:tr>
      <w:tr w:rsidR="00B85C33" w:rsidRPr="000F6DEF" w14:paraId="337ADCEF" w14:textId="77777777" w:rsidTr="000376C7">
        <w:trPr>
          <w:trHeight w:val="569"/>
        </w:trPr>
        <w:tc>
          <w:tcPr>
            <w:cnfStyle w:val="001000000000" w:firstRow="0" w:lastRow="0" w:firstColumn="1" w:lastColumn="0" w:oddVBand="0" w:evenVBand="0" w:oddHBand="0" w:evenHBand="0" w:firstRowFirstColumn="0" w:firstRowLastColumn="0" w:lastRowFirstColumn="0" w:lastRowLastColumn="0"/>
            <w:tcW w:w="1271" w:type="dxa"/>
          </w:tcPr>
          <w:p w14:paraId="431F672B" w14:textId="77777777" w:rsidR="00B85C33" w:rsidRPr="000F6DEF" w:rsidRDefault="00B85C33" w:rsidP="000376C7">
            <w:pPr>
              <w:rPr>
                <w:rFonts w:cs="Calibri"/>
                <w:sz w:val="16"/>
                <w:szCs w:val="16"/>
              </w:rPr>
            </w:pPr>
            <w:r w:rsidRPr="000F6DEF">
              <w:rPr>
                <w:rFonts w:cs="Calibri"/>
                <w:sz w:val="16"/>
                <w:szCs w:val="16"/>
              </w:rPr>
              <w:t>Boo, Inche Mat, P'ng et al</w:t>
            </w:r>
          </w:p>
        </w:tc>
        <w:tc>
          <w:tcPr>
            <w:tcW w:w="2835" w:type="dxa"/>
          </w:tcPr>
          <w:p w14:paraId="26C5B2DE"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To explore adult's perceptions of risks and benefits to </w:t>
            </w:r>
            <w:r>
              <w:rPr>
                <w:rFonts w:cs="Calibri"/>
                <w:sz w:val="16"/>
                <w:szCs w:val="16"/>
              </w:rPr>
              <w:t>e</w:t>
            </w:r>
            <w:r>
              <w:rPr>
                <w:rFonts w:cs="Calibri"/>
                <w:sz w:val="16"/>
                <w:szCs w:val="16"/>
              </w:rPr>
              <w:noBreakHyphen/>
              <w:t>cig</w:t>
            </w:r>
            <w:r w:rsidRPr="000F6DEF">
              <w:rPr>
                <w:rFonts w:cs="Calibri"/>
                <w:sz w:val="16"/>
                <w:szCs w:val="16"/>
              </w:rPr>
              <w:t>arettes.</w:t>
            </w:r>
          </w:p>
        </w:tc>
        <w:tc>
          <w:tcPr>
            <w:tcW w:w="1134" w:type="dxa"/>
          </w:tcPr>
          <w:p w14:paraId="096BA4C0" w14:textId="2C6DDA8A"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Investigator developed based on</w:t>
            </w:r>
            <w:r w:rsidR="008146F9">
              <w:rPr>
                <w:rFonts w:cs="Calibri"/>
                <w:sz w:val="16"/>
                <w:szCs w:val="16"/>
              </w:rPr>
              <w:t xml:space="preserve"> </w:t>
            </w:r>
            <w:r w:rsidRPr="000F6DEF">
              <w:rPr>
                <w:rFonts w:cs="Calibri"/>
                <w:sz w:val="16"/>
                <w:szCs w:val="16"/>
              </w:rPr>
              <w:t>Chaﬀee et al</w:t>
            </w:r>
          </w:p>
        </w:tc>
        <w:tc>
          <w:tcPr>
            <w:tcW w:w="992" w:type="dxa"/>
          </w:tcPr>
          <w:p w14:paraId="019C12C6"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Malaysia</w:t>
            </w:r>
          </w:p>
        </w:tc>
        <w:tc>
          <w:tcPr>
            <w:tcW w:w="993" w:type="dxa"/>
          </w:tcPr>
          <w:p w14:paraId="5B88F22C"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NR</w:t>
            </w:r>
          </w:p>
        </w:tc>
        <w:tc>
          <w:tcPr>
            <w:tcW w:w="1593" w:type="dxa"/>
          </w:tcPr>
          <w:p w14:paraId="2FBF5D53"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247</w:t>
            </w:r>
          </w:p>
          <w:p w14:paraId="5B6C0833"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27% male</w:t>
            </w:r>
          </w:p>
        </w:tc>
        <w:tc>
          <w:tcPr>
            <w:tcW w:w="2376" w:type="dxa"/>
          </w:tcPr>
          <w:p w14:paraId="5A837E91"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Students in a course at Serdang Hospital approached</w:t>
            </w:r>
          </w:p>
        </w:tc>
        <w:tc>
          <w:tcPr>
            <w:tcW w:w="2268" w:type="dxa"/>
          </w:tcPr>
          <w:p w14:paraId="019B6C0D"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Written, self</w:t>
            </w:r>
            <w:r w:rsidRPr="000F6DEF">
              <w:rPr>
                <w:rFonts w:cs="Calibri"/>
                <w:sz w:val="16"/>
                <w:szCs w:val="16"/>
              </w:rPr>
              <w:noBreakHyphen/>
              <w:t>administered</w:t>
            </w:r>
          </w:p>
        </w:tc>
        <w:tc>
          <w:tcPr>
            <w:tcW w:w="1593" w:type="dxa"/>
          </w:tcPr>
          <w:p w14:paraId="428CED5D" w14:textId="6D795D74"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Demographics</w:t>
            </w:r>
            <w:r w:rsidRPr="000F6DEF">
              <w:rPr>
                <w:rFonts w:cs="Calibri"/>
                <w:sz w:val="16"/>
                <w:szCs w:val="16"/>
              </w:rPr>
              <w:br/>
              <w:t>Tobacco</w:t>
            </w:r>
            <w:r w:rsidRPr="000F6DEF">
              <w:rPr>
                <w:rFonts w:cs="Calibri"/>
                <w:sz w:val="16"/>
                <w:szCs w:val="16"/>
              </w:rPr>
              <w:noBreakHyphen/>
              <w:t>related perceptions</w:t>
            </w:r>
            <w:r w:rsidRPr="000F6DEF">
              <w:rPr>
                <w:rFonts w:cs="Calibri"/>
                <w:sz w:val="16"/>
                <w:szCs w:val="16"/>
              </w:rPr>
              <w:br/>
            </w:r>
            <w:r>
              <w:rPr>
                <w:rFonts w:cs="Calibri"/>
                <w:sz w:val="16"/>
                <w:szCs w:val="16"/>
              </w:rPr>
              <w:t>e</w:t>
            </w:r>
            <w:r>
              <w:rPr>
                <w:rFonts w:cs="Calibri"/>
                <w:sz w:val="16"/>
                <w:szCs w:val="16"/>
              </w:rPr>
              <w:noBreakHyphen/>
              <w:t>cig</w:t>
            </w:r>
            <w:r w:rsidRPr="000F6DEF">
              <w:rPr>
                <w:rFonts w:cs="Calibri"/>
                <w:sz w:val="16"/>
                <w:szCs w:val="16"/>
              </w:rPr>
              <w:t>arette awareness</w:t>
            </w:r>
            <w:r w:rsidRPr="000F6DEF">
              <w:rPr>
                <w:rFonts w:cs="Calibri"/>
                <w:sz w:val="16"/>
                <w:szCs w:val="16"/>
              </w:rPr>
              <w:br/>
              <w:t xml:space="preserve">Ever use </w:t>
            </w:r>
            <w:r>
              <w:rPr>
                <w:rFonts w:cs="Calibri"/>
                <w:sz w:val="16"/>
                <w:szCs w:val="16"/>
              </w:rPr>
              <w:t>e</w:t>
            </w:r>
            <w:r>
              <w:rPr>
                <w:rFonts w:cs="Calibri"/>
                <w:sz w:val="16"/>
                <w:szCs w:val="16"/>
              </w:rPr>
              <w:noBreakHyphen/>
              <w:t>cig</w:t>
            </w:r>
            <w:r w:rsidR="00571385">
              <w:rPr>
                <w:rFonts w:cs="Calibri"/>
                <w:sz w:val="16"/>
                <w:szCs w:val="16"/>
              </w:rPr>
              <w:t>arettes</w:t>
            </w:r>
            <w:r w:rsidRPr="000F6DEF">
              <w:rPr>
                <w:rFonts w:cs="Calibri"/>
                <w:sz w:val="16"/>
                <w:szCs w:val="16"/>
              </w:rPr>
              <w:br/>
              <w:t xml:space="preserve">Recent use </w:t>
            </w:r>
            <w:r>
              <w:rPr>
                <w:rFonts w:cs="Calibri"/>
                <w:sz w:val="16"/>
                <w:szCs w:val="16"/>
              </w:rPr>
              <w:lastRenderedPageBreak/>
              <w:t>e</w:t>
            </w:r>
            <w:r>
              <w:rPr>
                <w:rFonts w:cs="Calibri"/>
                <w:sz w:val="16"/>
                <w:szCs w:val="16"/>
              </w:rPr>
              <w:noBreakHyphen/>
              <w:t>cig</w:t>
            </w:r>
            <w:r w:rsidR="00571385">
              <w:rPr>
                <w:rFonts w:cs="Calibri"/>
                <w:sz w:val="16"/>
                <w:szCs w:val="16"/>
              </w:rPr>
              <w:t>arettes</w:t>
            </w:r>
            <w:r w:rsidRPr="000F6DEF">
              <w:rPr>
                <w:rFonts w:cs="Calibri"/>
                <w:sz w:val="16"/>
                <w:szCs w:val="16"/>
              </w:rPr>
              <w:br/>
              <w:t xml:space="preserve">Likelihood of 19 health and social outcomes from using </w:t>
            </w:r>
            <w:r>
              <w:rPr>
                <w:rFonts w:cs="Calibri"/>
                <w:sz w:val="16"/>
                <w:szCs w:val="16"/>
              </w:rPr>
              <w:t>e</w:t>
            </w:r>
            <w:r>
              <w:rPr>
                <w:rFonts w:cs="Calibri"/>
                <w:sz w:val="16"/>
                <w:szCs w:val="16"/>
              </w:rPr>
              <w:noBreakHyphen/>
              <w:t>cig</w:t>
            </w:r>
            <w:r w:rsidR="00571385">
              <w:rPr>
                <w:rFonts w:cs="Calibri"/>
                <w:sz w:val="16"/>
                <w:szCs w:val="16"/>
              </w:rPr>
              <w:t>arettes</w:t>
            </w:r>
          </w:p>
        </w:tc>
      </w:tr>
      <w:tr w:rsidR="00B85C33" w:rsidRPr="000F6DEF" w14:paraId="3D4847B4" w14:textId="77777777" w:rsidTr="000376C7">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1271" w:type="dxa"/>
          </w:tcPr>
          <w:p w14:paraId="0B7A7B18" w14:textId="77777777" w:rsidR="00B85C33" w:rsidRPr="000F6DEF" w:rsidRDefault="00B85C33" w:rsidP="000376C7">
            <w:pPr>
              <w:rPr>
                <w:rFonts w:cs="Calibri"/>
                <w:sz w:val="16"/>
                <w:szCs w:val="16"/>
              </w:rPr>
            </w:pPr>
            <w:r w:rsidRPr="000F6DEF">
              <w:rPr>
                <w:rFonts w:cs="Calibri"/>
                <w:sz w:val="16"/>
                <w:szCs w:val="16"/>
              </w:rPr>
              <w:lastRenderedPageBreak/>
              <w:t>Browne, Todd</w:t>
            </w:r>
          </w:p>
        </w:tc>
        <w:tc>
          <w:tcPr>
            <w:tcW w:w="2835" w:type="dxa"/>
          </w:tcPr>
          <w:p w14:paraId="74D0F905"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This study investigated characteristics of nicotine dependence and consumption in a sample of vapers who formerly smoked cigarettes. </w:t>
            </w:r>
          </w:p>
        </w:tc>
        <w:tc>
          <w:tcPr>
            <w:tcW w:w="1134" w:type="dxa"/>
          </w:tcPr>
          <w:p w14:paraId="0FEE2297"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w:t>
            </w:r>
          </w:p>
        </w:tc>
        <w:tc>
          <w:tcPr>
            <w:tcW w:w="992" w:type="dxa"/>
          </w:tcPr>
          <w:p w14:paraId="3DB1B261"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Internet</w:t>
            </w:r>
            <w:r w:rsidRPr="000F6DEF">
              <w:rPr>
                <w:rFonts w:cs="Calibri"/>
                <w:sz w:val="16"/>
                <w:szCs w:val="16"/>
              </w:rPr>
              <w:br/>
              <w:t>UK, Australia, Finland, Ireland, US</w:t>
            </w:r>
          </w:p>
        </w:tc>
        <w:tc>
          <w:tcPr>
            <w:tcW w:w="993" w:type="dxa"/>
          </w:tcPr>
          <w:p w14:paraId="6514FD91"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NR</w:t>
            </w:r>
          </w:p>
        </w:tc>
        <w:tc>
          <w:tcPr>
            <w:tcW w:w="1593" w:type="dxa"/>
          </w:tcPr>
          <w:p w14:paraId="715084B5"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436</w:t>
            </w:r>
          </w:p>
          <w:p w14:paraId="38FFF636"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Mean age: 41.4(13.1)</w:t>
            </w:r>
          </w:p>
          <w:p w14:paraId="4E95432B"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80% male</w:t>
            </w:r>
          </w:p>
        </w:tc>
        <w:tc>
          <w:tcPr>
            <w:tcW w:w="2376" w:type="dxa"/>
          </w:tcPr>
          <w:p w14:paraId="4F3EA262"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Current vape users recruited via posts in social media</w:t>
            </w:r>
          </w:p>
        </w:tc>
        <w:tc>
          <w:tcPr>
            <w:tcW w:w="2268" w:type="dxa"/>
          </w:tcPr>
          <w:p w14:paraId="30E87AAB"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Online via Survey Monkey</w:t>
            </w:r>
          </w:p>
        </w:tc>
        <w:tc>
          <w:tcPr>
            <w:tcW w:w="1593" w:type="dxa"/>
          </w:tcPr>
          <w:p w14:paraId="61B6CFA1"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Retrospective Fagerstrom Test for Nicotine Dependence</w:t>
            </w:r>
            <w:r w:rsidRPr="000F6DEF">
              <w:rPr>
                <w:rFonts w:cs="Calibri"/>
                <w:sz w:val="16"/>
                <w:szCs w:val="16"/>
              </w:rPr>
              <w:br/>
              <w:t xml:space="preserve">Plus modified version for vaping </w:t>
            </w:r>
          </w:p>
        </w:tc>
      </w:tr>
      <w:tr w:rsidR="00B85C33" w:rsidRPr="000F6DEF" w14:paraId="59D4A958" w14:textId="77777777" w:rsidTr="000376C7">
        <w:trPr>
          <w:trHeight w:val="569"/>
        </w:trPr>
        <w:tc>
          <w:tcPr>
            <w:cnfStyle w:val="001000000000" w:firstRow="0" w:lastRow="0" w:firstColumn="1" w:lastColumn="0" w:oddVBand="0" w:evenVBand="0" w:oddHBand="0" w:evenHBand="0" w:firstRowFirstColumn="0" w:firstRowLastColumn="0" w:lastRowFirstColumn="0" w:lastRowLastColumn="0"/>
            <w:tcW w:w="1271" w:type="dxa"/>
          </w:tcPr>
          <w:p w14:paraId="18F393AB" w14:textId="77777777" w:rsidR="00B85C33" w:rsidRPr="000F6DEF" w:rsidRDefault="00B85C33" w:rsidP="000376C7">
            <w:pPr>
              <w:rPr>
                <w:rFonts w:cs="Calibri"/>
                <w:sz w:val="16"/>
                <w:szCs w:val="16"/>
              </w:rPr>
            </w:pPr>
            <w:r w:rsidRPr="000F6DEF">
              <w:rPr>
                <w:rFonts w:cs="Calibri"/>
                <w:sz w:val="16"/>
                <w:szCs w:val="16"/>
              </w:rPr>
              <w:t>Brozek, Jankowski, Zejda et al</w:t>
            </w:r>
          </w:p>
        </w:tc>
        <w:tc>
          <w:tcPr>
            <w:tcW w:w="2835" w:type="dxa"/>
          </w:tcPr>
          <w:p w14:paraId="5374C157"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The objectives of this study were to assess the prevalence of </w:t>
            </w:r>
            <w:r>
              <w:rPr>
                <w:rFonts w:cs="Calibri"/>
                <w:sz w:val="16"/>
                <w:szCs w:val="16"/>
              </w:rPr>
              <w:t>e</w:t>
            </w:r>
            <w:r>
              <w:rPr>
                <w:rFonts w:cs="Calibri"/>
                <w:sz w:val="16"/>
                <w:szCs w:val="16"/>
              </w:rPr>
              <w:noBreakHyphen/>
              <w:t>cig</w:t>
            </w:r>
            <w:r w:rsidRPr="000F6DEF">
              <w:rPr>
                <w:rFonts w:cs="Calibri"/>
                <w:sz w:val="16"/>
                <w:szCs w:val="16"/>
              </w:rPr>
              <w:t xml:space="preserve">arette and tobacco cigarette use; to compare the patterns of smoking; to assess the attitudes and motivations for </w:t>
            </w:r>
            <w:r>
              <w:rPr>
                <w:rFonts w:cs="Calibri"/>
                <w:sz w:val="16"/>
                <w:szCs w:val="16"/>
              </w:rPr>
              <w:t>e</w:t>
            </w:r>
            <w:r>
              <w:rPr>
                <w:rFonts w:cs="Calibri"/>
                <w:sz w:val="16"/>
                <w:szCs w:val="16"/>
              </w:rPr>
              <w:noBreakHyphen/>
              <w:t>cig</w:t>
            </w:r>
            <w:r w:rsidRPr="000F6DEF">
              <w:rPr>
                <w:rFonts w:cs="Calibri"/>
                <w:sz w:val="16"/>
                <w:szCs w:val="16"/>
              </w:rPr>
              <w:t>arette use.</w:t>
            </w:r>
          </w:p>
        </w:tc>
        <w:tc>
          <w:tcPr>
            <w:tcW w:w="1134" w:type="dxa"/>
          </w:tcPr>
          <w:p w14:paraId="412A059D"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Investigator developed and piloted with 54 students</w:t>
            </w:r>
          </w:p>
        </w:tc>
        <w:tc>
          <w:tcPr>
            <w:tcW w:w="992" w:type="dxa"/>
          </w:tcPr>
          <w:p w14:paraId="04263E2B"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Katowice, Poland</w:t>
            </w:r>
          </w:p>
        </w:tc>
        <w:tc>
          <w:tcPr>
            <w:tcW w:w="993" w:type="dxa"/>
          </w:tcPr>
          <w:p w14:paraId="4A2B9AD6"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2016</w:t>
            </w:r>
          </w:p>
        </w:tc>
        <w:tc>
          <w:tcPr>
            <w:tcW w:w="1593" w:type="dxa"/>
          </w:tcPr>
          <w:p w14:paraId="05DFEBD2" w14:textId="4A671D7B"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1</w:t>
            </w:r>
            <w:r w:rsidR="009971FA">
              <w:rPr>
                <w:rFonts w:cs="Calibri"/>
                <w:sz w:val="16"/>
                <w:szCs w:val="16"/>
              </w:rPr>
              <w:t>,</w:t>
            </w:r>
            <w:r w:rsidRPr="000F6DEF">
              <w:rPr>
                <w:rFonts w:cs="Calibri"/>
                <w:sz w:val="16"/>
                <w:szCs w:val="16"/>
              </w:rPr>
              <w:t>318</w:t>
            </w:r>
          </w:p>
          <w:p w14:paraId="7A66963A"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Mean age: 22.1(2.2)</w:t>
            </w:r>
          </w:p>
          <w:p w14:paraId="4C9E1F16"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34% male</w:t>
            </w:r>
          </w:p>
        </w:tc>
        <w:tc>
          <w:tcPr>
            <w:tcW w:w="2376" w:type="dxa"/>
          </w:tcPr>
          <w:p w14:paraId="691B7E1C"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Students in Faculty of Medicine</w:t>
            </w:r>
          </w:p>
        </w:tc>
        <w:tc>
          <w:tcPr>
            <w:tcW w:w="2268" w:type="dxa"/>
          </w:tcPr>
          <w:p w14:paraId="5EC1E052"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NR</w:t>
            </w:r>
          </w:p>
        </w:tc>
        <w:tc>
          <w:tcPr>
            <w:tcW w:w="1593" w:type="dxa"/>
          </w:tcPr>
          <w:p w14:paraId="4EC7960F" w14:textId="71B0F53F"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Frequency and attitudes toward use of traditional and </w:t>
            </w:r>
            <w:r>
              <w:rPr>
                <w:rFonts w:cs="Calibri"/>
                <w:sz w:val="16"/>
                <w:szCs w:val="16"/>
              </w:rPr>
              <w:t>e</w:t>
            </w:r>
            <w:r>
              <w:rPr>
                <w:rFonts w:cs="Calibri"/>
                <w:sz w:val="16"/>
                <w:szCs w:val="16"/>
              </w:rPr>
              <w:noBreakHyphen/>
              <w:t>cig</w:t>
            </w:r>
            <w:r w:rsidR="00571385">
              <w:rPr>
                <w:rFonts w:cs="Calibri"/>
                <w:sz w:val="16"/>
                <w:szCs w:val="16"/>
              </w:rPr>
              <w:t>arettes</w:t>
            </w:r>
            <w:r w:rsidRPr="000F6DEF">
              <w:rPr>
                <w:rFonts w:cs="Calibri"/>
                <w:sz w:val="16"/>
                <w:szCs w:val="16"/>
              </w:rPr>
              <w:br/>
              <w:t xml:space="preserve">Safety concerns </w:t>
            </w:r>
            <w:r w:rsidRPr="000F6DEF">
              <w:rPr>
                <w:rFonts w:cs="Calibri"/>
                <w:sz w:val="16"/>
                <w:szCs w:val="16"/>
              </w:rPr>
              <w:br/>
              <w:t>Smoking in public places</w:t>
            </w:r>
            <w:r w:rsidRPr="000F6DEF">
              <w:rPr>
                <w:rFonts w:cs="Calibri"/>
                <w:sz w:val="16"/>
                <w:szCs w:val="16"/>
              </w:rPr>
              <w:br/>
              <w:t>Attitudes to addiction</w:t>
            </w:r>
            <w:r w:rsidRPr="000F6DEF">
              <w:rPr>
                <w:rFonts w:cs="Calibri"/>
                <w:sz w:val="16"/>
                <w:szCs w:val="16"/>
              </w:rPr>
              <w:br/>
              <w:t>Presence of respiratory symptoms</w:t>
            </w:r>
            <w:r w:rsidRPr="000F6DEF">
              <w:rPr>
                <w:rFonts w:cs="Calibri"/>
                <w:sz w:val="16"/>
                <w:szCs w:val="16"/>
              </w:rPr>
              <w:br/>
              <w:t>motivations behind e</w:t>
            </w:r>
            <w:r w:rsidRPr="000F6DEF">
              <w:rPr>
                <w:rFonts w:cs="Calibri"/>
                <w:sz w:val="16"/>
                <w:szCs w:val="16"/>
              </w:rPr>
              <w:noBreakHyphen/>
              <w:t>smoking</w:t>
            </w:r>
          </w:p>
        </w:tc>
      </w:tr>
      <w:tr w:rsidR="00B85C33" w:rsidRPr="000F6DEF" w14:paraId="1362F2C5" w14:textId="77777777" w:rsidTr="000376C7">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1271" w:type="dxa"/>
          </w:tcPr>
          <w:p w14:paraId="4E718463" w14:textId="77777777" w:rsidR="00B85C33" w:rsidRPr="000F6DEF" w:rsidRDefault="00B85C33" w:rsidP="000376C7">
            <w:pPr>
              <w:rPr>
                <w:rFonts w:cs="Calibri"/>
                <w:sz w:val="16"/>
                <w:szCs w:val="16"/>
              </w:rPr>
            </w:pPr>
            <w:r w:rsidRPr="000F6DEF">
              <w:rPr>
                <w:rFonts w:cs="Calibri"/>
                <w:sz w:val="16"/>
                <w:szCs w:val="16"/>
              </w:rPr>
              <w:t>Cavalcante, Szklo, Perez et al.</w:t>
            </w:r>
          </w:p>
        </w:tc>
        <w:tc>
          <w:tcPr>
            <w:tcW w:w="2835" w:type="dxa"/>
          </w:tcPr>
          <w:p w14:paraId="73F0A79F"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This study sought to analyse: (1) awareness of electronic cigarettes, ever</w:t>
            </w:r>
            <w:r w:rsidRPr="000F6DEF">
              <w:rPr>
                <w:rFonts w:cs="Calibri"/>
                <w:sz w:val="16"/>
                <w:szCs w:val="16"/>
              </w:rPr>
              <w:noBreakHyphen/>
              <w:t xml:space="preserve">use and recent use; (2) perception of harmfulness of electronic cigarettes when compared with conventional cigarettes; and (3) correlates of awareness and perception of harmfulness. </w:t>
            </w:r>
          </w:p>
        </w:tc>
        <w:tc>
          <w:tcPr>
            <w:tcW w:w="1134" w:type="dxa"/>
          </w:tcPr>
          <w:p w14:paraId="725B80E9"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Brazilian International Tobacco Control Policy Evaluation Survey</w:t>
            </w:r>
          </w:p>
        </w:tc>
        <w:tc>
          <w:tcPr>
            <w:tcW w:w="992" w:type="dxa"/>
          </w:tcPr>
          <w:p w14:paraId="3B6D581E"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Brazil</w:t>
            </w:r>
          </w:p>
        </w:tc>
        <w:tc>
          <w:tcPr>
            <w:tcW w:w="993" w:type="dxa"/>
          </w:tcPr>
          <w:p w14:paraId="6CDA38E8"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2012</w:t>
            </w:r>
          </w:p>
        </w:tc>
        <w:tc>
          <w:tcPr>
            <w:tcW w:w="1593" w:type="dxa"/>
          </w:tcPr>
          <w:p w14:paraId="0AC61D76"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721 respondents</w:t>
            </w:r>
          </w:p>
          <w:p w14:paraId="6D64F109"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Mean age: 50.8</w:t>
            </w:r>
          </w:p>
          <w:p w14:paraId="547FD6D0"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33% male</w:t>
            </w:r>
          </w:p>
        </w:tc>
        <w:tc>
          <w:tcPr>
            <w:tcW w:w="2376" w:type="dxa"/>
          </w:tcPr>
          <w:p w14:paraId="4760BCCF"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Random digit dialling</w:t>
            </w:r>
          </w:p>
        </w:tc>
        <w:tc>
          <w:tcPr>
            <w:tcW w:w="2268" w:type="dxa"/>
          </w:tcPr>
          <w:p w14:paraId="65382378"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The interviews were administered in Portuguese by telephone between October 2012 and February 2013. </w:t>
            </w:r>
          </w:p>
        </w:tc>
        <w:tc>
          <w:tcPr>
            <w:tcW w:w="1593" w:type="dxa"/>
          </w:tcPr>
          <w:p w14:paraId="35B59D5E" w14:textId="12EACEEF"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Demographics</w:t>
            </w:r>
            <w:r w:rsidRPr="000F6DEF">
              <w:rPr>
                <w:rFonts w:cs="Calibri"/>
                <w:sz w:val="16"/>
                <w:szCs w:val="16"/>
              </w:rPr>
              <w:br/>
              <w:t>Smoking freq</w:t>
            </w:r>
            <w:r w:rsidRPr="000F6DEF">
              <w:rPr>
                <w:rFonts w:cs="Calibri"/>
                <w:sz w:val="16"/>
                <w:szCs w:val="16"/>
              </w:rPr>
              <w:br/>
              <w:t xml:space="preserve">Awareness of </w:t>
            </w:r>
            <w:r>
              <w:rPr>
                <w:rFonts w:cs="Calibri"/>
                <w:sz w:val="16"/>
                <w:szCs w:val="16"/>
              </w:rPr>
              <w:t>e</w:t>
            </w:r>
            <w:r>
              <w:rPr>
                <w:rFonts w:cs="Calibri"/>
                <w:sz w:val="16"/>
                <w:szCs w:val="16"/>
              </w:rPr>
              <w:noBreakHyphen/>
              <w:t>cig</w:t>
            </w:r>
            <w:r w:rsidR="00571385">
              <w:rPr>
                <w:rFonts w:cs="Calibri"/>
                <w:sz w:val="16"/>
                <w:szCs w:val="16"/>
              </w:rPr>
              <w:t>arettes</w:t>
            </w:r>
            <w:r w:rsidRPr="000F6DEF">
              <w:rPr>
                <w:rFonts w:cs="Calibri"/>
                <w:sz w:val="16"/>
                <w:szCs w:val="16"/>
              </w:rPr>
              <w:br/>
              <w:t xml:space="preserve">Ever use </w:t>
            </w:r>
            <w:r>
              <w:rPr>
                <w:rFonts w:cs="Calibri"/>
                <w:sz w:val="16"/>
                <w:szCs w:val="16"/>
              </w:rPr>
              <w:t>e</w:t>
            </w:r>
            <w:r>
              <w:rPr>
                <w:rFonts w:cs="Calibri"/>
                <w:sz w:val="16"/>
                <w:szCs w:val="16"/>
              </w:rPr>
              <w:noBreakHyphen/>
              <w:t>cig</w:t>
            </w:r>
            <w:r w:rsidR="00571385">
              <w:rPr>
                <w:rFonts w:cs="Calibri"/>
                <w:sz w:val="16"/>
                <w:szCs w:val="16"/>
              </w:rPr>
              <w:t>arettes</w:t>
            </w:r>
            <w:r w:rsidRPr="000F6DEF">
              <w:rPr>
                <w:rFonts w:cs="Calibri"/>
                <w:sz w:val="16"/>
                <w:szCs w:val="16"/>
              </w:rPr>
              <w:br/>
              <w:t xml:space="preserve">Harm of </w:t>
            </w:r>
            <w:r>
              <w:rPr>
                <w:rFonts w:cs="Calibri"/>
                <w:sz w:val="16"/>
                <w:szCs w:val="16"/>
              </w:rPr>
              <w:t>e</w:t>
            </w:r>
            <w:r>
              <w:rPr>
                <w:rFonts w:cs="Calibri"/>
                <w:sz w:val="16"/>
                <w:szCs w:val="16"/>
              </w:rPr>
              <w:noBreakHyphen/>
              <w:t>cig</w:t>
            </w:r>
            <w:r w:rsidRPr="000F6DEF">
              <w:rPr>
                <w:rFonts w:cs="Calibri"/>
                <w:sz w:val="16"/>
                <w:szCs w:val="16"/>
              </w:rPr>
              <w:t>arette relative to cig</w:t>
            </w:r>
            <w:r w:rsidR="00571385">
              <w:rPr>
                <w:rFonts w:cs="Calibri"/>
                <w:sz w:val="16"/>
                <w:szCs w:val="16"/>
              </w:rPr>
              <w:t>arettes</w:t>
            </w:r>
          </w:p>
        </w:tc>
      </w:tr>
      <w:tr w:rsidR="00B85C33" w:rsidRPr="000F6DEF" w14:paraId="153CB5E0" w14:textId="77777777" w:rsidTr="000376C7">
        <w:trPr>
          <w:trHeight w:val="569"/>
        </w:trPr>
        <w:tc>
          <w:tcPr>
            <w:cnfStyle w:val="001000000000" w:firstRow="0" w:lastRow="0" w:firstColumn="1" w:lastColumn="0" w:oddVBand="0" w:evenVBand="0" w:oddHBand="0" w:evenHBand="0" w:firstRowFirstColumn="0" w:firstRowLastColumn="0" w:lastRowFirstColumn="0" w:lastRowLastColumn="0"/>
            <w:tcW w:w="1271" w:type="dxa"/>
          </w:tcPr>
          <w:p w14:paraId="56083E51" w14:textId="77777777" w:rsidR="00B85C33" w:rsidRPr="000F6DEF" w:rsidRDefault="00B85C33" w:rsidP="000376C7">
            <w:pPr>
              <w:rPr>
                <w:rFonts w:cs="Calibri"/>
                <w:sz w:val="16"/>
                <w:szCs w:val="16"/>
              </w:rPr>
            </w:pPr>
            <w:r w:rsidRPr="000F6DEF">
              <w:rPr>
                <w:rFonts w:cs="Calibri"/>
                <w:sz w:val="16"/>
                <w:szCs w:val="16"/>
              </w:rPr>
              <w:t>Chang, Tsai, Shiu et al.</w:t>
            </w:r>
          </w:p>
        </w:tc>
        <w:tc>
          <w:tcPr>
            <w:tcW w:w="2835" w:type="dxa"/>
          </w:tcPr>
          <w:p w14:paraId="154B7F99" w14:textId="6D0048D6"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This study investigated the prevalence and correlates of electronic cigarettes (</w:t>
            </w:r>
            <w:r>
              <w:rPr>
                <w:rFonts w:cs="Calibri"/>
                <w:sz w:val="16"/>
                <w:szCs w:val="16"/>
              </w:rPr>
              <w:t>e</w:t>
            </w:r>
            <w:r>
              <w:rPr>
                <w:rFonts w:cs="Calibri"/>
                <w:sz w:val="16"/>
                <w:szCs w:val="16"/>
              </w:rPr>
              <w:noBreakHyphen/>
              <w:t>cig</w:t>
            </w:r>
            <w:r w:rsidRPr="000F6DEF">
              <w:rPr>
                <w:rFonts w:cs="Calibri"/>
                <w:sz w:val="16"/>
                <w:szCs w:val="16"/>
              </w:rPr>
              <w:t>arettes) use in Taiwan</w:t>
            </w:r>
            <w:r w:rsidR="005500FC">
              <w:rPr>
                <w:rFonts w:cs="Calibri"/>
                <w:sz w:val="16"/>
                <w:szCs w:val="16"/>
              </w:rPr>
              <w:t>.</w:t>
            </w:r>
          </w:p>
        </w:tc>
        <w:tc>
          <w:tcPr>
            <w:tcW w:w="1134" w:type="dxa"/>
          </w:tcPr>
          <w:p w14:paraId="0C6ABFB7"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2015 Taiwan Adult Smoking Behaviour Survey</w:t>
            </w:r>
          </w:p>
        </w:tc>
        <w:tc>
          <w:tcPr>
            <w:tcW w:w="992" w:type="dxa"/>
          </w:tcPr>
          <w:p w14:paraId="76498C9E"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Taiwan</w:t>
            </w:r>
          </w:p>
        </w:tc>
        <w:tc>
          <w:tcPr>
            <w:tcW w:w="993" w:type="dxa"/>
          </w:tcPr>
          <w:p w14:paraId="7EA491FD"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2015</w:t>
            </w:r>
          </w:p>
        </w:tc>
        <w:tc>
          <w:tcPr>
            <w:tcW w:w="1593" w:type="dxa"/>
          </w:tcPr>
          <w:p w14:paraId="0A819C36" w14:textId="76BBB4E8"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26</w:t>
            </w:r>
            <w:r w:rsidR="00571385">
              <w:rPr>
                <w:rFonts w:cs="Calibri"/>
                <w:sz w:val="16"/>
                <w:szCs w:val="16"/>
              </w:rPr>
              <w:t>,</w:t>
            </w:r>
            <w:r w:rsidRPr="000F6DEF">
              <w:rPr>
                <w:rFonts w:cs="Calibri"/>
                <w:sz w:val="16"/>
                <w:szCs w:val="16"/>
              </w:rPr>
              <w:t>021</w:t>
            </w:r>
          </w:p>
          <w:p w14:paraId="29527C7D"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Ages: 25–64 years (67.7%)</w:t>
            </w:r>
          </w:p>
          <w:p w14:paraId="5C7E9C14"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49% male</w:t>
            </w:r>
          </w:p>
        </w:tc>
        <w:tc>
          <w:tcPr>
            <w:tcW w:w="2376" w:type="dxa"/>
          </w:tcPr>
          <w:p w14:paraId="00368ED9"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Random digit dialling </w:t>
            </w:r>
          </w:p>
        </w:tc>
        <w:tc>
          <w:tcPr>
            <w:tcW w:w="2268" w:type="dxa"/>
          </w:tcPr>
          <w:p w14:paraId="4812DDAB"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Computer</w:t>
            </w:r>
            <w:r w:rsidRPr="000F6DEF">
              <w:rPr>
                <w:rFonts w:cs="Calibri"/>
                <w:sz w:val="16"/>
                <w:szCs w:val="16"/>
              </w:rPr>
              <w:noBreakHyphen/>
              <w:t>assisted telephone interviewing system</w:t>
            </w:r>
          </w:p>
        </w:tc>
        <w:tc>
          <w:tcPr>
            <w:tcW w:w="1593" w:type="dxa"/>
          </w:tcPr>
          <w:p w14:paraId="16CEC3DD" w14:textId="0F0DDEFA"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Ever use </w:t>
            </w:r>
            <w:r>
              <w:rPr>
                <w:rFonts w:cs="Calibri"/>
                <w:sz w:val="16"/>
                <w:szCs w:val="16"/>
              </w:rPr>
              <w:t>e</w:t>
            </w:r>
            <w:r>
              <w:rPr>
                <w:rFonts w:cs="Calibri"/>
                <w:sz w:val="16"/>
                <w:szCs w:val="16"/>
              </w:rPr>
              <w:noBreakHyphen/>
              <w:t>cig</w:t>
            </w:r>
            <w:r w:rsidR="00571385">
              <w:rPr>
                <w:rFonts w:cs="Calibri"/>
                <w:sz w:val="16"/>
                <w:szCs w:val="16"/>
              </w:rPr>
              <w:t>arettes</w:t>
            </w:r>
            <w:r w:rsidRPr="000F6DEF">
              <w:rPr>
                <w:rFonts w:cs="Calibri"/>
                <w:sz w:val="16"/>
                <w:szCs w:val="16"/>
              </w:rPr>
              <w:br/>
              <w:t>Smoking status</w:t>
            </w:r>
            <w:r w:rsidRPr="000F6DEF">
              <w:rPr>
                <w:rFonts w:cs="Calibri"/>
                <w:sz w:val="16"/>
                <w:szCs w:val="16"/>
              </w:rPr>
              <w:br/>
              <w:t>Demographics</w:t>
            </w:r>
          </w:p>
        </w:tc>
      </w:tr>
      <w:tr w:rsidR="00B85C33" w:rsidRPr="000F6DEF" w14:paraId="4C45D70E" w14:textId="77777777" w:rsidTr="000376C7">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1271" w:type="dxa"/>
          </w:tcPr>
          <w:p w14:paraId="551A1BE1" w14:textId="77777777" w:rsidR="00B85C33" w:rsidRPr="000F6DEF" w:rsidRDefault="00B85C33" w:rsidP="000376C7">
            <w:pPr>
              <w:rPr>
                <w:rFonts w:cs="Calibri"/>
                <w:sz w:val="16"/>
                <w:szCs w:val="16"/>
              </w:rPr>
            </w:pPr>
            <w:r w:rsidRPr="000F6DEF">
              <w:rPr>
                <w:rFonts w:cs="Calibri"/>
                <w:sz w:val="16"/>
                <w:szCs w:val="16"/>
              </w:rPr>
              <w:t>Cheng, Chang, Hsu et al</w:t>
            </w:r>
          </w:p>
        </w:tc>
        <w:tc>
          <w:tcPr>
            <w:tcW w:w="2835" w:type="dxa"/>
          </w:tcPr>
          <w:p w14:paraId="65AC67D8" w14:textId="2A38AAC6"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We investigated the use of electronic cigarettes (</w:t>
            </w:r>
            <w:r>
              <w:rPr>
                <w:rFonts w:cs="Calibri"/>
                <w:sz w:val="16"/>
                <w:szCs w:val="16"/>
              </w:rPr>
              <w:t>e</w:t>
            </w:r>
            <w:r>
              <w:rPr>
                <w:rFonts w:cs="Calibri"/>
                <w:sz w:val="16"/>
                <w:szCs w:val="16"/>
              </w:rPr>
              <w:noBreakHyphen/>
              <w:t>cig</w:t>
            </w:r>
            <w:r w:rsidRPr="000F6DEF">
              <w:rPr>
                <w:rFonts w:cs="Calibri"/>
                <w:sz w:val="16"/>
                <w:szCs w:val="16"/>
              </w:rPr>
              <w:t xml:space="preserve">arettes) with traditional cigarettes among adolescents during 2014 to 2016 to identify risk factors for </w:t>
            </w:r>
            <w:r w:rsidRPr="000F6DEF">
              <w:rPr>
                <w:rFonts w:cs="Calibri"/>
                <w:sz w:val="16"/>
                <w:szCs w:val="16"/>
              </w:rPr>
              <w:lastRenderedPageBreak/>
              <w:t xml:space="preserve">using </w:t>
            </w:r>
            <w:r>
              <w:rPr>
                <w:rFonts w:cs="Calibri"/>
                <w:sz w:val="16"/>
                <w:szCs w:val="16"/>
              </w:rPr>
              <w:t>e</w:t>
            </w:r>
            <w:r>
              <w:rPr>
                <w:rFonts w:cs="Calibri"/>
                <w:sz w:val="16"/>
                <w:szCs w:val="16"/>
              </w:rPr>
              <w:noBreakHyphen/>
              <w:t>cig</w:t>
            </w:r>
            <w:r w:rsidRPr="000F6DEF">
              <w:rPr>
                <w:rFonts w:cs="Calibri"/>
                <w:sz w:val="16"/>
                <w:szCs w:val="16"/>
              </w:rPr>
              <w:t>arettes only, traditional cigarettes only, or both products</w:t>
            </w:r>
            <w:r w:rsidR="005500FC">
              <w:rPr>
                <w:rFonts w:cs="Calibri"/>
                <w:sz w:val="16"/>
                <w:szCs w:val="16"/>
              </w:rPr>
              <w:t>.</w:t>
            </w:r>
          </w:p>
        </w:tc>
        <w:tc>
          <w:tcPr>
            <w:tcW w:w="1134" w:type="dxa"/>
          </w:tcPr>
          <w:p w14:paraId="2218B2E5"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lastRenderedPageBreak/>
              <w:t>Taiwan Global Youth Tobacco Survey</w:t>
            </w:r>
          </w:p>
        </w:tc>
        <w:tc>
          <w:tcPr>
            <w:tcW w:w="992" w:type="dxa"/>
          </w:tcPr>
          <w:p w14:paraId="2893C479"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Taiwan</w:t>
            </w:r>
          </w:p>
        </w:tc>
        <w:tc>
          <w:tcPr>
            <w:tcW w:w="993" w:type="dxa"/>
          </w:tcPr>
          <w:p w14:paraId="47E52229"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2014</w:t>
            </w:r>
            <w:r w:rsidRPr="000F6DEF">
              <w:rPr>
                <w:rFonts w:cs="Calibri"/>
                <w:sz w:val="16"/>
                <w:szCs w:val="16"/>
              </w:rPr>
              <w:noBreakHyphen/>
              <w:t>2016</w:t>
            </w:r>
          </w:p>
        </w:tc>
        <w:tc>
          <w:tcPr>
            <w:tcW w:w="1593" w:type="dxa"/>
          </w:tcPr>
          <w:p w14:paraId="3C5C4E52"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20,434</w:t>
            </w:r>
            <w:r w:rsidRPr="000F6DEF">
              <w:rPr>
                <w:rFonts w:cs="Calibri"/>
                <w:sz w:val="16"/>
                <w:szCs w:val="16"/>
              </w:rPr>
              <w:noBreakHyphen/>
              <w:t xml:space="preserve"> 21,731 junior high school students; 22,978</w:t>
            </w:r>
            <w:r w:rsidRPr="000F6DEF">
              <w:rPr>
                <w:rFonts w:cs="Calibri"/>
                <w:sz w:val="16"/>
                <w:szCs w:val="16"/>
              </w:rPr>
              <w:noBreakHyphen/>
              <w:t xml:space="preserve"> 23,466 senior high school students</w:t>
            </w:r>
          </w:p>
          <w:p w14:paraId="3C3567F2"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lastRenderedPageBreak/>
              <w:t xml:space="preserve"> 52% male</w:t>
            </w:r>
          </w:p>
        </w:tc>
        <w:tc>
          <w:tcPr>
            <w:tcW w:w="2376" w:type="dxa"/>
          </w:tcPr>
          <w:p w14:paraId="67E185AE"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lastRenderedPageBreak/>
              <w:t>Conducted in different school selected at random</w:t>
            </w:r>
          </w:p>
        </w:tc>
        <w:tc>
          <w:tcPr>
            <w:tcW w:w="2268" w:type="dxa"/>
          </w:tcPr>
          <w:p w14:paraId="51D24B16"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 The survey was conducted in classrooms by three to six staff members from local health bureaus after undergoing a 1</w:t>
            </w:r>
            <w:r w:rsidRPr="000F6DEF">
              <w:rPr>
                <w:rFonts w:cs="Calibri"/>
                <w:sz w:val="16"/>
                <w:szCs w:val="16"/>
              </w:rPr>
              <w:noBreakHyphen/>
              <w:t xml:space="preserve">day training program on the presentation of questionnaire </w:t>
            </w:r>
            <w:r w:rsidRPr="000F6DEF">
              <w:rPr>
                <w:rFonts w:cs="Calibri"/>
                <w:sz w:val="16"/>
                <w:szCs w:val="16"/>
              </w:rPr>
              <w:lastRenderedPageBreak/>
              <w:t xml:space="preserve">surveys by the HPA. </w:t>
            </w:r>
            <w:r w:rsidRPr="000F6DEF">
              <w:rPr>
                <w:rFonts w:cs="Calibri"/>
                <w:sz w:val="16"/>
                <w:szCs w:val="16"/>
              </w:rPr>
              <w:br/>
              <w:t>Self</w:t>
            </w:r>
            <w:r w:rsidRPr="000F6DEF">
              <w:rPr>
                <w:rFonts w:cs="Calibri"/>
                <w:sz w:val="16"/>
                <w:szCs w:val="16"/>
              </w:rPr>
              <w:noBreakHyphen/>
              <w:t>administered paper</w:t>
            </w:r>
            <w:r w:rsidRPr="000F6DEF">
              <w:rPr>
                <w:rFonts w:cs="Calibri"/>
                <w:sz w:val="16"/>
                <w:szCs w:val="16"/>
              </w:rPr>
              <w:noBreakHyphen/>
              <w:t>based</w:t>
            </w:r>
          </w:p>
        </w:tc>
        <w:tc>
          <w:tcPr>
            <w:tcW w:w="1593" w:type="dxa"/>
          </w:tcPr>
          <w:p w14:paraId="0B9773E5" w14:textId="4670F6DF"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lastRenderedPageBreak/>
              <w:t>Smoking behaviour (cig</w:t>
            </w:r>
            <w:r w:rsidR="00571385">
              <w:rPr>
                <w:rFonts w:cs="Calibri"/>
                <w:sz w:val="16"/>
                <w:szCs w:val="16"/>
              </w:rPr>
              <w:t>arette</w:t>
            </w:r>
            <w:r w:rsidRPr="000F6DEF">
              <w:rPr>
                <w:rFonts w:cs="Calibri"/>
                <w:sz w:val="16"/>
                <w:szCs w:val="16"/>
              </w:rPr>
              <w:t xml:space="preserve"> and </w:t>
            </w:r>
            <w:r>
              <w:rPr>
                <w:rFonts w:cs="Calibri"/>
                <w:sz w:val="16"/>
                <w:szCs w:val="16"/>
              </w:rPr>
              <w:t>e</w:t>
            </w:r>
            <w:r>
              <w:rPr>
                <w:rFonts w:cs="Calibri"/>
                <w:sz w:val="16"/>
                <w:szCs w:val="16"/>
              </w:rPr>
              <w:noBreakHyphen/>
              <w:t>cig</w:t>
            </w:r>
            <w:r w:rsidRPr="000F6DEF">
              <w:rPr>
                <w:rFonts w:cs="Calibri"/>
                <w:sz w:val="16"/>
                <w:szCs w:val="16"/>
              </w:rPr>
              <w:t>arette use past 30 days)</w:t>
            </w:r>
            <w:r w:rsidRPr="000F6DEF">
              <w:rPr>
                <w:rFonts w:cs="Calibri"/>
                <w:sz w:val="16"/>
                <w:szCs w:val="16"/>
              </w:rPr>
              <w:br/>
              <w:t>Demographics</w:t>
            </w:r>
          </w:p>
        </w:tc>
      </w:tr>
      <w:tr w:rsidR="00B85C33" w:rsidRPr="000F6DEF" w14:paraId="7E272936" w14:textId="77777777" w:rsidTr="000376C7">
        <w:trPr>
          <w:trHeight w:val="569"/>
        </w:trPr>
        <w:tc>
          <w:tcPr>
            <w:cnfStyle w:val="001000000000" w:firstRow="0" w:lastRow="0" w:firstColumn="1" w:lastColumn="0" w:oddVBand="0" w:evenVBand="0" w:oddHBand="0" w:evenHBand="0" w:firstRowFirstColumn="0" w:firstRowLastColumn="0" w:lastRowFirstColumn="0" w:lastRowLastColumn="0"/>
            <w:tcW w:w="1271" w:type="dxa"/>
          </w:tcPr>
          <w:p w14:paraId="2E581D23" w14:textId="77777777" w:rsidR="00B85C33" w:rsidRPr="000F6DEF" w:rsidRDefault="00B85C33" w:rsidP="000376C7">
            <w:pPr>
              <w:rPr>
                <w:rFonts w:cs="Calibri"/>
                <w:sz w:val="16"/>
                <w:szCs w:val="16"/>
              </w:rPr>
            </w:pPr>
            <w:r w:rsidRPr="000F6DEF">
              <w:rPr>
                <w:rFonts w:cs="Calibri"/>
                <w:sz w:val="16"/>
                <w:szCs w:val="16"/>
              </w:rPr>
              <w:t>Chesaniuk, Marie, Sokolovsky et al</w:t>
            </w:r>
          </w:p>
        </w:tc>
        <w:tc>
          <w:tcPr>
            <w:tcW w:w="2835" w:type="dxa"/>
          </w:tcPr>
          <w:p w14:paraId="05629485" w14:textId="29443BAB"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Examined motives associated with ENDS use and cessation outcomes</w:t>
            </w:r>
            <w:r w:rsidR="005500FC">
              <w:rPr>
                <w:rFonts w:cs="Calibri"/>
                <w:sz w:val="16"/>
                <w:szCs w:val="16"/>
              </w:rPr>
              <w:t>.</w:t>
            </w:r>
          </w:p>
        </w:tc>
        <w:tc>
          <w:tcPr>
            <w:tcW w:w="1134" w:type="dxa"/>
          </w:tcPr>
          <w:p w14:paraId="31E86CC3"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NR</w:t>
            </w:r>
          </w:p>
        </w:tc>
        <w:tc>
          <w:tcPr>
            <w:tcW w:w="992" w:type="dxa"/>
          </w:tcPr>
          <w:p w14:paraId="3CA14264"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NR</w:t>
            </w:r>
          </w:p>
        </w:tc>
        <w:tc>
          <w:tcPr>
            <w:tcW w:w="993" w:type="dxa"/>
          </w:tcPr>
          <w:p w14:paraId="117CD018"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NR</w:t>
            </w:r>
          </w:p>
        </w:tc>
        <w:tc>
          <w:tcPr>
            <w:tcW w:w="1593" w:type="dxa"/>
          </w:tcPr>
          <w:p w14:paraId="7C47F36B"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304</w:t>
            </w:r>
          </w:p>
          <w:p w14:paraId="6F5253BE"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Mean age: 22.4</w:t>
            </w:r>
          </w:p>
          <w:p w14:paraId="4463943D"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72% male</w:t>
            </w:r>
          </w:p>
        </w:tc>
        <w:tc>
          <w:tcPr>
            <w:tcW w:w="2376" w:type="dxa"/>
          </w:tcPr>
          <w:p w14:paraId="3B3AB783"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Amazon Mturk Platform</w:t>
            </w:r>
          </w:p>
        </w:tc>
        <w:tc>
          <w:tcPr>
            <w:tcW w:w="2268" w:type="dxa"/>
          </w:tcPr>
          <w:p w14:paraId="569EDDC7"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Online</w:t>
            </w:r>
          </w:p>
        </w:tc>
        <w:tc>
          <w:tcPr>
            <w:tcW w:w="1593" w:type="dxa"/>
          </w:tcPr>
          <w:p w14:paraId="27AEF62F"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14</w:t>
            </w:r>
            <w:r w:rsidRPr="000F6DEF">
              <w:rPr>
                <w:rFonts w:cs="Calibri"/>
                <w:sz w:val="16"/>
                <w:szCs w:val="16"/>
              </w:rPr>
              <w:noBreakHyphen/>
              <w:t>item Wisonsin Inventory for Smoking Dependency Motives</w:t>
            </w:r>
            <w:r w:rsidRPr="000F6DEF">
              <w:rPr>
                <w:rFonts w:cs="Calibri"/>
                <w:sz w:val="16"/>
                <w:szCs w:val="16"/>
              </w:rPr>
              <w:br/>
              <w:t>Smoking Consequences Questionnaire</w:t>
            </w:r>
            <w:r w:rsidRPr="000F6DEF">
              <w:rPr>
                <w:rFonts w:cs="Calibri"/>
                <w:sz w:val="16"/>
                <w:szCs w:val="16"/>
              </w:rPr>
              <w:br/>
              <w:t>Smoking patterns</w:t>
            </w:r>
            <w:r w:rsidRPr="000F6DEF">
              <w:rPr>
                <w:rFonts w:cs="Calibri"/>
                <w:sz w:val="16"/>
                <w:szCs w:val="16"/>
              </w:rPr>
              <w:br/>
              <w:t>Demographics</w:t>
            </w:r>
          </w:p>
        </w:tc>
      </w:tr>
      <w:tr w:rsidR="00B85C33" w:rsidRPr="000F6DEF" w14:paraId="340FAF9D" w14:textId="77777777" w:rsidTr="000376C7">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1271" w:type="dxa"/>
          </w:tcPr>
          <w:p w14:paraId="3F64E90A" w14:textId="77777777" w:rsidR="00B85C33" w:rsidRPr="000F6DEF" w:rsidRDefault="00B85C33" w:rsidP="000376C7">
            <w:pPr>
              <w:rPr>
                <w:rFonts w:cs="Calibri"/>
                <w:sz w:val="16"/>
                <w:szCs w:val="16"/>
              </w:rPr>
            </w:pPr>
            <w:r w:rsidRPr="000F6DEF">
              <w:rPr>
                <w:rFonts w:cs="Calibri"/>
                <w:sz w:val="16"/>
                <w:szCs w:val="16"/>
              </w:rPr>
              <w:t xml:space="preserve">De Genna, Goldschmidt, Richardson et al </w:t>
            </w:r>
          </w:p>
        </w:tc>
        <w:tc>
          <w:tcPr>
            <w:tcW w:w="2835" w:type="dxa"/>
          </w:tcPr>
          <w:p w14:paraId="1D4CF82E" w14:textId="2104FB9A"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Parental exposures to maternal cigarette and cannabis use associated with cig use and tobacco dependence</w:t>
            </w:r>
            <w:r w:rsidR="005500FC">
              <w:rPr>
                <w:rFonts w:cs="Calibri"/>
                <w:sz w:val="16"/>
                <w:szCs w:val="16"/>
              </w:rPr>
              <w:t>.</w:t>
            </w:r>
          </w:p>
        </w:tc>
        <w:tc>
          <w:tcPr>
            <w:tcW w:w="1134" w:type="dxa"/>
          </w:tcPr>
          <w:p w14:paraId="2CD9C47E"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NR</w:t>
            </w:r>
          </w:p>
        </w:tc>
        <w:tc>
          <w:tcPr>
            <w:tcW w:w="992" w:type="dxa"/>
          </w:tcPr>
          <w:p w14:paraId="3953F010"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NR</w:t>
            </w:r>
          </w:p>
        </w:tc>
        <w:tc>
          <w:tcPr>
            <w:tcW w:w="993" w:type="dxa"/>
          </w:tcPr>
          <w:p w14:paraId="642D6AEE"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NR</w:t>
            </w:r>
          </w:p>
        </w:tc>
        <w:tc>
          <w:tcPr>
            <w:tcW w:w="1593" w:type="dxa"/>
          </w:tcPr>
          <w:p w14:paraId="3D6C137D"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413</w:t>
            </w:r>
          </w:p>
          <w:p w14:paraId="763472E1"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Mean age: 29.7(3.4)</w:t>
            </w:r>
          </w:p>
          <w:p w14:paraId="55282516"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40% male</w:t>
            </w:r>
          </w:p>
        </w:tc>
        <w:tc>
          <w:tcPr>
            <w:tcW w:w="2376" w:type="dxa"/>
          </w:tcPr>
          <w:p w14:paraId="0023A6DF"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3 prenatal cohorts (unnamed)</w:t>
            </w:r>
          </w:p>
        </w:tc>
        <w:tc>
          <w:tcPr>
            <w:tcW w:w="2268" w:type="dxa"/>
          </w:tcPr>
          <w:p w14:paraId="72C55F5F"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Telephone interview</w:t>
            </w:r>
          </w:p>
        </w:tc>
        <w:tc>
          <w:tcPr>
            <w:tcW w:w="1593" w:type="dxa"/>
          </w:tcPr>
          <w:p w14:paraId="18E8BFB8" w14:textId="7B18788F"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Offspring use of </w:t>
            </w:r>
            <w:r>
              <w:rPr>
                <w:rFonts w:cs="Calibri"/>
                <w:sz w:val="16"/>
                <w:szCs w:val="16"/>
              </w:rPr>
              <w:t>e</w:t>
            </w:r>
            <w:r>
              <w:rPr>
                <w:rFonts w:cs="Calibri"/>
                <w:sz w:val="16"/>
                <w:szCs w:val="16"/>
              </w:rPr>
              <w:noBreakHyphen/>
              <w:t>cig</w:t>
            </w:r>
            <w:r w:rsidR="009971FA">
              <w:rPr>
                <w:rFonts w:cs="Calibri"/>
                <w:sz w:val="16"/>
                <w:szCs w:val="16"/>
              </w:rPr>
              <w:t>arettes</w:t>
            </w:r>
          </w:p>
        </w:tc>
      </w:tr>
      <w:tr w:rsidR="00B85C33" w:rsidRPr="000F6DEF" w14:paraId="7231C105" w14:textId="77777777" w:rsidTr="000376C7">
        <w:trPr>
          <w:trHeight w:val="569"/>
        </w:trPr>
        <w:tc>
          <w:tcPr>
            <w:cnfStyle w:val="001000000000" w:firstRow="0" w:lastRow="0" w:firstColumn="1" w:lastColumn="0" w:oddVBand="0" w:evenVBand="0" w:oddHBand="0" w:evenHBand="0" w:firstRowFirstColumn="0" w:firstRowLastColumn="0" w:lastRowFirstColumn="0" w:lastRowLastColumn="0"/>
            <w:tcW w:w="1271" w:type="dxa"/>
          </w:tcPr>
          <w:p w14:paraId="58D0F599" w14:textId="77777777" w:rsidR="00B85C33" w:rsidRPr="000F6DEF" w:rsidRDefault="00B85C33" w:rsidP="000376C7">
            <w:pPr>
              <w:rPr>
                <w:rFonts w:cs="Calibri"/>
                <w:sz w:val="16"/>
                <w:szCs w:val="16"/>
              </w:rPr>
            </w:pPr>
            <w:r w:rsidRPr="000F6DEF">
              <w:rPr>
                <w:rFonts w:cs="Calibri"/>
                <w:sz w:val="16"/>
                <w:szCs w:val="16"/>
              </w:rPr>
              <w:t>Etter</w:t>
            </w:r>
          </w:p>
        </w:tc>
        <w:tc>
          <w:tcPr>
            <w:tcW w:w="2835" w:type="dxa"/>
          </w:tcPr>
          <w:p w14:paraId="636AC712"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We assessed change in vaping and smoking behaviours over 12 months in regular vapers.</w:t>
            </w:r>
          </w:p>
        </w:tc>
        <w:tc>
          <w:tcPr>
            <w:tcW w:w="1134" w:type="dxa"/>
          </w:tcPr>
          <w:p w14:paraId="1263EB3D"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France (39%), US (18%), Switzerland (12%), UK (4%), and other countries (27%)</w:t>
            </w:r>
            <w:r w:rsidRPr="000F6DEF">
              <w:rPr>
                <w:rFonts w:cs="Calibri"/>
                <w:sz w:val="16"/>
                <w:szCs w:val="16"/>
              </w:rPr>
              <w:br/>
              <w:t>Researchers in Switzerland</w:t>
            </w:r>
          </w:p>
        </w:tc>
        <w:tc>
          <w:tcPr>
            <w:tcW w:w="992" w:type="dxa"/>
          </w:tcPr>
          <w:p w14:paraId="1E4433A4"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Internet</w:t>
            </w:r>
          </w:p>
        </w:tc>
        <w:tc>
          <w:tcPr>
            <w:tcW w:w="993" w:type="dxa"/>
          </w:tcPr>
          <w:p w14:paraId="397DE20F"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2012</w:t>
            </w:r>
            <w:r w:rsidRPr="000F6DEF">
              <w:rPr>
                <w:rFonts w:cs="Calibri"/>
                <w:sz w:val="16"/>
                <w:szCs w:val="16"/>
              </w:rPr>
              <w:noBreakHyphen/>
              <w:t>2016</w:t>
            </w:r>
          </w:p>
        </w:tc>
        <w:tc>
          <w:tcPr>
            <w:tcW w:w="1593" w:type="dxa"/>
          </w:tcPr>
          <w:p w14:paraId="2D563E3B" w14:textId="59C7351B"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3</w:t>
            </w:r>
            <w:r w:rsidR="009971FA">
              <w:rPr>
                <w:rFonts w:cs="Calibri"/>
                <w:sz w:val="16"/>
                <w:szCs w:val="16"/>
              </w:rPr>
              <w:t>,</w:t>
            </w:r>
            <w:r w:rsidRPr="000F6DEF">
              <w:rPr>
                <w:rFonts w:cs="Calibri"/>
                <w:sz w:val="16"/>
                <w:szCs w:val="16"/>
              </w:rPr>
              <w:t>868</w:t>
            </w:r>
          </w:p>
          <w:p w14:paraId="609E1CAC"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Mean age: 41 (baseline)</w:t>
            </w:r>
          </w:p>
          <w:p w14:paraId="2CBED804"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58% male (baseline) </w:t>
            </w:r>
          </w:p>
        </w:tc>
        <w:tc>
          <w:tcPr>
            <w:tcW w:w="2376" w:type="dxa"/>
          </w:tcPr>
          <w:p w14:paraId="3071C9A7"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Posted to smoking cessation website Stop</w:t>
            </w:r>
            <w:r w:rsidRPr="000F6DEF">
              <w:rPr>
                <w:rFonts w:cs="Calibri"/>
                <w:sz w:val="16"/>
                <w:szCs w:val="16"/>
              </w:rPr>
              <w:noBreakHyphen/>
              <w:t>Tabac.ch</w:t>
            </w:r>
            <w:r w:rsidRPr="000F6DEF">
              <w:rPr>
                <w:rFonts w:cs="Calibri"/>
                <w:sz w:val="16"/>
                <w:szCs w:val="16"/>
              </w:rPr>
              <w:br/>
              <w:t xml:space="preserve">We contacted discussion forums and websites informing about </w:t>
            </w:r>
            <w:r>
              <w:rPr>
                <w:rFonts w:cs="Calibri"/>
                <w:sz w:val="16"/>
                <w:szCs w:val="16"/>
              </w:rPr>
              <w:t>e</w:t>
            </w:r>
            <w:r>
              <w:rPr>
                <w:rFonts w:cs="Calibri"/>
                <w:sz w:val="16"/>
                <w:szCs w:val="16"/>
              </w:rPr>
              <w:noBreakHyphen/>
              <w:t>cig</w:t>
            </w:r>
            <w:r w:rsidRPr="000F6DEF">
              <w:rPr>
                <w:rFonts w:cs="Calibri"/>
                <w:sz w:val="16"/>
                <w:szCs w:val="16"/>
              </w:rPr>
              <w:t xml:space="preserve">arettes or selling them, and asked them to publish links to the survey </w:t>
            </w:r>
          </w:p>
        </w:tc>
        <w:tc>
          <w:tcPr>
            <w:tcW w:w="2268" w:type="dxa"/>
          </w:tcPr>
          <w:p w14:paraId="1851C7FD"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Online</w:t>
            </w:r>
          </w:p>
        </w:tc>
        <w:tc>
          <w:tcPr>
            <w:tcW w:w="1593" w:type="dxa"/>
          </w:tcPr>
          <w:p w14:paraId="1471F0DB"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Use of </w:t>
            </w:r>
            <w:r>
              <w:rPr>
                <w:rFonts w:cs="Calibri"/>
                <w:sz w:val="16"/>
                <w:szCs w:val="16"/>
              </w:rPr>
              <w:t>e</w:t>
            </w:r>
            <w:r>
              <w:rPr>
                <w:rFonts w:cs="Calibri"/>
                <w:sz w:val="16"/>
                <w:szCs w:val="16"/>
              </w:rPr>
              <w:noBreakHyphen/>
              <w:t>cig</w:t>
            </w:r>
            <w:r w:rsidRPr="000F6DEF">
              <w:rPr>
                <w:rFonts w:cs="Calibri"/>
                <w:sz w:val="16"/>
                <w:szCs w:val="16"/>
              </w:rPr>
              <w:t>arettes, Smoking status, Cigarette Dependence Scale, Demographics, Reasons to vape, vaping equipment, Minnesota Withdrawal Scale, Perceived addiction and ability to stop vaping, Mood and Physical Symptoms Scale (MPSS)</w:t>
            </w:r>
          </w:p>
        </w:tc>
      </w:tr>
      <w:tr w:rsidR="00B85C33" w:rsidRPr="000F6DEF" w14:paraId="385D99EC" w14:textId="77777777" w:rsidTr="000376C7">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1271" w:type="dxa"/>
          </w:tcPr>
          <w:p w14:paraId="79C6D73F" w14:textId="3A142A18" w:rsidR="00B85C33" w:rsidRPr="000F6DEF" w:rsidRDefault="00B85C33" w:rsidP="000376C7">
            <w:pPr>
              <w:rPr>
                <w:rFonts w:cs="Calibri"/>
                <w:sz w:val="16"/>
                <w:szCs w:val="16"/>
              </w:rPr>
            </w:pPr>
            <w:r w:rsidRPr="000F6DEF">
              <w:rPr>
                <w:rFonts w:cs="Calibri"/>
                <w:sz w:val="16"/>
                <w:szCs w:val="16"/>
              </w:rPr>
              <w:t>Farsalinos, Poulas,</w:t>
            </w:r>
            <w:r w:rsidR="008146F9">
              <w:rPr>
                <w:rFonts w:cs="Calibri"/>
                <w:sz w:val="16"/>
                <w:szCs w:val="16"/>
              </w:rPr>
              <w:t xml:space="preserve"> </w:t>
            </w:r>
            <w:r w:rsidRPr="000F6DEF">
              <w:rPr>
                <w:rFonts w:cs="Calibri"/>
                <w:sz w:val="16"/>
                <w:szCs w:val="16"/>
              </w:rPr>
              <w:t>Voudris, Le Houezec</w:t>
            </w:r>
          </w:p>
        </w:tc>
        <w:tc>
          <w:tcPr>
            <w:tcW w:w="2835" w:type="dxa"/>
          </w:tcPr>
          <w:p w14:paraId="5C3C8498" w14:textId="2B86C84D"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The study purpose was to analyse current daily and current daily nicotine</w:t>
            </w:r>
            <w:r w:rsidRPr="000F6DEF">
              <w:rPr>
                <w:rFonts w:cs="Calibri"/>
                <w:sz w:val="16"/>
                <w:szCs w:val="16"/>
              </w:rPr>
              <w:noBreakHyphen/>
              <w:t>containing electronic cigarette (</w:t>
            </w:r>
            <w:r>
              <w:rPr>
                <w:rFonts w:cs="Calibri"/>
                <w:sz w:val="16"/>
                <w:szCs w:val="16"/>
              </w:rPr>
              <w:t>e</w:t>
            </w:r>
            <w:r>
              <w:rPr>
                <w:rFonts w:cs="Calibri"/>
                <w:sz w:val="16"/>
                <w:szCs w:val="16"/>
              </w:rPr>
              <w:noBreakHyphen/>
              <w:t>cig</w:t>
            </w:r>
            <w:r w:rsidRPr="000F6DEF">
              <w:rPr>
                <w:rFonts w:cs="Calibri"/>
                <w:sz w:val="16"/>
                <w:szCs w:val="16"/>
              </w:rPr>
              <w:t>arette) use in the European Union (EU)</w:t>
            </w:r>
            <w:r w:rsidR="005500FC">
              <w:rPr>
                <w:rFonts w:cs="Calibri"/>
                <w:sz w:val="16"/>
                <w:szCs w:val="16"/>
              </w:rPr>
              <w:t>.</w:t>
            </w:r>
          </w:p>
        </w:tc>
        <w:tc>
          <w:tcPr>
            <w:tcW w:w="1134" w:type="dxa"/>
          </w:tcPr>
          <w:p w14:paraId="18B7AD0A"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Special Eurobarometer 429</w:t>
            </w:r>
          </w:p>
        </w:tc>
        <w:tc>
          <w:tcPr>
            <w:tcW w:w="992" w:type="dxa"/>
          </w:tcPr>
          <w:p w14:paraId="597608BC"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European Union (28 states)</w:t>
            </w:r>
          </w:p>
        </w:tc>
        <w:tc>
          <w:tcPr>
            <w:tcW w:w="993" w:type="dxa"/>
          </w:tcPr>
          <w:p w14:paraId="203A05AA"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2014</w:t>
            </w:r>
          </w:p>
        </w:tc>
        <w:tc>
          <w:tcPr>
            <w:tcW w:w="1593" w:type="dxa"/>
          </w:tcPr>
          <w:p w14:paraId="6CF81DC7"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27,801 in full sample</w:t>
            </w:r>
          </w:p>
        </w:tc>
        <w:tc>
          <w:tcPr>
            <w:tcW w:w="2376" w:type="dxa"/>
          </w:tcPr>
          <w:p w14:paraId="059B3F07"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TNS Opinion &amp; Social at the request of the Directorate</w:t>
            </w:r>
            <w:r w:rsidRPr="000F6DEF">
              <w:rPr>
                <w:rFonts w:cs="Calibri"/>
                <w:sz w:val="16"/>
                <w:szCs w:val="16"/>
              </w:rPr>
              <w:noBreakHyphen/>
              <w:t xml:space="preserve">General for Health and Food Safety. A number of sampling points were drawn in each country, with probability proportional to population size (for a total coverage of the country) and to population density. </w:t>
            </w:r>
          </w:p>
        </w:tc>
        <w:tc>
          <w:tcPr>
            <w:tcW w:w="2268" w:type="dxa"/>
          </w:tcPr>
          <w:p w14:paraId="2FCD9A07"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Face</w:t>
            </w:r>
            <w:r w:rsidRPr="000F6DEF">
              <w:rPr>
                <w:rFonts w:cs="Calibri"/>
                <w:sz w:val="16"/>
                <w:szCs w:val="16"/>
              </w:rPr>
              <w:noBreakHyphen/>
              <w:t>to</w:t>
            </w:r>
            <w:r w:rsidRPr="000F6DEF">
              <w:rPr>
                <w:rFonts w:cs="Calibri"/>
                <w:sz w:val="16"/>
                <w:szCs w:val="16"/>
              </w:rPr>
              <w:noBreakHyphen/>
              <w:t>face interviews in homes</w:t>
            </w:r>
          </w:p>
        </w:tc>
        <w:tc>
          <w:tcPr>
            <w:tcW w:w="1593" w:type="dxa"/>
          </w:tcPr>
          <w:p w14:paraId="7D9AD801"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Smoking status</w:t>
            </w:r>
            <w:r w:rsidRPr="000F6DEF">
              <w:rPr>
                <w:rFonts w:cs="Calibri"/>
                <w:sz w:val="16"/>
                <w:szCs w:val="16"/>
              </w:rPr>
              <w:br/>
            </w:r>
            <w:r>
              <w:rPr>
                <w:rFonts w:cs="Calibri"/>
                <w:sz w:val="16"/>
                <w:szCs w:val="16"/>
              </w:rPr>
              <w:t>e</w:t>
            </w:r>
            <w:r>
              <w:rPr>
                <w:rFonts w:cs="Calibri"/>
                <w:sz w:val="16"/>
                <w:szCs w:val="16"/>
              </w:rPr>
              <w:noBreakHyphen/>
              <w:t>cig</w:t>
            </w:r>
            <w:r w:rsidRPr="000F6DEF">
              <w:rPr>
                <w:rFonts w:cs="Calibri"/>
                <w:sz w:val="16"/>
                <w:szCs w:val="16"/>
              </w:rPr>
              <w:t>arette use and frequency</w:t>
            </w:r>
            <w:r w:rsidRPr="000F6DEF">
              <w:rPr>
                <w:rFonts w:cs="Calibri"/>
                <w:sz w:val="16"/>
                <w:szCs w:val="16"/>
              </w:rPr>
              <w:br/>
            </w:r>
            <w:r>
              <w:rPr>
                <w:rFonts w:cs="Calibri"/>
                <w:sz w:val="16"/>
                <w:szCs w:val="16"/>
              </w:rPr>
              <w:t>e</w:t>
            </w:r>
            <w:r>
              <w:rPr>
                <w:rFonts w:cs="Calibri"/>
                <w:sz w:val="16"/>
                <w:szCs w:val="16"/>
              </w:rPr>
              <w:noBreakHyphen/>
              <w:t>cig</w:t>
            </w:r>
            <w:r w:rsidRPr="000F6DEF">
              <w:rPr>
                <w:rFonts w:cs="Calibri"/>
                <w:sz w:val="16"/>
                <w:szCs w:val="16"/>
              </w:rPr>
              <w:t>arette use to help stop smoking</w:t>
            </w:r>
          </w:p>
        </w:tc>
      </w:tr>
      <w:tr w:rsidR="00B85C33" w:rsidRPr="000F6DEF" w14:paraId="6E3D7883" w14:textId="77777777" w:rsidTr="000376C7">
        <w:trPr>
          <w:trHeight w:val="569"/>
        </w:trPr>
        <w:tc>
          <w:tcPr>
            <w:cnfStyle w:val="001000000000" w:firstRow="0" w:lastRow="0" w:firstColumn="1" w:lastColumn="0" w:oddVBand="0" w:evenVBand="0" w:oddHBand="0" w:evenHBand="0" w:firstRowFirstColumn="0" w:firstRowLastColumn="0" w:lastRowFirstColumn="0" w:lastRowLastColumn="0"/>
            <w:tcW w:w="1271" w:type="dxa"/>
          </w:tcPr>
          <w:p w14:paraId="79E6BA70" w14:textId="77777777" w:rsidR="00B85C33" w:rsidRPr="000F6DEF" w:rsidRDefault="00B85C33" w:rsidP="000376C7">
            <w:pPr>
              <w:rPr>
                <w:rFonts w:cs="Calibri"/>
                <w:sz w:val="16"/>
                <w:szCs w:val="16"/>
              </w:rPr>
            </w:pPr>
            <w:r w:rsidRPr="000F6DEF">
              <w:rPr>
                <w:rFonts w:cs="Calibri"/>
                <w:sz w:val="16"/>
                <w:szCs w:val="16"/>
              </w:rPr>
              <w:lastRenderedPageBreak/>
              <w:t>Farsalinos, Slakas et al 2018</w:t>
            </w:r>
          </w:p>
        </w:tc>
        <w:tc>
          <w:tcPr>
            <w:tcW w:w="2835" w:type="dxa"/>
          </w:tcPr>
          <w:p w14:paraId="238B5460" w14:textId="329FB04A"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Purpose was to assess prevalence and correlates of electronic cigarette (</w:t>
            </w:r>
            <w:r>
              <w:rPr>
                <w:rFonts w:cs="Calibri"/>
                <w:sz w:val="16"/>
                <w:szCs w:val="16"/>
              </w:rPr>
              <w:t>e</w:t>
            </w:r>
            <w:r>
              <w:rPr>
                <w:rFonts w:cs="Calibri"/>
                <w:sz w:val="16"/>
                <w:szCs w:val="16"/>
              </w:rPr>
              <w:noBreakHyphen/>
              <w:t>cig</w:t>
            </w:r>
            <w:r w:rsidRPr="000F6DEF">
              <w:rPr>
                <w:rFonts w:cs="Calibri"/>
                <w:sz w:val="16"/>
                <w:szCs w:val="16"/>
              </w:rPr>
              <w:t>arette) use</w:t>
            </w:r>
            <w:r w:rsidR="005500FC">
              <w:rPr>
                <w:rFonts w:cs="Calibri"/>
                <w:sz w:val="16"/>
                <w:szCs w:val="16"/>
              </w:rPr>
              <w:t>.</w:t>
            </w:r>
          </w:p>
        </w:tc>
        <w:tc>
          <w:tcPr>
            <w:tcW w:w="1134" w:type="dxa"/>
          </w:tcPr>
          <w:p w14:paraId="333099C1"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Investigator developed</w:t>
            </w:r>
          </w:p>
        </w:tc>
        <w:tc>
          <w:tcPr>
            <w:tcW w:w="992" w:type="dxa"/>
          </w:tcPr>
          <w:p w14:paraId="6A874166"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Greece (Attica region)</w:t>
            </w:r>
          </w:p>
        </w:tc>
        <w:tc>
          <w:tcPr>
            <w:tcW w:w="993" w:type="dxa"/>
          </w:tcPr>
          <w:p w14:paraId="61E4E069"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2017</w:t>
            </w:r>
          </w:p>
        </w:tc>
        <w:tc>
          <w:tcPr>
            <w:tcW w:w="1593" w:type="dxa"/>
          </w:tcPr>
          <w:p w14:paraId="24820DBD" w14:textId="3777579F"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4</w:t>
            </w:r>
            <w:r w:rsidR="00326E8E">
              <w:rPr>
                <w:rFonts w:cs="Calibri"/>
                <w:sz w:val="16"/>
                <w:szCs w:val="16"/>
              </w:rPr>
              <w:t>,</w:t>
            </w:r>
            <w:r w:rsidRPr="000F6DEF">
              <w:rPr>
                <w:rFonts w:cs="Calibri"/>
                <w:sz w:val="16"/>
                <w:szCs w:val="16"/>
              </w:rPr>
              <w:t>058, no other details reported</w:t>
            </w:r>
          </w:p>
        </w:tc>
        <w:tc>
          <w:tcPr>
            <w:tcW w:w="2376" w:type="dxa"/>
          </w:tcPr>
          <w:p w14:paraId="2C55CD39"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sample drawn from all registered landlines</w:t>
            </w:r>
          </w:p>
        </w:tc>
        <w:tc>
          <w:tcPr>
            <w:tcW w:w="2268" w:type="dxa"/>
          </w:tcPr>
          <w:p w14:paraId="72AEDB12"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Telephone interview</w:t>
            </w:r>
          </w:p>
        </w:tc>
        <w:tc>
          <w:tcPr>
            <w:tcW w:w="1593" w:type="dxa"/>
          </w:tcPr>
          <w:p w14:paraId="391739CD"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Demographics</w:t>
            </w:r>
          </w:p>
          <w:p w14:paraId="4B11357A"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Smoking and </w:t>
            </w:r>
            <w:r>
              <w:rPr>
                <w:rFonts w:cs="Calibri"/>
                <w:sz w:val="16"/>
                <w:szCs w:val="16"/>
              </w:rPr>
              <w:t>e</w:t>
            </w:r>
            <w:r>
              <w:rPr>
                <w:rFonts w:cs="Calibri"/>
                <w:sz w:val="16"/>
                <w:szCs w:val="16"/>
              </w:rPr>
              <w:noBreakHyphen/>
              <w:t>cig</w:t>
            </w:r>
            <w:r w:rsidRPr="000F6DEF">
              <w:rPr>
                <w:rFonts w:cs="Calibri"/>
                <w:sz w:val="16"/>
                <w:szCs w:val="16"/>
              </w:rPr>
              <w:t>arette use</w:t>
            </w:r>
          </w:p>
        </w:tc>
      </w:tr>
      <w:tr w:rsidR="00B85C33" w:rsidRPr="000F6DEF" w14:paraId="6793BE44" w14:textId="77777777" w:rsidTr="000376C7">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1271" w:type="dxa"/>
          </w:tcPr>
          <w:p w14:paraId="474528B5" w14:textId="77777777" w:rsidR="00B85C33" w:rsidRPr="000F6DEF" w:rsidRDefault="00B85C33" w:rsidP="000376C7">
            <w:pPr>
              <w:rPr>
                <w:rFonts w:cs="Calibri"/>
                <w:sz w:val="16"/>
                <w:szCs w:val="16"/>
              </w:rPr>
            </w:pPr>
            <w:r w:rsidRPr="000F6DEF">
              <w:rPr>
                <w:rFonts w:cs="Calibri"/>
                <w:sz w:val="16"/>
                <w:szCs w:val="16"/>
              </w:rPr>
              <w:t>Ferreira, Bordalo, de Melo et al</w:t>
            </w:r>
          </w:p>
        </w:tc>
        <w:tc>
          <w:tcPr>
            <w:tcW w:w="2835" w:type="dxa"/>
          </w:tcPr>
          <w:p w14:paraId="43378FFB"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Analyse </w:t>
            </w:r>
            <w:r>
              <w:rPr>
                <w:rFonts w:cs="Calibri"/>
                <w:sz w:val="16"/>
                <w:szCs w:val="16"/>
              </w:rPr>
              <w:t>e</w:t>
            </w:r>
            <w:r>
              <w:rPr>
                <w:rFonts w:cs="Calibri"/>
                <w:sz w:val="16"/>
                <w:szCs w:val="16"/>
              </w:rPr>
              <w:noBreakHyphen/>
              <w:t>cig</w:t>
            </w:r>
            <w:r w:rsidRPr="000F6DEF">
              <w:rPr>
                <w:rFonts w:cs="Calibri"/>
                <w:sz w:val="16"/>
                <w:szCs w:val="16"/>
              </w:rPr>
              <w:t xml:space="preserve">arette experimentation in adolescents and determinate risk factors associated with its experimentation. </w:t>
            </w:r>
          </w:p>
        </w:tc>
        <w:tc>
          <w:tcPr>
            <w:tcW w:w="1134" w:type="dxa"/>
          </w:tcPr>
          <w:p w14:paraId="459B5D0F"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Investigator developed </w:t>
            </w:r>
          </w:p>
        </w:tc>
        <w:tc>
          <w:tcPr>
            <w:tcW w:w="992" w:type="dxa"/>
          </w:tcPr>
          <w:p w14:paraId="744DF039"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Portugal</w:t>
            </w:r>
          </w:p>
        </w:tc>
        <w:tc>
          <w:tcPr>
            <w:tcW w:w="993" w:type="dxa"/>
          </w:tcPr>
          <w:p w14:paraId="6D05AA7F"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2015</w:t>
            </w:r>
          </w:p>
        </w:tc>
        <w:tc>
          <w:tcPr>
            <w:tcW w:w="1593" w:type="dxa"/>
          </w:tcPr>
          <w:p w14:paraId="0D6ACAA4"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360</w:t>
            </w:r>
          </w:p>
          <w:p w14:paraId="54ECBCD5"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Mean age: 16.4(1.2)</w:t>
            </w:r>
          </w:p>
          <w:p w14:paraId="19152D9E"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51% male</w:t>
            </w:r>
          </w:p>
        </w:tc>
        <w:tc>
          <w:tcPr>
            <w:tcW w:w="2376" w:type="dxa"/>
          </w:tcPr>
          <w:p w14:paraId="5C83D200"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All the students of the 10th, 11th and 12th years of a Portuguese public school in the municipality of Famalicão were included</w:t>
            </w:r>
          </w:p>
        </w:tc>
        <w:tc>
          <w:tcPr>
            <w:tcW w:w="2268" w:type="dxa"/>
          </w:tcPr>
          <w:p w14:paraId="481C2E67"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Self</w:t>
            </w:r>
            <w:r w:rsidRPr="000F6DEF">
              <w:rPr>
                <w:rFonts w:cs="Calibri"/>
                <w:sz w:val="16"/>
                <w:szCs w:val="16"/>
              </w:rPr>
              <w:noBreakHyphen/>
              <w:t>report, delivered by teachers in the classroom.</w:t>
            </w:r>
          </w:p>
        </w:tc>
        <w:tc>
          <w:tcPr>
            <w:tcW w:w="1593" w:type="dxa"/>
          </w:tcPr>
          <w:p w14:paraId="7C2D0E8A" w14:textId="01C136D1"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Demographics</w:t>
            </w:r>
            <w:r w:rsidRPr="000F6DEF">
              <w:rPr>
                <w:rFonts w:cs="Calibri"/>
                <w:sz w:val="16"/>
                <w:szCs w:val="16"/>
              </w:rPr>
              <w:br/>
              <w:t xml:space="preserve">Ever use </w:t>
            </w:r>
            <w:r>
              <w:rPr>
                <w:rFonts w:cs="Calibri"/>
                <w:sz w:val="16"/>
                <w:szCs w:val="16"/>
              </w:rPr>
              <w:t>e</w:t>
            </w:r>
            <w:r>
              <w:rPr>
                <w:rFonts w:cs="Calibri"/>
                <w:sz w:val="16"/>
                <w:szCs w:val="16"/>
              </w:rPr>
              <w:noBreakHyphen/>
              <w:t>cig</w:t>
            </w:r>
            <w:r w:rsidR="009971FA">
              <w:rPr>
                <w:rFonts w:cs="Calibri"/>
                <w:sz w:val="16"/>
                <w:szCs w:val="16"/>
              </w:rPr>
              <w:t>arettes</w:t>
            </w:r>
            <w:r w:rsidRPr="000F6DEF">
              <w:rPr>
                <w:rFonts w:cs="Calibri"/>
                <w:sz w:val="16"/>
                <w:szCs w:val="16"/>
              </w:rPr>
              <w:t>, tobacco and cannabinoids, age and why</w:t>
            </w:r>
            <w:r w:rsidRPr="000F6DEF">
              <w:rPr>
                <w:rFonts w:cs="Calibri"/>
                <w:sz w:val="16"/>
                <w:szCs w:val="16"/>
              </w:rPr>
              <w:br/>
              <w:t xml:space="preserve">Current use </w:t>
            </w:r>
            <w:r>
              <w:rPr>
                <w:rFonts w:cs="Calibri"/>
                <w:sz w:val="16"/>
                <w:szCs w:val="16"/>
              </w:rPr>
              <w:t>e</w:t>
            </w:r>
            <w:r>
              <w:rPr>
                <w:rFonts w:cs="Calibri"/>
                <w:sz w:val="16"/>
                <w:szCs w:val="16"/>
              </w:rPr>
              <w:noBreakHyphen/>
              <w:t>cig</w:t>
            </w:r>
            <w:r w:rsidR="00D222C9">
              <w:rPr>
                <w:rFonts w:cs="Calibri"/>
                <w:sz w:val="16"/>
                <w:szCs w:val="16"/>
              </w:rPr>
              <w:t>arettes</w:t>
            </w:r>
            <w:r w:rsidRPr="000F6DEF">
              <w:rPr>
                <w:rFonts w:cs="Calibri"/>
                <w:sz w:val="16"/>
                <w:szCs w:val="16"/>
              </w:rPr>
              <w:t>, tobacco and cannabinoids</w:t>
            </w:r>
            <w:r w:rsidRPr="000F6DEF">
              <w:rPr>
                <w:rFonts w:cs="Calibri"/>
                <w:sz w:val="16"/>
                <w:szCs w:val="16"/>
              </w:rPr>
              <w:br/>
              <w:t xml:space="preserve">Knowledge of </w:t>
            </w:r>
            <w:r>
              <w:rPr>
                <w:rFonts w:cs="Calibri"/>
                <w:sz w:val="16"/>
                <w:szCs w:val="16"/>
              </w:rPr>
              <w:t>e</w:t>
            </w:r>
            <w:r>
              <w:rPr>
                <w:rFonts w:cs="Calibri"/>
                <w:sz w:val="16"/>
                <w:szCs w:val="16"/>
              </w:rPr>
              <w:noBreakHyphen/>
              <w:t>cig</w:t>
            </w:r>
            <w:r w:rsidR="00D222C9">
              <w:rPr>
                <w:rFonts w:cs="Calibri"/>
                <w:sz w:val="16"/>
                <w:szCs w:val="16"/>
              </w:rPr>
              <w:t>arettes</w:t>
            </w:r>
          </w:p>
        </w:tc>
      </w:tr>
      <w:tr w:rsidR="00B85C33" w:rsidRPr="000F6DEF" w14:paraId="0ADE1FC1" w14:textId="77777777" w:rsidTr="000376C7">
        <w:trPr>
          <w:trHeight w:val="569"/>
        </w:trPr>
        <w:tc>
          <w:tcPr>
            <w:cnfStyle w:val="001000000000" w:firstRow="0" w:lastRow="0" w:firstColumn="1" w:lastColumn="0" w:oddVBand="0" w:evenVBand="0" w:oddHBand="0" w:evenHBand="0" w:firstRowFirstColumn="0" w:firstRowLastColumn="0" w:lastRowFirstColumn="0" w:lastRowLastColumn="0"/>
            <w:tcW w:w="1271" w:type="dxa"/>
          </w:tcPr>
          <w:p w14:paraId="29F7138A" w14:textId="77777777" w:rsidR="00B85C33" w:rsidRPr="000F6DEF" w:rsidRDefault="00B85C33" w:rsidP="000376C7">
            <w:pPr>
              <w:rPr>
                <w:rFonts w:cs="Calibri"/>
                <w:sz w:val="16"/>
                <w:szCs w:val="16"/>
              </w:rPr>
            </w:pPr>
            <w:r w:rsidRPr="000F6DEF">
              <w:rPr>
                <w:rFonts w:cs="Calibri"/>
                <w:sz w:val="16"/>
                <w:szCs w:val="16"/>
              </w:rPr>
              <w:t>Filippidis, Laverty, Gerovasili et al</w:t>
            </w:r>
          </w:p>
        </w:tc>
        <w:tc>
          <w:tcPr>
            <w:tcW w:w="2835" w:type="dxa"/>
          </w:tcPr>
          <w:p w14:paraId="06B57100"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This study assessed changes in levels of ever use, perceptions of harm from </w:t>
            </w:r>
            <w:r>
              <w:rPr>
                <w:rFonts w:cs="Calibri"/>
                <w:sz w:val="16"/>
                <w:szCs w:val="16"/>
              </w:rPr>
              <w:t>e</w:t>
            </w:r>
            <w:r>
              <w:rPr>
                <w:rFonts w:cs="Calibri"/>
                <w:sz w:val="16"/>
                <w:szCs w:val="16"/>
              </w:rPr>
              <w:noBreakHyphen/>
              <w:t>cig</w:t>
            </w:r>
            <w:r w:rsidRPr="000F6DEF">
              <w:rPr>
                <w:rFonts w:cs="Calibri"/>
                <w:sz w:val="16"/>
                <w:szCs w:val="16"/>
              </w:rPr>
              <w:t>arettes and sociodemographic correlates of use among European Union (EU) adults during 2012</w:t>
            </w:r>
            <w:r w:rsidRPr="000F6DEF">
              <w:rPr>
                <w:rFonts w:cs="Calibri"/>
                <w:sz w:val="16"/>
                <w:szCs w:val="16"/>
              </w:rPr>
              <w:noBreakHyphen/>
              <w:t>2014, as well as determinants of current use in 2014.</w:t>
            </w:r>
          </w:p>
        </w:tc>
        <w:tc>
          <w:tcPr>
            <w:tcW w:w="1134" w:type="dxa"/>
          </w:tcPr>
          <w:p w14:paraId="79BCB4A2" w14:textId="718A5061"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Special Eurobaromete</w:t>
            </w:r>
            <w:r w:rsidR="009971FA">
              <w:rPr>
                <w:rFonts w:cs="Calibri"/>
                <w:sz w:val="16"/>
                <w:szCs w:val="16"/>
              </w:rPr>
              <w:t xml:space="preserve">r </w:t>
            </w:r>
            <w:r w:rsidRPr="000F6DEF">
              <w:rPr>
                <w:rFonts w:cs="Calibri"/>
                <w:sz w:val="16"/>
                <w:szCs w:val="16"/>
              </w:rPr>
              <w:t>for Tobacco survey</w:t>
            </w:r>
          </w:p>
        </w:tc>
        <w:tc>
          <w:tcPr>
            <w:tcW w:w="992" w:type="dxa"/>
          </w:tcPr>
          <w:p w14:paraId="576AAE6D"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EU</w:t>
            </w:r>
          </w:p>
        </w:tc>
        <w:tc>
          <w:tcPr>
            <w:tcW w:w="993" w:type="dxa"/>
          </w:tcPr>
          <w:p w14:paraId="32B263F0"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2012</w:t>
            </w:r>
            <w:r w:rsidRPr="000F6DEF">
              <w:rPr>
                <w:rFonts w:cs="Calibri"/>
                <w:sz w:val="16"/>
                <w:szCs w:val="16"/>
              </w:rPr>
              <w:noBreakHyphen/>
              <w:t>2014</w:t>
            </w:r>
          </w:p>
        </w:tc>
        <w:tc>
          <w:tcPr>
            <w:tcW w:w="1593" w:type="dxa"/>
          </w:tcPr>
          <w:p w14:paraId="00B0CDF3"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26,751 (2012)</w:t>
            </w:r>
            <w:r w:rsidRPr="000F6DEF">
              <w:rPr>
                <w:rFonts w:cs="Calibri"/>
                <w:sz w:val="16"/>
                <w:szCs w:val="16"/>
              </w:rPr>
              <w:br/>
              <w:t>26,792 (2014 ex Croatia)</w:t>
            </w:r>
          </w:p>
        </w:tc>
        <w:tc>
          <w:tcPr>
            <w:tcW w:w="2376" w:type="dxa"/>
          </w:tcPr>
          <w:p w14:paraId="19D99C00"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Probability sampling design</w:t>
            </w:r>
            <w:r w:rsidRPr="000F6DEF">
              <w:rPr>
                <w:rFonts w:cs="Calibri"/>
                <w:sz w:val="16"/>
                <w:szCs w:val="16"/>
              </w:rPr>
              <w:br/>
              <w:t>was followed in each EU member state in both</w:t>
            </w:r>
            <w:r w:rsidRPr="000F6DEF">
              <w:rPr>
                <w:rFonts w:cs="Calibri"/>
                <w:sz w:val="16"/>
                <w:szCs w:val="16"/>
              </w:rPr>
              <w:br/>
              <w:t>waves</w:t>
            </w:r>
          </w:p>
        </w:tc>
        <w:tc>
          <w:tcPr>
            <w:tcW w:w="2268" w:type="dxa"/>
          </w:tcPr>
          <w:p w14:paraId="4C4272BC"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NR</w:t>
            </w:r>
          </w:p>
        </w:tc>
        <w:tc>
          <w:tcPr>
            <w:tcW w:w="1593" w:type="dxa"/>
          </w:tcPr>
          <w:p w14:paraId="2C386742"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Pr>
                <w:rFonts w:cs="Calibri"/>
                <w:sz w:val="16"/>
                <w:szCs w:val="16"/>
              </w:rPr>
              <w:t>E</w:t>
            </w:r>
            <w:r>
              <w:rPr>
                <w:rFonts w:cs="Calibri"/>
                <w:sz w:val="16"/>
                <w:szCs w:val="16"/>
              </w:rPr>
              <w:noBreakHyphen/>
              <w:t>cig</w:t>
            </w:r>
            <w:r w:rsidRPr="000F6DEF">
              <w:rPr>
                <w:rFonts w:cs="Calibri"/>
                <w:sz w:val="16"/>
                <w:szCs w:val="16"/>
              </w:rPr>
              <w:t>arette use ever, current, regular</w:t>
            </w:r>
            <w:r w:rsidRPr="000F6DEF">
              <w:rPr>
                <w:rFonts w:cs="Calibri"/>
                <w:sz w:val="16"/>
                <w:szCs w:val="16"/>
              </w:rPr>
              <w:br/>
              <w:t xml:space="preserve">Reasons for </w:t>
            </w:r>
            <w:r>
              <w:rPr>
                <w:rFonts w:cs="Calibri"/>
                <w:sz w:val="16"/>
                <w:szCs w:val="16"/>
              </w:rPr>
              <w:t>e</w:t>
            </w:r>
            <w:r>
              <w:rPr>
                <w:rFonts w:cs="Calibri"/>
                <w:sz w:val="16"/>
                <w:szCs w:val="16"/>
              </w:rPr>
              <w:noBreakHyphen/>
              <w:t>cig</w:t>
            </w:r>
            <w:r w:rsidRPr="000F6DEF">
              <w:rPr>
                <w:rFonts w:cs="Calibri"/>
                <w:sz w:val="16"/>
                <w:szCs w:val="16"/>
              </w:rPr>
              <w:t>arette use (categorical)</w:t>
            </w:r>
            <w:r w:rsidRPr="000F6DEF">
              <w:rPr>
                <w:rFonts w:cs="Calibri"/>
                <w:sz w:val="16"/>
                <w:szCs w:val="16"/>
              </w:rPr>
              <w:br/>
              <w:t>Perceived harmfulness</w:t>
            </w:r>
            <w:r w:rsidRPr="000F6DEF">
              <w:rPr>
                <w:rFonts w:cs="Calibri"/>
                <w:sz w:val="16"/>
                <w:szCs w:val="16"/>
              </w:rPr>
              <w:br/>
              <w:t>Current tobacco use</w:t>
            </w:r>
            <w:r w:rsidRPr="000F6DEF">
              <w:rPr>
                <w:rFonts w:cs="Calibri"/>
                <w:sz w:val="16"/>
                <w:szCs w:val="16"/>
              </w:rPr>
              <w:br/>
              <w:t>Demographics</w:t>
            </w:r>
          </w:p>
        </w:tc>
      </w:tr>
      <w:tr w:rsidR="00B85C33" w:rsidRPr="000F6DEF" w14:paraId="64D2FD7A" w14:textId="77777777" w:rsidTr="000376C7">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1271" w:type="dxa"/>
          </w:tcPr>
          <w:p w14:paraId="0674DB40" w14:textId="77777777" w:rsidR="00B85C33" w:rsidRPr="000F6DEF" w:rsidRDefault="00B85C33" w:rsidP="000376C7">
            <w:pPr>
              <w:rPr>
                <w:rFonts w:cs="Calibri"/>
                <w:sz w:val="16"/>
                <w:szCs w:val="16"/>
              </w:rPr>
            </w:pPr>
            <w:r w:rsidRPr="000F6DEF">
              <w:rPr>
                <w:rFonts w:cs="Calibri"/>
                <w:sz w:val="16"/>
                <w:szCs w:val="16"/>
              </w:rPr>
              <w:t>Goh, Dujaili, Blebil, Ahmed</w:t>
            </w:r>
          </w:p>
        </w:tc>
        <w:tc>
          <w:tcPr>
            <w:tcW w:w="2835" w:type="dxa"/>
          </w:tcPr>
          <w:p w14:paraId="4C0BD933"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This paper is the first in Malaysia to assess sociodemographic and behavioural characteristics associated with ENDS awareness, perceptions and use among students enrolled in health science programmes. </w:t>
            </w:r>
          </w:p>
        </w:tc>
        <w:tc>
          <w:tcPr>
            <w:tcW w:w="1134" w:type="dxa"/>
          </w:tcPr>
          <w:p w14:paraId="7D986725"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Investigator developed</w:t>
            </w:r>
          </w:p>
        </w:tc>
        <w:tc>
          <w:tcPr>
            <w:tcW w:w="992" w:type="dxa"/>
          </w:tcPr>
          <w:p w14:paraId="5AB9ECAD"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Malaysia</w:t>
            </w:r>
          </w:p>
        </w:tc>
        <w:tc>
          <w:tcPr>
            <w:tcW w:w="993" w:type="dxa"/>
          </w:tcPr>
          <w:p w14:paraId="29B99AF7"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2016</w:t>
            </w:r>
          </w:p>
        </w:tc>
        <w:tc>
          <w:tcPr>
            <w:tcW w:w="1593" w:type="dxa"/>
          </w:tcPr>
          <w:p w14:paraId="507AC1B5"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404</w:t>
            </w:r>
          </w:p>
          <w:p w14:paraId="10661DA4"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28% male</w:t>
            </w:r>
          </w:p>
        </w:tc>
        <w:tc>
          <w:tcPr>
            <w:tcW w:w="2376" w:type="dxa"/>
          </w:tcPr>
          <w:p w14:paraId="388BCABC"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Undergraduates at International Medical University</w:t>
            </w:r>
          </w:p>
        </w:tc>
        <w:tc>
          <w:tcPr>
            <w:tcW w:w="2268" w:type="dxa"/>
          </w:tcPr>
          <w:p w14:paraId="65ED63F0"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Internet survey</w:t>
            </w:r>
          </w:p>
        </w:tc>
        <w:tc>
          <w:tcPr>
            <w:tcW w:w="1593" w:type="dxa"/>
          </w:tcPr>
          <w:p w14:paraId="5F1FDFA1"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Demographics</w:t>
            </w:r>
            <w:r w:rsidRPr="000F6DEF">
              <w:rPr>
                <w:rFonts w:cs="Calibri"/>
                <w:sz w:val="16"/>
                <w:szCs w:val="16"/>
              </w:rPr>
              <w:br/>
            </w:r>
            <w:r>
              <w:rPr>
                <w:rFonts w:cs="Calibri"/>
                <w:sz w:val="16"/>
                <w:szCs w:val="16"/>
              </w:rPr>
              <w:t>e</w:t>
            </w:r>
            <w:r>
              <w:rPr>
                <w:rFonts w:cs="Calibri"/>
                <w:sz w:val="16"/>
                <w:szCs w:val="16"/>
              </w:rPr>
              <w:noBreakHyphen/>
              <w:t>cig</w:t>
            </w:r>
            <w:r w:rsidRPr="000F6DEF">
              <w:rPr>
                <w:rFonts w:cs="Calibri"/>
                <w:sz w:val="16"/>
                <w:szCs w:val="16"/>
              </w:rPr>
              <w:t>arette awareness</w:t>
            </w:r>
            <w:r w:rsidRPr="000F6DEF">
              <w:rPr>
                <w:rFonts w:cs="Calibri"/>
                <w:sz w:val="16"/>
                <w:szCs w:val="16"/>
              </w:rPr>
              <w:br/>
            </w:r>
            <w:r>
              <w:rPr>
                <w:rFonts w:cs="Calibri"/>
                <w:sz w:val="16"/>
                <w:szCs w:val="16"/>
              </w:rPr>
              <w:t>e</w:t>
            </w:r>
            <w:r>
              <w:rPr>
                <w:rFonts w:cs="Calibri"/>
                <w:sz w:val="16"/>
                <w:szCs w:val="16"/>
              </w:rPr>
              <w:noBreakHyphen/>
              <w:t>cig</w:t>
            </w:r>
            <w:r w:rsidRPr="000F6DEF">
              <w:rPr>
                <w:rFonts w:cs="Calibri"/>
                <w:sz w:val="16"/>
                <w:szCs w:val="16"/>
              </w:rPr>
              <w:t>arette perceptions</w:t>
            </w:r>
            <w:r w:rsidRPr="000F6DEF">
              <w:rPr>
                <w:rFonts w:cs="Calibri"/>
                <w:sz w:val="16"/>
                <w:szCs w:val="16"/>
              </w:rPr>
              <w:br/>
              <w:t>cig smoking behaviours</w:t>
            </w:r>
            <w:r w:rsidRPr="000F6DEF">
              <w:rPr>
                <w:rFonts w:cs="Calibri"/>
                <w:sz w:val="16"/>
                <w:szCs w:val="16"/>
              </w:rPr>
              <w:br/>
              <w:t>health</w:t>
            </w:r>
            <w:r w:rsidRPr="000F6DEF">
              <w:rPr>
                <w:rFonts w:cs="Calibri"/>
                <w:sz w:val="16"/>
                <w:szCs w:val="16"/>
              </w:rPr>
              <w:noBreakHyphen/>
              <w:t>risk behaviours</w:t>
            </w:r>
          </w:p>
        </w:tc>
      </w:tr>
      <w:tr w:rsidR="00B85C33" w:rsidRPr="000F6DEF" w14:paraId="55F3996C" w14:textId="77777777" w:rsidTr="000376C7">
        <w:trPr>
          <w:trHeight w:val="569"/>
        </w:trPr>
        <w:tc>
          <w:tcPr>
            <w:cnfStyle w:val="001000000000" w:firstRow="0" w:lastRow="0" w:firstColumn="1" w:lastColumn="0" w:oddVBand="0" w:evenVBand="0" w:oddHBand="0" w:evenHBand="0" w:firstRowFirstColumn="0" w:firstRowLastColumn="0" w:lastRowFirstColumn="0" w:lastRowLastColumn="0"/>
            <w:tcW w:w="1271" w:type="dxa"/>
          </w:tcPr>
          <w:p w14:paraId="0D5310EF" w14:textId="77777777" w:rsidR="00B85C33" w:rsidRPr="000F6DEF" w:rsidRDefault="00B85C33" w:rsidP="000376C7">
            <w:pPr>
              <w:rPr>
                <w:rFonts w:cs="Calibri"/>
                <w:sz w:val="16"/>
                <w:szCs w:val="16"/>
              </w:rPr>
            </w:pPr>
            <w:r w:rsidRPr="000F6DEF">
              <w:rPr>
                <w:rFonts w:cs="Calibri"/>
                <w:sz w:val="16"/>
                <w:szCs w:val="16"/>
              </w:rPr>
              <w:t xml:space="preserve">Kinnunen, Minkkinen, Ollila, Rimpela </w:t>
            </w:r>
          </w:p>
        </w:tc>
        <w:tc>
          <w:tcPr>
            <w:tcW w:w="2835" w:type="dxa"/>
          </w:tcPr>
          <w:p w14:paraId="46BD4B9C"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We present preliminary results on adolescent </w:t>
            </w:r>
            <w:r>
              <w:rPr>
                <w:rFonts w:cs="Calibri"/>
                <w:sz w:val="16"/>
                <w:szCs w:val="16"/>
              </w:rPr>
              <w:t>e</w:t>
            </w:r>
            <w:r>
              <w:rPr>
                <w:rFonts w:cs="Calibri"/>
                <w:sz w:val="16"/>
                <w:szCs w:val="16"/>
              </w:rPr>
              <w:noBreakHyphen/>
              <w:t>cig</w:t>
            </w:r>
            <w:r w:rsidRPr="000F6DEF">
              <w:rPr>
                <w:rFonts w:cs="Calibri"/>
                <w:sz w:val="16"/>
                <w:szCs w:val="16"/>
              </w:rPr>
              <w:t>arette use from the age of 16 to the age of 18 according to the type of liquid (nicotine/non</w:t>
            </w:r>
            <w:r w:rsidRPr="000F6DEF">
              <w:rPr>
                <w:rFonts w:cs="Calibri"/>
                <w:sz w:val="16"/>
                <w:szCs w:val="16"/>
              </w:rPr>
              <w:noBreakHyphen/>
            </w:r>
            <w:r w:rsidRPr="000F6DEF">
              <w:rPr>
                <w:rFonts w:cs="Calibri"/>
                <w:sz w:val="16"/>
                <w:szCs w:val="16"/>
              </w:rPr>
              <w:br/>
              <w:t>nicotine) used in them.</w:t>
            </w:r>
          </w:p>
        </w:tc>
        <w:tc>
          <w:tcPr>
            <w:tcW w:w="1134" w:type="dxa"/>
          </w:tcPr>
          <w:p w14:paraId="670A6EA5"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School Health Survey </w:t>
            </w:r>
          </w:p>
        </w:tc>
        <w:tc>
          <w:tcPr>
            <w:tcW w:w="992" w:type="dxa"/>
          </w:tcPr>
          <w:p w14:paraId="16439B04"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Helsinki, Finland</w:t>
            </w:r>
          </w:p>
        </w:tc>
        <w:tc>
          <w:tcPr>
            <w:tcW w:w="993" w:type="dxa"/>
          </w:tcPr>
          <w:p w14:paraId="3A9EB195"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2014 and 2016</w:t>
            </w:r>
          </w:p>
        </w:tc>
        <w:tc>
          <w:tcPr>
            <w:tcW w:w="1593" w:type="dxa"/>
          </w:tcPr>
          <w:p w14:paraId="750F85C1" w14:textId="6C6091CA"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3</w:t>
            </w:r>
            <w:r w:rsidR="00D222C9">
              <w:rPr>
                <w:rFonts w:cs="Calibri"/>
                <w:sz w:val="16"/>
                <w:szCs w:val="16"/>
              </w:rPr>
              <w:t>,</w:t>
            </w:r>
            <w:r w:rsidRPr="000F6DEF">
              <w:rPr>
                <w:rFonts w:cs="Calibri"/>
                <w:sz w:val="16"/>
                <w:szCs w:val="16"/>
              </w:rPr>
              <w:t>474 adolescents</w:t>
            </w:r>
          </w:p>
          <w:p w14:paraId="6F8B3B24"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Age: 16 to 18 years</w:t>
            </w:r>
          </w:p>
        </w:tc>
        <w:tc>
          <w:tcPr>
            <w:tcW w:w="2376" w:type="dxa"/>
          </w:tcPr>
          <w:p w14:paraId="4B68C1FF"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NR</w:t>
            </w:r>
          </w:p>
        </w:tc>
        <w:tc>
          <w:tcPr>
            <w:tcW w:w="2268" w:type="dxa"/>
          </w:tcPr>
          <w:p w14:paraId="0CE73F76"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NR</w:t>
            </w:r>
          </w:p>
        </w:tc>
        <w:tc>
          <w:tcPr>
            <w:tcW w:w="1593" w:type="dxa"/>
          </w:tcPr>
          <w:p w14:paraId="1E7A53F5"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NR</w:t>
            </w:r>
          </w:p>
        </w:tc>
      </w:tr>
      <w:tr w:rsidR="00B85C33" w:rsidRPr="000F6DEF" w14:paraId="49745D64" w14:textId="77777777" w:rsidTr="000376C7">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1271" w:type="dxa"/>
          </w:tcPr>
          <w:p w14:paraId="7D519FA5" w14:textId="77777777" w:rsidR="00B85C33" w:rsidRPr="000F6DEF" w:rsidRDefault="00B85C33" w:rsidP="000376C7">
            <w:pPr>
              <w:rPr>
                <w:rFonts w:cs="Calibri"/>
                <w:sz w:val="16"/>
                <w:szCs w:val="16"/>
              </w:rPr>
            </w:pPr>
            <w:r w:rsidRPr="000F6DEF">
              <w:rPr>
                <w:rFonts w:cs="Calibri"/>
                <w:sz w:val="16"/>
                <w:szCs w:val="16"/>
              </w:rPr>
              <w:t>Kong, Idrisov, Galimov et al</w:t>
            </w:r>
          </w:p>
        </w:tc>
        <w:tc>
          <w:tcPr>
            <w:tcW w:w="2835" w:type="dxa"/>
          </w:tcPr>
          <w:p w14:paraId="3F666DDC" w14:textId="159BC105"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We examined prevalence of and factors associated with youth </w:t>
            </w:r>
            <w:r>
              <w:rPr>
                <w:rFonts w:cs="Calibri"/>
                <w:sz w:val="16"/>
                <w:szCs w:val="16"/>
              </w:rPr>
              <w:t>e</w:t>
            </w:r>
            <w:r>
              <w:rPr>
                <w:rFonts w:cs="Calibri"/>
                <w:sz w:val="16"/>
                <w:szCs w:val="16"/>
              </w:rPr>
              <w:noBreakHyphen/>
              <w:t>cig</w:t>
            </w:r>
            <w:r w:rsidRPr="000F6DEF">
              <w:rPr>
                <w:rFonts w:cs="Calibri"/>
                <w:sz w:val="16"/>
                <w:szCs w:val="16"/>
              </w:rPr>
              <w:t>arette use in the Russian Federation</w:t>
            </w:r>
            <w:r w:rsidR="005500FC">
              <w:rPr>
                <w:rFonts w:cs="Calibri"/>
                <w:sz w:val="16"/>
                <w:szCs w:val="16"/>
              </w:rPr>
              <w:t>.</w:t>
            </w:r>
          </w:p>
        </w:tc>
        <w:tc>
          <w:tcPr>
            <w:tcW w:w="1134" w:type="dxa"/>
          </w:tcPr>
          <w:p w14:paraId="57916092"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Investigator developed</w:t>
            </w:r>
          </w:p>
        </w:tc>
        <w:tc>
          <w:tcPr>
            <w:tcW w:w="992" w:type="dxa"/>
          </w:tcPr>
          <w:p w14:paraId="7F329E19"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Republic of Bashkortostan, Russian Federation</w:t>
            </w:r>
          </w:p>
        </w:tc>
        <w:tc>
          <w:tcPr>
            <w:tcW w:w="993" w:type="dxa"/>
          </w:tcPr>
          <w:p w14:paraId="53E815D9"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2015</w:t>
            </w:r>
          </w:p>
        </w:tc>
        <w:tc>
          <w:tcPr>
            <w:tcW w:w="1593" w:type="dxa"/>
          </w:tcPr>
          <w:p w14:paraId="099B0DE9"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716 adolescents</w:t>
            </w:r>
          </w:p>
          <w:p w14:paraId="1C716296"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Ages: 35.8% 16yo</w:t>
            </w:r>
          </w:p>
          <w:p w14:paraId="44DFDE26"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49% male</w:t>
            </w:r>
          </w:p>
        </w:tc>
        <w:tc>
          <w:tcPr>
            <w:tcW w:w="2376" w:type="dxa"/>
          </w:tcPr>
          <w:p w14:paraId="5B5A207C"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9 high schools selected as a convenience sample</w:t>
            </w:r>
          </w:p>
        </w:tc>
        <w:tc>
          <w:tcPr>
            <w:tcW w:w="2268" w:type="dxa"/>
          </w:tcPr>
          <w:p w14:paraId="2B9D163B"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NR</w:t>
            </w:r>
          </w:p>
        </w:tc>
        <w:tc>
          <w:tcPr>
            <w:tcW w:w="1593" w:type="dxa"/>
          </w:tcPr>
          <w:p w14:paraId="446A9F76"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Pr>
                <w:rFonts w:cs="Calibri"/>
                <w:sz w:val="16"/>
                <w:szCs w:val="16"/>
              </w:rPr>
              <w:t>E</w:t>
            </w:r>
            <w:r>
              <w:rPr>
                <w:rFonts w:cs="Calibri"/>
                <w:sz w:val="16"/>
                <w:szCs w:val="16"/>
              </w:rPr>
              <w:noBreakHyphen/>
              <w:t>cig</w:t>
            </w:r>
            <w:r w:rsidRPr="000F6DEF">
              <w:rPr>
                <w:rFonts w:cs="Calibri"/>
                <w:sz w:val="16"/>
                <w:szCs w:val="16"/>
              </w:rPr>
              <w:t xml:space="preserve">arette use </w:t>
            </w:r>
            <w:r w:rsidRPr="000F6DEF">
              <w:rPr>
                <w:rFonts w:cs="Calibri"/>
                <w:sz w:val="16"/>
                <w:szCs w:val="16"/>
              </w:rPr>
              <w:br/>
              <w:t>demographics</w:t>
            </w:r>
            <w:r w:rsidRPr="000F6DEF">
              <w:rPr>
                <w:rFonts w:cs="Calibri"/>
                <w:sz w:val="16"/>
                <w:szCs w:val="16"/>
              </w:rPr>
              <w:br/>
              <w:t>antisocial behaviors</w:t>
            </w:r>
            <w:r w:rsidRPr="000F6DEF">
              <w:rPr>
                <w:rFonts w:cs="Calibri"/>
                <w:sz w:val="16"/>
                <w:szCs w:val="16"/>
              </w:rPr>
              <w:br/>
              <w:t>stress coping strategies</w:t>
            </w:r>
            <w:r w:rsidRPr="000F6DEF">
              <w:rPr>
                <w:rFonts w:cs="Calibri"/>
                <w:sz w:val="16"/>
                <w:szCs w:val="16"/>
              </w:rPr>
              <w:br/>
            </w:r>
            <w:r w:rsidRPr="000F6DEF">
              <w:rPr>
                <w:rFonts w:cs="Calibri"/>
                <w:sz w:val="16"/>
                <w:szCs w:val="16"/>
              </w:rPr>
              <w:lastRenderedPageBreak/>
              <w:t>lifetime cigarette, hookah, alcohol, and marijuana use</w:t>
            </w:r>
          </w:p>
        </w:tc>
      </w:tr>
      <w:tr w:rsidR="00B85C33" w:rsidRPr="000F6DEF" w14:paraId="349E6914" w14:textId="77777777" w:rsidTr="000376C7">
        <w:trPr>
          <w:trHeight w:val="569"/>
        </w:trPr>
        <w:tc>
          <w:tcPr>
            <w:cnfStyle w:val="001000000000" w:firstRow="0" w:lastRow="0" w:firstColumn="1" w:lastColumn="0" w:oddVBand="0" w:evenVBand="0" w:oddHBand="0" w:evenHBand="0" w:firstRowFirstColumn="0" w:firstRowLastColumn="0" w:lastRowFirstColumn="0" w:lastRowLastColumn="0"/>
            <w:tcW w:w="1271" w:type="dxa"/>
          </w:tcPr>
          <w:p w14:paraId="102F91E8" w14:textId="77777777" w:rsidR="00B85C33" w:rsidRPr="000F6DEF" w:rsidRDefault="00B85C33" w:rsidP="000376C7">
            <w:pPr>
              <w:rPr>
                <w:rFonts w:cs="Calibri"/>
                <w:sz w:val="16"/>
                <w:szCs w:val="16"/>
              </w:rPr>
            </w:pPr>
            <w:r w:rsidRPr="000F6DEF">
              <w:rPr>
                <w:rFonts w:cs="Calibri"/>
                <w:sz w:val="16"/>
                <w:szCs w:val="16"/>
              </w:rPr>
              <w:lastRenderedPageBreak/>
              <w:t>Koprivnikar, Zupanic</w:t>
            </w:r>
          </w:p>
        </w:tc>
        <w:tc>
          <w:tcPr>
            <w:tcW w:w="2835" w:type="dxa"/>
          </w:tcPr>
          <w:p w14:paraId="0BFD3D30"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The purpose of this paper is to present the latest data on the use of different tobacco and related products, with or without flavours, among 15</w:t>
            </w:r>
            <w:r w:rsidRPr="000F6DEF">
              <w:rPr>
                <w:rFonts w:cs="Calibri"/>
                <w:sz w:val="16"/>
                <w:szCs w:val="16"/>
              </w:rPr>
              <w:noBreakHyphen/>
              <w:t>year old students in Slovenia.</w:t>
            </w:r>
          </w:p>
        </w:tc>
        <w:tc>
          <w:tcPr>
            <w:tcW w:w="1134" w:type="dxa"/>
          </w:tcPr>
          <w:p w14:paraId="0D210DFE"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Health Behaviour in School</w:t>
            </w:r>
            <w:r w:rsidRPr="000F6DEF">
              <w:rPr>
                <w:rFonts w:cs="Calibri"/>
                <w:sz w:val="16"/>
                <w:szCs w:val="16"/>
              </w:rPr>
              <w:noBreakHyphen/>
              <w:t>Aged Children</w:t>
            </w:r>
          </w:p>
        </w:tc>
        <w:tc>
          <w:tcPr>
            <w:tcW w:w="992" w:type="dxa"/>
          </w:tcPr>
          <w:p w14:paraId="48227B8D"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Slovenia</w:t>
            </w:r>
          </w:p>
        </w:tc>
        <w:tc>
          <w:tcPr>
            <w:tcW w:w="993" w:type="dxa"/>
          </w:tcPr>
          <w:p w14:paraId="6DEAA57D"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2014</w:t>
            </w:r>
          </w:p>
        </w:tc>
        <w:tc>
          <w:tcPr>
            <w:tcW w:w="1593" w:type="dxa"/>
          </w:tcPr>
          <w:p w14:paraId="5DDBA15F" w14:textId="7202BD42"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4</w:t>
            </w:r>
            <w:r w:rsidR="00D222C9">
              <w:rPr>
                <w:rFonts w:cs="Calibri"/>
                <w:sz w:val="16"/>
                <w:szCs w:val="16"/>
              </w:rPr>
              <w:t>,</w:t>
            </w:r>
            <w:r w:rsidRPr="000F6DEF">
              <w:rPr>
                <w:rFonts w:cs="Calibri"/>
                <w:sz w:val="16"/>
                <w:szCs w:val="16"/>
              </w:rPr>
              <w:t>997 adolescents</w:t>
            </w:r>
          </w:p>
          <w:p w14:paraId="4DCAA82E"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11, 13, 15 yo</w:t>
            </w:r>
          </w:p>
          <w:p w14:paraId="72A2D169"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49% male</w:t>
            </w:r>
          </w:p>
        </w:tc>
        <w:tc>
          <w:tcPr>
            <w:tcW w:w="2376" w:type="dxa"/>
          </w:tcPr>
          <w:p w14:paraId="6B48AE24"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The survey sample was selected with stratified two</w:t>
            </w:r>
            <w:r w:rsidRPr="000F6DEF">
              <w:rPr>
                <w:rFonts w:cs="Calibri"/>
                <w:sz w:val="16"/>
                <w:szCs w:val="16"/>
              </w:rPr>
              <w:noBreakHyphen/>
              <w:t>stage sampling method</w:t>
            </w:r>
          </w:p>
        </w:tc>
        <w:tc>
          <w:tcPr>
            <w:tcW w:w="2268" w:type="dxa"/>
          </w:tcPr>
          <w:p w14:paraId="5E4D84CD"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Self</w:t>
            </w:r>
            <w:r w:rsidRPr="000F6DEF">
              <w:rPr>
                <w:rFonts w:cs="Calibri"/>
                <w:sz w:val="16"/>
                <w:szCs w:val="16"/>
              </w:rPr>
              <w:noBreakHyphen/>
              <w:t>administered web</w:t>
            </w:r>
            <w:r w:rsidRPr="000F6DEF">
              <w:rPr>
                <w:rFonts w:cs="Calibri"/>
                <w:sz w:val="16"/>
                <w:szCs w:val="16"/>
              </w:rPr>
              <w:noBreakHyphen/>
              <w:t>based</w:t>
            </w:r>
          </w:p>
        </w:tc>
        <w:tc>
          <w:tcPr>
            <w:tcW w:w="1593" w:type="dxa"/>
          </w:tcPr>
          <w:p w14:paraId="5EEC91B3"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Use of different tobacco and related products, flavoured products, the number of cigarettes smoked in the last 30 days, and age at first cigarette smoking were answered only by 15</w:t>
            </w:r>
            <w:r w:rsidRPr="000F6DEF">
              <w:rPr>
                <w:rFonts w:cs="Calibri"/>
                <w:sz w:val="16"/>
                <w:szCs w:val="16"/>
              </w:rPr>
              <w:noBreakHyphen/>
              <w:t>year</w:t>
            </w:r>
            <w:r w:rsidRPr="000F6DEF">
              <w:rPr>
                <w:rFonts w:cs="Calibri"/>
                <w:sz w:val="16"/>
                <w:szCs w:val="16"/>
              </w:rPr>
              <w:noBreakHyphen/>
              <w:t>old students</w:t>
            </w:r>
            <w:r w:rsidRPr="000F6DEF">
              <w:rPr>
                <w:rFonts w:cs="Calibri"/>
                <w:sz w:val="16"/>
                <w:szCs w:val="16"/>
              </w:rPr>
              <w:br/>
              <w:t>Use of different tobacco products in last 30 days</w:t>
            </w:r>
            <w:r w:rsidRPr="000F6DEF">
              <w:rPr>
                <w:rFonts w:cs="Calibri"/>
                <w:sz w:val="16"/>
                <w:szCs w:val="16"/>
              </w:rPr>
              <w:br/>
              <w:t>Use of flavoured products</w:t>
            </w:r>
          </w:p>
        </w:tc>
      </w:tr>
      <w:tr w:rsidR="00B85C33" w:rsidRPr="000F6DEF" w14:paraId="1ADC190D" w14:textId="77777777" w:rsidTr="000376C7">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1271" w:type="dxa"/>
          </w:tcPr>
          <w:p w14:paraId="3C31F111" w14:textId="77777777" w:rsidR="00B85C33" w:rsidRPr="000F6DEF" w:rsidRDefault="00B85C33" w:rsidP="000376C7">
            <w:pPr>
              <w:rPr>
                <w:rFonts w:cs="Calibri"/>
                <w:sz w:val="16"/>
                <w:szCs w:val="16"/>
              </w:rPr>
            </w:pPr>
            <w:r w:rsidRPr="000F6DEF">
              <w:rPr>
                <w:rFonts w:cs="Calibri"/>
                <w:sz w:val="16"/>
                <w:szCs w:val="16"/>
              </w:rPr>
              <w:t>Kusiak, Wojtaszek</w:t>
            </w:r>
            <w:r w:rsidRPr="000F6DEF">
              <w:rPr>
                <w:rFonts w:cs="Calibri"/>
                <w:sz w:val="16"/>
                <w:szCs w:val="16"/>
              </w:rPr>
              <w:noBreakHyphen/>
              <w:t>Słomińska, Chomyszyn</w:t>
            </w:r>
            <w:r w:rsidRPr="000F6DEF">
              <w:rPr>
                <w:rFonts w:cs="Calibri"/>
                <w:sz w:val="16"/>
                <w:szCs w:val="16"/>
              </w:rPr>
              <w:noBreakHyphen/>
              <w:t>Gajewska et al</w:t>
            </w:r>
          </w:p>
        </w:tc>
        <w:tc>
          <w:tcPr>
            <w:tcW w:w="2835" w:type="dxa"/>
          </w:tcPr>
          <w:p w14:paraId="62F9F9FB"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The paper reports an analysis of electronic cigarette use among Polish dental students, particularly concerning the reasons for using </w:t>
            </w:r>
            <w:r>
              <w:rPr>
                <w:rFonts w:cs="Calibri"/>
                <w:sz w:val="16"/>
                <w:szCs w:val="16"/>
              </w:rPr>
              <w:t>e</w:t>
            </w:r>
            <w:r>
              <w:rPr>
                <w:rFonts w:cs="Calibri"/>
                <w:sz w:val="16"/>
                <w:szCs w:val="16"/>
              </w:rPr>
              <w:noBreakHyphen/>
              <w:t>cig</w:t>
            </w:r>
            <w:r w:rsidRPr="000F6DEF">
              <w:rPr>
                <w:rFonts w:cs="Calibri"/>
                <w:sz w:val="16"/>
                <w:szCs w:val="16"/>
              </w:rPr>
              <w:t xml:space="preserve">arettes. </w:t>
            </w:r>
          </w:p>
        </w:tc>
        <w:tc>
          <w:tcPr>
            <w:tcW w:w="1134" w:type="dxa"/>
          </w:tcPr>
          <w:p w14:paraId="2AF80619"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Investigator developed</w:t>
            </w:r>
          </w:p>
        </w:tc>
        <w:tc>
          <w:tcPr>
            <w:tcW w:w="992" w:type="dxa"/>
          </w:tcPr>
          <w:p w14:paraId="080EC6DA"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Poland</w:t>
            </w:r>
          </w:p>
        </w:tc>
        <w:tc>
          <w:tcPr>
            <w:tcW w:w="993" w:type="dxa"/>
          </w:tcPr>
          <w:p w14:paraId="39EF3D89"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2015</w:t>
            </w:r>
            <w:r w:rsidRPr="000F6DEF">
              <w:rPr>
                <w:rFonts w:cs="Calibri"/>
                <w:sz w:val="16"/>
                <w:szCs w:val="16"/>
              </w:rPr>
              <w:noBreakHyphen/>
              <w:t>2016</w:t>
            </w:r>
          </w:p>
        </w:tc>
        <w:tc>
          <w:tcPr>
            <w:tcW w:w="1593" w:type="dxa"/>
          </w:tcPr>
          <w:p w14:paraId="2A188E48"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581</w:t>
            </w:r>
          </w:p>
          <w:p w14:paraId="0B172E03"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Ages: 20</w:t>
            </w:r>
            <w:r w:rsidRPr="000F6DEF">
              <w:rPr>
                <w:rFonts w:cs="Calibri"/>
                <w:sz w:val="16"/>
                <w:szCs w:val="16"/>
              </w:rPr>
              <w:noBreakHyphen/>
              <w:t>25 years</w:t>
            </w:r>
          </w:p>
          <w:p w14:paraId="134CD201"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28% male</w:t>
            </w:r>
          </w:p>
        </w:tc>
        <w:tc>
          <w:tcPr>
            <w:tcW w:w="2376" w:type="dxa"/>
          </w:tcPr>
          <w:p w14:paraId="05212A96"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3 medical universities</w:t>
            </w:r>
          </w:p>
        </w:tc>
        <w:tc>
          <w:tcPr>
            <w:tcW w:w="2268" w:type="dxa"/>
          </w:tcPr>
          <w:p w14:paraId="646B7523"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NR</w:t>
            </w:r>
          </w:p>
        </w:tc>
        <w:tc>
          <w:tcPr>
            <w:tcW w:w="1593" w:type="dxa"/>
          </w:tcPr>
          <w:p w14:paraId="0979A5D9"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Use of </w:t>
            </w:r>
            <w:r>
              <w:rPr>
                <w:rFonts w:cs="Calibri"/>
                <w:sz w:val="16"/>
                <w:szCs w:val="16"/>
              </w:rPr>
              <w:t>e</w:t>
            </w:r>
            <w:r>
              <w:rPr>
                <w:rFonts w:cs="Calibri"/>
                <w:sz w:val="16"/>
                <w:szCs w:val="16"/>
              </w:rPr>
              <w:noBreakHyphen/>
              <w:t>cig</w:t>
            </w:r>
            <w:r w:rsidRPr="000F6DEF">
              <w:rPr>
                <w:rFonts w:cs="Calibri"/>
                <w:sz w:val="16"/>
                <w:szCs w:val="16"/>
              </w:rPr>
              <w:t xml:space="preserve">arettes, smoking habits and motivation to use </w:t>
            </w:r>
            <w:r>
              <w:rPr>
                <w:rFonts w:cs="Calibri"/>
                <w:sz w:val="16"/>
                <w:szCs w:val="16"/>
              </w:rPr>
              <w:t>e</w:t>
            </w:r>
            <w:r>
              <w:rPr>
                <w:rFonts w:cs="Calibri"/>
                <w:sz w:val="16"/>
                <w:szCs w:val="16"/>
              </w:rPr>
              <w:noBreakHyphen/>
              <w:t>cig</w:t>
            </w:r>
            <w:r w:rsidRPr="000F6DEF">
              <w:rPr>
                <w:rFonts w:cs="Calibri"/>
                <w:sz w:val="16"/>
                <w:szCs w:val="16"/>
              </w:rPr>
              <w:t>arettes</w:t>
            </w:r>
          </w:p>
        </w:tc>
      </w:tr>
      <w:tr w:rsidR="00B85C33" w:rsidRPr="000F6DEF" w14:paraId="576C5500" w14:textId="77777777" w:rsidTr="000376C7">
        <w:trPr>
          <w:trHeight w:val="569"/>
        </w:trPr>
        <w:tc>
          <w:tcPr>
            <w:cnfStyle w:val="001000000000" w:firstRow="0" w:lastRow="0" w:firstColumn="1" w:lastColumn="0" w:oddVBand="0" w:evenVBand="0" w:oddHBand="0" w:evenHBand="0" w:firstRowFirstColumn="0" w:firstRowLastColumn="0" w:lastRowFirstColumn="0" w:lastRowLastColumn="0"/>
            <w:tcW w:w="1271" w:type="dxa"/>
          </w:tcPr>
          <w:p w14:paraId="08B9C970" w14:textId="77777777" w:rsidR="00B85C33" w:rsidRPr="000F6DEF" w:rsidRDefault="00B85C33" w:rsidP="000376C7">
            <w:pPr>
              <w:rPr>
                <w:rFonts w:cs="Calibri"/>
                <w:sz w:val="16"/>
                <w:szCs w:val="16"/>
              </w:rPr>
            </w:pPr>
            <w:r w:rsidRPr="000F6DEF">
              <w:rPr>
                <w:rFonts w:cs="Calibri"/>
                <w:sz w:val="16"/>
                <w:szCs w:val="16"/>
              </w:rPr>
              <w:t>Lee, Lee, Cho</w:t>
            </w:r>
          </w:p>
        </w:tc>
        <w:tc>
          <w:tcPr>
            <w:tcW w:w="2835" w:type="dxa"/>
          </w:tcPr>
          <w:p w14:paraId="5A718CA0"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This study aims to determine the relation between the frequency of </w:t>
            </w:r>
            <w:r>
              <w:rPr>
                <w:rFonts w:cs="Calibri"/>
                <w:sz w:val="16"/>
                <w:szCs w:val="16"/>
              </w:rPr>
              <w:t>e</w:t>
            </w:r>
            <w:r>
              <w:rPr>
                <w:rFonts w:cs="Calibri"/>
                <w:sz w:val="16"/>
                <w:szCs w:val="16"/>
              </w:rPr>
              <w:noBreakHyphen/>
              <w:t>cig</w:t>
            </w:r>
            <w:r w:rsidRPr="000F6DEF">
              <w:rPr>
                <w:rFonts w:cs="Calibri"/>
                <w:sz w:val="16"/>
                <w:szCs w:val="16"/>
              </w:rPr>
              <w:t xml:space="preserve">arette use and the frequency and intensity of cigarette smoking. Additionally, the study evaluates the association between the reasons for </w:t>
            </w:r>
            <w:r>
              <w:rPr>
                <w:rFonts w:cs="Calibri"/>
                <w:sz w:val="16"/>
                <w:szCs w:val="16"/>
              </w:rPr>
              <w:t>e</w:t>
            </w:r>
            <w:r>
              <w:rPr>
                <w:rFonts w:cs="Calibri"/>
                <w:sz w:val="16"/>
                <w:szCs w:val="16"/>
              </w:rPr>
              <w:noBreakHyphen/>
              <w:t>cig</w:t>
            </w:r>
            <w:r w:rsidRPr="000F6DEF">
              <w:rPr>
                <w:rFonts w:cs="Calibri"/>
                <w:sz w:val="16"/>
                <w:szCs w:val="16"/>
              </w:rPr>
              <w:t xml:space="preserve">arette use and the frequency of its use. </w:t>
            </w:r>
          </w:p>
        </w:tc>
        <w:tc>
          <w:tcPr>
            <w:tcW w:w="1134" w:type="dxa"/>
          </w:tcPr>
          <w:p w14:paraId="512CC624"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Korean Youth Risk Behaviour Web</w:t>
            </w:r>
            <w:r w:rsidRPr="000F6DEF">
              <w:rPr>
                <w:rFonts w:cs="Calibri"/>
                <w:sz w:val="16"/>
                <w:szCs w:val="16"/>
              </w:rPr>
              <w:noBreakHyphen/>
              <w:t>Based Survey</w:t>
            </w:r>
          </w:p>
        </w:tc>
        <w:tc>
          <w:tcPr>
            <w:tcW w:w="992" w:type="dxa"/>
          </w:tcPr>
          <w:p w14:paraId="3DBA421F"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South Korea</w:t>
            </w:r>
          </w:p>
        </w:tc>
        <w:tc>
          <w:tcPr>
            <w:tcW w:w="993" w:type="dxa"/>
          </w:tcPr>
          <w:p w14:paraId="2D878072"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2015</w:t>
            </w:r>
          </w:p>
        </w:tc>
        <w:tc>
          <w:tcPr>
            <w:tcW w:w="1593" w:type="dxa"/>
          </w:tcPr>
          <w:p w14:paraId="42575F72" w14:textId="35626F3C"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6</w:t>
            </w:r>
            <w:r w:rsidR="00D222C9">
              <w:rPr>
                <w:rFonts w:cs="Calibri"/>
                <w:sz w:val="16"/>
                <w:szCs w:val="16"/>
              </w:rPr>
              <w:t>,</w:t>
            </w:r>
            <w:r w:rsidRPr="000F6DEF">
              <w:rPr>
                <w:rFonts w:cs="Calibri"/>
                <w:sz w:val="16"/>
                <w:szCs w:val="16"/>
              </w:rPr>
              <w:t xml:space="preserve">655 had </w:t>
            </w:r>
            <w:r>
              <w:rPr>
                <w:rFonts w:cs="Calibri"/>
                <w:sz w:val="16"/>
                <w:szCs w:val="16"/>
              </w:rPr>
              <w:t>e</w:t>
            </w:r>
            <w:r>
              <w:rPr>
                <w:rFonts w:cs="Calibri"/>
                <w:sz w:val="16"/>
                <w:szCs w:val="16"/>
              </w:rPr>
              <w:noBreakHyphen/>
              <w:t>cig</w:t>
            </w:r>
            <w:r w:rsidRPr="000F6DEF">
              <w:rPr>
                <w:rFonts w:cs="Calibri"/>
                <w:sz w:val="16"/>
                <w:szCs w:val="16"/>
              </w:rPr>
              <w:t>arette experience</w:t>
            </w:r>
            <w:r w:rsidRPr="000F6DEF">
              <w:rPr>
                <w:rFonts w:cs="Calibri"/>
                <w:sz w:val="16"/>
                <w:szCs w:val="16"/>
              </w:rPr>
              <w:br/>
              <w:t>total 70,362 students</w:t>
            </w:r>
          </w:p>
          <w:p w14:paraId="2CF55D93"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Ages: 13</w:t>
            </w:r>
            <w:r w:rsidRPr="000F6DEF">
              <w:rPr>
                <w:rFonts w:cs="Calibri"/>
                <w:sz w:val="16"/>
                <w:szCs w:val="16"/>
              </w:rPr>
              <w:noBreakHyphen/>
              <w:t>18</w:t>
            </w:r>
          </w:p>
          <w:p w14:paraId="5C139CFA"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52% male</w:t>
            </w:r>
          </w:p>
        </w:tc>
        <w:tc>
          <w:tcPr>
            <w:tcW w:w="2376" w:type="dxa"/>
          </w:tcPr>
          <w:p w14:paraId="777A1515"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Multistage, stratified, cluster</w:t>
            </w:r>
            <w:r w:rsidRPr="000F6DEF">
              <w:rPr>
                <w:rFonts w:cs="Calibri"/>
                <w:sz w:val="16"/>
                <w:szCs w:val="16"/>
              </w:rPr>
              <w:noBreakHyphen/>
              <w:t>sampling</w:t>
            </w:r>
            <w:r w:rsidRPr="000F6DEF">
              <w:rPr>
                <w:rFonts w:cs="Calibri"/>
                <w:sz w:val="16"/>
                <w:szCs w:val="16"/>
              </w:rPr>
              <w:br/>
              <w:t>method</w:t>
            </w:r>
          </w:p>
        </w:tc>
        <w:tc>
          <w:tcPr>
            <w:tcW w:w="2268" w:type="dxa"/>
          </w:tcPr>
          <w:p w14:paraId="2187C6E9"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Web</w:t>
            </w:r>
          </w:p>
        </w:tc>
        <w:tc>
          <w:tcPr>
            <w:tcW w:w="1593" w:type="dxa"/>
          </w:tcPr>
          <w:p w14:paraId="70E68AEB" w14:textId="6EF4537D"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Cigarette and </w:t>
            </w:r>
            <w:r>
              <w:rPr>
                <w:rFonts w:cs="Calibri"/>
                <w:sz w:val="16"/>
                <w:szCs w:val="16"/>
              </w:rPr>
              <w:t>e</w:t>
            </w:r>
            <w:r>
              <w:rPr>
                <w:rFonts w:cs="Calibri"/>
                <w:sz w:val="16"/>
                <w:szCs w:val="16"/>
              </w:rPr>
              <w:noBreakHyphen/>
              <w:t>cig</w:t>
            </w:r>
            <w:r w:rsidRPr="000F6DEF">
              <w:rPr>
                <w:rFonts w:cs="Calibri"/>
                <w:sz w:val="16"/>
                <w:szCs w:val="16"/>
              </w:rPr>
              <w:t>arette use</w:t>
            </w:r>
            <w:r w:rsidRPr="000F6DEF">
              <w:rPr>
                <w:rFonts w:cs="Calibri"/>
                <w:sz w:val="16"/>
                <w:szCs w:val="16"/>
              </w:rPr>
              <w:br/>
              <w:t xml:space="preserve">Reasons for use of </w:t>
            </w:r>
            <w:r>
              <w:rPr>
                <w:rFonts w:cs="Calibri"/>
                <w:sz w:val="16"/>
                <w:szCs w:val="16"/>
              </w:rPr>
              <w:t>e</w:t>
            </w:r>
            <w:r>
              <w:rPr>
                <w:rFonts w:cs="Calibri"/>
                <w:sz w:val="16"/>
                <w:szCs w:val="16"/>
              </w:rPr>
              <w:noBreakHyphen/>
              <w:t>cig</w:t>
            </w:r>
            <w:r w:rsidR="00D222C9">
              <w:rPr>
                <w:rFonts w:cs="Calibri"/>
                <w:sz w:val="16"/>
                <w:szCs w:val="16"/>
              </w:rPr>
              <w:t>arettes</w:t>
            </w:r>
            <w:r w:rsidRPr="000F6DEF">
              <w:rPr>
                <w:rFonts w:cs="Calibri"/>
                <w:sz w:val="16"/>
                <w:szCs w:val="16"/>
              </w:rPr>
              <w:br/>
              <w:t>Demographics</w:t>
            </w:r>
          </w:p>
        </w:tc>
      </w:tr>
      <w:tr w:rsidR="00B85C33" w:rsidRPr="000F6DEF" w14:paraId="07DEEBC9" w14:textId="77777777" w:rsidTr="000376C7">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1271" w:type="dxa"/>
          </w:tcPr>
          <w:p w14:paraId="7205D61C" w14:textId="77777777" w:rsidR="00B85C33" w:rsidRPr="000F6DEF" w:rsidRDefault="00B85C33" w:rsidP="000376C7">
            <w:pPr>
              <w:rPr>
                <w:rFonts w:cs="Calibri"/>
                <w:sz w:val="16"/>
                <w:szCs w:val="16"/>
              </w:rPr>
            </w:pPr>
            <w:r w:rsidRPr="000F6DEF">
              <w:rPr>
                <w:rFonts w:cs="Calibri"/>
                <w:sz w:val="16"/>
                <w:szCs w:val="16"/>
              </w:rPr>
              <w:t>Lehmann, Kuhn, Reimer</w:t>
            </w:r>
          </w:p>
        </w:tc>
        <w:tc>
          <w:tcPr>
            <w:tcW w:w="2835" w:type="dxa"/>
          </w:tcPr>
          <w:p w14:paraId="64F3ECB3"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The aim of the study was to characterize </w:t>
            </w:r>
            <w:r>
              <w:rPr>
                <w:rFonts w:cs="Calibri"/>
                <w:sz w:val="16"/>
                <w:szCs w:val="16"/>
              </w:rPr>
              <w:t>e</w:t>
            </w:r>
            <w:r>
              <w:rPr>
                <w:rFonts w:cs="Calibri"/>
                <w:sz w:val="16"/>
                <w:szCs w:val="16"/>
              </w:rPr>
              <w:noBreakHyphen/>
              <w:t>cig</w:t>
            </w:r>
            <w:r w:rsidRPr="000F6DEF">
              <w:rPr>
                <w:rFonts w:cs="Calibri"/>
                <w:sz w:val="16"/>
                <w:szCs w:val="16"/>
              </w:rPr>
              <w:t xml:space="preserve">arette users in terms of their consumption patterns, motives, and the perceived health benefits they experience from using </w:t>
            </w:r>
            <w:r>
              <w:rPr>
                <w:rFonts w:cs="Calibri"/>
                <w:sz w:val="16"/>
                <w:szCs w:val="16"/>
              </w:rPr>
              <w:t>e</w:t>
            </w:r>
            <w:r>
              <w:rPr>
                <w:rFonts w:cs="Calibri"/>
                <w:sz w:val="16"/>
                <w:szCs w:val="16"/>
              </w:rPr>
              <w:noBreakHyphen/>
              <w:t>cig</w:t>
            </w:r>
            <w:r w:rsidRPr="000F6DEF">
              <w:rPr>
                <w:rFonts w:cs="Calibri"/>
                <w:sz w:val="16"/>
                <w:szCs w:val="16"/>
              </w:rPr>
              <w:t xml:space="preserve">arettes. </w:t>
            </w:r>
          </w:p>
        </w:tc>
        <w:tc>
          <w:tcPr>
            <w:tcW w:w="1134" w:type="dxa"/>
          </w:tcPr>
          <w:p w14:paraId="7CCC8B08"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Investigator developed with 133 questions</w:t>
            </w:r>
          </w:p>
        </w:tc>
        <w:tc>
          <w:tcPr>
            <w:tcW w:w="992" w:type="dxa"/>
          </w:tcPr>
          <w:p w14:paraId="4DFEA359"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Germany</w:t>
            </w:r>
          </w:p>
        </w:tc>
        <w:tc>
          <w:tcPr>
            <w:tcW w:w="993" w:type="dxa"/>
          </w:tcPr>
          <w:p w14:paraId="3CCD6779"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2015</w:t>
            </w:r>
          </w:p>
        </w:tc>
        <w:tc>
          <w:tcPr>
            <w:tcW w:w="1593" w:type="dxa"/>
          </w:tcPr>
          <w:p w14:paraId="2F075424"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3,320</w:t>
            </w:r>
          </w:p>
          <w:p w14:paraId="4733B1FC"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Mean age: 40.8(11.0)</w:t>
            </w:r>
          </w:p>
          <w:p w14:paraId="253FE046"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81% male</w:t>
            </w:r>
          </w:p>
        </w:tc>
        <w:tc>
          <w:tcPr>
            <w:tcW w:w="2376" w:type="dxa"/>
          </w:tcPr>
          <w:p w14:paraId="1E8B9B19"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Online banner and flyer distributed to producers and traders</w:t>
            </w:r>
          </w:p>
        </w:tc>
        <w:tc>
          <w:tcPr>
            <w:tcW w:w="2268" w:type="dxa"/>
          </w:tcPr>
          <w:p w14:paraId="6CC9D45D"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Lime Survey (online)</w:t>
            </w:r>
          </w:p>
        </w:tc>
        <w:tc>
          <w:tcPr>
            <w:tcW w:w="1593" w:type="dxa"/>
          </w:tcPr>
          <w:p w14:paraId="15E4DC2A"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Demographics</w:t>
            </w:r>
            <w:r w:rsidRPr="000F6DEF">
              <w:rPr>
                <w:rFonts w:cs="Calibri"/>
                <w:sz w:val="16"/>
                <w:szCs w:val="16"/>
              </w:rPr>
              <w:br/>
              <w:t>Vaping status, device and liquids</w:t>
            </w:r>
            <w:r w:rsidRPr="000F6DEF">
              <w:rPr>
                <w:rFonts w:cs="Calibri"/>
                <w:sz w:val="16"/>
                <w:szCs w:val="16"/>
              </w:rPr>
              <w:br/>
              <w:t>Smoking behaviour</w:t>
            </w:r>
            <w:r w:rsidRPr="000F6DEF">
              <w:rPr>
                <w:rFonts w:cs="Calibri"/>
                <w:sz w:val="16"/>
                <w:szCs w:val="16"/>
              </w:rPr>
              <w:br/>
              <w:t>Risk of dependency</w:t>
            </w:r>
            <w:r w:rsidRPr="000F6DEF">
              <w:rPr>
                <w:rFonts w:cs="Calibri"/>
                <w:sz w:val="16"/>
                <w:szCs w:val="16"/>
              </w:rPr>
              <w:br/>
              <w:t xml:space="preserve">Reasons for </w:t>
            </w:r>
            <w:r>
              <w:rPr>
                <w:rFonts w:cs="Calibri"/>
                <w:sz w:val="16"/>
                <w:szCs w:val="16"/>
              </w:rPr>
              <w:t>e</w:t>
            </w:r>
            <w:r>
              <w:rPr>
                <w:rFonts w:cs="Calibri"/>
                <w:sz w:val="16"/>
                <w:szCs w:val="16"/>
              </w:rPr>
              <w:noBreakHyphen/>
              <w:t>cig</w:t>
            </w:r>
            <w:r w:rsidRPr="000F6DEF">
              <w:rPr>
                <w:rFonts w:cs="Calibri"/>
                <w:sz w:val="16"/>
                <w:szCs w:val="16"/>
              </w:rPr>
              <w:t>arette use</w:t>
            </w:r>
            <w:r w:rsidRPr="000F6DEF">
              <w:rPr>
                <w:rFonts w:cs="Calibri"/>
                <w:sz w:val="16"/>
                <w:szCs w:val="16"/>
              </w:rPr>
              <w:br/>
              <w:t>Perceived health changes</w:t>
            </w:r>
            <w:r w:rsidRPr="000F6DEF">
              <w:rPr>
                <w:rFonts w:cs="Calibri"/>
                <w:sz w:val="16"/>
                <w:szCs w:val="16"/>
              </w:rPr>
              <w:br/>
              <w:t xml:space="preserve">Smoking/vaping </w:t>
            </w:r>
            <w:r w:rsidRPr="000F6DEF">
              <w:rPr>
                <w:rFonts w:cs="Calibri"/>
                <w:sz w:val="16"/>
                <w:szCs w:val="16"/>
              </w:rPr>
              <w:lastRenderedPageBreak/>
              <w:t>cessation</w:t>
            </w:r>
            <w:r w:rsidRPr="000F6DEF">
              <w:rPr>
                <w:rFonts w:cs="Calibri"/>
                <w:sz w:val="16"/>
                <w:szCs w:val="16"/>
              </w:rPr>
              <w:br/>
              <w:t xml:space="preserve">Opinion about </w:t>
            </w:r>
            <w:r>
              <w:rPr>
                <w:rFonts w:cs="Calibri"/>
                <w:sz w:val="16"/>
                <w:szCs w:val="16"/>
              </w:rPr>
              <w:t>e</w:t>
            </w:r>
            <w:r>
              <w:rPr>
                <w:rFonts w:cs="Calibri"/>
                <w:sz w:val="16"/>
                <w:szCs w:val="16"/>
              </w:rPr>
              <w:noBreakHyphen/>
              <w:t>cig</w:t>
            </w:r>
          </w:p>
        </w:tc>
      </w:tr>
      <w:tr w:rsidR="00B85C33" w:rsidRPr="000F6DEF" w14:paraId="18B7921A" w14:textId="77777777" w:rsidTr="000376C7">
        <w:trPr>
          <w:trHeight w:val="569"/>
        </w:trPr>
        <w:tc>
          <w:tcPr>
            <w:cnfStyle w:val="001000000000" w:firstRow="0" w:lastRow="0" w:firstColumn="1" w:lastColumn="0" w:oddVBand="0" w:evenVBand="0" w:oddHBand="0" w:evenHBand="0" w:firstRowFirstColumn="0" w:firstRowLastColumn="0" w:lastRowFirstColumn="0" w:lastRowLastColumn="0"/>
            <w:tcW w:w="1271" w:type="dxa"/>
          </w:tcPr>
          <w:p w14:paraId="0E083E29" w14:textId="77777777" w:rsidR="00B85C33" w:rsidRPr="000F6DEF" w:rsidRDefault="00B85C33" w:rsidP="000376C7">
            <w:pPr>
              <w:rPr>
                <w:rFonts w:cs="Calibri"/>
                <w:sz w:val="16"/>
                <w:szCs w:val="16"/>
              </w:rPr>
            </w:pPr>
            <w:r w:rsidRPr="000F6DEF">
              <w:rPr>
                <w:rFonts w:cs="Calibri"/>
                <w:sz w:val="16"/>
                <w:szCs w:val="16"/>
              </w:rPr>
              <w:lastRenderedPageBreak/>
              <w:t>Leung, Ho, Chen et al</w:t>
            </w:r>
          </w:p>
        </w:tc>
        <w:tc>
          <w:tcPr>
            <w:tcW w:w="2835" w:type="dxa"/>
          </w:tcPr>
          <w:p w14:paraId="6D4570F3"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We investigated favourable perceptions of electronic cigarettes (</w:t>
            </w:r>
            <w:r>
              <w:rPr>
                <w:rFonts w:cs="Calibri"/>
                <w:sz w:val="16"/>
                <w:szCs w:val="16"/>
              </w:rPr>
              <w:t>e</w:t>
            </w:r>
            <w:r>
              <w:rPr>
                <w:rFonts w:cs="Calibri"/>
                <w:sz w:val="16"/>
                <w:szCs w:val="16"/>
              </w:rPr>
              <w:noBreakHyphen/>
              <w:t>cig</w:t>
            </w:r>
            <w:r w:rsidRPr="000F6DEF">
              <w:rPr>
                <w:rFonts w:cs="Calibri"/>
                <w:sz w:val="16"/>
                <w:szCs w:val="16"/>
              </w:rPr>
              <w:t xml:space="preserve">arettes) relative to cigarettes and their associations with </w:t>
            </w:r>
            <w:r>
              <w:rPr>
                <w:rFonts w:cs="Calibri"/>
                <w:sz w:val="16"/>
                <w:szCs w:val="16"/>
              </w:rPr>
              <w:t>e</w:t>
            </w:r>
            <w:r>
              <w:rPr>
                <w:rFonts w:cs="Calibri"/>
                <w:sz w:val="16"/>
                <w:szCs w:val="16"/>
              </w:rPr>
              <w:noBreakHyphen/>
              <w:t>cig</w:t>
            </w:r>
            <w:r w:rsidRPr="000F6DEF">
              <w:rPr>
                <w:rFonts w:cs="Calibri"/>
                <w:sz w:val="16"/>
                <w:szCs w:val="16"/>
              </w:rPr>
              <w:t xml:space="preserve">arette use susceptibility in adolescents. </w:t>
            </w:r>
          </w:p>
        </w:tc>
        <w:tc>
          <w:tcPr>
            <w:tcW w:w="1134" w:type="dxa"/>
          </w:tcPr>
          <w:p w14:paraId="1C0B141D"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Investigator developed based on Global Youth Tobacco Survey</w:t>
            </w:r>
          </w:p>
        </w:tc>
        <w:tc>
          <w:tcPr>
            <w:tcW w:w="992" w:type="dxa"/>
          </w:tcPr>
          <w:p w14:paraId="700F5D7F"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Hong Kong</w:t>
            </w:r>
          </w:p>
        </w:tc>
        <w:tc>
          <w:tcPr>
            <w:tcW w:w="993" w:type="dxa"/>
          </w:tcPr>
          <w:p w14:paraId="1882BD7C"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2014/2015</w:t>
            </w:r>
          </w:p>
        </w:tc>
        <w:tc>
          <w:tcPr>
            <w:tcW w:w="1593" w:type="dxa"/>
          </w:tcPr>
          <w:p w14:paraId="6AAC0AB2" w14:textId="2E33DAAC"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40</w:t>
            </w:r>
            <w:r w:rsidR="00D222C9">
              <w:rPr>
                <w:rFonts w:cs="Calibri"/>
                <w:sz w:val="16"/>
                <w:szCs w:val="16"/>
              </w:rPr>
              <w:t>,</w:t>
            </w:r>
            <w:r w:rsidRPr="000F6DEF">
              <w:rPr>
                <w:rFonts w:cs="Calibri"/>
                <w:sz w:val="16"/>
                <w:szCs w:val="16"/>
              </w:rPr>
              <w:t>202 adolescents</w:t>
            </w:r>
          </w:p>
          <w:p w14:paraId="652347E5"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Mean age: 14.9(1.8)</w:t>
            </w:r>
          </w:p>
          <w:p w14:paraId="158A185A"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52% male</w:t>
            </w:r>
          </w:p>
        </w:tc>
        <w:tc>
          <w:tcPr>
            <w:tcW w:w="2376" w:type="dxa"/>
          </w:tcPr>
          <w:p w14:paraId="6DD4E758"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92 schools randomly selected from all the 18 districts in Hong Kong were invited to complete an anonymous questionnaire </w:t>
            </w:r>
          </w:p>
        </w:tc>
        <w:tc>
          <w:tcPr>
            <w:tcW w:w="2268" w:type="dxa"/>
          </w:tcPr>
          <w:p w14:paraId="1BBC1315"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The survey was conducted in classrooms, and completed answer sheets were collected and sealed in an opaque envelope by research staff in front of students.</w:t>
            </w:r>
          </w:p>
        </w:tc>
        <w:tc>
          <w:tcPr>
            <w:tcW w:w="1593" w:type="dxa"/>
          </w:tcPr>
          <w:p w14:paraId="1934C6B3" w14:textId="00692BDB"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Cigarette smoking status</w:t>
            </w:r>
            <w:r w:rsidRPr="000F6DEF">
              <w:rPr>
                <w:rFonts w:cs="Calibri"/>
                <w:sz w:val="16"/>
                <w:szCs w:val="16"/>
              </w:rPr>
              <w:br/>
            </w:r>
            <w:r>
              <w:rPr>
                <w:rFonts w:cs="Calibri"/>
                <w:sz w:val="16"/>
                <w:szCs w:val="16"/>
              </w:rPr>
              <w:t>e</w:t>
            </w:r>
            <w:r>
              <w:rPr>
                <w:rFonts w:cs="Calibri"/>
                <w:sz w:val="16"/>
                <w:szCs w:val="16"/>
              </w:rPr>
              <w:noBreakHyphen/>
              <w:t>cig</w:t>
            </w:r>
            <w:r w:rsidRPr="000F6DEF">
              <w:rPr>
                <w:rFonts w:cs="Calibri"/>
                <w:sz w:val="16"/>
                <w:szCs w:val="16"/>
              </w:rPr>
              <w:t xml:space="preserve">arette status including susceptibility </w:t>
            </w:r>
            <w:r w:rsidRPr="000F6DEF">
              <w:rPr>
                <w:rFonts w:cs="Calibri"/>
                <w:sz w:val="16"/>
                <w:szCs w:val="16"/>
              </w:rPr>
              <w:br/>
              <w:t xml:space="preserve">Favourable perceptions of </w:t>
            </w:r>
            <w:r>
              <w:rPr>
                <w:rFonts w:cs="Calibri"/>
                <w:sz w:val="16"/>
                <w:szCs w:val="16"/>
              </w:rPr>
              <w:t>e</w:t>
            </w:r>
            <w:r>
              <w:rPr>
                <w:rFonts w:cs="Calibri"/>
                <w:sz w:val="16"/>
                <w:szCs w:val="16"/>
              </w:rPr>
              <w:noBreakHyphen/>
              <w:t>cig</w:t>
            </w:r>
            <w:r w:rsidR="00D222C9">
              <w:rPr>
                <w:rFonts w:cs="Calibri"/>
                <w:sz w:val="16"/>
                <w:szCs w:val="16"/>
              </w:rPr>
              <w:t>arettes</w:t>
            </w:r>
            <w:r w:rsidRPr="000F6DEF">
              <w:rPr>
                <w:rFonts w:cs="Calibri"/>
                <w:sz w:val="16"/>
                <w:szCs w:val="16"/>
              </w:rPr>
              <w:br/>
              <w:t>Demographics</w:t>
            </w:r>
          </w:p>
        </w:tc>
      </w:tr>
      <w:tr w:rsidR="00B85C33" w:rsidRPr="000F6DEF" w14:paraId="034ADC40" w14:textId="77777777" w:rsidTr="000376C7">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1271" w:type="dxa"/>
          </w:tcPr>
          <w:p w14:paraId="556CB773" w14:textId="77777777" w:rsidR="00B85C33" w:rsidRPr="000F6DEF" w:rsidRDefault="00B85C33" w:rsidP="000376C7">
            <w:pPr>
              <w:rPr>
                <w:rFonts w:cs="Calibri"/>
                <w:sz w:val="16"/>
                <w:szCs w:val="16"/>
              </w:rPr>
            </w:pPr>
            <w:r w:rsidRPr="000F6DEF">
              <w:rPr>
                <w:rFonts w:cs="Calibri"/>
                <w:sz w:val="16"/>
                <w:szCs w:val="16"/>
              </w:rPr>
              <w:t>Lindstrom, Rosvall</w:t>
            </w:r>
          </w:p>
        </w:tc>
        <w:tc>
          <w:tcPr>
            <w:tcW w:w="2835" w:type="dxa"/>
          </w:tcPr>
          <w:p w14:paraId="46C6A5F9"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The aim was to investigate associations between </w:t>
            </w:r>
            <w:r>
              <w:rPr>
                <w:rFonts w:cs="Calibri"/>
                <w:sz w:val="16"/>
                <w:szCs w:val="16"/>
              </w:rPr>
              <w:t>e</w:t>
            </w:r>
            <w:r>
              <w:rPr>
                <w:rFonts w:cs="Calibri"/>
                <w:sz w:val="16"/>
                <w:szCs w:val="16"/>
              </w:rPr>
              <w:noBreakHyphen/>
              <w:t>cig</w:t>
            </w:r>
            <w:r w:rsidRPr="000F6DEF">
              <w:rPr>
                <w:rFonts w:cs="Calibri"/>
                <w:sz w:val="16"/>
                <w:szCs w:val="16"/>
              </w:rPr>
              <w:t xml:space="preserve">arette use and social and psychosocial factors and cigarette smoking, alcohol consumption, and narcotics use among adolescents attending 9th grade in primary school and 2nd grade in secondary school. </w:t>
            </w:r>
          </w:p>
        </w:tc>
        <w:tc>
          <w:tcPr>
            <w:tcW w:w="1134" w:type="dxa"/>
          </w:tcPr>
          <w:p w14:paraId="4DDA0A36"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No name</w:t>
            </w:r>
          </w:p>
        </w:tc>
        <w:tc>
          <w:tcPr>
            <w:tcW w:w="992" w:type="dxa"/>
          </w:tcPr>
          <w:p w14:paraId="40C6A1C5"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Scania, Sweden</w:t>
            </w:r>
          </w:p>
        </w:tc>
        <w:tc>
          <w:tcPr>
            <w:tcW w:w="993" w:type="dxa"/>
          </w:tcPr>
          <w:p w14:paraId="1F38C87A"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2016</w:t>
            </w:r>
          </w:p>
        </w:tc>
        <w:tc>
          <w:tcPr>
            <w:tcW w:w="1593" w:type="dxa"/>
          </w:tcPr>
          <w:p w14:paraId="606FB5DA"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13,835 adolescents</w:t>
            </w:r>
          </w:p>
        </w:tc>
        <w:tc>
          <w:tcPr>
            <w:tcW w:w="2376" w:type="dxa"/>
          </w:tcPr>
          <w:p w14:paraId="38A05B9D"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The study was conducted among pupils in the 6th and 9th grades of the primary school (grundskolan) and the 2nd grade in secondary</w:t>
            </w:r>
            <w:r w:rsidRPr="000F6DEF">
              <w:rPr>
                <w:rFonts w:cs="Calibri"/>
                <w:sz w:val="16"/>
                <w:szCs w:val="16"/>
              </w:rPr>
              <w:br/>
              <w:t>school (gymnasieskolan)</w:t>
            </w:r>
          </w:p>
        </w:tc>
        <w:tc>
          <w:tcPr>
            <w:tcW w:w="2268" w:type="dxa"/>
          </w:tcPr>
          <w:p w14:paraId="7AE773B1"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Questionnaires were either distributed by</w:t>
            </w:r>
            <w:r w:rsidRPr="000F6DEF">
              <w:rPr>
                <w:rFonts w:cs="Calibri"/>
                <w:sz w:val="16"/>
                <w:szCs w:val="16"/>
              </w:rPr>
              <w:br/>
              <w:t>the teachers in the class room, answered by the respondents, and gathered in the class room during scheduled time in</w:t>
            </w:r>
            <w:r w:rsidRPr="000F6DEF">
              <w:rPr>
                <w:rFonts w:cs="Calibri"/>
                <w:sz w:val="16"/>
                <w:szCs w:val="16"/>
              </w:rPr>
              <w:br/>
              <w:t>school or distributed and answered digitally during class</w:t>
            </w:r>
          </w:p>
        </w:tc>
        <w:tc>
          <w:tcPr>
            <w:tcW w:w="1593" w:type="dxa"/>
          </w:tcPr>
          <w:p w14:paraId="1C4E4F74"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Pr>
                <w:rFonts w:cs="Calibri"/>
                <w:sz w:val="16"/>
                <w:szCs w:val="16"/>
              </w:rPr>
              <w:t>e</w:t>
            </w:r>
            <w:r>
              <w:rPr>
                <w:rFonts w:cs="Calibri"/>
                <w:sz w:val="16"/>
                <w:szCs w:val="16"/>
              </w:rPr>
              <w:noBreakHyphen/>
              <w:t>cig</w:t>
            </w:r>
            <w:r w:rsidRPr="000F6DEF">
              <w:rPr>
                <w:rFonts w:cs="Calibri"/>
                <w:sz w:val="16"/>
                <w:szCs w:val="16"/>
              </w:rPr>
              <w:t>arette ever use and 30</w:t>
            </w:r>
            <w:r w:rsidRPr="000F6DEF">
              <w:rPr>
                <w:rFonts w:cs="Calibri"/>
                <w:sz w:val="16"/>
                <w:szCs w:val="16"/>
              </w:rPr>
              <w:noBreakHyphen/>
              <w:t>day use</w:t>
            </w:r>
            <w:r w:rsidRPr="000F6DEF">
              <w:rPr>
                <w:rFonts w:cs="Calibri"/>
                <w:sz w:val="16"/>
                <w:szCs w:val="16"/>
              </w:rPr>
              <w:br/>
              <w:t>Narcotic use</w:t>
            </w:r>
            <w:r w:rsidRPr="000F6DEF">
              <w:rPr>
                <w:rFonts w:cs="Calibri"/>
                <w:sz w:val="16"/>
                <w:szCs w:val="16"/>
              </w:rPr>
              <w:br/>
              <w:t>Happiness in school</w:t>
            </w:r>
            <w:r w:rsidRPr="000F6DEF">
              <w:rPr>
                <w:rFonts w:cs="Calibri"/>
                <w:sz w:val="16"/>
                <w:szCs w:val="16"/>
              </w:rPr>
              <w:br/>
              <w:t>Difficulties in school</w:t>
            </w:r>
            <w:r w:rsidRPr="000F6DEF">
              <w:rPr>
                <w:rFonts w:cs="Calibri"/>
                <w:sz w:val="16"/>
                <w:szCs w:val="16"/>
              </w:rPr>
              <w:br/>
              <w:t>Stressed by school</w:t>
            </w:r>
            <w:r w:rsidRPr="000F6DEF">
              <w:rPr>
                <w:rFonts w:cs="Calibri"/>
                <w:sz w:val="16"/>
                <w:szCs w:val="16"/>
              </w:rPr>
              <w:br/>
              <w:t>Generalised trust</w:t>
            </w:r>
          </w:p>
        </w:tc>
      </w:tr>
      <w:tr w:rsidR="00B85C33" w:rsidRPr="000F6DEF" w14:paraId="4CCBAE6B" w14:textId="77777777" w:rsidTr="000376C7">
        <w:trPr>
          <w:trHeight w:val="569"/>
        </w:trPr>
        <w:tc>
          <w:tcPr>
            <w:cnfStyle w:val="001000000000" w:firstRow="0" w:lastRow="0" w:firstColumn="1" w:lastColumn="0" w:oddVBand="0" w:evenVBand="0" w:oddHBand="0" w:evenHBand="0" w:firstRowFirstColumn="0" w:firstRowLastColumn="0" w:lastRowFirstColumn="0" w:lastRowLastColumn="0"/>
            <w:tcW w:w="1271" w:type="dxa"/>
          </w:tcPr>
          <w:p w14:paraId="69F0452F" w14:textId="77777777" w:rsidR="00B85C33" w:rsidRPr="000F6DEF" w:rsidRDefault="00B85C33" w:rsidP="000376C7">
            <w:pPr>
              <w:rPr>
                <w:rFonts w:cs="Calibri"/>
                <w:sz w:val="16"/>
                <w:szCs w:val="16"/>
              </w:rPr>
            </w:pPr>
            <w:r w:rsidRPr="000F6DEF">
              <w:rPr>
                <w:rFonts w:cs="Calibri"/>
                <w:sz w:val="16"/>
                <w:szCs w:val="16"/>
              </w:rPr>
              <w:t>Milicic, Leatherdale</w:t>
            </w:r>
          </w:p>
        </w:tc>
        <w:tc>
          <w:tcPr>
            <w:tcW w:w="2835" w:type="dxa"/>
          </w:tcPr>
          <w:p w14:paraId="419B1649"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This study examines the associations between </w:t>
            </w:r>
            <w:r>
              <w:rPr>
                <w:rFonts w:cs="Calibri"/>
                <w:sz w:val="16"/>
                <w:szCs w:val="16"/>
              </w:rPr>
              <w:t>e</w:t>
            </w:r>
            <w:r>
              <w:rPr>
                <w:rFonts w:cs="Calibri"/>
                <w:sz w:val="16"/>
                <w:szCs w:val="16"/>
              </w:rPr>
              <w:noBreakHyphen/>
              <w:t>cig</w:t>
            </w:r>
            <w:r w:rsidRPr="000F6DEF">
              <w:rPr>
                <w:rFonts w:cs="Calibri"/>
                <w:sz w:val="16"/>
                <w:szCs w:val="16"/>
              </w:rPr>
              <w:t>arette use and tobacco, marijuana, and alcohol use among a large sample of Canadian youth.</w:t>
            </w:r>
          </w:p>
        </w:tc>
        <w:tc>
          <w:tcPr>
            <w:tcW w:w="1134" w:type="dxa"/>
          </w:tcPr>
          <w:p w14:paraId="75B2C2D0"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COMPASS study</w:t>
            </w:r>
          </w:p>
        </w:tc>
        <w:tc>
          <w:tcPr>
            <w:tcW w:w="992" w:type="dxa"/>
          </w:tcPr>
          <w:p w14:paraId="65E88CA9"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Canada</w:t>
            </w:r>
          </w:p>
        </w:tc>
        <w:tc>
          <w:tcPr>
            <w:tcW w:w="993" w:type="dxa"/>
          </w:tcPr>
          <w:p w14:paraId="25692D33"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2014</w:t>
            </w:r>
            <w:r w:rsidRPr="000F6DEF">
              <w:rPr>
                <w:rFonts w:cs="Calibri"/>
                <w:sz w:val="16"/>
                <w:szCs w:val="16"/>
              </w:rPr>
              <w:noBreakHyphen/>
              <w:t>2015</w:t>
            </w:r>
          </w:p>
        </w:tc>
        <w:tc>
          <w:tcPr>
            <w:tcW w:w="1593" w:type="dxa"/>
          </w:tcPr>
          <w:p w14:paraId="4EF7D664" w14:textId="321B0A1B"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39,837 (year 3)</w:t>
            </w:r>
            <w:r w:rsidR="008146F9">
              <w:rPr>
                <w:rFonts w:cs="Calibri"/>
                <w:sz w:val="16"/>
                <w:szCs w:val="16"/>
              </w:rPr>
              <w:t xml:space="preserve"> </w:t>
            </w:r>
            <w:r w:rsidRPr="000F6DEF">
              <w:rPr>
                <w:rFonts w:cs="Calibri"/>
                <w:sz w:val="16"/>
                <w:szCs w:val="16"/>
              </w:rPr>
              <w:t>adolescents</w:t>
            </w:r>
          </w:p>
          <w:p w14:paraId="14E8A481"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Grade 9</w:t>
            </w:r>
            <w:r w:rsidRPr="000F6DEF">
              <w:rPr>
                <w:rFonts w:cs="Calibri"/>
                <w:sz w:val="16"/>
                <w:szCs w:val="16"/>
              </w:rPr>
              <w:noBreakHyphen/>
              <w:t>12 students</w:t>
            </w:r>
            <w:r w:rsidRPr="000F6DEF">
              <w:rPr>
                <w:rFonts w:cs="Calibri"/>
                <w:sz w:val="16"/>
                <w:szCs w:val="16"/>
              </w:rPr>
              <w:br/>
              <w:t>27.2% 15 years</w:t>
            </w:r>
          </w:p>
          <w:p w14:paraId="3BFBAB1A"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50% male</w:t>
            </w:r>
          </w:p>
        </w:tc>
        <w:tc>
          <w:tcPr>
            <w:tcW w:w="2376" w:type="dxa"/>
          </w:tcPr>
          <w:p w14:paraId="40DFCDCD"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Purposefully sampled secondary schools</w:t>
            </w:r>
          </w:p>
        </w:tc>
        <w:tc>
          <w:tcPr>
            <w:tcW w:w="2268" w:type="dxa"/>
          </w:tcPr>
          <w:p w14:paraId="64E704A4"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NR</w:t>
            </w:r>
          </w:p>
        </w:tc>
        <w:tc>
          <w:tcPr>
            <w:tcW w:w="1593" w:type="dxa"/>
          </w:tcPr>
          <w:p w14:paraId="0DA9F93F"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Pr>
                <w:rFonts w:cs="Calibri"/>
                <w:sz w:val="16"/>
                <w:szCs w:val="16"/>
              </w:rPr>
              <w:t>E</w:t>
            </w:r>
            <w:r>
              <w:rPr>
                <w:rFonts w:cs="Calibri"/>
                <w:sz w:val="16"/>
                <w:szCs w:val="16"/>
              </w:rPr>
              <w:noBreakHyphen/>
              <w:t>cig</w:t>
            </w:r>
            <w:r w:rsidRPr="000F6DEF">
              <w:rPr>
                <w:rFonts w:cs="Calibri"/>
                <w:sz w:val="16"/>
                <w:szCs w:val="16"/>
              </w:rPr>
              <w:t>arette use past 30 days</w:t>
            </w:r>
            <w:r w:rsidRPr="000F6DEF">
              <w:rPr>
                <w:rFonts w:cs="Calibri"/>
                <w:sz w:val="16"/>
                <w:szCs w:val="16"/>
              </w:rPr>
              <w:br/>
              <w:t>Demographics</w:t>
            </w:r>
            <w:r w:rsidRPr="000F6DEF">
              <w:rPr>
                <w:rFonts w:cs="Calibri"/>
                <w:sz w:val="16"/>
                <w:szCs w:val="16"/>
              </w:rPr>
              <w:br/>
              <w:t xml:space="preserve">Cig smoking </w:t>
            </w:r>
            <w:r w:rsidRPr="000F6DEF">
              <w:rPr>
                <w:rFonts w:cs="Calibri"/>
                <w:sz w:val="16"/>
                <w:szCs w:val="16"/>
              </w:rPr>
              <w:br/>
              <w:t>Binge drinking</w:t>
            </w:r>
            <w:r w:rsidRPr="000F6DEF">
              <w:rPr>
                <w:rFonts w:cs="Calibri"/>
                <w:sz w:val="16"/>
                <w:szCs w:val="16"/>
              </w:rPr>
              <w:br/>
              <w:t>Marijuana use</w:t>
            </w:r>
          </w:p>
        </w:tc>
      </w:tr>
      <w:tr w:rsidR="00B85C33" w:rsidRPr="000F6DEF" w14:paraId="6BA2BB4E" w14:textId="77777777" w:rsidTr="000376C7">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1271" w:type="dxa"/>
          </w:tcPr>
          <w:p w14:paraId="3CEF121E" w14:textId="77777777" w:rsidR="00B85C33" w:rsidRPr="000F6DEF" w:rsidRDefault="00B85C33" w:rsidP="000376C7">
            <w:pPr>
              <w:rPr>
                <w:rFonts w:cs="Calibri"/>
                <w:sz w:val="16"/>
                <w:szCs w:val="16"/>
              </w:rPr>
            </w:pPr>
            <w:r w:rsidRPr="000F6DEF">
              <w:rPr>
                <w:rFonts w:cs="Calibri"/>
                <w:sz w:val="16"/>
                <w:szCs w:val="16"/>
              </w:rPr>
              <w:t>Montreuil, MacDonald, Asbridge et al</w:t>
            </w:r>
          </w:p>
        </w:tc>
        <w:tc>
          <w:tcPr>
            <w:tcW w:w="2835" w:type="dxa"/>
          </w:tcPr>
          <w:p w14:paraId="3A96DB2C"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The aims of this study were to describe the prevalence of </w:t>
            </w:r>
            <w:r>
              <w:rPr>
                <w:rFonts w:cs="Calibri"/>
                <w:sz w:val="16"/>
                <w:szCs w:val="16"/>
              </w:rPr>
              <w:t>e</w:t>
            </w:r>
            <w:r>
              <w:rPr>
                <w:rFonts w:cs="Calibri"/>
                <w:sz w:val="16"/>
                <w:szCs w:val="16"/>
              </w:rPr>
              <w:noBreakHyphen/>
              <w:t>cig</w:t>
            </w:r>
            <w:r w:rsidRPr="000F6DEF">
              <w:rPr>
                <w:rFonts w:cs="Calibri"/>
                <w:sz w:val="16"/>
                <w:szCs w:val="16"/>
              </w:rPr>
              <w:t>arette use among youth in Canada, by province, across sociodemographic variables and smoking</w:t>
            </w:r>
            <w:r w:rsidRPr="000F6DEF">
              <w:rPr>
                <w:rFonts w:cs="Calibri"/>
                <w:sz w:val="16"/>
                <w:szCs w:val="16"/>
              </w:rPr>
              <w:noBreakHyphen/>
              <w:t xml:space="preserve">related correlates; and to examine associations among </w:t>
            </w:r>
            <w:r>
              <w:rPr>
                <w:rFonts w:cs="Calibri"/>
                <w:sz w:val="16"/>
                <w:szCs w:val="16"/>
              </w:rPr>
              <w:t>e</w:t>
            </w:r>
            <w:r>
              <w:rPr>
                <w:rFonts w:cs="Calibri"/>
                <w:sz w:val="16"/>
                <w:szCs w:val="16"/>
              </w:rPr>
              <w:noBreakHyphen/>
              <w:t>cig</w:t>
            </w:r>
            <w:r w:rsidRPr="000F6DEF">
              <w:rPr>
                <w:rFonts w:cs="Calibri"/>
                <w:sz w:val="16"/>
                <w:szCs w:val="16"/>
              </w:rPr>
              <w:t>arette use, sociodemographic variables and smoking</w:t>
            </w:r>
            <w:r w:rsidRPr="000F6DEF">
              <w:rPr>
                <w:rFonts w:cs="Calibri"/>
                <w:sz w:val="16"/>
                <w:szCs w:val="16"/>
              </w:rPr>
              <w:noBreakHyphen/>
              <w:t xml:space="preserve">related correlates, with adjustment for other factors. </w:t>
            </w:r>
          </w:p>
        </w:tc>
        <w:tc>
          <w:tcPr>
            <w:tcW w:w="1134" w:type="dxa"/>
          </w:tcPr>
          <w:p w14:paraId="4862EB65"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Canadian Student Tobacco, Alcohol and Drugs Survey</w:t>
            </w:r>
          </w:p>
        </w:tc>
        <w:tc>
          <w:tcPr>
            <w:tcW w:w="992" w:type="dxa"/>
          </w:tcPr>
          <w:p w14:paraId="15ED5550"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Canada</w:t>
            </w:r>
          </w:p>
        </w:tc>
        <w:tc>
          <w:tcPr>
            <w:tcW w:w="993" w:type="dxa"/>
          </w:tcPr>
          <w:p w14:paraId="4CEEACD0"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2014/2015</w:t>
            </w:r>
          </w:p>
        </w:tc>
        <w:tc>
          <w:tcPr>
            <w:tcW w:w="1593" w:type="dxa"/>
          </w:tcPr>
          <w:p w14:paraId="7B687DBA" w14:textId="33A3A9C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42</w:t>
            </w:r>
            <w:r w:rsidR="00D222C9">
              <w:rPr>
                <w:rFonts w:cs="Calibri"/>
                <w:sz w:val="16"/>
                <w:szCs w:val="16"/>
              </w:rPr>
              <w:t>,</w:t>
            </w:r>
            <w:r w:rsidRPr="000F6DEF">
              <w:rPr>
                <w:rFonts w:cs="Calibri"/>
                <w:sz w:val="16"/>
                <w:szCs w:val="16"/>
              </w:rPr>
              <w:t>094 adolescents</w:t>
            </w:r>
          </w:p>
          <w:p w14:paraId="72AC446D"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Grades 6</w:t>
            </w:r>
            <w:r w:rsidRPr="000F6DEF">
              <w:rPr>
                <w:rFonts w:cs="Calibri"/>
                <w:sz w:val="16"/>
                <w:szCs w:val="16"/>
              </w:rPr>
              <w:noBreakHyphen/>
              <w:t>12</w:t>
            </w:r>
          </w:p>
          <w:p w14:paraId="55C9ED2D"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60% male</w:t>
            </w:r>
          </w:p>
        </w:tc>
        <w:tc>
          <w:tcPr>
            <w:tcW w:w="2376" w:type="dxa"/>
          </w:tcPr>
          <w:p w14:paraId="3E9CC09F"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Stratified, single</w:t>
            </w:r>
            <w:r w:rsidRPr="000F6DEF">
              <w:rPr>
                <w:rFonts w:cs="Calibri"/>
                <w:sz w:val="16"/>
                <w:szCs w:val="16"/>
              </w:rPr>
              <w:noBreakHyphen/>
              <w:t>stage cluster design, with strata based on health</w:t>
            </w:r>
            <w:r w:rsidRPr="000F6DEF">
              <w:rPr>
                <w:rFonts w:cs="Calibri"/>
                <w:sz w:val="16"/>
                <w:szCs w:val="16"/>
              </w:rPr>
              <w:noBreakHyphen/>
              <w:t>region smoking rate and type of</w:t>
            </w:r>
            <w:r w:rsidRPr="000F6DEF">
              <w:rPr>
                <w:rFonts w:cs="Calibri"/>
                <w:sz w:val="16"/>
                <w:szCs w:val="16"/>
              </w:rPr>
              <w:br/>
              <w:t>school. In each province, 2 or 3 health</w:t>
            </w:r>
            <w:r w:rsidRPr="000F6DEF">
              <w:rPr>
                <w:rFonts w:cs="Calibri"/>
                <w:sz w:val="16"/>
                <w:szCs w:val="16"/>
              </w:rPr>
              <w:noBreakHyphen/>
              <w:t>region smoking rate strata and 2 school</w:t>
            </w:r>
            <w:r w:rsidRPr="000F6DEF">
              <w:rPr>
                <w:rFonts w:cs="Calibri"/>
                <w:sz w:val="16"/>
                <w:szCs w:val="16"/>
              </w:rPr>
              <w:noBreakHyphen/>
              <w:t>level strata were defined. Random selection of schools within each stratum ensured a generalizable sample within each province</w:t>
            </w:r>
          </w:p>
        </w:tc>
        <w:tc>
          <w:tcPr>
            <w:tcW w:w="2268" w:type="dxa"/>
          </w:tcPr>
          <w:p w14:paraId="1E967578"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paper</w:t>
            </w:r>
            <w:r w:rsidRPr="000F6DEF">
              <w:rPr>
                <w:rFonts w:cs="Calibri"/>
                <w:sz w:val="16"/>
                <w:szCs w:val="16"/>
              </w:rPr>
              <w:noBreakHyphen/>
              <w:t>and</w:t>
            </w:r>
            <w:r w:rsidRPr="000F6DEF">
              <w:rPr>
                <w:rFonts w:cs="Calibri"/>
                <w:sz w:val="16"/>
                <w:szCs w:val="16"/>
              </w:rPr>
              <w:noBreakHyphen/>
              <w:t>pencil school</w:t>
            </w:r>
            <w:r w:rsidRPr="000F6DEF">
              <w:rPr>
                <w:rFonts w:cs="Calibri"/>
                <w:sz w:val="16"/>
                <w:szCs w:val="16"/>
              </w:rPr>
              <w:noBreakHyphen/>
              <w:t>based survey administered</w:t>
            </w:r>
          </w:p>
        </w:tc>
        <w:tc>
          <w:tcPr>
            <w:tcW w:w="1593" w:type="dxa"/>
          </w:tcPr>
          <w:p w14:paraId="0D25510B" w14:textId="4DDCA800"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Ever 30</w:t>
            </w:r>
            <w:r w:rsidRPr="000F6DEF">
              <w:rPr>
                <w:rFonts w:cs="Calibri"/>
                <w:sz w:val="16"/>
                <w:szCs w:val="16"/>
              </w:rPr>
              <w:noBreakHyphen/>
              <w:t xml:space="preserve">day use </w:t>
            </w:r>
            <w:r>
              <w:rPr>
                <w:rFonts w:cs="Calibri"/>
                <w:sz w:val="16"/>
                <w:szCs w:val="16"/>
              </w:rPr>
              <w:t>e</w:t>
            </w:r>
            <w:r>
              <w:rPr>
                <w:rFonts w:cs="Calibri"/>
                <w:sz w:val="16"/>
                <w:szCs w:val="16"/>
              </w:rPr>
              <w:noBreakHyphen/>
              <w:t>cig</w:t>
            </w:r>
            <w:r w:rsidR="00D222C9">
              <w:rPr>
                <w:rFonts w:cs="Calibri"/>
                <w:sz w:val="16"/>
                <w:szCs w:val="16"/>
              </w:rPr>
              <w:t>arettes</w:t>
            </w:r>
            <w:r w:rsidRPr="000F6DEF">
              <w:rPr>
                <w:rFonts w:cs="Calibri"/>
                <w:sz w:val="16"/>
                <w:szCs w:val="16"/>
              </w:rPr>
              <w:br/>
              <w:t>Ever use tobacco products</w:t>
            </w:r>
            <w:r w:rsidRPr="000F6DEF">
              <w:rPr>
                <w:rFonts w:cs="Calibri"/>
                <w:sz w:val="16"/>
                <w:szCs w:val="16"/>
              </w:rPr>
              <w:br/>
              <w:t>Smoking status</w:t>
            </w:r>
            <w:r w:rsidRPr="000F6DEF">
              <w:rPr>
                <w:rFonts w:cs="Calibri"/>
                <w:sz w:val="16"/>
                <w:szCs w:val="16"/>
              </w:rPr>
              <w:br/>
              <w:t xml:space="preserve">Perceived harm from </w:t>
            </w:r>
            <w:r>
              <w:rPr>
                <w:rFonts w:cs="Calibri"/>
                <w:sz w:val="16"/>
                <w:szCs w:val="16"/>
              </w:rPr>
              <w:t>e</w:t>
            </w:r>
            <w:r>
              <w:rPr>
                <w:rFonts w:cs="Calibri"/>
                <w:sz w:val="16"/>
                <w:szCs w:val="16"/>
              </w:rPr>
              <w:noBreakHyphen/>
              <w:t>cig</w:t>
            </w:r>
            <w:r w:rsidR="00D222C9">
              <w:rPr>
                <w:rFonts w:cs="Calibri"/>
                <w:sz w:val="16"/>
                <w:szCs w:val="16"/>
              </w:rPr>
              <w:t>arettes</w:t>
            </w:r>
            <w:r w:rsidRPr="000F6DEF">
              <w:rPr>
                <w:rFonts w:cs="Calibri"/>
                <w:sz w:val="16"/>
                <w:szCs w:val="16"/>
              </w:rPr>
              <w:br/>
              <w:t xml:space="preserve">Ease of access to </w:t>
            </w:r>
            <w:r>
              <w:rPr>
                <w:rFonts w:cs="Calibri"/>
                <w:sz w:val="16"/>
                <w:szCs w:val="16"/>
              </w:rPr>
              <w:t>e</w:t>
            </w:r>
            <w:r>
              <w:rPr>
                <w:rFonts w:cs="Calibri"/>
                <w:sz w:val="16"/>
                <w:szCs w:val="16"/>
              </w:rPr>
              <w:noBreakHyphen/>
              <w:t>cig</w:t>
            </w:r>
            <w:r w:rsidR="00D222C9">
              <w:rPr>
                <w:rFonts w:cs="Calibri"/>
                <w:sz w:val="16"/>
                <w:szCs w:val="16"/>
              </w:rPr>
              <w:t>arettes</w:t>
            </w:r>
            <w:r w:rsidRPr="000F6DEF">
              <w:rPr>
                <w:rFonts w:cs="Calibri"/>
                <w:sz w:val="16"/>
                <w:szCs w:val="16"/>
              </w:rPr>
              <w:br/>
              <w:t>Demographics</w:t>
            </w:r>
          </w:p>
        </w:tc>
      </w:tr>
      <w:tr w:rsidR="00B85C33" w:rsidRPr="000F6DEF" w14:paraId="06D8291B" w14:textId="77777777" w:rsidTr="000376C7">
        <w:trPr>
          <w:trHeight w:val="569"/>
        </w:trPr>
        <w:tc>
          <w:tcPr>
            <w:cnfStyle w:val="001000000000" w:firstRow="0" w:lastRow="0" w:firstColumn="1" w:lastColumn="0" w:oddVBand="0" w:evenVBand="0" w:oddHBand="0" w:evenHBand="0" w:firstRowFirstColumn="0" w:firstRowLastColumn="0" w:lastRowFirstColumn="0" w:lastRowLastColumn="0"/>
            <w:tcW w:w="1271" w:type="dxa"/>
          </w:tcPr>
          <w:p w14:paraId="5CF894E6" w14:textId="77777777" w:rsidR="00B85C33" w:rsidRPr="000F6DEF" w:rsidRDefault="00B85C33" w:rsidP="000376C7">
            <w:pPr>
              <w:rPr>
                <w:rFonts w:cs="Calibri"/>
                <w:sz w:val="16"/>
                <w:szCs w:val="16"/>
              </w:rPr>
            </w:pPr>
            <w:r w:rsidRPr="000F6DEF">
              <w:rPr>
                <w:rFonts w:cs="Calibri"/>
                <w:sz w:val="16"/>
                <w:szCs w:val="16"/>
              </w:rPr>
              <w:t>Morgenstern, Nies et al 2018</w:t>
            </w:r>
          </w:p>
        </w:tc>
        <w:tc>
          <w:tcPr>
            <w:tcW w:w="2835" w:type="dxa"/>
          </w:tcPr>
          <w:p w14:paraId="4775153E"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Explore the "gateway" hypothesis, according to which the use of </w:t>
            </w:r>
            <w:r>
              <w:rPr>
                <w:rFonts w:cs="Calibri"/>
                <w:sz w:val="16"/>
                <w:szCs w:val="16"/>
              </w:rPr>
              <w:t>e</w:t>
            </w:r>
            <w:r>
              <w:rPr>
                <w:rFonts w:cs="Calibri"/>
                <w:sz w:val="16"/>
                <w:szCs w:val="16"/>
              </w:rPr>
              <w:noBreakHyphen/>
              <w:t>cig</w:t>
            </w:r>
            <w:r w:rsidRPr="000F6DEF">
              <w:rPr>
                <w:rFonts w:cs="Calibri"/>
                <w:sz w:val="16"/>
                <w:szCs w:val="16"/>
              </w:rPr>
              <w:t>arettes can motivate adolescents to start smoking conventional cigarettes.</w:t>
            </w:r>
          </w:p>
        </w:tc>
        <w:tc>
          <w:tcPr>
            <w:tcW w:w="1134" w:type="dxa"/>
          </w:tcPr>
          <w:p w14:paraId="71BCD59F" w14:textId="77777777" w:rsidR="00B85C33" w:rsidRPr="000F6DEF" w:rsidRDefault="00B85C33" w:rsidP="000376C7">
            <w:pPr>
              <w:spacing w:after="0"/>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Investigator developed</w:t>
            </w:r>
          </w:p>
          <w:p w14:paraId="745C1664"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(cohort)</w:t>
            </w:r>
          </w:p>
        </w:tc>
        <w:tc>
          <w:tcPr>
            <w:tcW w:w="992" w:type="dxa"/>
          </w:tcPr>
          <w:p w14:paraId="0BD3EE3F"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Germany</w:t>
            </w:r>
          </w:p>
        </w:tc>
        <w:tc>
          <w:tcPr>
            <w:tcW w:w="993" w:type="dxa"/>
          </w:tcPr>
          <w:p w14:paraId="5C679A5C"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2015 to 2016</w:t>
            </w:r>
          </w:p>
        </w:tc>
        <w:tc>
          <w:tcPr>
            <w:tcW w:w="1593" w:type="dxa"/>
          </w:tcPr>
          <w:p w14:paraId="0D99B376" w14:textId="2525E6A3"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2</w:t>
            </w:r>
            <w:r w:rsidR="00D222C9">
              <w:rPr>
                <w:rFonts w:cs="Calibri"/>
                <w:sz w:val="16"/>
                <w:szCs w:val="16"/>
              </w:rPr>
              <w:t>,</w:t>
            </w:r>
            <w:r w:rsidRPr="000F6DEF">
              <w:rPr>
                <w:rFonts w:cs="Calibri"/>
                <w:sz w:val="16"/>
                <w:szCs w:val="16"/>
              </w:rPr>
              <w:t>186, 15.5(SD0.65) years, 48% males, 10</w:t>
            </w:r>
            <w:r w:rsidRPr="000F6DEF">
              <w:rPr>
                <w:rFonts w:cs="Calibri"/>
                <w:sz w:val="16"/>
                <w:szCs w:val="16"/>
                <w:vertAlign w:val="superscript"/>
              </w:rPr>
              <w:t>th</w:t>
            </w:r>
            <w:r w:rsidRPr="000F6DEF">
              <w:rPr>
                <w:rFonts w:cs="Calibri"/>
                <w:sz w:val="16"/>
                <w:szCs w:val="16"/>
              </w:rPr>
              <w:t xml:space="preserve"> grade students</w:t>
            </w:r>
          </w:p>
        </w:tc>
        <w:tc>
          <w:tcPr>
            <w:tcW w:w="2376" w:type="dxa"/>
          </w:tcPr>
          <w:p w14:paraId="5C8668E4"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Not reported</w:t>
            </w:r>
          </w:p>
        </w:tc>
        <w:tc>
          <w:tcPr>
            <w:tcW w:w="2268" w:type="dxa"/>
          </w:tcPr>
          <w:p w14:paraId="2B72E76B"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Not reported</w:t>
            </w:r>
          </w:p>
        </w:tc>
        <w:tc>
          <w:tcPr>
            <w:tcW w:w="1593" w:type="dxa"/>
          </w:tcPr>
          <w:p w14:paraId="7224BF9F"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Socioeconomic status, various personality traits (sensation</w:t>
            </w:r>
            <w:r w:rsidRPr="000F6DEF">
              <w:rPr>
                <w:rFonts w:cs="Calibri"/>
                <w:sz w:val="16"/>
                <w:szCs w:val="16"/>
              </w:rPr>
              <w:noBreakHyphen/>
              <w:t xml:space="preserve">seeking, impulsivity, anxiety, </w:t>
            </w:r>
            <w:r w:rsidRPr="000F6DEF">
              <w:rPr>
                <w:rFonts w:cs="Calibri"/>
                <w:sz w:val="16"/>
                <w:szCs w:val="16"/>
              </w:rPr>
              <w:lastRenderedPageBreak/>
              <w:t>hopelessness, extraversion, agreeableness, conscientiousness, neuroticism, openness), and the use of alcohol, cannabis, and other illicit drugs</w:t>
            </w:r>
          </w:p>
        </w:tc>
      </w:tr>
      <w:tr w:rsidR="00B85C33" w:rsidRPr="000F6DEF" w14:paraId="2B0EA5B3" w14:textId="77777777" w:rsidTr="000376C7">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1271" w:type="dxa"/>
          </w:tcPr>
          <w:p w14:paraId="2DADAB7B" w14:textId="77777777" w:rsidR="00B85C33" w:rsidRPr="000F6DEF" w:rsidRDefault="00B85C33" w:rsidP="000376C7">
            <w:pPr>
              <w:rPr>
                <w:rFonts w:cs="Calibri"/>
                <w:sz w:val="16"/>
                <w:szCs w:val="16"/>
              </w:rPr>
            </w:pPr>
            <w:r w:rsidRPr="000F6DEF">
              <w:rPr>
                <w:rFonts w:cs="Calibri"/>
                <w:sz w:val="16"/>
                <w:szCs w:val="16"/>
              </w:rPr>
              <w:lastRenderedPageBreak/>
              <w:t>Nahin, Bispo, Llabre, Sokolovsky</w:t>
            </w:r>
          </w:p>
        </w:tc>
        <w:tc>
          <w:tcPr>
            <w:tcW w:w="2835" w:type="dxa"/>
          </w:tcPr>
          <w:p w14:paraId="7A9849C6" w14:textId="73D9390C"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The purpose of this study was to evaluate dimensions of dependency within the young adult ENDS user</w:t>
            </w:r>
            <w:r w:rsidRPr="000F6DEF">
              <w:rPr>
                <w:rFonts w:cs="Calibri"/>
                <w:sz w:val="16"/>
                <w:szCs w:val="16"/>
              </w:rPr>
              <w:br/>
              <w:t>population</w:t>
            </w:r>
            <w:r w:rsidR="005500FC">
              <w:rPr>
                <w:rFonts w:cs="Calibri"/>
                <w:sz w:val="16"/>
                <w:szCs w:val="16"/>
              </w:rPr>
              <w:t>.</w:t>
            </w:r>
          </w:p>
        </w:tc>
        <w:tc>
          <w:tcPr>
            <w:tcW w:w="1134" w:type="dxa"/>
          </w:tcPr>
          <w:p w14:paraId="3F5324B2"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Second phase of an ongoing three phase study (unnamed)</w:t>
            </w:r>
          </w:p>
        </w:tc>
        <w:tc>
          <w:tcPr>
            <w:tcW w:w="992" w:type="dxa"/>
          </w:tcPr>
          <w:p w14:paraId="73B38C90"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NR</w:t>
            </w:r>
          </w:p>
        </w:tc>
        <w:tc>
          <w:tcPr>
            <w:tcW w:w="993" w:type="dxa"/>
          </w:tcPr>
          <w:p w14:paraId="4A247097"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NR</w:t>
            </w:r>
          </w:p>
        </w:tc>
        <w:tc>
          <w:tcPr>
            <w:tcW w:w="1593" w:type="dxa"/>
          </w:tcPr>
          <w:p w14:paraId="7300297E"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304</w:t>
            </w:r>
          </w:p>
          <w:p w14:paraId="6844C267"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61.5% male</w:t>
            </w:r>
          </w:p>
        </w:tc>
        <w:tc>
          <w:tcPr>
            <w:tcW w:w="2376" w:type="dxa"/>
          </w:tcPr>
          <w:p w14:paraId="30E2DE88"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Amazon Mechanical TurK</w:t>
            </w:r>
          </w:p>
        </w:tc>
        <w:tc>
          <w:tcPr>
            <w:tcW w:w="2268" w:type="dxa"/>
          </w:tcPr>
          <w:p w14:paraId="0A7FDD94"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Online</w:t>
            </w:r>
          </w:p>
        </w:tc>
        <w:tc>
          <w:tcPr>
            <w:tcW w:w="1593" w:type="dxa"/>
          </w:tcPr>
          <w:p w14:paraId="666425E5"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Wisconsin Inventory for Smoking Dependency Motives (WISDM) </w:t>
            </w:r>
          </w:p>
        </w:tc>
      </w:tr>
      <w:tr w:rsidR="00B85C33" w:rsidRPr="000F6DEF" w14:paraId="0E5B7E09" w14:textId="77777777" w:rsidTr="000376C7">
        <w:trPr>
          <w:trHeight w:val="569"/>
        </w:trPr>
        <w:tc>
          <w:tcPr>
            <w:cnfStyle w:val="001000000000" w:firstRow="0" w:lastRow="0" w:firstColumn="1" w:lastColumn="0" w:oddVBand="0" w:evenVBand="0" w:oddHBand="0" w:evenHBand="0" w:firstRowFirstColumn="0" w:firstRowLastColumn="0" w:lastRowFirstColumn="0" w:lastRowLastColumn="0"/>
            <w:tcW w:w="1271" w:type="dxa"/>
          </w:tcPr>
          <w:p w14:paraId="6BF77FE5" w14:textId="77777777" w:rsidR="00B85C33" w:rsidRPr="000F6DEF" w:rsidRDefault="00B85C33" w:rsidP="000376C7">
            <w:pPr>
              <w:rPr>
                <w:rFonts w:cs="Calibri"/>
                <w:sz w:val="16"/>
                <w:szCs w:val="16"/>
              </w:rPr>
            </w:pPr>
            <w:r w:rsidRPr="000F6DEF">
              <w:rPr>
                <w:rFonts w:cs="Calibri"/>
                <w:sz w:val="16"/>
                <w:szCs w:val="16"/>
              </w:rPr>
              <w:t>Park S, Lee H et al 2017</w:t>
            </w:r>
          </w:p>
        </w:tc>
        <w:tc>
          <w:tcPr>
            <w:tcW w:w="2835" w:type="dxa"/>
          </w:tcPr>
          <w:p w14:paraId="10F2530E"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Aimed to investigate (a) rates of </w:t>
            </w:r>
            <w:r>
              <w:rPr>
                <w:rFonts w:cs="Calibri"/>
                <w:sz w:val="16"/>
                <w:szCs w:val="16"/>
              </w:rPr>
              <w:t>e</w:t>
            </w:r>
            <w:r>
              <w:rPr>
                <w:rFonts w:cs="Calibri"/>
                <w:sz w:val="16"/>
                <w:szCs w:val="16"/>
              </w:rPr>
              <w:noBreakHyphen/>
              <w:t>cig</w:t>
            </w:r>
            <w:r w:rsidRPr="000F6DEF">
              <w:rPr>
                <w:rFonts w:cs="Calibri"/>
                <w:sz w:val="16"/>
                <w:szCs w:val="16"/>
              </w:rPr>
              <w:t xml:space="preserve">arette use and (b) significant factors associated with </w:t>
            </w:r>
            <w:r>
              <w:rPr>
                <w:rFonts w:cs="Calibri"/>
                <w:sz w:val="16"/>
                <w:szCs w:val="16"/>
              </w:rPr>
              <w:t>e</w:t>
            </w:r>
            <w:r>
              <w:rPr>
                <w:rFonts w:cs="Calibri"/>
                <w:sz w:val="16"/>
                <w:szCs w:val="16"/>
              </w:rPr>
              <w:noBreakHyphen/>
              <w:t>cig</w:t>
            </w:r>
            <w:r w:rsidRPr="000F6DEF">
              <w:rPr>
                <w:rFonts w:cs="Calibri"/>
                <w:sz w:val="16"/>
                <w:szCs w:val="16"/>
              </w:rPr>
              <w:t>arette use among current cigarette users in adolescence.</w:t>
            </w:r>
          </w:p>
        </w:tc>
        <w:tc>
          <w:tcPr>
            <w:tcW w:w="1134" w:type="dxa"/>
          </w:tcPr>
          <w:p w14:paraId="3B68F210"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10th Korea Youth Risk Behaviour Web based Survey</w:t>
            </w:r>
          </w:p>
        </w:tc>
        <w:tc>
          <w:tcPr>
            <w:tcW w:w="992" w:type="dxa"/>
          </w:tcPr>
          <w:p w14:paraId="441B2F92"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Korea</w:t>
            </w:r>
          </w:p>
        </w:tc>
        <w:tc>
          <w:tcPr>
            <w:tcW w:w="993" w:type="dxa"/>
          </w:tcPr>
          <w:p w14:paraId="61FCD31F"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2014</w:t>
            </w:r>
          </w:p>
        </w:tc>
        <w:tc>
          <w:tcPr>
            <w:tcW w:w="1593" w:type="dxa"/>
          </w:tcPr>
          <w:p w14:paraId="3B3C395C" w14:textId="01E7D022"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6</w:t>
            </w:r>
            <w:r w:rsidR="00D222C9">
              <w:rPr>
                <w:rFonts w:cs="Calibri"/>
                <w:sz w:val="16"/>
                <w:szCs w:val="16"/>
              </w:rPr>
              <w:t>,</w:t>
            </w:r>
            <w:r w:rsidRPr="000F6DEF">
              <w:rPr>
                <w:rFonts w:cs="Calibri"/>
                <w:sz w:val="16"/>
                <w:szCs w:val="16"/>
              </w:rPr>
              <w:t xml:space="preserve">307 current smokers adolescents (grades 7 </w:t>
            </w:r>
            <w:r w:rsidRPr="000F6DEF">
              <w:rPr>
                <w:rFonts w:cs="Calibri"/>
                <w:sz w:val="16"/>
                <w:szCs w:val="16"/>
              </w:rPr>
              <w:noBreakHyphen/>
              <w:t>12)</w:t>
            </w:r>
          </w:p>
          <w:p w14:paraId="107143E2"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79% male</w:t>
            </w:r>
          </w:p>
        </w:tc>
        <w:tc>
          <w:tcPr>
            <w:tcW w:w="2376" w:type="dxa"/>
          </w:tcPr>
          <w:p w14:paraId="6445F730"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Nationally representative sample of Korean adolescents (no further info)</w:t>
            </w:r>
          </w:p>
        </w:tc>
        <w:tc>
          <w:tcPr>
            <w:tcW w:w="2268" w:type="dxa"/>
          </w:tcPr>
          <w:p w14:paraId="6B28CE37"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Online</w:t>
            </w:r>
          </w:p>
        </w:tc>
        <w:tc>
          <w:tcPr>
            <w:tcW w:w="1593" w:type="dxa"/>
          </w:tcPr>
          <w:p w14:paraId="177C15C2"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Pr>
                <w:rFonts w:cs="Calibri"/>
                <w:sz w:val="16"/>
                <w:szCs w:val="16"/>
              </w:rPr>
              <w:t>E</w:t>
            </w:r>
            <w:r>
              <w:rPr>
                <w:rFonts w:cs="Calibri"/>
                <w:sz w:val="16"/>
                <w:szCs w:val="16"/>
              </w:rPr>
              <w:noBreakHyphen/>
              <w:t>cig</w:t>
            </w:r>
            <w:r w:rsidRPr="000F6DEF">
              <w:rPr>
                <w:rFonts w:cs="Calibri"/>
                <w:sz w:val="16"/>
                <w:szCs w:val="16"/>
              </w:rPr>
              <w:t>arette use; demographics; perceived stress, parental and friends smoking; health risk behaviours</w:t>
            </w:r>
          </w:p>
        </w:tc>
      </w:tr>
      <w:tr w:rsidR="00B85C33" w:rsidRPr="000F6DEF" w14:paraId="4F02C17D" w14:textId="77777777" w:rsidTr="000376C7">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1271" w:type="dxa"/>
          </w:tcPr>
          <w:p w14:paraId="66FEC87A" w14:textId="77777777" w:rsidR="00B85C33" w:rsidRPr="000F6DEF" w:rsidRDefault="00B85C33" w:rsidP="000376C7">
            <w:pPr>
              <w:rPr>
                <w:rFonts w:cs="Calibri"/>
                <w:sz w:val="16"/>
                <w:szCs w:val="16"/>
              </w:rPr>
            </w:pPr>
            <w:r w:rsidRPr="000F6DEF">
              <w:rPr>
                <w:rFonts w:cs="Calibri"/>
                <w:sz w:val="16"/>
                <w:szCs w:val="16"/>
              </w:rPr>
              <w:t>Robertson L, Hoek J et al 2018</w:t>
            </w:r>
          </w:p>
        </w:tc>
        <w:tc>
          <w:tcPr>
            <w:tcW w:w="2835" w:type="dxa"/>
          </w:tcPr>
          <w:p w14:paraId="575DECC6" w14:textId="7036B518"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To explore the of dual use of electronic nicotine delivery systems (ENDS) and smoked tobacco</w:t>
            </w:r>
            <w:r w:rsidR="005500FC">
              <w:rPr>
                <w:rFonts w:cs="Calibri"/>
                <w:sz w:val="16"/>
                <w:szCs w:val="16"/>
              </w:rPr>
              <w:t>.</w:t>
            </w:r>
          </w:p>
        </w:tc>
        <w:tc>
          <w:tcPr>
            <w:tcW w:w="1134" w:type="dxa"/>
          </w:tcPr>
          <w:p w14:paraId="49515CD1"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Researcher developed in</w:t>
            </w:r>
            <w:r w:rsidRPr="000F6DEF">
              <w:rPr>
                <w:rFonts w:cs="Calibri"/>
                <w:sz w:val="16"/>
                <w:szCs w:val="16"/>
              </w:rPr>
              <w:noBreakHyphen/>
              <w:t>depth, semi</w:t>
            </w:r>
            <w:r w:rsidRPr="000F6DEF">
              <w:rPr>
                <w:rFonts w:cs="Calibri"/>
                <w:sz w:val="16"/>
                <w:szCs w:val="16"/>
              </w:rPr>
              <w:noBreakHyphen/>
              <w:t>structured interviews</w:t>
            </w:r>
          </w:p>
        </w:tc>
        <w:tc>
          <w:tcPr>
            <w:tcW w:w="992" w:type="dxa"/>
          </w:tcPr>
          <w:p w14:paraId="5162A58D"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New Zealand</w:t>
            </w:r>
          </w:p>
        </w:tc>
        <w:tc>
          <w:tcPr>
            <w:tcW w:w="993" w:type="dxa"/>
          </w:tcPr>
          <w:p w14:paraId="5075F414"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NR</w:t>
            </w:r>
          </w:p>
        </w:tc>
        <w:tc>
          <w:tcPr>
            <w:tcW w:w="1593" w:type="dxa"/>
          </w:tcPr>
          <w:p w14:paraId="582185A5"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20</w:t>
            </w:r>
          </w:p>
          <w:p w14:paraId="1910F7BD"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Ages: 19</w:t>
            </w:r>
            <w:r w:rsidRPr="000F6DEF">
              <w:rPr>
                <w:rFonts w:cs="Calibri"/>
                <w:sz w:val="16"/>
                <w:szCs w:val="16"/>
              </w:rPr>
              <w:noBreakHyphen/>
              <w:t>65</w:t>
            </w:r>
          </w:p>
          <w:p w14:paraId="3AFCDD9C"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7 women, 13 men</w:t>
            </w:r>
          </w:p>
        </w:tc>
        <w:tc>
          <w:tcPr>
            <w:tcW w:w="2376" w:type="dxa"/>
          </w:tcPr>
          <w:p w14:paraId="11CE7C3F"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Participants were recruited from three urban areas in New Zealand—Dunedin, Wellington and Auckland— using social media and community advertising. We also drew on whanaungatanga (kinship) and professional networks to purposefully recruit Māori (New Zealand’s indigenous peoples) and Pacific participants</w:t>
            </w:r>
          </w:p>
        </w:tc>
        <w:tc>
          <w:tcPr>
            <w:tcW w:w="2268" w:type="dxa"/>
          </w:tcPr>
          <w:p w14:paraId="398136CF"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Face</w:t>
            </w:r>
            <w:r w:rsidRPr="000F6DEF">
              <w:rPr>
                <w:rFonts w:cs="Calibri"/>
                <w:sz w:val="16"/>
                <w:szCs w:val="16"/>
              </w:rPr>
              <w:noBreakHyphen/>
              <w:t>to</w:t>
            </w:r>
            <w:r w:rsidRPr="000F6DEF">
              <w:rPr>
                <w:rFonts w:cs="Calibri"/>
                <w:sz w:val="16"/>
                <w:szCs w:val="16"/>
              </w:rPr>
              <w:noBreakHyphen/>
              <w:t>face interview; flexible, allowing probing where necessary</w:t>
            </w:r>
          </w:p>
        </w:tc>
        <w:tc>
          <w:tcPr>
            <w:tcW w:w="1593" w:type="dxa"/>
          </w:tcPr>
          <w:p w14:paraId="2D206656"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Smoking history and current smoking, then probed their trial, uptake and patterns of ENDS use, and smoking and vaping intentions</w:t>
            </w:r>
          </w:p>
        </w:tc>
      </w:tr>
      <w:tr w:rsidR="00B85C33" w:rsidRPr="000F6DEF" w14:paraId="171A8385" w14:textId="77777777" w:rsidTr="000376C7">
        <w:trPr>
          <w:trHeight w:val="569"/>
        </w:trPr>
        <w:tc>
          <w:tcPr>
            <w:cnfStyle w:val="001000000000" w:firstRow="0" w:lastRow="0" w:firstColumn="1" w:lastColumn="0" w:oddVBand="0" w:evenVBand="0" w:oddHBand="0" w:evenHBand="0" w:firstRowFirstColumn="0" w:firstRowLastColumn="0" w:lastRowFirstColumn="0" w:lastRowLastColumn="0"/>
            <w:tcW w:w="1271" w:type="dxa"/>
          </w:tcPr>
          <w:p w14:paraId="37C5C6DB" w14:textId="525F7298" w:rsidR="00B85C33" w:rsidRPr="000F6DEF" w:rsidRDefault="00B85C33" w:rsidP="000376C7">
            <w:pPr>
              <w:rPr>
                <w:rFonts w:cs="Calibri"/>
                <w:sz w:val="16"/>
                <w:szCs w:val="16"/>
              </w:rPr>
            </w:pPr>
            <w:r w:rsidRPr="000F6DEF">
              <w:rPr>
                <w:rFonts w:cs="Calibri"/>
                <w:sz w:val="16"/>
                <w:szCs w:val="16"/>
              </w:rPr>
              <w:t>Ruokolainen O, Ollila H</w:t>
            </w:r>
            <w:r w:rsidR="008146F9">
              <w:rPr>
                <w:rFonts w:cs="Calibri"/>
                <w:sz w:val="16"/>
                <w:szCs w:val="16"/>
              </w:rPr>
              <w:t xml:space="preserve"> </w:t>
            </w:r>
            <w:r w:rsidRPr="000F6DEF">
              <w:rPr>
                <w:rFonts w:cs="Calibri"/>
                <w:sz w:val="16"/>
                <w:szCs w:val="16"/>
              </w:rPr>
              <w:t>et al 2017</w:t>
            </w:r>
          </w:p>
        </w:tc>
        <w:tc>
          <w:tcPr>
            <w:tcW w:w="2835" w:type="dxa"/>
          </w:tcPr>
          <w:p w14:paraId="396A8F5C" w14:textId="71207F9D"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Explore the prevalence of </w:t>
            </w:r>
            <w:r>
              <w:rPr>
                <w:rFonts w:cs="Calibri"/>
                <w:sz w:val="16"/>
                <w:szCs w:val="16"/>
              </w:rPr>
              <w:t>e</w:t>
            </w:r>
            <w:r>
              <w:rPr>
                <w:rFonts w:cs="Calibri"/>
                <w:sz w:val="16"/>
                <w:szCs w:val="16"/>
              </w:rPr>
              <w:noBreakHyphen/>
              <w:t>cig</w:t>
            </w:r>
            <w:r w:rsidRPr="000F6DEF">
              <w:rPr>
                <w:rFonts w:cs="Calibri"/>
                <w:sz w:val="16"/>
                <w:szCs w:val="16"/>
              </w:rPr>
              <w:t xml:space="preserve">arette use among the Finnish adult population and to examine correlates of ever use and current use of </w:t>
            </w:r>
            <w:r>
              <w:rPr>
                <w:rFonts w:cs="Calibri"/>
                <w:sz w:val="16"/>
                <w:szCs w:val="16"/>
              </w:rPr>
              <w:t>e</w:t>
            </w:r>
            <w:r>
              <w:rPr>
                <w:rFonts w:cs="Calibri"/>
                <w:sz w:val="16"/>
                <w:szCs w:val="16"/>
              </w:rPr>
              <w:noBreakHyphen/>
              <w:t>cig</w:t>
            </w:r>
            <w:r w:rsidRPr="000F6DEF">
              <w:rPr>
                <w:rFonts w:cs="Calibri"/>
                <w:sz w:val="16"/>
                <w:szCs w:val="16"/>
              </w:rPr>
              <w:t>arettes prior to some changes in the Finnish regulatory scheme</w:t>
            </w:r>
            <w:r w:rsidR="005500FC">
              <w:rPr>
                <w:rFonts w:cs="Calibri"/>
                <w:sz w:val="16"/>
                <w:szCs w:val="16"/>
              </w:rPr>
              <w:t>.</w:t>
            </w:r>
          </w:p>
        </w:tc>
        <w:tc>
          <w:tcPr>
            <w:tcW w:w="1134" w:type="dxa"/>
          </w:tcPr>
          <w:p w14:paraId="480A810E"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Researcher developed survey</w:t>
            </w:r>
          </w:p>
        </w:tc>
        <w:tc>
          <w:tcPr>
            <w:tcW w:w="992" w:type="dxa"/>
          </w:tcPr>
          <w:p w14:paraId="5605DE9C"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Finland</w:t>
            </w:r>
          </w:p>
        </w:tc>
        <w:tc>
          <w:tcPr>
            <w:tcW w:w="993" w:type="dxa"/>
          </w:tcPr>
          <w:p w14:paraId="3A39EF6C"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2014</w:t>
            </w:r>
          </w:p>
        </w:tc>
        <w:tc>
          <w:tcPr>
            <w:tcW w:w="1593" w:type="dxa"/>
          </w:tcPr>
          <w:p w14:paraId="5BA2D986" w14:textId="3B257816"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3</w:t>
            </w:r>
            <w:r w:rsidR="00D222C9">
              <w:rPr>
                <w:rFonts w:cs="Calibri"/>
                <w:sz w:val="16"/>
                <w:szCs w:val="16"/>
              </w:rPr>
              <w:t>,</w:t>
            </w:r>
            <w:r w:rsidRPr="000F6DEF">
              <w:rPr>
                <w:rFonts w:cs="Calibri"/>
                <w:sz w:val="16"/>
                <w:szCs w:val="16"/>
              </w:rPr>
              <w:t>485</w:t>
            </w:r>
          </w:p>
          <w:p w14:paraId="117FDAF9"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50% male</w:t>
            </w:r>
          </w:p>
        </w:tc>
        <w:tc>
          <w:tcPr>
            <w:tcW w:w="2376" w:type="dxa"/>
          </w:tcPr>
          <w:p w14:paraId="71004E82"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A representative random sample (N=7000) of Finnish people aged 15–69 years was drawn from the Finnish Population Information System</w:t>
            </w:r>
          </w:p>
        </w:tc>
        <w:tc>
          <w:tcPr>
            <w:tcW w:w="2268" w:type="dxa"/>
          </w:tcPr>
          <w:p w14:paraId="33D0B914"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Self</w:t>
            </w:r>
            <w:r w:rsidRPr="000F6DEF">
              <w:rPr>
                <w:rFonts w:cs="Calibri"/>
                <w:sz w:val="16"/>
                <w:szCs w:val="16"/>
              </w:rPr>
              <w:noBreakHyphen/>
              <w:t>administered anonymous online/postal questionnaire</w:t>
            </w:r>
          </w:p>
        </w:tc>
        <w:tc>
          <w:tcPr>
            <w:tcW w:w="1593" w:type="dxa"/>
          </w:tcPr>
          <w:p w14:paraId="695904D0"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Pr>
                <w:rFonts w:cs="Calibri"/>
                <w:sz w:val="16"/>
                <w:szCs w:val="16"/>
              </w:rPr>
              <w:t>E</w:t>
            </w:r>
            <w:r>
              <w:rPr>
                <w:rFonts w:cs="Calibri"/>
                <w:sz w:val="16"/>
                <w:szCs w:val="16"/>
              </w:rPr>
              <w:noBreakHyphen/>
              <w:t>cig</w:t>
            </w:r>
            <w:r w:rsidRPr="000F6DEF">
              <w:rPr>
                <w:rFonts w:cs="Calibri"/>
                <w:sz w:val="16"/>
                <w:szCs w:val="16"/>
              </w:rPr>
              <w:t>arette use.</w:t>
            </w:r>
          </w:p>
        </w:tc>
      </w:tr>
      <w:tr w:rsidR="00B85C33" w:rsidRPr="000F6DEF" w14:paraId="6537F130" w14:textId="77777777" w:rsidTr="000376C7">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1271" w:type="dxa"/>
          </w:tcPr>
          <w:p w14:paraId="6F3444A1" w14:textId="77777777" w:rsidR="00B85C33" w:rsidRPr="000F6DEF" w:rsidRDefault="00B85C33" w:rsidP="000376C7">
            <w:pPr>
              <w:rPr>
                <w:rFonts w:cs="Calibri"/>
                <w:sz w:val="16"/>
                <w:szCs w:val="16"/>
              </w:rPr>
            </w:pPr>
            <w:r w:rsidRPr="000F6DEF">
              <w:rPr>
                <w:rFonts w:cs="Calibri"/>
                <w:sz w:val="16"/>
                <w:szCs w:val="16"/>
              </w:rPr>
              <w:t>Shaddock E 2017 ABSTRACT ONLY</w:t>
            </w:r>
          </w:p>
        </w:tc>
        <w:tc>
          <w:tcPr>
            <w:tcW w:w="2835" w:type="dxa"/>
          </w:tcPr>
          <w:p w14:paraId="4339C0FC" w14:textId="6ED552D3"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To explore electronic Cigarette And Tobacco Product Use in school going adolescents</w:t>
            </w:r>
            <w:r w:rsidR="005500FC">
              <w:rPr>
                <w:rFonts w:cs="Calibri"/>
                <w:sz w:val="16"/>
                <w:szCs w:val="16"/>
              </w:rPr>
              <w:t>.</w:t>
            </w:r>
          </w:p>
        </w:tc>
        <w:tc>
          <w:tcPr>
            <w:tcW w:w="1134" w:type="dxa"/>
          </w:tcPr>
          <w:p w14:paraId="19AD5DFD"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Researcher developed survey</w:t>
            </w:r>
          </w:p>
        </w:tc>
        <w:tc>
          <w:tcPr>
            <w:tcW w:w="992" w:type="dxa"/>
          </w:tcPr>
          <w:p w14:paraId="2AFB6F9B"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South Africa (Johannesburg)</w:t>
            </w:r>
          </w:p>
        </w:tc>
        <w:tc>
          <w:tcPr>
            <w:tcW w:w="993" w:type="dxa"/>
          </w:tcPr>
          <w:p w14:paraId="0AF545BC"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NR</w:t>
            </w:r>
          </w:p>
        </w:tc>
        <w:tc>
          <w:tcPr>
            <w:tcW w:w="1593" w:type="dxa"/>
          </w:tcPr>
          <w:p w14:paraId="7E80E827"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229 adolescents</w:t>
            </w:r>
          </w:p>
          <w:p w14:paraId="32571C7A"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Ages: 14</w:t>
            </w:r>
            <w:r w:rsidRPr="000F6DEF">
              <w:rPr>
                <w:rFonts w:cs="Calibri"/>
                <w:sz w:val="16"/>
                <w:szCs w:val="16"/>
              </w:rPr>
              <w:noBreakHyphen/>
              <w:t>18</w:t>
            </w:r>
          </w:p>
          <w:p w14:paraId="52EC34FC"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21% male</w:t>
            </w:r>
          </w:p>
        </w:tc>
        <w:tc>
          <w:tcPr>
            <w:tcW w:w="2376" w:type="dxa"/>
          </w:tcPr>
          <w:p w14:paraId="4AB97805"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Questionnaire administered to 2 schools</w:t>
            </w:r>
          </w:p>
        </w:tc>
        <w:tc>
          <w:tcPr>
            <w:tcW w:w="2268" w:type="dxa"/>
          </w:tcPr>
          <w:p w14:paraId="483E34CD"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w:t>
            </w:r>
          </w:p>
        </w:tc>
        <w:tc>
          <w:tcPr>
            <w:tcW w:w="1593" w:type="dxa"/>
          </w:tcPr>
          <w:p w14:paraId="157C8646"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w:t>
            </w:r>
          </w:p>
        </w:tc>
      </w:tr>
      <w:tr w:rsidR="00B85C33" w:rsidRPr="000F6DEF" w14:paraId="79D39EB2" w14:textId="77777777" w:rsidTr="000376C7">
        <w:trPr>
          <w:trHeight w:val="569"/>
        </w:trPr>
        <w:tc>
          <w:tcPr>
            <w:cnfStyle w:val="001000000000" w:firstRow="0" w:lastRow="0" w:firstColumn="1" w:lastColumn="0" w:oddVBand="0" w:evenVBand="0" w:oddHBand="0" w:evenHBand="0" w:firstRowFirstColumn="0" w:firstRowLastColumn="0" w:lastRowFirstColumn="0" w:lastRowLastColumn="0"/>
            <w:tcW w:w="1271" w:type="dxa"/>
          </w:tcPr>
          <w:p w14:paraId="2E2C9C66" w14:textId="77777777" w:rsidR="00B85C33" w:rsidRPr="000F6DEF" w:rsidRDefault="00B85C33" w:rsidP="000376C7">
            <w:pPr>
              <w:rPr>
                <w:rFonts w:cs="Calibri"/>
                <w:sz w:val="16"/>
                <w:szCs w:val="16"/>
              </w:rPr>
            </w:pPr>
            <w:r w:rsidRPr="000F6DEF">
              <w:rPr>
                <w:rFonts w:cs="Calibri"/>
                <w:sz w:val="16"/>
                <w:szCs w:val="16"/>
              </w:rPr>
              <w:lastRenderedPageBreak/>
              <w:t>Truman P, Glover M et al 2018</w:t>
            </w:r>
          </w:p>
        </w:tc>
        <w:tc>
          <w:tcPr>
            <w:tcW w:w="2835" w:type="dxa"/>
          </w:tcPr>
          <w:p w14:paraId="0078C65B" w14:textId="7D146661"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To understand practices of vaping and reasons for use</w:t>
            </w:r>
            <w:r w:rsidR="005500FC">
              <w:rPr>
                <w:rFonts w:cs="Calibri"/>
                <w:sz w:val="16"/>
                <w:szCs w:val="16"/>
              </w:rPr>
              <w:t>.</w:t>
            </w:r>
          </w:p>
        </w:tc>
        <w:tc>
          <w:tcPr>
            <w:tcW w:w="1134" w:type="dxa"/>
          </w:tcPr>
          <w:p w14:paraId="345E479C"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Electronic survey of vapers</w:t>
            </w:r>
          </w:p>
        </w:tc>
        <w:tc>
          <w:tcPr>
            <w:tcW w:w="992" w:type="dxa"/>
          </w:tcPr>
          <w:p w14:paraId="1FEDE824"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New Zealand</w:t>
            </w:r>
          </w:p>
        </w:tc>
        <w:tc>
          <w:tcPr>
            <w:tcW w:w="993" w:type="dxa"/>
          </w:tcPr>
          <w:p w14:paraId="736CAEBC" w14:textId="32BC0151"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January – April 2016</w:t>
            </w:r>
          </w:p>
        </w:tc>
        <w:tc>
          <w:tcPr>
            <w:tcW w:w="1593" w:type="dxa"/>
          </w:tcPr>
          <w:p w14:paraId="2B785DE5"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218</w:t>
            </w:r>
          </w:p>
          <w:p w14:paraId="43B6D22A"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31</w:t>
            </w:r>
            <w:r w:rsidRPr="000F6DEF">
              <w:rPr>
                <w:rFonts w:cs="Calibri"/>
                <w:sz w:val="16"/>
                <w:szCs w:val="16"/>
              </w:rPr>
              <w:noBreakHyphen/>
              <w:t>35 median age</w:t>
            </w:r>
          </w:p>
          <w:p w14:paraId="57A96308"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77% male</w:t>
            </w:r>
          </w:p>
        </w:tc>
        <w:tc>
          <w:tcPr>
            <w:tcW w:w="2376" w:type="dxa"/>
          </w:tcPr>
          <w:p w14:paraId="18491894"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Aimed to recruit 150 vapers via </w:t>
            </w:r>
            <w:r>
              <w:rPr>
                <w:rFonts w:cs="Calibri"/>
                <w:sz w:val="16"/>
                <w:szCs w:val="16"/>
              </w:rPr>
              <w:t>e</w:t>
            </w:r>
            <w:r>
              <w:rPr>
                <w:rFonts w:cs="Calibri"/>
                <w:sz w:val="16"/>
                <w:szCs w:val="16"/>
              </w:rPr>
              <w:noBreakHyphen/>
              <w:t>cig</w:t>
            </w:r>
            <w:r w:rsidRPr="000F6DEF">
              <w:rPr>
                <w:rFonts w:cs="Calibri"/>
                <w:sz w:val="16"/>
                <w:szCs w:val="16"/>
              </w:rPr>
              <w:t>arette retailers, vaper groups and social media, and via links provided on the End Smoking NZ (www.endsmoking.org.nz) and Tobacco Control Research T¯uranga (www.turanga.org.nz) websites</w:t>
            </w:r>
          </w:p>
        </w:tc>
        <w:tc>
          <w:tcPr>
            <w:tcW w:w="2268" w:type="dxa"/>
          </w:tcPr>
          <w:p w14:paraId="4740A41B"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Online questionnaire</w:t>
            </w:r>
          </w:p>
        </w:tc>
        <w:tc>
          <w:tcPr>
            <w:tcW w:w="1593" w:type="dxa"/>
          </w:tcPr>
          <w:p w14:paraId="15E47E72"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Vaping patterns, vaping and smoking history, vaping context, demographics. Questionnaires 2 and 3 at monthly intervals measured use patterns </w:t>
            </w:r>
          </w:p>
        </w:tc>
      </w:tr>
      <w:tr w:rsidR="00B85C33" w:rsidRPr="000F6DEF" w14:paraId="67646CD8" w14:textId="77777777" w:rsidTr="000376C7">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1271" w:type="dxa"/>
          </w:tcPr>
          <w:p w14:paraId="467C1736" w14:textId="77777777" w:rsidR="00B85C33" w:rsidRPr="000F6DEF" w:rsidRDefault="00B85C33" w:rsidP="000376C7">
            <w:pPr>
              <w:rPr>
                <w:rFonts w:cs="Calibri"/>
                <w:sz w:val="16"/>
                <w:szCs w:val="16"/>
              </w:rPr>
            </w:pPr>
            <w:r w:rsidRPr="000F6DEF">
              <w:rPr>
                <w:rFonts w:cs="Calibri"/>
                <w:sz w:val="16"/>
                <w:szCs w:val="16"/>
              </w:rPr>
              <w:t>Urrutia</w:t>
            </w:r>
            <w:r w:rsidRPr="000F6DEF">
              <w:rPr>
                <w:rFonts w:cs="Calibri"/>
                <w:sz w:val="16"/>
                <w:szCs w:val="16"/>
              </w:rPr>
              <w:noBreakHyphen/>
              <w:t>Pereira M et al 2016</w:t>
            </w:r>
          </w:p>
        </w:tc>
        <w:tc>
          <w:tcPr>
            <w:tcW w:w="2835" w:type="dxa"/>
          </w:tcPr>
          <w:p w14:paraId="219358E6" w14:textId="0911B5DF"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Prevalence and factors associated with smoking among adolescents</w:t>
            </w:r>
            <w:r w:rsidR="005500FC">
              <w:rPr>
                <w:rFonts w:cs="Calibri"/>
                <w:sz w:val="16"/>
                <w:szCs w:val="16"/>
              </w:rPr>
              <w:t>.</w:t>
            </w:r>
          </w:p>
        </w:tc>
        <w:tc>
          <w:tcPr>
            <w:tcW w:w="1134" w:type="dxa"/>
          </w:tcPr>
          <w:p w14:paraId="2CC620B6"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Researcher designed questionnaire </w:t>
            </w:r>
          </w:p>
        </w:tc>
        <w:tc>
          <w:tcPr>
            <w:tcW w:w="992" w:type="dxa"/>
          </w:tcPr>
          <w:p w14:paraId="47E19F96"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Brazil (Uruguaina)</w:t>
            </w:r>
          </w:p>
        </w:tc>
        <w:tc>
          <w:tcPr>
            <w:tcW w:w="993" w:type="dxa"/>
          </w:tcPr>
          <w:p w14:paraId="35B4238C" w14:textId="718B60EE"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March </w:t>
            </w:r>
            <w:r w:rsidR="00D222C9">
              <w:rPr>
                <w:rFonts w:cs="Calibri"/>
                <w:sz w:val="16"/>
                <w:szCs w:val="16"/>
              </w:rPr>
              <w:t>–</w:t>
            </w:r>
            <w:r w:rsidRPr="000F6DEF">
              <w:rPr>
                <w:rFonts w:cs="Calibri"/>
                <w:sz w:val="16"/>
                <w:szCs w:val="16"/>
              </w:rPr>
              <w:t xml:space="preserve"> June 2015</w:t>
            </w:r>
          </w:p>
        </w:tc>
        <w:tc>
          <w:tcPr>
            <w:tcW w:w="1593" w:type="dxa"/>
          </w:tcPr>
          <w:p w14:paraId="5AC47478"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798 adolescents</w:t>
            </w:r>
          </w:p>
          <w:p w14:paraId="3DB50BCA"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Ages: 12 to 19 yrs</w:t>
            </w:r>
          </w:p>
          <w:p w14:paraId="6592294F"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50% male</w:t>
            </w:r>
          </w:p>
        </w:tc>
        <w:tc>
          <w:tcPr>
            <w:tcW w:w="2376" w:type="dxa"/>
          </w:tcPr>
          <w:p w14:paraId="3347AF3D"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Via schools</w:t>
            </w:r>
          </w:p>
        </w:tc>
        <w:tc>
          <w:tcPr>
            <w:tcW w:w="2268" w:type="dxa"/>
          </w:tcPr>
          <w:p w14:paraId="601A9472"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Self</w:t>
            </w:r>
            <w:r w:rsidRPr="000F6DEF">
              <w:rPr>
                <w:rFonts w:cs="Calibri"/>
                <w:sz w:val="16"/>
                <w:szCs w:val="16"/>
              </w:rPr>
              <w:noBreakHyphen/>
              <w:t>administered questionnaire in classroom (pen and paper)</w:t>
            </w:r>
          </w:p>
        </w:tc>
        <w:tc>
          <w:tcPr>
            <w:tcW w:w="1593" w:type="dxa"/>
          </w:tcPr>
          <w:p w14:paraId="76BDB8B8" w14:textId="719A931F"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Use of tobacco; thoughts and knowledge of tobacco/</w:t>
            </w:r>
            <w:r>
              <w:rPr>
                <w:rFonts w:cs="Calibri"/>
                <w:sz w:val="16"/>
                <w:szCs w:val="16"/>
              </w:rPr>
              <w:t>e</w:t>
            </w:r>
            <w:r>
              <w:rPr>
                <w:rFonts w:cs="Calibri"/>
                <w:sz w:val="16"/>
                <w:szCs w:val="16"/>
              </w:rPr>
              <w:noBreakHyphen/>
              <w:t>cig</w:t>
            </w:r>
            <w:r w:rsidR="00D222C9">
              <w:rPr>
                <w:rFonts w:cs="Calibri"/>
                <w:sz w:val="16"/>
                <w:szCs w:val="16"/>
              </w:rPr>
              <w:t>arette</w:t>
            </w:r>
            <w:r w:rsidRPr="000F6DEF">
              <w:rPr>
                <w:rFonts w:cs="Calibri"/>
                <w:sz w:val="16"/>
                <w:szCs w:val="16"/>
              </w:rPr>
              <w:t>s</w:t>
            </w:r>
          </w:p>
        </w:tc>
      </w:tr>
    </w:tbl>
    <w:p w14:paraId="12B07A01" w14:textId="77777777" w:rsidR="00B85C33" w:rsidRPr="00887894" w:rsidRDefault="00B85C33" w:rsidP="00B85C33">
      <w:pPr>
        <w:pStyle w:val="BodyText"/>
      </w:pPr>
    </w:p>
    <w:p w14:paraId="1745428C" w14:textId="77777777" w:rsidR="00B85C33" w:rsidRDefault="00B85C33" w:rsidP="00B85C33">
      <w:pPr>
        <w:spacing w:after="0"/>
        <w:rPr>
          <w:b/>
          <w:bCs/>
          <w:color w:val="007E9A" w:themeColor="accent1" w:themeShade="BF"/>
          <w:sz w:val="20"/>
          <w:szCs w:val="18"/>
        </w:rPr>
      </w:pPr>
      <w:r>
        <w:br w:type="page"/>
      </w:r>
    </w:p>
    <w:p w14:paraId="5716A197" w14:textId="77777777" w:rsidR="00B85C33" w:rsidRDefault="004C6D16" w:rsidP="004C6D16">
      <w:pPr>
        <w:pStyle w:val="Caption"/>
      </w:pPr>
      <w:bookmarkStart w:id="348" w:name="_Toc517707456"/>
      <w:r>
        <w:lastRenderedPageBreak/>
        <w:t xml:space="preserve">Table </w:t>
      </w:r>
      <w:r w:rsidR="0048064B">
        <w:rPr>
          <w:noProof/>
        </w:rPr>
        <w:fldChar w:fldCharType="begin"/>
      </w:r>
      <w:r w:rsidR="0048064B">
        <w:rPr>
          <w:noProof/>
        </w:rPr>
        <w:instrText xml:space="preserve"> SEQ Table \* ARABIC </w:instrText>
      </w:r>
      <w:r w:rsidR="0048064B">
        <w:rPr>
          <w:noProof/>
        </w:rPr>
        <w:fldChar w:fldCharType="separate"/>
      </w:r>
      <w:r w:rsidR="000C06DA">
        <w:rPr>
          <w:noProof/>
        </w:rPr>
        <w:t>47</w:t>
      </w:r>
      <w:r w:rsidR="0048064B">
        <w:rPr>
          <w:noProof/>
        </w:rPr>
        <w:fldChar w:fldCharType="end"/>
      </w:r>
      <w:r w:rsidR="00B85C33" w:rsidRPr="00D20BDA">
        <w:t xml:space="preserve">: Results from studies of </w:t>
      </w:r>
      <w:r w:rsidR="00B85C33">
        <w:t>o</w:t>
      </w:r>
      <w:r w:rsidR="00B85C33" w:rsidRPr="00D20BDA">
        <w:t>ther countries</w:t>
      </w:r>
      <w:bookmarkEnd w:id="348"/>
    </w:p>
    <w:tbl>
      <w:tblPr>
        <w:tblStyle w:val="TableCSIRO"/>
        <w:tblW w:w="15021" w:type="dxa"/>
        <w:tblInd w:w="5" w:type="dxa"/>
        <w:tblLayout w:type="fixed"/>
        <w:tblLook w:val="04A0" w:firstRow="1" w:lastRow="0" w:firstColumn="1" w:lastColumn="0" w:noHBand="0" w:noVBand="1"/>
      </w:tblPr>
      <w:tblGrid>
        <w:gridCol w:w="1435"/>
        <w:gridCol w:w="2671"/>
        <w:gridCol w:w="6095"/>
        <w:gridCol w:w="4820"/>
      </w:tblGrid>
      <w:tr w:rsidR="00B85C33" w:rsidRPr="000F6DEF" w14:paraId="6D7B2EC8" w14:textId="77777777" w:rsidTr="000376C7">
        <w:trPr>
          <w:cnfStyle w:val="100000000000" w:firstRow="1" w:lastRow="0" w:firstColumn="0" w:lastColumn="0" w:oddVBand="0" w:evenVBand="0" w:oddHBand="0" w:evenHBand="0" w:firstRowFirstColumn="0" w:firstRowLastColumn="0" w:lastRowFirstColumn="0" w:lastRowLastColumn="0"/>
          <w:trHeight w:val="94"/>
          <w:tblHeader/>
        </w:trPr>
        <w:tc>
          <w:tcPr>
            <w:cnfStyle w:val="001000000000" w:firstRow="0" w:lastRow="0" w:firstColumn="1" w:lastColumn="0" w:oddVBand="0" w:evenVBand="0" w:oddHBand="0" w:evenHBand="0" w:firstRowFirstColumn="0" w:firstRowLastColumn="0" w:lastRowFirstColumn="0" w:lastRowLastColumn="0"/>
            <w:tcW w:w="1435" w:type="dxa"/>
            <w:hideMark/>
          </w:tcPr>
          <w:p w14:paraId="1A42088E" w14:textId="77777777" w:rsidR="00B85C33" w:rsidRPr="000F6DEF" w:rsidRDefault="00B85C33" w:rsidP="000376C7">
            <w:pPr>
              <w:rPr>
                <w:color w:val="auto"/>
                <w:sz w:val="16"/>
                <w:szCs w:val="16"/>
              </w:rPr>
            </w:pPr>
            <w:r w:rsidRPr="000F6DEF">
              <w:rPr>
                <w:color w:val="auto"/>
                <w:sz w:val="16"/>
                <w:szCs w:val="16"/>
              </w:rPr>
              <w:t>Study reference</w:t>
            </w:r>
          </w:p>
        </w:tc>
        <w:tc>
          <w:tcPr>
            <w:tcW w:w="2671" w:type="dxa"/>
            <w:hideMark/>
          </w:tcPr>
          <w:p w14:paraId="724EFC3C" w14:textId="77777777" w:rsidR="00B85C33" w:rsidRPr="000F6DEF" w:rsidRDefault="00B85C33" w:rsidP="000376C7">
            <w:pPr>
              <w:cnfStyle w:val="100000000000" w:firstRow="1" w:lastRow="0" w:firstColumn="0" w:lastColumn="0" w:oddVBand="0" w:evenVBand="0" w:oddHBand="0" w:evenHBand="0" w:firstRowFirstColumn="0" w:firstRowLastColumn="0" w:lastRowFirstColumn="0" w:lastRowLastColumn="0"/>
              <w:rPr>
                <w:color w:val="auto"/>
                <w:sz w:val="16"/>
                <w:szCs w:val="16"/>
              </w:rPr>
            </w:pPr>
            <w:r w:rsidRPr="000F6DEF">
              <w:rPr>
                <w:color w:val="auto"/>
                <w:sz w:val="16"/>
                <w:szCs w:val="16"/>
              </w:rPr>
              <w:t>Purpose</w:t>
            </w:r>
          </w:p>
        </w:tc>
        <w:tc>
          <w:tcPr>
            <w:tcW w:w="6095" w:type="dxa"/>
            <w:hideMark/>
          </w:tcPr>
          <w:p w14:paraId="5B2F8308" w14:textId="77777777" w:rsidR="00B85C33" w:rsidRPr="000F6DEF" w:rsidRDefault="00B85C33" w:rsidP="000376C7">
            <w:pPr>
              <w:cnfStyle w:val="100000000000" w:firstRow="1" w:lastRow="0" w:firstColumn="0" w:lastColumn="0" w:oddVBand="0" w:evenVBand="0" w:oddHBand="0" w:evenHBand="0" w:firstRowFirstColumn="0" w:firstRowLastColumn="0" w:lastRowFirstColumn="0" w:lastRowLastColumn="0"/>
              <w:rPr>
                <w:color w:val="auto"/>
                <w:sz w:val="16"/>
                <w:szCs w:val="16"/>
              </w:rPr>
            </w:pPr>
            <w:r w:rsidRPr="000F6DEF">
              <w:rPr>
                <w:color w:val="auto"/>
                <w:sz w:val="16"/>
                <w:szCs w:val="16"/>
              </w:rPr>
              <w:t>Results</w:t>
            </w:r>
          </w:p>
        </w:tc>
        <w:tc>
          <w:tcPr>
            <w:tcW w:w="4820" w:type="dxa"/>
            <w:hideMark/>
          </w:tcPr>
          <w:p w14:paraId="48C29FD9" w14:textId="77777777" w:rsidR="00B85C33" w:rsidRPr="000F6DEF" w:rsidRDefault="00B85C33" w:rsidP="000376C7">
            <w:pPr>
              <w:cnfStyle w:val="100000000000" w:firstRow="1" w:lastRow="0" w:firstColumn="0" w:lastColumn="0" w:oddVBand="0" w:evenVBand="0" w:oddHBand="0" w:evenHBand="0" w:firstRowFirstColumn="0" w:firstRowLastColumn="0" w:lastRowFirstColumn="0" w:lastRowLastColumn="0"/>
              <w:rPr>
                <w:color w:val="auto"/>
                <w:sz w:val="16"/>
                <w:szCs w:val="16"/>
              </w:rPr>
            </w:pPr>
            <w:r w:rsidRPr="000F6DEF">
              <w:rPr>
                <w:color w:val="auto"/>
                <w:sz w:val="16"/>
                <w:szCs w:val="16"/>
              </w:rPr>
              <w:t>Author conclusion</w:t>
            </w:r>
          </w:p>
        </w:tc>
      </w:tr>
      <w:tr w:rsidR="00B85C33" w:rsidRPr="000F6DEF" w14:paraId="35307E12" w14:textId="77777777" w:rsidTr="000376C7">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1435" w:type="dxa"/>
          </w:tcPr>
          <w:p w14:paraId="29BE9E87" w14:textId="77777777" w:rsidR="00B85C33" w:rsidRPr="000F6DEF" w:rsidRDefault="00B85C33" w:rsidP="000376C7">
            <w:pPr>
              <w:rPr>
                <w:rFonts w:cs="Calibri"/>
                <w:sz w:val="16"/>
                <w:szCs w:val="16"/>
              </w:rPr>
            </w:pPr>
            <w:r w:rsidRPr="000F6DEF">
              <w:rPr>
                <w:rFonts w:cs="Calibri"/>
                <w:sz w:val="16"/>
                <w:szCs w:val="16"/>
              </w:rPr>
              <w:t>Adriaens, van Gucht, Baeyens</w:t>
            </w:r>
          </w:p>
        </w:tc>
        <w:tc>
          <w:tcPr>
            <w:tcW w:w="2671" w:type="dxa"/>
          </w:tcPr>
          <w:p w14:paraId="10D45BDD" w14:textId="2D2AC806"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To discover elements to be included in an intervention aiming at dual users who want to quit smoking completely in the future</w:t>
            </w:r>
            <w:r w:rsidR="005500FC">
              <w:rPr>
                <w:rFonts w:cs="Calibri"/>
                <w:sz w:val="16"/>
                <w:szCs w:val="16"/>
              </w:rPr>
              <w:t>.</w:t>
            </w:r>
          </w:p>
        </w:tc>
        <w:tc>
          <w:tcPr>
            <w:tcW w:w="6095" w:type="dxa"/>
          </w:tcPr>
          <w:p w14:paraId="3DD4F751" w14:textId="0B1288DE"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18% dual users, 81% switchers. </w:t>
            </w:r>
            <w:r w:rsidRPr="000F6DEF">
              <w:rPr>
                <w:rFonts w:cs="Calibri"/>
                <w:sz w:val="16"/>
                <w:szCs w:val="16"/>
              </w:rPr>
              <w:br/>
            </w:r>
            <w:r>
              <w:rPr>
                <w:rFonts w:cs="Calibri"/>
                <w:sz w:val="16"/>
                <w:szCs w:val="16"/>
              </w:rPr>
              <w:t>E</w:t>
            </w:r>
            <w:r>
              <w:rPr>
                <w:rFonts w:cs="Calibri"/>
                <w:sz w:val="16"/>
                <w:szCs w:val="16"/>
              </w:rPr>
              <w:noBreakHyphen/>
              <w:t>cig</w:t>
            </w:r>
            <w:r w:rsidRPr="000F6DEF">
              <w:rPr>
                <w:rFonts w:cs="Calibri"/>
                <w:sz w:val="16"/>
                <w:szCs w:val="16"/>
              </w:rPr>
              <w:t>arette use not different between dual users and switch users: both highly dependent</w:t>
            </w:r>
            <w:r w:rsidRPr="000F6DEF">
              <w:rPr>
                <w:rFonts w:cs="Calibri"/>
                <w:sz w:val="16"/>
                <w:szCs w:val="16"/>
              </w:rPr>
              <w:br/>
              <w:t>Puffing freq not different but dual users used sig less e</w:t>
            </w:r>
            <w:r w:rsidRPr="000F6DEF">
              <w:rPr>
                <w:rFonts w:cs="Calibri"/>
                <w:sz w:val="16"/>
                <w:szCs w:val="16"/>
              </w:rPr>
              <w:noBreakHyphen/>
              <w:t>liquid than switchers</w:t>
            </w:r>
            <w:r w:rsidRPr="000F6DEF">
              <w:rPr>
                <w:rFonts w:cs="Calibri"/>
                <w:sz w:val="16"/>
                <w:szCs w:val="16"/>
              </w:rPr>
              <w:br/>
              <w:t xml:space="preserve">Both groups used as an aid to reduce smoking but switcher saw important to avoid relapse to smoking. </w:t>
            </w:r>
            <w:r>
              <w:rPr>
                <w:rFonts w:cs="Calibri"/>
                <w:sz w:val="16"/>
                <w:szCs w:val="16"/>
              </w:rPr>
              <w:t>E</w:t>
            </w:r>
            <w:r>
              <w:rPr>
                <w:rFonts w:cs="Calibri"/>
                <w:sz w:val="16"/>
                <w:szCs w:val="16"/>
              </w:rPr>
              <w:noBreakHyphen/>
              <w:t>cig</w:t>
            </w:r>
            <w:r w:rsidRPr="000F6DEF">
              <w:rPr>
                <w:rFonts w:cs="Calibri"/>
                <w:sz w:val="16"/>
                <w:szCs w:val="16"/>
              </w:rPr>
              <w:t>arette versus regular cigs used in different environments</w:t>
            </w:r>
            <w:r w:rsidRPr="000F6DEF">
              <w:rPr>
                <w:rFonts w:cs="Calibri"/>
                <w:sz w:val="16"/>
                <w:szCs w:val="16"/>
              </w:rPr>
              <w:br/>
              <w:t xml:space="preserve">No differences in smoking behaviours. 82% reduction in smoking for dual users </w:t>
            </w:r>
            <w:r w:rsidRPr="000F6DEF">
              <w:rPr>
                <w:rFonts w:cs="Calibri"/>
                <w:sz w:val="16"/>
                <w:szCs w:val="16"/>
              </w:rPr>
              <w:br/>
              <w:t>Main reasons to start vaping: because smoking is unhealthy, because vaping has other advantages, to quit smoking completely.</w:t>
            </w:r>
            <w:r w:rsidRPr="000F6DEF">
              <w:rPr>
                <w:rFonts w:cs="Calibri"/>
                <w:sz w:val="16"/>
                <w:szCs w:val="16"/>
              </w:rPr>
              <w:br/>
              <w:t xml:space="preserve">All perceived </w:t>
            </w:r>
            <w:r>
              <w:rPr>
                <w:rFonts w:cs="Calibri"/>
                <w:sz w:val="16"/>
                <w:szCs w:val="16"/>
              </w:rPr>
              <w:t>e</w:t>
            </w:r>
            <w:r>
              <w:rPr>
                <w:rFonts w:cs="Calibri"/>
                <w:sz w:val="16"/>
                <w:szCs w:val="16"/>
              </w:rPr>
              <w:noBreakHyphen/>
              <w:t>cig</w:t>
            </w:r>
            <w:r w:rsidRPr="000F6DEF">
              <w:rPr>
                <w:rFonts w:cs="Calibri"/>
                <w:sz w:val="16"/>
                <w:szCs w:val="16"/>
              </w:rPr>
              <w:t>arette to be less harmful than cig</w:t>
            </w:r>
            <w:r w:rsidR="00326E8E">
              <w:rPr>
                <w:rFonts w:cs="Calibri"/>
                <w:sz w:val="16"/>
                <w:szCs w:val="16"/>
              </w:rPr>
              <w:t>arettes</w:t>
            </w:r>
          </w:p>
        </w:tc>
        <w:tc>
          <w:tcPr>
            <w:tcW w:w="4820" w:type="dxa"/>
          </w:tcPr>
          <w:p w14:paraId="2E20A396"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Differences between dual users and switchers centre around variables proximal to the vaping behaviour and its experienced effects rather than hinging on more general vaping</w:t>
            </w:r>
            <w:r w:rsidRPr="000F6DEF">
              <w:rPr>
                <w:rFonts w:cs="Calibri"/>
                <w:sz w:val="16"/>
                <w:szCs w:val="16"/>
              </w:rPr>
              <w:noBreakHyphen/>
              <w:t>related beliefs and attitudes</w:t>
            </w:r>
          </w:p>
        </w:tc>
      </w:tr>
      <w:tr w:rsidR="00B85C33" w:rsidRPr="000F6DEF" w14:paraId="7BB11C41" w14:textId="77777777" w:rsidTr="000376C7">
        <w:trPr>
          <w:trHeight w:val="94"/>
        </w:trPr>
        <w:tc>
          <w:tcPr>
            <w:cnfStyle w:val="001000000000" w:firstRow="0" w:lastRow="0" w:firstColumn="1" w:lastColumn="0" w:oddVBand="0" w:evenVBand="0" w:oddHBand="0" w:evenHBand="0" w:firstRowFirstColumn="0" w:firstRowLastColumn="0" w:lastRowFirstColumn="0" w:lastRowLastColumn="0"/>
            <w:tcW w:w="1435" w:type="dxa"/>
          </w:tcPr>
          <w:p w14:paraId="20614472" w14:textId="77777777" w:rsidR="00B85C33" w:rsidRPr="000F6DEF" w:rsidRDefault="00B85C33" w:rsidP="000376C7">
            <w:pPr>
              <w:rPr>
                <w:rFonts w:cs="Calibri"/>
                <w:sz w:val="16"/>
                <w:szCs w:val="16"/>
              </w:rPr>
            </w:pPr>
            <w:r w:rsidRPr="000F6DEF">
              <w:rPr>
                <w:rFonts w:cs="Calibri"/>
                <w:sz w:val="16"/>
                <w:szCs w:val="16"/>
              </w:rPr>
              <w:t>Ajjandaleh, Bolze, Khoury, Melchior,</w:t>
            </w:r>
            <w:r w:rsidRPr="000F6DEF">
              <w:rPr>
                <w:rFonts w:cs="Calibri"/>
                <w:sz w:val="16"/>
                <w:szCs w:val="16"/>
              </w:rPr>
              <w:br/>
              <w:t>Mary</w:t>
            </w:r>
            <w:r w:rsidRPr="000F6DEF">
              <w:rPr>
                <w:rFonts w:cs="Calibri"/>
                <w:sz w:val="16"/>
                <w:szCs w:val="16"/>
              </w:rPr>
              <w:noBreakHyphen/>
              <w:t>Krause.</w:t>
            </w:r>
          </w:p>
        </w:tc>
        <w:tc>
          <w:tcPr>
            <w:tcW w:w="2671" w:type="dxa"/>
          </w:tcPr>
          <w:p w14:paraId="4E8B7CF7" w14:textId="43C361BD"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Understand factors associated with </w:t>
            </w:r>
            <w:r>
              <w:rPr>
                <w:rFonts w:cs="Calibri"/>
                <w:sz w:val="16"/>
                <w:szCs w:val="16"/>
              </w:rPr>
              <w:t>e</w:t>
            </w:r>
            <w:r>
              <w:rPr>
                <w:rFonts w:cs="Calibri"/>
                <w:sz w:val="16"/>
                <w:szCs w:val="16"/>
              </w:rPr>
              <w:noBreakHyphen/>
              <w:t>cig</w:t>
            </w:r>
            <w:r w:rsidRPr="000F6DEF">
              <w:rPr>
                <w:rFonts w:cs="Calibri"/>
                <w:sz w:val="16"/>
                <w:szCs w:val="16"/>
              </w:rPr>
              <w:t>arette use in young adults in France</w:t>
            </w:r>
            <w:r w:rsidR="005500FC">
              <w:rPr>
                <w:rFonts w:cs="Calibri"/>
                <w:sz w:val="16"/>
                <w:szCs w:val="16"/>
              </w:rPr>
              <w:t>.</w:t>
            </w:r>
          </w:p>
        </w:tc>
        <w:tc>
          <w:tcPr>
            <w:tcW w:w="6095" w:type="dxa"/>
          </w:tcPr>
          <w:p w14:paraId="5845E85F" w14:textId="2E0CADE1"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28.2% reported using </w:t>
            </w:r>
            <w:r>
              <w:rPr>
                <w:rFonts w:cs="Calibri"/>
                <w:sz w:val="16"/>
                <w:szCs w:val="16"/>
              </w:rPr>
              <w:t>e</w:t>
            </w:r>
            <w:r>
              <w:rPr>
                <w:rFonts w:cs="Calibri"/>
                <w:sz w:val="16"/>
                <w:szCs w:val="16"/>
              </w:rPr>
              <w:noBreakHyphen/>
              <w:t>cig</w:t>
            </w:r>
            <w:r w:rsidRPr="000F6DEF">
              <w:rPr>
                <w:rFonts w:cs="Calibri"/>
                <w:sz w:val="16"/>
                <w:szCs w:val="16"/>
              </w:rPr>
              <w:t>arette at least once</w:t>
            </w:r>
            <w:r w:rsidRPr="000F6DEF">
              <w:rPr>
                <w:rFonts w:cs="Calibri"/>
                <w:sz w:val="16"/>
                <w:szCs w:val="16"/>
              </w:rPr>
              <w:br/>
              <w:t>Positive perception, low SES, and asthma associated for ever</w:t>
            </w:r>
            <w:r w:rsidRPr="000F6DEF">
              <w:rPr>
                <w:rFonts w:cs="Calibri"/>
                <w:sz w:val="16"/>
                <w:szCs w:val="16"/>
              </w:rPr>
              <w:noBreakHyphen/>
              <w:t xml:space="preserve">use of </w:t>
            </w:r>
            <w:r>
              <w:rPr>
                <w:rFonts w:cs="Calibri"/>
                <w:sz w:val="16"/>
                <w:szCs w:val="16"/>
              </w:rPr>
              <w:t>e</w:t>
            </w:r>
            <w:r>
              <w:rPr>
                <w:rFonts w:cs="Calibri"/>
                <w:sz w:val="16"/>
                <w:szCs w:val="16"/>
              </w:rPr>
              <w:noBreakHyphen/>
              <w:t>cig</w:t>
            </w:r>
            <w:r w:rsidR="00326E8E">
              <w:rPr>
                <w:rFonts w:cs="Calibri"/>
                <w:sz w:val="16"/>
                <w:szCs w:val="16"/>
              </w:rPr>
              <w:t>arettes</w:t>
            </w:r>
            <w:r w:rsidRPr="000F6DEF">
              <w:rPr>
                <w:rFonts w:cs="Calibri"/>
                <w:sz w:val="16"/>
                <w:szCs w:val="16"/>
              </w:rPr>
              <w:br/>
              <w:t>Compared to non</w:t>
            </w:r>
            <w:r w:rsidRPr="000F6DEF">
              <w:rPr>
                <w:rFonts w:cs="Calibri"/>
                <w:sz w:val="16"/>
                <w:szCs w:val="16"/>
              </w:rPr>
              <w:noBreakHyphen/>
              <w:t xml:space="preserve">smokers traditional smoking is associated with </w:t>
            </w:r>
            <w:r>
              <w:rPr>
                <w:rFonts w:cs="Calibri"/>
                <w:sz w:val="16"/>
                <w:szCs w:val="16"/>
              </w:rPr>
              <w:t>e</w:t>
            </w:r>
            <w:r>
              <w:rPr>
                <w:rFonts w:cs="Calibri"/>
                <w:sz w:val="16"/>
                <w:szCs w:val="16"/>
              </w:rPr>
              <w:noBreakHyphen/>
              <w:t>cig</w:t>
            </w:r>
            <w:r w:rsidRPr="000F6DEF">
              <w:rPr>
                <w:rFonts w:cs="Calibri"/>
                <w:sz w:val="16"/>
                <w:szCs w:val="16"/>
              </w:rPr>
              <w:t>arette use</w:t>
            </w:r>
          </w:p>
        </w:tc>
        <w:tc>
          <w:tcPr>
            <w:tcW w:w="4820" w:type="dxa"/>
          </w:tcPr>
          <w:p w14:paraId="0CF059C9"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In young adults, </w:t>
            </w:r>
            <w:r>
              <w:rPr>
                <w:rFonts w:cs="Calibri"/>
                <w:sz w:val="16"/>
                <w:szCs w:val="16"/>
              </w:rPr>
              <w:t>e</w:t>
            </w:r>
            <w:r>
              <w:rPr>
                <w:rFonts w:cs="Calibri"/>
                <w:sz w:val="16"/>
                <w:szCs w:val="16"/>
              </w:rPr>
              <w:noBreakHyphen/>
              <w:t>cig</w:t>
            </w:r>
            <w:r w:rsidRPr="000F6DEF">
              <w:rPr>
                <w:rFonts w:cs="Calibri"/>
                <w:sz w:val="16"/>
                <w:szCs w:val="16"/>
              </w:rPr>
              <w:t xml:space="preserve">arette is used among former but also current traditional cigarettes smokers. </w:t>
            </w:r>
          </w:p>
        </w:tc>
      </w:tr>
      <w:tr w:rsidR="00B85C33" w:rsidRPr="000F6DEF" w14:paraId="24C5959D" w14:textId="77777777" w:rsidTr="000376C7">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1435" w:type="dxa"/>
          </w:tcPr>
          <w:p w14:paraId="5495D835" w14:textId="77777777" w:rsidR="00B85C33" w:rsidRPr="000F6DEF" w:rsidRDefault="00B85C33" w:rsidP="000376C7">
            <w:pPr>
              <w:rPr>
                <w:rFonts w:cs="Calibri"/>
                <w:sz w:val="16"/>
                <w:szCs w:val="16"/>
              </w:rPr>
            </w:pPr>
            <w:r w:rsidRPr="000F6DEF">
              <w:rPr>
                <w:rFonts w:cs="Calibri"/>
                <w:sz w:val="16"/>
                <w:szCs w:val="16"/>
              </w:rPr>
              <w:t>Alexander, Williams</w:t>
            </w:r>
          </w:p>
        </w:tc>
        <w:tc>
          <w:tcPr>
            <w:tcW w:w="2671" w:type="dxa"/>
          </w:tcPr>
          <w:p w14:paraId="139446FE" w14:textId="6F29EBB8"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Reasons for initiation and current use qualitatively explored among users of </w:t>
            </w:r>
            <w:r>
              <w:rPr>
                <w:rFonts w:cs="Calibri"/>
                <w:sz w:val="16"/>
                <w:szCs w:val="16"/>
              </w:rPr>
              <w:t>e</w:t>
            </w:r>
            <w:r>
              <w:rPr>
                <w:rFonts w:cs="Calibri"/>
                <w:sz w:val="16"/>
                <w:szCs w:val="16"/>
              </w:rPr>
              <w:noBreakHyphen/>
              <w:t>cig</w:t>
            </w:r>
            <w:r w:rsidR="005500FC">
              <w:rPr>
                <w:rFonts w:cs="Calibri"/>
                <w:sz w:val="16"/>
                <w:szCs w:val="16"/>
              </w:rPr>
              <w:t>arettes.</w:t>
            </w:r>
          </w:p>
        </w:tc>
        <w:tc>
          <w:tcPr>
            <w:tcW w:w="6095" w:type="dxa"/>
          </w:tcPr>
          <w:p w14:paraId="3A743AAB"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Most interested in trying due to flavours and friends using them</w:t>
            </w:r>
            <w:r w:rsidRPr="000F6DEF">
              <w:rPr>
                <w:rFonts w:cs="Calibri"/>
                <w:sz w:val="16"/>
                <w:szCs w:val="16"/>
              </w:rPr>
              <w:br/>
              <w:t>Most reported this was their first experience of using a nicotine product.</w:t>
            </w:r>
            <w:r w:rsidRPr="000F6DEF">
              <w:rPr>
                <w:rFonts w:cs="Calibri"/>
                <w:sz w:val="16"/>
                <w:szCs w:val="16"/>
              </w:rPr>
              <w:br/>
              <w:t xml:space="preserve">Older youth liked to use to show off talents (smoke rings) Continued use in social settings. </w:t>
            </w:r>
            <w:r>
              <w:rPr>
                <w:rFonts w:cs="Calibri"/>
                <w:sz w:val="16"/>
                <w:szCs w:val="16"/>
              </w:rPr>
              <w:t>E</w:t>
            </w:r>
            <w:r>
              <w:rPr>
                <w:rFonts w:cs="Calibri"/>
                <w:sz w:val="16"/>
                <w:szCs w:val="16"/>
              </w:rPr>
              <w:noBreakHyphen/>
              <w:t>cig</w:t>
            </w:r>
            <w:r w:rsidRPr="000F6DEF">
              <w:rPr>
                <w:rFonts w:cs="Calibri"/>
                <w:sz w:val="16"/>
                <w:szCs w:val="16"/>
              </w:rPr>
              <w:t>arette use did not change how they felt about cigarettes. Seen as less negative health consequences and less stigmatised</w:t>
            </w:r>
          </w:p>
        </w:tc>
        <w:tc>
          <w:tcPr>
            <w:tcW w:w="4820" w:type="dxa"/>
          </w:tcPr>
          <w:p w14:paraId="17FB7509"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Summary of results</w:t>
            </w:r>
          </w:p>
        </w:tc>
      </w:tr>
      <w:tr w:rsidR="00B85C33" w:rsidRPr="000F6DEF" w14:paraId="051BE402" w14:textId="77777777" w:rsidTr="000376C7">
        <w:trPr>
          <w:trHeight w:val="94"/>
        </w:trPr>
        <w:tc>
          <w:tcPr>
            <w:cnfStyle w:val="001000000000" w:firstRow="0" w:lastRow="0" w:firstColumn="1" w:lastColumn="0" w:oddVBand="0" w:evenVBand="0" w:oddHBand="0" w:evenHBand="0" w:firstRowFirstColumn="0" w:firstRowLastColumn="0" w:lastRowFirstColumn="0" w:lastRowLastColumn="0"/>
            <w:tcW w:w="1435" w:type="dxa"/>
          </w:tcPr>
          <w:p w14:paraId="4B097C7B" w14:textId="77777777" w:rsidR="00B85C33" w:rsidRPr="000F6DEF" w:rsidRDefault="00B85C33" w:rsidP="000376C7">
            <w:pPr>
              <w:rPr>
                <w:rFonts w:cs="Calibri"/>
                <w:sz w:val="16"/>
                <w:szCs w:val="16"/>
              </w:rPr>
            </w:pPr>
            <w:r w:rsidRPr="000F6DEF">
              <w:rPr>
                <w:rFonts w:cs="Calibri"/>
                <w:sz w:val="16"/>
                <w:szCs w:val="16"/>
              </w:rPr>
              <w:t>Ayers, Leas, Allem et al.</w:t>
            </w:r>
          </w:p>
        </w:tc>
        <w:tc>
          <w:tcPr>
            <w:tcW w:w="2671" w:type="dxa"/>
          </w:tcPr>
          <w:p w14:paraId="45F9495C" w14:textId="3644EE2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We demonstrate the feasibility of a data</w:t>
            </w:r>
            <w:r w:rsidRPr="000F6DEF">
              <w:rPr>
                <w:rFonts w:cs="Calibri"/>
                <w:sz w:val="16"/>
                <w:szCs w:val="16"/>
              </w:rPr>
              <w:noBreakHyphen/>
              <w:t>driven protocol that allows the public to describe why they vape in their own words by passively monitoring public tweets</w:t>
            </w:r>
            <w:r w:rsidR="005500FC">
              <w:rPr>
                <w:rFonts w:cs="Calibri"/>
                <w:sz w:val="16"/>
                <w:szCs w:val="16"/>
              </w:rPr>
              <w:t>.</w:t>
            </w:r>
          </w:p>
        </w:tc>
        <w:tc>
          <w:tcPr>
            <w:tcW w:w="6095" w:type="dxa"/>
          </w:tcPr>
          <w:p w14:paraId="07801DA0"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During 2012 quitting combustibles was the most cited reason for using ENDS with 43% (95%CI 39–48) of all reason</w:t>
            </w:r>
            <w:r w:rsidRPr="000F6DEF">
              <w:rPr>
                <w:rFonts w:cs="Calibri"/>
                <w:sz w:val="16"/>
                <w:szCs w:val="16"/>
              </w:rPr>
              <w:noBreakHyphen/>
              <w:t xml:space="preserve">related tweets cited quitting combustibles, e.g., “I couldn’t quit till I tried </w:t>
            </w:r>
            <w:r>
              <w:rPr>
                <w:rFonts w:cs="Calibri"/>
                <w:sz w:val="16"/>
                <w:szCs w:val="16"/>
              </w:rPr>
              <w:t>e</w:t>
            </w:r>
            <w:r>
              <w:rPr>
                <w:rFonts w:cs="Calibri"/>
                <w:sz w:val="16"/>
                <w:szCs w:val="16"/>
              </w:rPr>
              <w:noBreakHyphen/>
              <w:t>cig</w:t>
            </w:r>
            <w:r w:rsidRPr="000F6DEF">
              <w:rPr>
                <w:rFonts w:cs="Calibri"/>
                <w:sz w:val="16"/>
                <w:szCs w:val="16"/>
              </w:rPr>
              <w:t xml:space="preserve">s,” eclipsing the second most cited reason by more than double. Other frequently cited reasons in 2012 included ENDS’s social image (21%; 95%CI 18–25), use indoors (14%; 95%CI 11–17), flavours (14%; 95%CI 11–17), safety relative to combustibles (9%; 95%CI 7–11), cost (3%; 95%CI 2–5) and favourable odour (2%; 95%CI 1–3). By 2015 the reasons for using ENDS cited on Twitter had shifted. Both quitting combustibles and use indoors significantly declined in mentions to 29% (95%CI 24–33) and 12% (95%CI 9–16), respectively. At the same time, social image increased to 37% (95%CI 32–43) and lack of odour increased to 5% (95%CI 2–5), the former leading all cited reasons in 2015. </w:t>
            </w:r>
          </w:p>
        </w:tc>
        <w:tc>
          <w:tcPr>
            <w:tcW w:w="4820" w:type="dxa"/>
          </w:tcPr>
          <w:p w14:paraId="58FD3660"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Our data suggest the reasons people vape are shifting away from cessation and toward social image</w:t>
            </w:r>
          </w:p>
        </w:tc>
      </w:tr>
      <w:tr w:rsidR="00B85C33" w:rsidRPr="000F6DEF" w14:paraId="3DAE3CD2" w14:textId="77777777" w:rsidTr="000376C7">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1435" w:type="dxa"/>
          </w:tcPr>
          <w:p w14:paraId="1A06E01E" w14:textId="77777777" w:rsidR="00B85C33" w:rsidRPr="000F6DEF" w:rsidRDefault="00B85C33" w:rsidP="000376C7">
            <w:pPr>
              <w:rPr>
                <w:rFonts w:cs="Calibri"/>
                <w:sz w:val="16"/>
                <w:szCs w:val="16"/>
              </w:rPr>
            </w:pPr>
            <w:r w:rsidRPr="000F6DEF">
              <w:rPr>
                <w:rFonts w:cs="Calibri"/>
                <w:sz w:val="16"/>
                <w:szCs w:val="16"/>
              </w:rPr>
              <w:t>Azagba</w:t>
            </w:r>
          </w:p>
        </w:tc>
        <w:tc>
          <w:tcPr>
            <w:tcW w:w="2671" w:type="dxa"/>
          </w:tcPr>
          <w:p w14:paraId="14D0AC01" w14:textId="1549752F"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The current study examined associations between </w:t>
            </w:r>
            <w:r>
              <w:rPr>
                <w:rFonts w:cs="Calibri"/>
                <w:sz w:val="16"/>
                <w:szCs w:val="16"/>
              </w:rPr>
              <w:t>e</w:t>
            </w:r>
            <w:r>
              <w:rPr>
                <w:rFonts w:cs="Calibri"/>
                <w:sz w:val="16"/>
                <w:szCs w:val="16"/>
              </w:rPr>
              <w:noBreakHyphen/>
              <w:t>cig</w:t>
            </w:r>
            <w:r w:rsidRPr="000F6DEF">
              <w:rPr>
                <w:rFonts w:cs="Calibri"/>
                <w:sz w:val="16"/>
                <w:szCs w:val="16"/>
              </w:rPr>
              <w:t xml:space="preserve">arette use, dual use of </w:t>
            </w:r>
            <w:r>
              <w:rPr>
                <w:rFonts w:cs="Calibri"/>
                <w:sz w:val="16"/>
                <w:szCs w:val="16"/>
              </w:rPr>
              <w:t>e</w:t>
            </w:r>
            <w:r>
              <w:rPr>
                <w:rFonts w:cs="Calibri"/>
                <w:sz w:val="16"/>
                <w:szCs w:val="16"/>
              </w:rPr>
              <w:noBreakHyphen/>
              <w:t>cig</w:t>
            </w:r>
            <w:r w:rsidRPr="000F6DEF">
              <w:rPr>
                <w:rFonts w:cs="Calibri"/>
                <w:sz w:val="16"/>
                <w:szCs w:val="16"/>
              </w:rPr>
              <w:t>arettes and tobacco cigarettes, and frequency of cannabis use</w:t>
            </w:r>
            <w:r w:rsidR="005500FC">
              <w:rPr>
                <w:rFonts w:cs="Calibri"/>
                <w:sz w:val="16"/>
                <w:szCs w:val="16"/>
              </w:rPr>
              <w:t>.</w:t>
            </w:r>
          </w:p>
        </w:tc>
        <w:tc>
          <w:tcPr>
            <w:tcW w:w="6095" w:type="dxa"/>
          </w:tcPr>
          <w:p w14:paraId="24635252"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Pr>
                <w:rFonts w:cs="Calibri"/>
                <w:sz w:val="16"/>
                <w:szCs w:val="16"/>
              </w:rPr>
              <w:t>E</w:t>
            </w:r>
            <w:r>
              <w:rPr>
                <w:rFonts w:cs="Calibri"/>
                <w:sz w:val="16"/>
                <w:szCs w:val="16"/>
              </w:rPr>
              <w:noBreakHyphen/>
              <w:t>cig</w:t>
            </w:r>
            <w:r w:rsidRPr="000F6DEF">
              <w:rPr>
                <w:rFonts w:cs="Calibri"/>
                <w:sz w:val="16"/>
                <w:szCs w:val="16"/>
              </w:rPr>
              <w:t xml:space="preserve">arette and cigarette use status: </w:t>
            </w:r>
            <w:r>
              <w:rPr>
                <w:rFonts w:cs="Calibri"/>
                <w:sz w:val="16"/>
                <w:szCs w:val="16"/>
              </w:rPr>
              <w:t>E</w:t>
            </w:r>
            <w:r>
              <w:rPr>
                <w:rFonts w:cs="Calibri"/>
                <w:sz w:val="16"/>
                <w:szCs w:val="16"/>
              </w:rPr>
              <w:noBreakHyphen/>
              <w:t>cig</w:t>
            </w:r>
            <w:r w:rsidRPr="000F6DEF">
              <w:rPr>
                <w:rFonts w:cs="Calibri"/>
                <w:sz w:val="16"/>
                <w:szCs w:val="16"/>
              </w:rPr>
              <w:t>arette only use 4.2%; Cigarette only use 5.4%; Dual use 3.8%; Non</w:t>
            </w:r>
            <w:r w:rsidRPr="000F6DEF">
              <w:rPr>
                <w:rFonts w:cs="Calibri"/>
                <w:sz w:val="16"/>
                <w:szCs w:val="16"/>
              </w:rPr>
              <w:noBreakHyphen/>
              <w:t>use 86.7%</w:t>
            </w:r>
            <w:r w:rsidRPr="000F6DEF">
              <w:rPr>
                <w:rFonts w:cs="Calibri"/>
                <w:sz w:val="16"/>
                <w:szCs w:val="16"/>
              </w:rPr>
              <w:br/>
              <w:t xml:space="preserve">Those who used only </w:t>
            </w:r>
            <w:r>
              <w:rPr>
                <w:rFonts w:cs="Calibri"/>
                <w:sz w:val="16"/>
                <w:szCs w:val="16"/>
              </w:rPr>
              <w:t>e</w:t>
            </w:r>
            <w:r>
              <w:rPr>
                <w:rFonts w:cs="Calibri"/>
                <w:sz w:val="16"/>
                <w:szCs w:val="16"/>
              </w:rPr>
              <w:noBreakHyphen/>
              <w:t>cig</w:t>
            </w:r>
            <w:r w:rsidRPr="000F6DEF">
              <w:rPr>
                <w:rFonts w:cs="Calibri"/>
                <w:sz w:val="16"/>
                <w:szCs w:val="16"/>
              </w:rPr>
              <w:t>arettes, cigarettes only, and both products were signiﬁcantly more likely to use cannabis, and at a higher frequency of use relative to the non</w:t>
            </w:r>
            <w:r w:rsidRPr="000F6DEF">
              <w:rPr>
                <w:rFonts w:cs="Calibri"/>
                <w:sz w:val="16"/>
                <w:szCs w:val="16"/>
              </w:rPr>
              <w:noBreakHyphen/>
              <w:t>use group. At lower frequencies of cannabis use, the cigarette</w:t>
            </w:r>
            <w:r w:rsidRPr="000F6DEF">
              <w:rPr>
                <w:rFonts w:cs="Calibri"/>
                <w:sz w:val="16"/>
                <w:szCs w:val="16"/>
              </w:rPr>
              <w:noBreakHyphen/>
              <w:t xml:space="preserve">only and </w:t>
            </w:r>
            <w:r>
              <w:rPr>
                <w:rFonts w:cs="Calibri"/>
                <w:sz w:val="16"/>
                <w:szCs w:val="16"/>
              </w:rPr>
              <w:t>e</w:t>
            </w:r>
            <w:r>
              <w:rPr>
                <w:rFonts w:cs="Calibri"/>
                <w:sz w:val="16"/>
                <w:szCs w:val="16"/>
              </w:rPr>
              <w:noBreakHyphen/>
              <w:t>cig</w:t>
            </w:r>
            <w:r w:rsidRPr="000F6DEF">
              <w:rPr>
                <w:rFonts w:cs="Calibri"/>
                <w:sz w:val="16"/>
                <w:szCs w:val="16"/>
              </w:rPr>
              <w:t>arette</w:t>
            </w:r>
            <w:r w:rsidRPr="000F6DEF">
              <w:rPr>
                <w:rFonts w:cs="Calibri"/>
                <w:sz w:val="16"/>
                <w:szCs w:val="16"/>
              </w:rPr>
              <w:noBreakHyphen/>
              <w:t xml:space="preserve">only groups were not signiﬁcantly diﬀerent </w:t>
            </w:r>
          </w:p>
        </w:tc>
        <w:tc>
          <w:tcPr>
            <w:tcW w:w="4820" w:type="dxa"/>
          </w:tcPr>
          <w:p w14:paraId="1159D0DC"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Youth who reported use of </w:t>
            </w:r>
            <w:r>
              <w:rPr>
                <w:rFonts w:cs="Calibri"/>
                <w:sz w:val="16"/>
                <w:szCs w:val="16"/>
              </w:rPr>
              <w:t>e</w:t>
            </w:r>
            <w:r>
              <w:rPr>
                <w:rFonts w:cs="Calibri"/>
                <w:sz w:val="16"/>
                <w:szCs w:val="16"/>
              </w:rPr>
              <w:noBreakHyphen/>
              <w:t>cig</w:t>
            </w:r>
            <w:r w:rsidRPr="000F6DEF">
              <w:rPr>
                <w:rFonts w:cs="Calibri"/>
                <w:sz w:val="16"/>
                <w:szCs w:val="16"/>
              </w:rPr>
              <w:t>arettes, tobacco cigarettes, and both products showed a heightened risk of using cannabis more frequently.</w:t>
            </w:r>
          </w:p>
        </w:tc>
      </w:tr>
      <w:tr w:rsidR="00B85C33" w:rsidRPr="000F6DEF" w14:paraId="1032D1A9" w14:textId="77777777" w:rsidTr="000376C7">
        <w:trPr>
          <w:trHeight w:val="94"/>
        </w:trPr>
        <w:tc>
          <w:tcPr>
            <w:cnfStyle w:val="001000000000" w:firstRow="0" w:lastRow="0" w:firstColumn="1" w:lastColumn="0" w:oddVBand="0" w:evenVBand="0" w:oddHBand="0" w:evenHBand="0" w:firstRowFirstColumn="0" w:firstRowLastColumn="0" w:lastRowFirstColumn="0" w:lastRowLastColumn="0"/>
            <w:tcW w:w="1435" w:type="dxa"/>
          </w:tcPr>
          <w:p w14:paraId="60602745" w14:textId="77777777" w:rsidR="00B85C33" w:rsidRPr="000F6DEF" w:rsidRDefault="00B85C33" w:rsidP="000376C7">
            <w:pPr>
              <w:rPr>
                <w:rFonts w:cs="Calibri"/>
                <w:sz w:val="16"/>
                <w:szCs w:val="16"/>
              </w:rPr>
            </w:pPr>
            <w:r w:rsidRPr="000F6DEF">
              <w:rPr>
                <w:rFonts w:cs="Calibri"/>
                <w:sz w:val="16"/>
                <w:szCs w:val="16"/>
              </w:rPr>
              <w:t>Azagba, Baskerville, Foley</w:t>
            </w:r>
          </w:p>
        </w:tc>
        <w:tc>
          <w:tcPr>
            <w:tcW w:w="2671" w:type="dxa"/>
          </w:tcPr>
          <w:p w14:paraId="63CF59E1" w14:textId="15A3A64C"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This study examined the association between </w:t>
            </w:r>
            <w:r>
              <w:rPr>
                <w:rFonts w:cs="Calibri"/>
                <w:sz w:val="16"/>
                <w:szCs w:val="16"/>
              </w:rPr>
              <w:t>e</w:t>
            </w:r>
            <w:r>
              <w:rPr>
                <w:rFonts w:cs="Calibri"/>
                <w:sz w:val="16"/>
                <w:szCs w:val="16"/>
              </w:rPr>
              <w:noBreakHyphen/>
              <w:t>cig</w:t>
            </w:r>
            <w:r w:rsidRPr="000F6DEF">
              <w:rPr>
                <w:rFonts w:cs="Calibri"/>
                <w:sz w:val="16"/>
                <w:szCs w:val="16"/>
              </w:rPr>
              <w:t>arette use and future intention to smoke cigarettes among middle and high school students who had never smoked cigarette</w:t>
            </w:r>
            <w:r w:rsidR="005500FC">
              <w:rPr>
                <w:rFonts w:cs="Calibri"/>
                <w:sz w:val="16"/>
                <w:szCs w:val="16"/>
              </w:rPr>
              <w:t>.</w:t>
            </w:r>
          </w:p>
        </w:tc>
        <w:tc>
          <w:tcPr>
            <w:tcW w:w="6095" w:type="dxa"/>
          </w:tcPr>
          <w:p w14:paraId="24B80872" w14:textId="77DA557A"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80% never tried a cig</w:t>
            </w:r>
            <w:r w:rsidR="00D222C9">
              <w:rPr>
                <w:rFonts w:cs="Calibri"/>
                <w:sz w:val="16"/>
                <w:szCs w:val="16"/>
              </w:rPr>
              <w:t>arette</w:t>
            </w:r>
            <w:r w:rsidRPr="000F6DEF">
              <w:rPr>
                <w:rFonts w:cs="Calibri"/>
                <w:sz w:val="16"/>
                <w:szCs w:val="16"/>
              </w:rPr>
              <w:br/>
              <w:t xml:space="preserve">About 10% of the students had ever tried an </w:t>
            </w:r>
            <w:r>
              <w:rPr>
                <w:rFonts w:cs="Calibri"/>
                <w:sz w:val="16"/>
                <w:szCs w:val="16"/>
              </w:rPr>
              <w:t>e</w:t>
            </w:r>
            <w:r>
              <w:rPr>
                <w:rFonts w:cs="Calibri"/>
                <w:sz w:val="16"/>
                <w:szCs w:val="16"/>
              </w:rPr>
              <w:noBreakHyphen/>
              <w:t>cig</w:t>
            </w:r>
            <w:r w:rsidRPr="000F6DEF">
              <w:rPr>
                <w:rFonts w:cs="Calibri"/>
                <w:sz w:val="16"/>
                <w:szCs w:val="16"/>
              </w:rPr>
              <w:t xml:space="preserve">arette. </w:t>
            </w:r>
            <w:r w:rsidRPr="000F6DEF">
              <w:rPr>
                <w:rFonts w:cs="Calibri"/>
                <w:sz w:val="16"/>
                <w:szCs w:val="16"/>
              </w:rPr>
              <w:br/>
              <w:t xml:space="preserve">There were higher rates of ever </w:t>
            </w:r>
            <w:r>
              <w:rPr>
                <w:rFonts w:cs="Calibri"/>
                <w:sz w:val="16"/>
                <w:szCs w:val="16"/>
              </w:rPr>
              <w:t>e</w:t>
            </w:r>
            <w:r>
              <w:rPr>
                <w:rFonts w:cs="Calibri"/>
                <w:sz w:val="16"/>
                <w:szCs w:val="16"/>
              </w:rPr>
              <w:noBreakHyphen/>
              <w:t>cig</w:t>
            </w:r>
            <w:r w:rsidRPr="000F6DEF">
              <w:rPr>
                <w:rFonts w:cs="Calibri"/>
                <w:sz w:val="16"/>
                <w:szCs w:val="16"/>
              </w:rPr>
              <w:t>arette use among students in grades 10</w:t>
            </w:r>
            <w:r w:rsidRPr="000F6DEF">
              <w:rPr>
                <w:rFonts w:cs="Calibri"/>
                <w:sz w:val="16"/>
                <w:szCs w:val="16"/>
              </w:rPr>
              <w:noBreakHyphen/>
              <w:t>12 (12.5%) than those in grades 7</w:t>
            </w:r>
            <w:r w:rsidRPr="000F6DEF">
              <w:rPr>
                <w:rFonts w:cs="Calibri"/>
                <w:sz w:val="16"/>
                <w:szCs w:val="16"/>
              </w:rPr>
              <w:noBreakHyphen/>
              <w:t xml:space="preserve">9 (7.3%). </w:t>
            </w:r>
            <w:r w:rsidRPr="000F6DEF">
              <w:rPr>
                <w:rFonts w:cs="Calibri"/>
                <w:sz w:val="16"/>
                <w:szCs w:val="16"/>
              </w:rPr>
              <w:br/>
              <w:t xml:space="preserve">Students who had ever tried an </w:t>
            </w:r>
            <w:r>
              <w:rPr>
                <w:rFonts w:cs="Calibri"/>
                <w:sz w:val="16"/>
                <w:szCs w:val="16"/>
              </w:rPr>
              <w:t>e</w:t>
            </w:r>
            <w:r>
              <w:rPr>
                <w:rFonts w:cs="Calibri"/>
                <w:sz w:val="16"/>
                <w:szCs w:val="16"/>
              </w:rPr>
              <w:noBreakHyphen/>
              <w:t>cig</w:t>
            </w:r>
            <w:r w:rsidRPr="000F6DEF">
              <w:rPr>
                <w:rFonts w:cs="Calibri"/>
                <w:sz w:val="16"/>
                <w:szCs w:val="16"/>
              </w:rPr>
              <w:t>arette had higher odds of susceptibility to cigarette smoking (adjusted odds ratio=2.16, 95% confidence interval=1.80</w:t>
            </w:r>
            <w:r w:rsidRPr="000F6DEF">
              <w:rPr>
                <w:rFonts w:cs="Calibri"/>
                <w:sz w:val="16"/>
                <w:szCs w:val="16"/>
              </w:rPr>
              <w:noBreakHyphen/>
              <w:t xml:space="preserve">2.58) compared to those that had never tried an </w:t>
            </w:r>
            <w:r>
              <w:rPr>
                <w:rFonts w:cs="Calibri"/>
                <w:sz w:val="16"/>
                <w:szCs w:val="16"/>
              </w:rPr>
              <w:t>e</w:t>
            </w:r>
            <w:r>
              <w:rPr>
                <w:rFonts w:cs="Calibri"/>
                <w:sz w:val="16"/>
                <w:szCs w:val="16"/>
              </w:rPr>
              <w:noBreakHyphen/>
              <w:t>cig</w:t>
            </w:r>
            <w:r w:rsidRPr="000F6DEF">
              <w:rPr>
                <w:rFonts w:cs="Calibri"/>
                <w:sz w:val="16"/>
                <w:szCs w:val="16"/>
              </w:rPr>
              <w:t xml:space="preserve">arette. </w:t>
            </w:r>
            <w:r w:rsidRPr="000F6DEF">
              <w:rPr>
                <w:rFonts w:cs="Calibri"/>
                <w:sz w:val="16"/>
                <w:szCs w:val="16"/>
              </w:rPr>
              <w:br/>
            </w:r>
            <w:r w:rsidRPr="000F6DEF">
              <w:rPr>
                <w:rFonts w:cs="Calibri"/>
                <w:sz w:val="16"/>
                <w:szCs w:val="16"/>
              </w:rPr>
              <w:lastRenderedPageBreak/>
              <w:t xml:space="preserve">Current use of an </w:t>
            </w:r>
            <w:r>
              <w:rPr>
                <w:rFonts w:cs="Calibri"/>
                <w:sz w:val="16"/>
                <w:szCs w:val="16"/>
              </w:rPr>
              <w:t>e</w:t>
            </w:r>
            <w:r>
              <w:rPr>
                <w:rFonts w:cs="Calibri"/>
                <w:sz w:val="16"/>
                <w:szCs w:val="16"/>
              </w:rPr>
              <w:noBreakHyphen/>
              <w:t>cig</w:t>
            </w:r>
            <w:r w:rsidRPr="000F6DEF">
              <w:rPr>
                <w:rFonts w:cs="Calibri"/>
                <w:sz w:val="16"/>
                <w:szCs w:val="16"/>
              </w:rPr>
              <w:t>arette was associated with higher odds of smoking susceptibility (adjusted odds ratio=2.02, 95% confidence interval=1.43</w:t>
            </w:r>
            <w:r w:rsidRPr="000F6DEF">
              <w:rPr>
                <w:rFonts w:cs="Calibri"/>
                <w:sz w:val="16"/>
                <w:szCs w:val="16"/>
              </w:rPr>
              <w:noBreakHyphen/>
              <w:t>2.84).</w:t>
            </w:r>
          </w:p>
        </w:tc>
        <w:tc>
          <w:tcPr>
            <w:tcW w:w="4820" w:type="dxa"/>
          </w:tcPr>
          <w:p w14:paraId="4328D2FB" w14:textId="24EB60FA"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lastRenderedPageBreak/>
              <w:t>Our findings suggest that a potential increase in harmful cig</w:t>
            </w:r>
            <w:r w:rsidR="00C56834">
              <w:rPr>
                <w:rFonts w:cs="Calibri"/>
                <w:sz w:val="16"/>
                <w:szCs w:val="16"/>
              </w:rPr>
              <w:t>arette</w:t>
            </w:r>
            <w:r w:rsidRPr="000F6DEF">
              <w:rPr>
                <w:rFonts w:cs="Calibri"/>
                <w:sz w:val="16"/>
                <w:szCs w:val="16"/>
              </w:rPr>
              <w:t xml:space="preserve"> use may follow as </w:t>
            </w:r>
            <w:r>
              <w:rPr>
                <w:rFonts w:cs="Calibri"/>
                <w:sz w:val="16"/>
                <w:szCs w:val="16"/>
              </w:rPr>
              <w:t>e</w:t>
            </w:r>
            <w:r>
              <w:rPr>
                <w:rFonts w:cs="Calibri"/>
                <w:sz w:val="16"/>
                <w:szCs w:val="16"/>
              </w:rPr>
              <w:noBreakHyphen/>
              <w:t>cig</w:t>
            </w:r>
            <w:r w:rsidRPr="000F6DEF">
              <w:rPr>
                <w:rFonts w:cs="Calibri"/>
                <w:sz w:val="16"/>
                <w:szCs w:val="16"/>
              </w:rPr>
              <w:t xml:space="preserve">arette use continues to rise amongst adolescent populations. </w:t>
            </w:r>
          </w:p>
        </w:tc>
      </w:tr>
      <w:tr w:rsidR="00B85C33" w:rsidRPr="000F6DEF" w14:paraId="22DB14CB" w14:textId="77777777" w:rsidTr="000376C7">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1435" w:type="dxa"/>
          </w:tcPr>
          <w:p w14:paraId="08A1F825" w14:textId="77777777" w:rsidR="00B85C33" w:rsidRPr="000F6DEF" w:rsidRDefault="00B85C33" w:rsidP="000376C7">
            <w:pPr>
              <w:rPr>
                <w:rFonts w:cs="Calibri"/>
                <w:sz w:val="16"/>
                <w:szCs w:val="16"/>
              </w:rPr>
            </w:pPr>
            <w:r w:rsidRPr="000F6DEF">
              <w:rPr>
                <w:rFonts w:cs="Calibri"/>
                <w:sz w:val="16"/>
                <w:szCs w:val="16"/>
              </w:rPr>
              <w:t>Azagba, Wolfson</w:t>
            </w:r>
          </w:p>
        </w:tc>
        <w:tc>
          <w:tcPr>
            <w:tcW w:w="2671" w:type="dxa"/>
          </w:tcPr>
          <w:p w14:paraId="48B95C50"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The objective of the present study was to examine the association between current </w:t>
            </w:r>
            <w:r>
              <w:rPr>
                <w:rFonts w:cs="Calibri"/>
                <w:sz w:val="16"/>
                <w:szCs w:val="16"/>
              </w:rPr>
              <w:t>e</w:t>
            </w:r>
            <w:r>
              <w:rPr>
                <w:rFonts w:cs="Calibri"/>
                <w:sz w:val="16"/>
                <w:szCs w:val="16"/>
              </w:rPr>
              <w:noBreakHyphen/>
              <w:t>cig</w:t>
            </w:r>
            <w:r w:rsidRPr="000F6DEF">
              <w:rPr>
                <w:rFonts w:cs="Calibri"/>
                <w:sz w:val="16"/>
                <w:szCs w:val="16"/>
              </w:rPr>
              <w:t>arette use and quantity of cigarette smoking.</w:t>
            </w:r>
          </w:p>
        </w:tc>
        <w:tc>
          <w:tcPr>
            <w:tcW w:w="6095" w:type="dxa"/>
          </w:tcPr>
          <w:p w14:paraId="0A173DBC"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Sig diﬀerences in the association between current </w:t>
            </w:r>
            <w:r>
              <w:rPr>
                <w:rFonts w:cs="Calibri"/>
                <w:sz w:val="16"/>
                <w:szCs w:val="16"/>
              </w:rPr>
              <w:t>e</w:t>
            </w:r>
            <w:r>
              <w:rPr>
                <w:rFonts w:cs="Calibri"/>
                <w:sz w:val="16"/>
                <w:szCs w:val="16"/>
              </w:rPr>
              <w:noBreakHyphen/>
              <w:t>cig</w:t>
            </w:r>
            <w:r w:rsidRPr="000F6DEF">
              <w:rPr>
                <w:rFonts w:cs="Calibri"/>
                <w:sz w:val="16"/>
                <w:szCs w:val="16"/>
              </w:rPr>
              <w:t xml:space="preserve">arette use and the number of cigarettes smoked for light and heavy smokers. Current </w:t>
            </w:r>
            <w:r>
              <w:rPr>
                <w:rFonts w:cs="Calibri"/>
                <w:sz w:val="16"/>
                <w:szCs w:val="16"/>
              </w:rPr>
              <w:t>e</w:t>
            </w:r>
            <w:r>
              <w:rPr>
                <w:rFonts w:cs="Calibri"/>
                <w:sz w:val="16"/>
                <w:szCs w:val="16"/>
              </w:rPr>
              <w:noBreakHyphen/>
              <w:t>cig</w:t>
            </w:r>
            <w:r w:rsidRPr="000F6DEF">
              <w:rPr>
                <w:rFonts w:cs="Calibri"/>
                <w:sz w:val="16"/>
                <w:szCs w:val="16"/>
              </w:rPr>
              <w:t xml:space="preserve">arette use was signiﬁcantly associated with the number of cigarettes smoked among light smokers and no signiﬁcant association was found for heavy smokers. Additional analyses were performed to examine whether the association between </w:t>
            </w:r>
            <w:r>
              <w:rPr>
                <w:rFonts w:cs="Calibri"/>
                <w:sz w:val="16"/>
                <w:szCs w:val="16"/>
              </w:rPr>
              <w:t>e</w:t>
            </w:r>
            <w:r>
              <w:rPr>
                <w:rFonts w:cs="Calibri"/>
                <w:sz w:val="16"/>
                <w:szCs w:val="16"/>
              </w:rPr>
              <w:noBreakHyphen/>
              <w:t>cig</w:t>
            </w:r>
            <w:r w:rsidRPr="000F6DEF">
              <w:rPr>
                <w:rFonts w:cs="Calibri"/>
                <w:sz w:val="16"/>
                <w:szCs w:val="16"/>
              </w:rPr>
              <w:t xml:space="preserve">arette use and quantity of cigarettes smoked varied by individual smoking pattern. </w:t>
            </w:r>
          </w:p>
        </w:tc>
        <w:tc>
          <w:tcPr>
            <w:tcW w:w="4820" w:type="dxa"/>
          </w:tcPr>
          <w:p w14:paraId="38A81284"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Our results showed that </w:t>
            </w:r>
            <w:r>
              <w:rPr>
                <w:rFonts w:cs="Calibri"/>
                <w:sz w:val="16"/>
                <w:szCs w:val="16"/>
              </w:rPr>
              <w:t>e</w:t>
            </w:r>
            <w:r>
              <w:rPr>
                <w:rFonts w:cs="Calibri"/>
                <w:sz w:val="16"/>
                <w:szCs w:val="16"/>
              </w:rPr>
              <w:noBreakHyphen/>
              <w:t>cig</w:t>
            </w:r>
            <w:r w:rsidRPr="000F6DEF">
              <w:rPr>
                <w:rFonts w:cs="Calibri"/>
                <w:sz w:val="16"/>
                <w:szCs w:val="16"/>
              </w:rPr>
              <w:t xml:space="preserve">arette use was associated with the quantity of cigarettes smoked by light smokers. However, additional analyses suggest that the association between </w:t>
            </w:r>
            <w:r>
              <w:rPr>
                <w:rFonts w:cs="Calibri"/>
                <w:sz w:val="16"/>
                <w:szCs w:val="16"/>
              </w:rPr>
              <w:t>e</w:t>
            </w:r>
            <w:r>
              <w:rPr>
                <w:rFonts w:cs="Calibri"/>
                <w:sz w:val="16"/>
                <w:szCs w:val="16"/>
              </w:rPr>
              <w:noBreakHyphen/>
              <w:t>cig</w:t>
            </w:r>
            <w:r w:rsidRPr="000F6DEF">
              <w:rPr>
                <w:rFonts w:cs="Calibri"/>
                <w:sz w:val="16"/>
                <w:szCs w:val="16"/>
              </w:rPr>
              <w:t xml:space="preserve">arette use and quantity of cigarettes smoked varied by individual smoking pattern. Among beginner/experimental cigarette smokers, </w:t>
            </w:r>
            <w:r>
              <w:rPr>
                <w:rFonts w:cs="Calibri"/>
                <w:sz w:val="16"/>
                <w:szCs w:val="16"/>
              </w:rPr>
              <w:t>e</w:t>
            </w:r>
            <w:r>
              <w:rPr>
                <w:rFonts w:cs="Calibri"/>
                <w:sz w:val="16"/>
                <w:szCs w:val="16"/>
              </w:rPr>
              <w:noBreakHyphen/>
              <w:t>cig</w:t>
            </w:r>
            <w:r w:rsidRPr="000F6DEF">
              <w:rPr>
                <w:rFonts w:cs="Calibri"/>
                <w:sz w:val="16"/>
                <w:szCs w:val="16"/>
              </w:rPr>
              <w:t>arette users were likely to smoke a greater quantity of cigarettes compared to non</w:t>
            </w:r>
            <w:r w:rsidRPr="000F6DEF">
              <w:rPr>
                <w:rFonts w:cs="Calibri"/>
                <w:sz w:val="16"/>
                <w:szCs w:val="16"/>
              </w:rPr>
              <w:noBreakHyphen/>
            </w:r>
            <w:r>
              <w:rPr>
                <w:rFonts w:cs="Calibri"/>
                <w:sz w:val="16"/>
                <w:szCs w:val="16"/>
              </w:rPr>
              <w:t>e</w:t>
            </w:r>
            <w:r>
              <w:rPr>
                <w:rFonts w:cs="Calibri"/>
                <w:sz w:val="16"/>
                <w:szCs w:val="16"/>
              </w:rPr>
              <w:noBreakHyphen/>
              <w:t>cig</w:t>
            </w:r>
            <w:r w:rsidRPr="000F6DEF">
              <w:rPr>
                <w:rFonts w:cs="Calibri"/>
                <w:sz w:val="16"/>
                <w:szCs w:val="16"/>
              </w:rPr>
              <w:t>arette users</w:t>
            </w:r>
          </w:p>
        </w:tc>
      </w:tr>
      <w:tr w:rsidR="00B85C33" w:rsidRPr="000F6DEF" w14:paraId="12C457AA" w14:textId="77777777" w:rsidTr="000376C7">
        <w:trPr>
          <w:trHeight w:val="94"/>
        </w:trPr>
        <w:tc>
          <w:tcPr>
            <w:cnfStyle w:val="001000000000" w:firstRow="0" w:lastRow="0" w:firstColumn="1" w:lastColumn="0" w:oddVBand="0" w:evenVBand="0" w:oddHBand="0" w:evenHBand="0" w:firstRowFirstColumn="0" w:firstRowLastColumn="0" w:lastRowFirstColumn="0" w:lastRowLastColumn="0"/>
            <w:tcW w:w="1435" w:type="dxa"/>
          </w:tcPr>
          <w:p w14:paraId="49B9641F" w14:textId="77777777" w:rsidR="00B85C33" w:rsidRPr="000F6DEF" w:rsidRDefault="00B85C33" w:rsidP="000376C7">
            <w:pPr>
              <w:rPr>
                <w:rFonts w:cs="Calibri"/>
                <w:sz w:val="16"/>
                <w:szCs w:val="16"/>
              </w:rPr>
            </w:pPr>
            <w:r w:rsidRPr="000F6DEF">
              <w:rPr>
                <w:rFonts w:cs="Calibri"/>
                <w:sz w:val="16"/>
                <w:szCs w:val="16"/>
              </w:rPr>
              <w:t>Balogh, Faubl et al 2018</w:t>
            </w:r>
          </w:p>
        </w:tc>
        <w:tc>
          <w:tcPr>
            <w:tcW w:w="2671" w:type="dxa"/>
          </w:tcPr>
          <w:p w14:paraId="6842D1D3" w14:textId="08BB019E"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Explore cigarette, waterpipe and </w:t>
            </w:r>
            <w:r>
              <w:rPr>
                <w:rFonts w:cs="Calibri"/>
                <w:sz w:val="16"/>
                <w:szCs w:val="16"/>
              </w:rPr>
              <w:t>e</w:t>
            </w:r>
            <w:r>
              <w:rPr>
                <w:rFonts w:cs="Calibri"/>
                <w:sz w:val="16"/>
                <w:szCs w:val="16"/>
              </w:rPr>
              <w:noBreakHyphen/>
              <w:t>cig</w:t>
            </w:r>
            <w:r w:rsidRPr="000F6DEF">
              <w:rPr>
                <w:rFonts w:cs="Calibri"/>
                <w:sz w:val="16"/>
                <w:szCs w:val="16"/>
              </w:rPr>
              <w:t>arette use among an international sample of medical students</w:t>
            </w:r>
            <w:r w:rsidR="005500FC">
              <w:rPr>
                <w:rFonts w:cs="Calibri"/>
                <w:sz w:val="16"/>
                <w:szCs w:val="16"/>
              </w:rPr>
              <w:t>.</w:t>
            </w:r>
          </w:p>
        </w:tc>
        <w:tc>
          <w:tcPr>
            <w:tcW w:w="6095" w:type="dxa"/>
          </w:tcPr>
          <w:p w14:paraId="66788050"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Prevalence of </w:t>
            </w:r>
            <w:r>
              <w:rPr>
                <w:rFonts w:cs="Calibri"/>
                <w:sz w:val="16"/>
                <w:szCs w:val="16"/>
              </w:rPr>
              <w:t>e</w:t>
            </w:r>
            <w:r>
              <w:rPr>
                <w:rFonts w:cs="Calibri"/>
                <w:sz w:val="16"/>
                <w:szCs w:val="16"/>
              </w:rPr>
              <w:noBreakHyphen/>
              <w:t>cig</w:t>
            </w:r>
            <w:r w:rsidRPr="000F6DEF">
              <w:rPr>
                <w:rFonts w:cs="Calibri"/>
                <w:sz w:val="16"/>
                <w:szCs w:val="16"/>
              </w:rPr>
              <w:t xml:space="preserve">arette use was 0.9% (95% CI 0.5–1. 2%) with only 12 daily users (0.4%). More students in the multinational group used </w:t>
            </w:r>
            <w:r>
              <w:rPr>
                <w:rFonts w:cs="Calibri"/>
                <w:sz w:val="16"/>
                <w:szCs w:val="16"/>
              </w:rPr>
              <w:t>e</w:t>
            </w:r>
            <w:r>
              <w:rPr>
                <w:rFonts w:cs="Calibri"/>
                <w:sz w:val="16"/>
                <w:szCs w:val="16"/>
              </w:rPr>
              <w:noBreakHyphen/>
              <w:t>cig</w:t>
            </w:r>
            <w:r w:rsidRPr="000F6DEF">
              <w:rPr>
                <w:rFonts w:cs="Calibri"/>
                <w:sz w:val="16"/>
                <w:szCs w:val="16"/>
              </w:rPr>
              <w:t xml:space="preserve">arettes as compared to the German and Hungarian groups. </w:t>
            </w:r>
            <w:r>
              <w:rPr>
                <w:rFonts w:cs="Calibri"/>
                <w:sz w:val="16"/>
                <w:szCs w:val="16"/>
              </w:rPr>
              <w:t>E</w:t>
            </w:r>
            <w:r>
              <w:rPr>
                <w:rFonts w:cs="Calibri"/>
                <w:sz w:val="16"/>
                <w:szCs w:val="16"/>
              </w:rPr>
              <w:noBreakHyphen/>
              <w:t>cig</w:t>
            </w:r>
            <w:r w:rsidRPr="000F6DEF">
              <w:rPr>
                <w:rFonts w:cs="Calibri"/>
                <w:sz w:val="16"/>
                <w:szCs w:val="16"/>
              </w:rPr>
              <w:t xml:space="preserve">arette use was not related to age, gender, study year, religiosity or financial situation. Waterpipe and </w:t>
            </w:r>
            <w:r>
              <w:rPr>
                <w:rFonts w:cs="Calibri"/>
                <w:sz w:val="16"/>
                <w:szCs w:val="16"/>
              </w:rPr>
              <w:t>e</w:t>
            </w:r>
            <w:r>
              <w:rPr>
                <w:rFonts w:cs="Calibri"/>
                <w:sz w:val="16"/>
                <w:szCs w:val="16"/>
              </w:rPr>
              <w:noBreakHyphen/>
              <w:t>cig</w:t>
            </w:r>
            <w:r w:rsidRPr="000F6DEF">
              <w:rPr>
                <w:rFonts w:cs="Calibri"/>
                <w:sz w:val="16"/>
                <w:szCs w:val="16"/>
              </w:rPr>
              <w:t>arette use were more common among cigarette smokers than non</w:t>
            </w:r>
            <w:r w:rsidRPr="000F6DEF">
              <w:rPr>
                <w:rFonts w:cs="Calibri"/>
                <w:sz w:val="16"/>
                <w:szCs w:val="16"/>
              </w:rPr>
              <w:noBreakHyphen/>
              <w:t>smokers.</w:t>
            </w:r>
          </w:p>
        </w:tc>
        <w:tc>
          <w:tcPr>
            <w:tcW w:w="4820" w:type="dxa"/>
          </w:tcPr>
          <w:p w14:paraId="37DF7626"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Prevalence of </w:t>
            </w:r>
            <w:r>
              <w:rPr>
                <w:rFonts w:cs="Calibri"/>
                <w:sz w:val="16"/>
                <w:szCs w:val="16"/>
              </w:rPr>
              <w:t>e</w:t>
            </w:r>
            <w:r>
              <w:rPr>
                <w:rFonts w:cs="Calibri"/>
                <w:sz w:val="16"/>
                <w:szCs w:val="16"/>
              </w:rPr>
              <w:noBreakHyphen/>
              <w:t>cig</w:t>
            </w:r>
            <w:r w:rsidRPr="000F6DEF">
              <w:rPr>
                <w:rFonts w:cs="Calibri"/>
                <w:sz w:val="16"/>
                <w:szCs w:val="16"/>
              </w:rPr>
              <w:t>arette use was low, whereas waterpipe tobacco smoking was popular in our sample.</w:t>
            </w:r>
          </w:p>
        </w:tc>
      </w:tr>
      <w:tr w:rsidR="00B85C33" w:rsidRPr="000F6DEF" w14:paraId="4E0E3536" w14:textId="77777777" w:rsidTr="000376C7">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1435" w:type="dxa"/>
          </w:tcPr>
          <w:p w14:paraId="1163CFA8" w14:textId="77777777" w:rsidR="00B85C33" w:rsidRPr="000F6DEF" w:rsidRDefault="00B85C33" w:rsidP="000376C7">
            <w:pPr>
              <w:rPr>
                <w:rFonts w:cs="Calibri"/>
                <w:sz w:val="16"/>
                <w:szCs w:val="16"/>
              </w:rPr>
            </w:pPr>
            <w:r w:rsidRPr="000F6DEF">
              <w:rPr>
                <w:rFonts w:cs="Calibri"/>
                <w:sz w:val="16"/>
                <w:szCs w:val="16"/>
              </w:rPr>
              <w:t>Berry, Burton, Howlett</w:t>
            </w:r>
          </w:p>
        </w:tc>
        <w:tc>
          <w:tcPr>
            <w:tcW w:w="2671" w:type="dxa"/>
          </w:tcPr>
          <w:p w14:paraId="3D220AAA"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This research examines cigarette smokers' and </w:t>
            </w:r>
            <w:r>
              <w:rPr>
                <w:rFonts w:cs="Calibri"/>
                <w:sz w:val="16"/>
                <w:szCs w:val="16"/>
              </w:rPr>
              <w:t>e</w:t>
            </w:r>
            <w:r>
              <w:rPr>
                <w:rFonts w:cs="Calibri"/>
                <w:sz w:val="16"/>
                <w:szCs w:val="16"/>
              </w:rPr>
              <w:noBreakHyphen/>
              <w:t>cig</w:t>
            </w:r>
            <w:r w:rsidRPr="000F6DEF">
              <w:rPr>
                <w:rFonts w:cs="Calibri"/>
                <w:sz w:val="16"/>
                <w:szCs w:val="16"/>
              </w:rPr>
              <w:t>arette users' product</w:t>
            </w:r>
            <w:r w:rsidRPr="000F6DEF">
              <w:rPr>
                <w:rFonts w:cs="Calibri"/>
                <w:sz w:val="16"/>
                <w:szCs w:val="16"/>
              </w:rPr>
              <w:noBreakHyphen/>
              <w:t>related health</w:t>
            </w:r>
            <w:r w:rsidRPr="000F6DEF">
              <w:rPr>
                <w:rFonts w:cs="Calibri"/>
                <w:sz w:val="16"/>
                <w:szCs w:val="16"/>
              </w:rPr>
              <w:noBreakHyphen/>
              <w:t>risk beliefs across tobacco products and considers the effects of addiction warnings on consumers' responses to persuasion attempts.</w:t>
            </w:r>
          </w:p>
        </w:tc>
        <w:tc>
          <w:tcPr>
            <w:tcW w:w="6095" w:type="dxa"/>
          </w:tcPr>
          <w:p w14:paraId="5E000328" w14:textId="1EBA08D6"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Study 1: For cigarettes, health</w:t>
            </w:r>
            <w:r w:rsidRPr="000F6DEF">
              <w:rPr>
                <w:rFonts w:cs="Calibri"/>
                <w:sz w:val="16"/>
                <w:szCs w:val="16"/>
              </w:rPr>
              <w:noBreakHyphen/>
              <w:t xml:space="preserve">risk beliefs are extremely high and approach the scale ceiling. In contrast, for </w:t>
            </w:r>
            <w:r>
              <w:rPr>
                <w:rFonts w:cs="Calibri"/>
                <w:sz w:val="16"/>
                <w:szCs w:val="16"/>
              </w:rPr>
              <w:t>e</w:t>
            </w:r>
            <w:r>
              <w:rPr>
                <w:rFonts w:cs="Calibri"/>
                <w:sz w:val="16"/>
                <w:szCs w:val="16"/>
              </w:rPr>
              <w:noBreakHyphen/>
              <w:t>cig</w:t>
            </w:r>
            <w:r w:rsidRPr="000F6DEF">
              <w:rPr>
                <w:rFonts w:cs="Calibri"/>
                <w:sz w:val="16"/>
                <w:szCs w:val="16"/>
              </w:rPr>
              <w:t>arettes, health</w:t>
            </w:r>
            <w:r w:rsidRPr="000F6DEF">
              <w:rPr>
                <w:rFonts w:cs="Calibri"/>
                <w:sz w:val="16"/>
                <w:szCs w:val="16"/>
              </w:rPr>
              <w:noBreakHyphen/>
              <w:t xml:space="preserve">risk beliefs are much lower and vary substantially; beliefs related to addiction and harm to an unborn baby are greater than beliefs about other risks. </w:t>
            </w:r>
            <w:r w:rsidRPr="000F6DEF">
              <w:rPr>
                <w:rFonts w:cs="Calibri"/>
                <w:sz w:val="16"/>
                <w:szCs w:val="16"/>
              </w:rPr>
              <w:br/>
              <w:t xml:space="preserve">Study 2: An </w:t>
            </w:r>
            <w:r>
              <w:rPr>
                <w:rFonts w:cs="Calibri"/>
                <w:sz w:val="16"/>
                <w:szCs w:val="16"/>
              </w:rPr>
              <w:t>e</w:t>
            </w:r>
            <w:r>
              <w:rPr>
                <w:rFonts w:cs="Calibri"/>
                <w:sz w:val="16"/>
                <w:szCs w:val="16"/>
              </w:rPr>
              <w:noBreakHyphen/>
              <w:t>cig</w:t>
            </w:r>
            <w:r w:rsidRPr="000F6DEF">
              <w:rPr>
                <w:rFonts w:cs="Calibri"/>
                <w:sz w:val="16"/>
                <w:szCs w:val="16"/>
              </w:rPr>
              <w:t xml:space="preserve">arette addiction warning increases the strength of beliefs about the health risks associated with </w:t>
            </w:r>
            <w:r>
              <w:rPr>
                <w:rFonts w:cs="Calibri"/>
                <w:sz w:val="16"/>
                <w:szCs w:val="16"/>
              </w:rPr>
              <w:t>e</w:t>
            </w:r>
            <w:r>
              <w:rPr>
                <w:rFonts w:cs="Calibri"/>
                <w:sz w:val="16"/>
                <w:szCs w:val="16"/>
              </w:rPr>
              <w:noBreakHyphen/>
              <w:t>cig</w:t>
            </w:r>
            <w:r w:rsidRPr="000F6DEF">
              <w:rPr>
                <w:rFonts w:cs="Calibri"/>
                <w:sz w:val="16"/>
                <w:szCs w:val="16"/>
              </w:rPr>
              <w:t>arette use; these risk beliefs, in turn, negatively influence willingness to try the promoted product. In contrast, the cigarette addiction warning did not influence the strength of health</w:t>
            </w:r>
            <w:r w:rsidRPr="000F6DEF">
              <w:rPr>
                <w:rFonts w:cs="Calibri"/>
                <w:sz w:val="16"/>
                <w:szCs w:val="16"/>
              </w:rPr>
              <w:noBreakHyphen/>
              <w:t xml:space="preserve">risk beliefs. </w:t>
            </w:r>
          </w:p>
        </w:tc>
        <w:tc>
          <w:tcPr>
            <w:tcW w:w="4820" w:type="dxa"/>
          </w:tcPr>
          <w:p w14:paraId="418608D9"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Findings indicate that the addition of an addiction warning may be effective in changing consumers' risk beliefs associated with </w:t>
            </w:r>
            <w:r>
              <w:rPr>
                <w:rFonts w:cs="Calibri"/>
                <w:sz w:val="16"/>
                <w:szCs w:val="16"/>
              </w:rPr>
              <w:t>e</w:t>
            </w:r>
            <w:r>
              <w:rPr>
                <w:rFonts w:cs="Calibri"/>
                <w:sz w:val="16"/>
                <w:szCs w:val="16"/>
              </w:rPr>
              <w:noBreakHyphen/>
              <w:t>cig</w:t>
            </w:r>
            <w:r w:rsidRPr="000F6DEF">
              <w:rPr>
                <w:rFonts w:cs="Calibri"/>
                <w:sz w:val="16"/>
                <w:szCs w:val="16"/>
              </w:rPr>
              <w:t xml:space="preserve">arettes and consumers' responses to </w:t>
            </w:r>
            <w:r>
              <w:rPr>
                <w:rFonts w:cs="Calibri"/>
                <w:sz w:val="16"/>
                <w:szCs w:val="16"/>
              </w:rPr>
              <w:t>e</w:t>
            </w:r>
            <w:r>
              <w:rPr>
                <w:rFonts w:cs="Calibri"/>
                <w:sz w:val="16"/>
                <w:szCs w:val="16"/>
              </w:rPr>
              <w:noBreakHyphen/>
              <w:t>cig</w:t>
            </w:r>
            <w:r w:rsidRPr="000F6DEF">
              <w:rPr>
                <w:rFonts w:cs="Calibri"/>
                <w:sz w:val="16"/>
                <w:szCs w:val="16"/>
              </w:rPr>
              <w:t xml:space="preserve">arette persuasion attempts. </w:t>
            </w:r>
          </w:p>
        </w:tc>
      </w:tr>
      <w:tr w:rsidR="00B85C33" w:rsidRPr="000F6DEF" w14:paraId="6C4ECD09" w14:textId="77777777" w:rsidTr="000376C7">
        <w:trPr>
          <w:trHeight w:val="94"/>
        </w:trPr>
        <w:tc>
          <w:tcPr>
            <w:cnfStyle w:val="001000000000" w:firstRow="0" w:lastRow="0" w:firstColumn="1" w:lastColumn="0" w:oddVBand="0" w:evenVBand="0" w:oddHBand="0" w:evenHBand="0" w:firstRowFirstColumn="0" w:firstRowLastColumn="0" w:lastRowFirstColumn="0" w:lastRowLastColumn="0"/>
            <w:tcW w:w="1435" w:type="dxa"/>
          </w:tcPr>
          <w:p w14:paraId="121C444B" w14:textId="77777777" w:rsidR="00B85C33" w:rsidRPr="000F6DEF" w:rsidRDefault="00B85C33" w:rsidP="000376C7">
            <w:pPr>
              <w:rPr>
                <w:rFonts w:cs="Calibri"/>
                <w:sz w:val="16"/>
                <w:szCs w:val="16"/>
              </w:rPr>
            </w:pPr>
            <w:r w:rsidRPr="000F6DEF">
              <w:rPr>
                <w:rFonts w:cs="Calibri"/>
                <w:sz w:val="16"/>
                <w:szCs w:val="16"/>
              </w:rPr>
              <w:t>Boo, Inche Mat, P'ng et al</w:t>
            </w:r>
          </w:p>
        </w:tc>
        <w:tc>
          <w:tcPr>
            <w:tcW w:w="2671" w:type="dxa"/>
          </w:tcPr>
          <w:p w14:paraId="6174A565"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 To explore adult's perceptions of risks and benefits to </w:t>
            </w:r>
            <w:r>
              <w:rPr>
                <w:rFonts w:cs="Calibri"/>
                <w:sz w:val="16"/>
                <w:szCs w:val="16"/>
              </w:rPr>
              <w:t>e</w:t>
            </w:r>
            <w:r>
              <w:rPr>
                <w:rFonts w:cs="Calibri"/>
                <w:sz w:val="16"/>
                <w:szCs w:val="16"/>
              </w:rPr>
              <w:noBreakHyphen/>
              <w:t>cig</w:t>
            </w:r>
            <w:r w:rsidRPr="000F6DEF">
              <w:rPr>
                <w:rFonts w:cs="Calibri"/>
                <w:sz w:val="16"/>
                <w:szCs w:val="16"/>
              </w:rPr>
              <w:t>arettes.</w:t>
            </w:r>
          </w:p>
        </w:tc>
        <w:tc>
          <w:tcPr>
            <w:tcW w:w="6095" w:type="dxa"/>
          </w:tcPr>
          <w:p w14:paraId="52F9FDB7"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Ever use 2.4%; current use 0%, Intention to try 1.6%</w:t>
            </w:r>
            <w:r w:rsidRPr="000F6DEF">
              <w:rPr>
                <w:rFonts w:cs="Calibri"/>
                <w:sz w:val="16"/>
                <w:szCs w:val="16"/>
              </w:rPr>
              <w:br/>
              <w:t xml:space="preserve">Upset family and lung cancer had highest % agreements (67% strongly agree) </w:t>
            </w:r>
            <w:r w:rsidRPr="000F6DEF">
              <w:rPr>
                <w:rFonts w:cs="Calibri"/>
                <w:sz w:val="16"/>
                <w:szCs w:val="16"/>
              </w:rPr>
              <w:br/>
              <w:t xml:space="preserve">Positive outcomes seen as unlikely </w:t>
            </w:r>
            <w:r w:rsidRPr="000F6DEF">
              <w:rPr>
                <w:rFonts w:cs="Calibri"/>
                <w:sz w:val="16"/>
                <w:szCs w:val="16"/>
              </w:rPr>
              <w:noBreakHyphen/>
              <w:t xml:space="preserve"> look cool (54% strongly disagree), feel alert (50.8%), Increased athletic performance (50.4%)</w:t>
            </w:r>
          </w:p>
        </w:tc>
        <w:tc>
          <w:tcPr>
            <w:tcW w:w="4820" w:type="dxa"/>
          </w:tcPr>
          <w:p w14:paraId="5B873024"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This study provides fundamental information on their risk and benefit perception to enable appropriate measures to be carried out in tackling young adults engaging with </w:t>
            </w:r>
            <w:r>
              <w:rPr>
                <w:rFonts w:cs="Calibri"/>
                <w:sz w:val="16"/>
                <w:szCs w:val="16"/>
              </w:rPr>
              <w:t>e</w:t>
            </w:r>
            <w:r>
              <w:rPr>
                <w:rFonts w:cs="Calibri"/>
                <w:sz w:val="16"/>
                <w:szCs w:val="16"/>
              </w:rPr>
              <w:noBreakHyphen/>
              <w:t>cig</w:t>
            </w:r>
            <w:r w:rsidRPr="000F6DEF">
              <w:rPr>
                <w:rFonts w:cs="Calibri"/>
                <w:sz w:val="16"/>
                <w:szCs w:val="16"/>
              </w:rPr>
              <w:t>arettes</w:t>
            </w:r>
          </w:p>
        </w:tc>
      </w:tr>
      <w:tr w:rsidR="00B85C33" w:rsidRPr="000F6DEF" w14:paraId="29F788F4" w14:textId="77777777" w:rsidTr="000376C7">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1435" w:type="dxa"/>
          </w:tcPr>
          <w:p w14:paraId="261CCB0E" w14:textId="77777777" w:rsidR="00B85C33" w:rsidRPr="000F6DEF" w:rsidRDefault="00B85C33" w:rsidP="000376C7">
            <w:pPr>
              <w:rPr>
                <w:rFonts w:cs="Calibri"/>
                <w:sz w:val="16"/>
                <w:szCs w:val="16"/>
              </w:rPr>
            </w:pPr>
            <w:r w:rsidRPr="000F6DEF">
              <w:rPr>
                <w:rFonts w:cs="Calibri"/>
                <w:sz w:val="16"/>
                <w:szCs w:val="16"/>
              </w:rPr>
              <w:t>Browne, Todd</w:t>
            </w:r>
          </w:p>
        </w:tc>
        <w:tc>
          <w:tcPr>
            <w:tcW w:w="2671" w:type="dxa"/>
          </w:tcPr>
          <w:p w14:paraId="39A6AA6F"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This study investigated characteristics of nicotine dependence and consumption in a sample of vapers who formerly smoked cigarettes. </w:t>
            </w:r>
          </w:p>
        </w:tc>
        <w:tc>
          <w:tcPr>
            <w:tcW w:w="6095" w:type="dxa"/>
          </w:tcPr>
          <w:p w14:paraId="49E52FB4"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Reasons (non</w:t>
            </w:r>
            <w:r w:rsidRPr="000F6DEF">
              <w:rPr>
                <w:rFonts w:cs="Calibri"/>
                <w:sz w:val="16"/>
                <w:szCs w:val="16"/>
              </w:rPr>
              <w:noBreakHyphen/>
              <w:t>exclusive) given for vaping included: health beneﬁts (74.1%), other NRTs ineﬀective (45.2%), more enjoyable (35.1%) and for pleasure (22.7%), less oﬀensive to others (31.8%), and being easier than quitting nicotine completely (35.1%). The vast majority of our sample of vapers was ex</w:t>
            </w:r>
            <w:r w:rsidRPr="000F6DEF">
              <w:rPr>
                <w:rFonts w:cs="Calibri"/>
                <w:sz w:val="16"/>
                <w:szCs w:val="16"/>
              </w:rPr>
              <w:noBreakHyphen/>
              <w:t>smokers, who generally used vaping as a safer alternative to cigarettes. Overall, nicotine concentration tended to increase over time, although this effect was moderated by users' intentions to reduce their intake. Indicators of smoking addiction do not appear to be applicable to vaping, with respect to both internal consistency and relationship to consumption</w:t>
            </w:r>
          </w:p>
        </w:tc>
        <w:tc>
          <w:tcPr>
            <w:tcW w:w="4820" w:type="dxa"/>
          </w:tcPr>
          <w:p w14:paraId="7863DBE3"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First, we found that the large majority of vapers were ex</w:t>
            </w:r>
            <w:r w:rsidRPr="000F6DEF">
              <w:rPr>
                <w:rFonts w:cs="Calibri"/>
                <w:sz w:val="16"/>
                <w:szCs w:val="16"/>
              </w:rPr>
              <w:noBreakHyphen/>
              <w:t>smokers who had either ceased or dramatically reduced their cigarette consumption. Second, there was a marked decrease in dependence among vapers compared to their retrospective prior cigarette dependence. Finally, we also observed decoupling: a large attenuation of the relationship between dependence and consumption for vapers as compared to their retrospective prior smoking.</w:t>
            </w:r>
          </w:p>
        </w:tc>
      </w:tr>
      <w:tr w:rsidR="00B85C33" w:rsidRPr="000F6DEF" w14:paraId="601EBEA3" w14:textId="77777777" w:rsidTr="000376C7">
        <w:trPr>
          <w:trHeight w:val="1439"/>
        </w:trPr>
        <w:tc>
          <w:tcPr>
            <w:cnfStyle w:val="001000000000" w:firstRow="0" w:lastRow="0" w:firstColumn="1" w:lastColumn="0" w:oddVBand="0" w:evenVBand="0" w:oddHBand="0" w:evenHBand="0" w:firstRowFirstColumn="0" w:firstRowLastColumn="0" w:lastRowFirstColumn="0" w:lastRowLastColumn="0"/>
            <w:tcW w:w="1435" w:type="dxa"/>
          </w:tcPr>
          <w:p w14:paraId="184DCB4A" w14:textId="77777777" w:rsidR="00B85C33" w:rsidRPr="000F6DEF" w:rsidRDefault="00B85C33" w:rsidP="000376C7">
            <w:pPr>
              <w:rPr>
                <w:rFonts w:cs="Calibri"/>
                <w:sz w:val="16"/>
                <w:szCs w:val="16"/>
              </w:rPr>
            </w:pPr>
            <w:r w:rsidRPr="000F6DEF">
              <w:rPr>
                <w:rFonts w:cs="Calibri"/>
                <w:sz w:val="16"/>
                <w:szCs w:val="16"/>
              </w:rPr>
              <w:t>Brozek, Jankowski, Zejda et al</w:t>
            </w:r>
          </w:p>
        </w:tc>
        <w:tc>
          <w:tcPr>
            <w:tcW w:w="2671" w:type="dxa"/>
          </w:tcPr>
          <w:p w14:paraId="7B7C96C4"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The objectives of this study were to assess the prevalence of </w:t>
            </w:r>
            <w:r>
              <w:rPr>
                <w:rFonts w:cs="Calibri"/>
                <w:sz w:val="16"/>
                <w:szCs w:val="16"/>
              </w:rPr>
              <w:t>e</w:t>
            </w:r>
            <w:r>
              <w:rPr>
                <w:rFonts w:cs="Calibri"/>
                <w:sz w:val="16"/>
                <w:szCs w:val="16"/>
              </w:rPr>
              <w:noBreakHyphen/>
              <w:t>cig</w:t>
            </w:r>
            <w:r w:rsidRPr="000F6DEF">
              <w:rPr>
                <w:rFonts w:cs="Calibri"/>
                <w:sz w:val="16"/>
                <w:szCs w:val="16"/>
              </w:rPr>
              <w:t xml:space="preserve">arette and tobacco cigarette use; to compare the patterns of smoking; to assess the attitudes and motivations for </w:t>
            </w:r>
            <w:r>
              <w:rPr>
                <w:rFonts w:cs="Calibri"/>
                <w:sz w:val="16"/>
                <w:szCs w:val="16"/>
              </w:rPr>
              <w:t>e</w:t>
            </w:r>
            <w:r>
              <w:rPr>
                <w:rFonts w:cs="Calibri"/>
                <w:sz w:val="16"/>
                <w:szCs w:val="16"/>
              </w:rPr>
              <w:noBreakHyphen/>
              <w:t>cig</w:t>
            </w:r>
            <w:r w:rsidRPr="000F6DEF">
              <w:rPr>
                <w:rFonts w:cs="Calibri"/>
                <w:sz w:val="16"/>
                <w:szCs w:val="16"/>
              </w:rPr>
              <w:t>arette use.</w:t>
            </w:r>
          </w:p>
        </w:tc>
        <w:tc>
          <w:tcPr>
            <w:tcW w:w="6095" w:type="dxa"/>
          </w:tcPr>
          <w:p w14:paraId="75B0E8F1" w14:textId="77777777" w:rsidR="00B85C33" w:rsidRPr="000F6DEF" w:rsidRDefault="00B85C33" w:rsidP="000376C7">
            <w:pPr>
              <w:spacing w:after="240"/>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78.4% non</w:t>
            </w:r>
            <w:r w:rsidRPr="000F6DEF">
              <w:rPr>
                <w:rFonts w:cs="Calibri"/>
                <w:sz w:val="16"/>
                <w:szCs w:val="16"/>
              </w:rPr>
              <w:noBreakHyphen/>
              <w:t xml:space="preserve">smokers; 3.5% used </w:t>
            </w:r>
            <w:r>
              <w:rPr>
                <w:rFonts w:cs="Calibri"/>
                <w:sz w:val="16"/>
                <w:szCs w:val="16"/>
              </w:rPr>
              <w:t>e</w:t>
            </w:r>
            <w:r>
              <w:rPr>
                <w:rFonts w:cs="Calibri"/>
                <w:sz w:val="16"/>
                <w:szCs w:val="16"/>
              </w:rPr>
              <w:noBreakHyphen/>
              <w:t>cig</w:t>
            </w:r>
            <w:r w:rsidRPr="000F6DEF">
              <w:rPr>
                <w:rFonts w:cs="Calibri"/>
                <w:sz w:val="16"/>
                <w:szCs w:val="16"/>
              </w:rPr>
              <w:t xml:space="preserve">. High frequency of smoking (all types) in men than women. 1.29% </w:t>
            </w:r>
            <w:r>
              <w:rPr>
                <w:rFonts w:cs="Calibri"/>
                <w:sz w:val="16"/>
                <w:szCs w:val="16"/>
              </w:rPr>
              <w:t>e</w:t>
            </w:r>
            <w:r>
              <w:rPr>
                <w:rFonts w:cs="Calibri"/>
                <w:sz w:val="16"/>
                <w:szCs w:val="16"/>
              </w:rPr>
              <w:noBreakHyphen/>
              <w:t>cig</w:t>
            </w:r>
            <w:r w:rsidRPr="000F6DEF">
              <w:rPr>
                <w:rFonts w:cs="Calibri"/>
                <w:sz w:val="16"/>
                <w:szCs w:val="16"/>
              </w:rPr>
              <w:t>arette smokers; 2.2% dual smokers.</w:t>
            </w:r>
            <w:r w:rsidRPr="000F6DEF">
              <w:rPr>
                <w:rFonts w:cs="Calibri"/>
                <w:sz w:val="16"/>
                <w:szCs w:val="16"/>
              </w:rPr>
              <w:br/>
              <w:t>An attempt to quit tobacco smoking was the most frequently reported factor leading to e</w:t>
            </w:r>
            <w:r w:rsidRPr="000F6DEF">
              <w:rPr>
                <w:rFonts w:cs="Calibri"/>
                <w:sz w:val="16"/>
                <w:szCs w:val="16"/>
              </w:rPr>
              <w:noBreakHyphen/>
              <w:t>smoking (58.7%), followed by the perceived less harmful impact on health (43.5%), and the price (34.8%). Only 11.3% of e</w:t>
            </w:r>
            <w:r w:rsidRPr="000F6DEF">
              <w:rPr>
                <w:rFonts w:cs="Calibri"/>
                <w:sz w:val="16"/>
                <w:szCs w:val="16"/>
              </w:rPr>
              <w:noBreakHyphen/>
              <w:t xml:space="preserve">smokers indicated that they would recommend the use of </w:t>
            </w:r>
            <w:r>
              <w:rPr>
                <w:rFonts w:cs="Calibri"/>
                <w:sz w:val="16"/>
                <w:szCs w:val="16"/>
              </w:rPr>
              <w:t>e</w:t>
            </w:r>
            <w:r>
              <w:rPr>
                <w:rFonts w:cs="Calibri"/>
                <w:sz w:val="16"/>
                <w:szCs w:val="16"/>
              </w:rPr>
              <w:noBreakHyphen/>
              <w:t>cig</w:t>
            </w:r>
            <w:r w:rsidRPr="000F6DEF">
              <w:rPr>
                <w:rFonts w:cs="Calibri"/>
                <w:sz w:val="16"/>
                <w:szCs w:val="16"/>
              </w:rPr>
              <w:t>arettes to others, while almost half of e</w:t>
            </w:r>
            <w:r w:rsidRPr="000F6DEF">
              <w:rPr>
                <w:rFonts w:cs="Calibri"/>
                <w:sz w:val="16"/>
                <w:szCs w:val="16"/>
              </w:rPr>
              <w:noBreakHyphen/>
              <w:t xml:space="preserve">smokers (48.7%) would not recommend the use of </w:t>
            </w:r>
            <w:r>
              <w:rPr>
                <w:rFonts w:cs="Calibri"/>
                <w:sz w:val="16"/>
                <w:szCs w:val="16"/>
              </w:rPr>
              <w:t>e</w:t>
            </w:r>
            <w:r>
              <w:rPr>
                <w:rFonts w:cs="Calibri"/>
                <w:sz w:val="16"/>
                <w:szCs w:val="16"/>
              </w:rPr>
              <w:noBreakHyphen/>
              <w:t>cig</w:t>
            </w:r>
            <w:r w:rsidRPr="000F6DEF">
              <w:rPr>
                <w:rFonts w:cs="Calibri"/>
                <w:sz w:val="16"/>
                <w:szCs w:val="16"/>
              </w:rPr>
              <w:t>arettes to others.</w:t>
            </w:r>
          </w:p>
        </w:tc>
        <w:tc>
          <w:tcPr>
            <w:tcW w:w="4820" w:type="dxa"/>
          </w:tcPr>
          <w:p w14:paraId="1EE55C9D" w14:textId="77777777" w:rsidR="00B85C33" w:rsidRPr="000F6DEF" w:rsidRDefault="00B85C33" w:rsidP="000376C7">
            <w:pPr>
              <w:spacing w:after="0"/>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Among students of medicine, e</w:t>
            </w:r>
            <w:r w:rsidRPr="000F6DEF">
              <w:rPr>
                <w:rFonts w:cs="Calibri"/>
                <w:sz w:val="16"/>
                <w:szCs w:val="16"/>
              </w:rPr>
              <w:noBreakHyphen/>
              <w:t xml:space="preserve">smoking is not a frequent habit and it is apparently less popular than smoking tobacco cigarettes. An analysis of the pattern of </w:t>
            </w:r>
            <w:r>
              <w:rPr>
                <w:rFonts w:cs="Calibri"/>
                <w:sz w:val="16"/>
                <w:szCs w:val="16"/>
              </w:rPr>
              <w:t>e</w:t>
            </w:r>
            <w:r>
              <w:rPr>
                <w:rFonts w:cs="Calibri"/>
                <w:sz w:val="16"/>
                <w:szCs w:val="16"/>
              </w:rPr>
              <w:noBreakHyphen/>
              <w:t>cig</w:t>
            </w:r>
            <w:r w:rsidRPr="000F6DEF">
              <w:rPr>
                <w:rFonts w:cs="Calibri"/>
                <w:sz w:val="16"/>
                <w:szCs w:val="16"/>
              </w:rPr>
              <w:t>arette use indicates that the percentage of smokers smoking daily is definitely higher among e</w:t>
            </w:r>
            <w:r w:rsidRPr="000F6DEF">
              <w:rPr>
                <w:rFonts w:cs="Calibri"/>
                <w:sz w:val="16"/>
                <w:szCs w:val="16"/>
              </w:rPr>
              <w:noBreakHyphen/>
              <w:t>smokers as compared to people smoking normal cigarettes</w:t>
            </w:r>
          </w:p>
        </w:tc>
      </w:tr>
      <w:tr w:rsidR="00B85C33" w:rsidRPr="000F6DEF" w14:paraId="5CB437E5" w14:textId="77777777" w:rsidTr="000376C7">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1435" w:type="dxa"/>
          </w:tcPr>
          <w:p w14:paraId="1684579F" w14:textId="77777777" w:rsidR="00B85C33" w:rsidRPr="000F6DEF" w:rsidRDefault="00B85C33" w:rsidP="000376C7">
            <w:pPr>
              <w:rPr>
                <w:rFonts w:cs="Calibri"/>
                <w:sz w:val="16"/>
                <w:szCs w:val="16"/>
              </w:rPr>
            </w:pPr>
            <w:r w:rsidRPr="000F6DEF">
              <w:rPr>
                <w:rFonts w:cs="Calibri"/>
                <w:sz w:val="16"/>
                <w:szCs w:val="16"/>
              </w:rPr>
              <w:lastRenderedPageBreak/>
              <w:t>Cavalcante, Szklo, Perez et al.</w:t>
            </w:r>
          </w:p>
        </w:tc>
        <w:tc>
          <w:tcPr>
            <w:tcW w:w="2671" w:type="dxa"/>
          </w:tcPr>
          <w:p w14:paraId="6E223185"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This study sought to analyse: (1) awareness of electronic cigarettes, ever</w:t>
            </w:r>
            <w:r w:rsidRPr="000F6DEF">
              <w:rPr>
                <w:rFonts w:cs="Calibri"/>
                <w:sz w:val="16"/>
                <w:szCs w:val="16"/>
              </w:rPr>
              <w:noBreakHyphen/>
              <w:t xml:space="preserve">use and recent use; (2) perception of harmfulness of electronic cigarettes when compared with conventional cigarettes; and (3) correlates of awareness and perception of harmfulness. </w:t>
            </w:r>
          </w:p>
        </w:tc>
        <w:tc>
          <w:tcPr>
            <w:tcW w:w="6095" w:type="dxa"/>
          </w:tcPr>
          <w:p w14:paraId="30D2B573" w14:textId="4EEBB646"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37.4% (n=249) of current smokers were aware of </w:t>
            </w:r>
            <w:r>
              <w:rPr>
                <w:rFonts w:cs="Calibri"/>
                <w:sz w:val="16"/>
                <w:szCs w:val="16"/>
              </w:rPr>
              <w:t>e</w:t>
            </w:r>
            <w:r>
              <w:rPr>
                <w:rFonts w:cs="Calibri"/>
                <w:sz w:val="16"/>
                <w:szCs w:val="16"/>
              </w:rPr>
              <w:noBreakHyphen/>
              <w:t>cig</w:t>
            </w:r>
            <w:r w:rsidRPr="000F6DEF">
              <w:rPr>
                <w:rFonts w:cs="Calibri"/>
                <w:sz w:val="16"/>
                <w:szCs w:val="16"/>
              </w:rPr>
              <w:t xml:space="preserve">s, 9.3% (n=48) reported having ever tried or used </w:t>
            </w:r>
            <w:r>
              <w:rPr>
                <w:rFonts w:cs="Calibri"/>
                <w:sz w:val="16"/>
                <w:szCs w:val="16"/>
              </w:rPr>
              <w:t>e</w:t>
            </w:r>
            <w:r>
              <w:rPr>
                <w:rFonts w:cs="Calibri"/>
                <w:sz w:val="16"/>
                <w:szCs w:val="16"/>
              </w:rPr>
              <w:noBreakHyphen/>
              <w:t>cig</w:t>
            </w:r>
            <w:r w:rsidRPr="000F6DEF">
              <w:rPr>
                <w:rFonts w:cs="Calibri"/>
                <w:sz w:val="16"/>
                <w:szCs w:val="16"/>
              </w:rPr>
              <w:t xml:space="preserve">arettes and 4.6% (n=24) reported having used them in the previous six months. Among those who were aware of </w:t>
            </w:r>
            <w:r>
              <w:rPr>
                <w:rFonts w:cs="Calibri"/>
                <w:sz w:val="16"/>
                <w:szCs w:val="16"/>
              </w:rPr>
              <w:t>e</w:t>
            </w:r>
            <w:r>
              <w:rPr>
                <w:rFonts w:cs="Calibri"/>
                <w:sz w:val="16"/>
                <w:szCs w:val="16"/>
              </w:rPr>
              <w:noBreakHyphen/>
              <w:t>cig</w:t>
            </w:r>
            <w:r w:rsidRPr="000F6DEF">
              <w:rPr>
                <w:rFonts w:cs="Calibri"/>
                <w:sz w:val="16"/>
                <w:szCs w:val="16"/>
              </w:rPr>
              <w:t xml:space="preserve">s, 44.4% (n=103) believed they were less harmful than regular cigarettes (low perception of harmfulness). "Low perception of harmfulness" was associated with a higher educational level and with having recently tried/used </w:t>
            </w:r>
            <w:r>
              <w:rPr>
                <w:rFonts w:cs="Calibri"/>
                <w:sz w:val="16"/>
                <w:szCs w:val="16"/>
              </w:rPr>
              <w:t>e</w:t>
            </w:r>
            <w:r>
              <w:rPr>
                <w:rFonts w:cs="Calibri"/>
                <w:sz w:val="16"/>
                <w:szCs w:val="16"/>
              </w:rPr>
              <w:noBreakHyphen/>
              <w:t>cig</w:t>
            </w:r>
            <w:r w:rsidR="00C56834">
              <w:rPr>
                <w:rFonts w:cs="Calibri"/>
                <w:sz w:val="16"/>
                <w:szCs w:val="16"/>
              </w:rPr>
              <w:t>arette</w:t>
            </w:r>
            <w:r w:rsidRPr="000F6DEF">
              <w:rPr>
                <w:rFonts w:cs="Calibri"/>
                <w:sz w:val="16"/>
                <w:szCs w:val="16"/>
              </w:rPr>
              <w:t>s.</w:t>
            </w:r>
            <w:r w:rsidRPr="000F6DEF">
              <w:rPr>
                <w:rFonts w:cs="Calibri"/>
                <w:sz w:val="16"/>
                <w:szCs w:val="16"/>
              </w:rPr>
              <w:br/>
              <w:t xml:space="preserve">Among smokers who were aware of </w:t>
            </w:r>
            <w:r>
              <w:rPr>
                <w:rFonts w:cs="Calibri"/>
                <w:sz w:val="16"/>
                <w:szCs w:val="16"/>
              </w:rPr>
              <w:t>e</w:t>
            </w:r>
            <w:r>
              <w:rPr>
                <w:rFonts w:cs="Calibri"/>
                <w:sz w:val="16"/>
                <w:szCs w:val="16"/>
              </w:rPr>
              <w:noBreakHyphen/>
              <w:t>cig</w:t>
            </w:r>
            <w:r w:rsidRPr="000F6DEF">
              <w:rPr>
                <w:rFonts w:cs="Calibri"/>
                <w:sz w:val="16"/>
                <w:szCs w:val="16"/>
              </w:rPr>
              <w:t>arettes in Brazil, 44.4% believed they were less harmful compared to regular cigarettes</w:t>
            </w:r>
          </w:p>
        </w:tc>
        <w:tc>
          <w:tcPr>
            <w:tcW w:w="4820" w:type="dxa"/>
          </w:tcPr>
          <w:p w14:paraId="1E87D99E"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This study describes </w:t>
            </w:r>
            <w:r>
              <w:rPr>
                <w:rFonts w:cs="Calibri"/>
                <w:sz w:val="16"/>
                <w:szCs w:val="16"/>
              </w:rPr>
              <w:t>e</w:t>
            </w:r>
            <w:r>
              <w:rPr>
                <w:rFonts w:cs="Calibri"/>
                <w:sz w:val="16"/>
                <w:szCs w:val="16"/>
              </w:rPr>
              <w:noBreakHyphen/>
              <w:t>cig</w:t>
            </w:r>
            <w:r w:rsidRPr="000F6DEF">
              <w:rPr>
                <w:rFonts w:cs="Calibri"/>
                <w:sz w:val="16"/>
                <w:szCs w:val="16"/>
              </w:rPr>
              <w:t>arette awareness, perceptions of harmfulness, and correlates of these measures in Brazil, a middle</w:t>
            </w:r>
            <w:r w:rsidRPr="000F6DEF">
              <w:rPr>
                <w:rFonts w:cs="Calibri"/>
                <w:sz w:val="16"/>
                <w:szCs w:val="16"/>
              </w:rPr>
              <w:noBreakHyphen/>
              <w:t xml:space="preserve">income country with strong tobacco control policies (for the past 20 years) and with strict </w:t>
            </w:r>
            <w:r>
              <w:rPr>
                <w:rFonts w:cs="Calibri"/>
                <w:sz w:val="16"/>
                <w:szCs w:val="16"/>
              </w:rPr>
              <w:t>e</w:t>
            </w:r>
            <w:r>
              <w:rPr>
                <w:rFonts w:cs="Calibri"/>
                <w:sz w:val="16"/>
                <w:szCs w:val="16"/>
              </w:rPr>
              <w:noBreakHyphen/>
              <w:t>cig</w:t>
            </w:r>
            <w:r w:rsidRPr="000F6DEF">
              <w:rPr>
                <w:rFonts w:cs="Calibri"/>
                <w:sz w:val="16"/>
                <w:szCs w:val="16"/>
              </w:rPr>
              <w:t xml:space="preserve">arette regulations (since 2009). It is the first study to examine the correlates of </w:t>
            </w:r>
            <w:r>
              <w:rPr>
                <w:rFonts w:cs="Calibri"/>
                <w:sz w:val="16"/>
                <w:szCs w:val="16"/>
              </w:rPr>
              <w:t>e</w:t>
            </w:r>
            <w:r>
              <w:rPr>
                <w:rFonts w:cs="Calibri"/>
                <w:sz w:val="16"/>
                <w:szCs w:val="16"/>
              </w:rPr>
              <w:noBreakHyphen/>
              <w:t>cig</w:t>
            </w:r>
            <w:r w:rsidRPr="000F6DEF">
              <w:rPr>
                <w:rFonts w:cs="Calibri"/>
                <w:sz w:val="16"/>
                <w:szCs w:val="16"/>
              </w:rPr>
              <w:t>arette perceptions in Brazil.</w:t>
            </w:r>
          </w:p>
        </w:tc>
      </w:tr>
      <w:tr w:rsidR="00B85C33" w:rsidRPr="000F6DEF" w14:paraId="28CB63DB" w14:textId="77777777" w:rsidTr="000376C7">
        <w:trPr>
          <w:trHeight w:val="94"/>
        </w:trPr>
        <w:tc>
          <w:tcPr>
            <w:cnfStyle w:val="001000000000" w:firstRow="0" w:lastRow="0" w:firstColumn="1" w:lastColumn="0" w:oddVBand="0" w:evenVBand="0" w:oddHBand="0" w:evenHBand="0" w:firstRowFirstColumn="0" w:firstRowLastColumn="0" w:lastRowFirstColumn="0" w:lastRowLastColumn="0"/>
            <w:tcW w:w="1435" w:type="dxa"/>
          </w:tcPr>
          <w:p w14:paraId="08D1408F" w14:textId="77777777" w:rsidR="00B85C33" w:rsidRPr="000F6DEF" w:rsidRDefault="00B85C33" w:rsidP="000376C7">
            <w:pPr>
              <w:rPr>
                <w:rFonts w:cs="Calibri"/>
                <w:sz w:val="16"/>
                <w:szCs w:val="16"/>
              </w:rPr>
            </w:pPr>
            <w:r w:rsidRPr="000F6DEF">
              <w:rPr>
                <w:rFonts w:cs="Calibri"/>
                <w:sz w:val="16"/>
                <w:szCs w:val="16"/>
              </w:rPr>
              <w:t>Chang, Tsai, Shiu et al.</w:t>
            </w:r>
          </w:p>
        </w:tc>
        <w:tc>
          <w:tcPr>
            <w:tcW w:w="2671" w:type="dxa"/>
          </w:tcPr>
          <w:p w14:paraId="5EA664CC" w14:textId="7EE2E709"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This study investigated the prevalence and correlates of electronic cigarettes (</w:t>
            </w:r>
            <w:r>
              <w:rPr>
                <w:rFonts w:cs="Calibri"/>
                <w:sz w:val="16"/>
                <w:szCs w:val="16"/>
              </w:rPr>
              <w:t>e</w:t>
            </w:r>
            <w:r>
              <w:rPr>
                <w:rFonts w:cs="Calibri"/>
                <w:sz w:val="16"/>
                <w:szCs w:val="16"/>
              </w:rPr>
              <w:noBreakHyphen/>
              <w:t>cig</w:t>
            </w:r>
            <w:r w:rsidRPr="000F6DEF">
              <w:rPr>
                <w:rFonts w:cs="Calibri"/>
                <w:sz w:val="16"/>
                <w:szCs w:val="16"/>
              </w:rPr>
              <w:t>arettes) use in Taiwan</w:t>
            </w:r>
            <w:r w:rsidR="005500FC">
              <w:rPr>
                <w:rFonts w:cs="Calibri"/>
                <w:sz w:val="16"/>
                <w:szCs w:val="16"/>
              </w:rPr>
              <w:t>.</w:t>
            </w:r>
          </w:p>
        </w:tc>
        <w:tc>
          <w:tcPr>
            <w:tcW w:w="6095" w:type="dxa"/>
          </w:tcPr>
          <w:p w14:paraId="3075BE73" w14:textId="13936AB5" w:rsidR="00B85C33" w:rsidRPr="000F6DEF" w:rsidRDefault="00B85C33" w:rsidP="000376C7">
            <w:pPr>
              <w:spacing w:after="240"/>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2.7% ever use of </w:t>
            </w:r>
            <w:r>
              <w:rPr>
                <w:rFonts w:cs="Calibri"/>
                <w:sz w:val="16"/>
                <w:szCs w:val="16"/>
              </w:rPr>
              <w:t>e</w:t>
            </w:r>
            <w:r>
              <w:rPr>
                <w:rFonts w:cs="Calibri"/>
                <w:sz w:val="16"/>
                <w:szCs w:val="16"/>
              </w:rPr>
              <w:noBreakHyphen/>
              <w:t>cig</w:t>
            </w:r>
            <w:r w:rsidR="00C56834">
              <w:rPr>
                <w:rFonts w:cs="Calibri"/>
                <w:sz w:val="16"/>
                <w:szCs w:val="16"/>
              </w:rPr>
              <w:t>arettes</w:t>
            </w:r>
            <w:r w:rsidRPr="000F6DEF">
              <w:rPr>
                <w:rFonts w:cs="Calibri"/>
                <w:sz w:val="16"/>
                <w:szCs w:val="16"/>
              </w:rPr>
              <w:t>; 14.2% in current smokers</w:t>
            </w:r>
            <w:r w:rsidRPr="000F6DEF">
              <w:rPr>
                <w:rFonts w:cs="Calibri"/>
                <w:sz w:val="16"/>
                <w:szCs w:val="16"/>
              </w:rPr>
              <w:br/>
              <w:t>Males, those between 18</w:t>
            </w:r>
            <w:r w:rsidRPr="000F6DEF">
              <w:rPr>
                <w:rFonts w:cs="Calibri"/>
                <w:sz w:val="16"/>
                <w:szCs w:val="16"/>
              </w:rPr>
              <w:noBreakHyphen/>
              <w:t xml:space="preserve">24, highest monthly income all had higher prevalence of </w:t>
            </w:r>
            <w:r>
              <w:rPr>
                <w:rFonts w:cs="Calibri"/>
                <w:sz w:val="16"/>
                <w:szCs w:val="16"/>
              </w:rPr>
              <w:t>e</w:t>
            </w:r>
            <w:r>
              <w:rPr>
                <w:rFonts w:cs="Calibri"/>
                <w:sz w:val="16"/>
                <w:szCs w:val="16"/>
              </w:rPr>
              <w:noBreakHyphen/>
              <w:t>cig</w:t>
            </w:r>
            <w:r w:rsidRPr="000F6DEF">
              <w:rPr>
                <w:rFonts w:cs="Calibri"/>
                <w:sz w:val="16"/>
                <w:szCs w:val="16"/>
              </w:rPr>
              <w:t>arette use.</w:t>
            </w:r>
          </w:p>
        </w:tc>
        <w:tc>
          <w:tcPr>
            <w:tcW w:w="4820" w:type="dxa"/>
          </w:tcPr>
          <w:p w14:paraId="30182189" w14:textId="77777777" w:rsidR="00B85C33" w:rsidRPr="000F6DEF" w:rsidRDefault="00B85C33" w:rsidP="000376C7">
            <w:pPr>
              <w:spacing w:after="0"/>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This national representative study in Taiwan suggests that people with higher education level and income are more likely to use </w:t>
            </w:r>
            <w:r>
              <w:rPr>
                <w:rFonts w:cs="Calibri"/>
                <w:sz w:val="16"/>
                <w:szCs w:val="16"/>
              </w:rPr>
              <w:t>e</w:t>
            </w:r>
            <w:r>
              <w:rPr>
                <w:rFonts w:cs="Calibri"/>
                <w:sz w:val="16"/>
                <w:szCs w:val="16"/>
              </w:rPr>
              <w:noBreakHyphen/>
              <w:t>cig</w:t>
            </w:r>
            <w:r w:rsidRPr="000F6DEF">
              <w:rPr>
                <w:rFonts w:cs="Calibri"/>
                <w:sz w:val="16"/>
                <w:szCs w:val="16"/>
              </w:rPr>
              <w:t xml:space="preserve">arettes. Among smokers, women have a prevalence of using </w:t>
            </w:r>
            <w:r>
              <w:rPr>
                <w:rFonts w:cs="Calibri"/>
                <w:sz w:val="16"/>
                <w:szCs w:val="16"/>
              </w:rPr>
              <w:t>e</w:t>
            </w:r>
            <w:r>
              <w:rPr>
                <w:rFonts w:cs="Calibri"/>
                <w:sz w:val="16"/>
                <w:szCs w:val="16"/>
              </w:rPr>
              <w:noBreakHyphen/>
              <w:t>cig</w:t>
            </w:r>
            <w:r w:rsidRPr="000F6DEF">
              <w:rPr>
                <w:rFonts w:cs="Calibri"/>
                <w:sz w:val="16"/>
                <w:szCs w:val="16"/>
              </w:rPr>
              <w:t xml:space="preserve">arettes similar to or even greater than that of men. The overall rate of ever having used </w:t>
            </w:r>
            <w:r>
              <w:rPr>
                <w:rFonts w:cs="Calibri"/>
                <w:sz w:val="16"/>
                <w:szCs w:val="16"/>
              </w:rPr>
              <w:t>e</w:t>
            </w:r>
            <w:r>
              <w:rPr>
                <w:rFonts w:cs="Calibri"/>
                <w:sz w:val="16"/>
                <w:szCs w:val="16"/>
              </w:rPr>
              <w:noBreakHyphen/>
              <w:t>cig</w:t>
            </w:r>
            <w:r w:rsidRPr="000F6DEF">
              <w:rPr>
                <w:rFonts w:cs="Calibri"/>
                <w:sz w:val="16"/>
                <w:szCs w:val="16"/>
              </w:rPr>
              <w:t xml:space="preserve">arettes in Taiwan is lower than that in western countries; however, adolescents and young adults have the highest prevalence of ever using </w:t>
            </w:r>
            <w:r>
              <w:rPr>
                <w:rFonts w:cs="Calibri"/>
                <w:sz w:val="16"/>
                <w:szCs w:val="16"/>
              </w:rPr>
              <w:t>e</w:t>
            </w:r>
            <w:r>
              <w:rPr>
                <w:rFonts w:cs="Calibri"/>
                <w:sz w:val="16"/>
                <w:szCs w:val="16"/>
              </w:rPr>
              <w:noBreakHyphen/>
              <w:t>cig</w:t>
            </w:r>
            <w:r w:rsidRPr="000F6DEF">
              <w:rPr>
                <w:rFonts w:cs="Calibri"/>
                <w:sz w:val="16"/>
                <w:szCs w:val="16"/>
              </w:rPr>
              <w:t>arettes</w:t>
            </w:r>
          </w:p>
        </w:tc>
      </w:tr>
      <w:tr w:rsidR="00B85C33" w:rsidRPr="000F6DEF" w14:paraId="311B66E1" w14:textId="77777777" w:rsidTr="000376C7">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1435" w:type="dxa"/>
          </w:tcPr>
          <w:p w14:paraId="1DC28F4B" w14:textId="77777777" w:rsidR="00B85C33" w:rsidRPr="000F6DEF" w:rsidRDefault="00B85C33" w:rsidP="000376C7">
            <w:pPr>
              <w:rPr>
                <w:rFonts w:cs="Calibri"/>
                <w:sz w:val="16"/>
                <w:szCs w:val="16"/>
              </w:rPr>
            </w:pPr>
            <w:r w:rsidRPr="000F6DEF">
              <w:rPr>
                <w:rFonts w:cs="Calibri"/>
                <w:sz w:val="16"/>
                <w:szCs w:val="16"/>
              </w:rPr>
              <w:t>Cheng, Chang, Hsu et al</w:t>
            </w:r>
          </w:p>
        </w:tc>
        <w:tc>
          <w:tcPr>
            <w:tcW w:w="2671" w:type="dxa"/>
          </w:tcPr>
          <w:p w14:paraId="4BFFF5B4" w14:textId="006E722F"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We investigated the use of electronic cigarettes (</w:t>
            </w:r>
            <w:r>
              <w:rPr>
                <w:rFonts w:cs="Calibri"/>
                <w:sz w:val="16"/>
                <w:szCs w:val="16"/>
              </w:rPr>
              <w:t>e</w:t>
            </w:r>
            <w:r>
              <w:rPr>
                <w:rFonts w:cs="Calibri"/>
                <w:sz w:val="16"/>
                <w:szCs w:val="16"/>
              </w:rPr>
              <w:noBreakHyphen/>
              <w:t>cig</w:t>
            </w:r>
            <w:r w:rsidRPr="000F6DEF">
              <w:rPr>
                <w:rFonts w:cs="Calibri"/>
                <w:sz w:val="16"/>
                <w:szCs w:val="16"/>
              </w:rPr>
              <w:t xml:space="preserve">arettes) with traditional cigarettes among adolescents during 2014 to 2016 to identify risk factors for using </w:t>
            </w:r>
            <w:r>
              <w:rPr>
                <w:rFonts w:cs="Calibri"/>
                <w:sz w:val="16"/>
                <w:szCs w:val="16"/>
              </w:rPr>
              <w:t>e</w:t>
            </w:r>
            <w:r>
              <w:rPr>
                <w:rFonts w:cs="Calibri"/>
                <w:sz w:val="16"/>
                <w:szCs w:val="16"/>
              </w:rPr>
              <w:noBreakHyphen/>
              <w:t>cig</w:t>
            </w:r>
            <w:r w:rsidRPr="000F6DEF">
              <w:rPr>
                <w:rFonts w:cs="Calibri"/>
                <w:sz w:val="16"/>
                <w:szCs w:val="16"/>
              </w:rPr>
              <w:t>arettes only, traditional cigarettes only, or both products</w:t>
            </w:r>
            <w:r w:rsidR="005500FC">
              <w:rPr>
                <w:rFonts w:cs="Calibri"/>
                <w:sz w:val="16"/>
                <w:szCs w:val="16"/>
              </w:rPr>
              <w:t>.</w:t>
            </w:r>
          </w:p>
        </w:tc>
        <w:tc>
          <w:tcPr>
            <w:tcW w:w="6095" w:type="dxa"/>
          </w:tcPr>
          <w:p w14:paraId="3581E2D7"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The rates averaged over three years were as follows: non</w:t>
            </w:r>
            <w:r w:rsidRPr="000F6DEF">
              <w:rPr>
                <w:rFonts w:cs="Calibri"/>
                <w:sz w:val="16"/>
                <w:szCs w:val="16"/>
              </w:rPr>
              <w:noBreakHyphen/>
              <w:t xml:space="preserve">smoking (91.6%), traditional cigarettes only (5.4%), </w:t>
            </w:r>
            <w:r>
              <w:rPr>
                <w:rFonts w:cs="Calibri"/>
                <w:sz w:val="16"/>
                <w:szCs w:val="16"/>
              </w:rPr>
              <w:t>e</w:t>
            </w:r>
            <w:r>
              <w:rPr>
                <w:rFonts w:cs="Calibri"/>
                <w:sz w:val="16"/>
                <w:szCs w:val="16"/>
              </w:rPr>
              <w:noBreakHyphen/>
              <w:t>cig</w:t>
            </w:r>
            <w:r w:rsidRPr="000F6DEF">
              <w:rPr>
                <w:rFonts w:cs="Calibri"/>
                <w:sz w:val="16"/>
                <w:szCs w:val="16"/>
              </w:rPr>
              <w:t xml:space="preserve">arettes only (1.5%), and dual usage (1.6%). </w:t>
            </w:r>
            <w:r w:rsidRPr="000F6DEF">
              <w:rPr>
                <w:rFonts w:cs="Calibri"/>
                <w:sz w:val="16"/>
                <w:szCs w:val="16"/>
              </w:rPr>
              <w:br/>
              <w:t>Among adolescents in Taiwan, the following were risk factors for dual use: male, older, high monthly allowance, smoking parents, smoking friends, use of other tobacco products, contact with cigarette advertisements, and access to free cigarettes</w:t>
            </w:r>
          </w:p>
        </w:tc>
        <w:tc>
          <w:tcPr>
            <w:tcW w:w="4820" w:type="dxa"/>
          </w:tcPr>
          <w:p w14:paraId="52E833E3"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Our results revealed an increase in the number of adolescents using </w:t>
            </w:r>
            <w:r>
              <w:rPr>
                <w:rFonts w:cs="Calibri"/>
                <w:sz w:val="16"/>
                <w:szCs w:val="16"/>
              </w:rPr>
              <w:t>e</w:t>
            </w:r>
            <w:r>
              <w:rPr>
                <w:rFonts w:cs="Calibri"/>
                <w:sz w:val="16"/>
                <w:szCs w:val="16"/>
              </w:rPr>
              <w:noBreakHyphen/>
              <w:t>cig</w:t>
            </w:r>
            <w:r w:rsidRPr="000F6DEF">
              <w:rPr>
                <w:rFonts w:cs="Calibri"/>
                <w:sz w:val="16"/>
                <w:szCs w:val="16"/>
              </w:rPr>
              <w:t>arettes with traditional cigarettes.</w:t>
            </w:r>
          </w:p>
        </w:tc>
      </w:tr>
      <w:tr w:rsidR="00B85C33" w:rsidRPr="000F6DEF" w14:paraId="0EF7FB8D" w14:textId="77777777" w:rsidTr="000376C7">
        <w:trPr>
          <w:trHeight w:val="94"/>
        </w:trPr>
        <w:tc>
          <w:tcPr>
            <w:cnfStyle w:val="001000000000" w:firstRow="0" w:lastRow="0" w:firstColumn="1" w:lastColumn="0" w:oddVBand="0" w:evenVBand="0" w:oddHBand="0" w:evenHBand="0" w:firstRowFirstColumn="0" w:firstRowLastColumn="0" w:lastRowFirstColumn="0" w:lastRowLastColumn="0"/>
            <w:tcW w:w="1435" w:type="dxa"/>
          </w:tcPr>
          <w:p w14:paraId="0346904C" w14:textId="77777777" w:rsidR="00B85C33" w:rsidRPr="000F6DEF" w:rsidRDefault="00B85C33" w:rsidP="000376C7">
            <w:pPr>
              <w:rPr>
                <w:rFonts w:cs="Calibri"/>
                <w:sz w:val="16"/>
                <w:szCs w:val="16"/>
              </w:rPr>
            </w:pPr>
            <w:r w:rsidRPr="000F6DEF">
              <w:rPr>
                <w:rFonts w:cs="Calibri"/>
                <w:sz w:val="16"/>
                <w:szCs w:val="16"/>
              </w:rPr>
              <w:t>Chesaniuk, Marie, Sokolovsky et al</w:t>
            </w:r>
          </w:p>
        </w:tc>
        <w:tc>
          <w:tcPr>
            <w:tcW w:w="2671" w:type="dxa"/>
          </w:tcPr>
          <w:p w14:paraId="451A5CD2" w14:textId="57C5DE3B"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Examined motives associated with ENDS use and cessation outcomes</w:t>
            </w:r>
            <w:r w:rsidR="005500FC">
              <w:rPr>
                <w:rFonts w:cs="Calibri"/>
                <w:sz w:val="16"/>
                <w:szCs w:val="16"/>
              </w:rPr>
              <w:t>.</w:t>
            </w:r>
          </w:p>
        </w:tc>
        <w:tc>
          <w:tcPr>
            <w:tcW w:w="6095" w:type="dxa"/>
          </w:tcPr>
          <w:p w14:paraId="1F67BA63"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Less loss of control predicted ENDS use (UNCLEAR without data)</w:t>
            </w:r>
          </w:p>
        </w:tc>
        <w:tc>
          <w:tcPr>
            <w:tcW w:w="4820" w:type="dxa"/>
          </w:tcPr>
          <w:p w14:paraId="69662721"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Nil</w:t>
            </w:r>
          </w:p>
        </w:tc>
      </w:tr>
      <w:tr w:rsidR="00B85C33" w:rsidRPr="000F6DEF" w14:paraId="3B719E60" w14:textId="77777777" w:rsidTr="000376C7">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1435" w:type="dxa"/>
          </w:tcPr>
          <w:p w14:paraId="5A7A0C8A" w14:textId="77777777" w:rsidR="00B85C33" w:rsidRPr="000F6DEF" w:rsidRDefault="00B85C33" w:rsidP="000376C7">
            <w:pPr>
              <w:rPr>
                <w:rFonts w:cs="Calibri"/>
                <w:sz w:val="16"/>
                <w:szCs w:val="16"/>
              </w:rPr>
            </w:pPr>
            <w:r w:rsidRPr="000F6DEF">
              <w:rPr>
                <w:rFonts w:cs="Calibri"/>
                <w:sz w:val="16"/>
                <w:szCs w:val="16"/>
              </w:rPr>
              <w:t xml:space="preserve">De Genna, Goldschmidt, Richardson et al </w:t>
            </w:r>
          </w:p>
        </w:tc>
        <w:tc>
          <w:tcPr>
            <w:tcW w:w="2671" w:type="dxa"/>
          </w:tcPr>
          <w:p w14:paraId="173FEC71" w14:textId="3FE7F524"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Parental exposures to maternal cigarette and cannabis use associated with cig use and tobacco dependence</w:t>
            </w:r>
            <w:r w:rsidR="005500FC">
              <w:rPr>
                <w:rFonts w:cs="Calibri"/>
                <w:sz w:val="16"/>
                <w:szCs w:val="16"/>
              </w:rPr>
              <w:t>.</w:t>
            </w:r>
          </w:p>
        </w:tc>
        <w:tc>
          <w:tcPr>
            <w:tcW w:w="6095" w:type="dxa"/>
          </w:tcPr>
          <w:p w14:paraId="0A5E6A85"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Gestational exposures on adult </w:t>
            </w:r>
            <w:r>
              <w:rPr>
                <w:rFonts w:cs="Calibri"/>
                <w:sz w:val="16"/>
                <w:szCs w:val="16"/>
              </w:rPr>
              <w:t>e</w:t>
            </w:r>
            <w:r>
              <w:rPr>
                <w:rFonts w:cs="Calibri"/>
                <w:sz w:val="16"/>
                <w:szCs w:val="16"/>
              </w:rPr>
              <w:noBreakHyphen/>
              <w:t>cig</w:t>
            </w:r>
            <w:r w:rsidRPr="000F6DEF">
              <w:rPr>
                <w:rFonts w:cs="Calibri"/>
                <w:sz w:val="16"/>
                <w:szCs w:val="16"/>
              </w:rPr>
              <w:t xml:space="preserve">. Indirect effect of prenatal exposure to tobacco and cannabis on </w:t>
            </w:r>
            <w:r>
              <w:rPr>
                <w:rFonts w:cs="Calibri"/>
                <w:sz w:val="16"/>
                <w:szCs w:val="16"/>
              </w:rPr>
              <w:t>e</w:t>
            </w:r>
            <w:r>
              <w:rPr>
                <w:rFonts w:cs="Calibri"/>
                <w:sz w:val="16"/>
                <w:szCs w:val="16"/>
              </w:rPr>
              <w:noBreakHyphen/>
              <w:t>cig</w:t>
            </w:r>
            <w:r w:rsidRPr="000F6DEF">
              <w:rPr>
                <w:rFonts w:cs="Calibri"/>
                <w:sz w:val="16"/>
                <w:szCs w:val="16"/>
              </w:rPr>
              <w:t>arette use</w:t>
            </w:r>
          </w:p>
        </w:tc>
        <w:tc>
          <w:tcPr>
            <w:tcW w:w="4820" w:type="dxa"/>
          </w:tcPr>
          <w:p w14:paraId="63291E05"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There is a pathway from prenatal exposures to combustible tobacco and cannabis on adult </w:t>
            </w:r>
            <w:r>
              <w:rPr>
                <w:rFonts w:cs="Calibri"/>
                <w:sz w:val="16"/>
                <w:szCs w:val="16"/>
              </w:rPr>
              <w:t>e</w:t>
            </w:r>
            <w:r>
              <w:rPr>
                <w:rFonts w:cs="Calibri"/>
                <w:sz w:val="16"/>
                <w:szCs w:val="16"/>
              </w:rPr>
              <w:noBreakHyphen/>
              <w:t>cig</w:t>
            </w:r>
            <w:r w:rsidRPr="000F6DEF">
              <w:rPr>
                <w:rFonts w:cs="Calibri"/>
                <w:sz w:val="16"/>
                <w:szCs w:val="16"/>
              </w:rPr>
              <w:t xml:space="preserve">arette use </w:t>
            </w:r>
          </w:p>
        </w:tc>
      </w:tr>
      <w:tr w:rsidR="00B85C33" w:rsidRPr="000F6DEF" w14:paraId="1F2B6AEC" w14:textId="77777777" w:rsidTr="000376C7">
        <w:trPr>
          <w:trHeight w:val="94"/>
        </w:trPr>
        <w:tc>
          <w:tcPr>
            <w:cnfStyle w:val="001000000000" w:firstRow="0" w:lastRow="0" w:firstColumn="1" w:lastColumn="0" w:oddVBand="0" w:evenVBand="0" w:oddHBand="0" w:evenHBand="0" w:firstRowFirstColumn="0" w:firstRowLastColumn="0" w:lastRowFirstColumn="0" w:lastRowLastColumn="0"/>
            <w:tcW w:w="1435" w:type="dxa"/>
          </w:tcPr>
          <w:p w14:paraId="10D5ACAF" w14:textId="77777777" w:rsidR="00B85C33" w:rsidRPr="000F6DEF" w:rsidRDefault="00B85C33" w:rsidP="000376C7">
            <w:pPr>
              <w:rPr>
                <w:rFonts w:cs="Calibri"/>
                <w:sz w:val="16"/>
                <w:szCs w:val="16"/>
              </w:rPr>
            </w:pPr>
            <w:r w:rsidRPr="000F6DEF">
              <w:rPr>
                <w:rFonts w:cs="Calibri"/>
                <w:sz w:val="16"/>
                <w:szCs w:val="16"/>
              </w:rPr>
              <w:t>Etter</w:t>
            </w:r>
          </w:p>
        </w:tc>
        <w:tc>
          <w:tcPr>
            <w:tcW w:w="2671" w:type="dxa"/>
          </w:tcPr>
          <w:p w14:paraId="704E66F3"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We assessed change in vaping and smoking behaviours over 12 months in regular vapers.</w:t>
            </w:r>
          </w:p>
        </w:tc>
        <w:tc>
          <w:tcPr>
            <w:tcW w:w="6095" w:type="dxa"/>
          </w:tcPr>
          <w:p w14:paraId="0AD06D05"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During the course of 12 months, patterns of </w:t>
            </w:r>
            <w:r>
              <w:rPr>
                <w:rFonts w:cs="Calibri"/>
                <w:sz w:val="16"/>
                <w:szCs w:val="16"/>
              </w:rPr>
              <w:t>e</w:t>
            </w:r>
            <w:r>
              <w:rPr>
                <w:rFonts w:cs="Calibri"/>
                <w:sz w:val="16"/>
                <w:szCs w:val="16"/>
              </w:rPr>
              <w:noBreakHyphen/>
              <w:t>cig</w:t>
            </w:r>
            <w:r w:rsidRPr="000F6DEF">
              <w:rPr>
                <w:rFonts w:cs="Calibri"/>
                <w:sz w:val="16"/>
                <w:szCs w:val="16"/>
              </w:rPr>
              <w:t>arette use were relatively stable in this sample of regular vapers enrolled on the Internet</w:t>
            </w:r>
            <w:r w:rsidRPr="000F6DEF">
              <w:rPr>
                <w:rFonts w:cs="Calibri"/>
                <w:sz w:val="16"/>
                <w:szCs w:val="16"/>
              </w:rPr>
              <w:br/>
              <w:t>Permanent vapers gradually decreased the nicotine concentration in their e</w:t>
            </w:r>
            <w:r w:rsidRPr="000F6DEF">
              <w:rPr>
                <w:rFonts w:cs="Calibri"/>
                <w:sz w:val="16"/>
                <w:szCs w:val="16"/>
              </w:rPr>
              <w:noBreakHyphen/>
              <w:t>liquids</w:t>
            </w:r>
            <w:r w:rsidRPr="000F6DEF">
              <w:rPr>
                <w:rFonts w:cs="Calibri"/>
                <w:sz w:val="16"/>
                <w:szCs w:val="16"/>
              </w:rPr>
              <w:br/>
              <w:t xml:space="preserve">Over 12 months, we observed low rates (9% of 687) of relapse to smoking in former smokers and high rates (28% of 64) of smoking cessation among current smokers (dual users). </w:t>
            </w:r>
            <w:r w:rsidRPr="000F6DEF">
              <w:rPr>
                <w:rFonts w:cs="Calibri"/>
                <w:sz w:val="16"/>
                <w:szCs w:val="16"/>
              </w:rPr>
              <w:br/>
              <w:t xml:space="preserve">We observed high rates of hazardous drinking, cannabis use, overweight and depression in this sample. </w:t>
            </w:r>
          </w:p>
        </w:tc>
        <w:tc>
          <w:tcPr>
            <w:tcW w:w="4820" w:type="dxa"/>
          </w:tcPr>
          <w:p w14:paraId="78F30C4A"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After 12 months, enjoyment and relapse prevention were the most important reasons to vape. Rates of relapse to smoking were low in former smokers and quit rates were high in current smokers. Stopping vaping was associated with relapsing to smoking.</w:t>
            </w:r>
          </w:p>
        </w:tc>
      </w:tr>
      <w:tr w:rsidR="00B85C33" w:rsidRPr="000F6DEF" w14:paraId="29C4DA4F" w14:textId="77777777" w:rsidTr="000376C7">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1435" w:type="dxa"/>
          </w:tcPr>
          <w:p w14:paraId="5FB192E9" w14:textId="61F1BE00" w:rsidR="00B85C33" w:rsidRPr="000F6DEF" w:rsidRDefault="00B85C33" w:rsidP="000376C7">
            <w:pPr>
              <w:rPr>
                <w:rFonts w:cs="Calibri"/>
                <w:sz w:val="16"/>
                <w:szCs w:val="16"/>
              </w:rPr>
            </w:pPr>
            <w:r w:rsidRPr="000F6DEF">
              <w:rPr>
                <w:rFonts w:cs="Calibri"/>
                <w:sz w:val="16"/>
                <w:szCs w:val="16"/>
              </w:rPr>
              <w:t>Farsalinos, Poulas,</w:t>
            </w:r>
            <w:r w:rsidR="008146F9">
              <w:rPr>
                <w:rFonts w:cs="Calibri"/>
                <w:sz w:val="16"/>
                <w:szCs w:val="16"/>
              </w:rPr>
              <w:t xml:space="preserve"> </w:t>
            </w:r>
            <w:r w:rsidRPr="000F6DEF">
              <w:rPr>
                <w:rFonts w:cs="Calibri"/>
                <w:sz w:val="16"/>
                <w:szCs w:val="16"/>
              </w:rPr>
              <w:t>Voudris, Le Houezec</w:t>
            </w:r>
          </w:p>
        </w:tc>
        <w:tc>
          <w:tcPr>
            <w:tcW w:w="2671" w:type="dxa"/>
          </w:tcPr>
          <w:p w14:paraId="3A5DD0CF" w14:textId="44C693D3"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The study purpose was to analyse current daily and current daily nicotine</w:t>
            </w:r>
            <w:r w:rsidRPr="000F6DEF">
              <w:rPr>
                <w:rFonts w:cs="Calibri"/>
                <w:sz w:val="16"/>
                <w:szCs w:val="16"/>
              </w:rPr>
              <w:noBreakHyphen/>
              <w:t>containing electronic cigarette (</w:t>
            </w:r>
            <w:r>
              <w:rPr>
                <w:rFonts w:cs="Calibri"/>
                <w:sz w:val="16"/>
                <w:szCs w:val="16"/>
              </w:rPr>
              <w:t>e</w:t>
            </w:r>
            <w:r>
              <w:rPr>
                <w:rFonts w:cs="Calibri"/>
                <w:sz w:val="16"/>
                <w:szCs w:val="16"/>
              </w:rPr>
              <w:noBreakHyphen/>
              <w:t>cig</w:t>
            </w:r>
            <w:r w:rsidRPr="000F6DEF">
              <w:rPr>
                <w:rFonts w:cs="Calibri"/>
                <w:sz w:val="16"/>
                <w:szCs w:val="16"/>
              </w:rPr>
              <w:t>arette) use in the European Union (EU)</w:t>
            </w:r>
            <w:r w:rsidR="005500FC">
              <w:rPr>
                <w:rFonts w:cs="Calibri"/>
                <w:sz w:val="16"/>
                <w:szCs w:val="16"/>
              </w:rPr>
              <w:t>.</w:t>
            </w:r>
          </w:p>
        </w:tc>
        <w:tc>
          <w:tcPr>
            <w:tcW w:w="6095" w:type="dxa"/>
          </w:tcPr>
          <w:p w14:paraId="3C2058B6"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Daily use of </w:t>
            </w:r>
            <w:r>
              <w:rPr>
                <w:rFonts w:cs="Calibri"/>
                <w:sz w:val="16"/>
                <w:szCs w:val="16"/>
              </w:rPr>
              <w:t>e</w:t>
            </w:r>
            <w:r>
              <w:rPr>
                <w:rFonts w:cs="Calibri"/>
                <w:sz w:val="16"/>
                <w:szCs w:val="16"/>
              </w:rPr>
              <w:noBreakHyphen/>
              <w:t>cig</w:t>
            </w:r>
            <w:r w:rsidRPr="000F6DEF">
              <w:rPr>
                <w:rFonts w:cs="Calibri"/>
                <w:sz w:val="16"/>
                <w:szCs w:val="16"/>
              </w:rPr>
              <w:t>arette 1.08%. Current former smokers have highest prevalence 2.31%</w:t>
            </w:r>
            <w:r w:rsidRPr="000F6DEF">
              <w:rPr>
                <w:rFonts w:cs="Calibri"/>
                <w:sz w:val="16"/>
                <w:szCs w:val="16"/>
              </w:rPr>
              <w:br/>
              <w:t>Smoking status is the strongest correlate, with current and former smokers having higher odds of being current daily and current daily nicotine</w:t>
            </w:r>
            <w:r w:rsidRPr="000F6DEF">
              <w:rPr>
                <w:rFonts w:cs="Calibri"/>
                <w:sz w:val="16"/>
                <w:szCs w:val="16"/>
              </w:rPr>
              <w:noBreakHyphen/>
              <w:t xml:space="preserve">containing </w:t>
            </w:r>
            <w:r>
              <w:rPr>
                <w:rFonts w:cs="Calibri"/>
                <w:sz w:val="16"/>
                <w:szCs w:val="16"/>
              </w:rPr>
              <w:t>e</w:t>
            </w:r>
            <w:r>
              <w:rPr>
                <w:rFonts w:cs="Calibri"/>
                <w:sz w:val="16"/>
                <w:szCs w:val="16"/>
              </w:rPr>
              <w:noBreakHyphen/>
              <w:t>cig</w:t>
            </w:r>
            <w:r w:rsidRPr="000F6DEF">
              <w:rPr>
                <w:rFonts w:cs="Calibri"/>
                <w:sz w:val="16"/>
                <w:szCs w:val="16"/>
              </w:rPr>
              <w:t xml:space="preserve">arette users compared to never smokers. Age groups\55 years, male gender, higher social class and marital status (divorced, widowed or other) also positively correlate with both current and daily use, while no association with education is observed. Finally, frequency of seeing </w:t>
            </w:r>
            <w:r>
              <w:rPr>
                <w:rFonts w:cs="Calibri"/>
                <w:sz w:val="16"/>
                <w:szCs w:val="16"/>
              </w:rPr>
              <w:lastRenderedPageBreak/>
              <w:t>e</w:t>
            </w:r>
            <w:r>
              <w:rPr>
                <w:rFonts w:cs="Calibri"/>
                <w:sz w:val="16"/>
                <w:szCs w:val="16"/>
              </w:rPr>
              <w:noBreakHyphen/>
              <w:t>cig</w:t>
            </w:r>
            <w:r w:rsidRPr="000F6DEF">
              <w:rPr>
                <w:rFonts w:cs="Calibri"/>
                <w:sz w:val="16"/>
                <w:szCs w:val="16"/>
              </w:rPr>
              <w:t xml:space="preserve">arette advertisements and perceptions that </w:t>
            </w:r>
            <w:r>
              <w:rPr>
                <w:rFonts w:cs="Calibri"/>
                <w:sz w:val="16"/>
                <w:szCs w:val="16"/>
              </w:rPr>
              <w:t>e</w:t>
            </w:r>
            <w:r>
              <w:rPr>
                <w:rFonts w:cs="Calibri"/>
                <w:sz w:val="16"/>
                <w:szCs w:val="16"/>
              </w:rPr>
              <w:noBreakHyphen/>
              <w:t>cig</w:t>
            </w:r>
            <w:r w:rsidRPr="000F6DEF">
              <w:rPr>
                <w:rFonts w:cs="Calibri"/>
                <w:sz w:val="16"/>
                <w:szCs w:val="16"/>
              </w:rPr>
              <w:t xml:space="preserve">arette are not harmful are associated with higher odds of both current daily and current daily nicotine </w:t>
            </w:r>
            <w:r>
              <w:rPr>
                <w:rFonts w:cs="Calibri"/>
                <w:sz w:val="16"/>
                <w:szCs w:val="16"/>
              </w:rPr>
              <w:t>e</w:t>
            </w:r>
            <w:r>
              <w:rPr>
                <w:rFonts w:cs="Calibri"/>
                <w:sz w:val="16"/>
                <w:szCs w:val="16"/>
              </w:rPr>
              <w:noBreakHyphen/>
              <w:t>cig</w:t>
            </w:r>
            <w:r w:rsidRPr="000F6DEF">
              <w:rPr>
                <w:rFonts w:cs="Calibri"/>
                <w:sz w:val="16"/>
                <w:szCs w:val="16"/>
              </w:rPr>
              <w:t>arette use.</w:t>
            </w:r>
          </w:p>
        </w:tc>
        <w:tc>
          <w:tcPr>
            <w:tcW w:w="4820" w:type="dxa"/>
          </w:tcPr>
          <w:p w14:paraId="3FF80AD8"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lastRenderedPageBreak/>
              <w:t xml:space="preserve">The strongest correlates of daily </w:t>
            </w:r>
            <w:r>
              <w:rPr>
                <w:rFonts w:cs="Calibri"/>
                <w:sz w:val="16"/>
                <w:szCs w:val="16"/>
              </w:rPr>
              <w:t>e</w:t>
            </w:r>
            <w:r>
              <w:rPr>
                <w:rFonts w:cs="Calibri"/>
                <w:sz w:val="16"/>
                <w:szCs w:val="16"/>
              </w:rPr>
              <w:noBreakHyphen/>
              <w:t>cig</w:t>
            </w:r>
            <w:r w:rsidRPr="000F6DEF">
              <w:rPr>
                <w:rFonts w:cs="Calibri"/>
                <w:sz w:val="16"/>
                <w:szCs w:val="16"/>
              </w:rPr>
              <w:t xml:space="preserve">arette use were being current and former smokers. In the EU in late 2014, current daily </w:t>
            </w:r>
            <w:r>
              <w:rPr>
                <w:rFonts w:cs="Calibri"/>
                <w:sz w:val="16"/>
                <w:szCs w:val="16"/>
              </w:rPr>
              <w:t>e</w:t>
            </w:r>
            <w:r>
              <w:rPr>
                <w:rFonts w:cs="Calibri"/>
                <w:sz w:val="16"/>
                <w:szCs w:val="16"/>
              </w:rPr>
              <w:noBreakHyphen/>
              <w:t>cig</w:t>
            </w:r>
            <w:r w:rsidRPr="000F6DEF">
              <w:rPr>
                <w:rFonts w:cs="Calibri"/>
                <w:sz w:val="16"/>
                <w:szCs w:val="16"/>
              </w:rPr>
              <w:t>arette use was predominantly observed in current and former smokers and was associated with high self</w:t>
            </w:r>
            <w:r w:rsidRPr="000F6DEF">
              <w:rPr>
                <w:rFonts w:cs="Calibri"/>
                <w:sz w:val="16"/>
                <w:szCs w:val="16"/>
              </w:rPr>
              <w:noBreakHyphen/>
              <w:t xml:space="preserve">reported rates of smoking cessation and reduction. Current daily </w:t>
            </w:r>
            <w:r>
              <w:rPr>
                <w:rFonts w:cs="Calibri"/>
                <w:sz w:val="16"/>
                <w:szCs w:val="16"/>
              </w:rPr>
              <w:t>e</w:t>
            </w:r>
            <w:r>
              <w:rPr>
                <w:rFonts w:cs="Calibri"/>
                <w:sz w:val="16"/>
                <w:szCs w:val="16"/>
              </w:rPr>
              <w:noBreakHyphen/>
              <w:t>cig</w:t>
            </w:r>
            <w:r w:rsidRPr="000F6DEF">
              <w:rPr>
                <w:rFonts w:cs="Calibri"/>
                <w:sz w:val="16"/>
                <w:szCs w:val="16"/>
              </w:rPr>
              <w:t>arette use by never smokers was extremely infrequent.</w:t>
            </w:r>
          </w:p>
        </w:tc>
      </w:tr>
      <w:tr w:rsidR="00B85C33" w:rsidRPr="000F6DEF" w14:paraId="77E47E07" w14:textId="77777777" w:rsidTr="000376C7">
        <w:trPr>
          <w:trHeight w:val="94"/>
        </w:trPr>
        <w:tc>
          <w:tcPr>
            <w:cnfStyle w:val="001000000000" w:firstRow="0" w:lastRow="0" w:firstColumn="1" w:lastColumn="0" w:oddVBand="0" w:evenVBand="0" w:oddHBand="0" w:evenHBand="0" w:firstRowFirstColumn="0" w:firstRowLastColumn="0" w:lastRowFirstColumn="0" w:lastRowLastColumn="0"/>
            <w:tcW w:w="1435" w:type="dxa"/>
          </w:tcPr>
          <w:p w14:paraId="7FF7DA5E" w14:textId="77777777" w:rsidR="00B85C33" w:rsidRPr="000F6DEF" w:rsidRDefault="00B85C33" w:rsidP="000376C7">
            <w:pPr>
              <w:rPr>
                <w:rFonts w:cs="Calibri"/>
                <w:sz w:val="16"/>
                <w:szCs w:val="16"/>
              </w:rPr>
            </w:pPr>
            <w:r w:rsidRPr="000F6DEF">
              <w:rPr>
                <w:rFonts w:cs="Calibri"/>
                <w:sz w:val="16"/>
                <w:szCs w:val="16"/>
              </w:rPr>
              <w:t>Farsalinos, Slakas et al 2018</w:t>
            </w:r>
          </w:p>
        </w:tc>
        <w:tc>
          <w:tcPr>
            <w:tcW w:w="2671" w:type="dxa"/>
          </w:tcPr>
          <w:p w14:paraId="628147E6" w14:textId="1212F20D"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Purpose was to assess prevalence and correlates of electronic cigarette (</w:t>
            </w:r>
            <w:r>
              <w:rPr>
                <w:rFonts w:cs="Calibri"/>
                <w:sz w:val="16"/>
                <w:szCs w:val="16"/>
              </w:rPr>
              <w:t>e</w:t>
            </w:r>
            <w:r>
              <w:rPr>
                <w:rFonts w:cs="Calibri"/>
                <w:sz w:val="16"/>
                <w:szCs w:val="16"/>
              </w:rPr>
              <w:noBreakHyphen/>
              <w:t>cig</w:t>
            </w:r>
            <w:r w:rsidRPr="000F6DEF">
              <w:rPr>
                <w:rFonts w:cs="Calibri"/>
                <w:sz w:val="16"/>
                <w:szCs w:val="16"/>
              </w:rPr>
              <w:t>arette) use</w:t>
            </w:r>
            <w:r w:rsidR="008146F9">
              <w:rPr>
                <w:rFonts w:cs="Calibri"/>
                <w:sz w:val="16"/>
                <w:szCs w:val="16"/>
              </w:rPr>
              <w:t xml:space="preserve"> </w:t>
            </w:r>
            <w:r w:rsidR="005500FC">
              <w:rPr>
                <w:rFonts w:cs="Calibri"/>
                <w:sz w:val="16"/>
                <w:szCs w:val="16"/>
              </w:rPr>
              <w:t>.</w:t>
            </w:r>
          </w:p>
        </w:tc>
        <w:tc>
          <w:tcPr>
            <w:tcW w:w="6095" w:type="dxa"/>
          </w:tcPr>
          <w:p w14:paraId="14B03739"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Current smoking was reported by 32.6% of participants. Ever </w:t>
            </w:r>
            <w:r>
              <w:rPr>
                <w:rFonts w:cs="Calibri"/>
                <w:sz w:val="16"/>
                <w:szCs w:val="16"/>
              </w:rPr>
              <w:t>e</w:t>
            </w:r>
            <w:r>
              <w:rPr>
                <w:rFonts w:cs="Calibri"/>
                <w:sz w:val="16"/>
                <w:szCs w:val="16"/>
              </w:rPr>
              <w:noBreakHyphen/>
              <w:t>cig</w:t>
            </w:r>
            <w:r w:rsidRPr="000F6DEF">
              <w:rPr>
                <w:rFonts w:cs="Calibri"/>
                <w:sz w:val="16"/>
                <w:szCs w:val="16"/>
              </w:rPr>
              <w:t xml:space="preserve">arette use was reported by 54.1% (51.4–56.8%) of current smokers, 24.1% (21.7–26.5%) of former smokers and 6.5% (5.3–7.7%) of never smokers. Past experimentation was the most prevalent pattern of </w:t>
            </w:r>
            <w:r>
              <w:rPr>
                <w:rFonts w:cs="Calibri"/>
                <w:sz w:val="16"/>
                <w:szCs w:val="16"/>
              </w:rPr>
              <w:t>e</w:t>
            </w:r>
            <w:r>
              <w:rPr>
                <w:rFonts w:cs="Calibri"/>
                <w:sz w:val="16"/>
                <w:szCs w:val="16"/>
              </w:rPr>
              <w:noBreakHyphen/>
              <w:t>cig</w:t>
            </w:r>
            <w:r w:rsidRPr="000F6DEF">
              <w:rPr>
                <w:rFonts w:cs="Calibri"/>
                <w:sz w:val="16"/>
                <w:szCs w:val="16"/>
              </w:rPr>
              <w:t xml:space="preserve">arette use among ever users (p&lt;0.001). Almost 80% of ever and 90% of current </w:t>
            </w:r>
            <w:r>
              <w:rPr>
                <w:rFonts w:cs="Calibri"/>
                <w:sz w:val="16"/>
                <w:szCs w:val="16"/>
              </w:rPr>
              <w:t>e</w:t>
            </w:r>
            <w:r>
              <w:rPr>
                <w:rFonts w:cs="Calibri"/>
                <w:sz w:val="16"/>
                <w:szCs w:val="16"/>
              </w:rPr>
              <w:noBreakHyphen/>
              <w:t>cig</w:t>
            </w:r>
            <w:r w:rsidRPr="000F6DEF">
              <w:rPr>
                <w:rFonts w:cs="Calibri"/>
                <w:sz w:val="16"/>
                <w:szCs w:val="16"/>
              </w:rPr>
              <w:t xml:space="preserve">arette users were using nicotine. Extrapolated to the whole Attica population (3.1 million), there were 1 million current smokers, 848,000 ever </w:t>
            </w:r>
            <w:r>
              <w:rPr>
                <w:rFonts w:cs="Calibri"/>
                <w:sz w:val="16"/>
                <w:szCs w:val="16"/>
              </w:rPr>
              <w:t>e</w:t>
            </w:r>
            <w:r>
              <w:rPr>
                <w:rFonts w:cs="Calibri"/>
                <w:sz w:val="16"/>
                <w:szCs w:val="16"/>
              </w:rPr>
              <w:noBreakHyphen/>
              <w:t>cig</w:t>
            </w:r>
            <w:r w:rsidRPr="000F6DEF">
              <w:rPr>
                <w:rFonts w:cs="Calibri"/>
                <w:sz w:val="16"/>
                <w:szCs w:val="16"/>
              </w:rPr>
              <w:t xml:space="preserve">arette users and 155,000 current </w:t>
            </w:r>
            <w:r>
              <w:rPr>
                <w:rFonts w:cs="Calibri"/>
                <w:sz w:val="16"/>
                <w:szCs w:val="16"/>
              </w:rPr>
              <w:t>e</w:t>
            </w:r>
            <w:r>
              <w:rPr>
                <w:rFonts w:cs="Calibri"/>
                <w:sz w:val="16"/>
                <w:szCs w:val="16"/>
              </w:rPr>
              <w:noBreakHyphen/>
              <w:t>cig</w:t>
            </w:r>
            <w:r w:rsidRPr="000F6DEF">
              <w:rPr>
                <w:rFonts w:cs="Calibri"/>
                <w:sz w:val="16"/>
                <w:szCs w:val="16"/>
              </w:rPr>
              <w:t xml:space="preserve">arette users. The majority of current </w:t>
            </w:r>
            <w:r>
              <w:rPr>
                <w:rFonts w:cs="Calibri"/>
                <w:sz w:val="16"/>
                <w:szCs w:val="16"/>
              </w:rPr>
              <w:t>e</w:t>
            </w:r>
            <w:r>
              <w:rPr>
                <w:rFonts w:cs="Calibri"/>
                <w:sz w:val="16"/>
                <w:szCs w:val="16"/>
              </w:rPr>
              <w:noBreakHyphen/>
              <w:t>cig</w:t>
            </w:r>
            <w:r w:rsidRPr="000F6DEF">
              <w:rPr>
                <w:rFonts w:cs="Calibri"/>
                <w:sz w:val="16"/>
                <w:szCs w:val="16"/>
              </w:rPr>
              <w:t xml:space="preserve">arette users (62.2%) were former smokers. Only 0.2% of never smokers were current </w:t>
            </w:r>
            <w:r>
              <w:rPr>
                <w:rFonts w:cs="Calibri"/>
                <w:sz w:val="16"/>
                <w:szCs w:val="16"/>
              </w:rPr>
              <w:t>e</w:t>
            </w:r>
            <w:r>
              <w:rPr>
                <w:rFonts w:cs="Calibri"/>
                <w:sz w:val="16"/>
                <w:szCs w:val="16"/>
              </w:rPr>
              <w:noBreakHyphen/>
              <w:t>cig</w:t>
            </w:r>
            <w:r w:rsidRPr="000F6DEF">
              <w:rPr>
                <w:rFonts w:cs="Calibri"/>
                <w:sz w:val="16"/>
                <w:szCs w:val="16"/>
              </w:rPr>
              <w:t xml:space="preserve">arette users. One out of 20 participants considered </w:t>
            </w:r>
            <w:r>
              <w:rPr>
                <w:rFonts w:cs="Calibri"/>
                <w:sz w:val="16"/>
                <w:szCs w:val="16"/>
              </w:rPr>
              <w:t>e</w:t>
            </w:r>
            <w:r>
              <w:rPr>
                <w:rFonts w:cs="Calibri"/>
                <w:sz w:val="16"/>
                <w:szCs w:val="16"/>
              </w:rPr>
              <w:noBreakHyphen/>
              <w:t>cig</w:t>
            </w:r>
            <w:r w:rsidRPr="000F6DEF">
              <w:rPr>
                <w:rFonts w:cs="Calibri"/>
                <w:sz w:val="16"/>
                <w:szCs w:val="16"/>
              </w:rPr>
              <w:t xml:space="preserve">arettes a lot less harmful than smoking. Being current or former smoker were the strongest correlates current </w:t>
            </w:r>
            <w:r>
              <w:rPr>
                <w:rFonts w:cs="Calibri"/>
                <w:sz w:val="16"/>
                <w:szCs w:val="16"/>
              </w:rPr>
              <w:t>e</w:t>
            </w:r>
            <w:r>
              <w:rPr>
                <w:rFonts w:cs="Calibri"/>
                <w:sz w:val="16"/>
                <w:szCs w:val="16"/>
              </w:rPr>
              <w:noBreakHyphen/>
              <w:t>cig</w:t>
            </w:r>
            <w:r w:rsidRPr="000F6DEF">
              <w:rPr>
                <w:rFonts w:cs="Calibri"/>
                <w:sz w:val="16"/>
                <w:szCs w:val="16"/>
              </w:rPr>
              <w:t>arette use (OR 30.82, 95%CI 10. 21–69.33 and OR 69.33, 95%CI 23.12–207.90 respectively).</w:t>
            </w:r>
          </w:p>
        </w:tc>
        <w:tc>
          <w:tcPr>
            <w:tcW w:w="4820" w:type="dxa"/>
          </w:tcPr>
          <w:p w14:paraId="47433211"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Pr>
                <w:rFonts w:cs="Calibri"/>
                <w:sz w:val="16"/>
                <w:szCs w:val="16"/>
              </w:rPr>
              <w:t>E</w:t>
            </w:r>
            <w:r>
              <w:rPr>
                <w:rFonts w:cs="Calibri"/>
                <w:sz w:val="16"/>
                <w:szCs w:val="16"/>
              </w:rPr>
              <w:noBreakHyphen/>
              <w:t>cig</w:t>
            </w:r>
            <w:r w:rsidRPr="000F6DEF">
              <w:rPr>
                <w:rFonts w:cs="Calibri"/>
                <w:sz w:val="16"/>
                <w:szCs w:val="16"/>
              </w:rPr>
              <w:t xml:space="preserve">arette use in Greece is largely confined to current or former smokers, while current use and nicotine use by never smokers is extremely rare. The majority of current </w:t>
            </w:r>
            <w:r>
              <w:rPr>
                <w:rFonts w:cs="Calibri"/>
                <w:sz w:val="16"/>
                <w:szCs w:val="16"/>
              </w:rPr>
              <w:t>e</w:t>
            </w:r>
            <w:r>
              <w:rPr>
                <w:rFonts w:cs="Calibri"/>
                <w:sz w:val="16"/>
                <w:szCs w:val="16"/>
              </w:rPr>
              <w:noBreakHyphen/>
              <w:t>cig</w:t>
            </w:r>
            <w:r w:rsidRPr="000F6DEF">
              <w:rPr>
                <w:rFonts w:cs="Calibri"/>
                <w:sz w:val="16"/>
                <w:szCs w:val="16"/>
              </w:rPr>
              <w:t xml:space="preserve">arette users were former smokers. Most participants overestimate the harmfulness of </w:t>
            </w:r>
            <w:r>
              <w:rPr>
                <w:rFonts w:cs="Calibri"/>
                <w:sz w:val="16"/>
                <w:szCs w:val="16"/>
              </w:rPr>
              <w:t>e</w:t>
            </w:r>
            <w:r>
              <w:rPr>
                <w:rFonts w:cs="Calibri"/>
                <w:sz w:val="16"/>
                <w:szCs w:val="16"/>
              </w:rPr>
              <w:noBreakHyphen/>
              <w:t>cig</w:t>
            </w:r>
            <w:r w:rsidRPr="000F6DEF">
              <w:rPr>
                <w:rFonts w:cs="Calibri"/>
                <w:sz w:val="16"/>
                <w:szCs w:val="16"/>
              </w:rPr>
              <w:t>arettes relative to smoking.</w:t>
            </w:r>
          </w:p>
        </w:tc>
      </w:tr>
      <w:tr w:rsidR="00B85C33" w:rsidRPr="000F6DEF" w14:paraId="432A1F91" w14:textId="77777777" w:rsidTr="000376C7">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1435" w:type="dxa"/>
          </w:tcPr>
          <w:p w14:paraId="13C3DA2B" w14:textId="77777777" w:rsidR="00B85C33" w:rsidRPr="000F6DEF" w:rsidRDefault="00B85C33" w:rsidP="000376C7">
            <w:pPr>
              <w:rPr>
                <w:rFonts w:cs="Calibri"/>
                <w:sz w:val="16"/>
                <w:szCs w:val="16"/>
              </w:rPr>
            </w:pPr>
            <w:r w:rsidRPr="000F6DEF">
              <w:rPr>
                <w:rFonts w:cs="Calibri"/>
                <w:sz w:val="16"/>
                <w:szCs w:val="16"/>
              </w:rPr>
              <w:t>Ferreira, Bordalo, de Melo et al</w:t>
            </w:r>
          </w:p>
        </w:tc>
        <w:tc>
          <w:tcPr>
            <w:tcW w:w="2671" w:type="dxa"/>
          </w:tcPr>
          <w:p w14:paraId="5B954E67"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Analyse </w:t>
            </w:r>
            <w:r>
              <w:rPr>
                <w:rFonts w:cs="Calibri"/>
                <w:sz w:val="16"/>
                <w:szCs w:val="16"/>
              </w:rPr>
              <w:t>e</w:t>
            </w:r>
            <w:r>
              <w:rPr>
                <w:rFonts w:cs="Calibri"/>
                <w:sz w:val="16"/>
                <w:szCs w:val="16"/>
              </w:rPr>
              <w:noBreakHyphen/>
              <w:t>cig</w:t>
            </w:r>
            <w:r w:rsidRPr="000F6DEF">
              <w:rPr>
                <w:rFonts w:cs="Calibri"/>
                <w:sz w:val="16"/>
                <w:szCs w:val="16"/>
              </w:rPr>
              <w:t xml:space="preserve">arette experimentation in adolescents and determinate risk factors associated with its experimentation. </w:t>
            </w:r>
          </w:p>
        </w:tc>
        <w:tc>
          <w:tcPr>
            <w:tcW w:w="6095" w:type="dxa"/>
          </w:tcPr>
          <w:p w14:paraId="09EDBAC2"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The experimentation of </w:t>
            </w:r>
            <w:r>
              <w:rPr>
                <w:rFonts w:cs="Calibri"/>
                <w:sz w:val="16"/>
                <w:szCs w:val="16"/>
              </w:rPr>
              <w:t>e</w:t>
            </w:r>
            <w:r>
              <w:rPr>
                <w:rFonts w:cs="Calibri"/>
                <w:sz w:val="16"/>
                <w:szCs w:val="16"/>
              </w:rPr>
              <w:noBreakHyphen/>
              <w:t>cig</w:t>
            </w:r>
            <w:r w:rsidRPr="000F6DEF">
              <w:rPr>
                <w:rFonts w:cs="Calibri"/>
                <w:sz w:val="16"/>
                <w:szCs w:val="16"/>
              </w:rPr>
              <w:t xml:space="preserve">arette, tobacco and cannabinoids was 35%, 57.5% and 24.2%, respectively. The main reason cited for this experimentation was curiosity. In the analysis of adolescent characteristics associated with </w:t>
            </w:r>
            <w:r>
              <w:rPr>
                <w:rFonts w:cs="Calibri"/>
                <w:sz w:val="16"/>
                <w:szCs w:val="16"/>
              </w:rPr>
              <w:t>e</w:t>
            </w:r>
            <w:r>
              <w:rPr>
                <w:rFonts w:cs="Calibri"/>
                <w:sz w:val="16"/>
                <w:szCs w:val="16"/>
              </w:rPr>
              <w:noBreakHyphen/>
              <w:t>cig</w:t>
            </w:r>
            <w:r w:rsidRPr="000F6DEF">
              <w:rPr>
                <w:rFonts w:cs="Calibri"/>
                <w:sz w:val="16"/>
                <w:szCs w:val="16"/>
              </w:rPr>
              <w:t>arette experimentation, it was found that being male (p. 000), attending professional education (p 0.002), self</w:t>
            </w:r>
            <w:r w:rsidRPr="000F6DEF">
              <w:rPr>
                <w:rFonts w:cs="Calibri"/>
                <w:sz w:val="16"/>
                <w:szCs w:val="16"/>
              </w:rPr>
              <w:noBreakHyphen/>
              <w:t xml:space="preserve">perceived precocious puberty (p .01) and practicing activities (p 0.008) were associated with </w:t>
            </w:r>
            <w:r>
              <w:rPr>
                <w:rFonts w:cs="Calibri"/>
                <w:sz w:val="16"/>
                <w:szCs w:val="16"/>
              </w:rPr>
              <w:t>e</w:t>
            </w:r>
            <w:r>
              <w:rPr>
                <w:rFonts w:cs="Calibri"/>
                <w:sz w:val="16"/>
                <w:szCs w:val="16"/>
              </w:rPr>
              <w:noBreakHyphen/>
              <w:t>cig</w:t>
            </w:r>
            <w:r w:rsidRPr="000F6DEF">
              <w:rPr>
                <w:rFonts w:cs="Calibri"/>
                <w:sz w:val="16"/>
                <w:szCs w:val="16"/>
              </w:rPr>
              <w:t xml:space="preserve">arette experimentation. Having a rebellious spirit (0.002) and adventurer (p. 000), being impulsive (p. 0.002) and having less facility in making friends (p. 0.006) were behavioural characteristics associated with further experimentation. </w:t>
            </w:r>
          </w:p>
        </w:tc>
        <w:tc>
          <w:tcPr>
            <w:tcW w:w="4820" w:type="dxa"/>
          </w:tcPr>
          <w:p w14:paraId="00226931"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About one</w:t>
            </w:r>
            <w:r w:rsidRPr="000F6DEF">
              <w:rPr>
                <w:rFonts w:cs="Calibri"/>
                <w:sz w:val="16"/>
                <w:szCs w:val="16"/>
              </w:rPr>
              <w:noBreakHyphen/>
              <w:t xml:space="preserve">third of adolescents tried </w:t>
            </w:r>
            <w:r>
              <w:rPr>
                <w:rFonts w:cs="Calibri"/>
                <w:sz w:val="16"/>
                <w:szCs w:val="16"/>
              </w:rPr>
              <w:t>e</w:t>
            </w:r>
            <w:r>
              <w:rPr>
                <w:rFonts w:cs="Calibri"/>
                <w:sz w:val="16"/>
                <w:szCs w:val="16"/>
              </w:rPr>
              <w:noBreakHyphen/>
              <w:t>cig</w:t>
            </w:r>
            <w:r w:rsidRPr="000F6DEF">
              <w:rPr>
                <w:rFonts w:cs="Calibri"/>
                <w:sz w:val="16"/>
                <w:szCs w:val="16"/>
              </w:rPr>
              <w:t xml:space="preserve">arettes. Being male, current tobacco or cannabinoid smoker were the major risk factors associated with </w:t>
            </w:r>
            <w:r>
              <w:rPr>
                <w:rFonts w:cs="Calibri"/>
                <w:sz w:val="16"/>
                <w:szCs w:val="16"/>
              </w:rPr>
              <w:t>e</w:t>
            </w:r>
            <w:r>
              <w:rPr>
                <w:rFonts w:cs="Calibri"/>
                <w:sz w:val="16"/>
                <w:szCs w:val="16"/>
              </w:rPr>
              <w:noBreakHyphen/>
              <w:t>cig</w:t>
            </w:r>
            <w:r w:rsidRPr="000F6DEF">
              <w:rPr>
                <w:rFonts w:cs="Calibri"/>
                <w:sz w:val="16"/>
                <w:szCs w:val="16"/>
              </w:rPr>
              <w:t xml:space="preserve">arette experimentation. </w:t>
            </w:r>
          </w:p>
        </w:tc>
      </w:tr>
      <w:tr w:rsidR="00B85C33" w:rsidRPr="000F6DEF" w14:paraId="4648A988" w14:textId="77777777" w:rsidTr="000376C7">
        <w:trPr>
          <w:trHeight w:val="94"/>
        </w:trPr>
        <w:tc>
          <w:tcPr>
            <w:cnfStyle w:val="001000000000" w:firstRow="0" w:lastRow="0" w:firstColumn="1" w:lastColumn="0" w:oddVBand="0" w:evenVBand="0" w:oddHBand="0" w:evenHBand="0" w:firstRowFirstColumn="0" w:firstRowLastColumn="0" w:lastRowFirstColumn="0" w:lastRowLastColumn="0"/>
            <w:tcW w:w="1435" w:type="dxa"/>
          </w:tcPr>
          <w:p w14:paraId="4209E24E" w14:textId="77777777" w:rsidR="00B85C33" w:rsidRPr="000F6DEF" w:rsidRDefault="00B85C33" w:rsidP="000376C7">
            <w:pPr>
              <w:rPr>
                <w:rFonts w:cs="Calibri"/>
                <w:sz w:val="16"/>
                <w:szCs w:val="16"/>
              </w:rPr>
            </w:pPr>
            <w:r w:rsidRPr="000F6DEF">
              <w:rPr>
                <w:rFonts w:cs="Calibri"/>
                <w:sz w:val="16"/>
                <w:szCs w:val="16"/>
              </w:rPr>
              <w:t>Filippidis, Laverty, Gerovasili et al</w:t>
            </w:r>
          </w:p>
        </w:tc>
        <w:tc>
          <w:tcPr>
            <w:tcW w:w="2671" w:type="dxa"/>
          </w:tcPr>
          <w:p w14:paraId="103BB064"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This study assessed changes in levels of ever use, perceptions of harm from </w:t>
            </w:r>
            <w:r>
              <w:rPr>
                <w:rFonts w:cs="Calibri"/>
                <w:sz w:val="16"/>
                <w:szCs w:val="16"/>
              </w:rPr>
              <w:t>e</w:t>
            </w:r>
            <w:r>
              <w:rPr>
                <w:rFonts w:cs="Calibri"/>
                <w:sz w:val="16"/>
                <w:szCs w:val="16"/>
              </w:rPr>
              <w:noBreakHyphen/>
              <w:t>cig</w:t>
            </w:r>
            <w:r w:rsidRPr="000F6DEF">
              <w:rPr>
                <w:rFonts w:cs="Calibri"/>
                <w:sz w:val="16"/>
                <w:szCs w:val="16"/>
              </w:rPr>
              <w:t>arettes and sociodemographic correlates of use among European Union (EU) adults during 2012</w:t>
            </w:r>
            <w:r w:rsidRPr="000F6DEF">
              <w:rPr>
                <w:rFonts w:cs="Calibri"/>
                <w:sz w:val="16"/>
                <w:szCs w:val="16"/>
              </w:rPr>
              <w:noBreakHyphen/>
              <w:t>2014, as well as determinants of current use in 2014.</w:t>
            </w:r>
          </w:p>
        </w:tc>
        <w:tc>
          <w:tcPr>
            <w:tcW w:w="6095" w:type="dxa"/>
          </w:tcPr>
          <w:p w14:paraId="5CEAAEF0"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Ever use </w:t>
            </w:r>
            <w:r>
              <w:rPr>
                <w:rFonts w:cs="Calibri"/>
                <w:sz w:val="16"/>
                <w:szCs w:val="16"/>
              </w:rPr>
              <w:t>e</w:t>
            </w:r>
            <w:r>
              <w:rPr>
                <w:rFonts w:cs="Calibri"/>
                <w:sz w:val="16"/>
                <w:szCs w:val="16"/>
              </w:rPr>
              <w:noBreakHyphen/>
              <w:t>cig</w:t>
            </w:r>
            <w:r w:rsidRPr="000F6DEF">
              <w:rPr>
                <w:rFonts w:cs="Calibri"/>
                <w:sz w:val="16"/>
                <w:szCs w:val="16"/>
              </w:rPr>
              <w:t xml:space="preserve">arette increased for 7.2% (2012) to 11.6% (2014). Highest use in France 21.3% </w:t>
            </w:r>
            <w:r w:rsidRPr="000F6DEF">
              <w:rPr>
                <w:rFonts w:cs="Calibri"/>
                <w:sz w:val="16"/>
                <w:szCs w:val="16"/>
              </w:rPr>
              <w:br/>
              <w:t xml:space="preserve">Being a current or a former smoker significantly increased the likelihood of having ever tried an </w:t>
            </w:r>
            <w:r>
              <w:rPr>
                <w:rFonts w:cs="Calibri"/>
                <w:sz w:val="16"/>
                <w:szCs w:val="16"/>
              </w:rPr>
              <w:t>e</w:t>
            </w:r>
            <w:r>
              <w:rPr>
                <w:rFonts w:cs="Calibri"/>
                <w:sz w:val="16"/>
                <w:szCs w:val="16"/>
              </w:rPr>
              <w:noBreakHyphen/>
              <w:t>cig</w:t>
            </w:r>
            <w:r w:rsidRPr="000F6DEF">
              <w:rPr>
                <w:rFonts w:cs="Calibri"/>
                <w:sz w:val="16"/>
                <w:szCs w:val="16"/>
              </w:rPr>
              <w:t xml:space="preserve">arette (aOR=23.36; 95% CI 20.86 to 26.17, and OR=6.54; 95% CI 5.74 to 7.45, respectively). Also, younger age (especially being 18–24 years old), living in urban areas and higher educational level, were associated with higher likelihood of having ever tried an </w:t>
            </w:r>
            <w:r>
              <w:rPr>
                <w:rFonts w:cs="Calibri"/>
                <w:sz w:val="16"/>
                <w:szCs w:val="16"/>
              </w:rPr>
              <w:t>e</w:t>
            </w:r>
            <w:r>
              <w:rPr>
                <w:rFonts w:cs="Calibri"/>
                <w:sz w:val="16"/>
                <w:szCs w:val="16"/>
              </w:rPr>
              <w:noBreakHyphen/>
              <w:t>cig</w:t>
            </w:r>
            <w:r w:rsidRPr="000F6DEF">
              <w:rPr>
                <w:rFonts w:cs="Calibri"/>
                <w:sz w:val="16"/>
                <w:szCs w:val="16"/>
              </w:rPr>
              <w:t xml:space="preserve">arette. Among those who had ever tried an </w:t>
            </w:r>
            <w:r>
              <w:rPr>
                <w:rFonts w:cs="Calibri"/>
                <w:sz w:val="16"/>
                <w:szCs w:val="16"/>
              </w:rPr>
              <w:t>e</w:t>
            </w:r>
            <w:r>
              <w:rPr>
                <w:rFonts w:cs="Calibri"/>
                <w:sz w:val="16"/>
                <w:szCs w:val="16"/>
              </w:rPr>
              <w:noBreakHyphen/>
              <w:t>cig</w:t>
            </w:r>
            <w:r w:rsidRPr="000F6DEF">
              <w:rPr>
                <w:rFonts w:cs="Calibri"/>
                <w:sz w:val="16"/>
                <w:szCs w:val="16"/>
              </w:rPr>
              <w:t xml:space="preserve">arette, those defining themselves as current </w:t>
            </w:r>
            <w:r>
              <w:rPr>
                <w:rFonts w:cs="Calibri"/>
                <w:sz w:val="16"/>
                <w:szCs w:val="16"/>
              </w:rPr>
              <w:t>e</w:t>
            </w:r>
            <w:r>
              <w:rPr>
                <w:rFonts w:cs="Calibri"/>
                <w:sz w:val="16"/>
                <w:szCs w:val="16"/>
              </w:rPr>
              <w:noBreakHyphen/>
              <w:t>cig</w:t>
            </w:r>
            <w:r w:rsidRPr="000F6DEF">
              <w:rPr>
                <w:rFonts w:cs="Calibri"/>
                <w:sz w:val="16"/>
                <w:szCs w:val="16"/>
              </w:rPr>
              <w:t xml:space="preserve">arette users were more likely to be older. Current </w:t>
            </w:r>
            <w:r>
              <w:rPr>
                <w:rFonts w:cs="Calibri"/>
                <w:sz w:val="16"/>
                <w:szCs w:val="16"/>
              </w:rPr>
              <w:t>e</w:t>
            </w:r>
            <w:r>
              <w:rPr>
                <w:rFonts w:cs="Calibri"/>
                <w:sz w:val="16"/>
                <w:szCs w:val="16"/>
              </w:rPr>
              <w:noBreakHyphen/>
              <w:t>cig</w:t>
            </w:r>
            <w:r w:rsidRPr="000F6DEF">
              <w:rPr>
                <w:rFonts w:cs="Calibri"/>
                <w:sz w:val="16"/>
                <w:szCs w:val="16"/>
              </w:rPr>
              <w:t xml:space="preserve">arette users were more likely to have started using </w:t>
            </w:r>
            <w:r>
              <w:rPr>
                <w:rFonts w:cs="Calibri"/>
                <w:sz w:val="16"/>
                <w:szCs w:val="16"/>
              </w:rPr>
              <w:t>e</w:t>
            </w:r>
            <w:r>
              <w:rPr>
                <w:rFonts w:cs="Calibri"/>
                <w:sz w:val="16"/>
                <w:szCs w:val="16"/>
              </w:rPr>
              <w:noBreakHyphen/>
              <w:t>cig</w:t>
            </w:r>
            <w:r w:rsidRPr="000F6DEF">
              <w:rPr>
                <w:rFonts w:cs="Calibri"/>
                <w:sz w:val="16"/>
                <w:szCs w:val="16"/>
              </w:rPr>
              <w:t xml:space="preserve">arettes because they thought </w:t>
            </w:r>
            <w:r>
              <w:rPr>
                <w:rFonts w:cs="Calibri"/>
                <w:sz w:val="16"/>
                <w:szCs w:val="16"/>
              </w:rPr>
              <w:t>e</w:t>
            </w:r>
            <w:r>
              <w:rPr>
                <w:rFonts w:cs="Calibri"/>
                <w:sz w:val="16"/>
                <w:szCs w:val="16"/>
              </w:rPr>
              <w:noBreakHyphen/>
              <w:t>cig</w:t>
            </w:r>
            <w:r w:rsidRPr="000F6DEF">
              <w:rPr>
                <w:rFonts w:cs="Calibri"/>
                <w:sz w:val="16"/>
                <w:szCs w:val="16"/>
              </w:rPr>
              <w:t>arettes could help them quit smoking (aOR=2.82; 95% CI 1.99 to 3.99), as well as to circumvent smoking bans (aOR=1.54; 95% CI 1.19 to 2.00).</w:t>
            </w:r>
          </w:p>
        </w:tc>
        <w:tc>
          <w:tcPr>
            <w:tcW w:w="4820" w:type="dxa"/>
          </w:tcPr>
          <w:p w14:paraId="32461963"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Ever use of </w:t>
            </w:r>
            <w:r>
              <w:rPr>
                <w:rFonts w:cs="Calibri"/>
                <w:sz w:val="16"/>
                <w:szCs w:val="16"/>
              </w:rPr>
              <w:t>e</w:t>
            </w:r>
            <w:r>
              <w:rPr>
                <w:rFonts w:cs="Calibri"/>
                <w:sz w:val="16"/>
                <w:szCs w:val="16"/>
              </w:rPr>
              <w:noBreakHyphen/>
              <w:t>cig</w:t>
            </w:r>
            <w:r w:rsidRPr="000F6DEF">
              <w:rPr>
                <w:rFonts w:cs="Calibri"/>
                <w:sz w:val="16"/>
                <w:szCs w:val="16"/>
              </w:rPr>
              <w:t>arettes increased during 2012</w:t>
            </w:r>
            <w:r w:rsidRPr="000F6DEF">
              <w:rPr>
                <w:rFonts w:cs="Calibri"/>
                <w:sz w:val="16"/>
                <w:szCs w:val="16"/>
              </w:rPr>
              <w:noBreakHyphen/>
              <w:t xml:space="preserve">2014. People who started using </w:t>
            </w:r>
            <w:r>
              <w:rPr>
                <w:rFonts w:cs="Calibri"/>
                <w:sz w:val="16"/>
                <w:szCs w:val="16"/>
              </w:rPr>
              <w:t>e</w:t>
            </w:r>
            <w:r>
              <w:rPr>
                <w:rFonts w:cs="Calibri"/>
                <w:sz w:val="16"/>
                <w:szCs w:val="16"/>
              </w:rPr>
              <w:noBreakHyphen/>
              <w:t>cig</w:t>
            </w:r>
            <w:r w:rsidRPr="000F6DEF">
              <w:rPr>
                <w:rFonts w:cs="Calibri"/>
                <w:sz w:val="16"/>
                <w:szCs w:val="16"/>
              </w:rPr>
              <w:t xml:space="preserve">arettes to quit smoking tobacco were more likely to be current users, but the trends vary by country. </w:t>
            </w:r>
          </w:p>
        </w:tc>
      </w:tr>
      <w:tr w:rsidR="00B85C33" w:rsidRPr="000F6DEF" w14:paraId="6E24B7A9" w14:textId="77777777" w:rsidTr="000376C7">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1435" w:type="dxa"/>
          </w:tcPr>
          <w:p w14:paraId="6C9C9394" w14:textId="77777777" w:rsidR="00B85C33" w:rsidRPr="000F6DEF" w:rsidRDefault="00B85C33" w:rsidP="000376C7">
            <w:pPr>
              <w:rPr>
                <w:rFonts w:cs="Calibri"/>
                <w:sz w:val="16"/>
                <w:szCs w:val="16"/>
              </w:rPr>
            </w:pPr>
            <w:r w:rsidRPr="000F6DEF">
              <w:rPr>
                <w:rFonts w:cs="Calibri"/>
                <w:sz w:val="16"/>
                <w:szCs w:val="16"/>
              </w:rPr>
              <w:t>Goh, Dujaili, Blebil, Ahmed</w:t>
            </w:r>
          </w:p>
        </w:tc>
        <w:tc>
          <w:tcPr>
            <w:tcW w:w="2671" w:type="dxa"/>
          </w:tcPr>
          <w:p w14:paraId="4DD6986A"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This paper is the first in Malaysia to assess sociodemographic and behavioural characteristics associated with ENDS awareness, perceptions and use among students enrolled in health science programmes. </w:t>
            </w:r>
          </w:p>
        </w:tc>
        <w:tc>
          <w:tcPr>
            <w:tcW w:w="6095" w:type="dxa"/>
          </w:tcPr>
          <w:p w14:paraId="3CA1F9E4" w14:textId="0F1B484D"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95% awareness of </w:t>
            </w:r>
            <w:r>
              <w:rPr>
                <w:rFonts w:cs="Calibri"/>
                <w:sz w:val="16"/>
                <w:szCs w:val="16"/>
              </w:rPr>
              <w:t>e</w:t>
            </w:r>
            <w:r>
              <w:rPr>
                <w:rFonts w:cs="Calibri"/>
                <w:sz w:val="16"/>
                <w:szCs w:val="16"/>
              </w:rPr>
              <w:noBreakHyphen/>
              <w:t>cig</w:t>
            </w:r>
            <w:r w:rsidR="00C56834">
              <w:rPr>
                <w:rFonts w:cs="Calibri"/>
                <w:sz w:val="16"/>
                <w:szCs w:val="16"/>
              </w:rPr>
              <w:t>arettes</w:t>
            </w:r>
            <w:r w:rsidRPr="000F6DEF">
              <w:rPr>
                <w:rFonts w:cs="Calibri"/>
                <w:sz w:val="16"/>
                <w:szCs w:val="16"/>
              </w:rPr>
              <w:br/>
              <w:t xml:space="preserve">13.8% ever use </w:t>
            </w:r>
            <w:r>
              <w:rPr>
                <w:rFonts w:cs="Calibri"/>
                <w:sz w:val="16"/>
                <w:szCs w:val="16"/>
              </w:rPr>
              <w:t>e</w:t>
            </w:r>
            <w:r>
              <w:rPr>
                <w:rFonts w:cs="Calibri"/>
                <w:sz w:val="16"/>
                <w:szCs w:val="16"/>
              </w:rPr>
              <w:noBreakHyphen/>
              <w:t>cig</w:t>
            </w:r>
            <w:r w:rsidRPr="000F6DEF">
              <w:rPr>
                <w:rFonts w:cs="Calibri"/>
                <w:sz w:val="16"/>
                <w:szCs w:val="16"/>
              </w:rPr>
              <w:t>; 55% fruit flavoured</w:t>
            </w:r>
            <w:r w:rsidRPr="000F6DEF">
              <w:rPr>
                <w:rFonts w:cs="Calibri"/>
                <w:sz w:val="16"/>
                <w:szCs w:val="16"/>
              </w:rPr>
              <w:br/>
              <w:t xml:space="preserve">Female students were less likely to report </w:t>
            </w:r>
            <w:r>
              <w:rPr>
                <w:rFonts w:cs="Calibri"/>
                <w:sz w:val="16"/>
                <w:szCs w:val="16"/>
              </w:rPr>
              <w:t>e</w:t>
            </w:r>
            <w:r>
              <w:rPr>
                <w:rFonts w:cs="Calibri"/>
                <w:sz w:val="16"/>
                <w:szCs w:val="16"/>
              </w:rPr>
              <w:noBreakHyphen/>
              <w:t>cig</w:t>
            </w:r>
            <w:r w:rsidRPr="000F6DEF">
              <w:rPr>
                <w:rFonts w:cs="Calibri"/>
                <w:sz w:val="16"/>
                <w:szCs w:val="16"/>
              </w:rPr>
              <w:t xml:space="preserve">arette use (adjusted odds ratio [aOR]=0.199, 95% CI=0.102–0.387; p&lt;0.001). Students who had a father with a college degree or higher were about four times more likely to use </w:t>
            </w:r>
            <w:r>
              <w:rPr>
                <w:rFonts w:cs="Calibri"/>
                <w:sz w:val="16"/>
                <w:szCs w:val="16"/>
              </w:rPr>
              <w:t>e</w:t>
            </w:r>
            <w:r>
              <w:rPr>
                <w:rFonts w:cs="Calibri"/>
                <w:sz w:val="16"/>
                <w:szCs w:val="16"/>
              </w:rPr>
              <w:noBreakHyphen/>
              <w:t>cig</w:t>
            </w:r>
            <w:r w:rsidRPr="000F6DEF">
              <w:rPr>
                <w:rFonts w:cs="Calibri"/>
                <w:sz w:val="16"/>
                <w:szCs w:val="16"/>
              </w:rPr>
              <w:t xml:space="preserve">arettes (aOR=3.872, 95% CI=1.763–8.504; p=0.001). Furthermore, ever use of </w:t>
            </w:r>
            <w:r>
              <w:rPr>
                <w:rFonts w:cs="Calibri"/>
                <w:sz w:val="16"/>
                <w:szCs w:val="16"/>
              </w:rPr>
              <w:t>e</w:t>
            </w:r>
            <w:r>
              <w:rPr>
                <w:rFonts w:cs="Calibri"/>
                <w:sz w:val="16"/>
                <w:szCs w:val="16"/>
              </w:rPr>
              <w:noBreakHyphen/>
              <w:t>cig</w:t>
            </w:r>
            <w:r w:rsidRPr="000F6DEF">
              <w:rPr>
                <w:rFonts w:cs="Calibri"/>
                <w:sz w:val="16"/>
                <w:szCs w:val="16"/>
              </w:rPr>
              <w:t>arettes was not predicted by nationality, race and mother’s educational level after controlling for the</w:t>
            </w:r>
            <w:r w:rsidRPr="000F6DEF">
              <w:rPr>
                <w:rFonts w:cs="Calibri"/>
                <w:sz w:val="16"/>
                <w:szCs w:val="16"/>
              </w:rPr>
              <w:br/>
              <w:t>effects of other sociodemographic factors.</w:t>
            </w:r>
            <w:r w:rsidRPr="000F6DEF">
              <w:rPr>
                <w:rFonts w:cs="Calibri"/>
                <w:sz w:val="16"/>
                <w:szCs w:val="16"/>
              </w:rPr>
              <w:br/>
              <w:t xml:space="preserve">The strongest predictor of reporting ever use of </w:t>
            </w:r>
            <w:r>
              <w:rPr>
                <w:rFonts w:cs="Calibri"/>
                <w:sz w:val="16"/>
                <w:szCs w:val="16"/>
              </w:rPr>
              <w:t>e</w:t>
            </w:r>
            <w:r>
              <w:rPr>
                <w:rFonts w:cs="Calibri"/>
                <w:sz w:val="16"/>
                <w:szCs w:val="16"/>
              </w:rPr>
              <w:noBreakHyphen/>
              <w:t>cig</w:t>
            </w:r>
            <w:r w:rsidRPr="000F6DEF">
              <w:rPr>
                <w:rFonts w:cs="Calibri"/>
                <w:sz w:val="16"/>
                <w:szCs w:val="16"/>
              </w:rPr>
              <w:t xml:space="preserve">arettes was hookah use, with an odds ratio (OR) of 8.511. Respondents who reported the ever use of a hookah were over eight times more likely to report the ever use of </w:t>
            </w:r>
            <w:r>
              <w:rPr>
                <w:rFonts w:cs="Calibri"/>
                <w:sz w:val="16"/>
                <w:szCs w:val="16"/>
              </w:rPr>
              <w:t>e</w:t>
            </w:r>
            <w:r>
              <w:rPr>
                <w:rFonts w:cs="Calibri"/>
                <w:sz w:val="16"/>
                <w:szCs w:val="16"/>
              </w:rPr>
              <w:noBreakHyphen/>
              <w:t>cig</w:t>
            </w:r>
            <w:r w:rsidRPr="000F6DEF">
              <w:rPr>
                <w:rFonts w:cs="Calibri"/>
                <w:sz w:val="16"/>
                <w:szCs w:val="16"/>
              </w:rPr>
              <w:t xml:space="preserve">arettes than those who had not used a hookah, controlling for all other factors in the model. The OR of 0.196 for cigarette </w:t>
            </w:r>
            <w:r w:rsidRPr="000F6DEF">
              <w:rPr>
                <w:rFonts w:cs="Calibri"/>
                <w:sz w:val="16"/>
                <w:szCs w:val="16"/>
              </w:rPr>
              <w:lastRenderedPageBreak/>
              <w:t xml:space="preserve">smoking of parents was less than 1, indicating that respondents who had a mother or a father or both who smoked cigarette were 0.196 times less likely to report ever use of </w:t>
            </w:r>
            <w:r>
              <w:rPr>
                <w:rFonts w:cs="Calibri"/>
                <w:sz w:val="16"/>
                <w:szCs w:val="16"/>
              </w:rPr>
              <w:t>e</w:t>
            </w:r>
            <w:r>
              <w:rPr>
                <w:rFonts w:cs="Calibri"/>
                <w:sz w:val="16"/>
                <w:szCs w:val="16"/>
              </w:rPr>
              <w:noBreakHyphen/>
              <w:t>cig</w:t>
            </w:r>
            <w:r w:rsidRPr="000F6DEF">
              <w:rPr>
                <w:rFonts w:cs="Calibri"/>
                <w:sz w:val="16"/>
                <w:szCs w:val="16"/>
              </w:rPr>
              <w:t>arette, controlling for other factors in the model.</w:t>
            </w:r>
          </w:p>
        </w:tc>
        <w:tc>
          <w:tcPr>
            <w:tcW w:w="4820" w:type="dxa"/>
          </w:tcPr>
          <w:p w14:paraId="2CFC826F"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lastRenderedPageBreak/>
              <w:t xml:space="preserve">In this sample of young adults, </w:t>
            </w:r>
            <w:r>
              <w:rPr>
                <w:rFonts w:cs="Calibri"/>
                <w:sz w:val="16"/>
                <w:szCs w:val="16"/>
              </w:rPr>
              <w:t>e</w:t>
            </w:r>
            <w:r>
              <w:rPr>
                <w:rFonts w:cs="Calibri"/>
                <w:sz w:val="16"/>
                <w:szCs w:val="16"/>
              </w:rPr>
              <w:noBreakHyphen/>
              <w:t>cig</w:t>
            </w:r>
            <w:r w:rsidRPr="000F6DEF">
              <w:rPr>
                <w:rFonts w:cs="Calibri"/>
                <w:sz w:val="16"/>
                <w:szCs w:val="16"/>
              </w:rPr>
              <w:t>arette awareness was high and ever</w:t>
            </w:r>
            <w:r w:rsidRPr="000F6DEF">
              <w:rPr>
                <w:rFonts w:cs="Calibri"/>
                <w:sz w:val="16"/>
                <w:szCs w:val="16"/>
              </w:rPr>
              <w:noBreakHyphen/>
              <w:t>use was evident especially among ever cigarette smokers. Nearly half of ever</w:t>
            </w:r>
            <w:r w:rsidRPr="000F6DEF">
              <w:rPr>
                <w:rFonts w:cs="Calibri"/>
                <w:sz w:val="16"/>
                <w:szCs w:val="16"/>
              </w:rPr>
              <w:noBreakHyphen/>
              <w:t xml:space="preserve">users had not used an </w:t>
            </w:r>
            <w:r>
              <w:rPr>
                <w:rFonts w:cs="Calibri"/>
                <w:sz w:val="16"/>
                <w:szCs w:val="16"/>
              </w:rPr>
              <w:t>e</w:t>
            </w:r>
            <w:r>
              <w:rPr>
                <w:rFonts w:cs="Calibri"/>
                <w:sz w:val="16"/>
                <w:szCs w:val="16"/>
              </w:rPr>
              <w:noBreakHyphen/>
              <w:t>cig</w:t>
            </w:r>
            <w:r w:rsidRPr="000F6DEF">
              <w:rPr>
                <w:rFonts w:cs="Calibri"/>
                <w:sz w:val="16"/>
                <w:szCs w:val="16"/>
              </w:rPr>
              <w:t xml:space="preserve">arette in the past 30 days of the survey and mostly reported flavoured over unflavoured </w:t>
            </w:r>
            <w:r>
              <w:rPr>
                <w:rFonts w:cs="Calibri"/>
                <w:sz w:val="16"/>
                <w:szCs w:val="16"/>
              </w:rPr>
              <w:t>e</w:t>
            </w:r>
            <w:r>
              <w:rPr>
                <w:rFonts w:cs="Calibri"/>
                <w:sz w:val="16"/>
                <w:szCs w:val="16"/>
              </w:rPr>
              <w:noBreakHyphen/>
              <w:t>cig</w:t>
            </w:r>
            <w:r w:rsidRPr="000F6DEF">
              <w:rPr>
                <w:rFonts w:cs="Calibri"/>
                <w:sz w:val="16"/>
                <w:szCs w:val="16"/>
              </w:rPr>
              <w:t>arette use.</w:t>
            </w:r>
          </w:p>
        </w:tc>
      </w:tr>
      <w:tr w:rsidR="00B85C33" w:rsidRPr="000F6DEF" w14:paraId="74414C6B" w14:textId="77777777" w:rsidTr="000376C7">
        <w:trPr>
          <w:trHeight w:val="94"/>
        </w:trPr>
        <w:tc>
          <w:tcPr>
            <w:cnfStyle w:val="001000000000" w:firstRow="0" w:lastRow="0" w:firstColumn="1" w:lastColumn="0" w:oddVBand="0" w:evenVBand="0" w:oddHBand="0" w:evenHBand="0" w:firstRowFirstColumn="0" w:firstRowLastColumn="0" w:lastRowFirstColumn="0" w:lastRowLastColumn="0"/>
            <w:tcW w:w="1435" w:type="dxa"/>
          </w:tcPr>
          <w:p w14:paraId="11A6B859" w14:textId="77777777" w:rsidR="00B85C33" w:rsidRPr="000F6DEF" w:rsidRDefault="00B85C33" w:rsidP="000376C7">
            <w:pPr>
              <w:rPr>
                <w:rFonts w:cs="Calibri"/>
                <w:sz w:val="16"/>
                <w:szCs w:val="16"/>
              </w:rPr>
            </w:pPr>
            <w:r w:rsidRPr="000F6DEF">
              <w:rPr>
                <w:rFonts w:cs="Calibri"/>
                <w:sz w:val="16"/>
                <w:szCs w:val="16"/>
              </w:rPr>
              <w:t xml:space="preserve">Kinnunen, Minkkinen, Ollila, Rimpela </w:t>
            </w:r>
          </w:p>
        </w:tc>
        <w:tc>
          <w:tcPr>
            <w:tcW w:w="2671" w:type="dxa"/>
          </w:tcPr>
          <w:p w14:paraId="43FADBD0"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We present preliminary results on adolescent </w:t>
            </w:r>
            <w:r>
              <w:rPr>
                <w:rFonts w:cs="Calibri"/>
                <w:sz w:val="16"/>
                <w:szCs w:val="16"/>
              </w:rPr>
              <w:t>e</w:t>
            </w:r>
            <w:r>
              <w:rPr>
                <w:rFonts w:cs="Calibri"/>
                <w:sz w:val="16"/>
                <w:szCs w:val="16"/>
              </w:rPr>
              <w:noBreakHyphen/>
              <w:t>cig</w:t>
            </w:r>
            <w:r w:rsidRPr="000F6DEF">
              <w:rPr>
                <w:rFonts w:cs="Calibri"/>
                <w:sz w:val="16"/>
                <w:szCs w:val="16"/>
              </w:rPr>
              <w:t>arette use from the age of 16 to the age of 18 according to the type of liquid (nicotine/non</w:t>
            </w:r>
            <w:r w:rsidRPr="000F6DEF">
              <w:rPr>
                <w:rFonts w:cs="Calibri"/>
                <w:sz w:val="16"/>
                <w:szCs w:val="16"/>
              </w:rPr>
              <w:noBreakHyphen/>
            </w:r>
            <w:r w:rsidRPr="000F6DEF">
              <w:rPr>
                <w:rFonts w:cs="Calibri"/>
                <w:sz w:val="16"/>
                <w:szCs w:val="16"/>
              </w:rPr>
              <w:br/>
              <w:t>nicotine) used in them.</w:t>
            </w:r>
          </w:p>
        </w:tc>
        <w:tc>
          <w:tcPr>
            <w:tcW w:w="6095" w:type="dxa"/>
          </w:tcPr>
          <w:p w14:paraId="09CF9E39" w14:textId="3938803F"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24.9% and 4.5% had used for nicotine and non</w:t>
            </w:r>
            <w:r w:rsidRPr="000F6DEF">
              <w:rPr>
                <w:rFonts w:cs="Calibri"/>
                <w:sz w:val="16"/>
                <w:szCs w:val="16"/>
              </w:rPr>
              <w:noBreakHyphen/>
              <w:t xml:space="preserve">nicotine </w:t>
            </w:r>
            <w:r>
              <w:rPr>
                <w:rFonts w:cs="Calibri"/>
                <w:sz w:val="16"/>
                <w:szCs w:val="16"/>
              </w:rPr>
              <w:t>e</w:t>
            </w:r>
            <w:r>
              <w:rPr>
                <w:rFonts w:cs="Calibri"/>
                <w:sz w:val="16"/>
                <w:szCs w:val="16"/>
              </w:rPr>
              <w:noBreakHyphen/>
              <w:t>cig</w:t>
            </w:r>
            <w:r w:rsidR="00C56834">
              <w:rPr>
                <w:rFonts w:cs="Calibri"/>
                <w:sz w:val="16"/>
                <w:szCs w:val="16"/>
              </w:rPr>
              <w:t>arette</w:t>
            </w:r>
            <w:r w:rsidRPr="000F6DEF">
              <w:rPr>
                <w:rFonts w:cs="Calibri"/>
                <w:sz w:val="16"/>
                <w:szCs w:val="16"/>
              </w:rPr>
              <w:t>s</w:t>
            </w:r>
            <w:r w:rsidRPr="000F6DEF">
              <w:rPr>
                <w:rFonts w:cs="Calibri"/>
                <w:sz w:val="16"/>
                <w:szCs w:val="16"/>
              </w:rPr>
              <w:br/>
              <w:t xml:space="preserve">2.1% used </w:t>
            </w:r>
            <w:r>
              <w:rPr>
                <w:rFonts w:cs="Calibri"/>
                <w:sz w:val="16"/>
                <w:szCs w:val="16"/>
              </w:rPr>
              <w:t>e</w:t>
            </w:r>
            <w:r>
              <w:rPr>
                <w:rFonts w:cs="Calibri"/>
                <w:sz w:val="16"/>
                <w:szCs w:val="16"/>
              </w:rPr>
              <w:noBreakHyphen/>
              <w:t>cig</w:t>
            </w:r>
            <w:r w:rsidRPr="000F6DEF">
              <w:rPr>
                <w:rFonts w:cs="Calibri"/>
                <w:sz w:val="16"/>
                <w:szCs w:val="16"/>
              </w:rPr>
              <w:t>arette daily at FU</w:t>
            </w:r>
            <w:r w:rsidRPr="000F6DEF">
              <w:rPr>
                <w:rFonts w:cs="Calibri"/>
                <w:sz w:val="16"/>
                <w:szCs w:val="16"/>
              </w:rPr>
              <w:br/>
              <w:t xml:space="preserve">Of those who had not tried </w:t>
            </w:r>
            <w:r>
              <w:rPr>
                <w:rFonts w:cs="Calibri"/>
                <w:sz w:val="16"/>
                <w:szCs w:val="16"/>
              </w:rPr>
              <w:t>e</w:t>
            </w:r>
            <w:r>
              <w:rPr>
                <w:rFonts w:cs="Calibri"/>
                <w:sz w:val="16"/>
                <w:szCs w:val="16"/>
              </w:rPr>
              <w:noBreakHyphen/>
              <w:t>cig</w:t>
            </w:r>
            <w:r w:rsidRPr="000F6DEF">
              <w:rPr>
                <w:rFonts w:cs="Calibri"/>
                <w:sz w:val="16"/>
                <w:szCs w:val="16"/>
              </w:rPr>
              <w:t>arettes at the baseline, 18.4% tried nicotine containing and 5.7% non</w:t>
            </w:r>
            <w:r w:rsidRPr="000F6DEF">
              <w:rPr>
                <w:rFonts w:cs="Calibri"/>
                <w:sz w:val="16"/>
                <w:szCs w:val="16"/>
              </w:rPr>
              <w:noBreakHyphen/>
              <w:t xml:space="preserve">nicotine </w:t>
            </w:r>
            <w:r>
              <w:rPr>
                <w:rFonts w:cs="Calibri"/>
                <w:sz w:val="16"/>
                <w:szCs w:val="16"/>
              </w:rPr>
              <w:t>e</w:t>
            </w:r>
            <w:r>
              <w:rPr>
                <w:rFonts w:cs="Calibri"/>
                <w:sz w:val="16"/>
                <w:szCs w:val="16"/>
              </w:rPr>
              <w:noBreakHyphen/>
              <w:t>cig</w:t>
            </w:r>
            <w:r w:rsidRPr="000F6DEF">
              <w:rPr>
                <w:rFonts w:cs="Calibri"/>
                <w:sz w:val="16"/>
                <w:szCs w:val="16"/>
              </w:rPr>
              <w:t>arettes during the follow</w:t>
            </w:r>
            <w:r w:rsidRPr="000F6DEF">
              <w:rPr>
                <w:rFonts w:cs="Calibri"/>
                <w:sz w:val="16"/>
                <w:szCs w:val="16"/>
              </w:rPr>
              <w:noBreakHyphen/>
              <w:t>up</w:t>
            </w:r>
          </w:p>
        </w:tc>
        <w:tc>
          <w:tcPr>
            <w:tcW w:w="4820" w:type="dxa"/>
          </w:tcPr>
          <w:p w14:paraId="7CF59425"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Experimenting </w:t>
            </w:r>
            <w:r>
              <w:rPr>
                <w:rFonts w:cs="Calibri"/>
                <w:sz w:val="16"/>
                <w:szCs w:val="16"/>
              </w:rPr>
              <w:t>e</w:t>
            </w:r>
            <w:r>
              <w:rPr>
                <w:rFonts w:cs="Calibri"/>
                <w:sz w:val="16"/>
                <w:szCs w:val="16"/>
              </w:rPr>
              <w:noBreakHyphen/>
              <w:t>cig</w:t>
            </w:r>
            <w:r w:rsidRPr="000F6DEF">
              <w:rPr>
                <w:rFonts w:cs="Calibri"/>
                <w:sz w:val="16"/>
                <w:szCs w:val="16"/>
              </w:rPr>
              <w:t>arettes is common among youth but daily</w:t>
            </w:r>
            <w:r w:rsidRPr="000F6DEF">
              <w:rPr>
                <w:rFonts w:cs="Calibri"/>
                <w:sz w:val="16"/>
                <w:szCs w:val="16"/>
              </w:rPr>
              <w:br/>
              <w:t xml:space="preserve">use is rare. </w:t>
            </w:r>
            <w:r>
              <w:rPr>
                <w:rFonts w:cs="Calibri"/>
                <w:sz w:val="16"/>
                <w:szCs w:val="16"/>
              </w:rPr>
              <w:t>E</w:t>
            </w:r>
            <w:r>
              <w:rPr>
                <w:rFonts w:cs="Calibri"/>
                <w:sz w:val="16"/>
                <w:szCs w:val="16"/>
              </w:rPr>
              <w:noBreakHyphen/>
              <w:t>cig</w:t>
            </w:r>
            <w:r w:rsidRPr="000F6DEF">
              <w:rPr>
                <w:rFonts w:cs="Calibri"/>
                <w:sz w:val="16"/>
                <w:szCs w:val="16"/>
              </w:rPr>
              <w:t>arette experimentation with nicotine containing</w:t>
            </w:r>
            <w:r w:rsidRPr="000F6DEF">
              <w:rPr>
                <w:rFonts w:cs="Calibri"/>
                <w:sz w:val="16"/>
                <w:szCs w:val="16"/>
              </w:rPr>
              <w:br/>
              <w:t>liquids leads to daily conventional cigarette smoking more often</w:t>
            </w:r>
            <w:r w:rsidRPr="000F6DEF">
              <w:rPr>
                <w:rFonts w:cs="Calibri"/>
                <w:sz w:val="16"/>
                <w:szCs w:val="16"/>
              </w:rPr>
              <w:br/>
              <w:t>than experimentation with non</w:t>
            </w:r>
            <w:r w:rsidRPr="000F6DEF">
              <w:rPr>
                <w:rFonts w:cs="Calibri"/>
                <w:sz w:val="16"/>
                <w:szCs w:val="16"/>
              </w:rPr>
              <w:noBreakHyphen/>
              <w:t>nicotine products or having no</w:t>
            </w:r>
            <w:r w:rsidRPr="000F6DEF">
              <w:rPr>
                <w:rFonts w:cs="Calibri"/>
                <w:sz w:val="16"/>
                <w:szCs w:val="16"/>
              </w:rPr>
              <w:br/>
              <w:t>experimentation.</w:t>
            </w:r>
          </w:p>
        </w:tc>
      </w:tr>
      <w:tr w:rsidR="00B85C33" w:rsidRPr="000F6DEF" w14:paraId="559AAFCD" w14:textId="77777777" w:rsidTr="000376C7">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1435" w:type="dxa"/>
          </w:tcPr>
          <w:p w14:paraId="081DA42E" w14:textId="77777777" w:rsidR="00B85C33" w:rsidRPr="000F6DEF" w:rsidRDefault="00B85C33" w:rsidP="000376C7">
            <w:pPr>
              <w:rPr>
                <w:rFonts w:cs="Calibri"/>
                <w:sz w:val="16"/>
                <w:szCs w:val="16"/>
              </w:rPr>
            </w:pPr>
            <w:r w:rsidRPr="000F6DEF">
              <w:rPr>
                <w:rFonts w:cs="Calibri"/>
                <w:sz w:val="16"/>
                <w:szCs w:val="16"/>
              </w:rPr>
              <w:t>Kong, Idrisov, Galimov et al</w:t>
            </w:r>
          </w:p>
        </w:tc>
        <w:tc>
          <w:tcPr>
            <w:tcW w:w="2671" w:type="dxa"/>
          </w:tcPr>
          <w:p w14:paraId="74301D33" w14:textId="0194A808"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We examined prevalence of and factors associated with youth </w:t>
            </w:r>
            <w:r>
              <w:rPr>
                <w:rFonts w:cs="Calibri"/>
                <w:sz w:val="16"/>
                <w:szCs w:val="16"/>
              </w:rPr>
              <w:t>e</w:t>
            </w:r>
            <w:r>
              <w:rPr>
                <w:rFonts w:cs="Calibri"/>
                <w:sz w:val="16"/>
                <w:szCs w:val="16"/>
              </w:rPr>
              <w:noBreakHyphen/>
              <w:t>cig</w:t>
            </w:r>
            <w:r w:rsidRPr="000F6DEF">
              <w:rPr>
                <w:rFonts w:cs="Calibri"/>
                <w:sz w:val="16"/>
                <w:szCs w:val="16"/>
              </w:rPr>
              <w:t>arette use in the Russian Federation</w:t>
            </w:r>
            <w:r w:rsidR="005500FC">
              <w:rPr>
                <w:rFonts w:cs="Calibri"/>
                <w:sz w:val="16"/>
                <w:szCs w:val="16"/>
              </w:rPr>
              <w:t>.</w:t>
            </w:r>
          </w:p>
        </w:tc>
        <w:tc>
          <w:tcPr>
            <w:tcW w:w="6095" w:type="dxa"/>
          </w:tcPr>
          <w:p w14:paraId="74DD18F9" w14:textId="22E35A61"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28.6% ever use of </w:t>
            </w:r>
            <w:r>
              <w:rPr>
                <w:rFonts w:cs="Calibri"/>
                <w:sz w:val="16"/>
                <w:szCs w:val="16"/>
              </w:rPr>
              <w:t>e</w:t>
            </w:r>
            <w:r>
              <w:rPr>
                <w:rFonts w:cs="Calibri"/>
                <w:sz w:val="16"/>
                <w:szCs w:val="16"/>
              </w:rPr>
              <w:noBreakHyphen/>
              <w:t>cig</w:t>
            </w:r>
            <w:r w:rsidR="00C56834">
              <w:rPr>
                <w:rFonts w:cs="Calibri"/>
                <w:sz w:val="16"/>
                <w:szCs w:val="16"/>
              </w:rPr>
              <w:t>arettes</w:t>
            </w:r>
            <w:r w:rsidRPr="000F6DEF">
              <w:rPr>
                <w:rFonts w:cs="Calibri"/>
                <w:sz w:val="16"/>
                <w:szCs w:val="16"/>
              </w:rPr>
              <w:t>; 2.2% past 30</w:t>
            </w:r>
            <w:r w:rsidRPr="000F6DEF">
              <w:rPr>
                <w:rFonts w:cs="Calibri"/>
                <w:sz w:val="16"/>
                <w:szCs w:val="16"/>
              </w:rPr>
              <w:noBreakHyphen/>
              <w:t>day use</w:t>
            </w:r>
            <w:r w:rsidRPr="000F6DEF">
              <w:rPr>
                <w:rFonts w:cs="Calibri"/>
                <w:sz w:val="16"/>
                <w:szCs w:val="16"/>
              </w:rPr>
              <w:br/>
              <w:t>Compared to never users, ever users were older, had more educated fathers, higher lifetime cig, hookah, alcohol and marijuana use, reported getting suspended from school, and being arrested or having a family member arrested. Anger coping was higher and social</w:t>
            </w:r>
            <w:r w:rsidRPr="000F6DEF">
              <w:rPr>
                <w:rFonts w:cs="Calibri"/>
                <w:sz w:val="16"/>
                <w:szCs w:val="16"/>
              </w:rPr>
              <w:noBreakHyphen/>
              <w:t>support and decision making coping were lower.</w:t>
            </w:r>
            <w:r w:rsidRPr="000F6DEF">
              <w:rPr>
                <w:rFonts w:cs="Calibri"/>
                <w:sz w:val="16"/>
                <w:szCs w:val="16"/>
              </w:rPr>
              <w:br/>
              <w:t xml:space="preserve">Belonging to Tatar/Bashkir ethnicity relative to Russian ethnicity (odds ratio [OR]=1.60) and lifetime use of cigarettes (OR=21.64), hookah (OR=4.21), and alcohol (OR=1.90) were associated with greater odds of lifetime use of </w:t>
            </w:r>
            <w:r>
              <w:rPr>
                <w:rFonts w:cs="Calibri"/>
                <w:sz w:val="16"/>
                <w:szCs w:val="16"/>
              </w:rPr>
              <w:t>e</w:t>
            </w:r>
            <w:r>
              <w:rPr>
                <w:rFonts w:cs="Calibri"/>
                <w:sz w:val="16"/>
                <w:szCs w:val="16"/>
              </w:rPr>
              <w:noBreakHyphen/>
              <w:t>cig</w:t>
            </w:r>
            <w:r w:rsidRPr="000F6DEF">
              <w:rPr>
                <w:rFonts w:cs="Calibri"/>
                <w:sz w:val="16"/>
                <w:szCs w:val="16"/>
              </w:rPr>
              <w:t>arette. Greater social</w:t>
            </w:r>
            <w:r w:rsidRPr="000F6DEF">
              <w:rPr>
                <w:rFonts w:cs="Calibri"/>
                <w:sz w:val="16"/>
                <w:szCs w:val="16"/>
              </w:rPr>
              <w:noBreakHyphen/>
              <w:t xml:space="preserve">support coping strategies was associated with lower odds of lifetime use of </w:t>
            </w:r>
            <w:r>
              <w:rPr>
                <w:rFonts w:cs="Calibri"/>
                <w:sz w:val="16"/>
                <w:szCs w:val="16"/>
              </w:rPr>
              <w:t>e</w:t>
            </w:r>
            <w:r>
              <w:rPr>
                <w:rFonts w:cs="Calibri"/>
                <w:sz w:val="16"/>
                <w:szCs w:val="16"/>
              </w:rPr>
              <w:noBreakHyphen/>
              <w:t>cig</w:t>
            </w:r>
            <w:r w:rsidRPr="000F6DEF">
              <w:rPr>
                <w:rFonts w:cs="Calibri"/>
                <w:sz w:val="16"/>
                <w:szCs w:val="16"/>
              </w:rPr>
              <w:t>arettes (OR=0.94).</w:t>
            </w:r>
            <w:r w:rsidRPr="000F6DEF">
              <w:rPr>
                <w:rFonts w:cs="Calibri"/>
                <w:sz w:val="16"/>
                <w:szCs w:val="16"/>
              </w:rPr>
              <w:br/>
              <w:t xml:space="preserve"> </w:t>
            </w:r>
          </w:p>
        </w:tc>
        <w:tc>
          <w:tcPr>
            <w:tcW w:w="4820" w:type="dxa"/>
          </w:tcPr>
          <w:p w14:paraId="6113F494"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Despite high lifetime </w:t>
            </w:r>
            <w:r>
              <w:rPr>
                <w:rFonts w:cs="Calibri"/>
                <w:sz w:val="16"/>
                <w:szCs w:val="16"/>
              </w:rPr>
              <w:t>e</w:t>
            </w:r>
            <w:r>
              <w:rPr>
                <w:rFonts w:cs="Calibri"/>
                <w:sz w:val="16"/>
                <w:szCs w:val="16"/>
              </w:rPr>
              <w:noBreakHyphen/>
              <w:t>cig</w:t>
            </w:r>
            <w:r w:rsidRPr="000F6DEF">
              <w:rPr>
                <w:rFonts w:cs="Calibri"/>
                <w:sz w:val="16"/>
                <w:szCs w:val="16"/>
              </w:rPr>
              <w:t>arette use, past</w:t>
            </w:r>
            <w:r w:rsidRPr="000F6DEF">
              <w:rPr>
                <w:rFonts w:cs="Calibri"/>
                <w:sz w:val="16"/>
                <w:szCs w:val="16"/>
              </w:rPr>
              <w:noBreakHyphen/>
              <w:t>30</w:t>
            </w:r>
            <w:r w:rsidRPr="000F6DEF">
              <w:rPr>
                <w:rFonts w:cs="Calibri"/>
                <w:sz w:val="16"/>
                <w:szCs w:val="16"/>
              </w:rPr>
              <w:noBreakHyphen/>
              <w:t xml:space="preserve">day use was low. Greater knowledge of the reasons for </w:t>
            </w:r>
            <w:r>
              <w:rPr>
                <w:rFonts w:cs="Calibri"/>
                <w:sz w:val="16"/>
                <w:szCs w:val="16"/>
              </w:rPr>
              <w:t>e</w:t>
            </w:r>
            <w:r>
              <w:rPr>
                <w:rFonts w:cs="Calibri"/>
                <w:sz w:val="16"/>
                <w:szCs w:val="16"/>
              </w:rPr>
              <w:noBreakHyphen/>
              <w:t>cig</w:t>
            </w:r>
            <w:r w:rsidRPr="000F6DEF">
              <w:rPr>
                <w:rFonts w:cs="Calibri"/>
                <w:sz w:val="16"/>
                <w:szCs w:val="16"/>
              </w:rPr>
              <w:t xml:space="preserve">arette discontinuation through continued surveillance is needed in the Russian Federation. Social coping strategies involving parents may inform </w:t>
            </w:r>
            <w:r>
              <w:rPr>
                <w:rFonts w:cs="Calibri"/>
                <w:sz w:val="16"/>
                <w:szCs w:val="16"/>
              </w:rPr>
              <w:t>e</w:t>
            </w:r>
            <w:r>
              <w:rPr>
                <w:rFonts w:cs="Calibri"/>
                <w:sz w:val="16"/>
                <w:szCs w:val="16"/>
              </w:rPr>
              <w:noBreakHyphen/>
              <w:t>cig</w:t>
            </w:r>
            <w:r w:rsidRPr="000F6DEF">
              <w:rPr>
                <w:rFonts w:cs="Calibri"/>
                <w:sz w:val="16"/>
                <w:szCs w:val="16"/>
              </w:rPr>
              <w:t>arette use prevention.</w:t>
            </w:r>
          </w:p>
        </w:tc>
      </w:tr>
      <w:tr w:rsidR="00B85C33" w:rsidRPr="000F6DEF" w14:paraId="084B4A44" w14:textId="77777777" w:rsidTr="000376C7">
        <w:trPr>
          <w:trHeight w:val="94"/>
        </w:trPr>
        <w:tc>
          <w:tcPr>
            <w:cnfStyle w:val="001000000000" w:firstRow="0" w:lastRow="0" w:firstColumn="1" w:lastColumn="0" w:oddVBand="0" w:evenVBand="0" w:oddHBand="0" w:evenHBand="0" w:firstRowFirstColumn="0" w:firstRowLastColumn="0" w:lastRowFirstColumn="0" w:lastRowLastColumn="0"/>
            <w:tcW w:w="1435" w:type="dxa"/>
          </w:tcPr>
          <w:p w14:paraId="2A5723BD" w14:textId="77777777" w:rsidR="00B85C33" w:rsidRPr="000F6DEF" w:rsidRDefault="00B85C33" w:rsidP="000376C7">
            <w:pPr>
              <w:rPr>
                <w:rFonts w:cs="Calibri"/>
                <w:sz w:val="16"/>
                <w:szCs w:val="16"/>
              </w:rPr>
            </w:pPr>
            <w:r w:rsidRPr="000F6DEF">
              <w:rPr>
                <w:rFonts w:cs="Calibri"/>
                <w:sz w:val="16"/>
                <w:szCs w:val="16"/>
              </w:rPr>
              <w:t>Koprivnikar, Zupanic</w:t>
            </w:r>
          </w:p>
        </w:tc>
        <w:tc>
          <w:tcPr>
            <w:tcW w:w="2671" w:type="dxa"/>
          </w:tcPr>
          <w:p w14:paraId="6C02E273"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The purpose of this paper is to present the latest data on the use of different tobacco and related products, with or without flavours, among 15</w:t>
            </w:r>
            <w:r w:rsidRPr="000F6DEF">
              <w:rPr>
                <w:rFonts w:cs="Calibri"/>
                <w:sz w:val="16"/>
                <w:szCs w:val="16"/>
              </w:rPr>
              <w:noBreakHyphen/>
              <w:t>year old students in Slovenia.</w:t>
            </w:r>
          </w:p>
        </w:tc>
        <w:tc>
          <w:tcPr>
            <w:tcW w:w="6095" w:type="dxa"/>
          </w:tcPr>
          <w:p w14:paraId="45B638FB"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Pr>
                <w:rFonts w:cs="Calibri"/>
                <w:sz w:val="16"/>
                <w:szCs w:val="16"/>
              </w:rPr>
              <w:t>E</w:t>
            </w:r>
            <w:r>
              <w:rPr>
                <w:rFonts w:cs="Calibri"/>
                <w:sz w:val="16"/>
                <w:szCs w:val="16"/>
              </w:rPr>
              <w:noBreakHyphen/>
              <w:t>cig</w:t>
            </w:r>
            <w:r w:rsidRPr="000F6DEF">
              <w:rPr>
                <w:rFonts w:cs="Calibri"/>
                <w:sz w:val="16"/>
                <w:szCs w:val="16"/>
              </w:rPr>
              <w:t xml:space="preserve">arette use past 30 days 0.9% (1.5% for boys; 0.4% for girls) </w:t>
            </w:r>
            <w:r w:rsidRPr="000F6DEF">
              <w:rPr>
                <w:rFonts w:cs="Calibri"/>
                <w:sz w:val="16"/>
                <w:szCs w:val="16"/>
              </w:rPr>
              <w:br/>
              <w:t xml:space="preserve">The most frequent combinations used were cigarettes with waterpipe or </w:t>
            </w:r>
            <w:r>
              <w:rPr>
                <w:rFonts w:cs="Calibri"/>
                <w:sz w:val="16"/>
                <w:szCs w:val="16"/>
              </w:rPr>
              <w:t>e</w:t>
            </w:r>
            <w:r>
              <w:rPr>
                <w:rFonts w:cs="Calibri"/>
                <w:sz w:val="16"/>
                <w:szCs w:val="16"/>
              </w:rPr>
              <w:noBreakHyphen/>
              <w:t>cig</w:t>
            </w:r>
            <w:r w:rsidRPr="000F6DEF">
              <w:rPr>
                <w:rFonts w:cs="Calibri"/>
                <w:sz w:val="16"/>
                <w:szCs w:val="16"/>
              </w:rPr>
              <w:t>arette. Only one 15</w:t>
            </w:r>
            <w:r w:rsidRPr="000F6DEF">
              <w:rPr>
                <w:rFonts w:cs="Calibri"/>
                <w:sz w:val="16"/>
                <w:szCs w:val="16"/>
              </w:rPr>
              <w:noBreakHyphen/>
              <w:t>year</w:t>
            </w:r>
            <w:r w:rsidRPr="000F6DEF">
              <w:rPr>
                <w:rFonts w:cs="Calibri"/>
                <w:sz w:val="16"/>
                <w:szCs w:val="16"/>
              </w:rPr>
              <w:noBreakHyphen/>
              <w:t xml:space="preserve">old student used solely </w:t>
            </w:r>
            <w:r>
              <w:rPr>
                <w:rFonts w:cs="Calibri"/>
                <w:sz w:val="16"/>
                <w:szCs w:val="16"/>
              </w:rPr>
              <w:t>e</w:t>
            </w:r>
            <w:r>
              <w:rPr>
                <w:rFonts w:cs="Calibri"/>
                <w:sz w:val="16"/>
                <w:szCs w:val="16"/>
              </w:rPr>
              <w:noBreakHyphen/>
              <w:t>cig</w:t>
            </w:r>
            <w:r w:rsidRPr="000F6DEF">
              <w:rPr>
                <w:rFonts w:cs="Calibri"/>
                <w:sz w:val="16"/>
                <w:szCs w:val="16"/>
              </w:rPr>
              <w:t xml:space="preserve">arettes, others used </w:t>
            </w:r>
            <w:r>
              <w:rPr>
                <w:rFonts w:cs="Calibri"/>
                <w:sz w:val="16"/>
                <w:szCs w:val="16"/>
              </w:rPr>
              <w:t>e</w:t>
            </w:r>
            <w:r>
              <w:rPr>
                <w:rFonts w:cs="Calibri"/>
                <w:sz w:val="16"/>
                <w:szCs w:val="16"/>
              </w:rPr>
              <w:noBreakHyphen/>
              <w:t>cig</w:t>
            </w:r>
            <w:r w:rsidRPr="000F6DEF">
              <w:rPr>
                <w:rFonts w:cs="Calibri"/>
                <w:sz w:val="16"/>
                <w:szCs w:val="16"/>
              </w:rPr>
              <w:t xml:space="preserve">arettes and other products (12 of 14 </w:t>
            </w:r>
            <w:r>
              <w:rPr>
                <w:rFonts w:cs="Calibri"/>
                <w:sz w:val="16"/>
                <w:szCs w:val="16"/>
              </w:rPr>
              <w:t>e</w:t>
            </w:r>
            <w:r>
              <w:rPr>
                <w:rFonts w:cs="Calibri"/>
                <w:sz w:val="16"/>
                <w:szCs w:val="16"/>
              </w:rPr>
              <w:noBreakHyphen/>
              <w:t>cig</w:t>
            </w:r>
            <w:r w:rsidRPr="000F6DEF">
              <w:rPr>
                <w:rFonts w:cs="Calibri"/>
                <w:sz w:val="16"/>
                <w:szCs w:val="16"/>
              </w:rPr>
              <w:t>arette users also smoked cigarettes).</w:t>
            </w:r>
          </w:p>
        </w:tc>
        <w:tc>
          <w:tcPr>
            <w:tcW w:w="4820" w:type="dxa"/>
          </w:tcPr>
          <w:p w14:paraId="7AB4E1E7"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15</w:t>
            </w:r>
            <w:r w:rsidRPr="000F6DEF">
              <w:rPr>
                <w:rFonts w:cs="Calibri"/>
                <w:sz w:val="16"/>
                <w:szCs w:val="16"/>
              </w:rPr>
              <w:noBreakHyphen/>
              <w:t>year</w:t>
            </w:r>
            <w:r w:rsidRPr="000F6DEF">
              <w:rPr>
                <w:rFonts w:cs="Calibri"/>
                <w:sz w:val="16"/>
                <w:szCs w:val="16"/>
              </w:rPr>
              <w:noBreakHyphen/>
              <w:t>old students in Slovenia currently use mostly</w:t>
            </w:r>
            <w:r w:rsidRPr="000F6DEF">
              <w:rPr>
                <w:rFonts w:cs="Calibri"/>
                <w:sz w:val="16"/>
                <w:szCs w:val="16"/>
              </w:rPr>
              <w:br/>
              <w:t>conventional products, very often they use products with</w:t>
            </w:r>
            <w:r w:rsidRPr="000F6DEF">
              <w:rPr>
                <w:rFonts w:cs="Calibri"/>
                <w:sz w:val="16"/>
                <w:szCs w:val="16"/>
              </w:rPr>
              <w:br/>
              <w:t>flavours and mostly they use only one product</w:t>
            </w:r>
          </w:p>
        </w:tc>
      </w:tr>
      <w:tr w:rsidR="00B85C33" w:rsidRPr="000F6DEF" w14:paraId="1B7CF57F" w14:textId="77777777" w:rsidTr="000376C7">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1435" w:type="dxa"/>
          </w:tcPr>
          <w:p w14:paraId="4B6CC32E" w14:textId="77777777" w:rsidR="00B85C33" w:rsidRPr="000F6DEF" w:rsidRDefault="00B85C33" w:rsidP="000376C7">
            <w:pPr>
              <w:rPr>
                <w:rFonts w:cs="Calibri"/>
                <w:sz w:val="16"/>
                <w:szCs w:val="16"/>
              </w:rPr>
            </w:pPr>
            <w:r w:rsidRPr="000F6DEF">
              <w:rPr>
                <w:rFonts w:cs="Calibri"/>
                <w:sz w:val="16"/>
                <w:szCs w:val="16"/>
              </w:rPr>
              <w:t>Kusiak, Wojtaszek</w:t>
            </w:r>
            <w:r w:rsidRPr="000F6DEF">
              <w:rPr>
                <w:rFonts w:cs="Calibri"/>
                <w:sz w:val="16"/>
                <w:szCs w:val="16"/>
              </w:rPr>
              <w:noBreakHyphen/>
              <w:t>Słomińska, Chomyszyn</w:t>
            </w:r>
            <w:r w:rsidRPr="000F6DEF">
              <w:rPr>
                <w:rFonts w:cs="Calibri"/>
                <w:sz w:val="16"/>
                <w:szCs w:val="16"/>
              </w:rPr>
              <w:noBreakHyphen/>
              <w:t>Gajewska et al</w:t>
            </w:r>
          </w:p>
        </w:tc>
        <w:tc>
          <w:tcPr>
            <w:tcW w:w="2671" w:type="dxa"/>
          </w:tcPr>
          <w:p w14:paraId="2688A98F"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The paper reports an analysis of electronic cigarette use among Polish dental students, particularly concerning the reasons for using </w:t>
            </w:r>
            <w:r>
              <w:rPr>
                <w:rFonts w:cs="Calibri"/>
                <w:sz w:val="16"/>
                <w:szCs w:val="16"/>
              </w:rPr>
              <w:t>e</w:t>
            </w:r>
            <w:r>
              <w:rPr>
                <w:rFonts w:cs="Calibri"/>
                <w:sz w:val="16"/>
                <w:szCs w:val="16"/>
              </w:rPr>
              <w:noBreakHyphen/>
              <w:t>cig</w:t>
            </w:r>
            <w:r w:rsidRPr="000F6DEF">
              <w:rPr>
                <w:rFonts w:cs="Calibri"/>
                <w:sz w:val="16"/>
                <w:szCs w:val="16"/>
              </w:rPr>
              <w:t xml:space="preserve">arettes. </w:t>
            </w:r>
          </w:p>
        </w:tc>
        <w:tc>
          <w:tcPr>
            <w:tcW w:w="6095" w:type="dxa"/>
          </w:tcPr>
          <w:p w14:paraId="63DD915D"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10 students (1.72%) were smoking </w:t>
            </w:r>
            <w:r>
              <w:rPr>
                <w:rFonts w:cs="Calibri"/>
                <w:sz w:val="16"/>
                <w:szCs w:val="16"/>
              </w:rPr>
              <w:t>e</w:t>
            </w:r>
            <w:r>
              <w:rPr>
                <w:rFonts w:cs="Calibri"/>
                <w:sz w:val="16"/>
                <w:szCs w:val="16"/>
              </w:rPr>
              <w:noBreakHyphen/>
              <w:t>cig</w:t>
            </w:r>
            <w:r w:rsidRPr="000F6DEF">
              <w:rPr>
                <w:rFonts w:cs="Calibri"/>
                <w:sz w:val="16"/>
                <w:szCs w:val="16"/>
              </w:rPr>
              <w:t>arettes only</w:t>
            </w:r>
            <w:r w:rsidRPr="000F6DEF">
              <w:rPr>
                <w:rFonts w:cs="Calibri"/>
                <w:sz w:val="16"/>
                <w:szCs w:val="16"/>
              </w:rPr>
              <w:br/>
              <w:t>20.14% (51) dual users</w:t>
            </w:r>
            <w:r w:rsidRPr="000F6DEF">
              <w:rPr>
                <w:rFonts w:cs="Calibri"/>
                <w:sz w:val="16"/>
                <w:szCs w:val="16"/>
              </w:rPr>
              <w:br/>
              <w:t>For 28 students (45.9%), e</w:t>
            </w:r>
            <w:r w:rsidRPr="000F6DEF">
              <w:rPr>
                <w:rFonts w:cs="Calibri"/>
                <w:sz w:val="16"/>
                <w:szCs w:val="16"/>
              </w:rPr>
              <w:noBreakHyphen/>
              <w:t>smoking was associated with a trend. Next, 18 people (35.29%) believed that electronic cigarettes would help them quit smoking.</w:t>
            </w:r>
          </w:p>
        </w:tc>
        <w:tc>
          <w:tcPr>
            <w:tcW w:w="4820" w:type="dxa"/>
          </w:tcPr>
          <w:p w14:paraId="461E8263"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The main reason for taking up electronic cigarettes was the increasing trend. </w:t>
            </w:r>
          </w:p>
        </w:tc>
      </w:tr>
      <w:tr w:rsidR="00B85C33" w:rsidRPr="000F6DEF" w14:paraId="6208761E" w14:textId="77777777" w:rsidTr="000376C7">
        <w:trPr>
          <w:trHeight w:val="94"/>
        </w:trPr>
        <w:tc>
          <w:tcPr>
            <w:cnfStyle w:val="001000000000" w:firstRow="0" w:lastRow="0" w:firstColumn="1" w:lastColumn="0" w:oddVBand="0" w:evenVBand="0" w:oddHBand="0" w:evenHBand="0" w:firstRowFirstColumn="0" w:firstRowLastColumn="0" w:lastRowFirstColumn="0" w:lastRowLastColumn="0"/>
            <w:tcW w:w="1435" w:type="dxa"/>
          </w:tcPr>
          <w:p w14:paraId="23E2C156" w14:textId="77777777" w:rsidR="00B85C33" w:rsidRPr="000F6DEF" w:rsidRDefault="00B85C33" w:rsidP="000376C7">
            <w:pPr>
              <w:rPr>
                <w:rFonts w:cs="Calibri"/>
                <w:sz w:val="16"/>
                <w:szCs w:val="16"/>
              </w:rPr>
            </w:pPr>
            <w:r w:rsidRPr="000F6DEF">
              <w:rPr>
                <w:rFonts w:cs="Calibri"/>
                <w:sz w:val="16"/>
                <w:szCs w:val="16"/>
              </w:rPr>
              <w:t>Lee, Lee, Cho</w:t>
            </w:r>
          </w:p>
        </w:tc>
        <w:tc>
          <w:tcPr>
            <w:tcW w:w="2671" w:type="dxa"/>
          </w:tcPr>
          <w:p w14:paraId="4D1FBC8F"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This study aims to determine the relation between the frequency of </w:t>
            </w:r>
            <w:r>
              <w:rPr>
                <w:rFonts w:cs="Calibri"/>
                <w:sz w:val="16"/>
                <w:szCs w:val="16"/>
              </w:rPr>
              <w:t>e</w:t>
            </w:r>
            <w:r>
              <w:rPr>
                <w:rFonts w:cs="Calibri"/>
                <w:sz w:val="16"/>
                <w:szCs w:val="16"/>
              </w:rPr>
              <w:noBreakHyphen/>
              <w:t>cig</w:t>
            </w:r>
            <w:r w:rsidRPr="000F6DEF">
              <w:rPr>
                <w:rFonts w:cs="Calibri"/>
                <w:sz w:val="16"/>
                <w:szCs w:val="16"/>
              </w:rPr>
              <w:t xml:space="preserve">arette use and the frequency and intensity of cigarette smoking. Additionally, the study evaluates the association between the reasons for </w:t>
            </w:r>
            <w:r>
              <w:rPr>
                <w:rFonts w:cs="Calibri"/>
                <w:sz w:val="16"/>
                <w:szCs w:val="16"/>
              </w:rPr>
              <w:t>e</w:t>
            </w:r>
            <w:r>
              <w:rPr>
                <w:rFonts w:cs="Calibri"/>
                <w:sz w:val="16"/>
                <w:szCs w:val="16"/>
              </w:rPr>
              <w:noBreakHyphen/>
              <w:t>cig</w:t>
            </w:r>
            <w:r w:rsidRPr="000F6DEF">
              <w:rPr>
                <w:rFonts w:cs="Calibri"/>
                <w:sz w:val="16"/>
                <w:szCs w:val="16"/>
              </w:rPr>
              <w:t xml:space="preserve">arette use and the frequency of its use. </w:t>
            </w:r>
          </w:p>
        </w:tc>
        <w:tc>
          <w:tcPr>
            <w:tcW w:w="6095" w:type="dxa"/>
          </w:tcPr>
          <w:p w14:paraId="55919C41"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The prevalence of ever and current </w:t>
            </w:r>
            <w:r>
              <w:rPr>
                <w:rFonts w:cs="Calibri"/>
                <w:sz w:val="16"/>
                <w:szCs w:val="16"/>
              </w:rPr>
              <w:t>e</w:t>
            </w:r>
            <w:r>
              <w:rPr>
                <w:rFonts w:cs="Calibri"/>
                <w:sz w:val="16"/>
                <w:szCs w:val="16"/>
              </w:rPr>
              <w:noBreakHyphen/>
              <w:t>cig</w:t>
            </w:r>
            <w:r w:rsidRPr="000F6DEF">
              <w:rPr>
                <w:rFonts w:cs="Calibri"/>
                <w:sz w:val="16"/>
                <w:szCs w:val="16"/>
              </w:rPr>
              <w:t xml:space="preserve">arette use was 10.1% and 3.9%, respectively. Out of the total participants, 6.0% were ever </w:t>
            </w:r>
            <w:r>
              <w:rPr>
                <w:rFonts w:cs="Calibri"/>
                <w:sz w:val="16"/>
                <w:szCs w:val="16"/>
              </w:rPr>
              <w:t>e</w:t>
            </w:r>
            <w:r>
              <w:rPr>
                <w:rFonts w:cs="Calibri"/>
                <w:sz w:val="16"/>
                <w:szCs w:val="16"/>
              </w:rPr>
              <w:noBreakHyphen/>
              <w:t>cig</w:t>
            </w:r>
            <w:r w:rsidRPr="000F6DEF">
              <w:rPr>
                <w:rFonts w:cs="Calibri"/>
                <w:sz w:val="16"/>
                <w:szCs w:val="16"/>
              </w:rPr>
              <w:t xml:space="preserve">arette users but had not used </w:t>
            </w:r>
            <w:r>
              <w:rPr>
                <w:rFonts w:cs="Calibri"/>
                <w:sz w:val="16"/>
                <w:szCs w:val="16"/>
              </w:rPr>
              <w:t>e</w:t>
            </w:r>
            <w:r>
              <w:rPr>
                <w:rFonts w:cs="Calibri"/>
                <w:sz w:val="16"/>
                <w:szCs w:val="16"/>
              </w:rPr>
              <w:noBreakHyphen/>
              <w:t>cig</w:t>
            </w:r>
            <w:r w:rsidRPr="000F6DEF">
              <w:rPr>
                <w:rFonts w:cs="Calibri"/>
                <w:sz w:val="16"/>
                <w:szCs w:val="16"/>
              </w:rPr>
              <w:t xml:space="preserve">arettes within a month, while 1.3% had used them for only 1–2 days per month. Daily </w:t>
            </w:r>
            <w:r>
              <w:rPr>
                <w:rFonts w:cs="Calibri"/>
                <w:sz w:val="16"/>
                <w:szCs w:val="16"/>
              </w:rPr>
              <w:t>e</w:t>
            </w:r>
            <w:r>
              <w:rPr>
                <w:rFonts w:cs="Calibri"/>
                <w:sz w:val="16"/>
                <w:szCs w:val="16"/>
              </w:rPr>
              <w:noBreakHyphen/>
              <w:t>cig</w:t>
            </w:r>
            <w:r w:rsidRPr="000F6DEF">
              <w:rPr>
                <w:rFonts w:cs="Calibri"/>
                <w:sz w:val="16"/>
                <w:szCs w:val="16"/>
              </w:rPr>
              <w:t>arette users were 0.7%.</w:t>
            </w:r>
            <w:r w:rsidRPr="000F6DEF">
              <w:rPr>
                <w:rFonts w:cs="Calibri"/>
                <w:sz w:val="16"/>
                <w:szCs w:val="16"/>
              </w:rPr>
              <w:br/>
              <w:t xml:space="preserve">Compared with </w:t>
            </w:r>
            <w:r>
              <w:rPr>
                <w:rFonts w:cs="Calibri"/>
                <w:sz w:val="16"/>
                <w:szCs w:val="16"/>
              </w:rPr>
              <w:t>e</w:t>
            </w:r>
            <w:r>
              <w:rPr>
                <w:rFonts w:cs="Calibri"/>
                <w:sz w:val="16"/>
                <w:szCs w:val="16"/>
              </w:rPr>
              <w:noBreakHyphen/>
              <w:t>cig</w:t>
            </w:r>
            <w:r w:rsidRPr="000F6DEF">
              <w:rPr>
                <w:rFonts w:cs="Calibri"/>
                <w:sz w:val="16"/>
                <w:szCs w:val="16"/>
              </w:rPr>
              <w:t xml:space="preserve">arette users for 0–2 per month, frequent users were older (16.2 years vs. 15.8 years) and were more prevalent among 12th graders than 7th graders (21.9% vs. 9.7%). A positive correlation was observed between the frequency of conventional cigarette smoking and the frequency of </w:t>
            </w:r>
            <w:r>
              <w:rPr>
                <w:rFonts w:cs="Calibri"/>
                <w:sz w:val="16"/>
                <w:szCs w:val="16"/>
              </w:rPr>
              <w:t>e</w:t>
            </w:r>
            <w:r>
              <w:rPr>
                <w:rFonts w:cs="Calibri"/>
                <w:sz w:val="16"/>
                <w:szCs w:val="16"/>
              </w:rPr>
              <w:noBreakHyphen/>
              <w:t>cig</w:t>
            </w:r>
            <w:r w:rsidRPr="000F6DEF">
              <w:rPr>
                <w:rFonts w:cs="Calibri"/>
                <w:sz w:val="16"/>
                <w:szCs w:val="16"/>
              </w:rPr>
              <w:t xml:space="preserve">arette use. Percentage of frequent </w:t>
            </w:r>
            <w:r>
              <w:rPr>
                <w:rFonts w:cs="Calibri"/>
                <w:sz w:val="16"/>
                <w:szCs w:val="16"/>
              </w:rPr>
              <w:t>e</w:t>
            </w:r>
            <w:r>
              <w:rPr>
                <w:rFonts w:cs="Calibri"/>
                <w:sz w:val="16"/>
                <w:szCs w:val="16"/>
              </w:rPr>
              <w:noBreakHyphen/>
              <w:t>cig</w:t>
            </w:r>
            <w:r w:rsidRPr="000F6DEF">
              <w:rPr>
                <w:rFonts w:cs="Calibri"/>
                <w:sz w:val="16"/>
                <w:szCs w:val="16"/>
              </w:rPr>
              <w:t xml:space="preserve">arette use was 9 times greater among daily smokers than among conventional cigarette users for &lt;1 per month (28.7% vs. 3.5%). Smoking amount was also positively correlated to the frequency of </w:t>
            </w:r>
            <w:r>
              <w:rPr>
                <w:rFonts w:cs="Calibri"/>
                <w:sz w:val="16"/>
                <w:szCs w:val="16"/>
              </w:rPr>
              <w:t>e</w:t>
            </w:r>
            <w:r>
              <w:rPr>
                <w:rFonts w:cs="Calibri"/>
                <w:sz w:val="16"/>
                <w:szCs w:val="16"/>
              </w:rPr>
              <w:noBreakHyphen/>
              <w:t>cig</w:t>
            </w:r>
            <w:r w:rsidRPr="000F6DEF">
              <w:rPr>
                <w:rFonts w:cs="Calibri"/>
                <w:sz w:val="16"/>
                <w:szCs w:val="16"/>
              </w:rPr>
              <w:t xml:space="preserve">arette use. </w:t>
            </w:r>
            <w:r w:rsidRPr="000F6DEF">
              <w:rPr>
                <w:rFonts w:cs="Calibri"/>
                <w:sz w:val="16"/>
                <w:szCs w:val="16"/>
              </w:rPr>
              <w:br/>
              <w:t xml:space="preserve">Among ever </w:t>
            </w:r>
            <w:r>
              <w:rPr>
                <w:rFonts w:cs="Calibri"/>
                <w:sz w:val="16"/>
                <w:szCs w:val="16"/>
              </w:rPr>
              <w:t>e</w:t>
            </w:r>
            <w:r>
              <w:rPr>
                <w:rFonts w:cs="Calibri"/>
                <w:sz w:val="16"/>
                <w:szCs w:val="16"/>
              </w:rPr>
              <w:noBreakHyphen/>
              <w:t>cig</w:t>
            </w:r>
            <w:r w:rsidRPr="000F6DEF">
              <w:rPr>
                <w:rFonts w:cs="Calibri"/>
                <w:sz w:val="16"/>
                <w:szCs w:val="16"/>
              </w:rPr>
              <w:t xml:space="preserve">arette users, the most common reason for </w:t>
            </w:r>
            <w:r>
              <w:rPr>
                <w:rFonts w:cs="Calibri"/>
                <w:sz w:val="16"/>
                <w:szCs w:val="16"/>
              </w:rPr>
              <w:t>e</w:t>
            </w:r>
            <w:r>
              <w:rPr>
                <w:rFonts w:cs="Calibri"/>
                <w:sz w:val="16"/>
                <w:szCs w:val="16"/>
              </w:rPr>
              <w:noBreakHyphen/>
              <w:t>cig</w:t>
            </w:r>
            <w:r w:rsidRPr="000F6DEF">
              <w:rPr>
                <w:rFonts w:cs="Calibri"/>
                <w:sz w:val="16"/>
                <w:szCs w:val="16"/>
              </w:rPr>
              <w:t>arette use was curiosity (22.9%), followed by the belief that they were less harmful than conventional cigarettes (18.9%), the desire to quit smoking (13.1%), and the desire to smoke indoors (10.7%).</w:t>
            </w:r>
            <w:r w:rsidRPr="000F6DEF">
              <w:rPr>
                <w:rFonts w:cs="Calibri"/>
                <w:sz w:val="16"/>
                <w:szCs w:val="16"/>
              </w:rPr>
              <w:br/>
            </w:r>
            <w:r w:rsidRPr="000F6DEF">
              <w:rPr>
                <w:rFonts w:cs="Calibri"/>
                <w:sz w:val="16"/>
                <w:szCs w:val="16"/>
              </w:rPr>
              <w:lastRenderedPageBreak/>
              <w:t xml:space="preserve">The belief that </w:t>
            </w:r>
            <w:r>
              <w:rPr>
                <w:rFonts w:cs="Calibri"/>
                <w:sz w:val="16"/>
                <w:szCs w:val="16"/>
              </w:rPr>
              <w:t>e</w:t>
            </w:r>
            <w:r>
              <w:rPr>
                <w:rFonts w:cs="Calibri"/>
                <w:sz w:val="16"/>
                <w:szCs w:val="16"/>
              </w:rPr>
              <w:noBreakHyphen/>
              <w:t>cig</w:t>
            </w:r>
            <w:r w:rsidRPr="000F6DEF">
              <w:rPr>
                <w:rFonts w:cs="Calibri"/>
                <w:sz w:val="16"/>
                <w:szCs w:val="16"/>
              </w:rPr>
              <w:t xml:space="preserve">arettes are less harmful was a common reason for use among both less (&lt;3 per month) and more (≥10 per month) frequent users of </w:t>
            </w:r>
            <w:r>
              <w:rPr>
                <w:rFonts w:cs="Calibri"/>
                <w:sz w:val="16"/>
                <w:szCs w:val="16"/>
              </w:rPr>
              <w:t>e</w:t>
            </w:r>
            <w:r>
              <w:rPr>
                <w:rFonts w:cs="Calibri"/>
                <w:sz w:val="16"/>
                <w:szCs w:val="16"/>
              </w:rPr>
              <w:noBreakHyphen/>
              <w:t>cig</w:t>
            </w:r>
            <w:r w:rsidRPr="000F6DEF">
              <w:rPr>
                <w:rFonts w:cs="Calibri"/>
                <w:sz w:val="16"/>
                <w:szCs w:val="16"/>
              </w:rPr>
              <w:t>arettes (19.3% and 17.9%, respectively).</w:t>
            </w:r>
          </w:p>
        </w:tc>
        <w:tc>
          <w:tcPr>
            <w:tcW w:w="4820" w:type="dxa"/>
          </w:tcPr>
          <w:p w14:paraId="4E244F71"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lastRenderedPageBreak/>
              <w:t xml:space="preserve">Results showed a positive relation between frequency or intensity of conventional cigarette smoking and the frequency of </w:t>
            </w:r>
            <w:r>
              <w:rPr>
                <w:rFonts w:cs="Calibri"/>
                <w:sz w:val="16"/>
                <w:szCs w:val="16"/>
              </w:rPr>
              <w:t>e</w:t>
            </w:r>
            <w:r>
              <w:rPr>
                <w:rFonts w:cs="Calibri"/>
                <w:sz w:val="16"/>
                <w:szCs w:val="16"/>
              </w:rPr>
              <w:noBreakHyphen/>
              <w:t>cig</w:t>
            </w:r>
            <w:r w:rsidRPr="000F6DEF">
              <w:rPr>
                <w:rFonts w:cs="Calibri"/>
                <w:sz w:val="16"/>
                <w:szCs w:val="16"/>
              </w:rPr>
              <w:t xml:space="preserve">arette use among Korean adolescents, and frequency of </w:t>
            </w:r>
            <w:r>
              <w:rPr>
                <w:rFonts w:cs="Calibri"/>
                <w:sz w:val="16"/>
                <w:szCs w:val="16"/>
              </w:rPr>
              <w:t>e</w:t>
            </w:r>
            <w:r>
              <w:rPr>
                <w:rFonts w:cs="Calibri"/>
                <w:sz w:val="16"/>
                <w:szCs w:val="16"/>
              </w:rPr>
              <w:noBreakHyphen/>
              <w:t>cig</w:t>
            </w:r>
            <w:r w:rsidRPr="000F6DEF">
              <w:rPr>
                <w:rFonts w:cs="Calibri"/>
                <w:sz w:val="16"/>
                <w:szCs w:val="16"/>
              </w:rPr>
              <w:t xml:space="preserve">arette use differed according to the reason for the use of </w:t>
            </w:r>
            <w:r>
              <w:rPr>
                <w:rFonts w:cs="Calibri"/>
                <w:sz w:val="16"/>
                <w:szCs w:val="16"/>
              </w:rPr>
              <w:t>e</w:t>
            </w:r>
            <w:r>
              <w:rPr>
                <w:rFonts w:cs="Calibri"/>
                <w:sz w:val="16"/>
                <w:szCs w:val="16"/>
              </w:rPr>
              <w:noBreakHyphen/>
              <w:t>cig</w:t>
            </w:r>
            <w:r w:rsidRPr="000F6DEF">
              <w:rPr>
                <w:rFonts w:cs="Calibri"/>
                <w:sz w:val="16"/>
                <w:szCs w:val="16"/>
              </w:rPr>
              <w:t>arettes.</w:t>
            </w:r>
          </w:p>
        </w:tc>
      </w:tr>
      <w:tr w:rsidR="00B85C33" w:rsidRPr="000F6DEF" w14:paraId="2C67F74A" w14:textId="77777777" w:rsidTr="000376C7">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1435" w:type="dxa"/>
          </w:tcPr>
          <w:p w14:paraId="79A85574" w14:textId="77777777" w:rsidR="00B85C33" w:rsidRPr="000F6DEF" w:rsidRDefault="00B85C33" w:rsidP="000376C7">
            <w:pPr>
              <w:rPr>
                <w:rFonts w:cs="Calibri"/>
                <w:sz w:val="16"/>
                <w:szCs w:val="16"/>
              </w:rPr>
            </w:pPr>
            <w:r w:rsidRPr="000F6DEF">
              <w:rPr>
                <w:rFonts w:cs="Calibri"/>
                <w:sz w:val="16"/>
                <w:szCs w:val="16"/>
              </w:rPr>
              <w:t>Lehmann, Kuhn, Reimer</w:t>
            </w:r>
          </w:p>
        </w:tc>
        <w:tc>
          <w:tcPr>
            <w:tcW w:w="2671" w:type="dxa"/>
          </w:tcPr>
          <w:p w14:paraId="49E34D4F"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The aim of the study was to characterize </w:t>
            </w:r>
            <w:r>
              <w:rPr>
                <w:rFonts w:cs="Calibri"/>
                <w:sz w:val="16"/>
                <w:szCs w:val="16"/>
              </w:rPr>
              <w:t>e</w:t>
            </w:r>
            <w:r>
              <w:rPr>
                <w:rFonts w:cs="Calibri"/>
                <w:sz w:val="16"/>
                <w:szCs w:val="16"/>
              </w:rPr>
              <w:noBreakHyphen/>
              <w:t>cig</w:t>
            </w:r>
            <w:r w:rsidRPr="000F6DEF">
              <w:rPr>
                <w:rFonts w:cs="Calibri"/>
                <w:sz w:val="16"/>
                <w:szCs w:val="16"/>
              </w:rPr>
              <w:t xml:space="preserve">arette users in terms of their consumption patterns, motives, and the perceived health benefits they experience from using </w:t>
            </w:r>
            <w:r>
              <w:rPr>
                <w:rFonts w:cs="Calibri"/>
                <w:sz w:val="16"/>
                <w:szCs w:val="16"/>
              </w:rPr>
              <w:t>e</w:t>
            </w:r>
            <w:r>
              <w:rPr>
                <w:rFonts w:cs="Calibri"/>
                <w:sz w:val="16"/>
                <w:szCs w:val="16"/>
              </w:rPr>
              <w:noBreakHyphen/>
              <w:t>cig</w:t>
            </w:r>
            <w:r w:rsidRPr="000F6DEF">
              <w:rPr>
                <w:rFonts w:cs="Calibri"/>
                <w:sz w:val="16"/>
                <w:szCs w:val="16"/>
              </w:rPr>
              <w:t xml:space="preserve">arettes. </w:t>
            </w:r>
          </w:p>
        </w:tc>
        <w:tc>
          <w:tcPr>
            <w:tcW w:w="6095" w:type="dxa"/>
          </w:tcPr>
          <w:p w14:paraId="3019A771"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93% Daily vaping</w:t>
            </w:r>
            <w:r w:rsidRPr="000F6DEF">
              <w:rPr>
                <w:rFonts w:cs="Calibri"/>
                <w:sz w:val="16"/>
                <w:szCs w:val="16"/>
              </w:rPr>
              <w:br/>
            </w:r>
            <w:r>
              <w:rPr>
                <w:rFonts w:cs="Calibri"/>
                <w:sz w:val="16"/>
                <w:szCs w:val="16"/>
              </w:rPr>
              <w:t>E</w:t>
            </w:r>
            <w:r>
              <w:rPr>
                <w:rFonts w:cs="Calibri"/>
                <w:sz w:val="16"/>
                <w:szCs w:val="16"/>
              </w:rPr>
              <w:noBreakHyphen/>
              <w:t>cig</w:t>
            </w:r>
            <w:r w:rsidRPr="000F6DEF">
              <w:rPr>
                <w:rFonts w:cs="Calibri"/>
                <w:sz w:val="16"/>
                <w:szCs w:val="16"/>
              </w:rPr>
              <w:t>arette users who have never smoked cigarettes represent 1% of participants in our study. They are 5 years younger on average than ex</w:t>
            </w:r>
            <w:r w:rsidRPr="000F6DEF">
              <w:rPr>
                <w:rFonts w:cs="Calibri"/>
                <w:sz w:val="16"/>
                <w:szCs w:val="16"/>
              </w:rPr>
              <w:noBreakHyphen/>
              <w:t xml:space="preserve">smokers or dual users and only one person began smoking tobacco products after starting to use </w:t>
            </w:r>
            <w:r>
              <w:rPr>
                <w:rFonts w:cs="Calibri"/>
                <w:sz w:val="16"/>
                <w:szCs w:val="16"/>
              </w:rPr>
              <w:t>e</w:t>
            </w:r>
            <w:r>
              <w:rPr>
                <w:rFonts w:cs="Calibri"/>
                <w:sz w:val="16"/>
                <w:szCs w:val="16"/>
              </w:rPr>
              <w:noBreakHyphen/>
              <w:t>cig</w:t>
            </w:r>
            <w:r w:rsidRPr="000F6DEF">
              <w:rPr>
                <w:rFonts w:cs="Calibri"/>
                <w:sz w:val="16"/>
                <w:szCs w:val="16"/>
              </w:rPr>
              <w:t xml:space="preserve">arettes. </w:t>
            </w:r>
            <w:r w:rsidRPr="000F6DEF">
              <w:rPr>
                <w:rFonts w:cs="Calibri"/>
                <w:sz w:val="16"/>
                <w:szCs w:val="16"/>
              </w:rPr>
              <w:br/>
              <w:t xml:space="preserve"> The main motivation for current </w:t>
            </w:r>
            <w:r>
              <w:rPr>
                <w:rFonts w:cs="Calibri"/>
                <w:sz w:val="16"/>
                <w:szCs w:val="16"/>
              </w:rPr>
              <w:t>e</w:t>
            </w:r>
            <w:r>
              <w:rPr>
                <w:rFonts w:cs="Calibri"/>
                <w:sz w:val="16"/>
                <w:szCs w:val="16"/>
              </w:rPr>
              <w:noBreakHyphen/>
              <w:t>cig</w:t>
            </w:r>
            <w:r w:rsidRPr="000F6DEF">
              <w:rPr>
                <w:rFonts w:cs="Calibri"/>
                <w:sz w:val="16"/>
                <w:szCs w:val="16"/>
              </w:rPr>
              <w:t>arette use, especially for ex</w:t>
            </w:r>
            <w:r w:rsidRPr="000F6DEF">
              <w:rPr>
                <w:rFonts w:cs="Calibri"/>
                <w:sz w:val="16"/>
                <w:szCs w:val="16"/>
              </w:rPr>
              <w:noBreakHyphen/>
              <w:t>smokers, is the health improvement they expected.</w:t>
            </w:r>
          </w:p>
        </w:tc>
        <w:tc>
          <w:tcPr>
            <w:tcW w:w="4820" w:type="dxa"/>
          </w:tcPr>
          <w:p w14:paraId="6339686D"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Pr>
                <w:rFonts w:cs="Calibri"/>
                <w:sz w:val="16"/>
                <w:szCs w:val="16"/>
              </w:rPr>
              <w:t>E</w:t>
            </w:r>
            <w:r>
              <w:rPr>
                <w:rFonts w:cs="Calibri"/>
                <w:sz w:val="16"/>
                <w:szCs w:val="16"/>
              </w:rPr>
              <w:noBreakHyphen/>
              <w:t>cig</w:t>
            </w:r>
            <w:r w:rsidRPr="000F6DEF">
              <w:rPr>
                <w:rFonts w:cs="Calibri"/>
                <w:sz w:val="16"/>
                <w:szCs w:val="16"/>
              </w:rPr>
              <w:t>arettes were primarily used as an alternative to smoking and a substitute for nicotine. More dual users than ex</w:t>
            </w:r>
            <w:r w:rsidRPr="000F6DEF">
              <w:rPr>
                <w:rFonts w:cs="Calibri"/>
                <w:sz w:val="16"/>
                <w:szCs w:val="16"/>
              </w:rPr>
              <w:noBreakHyphen/>
              <w:t xml:space="preserve">smokers used </w:t>
            </w:r>
            <w:r>
              <w:rPr>
                <w:rFonts w:cs="Calibri"/>
                <w:sz w:val="16"/>
                <w:szCs w:val="16"/>
              </w:rPr>
              <w:t>e</w:t>
            </w:r>
            <w:r>
              <w:rPr>
                <w:rFonts w:cs="Calibri"/>
                <w:sz w:val="16"/>
                <w:szCs w:val="16"/>
              </w:rPr>
              <w:noBreakHyphen/>
              <w:t>cig</w:t>
            </w:r>
            <w:r w:rsidRPr="000F6DEF">
              <w:rPr>
                <w:rFonts w:cs="Calibri"/>
                <w:sz w:val="16"/>
                <w:szCs w:val="16"/>
              </w:rPr>
              <w:t>arettes in places where smoking is forbidden. Positive health changes were more pronounced in ex</w:t>
            </w:r>
            <w:r w:rsidRPr="000F6DEF">
              <w:rPr>
                <w:rFonts w:cs="Calibri"/>
                <w:sz w:val="16"/>
                <w:szCs w:val="16"/>
              </w:rPr>
              <w:noBreakHyphen/>
              <w:t>smokers than dual users</w:t>
            </w:r>
          </w:p>
        </w:tc>
      </w:tr>
      <w:tr w:rsidR="00B85C33" w:rsidRPr="000F6DEF" w14:paraId="60A5C1E1" w14:textId="77777777" w:rsidTr="000376C7">
        <w:trPr>
          <w:trHeight w:val="94"/>
        </w:trPr>
        <w:tc>
          <w:tcPr>
            <w:cnfStyle w:val="001000000000" w:firstRow="0" w:lastRow="0" w:firstColumn="1" w:lastColumn="0" w:oddVBand="0" w:evenVBand="0" w:oddHBand="0" w:evenHBand="0" w:firstRowFirstColumn="0" w:firstRowLastColumn="0" w:lastRowFirstColumn="0" w:lastRowLastColumn="0"/>
            <w:tcW w:w="1435" w:type="dxa"/>
          </w:tcPr>
          <w:p w14:paraId="2B86959F" w14:textId="77777777" w:rsidR="00B85C33" w:rsidRPr="000F6DEF" w:rsidRDefault="00B85C33" w:rsidP="000376C7">
            <w:pPr>
              <w:rPr>
                <w:rFonts w:cs="Calibri"/>
                <w:sz w:val="16"/>
                <w:szCs w:val="16"/>
              </w:rPr>
            </w:pPr>
            <w:r w:rsidRPr="000F6DEF">
              <w:rPr>
                <w:rFonts w:cs="Calibri"/>
                <w:sz w:val="16"/>
                <w:szCs w:val="16"/>
              </w:rPr>
              <w:t>Leung, Ho, Chen et al</w:t>
            </w:r>
          </w:p>
        </w:tc>
        <w:tc>
          <w:tcPr>
            <w:tcW w:w="2671" w:type="dxa"/>
          </w:tcPr>
          <w:p w14:paraId="6526B007"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We investigated favourable perceptions of electronic cigarettes (</w:t>
            </w:r>
            <w:r>
              <w:rPr>
                <w:rFonts w:cs="Calibri"/>
                <w:sz w:val="16"/>
                <w:szCs w:val="16"/>
              </w:rPr>
              <w:t>e</w:t>
            </w:r>
            <w:r>
              <w:rPr>
                <w:rFonts w:cs="Calibri"/>
                <w:sz w:val="16"/>
                <w:szCs w:val="16"/>
              </w:rPr>
              <w:noBreakHyphen/>
              <w:t>cig</w:t>
            </w:r>
            <w:r w:rsidRPr="000F6DEF">
              <w:rPr>
                <w:rFonts w:cs="Calibri"/>
                <w:sz w:val="16"/>
                <w:szCs w:val="16"/>
              </w:rPr>
              <w:t xml:space="preserve">arettes) relative to cigarettes and their associations with </w:t>
            </w:r>
            <w:r>
              <w:rPr>
                <w:rFonts w:cs="Calibri"/>
                <w:sz w:val="16"/>
                <w:szCs w:val="16"/>
              </w:rPr>
              <w:t>e</w:t>
            </w:r>
            <w:r>
              <w:rPr>
                <w:rFonts w:cs="Calibri"/>
                <w:sz w:val="16"/>
                <w:szCs w:val="16"/>
              </w:rPr>
              <w:noBreakHyphen/>
              <w:t>cig</w:t>
            </w:r>
            <w:r w:rsidRPr="000F6DEF">
              <w:rPr>
                <w:rFonts w:cs="Calibri"/>
                <w:sz w:val="16"/>
                <w:szCs w:val="16"/>
              </w:rPr>
              <w:t xml:space="preserve">arette use susceptibility in adolescents. </w:t>
            </w:r>
          </w:p>
        </w:tc>
        <w:tc>
          <w:tcPr>
            <w:tcW w:w="6095" w:type="dxa"/>
          </w:tcPr>
          <w:p w14:paraId="183BF063" w14:textId="2310B413"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8.9% </w:t>
            </w:r>
            <w:r>
              <w:rPr>
                <w:rFonts w:cs="Calibri"/>
                <w:sz w:val="16"/>
                <w:szCs w:val="16"/>
              </w:rPr>
              <w:t>e</w:t>
            </w:r>
            <w:r>
              <w:rPr>
                <w:rFonts w:cs="Calibri"/>
                <w:sz w:val="16"/>
                <w:szCs w:val="16"/>
              </w:rPr>
              <w:noBreakHyphen/>
              <w:t>cig</w:t>
            </w:r>
            <w:r w:rsidRPr="000F6DEF">
              <w:rPr>
                <w:rFonts w:cs="Calibri"/>
                <w:sz w:val="16"/>
                <w:szCs w:val="16"/>
              </w:rPr>
              <w:t>arette ever use</w:t>
            </w:r>
            <w:r w:rsidRPr="000F6DEF">
              <w:rPr>
                <w:rFonts w:cs="Calibri"/>
                <w:sz w:val="16"/>
                <w:szCs w:val="16"/>
              </w:rPr>
              <w:br/>
              <w:t xml:space="preserve">Many students (47.2%) had at least 1 favourable perception of </w:t>
            </w:r>
            <w:r>
              <w:rPr>
                <w:rFonts w:cs="Calibri"/>
                <w:sz w:val="16"/>
                <w:szCs w:val="16"/>
              </w:rPr>
              <w:t>e</w:t>
            </w:r>
            <w:r>
              <w:rPr>
                <w:rFonts w:cs="Calibri"/>
                <w:sz w:val="16"/>
                <w:szCs w:val="16"/>
              </w:rPr>
              <w:noBreakHyphen/>
              <w:t>cig</w:t>
            </w:r>
            <w:r w:rsidRPr="000F6DEF">
              <w:rPr>
                <w:rFonts w:cs="Calibri"/>
                <w:sz w:val="16"/>
                <w:szCs w:val="16"/>
              </w:rPr>
              <w:t>arettes relative to cigarettes, including 24.1% having 1–2, 13.6% having 3–4, and 9.5% having 5 or more favourable perceptions, while less than one</w:t>
            </w:r>
            <w:r w:rsidRPr="000F6DEF">
              <w:rPr>
                <w:rFonts w:cs="Calibri"/>
                <w:sz w:val="16"/>
                <w:szCs w:val="16"/>
              </w:rPr>
              <w:noBreakHyphen/>
              <w:t xml:space="preserve">third (28.9%) did not know </w:t>
            </w:r>
            <w:r w:rsidR="00C56834">
              <w:rPr>
                <w:rFonts w:cs="Calibri"/>
                <w:sz w:val="16"/>
                <w:szCs w:val="16"/>
              </w:rPr>
              <w:t>e</w:t>
            </w:r>
            <w:r>
              <w:rPr>
                <w:rFonts w:cs="Calibri"/>
                <w:sz w:val="16"/>
                <w:szCs w:val="16"/>
              </w:rPr>
              <w:noBreakHyphen/>
              <w:t>cig</w:t>
            </w:r>
            <w:r w:rsidR="00C56834">
              <w:rPr>
                <w:rFonts w:cs="Calibri"/>
                <w:sz w:val="16"/>
                <w:szCs w:val="16"/>
              </w:rPr>
              <w:t>arette</w:t>
            </w:r>
            <w:r w:rsidRPr="000F6DEF">
              <w:rPr>
                <w:rFonts w:cs="Calibri"/>
                <w:sz w:val="16"/>
                <w:szCs w:val="16"/>
              </w:rPr>
              <w:t>s.</w:t>
            </w:r>
            <w:r w:rsidRPr="000F6DEF">
              <w:rPr>
                <w:rFonts w:cs="Calibri"/>
                <w:sz w:val="16"/>
                <w:szCs w:val="16"/>
              </w:rPr>
              <w:br/>
            </w:r>
            <w:r w:rsidR="00C56834">
              <w:rPr>
                <w:rFonts w:cs="Calibri"/>
                <w:sz w:val="16"/>
                <w:szCs w:val="16"/>
              </w:rPr>
              <w:t>E</w:t>
            </w:r>
            <w:r>
              <w:rPr>
                <w:rFonts w:cs="Calibri"/>
                <w:sz w:val="16"/>
                <w:szCs w:val="16"/>
              </w:rPr>
              <w:noBreakHyphen/>
              <w:t>cig</w:t>
            </w:r>
            <w:r w:rsidRPr="000F6DEF">
              <w:rPr>
                <w:rFonts w:cs="Calibri"/>
                <w:sz w:val="16"/>
                <w:szCs w:val="16"/>
              </w:rPr>
              <w:t>arette use susceptibility was identified in 16.7% of all students.</w:t>
            </w:r>
            <w:r w:rsidRPr="000F6DEF">
              <w:rPr>
                <w:rFonts w:cs="Calibri"/>
                <w:sz w:val="16"/>
                <w:szCs w:val="16"/>
              </w:rPr>
              <w:br/>
            </w:r>
            <w:r w:rsidR="00C56834">
              <w:rPr>
                <w:rFonts w:cs="Calibri"/>
                <w:sz w:val="16"/>
                <w:szCs w:val="16"/>
              </w:rPr>
              <w:t>E</w:t>
            </w:r>
            <w:r>
              <w:rPr>
                <w:rFonts w:cs="Calibri"/>
                <w:sz w:val="16"/>
                <w:szCs w:val="16"/>
              </w:rPr>
              <w:noBreakHyphen/>
              <w:t>cig</w:t>
            </w:r>
            <w:r w:rsidRPr="000F6DEF">
              <w:rPr>
                <w:rFonts w:cs="Calibri"/>
                <w:sz w:val="16"/>
                <w:szCs w:val="16"/>
              </w:rPr>
              <w:t>arette use susceptibility was associated with each of the favourable perceptions, especially greater attractiveness (APR 2.84, 95% CI 2.53</w:t>
            </w:r>
            <w:r w:rsidRPr="000F6DEF">
              <w:rPr>
                <w:rFonts w:cs="Calibri"/>
                <w:sz w:val="16"/>
                <w:szCs w:val="16"/>
              </w:rPr>
              <w:noBreakHyphen/>
              <w:t>3.19), and better parental (2.75, 2.41</w:t>
            </w:r>
            <w:r w:rsidRPr="000F6DEF">
              <w:rPr>
                <w:rFonts w:cs="Calibri"/>
                <w:sz w:val="16"/>
                <w:szCs w:val="16"/>
              </w:rPr>
              <w:noBreakHyphen/>
              <w:t>3.15) and school acceptability (2.56, 2.15</w:t>
            </w:r>
            <w:r w:rsidRPr="000F6DEF">
              <w:rPr>
                <w:rFonts w:cs="Calibri"/>
                <w:sz w:val="16"/>
                <w:szCs w:val="16"/>
              </w:rPr>
              <w:noBreakHyphen/>
              <w:t>3.05)</w:t>
            </w:r>
          </w:p>
        </w:tc>
        <w:tc>
          <w:tcPr>
            <w:tcW w:w="4820" w:type="dxa"/>
          </w:tcPr>
          <w:p w14:paraId="4E81B266"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Our findings inform strategies to reduce unwarranted favourable perceptions and prevent adolescent </w:t>
            </w:r>
            <w:r>
              <w:rPr>
                <w:rFonts w:cs="Calibri"/>
                <w:sz w:val="16"/>
                <w:szCs w:val="16"/>
              </w:rPr>
              <w:t>e</w:t>
            </w:r>
            <w:r>
              <w:rPr>
                <w:rFonts w:cs="Calibri"/>
                <w:sz w:val="16"/>
                <w:szCs w:val="16"/>
              </w:rPr>
              <w:noBreakHyphen/>
              <w:t>cig</w:t>
            </w:r>
            <w:r w:rsidRPr="000F6DEF">
              <w:rPr>
                <w:rFonts w:cs="Calibri"/>
                <w:sz w:val="16"/>
                <w:szCs w:val="16"/>
              </w:rPr>
              <w:t>arette use</w:t>
            </w:r>
          </w:p>
        </w:tc>
      </w:tr>
      <w:tr w:rsidR="00B85C33" w:rsidRPr="000F6DEF" w14:paraId="6F4065C2" w14:textId="77777777" w:rsidTr="000376C7">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1435" w:type="dxa"/>
          </w:tcPr>
          <w:p w14:paraId="520BB1E0" w14:textId="77777777" w:rsidR="00B85C33" w:rsidRPr="000F6DEF" w:rsidRDefault="00B85C33" w:rsidP="000376C7">
            <w:pPr>
              <w:rPr>
                <w:rFonts w:cs="Calibri"/>
                <w:sz w:val="16"/>
                <w:szCs w:val="16"/>
              </w:rPr>
            </w:pPr>
            <w:r w:rsidRPr="000F6DEF">
              <w:rPr>
                <w:rFonts w:cs="Calibri"/>
                <w:sz w:val="16"/>
                <w:szCs w:val="16"/>
              </w:rPr>
              <w:t>Lindstrom, Rosvall</w:t>
            </w:r>
          </w:p>
        </w:tc>
        <w:tc>
          <w:tcPr>
            <w:tcW w:w="2671" w:type="dxa"/>
          </w:tcPr>
          <w:p w14:paraId="25B3AFC0"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The aim was to investigate associations between </w:t>
            </w:r>
            <w:r>
              <w:rPr>
                <w:rFonts w:cs="Calibri"/>
                <w:sz w:val="16"/>
                <w:szCs w:val="16"/>
              </w:rPr>
              <w:t>e</w:t>
            </w:r>
            <w:r>
              <w:rPr>
                <w:rFonts w:cs="Calibri"/>
                <w:sz w:val="16"/>
                <w:szCs w:val="16"/>
              </w:rPr>
              <w:noBreakHyphen/>
              <w:t>cig</w:t>
            </w:r>
            <w:r w:rsidRPr="000F6DEF">
              <w:rPr>
                <w:rFonts w:cs="Calibri"/>
                <w:sz w:val="16"/>
                <w:szCs w:val="16"/>
              </w:rPr>
              <w:t xml:space="preserve">arette use and social and psychosocial factors and cigarette smoking, alcohol consumption, and narcotics use among adolescents attending 9th grade in primary school and 2nd grade in secondary school. </w:t>
            </w:r>
          </w:p>
        </w:tc>
        <w:tc>
          <w:tcPr>
            <w:tcW w:w="6095" w:type="dxa"/>
          </w:tcPr>
          <w:p w14:paraId="796A1643"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In 9th grade, 32% of male pupils and 27% of female pupils had ever used </w:t>
            </w:r>
            <w:r>
              <w:rPr>
                <w:rFonts w:cs="Calibri"/>
                <w:sz w:val="16"/>
                <w:szCs w:val="16"/>
              </w:rPr>
              <w:t>e</w:t>
            </w:r>
            <w:r>
              <w:rPr>
                <w:rFonts w:cs="Calibri"/>
                <w:sz w:val="16"/>
                <w:szCs w:val="16"/>
              </w:rPr>
              <w:noBreakHyphen/>
              <w:t>cig</w:t>
            </w:r>
            <w:r w:rsidRPr="000F6DEF">
              <w:rPr>
                <w:rFonts w:cs="Calibri"/>
                <w:sz w:val="16"/>
                <w:szCs w:val="16"/>
              </w:rPr>
              <w:t xml:space="preserve">arettes, and in 2nd grade, 43% of males and 31% of females had ever used </w:t>
            </w:r>
            <w:r>
              <w:rPr>
                <w:rFonts w:cs="Calibri"/>
                <w:sz w:val="16"/>
                <w:szCs w:val="16"/>
              </w:rPr>
              <w:t>e</w:t>
            </w:r>
            <w:r>
              <w:rPr>
                <w:rFonts w:cs="Calibri"/>
                <w:sz w:val="16"/>
                <w:szCs w:val="16"/>
              </w:rPr>
              <w:noBreakHyphen/>
              <w:t>cig</w:t>
            </w:r>
            <w:r w:rsidRPr="000F6DEF">
              <w:rPr>
                <w:rFonts w:cs="Calibri"/>
                <w:sz w:val="16"/>
                <w:szCs w:val="16"/>
              </w:rPr>
              <w:t xml:space="preserve">arettes. </w:t>
            </w:r>
            <w:r>
              <w:rPr>
                <w:rFonts w:cs="Calibri"/>
                <w:sz w:val="16"/>
                <w:szCs w:val="16"/>
              </w:rPr>
              <w:t>E</w:t>
            </w:r>
            <w:r>
              <w:rPr>
                <w:rFonts w:cs="Calibri"/>
                <w:sz w:val="16"/>
                <w:szCs w:val="16"/>
              </w:rPr>
              <w:noBreakHyphen/>
              <w:t>cig</w:t>
            </w:r>
            <w:r w:rsidRPr="000F6DEF">
              <w:rPr>
                <w:rFonts w:cs="Calibri"/>
                <w:sz w:val="16"/>
                <w:szCs w:val="16"/>
              </w:rPr>
              <w:t>arette use was significantly associated with current smoking, snus (a moist powder tobacco product originating in Sweden) use, water pipe use, intensive alcohol consumption, and narcotics and also with psychosocial conditions related to home and parents, peers, and school</w:t>
            </w:r>
          </w:p>
        </w:tc>
        <w:tc>
          <w:tcPr>
            <w:tcW w:w="4820" w:type="dxa"/>
          </w:tcPr>
          <w:p w14:paraId="75E50D69"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The prevalence of ever </w:t>
            </w:r>
            <w:r>
              <w:rPr>
                <w:rFonts w:cs="Calibri"/>
                <w:sz w:val="16"/>
                <w:szCs w:val="16"/>
              </w:rPr>
              <w:t>e</w:t>
            </w:r>
            <w:r>
              <w:rPr>
                <w:rFonts w:cs="Calibri"/>
                <w:sz w:val="16"/>
                <w:szCs w:val="16"/>
              </w:rPr>
              <w:noBreakHyphen/>
              <w:t>cig</w:t>
            </w:r>
            <w:r w:rsidRPr="000F6DEF">
              <w:rPr>
                <w:rFonts w:cs="Calibri"/>
                <w:sz w:val="16"/>
                <w:szCs w:val="16"/>
              </w:rPr>
              <w:t xml:space="preserve">arette use was high among adolescents attending both grades. </w:t>
            </w:r>
            <w:r>
              <w:rPr>
                <w:rFonts w:cs="Calibri"/>
                <w:sz w:val="16"/>
                <w:szCs w:val="16"/>
              </w:rPr>
              <w:t>E</w:t>
            </w:r>
            <w:r>
              <w:rPr>
                <w:rFonts w:cs="Calibri"/>
                <w:sz w:val="16"/>
                <w:szCs w:val="16"/>
              </w:rPr>
              <w:noBreakHyphen/>
              <w:t>cig</w:t>
            </w:r>
            <w:r w:rsidRPr="000F6DEF">
              <w:rPr>
                <w:rFonts w:cs="Calibri"/>
                <w:sz w:val="16"/>
                <w:szCs w:val="16"/>
              </w:rPr>
              <w:t>arette use was most strongly associated with health</w:t>
            </w:r>
            <w:r w:rsidRPr="000F6DEF">
              <w:rPr>
                <w:rFonts w:cs="Calibri"/>
                <w:sz w:val="16"/>
                <w:szCs w:val="16"/>
              </w:rPr>
              <w:noBreakHyphen/>
              <w:t>related lifestyles. It was also associated with psychosocial factors such as study difficulties, school stress, problems talking with parents, and generalized trust.</w:t>
            </w:r>
          </w:p>
        </w:tc>
      </w:tr>
      <w:tr w:rsidR="00B85C33" w:rsidRPr="000F6DEF" w14:paraId="44907F2D" w14:textId="77777777" w:rsidTr="000376C7">
        <w:trPr>
          <w:trHeight w:val="94"/>
        </w:trPr>
        <w:tc>
          <w:tcPr>
            <w:cnfStyle w:val="001000000000" w:firstRow="0" w:lastRow="0" w:firstColumn="1" w:lastColumn="0" w:oddVBand="0" w:evenVBand="0" w:oddHBand="0" w:evenHBand="0" w:firstRowFirstColumn="0" w:firstRowLastColumn="0" w:lastRowFirstColumn="0" w:lastRowLastColumn="0"/>
            <w:tcW w:w="1435" w:type="dxa"/>
          </w:tcPr>
          <w:p w14:paraId="148CC3FB" w14:textId="77777777" w:rsidR="00B85C33" w:rsidRPr="000F6DEF" w:rsidRDefault="00B85C33" w:rsidP="000376C7">
            <w:pPr>
              <w:rPr>
                <w:rFonts w:cs="Calibri"/>
                <w:sz w:val="16"/>
                <w:szCs w:val="16"/>
              </w:rPr>
            </w:pPr>
            <w:r w:rsidRPr="000F6DEF">
              <w:rPr>
                <w:rFonts w:cs="Calibri"/>
                <w:sz w:val="16"/>
                <w:szCs w:val="16"/>
              </w:rPr>
              <w:t>Milicic, Leatherdale</w:t>
            </w:r>
          </w:p>
        </w:tc>
        <w:tc>
          <w:tcPr>
            <w:tcW w:w="2671" w:type="dxa"/>
          </w:tcPr>
          <w:p w14:paraId="77473B70"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This study examines the associations between </w:t>
            </w:r>
            <w:r>
              <w:rPr>
                <w:rFonts w:cs="Calibri"/>
                <w:sz w:val="16"/>
                <w:szCs w:val="16"/>
              </w:rPr>
              <w:t>e</w:t>
            </w:r>
            <w:r>
              <w:rPr>
                <w:rFonts w:cs="Calibri"/>
                <w:sz w:val="16"/>
                <w:szCs w:val="16"/>
              </w:rPr>
              <w:noBreakHyphen/>
              <w:t>cig</w:t>
            </w:r>
            <w:r w:rsidRPr="000F6DEF">
              <w:rPr>
                <w:rFonts w:cs="Calibri"/>
                <w:sz w:val="16"/>
                <w:szCs w:val="16"/>
              </w:rPr>
              <w:t>arette use and tobacco, marijuana, and alcohol use among a large sample of Canadian youth.</w:t>
            </w:r>
          </w:p>
        </w:tc>
        <w:tc>
          <w:tcPr>
            <w:tcW w:w="6095" w:type="dxa"/>
          </w:tcPr>
          <w:p w14:paraId="02C02DEE" w14:textId="79AB5949"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Overall, 9.75% of respondents were current </w:t>
            </w:r>
            <w:r>
              <w:rPr>
                <w:rFonts w:cs="Calibri"/>
                <w:sz w:val="16"/>
                <w:szCs w:val="16"/>
              </w:rPr>
              <w:t>e</w:t>
            </w:r>
            <w:r>
              <w:rPr>
                <w:rFonts w:cs="Calibri"/>
                <w:sz w:val="16"/>
                <w:szCs w:val="16"/>
              </w:rPr>
              <w:noBreakHyphen/>
              <w:t>cig</w:t>
            </w:r>
            <w:r w:rsidRPr="000F6DEF">
              <w:rPr>
                <w:rFonts w:cs="Calibri"/>
                <w:sz w:val="16"/>
                <w:szCs w:val="16"/>
              </w:rPr>
              <w:t>arette users</w:t>
            </w:r>
            <w:r w:rsidR="00C56834">
              <w:rPr>
                <w:rFonts w:cs="Calibri"/>
                <w:sz w:val="16"/>
                <w:szCs w:val="16"/>
              </w:rPr>
              <w:t>.</w:t>
            </w:r>
            <w:r w:rsidRPr="000F6DEF">
              <w:rPr>
                <w:rFonts w:cs="Calibri"/>
                <w:sz w:val="16"/>
                <w:szCs w:val="16"/>
              </w:rPr>
              <w:br/>
              <w:t xml:space="preserve">As a student’s age increases, the likelihood of using </w:t>
            </w:r>
            <w:r>
              <w:rPr>
                <w:rFonts w:cs="Calibri"/>
                <w:sz w:val="16"/>
                <w:szCs w:val="16"/>
              </w:rPr>
              <w:t>e</w:t>
            </w:r>
            <w:r>
              <w:rPr>
                <w:rFonts w:cs="Calibri"/>
                <w:sz w:val="16"/>
                <w:szCs w:val="16"/>
              </w:rPr>
              <w:noBreakHyphen/>
              <w:t>cig</w:t>
            </w:r>
            <w:r w:rsidRPr="000F6DEF">
              <w:rPr>
                <w:rFonts w:cs="Calibri"/>
                <w:sz w:val="16"/>
                <w:szCs w:val="16"/>
              </w:rPr>
              <w:t xml:space="preserve">arettes decreased relative to those aged 14 years or younger. Males are almost twice as likely as females to use </w:t>
            </w:r>
            <w:r>
              <w:rPr>
                <w:rFonts w:cs="Calibri"/>
                <w:sz w:val="16"/>
                <w:szCs w:val="16"/>
              </w:rPr>
              <w:t>e</w:t>
            </w:r>
            <w:r>
              <w:rPr>
                <w:rFonts w:cs="Calibri"/>
                <w:sz w:val="16"/>
                <w:szCs w:val="16"/>
              </w:rPr>
              <w:noBreakHyphen/>
              <w:t>cig</w:t>
            </w:r>
            <w:r w:rsidRPr="000F6DEF">
              <w:rPr>
                <w:rFonts w:cs="Calibri"/>
                <w:sz w:val="16"/>
                <w:szCs w:val="16"/>
              </w:rPr>
              <w:t xml:space="preserve">arettes. </w:t>
            </w:r>
            <w:r w:rsidRPr="000F6DEF">
              <w:rPr>
                <w:rFonts w:cs="Calibri"/>
                <w:sz w:val="16"/>
                <w:szCs w:val="16"/>
              </w:rPr>
              <w:br/>
              <w:t xml:space="preserve">Relative to white respondents, Aboriginal respondents were less likely to use </w:t>
            </w:r>
            <w:r>
              <w:rPr>
                <w:rFonts w:cs="Calibri"/>
                <w:sz w:val="16"/>
                <w:szCs w:val="16"/>
              </w:rPr>
              <w:t>e</w:t>
            </w:r>
            <w:r>
              <w:rPr>
                <w:rFonts w:cs="Calibri"/>
                <w:sz w:val="16"/>
                <w:szCs w:val="16"/>
              </w:rPr>
              <w:noBreakHyphen/>
              <w:t>cig</w:t>
            </w:r>
            <w:r w:rsidRPr="000F6DEF">
              <w:rPr>
                <w:rFonts w:cs="Calibri"/>
                <w:sz w:val="16"/>
                <w:szCs w:val="16"/>
              </w:rPr>
              <w:t xml:space="preserve">arettes. </w:t>
            </w:r>
            <w:r w:rsidRPr="000F6DEF">
              <w:rPr>
                <w:rFonts w:cs="Calibri"/>
                <w:sz w:val="16"/>
                <w:szCs w:val="16"/>
              </w:rPr>
              <w:br/>
              <w:t xml:space="preserve">Students with more spending money are more likely to use </w:t>
            </w:r>
            <w:r>
              <w:rPr>
                <w:rFonts w:cs="Calibri"/>
                <w:sz w:val="16"/>
                <w:szCs w:val="16"/>
              </w:rPr>
              <w:t>e</w:t>
            </w:r>
            <w:r>
              <w:rPr>
                <w:rFonts w:cs="Calibri"/>
                <w:sz w:val="16"/>
                <w:szCs w:val="16"/>
              </w:rPr>
              <w:noBreakHyphen/>
              <w:t>cig</w:t>
            </w:r>
            <w:r w:rsidRPr="000F6DEF">
              <w:rPr>
                <w:rFonts w:cs="Calibri"/>
                <w:sz w:val="16"/>
                <w:szCs w:val="16"/>
              </w:rPr>
              <w:t>arettes.</w:t>
            </w:r>
            <w:r w:rsidRPr="000F6DEF">
              <w:rPr>
                <w:rFonts w:cs="Calibri"/>
                <w:sz w:val="16"/>
                <w:szCs w:val="16"/>
              </w:rPr>
              <w:br/>
              <w:t xml:space="preserve">Current smokers were more likely to report using </w:t>
            </w:r>
            <w:r>
              <w:rPr>
                <w:rFonts w:cs="Calibri"/>
                <w:sz w:val="16"/>
                <w:szCs w:val="16"/>
              </w:rPr>
              <w:t>e</w:t>
            </w:r>
            <w:r>
              <w:rPr>
                <w:rFonts w:cs="Calibri"/>
                <w:sz w:val="16"/>
                <w:szCs w:val="16"/>
              </w:rPr>
              <w:noBreakHyphen/>
              <w:t>cig</w:t>
            </w:r>
            <w:r w:rsidRPr="000F6DEF">
              <w:rPr>
                <w:rFonts w:cs="Calibri"/>
                <w:sz w:val="16"/>
                <w:szCs w:val="16"/>
              </w:rPr>
              <w:t>arettes than non</w:t>
            </w:r>
            <w:r w:rsidRPr="000F6DEF">
              <w:rPr>
                <w:rFonts w:cs="Calibri"/>
                <w:sz w:val="16"/>
                <w:szCs w:val="16"/>
              </w:rPr>
              <w:noBreakHyphen/>
              <w:t>smokers.</w:t>
            </w:r>
            <w:r w:rsidRPr="000F6DEF">
              <w:rPr>
                <w:rFonts w:cs="Calibri"/>
                <w:sz w:val="16"/>
                <w:szCs w:val="16"/>
              </w:rPr>
              <w:br/>
              <w:t xml:space="preserve">Compared to students who have never used marijuana, current users and even noncurrent users are substantially more likely to report using </w:t>
            </w:r>
            <w:r>
              <w:rPr>
                <w:rFonts w:cs="Calibri"/>
                <w:sz w:val="16"/>
                <w:szCs w:val="16"/>
              </w:rPr>
              <w:t>e</w:t>
            </w:r>
            <w:r>
              <w:rPr>
                <w:rFonts w:cs="Calibri"/>
                <w:sz w:val="16"/>
                <w:szCs w:val="16"/>
              </w:rPr>
              <w:noBreakHyphen/>
              <w:t>cig</w:t>
            </w:r>
            <w:r w:rsidRPr="000F6DEF">
              <w:rPr>
                <w:rFonts w:cs="Calibri"/>
                <w:sz w:val="16"/>
                <w:szCs w:val="16"/>
              </w:rPr>
              <w:t>arettes.</w:t>
            </w:r>
            <w:r w:rsidRPr="000F6DEF">
              <w:rPr>
                <w:rFonts w:cs="Calibri"/>
                <w:sz w:val="16"/>
                <w:szCs w:val="16"/>
              </w:rPr>
              <w:br/>
              <w:t xml:space="preserve">Gender differences among males and females showed higher risk of </w:t>
            </w:r>
            <w:r>
              <w:rPr>
                <w:rFonts w:cs="Calibri"/>
                <w:sz w:val="16"/>
                <w:szCs w:val="16"/>
              </w:rPr>
              <w:t>e</w:t>
            </w:r>
            <w:r>
              <w:rPr>
                <w:rFonts w:cs="Calibri"/>
                <w:sz w:val="16"/>
                <w:szCs w:val="16"/>
              </w:rPr>
              <w:noBreakHyphen/>
              <w:t>cig</w:t>
            </w:r>
            <w:r w:rsidRPr="000F6DEF">
              <w:rPr>
                <w:rFonts w:cs="Calibri"/>
                <w:sz w:val="16"/>
                <w:szCs w:val="16"/>
              </w:rPr>
              <w:t>arette use among female current marijuana users relative to males and female current smokers compared to males. Compared to non</w:t>
            </w:r>
            <w:r w:rsidRPr="000F6DEF">
              <w:rPr>
                <w:rFonts w:cs="Calibri"/>
                <w:sz w:val="16"/>
                <w:szCs w:val="16"/>
              </w:rPr>
              <w:noBreakHyphen/>
              <w:t xml:space="preserve">binge drinkers, weekly, monthly, and occasional binge drinkers were more likely to use </w:t>
            </w:r>
            <w:r>
              <w:rPr>
                <w:rFonts w:cs="Calibri"/>
                <w:sz w:val="16"/>
                <w:szCs w:val="16"/>
              </w:rPr>
              <w:t>e</w:t>
            </w:r>
            <w:r>
              <w:rPr>
                <w:rFonts w:cs="Calibri"/>
                <w:sz w:val="16"/>
                <w:szCs w:val="16"/>
              </w:rPr>
              <w:noBreakHyphen/>
              <w:t>cig</w:t>
            </w:r>
            <w:r w:rsidRPr="000F6DEF">
              <w:rPr>
                <w:rFonts w:cs="Calibri"/>
                <w:sz w:val="16"/>
                <w:szCs w:val="16"/>
              </w:rPr>
              <w:t xml:space="preserve">arettes. Similarly, students who consume energy drinks mixed with alcohol were more likely to use </w:t>
            </w:r>
            <w:r>
              <w:rPr>
                <w:rFonts w:cs="Calibri"/>
                <w:sz w:val="16"/>
                <w:szCs w:val="16"/>
              </w:rPr>
              <w:t>e</w:t>
            </w:r>
            <w:r>
              <w:rPr>
                <w:rFonts w:cs="Calibri"/>
                <w:sz w:val="16"/>
                <w:szCs w:val="16"/>
              </w:rPr>
              <w:noBreakHyphen/>
              <w:t>cig</w:t>
            </w:r>
            <w:r w:rsidRPr="000F6DEF">
              <w:rPr>
                <w:rFonts w:cs="Calibri"/>
                <w:sz w:val="16"/>
                <w:szCs w:val="16"/>
              </w:rPr>
              <w:t>arettes compared to students who do not consume them.</w:t>
            </w:r>
          </w:p>
        </w:tc>
        <w:tc>
          <w:tcPr>
            <w:tcW w:w="4820" w:type="dxa"/>
          </w:tcPr>
          <w:p w14:paraId="21AEA8DA"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This study provides new analysis related to the use of </w:t>
            </w:r>
            <w:r>
              <w:rPr>
                <w:rFonts w:cs="Calibri"/>
                <w:sz w:val="16"/>
                <w:szCs w:val="16"/>
              </w:rPr>
              <w:t>e</w:t>
            </w:r>
            <w:r>
              <w:rPr>
                <w:rFonts w:cs="Calibri"/>
                <w:sz w:val="16"/>
                <w:szCs w:val="16"/>
              </w:rPr>
              <w:noBreakHyphen/>
              <w:t>cig</w:t>
            </w:r>
            <w:r w:rsidRPr="000F6DEF">
              <w:rPr>
                <w:rFonts w:cs="Calibri"/>
                <w:sz w:val="16"/>
                <w:szCs w:val="16"/>
              </w:rPr>
              <w:t xml:space="preserve">arettes and multiple other substances. It advances the field by providing information about the profile of </w:t>
            </w:r>
            <w:r>
              <w:rPr>
                <w:rFonts w:cs="Calibri"/>
                <w:sz w:val="16"/>
                <w:szCs w:val="16"/>
              </w:rPr>
              <w:t>e</w:t>
            </w:r>
            <w:r>
              <w:rPr>
                <w:rFonts w:cs="Calibri"/>
                <w:sz w:val="16"/>
                <w:szCs w:val="16"/>
              </w:rPr>
              <w:noBreakHyphen/>
              <w:t>cig</w:t>
            </w:r>
            <w:r w:rsidRPr="000F6DEF">
              <w:rPr>
                <w:rFonts w:cs="Calibri"/>
                <w:sz w:val="16"/>
                <w:szCs w:val="16"/>
              </w:rPr>
              <w:t>arette users and more detailed information that can be used in prevention and programming efforts.</w:t>
            </w:r>
          </w:p>
        </w:tc>
      </w:tr>
      <w:tr w:rsidR="00B85C33" w:rsidRPr="000F6DEF" w14:paraId="332178D2" w14:textId="77777777" w:rsidTr="000376C7">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1435" w:type="dxa"/>
          </w:tcPr>
          <w:p w14:paraId="766BB2DE" w14:textId="77777777" w:rsidR="00B85C33" w:rsidRPr="000F6DEF" w:rsidRDefault="00B85C33" w:rsidP="000376C7">
            <w:pPr>
              <w:rPr>
                <w:rFonts w:cs="Calibri"/>
                <w:sz w:val="16"/>
                <w:szCs w:val="16"/>
              </w:rPr>
            </w:pPr>
            <w:r w:rsidRPr="000F6DEF">
              <w:rPr>
                <w:rFonts w:cs="Calibri"/>
                <w:sz w:val="16"/>
                <w:szCs w:val="16"/>
              </w:rPr>
              <w:lastRenderedPageBreak/>
              <w:t>Montreuil, MacDonald, Asbridge et al</w:t>
            </w:r>
          </w:p>
        </w:tc>
        <w:tc>
          <w:tcPr>
            <w:tcW w:w="2671" w:type="dxa"/>
          </w:tcPr>
          <w:p w14:paraId="1CB9E078"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The aims of this study were to describe the prevalence of </w:t>
            </w:r>
            <w:r>
              <w:rPr>
                <w:rFonts w:cs="Calibri"/>
                <w:sz w:val="16"/>
                <w:szCs w:val="16"/>
              </w:rPr>
              <w:t>e</w:t>
            </w:r>
            <w:r>
              <w:rPr>
                <w:rFonts w:cs="Calibri"/>
                <w:sz w:val="16"/>
                <w:szCs w:val="16"/>
              </w:rPr>
              <w:noBreakHyphen/>
              <w:t>cig</w:t>
            </w:r>
            <w:r w:rsidRPr="000F6DEF">
              <w:rPr>
                <w:rFonts w:cs="Calibri"/>
                <w:sz w:val="16"/>
                <w:szCs w:val="16"/>
              </w:rPr>
              <w:t>arette use among youth in Canada, by province, across sociodemographic variables and smoking</w:t>
            </w:r>
            <w:r w:rsidRPr="000F6DEF">
              <w:rPr>
                <w:rFonts w:cs="Calibri"/>
                <w:sz w:val="16"/>
                <w:szCs w:val="16"/>
              </w:rPr>
              <w:noBreakHyphen/>
              <w:t xml:space="preserve">related correlates; and to examine associations among </w:t>
            </w:r>
            <w:r>
              <w:rPr>
                <w:rFonts w:cs="Calibri"/>
                <w:sz w:val="16"/>
                <w:szCs w:val="16"/>
              </w:rPr>
              <w:t>e</w:t>
            </w:r>
            <w:r>
              <w:rPr>
                <w:rFonts w:cs="Calibri"/>
                <w:sz w:val="16"/>
                <w:szCs w:val="16"/>
              </w:rPr>
              <w:noBreakHyphen/>
              <w:t>cig</w:t>
            </w:r>
            <w:r w:rsidRPr="000F6DEF">
              <w:rPr>
                <w:rFonts w:cs="Calibri"/>
                <w:sz w:val="16"/>
                <w:szCs w:val="16"/>
              </w:rPr>
              <w:t>arette use, sociodemographic variables and smoking</w:t>
            </w:r>
            <w:r w:rsidRPr="000F6DEF">
              <w:rPr>
                <w:rFonts w:cs="Calibri"/>
                <w:sz w:val="16"/>
                <w:szCs w:val="16"/>
              </w:rPr>
              <w:noBreakHyphen/>
              <w:t xml:space="preserve">related correlates, with adjustment for other factors. </w:t>
            </w:r>
          </w:p>
        </w:tc>
        <w:tc>
          <w:tcPr>
            <w:tcW w:w="6095" w:type="dxa"/>
          </w:tcPr>
          <w:p w14:paraId="21E50BC6"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17.7% (95% CI 16.4%–18.9%) of students in grades 6–12 reported ever using </w:t>
            </w:r>
            <w:r>
              <w:rPr>
                <w:rFonts w:cs="Calibri"/>
                <w:sz w:val="16"/>
                <w:szCs w:val="16"/>
              </w:rPr>
              <w:t>e</w:t>
            </w:r>
            <w:r>
              <w:rPr>
                <w:rFonts w:cs="Calibri"/>
                <w:sz w:val="16"/>
                <w:szCs w:val="16"/>
              </w:rPr>
              <w:noBreakHyphen/>
              <w:t>cig</w:t>
            </w:r>
            <w:r w:rsidRPr="000F6DEF">
              <w:rPr>
                <w:rFonts w:cs="Calibri"/>
                <w:sz w:val="16"/>
                <w:szCs w:val="16"/>
              </w:rPr>
              <w:t>arettes; 5.7% 30</w:t>
            </w:r>
            <w:r w:rsidRPr="000F6DEF">
              <w:rPr>
                <w:rFonts w:cs="Calibri"/>
                <w:sz w:val="16"/>
                <w:szCs w:val="16"/>
              </w:rPr>
              <w:noBreakHyphen/>
              <w:t>day use</w:t>
            </w:r>
            <w:r w:rsidRPr="000F6DEF">
              <w:rPr>
                <w:rFonts w:cs="Calibri"/>
                <w:sz w:val="16"/>
                <w:szCs w:val="16"/>
              </w:rPr>
              <w:br/>
              <w:t>Substantial variation was observed across provinces. Female students had decreased odds of past 30</w:t>
            </w:r>
            <w:r w:rsidRPr="000F6DEF">
              <w:rPr>
                <w:rFonts w:cs="Calibri"/>
                <w:sz w:val="16"/>
                <w:szCs w:val="16"/>
              </w:rPr>
              <w:noBreakHyphen/>
              <w:t>day use relative to male students (odds ratio [OR] 0.71, 95% CI 0.59</w:t>
            </w:r>
            <w:r w:rsidRPr="000F6DEF">
              <w:rPr>
                <w:rFonts w:cs="Calibri"/>
                <w:sz w:val="16"/>
                <w:szCs w:val="16"/>
              </w:rPr>
              <w:noBreakHyphen/>
              <w:t>0.86), whereas current smokers (OR 10.0, 95% CI 6.66</w:t>
            </w:r>
            <w:r w:rsidRPr="000F6DEF">
              <w:rPr>
                <w:rFonts w:cs="Calibri"/>
                <w:sz w:val="16"/>
                <w:szCs w:val="16"/>
              </w:rPr>
              <w:noBreakHyphen/>
              <w:t>15.02) and experimental smokers (OR 3.61, 95% CI 2.40</w:t>
            </w:r>
            <w:r w:rsidRPr="000F6DEF">
              <w:rPr>
                <w:rFonts w:cs="Calibri"/>
                <w:sz w:val="16"/>
                <w:szCs w:val="16"/>
              </w:rPr>
              <w:noBreakHyphen/>
              <w:t xml:space="preserve">5.42) had increased odds relative to never smokers. Students who perceived that access was easy also had increased odds of using </w:t>
            </w:r>
            <w:r>
              <w:rPr>
                <w:rFonts w:cs="Calibri"/>
                <w:sz w:val="16"/>
                <w:szCs w:val="16"/>
              </w:rPr>
              <w:t>e</w:t>
            </w:r>
            <w:r>
              <w:rPr>
                <w:rFonts w:cs="Calibri"/>
                <w:sz w:val="16"/>
                <w:szCs w:val="16"/>
              </w:rPr>
              <w:noBreakHyphen/>
              <w:t>cig</w:t>
            </w:r>
            <w:r w:rsidRPr="000F6DEF">
              <w:rPr>
                <w:rFonts w:cs="Calibri"/>
                <w:sz w:val="16"/>
                <w:szCs w:val="16"/>
              </w:rPr>
              <w:t>arettes relative to students who perceived that access was difficult (OR 3.86, 95% CI 2.96</w:t>
            </w:r>
            <w:r w:rsidRPr="000F6DEF">
              <w:rPr>
                <w:rFonts w:cs="Calibri"/>
                <w:sz w:val="16"/>
                <w:szCs w:val="16"/>
              </w:rPr>
              <w:noBreakHyphen/>
              <w:t>5.03). Students who believed that regular use entailed slight risk (OR 0.68, 95% CI 0.52</w:t>
            </w:r>
            <w:r w:rsidRPr="000F6DEF">
              <w:rPr>
                <w:rFonts w:cs="Calibri"/>
                <w:sz w:val="16"/>
                <w:szCs w:val="16"/>
              </w:rPr>
              <w:noBreakHyphen/>
              <w:t>0.88) and those who did not know risk levels (OR 0.31, 95% CI 0.21</w:t>
            </w:r>
            <w:r w:rsidRPr="000F6DEF">
              <w:rPr>
                <w:rFonts w:cs="Calibri"/>
                <w:sz w:val="16"/>
                <w:szCs w:val="16"/>
              </w:rPr>
              <w:noBreakHyphen/>
              <w:t>0.46) had decreased odds compared with those perceiving no risk.</w:t>
            </w:r>
          </w:p>
        </w:tc>
        <w:tc>
          <w:tcPr>
            <w:tcW w:w="4820" w:type="dxa"/>
          </w:tcPr>
          <w:p w14:paraId="6B017CE6"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Our data confirm that many youth used </w:t>
            </w:r>
            <w:r>
              <w:rPr>
                <w:rFonts w:cs="Calibri"/>
                <w:sz w:val="16"/>
                <w:szCs w:val="16"/>
              </w:rPr>
              <w:t>e</w:t>
            </w:r>
            <w:r>
              <w:rPr>
                <w:rFonts w:cs="Calibri"/>
                <w:sz w:val="16"/>
                <w:szCs w:val="16"/>
              </w:rPr>
              <w:noBreakHyphen/>
              <w:t>cig</w:t>
            </w:r>
            <w:r w:rsidRPr="000F6DEF">
              <w:rPr>
                <w:rFonts w:cs="Calibri"/>
                <w:sz w:val="16"/>
                <w:szCs w:val="16"/>
              </w:rPr>
              <w:t>arettes in the 30 days preceding the survey, although rates were substantially higher among current and experimental smokers than among students who had never tried smoking</w:t>
            </w:r>
          </w:p>
        </w:tc>
      </w:tr>
      <w:tr w:rsidR="00B85C33" w:rsidRPr="000F6DEF" w14:paraId="5C52F681" w14:textId="77777777" w:rsidTr="000376C7">
        <w:trPr>
          <w:trHeight w:val="94"/>
        </w:trPr>
        <w:tc>
          <w:tcPr>
            <w:cnfStyle w:val="001000000000" w:firstRow="0" w:lastRow="0" w:firstColumn="1" w:lastColumn="0" w:oddVBand="0" w:evenVBand="0" w:oddHBand="0" w:evenHBand="0" w:firstRowFirstColumn="0" w:firstRowLastColumn="0" w:lastRowFirstColumn="0" w:lastRowLastColumn="0"/>
            <w:tcW w:w="1435" w:type="dxa"/>
          </w:tcPr>
          <w:p w14:paraId="2624CE1B" w14:textId="77777777" w:rsidR="00B85C33" w:rsidRPr="000F6DEF" w:rsidRDefault="00B85C33" w:rsidP="000376C7">
            <w:pPr>
              <w:rPr>
                <w:rFonts w:cs="Calibri"/>
                <w:sz w:val="16"/>
                <w:szCs w:val="16"/>
              </w:rPr>
            </w:pPr>
            <w:r w:rsidRPr="000F6DEF">
              <w:rPr>
                <w:rFonts w:cs="Calibri"/>
                <w:sz w:val="16"/>
                <w:szCs w:val="16"/>
              </w:rPr>
              <w:t>Morgenstern, Nies et al 2018</w:t>
            </w:r>
          </w:p>
        </w:tc>
        <w:tc>
          <w:tcPr>
            <w:tcW w:w="2671" w:type="dxa"/>
          </w:tcPr>
          <w:p w14:paraId="6D03B607"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Explore the "gateway" hypothesis, according to which the use of </w:t>
            </w:r>
            <w:r>
              <w:rPr>
                <w:rFonts w:cs="Calibri"/>
                <w:sz w:val="16"/>
                <w:szCs w:val="16"/>
              </w:rPr>
              <w:t>e</w:t>
            </w:r>
            <w:r>
              <w:rPr>
                <w:rFonts w:cs="Calibri"/>
                <w:sz w:val="16"/>
                <w:szCs w:val="16"/>
              </w:rPr>
              <w:noBreakHyphen/>
              <w:t>cig</w:t>
            </w:r>
            <w:r w:rsidRPr="000F6DEF">
              <w:rPr>
                <w:rFonts w:cs="Calibri"/>
                <w:sz w:val="16"/>
                <w:szCs w:val="16"/>
              </w:rPr>
              <w:t>arettes can motivate adolescents to start smoking conventional cigarettes.</w:t>
            </w:r>
          </w:p>
        </w:tc>
        <w:tc>
          <w:tcPr>
            <w:tcW w:w="6095" w:type="dxa"/>
          </w:tcPr>
          <w:p w14:paraId="426B0AAD"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Analysis revealed that the association between the use of </w:t>
            </w:r>
            <w:r>
              <w:rPr>
                <w:rFonts w:cs="Calibri"/>
                <w:sz w:val="16"/>
                <w:szCs w:val="16"/>
              </w:rPr>
              <w:t>e</w:t>
            </w:r>
            <w:r>
              <w:rPr>
                <w:rFonts w:cs="Calibri"/>
                <w:sz w:val="16"/>
                <w:szCs w:val="16"/>
              </w:rPr>
              <w:noBreakHyphen/>
              <w:t>cig</w:t>
            </w:r>
            <w:r w:rsidRPr="000F6DEF">
              <w:rPr>
                <w:rFonts w:cs="Calibri"/>
                <w:sz w:val="16"/>
                <w:szCs w:val="16"/>
              </w:rPr>
              <w:t>arettes and the onset of conventional cigarette smoking was stronger among adolescents with low sensation</w:t>
            </w:r>
            <w:r w:rsidRPr="000F6DEF">
              <w:rPr>
                <w:rFonts w:cs="Calibri"/>
                <w:sz w:val="16"/>
                <w:szCs w:val="16"/>
              </w:rPr>
              <w:noBreakHyphen/>
              <w:t>seeking scores and without any experience of alcohol intoxication.</w:t>
            </w:r>
          </w:p>
        </w:tc>
        <w:tc>
          <w:tcPr>
            <w:tcW w:w="4820" w:type="dxa"/>
          </w:tcPr>
          <w:p w14:paraId="1F856A7D"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The risk of beginning experimentation with smoking conventional cigs was 2.2 times higher among </w:t>
            </w:r>
            <w:r>
              <w:rPr>
                <w:rFonts w:cs="Calibri"/>
                <w:sz w:val="16"/>
                <w:szCs w:val="16"/>
              </w:rPr>
              <w:t>e</w:t>
            </w:r>
            <w:r>
              <w:rPr>
                <w:rFonts w:cs="Calibri"/>
                <w:sz w:val="16"/>
                <w:szCs w:val="16"/>
              </w:rPr>
              <w:noBreakHyphen/>
              <w:t>cig</w:t>
            </w:r>
            <w:r w:rsidRPr="000F6DEF">
              <w:rPr>
                <w:rFonts w:cs="Calibri"/>
                <w:sz w:val="16"/>
                <w:szCs w:val="16"/>
              </w:rPr>
              <w:t xml:space="preserve">arette users. Among adolescents who have never smoked, experimentation with conventional cigarettes is more common in those who have used </w:t>
            </w:r>
            <w:r>
              <w:rPr>
                <w:rFonts w:cs="Calibri"/>
                <w:sz w:val="16"/>
                <w:szCs w:val="16"/>
              </w:rPr>
              <w:t>e</w:t>
            </w:r>
            <w:r>
              <w:rPr>
                <w:rFonts w:cs="Calibri"/>
                <w:sz w:val="16"/>
                <w:szCs w:val="16"/>
              </w:rPr>
              <w:noBreakHyphen/>
              <w:t>cig</w:t>
            </w:r>
            <w:r w:rsidRPr="000F6DEF">
              <w:rPr>
                <w:rFonts w:cs="Calibri"/>
                <w:sz w:val="16"/>
                <w:szCs w:val="16"/>
              </w:rPr>
              <w:t>arettes. This effect seems to be stronger among adolescents who, in general, have a lower risk of starting to smoke.</w:t>
            </w:r>
          </w:p>
        </w:tc>
      </w:tr>
      <w:tr w:rsidR="00B85C33" w:rsidRPr="000F6DEF" w14:paraId="524B4524" w14:textId="77777777" w:rsidTr="000376C7">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1435" w:type="dxa"/>
          </w:tcPr>
          <w:p w14:paraId="75C79C6F" w14:textId="77777777" w:rsidR="00B85C33" w:rsidRPr="000F6DEF" w:rsidRDefault="00B85C33" w:rsidP="000376C7">
            <w:pPr>
              <w:rPr>
                <w:rFonts w:cs="Calibri"/>
                <w:sz w:val="16"/>
                <w:szCs w:val="16"/>
              </w:rPr>
            </w:pPr>
            <w:r w:rsidRPr="000F6DEF">
              <w:rPr>
                <w:rFonts w:cs="Calibri"/>
                <w:sz w:val="16"/>
                <w:szCs w:val="16"/>
              </w:rPr>
              <w:t>Nahin, Bispo, Llabre, Sokolovsky</w:t>
            </w:r>
          </w:p>
        </w:tc>
        <w:tc>
          <w:tcPr>
            <w:tcW w:w="2671" w:type="dxa"/>
          </w:tcPr>
          <w:p w14:paraId="05C94BE8" w14:textId="16379783"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The purpose of this study was to evaluate dimensions of dependency within the young adult ENDS user</w:t>
            </w:r>
            <w:r w:rsidRPr="000F6DEF">
              <w:rPr>
                <w:rFonts w:cs="Calibri"/>
                <w:sz w:val="16"/>
                <w:szCs w:val="16"/>
              </w:rPr>
              <w:br/>
              <w:t>population</w:t>
            </w:r>
            <w:r w:rsidR="005500FC">
              <w:rPr>
                <w:rFonts w:cs="Calibri"/>
                <w:sz w:val="16"/>
                <w:szCs w:val="16"/>
              </w:rPr>
              <w:t>.</w:t>
            </w:r>
          </w:p>
        </w:tc>
        <w:tc>
          <w:tcPr>
            <w:tcW w:w="6095" w:type="dxa"/>
          </w:tcPr>
          <w:p w14:paraId="1671C73E"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 xml:space="preserve">Automaticity, loss of control, craving, and tolerance loaded on the first factor and represent physiological ‘drive.’ Drive can be conceptualized as the desire to satisfy the urge to use ENDS. Affective and cognitive enhancement loaded onto the second factor and represent ‘positive reinforcement.’ </w:t>
            </w:r>
          </w:p>
        </w:tc>
        <w:tc>
          <w:tcPr>
            <w:tcW w:w="4820" w:type="dxa"/>
          </w:tcPr>
          <w:p w14:paraId="25F565B3"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These data demonstrate that there may be two distinct clusters of factors driving dependence among ENDS users.</w:t>
            </w:r>
          </w:p>
        </w:tc>
      </w:tr>
      <w:tr w:rsidR="00B85C33" w:rsidRPr="000F6DEF" w14:paraId="3D22A467" w14:textId="77777777" w:rsidTr="000376C7">
        <w:trPr>
          <w:trHeight w:val="94"/>
        </w:trPr>
        <w:tc>
          <w:tcPr>
            <w:cnfStyle w:val="001000000000" w:firstRow="0" w:lastRow="0" w:firstColumn="1" w:lastColumn="0" w:oddVBand="0" w:evenVBand="0" w:oddHBand="0" w:evenHBand="0" w:firstRowFirstColumn="0" w:firstRowLastColumn="0" w:lastRowFirstColumn="0" w:lastRowLastColumn="0"/>
            <w:tcW w:w="1435" w:type="dxa"/>
          </w:tcPr>
          <w:p w14:paraId="2CA84A00" w14:textId="77777777" w:rsidR="00B85C33" w:rsidRPr="000F6DEF" w:rsidRDefault="00B85C33" w:rsidP="000376C7">
            <w:pPr>
              <w:rPr>
                <w:rFonts w:cs="Calibri"/>
                <w:sz w:val="16"/>
                <w:szCs w:val="16"/>
              </w:rPr>
            </w:pPr>
            <w:r w:rsidRPr="000F6DEF">
              <w:rPr>
                <w:rFonts w:cs="Calibri"/>
                <w:sz w:val="16"/>
                <w:szCs w:val="16"/>
              </w:rPr>
              <w:t>Park S, Lee H et al 2017</w:t>
            </w:r>
          </w:p>
        </w:tc>
        <w:tc>
          <w:tcPr>
            <w:tcW w:w="2671" w:type="dxa"/>
          </w:tcPr>
          <w:p w14:paraId="4F2BA642"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Aimed to investigate (a) rates of </w:t>
            </w:r>
            <w:r>
              <w:rPr>
                <w:rFonts w:cs="Calibri"/>
                <w:sz w:val="16"/>
                <w:szCs w:val="16"/>
              </w:rPr>
              <w:t>e</w:t>
            </w:r>
            <w:r>
              <w:rPr>
                <w:rFonts w:cs="Calibri"/>
                <w:sz w:val="16"/>
                <w:szCs w:val="16"/>
              </w:rPr>
              <w:noBreakHyphen/>
              <w:t>cig</w:t>
            </w:r>
            <w:r w:rsidRPr="000F6DEF">
              <w:rPr>
                <w:rFonts w:cs="Calibri"/>
                <w:sz w:val="16"/>
                <w:szCs w:val="16"/>
              </w:rPr>
              <w:t xml:space="preserve">arette use and (b) significant factors associated with </w:t>
            </w:r>
            <w:r>
              <w:rPr>
                <w:rFonts w:cs="Calibri"/>
                <w:sz w:val="16"/>
                <w:szCs w:val="16"/>
              </w:rPr>
              <w:t>e</w:t>
            </w:r>
            <w:r>
              <w:rPr>
                <w:rFonts w:cs="Calibri"/>
                <w:sz w:val="16"/>
                <w:szCs w:val="16"/>
              </w:rPr>
              <w:noBreakHyphen/>
              <w:t>cig</w:t>
            </w:r>
            <w:r w:rsidRPr="000F6DEF">
              <w:rPr>
                <w:rFonts w:cs="Calibri"/>
                <w:sz w:val="16"/>
                <w:szCs w:val="16"/>
              </w:rPr>
              <w:t>arette use among current cigarette users in adolescence.</w:t>
            </w:r>
          </w:p>
        </w:tc>
        <w:tc>
          <w:tcPr>
            <w:tcW w:w="6095" w:type="dxa"/>
          </w:tcPr>
          <w:p w14:paraId="58961E06" w14:textId="5963466E"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Of current cigarette users, 20% smoked </w:t>
            </w:r>
            <w:r>
              <w:rPr>
                <w:rFonts w:cs="Calibri"/>
                <w:sz w:val="16"/>
                <w:szCs w:val="16"/>
              </w:rPr>
              <w:t>e</w:t>
            </w:r>
            <w:r>
              <w:rPr>
                <w:rFonts w:cs="Calibri"/>
                <w:sz w:val="16"/>
                <w:szCs w:val="16"/>
              </w:rPr>
              <w:noBreakHyphen/>
              <w:t>cig</w:t>
            </w:r>
            <w:r w:rsidRPr="000F6DEF">
              <w:rPr>
                <w:rFonts w:cs="Calibri"/>
                <w:sz w:val="16"/>
                <w:szCs w:val="16"/>
              </w:rPr>
              <w:t>arettes in their lifetime but not within the past 30</w:t>
            </w:r>
            <w:r w:rsidR="00C56834">
              <w:rPr>
                <w:rFonts w:cs="Calibri"/>
                <w:sz w:val="16"/>
                <w:szCs w:val="16"/>
              </w:rPr>
              <w:t xml:space="preserve"> </w:t>
            </w:r>
            <w:r w:rsidRPr="000F6DEF">
              <w:rPr>
                <w:rFonts w:cs="Calibri"/>
                <w:sz w:val="16"/>
                <w:szCs w:val="16"/>
              </w:rPr>
              <w:t xml:space="preserve">days (former users), and 42% smoked </w:t>
            </w:r>
            <w:r>
              <w:rPr>
                <w:rFonts w:cs="Calibri"/>
                <w:sz w:val="16"/>
                <w:szCs w:val="16"/>
              </w:rPr>
              <w:t>e</w:t>
            </w:r>
            <w:r>
              <w:rPr>
                <w:rFonts w:cs="Calibri"/>
                <w:sz w:val="16"/>
                <w:szCs w:val="16"/>
              </w:rPr>
              <w:noBreakHyphen/>
              <w:t>cig</w:t>
            </w:r>
            <w:r w:rsidRPr="000F6DEF">
              <w:rPr>
                <w:rFonts w:cs="Calibri"/>
                <w:sz w:val="16"/>
                <w:szCs w:val="16"/>
              </w:rPr>
              <w:t>arettes in their lifetime and within the past 30</w:t>
            </w:r>
            <w:r w:rsidR="00C56834">
              <w:rPr>
                <w:rFonts w:cs="Calibri"/>
                <w:sz w:val="16"/>
                <w:szCs w:val="16"/>
              </w:rPr>
              <w:t xml:space="preserve"> </w:t>
            </w:r>
            <w:r w:rsidRPr="000F6DEF">
              <w:rPr>
                <w:rFonts w:cs="Calibri"/>
                <w:sz w:val="16"/>
                <w:szCs w:val="16"/>
              </w:rPr>
              <w:t xml:space="preserve">days (current users). Both former and current </w:t>
            </w:r>
            <w:r>
              <w:rPr>
                <w:rFonts w:cs="Calibri"/>
                <w:sz w:val="16"/>
                <w:szCs w:val="16"/>
              </w:rPr>
              <w:t>e</w:t>
            </w:r>
            <w:r>
              <w:rPr>
                <w:rFonts w:cs="Calibri"/>
                <w:sz w:val="16"/>
                <w:szCs w:val="16"/>
              </w:rPr>
              <w:noBreakHyphen/>
              <w:t>cig</w:t>
            </w:r>
            <w:r w:rsidRPr="000F6DEF">
              <w:rPr>
                <w:rFonts w:cs="Calibri"/>
                <w:sz w:val="16"/>
                <w:szCs w:val="16"/>
              </w:rPr>
              <w:t xml:space="preserve">arette use were significantly associated with male gender, higher grades, higher weekly allowance, residence in urban areas, friends' smoking, daily smoking, a higher number of cigarettes smoked, and quit attempts. In addition, current </w:t>
            </w:r>
            <w:r>
              <w:rPr>
                <w:rFonts w:cs="Calibri"/>
                <w:sz w:val="16"/>
                <w:szCs w:val="16"/>
              </w:rPr>
              <w:t>e</w:t>
            </w:r>
            <w:r>
              <w:rPr>
                <w:rFonts w:cs="Calibri"/>
                <w:sz w:val="16"/>
                <w:szCs w:val="16"/>
              </w:rPr>
              <w:noBreakHyphen/>
              <w:t>cig</w:t>
            </w:r>
            <w:r w:rsidRPr="000F6DEF">
              <w:rPr>
                <w:rFonts w:cs="Calibri"/>
                <w:sz w:val="16"/>
                <w:szCs w:val="16"/>
              </w:rPr>
              <w:t>arette use was significantly associated with at</w:t>
            </w:r>
            <w:r w:rsidRPr="000F6DEF">
              <w:rPr>
                <w:rFonts w:cs="Calibri"/>
                <w:sz w:val="16"/>
                <w:szCs w:val="16"/>
              </w:rPr>
              <w:noBreakHyphen/>
              <w:t>risk drinking, lifetime drug use, and lifetime sexual intercourse</w:t>
            </w:r>
          </w:p>
        </w:tc>
        <w:tc>
          <w:tcPr>
            <w:tcW w:w="4820" w:type="dxa"/>
          </w:tcPr>
          <w:p w14:paraId="120AA32D"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Pr>
                <w:rFonts w:cs="Calibri"/>
                <w:sz w:val="16"/>
                <w:szCs w:val="16"/>
              </w:rPr>
              <w:t>E</w:t>
            </w:r>
            <w:r>
              <w:rPr>
                <w:rFonts w:cs="Calibri"/>
                <w:sz w:val="16"/>
                <w:szCs w:val="16"/>
              </w:rPr>
              <w:noBreakHyphen/>
              <w:t>cig</w:t>
            </w:r>
            <w:r w:rsidRPr="000F6DEF">
              <w:rPr>
                <w:rFonts w:cs="Calibri"/>
                <w:sz w:val="16"/>
                <w:szCs w:val="16"/>
              </w:rPr>
              <w:t xml:space="preserve">arette use should be included in intervention strategies for smoking prevention and cessation. Strict regulations should be implemented in order to prohibit easy access to </w:t>
            </w:r>
            <w:r>
              <w:rPr>
                <w:rFonts w:cs="Calibri"/>
                <w:sz w:val="16"/>
                <w:szCs w:val="16"/>
              </w:rPr>
              <w:t>e</w:t>
            </w:r>
            <w:r>
              <w:rPr>
                <w:rFonts w:cs="Calibri"/>
                <w:sz w:val="16"/>
                <w:szCs w:val="16"/>
              </w:rPr>
              <w:noBreakHyphen/>
              <w:t>cig</w:t>
            </w:r>
            <w:r w:rsidRPr="000F6DEF">
              <w:rPr>
                <w:rFonts w:cs="Calibri"/>
                <w:sz w:val="16"/>
                <w:szCs w:val="16"/>
              </w:rPr>
              <w:t xml:space="preserve">arettes and forbid advertising of </w:t>
            </w:r>
            <w:r>
              <w:rPr>
                <w:rFonts w:cs="Calibri"/>
                <w:sz w:val="16"/>
                <w:szCs w:val="16"/>
              </w:rPr>
              <w:t>e</w:t>
            </w:r>
            <w:r>
              <w:rPr>
                <w:rFonts w:cs="Calibri"/>
                <w:sz w:val="16"/>
                <w:szCs w:val="16"/>
              </w:rPr>
              <w:noBreakHyphen/>
              <w:t>cig</w:t>
            </w:r>
            <w:r w:rsidRPr="000F6DEF">
              <w:rPr>
                <w:rFonts w:cs="Calibri"/>
                <w:sz w:val="16"/>
                <w:szCs w:val="16"/>
              </w:rPr>
              <w:t>arettes as well.</w:t>
            </w:r>
          </w:p>
        </w:tc>
      </w:tr>
      <w:tr w:rsidR="00B85C33" w:rsidRPr="000F6DEF" w14:paraId="69D29CA5" w14:textId="77777777" w:rsidTr="000376C7">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1435" w:type="dxa"/>
          </w:tcPr>
          <w:p w14:paraId="7509DFF4" w14:textId="77777777" w:rsidR="00B85C33" w:rsidRPr="000F6DEF" w:rsidRDefault="00B85C33" w:rsidP="000376C7">
            <w:pPr>
              <w:rPr>
                <w:rFonts w:cs="Calibri"/>
                <w:sz w:val="16"/>
                <w:szCs w:val="16"/>
              </w:rPr>
            </w:pPr>
            <w:r w:rsidRPr="000F6DEF">
              <w:rPr>
                <w:rFonts w:cs="Calibri"/>
                <w:sz w:val="16"/>
                <w:szCs w:val="16"/>
              </w:rPr>
              <w:t>Robertson L, Hoek J et al 2018</w:t>
            </w:r>
          </w:p>
        </w:tc>
        <w:tc>
          <w:tcPr>
            <w:tcW w:w="2671" w:type="dxa"/>
          </w:tcPr>
          <w:p w14:paraId="16E179FF" w14:textId="7347935C" w:rsidR="00B85C33" w:rsidRPr="000F6DEF" w:rsidRDefault="00B85C33" w:rsidP="000A2C8E">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To explore the dual use of electronic nicotine delivery systems (ENDS) and smoked tobacco</w:t>
            </w:r>
            <w:r w:rsidR="005500FC">
              <w:rPr>
                <w:rFonts w:cs="Calibri"/>
                <w:sz w:val="16"/>
                <w:szCs w:val="16"/>
              </w:rPr>
              <w:t>.</w:t>
            </w:r>
          </w:p>
        </w:tc>
        <w:tc>
          <w:tcPr>
            <w:tcW w:w="6095" w:type="dxa"/>
          </w:tcPr>
          <w:p w14:paraId="6311E3E8"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Dual use practices among participants evolved in four ways. First, as an attempt to manage the ’inauthenticity’ of vaping relative to smoking and to retain meaningful rituals. Second, as complex rationalisations that framed decreased tobacco use, rather than smoking cessation, as ’success’. Third, as a means of alleviating the financial burden smoking imposed and to circumvent smoke</w:t>
            </w:r>
            <w:r w:rsidRPr="000F6DEF">
              <w:rPr>
                <w:rFonts w:cs="Calibri"/>
                <w:sz w:val="16"/>
                <w:szCs w:val="16"/>
              </w:rPr>
              <w:noBreakHyphen/>
              <w:t xml:space="preserve">free policies. Lastly, dual use reflected attempts to comply with social group norms and manage stigma. </w:t>
            </w:r>
          </w:p>
        </w:tc>
        <w:tc>
          <w:tcPr>
            <w:tcW w:w="4820" w:type="dxa"/>
          </w:tcPr>
          <w:p w14:paraId="406124EE"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Dual use reflects both social and physical cues. It assisted participants to navigate smoking restrictions and allowed them to manage divergent norms. Policies that discourage smoking, particularly excise tax increases on smoked tobacco and smoke</w:t>
            </w:r>
            <w:r w:rsidRPr="000F6DEF">
              <w:rPr>
                <w:rFonts w:cs="Calibri"/>
                <w:sz w:val="16"/>
                <w:szCs w:val="16"/>
              </w:rPr>
              <w:noBreakHyphen/>
              <w:t>free space restrictions, appear important in prompting ENDS use.</w:t>
            </w:r>
          </w:p>
        </w:tc>
      </w:tr>
      <w:tr w:rsidR="00B85C33" w:rsidRPr="000F6DEF" w14:paraId="75ACA8DC" w14:textId="77777777" w:rsidTr="000376C7">
        <w:trPr>
          <w:trHeight w:val="94"/>
        </w:trPr>
        <w:tc>
          <w:tcPr>
            <w:cnfStyle w:val="001000000000" w:firstRow="0" w:lastRow="0" w:firstColumn="1" w:lastColumn="0" w:oddVBand="0" w:evenVBand="0" w:oddHBand="0" w:evenHBand="0" w:firstRowFirstColumn="0" w:firstRowLastColumn="0" w:lastRowFirstColumn="0" w:lastRowLastColumn="0"/>
            <w:tcW w:w="1435" w:type="dxa"/>
          </w:tcPr>
          <w:p w14:paraId="4FD04C25" w14:textId="1BED1414" w:rsidR="00B85C33" w:rsidRPr="000F6DEF" w:rsidRDefault="00B85C33" w:rsidP="000376C7">
            <w:pPr>
              <w:rPr>
                <w:rFonts w:cs="Calibri"/>
                <w:sz w:val="16"/>
                <w:szCs w:val="16"/>
              </w:rPr>
            </w:pPr>
            <w:r w:rsidRPr="000F6DEF">
              <w:rPr>
                <w:rFonts w:cs="Calibri"/>
                <w:sz w:val="16"/>
                <w:szCs w:val="16"/>
              </w:rPr>
              <w:t>Ruokolainen O, Ollila H</w:t>
            </w:r>
            <w:r w:rsidR="008146F9">
              <w:rPr>
                <w:rFonts w:cs="Calibri"/>
                <w:sz w:val="16"/>
                <w:szCs w:val="16"/>
              </w:rPr>
              <w:t xml:space="preserve"> </w:t>
            </w:r>
            <w:r w:rsidRPr="000F6DEF">
              <w:rPr>
                <w:rFonts w:cs="Calibri"/>
                <w:sz w:val="16"/>
                <w:szCs w:val="16"/>
              </w:rPr>
              <w:t>et al 2017</w:t>
            </w:r>
          </w:p>
        </w:tc>
        <w:tc>
          <w:tcPr>
            <w:tcW w:w="2671" w:type="dxa"/>
          </w:tcPr>
          <w:p w14:paraId="0505F7FE" w14:textId="496DC10E"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Explore the prevalence of </w:t>
            </w:r>
            <w:r>
              <w:rPr>
                <w:rFonts w:cs="Calibri"/>
                <w:sz w:val="16"/>
                <w:szCs w:val="16"/>
              </w:rPr>
              <w:t>e</w:t>
            </w:r>
            <w:r>
              <w:rPr>
                <w:rFonts w:cs="Calibri"/>
                <w:sz w:val="16"/>
                <w:szCs w:val="16"/>
              </w:rPr>
              <w:noBreakHyphen/>
              <w:t>cig</w:t>
            </w:r>
            <w:r w:rsidRPr="000F6DEF">
              <w:rPr>
                <w:rFonts w:cs="Calibri"/>
                <w:sz w:val="16"/>
                <w:szCs w:val="16"/>
              </w:rPr>
              <w:t xml:space="preserve">arette use among the Finnish adult population and to examine correlates of ever use and current use of </w:t>
            </w:r>
            <w:r>
              <w:rPr>
                <w:rFonts w:cs="Calibri"/>
                <w:sz w:val="16"/>
                <w:szCs w:val="16"/>
              </w:rPr>
              <w:t>e</w:t>
            </w:r>
            <w:r>
              <w:rPr>
                <w:rFonts w:cs="Calibri"/>
                <w:sz w:val="16"/>
                <w:szCs w:val="16"/>
              </w:rPr>
              <w:noBreakHyphen/>
              <w:t>cig</w:t>
            </w:r>
            <w:r w:rsidRPr="000F6DEF">
              <w:rPr>
                <w:rFonts w:cs="Calibri"/>
                <w:sz w:val="16"/>
                <w:szCs w:val="16"/>
              </w:rPr>
              <w:t>arettes prior to some changes in the Finnish regulatory scheme</w:t>
            </w:r>
            <w:r w:rsidR="005500FC">
              <w:rPr>
                <w:rFonts w:cs="Calibri"/>
                <w:sz w:val="16"/>
                <w:szCs w:val="16"/>
              </w:rPr>
              <w:t>.</w:t>
            </w:r>
          </w:p>
        </w:tc>
        <w:tc>
          <w:tcPr>
            <w:tcW w:w="6095" w:type="dxa"/>
          </w:tcPr>
          <w:p w14:paraId="510788DD"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2% were current and 12% were ever users of </w:t>
            </w:r>
            <w:r>
              <w:rPr>
                <w:rFonts w:cs="Calibri"/>
                <w:sz w:val="16"/>
                <w:szCs w:val="16"/>
              </w:rPr>
              <w:t>e</w:t>
            </w:r>
            <w:r>
              <w:rPr>
                <w:rFonts w:cs="Calibri"/>
                <w:sz w:val="16"/>
                <w:szCs w:val="16"/>
              </w:rPr>
              <w:noBreakHyphen/>
              <w:t>cig</w:t>
            </w:r>
            <w:r w:rsidRPr="000F6DEF">
              <w:rPr>
                <w:rFonts w:cs="Calibri"/>
                <w:sz w:val="16"/>
                <w:szCs w:val="16"/>
              </w:rPr>
              <w:t xml:space="preserve">arettes. Younger age and current or previous tobacco use increased the odds for both current and ever use of </w:t>
            </w:r>
            <w:r>
              <w:rPr>
                <w:rFonts w:cs="Calibri"/>
                <w:sz w:val="16"/>
                <w:szCs w:val="16"/>
              </w:rPr>
              <w:t>e</w:t>
            </w:r>
            <w:r>
              <w:rPr>
                <w:rFonts w:cs="Calibri"/>
                <w:sz w:val="16"/>
                <w:szCs w:val="16"/>
              </w:rPr>
              <w:noBreakHyphen/>
              <w:t>cig</w:t>
            </w:r>
            <w:r w:rsidRPr="000F6DEF">
              <w:rPr>
                <w:rFonts w:cs="Calibri"/>
                <w:sz w:val="16"/>
                <w:szCs w:val="16"/>
              </w:rPr>
              <w:t xml:space="preserve">arettes when compared with never users. Unemployment and lower education were associated with current </w:t>
            </w:r>
            <w:r>
              <w:rPr>
                <w:rFonts w:cs="Calibri"/>
                <w:sz w:val="16"/>
                <w:szCs w:val="16"/>
              </w:rPr>
              <w:t>e</w:t>
            </w:r>
            <w:r>
              <w:rPr>
                <w:rFonts w:cs="Calibri"/>
                <w:sz w:val="16"/>
                <w:szCs w:val="16"/>
              </w:rPr>
              <w:noBreakHyphen/>
              <w:t>cig</w:t>
            </w:r>
            <w:r w:rsidRPr="000F6DEF">
              <w:rPr>
                <w:rFonts w:cs="Calibri"/>
                <w:sz w:val="16"/>
                <w:szCs w:val="16"/>
              </w:rPr>
              <w:t xml:space="preserve">arette use and being a student was associated with ever use of </w:t>
            </w:r>
            <w:r>
              <w:rPr>
                <w:rFonts w:cs="Calibri"/>
                <w:sz w:val="16"/>
                <w:szCs w:val="16"/>
              </w:rPr>
              <w:t>e</w:t>
            </w:r>
            <w:r>
              <w:rPr>
                <w:rFonts w:cs="Calibri"/>
                <w:sz w:val="16"/>
                <w:szCs w:val="16"/>
              </w:rPr>
              <w:noBreakHyphen/>
              <w:t>cig</w:t>
            </w:r>
            <w:r w:rsidRPr="000F6DEF">
              <w:rPr>
                <w:rFonts w:cs="Calibri"/>
                <w:sz w:val="16"/>
                <w:szCs w:val="16"/>
              </w:rPr>
              <w:t>arettes</w:t>
            </w:r>
          </w:p>
        </w:tc>
        <w:tc>
          <w:tcPr>
            <w:tcW w:w="4820" w:type="dxa"/>
          </w:tcPr>
          <w:p w14:paraId="291A6BF7"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The current use of </w:t>
            </w:r>
            <w:r>
              <w:rPr>
                <w:rFonts w:cs="Calibri"/>
                <w:sz w:val="16"/>
                <w:szCs w:val="16"/>
              </w:rPr>
              <w:t>e</w:t>
            </w:r>
            <w:r>
              <w:rPr>
                <w:rFonts w:cs="Calibri"/>
                <w:sz w:val="16"/>
                <w:szCs w:val="16"/>
              </w:rPr>
              <w:noBreakHyphen/>
              <w:t>cig</w:t>
            </w:r>
            <w:r w:rsidRPr="000F6DEF">
              <w:rPr>
                <w:rFonts w:cs="Calibri"/>
                <w:sz w:val="16"/>
                <w:szCs w:val="16"/>
              </w:rPr>
              <w:t xml:space="preserve">arettes in the adult population is low in Finland, having at least tried is more common. Both types of </w:t>
            </w:r>
            <w:r>
              <w:rPr>
                <w:rFonts w:cs="Calibri"/>
                <w:sz w:val="16"/>
                <w:szCs w:val="16"/>
              </w:rPr>
              <w:t>e</w:t>
            </w:r>
            <w:r>
              <w:rPr>
                <w:rFonts w:cs="Calibri"/>
                <w:sz w:val="16"/>
                <w:szCs w:val="16"/>
              </w:rPr>
              <w:noBreakHyphen/>
              <w:t>cig</w:t>
            </w:r>
            <w:r w:rsidRPr="000F6DEF">
              <w:rPr>
                <w:rFonts w:cs="Calibri"/>
                <w:sz w:val="16"/>
                <w:szCs w:val="16"/>
              </w:rPr>
              <w:t xml:space="preserve">arette use are concentrated to groups considered to be more vulnerable, such as younger people and those with a lower socioeconomic position. Further monitoring of </w:t>
            </w:r>
            <w:r>
              <w:rPr>
                <w:rFonts w:cs="Calibri"/>
                <w:sz w:val="16"/>
                <w:szCs w:val="16"/>
              </w:rPr>
              <w:t>e</w:t>
            </w:r>
            <w:r>
              <w:rPr>
                <w:rFonts w:cs="Calibri"/>
                <w:sz w:val="16"/>
                <w:szCs w:val="16"/>
              </w:rPr>
              <w:noBreakHyphen/>
              <w:t>cig</w:t>
            </w:r>
            <w:r w:rsidRPr="000F6DEF">
              <w:rPr>
                <w:rFonts w:cs="Calibri"/>
                <w:sz w:val="16"/>
                <w:szCs w:val="16"/>
              </w:rPr>
              <w:t>arette use is needed in view of Finland’s aim to become nicotine and tobacco free by 2030.</w:t>
            </w:r>
          </w:p>
        </w:tc>
      </w:tr>
      <w:tr w:rsidR="00B85C33" w:rsidRPr="000F6DEF" w14:paraId="7681D4F1" w14:textId="77777777" w:rsidTr="000376C7">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1435" w:type="dxa"/>
          </w:tcPr>
          <w:p w14:paraId="7BD700B8" w14:textId="77777777" w:rsidR="00B85C33" w:rsidRPr="000F6DEF" w:rsidRDefault="00B85C33" w:rsidP="000376C7">
            <w:pPr>
              <w:rPr>
                <w:rFonts w:cs="Calibri"/>
                <w:sz w:val="16"/>
                <w:szCs w:val="16"/>
              </w:rPr>
            </w:pPr>
            <w:r w:rsidRPr="000F6DEF">
              <w:rPr>
                <w:rFonts w:cs="Calibri"/>
                <w:sz w:val="16"/>
                <w:szCs w:val="16"/>
              </w:rPr>
              <w:lastRenderedPageBreak/>
              <w:t>Shaddock E 2017 ABSTRACT ONLY</w:t>
            </w:r>
          </w:p>
        </w:tc>
        <w:tc>
          <w:tcPr>
            <w:tcW w:w="2671" w:type="dxa"/>
          </w:tcPr>
          <w:p w14:paraId="02439C57" w14:textId="7F9D78FC"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To explore electronic Cigarette And Tobacco Product Use in school going adolescents</w:t>
            </w:r>
            <w:r w:rsidR="005500FC">
              <w:rPr>
                <w:rFonts w:cs="Calibri"/>
                <w:sz w:val="16"/>
                <w:szCs w:val="16"/>
              </w:rPr>
              <w:t>.</w:t>
            </w:r>
          </w:p>
        </w:tc>
        <w:tc>
          <w:tcPr>
            <w:tcW w:w="6095" w:type="dxa"/>
          </w:tcPr>
          <w:p w14:paraId="76D17511"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11% of total admitted to smoking cigarettes. The median age at which students started smoking was 15 years (range 12</w:t>
            </w:r>
            <w:r w:rsidRPr="000F6DEF">
              <w:rPr>
                <w:rFonts w:cs="Calibri"/>
                <w:sz w:val="16"/>
                <w:szCs w:val="16"/>
              </w:rPr>
              <w:noBreakHyphen/>
              <w:t xml:space="preserve">17 years). 23% had tried </w:t>
            </w:r>
            <w:r>
              <w:rPr>
                <w:rFonts w:cs="Calibri"/>
                <w:sz w:val="16"/>
                <w:szCs w:val="16"/>
              </w:rPr>
              <w:t>e</w:t>
            </w:r>
            <w:r>
              <w:rPr>
                <w:rFonts w:cs="Calibri"/>
                <w:sz w:val="16"/>
                <w:szCs w:val="16"/>
              </w:rPr>
              <w:noBreakHyphen/>
              <w:t>cig</w:t>
            </w:r>
            <w:r w:rsidRPr="000F6DEF">
              <w:rPr>
                <w:rFonts w:cs="Calibri"/>
                <w:sz w:val="16"/>
                <w:szCs w:val="16"/>
              </w:rPr>
              <w:t xml:space="preserve">arettes, 9% of whom currently used. 25% of students of the lower income school had tried </w:t>
            </w:r>
            <w:r>
              <w:rPr>
                <w:rFonts w:cs="Calibri"/>
                <w:sz w:val="16"/>
                <w:szCs w:val="16"/>
              </w:rPr>
              <w:t>e</w:t>
            </w:r>
            <w:r>
              <w:rPr>
                <w:rFonts w:cs="Calibri"/>
                <w:sz w:val="16"/>
                <w:szCs w:val="16"/>
              </w:rPr>
              <w:noBreakHyphen/>
              <w:t>cig</w:t>
            </w:r>
            <w:r w:rsidRPr="000F6DEF">
              <w:rPr>
                <w:rFonts w:cs="Calibri"/>
                <w:sz w:val="16"/>
                <w:szCs w:val="16"/>
              </w:rPr>
              <w:t>arettes compared to 20% of the higher income school (p=0.43). 25% of the grade 9 (14</w:t>
            </w:r>
            <w:r w:rsidRPr="000F6DEF">
              <w:rPr>
                <w:rFonts w:cs="Calibri"/>
                <w:sz w:val="16"/>
                <w:szCs w:val="16"/>
              </w:rPr>
              <w:noBreakHyphen/>
              <w:t xml:space="preserve">16 year olds) had tried </w:t>
            </w:r>
            <w:r>
              <w:rPr>
                <w:rFonts w:cs="Calibri"/>
                <w:sz w:val="16"/>
                <w:szCs w:val="16"/>
              </w:rPr>
              <w:t>e</w:t>
            </w:r>
            <w:r>
              <w:rPr>
                <w:rFonts w:cs="Calibri"/>
                <w:sz w:val="16"/>
                <w:szCs w:val="16"/>
              </w:rPr>
              <w:noBreakHyphen/>
              <w:t>cig</w:t>
            </w:r>
            <w:r w:rsidRPr="000F6DEF">
              <w:rPr>
                <w:rFonts w:cs="Calibri"/>
                <w:sz w:val="16"/>
                <w:szCs w:val="16"/>
              </w:rPr>
              <w:t>arettes compared to 20% of grade 11 (16</w:t>
            </w:r>
            <w:r w:rsidRPr="000F6DEF">
              <w:rPr>
                <w:rFonts w:cs="Calibri"/>
                <w:sz w:val="16"/>
                <w:szCs w:val="16"/>
              </w:rPr>
              <w:noBreakHyphen/>
              <w:t>18 year olds) (p=0.87). 38% of students had tried hookah, 50% from the lower income school versus 17% from the higher income (p=0.0001).</w:t>
            </w:r>
          </w:p>
        </w:tc>
        <w:tc>
          <w:tcPr>
            <w:tcW w:w="4820" w:type="dxa"/>
          </w:tcPr>
          <w:p w14:paraId="5C85079C"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Experimentation with tobacco products is common in secondary school goers, especially in those from the lower income school. Electronic cigarette use is as common as conventional tobacco use.</w:t>
            </w:r>
          </w:p>
        </w:tc>
      </w:tr>
      <w:tr w:rsidR="00B85C33" w:rsidRPr="000F6DEF" w14:paraId="132643E7" w14:textId="77777777" w:rsidTr="000376C7">
        <w:trPr>
          <w:trHeight w:val="94"/>
        </w:trPr>
        <w:tc>
          <w:tcPr>
            <w:cnfStyle w:val="001000000000" w:firstRow="0" w:lastRow="0" w:firstColumn="1" w:lastColumn="0" w:oddVBand="0" w:evenVBand="0" w:oddHBand="0" w:evenHBand="0" w:firstRowFirstColumn="0" w:firstRowLastColumn="0" w:lastRowFirstColumn="0" w:lastRowLastColumn="0"/>
            <w:tcW w:w="1435" w:type="dxa"/>
          </w:tcPr>
          <w:p w14:paraId="6DD3299E" w14:textId="77777777" w:rsidR="00B85C33" w:rsidRPr="000F6DEF" w:rsidRDefault="00B85C33" w:rsidP="000376C7">
            <w:pPr>
              <w:rPr>
                <w:rFonts w:cs="Calibri"/>
                <w:sz w:val="16"/>
                <w:szCs w:val="16"/>
              </w:rPr>
            </w:pPr>
            <w:r w:rsidRPr="000F6DEF">
              <w:rPr>
                <w:rFonts w:cs="Calibri"/>
                <w:sz w:val="16"/>
                <w:szCs w:val="16"/>
              </w:rPr>
              <w:t>Truman P, Glover M et al 2018</w:t>
            </w:r>
          </w:p>
        </w:tc>
        <w:tc>
          <w:tcPr>
            <w:tcW w:w="2671" w:type="dxa"/>
          </w:tcPr>
          <w:p w14:paraId="58F08D34" w14:textId="636D3378"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To understand practices of vaping and reasons for use</w:t>
            </w:r>
            <w:r w:rsidR="005500FC">
              <w:rPr>
                <w:rFonts w:cs="Calibri"/>
                <w:sz w:val="16"/>
                <w:szCs w:val="16"/>
              </w:rPr>
              <w:t>.</w:t>
            </w:r>
          </w:p>
        </w:tc>
        <w:tc>
          <w:tcPr>
            <w:tcW w:w="6095" w:type="dxa"/>
          </w:tcPr>
          <w:p w14:paraId="1F65F901"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The overriding motivation to begin and continue vaping was to stop or to reduce smoking. The results were consistent with a progression from initially both vaping and smoking using less effective electronic cigarette types, then moving to more powerful devices, experimentation with flavours and nicotine strengths—all resulting in reducing or stopping tobacco use. Lack of access to nicotine and lack of support for their chosen cessation method were the main problems reported. Vaping had resulted in effective smoking cessation for the majority of participants.</w:t>
            </w:r>
          </w:p>
        </w:tc>
        <w:tc>
          <w:tcPr>
            <w:tcW w:w="4820" w:type="dxa"/>
          </w:tcPr>
          <w:p w14:paraId="260E7188" w14:textId="77777777" w:rsidR="00B85C33" w:rsidRPr="000F6DEF" w:rsidRDefault="00B85C33" w:rsidP="000376C7">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0F6DEF">
              <w:rPr>
                <w:rFonts w:cs="Calibri"/>
                <w:sz w:val="16"/>
                <w:szCs w:val="16"/>
              </w:rPr>
              <w:t xml:space="preserve">This survey of committed vapers suggests that, in New Zealand, with its advanced and highly dissuasive tobacco control program, vaping is almost exclusively used as a cessation tool. For many, it appears to have been successful. </w:t>
            </w:r>
          </w:p>
        </w:tc>
      </w:tr>
      <w:tr w:rsidR="00B85C33" w:rsidRPr="000F6DEF" w14:paraId="6781F2C1" w14:textId="77777777" w:rsidTr="000376C7">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1435" w:type="dxa"/>
          </w:tcPr>
          <w:p w14:paraId="3E07B20F" w14:textId="77777777" w:rsidR="00B85C33" w:rsidRPr="000F6DEF" w:rsidRDefault="00B85C33" w:rsidP="000376C7">
            <w:pPr>
              <w:rPr>
                <w:rFonts w:cs="Calibri"/>
                <w:sz w:val="16"/>
                <w:szCs w:val="16"/>
              </w:rPr>
            </w:pPr>
            <w:r w:rsidRPr="000F6DEF">
              <w:rPr>
                <w:rFonts w:cs="Calibri"/>
                <w:sz w:val="16"/>
                <w:szCs w:val="16"/>
              </w:rPr>
              <w:t>Urrutia</w:t>
            </w:r>
            <w:r w:rsidRPr="000F6DEF">
              <w:rPr>
                <w:rFonts w:cs="Calibri"/>
                <w:sz w:val="16"/>
                <w:szCs w:val="16"/>
              </w:rPr>
              <w:noBreakHyphen/>
              <w:t>Pereira M et al 2016</w:t>
            </w:r>
          </w:p>
        </w:tc>
        <w:tc>
          <w:tcPr>
            <w:tcW w:w="2671" w:type="dxa"/>
          </w:tcPr>
          <w:p w14:paraId="4846CBAE" w14:textId="0C7F63DE"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Prevalence and factors associated with smoking among adolescents</w:t>
            </w:r>
            <w:r w:rsidR="005500FC">
              <w:rPr>
                <w:rFonts w:cs="Calibri"/>
                <w:sz w:val="16"/>
                <w:szCs w:val="16"/>
              </w:rPr>
              <w:t>.</w:t>
            </w:r>
          </w:p>
        </w:tc>
        <w:tc>
          <w:tcPr>
            <w:tcW w:w="6095" w:type="dxa"/>
          </w:tcPr>
          <w:p w14:paraId="5F00B112"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Knowing about the dangers of electronic cigarettes (OR: 0.88, 95% CI: 0.21</w:t>
            </w:r>
            <w:r w:rsidRPr="000F6DEF">
              <w:rPr>
                <w:rFonts w:cs="Calibri"/>
                <w:sz w:val="16"/>
                <w:szCs w:val="16"/>
              </w:rPr>
              <w:noBreakHyphen/>
              <w:t xml:space="preserve">0.92) were identified as protection factors; use of </w:t>
            </w:r>
            <w:r>
              <w:rPr>
                <w:rFonts w:cs="Calibri"/>
                <w:sz w:val="16"/>
                <w:szCs w:val="16"/>
              </w:rPr>
              <w:t>e</w:t>
            </w:r>
            <w:r>
              <w:rPr>
                <w:rFonts w:cs="Calibri"/>
                <w:sz w:val="16"/>
                <w:szCs w:val="16"/>
              </w:rPr>
              <w:noBreakHyphen/>
              <w:t>cig</w:t>
            </w:r>
            <w:r w:rsidRPr="000F6DEF">
              <w:rPr>
                <w:rFonts w:cs="Calibri"/>
                <w:sz w:val="16"/>
                <w:szCs w:val="16"/>
              </w:rPr>
              <w:t>arettes higher in those who had tried conventional smoking</w:t>
            </w:r>
          </w:p>
        </w:tc>
        <w:tc>
          <w:tcPr>
            <w:tcW w:w="4820" w:type="dxa"/>
          </w:tcPr>
          <w:p w14:paraId="3895D7BB" w14:textId="77777777" w:rsidR="00B85C33" w:rsidRPr="000F6DEF" w:rsidRDefault="00B85C33" w:rsidP="000376C7">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0F6DEF">
              <w:rPr>
                <w:rFonts w:cs="Calibri"/>
                <w:sz w:val="16"/>
                <w:szCs w:val="16"/>
              </w:rPr>
              <w:t>The prevalence of smoking among adolescents in Uruguaiana is high. The implementation of measures to reduce/stop tobacco use and its new forms of consumption, such as electronic cigarettes and hookah, are urgent and imperative in schools.</w:t>
            </w:r>
          </w:p>
        </w:tc>
      </w:tr>
    </w:tbl>
    <w:p w14:paraId="7F4ABD70" w14:textId="77777777" w:rsidR="00B85C33" w:rsidRDefault="00B85C33" w:rsidP="00B85C33">
      <w:pPr>
        <w:spacing w:after="0"/>
        <w:rPr>
          <w:rFonts w:eastAsiaTheme="minorHAnsi"/>
          <w:b/>
          <w:caps/>
          <w:noProof/>
          <w:color w:val="FFFFFF"/>
          <w:spacing w:val="16"/>
          <w:szCs w:val="24"/>
          <w:lang w:eastAsia="en-US"/>
        </w:rPr>
      </w:pPr>
    </w:p>
    <w:p w14:paraId="71525E08" w14:textId="77777777" w:rsidR="00B85C33" w:rsidRPr="00B85C33" w:rsidRDefault="00B85C33" w:rsidP="00B85C33">
      <w:pPr>
        <w:pStyle w:val="BodyText"/>
      </w:pPr>
    </w:p>
    <w:p w14:paraId="7FEE4BEB" w14:textId="77777777" w:rsidR="00F74F02" w:rsidRDefault="00F74F02" w:rsidP="00F74F02">
      <w:pPr>
        <w:spacing w:after="0"/>
        <w:rPr>
          <w:rFonts w:eastAsiaTheme="minorHAnsi"/>
          <w:b/>
          <w:caps/>
          <w:noProof/>
          <w:color w:val="FFFFFF"/>
          <w:spacing w:val="16"/>
          <w:szCs w:val="24"/>
          <w:lang w:eastAsia="en-US"/>
        </w:rPr>
      </w:pPr>
    </w:p>
    <w:p w14:paraId="73E36FAD" w14:textId="77777777" w:rsidR="00F74F02" w:rsidRDefault="00F74F02" w:rsidP="00F74F02">
      <w:pPr>
        <w:spacing w:after="0"/>
        <w:rPr>
          <w:rFonts w:eastAsiaTheme="minorHAnsi"/>
          <w:b/>
          <w:caps/>
          <w:noProof/>
          <w:color w:val="FFFFFF"/>
          <w:spacing w:val="16"/>
          <w:szCs w:val="24"/>
          <w:lang w:eastAsia="en-US"/>
        </w:rPr>
        <w:sectPr w:rsidR="00F74F02" w:rsidSect="004861B6">
          <w:pgSz w:w="16838" w:h="11906" w:orient="landscape" w:code="9"/>
          <w:pgMar w:top="1134" w:right="1134" w:bottom="1134" w:left="1134" w:header="510" w:footer="624" w:gutter="0"/>
          <w:cols w:space="850"/>
          <w:titlePg/>
          <w:docGrid w:linePitch="360"/>
        </w:sectPr>
      </w:pPr>
    </w:p>
    <w:p w14:paraId="7740430B" w14:textId="183D3152" w:rsidR="00196B5C" w:rsidRDefault="00196B5C" w:rsidP="00196B5C">
      <w:pPr>
        <w:pStyle w:val="Heading9"/>
      </w:pPr>
      <w:bookmarkStart w:id="349" w:name="_Toc517706749"/>
      <w:bookmarkStart w:id="350" w:name="_Toc515227169"/>
      <w:r>
        <w:lastRenderedPageBreak/>
        <w:t>US Academies of Sciences Conclusions</w:t>
      </w:r>
      <w:bookmarkEnd w:id="349"/>
    </w:p>
    <w:p w14:paraId="7758FF4B" w14:textId="77777777" w:rsidR="00A95DC5" w:rsidRPr="00A95DC5" w:rsidRDefault="00A95DC5" w:rsidP="00A95DC5">
      <w:pPr>
        <w:pStyle w:val="BodyText"/>
      </w:pPr>
      <w:r>
        <w:t>This report is titled Public Health Consequences of e-Cigarettes</w:t>
      </w:r>
      <w:r w:rsidR="0061588D">
        <w:t xml:space="preserve"> </w:t>
      </w:r>
      <w:r w:rsidR="00FF2BFA">
        <w:fldChar w:fldCharType="begin"/>
      </w:r>
      <w:r w:rsidR="00903735">
        <w:instrText xml:space="preserve"> ADDIN EN.CITE &lt;EndNote&gt;&lt;Cite&gt;&lt;Author&gt;Stratton&lt;/Author&gt;&lt;Year&gt;2018&lt;/Year&gt;&lt;RecNum&gt;7073&lt;/RecNum&gt;&lt;DisplayText&gt;(Stratton, Kwan et al. 2018)&lt;/DisplayText&gt;&lt;record&gt;&lt;rec-number&gt;7073&lt;/rec-number&gt;&lt;foreign-keys&gt;&lt;key app="EN" db-id="5xv5w5t2bdxtxfezx02xtxdft5rz5ptvvt29" timestamp="1521076678"&gt;7073&lt;/key&gt;&lt;/foreign-keys&gt;&lt;ref-type name="Report"&gt;27&lt;/ref-type&gt;&lt;contributors&gt;&lt;authors&gt;&lt;author&gt;Kathleen Stratton&lt;/author&gt;&lt;author&gt;Leslie Y Kwan&lt;/author&gt;&lt;author&gt;David L Eaton&lt;/author&gt;&lt;/authors&gt;&lt;tertiary-authors&gt;&lt;author&gt;The National Academies Press&lt;/author&gt;&lt;/tertiary-authors&gt;&lt;/contributors&gt;&lt;titles&gt;&lt;title&gt;Public Health Consequences of e-Cigarettes&lt;/title&gt;&lt;/titles&gt;&lt;dates&gt;&lt;year&gt;2018&lt;/year&gt;&lt;/dates&gt;&lt;pub-location&gt;Washington DC&lt;/pub-location&gt;&lt;publisher&gt;Board on Population Health and Public Health Practice, Health and Medicine Division, The National Academies of Sciences, Engineering and Medicine&lt;/publisher&gt;&lt;urls&gt;&lt;/urls&gt;&lt;/record&gt;&lt;/Cite&gt;&lt;/EndNote&gt;</w:instrText>
      </w:r>
      <w:r w:rsidR="00FF2BFA">
        <w:fldChar w:fldCharType="separate"/>
      </w:r>
      <w:r w:rsidR="00FF2BFA">
        <w:rPr>
          <w:noProof/>
        </w:rPr>
        <w:t>(Stratton, Kwan et al. 2018)</w:t>
      </w:r>
      <w:r w:rsidR="00FF2BFA">
        <w:fldChar w:fldCharType="end"/>
      </w:r>
      <w:r w:rsidR="0061588D">
        <w:t>.</w:t>
      </w:r>
    </w:p>
    <w:p w14:paraId="2C46DBA8" w14:textId="77777777" w:rsidR="00196B5C" w:rsidRPr="00D37E14" w:rsidRDefault="00196B5C" w:rsidP="00196B5C">
      <w:pPr>
        <w:pStyle w:val="BodyTextWhite"/>
        <w:rPr>
          <w:color w:val="auto"/>
        </w:rPr>
      </w:pPr>
      <w:r w:rsidRPr="00D37E14">
        <w:rPr>
          <w:color w:val="auto"/>
        </w:rPr>
        <w:t xml:space="preserve">In reviewing the literature about the constituents in and exposures from e-cigarettes, the committee made nine conclusions: </w:t>
      </w:r>
    </w:p>
    <w:p w14:paraId="356575CD" w14:textId="77777777" w:rsidR="00196B5C" w:rsidRPr="00D37E14" w:rsidRDefault="00196B5C" w:rsidP="00196B5C">
      <w:pPr>
        <w:pStyle w:val="BodyTextWhite"/>
        <w:ind w:left="720"/>
        <w:rPr>
          <w:i/>
          <w:color w:val="auto"/>
        </w:rPr>
      </w:pPr>
      <w:r w:rsidRPr="00D37E14">
        <w:rPr>
          <w:color w:val="auto"/>
        </w:rPr>
        <w:t xml:space="preserve">Conclusion 3-1. </w:t>
      </w:r>
      <w:r w:rsidRPr="00D37E14">
        <w:rPr>
          <w:i/>
          <w:color w:val="auto"/>
        </w:rPr>
        <w:t xml:space="preserve">There is </w:t>
      </w:r>
      <w:r w:rsidRPr="00D37E14">
        <w:rPr>
          <w:b/>
          <w:i/>
          <w:color w:val="auto"/>
        </w:rPr>
        <w:t>conclusive evidence</w:t>
      </w:r>
      <w:r w:rsidRPr="00D37E14">
        <w:rPr>
          <w:i/>
          <w:color w:val="auto"/>
        </w:rPr>
        <w:t xml:space="preserve"> that e-cigarette use increases airborne concentrations of particulate matter and nicotine in indoor environments compared with background levels. </w:t>
      </w:r>
    </w:p>
    <w:p w14:paraId="1065150A" w14:textId="77777777" w:rsidR="00196B5C" w:rsidRPr="00D37E14" w:rsidRDefault="00196B5C" w:rsidP="00196B5C">
      <w:pPr>
        <w:pStyle w:val="BodyTextWhite"/>
        <w:ind w:left="720"/>
        <w:rPr>
          <w:i/>
          <w:color w:val="auto"/>
        </w:rPr>
      </w:pPr>
      <w:r w:rsidRPr="00D37E14">
        <w:rPr>
          <w:color w:val="auto"/>
        </w:rPr>
        <w:t xml:space="preserve">Conclusion 3-2. </w:t>
      </w:r>
      <w:r w:rsidRPr="00D37E14">
        <w:rPr>
          <w:i/>
          <w:color w:val="auto"/>
        </w:rPr>
        <w:t xml:space="preserve">There is </w:t>
      </w:r>
      <w:r w:rsidRPr="00D37E14">
        <w:rPr>
          <w:b/>
          <w:i/>
          <w:color w:val="auto"/>
        </w:rPr>
        <w:t>limited evidence</w:t>
      </w:r>
      <w:r w:rsidRPr="00D37E14">
        <w:rPr>
          <w:i/>
          <w:color w:val="auto"/>
        </w:rPr>
        <w:t xml:space="preserve"> that e-cigarette use increases levels of nicotine and other e-cigarette constituents on a variety of indoor surfaces compared with background levels.</w:t>
      </w:r>
    </w:p>
    <w:p w14:paraId="10E4D2C3" w14:textId="7E99D726" w:rsidR="00196B5C" w:rsidRPr="00D37E14" w:rsidRDefault="00196B5C" w:rsidP="00196B5C">
      <w:pPr>
        <w:pStyle w:val="BodyTextWhite"/>
        <w:ind w:left="720"/>
        <w:rPr>
          <w:color w:val="auto"/>
        </w:rPr>
      </w:pPr>
      <w:r w:rsidRPr="00D37E14">
        <w:rPr>
          <w:color w:val="auto"/>
        </w:rPr>
        <w:t>Conclusion 4-1</w:t>
      </w:r>
      <w:r w:rsidRPr="00D37E14">
        <w:rPr>
          <w:i/>
          <w:color w:val="auto"/>
        </w:rPr>
        <w:t xml:space="preserve">. There is </w:t>
      </w:r>
      <w:r w:rsidRPr="00D37E14">
        <w:rPr>
          <w:b/>
          <w:i/>
          <w:color w:val="auto"/>
        </w:rPr>
        <w:t>conclusive evidence</w:t>
      </w:r>
      <w:r w:rsidRPr="00D37E14">
        <w:rPr>
          <w:i/>
          <w:color w:val="auto"/>
        </w:rPr>
        <w:t xml:space="preserve"> that exposure to nicotine from e-cigarettes is highly variable and depends on product characteristics (including device and e-liquid characteristics) and how the device is operated.</w:t>
      </w:r>
      <w:r w:rsidR="008146F9">
        <w:rPr>
          <w:color w:val="auto"/>
        </w:rPr>
        <w:t xml:space="preserve"> </w:t>
      </w:r>
    </w:p>
    <w:p w14:paraId="35764A2C" w14:textId="77777777" w:rsidR="00196B5C" w:rsidRPr="00D37E14" w:rsidRDefault="00196B5C" w:rsidP="00196B5C">
      <w:pPr>
        <w:pStyle w:val="BodyTextWhite"/>
        <w:ind w:left="720"/>
        <w:rPr>
          <w:color w:val="auto"/>
        </w:rPr>
      </w:pPr>
      <w:r w:rsidRPr="00D37E14">
        <w:rPr>
          <w:color w:val="auto"/>
        </w:rPr>
        <w:t xml:space="preserve">Conclusion 4-2. </w:t>
      </w:r>
      <w:r w:rsidRPr="00D37E14">
        <w:rPr>
          <w:i/>
          <w:color w:val="auto"/>
        </w:rPr>
        <w:t xml:space="preserve">There is </w:t>
      </w:r>
      <w:r w:rsidRPr="00D37E14">
        <w:rPr>
          <w:b/>
          <w:i/>
          <w:color w:val="auto"/>
        </w:rPr>
        <w:t>substantial evidence</w:t>
      </w:r>
      <w:r w:rsidRPr="00D37E14">
        <w:rPr>
          <w:i/>
          <w:color w:val="auto"/>
        </w:rPr>
        <w:t xml:space="preserve"> that nicotine intake from e-cigarette devices among experienced adult e-cigarette users can be comparable to that from combustible tobacco cigarettes</w:t>
      </w:r>
      <w:r w:rsidRPr="00D37E14">
        <w:rPr>
          <w:color w:val="auto"/>
        </w:rPr>
        <w:t xml:space="preserve">. </w:t>
      </w:r>
    </w:p>
    <w:p w14:paraId="160850D4" w14:textId="77777777" w:rsidR="00196B5C" w:rsidRPr="00D37E14" w:rsidRDefault="00196B5C" w:rsidP="00196B5C">
      <w:pPr>
        <w:pStyle w:val="BodyTextWhite"/>
        <w:ind w:left="720"/>
        <w:rPr>
          <w:i/>
          <w:color w:val="auto"/>
        </w:rPr>
      </w:pPr>
      <w:r w:rsidRPr="00D37E14">
        <w:rPr>
          <w:color w:val="auto"/>
        </w:rPr>
        <w:t xml:space="preserve">Conclusion 5-1. </w:t>
      </w:r>
      <w:r w:rsidRPr="00D37E14">
        <w:rPr>
          <w:i/>
          <w:color w:val="auto"/>
        </w:rPr>
        <w:t xml:space="preserve">There is </w:t>
      </w:r>
      <w:r w:rsidRPr="00D37E14">
        <w:rPr>
          <w:b/>
          <w:i/>
          <w:color w:val="auto"/>
        </w:rPr>
        <w:t>conclusive evidence</w:t>
      </w:r>
      <w:r w:rsidRPr="00D37E14">
        <w:rPr>
          <w:i/>
          <w:color w:val="auto"/>
        </w:rPr>
        <w:t xml:space="preserve"> that in addition to nicotine, most e-cigarette products contain and emit numerous potentially toxic substances. </w:t>
      </w:r>
    </w:p>
    <w:p w14:paraId="58119C7F" w14:textId="3174992C" w:rsidR="00196B5C" w:rsidRPr="00D37E14" w:rsidRDefault="00196B5C" w:rsidP="00196B5C">
      <w:pPr>
        <w:pStyle w:val="BodyTextWhite"/>
        <w:ind w:left="720"/>
        <w:rPr>
          <w:i/>
          <w:color w:val="auto"/>
        </w:rPr>
      </w:pPr>
      <w:r w:rsidRPr="00D37E14">
        <w:rPr>
          <w:color w:val="auto"/>
        </w:rPr>
        <w:t xml:space="preserve">Conclusion 5-2. </w:t>
      </w:r>
      <w:r w:rsidRPr="00D37E14">
        <w:rPr>
          <w:i/>
          <w:color w:val="auto"/>
        </w:rPr>
        <w:t xml:space="preserve">There is </w:t>
      </w:r>
      <w:r w:rsidRPr="00D37E14">
        <w:rPr>
          <w:b/>
          <w:i/>
          <w:color w:val="auto"/>
        </w:rPr>
        <w:t>conclusive evidence</w:t>
      </w:r>
      <w:r w:rsidRPr="00D37E14">
        <w:rPr>
          <w:i/>
          <w:color w:val="auto"/>
        </w:rPr>
        <w:t xml:space="preserve"> that, other than nicotine, the number, quantity, and characteristics of potentially toxic substances emitted from e-cigarettes is highly variable and depends on product characteristics (including device and e-liquid characteristics) and how the device is operated.</w:t>
      </w:r>
      <w:r w:rsidR="008146F9">
        <w:rPr>
          <w:i/>
          <w:color w:val="auto"/>
        </w:rPr>
        <w:t xml:space="preserve"> </w:t>
      </w:r>
    </w:p>
    <w:p w14:paraId="36AD98EB" w14:textId="77777777" w:rsidR="00196B5C" w:rsidRPr="00D37E14" w:rsidRDefault="00196B5C" w:rsidP="00196B5C">
      <w:pPr>
        <w:pStyle w:val="BodyTextWhite"/>
        <w:ind w:left="720"/>
        <w:rPr>
          <w:i/>
          <w:color w:val="auto"/>
        </w:rPr>
      </w:pPr>
      <w:r w:rsidRPr="00D37E14">
        <w:rPr>
          <w:color w:val="auto"/>
        </w:rPr>
        <w:t>Conclusion 5-3</w:t>
      </w:r>
      <w:r w:rsidRPr="00D37E14">
        <w:rPr>
          <w:i/>
          <w:color w:val="auto"/>
        </w:rPr>
        <w:t xml:space="preserve">. There is </w:t>
      </w:r>
      <w:r w:rsidRPr="00D37E14">
        <w:rPr>
          <w:b/>
          <w:i/>
          <w:color w:val="auto"/>
        </w:rPr>
        <w:t>substantial evidence</w:t>
      </w:r>
      <w:r w:rsidRPr="00D37E14">
        <w:rPr>
          <w:i/>
          <w:color w:val="auto"/>
        </w:rPr>
        <w:t xml:space="preserve"> that except for nicotine, under typical conditions of use, exposure to potentially toxic substances from e-cigarettes is significantly lower compared with combustible tobacco cigarettes. </w:t>
      </w:r>
    </w:p>
    <w:p w14:paraId="3CD02E9C" w14:textId="77777777" w:rsidR="00196B5C" w:rsidRPr="00D37E14" w:rsidRDefault="00196B5C" w:rsidP="00196B5C">
      <w:pPr>
        <w:pStyle w:val="BodyTextWhite"/>
        <w:ind w:left="720"/>
        <w:rPr>
          <w:i/>
          <w:color w:val="auto"/>
        </w:rPr>
      </w:pPr>
      <w:r w:rsidRPr="00D37E14">
        <w:rPr>
          <w:color w:val="auto"/>
        </w:rPr>
        <w:t xml:space="preserve">Conclusion 5-4. </w:t>
      </w:r>
      <w:r w:rsidRPr="00D37E14">
        <w:rPr>
          <w:i/>
          <w:color w:val="auto"/>
        </w:rPr>
        <w:t xml:space="preserve">There is </w:t>
      </w:r>
      <w:r w:rsidRPr="00D37E14">
        <w:rPr>
          <w:b/>
          <w:i/>
          <w:color w:val="auto"/>
        </w:rPr>
        <w:t>substantial evidence</w:t>
      </w:r>
      <w:r w:rsidRPr="00D37E14">
        <w:rPr>
          <w:i/>
          <w:color w:val="auto"/>
        </w:rPr>
        <w:t xml:space="preserve"> that e-cigarette aerosol contains metals. The origin of the metals could be the metallic coil used to heat the e-liquid, other parts of the e</w:t>
      </w:r>
      <w:r>
        <w:rPr>
          <w:i/>
          <w:color w:val="auto"/>
        </w:rPr>
        <w:noBreakHyphen/>
      </w:r>
      <w:r w:rsidRPr="00D37E14">
        <w:rPr>
          <w:i/>
          <w:color w:val="auto"/>
        </w:rPr>
        <w:t xml:space="preserve">cigarette device, or e-liquids. Product characteristics and use-patterns may contribute to differences in the actual metals and metal concentrations measured in e-cigarette aerosol. </w:t>
      </w:r>
    </w:p>
    <w:p w14:paraId="1998FC34" w14:textId="77777777" w:rsidR="00196B5C" w:rsidRPr="00D37E14" w:rsidRDefault="00196B5C" w:rsidP="00196B5C">
      <w:pPr>
        <w:pStyle w:val="BodyTextWhite"/>
        <w:ind w:left="720"/>
        <w:rPr>
          <w:i/>
          <w:color w:val="auto"/>
        </w:rPr>
      </w:pPr>
      <w:r w:rsidRPr="00D37E14">
        <w:rPr>
          <w:color w:val="auto"/>
        </w:rPr>
        <w:t xml:space="preserve">Conclusion 5-5. </w:t>
      </w:r>
      <w:r w:rsidRPr="00D37E14">
        <w:rPr>
          <w:i/>
          <w:color w:val="auto"/>
        </w:rPr>
        <w:t xml:space="preserve">There is </w:t>
      </w:r>
      <w:r w:rsidRPr="00D37E14">
        <w:rPr>
          <w:b/>
          <w:i/>
          <w:color w:val="auto"/>
        </w:rPr>
        <w:t>limited evidence</w:t>
      </w:r>
      <w:r w:rsidRPr="00D37E14">
        <w:rPr>
          <w:i/>
          <w:color w:val="auto"/>
        </w:rPr>
        <w:t xml:space="preserve"> that the number of metals in e-cigarette aerosol could be greater than the number of metals in combustible tobacco cigarettes, except for cadmium, which is markedly lower in e-cigarettes compared with combustible tobacco cigarettes. </w:t>
      </w:r>
    </w:p>
    <w:p w14:paraId="1D100F17" w14:textId="77777777" w:rsidR="00196B5C" w:rsidRDefault="00196B5C" w:rsidP="00196B5C">
      <w:pPr>
        <w:pStyle w:val="BodyTextWhite"/>
        <w:rPr>
          <w:color w:val="auto"/>
        </w:rPr>
      </w:pPr>
      <w:r w:rsidRPr="00E22D0F">
        <w:rPr>
          <w:rStyle w:val="BodyTextChar"/>
        </w:rPr>
        <w:lastRenderedPageBreak/>
        <w:t>Taken together, the evidence in support of these conclusions suggests that e-cigarette aerosol contains fewer numbers and lower levels of toxicants than smoke from combustible tobacco cigarettes. Nicotine exposure can mimic that found with use of combustible tobacco cigarettes, but is highly variable. The exposure to nicotine and toxicants from the aerosolization of flavorings and humectants is dependent on user and device characteristics, however</w:t>
      </w:r>
      <w:r w:rsidRPr="00D37E14">
        <w:rPr>
          <w:color w:val="auto"/>
        </w:rPr>
        <w:t>.</w:t>
      </w:r>
    </w:p>
    <w:p w14:paraId="0C1FA1AD" w14:textId="77777777" w:rsidR="00196B5C" w:rsidRPr="00926943" w:rsidRDefault="00196B5C" w:rsidP="00196B5C">
      <w:pPr>
        <w:pStyle w:val="AppendixHeading2"/>
      </w:pPr>
      <w:r w:rsidRPr="00926943">
        <w:t xml:space="preserve">Human health effects </w:t>
      </w:r>
    </w:p>
    <w:p w14:paraId="348A25CB" w14:textId="77777777" w:rsidR="00196B5C" w:rsidRDefault="00196B5C" w:rsidP="00196B5C">
      <w:pPr>
        <w:pStyle w:val="BodyText"/>
      </w:pPr>
      <w:r>
        <w:t xml:space="preserve">Combustible tobacco cigarettes pose serious risks to human health; these risks are well documented and well understood. Many of those health effects emerge only after decades of cigarette smoking. E-cigarettes have only been on the market in the United States since 2006, making scientific comparisons between e-cigarettes and combustible tobacco cigarettes about most health effects difficult. However, research on short-term exposures to e-cigarettes and effects on disease symptoms and intermediate outcomes exist. An important distinction when considering these data is whether the effects are seen in an e-cigarette user who had never used combustible tobacco cigarettes (usually children or youth) or in a combustible tobacco cigarette user, with and without pre-existing tobacco-related disease, usually adults. </w:t>
      </w:r>
    </w:p>
    <w:p w14:paraId="32D89C36" w14:textId="77777777" w:rsidR="00196B5C" w:rsidRDefault="00196B5C" w:rsidP="00196B5C">
      <w:pPr>
        <w:pStyle w:val="BodyText"/>
      </w:pPr>
      <w:r>
        <w:t>The committee reviewed evidence on the effects of e-cigarettes in several health domains: dependence, cardiovascular, cancer, respiratory diseases, oral diseases, maternal and foetal outcomes, and injuries and poisonings. Although the amount of literature is relatively scant and complicated by the multiple types of e-cigarettes in use even within a given study, the committee made 26 conclusions about the effects of e-cigarettes on health.</w:t>
      </w:r>
    </w:p>
    <w:p w14:paraId="3AED97B0" w14:textId="77777777" w:rsidR="00196B5C" w:rsidRPr="00E22D0F" w:rsidRDefault="00196B5C" w:rsidP="00196B5C">
      <w:pPr>
        <w:pStyle w:val="BodyText"/>
        <w:ind w:left="720"/>
        <w:rPr>
          <w:i/>
        </w:rPr>
      </w:pPr>
      <w:r w:rsidRPr="00E22D0F">
        <w:rPr>
          <w:i/>
        </w:rPr>
        <w:t xml:space="preserve">Conclusion 7-1. There is </w:t>
      </w:r>
      <w:r w:rsidRPr="00E22D0F">
        <w:rPr>
          <w:b/>
          <w:i/>
        </w:rPr>
        <w:t>substantial evidence</w:t>
      </w:r>
      <w:r w:rsidRPr="00E22D0F">
        <w:rPr>
          <w:i/>
        </w:rPr>
        <w:t xml:space="preserve"> that e-cigarette aerosols can induce acute endothelial cell dysfunction, although the long-term consequences and outcomes on these parameters with long-term exposure to e-cigarette aerosol are uncertain. </w:t>
      </w:r>
    </w:p>
    <w:p w14:paraId="47E10D22" w14:textId="77777777" w:rsidR="00196B5C" w:rsidRPr="00E22D0F" w:rsidRDefault="00196B5C" w:rsidP="00196B5C">
      <w:pPr>
        <w:pStyle w:val="BodyText"/>
        <w:ind w:left="720"/>
        <w:rPr>
          <w:i/>
        </w:rPr>
      </w:pPr>
      <w:r w:rsidRPr="00E22D0F">
        <w:rPr>
          <w:i/>
        </w:rPr>
        <w:t xml:space="preserve">Conclusion 7-2. There is </w:t>
      </w:r>
      <w:r w:rsidRPr="00E22D0F">
        <w:rPr>
          <w:b/>
          <w:i/>
        </w:rPr>
        <w:t>substantial evidence</w:t>
      </w:r>
      <w:r w:rsidRPr="00E22D0F">
        <w:rPr>
          <w:i/>
        </w:rPr>
        <w:t xml:space="preserve"> that components of e-cigarette aerosols can promote formation of reactive oxygen species/oxidative stress. Although this supports the biological plausibility of tissue injury and disease from long-term exposure to e-cigarette aerosols, generation of reactive oxygen species and oxidative stress induction is generally lower from e-cigarettes than from combustible tobacco cigarette smoke. </w:t>
      </w:r>
    </w:p>
    <w:p w14:paraId="1FC1B529" w14:textId="77777777" w:rsidR="00196B5C" w:rsidRPr="00E22D0F" w:rsidRDefault="00196B5C" w:rsidP="00196B5C">
      <w:pPr>
        <w:pStyle w:val="BodyText"/>
        <w:ind w:left="720"/>
        <w:rPr>
          <w:i/>
        </w:rPr>
      </w:pPr>
      <w:r w:rsidRPr="00E22D0F">
        <w:rPr>
          <w:i/>
        </w:rPr>
        <w:t xml:space="preserve">Conclusion 8-1. There is </w:t>
      </w:r>
      <w:r w:rsidRPr="00E22D0F">
        <w:rPr>
          <w:b/>
          <w:i/>
        </w:rPr>
        <w:t>substantial evidence</w:t>
      </w:r>
      <w:r w:rsidRPr="00E22D0F">
        <w:rPr>
          <w:i/>
        </w:rPr>
        <w:t xml:space="preserve"> that e-cigarette use results in symptoms of dependence on e-cigarettes. </w:t>
      </w:r>
    </w:p>
    <w:p w14:paraId="654F9745" w14:textId="77777777" w:rsidR="00196B5C" w:rsidRPr="00E22D0F" w:rsidRDefault="00196B5C" w:rsidP="00196B5C">
      <w:pPr>
        <w:pStyle w:val="BodyText"/>
        <w:ind w:left="720"/>
        <w:rPr>
          <w:i/>
        </w:rPr>
      </w:pPr>
      <w:r w:rsidRPr="00E22D0F">
        <w:rPr>
          <w:i/>
        </w:rPr>
        <w:t xml:space="preserve">Conclusion 8-2. There is </w:t>
      </w:r>
      <w:r w:rsidRPr="00E22D0F">
        <w:rPr>
          <w:b/>
          <w:i/>
        </w:rPr>
        <w:t>moderate evidence</w:t>
      </w:r>
      <w:r w:rsidRPr="00E22D0F">
        <w:rPr>
          <w:i/>
        </w:rPr>
        <w:t xml:space="preserve"> that risk and severity of dependence are lower for e-cigarettes than combustible tobacco cigarettes. </w:t>
      </w:r>
    </w:p>
    <w:p w14:paraId="396B26CE" w14:textId="77777777" w:rsidR="00196B5C" w:rsidRPr="00E22D0F" w:rsidRDefault="00196B5C" w:rsidP="00196B5C">
      <w:pPr>
        <w:pStyle w:val="BodyText"/>
        <w:ind w:left="720"/>
        <w:rPr>
          <w:i/>
        </w:rPr>
      </w:pPr>
      <w:r w:rsidRPr="00E22D0F">
        <w:rPr>
          <w:i/>
        </w:rPr>
        <w:t xml:space="preserve">Conclusion 8-3. There is </w:t>
      </w:r>
      <w:r w:rsidRPr="00E22D0F">
        <w:rPr>
          <w:b/>
          <w:i/>
        </w:rPr>
        <w:t>moderate evidence</w:t>
      </w:r>
      <w:r w:rsidRPr="00E22D0F">
        <w:rPr>
          <w:i/>
        </w:rPr>
        <w:t xml:space="preserve"> that variability in e-cigarette product characteristics (nicotine concentration, flavouring, device type, and brand) is an important determinant of risk and severity of e-cigarette dependence. </w:t>
      </w:r>
    </w:p>
    <w:p w14:paraId="5EBC8686" w14:textId="77777777" w:rsidR="00196B5C" w:rsidRPr="00E22D0F" w:rsidRDefault="00196B5C" w:rsidP="00196B5C">
      <w:pPr>
        <w:pStyle w:val="BodyText"/>
        <w:ind w:left="720"/>
        <w:rPr>
          <w:i/>
        </w:rPr>
      </w:pPr>
      <w:r w:rsidRPr="00E22D0F">
        <w:rPr>
          <w:i/>
        </w:rPr>
        <w:t xml:space="preserve">Conclusion 9-1. There is </w:t>
      </w:r>
      <w:r w:rsidRPr="00E22D0F">
        <w:rPr>
          <w:b/>
          <w:i/>
        </w:rPr>
        <w:t>no available evidence</w:t>
      </w:r>
      <w:r w:rsidRPr="00E22D0F">
        <w:rPr>
          <w:i/>
        </w:rPr>
        <w:t xml:space="preserve"> whether or not e-cigarette use is associated with clinical cardiovascular outcomes (coronary heart disease, stroke, and peripheral artery disease) and subclinical atherosclerosis (carotid intima media-thickness and coronary artery calcification).</w:t>
      </w:r>
    </w:p>
    <w:p w14:paraId="0181ACC8" w14:textId="42B62742" w:rsidR="00196B5C" w:rsidRPr="00E22D0F" w:rsidRDefault="00196B5C" w:rsidP="00196B5C">
      <w:pPr>
        <w:pStyle w:val="BodyText"/>
        <w:ind w:left="720"/>
        <w:rPr>
          <w:i/>
        </w:rPr>
      </w:pPr>
      <w:r w:rsidRPr="00E22D0F">
        <w:rPr>
          <w:i/>
        </w:rPr>
        <w:lastRenderedPageBreak/>
        <w:t xml:space="preserve">Conclusion 9-2. There is </w:t>
      </w:r>
      <w:r w:rsidRPr="00E22D0F">
        <w:rPr>
          <w:b/>
          <w:i/>
        </w:rPr>
        <w:t>substantial evidence</w:t>
      </w:r>
      <w:r w:rsidRPr="00E22D0F">
        <w:rPr>
          <w:i/>
        </w:rPr>
        <w:t xml:space="preserve"> that heart rate, increases after nicotine intake from e-cigarettes.</w:t>
      </w:r>
      <w:r w:rsidR="008146F9">
        <w:rPr>
          <w:i/>
        </w:rPr>
        <w:t xml:space="preserve"> </w:t>
      </w:r>
    </w:p>
    <w:p w14:paraId="66CE2FEC" w14:textId="77777777" w:rsidR="00196B5C" w:rsidRPr="00E22D0F" w:rsidRDefault="00196B5C" w:rsidP="00196B5C">
      <w:pPr>
        <w:pStyle w:val="BodyText"/>
        <w:ind w:left="720"/>
        <w:rPr>
          <w:i/>
        </w:rPr>
      </w:pPr>
      <w:r w:rsidRPr="00E22D0F">
        <w:rPr>
          <w:i/>
        </w:rPr>
        <w:t xml:space="preserve">Conclusion 9-3. There is </w:t>
      </w:r>
      <w:r w:rsidRPr="00E22D0F">
        <w:rPr>
          <w:b/>
          <w:i/>
        </w:rPr>
        <w:t>moderate evidence</w:t>
      </w:r>
      <w:r w:rsidRPr="00E22D0F">
        <w:rPr>
          <w:i/>
        </w:rPr>
        <w:t xml:space="preserve"> that diastolic blood pressure increases after nicotine intake from e-cigarettes. </w:t>
      </w:r>
    </w:p>
    <w:p w14:paraId="0F116494" w14:textId="77777777" w:rsidR="00196B5C" w:rsidRPr="00E22D0F" w:rsidRDefault="00196B5C" w:rsidP="00196B5C">
      <w:pPr>
        <w:pStyle w:val="BodyText"/>
        <w:ind w:left="720"/>
        <w:rPr>
          <w:i/>
        </w:rPr>
      </w:pPr>
      <w:r w:rsidRPr="00E22D0F">
        <w:rPr>
          <w:i/>
        </w:rPr>
        <w:t xml:space="preserve">Conclusion 9-4. There is </w:t>
      </w:r>
      <w:r w:rsidRPr="00E22D0F">
        <w:rPr>
          <w:b/>
          <w:i/>
        </w:rPr>
        <w:t>limited evidence</w:t>
      </w:r>
      <w:r w:rsidRPr="00E22D0F">
        <w:rPr>
          <w:i/>
        </w:rPr>
        <w:t xml:space="preserve"> that e-cigarette use is associated with a short</w:t>
      </w:r>
      <w:r>
        <w:rPr>
          <w:i/>
        </w:rPr>
        <w:noBreakHyphen/>
      </w:r>
      <w:r w:rsidRPr="00E22D0F">
        <w:rPr>
          <w:i/>
        </w:rPr>
        <w:t xml:space="preserve">term increase in systolic blood pressure, changes in biomarkers of oxidative stress, increased endothelial dysfunction and arterial stiffness, and autonomic control. </w:t>
      </w:r>
    </w:p>
    <w:p w14:paraId="294C39AA" w14:textId="77777777" w:rsidR="00196B5C" w:rsidRPr="00E22D0F" w:rsidRDefault="00196B5C" w:rsidP="00196B5C">
      <w:pPr>
        <w:pStyle w:val="BodyText"/>
        <w:ind w:left="720"/>
        <w:rPr>
          <w:i/>
        </w:rPr>
      </w:pPr>
      <w:r w:rsidRPr="00E22D0F">
        <w:rPr>
          <w:i/>
        </w:rPr>
        <w:t xml:space="preserve">Conclusion 9-5. There is </w:t>
      </w:r>
      <w:r w:rsidRPr="00E22D0F">
        <w:rPr>
          <w:b/>
          <w:i/>
        </w:rPr>
        <w:t>insufficient evidence</w:t>
      </w:r>
      <w:r w:rsidRPr="00E22D0F">
        <w:rPr>
          <w:i/>
        </w:rPr>
        <w:t xml:space="preserve"> that e-cigarette use is associated with long</w:t>
      </w:r>
      <w:r>
        <w:rPr>
          <w:i/>
        </w:rPr>
        <w:noBreakHyphen/>
      </w:r>
      <w:r w:rsidRPr="00E22D0F">
        <w:rPr>
          <w:i/>
        </w:rPr>
        <w:t xml:space="preserve">term changes in heart rate, blood pressure, and cardiac geometry and function. </w:t>
      </w:r>
    </w:p>
    <w:p w14:paraId="6C4CF590" w14:textId="77777777" w:rsidR="00196B5C" w:rsidRPr="00E22D0F" w:rsidRDefault="00196B5C" w:rsidP="00196B5C">
      <w:pPr>
        <w:pStyle w:val="BodyText"/>
        <w:ind w:left="720"/>
        <w:rPr>
          <w:i/>
        </w:rPr>
      </w:pPr>
      <w:r w:rsidRPr="00E22D0F">
        <w:rPr>
          <w:i/>
        </w:rPr>
        <w:t xml:space="preserve">Conclusion 10-1. There is </w:t>
      </w:r>
      <w:r w:rsidRPr="00E22D0F">
        <w:rPr>
          <w:b/>
          <w:i/>
        </w:rPr>
        <w:t>no available evidence</w:t>
      </w:r>
      <w:r w:rsidRPr="00E22D0F">
        <w:rPr>
          <w:i/>
        </w:rPr>
        <w:t xml:space="preserve"> whether or not e-cigarette use is associated with intermediate cancer endpoints in humans. This holds true for comparisons of e</w:t>
      </w:r>
      <w:r>
        <w:rPr>
          <w:i/>
        </w:rPr>
        <w:noBreakHyphen/>
      </w:r>
      <w:r w:rsidRPr="00E22D0F">
        <w:rPr>
          <w:i/>
        </w:rPr>
        <w:t xml:space="preserve">cigarette use compared with combustible tobacco cigarettes and e-cigarette use compared with no use of tobacco products. </w:t>
      </w:r>
    </w:p>
    <w:p w14:paraId="5F75881A" w14:textId="77777777" w:rsidR="00196B5C" w:rsidRPr="00E22D0F" w:rsidRDefault="00196B5C" w:rsidP="00196B5C">
      <w:pPr>
        <w:pStyle w:val="BodyText"/>
        <w:ind w:left="720"/>
        <w:rPr>
          <w:i/>
        </w:rPr>
      </w:pPr>
      <w:r w:rsidRPr="00E22D0F">
        <w:rPr>
          <w:i/>
        </w:rPr>
        <w:t xml:space="preserve">Conclusion 10-2. There is </w:t>
      </w:r>
      <w:r w:rsidRPr="00E22D0F">
        <w:rPr>
          <w:b/>
          <w:i/>
        </w:rPr>
        <w:t>limited evidence</w:t>
      </w:r>
      <w:r w:rsidRPr="00E22D0F">
        <w:rPr>
          <w:i/>
        </w:rPr>
        <w:t xml:space="preserve"> from in vivo animal studies using intermediate biomarkers of cancer to support the hypothesis that long-term e-cigarette use could increase the risk of cancer; there is </w:t>
      </w:r>
      <w:r w:rsidRPr="00E22D0F">
        <w:rPr>
          <w:b/>
          <w:i/>
        </w:rPr>
        <w:t>no available evidence</w:t>
      </w:r>
      <w:r w:rsidRPr="00E22D0F">
        <w:rPr>
          <w:i/>
        </w:rPr>
        <w:t xml:space="preserve"> from adequate long-term animal bioassays of e-cigarette aerosol exposures to inform cancer risk. </w:t>
      </w:r>
    </w:p>
    <w:p w14:paraId="3AF331C6" w14:textId="77777777" w:rsidR="00196B5C" w:rsidRPr="00E22D0F" w:rsidRDefault="00196B5C" w:rsidP="00196B5C">
      <w:pPr>
        <w:pStyle w:val="BodyText"/>
        <w:ind w:left="720"/>
        <w:rPr>
          <w:i/>
        </w:rPr>
      </w:pPr>
      <w:r w:rsidRPr="00E22D0F">
        <w:rPr>
          <w:i/>
        </w:rPr>
        <w:t xml:space="preserve">Conclusion 10-3. There is </w:t>
      </w:r>
      <w:r w:rsidRPr="00E22D0F">
        <w:rPr>
          <w:b/>
          <w:i/>
        </w:rPr>
        <w:t>limited evidence</w:t>
      </w:r>
      <w:r w:rsidRPr="00E22D0F">
        <w:rPr>
          <w:i/>
        </w:rPr>
        <w:t xml:space="preserve"> that e-cigarette aerosol can be mutagenic or cause DNA damage in humans, animal models, and human cells in culture. </w:t>
      </w:r>
    </w:p>
    <w:p w14:paraId="1EC95B17" w14:textId="77777777" w:rsidR="00196B5C" w:rsidRPr="00E22D0F" w:rsidRDefault="00196B5C" w:rsidP="00196B5C">
      <w:pPr>
        <w:pStyle w:val="BodyText"/>
        <w:ind w:left="720"/>
        <w:rPr>
          <w:i/>
        </w:rPr>
      </w:pPr>
      <w:r w:rsidRPr="00E22D0F">
        <w:rPr>
          <w:i/>
        </w:rPr>
        <w:t xml:space="preserve">Conclusion 10-4. There is </w:t>
      </w:r>
      <w:r w:rsidRPr="00E22D0F">
        <w:rPr>
          <w:b/>
          <w:i/>
        </w:rPr>
        <w:t>substantial evidence</w:t>
      </w:r>
      <w:r w:rsidRPr="00E22D0F">
        <w:rPr>
          <w:i/>
        </w:rPr>
        <w:t xml:space="preserve"> that some chemicals present in e-cigarette aerosols (e.g., formaldehyde, acrolein) are capable of causing DNA damage and mutagenesis. This supports the biological plausibility that long-term exposure to e-cigarette aerosols could increase risk of cancer and adverse reproductive outcomes. Whether or not the levels of exposure are high enough to contribute to human carcinogenesis remains to be determined. </w:t>
      </w:r>
    </w:p>
    <w:p w14:paraId="2DB832E2" w14:textId="77777777" w:rsidR="00196B5C" w:rsidRPr="00E22D0F" w:rsidRDefault="00196B5C" w:rsidP="00196B5C">
      <w:pPr>
        <w:pStyle w:val="BodyText"/>
        <w:ind w:left="720"/>
        <w:rPr>
          <w:i/>
        </w:rPr>
      </w:pPr>
      <w:r w:rsidRPr="00E22D0F">
        <w:rPr>
          <w:i/>
        </w:rPr>
        <w:t xml:space="preserve">Conclusion 11-1. There is </w:t>
      </w:r>
      <w:r w:rsidRPr="00E22D0F">
        <w:rPr>
          <w:b/>
          <w:i/>
        </w:rPr>
        <w:t>no available evidence</w:t>
      </w:r>
      <w:r w:rsidRPr="00E22D0F">
        <w:rPr>
          <w:i/>
        </w:rPr>
        <w:t xml:space="preserve"> whether or not e-cigarettes cause respiratory diseases in humans. </w:t>
      </w:r>
    </w:p>
    <w:p w14:paraId="0E84E46B" w14:textId="77777777" w:rsidR="00196B5C" w:rsidRPr="00E22D0F" w:rsidRDefault="00196B5C" w:rsidP="00196B5C">
      <w:pPr>
        <w:pStyle w:val="BodyText"/>
        <w:ind w:left="720"/>
        <w:rPr>
          <w:i/>
        </w:rPr>
      </w:pPr>
      <w:r w:rsidRPr="00E22D0F">
        <w:rPr>
          <w:i/>
        </w:rPr>
        <w:t xml:space="preserve">Conclusion 11-2. There is </w:t>
      </w:r>
      <w:r w:rsidRPr="00E22D0F">
        <w:rPr>
          <w:b/>
          <w:i/>
        </w:rPr>
        <w:t>limited evidence</w:t>
      </w:r>
      <w:r w:rsidRPr="00E22D0F">
        <w:rPr>
          <w:i/>
        </w:rPr>
        <w:t xml:space="preserve"> for improvement in lung function and respiratory symptoms among adult smokers with asthma who switch to e-cigarettes completely or in part (dual use). </w:t>
      </w:r>
    </w:p>
    <w:p w14:paraId="1B3B87F5" w14:textId="77777777" w:rsidR="00196B5C" w:rsidRPr="00E22D0F" w:rsidRDefault="00196B5C" w:rsidP="00196B5C">
      <w:pPr>
        <w:pStyle w:val="BodyText"/>
        <w:ind w:left="720"/>
        <w:rPr>
          <w:i/>
        </w:rPr>
      </w:pPr>
      <w:r w:rsidRPr="00E22D0F">
        <w:rPr>
          <w:i/>
        </w:rPr>
        <w:t xml:space="preserve">Conclusion 11-3. There is </w:t>
      </w:r>
      <w:r w:rsidRPr="00E22D0F">
        <w:rPr>
          <w:b/>
          <w:i/>
        </w:rPr>
        <w:t>limited evidence</w:t>
      </w:r>
      <w:r w:rsidRPr="00E22D0F">
        <w:rPr>
          <w:i/>
        </w:rPr>
        <w:t xml:space="preserve"> for reduction of chronic obstructive pulmonary disease (COPD) exacerbations among adult smokers with COPD who switch to e-cigarettes completely or in part (dual use). </w:t>
      </w:r>
    </w:p>
    <w:p w14:paraId="55DB867D" w14:textId="77777777" w:rsidR="00196B5C" w:rsidRPr="00E22D0F" w:rsidRDefault="00196B5C" w:rsidP="00196B5C">
      <w:pPr>
        <w:pStyle w:val="BodyText"/>
        <w:ind w:left="720"/>
        <w:rPr>
          <w:i/>
        </w:rPr>
      </w:pPr>
      <w:r w:rsidRPr="00E22D0F">
        <w:rPr>
          <w:i/>
        </w:rPr>
        <w:t xml:space="preserve">Conclusion 11-4. There is </w:t>
      </w:r>
      <w:r w:rsidRPr="00E22D0F">
        <w:rPr>
          <w:b/>
          <w:i/>
        </w:rPr>
        <w:t>moderate evidence</w:t>
      </w:r>
      <w:r w:rsidRPr="00E22D0F">
        <w:rPr>
          <w:i/>
        </w:rPr>
        <w:t xml:space="preserve"> for increased cough and wheeze in adolescents who use e-cigarettes and an association with e-cigarette use and an increase in asthma exacerbations. </w:t>
      </w:r>
    </w:p>
    <w:p w14:paraId="61C343FF" w14:textId="77777777" w:rsidR="00196B5C" w:rsidRPr="00E22D0F" w:rsidRDefault="00196B5C" w:rsidP="00196B5C">
      <w:pPr>
        <w:pStyle w:val="BodyText"/>
        <w:ind w:left="720"/>
        <w:rPr>
          <w:i/>
        </w:rPr>
      </w:pPr>
      <w:r w:rsidRPr="00E22D0F">
        <w:rPr>
          <w:i/>
        </w:rPr>
        <w:t xml:space="preserve">Conclusion 11-5. There is </w:t>
      </w:r>
      <w:r w:rsidRPr="00E22D0F">
        <w:rPr>
          <w:b/>
          <w:i/>
        </w:rPr>
        <w:t>limited evidence</w:t>
      </w:r>
      <w:r w:rsidRPr="00E22D0F">
        <w:rPr>
          <w:i/>
        </w:rPr>
        <w:t xml:space="preserve"> of adverse effects of e-cigarette exposure on the respiratory system from animal and in vitro studies. </w:t>
      </w:r>
    </w:p>
    <w:p w14:paraId="1B147EA2" w14:textId="77777777" w:rsidR="00196B5C" w:rsidRPr="00E22D0F" w:rsidRDefault="00196B5C" w:rsidP="00196B5C">
      <w:pPr>
        <w:pStyle w:val="BodyText"/>
        <w:ind w:left="720"/>
        <w:rPr>
          <w:i/>
        </w:rPr>
      </w:pPr>
      <w:r w:rsidRPr="00E22D0F">
        <w:rPr>
          <w:i/>
        </w:rPr>
        <w:t xml:space="preserve">Conclusion 12-1. There is </w:t>
      </w:r>
      <w:r w:rsidRPr="00E22D0F">
        <w:rPr>
          <w:b/>
          <w:i/>
        </w:rPr>
        <w:t>limited evidence</w:t>
      </w:r>
      <w:r w:rsidRPr="00E22D0F">
        <w:rPr>
          <w:i/>
        </w:rPr>
        <w:t xml:space="preserve"> suggesting that switching to e-cigarettes will improve periodontal disease in smokers. </w:t>
      </w:r>
    </w:p>
    <w:p w14:paraId="7C4ABD07" w14:textId="77777777" w:rsidR="00196B5C" w:rsidRPr="00E22D0F" w:rsidRDefault="00196B5C" w:rsidP="00196B5C">
      <w:pPr>
        <w:pStyle w:val="BodyText"/>
        <w:ind w:left="720"/>
        <w:rPr>
          <w:i/>
        </w:rPr>
      </w:pPr>
      <w:r w:rsidRPr="00E22D0F">
        <w:rPr>
          <w:i/>
        </w:rPr>
        <w:lastRenderedPageBreak/>
        <w:t xml:space="preserve">Conclusion 12-2. There is </w:t>
      </w:r>
      <w:r w:rsidRPr="00E22D0F">
        <w:rPr>
          <w:b/>
          <w:i/>
        </w:rPr>
        <w:t>limited evidence</w:t>
      </w:r>
      <w:r w:rsidRPr="00E22D0F">
        <w:rPr>
          <w:i/>
        </w:rPr>
        <w:t xml:space="preserve"> suggesting that nicotine and non-nicotine containing e-cigarette aerosol can adversely affect cell viability and cause cell damage of oral tissue in non-smokers. </w:t>
      </w:r>
    </w:p>
    <w:p w14:paraId="5A42ADE0" w14:textId="610CD735" w:rsidR="00196B5C" w:rsidRPr="00E22D0F" w:rsidRDefault="00196B5C" w:rsidP="00196B5C">
      <w:pPr>
        <w:pStyle w:val="BodyText"/>
        <w:ind w:left="720"/>
        <w:rPr>
          <w:i/>
        </w:rPr>
      </w:pPr>
      <w:r w:rsidRPr="00E22D0F">
        <w:rPr>
          <w:i/>
        </w:rPr>
        <w:t xml:space="preserve">Conclusion 13-1. There is </w:t>
      </w:r>
      <w:r w:rsidRPr="00E22D0F">
        <w:rPr>
          <w:b/>
          <w:i/>
        </w:rPr>
        <w:t>no available evidence</w:t>
      </w:r>
      <w:r w:rsidRPr="00E22D0F">
        <w:rPr>
          <w:i/>
        </w:rPr>
        <w:t xml:space="preserve"> whether or not e-cigarettes affect pregnancy outcomes.</w:t>
      </w:r>
      <w:r w:rsidR="008146F9">
        <w:rPr>
          <w:i/>
        </w:rPr>
        <w:t xml:space="preserve"> </w:t>
      </w:r>
    </w:p>
    <w:p w14:paraId="4B155FCA" w14:textId="77777777" w:rsidR="00196B5C" w:rsidRPr="00E22D0F" w:rsidRDefault="00196B5C" w:rsidP="00196B5C">
      <w:pPr>
        <w:pStyle w:val="BodyText"/>
        <w:ind w:left="720"/>
        <w:rPr>
          <w:i/>
        </w:rPr>
      </w:pPr>
      <w:r w:rsidRPr="00E22D0F">
        <w:rPr>
          <w:i/>
        </w:rPr>
        <w:t xml:space="preserve">Conclusion 13-2. There is </w:t>
      </w:r>
      <w:r w:rsidRPr="00E22D0F">
        <w:rPr>
          <w:b/>
          <w:i/>
        </w:rPr>
        <w:t>insufficient evidence</w:t>
      </w:r>
      <w:r w:rsidRPr="00E22D0F">
        <w:rPr>
          <w:i/>
        </w:rPr>
        <w:t xml:space="preserve"> whether or not maternal e-cigarette use affects fetal development. </w:t>
      </w:r>
    </w:p>
    <w:p w14:paraId="0E089410" w14:textId="77777777" w:rsidR="00196B5C" w:rsidRPr="00E22D0F" w:rsidRDefault="00196B5C" w:rsidP="00196B5C">
      <w:pPr>
        <w:pStyle w:val="BodyText"/>
        <w:ind w:left="720"/>
        <w:rPr>
          <w:i/>
        </w:rPr>
      </w:pPr>
      <w:r w:rsidRPr="00E22D0F">
        <w:rPr>
          <w:i/>
        </w:rPr>
        <w:t xml:space="preserve">Conclusion 14-1. There is </w:t>
      </w:r>
      <w:r w:rsidRPr="00E22D0F">
        <w:rPr>
          <w:b/>
          <w:i/>
        </w:rPr>
        <w:t>conclusive evidence</w:t>
      </w:r>
      <w:r w:rsidRPr="00E22D0F">
        <w:rPr>
          <w:i/>
        </w:rPr>
        <w:t xml:space="preserve"> that e-cigarette devices can explode and cause burns and projectile injuries. Such risk is significantly increased when batteries are of poor quality, stored improperly or are being modified by users. </w:t>
      </w:r>
    </w:p>
    <w:p w14:paraId="7A24EED1" w14:textId="77777777" w:rsidR="00196B5C" w:rsidRPr="00E22D0F" w:rsidRDefault="00196B5C" w:rsidP="00196B5C">
      <w:pPr>
        <w:pStyle w:val="BodyText"/>
        <w:ind w:left="720"/>
        <w:rPr>
          <w:i/>
        </w:rPr>
      </w:pPr>
      <w:r w:rsidRPr="00E22D0F">
        <w:rPr>
          <w:i/>
        </w:rPr>
        <w:t xml:space="preserve">Conclusion 14-2. There is </w:t>
      </w:r>
      <w:r w:rsidRPr="00E22D0F">
        <w:rPr>
          <w:b/>
          <w:i/>
        </w:rPr>
        <w:t>conclusive evidence</w:t>
      </w:r>
      <w:r w:rsidRPr="00E22D0F">
        <w:rPr>
          <w:i/>
        </w:rPr>
        <w:t xml:space="preserve"> that intentional or accidental exposure to e</w:t>
      </w:r>
      <w:r>
        <w:rPr>
          <w:i/>
        </w:rPr>
        <w:noBreakHyphen/>
      </w:r>
      <w:r w:rsidRPr="00E22D0F">
        <w:rPr>
          <w:i/>
        </w:rPr>
        <w:t xml:space="preserve">liquids (from drinking, eye contact, or dermal contact) can result in adverse health effects including but not limited to seizures, anoxic brain injury, vomiting, and lactic acidosis. </w:t>
      </w:r>
    </w:p>
    <w:p w14:paraId="75EAD34A" w14:textId="77777777" w:rsidR="00196B5C" w:rsidRDefault="00196B5C" w:rsidP="00196B5C">
      <w:pPr>
        <w:pStyle w:val="BodyText"/>
        <w:ind w:left="720"/>
      </w:pPr>
      <w:r w:rsidRPr="00E22D0F">
        <w:rPr>
          <w:i/>
        </w:rPr>
        <w:t xml:space="preserve">Conclusion 14-3. There is </w:t>
      </w:r>
      <w:r w:rsidRPr="00E22D0F">
        <w:rPr>
          <w:b/>
          <w:i/>
        </w:rPr>
        <w:t>conclusive evidence</w:t>
      </w:r>
      <w:r w:rsidRPr="00E22D0F">
        <w:rPr>
          <w:i/>
        </w:rPr>
        <w:t xml:space="preserve"> that intentionally or unintentionally drinking or injecting e-liquids can be fatal. </w:t>
      </w:r>
    </w:p>
    <w:p w14:paraId="4CB8B864" w14:textId="77777777" w:rsidR="00196B5C" w:rsidRPr="000C611E" w:rsidRDefault="00196B5C" w:rsidP="00196B5C">
      <w:pPr>
        <w:rPr>
          <w:sz w:val="24"/>
          <w:szCs w:val="24"/>
        </w:rPr>
      </w:pPr>
      <w:r w:rsidRPr="000C611E">
        <w:rPr>
          <w:sz w:val="24"/>
          <w:szCs w:val="24"/>
        </w:rPr>
        <w:t>Taken together, the evidence reviewed by the committee suggests that e-cigarettes are not without physiological activity in humans, but the implications for long-term effects on morbidity and mortality are not yet clear. Use of e-cigarettes instead of combustible tobacco cigarettes by those with existing respiratory disease might be less harmful.</w:t>
      </w:r>
    </w:p>
    <w:p w14:paraId="6586AD91" w14:textId="77777777" w:rsidR="00196B5C" w:rsidRPr="00926943" w:rsidRDefault="00196B5C" w:rsidP="00196B5C">
      <w:pPr>
        <w:pStyle w:val="AppendixHeading2"/>
      </w:pPr>
      <w:r w:rsidRPr="00E22D0F">
        <w:t>Initiation</w:t>
      </w:r>
      <w:r w:rsidRPr="00926943">
        <w:t xml:space="preserve"> and cessation </w:t>
      </w:r>
    </w:p>
    <w:p w14:paraId="7ABD7A53" w14:textId="6E351FD4" w:rsidR="00196B5C" w:rsidRDefault="00196B5C" w:rsidP="00196B5C">
      <w:pPr>
        <w:pStyle w:val="BodyText"/>
      </w:pPr>
      <w:r>
        <w:t>The Family Smoking Prevention and Tobacco Control Act of 2009, which is the basis for FDA’s regulatory authority of tobacco products, including e-cigarettes, defined a unique regulatory standard, the public health standard. This requires that tobacco products introduced on the market after 15 February 2007 be shown to have a net population health benefit to users and non-users of the product. Operationally, if a product caused more people to begin harmful tobacco use and fewer people to quit tobacco use, even if the product itself poses less risk to the user than other products, it could be determined that the product poses a public health burden and</w:t>
      </w:r>
      <w:r w:rsidRPr="00926943">
        <w:t xml:space="preserve"> </w:t>
      </w:r>
      <w:r>
        <w:t>would be kept off the market. Thus, the tobacco control field must pay close attention to the effects of e</w:t>
      </w:r>
      <w:r w:rsidR="001676A3">
        <w:noBreakHyphen/>
      </w:r>
      <w:r>
        <w:t xml:space="preserve">cigarette use on initiation and cessation of combustible tobacco use, regardless of the effects of e-cigarettes on health outcomes. Although the studies reviewed had limitations, the committee was able to make seven conclusions: </w:t>
      </w:r>
    </w:p>
    <w:p w14:paraId="520ABC82" w14:textId="77777777" w:rsidR="00196B5C" w:rsidRDefault="00196B5C" w:rsidP="00196B5C">
      <w:pPr>
        <w:pStyle w:val="BodyText"/>
        <w:ind w:left="720"/>
      </w:pPr>
      <w:r>
        <w:t xml:space="preserve">Conclusion 16-1. </w:t>
      </w:r>
      <w:r w:rsidRPr="00F97581">
        <w:rPr>
          <w:i/>
        </w:rPr>
        <w:t xml:space="preserve">There is </w:t>
      </w:r>
      <w:r w:rsidRPr="00F97581">
        <w:rPr>
          <w:b/>
          <w:i/>
        </w:rPr>
        <w:t>substantial evidence</w:t>
      </w:r>
      <w:r w:rsidRPr="00F97581">
        <w:rPr>
          <w:i/>
        </w:rPr>
        <w:t xml:space="preserve"> that e-cigarette use increases risk of ever using combustible tobacco cigarettes among youth and young adults.</w:t>
      </w:r>
      <w:r>
        <w:t xml:space="preserve"> </w:t>
      </w:r>
    </w:p>
    <w:p w14:paraId="00EEB8E6" w14:textId="77777777" w:rsidR="00196B5C" w:rsidRPr="00F97581" w:rsidRDefault="00196B5C" w:rsidP="00196B5C">
      <w:pPr>
        <w:pStyle w:val="BodyText"/>
        <w:ind w:left="720"/>
        <w:rPr>
          <w:i/>
        </w:rPr>
      </w:pPr>
      <w:r>
        <w:t xml:space="preserve">Conclusion 16-2. </w:t>
      </w:r>
      <w:r w:rsidRPr="00F97581">
        <w:rPr>
          <w:i/>
        </w:rPr>
        <w:t xml:space="preserve">Among youth and young adult e-cigarette users who ever use combustible tobacco cigarettes, there is </w:t>
      </w:r>
      <w:r w:rsidRPr="00F97581">
        <w:rPr>
          <w:b/>
          <w:i/>
        </w:rPr>
        <w:t>moderate evidence</w:t>
      </w:r>
      <w:r w:rsidRPr="00F97581">
        <w:rPr>
          <w:i/>
        </w:rPr>
        <w:t xml:space="preserve"> that e-cigarette use increases the frequency and intensity of subsequent combustible tobacco cigarette smoking. </w:t>
      </w:r>
    </w:p>
    <w:p w14:paraId="6137F1B8" w14:textId="77777777" w:rsidR="00196B5C" w:rsidRDefault="00196B5C" w:rsidP="00196B5C">
      <w:pPr>
        <w:pStyle w:val="BodyText"/>
        <w:ind w:left="720"/>
      </w:pPr>
      <w:r>
        <w:t xml:space="preserve">Conclusion 16-3. </w:t>
      </w:r>
      <w:r w:rsidRPr="00F97581">
        <w:rPr>
          <w:i/>
        </w:rPr>
        <w:t xml:space="preserve">Among youth and young adult e-cigarette users who ever use combustible tobacco cigarettes, there is </w:t>
      </w:r>
      <w:r w:rsidRPr="00F97581">
        <w:rPr>
          <w:b/>
          <w:i/>
        </w:rPr>
        <w:t>limited evidence</w:t>
      </w:r>
      <w:r w:rsidRPr="00F97581">
        <w:rPr>
          <w:i/>
        </w:rPr>
        <w:t xml:space="preserve"> that e-cigarette use increases, in the near term, the duration of subsequent combustible tobacco cigarette smoking. </w:t>
      </w:r>
    </w:p>
    <w:p w14:paraId="3A411974" w14:textId="77777777" w:rsidR="00196B5C" w:rsidRDefault="00196B5C" w:rsidP="00196B5C">
      <w:pPr>
        <w:pStyle w:val="BodyText"/>
        <w:ind w:left="720"/>
      </w:pPr>
      <w:r>
        <w:lastRenderedPageBreak/>
        <w:t xml:space="preserve">Conclusion 17-1. </w:t>
      </w:r>
      <w:r w:rsidRPr="00F97581">
        <w:rPr>
          <w:i/>
        </w:rPr>
        <w:t xml:space="preserve">Overall, there is </w:t>
      </w:r>
      <w:r w:rsidRPr="00F97581">
        <w:rPr>
          <w:b/>
          <w:i/>
        </w:rPr>
        <w:t>limited evidence</w:t>
      </w:r>
      <w:r w:rsidRPr="00F97581">
        <w:rPr>
          <w:i/>
        </w:rPr>
        <w:t xml:space="preserve"> that e-cigarettes may be effective aids to promote smoking cessation.</w:t>
      </w:r>
      <w:r>
        <w:t xml:space="preserve"> </w:t>
      </w:r>
    </w:p>
    <w:p w14:paraId="6E7A54E0" w14:textId="77777777" w:rsidR="00196B5C" w:rsidRPr="00F97581" w:rsidRDefault="00196B5C" w:rsidP="00196B5C">
      <w:pPr>
        <w:pStyle w:val="BodyText"/>
        <w:ind w:left="720"/>
        <w:rPr>
          <w:i/>
        </w:rPr>
      </w:pPr>
      <w:r>
        <w:t xml:space="preserve">Conclusion 17-2. </w:t>
      </w:r>
      <w:r w:rsidRPr="00F97581">
        <w:rPr>
          <w:i/>
        </w:rPr>
        <w:t xml:space="preserve">There is </w:t>
      </w:r>
      <w:r w:rsidRPr="00F97581">
        <w:rPr>
          <w:b/>
          <w:i/>
        </w:rPr>
        <w:t>moderate evidence</w:t>
      </w:r>
      <w:r w:rsidRPr="00F97581">
        <w:rPr>
          <w:i/>
        </w:rPr>
        <w:t xml:space="preserve"> from randomized controlled trials that e</w:t>
      </w:r>
      <w:r>
        <w:rPr>
          <w:i/>
        </w:rPr>
        <w:noBreakHyphen/>
      </w:r>
      <w:r w:rsidRPr="00F97581">
        <w:rPr>
          <w:i/>
        </w:rPr>
        <w:t>cigarettes with nicotine are more effective than e-cigarettes without nicotine for smoking cessation.</w:t>
      </w:r>
    </w:p>
    <w:p w14:paraId="6616F821" w14:textId="77777777" w:rsidR="00196B5C" w:rsidRDefault="00196B5C" w:rsidP="00196B5C">
      <w:pPr>
        <w:pStyle w:val="BodyText"/>
        <w:ind w:left="720"/>
      </w:pPr>
      <w:r>
        <w:t xml:space="preserve">Conclusion 17-3. </w:t>
      </w:r>
      <w:r w:rsidRPr="00F97581">
        <w:rPr>
          <w:i/>
        </w:rPr>
        <w:t xml:space="preserve">There is </w:t>
      </w:r>
      <w:r w:rsidRPr="00F97581">
        <w:rPr>
          <w:b/>
          <w:i/>
        </w:rPr>
        <w:t>insufficient evidence</w:t>
      </w:r>
      <w:r w:rsidRPr="00F97581">
        <w:rPr>
          <w:i/>
        </w:rPr>
        <w:t xml:space="preserve"> from randomized controlled trials about the effectiveness of e-cigarettes as cessation aids compared with no treatment or to Food and Drug Administration–approved smoking cessation treatments.</w:t>
      </w:r>
      <w:r>
        <w:t xml:space="preserve"> </w:t>
      </w:r>
    </w:p>
    <w:p w14:paraId="1A39F36A" w14:textId="77777777" w:rsidR="00196B5C" w:rsidRDefault="00196B5C" w:rsidP="00196B5C">
      <w:pPr>
        <w:pStyle w:val="BodyText"/>
        <w:ind w:left="720"/>
      </w:pPr>
      <w:r>
        <w:t xml:space="preserve">Conclusion 17-4. </w:t>
      </w:r>
      <w:r w:rsidRPr="00F97581">
        <w:t xml:space="preserve">While the overall evidence from observational trials is mixed, there is </w:t>
      </w:r>
      <w:r w:rsidRPr="00F97581">
        <w:rPr>
          <w:b/>
        </w:rPr>
        <w:t>moderate evidence</w:t>
      </w:r>
      <w:r w:rsidRPr="00F97581">
        <w:t xml:space="preserve"> from observational studies that more frequent use of e-cigarettes is associated with increased likelihood of cessation.</w:t>
      </w:r>
      <w:r>
        <w:t xml:space="preserve"> </w:t>
      </w:r>
    </w:p>
    <w:p w14:paraId="3C3BF2CA" w14:textId="77777777" w:rsidR="00196B5C" w:rsidRDefault="00196B5C" w:rsidP="00196B5C">
      <w:pPr>
        <w:pStyle w:val="BodyText"/>
      </w:pPr>
      <w:r>
        <w:t>Taken together the evidence suggests that while e-cigarettes might cause youth who use them to transition to use of combustible tobacco products, they might increase adult cessation of combustible tobacco cigarettes.</w:t>
      </w:r>
    </w:p>
    <w:p w14:paraId="62DDFB95" w14:textId="77777777" w:rsidR="00196B5C" w:rsidRDefault="00196B5C" w:rsidP="00196B5C"/>
    <w:p w14:paraId="790978EA" w14:textId="77777777" w:rsidR="00196B5C" w:rsidRPr="00F97581" w:rsidRDefault="00196B5C" w:rsidP="00196B5C">
      <w:pPr>
        <w:pStyle w:val="AppendixHeading2"/>
      </w:pPr>
      <w:r w:rsidRPr="00F97581">
        <w:t xml:space="preserve">Harm reduction </w:t>
      </w:r>
    </w:p>
    <w:p w14:paraId="7B709786" w14:textId="77777777" w:rsidR="00196B5C" w:rsidRDefault="00196B5C" w:rsidP="00196B5C">
      <w:pPr>
        <w:pStyle w:val="BodyText"/>
      </w:pPr>
      <w:r>
        <w:t xml:space="preserve">The committee reviewed evidence from the sections discussed above to specifically look at what is known about e-cigarette exposures and health effects when compared with combustible tobacco cigarettes. The committee reached five conclusions. </w:t>
      </w:r>
    </w:p>
    <w:p w14:paraId="2971ECE3" w14:textId="77777777" w:rsidR="00196B5C" w:rsidRDefault="00196B5C" w:rsidP="00196B5C">
      <w:pPr>
        <w:pStyle w:val="BodyText"/>
        <w:ind w:left="720"/>
        <w:rPr>
          <w:i/>
        </w:rPr>
      </w:pPr>
      <w:r>
        <w:t xml:space="preserve">Conclusion 18-1. </w:t>
      </w:r>
      <w:r w:rsidRPr="00F97581">
        <w:rPr>
          <w:i/>
        </w:rPr>
        <w:t xml:space="preserve">There is </w:t>
      </w:r>
      <w:r w:rsidRPr="00F97581">
        <w:rPr>
          <w:b/>
          <w:i/>
        </w:rPr>
        <w:t>conclusive evidence</w:t>
      </w:r>
      <w:r w:rsidRPr="00F97581">
        <w:rPr>
          <w:i/>
        </w:rPr>
        <w:t xml:space="preserve"> that completely substituting e-cigarettes for combustible tobacco cigarettes reduces users’ exposure to numerous toxicants and carcinogens present in combustible tobacco cigarettes.</w:t>
      </w:r>
    </w:p>
    <w:p w14:paraId="12998806" w14:textId="77777777" w:rsidR="00196B5C" w:rsidRDefault="00196B5C" w:rsidP="00196B5C">
      <w:pPr>
        <w:pStyle w:val="BodyText"/>
        <w:ind w:left="720"/>
      </w:pPr>
      <w:r>
        <w:t>Conclusion 18-2.</w:t>
      </w:r>
      <w:r w:rsidRPr="00F97581">
        <w:rPr>
          <w:i/>
        </w:rPr>
        <w:t xml:space="preserve">There is </w:t>
      </w:r>
      <w:r w:rsidRPr="00F97581">
        <w:rPr>
          <w:b/>
          <w:i/>
        </w:rPr>
        <w:t>substantial evidence</w:t>
      </w:r>
      <w:r w:rsidRPr="00F97581">
        <w:rPr>
          <w:i/>
        </w:rPr>
        <w:t xml:space="preserve"> that completely switching from regular use of combustible tobacco cigarettes to e-cigarettes results in reduced short-term adverse health outcomes in several organ systems.</w:t>
      </w:r>
      <w:r>
        <w:t xml:space="preserve"> </w:t>
      </w:r>
    </w:p>
    <w:p w14:paraId="27041391" w14:textId="77777777" w:rsidR="00196B5C" w:rsidRDefault="00196B5C" w:rsidP="00196B5C">
      <w:pPr>
        <w:pStyle w:val="BodyText"/>
        <w:ind w:left="720"/>
      </w:pPr>
      <w:r>
        <w:t xml:space="preserve">Conclusion 18-3. </w:t>
      </w:r>
      <w:r w:rsidRPr="00F97581">
        <w:rPr>
          <w:i/>
        </w:rPr>
        <w:t xml:space="preserve">There is </w:t>
      </w:r>
      <w:r w:rsidRPr="00F97581">
        <w:rPr>
          <w:b/>
          <w:i/>
        </w:rPr>
        <w:t>no available evidence</w:t>
      </w:r>
      <w:r w:rsidRPr="00F97581">
        <w:rPr>
          <w:i/>
        </w:rPr>
        <w:t xml:space="preserve"> whether or not long-term e-cigarette use among smokers (dual use) changes morbidity or mortality compared with those who only smoke combustible tobacco cigarettes.</w:t>
      </w:r>
      <w:r>
        <w:t xml:space="preserve"> </w:t>
      </w:r>
    </w:p>
    <w:p w14:paraId="626F5CCB" w14:textId="40FC2BBC" w:rsidR="00196B5C" w:rsidRDefault="00196B5C" w:rsidP="00196B5C">
      <w:pPr>
        <w:pStyle w:val="BodyText"/>
        <w:ind w:left="720"/>
      </w:pPr>
      <w:r>
        <w:t xml:space="preserve">Conclusion 18-4. </w:t>
      </w:r>
      <w:r w:rsidRPr="00F97581">
        <w:rPr>
          <w:i/>
        </w:rPr>
        <w:t xml:space="preserve">There is </w:t>
      </w:r>
      <w:r w:rsidRPr="00F97581">
        <w:rPr>
          <w:b/>
          <w:i/>
        </w:rPr>
        <w:t>insufficient evidence</w:t>
      </w:r>
      <w:r w:rsidRPr="00F97581">
        <w:rPr>
          <w:i/>
        </w:rPr>
        <w:t xml:space="preserve"> that e-cigarette use changes short-term adverse health outcomes in several organ systems in smokers who continue to smoke combustible tobacco cigarettes (dual users).</w:t>
      </w:r>
      <w:r w:rsidR="008146F9">
        <w:t xml:space="preserve"> </w:t>
      </w:r>
    </w:p>
    <w:p w14:paraId="6547BDA6" w14:textId="77777777" w:rsidR="00196B5C" w:rsidRPr="00F97581" w:rsidRDefault="00196B5C" w:rsidP="00196B5C">
      <w:pPr>
        <w:pStyle w:val="BodyText"/>
        <w:ind w:left="720"/>
        <w:rPr>
          <w:i/>
        </w:rPr>
      </w:pPr>
      <w:r>
        <w:t xml:space="preserve">Conclusion 18-5. </w:t>
      </w:r>
      <w:r w:rsidRPr="00F97581">
        <w:rPr>
          <w:i/>
        </w:rPr>
        <w:t xml:space="preserve">There is </w:t>
      </w:r>
      <w:r w:rsidRPr="00F97581">
        <w:rPr>
          <w:b/>
          <w:i/>
        </w:rPr>
        <w:t>moderate evidence</w:t>
      </w:r>
      <w:r w:rsidRPr="00F97581">
        <w:rPr>
          <w:i/>
        </w:rPr>
        <w:t xml:space="preserve"> that second-hand exposure to nicotine and particulates is lower from e-cigarettes compared with combustible tobacco cigarettes. </w:t>
      </w:r>
    </w:p>
    <w:p w14:paraId="0C436459" w14:textId="77777777" w:rsidR="00196B5C" w:rsidRDefault="00196B5C" w:rsidP="00196B5C">
      <w:pPr>
        <w:pStyle w:val="BodyText"/>
      </w:pPr>
      <w:r>
        <w:t>The evidence about harm reduction suggests that across a range of studies and outcomes, e</w:t>
      </w:r>
      <w:r>
        <w:noBreakHyphen/>
        <w:t>cigarettes pose less risk to an individual than combustible tobacco cigarettes.</w:t>
      </w:r>
    </w:p>
    <w:p w14:paraId="106D520C" w14:textId="77777777" w:rsidR="00196B5C" w:rsidRDefault="00196B5C" w:rsidP="00196B5C">
      <w:pPr>
        <w:spacing w:after="0"/>
      </w:pPr>
      <w:r>
        <w:br w:type="page"/>
      </w:r>
    </w:p>
    <w:p w14:paraId="4CF1542D" w14:textId="77777777" w:rsidR="00196B5C" w:rsidRPr="007008F9" w:rsidRDefault="00196B5C" w:rsidP="00196B5C">
      <w:pPr>
        <w:pStyle w:val="Boxedtext"/>
        <w:rPr>
          <w:b/>
        </w:rPr>
      </w:pPr>
      <w:r w:rsidRPr="007008F9">
        <w:rPr>
          <w:b/>
        </w:rPr>
        <w:lastRenderedPageBreak/>
        <w:t>Levels of Evidence Framework for Conclusions</w:t>
      </w:r>
    </w:p>
    <w:p w14:paraId="61371691" w14:textId="3F76019A" w:rsidR="00196B5C" w:rsidRPr="007008F9" w:rsidRDefault="00196B5C" w:rsidP="00196B5C">
      <w:pPr>
        <w:pStyle w:val="Boxedtext"/>
        <w:rPr>
          <w:sz w:val="22"/>
        </w:rPr>
      </w:pPr>
      <w:r w:rsidRPr="007008F9">
        <w:rPr>
          <w:b/>
          <w:sz w:val="22"/>
        </w:rPr>
        <w:t>Conclusive evidence:</w:t>
      </w:r>
      <w:r w:rsidRPr="007008F9">
        <w:rPr>
          <w:sz w:val="22"/>
        </w:rPr>
        <w:t xml:space="preserve"> There are many supportive findings from good-quality controlled studies (including randomized and non-randomized controlled trials) with no credible opposing findings. A firm conclusion can be made, and the limitations to the evidence, including chance, bias, and confounding factors, can be ruled out with reasonable confidence.</w:t>
      </w:r>
      <w:r w:rsidR="008146F9">
        <w:rPr>
          <w:sz w:val="22"/>
        </w:rPr>
        <w:t xml:space="preserve"> </w:t>
      </w:r>
    </w:p>
    <w:p w14:paraId="196998D0" w14:textId="77777777" w:rsidR="00196B5C" w:rsidRPr="007008F9" w:rsidRDefault="00196B5C" w:rsidP="00196B5C">
      <w:pPr>
        <w:pStyle w:val="Boxedtext"/>
        <w:rPr>
          <w:sz w:val="22"/>
        </w:rPr>
      </w:pPr>
      <w:r w:rsidRPr="007008F9">
        <w:rPr>
          <w:b/>
          <w:sz w:val="22"/>
        </w:rPr>
        <w:t>Substantial evidence:</w:t>
      </w:r>
      <w:r w:rsidRPr="007008F9">
        <w:rPr>
          <w:sz w:val="22"/>
        </w:rPr>
        <w:t xml:space="preserve"> There are several supportive findings from good-quality observational studies or controlled trials with few or no credible opposing findings. A firm conclusion can be made, but minor limitations, including chance, bias, and confounding factors, cannot be ruled out with reasonable confidence. </w:t>
      </w:r>
    </w:p>
    <w:p w14:paraId="031818C4" w14:textId="77777777" w:rsidR="00196B5C" w:rsidRPr="007008F9" w:rsidRDefault="00196B5C" w:rsidP="00196B5C">
      <w:pPr>
        <w:pStyle w:val="Boxedtext"/>
        <w:rPr>
          <w:sz w:val="22"/>
        </w:rPr>
      </w:pPr>
      <w:r w:rsidRPr="007008F9">
        <w:rPr>
          <w:b/>
          <w:sz w:val="22"/>
        </w:rPr>
        <w:t>Moderate evidence:</w:t>
      </w:r>
      <w:r w:rsidRPr="007008F9">
        <w:rPr>
          <w:sz w:val="22"/>
        </w:rPr>
        <w:t xml:space="preserve"> There are several supportive findings from fair-quality studies with few or no credible opposing findings. A general conclusion can be made, but limitations, including chance, bias, and confounding factors, cannot be ruled out with reasonable confidence. </w:t>
      </w:r>
    </w:p>
    <w:p w14:paraId="4E7AC954" w14:textId="77777777" w:rsidR="00196B5C" w:rsidRPr="007008F9" w:rsidRDefault="00196B5C" w:rsidP="00196B5C">
      <w:pPr>
        <w:pStyle w:val="Boxedtext"/>
        <w:rPr>
          <w:sz w:val="22"/>
        </w:rPr>
      </w:pPr>
      <w:r w:rsidRPr="007008F9">
        <w:rPr>
          <w:b/>
          <w:sz w:val="22"/>
        </w:rPr>
        <w:t>Limited evidence:</w:t>
      </w:r>
      <w:r w:rsidRPr="007008F9">
        <w:rPr>
          <w:sz w:val="22"/>
        </w:rPr>
        <w:t xml:space="preserve"> There are supportive findings from fair-quality studies or mixed findings with most favouring one conclusion. A conclusion can be made, but there is significant uncertainty due to chance, bias, and confounding factors. </w:t>
      </w:r>
    </w:p>
    <w:p w14:paraId="578A8936" w14:textId="77777777" w:rsidR="00196B5C" w:rsidRPr="007008F9" w:rsidRDefault="00196B5C" w:rsidP="00196B5C">
      <w:pPr>
        <w:pStyle w:val="Boxedtext"/>
        <w:rPr>
          <w:sz w:val="22"/>
        </w:rPr>
      </w:pPr>
      <w:r w:rsidRPr="007008F9">
        <w:rPr>
          <w:b/>
          <w:sz w:val="22"/>
        </w:rPr>
        <w:t>Insufficient evidence:</w:t>
      </w:r>
      <w:r w:rsidRPr="007008F9">
        <w:rPr>
          <w:sz w:val="22"/>
        </w:rPr>
        <w:t xml:space="preserve"> There are mixed findings or a single poor study. No conclusion can be made because of substantial uncertainty due to chance, bias, and confounding factors. </w:t>
      </w:r>
    </w:p>
    <w:p w14:paraId="78BECA75" w14:textId="77777777" w:rsidR="00196B5C" w:rsidRDefault="00196B5C" w:rsidP="00196B5C"/>
    <w:p w14:paraId="4A69F5A5" w14:textId="77777777" w:rsidR="00196B5C" w:rsidRDefault="00196B5C" w:rsidP="00196B5C"/>
    <w:p w14:paraId="5E01A09E" w14:textId="77777777" w:rsidR="00196B5C" w:rsidRDefault="00196B5C" w:rsidP="00196B5C">
      <w:pPr>
        <w:sectPr w:rsidR="00196B5C" w:rsidSect="00196B5C">
          <w:pgSz w:w="11906" w:h="16838" w:code="9"/>
          <w:pgMar w:top="1134" w:right="1134" w:bottom="1134" w:left="1134" w:header="510" w:footer="624" w:gutter="0"/>
          <w:cols w:space="850"/>
          <w:docGrid w:linePitch="360"/>
        </w:sectPr>
      </w:pPr>
    </w:p>
    <w:p w14:paraId="7F7BB9E4" w14:textId="2076FFDE" w:rsidR="00196B5C" w:rsidRDefault="00196B5C" w:rsidP="00196B5C">
      <w:pPr>
        <w:pStyle w:val="Heading9"/>
      </w:pPr>
      <w:bookmarkStart w:id="351" w:name="_Toc517706750"/>
      <w:r>
        <w:lastRenderedPageBreak/>
        <w:t>Evidence review of e-cigarettes and heated tobacco products 2018: A report commissioned by Public Health England</w:t>
      </w:r>
      <w:bookmarkEnd w:id="351"/>
    </w:p>
    <w:p w14:paraId="489760A1" w14:textId="77777777" w:rsidR="00A95DC5" w:rsidRPr="00A95DC5" w:rsidRDefault="00A95DC5" w:rsidP="00A95DC5">
      <w:pPr>
        <w:pStyle w:val="BodyText"/>
      </w:pPr>
      <w:r>
        <w:t>The key findings from this report</w:t>
      </w:r>
      <w:r w:rsidR="0061588D">
        <w:t xml:space="preserve"> </w:t>
      </w:r>
      <w:r w:rsidR="00535C67">
        <w:fldChar w:fldCharType="begin"/>
      </w:r>
      <w:r w:rsidR="00535C67">
        <w:instrText xml:space="preserve"> ADDIN EN.CITE &lt;EndNote&gt;&lt;Cite&gt;&lt;Author&gt;McNeill A&lt;/Author&gt;&lt;Year&gt;2018&lt;/Year&gt;&lt;RecNum&gt;9330&lt;/RecNum&gt;&lt;DisplayText&gt;(McNeill A 2018)&lt;/DisplayText&gt;&lt;record&gt;&lt;rec-number&gt;9330&lt;/rec-number&gt;&lt;foreign-keys&gt;&lt;key app="EN" db-id="9z05dz0praadfuee0zoxzedk9zfe5fxx50z5" timestamp="1524019080"&gt;9330&lt;/key&gt;&lt;key app="ENWeb" db-id=""&gt;0&lt;/key&gt;&lt;/foreign-keys&gt;&lt;ref-type name="Report"&gt;27&lt;/ref-type&gt;&lt;contributors&gt;&lt;authors&gt;&lt;author&gt;McNeill A,  Brose. L., Calder R,  Bauld L, Robson D.&lt;/author&gt;&lt;/authors&gt;&lt;/contributors&gt;&lt;titles&gt;&lt;title&gt;Evidence Review of e-cigarettes and heated tobacco products 2018. A Report commissioned by Public Health England.&lt;/title&gt;&lt;/titles&gt;&lt;dates&gt;&lt;year&gt;2018&lt;/year&gt;&lt;/dates&gt;&lt;pub-location&gt;London&lt;/pub-location&gt;&lt;publisher&gt;Public Health England&lt;/publisher&gt;&lt;urls&gt;&lt;related-urls&gt;&lt;url&gt;https://www.gov.uk/government/publications/e-cigarettes-and-heated-tobacco-products-evidence-review&lt;/url&gt;&lt;/related-urls&gt;&lt;/urls&gt;&lt;/record&gt;&lt;/Cite&gt;&lt;/EndNote&gt;</w:instrText>
      </w:r>
      <w:r w:rsidR="00535C67">
        <w:fldChar w:fldCharType="separate"/>
      </w:r>
      <w:r w:rsidR="00535C67">
        <w:rPr>
          <w:noProof/>
        </w:rPr>
        <w:t>(McNeill A 2018)</w:t>
      </w:r>
      <w:r w:rsidR="00535C67">
        <w:fldChar w:fldCharType="end"/>
      </w:r>
      <w:r>
        <w:t xml:space="preserve"> are: </w:t>
      </w:r>
    </w:p>
    <w:p w14:paraId="7262E39E" w14:textId="77777777" w:rsidR="00196B5C" w:rsidRDefault="00196B5C" w:rsidP="00196B5C">
      <w:pPr>
        <w:pStyle w:val="AppendixHeading2"/>
      </w:pPr>
      <w:r>
        <w:t xml:space="preserve">The effect of e-cigarette use on smoking cessation and reduction </w:t>
      </w:r>
    </w:p>
    <w:p w14:paraId="56C30A26" w14:textId="77777777" w:rsidR="00196B5C" w:rsidRDefault="00196B5C" w:rsidP="00196B5C">
      <w:pPr>
        <w:pStyle w:val="AppendixHeading3"/>
      </w:pPr>
      <w:r>
        <w:t xml:space="preserve">Key findings </w:t>
      </w:r>
    </w:p>
    <w:p w14:paraId="1369476C" w14:textId="60E32BE7" w:rsidR="00196B5C" w:rsidRPr="00FA5E11" w:rsidRDefault="00196B5C" w:rsidP="00196B5C">
      <w:pPr>
        <w:pStyle w:val="BodyText"/>
        <w:numPr>
          <w:ilvl w:val="0"/>
          <w:numId w:val="39"/>
        </w:numPr>
      </w:pPr>
      <w:r>
        <w:t xml:space="preserve">In the first </w:t>
      </w:r>
      <w:r w:rsidRPr="00FA5E11">
        <w:t>half of 2017, quit success rates in England were at their highest rates so far observed and for the first time, parity across different socioeconomic groups was observed. It is plausible that e-cigarettes have contributed to this.</w:t>
      </w:r>
      <w:r w:rsidR="008146F9">
        <w:t xml:space="preserve"> </w:t>
      </w:r>
    </w:p>
    <w:p w14:paraId="48E5B820" w14:textId="0618296B" w:rsidR="00196B5C" w:rsidRPr="00FA5E11" w:rsidRDefault="00196B5C" w:rsidP="00196B5C">
      <w:pPr>
        <w:pStyle w:val="BodyText"/>
        <w:numPr>
          <w:ilvl w:val="0"/>
          <w:numId w:val="39"/>
        </w:numPr>
      </w:pPr>
      <w:r w:rsidRPr="00FA5E11">
        <w:t>Recent estimates of additional quitters resulting annually from the availability of e</w:t>
      </w:r>
      <w:r>
        <w:noBreakHyphen/>
      </w:r>
      <w:r w:rsidRPr="00FA5E11">
        <w:t>cigarettes, using the same dataset but two different methods, resulted in similar figures within the range of 16,000-22,000. Varying the assumptions, and updating these estimates for 2016, resulted in an upper bound estimate of around 57,000 additional quitters annually resulting from e-cigarettes (lower bound around 22,000). While caution is needed with these figures, the evidence suggests that e-cigarettes have contributed tens of thousands of additional quitters in England.</w:t>
      </w:r>
      <w:r w:rsidR="008146F9">
        <w:t xml:space="preserve"> </w:t>
      </w:r>
    </w:p>
    <w:p w14:paraId="2FD57ED0" w14:textId="77777777" w:rsidR="00196B5C" w:rsidRDefault="00196B5C" w:rsidP="00196B5C">
      <w:pPr>
        <w:pStyle w:val="BodyText"/>
        <w:numPr>
          <w:ilvl w:val="0"/>
          <w:numId w:val="39"/>
        </w:numPr>
      </w:pPr>
      <w:r w:rsidRPr="00FA5E11">
        <w:t>E-cigarette use, alone or in combination with licensed medication and behavioural support from a Stop Smoking Service, appear to be helpful in the short term. However, fewer smokers use an e-cigarette as part of a quit attempt with a Stop Smoking Service compared with licensed medication.</w:t>
      </w:r>
    </w:p>
    <w:p w14:paraId="2C6ECD93" w14:textId="77777777" w:rsidR="00196B5C" w:rsidRPr="007008F9" w:rsidRDefault="00196B5C" w:rsidP="00196B5C">
      <w:pPr>
        <w:pStyle w:val="BodyText"/>
        <w:numPr>
          <w:ilvl w:val="0"/>
          <w:numId w:val="39"/>
        </w:numPr>
      </w:pPr>
      <w:r w:rsidRPr="00FA5E11">
        <w:t>We identified 14 systematic reviews of e-cigarettes for smoking cessation and /or reduction published since our last report, seven of which included a meta-analysis. The authors of the systematic reviews arrived at the same conclusion that further randomised controlled trials of e-cigarettes are needed. However, the reviews that included a meta</w:t>
      </w:r>
      <w:r>
        <w:noBreakHyphen/>
      </w:r>
      <w:r w:rsidRPr="00FA5E11">
        <w:t>analysis produced different results; two found a positive effect on cessation for e</w:t>
      </w:r>
      <w:r>
        <w:noBreakHyphen/>
      </w:r>
      <w:r w:rsidRPr="00FA5E11">
        <w:t>cigarette use, four found an inconclusive effect for cessation and one found a negative effect</w:t>
      </w:r>
      <w:r>
        <w:t>.</w:t>
      </w:r>
    </w:p>
    <w:p w14:paraId="31D15C57" w14:textId="67F9A1F2" w:rsidR="00196B5C" w:rsidRDefault="00196B5C" w:rsidP="00196B5C">
      <w:pPr>
        <w:pStyle w:val="AppendixHeading3"/>
      </w:pPr>
      <w:r>
        <w:t>Implications</w:t>
      </w:r>
      <w:r w:rsidR="008146F9">
        <w:t xml:space="preserve"> </w:t>
      </w:r>
    </w:p>
    <w:p w14:paraId="47D04A93" w14:textId="6EC6A3F7" w:rsidR="00196B5C" w:rsidRDefault="00196B5C" w:rsidP="00196B5C">
      <w:pPr>
        <w:pStyle w:val="Heading4"/>
      </w:pPr>
      <w:r>
        <w:t>Research</w:t>
      </w:r>
      <w:r w:rsidR="008146F9">
        <w:t xml:space="preserve"> </w:t>
      </w:r>
    </w:p>
    <w:p w14:paraId="1CC9C27F" w14:textId="77777777" w:rsidR="00196B5C" w:rsidRPr="00FA5E11" w:rsidRDefault="00196B5C" w:rsidP="00196B5C">
      <w:pPr>
        <w:pStyle w:val="BodyText"/>
        <w:numPr>
          <w:ilvl w:val="0"/>
          <w:numId w:val="40"/>
        </w:numPr>
      </w:pPr>
      <w:r>
        <w:t xml:space="preserve">An </w:t>
      </w:r>
      <w:r w:rsidRPr="00FA5E11">
        <w:t xml:space="preserve">important focus of future research is longer-term relapse trajectories of people who use e-cigarettes for quitting compared with other stop smoking treatments and also assess whether the uptake of e-cigarettes after quitting can prevent relapse back to smoking. </w:t>
      </w:r>
    </w:p>
    <w:p w14:paraId="0337347E" w14:textId="2DD9FBE5" w:rsidR="00196B5C" w:rsidRPr="00FA5E11" w:rsidRDefault="00196B5C" w:rsidP="00196B5C">
      <w:pPr>
        <w:pStyle w:val="BodyText"/>
        <w:numPr>
          <w:ilvl w:val="0"/>
          <w:numId w:val="40"/>
        </w:numPr>
      </w:pPr>
      <w:r w:rsidRPr="00FA5E11">
        <w:lastRenderedPageBreak/>
        <w:t>Funders should consider that although randomised controlled trials (RCTs) may yield higher internal validity this is at the cost of lower generalisability. Future robust observational studies and RCTs should consider allowing for user experimentation (e.g. trial and error of different types of e-cigarette products), as well as the inclusion of study outcomes that are relevant and meaningful for e-cigarette users.</w:t>
      </w:r>
      <w:r w:rsidR="008146F9">
        <w:t xml:space="preserve"> </w:t>
      </w:r>
    </w:p>
    <w:p w14:paraId="77E57BA5" w14:textId="77777777" w:rsidR="00196B5C" w:rsidRDefault="00196B5C" w:rsidP="00196B5C">
      <w:pPr>
        <w:pStyle w:val="BodyText"/>
        <w:numPr>
          <w:ilvl w:val="0"/>
          <w:numId w:val="40"/>
        </w:numPr>
      </w:pPr>
      <w:r w:rsidRPr="00FA5E11">
        <w:t xml:space="preserve">Funders should commission research about the effect of e-cigarettes on smoking cessation in vulnerable populations (e.g. people who smoke who have a mental illness, substance misuse disorder, homeless or prison populations). </w:t>
      </w:r>
    </w:p>
    <w:p w14:paraId="39C559C9" w14:textId="77777777" w:rsidR="00196B5C" w:rsidRPr="007008F9" w:rsidRDefault="00196B5C" w:rsidP="00196B5C">
      <w:pPr>
        <w:pStyle w:val="BodyText"/>
      </w:pPr>
    </w:p>
    <w:p w14:paraId="631253B3" w14:textId="77777777" w:rsidR="00196B5C" w:rsidRDefault="00196B5C" w:rsidP="00196B5C">
      <w:pPr>
        <w:pStyle w:val="Heading4"/>
      </w:pPr>
      <w:r>
        <w:t xml:space="preserve">Policy and practice </w:t>
      </w:r>
    </w:p>
    <w:p w14:paraId="5121F881" w14:textId="1EA14A00" w:rsidR="00196B5C" w:rsidRPr="00FA5E11" w:rsidRDefault="00196B5C" w:rsidP="00196B5C">
      <w:pPr>
        <w:pStyle w:val="BodyText"/>
        <w:numPr>
          <w:ilvl w:val="0"/>
          <w:numId w:val="41"/>
        </w:numPr>
      </w:pPr>
      <w:r w:rsidRPr="00FA5E11">
        <w:t>Stop smoking practitioners and health professionals should provide behavioural support to smokers who want to use an e-cigarette to help them quit smoking.</w:t>
      </w:r>
      <w:r w:rsidR="008146F9">
        <w:t xml:space="preserve"> </w:t>
      </w:r>
    </w:p>
    <w:p w14:paraId="1F475E15" w14:textId="2CA09241" w:rsidR="00196B5C" w:rsidRPr="00FA5E11" w:rsidRDefault="00196B5C" w:rsidP="00196B5C">
      <w:pPr>
        <w:pStyle w:val="BodyText"/>
        <w:numPr>
          <w:ilvl w:val="0"/>
          <w:numId w:val="41"/>
        </w:numPr>
      </w:pPr>
      <w:r w:rsidRPr="00FA5E11">
        <w:t>Stop smoking service practitioners and health professionals supporting smokers to quit should receive education and training in use of e-cigarettes in quit attempts.</w:t>
      </w:r>
      <w:r w:rsidR="008146F9">
        <w:t xml:space="preserve"> </w:t>
      </w:r>
    </w:p>
    <w:p w14:paraId="0FF110B7" w14:textId="77777777" w:rsidR="00196B5C" w:rsidRDefault="00196B5C" w:rsidP="00196B5C">
      <w:pPr>
        <w:pStyle w:val="BodyText"/>
        <w:numPr>
          <w:ilvl w:val="0"/>
          <w:numId w:val="41"/>
        </w:numPr>
      </w:pPr>
      <w:r w:rsidRPr="00FA5E11">
        <w:t xml:space="preserve">Local authorities should continue to fund and provide Stop Smoking Services in accordance with the evidence base. </w:t>
      </w:r>
    </w:p>
    <w:p w14:paraId="2E1B0217" w14:textId="77777777" w:rsidR="00196B5C" w:rsidRPr="007008F9" w:rsidRDefault="00196B5C" w:rsidP="00196B5C">
      <w:pPr>
        <w:pStyle w:val="BodyText"/>
      </w:pPr>
    </w:p>
    <w:p w14:paraId="5D2BFC61" w14:textId="77777777" w:rsidR="00196B5C" w:rsidRPr="007008F9" w:rsidRDefault="00196B5C" w:rsidP="00196B5C">
      <w:pPr>
        <w:pStyle w:val="AppendixHeading2"/>
      </w:pPr>
      <w:r>
        <w:t xml:space="preserve">Health risks of e-cigarettes </w:t>
      </w:r>
    </w:p>
    <w:p w14:paraId="7B7DEEC6" w14:textId="2717A08E" w:rsidR="00196B5C" w:rsidRDefault="00196B5C" w:rsidP="00196B5C">
      <w:pPr>
        <w:pStyle w:val="AppendixHeading3"/>
      </w:pPr>
      <w:r>
        <w:t>Key findings</w:t>
      </w:r>
      <w:r w:rsidR="008146F9">
        <w:t xml:space="preserve"> </w:t>
      </w:r>
    </w:p>
    <w:p w14:paraId="293E2475" w14:textId="77777777" w:rsidR="00196B5C" w:rsidRPr="00FA5E11" w:rsidRDefault="00196B5C" w:rsidP="00196B5C">
      <w:pPr>
        <w:pStyle w:val="BodyText"/>
        <w:numPr>
          <w:ilvl w:val="0"/>
          <w:numId w:val="42"/>
        </w:numPr>
      </w:pPr>
      <w:r w:rsidRPr="00FA5E11">
        <w:t xml:space="preserve">One assessment of the published data on emissions from cigarettes and e-cigarettes calculated the lifetime cancer risks. It concluded that the cancer potencies of e-cigarettes were largely under 0.5% of the risk of smoking. </w:t>
      </w:r>
    </w:p>
    <w:p w14:paraId="5009602A" w14:textId="77777777" w:rsidR="00196B5C" w:rsidRPr="00FA5E11" w:rsidRDefault="00196B5C" w:rsidP="00196B5C">
      <w:pPr>
        <w:pStyle w:val="BodyText"/>
        <w:numPr>
          <w:ilvl w:val="0"/>
          <w:numId w:val="42"/>
        </w:numPr>
      </w:pPr>
      <w:r w:rsidRPr="00FA5E11">
        <w:t xml:space="preserve">Comparative risks of cardiovascular disease and lung disease have not been quantified but are likely to be also substantially below the risks of smoking. Among e-cigarette users, two studies of biomarker data for acrolein, a potent respiratory irritant, found levels consistent with non-smoking levels. </w:t>
      </w:r>
    </w:p>
    <w:p w14:paraId="12BB05ED" w14:textId="430E9618" w:rsidR="00196B5C" w:rsidRPr="00FA5E11" w:rsidRDefault="00196B5C" w:rsidP="00196B5C">
      <w:pPr>
        <w:pStyle w:val="BodyText"/>
        <w:numPr>
          <w:ilvl w:val="0"/>
          <w:numId w:val="42"/>
        </w:numPr>
      </w:pPr>
      <w:r w:rsidRPr="00FA5E11">
        <w:t>There have been some studies with adolescents suggesting respiratory symptoms among e-cigarette experimenters. However, small scale or uncontrolled switching studies from smoking to vaping have demonstrated some respiratory improvements.</w:t>
      </w:r>
      <w:r w:rsidR="008146F9">
        <w:t xml:space="preserve"> </w:t>
      </w:r>
    </w:p>
    <w:p w14:paraId="2BDF0055" w14:textId="77777777" w:rsidR="00196B5C" w:rsidRPr="00FA5E11" w:rsidRDefault="00196B5C" w:rsidP="00196B5C">
      <w:pPr>
        <w:pStyle w:val="BodyText"/>
        <w:numPr>
          <w:ilvl w:val="0"/>
          <w:numId w:val="42"/>
        </w:numPr>
      </w:pPr>
      <w:r w:rsidRPr="00FA5E11">
        <w:t xml:space="preserve">E-cigarettes can release aldehydes if e-liquids are overheated, but the overheating generates an aversive taste. </w:t>
      </w:r>
    </w:p>
    <w:p w14:paraId="251C8F4D" w14:textId="77777777" w:rsidR="00196B5C" w:rsidRPr="00FA5E11" w:rsidRDefault="00196B5C" w:rsidP="00196B5C">
      <w:pPr>
        <w:pStyle w:val="BodyText"/>
        <w:numPr>
          <w:ilvl w:val="0"/>
          <w:numId w:val="42"/>
        </w:numPr>
      </w:pPr>
      <w:r w:rsidRPr="00FA5E11">
        <w:t xml:space="preserve">To date, there is no clear evidence that specific flavourings pose health risks but there are suggestions that inhalation of some could be a source of preventable risks. </w:t>
      </w:r>
    </w:p>
    <w:p w14:paraId="53B24F51" w14:textId="77777777" w:rsidR="00196B5C" w:rsidRPr="00FA5E11" w:rsidRDefault="00196B5C" w:rsidP="00196B5C">
      <w:pPr>
        <w:pStyle w:val="BodyText"/>
        <w:numPr>
          <w:ilvl w:val="0"/>
          <w:numId w:val="42"/>
        </w:numPr>
      </w:pPr>
      <w:r w:rsidRPr="00FA5E11">
        <w:t xml:space="preserve">To date, the levels of metals identified in e-cigarette aerosol do not give rise to any significant safety concerns, but metal emissions, however small, are unnecessary. </w:t>
      </w:r>
    </w:p>
    <w:p w14:paraId="7A99C82A" w14:textId="21A0ED0A" w:rsidR="00196B5C" w:rsidRPr="00FA5E11" w:rsidRDefault="00196B5C" w:rsidP="00196B5C">
      <w:pPr>
        <w:pStyle w:val="BodyText"/>
        <w:numPr>
          <w:ilvl w:val="0"/>
          <w:numId w:val="42"/>
        </w:numPr>
      </w:pPr>
      <w:r w:rsidRPr="00FA5E11">
        <w:lastRenderedPageBreak/>
        <w:t>Biomarkers of exposure assessed to date are consistent with significant reductions in harmful constituents and for a few biomarkers assessed in this chapter, similar levels to smokers abstaining from smoking or non-smokers were observed.</w:t>
      </w:r>
      <w:r w:rsidR="008146F9">
        <w:t xml:space="preserve"> </w:t>
      </w:r>
    </w:p>
    <w:p w14:paraId="78A0E91E" w14:textId="35B255B3" w:rsidR="00196B5C" w:rsidRPr="00FA5E11" w:rsidRDefault="00196B5C" w:rsidP="00196B5C">
      <w:pPr>
        <w:pStyle w:val="BodyText"/>
        <w:numPr>
          <w:ilvl w:val="0"/>
          <w:numId w:val="42"/>
        </w:numPr>
      </w:pPr>
      <w:r w:rsidRPr="00FA5E11">
        <w:t>One study showed no reductions across a range of biomarkers for dual users (either for nicotine replacement therapy or e-cigarette dual users).</w:t>
      </w:r>
      <w:r w:rsidR="008146F9">
        <w:t xml:space="preserve"> </w:t>
      </w:r>
    </w:p>
    <w:p w14:paraId="501C1976" w14:textId="77777777" w:rsidR="00196B5C" w:rsidRDefault="00196B5C" w:rsidP="00196B5C">
      <w:pPr>
        <w:pStyle w:val="BodyText"/>
        <w:numPr>
          <w:ilvl w:val="0"/>
          <w:numId w:val="42"/>
        </w:numPr>
      </w:pPr>
      <w:r>
        <w:t xml:space="preserve">To date, there have been no identified health risks of passive vaping to bystanders. </w:t>
      </w:r>
    </w:p>
    <w:p w14:paraId="61099D8E" w14:textId="77777777" w:rsidR="00196B5C" w:rsidRDefault="00196B5C" w:rsidP="00196B5C">
      <w:pPr>
        <w:pStyle w:val="BodyText"/>
        <w:numPr>
          <w:ilvl w:val="0"/>
          <w:numId w:val="42"/>
        </w:numPr>
      </w:pPr>
      <w:r>
        <w:t>R</w:t>
      </w:r>
      <w:r w:rsidRPr="00FA5E11">
        <w:t>eporting</w:t>
      </w:r>
      <w:r>
        <w:t xml:space="preserve"> of some academic studies has been misleading.</w:t>
      </w:r>
    </w:p>
    <w:p w14:paraId="48EE3AAF" w14:textId="77777777" w:rsidR="00196B5C" w:rsidRPr="007008F9" w:rsidRDefault="00196B5C" w:rsidP="00196B5C">
      <w:pPr>
        <w:pStyle w:val="BodyText"/>
      </w:pPr>
    </w:p>
    <w:p w14:paraId="764E2D34" w14:textId="77777777" w:rsidR="00196B5C" w:rsidRDefault="00196B5C" w:rsidP="00196B5C">
      <w:pPr>
        <w:pStyle w:val="AppendixHeading3"/>
      </w:pPr>
      <w:r>
        <w:t xml:space="preserve">Implications </w:t>
      </w:r>
    </w:p>
    <w:p w14:paraId="302917BB" w14:textId="77777777" w:rsidR="00196B5C" w:rsidRDefault="00196B5C" w:rsidP="00196B5C">
      <w:pPr>
        <w:pStyle w:val="Heading4"/>
      </w:pPr>
      <w:r>
        <w:t xml:space="preserve">Research </w:t>
      </w:r>
    </w:p>
    <w:p w14:paraId="338033E1" w14:textId="158E8F4B" w:rsidR="00196B5C" w:rsidRPr="00FA5E11" w:rsidRDefault="00196B5C" w:rsidP="00196B5C">
      <w:pPr>
        <w:pStyle w:val="BodyText"/>
        <w:numPr>
          <w:ilvl w:val="0"/>
          <w:numId w:val="44"/>
        </w:numPr>
      </w:pPr>
      <w:r w:rsidRPr="00FA5E11">
        <w:t>More research is needed with human users about biomarkers of exposure, risk and harm and health effects over time.</w:t>
      </w:r>
      <w:r w:rsidR="008146F9">
        <w:t xml:space="preserve"> </w:t>
      </w:r>
    </w:p>
    <w:p w14:paraId="58531B80" w14:textId="77777777" w:rsidR="00196B5C" w:rsidRPr="00FA5E11" w:rsidRDefault="00196B5C" w:rsidP="00196B5C">
      <w:pPr>
        <w:pStyle w:val="BodyText"/>
        <w:numPr>
          <w:ilvl w:val="0"/>
          <w:numId w:val="44"/>
        </w:numPr>
      </w:pPr>
      <w:r w:rsidRPr="00FA5E11">
        <w:t xml:space="preserve">More research with biomarkers across the range of different combinations of dual use is needed. </w:t>
      </w:r>
    </w:p>
    <w:p w14:paraId="0752D266" w14:textId="191BECDE" w:rsidR="00196B5C" w:rsidRDefault="00196B5C" w:rsidP="00196B5C">
      <w:pPr>
        <w:pStyle w:val="BodyText"/>
        <w:numPr>
          <w:ilvl w:val="0"/>
          <w:numId w:val="44"/>
        </w:numPr>
      </w:pPr>
      <w:r w:rsidRPr="00FA5E11">
        <w:t>Adverse effects of passive vaping should be monitored</w:t>
      </w:r>
      <w:r>
        <w:t>.</w:t>
      </w:r>
      <w:r w:rsidR="008146F9">
        <w:t xml:space="preserve"> </w:t>
      </w:r>
    </w:p>
    <w:p w14:paraId="0F5E3ED1" w14:textId="77777777" w:rsidR="00196B5C" w:rsidRDefault="00196B5C" w:rsidP="00196B5C">
      <w:pPr>
        <w:pStyle w:val="BodyText"/>
      </w:pPr>
    </w:p>
    <w:p w14:paraId="2D9C8E66" w14:textId="77777777" w:rsidR="00196B5C" w:rsidRDefault="00196B5C" w:rsidP="00196B5C">
      <w:pPr>
        <w:pStyle w:val="Heading4"/>
      </w:pPr>
      <w:r>
        <w:t xml:space="preserve">Policy </w:t>
      </w:r>
    </w:p>
    <w:p w14:paraId="6A0FBAEA" w14:textId="39363993" w:rsidR="00196B5C" w:rsidRPr="00FA5E11" w:rsidRDefault="00196B5C" w:rsidP="00196B5C">
      <w:pPr>
        <w:pStyle w:val="BodyText"/>
        <w:numPr>
          <w:ilvl w:val="0"/>
          <w:numId w:val="43"/>
        </w:numPr>
      </w:pPr>
      <w:r w:rsidRPr="00FA5E11">
        <w:t>Policy makers and regulators should ensure that e-cigarettes are manufactured in a way that minimises harm. An advantage of e-cigarettes is that particular constituents can be removed or minimised in a way that is not feasible with tobacco cigarettes.</w:t>
      </w:r>
      <w:r w:rsidR="008146F9">
        <w:t xml:space="preserve"> </w:t>
      </w:r>
    </w:p>
    <w:p w14:paraId="7882975E" w14:textId="704B8B13" w:rsidR="00196B5C" w:rsidRPr="00FA5E11" w:rsidRDefault="00196B5C" w:rsidP="00196B5C">
      <w:pPr>
        <w:pStyle w:val="BodyText"/>
        <w:numPr>
          <w:ilvl w:val="0"/>
          <w:numId w:val="43"/>
        </w:numPr>
      </w:pPr>
      <w:r w:rsidRPr="00FA5E11">
        <w:t>Regulations should therefore be flexible to ensure any emerging evidence of constituent harmfulness can be acted upon, such that products are modified to remove any components shown to pose avoidable risks.</w:t>
      </w:r>
      <w:r w:rsidR="008146F9">
        <w:t xml:space="preserve"> </w:t>
      </w:r>
    </w:p>
    <w:p w14:paraId="44F5F4B9" w14:textId="77777777" w:rsidR="00196B5C" w:rsidRPr="00FA5E11" w:rsidRDefault="00196B5C" w:rsidP="00196B5C">
      <w:pPr>
        <w:pStyle w:val="BodyText"/>
        <w:numPr>
          <w:ilvl w:val="0"/>
          <w:numId w:val="43"/>
        </w:numPr>
      </w:pPr>
      <w:r w:rsidRPr="00FA5E11">
        <w:t xml:space="preserve">Consumers and health professionals should be encouraged to use the Yellow Card Scheme for reporting adverse reactions to e-cigarette use. </w:t>
      </w:r>
    </w:p>
    <w:p w14:paraId="2ABA358D" w14:textId="77777777" w:rsidR="00196B5C" w:rsidRPr="00FA5E11" w:rsidRDefault="00196B5C" w:rsidP="00196B5C">
      <w:pPr>
        <w:pStyle w:val="BodyText"/>
        <w:numPr>
          <w:ilvl w:val="0"/>
          <w:numId w:val="43"/>
        </w:numPr>
      </w:pPr>
      <w:r w:rsidRPr="00FA5E11">
        <w:t xml:space="preserve">Vaping poses only a small fraction of the risks of smoking and switching completely from smoking to vaping conveys substantial health benefits over continued smoking. Based on current knowledge, stating that vaping is at least 95% less harmful than smoking remains a good way to communicate the large difference in relative risk unambiguously so that more smokers are encouraged to make the switch from smoking to vaping. It should be noted that this does not mean e-cigarettes are safe. </w:t>
      </w:r>
    </w:p>
    <w:p w14:paraId="44A51B9E" w14:textId="77777777" w:rsidR="00196B5C" w:rsidRDefault="00196B5C" w:rsidP="00196B5C">
      <w:pPr>
        <w:pStyle w:val="BodyText"/>
        <w:numPr>
          <w:ilvl w:val="0"/>
          <w:numId w:val="43"/>
        </w:numPr>
      </w:pPr>
      <w:r w:rsidRPr="00FA5E11">
        <w:t>The lack of difference in biomarkers between dual users and smokers found so far underlines the need</w:t>
      </w:r>
      <w:r>
        <w:t xml:space="preserve"> to encourage and support dual users to stop smoking altogether.</w:t>
      </w:r>
    </w:p>
    <w:p w14:paraId="0D215B7C" w14:textId="77777777" w:rsidR="00196B5C" w:rsidRPr="007008F9" w:rsidRDefault="00196B5C" w:rsidP="00196B5C">
      <w:pPr>
        <w:pStyle w:val="BodyText"/>
      </w:pPr>
    </w:p>
    <w:p w14:paraId="53BF6AC7" w14:textId="77777777" w:rsidR="00196B5C" w:rsidRDefault="00196B5C" w:rsidP="00196B5C">
      <w:pPr>
        <w:pStyle w:val="AppendixHeading2"/>
      </w:pPr>
      <w:r>
        <w:lastRenderedPageBreak/>
        <w:t xml:space="preserve">Poisonings, fires and explosions </w:t>
      </w:r>
    </w:p>
    <w:p w14:paraId="7170401D" w14:textId="77777777" w:rsidR="00196B5C" w:rsidRPr="007008F9" w:rsidRDefault="00196B5C" w:rsidP="00196B5C">
      <w:pPr>
        <w:pStyle w:val="BodyText"/>
      </w:pPr>
    </w:p>
    <w:p w14:paraId="7A5880FB" w14:textId="77777777" w:rsidR="00196B5C" w:rsidRDefault="00196B5C" w:rsidP="00196B5C">
      <w:pPr>
        <w:pStyle w:val="AppendixHeading3"/>
      </w:pPr>
      <w:r>
        <w:t xml:space="preserve">Key findings </w:t>
      </w:r>
    </w:p>
    <w:p w14:paraId="3059257B" w14:textId="1D234D78" w:rsidR="00196B5C" w:rsidRDefault="00196B5C" w:rsidP="00196B5C">
      <w:pPr>
        <w:pStyle w:val="Heading4"/>
      </w:pPr>
      <w:r>
        <w:t>Poisonings</w:t>
      </w:r>
      <w:r w:rsidR="008146F9">
        <w:t xml:space="preserve"> </w:t>
      </w:r>
    </w:p>
    <w:p w14:paraId="66FFA2BE" w14:textId="6E5FA7EB" w:rsidR="00196B5C" w:rsidRPr="00FA5E11" w:rsidRDefault="00196B5C" w:rsidP="00196B5C">
      <w:pPr>
        <w:pStyle w:val="BodyText"/>
        <w:numPr>
          <w:ilvl w:val="0"/>
          <w:numId w:val="47"/>
        </w:numPr>
      </w:pPr>
      <w:r w:rsidRPr="00FA5E11">
        <w:t>There are recorded cases of poisoning from e-liquid in the UK. These have predominantly involved accidental ingestion with fewer incidences of other routes (eg ocular or dermal) of exposure.</w:t>
      </w:r>
      <w:r w:rsidR="008146F9">
        <w:t xml:space="preserve"> </w:t>
      </w:r>
    </w:p>
    <w:p w14:paraId="781342AA" w14:textId="66B9CC78" w:rsidR="00196B5C" w:rsidRPr="00FA5E11" w:rsidRDefault="00196B5C" w:rsidP="00196B5C">
      <w:pPr>
        <w:pStyle w:val="BodyText"/>
        <w:numPr>
          <w:ilvl w:val="0"/>
          <w:numId w:val="47"/>
        </w:numPr>
      </w:pPr>
      <w:r w:rsidRPr="00FA5E11">
        <w:t>Intentional poisoning using e-liquids has been reported in self-harm and suicide attempts.</w:t>
      </w:r>
      <w:r w:rsidR="008146F9">
        <w:t xml:space="preserve"> </w:t>
      </w:r>
    </w:p>
    <w:p w14:paraId="15F16653" w14:textId="00E5F93B" w:rsidR="00196B5C" w:rsidRPr="00FA5E11" w:rsidRDefault="00196B5C" w:rsidP="00196B5C">
      <w:pPr>
        <w:pStyle w:val="BodyText"/>
        <w:numPr>
          <w:ilvl w:val="0"/>
          <w:numId w:val="47"/>
        </w:numPr>
      </w:pPr>
      <w:r w:rsidRPr="00FA5E11">
        <w:t>Toxic effects from e-cigarette poisoning are usually short in duration and of minimal severity; severe cases and fatalities, while very rare, have been recorded.</w:t>
      </w:r>
      <w:r w:rsidR="008146F9">
        <w:t xml:space="preserve"> </w:t>
      </w:r>
    </w:p>
    <w:p w14:paraId="68EF4DA6" w14:textId="1196F38D" w:rsidR="00196B5C" w:rsidRPr="00FA5E11" w:rsidRDefault="00196B5C" w:rsidP="00196B5C">
      <w:pPr>
        <w:pStyle w:val="BodyText"/>
        <w:numPr>
          <w:ilvl w:val="0"/>
          <w:numId w:val="47"/>
        </w:numPr>
      </w:pPr>
      <w:r w:rsidRPr="00FA5E11">
        <w:t>E-cigarette poisonings reported to medical centres most commonly occur in children under five years old. Toxic effects for this age group are usually short in duration and non-severe. Fatalities, while very rare, have also been recorded in this age group.</w:t>
      </w:r>
      <w:r w:rsidR="008146F9">
        <w:t xml:space="preserve"> </w:t>
      </w:r>
    </w:p>
    <w:p w14:paraId="3F82CECB" w14:textId="670A14A7" w:rsidR="00196B5C" w:rsidRDefault="00196B5C" w:rsidP="00196B5C">
      <w:pPr>
        <w:pStyle w:val="BodyText"/>
        <w:numPr>
          <w:ilvl w:val="0"/>
          <w:numId w:val="47"/>
        </w:numPr>
      </w:pPr>
      <w:r w:rsidRPr="00FA5E11">
        <w:t>Incidents of poisoning in children are often preventable and have involved liquids stored non-securely</w:t>
      </w:r>
      <w:r>
        <w:t>, in unmarked containers or in containers without safety caps.</w:t>
      </w:r>
      <w:r w:rsidR="008146F9">
        <w:t xml:space="preserve"> </w:t>
      </w:r>
    </w:p>
    <w:p w14:paraId="18441465" w14:textId="77777777" w:rsidR="00196B5C" w:rsidRDefault="00196B5C" w:rsidP="00196B5C">
      <w:pPr>
        <w:pStyle w:val="BodyText"/>
      </w:pPr>
      <w:r>
        <w:t xml:space="preserve"> </w:t>
      </w:r>
    </w:p>
    <w:p w14:paraId="06CF2795" w14:textId="77777777" w:rsidR="00196B5C" w:rsidRDefault="00196B5C" w:rsidP="00196B5C">
      <w:pPr>
        <w:pStyle w:val="Heading4"/>
      </w:pPr>
      <w:r>
        <w:t xml:space="preserve">Fires </w:t>
      </w:r>
    </w:p>
    <w:p w14:paraId="542E3E25" w14:textId="77777777" w:rsidR="00196B5C" w:rsidRPr="00FA5E11" w:rsidRDefault="00196B5C" w:rsidP="00196B5C">
      <w:pPr>
        <w:pStyle w:val="BodyText"/>
        <w:numPr>
          <w:ilvl w:val="0"/>
          <w:numId w:val="46"/>
        </w:numPr>
      </w:pPr>
      <w:r w:rsidRPr="00FA5E11">
        <w:t xml:space="preserve">E-cigarette fires are recorded at the discretion of individual fire rescue services in the UK. Information provided to us through a Freedom of Information request suggest that, where recorded, they occur in low numbers and are vastly outweighed by fires caused by smokers’ materials. There were no fatalities from fires caused by e-cigarettes in the reporting period. </w:t>
      </w:r>
    </w:p>
    <w:p w14:paraId="0D12E211" w14:textId="08C74B5C" w:rsidR="00196B5C" w:rsidRDefault="00196B5C" w:rsidP="00196B5C">
      <w:pPr>
        <w:pStyle w:val="BodyText"/>
        <w:numPr>
          <w:ilvl w:val="0"/>
          <w:numId w:val="46"/>
        </w:numPr>
      </w:pPr>
      <w:r w:rsidRPr="00FA5E11">
        <w:t>E-cigarettes and/or their batteries are recorded as the cause of fires by UK fire rescue services. The</w:t>
      </w:r>
      <w:r>
        <w:t xml:space="preserve"> root cause of e-cigarette fires is likely to be through a malfunctioning lithium</w:t>
      </w:r>
      <w:r>
        <w:noBreakHyphen/>
        <w:t>ion battery.</w:t>
      </w:r>
      <w:r w:rsidR="008146F9">
        <w:t xml:space="preserve"> </w:t>
      </w:r>
    </w:p>
    <w:p w14:paraId="28776ABD" w14:textId="77777777" w:rsidR="00196B5C" w:rsidRDefault="00196B5C" w:rsidP="00196B5C">
      <w:pPr>
        <w:pStyle w:val="Heading4"/>
      </w:pPr>
      <w:r>
        <w:t xml:space="preserve">Explosions </w:t>
      </w:r>
    </w:p>
    <w:p w14:paraId="08468FDB" w14:textId="77777777" w:rsidR="00196B5C" w:rsidRPr="00FA5E11" w:rsidRDefault="00196B5C" w:rsidP="00196B5C">
      <w:pPr>
        <w:pStyle w:val="BodyText"/>
        <w:numPr>
          <w:ilvl w:val="0"/>
          <w:numId w:val="45"/>
        </w:numPr>
      </w:pPr>
      <w:r w:rsidRPr="00FA5E11">
        <w:t xml:space="preserve">Exploding e-cigarettes can cause severe burns and injuries that require intensive and prolonged medical treatment especially when they explode in users’ hands, pockets or mouths. </w:t>
      </w:r>
    </w:p>
    <w:p w14:paraId="16098B12" w14:textId="77777777" w:rsidR="00196B5C" w:rsidRDefault="00196B5C" w:rsidP="00196B5C">
      <w:pPr>
        <w:pStyle w:val="BodyText"/>
        <w:numPr>
          <w:ilvl w:val="0"/>
          <w:numId w:val="45"/>
        </w:numPr>
      </w:pPr>
      <w:r w:rsidRPr="00FA5E11">
        <w:t>Incidents are very rare. The cause is uncertain but appears to be related to malfunctioning lithium-ion batteries</w:t>
      </w:r>
      <w:r>
        <w:t>.</w:t>
      </w:r>
    </w:p>
    <w:p w14:paraId="0728E219" w14:textId="77777777" w:rsidR="00196B5C" w:rsidRPr="007008F9" w:rsidRDefault="00196B5C" w:rsidP="00196B5C">
      <w:pPr>
        <w:pStyle w:val="BodyText"/>
      </w:pPr>
    </w:p>
    <w:p w14:paraId="4676812B" w14:textId="77777777" w:rsidR="00196B5C" w:rsidRPr="008B6887" w:rsidRDefault="00196B5C" w:rsidP="00196B5C">
      <w:pPr>
        <w:pStyle w:val="AppendixHeading3"/>
      </w:pPr>
      <w:r>
        <w:lastRenderedPageBreak/>
        <w:t xml:space="preserve">Implications </w:t>
      </w:r>
    </w:p>
    <w:p w14:paraId="4B462F47" w14:textId="77777777" w:rsidR="00196B5C" w:rsidRDefault="00196B5C" w:rsidP="00196B5C">
      <w:pPr>
        <w:pStyle w:val="Heading4"/>
      </w:pPr>
      <w:r>
        <w:t xml:space="preserve">Research </w:t>
      </w:r>
    </w:p>
    <w:p w14:paraId="5E909CC5" w14:textId="60A2CDCE" w:rsidR="00196B5C" w:rsidRPr="00FA5E11" w:rsidRDefault="00196B5C" w:rsidP="00196B5C">
      <w:pPr>
        <w:pStyle w:val="BodyText"/>
        <w:numPr>
          <w:ilvl w:val="0"/>
          <w:numId w:val="49"/>
        </w:numPr>
      </w:pPr>
      <w:r>
        <w:t>Research is req</w:t>
      </w:r>
      <w:r w:rsidRPr="00FA5E11">
        <w:t>uired on the prevalence of e-liquid poisoning, fires and explosions caused by e-cigarettes in England. This will require some synthesis of existing datasets.</w:t>
      </w:r>
      <w:r w:rsidR="008146F9">
        <w:t xml:space="preserve"> </w:t>
      </w:r>
    </w:p>
    <w:p w14:paraId="6CDB1392" w14:textId="60BE3951" w:rsidR="00196B5C" w:rsidRDefault="00196B5C" w:rsidP="00196B5C">
      <w:pPr>
        <w:pStyle w:val="BodyText"/>
        <w:numPr>
          <w:ilvl w:val="0"/>
          <w:numId w:val="49"/>
        </w:numPr>
      </w:pPr>
      <w:r w:rsidRPr="00FA5E11">
        <w:t>Research on presence and effectiveness of safety features and instructions should be part of a future review of the EU Tobacco Products Directive.</w:t>
      </w:r>
      <w:r w:rsidR="008146F9">
        <w:t xml:space="preserve"> </w:t>
      </w:r>
    </w:p>
    <w:p w14:paraId="2B8AB85C" w14:textId="77777777" w:rsidR="00196B5C" w:rsidRPr="00FA5E11" w:rsidRDefault="00196B5C" w:rsidP="00196B5C">
      <w:pPr>
        <w:pStyle w:val="BodyText"/>
      </w:pPr>
    </w:p>
    <w:p w14:paraId="03CF5FB1" w14:textId="77777777" w:rsidR="00196B5C" w:rsidRDefault="00196B5C" w:rsidP="00196B5C">
      <w:pPr>
        <w:pStyle w:val="Heading4"/>
      </w:pPr>
      <w:r>
        <w:t xml:space="preserve">Policy and practice </w:t>
      </w:r>
    </w:p>
    <w:p w14:paraId="4596BA9B" w14:textId="77777777" w:rsidR="00196B5C" w:rsidRDefault="00196B5C" w:rsidP="00196B5C">
      <w:pPr>
        <w:pStyle w:val="BodyText"/>
        <w:numPr>
          <w:ilvl w:val="0"/>
          <w:numId w:val="48"/>
        </w:numPr>
      </w:pPr>
      <w:r>
        <w:t xml:space="preserve">Monitoring of fires caused by e-cigarettes should be recorded by Fire Rescue Services in a mandatory way (similar to “cooking appliances”, “smokers’ materials” and “other electrical appliances”) and should not continue to rely on free text entry. </w:t>
      </w:r>
    </w:p>
    <w:p w14:paraId="428193B7" w14:textId="77777777" w:rsidR="00196B5C" w:rsidRDefault="00196B5C" w:rsidP="00196B5C">
      <w:pPr>
        <w:pStyle w:val="BodyText"/>
        <w:numPr>
          <w:ilvl w:val="0"/>
          <w:numId w:val="48"/>
        </w:numPr>
      </w:pPr>
      <w:r>
        <w:t xml:space="preserve">E-cigarettes can trigger fire/smoke detectors and therefore consumers should be advised to move away from detectors when using them. </w:t>
      </w:r>
    </w:p>
    <w:p w14:paraId="000CB14B" w14:textId="7CA9BE53" w:rsidR="00196B5C" w:rsidRDefault="00196B5C" w:rsidP="00196B5C">
      <w:pPr>
        <w:pStyle w:val="BodyText"/>
        <w:numPr>
          <w:ilvl w:val="0"/>
          <w:numId w:val="48"/>
        </w:numPr>
      </w:pPr>
      <w:r>
        <w:t>It is too early to assess the impact of the EU Tobacco Products Directive in reducing poisonings, fires or explosions, or whether further regulations are needed. Therefore, continued monitoring is required to assess effectiveness of EU Tobacco Product Directive regulations (such as childproof containers), in reducing accidental ingestion of e-liquid.</w:t>
      </w:r>
      <w:r w:rsidR="008146F9">
        <w:t xml:space="preserve"> </w:t>
      </w:r>
    </w:p>
    <w:p w14:paraId="01FA4D9C" w14:textId="77777777" w:rsidR="00196B5C" w:rsidRDefault="00196B5C" w:rsidP="00196B5C">
      <w:pPr>
        <w:pStyle w:val="BodyText"/>
        <w:numPr>
          <w:ilvl w:val="0"/>
          <w:numId w:val="48"/>
        </w:numPr>
      </w:pPr>
      <w:r>
        <w:t xml:space="preserve">Regulations should require that labelling on e-liquid bottles advises customers to store products away from similar looking medicines such as eye drops, ear drops and children’s medicine. </w:t>
      </w:r>
    </w:p>
    <w:p w14:paraId="7A801876" w14:textId="16F7778E" w:rsidR="00196B5C" w:rsidRDefault="00196B5C" w:rsidP="00196B5C">
      <w:pPr>
        <w:pStyle w:val="BodyText"/>
        <w:numPr>
          <w:ilvl w:val="0"/>
          <w:numId w:val="48"/>
        </w:numPr>
      </w:pPr>
      <w:r>
        <w:t>Regulations should require that labelling reinforces advice on the safe storage and transportation of batteries used by e-cigarettes. For example, advice should be given that e-cigarettes should not be carried in pockets with coins, keys or other metallic objects, and that the correct charger should always be used.</w:t>
      </w:r>
      <w:r w:rsidR="008146F9">
        <w:t xml:space="preserve"> </w:t>
      </w:r>
    </w:p>
    <w:p w14:paraId="1F37569B" w14:textId="77777777" w:rsidR="00196B5C" w:rsidRDefault="00196B5C" w:rsidP="00196B5C">
      <w:pPr>
        <w:pStyle w:val="BodyText"/>
        <w:numPr>
          <w:ilvl w:val="0"/>
          <w:numId w:val="48"/>
        </w:numPr>
      </w:pPr>
      <w:r>
        <w:t>Use of e-cigarettes among young people.</w:t>
      </w:r>
    </w:p>
    <w:p w14:paraId="290243C3" w14:textId="77777777" w:rsidR="00196B5C" w:rsidRDefault="00196B5C" w:rsidP="00196B5C">
      <w:pPr>
        <w:pStyle w:val="BodyText"/>
      </w:pPr>
    </w:p>
    <w:p w14:paraId="56EE664E" w14:textId="77777777" w:rsidR="00196B5C" w:rsidRPr="00F87B70" w:rsidRDefault="00196B5C" w:rsidP="00196B5C">
      <w:pPr>
        <w:pStyle w:val="AppendixHeading2"/>
      </w:pPr>
      <w:r>
        <w:t xml:space="preserve">Use of e-cigarettes among young people </w:t>
      </w:r>
    </w:p>
    <w:p w14:paraId="12D7AFB5" w14:textId="77777777" w:rsidR="00196B5C" w:rsidRDefault="00196B5C" w:rsidP="00196B5C">
      <w:pPr>
        <w:pStyle w:val="AppendixHeading3"/>
      </w:pPr>
      <w:r>
        <w:t xml:space="preserve">Key findings </w:t>
      </w:r>
    </w:p>
    <w:p w14:paraId="777C5F68" w14:textId="2EB250BD" w:rsidR="00196B5C" w:rsidRPr="00FA5E11" w:rsidRDefault="00196B5C" w:rsidP="00196B5C">
      <w:pPr>
        <w:pStyle w:val="BodyText"/>
        <w:numPr>
          <w:ilvl w:val="0"/>
          <w:numId w:val="50"/>
        </w:numPr>
      </w:pPr>
      <w:r>
        <w:t>E-</w:t>
      </w:r>
      <w:r w:rsidRPr="00FA5E11">
        <w:t>cigarettes cannot be legally sold to young people under the age of 18 in most parts of the UK. Purchasing does occur including from sources rarely used for tobacco, such as online suppliers.</w:t>
      </w:r>
      <w:r w:rsidR="008146F9">
        <w:t xml:space="preserve"> </w:t>
      </w:r>
    </w:p>
    <w:p w14:paraId="796522DF" w14:textId="77777777" w:rsidR="00196B5C" w:rsidRPr="00FA5E11" w:rsidRDefault="00196B5C" w:rsidP="00196B5C">
      <w:pPr>
        <w:pStyle w:val="BodyText"/>
        <w:numPr>
          <w:ilvl w:val="0"/>
          <w:numId w:val="50"/>
        </w:numPr>
      </w:pPr>
      <w:r w:rsidRPr="00FA5E11">
        <w:t xml:space="preserve">Despite some experimentation with these devices among never smokers, e-cigarettes are attracting very few young people who have never smoked into regular use. </w:t>
      </w:r>
    </w:p>
    <w:p w14:paraId="37F7BC39" w14:textId="11861084" w:rsidR="00196B5C" w:rsidRPr="00FA5E11" w:rsidRDefault="00196B5C" w:rsidP="00196B5C">
      <w:pPr>
        <w:pStyle w:val="BodyText"/>
        <w:numPr>
          <w:ilvl w:val="0"/>
          <w:numId w:val="50"/>
        </w:numPr>
      </w:pPr>
      <w:r w:rsidRPr="00FA5E11">
        <w:t>E-cigarettes do not appear to be undermining the long-term decline in cigarette smoking in the UK among young people.</w:t>
      </w:r>
      <w:r w:rsidR="008146F9">
        <w:t xml:space="preserve"> </w:t>
      </w:r>
    </w:p>
    <w:p w14:paraId="35FCB03F" w14:textId="5F345219" w:rsidR="00196B5C" w:rsidRDefault="00196B5C" w:rsidP="00196B5C">
      <w:pPr>
        <w:pStyle w:val="BodyText"/>
        <w:numPr>
          <w:ilvl w:val="0"/>
          <w:numId w:val="50"/>
        </w:numPr>
      </w:pPr>
      <w:r w:rsidRPr="00FA5E11">
        <w:lastRenderedPageBreak/>
        <w:t>Never smokers in the UK who try e-cigarettes are more likely to have tried smoking subsequently than those who have not tried e-cigarettes. A causal link has not been established and neither has progression to regular smoking. The ‘common liability’ hypothesis seems a plausible explanation for the relationship between e-cigarettes and smoking implementation.</w:t>
      </w:r>
      <w:r w:rsidR="008146F9">
        <w:t xml:space="preserve"> </w:t>
      </w:r>
    </w:p>
    <w:p w14:paraId="3A023D0D" w14:textId="77777777" w:rsidR="00196B5C" w:rsidRDefault="00196B5C" w:rsidP="00196B5C">
      <w:pPr>
        <w:pStyle w:val="BodyText"/>
      </w:pPr>
    </w:p>
    <w:p w14:paraId="02ECDF3D" w14:textId="77777777" w:rsidR="00196B5C" w:rsidRDefault="00196B5C" w:rsidP="00196B5C">
      <w:pPr>
        <w:pStyle w:val="AppendixHeading3"/>
      </w:pPr>
      <w:r>
        <w:t xml:space="preserve">Implications </w:t>
      </w:r>
    </w:p>
    <w:p w14:paraId="543CCD86" w14:textId="77777777" w:rsidR="00196B5C" w:rsidRPr="00FA5E11" w:rsidRDefault="00196B5C" w:rsidP="00196B5C">
      <w:pPr>
        <w:pStyle w:val="BodyText"/>
        <w:numPr>
          <w:ilvl w:val="0"/>
          <w:numId w:val="51"/>
        </w:numPr>
      </w:pPr>
      <w:r>
        <w:t>Trends in e</w:t>
      </w:r>
      <w:r w:rsidRPr="00FA5E11">
        <w:t xml:space="preserve">-cigarette use and smoking among youth should continue to be monitored using standardised definitions of use. This should include the use of nicotine in e-cigarettes and checks on the understanding of survey questions. </w:t>
      </w:r>
    </w:p>
    <w:p w14:paraId="3BA56786" w14:textId="77777777" w:rsidR="00196B5C" w:rsidRPr="00FA5E11" w:rsidRDefault="00196B5C" w:rsidP="00196B5C">
      <w:pPr>
        <w:pStyle w:val="BodyText"/>
        <w:numPr>
          <w:ilvl w:val="0"/>
          <w:numId w:val="51"/>
        </w:numPr>
      </w:pPr>
      <w:r w:rsidRPr="00FA5E11">
        <w:t xml:space="preserve">Patterns of e-cigarette purchasing by young people should be closely monitored, particularly internet sales. Age of sale regulations are in place for e-cigarettes and cigarettes and should be strongly enforced. </w:t>
      </w:r>
    </w:p>
    <w:p w14:paraId="538141FE" w14:textId="77777777" w:rsidR="00196B5C" w:rsidRDefault="00196B5C" w:rsidP="00196B5C">
      <w:pPr>
        <w:pStyle w:val="BodyText"/>
        <w:numPr>
          <w:ilvl w:val="0"/>
          <w:numId w:val="51"/>
        </w:numPr>
      </w:pPr>
      <w:r w:rsidRPr="00FA5E11">
        <w:t>Research is needed on trajectories of use – not just from e-cigarette experimentation to smoking, but also from smoking to e-cigarette use among young people.</w:t>
      </w:r>
    </w:p>
    <w:p w14:paraId="20CD7D99" w14:textId="77777777" w:rsidR="00196B5C" w:rsidRPr="007008F9" w:rsidRDefault="00196B5C" w:rsidP="00196B5C">
      <w:pPr>
        <w:pStyle w:val="BodyText"/>
      </w:pPr>
    </w:p>
    <w:p w14:paraId="065825A3" w14:textId="77777777" w:rsidR="00196B5C" w:rsidRDefault="00196B5C" w:rsidP="00196B5C">
      <w:pPr>
        <w:pStyle w:val="AppendixHeading2"/>
      </w:pPr>
      <w:r>
        <w:t xml:space="preserve">Use of e-cigarettes in adults </w:t>
      </w:r>
    </w:p>
    <w:p w14:paraId="7EA88387" w14:textId="77777777" w:rsidR="00196B5C" w:rsidRDefault="00196B5C" w:rsidP="00196B5C">
      <w:pPr>
        <w:pStyle w:val="AppendixHeading3"/>
      </w:pPr>
      <w:r>
        <w:t xml:space="preserve">Key findings </w:t>
      </w:r>
    </w:p>
    <w:p w14:paraId="21CABD6B" w14:textId="77777777" w:rsidR="00196B5C" w:rsidRDefault="00196B5C" w:rsidP="00196B5C">
      <w:pPr>
        <w:pStyle w:val="Heading4"/>
      </w:pPr>
      <w:r>
        <w:t xml:space="preserve">Prevalence </w:t>
      </w:r>
    </w:p>
    <w:p w14:paraId="79D17095" w14:textId="41F6ACB4" w:rsidR="00196B5C" w:rsidRPr="00FA5E11" w:rsidRDefault="00196B5C" w:rsidP="00196B5C">
      <w:pPr>
        <w:pStyle w:val="BodyText"/>
        <w:numPr>
          <w:ilvl w:val="0"/>
          <w:numId w:val="56"/>
        </w:numPr>
      </w:pPr>
      <w:r>
        <w:t>In Great Britain</w:t>
      </w:r>
      <w:r w:rsidR="001516D3">
        <w:t xml:space="preserve"> (GB)</w:t>
      </w:r>
      <w:r>
        <w:t xml:space="preserve">, prevalence of e-cigarette use in adults has plateaued at approximately 6% of the adult </w:t>
      </w:r>
      <w:r w:rsidRPr="00FA5E11">
        <w:t>population.</w:t>
      </w:r>
      <w:r w:rsidR="008146F9">
        <w:t xml:space="preserve"> </w:t>
      </w:r>
    </w:p>
    <w:p w14:paraId="72D9059A" w14:textId="70194108" w:rsidR="00196B5C" w:rsidRPr="00FA5E11" w:rsidRDefault="00196B5C" w:rsidP="00196B5C">
      <w:pPr>
        <w:pStyle w:val="BodyText"/>
        <w:numPr>
          <w:ilvl w:val="0"/>
          <w:numId w:val="56"/>
        </w:numPr>
      </w:pPr>
      <w:r w:rsidRPr="00FA5E11">
        <w:t>E-cigarette use among never smokers in GB remains very rare at less than 1%, similar to the level of use of nicotine replacement therapy. Among never smokers who have ever used e-cigarettes, a minority have used nicotine-containing liquids and the vast majority not progressed to regular use.</w:t>
      </w:r>
      <w:r w:rsidR="008146F9">
        <w:t xml:space="preserve"> </w:t>
      </w:r>
    </w:p>
    <w:p w14:paraId="0AB8E05B" w14:textId="77777777" w:rsidR="00196B5C" w:rsidRPr="00FA5E11" w:rsidRDefault="00196B5C" w:rsidP="00196B5C">
      <w:pPr>
        <w:pStyle w:val="BodyText"/>
        <w:numPr>
          <w:ilvl w:val="0"/>
          <w:numId w:val="56"/>
        </w:numPr>
      </w:pPr>
      <w:r w:rsidRPr="00FA5E11">
        <w:t xml:space="preserve">Prevalence of e-cigarette use and trial among smokers has plateaued while use and trial among ex-smokers continue to increase. </w:t>
      </w:r>
    </w:p>
    <w:p w14:paraId="7183BCD3" w14:textId="77777777" w:rsidR="00196B5C" w:rsidRPr="00FA5E11" w:rsidRDefault="00196B5C" w:rsidP="00196B5C">
      <w:pPr>
        <w:pStyle w:val="BodyText"/>
        <w:numPr>
          <w:ilvl w:val="0"/>
          <w:numId w:val="56"/>
        </w:numPr>
      </w:pPr>
      <w:r w:rsidRPr="00FA5E11">
        <w:t xml:space="preserve">Socioeconomic differences in e-cigarette use by smokers and recent ex-smokers have become smaller with no clear gradient in prevalence by occupational grade. </w:t>
      </w:r>
    </w:p>
    <w:p w14:paraId="65EFEC93" w14:textId="77777777" w:rsidR="00196B5C" w:rsidRPr="00FA5E11" w:rsidRDefault="00196B5C" w:rsidP="00196B5C">
      <w:pPr>
        <w:pStyle w:val="BodyText"/>
        <w:numPr>
          <w:ilvl w:val="0"/>
          <w:numId w:val="56"/>
        </w:numPr>
      </w:pPr>
      <w:r w:rsidRPr="00FA5E11">
        <w:t xml:space="preserve">Prevalence of dual use (use and smoking) is similar for e-cigarette users and users of nicotine replacement therapy. </w:t>
      </w:r>
    </w:p>
    <w:p w14:paraId="4053C268" w14:textId="77777777" w:rsidR="00196B5C" w:rsidRDefault="00196B5C" w:rsidP="00196B5C">
      <w:pPr>
        <w:pStyle w:val="BodyText"/>
      </w:pPr>
      <w:r>
        <w:t xml:space="preserve"> </w:t>
      </w:r>
    </w:p>
    <w:p w14:paraId="6855E50C" w14:textId="77777777" w:rsidR="00196B5C" w:rsidRDefault="00196B5C" w:rsidP="00196B5C">
      <w:pPr>
        <w:pStyle w:val="Heading4"/>
      </w:pPr>
      <w:r>
        <w:t xml:space="preserve">Characteristics of use </w:t>
      </w:r>
    </w:p>
    <w:p w14:paraId="4240F253" w14:textId="77777777" w:rsidR="00196B5C" w:rsidRPr="00FA5E11" w:rsidRDefault="00196B5C" w:rsidP="00196B5C">
      <w:pPr>
        <w:pStyle w:val="BodyText"/>
        <w:numPr>
          <w:ilvl w:val="0"/>
          <w:numId w:val="55"/>
        </w:numPr>
      </w:pPr>
      <w:r w:rsidRPr="00FA5E11">
        <w:t xml:space="preserve">Most e-cigarette trial does not become regular use. </w:t>
      </w:r>
    </w:p>
    <w:p w14:paraId="509D2262" w14:textId="77777777" w:rsidR="00196B5C" w:rsidRPr="00FA5E11" w:rsidRDefault="00196B5C" w:rsidP="00196B5C">
      <w:pPr>
        <w:pStyle w:val="BodyText"/>
        <w:numPr>
          <w:ilvl w:val="0"/>
          <w:numId w:val="55"/>
        </w:numPr>
      </w:pPr>
      <w:r w:rsidRPr="00FA5E11">
        <w:lastRenderedPageBreak/>
        <w:t xml:space="preserve">Most current e-cigarette users use daily and have used e-cigarettes for more than six months. </w:t>
      </w:r>
    </w:p>
    <w:p w14:paraId="373CE756" w14:textId="77777777" w:rsidR="00196B5C" w:rsidRPr="00FA5E11" w:rsidRDefault="00196B5C" w:rsidP="00196B5C">
      <w:pPr>
        <w:pStyle w:val="BodyText"/>
        <w:numPr>
          <w:ilvl w:val="0"/>
          <w:numId w:val="55"/>
        </w:numPr>
      </w:pPr>
      <w:r w:rsidRPr="00FA5E11">
        <w:t xml:space="preserve">Models with refillable tanks for liquids are the most widely used type. </w:t>
      </w:r>
    </w:p>
    <w:p w14:paraId="3683B100" w14:textId="77777777" w:rsidR="00196B5C" w:rsidRPr="00FA5E11" w:rsidRDefault="00196B5C" w:rsidP="00196B5C">
      <w:pPr>
        <w:pStyle w:val="BodyText"/>
        <w:numPr>
          <w:ilvl w:val="0"/>
          <w:numId w:val="55"/>
        </w:numPr>
      </w:pPr>
      <w:r w:rsidRPr="00FA5E11">
        <w:t xml:space="preserve">Since May 2017, nicotine concentration in liquids has been limited to a maximum of 20mg/mL. In March 2017, around 6% of e-cigarette users reported using higher nicotine concentrations; substantial proportions had difficulties reporting these figures so more may have been affected by the limit. </w:t>
      </w:r>
    </w:p>
    <w:p w14:paraId="752A0FE8" w14:textId="77777777" w:rsidR="00196B5C" w:rsidRPr="00FA5E11" w:rsidRDefault="00196B5C" w:rsidP="00196B5C">
      <w:pPr>
        <w:pStyle w:val="BodyText"/>
        <w:numPr>
          <w:ilvl w:val="0"/>
          <w:numId w:val="55"/>
        </w:numPr>
      </w:pPr>
      <w:r w:rsidRPr="00FA5E11">
        <w:t xml:space="preserve">The most popular groups of flavours among current e-cigarette users are fruit (29%), tobacco (27%) and menthol/mint (25%). </w:t>
      </w:r>
    </w:p>
    <w:p w14:paraId="69B13F59" w14:textId="77777777" w:rsidR="00196B5C" w:rsidRPr="00FA5E11" w:rsidRDefault="00196B5C" w:rsidP="00196B5C">
      <w:pPr>
        <w:pStyle w:val="BodyText"/>
        <w:numPr>
          <w:ilvl w:val="0"/>
          <w:numId w:val="55"/>
        </w:numPr>
      </w:pPr>
      <w:r w:rsidRPr="00FA5E11">
        <w:t xml:space="preserve">Specialist vape shops (physical premises rather than online) are the most popular place of purchase (&gt;40%). </w:t>
      </w:r>
    </w:p>
    <w:p w14:paraId="4FD83424" w14:textId="3C692F2C" w:rsidR="00196B5C" w:rsidRPr="00FA5E11" w:rsidRDefault="00196B5C" w:rsidP="00196B5C">
      <w:pPr>
        <w:pStyle w:val="BodyText"/>
        <w:numPr>
          <w:ilvl w:val="0"/>
          <w:numId w:val="55"/>
        </w:numPr>
      </w:pPr>
      <w:r w:rsidRPr="00FA5E11">
        <w:t>The most common reason for e-cigarette use continues to be in order to stop smoking, and smokers who use e-cigarettes on average have higher motivation to stop smoking than other smokers.</w:t>
      </w:r>
      <w:r w:rsidR="008146F9">
        <w:t xml:space="preserve"> </w:t>
      </w:r>
    </w:p>
    <w:p w14:paraId="345517C1" w14:textId="77777777" w:rsidR="00196B5C" w:rsidRDefault="00196B5C" w:rsidP="00196B5C">
      <w:pPr>
        <w:pStyle w:val="Heading4"/>
      </w:pPr>
      <w:r>
        <w:t xml:space="preserve">International </w:t>
      </w:r>
    </w:p>
    <w:p w14:paraId="3F7D1650" w14:textId="2A438A5F" w:rsidR="00196B5C" w:rsidRPr="00FA5E11" w:rsidRDefault="00196B5C" w:rsidP="00196B5C">
      <w:pPr>
        <w:pStyle w:val="BodyText"/>
        <w:numPr>
          <w:ilvl w:val="0"/>
          <w:numId w:val="54"/>
        </w:numPr>
      </w:pPr>
      <w:r w:rsidRPr="00FA5E11">
        <w:t>Data can be outdated by the time of publication.</w:t>
      </w:r>
      <w:r w:rsidR="008146F9">
        <w:t xml:space="preserve"> </w:t>
      </w:r>
    </w:p>
    <w:p w14:paraId="3CCDD4AD" w14:textId="5EF0D129" w:rsidR="00196B5C" w:rsidRPr="00FA5E11" w:rsidRDefault="00196B5C" w:rsidP="00196B5C">
      <w:pPr>
        <w:pStyle w:val="BodyText"/>
        <w:numPr>
          <w:ilvl w:val="0"/>
          <w:numId w:val="54"/>
        </w:numPr>
      </w:pPr>
      <w:r w:rsidRPr="00FA5E11">
        <w:t>Prevalence of current use in GB is at the higher end for countries in the EU where the average is 2% for current e-cigarette use. Prevalence estimates for current e-cigarette use in the US are around 4% to 6%, which is similar to GB.</w:t>
      </w:r>
      <w:r w:rsidR="008146F9">
        <w:t xml:space="preserve"> </w:t>
      </w:r>
    </w:p>
    <w:p w14:paraId="3F64D3FA" w14:textId="27DC3988" w:rsidR="00196B5C" w:rsidRPr="00FA5E11" w:rsidRDefault="00196B5C" w:rsidP="00196B5C">
      <w:pPr>
        <w:pStyle w:val="BodyText"/>
        <w:numPr>
          <w:ilvl w:val="0"/>
          <w:numId w:val="54"/>
        </w:numPr>
      </w:pPr>
      <w:r w:rsidRPr="00FA5E11">
        <w:t>Across international surveys, a consistently low prevalence (&lt;1%) of e-cigarette use has been reported among never-smokers; one exception is one Spanish survey at 1.2%.</w:t>
      </w:r>
      <w:r w:rsidR="008146F9">
        <w:t xml:space="preserve"> </w:t>
      </w:r>
    </w:p>
    <w:p w14:paraId="1A250393" w14:textId="77777777" w:rsidR="00196B5C" w:rsidRPr="00FA5E11" w:rsidRDefault="00196B5C" w:rsidP="00196B5C">
      <w:pPr>
        <w:pStyle w:val="BodyText"/>
        <w:numPr>
          <w:ilvl w:val="0"/>
          <w:numId w:val="54"/>
        </w:numPr>
      </w:pPr>
      <w:r w:rsidRPr="00FA5E11">
        <w:t xml:space="preserve">Prevalence figures found for smokers and ex-smokers vary more widely across surveys in different countries (4% to 22% among smokers and 0.1% to 5% among ex-smokers). </w:t>
      </w:r>
    </w:p>
    <w:p w14:paraId="1906EB82" w14:textId="77777777" w:rsidR="00196B5C" w:rsidRDefault="00196B5C" w:rsidP="00196B5C">
      <w:pPr>
        <w:pStyle w:val="BodyText"/>
      </w:pPr>
      <w:r>
        <w:t xml:space="preserve"> </w:t>
      </w:r>
    </w:p>
    <w:p w14:paraId="39858A2E" w14:textId="4697CFBA" w:rsidR="00196B5C" w:rsidRDefault="00196B5C" w:rsidP="00196B5C">
      <w:pPr>
        <w:pStyle w:val="AppendixHeading3"/>
      </w:pPr>
      <w:r>
        <w:t>Implications</w:t>
      </w:r>
      <w:r w:rsidR="008146F9">
        <w:t xml:space="preserve"> </w:t>
      </w:r>
    </w:p>
    <w:p w14:paraId="5312EA24" w14:textId="77777777" w:rsidR="00196B5C" w:rsidRDefault="00196B5C" w:rsidP="00196B5C">
      <w:pPr>
        <w:pStyle w:val="Heading4"/>
      </w:pPr>
      <w:r>
        <w:t xml:space="preserve">Research </w:t>
      </w:r>
    </w:p>
    <w:p w14:paraId="17AD4258" w14:textId="77777777" w:rsidR="00196B5C" w:rsidRPr="00FA5E11" w:rsidRDefault="00196B5C" w:rsidP="00196B5C">
      <w:pPr>
        <w:pStyle w:val="BodyText"/>
        <w:numPr>
          <w:ilvl w:val="0"/>
          <w:numId w:val="53"/>
        </w:numPr>
      </w:pPr>
      <w:r>
        <w:t xml:space="preserve">As </w:t>
      </w:r>
      <w:r w:rsidRPr="00FA5E11">
        <w:t xml:space="preserve">recommended in the 2015 PHE report, trends in e-cigarette use among adults should continue to be monitored using standardised definitions of use. Measures should include frequency and type of device used including different types of tank models. </w:t>
      </w:r>
    </w:p>
    <w:p w14:paraId="6CD6E695" w14:textId="2CB28FC6" w:rsidR="00196B5C" w:rsidRPr="00FA5E11" w:rsidRDefault="00196B5C" w:rsidP="00196B5C">
      <w:pPr>
        <w:pStyle w:val="BodyText"/>
        <w:numPr>
          <w:ilvl w:val="0"/>
          <w:numId w:val="53"/>
        </w:numPr>
      </w:pPr>
      <w:r w:rsidRPr="00FA5E11">
        <w:t>E-cigarette use among ex-smokers needs monitoring and further evidence to understand when and why they take up e-cigarette use and whether this is associated with an increase or decrease of relapse to smoking.</w:t>
      </w:r>
      <w:r w:rsidR="008146F9">
        <w:t xml:space="preserve"> </w:t>
      </w:r>
    </w:p>
    <w:p w14:paraId="0B58E050" w14:textId="77777777" w:rsidR="00196B5C" w:rsidRPr="00FA5E11" w:rsidRDefault="00196B5C" w:rsidP="00196B5C">
      <w:pPr>
        <w:pStyle w:val="BodyText"/>
        <w:numPr>
          <w:ilvl w:val="0"/>
          <w:numId w:val="53"/>
        </w:numPr>
      </w:pPr>
      <w:r w:rsidRPr="00FA5E11">
        <w:t xml:space="preserve">More research is needed into different patterns of e-cigarette use while smoking and their effect on subsequent smoking behaviour to understand how best to move dual users to stop smoking. </w:t>
      </w:r>
    </w:p>
    <w:p w14:paraId="6BA20C0A" w14:textId="77777777" w:rsidR="00196B5C" w:rsidRPr="00FA5E11" w:rsidRDefault="00196B5C" w:rsidP="00196B5C">
      <w:pPr>
        <w:pStyle w:val="BodyText"/>
        <w:numPr>
          <w:ilvl w:val="0"/>
          <w:numId w:val="53"/>
        </w:numPr>
      </w:pPr>
      <w:r w:rsidRPr="00FA5E11">
        <w:lastRenderedPageBreak/>
        <w:t xml:space="preserve">More research is needed on the impact of e-cigarettes on health and economic inequalities associated with smoking; in particular on use of e-cigarettes in disadvantaged groups with high smoking prevalence and smoking-related morbidity and mortality, such as those with mental health problems or offenders. Data that have been gathered from the Adult Psychiatric Morbidity Survey should be released for analysis. </w:t>
      </w:r>
    </w:p>
    <w:p w14:paraId="42B4D790" w14:textId="77777777" w:rsidR="00196B5C" w:rsidRDefault="00196B5C" w:rsidP="00196B5C">
      <w:pPr>
        <w:pStyle w:val="BodyText"/>
      </w:pPr>
      <w:r>
        <w:t xml:space="preserve"> </w:t>
      </w:r>
    </w:p>
    <w:p w14:paraId="2EBE99F0" w14:textId="77777777" w:rsidR="00196B5C" w:rsidRDefault="00196B5C" w:rsidP="00196B5C">
      <w:pPr>
        <w:pStyle w:val="Heading4"/>
      </w:pPr>
      <w:r>
        <w:t xml:space="preserve">Policy </w:t>
      </w:r>
    </w:p>
    <w:p w14:paraId="612451DE" w14:textId="77777777" w:rsidR="00196B5C" w:rsidRPr="00FA5E11" w:rsidRDefault="00196B5C" w:rsidP="00196B5C">
      <w:pPr>
        <w:pStyle w:val="BodyText"/>
        <w:numPr>
          <w:ilvl w:val="0"/>
          <w:numId w:val="52"/>
        </w:numPr>
      </w:pPr>
      <w:r>
        <w:t xml:space="preserve">As </w:t>
      </w:r>
      <w:r w:rsidRPr="00FA5E11">
        <w:t>recommended in 2015 and as per existing NICE guidance, all smokers should be supported to stop smoking completely, including ‘dual users’ who smoke and use e</w:t>
      </w:r>
      <w:r>
        <w:noBreakHyphen/>
      </w:r>
      <w:r w:rsidRPr="00FA5E11">
        <w:t xml:space="preserve">cigarettes. </w:t>
      </w:r>
    </w:p>
    <w:p w14:paraId="4965AF01" w14:textId="59426D4E" w:rsidR="00196B5C" w:rsidRPr="007008F9" w:rsidRDefault="00196B5C" w:rsidP="00196B5C">
      <w:pPr>
        <w:pStyle w:val="BodyText"/>
        <w:numPr>
          <w:ilvl w:val="0"/>
          <w:numId w:val="52"/>
        </w:numPr>
      </w:pPr>
      <w:r w:rsidRPr="00FA5E11">
        <w:t>Access to e-cigarettes</w:t>
      </w:r>
      <w:r>
        <w:t xml:space="preserve"> should be improved for smokers in disadvantaged groups.</w:t>
      </w:r>
      <w:r w:rsidR="008146F9">
        <w:t xml:space="preserve"> </w:t>
      </w:r>
    </w:p>
    <w:p w14:paraId="5CF78EC8" w14:textId="77777777" w:rsidR="00196B5C" w:rsidRPr="007008F9" w:rsidRDefault="00196B5C" w:rsidP="00196B5C">
      <w:pPr>
        <w:pStyle w:val="BodyText"/>
      </w:pPr>
    </w:p>
    <w:p w14:paraId="202D6B32" w14:textId="77777777" w:rsidR="00196B5C" w:rsidRDefault="00196B5C" w:rsidP="00196B5C">
      <w:pPr>
        <w:pStyle w:val="AppendixHeading2"/>
      </w:pPr>
      <w:r>
        <w:t xml:space="preserve">Nicotine </w:t>
      </w:r>
    </w:p>
    <w:p w14:paraId="09761D28" w14:textId="77777777" w:rsidR="00196B5C" w:rsidRDefault="00196B5C" w:rsidP="00196B5C">
      <w:pPr>
        <w:pStyle w:val="AppendixHeading3"/>
      </w:pPr>
      <w:r>
        <w:t xml:space="preserve">Key findings </w:t>
      </w:r>
    </w:p>
    <w:p w14:paraId="13493FA8" w14:textId="77777777" w:rsidR="00196B5C" w:rsidRPr="00FA5E11" w:rsidRDefault="00196B5C" w:rsidP="00196B5C">
      <w:pPr>
        <w:pStyle w:val="BodyText"/>
        <w:numPr>
          <w:ilvl w:val="0"/>
          <w:numId w:val="59"/>
        </w:numPr>
      </w:pPr>
      <w:r w:rsidRPr="00FA5E11">
        <w:t xml:space="preserve">The addictiveness of nicotine depends on the delivery system. </w:t>
      </w:r>
    </w:p>
    <w:p w14:paraId="7C1BC560" w14:textId="77777777" w:rsidR="00196B5C" w:rsidRPr="00FA5E11" w:rsidRDefault="00196B5C" w:rsidP="00196B5C">
      <w:pPr>
        <w:pStyle w:val="BodyText"/>
        <w:numPr>
          <w:ilvl w:val="0"/>
          <w:numId w:val="59"/>
        </w:numPr>
      </w:pPr>
      <w:r w:rsidRPr="00FA5E11">
        <w:t xml:space="preserve">It is possible that the addictiveness of tobacco cigarettes may be enhanced by compounds in the smoke other than nicotine. </w:t>
      </w:r>
    </w:p>
    <w:p w14:paraId="507000AA" w14:textId="64682306" w:rsidR="00196B5C" w:rsidRPr="00FA5E11" w:rsidRDefault="00196B5C" w:rsidP="00196B5C">
      <w:pPr>
        <w:pStyle w:val="BodyText"/>
        <w:numPr>
          <w:ilvl w:val="0"/>
          <w:numId w:val="59"/>
        </w:numPr>
      </w:pPr>
      <w:r w:rsidRPr="00FA5E11">
        <w:t>As e-cigarettes have evolved, their nicotine delivery has improved. This could mean that their addiction potential has increased, but this may also make them more attractive to smokers as a replacement for smoking. It is not yet clear how addictive e-cigarettes are, or could be, relative to tobacco cigarettes.</w:t>
      </w:r>
      <w:r w:rsidR="008146F9">
        <w:t xml:space="preserve"> </w:t>
      </w:r>
    </w:p>
    <w:p w14:paraId="73D65F48" w14:textId="77777777" w:rsidR="00196B5C" w:rsidRPr="00FA5E11" w:rsidRDefault="00196B5C" w:rsidP="00196B5C">
      <w:pPr>
        <w:pStyle w:val="BodyText"/>
        <w:numPr>
          <w:ilvl w:val="0"/>
          <w:numId w:val="59"/>
        </w:numPr>
      </w:pPr>
      <w:r w:rsidRPr="00FA5E11">
        <w:t>While nicotine has effects on physiological systems that could theoretically lead to health harms, at systemic concentrations experienced by smokers and e-cigarette users, long</w:t>
      </w:r>
      <w:r>
        <w:noBreakHyphen/>
      </w:r>
      <w:r w:rsidRPr="00FA5E11">
        <w:t xml:space="preserve">term use of nicotine by ‘snus’ (a low nitrosamine form of smokeless tobacco) users has not been found to increase the risk of serious health problems in adults, and use of nicotine replacement therapy by pregnant smokers has not been found to increase risk to the foetus. </w:t>
      </w:r>
    </w:p>
    <w:p w14:paraId="02125215" w14:textId="77777777" w:rsidR="00196B5C" w:rsidRPr="00FA5E11" w:rsidRDefault="00196B5C" w:rsidP="00196B5C">
      <w:pPr>
        <w:pStyle w:val="BodyText"/>
        <w:numPr>
          <w:ilvl w:val="0"/>
          <w:numId w:val="59"/>
        </w:numPr>
      </w:pPr>
      <w:r w:rsidRPr="00FA5E11">
        <w:t xml:space="preserve">Adolescent nicotine use (separate from smoking) needs more research. </w:t>
      </w:r>
    </w:p>
    <w:p w14:paraId="13E3AC19" w14:textId="77777777" w:rsidR="00196B5C" w:rsidRPr="00FA5E11" w:rsidRDefault="00196B5C" w:rsidP="00196B5C">
      <w:pPr>
        <w:pStyle w:val="BodyText"/>
        <w:numPr>
          <w:ilvl w:val="0"/>
          <w:numId w:val="59"/>
        </w:numPr>
      </w:pPr>
      <w:r w:rsidRPr="00FA5E11">
        <w:t xml:space="preserve">The long-term impact of nicotine from e-cigarettes on lung tissue is not yet known and may be different from its impact systemically. </w:t>
      </w:r>
    </w:p>
    <w:p w14:paraId="204E04F7" w14:textId="77777777" w:rsidR="00196B5C" w:rsidRDefault="00196B5C" w:rsidP="00196B5C">
      <w:pPr>
        <w:pStyle w:val="BodyText"/>
        <w:ind w:left="720"/>
      </w:pPr>
      <w:r>
        <w:t xml:space="preserve"> </w:t>
      </w:r>
    </w:p>
    <w:p w14:paraId="6C2145F4" w14:textId="77777777" w:rsidR="00196B5C" w:rsidRDefault="00196B5C" w:rsidP="00196B5C">
      <w:pPr>
        <w:pStyle w:val="AppendixHeading3"/>
      </w:pPr>
      <w:r>
        <w:lastRenderedPageBreak/>
        <w:t xml:space="preserve">Implications </w:t>
      </w:r>
    </w:p>
    <w:p w14:paraId="538593C1" w14:textId="77777777" w:rsidR="00196B5C" w:rsidRDefault="00196B5C" w:rsidP="00196B5C">
      <w:pPr>
        <w:pStyle w:val="Heading4"/>
      </w:pPr>
      <w:r>
        <w:t xml:space="preserve">Research </w:t>
      </w:r>
    </w:p>
    <w:p w14:paraId="46824587" w14:textId="3B1A6D4A" w:rsidR="00196B5C" w:rsidRPr="00FA5E11" w:rsidRDefault="00196B5C" w:rsidP="00196B5C">
      <w:pPr>
        <w:pStyle w:val="BodyText"/>
        <w:numPr>
          <w:ilvl w:val="0"/>
          <w:numId w:val="58"/>
        </w:numPr>
      </w:pPr>
      <w:r w:rsidRPr="00FA5E11">
        <w:t>More research on nicotine in comparison to tobacco cigarette smoking is needed, and the popularity of e-cigarettes enables such research, albeit in the context of the other components in e-cigarette and e-cigarette aerosol.</w:t>
      </w:r>
      <w:r w:rsidR="008146F9">
        <w:t xml:space="preserve"> </w:t>
      </w:r>
    </w:p>
    <w:p w14:paraId="0EB233E6" w14:textId="783639EF" w:rsidR="00196B5C" w:rsidRDefault="00196B5C" w:rsidP="00196B5C">
      <w:pPr>
        <w:pStyle w:val="BodyText"/>
        <w:numPr>
          <w:ilvl w:val="0"/>
          <w:numId w:val="58"/>
        </w:numPr>
      </w:pPr>
      <w:r w:rsidRPr="00FA5E11">
        <w:t xml:space="preserve">Further </w:t>
      </w:r>
      <w:r>
        <w:t>research is needed on the similarities and differences in addictiveness of e</w:t>
      </w:r>
      <w:r>
        <w:noBreakHyphen/>
        <w:t>cigarettes and tobacco cigarettes and the potential harms associated with inhaled nicotine.</w:t>
      </w:r>
      <w:r w:rsidR="008146F9">
        <w:t xml:space="preserve"> </w:t>
      </w:r>
    </w:p>
    <w:p w14:paraId="657DA896" w14:textId="77777777" w:rsidR="00196B5C" w:rsidRDefault="00196B5C" w:rsidP="00196B5C">
      <w:pPr>
        <w:pStyle w:val="BodyText"/>
        <w:ind w:left="720"/>
      </w:pPr>
      <w:r>
        <w:t xml:space="preserve"> </w:t>
      </w:r>
    </w:p>
    <w:p w14:paraId="20B97EE0" w14:textId="77777777" w:rsidR="00196B5C" w:rsidRDefault="00196B5C" w:rsidP="00196B5C">
      <w:pPr>
        <w:pStyle w:val="Heading4"/>
      </w:pPr>
      <w:r>
        <w:t xml:space="preserve">Policy and practice </w:t>
      </w:r>
    </w:p>
    <w:p w14:paraId="07451EEF" w14:textId="77777777" w:rsidR="00196B5C" w:rsidRDefault="00196B5C" w:rsidP="00196B5C">
      <w:pPr>
        <w:pStyle w:val="BodyText"/>
        <w:numPr>
          <w:ilvl w:val="0"/>
          <w:numId w:val="57"/>
        </w:numPr>
      </w:pPr>
      <w:r>
        <w:t xml:space="preserve">Widespread misperceptions about the relative risks of nicotine and tobacco need to be addressed and corrected. </w:t>
      </w:r>
    </w:p>
    <w:p w14:paraId="01C07C36" w14:textId="77777777" w:rsidR="00196B5C" w:rsidRPr="00FA5E11" w:rsidRDefault="00196B5C" w:rsidP="00196B5C">
      <w:pPr>
        <w:pStyle w:val="BodyText"/>
        <w:numPr>
          <w:ilvl w:val="0"/>
          <w:numId w:val="57"/>
        </w:numPr>
      </w:pPr>
      <w:r>
        <w:t xml:space="preserve">Clear messages, based on current evidence about nicotine, its relationship with harms, and its </w:t>
      </w:r>
      <w:r w:rsidRPr="00FA5E11">
        <w:t xml:space="preserve">addictiveness, compared with smoking, are necessary and could have a marked impact on public health. </w:t>
      </w:r>
    </w:p>
    <w:p w14:paraId="5069DEBC" w14:textId="77777777" w:rsidR="00196B5C" w:rsidRDefault="00196B5C" w:rsidP="00196B5C">
      <w:pPr>
        <w:pStyle w:val="BodyText"/>
        <w:numPr>
          <w:ilvl w:val="0"/>
          <w:numId w:val="57"/>
        </w:numPr>
      </w:pPr>
      <w:r w:rsidRPr="00FA5E11">
        <w:t>Policies on tobacco and e-cigarettes should have at their core the recognition that nicotine use per se presents minimal risk of serious harm to physical health and that its addictiveness</w:t>
      </w:r>
      <w:r>
        <w:t xml:space="preserve"> depends on how it is administered</w:t>
      </w:r>
    </w:p>
    <w:p w14:paraId="0892B835" w14:textId="77777777" w:rsidR="00196B5C" w:rsidRDefault="00196B5C" w:rsidP="00196B5C">
      <w:pPr>
        <w:pStyle w:val="BodyText"/>
      </w:pPr>
    </w:p>
    <w:p w14:paraId="7FB16E91" w14:textId="77777777" w:rsidR="00196B5C" w:rsidRDefault="00196B5C" w:rsidP="00196B5C">
      <w:pPr>
        <w:spacing w:after="0"/>
        <w:rPr>
          <w:sz w:val="24"/>
        </w:rPr>
      </w:pPr>
    </w:p>
    <w:p w14:paraId="54EB9C0C" w14:textId="77777777" w:rsidR="00196B5C" w:rsidRDefault="00196B5C" w:rsidP="00196B5C">
      <w:pPr>
        <w:spacing w:after="0"/>
        <w:rPr>
          <w:sz w:val="24"/>
        </w:rPr>
        <w:sectPr w:rsidR="00196B5C" w:rsidSect="000F0E2F">
          <w:headerReference w:type="default" r:id="rId49"/>
          <w:pgSz w:w="11906" w:h="16838" w:code="9"/>
          <w:pgMar w:top="1134" w:right="1134" w:bottom="1134" w:left="1134" w:header="510" w:footer="624" w:gutter="0"/>
          <w:cols w:space="850"/>
          <w:docGrid w:linePitch="360"/>
        </w:sectPr>
      </w:pPr>
    </w:p>
    <w:p w14:paraId="6DCE5D6F" w14:textId="77777777" w:rsidR="006112ED" w:rsidRDefault="006112ED" w:rsidP="006112ED">
      <w:pPr>
        <w:pStyle w:val="Heading1notnumbered"/>
      </w:pPr>
      <w:bookmarkStart w:id="352" w:name="_Toc517706751"/>
      <w:r>
        <w:lastRenderedPageBreak/>
        <w:t>Glossary</w:t>
      </w:r>
      <w:bookmarkEnd w:id="352"/>
    </w:p>
    <w:tbl>
      <w:tblPr>
        <w:tblStyle w:val="TableCSIRO"/>
        <w:tblW w:w="9810" w:type="dxa"/>
        <w:tblLook w:val="04A0" w:firstRow="1" w:lastRow="0" w:firstColumn="1" w:lastColumn="0" w:noHBand="0" w:noVBand="1"/>
      </w:tblPr>
      <w:tblGrid>
        <w:gridCol w:w="2560"/>
        <w:gridCol w:w="7250"/>
      </w:tblGrid>
      <w:tr w:rsidR="00AB0034" w:rsidRPr="00276915" w14:paraId="3E2CAD03" w14:textId="77777777" w:rsidTr="009D68B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0" w:type="dxa"/>
            <w:vAlign w:val="bottom"/>
            <w:hideMark/>
          </w:tcPr>
          <w:p w14:paraId="20E36CCD" w14:textId="77777777" w:rsidR="00AB0034" w:rsidRPr="00AB0034" w:rsidRDefault="00AB0034" w:rsidP="00AB0034">
            <w:pPr>
              <w:spacing w:after="0"/>
              <w:rPr>
                <w:rFonts w:eastAsia="Times New Roman" w:cs="Calibri"/>
                <w:color w:val="FFFFFF" w:themeColor="background1"/>
              </w:rPr>
            </w:pPr>
            <w:r w:rsidRPr="00AB0034">
              <w:rPr>
                <w:rFonts w:cs="Calibri"/>
                <w:bCs w:val="0"/>
                <w:color w:val="FFFFFF" w:themeColor="background1"/>
              </w:rPr>
              <w:t xml:space="preserve">Term </w:t>
            </w:r>
          </w:p>
        </w:tc>
        <w:tc>
          <w:tcPr>
            <w:tcW w:w="7250" w:type="dxa"/>
            <w:vAlign w:val="bottom"/>
            <w:hideMark/>
          </w:tcPr>
          <w:p w14:paraId="4FD1C984" w14:textId="77777777" w:rsidR="00AB0034" w:rsidRPr="00AB0034" w:rsidRDefault="00AB0034" w:rsidP="00AB0034">
            <w:pPr>
              <w:spacing w:after="0"/>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rPr>
            </w:pPr>
            <w:r w:rsidRPr="00AB0034">
              <w:rPr>
                <w:rFonts w:cs="Calibri"/>
                <w:bCs w:val="0"/>
                <w:color w:val="FFFFFF" w:themeColor="background1"/>
              </w:rPr>
              <w:t>Definition</w:t>
            </w:r>
          </w:p>
        </w:tc>
      </w:tr>
      <w:tr w:rsidR="00AB0034" w:rsidRPr="00276915" w14:paraId="7E6A1664" w14:textId="77777777" w:rsidTr="009D68B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0" w:type="dxa"/>
            <w:vAlign w:val="bottom"/>
          </w:tcPr>
          <w:p w14:paraId="52F620AF" w14:textId="77777777" w:rsidR="00AB0034" w:rsidRPr="00276915" w:rsidRDefault="00AB0034" w:rsidP="00AB0034">
            <w:pPr>
              <w:spacing w:after="0"/>
              <w:rPr>
                <w:rFonts w:eastAsia="Times New Roman" w:cs="Calibri"/>
                <w:i/>
                <w:iCs/>
              </w:rPr>
            </w:pPr>
            <w:r>
              <w:rPr>
                <w:rFonts w:cs="Calibri"/>
                <w:i/>
                <w:iCs/>
              </w:rPr>
              <w:t>ad libitum</w:t>
            </w:r>
          </w:p>
        </w:tc>
        <w:tc>
          <w:tcPr>
            <w:tcW w:w="7250" w:type="dxa"/>
            <w:vAlign w:val="bottom"/>
          </w:tcPr>
          <w:p w14:paraId="4750B62F" w14:textId="77777777" w:rsidR="00AB0034" w:rsidRPr="00276915" w:rsidRDefault="00AB0034" w:rsidP="00AB0034">
            <w:pPr>
              <w:spacing w:after="0"/>
              <w:cnfStyle w:val="000000100000" w:firstRow="0" w:lastRow="0" w:firstColumn="0" w:lastColumn="0" w:oddVBand="0" w:evenVBand="0" w:oddHBand="1" w:evenHBand="0" w:firstRowFirstColumn="0" w:firstRowLastColumn="0" w:lastRowFirstColumn="0" w:lastRowLastColumn="0"/>
              <w:rPr>
                <w:rFonts w:eastAsia="Times New Roman" w:cs="Calibri"/>
              </w:rPr>
            </w:pPr>
            <w:r>
              <w:rPr>
                <w:rFonts w:cs="Calibri"/>
              </w:rPr>
              <w:t>At one's pleasure/ as desired.</w:t>
            </w:r>
          </w:p>
        </w:tc>
      </w:tr>
      <w:tr w:rsidR="00AB0034" w:rsidRPr="00276915" w14:paraId="58EB4EA1" w14:textId="77777777" w:rsidTr="009D68BA">
        <w:trPr>
          <w:trHeight w:val="600"/>
        </w:trPr>
        <w:tc>
          <w:tcPr>
            <w:cnfStyle w:val="001000000000" w:firstRow="0" w:lastRow="0" w:firstColumn="1" w:lastColumn="0" w:oddVBand="0" w:evenVBand="0" w:oddHBand="0" w:evenHBand="0" w:firstRowFirstColumn="0" w:firstRowLastColumn="0" w:lastRowFirstColumn="0" w:lastRowLastColumn="0"/>
            <w:tcW w:w="2560" w:type="dxa"/>
            <w:vAlign w:val="bottom"/>
          </w:tcPr>
          <w:p w14:paraId="46E9FB0E" w14:textId="77777777" w:rsidR="00AB0034" w:rsidRPr="00276915" w:rsidRDefault="00AB0034" w:rsidP="00AB0034">
            <w:pPr>
              <w:spacing w:after="0"/>
              <w:rPr>
                <w:rFonts w:eastAsia="Times New Roman" w:cs="Calibri"/>
              </w:rPr>
            </w:pPr>
            <w:r>
              <w:rPr>
                <w:rFonts w:cs="Calibri"/>
              </w:rPr>
              <w:t>Adjusted geometric mean (GM)</w:t>
            </w:r>
          </w:p>
        </w:tc>
        <w:tc>
          <w:tcPr>
            <w:tcW w:w="7250" w:type="dxa"/>
            <w:vAlign w:val="bottom"/>
          </w:tcPr>
          <w:p w14:paraId="19512453" w14:textId="759560DE" w:rsidR="00AB0034" w:rsidRPr="00276915" w:rsidRDefault="00EF0439" w:rsidP="009469EE">
            <w:pPr>
              <w:spacing w:after="0"/>
              <w:cnfStyle w:val="000000000000" w:firstRow="0" w:lastRow="0" w:firstColumn="0" w:lastColumn="0" w:oddVBand="0" w:evenVBand="0" w:oddHBand="0" w:evenHBand="0" w:firstRowFirstColumn="0" w:firstRowLastColumn="0" w:lastRowFirstColumn="0" w:lastRowLastColumn="0"/>
              <w:rPr>
                <w:rFonts w:eastAsia="Times New Roman" w:cs="Calibri"/>
              </w:rPr>
            </w:pPr>
            <w:r>
              <w:rPr>
                <w:rFonts w:cs="Calibri"/>
              </w:rPr>
              <w:t>T</w:t>
            </w:r>
            <w:r w:rsidR="00AB0034">
              <w:rPr>
                <w:rFonts w:cs="Calibri"/>
              </w:rPr>
              <w:t xml:space="preserve">he </w:t>
            </w:r>
            <w:r w:rsidR="00675C00">
              <w:rPr>
                <w:rFonts w:cs="Calibri"/>
              </w:rPr>
              <w:t xml:space="preserve">central tendency of </w:t>
            </w:r>
            <w:r w:rsidR="00AB0034">
              <w:rPr>
                <w:rFonts w:cs="Calibri"/>
              </w:rPr>
              <w:t>a set of numbers</w:t>
            </w:r>
            <w:r w:rsidR="009469EE">
              <w:rPr>
                <w:rFonts w:cs="Calibri"/>
              </w:rPr>
              <w:t xml:space="preserve"> (n)</w:t>
            </w:r>
            <w:r w:rsidR="00675C00">
              <w:rPr>
                <w:rFonts w:cs="Calibri"/>
              </w:rPr>
              <w:t xml:space="preserve"> expressed as the</w:t>
            </w:r>
            <w:r w:rsidR="009469EE">
              <w:rPr>
                <w:rFonts w:cs="Calibri"/>
              </w:rPr>
              <w:t xml:space="preserve"> nth root of the</w:t>
            </w:r>
            <w:r w:rsidR="00675C00">
              <w:rPr>
                <w:rFonts w:cs="Calibri"/>
              </w:rPr>
              <w:t xml:space="preserve"> product</w:t>
            </w:r>
            <w:r w:rsidR="009469EE">
              <w:rPr>
                <w:rFonts w:cs="Calibri"/>
              </w:rPr>
              <w:t xml:space="preserve"> of the n numbers</w:t>
            </w:r>
            <w:r w:rsidR="00AB0034">
              <w:rPr>
                <w:rFonts w:cs="Calibri"/>
              </w:rPr>
              <w:t>.</w:t>
            </w:r>
          </w:p>
        </w:tc>
      </w:tr>
      <w:tr w:rsidR="00AB0034" w:rsidRPr="00276915" w14:paraId="307247FF" w14:textId="77777777" w:rsidTr="009D68B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0" w:type="dxa"/>
            <w:vAlign w:val="bottom"/>
          </w:tcPr>
          <w:p w14:paraId="56346575" w14:textId="77777777" w:rsidR="00AB0034" w:rsidRPr="00276915" w:rsidRDefault="00AB0034" w:rsidP="00AB0034">
            <w:pPr>
              <w:spacing w:after="0"/>
              <w:rPr>
                <w:rFonts w:eastAsia="Times New Roman" w:cs="Calibri"/>
              </w:rPr>
            </w:pPr>
            <w:r>
              <w:rPr>
                <w:rFonts w:cs="Calibri"/>
              </w:rPr>
              <w:t>Aortic stiffness</w:t>
            </w:r>
          </w:p>
        </w:tc>
        <w:tc>
          <w:tcPr>
            <w:tcW w:w="7250" w:type="dxa"/>
            <w:vAlign w:val="bottom"/>
          </w:tcPr>
          <w:p w14:paraId="332513B8" w14:textId="77777777" w:rsidR="00AB0034" w:rsidRPr="00276915" w:rsidRDefault="00AB0034" w:rsidP="00675C00">
            <w:pPr>
              <w:spacing w:after="0"/>
              <w:cnfStyle w:val="000000100000" w:firstRow="0" w:lastRow="0" w:firstColumn="0" w:lastColumn="0" w:oddVBand="0" w:evenVBand="0" w:oddHBand="1" w:evenHBand="0" w:firstRowFirstColumn="0" w:firstRowLastColumn="0" w:lastRowFirstColumn="0" w:lastRowLastColumn="0"/>
              <w:rPr>
                <w:rFonts w:eastAsia="Times New Roman" w:cs="Calibri"/>
              </w:rPr>
            </w:pPr>
            <w:r>
              <w:rPr>
                <w:rFonts w:cs="Calibri"/>
              </w:rPr>
              <w:t xml:space="preserve">Stiffness of the </w:t>
            </w:r>
            <w:r w:rsidR="00675C00">
              <w:rPr>
                <w:rFonts w:cs="Calibri"/>
              </w:rPr>
              <w:t xml:space="preserve">aorta (a large </w:t>
            </w:r>
            <w:r>
              <w:rPr>
                <w:rFonts w:cs="Calibri"/>
              </w:rPr>
              <w:t>arter</w:t>
            </w:r>
            <w:r w:rsidR="00675C00">
              <w:rPr>
                <w:rFonts w:cs="Calibri"/>
              </w:rPr>
              <w:t>y located near the heart and lungs).</w:t>
            </w:r>
          </w:p>
        </w:tc>
      </w:tr>
      <w:tr w:rsidR="00AB0034" w:rsidRPr="00276915" w14:paraId="4485B663" w14:textId="77777777" w:rsidTr="009D68BA">
        <w:trPr>
          <w:trHeight w:val="300"/>
        </w:trPr>
        <w:tc>
          <w:tcPr>
            <w:cnfStyle w:val="001000000000" w:firstRow="0" w:lastRow="0" w:firstColumn="1" w:lastColumn="0" w:oddVBand="0" w:evenVBand="0" w:oddHBand="0" w:evenHBand="0" w:firstRowFirstColumn="0" w:firstRowLastColumn="0" w:lastRowFirstColumn="0" w:lastRowLastColumn="0"/>
            <w:tcW w:w="2560" w:type="dxa"/>
            <w:vAlign w:val="bottom"/>
          </w:tcPr>
          <w:p w14:paraId="2B40C66C" w14:textId="77777777" w:rsidR="00AB0034" w:rsidRPr="00276915" w:rsidRDefault="00AB0034" w:rsidP="00AB0034">
            <w:pPr>
              <w:spacing w:after="0"/>
              <w:rPr>
                <w:rFonts w:eastAsia="Times New Roman" w:cs="Calibri"/>
              </w:rPr>
            </w:pPr>
            <w:r>
              <w:rPr>
                <w:rFonts w:cs="Calibri"/>
              </w:rPr>
              <w:t>Arterial elasticity</w:t>
            </w:r>
          </w:p>
        </w:tc>
        <w:tc>
          <w:tcPr>
            <w:tcW w:w="7250" w:type="dxa"/>
            <w:vAlign w:val="bottom"/>
          </w:tcPr>
          <w:p w14:paraId="6F08ED55" w14:textId="77777777" w:rsidR="00AB0034" w:rsidRPr="00276915" w:rsidRDefault="00AB0034" w:rsidP="00AB0034">
            <w:pPr>
              <w:spacing w:after="0"/>
              <w:cnfStyle w:val="000000000000" w:firstRow="0" w:lastRow="0" w:firstColumn="0" w:lastColumn="0" w:oddVBand="0" w:evenVBand="0" w:oddHBand="0" w:evenHBand="0" w:firstRowFirstColumn="0" w:firstRowLastColumn="0" w:lastRowFirstColumn="0" w:lastRowLastColumn="0"/>
              <w:rPr>
                <w:rFonts w:eastAsia="Times New Roman" w:cs="Calibri"/>
                <w:color w:val="auto"/>
              </w:rPr>
            </w:pPr>
            <w:r>
              <w:rPr>
                <w:rFonts w:cs="Calibri"/>
              </w:rPr>
              <w:t>Ability of the arteries to expand and contract.</w:t>
            </w:r>
          </w:p>
        </w:tc>
      </w:tr>
      <w:tr w:rsidR="00E13BD6" w:rsidRPr="00276915" w14:paraId="38414C3E" w14:textId="77777777" w:rsidTr="009D68B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0" w:type="dxa"/>
            <w:vAlign w:val="bottom"/>
          </w:tcPr>
          <w:p w14:paraId="58B2CC01" w14:textId="77777777" w:rsidR="00E13BD6" w:rsidRDefault="00E13BD6" w:rsidP="00E13BD6">
            <w:pPr>
              <w:spacing w:after="0"/>
              <w:rPr>
                <w:rFonts w:cs="Calibri"/>
              </w:rPr>
            </w:pPr>
            <w:r>
              <w:rPr>
                <w:rFonts w:cs="Calibri"/>
              </w:rPr>
              <w:t>Atomizer</w:t>
            </w:r>
          </w:p>
        </w:tc>
        <w:tc>
          <w:tcPr>
            <w:tcW w:w="7250" w:type="dxa"/>
            <w:vAlign w:val="bottom"/>
          </w:tcPr>
          <w:p w14:paraId="5E492C9C" w14:textId="77777777" w:rsidR="00E13BD6" w:rsidRDefault="00E13BD6" w:rsidP="00E13BD6">
            <w:pPr>
              <w:spacing w:after="0"/>
              <w:cnfStyle w:val="000000100000" w:firstRow="0" w:lastRow="0" w:firstColumn="0" w:lastColumn="0" w:oddVBand="0" w:evenVBand="0" w:oddHBand="1" w:evenHBand="0" w:firstRowFirstColumn="0" w:firstRowLastColumn="0" w:lastRowFirstColumn="0" w:lastRowLastColumn="0"/>
              <w:rPr>
                <w:rFonts w:cs="Calibri"/>
              </w:rPr>
            </w:pPr>
            <w:r>
              <w:rPr>
                <w:rFonts w:cs="Calibri"/>
              </w:rPr>
              <w:t>Component in the e-cigarette that heats the e-liquid to the point of aerosolisation.</w:t>
            </w:r>
          </w:p>
        </w:tc>
      </w:tr>
      <w:tr w:rsidR="00922CBB" w:rsidRPr="00276915" w14:paraId="422CA765" w14:textId="77777777" w:rsidTr="009D68BA">
        <w:trPr>
          <w:trHeight w:val="300"/>
        </w:trPr>
        <w:tc>
          <w:tcPr>
            <w:cnfStyle w:val="001000000000" w:firstRow="0" w:lastRow="0" w:firstColumn="1" w:lastColumn="0" w:oddVBand="0" w:evenVBand="0" w:oddHBand="0" w:evenHBand="0" w:firstRowFirstColumn="0" w:firstRowLastColumn="0" w:lastRowFirstColumn="0" w:lastRowLastColumn="0"/>
            <w:tcW w:w="2560" w:type="dxa"/>
            <w:vAlign w:val="bottom"/>
          </w:tcPr>
          <w:p w14:paraId="4BC3CD3F" w14:textId="58A29DC0" w:rsidR="00922CBB" w:rsidRDefault="00922CBB" w:rsidP="00AB0034">
            <w:pPr>
              <w:spacing w:after="0"/>
              <w:rPr>
                <w:rFonts w:cs="Calibri"/>
              </w:rPr>
            </w:pPr>
            <w:r>
              <w:rPr>
                <w:rFonts w:cs="Calibri"/>
              </w:rPr>
              <w:t>Between-countries</w:t>
            </w:r>
          </w:p>
        </w:tc>
        <w:tc>
          <w:tcPr>
            <w:tcW w:w="7250" w:type="dxa"/>
            <w:vAlign w:val="bottom"/>
          </w:tcPr>
          <w:p w14:paraId="31A5D6C2" w14:textId="5E91AF0F" w:rsidR="00922CBB" w:rsidRDefault="00922CBB" w:rsidP="00922CBB">
            <w:pPr>
              <w:spacing w:after="0"/>
              <w:cnfStyle w:val="000000000000" w:firstRow="0" w:lastRow="0" w:firstColumn="0" w:lastColumn="0" w:oddVBand="0" w:evenVBand="0" w:oddHBand="0" w:evenHBand="0" w:firstRowFirstColumn="0" w:firstRowLastColumn="0" w:lastRowFirstColumn="0" w:lastRowLastColumn="0"/>
              <w:rPr>
                <w:rFonts w:cs="Calibri"/>
              </w:rPr>
            </w:pPr>
            <w:r>
              <w:rPr>
                <w:rFonts w:cs="Calibri"/>
              </w:rPr>
              <w:t xml:space="preserve">A comparison where the country is the unit of analysis – for example, an analysis of the mean population age compared to the Gross Domestic Product.  </w:t>
            </w:r>
          </w:p>
        </w:tc>
      </w:tr>
      <w:tr w:rsidR="00AB0034" w:rsidRPr="00276915" w14:paraId="30757EF6" w14:textId="77777777" w:rsidTr="009D68B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0" w:type="dxa"/>
            <w:vAlign w:val="bottom"/>
          </w:tcPr>
          <w:p w14:paraId="3C16ABC2" w14:textId="77777777" w:rsidR="00AB0034" w:rsidRPr="00276915" w:rsidRDefault="00AB0034" w:rsidP="00AB0034">
            <w:pPr>
              <w:spacing w:after="0"/>
              <w:rPr>
                <w:rFonts w:eastAsia="Times New Roman" w:cs="Calibri"/>
              </w:rPr>
            </w:pPr>
            <w:r>
              <w:rPr>
                <w:rFonts w:cs="Calibri"/>
              </w:rPr>
              <w:t xml:space="preserve">Bone resorption </w:t>
            </w:r>
          </w:p>
        </w:tc>
        <w:tc>
          <w:tcPr>
            <w:tcW w:w="7250" w:type="dxa"/>
            <w:vAlign w:val="bottom"/>
          </w:tcPr>
          <w:p w14:paraId="4CC80505" w14:textId="77777777" w:rsidR="00AB0034" w:rsidRPr="00276915" w:rsidRDefault="00675C00" w:rsidP="00675C00">
            <w:pPr>
              <w:spacing w:after="0"/>
              <w:cnfStyle w:val="000000100000" w:firstRow="0" w:lastRow="0" w:firstColumn="0" w:lastColumn="0" w:oddVBand="0" w:evenVBand="0" w:oddHBand="1" w:evenHBand="0" w:firstRowFirstColumn="0" w:firstRowLastColumn="0" w:lastRowFirstColumn="0" w:lastRowLastColumn="0"/>
              <w:rPr>
                <w:rFonts w:eastAsia="Times New Roman" w:cs="Calibri"/>
              </w:rPr>
            </w:pPr>
            <w:r>
              <w:rPr>
                <w:rFonts w:cs="Calibri"/>
              </w:rPr>
              <w:t xml:space="preserve">The process of dissolving </w:t>
            </w:r>
            <w:r w:rsidR="00AB0034">
              <w:rPr>
                <w:rFonts w:cs="Calibri"/>
              </w:rPr>
              <w:t>bones to release minerals.</w:t>
            </w:r>
          </w:p>
        </w:tc>
      </w:tr>
      <w:tr w:rsidR="00AB0034" w:rsidRPr="00276915" w14:paraId="4A0C77D5" w14:textId="77777777" w:rsidTr="009D68BA">
        <w:trPr>
          <w:trHeight w:val="600"/>
        </w:trPr>
        <w:tc>
          <w:tcPr>
            <w:cnfStyle w:val="001000000000" w:firstRow="0" w:lastRow="0" w:firstColumn="1" w:lastColumn="0" w:oddVBand="0" w:evenVBand="0" w:oddHBand="0" w:evenHBand="0" w:firstRowFirstColumn="0" w:firstRowLastColumn="0" w:lastRowFirstColumn="0" w:lastRowLastColumn="0"/>
            <w:tcW w:w="2560" w:type="dxa"/>
            <w:vAlign w:val="bottom"/>
          </w:tcPr>
          <w:p w14:paraId="26947DA8" w14:textId="77777777" w:rsidR="00AB0034" w:rsidRPr="00276915" w:rsidRDefault="00AB0034" w:rsidP="00AB0034">
            <w:pPr>
              <w:spacing w:after="0"/>
              <w:rPr>
                <w:rFonts w:eastAsia="Times New Roman" w:cs="Calibri"/>
              </w:rPr>
            </w:pPr>
            <w:r>
              <w:rPr>
                <w:rFonts w:cs="Calibri"/>
              </w:rPr>
              <w:t>Bronchoalveolar lavage</w:t>
            </w:r>
          </w:p>
        </w:tc>
        <w:tc>
          <w:tcPr>
            <w:tcW w:w="7250" w:type="dxa"/>
            <w:vAlign w:val="bottom"/>
          </w:tcPr>
          <w:p w14:paraId="29A56B27" w14:textId="77777777" w:rsidR="00AB0034" w:rsidRPr="00276915" w:rsidRDefault="00AB0034" w:rsidP="00AB0034">
            <w:pPr>
              <w:spacing w:after="0"/>
              <w:cnfStyle w:val="000000000000" w:firstRow="0" w:lastRow="0" w:firstColumn="0" w:lastColumn="0" w:oddVBand="0" w:evenVBand="0" w:oddHBand="0" w:evenHBand="0" w:firstRowFirstColumn="0" w:firstRowLastColumn="0" w:lastRowFirstColumn="0" w:lastRowLastColumn="0"/>
              <w:rPr>
                <w:rFonts w:eastAsia="Times New Roman" w:cs="Calibri"/>
              </w:rPr>
            </w:pPr>
            <w:r>
              <w:rPr>
                <w:rFonts w:cs="Calibri"/>
              </w:rPr>
              <w:t>A medical procedure in which a bronchoscope is passed through the mouth or nose into the lungs and fluid is squirted into a small part of the lung and then collected for examination.</w:t>
            </w:r>
          </w:p>
        </w:tc>
      </w:tr>
      <w:tr w:rsidR="00AB0034" w:rsidRPr="00276915" w14:paraId="62325C82" w14:textId="77777777" w:rsidTr="00C7334C">
        <w:trPr>
          <w:cnfStyle w:val="000000100000" w:firstRow="0" w:lastRow="0" w:firstColumn="0" w:lastColumn="0" w:oddVBand="0" w:evenVBand="0" w:oddHBand="1"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2560" w:type="dxa"/>
            <w:vAlign w:val="bottom"/>
          </w:tcPr>
          <w:p w14:paraId="5B5DF6DA" w14:textId="77777777" w:rsidR="00AB0034" w:rsidRPr="00276915" w:rsidRDefault="00AB0034" w:rsidP="00AB0034">
            <w:pPr>
              <w:spacing w:after="0"/>
              <w:rPr>
                <w:rFonts w:eastAsia="Times New Roman" w:cs="Calibri"/>
              </w:rPr>
            </w:pPr>
            <w:r>
              <w:rPr>
                <w:rFonts w:cs="Calibri"/>
              </w:rPr>
              <w:t xml:space="preserve">Candidiasis </w:t>
            </w:r>
          </w:p>
        </w:tc>
        <w:tc>
          <w:tcPr>
            <w:tcW w:w="7250" w:type="dxa"/>
            <w:vAlign w:val="bottom"/>
          </w:tcPr>
          <w:p w14:paraId="3ED3E62F" w14:textId="77777777" w:rsidR="00AB0034" w:rsidRPr="00276915" w:rsidRDefault="00AB0034" w:rsidP="00AB0034">
            <w:pPr>
              <w:spacing w:after="0"/>
              <w:cnfStyle w:val="000000100000" w:firstRow="0" w:lastRow="0" w:firstColumn="0" w:lastColumn="0" w:oddVBand="0" w:evenVBand="0" w:oddHBand="1" w:evenHBand="0" w:firstRowFirstColumn="0" w:firstRowLastColumn="0" w:lastRowFirstColumn="0" w:lastRowLastColumn="0"/>
              <w:rPr>
                <w:rFonts w:eastAsia="Times New Roman" w:cs="Calibri"/>
              </w:rPr>
            </w:pPr>
            <w:r>
              <w:rPr>
                <w:rFonts w:cs="Calibri"/>
              </w:rPr>
              <w:t>Fungal infection.</w:t>
            </w:r>
          </w:p>
        </w:tc>
      </w:tr>
      <w:tr w:rsidR="00AB0034" w:rsidRPr="00276915" w14:paraId="7FAC9D8A" w14:textId="77777777" w:rsidTr="00C7334C">
        <w:trPr>
          <w:trHeight w:val="124"/>
        </w:trPr>
        <w:tc>
          <w:tcPr>
            <w:cnfStyle w:val="001000000000" w:firstRow="0" w:lastRow="0" w:firstColumn="1" w:lastColumn="0" w:oddVBand="0" w:evenVBand="0" w:oddHBand="0" w:evenHBand="0" w:firstRowFirstColumn="0" w:firstRowLastColumn="0" w:lastRowFirstColumn="0" w:lastRowLastColumn="0"/>
            <w:tcW w:w="2560" w:type="dxa"/>
            <w:vAlign w:val="bottom"/>
          </w:tcPr>
          <w:p w14:paraId="4113D359" w14:textId="77777777" w:rsidR="00AB0034" w:rsidRPr="00276915" w:rsidRDefault="00AB0034" w:rsidP="00AB0034">
            <w:pPr>
              <w:spacing w:after="0"/>
              <w:rPr>
                <w:rFonts w:eastAsia="Times New Roman" w:cs="Calibri"/>
              </w:rPr>
            </w:pPr>
            <w:r>
              <w:rPr>
                <w:rFonts w:cs="Calibri"/>
              </w:rPr>
              <w:t>Capillary</w:t>
            </w:r>
          </w:p>
        </w:tc>
        <w:tc>
          <w:tcPr>
            <w:tcW w:w="7250" w:type="dxa"/>
            <w:vAlign w:val="bottom"/>
          </w:tcPr>
          <w:p w14:paraId="309FDB4B" w14:textId="77777777" w:rsidR="00AB0034" w:rsidRPr="00276915" w:rsidRDefault="00AB0034" w:rsidP="00AB0034">
            <w:pPr>
              <w:spacing w:after="0"/>
              <w:cnfStyle w:val="000000000000" w:firstRow="0" w:lastRow="0" w:firstColumn="0" w:lastColumn="0" w:oddVBand="0" w:evenVBand="0" w:oddHBand="0" w:evenHBand="0" w:firstRowFirstColumn="0" w:firstRowLastColumn="0" w:lastRowFirstColumn="0" w:lastRowLastColumn="0"/>
              <w:rPr>
                <w:rFonts w:eastAsia="Times New Roman" w:cs="Calibri"/>
              </w:rPr>
            </w:pPr>
            <w:r>
              <w:rPr>
                <w:rFonts w:cs="Calibri"/>
              </w:rPr>
              <w:t>Small blood vessels.</w:t>
            </w:r>
          </w:p>
        </w:tc>
      </w:tr>
      <w:tr w:rsidR="00AB0034" w:rsidRPr="00276915" w14:paraId="2A73F2EB" w14:textId="77777777" w:rsidTr="00C7334C">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560" w:type="dxa"/>
            <w:vAlign w:val="bottom"/>
          </w:tcPr>
          <w:p w14:paraId="1C24BA69" w14:textId="77777777" w:rsidR="00AB0034" w:rsidRPr="00276915" w:rsidRDefault="00AB0034" w:rsidP="00AB0034">
            <w:pPr>
              <w:spacing w:after="0"/>
              <w:rPr>
                <w:rFonts w:eastAsia="Times New Roman" w:cs="Calibri"/>
              </w:rPr>
            </w:pPr>
            <w:r>
              <w:rPr>
                <w:rFonts w:cs="Calibri"/>
              </w:rPr>
              <w:t>Carbon monoxide (CO)</w:t>
            </w:r>
          </w:p>
        </w:tc>
        <w:tc>
          <w:tcPr>
            <w:tcW w:w="7250" w:type="dxa"/>
            <w:vAlign w:val="bottom"/>
          </w:tcPr>
          <w:p w14:paraId="48100A9D" w14:textId="77777777" w:rsidR="00AB0034" w:rsidRPr="00276915" w:rsidRDefault="00AB0034" w:rsidP="00AB0034">
            <w:pPr>
              <w:spacing w:after="0"/>
              <w:cnfStyle w:val="000000100000" w:firstRow="0" w:lastRow="0" w:firstColumn="0" w:lastColumn="0" w:oddVBand="0" w:evenVBand="0" w:oddHBand="1" w:evenHBand="0" w:firstRowFirstColumn="0" w:firstRowLastColumn="0" w:lastRowFirstColumn="0" w:lastRowLastColumn="0"/>
              <w:rPr>
                <w:rFonts w:eastAsia="Times New Roman" w:cs="Calibri"/>
              </w:rPr>
            </w:pPr>
            <w:r>
              <w:rPr>
                <w:rFonts w:cs="Calibri"/>
              </w:rPr>
              <w:t>Toxic gas produced by cigarettes.</w:t>
            </w:r>
          </w:p>
        </w:tc>
      </w:tr>
      <w:tr w:rsidR="00AB0034" w:rsidRPr="00276915" w14:paraId="6CD18EC9" w14:textId="77777777" w:rsidTr="009D68BA">
        <w:trPr>
          <w:trHeight w:val="600"/>
        </w:trPr>
        <w:tc>
          <w:tcPr>
            <w:cnfStyle w:val="001000000000" w:firstRow="0" w:lastRow="0" w:firstColumn="1" w:lastColumn="0" w:oddVBand="0" w:evenVBand="0" w:oddHBand="0" w:evenHBand="0" w:firstRowFirstColumn="0" w:firstRowLastColumn="0" w:lastRowFirstColumn="0" w:lastRowLastColumn="0"/>
            <w:tcW w:w="2560" w:type="dxa"/>
            <w:vAlign w:val="bottom"/>
          </w:tcPr>
          <w:p w14:paraId="3D3AD898" w14:textId="77777777" w:rsidR="00AB0034" w:rsidRPr="00276915" w:rsidRDefault="00AB0034" w:rsidP="00AB0034">
            <w:pPr>
              <w:spacing w:after="0"/>
              <w:rPr>
                <w:rFonts w:eastAsia="Times New Roman" w:cs="Calibri"/>
              </w:rPr>
            </w:pPr>
            <w:r>
              <w:rPr>
                <w:rFonts w:cs="Calibri"/>
              </w:rPr>
              <w:t>Carboxyhemoglobin (COHb)</w:t>
            </w:r>
          </w:p>
        </w:tc>
        <w:tc>
          <w:tcPr>
            <w:tcW w:w="7250" w:type="dxa"/>
            <w:vAlign w:val="bottom"/>
          </w:tcPr>
          <w:p w14:paraId="1594140A" w14:textId="77777777" w:rsidR="00AB0034" w:rsidRPr="00276915" w:rsidRDefault="00AB0034" w:rsidP="00AB0034">
            <w:pPr>
              <w:spacing w:after="0"/>
              <w:cnfStyle w:val="000000000000" w:firstRow="0" w:lastRow="0" w:firstColumn="0" w:lastColumn="0" w:oddVBand="0" w:evenVBand="0" w:oddHBand="0" w:evenHBand="0" w:firstRowFirstColumn="0" w:firstRowLastColumn="0" w:lastRowFirstColumn="0" w:lastRowLastColumn="0"/>
              <w:rPr>
                <w:rFonts w:eastAsia="Times New Roman" w:cs="Calibri"/>
              </w:rPr>
            </w:pPr>
            <w:r>
              <w:rPr>
                <w:rFonts w:cs="Calibri"/>
              </w:rPr>
              <w:t xml:space="preserve">Carbon monoxide and </w:t>
            </w:r>
            <w:r w:rsidR="00310CA6">
              <w:rPr>
                <w:rFonts w:cs="Calibri"/>
              </w:rPr>
              <w:t>haemoglobin</w:t>
            </w:r>
            <w:r>
              <w:rPr>
                <w:rFonts w:cs="Calibri"/>
              </w:rPr>
              <w:t>, formed in red blood cells after inhalation of carbon monoxide.</w:t>
            </w:r>
          </w:p>
        </w:tc>
      </w:tr>
      <w:tr w:rsidR="00AB0034" w:rsidRPr="00276915" w14:paraId="299F2EF7" w14:textId="77777777" w:rsidTr="00C7334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60" w:type="dxa"/>
            <w:vAlign w:val="bottom"/>
          </w:tcPr>
          <w:p w14:paraId="3E5F95FA" w14:textId="77777777" w:rsidR="00AB0034" w:rsidRPr="00276915" w:rsidRDefault="00AB0034" w:rsidP="00AB0034">
            <w:pPr>
              <w:spacing w:after="0"/>
              <w:rPr>
                <w:rFonts w:eastAsia="Times New Roman" w:cs="Calibri"/>
              </w:rPr>
            </w:pPr>
            <w:r>
              <w:rPr>
                <w:rFonts w:cs="Calibri"/>
              </w:rPr>
              <w:t>Cartomizer</w:t>
            </w:r>
          </w:p>
        </w:tc>
        <w:tc>
          <w:tcPr>
            <w:tcW w:w="7250" w:type="dxa"/>
            <w:vAlign w:val="bottom"/>
          </w:tcPr>
          <w:p w14:paraId="74097374" w14:textId="77777777" w:rsidR="00AB0034" w:rsidRPr="00276915" w:rsidRDefault="00AB0034" w:rsidP="00AB0034">
            <w:pPr>
              <w:spacing w:after="0"/>
              <w:cnfStyle w:val="000000100000" w:firstRow="0" w:lastRow="0" w:firstColumn="0" w:lastColumn="0" w:oddVBand="0" w:evenVBand="0" w:oddHBand="1" w:evenHBand="0" w:firstRowFirstColumn="0" w:firstRowLastColumn="0" w:lastRowFirstColumn="0" w:lastRowLastColumn="0"/>
              <w:rPr>
                <w:rFonts w:eastAsia="Times New Roman" w:cs="Calibri"/>
              </w:rPr>
            </w:pPr>
            <w:r>
              <w:rPr>
                <w:rFonts w:cs="Calibri"/>
              </w:rPr>
              <w:t>A combined atomizer and cartridge. The cartomizer combines a heating element and an e-liquid delivery system into a single unit.</w:t>
            </w:r>
          </w:p>
        </w:tc>
      </w:tr>
      <w:tr w:rsidR="00AB0034" w:rsidRPr="00276915" w14:paraId="06061D50" w14:textId="77777777" w:rsidTr="000A2C8E">
        <w:trPr>
          <w:trHeight w:val="300"/>
        </w:trPr>
        <w:tc>
          <w:tcPr>
            <w:cnfStyle w:val="001000000000" w:firstRow="0" w:lastRow="0" w:firstColumn="1" w:lastColumn="0" w:oddVBand="0" w:evenVBand="0" w:oddHBand="0" w:evenHBand="0" w:firstRowFirstColumn="0" w:firstRowLastColumn="0" w:lastRowFirstColumn="0" w:lastRowLastColumn="0"/>
            <w:tcW w:w="2560" w:type="dxa"/>
            <w:vAlign w:val="bottom"/>
          </w:tcPr>
          <w:p w14:paraId="5AD97D17" w14:textId="5B4D0EB9" w:rsidR="00AB0034" w:rsidRPr="00276915" w:rsidRDefault="00AB0034" w:rsidP="00AB0034">
            <w:pPr>
              <w:spacing w:after="0"/>
              <w:rPr>
                <w:rFonts w:eastAsia="Times New Roman" w:cs="Calibri"/>
              </w:rPr>
            </w:pPr>
            <w:r>
              <w:rPr>
                <w:rFonts w:cs="Calibri"/>
              </w:rPr>
              <w:t xml:space="preserve">Causal relationship/ </w:t>
            </w:r>
            <w:r w:rsidR="00922CBB">
              <w:rPr>
                <w:rFonts w:cs="Calibri"/>
              </w:rPr>
              <w:t>C</w:t>
            </w:r>
            <w:r>
              <w:rPr>
                <w:rFonts w:cs="Calibri"/>
              </w:rPr>
              <w:t>ausality</w:t>
            </w:r>
          </w:p>
        </w:tc>
        <w:tc>
          <w:tcPr>
            <w:tcW w:w="7250" w:type="dxa"/>
          </w:tcPr>
          <w:p w14:paraId="64A0C082" w14:textId="77777777" w:rsidR="00AB0034" w:rsidRPr="00276915" w:rsidRDefault="00675C00" w:rsidP="00675C00">
            <w:pPr>
              <w:spacing w:after="0"/>
              <w:cnfStyle w:val="000000000000" w:firstRow="0" w:lastRow="0" w:firstColumn="0" w:lastColumn="0" w:oddVBand="0" w:evenVBand="0" w:oddHBand="0" w:evenHBand="0" w:firstRowFirstColumn="0" w:firstRowLastColumn="0" w:lastRowFirstColumn="0" w:lastRowLastColumn="0"/>
              <w:rPr>
                <w:rFonts w:eastAsia="Times New Roman" w:cs="Calibri"/>
              </w:rPr>
            </w:pPr>
            <w:r>
              <w:rPr>
                <w:rFonts w:cs="Calibri"/>
              </w:rPr>
              <w:t>An effect occurring as a result of their being a sufficient cause</w:t>
            </w:r>
            <w:r w:rsidR="00AB0034">
              <w:rPr>
                <w:rFonts w:cs="Calibri"/>
              </w:rPr>
              <w:t>.</w:t>
            </w:r>
          </w:p>
        </w:tc>
      </w:tr>
      <w:tr w:rsidR="00AB0034" w:rsidRPr="00276915" w14:paraId="488E633C" w14:textId="77777777" w:rsidTr="009D68B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0" w:type="dxa"/>
            <w:vAlign w:val="bottom"/>
          </w:tcPr>
          <w:p w14:paraId="339F309F" w14:textId="6F1522B1" w:rsidR="00AB0034" w:rsidRPr="00276915" w:rsidRDefault="00922CBB" w:rsidP="00AB0034">
            <w:pPr>
              <w:spacing w:after="0"/>
              <w:rPr>
                <w:rFonts w:eastAsia="Times New Roman" w:cs="Calibri"/>
              </w:rPr>
            </w:pPr>
            <w:r>
              <w:rPr>
                <w:rFonts w:cs="Calibri"/>
              </w:rPr>
              <w:t>C</w:t>
            </w:r>
            <w:r w:rsidR="00AB0034">
              <w:rPr>
                <w:rFonts w:cs="Calibri"/>
              </w:rPr>
              <w:t>ell viability</w:t>
            </w:r>
          </w:p>
        </w:tc>
        <w:tc>
          <w:tcPr>
            <w:tcW w:w="7250" w:type="dxa"/>
            <w:vAlign w:val="bottom"/>
          </w:tcPr>
          <w:p w14:paraId="7D192431" w14:textId="77777777" w:rsidR="00AB0034" w:rsidRPr="00276915" w:rsidRDefault="00675C00" w:rsidP="00675C00">
            <w:pPr>
              <w:spacing w:after="0"/>
              <w:cnfStyle w:val="000000100000" w:firstRow="0" w:lastRow="0" w:firstColumn="0" w:lastColumn="0" w:oddVBand="0" w:evenVBand="0" w:oddHBand="1" w:evenHBand="0" w:firstRowFirstColumn="0" w:firstRowLastColumn="0" w:lastRowFirstColumn="0" w:lastRowLastColumn="0"/>
              <w:rPr>
                <w:rFonts w:eastAsia="Times New Roman" w:cs="Calibri"/>
              </w:rPr>
            </w:pPr>
            <w:r>
              <w:rPr>
                <w:rFonts w:cs="Calibri"/>
              </w:rPr>
              <w:t>An assessment of the n</w:t>
            </w:r>
            <w:r w:rsidR="00AB0034">
              <w:rPr>
                <w:rFonts w:cs="Calibri"/>
              </w:rPr>
              <w:t>umber of alive and dead cells</w:t>
            </w:r>
            <w:r>
              <w:rPr>
                <w:rFonts w:cs="Calibri"/>
              </w:rPr>
              <w:t xml:space="preserve"> in a sample of cells</w:t>
            </w:r>
            <w:r w:rsidR="00AB0034">
              <w:rPr>
                <w:rFonts w:cs="Calibri"/>
              </w:rPr>
              <w:t xml:space="preserve">. </w:t>
            </w:r>
          </w:p>
        </w:tc>
      </w:tr>
      <w:tr w:rsidR="00AB0034" w:rsidRPr="00276915" w14:paraId="70D54BAD" w14:textId="77777777" w:rsidTr="009D68BA">
        <w:trPr>
          <w:trHeight w:val="600"/>
        </w:trPr>
        <w:tc>
          <w:tcPr>
            <w:cnfStyle w:val="001000000000" w:firstRow="0" w:lastRow="0" w:firstColumn="1" w:lastColumn="0" w:oddVBand="0" w:evenVBand="0" w:oddHBand="0" w:evenHBand="0" w:firstRowFirstColumn="0" w:firstRowLastColumn="0" w:lastRowFirstColumn="0" w:lastRowLastColumn="0"/>
            <w:tcW w:w="2560" w:type="dxa"/>
            <w:vAlign w:val="bottom"/>
          </w:tcPr>
          <w:p w14:paraId="1981E352" w14:textId="225F7066" w:rsidR="00AB0034" w:rsidRPr="00276915" w:rsidRDefault="00922CBB" w:rsidP="00AB0034">
            <w:pPr>
              <w:spacing w:after="0"/>
              <w:rPr>
                <w:rFonts w:eastAsia="Times New Roman" w:cs="Calibri"/>
              </w:rPr>
            </w:pPr>
            <w:r>
              <w:rPr>
                <w:rFonts w:cs="Calibri"/>
              </w:rPr>
              <w:t>C</w:t>
            </w:r>
            <w:r w:rsidR="00AB0034">
              <w:rPr>
                <w:rFonts w:cs="Calibri"/>
              </w:rPr>
              <w:t>igalike</w:t>
            </w:r>
          </w:p>
        </w:tc>
        <w:tc>
          <w:tcPr>
            <w:tcW w:w="7250" w:type="dxa"/>
            <w:vAlign w:val="bottom"/>
          </w:tcPr>
          <w:p w14:paraId="26FA7132" w14:textId="77777777" w:rsidR="00AB0034" w:rsidRPr="00276915" w:rsidRDefault="00AB0034" w:rsidP="00AB0034">
            <w:pPr>
              <w:spacing w:after="0"/>
              <w:cnfStyle w:val="000000000000" w:firstRow="0" w:lastRow="0" w:firstColumn="0" w:lastColumn="0" w:oddVBand="0" w:evenVBand="0" w:oddHBand="0" w:evenHBand="0" w:firstRowFirstColumn="0" w:firstRowLastColumn="0" w:lastRowFirstColumn="0" w:lastRowLastColumn="0"/>
              <w:rPr>
                <w:rFonts w:eastAsia="Times New Roman" w:cs="Calibri"/>
              </w:rPr>
            </w:pPr>
            <w:r>
              <w:rPr>
                <w:rFonts w:cs="Calibri"/>
              </w:rPr>
              <w:t>Electronic cigarette designed to look like a cigarette, usually disposable. Also known as first generation e-cigarettes.</w:t>
            </w:r>
          </w:p>
        </w:tc>
      </w:tr>
      <w:tr w:rsidR="00AB0034" w:rsidRPr="00276915" w14:paraId="32521816" w14:textId="77777777" w:rsidTr="009D68B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0" w:type="dxa"/>
            <w:vAlign w:val="bottom"/>
          </w:tcPr>
          <w:p w14:paraId="41C514BF" w14:textId="77777777" w:rsidR="00AB0034" w:rsidRPr="00276915" w:rsidRDefault="00AB0034" w:rsidP="00AB0034">
            <w:pPr>
              <w:spacing w:after="0"/>
              <w:rPr>
                <w:rFonts w:eastAsia="Times New Roman" w:cs="Calibri"/>
              </w:rPr>
            </w:pPr>
            <w:r>
              <w:rPr>
                <w:rFonts w:cs="Calibri"/>
              </w:rPr>
              <w:t>Coil/Heating coil</w:t>
            </w:r>
          </w:p>
        </w:tc>
        <w:tc>
          <w:tcPr>
            <w:tcW w:w="7250" w:type="dxa"/>
            <w:vAlign w:val="bottom"/>
          </w:tcPr>
          <w:p w14:paraId="40B9C89D" w14:textId="77777777" w:rsidR="00AB0034" w:rsidRPr="00276915" w:rsidRDefault="00AB0034" w:rsidP="00AB0034">
            <w:pPr>
              <w:spacing w:after="0"/>
              <w:cnfStyle w:val="000000100000" w:firstRow="0" w:lastRow="0" w:firstColumn="0" w:lastColumn="0" w:oddVBand="0" w:evenVBand="0" w:oddHBand="1" w:evenHBand="0" w:firstRowFirstColumn="0" w:firstRowLastColumn="0" w:lastRowFirstColumn="0" w:lastRowLastColumn="0"/>
              <w:rPr>
                <w:rFonts w:eastAsia="Times New Roman" w:cs="Calibri"/>
              </w:rPr>
            </w:pPr>
            <w:r>
              <w:rPr>
                <w:rFonts w:cs="Calibri"/>
              </w:rPr>
              <w:t>Most commonly, a piece of nichrome or kanthal wire (containing nickel and chromium) wrapped around a wick, which once heated, aerosolizes e-liquid. Cartomizers can come in a single coil, dual coil, or multiple coil configurations, with more coils associated with greater production of aerosol.</w:t>
            </w:r>
          </w:p>
        </w:tc>
      </w:tr>
      <w:tr w:rsidR="00AB0034" w:rsidRPr="00276915" w14:paraId="56DA0123" w14:textId="77777777" w:rsidTr="00C7334C">
        <w:trPr>
          <w:trHeight w:val="154"/>
        </w:trPr>
        <w:tc>
          <w:tcPr>
            <w:cnfStyle w:val="001000000000" w:firstRow="0" w:lastRow="0" w:firstColumn="1" w:lastColumn="0" w:oddVBand="0" w:evenVBand="0" w:oddHBand="0" w:evenHBand="0" w:firstRowFirstColumn="0" w:firstRowLastColumn="0" w:lastRowFirstColumn="0" w:lastRowLastColumn="0"/>
            <w:tcW w:w="2560" w:type="dxa"/>
            <w:vAlign w:val="bottom"/>
          </w:tcPr>
          <w:p w14:paraId="1272D0CC" w14:textId="77777777" w:rsidR="00AB0034" w:rsidRPr="00276915" w:rsidRDefault="00AB0034" w:rsidP="00AB0034">
            <w:pPr>
              <w:spacing w:after="0"/>
              <w:rPr>
                <w:rFonts w:eastAsia="Times New Roman" w:cs="Calibri"/>
              </w:rPr>
            </w:pPr>
            <w:r>
              <w:rPr>
                <w:rFonts w:cs="Calibri"/>
              </w:rPr>
              <w:t>Confounder</w:t>
            </w:r>
          </w:p>
        </w:tc>
        <w:tc>
          <w:tcPr>
            <w:tcW w:w="7250" w:type="dxa"/>
            <w:vAlign w:val="bottom"/>
          </w:tcPr>
          <w:p w14:paraId="59C0DC8D" w14:textId="77777777" w:rsidR="00AB0034" w:rsidRPr="00276915" w:rsidRDefault="00AB0034" w:rsidP="00675C00">
            <w:pPr>
              <w:spacing w:after="0"/>
              <w:cnfStyle w:val="000000000000" w:firstRow="0" w:lastRow="0" w:firstColumn="0" w:lastColumn="0" w:oddVBand="0" w:evenVBand="0" w:oddHBand="0" w:evenHBand="0" w:firstRowFirstColumn="0" w:firstRowLastColumn="0" w:lastRowFirstColumn="0" w:lastRowLastColumn="0"/>
              <w:rPr>
                <w:rFonts w:eastAsia="Times New Roman" w:cs="Calibri"/>
              </w:rPr>
            </w:pPr>
            <w:r>
              <w:rPr>
                <w:rFonts w:cs="Calibri"/>
              </w:rPr>
              <w:t xml:space="preserve">An event or trait which influences both </w:t>
            </w:r>
            <w:r w:rsidR="00675C00">
              <w:rPr>
                <w:rFonts w:cs="Calibri"/>
              </w:rPr>
              <w:t>an</w:t>
            </w:r>
            <w:r>
              <w:rPr>
                <w:rFonts w:cs="Calibri"/>
              </w:rPr>
              <w:t xml:space="preserve"> </w:t>
            </w:r>
            <w:r w:rsidR="00675C00">
              <w:rPr>
                <w:rFonts w:cs="Calibri"/>
              </w:rPr>
              <w:t>exposure</w:t>
            </w:r>
            <w:r>
              <w:rPr>
                <w:rFonts w:cs="Calibri"/>
              </w:rPr>
              <w:t xml:space="preserve"> and </w:t>
            </w:r>
            <w:r w:rsidR="00675C00">
              <w:rPr>
                <w:rFonts w:cs="Calibri"/>
              </w:rPr>
              <w:t>outcome, and which may result in a mistaken assessment of the relationship between them</w:t>
            </w:r>
            <w:r>
              <w:rPr>
                <w:rFonts w:cs="Calibri"/>
              </w:rPr>
              <w:t>.</w:t>
            </w:r>
          </w:p>
        </w:tc>
      </w:tr>
      <w:tr w:rsidR="00AB0034" w:rsidRPr="00276915" w14:paraId="72E04579" w14:textId="77777777" w:rsidTr="009D68B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0" w:type="dxa"/>
            <w:vAlign w:val="bottom"/>
          </w:tcPr>
          <w:p w14:paraId="046A757C" w14:textId="77777777" w:rsidR="00AB0034" w:rsidRPr="00276915" w:rsidRDefault="00AB0034" w:rsidP="00AB0034">
            <w:pPr>
              <w:spacing w:after="0"/>
              <w:rPr>
                <w:rFonts w:eastAsia="Times New Roman" w:cs="Calibri"/>
              </w:rPr>
            </w:pPr>
            <w:r>
              <w:rPr>
                <w:rFonts w:cs="Calibri"/>
              </w:rPr>
              <w:t>Conventional cigarette</w:t>
            </w:r>
          </w:p>
        </w:tc>
        <w:tc>
          <w:tcPr>
            <w:tcW w:w="7250" w:type="dxa"/>
            <w:vAlign w:val="bottom"/>
          </w:tcPr>
          <w:p w14:paraId="0329BA64" w14:textId="77777777" w:rsidR="00AB0034" w:rsidRPr="00276915" w:rsidRDefault="00AB0034" w:rsidP="00AB0034">
            <w:pPr>
              <w:spacing w:after="0"/>
              <w:cnfStyle w:val="000000100000" w:firstRow="0" w:lastRow="0" w:firstColumn="0" w:lastColumn="0" w:oddVBand="0" w:evenVBand="0" w:oddHBand="1" w:evenHBand="0" w:firstRowFirstColumn="0" w:firstRowLastColumn="0" w:lastRowFirstColumn="0" w:lastRowLastColumn="0"/>
              <w:rPr>
                <w:rFonts w:eastAsia="Times New Roman" w:cs="Calibri"/>
              </w:rPr>
            </w:pPr>
            <w:r>
              <w:rPr>
                <w:rFonts w:cs="Calibri"/>
              </w:rPr>
              <w:t>Tobacco cigarettes/ traditional cigarettes/ combustible tobacco.</w:t>
            </w:r>
          </w:p>
        </w:tc>
      </w:tr>
      <w:tr w:rsidR="00AB0034" w:rsidRPr="00276915" w14:paraId="51CF46DB" w14:textId="77777777" w:rsidTr="00C7334C">
        <w:trPr>
          <w:trHeight w:val="323"/>
        </w:trPr>
        <w:tc>
          <w:tcPr>
            <w:cnfStyle w:val="001000000000" w:firstRow="0" w:lastRow="0" w:firstColumn="1" w:lastColumn="0" w:oddVBand="0" w:evenVBand="0" w:oddHBand="0" w:evenHBand="0" w:firstRowFirstColumn="0" w:firstRowLastColumn="0" w:lastRowFirstColumn="0" w:lastRowLastColumn="0"/>
            <w:tcW w:w="2560" w:type="dxa"/>
            <w:vAlign w:val="bottom"/>
          </w:tcPr>
          <w:p w14:paraId="20D6272D" w14:textId="77777777" w:rsidR="00AB0034" w:rsidRPr="00276915" w:rsidRDefault="00AB0034" w:rsidP="00AB0034">
            <w:pPr>
              <w:spacing w:after="0"/>
              <w:rPr>
                <w:rFonts w:eastAsia="Times New Roman" w:cs="Calibri"/>
              </w:rPr>
            </w:pPr>
            <w:r>
              <w:rPr>
                <w:rFonts w:cs="Calibri"/>
              </w:rPr>
              <w:t>Covariate</w:t>
            </w:r>
          </w:p>
        </w:tc>
        <w:tc>
          <w:tcPr>
            <w:tcW w:w="7250" w:type="dxa"/>
            <w:vAlign w:val="bottom"/>
          </w:tcPr>
          <w:p w14:paraId="52A9A943" w14:textId="77777777" w:rsidR="00AB0034" w:rsidRPr="00276915" w:rsidRDefault="00675C00" w:rsidP="00675C00">
            <w:pPr>
              <w:spacing w:after="0"/>
              <w:cnfStyle w:val="000000000000" w:firstRow="0" w:lastRow="0" w:firstColumn="0" w:lastColumn="0" w:oddVBand="0" w:evenVBand="0" w:oddHBand="0" w:evenHBand="0" w:firstRowFirstColumn="0" w:firstRowLastColumn="0" w:lastRowFirstColumn="0" w:lastRowLastColumn="0"/>
              <w:rPr>
                <w:rFonts w:eastAsia="Times New Roman" w:cs="Calibri"/>
              </w:rPr>
            </w:pPr>
            <w:r>
              <w:rPr>
                <w:rFonts w:cs="Calibri"/>
              </w:rPr>
              <w:t>A</w:t>
            </w:r>
            <w:r w:rsidR="00AB0034">
              <w:rPr>
                <w:rFonts w:cs="Calibri"/>
              </w:rPr>
              <w:t xml:space="preserve"> variable/ event/ trait </w:t>
            </w:r>
            <w:r>
              <w:rPr>
                <w:rFonts w:cs="Calibri"/>
              </w:rPr>
              <w:t>that possibly predicts an outcome</w:t>
            </w:r>
            <w:r w:rsidR="00AB0034">
              <w:rPr>
                <w:rFonts w:cs="Calibri"/>
              </w:rPr>
              <w:t>.</w:t>
            </w:r>
          </w:p>
        </w:tc>
      </w:tr>
      <w:tr w:rsidR="00AB0034" w:rsidRPr="00276915" w14:paraId="7311E336" w14:textId="77777777" w:rsidTr="00C7334C">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2560" w:type="dxa"/>
            <w:vAlign w:val="bottom"/>
          </w:tcPr>
          <w:p w14:paraId="17DE1F65" w14:textId="77777777" w:rsidR="00AB0034" w:rsidRPr="00276915" w:rsidRDefault="00AB0034" w:rsidP="00AB0034">
            <w:pPr>
              <w:spacing w:after="0"/>
              <w:rPr>
                <w:rFonts w:eastAsia="Times New Roman" w:cs="Calibri"/>
              </w:rPr>
            </w:pPr>
            <w:r>
              <w:rPr>
                <w:rFonts w:cs="Calibri"/>
              </w:rPr>
              <w:t>Craniofacial</w:t>
            </w:r>
          </w:p>
        </w:tc>
        <w:tc>
          <w:tcPr>
            <w:tcW w:w="7250" w:type="dxa"/>
            <w:vAlign w:val="bottom"/>
          </w:tcPr>
          <w:p w14:paraId="3F672561" w14:textId="77777777" w:rsidR="00AB0034" w:rsidRPr="00276915" w:rsidRDefault="00AB0034" w:rsidP="00AB0034">
            <w:pPr>
              <w:spacing w:after="0"/>
              <w:cnfStyle w:val="000000100000" w:firstRow="0" w:lastRow="0" w:firstColumn="0" w:lastColumn="0" w:oddVBand="0" w:evenVBand="0" w:oddHBand="1" w:evenHBand="0" w:firstRowFirstColumn="0" w:firstRowLastColumn="0" w:lastRowFirstColumn="0" w:lastRowLastColumn="0"/>
              <w:rPr>
                <w:rFonts w:eastAsia="Times New Roman" w:cs="Calibri"/>
              </w:rPr>
            </w:pPr>
            <w:r>
              <w:rPr>
                <w:rFonts w:cs="Calibri"/>
                <w:color w:val="222222"/>
              </w:rPr>
              <w:t>head, skull, face, neck, jaws and associated structures.</w:t>
            </w:r>
          </w:p>
        </w:tc>
      </w:tr>
      <w:tr w:rsidR="00AB0034" w:rsidRPr="00276915" w14:paraId="59E948F3" w14:textId="77777777" w:rsidTr="00C7334C">
        <w:trPr>
          <w:trHeight w:val="359"/>
        </w:trPr>
        <w:tc>
          <w:tcPr>
            <w:cnfStyle w:val="001000000000" w:firstRow="0" w:lastRow="0" w:firstColumn="1" w:lastColumn="0" w:oddVBand="0" w:evenVBand="0" w:oddHBand="0" w:evenHBand="0" w:firstRowFirstColumn="0" w:firstRowLastColumn="0" w:lastRowFirstColumn="0" w:lastRowLastColumn="0"/>
            <w:tcW w:w="2560" w:type="dxa"/>
            <w:vAlign w:val="bottom"/>
          </w:tcPr>
          <w:p w14:paraId="10467AD1" w14:textId="77777777" w:rsidR="00AB0034" w:rsidRPr="00276915" w:rsidRDefault="00AB0034" w:rsidP="00AB0034">
            <w:pPr>
              <w:spacing w:after="0"/>
              <w:rPr>
                <w:rFonts w:eastAsia="Times New Roman" w:cs="Calibri"/>
              </w:rPr>
            </w:pPr>
            <w:r>
              <w:rPr>
                <w:rFonts w:cs="Calibri"/>
              </w:rPr>
              <w:t>Cross-sectional study</w:t>
            </w:r>
          </w:p>
        </w:tc>
        <w:tc>
          <w:tcPr>
            <w:tcW w:w="7250" w:type="dxa"/>
            <w:vAlign w:val="bottom"/>
          </w:tcPr>
          <w:p w14:paraId="7AE2627D" w14:textId="77777777" w:rsidR="00AB0034" w:rsidRPr="00276915" w:rsidRDefault="00AB0034" w:rsidP="00E64E6E">
            <w:pPr>
              <w:spacing w:after="0"/>
              <w:cnfStyle w:val="000000000000" w:firstRow="0" w:lastRow="0" w:firstColumn="0" w:lastColumn="0" w:oddVBand="0" w:evenVBand="0" w:oddHBand="0" w:evenHBand="0" w:firstRowFirstColumn="0" w:firstRowLastColumn="0" w:lastRowFirstColumn="0" w:lastRowLastColumn="0"/>
              <w:rPr>
                <w:rFonts w:eastAsia="Times New Roman" w:cs="Calibri"/>
              </w:rPr>
            </w:pPr>
            <w:r>
              <w:rPr>
                <w:rFonts w:cs="Calibri"/>
              </w:rPr>
              <w:t>A</w:t>
            </w:r>
            <w:r w:rsidR="00E64E6E">
              <w:rPr>
                <w:rFonts w:cs="Calibri"/>
              </w:rPr>
              <w:t>n observational</w:t>
            </w:r>
            <w:r>
              <w:rPr>
                <w:rFonts w:cs="Calibri"/>
              </w:rPr>
              <w:t xml:space="preserve"> study where </w:t>
            </w:r>
            <w:r w:rsidR="00E64E6E">
              <w:rPr>
                <w:rFonts w:cs="Calibri"/>
              </w:rPr>
              <w:t>measurements are made</w:t>
            </w:r>
            <w:r>
              <w:rPr>
                <w:rFonts w:cs="Calibri"/>
              </w:rPr>
              <w:t xml:space="preserve"> at one point in time. </w:t>
            </w:r>
          </w:p>
        </w:tc>
      </w:tr>
      <w:tr w:rsidR="00AB0034" w:rsidRPr="00276915" w14:paraId="7E31712D" w14:textId="77777777" w:rsidTr="009D68B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0" w:type="dxa"/>
            <w:vAlign w:val="bottom"/>
          </w:tcPr>
          <w:p w14:paraId="65A06FB6" w14:textId="77777777" w:rsidR="00AB0034" w:rsidRPr="00276915" w:rsidRDefault="00AB0034" w:rsidP="00AB0034">
            <w:pPr>
              <w:spacing w:after="0"/>
              <w:rPr>
                <w:rFonts w:eastAsia="Times New Roman" w:cs="Calibri"/>
              </w:rPr>
            </w:pPr>
            <w:r>
              <w:rPr>
                <w:rFonts w:cs="Calibri"/>
              </w:rPr>
              <w:t>Deep blood flow</w:t>
            </w:r>
          </w:p>
        </w:tc>
        <w:tc>
          <w:tcPr>
            <w:tcW w:w="7250" w:type="dxa"/>
            <w:vAlign w:val="bottom"/>
          </w:tcPr>
          <w:p w14:paraId="56EA865D" w14:textId="77777777" w:rsidR="00AB0034" w:rsidRPr="00276915" w:rsidRDefault="00AB0034" w:rsidP="00AB0034">
            <w:pPr>
              <w:spacing w:after="0"/>
              <w:cnfStyle w:val="000000100000" w:firstRow="0" w:lastRow="0" w:firstColumn="0" w:lastColumn="0" w:oddVBand="0" w:evenVBand="0" w:oddHBand="1" w:evenHBand="0" w:firstRowFirstColumn="0" w:firstRowLastColumn="0" w:lastRowFirstColumn="0" w:lastRowLastColumn="0"/>
              <w:rPr>
                <w:rFonts w:eastAsia="Times New Roman" w:cs="Calibri"/>
              </w:rPr>
            </w:pPr>
            <w:r>
              <w:rPr>
                <w:rFonts w:cs="Calibri"/>
              </w:rPr>
              <w:t>Blood flow in veins found in the muscles and along the bones.</w:t>
            </w:r>
          </w:p>
        </w:tc>
      </w:tr>
      <w:tr w:rsidR="00AB0034" w:rsidRPr="00276915" w14:paraId="6FD6A049" w14:textId="77777777" w:rsidTr="009D68BA">
        <w:trPr>
          <w:trHeight w:val="600"/>
        </w:trPr>
        <w:tc>
          <w:tcPr>
            <w:cnfStyle w:val="001000000000" w:firstRow="0" w:lastRow="0" w:firstColumn="1" w:lastColumn="0" w:oddVBand="0" w:evenVBand="0" w:oddHBand="0" w:evenHBand="0" w:firstRowFirstColumn="0" w:firstRowLastColumn="0" w:lastRowFirstColumn="0" w:lastRowLastColumn="0"/>
            <w:tcW w:w="2560" w:type="dxa"/>
            <w:vAlign w:val="bottom"/>
          </w:tcPr>
          <w:p w14:paraId="49CFD1EB" w14:textId="77777777" w:rsidR="00AB0034" w:rsidRPr="00276915" w:rsidRDefault="00AB0034" w:rsidP="00AB0034">
            <w:pPr>
              <w:spacing w:after="0"/>
              <w:rPr>
                <w:rFonts w:eastAsia="Times New Roman" w:cs="Calibri"/>
              </w:rPr>
            </w:pPr>
            <w:r>
              <w:rPr>
                <w:rFonts w:cs="Calibri"/>
              </w:rPr>
              <w:t xml:space="preserve">Disability adjusted life years (DALYs) </w:t>
            </w:r>
          </w:p>
        </w:tc>
        <w:tc>
          <w:tcPr>
            <w:tcW w:w="7250" w:type="dxa"/>
            <w:vAlign w:val="bottom"/>
          </w:tcPr>
          <w:p w14:paraId="44B506E7" w14:textId="77777777" w:rsidR="00AB0034" w:rsidRPr="00276915" w:rsidRDefault="00AB0034" w:rsidP="00E64E6E">
            <w:pPr>
              <w:spacing w:after="0"/>
              <w:cnfStyle w:val="000000000000" w:firstRow="0" w:lastRow="0" w:firstColumn="0" w:lastColumn="0" w:oddVBand="0" w:evenVBand="0" w:oddHBand="0" w:evenHBand="0" w:firstRowFirstColumn="0" w:firstRowLastColumn="0" w:lastRowFirstColumn="0" w:lastRowLastColumn="0"/>
              <w:rPr>
                <w:rFonts w:eastAsia="Times New Roman" w:cs="Calibri"/>
              </w:rPr>
            </w:pPr>
            <w:r>
              <w:rPr>
                <w:rFonts w:cs="Calibri"/>
              </w:rPr>
              <w:t>A measure of burden of disease, defined as the cumulative number of years lost due to poor health across a population.</w:t>
            </w:r>
          </w:p>
        </w:tc>
      </w:tr>
      <w:tr w:rsidR="00AB0034" w:rsidRPr="00276915" w14:paraId="7D040974" w14:textId="77777777" w:rsidTr="009D68B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0" w:type="dxa"/>
            <w:vAlign w:val="bottom"/>
          </w:tcPr>
          <w:p w14:paraId="17CFFE98" w14:textId="77777777" w:rsidR="00AB0034" w:rsidRPr="00276915" w:rsidRDefault="00AB0034" w:rsidP="00AB0034">
            <w:pPr>
              <w:spacing w:after="0"/>
              <w:rPr>
                <w:rFonts w:eastAsia="Times New Roman" w:cs="Calibri"/>
              </w:rPr>
            </w:pPr>
            <w:r>
              <w:rPr>
                <w:rFonts w:cs="Calibri"/>
              </w:rPr>
              <w:t xml:space="preserve">DNA adducts </w:t>
            </w:r>
          </w:p>
        </w:tc>
        <w:tc>
          <w:tcPr>
            <w:tcW w:w="7250" w:type="dxa"/>
            <w:vAlign w:val="bottom"/>
          </w:tcPr>
          <w:p w14:paraId="2166BA41" w14:textId="77777777" w:rsidR="00AB0034" w:rsidRPr="00276915" w:rsidRDefault="00AB0034" w:rsidP="00AB0034">
            <w:pPr>
              <w:spacing w:after="0"/>
              <w:cnfStyle w:val="000000100000" w:firstRow="0" w:lastRow="0" w:firstColumn="0" w:lastColumn="0" w:oddVBand="0" w:evenVBand="0" w:oddHBand="1" w:evenHBand="0" w:firstRowFirstColumn="0" w:firstRowLastColumn="0" w:lastRowFirstColumn="0" w:lastRowLastColumn="0"/>
              <w:rPr>
                <w:rFonts w:eastAsia="Times New Roman" w:cs="Calibri"/>
              </w:rPr>
            </w:pPr>
            <w:r>
              <w:rPr>
                <w:rFonts w:cs="Calibri"/>
              </w:rPr>
              <w:t>Segment of DNA bound to cancer-causing chemicals.</w:t>
            </w:r>
          </w:p>
        </w:tc>
      </w:tr>
      <w:tr w:rsidR="00AB0034" w:rsidRPr="00276915" w14:paraId="21F9C428" w14:textId="77777777" w:rsidTr="009D68BA">
        <w:trPr>
          <w:trHeight w:val="300"/>
        </w:trPr>
        <w:tc>
          <w:tcPr>
            <w:cnfStyle w:val="001000000000" w:firstRow="0" w:lastRow="0" w:firstColumn="1" w:lastColumn="0" w:oddVBand="0" w:evenVBand="0" w:oddHBand="0" w:evenHBand="0" w:firstRowFirstColumn="0" w:firstRowLastColumn="0" w:lastRowFirstColumn="0" w:lastRowLastColumn="0"/>
            <w:tcW w:w="2560" w:type="dxa"/>
            <w:vAlign w:val="bottom"/>
          </w:tcPr>
          <w:p w14:paraId="1EEBB009" w14:textId="77777777" w:rsidR="00AB0034" w:rsidRPr="00276915" w:rsidRDefault="00AB0034" w:rsidP="00AB0034">
            <w:pPr>
              <w:spacing w:after="0"/>
              <w:rPr>
                <w:rFonts w:eastAsia="Times New Roman" w:cs="Calibri"/>
              </w:rPr>
            </w:pPr>
            <w:r>
              <w:rPr>
                <w:rFonts w:cs="Calibri"/>
              </w:rPr>
              <w:t>DNA fragmentation</w:t>
            </w:r>
          </w:p>
        </w:tc>
        <w:tc>
          <w:tcPr>
            <w:tcW w:w="7250" w:type="dxa"/>
            <w:vAlign w:val="bottom"/>
          </w:tcPr>
          <w:p w14:paraId="52CD1DB7" w14:textId="77777777" w:rsidR="00AB0034" w:rsidRPr="00276915" w:rsidRDefault="00AB0034" w:rsidP="00AB0034">
            <w:pPr>
              <w:spacing w:after="0"/>
              <w:cnfStyle w:val="000000000000" w:firstRow="0" w:lastRow="0" w:firstColumn="0" w:lastColumn="0" w:oddVBand="0" w:evenVBand="0" w:oddHBand="0" w:evenHBand="0" w:firstRowFirstColumn="0" w:firstRowLastColumn="0" w:lastRowFirstColumn="0" w:lastRowLastColumn="0"/>
              <w:rPr>
                <w:rFonts w:eastAsia="Times New Roman" w:cs="Calibri"/>
              </w:rPr>
            </w:pPr>
            <w:r>
              <w:rPr>
                <w:rFonts w:cs="Calibri"/>
              </w:rPr>
              <w:t>Breaking down DNA.</w:t>
            </w:r>
          </w:p>
        </w:tc>
      </w:tr>
      <w:tr w:rsidR="00E13BD6" w:rsidRPr="00276915" w14:paraId="7731A9FD" w14:textId="77777777" w:rsidTr="00C7334C">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560" w:type="dxa"/>
            <w:vAlign w:val="bottom"/>
          </w:tcPr>
          <w:p w14:paraId="05E701BC" w14:textId="77777777" w:rsidR="00E13BD6" w:rsidRDefault="00E13BD6" w:rsidP="00E13BD6">
            <w:pPr>
              <w:spacing w:after="0"/>
              <w:rPr>
                <w:rFonts w:cs="Calibri"/>
              </w:rPr>
            </w:pPr>
            <w:r>
              <w:rPr>
                <w:rFonts w:cs="Calibri"/>
              </w:rPr>
              <w:t>E-cigarette</w:t>
            </w:r>
          </w:p>
        </w:tc>
        <w:tc>
          <w:tcPr>
            <w:tcW w:w="7250" w:type="dxa"/>
            <w:vAlign w:val="bottom"/>
          </w:tcPr>
          <w:p w14:paraId="0A3A3C8D" w14:textId="77777777" w:rsidR="00E13BD6" w:rsidRDefault="00E13BD6" w:rsidP="00E13BD6">
            <w:pPr>
              <w:spacing w:after="0"/>
              <w:cnfStyle w:val="000000100000" w:firstRow="0" w:lastRow="0" w:firstColumn="0" w:lastColumn="0" w:oddVBand="0" w:evenVBand="0" w:oddHBand="1" w:evenHBand="0" w:firstRowFirstColumn="0" w:firstRowLastColumn="0" w:lastRowFirstColumn="0" w:lastRowLastColumn="0"/>
              <w:rPr>
                <w:rFonts w:cs="Calibri"/>
              </w:rPr>
            </w:pPr>
            <w:r>
              <w:rPr>
                <w:rFonts w:cs="Calibri"/>
              </w:rPr>
              <w:t>Any device with a heating element that produces an aerosol from a liquid that users can inhale.</w:t>
            </w:r>
          </w:p>
        </w:tc>
      </w:tr>
      <w:tr w:rsidR="00E13BD6" w:rsidRPr="00276915" w14:paraId="6036CFFB" w14:textId="77777777" w:rsidTr="00C7334C">
        <w:trPr>
          <w:trHeight w:val="60"/>
        </w:trPr>
        <w:tc>
          <w:tcPr>
            <w:cnfStyle w:val="001000000000" w:firstRow="0" w:lastRow="0" w:firstColumn="1" w:lastColumn="0" w:oddVBand="0" w:evenVBand="0" w:oddHBand="0" w:evenHBand="0" w:firstRowFirstColumn="0" w:firstRowLastColumn="0" w:lastRowFirstColumn="0" w:lastRowLastColumn="0"/>
            <w:tcW w:w="2560" w:type="dxa"/>
            <w:vAlign w:val="bottom"/>
          </w:tcPr>
          <w:p w14:paraId="475334AA" w14:textId="77777777" w:rsidR="00E13BD6" w:rsidRDefault="00E13BD6" w:rsidP="00E13BD6">
            <w:pPr>
              <w:spacing w:after="0"/>
              <w:rPr>
                <w:rFonts w:cs="Calibri"/>
              </w:rPr>
            </w:pPr>
            <w:r>
              <w:rPr>
                <w:rFonts w:cs="Calibri"/>
              </w:rPr>
              <w:lastRenderedPageBreak/>
              <w:t>E-juice, e-liquid</w:t>
            </w:r>
          </w:p>
        </w:tc>
        <w:tc>
          <w:tcPr>
            <w:tcW w:w="7250" w:type="dxa"/>
            <w:vAlign w:val="bottom"/>
          </w:tcPr>
          <w:p w14:paraId="5E182B02" w14:textId="77777777" w:rsidR="00E13BD6" w:rsidRDefault="00E13BD6" w:rsidP="00E13BD6">
            <w:pPr>
              <w:spacing w:after="0"/>
              <w:cnfStyle w:val="000000000000" w:firstRow="0" w:lastRow="0" w:firstColumn="0" w:lastColumn="0" w:oddVBand="0" w:evenVBand="0" w:oddHBand="0" w:evenHBand="0" w:firstRowFirstColumn="0" w:firstRowLastColumn="0" w:lastRowFirstColumn="0" w:lastRowLastColumn="0"/>
              <w:rPr>
                <w:rFonts w:cs="Calibri"/>
              </w:rPr>
            </w:pPr>
            <w:r>
              <w:rPr>
                <w:rFonts w:cs="Calibri"/>
              </w:rPr>
              <w:t>The liquid that produces the aerosol in the e-cigarette; usually made up of nicotine, propylene glycol, glycerine and flavourings.</w:t>
            </w:r>
          </w:p>
        </w:tc>
      </w:tr>
      <w:tr w:rsidR="00AB0034" w:rsidRPr="00276915" w14:paraId="6E8AEB9D" w14:textId="77777777" w:rsidTr="00C7334C">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560" w:type="dxa"/>
            <w:vAlign w:val="bottom"/>
          </w:tcPr>
          <w:p w14:paraId="31D5AB5F" w14:textId="77777777" w:rsidR="00AB0034" w:rsidRPr="00276915" w:rsidRDefault="00AB0034" w:rsidP="00AB0034">
            <w:pPr>
              <w:spacing w:after="0"/>
              <w:rPr>
                <w:rFonts w:eastAsia="Times New Roman" w:cs="Calibri"/>
              </w:rPr>
            </w:pPr>
            <w:r>
              <w:rPr>
                <w:rFonts w:cs="Calibri"/>
              </w:rPr>
              <w:t>Electrocardiogram (ECG)</w:t>
            </w:r>
          </w:p>
        </w:tc>
        <w:tc>
          <w:tcPr>
            <w:tcW w:w="7250" w:type="dxa"/>
            <w:vAlign w:val="bottom"/>
          </w:tcPr>
          <w:p w14:paraId="6D1C3785" w14:textId="77777777" w:rsidR="00AB0034" w:rsidRPr="00276915" w:rsidRDefault="00AB0034" w:rsidP="00AB0034">
            <w:pPr>
              <w:spacing w:after="0"/>
              <w:cnfStyle w:val="000000100000" w:firstRow="0" w:lastRow="0" w:firstColumn="0" w:lastColumn="0" w:oddVBand="0" w:evenVBand="0" w:oddHBand="1" w:evenHBand="0" w:firstRowFirstColumn="0" w:firstRowLastColumn="0" w:lastRowFirstColumn="0" w:lastRowLastColumn="0"/>
              <w:rPr>
                <w:rFonts w:eastAsia="Times New Roman" w:cs="Calibri"/>
              </w:rPr>
            </w:pPr>
            <w:r>
              <w:rPr>
                <w:rFonts w:cs="Calibri"/>
              </w:rPr>
              <w:t>A device used to measure the electrical activity of the heart.</w:t>
            </w:r>
          </w:p>
        </w:tc>
      </w:tr>
      <w:tr w:rsidR="00AB0034" w:rsidRPr="00276915" w14:paraId="0494C2A4" w14:textId="77777777" w:rsidTr="000A2C8E">
        <w:trPr>
          <w:trHeight w:val="300"/>
        </w:trPr>
        <w:tc>
          <w:tcPr>
            <w:cnfStyle w:val="001000000000" w:firstRow="0" w:lastRow="0" w:firstColumn="1" w:lastColumn="0" w:oddVBand="0" w:evenVBand="0" w:oddHBand="0" w:evenHBand="0" w:firstRowFirstColumn="0" w:firstRowLastColumn="0" w:lastRowFirstColumn="0" w:lastRowLastColumn="0"/>
            <w:tcW w:w="2560" w:type="dxa"/>
            <w:vAlign w:val="bottom"/>
          </w:tcPr>
          <w:p w14:paraId="627DE171" w14:textId="39563DF0" w:rsidR="00AB0034" w:rsidRPr="00276915" w:rsidRDefault="00922CBB" w:rsidP="00AB0034">
            <w:pPr>
              <w:spacing w:after="0"/>
              <w:rPr>
                <w:rFonts w:eastAsia="Times New Roman" w:cs="Calibri"/>
              </w:rPr>
            </w:pPr>
            <w:r>
              <w:rPr>
                <w:rFonts w:cs="Calibri"/>
              </w:rPr>
              <w:t>E</w:t>
            </w:r>
            <w:r w:rsidR="00AB0034">
              <w:rPr>
                <w:rFonts w:cs="Calibri"/>
              </w:rPr>
              <w:t xml:space="preserve">mphysematous lung destruction </w:t>
            </w:r>
          </w:p>
        </w:tc>
        <w:tc>
          <w:tcPr>
            <w:tcW w:w="7250" w:type="dxa"/>
          </w:tcPr>
          <w:p w14:paraId="123E8C30" w14:textId="77777777" w:rsidR="00AB0034" w:rsidRPr="00276915" w:rsidRDefault="00AB0034" w:rsidP="00AB0034">
            <w:pPr>
              <w:spacing w:after="0"/>
              <w:cnfStyle w:val="000000000000" w:firstRow="0" w:lastRow="0" w:firstColumn="0" w:lastColumn="0" w:oddVBand="0" w:evenVBand="0" w:oddHBand="0" w:evenHBand="0" w:firstRowFirstColumn="0" w:firstRowLastColumn="0" w:lastRowFirstColumn="0" w:lastRowLastColumn="0"/>
              <w:rPr>
                <w:rFonts w:eastAsia="Times New Roman" w:cs="Calibri"/>
              </w:rPr>
            </w:pPr>
            <w:r>
              <w:rPr>
                <w:rFonts w:cs="Calibri"/>
              </w:rPr>
              <w:t>Increased air spaces in the lung leading to destruction</w:t>
            </w:r>
            <w:r w:rsidR="00E64E6E">
              <w:rPr>
                <w:rFonts w:cs="Calibri"/>
              </w:rPr>
              <w:t xml:space="preserve"> of the lung surface area</w:t>
            </w:r>
            <w:r>
              <w:rPr>
                <w:rFonts w:cs="Calibri"/>
              </w:rPr>
              <w:t>.</w:t>
            </w:r>
          </w:p>
        </w:tc>
      </w:tr>
      <w:tr w:rsidR="00AB0034" w:rsidRPr="00276915" w14:paraId="688504D5" w14:textId="77777777" w:rsidTr="009D68B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0" w:type="dxa"/>
            <w:vAlign w:val="bottom"/>
          </w:tcPr>
          <w:p w14:paraId="59FBBFB4" w14:textId="0396E0C2" w:rsidR="00AB0034" w:rsidRPr="00276915" w:rsidRDefault="00922CBB" w:rsidP="00AB0034">
            <w:pPr>
              <w:spacing w:after="0"/>
              <w:rPr>
                <w:rFonts w:eastAsia="Times New Roman" w:cs="Calibri"/>
              </w:rPr>
            </w:pPr>
            <w:r>
              <w:rPr>
                <w:rFonts w:cs="Calibri"/>
              </w:rPr>
              <w:t>E</w:t>
            </w:r>
            <w:r w:rsidR="00AB0034">
              <w:rPr>
                <w:rFonts w:cs="Calibri"/>
              </w:rPr>
              <w:t>pithelium</w:t>
            </w:r>
          </w:p>
        </w:tc>
        <w:tc>
          <w:tcPr>
            <w:tcW w:w="7250" w:type="dxa"/>
            <w:vAlign w:val="bottom"/>
          </w:tcPr>
          <w:p w14:paraId="29F64A16" w14:textId="77777777" w:rsidR="00AB0034" w:rsidRPr="00276915" w:rsidRDefault="00AB0034" w:rsidP="00AB0034">
            <w:pPr>
              <w:spacing w:after="0"/>
              <w:cnfStyle w:val="000000100000" w:firstRow="0" w:lastRow="0" w:firstColumn="0" w:lastColumn="0" w:oddVBand="0" w:evenVBand="0" w:oddHBand="1" w:evenHBand="0" w:firstRowFirstColumn="0" w:firstRowLastColumn="0" w:lastRowFirstColumn="0" w:lastRowLastColumn="0"/>
              <w:rPr>
                <w:rFonts w:eastAsia="Times New Roman" w:cs="Calibri"/>
              </w:rPr>
            </w:pPr>
            <w:r>
              <w:rPr>
                <w:rFonts w:cs="Calibri"/>
              </w:rPr>
              <w:t>Tissues/ cells which line the outer surfaces of organs or blood vessels in the body.</w:t>
            </w:r>
          </w:p>
        </w:tc>
      </w:tr>
      <w:tr w:rsidR="004769EC" w:rsidRPr="00276915" w14:paraId="3A0A8BE4" w14:textId="77777777" w:rsidTr="009D68BA">
        <w:trPr>
          <w:trHeight w:val="300"/>
        </w:trPr>
        <w:tc>
          <w:tcPr>
            <w:cnfStyle w:val="001000000000" w:firstRow="0" w:lastRow="0" w:firstColumn="1" w:lastColumn="0" w:oddVBand="0" w:evenVBand="0" w:oddHBand="0" w:evenHBand="0" w:firstRowFirstColumn="0" w:firstRowLastColumn="0" w:lastRowFirstColumn="0" w:lastRowLastColumn="0"/>
            <w:tcW w:w="2560" w:type="dxa"/>
            <w:vAlign w:val="bottom"/>
          </w:tcPr>
          <w:p w14:paraId="444CC826" w14:textId="5D06069D" w:rsidR="004769EC" w:rsidRDefault="004769EC" w:rsidP="00922CBB">
            <w:pPr>
              <w:spacing w:after="0"/>
              <w:rPr>
                <w:rFonts w:cs="Calibri"/>
              </w:rPr>
            </w:pPr>
            <w:r>
              <w:rPr>
                <w:rFonts w:cs="Calibri"/>
              </w:rPr>
              <w:t>‘</w:t>
            </w:r>
            <w:r w:rsidR="00922CBB">
              <w:rPr>
                <w:rFonts w:cs="Calibri"/>
              </w:rPr>
              <w:t>E</w:t>
            </w:r>
            <w:r>
              <w:rPr>
                <w:rFonts w:cs="Calibri"/>
              </w:rPr>
              <w:t>ver-user’</w:t>
            </w:r>
          </w:p>
        </w:tc>
        <w:tc>
          <w:tcPr>
            <w:tcW w:w="7250" w:type="dxa"/>
            <w:vAlign w:val="bottom"/>
          </w:tcPr>
          <w:p w14:paraId="50A7378A" w14:textId="7C0E0B1C" w:rsidR="004769EC" w:rsidRDefault="00922CBB" w:rsidP="00922CBB">
            <w:pPr>
              <w:spacing w:after="0"/>
              <w:cnfStyle w:val="000000000000" w:firstRow="0" w:lastRow="0" w:firstColumn="0" w:lastColumn="0" w:oddVBand="0" w:evenVBand="0" w:oddHBand="0" w:evenHBand="0" w:firstRowFirstColumn="0" w:firstRowLastColumn="0" w:lastRowFirstColumn="0" w:lastRowLastColumn="0"/>
              <w:rPr>
                <w:rFonts w:cs="Calibri"/>
              </w:rPr>
            </w:pPr>
            <w:r>
              <w:rPr>
                <w:rFonts w:cs="Calibri"/>
              </w:rPr>
              <w:t>A person</w:t>
            </w:r>
            <w:r w:rsidR="004769EC">
              <w:rPr>
                <w:rFonts w:cs="Calibri"/>
              </w:rPr>
              <w:t xml:space="preserve"> who ha</w:t>
            </w:r>
            <w:r>
              <w:rPr>
                <w:rFonts w:cs="Calibri"/>
              </w:rPr>
              <w:t>s</w:t>
            </w:r>
            <w:r w:rsidR="004769EC">
              <w:rPr>
                <w:rFonts w:cs="Calibri"/>
              </w:rPr>
              <w:t xml:space="preserve"> used a device </w:t>
            </w:r>
            <w:r>
              <w:rPr>
                <w:rFonts w:cs="Calibri"/>
              </w:rPr>
              <w:t xml:space="preserve">or object </w:t>
            </w:r>
            <w:r w:rsidR="004769EC">
              <w:rPr>
                <w:rFonts w:cs="Calibri"/>
              </w:rPr>
              <w:t xml:space="preserve">at least once </w:t>
            </w:r>
            <w:r>
              <w:rPr>
                <w:rFonts w:cs="Calibri"/>
              </w:rPr>
              <w:t xml:space="preserve">– contrasted with ‘never-user’ </w:t>
            </w:r>
            <w:r w:rsidR="004769EC">
              <w:rPr>
                <w:rFonts w:cs="Calibri"/>
              </w:rPr>
              <w:t>e.g.</w:t>
            </w:r>
            <w:r>
              <w:rPr>
                <w:rFonts w:cs="Calibri"/>
              </w:rPr>
              <w:t xml:space="preserve"> an</w:t>
            </w:r>
            <w:r w:rsidR="004769EC">
              <w:rPr>
                <w:rFonts w:cs="Calibri"/>
              </w:rPr>
              <w:t xml:space="preserve"> ‘ever-user’ of e-cigarettes</w:t>
            </w:r>
            <w:r>
              <w:rPr>
                <w:rFonts w:cs="Calibri"/>
              </w:rPr>
              <w:t>.</w:t>
            </w:r>
          </w:p>
        </w:tc>
      </w:tr>
      <w:tr w:rsidR="00AB0034" w:rsidRPr="00276915" w14:paraId="3B8742A6" w14:textId="77777777" w:rsidTr="000A2C8E">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560" w:type="dxa"/>
            <w:vAlign w:val="bottom"/>
          </w:tcPr>
          <w:p w14:paraId="52174D39" w14:textId="77777777" w:rsidR="00AB0034" w:rsidRPr="00276915" w:rsidRDefault="00AB0034" w:rsidP="00AB0034">
            <w:pPr>
              <w:spacing w:after="0"/>
              <w:rPr>
                <w:rFonts w:eastAsia="Times New Roman" w:cs="Calibri"/>
              </w:rPr>
            </w:pPr>
            <w:r>
              <w:rPr>
                <w:rFonts w:cs="Calibri"/>
              </w:rPr>
              <w:t xml:space="preserve">F-fluorodeoxyglucose (FDG) positron emission tomography/computer tomography </w:t>
            </w:r>
          </w:p>
        </w:tc>
        <w:tc>
          <w:tcPr>
            <w:tcW w:w="7250" w:type="dxa"/>
          </w:tcPr>
          <w:p w14:paraId="62FA687C" w14:textId="77777777" w:rsidR="00AB0034" w:rsidRPr="00276915" w:rsidRDefault="00AB0034" w:rsidP="00AB0034">
            <w:pPr>
              <w:spacing w:after="0"/>
              <w:cnfStyle w:val="000000100000" w:firstRow="0" w:lastRow="0" w:firstColumn="0" w:lastColumn="0" w:oddVBand="0" w:evenVBand="0" w:oddHBand="1" w:evenHBand="0" w:firstRowFirstColumn="0" w:firstRowLastColumn="0" w:lastRowFirstColumn="0" w:lastRowLastColumn="0"/>
              <w:rPr>
                <w:rFonts w:eastAsia="Times New Roman" w:cs="Calibri"/>
              </w:rPr>
            </w:pPr>
            <w:r>
              <w:rPr>
                <w:rFonts w:cs="Calibri"/>
              </w:rPr>
              <w:t>PET scan; an imaging test using radioactive tracers.</w:t>
            </w:r>
          </w:p>
        </w:tc>
      </w:tr>
      <w:tr w:rsidR="00AB0034" w:rsidRPr="00276915" w14:paraId="0998D5DF" w14:textId="77777777" w:rsidTr="009D68BA">
        <w:trPr>
          <w:trHeight w:val="300"/>
        </w:trPr>
        <w:tc>
          <w:tcPr>
            <w:cnfStyle w:val="001000000000" w:firstRow="0" w:lastRow="0" w:firstColumn="1" w:lastColumn="0" w:oddVBand="0" w:evenVBand="0" w:oddHBand="0" w:evenHBand="0" w:firstRowFirstColumn="0" w:firstRowLastColumn="0" w:lastRowFirstColumn="0" w:lastRowLastColumn="0"/>
            <w:tcW w:w="2560" w:type="dxa"/>
            <w:vAlign w:val="bottom"/>
          </w:tcPr>
          <w:p w14:paraId="4F14BFD5" w14:textId="77777777" w:rsidR="00AB0034" w:rsidRPr="00276915" w:rsidRDefault="00AB0034" w:rsidP="00AB0034">
            <w:pPr>
              <w:spacing w:after="0"/>
              <w:rPr>
                <w:rFonts w:eastAsia="Times New Roman" w:cs="Calibri"/>
              </w:rPr>
            </w:pPr>
            <w:r>
              <w:rPr>
                <w:rFonts w:cs="Calibri"/>
              </w:rPr>
              <w:t>First generation/second generation/third generation/fourth generation e-cigarettes</w:t>
            </w:r>
          </w:p>
        </w:tc>
        <w:tc>
          <w:tcPr>
            <w:tcW w:w="7250" w:type="dxa"/>
            <w:vAlign w:val="bottom"/>
          </w:tcPr>
          <w:p w14:paraId="6A102CF0" w14:textId="77777777" w:rsidR="00AB0034" w:rsidRPr="00276915" w:rsidRDefault="00AB0034" w:rsidP="00AB0034">
            <w:pPr>
              <w:spacing w:after="0"/>
              <w:cnfStyle w:val="000000000000" w:firstRow="0" w:lastRow="0" w:firstColumn="0" w:lastColumn="0" w:oddVBand="0" w:evenVBand="0" w:oddHBand="0" w:evenHBand="0" w:firstRowFirstColumn="0" w:firstRowLastColumn="0" w:lastRowFirstColumn="0" w:lastRowLastColumn="0"/>
              <w:rPr>
                <w:rFonts w:eastAsia="Times New Roman" w:cs="Calibri"/>
              </w:rPr>
            </w:pPr>
            <w:r>
              <w:rPr>
                <w:rFonts w:cs="Calibri"/>
              </w:rPr>
              <w:t>First generation e-cigarettes generally refer to cigalikes with similar appearance to combustible tobacco cigarettes. Second generation often appear as pen-like devices with batteries with a greater capacity than cigalikes. Third generation (Advanced Personal Vaporisers) come in various shapes and sizes and contain mods (‘modification’ devices with a fire button, battery compartment and connector) which may or may not enable regulation of the e-cigarette voltage/wattage output. Second, third and fourth generation devices contain refillable tanks for e-solutions. Fourth generation e-cigarettes include mods that enable regulation of voltage/wattage and temperature control.</w:t>
            </w:r>
          </w:p>
        </w:tc>
      </w:tr>
      <w:tr w:rsidR="00AB0034" w:rsidRPr="00276915" w14:paraId="3C48ACAA" w14:textId="77777777" w:rsidTr="000A2C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0" w:type="dxa"/>
            <w:vAlign w:val="bottom"/>
          </w:tcPr>
          <w:p w14:paraId="475187F4" w14:textId="77777777" w:rsidR="00AB0034" w:rsidRPr="00276915" w:rsidRDefault="00AB0034" w:rsidP="00AB0034">
            <w:pPr>
              <w:spacing w:after="0"/>
              <w:rPr>
                <w:rFonts w:eastAsia="Times New Roman" w:cs="Calibri"/>
              </w:rPr>
            </w:pPr>
            <w:r>
              <w:rPr>
                <w:rFonts w:cs="Calibri"/>
              </w:rPr>
              <w:t xml:space="preserve">Fractional exhaled nitric oxide </w:t>
            </w:r>
          </w:p>
        </w:tc>
        <w:tc>
          <w:tcPr>
            <w:tcW w:w="7250" w:type="dxa"/>
          </w:tcPr>
          <w:p w14:paraId="1DD98178" w14:textId="77777777" w:rsidR="00AB0034" w:rsidRPr="00276915" w:rsidRDefault="00AB0034" w:rsidP="00AB0034">
            <w:pPr>
              <w:spacing w:after="0"/>
              <w:cnfStyle w:val="000000100000" w:firstRow="0" w:lastRow="0" w:firstColumn="0" w:lastColumn="0" w:oddVBand="0" w:evenVBand="0" w:oddHBand="1" w:evenHBand="0" w:firstRowFirstColumn="0" w:firstRowLastColumn="0" w:lastRowFirstColumn="0" w:lastRowLastColumn="0"/>
              <w:rPr>
                <w:rFonts w:eastAsia="Times New Roman" w:cs="Calibri"/>
              </w:rPr>
            </w:pPr>
            <w:r>
              <w:rPr>
                <w:rFonts w:cs="Calibri"/>
              </w:rPr>
              <w:t>Measurement of airway inflammation tested via breath tests.</w:t>
            </w:r>
          </w:p>
        </w:tc>
      </w:tr>
      <w:tr w:rsidR="00AB0034" w:rsidRPr="00276915" w14:paraId="16885028" w14:textId="77777777" w:rsidTr="00C7334C">
        <w:trPr>
          <w:trHeight w:val="283"/>
        </w:trPr>
        <w:tc>
          <w:tcPr>
            <w:cnfStyle w:val="001000000000" w:firstRow="0" w:lastRow="0" w:firstColumn="1" w:lastColumn="0" w:oddVBand="0" w:evenVBand="0" w:oddHBand="0" w:evenHBand="0" w:firstRowFirstColumn="0" w:firstRowLastColumn="0" w:lastRowFirstColumn="0" w:lastRowLastColumn="0"/>
            <w:tcW w:w="2560" w:type="dxa"/>
            <w:vAlign w:val="bottom"/>
          </w:tcPr>
          <w:p w14:paraId="4B14C7F4" w14:textId="77777777" w:rsidR="00AB0034" w:rsidRPr="00276915" w:rsidRDefault="00AB0034" w:rsidP="00AB0034">
            <w:pPr>
              <w:spacing w:after="0"/>
              <w:rPr>
                <w:rFonts w:eastAsia="Times New Roman" w:cs="Calibri"/>
              </w:rPr>
            </w:pPr>
            <w:r>
              <w:rPr>
                <w:rFonts w:cs="Calibri"/>
              </w:rPr>
              <w:t xml:space="preserve">Gene expression </w:t>
            </w:r>
          </w:p>
        </w:tc>
        <w:tc>
          <w:tcPr>
            <w:tcW w:w="7250" w:type="dxa"/>
            <w:vAlign w:val="bottom"/>
          </w:tcPr>
          <w:p w14:paraId="7747BF71" w14:textId="77777777" w:rsidR="00AB0034" w:rsidRPr="00276915" w:rsidRDefault="004C6D16" w:rsidP="004C6D16">
            <w:pPr>
              <w:spacing w:after="0"/>
              <w:cnfStyle w:val="000000000000" w:firstRow="0" w:lastRow="0" w:firstColumn="0" w:lastColumn="0" w:oddVBand="0" w:evenVBand="0" w:oddHBand="0" w:evenHBand="0" w:firstRowFirstColumn="0" w:firstRowLastColumn="0" w:lastRowFirstColumn="0" w:lastRowLastColumn="0"/>
              <w:rPr>
                <w:rFonts w:eastAsia="Times New Roman" w:cs="Calibri"/>
              </w:rPr>
            </w:pPr>
            <w:r>
              <w:rPr>
                <w:rFonts w:cs="Calibri"/>
              </w:rPr>
              <w:t>Protein resulting from i</w:t>
            </w:r>
            <w:r w:rsidR="00AB0034">
              <w:rPr>
                <w:rFonts w:cs="Calibri"/>
              </w:rPr>
              <w:t xml:space="preserve">nformation </w:t>
            </w:r>
            <w:r>
              <w:rPr>
                <w:rFonts w:cs="Calibri"/>
              </w:rPr>
              <w:t>coded by a gene</w:t>
            </w:r>
            <w:r w:rsidR="00AB0034">
              <w:rPr>
                <w:rFonts w:cs="Calibri"/>
              </w:rPr>
              <w:t>.</w:t>
            </w:r>
          </w:p>
        </w:tc>
      </w:tr>
      <w:tr w:rsidR="00AB0034" w:rsidRPr="00276915" w14:paraId="309A4316" w14:textId="77777777" w:rsidTr="009D68B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0" w:type="dxa"/>
            <w:vAlign w:val="bottom"/>
          </w:tcPr>
          <w:p w14:paraId="0677DCFC" w14:textId="77777777" w:rsidR="00AB0034" w:rsidRPr="00276915" w:rsidRDefault="00AB0034" w:rsidP="00AB0034">
            <w:pPr>
              <w:spacing w:after="0"/>
              <w:rPr>
                <w:rFonts w:eastAsia="Times New Roman" w:cs="Calibri"/>
              </w:rPr>
            </w:pPr>
            <w:r>
              <w:rPr>
                <w:rFonts w:cs="Calibri"/>
              </w:rPr>
              <w:t>Gingival crevicular fluid</w:t>
            </w:r>
          </w:p>
        </w:tc>
        <w:tc>
          <w:tcPr>
            <w:tcW w:w="7250" w:type="dxa"/>
            <w:vAlign w:val="bottom"/>
          </w:tcPr>
          <w:p w14:paraId="3F6569D7" w14:textId="77777777" w:rsidR="00AB0034" w:rsidRPr="00276915" w:rsidRDefault="00AB0034" w:rsidP="00AB0034">
            <w:pPr>
              <w:spacing w:after="0"/>
              <w:cnfStyle w:val="000000100000" w:firstRow="0" w:lastRow="0" w:firstColumn="0" w:lastColumn="0" w:oddVBand="0" w:evenVBand="0" w:oddHBand="1" w:evenHBand="0" w:firstRowFirstColumn="0" w:firstRowLastColumn="0" w:lastRowFirstColumn="0" w:lastRowLastColumn="0"/>
              <w:rPr>
                <w:rFonts w:eastAsia="Times New Roman" w:cs="Calibri"/>
              </w:rPr>
            </w:pPr>
            <w:r>
              <w:rPr>
                <w:rFonts w:cs="Calibri"/>
              </w:rPr>
              <w:t>Inflammatory secretions from gums.</w:t>
            </w:r>
          </w:p>
        </w:tc>
      </w:tr>
      <w:tr w:rsidR="00AB0034" w:rsidRPr="00276915" w14:paraId="7BDE1F2C" w14:textId="77777777" w:rsidTr="009D68BA">
        <w:trPr>
          <w:trHeight w:val="300"/>
        </w:trPr>
        <w:tc>
          <w:tcPr>
            <w:cnfStyle w:val="001000000000" w:firstRow="0" w:lastRow="0" w:firstColumn="1" w:lastColumn="0" w:oddVBand="0" w:evenVBand="0" w:oddHBand="0" w:evenHBand="0" w:firstRowFirstColumn="0" w:firstRowLastColumn="0" w:lastRowFirstColumn="0" w:lastRowLastColumn="0"/>
            <w:tcW w:w="2560" w:type="dxa"/>
            <w:vAlign w:val="bottom"/>
          </w:tcPr>
          <w:p w14:paraId="290C5EA3" w14:textId="77777777" w:rsidR="00AB0034" w:rsidRPr="00276915" w:rsidRDefault="00AB0034" w:rsidP="00AB0034">
            <w:pPr>
              <w:spacing w:after="0"/>
              <w:rPr>
                <w:rFonts w:eastAsia="Times New Roman" w:cs="Calibri"/>
              </w:rPr>
            </w:pPr>
            <w:r>
              <w:rPr>
                <w:rFonts w:cs="Calibri"/>
              </w:rPr>
              <w:t xml:space="preserve">Gingival pain </w:t>
            </w:r>
          </w:p>
        </w:tc>
        <w:tc>
          <w:tcPr>
            <w:tcW w:w="7250" w:type="dxa"/>
            <w:vAlign w:val="bottom"/>
          </w:tcPr>
          <w:p w14:paraId="5A975D2B" w14:textId="77777777" w:rsidR="00AB0034" w:rsidRPr="00276915" w:rsidRDefault="00AB0034" w:rsidP="00AB0034">
            <w:pPr>
              <w:spacing w:after="0"/>
              <w:cnfStyle w:val="000000000000" w:firstRow="0" w:lastRow="0" w:firstColumn="0" w:lastColumn="0" w:oddVBand="0" w:evenVBand="0" w:oddHBand="0" w:evenHBand="0" w:firstRowFirstColumn="0" w:firstRowLastColumn="0" w:lastRowFirstColumn="0" w:lastRowLastColumn="0"/>
              <w:rPr>
                <w:rFonts w:eastAsia="Times New Roman" w:cs="Calibri"/>
              </w:rPr>
            </w:pPr>
            <w:r>
              <w:rPr>
                <w:rFonts w:cs="Calibri"/>
              </w:rPr>
              <w:t>Gum pain.</w:t>
            </w:r>
          </w:p>
        </w:tc>
      </w:tr>
      <w:tr w:rsidR="00AB0034" w:rsidRPr="00276915" w14:paraId="7E657EC5" w14:textId="77777777" w:rsidTr="009D68B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0" w:type="dxa"/>
            <w:vAlign w:val="bottom"/>
          </w:tcPr>
          <w:p w14:paraId="135ED20C" w14:textId="77777777" w:rsidR="00AB0034" w:rsidRPr="00276915" w:rsidRDefault="00AB0034" w:rsidP="00AB0034">
            <w:pPr>
              <w:spacing w:after="0"/>
              <w:rPr>
                <w:rFonts w:eastAsia="Times New Roman" w:cs="Calibri"/>
              </w:rPr>
            </w:pPr>
            <w:r>
              <w:rPr>
                <w:rFonts w:cs="Calibri"/>
              </w:rPr>
              <w:t xml:space="preserve">Hairy tongue </w:t>
            </w:r>
          </w:p>
        </w:tc>
        <w:tc>
          <w:tcPr>
            <w:tcW w:w="7250" w:type="dxa"/>
            <w:vAlign w:val="bottom"/>
          </w:tcPr>
          <w:p w14:paraId="37ACE1F6" w14:textId="77777777" w:rsidR="00AB0034" w:rsidRPr="00276915" w:rsidRDefault="00AB0034" w:rsidP="00AB0034">
            <w:pPr>
              <w:spacing w:after="0"/>
              <w:cnfStyle w:val="000000100000" w:firstRow="0" w:lastRow="0" w:firstColumn="0" w:lastColumn="0" w:oddVBand="0" w:evenVBand="0" w:oddHBand="1" w:evenHBand="0" w:firstRowFirstColumn="0" w:firstRowLastColumn="0" w:lastRowFirstColumn="0" w:lastRowLastColumn="0"/>
              <w:rPr>
                <w:rFonts w:eastAsia="Times New Roman" w:cs="Calibri"/>
              </w:rPr>
            </w:pPr>
            <w:r>
              <w:rPr>
                <w:rFonts w:cs="Calibri"/>
              </w:rPr>
              <w:t>Tongue appears dark and furry.</w:t>
            </w:r>
          </w:p>
        </w:tc>
      </w:tr>
      <w:tr w:rsidR="00AB0034" w:rsidRPr="00276915" w14:paraId="25ABF519" w14:textId="77777777" w:rsidTr="009D68BA">
        <w:trPr>
          <w:trHeight w:val="300"/>
        </w:trPr>
        <w:tc>
          <w:tcPr>
            <w:cnfStyle w:val="001000000000" w:firstRow="0" w:lastRow="0" w:firstColumn="1" w:lastColumn="0" w:oddVBand="0" w:evenVBand="0" w:oddHBand="0" w:evenHBand="0" w:firstRowFirstColumn="0" w:firstRowLastColumn="0" w:lastRowFirstColumn="0" w:lastRowLastColumn="0"/>
            <w:tcW w:w="2560" w:type="dxa"/>
            <w:vAlign w:val="bottom"/>
          </w:tcPr>
          <w:p w14:paraId="16BD34B2" w14:textId="77777777" w:rsidR="00AB0034" w:rsidRPr="00276915" w:rsidRDefault="00AB0034" w:rsidP="00AB0034">
            <w:pPr>
              <w:spacing w:after="0"/>
              <w:rPr>
                <w:rFonts w:eastAsia="Times New Roman" w:cs="Calibri"/>
              </w:rPr>
            </w:pPr>
            <w:r>
              <w:rPr>
                <w:rFonts w:cs="Calibri"/>
              </w:rPr>
              <w:t>Health indice</w:t>
            </w:r>
          </w:p>
        </w:tc>
        <w:tc>
          <w:tcPr>
            <w:tcW w:w="7250" w:type="dxa"/>
            <w:vAlign w:val="bottom"/>
          </w:tcPr>
          <w:p w14:paraId="739B3E25" w14:textId="77777777" w:rsidR="00AB0034" w:rsidRPr="00276915" w:rsidRDefault="00AB0034" w:rsidP="00AB0034">
            <w:pPr>
              <w:spacing w:after="0"/>
              <w:cnfStyle w:val="000000000000" w:firstRow="0" w:lastRow="0" w:firstColumn="0" w:lastColumn="0" w:oddVBand="0" w:evenVBand="0" w:oddHBand="0" w:evenHBand="0" w:firstRowFirstColumn="0" w:firstRowLastColumn="0" w:lastRowFirstColumn="0" w:lastRowLastColumn="0"/>
              <w:rPr>
                <w:rFonts w:eastAsia="Times New Roman" w:cs="Calibri"/>
              </w:rPr>
            </w:pPr>
            <w:r>
              <w:rPr>
                <w:rFonts w:cs="Calibri"/>
              </w:rPr>
              <w:t>An indicator of health used to describe the health of a population, e.g. life expectancy.</w:t>
            </w:r>
          </w:p>
        </w:tc>
      </w:tr>
      <w:tr w:rsidR="00AB0034" w:rsidRPr="00276915" w14:paraId="3B4AF25A" w14:textId="77777777" w:rsidTr="009D68B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0" w:type="dxa"/>
            <w:vAlign w:val="bottom"/>
          </w:tcPr>
          <w:p w14:paraId="50E68A09" w14:textId="77777777" w:rsidR="00AB0034" w:rsidRPr="00276915" w:rsidRDefault="00AB0034" w:rsidP="00AB0034">
            <w:pPr>
              <w:spacing w:after="0"/>
              <w:rPr>
                <w:rFonts w:eastAsia="Times New Roman" w:cs="Calibri"/>
              </w:rPr>
            </w:pPr>
            <w:r>
              <w:rPr>
                <w:rFonts w:cs="Calibri"/>
              </w:rPr>
              <w:t>Health parameter</w:t>
            </w:r>
          </w:p>
        </w:tc>
        <w:tc>
          <w:tcPr>
            <w:tcW w:w="7250" w:type="dxa"/>
            <w:vAlign w:val="bottom"/>
          </w:tcPr>
          <w:p w14:paraId="374A5FD3" w14:textId="77777777" w:rsidR="00AB0034" w:rsidRPr="00276915" w:rsidRDefault="00E64E6E" w:rsidP="00E64E6E">
            <w:pPr>
              <w:spacing w:after="0"/>
              <w:cnfStyle w:val="000000100000" w:firstRow="0" w:lastRow="0" w:firstColumn="0" w:lastColumn="0" w:oddVBand="0" w:evenVBand="0" w:oddHBand="1" w:evenHBand="0" w:firstRowFirstColumn="0" w:firstRowLastColumn="0" w:lastRowFirstColumn="0" w:lastRowLastColumn="0"/>
              <w:rPr>
                <w:rFonts w:eastAsia="Times New Roman" w:cs="Calibri"/>
              </w:rPr>
            </w:pPr>
            <w:r>
              <w:rPr>
                <w:rFonts w:cs="Calibri"/>
              </w:rPr>
              <w:t>A variable</w:t>
            </w:r>
            <w:r w:rsidR="00AB0034">
              <w:rPr>
                <w:rFonts w:cs="Calibri"/>
              </w:rPr>
              <w:t xml:space="preserve"> used to describe health, e.g. </w:t>
            </w:r>
            <w:r>
              <w:rPr>
                <w:rFonts w:cs="Calibri"/>
              </w:rPr>
              <w:t>serum cholesterol</w:t>
            </w:r>
            <w:r w:rsidR="00AB0034">
              <w:rPr>
                <w:rFonts w:cs="Calibri"/>
              </w:rPr>
              <w:t>.</w:t>
            </w:r>
          </w:p>
        </w:tc>
      </w:tr>
      <w:tr w:rsidR="004769EC" w:rsidRPr="00276915" w14:paraId="67C6733B" w14:textId="77777777" w:rsidTr="009D68BA">
        <w:trPr>
          <w:trHeight w:val="300"/>
        </w:trPr>
        <w:tc>
          <w:tcPr>
            <w:cnfStyle w:val="001000000000" w:firstRow="0" w:lastRow="0" w:firstColumn="1" w:lastColumn="0" w:oddVBand="0" w:evenVBand="0" w:oddHBand="0" w:evenHBand="0" w:firstRowFirstColumn="0" w:firstRowLastColumn="0" w:lastRowFirstColumn="0" w:lastRowLastColumn="0"/>
            <w:tcW w:w="2560" w:type="dxa"/>
            <w:vAlign w:val="bottom"/>
          </w:tcPr>
          <w:p w14:paraId="14525C1E" w14:textId="7FECE44C" w:rsidR="004769EC" w:rsidRDefault="004769EC" w:rsidP="00AB0034">
            <w:pPr>
              <w:spacing w:after="0"/>
              <w:rPr>
                <w:rFonts w:cs="Calibri"/>
              </w:rPr>
            </w:pPr>
            <w:r>
              <w:rPr>
                <w:rFonts w:cs="Calibri"/>
              </w:rPr>
              <w:t>Hookah</w:t>
            </w:r>
          </w:p>
        </w:tc>
        <w:tc>
          <w:tcPr>
            <w:tcW w:w="7250" w:type="dxa"/>
            <w:vAlign w:val="bottom"/>
          </w:tcPr>
          <w:p w14:paraId="36A4B527" w14:textId="3426FE7B" w:rsidR="004769EC" w:rsidRDefault="004769EC" w:rsidP="004769EC">
            <w:pPr>
              <w:spacing w:after="0"/>
              <w:cnfStyle w:val="000000000000" w:firstRow="0" w:lastRow="0" w:firstColumn="0" w:lastColumn="0" w:oddVBand="0" w:evenVBand="0" w:oddHBand="0" w:evenHBand="0" w:firstRowFirstColumn="0" w:firstRowLastColumn="0" w:lastRowFirstColumn="0" w:lastRowLastColumn="0"/>
              <w:rPr>
                <w:rFonts w:cs="Calibri"/>
              </w:rPr>
            </w:pPr>
            <w:r>
              <w:rPr>
                <w:rFonts w:cs="Calibri"/>
              </w:rPr>
              <w:t>A smoking device which uses heated water to vaporise the substance to be inhaled. Also known as a waterpipe.</w:t>
            </w:r>
          </w:p>
        </w:tc>
      </w:tr>
      <w:tr w:rsidR="00AB0034" w:rsidRPr="00276915" w14:paraId="319A5C53" w14:textId="77777777" w:rsidTr="009D68B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0" w:type="dxa"/>
            <w:vAlign w:val="bottom"/>
          </w:tcPr>
          <w:p w14:paraId="45403239" w14:textId="77777777" w:rsidR="00AB0034" w:rsidRPr="00276915" w:rsidRDefault="00AB0034" w:rsidP="00AB0034">
            <w:pPr>
              <w:spacing w:after="0"/>
              <w:rPr>
                <w:rFonts w:eastAsia="Times New Roman" w:cs="Calibri"/>
              </w:rPr>
            </w:pPr>
            <w:r>
              <w:rPr>
                <w:rFonts w:cs="Calibri"/>
              </w:rPr>
              <w:t>Hypoxia</w:t>
            </w:r>
          </w:p>
        </w:tc>
        <w:tc>
          <w:tcPr>
            <w:tcW w:w="7250" w:type="dxa"/>
            <w:vAlign w:val="bottom"/>
          </w:tcPr>
          <w:p w14:paraId="4AD39224" w14:textId="77777777" w:rsidR="00AB0034" w:rsidRPr="00276915" w:rsidRDefault="00AB0034" w:rsidP="00AB0034">
            <w:pPr>
              <w:spacing w:after="0"/>
              <w:cnfStyle w:val="000000100000" w:firstRow="0" w:lastRow="0" w:firstColumn="0" w:lastColumn="0" w:oddVBand="0" w:evenVBand="0" w:oddHBand="1" w:evenHBand="0" w:firstRowFirstColumn="0" w:firstRowLastColumn="0" w:lastRowFirstColumn="0" w:lastRowLastColumn="0"/>
              <w:rPr>
                <w:rFonts w:eastAsia="Times New Roman" w:cs="Calibri"/>
              </w:rPr>
            </w:pPr>
            <w:r>
              <w:rPr>
                <w:rFonts w:cs="Calibri"/>
              </w:rPr>
              <w:t>Oxygen deficiency in cells or an organ.</w:t>
            </w:r>
          </w:p>
        </w:tc>
      </w:tr>
      <w:tr w:rsidR="00AB0034" w:rsidRPr="00276915" w14:paraId="4B0E64B5" w14:textId="77777777" w:rsidTr="009D68BA">
        <w:trPr>
          <w:trHeight w:val="300"/>
        </w:trPr>
        <w:tc>
          <w:tcPr>
            <w:cnfStyle w:val="001000000000" w:firstRow="0" w:lastRow="0" w:firstColumn="1" w:lastColumn="0" w:oddVBand="0" w:evenVBand="0" w:oddHBand="0" w:evenHBand="0" w:firstRowFirstColumn="0" w:firstRowLastColumn="0" w:lastRowFirstColumn="0" w:lastRowLastColumn="0"/>
            <w:tcW w:w="2560" w:type="dxa"/>
            <w:vAlign w:val="bottom"/>
          </w:tcPr>
          <w:p w14:paraId="09D4AF8D" w14:textId="77777777" w:rsidR="00AB0034" w:rsidRPr="00276915" w:rsidRDefault="00AB0034" w:rsidP="00AB0034">
            <w:pPr>
              <w:spacing w:after="0"/>
              <w:rPr>
                <w:rFonts w:eastAsia="Times New Roman" w:cs="Calibri"/>
              </w:rPr>
            </w:pPr>
            <w:r>
              <w:rPr>
                <w:rFonts w:cs="Calibri"/>
              </w:rPr>
              <w:t xml:space="preserve">In utero </w:t>
            </w:r>
          </w:p>
        </w:tc>
        <w:tc>
          <w:tcPr>
            <w:tcW w:w="7250" w:type="dxa"/>
            <w:vAlign w:val="bottom"/>
          </w:tcPr>
          <w:p w14:paraId="3F5F6E11" w14:textId="77777777" w:rsidR="00AB0034" w:rsidRPr="00276915" w:rsidRDefault="00AB0034" w:rsidP="00AB0034">
            <w:pPr>
              <w:spacing w:after="0"/>
              <w:cnfStyle w:val="000000000000" w:firstRow="0" w:lastRow="0" w:firstColumn="0" w:lastColumn="0" w:oddVBand="0" w:evenVBand="0" w:oddHBand="0" w:evenHBand="0" w:firstRowFirstColumn="0" w:firstRowLastColumn="0" w:lastRowFirstColumn="0" w:lastRowLastColumn="0"/>
              <w:rPr>
                <w:rFonts w:eastAsia="Times New Roman" w:cs="Calibri"/>
              </w:rPr>
            </w:pPr>
            <w:r>
              <w:rPr>
                <w:rFonts w:cs="Calibri"/>
              </w:rPr>
              <w:t>Within the uterus.</w:t>
            </w:r>
          </w:p>
        </w:tc>
      </w:tr>
      <w:tr w:rsidR="00AB0034" w:rsidRPr="00276915" w14:paraId="0B387F34" w14:textId="77777777" w:rsidTr="000A2C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0" w:type="dxa"/>
            <w:vAlign w:val="bottom"/>
          </w:tcPr>
          <w:p w14:paraId="023A4821" w14:textId="77777777" w:rsidR="00AB0034" w:rsidRPr="00AB0034" w:rsidRDefault="00AB0034" w:rsidP="00AB0034">
            <w:pPr>
              <w:spacing w:after="0"/>
              <w:rPr>
                <w:rFonts w:eastAsia="Times New Roman" w:cs="Calibri"/>
                <w:color w:val="auto"/>
              </w:rPr>
            </w:pPr>
            <w:r>
              <w:rPr>
                <w:rFonts w:cs="Calibri"/>
                <w:color w:val="auto"/>
              </w:rPr>
              <w:t>I</w:t>
            </w:r>
            <w:r w:rsidRPr="00AB0034">
              <w:rPr>
                <w:rFonts w:cs="Calibri"/>
                <w:color w:val="auto"/>
              </w:rPr>
              <w:t xml:space="preserve">ntracranial self-stimulation </w:t>
            </w:r>
          </w:p>
        </w:tc>
        <w:tc>
          <w:tcPr>
            <w:tcW w:w="7250" w:type="dxa"/>
          </w:tcPr>
          <w:p w14:paraId="10EDBB56" w14:textId="77777777" w:rsidR="00AB0034" w:rsidRPr="00AB0034" w:rsidRDefault="00AB0034" w:rsidP="00AB0034">
            <w:pPr>
              <w:spacing w:after="0"/>
              <w:cnfStyle w:val="000000100000" w:firstRow="0" w:lastRow="0" w:firstColumn="0" w:lastColumn="0" w:oddVBand="0" w:evenVBand="0" w:oddHBand="1" w:evenHBand="0" w:firstRowFirstColumn="0" w:firstRowLastColumn="0" w:lastRowFirstColumn="0" w:lastRowLastColumn="0"/>
              <w:rPr>
                <w:rFonts w:eastAsia="Times New Roman" w:cs="Calibri"/>
                <w:color w:val="auto"/>
              </w:rPr>
            </w:pPr>
            <w:r w:rsidRPr="00AB0034">
              <w:rPr>
                <w:rFonts w:cs="Calibri"/>
                <w:color w:val="auto"/>
              </w:rPr>
              <w:t>Paradigm for quantifying brain reward.</w:t>
            </w:r>
          </w:p>
        </w:tc>
      </w:tr>
      <w:tr w:rsidR="00AB0034" w:rsidRPr="00276915" w14:paraId="2CE952FD" w14:textId="77777777" w:rsidTr="000A2C8E">
        <w:trPr>
          <w:trHeight w:val="300"/>
        </w:trPr>
        <w:tc>
          <w:tcPr>
            <w:cnfStyle w:val="001000000000" w:firstRow="0" w:lastRow="0" w:firstColumn="1" w:lastColumn="0" w:oddVBand="0" w:evenVBand="0" w:oddHBand="0" w:evenHBand="0" w:firstRowFirstColumn="0" w:firstRowLastColumn="0" w:lastRowFirstColumn="0" w:lastRowLastColumn="0"/>
            <w:tcW w:w="2560" w:type="dxa"/>
            <w:vAlign w:val="bottom"/>
          </w:tcPr>
          <w:p w14:paraId="1174B7C6" w14:textId="77777777" w:rsidR="00AB0034" w:rsidRPr="00276915" w:rsidRDefault="00AB0034" w:rsidP="00AB0034">
            <w:pPr>
              <w:spacing w:after="0"/>
              <w:rPr>
                <w:rFonts w:eastAsia="Times New Roman" w:cs="Calibri"/>
              </w:rPr>
            </w:pPr>
            <w:r>
              <w:rPr>
                <w:rFonts w:cs="Calibri"/>
              </w:rPr>
              <w:t xml:space="preserve">IOS (Impulse Oscillometry System) </w:t>
            </w:r>
          </w:p>
        </w:tc>
        <w:tc>
          <w:tcPr>
            <w:tcW w:w="7250" w:type="dxa"/>
          </w:tcPr>
          <w:p w14:paraId="45BADE27" w14:textId="77777777" w:rsidR="00AB0034" w:rsidRPr="00276915" w:rsidRDefault="00AB0034" w:rsidP="00AB0034">
            <w:pPr>
              <w:spacing w:after="0"/>
              <w:cnfStyle w:val="000000000000" w:firstRow="0" w:lastRow="0" w:firstColumn="0" w:lastColumn="0" w:oddVBand="0" w:evenVBand="0" w:oddHBand="0" w:evenHBand="0" w:firstRowFirstColumn="0" w:firstRowLastColumn="0" w:lastRowFirstColumn="0" w:lastRowLastColumn="0"/>
              <w:rPr>
                <w:rFonts w:eastAsia="Times New Roman" w:cs="Calibri"/>
              </w:rPr>
            </w:pPr>
            <w:r>
              <w:rPr>
                <w:rFonts w:cs="Calibri"/>
              </w:rPr>
              <w:t>A system to measure lung function using sound waves.</w:t>
            </w:r>
          </w:p>
        </w:tc>
      </w:tr>
      <w:tr w:rsidR="00AB0034" w:rsidRPr="00276915" w14:paraId="482A860E" w14:textId="77777777" w:rsidTr="009D68B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0" w:type="dxa"/>
            <w:vAlign w:val="bottom"/>
          </w:tcPr>
          <w:p w14:paraId="0E217F11" w14:textId="77777777" w:rsidR="00AB0034" w:rsidRPr="00276915" w:rsidRDefault="00AB0034" w:rsidP="00AB0034">
            <w:pPr>
              <w:spacing w:after="0"/>
              <w:rPr>
                <w:rFonts w:eastAsia="Times New Roman" w:cs="Calibri"/>
              </w:rPr>
            </w:pPr>
            <w:r>
              <w:rPr>
                <w:rFonts w:cs="Calibri"/>
              </w:rPr>
              <w:t>Leukocyte</w:t>
            </w:r>
          </w:p>
        </w:tc>
        <w:tc>
          <w:tcPr>
            <w:tcW w:w="7250" w:type="dxa"/>
            <w:vAlign w:val="bottom"/>
          </w:tcPr>
          <w:p w14:paraId="361469C5" w14:textId="77777777" w:rsidR="00AB0034" w:rsidRPr="00276915" w:rsidRDefault="00AB0034" w:rsidP="00AB0034">
            <w:pPr>
              <w:spacing w:after="0"/>
              <w:cnfStyle w:val="000000100000" w:firstRow="0" w:lastRow="0" w:firstColumn="0" w:lastColumn="0" w:oddVBand="0" w:evenVBand="0" w:oddHBand="1" w:evenHBand="0" w:firstRowFirstColumn="0" w:firstRowLastColumn="0" w:lastRowFirstColumn="0" w:lastRowLastColumn="0"/>
              <w:rPr>
                <w:rFonts w:eastAsia="Times New Roman" w:cs="Calibri"/>
              </w:rPr>
            </w:pPr>
            <w:r>
              <w:rPr>
                <w:rFonts w:cs="Calibri"/>
              </w:rPr>
              <w:t>Cells which help to fight disease.</w:t>
            </w:r>
          </w:p>
        </w:tc>
      </w:tr>
      <w:tr w:rsidR="00AB0034" w:rsidRPr="00276915" w14:paraId="40B9F618" w14:textId="77777777" w:rsidTr="009D68BA">
        <w:trPr>
          <w:trHeight w:val="600"/>
        </w:trPr>
        <w:tc>
          <w:tcPr>
            <w:cnfStyle w:val="001000000000" w:firstRow="0" w:lastRow="0" w:firstColumn="1" w:lastColumn="0" w:oddVBand="0" w:evenVBand="0" w:oddHBand="0" w:evenHBand="0" w:firstRowFirstColumn="0" w:firstRowLastColumn="0" w:lastRowFirstColumn="0" w:lastRowLastColumn="0"/>
            <w:tcW w:w="2560" w:type="dxa"/>
            <w:vAlign w:val="bottom"/>
          </w:tcPr>
          <w:p w14:paraId="2265989C" w14:textId="77777777" w:rsidR="00AB0034" w:rsidRPr="00276915" w:rsidRDefault="00AB0034" w:rsidP="00AB0034">
            <w:pPr>
              <w:spacing w:after="0"/>
              <w:rPr>
                <w:rFonts w:eastAsia="Times New Roman" w:cs="Calibri"/>
              </w:rPr>
            </w:pPr>
            <w:r>
              <w:rPr>
                <w:rFonts w:cs="Calibri"/>
              </w:rPr>
              <w:t>Longitudinal study</w:t>
            </w:r>
          </w:p>
        </w:tc>
        <w:tc>
          <w:tcPr>
            <w:tcW w:w="7250" w:type="dxa"/>
            <w:vAlign w:val="bottom"/>
          </w:tcPr>
          <w:p w14:paraId="2E9C6420" w14:textId="102A61C8" w:rsidR="00AB0034" w:rsidRPr="00276915" w:rsidRDefault="00AB0034" w:rsidP="00E64E6E">
            <w:pPr>
              <w:spacing w:after="0"/>
              <w:cnfStyle w:val="000000000000" w:firstRow="0" w:lastRow="0" w:firstColumn="0" w:lastColumn="0" w:oddVBand="0" w:evenVBand="0" w:oddHBand="0" w:evenHBand="0" w:firstRowFirstColumn="0" w:firstRowLastColumn="0" w:lastRowFirstColumn="0" w:lastRowLastColumn="0"/>
              <w:rPr>
                <w:rFonts w:eastAsia="Times New Roman" w:cs="Calibri"/>
              </w:rPr>
            </w:pPr>
            <w:r>
              <w:rPr>
                <w:rFonts w:cs="Calibri"/>
              </w:rPr>
              <w:t xml:space="preserve">An observational study </w:t>
            </w:r>
            <w:r w:rsidR="00E64E6E">
              <w:rPr>
                <w:rFonts w:cs="Calibri"/>
              </w:rPr>
              <w:t xml:space="preserve">where measurements are made on the same individuals </w:t>
            </w:r>
            <w:r w:rsidR="000A2C8E">
              <w:rPr>
                <w:rFonts w:cs="Calibri"/>
              </w:rPr>
              <w:t>for</w:t>
            </w:r>
            <w:r>
              <w:rPr>
                <w:rFonts w:cs="Calibri"/>
              </w:rPr>
              <w:t xml:space="preserve"> at least two time points.</w:t>
            </w:r>
          </w:p>
        </w:tc>
      </w:tr>
      <w:tr w:rsidR="00AB0034" w:rsidRPr="00276915" w14:paraId="015EF9CE" w14:textId="77777777" w:rsidTr="000A2C8E">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560" w:type="dxa"/>
            <w:vAlign w:val="bottom"/>
          </w:tcPr>
          <w:p w14:paraId="3922C1B9" w14:textId="77777777" w:rsidR="00AB0034" w:rsidRPr="00276915" w:rsidRDefault="00AB0034" w:rsidP="00AB0034">
            <w:pPr>
              <w:spacing w:after="0"/>
              <w:rPr>
                <w:rFonts w:eastAsia="Times New Roman" w:cs="Calibri"/>
              </w:rPr>
            </w:pPr>
            <w:r>
              <w:rPr>
                <w:rFonts w:cs="Calibri"/>
              </w:rPr>
              <w:t>Macrophage</w:t>
            </w:r>
          </w:p>
        </w:tc>
        <w:tc>
          <w:tcPr>
            <w:tcW w:w="7250" w:type="dxa"/>
          </w:tcPr>
          <w:p w14:paraId="056EA93B" w14:textId="77777777" w:rsidR="00AB0034" w:rsidRPr="00276915" w:rsidRDefault="00E64E6E" w:rsidP="00AB0034">
            <w:pPr>
              <w:spacing w:after="0"/>
              <w:cnfStyle w:val="000000100000" w:firstRow="0" w:lastRow="0" w:firstColumn="0" w:lastColumn="0" w:oddVBand="0" w:evenVBand="0" w:oddHBand="1" w:evenHBand="0" w:firstRowFirstColumn="0" w:firstRowLastColumn="0" w:lastRowFirstColumn="0" w:lastRowLastColumn="0"/>
              <w:rPr>
                <w:rFonts w:eastAsia="Times New Roman" w:cs="Calibri"/>
              </w:rPr>
            </w:pPr>
            <w:r>
              <w:rPr>
                <w:rFonts w:cs="Calibri"/>
              </w:rPr>
              <w:t xml:space="preserve">A </w:t>
            </w:r>
            <w:r w:rsidR="00AB0034">
              <w:rPr>
                <w:rFonts w:cs="Calibri"/>
              </w:rPr>
              <w:t>cell responsible for detecting, engulfing and destroying foreign cells.</w:t>
            </w:r>
          </w:p>
        </w:tc>
      </w:tr>
      <w:tr w:rsidR="00AB0034" w:rsidRPr="00276915" w14:paraId="64DA596A" w14:textId="77777777" w:rsidTr="009D68BA">
        <w:trPr>
          <w:trHeight w:val="300"/>
        </w:trPr>
        <w:tc>
          <w:tcPr>
            <w:cnfStyle w:val="001000000000" w:firstRow="0" w:lastRow="0" w:firstColumn="1" w:lastColumn="0" w:oddVBand="0" w:evenVBand="0" w:oddHBand="0" w:evenHBand="0" w:firstRowFirstColumn="0" w:firstRowLastColumn="0" w:lastRowFirstColumn="0" w:lastRowLastColumn="0"/>
            <w:tcW w:w="2560" w:type="dxa"/>
            <w:vAlign w:val="bottom"/>
          </w:tcPr>
          <w:p w14:paraId="33A1FE3F" w14:textId="77777777" w:rsidR="00AB0034" w:rsidRPr="00276915" w:rsidRDefault="00AB0034" w:rsidP="00AB0034">
            <w:pPr>
              <w:spacing w:after="0"/>
              <w:rPr>
                <w:rFonts w:eastAsia="Times New Roman" w:cs="Calibri"/>
              </w:rPr>
            </w:pPr>
            <w:r>
              <w:rPr>
                <w:rFonts w:cs="Calibri"/>
              </w:rPr>
              <w:t>Meta analysis</w:t>
            </w:r>
          </w:p>
        </w:tc>
        <w:tc>
          <w:tcPr>
            <w:tcW w:w="7250" w:type="dxa"/>
            <w:vAlign w:val="bottom"/>
          </w:tcPr>
          <w:p w14:paraId="68A38962" w14:textId="77777777" w:rsidR="00AB0034" w:rsidRPr="00276915" w:rsidRDefault="00AB0034" w:rsidP="00E64E6E">
            <w:pPr>
              <w:spacing w:after="0"/>
              <w:cnfStyle w:val="000000000000" w:firstRow="0" w:lastRow="0" w:firstColumn="0" w:lastColumn="0" w:oddVBand="0" w:evenVBand="0" w:oddHBand="0" w:evenHBand="0" w:firstRowFirstColumn="0" w:firstRowLastColumn="0" w:lastRowFirstColumn="0" w:lastRowLastColumn="0"/>
              <w:rPr>
                <w:rFonts w:eastAsia="Times New Roman" w:cs="Calibri"/>
              </w:rPr>
            </w:pPr>
            <w:r>
              <w:rPr>
                <w:rFonts w:cs="Calibri"/>
              </w:rPr>
              <w:t xml:space="preserve">A statistical </w:t>
            </w:r>
            <w:r w:rsidR="00E64E6E">
              <w:rPr>
                <w:rFonts w:cs="Calibri"/>
              </w:rPr>
              <w:t xml:space="preserve">and scientific </w:t>
            </w:r>
            <w:r>
              <w:rPr>
                <w:rFonts w:cs="Calibri"/>
              </w:rPr>
              <w:t>proce</w:t>
            </w:r>
            <w:r w:rsidR="00E64E6E">
              <w:rPr>
                <w:rFonts w:cs="Calibri"/>
              </w:rPr>
              <w:t>ss</w:t>
            </w:r>
            <w:r>
              <w:rPr>
                <w:rFonts w:cs="Calibri"/>
              </w:rPr>
              <w:t xml:space="preserve"> where </w:t>
            </w:r>
            <w:r w:rsidR="00E64E6E">
              <w:rPr>
                <w:rFonts w:cs="Calibri"/>
              </w:rPr>
              <w:t xml:space="preserve">the results of </w:t>
            </w:r>
            <w:r>
              <w:rPr>
                <w:rFonts w:cs="Calibri"/>
              </w:rPr>
              <w:t xml:space="preserve">multiple studies are combined to determine an </w:t>
            </w:r>
            <w:r w:rsidR="00E64E6E">
              <w:rPr>
                <w:rFonts w:cs="Calibri"/>
              </w:rPr>
              <w:t>overall result</w:t>
            </w:r>
            <w:r>
              <w:rPr>
                <w:rFonts w:cs="Calibri"/>
              </w:rPr>
              <w:t>.</w:t>
            </w:r>
          </w:p>
        </w:tc>
      </w:tr>
      <w:tr w:rsidR="00AB0034" w:rsidRPr="00276915" w14:paraId="3AE4BC91" w14:textId="77777777" w:rsidTr="00C7334C">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560" w:type="dxa"/>
            <w:vAlign w:val="bottom"/>
          </w:tcPr>
          <w:p w14:paraId="27A533BE" w14:textId="77777777" w:rsidR="00AB0034" w:rsidRPr="00276915" w:rsidRDefault="00AB0034" w:rsidP="00AB0034">
            <w:pPr>
              <w:spacing w:after="0"/>
              <w:rPr>
                <w:rFonts w:eastAsia="Times New Roman" w:cs="Calibri"/>
              </w:rPr>
            </w:pPr>
            <w:r>
              <w:rPr>
                <w:rFonts w:cs="Calibri"/>
              </w:rPr>
              <w:t>Metabolites</w:t>
            </w:r>
          </w:p>
        </w:tc>
        <w:tc>
          <w:tcPr>
            <w:tcW w:w="7250" w:type="dxa"/>
            <w:vAlign w:val="bottom"/>
          </w:tcPr>
          <w:p w14:paraId="07BEB9A6" w14:textId="77777777" w:rsidR="00AB0034" w:rsidRPr="00276915" w:rsidRDefault="00AB0034" w:rsidP="00AB0034">
            <w:pPr>
              <w:spacing w:after="0"/>
              <w:cnfStyle w:val="000000100000" w:firstRow="0" w:lastRow="0" w:firstColumn="0" w:lastColumn="0" w:oddVBand="0" w:evenVBand="0" w:oddHBand="1" w:evenHBand="0" w:firstRowFirstColumn="0" w:firstRowLastColumn="0" w:lastRowFirstColumn="0" w:lastRowLastColumn="0"/>
              <w:rPr>
                <w:rFonts w:eastAsia="Times New Roman" w:cs="Calibri"/>
              </w:rPr>
            </w:pPr>
            <w:r>
              <w:rPr>
                <w:rFonts w:cs="Calibri"/>
              </w:rPr>
              <w:t>Substances which are required for metabolism or are formed by metabolism.</w:t>
            </w:r>
          </w:p>
        </w:tc>
      </w:tr>
      <w:tr w:rsidR="00AB0034" w:rsidRPr="00276915" w14:paraId="7CC2569A" w14:textId="77777777" w:rsidTr="00C7334C">
        <w:trPr>
          <w:trHeight w:val="60"/>
        </w:trPr>
        <w:tc>
          <w:tcPr>
            <w:cnfStyle w:val="001000000000" w:firstRow="0" w:lastRow="0" w:firstColumn="1" w:lastColumn="0" w:oddVBand="0" w:evenVBand="0" w:oddHBand="0" w:evenHBand="0" w:firstRowFirstColumn="0" w:firstRowLastColumn="0" w:lastRowFirstColumn="0" w:lastRowLastColumn="0"/>
            <w:tcW w:w="2560" w:type="dxa"/>
            <w:vAlign w:val="bottom"/>
          </w:tcPr>
          <w:p w14:paraId="7422E768" w14:textId="77777777" w:rsidR="00AB0034" w:rsidRPr="00276915" w:rsidRDefault="00AB0034" w:rsidP="00AB0034">
            <w:pPr>
              <w:spacing w:after="0"/>
              <w:rPr>
                <w:rFonts w:eastAsia="Times New Roman" w:cs="Calibri"/>
              </w:rPr>
            </w:pPr>
            <w:r>
              <w:rPr>
                <w:rFonts w:cs="Calibri"/>
              </w:rPr>
              <w:t xml:space="preserve">Mucociliary clearance </w:t>
            </w:r>
          </w:p>
        </w:tc>
        <w:tc>
          <w:tcPr>
            <w:tcW w:w="7250" w:type="dxa"/>
            <w:vAlign w:val="bottom"/>
          </w:tcPr>
          <w:p w14:paraId="7A146DB9" w14:textId="77777777" w:rsidR="00AB0034" w:rsidRPr="00276915" w:rsidRDefault="00AB0034" w:rsidP="00AB0034">
            <w:pPr>
              <w:spacing w:after="0"/>
              <w:cnfStyle w:val="000000000000" w:firstRow="0" w:lastRow="0" w:firstColumn="0" w:lastColumn="0" w:oddVBand="0" w:evenVBand="0" w:oddHBand="0" w:evenHBand="0" w:firstRowFirstColumn="0" w:firstRowLastColumn="0" w:lastRowFirstColumn="0" w:lastRowLastColumn="0"/>
              <w:rPr>
                <w:rFonts w:eastAsia="Times New Roman" w:cs="Calibri"/>
              </w:rPr>
            </w:pPr>
            <w:r>
              <w:rPr>
                <w:rFonts w:cs="Calibri"/>
              </w:rPr>
              <w:t>Self-clearing mechanism of the lungs.</w:t>
            </w:r>
          </w:p>
        </w:tc>
      </w:tr>
      <w:tr w:rsidR="00AB0034" w:rsidRPr="00276915" w14:paraId="15E0B4C5" w14:textId="77777777" w:rsidTr="000A2C8E">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560" w:type="dxa"/>
            <w:vAlign w:val="bottom"/>
          </w:tcPr>
          <w:p w14:paraId="468150A6" w14:textId="77777777" w:rsidR="00AB0034" w:rsidRPr="00276915" w:rsidRDefault="00AB0034" w:rsidP="00AB0034">
            <w:pPr>
              <w:spacing w:after="0"/>
              <w:rPr>
                <w:rFonts w:eastAsia="Times New Roman" w:cs="Calibri"/>
              </w:rPr>
            </w:pPr>
            <w:r>
              <w:rPr>
                <w:rFonts w:cs="Calibri"/>
              </w:rPr>
              <w:lastRenderedPageBreak/>
              <w:t xml:space="preserve">Nasopharyngeal pneumococcal colonisation </w:t>
            </w:r>
          </w:p>
        </w:tc>
        <w:tc>
          <w:tcPr>
            <w:tcW w:w="7250" w:type="dxa"/>
          </w:tcPr>
          <w:p w14:paraId="69FFD023" w14:textId="77777777" w:rsidR="00AB0034" w:rsidRPr="00276915" w:rsidRDefault="00AB0034" w:rsidP="00AB0034">
            <w:pPr>
              <w:spacing w:after="0"/>
              <w:cnfStyle w:val="000000100000" w:firstRow="0" w:lastRow="0" w:firstColumn="0" w:lastColumn="0" w:oddVBand="0" w:evenVBand="0" w:oddHBand="1" w:evenHBand="0" w:firstRowFirstColumn="0" w:firstRowLastColumn="0" w:lastRowFirstColumn="0" w:lastRowLastColumn="0"/>
              <w:rPr>
                <w:rFonts w:eastAsia="Times New Roman" w:cs="Calibri"/>
              </w:rPr>
            </w:pPr>
            <w:r>
              <w:rPr>
                <w:rFonts w:cs="Calibri"/>
              </w:rPr>
              <w:t>An infection in the nasopharynx (top of throat).</w:t>
            </w:r>
          </w:p>
        </w:tc>
      </w:tr>
      <w:tr w:rsidR="00AB0034" w:rsidRPr="00276915" w14:paraId="75E0876C" w14:textId="77777777" w:rsidTr="00C7334C">
        <w:trPr>
          <w:trHeight w:val="60"/>
        </w:trPr>
        <w:tc>
          <w:tcPr>
            <w:cnfStyle w:val="001000000000" w:firstRow="0" w:lastRow="0" w:firstColumn="1" w:lastColumn="0" w:oddVBand="0" w:evenVBand="0" w:oddHBand="0" w:evenHBand="0" w:firstRowFirstColumn="0" w:firstRowLastColumn="0" w:lastRowFirstColumn="0" w:lastRowLastColumn="0"/>
            <w:tcW w:w="2560" w:type="dxa"/>
            <w:vAlign w:val="bottom"/>
          </w:tcPr>
          <w:p w14:paraId="6883AC2D" w14:textId="77777777" w:rsidR="00AB0034" w:rsidRPr="00276915" w:rsidRDefault="00AB0034" w:rsidP="00AB0034">
            <w:pPr>
              <w:spacing w:after="0"/>
              <w:rPr>
                <w:rFonts w:eastAsia="Times New Roman" w:cs="Calibri"/>
              </w:rPr>
            </w:pPr>
            <w:r>
              <w:rPr>
                <w:rFonts w:cs="Calibri"/>
              </w:rPr>
              <w:t>Nasopharyngitis</w:t>
            </w:r>
          </w:p>
        </w:tc>
        <w:tc>
          <w:tcPr>
            <w:tcW w:w="7250" w:type="dxa"/>
            <w:vAlign w:val="bottom"/>
          </w:tcPr>
          <w:p w14:paraId="1E71268C" w14:textId="77777777" w:rsidR="00AB0034" w:rsidRPr="00276915" w:rsidRDefault="00AB0034" w:rsidP="00AB0034">
            <w:pPr>
              <w:spacing w:after="0"/>
              <w:cnfStyle w:val="000000000000" w:firstRow="0" w:lastRow="0" w:firstColumn="0" w:lastColumn="0" w:oddVBand="0" w:evenVBand="0" w:oddHBand="0" w:evenHBand="0" w:firstRowFirstColumn="0" w:firstRowLastColumn="0" w:lastRowFirstColumn="0" w:lastRowLastColumn="0"/>
              <w:rPr>
                <w:rFonts w:eastAsia="Times New Roman" w:cs="Calibri"/>
              </w:rPr>
            </w:pPr>
            <w:r>
              <w:rPr>
                <w:rFonts w:cs="Calibri"/>
              </w:rPr>
              <w:t>A common viral infection, also known as a 'cold'.</w:t>
            </w:r>
          </w:p>
        </w:tc>
      </w:tr>
      <w:tr w:rsidR="00AB0034" w:rsidRPr="00276915" w14:paraId="6FB8F707" w14:textId="77777777" w:rsidTr="00C7334C">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560" w:type="dxa"/>
            <w:vAlign w:val="bottom"/>
          </w:tcPr>
          <w:p w14:paraId="41B82DC6" w14:textId="77777777" w:rsidR="00AB0034" w:rsidRPr="00276915" w:rsidRDefault="00AB0034" w:rsidP="00AB0034">
            <w:pPr>
              <w:spacing w:after="0"/>
              <w:rPr>
                <w:rFonts w:eastAsia="Times New Roman" w:cs="Calibri"/>
              </w:rPr>
            </w:pPr>
            <w:r>
              <w:rPr>
                <w:rFonts w:cs="Calibri"/>
              </w:rPr>
              <w:t xml:space="preserve">Natural killer (NK) cells </w:t>
            </w:r>
          </w:p>
        </w:tc>
        <w:tc>
          <w:tcPr>
            <w:tcW w:w="7250" w:type="dxa"/>
            <w:vAlign w:val="bottom"/>
          </w:tcPr>
          <w:p w14:paraId="51C0E25D" w14:textId="77777777" w:rsidR="00AB0034" w:rsidRPr="00276915" w:rsidRDefault="00AB0034" w:rsidP="00AB0034">
            <w:pPr>
              <w:spacing w:after="0"/>
              <w:cnfStyle w:val="000000100000" w:firstRow="0" w:lastRow="0" w:firstColumn="0" w:lastColumn="0" w:oddVBand="0" w:evenVBand="0" w:oddHBand="1" w:evenHBand="0" w:firstRowFirstColumn="0" w:firstRowLastColumn="0" w:lastRowFirstColumn="0" w:lastRowLastColumn="0"/>
              <w:rPr>
                <w:rFonts w:eastAsia="Times New Roman" w:cs="Calibri"/>
              </w:rPr>
            </w:pPr>
            <w:r>
              <w:rPr>
                <w:rFonts w:cs="Calibri"/>
              </w:rPr>
              <w:t>Cells which help to fight disease.</w:t>
            </w:r>
          </w:p>
        </w:tc>
      </w:tr>
      <w:tr w:rsidR="00AB0034" w:rsidRPr="00276915" w14:paraId="69B6B21C" w14:textId="77777777" w:rsidTr="000A2C8E">
        <w:trPr>
          <w:trHeight w:val="300"/>
        </w:trPr>
        <w:tc>
          <w:tcPr>
            <w:cnfStyle w:val="001000000000" w:firstRow="0" w:lastRow="0" w:firstColumn="1" w:lastColumn="0" w:oddVBand="0" w:evenVBand="0" w:oddHBand="0" w:evenHBand="0" w:firstRowFirstColumn="0" w:firstRowLastColumn="0" w:lastRowFirstColumn="0" w:lastRowLastColumn="0"/>
            <w:tcW w:w="2560" w:type="dxa"/>
            <w:vAlign w:val="bottom"/>
          </w:tcPr>
          <w:p w14:paraId="25E9C14E" w14:textId="77777777" w:rsidR="00AB0034" w:rsidRPr="00276915" w:rsidRDefault="00AB0034" w:rsidP="00AB0034">
            <w:pPr>
              <w:spacing w:after="0"/>
              <w:rPr>
                <w:rFonts w:eastAsia="Times New Roman" w:cs="Calibri"/>
              </w:rPr>
            </w:pPr>
            <w:r>
              <w:rPr>
                <w:rFonts w:cs="Calibri"/>
              </w:rPr>
              <w:t>NET (neutrophil extracellular trap)</w:t>
            </w:r>
          </w:p>
        </w:tc>
        <w:tc>
          <w:tcPr>
            <w:tcW w:w="7250" w:type="dxa"/>
          </w:tcPr>
          <w:p w14:paraId="13A98742" w14:textId="77777777" w:rsidR="00AB0034" w:rsidRPr="00276915" w:rsidRDefault="00AB0034" w:rsidP="00AB0034">
            <w:pPr>
              <w:spacing w:after="0"/>
              <w:cnfStyle w:val="000000000000" w:firstRow="0" w:lastRow="0" w:firstColumn="0" w:lastColumn="0" w:oddVBand="0" w:evenVBand="0" w:oddHBand="0" w:evenHBand="0" w:firstRowFirstColumn="0" w:firstRowLastColumn="0" w:lastRowFirstColumn="0" w:lastRowLastColumn="0"/>
              <w:rPr>
                <w:rFonts w:eastAsia="Times New Roman" w:cs="Calibri"/>
              </w:rPr>
            </w:pPr>
            <w:r>
              <w:rPr>
                <w:rFonts w:cs="Calibri"/>
              </w:rPr>
              <w:t>The immune system's first line of defence against infection.</w:t>
            </w:r>
          </w:p>
        </w:tc>
      </w:tr>
      <w:tr w:rsidR="00AB0034" w:rsidRPr="00276915" w14:paraId="1C92823F" w14:textId="77777777" w:rsidTr="009D68B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0" w:type="dxa"/>
            <w:vAlign w:val="bottom"/>
          </w:tcPr>
          <w:p w14:paraId="20DBD2C9" w14:textId="77777777" w:rsidR="00AB0034" w:rsidRPr="00276915" w:rsidRDefault="00AB0034" w:rsidP="00AB0034">
            <w:pPr>
              <w:spacing w:after="0"/>
              <w:rPr>
                <w:rFonts w:eastAsia="Times New Roman" w:cs="Calibri"/>
              </w:rPr>
            </w:pPr>
            <w:r>
              <w:rPr>
                <w:rFonts w:cs="Calibri"/>
              </w:rPr>
              <w:t xml:space="preserve">Nicotine equivalents </w:t>
            </w:r>
          </w:p>
        </w:tc>
        <w:tc>
          <w:tcPr>
            <w:tcW w:w="7250" w:type="dxa"/>
            <w:vAlign w:val="bottom"/>
          </w:tcPr>
          <w:p w14:paraId="2C32311A" w14:textId="77777777" w:rsidR="00AB0034" w:rsidRPr="00276915" w:rsidRDefault="00AB0034" w:rsidP="00AB0034">
            <w:pPr>
              <w:spacing w:after="0"/>
              <w:cnfStyle w:val="000000100000" w:firstRow="0" w:lastRow="0" w:firstColumn="0" w:lastColumn="0" w:oddVBand="0" w:evenVBand="0" w:oddHBand="1" w:evenHBand="0" w:firstRowFirstColumn="0" w:firstRowLastColumn="0" w:lastRowFirstColumn="0" w:lastRowLastColumn="0"/>
              <w:rPr>
                <w:rFonts w:eastAsia="Times New Roman" w:cs="Calibri"/>
              </w:rPr>
            </w:pPr>
            <w:r>
              <w:rPr>
                <w:rFonts w:cs="Calibri"/>
              </w:rPr>
              <w:t>A measurement of the nicotine content within a person or substance.</w:t>
            </w:r>
          </w:p>
        </w:tc>
      </w:tr>
      <w:tr w:rsidR="00AB0034" w:rsidRPr="00276915" w14:paraId="34DC05DB" w14:textId="77777777" w:rsidTr="00C7334C">
        <w:trPr>
          <w:trHeight w:val="283"/>
        </w:trPr>
        <w:tc>
          <w:tcPr>
            <w:cnfStyle w:val="001000000000" w:firstRow="0" w:lastRow="0" w:firstColumn="1" w:lastColumn="0" w:oddVBand="0" w:evenVBand="0" w:oddHBand="0" w:evenHBand="0" w:firstRowFirstColumn="0" w:firstRowLastColumn="0" w:lastRowFirstColumn="0" w:lastRowLastColumn="0"/>
            <w:tcW w:w="2560" w:type="dxa"/>
            <w:vAlign w:val="bottom"/>
          </w:tcPr>
          <w:p w14:paraId="3B9B6F86" w14:textId="77777777" w:rsidR="00AB0034" w:rsidRPr="00276915" w:rsidRDefault="00AB0034" w:rsidP="00AB0034">
            <w:pPr>
              <w:spacing w:after="0"/>
              <w:rPr>
                <w:rFonts w:eastAsia="Times New Roman" w:cs="Calibri"/>
              </w:rPr>
            </w:pPr>
            <w:r>
              <w:rPr>
                <w:rFonts w:cs="Calibri"/>
              </w:rPr>
              <w:t>NNAL</w:t>
            </w:r>
          </w:p>
        </w:tc>
        <w:tc>
          <w:tcPr>
            <w:tcW w:w="7250" w:type="dxa"/>
            <w:vAlign w:val="bottom"/>
          </w:tcPr>
          <w:p w14:paraId="551229D7" w14:textId="77777777" w:rsidR="00AB0034" w:rsidRPr="00276915" w:rsidRDefault="00AB0034" w:rsidP="00AB0034">
            <w:pPr>
              <w:spacing w:after="0"/>
              <w:cnfStyle w:val="000000000000" w:firstRow="0" w:lastRow="0" w:firstColumn="0" w:lastColumn="0" w:oddVBand="0" w:evenVBand="0" w:oddHBand="0" w:evenHBand="0" w:firstRowFirstColumn="0" w:firstRowLastColumn="0" w:lastRowFirstColumn="0" w:lastRowLastColumn="0"/>
              <w:rPr>
                <w:rFonts w:eastAsia="Times New Roman" w:cs="Calibri"/>
              </w:rPr>
            </w:pPr>
            <w:r>
              <w:rPr>
                <w:rFonts w:cs="Calibri"/>
              </w:rPr>
              <w:t>A chemical produced in the body after exposure to NNK.</w:t>
            </w:r>
          </w:p>
        </w:tc>
      </w:tr>
      <w:tr w:rsidR="00AB0034" w:rsidRPr="00276915" w14:paraId="292E76AE" w14:textId="77777777" w:rsidTr="00C7334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60" w:type="dxa"/>
            <w:vAlign w:val="bottom"/>
          </w:tcPr>
          <w:p w14:paraId="77D979D9" w14:textId="77777777" w:rsidR="00AB0034" w:rsidRPr="00276915" w:rsidRDefault="00AB0034" w:rsidP="00AB0034">
            <w:pPr>
              <w:spacing w:after="0"/>
              <w:rPr>
                <w:rFonts w:eastAsia="Times New Roman" w:cs="Calibri"/>
              </w:rPr>
            </w:pPr>
            <w:r>
              <w:rPr>
                <w:rFonts w:cs="Calibri"/>
              </w:rPr>
              <w:t>NNK</w:t>
            </w:r>
          </w:p>
        </w:tc>
        <w:tc>
          <w:tcPr>
            <w:tcW w:w="7250" w:type="dxa"/>
            <w:vAlign w:val="bottom"/>
          </w:tcPr>
          <w:p w14:paraId="6D246B1F" w14:textId="77777777" w:rsidR="00AB0034" w:rsidRPr="00276915" w:rsidRDefault="00AB0034" w:rsidP="00AB0034">
            <w:pPr>
              <w:spacing w:after="0"/>
              <w:cnfStyle w:val="000000100000" w:firstRow="0" w:lastRow="0" w:firstColumn="0" w:lastColumn="0" w:oddVBand="0" w:evenVBand="0" w:oddHBand="1" w:evenHBand="0" w:firstRowFirstColumn="0" w:firstRowLastColumn="0" w:lastRowFirstColumn="0" w:lastRowLastColumn="0"/>
              <w:rPr>
                <w:rFonts w:eastAsia="Times New Roman" w:cs="Calibri"/>
              </w:rPr>
            </w:pPr>
            <w:r>
              <w:rPr>
                <w:rFonts w:cs="Calibri"/>
              </w:rPr>
              <w:t>A chemical found in and produced by tobacco products.</w:t>
            </w:r>
          </w:p>
        </w:tc>
      </w:tr>
      <w:tr w:rsidR="00AB0034" w:rsidRPr="00276915" w14:paraId="4D148EA8" w14:textId="77777777" w:rsidTr="00C7334C">
        <w:trPr>
          <w:trHeight w:val="284"/>
        </w:trPr>
        <w:tc>
          <w:tcPr>
            <w:cnfStyle w:val="001000000000" w:firstRow="0" w:lastRow="0" w:firstColumn="1" w:lastColumn="0" w:oddVBand="0" w:evenVBand="0" w:oddHBand="0" w:evenHBand="0" w:firstRowFirstColumn="0" w:firstRowLastColumn="0" w:lastRowFirstColumn="0" w:lastRowLastColumn="0"/>
            <w:tcW w:w="2560" w:type="dxa"/>
            <w:vAlign w:val="bottom"/>
          </w:tcPr>
          <w:p w14:paraId="768BB2C5" w14:textId="77777777" w:rsidR="00AB0034" w:rsidRPr="00276915" w:rsidRDefault="00AB0034" w:rsidP="00AB0034">
            <w:pPr>
              <w:spacing w:after="0"/>
              <w:rPr>
                <w:rFonts w:eastAsia="Times New Roman" w:cs="Calibri"/>
              </w:rPr>
            </w:pPr>
            <w:r>
              <w:rPr>
                <w:rFonts w:cs="Calibri"/>
              </w:rPr>
              <w:t xml:space="preserve">Oral lesions </w:t>
            </w:r>
          </w:p>
        </w:tc>
        <w:tc>
          <w:tcPr>
            <w:tcW w:w="7250" w:type="dxa"/>
            <w:vAlign w:val="bottom"/>
          </w:tcPr>
          <w:p w14:paraId="68562D4B" w14:textId="77777777" w:rsidR="00AB0034" w:rsidRPr="00276915" w:rsidRDefault="00AB0034" w:rsidP="00AB0034">
            <w:pPr>
              <w:spacing w:after="0"/>
              <w:cnfStyle w:val="000000000000" w:firstRow="0" w:lastRow="0" w:firstColumn="0" w:lastColumn="0" w:oddVBand="0" w:evenVBand="0" w:oddHBand="0" w:evenHBand="0" w:firstRowFirstColumn="0" w:firstRowLastColumn="0" w:lastRowFirstColumn="0" w:lastRowLastColumn="0"/>
              <w:rPr>
                <w:rFonts w:eastAsia="Times New Roman" w:cs="Calibri"/>
              </w:rPr>
            </w:pPr>
            <w:r>
              <w:rPr>
                <w:rFonts w:cs="Calibri"/>
              </w:rPr>
              <w:t>A sore in the mouth, usually located in the gums.</w:t>
            </w:r>
          </w:p>
        </w:tc>
      </w:tr>
      <w:tr w:rsidR="00AB0034" w:rsidRPr="00276915" w14:paraId="7AE66EC1" w14:textId="77777777" w:rsidTr="00C7334C">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560" w:type="dxa"/>
            <w:vAlign w:val="bottom"/>
          </w:tcPr>
          <w:p w14:paraId="28B198E7" w14:textId="77777777" w:rsidR="00AB0034" w:rsidRPr="00276915" w:rsidRDefault="00C7334C" w:rsidP="00AB0034">
            <w:pPr>
              <w:spacing w:after="0"/>
              <w:rPr>
                <w:rFonts w:eastAsia="Times New Roman" w:cs="Calibri"/>
              </w:rPr>
            </w:pPr>
            <w:r>
              <w:rPr>
                <w:rFonts w:cs="Calibri"/>
              </w:rPr>
              <w:t>O</w:t>
            </w:r>
            <w:r w:rsidR="00AB0034">
              <w:rPr>
                <w:rFonts w:cs="Calibri"/>
              </w:rPr>
              <w:t xml:space="preserve">xidative stress </w:t>
            </w:r>
          </w:p>
        </w:tc>
        <w:tc>
          <w:tcPr>
            <w:tcW w:w="7250" w:type="dxa"/>
            <w:vAlign w:val="bottom"/>
          </w:tcPr>
          <w:p w14:paraId="40438F8A" w14:textId="77777777" w:rsidR="00AB0034" w:rsidRPr="00276915" w:rsidRDefault="006F3EAA" w:rsidP="006F3EAA">
            <w:pPr>
              <w:spacing w:after="0"/>
              <w:cnfStyle w:val="000000100000" w:firstRow="0" w:lastRow="0" w:firstColumn="0" w:lastColumn="0" w:oddVBand="0" w:evenVBand="0" w:oddHBand="1" w:evenHBand="0" w:firstRowFirstColumn="0" w:firstRowLastColumn="0" w:lastRowFirstColumn="0" w:lastRowLastColumn="0"/>
              <w:rPr>
                <w:rFonts w:eastAsia="Times New Roman" w:cs="Calibri"/>
              </w:rPr>
            </w:pPr>
            <w:r>
              <w:rPr>
                <w:rFonts w:cs="Calibri"/>
              </w:rPr>
              <w:t>Propensity</w:t>
            </w:r>
            <w:r w:rsidR="00AB0034">
              <w:rPr>
                <w:rFonts w:cs="Calibri"/>
              </w:rPr>
              <w:t xml:space="preserve"> </w:t>
            </w:r>
            <w:r>
              <w:rPr>
                <w:rFonts w:cs="Calibri"/>
              </w:rPr>
              <w:t xml:space="preserve">for </w:t>
            </w:r>
            <w:r w:rsidR="00AB0034">
              <w:rPr>
                <w:rFonts w:cs="Calibri"/>
              </w:rPr>
              <w:t xml:space="preserve">reactive oxygen species </w:t>
            </w:r>
            <w:r>
              <w:rPr>
                <w:rFonts w:cs="Calibri"/>
              </w:rPr>
              <w:t>to cause molecular damage in a living system</w:t>
            </w:r>
            <w:r w:rsidR="00AB0034">
              <w:rPr>
                <w:rFonts w:cs="Calibri"/>
              </w:rPr>
              <w:t>.</w:t>
            </w:r>
          </w:p>
        </w:tc>
      </w:tr>
      <w:tr w:rsidR="00AB0034" w:rsidRPr="00276915" w14:paraId="3A66F95C" w14:textId="77777777" w:rsidTr="00C7334C">
        <w:trPr>
          <w:trHeight w:val="60"/>
        </w:trPr>
        <w:tc>
          <w:tcPr>
            <w:cnfStyle w:val="001000000000" w:firstRow="0" w:lastRow="0" w:firstColumn="1" w:lastColumn="0" w:oddVBand="0" w:evenVBand="0" w:oddHBand="0" w:evenHBand="0" w:firstRowFirstColumn="0" w:firstRowLastColumn="0" w:lastRowFirstColumn="0" w:lastRowLastColumn="0"/>
            <w:tcW w:w="2560" w:type="dxa"/>
            <w:vAlign w:val="bottom"/>
          </w:tcPr>
          <w:p w14:paraId="7533E935" w14:textId="77777777" w:rsidR="00AB0034" w:rsidRPr="00276915" w:rsidRDefault="00AB0034" w:rsidP="00AB0034">
            <w:pPr>
              <w:spacing w:after="0"/>
              <w:rPr>
                <w:rFonts w:eastAsia="Times New Roman" w:cs="Calibri"/>
              </w:rPr>
            </w:pPr>
            <w:r>
              <w:rPr>
                <w:rFonts w:cs="Calibri"/>
              </w:rPr>
              <w:t xml:space="preserve">Peak Expiratory Flow </w:t>
            </w:r>
          </w:p>
        </w:tc>
        <w:tc>
          <w:tcPr>
            <w:tcW w:w="7250" w:type="dxa"/>
            <w:vAlign w:val="bottom"/>
          </w:tcPr>
          <w:p w14:paraId="63868346" w14:textId="77777777" w:rsidR="00AB0034" w:rsidRPr="00276915" w:rsidRDefault="00AB0034" w:rsidP="00AB0034">
            <w:pPr>
              <w:spacing w:after="0"/>
              <w:cnfStyle w:val="000000000000" w:firstRow="0" w:lastRow="0" w:firstColumn="0" w:lastColumn="0" w:oddVBand="0" w:evenVBand="0" w:oddHBand="0" w:evenHBand="0" w:firstRowFirstColumn="0" w:firstRowLastColumn="0" w:lastRowFirstColumn="0" w:lastRowLastColumn="0"/>
              <w:rPr>
                <w:rFonts w:eastAsia="Times New Roman" w:cs="Calibri"/>
              </w:rPr>
            </w:pPr>
            <w:r>
              <w:rPr>
                <w:rFonts w:cs="Calibri"/>
              </w:rPr>
              <w:t>Maximum speed of a person's breath exhalation.</w:t>
            </w:r>
          </w:p>
        </w:tc>
      </w:tr>
      <w:tr w:rsidR="00E13BD6" w:rsidRPr="00276915" w14:paraId="6B5328F4" w14:textId="77777777" w:rsidTr="00C7334C">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560" w:type="dxa"/>
            <w:vAlign w:val="bottom"/>
          </w:tcPr>
          <w:p w14:paraId="1B790B9A" w14:textId="77777777" w:rsidR="00E13BD6" w:rsidRDefault="00E13BD6" w:rsidP="00E13BD6">
            <w:pPr>
              <w:spacing w:after="0"/>
              <w:rPr>
                <w:rFonts w:cs="Calibri"/>
              </w:rPr>
            </w:pPr>
            <w:r>
              <w:rPr>
                <w:rFonts w:cs="Calibri"/>
              </w:rPr>
              <w:t>Personal vaporiser</w:t>
            </w:r>
          </w:p>
        </w:tc>
        <w:tc>
          <w:tcPr>
            <w:tcW w:w="7250" w:type="dxa"/>
            <w:vAlign w:val="bottom"/>
          </w:tcPr>
          <w:p w14:paraId="0DBEC9DF" w14:textId="77777777" w:rsidR="00E13BD6" w:rsidRDefault="00E13BD6" w:rsidP="00E13BD6">
            <w:pPr>
              <w:spacing w:after="0"/>
              <w:cnfStyle w:val="000000100000" w:firstRow="0" w:lastRow="0" w:firstColumn="0" w:lastColumn="0" w:oddVBand="0" w:evenVBand="0" w:oddHBand="1" w:evenHBand="0" w:firstRowFirstColumn="0" w:firstRowLastColumn="0" w:lastRowFirstColumn="0" w:lastRowLastColumn="0"/>
              <w:rPr>
                <w:rFonts w:cs="Calibri"/>
              </w:rPr>
            </w:pPr>
            <w:r>
              <w:rPr>
                <w:rFonts w:cs="Calibri"/>
              </w:rPr>
              <w:t>The entire e-cigarette device; usually refers to second and third-generation products.</w:t>
            </w:r>
          </w:p>
        </w:tc>
      </w:tr>
      <w:tr w:rsidR="00AB0034" w:rsidRPr="00276915" w14:paraId="6F5353C9" w14:textId="77777777" w:rsidTr="00C7334C">
        <w:trPr>
          <w:trHeight w:val="121"/>
        </w:trPr>
        <w:tc>
          <w:tcPr>
            <w:cnfStyle w:val="001000000000" w:firstRow="0" w:lastRow="0" w:firstColumn="1" w:lastColumn="0" w:oddVBand="0" w:evenVBand="0" w:oddHBand="0" w:evenHBand="0" w:firstRowFirstColumn="0" w:firstRowLastColumn="0" w:lastRowFirstColumn="0" w:lastRowLastColumn="0"/>
            <w:tcW w:w="2560" w:type="dxa"/>
            <w:vAlign w:val="bottom"/>
          </w:tcPr>
          <w:p w14:paraId="70571AA3" w14:textId="77777777" w:rsidR="00AB0034" w:rsidRPr="00276915" w:rsidRDefault="00AB0034" w:rsidP="00AB0034">
            <w:pPr>
              <w:spacing w:after="0"/>
              <w:rPr>
                <w:rFonts w:eastAsia="Times New Roman" w:cs="Calibri"/>
              </w:rPr>
            </w:pPr>
            <w:r>
              <w:rPr>
                <w:rFonts w:cs="Calibri"/>
              </w:rPr>
              <w:t>Phagocytosis</w:t>
            </w:r>
          </w:p>
        </w:tc>
        <w:tc>
          <w:tcPr>
            <w:tcW w:w="7250" w:type="dxa"/>
            <w:vAlign w:val="bottom"/>
          </w:tcPr>
          <w:p w14:paraId="58A5E51C" w14:textId="77777777" w:rsidR="00AB0034" w:rsidRPr="00276915" w:rsidRDefault="00AB0034" w:rsidP="00AB0034">
            <w:pPr>
              <w:spacing w:after="0"/>
              <w:cnfStyle w:val="000000000000" w:firstRow="0" w:lastRow="0" w:firstColumn="0" w:lastColumn="0" w:oddVBand="0" w:evenVBand="0" w:oddHBand="0" w:evenHBand="0" w:firstRowFirstColumn="0" w:firstRowLastColumn="0" w:lastRowFirstColumn="0" w:lastRowLastColumn="0"/>
              <w:rPr>
                <w:rFonts w:eastAsia="Times New Roman" w:cs="Calibri"/>
              </w:rPr>
            </w:pPr>
            <w:r>
              <w:rPr>
                <w:rFonts w:cs="Calibri"/>
              </w:rPr>
              <w:t>The process by which cells ingest bacteria or other material.</w:t>
            </w:r>
          </w:p>
        </w:tc>
      </w:tr>
      <w:tr w:rsidR="00AB0034" w:rsidRPr="00276915" w14:paraId="6295C20A" w14:textId="77777777" w:rsidTr="009D68B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0" w:type="dxa"/>
            <w:vAlign w:val="bottom"/>
          </w:tcPr>
          <w:p w14:paraId="6AC24672" w14:textId="77777777" w:rsidR="00AB0034" w:rsidRPr="00276915" w:rsidRDefault="00AB0034" w:rsidP="00AB0034">
            <w:pPr>
              <w:spacing w:after="0"/>
              <w:rPr>
                <w:rFonts w:eastAsia="Times New Roman" w:cs="Calibri"/>
              </w:rPr>
            </w:pPr>
            <w:r>
              <w:rPr>
                <w:rFonts w:cs="Calibri"/>
              </w:rPr>
              <w:t>Plaque index</w:t>
            </w:r>
          </w:p>
        </w:tc>
        <w:tc>
          <w:tcPr>
            <w:tcW w:w="7250" w:type="dxa"/>
            <w:vAlign w:val="bottom"/>
          </w:tcPr>
          <w:p w14:paraId="3A156A24" w14:textId="77777777" w:rsidR="00AB0034" w:rsidRPr="00276915" w:rsidRDefault="00AB0034" w:rsidP="00AB0034">
            <w:pPr>
              <w:spacing w:after="0"/>
              <w:cnfStyle w:val="000000100000" w:firstRow="0" w:lastRow="0" w:firstColumn="0" w:lastColumn="0" w:oddVBand="0" w:evenVBand="0" w:oddHBand="1" w:evenHBand="0" w:firstRowFirstColumn="0" w:firstRowLastColumn="0" w:lastRowFirstColumn="0" w:lastRowLastColumn="0"/>
              <w:rPr>
                <w:rFonts w:eastAsia="Times New Roman" w:cs="Calibri"/>
              </w:rPr>
            </w:pPr>
            <w:r>
              <w:rPr>
                <w:rFonts w:cs="Calibri"/>
              </w:rPr>
              <w:t>A measurement of plaque accumulation.</w:t>
            </w:r>
          </w:p>
        </w:tc>
      </w:tr>
      <w:tr w:rsidR="00AB0034" w:rsidRPr="00276915" w14:paraId="78FB4B3A" w14:textId="77777777" w:rsidTr="00C7334C">
        <w:trPr>
          <w:trHeight w:val="60"/>
        </w:trPr>
        <w:tc>
          <w:tcPr>
            <w:cnfStyle w:val="001000000000" w:firstRow="0" w:lastRow="0" w:firstColumn="1" w:lastColumn="0" w:oddVBand="0" w:evenVBand="0" w:oddHBand="0" w:evenHBand="0" w:firstRowFirstColumn="0" w:firstRowLastColumn="0" w:lastRowFirstColumn="0" w:lastRowLastColumn="0"/>
            <w:tcW w:w="2560" w:type="dxa"/>
            <w:vAlign w:val="bottom"/>
          </w:tcPr>
          <w:p w14:paraId="2641E71B" w14:textId="77777777" w:rsidR="00AB0034" w:rsidRPr="00276915" w:rsidRDefault="00AB0034" w:rsidP="00AB0034">
            <w:pPr>
              <w:spacing w:after="0"/>
              <w:rPr>
                <w:rFonts w:eastAsia="Times New Roman" w:cs="Calibri"/>
              </w:rPr>
            </w:pPr>
            <w:r>
              <w:rPr>
                <w:rFonts w:cs="Calibri"/>
              </w:rPr>
              <w:t>Plasma</w:t>
            </w:r>
          </w:p>
        </w:tc>
        <w:tc>
          <w:tcPr>
            <w:tcW w:w="7250" w:type="dxa"/>
            <w:vAlign w:val="bottom"/>
          </w:tcPr>
          <w:p w14:paraId="494BB8BF" w14:textId="77777777" w:rsidR="00AB0034" w:rsidRPr="00276915" w:rsidRDefault="00AB0034" w:rsidP="00AB0034">
            <w:pPr>
              <w:spacing w:after="0"/>
              <w:cnfStyle w:val="000000000000" w:firstRow="0" w:lastRow="0" w:firstColumn="0" w:lastColumn="0" w:oddVBand="0" w:evenVBand="0" w:oddHBand="0" w:evenHBand="0" w:firstRowFirstColumn="0" w:firstRowLastColumn="0" w:lastRowFirstColumn="0" w:lastRowLastColumn="0"/>
              <w:rPr>
                <w:rFonts w:eastAsia="Times New Roman" w:cs="Calibri"/>
              </w:rPr>
            </w:pPr>
            <w:r>
              <w:rPr>
                <w:rFonts w:cs="Calibri"/>
              </w:rPr>
              <w:t>A</w:t>
            </w:r>
            <w:r w:rsidR="006F3EAA">
              <w:rPr>
                <w:rFonts w:cs="Calibri"/>
              </w:rPr>
              <w:t>n extracellular</w:t>
            </w:r>
            <w:r>
              <w:rPr>
                <w:rFonts w:cs="Calibri"/>
              </w:rPr>
              <w:t xml:space="preserve"> component of human blood containing water, salts and proteins.</w:t>
            </w:r>
          </w:p>
        </w:tc>
      </w:tr>
      <w:tr w:rsidR="00AB0034" w:rsidRPr="00276915" w14:paraId="2D85D141" w14:textId="77777777" w:rsidTr="000A2C8E">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2560" w:type="dxa"/>
            <w:vAlign w:val="bottom"/>
          </w:tcPr>
          <w:p w14:paraId="5B81FA16" w14:textId="77777777" w:rsidR="00AB0034" w:rsidRPr="00276915" w:rsidRDefault="00AB0034" w:rsidP="00AB0034">
            <w:pPr>
              <w:spacing w:after="0"/>
              <w:rPr>
                <w:rFonts w:eastAsia="Times New Roman" w:cs="Calibri"/>
              </w:rPr>
            </w:pPr>
            <w:r>
              <w:rPr>
                <w:rFonts w:cs="Calibri"/>
              </w:rPr>
              <w:t>Pro-inflammatory cytokines</w:t>
            </w:r>
          </w:p>
        </w:tc>
        <w:tc>
          <w:tcPr>
            <w:tcW w:w="7250" w:type="dxa"/>
          </w:tcPr>
          <w:p w14:paraId="24640E50" w14:textId="77777777" w:rsidR="00AB0034" w:rsidRPr="00276915" w:rsidRDefault="00AB0034" w:rsidP="006F3EAA">
            <w:pPr>
              <w:spacing w:after="0"/>
              <w:cnfStyle w:val="000000100000" w:firstRow="0" w:lastRow="0" w:firstColumn="0" w:lastColumn="0" w:oddVBand="0" w:evenVBand="0" w:oddHBand="1" w:evenHBand="0" w:firstRowFirstColumn="0" w:firstRowLastColumn="0" w:lastRowFirstColumn="0" w:lastRowLastColumn="0"/>
              <w:rPr>
                <w:rFonts w:eastAsia="Times New Roman" w:cs="Calibri"/>
              </w:rPr>
            </w:pPr>
            <w:r>
              <w:rPr>
                <w:rFonts w:cs="Calibri"/>
              </w:rPr>
              <w:t xml:space="preserve">Molecules which </w:t>
            </w:r>
            <w:r w:rsidR="006F3EAA">
              <w:rPr>
                <w:rFonts w:cs="Calibri"/>
              </w:rPr>
              <w:t>trigger</w:t>
            </w:r>
            <w:r>
              <w:rPr>
                <w:rFonts w:cs="Calibri"/>
              </w:rPr>
              <w:t xml:space="preserve"> inflammation.</w:t>
            </w:r>
          </w:p>
        </w:tc>
      </w:tr>
      <w:tr w:rsidR="00E95DD2" w:rsidRPr="00276915" w14:paraId="3044B94B" w14:textId="77777777" w:rsidTr="00C7334C">
        <w:trPr>
          <w:trHeight w:val="60"/>
        </w:trPr>
        <w:tc>
          <w:tcPr>
            <w:cnfStyle w:val="001000000000" w:firstRow="0" w:lastRow="0" w:firstColumn="1" w:lastColumn="0" w:oddVBand="0" w:evenVBand="0" w:oddHBand="0" w:evenHBand="0" w:firstRowFirstColumn="0" w:firstRowLastColumn="0" w:lastRowFirstColumn="0" w:lastRowLastColumn="0"/>
            <w:tcW w:w="2560" w:type="dxa"/>
            <w:vAlign w:val="bottom"/>
          </w:tcPr>
          <w:p w14:paraId="01B97B51" w14:textId="77777777" w:rsidR="00E95DD2" w:rsidRDefault="00E95DD2" w:rsidP="00AB0034">
            <w:pPr>
              <w:spacing w:after="0"/>
              <w:rPr>
                <w:rFonts w:cs="Calibri"/>
              </w:rPr>
            </w:pPr>
            <w:r>
              <w:rPr>
                <w:rFonts w:cs="Calibri"/>
              </w:rPr>
              <w:t>Puff topography</w:t>
            </w:r>
          </w:p>
        </w:tc>
        <w:tc>
          <w:tcPr>
            <w:tcW w:w="7250" w:type="dxa"/>
            <w:vAlign w:val="bottom"/>
          </w:tcPr>
          <w:p w14:paraId="43BC7797" w14:textId="77777777" w:rsidR="00E95DD2" w:rsidRDefault="00E95DD2" w:rsidP="00E95DD2">
            <w:pPr>
              <w:spacing w:after="0"/>
              <w:cnfStyle w:val="000000000000" w:firstRow="0" w:lastRow="0" w:firstColumn="0" w:lastColumn="0" w:oddVBand="0" w:evenVBand="0" w:oddHBand="0" w:evenHBand="0" w:firstRowFirstColumn="0" w:firstRowLastColumn="0" w:lastRowFirstColumn="0" w:lastRowLastColumn="0"/>
              <w:rPr>
                <w:rFonts w:cs="Calibri"/>
              </w:rPr>
            </w:pPr>
            <w:r>
              <w:rPr>
                <w:rFonts w:cs="Calibri"/>
              </w:rPr>
              <w:t xml:space="preserve">Term used to describe how an e-cigarette is used. Includes duration of puffs, volume of vapour inhaled per puff and period of time between puffs. </w:t>
            </w:r>
          </w:p>
        </w:tc>
      </w:tr>
      <w:tr w:rsidR="00AB0034" w:rsidRPr="00276915" w14:paraId="6BEDDE3E" w14:textId="77777777" w:rsidTr="00C7334C">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560" w:type="dxa"/>
            <w:vAlign w:val="bottom"/>
          </w:tcPr>
          <w:p w14:paraId="57855021" w14:textId="77777777" w:rsidR="00AB0034" w:rsidRPr="00276915" w:rsidRDefault="00AB0034" w:rsidP="00AB0034">
            <w:pPr>
              <w:spacing w:after="0"/>
              <w:rPr>
                <w:rFonts w:eastAsia="Times New Roman" w:cs="Calibri"/>
              </w:rPr>
            </w:pPr>
            <w:r>
              <w:rPr>
                <w:rFonts w:cs="Calibri"/>
              </w:rPr>
              <w:t xml:space="preserve">Pulmonary function </w:t>
            </w:r>
          </w:p>
        </w:tc>
        <w:tc>
          <w:tcPr>
            <w:tcW w:w="7250" w:type="dxa"/>
            <w:vAlign w:val="bottom"/>
          </w:tcPr>
          <w:p w14:paraId="305FF2AF" w14:textId="77777777" w:rsidR="00AB0034" w:rsidRPr="00276915" w:rsidRDefault="00AB0034" w:rsidP="00AB0034">
            <w:pPr>
              <w:spacing w:after="0"/>
              <w:cnfStyle w:val="000000100000" w:firstRow="0" w:lastRow="0" w:firstColumn="0" w:lastColumn="0" w:oddVBand="0" w:evenVBand="0" w:oddHBand="1" w:evenHBand="0" w:firstRowFirstColumn="0" w:firstRowLastColumn="0" w:lastRowFirstColumn="0" w:lastRowLastColumn="0"/>
              <w:rPr>
                <w:rFonts w:eastAsia="Times New Roman" w:cs="Calibri"/>
              </w:rPr>
            </w:pPr>
            <w:r>
              <w:rPr>
                <w:rFonts w:cs="Calibri"/>
              </w:rPr>
              <w:t>Respiratory tract function.</w:t>
            </w:r>
          </w:p>
        </w:tc>
      </w:tr>
      <w:tr w:rsidR="00AB0034" w:rsidRPr="00276915" w14:paraId="5A2F6A0F" w14:textId="77777777" w:rsidTr="00C7334C">
        <w:trPr>
          <w:trHeight w:val="60"/>
        </w:trPr>
        <w:tc>
          <w:tcPr>
            <w:cnfStyle w:val="001000000000" w:firstRow="0" w:lastRow="0" w:firstColumn="1" w:lastColumn="0" w:oddVBand="0" w:evenVBand="0" w:oddHBand="0" w:evenHBand="0" w:firstRowFirstColumn="0" w:firstRowLastColumn="0" w:lastRowFirstColumn="0" w:lastRowLastColumn="0"/>
            <w:tcW w:w="2560" w:type="dxa"/>
            <w:vAlign w:val="bottom"/>
          </w:tcPr>
          <w:p w14:paraId="1F73D2FB" w14:textId="77777777" w:rsidR="00AB0034" w:rsidRPr="00276915" w:rsidRDefault="00AB0034" w:rsidP="00AB0034">
            <w:pPr>
              <w:spacing w:after="0"/>
              <w:rPr>
                <w:rFonts w:eastAsia="Times New Roman" w:cs="Calibri"/>
              </w:rPr>
            </w:pPr>
            <w:r>
              <w:rPr>
                <w:rFonts w:cs="Calibri"/>
              </w:rPr>
              <w:t>Quit ratio</w:t>
            </w:r>
          </w:p>
        </w:tc>
        <w:tc>
          <w:tcPr>
            <w:tcW w:w="7250" w:type="dxa"/>
            <w:vAlign w:val="bottom"/>
          </w:tcPr>
          <w:p w14:paraId="3971B4BC" w14:textId="77777777" w:rsidR="00AB0034" w:rsidRPr="00276915" w:rsidRDefault="00C7334C" w:rsidP="00AB0034">
            <w:pPr>
              <w:spacing w:after="0"/>
              <w:cnfStyle w:val="000000000000" w:firstRow="0" w:lastRow="0" w:firstColumn="0" w:lastColumn="0" w:oddVBand="0" w:evenVBand="0" w:oddHBand="0" w:evenHBand="0" w:firstRowFirstColumn="0" w:firstRowLastColumn="0" w:lastRowFirstColumn="0" w:lastRowLastColumn="0"/>
              <w:rPr>
                <w:rFonts w:eastAsia="Times New Roman" w:cs="Calibri"/>
              </w:rPr>
            </w:pPr>
            <w:r>
              <w:rPr>
                <w:rFonts w:cs="Calibri"/>
              </w:rPr>
              <w:t>T</w:t>
            </w:r>
            <w:r w:rsidR="00AB0034">
              <w:rPr>
                <w:rFonts w:cs="Calibri"/>
              </w:rPr>
              <w:t>he percentage of former smokers amongst ever smokers.</w:t>
            </w:r>
          </w:p>
        </w:tc>
      </w:tr>
      <w:tr w:rsidR="00AB0034" w:rsidRPr="00276915" w14:paraId="3F925615" w14:textId="77777777" w:rsidTr="009D68BA">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560" w:type="dxa"/>
            <w:vAlign w:val="bottom"/>
          </w:tcPr>
          <w:p w14:paraId="6804B284" w14:textId="77777777" w:rsidR="00AB0034" w:rsidRPr="00276915" w:rsidRDefault="00AB0034" w:rsidP="00AB0034">
            <w:pPr>
              <w:spacing w:after="0"/>
              <w:rPr>
                <w:rFonts w:eastAsia="Times New Roman" w:cs="Calibri"/>
              </w:rPr>
            </w:pPr>
            <w:r>
              <w:rPr>
                <w:rFonts w:cs="Calibri"/>
              </w:rPr>
              <w:t>Randomised controlled trial (RCT)</w:t>
            </w:r>
          </w:p>
        </w:tc>
        <w:tc>
          <w:tcPr>
            <w:tcW w:w="7250" w:type="dxa"/>
            <w:vAlign w:val="bottom"/>
          </w:tcPr>
          <w:p w14:paraId="17414F77" w14:textId="77777777" w:rsidR="00AB0034" w:rsidRPr="00276915" w:rsidRDefault="00AB0034" w:rsidP="006F3EAA">
            <w:pPr>
              <w:spacing w:after="0"/>
              <w:cnfStyle w:val="000000100000" w:firstRow="0" w:lastRow="0" w:firstColumn="0" w:lastColumn="0" w:oddVBand="0" w:evenVBand="0" w:oddHBand="1" w:evenHBand="0" w:firstRowFirstColumn="0" w:firstRowLastColumn="0" w:lastRowFirstColumn="0" w:lastRowLastColumn="0"/>
              <w:rPr>
                <w:rFonts w:eastAsia="Times New Roman" w:cs="Calibri"/>
              </w:rPr>
            </w:pPr>
            <w:r>
              <w:rPr>
                <w:rFonts w:cs="Calibri"/>
              </w:rPr>
              <w:t>A</w:t>
            </w:r>
            <w:r w:rsidR="006F3EAA">
              <w:rPr>
                <w:rFonts w:cs="Calibri"/>
              </w:rPr>
              <w:t>n experimental</w:t>
            </w:r>
            <w:r>
              <w:rPr>
                <w:rFonts w:cs="Calibri"/>
              </w:rPr>
              <w:t xml:space="preserve"> study in which </w:t>
            </w:r>
            <w:r w:rsidR="006F3EAA">
              <w:rPr>
                <w:rFonts w:cs="Calibri"/>
              </w:rPr>
              <w:t>subjects</w:t>
            </w:r>
            <w:r>
              <w:rPr>
                <w:rFonts w:cs="Calibri"/>
              </w:rPr>
              <w:t xml:space="preserve"> are random</w:t>
            </w:r>
            <w:r w:rsidR="006F3EAA">
              <w:rPr>
                <w:rFonts w:cs="Calibri"/>
              </w:rPr>
              <w:t>ly assigned</w:t>
            </w:r>
            <w:r>
              <w:rPr>
                <w:rFonts w:cs="Calibri"/>
              </w:rPr>
              <w:t xml:space="preserve"> to receive different interventions.</w:t>
            </w:r>
          </w:p>
        </w:tc>
      </w:tr>
      <w:tr w:rsidR="00AB0034" w:rsidRPr="00276915" w14:paraId="0DCB1596" w14:textId="77777777" w:rsidTr="009D68BA">
        <w:trPr>
          <w:trHeight w:val="600"/>
        </w:trPr>
        <w:tc>
          <w:tcPr>
            <w:cnfStyle w:val="001000000000" w:firstRow="0" w:lastRow="0" w:firstColumn="1" w:lastColumn="0" w:oddVBand="0" w:evenVBand="0" w:oddHBand="0" w:evenHBand="0" w:firstRowFirstColumn="0" w:firstRowLastColumn="0" w:lastRowFirstColumn="0" w:lastRowLastColumn="0"/>
            <w:tcW w:w="2560" w:type="dxa"/>
            <w:vAlign w:val="bottom"/>
          </w:tcPr>
          <w:p w14:paraId="6BFD32E7" w14:textId="77777777" w:rsidR="00AB0034" w:rsidRPr="00276915" w:rsidRDefault="00AB0034" w:rsidP="00AB0034">
            <w:pPr>
              <w:spacing w:after="0"/>
              <w:rPr>
                <w:rFonts w:eastAsia="Times New Roman" w:cs="Calibri"/>
              </w:rPr>
            </w:pPr>
            <w:r>
              <w:rPr>
                <w:rFonts w:cs="Calibri"/>
              </w:rPr>
              <w:t>Reactive hyperaemia index (RHI)</w:t>
            </w:r>
          </w:p>
        </w:tc>
        <w:tc>
          <w:tcPr>
            <w:tcW w:w="7250" w:type="dxa"/>
            <w:vAlign w:val="bottom"/>
          </w:tcPr>
          <w:p w14:paraId="6B96A880" w14:textId="77777777" w:rsidR="00AB0034" w:rsidRPr="00276915" w:rsidRDefault="00AB0034" w:rsidP="00AB0034">
            <w:pPr>
              <w:spacing w:after="0"/>
              <w:cnfStyle w:val="000000000000" w:firstRow="0" w:lastRow="0" w:firstColumn="0" w:lastColumn="0" w:oddVBand="0" w:evenVBand="0" w:oddHBand="0" w:evenHBand="0" w:firstRowFirstColumn="0" w:firstRowLastColumn="0" w:lastRowFirstColumn="0" w:lastRowLastColumn="0"/>
              <w:rPr>
                <w:rFonts w:eastAsia="Times New Roman" w:cs="Calibri"/>
              </w:rPr>
            </w:pPr>
            <w:r>
              <w:rPr>
                <w:rFonts w:cs="Calibri"/>
              </w:rPr>
              <w:t>A measurement of the brief increase in blood to the organs which occurs after inadequate blood supply.</w:t>
            </w:r>
          </w:p>
        </w:tc>
      </w:tr>
      <w:tr w:rsidR="00AB0034" w:rsidRPr="00276915" w14:paraId="20C1DD63" w14:textId="77777777" w:rsidTr="00C7334C">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2560" w:type="dxa"/>
            <w:vAlign w:val="bottom"/>
          </w:tcPr>
          <w:p w14:paraId="4307E24D" w14:textId="77777777" w:rsidR="00AB0034" w:rsidRPr="00276915" w:rsidRDefault="00AB0034" w:rsidP="00AB0034">
            <w:pPr>
              <w:spacing w:after="0"/>
              <w:rPr>
                <w:rFonts w:eastAsia="Times New Roman" w:cs="Calibri"/>
              </w:rPr>
            </w:pPr>
            <w:r>
              <w:rPr>
                <w:rFonts w:cs="Calibri"/>
              </w:rPr>
              <w:t>Representative data</w:t>
            </w:r>
          </w:p>
        </w:tc>
        <w:tc>
          <w:tcPr>
            <w:tcW w:w="7250" w:type="dxa"/>
            <w:vAlign w:val="bottom"/>
          </w:tcPr>
          <w:p w14:paraId="20817067" w14:textId="77777777" w:rsidR="00AB0034" w:rsidRPr="00276915" w:rsidRDefault="00AB0034" w:rsidP="006F3EAA">
            <w:pPr>
              <w:spacing w:after="0"/>
              <w:cnfStyle w:val="000000100000" w:firstRow="0" w:lastRow="0" w:firstColumn="0" w:lastColumn="0" w:oddVBand="0" w:evenVBand="0" w:oddHBand="1" w:evenHBand="0" w:firstRowFirstColumn="0" w:firstRowLastColumn="0" w:lastRowFirstColumn="0" w:lastRowLastColumn="0"/>
              <w:rPr>
                <w:rFonts w:eastAsia="Times New Roman" w:cs="Calibri"/>
              </w:rPr>
            </w:pPr>
            <w:r>
              <w:rPr>
                <w:rFonts w:cs="Calibri"/>
              </w:rPr>
              <w:t xml:space="preserve">Data from a sample which accurately represents a larger </w:t>
            </w:r>
            <w:r w:rsidR="006F3EAA">
              <w:rPr>
                <w:rFonts w:cs="Calibri"/>
              </w:rPr>
              <w:t>set of data</w:t>
            </w:r>
            <w:r>
              <w:rPr>
                <w:rFonts w:cs="Calibri"/>
              </w:rPr>
              <w:t>.</w:t>
            </w:r>
          </w:p>
        </w:tc>
      </w:tr>
      <w:tr w:rsidR="00AB0034" w:rsidRPr="00276915" w14:paraId="43341E76" w14:textId="77777777" w:rsidTr="00C7334C">
        <w:trPr>
          <w:trHeight w:val="116"/>
        </w:trPr>
        <w:tc>
          <w:tcPr>
            <w:cnfStyle w:val="001000000000" w:firstRow="0" w:lastRow="0" w:firstColumn="1" w:lastColumn="0" w:oddVBand="0" w:evenVBand="0" w:oddHBand="0" w:evenHBand="0" w:firstRowFirstColumn="0" w:firstRowLastColumn="0" w:lastRowFirstColumn="0" w:lastRowLastColumn="0"/>
            <w:tcW w:w="2560" w:type="dxa"/>
            <w:vAlign w:val="bottom"/>
          </w:tcPr>
          <w:p w14:paraId="4856DAC2" w14:textId="77777777" w:rsidR="00AB0034" w:rsidRPr="00276915" w:rsidRDefault="00AB0034" w:rsidP="00AB0034">
            <w:pPr>
              <w:spacing w:after="0"/>
              <w:rPr>
                <w:rFonts w:eastAsia="Times New Roman" w:cs="Calibri"/>
              </w:rPr>
            </w:pPr>
            <w:r>
              <w:rPr>
                <w:rFonts w:cs="Calibri"/>
              </w:rPr>
              <w:t>Respiratory system</w:t>
            </w:r>
          </w:p>
        </w:tc>
        <w:tc>
          <w:tcPr>
            <w:tcW w:w="7250" w:type="dxa"/>
            <w:vAlign w:val="bottom"/>
          </w:tcPr>
          <w:p w14:paraId="47131C5E" w14:textId="77777777" w:rsidR="00AB0034" w:rsidRPr="00276915" w:rsidRDefault="00AB0034" w:rsidP="00AB0034">
            <w:pPr>
              <w:spacing w:after="0"/>
              <w:cnfStyle w:val="000000000000" w:firstRow="0" w:lastRow="0" w:firstColumn="0" w:lastColumn="0" w:oddVBand="0" w:evenVBand="0" w:oddHBand="0" w:evenHBand="0" w:firstRowFirstColumn="0" w:firstRowLastColumn="0" w:lastRowFirstColumn="0" w:lastRowLastColumn="0"/>
              <w:rPr>
                <w:rFonts w:eastAsia="Times New Roman" w:cs="Calibri"/>
              </w:rPr>
            </w:pPr>
            <w:r>
              <w:rPr>
                <w:rFonts w:cs="Calibri"/>
              </w:rPr>
              <w:t>The system in the body responsible for breathing (e.g. lungs, nose, mouth).</w:t>
            </w:r>
          </w:p>
        </w:tc>
      </w:tr>
      <w:tr w:rsidR="00AB0034" w:rsidRPr="00276915" w14:paraId="366CC63C" w14:textId="77777777" w:rsidTr="000A2C8E">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560" w:type="dxa"/>
            <w:vAlign w:val="bottom"/>
          </w:tcPr>
          <w:p w14:paraId="41816651" w14:textId="77777777" w:rsidR="00AB0034" w:rsidRPr="00276915" w:rsidRDefault="00AB0034" w:rsidP="00AB0034">
            <w:pPr>
              <w:spacing w:after="0"/>
              <w:rPr>
                <w:rFonts w:eastAsia="Times New Roman" w:cs="Calibri"/>
              </w:rPr>
            </w:pPr>
            <w:r>
              <w:rPr>
                <w:rFonts w:cs="Calibri"/>
              </w:rPr>
              <w:t xml:space="preserve">Respiratory system resistance </w:t>
            </w:r>
          </w:p>
        </w:tc>
        <w:tc>
          <w:tcPr>
            <w:tcW w:w="7250" w:type="dxa"/>
          </w:tcPr>
          <w:p w14:paraId="1C3EF5EA" w14:textId="77777777" w:rsidR="00AB0034" w:rsidRPr="00276915" w:rsidRDefault="00AB0034" w:rsidP="00AB0034">
            <w:pPr>
              <w:spacing w:after="0"/>
              <w:cnfStyle w:val="000000100000" w:firstRow="0" w:lastRow="0" w:firstColumn="0" w:lastColumn="0" w:oddVBand="0" w:evenVBand="0" w:oddHBand="1" w:evenHBand="0" w:firstRowFirstColumn="0" w:firstRowLastColumn="0" w:lastRowFirstColumn="0" w:lastRowLastColumn="0"/>
              <w:rPr>
                <w:rFonts w:eastAsia="Times New Roman" w:cs="Calibri"/>
              </w:rPr>
            </w:pPr>
            <w:r>
              <w:rPr>
                <w:rFonts w:cs="Calibri"/>
              </w:rPr>
              <w:t>Resistance found within the respiratory tract when breathing in and exhaling.</w:t>
            </w:r>
          </w:p>
        </w:tc>
      </w:tr>
      <w:tr w:rsidR="00AB0034" w:rsidRPr="00276915" w14:paraId="16C5190D" w14:textId="77777777" w:rsidTr="000A2C8E">
        <w:trPr>
          <w:trHeight w:val="600"/>
        </w:trPr>
        <w:tc>
          <w:tcPr>
            <w:cnfStyle w:val="001000000000" w:firstRow="0" w:lastRow="0" w:firstColumn="1" w:lastColumn="0" w:oddVBand="0" w:evenVBand="0" w:oddHBand="0" w:evenHBand="0" w:firstRowFirstColumn="0" w:firstRowLastColumn="0" w:lastRowFirstColumn="0" w:lastRowLastColumn="0"/>
            <w:tcW w:w="2560" w:type="dxa"/>
            <w:vAlign w:val="bottom"/>
          </w:tcPr>
          <w:p w14:paraId="05FDB66E" w14:textId="77777777" w:rsidR="00AB0034" w:rsidRPr="00276915" w:rsidRDefault="00AB0034" w:rsidP="00AB0034">
            <w:pPr>
              <w:spacing w:after="0"/>
              <w:rPr>
                <w:rFonts w:eastAsia="Times New Roman" w:cs="Calibri"/>
              </w:rPr>
            </w:pPr>
            <w:r>
              <w:rPr>
                <w:rFonts w:cs="Calibri"/>
              </w:rPr>
              <w:t>Secondary analysis</w:t>
            </w:r>
          </w:p>
        </w:tc>
        <w:tc>
          <w:tcPr>
            <w:tcW w:w="7250" w:type="dxa"/>
          </w:tcPr>
          <w:p w14:paraId="714C4A23" w14:textId="77777777" w:rsidR="00AB0034" w:rsidRPr="00276915" w:rsidRDefault="00AB0034" w:rsidP="006F3EAA">
            <w:pPr>
              <w:spacing w:after="0"/>
              <w:cnfStyle w:val="000000000000" w:firstRow="0" w:lastRow="0" w:firstColumn="0" w:lastColumn="0" w:oddVBand="0" w:evenVBand="0" w:oddHBand="0" w:evenHBand="0" w:firstRowFirstColumn="0" w:firstRowLastColumn="0" w:lastRowFirstColumn="0" w:lastRowLastColumn="0"/>
              <w:rPr>
                <w:rFonts w:eastAsia="Times New Roman" w:cs="Calibri"/>
              </w:rPr>
            </w:pPr>
            <w:r>
              <w:rPr>
                <w:rFonts w:cs="Calibri"/>
              </w:rPr>
              <w:t xml:space="preserve">An analysis of data which was </w:t>
            </w:r>
            <w:r w:rsidR="006F3EAA">
              <w:rPr>
                <w:rFonts w:cs="Calibri"/>
              </w:rPr>
              <w:t xml:space="preserve">primarily </w:t>
            </w:r>
            <w:r>
              <w:rPr>
                <w:rFonts w:cs="Calibri"/>
              </w:rPr>
              <w:t>collected for another purpose.</w:t>
            </w:r>
          </w:p>
        </w:tc>
      </w:tr>
      <w:tr w:rsidR="00AB0034" w:rsidRPr="00276915" w14:paraId="71AF66AE" w14:textId="77777777" w:rsidTr="009D68BA">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560" w:type="dxa"/>
            <w:vAlign w:val="bottom"/>
          </w:tcPr>
          <w:p w14:paraId="225ED6C6" w14:textId="77777777" w:rsidR="00AB0034" w:rsidRPr="00276915" w:rsidRDefault="00AB0034" w:rsidP="00AB0034">
            <w:pPr>
              <w:spacing w:after="0"/>
              <w:rPr>
                <w:rFonts w:eastAsia="Times New Roman" w:cs="Calibri"/>
              </w:rPr>
            </w:pPr>
            <w:r>
              <w:rPr>
                <w:rFonts w:cs="Calibri"/>
              </w:rPr>
              <w:t>Selection bias</w:t>
            </w:r>
          </w:p>
        </w:tc>
        <w:tc>
          <w:tcPr>
            <w:tcW w:w="7250" w:type="dxa"/>
            <w:vAlign w:val="bottom"/>
          </w:tcPr>
          <w:p w14:paraId="2B62359C" w14:textId="77777777" w:rsidR="00AB0034" w:rsidRPr="00276915" w:rsidRDefault="00AB0034" w:rsidP="006F3EAA">
            <w:pPr>
              <w:spacing w:after="0"/>
              <w:cnfStyle w:val="000000100000" w:firstRow="0" w:lastRow="0" w:firstColumn="0" w:lastColumn="0" w:oddVBand="0" w:evenVBand="0" w:oddHBand="1" w:evenHBand="0" w:firstRowFirstColumn="0" w:firstRowLastColumn="0" w:lastRowFirstColumn="0" w:lastRowLastColumn="0"/>
              <w:rPr>
                <w:rFonts w:eastAsia="Times New Roman" w:cs="Calibri"/>
              </w:rPr>
            </w:pPr>
            <w:r>
              <w:rPr>
                <w:rFonts w:cs="Calibri"/>
              </w:rPr>
              <w:t xml:space="preserve">Bias </w:t>
            </w:r>
            <w:r w:rsidR="006F3EAA">
              <w:rPr>
                <w:rFonts w:cs="Calibri"/>
              </w:rPr>
              <w:t xml:space="preserve">occurring </w:t>
            </w:r>
            <w:r>
              <w:rPr>
                <w:rFonts w:cs="Calibri"/>
              </w:rPr>
              <w:t xml:space="preserve">when participants are selected for a study in a way </w:t>
            </w:r>
            <w:r w:rsidR="006F3EAA">
              <w:rPr>
                <w:rFonts w:cs="Calibri"/>
              </w:rPr>
              <w:t>that is related to the study outcome measures</w:t>
            </w:r>
            <w:r>
              <w:rPr>
                <w:rFonts w:cs="Calibri"/>
              </w:rPr>
              <w:t>.</w:t>
            </w:r>
          </w:p>
        </w:tc>
      </w:tr>
      <w:tr w:rsidR="00AB0034" w:rsidRPr="00276915" w14:paraId="0332E4DE" w14:textId="77777777" w:rsidTr="009D68BA">
        <w:trPr>
          <w:trHeight w:val="600"/>
        </w:trPr>
        <w:tc>
          <w:tcPr>
            <w:cnfStyle w:val="001000000000" w:firstRow="0" w:lastRow="0" w:firstColumn="1" w:lastColumn="0" w:oddVBand="0" w:evenVBand="0" w:oddHBand="0" w:evenHBand="0" w:firstRowFirstColumn="0" w:firstRowLastColumn="0" w:lastRowFirstColumn="0" w:lastRowLastColumn="0"/>
            <w:tcW w:w="2560" w:type="dxa"/>
            <w:vAlign w:val="bottom"/>
          </w:tcPr>
          <w:p w14:paraId="71030636" w14:textId="77777777" w:rsidR="00AB0034" w:rsidRPr="00276915" w:rsidRDefault="00AB0034" w:rsidP="00AB0034">
            <w:pPr>
              <w:spacing w:after="0"/>
              <w:rPr>
                <w:rFonts w:eastAsia="Times New Roman" w:cs="Calibri"/>
              </w:rPr>
            </w:pPr>
            <w:r>
              <w:rPr>
                <w:rFonts w:cs="Calibri"/>
              </w:rPr>
              <w:t>Self-stigma</w:t>
            </w:r>
          </w:p>
        </w:tc>
        <w:tc>
          <w:tcPr>
            <w:tcW w:w="7250" w:type="dxa"/>
            <w:vAlign w:val="bottom"/>
          </w:tcPr>
          <w:p w14:paraId="1C124021" w14:textId="77777777" w:rsidR="00AB0034" w:rsidRPr="00276915" w:rsidRDefault="00AB0034" w:rsidP="00AB0034">
            <w:pPr>
              <w:spacing w:after="0"/>
              <w:cnfStyle w:val="000000000000" w:firstRow="0" w:lastRow="0" w:firstColumn="0" w:lastColumn="0" w:oddVBand="0" w:evenVBand="0" w:oddHBand="0" w:evenHBand="0" w:firstRowFirstColumn="0" w:firstRowLastColumn="0" w:lastRowFirstColumn="0" w:lastRowLastColumn="0"/>
              <w:rPr>
                <w:rFonts w:eastAsia="Times New Roman" w:cs="Calibri"/>
              </w:rPr>
            </w:pPr>
            <w:r>
              <w:rPr>
                <w:rFonts w:cs="Calibri"/>
              </w:rPr>
              <w:t xml:space="preserve">The internalisation of external stigma, i.e. internalising public opinions which negatively reflect </w:t>
            </w:r>
            <w:r w:rsidR="006F3EAA">
              <w:rPr>
                <w:rFonts w:cs="Calibri"/>
              </w:rPr>
              <w:t xml:space="preserve">on </w:t>
            </w:r>
            <w:r>
              <w:rPr>
                <w:rFonts w:cs="Calibri"/>
              </w:rPr>
              <w:t>oneself.</w:t>
            </w:r>
          </w:p>
        </w:tc>
      </w:tr>
      <w:tr w:rsidR="004769EC" w:rsidRPr="00276915" w14:paraId="048BA21E" w14:textId="77777777" w:rsidTr="009D68BA">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560" w:type="dxa"/>
            <w:vAlign w:val="bottom"/>
          </w:tcPr>
          <w:p w14:paraId="43EBFCCD" w14:textId="2A9E4322" w:rsidR="004769EC" w:rsidRPr="004769EC" w:rsidRDefault="004769EC" w:rsidP="00AB0034">
            <w:pPr>
              <w:spacing w:after="0"/>
              <w:rPr>
                <w:rFonts w:cs="Calibri"/>
              </w:rPr>
            </w:pPr>
            <w:r w:rsidRPr="004769EC">
              <w:rPr>
                <w:rFonts w:cs="Calibri"/>
              </w:rPr>
              <w:t>Shisha</w:t>
            </w:r>
          </w:p>
        </w:tc>
        <w:tc>
          <w:tcPr>
            <w:tcW w:w="7250" w:type="dxa"/>
            <w:vAlign w:val="bottom"/>
          </w:tcPr>
          <w:p w14:paraId="4F4E291A" w14:textId="35CF3C83" w:rsidR="004769EC" w:rsidRPr="00922CBB" w:rsidRDefault="004769EC" w:rsidP="00AB003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22CBB">
              <w:rPr>
                <w:rFonts w:asciiTheme="minorHAnsi" w:hAnsiTheme="minorHAnsi" w:cstheme="minorHAnsi"/>
              </w:rPr>
              <w:t>A waterpipe</w:t>
            </w:r>
            <w:r>
              <w:rPr>
                <w:rFonts w:asciiTheme="minorHAnsi" w:hAnsiTheme="minorHAnsi" w:cstheme="minorHAnsi"/>
              </w:rPr>
              <w:t>,</w:t>
            </w:r>
            <w:r w:rsidRPr="00922CBB">
              <w:rPr>
                <w:rFonts w:asciiTheme="minorHAnsi" w:hAnsiTheme="minorHAnsi" w:cstheme="minorHAnsi"/>
              </w:rPr>
              <w:t xml:space="preserve"> or </w:t>
            </w:r>
            <w:r w:rsidRPr="00922CBB">
              <w:rPr>
                <w:rFonts w:asciiTheme="minorHAnsi" w:hAnsiTheme="minorHAnsi" w:cstheme="minorHAnsi"/>
                <w:lang w:val="en"/>
              </w:rPr>
              <w:t>the molasses-based tobacc</w:t>
            </w:r>
            <w:r w:rsidRPr="004769EC">
              <w:rPr>
                <w:rFonts w:asciiTheme="minorHAnsi" w:hAnsiTheme="minorHAnsi" w:cstheme="minorHAnsi"/>
                <w:lang w:val="en"/>
              </w:rPr>
              <w:t>o concoction smoked in a hookah.</w:t>
            </w:r>
          </w:p>
        </w:tc>
      </w:tr>
      <w:tr w:rsidR="00AB0034" w:rsidRPr="00276915" w14:paraId="4423444E" w14:textId="77777777" w:rsidTr="009D68BA">
        <w:trPr>
          <w:trHeight w:val="600"/>
        </w:trPr>
        <w:tc>
          <w:tcPr>
            <w:cnfStyle w:val="001000000000" w:firstRow="0" w:lastRow="0" w:firstColumn="1" w:lastColumn="0" w:oddVBand="0" w:evenVBand="0" w:oddHBand="0" w:evenHBand="0" w:firstRowFirstColumn="0" w:firstRowLastColumn="0" w:lastRowFirstColumn="0" w:lastRowLastColumn="0"/>
            <w:tcW w:w="2560" w:type="dxa"/>
            <w:vAlign w:val="bottom"/>
          </w:tcPr>
          <w:p w14:paraId="5282D8F0" w14:textId="77777777" w:rsidR="00AB0034" w:rsidRPr="00276915" w:rsidRDefault="00AB0034" w:rsidP="00AB0034">
            <w:pPr>
              <w:spacing w:after="0"/>
              <w:rPr>
                <w:rFonts w:eastAsia="Times New Roman" w:cs="Calibri"/>
              </w:rPr>
            </w:pPr>
            <w:r>
              <w:rPr>
                <w:rFonts w:cs="Calibri"/>
              </w:rPr>
              <w:t xml:space="preserve">Social ‘normalisation’ </w:t>
            </w:r>
          </w:p>
        </w:tc>
        <w:tc>
          <w:tcPr>
            <w:tcW w:w="7250" w:type="dxa"/>
            <w:vAlign w:val="bottom"/>
          </w:tcPr>
          <w:p w14:paraId="00C94330" w14:textId="77777777" w:rsidR="00AB0034" w:rsidRPr="00276915" w:rsidRDefault="00AB0034" w:rsidP="00AB0034">
            <w:pPr>
              <w:spacing w:after="0"/>
              <w:cnfStyle w:val="000000000000" w:firstRow="0" w:lastRow="0" w:firstColumn="0" w:lastColumn="0" w:oddVBand="0" w:evenVBand="0" w:oddHBand="0" w:evenHBand="0" w:firstRowFirstColumn="0" w:firstRowLastColumn="0" w:lastRowFirstColumn="0" w:lastRowLastColumn="0"/>
              <w:rPr>
                <w:rFonts w:eastAsia="Times New Roman" w:cs="Calibri"/>
              </w:rPr>
            </w:pPr>
            <w:r>
              <w:rPr>
                <w:rFonts w:cs="Calibri"/>
              </w:rPr>
              <w:t>When ideas and actions are seen as 'normal' by a population or group of people.</w:t>
            </w:r>
          </w:p>
        </w:tc>
      </w:tr>
      <w:tr w:rsidR="00AB0034" w:rsidRPr="00276915" w14:paraId="7EA51A17" w14:textId="77777777" w:rsidTr="00C7334C">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560" w:type="dxa"/>
            <w:vAlign w:val="bottom"/>
          </w:tcPr>
          <w:p w14:paraId="18004333" w14:textId="77777777" w:rsidR="00AB0034" w:rsidRPr="00276915" w:rsidRDefault="00AB0034" w:rsidP="00AB0034">
            <w:pPr>
              <w:spacing w:after="0"/>
              <w:rPr>
                <w:rFonts w:eastAsia="Times New Roman" w:cs="Calibri"/>
              </w:rPr>
            </w:pPr>
            <w:r>
              <w:rPr>
                <w:rFonts w:cs="Calibri"/>
              </w:rPr>
              <w:t>Splenocardiac Axis</w:t>
            </w:r>
          </w:p>
        </w:tc>
        <w:tc>
          <w:tcPr>
            <w:tcW w:w="7250" w:type="dxa"/>
            <w:vAlign w:val="bottom"/>
          </w:tcPr>
          <w:p w14:paraId="5D1EB8D1" w14:textId="77777777" w:rsidR="00AB0034" w:rsidRPr="006F3EAA" w:rsidRDefault="006F3EAA" w:rsidP="006F3EAA">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6F3EAA">
              <w:rPr>
                <w:rFonts w:asciiTheme="minorHAnsi" w:hAnsiTheme="minorHAnsi" w:cstheme="minorHAnsi"/>
                <w:color w:val="1C1D1E"/>
                <w:lang w:val="en"/>
              </w:rPr>
              <w:t>an inflammatory signaling network characterized by sympathetic nerve stimulation of hematopoietic tissues, such as the bone marrow and spleen, which then release proinflammatory monocytes that populate atherosclerotic plaques, thereby promoting ischemic heart disease.</w:t>
            </w:r>
          </w:p>
        </w:tc>
      </w:tr>
      <w:tr w:rsidR="00AB0034" w:rsidRPr="00276915" w14:paraId="5BB8CADA" w14:textId="77777777" w:rsidTr="00C7334C">
        <w:trPr>
          <w:trHeight w:val="60"/>
        </w:trPr>
        <w:tc>
          <w:tcPr>
            <w:cnfStyle w:val="001000000000" w:firstRow="0" w:lastRow="0" w:firstColumn="1" w:lastColumn="0" w:oddVBand="0" w:evenVBand="0" w:oddHBand="0" w:evenHBand="0" w:firstRowFirstColumn="0" w:firstRowLastColumn="0" w:lastRowFirstColumn="0" w:lastRowLastColumn="0"/>
            <w:tcW w:w="2560" w:type="dxa"/>
            <w:vAlign w:val="bottom"/>
          </w:tcPr>
          <w:p w14:paraId="1EE6E157" w14:textId="77777777" w:rsidR="00AB0034" w:rsidRPr="00276915" w:rsidRDefault="00AB0034" w:rsidP="00AB0034">
            <w:pPr>
              <w:spacing w:after="0"/>
              <w:rPr>
                <w:rFonts w:eastAsia="Times New Roman" w:cs="Calibri"/>
              </w:rPr>
            </w:pPr>
            <w:r>
              <w:rPr>
                <w:rFonts w:cs="Calibri"/>
              </w:rPr>
              <w:lastRenderedPageBreak/>
              <w:t>Sputum</w:t>
            </w:r>
          </w:p>
        </w:tc>
        <w:tc>
          <w:tcPr>
            <w:tcW w:w="7250" w:type="dxa"/>
            <w:vAlign w:val="bottom"/>
          </w:tcPr>
          <w:p w14:paraId="1A5F792F" w14:textId="77777777" w:rsidR="00AB0034" w:rsidRPr="00276915" w:rsidRDefault="00AB0034" w:rsidP="00AB0034">
            <w:pPr>
              <w:spacing w:after="0"/>
              <w:cnfStyle w:val="000000000000" w:firstRow="0" w:lastRow="0" w:firstColumn="0" w:lastColumn="0" w:oddVBand="0" w:evenVBand="0" w:oddHBand="0" w:evenHBand="0" w:firstRowFirstColumn="0" w:firstRowLastColumn="0" w:lastRowFirstColumn="0" w:lastRowLastColumn="0"/>
              <w:rPr>
                <w:rFonts w:eastAsia="Times New Roman" w:cs="Calibri"/>
              </w:rPr>
            </w:pPr>
            <w:r>
              <w:rPr>
                <w:rFonts w:cs="Calibri"/>
              </w:rPr>
              <w:t>Saliva.</w:t>
            </w:r>
          </w:p>
        </w:tc>
      </w:tr>
      <w:tr w:rsidR="00AB0034" w:rsidRPr="00276915" w14:paraId="07FB546B" w14:textId="77777777" w:rsidTr="00C7334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60" w:type="dxa"/>
            <w:vAlign w:val="bottom"/>
          </w:tcPr>
          <w:p w14:paraId="5B4AF1AC" w14:textId="77777777" w:rsidR="00AB0034" w:rsidRPr="00276915" w:rsidRDefault="00C7334C" w:rsidP="00AB0034">
            <w:pPr>
              <w:spacing w:after="0"/>
              <w:rPr>
                <w:rFonts w:eastAsia="Times New Roman" w:cs="Calibri"/>
              </w:rPr>
            </w:pPr>
            <w:r>
              <w:rPr>
                <w:rFonts w:cs="Calibri"/>
              </w:rPr>
              <w:t>S</w:t>
            </w:r>
            <w:r w:rsidR="00AB0034">
              <w:rPr>
                <w:rFonts w:cs="Calibri"/>
              </w:rPr>
              <w:t>uperficial blood flow</w:t>
            </w:r>
          </w:p>
        </w:tc>
        <w:tc>
          <w:tcPr>
            <w:tcW w:w="7250" w:type="dxa"/>
            <w:vAlign w:val="bottom"/>
          </w:tcPr>
          <w:p w14:paraId="65264393" w14:textId="77777777" w:rsidR="00AB0034" w:rsidRPr="00276915" w:rsidRDefault="00AB0034" w:rsidP="00AB0034">
            <w:pPr>
              <w:spacing w:after="0"/>
              <w:cnfStyle w:val="000000100000" w:firstRow="0" w:lastRow="0" w:firstColumn="0" w:lastColumn="0" w:oddVBand="0" w:evenVBand="0" w:oddHBand="1" w:evenHBand="0" w:firstRowFirstColumn="0" w:firstRowLastColumn="0" w:lastRowFirstColumn="0" w:lastRowLastColumn="0"/>
              <w:rPr>
                <w:rFonts w:eastAsia="Times New Roman" w:cs="Calibri"/>
              </w:rPr>
            </w:pPr>
            <w:r>
              <w:rPr>
                <w:rFonts w:cs="Calibri"/>
              </w:rPr>
              <w:t>Blood flow in veins found immediately under the skin.</w:t>
            </w:r>
          </w:p>
        </w:tc>
      </w:tr>
      <w:tr w:rsidR="00AB0034" w:rsidRPr="00276915" w14:paraId="5D35910D" w14:textId="77777777" w:rsidTr="009D68BA">
        <w:trPr>
          <w:trHeight w:val="600"/>
        </w:trPr>
        <w:tc>
          <w:tcPr>
            <w:cnfStyle w:val="001000000000" w:firstRow="0" w:lastRow="0" w:firstColumn="1" w:lastColumn="0" w:oddVBand="0" w:evenVBand="0" w:oddHBand="0" w:evenHBand="0" w:firstRowFirstColumn="0" w:firstRowLastColumn="0" w:lastRowFirstColumn="0" w:lastRowLastColumn="0"/>
            <w:tcW w:w="2560" w:type="dxa"/>
            <w:vAlign w:val="bottom"/>
          </w:tcPr>
          <w:p w14:paraId="4FE24391" w14:textId="77777777" w:rsidR="00AB0034" w:rsidRPr="00276915" w:rsidRDefault="00AB0034" w:rsidP="00AB0034">
            <w:pPr>
              <w:spacing w:after="0"/>
              <w:rPr>
                <w:rFonts w:eastAsia="Times New Roman" w:cs="Calibri"/>
              </w:rPr>
            </w:pPr>
            <w:r>
              <w:rPr>
                <w:rFonts w:cs="Calibri"/>
              </w:rPr>
              <w:t>Systematic review</w:t>
            </w:r>
          </w:p>
        </w:tc>
        <w:tc>
          <w:tcPr>
            <w:tcW w:w="7250" w:type="dxa"/>
            <w:vAlign w:val="bottom"/>
          </w:tcPr>
          <w:p w14:paraId="36470272" w14:textId="77777777" w:rsidR="00AB0034" w:rsidRPr="00276915" w:rsidRDefault="00AB0034" w:rsidP="00F0327F">
            <w:pPr>
              <w:spacing w:after="0"/>
              <w:cnfStyle w:val="000000000000" w:firstRow="0" w:lastRow="0" w:firstColumn="0" w:lastColumn="0" w:oddVBand="0" w:evenVBand="0" w:oddHBand="0" w:evenHBand="0" w:firstRowFirstColumn="0" w:firstRowLastColumn="0" w:lastRowFirstColumn="0" w:lastRowLastColumn="0"/>
              <w:rPr>
                <w:rFonts w:eastAsia="Times New Roman" w:cs="Calibri"/>
              </w:rPr>
            </w:pPr>
            <w:r>
              <w:rPr>
                <w:rFonts w:cs="Calibri"/>
              </w:rPr>
              <w:t>A review of published papers on a topic which a</w:t>
            </w:r>
            <w:r w:rsidR="00F0327F">
              <w:rPr>
                <w:rFonts w:cs="Calibri"/>
              </w:rPr>
              <w:t>ddresse</w:t>
            </w:r>
            <w:r>
              <w:rPr>
                <w:rFonts w:cs="Calibri"/>
              </w:rPr>
              <w:t xml:space="preserve">s a research question by including </w:t>
            </w:r>
            <w:r w:rsidR="00F0327F">
              <w:rPr>
                <w:rFonts w:cs="Calibri"/>
              </w:rPr>
              <w:t xml:space="preserve">all </w:t>
            </w:r>
            <w:r>
              <w:rPr>
                <w:rFonts w:cs="Calibri"/>
              </w:rPr>
              <w:t>papers which match pre-defined inclusion and exclusion criteria.</w:t>
            </w:r>
          </w:p>
        </w:tc>
      </w:tr>
      <w:tr w:rsidR="00AB0034" w:rsidRPr="00276915" w14:paraId="77BE2086" w14:textId="77777777" w:rsidTr="009D68BA">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560" w:type="dxa"/>
            <w:vAlign w:val="bottom"/>
          </w:tcPr>
          <w:p w14:paraId="6B0A7E0E" w14:textId="77777777" w:rsidR="00AB0034" w:rsidRPr="00276915" w:rsidRDefault="00AB0034" w:rsidP="00AB0034">
            <w:pPr>
              <w:spacing w:after="0"/>
              <w:rPr>
                <w:rFonts w:eastAsia="Times New Roman" w:cs="Calibri"/>
              </w:rPr>
            </w:pPr>
            <w:r>
              <w:rPr>
                <w:rFonts w:cs="Calibri"/>
              </w:rPr>
              <w:t>Tank</w:t>
            </w:r>
          </w:p>
        </w:tc>
        <w:tc>
          <w:tcPr>
            <w:tcW w:w="7250" w:type="dxa"/>
            <w:vAlign w:val="bottom"/>
          </w:tcPr>
          <w:p w14:paraId="0C92D33A" w14:textId="77777777" w:rsidR="00AB0034" w:rsidRPr="00276915" w:rsidRDefault="00AB0034" w:rsidP="00AB0034">
            <w:pPr>
              <w:spacing w:after="0"/>
              <w:cnfStyle w:val="000000100000" w:firstRow="0" w:lastRow="0" w:firstColumn="0" w:lastColumn="0" w:oddVBand="0" w:evenVBand="0" w:oddHBand="1" w:evenHBand="0" w:firstRowFirstColumn="0" w:firstRowLastColumn="0" w:lastRowFirstColumn="0" w:lastRowLastColumn="0"/>
              <w:rPr>
                <w:rFonts w:eastAsia="Times New Roman" w:cs="Calibri"/>
              </w:rPr>
            </w:pPr>
            <w:r>
              <w:rPr>
                <w:rFonts w:cs="Calibri"/>
              </w:rPr>
              <w:t>Refillable part of an e-cigarette (from 2nd generation device) that holds the e-solution.</w:t>
            </w:r>
          </w:p>
        </w:tc>
      </w:tr>
      <w:tr w:rsidR="00AB0034" w:rsidRPr="00276915" w14:paraId="55CA4DD9" w14:textId="77777777" w:rsidTr="009D68BA">
        <w:trPr>
          <w:trHeight w:val="600"/>
        </w:trPr>
        <w:tc>
          <w:tcPr>
            <w:cnfStyle w:val="001000000000" w:firstRow="0" w:lastRow="0" w:firstColumn="1" w:lastColumn="0" w:oddVBand="0" w:evenVBand="0" w:oddHBand="0" w:evenHBand="0" w:firstRowFirstColumn="0" w:firstRowLastColumn="0" w:lastRowFirstColumn="0" w:lastRowLastColumn="0"/>
            <w:tcW w:w="2560" w:type="dxa"/>
            <w:vAlign w:val="bottom"/>
          </w:tcPr>
          <w:p w14:paraId="53F2A752" w14:textId="77777777" w:rsidR="00AB0034" w:rsidRPr="00276915" w:rsidRDefault="00AB0034" w:rsidP="00AB0034">
            <w:pPr>
              <w:spacing w:after="0"/>
              <w:rPr>
                <w:rFonts w:eastAsia="Times New Roman" w:cs="Calibri"/>
              </w:rPr>
            </w:pPr>
            <w:r>
              <w:rPr>
                <w:rFonts w:cs="Calibri"/>
              </w:rPr>
              <w:t>Tank-model e-cigarette</w:t>
            </w:r>
          </w:p>
        </w:tc>
        <w:tc>
          <w:tcPr>
            <w:tcW w:w="7250" w:type="dxa"/>
            <w:vAlign w:val="bottom"/>
          </w:tcPr>
          <w:p w14:paraId="1F09CB55" w14:textId="77777777" w:rsidR="00AB0034" w:rsidRPr="00276915" w:rsidRDefault="00AB0034" w:rsidP="00AB0034">
            <w:pPr>
              <w:spacing w:after="0"/>
              <w:cnfStyle w:val="000000000000" w:firstRow="0" w:lastRow="0" w:firstColumn="0" w:lastColumn="0" w:oddVBand="0" w:evenVBand="0" w:oddHBand="0" w:evenHBand="0" w:firstRowFirstColumn="0" w:firstRowLastColumn="0" w:lastRowFirstColumn="0" w:lastRowLastColumn="0"/>
              <w:rPr>
                <w:rFonts w:eastAsia="Times New Roman" w:cs="Calibri"/>
              </w:rPr>
            </w:pPr>
            <w:r>
              <w:rPr>
                <w:rFonts w:cs="Calibri"/>
              </w:rPr>
              <w:t>E-cigarettes which are generally larger than cigalikes with refillable liquid tanks. Also known as second and third generation e-cigarettes.</w:t>
            </w:r>
          </w:p>
        </w:tc>
      </w:tr>
      <w:tr w:rsidR="00AB0034" w:rsidRPr="00276915" w14:paraId="0273C2E8" w14:textId="77777777" w:rsidTr="009D68BA">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560" w:type="dxa"/>
            <w:vAlign w:val="bottom"/>
          </w:tcPr>
          <w:p w14:paraId="4D197318" w14:textId="2D747FD8" w:rsidR="00AB0034" w:rsidRPr="00276915" w:rsidRDefault="004769EC" w:rsidP="00AB0034">
            <w:pPr>
              <w:spacing w:after="0"/>
              <w:rPr>
                <w:rFonts w:eastAsia="Times New Roman" w:cs="Calibri"/>
              </w:rPr>
            </w:pPr>
            <w:r>
              <w:rPr>
                <w:rFonts w:cs="Calibri"/>
              </w:rPr>
              <w:t>T</w:t>
            </w:r>
            <w:r w:rsidR="00AB0034">
              <w:rPr>
                <w:rFonts w:cs="Calibri"/>
              </w:rPr>
              <w:t>emporality</w:t>
            </w:r>
          </w:p>
        </w:tc>
        <w:tc>
          <w:tcPr>
            <w:tcW w:w="7250" w:type="dxa"/>
            <w:vAlign w:val="bottom"/>
          </w:tcPr>
          <w:p w14:paraId="646143D2" w14:textId="77777777" w:rsidR="00AB0034" w:rsidRPr="00276915" w:rsidRDefault="00F0327F" w:rsidP="00F0327F">
            <w:pPr>
              <w:spacing w:after="0"/>
              <w:cnfStyle w:val="000000100000" w:firstRow="0" w:lastRow="0" w:firstColumn="0" w:lastColumn="0" w:oddVBand="0" w:evenVBand="0" w:oddHBand="1" w:evenHBand="0" w:firstRowFirstColumn="0" w:firstRowLastColumn="0" w:lastRowFirstColumn="0" w:lastRowLastColumn="0"/>
              <w:rPr>
                <w:rFonts w:eastAsia="Times New Roman" w:cs="Calibri"/>
              </w:rPr>
            </w:pPr>
            <w:r>
              <w:rPr>
                <w:rFonts w:cs="Calibri"/>
              </w:rPr>
              <w:t>How a relationship is dependent on time i</w:t>
            </w:r>
            <w:r w:rsidR="00AB0034">
              <w:rPr>
                <w:rFonts w:cs="Calibri"/>
              </w:rPr>
              <w:t xml:space="preserve">.e. </w:t>
            </w:r>
            <w:r>
              <w:rPr>
                <w:rFonts w:cs="Calibri"/>
              </w:rPr>
              <w:t>a cause and effect relationship must have the cause occurring before the effect</w:t>
            </w:r>
            <w:r w:rsidR="00AB0034">
              <w:rPr>
                <w:rFonts w:cs="Calibri"/>
              </w:rPr>
              <w:t>.</w:t>
            </w:r>
          </w:p>
        </w:tc>
      </w:tr>
      <w:tr w:rsidR="00AB0034" w:rsidRPr="00276915" w14:paraId="1F502E00" w14:textId="77777777" w:rsidTr="009D68BA">
        <w:trPr>
          <w:trHeight w:val="600"/>
        </w:trPr>
        <w:tc>
          <w:tcPr>
            <w:cnfStyle w:val="001000000000" w:firstRow="0" w:lastRow="0" w:firstColumn="1" w:lastColumn="0" w:oddVBand="0" w:evenVBand="0" w:oddHBand="0" w:evenHBand="0" w:firstRowFirstColumn="0" w:firstRowLastColumn="0" w:lastRowFirstColumn="0" w:lastRowLastColumn="0"/>
            <w:tcW w:w="2560" w:type="dxa"/>
            <w:vAlign w:val="bottom"/>
          </w:tcPr>
          <w:p w14:paraId="2E08FC2C" w14:textId="77777777" w:rsidR="00AB0034" w:rsidRPr="00276915" w:rsidRDefault="00AB0034" w:rsidP="00AB0034">
            <w:pPr>
              <w:spacing w:after="0"/>
              <w:rPr>
                <w:rFonts w:eastAsia="Times New Roman" w:cs="Calibri"/>
              </w:rPr>
            </w:pPr>
            <w:r>
              <w:rPr>
                <w:rFonts w:cs="Calibri"/>
              </w:rPr>
              <w:t>Titration</w:t>
            </w:r>
          </w:p>
        </w:tc>
        <w:tc>
          <w:tcPr>
            <w:tcW w:w="7250" w:type="dxa"/>
            <w:vAlign w:val="bottom"/>
          </w:tcPr>
          <w:p w14:paraId="29BEFF2D" w14:textId="77777777" w:rsidR="00AB0034" w:rsidRPr="00276915" w:rsidRDefault="00AB0034" w:rsidP="00AB0034">
            <w:pPr>
              <w:spacing w:after="0"/>
              <w:cnfStyle w:val="000000000000" w:firstRow="0" w:lastRow="0" w:firstColumn="0" w:lastColumn="0" w:oddVBand="0" w:evenVBand="0" w:oddHBand="0" w:evenHBand="0" w:firstRowFirstColumn="0" w:firstRowLastColumn="0" w:lastRowFirstColumn="0" w:lastRowLastColumn="0"/>
              <w:rPr>
                <w:rFonts w:eastAsia="Times New Roman" w:cs="Calibri"/>
              </w:rPr>
            </w:pPr>
            <w:r>
              <w:rPr>
                <w:rFonts w:cs="Calibri"/>
              </w:rPr>
              <w:t>The process of determining the concentration of the e-cigarette liquid (e.g. nicotine concentration, amount of e-liquid used).</w:t>
            </w:r>
          </w:p>
        </w:tc>
      </w:tr>
      <w:tr w:rsidR="00AB0034" w:rsidRPr="00276915" w14:paraId="6514BFD9" w14:textId="77777777" w:rsidTr="009D68BA">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560" w:type="dxa"/>
            <w:vAlign w:val="bottom"/>
          </w:tcPr>
          <w:p w14:paraId="620188DE" w14:textId="77777777" w:rsidR="00AB0034" w:rsidRPr="00276915" w:rsidRDefault="00AB0034" w:rsidP="00AB0034">
            <w:pPr>
              <w:spacing w:after="0"/>
              <w:rPr>
                <w:rFonts w:eastAsia="Times New Roman" w:cs="Calibri"/>
              </w:rPr>
            </w:pPr>
            <w:r>
              <w:rPr>
                <w:rFonts w:cs="Calibri"/>
              </w:rPr>
              <w:t>To adjust for</w:t>
            </w:r>
          </w:p>
        </w:tc>
        <w:tc>
          <w:tcPr>
            <w:tcW w:w="7250" w:type="dxa"/>
            <w:vAlign w:val="bottom"/>
          </w:tcPr>
          <w:p w14:paraId="6FECA8CD" w14:textId="77777777" w:rsidR="00AB0034" w:rsidRPr="00276915" w:rsidRDefault="00AB0034" w:rsidP="00F0327F">
            <w:pPr>
              <w:spacing w:after="0"/>
              <w:cnfStyle w:val="000000100000" w:firstRow="0" w:lastRow="0" w:firstColumn="0" w:lastColumn="0" w:oddVBand="0" w:evenVBand="0" w:oddHBand="1" w:evenHBand="0" w:firstRowFirstColumn="0" w:firstRowLastColumn="0" w:lastRowFirstColumn="0" w:lastRowLastColumn="0"/>
              <w:rPr>
                <w:rFonts w:eastAsia="Times New Roman" w:cs="Calibri"/>
              </w:rPr>
            </w:pPr>
            <w:r>
              <w:rPr>
                <w:rFonts w:cs="Calibri"/>
              </w:rPr>
              <w:t xml:space="preserve">A statistical method by which </w:t>
            </w:r>
            <w:r w:rsidR="00F0327F">
              <w:rPr>
                <w:rFonts w:cs="Calibri"/>
              </w:rPr>
              <w:t xml:space="preserve">the relationship between two factors is examined while holding another variable constant. It may be used to nullify the impact of </w:t>
            </w:r>
            <w:r>
              <w:rPr>
                <w:rFonts w:cs="Calibri"/>
              </w:rPr>
              <w:t>confound</w:t>
            </w:r>
            <w:r w:rsidR="00F0327F">
              <w:rPr>
                <w:rFonts w:cs="Calibri"/>
              </w:rPr>
              <w:t xml:space="preserve">ing </w:t>
            </w:r>
            <w:r>
              <w:rPr>
                <w:rFonts w:cs="Calibri"/>
              </w:rPr>
              <w:t>variables.</w:t>
            </w:r>
          </w:p>
        </w:tc>
      </w:tr>
      <w:tr w:rsidR="00AB0034" w:rsidRPr="00276915" w14:paraId="4C6BB4C0" w14:textId="77777777" w:rsidTr="00C7334C">
        <w:trPr>
          <w:trHeight w:val="78"/>
        </w:trPr>
        <w:tc>
          <w:tcPr>
            <w:cnfStyle w:val="001000000000" w:firstRow="0" w:lastRow="0" w:firstColumn="1" w:lastColumn="0" w:oddVBand="0" w:evenVBand="0" w:oddHBand="0" w:evenHBand="0" w:firstRowFirstColumn="0" w:firstRowLastColumn="0" w:lastRowFirstColumn="0" w:lastRowLastColumn="0"/>
            <w:tcW w:w="2560" w:type="dxa"/>
            <w:vAlign w:val="bottom"/>
          </w:tcPr>
          <w:p w14:paraId="6810DFF1" w14:textId="77777777" w:rsidR="00AB0034" w:rsidRPr="00276915" w:rsidRDefault="00E13BD6" w:rsidP="00AB0034">
            <w:pPr>
              <w:spacing w:after="0"/>
              <w:rPr>
                <w:rFonts w:eastAsia="Times New Roman" w:cs="Calibri"/>
              </w:rPr>
            </w:pPr>
            <w:r>
              <w:rPr>
                <w:rFonts w:cs="Calibri"/>
              </w:rPr>
              <w:t>To</w:t>
            </w:r>
            <w:r w:rsidR="00AB0034">
              <w:rPr>
                <w:rFonts w:cs="Calibri"/>
              </w:rPr>
              <w:t>nsilloliths</w:t>
            </w:r>
          </w:p>
        </w:tc>
        <w:tc>
          <w:tcPr>
            <w:tcW w:w="7250" w:type="dxa"/>
            <w:vAlign w:val="bottom"/>
          </w:tcPr>
          <w:p w14:paraId="6A6C00E8" w14:textId="77777777" w:rsidR="00AB0034" w:rsidRPr="00276915" w:rsidRDefault="00AB0034" w:rsidP="00AB0034">
            <w:pPr>
              <w:spacing w:after="0"/>
              <w:cnfStyle w:val="000000000000" w:firstRow="0" w:lastRow="0" w:firstColumn="0" w:lastColumn="0" w:oddVBand="0" w:evenVBand="0" w:oddHBand="0" w:evenHBand="0" w:firstRowFirstColumn="0" w:firstRowLastColumn="0" w:lastRowFirstColumn="0" w:lastRowLastColumn="0"/>
              <w:rPr>
                <w:rFonts w:eastAsia="Times New Roman" w:cs="Calibri"/>
              </w:rPr>
            </w:pPr>
            <w:r>
              <w:rPr>
                <w:rFonts w:cs="Calibri"/>
              </w:rPr>
              <w:t>Tonsil stones.</w:t>
            </w:r>
          </w:p>
        </w:tc>
      </w:tr>
      <w:tr w:rsidR="00AB0034" w:rsidRPr="00276915" w14:paraId="13632772" w14:textId="77777777" w:rsidTr="00C7334C">
        <w:trPr>
          <w:cnfStyle w:val="000000100000" w:firstRow="0" w:lastRow="0" w:firstColumn="0" w:lastColumn="0" w:oddVBand="0" w:evenVBand="0" w:oddHBand="1" w:evenHBand="0"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2560" w:type="dxa"/>
            <w:vAlign w:val="bottom"/>
          </w:tcPr>
          <w:p w14:paraId="5B01F5E0" w14:textId="77777777" w:rsidR="00AB0034" w:rsidRPr="00276915" w:rsidRDefault="00AB0034" w:rsidP="00AB0034">
            <w:pPr>
              <w:spacing w:after="0"/>
              <w:rPr>
                <w:rFonts w:eastAsia="Times New Roman" w:cs="Calibri"/>
              </w:rPr>
            </w:pPr>
            <w:r>
              <w:rPr>
                <w:rFonts w:cs="Calibri"/>
              </w:rPr>
              <w:t>Uncontrolled trial</w:t>
            </w:r>
          </w:p>
        </w:tc>
        <w:tc>
          <w:tcPr>
            <w:tcW w:w="7250" w:type="dxa"/>
            <w:vAlign w:val="bottom"/>
          </w:tcPr>
          <w:p w14:paraId="75428131" w14:textId="77777777" w:rsidR="00AB0034" w:rsidRPr="00276915" w:rsidRDefault="00AB0034" w:rsidP="00F0327F">
            <w:pPr>
              <w:spacing w:after="0"/>
              <w:cnfStyle w:val="000000100000" w:firstRow="0" w:lastRow="0" w:firstColumn="0" w:lastColumn="0" w:oddVBand="0" w:evenVBand="0" w:oddHBand="1" w:evenHBand="0" w:firstRowFirstColumn="0" w:firstRowLastColumn="0" w:lastRowFirstColumn="0" w:lastRowLastColumn="0"/>
              <w:rPr>
                <w:rFonts w:eastAsia="Times New Roman" w:cs="Calibri"/>
              </w:rPr>
            </w:pPr>
            <w:r>
              <w:rPr>
                <w:rFonts w:cs="Calibri"/>
              </w:rPr>
              <w:t xml:space="preserve">A study where </w:t>
            </w:r>
            <w:r w:rsidR="00F0327F">
              <w:rPr>
                <w:rFonts w:cs="Calibri"/>
              </w:rPr>
              <w:t>subjec</w:t>
            </w:r>
            <w:r>
              <w:rPr>
                <w:rFonts w:cs="Calibri"/>
              </w:rPr>
              <w:t xml:space="preserve">ts are given a treatment but </w:t>
            </w:r>
            <w:r w:rsidR="00F0327F">
              <w:rPr>
                <w:rFonts w:cs="Calibri"/>
              </w:rPr>
              <w:t xml:space="preserve">no comparison group (given no treatment) is investigated </w:t>
            </w:r>
            <w:r>
              <w:rPr>
                <w:rFonts w:cs="Calibri"/>
              </w:rPr>
              <w:t>.</w:t>
            </w:r>
          </w:p>
        </w:tc>
      </w:tr>
      <w:tr w:rsidR="00AB0034" w:rsidRPr="00276915" w14:paraId="7BF12BB2" w14:textId="77777777" w:rsidTr="00C7334C">
        <w:trPr>
          <w:trHeight w:val="340"/>
        </w:trPr>
        <w:tc>
          <w:tcPr>
            <w:cnfStyle w:val="001000000000" w:firstRow="0" w:lastRow="0" w:firstColumn="1" w:lastColumn="0" w:oddVBand="0" w:evenVBand="0" w:oddHBand="0" w:evenHBand="0" w:firstRowFirstColumn="0" w:firstRowLastColumn="0" w:lastRowFirstColumn="0" w:lastRowLastColumn="0"/>
            <w:tcW w:w="2560" w:type="dxa"/>
            <w:vAlign w:val="bottom"/>
          </w:tcPr>
          <w:p w14:paraId="5DECF097" w14:textId="77777777" w:rsidR="00AB0034" w:rsidRPr="00276915" w:rsidRDefault="00AB0034" w:rsidP="00AB0034">
            <w:pPr>
              <w:spacing w:after="0"/>
              <w:rPr>
                <w:rFonts w:eastAsia="Times New Roman" w:cs="Calibri"/>
              </w:rPr>
            </w:pPr>
            <w:r>
              <w:rPr>
                <w:rFonts w:cs="Calibri"/>
              </w:rPr>
              <w:t>Vagal tone</w:t>
            </w:r>
          </w:p>
        </w:tc>
        <w:tc>
          <w:tcPr>
            <w:tcW w:w="7250" w:type="dxa"/>
            <w:vAlign w:val="bottom"/>
          </w:tcPr>
          <w:p w14:paraId="65D6C930" w14:textId="77777777" w:rsidR="00AB0034" w:rsidRPr="00276915" w:rsidRDefault="00AB0034" w:rsidP="00AB0034">
            <w:pPr>
              <w:spacing w:after="0"/>
              <w:cnfStyle w:val="000000000000" w:firstRow="0" w:lastRow="0" w:firstColumn="0" w:lastColumn="0" w:oddVBand="0" w:evenVBand="0" w:oddHBand="0" w:evenHBand="0" w:firstRowFirstColumn="0" w:firstRowLastColumn="0" w:lastRowFirstColumn="0" w:lastRowLastColumn="0"/>
              <w:rPr>
                <w:rFonts w:eastAsia="Times New Roman" w:cs="Calibri"/>
              </w:rPr>
            </w:pPr>
            <w:r>
              <w:rPr>
                <w:rFonts w:cs="Calibri"/>
              </w:rPr>
              <w:t>Activity of the vagus nerve.</w:t>
            </w:r>
          </w:p>
        </w:tc>
      </w:tr>
      <w:tr w:rsidR="00AB0034" w:rsidRPr="00276915" w14:paraId="0C39AF47" w14:textId="77777777" w:rsidTr="00C7334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60" w:type="dxa"/>
            <w:vAlign w:val="bottom"/>
          </w:tcPr>
          <w:p w14:paraId="6E265621" w14:textId="77777777" w:rsidR="00AB0034" w:rsidRPr="00276915" w:rsidRDefault="00AB0034" w:rsidP="00AB0034">
            <w:pPr>
              <w:spacing w:after="0"/>
              <w:rPr>
                <w:rFonts w:eastAsia="Times New Roman" w:cs="Calibri"/>
              </w:rPr>
            </w:pPr>
            <w:r>
              <w:rPr>
                <w:rFonts w:cs="Calibri"/>
              </w:rPr>
              <w:t>Vagus nerve</w:t>
            </w:r>
          </w:p>
        </w:tc>
        <w:tc>
          <w:tcPr>
            <w:tcW w:w="7250" w:type="dxa"/>
            <w:vAlign w:val="bottom"/>
          </w:tcPr>
          <w:p w14:paraId="4FC3239A" w14:textId="77777777" w:rsidR="00AB0034" w:rsidRPr="00276915" w:rsidRDefault="00AB0034" w:rsidP="00AB0034">
            <w:pPr>
              <w:spacing w:after="0"/>
              <w:cnfStyle w:val="000000100000" w:firstRow="0" w:lastRow="0" w:firstColumn="0" w:lastColumn="0" w:oddVBand="0" w:evenVBand="0" w:oddHBand="1" w:evenHBand="0" w:firstRowFirstColumn="0" w:firstRowLastColumn="0" w:lastRowFirstColumn="0" w:lastRowLastColumn="0"/>
              <w:rPr>
                <w:rFonts w:eastAsia="Times New Roman" w:cs="Calibri"/>
              </w:rPr>
            </w:pPr>
            <w:r>
              <w:rPr>
                <w:rFonts w:cs="Calibri"/>
              </w:rPr>
              <w:t>A nerve involved in control of the heart, lungs, and digestive tract.</w:t>
            </w:r>
          </w:p>
        </w:tc>
      </w:tr>
      <w:tr w:rsidR="00AB0034" w:rsidRPr="00276915" w14:paraId="277157EA" w14:textId="77777777" w:rsidTr="009D68BA">
        <w:trPr>
          <w:trHeight w:val="600"/>
        </w:trPr>
        <w:tc>
          <w:tcPr>
            <w:cnfStyle w:val="001000000000" w:firstRow="0" w:lastRow="0" w:firstColumn="1" w:lastColumn="0" w:oddVBand="0" w:evenVBand="0" w:oddHBand="0" w:evenHBand="0" w:firstRowFirstColumn="0" w:firstRowLastColumn="0" w:lastRowFirstColumn="0" w:lastRowLastColumn="0"/>
            <w:tcW w:w="2560" w:type="dxa"/>
            <w:vAlign w:val="bottom"/>
          </w:tcPr>
          <w:p w14:paraId="1C05F297" w14:textId="77777777" w:rsidR="00AB0034" w:rsidRPr="00276915" w:rsidRDefault="00AB0034" w:rsidP="00AB0034">
            <w:pPr>
              <w:spacing w:after="0"/>
              <w:rPr>
                <w:rFonts w:eastAsia="Times New Roman" w:cs="Calibri"/>
              </w:rPr>
            </w:pPr>
            <w:r>
              <w:rPr>
                <w:rFonts w:cs="Calibri"/>
              </w:rPr>
              <w:t>Vaping</w:t>
            </w:r>
          </w:p>
        </w:tc>
        <w:tc>
          <w:tcPr>
            <w:tcW w:w="7250" w:type="dxa"/>
            <w:vAlign w:val="bottom"/>
          </w:tcPr>
          <w:p w14:paraId="2B383C62" w14:textId="77777777" w:rsidR="00AB0034" w:rsidRPr="00276915" w:rsidRDefault="00AB0034" w:rsidP="00AB0034">
            <w:pPr>
              <w:spacing w:after="0"/>
              <w:cnfStyle w:val="000000000000" w:firstRow="0" w:lastRow="0" w:firstColumn="0" w:lastColumn="0" w:oddVBand="0" w:evenVBand="0" w:oddHBand="0" w:evenHBand="0" w:firstRowFirstColumn="0" w:firstRowLastColumn="0" w:lastRowFirstColumn="0" w:lastRowLastColumn="0"/>
              <w:rPr>
                <w:rFonts w:eastAsia="Times New Roman" w:cs="Calibri"/>
              </w:rPr>
            </w:pPr>
            <w:r>
              <w:rPr>
                <w:rFonts w:cs="Calibri"/>
              </w:rPr>
              <w:t>The process of using an e-cigarette i.e. inhaling the vaporised e-cigarette liquid.</w:t>
            </w:r>
          </w:p>
        </w:tc>
      </w:tr>
      <w:tr w:rsidR="00AB0034" w:rsidRPr="00276915" w14:paraId="4B1D8580" w14:textId="77777777" w:rsidTr="000A2C8E">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560" w:type="dxa"/>
            <w:vAlign w:val="bottom"/>
          </w:tcPr>
          <w:p w14:paraId="42467D74" w14:textId="77777777" w:rsidR="00AB0034" w:rsidRPr="00276915" w:rsidRDefault="00AB0034" w:rsidP="00AB0034">
            <w:pPr>
              <w:spacing w:after="0"/>
              <w:rPr>
                <w:rFonts w:eastAsia="Times New Roman" w:cs="Calibri"/>
              </w:rPr>
            </w:pPr>
            <w:r>
              <w:rPr>
                <w:rFonts w:cs="Calibri"/>
              </w:rPr>
              <w:t>Volatile Organic Toxicants/ Compounds (VOCs)</w:t>
            </w:r>
          </w:p>
        </w:tc>
        <w:tc>
          <w:tcPr>
            <w:tcW w:w="7250" w:type="dxa"/>
          </w:tcPr>
          <w:p w14:paraId="2547B5FE" w14:textId="77777777" w:rsidR="00AB0034" w:rsidRPr="00276915" w:rsidRDefault="00F0327F" w:rsidP="00F0327F">
            <w:pPr>
              <w:spacing w:after="0"/>
              <w:cnfStyle w:val="000000100000" w:firstRow="0" w:lastRow="0" w:firstColumn="0" w:lastColumn="0" w:oddVBand="0" w:evenVBand="0" w:oddHBand="1" w:evenHBand="0" w:firstRowFirstColumn="0" w:firstRowLastColumn="0" w:lastRowFirstColumn="0" w:lastRowLastColumn="0"/>
              <w:rPr>
                <w:rFonts w:eastAsia="Times New Roman" w:cs="Calibri"/>
              </w:rPr>
            </w:pPr>
            <w:r>
              <w:rPr>
                <w:rFonts w:cs="Calibri"/>
              </w:rPr>
              <w:t>Organic molecule</w:t>
            </w:r>
            <w:r w:rsidR="00AB0034">
              <w:rPr>
                <w:rFonts w:cs="Calibri"/>
              </w:rPr>
              <w:t>s which become vapours or gases</w:t>
            </w:r>
            <w:r>
              <w:rPr>
                <w:rFonts w:cs="Calibri"/>
              </w:rPr>
              <w:t xml:space="preserve"> at low temperatures</w:t>
            </w:r>
            <w:r w:rsidR="00AB0034">
              <w:rPr>
                <w:rFonts w:cs="Calibri"/>
              </w:rPr>
              <w:t>.</w:t>
            </w:r>
          </w:p>
        </w:tc>
      </w:tr>
      <w:tr w:rsidR="00AB0034" w:rsidRPr="00276915" w14:paraId="68B1F560" w14:textId="77777777" w:rsidTr="009D68BA">
        <w:trPr>
          <w:trHeight w:val="600"/>
        </w:trPr>
        <w:tc>
          <w:tcPr>
            <w:cnfStyle w:val="001000000000" w:firstRow="0" w:lastRow="0" w:firstColumn="1" w:lastColumn="0" w:oddVBand="0" w:evenVBand="0" w:oddHBand="0" w:evenHBand="0" w:firstRowFirstColumn="0" w:firstRowLastColumn="0" w:lastRowFirstColumn="0" w:lastRowLastColumn="0"/>
            <w:tcW w:w="2560" w:type="dxa"/>
            <w:vAlign w:val="bottom"/>
          </w:tcPr>
          <w:p w14:paraId="46974A21" w14:textId="77777777" w:rsidR="00AB0034" w:rsidRPr="00276915" w:rsidRDefault="00AB0034" w:rsidP="00AB0034">
            <w:pPr>
              <w:spacing w:after="0"/>
              <w:rPr>
                <w:rFonts w:eastAsia="Times New Roman" w:cs="Calibri"/>
              </w:rPr>
            </w:pPr>
            <w:r>
              <w:rPr>
                <w:rFonts w:cs="Calibri"/>
              </w:rPr>
              <w:t>Waterpipe</w:t>
            </w:r>
          </w:p>
        </w:tc>
        <w:tc>
          <w:tcPr>
            <w:tcW w:w="7250" w:type="dxa"/>
            <w:vAlign w:val="bottom"/>
          </w:tcPr>
          <w:p w14:paraId="3503AA88" w14:textId="77777777" w:rsidR="00AB0034" w:rsidRPr="00276915" w:rsidRDefault="00AB0034" w:rsidP="00AB0034">
            <w:pPr>
              <w:spacing w:after="0"/>
              <w:cnfStyle w:val="000000000000" w:firstRow="0" w:lastRow="0" w:firstColumn="0" w:lastColumn="0" w:oddVBand="0" w:evenVBand="0" w:oddHBand="0" w:evenHBand="0" w:firstRowFirstColumn="0" w:firstRowLastColumn="0" w:lastRowFirstColumn="0" w:lastRowLastColumn="0"/>
              <w:rPr>
                <w:rFonts w:eastAsia="Times New Roman" w:cs="Calibri"/>
              </w:rPr>
            </w:pPr>
            <w:r>
              <w:rPr>
                <w:rFonts w:cs="Calibri"/>
              </w:rPr>
              <w:t xml:space="preserve">A smoking device which uses heated water to </w:t>
            </w:r>
            <w:r w:rsidR="00C7334C">
              <w:rPr>
                <w:rFonts w:cs="Calibri"/>
              </w:rPr>
              <w:t>vaporise</w:t>
            </w:r>
            <w:r>
              <w:rPr>
                <w:rFonts w:cs="Calibri"/>
              </w:rPr>
              <w:t xml:space="preserve"> the substance to be inhaled e.g. a hookah.</w:t>
            </w:r>
          </w:p>
        </w:tc>
      </w:tr>
    </w:tbl>
    <w:p w14:paraId="0E1F5924" w14:textId="77777777" w:rsidR="006112ED" w:rsidRPr="006112ED" w:rsidRDefault="006112ED" w:rsidP="006112ED">
      <w:pPr>
        <w:pStyle w:val="BodyText"/>
        <w:rPr>
          <w:sz w:val="18"/>
        </w:rPr>
      </w:pPr>
      <w:r>
        <w:br w:type="page"/>
      </w:r>
    </w:p>
    <w:p w14:paraId="63AB77D1" w14:textId="77777777" w:rsidR="00F74F02" w:rsidRDefault="00F74F02" w:rsidP="00A47EF7">
      <w:pPr>
        <w:pStyle w:val="Heading1notnumbered"/>
      </w:pPr>
      <w:bookmarkStart w:id="353" w:name="_Toc517706752"/>
      <w:r>
        <w:lastRenderedPageBreak/>
        <w:t>References</w:t>
      </w:r>
      <w:bookmarkEnd w:id="350"/>
      <w:bookmarkEnd w:id="353"/>
    </w:p>
    <w:p w14:paraId="6496C118" w14:textId="77777777" w:rsidR="00AC7702" w:rsidRPr="00AC7702" w:rsidRDefault="00EA178A" w:rsidP="00AC7702">
      <w:pPr>
        <w:pStyle w:val="EndNoteBibliography"/>
        <w:spacing w:after="360"/>
      </w:pPr>
      <w:r>
        <w:rPr>
          <w:sz w:val="18"/>
        </w:rPr>
        <w:fldChar w:fldCharType="begin"/>
      </w:r>
      <w:r>
        <w:rPr>
          <w:sz w:val="18"/>
        </w:rPr>
        <w:instrText xml:space="preserve"> ADDIN EN.REFLIST </w:instrText>
      </w:r>
      <w:r>
        <w:rPr>
          <w:sz w:val="18"/>
        </w:rPr>
        <w:fldChar w:fldCharType="separate"/>
      </w:r>
      <w:r w:rsidR="00AC7702" w:rsidRPr="00AC7702">
        <w:t xml:space="preserve">Abadi, S., E. T. Couch, B. W. Chaffee and M. M. Walsh (2017). "Perceptions Related to Use of Electronic Cigarettes among California College Students." </w:t>
      </w:r>
      <w:r w:rsidR="00AC7702" w:rsidRPr="00AC7702">
        <w:rPr>
          <w:u w:val="single"/>
        </w:rPr>
        <w:t>J Dent Hyg</w:t>
      </w:r>
      <w:r w:rsidR="00AC7702" w:rsidRPr="00AC7702">
        <w:t xml:space="preserve"> </w:t>
      </w:r>
      <w:r w:rsidR="00AC7702" w:rsidRPr="00AC7702">
        <w:rPr>
          <w:b/>
        </w:rPr>
        <w:t>91</w:t>
      </w:r>
      <w:r w:rsidR="00AC7702" w:rsidRPr="00AC7702">
        <w:t>(1): 35-43.</w:t>
      </w:r>
    </w:p>
    <w:p w14:paraId="6811FD84" w14:textId="77777777" w:rsidR="00AC7702" w:rsidRPr="00AC7702" w:rsidRDefault="00AC7702" w:rsidP="00AC7702">
      <w:pPr>
        <w:pStyle w:val="EndNoteBibliography"/>
        <w:spacing w:after="360"/>
      </w:pPr>
      <w:r w:rsidRPr="00AC7702">
        <w:t xml:space="preserve">Ackley, E., J. T. B. Williams, C. Kunrath, M. Monson, A. Ignatiuk and J. Gaensbauer (2018). "Too Hot to Handle? When Vaporizers Explode." </w:t>
      </w:r>
      <w:r w:rsidRPr="00AC7702">
        <w:rPr>
          <w:u w:val="single"/>
        </w:rPr>
        <w:t>J Pediatr</w:t>
      </w:r>
      <w:r w:rsidRPr="00AC7702">
        <w:t>.</w:t>
      </w:r>
    </w:p>
    <w:p w14:paraId="31914003" w14:textId="77777777" w:rsidR="00AC7702" w:rsidRPr="00AC7702" w:rsidRDefault="00AC7702" w:rsidP="00AC7702">
      <w:pPr>
        <w:pStyle w:val="EndNoteBibliography"/>
        <w:spacing w:after="360"/>
      </w:pPr>
      <w:r w:rsidRPr="00AC7702">
        <w:t xml:space="preserve">Agarwal, D., A. Loukas and C. L. Perry (2017). "Examining College Students' Social Environment, Normative Beliefs, and Attitudes in Subsequent Initiation of Electronic Nicotine Delivery Systems." </w:t>
      </w:r>
      <w:r w:rsidRPr="00AC7702">
        <w:rPr>
          <w:u w:val="single"/>
        </w:rPr>
        <w:t>Health Educ Behav</w:t>
      </w:r>
      <w:r w:rsidRPr="00AC7702">
        <w:t>: 1090198117739672.</w:t>
      </w:r>
    </w:p>
    <w:p w14:paraId="508CAD24" w14:textId="77777777" w:rsidR="00AC7702" w:rsidRPr="00AC7702" w:rsidRDefault="00AC7702" w:rsidP="00AC7702">
      <w:pPr>
        <w:pStyle w:val="EndNoteBibliography"/>
        <w:spacing w:after="360"/>
      </w:pPr>
      <w:r w:rsidRPr="00AC7702">
        <w:t xml:space="preserve">Agochukwu, N. and J. Y. Liau (2018). "Debunking the myth of e-cigarettes: A case of free flap compromise due to e-cigarette use within the first 24 hours." </w:t>
      </w:r>
      <w:r w:rsidRPr="00AC7702">
        <w:rPr>
          <w:u w:val="single"/>
        </w:rPr>
        <w:t>J Plast Reconstr Aesthet Surg</w:t>
      </w:r>
      <w:r w:rsidRPr="00AC7702">
        <w:t xml:space="preserve"> </w:t>
      </w:r>
      <w:r w:rsidRPr="00AC7702">
        <w:rPr>
          <w:b/>
        </w:rPr>
        <w:t>71</w:t>
      </w:r>
      <w:r w:rsidRPr="00AC7702">
        <w:t>(3): 451-453.</w:t>
      </w:r>
    </w:p>
    <w:p w14:paraId="0A126C64" w14:textId="77777777" w:rsidR="00AC7702" w:rsidRPr="00AC7702" w:rsidRDefault="00AC7702" w:rsidP="00AC7702">
      <w:pPr>
        <w:pStyle w:val="EndNoteBibliography"/>
        <w:spacing w:after="360"/>
      </w:pPr>
      <w:r w:rsidRPr="00AC7702">
        <w:t xml:space="preserve">Aherrera, A., P. Olmedo, M. Grau-Perez, S. Tanda, W. Goessler, S. Jarmul, R. Chen, J. E. Cohen, A. M. Rule and A. Navas-Acien (2017). "The association of e-cigarette use with exposure to nickel and chromium: A preliminary study of non-invasive biomarkers." </w:t>
      </w:r>
      <w:r w:rsidRPr="00AC7702">
        <w:rPr>
          <w:u w:val="single"/>
        </w:rPr>
        <w:t>Environ Res</w:t>
      </w:r>
      <w:r w:rsidRPr="00AC7702">
        <w:t xml:space="preserve"> </w:t>
      </w:r>
      <w:r w:rsidRPr="00AC7702">
        <w:rPr>
          <w:b/>
        </w:rPr>
        <w:t>159</w:t>
      </w:r>
      <w:r w:rsidRPr="00AC7702">
        <w:t>: 313-320.</w:t>
      </w:r>
    </w:p>
    <w:p w14:paraId="28529965" w14:textId="77777777" w:rsidR="00AC7702" w:rsidRPr="00AC7702" w:rsidRDefault="00AC7702" w:rsidP="00AC7702">
      <w:pPr>
        <w:pStyle w:val="EndNoteBibliography"/>
      </w:pPr>
      <w:r w:rsidRPr="00AC7702">
        <w:t>AIHW. (2017). "National Drug Strategy Household Survey 2016: detailed findings."   Retrieved May 2018</w:t>
      </w:r>
    </w:p>
    <w:p w14:paraId="6455392A" w14:textId="6BCB3725" w:rsidR="00AC7702" w:rsidRPr="00AC7702" w:rsidRDefault="00AC7702" w:rsidP="00AC7702">
      <w:pPr>
        <w:pStyle w:val="EndNoteBibliography"/>
        <w:spacing w:after="360"/>
      </w:pPr>
      <w:r w:rsidRPr="00AC7702">
        <w:t xml:space="preserve">from </w:t>
      </w:r>
      <w:hyperlink r:id="rId50" w:history="1">
        <w:r w:rsidRPr="00AC7702">
          <w:rPr>
            <w:rStyle w:val="Hyperlink"/>
            <w:rFonts w:cs="Calibri"/>
          </w:rPr>
          <w:t>https://www.aihw.gov.au/reports/illicit-use-of-drugs/ndshs-2016-detailed/data</w:t>
        </w:r>
      </w:hyperlink>
      <w:r w:rsidRPr="00AC7702">
        <w:t>.</w:t>
      </w:r>
    </w:p>
    <w:p w14:paraId="5C0ADC0F" w14:textId="77777777" w:rsidR="00AC7702" w:rsidRPr="00AC7702" w:rsidRDefault="00AC7702" w:rsidP="00AC7702">
      <w:pPr>
        <w:pStyle w:val="EndNoteBibliography"/>
        <w:spacing w:after="360"/>
      </w:pPr>
      <w:r w:rsidRPr="00AC7702">
        <w:t xml:space="preserve">Alasmari, F., L. E. Crotty Alexander, J. A. Nelson, I. T. Schiefer, E. Breen, C. A. Drummond and Y. Sari (2017). "Effects of chronic inhalation of electronic cigarettes containing nicotine on glial glutamate transporters and alpha-7 nicotinic acetylcholine receptor in female CD-1 mice." </w:t>
      </w:r>
      <w:r w:rsidRPr="00AC7702">
        <w:rPr>
          <w:u w:val="single"/>
        </w:rPr>
        <w:t>Prog Neuropsychopharmacol Biol Psychiatry</w:t>
      </w:r>
      <w:r w:rsidRPr="00AC7702">
        <w:t xml:space="preserve"> </w:t>
      </w:r>
      <w:r w:rsidRPr="00AC7702">
        <w:rPr>
          <w:b/>
        </w:rPr>
        <w:t>77</w:t>
      </w:r>
      <w:r w:rsidRPr="00AC7702">
        <w:t>: 1-8.</w:t>
      </w:r>
    </w:p>
    <w:p w14:paraId="1E530A7B" w14:textId="77777777" w:rsidR="00AC7702" w:rsidRPr="00AC7702" w:rsidRDefault="00AC7702" w:rsidP="00AC7702">
      <w:pPr>
        <w:pStyle w:val="EndNoteBibliography"/>
        <w:spacing w:after="360"/>
      </w:pPr>
      <w:r w:rsidRPr="00AC7702">
        <w:t xml:space="preserve">Alexander, J. P. and P. Williams (2017). "Understanding adolescent e-cigarette users: attitudes, beliefs, and social norms." </w:t>
      </w:r>
      <w:r w:rsidRPr="00AC7702">
        <w:rPr>
          <w:u w:val="single"/>
        </w:rPr>
        <w:t>Annals of Behavioral Medicine</w:t>
      </w:r>
      <w:r w:rsidRPr="00AC7702">
        <w:t xml:space="preserve"> </w:t>
      </w:r>
      <w:r w:rsidRPr="00AC7702">
        <w:rPr>
          <w:b/>
        </w:rPr>
        <w:t>51</w:t>
      </w:r>
      <w:r w:rsidRPr="00AC7702">
        <w:t>: S2866-S2867.</w:t>
      </w:r>
    </w:p>
    <w:p w14:paraId="2D64A06E" w14:textId="77777777" w:rsidR="00AC7702" w:rsidRPr="00AC7702" w:rsidRDefault="00AC7702" w:rsidP="00AC7702">
      <w:pPr>
        <w:pStyle w:val="EndNoteBibliography"/>
        <w:spacing w:after="360"/>
      </w:pPr>
      <w:r w:rsidRPr="00AC7702">
        <w:t xml:space="preserve">Amato, M. S., R. G. Boyle and D. Levy (2017). "E-cigarette use 1 year later in a population-based prospective cohort." </w:t>
      </w:r>
      <w:r w:rsidRPr="00AC7702">
        <w:rPr>
          <w:u w:val="single"/>
        </w:rPr>
        <w:t>Tob Control</w:t>
      </w:r>
      <w:r w:rsidRPr="00AC7702">
        <w:t xml:space="preserve"> </w:t>
      </w:r>
      <w:r w:rsidRPr="00AC7702">
        <w:rPr>
          <w:b/>
        </w:rPr>
        <w:t>26</w:t>
      </w:r>
      <w:r w:rsidRPr="00AC7702">
        <w:t>(e2): e92-e96.</w:t>
      </w:r>
    </w:p>
    <w:p w14:paraId="7CB9527B" w14:textId="77777777" w:rsidR="00AC7702" w:rsidRPr="00AC7702" w:rsidRDefault="00AC7702" w:rsidP="00AC7702">
      <w:pPr>
        <w:pStyle w:val="EndNoteBibliography"/>
        <w:spacing w:after="360"/>
      </w:pPr>
      <w:r w:rsidRPr="00AC7702">
        <w:t xml:space="preserve">Anderson, H., C. Richie and A. Bernard (2017). "A Surprisingly Volatile Smoking Alternative: Explosion and Burns as Risks of E-Cigarette Use." </w:t>
      </w:r>
      <w:r w:rsidRPr="00AC7702">
        <w:rPr>
          <w:u w:val="single"/>
        </w:rPr>
        <w:t>J Burn Care Res</w:t>
      </w:r>
      <w:r w:rsidRPr="00AC7702">
        <w:t xml:space="preserve"> </w:t>
      </w:r>
      <w:r w:rsidRPr="00AC7702">
        <w:rPr>
          <w:b/>
        </w:rPr>
        <w:t>38</w:t>
      </w:r>
      <w:r w:rsidRPr="00AC7702">
        <w:t>(5): e884.</w:t>
      </w:r>
    </w:p>
    <w:p w14:paraId="0EFE96F0" w14:textId="77777777" w:rsidR="00AC7702" w:rsidRPr="00AC7702" w:rsidRDefault="00AC7702" w:rsidP="00AC7702">
      <w:pPr>
        <w:pStyle w:val="EndNoteBibliography"/>
        <w:spacing w:after="360"/>
      </w:pPr>
      <w:r w:rsidRPr="00AC7702">
        <w:t xml:space="preserve">Andresen, N. S., D. J. Lee, C. E. Kowalski and R. Bayon (2018). "Fall With e-Cigarette in Mouth Resulting in Pharyngeal and Esophageal Burns." </w:t>
      </w:r>
      <w:r w:rsidRPr="00AC7702">
        <w:rPr>
          <w:u w:val="single"/>
        </w:rPr>
        <w:t>JAMA Otolaryngol Head Neck Surg</w:t>
      </w:r>
      <w:r w:rsidRPr="00AC7702">
        <w:t>.</w:t>
      </w:r>
    </w:p>
    <w:p w14:paraId="66EE3D88" w14:textId="77777777" w:rsidR="00AC7702" w:rsidRPr="00AC7702" w:rsidRDefault="00AC7702" w:rsidP="00AC7702">
      <w:pPr>
        <w:pStyle w:val="EndNoteBibliography"/>
        <w:spacing w:after="360"/>
      </w:pPr>
      <w:r w:rsidRPr="00AC7702">
        <w:lastRenderedPageBreak/>
        <w:t xml:space="preserve">Anic, G. M., E. Holder-Hayes, B. K. Ambrose, B. L. Rostron, B. Coleman, A. Jamal and B. J. Apelberg (2018). "E-cigarette and Smokeless Tobacco Use and Switching Among Smokers: Findings From the National Adult Tobacco Survey." </w:t>
      </w:r>
      <w:r w:rsidRPr="00AC7702">
        <w:rPr>
          <w:u w:val="single"/>
        </w:rPr>
        <w:t>Am J Prev Med</w:t>
      </w:r>
      <w:r w:rsidRPr="00AC7702">
        <w:t>.</w:t>
      </w:r>
    </w:p>
    <w:p w14:paraId="6D797E3E" w14:textId="77777777" w:rsidR="00AC7702" w:rsidRPr="00AC7702" w:rsidRDefault="00AC7702" w:rsidP="00AC7702">
      <w:pPr>
        <w:pStyle w:val="EndNoteBibliography"/>
        <w:spacing w:after="360"/>
      </w:pPr>
      <w:r w:rsidRPr="00AC7702">
        <w:t xml:space="preserve">Antherieu, S., A. Garat, N. Beauval, M. Soyez, D. Allorge, G. Garcon and J. M. Lo-Guidice (2017). "Comparison of cellular and transcriptomic effects between electronic cigarette vapor and cigarette smoke in human bronchial epithelial cells." </w:t>
      </w:r>
      <w:r w:rsidRPr="00AC7702">
        <w:rPr>
          <w:u w:val="single"/>
        </w:rPr>
        <w:t>Toxicol In Vitro</w:t>
      </w:r>
      <w:r w:rsidRPr="00AC7702">
        <w:t xml:space="preserve"> </w:t>
      </w:r>
      <w:r w:rsidRPr="00AC7702">
        <w:rPr>
          <w:b/>
        </w:rPr>
        <w:t>45</w:t>
      </w:r>
      <w:r w:rsidRPr="00AC7702">
        <w:t>(Pt 3): 417-425.</w:t>
      </w:r>
    </w:p>
    <w:p w14:paraId="71A64030" w14:textId="77777777" w:rsidR="00AC7702" w:rsidRPr="00AC7702" w:rsidRDefault="00AC7702" w:rsidP="00AC7702">
      <w:pPr>
        <w:pStyle w:val="EndNoteBibliography"/>
        <w:spacing w:after="360"/>
      </w:pPr>
      <w:r w:rsidRPr="00AC7702">
        <w:t xml:space="preserve">Ashford, K. B., N. R. Chavan, A. Wiggins, J. Barnett, A. McCubbin, L. Ducas and J. M. O'Brien (2018). "Prenatal electronic cigarette, dual use and nicotine dependency." </w:t>
      </w:r>
      <w:r w:rsidRPr="00AC7702">
        <w:rPr>
          <w:u w:val="single"/>
        </w:rPr>
        <w:t>American Journal of Obstetrics and Gynecology</w:t>
      </w:r>
      <w:r w:rsidRPr="00AC7702">
        <w:t xml:space="preserve"> </w:t>
      </w:r>
      <w:r w:rsidRPr="00AC7702">
        <w:rPr>
          <w:b/>
        </w:rPr>
        <w:t>218</w:t>
      </w:r>
      <w:r w:rsidRPr="00AC7702">
        <w:t>(1): S431-S432.</w:t>
      </w:r>
    </w:p>
    <w:p w14:paraId="18F3BA83" w14:textId="68BA24AE" w:rsidR="00AC7702" w:rsidRPr="00AC7702" w:rsidRDefault="00AC7702" w:rsidP="00AC7702">
      <w:pPr>
        <w:pStyle w:val="EndNoteBibliography"/>
        <w:spacing w:after="360"/>
      </w:pPr>
      <w:r w:rsidRPr="00AC7702">
        <w:t xml:space="preserve">ATSDR. (2012). "Manganese." </w:t>
      </w:r>
      <w:r w:rsidRPr="00AC7702">
        <w:rPr>
          <w:u w:val="single"/>
        </w:rPr>
        <w:t>Toxic Substances Portal</w:t>
      </w:r>
      <w:r w:rsidRPr="00AC7702">
        <w:t xml:space="preserve">  Retrieved 14.06, 2018, from </w:t>
      </w:r>
      <w:hyperlink r:id="rId51" w:history="1">
        <w:r w:rsidRPr="00AC7702">
          <w:rPr>
            <w:rStyle w:val="Hyperlink"/>
            <w:rFonts w:cs="Calibri"/>
          </w:rPr>
          <w:t>https://www.atsdr.cdc.gov/ToxProfiles/tp.asp?id=102&amp;tid=23</w:t>
        </w:r>
      </w:hyperlink>
      <w:r w:rsidRPr="00AC7702">
        <w:t>.</w:t>
      </w:r>
    </w:p>
    <w:p w14:paraId="137F61CB" w14:textId="2DC54890" w:rsidR="00AC7702" w:rsidRPr="00AC7702" w:rsidRDefault="00AC7702" w:rsidP="00AC7702">
      <w:pPr>
        <w:pStyle w:val="EndNoteBibliography"/>
        <w:spacing w:after="360"/>
      </w:pPr>
      <w:r w:rsidRPr="00AC7702">
        <w:t xml:space="preserve">ATSDR. (2013). "Chromium Toxicity - What Are the Physiologic Effects of Chromium Exposure?"   Retrieved 14.06, 2018, from </w:t>
      </w:r>
      <w:hyperlink r:id="rId52" w:history="1">
        <w:r w:rsidRPr="00AC7702">
          <w:rPr>
            <w:rStyle w:val="Hyperlink"/>
            <w:rFonts w:cs="Calibri"/>
          </w:rPr>
          <w:t>https://www.atsdr.cdc.gov/csem/csem.asp?csem=10&amp;po=10</w:t>
        </w:r>
      </w:hyperlink>
      <w:r w:rsidRPr="00AC7702">
        <w:t>.</w:t>
      </w:r>
    </w:p>
    <w:p w14:paraId="5E8CDC03" w14:textId="60C2B1A3" w:rsidR="00AC7702" w:rsidRPr="00AC7702" w:rsidRDefault="00AC7702" w:rsidP="00AC7702">
      <w:pPr>
        <w:pStyle w:val="EndNoteBibliography"/>
        <w:spacing w:after="360"/>
      </w:pPr>
      <w:r w:rsidRPr="00AC7702">
        <w:t xml:space="preserve">ATSDR. (2014). "Nickel." </w:t>
      </w:r>
      <w:r w:rsidRPr="00AC7702">
        <w:rPr>
          <w:u w:val="single"/>
        </w:rPr>
        <w:t>Toxic Substances Portal</w:t>
      </w:r>
      <w:r w:rsidRPr="00AC7702">
        <w:t xml:space="preserve">  Retrieved 14.06, 2018, from </w:t>
      </w:r>
      <w:hyperlink r:id="rId53" w:history="1">
        <w:r w:rsidRPr="00AC7702">
          <w:rPr>
            <w:rStyle w:val="Hyperlink"/>
            <w:rFonts w:cs="Calibri"/>
          </w:rPr>
          <w:t>https://www.atsdr.cdc.gov/toxfaqs/tf.asp?id=244&amp;tid=44</w:t>
        </w:r>
      </w:hyperlink>
      <w:r w:rsidRPr="00AC7702">
        <w:t>.</w:t>
      </w:r>
    </w:p>
    <w:p w14:paraId="5C0D5F94" w14:textId="77777777" w:rsidR="00AC7702" w:rsidRPr="00AC7702" w:rsidRDefault="00AC7702" w:rsidP="00AC7702">
      <w:pPr>
        <w:pStyle w:val="EndNoteBibliography"/>
        <w:spacing w:after="360"/>
      </w:pPr>
      <w:r w:rsidRPr="00AC7702">
        <w:t xml:space="preserve">Aufderheide, M. and M. Emura (2017). "Phenotypical changes in a differentiating immortalized bronchial epithelial cell line after exposure to mainstream cigarette smoke and e-cigarette vapor." </w:t>
      </w:r>
      <w:r w:rsidRPr="00AC7702">
        <w:rPr>
          <w:u w:val="single"/>
        </w:rPr>
        <w:t>Exp Toxicol Pathol</w:t>
      </w:r>
      <w:r w:rsidRPr="00AC7702">
        <w:t xml:space="preserve"> </w:t>
      </w:r>
      <w:r w:rsidRPr="00AC7702">
        <w:rPr>
          <w:b/>
        </w:rPr>
        <w:t>69</w:t>
      </w:r>
      <w:r w:rsidRPr="00AC7702">
        <w:t>(6): 393-401.</w:t>
      </w:r>
    </w:p>
    <w:p w14:paraId="5FB833AA" w14:textId="77777777" w:rsidR="00AC7702" w:rsidRPr="00AC7702" w:rsidRDefault="00AC7702" w:rsidP="00AC7702">
      <w:pPr>
        <w:pStyle w:val="EndNoteBibliography"/>
        <w:spacing w:after="360"/>
      </w:pPr>
      <w:r w:rsidRPr="00AC7702">
        <w:t xml:space="preserve">Ayers, J. W., E. C. Leas, J. P. Allem, A. Benton, M. Dredze, B. M. Althouse, T. B. Cruz and J. B. Unger (2017). "Why do people use electronic nicotine delivery systems (electronic cigarettes)? A content analysis of Twitter, 2012-2015." </w:t>
      </w:r>
      <w:r w:rsidRPr="00AC7702">
        <w:rPr>
          <w:u w:val="single"/>
        </w:rPr>
        <w:t>PLoS One</w:t>
      </w:r>
      <w:r w:rsidRPr="00AC7702">
        <w:t xml:space="preserve"> </w:t>
      </w:r>
      <w:r w:rsidRPr="00AC7702">
        <w:rPr>
          <w:b/>
        </w:rPr>
        <w:t>12</w:t>
      </w:r>
      <w:r w:rsidRPr="00AC7702">
        <w:t>(3): e0170702.</w:t>
      </w:r>
    </w:p>
    <w:p w14:paraId="04A8C36E" w14:textId="77777777" w:rsidR="00AC7702" w:rsidRPr="00AC7702" w:rsidRDefault="00AC7702" w:rsidP="00AC7702">
      <w:pPr>
        <w:pStyle w:val="EndNoteBibliography"/>
        <w:spacing w:after="360"/>
      </w:pPr>
      <w:r w:rsidRPr="00AC7702">
        <w:t xml:space="preserve">Baldassarri, S. R., S. L. Bernstein, G. L. Chupp, M. D. Slade, L. M. Fucito and B. A. Toll (2018). "Electronic cigarettes for adults with tobacco dependence enrolled in a tobacco treatment program: A pilot study." </w:t>
      </w:r>
      <w:r w:rsidRPr="00AC7702">
        <w:rPr>
          <w:u w:val="single"/>
        </w:rPr>
        <w:t>Addict Behav</w:t>
      </w:r>
      <w:r w:rsidRPr="00AC7702">
        <w:t xml:space="preserve"> </w:t>
      </w:r>
      <w:r w:rsidRPr="00AC7702">
        <w:rPr>
          <w:b/>
        </w:rPr>
        <w:t>80</w:t>
      </w:r>
      <w:r w:rsidRPr="00AC7702">
        <w:t>: 1-5.</w:t>
      </w:r>
    </w:p>
    <w:p w14:paraId="24754ADE" w14:textId="77777777" w:rsidR="00AC7702" w:rsidRPr="00AC7702" w:rsidRDefault="00AC7702" w:rsidP="00AC7702">
      <w:pPr>
        <w:pStyle w:val="EndNoteBibliography"/>
        <w:spacing w:after="360"/>
      </w:pPr>
      <w:r w:rsidRPr="00AC7702">
        <w:t xml:space="preserve">Ban, C., D. G. Krishnan and Y. Abdallah (2017). "Ballistic trauma from an exploding electronic cigarette: Case report." </w:t>
      </w:r>
      <w:r w:rsidRPr="00AC7702">
        <w:rPr>
          <w:u w:val="single"/>
        </w:rPr>
        <w:t>Oral and Maxillofacial Surgery Cases</w:t>
      </w:r>
      <w:r w:rsidRPr="00AC7702">
        <w:t xml:space="preserve"> </w:t>
      </w:r>
      <w:r w:rsidRPr="00AC7702">
        <w:rPr>
          <w:b/>
        </w:rPr>
        <w:t>3</w:t>
      </w:r>
      <w:r w:rsidRPr="00AC7702">
        <w:t>(3): 61-63.</w:t>
      </w:r>
    </w:p>
    <w:p w14:paraId="3E758AF5" w14:textId="77777777" w:rsidR="00AC7702" w:rsidRPr="00AC7702" w:rsidRDefault="00AC7702" w:rsidP="00AC7702">
      <w:pPr>
        <w:pStyle w:val="EndNoteBibliography"/>
        <w:spacing w:after="360"/>
      </w:pPr>
      <w:r w:rsidRPr="00AC7702">
        <w:t xml:space="preserve">Bandiera, F. C., A. Loukas, X. Li, A. V. Wilkinson and C. L. Perry (2017). "Depressive Symptoms Predict Current E-Cigarette Use Among College Students in Texas." </w:t>
      </w:r>
      <w:r w:rsidRPr="00AC7702">
        <w:rPr>
          <w:u w:val="single"/>
        </w:rPr>
        <w:t>Nicotine Tob Res</w:t>
      </w:r>
      <w:r w:rsidRPr="00AC7702">
        <w:t xml:space="preserve"> </w:t>
      </w:r>
      <w:r w:rsidRPr="00AC7702">
        <w:rPr>
          <w:b/>
        </w:rPr>
        <w:t>19</w:t>
      </w:r>
      <w:r w:rsidRPr="00AC7702">
        <w:t>(9): 1102-1106.</w:t>
      </w:r>
    </w:p>
    <w:p w14:paraId="592AA982" w14:textId="77777777" w:rsidR="00AC7702" w:rsidRPr="00AC7702" w:rsidRDefault="00AC7702" w:rsidP="00AC7702">
      <w:pPr>
        <w:pStyle w:val="EndNoteBibliography"/>
        <w:spacing w:after="360"/>
      </w:pPr>
      <w:r w:rsidRPr="00AC7702">
        <w:t xml:space="preserve">Barber, K. E., B. Ghebrehiwet, W. Yin and D. A. Rubenstein (2017). "Endothelial Cell Inflammatory Reactions Are Altered in the Presence of E-Cigarette Extracts of Variable Nicotine." </w:t>
      </w:r>
      <w:r w:rsidRPr="00AC7702">
        <w:rPr>
          <w:u w:val="single"/>
        </w:rPr>
        <w:t>Cellular and Molecular Bioengineering</w:t>
      </w:r>
      <w:r w:rsidRPr="00AC7702">
        <w:t xml:space="preserve"> </w:t>
      </w:r>
      <w:r w:rsidRPr="00AC7702">
        <w:rPr>
          <w:b/>
        </w:rPr>
        <w:t>10</w:t>
      </w:r>
      <w:r w:rsidRPr="00AC7702">
        <w:t>(1): 124-133.</w:t>
      </w:r>
    </w:p>
    <w:p w14:paraId="76AFC16B" w14:textId="77777777" w:rsidR="00AC7702" w:rsidRPr="00AC7702" w:rsidRDefault="00AC7702" w:rsidP="00AC7702">
      <w:pPr>
        <w:pStyle w:val="EndNoteBibliography"/>
        <w:spacing w:after="360"/>
      </w:pPr>
      <w:r w:rsidRPr="00AC7702">
        <w:t xml:space="preserve">Bardellini, E., F. Amadori, G. Conti and A. Majorana (2018). "Oral mucosal lesions in electronic cigarettes consumers versus former smokers." </w:t>
      </w:r>
      <w:r w:rsidRPr="00AC7702">
        <w:rPr>
          <w:u w:val="single"/>
        </w:rPr>
        <w:t>Acta Odontol Scand</w:t>
      </w:r>
      <w:r w:rsidRPr="00AC7702">
        <w:t xml:space="preserve"> </w:t>
      </w:r>
      <w:r w:rsidRPr="00AC7702">
        <w:rPr>
          <w:b/>
        </w:rPr>
        <w:t>76</w:t>
      </w:r>
      <w:r w:rsidRPr="00AC7702">
        <w:t>(3): 226-228.</w:t>
      </w:r>
    </w:p>
    <w:p w14:paraId="7832D4AF" w14:textId="77777777" w:rsidR="00AC7702" w:rsidRPr="00AC7702" w:rsidRDefault="00AC7702" w:rsidP="00AC7702">
      <w:pPr>
        <w:pStyle w:val="EndNoteBibliography"/>
        <w:spacing w:after="360"/>
      </w:pPr>
      <w:r w:rsidRPr="00AC7702">
        <w:lastRenderedPageBreak/>
        <w:t xml:space="preserve">Bauld, L., A. M. MacKintosh, B. Eastwood, A. Ford, G. Moore, M. Dockrell, D. Arnott, H. Cheeseman and A. McNeill (2017). "Young People's Use of E-Cigarettes across the United Kingdom: Findings from Five Surveys 2015-2017." </w:t>
      </w:r>
      <w:r w:rsidRPr="00AC7702">
        <w:rPr>
          <w:u w:val="single"/>
        </w:rPr>
        <w:t>Int J Environ Res Public Health</w:t>
      </w:r>
      <w:r w:rsidRPr="00AC7702">
        <w:t xml:space="preserve"> </w:t>
      </w:r>
      <w:r w:rsidRPr="00AC7702">
        <w:rPr>
          <w:b/>
        </w:rPr>
        <w:t>14</w:t>
      </w:r>
      <w:r w:rsidRPr="00AC7702">
        <w:t>(9).</w:t>
      </w:r>
    </w:p>
    <w:p w14:paraId="6C55BF65" w14:textId="77777777" w:rsidR="00AC7702" w:rsidRPr="00AC7702" w:rsidRDefault="00AC7702" w:rsidP="00AC7702">
      <w:pPr>
        <w:pStyle w:val="EndNoteBibliography"/>
        <w:spacing w:after="360"/>
      </w:pPr>
      <w:r w:rsidRPr="00AC7702">
        <w:t xml:space="preserve">Bauman, Z. M., J. Roman, M. Singer and G. A. Vercruysse (2017). "Canary in the coal mine-Initial reports of thermal injury secondary to electronic cigarettes." </w:t>
      </w:r>
      <w:r w:rsidRPr="00AC7702">
        <w:rPr>
          <w:u w:val="single"/>
        </w:rPr>
        <w:t>Burns</w:t>
      </w:r>
      <w:r w:rsidRPr="00AC7702">
        <w:t xml:space="preserve"> </w:t>
      </w:r>
      <w:r w:rsidRPr="00AC7702">
        <w:rPr>
          <w:b/>
        </w:rPr>
        <w:t>43</w:t>
      </w:r>
      <w:r w:rsidRPr="00AC7702">
        <w:t>(3): e38-e42.</w:t>
      </w:r>
    </w:p>
    <w:p w14:paraId="7C319D52" w14:textId="77777777" w:rsidR="00AC7702" w:rsidRPr="00AC7702" w:rsidRDefault="00AC7702" w:rsidP="00AC7702">
      <w:pPr>
        <w:pStyle w:val="EndNoteBibliography"/>
        <w:spacing w:after="360"/>
      </w:pPr>
      <w:r w:rsidRPr="00AC7702">
        <w:t xml:space="preserve">Behar, R. Z., Y. Wang and P. Talbot (2017). "Comparing the cytotoxicity of electronic cigarette fluids, aerosols and solvents." </w:t>
      </w:r>
      <w:r w:rsidRPr="00AC7702">
        <w:rPr>
          <w:u w:val="single"/>
        </w:rPr>
        <w:t>Tob Control</w:t>
      </w:r>
      <w:r w:rsidRPr="00AC7702">
        <w:t>.</w:t>
      </w:r>
    </w:p>
    <w:p w14:paraId="2B619B86" w14:textId="77777777" w:rsidR="00AC7702" w:rsidRPr="00AC7702" w:rsidRDefault="00AC7702" w:rsidP="00AC7702">
      <w:pPr>
        <w:pStyle w:val="EndNoteBibliography"/>
        <w:spacing w:after="360"/>
      </w:pPr>
      <w:r w:rsidRPr="00AC7702">
        <w:t xml:space="preserve">Bengalli, R., E. Ferri, M. Labra and P. Mantecca (2017). "Lung Toxicity of Condensed Aerosol from E-CIG Liquids: Influence of the Flavor and the In Vitro Model Used." </w:t>
      </w:r>
      <w:r w:rsidRPr="00AC7702">
        <w:rPr>
          <w:u w:val="single"/>
        </w:rPr>
        <w:t>Int J Environ Res Public Health</w:t>
      </w:r>
      <w:r w:rsidRPr="00AC7702">
        <w:t xml:space="preserve"> </w:t>
      </w:r>
      <w:r w:rsidRPr="00AC7702">
        <w:rPr>
          <w:b/>
        </w:rPr>
        <w:t>14</w:t>
      </w:r>
      <w:r w:rsidRPr="00AC7702">
        <w:t>(10).</w:t>
      </w:r>
    </w:p>
    <w:p w14:paraId="54E3EF79" w14:textId="77777777" w:rsidR="00AC7702" w:rsidRPr="00AC7702" w:rsidRDefault="00AC7702" w:rsidP="00AC7702">
      <w:pPr>
        <w:pStyle w:val="EndNoteBibliography"/>
        <w:spacing w:after="360"/>
      </w:pPr>
      <w:r w:rsidRPr="00AC7702">
        <w:t xml:space="preserve">Berry, C., S. Burton and E. Howlett (2017). "Are Cigarette Smokers', E-Cigarette Users', and Dual Users' Health-Risk Beliefs and Responses to Advertising Influenced by Addiction Warnings and Product Type?" </w:t>
      </w:r>
      <w:r w:rsidRPr="00AC7702">
        <w:rPr>
          <w:u w:val="single"/>
        </w:rPr>
        <w:t>Nicotine Tob Res</w:t>
      </w:r>
      <w:r w:rsidRPr="00AC7702">
        <w:t xml:space="preserve"> </w:t>
      </w:r>
      <w:r w:rsidRPr="00AC7702">
        <w:rPr>
          <w:b/>
        </w:rPr>
        <w:t>19</w:t>
      </w:r>
      <w:r w:rsidRPr="00AC7702">
        <w:t>(10): 1185-1191.</w:t>
      </w:r>
    </w:p>
    <w:p w14:paraId="5D7EFEEE" w14:textId="77777777" w:rsidR="00AC7702" w:rsidRPr="00AC7702" w:rsidRDefault="00AC7702" w:rsidP="00AC7702">
      <w:pPr>
        <w:pStyle w:val="EndNoteBibliography"/>
        <w:spacing w:after="360"/>
      </w:pPr>
      <w:r w:rsidRPr="00AC7702">
        <w:t xml:space="preserve">Berry, K. M., L. M. Reynolds, J. M. Collins, M. B. Siegel, J. L. Fetterman, N. M. Hamburg, A. Bhatnagar, E. J. Benjamin and A. Stokes (2018). "E-cigarette initiation and associated changes in smoking cessation and reduction: the Population Assessment of Tobacco and Health Study, 2013-2015." </w:t>
      </w:r>
      <w:r w:rsidRPr="00AC7702">
        <w:rPr>
          <w:u w:val="single"/>
        </w:rPr>
        <w:t>Tobacco control</w:t>
      </w:r>
      <w:r w:rsidRPr="00AC7702">
        <w:t>.</w:t>
      </w:r>
    </w:p>
    <w:p w14:paraId="675406BE" w14:textId="77777777" w:rsidR="00AC7702" w:rsidRPr="00AC7702" w:rsidRDefault="00AC7702" w:rsidP="00AC7702">
      <w:pPr>
        <w:pStyle w:val="EndNoteBibliography"/>
        <w:spacing w:after="360"/>
      </w:pPr>
      <w:r w:rsidRPr="00AC7702">
        <w:t xml:space="preserve">Bharadwaj, S., R. J. Mitchell, A. Qureshi and J. H. Niazi (2017). "Toxicity evaluation of e-juice and its soluble aerosols generated by electronic cigarettes using recombinant bioluminescent bacteria responsive to specific cellular damages." </w:t>
      </w:r>
      <w:r w:rsidRPr="00AC7702">
        <w:rPr>
          <w:u w:val="single"/>
        </w:rPr>
        <w:t>Biosens Bioelectron</w:t>
      </w:r>
      <w:r w:rsidRPr="00AC7702">
        <w:t xml:space="preserve"> </w:t>
      </w:r>
      <w:r w:rsidRPr="00AC7702">
        <w:rPr>
          <w:b/>
        </w:rPr>
        <w:t>90</w:t>
      </w:r>
      <w:r w:rsidRPr="00AC7702">
        <w:t>: 53-60.</w:t>
      </w:r>
    </w:p>
    <w:p w14:paraId="1704F266" w14:textId="77777777" w:rsidR="00AC7702" w:rsidRPr="00AC7702" w:rsidRDefault="00AC7702" w:rsidP="00AC7702">
      <w:pPr>
        <w:pStyle w:val="EndNoteBibliography"/>
        <w:spacing w:after="360"/>
      </w:pPr>
      <w:r w:rsidRPr="00AC7702">
        <w:t xml:space="preserve">Bigman, C. A., S. Mello, A. Sanders-Jackson and A. S. L. Tan (2018). "Speaking up about Lighting up in Public: Examining Psychosocial Correlates of Smoking and Vaping Assertive Communication Intentions among U.S. Adults." </w:t>
      </w:r>
      <w:r w:rsidRPr="00AC7702">
        <w:rPr>
          <w:u w:val="single"/>
        </w:rPr>
        <w:t>Health Commun</w:t>
      </w:r>
      <w:r w:rsidRPr="00AC7702">
        <w:t>: 1-11.</w:t>
      </w:r>
    </w:p>
    <w:p w14:paraId="05B0038C" w14:textId="77777777" w:rsidR="00AC7702" w:rsidRPr="00AC7702" w:rsidRDefault="00AC7702" w:rsidP="00AC7702">
      <w:pPr>
        <w:pStyle w:val="EndNoteBibliography"/>
        <w:spacing w:after="360"/>
      </w:pPr>
      <w:r w:rsidRPr="00AC7702">
        <w:t xml:space="preserve">Bishop, E., L. Haswell, J. Adamson, S. Costigan, D. Thorne and M. Gaca (2018). "TEMPORARY REMOVAL: An approach to testing undiluted e-cigarette aerosol in vitro using 3D reconstituted human airway epithelium." </w:t>
      </w:r>
      <w:r w:rsidRPr="00AC7702">
        <w:rPr>
          <w:u w:val="single"/>
        </w:rPr>
        <w:t>Toxicol In Vitro</w:t>
      </w:r>
      <w:r w:rsidRPr="00AC7702">
        <w:t>.</w:t>
      </w:r>
    </w:p>
    <w:p w14:paraId="6AE5CBB8" w14:textId="77777777" w:rsidR="00AC7702" w:rsidRPr="00AC7702" w:rsidRDefault="00AC7702" w:rsidP="00AC7702">
      <w:pPr>
        <w:pStyle w:val="EndNoteBibliography"/>
        <w:spacing w:after="360"/>
      </w:pPr>
      <w:r w:rsidRPr="00AC7702">
        <w:t xml:space="preserve">Boas, Z., P. Gupta, R. S. Moheimani, M. Bhetraratana, F. Yin, K. M. Peters, J. Gornbein, J. A. Araujo, J. Czernin and H. R. Middlekauff (2017). "Activation of the "Splenocardiac Axis" by electronic and tobacco cigarettes in otherwise healthy young adults." </w:t>
      </w:r>
      <w:r w:rsidRPr="00AC7702">
        <w:rPr>
          <w:u w:val="single"/>
        </w:rPr>
        <w:t>Physiol Rep</w:t>
      </w:r>
      <w:r w:rsidRPr="00AC7702">
        <w:t xml:space="preserve"> </w:t>
      </w:r>
      <w:r w:rsidRPr="00AC7702">
        <w:rPr>
          <w:b/>
        </w:rPr>
        <w:t>5</w:t>
      </w:r>
      <w:r w:rsidRPr="00AC7702">
        <w:t>(17).</w:t>
      </w:r>
    </w:p>
    <w:p w14:paraId="1F5470C0" w14:textId="77777777" w:rsidR="00AC7702" w:rsidRPr="00AC7702" w:rsidRDefault="00AC7702" w:rsidP="00AC7702">
      <w:pPr>
        <w:pStyle w:val="EndNoteBibliography"/>
        <w:spacing w:after="360"/>
      </w:pPr>
      <w:r w:rsidRPr="00AC7702">
        <w:t xml:space="preserve">Bold, K. W., G. Kong, D. A. Cavallo, D. R. Camenga and S. Krishnan-Sarin (2017). "E-Cigarette Susceptibility as a Predictor of Youth Initiation of E-Cigarettes." </w:t>
      </w:r>
      <w:r w:rsidRPr="00AC7702">
        <w:rPr>
          <w:u w:val="single"/>
        </w:rPr>
        <w:t>Nicotine Tob Res</w:t>
      </w:r>
      <w:r w:rsidRPr="00AC7702">
        <w:t xml:space="preserve"> </w:t>
      </w:r>
      <w:r w:rsidRPr="00AC7702">
        <w:rPr>
          <w:b/>
        </w:rPr>
        <w:t>20</w:t>
      </w:r>
      <w:r w:rsidRPr="00AC7702">
        <w:t>(1): 140-144.</w:t>
      </w:r>
    </w:p>
    <w:p w14:paraId="2808AF5E" w14:textId="77777777" w:rsidR="00AC7702" w:rsidRPr="00AC7702" w:rsidRDefault="00AC7702" w:rsidP="00AC7702">
      <w:pPr>
        <w:pStyle w:val="EndNoteBibliography"/>
        <w:spacing w:after="360"/>
      </w:pPr>
      <w:r w:rsidRPr="00AC7702">
        <w:t xml:space="preserve">Bold, K. W., M. E. Morean, G. Kong, P. Simon, D. R. Camenga, D. A. Cavallo and S. Krishnan-Sarin (2017). "Early age of e-cigarette use onset mediates the association between impulsivity and e-cigarette use frequency in youth." </w:t>
      </w:r>
      <w:r w:rsidRPr="00AC7702">
        <w:rPr>
          <w:u w:val="single"/>
        </w:rPr>
        <w:t>Drug Alcohol Depend</w:t>
      </w:r>
      <w:r w:rsidRPr="00AC7702">
        <w:t xml:space="preserve"> </w:t>
      </w:r>
      <w:r w:rsidRPr="00AC7702">
        <w:rPr>
          <w:b/>
        </w:rPr>
        <w:t>181</w:t>
      </w:r>
      <w:r w:rsidRPr="00AC7702">
        <w:t>: 146-151.</w:t>
      </w:r>
    </w:p>
    <w:p w14:paraId="5C75AB37" w14:textId="77777777" w:rsidR="00AC7702" w:rsidRPr="00AC7702" w:rsidRDefault="00AC7702" w:rsidP="00AC7702">
      <w:pPr>
        <w:pStyle w:val="EndNoteBibliography"/>
        <w:spacing w:after="360"/>
      </w:pPr>
      <w:r w:rsidRPr="00AC7702">
        <w:lastRenderedPageBreak/>
        <w:t xml:space="preserve">Bold, K. W., S. Sussman, S. S. O'Malley, R. Grana, J. Foulds, H. Fishbein and S. Krishnan-Sarin (2018). "Measuring E-cigarette dependence: Initial guidance." </w:t>
      </w:r>
      <w:r w:rsidRPr="00AC7702">
        <w:rPr>
          <w:u w:val="single"/>
        </w:rPr>
        <w:t>Addict Behav</w:t>
      </w:r>
      <w:r w:rsidRPr="00AC7702">
        <w:t xml:space="preserve"> </w:t>
      </w:r>
      <w:r w:rsidRPr="00AC7702">
        <w:rPr>
          <w:b/>
        </w:rPr>
        <w:t>79</w:t>
      </w:r>
      <w:r w:rsidRPr="00AC7702">
        <w:t>: 213-218.</w:t>
      </w:r>
    </w:p>
    <w:p w14:paraId="0CE253C0" w14:textId="77777777" w:rsidR="00AC7702" w:rsidRPr="00AC7702" w:rsidRDefault="00AC7702" w:rsidP="00AC7702">
      <w:pPr>
        <w:pStyle w:val="EndNoteBibliography"/>
        <w:spacing w:after="360"/>
      </w:pPr>
      <w:r w:rsidRPr="00AC7702">
        <w:t xml:space="preserve">Bonevski, B., A. Guillaumier, E. Skelton, A. Shakeshaft, M. Farrell, F. Tzelepis, A. J. Dunlop, C. Paul and C. D'Este (2017). "ALCOHOL AND OTHER DRUG TREATMENT CLIENT PERCEPTIONS OF ELECTRONIC CIGARETTE USE, SAFETY AND HARM REDUCTION." </w:t>
      </w:r>
      <w:r w:rsidRPr="00AC7702">
        <w:rPr>
          <w:u w:val="single"/>
        </w:rPr>
        <w:t>Drug and Alcohol Review</w:t>
      </w:r>
      <w:r w:rsidRPr="00AC7702">
        <w:t xml:space="preserve"> </w:t>
      </w:r>
      <w:r w:rsidRPr="00AC7702">
        <w:rPr>
          <w:b/>
        </w:rPr>
        <w:t>36</w:t>
      </w:r>
      <w:r w:rsidRPr="00AC7702">
        <w:t>: 22-22.</w:t>
      </w:r>
    </w:p>
    <w:p w14:paraId="2AA4C14D" w14:textId="77777777" w:rsidR="00AC7702" w:rsidRPr="00AC7702" w:rsidRDefault="00AC7702" w:rsidP="00AC7702">
      <w:pPr>
        <w:pStyle w:val="EndNoteBibliography"/>
        <w:spacing w:after="360"/>
      </w:pPr>
      <w:r w:rsidRPr="00AC7702">
        <w:t xml:space="preserve">Boulay, M. E., C. Henry, Y. Bosse, L. P. Boulet and M. C. Morissette (2017). "Acute effects of nicotine-free and flavour-free electronic cigarette use on lung functions in healthy and asthmatic individuals." </w:t>
      </w:r>
      <w:r w:rsidRPr="00AC7702">
        <w:rPr>
          <w:u w:val="single"/>
        </w:rPr>
        <w:t>Respir Res</w:t>
      </w:r>
      <w:r w:rsidRPr="00AC7702">
        <w:t xml:space="preserve"> </w:t>
      </w:r>
      <w:r w:rsidRPr="00AC7702">
        <w:rPr>
          <w:b/>
        </w:rPr>
        <w:t>18</w:t>
      </w:r>
      <w:r w:rsidRPr="00AC7702">
        <w:t>(1): 33.</w:t>
      </w:r>
    </w:p>
    <w:p w14:paraId="7ECEB37E" w14:textId="77777777" w:rsidR="00AC7702" w:rsidRPr="00AC7702" w:rsidRDefault="00AC7702" w:rsidP="00AC7702">
      <w:pPr>
        <w:pStyle w:val="EndNoteBibliography"/>
        <w:spacing w:after="360"/>
      </w:pPr>
      <w:r w:rsidRPr="00AC7702">
        <w:t xml:space="preserve">Breheny, D., J. Adamson, D. Azzopardi, A. Baxter, E. Bishop, T. Carr, I. Crooks, K. Hewitt, T. Jaunky, S. Larard, F. Lowe, O. Oke, M. Taylor, S. Santopietro, D. Thorne, B. Zainuddin, M. Gaca, C. Liu, J. Murphy and C. Proctor (2017). "A novel hybrid tobacco product that delivers a tobacco flavour note with vapour aerosol (Part 2): In vitro biological assessment and comparison with different tobacco-heating products." </w:t>
      </w:r>
      <w:r w:rsidRPr="00AC7702">
        <w:rPr>
          <w:u w:val="single"/>
        </w:rPr>
        <w:t>Food Chem Toxicol</w:t>
      </w:r>
      <w:r w:rsidRPr="00AC7702">
        <w:t xml:space="preserve"> </w:t>
      </w:r>
      <w:r w:rsidRPr="00AC7702">
        <w:rPr>
          <w:b/>
        </w:rPr>
        <w:t>106</w:t>
      </w:r>
      <w:r w:rsidRPr="00AC7702">
        <w:t>(Pt A): 533-546.</w:t>
      </w:r>
    </w:p>
    <w:p w14:paraId="435EF6A2" w14:textId="77777777" w:rsidR="00AC7702" w:rsidRPr="00AC7702" w:rsidRDefault="00AC7702" w:rsidP="00AC7702">
      <w:pPr>
        <w:pStyle w:val="EndNoteBibliography"/>
        <w:spacing w:after="360"/>
      </w:pPr>
      <w:r w:rsidRPr="00AC7702">
        <w:t xml:space="preserve">Breheny, D., O. Oke, K. Pant and M. Gaca (2017). "Comparative Tumor Promotion Assessment of e-Cigarette and Cigarettes Using the In Vitro Bhas 42 Cell Transformation Assay." </w:t>
      </w:r>
      <w:r w:rsidRPr="00AC7702">
        <w:rPr>
          <w:u w:val="single"/>
        </w:rPr>
        <w:t>Environmental and Molecular Mutagenesis</w:t>
      </w:r>
      <w:r w:rsidRPr="00AC7702">
        <w:t xml:space="preserve"> </w:t>
      </w:r>
      <w:r w:rsidRPr="00AC7702">
        <w:rPr>
          <w:b/>
        </w:rPr>
        <w:t>58</w:t>
      </w:r>
      <w:r w:rsidRPr="00AC7702">
        <w:t>(4): 190-198.</w:t>
      </w:r>
    </w:p>
    <w:p w14:paraId="3AEB47C9" w14:textId="77777777" w:rsidR="00AC7702" w:rsidRPr="00AC7702" w:rsidRDefault="00AC7702" w:rsidP="00AC7702">
      <w:pPr>
        <w:pStyle w:val="EndNoteBibliography"/>
        <w:spacing w:after="360"/>
      </w:pPr>
      <w:r w:rsidRPr="00AC7702">
        <w:t xml:space="preserve">Brikmanis, K., A. Petersen and N. Doran (2017). "E-cigarette use, perceptions, and cigarette smoking intentions in a community sample of young adult nondaily cigarette smokers." </w:t>
      </w:r>
      <w:r w:rsidRPr="00AC7702">
        <w:rPr>
          <w:u w:val="single"/>
        </w:rPr>
        <w:t>Psychol Addict Behav</w:t>
      </w:r>
      <w:r w:rsidRPr="00AC7702">
        <w:t xml:space="preserve"> </w:t>
      </w:r>
      <w:r w:rsidRPr="00AC7702">
        <w:rPr>
          <w:b/>
        </w:rPr>
        <w:t>31</w:t>
      </w:r>
      <w:r w:rsidRPr="00AC7702">
        <w:t>(3): 336-342.</w:t>
      </w:r>
    </w:p>
    <w:p w14:paraId="61608C52" w14:textId="77777777" w:rsidR="00AC7702" w:rsidRPr="00AC7702" w:rsidRDefault="00AC7702" w:rsidP="00AC7702">
      <w:pPr>
        <w:pStyle w:val="EndNoteBibliography"/>
        <w:spacing w:after="360"/>
      </w:pPr>
      <w:r w:rsidRPr="00AC7702">
        <w:t xml:space="preserve">Brooks, J. K., J. W. Kleinman, J. B. Brooks and M. A. Reynolds (2017). "Electronic cigarette explosion associated with extensive intraoral injuries." </w:t>
      </w:r>
      <w:r w:rsidRPr="00AC7702">
        <w:rPr>
          <w:u w:val="single"/>
        </w:rPr>
        <w:t>Dent Traumatol</w:t>
      </w:r>
      <w:r w:rsidRPr="00AC7702">
        <w:t xml:space="preserve"> </w:t>
      </w:r>
      <w:r w:rsidRPr="00AC7702">
        <w:rPr>
          <w:b/>
        </w:rPr>
        <w:t>33</w:t>
      </w:r>
      <w:r w:rsidRPr="00AC7702">
        <w:t>(2): 149-152.</w:t>
      </w:r>
    </w:p>
    <w:p w14:paraId="27663C49" w14:textId="77777777" w:rsidR="00AC7702" w:rsidRPr="00AC7702" w:rsidRDefault="00AC7702" w:rsidP="00AC7702">
      <w:pPr>
        <w:pStyle w:val="EndNoteBibliography"/>
        <w:spacing w:after="360"/>
      </w:pPr>
      <w:r w:rsidRPr="00AC7702">
        <w:t xml:space="preserve">Brown, J. E. H. (2018). "‘Doing Things Little by Little’: Smoking and Vaping While Being Pharmaceutically Treated for Schizophrenia." </w:t>
      </w:r>
      <w:r w:rsidRPr="00AC7702">
        <w:rPr>
          <w:u w:val="single"/>
        </w:rPr>
        <w:t>Anthropological Forum</w:t>
      </w:r>
      <w:r w:rsidRPr="00AC7702">
        <w:t>: 1-13.</w:t>
      </w:r>
    </w:p>
    <w:p w14:paraId="249D4384" w14:textId="77777777" w:rsidR="00AC7702" w:rsidRPr="00AC7702" w:rsidRDefault="00AC7702" w:rsidP="00AC7702">
      <w:pPr>
        <w:pStyle w:val="EndNoteBibliography"/>
        <w:spacing w:after="360"/>
      </w:pPr>
      <w:r w:rsidRPr="00AC7702">
        <w:t xml:space="preserve">Browne, M. and D. G. Todd (2018). "Then and now: Consumption and dependence in e-cigarette users who formerly smoked cigarettes." </w:t>
      </w:r>
      <w:r w:rsidRPr="00AC7702">
        <w:rPr>
          <w:u w:val="single"/>
        </w:rPr>
        <w:t>Addict Behav</w:t>
      </w:r>
      <w:r w:rsidRPr="00AC7702">
        <w:t xml:space="preserve"> </w:t>
      </w:r>
      <w:r w:rsidRPr="00AC7702">
        <w:rPr>
          <w:b/>
        </w:rPr>
        <w:t>76</w:t>
      </w:r>
      <w:r w:rsidRPr="00AC7702">
        <w:t>: 113-121.</w:t>
      </w:r>
    </w:p>
    <w:p w14:paraId="424D22C7" w14:textId="77777777" w:rsidR="00AC7702" w:rsidRPr="00AC7702" w:rsidRDefault="00AC7702" w:rsidP="00AC7702">
      <w:pPr>
        <w:pStyle w:val="EndNoteBibliography"/>
        <w:spacing w:after="360"/>
      </w:pPr>
      <w:r w:rsidRPr="00AC7702">
        <w:t xml:space="preserve">Bunch, K., M. Fu, M. Ballbe, N. Matilla-Santader, C. Lidon-Moyano, J. C. Martin-Sanchez, E. Fernandez and J. M. Martinez-Sanchez (2018). "Motivation and main flavour of use, use with nicotine and dual use of electronic cigarettes in Barcelona, Spain: a cross-sectional study." </w:t>
      </w:r>
      <w:r w:rsidRPr="00AC7702">
        <w:rPr>
          <w:u w:val="single"/>
        </w:rPr>
        <w:t>BMJ open</w:t>
      </w:r>
      <w:r w:rsidRPr="00AC7702">
        <w:t xml:space="preserve"> </w:t>
      </w:r>
      <w:r w:rsidRPr="00AC7702">
        <w:rPr>
          <w:b/>
        </w:rPr>
        <w:t>8</w:t>
      </w:r>
      <w:r w:rsidRPr="00AC7702">
        <w:t>(3): e018329-e018329.</w:t>
      </w:r>
    </w:p>
    <w:p w14:paraId="0E2C582E" w14:textId="77777777" w:rsidR="00AC7702" w:rsidRPr="00AC7702" w:rsidRDefault="00AC7702" w:rsidP="00AC7702">
      <w:pPr>
        <w:pStyle w:val="EndNoteBibliography"/>
        <w:spacing w:after="360"/>
      </w:pPr>
      <w:r w:rsidRPr="00AC7702">
        <w:t xml:space="preserve">Camenga, D. R., G. Kong, D. A. Cavallo and S. Krishnan-Sarin (2017). "Current and Former Smokers' Use of Electronic Cigarettes for Quitting Smoking: An Exploratory Study of Adolescents and Young Adults." </w:t>
      </w:r>
      <w:r w:rsidRPr="00AC7702">
        <w:rPr>
          <w:u w:val="single"/>
        </w:rPr>
        <w:t>Nicotine Tob Res</w:t>
      </w:r>
      <w:r w:rsidRPr="00AC7702">
        <w:t xml:space="preserve"> </w:t>
      </w:r>
      <w:r w:rsidRPr="00AC7702">
        <w:rPr>
          <w:b/>
        </w:rPr>
        <w:t>19</w:t>
      </w:r>
      <w:r w:rsidRPr="00AC7702">
        <w:t>(12): 1531-1535.</w:t>
      </w:r>
    </w:p>
    <w:p w14:paraId="5BCB408E" w14:textId="495E9EDF" w:rsidR="00AC7702" w:rsidRPr="00AC7702" w:rsidRDefault="00AC7702" w:rsidP="00AC7702">
      <w:pPr>
        <w:pStyle w:val="EndNoteBibliography"/>
        <w:spacing w:after="360"/>
      </w:pPr>
      <w:r w:rsidRPr="00AC7702">
        <w:t xml:space="preserve">Cancer Council Victoria. (2018). "Prevalence of smoking—adults." </w:t>
      </w:r>
      <w:r w:rsidRPr="00AC7702">
        <w:rPr>
          <w:u w:val="single"/>
        </w:rPr>
        <w:t>Tobacco in Australia- Facts and Issues</w:t>
      </w:r>
      <w:r w:rsidRPr="00AC7702">
        <w:t xml:space="preserve">  Retrieved 13.06, 2018, from </w:t>
      </w:r>
      <w:hyperlink r:id="rId54" w:history="1">
        <w:r w:rsidRPr="00AC7702">
          <w:rPr>
            <w:rStyle w:val="Hyperlink"/>
            <w:rFonts w:cs="Calibri"/>
          </w:rPr>
          <w:t>http://www.tobaccoinaustralia.org.au/chapter-1-prevalence/1-3-prevalence-of-smoking-adults</w:t>
        </w:r>
      </w:hyperlink>
      <w:r w:rsidRPr="00AC7702">
        <w:t>.</w:t>
      </w:r>
    </w:p>
    <w:p w14:paraId="61963D6A" w14:textId="30D86D72" w:rsidR="00AC7702" w:rsidRPr="00AC7702" w:rsidRDefault="00AC7702" w:rsidP="00AC7702">
      <w:pPr>
        <w:pStyle w:val="EndNoteBibliography"/>
        <w:spacing w:after="360"/>
      </w:pPr>
      <w:r w:rsidRPr="00AC7702">
        <w:lastRenderedPageBreak/>
        <w:t xml:space="preserve">Cancer Council Victoria. (2018). "Prevalence of tobacco use among Aboriginal peoples and Torres Strait Islanders." </w:t>
      </w:r>
      <w:r w:rsidRPr="00AC7702">
        <w:rPr>
          <w:u w:val="single"/>
        </w:rPr>
        <w:t>Tobacco in Australia- Facts and Issues</w:t>
      </w:r>
      <w:r w:rsidRPr="00AC7702">
        <w:t xml:space="preserve">  Retrieved 13.06, 2018, from </w:t>
      </w:r>
      <w:hyperlink r:id="rId55" w:history="1">
        <w:r w:rsidRPr="00AC7702">
          <w:rPr>
            <w:rStyle w:val="Hyperlink"/>
            <w:rFonts w:cs="Calibri"/>
          </w:rPr>
          <w:t>http://www.tobaccoinaustralia.org.au/chapter-1-prevalence/1-9-prevalence-of-tobacco-use-among-aboriginal-peo</w:t>
        </w:r>
      </w:hyperlink>
      <w:r w:rsidRPr="00AC7702">
        <w:t>.</w:t>
      </w:r>
    </w:p>
    <w:p w14:paraId="27869FAB" w14:textId="77777777" w:rsidR="00AC7702" w:rsidRPr="00AC7702" w:rsidRDefault="00AC7702" w:rsidP="00AC7702">
      <w:pPr>
        <w:pStyle w:val="EndNoteBibliography"/>
        <w:spacing w:after="360"/>
      </w:pPr>
      <w:r w:rsidRPr="00AC7702">
        <w:t xml:space="preserve">Canistro, D., F. Vivarelli, S. Cirillo, C. Babot Marquillas, A. Buschini, M. Lazzaretti, L. Marchi, V. Cardenia, M. T. Rodriguez-Estrada, M. Lodovici, C. Cipriani, A. Lorenzini, E. Croco, S. Marchionni, P. Franchi, M. Lucarini, V. Longo, C. M. Della Croce, A. Vornoli, A. Colacci, M. Vaccari, A. Sapone and M. Paolini (2017). "E-cigarettes induce toxicological effects that can raise the cancer risk." </w:t>
      </w:r>
      <w:r w:rsidRPr="00AC7702">
        <w:rPr>
          <w:u w:val="single"/>
        </w:rPr>
        <w:t>Sci Rep</w:t>
      </w:r>
      <w:r w:rsidRPr="00AC7702">
        <w:t xml:space="preserve"> </w:t>
      </w:r>
      <w:r w:rsidRPr="00AC7702">
        <w:rPr>
          <w:b/>
        </w:rPr>
        <w:t>7</w:t>
      </w:r>
      <w:r w:rsidRPr="00AC7702">
        <w:t>(1): 2028.</w:t>
      </w:r>
    </w:p>
    <w:p w14:paraId="38BF177E" w14:textId="77777777" w:rsidR="00AC7702" w:rsidRPr="00AC7702" w:rsidRDefault="00AC7702" w:rsidP="00AC7702">
      <w:pPr>
        <w:pStyle w:val="EndNoteBibliography"/>
        <w:spacing w:after="360"/>
      </w:pPr>
      <w:r w:rsidRPr="00AC7702">
        <w:t xml:space="preserve">Cant, A., B. Collard and D. Cunliffe (2017). "Electronic cigarettes: Necrotic ulcer." </w:t>
      </w:r>
      <w:r w:rsidRPr="00AC7702">
        <w:rPr>
          <w:u w:val="single"/>
        </w:rPr>
        <w:t>Br Dent J</w:t>
      </w:r>
      <w:r w:rsidRPr="00AC7702">
        <w:t xml:space="preserve"> </w:t>
      </w:r>
      <w:r w:rsidRPr="00AC7702">
        <w:rPr>
          <w:b/>
        </w:rPr>
        <w:t>222</w:t>
      </w:r>
      <w:r w:rsidRPr="00AC7702">
        <w:t>(4): 226.</w:t>
      </w:r>
    </w:p>
    <w:p w14:paraId="43CC2DCF" w14:textId="77777777" w:rsidR="00AC7702" w:rsidRPr="00AC7702" w:rsidRDefault="00AC7702" w:rsidP="00AC7702">
      <w:pPr>
        <w:pStyle w:val="EndNoteBibliography"/>
        <w:spacing w:after="360"/>
      </w:pPr>
      <w:r w:rsidRPr="00AC7702">
        <w:t xml:space="preserve">Caponnetto, P., M. Maglia, M. C. Cannella, L. Inguscio, M. Buonocore, C. Scoglio, R. Polosa and V. Vinci (2017). "Impact of Different e-Cigarette Generation and Models on Cognitive Performances, Craving and Gesture: A Randomized Cross-Over Trial (CogEcig)." </w:t>
      </w:r>
      <w:r w:rsidRPr="00AC7702">
        <w:rPr>
          <w:u w:val="single"/>
        </w:rPr>
        <w:t>Front Psychol</w:t>
      </w:r>
      <w:r w:rsidRPr="00AC7702">
        <w:t xml:space="preserve"> </w:t>
      </w:r>
      <w:r w:rsidRPr="00AC7702">
        <w:rPr>
          <w:b/>
        </w:rPr>
        <w:t>8</w:t>
      </w:r>
      <w:r w:rsidRPr="00AC7702">
        <w:t>: 127.</w:t>
      </w:r>
    </w:p>
    <w:p w14:paraId="0B276C36" w14:textId="77777777" w:rsidR="00AC7702" w:rsidRPr="00AC7702" w:rsidRDefault="00AC7702" w:rsidP="00AC7702">
      <w:pPr>
        <w:pStyle w:val="EndNoteBibliography"/>
        <w:spacing w:after="360"/>
      </w:pPr>
      <w:r w:rsidRPr="00AC7702">
        <w:t xml:space="preserve">Caraballo, R. S., P. R. Shafer, D. Patel, K. C. Davis and T. A. McAfee (2017). "Quit Methods Used by US Adult Cigarette Smokers, 2014-2016." </w:t>
      </w:r>
      <w:r w:rsidRPr="00AC7702">
        <w:rPr>
          <w:u w:val="single"/>
        </w:rPr>
        <w:t>Prev Chronic Dis</w:t>
      </w:r>
      <w:r w:rsidRPr="00AC7702">
        <w:t xml:space="preserve"> </w:t>
      </w:r>
      <w:r w:rsidRPr="00AC7702">
        <w:rPr>
          <w:b/>
        </w:rPr>
        <w:t>14</w:t>
      </w:r>
      <w:r w:rsidRPr="00AC7702">
        <w:t>: E32.</w:t>
      </w:r>
    </w:p>
    <w:p w14:paraId="6A915EE3" w14:textId="77777777" w:rsidR="00AC7702" w:rsidRPr="00AC7702" w:rsidRDefault="00AC7702" w:rsidP="00AC7702">
      <w:pPr>
        <w:pStyle w:val="EndNoteBibliography"/>
        <w:spacing w:after="360"/>
      </w:pPr>
      <w:r w:rsidRPr="00AC7702">
        <w:t xml:space="preserve">Carpenter, M. J., B. W. Heckman, A. E. Wahlquist, T. L. Wagener, M. L. Goniewicz, K. M. Gray, B. Froeliger and K. M. Cummings (2017). "A Naturalistic, Randomized Pilot Trial of E-Cigarettes: Uptake, Exposure, and Behavioral Effects." </w:t>
      </w:r>
      <w:r w:rsidRPr="00AC7702">
        <w:rPr>
          <w:u w:val="single"/>
        </w:rPr>
        <w:t>Cancer Epidemiol Biomarkers Prev</w:t>
      </w:r>
      <w:r w:rsidRPr="00AC7702">
        <w:t xml:space="preserve"> </w:t>
      </w:r>
      <w:r w:rsidRPr="00AC7702">
        <w:rPr>
          <w:b/>
        </w:rPr>
        <w:t>26</w:t>
      </w:r>
      <w:r w:rsidRPr="00AC7702">
        <w:t>(12): 1795-1803.</w:t>
      </w:r>
    </w:p>
    <w:p w14:paraId="713C3E3F" w14:textId="77777777" w:rsidR="00AC7702" w:rsidRPr="00AC7702" w:rsidRDefault="00AC7702" w:rsidP="00AC7702">
      <w:pPr>
        <w:pStyle w:val="EndNoteBibliography"/>
        <w:spacing w:after="360"/>
      </w:pPr>
      <w:r w:rsidRPr="00AC7702">
        <w:t xml:space="preserve">Carson, J. L., L. Zhou, L. Brighton, K. H. Mills, H. Zhou, I. Jaspers and M. Hazucha (2017). "Temporal structure/function variation in cultured differentiated human nasal epithelium associated with acute single exposure to tobacco smoke or E-cigarette vapor." </w:t>
      </w:r>
      <w:r w:rsidRPr="00AC7702">
        <w:rPr>
          <w:u w:val="single"/>
        </w:rPr>
        <w:t>Inhal Toxicol</w:t>
      </w:r>
      <w:r w:rsidRPr="00AC7702">
        <w:t xml:space="preserve"> </w:t>
      </w:r>
      <w:r w:rsidRPr="00AC7702">
        <w:rPr>
          <w:b/>
        </w:rPr>
        <w:t>29</w:t>
      </w:r>
      <w:r w:rsidRPr="00AC7702">
        <w:t>(3): 137-144.</w:t>
      </w:r>
    </w:p>
    <w:p w14:paraId="50B0F2C1" w14:textId="77777777" w:rsidR="00AC7702" w:rsidRPr="00AC7702" w:rsidRDefault="00AC7702" w:rsidP="00AC7702">
      <w:pPr>
        <w:pStyle w:val="EndNoteBibliography"/>
        <w:spacing w:after="360"/>
      </w:pPr>
      <w:r w:rsidRPr="00AC7702">
        <w:t xml:space="preserve">Case, K. R., M. B. Harrell, A. Perez, A. Loukas, A. V. Wilkinson, A. E. Springer, M. R. Creamer and C. L. Perry (2017). "The relationships between sensation seeking and a spectrum of e-cigarette use behaviors: Cross-sectional and longitudinal analyses specific to Texas adolescents." </w:t>
      </w:r>
      <w:r w:rsidRPr="00AC7702">
        <w:rPr>
          <w:u w:val="single"/>
        </w:rPr>
        <w:t>Addict Behav</w:t>
      </w:r>
      <w:r w:rsidRPr="00AC7702">
        <w:t xml:space="preserve"> </w:t>
      </w:r>
      <w:r w:rsidRPr="00AC7702">
        <w:rPr>
          <w:b/>
        </w:rPr>
        <w:t>73</w:t>
      </w:r>
      <w:r w:rsidRPr="00AC7702">
        <w:t>: 151-157.</w:t>
      </w:r>
    </w:p>
    <w:p w14:paraId="736A7DD7" w14:textId="77777777" w:rsidR="00AC7702" w:rsidRPr="00AC7702" w:rsidRDefault="00AC7702" w:rsidP="00AC7702">
      <w:pPr>
        <w:pStyle w:val="EndNoteBibliography"/>
        <w:spacing w:after="360"/>
      </w:pPr>
      <w:r w:rsidRPr="00AC7702">
        <w:t xml:space="preserve">Case, K. R., A. P. Loukas, M. B. Harrell, A. V. Wilkinson, A. E. Springer, A. Perez, M. R. Creamer and C. L. Perry (2017). "The association between sensation seeking and e-cigarette use in Texas young adults: A cross-sectional study." </w:t>
      </w:r>
      <w:r w:rsidRPr="00AC7702">
        <w:rPr>
          <w:u w:val="single"/>
        </w:rPr>
        <w:t>J Am Coll Health</w:t>
      </w:r>
      <w:r w:rsidRPr="00AC7702">
        <w:t xml:space="preserve"> </w:t>
      </w:r>
      <w:r w:rsidRPr="00AC7702">
        <w:rPr>
          <w:b/>
        </w:rPr>
        <w:t>65</w:t>
      </w:r>
      <w:r w:rsidRPr="00AC7702">
        <w:t>(4): 277-285.</w:t>
      </w:r>
    </w:p>
    <w:p w14:paraId="30D7E427" w14:textId="77777777" w:rsidR="00AC7702" w:rsidRPr="00AC7702" w:rsidRDefault="00AC7702" w:rsidP="00AC7702">
      <w:pPr>
        <w:pStyle w:val="EndNoteBibliography"/>
        <w:spacing w:after="360"/>
      </w:pPr>
      <w:r w:rsidRPr="00AC7702">
        <w:t xml:space="preserve">Chaffee, B. W., E. T. Couch and S. A. Gansky (2017). "Trends in characteristics and multi-product use among adolescents who use electronic cigarettes, United States 2011-2015." </w:t>
      </w:r>
      <w:r w:rsidRPr="00AC7702">
        <w:rPr>
          <w:u w:val="single"/>
        </w:rPr>
        <w:t>PLoS One</w:t>
      </w:r>
      <w:r w:rsidRPr="00AC7702">
        <w:t xml:space="preserve"> </w:t>
      </w:r>
      <w:r w:rsidRPr="00AC7702">
        <w:rPr>
          <w:b/>
        </w:rPr>
        <w:t>12</w:t>
      </w:r>
      <w:r w:rsidRPr="00AC7702">
        <w:t>(5): e0177073.</w:t>
      </w:r>
    </w:p>
    <w:p w14:paraId="643D8316" w14:textId="77777777" w:rsidR="00AC7702" w:rsidRPr="00AC7702" w:rsidRDefault="00AC7702" w:rsidP="00AC7702">
      <w:pPr>
        <w:pStyle w:val="EndNoteBibliography"/>
        <w:spacing w:after="360"/>
      </w:pPr>
      <w:r w:rsidRPr="00AC7702">
        <w:t xml:space="preserve">Chaffee, B. W., S. L. Watkins and S. A. Glantz (2018). "Electronic Cigarette Use and Progression From Experimentation to Established Smoking." </w:t>
      </w:r>
      <w:r w:rsidRPr="00AC7702">
        <w:rPr>
          <w:u w:val="single"/>
        </w:rPr>
        <w:t>Pediatrics</w:t>
      </w:r>
      <w:r w:rsidRPr="00AC7702">
        <w:t>.</w:t>
      </w:r>
    </w:p>
    <w:p w14:paraId="25A84B46" w14:textId="77777777" w:rsidR="00AC7702" w:rsidRPr="00AC7702" w:rsidRDefault="00AC7702" w:rsidP="00AC7702">
      <w:pPr>
        <w:pStyle w:val="EndNoteBibliography"/>
        <w:spacing w:after="360"/>
      </w:pPr>
      <w:r w:rsidRPr="00AC7702">
        <w:lastRenderedPageBreak/>
        <w:t xml:space="preserve">Chang, H. C., Y. W. Tsai, M. N. Shiu, Y. T. Wang and P. Y. Chang (2017). "Elucidating challenges that electronic cigarettes pose to tobacco control in Asia: a population-based national survey in Taiwan." </w:t>
      </w:r>
      <w:r w:rsidRPr="00AC7702">
        <w:rPr>
          <w:u w:val="single"/>
        </w:rPr>
        <w:t>BMJ Open</w:t>
      </w:r>
      <w:r w:rsidRPr="00AC7702">
        <w:t xml:space="preserve"> </w:t>
      </w:r>
      <w:r w:rsidRPr="00AC7702">
        <w:rPr>
          <w:b/>
        </w:rPr>
        <w:t>7</w:t>
      </w:r>
      <w:r w:rsidRPr="00AC7702">
        <w:t>(3): e014263.</w:t>
      </w:r>
    </w:p>
    <w:p w14:paraId="5A42B7C6" w14:textId="77777777" w:rsidR="00AC7702" w:rsidRPr="00AC7702" w:rsidRDefault="00AC7702" w:rsidP="00AC7702">
      <w:pPr>
        <w:pStyle w:val="EndNoteBibliography"/>
        <w:spacing w:after="360"/>
      </w:pPr>
      <w:r w:rsidRPr="00AC7702">
        <w:t xml:space="preserve">Chaumont, M., A. Bernard, S. Pochet, C. Melot, C. El Khattabi, F. Reye, K. Zouaoui Boudjeltia, P. Van Antwerpen, C. Delporte and P. van de Borne (2018). "High Wattage E-cigarettes Induce Tissue Hypoxia and Lower Airway Injury: A Randomized Trial." </w:t>
      </w:r>
      <w:r w:rsidRPr="00AC7702">
        <w:rPr>
          <w:u w:val="single"/>
        </w:rPr>
        <w:t>Am J Respir Crit Care Med</w:t>
      </w:r>
      <w:r w:rsidRPr="00AC7702">
        <w:t>.</w:t>
      </w:r>
    </w:p>
    <w:p w14:paraId="6EA5082F" w14:textId="77777777" w:rsidR="00AC7702" w:rsidRPr="00AC7702" w:rsidRDefault="00AC7702" w:rsidP="00AC7702">
      <w:pPr>
        <w:pStyle w:val="EndNoteBibliography"/>
        <w:spacing w:after="360"/>
      </w:pPr>
      <w:r w:rsidRPr="00AC7702">
        <w:t xml:space="preserve">Chen, H., G. Li, Y. L. Chan, D. G. Chapman, S. Sukjamnong, T. Nguyen, T. Annissa, K. C. McGrath, P. Sharma and B. G. Oliver (2018). "Maternal E-Cigarette Exposure in Mice Alters DNA Methylation and Lung Cytokine Expression in Offspring." </w:t>
      </w:r>
      <w:r w:rsidRPr="00AC7702">
        <w:rPr>
          <w:u w:val="single"/>
        </w:rPr>
        <w:t>Am J Respir Cell Mol Biol</w:t>
      </w:r>
      <w:r w:rsidRPr="00AC7702">
        <w:t xml:space="preserve"> </w:t>
      </w:r>
      <w:r w:rsidRPr="00AC7702">
        <w:rPr>
          <w:b/>
        </w:rPr>
        <w:t>58</w:t>
      </w:r>
      <w:r w:rsidRPr="00AC7702">
        <w:t>(3): 366-377.</w:t>
      </w:r>
    </w:p>
    <w:p w14:paraId="6B96FD73" w14:textId="77777777" w:rsidR="00AC7702" w:rsidRPr="00AC7702" w:rsidRDefault="00AC7702" w:rsidP="00AC7702">
      <w:pPr>
        <w:pStyle w:val="EndNoteBibliography"/>
        <w:spacing w:after="360"/>
      </w:pPr>
      <w:r w:rsidRPr="00AC7702">
        <w:t xml:space="preserve">Chen, J. C. (2018). "Flavored E-cigarette Use and Cigarette Smoking Reduction and Cessation-A Large National Study among Young Adult Smokers." </w:t>
      </w:r>
      <w:r w:rsidRPr="00AC7702">
        <w:rPr>
          <w:u w:val="single"/>
        </w:rPr>
        <w:t>Substance use &amp; misuse</w:t>
      </w:r>
      <w:r w:rsidRPr="00AC7702">
        <w:t>: 1-15.</w:t>
      </w:r>
    </w:p>
    <w:p w14:paraId="249F2174" w14:textId="77777777" w:rsidR="00AC7702" w:rsidRPr="00AC7702" w:rsidRDefault="00AC7702" w:rsidP="00AC7702">
      <w:pPr>
        <w:pStyle w:val="EndNoteBibliography"/>
        <w:spacing w:after="360"/>
      </w:pPr>
      <w:r w:rsidRPr="00AC7702">
        <w:t xml:space="preserve">Chen, X., B. Yu and Y. Wang (2017). "Initiation of Electronic Cigarette Use by Age Among Youth in the U.S." </w:t>
      </w:r>
      <w:r w:rsidRPr="00AC7702">
        <w:rPr>
          <w:u w:val="single"/>
        </w:rPr>
        <w:t>Am J Prev Med</w:t>
      </w:r>
      <w:r w:rsidRPr="00AC7702">
        <w:t xml:space="preserve"> </w:t>
      </w:r>
      <w:r w:rsidRPr="00AC7702">
        <w:rPr>
          <w:b/>
        </w:rPr>
        <w:t>53</w:t>
      </w:r>
      <w:r w:rsidRPr="00AC7702">
        <w:t>(3): 396-399.</w:t>
      </w:r>
    </w:p>
    <w:p w14:paraId="4C9F41BC" w14:textId="77777777" w:rsidR="00AC7702" w:rsidRPr="00AC7702" w:rsidRDefault="00AC7702" w:rsidP="00AC7702">
      <w:pPr>
        <w:pStyle w:val="EndNoteBibliography"/>
        <w:spacing w:after="360"/>
      </w:pPr>
      <w:r w:rsidRPr="00AC7702">
        <w:t xml:space="preserve">Cheney, M., M. Gowin and A. H. Clawson (2018). "Using the Ecological Model to Understand Influences on College Student Vaping." </w:t>
      </w:r>
      <w:r w:rsidRPr="00AC7702">
        <w:rPr>
          <w:u w:val="single"/>
        </w:rPr>
        <w:t>J Am Coll Health</w:t>
      </w:r>
      <w:r w:rsidRPr="00AC7702">
        <w:t>: 1-32.</w:t>
      </w:r>
    </w:p>
    <w:p w14:paraId="657C014C" w14:textId="77777777" w:rsidR="00AC7702" w:rsidRPr="00AC7702" w:rsidRDefault="00AC7702" w:rsidP="00AC7702">
      <w:pPr>
        <w:pStyle w:val="EndNoteBibliography"/>
        <w:spacing w:after="360"/>
      </w:pPr>
      <w:r w:rsidRPr="00AC7702">
        <w:t xml:space="preserve">Chesaniuk, M. and A. Sokolovsky (2017). "Young adult motives for electronic nicotine delivery system use." </w:t>
      </w:r>
      <w:r w:rsidRPr="00AC7702">
        <w:rPr>
          <w:u w:val="single"/>
        </w:rPr>
        <w:t>Annals of Behavioral Medicine</w:t>
      </w:r>
      <w:r w:rsidRPr="00AC7702">
        <w:t xml:space="preserve"> </w:t>
      </w:r>
      <w:r w:rsidRPr="00AC7702">
        <w:rPr>
          <w:b/>
        </w:rPr>
        <w:t>51</w:t>
      </w:r>
      <w:r w:rsidRPr="00AC7702">
        <w:t>: S2312-S2312.</w:t>
      </w:r>
    </w:p>
    <w:p w14:paraId="0758D0D7" w14:textId="77777777" w:rsidR="00AC7702" w:rsidRPr="00AC7702" w:rsidRDefault="00AC7702" w:rsidP="00AC7702">
      <w:pPr>
        <w:pStyle w:val="EndNoteBibliography"/>
        <w:spacing w:after="360"/>
      </w:pPr>
      <w:r w:rsidRPr="00AC7702">
        <w:t xml:space="preserve">Chi, A. C., B. W. Neville and M. Ravenel (2018). "Electronic cigarette explosion: Case report of an emerging cause of orofacial trauma." </w:t>
      </w:r>
      <w:r w:rsidRPr="00AC7702">
        <w:rPr>
          <w:u w:val="single"/>
        </w:rPr>
        <w:t>Trauma (United Kingdom)</w:t>
      </w:r>
      <w:r w:rsidRPr="00AC7702">
        <w:t xml:space="preserve"> </w:t>
      </w:r>
      <w:r w:rsidRPr="00AC7702">
        <w:rPr>
          <w:b/>
        </w:rPr>
        <w:t>20</w:t>
      </w:r>
      <w:r w:rsidRPr="00AC7702">
        <w:t>(1): 62-67.</w:t>
      </w:r>
    </w:p>
    <w:p w14:paraId="4F3FBC5B" w14:textId="77777777" w:rsidR="00AC7702" w:rsidRPr="00AC7702" w:rsidRDefault="00AC7702" w:rsidP="00AC7702">
      <w:pPr>
        <w:pStyle w:val="EndNoteBibliography"/>
        <w:spacing w:after="360"/>
      </w:pPr>
      <w:r w:rsidRPr="00AC7702">
        <w:t xml:space="preserve">Chin, J., M. B. Lustik and M. Pflipsen (2018). "Prevalence of Use and Perceptions of Electronic Smoking Devices in a US Army Infantry Division." </w:t>
      </w:r>
      <w:r w:rsidRPr="00AC7702">
        <w:rPr>
          <w:u w:val="single"/>
        </w:rPr>
        <w:t>Mil Med</w:t>
      </w:r>
      <w:r w:rsidRPr="00AC7702">
        <w:t xml:space="preserve"> </w:t>
      </w:r>
      <w:r w:rsidRPr="00AC7702">
        <w:rPr>
          <w:b/>
        </w:rPr>
        <w:t>183</w:t>
      </w:r>
      <w:r w:rsidRPr="00AC7702">
        <w:t>(1-2): e127-e133.</w:t>
      </w:r>
    </w:p>
    <w:p w14:paraId="246FFA5B" w14:textId="77777777" w:rsidR="00AC7702" w:rsidRPr="00AC7702" w:rsidRDefault="00AC7702" w:rsidP="00AC7702">
      <w:pPr>
        <w:pStyle w:val="EndNoteBibliography"/>
        <w:spacing w:after="360"/>
      </w:pPr>
      <w:r w:rsidRPr="00AC7702">
        <w:t xml:space="preserve">Cho, J. H. (2017). "The association between electronic-cigarette use and self-reported oral symptoms including cracked or broken teeth and tongue and/or inside-cheek pain among adolescents: A cross-sectional study." </w:t>
      </w:r>
      <w:r w:rsidRPr="00AC7702">
        <w:rPr>
          <w:u w:val="single"/>
        </w:rPr>
        <w:t>PLoS One</w:t>
      </w:r>
      <w:r w:rsidRPr="00AC7702">
        <w:t xml:space="preserve"> </w:t>
      </w:r>
      <w:r w:rsidRPr="00AC7702">
        <w:rPr>
          <w:b/>
        </w:rPr>
        <w:t>12</w:t>
      </w:r>
      <w:r w:rsidRPr="00AC7702">
        <w:t>(7): e0180506.</w:t>
      </w:r>
    </w:p>
    <w:p w14:paraId="236BAAC9" w14:textId="77777777" w:rsidR="00AC7702" w:rsidRPr="00AC7702" w:rsidRDefault="00AC7702" w:rsidP="00AC7702">
      <w:pPr>
        <w:pStyle w:val="EndNoteBibliography"/>
        <w:spacing w:after="360"/>
      </w:pPr>
      <w:r w:rsidRPr="00AC7702">
        <w:t xml:space="preserve">Choi, K., R. Grana and D. Bernat (2017). "Electronic Nicotine Delivery Systems and Acceptability of Adult Cigarette Smoking Among Florida Youth: Renormalization of Smoking?" </w:t>
      </w:r>
      <w:r w:rsidRPr="00AC7702">
        <w:rPr>
          <w:u w:val="single"/>
        </w:rPr>
        <w:t>J Adolesc Health</w:t>
      </w:r>
      <w:r w:rsidRPr="00AC7702">
        <w:t xml:space="preserve"> </w:t>
      </w:r>
      <w:r w:rsidRPr="00AC7702">
        <w:rPr>
          <w:b/>
        </w:rPr>
        <w:t>60</w:t>
      </w:r>
      <w:r w:rsidRPr="00AC7702">
        <w:t>(5): 592-598.</w:t>
      </w:r>
    </w:p>
    <w:p w14:paraId="7DC5AC39" w14:textId="77777777" w:rsidR="00AC7702" w:rsidRPr="00AC7702" w:rsidRDefault="00AC7702" w:rsidP="00AC7702">
      <w:pPr>
        <w:pStyle w:val="EndNoteBibliography"/>
        <w:spacing w:after="360"/>
      </w:pPr>
      <w:r w:rsidRPr="00AC7702">
        <w:t xml:space="preserve">Clapp, P. W., E. A. Pawlak, J. T. Lackey, J. E. Keating, S. L. Reeber, G. L. Glish and I. Jaspers (2017). "Flavored e-cigarette liquids and cinnamaldehyde impair respiratory innate immune cell function." </w:t>
      </w:r>
      <w:r w:rsidRPr="00AC7702">
        <w:rPr>
          <w:u w:val="single"/>
        </w:rPr>
        <w:t>Am J Physiol Lung Cell Mol Physiol</w:t>
      </w:r>
      <w:r w:rsidRPr="00AC7702">
        <w:t xml:space="preserve"> </w:t>
      </w:r>
      <w:r w:rsidRPr="00AC7702">
        <w:rPr>
          <w:b/>
        </w:rPr>
        <w:t>313</w:t>
      </w:r>
      <w:r w:rsidRPr="00AC7702">
        <w:t>(2): L278-l292.</w:t>
      </w:r>
    </w:p>
    <w:p w14:paraId="2647C612" w14:textId="77777777" w:rsidR="00AC7702" w:rsidRPr="00AC7702" w:rsidRDefault="00AC7702" w:rsidP="00AC7702">
      <w:pPr>
        <w:pStyle w:val="EndNoteBibliography"/>
        <w:spacing w:after="360"/>
      </w:pPr>
      <w:r w:rsidRPr="00AC7702">
        <w:t xml:space="preserve">Clarke, T. N. and J. M. Lusher (2017). "Willingness to Try Electronic Cigarettes Among UK Adolescents." </w:t>
      </w:r>
      <w:r w:rsidRPr="00AC7702">
        <w:rPr>
          <w:u w:val="single"/>
        </w:rPr>
        <w:t>Journal of Child and Adolescent Substance Abuse</w:t>
      </w:r>
      <w:r w:rsidRPr="00AC7702">
        <w:t xml:space="preserve"> </w:t>
      </w:r>
      <w:r w:rsidRPr="00AC7702">
        <w:rPr>
          <w:b/>
        </w:rPr>
        <w:t>26</w:t>
      </w:r>
      <w:r w:rsidRPr="00AC7702">
        <w:t>(3): 175-182.</w:t>
      </w:r>
    </w:p>
    <w:p w14:paraId="0C96F929" w14:textId="77777777" w:rsidR="00AC7702" w:rsidRPr="00AC7702" w:rsidRDefault="00AC7702" w:rsidP="00AC7702">
      <w:pPr>
        <w:pStyle w:val="EndNoteBibliography"/>
        <w:spacing w:after="360"/>
      </w:pPr>
      <w:r w:rsidRPr="00AC7702">
        <w:lastRenderedPageBreak/>
        <w:t xml:space="preserve">Cobb, E., J. Hall and D. L. Palazzolo (2018). "Induction of Metallothionein Expression After Exposure to Conventional Cigarette Smoke but Not Electronic Cigarette (ECIG)-Generated Aerosol in Caenorhabditis elegans." </w:t>
      </w:r>
      <w:r w:rsidRPr="00AC7702">
        <w:rPr>
          <w:u w:val="single"/>
        </w:rPr>
        <w:t>Frontiers in Physiology</w:t>
      </w:r>
      <w:r w:rsidRPr="00AC7702">
        <w:t xml:space="preserve"> </w:t>
      </w:r>
      <w:r w:rsidRPr="00AC7702">
        <w:rPr>
          <w:b/>
        </w:rPr>
        <w:t>9</w:t>
      </w:r>
      <w:r w:rsidRPr="00AC7702">
        <w:t>.</w:t>
      </w:r>
    </w:p>
    <w:p w14:paraId="450AABE9" w14:textId="77777777" w:rsidR="00AC7702" w:rsidRPr="00AC7702" w:rsidRDefault="00AC7702" w:rsidP="00AC7702">
      <w:pPr>
        <w:pStyle w:val="EndNoteBibliography"/>
        <w:spacing w:after="360"/>
      </w:pPr>
      <w:r w:rsidRPr="00AC7702">
        <w:t xml:space="preserve">Cockburn, N., C. Gartner and P. J. Ford (2018). "Smoking behaviour and preferences for cessation support among clients of an Indigenous community-controlled health service." </w:t>
      </w:r>
      <w:r w:rsidRPr="00AC7702">
        <w:rPr>
          <w:u w:val="single"/>
        </w:rPr>
        <w:t>Drug Alcohol Rev</w:t>
      </w:r>
      <w:r w:rsidRPr="00AC7702">
        <w:t>.</w:t>
      </w:r>
    </w:p>
    <w:p w14:paraId="0578ED73" w14:textId="77777777" w:rsidR="00AC7702" w:rsidRPr="00AC7702" w:rsidRDefault="00AC7702" w:rsidP="00AC7702">
      <w:pPr>
        <w:pStyle w:val="EndNoteBibliography"/>
        <w:spacing w:after="360"/>
      </w:pPr>
      <w:r w:rsidRPr="00AC7702">
        <w:t xml:space="preserve">Coleman, B., B. Rostron, S. E. Johnson, A. Persoskie, J. Pearson, C. Stanton, K. Choi, G. Anic, M. L. Goniewicz, K. M. Cummings, K. A. Kasza, M. L. Silveira, C. Delnevo, R. Niaura, D. B. Abrams, H. L. Kimmel, N. Borek, W. M. Compton and A. Hyland (2018). "Transitions in electronic cigarette use among adults in the Population Assessment of Tobacco and Health (PATH) Study, Waves 1 and 2 (2013-2015)." </w:t>
      </w:r>
      <w:r w:rsidRPr="00AC7702">
        <w:rPr>
          <w:u w:val="single"/>
        </w:rPr>
        <w:t>Tobacco control</w:t>
      </w:r>
      <w:r w:rsidRPr="00AC7702">
        <w:t>.</w:t>
      </w:r>
    </w:p>
    <w:p w14:paraId="5C0A35C1" w14:textId="77777777" w:rsidR="00AC7702" w:rsidRPr="00AC7702" w:rsidRDefault="00AC7702" w:rsidP="00AC7702">
      <w:pPr>
        <w:pStyle w:val="EndNoteBibliography"/>
        <w:spacing w:after="360"/>
      </w:pPr>
      <w:r w:rsidRPr="00AC7702">
        <w:t xml:space="preserve">Coleman, B. N., B. Rostron, S. E. Johnson, B. K. Ambrose, J. Pearson, C. A. Stanton, B. Wang, C. Delnevo, M. Bansal-Travers, H. L. Kimmel, M. L. Goniewicz, R. Niaura, D. Abrams, K. P. Conway, N. Borek, W. M. Compton and A. Hyland (2017). "Electronic cigarette use among US adults in the Population Assessment of Tobacco and Health (PATH) Study, 2013-2014." </w:t>
      </w:r>
      <w:r w:rsidRPr="00AC7702">
        <w:rPr>
          <w:u w:val="single"/>
        </w:rPr>
        <w:t>Tob Control</w:t>
      </w:r>
      <w:r w:rsidRPr="00AC7702">
        <w:t xml:space="preserve"> </w:t>
      </w:r>
      <w:r w:rsidRPr="00AC7702">
        <w:rPr>
          <w:b/>
        </w:rPr>
        <w:t>26</w:t>
      </w:r>
      <w:r w:rsidRPr="00AC7702">
        <w:t>(e2): e117-e126.</w:t>
      </w:r>
    </w:p>
    <w:p w14:paraId="5611FDA3" w14:textId="77777777" w:rsidR="00AC7702" w:rsidRPr="00AC7702" w:rsidRDefault="00AC7702" w:rsidP="00AC7702">
      <w:pPr>
        <w:pStyle w:val="EndNoteBibliography"/>
        <w:spacing w:after="360"/>
      </w:pPr>
      <w:r w:rsidRPr="00AC7702">
        <w:t xml:space="preserve">Conner, M., S. Grogan, R. Simms-Ellis, K. Flett, B. Sykes-Muskett, L. Cowap, R. Lawton, C. J. Armitage, D. Meads, C. Torgerson, R. West and K. Siddiqi (2017). "Do electronic cigarettes increase cigarette smoking in UK adolescents? Evidence from a 12-month prospective study." </w:t>
      </w:r>
      <w:r w:rsidRPr="00AC7702">
        <w:rPr>
          <w:u w:val="single"/>
        </w:rPr>
        <w:t>Tob Control</w:t>
      </w:r>
      <w:r w:rsidRPr="00AC7702">
        <w:t>.</w:t>
      </w:r>
    </w:p>
    <w:p w14:paraId="671D5CAE" w14:textId="77777777" w:rsidR="00AC7702" w:rsidRPr="00AC7702" w:rsidRDefault="00AC7702" w:rsidP="00AC7702">
      <w:pPr>
        <w:pStyle w:val="EndNoteBibliography"/>
        <w:spacing w:after="360"/>
      </w:pPr>
      <w:r w:rsidRPr="00AC7702">
        <w:t xml:space="preserve">Copeland, A. L., M. R. Peltier and K. Waldo (2017). "Perceived risk and benefits of e-cigarette use among college students." </w:t>
      </w:r>
      <w:r w:rsidRPr="00AC7702">
        <w:rPr>
          <w:u w:val="single"/>
        </w:rPr>
        <w:t>Addict Behav</w:t>
      </w:r>
      <w:r w:rsidRPr="00AC7702">
        <w:t xml:space="preserve"> </w:t>
      </w:r>
      <w:r w:rsidRPr="00AC7702">
        <w:rPr>
          <w:b/>
        </w:rPr>
        <w:t>71</w:t>
      </w:r>
      <w:r w:rsidRPr="00AC7702">
        <w:t>: 31-37.</w:t>
      </w:r>
    </w:p>
    <w:p w14:paraId="7070AE2E" w14:textId="77777777" w:rsidR="00AC7702" w:rsidRPr="00AC7702" w:rsidRDefault="00AC7702" w:rsidP="00AC7702">
      <w:pPr>
        <w:pStyle w:val="EndNoteBibliography"/>
        <w:spacing w:after="360"/>
      </w:pPr>
      <w:r w:rsidRPr="00AC7702">
        <w:t xml:space="preserve">Corey, C. G., J. T. Chang and B. L. Rostron (2018). "Electronic nicotine delivery system (ENDS) battery-related burns presenting to US emergency departments, 2016." </w:t>
      </w:r>
      <w:r w:rsidRPr="00AC7702">
        <w:rPr>
          <w:u w:val="single"/>
        </w:rPr>
        <w:t>Inj Epidemiol</w:t>
      </w:r>
      <w:r w:rsidRPr="00AC7702">
        <w:t xml:space="preserve"> </w:t>
      </w:r>
      <w:r w:rsidRPr="00AC7702">
        <w:rPr>
          <w:b/>
        </w:rPr>
        <w:t>5</w:t>
      </w:r>
      <w:r w:rsidRPr="00AC7702">
        <w:t>(1): 4.</w:t>
      </w:r>
    </w:p>
    <w:p w14:paraId="301C4431" w14:textId="77777777" w:rsidR="00AC7702" w:rsidRPr="00AC7702" w:rsidRDefault="00AC7702" w:rsidP="00AC7702">
      <w:pPr>
        <w:pStyle w:val="EndNoteBibliography"/>
        <w:spacing w:after="360"/>
      </w:pPr>
      <w:r w:rsidRPr="00AC7702">
        <w:t xml:space="preserve">Coulter, R. W. S., M. Bersamin, S. T. Russell and C. Mair (2017). "The Effects of Gender- and Sexuality-Based Harassment on Lesbian, Gay, Bisexual, and Transgender Substance Use Disparities." </w:t>
      </w:r>
      <w:r w:rsidRPr="00AC7702">
        <w:rPr>
          <w:u w:val="single"/>
        </w:rPr>
        <w:t>J Adolesc Health</w:t>
      </w:r>
      <w:r w:rsidRPr="00AC7702">
        <w:t>.</w:t>
      </w:r>
    </w:p>
    <w:p w14:paraId="52840CEB" w14:textId="22B20037" w:rsidR="00AC7702" w:rsidRPr="00AC7702" w:rsidRDefault="00AC7702" w:rsidP="00AC7702">
      <w:pPr>
        <w:pStyle w:val="EndNoteBibliography"/>
        <w:spacing w:after="360"/>
      </w:pPr>
      <w:r w:rsidRPr="00AC7702">
        <w:t xml:space="preserve">Courtney, R. (2015). The Health Consequences of Smoking—50 Years of Progress: A Report of the Surgeon General, 2014Us Department of Health and Human Services Atlanta, GA: Department of Health and Human Services, Centers for Disease Control and Prevention, National Center for Chronic Disease Prevention and Health Promotion, Office on Smoking and Health, 20141081 pp. Online (grey literature): </w:t>
      </w:r>
      <w:hyperlink r:id="rId56" w:history="1">
        <w:r w:rsidRPr="00AC7702">
          <w:rPr>
            <w:rStyle w:val="Hyperlink"/>
            <w:rFonts w:cs="Calibri"/>
          </w:rPr>
          <w:t>http://www.surgeongeneral.gov/library/reports/50</w:t>
        </w:r>
      </w:hyperlink>
      <w:r w:rsidRPr="00AC7702">
        <w:t xml:space="preserve">‐years‐of‐progress. </w:t>
      </w:r>
      <w:r w:rsidRPr="00AC7702">
        <w:rPr>
          <w:b/>
        </w:rPr>
        <w:t xml:space="preserve">34: </w:t>
      </w:r>
      <w:r w:rsidRPr="00AC7702">
        <w:t>694-695.</w:t>
      </w:r>
    </w:p>
    <w:p w14:paraId="0D706CA1" w14:textId="77777777" w:rsidR="00AC7702" w:rsidRPr="00AC7702" w:rsidRDefault="00AC7702" w:rsidP="00AC7702">
      <w:pPr>
        <w:pStyle w:val="EndNoteBibliography"/>
        <w:spacing w:after="360"/>
      </w:pPr>
      <w:r w:rsidRPr="00AC7702">
        <w:t xml:space="preserve">Creamer, M. R., J. Delk, K. Case, C. L. Perry and M. B. Harrell (2017). "Positive Outcome Expectations and Tobacco Product Use Behaviors in Youth." </w:t>
      </w:r>
      <w:r w:rsidRPr="00AC7702">
        <w:rPr>
          <w:u w:val="single"/>
        </w:rPr>
        <w:t>Subst Use Misuse</w:t>
      </w:r>
      <w:r w:rsidRPr="00AC7702">
        <w:t>: 1-4.</w:t>
      </w:r>
    </w:p>
    <w:p w14:paraId="5DB52F91" w14:textId="77777777" w:rsidR="00AC7702" w:rsidRPr="00AC7702" w:rsidRDefault="00AC7702" w:rsidP="00AC7702">
      <w:pPr>
        <w:pStyle w:val="EndNoteBibliography"/>
        <w:spacing w:after="360"/>
      </w:pPr>
      <w:r w:rsidRPr="00AC7702">
        <w:t xml:space="preserve">Creamer, M. R., A. Loukas, S. Clendennen, D. Mantey, K. E. Pasch, C. N. Marti and C. L. Perry (2018). "Longitudinal Predictors of Cigarette Use among Students from 24 Texas Colleges." </w:t>
      </w:r>
      <w:r w:rsidRPr="00AC7702">
        <w:rPr>
          <w:u w:val="single"/>
        </w:rPr>
        <w:t>J Am Coll Health</w:t>
      </w:r>
      <w:r w:rsidRPr="00AC7702">
        <w:t>: 0.</w:t>
      </w:r>
    </w:p>
    <w:p w14:paraId="26287653" w14:textId="77777777" w:rsidR="00AC7702" w:rsidRPr="00AC7702" w:rsidRDefault="00AC7702" w:rsidP="00AC7702">
      <w:pPr>
        <w:pStyle w:val="EndNoteBibliography"/>
        <w:spacing w:after="360"/>
      </w:pPr>
      <w:r w:rsidRPr="00AC7702">
        <w:lastRenderedPageBreak/>
        <w:t xml:space="preserve">Crotty Alexander, L. E., C. A. Drummond, M. Hepokoski, D. P. Mathew, A. Moshensky, A. Willeford, S. Das, P. Singh, Z. Yong, J. H. Lee, K. Vega, A. Du, J. Shin, C. Javier, J. Tian, J. H. Brown and E. C. Breen (2018). "Chronic Inhalation of E-Cigarette Vapor Containing Nicotine Disrupts Airway Barrier Function and Induces Systemic Inflammation and Multi-Organ Fibrosis in Mice." </w:t>
      </w:r>
      <w:r w:rsidRPr="00AC7702">
        <w:rPr>
          <w:u w:val="single"/>
        </w:rPr>
        <w:t>Am J Physiol Regul Integr Comp Physiol</w:t>
      </w:r>
      <w:r w:rsidRPr="00AC7702">
        <w:t>.</w:t>
      </w:r>
    </w:p>
    <w:p w14:paraId="0F41194F" w14:textId="77777777" w:rsidR="00AC7702" w:rsidRPr="00AC7702" w:rsidRDefault="00AC7702" w:rsidP="00AC7702">
      <w:pPr>
        <w:pStyle w:val="EndNoteBibliography"/>
        <w:spacing w:after="360"/>
      </w:pPr>
      <w:r w:rsidRPr="00AC7702">
        <w:t xml:space="preserve">Curry, E., J. M. Nemeth, A. Wermert, S. Conroy, A. Shoben, A. K. Ferketich and M. E. Wewers (2017). "A Descriptive Report of Electronic Cigarette Use After Participation in a Community-Based Tobacco Cessation Trial." </w:t>
      </w:r>
      <w:r w:rsidRPr="00AC7702">
        <w:rPr>
          <w:u w:val="single"/>
        </w:rPr>
        <w:t>Nicotine Tob Res</w:t>
      </w:r>
      <w:r w:rsidRPr="00AC7702">
        <w:t xml:space="preserve"> </w:t>
      </w:r>
      <w:r w:rsidRPr="00AC7702">
        <w:rPr>
          <w:b/>
        </w:rPr>
        <w:t>20</w:t>
      </w:r>
      <w:r w:rsidRPr="00AC7702">
        <w:t>(1): 135-139.</w:t>
      </w:r>
    </w:p>
    <w:p w14:paraId="38DC2E73" w14:textId="77777777" w:rsidR="00AC7702" w:rsidRPr="00AC7702" w:rsidRDefault="00AC7702" w:rsidP="00AC7702">
      <w:pPr>
        <w:pStyle w:val="EndNoteBibliography"/>
        <w:spacing w:after="360"/>
      </w:pPr>
      <w:r w:rsidRPr="00AC7702">
        <w:t xml:space="preserve">D'Ruiz, C. D., G. O'Connell, D. W. Graff and X. S. Yan (2017). "Measurement of cardiovascular and pulmonary function endpoints and other physiological effects following partial or complete substitution of cigarettes with electronic cigarettes in adult smokers." </w:t>
      </w:r>
      <w:r w:rsidRPr="00AC7702">
        <w:rPr>
          <w:u w:val="single"/>
        </w:rPr>
        <w:t>Regul Toxicol Pharmacol</w:t>
      </w:r>
      <w:r w:rsidRPr="00AC7702">
        <w:t xml:space="preserve"> </w:t>
      </w:r>
      <w:r w:rsidRPr="00AC7702">
        <w:rPr>
          <w:b/>
        </w:rPr>
        <w:t>87</w:t>
      </w:r>
      <w:r w:rsidRPr="00AC7702">
        <w:t>: 36-53.</w:t>
      </w:r>
    </w:p>
    <w:p w14:paraId="6D406985" w14:textId="77777777" w:rsidR="00AC7702" w:rsidRPr="00AC7702" w:rsidRDefault="00AC7702" w:rsidP="00AC7702">
      <w:pPr>
        <w:pStyle w:val="EndNoteBibliography"/>
        <w:spacing w:after="360"/>
      </w:pPr>
      <w:r w:rsidRPr="00AC7702">
        <w:t xml:space="preserve">Dai, H., D. Catley, K. P. Richter, K. Goggin and E. F. Ellerbeck (2018). "Electronic Cigarettes and Future Marijuana Use: A Longitudinal Study." </w:t>
      </w:r>
      <w:r w:rsidRPr="00AC7702">
        <w:rPr>
          <w:u w:val="single"/>
        </w:rPr>
        <w:t>Pediatrics</w:t>
      </w:r>
      <w:r w:rsidRPr="00AC7702">
        <w:t xml:space="preserve"> </w:t>
      </w:r>
      <w:r w:rsidRPr="00AC7702">
        <w:rPr>
          <w:b/>
        </w:rPr>
        <w:t>141</w:t>
      </w:r>
      <w:r w:rsidRPr="00AC7702">
        <w:t>(5).</w:t>
      </w:r>
    </w:p>
    <w:p w14:paraId="746A245B" w14:textId="77777777" w:rsidR="00AC7702" w:rsidRPr="00AC7702" w:rsidRDefault="00AC7702" w:rsidP="00AC7702">
      <w:pPr>
        <w:pStyle w:val="EndNoteBibliography"/>
        <w:spacing w:after="360"/>
      </w:pPr>
      <w:r w:rsidRPr="00AC7702">
        <w:t xml:space="preserve">Davies, M. J., J. W. Birkett, M. Kotwa, L. Tomlinson and R. Woldetinsae (2017). "The impact of cigarette/e-cigarette vapour on simulated pulmonary surfactant monolayers under physiologically relevant conditions." </w:t>
      </w:r>
      <w:r w:rsidRPr="00AC7702">
        <w:rPr>
          <w:u w:val="single"/>
        </w:rPr>
        <w:t>Surface and Interface Analysis</w:t>
      </w:r>
      <w:r w:rsidRPr="00AC7702">
        <w:t xml:space="preserve"> </w:t>
      </w:r>
      <w:r w:rsidRPr="00AC7702">
        <w:rPr>
          <w:b/>
        </w:rPr>
        <w:t>49</w:t>
      </w:r>
      <w:r w:rsidRPr="00AC7702">
        <w:t>(7): 654-665.</w:t>
      </w:r>
    </w:p>
    <w:p w14:paraId="1339EA42" w14:textId="77777777" w:rsidR="00AC7702" w:rsidRPr="00AC7702" w:rsidRDefault="00AC7702" w:rsidP="00AC7702">
      <w:pPr>
        <w:pStyle w:val="EndNoteBibliography"/>
        <w:spacing w:after="360"/>
      </w:pPr>
      <w:r w:rsidRPr="00AC7702">
        <w:t xml:space="preserve">De Genna, N., L. Goldschmidt, G. Richardson, N. Day and M. Cornelius (2017). "Pathways from prenatal exposures to tobacco and cannabis to adult electronic cigarette use." </w:t>
      </w:r>
      <w:r w:rsidRPr="00AC7702">
        <w:rPr>
          <w:u w:val="single"/>
        </w:rPr>
        <w:t>Neurotoxicology and Teratology</w:t>
      </w:r>
      <w:r w:rsidRPr="00AC7702">
        <w:t xml:space="preserve"> </w:t>
      </w:r>
      <w:r w:rsidRPr="00AC7702">
        <w:rPr>
          <w:b/>
        </w:rPr>
        <w:t>61</w:t>
      </w:r>
      <w:r w:rsidRPr="00AC7702">
        <w:t>: 151-151.</w:t>
      </w:r>
    </w:p>
    <w:p w14:paraId="29B14678" w14:textId="77777777" w:rsidR="00AC7702" w:rsidRPr="00AC7702" w:rsidRDefault="00AC7702" w:rsidP="00AC7702">
      <w:pPr>
        <w:pStyle w:val="EndNoteBibliography"/>
        <w:spacing w:after="360"/>
      </w:pPr>
      <w:r w:rsidRPr="00AC7702">
        <w:t xml:space="preserve">de Lacy, E., A. Fletcher, G. Hewitt, S. Murphy and G. Moore (2017). "Cross-sectional study examining the prevalence, correlates and sequencing of electronic cigarette and tobacco use among 11-16-year olds in schools in Wales." </w:t>
      </w:r>
      <w:r w:rsidRPr="00AC7702">
        <w:rPr>
          <w:u w:val="single"/>
        </w:rPr>
        <w:t>BMJ Open</w:t>
      </w:r>
      <w:r w:rsidRPr="00AC7702">
        <w:t xml:space="preserve"> </w:t>
      </w:r>
      <w:r w:rsidRPr="00AC7702">
        <w:rPr>
          <w:b/>
        </w:rPr>
        <w:t>7</w:t>
      </w:r>
      <w:r w:rsidRPr="00AC7702">
        <w:t>(2): e012784.</w:t>
      </w:r>
    </w:p>
    <w:p w14:paraId="7ABB3476" w14:textId="77777777" w:rsidR="00AC7702" w:rsidRPr="00AC7702" w:rsidRDefault="00AC7702" w:rsidP="00AC7702">
      <w:pPr>
        <w:pStyle w:val="EndNoteBibliography"/>
        <w:spacing w:after="360"/>
      </w:pPr>
      <w:r w:rsidRPr="00AC7702">
        <w:t xml:space="preserve">Demissie, Z., S. Everett Jones, H. B. Clayton and B. A. King (2017). "Adolescent Risk Behaviors and Use of Electronic Vapor Products and Cigarettes." </w:t>
      </w:r>
      <w:r w:rsidRPr="00AC7702">
        <w:rPr>
          <w:u w:val="single"/>
        </w:rPr>
        <w:t>Pediatrics</w:t>
      </w:r>
      <w:r w:rsidRPr="00AC7702">
        <w:t xml:space="preserve"> </w:t>
      </w:r>
      <w:r w:rsidRPr="00AC7702">
        <w:rPr>
          <w:b/>
        </w:rPr>
        <w:t>139</w:t>
      </w:r>
      <w:r w:rsidRPr="00AC7702">
        <w:t>(2).</w:t>
      </w:r>
    </w:p>
    <w:p w14:paraId="5DF154ED" w14:textId="77777777" w:rsidR="00AC7702" w:rsidRPr="00AC7702" w:rsidRDefault="00AC7702" w:rsidP="00AC7702">
      <w:pPr>
        <w:pStyle w:val="EndNoteBibliography"/>
        <w:spacing w:after="360"/>
      </w:pPr>
      <w:r w:rsidRPr="00AC7702">
        <w:t xml:space="preserve">Deveci SE, D. F., Acik Y, Ozan AT (2004). "The measurement of exhaled carbon monoxide in healthy smokers and non-smokers." </w:t>
      </w:r>
      <w:r w:rsidRPr="00AC7702">
        <w:rPr>
          <w:u w:val="single"/>
        </w:rPr>
        <w:t>Respiratory Medicine</w:t>
      </w:r>
      <w:r w:rsidRPr="00AC7702">
        <w:t xml:space="preserve"> </w:t>
      </w:r>
      <w:r w:rsidRPr="00AC7702">
        <w:rPr>
          <w:b/>
        </w:rPr>
        <w:t>98</w:t>
      </w:r>
      <w:r w:rsidRPr="00AC7702">
        <w:t>: 551-556.</w:t>
      </w:r>
    </w:p>
    <w:p w14:paraId="44D473AC" w14:textId="77777777" w:rsidR="00AC7702" w:rsidRPr="00AC7702" w:rsidRDefault="00AC7702" w:rsidP="00AC7702">
      <w:pPr>
        <w:pStyle w:val="EndNoteBibliography"/>
        <w:spacing w:after="360"/>
      </w:pPr>
      <w:r w:rsidRPr="00AC7702">
        <w:t xml:space="preserve">Dobbs, P. D., B. Hammig and L. J. Henry (2017). "E-cigarette use among US adolescents: Perceptions of relative addiction and harm." </w:t>
      </w:r>
      <w:r w:rsidRPr="00AC7702">
        <w:rPr>
          <w:u w:val="single"/>
        </w:rPr>
        <w:t>Health Education Journal</w:t>
      </w:r>
      <w:r w:rsidRPr="00AC7702">
        <w:t xml:space="preserve"> </w:t>
      </w:r>
      <w:r w:rsidRPr="00AC7702">
        <w:rPr>
          <w:b/>
        </w:rPr>
        <w:t>76</w:t>
      </w:r>
      <w:r w:rsidRPr="00AC7702">
        <w:t>(3): 293-301.</w:t>
      </w:r>
    </w:p>
    <w:p w14:paraId="07DA4DB5" w14:textId="77777777" w:rsidR="00AC7702" w:rsidRPr="00AC7702" w:rsidRDefault="00AC7702" w:rsidP="00AC7702">
      <w:pPr>
        <w:pStyle w:val="EndNoteBibliography"/>
        <w:spacing w:after="360"/>
      </w:pPr>
      <w:r w:rsidRPr="00AC7702">
        <w:t xml:space="preserve">East, K., S. C. Hitchman, I. Bakolis, S. Williams, H. Cheeseman, D. Arnott and A. McNeill (2018). "The Association Between Smoking and Electronic Cigarette Use in a Cohort of Young People." </w:t>
      </w:r>
      <w:r w:rsidRPr="00AC7702">
        <w:rPr>
          <w:u w:val="single"/>
        </w:rPr>
        <w:t>J Adolesc Health</w:t>
      </w:r>
      <w:r w:rsidRPr="00AC7702">
        <w:t>.</w:t>
      </w:r>
    </w:p>
    <w:p w14:paraId="71647183" w14:textId="77777777" w:rsidR="00AC7702" w:rsidRPr="00AC7702" w:rsidRDefault="00AC7702" w:rsidP="00AC7702">
      <w:pPr>
        <w:pStyle w:val="EndNoteBibliography"/>
        <w:spacing w:after="360"/>
      </w:pPr>
      <w:r w:rsidRPr="00AC7702">
        <w:t xml:space="preserve">Ekanem, U. S., V. M. Cardenas, R. Cen, W. Simon, I. P. Chedjieu, M. Woodward, R. R. Delongchamp and J. G. Wheeler (2017). "Electronic Nicotine Delivery Systems and Smoking Cessation in Arkansas, 2014." </w:t>
      </w:r>
      <w:r w:rsidRPr="00AC7702">
        <w:rPr>
          <w:u w:val="single"/>
        </w:rPr>
        <w:t>Public Health Rep</w:t>
      </w:r>
      <w:r w:rsidRPr="00AC7702">
        <w:t xml:space="preserve"> </w:t>
      </w:r>
      <w:r w:rsidRPr="00AC7702">
        <w:rPr>
          <w:b/>
        </w:rPr>
        <w:t>132</w:t>
      </w:r>
      <w:r w:rsidRPr="00AC7702">
        <w:t>(2): 210-219.</w:t>
      </w:r>
    </w:p>
    <w:p w14:paraId="3FABACC6" w14:textId="77777777" w:rsidR="00AC7702" w:rsidRPr="00AC7702" w:rsidRDefault="00AC7702" w:rsidP="00AC7702">
      <w:pPr>
        <w:pStyle w:val="EndNoteBibliography"/>
        <w:spacing w:after="360"/>
      </w:pPr>
      <w:r w:rsidRPr="00AC7702">
        <w:lastRenderedPageBreak/>
        <w:t xml:space="preserve">El-Khoury Lesueur, F., C. Bolze and M. Melchior (2018). "Factors associated with successful vs. unsuccessful smoking cessation: Data from a nationally representative study." </w:t>
      </w:r>
      <w:r w:rsidRPr="00AC7702">
        <w:rPr>
          <w:u w:val="single"/>
        </w:rPr>
        <w:t>Addict Behav</w:t>
      </w:r>
      <w:r w:rsidRPr="00AC7702">
        <w:t xml:space="preserve"> </w:t>
      </w:r>
      <w:r w:rsidRPr="00AC7702">
        <w:rPr>
          <w:b/>
        </w:rPr>
        <w:t>80</w:t>
      </w:r>
      <w:r w:rsidRPr="00AC7702">
        <w:t>: 110-115.</w:t>
      </w:r>
    </w:p>
    <w:p w14:paraId="58407E53" w14:textId="77777777" w:rsidR="00AC7702" w:rsidRPr="00AC7702" w:rsidRDefault="00AC7702" w:rsidP="00AC7702">
      <w:pPr>
        <w:pStyle w:val="EndNoteBibliography"/>
        <w:spacing w:after="360"/>
      </w:pPr>
      <w:r w:rsidRPr="00AC7702">
        <w:t>Ernst &amp; Young (2016). E-cigarettes: an emerging category. London, UK, Ernst &amp; Young</w:t>
      </w:r>
      <w:r w:rsidRPr="00AC7702">
        <w:rPr>
          <w:b/>
        </w:rPr>
        <w:t xml:space="preserve">: </w:t>
      </w:r>
      <w:r w:rsidRPr="00AC7702">
        <w:t>4.</w:t>
      </w:r>
    </w:p>
    <w:p w14:paraId="1FFDBCA2" w14:textId="77777777" w:rsidR="00AC7702" w:rsidRPr="00AC7702" w:rsidRDefault="00AC7702" w:rsidP="00AC7702">
      <w:pPr>
        <w:pStyle w:val="EndNoteBibliography"/>
        <w:spacing w:after="360"/>
      </w:pPr>
      <w:r w:rsidRPr="00AC7702">
        <w:t xml:space="preserve">Etter, J. F. (2017). "Electronic cigarette: a longitudinal study of regular vapers." </w:t>
      </w:r>
      <w:r w:rsidRPr="00AC7702">
        <w:rPr>
          <w:u w:val="single"/>
        </w:rPr>
        <w:t>Nicotine Tob Res</w:t>
      </w:r>
      <w:r w:rsidRPr="00AC7702">
        <w:t>.</w:t>
      </w:r>
    </w:p>
    <w:p w14:paraId="0DD9B871" w14:textId="44141851" w:rsidR="00AC7702" w:rsidRPr="00AC7702" w:rsidRDefault="00AC7702" w:rsidP="00AC7702">
      <w:pPr>
        <w:pStyle w:val="EndNoteBibliography"/>
        <w:spacing w:after="360"/>
      </w:pPr>
      <w:r w:rsidRPr="00AC7702">
        <w:t xml:space="preserve">European Commission. (2017). "Attitudes of Europeans towards tobacco and electronic cigarettes."   Retrieved 18.05.2018, 2018, from </w:t>
      </w:r>
      <w:hyperlink r:id="rId57" w:history="1">
        <w:r w:rsidRPr="00AC7702">
          <w:rPr>
            <w:rStyle w:val="Hyperlink"/>
            <w:rFonts w:cs="Calibri"/>
          </w:rPr>
          <w:t>http://ec.europa.eu/commfrontoffice/publicopinion/index.cfm/Survey/getSurveyDetail/instruments/SPECIAL/yearFrom/2016/yearTo/2018/surveyKy/2146</w:t>
        </w:r>
      </w:hyperlink>
      <w:r w:rsidRPr="00AC7702">
        <w:t>.</w:t>
      </w:r>
    </w:p>
    <w:p w14:paraId="663ADCDC" w14:textId="77777777" w:rsidR="00AC7702" w:rsidRPr="00AC7702" w:rsidRDefault="00AC7702" w:rsidP="00AC7702">
      <w:pPr>
        <w:pStyle w:val="EndNoteBibliography"/>
        <w:spacing w:after="360"/>
      </w:pPr>
      <w:r w:rsidRPr="00AC7702">
        <w:t xml:space="preserve">Farsalinos, K. E., G. Siakas, K. Poulas, V. Voudris, K. Merakou and A. Barbouni (2018). "Electronic cigarette use in Greece: an analysis of a representative population sample in Attica prefecture." </w:t>
      </w:r>
      <w:r w:rsidRPr="00AC7702">
        <w:rPr>
          <w:u w:val="single"/>
        </w:rPr>
        <w:t>Harm Reduction Journal</w:t>
      </w:r>
      <w:r w:rsidRPr="00AC7702">
        <w:t xml:space="preserve"> </w:t>
      </w:r>
      <w:r w:rsidRPr="00AC7702">
        <w:rPr>
          <w:b/>
        </w:rPr>
        <w:t>15</w:t>
      </w:r>
      <w:r w:rsidRPr="00AC7702">
        <w:t>.</w:t>
      </w:r>
    </w:p>
    <w:p w14:paraId="67DCA172" w14:textId="77777777" w:rsidR="00AC7702" w:rsidRPr="00AC7702" w:rsidRDefault="00AC7702" w:rsidP="00AC7702">
      <w:pPr>
        <w:pStyle w:val="EndNoteBibliography"/>
        <w:spacing w:after="360"/>
      </w:pPr>
      <w:r w:rsidRPr="00AC7702">
        <w:t xml:space="preserve">Fat, L. N., S. Scholes and J. S. Mindell (2017). "Motivation to quit smoking and changes in cigarette consumption, among smokers who use e-cigarettes, findings from the health survey for england." </w:t>
      </w:r>
      <w:r w:rsidRPr="00AC7702">
        <w:rPr>
          <w:u w:val="single"/>
        </w:rPr>
        <w:t>Journal of Epidemiology and Community Health</w:t>
      </w:r>
      <w:r w:rsidRPr="00AC7702">
        <w:t xml:space="preserve"> </w:t>
      </w:r>
      <w:r w:rsidRPr="00AC7702">
        <w:rPr>
          <w:b/>
        </w:rPr>
        <w:t>71</w:t>
      </w:r>
      <w:r w:rsidRPr="00AC7702">
        <w:t>: A33-A33.</w:t>
      </w:r>
    </w:p>
    <w:p w14:paraId="4EE780A9" w14:textId="77777777" w:rsidR="00AC7702" w:rsidRPr="00AC7702" w:rsidRDefault="00AC7702" w:rsidP="00AC7702">
      <w:pPr>
        <w:pStyle w:val="EndNoteBibliography"/>
        <w:spacing w:after="360"/>
      </w:pPr>
      <w:r w:rsidRPr="00AC7702">
        <w:t xml:space="preserve">Fite, P. J., C. C. Cushing, J. Poquiz and A. L. Frazer (2018). "Family influences on the use of e-cigarettes." </w:t>
      </w:r>
      <w:r w:rsidRPr="00AC7702">
        <w:rPr>
          <w:u w:val="single"/>
        </w:rPr>
        <w:t>Journal of Substance Use</w:t>
      </w:r>
      <w:r w:rsidRPr="00AC7702">
        <w:t>: 1-6.</w:t>
      </w:r>
    </w:p>
    <w:p w14:paraId="4048769B" w14:textId="77777777" w:rsidR="00AC7702" w:rsidRPr="00AC7702" w:rsidRDefault="00AC7702" w:rsidP="00AC7702">
      <w:pPr>
        <w:pStyle w:val="EndNoteBibliography"/>
        <w:spacing w:after="360"/>
      </w:pPr>
      <w:r w:rsidRPr="00AC7702">
        <w:t xml:space="preserve">Foran, I., N. R. Oak and M. J. Meunier (2017). "High-Pressure Injection Injury Caused by Electronic Cigarette Explosion: A Case Report." </w:t>
      </w:r>
      <w:r w:rsidRPr="00AC7702">
        <w:rPr>
          <w:u w:val="single"/>
        </w:rPr>
        <w:t>JBJS Case Connect</w:t>
      </w:r>
      <w:r w:rsidRPr="00AC7702">
        <w:t xml:space="preserve"> </w:t>
      </w:r>
      <w:r w:rsidRPr="00AC7702">
        <w:rPr>
          <w:b/>
        </w:rPr>
        <w:t>7</w:t>
      </w:r>
      <w:r w:rsidRPr="00AC7702">
        <w:t>(2): e36.</w:t>
      </w:r>
    </w:p>
    <w:p w14:paraId="533CB815" w14:textId="77777777" w:rsidR="00AC7702" w:rsidRPr="00AC7702" w:rsidRDefault="00AC7702" w:rsidP="00AC7702">
      <w:pPr>
        <w:pStyle w:val="EndNoteBibliography"/>
        <w:spacing w:after="360"/>
      </w:pPr>
      <w:r w:rsidRPr="00AC7702">
        <w:t xml:space="preserve">Fracol, M., R. Dorfman, L. Janes, S. Kulkarni, K. Bethke, N. Hansen and J. Kim (2017). "The Surgical Impact of E-Cigarettes: A Case Report and Review of the Current Literature." </w:t>
      </w:r>
      <w:r w:rsidRPr="00AC7702">
        <w:rPr>
          <w:u w:val="single"/>
        </w:rPr>
        <w:t>Arch Plast Surg</w:t>
      </w:r>
      <w:r w:rsidRPr="00AC7702">
        <w:t xml:space="preserve"> </w:t>
      </w:r>
      <w:r w:rsidRPr="00AC7702">
        <w:rPr>
          <w:b/>
        </w:rPr>
        <w:t>44</w:t>
      </w:r>
      <w:r w:rsidRPr="00AC7702">
        <w:t>(6): 477-481.</w:t>
      </w:r>
    </w:p>
    <w:p w14:paraId="42DC4D77" w14:textId="77777777" w:rsidR="00AC7702" w:rsidRPr="00AC7702" w:rsidRDefault="00AC7702" w:rsidP="00AC7702">
      <w:pPr>
        <w:pStyle w:val="EndNoteBibliography"/>
        <w:spacing w:after="360"/>
      </w:pPr>
      <w:r w:rsidRPr="00AC7702">
        <w:t xml:space="preserve">Franks, A. M., W. A. Hawes, K. R. McCain and N. Payakachat (2017). "Electronic cigarette use, knowledge, and perceptions among health professional students." </w:t>
      </w:r>
      <w:r w:rsidRPr="00AC7702">
        <w:rPr>
          <w:u w:val="single"/>
        </w:rPr>
        <w:t>Curr Pharm Teach Learn</w:t>
      </w:r>
      <w:r w:rsidRPr="00AC7702">
        <w:t xml:space="preserve"> </w:t>
      </w:r>
      <w:r w:rsidRPr="00AC7702">
        <w:rPr>
          <w:b/>
        </w:rPr>
        <w:t>9</w:t>
      </w:r>
      <w:r w:rsidRPr="00AC7702">
        <w:t>(6): 1003-1009.</w:t>
      </w:r>
    </w:p>
    <w:p w14:paraId="6B3A60D4" w14:textId="77777777" w:rsidR="00AC7702" w:rsidRPr="00AC7702" w:rsidRDefault="00AC7702" w:rsidP="00AC7702">
      <w:pPr>
        <w:pStyle w:val="EndNoteBibliography"/>
        <w:spacing w:after="360"/>
      </w:pPr>
      <w:r w:rsidRPr="00AC7702">
        <w:t xml:space="preserve">Fryar, C. D., Y. Ostchega, C. M. Hales, G. Zhang and D. Kruszon-Moran (2017). "Hypertension Prevalence and Control Among Adults: United States, 2015-2016." </w:t>
      </w:r>
      <w:r w:rsidRPr="00AC7702">
        <w:rPr>
          <w:u w:val="single"/>
        </w:rPr>
        <w:t>NCHS Data Brief</w:t>
      </w:r>
      <w:r w:rsidRPr="00AC7702">
        <w:t>(289): 1-8.</w:t>
      </w:r>
    </w:p>
    <w:p w14:paraId="7F8B0BC9" w14:textId="77777777" w:rsidR="00AC7702" w:rsidRPr="00AC7702" w:rsidRDefault="00AC7702" w:rsidP="00AC7702">
      <w:pPr>
        <w:pStyle w:val="EndNoteBibliography"/>
        <w:spacing w:after="360"/>
      </w:pPr>
      <w:r w:rsidRPr="00AC7702">
        <w:t xml:space="preserve">Fuller, T., A. Acharya, G. Bhaskar, M. Yu, S. Little and T. Tarin (2017). "Evaluation of e-cigarettes users urine for known bladder carcinogens." </w:t>
      </w:r>
      <w:r w:rsidRPr="00AC7702">
        <w:rPr>
          <w:u w:val="single"/>
        </w:rPr>
        <w:t>Journal of Urology</w:t>
      </w:r>
      <w:r w:rsidRPr="00AC7702">
        <w:t xml:space="preserve"> </w:t>
      </w:r>
      <w:r w:rsidRPr="00AC7702">
        <w:rPr>
          <w:b/>
        </w:rPr>
        <w:t>197</w:t>
      </w:r>
      <w:r w:rsidRPr="00AC7702">
        <w:t>(4): E1179-E1179.</w:t>
      </w:r>
    </w:p>
    <w:p w14:paraId="71170DEF" w14:textId="77777777" w:rsidR="00AC7702" w:rsidRPr="00AC7702" w:rsidRDefault="00AC7702" w:rsidP="00AC7702">
      <w:pPr>
        <w:pStyle w:val="EndNoteBibliography"/>
        <w:spacing w:after="360"/>
      </w:pPr>
      <w:r w:rsidRPr="00AC7702">
        <w:t xml:space="preserve">Ganapathy, V., J. Manyanga, L. Brame, D. McGuire, B. Sadhasivam, E. Floyd, D. A. Rubenstein, I. Ramachandran, T. Wagener and L. Queimado (2017). "Electronic cigarette aerosols suppress cellular antioxidant defenses and induce significant oxidative DNA damage." </w:t>
      </w:r>
      <w:r w:rsidRPr="00AC7702">
        <w:rPr>
          <w:u w:val="single"/>
        </w:rPr>
        <w:t>PLoS One</w:t>
      </w:r>
      <w:r w:rsidRPr="00AC7702">
        <w:t xml:space="preserve"> </w:t>
      </w:r>
      <w:r w:rsidRPr="00AC7702">
        <w:rPr>
          <w:b/>
        </w:rPr>
        <w:t>12</w:t>
      </w:r>
      <w:r w:rsidRPr="00AC7702">
        <w:t>(5): e0177780.</w:t>
      </w:r>
    </w:p>
    <w:p w14:paraId="04133167" w14:textId="77777777" w:rsidR="00AC7702" w:rsidRPr="00AC7702" w:rsidRDefault="00AC7702" w:rsidP="00AC7702">
      <w:pPr>
        <w:pStyle w:val="EndNoteBibliography"/>
        <w:spacing w:after="360"/>
      </w:pPr>
      <w:r w:rsidRPr="00AC7702">
        <w:lastRenderedPageBreak/>
        <w:t xml:space="preserve">Gee, J., K. Prasad, S. Slayford, A. Gray, K. Nother, A. Cunningham, E. Mavropoulou and C. Proctor (2018). "Assessment of tobacco heating product THP1.0. Part 8: Study to determine puffing topography, mouth level exposure and consumption among Japanese users." </w:t>
      </w:r>
      <w:r w:rsidRPr="00AC7702">
        <w:rPr>
          <w:u w:val="single"/>
        </w:rPr>
        <w:t>Regulatory Toxicology and Pharmacology</w:t>
      </w:r>
      <w:r w:rsidRPr="00AC7702">
        <w:t xml:space="preserve"> </w:t>
      </w:r>
      <w:r w:rsidRPr="00AC7702">
        <w:rPr>
          <w:b/>
        </w:rPr>
        <w:t>93</w:t>
      </w:r>
      <w:r w:rsidRPr="00AC7702">
        <w:t>: 84-91.</w:t>
      </w:r>
    </w:p>
    <w:p w14:paraId="3E353E96" w14:textId="77777777" w:rsidR="00AC7702" w:rsidRPr="00AC7702" w:rsidRDefault="00AC7702" w:rsidP="00AC7702">
      <w:pPr>
        <w:pStyle w:val="EndNoteBibliography"/>
        <w:spacing w:after="360"/>
      </w:pPr>
      <w:r w:rsidRPr="00AC7702">
        <w:t xml:space="preserve">Gerloff, J., I. K. Sundar, R. Freter, E. R. Sekera, A. E. Friedman, R. Robinson, T. Pagano and I. Rahman (2017). "Inflammatory Response and Barrier Dysfunction by Different e-Cigarette Flavoring Chemicals Identified by Gas Chromatography-Mass Spectrometry in e-Liquids and e-Vapors on Human Lung Epithelial Cells and Fibroblasts." </w:t>
      </w:r>
      <w:r w:rsidRPr="00AC7702">
        <w:rPr>
          <w:u w:val="single"/>
        </w:rPr>
        <w:t>Appl In Vitro Toxicol</w:t>
      </w:r>
      <w:r w:rsidRPr="00AC7702">
        <w:t xml:space="preserve"> </w:t>
      </w:r>
      <w:r w:rsidRPr="00AC7702">
        <w:rPr>
          <w:b/>
        </w:rPr>
        <w:t>3</w:t>
      </w:r>
      <w:r w:rsidRPr="00AC7702">
        <w:t>(1): 28-40.</w:t>
      </w:r>
    </w:p>
    <w:p w14:paraId="7D4D596A" w14:textId="77777777" w:rsidR="00AC7702" w:rsidRPr="00AC7702" w:rsidRDefault="00AC7702" w:rsidP="00AC7702">
      <w:pPr>
        <w:pStyle w:val="EndNoteBibliography"/>
        <w:spacing w:after="360"/>
      </w:pPr>
      <w:r w:rsidRPr="00AC7702">
        <w:t xml:space="preserve">Giachello, A. L., V. Thanh-Huyen, T. J. Payne, R. M. Robertson, C. Rodriguez, A. Groom, K. Walker, J. Hart, S. Langdon, V. Okhomina, A. Kesh, S. R. Seale, E. Navas-Nacher, E. Murillo, M. Sims, P. Salazar-Mitchell, R. Landry and V. Bates-Ambrus (2017). "Use of Tobacco Products Among LGBTQ: Results From 2016 Surveys &amp; Focus Groups." </w:t>
      </w:r>
      <w:r w:rsidRPr="00AC7702">
        <w:rPr>
          <w:u w:val="single"/>
        </w:rPr>
        <w:t>Circulation</w:t>
      </w:r>
      <w:r w:rsidRPr="00AC7702">
        <w:t xml:space="preserve"> </w:t>
      </w:r>
      <w:r w:rsidRPr="00AC7702">
        <w:rPr>
          <w:b/>
        </w:rPr>
        <w:t>135</w:t>
      </w:r>
      <w:r w:rsidRPr="00AC7702">
        <w:t>.</w:t>
      </w:r>
    </w:p>
    <w:p w14:paraId="77C13B2D" w14:textId="77777777" w:rsidR="00AC7702" w:rsidRPr="00AC7702" w:rsidRDefault="00AC7702" w:rsidP="00AC7702">
      <w:pPr>
        <w:pStyle w:val="EndNoteBibliography"/>
        <w:spacing w:after="360"/>
      </w:pPr>
      <w:r w:rsidRPr="00AC7702">
        <w:t xml:space="preserve">Giovacchini, C. X., L. Pacek, F. J. McClernon and L. G. Que (2017). "Use and Perceived Risk of Electronic Cigarettes Among North Carolina Middle and High School Students." </w:t>
      </w:r>
      <w:r w:rsidRPr="00AC7702">
        <w:rPr>
          <w:u w:val="single"/>
        </w:rPr>
        <w:t>N C Med J</w:t>
      </w:r>
      <w:r w:rsidRPr="00AC7702">
        <w:t xml:space="preserve"> </w:t>
      </w:r>
      <w:r w:rsidRPr="00AC7702">
        <w:rPr>
          <w:b/>
        </w:rPr>
        <w:t>78</w:t>
      </w:r>
      <w:r w:rsidRPr="00AC7702">
        <w:t>(1): 7-13.</w:t>
      </w:r>
    </w:p>
    <w:p w14:paraId="11B1A407" w14:textId="77777777" w:rsidR="00AC7702" w:rsidRPr="00AC7702" w:rsidRDefault="00AC7702" w:rsidP="00AC7702">
      <w:pPr>
        <w:pStyle w:val="EndNoteBibliography"/>
        <w:spacing w:after="360"/>
      </w:pPr>
      <w:r w:rsidRPr="00AC7702">
        <w:t xml:space="preserve">Giovenco, D. P. and C. D. Delnevo (2018). "Prevalence of population smoking cessation by electronic cigarette use status in a national sample of recent smokers." </w:t>
      </w:r>
      <w:r w:rsidRPr="00AC7702">
        <w:rPr>
          <w:u w:val="single"/>
        </w:rPr>
        <w:t>Addict Behav</w:t>
      </w:r>
      <w:r w:rsidRPr="00AC7702">
        <w:t xml:space="preserve"> </w:t>
      </w:r>
      <w:r w:rsidRPr="00AC7702">
        <w:rPr>
          <w:b/>
        </w:rPr>
        <w:t>76</w:t>
      </w:r>
      <w:r w:rsidRPr="00AC7702">
        <w:t>: 129-134.</w:t>
      </w:r>
    </w:p>
    <w:p w14:paraId="0EE50F62" w14:textId="6CCE2C68" w:rsidR="00AC7702" w:rsidRPr="00AC7702" w:rsidRDefault="00AC7702" w:rsidP="00AC7702">
      <w:pPr>
        <w:pStyle w:val="EndNoteBibliography"/>
        <w:spacing w:after="360"/>
      </w:pPr>
      <w:r w:rsidRPr="00AC7702">
        <w:t xml:space="preserve">Global Tobacco Control. (nd.). "Country Comparison Database."   Retrieved 12.06.2018, from </w:t>
      </w:r>
      <w:hyperlink r:id="rId58" w:history="1">
        <w:r w:rsidRPr="00AC7702">
          <w:rPr>
            <w:rStyle w:val="Hyperlink"/>
            <w:rFonts w:cs="Calibri"/>
          </w:rPr>
          <w:t>www.globaltobaccocontrol.org/e-cigarette/country-comparison-database</w:t>
        </w:r>
      </w:hyperlink>
      <w:r w:rsidRPr="00AC7702">
        <w:t>.</w:t>
      </w:r>
    </w:p>
    <w:p w14:paraId="0635B132" w14:textId="77777777" w:rsidR="00AC7702" w:rsidRPr="00AC7702" w:rsidRDefault="00AC7702" w:rsidP="00AC7702">
      <w:pPr>
        <w:pStyle w:val="EndNoteBibliography"/>
        <w:spacing w:after="360"/>
      </w:pPr>
      <w:r w:rsidRPr="00AC7702">
        <w:t xml:space="preserve">Goldbach, J. T., E. H. Mereish and C. Burgess (2017). "Sexual Orientation Disparities in the Use of Emerging Drugs." </w:t>
      </w:r>
      <w:r w:rsidRPr="00AC7702">
        <w:rPr>
          <w:u w:val="single"/>
        </w:rPr>
        <w:t>Subst Use Misuse</w:t>
      </w:r>
      <w:r w:rsidRPr="00AC7702">
        <w:t xml:space="preserve"> </w:t>
      </w:r>
      <w:r w:rsidRPr="00AC7702">
        <w:rPr>
          <w:b/>
        </w:rPr>
        <w:t>52</w:t>
      </w:r>
      <w:r w:rsidRPr="00AC7702">
        <w:t>(2): 265-271.</w:t>
      </w:r>
    </w:p>
    <w:p w14:paraId="657FF200" w14:textId="77777777" w:rsidR="00AC7702" w:rsidRPr="00AC7702" w:rsidRDefault="00AC7702" w:rsidP="00AC7702">
      <w:pPr>
        <w:pStyle w:val="EndNoteBibliography"/>
        <w:spacing w:after="360"/>
      </w:pPr>
      <w:r w:rsidRPr="00AC7702">
        <w:t xml:space="preserve">Goldenson, N. I., A. M. Leventhal, M. D. Stone, R. S. McConnell and J. L. Barrington-Trimis (2017). "Associations of Electronic Cigarette Nicotine Concentration With Subsequent Cigarette Smoking and Vaping Levels in Adolescents." </w:t>
      </w:r>
      <w:r w:rsidRPr="00AC7702">
        <w:rPr>
          <w:u w:val="single"/>
        </w:rPr>
        <w:t>JAMA Pediatr</w:t>
      </w:r>
      <w:r w:rsidRPr="00AC7702">
        <w:t xml:space="preserve"> </w:t>
      </w:r>
      <w:r w:rsidRPr="00AC7702">
        <w:rPr>
          <w:b/>
        </w:rPr>
        <w:t>171</w:t>
      </w:r>
      <w:r w:rsidRPr="00AC7702">
        <w:t>(12): 1192-1199.</w:t>
      </w:r>
    </w:p>
    <w:p w14:paraId="0307BCA8" w14:textId="77777777" w:rsidR="00AC7702" w:rsidRPr="00AC7702" w:rsidRDefault="00AC7702" w:rsidP="00AC7702">
      <w:pPr>
        <w:pStyle w:val="EndNoteBibliography"/>
        <w:spacing w:after="360"/>
      </w:pPr>
      <w:r w:rsidRPr="00AC7702">
        <w:t xml:space="preserve">Goniewicz, M. L., M. Gawron, D. M. Smith, M. Peng, P. Jacob, 3rd and N. L. Benowitz (2017). "Exposure to Nicotine and Selected Toxicants in Cigarette Smokers Who Switched to Electronic Cigarettes: A Longitudinal Within-Subjects Observational Study." </w:t>
      </w:r>
      <w:r w:rsidRPr="00AC7702">
        <w:rPr>
          <w:u w:val="single"/>
        </w:rPr>
        <w:t>Nicotine Tob Res</w:t>
      </w:r>
      <w:r w:rsidRPr="00AC7702">
        <w:t xml:space="preserve"> </w:t>
      </w:r>
      <w:r w:rsidRPr="00AC7702">
        <w:rPr>
          <w:b/>
        </w:rPr>
        <w:t>19</w:t>
      </w:r>
      <w:r w:rsidRPr="00AC7702">
        <w:t>(2): 160-167.</w:t>
      </w:r>
    </w:p>
    <w:p w14:paraId="72C1E03C" w14:textId="77777777" w:rsidR="00AC7702" w:rsidRPr="00AC7702" w:rsidRDefault="00AC7702" w:rsidP="00AC7702">
      <w:pPr>
        <w:pStyle w:val="EndNoteBibliography"/>
        <w:spacing w:after="360"/>
      </w:pPr>
      <w:r w:rsidRPr="00AC7702">
        <w:t xml:space="preserve">Gonzalez Roz, A., R. Secades Villa and S. Weidberg (2017). "Evaluating nicotine dependence levels in e-cigarette users." </w:t>
      </w:r>
      <w:r w:rsidRPr="00AC7702">
        <w:rPr>
          <w:u w:val="single"/>
        </w:rPr>
        <w:t>Adicciones</w:t>
      </w:r>
      <w:r w:rsidRPr="00AC7702">
        <w:t xml:space="preserve"> </w:t>
      </w:r>
      <w:r w:rsidRPr="00AC7702">
        <w:rPr>
          <w:b/>
        </w:rPr>
        <w:t>29</w:t>
      </w:r>
      <w:r w:rsidRPr="00AC7702">
        <w:t>(2): 136-138.</w:t>
      </w:r>
    </w:p>
    <w:p w14:paraId="479A2CDC" w14:textId="77777777" w:rsidR="00AC7702" w:rsidRPr="00AC7702" w:rsidRDefault="00AC7702" w:rsidP="00AC7702">
      <w:pPr>
        <w:pStyle w:val="EndNoteBibliography"/>
        <w:spacing w:after="360"/>
      </w:pPr>
      <w:r w:rsidRPr="00AC7702">
        <w:t xml:space="preserve">Gorini, G., G. Ferrante, E. Quarchioni, V. Minardi, M. Masocco, P. Fateh-Moghadam, S. Campostrini, P. D'Argenio and D. Galeone (2017). "Electronic cigarette use as an aid to quit smoking in the representative Italian population PASSI survey." </w:t>
      </w:r>
      <w:r w:rsidRPr="00AC7702">
        <w:rPr>
          <w:u w:val="single"/>
        </w:rPr>
        <w:t>Prev Med</w:t>
      </w:r>
      <w:r w:rsidRPr="00AC7702">
        <w:t xml:space="preserve"> </w:t>
      </w:r>
      <w:r w:rsidRPr="00AC7702">
        <w:rPr>
          <w:b/>
        </w:rPr>
        <w:t>102</w:t>
      </w:r>
      <w:r w:rsidRPr="00AC7702">
        <w:t>: 1-5.</w:t>
      </w:r>
    </w:p>
    <w:p w14:paraId="2A7C5477" w14:textId="77777777" w:rsidR="00AC7702" w:rsidRPr="00AC7702" w:rsidRDefault="00AC7702" w:rsidP="00AC7702">
      <w:pPr>
        <w:pStyle w:val="EndNoteBibliography"/>
        <w:spacing w:after="360"/>
      </w:pPr>
      <w:r w:rsidRPr="00AC7702">
        <w:t xml:space="preserve">Gravely, S., G. T. Fong, K. M. Cummings, M. Yan, A. C. Quah, R. Borland, H. H. Yong, S. C. Hitchman, A. McNeill, D. Hammond, J. F. Thrasher, M. C. Willemsen, H. G. Seo, Y. Jiang, T. Cavalcante, C. Perez, M. Omar and K. Hummel (2014). "Awareness, trial, and current use of electronic cigarettes </w:t>
      </w:r>
      <w:r w:rsidRPr="00AC7702">
        <w:lastRenderedPageBreak/>
        <w:t xml:space="preserve">in 10 countries: Findings from the ITC project." </w:t>
      </w:r>
      <w:r w:rsidRPr="00AC7702">
        <w:rPr>
          <w:u w:val="single"/>
        </w:rPr>
        <w:t>Int J Environ Res Public Health</w:t>
      </w:r>
      <w:r w:rsidRPr="00AC7702">
        <w:t xml:space="preserve"> </w:t>
      </w:r>
      <w:r w:rsidRPr="00AC7702">
        <w:rPr>
          <w:b/>
        </w:rPr>
        <w:t>11</w:t>
      </w:r>
      <w:r w:rsidRPr="00AC7702">
        <w:t>(11): 11691-11704.</w:t>
      </w:r>
    </w:p>
    <w:p w14:paraId="51E9FCA4" w14:textId="77777777" w:rsidR="00AC7702" w:rsidRPr="00AC7702" w:rsidRDefault="00AC7702" w:rsidP="00AC7702">
      <w:pPr>
        <w:pStyle w:val="EndNoteBibliography"/>
        <w:spacing w:after="360"/>
      </w:pPr>
      <w:r w:rsidRPr="00AC7702">
        <w:t xml:space="preserve">Gubner, N. R., A. Pagano, B. Tajima and J. Guydish (2017). "A comparison of daily versus weekly electronic cigarette users in treatment for substance abuse." </w:t>
      </w:r>
      <w:r w:rsidRPr="00AC7702">
        <w:rPr>
          <w:u w:val="single"/>
        </w:rPr>
        <w:t>Nicotine Tob Res</w:t>
      </w:r>
      <w:r w:rsidRPr="00AC7702">
        <w:t>.</w:t>
      </w:r>
    </w:p>
    <w:p w14:paraId="06590D76" w14:textId="77777777" w:rsidR="00AC7702" w:rsidRPr="00AC7702" w:rsidRDefault="00AC7702" w:rsidP="00AC7702">
      <w:pPr>
        <w:pStyle w:val="EndNoteBibliography"/>
        <w:spacing w:after="360"/>
      </w:pPr>
      <w:r w:rsidRPr="00AC7702">
        <w:t xml:space="preserve">Gucht, D. V., K. Adriaens and F. Baeyens (2017). "Online Vape Shop Customers Who Use E-Cigarettes Report Abstinence from Smoking and Improved Quality of Life, But a Substantial Minority Still Have Vaping-Related Health Concerns." </w:t>
      </w:r>
      <w:r w:rsidRPr="00AC7702">
        <w:rPr>
          <w:u w:val="single"/>
        </w:rPr>
        <w:t>Int J Environ Res Public Health</w:t>
      </w:r>
      <w:r w:rsidRPr="00AC7702">
        <w:t xml:space="preserve"> </w:t>
      </w:r>
      <w:r w:rsidRPr="00AC7702">
        <w:rPr>
          <w:b/>
        </w:rPr>
        <w:t>14</w:t>
      </w:r>
      <w:r w:rsidRPr="00AC7702">
        <w:t>(7).</w:t>
      </w:r>
    </w:p>
    <w:p w14:paraId="626AF0B6" w14:textId="77777777" w:rsidR="00AC7702" w:rsidRPr="00AC7702" w:rsidRDefault="00AC7702" w:rsidP="00AC7702">
      <w:pPr>
        <w:pStyle w:val="EndNoteBibliography"/>
        <w:spacing w:after="360"/>
      </w:pPr>
      <w:r w:rsidRPr="00AC7702">
        <w:t xml:space="preserve">Hall, M. T., R. P. Austin, T. A. Do and A. McGlynn (2018). "Vape and Aviate: Electronic-Cigarette Use and Misuse in Naval Aviation." </w:t>
      </w:r>
      <w:r w:rsidRPr="00AC7702">
        <w:rPr>
          <w:u w:val="single"/>
        </w:rPr>
        <w:t>Mil Med</w:t>
      </w:r>
      <w:r w:rsidRPr="00AC7702">
        <w:t xml:space="preserve"> </w:t>
      </w:r>
      <w:r w:rsidRPr="00AC7702">
        <w:rPr>
          <w:b/>
        </w:rPr>
        <w:t>183</w:t>
      </w:r>
      <w:r w:rsidRPr="00AC7702">
        <w:t>(3-4): e165-e170.</w:t>
      </w:r>
    </w:p>
    <w:p w14:paraId="64E06607" w14:textId="77777777" w:rsidR="00AC7702" w:rsidRPr="00AC7702" w:rsidRDefault="00AC7702" w:rsidP="00AC7702">
      <w:pPr>
        <w:pStyle w:val="EndNoteBibliography"/>
        <w:spacing w:after="360"/>
      </w:pPr>
      <w:r w:rsidRPr="00AC7702">
        <w:t xml:space="preserve">Hammig, B., P. Daniel-Dobbs and H. Blunt-Vinti (2017). "Electronic cigarette initiation among minority youth in the United States." </w:t>
      </w:r>
      <w:r w:rsidRPr="00AC7702">
        <w:rPr>
          <w:u w:val="single"/>
        </w:rPr>
        <w:t>Am J Drug Alcohol Abuse</w:t>
      </w:r>
      <w:r w:rsidRPr="00AC7702">
        <w:t xml:space="preserve"> </w:t>
      </w:r>
      <w:r w:rsidRPr="00AC7702">
        <w:rPr>
          <w:b/>
        </w:rPr>
        <w:t>43</w:t>
      </w:r>
      <w:r w:rsidRPr="00AC7702">
        <w:t>(3): 306-310.</w:t>
      </w:r>
    </w:p>
    <w:p w14:paraId="26910EB2" w14:textId="77777777" w:rsidR="00AC7702" w:rsidRPr="00AC7702" w:rsidRDefault="00AC7702" w:rsidP="00AC7702">
      <w:pPr>
        <w:pStyle w:val="EndNoteBibliography"/>
        <w:spacing w:after="360"/>
      </w:pPr>
      <w:r w:rsidRPr="00AC7702">
        <w:t xml:space="preserve">Hammond, D., J. L. Reid, A. G. Cole and S. T. Leatherdale (2017). "Electronic cigarette use and smoking initiation among youth: a longitudinal cohort study." </w:t>
      </w:r>
      <w:r w:rsidRPr="00AC7702">
        <w:rPr>
          <w:u w:val="single"/>
        </w:rPr>
        <w:t>Cmaj</w:t>
      </w:r>
      <w:r w:rsidRPr="00AC7702">
        <w:t xml:space="preserve"> </w:t>
      </w:r>
      <w:r w:rsidRPr="00AC7702">
        <w:rPr>
          <w:b/>
        </w:rPr>
        <w:t>189</w:t>
      </w:r>
      <w:r w:rsidRPr="00AC7702">
        <w:t>(43): E1328-e1336.</w:t>
      </w:r>
    </w:p>
    <w:p w14:paraId="270FD8BF" w14:textId="77777777" w:rsidR="00AC7702" w:rsidRPr="00AC7702" w:rsidRDefault="00AC7702" w:rsidP="00AC7702">
      <w:pPr>
        <w:pStyle w:val="EndNoteBibliography"/>
        <w:spacing w:after="360"/>
      </w:pPr>
      <w:r w:rsidRPr="00AC7702">
        <w:t xml:space="preserve">Harrell, P. T., S. M. H. Naqvi, A. D. Plunk, M. Ji and S. S. Martins (2017). "Patterns of youth tobacco and polytobacco usage: The shift to alternative tobacco products." </w:t>
      </w:r>
      <w:r w:rsidRPr="00AC7702">
        <w:rPr>
          <w:u w:val="single"/>
        </w:rPr>
        <w:t>Am J Drug Alcohol Abuse</w:t>
      </w:r>
      <w:r w:rsidRPr="00AC7702">
        <w:t xml:space="preserve"> </w:t>
      </w:r>
      <w:r w:rsidRPr="00AC7702">
        <w:rPr>
          <w:b/>
        </w:rPr>
        <w:t>43</w:t>
      </w:r>
      <w:r w:rsidRPr="00AC7702">
        <w:t>(6): 694-702.</w:t>
      </w:r>
    </w:p>
    <w:p w14:paraId="5BC0994D" w14:textId="77777777" w:rsidR="00AC7702" w:rsidRPr="00AC7702" w:rsidRDefault="00AC7702" w:rsidP="00AC7702">
      <w:pPr>
        <w:pStyle w:val="EndNoteBibliography"/>
        <w:spacing w:after="360"/>
      </w:pPr>
      <w:r w:rsidRPr="00AC7702">
        <w:t xml:space="preserve">Harris, A. C., P. Muelken, J. R. Smethells, K. Yershova, I. Stepanov, T. T. Olson, K. J. Kellar and M. G. LeSage (2018). "Effects of nicotine-containing and "nicotine-free" e-cigarette refill liquids on intracranial self-stimulation in rats." </w:t>
      </w:r>
      <w:r w:rsidRPr="00AC7702">
        <w:rPr>
          <w:u w:val="single"/>
        </w:rPr>
        <w:t>Drug Alcohol Depend</w:t>
      </w:r>
      <w:r w:rsidRPr="00AC7702">
        <w:t xml:space="preserve"> </w:t>
      </w:r>
      <w:r w:rsidRPr="00AC7702">
        <w:rPr>
          <w:b/>
        </w:rPr>
        <w:t>185</w:t>
      </w:r>
      <w:r w:rsidRPr="00AC7702">
        <w:t>: 1-9.</w:t>
      </w:r>
    </w:p>
    <w:p w14:paraId="204966AE" w14:textId="77777777" w:rsidR="00AC7702" w:rsidRPr="00AC7702" w:rsidRDefault="00AC7702" w:rsidP="00AC7702">
      <w:pPr>
        <w:pStyle w:val="EndNoteBibliography"/>
        <w:spacing w:after="360"/>
      </w:pPr>
      <w:r w:rsidRPr="00AC7702">
        <w:t xml:space="preserve">Harrold, T. C., A. K. Maag, S. Thackway, J. Mitchell and L. K. Taylor (2015). "Prevalence of e-cigarette users in New South Wales." </w:t>
      </w:r>
      <w:r w:rsidRPr="00AC7702">
        <w:rPr>
          <w:u w:val="single"/>
        </w:rPr>
        <w:t>Medical Journal of Australia</w:t>
      </w:r>
      <w:r w:rsidRPr="00AC7702">
        <w:t xml:space="preserve"> </w:t>
      </w:r>
      <w:r w:rsidRPr="00AC7702">
        <w:rPr>
          <w:b/>
        </w:rPr>
        <w:t>203</w:t>
      </w:r>
      <w:r w:rsidRPr="00AC7702">
        <w:t>(8): 326-+.</w:t>
      </w:r>
    </w:p>
    <w:p w14:paraId="409E3E74" w14:textId="77777777" w:rsidR="00AC7702" w:rsidRPr="00AC7702" w:rsidRDefault="00AC7702" w:rsidP="00AC7702">
      <w:pPr>
        <w:pStyle w:val="EndNoteBibliography"/>
        <w:spacing w:after="360"/>
      </w:pPr>
      <w:r w:rsidRPr="00AC7702">
        <w:t xml:space="preserve">Harshman, J., M. Vojvodic and A. D. Rogers (2017). "Burns associated with e-cigarette batteries: A case series and literature review." </w:t>
      </w:r>
      <w:r w:rsidRPr="00AC7702">
        <w:rPr>
          <w:u w:val="single"/>
        </w:rPr>
        <w:t>Cjem</w:t>
      </w:r>
      <w:r w:rsidRPr="00AC7702">
        <w:t>: 1-9.</w:t>
      </w:r>
    </w:p>
    <w:p w14:paraId="60D0BDC5" w14:textId="77777777" w:rsidR="00AC7702" w:rsidRPr="00AC7702" w:rsidRDefault="00AC7702" w:rsidP="00AC7702">
      <w:pPr>
        <w:pStyle w:val="EndNoteBibliography"/>
        <w:spacing w:after="360"/>
      </w:pPr>
      <w:r w:rsidRPr="00AC7702">
        <w:t xml:space="preserve">Harvanko, A. M., C. A. Martin, R. J. Kryscio, W. W. Stoops, J. A. Lile and T. H. Kelly (2017). "A Prototypical First-Generation Electronic Cigarette Does Not Reduce Reports of Tobacco Urges or Withdrawal Symptoms among Cigarette Smokers." </w:t>
      </w:r>
      <w:r w:rsidRPr="00AC7702">
        <w:rPr>
          <w:u w:val="single"/>
        </w:rPr>
        <w:t>J Addict</w:t>
      </w:r>
      <w:r w:rsidRPr="00AC7702">
        <w:t xml:space="preserve"> </w:t>
      </w:r>
      <w:r w:rsidRPr="00AC7702">
        <w:rPr>
          <w:b/>
        </w:rPr>
        <w:t>2017</w:t>
      </w:r>
      <w:r w:rsidRPr="00AC7702">
        <w:t>: 6748948.</w:t>
      </w:r>
    </w:p>
    <w:p w14:paraId="2AB744A1" w14:textId="77777777" w:rsidR="00AC7702" w:rsidRPr="00AC7702" w:rsidRDefault="00AC7702" w:rsidP="00AC7702">
      <w:pPr>
        <w:pStyle w:val="EndNoteBibliography"/>
        <w:spacing w:after="360"/>
      </w:pPr>
      <w:r w:rsidRPr="00AC7702">
        <w:t xml:space="preserve">Haswell, L. E., A. Baxter, A. Banerjee, I. Verrastro, J. Mushonganono, J. Adamson, D. Thorne, M. Gaca and E. Minet (2017). "Reduced biological effect of e-cigarette aerosol compared to cigarette smoke evaluated in vitro using normalized nicotine dose and RNA-seq-based toxicogenomics." </w:t>
      </w:r>
      <w:r w:rsidRPr="00AC7702">
        <w:rPr>
          <w:u w:val="single"/>
        </w:rPr>
        <w:t>Sci Rep</w:t>
      </w:r>
      <w:r w:rsidRPr="00AC7702">
        <w:t xml:space="preserve"> </w:t>
      </w:r>
      <w:r w:rsidRPr="00AC7702">
        <w:rPr>
          <w:b/>
        </w:rPr>
        <w:t>7</w:t>
      </w:r>
      <w:r w:rsidRPr="00AC7702">
        <w:t>(1): 888.</w:t>
      </w:r>
    </w:p>
    <w:p w14:paraId="66DB3A3B" w14:textId="77777777" w:rsidR="00AC7702" w:rsidRPr="00AC7702" w:rsidRDefault="00AC7702" w:rsidP="00AC7702">
      <w:pPr>
        <w:pStyle w:val="EndNoteBibliography"/>
        <w:spacing w:after="360"/>
      </w:pPr>
      <w:r w:rsidRPr="00AC7702">
        <w:t xml:space="preserve">Henry, A. D., J. Gettens, J. A. Savageau, D. Cullen and A. Landau (2017). "Massachusetts Medicaid members that smoked in 2008: Characteristics associated with smoking status in 2014." </w:t>
      </w:r>
      <w:r w:rsidRPr="00AC7702">
        <w:rPr>
          <w:u w:val="single"/>
        </w:rPr>
        <w:t>PLoS One</w:t>
      </w:r>
      <w:r w:rsidRPr="00AC7702">
        <w:t xml:space="preserve"> </w:t>
      </w:r>
      <w:r w:rsidRPr="00AC7702">
        <w:rPr>
          <w:b/>
        </w:rPr>
        <w:t>12</w:t>
      </w:r>
      <w:r w:rsidRPr="00AC7702">
        <w:t>(10): e0186144.</w:t>
      </w:r>
    </w:p>
    <w:p w14:paraId="4387BF36" w14:textId="77777777" w:rsidR="00AC7702" w:rsidRPr="00AC7702" w:rsidRDefault="00AC7702" w:rsidP="00AC7702">
      <w:pPr>
        <w:pStyle w:val="EndNoteBibliography"/>
        <w:spacing w:after="360"/>
      </w:pPr>
      <w:r w:rsidRPr="00AC7702">
        <w:lastRenderedPageBreak/>
        <w:t xml:space="preserve">Hershberger, A., M. Connors, M. Um and M. A. Cyders (2017). "The Theory of Planned Behavior and E-cig Use: Impulsive Personality, E-cig Attitudes, and E-cig Use." </w:t>
      </w:r>
      <w:r w:rsidRPr="00AC7702">
        <w:rPr>
          <w:u w:val="single"/>
        </w:rPr>
        <w:t>International Journal of Mental Health and Addiction</w:t>
      </w:r>
      <w:r w:rsidRPr="00AC7702">
        <w:t>: 1-11.</w:t>
      </w:r>
    </w:p>
    <w:p w14:paraId="4B0F6A13" w14:textId="77777777" w:rsidR="00AC7702" w:rsidRPr="00AC7702" w:rsidRDefault="00AC7702" w:rsidP="00AC7702">
      <w:pPr>
        <w:pStyle w:val="EndNoteBibliography"/>
        <w:spacing w:after="360"/>
      </w:pPr>
      <w:r w:rsidRPr="00AC7702">
        <w:t xml:space="preserve">Hickey, S., J. Goverman, J. Friedstat, R. Sheridan and J. Schulz (2018). "Thermal injuries from exploding electronic cigarettes." </w:t>
      </w:r>
      <w:r w:rsidRPr="00AC7702">
        <w:rPr>
          <w:u w:val="single"/>
        </w:rPr>
        <w:t>Burns</w:t>
      </w:r>
      <w:r w:rsidRPr="00AC7702">
        <w:t>.</w:t>
      </w:r>
    </w:p>
    <w:p w14:paraId="3D4905EE" w14:textId="77777777" w:rsidR="00AC7702" w:rsidRPr="00AC7702" w:rsidRDefault="00AC7702" w:rsidP="00AC7702">
      <w:pPr>
        <w:pStyle w:val="EndNoteBibliography"/>
        <w:spacing w:after="360"/>
      </w:pPr>
      <w:r w:rsidRPr="00AC7702">
        <w:t xml:space="preserve">Hiler, M., A. Breland, T. Spindle, S. Maloney, T. Lipato, N. Karaoghlanian, A. Shihadeh, A. Lopez, C. Ramoa and T. Eissenberg (2017). "Electronic cigarette user plasma nicotine concentration, puff topography, heart rate, and subjective effects: Influence of liquid nicotine concentration and user experience." </w:t>
      </w:r>
      <w:r w:rsidRPr="00AC7702">
        <w:rPr>
          <w:u w:val="single"/>
        </w:rPr>
        <w:t>Exp Clin Psychopharmacol</w:t>
      </w:r>
      <w:r w:rsidRPr="00AC7702">
        <w:t xml:space="preserve"> </w:t>
      </w:r>
      <w:r w:rsidRPr="00AC7702">
        <w:rPr>
          <w:b/>
        </w:rPr>
        <w:t>25</w:t>
      </w:r>
      <w:r w:rsidRPr="00AC7702">
        <w:t>(5): 380-392.</w:t>
      </w:r>
    </w:p>
    <w:p w14:paraId="6F901113" w14:textId="77777777" w:rsidR="00AC7702" w:rsidRPr="00AC7702" w:rsidRDefault="00AC7702" w:rsidP="00AC7702">
      <w:pPr>
        <w:pStyle w:val="EndNoteBibliography"/>
        <w:spacing w:after="360"/>
      </w:pPr>
      <w:r w:rsidRPr="00AC7702">
        <w:t xml:space="preserve">Hines, J. Z., S. C. Fiala and K. Hedberg (2017). "Electronic Cigarettes as an Introductory Tobacco Product Among Eighth and 11th Grade Tobacco Users - Oregon, 2015." </w:t>
      </w:r>
      <w:r w:rsidRPr="00AC7702">
        <w:rPr>
          <w:u w:val="single"/>
        </w:rPr>
        <w:t>MMWR Morb Mortal Wkly Rep</w:t>
      </w:r>
      <w:r w:rsidRPr="00AC7702">
        <w:t xml:space="preserve"> </w:t>
      </w:r>
      <w:r w:rsidRPr="00AC7702">
        <w:rPr>
          <w:b/>
        </w:rPr>
        <w:t>66</w:t>
      </w:r>
      <w:r w:rsidRPr="00AC7702">
        <w:t>(23): 604-606.</w:t>
      </w:r>
    </w:p>
    <w:p w14:paraId="6B4EE121" w14:textId="77777777" w:rsidR="00AC7702" w:rsidRPr="00AC7702" w:rsidRDefault="00AC7702" w:rsidP="00AC7702">
      <w:pPr>
        <w:pStyle w:val="EndNoteBibliography"/>
        <w:spacing w:after="360"/>
      </w:pPr>
      <w:r w:rsidRPr="00AC7702">
        <w:t xml:space="preserve">Hirano, T., T. Tabuchi, R. Nakahara, N. Kunugita and Y. Mochizuki-Kobayashi (2017). "Electronic Cigarette Use and Smoking Abstinence in Japan: A Cross-Sectional Study of Quitting Methods." </w:t>
      </w:r>
      <w:r w:rsidRPr="00AC7702">
        <w:rPr>
          <w:u w:val="single"/>
        </w:rPr>
        <w:t>Int J Environ Res Public Health</w:t>
      </w:r>
      <w:r w:rsidRPr="00AC7702">
        <w:t xml:space="preserve"> </w:t>
      </w:r>
      <w:r w:rsidRPr="00AC7702">
        <w:rPr>
          <w:b/>
        </w:rPr>
        <w:t>14</w:t>
      </w:r>
      <w:r w:rsidRPr="00AC7702">
        <w:t>(2).</w:t>
      </w:r>
    </w:p>
    <w:p w14:paraId="7CE6C0E4" w14:textId="77777777" w:rsidR="00AC7702" w:rsidRPr="00AC7702" w:rsidRDefault="00AC7702" w:rsidP="00AC7702">
      <w:pPr>
        <w:pStyle w:val="EndNoteBibliography"/>
        <w:spacing w:after="360"/>
      </w:pPr>
      <w:r w:rsidRPr="00AC7702">
        <w:t xml:space="preserve">Hong, H., J. Barrington-Trimis, F. Liu, R. Urman and R. McConnell (2017). "Reasons For Electronic Cigarette Use Among Southern California Young Adults." </w:t>
      </w:r>
      <w:r w:rsidRPr="00AC7702">
        <w:rPr>
          <w:u w:val="single"/>
        </w:rPr>
        <w:t>American Journal of Respiratory and Critical Care Medicine</w:t>
      </w:r>
      <w:r w:rsidRPr="00AC7702">
        <w:t xml:space="preserve"> </w:t>
      </w:r>
      <w:r w:rsidRPr="00AC7702">
        <w:rPr>
          <w:b/>
        </w:rPr>
        <w:t>195</w:t>
      </w:r>
      <w:r w:rsidRPr="00AC7702">
        <w:t>.</w:t>
      </w:r>
    </w:p>
    <w:p w14:paraId="120611AA" w14:textId="77777777" w:rsidR="00AC7702" w:rsidRPr="00AC7702" w:rsidRDefault="00AC7702" w:rsidP="00AC7702">
      <w:pPr>
        <w:pStyle w:val="EndNoteBibliography"/>
        <w:spacing w:after="360"/>
      </w:pPr>
      <w:r w:rsidRPr="00AC7702">
        <w:t xml:space="preserve">Ikonomidis, I., D. Vlastos, K. Kourea, G. Kostelli, M. Varoudi, G. Pavlidis, P. Efentakis, H. Triantafyllidi, J. Parissis, I. Andreadou, E. Iliodromitis and J. Lekakis (2018). "Electronic Cigarette Smoking Increases Arterial Stiffness and Oxidative Stress to a Lesser Extent Than a Single Conventional Cigarette: An Acute and Chronic Study." </w:t>
      </w:r>
      <w:r w:rsidRPr="00AC7702">
        <w:rPr>
          <w:u w:val="single"/>
        </w:rPr>
        <w:t>Circulation</w:t>
      </w:r>
      <w:r w:rsidRPr="00AC7702">
        <w:t xml:space="preserve"> </w:t>
      </w:r>
      <w:r w:rsidRPr="00AC7702">
        <w:rPr>
          <w:b/>
        </w:rPr>
        <w:t>137</w:t>
      </w:r>
      <w:r w:rsidRPr="00AC7702">
        <w:t>(3): 303-306.</w:t>
      </w:r>
    </w:p>
    <w:p w14:paraId="738ADA9D" w14:textId="77777777" w:rsidR="00AC7702" w:rsidRPr="00AC7702" w:rsidRDefault="00AC7702" w:rsidP="00AC7702">
      <w:pPr>
        <w:pStyle w:val="EndNoteBibliography"/>
        <w:spacing w:after="360"/>
      </w:pPr>
      <w:r w:rsidRPr="00AC7702">
        <w:t xml:space="preserve">Jain, R. B. (2018). "Concentrations of selected metals in blood, serum, and urine among US adult exclusive users of cigarettes, cigars, and electronic cigarettes." </w:t>
      </w:r>
      <w:r w:rsidRPr="00AC7702">
        <w:rPr>
          <w:u w:val="single"/>
        </w:rPr>
        <w:t>Toxicological and Environmental Chemistry</w:t>
      </w:r>
      <w:r w:rsidRPr="00AC7702">
        <w:t xml:space="preserve"> </w:t>
      </w:r>
      <w:r w:rsidRPr="00AC7702">
        <w:rPr>
          <w:b/>
        </w:rPr>
        <w:t>100</w:t>
      </w:r>
      <w:r w:rsidRPr="00AC7702">
        <w:t>(1): 134-142.</w:t>
      </w:r>
    </w:p>
    <w:p w14:paraId="1D9E73FC" w14:textId="77777777" w:rsidR="00AC7702" w:rsidRPr="00AC7702" w:rsidRDefault="00AC7702" w:rsidP="00AC7702">
      <w:pPr>
        <w:pStyle w:val="EndNoteBibliography"/>
        <w:spacing w:after="360"/>
      </w:pPr>
      <w:r w:rsidRPr="00AC7702">
        <w:t xml:space="preserve">Jamal, A., E. Phillips, A. S. Gentzke, D. M. Homa, S. D. Babb, B. A. King and L. J. Neff (2018). "Current Cigarette Smoking Among Adults — United States, 2016." </w:t>
      </w:r>
      <w:r w:rsidRPr="00AC7702">
        <w:rPr>
          <w:u w:val="single"/>
        </w:rPr>
        <w:t>Morbidity and Mortality Weekly Report</w:t>
      </w:r>
      <w:r w:rsidRPr="00AC7702">
        <w:t xml:space="preserve"> </w:t>
      </w:r>
      <w:r w:rsidRPr="00AC7702">
        <w:rPr>
          <w:b/>
        </w:rPr>
        <w:t>67</w:t>
      </w:r>
      <w:r w:rsidRPr="00AC7702">
        <w:t>(2): 53-59.</w:t>
      </w:r>
    </w:p>
    <w:p w14:paraId="0AB093FE" w14:textId="77777777" w:rsidR="00AC7702" w:rsidRPr="00AC7702" w:rsidRDefault="00AC7702" w:rsidP="00AC7702">
      <w:pPr>
        <w:pStyle w:val="EndNoteBibliography"/>
        <w:spacing w:after="360"/>
      </w:pPr>
      <w:r w:rsidRPr="00AC7702">
        <w:t xml:space="preserve">Javed, F., T. Abduljabbar, F. Vohra, H. Malmstrom, I. Rahman and G. E. Romanos (2017). "Comparison of Periodontal Parameters and Self-Perceived Oral Symptoms Among Cigarette Smokers, Individuals Vaping Electronic Cigarettes, and Never-Smokers." </w:t>
      </w:r>
      <w:r w:rsidRPr="00AC7702">
        <w:rPr>
          <w:u w:val="single"/>
        </w:rPr>
        <w:t>J Periodontol</w:t>
      </w:r>
      <w:r w:rsidRPr="00AC7702">
        <w:t xml:space="preserve"> </w:t>
      </w:r>
      <w:r w:rsidRPr="00AC7702">
        <w:rPr>
          <w:b/>
        </w:rPr>
        <w:t>88</w:t>
      </w:r>
      <w:r w:rsidRPr="00AC7702">
        <w:t>(10): 1059-1065.</w:t>
      </w:r>
    </w:p>
    <w:p w14:paraId="322224F1" w14:textId="77777777" w:rsidR="00AC7702" w:rsidRPr="00AC7702" w:rsidRDefault="00AC7702" w:rsidP="00AC7702">
      <w:pPr>
        <w:pStyle w:val="EndNoteBibliography"/>
        <w:spacing w:after="360"/>
      </w:pPr>
      <w:r w:rsidRPr="00AC7702">
        <w:t xml:space="preserve">Jiang, N., J. Chen, M. P. Wang, S. M. McGhee, A. C. Kwong, V. W. Lai and T. H. Lam (2016). "Electronic cigarette awareness and use among adults in Hong Kong." </w:t>
      </w:r>
      <w:r w:rsidRPr="00AC7702">
        <w:rPr>
          <w:u w:val="single"/>
        </w:rPr>
        <w:t>Addict Behav</w:t>
      </w:r>
      <w:r w:rsidRPr="00AC7702">
        <w:t xml:space="preserve"> </w:t>
      </w:r>
      <w:r w:rsidRPr="00AC7702">
        <w:rPr>
          <w:b/>
        </w:rPr>
        <w:t>52</w:t>
      </w:r>
      <w:r w:rsidRPr="00AC7702">
        <w:t>: 34-38.</w:t>
      </w:r>
    </w:p>
    <w:p w14:paraId="759000F9" w14:textId="77777777" w:rsidR="00AC7702" w:rsidRPr="00AC7702" w:rsidRDefault="00AC7702" w:rsidP="00AC7702">
      <w:pPr>
        <w:pStyle w:val="EndNoteBibliography"/>
        <w:spacing w:after="360"/>
      </w:pPr>
      <w:r w:rsidRPr="00AC7702">
        <w:t xml:space="preserve">Jiwani, A. Z., J. F. Williams, J. A. Rizzo, K. K. Chung, B. T. King and L. C. Cancio (2017). "Thermal injury patterns associated with electronic cigarettes." </w:t>
      </w:r>
      <w:r w:rsidRPr="00AC7702">
        <w:rPr>
          <w:u w:val="single"/>
        </w:rPr>
        <w:t>Int J Burns Trauma</w:t>
      </w:r>
      <w:r w:rsidRPr="00AC7702">
        <w:t xml:space="preserve"> </w:t>
      </w:r>
      <w:r w:rsidRPr="00AC7702">
        <w:rPr>
          <w:b/>
        </w:rPr>
        <w:t>7</w:t>
      </w:r>
      <w:r w:rsidRPr="00AC7702">
        <w:t>(1): 1-5.</w:t>
      </w:r>
    </w:p>
    <w:p w14:paraId="4C09423B" w14:textId="77777777" w:rsidR="00AC7702" w:rsidRPr="00AC7702" w:rsidRDefault="00AC7702" w:rsidP="00AC7702">
      <w:pPr>
        <w:pStyle w:val="EndNoteBibliography"/>
        <w:spacing w:after="360"/>
      </w:pPr>
      <w:r w:rsidRPr="00AC7702">
        <w:lastRenderedPageBreak/>
        <w:t xml:space="preserve">Johnson, A. C., D. Mays, K. B. Hawkins, M. Denzel and K. P. Tercyak (2017). "A qualitative study of adolescent perceptions of electronic cigarettes and their marketing: Implications for prevention and policy." </w:t>
      </w:r>
      <w:r w:rsidRPr="00AC7702">
        <w:rPr>
          <w:u w:val="single"/>
        </w:rPr>
        <w:t>Children's Health Care</w:t>
      </w:r>
      <w:r w:rsidRPr="00AC7702">
        <w:t xml:space="preserve"> </w:t>
      </w:r>
      <w:r w:rsidRPr="00AC7702">
        <w:rPr>
          <w:b/>
        </w:rPr>
        <w:t>46</w:t>
      </w:r>
      <w:r w:rsidRPr="00AC7702">
        <w:t>(4): 379-392.</w:t>
      </w:r>
    </w:p>
    <w:p w14:paraId="21F3636D" w14:textId="77777777" w:rsidR="00AC7702" w:rsidRPr="00AC7702" w:rsidRDefault="00AC7702" w:rsidP="00AC7702">
      <w:pPr>
        <w:pStyle w:val="EndNoteBibliography"/>
        <w:spacing w:after="360"/>
      </w:pPr>
      <w:r w:rsidRPr="00AC7702">
        <w:t xml:space="preserve">Jones, D. M., B. A. Majeed, S. R. Weaver, K. Sterling, T. F. Pechacek and M. P. Eriksen (2017). "Prevalence and Factors Associated with Smokeless Tobacco Use, 2014-2016." </w:t>
      </w:r>
      <w:r w:rsidRPr="00AC7702">
        <w:rPr>
          <w:u w:val="single"/>
        </w:rPr>
        <w:t>Am J Health Behav</w:t>
      </w:r>
      <w:r w:rsidRPr="00AC7702">
        <w:t xml:space="preserve"> </w:t>
      </w:r>
      <w:r w:rsidRPr="00AC7702">
        <w:rPr>
          <w:b/>
        </w:rPr>
        <w:t>41</w:t>
      </w:r>
      <w:r w:rsidRPr="00AC7702">
        <w:t>(5): 608-617.</w:t>
      </w:r>
    </w:p>
    <w:p w14:paraId="3919E89B" w14:textId="77777777" w:rsidR="00AC7702" w:rsidRPr="00AC7702" w:rsidRDefault="00AC7702" w:rsidP="00AC7702">
      <w:pPr>
        <w:pStyle w:val="EndNoteBibliography"/>
        <w:spacing w:after="360"/>
      </w:pPr>
      <w:r w:rsidRPr="00AC7702">
        <w:t xml:space="preserve">Jorenby, D. E., S. S. Smith, M. C. Fiore and T. B. Baker (2017). "Nicotine levels, withdrawal symptoms, and smoking reduction success in real world use: A comparison of cigarette smokers and dual users of both cigarettes and E-cigarettes." </w:t>
      </w:r>
      <w:r w:rsidRPr="00AC7702">
        <w:rPr>
          <w:u w:val="single"/>
        </w:rPr>
        <w:t>Drug Alcohol Depend</w:t>
      </w:r>
      <w:r w:rsidRPr="00AC7702">
        <w:t xml:space="preserve"> </w:t>
      </w:r>
      <w:r w:rsidRPr="00AC7702">
        <w:rPr>
          <w:b/>
        </w:rPr>
        <w:t>170</w:t>
      </w:r>
      <w:r w:rsidRPr="00AC7702">
        <w:t>: 93-101.</w:t>
      </w:r>
    </w:p>
    <w:p w14:paraId="5E499E9D" w14:textId="77777777" w:rsidR="00AC7702" w:rsidRPr="00AC7702" w:rsidRDefault="00AC7702" w:rsidP="00AC7702">
      <w:pPr>
        <w:pStyle w:val="EndNoteBibliography"/>
        <w:spacing w:after="360"/>
      </w:pPr>
      <w:r w:rsidRPr="00AC7702">
        <w:t xml:space="preserve">Kaisar, M. A., H. Villalba, S. Prasad, T. Liles, A. E. Sifat, R. K. Sajja, T. J. Abbruscato and L. Cucullo (2017). "Offsetting the impact of smoking and e-cigarette vaping on the cerebrovascular system and stroke injury: Is Metformin a viable countermeasure?" </w:t>
      </w:r>
      <w:r w:rsidRPr="00AC7702">
        <w:rPr>
          <w:u w:val="single"/>
        </w:rPr>
        <w:t>Redox Biol</w:t>
      </w:r>
      <w:r w:rsidRPr="00AC7702">
        <w:t xml:space="preserve"> </w:t>
      </w:r>
      <w:r w:rsidRPr="00AC7702">
        <w:rPr>
          <w:b/>
        </w:rPr>
        <w:t>13</w:t>
      </w:r>
      <w:r w:rsidRPr="00AC7702">
        <w:t>: 353-362.</w:t>
      </w:r>
    </w:p>
    <w:p w14:paraId="36D80F3D" w14:textId="77777777" w:rsidR="00AC7702" w:rsidRPr="00AC7702" w:rsidRDefault="00AC7702" w:rsidP="00AC7702">
      <w:pPr>
        <w:pStyle w:val="EndNoteBibliography"/>
        <w:spacing w:after="360"/>
      </w:pPr>
      <w:r w:rsidRPr="00AC7702">
        <w:t xml:space="preserve">Kalkhoran, S., N. Alvarado, M. Vijayaraghavan, P. J. Lum, P. Yuan and J. M. Satterfield (2017). "Patterns of and reasons for electronic cigarette use in primary care patients." </w:t>
      </w:r>
      <w:r w:rsidRPr="00AC7702">
        <w:rPr>
          <w:u w:val="single"/>
        </w:rPr>
        <w:t>J Gen Intern Med</w:t>
      </w:r>
      <w:r w:rsidRPr="00AC7702">
        <w:t xml:space="preserve"> </w:t>
      </w:r>
      <w:r w:rsidRPr="00AC7702">
        <w:rPr>
          <w:b/>
        </w:rPr>
        <w:t>32</w:t>
      </w:r>
      <w:r w:rsidRPr="00AC7702">
        <w:t>(10): 1122-1129.</w:t>
      </w:r>
    </w:p>
    <w:p w14:paraId="76D9FCAC" w14:textId="77777777" w:rsidR="00AC7702" w:rsidRPr="00AC7702" w:rsidRDefault="00AC7702" w:rsidP="00AC7702">
      <w:pPr>
        <w:pStyle w:val="EndNoteBibliography"/>
        <w:spacing w:after="360"/>
      </w:pPr>
      <w:r w:rsidRPr="00AC7702">
        <w:t xml:space="preserve">Kaufmann, N. and D. Currie (2017). "The Scottish adolescent e-cigarette user: profiling from the Scottish Schools Adolescent Lifestyle and Substance Use Survey (SALSUS)." </w:t>
      </w:r>
      <w:r w:rsidRPr="00AC7702">
        <w:rPr>
          <w:u w:val="single"/>
        </w:rPr>
        <w:t>Public Health</w:t>
      </w:r>
      <w:r w:rsidRPr="00AC7702">
        <w:t xml:space="preserve"> </w:t>
      </w:r>
      <w:r w:rsidRPr="00AC7702">
        <w:rPr>
          <w:b/>
        </w:rPr>
        <w:t>147</w:t>
      </w:r>
      <w:r w:rsidRPr="00AC7702">
        <w:t>: 69-71.</w:t>
      </w:r>
    </w:p>
    <w:p w14:paraId="77C441F5" w14:textId="77777777" w:rsidR="00AC7702" w:rsidRPr="00AC7702" w:rsidRDefault="00AC7702" w:rsidP="00AC7702">
      <w:pPr>
        <w:pStyle w:val="EndNoteBibliography"/>
        <w:spacing w:after="360"/>
      </w:pPr>
      <w:r w:rsidRPr="00AC7702">
        <w:t xml:space="preserve">Keane, H., M. Weier, D. Fraser and C. Gartner (2017). "‘Anytime, anywhere’: vaping as social practice." </w:t>
      </w:r>
      <w:r w:rsidRPr="00AC7702">
        <w:rPr>
          <w:u w:val="single"/>
        </w:rPr>
        <w:t>Critical Public Health</w:t>
      </w:r>
      <w:r w:rsidRPr="00AC7702">
        <w:t xml:space="preserve"> </w:t>
      </w:r>
      <w:r w:rsidRPr="00AC7702">
        <w:rPr>
          <w:b/>
        </w:rPr>
        <w:t>27</w:t>
      </w:r>
      <w:r w:rsidRPr="00AC7702">
        <w:t>(4): 465-476.</w:t>
      </w:r>
    </w:p>
    <w:p w14:paraId="5E18737C" w14:textId="77777777" w:rsidR="00AC7702" w:rsidRPr="00AC7702" w:rsidRDefault="00AC7702" w:rsidP="00AC7702">
      <w:pPr>
        <w:pStyle w:val="EndNoteBibliography"/>
        <w:spacing w:after="360"/>
      </w:pPr>
      <w:r w:rsidRPr="00AC7702">
        <w:t xml:space="preserve">Kennedy, A. E., S. Kandalam, R. Olivares-Navarrete and A. J. G. Dickinson (2017). "E-cigarette aerosol exposure can cause craniofacial defects in Xenopus laevis embryos and mammalian neural crest cells." </w:t>
      </w:r>
      <w:r w:rsidRPr="00AC7702">
        <w:rPr>
          <w:u w:val="single"/>
        </w:rPr>
        <w:t>PLoS One</w:t>
      </w:r>
      <w:r w:rsidRPr="00AC7702">
        <w:t xml:space="preserve"> </w:t>
      </w:r>
      <w:r w:rsidRPr="00AC7702">
        <w:rPr>
          <w:b/>
        </w:rPr>
        <w:t>12</w:t>
      </w:r>
      <w:r w:rsidRPr="00AC7702">
        <w:t>(9): e0185729.</w:t>
      </w:r>
    </w:p>
    <w:p w14:paraId="5CB643BD" w14:textId="77777777" w:rsidR="00AC7702" w:rsidRPr="00AC7702" w:rsidRDefault="00AC7702" w:rsidP="00AC7702">
      <w:pPr>
        <w:pStyle w:val="EndNoteBibliography"/>
        <w:spacing w:after="360"/>
      </w:pPr>
      <w:r w:rsidRPr="00AC7702">
        <w:t xml:space="preserve">Kennedy, R. D., A. Awopegba, E. De Leon and J. E. Cohen (2017). "Global approaches to regulating electronic cigarettes." </w:t>
      </w:r>
      <w:r w:rsidRPr="00AC7702">
        <w:rPr>
          <w:u w:val="single"/>
        </w:rPr>
        <w:t>Tobacco Control</w:t>
      </w:r>
      <w:r w:rsidRPr="00AC7702">
        <w:t xml:space="preserve"> </w:t>
      </w:r>
      <w:r w:rsidRPr="00AC7702">
        <w:rPr>
          <w:b/>
        </w:rPr>
        <w:t>26</w:t>
      </w:r>
      <w:r w:rsidRPr="00AC7702">
        <w:t>(4): 440-445.</w:t>
      </w:r>
    </w:p>
    <w:p w14:paraId="1DCFD360" w14:textId="77777777" w:rsidR="00AC7702" w:rsidRPr="00AC7702" w:rsidRDefault="00AC7702" w:rsidP="00AC7702">
      <w:pPr>
        <w:pStyle w:val="EndNoteBibliography"/>
        <w:spacing w:after="360"/>
      </w:pPr>
      <w:r w:rsidRPr="00AC7702">
        <w:t xml:space="preserve">Kerr, D., R. Touyz and C. Delles (2017). "The immediate effects of electronic cigarette use and tobacco smoking on vascular and respiratory function in healthy volunteers: a crossover study." </w:t>
      </w:r>
      <w:r w:rsidRPr="00AC7702">
        <w:rPr>
          <w:u w:val="single"/>
        </w:rPr>
        <w:t>Journal of Human Hypertension</w:t>
      </w:r>
      <w:r w:rsidRPr="00AC7702">
        <w:t xml:space="preserve"> </w:t>
      </w:r>
      <w:r w:rsidRPr="00AC7702">
        <w:rPr>
          <w:b/>
        </w:rPr>
        <w:t>31</w:t>
      </w:r>
      <w:r w:rsidRPr="00AC7702">
        <w:t>(10): 662-662.</w:t>
      </w:r>
    </w:p>
    <w:p w14:paraId="461A6262" w14:textId="77777777" w:rsidR="00AC7702" w:rsidRPr="00AC7702" w:rsidRDefault="00AC7702" w:rsidP="00AC7702">
      <w:pPr>
        <w:pStyle w:val="EndNoteBibliography"/>
        <w:spacing w:after="360"/>
      </w:pPr>
      <w:r w:rsidRPr="00AC7702">
        <w:t xml:space="preserve">Kilibarda, B., V. Mravcik and M. S. Martens (2016). "E-cigarette use among Serbian adults: prevalence and user characteristics." </w:t>
      </w:r>
      <w:r w:rsidRPr="00AC7702">
        <w:rPr>
          <w:u w:val="single"/>
        </w:rPr>
        <w:t>Int J Public Health</w:t>
      </w:r>
      <w:r w:rsidRPr="00AC7702">
        <w:t xml:space="preserve"> </w:t>
      </w:r>
      <w:r w:rsidRPr="00AC7702">
        <w:rPr>
          <w:b/>
        </w:rPr>
        <w:t>61</w:t>
      </w:r>
      <w:r w:rsidRPr="00AC7702">
        <w:t>(2): 167-175.</w:t>
      </w:r>
    </w:p>
    <w:p w14:paraId="07EF47D9" w14:textId="77777777" w:rsidR="00AC7702" w:rsidRPr="00AC7702" w:rsidRDefault="00AC7702" w:rsidP="00AC7702">
      <w:pPr>
        <w:pStyle w:val="EndNoteBibliography"/>
        <w:spacing w:after="360"/>
      </w:pPr>
      <w:r w:rsidRPr="00AC7702">
        <w:t xml:space="preserve">Kim, S. Y., S. Sim and H. G. Choi (2017). "Active, passive, and electronic cigarette smoking is associated with asthma in adolescents." </w:t>
      </w:r>
      <w:r w:rsidRPr="00AC7702">
        <w:rPr>
          <w:u w:val="single"/>
        </w:rPr>
        <w:t>Sci Rep</w:t>
      </w:r>
      <w:r w:rsidRPr="00AC7702">
        <w:t xml:space="preserve"> </w:t>
      </w:r>
      <w:r w:rsidRPr="00AC7702">
        <w:rPr>
          <w:b/>
        </w:rPr>
        <w:t>7</w:t>
      </w:r>
      <w:r w:rsidRPr="00AC7702">
        <w:t>(1): 17789.</w:t>
      </w:r>
    </w:p>
    <w:p w14:paraId="0D6490C3" w14:textId="77777777" w:rsidR="00AC7702" w:rsidRPr="00AC7702" w:rsidRDefault="00AC7702" w:rsidP="00AC7702">
      <w:pPr>
        <w:pStyle w:val="EndNoteBibliography"/>
        <w:spacing w:after="360"/>
      </w:pPr>
      <w:r w:rsidRPr="00AC7702">
        <w:t xml:space="preserve">King, J. L., B. A. Reboussin, J. Spangler, J. Cornacchione Ross and E. L. Sutfin (2018). "Tobacco product use and mental health status among young adults." </w:t>
      </w:r>
      <w:r w:rsidRPr="00AC7702">
        <w:rPr>
          <w:u w:val="single"/>
        </w:rPr>
        <w:t>Addict Behav</w:t>
      </w:r>
      <w:r w:rsidRPr="00AC7702">
        <w:t xml:space="preserve"> </w:t>
      </w:r>
      <w:r w:rsidRPr="00AC7702">
        <w:rPr>
          <w:b/>
        </w:rPr>
        <w:t>77</w:t>
      </w:r>
      <w:r w:rsidRPr="00AC7702">
        <w:t>: 67-72.</w:t>
      </w:r>
    </w:p>
    <w:p w14:paraId="5CA81813" w14:textId="77777777" w:rsidR="00AC7702" w:rsidRPr="00AC7702" w:rsidRDefault="00AC7702" w:rsidP="00AC7702">
      <w:pPr>
        <w:pStyle w:val="EndNoteBibliography"/>
        <w:spacing w:after="360"/>
      </w:pPr>
      <w:r w:rsidRPr="00AC7702">
        <w:lastRenderedPageBreak/>
        <w:t xml:space="preserve">Kinnunen, J. M., J. L. K. Minkkinen, H. Ollila and A. Rimpela (2017). "Follow-up of adolescent electronic cigarette use in Finland." </w:t>
      </w:r>
      <w:r w:rsidRPr="00AC7702">
        <w:rPr>
          <w:u w:val="single"/>
        </w:rPr>
        <w:t>European Journal of Public Health</w:t>
      </w:r>
      <w:r w:rsidRPr="00AC7702">
        <w:t xml:space="preserve"> </w:t>
      </w:r>
      <w:r w:rsidRPr="00AC7702">
        <w:rPr>
          <w:b/>
        </w:rPr>
        <w:t>27</w:t>
      </w:r>
      <w:r w:rsidRPr="00AC7702">
        <w:t>.</w:t>
      </w:r>
    </w:p>
    <w:p w14:paraId="44EC7370" w14:textId="77777777" w:rsidR="00AC7702" w:rsidRPr="00AC7702" w:rsidRDefault="00AC7702" w:rsidP="00AC7702">
      <w:pPr>
        <w:pStyle w:val="EndNoteBibliography"/>
        <w:spacing w:after="360"/>
      </w:pPr>
      <w:r w:rsidRPr="00AC7702">
        <w:t xml:space="preserve">Kinouani, S., E. Pereira and C. Tzourio (2017). "Electronic Cigarette Use in Students and Its Relation with Tobacco-Smoking: A Cross-Sectional Analysis of the i-Share Study." </w:t>
      </w:r>
      <w:r w:rsidRPr="00AC7702">
        <w:rPr>
          <w:u w:val="single"/>
        </w:rPr>
        <w:t>Int J Environ Res Public Health</w:t>
      </w:r>
      <w:r w:rsidRPr="00AC7702">
        <w:t xml:space="preserve"> </w:t>
      </w:r>
      <w:r w:rsidRPr="00AC7702">
        <w:rPr>
          <w:b/>
        </w:rPr>
        <w:t>14</w:t>
      </w:r>
      <w:r w:rsidRPr="00AC7702">
        <w:t>(11).</w:t>
      </w:r>
    </w:p>
    <w:p w14:paraId="750F7CB4" w14:textId="77777777" w:rsidR="00AC7702" w:rsidRPr="00AC7702" w:rsidRDefault="00AC7702" w:rsidP="00AC7702">
      <w:pPr>
        <w:pStyle w:val="EndNoteBibliography"/>
        <w:spacing w:after="360"/>
      </w:pPr>
      <w:r w:rsidRPr="00AC7702">
        <w:t xml:space="preserve">Kong, G., B. Idrisov, A. Galimov, R. Masagutov and S. Sussman (2017). "Electronic Cigarette Use Among Adolescents in the Russian Federation." </w:t>
      </w:r>
      <w:r w:rsidRPr="00AC7702">
        <w:rPr>
          <w:u w:val="single"/>
        </w:rPr>
        <w:t>Subst Use Misuse</w:t>
      </w:r>
      <w:r w:rsidRPr="00AC7702">
        <w:t xml:space="preserve"> </w:t>
      </w:r>
      <w:r w:rsidRPr="00AC7702">
        <w:rPr>
          <w:b/>
        </w:rPr>
        <w:t>52</w:t>
      </w:r>
      <w:r w:rsidRPr="00AC7702">
        <w:t>(3): 332-339.</w:t>
      </w:r>
    </w:p>
    <w:p w14:paraId="427EB389" w14:textId="77777777" w:rsidR="00AC7702" w:rsidRPr="00AC7702" w:rsidRDefault="00AC7702" w:rsidP="00AC7702">
      <w:pPr>
        <w:pStyle w:val="EndNoteBibliography"/>
        <w:spacing w:after="360"/>
      </w:pPr>
      <w:r w:rsidRPr="00AC7702">
        <w:t xml:space="preserve">Kotz, D., J. Brown and R. West (2013). "Predictive validity of the Motivation To Stop Scale (MTSS): A single-item measure of motivation to stop smoking." </w:t>
      </w:r>
      <w:r w:rsidRPr="00AC7702">
        <w:rPr>
          <w:u w:val="single"/>
        </w:rPr>
        <w:t>Drug and Alcohol Dependence</w:t>
      </w:r>
      <w:r w:rsidRPr="00AC7702">
        <w:t xml:space="preserve"> </w:t>
      </w:r>
      <w:r w:rsidRPr="00AC7702">
        <w:rPr>
          <w:b/>
        </w:rPr>
        <w:t>128</w:t>
      </w:r>
      <w:r w:rsidRPr="00AC7702">
        <w:t>(1): 15-19.</w:t>
      </w:r>
    </w:p>
    <w:p w14:paraId="2DDD8095" w14:textId="77777777" w:rsidR="00AC7702" w:rsidRPr="00AC7702" w:rsidRDefault="00AC7702" w:rsidP="00AC7702">
      <w:pPr>
        <w:pStyle w:val="EndNoteBibliography"/>
        <w:spacing w:after="360"/>
      </w:pPr>
      <w:r w:rsidRPr="00AC7702">
        <w:t xml:space="preserve">Krishnan-Sarin, S., B. G. Green, G. Kong, D. A. Cavallo, P. Jatlow, R. Gueorguieva, E. Buta and S. S. O'Malley (2017). "Studying the interactive effects of menthol and nicotine among youth: An examination using e-cigarettes." </w:t>
      </w:r>
      <w:r w:rsidRPr="00AC7702">
        <w:rPr>
          <w:u w:val="single"/>
        </w:rPr>
        <w:t>Drug Alcohol Depend</w:t>
      </w:r>
      <w:r w:rsidRPr="00AC7702">
        <w:t xml:space="preserve"> </w:t>
      </w:r>
      <w:r w:rsidRPr="00AC7702">
        <w:rPr>
          <w:b/>
        </w:rPr>
        <w:t>180</w:t>
      </w:r>
      <w:r w:rsidRPr="00AC7702">
        <w:t>: 193-199.</w:t>
      </w:r>
    </w:p>
    <w:p w14:paraId="6A8D91A0" w14:textId="77777777" w:rsidR="00AC7702" w:rsidRPr="00AC7702" w:rsidRDefault="00AC7702" w:rsidP="00AC7702">
      <w:pPr>
        <w:pStyle w:val="EndNoteBibliography"/>
        <w:spacing w:after="360"/>
      </w:pPr>
      <w:r w:rsidRPr="00AC7702">
        <w:t xml:space="preserve">Kristjansson, A. L., M. J. Mann and M. L. Smith (2017). "Prevalence of substance use among middle school-aged e-cigarette users compared with cigarette smokers, nonusers, and dual users: Implications for primary prevention." </w:t>
      </w:r>
      <w:r w:rsidRPr="00AC7702">
        <w:rPr>
          <w:u w:val="single"/>
        </w:rPr>
        <w:t>Subst Abus</w:t>
      </w:r>
      <w:r w:rsidRPr="00AC7702">
        <w:t xml:space="preserve"> </w:t>
      </w:r>
      <w:r w:rsidRPr="00AC7702">
        <w:rPr>
          <w:b/>
        </w:rPr>
        <w:t>38</w:t>
      </w:r>
      <w:r w:rsidRPr="00AC7702">
        <w:t>(4): 473-476.</w:t>
      </w:r>
    </w:p>
    <w:p w14:paraId="0545D601" w14:textId="77777777" w:rsidR="00AC7702" w:rsidRPr="00AC7702" w:rsidRDefault="00AC7702" w:rsidP="00AC7702">
      <w:pPr>
        <w:pStyle w:val="EndNoteBibliography"/>
        <w:spacing w:after="360"/>
      </w:pPr>
      <w:r w:rsidRPr="00AC7702">
        <w:t xml:space="preserve">Kristjansson, A. L., M. J. Mann, M. L. Smith and I. D. Sigfusdottir (2017). "Social Profile of Middle School-Aged Adolescents Who Use Electronic Cigarettes: Implications for Primary Prevention." </w:t>
      </w:r>
      <w:r w:rsidRPr="00AC7702">
        <w:rPr>
          <w:u w:val="single"/>
        </w:rPr>
        <w:t>Prevention Science</w:t>
      </w:r>
      <w:r w:rsidRPr="00AC7702">
        <w:t>: 1-8.</w:t>
      </w:r>
    </w:p>
    <w:p w14:paraId="20C6F792" w14:textId="77777777" w:rsidR="00AC7702" w:rsidRPr="00AC7702" w:rsidRDefault="00AC7702" w:rsidP="00AC7702">
      <w:pPr>
        <w:pStyle w:val="EndNoteBibliography"/>
        <w:spacing w:after="360"/>
      </w:pPr>
      <w:r w:rsidRPr="00AC7702">
        <w:t xml:space="preserve">Kulik, M. C., N. E. Lisha and S. A. Glantz (2018). "E-cigarettes Associated With Depressed Smoking Cessation: A Cross-sectional Study of 28 European Union Countries." </w:t>
      </w:r>
      <w:r w:rsidRPr="00AC7702">
        <w:rPr>
          <w:u w:val="single"/>
        </w:rPr>
        <w:t>Am J Prev Med</w:t>
      </w:r>
      <w:r w:rsidRPr="00AC7702">
        <w:t>.</w:t>
      </w:r>
    </w:p>
    <w:p w14:paraId="045439EF" w14:textId="77777777" w:rsidR="00AC7702" w:rsidRPr="00AC7702" w:rsidRDefault="00AC7702" w:rsidP="00AC7702">
      <w:pPr>
        <w:pStyle w:val="EndNoteBibliography"/>
        <w:spacing w:after="360"/>
      </w:pPr>
      <w:r w:rsidRPr="00AC7702">
        <w:t xml:space="preserve">Kwon, E., D. C. Seo, H. C. Lin and Z. Chen (2018). "Predictors of youth e-cigarette use susceptibility in a U.S. nationally representative sample." </w:t>
      </w:r>
      <w:r w:rsidRPr="00AC7702">
        <w:rPr>
          <w:u w:val="single"/>
        </w:rPr>
        <w:t>Addict Behav</w:t>
      </w:r>
      <w:r w:rsidRPr="00AC7702">
        <w:t xml:space="preserve"> </w:t>
      </w:r>
      <w:r w:rsidRPr="00AC7702">
        <w:rPr>
          <w:b/>
        </w:rPr>
        <w:t>82</w:t>
      </w:r>
      <w:r w:rsidRPr="00AC7702">
        <w:t>: 79-85.</w:t>
      </w:r>
    </w:p>
    <w:p w14:paraId="33BFAA51" w14:textId="77777777" w:rsidR="00AC7702" w:rsidRPr="00AC7702" w:rsidRDefault="00AC7702" w:rsidP="00AC7702">
      <w:pPr>
        <w:pStyle w:val="EndNoteBibliography"/>
        <w:spacing w:after="360"/>
      </w:pPr>
      <w:r w:rsidRPr="00AC7702">
        <w:t xml:space="preserve">Lam, R. P. K., M. H. Y. Tang, S. C. Leung, Y. K. Chong, M. S. H. Tsui and T. W. L. Mak (2017). "Supraventricular tachycardia and acute confusion following ingestion of e-cigarette fluid containing AB-FUBINACA and ADB-FUBINACA: a case report with quantitative analysis of serum drug concentrations." </w:t>
      </w:r>
      <w:r w:rsidRPr="00AC7702">
        <w:rPr>
          <w:u w:val="single"/>
        </w:rPr>
        <w:t>Clin Toxicol (Phila)</w:t>
      </w:r>
      <w:r w:rsidRPr="00AC7702">
        <w:t xml:space="preserve"> </w:t>
      </w:r>
      <w:r w:rsidRPr="00AC7702">
        <w:rPr>
          <w:b/>
        </w:rPr>
        <w:t>55</w:t>
      </w:r>
      <w:r w:rsidRPr="00AC7702">
        <w:t>(7): 662-667.</w:t>
      </w:r>
    </w:p>
    <w:p w14:paraId="0FB63323" w14:textId="77777777" w:rsidR="00AC7702" w:rsidRPr="00AC7702" w:rsidRDefault="00AC7702" w:rsidP="00AC7702">
      <w:pPr>
        <w:pStyle w:val="EndNoteBibliography"/>
        <w:spacing w:after="360"/>
      </w:pPr>
      <w:r w:rsidRPr="00AC7702">
        <w:t xml:space="preserve">Lanza, H. I. and H. Teeter (2018). "Electronic Nicotine Delivery Systems (E-cigarette/Vape) use and Co-Occurring Health-Risk Behaviors Among an Ethnically Diverse Sample of Young Adults." </w:t>
      </w:r>
      <w:r w:rsidRPr="00AC7702">
        <w:rPr>
          <w:u w:val="single"/>
        </w:rPr>
        <w:t>Subst Use Misuse</w:t>
      </w:r>
      <w:r w:rsidRPr="00AC7702">
        <w:t xml:space="preserve"> </w:t>
      </w:r>
      <w:r w:rsidRPr="00AC7702">
        <w:rPr>
          <w:b/>
        </w:rPr>
        <w:t>53</w:t>
      </w:r>
      <w:r w:rsidRPr="00AC7702">
        <w:t>(1): 154-161.</w:t>
      </w:r>
    </w:p>
    <w:p w14:paraId="3FA7B1AC" w14:textId="77777777" w:rsidR="00AC7702" w:rsidRPr="00AC7702" w:rsidRDefault="00AC7702" w:rsidP="00AC7702">
      <w:pPr>
        <w:pStyle w:val="EndNoteBibliography"/>
        <w:spacing w:after="360"/>
      </w:pPr>
      <w:r w:rsidRPr="00AC7702">
        <w:t xml:space="preserve">Lanza, S. T., M. A. Russell and J. L. Braymiller (2017). "Emergence of electronic cigarette use in US adolescents and the link to traditional cigarette use." </w:t>
      </w:r>
      <w:r w:rsidRPr="00AC7702">
        <w:rPr>
          <w:u w:val="single"/>
        </w:rPr>
        <w:t>Addict Behav</w:t>
      </w:r>
      <w:r w:rsidRPr="00AC7702">
        <w:t xml:space="preserve"> </w:t>
      </w:r>
      <w:r w:rsidRPr="00AC7702">
        <w:rPr>
          <w:b/>
        </w:rPr>
        <w:t>67</w:t>
      </w:r>
      <w:r w:rsidRPr="00AC7702">
        <w:t>: 38-43.</w:t>
      </w:r>
    </w:p>
    <w:p w14:paraId="0A96BA69" w14:textId="77777777" w:rsidR="00AC7702" w:rsidRPr="00AC7702" w:rsidRDefault="00AC7702" w:rsidP="00AC7702">
      <w:pPr>
        <w:pStyle w:val="EndNoteBibliography"/>
        <w:spacing w:after="360"/>
      </w:pPr>
      <w:r w:rsidRPr="00AC7702">
        <w:lastRenderedPageBreak/>
        <w:t xml:space="preserve">Lappas, A. S., A. S. Tzortzi, E. M. Konstantinidi, S. I. Teloniatis, C. K. Tzavara, S. A. Gennimata, N. G. Koulouris and P. K. Behrakis (2018). "Short-term respiratory effects of e-cigarettes in healthy individuals and smokers with asthma." </w:t>
      </w:r>
      <w:r w:rsidRPr="00AC7702">
        <w:rPr>
          <w:u w:val="single"/>
        </w:rPr>
        <w:t>Respirology</w:t>
      </w:r>
      <w:r w:rsidRPr="00AC7702">
        <w:t xml:space="preserve"> </w:t>
      </w:r>
      <w:r w:rsidRPr="00AC7702">
        <w:rPr>
          <w:b/>
        </w:rPr>
        <w:t>23</w:t>
      </w:r>
      <w:r w:rsidRPr="00AC7702">
        <w:t>(3): 291-297.</w:t>
      </w:r>
    </w:p>
    <w:p w14:paraId="1F38428A" w14:textId="77777777" w:rsidR="00AC7702" w:rsidRPr="00AC7702" w:rsidRDefault="00AC7702" w:rsidP="00AC7702">
      <w:pPr>
        <w:pStyle w:val="EndNoteBibliography"/>
        <w:spacing w:after="360"/>
      </w:pPr>
      <w:r w:rsidRPr="00AC7702">
        <w:t xml:space="preserve">Laube, B. L., N. Afshar-Mohajer, K. Koehler, G. Chen, P. Lazarus, J. M. Collaco and S. A. McGrath-Morrow (2017). "Acute and chronic in vivo effects of exposure to nicotine and propylene glycol from an E-cigarette on mucociliary clearance in a murine model." </w:t>
      </w:r>
      <w:r w:rsidRPr="00AC7702">
        <w:rPr>
          <w:u w:val="single"/>
        </w:rPr>
        <w:t>Inhal Toxicol</w:t>
      </w:r>
      <w:r w:rsidRPr="00AC7702">
        <w:t xml:space="preserve"> </w:t>
      </w:r>
      <w:r w:rsidRPr="00AC7702">
        <w:rPr>
          <w:b/>
        </w:rPr>
        <w:t>29</w:t>
      </w:r>
      <w:r w:rsidRPr="00AC7702">
        <w:t>(5): 197-205.</w:t>
      </w:r>
    </w:p>
    <w:p w14:paraId="38065978" w14:textId="77777777" w:rsidR="00AC7702" w:rsidRPr="00AC7702" w:rsidRDefault="00AC7702" w:rsidP="00AC7702">
      <w:pPr>
        <w:pStyle w:val="EndNoteBibliography"/>
        <w:spacing w:after="360"/>
      </w:pPr>
      <w:r w:rsidRPr="00AC7702">
        <w:t xml:space="preserve">Lechner, W. V., T. Janssen, C. W. Kahler, J. Audrain-McGovern and A. M. Leventhal (2017). "Bi-directional associations of electronic and combustible cigarette use onset patterns with depressive symptoms in adolescents." </w:t>
      </w:r>
      <w:r w:rsidRPr="00AC7702">
        <w:rPr>
          <w:u w:val="single"/>
        </w:rPr>
        <w:t>Prev Med</w:t>
      </w:r>
      <w:r w:rsidRPr="00AC7702">
        <w:t xml:space="preserve"> </w:t>
      </w:r>
      <w:r w:rsidRPr="00AC7702">
        <w:rPr>
          <w:b/>
        </w:rPr>
        <w:t>96</w:t>
      </w:r>
      <w:r w:rsidRPr="00AC7702">
        <w:t>: 73-78.</w:t>
      </w:r>
    </w:p>
    <w:p w14:paraId="447E136F" w14:textId="77777777" w:rsidR="00AC7702" w:rsidRPr="00AC7702" w:rsidRDefault="00AC7702" w:rsidP="00AC7702">
      <w:pPr>
        <w:pStyle w:val="EndNoteBibliography"/>
        <w:spacing w:after="360"/>
      </w:pPr>
      <w:r w:rsidRPr="00AC7702">
        <w:t xml:space="preserve">Lee, C., H. H. Yong, R. Borland, A. McNeill and S. C. Hitchman (2018). "Acceptance and patterns of personal vaporizer use in Australia and the United Kingdom: Results from the International Tobacco Control survey." </w:t>
      </w:r>
      <w:r w:rsidRPr="00AC7702">
        <w:rPr>
          <w:u w:val="single"/>
        </w:rPr>
        <w:t>Drug Alcohol Depend</w:t>
      </w:r>
      <w:r w:rsidRPr="00AC7702">
        <w:t xml:space="preserve"> </w:t>
      </w:r>
      <w:r w:rsidRPr="00AC7702">
        <w:rPr>
          <w:b/>
        </w:rPr>
        <w:t>185</w:t>
      </w:r>
      <w:r w:rsidRPr="00AC7702">
        <w:t>: 142-148.</w:t>
      </w:r>
    </w:p>
    <w:p w14:paraId="0F00B9ED" w14:textId="77777777" w:rsidR="00AC7702" w:rsidRPr="00AC7702" w:rsidRDefault="00AC7702" w:rsidP="00AC7702">
      <w:pPr>
        <w:pStyle w:val="EndNoteBibliography"/>
        <w:spacing w:after="360"/>
      </w:pPr>
      <w:r w:rsidRPr="00AC7702">
        <w:t xml:space="preserve">Lee, H. W., S. H. Park, M. W. Weng, H. T. Wang, W. C. Huang, H. Lepor, X. R. Wu, L. C. Chen and M. S. Tang (2018). "E-cigarette smoke damages DNA and reduces repair activity in mouse lung, heart, and bladder as well as in human lung and bladder cells." </w:t>
      </w:r>
      <w:r w:rsidRPr="00AC7702">
        <w:rPr>
          <w:u w:val="single"/>
        </w:rPr>
        <w:t>Proc Natl Acad Sci U S A</w:t>
      </w:r>
      <w:r w:rsidRPr="00AC7702">
        <w:t xml:space="preserve"> </w:t>
      </w:r>
      <w:r w:rsidRPr="00AC7702">
        <w:rPr>
          <w:b/>
        </w:rPr>
        <w:t>115</w:t>
      </w:r>
      <w:r w:rsidRPr="00AC7702">
        <w:t>(7): E1560-e1569.</w:t>
      </w:r>
    </w:p>
    <w:p w14:paraId="7A86FA1D" w14:textId="77777777" w:rsidR="00AC7702" w:rsidRPr="00AC7702" w:rsidRDefault="00AC7702" w:rsidP="00AC7702">
      <w:pPr>
        <w:pStyle w:val="EndNoteBibliography"/>
        <w:spacing w:after="360"/>
      </w:pPr>
      <w:r w:rsidRPr="00AC7702">
        <w:t xml:space="preserve">Lee, H. Y., H. C. Lin, D. C. Seo and D. K. Lohrmann (2017). "Determinants associated with E-cigarette adoption and use intention among college students." </w:t>
      </w:r>
      <w:r w:rsidRPr="00AC7702">
        <w:rPr>
          <w:u w:val="single"/>
        </w:rPr>
        <w:t>Addict Behav</w:t>
      </w:r>
      <w:r w:rsidRPr="00AC7702">
        <w:t xml:space="preserve"> </w:t>
      </w:r>
      <w:r w:rsidRPr="00AC7702">
        <w:rPr>
          <w:b/>
        </w:rPr>
        <w:t>65</w:t>
      </w:r>
      <w:r w:rsidRPr="00AC7702">
        <w:t>: 102-110.</w:t>
      </w:r>
    </w:p>
    <w:p w14:paraId="63FA080F" w14:textId="77777777" w:rsidR="00AC7702" w:rsidRPr="00AC7702" w:rsidRDefault="00AC7702" w:rsidP="00AC7702">
      <w:pPr>
        <w:pStyle w:val="EndNoteBibliography"/>
        <w:spacing w:after="360"/>
      </w:pPr>
      <w:r w:rsidRPr="00AC7702">
        <w:t xml:space="preserve">Lee, Y. O., J. M. Nonnemaker, B. Bradfield, E. C. Hensel and R. J. Robinson (2017). "Examining Daily Electronic Cigarette Puff Topography Among Established and Non-established Cigarette Smokers in their Natural Environment." </w:t>
      </w:r>
      <w:r w:rsidRPr="00AC7702">
        <w:rPr>
          <w:u w:val="single"/>
        </w:rPr>
        <w:t>Nicotine Tob Res</w:t>
      </w:r>
      <w:r w:rsidRPr="00AC7702">
        <w:t>.</w:t>
      </w:r>
    </w:p>
    <w:p w14:paraId="44F5C934" w14:textId="77777777" w:rsidR="00AC7702" w:rsidRPr="00AC7702" w:rsidRDefault="00AC7702" w:rsidP="00AC7702">
      <w:pPr>
        <w:pStyle w:val="EndNoteBibliography"/>
        <w:spacing w:after="360"/>
      </w:pPr>
      <w:r w:rsidRPr="00AC7702">
        <w:t xml:space="preserve">Lee, Y. O., J. K. Pepper, A. J. MacMonegle, J. M. Nonnemaker, J. C. Duke and L. Porter (2018). "Examining Youth Dual and Polytobacco Use with E-Cigarettes." </w:t>
      </w:r>
      <w:r w:rsidRPr="00AC7702">
        <w:rPr>
          <w:u w:val="single"/>
        </w:rPr>
        <w:t>International journal of environmental research and public health</w:t>
      </w:r>
      <w:r w:rsidRPr="00AC7702">
        <w:t xml:space="preserve"> </w:t>
      </w:r>
      <w:r w:rsidRPr="00AC7702">
        <w:rPr>
          <w:b/>
        </w:rPr>
        <w:t>15</w:t>
      </w:r>
      <w:r w:rsidRPr="00AC7702">
        <w:t>(4).</w:t>
      </w:r>
    </w:p>
    <w:p w14:paraId="490526BC" w14:textId="77777777" w:rsidR="00AC7702" w:rsidRPr="00AC7702" w:rsidRDefault="00AC7702" w:rsidP="00AC7702">
      <w:pPr>
        <w:pStyle w:val="EndNoteBibliography"/>
        <w:spacing w:after="360"/>
      </w:pPr>
      <w:r w:rsidRPr="00AC7702">
        <w:t xml:space="preserve">Leslie, L. J., P. Vasanthi Bathrinarayanan, P. Jackson, J. A. Mabiala Ma Muanda, R. Pallett, C. J. P. Stillman and L. J. Marshall (2017). "A comparative study of electronic cigarette vapor extracts on airway-related cell lines in vitro." </w:t>
      </w:r>
      <w:r w:rsidRPr="00AC7702">
        <w:rPr>
          <w:u w:val="single"/>
        </w:rPr>
        <w:t>Inhal Toxicol</w:t>
      </w:r>
      <w:r w:rsidRPr="00AC7702">
        <w:t xml:space="preserve"> </w:t>
      </w:r>
      <w:r w:rsidRPr="00AC7702">
        <w:rPr>
          <w:b/>
        </w:rPr>
        <w:t>29</w:t>
      </w:r>
      <w:r w:rsidRPr="00AC7702">
        <w:t>(3): 126-136.</w:t>
      </w:r>
    </w:p>
    <w:p w14:paraId="2362918E" w14:textId="77777777" w:rsidR="00AC7702" w:rsidRPr="00AC7702" w:rsidRDefault="00AC7702" w:rsidP="00AC7702">
      <w:pPr>
        <w:pStyle w:val="EndNoteBibliography"/>
        <w:spacing w:after="360"/>
      </w:pPr>
      <w:r w:rsidRPr="00AC7702">
        <w:t xml:space="preserve">Levy, D. T., R. Borland, E. N. Lindblom, M. L. Goniewicz, R. Meza, T. R. Holford, Z. Yuan, Y. Luo, R. J. O'Connor, R. Niaura and D. B. Abrams (2018). "Potential deaths averted in USA by replacing cigarettes with e-cigarettes." </w:t>
      </w:r>
      <w:r w:rsidRPr="00AC7702">
        <w:rPr>
          <w:u w:val="single"/>
        </w:rPr>
        <w:t>Tob Control</w:t>
      </w:r>
      <w:r w:rsidRPr="00AC7702">
        <w:t xml:space="preserve"> </w:t>
      </w:r>
      <w:r w:rsidRPr="00AC7702">
        <w:rPr>
          <w:b/>
        </w:rPr>
        <w:t>27</w:t>
      </w:r>
      <w:r w:rsidRPr="00AC7702">
        <w:t>(1): 18-25.</w:t>
      </w:r>
    </w:p>
    <w:p w14:paraId="7E48BB53" w14:textId="77777777" w:rsidR="00AC7702" w:rsidRPr="00AC7702" w:rsidRDefault="00AC7702" w:rsidP="00AC7702">
      <w:pPr>
        <w:pStyle w:val="EndNoteBibliography"/>
        <w:spacing w:after="360"/>
      </w:pPr>
      <w:r w:rsidRPr="00AC7702">
        <w:t xml:space="preserve">Levy, D. T., Z. Yuan and Y. Li (2017). "The Prevalence and Characteristics of E-Cigarette Users in the U.S." </w:t>
      </w:r>
      <w:r w:rsidRPr="00AC7702">
        <w:rPr>
          <w:u w:val="single"/>
        </w:rPr>
        <w:t>Int J Environ Res Public Health</w:t>
      </w:r>
      <w:r w:rsidRPr="00AC7702">
        <w:t xml:space="preserve"> </w:t>
      </w:r>
      <w:r w:rsidRPr="00AC7702">
        <w:rPr>
          <w:b/>
        </w:rPr>
        <w:t>14</w:t>
      </w:r>
      <w:r w:rsidRPr="00AC7702">
        <w:t>(10).</w:t>
      </w:r>
    </w:p>
    <w:p w14:paraId="4CEA6E98" w14:textId="77777777" w:rsidR="00AC7702" w:rsidRPr="00AC7702" w:rsidRDefault="00AC7702" w:rsidP="00AC7702">
      <w:pPr>
        <w:pStyle w:val="EndNoteBibliography"/>
        <w:spacing w:after="360"/>
      </w:pPr>
      <w:r w:rsidRPr="00AC7702">
        <w:t xml:space="preserve">Levy, D. T., Z. Yuan, Y. Luo and D. B. Abrams (2017). "The Relationship of E-Cigarette Use to Cigarette Quit Attempts and Cessation: Insights From a Large, Nationally Representative U.S. Survey." </w:t>
      </w:r>
      <w:r w:rsidRPr="00AC7702">
        <w:rPr>
          <w:u w:val="single"/>
        </w:rPr>
        <w:t>Nicotine Tob Res</w:t>
      </w:r>
      <w:r w:rsidRPr="00AC7702">
        <w:t>.</w:t>
      </w:r>
    </w:p>
    <w:p w14:paraId="4AE4E3D8" w14:textId="77777777" w:rsidR="00AC7702" w:rsidRPr="00AC7702" w:rsidRDefault="00AC7702" w:rsidP="00AC7702">
      <w:pPr>
        <w:pStyle w:val="EndNoteBibliography"/>
        <w:spacing w:after="360"/>
      </w:pPr>
      <w:r w:rsidRPr="00AC7702">
        <w:lastRenderedPageBreak/>
        <w:t xml:space="preserve">Loonat, K., R. Sagar and C. Selinger (2018). "Current smoking trends in British IBD patients in the age of e-cigarettes." </w:t>
      </w:r>
      <w:r w:rsidRPr="00AC7702">
        <w:rPr>
          <w:u w:val="single"/>
        </w:rPr>
        <w:t>Journal of Crohns &amp; Colitis</w:t>
      </w:r>
      <w:r w:rsidRPr="00AC7702">
        <w:t xml:space="preserve"> </w:t>
      </w:r>
      <w:r w:rsidRPr="00AC7702">
        <w:rPr>
          <w:b/>
        </w:rPr>
        <w:t>12</w:t>
      </w:r>
      <w:r w:rsidRPr="00AC7702">
        <w:t>: S473-S474.</w:t>
      </w:r>
    </w:p>
    <w:p w14:paraId="799D828E" w14:textId="77777777" w:rsidR="00AC7702" w:rsidRPr="00AC7702" w:rsidRDefault="00AC7702" w:rsidP="00AC7702">
      <w:pPr>
        <w:pStyle w:val="EndNoteBibliography"/>
        <w:spacing w:after="360"/>
      </w:pPr>
      <w:r w:rsidRPr="00AC7702">
        <w:t xml:space="preserve">Lopez AD, C. N., Piha T. (1994). "A descriptive model of the cigarette epidemic in developed countries." </w:t>
      </w:r>
      <w:r w:rsidRPr="00AC7702">
        <w:rPr>
          <w:u w:val="single"/>
        </w:rPr>
        <w:t>Tobacco Control</w:t>
      </w:r>
      <w:r w:rsidRPr="00AC7702">
        <w:t xml:space="preserve"> </w:t>
      </w:r>
      <w:r w:rsidRPr="00AC7702">
        <w:rPr>
          <w:b/>
        </w:rPr>
        <w:t>3</w:t>
      </w:r>
      <w:r w:rsidRPr="00AC7702">
        <w:t>: 242-247.</w:t>
      </w:r>
    </w:p>
    <w:p w14:paraId="2F402D75" w14:textId="77777777" w:rsidR="00AC7702" w:rsidRPr="00AC7702" w:rsidRDefault="00AC7702" w:rsidP="00AC7702">
      <w:pPr>
        <w:pStyle w:val="EndNoteBibliography"/>
        <w:spacing w:after="360"/>
      </w:pPr>
      <w:r w:rsidRPr="00AC7702">
        <w:t xml:space="preserve">Lozano, P., I. Barrientos-Gutierrez, E. Arillo-Santillan, P. Morello, R. Mejia, J. D. Sargent and J. F. Thrasher (2017). "A longitudinal study of electronic cigarette use and onset of conventional cigarette smoking and marijuana use among Mexican adolescents." </w:t>
      </w:r>
      <w:r w:rsidRPr="00AC7702">
        <w:rPr>
          <w:u w:val="single"/>
        </w:rPr>
        <w:t>Drug Alcohol Depend</w:t>
      </w:r>
      <w:r w:rsidRPr="00AC7702">
        <w:t xml:space="preserve"> </w:t>
      </w:r>
      <w:r w:rsidRPr="00AC7702">
        <w:rPr>
          <w:b/>
        </w:rPr>
        <w:t>180</w:t>
      </w:r>
      <w:r w:rsidRPr="00AC7702">
        <w:t>: 427-430.</w:t>
      </w:r>
    </w:p>
    <w:p w14:paraId="7E39AFA2" w14:textId="77777777" w:rsidR="00AC7702" w:rsidRPr="00AC7702" w:rsidRDefault="00AC7702" w:rsidP="00AC7702">
      <w:pPr>
        <w:pStyle w:val="EndNoteBibliography"/>
        <w:spacing w:after="360"/>
      </w:pPr>
      <w:r w:rsidRPr="00AC7702">
        <w:t xml:space="preserve">Masiero, M., C. Lucchiari, K. Mazzocco, G. Veronesi, P. Maisonneuve, C. Jemos, E. O. Sale, S. Spina, R. Bertolotti and G. Pravettoni (2018). "E-cigarettes May Support Smokers With High Smoking-Related Risk Awareness to Stop Smoking in the Short Run: Preliminary Results by Randomized Controlled Trial." </w:t>
      </w:r>
      <w:r w:rsidRPr="00AC7702">
        <w:rPr>
          <w:u w:val="single"/>
        </w:rPr>
        <w:t>Nicotine &amp; tobacco research : official journal of the Society for Research on Nicotine and Tobacco</w:t>
      </w:r>
      <w:r w:rsidRPr="00AC7702">
        <w:t>.</w:t>
      </w:r>
    </w:p>
    <w:p w14:paraId="5D4F23F4" w14:textId="77777777" w:rsidR="00AC7702" w:rsidRPr="00AC7702" w:rsidRDefault="00AC7702" w:rsidP="00AC7702">
      <w:pPr>
        <w:pStyle w:val="EndNoteBibliography"/>
        <w:spacing w:after="360"/>
      </w:pPr>
      <w:r w:rsidRPr="00AC7702">
        <w:t xml:space="preserve">McConnell, R., J. L. Barrington-Trimis, K. Wang, R. Urman, H. Hong, J. Unger, J. Samet, A. Leventhal and K. Berhane (2017). "Electronic Cigarette Use and Respiratory Symptoms in Adolescents." </w:t>
      </w:r>
      <w:r w:rsidRPr="00AC7702">
        <w:rPr>
          <w:u w:val="single"/>
        </w:rPr>
        <w:t>Am J Respir Crit Care Med</w:t>
      </w:r>
      <w:r w:rsidRPr="00AC7702">
        <w:t xml:space="preserve"> </w:t>
      </w:r>
      <w:r w:rsidRPr="00AC7702">
        <w:rPr>
          <w:b/>
        </w:rPr>
        <w:t>195</w:t>
      </w:r>
      <w:r w:rsidRPr="00AC7702">
        <w:t>(8): 1043-1049.</w:t>
      </w:r>
    </w:p>
    <w:p w14:paraId="220F9798" w14:textId="77777777" w:rsidR="00AC7702" w:rsidRPr="00AC7702" w:rsidRDefault="00AC7702" w:rsidP="00AC7702">
      <w:pPr>
        <w:pStyle w:val="EndNoteBibliography"/>
        <w:spacing w:after="360"/>
      </w:pPr>
      <w:r w:rsidRPr="00AC7702">
        <w:t xml:space="preserve">McKeganey, N., M. Barnard and C. Russell (2018). "Vapers and vaping: E-cigarettes users views of vaping and smoking." </w:t>
      </w:r>
      <w:r w:rsidRPr="00AC7702">
        <w:rPr>
          <w:u w:val="single"/>
        </w:rPr>
        <w:t>Drugs: Education, Prevention and Policy</w:t>
      </w:r>
      <w:r w:rsidRPr="00AC7702">
        <w:t xml:space="preserve"> </w:t>
      </w:r>
      <w:r w:rsidRPr="00AC7702">
        <w:rPr>
          <w:b/>
        </w:rPr>
        <w:t>25</w:t>
      </w:r>
      <w:r w:rsidRPr="00AC7702">
        <w:t>(1): 13-20.</w:t>
      </w:r>
    </w:p>
    <w:p w14:paraId="23D0C8DD" w14:textId="77777777" w:rsidR="00AC7702" w:rsidRPr="00AC7702" w:rsidRDefault="00AC7702" w:rsidP="00AC7702">
      <w:pPr>
        <w:pStyle w:val="EndNoteBibliography"/>
        <w:spacing w:after="360"/>
      </w:pPr>
      <w:r w:rsidRPr="00AC7702">
        <w:t>McNeill A, B. L., Calder R,  Bauld L, Robson D. (2018). "Evidence Review of e-cigarettes and heated tobacco products 2018. A Report comissioned by Public Health England.".</w:t>
      </w:r>
    </w:p>
    <w:p w14:paraId="02881F0C" w14:textId="77777777" w:rsidR="00AC7702" w:rsidRPr="00AC7702" w:rsidRDefault="00AC7702" w:rsidP="00AC7702">
      <w:pPr>
        <w:pStyle w:val="EndNoteBibliography"/>
        <w:spacing w:after="360"/>
      </w:pPr>
      <w:r w:rsidRPr="00AC7702">
        <w:t>McNeill A, B. L., Calder R,  Bauld L, Robson D. (2018). Evidence Review of e-cigarettes and heated tobacco products 2018. A Report commissioned by Public Health England. London, Public Health England.</w:t>
      </w:r>
    </w:p>
    <w:p w14:paraId="3164F08F" w14:textId="77777777" w:rsidR="00AC7702" w:rsidRPr="00AC7702" w:rsidRDefault="00AC7702" w:rsidP="00AC7702">
      <w:pPr>
        <w:pStyle w:val="EndNoteBibliography"/>
        <w:spacing w:after="360"/>
      </w:pPr>
      <w:r w:rsidRPr="00AC7702">
        <w:t>McNeill, A., L. S. Brose, R. Calder, L. Bauld and D. Robson (2018). Evidence review of e-cigarettes and heated tobacco products 2018. A report commissioned by Public Health England.</w:t>
      </w:r>
    </w:p>
    <w:p w14:paraId="4C96F33B" w14:textId="77777777" w:rsidR="00AC7702" w:rsidRPr="00AC7702" w:rsidRDefault="00AC7702" w:rsidP="00AC7702">
      <w:pPr>
        <w:pStyle w:val="EndNoteBibliography"/>
        <w:spacing w:after="360"/>
      </w:pPr>
      <w:r w:rsidRPr="00AC7702">
        <w:t xml:space="preserve">Mendy, V. L., R. Vargas, G. Cannon-Smith, M. Payton, E. Byambaa and L. Zhang (2017). "Electronic Cigarette Use among Mississippi Adults, 2015." </w:t>
      </w:r>
      <w:r w:rsidRPr="00AC7702">
        <w:rPr>
          <w:u w:val="single"/>
        </w:rPr>
        <w:t>J Addict</w:t>
      </w:r>
      <w:r w:rsidRPr="00AC7702">
        <w:t xml:space="preserve"> </w:t>
      </w:r>
      <w:r w:rsidRPr="00AC7702">
        <w:rPr>
          <w:b/>
        </w:rPr>
        <w:t>2017</w:t>
      </w:r>
      <w:r w:rsidRPr="00AC7702">
        <w:t>: 5931736.</w:t>
      </w:r>
    </w:p>
    <w:p w14:paraId="62E9769E" w14:textId="77777777" w:rsidR="00AC7702" w:rsidRPr="00AC7702" w:rsidRDefault="00AC7702" w:rsidP="00AC7702">
      <w:pPr>
        <w:pStyle w:val="EndNoteBibliography"/>
        <w:spacing w:after="360"/>
      </w:pPr>
      <w:r w:rsidRPr="00AC7702">
        <w:t xml:space="preserve">Merianos, A. L., R. A. Yockey, K. J. Wood, L. A. Nabors, K. A. King and R. A. Vidourek (2017). Friend and family influence on electronic cigarette use among hispanic adolescents nationwide. </w:t>
      </w:r>
      <w:r w:rsidRPr="00AC7702">
        <w:rPr>
          <w:u w:val="single"/>
        </w:rPr>
        <w:t>Advances in Health and Disease. Volume 1</w:t>
      </w:r>
      <w:r w:rsidRPr="00AC7702">
        <w:rPr>
          <w:b/>
        </w:rPr>
        <w:t xml:space="preserve">: </w:t>
      </w:r>
      <w:r w:rsidRPr="00AC7702">
        <w:t>209-226.</w:t>
      </w:r>
    </w:p>
    <w:p w14:paraId="2BBF75A3" w14:textId="77777777" w:rsidR="00AC7702" w:rsidRPr="00AC7702" w:rsidRDefault="00AC7702" w:rsidP="00AC7702">
      <w:pPr>
        <w:pStyle w:val="EndNoteBibliography"/>
        <w:spacing w:after="360"/>
      </w:pPr>
      <w:r w:rsidRPr="00AC7702">
        <w:t xml:space="preserve">Miler, J. A. and P. Hajek (2017). "Resolution of recurrent tonsillitis in a non-smoker who became a vaper. A case study and new hypothesis." </w:t>
      </w:r>
      <w:r w:rsidRPr="00AC7702">
        <w:rPr>
          <w:u w:val="single"/>
        </w:rPr>
        <w:t>Med Hypotheses</w:t>
      </w:r>
      <w:r w:rsidRPr="00AC7702">
        <w:t xml:space="preserve"> </w:t>
      </w:r>
      <w:r w:rsidRPr="00AC7702">
        <w:rPr>
          <w:b/>
        </w:rPr>
        <w:t>109</w:t>
      </w:r>
      <w:r w:rsidRPr="00AC7702">
        <w:t>: 17-18.</w:t>
      </w:r>
    </w:p>
    <w:p w14:paraId="7A6DBA12" w14:textId="77777777" w:rsidR="00AC7702" w:rsidRPr="00AC7702" w:rsidRDefault="00AC7702" w:rsidP="00AC7702">
      <w:pPr>
        <w:pStyle w:val="EndNoteBibliography"/>
        <w:spacing w:after="360"/>
      </w:pPr>
      <w:r w:rsidRPr="00AC7702">
        <w:t xml:space="preserve">Milicic, S. and S. T. Leatherdale (2017). "The Associations Between E-Cigarettes and Binge Drinking, Marijuana Use, and Energy Drinks Mixed With Alcohol." </w:t>
      </w:r>
      <w:r w:rsidRPr="00AC7702">
        <w:rPr>
          <w:u w:val="single"/>
        </w:rPr>
        <w:t>J Adolesc Health</w:t>
      </w:r>
      <w:r w:rsidRPr="00AC7702">
        <w:t xml:space="preserve"> </w:t>
      </w:r>
      <w:r w:rsidRPr="00AC7702">
        <w:rPr>
          <w:b/>
        </w:rPr>
        <w:t>60</w:t>
      </w:r>
      <w:r w:rsidRPr="00AC7702">
        <w:t>(3): 320-327.</w:t>
      </w:r>
    </w:p>
    <w:p w14:paraId="51C308B4" w14:textId="77777777" w:rsidR="00AC7702" w:rsidRPr="00AC7702" w:rsidRDefault="00AC7702" w:rsidP="00AC7702">
      <w:pPr>
        <w:pStyle w:val="EndNoteBibliography"/>
        <w:spacing w:after="360"/>
      </w:pPr>
      <w:r w:rsidRPr="00AC7702">
        <w:lastRenderedPageBreak/>
        <w:t>Ministry of Health of Ukraine. (2017). Global Adult Tobacco Survey: Ukraine 2017: Executive Summary. Ukraine, Ministry of Health of Ukraine, Kiev International Institute of Sociology, World Health Organization Regional Office for Europe, National Academy of Medical Sciences of Ukraine, &amp; U.S. Centers for Disease Control and Prevention</w:t>
      </w:r>
      <w:r w:rsidRPr="00AC7702">
        <w:rPr>
          <w:b/>
        </w:rPr>
        <w:t xml:space="preserve">: </w:t>
      </w:r>
      <w:r w:rsidRPr="00AC7702">
        <w:t>2.</w:t>
      </w:r>
    </w:p>
    <w:p w14:paraId="7B8145E7" w14:textId="77777777" w:rsidR="00AC7702" w:rsidRPr="00AC7702" w:rsidRDefault="00AC7702" w:rsidP="00AC7702">
      <w:pPr>
        <w:pStyle w:val="EndNoteBibliography"/>
        <w:spacing w:after="360"/>
      </w:pPr>
      <w:r w:rsidRPr="00AC7702">
        <w:t>Ministry of Health Viet Nam (2016). Global Adult Tobacco Fact Sheet: Viet Nam 2015. Ministry of Health Viet Nam, Vinacosh, World Health Organisation and Centers for Disease Control and Prevention. Ha Noi.</w:t>
      </w:r>
    </w:p>
    <w:p w14:paraId="71F6B58B" w14:textId="77777777" w:rsidR="00AC7702" w:rsidRPr="00AC7702" w:rsidRDefault="00AC7702" w:rsidP="00AC7702">
      <w:pPr>
        <w:pStyle w:val="EndNoteBibliography"/>
        <w:spacing w:after="360"/>
      </w:pPr>
      <w:r w:rsidRPr="00AC7702">
        <w:t>Ministry of Healthcare and Social Development of the Republic of Kazakhstan. (2014). Global Adult Tobacco Survey (GATS): The Republic of Kazakhstan, 2014: Country Report, Ministry of Healthcare and Social Development of the Republic of Kazakhstan, World Health Organisation, Centers for Disease Control and Prevention.</w:t>
      </w:r>
      <w:r w:rsidRPr="00AC7702">
        <w:rPr>
          <w:b/>
        </w:rPr>
        <w:t xml:space="preserve">: </w:t>
      </w:r>
      <w:r w:rsidRPr="00AC7702">
        <w:t>22, 41.</w:t>
      </w:r>
    </w:p>
    <w:p w14:paraId="5F4A5095" w14:textId="77777777" w:rsidR="00AC7702" w:rsidRPr="00AC7702" w:rsidRDefault="00AC7702" w:rsidP="00AC7702">
      <w:pPr>
        <w:pStyle w:val="EndNoteBibliography"/>
        <w:spacing w:after="360"/>
      </w:pPr>
      <w:r w:rsidRPr="00AC7702">
        <w:t xml:space="preserve">Miyashita, L., R. Suri, E. Dearing, I. Mudway, R. E. Dove, D. R. Neill, R. Van Zyl-Smit, A. Kadioglu and J. Grigg (2018). "E-cigarette vapour enhances pneumococcal adherence to airway epithelial cells." </w:t>
      </w:r>
      <w:r w:rsidRPr="00AC7702">
        <w:rPr>
          <w:u w:val="single"/>
        </w:rPr>
        <w:t>Eur Respir J</w:t>
      </w:r>
      <w:r w:rsidRPr="00AC7702">
        <w:t xml:space="preserve"> </w:t>
      </w:r>
      <w:r w:rsidRPr="00AC7702">
        <w:rPr>
          <w:b/>
        </w:rPr>
        <w:t>51</w:t>
      </w:r>
      <w:r w:rsidRPr="00AC7702">
        <w:t>(2).</w:t>
      </w:r>
    </w:p>
    <w:p w14:paraId="7E245822" w14:textId="77777777" w:rsidR="00AC7702" w:rsidRPr="00AC7702" w:rsidRDefault="00AC7702" w:rsidP="00AC7702">
      <w:pPr>
        <w:pStyle w:val="EndNoteBibliography"/>
        <w:spacing w:after="360"/>
      </w:pPr>
      <w:r w:rsidRPr="00AC7702">
        <w:t xml:space="preserve">Moheimani, R. S., M. Bhetraratana, K. M. Peters, B. K. Yang, F. Yin, J. Gornbein, J. A. Araujo and H. R. Middlekauff (2017). "Sympathomimetic Effects of Acute E-Cigarette Use: Role of Nicotine and Non-Nicotine Constituents." </w:t>
      </w:r>
      <w:r w:rsidRPr="00AC7702">
        <w:rPr>
          <w:u w:val="single"/>
        </w:rPr>
        <w:t>J Am Heart Assoc</w:t>
      </w:r>
      <w:r w:rsidRPr="00AC7702">
        <w:t xml:space="preserve"> </w:t>
      </w:r>
      <w:r w:rsidRPr="00AC7702">
        <w:rPr>
          <w:b/>
        </w:rPr>
        <w:t>6</w:t>
      </w:r>
      <w:r w:rsidRPr="00AC7702">
        <w:t>(9).</w:t>
      </w:r>
    </w:p>
    <w:p w14:paraId="6C53E6B8" w14:textId="77777777" w:rsidR="00AC7702" w:rsidRPr="00AC7702" w:rsidRDefault="00AC7702" w:rsidP="00AC7702">
      <w:pPr>
        <w:pStyle w:val="EndNoteBibliography"/>
        <w:spacing w:after="360"/>
      </w:pPr>
      <w:r w:rsidRPr="00AC7702">
        <w:t xml:space="preserve">Moheimani, R. S., M. Bhetraratana, F. Yin, K. M. Peters, J. Gornbein, J. A. Araujo and H. R. Middlekauff (2017). "Increased Cardiac Sympathetic Activity and Oxidative Stress in Habitual Electronic Cigarette Users: Implications for Cardiovascular Risk." </w:t>
      </w:r>
      <w:r w:rsidRPr="00AC7702">
        <w:rPr>
          <w:u w:val="single"/>
        </w:rPr>
        <w:t>JAMA Cardiol</w:t>
      </w:r>
      <w:r w:rsidRPr="00AC7702">
        <w:t xml:space="preserve"> </w:t>
      </w:r>
      <w:r w:rsidRPr="00AC7702">
        <w:rPr>
          <w:b/>
        </w:rPr>
        <w:t>2</w:t>
      </w:r>
      <w:r w:rsidRPr="00AC7702">
        <w:t>(3): 278-284.</w:t>
      </w:r>
    </w:p>
    <w:p w14:paraId="0B7DAD34" w14:textId="77777777" w:rsidR="00AC7702" w:rsidRPr="00AC7702" w:rsidRDefault="00AC7702" w:rsidP="00AC7702">
      <w:pPr>
        <w:pStyle w:val="EndNoteBibliography"/>
        <w:spacing w:after="360"/>
      </w:pPr>
      <w:r w:rsidRPr="00AC7702">
        <w:t xml:space="preserve">Morean, M. E. and A. L'Insalata (2018). "Electronic cigarette use among individuals with a self-reported eating disorder diagnosis." </w:t>
      </w:r>
      <w:r w:rsidRPr="00AC7702">
        <w:rPr>
          <w:u w:val="single"/>
        </w:rPr>
        <w:t>Int J Eat Disord</w:t>
      </w:r>
      <w:r w:rsidRPr="00AC7702">
        <w:t xml:space="preserve"> </w:t>
      </w:r>
      <w:r w:rsidRPr="00AC7702">
        <w:rPr>
          <w:b/>
        </w:rPr>
        <w:t>51</w:t>
      </w:r>
      <w:r w:rsidRPr="00AC7702">
        <w:t>(1): 77-81.</w:t>
      </w:r>
    </w:p>
    <w:p w14:paraId="5C4D9257" w14:textId="77777777" w:rsidR="00AC7702" w:rsidRPr="00AC7702" w:rsidRDefault="00AC7702" w:rsidP="00AC7702">
      <w:pPr>
        <w:pStyle w:val="EndNoteBibliography"/>
        <w:spacing w:after="360"/>
      </w:pPr>
      <w:r w:rsidRPr="00AC7702">
        <w:t xml:space="preserve">Morean, M. E., N. Lipshie, M. Josephson and D. Foster (2017). "Predictors of Adult E-Cigarette Users Vaporizing Cannabis Using E-Cigarettes and Vape-Pens." </w:t>
      </w:r>
      <w:r w:rsidRPr="00AC7702">
        <w:rPr>
          <w:u w:val="single"/>
        </w:rPr>
        <w:t>Subst Use Misuse</w:t>
      </w:r>
      <w:r w:rsidRPr="00AC7702">
        <w:t xml:space="preserve"> </w:t>
      </w:r>
      <w:r w:rsidRPr="00AC7702">
        <w:rPr>
          <w:b/>
        </w:rPr>
        <w:t>52</w:t>
      </w:r>
      <w:r w:rsidRPr="00AC7702">
        <w:t>(8): 974-981.</w:t>
      </w:r>
    </w:p>
    <w:p w14:paraId="0B3453F2" w14:textId="77777777" w:rsidR="00AC7702" w:rsidRPr="00AC7702" w:rsidRDefault="00AC7702" w:rsidP="00AC7702">
      <w:pPr>
        <w:pStyle w:val="EndNoteBibliography"/>
        <w:spacing w:after="360"/>
      </w:pPr>
      <w:r w:rsidRPr="00AC7702">
        <w:t xml:space="preserve">Morgenstern, M., A. Nies, M. Goecke and R. Hanewinkel (2018). "E-Cigarettes and the Use of Conventional Cigarettes." </w:t>
      </w:r>
      <w:r w:rsidRPr="00AC7702">
        <w:rPr>
          <w:u w:val="single"/>
        </w:rPr>
        <w:t>Deutsches Arzteblatt International</w:t>
      </w:r>
      <w:r w:rsidRPr="00AC7702">
        <w:t xml:space="preserve"> </w:t>
      </w:r>
      <w:r w:rsidRPr="00AC7702">
        <w:rPr>
          <w:b/>
        </w:rPr>
        <w:t>115</w:t>
      </w:r>
      <w:r w:rsidRPr="00AC7702">
        <w:t>(14): 243-+.</w:t>
      </w:r>
    </w:p>
    <w:p w14:paraId="1B926C80" w14:textId="77777777" w:rsidR="00AC7702" w:rsidRPr="00AC7702" w:rsidRDefault="00AC7702" w:rsidP="00AC7702">
      <w:pPr>
        <w:pStyle w:val="EndNoteBibliography"/>
        <w:spacing w:after="360"/>
      </w:pPr>
      <w:r w:rsidRPr="00AC7702">
        <w:t xml:space="preserve">Morley, S., J. Slaughter and P. R. Smith (2017). "Death from Ingestion of E-Liquid." </w:t>
      </w:r>
      <w:r w:rsidRPr="00AC7702">
        <w:rPr>
          <w:u w:val="single"/>
        </w:rPr>
        <w:t>Journal of Emergency Medicine</w:t>
      </w:r>
      <w:r w:rsidRPr="00AC7702">
        <w:t xml:space="preserve"> </w:t>
      </w:r>
      <w:r w:rsidRPr="00AC7702">
        <w:rPr>
          <w:b/>
        </w:rPr>
        <w:t>53</w:t>
      </w:r>
      <w:r w:rsidRPr="00AC7702">
        <w:t>(6): 862-864.</w:t>
      </w:r>
    </w:p>
    <w:p w14:paraId="2B0DB028" w14:textId="77777777" w:rsidR="00AC7702" w:rsidRPr="00AC7702" w:rsidRDefault="00AC7702" w:rsidP="00AC7702">
      <w:pPr>
        <w:pStyle w:val="EndNoteBibliography"/>
        <w:spacing w:after="360"/>
      </w:pPr>
      <w:r w:rsidRPr="00AC7702">
        <w:t xml:space="preserve">Moses, E., T. Wang, S. Corbett, G. R. Jackson, E. Drizik, C. Perdomo, C. Perdomo, E. Kleerup, D. Brooks, G. O'Connor, S. Dubinett, P. Hayden, M. E. Lenburg and A. Spira (2017). "Molecular Impact of Electronic Cigarette Aerosol Exposure in Human Bronchial Epithelium." </w:t>
      </w:r>
      <w:r w:rsidRPr="00AC7702">
        <w:rPr>
          <w:u w:val="single"/>
        </w:rPr>
        <w:t>Toxicol Sci</w:t>
      </w:r>
      <w:r w:rsidRPr="00AC7702">
        <w:t xml:space="preserve"> </w:t>
      </w:r>
      <w:r w:rsidRPr="00AC7702">
        <w:rPr>
          <w:b/>
        </w:rPr>
        <w:t>155</w:t>
      </w:r>
      <w:r w:rsidRPr="00AC7702">
        <w:t>(1): 248-257.</w:t>
      </w:r>
    </w:p>
    <w:p w14:paraId="75C9B525" w14:textId="77777777" w:rsidR="00AC7702" w:rsidRPr="00AC7702" w:rsidRDefault="00AC7702" w:rsidP="00AC7702">
      <w:pPr>
        <w:pStyle w:val="EndNoteBibliography"/>
        <w:spacing w:after="360"/>
      </w:pPr>
      <w:r w:rsidRPr="00AC7702">
        <w:t xml:space="preserve">Musk, B., Hunter M, Larcombe A, Hui J, James A. (2018). "Electronic cigarette awareness, use and perception of harmfulness in middle-aged adults: the Bussleton Baby Boomer Study  " </w:t>
      </w:r>
      <w:r w:rsidRPr="00AC7702">
        <w:rPr>
          <w:u w:val="single"/>
        </w:rPr>
        <w:t>Respirology</w:t>
      </w:r>
      <w:r w:rsidRPr="00AC7702">
        <w:t xml:space="preserve"> </w:t>
      </w:r>
      <w:r w:rsidRPr="00AC7702">
        <w:rPr>
          <w:b/>
        </w:rPr>
        <w:t>23</w:t>
      </w:r>
      <w:r w:rsidRPr="00AC7702">
        <w:t>(Suppl 1): 171.</w:t>
      </w:r>
    </w:p>
    <w:p w14:paraId="311AB815" w14:textId="77777777" w:rsidR="00AC7702" w:rsidRPr="00AC7702" w:rsidRDefault="00AC7702" w:rsidP="00AC7702">
      <w:pPr>
        <w:pStyle w:val="EndNoteBibliography"/>
        <w:spacing w:after="360"/>
      </w:pPr>
      <w:r w:rsidRPr="00AC7702">
        <w:lastRenderedPageBreak/>
        <w:t xml:space="preserve">Muthumalage, T., M. Prinz, K. O. Ansah, J. Gerloff, I. K. Sundar and I. Rahman (2017). "Inflammatory and Oxidative Responses Induced by Exposure to Commonly Used e-Cigarette Flavoring Chemicals and Flavored e-Liquids without Nicotine." </w:t>
      </w:r>
      <w:r w:rsidRPr="00AC7702">
        <w:rPr>
          <w:u w:val="single"/>
        </w:rPr>
        <w:t>Front Physiol</w:t>
      </w:r>
      <w:r w:rsidRPr="00AC7702">
        <w:t xml:space="preserve"> </w:t>
      </w:r>
      <w:r w:rsidRPr="00AC7702">
        <w:rPr>
          <w:b/>
        </w:rPr>
        <w:t>8</w:t>
      </w:r>
      <w:r w:rsidRPr="00AC7702">
        <w:t>: 1130.</w:t>
      </w:r>
    </w:p>
    <w:p w14:paraId="78FB2CF3" w14:textId="77777777" w:rsidR="00AC7702" w:rsidRPr="00AC7702" w:rsidRDefault="00AC7702" w:rsidP="00AC7702">
      <w:pPr>
        <w:pStyle w:val="EndNoteBibliography"/>
        <w:spacing w:after="360"/>
      </w:pPr>
      <w:r w:rsidRPr="00AC7702">
        <w:t xml:space="preserve">Nahin, E. R., J. A. B. Bispo, M. M. Llabre and A. W. Sokolovsky (2017). "Discovering dimensions of dependency among young adult electronic nicotine delivery systems users." </w:t>
      </w:r>
      <w:r w:rsidRPr="00AC7702">
        <w:rPr>
          <w:u w:val="single"/>
        </w:rPr>
        <w:t>Annals of Behavioral Medicine</w:t>
      </w:r>
      <w:r w:rsidRPr="00AC7702">
        <w:t xml:space="preserve"> </w:t>
      </w:r>
      <w:r w:rsidRPr="00AC7702">
        <w:rPr>
          <w:b/>
        </w:rPr>
        <w:t>51</w:t>
      </w:r>
      <w:r w:rsidRPr="00AC7702">
        <w:t>: S2296-S2296.</w:t>
      </w:r>
    </w:p>
    <w:p w14:paraId="02DD1BC7" w14:textId="0941FAD1" w:rsidR="00AC7702" w:rsidRPr="00AC7702" w:rsidRDefault="00AC7702" w:rsidP="00AC7702">
      <w:pPr>
        <w:pStyle w:val="EndNoteBibliography"/>
        <w:spacing w:after="360"/>
      </w:pPr>
      <w:r w:rsidRPr="00AC7702">
        <w:t xml:space="preserve">NHMRC. (2018). "Outcomes of funding rounds."   Retrieved 13.06, 2018, from </w:t>
      </w:r>
      <w:hyperlink r:id="rId59" w:history="1">
        <w:r w:rsidRPr="00AC7702">
          <w:rPr>
            <w:rStyle w:val="Hyperlink"/>
            <w:rFonts w:cs="Calibri"/>
          </w:rPr>
          <w:t>https://www.nhmrc.gov.au/grants-funding/outcomes-funding-rounds</w:t>
        </w:r>
      </w:hyperlink>
      <w:r w:rsidRPr="00AC7702">
        <w:t>.</w:t>
      </w:r>
    </w:p>
    <w:p w14:paraId="6B231865" w14:textId="77777777" w:rsidR="00AC7702" w:rsidRPr="00AC7702" w:rsidRDefault="00AC7702" w:rsidP="00AC7702">
      <w:pPr>
        <w:pStyle w:val="EndNoteBibliography"/>
        <w:spacing w:after="360"/>
      </w:pPr>
      <w:r w:rsidRPr="00AC7702">
        <w:t xml:space="preserve">Ni, H. and J. Xu (2016). "COPD-related Mortality by Sex and Race Among Adults Aged 25 and Over: United States, 2000-2014." </w:t>
      </w:r>
      <w:r w:rsidRPr="00AC7702">
        <w:rPr>
          <w:u w:val="single"/>
        </w:rPr>
        <w:t>NCHS Data Brief</w:t>
      </w:r>
      <w:r w:rsidRPr="00AC7702">
        <w:t>(256): 1-8.</w:t>
      </w:r>
    </w:p>
    <w:p w14:paraId="1C108ED8" w14:textId="77777777" w:rsidR="00AC7702" w:rsidRPr="00AC7702" w:rsidRDefault="00AC7702" w:rsidP="00AC7702">
      <w:pPr>
        <w:pStyle w:val="EndNoteBibliography"/>
        <w:spacing w:after="360"/>
      </w:pPr>
      <w:r w:rsidRPr="00AC7702">
        <w:t xml:space="preserve">Norii, T. and A. Plate (2017). "Electronic Cigarette Explosion Resulting in a C1 and C2 Fracture: A Case Report." </w:t>
      </w:r>
      <w:r w:rsidRPr="00AC7702">
        <w:rPr>
          <w:u w:val="single"/>
        </w:rPr>
        <w:t>J Emerg Med</w:t>
      </w:r>
      <w:r w:rsidRPr="00AC7702">
        <w:t xml:space="preserve"> </w:t>
      </w:r>
      <w:r w:rsidRPr="00AC7702">
        <w:rPr>
          <w:b/>
        </w:rPr>
        <w:t>52</w:t>
      </w:r>
      <w:r w:rsidRPr="00AC7702">
        <w:t>(1): 86-88.</w:t>
      </w:r>
    </w:p>
    <w:p w14:paraId="770D1F6D" w14:textId="77777777" w:rsidR="00AC7702" w:rsidRPr="00AC7702" w:rsidRDefault="00AC7702" w:rsidP="00AC7702">
      <w:pPr>
        <w:pStyle w:val="EndNoteBibliography"/>
        <w:spacing w:after="360"/>
      </w:pPr>
      <w:r w:rsidRPr="00AC7702">
        <w:t xml:space="preserve">O'Connor, R. J., V. W. Rees, C. Rivard, D. K. Hatsukami and K. M. Cummings (2017). "Internalized smoking stigma in relation to quit intentions, quit attempts, and current e-cigarette use." </w:t>
      </w:r>
      <w:r w:rsidRPr="00AC7702">
        <w:rPr>
          <w:u w:val="single"/>
        </w:rPr>
        <w:t>Subst Abus</w:t>
      </w:r>
      <w:r w:rsidRPr="00AC7702">
        <w:t xml:space="preserve"> </w:t>
      </w:r>
      <w:r w:rsidRPr="00AC7702">
        <w:rPr>
          <w:b/>
        </w:rPr>
        <w:t>38</w:t>
      </w:r>
      <w:r w:rsidRPr="00AC7702">
        <w:t>(3): 330-336.</w:t>
      </w:r>
    </w:p>
    <w:p w14:paraId="5E8F9B2B" w14:textId="77777777" w:rsidR="00AC7702" w:rsidRPr="00AC7702" w:rsidRDefault="00AC7702" w:rsidP="00AC7702">
      <w:pPr>
        <w:pStyle w:val="EndNoteBibliography"/>
        <w:spacing w:after="360"/>
      </w:pPr>
      <w:r w:rsidRPr="00AC7702">
        <w:t xml:space="preserve">O'Gara, E., E. Sharma, R. G. Boyle and K. A. Taylor (2017). "Exploring Exclusive and Poly-tobacco Use among Adult Cigarette Smokers in Minnesota." </w:t>
      </w:r>
      <w:r w:rsidRPr="00AC7702">
        <w:rPr>
          <w:u w:val="single"/>
        </w:rPr>
        <w:t>Am J Health Behav</w:t>
      </w:r>
      <w:r w:rsidRPr="00AC7702">
        <w:t xml:space="preserve"> </w:t>
      </w:r>
      <w:r w:rsidRPr="00AC7702">
        <w:rPr>
          <w:b/>
        </w:rPr>
        <w:t>41</w:t>
      </w:r>
      <w:r w:rsidRPr="00AC7702">
        <w:t>(1): 84-91.</w:t>
      </w:r>
    </w:p>
    <w:p w14:paraId="7D94638D" w14:textId="77777777" w:rsidR="00AC7702" w:rsidRPr="00AC7702" w:rsidRDefault="00AC7702" w:rsidP="00AC7702">
      <w:pPr>
        <w:pStyle w:val="EndNoteBibliography"/>
        <w:spacing w:after="360"/>
      </w:pPr>
      <w:r w:rsidRPr="00AC7702">
        <w:t xml:space="preserve">Oelsner, E., E. A. Hoffman, I. Barjaktarevic, E. Bleecker, C. B. Cooper, A. P. Comellas, D. Couper, G. J. Criner, M. Dransfield, M. B. Drummond, M. K. Han, R. E. Kanner, J. A. Krishnan, F. J. Martinez, R. Paine, P. G. Woodruff, R. Bowled, N. N. Hansel and R. G. Barr (2017). "E-Cigarette Use And Lung Density On Computed Tomography. Subpopulations And Intermediate Outcome Measures In COPD Study (spiromics)." </w:t>
      </w:r>
      <w:r w:rsidRPr="00AC7702">
        <w:rPr>
          <w:u w:val="single"/>
        </w:rPr>
        <w:t>American Journal of Respiratory and Critical Care Medicine</w:t>
      </w:r>
      <w:r w:rsidRPr="00AC7702">
        <w:t xml:space="preserve"> </w:t>
      </w:r>
      <w:r w:rsidRPr="00AC7702">
        <w:rPr>
          <w:b/>
        </w:rPr>
        <w:t>195</w:t>
      </w:r>
      <w:r w:rsidRPr="00AC7702">
        <w:t>.</w:t>
      </w:r>
    </w:p>
    <w:p w14:paraId="6204104D" w14:textId="77777777" w:rsidR="00AC7702" w:rsidRPr="00AC7702" w:rsidRDefault="00AC7702" w:rsidP="00AC7702">
      <w:pPr>
        <w:pStyle w:val="EndNoteBibliography"/>
        <w:spacing w:after="360"/>
      </w:pPr>
      <w:r w:rsidRPr="00AC7702">
        <w:t xml:space="preserve">Otreba, M., L. Kosmider, J. Knysak, J. D. Warncke and A. Sobczak (2018). "E-cigarettes: voltage- and concentration-dependent loss in human lung adenocarcinoma viability." </w:t>
      </w:r>
      <w:r w:rsidRPr="00AC7702">
        <w:rPr>
          <w:u w:val="single"/>
        </w:rPr>
        <w:t>Journal of applied toxicology : JAT</w:t>
      </w:r>
      <w:r w:rsidRPr="00AC7702">
        <w:t>.</w:t>
      </w:r>
    </w:p>
    <w:p w14:paraId="5FCF4FBC" w14:textId="77777777" w:rsidR="00AC7702" w:rsidRPr="00AC7702" w:rsidRDefault="00AC7702" w:rsidP="00AC7702">
      <w:pPr>
        <w:pStyle w:val="EndNoteBibliography"/>
        <w:spacing w:after="360"/>
      </w:pPr>
      <w:r w:rsidRPr="00AC7702">
        <w:t xml:space="preserve">Owotomo, O. and J. Maslowsky (2017). "Marijuana and e-cigarette use in a US national sample of 8th and 10th grade never-smokers of conventional cigarettes." </w:t>
      </w:r>
      <w:r w:rsidRPr="00AC7702">
        <w:rPr>
          <w:u w:val="single"/>
        </w:rPr>
        <w:t>Journal of Applied Research on Children</w:t>
      </w:r>
      <w:r w:rsidRPr="00AC7702">
        <w:t xml:space="preserve"> </w:t>
      </w:r>
      <w:r w:rsidRPr="00AC7702">
        <w:rPr>
          <w:b/>
        </w:rPr>
        <w:t>8</w:t>
      </w:r>
      <w:r w:rsidRPr="00AC7702">
        <w:t>(2).</w:t>
      </w:r>
    </w:p>
    <w:p w14:paraId="5EA683DA" w14:textId="77777777" w:rsidR="00AC7702" w:rsidRPr="00AC7702" w:rsidRDefault="00AC7702" w:rsidP="00AC7702">
      <w:pPr>
        <w:pStyle w:val="EndNoteBibliography"/>
        <w:spacing w:after="360"/>
      </w:pPr>
      <w:r w:rsidRPr="00AC7702">
        <w:t xml:space="preserve">Palazzolo, D. L., J. M. Nelson, E. A. Ely, A. P. Crow, J. Distin and S. C. Kunigelis (2017). "The Effects of Electronic Cigarette (ECIG)-Generated Aerosol and Conventional Cigarette Smoke on the Mucociliary Transport Velocity (MTV) Using the Bullfrog (R. catesbiana) Palate Paradigm." </w:t>
      </w:r>
      <w:r w:rsidRPr="00AC7702">
        <w:rPr>
          <w:u w:val="single"/>
        </w:rPr>
        <w:t>Front Physiol</w:t>
      </w:r>
      <w:r w:rsidRPr="00AC7702">
        <w:t xml:space="preserve"> </w:t>
      </w:r>
      <w:r w:rsidRPr="00AC7702">
        <w:rPr>
          <w:b/>
        </w:rPr>
        <w:t>8</w:t>
      </w:r>
      <w:r w:rsidRPr="00AC7702">
        <w:t>: 1023.</w:t>
      </w:r>
    </w:p>
    <w:p w14:paraId="2ECA87B9" w14:textId="77777777" w:rsidR="00AC7702" w:rsidRPr="00AC7702" w:rsidRDefault="00AC7702" w:rsidP="00AC7702">
      <w:pPr>
        <w:pStyle w:val="EndNoteBibliography"/>
        <w:spacing w:after="360"/>
      </w:pPr>
      <w:r w:rsidRPr="00AC7702">
        <w:t xml:space="preserve">Palipudi, K. M., L. Mbulo, J. Morton, L. Mbulo, R. Bunnell, G. Blutcher-Nelson, S. Kosen, G. H. Tee, A. M. Abdalla, K. A. Mutawa, A. Barbouni, E. Antoniadou, H. Fouad, R. N. Khoury, J. Rarick, D. N. Sinha and S. Asma (2016). "Awareness and Current Use of Electronic Cigarettes in Indonesia, </w:t>
      </w:r>
      <w:r w:rsidRPr="00AC7702">
        <w:lastRenderedPageBreak/>
        <w:t xml:space="preserve">Malaysia, Qatar, and Greece: Findings From 2011-2013 Global Adult Tobacco Surveys." </w:t>
      </w:r>
      <w:r w:rsidRPr="00AC7702">
        <w:rPr>
          <w:u w:val="single"/>
        </w:rPr>
        <w:t>Nicotine Tob Res</w:t>
      </w:r>
      <w:r w:rsidRPr="00AC7702">
        <w:t xml:space="preserve"> </w:t>
      </w:r>
      <w:r w:rsidRPr="00AC7702">
        <w:rPr>
          <w:b/>
        </w:rPr>
        <w:t>18</w:t>
      </w:r>
      <w:r w:rsidRPr="00AC7702">
        <w:t>(4): 501-507.</w:t>
      </w:r>
    </w:p>
    <w:p w14:paraId="645D5D71" w14:textId="77777777" w:rsidR="00AC7702" w:rsidRPr="00AC7702" w:rsidRDefault="00AC7702" w:rsidP="00AC7702">
      <w:pPr>
        <w:pStyle w:val="EndNoteBibliography"/>
        <w:spacing w:after="360"/>
      </w:pPr>
      <w:r w:rsidRPr="00AC7702">
        <w:t xml:space="preserve">Palmer, A. M. and T. H. Brandon (2018). "How Do Electronic Cigarettes Affect Cravings to Smoke or Vape? Parsing the Influences of Nicotine and Expectancies Using the Balanced-Placebo Design." </w:t>
      </w:r>
      <w:r w:rsidRPr="00AC7702">
        <w:rPr>
          <w:u w:val="single"/>
        </w:rPr>
        <w:t>Journal of Consulting and Clinical Psychology</w:t>
      </w:r>
      <w:r w:rsidRPr="00AC7702">
        <w:t xml:space="preserve"> </w:t>
      </w:r>
      <w:r w:rsidRPr="00AC7702">
        <w:rPr>
          <w:b/>
        </w:rPr>
        <w:t>86</w:t>
      </w:r>
      <w:r w:rsidRPr="00AC7702">
        <w:t>(5): 486-491.</w:t>
      </w:r>
    </w:p>
    <w:p w14:paraId="01428B80" w14:textId="77777777" w:rsidR="00AC7702" w:rsidRPr="00AC7702" w:rsidRDefault="00AC7702" w:rsidP="00AC7702">
      <w:pPr>
        <w:pStyle w:val="EndNoteBibliography"/>
        <w:spacing w:after="360"/>
      </w:pPr>
      <w:r w:rsidRPr="00AC7702">
        <w:t xml:space="preserve">Parikh, A. S. and N. Bhattacharyya (2018). "Patterns of concurrent cigarette, alcohol, and e-cigarette use: Off-setting or additive behaviors?" </w:t>
      </w:r>
      <w:r w:rsidRPr="00AC7702">
        <w:rPr>
          <w:u w:val="single"/>
        </w:rPr>
        <w:t>Laryngoscope</w:t>
      </w:r>
      <w:r w:rsidRPr="00AC7702">
        <w:t>.</w:t>
      </w:r>
    </w:p>
    <w:p w14:paraId="3D0432C4" w14:textId="77777777" w:rsidR="00AC7702" w:rsidRPr="00AC7702" w:rsidRDefault="00AC7702" w:rsidP="00AC7702">
      <w:pPr>
        <w:pStyle w:val="EndNoteBibliography"/>
        <w:spacing w:after="360"/>
      </w:pPr>
      <w:r w:rsidRPr="00AC7702">
        <w:t xml:space="preserve">Park, E. J. and Y. G. Min (2018). "The Emerging Method of Suicide by Electronic Cigarette Liquid: a Case Report." </w:t>
      </w:r>
      <w:r w:rsidRPr="00AC7702">
        <w:rPr>
          <w:u w:val="single"/>
        </w:rPr>
        <w:t>J Korean Med Sci</w:t>
      </w:r>
      <w:r w:rsidRPr="00AC7702">
        <w:t xml:space="preserve"> </w:t>
      </w:r>
      <w:r w:rsidRPr="00AC7702">
        <w:rPr>
          <w:b/>
        </w:rPr>
        <w:t>33</w:t>
      </w:r>
      <w:r w:rsidRPr="00AC7702">
        <w:t>(11): e52.</w:t>
      </w:r>
    </w:p>
    <w:p w14:paraId="0778FC50" w14:textId="77777777" w:rsidR="00AC7702" w:rsidRPr="00AC7702" w:rsidRDefault="00AC7702" w:rsidP="00AC7702">
      <w:pPr>
        <w:pStyle w:val="EndNoteBibliography"/>
        <w:spacing w:after="360"/>
      </w:pPr>
      <w:r w:rsidRPr="00AC7702">
        <w:t xml:space="preserve">Park, S., H. Lee and S. Min (2017). "Factors associated with electronic cigarette use among current cigarette-smoking adolescents in the Republic of Korea." </w:t>
      </w:r>
      <w:r w:rsidRPr="00AC7702">
        <w:rPr>
          <w:u w:val="single"/>
        </w:rPr>
        <w:t>Addict Behav</w:t>
      </w:r>
      <w:r w:rsidRPr="00AC7702">
        <w:t xml:space="preserve"> </w:t>
      </w:r>
      <w:r w:rsidRPr="00AC7702">
        <w:rPr>
          <w:b/>
        </w:rPr>
        <w:t>69</w:t>
      </w:r>
      <w:r w:rsidRPr="00AC7702">
        <w:t>: 22-26.</w:t>
      </w:r>
    </w:p>
    <w:p w14:paraId="0A3E9A2A" w14:textId="77777777" w:rsidR="00AC7702" w:rsidRPr="00AC7702" w:rsidRDefault="00AC7702" w:rsidP="00AC7702">
      <w:pPr>
        <w:pStyle w:val="EndNoteBibliography"/>
        <w:spacing w:after="360"/>
      </w:pPr>
      <w:r w:rsidRPr="00AC7702">
        <w:t xml:space="preserve">Park, S. H., D. T. Duncan, O. E. Shahawy, L. Lee, J. A. Shearston, K. Tamura, S. E. Sherman and M. Weitzman (2017). "Characteristics of Adults Who Switched From Cigarette Smoking to E-cigarettes." </w:t>
      </w:r>
      <w:r w:rsidRPr="00AC7702">
        <w:rPr>
          <w:u w:val="single"/>
        </w:rPr>
        <w:t>Am J Prev Med</w:t>
      </w:r>
      <w:r w:rsidRPr="00AC7702">
        <w:t xml:space="preserve"> </w:t>
      </w:r>
      <w:r w:rsidRPr="00AC7702">
        <w:rPr>
          <w:b/>
        </w:rPr>
        <w:t>53</w:t>
      </w:r>
      <w:r w:rsidRPr="00AC7702">
        <w:t>(5): 652-660.</w:t>
      </w:r>
    </w:p>
    <w:p w14:paraId="6A012076" w14:textId="77777777" w:rsidR="00AC7702" w:rsidRPr="00AC7702" w:rsidRDefault="00AC7702" w:rsidP="00AC7702">
      <w:pPr>
        <w:pStyle w:val="EndNoteBibliography"/>
        <w:spacing w:after="360"/>
      </w:pPr>
      <w:r w:rsidRPr="00AC7702">
        <w:t xml:space="preserve">Park, S. H., L. Lee, J. A. Shearston and M. Weitzman (2017). "Patterns of electronic cigarette use and level of psychological distress." </w:t>
      </w:r>
      <w:r w:rsidRPr="00AC7702">
        <w:rPr>
          <w:u w:val="single"/>
        </w:rPr>
        <w:t>PLoS One</w:t>
      </w:r>
      <w:r w:rsidRPr="00AC7702">
        <w:t xml:space="preserve"> </w:t>
      </w:r>
      <w:r w:rsidRPr="00AC7702">
        <w:rPr>
          <w:b/>
        </w:rPr>
        <w:t>12</w:t>
      </w:r>
      <w:r w:rsidRPr="00AC7702">
        <w:t>(3): e0173625.</w:t>
      </w:r>
    </w:p>
    <w:p w14:paraId="22082E6B" w14:textId="77777777" w:rsidR="00AC7702" w:rsidRPr="00AC7702" w:rsidRDefault="00AC7702" w:rsidP="00AC7702">
      <w:pPr>
        <w:pStyle w:val="EndNoteBibliography"/>
        <w:spacing w:after="360"/>
      </w:pPr>
      <w:r w:rsidRPr="00AC7702">
        <w:t xml:space="preserve">Parker, T. T. and J. Rayburn (2017). "A comparison of electronic and traditional cigarette butt leachate on the development of Xenopus laevis embryos." </w:t>
      </w:r>
      <w:r w:rsidRPr="00AC7702">
        <w:rPr>
          <w:u w:val="single"/>
        </w:rPr>
        <w:t>Toxicol Rep</w:t>
      </w:r>
      <w:r w:rsidRPr="00AC7702">
        <w:t xml:space="preserve"> </w:t>
      </w:r>
      <w:r w:rsidRPr="00AC7702">
        <w:rPr>
          <w:b/>
        </w:rPr>
        <w:t>4</w:t>
      </w:r>
      <w:r w:rsidRPr="00AC7702">
        <w:t>: 77-82.</w:t>
      </w:r>
    </w:p>
    <w:p w14:paraId="48A858D3" w14:textId="77777777" w:rsidR="00AC7702" w:rsidRPr="00AC7702" w:rsidRDefault="00AC7702" w:rsidP="00AC7702">
      <w:pPr>
        <w:pStyle w:val="EndNoteBibliography"/>
        <w:spacing w:after="360"/>
      </w:pPr>
      <w:r w:rsidRPr="00AC7702">
        <w:t xml:space="preserve">Pasquereau, A., R. Guignard, R. Andler and V. Nguyen-Thanh (2017). "Electronic cigarettes, quit attempts and smoking cessation: a 6-month follow-up." </w:t>
      </w:r>
      <w:r w:rsidRPr="00AC7702">
        <w:rPr>
          <w:u w:val="single"/>
        </w:rPr>
        <w:t>Addiction</w:t>
      </w:r>
      <w:r w:rsidRPr="00AC7702">
        <w:t xml:space="preserve"> </w:t>
      </w:r>
      <w:r w:rsidRPr="00AC7702">
        <w:rPr>
          <w:b/>
        </w:rPr>
        <w:t>112</w:t>
      </w:r>
      <w:r w:rsidRPr="00AC7702">
        <w:t>(9): 1620-1628.</w:t>
      </w:r>
    </w:p>
    <w:p w14:paraId="0805C425" w14:textId="77777777" w:rsidR="00AC7702" w:rsidRPr="00AC7702" w:rsidRDefault="00AC7702" w:rsidP="00AC7702">
      <w:pPr>
        <w:pStyle w:val="EndNoteBibliography"/>
        <w:spacing w:after="360"/>
      </w:pPr>
      <w:r w:rsidRPr="00AC7702">
        <w:t xml:space="preserve">Patterson, S. B., A. R. Beckett, A. Lintner, C. Leahey, A. Greer, S. B. Brevard, J. D. Simmons and S. A. Kahn (2017). "A Novel Classification System for Injuries After Electronic Cigarette Explosions." </w:t>
      </w:r>
      <w:r w:rsidRPr="00AC7702">
        <w:rPr>
          <w:u w:val="single"/>
        </w:rPr>
        <w:t>Journal of Burn Care &amp; Research</w:t>
      </w:r>
      <w:r w:rsidRPr="00AC7702">
        <w:t xml:space="preserve"> </w:t>
      </w:r>
      <w:r w:rsidRPr="00AC7702">
        <w:rPr>
          <w:b/>
        </w:rPr>
        <w:t>38</w:t>
      </w:r>
      <w:r w:rsidRPr="00AC7702">
        <w:t>(1): E95-E100.</w:t>
      </w:r>
    </w:p>
    <w:p w14:paraId="2550C082" w14:textId="77777777" w:rsidR="00AC7702" w:rsidRPr="00AC7702" w:rsidRDefault="00AC7702" w:rsidP="00AC7702">
      <w:pPr>
        <w:pStyle w:val="EndNoteBibliography"/>
        <w:spacing w:after="360"/>
      </w:pPr>
      <w:r w:rsidRPr="00AC7702">
        <w:t xml:space="preserve">Pearce, J., C. Best, F. Haseen, D. Currie, A. M. MacKintosh, M. Stead, D. Eadie, A. MacGregor, A. Amos, J. Frank and S. Haw (2017). "Electronic cigarette use and smoking initiation in Scottish adolescents: a cohort study." </w:t>
      </w:r>
      <w:r w:rsidRPr="00AC7702">
        <w:rPr>
          <w:u w:val="single"/>
        </w:rPr>
        <w:t>European Journal of Public Health</w:t>
      </w:r>
      <w:r w:rsidRPr="00AC7702">
        <w:t xml:space="preserve"> </w:t>
      </w:r>
      <w:r w:rsidRPr="00AC7702">
        <w:rPr>
          <w:b/>
        </w:rPr>
        <w:t>27</w:t>
      </w:r>
      <w:r w:rsidRPr="00AC7702">
        <w:t>: 38-38.</w:t>
      </w:r>
    </w:p>
    <w:p w14:paraId="2BDB91B5" w14:textId="77777777" w:rsidR="00AC7702" w:rsidRPr="00AC7702" w:rsidRDefault="00AC7702" w:rsidP="00AC7702">
      <w:pPr>
        <w:pStyle w:val="EndNoteBibliography"/>
        <w:spacing w:after="360"/>
      </w:pPr>
      <w:r w:rsidRPr="00AC7702">
        <w:t xml:space="preserve">Penzes, M., K. L. Foley, V. Nadasan, E. Paulik, Z. Abram and R. Urban (2018). "Bidirectional associations of e-cigarette, conventional cigarette and waterpipe experimentation among adolescents: A cross-lagged model." </w:t>
      </w:r>
      <w:r w:rsidRPr="00AC7702">
        <w:rPr>
          <w:u w:val="single"/>
        </w:rPr>
        <w:t>Addict Behav</w:t>
      </w:r>
      <w:r w:rsidRPr="00AC7702">
        <w:t xml:space="preserve"> </w:t>
      </w:r>
      <w:r w:rsidRPr="00AC7702">
        <w:rPr>
          <w:b/>
        </w:rPr>
        <w:t>80</w:t>
      </w:r>
      <w:r w:rsidRPr="00AC7702">
        <w:t>: 59-64.</w:t>
      </w:r>
    </w:p>
    <w:p w14:paraId="1DF75F14" w14:textId="77777777" w:rsidR="00AC7702" w:rsidRPr="00AC7702" w:rsidRDefault="00AC7702" w:rsidP="00AC7702">
      <w:pPr>
        <w:pStyle w:val="EndNoteBibliography"/>
        <w:spacing w:after="360"/>
      </w:pPr>
      <w:r w:rsidRPr="00AC7702">
        <w:t xml:space="preserve">Pepper, J. K., M. C. Farrelly and K. A. Watson (2018). "Adolescents' understanding and use of nicotine in e-cigarettes." </w:t>
      </w:r>
      <w:r w:rsidRPr="00AC7702">
        <w:rPr>
          <w:u w:val="single"/>
        </w:rPr>
        <w:t>Addictive Behaviors</w:t>
      </w:r>
      <w:r w:rsidRPr="00AC7702">
        <w:t xml:space="preserve"> </w:t>
      </w:r>
      <w:r w:rsidRPr="00AC7702">
        <w:rPr>
          <w:b/>
        </w:rPr>
        <w:t>82</w:t>
      </w:r>
      <w:r w:rsidRPr="00AC7702">
        <w:t>: 109-113.</w:t>
      </w:r>
    </w:p>
    <w:p w14:paraId="2FA726CA" w14:textId="77777777" w:rsidR="00AC7702" w:rsidRPr="00AC7702" w:rsidRDefault="00AC7702" w:rsidP="00AC7702">
      <w:pPr>
        <w:pStyle w:val="EndNoteBibliography"/>
        <w:spacing w:after="360"/>
      </w:pPr>
      <w:r w:rsidRPr="00AC7702">
        <w:t xml:space="preserve">Pericot-Valverde, I., D. E. Gaalema, J. S. Priest and S. T. Higgins (2017). "E-cigarette awareness, perceived harmfulness, and ever use among U.S. adults." </w:t>
      </w:r>
      <w:r w:rsidRPr="00AC7702">
        <w:rPr>
          <w:u w:val="single"/>
        </w:rPr>
        <w:t>Prev Med</w:t>
      </w:r>
      <w:r w:rsidRPr="00AC7702">
        <w:t xml:space="preserve"> </w:t>
      </w:r>
      <w:r w:rsidRPr="00AC7702">
        <w:rPr>
          <w:b/>
        </w:rPr>
        <w:t>104</w:t>
      </w:r>
      <w:r w:rsidRPr="00AC7702">
        <w:t>: 92-99.</w:t>
      </w:r>
    </w:p>
    <w:p w14:paraId="7A386F40" w14:textId="77777777" w:rsidR="00AC7702" w:rsidRPr="00AC7702" w:rsidRDefault="00AC7702" w:rsidP="00AC7702">
      <w:pPr>
        <w:pStyle w:val="EndNoteBibliography"/>
        <w:spacing w:after="360"/>
      </w:pPr>
      <w:r w:rsidRPr="00AC7702">
        <w:lastRenderedPageBreak/>
        <w:t xml:space="preserve">Perkins, K. A., J. L. Karelitz and V. C. Michael (2017). "Effects of nicotine versus placebo e-cigarette use on symptom relief during initial tobacco abstinence." </w:t>
      </w:r>
      <w:r w:rsidRPr="00AC7702">
        <w:rPr>
          <w:u w:val="single"/>
        </w:rPr>
        <w:t>Exp Clin Psychopharmacol</w:t>
      </w:r>
      <w:r w:rsidRPr="00AC7702">
        <w:t xml:space="preserve"> </w:t>
      </w:r>
      <w:r w:rsidRPr="00AC7702">
        <w:rPr>
          <w:b/>
        </w:rPr>
        <w:t>25</w:t>
      </w:r>
      <w:r w:rsidRPr="00AC7702">
        <w:t>(4): 249-254.</w:t>
      </w:r>
    </w:p>
    <w:p w14:paraId="39B288FE" w14:textId="77777777" w:rsidR="00AC7702" w:rsidRPr="00AC7702" w:rsidRDefault="00AC7702" w:rsidP="00AC7702">
      <w:pPr>
        <w:pStyle w:val="EndNoteBibliography"/>
        <w:spacing w:after="360"/>
      </w:pPr>
      <w:r w:rsidRPr="00AC7702">
        <w:t xml:space="preserve">Phillips, B., B. Titz, U. Kogel, D. Sharma, P. Leroy, Y. Xiang, G. Vuillaume, S. Lebrun, D. Sciuscio, J. Ho, C. Nury, E. Guedj, A. Elamin, M. Esposito, S. Krishnan, W. K. Schlage, E. Veljkovic, N. V. Ivanov, F. Martin, M. C. Peitsch, J. Hoeng and P. Vanscheeuwijck (2017). "Toxicity of the main electronic cigarette components, propylene glycol, glycerin, and nicotine, in Sprague-Dawley rats in a 90-day OECD inhalation study complemented by molecular endpoints." </w:t>
      </w:r>
      <w:r w:rsidRPr="00AC7702">
        <w:rPr>
          <w:u w:val="single"/>
        </w:rPr>
        <w:t>Food Chem Toxicol</w:t>
      </w:r>
      <w:r w:rsidRPr="00AC7702">
        <w:t xml:space="preserve"> </w:t>
      </w:r>
      <w:r w:rsidRPr="00AC7702">
        <w:rPr>
          <w:b/>
        </w:rPr>
        <w:t>109</w:t>
      </w:r>
      <w:r w:rsidRPr="00AC7702">
        <w:t>(Pt 1): 315-332.</w:t>
      </w:r>
    </w:p>
    <w:p w14:paraId="1C03F530" w14:textId="77777777" w:rsidR="00AC7702" w:rsidRPr="00AC7702" w:rsidRDefault="00AC7702" w:rsidP="00AC7702">
      <w:pPr>
        <w:pStyle w:val="EndNoteBibliography"/>
        <w:spacing w:after="360"/>
      </w:pPr>
      <w:r w:rsidRPr="00AC7702">
        <w:t xml:space="preserve">Phung, A., L. Luo, N. Breik and S. Alessi-Severini (2017). "Use of smoking cessation products: A survey of patients in community pharmacies." </w:t>
      </w:r>
      <w:r w:rsidRPr="00AC7702">
        <w:rPr>
          <w:u w:val="single"/>
        </w:rPr>
        <w:t>Can Pharm J (Ott)</w:t>
      </w:r>
      <w:r w:rsidRPr="00AC7702">
        <w:t xml:space="preserve"> </w:t>
      </w:r>
      <w:r w:rsidRPr="00AC7702">
        <w:rPr>
          <w:b/>
        </w:rPr>
        <w:t>150</w:t>
      </w:r>
      <w:r w:rsidRPr="00AC7702">
        <w:t>(5): 326-333.</w:t>
      </w:r>
    </w:p>
    <w:p w14:paraId="37287C48" w14:textId="77777777" w:rsidR="00AC7702" w:rsidRPr="00AC7702" w:rsidRDefault="00AC7702" w:rsidP="00AC7702">
      <w:pPr>
        <w:pStyle w:val="EndNoteBibliography"/>
        <w:spacing w:after="360"/>
      </w:pPr>
      <w:r w:rsidRPr="00AC7702">
        <w:t xml:space="preserve">Polosa, R., F. Cibella, P. Caponnetto, M. Maglia, U. Prosperini, C. Russo and D. Tashkin (2017). "Health impact of E-cigarettes: a prospective 3.5-year study of regular daily users who have never smoked." </w:t>
      </w:r>
      <w:r w:rsidRPr="00AC7702">
        <w:rPr>
          <w:u w:val="single"/>
        </w:rPr>
        <w:t>Sci Rep</w:t>
      </w:r>
      <w:r w:rsidRPr="00AC7702">
        <w:t xml:space="preserve"> </w:t>
      </w:r>
      <w:r w:rsidRPr="00AC7702">
        <w:rPr>
          <w:b/>
        </w:rPr>
        <w:t>7</w:t>
      </w:r>
      <w:r w:rsidRPr="00AC7702">
        <w:t>(1): 13825.</w:t>
      </w:r>
    </w:p>
    <w:p w14:paraId="6E469D64" w14:textId="77777777" w:rsidR="00AC7702" w:rsidRPr="00AC7702" w:rsidRDefault="00AC7702" w:rsidP="00AC7702">
      <w:pPr>
        <w:pStyle w:val="EndNoteBibliography"/>
        <w:spacing w:after="360"/>
      </w:pPr>
      <w:r w:rsidRPr="00AC7702">
        <w:t xml:space="preserve">Polosa, R., F. Cibella, P. Caponnetto, M. Maglia and D. Tashkin (2017). "Health impact of e-cigarettes: a prospective 3.5-year study of regular users who have never smoked." </w:t>
      </w:r>
      <w:r w:rsidRPr="00AC7702">
        <w:rPr>
          <w:u w:val="single"/>
        </w:rPr>
        <w:t>Respirology</w:t>
      </w:r>
      <w:r w:rsidRPr="00AC7702">
        <w:t xml:space="preserve"> </w:t>
      </w:r>
      <w:r w:rsidRPr="00AC7702">
        <w:rPr>
          <w:b/>
        </w:rPr>
        <w:t>22</w:t>
      </w:r>
      <w:r w:rsidRPr="00AC7702">
        <w:t>: 22-23.</w:t>
      </w:r>
    </w:p>
    <w:p w14:paraId="0736D72B" w14:textId="77777777" w:rsidR="00AC7702" w:rsidRPr="00AC7702" w:rsidRDefault="00AC7702" w:rsidP="00AC7702">
      <w:pPr>
        <w:pStyle w:val="EndNoteBibliography"/>
        <w:spacing w:after="360"/>
      </w:pPr>
      <w:r w:rsidRPr="00AC7702">
        <w:t xml:space="preserve">Przybyla, R. J., J. Wright, R. Parthiban, S. Nazemidashtarjandi, S. Kaya and A. M. Farnoud (2017). "Electronic cigarette vapor alters the lateral structure but not tensiometric properties of calf lung surfactant." </w:t>
      </w:r>
      <w:r w:rsidRPr="00AC7702">
        <w:rPr>
          <w:u w:val="single"/>
        </w:rPr>
        <w:t>Respir Res</w:t>
      </w:r>
      <w:r w:rsidRPr="00AC7702">
        <w:t xml:space="preserve"> </w:t>
      </w:r>
      <w:r w:rsidRPr="00AC7702">
        <w:rPr>
          <w:b/>
        </w:rPr>
        <w:t>18</w:t>
      </w:r>
      <w:r w:rsidRPr="00AC7702">
        <w:t>(1): 193.</w:t>
      </w:r>
    </w:p>
    <w:p w14:paraId="0DD950D3" w14:textId="77777777" w:rsidR="00AC7702" w:rsidRPr="00AC7702" w:rsidRDefault="00AC7702" w:rsidP="00AC7702">
      <w:pPr>
        <w:pStyle w:val="EndNoteBibliography"/>
        <w:spacing w:after="360"/>
      </w:pPr>
      <w:r w:rsidRPr="00AC7702">
        <w:t xml:space="preserve">Pulvers, K., A. S. Emami, N. L. Nollen, D. R. Romero, D. R. Strong, N. L. Benowitz and J. S. Ahluwalia (2018). "Tobacco Consumption and Toxicant Exposure of Cigarette Smokers Using Electronic Cigarettes." </w:t>
      </w:r>
      <w:r w:rsidRPr="00AC7702">
        <w:rPr>
          <w:u w:val="single"/>
        </w:rPr>
        <w:t>Nicotine Tob Res</w:t>
      </w:r>
      <w:r w:rsidRPr="00AC7702">
        <w:t xml:space="preserve"> </w:t>
      </w:r>
      <w:r w:rsidRPr="00AC7702">
        <w:rPr>
          <w:b/>
        </w:rPr>
        <w:t>20</w:t>
      </w:r>
      <w:r w:rsidRPr="00AC7702">
        <w:t>(2): 206-214.</w:t>
      </w:r>
    </w:p>
    <w:p w14:paraId="51B2F94C" w14:textId="77777777" w:rsidR="00AC7702" w:rsidRPr="00AC7702" w:rsidRDefault="00AC7702" w:rsidP="00AC7702">
      <w:pPr>
        <w:pStyle w:val="EndNoteBibliography"/>
        <w:spacing w:after="360"/>
      </w:pPr>
      <w:r w:rsidRPr="00AC7702">
        <w:t xml:space="preserve">Pywell, M. J., M. Wordsworth, R. M. Kwasnicki, P. Chadha, S. Hettiaratchy and T. Halsey (2018). "The Effect of Electronic Cigarettes on Hand Microcirculation." </w:t>
      </w:r>
      <w:r w:rsidRPr="00AC7702">
        <w:rPr>
          <w:u w:val="single"/>
        </w:rPr>
        <w:t>J Hand Surg Am</w:t>
      </w:r>
      <w:r w:rsidRPr="00AC7702">
        <w:t>.</w:t>
      </w:r>
    </w:p>
    <w:p w14:paraId="259A4CB2" w14:textId="77777777" w:rsidR="00AC7702" w:rsidRPr="00AC7702" w:rsidRDefault="00AC7702" w:rsidP="00AC7702">
      <w:pPr>
        <w:pStyle w:val="EndNoteBibliography"/>
        <w:spacing w:after="360"/>
      </w:pPr>
      <w:r w:rsidRPr="00AC7702">
        <w:t xml:space="preserve">Rahali, D., A. Jrad-Lamine, Y. Dallagi, Y. Bdiri, N. Ba, M. El May, S. El Fazaa and N. El Golli (2018). "Semen Parameter Alteration, Histological Changes and Role of Oxidative Stress in Adult Rat Epididymis on Exposure to Electronic Cigarette Refill Liquid." </w:t>
      </w:r>
      <w:r w:rsidRPr="00AC7702">
        <w:rPr>
          <w:u w:val="single"/>
        </w:rPr>
        <w:t>The Chinese journal of physiology</w:t>
      </w:r>
      <w:r w:rsidRPr="00AC7702">
        <w:t xml:space="preserve"> </w:t>
      </w:r>
      <w:r w:rsidRPr="00AC7702">
        <w:rPr>
          <w:b/>
        </w:rPr>
        <w:t>61</w:t>
      </w:r>
      <w:r w:rsidRPr="00AC7702">
        <w:t>(2): 75-84.</w:t>
      </w:r>
    </w:p>
    <w:p w14:paraId="69B93AC4" w14:textId="77777777" w:rsidR="00AC7702" w:rsidRPr="00AC7702" w:rsidRDefault="00AC7702" w:rsidP="00AC7702">
      <w:pPr>
        <w:pStyle w:val="EndNoteBibliography"/>
        <w:spacing w:after="360"/>
      </w:pPr>
      <w:r w:rsidRPr="00AC7702">
        <w:t xml:space="preserve">Ramirez, J. I., C. A. Ridgway, J. G. Lee, B. M. Potenza, S. Sen, T. L. Palmieri, D. G. Greenhalgh and P. Maguina (2017). "The Unrecognized Epidemic of Electronic Cigarette Burns." </w:t>
      </w:r>
      <w:r w:rsidRPr="00AC7702">
        <w:rPr>
          <w:u w:val="single"/>
        </w:rPr>
        <w:t>J Burn Care Res</w:t>
      </w:r>
      <w:r w:rsidRPr="00AC7702">
        <w:t xml:space="preserve"> </w:t>
      </w:r>
      <w:r w:rsidRPr="00AC7702">
        <w:rPr>
          <w:b/>
        </w:rPr>
        <w:t>38</w:t>
      </w:r>
      <w:r w:rsidRPr="00AC7702">
        <w:t>(4): 220-224.</w:t>
      </w:r>
    </w:p>
    <w:p w14:paraId="650B0285" w14:textId="77777777" w:rsidR="00AC7702" w:rsidRPr="00AC7702" w:rsidRDefault="00AC7702" w:rsidP="00AC7702">
      <w:pPr>
        <w:pStyle w:val="EndNoteBibliography"/>
        <w:spacing w:after="360"/>
      </w:pPr>
      <w:r w:rsidRPr="00AC7702">
        <w:t xml:space="preserve">Ramji, R., B. B. Arnetz, M. Nilsson, Y. Wiklund, H. Jamil, W. Maziak and J. Arnetz (2017). "Waterpipe use in adolescents in Northern Sweden: Association with mental well-being and risk and health behaviours." </w:t>
      </w:r>
      <w:r w:rsidRPr="00AC7702">
        <w:rPr>
          <w:u w:val="single"/>
        </w:rPr>
        <w:t>Scand J Public Health</w:t>
      </w:r>
      <w:r w:rsidRPr="00AC7702">
        <w:t>: 1403494817746534.</w:t>
      </w:r>
    </w:p>
    <w:p w14:paraId="48C6FED2" w14:textId="77777777" w:rsidR="00AC7702" w:rsidRPr="00AC7702" w:rsidRDefault="00AC7702" w:rsidP="00AC7702">
      <w:pPr>
        <w:pStyle w:val="EndNoteBibliography"/>
        <w:spacing w:after="360"/>
      </w:pPr>
      <w:r w:rsidRPr="00AC7702">
        <w:lastRenderedPageBreak/>
        <w:t xml:space="preserve">Rau, A. S., V. Reinikovaite, E. P. Schmidt, L. Taraseviciene-Stewart and F. W. Deleyiannis (2017). "Electronic Cigarettes Are as Toxic to Skin Flap Survival as Tobacco Cigarettes." </w:t>
      </w:r>
      <w:r w:rsidRPr="00AC7702">
        <w:rPr>
          <w:u w:val="single"/>
        </w:rPr>
        <w:t>Ann Plast Surg</w:t>
      </w:r>
      <w:r w:rsidRPr="00AC7702">
        <w:t xml:space="preserve"> </w:t>
      </w:r>
      <w:r w:rsidRPr="00AC7702">
        <w:rPr>
          <w:b/>
        </w:rPr>
        <w:t>79</w:t>
      </w:r>
      <w:r w:rsidRPr="00AC7702">
        <w:t>(1): 86-91.</w:t>
      </w:r>
    </w:p>
    <w:p w14:paraId="701F859B" w14:textId="45547D88" w:rsidR="00AC7702" w:rsidRPr="00AC7702" w:rsidRDefault="00AC7702" w:rsidP="00AC7702">
      <w:pPr>
        <w:pStyle w:val="EndNoteBibliography"/>
        <w:spacing w:after="360"/>
      </w:pPr>
      <w:r w:rsidRPr="00AC7702">
        <w:t xml:space="preserve">Reid JL, H. D., Rynard VL, Madill CL, Burkhalter R. . (2017). "E-cigarette prevalence by sex."   Retrieved 11.04.2018, 2018, from </w:t>
      </w:r>
      <w:hyperlink r:id="rId60" w:history="1">
        <w:r w:rsidRPr="00AC7702">
          <w:rPr>
            <w:rStyle w:val="Hyperlink"/>
            <w:rFonts w:cs="Calibri"/>
          </w:rPr>
          <w:t>https://uwaterloo.ca/tobacco-use-canada/e-cigarette-use-canada/prevalence-e-cigarette-use/e-cigarette-prevalence-sex</w:t>
        </w:r>
      </w:hyperlink>
      <w:r w:rsidRPr="00AC7702">
        <w:t>.</w:t>
      </w:r>
    </w:p>
    <w:p w14:paraId="601ADE19" w14:textId="77777777" w:rsidR="00AC7702" w:rsidRPr="00AC7702" w:rsidRDefault="00AC7702" w:rsidP="00AC7702">
      <w:pPr>
        <w:pStyle w:val="EndNoteBibliography"/>
        <w:spacing w:after="360"/>
      </w:pPr>
      <w:r w:rsidRPr="00AC7702">
        <w:t xml:space="preserve">Reidel, B., G. Radicioni, P. W. Clapp, A. A. Ford, S. Abdelwahab, M. E. Rebuli, P. Haridass, N. E. Alexis, I. Jaspers and M. Kesimer (2018). "E-Cigarette Use Causes a Unique Innate Immune Response in the Lung, Involving Increased Neutrophilic Activation and Altered Mucin Secretion." </w:t>
      </w:r>
      <w:r w:rsidRPr="00AC7702">
        <w:rPr>
          <w:u w:val="single"/>
        </w:rPr>
        <w:t>Am J Respir Crit Care Med</w:t>
      </w:r>
      <w:r w:rsidRPr="00AC7702">
        <w:t xml:space="preserve"> </w:t>
      </w:r>
      <w:r w:rsidRPr="00AC7702">
        <w:rPr>
          <w:b/>
        </w:rPr>
        <w:t>197</w:t>
      </w:r>
      <w:r w:rsidRPr="00AC7702">
        <w:t>(4): 492-501.</w:t>
      </w:r>
    </w:p>
    <w:p w14:paraId="7261A801" w14:textId="77777777" w:rsidR="00AC7702" w:rsidRPr="00AC7702" w:rsidRDefault="00AC7702" w:rsidP="00AC7702">
      <w:pPr>
        <w:pStyle w:val="EndNoteBibliography"/>
        <w:spacing w:after="360"/>
      </w:pPr>
      <w:r w:rsidRPr="00AC7702">
        <w:t xml:space="preserve">Reinikovaite, V., I. E. Rodriguez, V. Karoor, A. Rau, B. B. Trinh, F. W. Deleyiannis and L. Taraseviciene-Stewart (2018). "The effects of electronic cigarette vapour on the lung: direct comparison to tobacco smoke." </w:t>
      </w:r>
      <w:r w:rsidRPr="00AC7702">
        <w:rPr>
          <w:u w:val="single"/>
        </w:rPr>
        <w:t>Eur Respir J</w:t>
      </w:r>
      <w:r w:rsidRPr="00AC7702">
        <w:t>.</w:t>
      </w:r>
    </w:p>
    <w:p w14:paraId="1105D03A" w14:textId="77777777" w:rsidR="00AC7702" w:rsidRPr="00AC7702" w:rsidRDefault="00AC7702" w:rsidP="00AC7702">
      <w:pPr>
        <w:pStyle w:val="EndNoteBibliography"/>
        <w:spacing w:after="360"/>
      </w:pPr>
      <w:r w:rsidRPr="00AC7702">
        <w:t>Republic of the Philippines Department of Health (2017). Global Adult Tobacco Survey Fact Sheet: Philippines 2015. Republic of the Philippines Department of Health, Philippine Statistics Authority, World Health Organisation Pacific Region and Centers for Disease Control and Prevention, Republic of the Philippines Department of Health,.</w:t>
      </w:r>
    </w:p>
    <w:p w14:paraId="49DE2E52" w14:textId="77777777" w:rsidR="00AC7702" w:rsidRPr="00AC7702" w:rsidRDefault="00AC7702" w:rsidP="00AC7702">
      <w:pPr>
        <w:pStyle w:val="EndNoteBibliography"/>
        <w:spacing w:after="360"/>
      </w:pPr>
      <w:r w:rsidRPr="00AC7702">
        <w:t xml:space="preserve">Rigotti, N. A., Y. Chang, H. A. Tindle, S. M. Kalkhoran, D. E. Levy, S. Regan, J. H. K. Kelley, E. M. Davis and D. E. Singer (2018). "Association of E-Cigarette Use With Smoking Cessation Among Smokers Who Plan to Quit After a Hospitalization: A Prospective Study." </w:t>
      </w:r>
      <w:r w:rsidRPr="00AC7702">
        <w:rPr>
          <w:u w:val="single"/>
        </w:rPr>
        <w:t>Annals of internal medicine</w:t>
      </w:r>
      <w:r w:rsidRPr="00AC7702">
        <w:t xml:space="preserve"> </w:t>
      </w:r>
      <w:r w:rsidRPr="00AC7702">
        <w:rPr>
          <w:b/>
        </w:rPr>
        <w:t>168</w:t>
      </w:r>
      <w:r w:rsidRPr="00AC7702">
        <w:t>(9): 613-620.</w:t>
      </w:r>
    </w:p>
    <w:p w14:paraId="414777F1" w14:textId="77777777" w:rsidR="00AC7702" w:rsidRPr="00AC7702" w:rsidRDefault="00AC7702" w:rsidP="00AC7702">
      <w:pPr>
        <w:pStyle w:val="EndNoteBibliography"/>
        <w:spacing w:after="360"/>
      </w:pPr>
      <w:r w:rsidRPr="00AC7702">
        <w:t xml:space="preserve">Robertson, L., J. Hoek, M. L. Blank, R. Richards, P. Ling and L. Popova (2018). "Dual use of electronic nicotine delivery systems (ENDS) and smoked tobacco: a qualitative analysis." </w:t>
      </w:r>
      <w:r w:rsidRPr="00AC7702">
        <w:rPr>
          <w:u w:val="single"/>
        </w:rPr>
        <w:t>Tob Control</w:t>
      </w:r>
      <w:r w:rsidRPr="00AC7702">
        <w:t>.</w:t>
      </w:r>
    </w:p>
    <w:p w14:paraId="0B5C30F7" w14:textId="77777777" w:rsidR="00AC7702" w:rsidRPr="00AC7702" w:rsidRDefault="00AC7702" w:rsidP="00AC7702">
      <w:pPr>
        <w:pStyle w:val="EndNoteBibliography"/>
        <w:spacing w:after="360"/>
      </w:pPr>
      <w:r w:rsidRPr="00AC7702">
        <w:t xml:space="preserve">Rodu, B. and N. Plurphanswat (2017). "Quit Methods Used by American Smokers, 2013-2014." </w:t>
      </w:r>
      <w:r w:rsidRPr="00AC7702">
        <w:rPr>
          <w:u w:val="single"/>
        </w:rPr>
        <w:t>Int J Environ Res Public Health</w:t>
      </w:r>
      <w:r w:rsidRPr="00AC7702">
        <w:t xml:space="preserve"> </w:t>
      </w:r>
      <w:r w:rsidRPr="00AC7702">
        <w:rPr>
          <w:b/>
        </w:rPr>
        <w:t>14</w:t>
      </w:r>
      <w:r w:rsidRPr="00AC7702">
        <w:t>(11).</w:t>
      </w:r>
    </w:p>
    <w:p w14:paraId="40E8BA03" w14:textId="77777777" w:rsidR="00AC7702" w:rsidRPr="00AC7702" w:rsidRDefault="00AC7702" w:rsidP="00AC7702">
      <w:pPr>
        <w:pStyle w:val="EndNoteBibliography"/>
        <w:spacing w:after="360"/>
      </w:pPr>
      <w:r w:rsidRPr="00AC7702">
        <w:t xml:space="preserve">Rohsenow, D. J., J. W. Tidey, R. A. Martin, S. M. Colby and T. Eissenberg (2018). "Effects of six weeks of electronic cigarette use on smoking rate, CO, cigarette dependence, and motivation to quit smoking: A pilot study." </w:t>
      </w:r>
      <w:r w:rsidRPr="00AC7702">
        <w:rPr>
          <w:u w:val="single"/>
        </w:rPr>
        <w:t>Addict Behav</w:t>
      </w:r>
      <w:r w:rsidRPr="00AC7702">
        <w:t xml:space="preserve"> </w:t>
      </w:r>
      <w:r w:rsidRPr="00AC7702">
        <w:rPr>
          <w:b/>
        </w:rPr>
        <w:t>80</w:t>
      </w:r>
      <w:r w:rsidRPr="00AC7702">
        <w:t>: 65-70.</w:t>
      </w:r>
    </w:p>
    <w:p w14:paraId="523B105B" w14:textId="77777777" w:rsidR="00AC7702" w:rsidRPr="00AC7702" w:rsidRDefault="00AC7702" w:rsidP="00AC7702">
      <w:pPr>
        <w:pStyle w:val="EndNoteBibliography"/>
        <w:spacing w:after="360"/>
      </w:pPr>
      <w:r w:rsidRPr="00AC7702">
        <w:t xml:space="preserve">Rouabhia, M., H. J. Park, A. Semlali, A. Zakrzewski, W. Chmielewski and J. Chakir (2017). "E-Cigarette Vapor Induces an Apoptotic Response in Human Gingival Epithelial Cells Through the Caspase-3 Pathway." </w:t>
      </w:r>
      <w:r w:rsidRPr="00AC7702">
        <w:rPr>
          <w:u w:val="single"/>
        </w:rPr>
        <w:t>J Cell Physiol</w:t>
      </w:r>
      <w:r w:rsidRPr="00AC7702">
        <w:t xml:space="preserve"> </w:t>
      </w:r>
      <w:r w:rsidRPr="00AC7702">
        <w:rPr>
          <w:b/>
        </w:rPr>
        <w:t>232</w:t>
      </w:r>
      <w:r w:rsidRPr="00AC7702">
        <w:t>(6): 1539-1547.</w:t>
      </w:r>
    </w:p>
    <w:p w14:paraId="6C4CAD76" w14:textId="77777777" w:rsidR="00AC7702" w:rsidRPr="00AC7702" w:rsidRDefault="00AC7702" w:rsidP="00AC7702">
      <w:pPr>
        <w:pStyle w:val="EndNoteBibliography"/>
        <w:spacing w:after="360"/>
      </w:pPr>
      <w:r w:rsidRPr="00AC7702">
        <w:t xml:space="preserve">Rowell, T. R., S. L. Reeber, S. L. Lee, R. A. Harris, R. C. Nethery, A. H. Herring, G. L. Glish and R. Tarran (2017). "Flavored e-cigarette liquids reduce proliferation and viability in the CALU3 airway epithelial cell line." </w:t>
      </w:r>
      <w:r w:rsidRPr="00AC7702">
        <w:rPr>
          <w:u w:val="single"/>
        </w:rPr>
        <w:t>Am J Physiol Lung Cell Mol Physiol</w:t>
      </w:r>
      <w:r w:rsidRPr="00AC7702">
        <w:t xml:space="preserve"> </w:t>
      </w:r>
      <w:r w:rsidRPr="00AC7702">
        <w:rPr>
          <w:b/>
        </w:rPr>
        <w:t>313</w:t>
      </w:r>
      <w:r w:rsidRPr="00AC7702">
        <w:t>(1): L52-l66.</w:t>
      </w:r>
    </w:p>
    <w:p w14:paraId="291DCBB9" w14:textId="77777777" w:rsidR="00AC7702" w:rsidRPr="00AC7702" w:rsidRDefault="00AC7702" w:rsidP="00AC7702">
      <w:pPr>
        <w:pStyle w:val="EndNoteBibliography"/>
        <w:spacing w:after="360"/>
      </w:pPr>
      <w:r w:rsidRPr="00AC7702">
        <w:lastRenderedPageBreak/>
        <w:t xml:space="preserve">Rubinstein, M. L., K. Delucchi, N. L. Benowitz and D. E. Ramo (2018). "Adolescent Exposure to Toxic Volatile Organic Chemicals From E-Cigarettes." </w:t>
      </w:r>
      <w:r w:rsidRPr="00AC7702">
        <w:rPr>
          <w:u w:val="single"/>
        </w:rPr>
        <w:t>Pediatrics</w:t>
      </w:r>
      <w:r w:rsidRPr="00AC7702">
        <w:t>.</w:t>
      </w:r>
    </w:p>
    <w:p w14:paraId="7EDC319E" w14:textId="77777777" w:rsidR="00AC7702" w:rsidRPr="00AC7702" w:rsidRDefault="00AC7702" w:rsidP="00AC7702">
      <w:pPr>
        <w:pStyle w:val="EndNoteBibliography"/>
        <w:spacing w:after="360"/>
      </w:pPr>
      <w:r w:rsidRPr="00AC7702">
        <w:t xml:space="preserve">Rudy, S. F. and E. L. Durmowicz (2017). "Electronic nicotine delivery systems: Overheating, fires and explosions." </w:t>
      </w:r>
      <w:r w:rsidRPr="00AC7702">
        <w:rPr>
          <w:u w:val="single"/>
        </w:rPr>
        <w:t>Tobacco Control</w:t>
      </w:r>
      <w:r w:rsidRPr="00AC7702">
        <w:t xml:space="preserve"> </w:t>
      </w:r>
      <w:r w:rsidRPr="00AC7702">
        <w:rPr>
          <w:b/>
        </w:rPr>
        <w:t>26</w:t>
      </w:r>
      <w:r w:rsidRPr="00AC7702">
        <w:t>(1): 10-18.</w:t>
      </w:r>
    </w:p>
    <w:p w14:paraId="5AB73E12" w14:textId="77777777" w:rsidR="00AC7702" w:rsidRPr="00AC7702" w:rsidRDefault="00AC7702" w:rsidP="00AC7702">
      <w:pPr>
        <w:pStyle w:val="EndNoteBibliography"/>
        <w:spacing w:after="360"/>
      </w:pPr>
      <w:r w:rsidRPr="00AC7702">
        <w:t xml:space="preserve">Russo, C., F. Cibella, E. Mondati, P. Caponnetto, E. Frazzetto, M. Caruso, G. Caci and R. Polosa (2018). "Lack of Substantial Post-Cessation Weight Increase in Electronic Cigarettes Users." </w:t>
      </w:r>
      <w:r w:rsidRPr="00AC7702">
        <w:rPr>
          <w:u w:val="single"/>
        </w:rPr>
        <w:t>International journal of environmental research and public health</w:t>
      </w:r>
      <w:r w:rsidRPr="00AC7702">
        <w:t xml:space="preserve"> </w:t>
      </w:r>
      <w:r w:rsidRPr="00AC7702">
        <w:rPr>
          <w:b/>
        </w:rPr>
        <w:t>15</w:t>
      </w:r>
      <w:r w:rsidRPr="00AC7702">
        <w:t>(4).</w:t>
      </w:r>
    </w:p>
    <w:p w14:paraId="36EB79C2" w14:textId="77777777" w:rsidR="00AC7702" w:rsidRPr="00AC7702" w:rsidRDefault="00AC7702" w:rsidP="00AC7702">
      <w:pPr>
        <w:pStyle w:val="EndNoteBibliography"/>
        <w:spacing w:after="360"/>
      </w:pPr>
      <w:r w:rsidRPr="00AC7702">
        <w:t xml:space="preserve">Ruther, T., D. Hagedorn, K. Schiela, T. Schettgen, H. Osiander-Fuchs and W. Schober (2018). "Nicotine delivery efficiency of first- and second-generation e-cigarettes and its impact on relief of craving during the acute phase of use." </w:t>
      </w:r>
      <w:r w:rsidRPr="00AC7702">
        <w:rPr>
          <w:u w:val="single"/>
        </w:rPr>
        <w:t>Int J Hyg Environ Health</w:t>
      </w:r>
      <w:r w:rsidRPr="00AC7702">
        <w:t xml:space="preserve"> </w:t>
      </w:r>
      <w:r w:rsidRPr="00AC7702">
        <w:rPr>
          <w:b/>
        </w:rPr>
        <w:t>221</w:t>
      </w:r>
      <w:r w:rsidRPr="00AC7702">
        <w:t>(2): 191-198.</w:t>
      </w:r>
    </w:p>
    <w:p w14:paraId="6A97C603" w14:textId="77777777" w:rsidR="00AC7702" w:rsidRPr="00AC7702" w:rsidRDefault="00AC7702" w:rsidP="00AC7702">
      <w:pPr>
        <w:pStyle w:val="EndNoteBibliography"/>
        <w:spacing w:after="360"/>
      </w:pPr>
      <w:r w:rsidRPr="00AC7702">
        <w:t xml:space="preserve">Sancilio, S., M. Gallorini, A. Cataldi, L. Sancillo, R. A. Rana and V. di Giacomo (2017). "Modifications in Human Oral Fibroblast Ultrastructure, Collagen Production, and Lysosomal Compartment in Response to Electronic Cigarette Fluids." </w:t>
      </w:r>
      <w:r w:rsidRPr="00AC7702">
        <w:rPr>
          <w:u w:val="single"/>
        </w:rPr>
        <w:t>J Periodontol</w:t>
      </w:r>
      <w:r w:rsidRPr="00AC7702">
        <w:t xml:space="preserve"> </w:t>
      </w:r>
      <w:r w:rsidRPr="00AC7702">
        <w:rPr>
          <w:b/>
        </w:rPr>
        <w:t>88</w:t>
      </w:r>
      <w:r w:rsidRPr="00AC7702">
        <w:t>(7): 673-680.</w:t>
      </w:r>
    </w:p>
    <w:p w14:paraId="62CD754D" w14:textId="77777777" w:rsidR="00AC7702" w:rsidRPr="00AC7702" w:rsidRDefault="00AC7702" w:rsidP="00AC7702">
      <w:pPr>
        <w:pStyle w:val="EndNoteBibliography"/>
        <w:spacing w:after="360"/>
      </w:pPr>
      <w:r w:rsidRPr="00AC7702">
        <w:t xml:space="preserve">Satteson, E. S., N. J. Walker, C. J. Tuohy and J. A. Molnar (2017). "Extensive Hand Thermal and Blast Injury From Electronic Cigarette Explosion: A Case Report." </w:t>
      </w:r>
      <w:r w:rsidRPr="00AC7702">
        <w:rPr>
          <w:u w:val="single"/>
        </w:rPr>
        <w:t>Hand (N Y)</w:t>
      </w:r>
      <w:r w:rsidRPr="00AC7702">
        <w:t>: 1558944717744333.</w:t>
      </w:r>
    </w:p>
    <w:p w14:paraId="256FB3DA" w14:textId="77777777" w:rsidR="00AC7702" w:rsidRPr="00AC7702" w:rsidRDefault="00AC7702" w:rsidP="00AC7702">
      <w:pPr>
        <w:pStyle w:val="EndNoteBibliography"/>
        <w:spacing w:after="360"/>
      </w:pPr>
      <w:r w:rsidRPr="00AC7702">
        <w:t xml:space="preserve">Schoenborn, C. A. and T. C. Clarke (2017). "Percentage of Adults Who Ever Used an E-cigarette and Percentage Who Currently Use E-cigarettes, by Age Group - National Health Interview Survey, United States, 2016." </w:t>
      </w:r>
      <w:r w:rsidRPr="00AC7702">
        <w:rPr>
          <w:u w:val="single"/>
        </w:rPr>
        <w:t>Mmwr-Morbidity and Mortality Weekly Report</w:t>
      </w:r>
      <w:r w:rsidRPr="00AC7702">
        <w:t xml:space="preserve"> </w:t>
      </w:r>
      <w:r w:rsidRPr="00AC7702">
        <w:rPr>
          <w:b/>
        </w:rPr>
        <w:t>66</w:t>
      </w:r>
      <w:r w:rsidRPr="00AC7702">
        <w:t>(33): 892-892.</w:t>
      </w:r>
    </w:p>
    <w:p w14:paraId="22644725" w14:textId="77777777" w:rsidR="00AC7702" w:rsidRPr="00AC7702" w:rsidRDefault="00AC7702" w:rsidP="00AC7702">
      <w:pPr>
        <w:pStyle w:val="EndNoteBibliography"/>
        <w:spacing w:after="360"/>
      </w:pPr>
      <w:r w:rsidRPr="00AC7702">
        <w:t xml:space="preserve">Schoenborn, C. A. and R. M. Gindi (2015). "Electronic Cigarette Use Among Adults: United States, 2014." </w:t>
      </w:r>
      <w:r w:rsidRPr="00AC7702">
        <w:rPr>
          <w:u w:val="single"/>
        </w:rPr>
        <w:t>NCHS Data Brief</w:t>
      </w:r>
      <w:r w:rsidRPr="00AC7702">
        <w:t>(217): 1-8.</w:t>
      </w:r>
    </w:p>
    <w:p w14:paraId="060FC63F" w14:textId="77777777" w:rsidR="00AC7702" w:rsidRPr="00AC7702" w:rsidRDefault="00AC7702" w:rsidP="00AC7702">
      <w:pPr>
        <w:pStyle w:val="EndNoteBibliography"/>
        <w:spacing w:after="360"/>
      </w:pPr>
      <w:r w:rsidRPr="00AC7702">
        <w:t xml:space="preserve">Schweitzer, R. J., T. A. Wills, E. Tam, I. Pagano and K. Choi (2017). "E-cigarette use and asthma in a multiethnic sample of adolescents." </w:t>
      </w:r>
      <w:r w:rsidRPr="00AC7702">
        <w:rPr>
          <w:u w:val="single"/>
        </w:rPr>
        <w:t>Prev Med</w:t>
      </w:r>
      <w:r w:rsidRPr="00AC7702">
        <w:t xml:space="preserve"> </w:t>
      </w:r>
      <w:r w:rsidRPr="00AC7702">
        <w:rPr>
          <w:b/>
        </w:rPr>
        <w:t>105</w:t>
      </w:r>
      <w:r w:rsidRPr="00AC7702">
        <w:t>: 226-231.</w:t>
      </w:r>
    </w:p>
    <w:p w14:paraId="1C8E8F7F" w14:textId="77777777" w:rsidR="00AC7702" w:rsidRPr="00AC7702" w:rsidRDefault="00AC7702" w:rsidP="00AC7702">
      <w:pPr>
        <w:pStyle w:val="EndNoteBibliography"/>
        <w:spacing w:after="360"/>
      </w:pPr>
      <w:r w:rsidRPr="00AC7702">
        <w:t xml:space="preserve">Scungio, M., L. Stabile and G. Buonanno (2018). "Measurements of electronic cigarette-generated particles for the evaluation of lung cancer risk of active and passive users." </w:t>
      </w:r>
      <w:r w:rsidRPr="00AC7702">
        <w:rPr>
          <w:u w:val="single"/>
        </w:rPr>
        <w:t>Journal of Aerosol Science</w:t>
      </w:r>
      <w:r w:rsidRPr="00AC7702">
        <w:t xml:space="preserve"> </w:t>
      </w:r>
      <w:r w:rsidRPr="00AC7702">
        <w:rPr>
          <w:b/>
        </w:rPr>
        <w:t>115</w:t>
      </w:r>
      <w:r w:rsidRPr="00AC7702">
        <w:t>: 1-11.</w:t>
      </w:r>
    </w:p>
    <w:p w14:paraId="0ACE6D9A" w14:textId="77777777" w:rsidR="00AC7702" w:rsidRPr="00AC7702" w:rsidRDefault="00AC7702" w:rsidP="00AC7702">
      <w:pPr>
        <w:pStyle w:val="EndNoteBibliography"/>
        <w:spacing w:after="360"/>
      </w:pPr>
      <w:r w:rsidRPr="00AC7702">
        <w:t xml:space="preserve">Selya, A. S., L. Dierker, J. S. Rose, D. Hedeker and R. J. Mermelstein (2017). "The Role of Nicotine Dependence in E-Cigarettes' Potential for Smoking Reduction." </w:t>
      </w:r>
      <w:r w:rsidRPr="00AC7702">
        <w:rPr>
          <w:u w:val="single"/>
        </w:rPr>
        <w:t>Nicotine Tob Res</w:t>
      </w:r>
      <w:r w:rsidRPr="00AC7702">
        <w:t>.</w:t>
      </w:r>
    </w:p>
    <w:p w14:paraId="77AE6655" w14:textId="77777777" w:rsidR="00AC7702" w:rsidRPr="00AC7702" w:rsidRDefault="00AC7702" w:rsidP="00AC7702">
      <w:pPr>
        <w:pStyle w:val="EndNoteBibliography"/>
        <w:spacing w:after="360"/>
      </w:pPr>
      <w:r w:rsidRPr="00AC7702">
        <w:t xml:space="preserve">Serpen, J., A. Gutierrez, K. Cushing and A. Chiplunker (2017). "The Impact of E-Cigarette Use in Inflammatory Bowel Disease." </w:t>
      </w:r>
      <w:r w:rsidRPr="00AC7702">
        <w:rPr>
          <w:u w:val="single"/>
        </w:rPr>
        <w:t>Inflammatory Bowel Diseases</w:t>
      </w:r>
      <w:r w:rsidRPr="00AC7702">
        <w:t xml:space="preserve"> </w:t>
      </w:r>
      <w:r w:rsidRPr="00AC7702">
        <w:rPr>
          <w:b/>
        </w:rPr>
        <w:t>23</w:t>
      </w:r>
      <w:r w:rsidRPr="00AC7702">
        <w:t>: S49-S49.</w:t>
      </w:r>
    </w:p>
    <w:p w14:paraId="4536296F" w14:textId="77777777" w:rsidR="00AC7702" w:rsidRPr="00AC7702" w:rsidRDefault="00AC7702" w:rsidP="00AC7702">
      <w:pPr>
        <w:pStyle w:val="EndNoteBibliography"/>
        <w:spacing w:after="360"/>
      </w:pPr>
      <w:r w:rsidRPr="00AC7702">
        <w:t xml:space="preserve">Serror, K., M. Chaouat, A. De Runz, M. Mimoun and D. Boccara (2017). "Thigh deep burns caused by electronic vaping devices (e-cigarettes): A new mechanism." </w:t>
      </w:r>
      <w:r w:rsidRPr="00AC7702">
        <w:rPr>
          <w:u w:val="single"/>
        </w:rPr>
        <w:t>Burns</w:t>
      </w:r>
      <w:r w:rsidRPr="00AC7702">
        <w:t xml:space="preserve"> </w:t>
      </w:r>
      <w:r w:rsidRPr="00AC7702">
        <w:rPr>
          <w:b/>
        </w:rPr>
        <w:t>43</w:t>
      </w:r>
      <w:r w:rsidRPr="00AC7702">
        <w:t>(5): 1133-1135.</w:t>
      </w:r>
    </w:p>
    <w:p w14:paraId="42B6DA81" w14:textId="77777777" w:rsidR="00AC7702" w:rsidRPr="00AC7702" w:rsidRDefault="00AC7702" w:rsidP="00AC7702">
      <w:pPr>
        <w:pStyle w:val="EndNoteBibliography"/>
        <w:spacing w:after="360"/>
      </w:pPr>
      <w:r w:rsidRPr="00AC7702">
        <w:lastRenderedPageBreak/>
        <w:t xml:space="preserve">Serror, K., M. Chaouat, M. M. Legrand, F. Depret, J. Haddad, N. Malca, M. Mimoun and D. Boccara (2017). "Burns caused by electronic vaping devices (e-cigarettes): A new classification proposal based on mechanisms." </w:t>
      </w:r>
      <w:r w:rsidRPr="00AC7702">
        <w:rPr>
          <w:u w:val="single"/>
        </w:rPr>
        <w:t>Burns</w:t>
      </w:r>
      <w:r w:rsidRPr="00AC7702">
        <w:t>.</w:t>
      </w:r>
    </w:p>
    <w:p w14:paraId="2C87F6BB" w14:textId="77777777" w:rsidR="00AC7702" w:rsidRPr="00AC7702" w:rsidRDefault="00AC7702" w:rsidP="00AC7702">
      <w:pPr>
        <w:pStyle w:val="EndNoteBibliography"/>
        <w:spacing w:after="360"/>
      </w:pPr>
      <w:r w:rsidRPr="00AC7702">
        <w:t xml:space="preserve">Shah, A., Y. Paliwal and D. Holdford (2017). "Prevalence and characteristics of e-cigarette users among COPD patient population in the united states " </w:t>
      </w:r>
      <w:r w:rsidRPr="00AC7702">
        <w:rPr>
          <w:u w:val="single"/>
        </w:rPr>
        <w:t>Value in Health</w:t>
      </w:r>
      <w:r w:rsidRPr="00AC7702">
        <w:t xml:space="preserve"> </w:t>
      </w:r>
      <w:r w:rsidRPr="00AC7702">
        <w:rPr>
          <w:b/>
        </w:rPr>
        <w:t>20</w:t>
      </w:r>
      <w:r w:rsidRPr="00AC7702">
        <w:t>(5): A201-A201.</w:t>
      </w:r>
    </w:p>
    <w:p w14:paraId="39819072" w14:textId="77777777" w:rsidR="00AC7702" w:rsidRPr="00AC7702" w:rsidRDefault="00AC7702" w:rsidP="00AC7702">
      <w:pPr>
        <w:pStyle w:val="EndNoteBibliography"/>
        <w:spacing w:after="360"/>
      </w:pPr>
      <w:r w:rsidRPr="00AC7702">
        <w:t xml:space="preserve">Shahab, L., M. L. Goniewicz, B. C. Blount, J. Brown, A. McNeill, K. U. Alwis, J. Feng, L. Wang and R. West (2017). "Nicotine, Carcinogen, and Toxin Exposure in Long-Term E-Cigarette and Nicotine Replacement Therapy Users A Cross-sectional Study." </w:t>
      </w:r>
      <w:r w:rsidRPr="00AC7702">
        <w:rPr>
          <w:u w:val="single"/>
        </w:rPr>
        <w:t>Annals of Internal Medicine</w:t>
      </w:r>
      <w:r w:rsidRPr="00AC7702">
        <w:t xml:space="preserve"> </w:t>
      </w:r>
      <w:r w:rsidRPr="00AC7702">
        <w:rPr>
          <w:b/>
        </w:rPr>
        <w:t>166</w:t>
      </w:r>
      <w:r w:rsidRPr="00AC7702">
        <w:t>(6): 390-+.</w:t>
      </w:r>
    </w:p>
    <w:p w14:paraId="10F48FEA" w14:textId="77777777" w:rsidR="00AC7702" w:rsidRPr="00AC7702" w:rsidRDefault="00AC7702" w:rsidP="00AC7702">
      <w:pPr>
        <w:pStyle w:val="EndNoteBibliography"/>
        <w:spacing w:after="360"/>
      </w:pPr>
      <w:r w:rsidRPr="00AC7702">
        <w:t xml:space="preserve">Sharapova, S. R., T. Singh, I. T. Agaku, S. M. Kennedy and B. A. King (2018). "Patterns of E-cigarette Use Frequency-National Adult Tobacco Survey, 2012-2014." </w:t>
      </w:r>
      <w:r w:rsidRPr="00AC7702">
        <w:rPr>
          <w:u w:val="single"/>
        </w:rPr>
        <w:t>Am J Prev Med</w:t>
      </w:r>
      <w:r w:rsidRPr="00AC7702">
        <w:t xml:space="preserve"> </w:t>
      </w:r>
      <w:r w:rsidRPr="00AC7702">
        <w:rPr>
          <w:b/>
        </w:rPr>
        <w:t>54</w:t>
      </w:r>
      <w:r w:rsidRPr="00AC7702">
        <w:t>(2): 284-288.</w:t>
      </w:r>
    </w:p>
    <w:p w14:paraId="515FF847" w14:textId="77777777" w:rsidR="00AC7702" w:rsidRPr="00AC7702" w:rsidRDefault="00AC7702" w:rsidP="00AC7702">
      <w:pPr>
        <w:pStyle w:val="EndNoteBibliography"/>
        <w:spacing w:after="360"/>
      </w:pPr>
      <w:r w:rsidRPr="00AC7702">
        <w:t xml:space="preserve">Sharma, R., B. Wigginton, C. Meurk, P. Ford and C. E. Gartner (2017). "Motivations and limitations associated with vaping among people with mental illness: A qualitative analysis of reddit discussions." </w:t>
      </w:r>
      <w:r w:rsidRPr="00AC7702">
        <w:rPr>
          <w:u w:val="single"/>
        </w:rPr>
        <w:t>International Journal of Environmental Research and Public Health</w:t>
      </w:r>
      <w:r w:rsidRPr="00AC7702">
        <w:t xml:space="preserve"> </w:t>
      </w:r>
      <w:r w:rsidRPr="00AC7702">
        <w:rPr>
          <w:b/>
        </w:rPr>
        <w:t>14</w:t>
      </w:r>
      <w:r w:rsidRPr="00AC7702">
        <w:t>(1).</w:t>
      </w:r>
    </w:p>
    <w:p w14:paraId="633E392D" w14:textId="77777777" w:rsidR="00AC7702" w:rsidRPr="00AC7702" w:rsidRDefault="00AC7702" w:rsidP="00AC7702">
      <w:pPr>
        <w:pStyle w:val="EndNoteBibliography"/>
        <w:spacing w:after="360"/>
      </w:pPr>
      <w:r w:rsidRPr="00AC7702">
        <w:t xml:space="preserve">Shim, T. N. and T. Kosztyuova (2018). "Allergic Contact Dermatitis to Electronic Cigarette." </w:t>
      </w:r>
      <w:r w:rsidRPr="00AC7702">
        <w:rPr>
          <w:u w:val="single"/>
        </w:rPr>
        <w:t>Dermatitis</w:t>
      </w:r>
      <w:r w:rsidRPr="00AC7702">
        <w:t>.</w:t>
      </w:r>
    </w:p>
    <w:p w14:paraId="40A5CE96" w14:textId="77777777" w:rsidR="00AC7702" w:rsidRPr="00AC7702" w:rsidRDefault="00AC7702" w:rsidP="00AC7702">
      <w:pPr>
        <w:pStyle w:val="EndNoteBibliography"/>
        <w:spacing w:after="360"/>
      </w:pPr>
      <w:r w:rsidRPr="00AC7702">
        <w:t xml:space="preserve">Simonavicius, E., A. McNeill, D. Arnott and L. S. Brose (2017). "What factors are associated with current smokers using or stopping e-cigarette use?" </w:t>
      </w:r>
      <w:r w:rsidRPr="00AC7702">
        <w:rPr>
          <w:u w:val="single"/>
        </w:rPr>
        <w:t>Drug Alcohol Depend</w:t>
      </w:r>
      <w:r w:rsidRPr="00AC7702">
        <w:t xml:space="preserve"> </w:t>
      </w:r>
      <w:r w:rsidRPr="00AC7702">
        <w:rPr>
          <w:b/>
        </w:rPr>
        <w:t>173</w:t>
      </w:r>
      <w:r w:rsidRPr="00AC7702">
        <w:t>: 139-143.</w:t>
      </w:r>
    </w:p>
    <w:p w14:paraId="292DC4C6" w14:textId="77777777" w:rsidR="00AC7702" w:rsidRPr="00AC7702" w:rsidRDefault="00AC7702" w:rsidP="00AC7702">
      <w:pPr>
        <w:pStyle w:val="EndNoteBibliography"/>
        <w:spacing w:after="360"/>
      </w:pPr>
      <w:r w:rsidRPr="00AC7702">
        <w:t xml:space="preserve">Smith, S. L., C. Smith, M. Cheatham and H. G. Smith (2017). "Electronic Cigarettes: A Burn Case Series." </w:t>
      </w:r>
      <w:r w:rsidRPr="00AC7702">
        <w:rPr>
          <w:u w:val="single"/>
        </w:rPr>
        <w:t>Journal for Nurse Practitioners</w:t>
      </w:r>
      <w:r w:rsidRPr="00AC7702">
        <w:t xml:space="preserve"> </w:t>
      </w:r>
      <w:r w:rsidRPr="00AC7702">
        <w:rPr>
          <w:b/>
        </w:rPr>
        <w:t>13</w:t>
      </w:r>
      <w:r w:rsidRPr="00AC7702">
        <w:t>(10): 693-699.</w:t>
      </w:r>
    </w:p>
    <w:p w14:paraId="574A1746" w14:textId="77777777" w:rsidR="00AC7702" w:rsidRPr="00AC7702" w:rsidRDefault="00AC7702" w:rsidP="00AC7702">
      <w:pPr>
        <w:pStyle w:val="EndNoteBibliography"/>
        <w:spacing w:after="360"/>
      </w:pPr>
      <w:r w:rsidRPr="00AC7702">
        <w:t xml:space="preserve">Solleti, S. K., S. Bhattacharya, A. Ahmad, Q. Wang, J. Mereness, T. Rangasamy and T. J. Mariani (2017). "MicroRNA expression profiling defines the impact of electronic cigarettes on human airway epithelial cells." </w:t>
      </w:r>
      <w:r w:rsidRPr="00AC7702">
        <w:rPr>
          <w:u w:val="single"/>
        </w:rPr>
        <w:t>Sci Rep</w:t>
      </w:r>
      <w:r w:rsidRPr="00AC7702">
        <w:t xml:space="preserve"> </w:t>
      </w:r>
      <w:r w:rsidRPr="00AC7702">
        <w:rPr>
          <w:b/>
        </w:rPr>
        <w:t>7</w:t>
      </w:r>
      <w:r w:rsidRPr="00AC7702">
        <w:t>(1): 1081.</w:t>
      </w:r>
    </w:p>
    <w:p w14:paraId="06A95AF8" w14:textId="77777777" w:rsidR="00AC7702" w:rsidRPr="00AC7702" w:rsidRDefault="00AC7702" w:rsidP="00AC7702">
      <w:pPr>
        <w:pStyle w:val="EndNoteBibliography"/>
        <w:spacing w:after="360"/>
      </w:pPr>
      <w:r w:rsidRPr="00AC7702">
        <w:t xml:space="preserve">Soneji, S., J. L. Barrington-Trimis, T. A. Wills, A. M. Leventhal, J. B. Unger, L. A. Gibson, J. Yang, B. A. Primack, J. A. Andrews, R. A. Miech, T. R. Spindle, D. M. Dick, T. Eissenberg, R. C. Hornik, R. Dang and J. D. Sargent (2017). "Association Between Initial Use of e-Cigarettes and Subsequent Cigarette Smoking Among Adolescents and Young Adults: A Systematic Review and Meta-analysis." </w:t>
      </w:r>
      <w:r w:rsidRPr="00AC7702">
        <w:rPr>
          <w:u w:val="single"/>
        </w:rPr>
        <w:t>JAMA Pediatr</w:t>
      </w:r>
      <w:r w:rsidRPr="00AC7702">
        <w:t xml:space="preserve"> </w:t>
      </w:r>
      <w:r w:rsidRPr="00AC7702">
        <w:rPr>
          <w:b/>
        </w:rPr>
        <w:t>171</w:t>
      </w:r>
      <w:r w:rsidRPr="00AC7702">
        <w:t>(8): 788-797.</w:t>
      </w:r>
    </w:p>
    <w:p w14:paraId="4E1E0731" w14:textId="77777777" w:rsidR="00AC7702" w:rsidRPr="00AC7702" w:rsidRDefault="00AC7702" w:rsidP="00AC7702">
      <w:pPr>
        <w:pStyle w:val="EndNoteBibliography"/>
        <w:spacing w:after="360"/>
      </w:pPr>
      <w:r w:rsidRPr="00AC7702">
        <w:t xml:space="preserve">Soneji, S., Sung, H-Y, Primack, BA, Pierce, JP,  Sargent, JD. (2018). "Quantifying population-level health benefits and harms of e-cigarette use in the United States." </w:t>
      </w:r>
      <w:r w:rsidRPr="00AC7702">
        <w:rPr>
          <w:u w:val="single"/>
        </w:rPr>
        <w:t>PLoS One</w:t>
      </w:r>
      <w:r w:rsidRPr="00AC7702">
        <w:t xml:space="preserve"> </w:t>
      </w:r>
      <w:r w:rsidRPr="00AC7702">
        <w:rPr>
          <w:b/>
        </w:rPr>
        <w:t>13</w:t>
      </w:r>
      <w:r w:rsidRPr="00AC7702">
        <w:t>(3): e0193328.</w:t>
      </w:r>
    </w:p>
    <w:p w14:paraId="6096CDF9" w14:textId="77777777" w:rsidR="00AC7702" w:rsidRPr="00AC7702" w:rsidRDefault="00AC7702" w:rsidP="00AC7702">
      <w:pPr>
        <w:pStyle w:val="EndNoteBibliography"/>
        <w:spacing w:after="360"/>
      </w:pPr>
      <w:r w:rsidRPr="00AC7702">
        <w:t xml:space="preserve">Spears, C. A., D. M. Jones, S. R. Weaver, T. F. Pechacek and M. P. Eriksen (2017). "Use of electronic nicotine delivery systems among adults with mental health conditions, 2015." </w:t>
      </w:r>
      <w:r w:rsidRPr="00AC7702">
        <w:rPr>
          <w:u w:val="single"/>
        </w:rPr>
        <w:t>International Journal of Environmental Research and Public Health</w:t>
      </w:r>
      <w:r w:rsidRPr="00AC7702">
        <w:t xml:space="preserve"> </w:t>
      </w:r>
      <w:r w:rsidRPr="00AC7702">
        <w:rPr>
          <w:b/>
        </w:rPr>
        <w:t>14</w:t>
      </w:r>
      <w:r w:rsidRPr="00AC7702">
        <w:t>(1).</w:t>
      </w:r>
    </w:p>
    <w:p w14:paraId="344C6C3C" w14:textId="77777777" w:rsidR="00AC7702" w:rsidRPr="00AC7702" w:rsidRDefault="00AC7702" w:rsidP="00AC7702">
      <w:pPr>
        <w:pStyle w:val="EndNoteBibliography"/>
        <w:spacing w:after="360"/>
      </w:pPr>
      <w:r w:rsidRPr="00AC7702">
        <w:lastRenderedPageBreak/>
        <w:t xml:space="preserve">Spears, C. A., D. M. Jones, S. R. Weaver, T. F. Pechacek and M. P. Eriksen (2018). "Motives and perceptions regarding electronic nicotine delivery systems (ENDS) use among adults with mental health conditions." </w:t>
      </w:r>
      <w:r w:rsidRPr="00AC7702">
        <w:rPr>
          <w:u w:val="single"/>
        </w:rPr>
        <w:t>Addict Behav</w:t>
      </w:r>
      <w:r w:rsidRPr="00AC7702">
        <w:t xml:space="preserve"> </w:t>
      </w:r>
      <w:r w:rsidRPr="00AC7702">
        <w:rPr>
          <w:b/>
        </w:rPr>
        <w:t>80</w:t>
      </w:r>
      <w:r w:rsidRPr="00AC7702">
        <w:t>: 102-109.</w:t>
      </w:r>
    </w:p>
    <w:p w14:paraId="6FF6D151" w14:textId="77777777" w:rsidR="00AC7702" w:rsidRPr="00AC7702" w:rsidRDefault="00AC7702" w:rsidP="00AC7702">
      <w:pPr>
        <w:pStyle w:val="EndNoteBibliography"/>
        <w:spacing w:after="360"/>
      </w:pPr>
      <w:r w:rsidRPr="00AC7702">
        <w:t xml:space="preserve">Staudt, M. R., J. Salit, R. J. Kaner, C. Hollmann and R. G. Crystal (2018). "Altered lung biology of healthy never smokers following acute inhalation of E-cigarettes." </w:t>
      </w:r>
      <w:r w:rsidRPr="00AC7702">
        <w:rPr>
          <w:u w:val="single"/>
        </w:rPr>
        <w:t>Respiratory research</w:t>
      </w:r>
      <w:r w:rsidRPr="00AC7702">
        <w:t xml:space="preserve"> </w:t>
      </w:r>
      <w:r w:rsidRPr="00AC7702">
        <w:rPr>
          <w:b/>
        </w:rPr>
        <w:t>19</w:t>
      </w:r>
      <w:r w:rsidRPr="00AC7702">
        <w:t>(1): 78-78.</w:t>
      </w:r>
    </w:p>
    <w:p w14:paraId="7954CE43" w14:textId="77777777" w:rsidR="00AC7702" w:rsidRPr="00AC7702" w:rsidRDefault="00AC7702" w:rsidP="00AC7702">
      <w:pPr>
        <w:pStyle w:val="EndNoteBibliography"/>
        <w:spacing w:after="360"/>
      </w:pPr>
      <w:r w:rsidRPr="00AC7702">
        <w:t xml:space="preserve">Stewart, C. J., T. A. Auchtung, N. J. Ajami, K. Velasquez, D. P. Smith, R. De La Garza, II, R. Salas and J. F. Petrosino (2018). "Effects of tobacco smoke and electronic cigarette vapor exposure on the oral and gut microbiota in humans: a pilot study." </w:t>
      </w:r>
      <w:r w:rsidRPr="00AC7702">
        <w:rPr>
          <w:u w:val="single"/>
        </w:rPr>
        <w:t>Peerj</w:t>
      </w:r>
      <w:r w:rsidRPr="00AC7702">
        <w:t xml:space="preserve"> </w:t>
      </w:r>
      <w:r w:rsidRPr="00AC7702">
        <w:rPr>
          <w:b/>
        </w:rPr>
        <w:t>6</w:t>
      </w:r>
      <w:r w:rsidRPr="00AC7702">
        <w:t>.</w:t>
      </w:r>
    </w:p>
    <w:p w14:paraId="2070926B" w14:textId="77777777" w:rsidR="00AC7702" w:rsidRPr="00AC7702" w:rsidRDefault="00AC7702" w:rsidP="00AC7702">
      <w:pPr>
        <w:pStyle w:val="EndNoteBibliography"/>
        <w:spacing w:after="360"/>
      </w:pPr>
      <w:r w:rsidRPr="00AC7702">
        <w:t xml:space="preserve">Stokes, A., J. M. Collins, K. M. Berry, L. M. Reynolds, J. L. Fetterman, C. J. Rodriguez, M. B. Siegel and E. J. Benjamin (2018). "Electronic Cigarette Prevalence and Patterns of Use in Adults with a History of Cardiovascular Disease in the United States." </w:t>
      </w:r>
      <w:r w:rsidRPr="00AC7702">
        <w:rPr>
          <w:u w:val="single"/>
        </w:rPr>
        <w:t>Journal of the American Heart Association</w:t>
      </w:r>
      <w:r w:rsidRPr="00AC7702">
        <w:t xml:space="preserve"> </w:t>
      </w:r>
      <w:r w:rsidRPr="00AC7702">
        <w:rPr>
          <w:b/>
        </w:rPr>
        <w:t>7</w:t>
      </w:r>
      <w:r w:rsidRPr="00AC7702">
        <w:t>(9).</w:t>
      </w:r>
    </w:p>
    <w:p w14:paraId="764F4CE0" w14:textId="77777777" w:rsidR="00AC7702" w:rsidRPr="00AC7702" w:rsidRDefault="00AC7702" w:rsidP="00AC7702">
      <w:pPr>
        <w:pStyle w:val="EndNoteBibliography"/>
        <w:spacing w:after="360"/>
      </w:pPr>
      <w:r w:rsidRPr="00AC7702">
        <w:t>Stratton, K., L. Y. Kwan and D. L. Eaton (2018). Public Health Consequences of e-Cigarettes. Washington DC, Board on Population Health and Public Health Practice, Health and Medicine Division, The National Academies of Sciences, Engineering and Medicine.</w:t>
      </w:r>
    </w:p>
    <w:p w14:paraId="6D9608A6" w14:textId="77777777" w:rsidR="00AC7702" w:rsidRPr="00AC7702" w:rsidRDefault="00AC7702" w:rsidP="00AC7702">
      <w:pPr>
        <w:pStyle w:val="EndNoteBibliography"/>
        <w:spacing w:after="360"/>
      </w:pPr>
      <w:r w:rsidRPr="00AC7702">
        <w:t>Stratton, K., L. Y. Kwan and D. L. Eaton (2018). Public health consequences of e-cigarettes. Washington, DC, National Academies of Sciences, Engineering, and Medicine. .</w:t>
      </w:r>
    </w:p>
    <w:p w14:paraId="328AA8A7" w14:textId="77777777" w:rsidR="00AC7702" w:rsidRPr="00AC7702" w:rsidRDefault="00AC7702" w:rsidP="00AC7702">
      <w:pPr>
        <w:pStyle w:val="EndNoteBibliography"/>
        <w:spacing w:after="360"/>
      </w:pPr>
      <w:r w:rsidRPr="00AC7702">
        <w:t xml:space="preserve">Subialka Nowariak, E. N., R. K. Lien, R. G. Boyle, M. S. Amato and L. A. Beebe (2018). "E-cigarette use among treatment-seeking smokers: Moderation of abstinence by use frequency." </w:t>
      </w:r>
      <w:r w:rsidRPr="00AC7702">
        <w:rPr>
          <w:u w:val="single"/>
        </w:rPr>
        <w:t>Addict Behav</w:t>
      </w:r>
      <w:r w:rsidRPr="00AC7702">
        <w:t xml:space="preserve"> </w:t>
      </w:r>
      <w:r w:rsidRPr="00AC7702">
        <w:rPr>
          <w:b/>
        </w:rPr>
        <w:t>77</w:t>
      </w:r>
      <w:r w:rsidRPr="00AC7702">
        <w:t>: 137-142.</w:t>
      </w:r>
    </w:p>
    <w:p w14:paraId="78EF3897" w14:textId="77777777" w:rsidR="00AC7702" w:rsidRPr="00AC7702" w:rsidRDefault="00AC7702" w:rsidP="00AC7702">
      <w:pPr>
        <w:pStyle w:val="EndNoteBibliography"/>
        <w:spacing w:after="360"/>
      </w:pPr>
      <w:r w:rsidRPr="00AC7702">
        <w:t xml:space="preserve">Sung, B. (2017). "E-cigarette Use and Smoking Cessation Among South Korean Adult Smokers: A Propensity Score-Matching Approach." </w:t>
      </w:r>
      <w:r w:rsidRPr="00AC7702">
        <w:rPr>
          <w:u w:val="single"/>
        </w:rPr>
        <w:t>Asia Pac J Public Health</w:t>
      </w:r>
      <w:r w:rsidRPr="00AC7702">
        <w:t>: 1010539517740054.</w:t>
      </w:r>
    </w:p>
    <w:p w14:paraId="312D1CDC" w14:textId="77777777" w:rsidR="00AC7702" w:rsidRPr="00AC7702" w:rsidRDefault="00AC7702" w:rsidP="00AC7702">
      <w:pPr>
        <w:pStyle w:val="EndNoteBibliography"/>
        <w:spacing w:after="360"/>
      </w:pPr>
      <w:r w:rsidRPr="00AC7702">
        <w:t xml:space="preserve">Sussan, T. E., F. G. Shahzad, E. Tabassum, J. E. Cohen, R. A. Wise, M. J. Blaha, J. T. Holbrook and S. Biswal (2017). "Electronic cigarette use behaviors and motivations among smokers and non-smokers." </w:t>
      </w:r>
      <w:r w:rsidRPr="00AC7702">
        <w:rPr>
          <w:u w:val="single"/>
        </w:rPr>
        <w:t>BMC Public Health</w:t>
      </w:r>
      <w:r w:rsidRPr="00AC7702">
        <w:t xml:space="preserve"> </w:t>
      </w:r>
      <w:r w:rsidRPr="00AC7702">
        <w:rPr>
          <w:b/>
        </w:rPr>
        <w:t>17</w:t>
      </w:r>
      <w:r w:rsidRPr="00AC7702">
        <w:t>(1): 686.</w:t>
      </w:r>
    </w:p>
    <w:p w14:paraId="2001C6AA" w14:textId="77777777" w:rsidR="00AC7702" w:rsidRPr="00AC7702" w:rsidRDefault="00AC7702" w:rsidP="00AC7702">
      <w:pPr>
        <w:pStyle w:val="EndNoteBibliography"/>
        <w:spacing w:after="360"/>
      </w:pPr>
      <w:r w:rsidRPr="00AC7702">
        <w:t xml:space="preserve">Taylor, M., T. Jaunky, K. Hewitt, D. Breheny, F. Lowe, I. M. Fearon and M. Gaca (2017). "A comparative assessment of e-cigarette aerosols and cigarette smoke on in vitro endothelial cell migration." </w:t>
      </w:r>
      <w:r w:rsidRPr="00AC7702">
        <w:rPr>
          <w:u w:val="single"/>
        </w:rPr>
        <w:t>Toxicol Lett</w:t>
      </w:r>
      <w:r w:rsidRPr="00AC7702">
        <w:t xml:space="preserve"> </w:t>
      </w:r>
      <w:r w:rsidRPr="00AC7702">
        <w:rPr>
          <w:b/>
        </w:rPr>
        <w:t>277</w:t>
      </w:r>
      <w:r w:rsidRPr="00AC7702">
        <w:t>: 123-128.</w:t>
      </w:r>
    </w:p>
    <w:p w14:paraId="742DC575" w14:textId="77777777" w:rsidR="00AC7702" w:rsidRPr="00AC7702" w:rsidRDefault="00AC7702" w:rsidP="00AC7702">
      <w:pPr>
        <w:pStyle w:val="EndNoteBibliography"/>
        <w:spacing w:after="360"/>
      </w:pPr>
      <w:r w:rsidRPr="00AC7702">
        <w:t xml:space="preserve">Temple, J. R., R. C. Shorey, Y. Lu, E. Torres, G. L. Stuart and V. D. Le (2017). "E-cigarette use of young adults motivations and associations with combustible cigarette alcohol, marijuana, and other illicit drugs." </w:t>
      </w:r>
      <w:r w:rsidRPr="00AC7702">
        <w:rPr>
          <w:u w:val="single"/>
        </w:rPr>
        <w:t>Am J Addict</w:t>
      </w:r>
      <w:r w:rsidRPr="00AC7702">
        <w:t xml:space="preserve"> </w:t>
      </w:r>
      <w:r w:rsidRPr="00AC7702">
        <w:rPr>
          <w:b/>
        </w:rPr>
        <w:t>26</w:t>
      </w:r>
      <w:r w:rsidRPr="00AC7702">
        <w:t>(4): 343-348.</w:t>
      </w:r>
    </w:p>
    <w:p w14:paraId="3183D375" w14:textId="77777777" w:rsidR="00AC7702" w:rsidRPr="00AC7702" w:rsidRDefault="00AC7702" w:rsidP="00AC7702">
      <w:pPr>
        <w:pStyle w:val="EndNoteBibliography"/>
        <w:spacing w:after="360"/>
      </w:pPr>
      <w:r w:rsidRPr="00AC7702">
        <w:t xml:space="preserve">Tommasi, S., S. E. Bates, R. Z. Behar, P. Talbot and A. Besaratinia (2017). "Limited mutagenicity of electronic cigarettes in mouse or human cells in vitro." </w:t>
      </w:r>
      <w:r w:rsidRPr="00AC7702">
        <w:rPr>
          <w:u w:val="single"/>
        </w:rPr>
        <w:t>Lung Cancer</w:t>
      </w:r>
      <w:r w:rsidRPr="00AC7702">
        <w:t xml:space="preserve"> </w:t>
      </w:r>
      <w:r w:rsidRPr="00AC7702">
        <w:rPr>
          <w:b/>
        </w:rPr>
        <w:t>112</w:t>
      </w:r>
      <w:r w:rsidRPr="00AC7702">
        <w:t>: 41-46.</w:t>
      </w:r>
    </w:p>
    <w:p w14:paraId="4B443368" w14:textId="77777777" w:rsidR="00AC7702" w:rsidRPr="00AC7702" w:rsidRDefault="00AC7702" w:rsidP="00AC7702">
      <w:pPr>
        <w:pStyle w:val="EndNoteBibliography"/>
        <w:spacing w:after="360"/>
      </w:pPr>
      <w:r w:rsidRPr="00AC7702">
        <w:lastRenderedPageBreak/>
        <w:t xml:space="preserve">Toy, J., F. Dong, C. Lee, D. Zappa, T. Le, B. Archambeau, J. T. Culhane and M. M. Neeki (2017). "Alarming increase in electronic nicotine delivery systems-related burn injuries: A serious unregulated public health issue." </w:t>
      </w:r>
      <w:r w:rsidRPr="00AC7702">
        <w:rPr>
          <w:u w:val="single"/>
        </w:rPr>
        <w:t>Am J Emerg Med</w:t>
      </w:r>
      <w:r w:rsidRPr="00AC7702">
        <w:t xml:space="preserve"> </w:t>
      </w:r>
      <w:r w:rsidRPr="00AC7702">
        <w:rPr>
          <w:b/>
        </w:rPr>
        <w:t>35</w:t>
      </w:r>
      <w:r w:rsidRPr="00AC7702">
        <w:t>(11): 1781-1782.</w:t>
      </w:r>
    </w:p>
    <w:p w14:paraId="673C2FD8" w14:textId="77777777" w:rsidR="00AC7702" w:rsidRPr="00AC7702" w:rsidRDefault="00AC7702" w:rsidP="00AC7702">
      <w:pPr>
        <w:pStyle w:val="EndNoteBibliography"/>
        <w:spacing w:after="360"/>
      </w:pPr>
      <w:r w:rsidRPr="00AC7702">
        <w:t xml:space="preserve">Treitl, D., R. Solomon, D. L. Davare, R. Sanchez and C. Kiffin (2017). "Full and Partial Thickness Burns from Spontaneous Combustion of E-Cigarette Lithium-Ion Batteries with Review of Literature." </w:t>
      </w:r>
      <w:r w:rsidRPr="00AC7702">
        <w:rPr>
          <w:u w:val="single"/>
        </w:rPr>
        <w:t>J Emerg Med</w:t>
      </w:r>
      <w:r w:rsidRPr="00AC7702">
        <w:t xml:space="preserve"> </w:t>
      </w:r>
      <w:r w:rsidRPr="00AC7702">
        <w:rPr>
          <w:b/>
        </w:rPr>
        <w:t>53</w:t>
      </w:r>
      <w:r w:rsidRPr="00AC7702">
        <w:t>(1): 121-125.</w:t>
      </w:r>
    </w:p>
    <w:p w14:paraId="59EB4D93" w14:textId="77777777" w:rsidR="00AC7702" w:rsidRPr="00AC7702" w:rsidRDefault="00AC7702" w:rsidP="00AC7702">
      <w:pPr>
        <w:pStyle w:val="EndNoteBibliography"/>
        <w:spacing w:after="360"/>
      </w:pPr>
      <w:r w:rsidRPr="00AC7702">
        <w:t xml:space="preserve">Treur, J. L., A. D. Rozema, J. J. P. Mathijssen, H. van Oers and J. M. Vink (2017). "E-cigarette and waterpipe use in two adolescent cohorts: cross-sectional and longitudinal associations with conventional cigarette smoking." </w:t>
      </w:r>
      <w:r w:rsidRPr="00AC7702">
        <w:rPr>
          <w:u w:val="single"/>
        </w:rPr>
        <w:t>European Journal of Epidemiology</w:t>
      </w:r>
      <w:r w:rsidRPr="00AC7702">
        <w:t>: 1-12.</w:t>
      </w:r>
    </w:p>
    <w:p w14:paraId="6C6C43E7" w14:textId="77777777" w:rsidR="00AC7702" w:rsidRPr="00AC7702" w:rsidRDefault="00AC7702" w:rsidP="00AC7702">
      <w:pPr>
        <w:pStyle w:val="EndNoteBibliography"/>
        <w:spacing w:after="360"/>
      </w:pPr>
      <w:r w:rsidRPr="00AC7702">
        <w:t xml:space="preserve">Truman, P., M. Glover and T. Fraser (2018). "An Online Survey of New Zealand Vapers." </w:t>
      </w:r>
      <w:r w:rsidRPr="00AC7702">
        <w:rPr>
          <w:u w:val="single"/>
        </w:rPr>
        <w:t>Int J Environ Res Public Health</w:t>
      </w:r>
      <w:r w:rsidRPr="00AC7702">
        <w:t xml:space="preserve"> </w:t>
      </w:r>
      <w:r w:rsidRPr="00AC7702">
        <w:rPr>
          <w:b/>
        </w:rPr>
        <w:t>15</w:t>
      </w:r>
      <w:r w:rsidRPr="00AC7702">
        <w:t>(2).</w:t>
      </w:r>
    </w:p>
    <w:p w14:paraId="400386FA" w14:textId="77777777" w:rsidR="00AC7702" w:rsidRPr="00AC7702" w:rsidRDefault="00AC7702" w:rsidP="00AC7702">
      <w:pPr>
        <w:pStyle w:val="EndNoteBibliography"/>
        <w:spacing w:after="360"/>
      </w:pPr>
      <w:r w:rsidRPr="00AC7702">
        <w:t xml:space="preserve">Tsai, J., K. Walton, B. N. Coleman, S. R. Sharapova, S. E. Johnson, S. M. Kennedy and R. S. Caraballo (2018). "Reasons for Electronic Cigarette Use Among Middle and High School Students - National Youth Tobacco Survey, United States, 2016." </w:t>
      </w:r>
      <w:r w:rsidRPr="00AC7702">
        <w:rPr>
          <w:u w:val="single"/>
        </w:rPr>
        <w:t>MMWR Morb Mortal Wkly Rep</w:t>
      </w:r>
      <w:r w:rsidRPr="00AC7702">
        <w:t xml:space="preserve"> </w:t>
      </w:r>
      <w:r w:rsidRPr="00AC7702">
        <w:rPr>
          <w:b/>
        </w:rPr>
        <w:t>67</w:t>
      </w:r>
      <w:r w:rsidRPr="00AC7702">
        <w:t>(6): 196-200.</w:t>
      </w:r>
    </w:p>
    <w:p w14:paraId="20481859" w14:textId="77777777" w:rsidR="00AC7702" w:rsidRPr="00AC7702" w:rsidRDefault="00AC7702" w:rsidP="00AC7702">
      <w:pPr>
        <w:pStyle w:val="EndNoteBibliography"/>
        <w:spacing w:after="360"/>
      </w:pPr>
      <w:r w:rsidRPr="00AC7702">
        <w:t xml:space="preserve">Tucker, M. R., M. Laugesen, C. Bullen and R. C. Grace (2017). "Predicting Short-Term Uptake of Electronic Cigarettes: Effects of Nicotine, Subjective Effects and Simulated Demand." </w:t>
      </w:r>
      <w:r w:rsidRPr="00AC7702">
        <w:rPr>
          <w:u w:val="single"/>
        </w:rPr>
        <w:t>Nicotine Tob Res</w:t>
      </w:r>
      <w:r w:rsidRPr="00AC7702">
        <w:t>.</w:t>
      </w:r>
    </w:p>
    <w:p w14:paraId="060F5947" w14:textId="431A3AAA" w:rsidR="00AC7702" w:rsidRPr="00AC7702" w:rsidRDefault="00AC7702" w:rsidP="00AC7702">
      <w:pPr>
        <w:pStyle w:val="EndNoteBibliography"/>
        <w:spacing w:after="360"/>
      </w:pPr>
      <w:r w:rsidRPr="00AC7702">
        <w:t xml:space="preserve">UNICEF. (2015). "MODULE 1:  What are the Social Ecological Model (SEM), Communication for Development (C4D)?" </w:t>
      </w:r>
      <w:r w:rsidRPr="00AC7702">
        <w:rPr>
          <w:u w:val="single"/>
        </w:rPr>
        <w:t>Communication for Development (C4D)</w:t>
      </w:r>
      <w:r w:rsidRPr="00AC7702">
        <w:t xml:space="preserve">  Retrieved 13.06, 2018, from </w:t>
      </w:r>
      <w:hyperlink r:id="rId61" w:history="1">
        <w:r w:rsidRPr="00AC7702">
          <w:rPr>
            <w:rStyle w:val="Hyperlink"/>
            <w:rFonts w:cs="Calibri"/>
          </w:rPr>
          <w:t>https://www.unicef.org/cbsc/index_65738.html</w:t>
        </w:r>
      </w:hyperlink>
      <w:r w:rsidRPr="00AC7702">
        <w:t>.</w:t>
      </w:r>
    </w:p>
    <w:p w14:paraId="4A81504E" w14:textId="77777777" w:rsidR="00AC7702" w:rsidRPr="00AC7702" w:rsidRDefault="00AC7702" w:rsidP="00AC7702">
      <w:pPr>
        <w:pStyle w:val="EndNoteBibliography"/>
        <w:spacing w:after="360"/>
      </w:pPr>
      <w:r w:rsidRPr="00AC7702">
        <w:t xml:space="preserve">Urman, R., R. McConnell, J. B. Unger, T. B. Cruz, J. M. Samet, K. Berhane and J. L. Barrington-Trimis (2018). "Electronic Cigarette and Cigarette Social Environments and Ever Use of Each Product: A Prospective Study of Young Adults in Southern California." </w:t>
      </w:r>
      <w:r w:rsidRPr="00AC7702">
        <w:rPr>
          <w:u w:val="single"/>
        </w:rPr>
        <w:t>Nicotine &amp; tobacco research : official journal of the Society for Research on Nicotine and Tobacco</w:t>
      </w:r>
      <w:r w:rsidRPr="00AC7702">
        <w:t>.</w:t>
      </w:r>
    </w:p>
    <w:p w14:paraId="7249BF69" w14:textId="77777777" w:rsidR="00AC7702" w:rsidRPr="00AC7702" w:rsidRDefault="00AC7702" w:rsidP="00AC7702">
      <w:pPr>
        <w:pStyle w:val="EndNoteBibliography"/>
        <w:spacing w:after="360"/>
      </w:pPr>
      <w:r w:rsidRPr="00AC7702">
        <w:t>US Dept of Health and Human Services (2016). "E-cigarette Use among Youth and Young Adults:A report of the Surgeon General."</w:t>
      </w:r>
    </w:p>
    <w:p w14:paraId="34F27694" w14:textId="77777777" w:rsidR="00AC7702" w:rsidRPr="00AC7702" w:rsidRDefault="00AC7702" w:rsidP="00AC7702">
      <w:pPr>
        <w:pStyle w:val="EndNoteBibliography"/>
        <w:spacing w:after="360"/>
      </w:pPr>
      <w:r w:rsidRPr="00AC7702">
        <w:t xml:space="preserve">Valentine, G. W., K. Hefner, P. I. Jatlow, R. A. Rosenheck, R. Gueorguieva and M. Sofuoglu (2017). "Impact of E-cigarettes on Smoking and Related Outcomes in Veteran Smokers With Psychiatric Comorbidity." </w:t>
      </w:r>
      <w:r w:rsidRPr="00AC7702">
        <w:rPr>
          <w:u w:val="single"/>
        </w:rPr>
        <w:t>J Dual Diagn</w:t>
      </w:r>
      <w:r w:rsidRPr="00AC7702">
        <w:t>: 1-12.</w:t>
      </w:r>
    </w:p>
    <w:p w14:paraId="54351D61" w14:textId="77777777" w:rsidR="00AC7702" w:rsidRPr="00AC7702" w:rsidRDefault="00AC7702" w:rsidP="00AC7702">
      <w:pPr>
        <w:pStyle w:val="EndNoteBibliography"/>
        <w:spacing w:after="360"/>
      </w:pPr>
      <w:r w:rsidRPr="00AC7702">
        <w:t xml:space="preserve">Van Der Meer, D. H., A. D. Pranger, I. Jansen, E. B. Wilms, H. Kieft and J. G. Maring (2017). "Fatal intoxication with nicotine for e-cigarette Background." </w:t>
      </w:r>
      <w:r w:rsidRPr="00AC7702">
        <w:rPr>
          <w:u w:val="single"/>
        </w:rPr>
        <w:t>Nederlands Tijdschrift voor Geneeskunde</w:t>
      </w:r>
      <w:r w:rsidRPr="00AC7702">
        <w:t xml:space="preserve"> </w:t>
      </w:r>
      <w:r w:rsidRPr="00AC7702">
        <w:rPr>
          <w:b/>
        </w:rPr>
        <w:t>161</w:t>
      </w:r>
      <w:r w:rsidRPr="00AC7702">
        <w:t>(43).</w:t>
      </w:r>
    </w:p>
    <w:p w14:paraId="7BEB6BC5" w14:textId="77777777" w:rsidR="00AC7702" w:rsidRPr="00AC7702" w:rsidRDefault="00AC7702" w:rsidP="00AC7702">
      <w:pPr>
        <w:pStyle w:val="EndNoteBibliography"/>
        <w:spacing w:after="360"/>
      </w:pPr>
      <w:r w:rsidRPr="00AC7702">
        <w:t xml:space="preserve">Van Heel, M., D. Van Gucht, K. Vanbrabant and F. Baeyens (2017). "The Importance of Conditioned Stimuli in Cigarette and E-Cigarette Craving Reduction by E-Cigarettes." </w:t>
      </w:r>
      <w:r w:rsidRPr="00AC7702">
        <w:rPr>
          <w:u w:val="single"/>
        </w:rPr>
        <w:t>Int J Environ Res Public Health</w:t>
      </w:r>
      <w:r w:rsidRPr="00AC7702">
        <w:t xml:space="preserve"> </w:t>
      </w:r>
      <w:r w:rsidRPr="00AC7702">
        <w:rPr>
          <w:b/>
        </w:rPr>
        <w:t>14</w:t>
      </w:r>
      <w:r w:rsidRPr="00AC7702">
        <w:t>(2).</w:t>
      </w:r>
    </w:p>
    <w:p w14:paraId="7B326916" w14:textId="77777777" w:rsidR="00AC7702" w:rsidRPr="00AC7702" w:rsidRDefault="00AC7702" w:rsidP="00AC7702">
      <w:pPr>
        <w:pStyle w:val="EndNoteBibliography"/>
        <w:spacing w:after="360"/>
      </w:pPr>
      <w:r w:rsidRPr="00AC7702">
        <w:lastRenderedPageBreak/>
        <w:t xml:space="preserve">Veliz, P., S. E. McCabe, V. V. McCabe and C. J. Boyd (2017). "Adolescent Sports Participation, E-cigarette Use, and Cigarette Smoking." </w:t>
      </w:r>
      <w:r w:rsidRPr="00AC7702">
        <w:rPr>
          <w:u w:val="single"/>
        </w:rPr>
        <w:t>Am J Prev Med</w:t>
      </w:r>
      <w:r w:rsidRPr="00AC7702">
        <w:t xml:space="preserve"> </w:t>
      </w:r>
      <w:r w:rsidRPr="00AC7702">
        <w:rPr>
          <w:b/>
        </w:rPr>
        <w:t>53</w:t>
      </w:r>
      <w:r w:rsidRPr="00AC7702">
        <w:t>(5): e175-e183.</w:t>
      </w:r>
    </w:p>
    <w:p w14:paraId="507359F6" w14:textId="77777777" w:rsidR="00AC7702" w:rsidRPr="00AC7702" w:rsidRDefault="00AC7702" w:rsidP="00AC7702">
      <w:pPr>
        <w:pStyle w:val="EndNoteBibliography"/>
        <w:spacing w:after="360"/>
      </w:pPr>
      <w:r w:rsidRPr="00AC7702">
        <w:t xml:space="preserve">Vogel, E. A., D. E. Ramo and M. L. Rubinstein (2018). "Prevalence and correlates of adolescents' e-cigarette use frequency and dependence." </w:t>
      </w:r>
      <w:r w:rsidRPr="00AC7702">
        <w:rPr>
          <w:u w:val="single"/>
        </w:rPr>
        <w:t>Drug and alcohol dependence</w:t>
      </w:r>
      <w:r w:rsidRPr="00AC7702">
        <w:t xml:space="preserve"> </w:t>
      </w:r>
      <w:r w:rsidRPr="00AC7702">
        <w:rPr>
          <w:b/>
        </w:rPr>
        <w:t>188</w:t>
      </w:r>
      <w:r w:rsidRPr="00AC7702">
        <w:t>: 109-112.</w:t>
      </w:r>
    </w:p>
    <w:p w14:paraId="0C5D6D77" w14:textId="77777777" w:rsidR="00AC7702" w:rsidRPr="00AC7702" w:rsidRDefault="00AC7702" w:rsidP="00AC7702">
      <w:pPr>
        <w:pStyle w:val="EndNoteBibliography"/>
        <w:spacing w:after="360"/>
      </w:pPr>
      <w:r w:rsidRPr="00AC7702">
        <w:t xml:space="preserve">Walele, T., J. Bush, A. Koch, R. Savioz, C. Martin and G. O'Connell (2018). "Evaluation of the safety profile of an electronic vapour product used for two years by smokers in a real-life setting." </w:t>
      </w:r>
      <w:r w:rsidRPr="00AC7702">
        <w:rPr>
          <w:u w:val="single"/>
        </w:rPr>
        <w:t>Regul Toxicol Pharmacol</w:t>
      </w:r>
      <w:r w:rsidRPr="00AC7702">
        <w:t xml:space="preserve"> </w:t>
      </w:r>
      <w:r w:rsidRPr="00AC7702">
        <w:rPr>
          <w:b/>
        </w:rPr>
        <w:t>92</w:t>
      </w:r>
      <w:r w:rsidRPr="00AC7702">
        <w:t>: 226-238.</w:t>
      </w:r>
    </w:p>
    <w:p w14:paraId="7DDB9E97" w14:textId="77777777" w:rsidR="00AC7702" w:rsidRPr="00AC7702" w:rsidRDefault="00AC7702" w:rsidP="00AC7702">
      <w:pPr>
        <w:pStyle w:val="EndNoteBibliography"/>
        <w:spacing w:after="360"/>
      </w:pPr>
      <w:r w:rsidRPr="00AC7702">
        <w:t xml:space="preserve">Wang, X., X. Zhang, X. Xu and Y. Gao (2018). "Electronic cigarette use and smoking cessation behavior among adolescents in China." </w:t>
      </w:r>
      <w:r w:rsidRPr="00AC7702">
        <w:rPr>
          <w:u w:val="single"/>
        </w:rPr>
        <w:t>Addictive Behaviors</w:t>
      </w:r>
      <w:r w:rsidRPr="00AC7702">
        <w:t xml:space="preserve"> </w:t>
      </w:r>
      <w:r w:rsidRPr="00AC7702">
        <w:rPr>
          <w:b/>
        </w:rPr>
        <w:t>82</w:t>
      </w:r>
      <w:r w:rsidRPr="00AC7702">
        <w:t>: 129-134.</w:t>
      </w:r>
    </w:p>
    <w:p w14:paraId="4CACC72E" w14:textId="77777777" w:rsidR="00AC7702" w:rsidRPr="00AC7702" w:rsidRDefault="00AC7702" w:rsidP="00AC7702">
      <w:pPr>
        <w:pStyle w:val="EndNoteBibliography"/>
        <w:spacing w:after="360"/>
      </w:pPr>
      <w:r w:rsidRPr="00AC7702">
        <w:t xml:space="preserve">Warner, K. E. and D. Mendez (2018). "E-cigarettes: Comparing the Possible Risks of Increasing Smoking Initiation with the Potential Benefits of Increasing Smoking Cessation." </w:t>
      </w:r>
      <w:r w:rsidRPr="00AC7702">
        <w:rPr>
          <w:u w:val="single"/>
        </w:rPr>
        <w:t>Nicotine &amp; tobacco research : official journal of the Society for Research on Nicotine and Tobacco</w:t>
      </w:r>
      <w:r w:rsidRPr="00AC7702">
        <w:t>.</w:t>
      </w:r>
    </w:p>
    <w:p w14:paraId="0286C759" w14:textId="77777777" w:rsidR="00AC7702" w:rsidRPr="00AC7702" w:rsidRDefault="00AC7702" w:rsidP="00AC7702">
      <w:pPr>
        <w:pStyle w:val="EndNoteBibliography"/>
        <w:spacing w:after="360"/>
      </w:pPr>
      <w:r w:rsidRPr="00AC7702">
        <w:t xml:space="preserve">Ween, M. P., J. J. Whittall, R. Hamon, P. N. Reynolds and S. J. Hodge (2017). "Phagocytosis and Inflammation: Exploring the effects of the components of E-cigarette vapor on macrophages." </w:t>
      </w:r>
      <w:r w:rsidRPr="00AC7702">
        <w:rPr>
          <w:u w:val="single"/>
        </w:rPr>
        <w:t>Physiol Rep</w:t>
      </w:r>
      <w:r w:rsidRPr="00AC7702">
        <w:t xml:space="preserve"> </w:t>
      </w:r>
      <w:r w:rsidRPr="00AC7702">
        <w:rPr>
          <w:b/>
        </w:rPr>
        <w:t>5</w:t>
      </w:r>
      <w:r w:rsidRPr="00AC7702">
        <w:t>(16).</w:t>
      </w:r>
    </w:p>
    <w:p w14:paraId="6C9BE12C" w14:textId="77777777" w:rsidR="00AC7702" w:rsidRPr="00AC7702" w:rsidRDefault="00AC7702" w:rsidP="00AC7702">
      <w:pPr>
        <w:pStyle w:val="EndNoteBibliography"/>
        <w:spacing w:after="360"/>
      </w:pPr>
      <w:r w:rsidRPr="00AC7702">
        <w:t xml:space="preserve">Wei, B., M. L. Goniewicz, R. J. O’Connor, M. J. Travers and A. J. Hyland (2018). "Urinary metabolite levels of flame retardants in electronic cigarette users: A study using the data from NHANES 2013–2014." </w:t>
      </w:r>
      <w:r w:rsidRPr="00AC7702">
        <w:rPr>
          <w:u w:val="single"/>
        </w:rPr>
        <w:t>International Journal of Environmental Research and Public Health</w:t>
      </w:r>
      <w:r w:rsidRPr="00AC7702">
        <w:t xml:space="preserve"> </w:t>
      </w:r>
      <w:r w:rsidRPr="00AC7702">
        <w:rPr>
          <w:b/>
        </w:rPr>
        <w:t>15</w:t>
      </w:r>
      <w:r w:rsidRPr="00AC7702">
        <w:t>(2).</w:t>
      </w:r>
    </w:p>
    <w:p w14:paraId="7CC61ED6" w14:textId="77777777" w:rsidR="00AC7702" w:rsidRPr="00AC7702" w:rsidRDefault="00AC7702" w:rsidP="00AC7702">
      <w:pPr>
        <w:pStyle w:val="EndNoteBibliography"/>
        <w:spacing w:after="360"/>
      </w:pPr>
      <w:r w:rsidRPr="00AC7702">
        <w:t xml:space="preserve">Westling, E., J. C. Rusby, R. Crowley and J. M. Light (2017). "Electronic Cigarette Use by Youth: Prevalence, Correlates, and Use Trajectories From Middle to High School." </w:t>
      </w:r>
      <w:r w:rsidRPr="00AC7702">
        <w:rPr>
          <w:u w:val="single"/>
        </w:rPr>
        <w:t>J Adolesc Health</w:t>
      </w:r>
      <w:r w:rsidRPr="00AC7702">
        <w:t xml:space="preserve"> </w:t>
      </w:r>
      <w:r w:rsidRPr="00AC7702">
        <w:rPr>
          <w:b/>
        </w:rPr>
        <w:t>60</w:t>
      </w:r>
      <w:r w:rsidRPr="00AC7702">
        <w:t>(6): 660-666.</w:t>
      </w:r>
    </w:p>
    <w:p w14:paraId="0156C3C2" w14:textId="77777777" w:rsidR="00AC7702" w:rsidRPr="00AC7702" w:rsidRDefault="00AC7702" w:rsidP="00AC7702">
      <w:pPr>
        <w:pStyle w:val="EndNoteBibliography"/>
        <w:spacing w:after="360"/>
      </w:pPr>
      <w:r w:rsidRPr="00AC7702">
        <w:t xml:space="preserve">Williams, T. and V. White (2018). "What Factors are Associated with Electronic Cigarette, Shisha-Tobacco and Conventional Cigarette Use? Findings from a Cross-Sectional Survey of Australian Adolescents?" </w:t>
      </w:r>
      <w:r w:rsidRPr="00AC7702">
        <w:rPr>
          <w:u w:val="single"/>
        </w:rPr>
        <w:t>Subst Use Misuse</w:t>
      </w:r>
      <w:r w:rsidRPr="00AC7702">
        <w:t>: 1-11.</w:t>
      </w:r>
    </w:p>
    <w:p w14:paraId="08191AF5" w14:textId="77777777" w:rsidR="00AC7702" w:rsidRPr="00AC7702" w:rsidRDefault="00AC7702" w:rsidP="00AC7702">
      <w:pPr>
        <w:pStyle w:val="EndNoteBibliography"/>
        <w:spacing w:after="360"/>
      </w:pPr>
      <w:r w:rsidRPr="00AC7702">
        <w:t>World Health Organization (2016). "Electronic Nicotine Delivery Systems and Electronic Non-Nicotine Delivery Systems (ENDS/ENNDS)."</w:t>
      </w:r>
    </w:p>
    <w:p w14:paraId="372DCFC5" w14:textId="77777777" w:rsidR="00AC7702" w:rsidRPr="00AC7702" w:rsidRDefault="00AC7702" w:rsidP="00AC7702">
      <w:pPr>
        <w:pStyle w:val="EndNoteBibliography"/>
        <w:spacing w:after="360"/>
      </w:pPr>
      <w:r w:rsidRPr="00AC7702">
        <w:t xml:space="preserve">Yao, T., W. Max, H. Y. Sung, S. A. Glantz, R. L. Goldberg, J. B. Wang, Y. Wang, J. Lightwood and J. Cataldo (2017). "Relationship between spending on electronic cigarettes, 30-day use, and disease symptoms among current adult cigarette smokers in the U.S." </w:t>
      </w:r>
      <w:r w:rsidRPr="00AC7702">
        <w:rPr>
          <w:u w:val="single"/>
        </w:rPr>
        <w:t>PLoS One</w:t>
      </w:r>
      <w:r w:rsidRPr="00AC7702">
        <w:t xml:space="preserve"> </w:t>
      </w:r>
      <w:r w:rsidRPr="00AC7702">
        <w:rPr>
          <w:b/>
        </w:rPr>
        <w:t>12</w:t>
      </w:r>
      <w:r w:rsidRPr="00AC7702">
        <w:t>(11): e0187399.</w:t>
      </w:r>
    </w:p>
    <w:p w14:paraId="7A96701E" w14:textId="77777777" w:rsidR="00AC7702" w:rsidRPr="00AC7702" w:rsidRDefault="00AC7702" w:rsidP="00AC7702">
      <w:pPr>
        <w:pStyle w:val="EndNoteBibliography"/>
        <w:spacing w:after="360"/>
      </w:pPr>
      <w:r w:rsidRPr="00AC7702">
        <w:t xml:space="preserve">Yong-da Wu, S., M. P. Wang, W. H. Li, A. C. Kwong, V. W. Lai and T. H. Lam (2018). "Does Electronic Cigarette Use Predict Abstinence from Conventional Cigarettes among Smokers in Hong Kong?" </w:t>
      </w:r>
      <w:r w:rsidRPr="00AC7702">
        <w:rPr>
          <w:u w:val="single"/>
        </w:rPr>
        <w:t>International Journal of Environmental Research and Public Health</w:t>
      </w:r>
      <w:r w:rsidRPr="00AC7702">
        <w:t xml:space="preserve"> </w:t>
      </w:r>
      <w:r w:rsidRPr="00AC7702">
        <w:rPr>
          <w:b/>
        </w:rPr>
        <w:t>15</w:t>
      </w:r>
      <w:r w:rsidRPr="00AC7702">
        <w:t>(3).</w:t>
      </w:r>
    </w:p>
    <w:p w14:paraId="682280A3" w14:textId="77777777" w:rsidR="00AC7702" w:rsidRPr="00AC7702" w:rsidRDefault="00AC7702" w:rsidP="00AC7702">
      <w:pPr>
        <w:pStyle w:val="EndNoteBibliography"/>
        <w:spacing w:after="360"/>
      </w:pPr>
      <w:r w:rsidRPr="00AC7702">
        <w:lastRenderedPageBreak/>
        <w:t xml:space="preserve">Yuke, K., P. Ford, W. Foley, A. Mutch, L. Fitzgerald and C. Gartner (2018). "Australian urban Indigenous smokers' perspectives on nicotine products and tobacco harm reduction." </w:t>
      </w:r>
      <w:r w:rsidRPr="00AC7702">
        <w:rPr>
          <w:u w:val="single"/>
        </w:rPr>
        <w:t>Drug Alcohol Rev</w:t>
      </w:r>
      <w:r w:rsidRPr="00AC7702">
        <w:t xml:space="preserve"> </w:t>
      </w:r>
      <w:r w:rsidRPr="00AC7702">
        <w:rPr>
          <w:b/>
        </w:rPr>
        <w:t>37</w:t>
      </w:r>
      <w:r w:rsidRPr="00AC7702">
        <w:t>(1): 87-96.</w:t>
      </w:r>
    </w:p>
    <w:p w14:paraId="411DF7AE" w14:textId="77777777" w:rsidR="00AC7702" w:rsidRPr="00AC7702" w:rsidRDefault="00AC7702" w:rsidP="00AC7702">
      <w:pPr>
        <w:pStyle w:val="EndNoteBibliography"/>
      </w:pPr>
      <w:r w:rsidRPr="00AC7702">
        <w:t xml:space="preserve">Zhu, S. H., Y. L. Zhuang, S. S. Wong, S. E. Cummins and G. J. Tedeschi (2017). "E-cigarette use and associated changes in population smoking cessation: evidence from US current population surveys." </w:t>
      </w:r>
      <w:r w:rsidRPr="00AC7702">
        <w:rPr>
          <w:u w:val="single"/>
        </w:rPr>
        <w:t>Bmj-British Medical Journal</w:t>
      </w:r>
      <w:r w:rsidRPr="00AC7702">
        <w:t xml:space="preserve"> </w:t>
      </w:r>
      <w:r w:rsidRPr="00AC7702">
        <w:rPr>
          <w:b/>
        </w:rPr>
        <w:t>358</w:t>
      </w:r>
      <w:r w:rsidRPr="00AC7702">
        <w:t>.</w:t>
      </w:r>
    </w:p>
    <w:p w14:paraId="31BB7C69" w14:textId="0EADEB06" w:rsidR="0075622F" w:rsidRDefault="00EA178A" w:rsidP="00F74F02">
      <w:pPr>
        <w:pStyle w:val="BodyText"/>
        <w:rPr>
          <w:sz w:val="18"/>
        </w:rPr>
      </w:pPr>
      <w:r>
        <w:rPr>
          <w:sz w:val="18"/>
        </w:rPr>
        <w:fldChar w:fldCharType="end"/>
      </w:r>
    </w:p>
    <w:p w14:paraId="00A0A07D" w14:textId="77777777" w:rsidR="0075622F" w:rsidRDefault="0075622F">
      <w:pPr>
        <w:spacing w:after="0"/>
        <w:rPr>
          <w:sz w:val="18"/>
        </w:rPr>
      </w:pPr>
      <w:r>
        <w:rPr>
          <w:sz w:val="18"/>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337"/>
        <w:gridCol w:w="457"/>
        <w:gridCol w:w="4961"/>
      </w:tblGrid>
      <w:tr w:rsidR="0075622F" w14:paraId="150E81ED" w14:textId="77777777" w:rsidTr="003143D2">
        <w:trPr>
          <w:trHeight w:hRule="exact" w:val="992"/>
        </w:trPr>
        <w:tc>
          <w:tcPr>
            <w:tcW w:w="8755" w:type="dxa"/>
            <w:gridSpan w:val="3"/>
          </w:tcPr>
          <w:p w14:paraId="2D3994CF" w14:textId="77777777" w:rsidR="0075622F" w:rsidRPr="005F573F" w:rsidRDefault="0075622F" w:rsidP="003143D2">
            <w:pPr>
              <w:pStyle w:val="BackCoverContactDetails"/>
            </w:pPr>
            <w:r>
              <w:rPr>
                <w:noProof/>
              </w:rPr>
              <w:lastRenderedPageBreak/>
              <mc:AlternateContent>
                <mc:Choice Requires="wpg">
                  <w:drawing>
                    <wp:anchor distT="0" distB="0" distL="114300" distR="114300" simplePos="0" relativeHeight="251658247" behindDoc="1" locked="1" layoutInCell="1" allowOverlap="1" wp14:anchorId="6D32BCB3" wp14:editId="4E7E0082">
                      <wp:simplePos x="0" y="0"/>
                      <wp:positionH relativeFrom="column">
                        <wp:posOffset>-806450</wp:posOffset>
                      </wp:positionH>
                      <wp:positionV relativeFrom="page">
                        <wp:posOffset>-1014095</wp:posOffset>
                      </wp:positionV>
                      <wp:extent cx="7695565" cy="10968355"/>
                      <wp:effectExtent l="0" t="1270" r="1270" b="3175"/>
                      <wp:wrapNone/>
                      <wp:docPr id="84" name="Group 938" descr="backgrou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5565" cy="10968355"/>
                                <a:chOff x="-136" y="-465"/>
                                <a:chExt cx="12119" cy="17273"/>
                              </a:xfrm>
                            </wpg:grpSpPr>
                            <wps:wsp>
                              <wps:cNvPr id="85" name="Rectangle 816" descr="background"/>
                              <wps:cNvSpPr>
                                <a:spLocks noChangeAspect="1" noChangeArrowheads="1"/>
                              </wps:cNvSpPr>
                              <wps:spPr bwMode="auto">
                                <a:xfrm>
                                  <a:off x="-75" y="-465"/>
                                  <a:ext cx="12008" cy="17273"/>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b" anchorCtr="0" upright="1">
                                <a:noAutofit/>
                              </wps:bodyPr>
                            </wps:wsp>
                            <wpg:grpSp>
                              <wpg:cNvPr id="86" name="Group 684" descr="background"/>
                              <wpg:cNvGrpSpPr>
                                <a:grpSpLocks/>
                              </wpg:cNvGrpSpPr>
                              <wpg:grpSpPr bwMode="auto">
                                <a:xfrm>
                                  <a:off x="-136" y="913"/>
                                  <a:ext cx="12119" cy="830"/>
                                  <a:chOff x="0" y="0"/>
                                  <a:chExt cx="89528" cy="6261"/>
                                </a:xfrm>
                              </wpg:grpSpPr>
                              <wps:wsp>
                                <wps:cNvPr id="87" name="AutoShape 26"/>
                                <wps:cNvSpPr>
                                  <a:spLocks noChangeAspect="1" noChangeArrowheads="1"/>
                                </wps:cNvSpPr>
                                <wps:spPr bwMode="auto">
                                  <a:xfrm>
                                    <a:off x="0" y="0"/>
                                    <a:ext cx="89528" cy="6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Rectangle 34"/>
                                <wps:cNvSpPr>
                                  <a:spLocks noChangeArrowheads="1"/>
                                </wps:cNvSpPr>
                                <wps:spPr bwMode="auto">
                                  <a:xfrm>
                                    <a:off x="146" y="190"/>
                                    <a:ext cx="89223" cy="5950"/>
                                  </a:xfrm>
                                  <a:prstGeom prst="rect">
                                    <a:avLst/>
                                  </a:prstGeom>
                                  <a:solidFill>
                                    <a:srgbClr val="C8C7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89" name="Group 91"/>
                                <wpg:cNvGrpSpPr>
                                  <a:grpSpLocks/>
                                </wpg:cNvGrpSpPr>
                                <wpg:grpSpPr bwMode="auto">
                                  <a:xfrm>
                                    <a:off x="114" y="190"/>
                                    <a:ext cx="89255" cy="5950"/>
                                    <a:chOff x="114" y="190"/>
                                    <a:chExt cx="89255" cy="5950"/>
                                  </a:xfrm>
                                </wpg:grpSpPr>
                                <wps:wsp>
                                  <wps:cNvPr id="90" name="Rectangle 35" descr="background"/>
                                  <wps:cNvSpPr>
                                    <a:spLocks noChangeArrowheads="1"/>
                                  </wps:cNvSpPr>
                                  <wps:spPr bwMode="auto">
                                    <a:xfrm>
                                      <a:off x="146" y="190"/>
                                      <a:ext cx="89223" cy="595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Rectangle 36" descr="background"/>
                                  <wps:cNvSpPr>
                                    <a:spLocks noChangeArrowheads="1"/>
                                  </wps:cNvSpPr>
                                  <wps:spPr bwMode="auto">
                                    <a:xfrm>
                                      <a:off x="114" y="984"/>
                                      <a:ext cx="89255" cy="5156"/>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5E31C734" id="Group 938" o:spid="_x0000_s1026" alt="background" style="position:absolute;margin-left:-63.5pt;margin-top:-79.85pt;width:605.95pt;height:863.65pt;z-index:-251658233;mso-position-vertical-relative:page" coordorigin="-136,-465" coordsize="12119,17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yaV0AQAAMcXAAAOAAAAZHJzL2Uyb0RvYy54bWzsmG1vqzYUx99P2neweE+DCRCIml61SVNN&#10;6rar3e0DOOAAuoCZTZp20777jo+BkGS9u31Ys01NJWpsbI7/x+fHsc8/3JcFueNS5aKaWfTMsQiv&#10;YpHkVTqzfvl5aYcWUQ2rElaIis+sB66sDxfffnO+rafcFZkoEi4JDFKp6baeWVnT1NPRSMUZL5k6&#10;EzWvoHEtZMkauJXpKJFsC6OXxch1nGC0FTKppYi5UlC7MI3WBY6/XvO4+XG9VrwhxcwC2xq8Sryu&#10;9HV0cc6mqWR1lsetGewZVpQsr+Cl/VAL1jCykfnRUGUeS6HEujmLRTkS63Uec5wDzIY6B7O5kWJT&#10;41zS6Tate5lA2gOdnj1s/MPdR0nyZGaFnkUqVoKP8LUkGoPrEq5iUGvF4s8pGFMlWrBtnU6h342s&#10;P9UfpZk1FG9F/FlB8+iwXd+n5mGy2n4vEngH2zQCBbtfy1IPAVKQe/TLQ+8Xft+QGConQeT7gW+R&#10;GNqoEwXh2PeN6+IM/Ks72nQcWATabQ+eRLfG2XU7AHUpjdruE3cy1u0jNjXvRntb+/TkYCGqndbq&#10;ZVp/yljN0YVKa9ZpDXMxWv8EK5RVacFJSMH+R/TGvp3YyihNKjHPoCu/VDUMAsLAmF2VlGKbcZaA&#10;9RQnq6cF7zdj6BsFrvtbb9gTMHRP084lFIIP1gc65EhRNq2lam64KIkuzCwJBqK32d2taoz43SPa&#10;+UoUebLMiwJvdOzzeSHJHYOoXaUudi02JSwdU0cd/TNehnq9BPBZrALHIj70EOjmvdGLSr+jEvpt&#10;xhBTAxMD03SbniKG7u8RdT3nyo3sZRBObG/p+XY0cULbodFVFDhe5C2Wf2jjqDfN8iTh1W1e8Q4j&#10;1Pu6pdMCzQAAQUK2MyvyXR/nvWe9kumqVwZF6Kc8lLDMG6BqkZcQ1gOp9Iq4rhIMjoblhSmP9s1H&#10;yUCD7j+qAjFilowJkJVIHmD5SAG+BaoC/6GQCfmbRbbA0pmlft0wyS1SfFfBEtTg7QqyK6y6Aqti&#10;6AqOtogpzhsD6E0t8zSDkSkKUYlLgMY6x/Wj7TFWgJ36BmLWkAkjuYdUF3AQW0O4BZp2jwTbPwe3&#10;nlERRQSZtaYJNwBUOG4Xdo82kG/HxB3UQlgibQgGbmDC/JRMm3QSazch94gb6BjV7unZA8H5dvza&#10;U65D15d0ezK5epCw6ZPI4kTX4XXo2Z4bXNues1jYl8u5ZwdLOvEX48V8vqD7ZNG8ejlZkK9DUuwB&#10;ZYm/9uM44M6AEAbSgFgkxDssdRrxurCMqOf1wPT8iQs3BpptiwFn29LBs3kNeL5F5gPEOsx8xt7X&#10;UOKVUhrqmTSRRi1md1hw3bHJaPzI7z6rXXraZSvPSmiGH+15OJ/MJ8cx9kR+vGcmbb72sszkhMHW&#10;7omOMhXYpwwzlQg/7IdbKr3RfK0tF6WQC+mN1V9EBGyzMMfvIoJN+6zkqNswM3EPO55ytwXzOmYO&#10;TOyR/O/Lycr/BENXS/33jqF/xwbphBh6g28+IOw4/p572PFa8ddCL4KNIO6HB2lAzy7q4/6lZ9eT&#10;dweDHHpwKGHOKlgc86oxW9v3sw19CDRMk/4zZxsnC93dsSWegPTpBNbDaTGe37Qn2/o4eniPPXbn&#10;7xd/AgAA//8DAFBLAwQUAAYACAAAACEAxN6COOQAAAAPAQAADwAAAGRycy9kb3ducmV2LnhtbEyP&#10;wW6DMBBE75X6D9ZW6i0xpAUSiomiqO0pqtSkUpSbgzeAgtcIO0D+vubU3ma0o9k32XrUDeuxs7Uh&#10;AeE8AIZUGFVTKeDn8DFbArNOkpKNIRRwRwvr/PEhk6kyA31jv3cl8yVkUymgcq5NObdFhVrauWmR&#10;/O1iOi2dt13JVScHX64bvgiCmGtZk/9QyRa3FRbX/U0L+BzksHkJ3/vd9bK9nw7R13EXohDPT+Pm&#10;DZjD0f2FYcL36JB7prO5kbKsETALF4kf4yYVrRJgUyZYvq6Anb2K4iQGnmf8/478FwAA//8DAFBL&#10;AQItABQABgAIAAAAIQC2gziS/gAAAOEBAAATAAAAAAAAAAAAAAAAAAAAAABbQ29udGVudF9UeXBl&#10;c10ueG1sUEsBAi0AFAAGAAgAAAAhADj9If/WAAAAlAEAAAsAAAAAAAAAAAAAAAAALwEAAF9yZWxz&#10;Ly5yZWxzUEsBAi0AFAAGAAgAAAAhAHNTJpXQBAAAxxcAAA4AAAAAAAAAAAAAAAAALgIAAGRycy9l&#10;Mm9Eb2MueG1sUEsBAi0AFAAGAAgAAAAhAMTegjjkAAAADwEAAA8AAAAAAAAAAAAAAAAAKgcAAGRy&#10;cy9kb3ducmV2LnhtbFBLBQYAAAAABAAEAPMAAAA7CAAAAAA=&#10;">
                      <v:rect id="Rectangle 816" o:spid="_x0000_s1027" alt="background" style="position:absolute;left:-75;top:-465;width:12008;height:1727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iPV8UA&#10;AADbAAAADwAAAGRycy9kb3ducmV2LnhtbESPW2vCQBSE3wv9D8sRfCm6iVKR6Cql0BvUB6Movh2y&#10;xyQ0ezZkNxf/fbdQ8HGYmW+Y9XYwleiocaVlBfE0AkGcWV1yruB4eJssQTiPrLGyTApu5GC7eXxY&#10;Y6Jtz3vqUp+LAGGXoILC+zqR0mUFGXRTWxMH72obgz7IJpe6wT7ATSVnUbSQBksOCwXW9FpQ9pO2&#10;RsH3ZX8ud1R9xU/Zh55HeLq49l2p8Wh4WYHwNPh7+L/9qRUsn+HvS/gB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OI9XxQAAANsAAAAPAAAAAAAAAAAAAAAAAJgCAABkcnMv&#10;ZG93bnJldi54bWxQSwUGAAAAAAQABAD1AAAAigMAAAAA&#10;" fillcolor="white [3214]" stroked="f">
                        <o:lock v:ext="edit" aspectratio="t"/>
                        <v:textbox inset="0,0,0,0"/>
                      </v:rect>
                      <v:group id="Group 684" o:spid="_x0000_s1028" alt="background" style="position:absolute;left:-136;top:913;width:12119;height:830" coordsize="89528,6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rect id="AutoShape 26" o:spid="_x0000_s1029" style="position:absolute;width:89528;height:6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67MUA&#10;AADbAAAADwAAAGRycy9kb3ducmV2LnhtbESPT2vCQBTE74LfYXlCL1I3eqghdRURxFAKYvxzfmRf&#10;k9Ds25hdk/TbdwsFj8PM/IZZbQZTi45aV1lWMJ9FIIhzqysuFFzO+9cYhPPIGmvLpOCHHGzW49EK&#10;E217PlGX+UIECLsEFZTeN4mULi/JoJvZhjh4X7Y16INsC6lb7APc1HIRRW/SYMVhocSGdiXl39nD&#10;KOjzY3c7fx7kcXpLLd/T+y67fij1Mhm27yA8Df4Z/m+nWkG8hL8v4Q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7/rsxQAAANsAAAAPAAAAAAAAAAAAAAAAAJgCAABkcnMv&#10;ZG93bnJldi54bWxQSwUGAAAAAAQABAD1AAAAigMAAAAA&#10;" filled="f" stroked="f">
                          <o:lock v:ext="edit" aspectratio="t"/>
                        </v:rect>
                        <v:rect id="Rectangle 34" o:spid="_x0000_s1030" style="position:absolute;left:146;top:190;width:89223;height:5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7OA8EA&#10;AADbAAAADwAAAGRycy9kb3ducmV2LnhtbERPW2vCMBR+H/gfwhn4UjSdwpDOKEPZEARh3p4PzVkT&#10;bE5qk9X6782DsMeP7z5f9q4WHbXBelbwNs5BEJdeW64UHA9foxmIEJE11p5JwZ0CLBeDlzkW2t/4&#10;h7p9rEQK4VCgAhNjU0gZSkMOw9g3xIn79a3DmGBbSd3iLYW7Wk7y/F06tJwaDDa0MlRe9n9OweT+&#10;vW7sbhMuZ9tn2+spM9MuU2r42n9+gIjUx3/x073RCmZpbPqSfoB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5ezgPBAAAA2wAAAA8AAAAAAAAAAAAAAAAAmAIAAGRycy9kb3du&#10;cmV2LnhtbFBLBQYAAAAABAAEAPUAAACGAwAAAAA=&#10;" fillcolor="#c8c7c7" stroked="f"/>
                        <v:group id="Group 91" o:spid="_x0000_s1031" style="position:absolute;left:114;top:190;width:89255;height:5950" coordorigin="114,190" coordsize="89255,5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rect id="Rectangle 35" o:spid="_x0000_s1032" alt="background" style="position:absolute;left:146;top:190;width:89223;height:5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yGLMEA&#10;AADbAAAADwAAAGRycy9kb3ducmV2LnhtbERPTYvCMBC9C/6HMMJeyprqgmjXKCrKetPq4nloZtti&#10;MylNtHV/vTkIHh/ve77sTCXu1LjSsoLRMAZBnFldcq7g97z7nIJwHlljZZkUPMjBctHvzTHRtuWU&#10;7iefixDCLkEFhfd1IqXLCjLohrYmDtyfbQz6AJtc6gbbEG4qOY7jiTRYcmgosKZNQdn1dDMKovrr&#10;sm7/j/vosIsf259LOsujTqmPQbf6BuGp82/xy73XCmZhffgSfo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hizBAAAA2wAAAA8AAAAAAAAAAAAAAAAAmAIAAGRycy9kb3du&#10;cmV2LnhtbFBLBQYAAAAABAAEAPUAAACGAwAAAAA=&#10;" fillcolor="#bfbfbf" stroked="f"/>
                          <v:rect id="Rectangle 36" o:spid="_x0000_s1033" alt="background" style="position:absolute;left:114;top:984;width:89255;height:5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LE8QA&#10;AADbAAAADwAAAGRycy9kb3ducmV2LnhtbESPQWvCQBSE7wX/w/IK3urGHqSNrhIKUtGDGAU9vmZf&#10;syHZtyG7xvjvu4LQ4zAz3zCL1WAb0VPnK8cKppMEBHHhdMWlgtNx/fYBwgdkjY1jUnAnD6vl6GWB&#10;qXY3PlCfh1JECPsUFZgQ2lRKXxiy6CeuJY7er+sshii7UuoObxFuG/meJDNpseK4YLClL0NFnV+t&#10;gs0lC9/bn+vWnbNDne/Mvq/rvVLj1yGbgwg0hP/ws73RCj6n8PgSf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ixPEAAAA2wAAAA8AAAAAAAAAAAAAAAAAmAIAAGRycy9k&#10;b3ducmV2LnhtbFBLBQYAAAAABAAEAPUAAACJAwAAAAA=&#10;" fillcolor="#00a9ce [3204]" stroked="f"/>
                        </v:group>
                      </v:group>
                      <w10:wrap anchory="page"/>
                      <w10:anchorlock/>
                    </v:group>
                  </w:pict>
                </mc:Fallback>
              </mc:AlternateContent>
            </w:r>
            <w:r>
              <w:rPr>
                <w:noProof/>
              </w:rPr>
              <mc:AlternateContent>
                <mc:Choice Requires="wps">
                  <w:drawing>
                    <wp:anchor distT="0" distB="0" distL="114300" distR="114300" simplePos="0" relativeHeight="251658246" behindDoc="1" locked="0" layoutInCell="1" allowOverlap="1" wp14:anchorId="52E66134" wp14:editId="6B2BE9E5">
                      <wp:simplePos x="0" y="0"/>
                      <wp:positionH relativeFrom="column">
                        <wp:posOffset>-759460</wp:posOffset>
                      </wp:positionH>
                      <wp:positionV relativeFrom="paragraph">
                        <wp:posOffset>-746125</wp:posOffset>
                      </wp:positionV>
                      <wp:extent cx="7598410" cy="7686675"/>
                      <wp:effectExtent l="0" t="2540" r="3810" b="0"/>
                      <wp:wrapNone/>
                      <wp:docPr id="92" name="Rectangle 680" descr="background element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8410" cy="7686675"/>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7D1EDB" id="Rectangle 680" o:spid="_x0000_s1026" alt="background elements" style="position:absolute;margin-left:-59.8pt;margin-top:-58.75pt;width:598.3pt;height:605.25pt;z-index:-251658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XtX3wIAAAAGAAAOAAAAZHJzL2Uyb0RvYy54bWysVNtu1DAQfUfiHyy/p7mQzSZRs1XZC0Iq&#10;UFH4AK/jbKw6drC9mxbEvzN2uttseUFAHiJ7xp6Zc3xmLq8eOoEOTBuuZIXjiwgjJqmqudxV+OuX&#10;TZBjZCyRNRFKsgo/MoOvFq9fXQ59yRLVKlEzjSCINOXQV7i1ti/D0NCWdcRcqJ5JcDZKd8TCVu/C&#10;WpMBonciTKIoCwel614ryowB62p04oWP3zSM2k9NY5hFosJQm/V/7f9b9w8Xl6TcadK3nD6VQf6i&#10;io5wCUlPoVbEErTX/LdQHadaGdXYC6q6UDUNp8xjADRx9ALNXUt65rEAOaY/0WT+X1j68XCrEa8r&#10;XCQYSdLBG30G1ojcCYayHDirmaHA2JbQ+51We1kjJljHpDWOvaE3JQS562+1w2/6G0XvDZJq2UIM&#10;dq21GlpGaqg5dufDswtuY+Aq2g4fVA25yd4qT+RDozsXEChCD/69Hk/vxR4somCcz4o8jaFECr55&#10;lmfZfOZzkPJ4vdfGvmOqQ25RYQ3QfHhyuDHWlUPK4xGXTaoNF8KLQsgzAxwcLZAcrjqfK8O/8Y8i&#10;Ktb5Ok+DNMnWQRqtVsH1ZpkG2Saez1ZvVsvlKv7p8sZp2fK6ZtKlOeotTv/sPZ+UPyrlpDijBK9d&#10;OFeS7xu2FBodCCieUArvFHvEYt8BxaM9jtw3ih/s0CKj3ZsA6SmMJ2iSITxH4N1Awws24iSN3iZF&#10;sMnyeZBu0llQzKM8iOLibZFFaZGuNuds3HDJ/p0NNICKZ8nMw50UDXj0bnsixWM/IZ2y13ELw0jw&#10;rsL5hCEn37WsvSos4WJcT6hw5T9TAfwdNeLF7vQ99slW1Y+gda1AiaBaGJuwaJX+jtEAI6jC5tue&#10;aIaReC+hX4o4Td3M8pt0Nk9go6ee7dRDJIVQFbYYjculHefcvtd810KmUQdSXUOPNdyr3/XfWBXU&#10;7zYwZjySp5Ho5th07089D+7FLwAAAP//AwBQSwMEFAAGAAgAAAAhAL9x4dLeAAAADwEAAA8AAABk&#10;cnMvZG93bnJldi54bWxMj0FPhDAQhe8m/odmTLyY3RY3LC5SNhsTz0bWvRc6ApFOSVtY/PcWL3p7&#10;k3nz5nvFcTEDm9H53pKEZCuAITVW99RK+Di/bp6A+aBIq8ESSvhGD8fy9qZQubZXese5Ci2LIeRz&#10;JaELYcw5902HRvmtHZHi7tM6o0IcXcu1U9cYbgb+KMSeG9VT/NCpEV86bL6qyUSMdBatONn0zYXd&#10;VFf+Mj6cL1Le3y2nZ2ABl/BnhhU/3kAZmWo7kfZskLBJksM+en9VlgJbPSLLYsF6VYedAF4W/H+P&#10;8gcAAP//AwBQSwECLQAUAAYACAAAACEAtoM4kv4AAADhAQAAEwAAAAAAAAAAAAAAAAAAAAAAW0Nv&#10;bnRlbnRfVHlwZXNdLnhtbFBLAQItABQABgAIAAAAIQA4/SH/1gAAAJQBAAALAAAAAAAAAAAAAAAA&#10;AC8BAABfcmVscy8ucmVsc1BLAQItABQABgAIAAAAIQA2LXtX3wIAAAAGAAAOAAAAAAAAAAAAAAAA&#10;AC4CAABkcnMvZTJvRG9jLnhtbFBLAQItABQABgAIAAAAIQC/ceHS3gAAAA8BAAAPAAAAAAAAAAAA&#10;AAAAADkFAABkcnMvZG93bnJldi54bWxQSwUGAAAAAAQABADzAAAARAYAAAAA&#10;" filled="f" fillcolor="#00a9ce [3204]" stroked="f"/>
                  </w:pict>
                </mc:Fallback>
              </mc:AlternateContent>
            </w:r>
          </w:p>
        </w:tc>
      </w:tr>
      <w:tr w:rsidR="0075622F" w14:paraId="4703FC8D" w14:textId="77777777" w:rsidTr="003143D2">
        <w:tc>
          <w:tcPr>
            <w:tcW w:w="3337" w:type="dxa"/>
          </w:tcPr>
          <w:p w14:paraId="689B0CF7" w14:textId="77777777" w:rsidR="0075622F" w:rsidRPr="00585C0D" w:rsidRDefault="0075622F" w:rsidP="003143D2">
            <w:pPr>
              <w:pStyle w:val="BackCoverContactHeading"/>
            </w:pPr>
            <w:r w:rsidRPr="00585C0D">
              <w:t>CONTACT US</w:t>
            </w:r>
          </w:p>
          <w:p w14:paraId="1F4D5A34" w14:textId="77777777" w:rsidR="0075622F" w:rsidRPr="00585C0D" w:rsidRDefault="0075622F" w:rsidP="003143D2">
            <w:pPr>
              <w:pStyle w:val="BackCoverContactDetails"/>
            </w:pPr>
            <w:r w:rsidRPr="00585C0D">
              <w:rPr>
                <w:rStyle w:val="BackCoverContactBold"/>
                <w:szCs w:val="22"/>
              </w:rPr>
              <w:t>t</w:t>
            </w:r>
            <w:r w:rsidRPr="00585C0D">
              <w:t xml:space="preserve"> </w:t>
            </w:r>
            <w:r w:rsidRPr="00585C0D">
              <w:tab/>
              <w:t>1300 363 400</w:t>
            </w:r>
          </w:p>
          <w:p w14:paraId="758A3F6D" w14:textId="77777777" w:rsidR="0075622F" w:rsidRPr="00585C0D" w:rsidRDefault="0075622F" w:rsidP="003143D2">
            <w:pPr>
              <w:pStyle w:val="BackCoverContactDetails"/>
              <w:rPr>
                <w:szCs w:val="22"/>
              </w:rPr>
            </w:pPr>
            <w:r w:rsidRPr="00585C0D">
              <w:tab/>
              <w:t>+61 3 9545 2176</w:t>
            </w:r>
          </w:p>
          <w:p w14:paraId="53B01DD3" w14:textId="77777777" w:rsidR="0075622F" w:rsidRPr="00585C0D" w:rsidRDefault="0075622F" w:rsidP="003143D2">
            <w:pPr>
              <w:pStyle w:val="BackCoverContactDetails"/>
            </w:pPr>
            <w:r w:rsidRPr="00585C0D">
              <w:rPr>
                <w:rStyle w:val="BackCoverContactBold"/>
                <w:szCs w:val="22"/>
              </w:rPr>
              <w:t>e</w:t>
            </w:r>
            <w:r w:rsidRPr="00585C0D">
              <w:t xml:space="preserve"> </w:t>
            </w:r>
            <w:r w:rsidRPr="00585C0D">
              <w:tab/>
            </w:r>
            <w:r>
              <w:t>csiro</w:t>
            </w:r>
            <w:r w:rsidRPr="00585C0D">
              <w:t>enquiries@csiro.au</w:t>
            </w:r>
          </w:p>
          <w:p w14:paraId="267510C7" w14:textId="77777777" w:rsidR="0075622F" w:rsidRPr="00585C0D" w:rsidRDefault="0075622F" w:rsidP="003143D2">
            <w:pPr>
              <w:pStyle w:val="BackCoverContactDetails"/>
            </w:pPr>
            <w:r w:rsidRPr="00585C0D">
              <w:rPr>
                <w:rStyle w:val="BackCoverContactBold"/>
                <w:szCs w:val="22"/>
              </w:rPr>
              <w:t>w</w:t>
            </w:r>
            <w:r w:rsidRPr="00585C0D">
              <w:t xml:space="preserve"> </w:t>
            </w:r>
            <w:r w:rsidRPr="00585C0D">
              <w:tab/>
              <w:t>www.csiro.au</w:t>
            </w:r>
          </w:p>
          <w:p w14:paraId="7411760F" w14:textId="77777777" w:rsidR="0075622F" w:rsidRPr="00585C0D" w:rsidRDefault="0075622F" w:rsidP="003143D2">
            <w:pPr>
              <w:pStyle w:val="BackCoverContactHeading"/>
            </w:pPr>
            <w:r w:rsidRPr="00585C0D">
              <w:t>At CSIRO</w:t>
            </w:r>
            <w:r w:rsidRPr="00192293">
              <w:t xml:space="preserve">, we do the </w:t>
            </w:r>
            <w:r>
              <w:br/>
            </w:r>
            <w:r w:rsidRPr="00192293">
              <w:t>extraordinary every day</w:t>
            </w:r>
            <w:r w:rsidRPr="00585C0D">
              <w:t xml:space="preserve"> </w:t>
            </w:r>
          </w:p>
          <w:p w14:paraId="5CEB207F" w14:textId="77777777" w:rsidR="0075622F" w:rsidRDefault="0075622F" w:rsidP="003143D2">
            <w:pPr>
              <w:pStyle w:val="BackCoverContactDetails"/>
              <w:spacing w:after="60"/>
            </w:pPr>
            <w:r>
              <w:t xml:space="preserve">We innovate for tomorrow and help improve today – for our customers, all Australians and the world. </w:t>
            </w:r>
          </w:p>
          <w:p w14:paraId="434A9C80" w14:textId="77777777" w:rsidR="0075622F" w:rsidRDefault="0075622F" w:rsidP="003143D2">
            <w:pPr>
              <w:pStyle w:val="BackCoverContactDetails"/>
              <w:spacing w:after="60"/>
            </w:pPr>
            <w:r>
              <w:t xml:space="preserve">Our innovations contribute billions of dollars to the Australian economy </w:t>
            </w:r>
            <w:r>
              <w:br/>
              <w:t xml:space="preserve">every year. As the largest patent holder </w:t>
            </w:r>
            <w:r>
              <w:br/>
              <w:t xml:space="preserve">in the nation, our vast wealth of intellectual property has led to more </w:t>
            </w:r>
            <w:r>
              <w:br/>
              <w:t xml:space="preserve">than 150 spin-off companies. </w:t>
            </w:r>
          </w:p>
          <w:p w14:paraId="2062B7B7" w14:textId="77777777" w:rsidR="0075622F" w:rsidRDefault="0075622F" w:rsidP="003143D2">
            <w:pPr>
              <w:pStyle w:val="BackCoverContactDetails"/>
              <w:spacing w:after="60"/>
            </w:pPr>
            <w:r>
              <w:t xml:space="preserve">With more than 5,000 experts and a burning desire to get things done, we are Australia’s catalyst for innovation. </w:t>
            </w:r>
          </w:p>
          <w:p w14:paraId="062E9976" w14:textId="77777777" w:rsidR="0075622F" w:rsidRPr="00585C0D" w:rsidRDefault="0075622F" w:rsidP="003143D2">
            <w:pPr>
              <w:pStyle w:val="BackCoverContactDetails"/>
            </w:pPr>
            <w:r>
              <w:t xml:space="preserve">CSIRO. WE IMAGINE. WE COLLABORATE. </w:t>
            </w:r>
            <w:r>
              <w:br/>
              <w:t>WE INNOVATE.</w:t>
            </w:r>
          </w:p>
        </w:tc>
        <w:tc>
          <w:tcPr>
            <w:tcW w:w="457" w:type="dxa"/>
          </w:tcPr>
          <w:p w14:paraId="44C1FD43" w14:textId="77777777" w:rsidR="0075622F" w:rsidRPr="00585C0D" w:rsidRDefault="0075622F" w:rsidP="003143D2">
            <w:pPr>
              <w:pStyle w:val="BackCoverContactHeading"/>
            </w:pPr>
          </w:p>
        </w:tc>
        <w:tc>
          <w:tcPr>
            <w:tcW w:w="4961" w:type="dxa"/>
          </w:tcPr>
          <w:p w14:paraId="611DD26C" w14:textId="77777777" w:rsidR="0075622F" w:rsidRPr="00585C0D" w:rsidRDefault="0075622F" w:rsidP="003143D2">
            <w:pPr>
              <w:pStyle w:val="BackCoverContactHeading"/>
            </w:pPr>
            <w:r w:rsidRPr="00585C0D">
              <w:t>For further information</w:t>
            </w:r>
          </w:p>
          <w:p w14:paraId="501E6654" w14:textId="77777777" w:rsidR="0075622F" w:rsidRPr="002B15B7" w:rsidRDefault="0075622F" w:rsidP="003143D2">
            <w:pPr>
              <w:pStyle w:val="BackCoverContactDetails"/>
              <w:rPr>
                <w:rStyle w:val="BackCoverContactBold"/>
              </w:rPr>
            </w:pPr>
            <w:r>
              <w:rPr>
                <w:rStyle w:val="BackCoverContactBold"/>
              </w:rPr>
              <w:t>Health and Biosecurity</w:t>
            </w:r>
          </w:p>
          <w:p w14:paraId="39489057" w14:textId="77777777" w:rsidR="0075622F" w:rsidRPr="00585C0D" w:rsidRDefault="0075622F" w:rsidP="003143D2">
            <w:pPr>
              <w:pStyle w:val="BackCoverContactDetails"/>
            </w:pPr>
            <w:r>
              <w:t>Malcolm Riley</w:t>
            </w:r>
            <w:r>
              <w:br/>
            </w:r>
            <w:r w:rsidRPr="00585C0D">
              <w:rPr>
                <w:rStyle w:val="BackCoverContactBold"/>
                <w:szCs w:val="22"/>
              </w:rPr>
              <w:t>t</w:t>
            </w:r>
            <w:r w:rsidRPr="00585C0D">
              <w:t xml:space="preserve"> </w:t>
            </w:r>
            <w:r w:rsidRPr="00585C0D">
              <w:tab/>
            </w:r>
            <w:r w:rsidRPr="00CA09F4">
              <w:rPr>
                <w:rStyle w:val="BackCoverContactBold"/>
                <w:b w:val="0"/>
              </w:rPr>
              <w:t xml:space="preserve">+61 </w:t>
            </w:r>
            <w:r>
              <w:rPr>
                <w:rStyle w:val="BackCoverContactBold"/>
                <w:b w:val="0"/>
              </w:rPr>
              <w:t>8303 8989</w:t>
            </w:r>
          </w:p>
          <w:p w14:paraId="2FD61BB2" w14:textId="77777777" w:rsidR="0075622F" w:rsidRPr="00585C0D" w:rsidRDefault="0075622F" w:rsidP="003143D2">
            <w:pPr>
              <w:pStyle w:val="BackCoverContactDetails"/>
            </w:pPr>
            <w:r w:rsidRPr="00585C0D">
              <w:rPr>
                <w:rStyle w:val="BackCoverContactBold"/>
                <w:szCs w:val="22"/>
              </w:rPr>
              <w:t>e</w:t>
            </w:r>
            <w:r w:rsidRPr="00585C0D">
              <w:t xml:space="preserve"> </w:t>
            </w:r>
            <w:r w:rsidRPr="00585C0D">
              <w:tab/>
            </w:r>
            <w:r w:rsidRPr="00CA09F4">
              <w:rPr>
                <w:rStyle w:val="BackCoverContactBold"/>
                <w:b w:val="0"/>
              </w:rPr>
              <w:t>first.last@csiro.au</w:t>
            </w:r>
          </w:p>
          <w:p w14:paraId="43F13715" w14:textId="79922BD5" w:rsidR="0075622F" w:rsidRDefault="0075622F" w:rsidP="003143D2">
            <w:pPr>
              <w:pStyle w:val="BackCoverContactDetails"/>
              <w:rPr>
                <w:rStyle w:val="BackCoverContactBold"/>
                <w:b w:val="0"/>
              </w:rPr>
            </w:pPr>
            <w:r w:rsidRPr="00585C0D">
              <w:rPr>
                <w:rStyle w:val="BackCoverContactBold"/>
                <w:szCs w:val="22"/>
              </w:rPr>
              <w:t>w</w:t>
            </w:r>
            <w:r w:rsidRPr="00585C0D">
              <w:t xml:space="preserve"> </w:t>
            </w:r>
            <w:r w:rsidRPr="00585C0D">
              <w:tab/>
            </w:r>
            <w:r w:rsidRPr="002B15B7">
              <w:rPr>
                <w:rStyle w:val="BackCoverContactBold"/>
                <w:b w:val="0"/>
              </w:rPr>
              <w:t>www.csiro.au</w:t>
            </w:r>
            <w:bookmarkStart w:id="354" w:name="_GoBack"/>
            <w:bookmarkEnd w:id="354"/>
          </w:p>
          <w:p w14:paraId="17DAFC0B" w14:textId="77777777" w:rsidR="0075622F" w:rsidRPr="00585C0D" w:rsidRDefault="0075622F" w:rsidP="003143D2">
            <w:pPr>
              <w:pStyle w:val="BackCoverContactDetails"/>
            </w:pPr>
          </w:p>
        </w:tc>
      </w:tr>
    </w:tbl>
    <w:p w14:paraId="7EFC7CCB" w14:textId="47F99B1C" w:rsidR="00F74F02" w:rsidRDefault="00F74F02" w:rsidP="00F74F02">
      <w:pPr>
        <w:pStyle w:val="BodyText"/>
        <w:rPr>
          <w:sz w:val="18"/>
        </w:rPr>
      </w:pPr>
    </w:p>
    <w:sectPr w:rsidR="00F74F02" w:rsidSect="000376C7">
      <w:footerReference w:type="even" r:id="rId62"/>
      <w:footerReference w:type="default" r:id="rId63"/>
      <w:pgSz w:w="11906" w:h="16838" w:code="9"/>
      <w:pgMar w:top="1106" w:right="1134" w:bottom="1134" w:left="1134" w:header="510" w:footer="624" w:gutter="0"/>
      <w:cols w:space="28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29CC8E" w14:textId="77777777" w:rsidR="00013E76" w:rsidRDefault="00013E76" w:rsidP="009964E7">
      <w:r>
        <w:separator/>
      </w:r>
    </w:p>
    <w:p w14:paraId="2C9921EE" w14:textId="77777777" w:rsidR="00013E76" w:rsidRDefault="00013E76"/>
  </w:endnote>
  <w:endnote w:type="continuationSeparator" w:id="0">
    <w:p w14:paraId="5AE07295" w14:textId="77777777" w:rsidR="00013E76" w:rsidRDefault="00013E76" w:rsidP="009964E7">
      <w:r>
        <w:continuationSeparator/>
      </w:r>
    </w:p>
    <w:p w14:paraId="6F989C50" w14:textId="77777777" w:rsidR="00013E76" w:rsidRDefault="00013E76"/>
  </w:endnote>
  <w:endnote w:type="continuationNotice" w:id="1">
    <w:p w14:paraId="52D1F440" w14:textId="77777777" w:rsidR="00013E76" w:rsidRDefault="00013E7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Feijoa Medium">
    <w:altName w:val="Arial"/>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8B1AAD" w14:textId="77777777" w:rsidR="0048064B" w:rsidRDefault="0048064B" w:rsidP="00AE0D97">
    <w:pPr>
      <w:pStyle w:val="Footer"/>
      <w:tabs>
        <w:tab w:val="clear" w:pos="4513"/>
        <w:tab w:val="clear" w:pos="9026"/>
      </w:tabs>
    </w:pPr>
    <w:r>
      <w:t>CSIRO</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5BF68A" w14:textId="5E11E430" w:rsidR="0048064B" w:rsidRDefault="0048064B" w:rsidP="00AE0D97">
    <w:pPr>
      <w:pStyle w:val="Footer"/>
      <w:tabs>
        <w:tab w:val="clear" w:pos="4513"/>
        <w:tab w:val="clear" w:pos="9026"/>
      </w:tabs>
      <w:jc w:val="right"/>
    </w:pPr>
    <w:r>
      <w:rPr>
        <w:noProof/>
      </w:rPr>
      <w:fldChar w:fldCharType="begin"/>
    </w:r>
    <w:r>
      <w:rPr>
        <w:noProof/>
      </w:rPr>
      <w:instrText xml:space="preserve"> STYLEREF  CoverTitle </w:instrText>
    </w:r>
    <w:r>
      <w:rPr>
        <w:noProof/>
      </w:rPr>
      <w:fldChar w:fldCharType="separate"/>
    </w:r>
    <w:r w:rsidR="00AE265E">
      <w:rPr>
        <w:noProof/>
      </w:rPr>
      <w:t>Byrne S, Brindal E, Williams G, Anastasiou KM, Tonkin A, Battams S and Riley MD (2018), E-cigarettes, smoking and health. A Literature Review Update. CSIRO, Australia.</w:t>
    </w:r>
    <w:r>
      <w:rPr>
        <w:noProof/>
      </w:rPr>
      <w:fldChar w:fldCharType="end"/>
    </w:r>
    <w:r>
      <w:t xml:space="preserve"> | </w:t>
    </w:r>
    <w:r>
      <w:rPr>
        <w:rStyle w:val="PageNumber"/>
      </w:rPr>
      <w:fldChar w:fldCharType="begin"/>
    </w:r>
    <w:r>
      <w:rPr>
        <w:rStyle w:val="PageNumber"/>
      </w:rPr>
      <w:instrText xml:space="preserve"> PAGE </w:instrText>
    </w:r>
    <w:r>
      <w:rPr>
        <w:rStyle w:val="PageNumber"/>
      </w:rPr>
      <w:fldChar w:fldCharType="separate"/>
    </w:r>
    <w:r w:rsidR="00AE265E">
      <w:rPr>
        <w:rStyle w:val="PageNumber"/>
        <w:noProof/>
      </w:rPr>
      <w:t>vii</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FFA3E" w14:textId="19016350" w:rsidR="0048064B" w:rsidRDefault="0048064B" w:rsidP="00AE0D97">
    <w:pPr>
      <w:pStyle w:val="Footer"/>
      <w:tabs>
        <w:tab w:val="clear" w:pos="4513"/>
        <w:tab w:val="clear" w:pos="9026"/>
      </w:tabs>
      <w:jc w:val="right"/>
    </w:pPr>
    <w:r w:rsidRPr="0043170A">
      <w:t>Byrne S, Brindal E, Williams G, Anastasiou KM, Tonkin A, Battams S and Riley MD (2018), E</w:t>
    </w:r>
    <w:r w:rsidRPr="0043170A">
      <w:noBreakHyphen/>
      <w:t>cigarettes, smoking and health. A Literature Review Update.</w:t>
    </w:r>
    <w:r>
      <w:t xml:space="preserve"> CSIRO, Australia</w:t>
    </w:r>
    <w:r w:rsidRPr="00272382">
      <w:rPr>
        <w:b/>
      </w:rPr>
      <w:t xml:space="preserve"> </w:t>
    </w:r>
    <w:r>
      <w:t xml:space="preserve">| </w:t>
    </w:r>
    <w:r>
      <w:rPr>
        <w:rStyle w:val="PageNumber"/>
      </w:rPr>
      <w:fldChar w:fldCharType="begin"/>
    </w:r>
    <w:r>
      <w:rPr>
        <w:rStyle w:val="PageNumber"/>
      </w:rPr>
      <w:instrText xml:space="preserve"> PAGE </w:instrText>
    </w:r>
    <w:r>
      <w:rPr>
        <w:rStyle w:val="PageNumber"/>
      </w:rPr>
      <w:fldChar w:fldCharType="separate"/>
    </w:r>
    <w:r w:rsidR="00AE265E">
      <w:rPr>
        <w:rStyle w:val="PageNumber"/>
        <w:noProof/>
      </w:rPr>
      <w:t>169</w:t>
    </w:r>
    <w:r>
      <w:rPr>
        <w:rStyle w:val="PageNumber"/>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E1C5F" w14:textId="6A2C12C9" w:rsidR="0048064B" w:rsidRDefault="0048064B" w:rsidP="00AE0D97">
    <w:pPr>
      <w:pStyle w:val="Footer"/>
      <w:tabs>
        <w:tab w:val="clear" w:pos="4513"/>
        <w:tab w:val="clear" w:pos="9026"/>
      </w:tabs>
    </w:pPr>
    <w:r>
      <w:rPr>
        <w:rStyle w:val="PageNumber"/>
      </w:rPr>
      <w:fldChar w:fldCharType="begin"/>
    </w:r>
    <w:r>
      <w:rPr>
        <w:rStyle w:val="PageNumber"/>
      </w:rPr>
      <w:instrText xml:space="preserve"> PAGE </w:instrText>
    </w:r>
    <w:r>
      <w:rPr>
        <w:rStyle w:val="PageNumber"/>
      </w:rPr>
      <w:fldChar w:fldCharType="separate"/>
    </w:r>
    <w:r w:rsidR="00AE265E">
      <w:rPr>
        <w:rStyle w:val="PageNumber"/>
        <w:noProof/>
      </w:rPr>
      <w:t>252</w:t>
    </w:r>
    <w:r>
      <w:rPr>
        <w:rStyle w:val="PageNumber"/>
      </w:rPr>
      <w:fldChar w:fldCharType="end"/>
    </w:r>
    <w:r>
      <w:rPr>
        <w:rStyle w:val="PageNumber"/>
      </w:rPr>
      <w:t xml:space="preserve">  | </w:t>
    </w:r>
    <w:r>
      <w:rPr>
        <w:noProof/>
      </w:rPr>
      <w:fldChar w:fldCharType="begin"/>
    </w:r>
    <w:r>
      <w:rPr>
        <w:noProof/>
      </w:rPr>
      <w:instrText xml:space="preserve"> STYLEREF  CoverTitle </w:instrText>
    </w:r>
    <w:r>
      <w:rPr>
        <w:noProof/>
      </w:rPr>
      <w:fldChar w:fldCharType="separate"/>
    </w:r>
    <w:r w:rsidR="00AE265E">
      <w:rPr>
        <w:noProof/>
      </w:rPr>
      <w:t>Byrne S, Brindal E, Williams G, Anastasiou KM, Tonkin A, Battams S and Riley MD (2018), E-cigarettes, smoking and health. A Literature Review Update. CSIRO, Australia.</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A7EC2C" w14:textId="71705CB8" w:rsidR="0048064B" w:rsidRDefault="0048064B" w:rsidP="00AE0D97">
    <w:pPr>
      <w:pStyle w:val="Footer"/>
      <w:tabs>
        <w:tab w:val="clear" w:pos="4513"/>
        <w:tab w:val="clear" w:pos="9026"/>
      </w:tabs>
      <w:jc w:val="right"/>
    </w:pPr>
    <w:r>
      <w:rPr>
        <w:noProof/>
      </w:rPr>
      <w:fldChar w:fldCharType="begin"/>
    </w:r>
    <w:r>
      <w:rPr>
        <w:noProof/>
      </w:rPr>
      <w:instrText xml:space="preserve"> STYLEREF  CoverTitle </w:instrText>
    </w:r>
    <w:r>
      <w:rPr>
        <w:noProof/>
      </w:rPr>
      <w:fldChar w:fldCharType="separate"/>
    </w:r>
    <w:r w:rsidR="00AE265E">
      <w:rPr>
        <w:noProof/>
      </w:rPr>
      <w:t>Byrne S, Brindal E, Williams G, Anastasiou KM, Tonkin A, Battams S and Riley MD (2018), E-cigarettes, smoking and health. A Literature Review Update. CSIRO, Australia.</w:t>
    </w:r>
    <w:r>
      <w:rPr>
        <w:noProof/>
      </w:rPr>
      <w:fldChar w:fldCharType="end"/>
    </w:r>
    <w:r>
      <w:t xml:space="preserve"> | </w:t>
    </w:r>
    <w:r>
      <w:rPr>
        <w:rStyle w:val="PageNumber"/>
      </w:rPr>
      <w:fldChar w:fldCharType="begin"/>
    </w:r>
    <w:r>
      <w:rPr>
        <w:rStyle w:val="PageNumber"/>
      </w:rPr>
      <w:instrText xml:space="preserve"> PAGE </w:instrText>
    </w:r>
    <w:r>
      <w:rPr>
        <w:rStyle w:val="PageNumber"/>
      </w:rPr>
      <w:fldChar w:fldCharType="separate"/>
    </w:r>
    <w:r w:rsidR="00AE265E">
      <w:rPr>
        <w:rStyle w:val="PageNumber"/>
        <w:noProof/>
      </w:rPr>
      <w:t>253</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C1DDD2" w14:textId="2574FBB2" w:rsidR="0048064B" w:rsidRDefault="0048064B" w:rsidP="00AE0D97">
    <w:pPr>
      <w:pStyle w:val="Footer"/>
      <w:tabs>
        <w:tab w:val="clear" w:pos="4513"/>
        <w:tab w:val="clear" w:pos="9026"/>
      </w:tabs>
    </w:pPr>
    <w:r>
      <w:rPr>
        <w:rStyle w:val="PageNumber"/>
      </w:rPr>
      <w:fldChar w:fldCharType="begin"/>
    </w:r>
    <w:r>
      <w:rPr>
        <w:rStyle w:val="PageNumber"/>
      </w:rPr>
      <w:instrText xml:space="preserve"> PAGE </w:instrText>
    </w:r>
    <w:r>
      <w:rPr>
        <w:rStyle w:val="PageNumber"/>
      </w:rPr>
      <w:fldChar w:fldCharType="separate"/>
    </w:r>
    <w:r w:rsidR="00AE265E">
      <w:rPr>
        <w:rStyle w:val="PageNumber"/>
        <w:noProof/>
      </w:rPr>
      <w:t>362</w:t>
    </w:r>
    <w:r>
      <w:rPr>
        <w:rStyle w:val="PageNumber"/>
      </w:rPr>
      <w:fldChar w:fldCharType="end"/>
    </w:r>
    <w:r>
      <w:rPr>
        <w:rStyle w:val="PageNumber"/>
      </w:rPr>
      <w:t xml:space="preserve">  | </w:t>
    </w:r>
    <w:r>
      <w:t>CSIRO</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C87D64" w14:textId="0ABC18DB" w:rsidR="0048064B" w:rsidRDefault="0048064B" w:rsidP="00AE0D97">
    <w:pPr>
      <w:pStyle w:val="Footer"/>
      <w:tabs>
        <w:tab w:val="clear" w:pos="4513"/>
        <w:tab w:val="clear" w:pos="9026"/>
      </w:tabs>
      <w:jc w:val="right"/>
    </w:pPr>
    <w:r w:rsidRPr="00F84FF9">
      <w:t>Byrne S, Brindal E, Williams G, Anastasiou KM, Tonkin A, Battams S and Riley MD (2018), E</w:t>
    </w:r>
    <w:r w:rsidRPr="00F84FF9">
      <w:noBreakHyphen/>
      <w:t>cigarettes, smoking and health. A Literature Review Update.</w:t>
    </w:r>
    <w:r>
      <w:t xml:space="preserve"> CSIRO, Australia</w:t>
    </w:r>
    <w:r w:rsidRPr="00272382">
      <w:rPr>
        <w:b/>
      </w:rPr>
      <w:t xml:space="preserve"> </w:t>
    </w:r>
    <w:r>
      <w:t xml:space="preserve">| </w:t>
    </w:r>
    <w:r>
      <w:fldChar w:fldCharType="begin"/>
    </w:r>
    <w:r>
      <w:instrText xml:space="preserve"> PAGE   \* MERGEFORMAT </w:instrText>
    </w:r>
    <w:r>
      <w:fldChar w:fldCharType="separate"/>
    </w:r>
    <w:r w:rsidR="00AE265E">
      <w:rPr>
        <w:noProof/>
      </w:rPr>
      <w:t>361</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0BD76A" w14:textId="0D744E3D" w:rsidR="0048064B" w:rsidRDefault="0048064B" w:rsidP="00AE0D97">
    <w:pPr>
      <w:pStyle w:val="Footer"/>
      <w:tabs>
        <w:tab w:val="clear" w:pos="4513"/>
        <w:tab w:val="clear" w:pos="9026"/>
      </w:tabs>
    </w:pPr>
    <w:r>
      <w:rPr>
        <w:rStyle w:val="PageNumber"/>
      </w:rPr>
      <w:fldChar w:fldCharType="begin"/>
    </w:r>
    <w:r>
      <w:rPr>
        <w:rStyle w:val="PageNumber"/>
      </w:rPr>
      <w:instrText xml:space="preserve"> PAGE </w:instrText>
    </w:r>
    <w:r>
      <w:rPr>
        <w:rStyle w:val="PageNumber"/>
      </w:rPr>
      <w:fldChar w:fldCharType="separate"/>
    </w:r>
    <w:r w:rsidR="00AE265E">
      <w:rPr>
        <w:rStyle w:val="PageNumber"/>
        <w:noProof/>
      </w:rPr>
      <w:t>394</w:t>
    </w:r>
    <w:r>
      <w:rPr>
        <w:rStyle w:val="PageNumber"/>
      </w:rPr>
      <w:fldChar w:fldCharType="end"/>
    </w:r>
    <w:r>
      <w:rPr>
        <w:rStyle w:val="PageNumber"/>
      </w:rPr>
      <w:t xml:space="preserve">  | </w:t>
    </w:r>
    <w:r>
      <w:rPr>
        <w:noProof/>
      </w:rPr>
      <w:fldChar w:fldCharType="begin"/>
    </w:r>
    <w:r>
      <w:rPr>
        <w:noProof/>
      </w:rPr>
      <w:instrText xml:space="preserve"> STYLEREF  CoverTitle </w:instrText>
    </w:r>
    <w:r>
      <w:rPr>
        <w:noProof/>
      </w:rPr>
      <w:fldChar w:fldCharType="separate"/>
    </w:r>
    <w:r w:rsidR="00AE265E">
      <w:rPr>
        <w:noProof/>
      </w:rPr>
      <w:t>Byrne S, Brindal E, Williams G, Anastasiou KM, Tonkin A, Battams S and Riley MD (2018), E-cigarettes, smoking and health. A Literature Review Update. CSIRO, Australia.</w:t>
    </w:r>
    <w:r>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C11FC5" w14:textId="6F1A606A" w:rsidR="0048064B" w:rsidRDefault="0048064B" w:rsidP="00AE0D97">
    <w:pPr>
      <w:pStyle w:val="Footer"/>
      <w:tabs>
        <w:tab w:val="clear" w:pos="4513"/>
        <w:tab w:val="clear" w:pos="9026"/>
      </w:tabs>
      <w:jc w:val="right"/>
    </w:pPr>
    <w:r>
      <w:rPr>
        <w:noProof/>
      </w:rPr>
      <w:fldChar w:fldCharType="begin"/>
    </w:r>
    <w:r>
      <w:rPr>
        <w:noProof/>
      </w:rPr>
      <w:instrText xml:space="preserve"> STYLEREF  CoverTitle </w:instrText>
    </w:r>
    <w:r>
      <w:rPr>
        <w:noProof/>
      </w:rPr>
      <w:fldChar w:fldCharType="separate"/>
    </w:r>
    <w:r w:rsidR="00AE265E">
      <w:rPr>
        <w:noProof/>
      </w:rPr>
      <w:t>Byrne S, Brindal E, Williams G, Anastasiou KM, Tonkin A, Battams S and Riley MD (2018), E-cigarettes, smoking and health. A Literature Review Update. CSIRO, Australia.</w:t>
    </w:r>
    <w:r>
      <w:rPr>
        <w:noProof/>
      </w:rPr>
      <w:fldChar w:fldCharType="end"/>
    </w:r>
    <w:r>
      <w:t xml:space="preserve"> | </w:t>
    </w:r>
    <w:r>
      <w:fldChar w:fldCharType="begin"/>
    </w:r>
    <w:r>
      <w:instrText xml:space="preserve"> PAGE   \* MERGEFORMAT </w:instrText>
    </w:r>
    <w:r>
      <w:fldChar w:fldCharType="separate"/>
    </w:r>
    <w:r w:rsidR="00AE265E">
      <w:rPr>
        <w:noProof/>
      </w:rPr>
      <w:t>393</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EB1DB9" w14:textId="77777777" w:rsidR="00013E76" w:rsidRDefault="00013E76" w:rsidP="009964E7">
      <w:r>
        <w:separator/>
      </w:r>
    </w:p>
    <w:p w14:paraId="62E0324C" w14:textId="77777777" w:rsidR="00013E76" w:rsidRDefault="00013E76"/>
  </w:footnote>
  <w:footnote w:type="continuationSeparator" w:id="0">
    <w:p w14:paraId="052447D4" w14:textId="77777777" w:rsidR="00013E76" w:rsidRDefault="00013E76" w:rsidP="009964E7">
      <w:r>
        <w:continuationSeparator/>
      </w:r>
    </w:p>
    <w:p w14:paraId="5BE4340E" w14:textId="77777777" w:rsidR="00013E76" w:rsidRDefault="00013E76"/>
  </w:footnote>
  <w:footnote w:type="continuationNotice" w:id="1">
    <w:p w14:paraId="163A5B54" w14:textId="77777777" w:rsidR="00013E76" w:rsidRDefault="00013E76">
      <w:pPr>
        <w:spacing w:after="0"/>
      </w:pPr>
    </w:p>
  </w:footnote>
  <w:footnote w:id="2">
    <w:p w14:paraId="22C6B554" w14:textId="77777777" w:rsidR="0048064B" w:rsidRDefault="0048064B" w:rsidP="000A3834">
      <w:pPr>
        <w:pStyle w:val="FootnoteText"/>
      </w:pPr>
      <w:r>
        <w:rPr>
          <w:rStyle w:val="FootnoteReference"/>
        </w:rPr>
        <w:footnoteRef/>
      </w:r>
      <w:r>
        <w:t xml:space="preserve"> an inflammatory signalling network underlying acute cardiac ischemia</w:t>
      </w:r>
    </w:p>
  </w:footnote>
  <w:footnote w:id="3">
    <w:p w14:paraId="3C270AD8" w14:textId="77777777" w:rsidR="0048064B" w:rsidRDefault="0048064B" w:rsidP="009D68BA">
      <w:pPr>
        <w:pStyle w:val="FootnoteText"/>
      </w:pPr>
      <w:r>
        <w:rPr>
          <w:rStyle w:val="FootnoteReference"/>
        </w:rPr>
        <w:footnoteRef/>
      </w:r>
      <w:r>
        <w:t xml:space="preserve"> Exposure to common flame retardants may raise the risk of papillary thyroid cancer, Science Daily, 2 April 2017, </w:t>
      </w:r>
      <w:hyperlink r:id="rId1" w:history="1">
        <w:r>
          <w:rPr>
            <w:rStyle w:val="Hyperlink"/>
          </w:rPr>
          <w:t>https://www.sciencedaily.com/releases/2017/04/170402111311.htm</w:t>
        </w:r>
      </w:hyperlink>
      <w:r>
        <w:t xml:space="preserve"> </w:t>
      </w:r>
    </w:p>
  </w:footnote>
  <w:footnote w:id="4">
    <w:p w14:paraId="40D7C434" w14:textId="77777777" w:rsidR="0048064B" w:rsidRDefault="0048064B" w:rsidP="00430400">
      <w:pPr>
        <w:pStyle w:val="FootnoteText"/>
      </w:pPr>
      <w:r>
        <w:rPr>
          <w:rStyle w:val="FootnoteReference"/>
        </w:rPr>
        <w:footnoteRef/>
      </w:r>
      <w:r>
        <w:t xml:space="preserve"> an inflammatory signalling network underlying acute cardiac ischemia</w:t>
      </w:r>
    </w:p>
  </w:footnote>
  <w:footnote w:id="5">
    <w:p w14:paraId="308EE086" w14:textId="77777777" w:rsidR="0048064B" w:rsidRDefault="0048064B" w:rsidP="00430400">
      <w:pPr>
        <w:pStyle w:val="FootnoteText"/>
      </w:pPr>
      <w:r>
        <w:rPr>
          <w:rStyle w:val="FootnoteReference"/>
        </w:rPr>
        <w:footnoteRef/>
      </w:r>
      <w:r>
        <w:t xml:space="preserve"> </w:t>
      </w:r>
      <w:r>
        <w:rPr>
          <w:szCs w:val="16"/>
        </w:rPr>
        <w:t>The CDC states that ‘NNAL is a product formed after 4</w:t>
      </w:r>
      <w:r>
        <w:rPr>
          <w:szCs w:val="16"/>
        </w:rPr>
        <w:noBreakHyphen/>
        <w:t>(methylnitrosamino)</w:t>
      </w:r>
      <w:r>
        <w:rPr>
          <w:szCs w:val="16"/>
        </w:rPr>
        <w:noBreakHyphen/>
        <w:t>1</w:t>
      </w:r>
      <w:r>
        <w:rPr>
          <w:szCs w:val="16"/>
        </w:rPr>
        <w:noBreakHyphen/>
        <w:t>(3</w:t>
      </w:r>
      <w:r>
        <w:rPr>
          <w:szCs w:val="16"/>
        </w:rPr>
        <w:noBreakHyphen/>
        <w:t>pyridyl)</w:t>
      </w:r>
      <w:r>
        <w:rPr>
          <w:szCs w:val="16"/>
        </w:rPr>
        <w:noBreakHyphen/>
        <w:t>1</w:t>
      </w:r>
      <w:r>
        <w:rPr>
          <w:szCs w:val="16"/>
        </w:rPr>
        <w:noBreakHyphen/>
        <w:t>butanone (NNK) enters the body. NNK belongs to a group of chemicals called tobacco</w:t>
      </w:r>
      <w:r>
        <w:rPr>
          <w:szCs w:val="16"/>
        </w:rPr>
        <w:noBreakHyphen/>
        <w:t xml:space="preserve">specific </w:t>
      </w:r>
      <w:r>
        <w:rPr>
          <w:i/>
          <w:iCs/>
          <w:szCs w:val="16"/>
        </w:rPr>
        <w:t>n</w:t>
      </w:r>
      <w:r>
        <w:rPr>
          <w:szCs w:val="16"/>
        </w:rPr>
        <w:noBreakHyphen/>
        <w:t xml:space="preserve">nitrosamines (TSNA)…NNK causes cancer in people.’ It is known as a lung carcinogen. </w:t>
      </w:r>
      <w:hyperlink r:id="rId2" w:history="1">
        <w:r>
          <w:rPr>
            <w:rStyle w:val="Hyperlink"/>
            <w:szCs w:val="16"/>
          </w:rPr>
          <w:t>https://www.cdc.gov/biomonitoring/NNAL_FactSheet.html</w:t>
        </w:r>
      </w:hyperlink>
      <w:r>
        <w:rPr>
          <w:szCs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612EEC" w14:textId="77777777" w:rsidR="0048064B" w:rsidRDefault="0048064B" w:rsidP="002A47D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33E654" w14:textId="77777777" w:rsidR="0048064B" w:rsidRDefault="0048064B" w:rsidP="002A47D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B1044D" w14:textId="77777777" w:rsidR="0048064B" w:rsidRDefault="0048064B" w:rsidP="002A47D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5E23A2" w14:textId="77777777" w:rsidR="0048064B" w:rsidRDefault="0048064B" w:rsidP="002A47D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DCEA5D" w14:textId="77777777" w:rsidR="0048064B" w:rsidRDefault="0048064B" w:rsidP="002A47D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CC3EF2D2"/>
    <w:lvl w:ilvl="0">
      <w:start w:val="1"/>
      <w:numFmt w:val="lowerLetter"/>
      <w:pStyle w:val="ListNumber2"/>
      <w:lvlText w:val="%1."/>
      <w:lvlJc w:val="left"/>
      <w:pPr>
        <w:ind w:left="643" w:hanging="360"/>
      </w:pPr>
    </w:lvl>
  </w:abstractNum>
  <w:abstractNum w:abstractNumId="1" w15:restartNumberingAfterBreak="0">
    <w:nsid w:val="FFFFFF80"/>
    <w:multiLevelType w:val="singleLevel"/>
    <w:tmpl w:val="B442ECCC"/>
    <w:lvl w:ilvl="0">
      <w:start w:val="1"/>
      <w:numFmt w:val="bullet"/>
      <w:pStyle w:val="ListNumber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B77C9CB0"/>
    <w:lvl w:ilvl="0">
      <w:start w:val="1"/>
      <w:numFmt w:val="bullet"/>
      <w:pStyle w:val="ListNumber4"/>
      <w:lvlText w:val=""/>
      <w:lvlJc w:val="left"/>
      <w:pPr>
        <w:tabs>
          <w:tab w:val="num" w:pos="1209"/>
        </w:tabs>
        <w:ind w:left="1209" w:hanging="360"/>
      </w:pPr>
      <w:rPr>
        <w:rFonts w:ascii="Symbol" w:hAnsi="Symbol" w:hint="default"/>
      </w:rPr>
    </w:lvl>
  </w:abstractNum>
  <w:abstractNum w:abstractNumId="3" w15:restartNumberingAfterBreak="0">
    <w:nsid w:val="FFFFFF83"/>
    <w:multiLevelType w:val="singleLevel"/>
    <w:tmpl w:val="2716FB9A"/>
    <w:lvl w:ilvl="0">
      <w:start w:val="1"/>
      <w:numFmt w:val="bullet"/>
      <w:pStyle w:val="ListBullet5"/>
      <w:lvlText w:val="–"/>
      <w:lvlJc w:val="left"/>
      <w:pPr>
        <w:ind w:left="360" w:hanging="360"/>
      </w:pPr>
      <w:rPr>
        <w:rFonts w:ascii="Feijoa Medium" w:hAnsi="Feijoa Medium" w:hint="default"/>
      </w:rPr>
    </w:lvl>
  </w:abstractNum>
  <w:abstractNum w:abstractNumId="4" w15:restartNumberingAfterBreak="0">
    <w:nsid w:val="FFFFFF88"/>
    <w:multiLevelType w:val="singleLevel"/>
    <w:tmpl w:val="87D43BCA"/>
    <w:lvl w:ilvl="0">
      <w:start w:val="1"/>
      <w:numFmt w:val="decimal"/>
      <w:pStyle w:val="ListBullet4"/>
      <w:lvlText w:val="%1."/>
      <w:lvlJc w:val="left"/>
      <w:pPr>
        <w:ind w:left="360" w:hanging="360"/>
      </w:pPr>
      <w:rPr>
        <w:rFonts w:cs="Times New Roman"/>
      </w:rPr>
    </w:lvl>
  </w:abstractNum>
  <w:abstractNum w:abstractNumId="5" w15:restartNumberingAfterBreak="0">
    <w:nsid w:val="026E73D6"/>
    <w:multiLevelType w:val="hybridMultilevel"/>
    <w:tmpl w:val="3210E7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4CC27B4"/>
    <w:multiLevelType w:val="hybridMultilevel"/>
    <w:tmpl w:val="571051A6"/>
    <w:lvl w:ilvl="0" w:tplc="C13CAC4C">
      <w:start w:val="2"/>
      <w:numFmt w:val="bullet"/>
      <w:lvlText w:val=""/>
      <w:lvlJc w:val="left"/>
      <w:pPr>
        <w:ind w:left="720" w:hanging="360"/>
      </w:pPr>
      <w:rPr>
        <w:rFonts w:ascii="Symbol" w:eastAsia="Calibr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56A6147"/>
    <w:multiLevelType w:val="hybridMultilevel"/>
    <w:tmpl w:val="4F20E89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5E7100D"/>
    <w:multiLevelType w:val="hybridMultilevel"/>
    <w:tmpl w:val="8B966A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98E4323"/>
    <w:multiLevelType w:val="hybridMultilevel"/>
    <w:tmpl w:val="AD7AAF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B9045F0"/>
    <w:multiLevelType w:val="hybridMultilevel"/>
    <w:tmpl w:val="966891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0E04574E"/>
    <w:multiLevelType w:val="hybridMultilevel"/>
    <w:tmpl w:val="1F988FF4"/>
    <w:lvl w:ilvl="0" w:tplc="1AEC1574">
      <w:start w:val="1"/>
      <w:numFmt w:val="decimal"/>
      <w:lvlText w:val="%1."/>
      <w:lvlJc w:val="left"/>
      <w:pPr>
        <w:ind w:left="720" w:hanging="360"/>
      </w:pPr>
      <w:rPr>
        <w:b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2" w15:restartNumberingAfterBreak="0">
    <w:nsid w:val="0F9914C2"/>
    <w:multiLevelType w:val="hybridMultilevel"/>
    <w:tmpl w:val="C76295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14E1F03"/>
    <w:multiLevelType w:val="hybridMultilevel"/>
    <w:tmpl w:val="C77EC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695038B"/>
    <w:multiLevelType w:val="hybridMultilevel"/>
    <w:tmpl w:val="697050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A1E3990"/>
    <w:multiLevelType w:val="hybridMultilevel"/>
    <w:tmpl w:val="E84C6B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E2B0807"/>
    <w:multiLevelType w:val="hybridMultilevel"/>
    <w:tmpl w:val="613EE2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F1E0018"/>
    <w:multiLevelType w:val="hybridMultilevel"/>
    <w:tmpl w:val="89727F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086735F"/>
    <w:multiLevelType w:val="multilevel"/>
    <w:tmpl w:val="F1420D32"/>
    <w:styleLink w:val="TableBullets"/>
    <w:lvl w:ilvl="0">
      <w:start w:val="1"/>
      <w:numFmt w:val="bullet"/>
      <w:pStyle w:val="TableBullet"/>
      <w:lvlText w:val=""/>
      <w:lvlJc w:val="left"/>
      <w:pPr>
        <w:tabs>
          <w:tab w:val="num" w:pos="170"/>
        </w:tabs>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1050236"/>
    <w:multiLevelType w:val="multilevel"/>
    <w:tmpl w:val="9432AB92"/>
    <w:styleLink w:val="Sources"/>
    <w:lvl w:ilvl="0">
      <w:start w:val="1"/>
      <w:numFmt w:val="none"/>
      <w:lvlText w:val="Source:"/>
      <w:lvlJc w:val="left"/>
      <w:pPr>
        <w:tabs>
          <w:tab w:val="num" w:pos="624"/>
        </w:tabs>
        <w:ind w:left="624" w:hanging="624"/>
      </w:pPr>
      <w:rPr>
        <w:rFonts w:cs="Times New Roman" w:hint="default"/>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20" w15:restartNumberingAfterBreak="0">
    <w:nsid w:val="21C95186"/>
    <w:multiLevelType w:val="hybridMultilevel"/>
    <w:tmpl w:val="74460C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3D148DE"/>
    <w:multiLevelType w:val="hybridMultilevel"/>
    <w:tmpl w:val="6322902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76C1B9E"/>
    <w:multiLevelType w:val="hybridMultilevel"/>
    <w:tmpl w:val="5462A9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8AA2C70"/>
    <w:multiLevelType w:val="hybridMultilevel"/>
    <w:tmpl w:val="084A83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8B57485"/>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5" w15:restartNumberingAfterBreak="0">
    <w:nsid w:val="2A5F4996"/>
    <w:multiLevelType w:val="hybridMultilevel"/>
    <w:tmpl w:val="8F7E4004"/>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6" w15:restartNumberingAfterBreak="0">
    <w:nsid w:val="2A7B685E"/>
    <w:multiLevelType w:val="hybridMultilevel"/>
    <w:tmpl w:val="646259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ACF779D"/>
    <w:multiLevelType w:val="hybridMultilevel"/>
    <w:tmpl w:val="25406D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AD610A5"/>
    <w:multiLevelType w:val="hybridMultilevel"/>
    <w:tmpl w:val="94BC8C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AF77FEA"/>
    <w:multiLevelType w:val="hybridMultilevel"/>
    <w:tmpl w:val="3766C5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B7B3686"/>
    <w:multiLevelType w:val="hybridMultilevel"/>
    <w:tmpl w:val="D716E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D1D7CE9"/>
    <w:multiLevelType w:val="hybridMultilevel"/>
    <w:tmpl w:val="9CA4F0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2AF2D3F"/>
    <w:multiLevelType w:val="hybridMultilevel"/>
    <w:tmpl w:val="AB1CBAD0"/>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367614C6"/>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4" w15:restartNumberingAfterBreak="0">
    <w:nsid w:val="39332313"/>
    <w:multiLevelType w:val="hybridMultilevel"/>
    <w:tmpl w:val="FF9252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CD277F3"/>
    <w:multiLevelType w:val="hybridMultilevel"/>
    <w:tmpl w:val="0B6CA5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D35632B"/>
    <w:multiLevelType w:val="hybridMultilevel"/>
    <w:tmpl w:val="5E1021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E3422B9"/>
    <w:multiLevelType w:val="hybridMultilevel"/>
    <w:tmpl w:val="9FE82F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EA7459B"/>
    <w:multiLevelType w:val="hybridMultilevel"/>
    <w:tmpl w:val="090C4A92"/>
    <w:lvl w:ilvl="0" w:tplc="B29A3278">
      <w:start w:val="1"/>
      <w:numFmt w:val="bullet"/>
      <w:pStyle w:val="Boxedlist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9" w15:restartNumberingAfterBreak="0">
    <w:nsid w:val="4265682E"/>
    <w:multiLevelType w:val="multilevel"/>
    <w:tmpl w:val="6E74B694"/>
    <w:styleLink w:val="Bullets"/>
    <w:lvl w:ilvl="0">
      <w:start w:val="1"/>
      <w:numFmt w:val="bullet"/>
      <w:pStyle w:val="ListBullet"/>
      <w:lvlText w:val=""/>
      <w:lvlJc w:val="left"/>
      <w:pPr>
        <w:tabs>
          <w:tab w:val="num" w:pos="199"/>
        </w:tabs>
        <w:ind w:left="199" w:hanging="199"/>
      </w:pPr>
      <w:rPr>
        <w:rFonts w:ascii="Symbol" w:hAnsi="Symbol" w:hint="default"/>
      </w:rPr>
    </w:lvl>
    <w:lvl w:ilvl="1">
      <w:start w:val="1"/>
      <w:numFmt w:val="bullet"/>
      <w:pStyle w:val="ListBullet2"/>
      <w:lvlText w:val="–"/>
      <w:lvlJc w:val="left"/>
      <w:pPr>
        <w:tabs>
          <w:tab w:val="num" w:pos="397"/>
        </w:tabs>
        <w:ind w:left="397" w:hanging="198"/>
      </w:pPr>
      <w:rPr>
        <w:rFonts w:ascii="Arial" w:hAnsi="Arial" w:hint="default"/>
      </w:rPr>
    </w:lvl>
    <w:lvl w:ilvl="2">
      <w:start w:val="1"/>
      <w:numFmt w:val="bullet"/>
      <w:lvlText w:val="–"/>
      <w:lvlJc w:val="left"/>
      <w:pPr>
        <w:tabs>
          <w:tab w:val="num" w:pos="595"/>
        </w:tabs>
        <w:ind w:left="595" w:hanging="198"/>
      </w:pPr>
      <w:rPr>
        <w:rFonts w:ascii="Arial" w:hAnsi="Arial"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left"/>
      <w:pPr>
        <w:ind w:left="4320" w:hanging="36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left"/>
      <w:pPr>
        <w:ind w:left="6480" w:hanging="360"/>
      </w:pPr>
      <w:rPr>
        <w:rFonts w:cs="Times New Roman" w:hint="default"/>
      </w:rPr>
    </w:lvl>
  </w:abstractNum>
  <w:abstractNum w:abstractNumId="40" w15:restartNumberingAfterBreak="0">
    <w:nsid w:val="44582B68"/>
    <w:multiLevelType w:val="hybridMultilevel"/>
    <w:tmpl w:val="C02CDC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801114C"/>
    <w:multiLevelType w:val="hybridMultilevel"/>
    <w:tmpl w:val="6DE8E5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8A829A9"/>
    <w:multiLevelType w:val="hybridMultilevel"/>
    <w:tmpl w:val="EF0081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4A031EC1"/>
    <w:multiLevelType w:val="hybridMultilevel"/>
    <w:tmpl w:val="01708670"/>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4AA86644"/>
    <w:multiLevelType w:val="hybridMultilevel"/>
    <w:tmpl w:val="2D28B1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AD34338"/>
    <w:multiLevelType w:val="hybridMultilevel"/>
    <w:tmpl w:val="F6B2D1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AF551E3"/>
    <w:multiLevelType w:val="hybridMultilevel"/>
    <w:tmpl w:val="906C0B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4EFA0ADF"/>
    <w:multiLevelType w:val="hybridMultilevel"/>
    <w:tmpl w:val="7E02A2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50161600"/>
    <w:multiLevelType w:val="hybridMultilevel"/>
    <w:tmpl w:val="5964DB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507C5AB0"/>
    <w:multiLevelType w:val="hybridMultilevel"/>
    <w:tmpl w:val="DE18E8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53244F83"/>
    <w:multiLevelType w:val="hybridMultilevel"/>
    <w:tmpl w:val="EE8650BA"/>
    <w:lvl w:ilvl="0" w:tplc="C11CC1C4">
      <w:start w:val="6"/>
      <w:numFmt w:val="bullet"/>
      <w:lvlText w:val=""/>
      <w:lvlJc w:val="left"/>
      <w:pPr>
        <w:ind w:left="720" w:hanging="360"/>
      </w:pPr>
      <w:rPr>
        <w:rFonts w:ascii="Symbol" w:eastAsia="Calibr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53540B0D"/>
    <w:multiLevelType w:val="hybridMultilevel"/>
    <w:tmpl w:val="280C9F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43248ED"/>
    <w:multiLevelType w:val="hybridMultilevel"/>
    <w:tmpl w:val="F59023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579E22AA"/>
    <w:multiLevelType w:val="hybridMultilevel"/>
    <w:tmpl w:val="F98642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59444BE6"/>
    <w:multiLevelType w:val="multilevel"/>
    <w:tmpl w:val="7160E984"/>
    <w:lvl w:ilvl="0">
      <w:start w:val="1"/>
      <w:numFmt w:val="decimal"/>
      <w:pStyle w:val="Heading1"/>
      <w:lvlText w:val="%1"/>
      <w:lvlJc w:val="left"/>
      <w:pPr>
        <w:ind w:left="43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rPr>
        <w:rFonts w:cs="Times New Roman" w:hint="default"/>
      </w:rPr>
    </w:lvl>
    <w:lvl w:ilvl="2">
      <w:start w:val="1"/>
      <w:numFmt w:val="decimal"/>
      <w:pStyle w:val="Heading3"/>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55" w15:restartNumberingAfterBreak="0">
    <w:nsid w:val="597115F1"/>
    <w:multiLevelType w:val="hybridMultilevel"/>
    <w:tmpl w:val="0AB4DC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5A1767B6"/>
    <w:multiLevelType w:val="multilevel"/>
    <w:tmpl w:val="14C8A526"/>
    <w:styleLink w:val="Numbers"/>
    <w:lvl w:ilvl="0">
      <w:start w:val="1"/>
      <w:numFmt w:val="decimal"/>
      <w:pStyle w:val="ListNumber"/>
      <w:lvlText w:val="%1."/>
      <w:lvlJc w:val="left"/>
      <w:pPr>
        <w:tabs>
          <w:tab w:val="num" w:pos="227"/>
        </w:tabs>
        <w:ind w:left="227" w:hanging="227"/>
      </w:pPr>
      <w:rPr>
        <w:rFonts w:cs="Times New Roman" w:hint="default"/>
      </w:rPr>
    </w:lvl>
    <w:lvl w:ilvl="1">
      <w:start w:val="1"/>
      <w:numFmt w:val="none"/>
      <w:lvlText w:val=""/>
      <w:lvlJc w:val="left"/>
      <w:pPr>
        <w:ind w:left="1440" w:hanging="360"/>
      </w:pPr>
      <w:rPr>
        <w:rFonts w:cs="Times New Roman" w:hint="default"/>
      </w:rPr>
    </w:lvl>
    <w:lvl w:ilvl="2">
      <w:start w:val="1"/>
      <w:numFmt w:val="none"/>
      <w:lvlText w:val=""/>
      <w:lvlJc w:val="right"/>
      <w:pPr>
        <w:ind w:left="2160" w:hanging="180"/>
      </w:pPr>
      <w:rPr>
        <w:rFonts w:cs="Times New Roman"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57" w15:restartNumberingAfterBreak="0">
    <w:nsid w:val="5A860134"/>
    <w:multiLevelType w:val="hybridMultilevel"/>
    <w:tmpl w:val="94D8BC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5B174A9C"/>
    <w:multiLevelType w:val="hybridMultilevel"/>
    <w:tmpl w:val="08A276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5CB02760"/>
    <w:multiLevelType w:val="hybridMultilevel"/>
    <w:tmpl w:val="9D2041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5D8743A4"/>
    <w:multiLevelType w:val="hybridMultilevel"/>
    <w:tmpl w:val="771E21DE"/>
    <w:lvl w:ilvl="0" w:tplc="05920732">
      <w:start w:val="1"/>
      <w:numFmt w:val="bullet"/>
      <w:pStyle w:val="ListNumber3"/>
      <w:lvlText w:val=""/>
      <w:lvlJc w:val="left"/>
      <w:pPr>
        <w:ind w:left="126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5ED56347"/>
    <w:multiLevelType w:val="hybridMultilevel"/>
    <w:tmpl w:val="42C619CC"/>
    <w:lvl w:ilvl="0" w:tplc="02C8F986">
      <w:start w:val="3"/>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5F4C27FB"/>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63" w15:restartNumberingAfterBreak="0">
    <w:nsid w:val="601E22C4"/>
    <w:multiLevelType w:val="hybridMultilevel"/>
    <w:tmpl w:val="C92AEC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62DA0458"/>
    <w:multiLevelType w:val="hybridMultilevel"/>
    <w:tmpl w:val="997E029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6601045A"/>
    <w:multiLevelType w:val="hybridMultilevel"/>
    <w:tmpl w:val="30465F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66063429"/>
    <w:multiLevelType w:val="multilevel"/>
    <w:tmpl w:val="FCBECBAC"/>
    <w:lvl w:ilvl="0">
      <w:start w:val="1"/>
      <w:numFmt w:val="upperLetter"/>
      <w:pStyle w:val="AppendixHeading1base"/>
      <w:lvlText w:val="Appendix %1 "/>
      <w:lvlJc w:val="left"/>
      <w:pPr>
        <w:ind w:left="0" w:firstLine="0"/>
      </w:pPr>
      <w:rPr>
        <w:b/>
        <w:bCs w:val="0"/>
        <w:i w:val="0"/>
        <w:iCs w:val="0"/>
        <w:caps w:val="0"/>
        <w:smallCaps w:val="0"/>
        <w:strike w:val="0"/>
        <w:dstrike w:val="0"/>
        <w:noProof w:val="0"/>
        <w:vanish w:val="0"/>
        <w:spacing w:val="0"/>
        <w:kern w:val="0"/>
        <w:position w:val="0"/>
        <w:u w:val="none"/>
        <w:effect w:val="none"/>
        <w:vertAlign w:val="baseline"/>
        <w:em w:val="none"/>
        <w:specVanish w:val="0"/>
      </w:rPr>
    </w:lvl>
    <w:lvl w:ilvl="1">
      <w:start w:val="1"/>
      <w:numFmt w:val="decimal"/>
      <w:pStyle w:val="AppendixHeading2"/>
      <w:lvlText w:val="%1.%2"/>
      <w:lvlJc w:val="left"/>
      <w:pPr>
        <w:ind w:left="0" w:firstLine="0"/>
      </w:pPr>
      <w:rPr>
        <w:rFonts w:hint="default"/>
      </w:rPr>
    </w:lvl>
    <w:lvl w:ilvl="2">
      <w:start w:val="1"/>
      <w:numFmt w:val="decimal"/>
      <w:pStyle w:val="AppendixHeading3"/>
      <w:lvlText w:val="%1.%2.%3"/>
      <w:lvlJc w:val="left"/>
      <w:pPr>
        <w:ind w:left="432"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67" w15:restartNumberingAfterBreak="0">
    <w:nsid w:val="667E46DA"/>
    <w:multiLevelType w:val="hybridMultilevel"/>
    <w:tmpl w:val="B4CA2E6C"/>
    <w:lvl w:ilvl="0" w:tplc="632859DC">
      <w:start w:val="3"/>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8" w15:restartNumberingAfterBreak="0">
    <w:nsid w:val="6836324C"/>
    <w:multiLevelType w:val="hybridMultilevel"/>
    <w:tmpl w:val="B0F641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696E64D8"/>
    <w:multiLevelType w:val="hybridMultilevel"/>
    <w:tmpl w:val="0A16738C"/>
    <w:lvl w:ilvl="0" w:tplc="3D3CB794">
      <w:start w:val="1"/>
      <w:numFmt w:val="bullet"/>
      <w:lvlText w:val="•"/>
      <w:lvlJc w:val="left"/>
      <w:pPr>
        <w:tabs>
          <w:tab w:val="num" w:pos="720"/>
        </w:tabs>
        <w:ind w:left="720" w:hanging="360"/>
      </w:pPr>
      <w:rPr>
        <w:rFonts w:ascii="Arial" w:hAnsi="Arial" w:hint="default"/>
      </w:rPr>
    </w:lvl>
    <w:lvl w:ilvl="1" w:tplc="4266C592" w:tentative="1">
      <w:start w:val="1"/>
      <w:numFmt w:val="bullet"/>
      <w:lvlText w:val="•"/>
      <w:lvlJc w:val="left"/>
      <w:pPr>
        <w:tabs>
          <w:tab w:val="num" w:pos="1440"/>
        </w:tabs>
        <w:ind w:left="1440" w:hanging="360"/>
      </w:pPr>
      <w:rPr>
        <w:rFonts w:ascii="Arial" w:hAnsi="Arial" w:hint="default"/>
      </w:rPr>
    </w:lvl>
    <w:lvl w:ilvl="2" w:tplc="2200D602" w:tentative="1">
      <w:start w:val="1"/>
      <w:numFmt w:val="bullet"/>
      <w:lvlText w:val="•"/>
      <w:lvlJc w:val="left"/>
      <w:pPr>
        <w:tabs>
          <w:tab w:val="num" w:pos="2160"/>
        </w:tabs>
        <w:ind w:left="2160" w:hanging="360"/>
      </w:pPr>
      <w:rPr>
        <w:rFonts w:ascii="Arial" w:hAnsi="Arial" w:hint="default"/>
      </w:rPr>
    </w:lvl>
    <w:lvl w:ilvl="3" w:tplc="BAD2ACBE" w:tentative="1">
      <w:start w:val="1"/>
      <w:numFmt w:val="bullet"/>
      <w:lvlText w:val="•"/>
      <w:lvlJc w:val="left"/>
      <w:pPr>
        <w:tabs>
          <w:tab w:val="num" w:pos="2880"/>
        </w:tabs>
        <w:ind w:left="2880" w:hanging="360"/>
      </w:pPr>
      <w:rPr>
        <w:rFonts w:ascii="Arial" w:hAnsi="Arial" w:hint="default"/>
      </w:rPr>
    </w:lvl>
    <w:lvl w:ilvl="4" w:tplc="8214D538" w:tentative="1">
      <w:start w:val="1"/>
      <w:numFmt w:val="bullet"/>
      <w:lvlText w:val="•"/>
      <w:lvlJc w:val="left"/>
      <w:pPr>
        <w:tabs>
          <w:tab w:val="num" w:pos="3600"/>
        </w:tabs>
        <w:ind w:left="3600" w:hanging="360"/>
      </w:pPr>
      <w:rPr>
        <w:rFonts w:ascii="Arial" w:hAnsi="Arial" w:hint="default"/>
      </w:rPr>
    </w:lvl>
    <w:lvl w:ilvl="5" w:tplc="51442A98" w:tentative="1">
      <w:start w:val="1"/>
      <w:numFmt w:val="bullet"/>
      <w:lvlText w:val="•"/>
      <w:lvlJc w:val="left"/>
      <w:pPr>
        <w:tabs>
          <w:tab w:val="num" w:pos="4320"/>
        </w:tabs>
        <w:ind w:left="4320" w:hanging="360"/>
      </w:pPr>
      <w:rPr>
        <w:rFonts w:ascii="Arial" w:hAnsi="Arial" w:hint="default"/>
      </w:rPr>
    </w:lvl>
    <w:lvl w:ilvl="6" w:tplc="63E827B0" w:tentative="1">
      <w:start w:val="1"/>
      <w:numFmt w:val="bullet"/>
      <w:lvlText w:val="•"/>
      <w:lvlJc w:val="left"/>
      <w:pPr>
        <w:tabs>
          <w:tab w:val="num" w:pos="5040"/>
        </w:tabs>
        <w:ind w:left="5040" w:hanging="360"/>
      </w:pPr>
      <w:rPr>
        <w:rFonts w:ascii="Arial" w:hAnsi="Arial" w:hint="default"/>
      </w:rPr>
    </w:lvl>
    <w:lvl w:ilvl="7" w:tplc="CEDA368A" w:tentative="1">
      <w:start w:val="1"/>
      <w:numFmt w:val="bullet"/>
      <w:lvlText w:val="•"/>
      <w:lvlJc w:val="left"/>
      <w:pPr>
        <w:tabs>
          <w:tab w:val="num" w:pos="5760"/>
        </w:tabs>
        <w:ind w:left="5760" w:hanging="360"/>
      </w:pPr>
      <w:rPr>
        <w:rFonts w:ascii="Arial" w:hAnsi="Arial" w:hint="default"/>
      </w:rPr>
    </w:lvl>
    <w:lvl w:ilvl="8" w:tplc="ADA29738" w:tentative="1">
      <w:start w:val="1"/>
      <w:numFmt w:val="bullet"/>
      <w:lvlText w:val="•"/>
      <w:lvlJc w:val="left"/>
      <w:pPr>
        <w:tabs>
          <w:tab w:val="num" w:pos="6480"/>
        </w:tabs>
        <w:ind w:left="6480" w:hanging="360"/>
      </w:pPr>
      <w:rPr>
        <w:rFonts w:ascii="Arial" w:hAnsi="Arial" w:hint="default"/>
      </w:rPr>
    </w:lvl>
  </w:abstractNum>
  <w:abstractNum w:abstractNumId="70" w15:restartNumberingAfterBreak="0">
    <w:nsid w:val="6E910670"/>
    <w:multiLevelType w:val="hybridMultilevel"/>
    <w:tmpl w:val="9E360184"/>
    <w:lvl w:ilvl="0" w:tplc="D0E8D8EE">
      <w:start w:val="17"/>
      <w:numFmt w:val="bullet"/>
      <w:lvlText w:val=""/>
      <w:lvlJc w:val="left"/>
      <w:pPr>
        <w:ind w:left="720" w:hanging="360"/>
      </w:pPr>
      <w:rPr>
        <w:rFonts w:ascii="Symbol" w:eastAsia="Calibr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70245EE3"/>
    <w:multiLevelType w:val="hybridMultilevel"/>
    <w:tmpl w:val="CB3693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705E16C3"/>
    <w:multiLevelType w:val="hybridMultilevel"/>
    <w:tmpl w:val="D48482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73571EA8"/>
    <w:multiLevelType w:val="hybridMultilevel"/>
    <w:tmpl w:val="B1C682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735E370E"/>
    <w:multiLevelType w:val="hybridMultilevel"/>
    <w:tmpl w:val="3F74D6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73654532"/>
    <w:multiLevelType w:val="hybridMultilevel"/>
    <w:tmpl w:val="92F0A3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747B52D9"/>
    <w:multiLevelType w:val="hybridMultilevel"/>
    <w:tmpl w:val="201658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7" w15:restartNumberingAfterBreak="0">
    <w:nsid w:val="763B0CF5"/>
    <w:multiLevelType w:val="hybridMultilevel"/>
    <w:tmpl w:val="799E1F1C"/>
    <w:lvl w:ilvl="0" w:tplc="0748901E">
      <w:start w:val="1"/>
      <w:numFmt w:val="bullet"/>
      <w:pStyle w:val="ListBullet3"/>
      <w:lvlText w:val=""/>
      <w:lvlJc w:val="left"/>
      <w:pPr>
        <w:ind w:left="1514" w:hanging="360"/>
      </w:pPr>
      <w:rPr>
        <w:rFonts w:ascii="Wingdings" w:hAnsi="Wingdings"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abstractNum w:abstractNumId="78" w15:restartNumberingAfterBreak="0">
    <w:nsid w:val="77583B49"/>
    <w:multiLevelType w:val="hybridMultilevel"/>
    <w:tmpl w:val="34CE4F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79311FDC"/>
    <w:multiLevelType w:val="hybridMultilevel"/>
    <w:tmpl w:val="3CD087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7A5D0A1E"/>
    <w:multiLevelType w:val="hybridMultilevel"/>
    <w:tmpl w:val="9D622A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7D20074D"/>
    <w:multiLevelType w:val="hybridMultilevel"/>
    <w:tmpl w:val="9D682330"/>
    <w:lvl w:ilvl="0" w:tplc="4B0C93B8">
      <w:start w:val="1"/>
      <w:numFmt w:val="decimal"/>
      <w:lvlText w:val="%1."/>
      <w:lvlJc w:val="left"/>
      <w:pPr>
        <w:ind w:left="1080" w:hanging="72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1"/>
  </w:num>
  <w:num w:numId="5">
    <w:abstractNumId w:val="39"/>
  </w:num>
  <w:num w:numId="6">
    <w:abstractNumId w:val="19"/>
  </w:num>
  <w:num w:numId="7">
    <w:abstractNumId w:val="18"/>
  </w:num>
  <w:num w:numId="8">
    <w:abstractNumId w:val="56"/>
  </w:num>
  <w:num w:numId="9">
    <w:abstractNumId w:val="33"/>
  </w:num>
  <w:num w:numId="10">
    <w:abstractNumId w:val="24"/>
  </w:num>
  <w:num w:numId="11">
    <w:abstractNumId w:val="62"/>
  </w:num>
  <w:num w:numId="12">
    <w:abstractNumId w:val="0"/>
  </w:num>
  <w:num w:numId="13">
    <w:abstractNumId w:val="54"/>
  </w:num>
  <w:num w:numId="14">
    <w:abstractNumId w:val="66"/>
  </w:num>
  <w:num w:numId="15">
    <w:abstractNumId w:val="77"/>
  </w:num>
  <w:num w:numId="16">
    <w:abstractNumId w:val="60"/>
  </w:num>
  <w:num w:numId="17">
    <w:abstractNumId w:val="38"/>
  </w:num>
  <w:num w:numId="1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50"/>
  </w:num>
  <w:num w:numId="21">
    <w:abstractNumId w:val="61"/>
  </w:num>
  <w:num w:numId="2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4"/>
  </w:num>
  <w:num w:numId="29">
    <w:abstractNumId w:val="47"/>
  </w:num>
  <w:num w:numId="30">
    <w:abstractNumId w:val="23"/>
  </w:num>
  <w:num w:numId="31">
    <w:abstractNumId w:val="41"/>
  </w:num>
  <w:num w:numId="32">
    <w:abstractNumId w:val="31"/>
  </w:num>
  <w:num w:numId="33">
    <w:abstractNumId w:val="15"/>
  </w:num>
  <w:num w:numId="34">
    <w:abstractNumId w:val="17"/>
  </w:num>
  <w:num w:numId="35">
    <w:abstractNumId w:val="52"/>
  </w:num>
  <w:num w:numId="36">
    <w:abstractNumId w:val="20"/>
  </w:num>
  <w:num w:numId="37">
    <w:abstractNumId w:val="75"/>
  </w:num>
  <w:num w:numId="38">
    <w:abstractNumId w:val="43"/>
  </w:num>
  <w:num w:numId="39">
    <w:abstractNumId w:val="74"/>
  </w:num>
  <w:num w:numId="40">
    <w:abstractNumId w:val="9"/>
  </w:num>
  <w:num w:numId="41">
    <w:abstractNumId w:val="48"/>
  </w:num>
  <w:num w:numId="42">
    <w:abstractNumId w:val="14"/>
  </w:num>
  <w:num w:numId="43">
    <w:abstractNumId w:val="49"/>
  </w:num>
  <w:num w:numId="44">
    <w:abstractNumId w:val="72"/>
  </w:num>
  <w:num w:numId="45">
    <w:abstractNumId w:val="45"/>
  </w:num>
  <w:num w:numId="46">
    <w:abstractNumId w:val="22"/>
  </w:num>
  <w:num w:numId="47">
    <w:abstractNumId w:val="5"/>
  </w:num>
  <w:num w:numId="48">
    <w:abstractNumId w:val="58"/>
  </w:num>
  <w:num w:numId="49">
    <w:abstractNumId w:val="63"/>
  </w:num>
  <w:num w:numId="50">
    <w:abstractNumId w:val="26"/>
  </w:num>
  <w:num w:numId="51">
    <w:abstractNumId w:val="68"/>
  </w:num>
  <w:num w:numId="52">
    <w:abstractNumId w:val="53"/>
  </w:num>
  <w:num w:numId="53">
    <w:abstractNumId w:val="16"/>
  </w:num>
  <w:num w:numId="54">
    <w:abstractNumId w:val="71"/>
  </w:num>
  <w:num w:numId="55">
    <w:abstractNumId w:val="40"/>
  </w:num>
  <w:num w:numId="56">
    <w:abstractNumId w:val="29"/>
  </w:num>
  <w:num w:numId="57">
    <w:abstractNumId w:val="65"/>
  </w:num>
  <w:num w:numId="58">
    <w:abstractNumId w:val="55"/>
  </w:num>
  <w:num w:numId="59">
    <w:abstractNumId w:val="44"/>
  </w:num>
  <w:num w:numId="60">
    <w:abstractNumId w:val="34"/>
  </w:num>
  <w:num w:numId="61">
    <w:abstractNumId w:val="51"/>
  </w:num>
  <w:num w:numId="62">
    <w:abstractNumId w:val="73"/>
  </w:num>
  <w:num w:numId="63">
    <w:abstractNumId w:val="25"/>
  </w:num>
  <w:num w:numId="64">
    <w:abstractNumId w:val="35"/>
  </w:num>
  <w:num w:numId="65">
    <w:abstractNumId w:val="27"/>
  </w:num>
  <w:num w:numId="66">
    <w:abstractNumId w:val="37"/>
  </w:num>
  <w:num w:numId="67">
    <w:abstractNumId w:val="69"/>
  </w:num>
  <w:num w:numId="68">
    <w:abstractNumId w:val="78"/>
  </w:num>
  <w:num w:numId="69">
    <w:abstractNumId w:val="30"/>
  </w:num>
  <w:num w:numId="70">
    <w:abstractNumId w:val="7"/>
  </w:num>
  <w:num w:numId="71">
    <w:abstractNumId w:val="79"/>
  </w:num>
  <w:num w:numId="72">
    <w:abstractNumId w:val="21"/>
  </w:num>
  <w:num w:numId="73">
    <w:abstractNumId w:val="46"/>
  </w:num>
  <w:num w:numId="74">
    <w:abstractNumId w:val="67"/>
  </w:num>
  <w:num w:numId="75">
    <w:abstractNumId w:val="76"/>
  </w:num>
  <w:num w:numId="7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36"/>
  </w:num>
  <w:num w:numId="78">
    <w:abstractNumId w:val="57"/>
  </w:num>
  <w:num w:numId="79">
    <w:abstractNumId w:val="8"/>
  </w:num>
  <w:num w:numId="80">
    <w:abstractNumId w:val="12"/>
  </w:num>
  <w:num w:numId="81">
    <w:abstractNumId w:val="80"/>
  </w:num>
  <w:num w:numId="82">
    <w:abstractNumId w:val="81"/>
  </w:num>
  <w:num w:numId="83">
    <w:abstractNumId w:val="6"/>
  </w:num>
  <w:num w:numId="84">
    <w:abstractNumId w:val="70"/>
  </w:num>
  <w:num w:numId="85">
    <w:abstractNumId w:val="11"/>
  </w:num>
  <w:num w:numId="86">
    <w:abstractNumId w:val="3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28"/>
  </w:num>
  <w:num w:numId="88">
    <w:abstractNumId w:val="59"/>
  </w:num>
  <w:num w:numId="89">
    <w:abstractNumId w:val="42"/>
  </w:num>
  <w:num w:numId="90">
    <w:abstractNumId w:val="32"/>
  </w:num>
  <w:num w:numId="91">
    <w:abstractNumId w:val="13"/>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attachedTemplate r:id="rId1"/>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20"/>
  <w:evenAndOddHeaders/>
  <w:drawingGridHorizontalSpacing w:val="110"/>
  <w:displayHorizontalDrawingGridEvery w:val="2"/>
  <w:characterSpacingControl w:val="doNotCompress"/>
  <w:hdrShapeDefaults>
    <o:shapedefaults v:ext="edit" spidmax="2049" style="mso-position-vertical-relative:page;v-text-anchor:bottom" fill="f" fillcolor="white" stroke="f">
      <v:fill color="white" on="f"/>
      <v:stroke on="f"/>
      <v:textbox inset="0,0,0,0"/>
      <o:colormru v:ext="edit" colors="#ddd,#f8f8f8"/>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lourChosen" w:val="Core"/>
    <w:docVar w:name="CoverChosen" w:val="Standard"/>
    <w:docVar w:name="EN.InstantFormat" w:val="&lt;ENInstantFormat&gt;&lt;Enabled&gt;1&lt;/Enabled&gt;&lt;ScanUnformatted&gt;1&lt;/ScanUnformatted&gt;&lt;ScanChanges&gt;1&lt;/ScanChanges&gt;&lt;Suspended&gt;0&lt;/Suspended&gt;&lt;/ENInstantFormat&gt;"/>
    <w:docVar w:name="EN.Layout" w:val="&lt;ENLayout&gt;&lt;Style&gt;Author-Date&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2&lt;/SpaceAfter&gt;&lt;HyperlinksEnabled&gt;0&lt;/HyperlinksEnabled&gt;&lt;HyperlinksVisible&gt;0&lt;/HyperlinksVisible&gt;&lt;EnableBibliographyCategories&gt;0&lt;/EnableBibliographyCategories&gt;&lt;/ENLayout&gt;"/>
    <w:docVar w:name="EN.Libraries" w:val="&lt;Libraries&gt;&lt;item db-id=&quot;5xv5w5t2bdxtxfezx02xtxdft5rz5ptvvt29&quot;&gt;E Cig search-2-Saved&lt;record-ids&gt;&lt;item&gt;132&lt;/item&gt;&lt;item&gt;186&lt;/item&gt;&lt;item&gt;275&lt;/item&gt;&lt;item&gt;296&lt;/item&gt;&lt;item&gt;449&lt;/item&gt;&lt;item&gt;540&lt;/item&gt;&lt;item&gt;567&lt;/item&gt;&lt;item&gt;788&lt;/item&gt;&lt;item&gt;798&lt;/item&gt;&lt;item&gt;4586&lt;/item&gt;&lt;item&gt;5952&lt;/item&gt;&lt;item&gt;7073&lt;/item&gt;&lt;item&gt;8429&lt;/item&gt;&lt;item&gt;11418&lt;/item&gt;&lt;item&gt;11431&lt;/item&gt;&lt;item&gt;11435&lt;/item&gt;&lt;item&gt;11436&lt;/item&gt;&lt;item&gt;11442&lt;/item&gt;&lt;item&gt;11466&lt;/item&gt;&lt;item&gt;12245&lt;/item&gt;&lt;item&gt;12264&lt;/item&gt;&lt;item&gt;12330&lt;/item&gt;&lt;item&gt;12355&lt;/item&gt;&lt;item&gt;13024&lt;/item&gt;&lt;item&gt;13025&lt;/item&gt;&lt;item&gt;13026&lt;/item&gt;&lt;item&gt;13416&lt;/item&gt;&lt;item&gt;13417&lt;/item&gt;&lt;item&gt;13420&lt;/item&gt;&lt;item&gt;13421&lt;/item&gt;&lt;item&gt;13422&lt;/item&gt;&lt;item&gt;13423&lt;/item&gt;&lt;item&gt;13424&lt;/item&gt;&lt;item&gt;13425&lt;/item&gt;&lt;item&gt;13426&lt;/item&gt;&lt;item&gt;13428&lt;/item&gt;&lt;item&gt;13431&lt;/item&gt;&lt;item&gt;13432&lt;/item&gt;&lt;item&gt;13433&lt;/item&gt;&lt;item&gt;13434&lt;/item&gt;&lt;item&gt;13435&lt;/item&gt;&lt;item&gt;13438&lt;/item&gt;&lt;item&gt;13999&lt;/item&gt;&lt;item&gt;14130&lt;/item&gt;&lt;item&gt;17000&lt;/item&gt;&lt;item&gt;17001&lt;/item&gt;&lt;/record-ids&gt;&lt;/item&gt;&lt;/Libraries&gt;"/>
  </w:docVars>
  <w:rsids>
    <w:rsidRoot w:val="003817CB"/>
    <w:rsid w:val="00000EEA"/>
    <w:rsid w:val="00001864"/>
    <w:rsid w:val="00002AA7"/>
    <w:rsid w:val="000031E1"/>
    <w:rsid w:val="00003554"/>
    <w:rsid w:val="00003970"/>
    <w:rsid w:val="00010362"/>
    <w:rsid w:val="00011FC6"/>
    <w:rsid w:val="000126EB"/>
    <w:rsid w:val="00013E76"/>
    <w:rsid w:val="00015E82"/>
    <w:rsid w:val="00016A48"/>
    <w:rsid w:val="0001775B"/>
    <w:rsid w:val="00020358"/>
    <w:rsid w:val="00022CFC"/>
    <w:rsid w:val="00024F6E"/>
    <w:rsid w:val="00025FD5"/>
    <w:rsid w:val="0002686D"/>
    <w:rsid w:val="000312EA"/>
    <w:rsid w:val="000316D4"/>
    <w:rsid w:val="0003217B"/>
    <w:rsid w:val="00032C10"/>
    <w:rsid w:val="000331D4"/>
    <w:rsid w:val="00035F43"/>
    <w:rsid w:val="000369B2"/>
    <w:rsid w:val="000376C7"/>
    <w:rsid w:val="00041397"/>
    <w:rsid w:val="00042A1A"/>
    <w:rsid w:val="00043876"/>
    <w:rsid w:val="000443E1"/>
    <w:rsid w:val="00046533"/>
    <w:rsid w:val="0005048B"/>
    <w:rsid w:val="00050504"/>
    <w:rsid w:val="00051219"/>
    <w:rsid w:val="00051456"/>
    <w:rsid w:val="00051DFF"/>
    <w:rsid w:val="0005226F"/>
    <w:rsid w:val="0005371F"/>
    <w:rsid w:val="00053E83"/>
    <w:rsid w:val="00055567"/>
    <w:rsid w:val="00056FD0"/>
    <w:rsid w:val="0005727F"/>
    <w:rsid w:val="00060A76"/>
    <w:rsid w:val="000611C8"/>
    <w:rsid w:val="000624B3"/>
    <w:rsid w:val="00064612"/>
    <w:rsid w:val="00065046"/>
    <w:rsid w:val="000667A4"/>
    <w:rsid w:val="00066921"/>
    <w:rsid w:val="00067B0B"/>
    <w:rsid w:val="00070652"/>
    <w:rsid w:val="00071C9B"/>
    <w:rsid w:val="000732B3"/>
    <w:rsid w:val="000740B5"/>
    <w:rsid w:val="00074DFE"/>
    <w:rsid w:val="00075774"/>
    <w:rsid w:val="00075B0B"/>
    <w:rsid w:val="000808AB"/>
    <w:rsid w:val="000815C2"/>
    <w:rsid w:val="0008362F"/>
    <w:rsid w:val="00083CBE"/>
    <w:rsid w:val="00083FBD"/>
    <w:rsid w:val="00085DC0"/>
    <w:rsid w:val="00086B81"/>
    <w:rsid w:val="00087ADA"/>
    <w:rsid w:val="00092811"/>
    <w:rsid w:val="00094ECE"/>
    <w:rsid w:val="00097504"/>
    <w:rsid w:val="000979AD"/>
    <w:rsid w:val="000A2001"/>
    <w:rsid w:val="000A2C8E"/>
    <w:rsid w:val="000A3834"/>
    <w:rsid w:val="000A39C0"/>
    <w:rsid w:val="000A6F40"/>
    <w:rsid w:val="000A7697"/>
    <w:rsid w:val="000B0A3D"/>
    <w:rsid w:val="000B0B63"/>
    <w:rsid w:val="000B1470"/>
    <w:rsid w:val="000B3486"/>
    <w:rsid w:val="000B5676"/>
    <w:rsid w:val="000B5A34"/>
    <w:rsid w:val="000B65DD"/>
    <w:rsid w:val="000B78E3"/>
    <w:rsid w:val="000C02C0"/>
    <w:rsid w:val="000C05F1"/>
    <w:rsid w:val="000C06DA"/>
    <w:rsid w:val="000C0940"/>
    <w:rsid w:val="000C0E41"/>
    <w:rsid w:val="000C2593"/>
    <w:rsid w:val="000C25B0"/>
    <w:rsid w:val="000C4051"/>
    <w:rsid w:val="000C5523"/>
    <w:rsid w:val="000C5815"/>
    <w:rsid w:val="000C6082"/>
    <w:rsid w:val="000C61C0"/>
    <w:rsid w:val="000C65A3"/>
    <w:rsid w:val="000C76F6"/>
    <w:rsid w:val="000C7D15"/>
    <w:rsid w:val="000C7E32"/>
    <w:rsid w:val="000D0298"/>
    <w:rsid w:val="000D0898"/>
    <w:rsid w:val="000D0A02"/>
    <w:rsid w:val="000D159F"/>
    <w:rsid w:val="000D19DE"/>
    <w:rsid w:val="000D35F3"/>
    <w:rsid w:val="000D436B"/>
    <w:rsid w:val="000D5F1F"/>
    <w:rsid w:val="000D6B9E"/>
    <w:rsid w:val="000D6D2F"/>
    <w:rsid w:val="000E1CF3"/>
    <w:rsid w:val="000E2422"/>
    <w:rsid w:val="000E2E72"/>
    <w:rsid w:val="000E52A5"/>
    <w:rsid w:val="000E599F"/>
    <w:rsid w:val="000E5A51"/>
    <w:rsid w:val="000E5C99"/>
    <w:rsid w:val="000E6BF4"/>
    <w:rsid w:val="000E7391"/>
    <w:rsid w:val="000F0E2F"/>
    <w:rsid w:val="000F1EC3"/>
    <w:rsid w:val="000F1FE4"/>
    <w:rsid w:val="000F40A5"/>
    <w:rsid w:val="000F49E0"/>
    <w:rsid w:val="000F714C"/>
    <w:rsid w:val="000F729A"/>
    <w:rsid w:val="00100020"/>
    <w:rsid w:val="00101A2A"/>
    <w:rsid w:val="00102043"/>
    <w:rsid w:val="00102AD0"/>
    <w:rsid w:val="00103432"/>
    <w:rsid w:val="00103865"/>
    <w:rsid w:val="00104FBD"/>
    <w:rsid w:val="00105146"/>
    <w:rsid w:val="0010552F"/>
    <w:rsid w:val="001063CD"/>
    <w:rsid w:val="001067F0"/>
    <w:rsid w:val="001068F9"/>
    <w:rsid w:val="001100D4"/>
    <w:rsid w:val="0011346D"/>
    <w:rsid w:val="00114560"/>
    <w:rsid w:val="0011470B"/>
    <w:rsid w:val="00114799"/>
    <w:rsid w:val="00114B30"/>
    <w:rsid w:val="00116C3E"/>
    <w:rsid w:val="00117E0F"/>
    <w:rsid w:val="00117E59"/>
    <w:rsid w:val="00121EB0"/>
    <w:rsid w:val="0012201E"/>
    <w:rsid w:val="0012376D"/>
    <w:rsid w:val="00123BCC"/>
    <w:rsid w:val="00123FD7"/>
    <w:rsid w:val="001249CC"/>
    <w:rsid w:val="00127806"/>
    <w:rsid w:val="001304FE"/>
    <w:rsid w:val="0013089B"/>
    <w:rsid w:val="00132F76"/>
    <w:rsid w:val="0013384F"/>
    <w:rsid w:val="0013396C"/>
    <w:rsid w:val="0013484F"/>
    <w:rsid w:val="00134FC3"/>
    <w:rsid w:val="001362D8"/>
    <w:rsid w:val="00136B7F"/>
    <w:rsid w:val="001400A4"/>
    <w:rsid w:val="0014096C"/>
    <w:rsid w:val="0014181A"/>
    <w:rsid w:val="00141D5A"/>
    <w:rsid w:val="001424BA"/>
    <w:rsid w:val="001468AC"/>
    <w:rsid w:val="00146AB9"/>
    <w:rsid w:val="001514E1"/>
    <w:rsid w:val="001516D3"/>
    <w:rsid w:val="001523C1"/>
    <w:rsid w:val="001530F3"/>
    <w:rsid w:val="0015386A"/>
    <w:rsid w:val="00154168"/>
    <w:rsid w:val="00155FCB"/>
    <w:rsid w:val="0015605C"/>
    <w:rsid w:val="00157AAE"/>
    <w:rsid w:val="00160B14"/>
    <w:rsid w:val="00161BB6"/>
    <w:rsid w:val="0016525D"/>
    <w:rsid w:val="001676A3"/>
    <w:rsid w:val="001700F7"/>
    <w:rsid w:val="001708B3"/>
    <w:rsid w:val="00173C4D"/>
    <w:rsid w:val="00174817"/>
    <w:rsid w:val="00174A49"/>
    <w:rsid w:val="00175388"/>
    <w:rsid w:val="00175AAE"/>
    <w:rsid w:val="001761BE"/>
    <w:rsid w:val="0017638C"/>
    <w:rsid w:val="0017651E"/>
    <w:rsid w:val="00177270"/>
    <w:rsid w:val="001772D6"/>
    <w:rsid w:val="001774EB"/>
    <w:rsid w:val="0017758B"/>
    <w:rsid w:val="00181495"/>
    <w:rsid w:val="001860DD"/>
    <w:rsid w:val="00187814"/>
    <w:rsid w:val="00190E0B"/>
    <w:rsid w:val="001921AC"/>
    <w:rsid w:val="00192E59"/>
    <w:rsid w:val="00193162"/>
    <w:rsid w:val="00194315"/>
    <w:rsid w:val="00194542"/>
    <w:rsid w:val="00195301"/>
    <w:rsid w:val="00196146"/>
    <w:rsid w:val="00196B5C"/>
    <w:rsid w:val="001A1020"/>
    <w:rsid w:val="001A1A1F"/>
    <w:rsid w:val="001A26B3"/>
    <w:rsid w:val="001A2F6D"/>
    <w:rsid w:val="001A4F50"/>
    <w:rsid w:val="001B00A0"/>
    <w:rsid w:val="001B093A"/>
    <w:rsid w:val="001B0D5E"/>
    <w:rsid w:val="001B23ED"/>
    <w:rsid w:val="001B2B62"/>
    <w:rsid w:val="001B34DE"/>
    <w:rsid w:val="001B3BE7"/>
    <w:rsid w:val="001B51E8"/>
    <w:rsid w:val="001B6CB5"/>
    <w:rsid w:val="001B79DA"/>
    <w:rsid w:val="001B7BF3"/>
    <w:rsid w:val="001C07F5"/>
    <w:rsid w:val="001C3137"/>
    <w:rsid w:val="001C4A79"/>
    <w:rsid w:val="001C540A"/>
    <w:rsid w:val="001C57E9"/>
    <w:rsid w:val="001C5CA5"/>
    <w:rsid w:val="001C6336"/>
    <w:rsid w:val="001C663B"/>
    <w:rsid w:val="001D0255"/>
    <w:rsid w:val="001D1412"/>
    <w:rsid w:val="001D2E0E"/>
    <w:rsid w:val="001D36DC"/>
    <w:rsid w:val="001D3F2E"/>
    <w:rsid w:val="001D4D59"/>
    <w:rsid w:val="001D713C"/>
    <w:rsid w:val="001D7243"/>
    <w:rsid w:val="001D73E2"/>
    <w:rsid w:val="001E2D97"/>
    <w:rsid w:val="001E30E8"/>
    <w:rsid w:val="001E3461"/>
    <w:rsid w:val="001E4C59"/>
    <w:rsid w:val="001E5299"/>
    <w:rsid w:val="001E52F0"/>
    <w:rsid w:val="001E531C"/>
    <w:rsid w:val="001E6EA4"/>
    <w:rsid w:val="001F1CF2"/>
    <w:rsid w:val="001F34CC"/>
    <w:rsid w:val="001F524F"/>
    <w:rsid w:val="001F62C8"/>
    <w:rsid w:val="001F6951"/>
    <w:rsid w:val="001F6DB6"/>
    <w:rsid w:val="0020034E"/>
    <w:rsid w:val="00201C06"/>
    <w:rsid w:val="00204E3B"/>
    <w:rsid w:val="00207117"/>
    <w:rsid w:val="00207E99"/>
    <w:rsid w:val="002101A4"/>
    <w:rsid w:val="002109F9"/>
    <w:rsid w:val="002137D2"/>
    <w:rsid w:val="00214176"/>
    <w:rsid w:val="00214440"/>
    <w:rsid w:val="00215132"/>
    <w:rsid w:val="002154A2"/>
    <w:rsid w:val="0021563A"/>
    <w:rsid w:val="002156C8"/>
    <w:rsid w:val="00221A8F"/>
    <w:rsid w:val="00221D5A"/>
    <w:rsid w:val="002225C9"/>
    <w:rsid w:val="0022431B"/>
    <w:rsid w:val="0022544A"/>
    <w:rsid w:val="002254A0"/>
    <w:rsid w:val="002256CA"/>
    <w:rsid w:val="002274F9"/>
    <w:rsid w:val="00232B56"/>
    <w:rsid w:val="0023434B"/>
    <w:rsid w:val="00234391"/>
    <w:rsid w:val="0023535D"/>
    <w:rsid w:val="00235C5A"/>
    <w:rsid w:val="0023695A"/>
    <w:rsid w:val="0023709D"/>
    <w:rsid w:val="002375F6"/>
    <w:rsid w:val="002418DA"/>
    <w:rsid w:val="00241BAC"/>
    <w:rsid w:val="002421F2"/>
    <w:rsid w:val="0024650E"/>
    <w:rsid w:val="0024666C"/>
    <w:rsid w:val="00247CCC"/>
    <w:rsid w:val="00251072"/>
    <w:rsid w:val="00251361"/>
    <w:rsid w:val="0025177C"/>
    <w:rsid w:val="00251DB2"/>
    <w:rsid w:val="00251DDE"/>
    <w:rsid w:val="00252CBB"/>
    <w:rsid w:val="00253360"/>
    <w:rsid w:val="00256378"/>
    <w:rsid w:val="002579B2"/>
    <w:rsid w:val="00260CC9"/>
    <w:rsid w:val="00263A58"/>
    <w:rsid w:val="00266D10"/>
    <w:rsid w:val="00267364"/>
    <w:rsid w:val="0026739B"/>
    <w:rsid w:val="00270246"/>
    <w:rsid w:val="00271B16"/>
    <w:rsid w:val="00272382"/>
    <w:rsid w:val="002738DD"/>
    <w:rsid w:val="00273920"/>
    <w:rsid w:val="00273A31"/>
    <w:rsid w:val="00274483"/>
    <w:rsid w:val="00274AF6"/>
    <w:rsid w:val="00274DF1"/>
    <w:rsid w:val="00274FEA"/>
    <w:rsid w:val="00276915"/>
    <w:rsid w:val="00276E3E"/>
    <w:rsid w:val="00277240"/>
    <w:rsid w:val="00277610"/>
    <w:rsid w:val="00277A23"/>
    <w:rsid w:val="00280E4B"/>
    <w:rsid w:val="00281E30"/>
    <w:rsid w:val="00282556"/>
    <w:rsid w:val="00283F5A"/>
    <w:rsid w:val="002852DB"/>
    <w:rsid w:val="00285A90"/>
    <w:rsid w:val="00285F27"/>
    <w:rsid w:val="0028647C"/>
    <w:rsid w:val="002867E3"/>
    <w:rsid w:val="00287FBB"/>
    <w:rsid w:val="0029026E"/>
    <w:rsid w:val="002912E0"/>
    <w:rsid w:val="0029371B"/>
    <w:rsid w:val="00293EB0"/>
    <w:rsid w:val="00294B94"/>
    <w:rsid w:val="00295D01"/>
    <w:rsid w:val="002A1D1F"/>
    <w:rsid w:val="002A1D3A"/>
    <w:rsid w:val="002A47DB"/>
    <w:rsid w:val="002A5A18"/>
    <w:rsid w:val="002A5D8F"/>
    <w:rsid w:val="002A658F"/>
    <w:rsid w:val="002A6A2E"/>
    <w:rsid w:val="002A797A"/>
    <w:rsid w:val="002B2612"/>
    <w:rsid w:val="002B308C"/>
    <w:rsid w:val="002B3E6E"/>
    <w:rsid w:val="002B4524"/>
    <w:rsid w:val="002B4F8A"/>
    <w:rsid w:val="002B5422"/>
    <w:rsid w:val="002C0138"/>
    <w:rsid w:val="002C54A6"/>
    <w:rsid w:val="002C64DC"/>
    <w:rsid w:val="002C7ED2"/>
    <w:rsid w:val="002D0412"/>
    <w:rsid w:val="002D0E2A"/>
    <w:rsid w:val="002D166D"/>
    <w:rsid w:val="002D19CD"/>
    <w:rsid w:val="002D348A"/>
    <w:rsid w:val="002D4199"/>
    <w:rsid w:val="002D5A1D"/>
    <w:rsid w:val="002D688F"/>
    <w:rsid w:val="002E00BA"/>
    <w:rsid w:val="002E0A2A"/>
    <w:rsid w:val="002E0C1E"/>
    <w:rsid w:val="002E11E5"/>
    <w:rsid w:val="002E3AED"/>
    <w:rsid w:val="002E3B33"/>
    <w:rsid w:val="002E3BB0"/>
    <w:rsid w:val="002E43B9"/>
    <w:rsid w:val="002E4494"/>
    <w:rsid w:val="002E46BE"/>
    <w:rsid w:val="002E4970"/>
    <w:rsid w:val="002E6619"/>
    <w:rsid w:val="002E7AB1"/>
    <w:rsid w:val="002E7DC9"/>
    <w:rsid w:val="002F0071"/>
    <w:rsid w:val="002F06CC"/>
    <w:rsid w:val="002F3A5A"/>
    <w:rsid w:val="002F3A71"/>
    <w:rsid w:val="002F5550"/>
    <w:rsid w:val="002F5CD7"/>
    <w:rsid w:val="002F6563"/>
    <w:rsid w:val="002F6753"/>
    <w:rsid w:val="002F7620"/>
    <w:rsid w:val="002F7A19"/>
    <w:rsid w:val="003008C9"/>
    <w:rsid w:val="00301538"/>
    <w:rsid w:val="00301C5C"/>
    <w:rsid w:val="003036A2"/>
    <w:rsid w:val="003036D6"/>
    <w:rsid w:val="00304924"/>
    <w:rsid w:val="00304AFD"/>
    <w:rsid w:val="003053C7"/>
    <w:rsid w:val="003059EB"/>
    <w:rsid w:val="00306A4B"/>
    <w:rsid w:val="00307B3C"/>
    <w:rsid w:val="00310421"/>
    <w:rsid w:val="00310CA6"/>
    <w:rsid w:val="00310F90"/>
    <w:rsid w:val="003126D1"/>
    <w:rsid w:val="003139EB"/>
    <w:rsid w:val="00313CAE"/>
    <w:rsid w:val="003143D2"/>
    <w:rsid w:val="00315DDA"/>
    <w:rsid w:val="0031605A"/>
    <w:rsid w:val="003178F6"/>
    <w:rsid w:val="0032034E"/>
    <w:rsid w:val="00320351"/>
    <w:rsid w:val="00322BA1"/>
    <w:rsid w:val="00326E8E"/>
    <w:rsid w:val="0032796C"/>
    <w:rsid w:val="00331731"/>
    <w:rsid w:val="00333EE9"/>
    <w:rsid w:val="00333EED"/>
    <w:rsid w:val="0033551F"/>
    <w:rsid w:val="00335B63"/>
    <w:rsid w:val="00340806"/>
    <w:rsid w:val="00341EB9"/>
    <w:rsid w:val="00341FFE"/>
    <w:rsid w:val="003423C7"/>
    <w:rsid w:val="003425BE"/>
    <w:rsid w:val="00342CBA"/>
    <w:rsid w:val="003447F0"/>
    <w:rsid w:val="003450A8"/>
    <w:rsid w:val="00345C0A"/>
    <w:rsid w:val="003461B2"/>
    <w:rsid w:val="0034780C"/>
    <w:rsid w:val="00347F60"/>
    <w:rsid w:val="00353B8B"/>
    <w:rsid w:val="00354CA1"/>
    <w:rsid w:val="0035514A"/>
    <w:rsid w:val="00355B43"/>
    <w:rsid w:val="00357251"/>
    <w:rsid w:val="003579A8"/>
    <w:rsid w:val="00357F24"/>
    <w:rsid w:val="00360355"/>
    <w:rsid w:val="00360569"/>
    <w:rsid w:val="00361EE2"/>
    <w:rsid w:val="0036319D"/>
    <w:rsid w:val="003655B4"/>
    <w:rsid w:val="0036584A"/>
    <w:rsid w:val="00365A1F"/>
    <w:rsid w:val="00370EE5"/>
    <w:rsid w:val="00371ED0"/>
    <w:rsid w:val="00372370"/>
    <w:rsid w:val="00374180"/>
    <w:rsid w:val="00377E40"/>
    <w:rsid w:val="00381785"/>
    <w:rsid w:val="003817CB"/>
    <w:rsid w:val="00382853"/>
    <w:rsid w:val="00383ADF"/>
    <w:rsid w:val="0038407D"/>
    <w:rsid w:val="00387974"/>
    <w:rsid w:val="00390015"/>
    <w:rsid w:val="0039270B"/>
    <w:rsid w:val="00393176"/>
    <w:rsid w:val="003940C9"/>
    <w:rsid w:val="00394C1E"/>
    <w:rsid w:val="00395EF5"/>
    <w:rsid w:val="003960CD"/>
    <w:rsid w:val="0039729E"/>
    <w:rsid w:val="00397A81"/>
    <w:rsid w:val="003A2FF2"/>
    <w:rsid w:val="003A3052"/>
    <w:rsid w:val="003A3919"/>
    <w:rsid w:val="003A476E"/>
    <w:rsid w:val="003A4AF4"/>
    <w:rsid w:val="003A4F0C"/>
    <w:rsid w:val="003A56EA"/>
    <w:rsid w:val="003A647C"/>
    <w:rsid w:val="003A710E"/>
    <w:rsid w:val="003B0D09"/>
    <w:rsid w:val="003B1238"/>
    <w:rsid w:val="003B4380"/>
    <w:rsid w:val="003B58A6"/>
    <w:rsid w:val="003C3988"/>
    <w:rsid w:val="003C3AFB"/>
    <w:rsid w:val="003C40B6"/>
    <w:rsid w:val="003C4161"/>
    <w:rsid w:val="003C4968"/>
    <w:rsid w:val="003D1D65"/>
    <w:rsid w:val="003D2140"/>
    <w:rsid w:val="003D26A3"/>
    <w:rsid w:val="003D2CBD"/>
    <w:rsid w:val="003D3EFD"/>
    <w:rsid w:val="003D43C5"/>
    <w:rsid w:val="003D5827"/>
    <w:rsid w:val="003D58B3"/>
    <w:rsid w:val="003D62C9"/>
    <w:rsid w:val="003D641F"/>
    <w:rsid w:val="003D6565"/>
    <w:rsid w:val="003D6CFE"/>
    <w:rsid w:val="003D778D"/>
    <w:rsid w:val="003E27E2"/>
    <w:rsid w:val="003E3972"/>
    <w:rsid w:val="003E6AF9"/>
    <w:rsid w:val="003E7491"/>
    <w:rsid w:val="003F061A"/>
    <w:rsid w:val="003F1806"/>
    <w:rsid w:val="003F1FBD"/>
    <w:rsid w:val="003F5D80"/>
    <w:rsid w:val="003F6EAD"/>
    <w:rsid w:val="003F6EDF"/>
    <w:rsid w:val="00400F03"/>
    <w:rsid w:val="0040108B"/>
    <w:rsid w:val="00401C9F"/>
    <w:rsid w:val="00401F0B"/>
    <w:rsid w:val="004020D1"/>
    <w:rsid w:val="00403E1B"/>
    <w:rsid w:val="004041FE"/>
    <w:rsid w:val="004042BB"/>
    <w:rsid w:val="004052B1"/>
    <w:rsid w:val="004058E9"/>
    <w:rsid w:val="004070AA"/>
    <w:rsid w:val="0040799A"/>
    <w:rsid w:val="00410CB7"/>
    <w:rsid w:val="00411649"/>
    <w:rsid w:val="0041196A"/>
    <w:rsid w:val="00411FA7"/>
    <w:rsid w:val="00412553"/>
    <w:rsid w:val="00412D3F"/>
    <w:rsid w:val="0041331E"/>
    <w:rsid w:val="004134DD"/>
    <w:rsid w:val="0041517D"/>
    <w:rsid w:val="00416DF7"/>
    <w:rsid w:val="00420CC0"/>
    <w:rsid w:val="0042339A"/>
    <w:rsid w:val="00424719"/>
    <w:rsid w:val="00425B20"/>
    <w:rsid w:val="00426E97"/>
    <w:rsid w:val="00427939"/>
    <w:rsid w:val="00427D0D"/>
    <w:rsid w:val="00430400"/>
    <w:rsid w:val="0043076C"/>
    <w:rsid w:val="004307D1"/>
    <w:rsid w:val="0043170A"/>
    <w:rsid w:val="00432383"/>
    <w:rsid w:val="00432A7B"/>
    <w:rsid w:val="00436249"/>
    <w:rsid w:val="004362E3"/>
    <w:rsid w:val="004366A9"/>
    <w:rsid w:val="00440CFE"/>
    <w:rsid w:val="00441D99"/>
    <w:rsid w:val="00444967"/>
    <w:rsid w:val="00444D4A"/>
    <w:rsid w:val="00445908"/>
    <w:rsid w:val="004459B1"/>
    <w:rsid w:val="0045075B"/>
    <w:rsid w:val="00450B7D"/>
    <w:rsid w:val="00450C41"/>
    <w:rsid w:val="0045288A"/>
    <w:rsid w:val="00455807"/>
    <w:rsid w:val="00457440"/>
    <w:rsid w:val="004607CA"/>
    <w:rsid w:val="0046209B"/>
    <w:rsid w:val="00462182"/>
    <w:rsid w:val="00462183"/>
    <w:rsid w:val="00462FFD"/>
    <w:rsid w:val="00463ED6"/>
    <w:rsid w:val="00464634"/>
    <w:rsid w:val="00465B49"/>
    <w:rsid w:val="00466556"/>
    <w:rsid w:val="004666B7"/>
    <w:rsid w:val="00467438"/>
    <w:rsid w:val="004712A8"/>
    <w:rsid w:val="00471DED"/>
    <w:rsid w:val="00472F42"/>
    <w:rsid w:val="0047438C"/>
    <w:rsid w:val="004750D0"/>
    <w:rsid w:val="00475BB5"/>
    <w:rsid w:val="00475EB7"/>
    <w:rsid w:val="00476460"/>
    <w:rsid w:val="004766E5"/>
    <w:rsid w:val="004769EC"/>
    <w:rsid w:val="0048064B"/>
    <w:rsid w:val="004826CF"/>
    <w:rsid w:val="00483624"/>
    <w:rsid w:val="00483F64"/>
    <w:rsid w:val="0048420E"/>
    <w:rsid w:val="0048450F"/>
    <w:rsid w:val="004849F7"/>
    <w:rsid w:val="00485D9F"/>
    <w:rsid w:val="004861B6"/>
    <w:rsid w:val="0048768F"/>
    <w:rsid w:val="00487D3D"/>
    <w:rsid w:val="00491B05"/>
    <w:rsid w:val="00492547"/>
    <w:rsid w:val="0049340A"/>
    <w:rsid w:val="00494587"/>
    <w:rsid w:val="00494743"/>
    <w:rsid w:val="00495900"/>
    <w:rsid w:val="004A067D"/>
    <w:rsid w:val="004A4028"/>
    <w:rsid w:val="004A575F"/>
    <w:rsid w:val="004A5B33"/>
    <w:rsid w:val="004A6C5C"/>
    <w:rsid w:val="004A7FA7"/>
    <w:rsid w:val="004B1330"/>
    <w:rsid w:val="004B1604"/>
    <w:rsid w:val="004B2DAA"/>
    <w:rsid w:val="004B5020"/>
    <w:rsid w:val="004B5AC9"/>
    <w:rsid w:val="004C08B6"/>
    <w:rsid w:val="004C0BEF"/>
    <w:rsid w:val="004C0D00"/>
    <w:rsid w:val="004C11CE"/>
    <w:rsid w:val="004C14AB"/>
    <w:rsid w:val="004C1688"/>
    <w:rsid w:val="004C2600"/>
    <w:rsid w:val="004C3462"/>
    <w:rsid w:val="004C4754"/>
    <w:rsid w:val="004C5772"/>
    <w:rsid w:val="004C634C"/>
    <w:rsid w:val="004C6D16"/>
    <w:rsid w:val="004D0A90"/>
    <w:rsid w:val="004D139E"/>
    <w:rsid w:val="004D169A"/>
    <w:rsid w:val="004D1CE2"/>
    <w:rsid w:val="004D37B7"/>
    <w:rsid w:val="004D3DB4"/>
    <w:rsid w:val="004D44AC"/>
    <w:rsid w:val="004D536E"/>
    <w:rsid w:val="004D5ED7"/>
    <w:rsid w:val="004D62CC"/>
    <w:rsid w:val="004D7860"/>
    <w:rsid w:val="004E1262"/>
    <w:rsid w:val="004E2075"/>
    <w:rsid w:val="004E260E"/>
    <w:rsid w:val="004E3049"/>
    <w:rsid w:val="004E411B"/>
    <w:rsid w:val="004E5109"/>
    <w:rsid w:val="004E5C69"/>
    <w:rsid w:val="004E5C8D"/>
    <w:rsid w:val="004E60D0"/>
    <w:rsid w:val="004E728C"/>
    <w:rsid w:val="004E7B47"/>
    <w:rsid w:val="004F00E4"/>
    <w:rsid w:val="004F12A6"/>
    <w:rsid w:val="004F1565"/>
    <w:rsid w:val="004F1878"/>
    <w:rsid w:val="004F21F3"/>
    <w:rsid w:val="004F2304"/>
    <w:rsid w:val="004F26F8"/>
    <w:rsid w:val="004F287F"/>
    <w:rsid w:val="004F3018"/>
    <w:rsid w:val="004F4CC9"/>
    <w:rsid w:val="004F4EAD"/>
    <w:rsid w:val="004F75D8"/>
    <w:rsid w:val="005021A2"/>
    <w:rsid w:val="005025FE"/>
    <w:rsid w:val="005027A1"/>
    <w:rsid w:val="00504585"/>
    <w:rsid w:val="00506DDE"/>
    <w:rsid w:val="005117AF"/>
    <w:rsid w:val="005136AD"/>
    <w:rsid w:val="00513710"/>
    <w:rsid w:val="005138BA"/>
    <w:rsid w:val="00513923"/>
    <w:rsid w:val="00513F93"/>
    <w:rsid w:val="00516657"/>
    <w:rsid w:val="00516904"/>
    <w:rsid w:val="00516F93"/>
    <w:rsid w:val="005175CE"/>
    <w:rsid w:val="00520CB5"/>
    <w:rsid w:val="005210CC"/>
    <w:rsid w:val="005211AF"/>
    <w:rsid w:val="005213E2"/>
    <w:rsid w:val="00526885"/>
    <w:rsid w:val="005276C2"/>
    <w:rsid w:val="00535C67"/>
    <w:rsid w:val="005406F8"/>
    <w:rsid w:val="0054169B"/>
    <w:rsid w:val="005417D2"/>
    <w:rsid w:val="005422E4"/>
    <w:rsid w:val="00543721"/>
    <w:rsid w:val="00543BCB"/>
    <w:rsid w:val="00544161"/>
    <w:rsid w:val="0054436C"/>
    <w:rsid w:val="00545CF8"/>
    <w:rsid w:val="005500FC"/>
    <w:rsid w:val="00550E4D"/>
    <w:rsid w:val="00550F69"/>
    <w:rsid w:val="005522BC"/>
    <w:rsid w:val="005523C6"/>
    <w:rsid w:val="005535C1"/>
    <w:rsid w:val="0055759F"/>
    <w:rsid w:val="005616AE"/>
    <w:rsid w:val="00565CCA"/>
    <w:rsid w:val="00571385"/>
    <w:rsid w:val="00571AAC"/>
    <w:rsid w:val="00571ADF"/>
    <w:rsid w:val="00571CEA"/>
    <w:rsid w:val="00571F91"/>
    <w:rsid w:val="005727E9"/>
    <w:rsid w:val="00574BF5"/>
    <w:rsid w:val="0057516A"/>
    <w:rsid w:val="00575CAA"/>
    <w:rsid w:val="00575E75"/>
    <w:rsid w:val="005812A3"/>
    <w:rsid w:val="005812B2"/>
    <w:rsid w:val="00581C8A"/>
    <w:rsid w:val="00583373"/>
    <w:rsid w:val="005833BE"/>
    <w:rsid w:val="00585C0D"/>
    <w:rsid w:val="005871BD"/>
    <w:rsid w:val="005900A1"/>
    <w:rsid w:val="00590B01"/>
    <w:rsid w:val="00595936"/>
    <w:rsid w:val="00595E34"/>
    <w:rsid w:val="005A0224"/>
    <w:rsid w:val="005A0BA6"/>
    <w:rsid w:val="005A1201"/>
    <w:rsid w:val="005A15E8"/>
    <w:rsid w:val="005A26A1"/>
    <w:rsid w:val="005A35B2"/>
    <w:rsid w:val="005A3671"/>
    <w:rsid w:val="005A37DB"/>
    <w:rsid w:val="005A3F38"/>
    <w:rsid w:val="005A4408"/>
    <w:rsid w:val="005A4CED"/>
    <w:rsid w:val="005A68C6"/>
    <w:rsid w:val="005A6C20"/>
    <w:rsid w:val="005A6F02"/>
    <w:rsid w:val="005B0833"/>
    <w:rsid w:val="005B0BCB"/>
    <w:rsid w:val="005B170A"/>
    <w:rsid w:val="005B2B2E"/>
    <w:rsid w:val="005B753C"/>
    <w:rsid w:val="005B77B6"/>
    <w:rsid w:val="005C1ACC"/>
    <w:rsid w:val="005C1B4B"/>
    <w:rsid w:val="005C2541"/>
    <w:rsid w:val="005C71E9"/>
    <w:rsid w:val="005C7C7C"/>
    <w:rsid w:val="005D0210"/>
    <w:rsid w:val="005D1576"/>
    <w:rsid w:val="005D22D7"/>
    <w:rsid w:val="005D2CF9"/>
    <w:rsid w:val="005D372C"/>
    <w:rsid w:val="005D4809"/>
    <w:rsid w:val="005D5D01"/>
    <w:rsid w:val="005D630B"/>
    <w:rsid w:val="005D6BA1"/>
    <w:rsid w:val="005D7700"/>
    <w:rsid w:val="005E265C"/>
    <w:rsid w:val="005E42EE"/>
    <w:rsid w:val="005E5DEC"/>
    <w:rsid w:val="005E5EEE"/>
    <w:rsid w:val="005E7012"/>
    <w:rsid w:val="005F0DA6"/>
    <w:rsid w:val="005F32AD"/>
    <w:rsid w:val="005F41CD"/>
    <w:rsid w:val="005F573F"/>
    <w:rsid w:val="005F6E27"/>
    <w:rsid w:val="005F7C32"/>
    <w:rsid w:val="00601BED"/>
    <w:rsid w:val="00602AD8"/>
    <w:rsid w:val="00603DBF"/>
    <w:rsid w:val="00605889"/>
    <w:rsid w:val="006065A9"/>
    <w:rsid w:val="006075B1"/>
    <w:rsid w:val="00607651"/>
    <w:rsid w:val="006101EB"/>
    <w:rsid w:val="006103AF"/>
    <w:rsid w:val="00610C1D"/>
    <w:rsid w:val="006112ED"/>
    <w:rsid w:val="0061278E"/>
    <w:rsid w:val="0061291D"/>
    <w:rsid w:val="006131D3"/>
    <w:rsid w:val="006137A9"/>
    <w:rsid w:val="00613805"/>
    <w:rsid w:val="0061588D"/>
    <w:rsid w:val="006163D8"/>
    <w:rsid w:val="00617A94"/>
    <w:rsid w:val="00620232"/>
    <w:rsid w:val="00620AB1"/>
    <w:rsid w:val="00620C5C"/>
    <w:rsid w:val="00622516"/>
    <w:rsid w:val="00623BDD"/>
    <w:rsid w:val="00624F31"/>
    <w:rsid w:val="00625BAE"/>
    <w:rsid w:val="00626FB9"/>
    <w:rsid w:val="00627195"/>
    <w:rsid w:val="00630E7C"/>
    <w:rsid w:val="00634034"/>
    <w:rsid w:val="0063433E"/>
    <w:rsid w:val="0063561B"/>
    <w:rsid w:val="00635FEB"/>
    <w:rsid w:val="00637800"/>
    <w:rsid w:val="0064042D"/>
    <w:rsid w:val="00640982"/>
    <w:rsid w:val="00641AEC"/>
    <w:rsid w:val="00642673"/>
    <w:rsid w:val="0064524B"/>
    <w:rsid w:val="006469A4"/>
    <w:rsid w:val="00650356"/>
    <w:rsid w:val="00650A8F"/>
    <w:rsid w:val="00651877"/>
    <w:rsid w:val="006533FF"/>
    <w:rsid w:val="00654AFE"/>
    <w:rsid w:val="00655388"/>
    <w:rsid w:val="00655D42"/>
    <w:rsid w:val="00656199"/>
    <w:rsid w:val="0065638D"/>
    <w:rsid w:val="00660DE6"/>
    <w:rsid w:val="0066126F"/>
    <w:rsid w:val="00663F46"/>
    <w:rsid w:val="00664D3A"/>
    <w:rsid w:val="00666B96"/>
    <w:rsid w:val="00667410"/>
    <w:rsid w:val="00671F37"/>
    <w:rsid w:val="006726B9"/>
    <w:rsid w:val="00673D5A"/>
    <w:rsid w:val="00675060"/>
    <w:rsid w:val="006759C2"/>
    <w:rsid w:val="00675C00"/>
    <w:rsid w:val="0067631B"/>
    <w:rsid w:val="00676831"/>
    <w:rsid w:val="00677A9F"/>
    <w:rsid w:val="00681565"/>
    <w:rsid w:val="00681CA4"/>
    <w:rsid w:val="00681D2B"/>
    <w:rsid w:val="00682027"/>
    <w:rsid w:val="006824EC"/>
    <w:rsid w:val="006839AA"/>
    <w:rsid w:val="00684FF2"/>
    <w:rsid w:val="00685B63"/>
    <w:rsid w:val="00686A20"/>
    <w:rsid w:val="00690252"/>
    <w:rsid w:val="00690CDA"/>
    <w:rsid w:val="00690E0B"/>
    <w:rsid w:val="00694CA7"/>
    <w:rsid w:val="00694E1A"/>
    <w:rsid w:val="00695A1E"/>
    <w:rsid w:val="006A25BB"/>
    <w:rsid w:val="006A472E"/>
    <w:rsid w:val="006A4E81"/>
    <w:rsid w:val="006A5D0B"/>
    <w:rsid w:val="006B051F"/>
    <w:rsid w:val="006B0EFF"/>
    <w:rsid w:val="006B10B6"/>
    <w:rsid w:val="006B1377"/>
    <w:rsid w:val="006B2726"/>
    <w:rsid w:val="006B5123"/>
    <w:rsid w:val="006B57B2"/>
    <w:rsid w:val="006B6098"/>
    <w:rsid w:val="006B7FAD"/>
    <w:rsid w:val="006C0CB0"/>
    <w:rsid w:val="006C0EDC"/>
    <w:rsid w:val="006C109B"/>
    <w:rsid w:val="006C180F"/>
    <w:rsid w:val="006C1CA9"/>
    <w:rsid w:val="006C2D36"/>
    <w:rsid w:val="006C2F7A"/>
    <w:rsid w:val="006C3DCD"/>
    <w:rsid w:val="006C4214"/>
    <w:rsid w:val="006C55CC"/>
    <w:rsid w:val="006C63D3"/>
    <w:rsid w:val="006C68FB"/>
    <w:rsid w:val="006C69FB"/>
    <w:rsid w:val="006D0FC5"/>
    <w:rsid w:val="006D1B2D"/>
    <w:rsid w:val="006D1E80"/>
    <w:rsid w:val="006D52BB"/>
    <w:rsid w:val="006D555F"/>
    <w:rsid w:val="006D7E28"/>
    <w:rsid w:val="006E17CD"/>
    <w:rsid w:val="006E23B6"/>
    <w:rsid w:val="006E25AB"/>
    <w:rsid w:val="006E3262"/>
    <w:rsid w:val="006E3A6D"/>
    <w:rsid w:val="006E3F50"/>
    <w:rsid w:val="006E4748"/>
    <w:rsid w:val="006E64A0"/>
    <w:rsid w:val="006E6FD8"/>
    <w:rsid w:val="006E7391"/>
    <w:rsid w:val="006E7746"/>
    <w:rsid w:val="006E78E1"/>
    <w:rsid w:val="006E7F70"/>
    <w:rsid w:val="006F1D3C"/>
    <w:rsid w:val="006F3EAA"/>
    <w:rsid w:val="006F4826"/>
    <w:rsid w:val="006F4D0E"/>
    <w:rsid w:val="006F738D"/>
    <w:rsid w:val="00700738"/>
    <w:rsid w:val="007008F9"/>
    <w:rsid w:val="00702231"/>
    <w:rsid w:val="00705B8D"/>
    <w:rsid w:val="00707261"/>
    <w:rsid w:val="00707534"/>
    <w:rsid w:val="00707997"/>
    <w:rsid w:val="0071029B"/>
    <w:rsid w:val="0071052E"/>
    <w:rsid w:val="00711762"/>
    <w:rsid w:val="00711ED2"/>
    <w:rsid w:val="00712A4E"/>
    <w:rsid w:val="00714AD5"/>
    <w:rsid w:val="0071613D"/>
    <w:rsid w:val="00716588"/>
    <w:rsid w:val="00716680"/>
    <w:rsid w:val="00716A47"/>
    <w:rsid w:val="00721552"/>
    <w:rsid w:val="00726029"/>
    <w:rsid w:val="00726E5E"/>
    <w:rsid w:val="007270EF"/>
    <w:rsid w:val="007271DD"/>
    <w:rsid w:val="00727A2A"/>
    <w:rsid w:val="00730726"/>
    <w:rsid w:val="00730A42"/>
    <w:rsid w:val="00731ED4"/>
    <w:rsid w:val="00732648"/>
    <w:rsid w:val="007327F4"/>
    <w:rsid w:val="00735A9C"/>
    <w:rsid w:val="007367A7"/>
    <w:rsid w:val="00736C13"/>
    <w:rsid w:val="00736E1E"/>
    <w:rsid w:val="00736F0E"/>
    <w:rsid w:val="00737D53"/>
    <w:rsid w:val="00737F92"/>
    <w:rsid w:val="007445DB"/>
    <w:rsid w:val="0074569B"/>
    <w:rsid w:val="007467B3"/>
    <w:rsid w:val="00746FA0"/>
    <w:rsid w:val="00746FE8"/>
    <w:rsid w:val="007510E2"/>
    <w:rsid w:val="007513AA"/>
    <w:rsid w:val="00752314"/>
    <w:rsid w:val="00752473"/>
    <w:rsid w:val="00752903"/>
    <w:rsid w:val="00753345"/>
    <w:rsid w:val="00753795"/>
    <w:rsid w:val="00754207"/>
    <w:rsid w:val="0075622F"/>
    <w:rsid w:val="0075626D"/>
    <w:rsid w:val="00757D44"/>
    <w:rsid w:val="00764508"/>
    <w:rsid w:val="00766BBE"/>
    <w:rsid w:val="00767521"/>
    <w:rsid w:val="00767EC3"/>
    <w:rsid w:val="007732C9"/>
    <w:rsid w:val="007735A5"/>
    <w:rsid w:val="007738F3"/>
    <w:rsid w:val="00774793"/>
    <w:rsid w:val="00774CB6"/>
    <w:rsid w:val="00776A3D"/>
    <w:rsid w:val="007803D1"/>
    <w:rsid w:val="007814A6"/>
    <w:rsid w:val="00781923"/>
    <w:rsid w:val="00782488"/>
    <w:rsid w:val="00785B98"/>
    <w:rsid w:val="00785E49"/>
    <w:rsid w:val="007865F7"/>
    <w:rsid w:val="007868C5"/>
    <w:rsid w:val="00786A8D"/>
    <w:rsid w:val="00786B17"/>
    <w:rsid w:val="00787338"/>
    <w:rsid w:val="00787C90"/>
    <w:rsid w:val="00790A1F"/>
    <w:rsid w:val="00792AFF"/>
    <w:rsid w:val="00792D0E"/>
    <w:rsid w:val="00792D5A"/>
    <w:rsid w:val="00792EF1"/>
    <w:rsid w:val="00793B7A"/>
    <w:rsid w:val="00793C15"/>
    <w:rsid w:val="00793DA2"/>
    <w:rsid w:val="00794A4B"/>
    <w:rsid w:val="007967EB"/>
    <w:rsid w:val="007A01EB"/>
    <w:rsid w:val="007A51DC"/>
    <w:rsid w:val="007B13AE"/>
    <w:rsid w:val="007B1B17"/>
    <w:rsid w:val="007B2475"/>
    <w:rsid w:val="007B249F"/>
    <w:rsid w:val="007B2ECC"/>
    <w:rsid w:val="007B5933"/>
    <w:rsid w:val="007C1DF4"/>
    <w:rsid w:val="007C21D9"/>
    <w:rsid w:val="007C5394"/>
    <w:rsid w:val="007C5B38"/>
    <w:rsid w:val="007C6BB9"/>
    <w:rsid w:val="007D1633"/>
    <w:rsid w:val="007D18D8"/>
    <w:rsid w:val="007D1B60"/>
    <w:rsid w:val="007D2E6D"/>
    <w:rsid w:val="007D5501"/>
    <w:rsid w:val="007D6D03"/>
    <w:rsid w:val="007D7F23"/>
    <w:rsid w:val="007E073D"/>
    <w:rsid w:val="007E260F"/>
    <w:rsid w:val="007E357C"/>
    <w:rsid w:val="007E35CB"/>
    <w:rsid w:val="007E3853"/>
    <w:rsid w:val="007E4B05"/>
    <w:rsid w:val="007E4F7C"/>
    <w:rsid w:val="007E6F4C"/>
    <w:rsid w:val="007F16A8"/>
    <w:rsid w:val="007F3011"/>
    <w:rsid w:val="007F6149"/>
    <w:rsid w:val="007F618C"/>
    <w:rsid w:val="007F688D"/>
    <w:rsid w:val="00801DC9"/>
    <w:rsid w:val="00802325"/>
    <w:rsid w:val="008027C3"/>
    <w:rsid w:val="00806F44"/>
    <w:rsid w:val="00807954"/>
    <w:rsid w:val="00810076"/>
    <w:rsid w:val="00812E7D"/>
    <w:rsid w:val="008134C5"/>
    <w:rsid w:val="008146F9"/>
    <w:rsid w:val="00815665"/>
    <w:rsid w:val="00815DBC"/>
    <w:rsid w:val="00816F1C"/>
    <w:rsid w:val="008175AA"/>
    <w:rsid w:val="00817859"/>
    <w:rsid w:val="00820AEE"/>
    <w:rsid w:val="008223E7"/>
    <w:rsid w:val="00822694"/>
    <w:rsid w:val="00825B0F"/>
    <w:rsid w:val="00826D20"/>
    <w:rsid w:val="00832A38"/>
    <w:rsid w:val="008334F3"/>
    <w:rsid w:val="00833678"/>
    <w:rsid w:val="00840340"/>
    <w:rsid w:val="00840460"/>
    <w:rsid w:val="008408C1"/>
    <w:rsid w:val="00840B15"/>
    <w:rsid w:val="008413D6"/>
    <w:rsid w:val="00841CB1"/>
    <w:rsid w:val="008432DC"/>
    <w:rsid w:val="00843A62"/>
    <w:rsid w:val="00844B0F"/>
    <w:rsid w:val="008453B2"/>
    <w:rsid w:val="00846190"/>
    <w:rsid w:val="00846D5E"/>
    <w:rsid w:val="0084763A"/>
    <w:rsid w:val="00847EBC"/>
    <w:rsid w:val="008503AA"/>
    <w:rsid w:val="008506D9"/>
    <w:rsid w:val="00851B86"/>
    <w:rsid w:val="0085234E"/>
    <w:rsid w:val="00854E3D"/>
    <w:rsid w:val="00856E94"/>
    <w:rsid w:val="00857E65"/>
    <w:rsid w:val="008601C5"/>
    <w:rsid w:val="0086075F"/>
    <w:rsid w:val="008631BE"/>
    <w:rsid w:val="00863F9A"/>
    <w:rsid w:val="00864126"/>
    <w:rsid w:val="00865F66"/>
    <w:rsid w:val="00866396"/>
    <w:rsid w:val="00867282"/>
    <w:rsid w:val="00867518"/>
    <w:rsid w:val="008704E4"/>
    <w:rsid w:val="00871AB3"/>
    <w:rsid w:val="008744C7"/>
    <w:rsid w:val="00874EDF"/>
    <w:rsid w:val="008755A2"/>
    <w:rsid w:val="00876062"/>
    <w:rsid w:val="00880650"/>
    <w:rsid w:val="00880DE8"/>
    <w:rsid w:val="008844D4"/>
    <w:rsid w:val="00885F1B"/>
    <w:rsid w:val="00887971"/>
    <w:rsid w:val="00887AD9"/>
    <w:rsid w:val="00887C37"/>
    <w:rsid w:val="00890A1B"/>
    <w:rsid w:val="00890BD7"/>
    <w:rsid w:val="00891A6E"/>
    <w:rsid w:val="00891E9F"/>
    <w:rsid w:val="00892255"/>
    <w:rsid w:val="008937AA"/>
    <w:rsid w:val="008941B7"/>
    <w:rsid w:val="008951FB"/>
    <w:rsid w:val="008968EB"/>
    <w:rsid w:val="00897689"/>
    <w:rsid w:val="00897FEE"/>
    <w:rsid w:val="008A11B6"/>
    <w:rsid w:val="008A1D78"/>
    <w:rsid w:val="008A3A56"/>
    <w:rsid w:val="008A405E"/>
    <w:rsid w:val="008A4DD1"/>
    <w:rsid w:val="008A51A2"/>
    <w:rsid w:val="008A51C6"/>
    <w:rsid w:val="008A51D2"/>
    <w:rsid w:val="008B2128"/>
    <w:rsid w:val="008B2EB2"/>
    <w:rsid w:val="008B67A7"/>
    <w:rsid w:val="008B6887"/>
    <w:rsid w:val="008B6C57"/>
    <w:rsid w:val="008B7AF1"/>
    <w:rsid w:val="008C32B2"/>
    <w:rsid w:val="008C32FC"/>
    <w:rsid w:val="008C3EB9"/>
    <w:rsid w:val="008C52F4"/>
    <w:rsid w:val="008C6258"/>
    <w:rsid w:val="008D0832"/>
    <w:rsid w:val="008D3E64"/>
    <w:rsid w:val="008D5E56"/>
    <w:rsid w:val="008E12CE"/>
    <w:rsid w:val="008E36EC"/>
    <w:rsid w:val="008E3A6A"/>
    <w:rsid w:val="008E5CE3"/>
    <w:rsid w:val="008E5F1D"/>
    <w:rsid w:val="008E6600"/>
    <w:rsid w:val="008E7BEC"/>
    <w:rsid w:val="008F10C0"/>
    <w:rsid w:val="008F1194"/>
    <w:rsid w:val="008F273A"/>
    <w:rsid w:val="008F3AC0"/>
    <w:rsid w:val="008F4D73"/>
    <w:rsid w:val="008F51F1"/>
    <w:rsid w:val="008F58A7"/>
    <w:rsid w:val="008F5FA6"/>
    <w:rsid w:val="008F64BD"/>
    <w:rsid w:val="008F7A9C"/>
    <w:rsid w:val="00900503"/>
    <w:rsid w:val="00902E1F"/>
    <w:rsid w:val="00903735"/>
    <w:rsid w:val="0091299A"/>
    <w:rsid w:val="00914764"/>
    <w:rsid w:val="0091539C"/>
    <w:rsid w:val="00915DA7"/>
    <w:rsid w:val="00917189"/>
    <w:rsid w:val="00917822"/>
    <w:rsid w:val="00917E21"/>
    <w:rsid w:val="00920515"/>
    <w:rsid w:val="00921389"/>
    <w:rsid w:val="00922CBB"/>
    <w:rsid w:val="00922DFC"/>
    <w:rsid w:val="009238C0"/>
    <w:rsid w:val="00924D99"/>
    <w:rsid w:val="00925827"/>
    <w:rsid w:val="00925BAA"/>
    <w:rsid w:val="00925EB4"/>
    <w:rsid w:val="00925EE3"/>
    <w:rsid w:val="0092796F"/>
    <w:rsid w:val="0093124C"/>
    <w:rsid w:val="009317F7"/>
    <w:rsid w:val="009322C1"/>
    <w:rsid w:val="009328FC"/>
    <w:rsid w:val="00933D7D"/>
    <w:rsid w:val="009360C5"/>
    <w:rsid w:val="0093622F"/>
    <w:rsid w:val="00937EE1"/>
    <w:rsid w:val="009405CE"/>
    <w:rsid w:val="00941447"/>
    <w:rsid w:val="00944443"/>
    <w:rsid w:val="00946811"/>
    <w:rsid w:val="009469EE"/>
    <w:rsid w:val="00950842"/>
    <w:rsid w:val="00950ED2"/>
    <w:rsid w:val="0095469A"/>
    <w:rsid w:val="00955544"/>
    <w:rsid w:val="009565A5"/>
    <w:rsid w:val="00956843"/>
    <w:rsid w:val="00957152"/>
    <w:rsid w:val="0096064B"/>
    <w:rsid w:val="00962C63"/>
    <w:rsid w:val="00963568"/>
    <w:rsid w:val="00963CB6"/>
    <w:rsid w:val="009704B0"/>
    <w:rsid w:val="00972036"/>
    <w:rsid w:val="009738E7"/>
    <w:rsid w:val="00976518"/>
    <w:rsid w:val="00976DBB"/>
    <w:rsid w:val="00983515"/>
    <w:rsid w:val="00983867"/>
    <w:rsid w:val="00983F19"/>
    <w:rsid w:val="00984F57"/>
    <w:rsid w:val="0098744E"/>
    <w:rsid w:val="00987853"/>
    <w:rsid w:val="00987BCE"/>
    <w:rsid w:val="0099104A"/>
    <w:rsid w:val="009920D4"/>
    <w:rsid w:val="0099432F"/>
    <w:rsid w:val="009952EB"/>
    <w:rsid w:val="00995D43"/>
    <w:rsid w:val="009964E7"/>
    <w:rsid w:val="009971FA"/>
    <w:rsid w:val="00997969"/>
    <w:rsid w:val="009A180F"/>
    <w:rsid w:val="009A1CE9"/>
    <w:rsid w:val="009A20E5"/>
    <w:rsid w:val="009A623A"/>
    <w:rsid w:val="009A6B8E"/>
    <w:rsid w:val="009A7559"/>
    <w:rsid w:val="009B3319"/>
    <w:rsid w:val="009B4B17"/>
    <w:rsid w:val="009B532B"/>
    <w:rsid w:val="009B5F0E"/>
    <w:rsid w:val="009B6B20"/>
    <w:rsid w:val="009B7560"/>
    <w:rsid w:val="009B77E9"/>
    <w:rsid w:val="009C33CD"/>
    <w:rsid w:val="009C3E19"/>
    <w:rsid w:val="009C4684"/>
    <w:rsid w:val="009C4CF6"/>
    <w:rsid w:val="009C532F"/>
    <w:rsid w:val="009C5CA3"/>
    <w:rsid w:val="009C5DC9"/>
    <w:rsid w:val="009D020E"/>
    <w:rsid w:val="009D3EE1"/>
    <w:rsid w:val="009D68BA"/>
    <w:rsid w:val="009D7339"/>
    <w:rsid w:val="009D7914"/>
    <w:rsid w:val="009D7E49"/>
    <w:rsid w:val="009E2119"/>
    <w:rsid w:val="009E2BB0"/>
    <w:rsid w:val="009E354F"/>
    <w:rsid w:val="009E3E67"/>
    <w:rsid w:val="009E401C"/>
    <w:rsid w:val="009E51CE"/>
    <w:rsid w:val="009E5220"/>
    <w:rsid w:val="009E5D82"/>
    <w:rsid w:val="009E5ECF"/>
    <w:rsid w:val="009E6BE9"/>
    <w:rsid w:val="009E734D"/>
    <w:rsid w:val="009F0667"/>
    <w:rsid w:val="009F0EAA"/>
    <w:rsid w:val="009F1897"/>
    <w:rsid w:val="009F38A2"/>
    <w:rsid w:val="009F42AB"/>
    <w:rsid w:val="009F51FD"/>
    <w:rsid w:val="009F5A9B"/>
    <w:rsid w:val="009F65E7"/>
    <w:rsid w:val="009F78CB"/>
    <w:rsid w:val="009F79DC"/>
    <w:rsid w:val="00A00A06"/>
    <w:rsid w:val="00A0187A"/>
    <w:rsid w:val="00A0309C"/>
    <w:rsid w:val="00A03AF1"/>
    <w:rsid w:val="00A056E1"/>
    <w:rsid w:val="00A0599B"/>
    <w:rsid w:val="00A0711F"/>
    <w:rsid w:val="00A107C8"/>
    <w:rsid w:val="00A10AA0"/>
    <w:rsid w:val="00A114AB"/>
    <w:rsid w:val="00A126FF"/>
    <w:rsid w:val="00A136E8"/>
    <w:rsid w:val="00A14107"/>
    <w:rsid w:val="00A14F9E"/>
    <w:rsid w:val="00A16F48"/>
    <w:rsid w:val="00A20DBC"/>
    <w:rsid w:val="00A21CBB"/>
    <w:rsid w:val="00A22530"/>
    <w:rsid w:val="00A23FE4"/>
    <w:rsid w:val="00A24F12"/>
    <w:rsid w:val="00A267C2"/>
    <w:rsid w:val="00A27DF7"/>
    <w:rsid w:val="00A32265"/>
    <w:rsid w:val="00A324DF"/>
    <w:rsid w:val="00A32EDC"/>
    <w:rsid w:val="00A3303E"/>
    <w:rsid w:val="00A35817"/>
    <w:rsid w:val="00A36267"/>
    <w:rsid w:val="00A36C54"/>
    <w:rsid w:val="00A37466"/>
    <w:rsid w:val="00A40CC4"/>
    <w:rsid w:val="00A410CD"/>
    <w:rsid w:val="00A41431"/>
    <w:rsid w:val="00A41B2A"/>
    <w:rsid w:val="00A4301D"/>
    <w:rsid w:val="00A44545"/>
    <w:rsid w:val="00A47B13"/>
    <w:rsid w:val="00A47EF7"/>
    <w:rsid w:val="00A502B4"/>
    <w:rsid w:val="00A509BD"/>
    <w:rsid w:val="00A51997"/>
    <w:rsid w:val="00A52C01"/>
    <w:rsid w:val="00A52CF8"/>
    <w:rsid w:val="00A53F7E"/>
    <w:rsid w:val="00A55391"/>
    <w:rsid w:val="00A63318"/>
    <w:rsid w:val="00A64284"/>
    <w:rsid w:val="00A65678"/>
    <w:rsid w:val="00A70DD1"/>
    <w:rsid w:val="00A716CA"/>
    <w:rsid w:val="00A71BA1"/>
    <w:rsid w:val="00A7397B"/>
    <w:rsid w:val="00A74D41"/>
    <w:rsid w:val="00A75528"/>
    <w:rsid w:val="00A7661A"/>
    <w:rsid w:val="00A7668D"/>
    <w:rsid w:val="00A81299"/>
    <w:rsid w:val="00A82227"/>
    <w:rsid w:val="00A84257"/>
    <w:rsid w:val="00A847E1"/>
    <w:rsid w:val="00A85C20"/>
    <w:rsid w:val="00A86058"/>
    <w:rsid w:val="00A86985"/>
    <w:rsid w:val="00A90BD5"/>
    <w:rsid w:val="00A90F41"/>
    <w:rsid w:val="00A930C8"/>
    <w:rsid w:val="00A943B2"/>
    <w:rsid w:val="00A95DC5"/>
    <w:rsid w:val="00A9602E"/>
    <w:rsid w:val="00A965CC"/>
    <w:rsid w:val="00A969B6"/>
    <w:rsid w:val="00A96BC4"/>
    <w:rsid w:val="00AA0222"/>
    <w:rsid w:val="00AA4BB9"/>
    <w:rsid w:val="00AB0034"/>
    <w:rsid w:val="00AB07A4"/>
    <w:rsid w:val="00AB0A90"/>
    <w:rsid w:val="00AB181B"/>
    <w:rsid w:val="00AB1976"/>
    <w:rsid w:val="00AB2E64"/>
    <w:rsid w:val="00AB44BE"/>
    <w:rsid w:val="00AB4D75"/>
    <w:rsid w:val="00AB5961"/>
    <w:rsid w:val="00AB6C50"/>
    <w:rsid w:val="00AC228D"/>
    <w:rsid w:val="00AC3B69"/>
    <w:rsid w:val="00AC3E58"/>
    <w:rsid w:val="00AC4E5D"/>
    <w:rsid w:val="00AC551C"/>
    <w:rsid w:val="00AC6720"/>
    <w:rsid w:val="00AC7702"/>
    <w:rsid w:val="00AC7ECD"/>
    <w:rsid w:val="00AD0766"/>
    <w:rsid w:val="00AD083F"/>
    <w:rsid w:val="00AD0F2A"/>
    <w:rsid w:val="00AD1408"/>
    <w:rsid w:val="00AD2170"/>
    <w:rsid w:val="00AD275A"/>
    <w:rsid w:val="00AD3D6D"/>
    <w:rsid w:val="00AD555D"/>
    <w:rsid w:val="00AD7F00"/>
    <w:rsid w:val="00AE0559"/>
    <w:rsid w:val="00AE0D97"/>
    <w:rsid w:val="00AE1605"/>
    <w:rsid w:val="00AE1C68"/>
    <w:rsid w:val="00AE22BA"/>
    <w:rsid w:val="00AE265E"/>
    <w:rsid w:val="00AE3B5F"/>
    <w:rsid w:val="00AE3CFD"/>
    <w:rsid w:val="00AE55D2"/>
    <w:rsid w:val="00AE7106"/>
    <w:rsid w:val="00AE7ED9"/>
    <w:rsid w:val="00AF06CB"/>
    <w:rsid w:val="00AF1B84"/>
    <w:rsid w:val="00AF20A1"/>
    <w:rsid w:val="00AF37BE"/>
    <w:rsid w:val="00AF4D16"/>
    <w:rsid w:val="00AF5B4A"/>
    <w:rsid w:val="00AF6215"/>
    <w:rsid w:val="00AF78AB"/>
    <w:rsid w:val="00B03428"/>
    <w:rsid w:val="00B035CC"/>
    <w:rsid w:val="00B06606"/>
    <w:rsid w:val="00B068D9"/>
    <w:rsid w:val="00B06E83"/>
    <w:rsid w:val="00B103CA"/>
    <w:rsid w:val="00B12EB5"/>
    <w:rsid w:val="00B14087"/>
    <w:rsid w:val="00B14443"/>
    <w:rsid w:val="00B17414"/>
    <w:rsid w:val="00B17EC9"/>
    <w:rsid w:val="00B20E0F"/>
    <w:rsid w:val="00B222AD"/>
    <w:rsid w:val="00B22C8B"/>
    <w:rsid w:val="00B23CE0"/>
    <w:rsid w:val="00B2413D"/>
    <w:rsid w:val="00B26878"/>
    <w:rsid w:val="00B268F6"/>
    <w:rsid w:val="00B270B9"/>
    <w:rsid w:val="00B333E9"/>
    <w:rsid w:val="00B34418"/>
    <w:rsid w:val="00B3452A"/>
    <w:rsid w:val="00B34F64"/>
    <w:rsid w:val="00B355E4"/>
    <w:rsid w:val="00B35B5E"/>
    <w:rsid w:val="00B45E08"/>
    <w:rsid w:val="00B46B69"/>
    <w:rsid w:val="00B501D1"/>
    <w:rsid w:val="00B50A08"/>
    <w:rsid w:val="00B51E8B"/>
    <w:rsid w:val="00B522B8"/>
    <w:rsid w:val="00B53061"/>
    <w:rsid w:val="00B5338E"/>
    <w:rsid w:val="00B5348F"/>
    <w:rsid w:val="00B5561F"/>
    <w:rsid w:val="00B55DD3"/>
    <w:rsid w:val="00B55F0E"/>
    <w:rsid w:val="00B56B3F"/>
    <w:rsid w:val="00B5793E"/>
    <w:rsid w:val="00B60945"/>
    <w:rsid w:val="00B6527B"/>
    <w:rsid w:val="00B65602"/>
    <w:rsid w:val="00B66B71"/>
    <w:rsid w:val="00B7047E"/>
    <w:rsid w:val="00B80087"/>
    <w:rsid w:val="00B81547"/>
    <w:rsid w:val="00B816CE"/>
    <w:rsid w:val="00B823B6"/>
    <w:rsid w:val="00B827FF"/>
    <w:rsid w:val="00B8445D"/>
    <w:rsid w:val="00B846E1"/>
    <w:rsid w:val="00B85C33"/>
    <w:rsid w:val="00B86BF1"/>
    <w:rsid w:val="00B9000E"/>
    <w:rsid w:val="00B9010E"/>
    <w:rsid w:val="00B9061C"/>
    <w:rsid w:val="00B90A67"/>
    <w:rsid w:val="00B90AFE"/>
    <w:rsid w:val="00B90CA0"/>
    <w:rsid w:val="00B916DA"/>
    <w:rsid w:val="00B91A6B"/>
    <w:rsid w:val="00B93351"/>
    <w:rsid w:val="00B93E77"/>
    <w:rsid w:val="00B93FAF"/>
    <w:rsid w:val="00B94054"/>
    <w:rsid w:val="00B94B82"/>
    <w:rsid w:val="00B96AC7"/>
    <w:rsid w:val="00B96DBD"/>
    <w:rsid w:val="00B9744A"/>
    <w:rsid w:val="00B979B0"/>
    <w:rsid w:val="00BA015F"/>
    <w:rsid w:val="00BA0D89"/>
    <w:rsid w:val="00BA0F52"/>
    <w:rsid w:val="00BA58A5"/>
    <w:rsid w:val="00BA6C89"/>
    <w:rsid w:val="00BB047A"/>
    <w:rsid w:val="00BB2AD9"/>
    <w:rsid w:val="00BB6177"/>
    <w:rsid w:val="00BB6D92"/>
    <w:rsid w:val="00BC06E0"/>
    <w:rsid w:val="00BC0AE1"/>
    <w:rsid w:val="00BC2074"/>
    <w:rsid w:val="00BC46FA"/>
    <w:rsid w:val="00BC622C"/>
    <w:rsid w:val="00BD0813"/>
    <w:rsid w:val="00BD1B35"/>
    <w:rsid w:val="00BD241F"/>
    <w:rsid w:val="00BD2AC6"/>
    <w:rsid w:val="00BD3D53"/>
    <w:rsid w:val="00BD403D"/>
    <w:rsid w:val="00BD4CD0"/>
    <w:rsid w:val="00BD5C05"/>
    <w:rsid w:val="00BD60C7"/>
    <w:rsid w:val="00BD7002"/>
    <w:rsid w:val="00BE10D0"/>
    <w:rsid w:val="00BE2D10"/>
    <w:rsid w:val="00BE3492"/>
    <w:rsid w:val="00BE3818"/>
    <w:rsid w:val="00BE3C7B"/>
    <w:rsid w:val="00BE47DF"/>
    <w:rsid w:val="00BF0D67"/>
    <w:rsid w:val="00BF1166"/>
    <w:rsid w:val="00BF1739"/>
    <w:rsid w:val="00BF2E42"/>
    <w:rsid w:val="00BF6295"/>
    <w:rsid w:val="00BF6512"/>
    <w:rsid w:val="00C02E6B"/>
    <w:rsid w:val="00C0427F"/>
    <w:rsid w:val="00C102B5"/>
    <w:rsid w:val="00C1128C"/>
    <w:rsid w:val="00C14050"/>
    <w:rsid w:val="00C14296"/>
    <w:rsid w:val="00C14512"/>
    <w:rsid w:val="00C148C1"/>
    <w:rsid w:val="00C205D7"/>
    <w:rsid w:val="00C23138"/>
    <w:rsid w:val="00C235CA"/>
    <w:rsid w:val="00C25CB9"/>
    <w:rsid w:val="00C25F4E"/>
    <w:rsid w:val="00C27641"/>
    <w:rsid w:val="00C32BF6"/>
    <w:rsid w:val="00C32E7A"/>
    <w:rsid w:val="00C3531A"/>
    <w:rsid w:val="00C35A51"/>
    <w:rsid w:val="00C422BC"/>
    <w:rsid w:val="00C42B47"/>
    <w:rsid w:val="00C44BBE"/>
    <w:rsid w:val="00C469A4"/>
    <w:rsid w:val="00C507C3"/>
    <w:rsid w:val="00C51717"/>
    <w:rsid w:val="00C52188"/>
    <w:rsid w:val="00C52797"/>
    <w:rsid w:val="00C5358D"/>
    <w:rsid w:val="00C56834"/>
    <w:rsid w:val="00C56AB8"/>
    <w:rsid w:val="00C56C0A"/>
    <w:rsid w:val="00C56D03"/>
    <w:rsid w:val="00C57508"/>
    <w:rsid w:val="00C607F8"/>
    <w:rsid w:val="00C60A31"/>
    <w:rsid w:val="00C61353"/>
    <w:rsid w:val="00C61603"/>
    <w:rsid w:val="00C62BBB"/>
    <w:rsid w:val="00C6302E"/>
    <w:rsid w:val="00C63B3B"/>
    <w:rsid w:val="00C63DC5"/>
    <w:rsid w:val="00C64AD3"/>
    <w:rsid w:val="00C665A4"/>
    <w:rsid w:val="00C66A8B"/>
    <w:rsid w:val="00C72764"/>
    <w:rsid w:val="00C72C49"/>
    <w:rsid w:val="00C731E8"/>
    <w:rsid w:val="00C7334C"/>
    <w:rsid w:val="00C74449"/>
    <w:rsid w:val="00C770B0"/>
    <w:rsid w:val="00C80108"/>
    <w:rsid w:val="00C832E2"/>
    <w:rsid w:val="00C83B2F"/>
    <w:rsid w:val="00C83DF8"/>
    <w:rsid w:val="00C858FA"/>
    <w:rsid w:val="00C8699C"/>
    <w:rsid w:val="00C86A37"/>
    <w:rsid w:val="00C91154"/>
    <w:rsid w:val="00C9276A"/>
    <w:rsid w:val="00C93014"/>
    <w:rsid w:val="00C945DD"/>
    <w:rsid w:val="00C9465A"/>
    <w:rsid w:val="00C97298"/>
    <w:rsid w:val="00CA0DC9"/>
    <w:rsid w:val="00CA2D04"/>
    <w:rsid w:val="00CA391F"/>
    <w:rsid w:val="00CA43A1"/>
    <w:rsid w:val="00CA4E97"/>
    <w:rsid w:val="00CA5249"/>
    <w:rsid w:val="00CB244F"/>
    <w:rsid w:val="00CB2DEC"/>
    <w:rsid w:val="00CB37F1"/>
    <w:rsid w:val="00CB3D5D"/>
    <w:rsid w:val="00CB41C7"/>
    <w:rsid w:val="00CB59D1"/>
    <w:rsid w:val="00CB6E0E"/>
    <w:rsid w:val="00CC0F54"/>
    <w:rsid w:val="00CC3D0D"/>
    <w:rsid w:val="00CC6FA2"/>
    <w:rsid w:val="00CD23DC"/>
    <w:rsid w:val="00CD27C9"/>
    <w:rsid w:val="00CD33C4"/>
    <w:rsid w:val="00CD4424"/>
    <w:rsid w:val="00CD5730"/>
    <w:rsid w:val="00CD5B9E"/>
    <w:rsid w:val="00CE05B6"/>
    <w:rsid w:val="00CE17A5"/>
    <w:rsid w:val="00CE44C5"/>
    <w:rsid w:val="00CE4B2B"/>
    <w:rsid w:val="00CE662C"/>
    <w:rsid w:val="00CE6D6D"/>
    <w:rsid w:val="00CF1C3C"/>
    <w:rsid w:val="00CF1F0A"/>
    <w:rsid w:val="00CF44EF"/>
    <w:rsid w:val="00CF4D96"/>
    <w:rsid w:val="00CF561E"/>
    <w:rsid w:val="00CF6337"/>
    <w:rsid w:val="00CF6520"/>
    <w:rsid w:val="00CF65CD"/>
    <w:rsid w:val="00CF7499"/>
    <w:rsid w:val="00CF7920"/>
    <w:rsid w:val="00CF7B71"/>
    <w:rsid w:val="00D012E5"/>
    <w:rsid w:val="00D0314F"/>
    <w:rsid w:val="00D0366F"/>
    <w:rsid w:val="00D0390F"/>
    <w:rsid w:val="00D044DD"/>
    <w:rsid w:val="00D051DE"/>
    <w:rsid w:val="00D05FD2"/>
    <w:rsid w:val="00D07E7A"/>
    <w:rsid w:val="00D102F8"/>
    <w:rsid w:val="00D1044D"/>
    <w:rsid w:val="00D105D7"/>
    <w:rsid w:val="00D11503"/>
    <w:rsid w:val="00D13EAB"/>
    <w:rsid w:val="00D14796"/>
    <w:rsid w:val="00D15573"/>
    <w:rsid w:val="00D1613E"/>
    <w:rsid w:val="00D16D27"/>
    <w:rsid w:val="00D16D7D"/>
    <w:rsid w:val="00D17ACB"/>
    <w:rsid w:val="00D20077"/>
    <w:rsid w:val="00D222C9"/>
    <w:rsid w:val="00D22FD7"/>
    <w:rsid w:val="00D23445"/>
    <w:rsid w:val="00D26EB7"/>
    <w:rsid w:val="00D27901"/>
    <w:rsid w:val="00D308D9"/>
    <w:rsid w:val="00D30DD9"/>
    <w:rsid w:val="00D349D1"/>
    <w:rsid w:val="00D4229E"/>
    <w:rsid w:val="00D45E95"/>
    <w:rsid w:val="00D462F1"/>
    <w:rsid w:val="00D5513A"/>
    <w:rsid w:val="00D572EB"/>
    <w:rsid w:val="00D57405"/>
    <w:rsid w:val="00D61121"/>
    <w:rsid w:val="00D61F41"/>
    <w:rsid w:val="00D62C77"/>
    <w:rsid w:val="00D62DA7"/>
    <w:rsid w:val="00D653EE"/>
    <w:rsid w:val="00D679DE"/>
    <w:rsid w:val="00D7081E"/>
    <w:rsid w:val="00D70CAB"/>
    <w:rsid w:val="00D71E9C"/>
    <w:rsid w:val="00D71EEC"/>
    <w:rsid w:val="00D726E8"/>
    <w:rsid w:val="00D743B6"/>
    <w:rsid w:val="00D74957"/>
    <w:rsid w:val="00D77524"/>
    <w:rsid w:val="00D77A6B"/>
    <w:rsid w:val="00D77B4A"/>
    <w:rsid w:val="00D77D47"/>
    <w:rsid w:val="00D77F94"/>
    <w:rsid w:val="00D80059"/>
    <w:rsid w:val="00D81B3B"/>
    <w:rsid w:val="00D830ED"/>
    <w:rsid w:val="00D83448"/>
    <w:rsid w:val="00D84113"/>
    <w:rsid w:val="00D86132"/>
    <w:rsid w:val="00D86961"/>
    <w:rsid w:val="00D86D90"/>
    <w:rsid w:val="00D92DC5"/>
    <w:rsid w:val="00D92E2E"/>
    <w:rsid w:val="00D94C6D"/>
    <w:rsid w:val="00D94F12"/>
    <w:rsid w:val="00D97D91"/>
    <w:rsid w:val="00DA14F5"/>
    <w:rsid w:val="00DA1A87"/>
    <w:rsid w:val="00DA3606"/>
    <w:rsid w:val="00DA390A"/>
    <w:rsid w:val="00DA3CCD"/>
    <w:rsid w:val="00DA68FA"/>
    <w:rsid w:val="00DB2075"/>
    <w:rsid w:val="00DB3DB1"/>
    <w:rsid w:val="00DB4025"/>
    <w:rsid w:val="00DB525D"/>
    <w:rsid w:val="00DB55B9"/>
    <w:rsid w:val="00DB6EE5"/>
    <w:rsid w:val="00DC01A8"/>
    <w:rsid w:val="00DC1119"/>
    <w:rsid w:val="00DC2413"/>
    <w:rsid w:val="00DC2875"/>
    <w:rsid w:val="00DC2A66"/>
    <w:rsid w:val="00DC3CE7"/>
    <w:rsid w:val="00DC5857"/>
    <w:rsid w:val="00DC5EB8"/>
    <w:rsid w:val="00DC739A"/>
    <w:rsid w:val="00DD0149"/>
    <w:rsid w:val="00DD266C"/>
    <w:rsid w:val="00DD29DC"/>
    <w:rsid w:val="00DD2DC2"/>
    <w:rsid w:val="00DD4E93"/>
    <w:rsid w:val="00DD4F5E"/>
    <w:rsid w:val="00DD5BBB"/>
    <w:rsid w:val="00DE09D9"/>
    <w:rsid w:val="00DE1C54"/>
    <w:rsid w:val="00DE1FE6"/>
    <w:rsid w:val="00DE30A8"/>
    <w:rsid w:val="00DE63F9"/>
    <w:rsid w:val="00DE7E4E"/>
    <w:rsid w:val="00DF1A83"/>
    <w:rsid w:val="00DF238C"/>
    <w:rsid w:val="00DF3492"/>
    <w:rsid w:val="00DF4393"/>
    <w:rsid w:val="00DF7210"/>
    <w:rsid w:val="00E011D9"/>
    <w:rsid w:val="00E01D92"/>
    <w:rsid w:val="00E021E3"/>
    <w:rsid w:val="00E04447"/>
    <w:rsid w:val="00E06970"/>
    <w:rsid w:val="00E06E22"/>
    <w:rsid w:val="00E079CA"/>
    <w:rsid w:val="00E1027A"/>
    <w:rsid w:val="00E1167F"/>
    <w:rsid w:val="00E11C1F"/>
    <w:rsid w:val="00E133F9"/>
    <w:rsid w:val="00E13BD6"/>
    <w:rsid w:val="00E15CA5"/>
    <w:rsid w:val="00E16141"/>
    <w:rsid w:val="00E16F8F"/>
    <w:rsid w:val="00E178AF"/>
    <w:rsid w:val="00E20A2C"/>
    <w:rsid w:val="00E21E30"/>
    <w:rsid w:val="00E22258"/>
    <w:rsid w:val="00E251B6"/>
    <w:rsid w:val="00E26F6E"/>
    <w:rsid w:val="00E30F3A"/>
    <w:rsid w:val="00E31062"/>
    <w:rsid w:val="00E310C7"/>
    <w:rsid w:val="00E313DA"/>
    <w:rsid w:val="00E3154C"/>
    <w:rsid w:val="00E32A95"/>
    <w:rsid w:val="00E33987"/>
    <w:rsid w:val="00E33BE9"/>
    <w:rsid w:val="00E34923"/>
    <w:rsid w:val="00E34CA5"/>
    <w:rsid w:val="00E35E89"/>
    <w:rsid w:val="00E36862"/>
    <w:rsid w:val="00E404F9"/>
    <w:rsid w:val="00E414CC"/>
    <w:rsid w:val="00E4466B"/>
    <w:rsid w:val="00E4491D"/>
    <w:rsid w:val="00E467E7"/>
    <w:rsid w:val="00E470FA"/>
    <w:rsid w:val="00E501AC"/>
    <w:rsid w:val="00E50F60"/>
    <w:rsid w:val="00E51960"/>
    <w:rsid w:val="00E539E7"/>
    <w:rsid w:val="00E53A3C"/>
    <w:rsid w:val="00E53F6C"/>
    <w:rsid w:val="00E5716A"/>
    <w:rsid w:val="00E57952"/>
    <w:rsid w:val="00E60131"/>
    <w:rsid w:val="00E60CC7"/>
    <w:rsid w:val="00E64E6E"/>
    <w:rsid w:val="00E650C9"/>
    <w:rsid w:val="00E652DB"/>
    <w:rsid w:val="00E66BA4"/>
    <w:rsid w:val="00E66F0F"/>
    <w:rsid w:val="00E67F78"/>
    <w:rsid w:val="00E7095D"/>
    <w:rsid w:val="00E71F2C"/>
    <w:rsid w:val="00E72508"/>
    <w:rsid w:val="00E72FFF"/>
    <w:rsid w:val="00E75EAB"/>
    <w:rsid w:val="00E77D43"/>
    <w:rsid w:val="00E80CC5"/>
    <w:rsid w:val="00E8122F"/>
    <w:rsid w:val="00E81CC9"/>
    <w:rsid w:val="00E825CA"/>
    <w:rsid w:val="00E84118"/>
    <w:rsid w:val="00E84B8C"/>
    <w:rsid w:val="00E857E0"/>
    <w:rsid w:val="00E85893"/>
    <w:rsid w:val="00E86979"/>
    <w:rsid w:val="00E909DE"/>
    <w:rsid w:val="00E91B9A"/>
    <w:rsid w:val="00E92EF9"/>
    <w:rsid w:val="00E93D48"/>
    <w:rsid w:val="00E9572F"/>
    <w:rsid w:val="00E95956"/>
    <w:rsid w:val="00E95DD2"/>
    <w:rsid w:val="00E961D7"/>
    <w:rsid w:val="00E9656F"/>
    <w:rsid w:val="00EA0E5E"/>
    <w:rsid w:val="00EA1519"/>
    <w:rsid w:val="00EA178A"/>
    <w:rsid w:val="00EA1D11"/>
    <w:rsid w:val="00EA2246"/>
    <w:rsid w:val="00EA3214"/>
    <w:rsid w:val="00EA4E80"/>
    <w:rsid w:val="00EA5CF4"/>
    <w:rsid w:val="00EA61A3"/>
    <w:rsid w:val="00EB0407"/>
    <w:rsid w:val="00EB0536"/>
    <w:rsid w:val="00EB2587"/>
    <w:rsid w:val="00EB42A8"/>
    <w:rsid w:val="00EB5405"/>
    <w:rsid w:val="00EB5601"/>
    <w:rsid w:val="00EC501A"/>
    <w:rsid w:val="00EC526F"/>
    <w:rsid w:val="00EC5C01"/>
    <w:rsid w:val="00EC7C92"/>
    <w:rsid w:val="00ED0A75"/>
    <w:rsid w:val="00ED46DC"/>
    <w:rsid w:val="00ED472A"/>
    <w:rsid w:val="00ED6C2D"/>
    <w:rsid w:val="00EE147E"/>
    <w:rsid w:val="00EE73D8"/>
    <w:rsid w:val="00EF0439"/>
    <w:rsid w:val="00EF08E3"/>
    <w:rsid w:val="00EF2E4D"/>
    <w:rsid w:val="00EF3427"/>
    <w:rsid w:val="00EF5074"/>
    <w:rsid w:val="00F020F8"/>
    <w:rsid w:val="00F0278D"/>
    <w:rsid w:val="00F0285D"/>
    <w:rsid w:val="00F02D3D"/>
    <w:rsid w:val="00F0327F"/>
    <w:rsid w:val="00F0541B"/>
    <w:rsid w:val="00F055CA"/>
    <w:rsid w:val="00F10410"/>
    <w:rsid w:val="00F10924"/>
    <w:rsid w:val="00F10DA9"/>
    <w:rsid w:val="00F117A3"/>
    <w:rsid w:val="00F12417"/>
    <w:rsid w:val="00F140AA"/>
    <w:rsid w:val="00F1548E"/>
    <w:rsid w:val="00F15CEC"/>
    <w:rsid w:val="00F16569"/>
    <w:rsid w:val="00F178DE"/>
    <w:rsid w:val="00F17EF3"/>
    <w:rsid w:val="00F22676"/>
    <w:rsid w:val="00F26917"/>
    <w:rsid w:val="00F31ECF"/>
    <w:rsid w:val="00F34445"/>
    <w:rsid w:val="00F34BA8"/>
    <w:rsid w:val="00F37300"/>
    <w:rsid w:val="00F40001"/>
    <w:rsid w:val="00F40B38"/>
    <w:rsid w:val="00F41D64"/>
    <w:rsid w:val="00F431B0"/>
    <w:rsid w:val="00F43209"/>
    <w:rsid w:val="00F44357"/>
    <w:rsid w:val="00F444B7"/>
    <w:rsid w:val="00F45304"/>
    <w:rsid w:val="00F46AB9"/>
    <w:rsid w:val="00F46B5A"/>
    <w:rsid w:val="00F46CC7"/>
    <w:rsid w:val="00F50E71"/>
    <w:rsid w:val="00F50F51"/>
    <w:rsid w:val="00F51265"/>
    <w:rsid w:val="00F51778"/>
    <w:rsid w:val="00F519E6"/>
    <w:rsid w:val="00F52633"/>
    <w:rsid w:val="00F53DC4"/>
    <w:rsid w:val="00F54C73"/>
    <w:rsid w:val="00F57032"/>
    <w:rsid w:val="00F6104A"/>
    <w:rsid w:val="00F610AC"/>
    <w:rsid w:val="00F624ED"/>
    <w:rsid w:val="00F632ED"/>
    <w:rsid w:val="00F640E5"/>
    <w:rsid w:val="00F648BD"/>
    <w:rsid w:val="00F65292"/>
    <w:rsid w:val="00F66234"/>
    <w:rsid w:val="00F66844"/>
    <w:rsid w:val="00F70203"/>
    <w:rsid w:val="00F712B3"/>
    <w:rsid w:val="00F71FA7"/>
    <w:rsid w:val="00F724C0"/>
    <w:rsid w:val="00F72CF2"/>
    <w:rsid w:val="00F7361B"/>
    <w:rsid w:val="00F742D6"/>
    <w:rsid w:val="00F74F02"/>
    <w:rsid w:val="00F75CA3"/>
    <w:rsid w:val="00F76488"/>
    <w:rsid w:val="00F76B77"/>
    <w:rsid w:val="00F76E1B"/>
    <w:rsid w:val="00F80238"/>
    <w:rsid w:val="00F83572"/>
    <w:rsid w:val="00F8357C"/>
    <w:rsid w:val="00F843B4"/>
    <w:rsid w:val="00F85E4C"/>
    <w:rsid w:val="00F86215"/>
    <w:rsid w:val="00F86688"/>
    <w:rsid w:val="00F8713D"/>
    <w:rsid w:val="00F87B70"/>
    <w:rsid w:val="00F87ECD"/>
    <w:rsid w:val="00F90218"/>
    <w:rsid w:val="00F90B68"/>
    <w:rsid w:val="00F91888"/>
    <w:rsid w:val="00F918EE"/>
    <w:rsid w:val="00F947AE"/>
    <w:rsid w:val="00F94EF4"/>
    <w:rsid w:val="00FA0A5E"/>
    <w:rsid w:val="00FA1C4A"/>
    <w:rsid w:val="00FA2133"/>
    <w:rsid w:val="00FA2CBA"/>
    <w:rsid w:val="00FA3625"/>
    <w:rsid w:val="00FA61F0"/>
    <w:rsid w:val="00FA640F"/>
    <w:rsid w:val="00FA64DA"/>
    <w:rsid w:val="00FA652A"/>
    <w:rsid w:val="00FA7D7E"/>
    <w:rsid w:val="00FB01C7"/>
    <w:rsid w:val="00FB141B"/>
    <w:rsid w:val="00FB1C2F"/>
    <w:rsid w:val="00FB4C0B"/>
    <w:rsid w:val="00FB5BF5"/>
    <w:rsid w:val="00FB5EDF"/>
    <w:rsid w:val="00FB6C47"/>
    <w:rsid w:val="00FB702E"/>
    <w:rsid w:val="00FB70D4"/>
    <w:rsid w:val="00FB7E2B"/>
    <w:rsid w:val="00FC04B8"/>
    <w:rsid w:val="00FC1729"/>
    <w:rsid w:val="00FC21E2"/>
    <w:rsid w:val="00FC2995"/>
    <w:rsid w:val="00FC2D3E"/>
    <w:rsid w:val="00FC345F"/>
    <w:rsid w:val="00FC4B72"/>
    <w:rsid w:val="00FC4D89"/>
    <w:rsid w:val="00FC4F46"/>
    <w:rsid w:val="00FC5206"/>
    <w:rsid w:val="00FC5CC4"/>
    <w:rsid w:val="00FC5D39"/>
    <w:rsid w:val="00FC7160"/>
    <w:rsid w:val="00FC7C67"/>
    <w:rsid w:val="00FC7F2F"/>
    <w:rsid w:val="00FD028C"/>
    <w:rsid w:val="00FD2217"/>
    <w:rsid w:val="00FD25EC"/>
    <w:rsid w:val="00FD4477"/>
    <w:rsid w:val="00FD4AE4"/>
    <w:rsid w:val="00FD5AA1"/>
    <w:rsid w:val="00FD5F83"/>
    <w:rsid w:val="00FD76CC"/>
    <w:rsid w:val="00FD7796"/>
    <w:rsid w:val="00FE097C"/>
    <w:rsid w:val="00FE0B80"/>
    <w:rsid w:val="00FE0CF9"/>
    <w:rsid w:val="00FE3F4D"/>
    <w:rsid w:val="00FE45A9"/>
    <w:rsid w:val="00FE5074"/>
    <w:rsid w:val="00FE5649"/>
    <w:rsid w:val="00FE5DBC"/>
    <w:rsid w:val="00FE6A89"/>
    <w:rsid w:val="00FE6FDC"/>
    <w:rsid w:val="00FE719A"/>
    <w:rsid w:val="00FE71D7"/>
    <w:rsid w:val="00FF014F"/>
    <w:rsid w:val="00FF03D7"/>
    <w:rsid w:val="00FF26DF"/>
    <w:rsid w:val="00FF2BFA"/>
    <w:rsid w:val="00FF6451"/>
    <w:rsid w:val="00FF79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position-vertical-relative:page;v-text-anchor:bottom" fill="f" fillcolor="white" stroke="f">
      <v:fill color="white" on="f"/>
      <v:stroke on="f"/>
      <v:textbox inset="0,0,0,0"/>
      <o:colormru v:ext="edit" colors="#ddd,#f8f8f8"/>
    </o:shapedefaults>
    <o:shapelayout v:ext="edit">
      <o:idmap v:ext="edit" data="1"/>
    </o:shapelayout>
  </w:shapeDefaults>
  <w:decimalSymbol w:val="."/>
  <w:listSeparator w:val=","/>
  <w14:docId w14:val="296F23A3"/>
  <w15:docId w15:val="{9E387604-A6B0-4CC6-B97E-224129344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Times New Roman"/>
        <w:sz w:val="22"/>
        <w:szCs w:val="22"/>
        <w:lang w:val="en-AU" w:eastAsia="en-A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qFormat="1"/>
    <w:lsdException w:name="heading 7" w:unhideWhenUsed="1" w:qFormat="1"/>
    <w:lsdException w:name="heading 8" w:unhideWhenUsed="1" w:qFormat="1"/>
    <w:lsdException w:name="heading 9" w:uiPriority="1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locked="1" w:semiHidden="1" w:unhideWhenUsed="1"/>
    <w:lsdException w:name="footnote text" w:locked="1" w:semiHidden="1" w:uiPriority="9" w:unhideWhenUsed="1" w:qFormat="1"/>
    <w:lsdException w:name="annotation text" w:locked="1" w:semiHidden="1" w:unhideWhenUsed="1"/>
    <w:lsdException w:name="header" w:locked="1" w:semiHidden="1" w:unhideWhenUsed="1"/>
    <w:lsdException w:name="footer" w:locked="1" w:semiHidden="1" w:unhideWhenUsed="1" w:qFormat="1"/>
    <w:lsdException w:name="index heading" w:locked="1" w:semiHidden="1" w:unhideWhenUsed="1"/>
    <w:lsdException w:name="caption" w:uiPriority="4"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2" w:unhideWhenUsed="1" w:qFormat="1"/>
    <w:lsdException w:name="List Number" w:locked="1" w:semiHidden="1" w:uiPriority="2"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2" w:unhideWhenUsed="1" w:qFormat="1"/>
    <w:lsdException w:name="List Bullet 3" w:locked="1" w:semiHidden="1" w:uiPriority="2" w:unhideWhenUsed="1"/>
    <w:lsdException w:name="List Bullet 4" w:locked="1" w:semiHidden="1" w:unhideWhenUsed="1"/>
    <w:lsdException w:name="List Bullet 5" w:locked="1" w:semiHidden="1" w:unhideWhenUsed="1"/>
    <w:lsdException w:name="List Number 2" w:locked="1" w:semiHidden="1" w:uiPriority="2" w:unhideWhenUsed="1" w:qFormat="1"/>
    <w:lsdException w:name="List Number 3" w:locked="1" w:semiHidden="1" w:uiPriority="2" w:unhideWhenUsed="1"/>
    <w:lsdException w:name="List Number 4" w:locked="1" w:semiHidden="1" w:unhideWhenUsed="1"/>
    <w:lsdException w:name="List Number 5" w:locked="1" w:semiHidden="1" w:unhideWhenUsed="1"/>
    <w:lsdException w:name="Title" w:uiPriority="10" w:qFormat="1"/>
    <w:lsdException w:name="Closing" w:locked="1" w:semiHidden="1" w:unhideWhenUsed="1"/>
    <w:lsdException w:name="Signature" w:locked="1" w:semiHidden="1" w:unhideWhenUsed="1"/>
    <w:lsdException w:name="Default Paragraph Font" w:uiPriority="1" w:unhideWhenUsed="1"/>
    <w:lsdException w:name="Body Text" w:locked="1" w:semiHidden="1" w:uiPriority="0"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semiHidden="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Strong" w:qFormat="1"/>
    <w:lsdException w:name="Emphasis"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uiPriority="1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B6527B"/>
    <w:pPr>
      <w:spacing w:after="120"/>
    </w:pPr>
    <w:rPr>
      <w:rFonts w:eastAsia="Calibri"/>
      <w:color w:val="000000"/>
    </w:rPr>
  </w:style>
  <w:style w:type="paragraph" w:styleId="Heading1">
    <w:name w:val="heading 1"/>
    <w:next w:val="BodyText"/>
    <w:link w:val="Heading1Char"/>
    <w:uiPriority w:val="1"/>
    <w:qFormat/>
    <w:rsid w:val="00DC2413"/>
    <w:pPr>
      <w:keepNext/>
      <w:keepLines/>
      <w:pageBreakBefore/>
      <w:numPr>
        <w:numId w:val="13"/>
      </w:numPr>
      <w:tabs>
        <w:tab w:val="left" w:pos="1134"/>
      </w:tabs>
      <w:spacing w:after="960" w:line="480" w:lineRule="exact"/>
      <w:outlineLvl w:val="0"/>
    </w:pPr>
    <w:rPr>
      <w:rFonts w:eastAsiaTheme="majorEastAsia" w:cstheme="majorBidi"/>
      <w:b/>
      <w:bCs/>
      <w:color w:val="00313C" w:themeColor="accent2"/>
      <w:sz w:val="44"/>
      <w:szCs w:val="28"/>
    </w:rPr>
  </w:style>
  <w:style w:type="paragraph" w:styleId="Heading2">
    <w:name w:val="heading 2"/>
    <w:basedOn w:val="Heading1"/>
    <w:next w:val="BodyText"/>
    <w:link w:val="Heading2Char"/>
    <w:uiPriority w:val="1"/>
    <w:qFormat/>
    <w:rsid w:val="00A90F41"/>
    <w:pPr>
      <w:pageBreakBefore w:val="0"/>
      <w:numPr>
        <w:ilvl w:val="1"/>
      </w:numPr>
      <w:spacing w:before="360" w:after="240" w:line="240" w:lineRule="auto"/>
      <w:outlineLvl w:val="1"/>
    </w:pPr>
    <w:rPr>
      <w:b w:val="0"/>
      <w:sz w:val="32"/>
      <w:szCs w:val="26"/>
    </w:rPr>
  </w:style>
  <w:style w:type="paragraph" w:styleId="Heading3">
    <w:name w:val="heading 3"/>
    <w:basedOn w:val="Heading2"/>
    <w:next w:val="BodyText"/>
    <w:link w:val="Heading3Char"/>
    <w:uiPriority w:val="1"/>
    <w:qFormat/>
    <w:rsid w:val="00E71F2C"/>
    <w:pPr>
      <w:numPr>
        <w:ilvl w:val="2"/>
      </w:numPr>
      <w:outlineLvl w:val="2"/>
    </w:pPr>
    <w:rPr>
      <w:b/>
      <w:color w:val="auto"/>
      <w:sz w:val="26"/>
    </w:rPr>
  </w:style>
  <w:style w:type="paragraph" w:styleId="Heading4">
    <w:name w:val="heading 4"/>
    <w:basedOn w:val="Heading3"/>
    <w:next w:val="BodyText"/>
    <w:link w:val="Heading4Char"/>
    <w:uiPriority w:val="1"/>
    <w:qFormat/>
    <w:rsid w:val="00D1044D"/>
    <w:pPr>
      <w:numPr>
        <w:ilvl w:val="0"/>
        <w:numId w:val="0"/>
      </w:numPr>
      <w:spacing w:before="240" w:after="120"/>
      <w:outlineLvl w:val="3"/>
    </w:pPr>
    <w:rPr>
      <w:iCs/>
      <w:color w:val="007E9A" w:themeColor="accent1" w:themeShade="BF"/>
      <w:spacing w:val="1"/>
      <w:sz w:val="24"/>
    </w:rPr>
  </w:style>
  <w:style w:type="paragraph" w:styleId="Heading5">
    <w:name w:val="heading 5"/>
    <w:basedOn w:val="Heading4"/>
    <w:next w:val="BodyText"/>
    <w:link w:val="Heading5Char"/>
    <w:uiPriority w:val="1"/>
    <w:qFormat/>
    <w:rsid w:val="00C80108"/>
    <w:pPr>
      <w:outlineLvl w:val="4"/>
    </w:pPr>
    <w:rPr>
      <w:color w:val="auto"/>
      <w:sz w:val="22"/>
    </w:rPr>
  </w:style>
  <w:style w:type="paragraph" w:styleId="Heading6">
    <w:name w:val="heading 6"/>
    <w:basedOn w:val="Normal"/>
    <w:next w:val="Normal"/>
    <w:link w:val="Heading6Char"/>
    <w:uiPriority w:val="99"/>
    <w:semiHidden/>
    <w:qFormat/>
    <w:rsid w:val="001249CC"/>
    <w:pPr>
      <w:keepNext/>
      <w:keepLines/>
      <w:spacing w:before="200"/>
      <w:outlineLvl w:val="5"/>
    </w:pPr>
    <w:rPr>
      <w:rFonts w:eastAsiaTheme="majorEastAsia" w:cstheme="majorBidi"/>
      <w:i/>
      <w:iCs/>
    </w:rPr>
  </w:style>
  <w:style w:type="paragraph" w:styleId="Heading7">
    <w:name w:val="heading 7"/>
    <w:basedOn w:val="Normal"/>
    <w:next w:val="Normal"/>
    <w:link w:val="Heading7Char"/>
    <w:uiPriority w:val="99"/>
    <w:semiHidden/>
    <w:qFormat/>
    <w:locked/>
    <w:rsid w:val="00DB55B9"/>
    <w:pPr>
      <w:spacing w:before="240" w:after="60"/>
      <w:outlineLvl w:val="6"/>
    </w:pPr>
    <w:rPr>
      <w:rFonts w:asciiTheme="minorHAnsi" w:hAnsiTheme="minorHAnsi" w:cstheme="majorBidi"/>
      <w:sz w:val="24"/>
      <w:szCs w:val="24"/>
    </w:rPr>
  </w:style>
  <w:style w:type="paragraph" w:styleId="Heading8">
    <w:name w:val="heading 8"/>
    <w:basedOn w:val="Normal"/>
    <w:next w:val="Normal"/>
    <w:link w:val="Heading8Char"/>
    <w:uiPriority w:val="99"/>
    <w:semiHidden/>
    <w:qFormat/>
    <w:locked/>
    <w:rsid w:val="00DB55B9"/>
    <w:pPr>
      <w:spacing w:before="240" w:after="60"/>
      <w:outlineLvl w:val="7"/>
    </w:pPr>
    <w:rPr>
      <w:rFonts w:asciiTheme="minorHAnsi" w:hAnsiTheme="minorHAnsi" w:cstheme="majorBidi"/>
      <w:i/>
      <w:iCs/>
      <w:sz w:val="24"/>
      <w:szCs w:val="24"/>
    </w:rPr>
  </w:style>
  <w:style w:type="paragraph" w:styleId="Heading9">
    <w:name w:val="heading 9"/>
    <w:aliases w:val="Appendix Heading 1"/>
    <w:basedOn w:val="AppendixHeading1base"/>
    <w:next w:val="BodyText"/>
    <w:link w:val="Heading9Char"/>
    <w:uiPriority w:val="10"/>
    <w:qFormat/>
    <w:locked/>
    <w:rsid w:val="00D1044D"/>
    <w:pPr>
      <w:spacing w:after="1080"/>
      <w:outlineLvl w:val="8"/>
    </w:pPr>
    <w:rPr>
      <w:color w:val="00313C"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DC2413"/>
    <w:rPr>
      <w:rFonts w:eastAsiaTheme="majorEastAsia" w:cstheme="majorBidi"/>
      <w:b/>
      <w:bCs/>
      <w:color w:val="00313C" w:themeColor="accent2"/>
      <w:sz w:val="44"/>
      <w:szCs w:val="28"/>
    </w:rPr>
  </w:style>
  <w:style w:type="character" w:customStyle="1" w:styleId="Heading2Char">
    <w:name w:val="Heading 2 Char"/>
    <w:basedOn w:val="DefaultParagraphFont"/>
    <w:link w:val="Heading2"/>
    <w:uiPriority w:val="1"/>
    <w:locked/>
    <w:rsid w:val="00A90F41"/>
    <w:rPr>
      <w:rFonts w:eastAsiaTheme="majorEastAsia" w:cstheme="majorBidi"/>
      <w:bCs/>
      <w:color w:val="00313C" w:themeColor="accent2"/>
      <w:sz w:val="32"/>
      <w:szCs w:val="26"/>
    </w:rPr>
  </w:style>
  <w:style w:type="character" w:customStyle="1" w:styleId="Heading3Char">
    <w:name w:val="Heading 3 Char"/>
    <w:basedOn w:val="DefaultParagraphFont"/>
    <w:link w:val="Heading3"/>
    <w:uiPriority w:val="1"/>
    <w:locked/>
    <w:rsid w:val="00E71F2C"/>
    <w:rPr>
      <w:rFonts w:eastAsiaTheme="majorEastAsia" w:cstheme="majorBidi"/>
      <w:b/>
      <w:bCs/>
      <w:sz w:val="26"/>
      <w:szCs w:val="26"/>
    </w:rPr>
  </w:style>
  <w:style w:type="character" w:customStyle="1" w:styleId="Heading4Char">
    <w:name w:val="Heading 4 Char"/>
    <w:basedOn w:val="DefaultParagraphFont"/>
    <w:link w:val="Heading4"/>
    <w:uiPriority w:val="1"/>
    <w:locked/>
    <w:rsid w:val="00D1044D"/>
    <w:rPr>
      <w:rFonts w:eastAsiaTheme="majorEastAsia" w:cstheme="majorBidi"/>
      <w:b/>
      <w:bCs/>
      <w:iCs/>
      <w:color w:val="007E9A" w:themeColor="accent1" w:themeShade="BF"/>
      <w:spacing w:val="1"/>
      <w:sz w:val="24"/>
      <w:szCs w:val="26"/>
    </w:rPr>
  </w:style>
  <w:style w:type="character" w:customStyle="1" w:styleId="Heading5Char">
    <w:name w:val="Heading 5 Char"/>
    <w:basedOn w:val="DefaultParagraphFont"/>
    <w:link w:val="Heading5"/>
    <w:uiPriority w:val="1"/>
    <w:locked/>
    <w:rsid w:val="00C80108"/>
    <w:rPr>
      <w:rFonts w:eastAsiaTheme="majorEastAsia" w:cstheme="majorBidi"/>
      <w:b/>
      <w:bCs/>
      <w:iCs/>
      <w:spacing w:val="1"/>
      <w:szCs w:val="26"/>
    </w:rPr>
  </w:style>
  <w:style w:type="character" w:customStyle="1" w:styleId="Heading6Char">
    <w:name w:val="Heading 6 Char"/>
    <w:basedOn w:val="DefaultParagraphFont"/>
    <w:link w:val="Heading6"/>
    <w:uiPriority w:val="99"/>
    <w:semiHidden/>
    <w:locked/>
    <w:rsid w:val="00DB55B9"/>
    <w:rPr>
      <w:rFonts w:eastAsiaTheme="majorEastAsia" w:cstheme="majorBidi"/>
      <w:i/>
      <w:iCs/>
      <w:color w:val="000000"/>
    </w:rPr>
  </w:style>
  <w:style w:type="character" w:customStyle="1" w:styleId="Heading7Char">
    <w:name w:val="Heading 7 Char"/>
    <w:basedOn w:val="DefaultParagraphFont"/>
    <w:link w:val="Heading7"/>
    <w:uiPriority w:val="99"/>
    <w:semiHidden/>
    <w:locked/>
    <w:rsid w:val="00DB55B9"/>
    <w:rPr>
      <w:rFonts w:asciiTheme="minorHAnsi" w:eastAsia="Calibri" w:hAnsiTheme="minorHAnsi" w:cstheme="majorBidi"/>
      <w:color w:val="000000"/>
      <w:sz w:val="24"/>
      <w:szCs w:val="24"/>
    </w:rPr>
  </w:style>
  <w:style w:type="character" w:customStyle="1" w:styleId="Heading8Char">
    <w:name w:val="Heading 8 Char"/>
    <w:basedOn w:val="DefaultParagraphFont"/>
    <w:link w:val="Heading8"/>
    <w:uiPriority w:val="99"/>
    <w:semiHidden/>
    <w:locked/>
    <w:rsid w:val="00DB55B9"/>
    <w:rPr>
      <w:rFonts w:asciiTheme="minorHAnsi" w:eastAsia="Calibri" w:hAnsiTheme="minorHAnsi" w:cstheme="majorBidi"/>
      <w:i/>
      <w:iCs/>
      <w:color w:val="000000"/>
      <w:sz w:val="24"/>
      <w:szCs w:val="24"/>
    </w:rPr>
  </w:style>
  <w:style w:type="character" w:customStyle="1" w:styleId="Heading9Char">
    <w:name w:val="Heading 9 Char"/>
    <w:aliases w:val="Appendix Heading 1 Char"/>
    <w:basedOn w:val="DefaultParagraphFont"/>
    <w:link w:val="Heading9"/>
    <w:uiPriority w:val="10"/>
    <w:locked/>
    <w:rsid w:val="00D1044D"/>
    <w:rPr>
      <w:rFonts w:eastAsiaTheme="majorEastAsia" w:cstheme="majorBidi"/>
      <w:b/>
      <w:bCs/>
      <w:color w:val="00313C" w:themeColor="accent2"/>
      <w:sz w:val="44"/>
      <w:szCs w:val="28"/>
    </w:rPr>
  </w:style>
  <w:style w:type="paragraph" w:styleId="Header">
    <w:name w:val="header"/>
    <w:basedOn w:val="Normal"/>
    <w:link w:val="HeaderChar"/>
    <w:uiPriority w:val="99"/>
    <w:semiHidden/>
    <w:rsid w:val="00944443"/>
    <w:rPr>
      <w:caps/>
      <w:color w:val="FFFFFF"/>
      <w:spacing w:val="16"/>
    </w:rPr>
  </w:style>
  <w:style w:type="character" w:customStyle="1" w:styleId="HeaderChar">
    <w:name w:val="Header Char"/>
    <w:basedOn w:val="DefaultParagraphFont"/>
    <w:link w:val="Header"/>
    <w:uiPriority w:val="99"/>
    <w:semiHidden/>
    <w:locked/>
    <w:rsid w:val="00DB55B9"/>
    <w:rPr>
      <w:rFonts w:eastAsia="Calibri"/>
      <w:caps/>
      <w:color w:val="FFFFFF"/>
      <w:spacing w:val="16"/>
    </w:rPr>
  </w:style>
  <w:style w:type="paragraph" w:styleId="Footer">
    <w:name w:val="footer"/>
    <w:basedOn w:val="BodyText"/>
    <w:link w:val="FooterChar"/>
    <w:uiPriority w:val="99"/>
    <w:qFormat/>
    <w:rsid w:val="00DC2413"/>
    <w:pPr>
      <w:tabs>
        <w:tab w:val="center" w:pos="4513"/>
        <w:tab w:val="right" w:pos="9026"/>
      </w:tabs>
      <w:spacing w:before="0" w:line="220" w:lineRule="atLeast"/>
    </w:pPr>
    <w:rPr>
      <w:color w:val="auto"/>
      <w:sz w:val="16"/>
    </w:rPr>
  </w:style>
  <w:style w:type="character" w:customStyle="1" w:styleId="FooterChar">
    <w:name w:val="Footer Char"/>
    <w:basedOn w:val="DefaultParagraphFont"/>
    <w:link w:val="Footer"/>
    <w:uiPriority w:val="99"/>
    <w:locked/>
    <w:rsid w:val="00DC2413"/>
    <w:rPr>
      <w:rFonts w:eastAsia="Calibri"/>
      <w:sz w:val="16"/>
    </w:rPr>
  </w:style>
  <w:style w:type="paragraph" w:styleId="BalloonText">
    <w:name w:val="Balloon Text"/>
    <w:basedOn w:val="Normal"/>
    <w:link w:val="BalloonTextChar"/>
    <w:uiPriority w:val="99"/>
    <w:semiHidden/>
    <w:locked/>
    <w:rsid w:val="00064612"/>
    <w:pPr>
      <w:spacing w:after="0"/>
    </w:pPr>
    <w:rPr>
      <w:rFonts w:ascii="Tahoma" w:hAnsi="Tahoma" w:cs="Tahoma"/>
      <w:sz w:val="16"/>
      <w:szCs w:val="16"/>
    </w:rPr>
  </w:style>
  <w:style w:type="paragraph" w:styleId="ListBullet">
    <w:name w:val="List Bullet"/>
    <w:basedOn w:val="BodyText"/>
    <w:next w:val="BodyText"/>
    <w:uiPriority w:val="2"/>
    <w:qFormat/>
    <w:rsid w:val="00D349D1"/>
    <w:pPr>
      <w:numPr>
        <w:numId w:val="5"/>
      </w:numPr>
      <w:tabs>
        <w:tab w:val="left" w:pos="397"/>
      </w:tabs>
      <w:spacing w:before="60" w:after="60"/>
      <w:ind w:left="198" w:hanging="198"/>
    </w:pPr>
  </w:style>
  <w:style w:type="paragraph" w:styleId="ListNumber">
    <w:name w:val="List Number"/>
    <w:basedOn w:val="BodyText"/>
    <w:next w:val="BodyText"/>
    <w:uiPriority w:val="2"/>
    <w:qFormat/>
    <w:rsid w:val="00D349D1"/>
    <w:pPr>
      <w:numPr>
        <w:numId w:val="8"/>
      </w:numPr>
      <w:tabs>
        <w:tab w:val="left" w:pos="397"/>
      </w:tabs>
      <w:ind w:left="397" w:hanging="397"/>
    </w:pPr>
  </w:style>
  <w:style w:type="paragraph" w:styleId="ListBullet2">
    <w:name w:val="List Bullet 2"/>
    <w:basedOn w:val="ListBullet"/>
    <w:next w:val="BodyText"/>
    <w:uiPriority w:val="2"/>
    <w:qFormat/>
    <w:rsid w:val="00D349D1"/>
    <w:pPr>
      <w:numPr>
        <w:ilvl w:val="1"/>
      </w:numPr>
      <w:tabs>
        <w:tab w:val="clear" w:pos="397"/>
        <w:tab w:val="left" w:pos="794"/>
      </w:tabs>
      <w:ind w:left="794" w:hanging="357"/>
    </w:pPr>
  </w:style>
  <w:style w:type="paragraph" w:styleId="TOC1">
    <w:name w:val="toc 1"/>
    <w:basedOn w:val="BodyText"/>
    <w:next w:val="TOC2"/>
    <w:uiPriority w:val="39"/>
    <w:unhideWhenUsed/>
    <w:rsid w:val="00DC2413"/>
    <w:pPr>
      <w:pBdr>
        <w:top w:val="single" w:sz="4" w:space="1" w:color="00313C" w:themeColor="accent2"/>
        <w:left w:val="single" w:sz="4" w:space="4" w:color="00313C" w:themeColor="accent2"/>
        <w:bottom w:val="single" w:sz="4" w:space="1" w:color="00313C" w:themeColor="accent2"/>
        <w:right w:val="single" w:sz="4" w:space="4" w:color="00313C" w:themeColor="accent2"/>
      </w:pBdr>
      <w:shd w:val="clear" w:color="auto" w:fill="00313C" w:themeFill="accent2"/>
      <w:tabs>
        <w:tab w:val="left" w:pos="737"/>
        <w:tab w:val="right" w:pos="9639"/>
      </w:tabs>
      <w:spacing w:before="240" w:after="180"/>
    </w:pPr>
    <w:rPr>
      <w:b/>
      <w:noProof/>
      <w:color w:val="FFFFFF"/>
    </w:rPr>
  </w:style>
  <w:style w:type="paragraph" w:styleId="TOC2">
    <w:name w:val="toc 2"/>
    <w:basedOn w:val="BodyText"/>
    <w:uiPriority w:val="39"/>
    <w:unhideWhenUsed/>
    <w:rsid w:val="00A23FE4"/>
    <w:pPr>
      <w:tabs>
        <w:tab w:val="left" w:pos="737"/>
        <w:tab w:val="left" w:pos="1531"/>
        <w:tab w:val="right" w:leader="dot" w:pos="9639"/>
      </w:tabs>
      <w:ind w:right="284"/>
    </w:pPr>
    <w:rPr>
      <w:noProof/>
      <w:color w:val="00313C" w:themeColor="accent2"/>
    </w:rPr>
  </w:style>
  <w:style w:type="table" w:styleId="TableGrid">
    <w:name w:val="Table Grid"/>
    <w:basedOn w:val="TableNormal"/>
    <w:uiPriority w:val="99"/>
    <w:rsid w:val="006F4826"/>
    <w:rPr>
      <w:sz w:val="20"/>
      <w:szCs w:val="20"/>
    </w:rPr>
    <w:tblPr>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Pr>
  </w:style>
  <w:style w:type="character" w:styleId="PageNumber">
    <w:name w:val="page number"/>
    <w:basedOn w:val="DefaultParagraphFont"/>
    <w:uiPriority w:val="99"/>
    <w:semiHidden/>
    <w:rsid w:val="00752473"/>
    <w:rPr>
      <w:rFonts w:ascii="Calibri" w:hAnsi="Calibri" w:cs="Times New Roman"/>
      <w:sz w:val="16"/>
    </w:rPr>
  </w:style>
  <w:style w:type="paragraph" w:styleId="TOC3">
    <w:name w:val="toc 3"/>
    <w:basedOn w:val="BodyText"/>
    <w:uiPriority w:val="39"/>
    <w:unhideWhenUsed/>
    <w:rsid w:val="00A23FE4"/>
    <w:pPr>
      <w:tabs>
        <w:tab w:val="left" w:pos="1531"/>
        <w:tab w:val="right" w:leader="dot" w:pos="9639"/>
      </w:tabs>
      <w:spacing w:before="60"/>
      <w:ind w:left="737" w:right="284"/>
    </w:pPr>
    <w:rPr>
      <w:color w:val="00313C" w:themeColor="accent2"/>
    </w:rPr>
  </w:style>
  <w:style w:type="paragraph" w:customStyle="1" w:styleId="CoverTitle">
    <w:name w:val="CoverTitle"/>
    <w:next w:val="CoverSubtitle"/>
    <w:uiPriority w:val="12"/>
    <w:qFormat/>
    <w:rsid w:val="00F76488"/>
    <w:pPr>
      <w:spacing w:after="170" w:line="216" w:lineRule="auto"/>
    </w:pPr>
    <w:rPr>
      <w:rFonts w:eastAsiaTheme="majorEastAsia" w:cstheme="majorBidi"/>
      <w:b/>
      <w:color w:val="00313C" w:themeColor="accent2"/>
      <w:spacing w:val="5"/>
      <w:kern w:val="28"/>
      <w:sz w:val="80"/>
      <w:szCs w:val="52"/>
    </w:rPr>
  </w:style>
  <w:style w:type="paragraph" w:customStyle="1" w:styleId="PartTitle">
    <w:name w:val="PartTitle"/>
    <w:next w:val="PartSubtitle"/>
    <w:uiPriority w:val="15"/>
    <w:qFormat/>
    <w:rsid w:val="004E5109"/>
    <w:pPr>
      <w:keepNext/>
      <w:tabs>
        <w:tab w:val="left" w:pos="2552"/>
      </w:tabs>
      <w:ind w:left="2552" w:hanging="2552"/>
      <w:outlineLvl w:val="0"/>
    </w:pPr>
    <w:rPr>
      <w:rFonts w:eastAsia="Calibri"/>
      <w:b/>
      <w:color w:val="007E9A" w:themeColor="accent1" w:themeShade="BF"/>
      <w:sz w:val="80"/>
    </w:rPr>
  </w:style>
  <w:style w:type="paragraph" w:customStyle="1" w:styleId="PartSubtitle">
    <w:name w:val="PartSubtitle"/>
    <w:basedOn w:val="PartTitle"/>
    <w:next w:val="BodyText"/>
    <w:uiPriority w:val="15"/>
    <w:qFormat/>
    <w:rsid w:val="00D1044D"/>
    <w:pPr>
      <w:spacing w:before="360" w:after="240" w:line="340" w:lineRule="atLeast"/>
      <w:outlineLvl w:val="9"/>
    </w:pPr>
    <w:rPr>
      <w:b w:val="0"/>
      <w:color w:val="00313C" w:themeColor="accent2"/>
      <w:sz w:val="34"/>
    </w:rPr>
  </w:style>
  <w:style w:type="paragraph" w:customStyle="1" w:styleId="ListofFiguresandTablesTOCHeading">
    <w:name w:val="List of Figures and Tables TOC Heading"/>
    <w:basedOn w:val="TOCHeading"/>
    <w:next w:val="TableofFigures"/>
    <w:uiPriority w:val="14"/>
    <w:qFormat/>
    <w:rsid w:val="00D1044D"/>
  </w:style>
  <w:style w:type="paragraph" w:styleId="ListBullet3">
    <w:name w:val="List Bullet 3"/>
    <w:basedOn w:val="ListBullet2"/>
    <w:uiPriority w:val="2"/>
    <w:rsid w:val="00D349D1"/>
    <w:pPr>
      <w:numPr>
        <w:ilvl w:val="0"/>
        <w:numId w:val="15"/>
      </w:numPr>
      <w:tabs>
        <w:tab w:val="clear" w:pos="794"/>
        <w:tab w:val="left" w:pos="851"/>
      </w:tabs>
      <w:ind w:left="1497" w:hanging="340"/>
    </w:pPr>
  </w:style>
  <w:style w:type="paragraph" w:styleId="FootnoteText">
    <w:name w:val="footnote text"/>
    <w:basedOn w:val="BodyText"/>
    <w:link w:val="FootnoteTextChar"/>
    <w:uiPriority w:val="9"/>
    <w:qFormat/>
    <w:rsid w:val="00DC2413"/>
    <w:pPr>
      <w:spacing w:before="60" w:line="180" w:lineRule="atLeast"/>
    </w:pPr>
    <w:rPr>
      <w:sz w:val="16"/>
      <w:szCs w:val="20"/>
    </w:rPr>
  </w:style>
  <w:style w:type="character" w:customStyle="1" w:styleId="FootnoteTextChar">
    <w:name w:val="Footnote Text Char"/>
    <w:basedOn w:val="DefaultParagraphFont"/>
    <w:link w:val="FootnoteText"/>
    <w:uiPriority w:val="9"/>
    <w:locked/>
    <w:rsid w:val="00DC2413"/>
    <w:rPr>
      <w:rFonts w:eastAsia="Calibri"/>
      <w:color w:val="000000"/>
      <w:sz w:val="16"/>
      <w:szCs w:val="20"/>
    </w:rPr>
  </w:style>
  <w:style w:type="paragraph" w:customStyle="1" w:styleId="FootnoteHeading">
    <w:name w:val="Footnote Heading"/>
    <w:basedOn w:val="FootnoteText"/>
    <w:uiPriority w:val="9"/>
    <w:qFormat/>
    <w:rsid w:val="007A01EB"/>
    <w:rPr>
      <w:b/>
    </w:rPr>
  </w:style>
  <w:style w:type="paragraph" w:customStyle="1" w:styleId="FigureTableSource">
    <w:name w:val="Figure/Table Source"/>
    <w:basedOn w:val="BodyText"/>
    <w:next w:val="BodyText"/>
    <w:uiPriority w:val="4"/>
    <w:qFormat/>
    <w:rsid w:val="00DC2413"/>
    <w:pPr>
      <w:tabs>
        <w:tab w:val="left" w:pos="539"/>
      </w:tabs>
      <w:spacing w:after="240" w:line="180" w:lineRule="atLeast"/>
    </w:pPr>
    <w:rPr>
      <w:sz w:val="16"/>
      <w:szCs w:val="20"/>
    </w:rPr>
  </w:style>
  <w:style w:type="paragraph" w:customStyle="1" w:styleId="TableText">
    <w:name w:val="TableText"/>
    <w:basedOn w:val="Normal"/>
    <w:uiPriority w:val="5"/>
    <w:qFormat/>
    <w:rsid w:val="00DC2413"/>
    <w:pPr>
      <w:spacing w:before="60" w:after="60"/>
    </w:pPr>
    <w:rPr>
      <w:sz w:val="18"/>
    </w:rPr>
  </w:style>
  <w:style w:type="paragraph" w:customStyle="1" w:styleId="TableBullet">
    <w:name w:val="TableBullet"/>
    <w:basedOn w:val="TableText"/>
    <w:next w:val="TableText"/>
    <w:uiPriority w:val="5"/>
    <w:qFormat/>
    <w:rsid w:val="006131D3"/>
    <w:pPr>
      <w:numPr>
        <w:numId w:val="7"/>
      </w:numPr>
    </w:pPr>
  </w:style>
  <w:style w:type="paragraph" w:customStyle="1" w:styleId="RowHeading">
    <w:name w:val="RowHeading"/>
    <w:basedOn w:val="TableText"/>
    <w:next w:val="TableText"/>
    <w:uiPriority w:val="5"/>
    <w:qFormat/>
    <w:rsid w:val="00FB6C47"/>
    <w:rPr>
      <w:b/>
      <w:color w:val="auto"/>
    </w:rPr>
  </w:style>
  <w:style w:type="paragraph" w:customStyle="1" w:styleId="ColumnHeading">
    <w:name w:val="ColumnHeading"/>
    <w:basedOn w:val="TableText"/>
    <w:uiPriority w:val="5"/>
    <w:qFormat/>
    <w:rsid w:val="00786A8D"/>
    <w:pPr>
      <w:spacing w:after="0" w:line="180" w:lineRule="atLeast"/>
    </w:pPr>
    <w:rPr>
      <w:b/>
      <w:caps/>
      <w:color w:val="FFFFFF"/>
      <w:sz w:val="16"/>
    </w:rPr>
  </w:style>
  <w:style w:type="paragraph" w:customStyle="1" w:styleId="CoverSubtitle">
    <w:name w:val="CoverSubtitle"/>
    <w:next w:val="BodyText"/>
    <w:uiPriority w:val="12"/>
    <w:qFormat/>
    <w:rsid w:val="0024666C"/>
    <w:pPr>
      <w:numPr>
        <w:ilvl w:val="1"/>
      </w:numPr>
      <w:spacing w:after="170"/>
    </w:pPr>
    <w:rPr>
      <w:rFonts w:eastAsiaTheme="majorEastAsia" w:cstheme="majorBidi"/>
      <w:iCs/>
      <w:color w:val="000000" w:themeColor="text2"/>
      <w:spacing w:val="15"/>
      <w:sz w:val="34"/>
      <w:szCs w:val="24"/>
    </w:rPr>
  </w:style>
  <w:style w:type="paragraph" w:customStyle="1" w:styleId="BackCoverContactHeading">
    <w:name w:val="BackCover ContactHeading"/>
    <w:next w:val="BackCoverContactDetails"/>
    <w:uiPriority w:val="18"/>
    <w:qFormat/>
    <w:rsid w:val="00DC2413"/>
    <w:pPr>
      <w:spacing w:before="360" w:after="60"/>
    </w:pPr>
    <w:rPr>
      <w:rFonts w:eastAsia="Calibri"/>
      <w:caps/>
      <w:sz w:val="18"/>
      <w:szCs w:val="20"/>
    </w:rPr>
  </w:style>
  <w:style w:type="paragraph" w:customStyle="1" w:styleId="BackCoverContactDetails">
    <w:name w:val="BackCover ContactDetails"/>
    <w:uiPriority w:val="18"/>
    <w:qFormat/>
    <w:rsid w:val="00DC2413"/>
    <w:pPr>
      <w:tabs>
        <w:tab w:val="left" w:pos="199"/>
      </w:tabs>
    </w:pPr>
    <w:rPr>
      <w:rFonts w:eastAsia="Calibri"/>
      <w:sz w:val="18"/>
    </w:rPr>
  </w:style>
  <w:style w:type="character" w:customStyle="1" w:styleId="BackCoverContactBold">
    <w:name w:val="BackCover ContactBold"/>
    <w:basedOn w:val="DefaultParagraphFont"/>
    <w:uiPriority w:val="18"/>
    <w:qFormat/>
    <w:rsid w:val="00D1044D"/>
    <w:rPr>
      <w:b/>
    </w:rPr>
  </w:style>
  <w:style w:type="paragraph" w:styleId="TOCHeading">
    <w:name w:val="TOC Heading"/>
    <w:basedOn w:val="Heading1"/>
    <w:next w:val="Normal"/>
    <w:link w:val="TOCHeadingChar"/>
    <w:uiPriority w:val="19"/>
    <w:semiHidden/>
    <w:qFormat/>
    <w:rsid w:val="00462182"/>
    <w:pPr>
      <w:pageBreakBefore w:val="0"/>
      <w:numPr>
        <w:numId w:val="0"/>
      </w:numPr>
      <w:spacing w:before="480" w:after="240"/>
      <w:outlineLvl w:val="1"/>
    </w:pPr>
    <w:rPr>
      <w:bCs w:val="0"/>
    </w:rPr>
  </w:style>
  <w:style w:type="character" w:styleId="Hyperlink">
    <w:name w:val="Hyperlink"/>
    <w:basedOn w:val="DefaultParagraphFont"/>
    <w:uiPriority w:val="99"/>
    <w:qFormat/>
    <w:rsid w:val="008631BE"/>
    <w:rPr>
      <w:rFonts w:cs="Times New Roman"/>
      <w:color w:val="007E9A" w:themeColor="accent1" w:themeShade="BF"/>
      <w:u w:val="none"/>
    </w:rPr>
  </w:style>
  <w:style w:type="paragraph" w:styleId="TOC4">
    <w:name w:val="toc 4"/>
    <w:basedOn w:val="Normal"/>
    <w:next w:val="Normal"/>
    <w:autoRedefine/>
    <w:uiPriority w:val="39"/>
    <w:rsid w:val="00FE3F4D"/>
    <w:pPr>
      <w:spacing w:after="100"/>
      <w:ind w:left="660"/>
    </w:pPr>
  </w:style>
  <w:style w:type="paragraph" w:styleId="TOC9">
    <w:name w:val="toc 9"/>
    <w:basedOn w:val="Normal"/>
    <w:next w:val="Normal"/>
    <w:autoRedefine/>
    <w:uiPriority w:val="39"/>
    <w:rsid w:val="00FE3F4D"/>
    <w:pPr>
      <w:spacing w:after="100"/>
      <w:ind w:left="1760"/>
    </w:pPr>
  </w:style>
  <w:style w:type="character" w:customStyle="1" w:styleId="BalloonTextChar">
    <w:name w:val="Balloon Text Char"/>
    <w:basedOn w:val="DefaultParagraphFont"/>
    <w:link w:val="BalloonText"/>
    <w:uiPriority w:val="99"/>
    <w:semiHidden/>
    <w:rsid w:val="00DB55B9"/>
    <w:rPr>
      <w:rFonts w:ascii="Tahoma" w:eastAsia="Calibri" w:hAnsi="Tahoma" w:cs="Tahoma"/>
      <w:color w:val="000000"/>
      <w:sz w:val="16"/>
      <w:szCs w:val="16"/>
    </w:rPr>
  </w:style>
  <w:style w:type="paragraph" w:styleId="Caption">
    <w:name w:val="caption"/>
    <w:basedOn w:val="BodyText"/>
    <w:next w:val="BodyText"/>
    <w:uiPriority w:val="4"/>
    <w:qFormat/>
    <w:rsid w:val="00B26878"/>
    <w:pPr>
      <w:keepNext/>
      <w:spacing w:before="180" w:after="180"/>
      <w:contextualSpacing/>
    </w:pPr>
    <w:rPr>
      <w:b/>
      <w:bCs/>
      <w:color w:val="007E9A" w:themeColor="accent1" w:themeShade="BF"/>
      <w:sz w:val="20"/>
      <w:szCs w:val="18"/>
    </w:rPr>
  </w:style>
  <w:style w:type="paragraph" w:customStyle="1" w:styleId="Headerurl">
    <w:name w:val="Header url"/>
    <w:basedOn w:val="Header"/>
    <w:uiPriority w:val="99"/>
    <w:semiHidden/>
    <w:rsid w:val="00944443"/>
    <w:pPr>
      <w:tabs>
        <w:tab w:val="center" w:pos="4153"/>
        <w:tab w:val="right" w:pos="8306"/>
      </w:tabs>
      <w:spacing w:after="0"/>
    </w:pPr>
    <w:rPr>
      <w:b/>
      <w:color w:val="00313C"/>
      <w:szCs w:val="24"/>
    </w:rPr>
  </w:style>
  <w:style w:type="character" w:customStyle="1" w:styleId="PartNumber">
    <w:name w:val="PartNumber"/>
    <w:basedOn w:val="DefaultParagraphFont"/>
    <w:uiPriority w:val="15"/>
    <w:qFormat/>
    <w:rsid w:val="00D1044D"/>
    <w:rPr>
      <w:color w:val="00313C" w:themeColor="accent2"/>
    </w:rPr>
  </w:style>
  <w:style w:type="paragraph" w:customStyle="1" w:styleId="Heading1notnumbered">
    <w:name w:val="Heading 1 not numbered"/>
    <w:basedOn w:val="Heading1"/>
    <w:next w:val="BodyText"/>
    <w:link w:val="Heading1notnumberedChar"/>
    <w:uiPriority w:val="1"/>
    <w:qFormat/>
    <w:rsid w:val="00D1044D"/>
    <w:pPr>
      <w:numPr>
        <w:numId w:val="0"/>
      </w:numPr>
    </w:pPr>
  </w:style>
  <w:style w:type="paragraph" w:customStyle="1" w:styleId="Heading3notnumbered">
    <w:name w:val="Heading 3 not numbered"/>
    <w:basedOn w:val="Heading3"/>
    <w:next w:val="BodyText"/>
    <w:uiPriority w:val="1"/>
    <w:qFormat/>
    <w:rsid w:val="00752314"/>
    <w:pPr>
      <w:numPr>
        <w:ilvl w:val="0"/>
        <w:numId w:val="0"/>
      </w:numPr>
    </w:pPr>
  </w:style>
  <w:style w:type="paragraph" w:customStyle="1" w:styleId="Heading2notnumbered">
    <w:name w:val="Heading 2 not numbered"/>
    <w:basedOn w:val="Heading2"/>
    <w:next w:val="BodyText"/>
    <w:link w:val="Heading2notnumberedChar"/>
    <w:uiPriority w:val="1"/>
    <w:qFormat/>
    <w:rsid w:val="00752314"/>
    <w:pPr>
      <w:numPr>
        <w:ilvl w:val="0"/>
        <w:numId w:val="0"/>
      </w:numPr>
    </w:pPr>
  </w:style>
  <w:style w:type="paragraph" w:customStyle="1" w:styleId="Heading1noTOC">
    <w:name w:val="Heading 1 no TOC"/>
    <w:basedOn w:val="Heading1notnumbered"/>
    <w:next w:val="BodyText"/>
    <w:link w:val="Heading1noTOCChar"/>
    <w:uiPriority w:val="1"/>
    <w:qFormat/>
    <w:rsid w:val="00C80108"/>
  </w:style>
  <w:style w:type="character" w:customStyle="1" w:styleId="TOCHeadingChar">
    <w:name w:val="TOC Heading Char"/>
    <w:basedOn w:val="DefaultParagraphFont"/>
    <w:link w:val="TOCHeading"/>
    <w:uiPriority w:val="19"/>
    <w:semiHidden/>
    <w:locked/>
    <w:rsid w:val="00DB55B9"/>
    <w:rPr>
      <w:rFonts w:eastAsiaTheme="majorEastAsia" w:cstheme="majorBidi"/>
      <w:b/>
      <w:color w:val="00A9CE" w:themeColor="accent1"/>
      <w:sz w:val="44"/>
      <w:szCs w:val="28"/>
    </w:rPr>
  </w:style>
  <w:style w:type="paragraph" w:styleId="BlockText">
    <w:name w:val="Block Text"/>
    <w:basedOn w:val="Normal"/>
    <w:uiPriority w:val="99"/>
    <w:semiHidden/>
    <w:locked/>
    <w:rsid w:val="00E251B6"/>
    <w:pPr>
      <w:ind w:left="1440" w:right="1440"/>
    </w:pPr>
  </w:style>
  <w:style w:type="paragraph" w:styleId="BodyText">
    <w:name w:val="Body Text"/>
    <w:link w:val="BodyTextChar"/>
    <w:qFormat/>
    <w:locked/>
    <w:rsid w:val="002D0412"/>
    <w:pPr>
      <w:keepLines/>
      <w:spacing w:before="120" w:after="120" w:line="264" w:lineRule="auto"/>
    </w:pPr>
    <w:rPr>
      <w:rFonts w:eastAsia="Calibri"/>
      <w:color w:val="000000"/>
      <w:sz w:val="24"/>
    </w:rPr>
  </w:style>
  <w:style w:type="character" w:customStyle="1" w:styleId="BodyTextChar">
    <w:name w:val="Body Text Char"/>
    <w:basedOn w:val="DefaultParagraphFont"/>
    <w:link w:val="BodyText"/>
    <w:locked/>
    <w:rsid w:val="002D0412"/>
    <w:rPr>
      <w:rFonts w:eastAsia="Calibri"/>
      <w:color w:val="000000"/>
      <w:sz w:val="24"/>
    </w:rPr>
  </w:style>
  <w:style w:type="paragraph" w:styleId="BodyText2">
    <w:name w:val="Body Text 2"/>
    <w:basedOn w:val="Normal"/>
    <w:link w:val="BodyText2Char"/>
    <w:uiPriority w:val="99"/>
    <w:semiHidden/>
    <w:locked/>
    <w:rsid w:val="00E251B6"/>
    <w:pPr>
      <w:spacing w:line="480" w:lineRule="auto"/>
    </w:pPr>
  </w:style>
  <w:style w:type="character" w:customStyle="1" w:styleId="BodyText2Char">
    <w:name w:val="Body Text 2 Char"/>
    <w:basedOn w:val="DefaultParagraphFont"/>
    <w:link w:val="BodyText2"/>
    <w:uiPriority w:val="99"/>
    <w:semiHidden/>
    <w:locked/>
    <w:rsid w:val="00DB55B9"/>
    <w:rPr>
      <w:rFonts w:eastAsia="Calibri"/>
      <w:color w:val="000000"/>
    </w:rPr>
  </w:style>
  <w:style w:type="paragraph" w:styleId="BodyText3">
    <w:name w:val="Body Text 3"/>
    <w:basedOn w:val="Normal"/>
    <w:link w:val="BodyText3Char"/>
    <w:uiPriority w:val="99"/>
    <w:semiHidden/>
    <w:locked/>
    <w:rsid w:val="00E251B6"/>
    <w:rPr>
      <w:sz w:val="16"/>
      <w:szCs w:val="16"/>
    </w:rPr>
  </w:style>
  <w:style w:type="character" w:customStyle="1" w:styleId="BodyText3Char">
    <w:name w:val="Body Text 3 Char"/>
    <w:basedOn w:val="DefaultParagraphFont"/>
    <w:link w:val="BodyText3"/>
    <w:uiPriority w:val="99"/>
    <w:semiHidden/>
    <w:locked/>
    <w:rsid w:val="00DB55B9"/>
    <w:rPr>
      <w:rFonts w:eastAsia="Calibri"/>
      <w:color w:val="000000"/>
      <w:sz w:val="16"/>
      <w:szCs w:val="16"/>
    </w:rPr>
  </w:style>
  <w:style w:type="paragraph" w:styleId="BodyTextFirstIndent">
    <w:name w:val="Body Text First Indent"/>
    <w:basedOn w:val="BodyText"/>
    <w:link w:val="BodyTextFirstIndentChar"/>
    <w:uiPriority w:val="99"/>
    <w:semiHidden/>
    <w:locked/>
    <w:rsid w:val="00E251B6"/>
    <w:pPr>
      <w:ind w:firstLine="210"/>
    </w:pPr>
  </w:style>
  <w:style w:type="character" w:customStyle="1" w:styleId="BodyTextFirstIndentChar">
    <w:name w:val="Body Text First Indent Char"/>
    <w:basedOn w:val="BodyTextChar"/>
    <w:link w:val="BodyTextFirstIndent"/>
    <w:uiPriority w:val="99"/>
    <w:semiHidden/>
    <w:locked/>
    <w:rsid w:val="00DB55B9"/>
    <w:rPr>
      <w:rFonts w:eastAsia="Calibri"/>
      <w:color w:val="000000"/>
      <w:sz w:val="24"/>
    </w:rPr>
  </w:style>
  <w:style w:type="paragraph" w:styleId="BodyTextIndent">
    <w:name w:val="Body Text Indent"/>
    <w:basedOn w:val="Normal"/>
    <w:link w:val="BodyTextIndentChar"/>
    <w:uiPriority w:val="99"/>
    <w:semiHidden/>
    <w:locked/>
    <w:rsid w:val="00E251B6"/>
    <w:pPr>
      <w:ind w:left="283"/>
    </w:pPr>
  </w:style>
  <w:style w:type="character" w:customStyle="1" w:styleId="BodyTextIndentChar">
    <w:name w:val="Body Text Indent Char"/>
    <w:basedOn w:val="DefaultParagraphFont"/>
    <w:link w:val="BodyTextIndent"/>
    <w:uiPriority w:val="99"/>
    <w:semiHidden/>
    <w:locked/>
    <w:rsid w:val="00DB55B9"/>
    <w:rPr>
      <w:rFonts w:eastAsia="Calibri"/>
      <w:color w:val="000000"/>
    </w:rPr>
  </w:style>
  <w:style w:type="paragraph" w:styleId="BodyTextFirstIndent2">
    <w:name w:val="Body Text First Indent 2"/>
    <w:basedOn w:val="BodyTextIndent"/>
    <w:link w:val="BodyTextFirstIndent2Char"/>
    <w:uiPriority w:val="99"/>
    <w:semiHidden/>
    <w:locked/>
    <w:rsid w:val="00E251B6"/>
    <w:pPr>
      <w:ind w:firstLine="210"/>
    </w:pPr>
  </w:style>
  <w:style w:type="character" w:customStyle="1" w:styleId="BodyTextFirstIndent2Char">
    <w:name w:val="Body Text First Indent 2 Char"/>
    <w:basedOn w:val="BodyTextIndentChar"/>
    <w:link w:val="BodyTextFirstIndent2"/>
    <w:uiPriority w:val="99"/>
    <w:semiHidden/>
    <w:locked/>
    <w:rsid w:val="00DB55B9"/>
    <w:rPr>
      <w:rFonts w:eastAsia="Calibri"/>
      <w:color w:val="000000"/>
    </w:rPr>
  </w:style>
  <w:style w:type="paragraph" w:styleId="BodyTextIndent2">
    <w:name w:val="Body Text Indent 2"/>
    <w:basedOn w:val="Normal"/>
    <w:link w:val="BodyTextIndent2Char"/>
    <w:uiPriority w:val="99"/>
    <w:semiHidden/>
    <w:locked/>
    <w:rsid w:val="00E251B6"/>
    <w:pPr>
      <w:spacing w:line="480" w:lineRule="auto"/>
      <w:ind w:left="283"/>
    </w:pPr>
  </w:style>
  <w:style w:type="character" w:customStyle="1" w:styleId="BodyTextIndent2Char">
    <w:name w:val="Body Text Indent 2 Char"/>
    <w:basedOn w:val="DefaultParagraphFont"/>
    <w:link w:val="BodyTextIndent2"/>
    <w:uiPriority w:val="99"/>
    <w:semiHidden/>
    <w:locked/>
    <w:rsid w:val="00DB55B9"/>
    <w:rPr>
      <w:rFonts w:eastAsia="Calibri"/>
      <w:color w:val="000000"/>
    </w:rPr>
  </w:style>
  <w:style w:type="paragraph" w:styleId="BodyTextIndent3">
    <w:name w:val="Body Text Indent 3"/>
    <w:basedOn w:val="Normal"/>
    <w:link w:val="BodyTextIndent3Char"/>
    <w:uiPriority w:val="99"/>
    <w:semiHidden/>
    <w:locked/>
    <w:rsid w:val="00E251B6"/>
    <w:pPr>
      <w:ind w:left="283"/>
    </w:pPr>
    <w:rPr>
      <w:sz w:val="16"/>
      <w:szCs w:val="16"/>
    </w:rPr>
  </w:style>
  <w:style w:type="character" w:customStyle="1" w:styleId="BodyTextIndent3Char">
    <w:name w:val="Body Text Indent 3 Char"/>
    <w:basedOn w:val="DefaultParagraphFont"/>
    <w:link w:val="BodyTextIndent3"/>
    <w:uiPriority w:val="99"/>
    <w:semiHidden/>
    <w:locked/>
    <w:rsid w:val="00DB55B9"/>
    <w:rPr>
      <w:rFonts w:eastAsia="Calibri"/>
      <w:color w:val="000000"/>
      <w:sz w:val="16"/>
      <w:szCs w:val="16"/>
    </w:rPr>
  </w:style>
  <w:style w:type="paragraph" w:styleId="Closing">
    <w:name w:val="Closing"/>
    <w:basedOn w:val="Normal"/>
    <w:link w:val="ClosingChar"/>
    <w:uiPriority w:val="99"/>
    <w:semiHidden/>
    <w:locked/>
    <w:rsid w:val="00E251B6"/>
    <w:pPr>
      <w:ind w:left="4252"/>
    </w:pPr>
  </w:style>
  <w:style w:type="character" w:customStyle="1" w:styleId="ClosingChar">
    <w:name w:val="Closing Char"/>
    <w:basedOn w:val="DefaultParagraphFont"/>
    <w:link w:val="Closing"/>
    <w:uiPriority w:val="99"/>
    <w:semiHidden/>
    <w:locked/>
    <w:rsid w:val="00DB55B9"/>
    <w:rPr>
      <w:rFonts w:eastAsia="Calibri"/>
      <w:color w:val="000000"/>
    </w:rPr>
  </w:style>
  <w:style w:type="paragraph" w:styleId="Date">
    <w:name w:val="Date"/>
    <w:basedOn w:val="Normal"/>
    <w:next w:val="Normal"/>
    <w:link w:val="DateChar"/>
    <w:uiPriority w:val="99"/>
    <w:semiHidden/>
    <w:locked/>
    <w:rsid w:val="00E251B6"/>
  </w:style>
  <w:style w:type="character" w:customStyle="1" w:styleId="DateChar">
    <w:name w:val="Date Char"/>
    <w:basedOn w:val="DefaultParagraphFont"/>
    <w:link w:val="Date"/>
    <w:uiPriority w:val="99"/>
    <w:semiHidden/>
    <w:locked/>
    <w:rsid w:val="00DB55B9"/>
    <w:rPr>
      <w:rFonts w:eastAsia="Calibri"/>
      <w:color w:val="000000"/>
    </w:rPr>
  </w:style>
  <w:style w:type="paragraph" w:styleId="E-mailSignature">
    <w:name w:val="E-mail Signature"/>
    <w:basedOn w:val="Normal"/>
    <w:link w:val="E-mailSignatureChar"/>
    <w:uiPriority w:val="99"/>
    <w:semiHidden/>
    <w:locked/>
    <w:rsid w:val="00E251B6"/>
  </w:style>
  <w:style w:type="character" w:customStyle="1" w:styleId="E-mailSignatureChar">
    <w:name w:val="E-mail Signature Char"/>
    <w:basedOn w:val="DefaultParagraphFont"/>
    <w:link w:val="E-mailSignature"/>
    <w:uiPriority w:val="99"/>
    <w:semiHidden/>
    <w:locked/>
    <w:rsid w:val="00DB55B9"/>
    <w:rPr>
      <w:rFonts w:eastAsia="Calibri"/>
      <w:color w:val="000000"/>
    </w:rPr>
  </w:style>
  <w:style w:type="character" w:styleId="Emphasis">
    <w:name w:val="Emphasis"/>
    <w:basedOn w:val="DefaultParagraphFont"/>
    <w:uiPriority w:val="99"/>
    <w:qFormat/>
    <w:locked/>
    <w:rsid w:val="001249CC"/>
    <w:rPr>
      <w:rFonts w:cs="Times New Roman"/>
      <w:i/>
      <w:iCs/>
    </w:rPr>
  </w:style>
  <w:style w:type="paragraph" w:styleId="EnvelopeAddress">
    <w:name w:val="envelope address"/>
    <w:basedOn w:val="Normal"/>
    <w:uiPriority w:val="99"/>
    <w:semiHidden/>
    <w:locked/>
    <w:rsid w:val="00E251B6"/>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semiHidden/>
    <w:locked/>
    <w:rsid w:val="00E251B6"/>
    <w:rPr>
      <w:rFonts w:ascii="Arial" w:hAnsi="Arial" w:cs="Arial"/>
      <w:sz w:val="20"/>
      <w:szCs w:val="20"/>
    </w:rPr>
  </w:style>
  <w:style w:type="character" w:styleId="FollowedHyperlink">
    <w:name w:val="FollowedHyperlink"/>
    <w:basedOn w:val="DefaultParagraphFont"/>
    <w:uiPriority w:val="99"/>
    <w:semiHidden/>
    <w:locked/>
    <w:rsid w:val="003D6565"/>
    <w:rPr>
      <w:rFonts w:cs="Times New Roman"/>
      <w:color w:val="auto"/>
      <w:u w:val="none"/>
    </w:rPr>
  </w:style>
  <w:style w:type="character" w:styleId="FootnoteReference">
    <w:name w:val="footnote reference"/>
    <w:basedOn w:val="DefaultParagraphFont"/>
    <w:uiPriority w:val="9"/>
    <w:locked/>
    <w:rsid w:val="00E251B6"/>
    <w:rPr>
      <w:rFonts w:cs="Times New Roman"/>
      <w:vertAlign w:val="superscript"/>
    </w:rPr>
  </w:style>
  <w:style w:type="character" w:styleId="HTMLAcronym">
    <w:name w:val="HTML Acronym"/>
    <w:basedOn w:val="DefaultParagraphFont"/>
    <w:uiPriority w:val="99"/>
    <w:semiHidden/>
    <w:locked/>
    <w:rsid w:val="00E251B6"/>
    <w:rPr>
      <w:rFonts w:cs="Times New Roman"/>
    </w:rPr>
  </w:style>
  <w:style w:type="paragraph" w:styleId="HTMLAddress">
    <w:name w:val="HTML Address"/>
    <w:basedOn w:val="Normal"/>
    <w:link w:val="HTMLAddressChar"/>
    <w:uiPriority w:val="99"/>
    <w:semiHidden/>
    <w:locked/>
    <w:rsid w:val="00E251B6"/>
    <w:rPr>
      <w:i/>
      <w:iCs/>
    </w:rPr>
  </w:style>
  <w:style w:type="character" w:customStyle="1" w:styleId="HTMLAddressChar">
    <w:name w:val="HTML Address Char"/>
    <w:basedOn w:val="DefaultParagraphFont"/>
    <w:link w:val="HTMLAddress"/>
    <w:uiPriority w:val="99"/>
    <w:semiHidden/>
    <w:locked/>
    <w:rsid w:val="00DB55B9"/>
    <w:rPr>
      <w:rFonts w:eastAsia="Calibri"/>
      <w:i/>
      <w:iCs/>
      <w:color w:val="000000"/>
    </w:rPr>
  </w:style>
  <w:style w:type="character" w:styleId="HTMLCite">
    <w:name w:val="HTML Cite"/>
    <w:basedOn w:val="DefaultParagraphFont"/>
    <w:uiPriority w:val="99"/>
    <w:semiHidden/>
    <w:locked/>
    <w:rsid w:val="00E251B6"/>
    <w:rPr>
      <w:rFonts w:cs="Times New Roman"/>
      <w:i/>
      <w:iCs/>
    </w:rPr>
  </w:style>
  <w:style w:type="character" w:styleId="HTMLCode">
    <w:name w:val="HTML Code"/>
    <w:basedOn w:val="DefaultParagraphFont"/>
    <w:uiPriority w:val="99"/>
    <w:semiHidden/>
    <w:locked/>
    <w:rsid w:val="00E251B6"/>
    <w:rPr>
      <w:rFonts w:ascii="Courier New" w:hAnsi="Courier New" w:cs="Courier New"/>
      <w:sz w:val="20"/>
      <w:szCs w:val="20"/>
    </w:rPr>
  </w:style>
  <w:style w:type="character" w:styleId="HTMLDefinition">
    <w:name w:val="HTML Definition"/>
    <w:basedOn w:val="DefaultParagraphFont"/>
    <w:uiPriority w:val="99"/>
    <w:semiHidden/>
    <w:locked/>
    <w:rsid w:val="00E251B6"/>
    <w:rPr>
      <w:rFonts w:cs="Times New Roman"/>
      <w:i/>
      <w:iCs/>
    </w:rPr>
  </w:style>
  <w:style w:type="character" w:styleId="HTMLKeyboard">
    <w:name w:val="HTML Keyboard"/>
    <w:basedOn w:val="DefaultParagraphFont"/>
    <w:uiPriority w:val="99"/>
    <w:semiHidden/>
    <w:locked/>
    <w:rsid w:val="00E251B6"/>
    <w:rPr>
      <w:rFonts w:ascii="Courier New" w:hAnsi="Courier New" w:cs="Courier New"/>
      <w:sz w:val="20"/>
      <w:szCs w:val="20"/>
    </w:rPr>
  </w:style>
  <w:style w:type="paragraph" w:styleId="HTMLPreformatted">
    <w:name w:val="HTML Preformatted"/>
    <w:basedOn w:val="Normal"/>
    <w:link w:val="HTMLPreformattedChar"/>
    <w:uiPriority w:val="99"/>
    <w:semiHidden/>
    <w:locked/>
    <w:rsid w:val="00E251B6"/>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DB55B9"/>
    <w:rPr>
      <w:rFonts w:ascii="Courier New" w:eastAsia="Calibri" w:hAnsi="Courier New" w:cs="Courier New"/>
      <w:color w:val="000000"/>
      <w:sz w:val="20"/>
      <w:szCs w:val="20"/>
    </w:rPr>
  </w:style>
  <w:style w:type="character" w:styleId="HTMLSample">
    <w:name w:val="HTML Sample"/>
    <w:basedOn w:val="DefaultParagraphFont"/>
    <w:uiPriority w:val="99"/>
    <w:semiHidden/>
    <w:locked/>
    <w:rsid w:val="00E251B6"/>
    <w:rPr>
      <w:rFonts w:ascii="Courier New" w:hAnsi="Courier New" w:cs="Courier New"/>
    </w:rPr>
  </w:style>
  <w:style w:type="character" w:styleId="HTMLTypewriter">
    <w:name w:val="HTML Typewriter"/>
    <w:basedOn w:val="DefaultParagraphFont"/>
    <w:uiPriority w:val="99"/>
    <w:semiHidden/>
    <w:locked/>
    <w:rsid w:val="00E251B6"/>
    <w:rPr>
      <w:rFonts w:ascii="Courier New" w:hAnsi="Courier New" w:cs="Courier New"/>
      <w:sz w:val="20"/>
      <w:szCs w:val="20"/>
    </w:rPr>
  </w:style>
  <w:style w:type="character" w:styleId="HTMLVariable">
    <w:name w:val="HTML Variable"/>
    <w:basedOn w:val="DefaultParagraphFont"/>
    <w:uiPriority w:val="99"/>
    <w:semiHidden/>
    <w:locked/>
    <w:rsid w:val="00E251B6"/>
    <w:rPr>
      <w:rFonts w:cs="Times New Roman"/>
      <w:i/>
      <w:iCs/>
    </w:rPr>
  </w:style>
  <w:style w:type="character" w:styleId="LineNumber">
    <w:name w:val="line number"/>
    <w:basedOn w:val="DefaultParagraphFont"/>
    <w:uiPriority w:val="99"/>
    <w:semiHidden/>
    <w:locked/>
    <w:rsid w:val="00E251B6"/>
    <w:rPr>
      <w:rFonts w:cs="Times New Roman"/>
    </w:rPr>
  </w:style>
  <w:style w:type="paragraph" w:styleId="List">
    <w:name w:val="List"/>
    <w:basedOn w:val="Normal"/>
    <w:uiPriority w:val="99"/>
    <w:semiHidden/>
    <w:locked/>
    <w:rsid w:val="00E251B6"/>
    <w:pPr>
      <w:ind w:left="283" w:hanging="283"/>
    </w:pPr>
  </w:style>
  <w:style w:type="paragraph" w:styleId="List2">
    <w:name w:val="List 2"/>
    <w:basedOn w:val="Normal"/>
    <w:uiPriority w:val="99"/>
    <w:semiHidden/>
    <w:locked/>
    <w:rsid w:val="00E251B6"/>
    <w:pPr>
      <w:ind w:left="566" w:hanging="283"/>
    </w:pPr>
  </w:style>
  <w:style w:type="paragraph" w:styleId="List3">
    <w:name w:val="List 3"/>
    <w:basedOn w:val="Normal"/>
    <w:uiPriority w:val="99"/>
    <w:semiHidden/>
    <w:locked/>
    <w:rsid w:val="00E251B6"/>
    <w:pPr>
      <w:ind w:left="849" w:hanging="283"/>
    </w:pPr>
  </w:style>
  <w:style w:type="paragraph" w:styleId="List4">
    <w:name w:val="List 4"/>
    <w:basedOn w:val="Normal"/>
    <w:uiPriority w:val="99"/>
    <w:semiHidden/>
    <w:locked/>
    <w:rsid w:val="00E251B6"/>
    <w:pPr>
      <w:ind w:left="1132" w:hanging="283"/>
    </w:pPr>
  </w:style>
  <w:style w:type="paragraph" w:styleId="List5">
    <w:name w:val="List 5"/>
    <w:basedOn w:val="Normal"/>
    <w:uiPriority w:val="99"/>
    <w:semiHidden/>
    <w:locked/>
    <w:rsid w:val="00E251B6"/>
    <w:pPr>
      <w:ind w:left="1415" w:hanging="283"/>
    </w:pPr>
  </w:style>
  <w:style w:type="paragraph" w:styleId="ListBullet4">
    <w:name w:val="List Bullet 4"/>
    <w:basedOn w:val="Normal"/>
    <w:uiPriority w:val="99"/>
    <w:semiHidden/>
    <w:locked/>
    <w:rsid w:val="00E251B6"/>
    <w:pPr>
      <w:numPr>
        <w:numId w:val="1"/>
      </w:numPr>
      <w:tabs>
        <w:tab w:val="num" w:pos="1209"/>
      </w:tabs>
      <w:ind w:left="1209"/>
    </w:pPr>
  </w:style>
  <w:style w:type="paragraph" w:styleId="ListBullet5">
    <w:name w:val="List Bullet 5"/>
    <w:basedOn w:val="Normal"/>
    <w:uiPriority w:val="99"/>
    <w:semiHidden/>
    <w:locked/>
    <w:rsid w:val="00E251B6"/>
    <w:pPr>
      <w:numPr>
        <w:numId w:val="2"/>
      </w:numPr>
      <w:tabs>
        <w:tab w:val="num" w:pos="926"/>
        <w:tab w:val="num" w:pos="1492"/>
      </w:tabs>
      <w:ind w:left="1492"/>
    </w:pPr>
  </w:style>
  <w:style w:type="paragraph" w:styleId="ListContinue">
    <w:name w:val="List Continue"/>
    <w:basedOn w:val="Normal"/>
    <w:uiPriority w:val="99"/>
    <w:semiHidden/>
    <w:locked/>
    <w:rsid w:val="00E251B6"/>
    <w:pPr>
      <w:ind w:left="283"/>
    </w:pPr>
  </w:style>
  <w:style w:type="paragraph" w:styleId="ListContinue2">
    <w:name w:val="List Continue 2"/>
    <w:basedOn w:val="Normal"/>
    <w:uiPriority w:val="99"/>
    <w:semiHidden/>
    <w:locked/>
    <w:rsid w:val="00E251B6"/>
    <w:pPr>
      <w:ind w:left="566"/>
    </w:pPr>
  </w:style>
  <w:style w:type="paragraph" w:styleId="ListContinue3">
    <w:name w:val="List Continue 3"/>
    <w:basedOn w:val="Normal"/>
    <w:uiPriority w:val="99"/>
    <w:semiHidden/>
    <w:locked/>
    <w:rsid w:val="00E251B6"/>
    <w:pPr>
      <w:ind w:left="849"/>
    </w:pPr>
  </w:style>
  <w:style w:type="paragraph" w:styleId="ListContinue4">
    <w:name w:val="List Continue 4"/>
    <w:basedOn w:val="Normal"/>
    <w:uiPriority w:val="99"/>
    <w:semiHidden/>
    <w:locked/>
    <w:rsid w:val="00E251B6"/>
    <w:pPr>
      <w:ind w:left="1132"/>
    </w:pPr>
  </w:style>
  <w:style w:type="paragraph" w:styleId="ListContinue5">
    <w:name w:val="List Continue 5"/>
    <w:basedOn w:val="Normal"/>
    <w:uiPriority w:val="99"/>
    <w:semiHidden/>
    <w:locked/>
    <w:rsid w:val="00E251B6"/>
    <w:pPr>
      <w:ind w:left="1415"/>
    </w:pPr>
  </w:style>
  <w:style w:type="paragraph" w:styleId="ListNumber3">
    <w:name w:val="List Number 3"/>
    <w:basedOn w:val="ListNumber2"/>
    <w:uiPriority w:val="2"/>
    <w:locked/>
    <w:rsid w:val="00D349D1"/>
    <w:pPr>
      <w:numPr>
        <w:numId w:val="16"/>
      </w:numPr>
      <w:tabs>
        <w:tab w:val="clear" w:pos="397"/>
      </w:tabs>
      <w:ind w:left="1078" w:hanging="284"/>
    </w:pPr>
  </w:style>
  <w:style w:type="paragraph" w:styleId="ListNumber4">
    <w:name w:val="List Number 4"/>
    <w:basedOn w:val="Normal"/>
    <w:uiPriority w:val="99"/>
    <w:semiHidden/>
    <w:locked/>
    <w:rsid w:val="00E251B6"/>
    <w:pPr>
      <w:numPr>
        <w:numId w:val="3"/>
      </w:numPr>
    </w:pPr>
  </w:style>
  <w:style w:type="paragraph" w:styleId="ListNumber5">
    <w:name w:val="List Number 5"/>
    <w:basedOn w:val="Normal"/>
    <w:uiPriority w:val="99"/>
    <w:semiHidden/>
    <w:locked/>
    <w:rsid w:val="00E251B6"/>
    <w:pPr>
      <w:numPr>
        <w:numId w:val="4"/>
      </w:numPr>
    </w:pPr>
  </w:style>
  <w:style w:type="paragraph" w:styleId="MessageHeader">
    <w:name w:val="Message Header"/>
    <w:basedOn w:val="Normal"/>
    <w:link w:val="MessageHeaderChar"/>
    <w:uiPriority w:val="99"/>
    <w:semiHidden/>
    <w:locked/>
    <w:rsid w:val="00E251B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DB55B9"/>
    <w:rPr>
      <w:rFonts w:ascii="Arial" w:eastAsia="Calibri" w:hAnsi="Arial" w:cs="Arial"/>
      <w:color w:val="000000"/>
      <w:sz w:val="24"/>
      <w:szCs w:val="24"/>
      <w:shd w:val="pct20" w:color="auto" w:fill="auto"/>
    </w:rPr>
  </w:style>
  <w:style w:type="paragraph" w:styleId="NormalWeb">
    <w:name w:val="Normal (Web)"/>
    <w:basedOn w:val="Normal"/>
    <w:uiPriority w:val="99"/>
    <w:semiHidden/>
    <w:locked/>
    <w:rsid w:val="00E251B6"/>
    <w:rPr>
      <w:rFonts w:ascii="Times New Roman" w:hAnsi="Times New Roman"/>
      <w:sz w:val="24"/>
      <w:szCs w:val="24"/>
    </w:rPr>
  </w:style>
  <w:style w:type="paragraph" w:styleId="NormalIndent">
    <w:name w:val="Normal Indent"/>
    <w:basedOn w:val="Normal"/>
    <w:uiPriority w:val="99"/>
    <w:semiHidden/>
    <w:locked/>
    <w:rsid w:val="00E251B6"/>
    <w:pPr>
      <w:ind w:left="720"/>
    </w:pPr>
  </w:style>
  <w:style w:type="paragraph" w:styleId="NoteHeading">
    <w:name w:val="Note Heading"/>
    <w:basedOn w:val="Normal"/>
    <w:next w:val="Normal"/>
    <w:link w:val="NoteHeadingChar"/>
    <w:uiPriority w:val="99"/>
    <w:semiHidden/>
    <w:locked/>
    <w:rsid w:val="00E251B6"/>
  </w:style>
  <w:style w:type="character" w:customStyle="1" w:styleId="NoteHeadingChar">
    <w:name w:val="Note Heading Char"/>
    <w:basedOn w:val="DefaultParagraphFont"/>
    <w:link w:val="NoteHeading"/>
    <w:uiPriority w:val="99"/>
    <w:semiHidden/>
    <w:locked/>
    <w:rsid w:val="00DB55B9"/>
    <w:rPr>
      <w:rFonts w:eastAsia="Calibri"/>
      <w:color w:val="000000"/>
    </w:rPr>
  </w:style>
  <w:style w:type="paragraph" w:styleId="PlainText">
    <w:name w:val="Plain Text"/>
    <w:basedOn w:val="Normal"/>
    <w:link w:val="PlainTextChar"/>
    <w:uiPriority w:val="99"/>
    <w:semiHidden/>
    <w:locked/>
    <w:rsid w:val="00E251B6"/>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DB55B9"/>
    <w:rPr>
      <w:rFonts w:ascii="Courier New" w:eastAsia="Calibri" w:hAnsi="Courier New" w:cs="Courier New"/>
      <w:color w:val="000000"/>
      <w:sz w:val="20"/>
      <w:szCs w:val="20"/>
    </w:rPr>
  </w:style>
  <w:style w:type="paragraph" w:styleId="Salutation">
    <w:name w:val="Salutation"/>
    <w:basedOn w:val="Normal"/>
    <w:next w:val="Normal"/>
    <w:link w:val="SalutationChar"/>
    <w:uiPriority w:val="99"/>
    <w:semiHidden/>
    <w:locked/>
    <w:rsid w:val="00E251B6"/>
  </w:style>
  <w:style w:type="character" w:customStyle="1" w:styleId="SalutationChar">
    <w:name w:val="Salutation Char"/>
    <w:basedOn w:val="DefaultParagraphFont"/>
    <w:link w:val="Salutation"/>
    <w:uiPriority w:val="99"/>
    <w:semiHidden/>
    <w:locked/>
    <w:rsid w:val="00DB55B9"/>
    <w:rPr>
      <w:rFonts w:eastAsia="Calibri"/>
      <w:color w:val="000000"/>
    </w:rPr>
  </w:style>
  <w:style w:type="paragraph" w:styleId="Signature">
    <w:name w:val="Signature"/>
    <w:basedOn w:val="Normal"/>
    <w:link w:val="SignatureChar"/>
    <w:uiPriority w:val="99"/>
    <w:semiHidden/>
    <w:locked/>
    <w:rsid w:val="00E251B6"/>
    <w:pPr>
      <w:ind w:left="4252"/>
    </w:pPr>
  </w:style>
  <w:style w:type="character" w:customStyle="1" w:styleId="SignatureChar">
    <w:name w:val="Signature Char"/>
    <w:basedOn w:val="DefaultParagraphFont"/>
    <w:link w:val="Signature"/>
    <w:uiPriority w:val="99"/>
    <w:semiHidden/>
    <w:locked/>
    <w:rsid w:val="00DB55B9"/>
    <w:rPr>
      <w:rFonts w:eastAsia="Calibri"/>
      <w:color w:val="000000"/>
    </w:rPr>
  </w:style>
  <w:style w:type="character" w:styleId="Strong">
    <w:name w:val="Strong"/>
    <w:basedOn w:val="DefaultParagraphFont"/>
    <w:uiPriority w:val="99"/>
    <w:qFormat/>
    <w:locked/>
    <w:rsid w:val="001249CC"/>
    <w:rPr>
      <w:rFonts w:cs="Times New Roman"/>
      <w:b/>
      <w:bCs/>
    </w:rPr>
  </w:style>
  <w:style w:type="table" w:styleId="Table3Deffects1">
    <w:name w:val="Table 3D effects 1"/>
    <w:basedOn w:val="TableNormal"/>
    <w:uiPriority w:val="99"/>
    <w:locked/>
    <w:rsid w:val="00E251B6"/>
    <w:pPr>
      <w:spacing w:after="120"/>
    </w:pPr>
    <w:rPr>
      <w:rFonts w:eastAsia="Times New Roman"/>
      <w:sz w:val="20"/>
      <w:szCs w:val="20"/>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sid w:val="00E251B6"/>
    <w:pPr>
      <w:spacing w:after="120"/>
    </w:pPr>
    <w:rPr>
      <w:rFonts w:eastAsia="Times New Roman"/>
      <w:sz w:val="20"/>
      <w:szCs w:val="20"/>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locked/>
    <w:rsid w:val="00E251B6"/>
    <w:pPr>
      <w:spacing w:after="120"/>
    </w:pPr>
    <w:rPr>
      <w:rFonts w:eastAsia="Times New Roman"/>
      <w:sz w:val="20"/>
      <w:szCs w:val="20"/>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locked/>
    <w:rsid w:val="00E251B6"/>
    <w:pPr>
      <w:spacing w:after="120"/>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locked/>
    <w:rsid w:val="00E251B6"/>
    <w:pPr>
      <w:spacing w:after="120"/>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locked/>
    <w:rsid w:val="00E251B6"/>
    <w:pPr>
      <w:spacing w:after="120"/>
    </w:pPr>
    <w:rPr>
      <w:rFonts w:eastAsia="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locked/>
    <w:rsid w:val="00E251B6"/>
    <w:pPr>
      <w:spacing w:after="120"/>
    </w:pPr>
    <w:rPr>
      <w:rFonts w:eastAsia="Times New Roman"/>
      <w:sz w:val="20"/>
      <w:szCs w:val="20"/>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locked/>
    <w:rsid w:val="00E251B6"/>
    <w:pPr>
      <w:spacing w:after="120"/>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locked/>
    <w:rsid w:val="00E251B6"/>
    <w:pPr>
      <w:spacing w:after="120"/>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locked/>
    <w:rsid w:val="00E251B6"/>
    <w:pPr>
      <w:spacing w:after="120"/>
    </w:pPr>
    <w:rPr>
      <w:rFonts w:eastAsia="Times New Roman"/>
      <w:b/>
      <w:bCs/>
      <w:sz w:val="20"/>
      <w:szCs w:val="20"/>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locked/>
    <w:rsid w:val="00E251B6"/>
    <w:pPr>
      <w:spacing w:after="120"/>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locked/>
    <w:rsid w:val="00E251B6"/>
    <w:pPr>
      <w:spacing w:after="120"/>
    </w:pPr>
    <w:rPr>
      <w:rFonts w:eastAsia="Times New Roman"/>
      <w:sz w:val="20"/>
      <w:szCs w:val="20"/>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locked/>
    <w:rsid w:val="00E251B6"/>
    <w:pPr>
      <w:spacing w:after="120"/>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locked/>
    <w:rsid w:val="00E251B6"/>
    <w:pPr>
      <w:spacing w:after="120"/>
    </w:pPr>
    <w:rPr>
      <w:rFonts w:eastAsia="Times New Roman"/>
      <w:sz w:val="20"/>
      <w:szCs w:val="20"/>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locked/>
    <w:rsid w:val="00E251B6"/>
    <w:pPr>
      <w:spacing w:after="120"/>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locked/>
    <w:rsid w:val="00E251B6"/>
    <w:pPr>
      <w:spacing w:after="120"/>
    </w:pPr>
    <w:rPr>
      <w:rFonts w:eastAsia="Times New Roman"/>
      <w:sz w:val="20"/>
      <w:szCs w:val="20"/>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locked/>
    <w:rsid w:val="00E251B6"/>
    <w:pPr>
      <w:spacing w:after="120"/>
    </w:pPr>
    <w:rPr>
      <w:rFonts w:eastAsia="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locked/>
    <w:rsid w:val="00E251B6"/>
    <w:pPr>
      <w:spacing w:after="120"/>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locked/>
    <w:rsid w:val="00E251B6"/>
    <w:pPr>
      <w:spacing w:after="120"/>
    </w:pPr>
    <w:rPr>
      <w:rFonts w:eastAsia="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locked/>
    <w:rsid w:val="00E251B6"/>
    <w:pPr>
      <w:spacing w:after="120"/>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locked/>
    <w:rsid w:val="00E251B6"/>
    <w:pPr>
      <w:spacing w:after="120"/>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locked/>
    <w:rsid w:val="00E251B6"/>
    <w:pPr>
      <w:spacing w:after="120"/>
    </w:pPr>
    <w:rPr>
      <w:rFonts w:eastAsia="Times New Roman"/>
      <w:sz w:val="20"/>
      <w:szCs w:val="20"/>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locked/>
    <w:rsid w:val="00E251B6"/>
    <w:pPr>
      <w:spacing w:after="120"/>
    </w:pPr>
    <w:rPr>
      <w:rFonts w:eastAsia="Times New Roman"/>
      <w:sz w:val="20"/>
      <w:szCs w:val="20"/>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locked/>
    <w:rsid w:val="00E251B6"/>
    <w:pPr>
      <w:spacing w:after="120"/>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locked/>
    <w:rsid w:val="00E251B6"/>
    <w:pPr>
      <w:spacing w:after="120"/>
    </w:pPr>
    <w:rPr>
      <w:rFonts w:eastAsia="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locked/>
    <w:rsid w:val="00E251B6"/>
    <w:pPr>
      <w:spacing w:after="120"/>
    </w:pPr>
    <w:rPr>
      <w:rFonts w:eastAsia="Times New Roman"/>
      <w:sz w:val="20"/>
      <w:szCs w:val="20"/>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locked/>
    <w:rsid w:val="00E251B6"/>
    <w:pPr>
      <w:spacing w:after="120"/>
    </w:pPr>
    <w:rPr>
      <w:rFonts w:eastAsia="Times New Roman"/>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locked/>
    <w:rsid w:val="00E251B6"/>
    <w:pPr>
      <w:spacing w:after="120"/>
    </w:pPr>
    <w:rPr>
      <w:rFonts w:eastAsia="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locked/>
    <w:rsid w:val="00E251B6"/>
    <w:pPr>
      <w:spacing w:after="120"/>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locked/>
    <w:rsid w:val="00E251B6"/>
    <w:pPr>
      <w:spacing w:after="120"/>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locked/>
    <w:rsid w:val="00E251B6"/>
    <w:pPr>
      <w:spacing w:after="120"/>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locked/>
    <w:rsid w:val="00E251B6"/>
    <w:pPr>
      <w:spacing w:after="120"/>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uiPriority w:val="12"/>
    <w:qFormat/>
    <w:rsid w:val="00D1044D"/>
    <w:pPr>
      <w:spacing w:before="180" w:after="60"/>
    </w:pPr>
    <w:rPr>
      <w:rFonts w:eastAsia="Times New Roman"/>
      <w:bCs/>
      <w:color w:val="00313C" w:themeColor="accent2"/>
      <w:sz w:val="24"/>
      <w:szCs w:val="26"/>
      <w:lang w:eastAsia="en-US"/>
    </w:rPr>
  </w:style>
  <w:style w:type="paragraph" w:customStyle="1" w:styleId="BusinessUnitName">
    <w:name w:val="Business Unit Name"/>
    <w:link w:val="BusinessUnitNameChar"/>
    <w:uiPriority w:val="12"/>
    <w:rsid w:val="00897FEE"/>
    <w:rPr>
      <w:b/>
      <w:caps/>
      <w:noProof/>
      <w:color w:val="FFFFFF"/>
      <w:spacing w:val="16"/>
      <w:szCs w:val="24"/>
      <w:lang w:eastAsia="en-US"/>
    </w:rPr>
  </w:style>
  <w:style w:type="character" w:styleId="CommentReference">
    <w:name w:val="annotation reference"/>
    <w:basedOn w:val="DefaultParagraphFont"/>
    <w:uiPriority w:val="99"/>
    <w:semiHidden/>
    <w:locked/>
    <w:rsid w:val="00AD275A"/>
    <w:rPr>
      <w:rFonts w:cs="Times New Roman"/>
      <w:sz w:val="16"/>
      <w:szCs w:val="16"/>
    </w:rPr>
  </w:style>
  <w:style w:type="paragraph" w:styleId="CommentText">
    <w:name w:val="annotation text"/>
    <w:basedOn w:val="Normal"/>
    <w:link w:val="CommentTextChar"/>
    <w:uiPriority w:val="99"/>
    <w:semiHidden/>
    <w:locked/>
    <w:rsid w:val="00AD275A"/>
    <w:rPr>
      <w:sz w:val="20"/>
      <w:szCs w:val="20"/>
    </w:rPr>
  </w:style>
  <w:style w:type="character" w:customStyle="1" w:styleId="CommentTextChar">
    <w:name w:val="Comment Text Char"/>
    <w:basedOn w:val="DefaultParagraphFont"/>
    <w:link w:val="CommentText"/>
    <w:uiPriority w:val="99"/>
    <w:semiHidden/>
    <w:rsid w:val="00DB55B9"/>
    <w:rPr>
      <w:rFonts w:eastAsia="Calibri"/>
      <w:color w:val="000000"/>
      <w:sz w:val="20"/>
      <w:szCs w:val="20"/>
    </w:rPr>
  </w:style>
  <w:style w:type="paragraph" w:styleId="CommentSubject">
    <w:name w:val="annotation subject"/>
    <w:basedOn w:val="CommentText"/>
    <w:next w:val="CommentText"/>
    <w:link w:val="CommentSubjectChar"/>
    <w:uiPriority w:val="99"/>
    <w:semiHidden/>
    <w:locked/>
    <w:rsid w:val="00AD275A"/>
    <w:rPr>
      <w:b/>
      <w:bCs/>
    </w:rPr>
  </w:style>
  <w:style w:type="character" w:customStyle="1" w:styleId="CommentSubjectChar">
    <w:name w:val="Comment Subject Char"/>
    <w:basedOn w:val="CommentTextChar"/>
    <w:link w:val="CommentSubject"/>
    <w:uiPriority w:val="99"/>
    <w:semiHidden/>
    <w:rsid w:val="00DB55B9"/>
    <w:rPr>
      <w:rFonts w:eastAsia="Calibri"/>
      <w:b/>
      <w:bCs/>
      <w:color w:val="000000"/>
      <w:sz w:val="20"/>
      <w:szCs w:val="20"/>
    </w:rPr>
  </w:style>
  <w:style w:type="paragraph" w:styleId="DocumentMap">
    <w:name w:val="Document Map"/>
    <w:basedOn w:val="Normal"/>
    <w:link w:val="DocumentMapChar"/>
    <w:uiPriority w:val="99"/>
    <w:semiHidden/>
    <w:locked/>
    <w:rsid w:val="00AD275A"/>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DB55B9"/>
    <w:rPr>
      <w:rFonts w:ascii="Tahoma" w:eastAsia="Calibri" w:hAnsi="Tahoma" w:cs="Tahoma"/>
      <w:color w:val="000000"/>
      <w:sz w:val="20"/>
      <w:szCs w:val="20"/>
      <w:shd w:val="clear" w:color="auto" w:fill="000080"/>
    </w:rPr>
  </w:style>
  <w:style w:type="character" w:styleId="EndnoteReference">
    <w:name w:val="endnote reference"/>
    <w:basedOn w:val="DefaultParagraphFont"/>
    <w:uiPriority w:val="99"/>
    <w:semiHidden/>
    <w:locked/>
    <w:rsid w:val="00AD275A"/>
    <w:rPr>
      <w:rFonts w:cs="Times New Roman"/>
      <w:vertAlign w:val="superscript"/>
    </w:rPr>
  </w:style>
  <w:style w:type="paragraph" w:styleId="EndnoteText">
    <w:name w:val="endnote text"/>
    <w:basedOn w:val="Normal"/>
    <w:link w:val="EndnoteTextChar"/>
    <w:uiPriority w:val="99"/>
    <w:semiHidden/>
    <w:locked/>
    <w:rsid w:val="00AD275A"/>
    <w:rPr>
      <w:sz w:val="20"/>
      <w:szCs w:val="20"/>
    </w:rPr>
  </w:style>
  <w:style w:type="character" w:customStyle="1" w:styleId="EndnoteTextChar">
    <w:name w:val="Endnote Text Char"/>
    <w:basedOn w:val="DefaultParagraphFont"/>
    <w:link w:val="EndnoteText"/>
    <w:uiPriority w:val="99"/>
    <w:semiHidden/>
    <w:rsid w:val="00DB55B9"/>
    <w:rPr>
      <w:rFonts w:eastAsia="Calibri"/>
      <w:color w:val="000000"/>
      <w:sz w:val="20"/>
      <w:szCs w:val="20"/>
    </w:rPr>
  </w:style>
  <w:style w:type="paragraph" w:styleId="Index1">
    <w:name w:val="index 1"/>
    <w:basedOn w:val="Normal"/>
    <w:next w:val="Normal"/>
    <w:autoRedefine/>
    <w:uiPriority w:val="99"/>
    <w:semiHidden/>
    <w:locked/>
    <w:rsid w:val="00AD275A"/>
    <w:pPr>
      <w:ind w:left="220" w:hanging="220"/>
    </w:pPr>
  </w:style>
  <w:style w:type="paragraph" w:styleId="Index2">
    <w:name w:val="index 2"/>
    <w:basedOn w:val="Normal"/>
    <w:next w:val="Normal"/>
    <w:autoRedefine/>
    <w:uiPriority w:val="99"/>
    <w:semiHidden/>
    <w:locked/>
    <w:rsid w:val="00AD275A"/>
    <w:pPr>
      <w:ind w:left="440" w:hanging="220"/>
    </w:pPr>
  </w:style>
  <w:style w:type="paragraph" w:styleId="Index3">
    <w:name w:val="index 3"/>
    <w:basedOn w:val="Normal"/>
    <w:next w:val="Normal"/>
    <w:autoRedefine/>
    <w:uiPriority w:val="99"/>
    <w:semiHidden/>
    <w:locked/>
    <w:rsid w:val="00AD275A"/>
    <w:pPr>
      <w:ind w:left="660" w:hanging="220"/>
    </w:pPr>
  </w:style>
  <w:style w:type="paragraph" w:styleId="Index4">
    <w:name w:val="index 4"/>
    <w:basedOn w:val="Normal"/>
    <w:next w:val="Normal"/>
    <w:autoRedefine/>
    <w:uiPriority w:val="99"/>
    <w:semiHidden/>
    <w:locked/>
    <w:rsid w:val="00AD275A"/>
    <w:pPr>
      <w:ind w:left="880" w:hanging="220"/>
    </w:pPr>
  </w:style>
  <w:style w:type="paragraph" w:styleId="Index5">
    <w:name w:val="index 5"/>
    <w:basedOn w:val="Normal"/>
    <w:next w:val="Normal"/>
    <w:autoRedefine/>
    <w:uiPriority w:val="99"/>
    <w:semiHidden/>
    <w:locked/>
    <w:rsid w:val="00AD275A"/>
    <w:pPr>
      <w:ind w:left="1100" w:hanging="220"/>
    </w:pPr>
  </w:style>
  <w:style w:type="paragraph" w:styleId="Index6">
    <w:name w:val="index 6"/>
    <w:basedOn w:val="Normal"/>
    <w:next w:val="Normal"/>
    <w:autoRedefine/>
    <w:uiPriority w:val="99"/>
    <w:semiHidden/>
    <w:locked/>
    <w:rsid w:val="00AD275A"/>
    <w:pPr>
      <w:ind w:left="1320" w:hanging="220"/>
    </w:pPr>
  </w:style>
  <w:style w:type="paragraph" w:styleId="Index7">
    <w:name w:val="index 7"/>
    <w:basedOn w:val="Normal"/>
    <w:next w:val="Normal"/>
    <w:autoRedefine/>
    <w:uiPriority w:val="99"/>
    <w:semiHidden/>
    <w:locked/>
    <w:rsid w:val="00AD275A"/>
    <w:pPr>
      <w:ind w:left="1540" w:hanging="220"/>
    </w:pPr>
  </w:style>
  <w:style w:type="paragraph" w:styleId="Index8">
    <w:name w:val="index 8"/>
    <w:basedOn w:val="Normal"/>
    <w:next w:val="Normal"/>
    <w:autoRedefine/>
    <w:uiPriority w:val="99"/>
    <w:semiHidden/>
    <w:locked/>
    <w:rsid w:val="00AD275A"/>
    <w:pPr>
      <w:ind w:left="1760" w:hanging="220"/>
    </w:pPr>
  </w:style>
  <w:style w:type="paragraph" w:styleId="Index9">
    <w:name w:val="index 9"/>
    <w:basedOn w:val="Normal"/>
    <w:next w:val="Normal"/>
    <w:autoRedefine/>
    <w:uiPriority w:val="99"/>
    <w:semiHidden/>
    <w:locked/>
    <w:rsid w:val="00AD275A"/>
    <w:pPr>
      <w:ind w:left="1980" w:hanging="220"/>
    </w:pPr>
  </w:style>
  <w:style w:type="paragraph" w:styleId="IndexHeading">
    <w:name w:val="index heading"/>
    <w:basedOn w:val="Normal"/>
    <w:next w:val="Index1"/>
    <w:uiPriority w:val="99"/>
    <w:semiHidden/>
    <w:locked/>
    <w:rsid w:val="00AD275A"/>
    <w:rPr>
      <w:rFonts w:ascii="Arial" w:hAnsi="Arial" w:cs="Arial"/>
      <w:b/>
      <w:bCs/>
    </w:rPr>
  </w:style>
  <w:style w:type="paragraph" w:styleId="MacroText">
    <w:name w:val="macro"/>
    <w:link w:val="MacroTextChar"/>
    <w:uiPriority w:val="99"/>
    <w:semiHidden/>
    <w:locked/>
    <w:rsid w:val="00AD275A"/>
    <w:pPr>
      <w:tabs>
        <w:tab w:val="left" w:pos="480"/>
        <w:tab w:val="left" w:pos="960"/>
        <w:tab w:val="left" w:pos="1440"/>
        <w:tab w:val="left" w:pos="1920"/>
        <w:tab w:val="left" w:pos="2400"/>
        <w:tab w:val="left" w:pos="2880"/>
        <w:tab w:val="left" w:pos="3360"/>
        <w:tab w:val="left" w:pos="3840"/>
        <w:tab w:val="left" w:pos="4320"/>
      </w:tabs>
      <w:spacing w:after="120"/>
    </w:pPr>
    <w:rPr>
      <w:rFonts w:ascii="Courier New" w:hAnsi="Courier New" w:cs="Courier New"/>
      <w:color w:val="000000"/>
      <w:sz w:val="20"/>
      <w:szCs w:val="20"/>
      <w:lang w:eastAsia="en-US"/>
    </w:rPr>
  </w:style>
  <w:style w:type="character" w:customStyle="1" w:styleId="MacroTextChar">
    <w:name w:val="Macro Text Char"/>
    <w:basedOn w:val="DefaultParagraphFont"/>
    <w:link w:val="MacroText"/>
    <w:uiPriority w:val="99"/>
    <w:semiHidden/>
    <w:rsid w:val="00DB55B9"/>
    <w:rPr>
      <w:rFonts w:ascii="Courier New" w:hAnsi="Courier New" w:cs="Courier New"/>
      <w:color w:val="000000"/>
      <w:sz w:val="20"/>
      <w:szCs w:val="20"/>
      <w:lang w:eastAsia="en-US"/>
    </w:rPr>
  </w:style>
  <w:style w:type="paragraph" w:styleId="TableofAuthorities">
    <w:name w:val="table of authorities"/>
    <w:basedOn w:val="Normal"/>
    <w:next w:val="Normal"/>
    <w:uiPriority w:val="99"/>
    <w:semiHidden/>
    <w:locked/>
    <w:rsid w:val="00AD275A"/>
    <w:pPr>
      <w:ind w:left="220" w:hanging="220"/>
    </w:pPr>
  </w:style>
  <w:style w:type="paragraph" w:styleId="TableofFigures">
    <w:name w:val="table of figures"/>
    <w:basedOn w:val="BodyText"/>
    <w:next w:val="BodyText"/>
    <w:uiPriority w:val="99"/>
    <w:locked/>
    <w:rsid w:val="00DC2413"/>
    <w:pPr>
      <w:tabs>
        <w:tab w:val="right" w:leader="dot" w:pos="9639"/>
      </w:tabs>
      <w:spacing w:before="0"/>
      <w:ind w:right="284"/>
    </w:pPr>
  </w:style>
  <w:style w:type="paragraph" w:styleId="TOAHeading">
    <w:name w:val="toa heading"/>
    <w:basedOn w:val="Normal"/>
    <w:next w:val="Normal"/>
    <w:uiPriority w:val="99"/>
    <w:semiHidden/>
    <w:locked/>
    <w:rsid w:val="00AD275A"/>
    <w:pPr>
      <w:spacing w:before="120"/>
    </w:pPr>
    <w:rPr>
      <w:rFonts w:ascii="Arial" w:hAnsi="Arial" w:cs="Arial"/>
      <w:b/>
      <w:bCs/>
      <w:sz w:val="24"/>
      <w:szCs w:val="24"/>
    </w:rPr>
  </w:style>
  <w:style w:type="paragraph" w:styleId="TOC5">
    <w:name w:val="toc 5"/>
    <w:basedOn w:val="Normal"/>
    <w:next w:val="Normal"/>
    <w:autoRedefine/>
    <w:uiPriority w:val="39"/>
    <w:rsid w:val="00AD275A"/>
    <w:pPr>
      <w:ind w:left="880"/>
    </w:pPr>
  </w:style>
  <w:style w:type="paragraph" w:styleId="TOC6">
    <w:name w:val="toc 6"/>
    <w:basedOn w:val="Normal"/>
    <w:next w:val="Normal"/>
    <w:autoRedefine/>
    <w:uiPriority w:val="39"/>
    <w:rsid w:val="00AD275A"/>
    <w:pPr>
      <w:ind w:left="1100"/>
    </w:pPr>
  </w:style>
  <w:style w:type="paragraph" w:styleId="TOC7">
    <w:name w:val="toc 7"/>
    <w:basedOn w:val="Normal"/>
    <w:next w:val="Normal"/>
    <w:autoRedefine/>
    <w:uiPriority w:val="39"/>
    <w:rsid w:val="00AD275A"/>
    <w:pPr>
      <w:ind w:left="1320"/>
    </w:pPr>
  </w:style>
  <w:style w:type="paragraph" w:styleId="TOC8">
    <w:name w:val="toc 8"/>
    <w:basedOn w:val="Normal"/>
    <w:next w:val="Normal"/>
    <w:autoRedefine/>
    <w:uiPriority w:val="39"/>
    <w:rsid w:val="00AD275A"/>
    <w:pPr>
      <w:ind w:left="1540"/>
    </w:pPr>
  </w:style>
  <w:style w:type="numbering" w:customStyle="1" w:styleId="TableBullets">
    <w:name w:val="TableBullets"/>
    <w:uiPriority w:val="99"/>
    <w:rsid w:val="008861FC"/>
    <w:pPr>
      <w:numPr>
        <w:numId w:val="7"/>
      </w:numPr>
    </w:pPr>
  </w:style>
  <w:style w:type="numbering" w:customStyle="1" w:styleId="Sources">
    <w:name w:val="Sources"/>
    <w:rsid w:val="008861FC"/>
    <w:pPr>
      <w:numPr>
        <w:numId w:val="6"/>
      </w:numPr>
    </w:pPr>
  </w:style>
  <w:style w:type="numbering" w:styleId="1ai">
    <w:name w:val="Outline List 1"/>
    <w:basedOn w:val="NoList"/>
    <w:uiPriority w:val="99"/>
    <w:semiHidden/>
    <w:unhideWhenUsed/>
    <w:locked/>
    <w:rsid w:val="008861FC"/>
    <w:pPr>
      <w:numPr>
        <w:numId w:val="10"/>
      </w:numPr>
    </w:pPr>
  </w:style>
  <w:style w:type="numbering" w:styleId="111111">
    <w:name w:val="Outline List 2"/>
    <w:basedOn w:val="NoList"/>
    <w:uiPriority w:val="99"/>
    <w:semiHidden/>
    <w:unhideWhenUsed/>
    <w:locked/>
    <w:rsid w:val="008861FC"/>
    <w:pPr>
      <w:numPr>
        <w:numId w:val="9"/>
      </w:numPr>
    </w:pPr>
  </w:style>
  <w:style w:type="numbering" w:customStyle="1" w:styleId="Bullets">
    <w:name w:val="Bullets"/>
    <w:rsid w:val="008861FC"/>
    <w:pPr>
      <w:numPr>
        <w:numId w:val="5"/>
      </w:numPr>
    </w:pPr>
  </w:style>
  <w:style w:type="numbering" w:customStyle="1" w:styleId="Numbers">
    <w:name w:val="Numbers"/>
    <w:rsid w:val="008861FC"/>
    <w:pPr>
      <w:numPr>
        <w:numId w:val="8"/>
      </w:numPr>
    </w:pPr>
  </w:style>
  <w:style w:type="numbering" w:styleId="ArticleSection">
    <w:name w:val="Outline List 3"/>
    <w:basedOn w:val="NoList"/>
    <w:uiPriority w:val="99"/>
    <w:semiHidden/>
    <w:unhideWhenUsed/>
    <w:locked/>
    <w:rsid w:val="008861FC"/>
    <w:pPr>
      <w:numPr>
        <w:numId w:val="11"/>
      </w:numPr>
    </w:pPr>
  </w:style>
  <w:style w:type="paragraph" w:customStyle="1" w:styleId="AppendixHeading1base">
    <w:name w:val="Appendix Heading 1 base"/>
    <w:uiPriority w:val="20"/>
    <w:semiHidden/>
    <w:qFormat/>
    <w:rsid w:val="005C1B4B"/>
    <w:pPr>
      <w:keepNext/>
      <w:pageBreakBefore/>
      <w:numPr>
        <w:numId w:val="14"/>
      </w:numPr>
      <w:tabs>
        <w:tab w:val="left" w:pos="2268"/>
      </w:tabs>
    </w:pPr>
    <w:rPr>
      <w:rFonts w:eastAsiaTheme="majorEastAsia" w:cstheme="majorBidi"/>
      <w:b/>
      <w:bCs/>
      <w:color w:val="00A9CE" w:themeColor="accent1"/>
      <w:sz w:val="44"/>
      <w:szCs w:val="28"/>
    </w:rPr>
  </w:style>
  <w:style w:type="paragraph" w:customStyle="1" w:styleId="AppendixHeading2">
    <w:name w:val="Appendix Heading 2"/>
    <w:basedOn w:val="Heading2"/>
    <w:next w:val="BodyText"/>
    <w:uiPriority w:val="11"/>
    <w:qFormat/>
    <w:rsid w:val="00C80108"/>
    <w:pPr>
      <w:numPr>
        <w:numId w:val="14"/>
      </w:numPr>
      <w:ind w:left="1134" w:hanging="1134"/>
    </w:pPr>
  </w:style>
  <w:style w:type="paragraph" w:customStyle="1" w:styleId="AppendixHeading3">
    <w:name w:val="Appendix Heading 3"/>
    <w:basedOn w:val="Heading3"/>
    <w:next w:val="BodyText"/>
    <w:uiPriority w:val="11"/>
    <w:qFormat/>
    <w:rsid w:val="00C80108"/>
    <w:pPr>
      <w:numPr>
        <w:numId w:val="14"/>
      </w:numPr>
      <w:ind w:left="1134" w:hanging="1134"/>
    </w:pPr>
  </w:style>
  <w:style w:type="paragraph" w:customStyle="1" w:styleId="AppendixHeading4">
    <w:name w:val="Appendix Heading 4"/>
    <w:basedOn w:val="Heading4"/>
    <w:next w:val="BodyText"/>
    <w:uiPriority w:val="11"/>
    <w:qFormat/>
    <w:rsid w:val="00880650"/>
  </w:style>
  <w:style w:type="paragraph" w:customStyle="1" w:styleId="Equation">
    <w:name w:val="Equation"/>
    <w:basedOn w:val="BodyText"/>
    <w:next w:val="BodyText"/>
    <w:uiPriority w:val="7"/>
    <w:qFormat/>
    <w:rsid w:val="009E354F"/>
    <w:pPr>
      <w:tabs>
        <w:tab w:val="right" w:pos="9639"/>
      </w:tabs>
      <w:spacing w:before="240" w:after="240"/>
      <w:ind w:left="567"/>
    </w:pPr>
    <w:rPr>
      <w:rFonts w:asciiTheme="minorHAnsi" w:eastAsia="Times New Roman" w:hAnsiTheme="minorHAnsi"/>
      <w:color w:val="auto"/>
      <w:szCs w:val="24"/>
      <w:lang w:eastAsia="en-US"/>
    </w:rPr>
  </w:style>
  <w:style w:type="paragraph" w:customStyle="1" w:styleId="Reference">
    <w:name w:val="Reference"/>
    <w:basedOn w:val="BodyText"/>
    <w:next w:val="BodyText"/>
    <w:uiPriority w:val="4"/>
    <w:qFormat/>
    <w:rsid w:val="00DC2413"/>
    <w:pPr>
      <w:ind w:left="567" w:hanging="567"/>
    </w:pPr>
  </w:style>
  <w:style w:type="paragraph" w:styleId="ListNumber2">
    <w:name w:val="List Number 2"/>
    <w:basedOn w:val="ListNumber"/>
    <w:next w:val="BodyText"/>
    <w:uiPriority w:val="2"/>
    <w:qFormat/>
    <w:locked/>
    <w:rsid w:val="00D349D1"/>
    <w:pPr>
      <w:numPr>
        <w:numId w:val="12"/>
      </w:numPr>
      <w:tabs>
        <w:tab w:val="left" w:pos="794"/>
      </w:tabs>
      <w:spacing w:before="60" w:after="60"/>
      <w:ind w:left="794" w:hanging="397"/>
    </w:pPr>
  </w:style>
  <w:style w:type="character" w:customStyle="1" w:styleId="Italics">
    <w:name w:val="Italics"/>
    <w:basedOn w:val="DefaultParagraphFont"/>
    <w:uiPriority w:val="3"/>
    <w:qFormat/>
    <w:rsid w:val="0005371F"/>
    <w:rPr>
      <w:i/>
    </w:rPr>
  </w:style>
  <w:style w:type="table" w:customStyle="1" w:styleId="LightShading1">
    <w:name w:val="Light Shading1"/>
    <w:basedOn w:val="TableNormal"/>
    <w:uiPriority w:val="60"/>
    <w:rsid w:val="009B5F0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CSIRO">
    <w:name w:val="Table_CSIRO"/>
    <w:basedOn w:val="TableNormal"/>
    <w:uiPriority w:val="99"/>
    <w:qFormat/>
    <w:rsid w:val="004D3DB4"/>
    <w:tblPr>
      <w:tblStyleRowBandSize w:val="1"/>
      <w:tblInd w:w="113" w:type="dxa"/>
      <w:tblBorders>
        <w:bottom w:val="single" w:sz="4" w:space="0" w:color="auto"/>
      </w:tblBorders>
      <w:tblCellMar>
        <w:left w:w="85" w:type="dxa"/>
        <w:bottom w:w="28" w:type="dxa"/>
        <w:right w:w="85" w:type="dxa"/>
      </w:tblCellMar>
    </w:tblPr>
    <w:tblStylePr w:type="firstRow">
      <w:pPr>
        <w:spacing w:before="0" w:after="0" w:line="240" w:lineRule="auto"/>
      </w:pPr>
      <w:rPr>
        <w:b/>
        <w:bCs/>
        <w:color w:val="FFFFFF" w:themeColor="background1"/>
      </w:rPr>
      <w:tblPr/>
      <w:tcPr>
        <w:tcBorders>
          <w:top w:val="nil"/>
          <w:left w:val="nil"/>
          <w:bottom w:val="nil"/>
          <w:right w:val="nil"/>
          <w:insideH w:val="nil"/>
          <w:insideV w:val="nil"/>
          <w:tl2br w:val="nil"/>
          <w:tr2bl w:val="nil"/>
        </w:tcBorders>
        <w:shd w:val="clear" w:color="auto" w:fill="000000" w:themeFill="text1"/>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EDEDED"/>
      </w:tcPr>
    </w:tblStylePr>
  </w:style>
  <w:style w:type="paragraph" w:customStyle="1" w:styleId="CaptionNote">
    <w:name w:val="Caption Note"/>
    <w:basedOn w:val="Caption"/>
    <w:next w:val="BodyText"/>
    <w:uiPriority w:val="4"/>
    <w:qFormat/>
    <w:rsid w:val="00B26878"/>
    <w:pPr>
      <w:spacing w:before="0"/>
    </w:pPr>
  </w:style>
  <w:style w:type="character" w:customStyle="1" w:styleId="Bold">
    <w:name w:val="Bold"/>
    <w:basedOn w:val="DefaultParagraphFont"/>
    <w:uiPriority w:val="3"/>
    <w:qFormat/>
    <w:rsid w:val="00856E94"/>
    <w:rPr>
      <w:b/>
    </w:rPr>
  </w:style>
  <w:style w:type="paragraph" w:styleId="ListParagraph">
    <w:name w:val="List Paragraph"/>
    <w:basedOn w:val="Normal"/>
    <w:uiPriority w:val="34"/>
    <w:qFormat/>
    <w:rsid w:val="009C5CA3"/>
    <w:pPr>
      <w:spacing w:before="180" w:line="264" w:lineRule="auto"/>
      <w:ind w:left="720"/>
      <w:contextualSpacing/>
    </w:pPr>
    <w:rPr>
      <w:sz w:val="24"/>
      <w:szCs w:val="24"/>
    </w:rPr>
  </w:style>
  <w:style w:type="character" w:styleId="IntenseEmphasis">
    <w:name w:val="Intense Emphasis"/>
    <w:basedOn w:val="DefaultParagraphFont"/>
    <w:uiPriority w:val="21"/>
    <w:qFormat/>
    <w:rsid w:val="00A65678"/>
    <w:rPr>
      <w:b/>
      <w:bCs/>
      <w:i/>
      <w:iCs/>
      <w:color w:val="00313C" w:themeColor="accent2"/>
    </w:rPr>
  </w:style>
  <w:style w:type="character" w:styleId="SubtleEmphasis">
    <w:name w:val="Subtle Emphasis"/>
    <w:basedOn w:val="DefaultParagraphFont"/>
    <w:uiPriority w:val="19"/>
    <w:qFormat/>
    <w:rsid w:val="00A65678"/>
    <w:rPr>
      <w:i/>
      <w:iCs/>
      <w:color w:val="595959" w:themeColor="text1" w:themeTint="A6"/>
    </w:rPr>
  </w:style>
  <w:style w:type="paragraph" w:styleId="IntenseQuote">
    <w:name w:val="Intense Quote"/>
    <w:basedOn w:val="Normal"/>
    <w:next w:val="Normal"/>
    <w:link w:val="IntenseQuoteChar"/>
    <w:uiPriority w:val="30"/>
    <w:qFormat/>
    <w:rsid w:val="00A65678"/>
    <w:pPr>
      <w:pBdr>
        <w:bottom w:val="single" w:sz="4" w:space="4" w:color="00313C" w:themeColor="accent2"/>
      </w:pBdr>
      <w:spacing w:before="200" w:after="280"/>
      <w:ind w:left="936" w:right="936"/>
    </w:pPr>
    <w:rPr>
      <w:b/>
      <w:bCs/>
      <w:i/>
      <w:iCs/>
      <w:color w:val="00313C" w:themeColor="accent2"/>
    </w:rPr>
  </w:style>
  <w:style w:type="character" w:customStyle="1" w:styleId="IntenseQuoteChar">
    <w:name w:val="Intense Quote Char"/>
    <w:basedOn w:val="DefaultParagraphFont"/>
    <w:link w:val="IntenseQuote"/>
    <w:uiPriority w:val="30"/>
    <w:rsid w:val="00A65678"/>
    <w:rPr>
      <w:rFonts w:eastAsia="Calibri"/>
      <w:b/>
      <w:bCs/>
      <w:i/>
      <w:iCs/>
      <w:color w:val="00313C" w:themeColor="accent2"/>
    </w:rPr>
  </w:style>
  <w:style w:type="paragraph" w:customStyle="1" w:styleId="CoverTitleWhite">
    <w:name w:val="CoverTitle White"/>
    <w:basedOn w:val="CoverTitle"/>
    <w:next w:val="BodyText"/>
    <w:uiPriority w:val="12"/>
    <w:qFormat/>
    <w:rsid w:val="00731ED4"/>
    <w:rPr>
      <w:color w:val="FFFFFF" w:themeColor="background2"/>
    </w:rPr>
  </w:style>
  <w:style w:type="paragraph" w:customStyle="1" w:styleId="CoverSubtitleWhite">
    <w:name w:val="CoverSubtitle White"/>
    <w:basedOn w:val="CoverSubtitle"/>
    <w:next w:val="BodyText"/>
    <w:uiPriority w:val="12"/>
    <w:qFormat/>
    <w:rsid w:val="00731ED4"/>
    <w:rPr>
      <w:color w:val="FFFFFF" w:themeColor="background2"/>
    </w:rPr>
  </w:style>
  <w:style w:type="paragraph" w:customStyle="1" w:styleId="BodyTextWhite">
    <w:name w:val="Body Text White"/>
    <w:basedOn w:val="BodyText"/>
    <w:next w:val="BodyText"/>
    <w:uiPriority w:val="12"/>
    <w:qFormat/>
    <w:rsid w:val="00731ED4"/>
    <w:rPr>
      <w:color w:val="FFFFFF" w:themeColor="background2"/>
    </w:rPr>
  </w:style>
  <w:style w:type="paragraph" w:customStyle="1" w:styleId="BackCoverContactHeadingWhite">
    <w:name w:val="BackCover ContactHeading White"/>
    <w:basedOn w:val="BackCoverContactHeading"/>
    <w:next w:val="BackCoverContactDetailsWhite"/>
    <w:uiPriority w:val="16"/>
    <w:qFormat/>
    <w:rsid w:val="00731ED4"/>
    <w:rPr>
      <w:color w:val="FFFFFF" w:themeColor="background2"/>
    </w:rPr>
  </w:style>
  <w:style w:type="paragraph" w:customStyle="1" w:styleId="BackCoverContactDetailsWhite">
    <w:name w:val="BackCover ContactDetails White"/>
    <w:basedOn w:val="BackCoverContactDetails"/>
    <w:uiPriority w:val="16"/>
    <w:qFormat/>
    <w:rsid w:val="00731ED4"/>
    <w:rPr>
      <w:color w:val="FFFFFF" w:themeColor="background2"/>
      <w:szCs w:val="20"/>
    </w:rPr>
  </w:style>
  <w:style w:type="paragraph" w:customStyle="1" w:styleId="BackCoverContactBoldWhite">
    <w:name w:val="BackCover ContactBold White"/>
    <w:basedOn w:val="BackCoverContactDetails"/>
    <w:next w:val="BackCoverContactDetailsWhite"/>
    <w:uiPriority w:val="16"/>
    <w:qFormat/>
    <w:rsid w:val="00731ED4"/>
    <w:rPr>
      <w:color w:val="FFFFFF" w:themeColor="background2"/>
    </w:rPr>
  </w:style>
  <w:style w:type="paragraph" w:customStyle="1" w:styleId="Boxedheading">
    <w:name w:val="Boxed heading"/>
    <w:uiPriority w:val="19"/>
    <w:qFormat/>
    <w:rsid w:val="008A11B6"/>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1F6FF" w:themeFill="accent2" w:themeFillTint="1A"/>
      <w:spacing w:before="360" w:after="240"/>
      <w:ind w:left="227" w:right="227"/>
    </w:pPr>
    <w:rPr>
      <w:rFonts w:eastAsia="Calibri"/>
      <w:b/>
      <w:color w:val="000000"/>
      <w:sz w:val="28"/>
      <w:szCs w:val="28"/>
    </w:rPr>
  </w:style>
  <w:style w:type="paragraph" w:customStyle="1" w:styleId="Boxedtext">
    <w:name w:val="Boxed text"/>
    <w:uiPriority w:val="19"/>
    <w:qFormat/>
    <w:rsid w:val="008A11B6"/>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1F6FF" w:themeFill="accent2" w:themeFillTint="1A"/>
      <w:spacing w:before="180" w:after="180"/>
      <w:ind w:left="227" w:right="227"/>
    </w:pPr>
    <w:rPr>
      <w:rFonts w:eastAsia="Calibri"/>
      <w:color w:val="000000"/>
      <w:sz w:val="24"/>
      <w:szCs w:val="24"/>
    </w:rPr>
  </w:style>
  <w:style w:type="paragraph" w:customStyle="1" w:styleId="Boxedlistbullet">
    <w:name w:val="Boxed list bullet"/>
    <w:basedOn w:val="Boxedtext"/>
    <w:uiPriority w:val="19"/>
    <w:qFormat/>
    <w:rsid w:val="00595E34"/>
    <w:pPr>
      <w:numPr>
        <w:numId w:val="17"/>
      </w:numPr>
      <w:spacing w:before="0" w:after="0"/>
      <w:ind w:left="454" w:hanging="227"/>
      <w:contextualSpacing/>
    </w:pPr>
  </w:style>
  <w:style w:type="paragraph" w:customStyle="1" w:styleId="EndNoteBibliography">
    <w:name w:val="EndNote Bibliography"/>
    <w:basedOn w:val="Normal"/>
    <w:link w:val="EndNoteBibliographyChar"/>
    <w:rsid w:val="00753345"/>
    <w:pPr>
      <w:spacing w:after="160"/>
    </w:pPr>
    <w:rPr>
      <w:rFonts w:eastAsiaTheme="minorHAnsi" w:cs="Calibri"/>
      <w:noProof/>
      <w:color w:val="auto"/>
      <w:sz w:val="24"/>
      <w:lang w:val="en-US" w:eastAsia="en-US"/>
    </w:rPr>
  </w:style>
  <w:style w:type="character" w:customStyle="1" w:styleId="EndNoteBibliographyChar">
    <w:name w:val="EndNote Bibliography Char"/>
    <w:basedOn w:val="DefaultParagraphFont"/>
    <w:link w:val="EndNoteBibliography"/>
    <w:rsid w:val="00753345"/>
    <w:rPr>
      <w:rFonts w:cs="Calibri"/>
      <w:noProof/>
      <w:sz w:val="24"/>
      <w:lang w:val="en-US" w:eastAsia="en-US"/>
    </w:rPr>
  </w:style>
  <w:style w:type="paragraph" w:customStyle="1" w:styleId="EndNoteBibliographyTitle">
    <w:name w:val="EndNote Bibliography Title"/>
    <w:basedOn w:val="Normal"/>
    <w:link w:val="EndNoteBibliographyTitleChar"/>
    <w:rsid w:val="003008C9"/>
    <w:pPr>
      <w:spacing w:after="0"/>
      <w:jc w:val="center"/>
    </w:pPr>
    <w:rPr>
      <w:rFonts w:cs="Calibri"/>
      <w:noProof/>
      <w:sz w:val="24"/>
    </w:rPr>
  </w:style>
  <w:style w:type="character" w:customStyle="1" w:styleId="EndNoteBibliographyTitleChar">
    <w:name w:val="EndNote Bibliography Title Char"/>
    <w:basedOn w:val="BodyTextChar"/>
    <w:link w:val="EndNoteBibliographyTitle"/>
    <w:rsid w:val="003008C9"/>
    <w:rPr>
      <w:rFonts w:eastAsia="Calibri" w:cs="Calibri"/>
      <w:noProof/>
      <w:color w:val="000000"/>
      <w:sz w:val="24"/>
    </w:rPr>
  </w:style>
  <w:style w:type="paragraph" w:styleId="NoSpacing">
    <w:name w:val="No Spacing"/>
    <w:uiPriority w:val="1"/>
    <w:qFormat/>
    <w:rsid w:val="00866396"/>
    <w:rPr>
      <w:rFonts w:asciiTheme="minorHAnsi" w:hAnsiTheme="minorHAnsi" w:cstheme="minorBidi"/>
      <w:lang w:eastAsia="en-US"/>
    </w:rPr>
  </w:style>
  <w:style w:type="character" w:styleId="PlaceholderText">
    <w:name w:val="Placeholder Text"/>
    <w:basedOn w:val="DefaultParagraphFont"/>
    <w:uiPriority w:val="99"/>
    <w:semiHidden/>
    <w:rsid w:val="00AD555D"/>
    <w:rPr>
      <w:color w:val="808080"/>
    </w:rPr>
  </w:style>
  <w:style w:type="paragraph" w:customStyle="1" w:styleId="CCSNormalText">
    <w:name w:val="CCS Normal Text"/>
    <w:basedOn w:val="Normal"/>
    <w:link w:val="CCSNormalTextChar"/>
    <w:qFormat/>
    <w:rsid w:val="00623BDD"/>
    <w:pPr>
      <w:spacing w:before="60"/>
    </w:pPr>
    <w:rPr>
      <w:rFonts w:ascii="Arial" w:eastAsiaTheme="minorHAnsi" w:hAnsi="Arial" w:cs="Arial"/>
      <w:color w:val="auto"/>
      <w:lang w:eastAsia="zh-CN" w:bidi="th-TH"/>
    </w:rPr>
  </w:style>
  <w:style w:type="character" w:customStyle="1" w:styleId="CCSNormalTextChar">
    <w:name w:val="CCS Normal Text Char"/>
    <w:basedOn w:val="DefaultParagraphFont"/>
    <w:link w:val="CCSNormalText"/>
    <w:rsid w:val="00623BDD"/>
    <w:rPr>
      <w:rFonts w:ascii="Arial" w:hAnsi="Arial" w:cs="Arial"/>
      <w:lang w:eastAsia="zh-CN" w:bidi="th-TH"/>
    </w:rPr>
  </w:style>
  <w:style w:type="paragraph" w:styleId="Title">
    <w:name w:val="Title"/>
    <w:basedOn w:val="Normal"/>
    <w:next w:val="Normal"/>
    <w:link w:val="TitleChar"/>
    <w:uiPriority w:val="10"/>
    <w:qFormat/>
    <w:rsid w:val="00AC4E5D"/>
    <w:pPr>
      <w:spacing w:after="0"/>
      <w:contextualSpacing/>
    </w:pPr>
    <w:rPr>
      <w:rFonts w:asciiTheme="majorHAnsi" w:eastAsiaTheme="majorEastAsia" w:hAnsiTheme="majorHAnsi" w:cstheme="majorBidi"/>
      <w:color w:val="auto"/>
      <w:spacing w:val="-10"/>
      <w:kern w:val="28"/>
      <w:sz w:val="56"/>
      <w:szCs w:val="56"/>
      <w:lang w:eastAsia="en-US"/>
    </w:rPr>
  </w:style>
  <w:style w:type="character" w:customStyle="1" w:styleId="TitleChar">
    <w:name w:val="Title Char"/>
    <w:basedOn w:val="DefaultParagraphFont"/>
    <w:link w:val="Title"/>
    <w:uiPriority w:val="10"/>
    <w:rsid w:val="00AC4E5D"/>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AC4E5D"/>
    <w:pPr>
      <w:numPr>
        <w:ilvl w:val="1"/>
      </w:numPr>
      <w:spacing w:after="160" w:line="259" w:lineRule="auto"/>
    </w:pPr>
    <w:rPr>
      <w:rFonts w:asciiTheme="minorHAnsi" w:eastAsiaTheme="minorEastAsia" w:hAnsiTheme="minorHAnsi" w:cstheme="minorBidi"/>
      <w:color w:val="5A5A5A" w:themeColor="text1" w:themeTint="A5"/>
      <w:spacing w:val="15"/>
      <w:lang w:eastAsia="en-US"/>
    </w:rPr>
  </w:style>
  <w:style w:type="character" w:customStyle="1" w:styleId="SubtitleChar">
    <w:name w:val="Subtitle Char"/>
    <w:basedOn w:val="DefaultParagraphFont"/>
    <w:link w:val="Subtitle"/>
    <w:uiPriority w:val="11"/>
    <w:rsid w:val="00AC4E5D"/>
    <w:rPr>
      <w:rFonts w:asciiTheme="minorHAnsi" w:eastAsiaTheme="minorEastAsia" w:hAnsiTheme="minorHAnsi" w:cstheme="minorBidi"/>
      <w:color w:val="5A5A5A" w:themeColor="text1" w:themeTint="A5"/>
      <w:spacing w:val="15"/>
      <w:lang w:eastAsia="en-US"/>
    </w:rPr>
  </w:style>
  <w:style w:type="paragraph" w:customStyle="1" w:styleId="Default">
    <w:name w:val="Default"/>
    <w:uiPriority w:val="99"/>
    <w:semiHidden/>
    <w:rsid w:val="00AC4E5D"/>
    <w:pPr>
      <w:autoSpaceDE w:val="0"/>
      <w:autoSpaceDN w:val="0"/>
      <w:adjustRightInd w:val="0"/>
    </w:pPr>
    <w:rPr>
      <w:rFonts w:ascii="Arial" w:hAnsi="Arial" w:cs="Arial"/>
      <w:color w:val="000000"/>
      <w:sz w:val="24"/>
      <w:szCs w:val="24"/>
    </w:rPr>
  </w:style>
  <w:style w:type="character" w:customStyle="1" w:styleId="UnresolvedMention">
    <w:name w:val="Unresolved Mention"/>
    <w:basedOn w:val="DefaultParagraphFont"/>
    <w:uiPriority w:val="99"/>
    <w:semiHidden/>
    <w:rsid w:val="00AC4E5D"/>
    <w:rPr>
      <w:color w:val="808080"/>
      <w:shd w:val="clear" w:color="auto" w:fill="E6E6E6"/>
    </w:rPr>
  </w:style>
  <w:style w:type="table" w:styleId="GridTable4">
    <w:name w:val="Grid Table 4"/>
    <w:basedOn w:val="TableNormal"/>
    <w:uiPriority w:val="49"/>
    <w:rsid w:val="00AC4E5D"/>
    <w:rPr>
      <w:rFonts w:asciiTheme="minorHAnsi" w:hAnsiTheme="minorHAnsi" w:cstheme="minorBidi"/>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Revision">
    <w:name w:val="Revision"/>
    <w:hidden/>
    <w:uiPriority w:val="99"/>
    <w:semiHidden/>
    <w:rsid w:val="00690E0B"/>
    <w:rPr>
      <w:rFonts w:eastAsia="Calibri"/>
      <w:color w:val="000000"/>
    </w:rPr>
  </w:style>
  <w:style w:type="table" w:styleId="GridTable5Dark">
    <w:name w:val="Grid Table 5 Dark"/>
    <w:basedOn w:val="TableNormal"/>
    <w:uiPriority w:val="50"/>
    <w:rsid w:val="0034780C"/>
    <w:rPr>
      <w:rFonts w:asciiTheme="minorHAnsi" w:hAnsi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customStyle="1" w:styleId="BusinessUnitNameChar">
    <w:name w:val="Business Unit Name Char"/>
    <w:basedOn w:val="DefaultParagraphFont"/>
    <w:link w:val="BusinessUnitName"/>
    <w:uiPriority w:val="12"/>
    <w:rsid w:val="0034780C"/>
    <w:rPr>
      <w:b/>
      <w:caps/>
      <w:noProof/>
      <w:color w:val="FFFFFF"/>
      <w:spacing w:val="16"/>
      <w:szCs w:val="24"/>
      <w:lang w:eastAsia="en-US"/>
    </w:rPr>
  </w:style>
  <w:style w:type="character" w:customStyle="1" w:styleId="Heading1notnumberedChar">
    <w:name w:val="Heading 1 not numbered Char"/>
    <w:basedOn w:val="Heading1Char"/>
    <w:link w:val="Heading1notnumbered"/>
    <w:uiPriority w:val="1"/>
    <w:rsid w:val="000D35F3"/>
    <w:rPr>
      <w:rFonts w:eastAsiaTheme="majorEastAsia" w:cstheme="majorBidi"/>
      <w:b/>
      <w:bCs/>
      <w:color w:val="00313C" w:themeColor="accent2"/>
      <w:sz w:val="44"/>
      <w:szCs w:val="28"/>
    </w:rPr>
  </w:style>
  <w:style w:type="character" w:customStyle="1" w:styleId="Heading1noTOCChar">
    <w:name w:val="Heading 1 no TOC Char"/>
    <w:basedOn w:val="Heading1notnumberedChar"/>
    <w:link w:val="Heading1noTOC"/>
    <w:uiPriority w:val="1"/>
    <w:rsid w:val="000D35F3"/>
    <w:rPr>
      <w:rFonts w:eastAsiaTheme="majorEastAsia" w:cstheme="majorBidi"/>
      <w:b/>
      <w:bCs/>
      <w:color w:val="00313C" w:themeColor="accent2"/>
      <w:sz w:val="44"/>
      <w:szCs w:val="28"/>
    </w:rPr>
  </w:style>
  <w:style w:type="paragraph" w:customStyle="1" w:styleId="Part1">
    <w:name w:val="Part 1"/>
    <w:basedOn w:val="Heading1notnumbered"/>
    <w:link w:val="Part1Char"/>
    <w:qFormat/>
    <w:rsid w:val="00A930C8"/>
    <w:pPr>
      <w:spacing w:before="1200" w:after="1200" w:line="240" w:lineRule="auto"/>
    </w:pPr>
    <w:rPr>
      <w:bCs w:val="0"/>
      <w:sz w:val="72"/>
    </w:rPr>
  </w:style>
  <w:style w:type="character" w:customStyle="1" w:styleId="Heading2notnumberedChar">
    <w:name w:val="Heading 2 not numbered Char"/>
    <w:basedOn w:val="Heading2Char"/>
    <w:link w:val="Heading2notnumbered"/>
    <w:uiPriority w:val="1"/>
    <w:rsid w:val="00A24F12"/>
    <w:rPr>
      <w:rFonts w:eastAsiaTheme="majorEastAsia" w:cstheme="majorBidi"/>
      <w:bCs/>
      <w:color w:val="00313C" w:themeColor="accent2"/>
      <w:sz w:val="32"/>
      <w:szCs w:val="26"/>
    </w:rPr>
  </w:style>
  <w:style w:type="character" w:customStyle="1" w:styleId="Part1Char">
    <w:name w:val="Part 1 Char"/>
    <w:basedOn w:val="Heading2notnumberedChar"/>
    <w:link w:val="Part1"/>
    <w:rsid w:val="00A930C8"/>
    <w:rPr>
      <w:rFonts w:eastAsiaTheme="majorEastAsia" w:cstheme="majorBidi"/>
      <w:b/>
      <w:bCs w:val="0"/>
      <w:color w:val="00313C" w:themeColor="accent2"/>
      <w:sz w:val="72"/>
      <w:szCs w:val="28"/>
    </w:rPr>
  </w:style>
  <w:style w:type="numbering" w:customStyle="1" w:styleId="Bullets1">
    <w:name w:val="Bullets1"/>
    <w:rsid w:val="004304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9772827">
      <w:bodyDiv w:val="1"/>
      <w:marLeft w:val="0"/>
      <w:marRight w:val="0"/>
      <w:marTop w:val="0"/>
      <w:marBottom w:val="0"/>
      <w:divBdr>
        <w:top w:val="none" w:sz="0" w:space="0" w:color="auto"/>
        <w:left w:val="none" w:sz="0" w:space="0" w:color="auto"/>
        <w:bottom w:val="none" w:sz="0" w:space="0" w:color="auto"/>
        <w:right w:val="none" w:sz="0" w:space="0" w:color="auto"/>
      </w:divBdr>
    </w:div>
    <w:div w:id="835002939">
      <w:bodyDiv w:val="1"/>
      <w:marLeft w:val="0"/>
      <w:marRight w:val="0"/>
      <w:marTop w:val="0"/>
      <w:marBottom w:val="0"/>
      <w:divBdr>
        <w:top w:val="none" w:sz="0" w:space="0" w:color="auto"/>
        <w:left w:val="none" w:sz="0" w:space="0" w:color="auto"/>
        <w:bottom w:val="none" w:sz="0" w:space="0" w:color="auto"/>
        <w:right w:val="none" w:sz="0" w:space="0" w:color="auto"/>
      </w:divBdr>
    </w:div>
    <w:div w:id="869681636">
      <w:bodyDiv w:val="1"/>
      <w:marLeft w:val="0"/>
      <w:marRight w:val="0"/>
      <w:marTop w:val="0"/>
      <w:marBottom w:val="0"/>
      <w:divBdr>
        <w:top w:val="none" w:sz="0" w:space="0" w:color="auto"/>
        <w:left w:val="none" w:sz="0" w:space="0" w:color="auto"/>
        <w:bottom w:val="none" w:sz="0" w:space="0" w:color="auto"/>
        <w:right w:val="none" w:sz="0" w:space="0" w:color="auto"/>
      </w:divBdr>
    </w:div>
    <w:div w:id="1020856391">
      <w:bodyDiv w:val="1"/>
      <w:marLeft w:val="0"/>
      <w:marRight w:val="0"/>
      <w:marTop w:val="0"/>
      <w:marBottom w:val="0"/>
      <w:divBdr>
        <w:top w:val="none" w:sz="0" w:space="0" w:color="auto"/>
        <w:left w:val="none" w:sz="0" w:space="0" w:color="auto"/>
        <w:bottom w:val="none" w:sz="0" w:space="0" w:color="auto"/>
        <w:right w:val="none" w:sz="0" w:space="0" w:color="auto"/>
      </w:divBdr>
    </w:div>
    <w:div w:id="1258518746">
      <w:bodyDiv w:val="1"/>
      <w:marLeft w:val="0"/>
      <w:marRight w:val="0"/>
      <w:marTop w:val="0"/>
      <w:marBottom w:val="0"/>
      <w:divBdr>
        <w:top w:val="none" w:sz="0" w:space="0" w:color="auto"/>
        <w:left w:val="none" w:sz="0" w:space="0" w:color="auto"/>
        <w:bottom w:val="none" w:sz="0" w:space="0" w:color="auto"/>
        <w:right w:val="none" w:sz="0" w:space="0" w:color="auto"/>
      </w:divBdr>
    </w:div>
    <w:div w:id="1434471842">
      <w:bodyDiv w:val="1"/>
      <w:marLeft w:val="0"/>
      <w:marRight w:val="0"/>
      <w:marTop w:val="0"/>
      <w:marBottom w:val="0"/>
      <w:divBdr>
        <w:top w:val="none" w:sz="0" w:space="0" w:color="auto"/>
        <w:left w:val="none" w:sz="0" w:space="0" w:color="auto"/>
        <w:bottom w:val="none" w:sz="0" w:space="0" w:color="auto"/>
        <w:right w:val="none" w:sz="0" w:space="0" w:color="auto"/>
      </w:divBdr>
    </w:div>
    <w:div w:id="1480532522">
      <w:bodyDiv w:val="1"/>
      <w:marLeft w:val="0"/>
      <w:marRight w:val="0"/>
      <w:marTop w:val="0"/>
      <w:marBottom w:val="0"/>
      <w:divBdr>
        <w:top w:val="none" w:sz="0" w:space="0" w:color="auto"/>
        <w:left w:val="none" w:sz="0" w:space="0" w:color="auto"/>
        <w:bottom w:val="none" w:sz="0" w:space="0" w:color="auto"/>
        <w:right w:val="none" w:sz="0" w:space="0" w:color="auto"/>
      </w:divBdr>
    </w:div>
    <w:div w:id="1485202569">
      <w:bodyDiv w:val="1"/>
      <w:marLeft w:val="0"/>
      <w:marRight w:val="0"/>
      <w:marTop w:val="0"/>
      <w:marBottom w:val="0"/>
      <w:divBdr>
        <w:top w:val="none" w:sz="0" w:space="0" w:color="auto"/>
        <w:left w:val="none" w:sz="0" w:space="0" w:color="auto"/>
        <w:bottom w:val="none" w:sz="0" w:space="0" w:color="auto"/>
        <w:right w:val="none" w:sz="0" w:space="0" w:color="auto"/>
      </w:divBdr>
    </w:div>
    <w:div w:id="1504511046">
      <w:bodyDiv w:val="1"/>
      <w:marLeft w:val="0"/>
      <w:marRight w:val="0"/>
      <w:marTop w:val="0"/>
      <w:marBottom w:val="0"/>
      <w:divBdr>
        <w:top w:val="none" w:sz="0" w:space="0" w:color="auto"/>
        <w:left w:val="none" w:sz="0" w:space="0" w:color="auto"/>
        <w:bottom w:val="none" w:sz="0" w:space="0" w:color="auto"/>
        <w:right w:val="none" w:sz="0" w:space="0" w:color="auto"/>
      </w:divBdr>
    </w:div>
    <w:div w:id="1795755611">
      <w:bodyDiv w:val="1"/>
      <w:marLeft w:val="0"/>
      <w:marRight w:val="0"/>
      <w:marTop w:val="0"/>
      <w:marBottom w:val="0"/>
      <w:divBdr>
        <w:top w:val="none" w:sz="0" w:space="0" w:color="auto"/>
        <w:left w:val="none" w:sz="0" w:space="0" w:color="auto"/>
        <w:bottom w:val="none" w:sz="0" w:space="0" w:color="auto"/>
        <w:right w:val="none" w:sz="0" w:space="0" w:color="auto"/>
      </w:divBdr>
    </w:div>
    <w:div w:id="2034988321">
      <w:bodyDiv w:val="1"/>
      <w:marLeft w:val="0"/>
      <w:marRight w:val="0"/>
      <w:marTop w:val="0"/>
      <w:marBottom w:val="0"/>
      <w:divBdr>
        <w:top w:val="none" w:sz="0" w:space="0" w:color="auto"/>
        <w:left w:val="none" w:sz="0" w:space="0" w:color="auto"/>
        <w:bottom w:val="none" w:sz="0" w:space="0" w:color="auto"/>
        <w:right w:val="none" w:sz="0" w:space="0" w:color="auto"/>
      </w:divBdr>
    </w:div>
    <w:div w:id="2133396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hyperlink" Target="file:///Y:\e-Cigarettes\Reports\PostFeedback\E-cigarettes%20Consolidated%20Final%20Report240618.docx" TargetMode="External"/><Relationship Id="rId26" Type="http://schemas.openxmlformats.org/officeDocument/2006/relationships/image" Target="media/image7.png"/><Relationship Id="rId39" Type="http://schemas.openxmlformats.org/officeDocument/2006/relationships/image" Target="media/image10.gif"/><Relationship Id="rId21" Type="http://schemas.openxmlformats.org/officeDocument/2006/relationships/header" Target="header1.xml"/><Relationship Id="rId34" Type="http://schemas.openxmlformats.org/officeDocument/2006/relationships/image" Target="media/image8.gif"/><Relationship Id="rId42" Type="http://schemas.openxmlformats.org/officeDocument/2006/relationships/chart" Target="charts/chart3.xml"/><Relationship Id="rId47" Type="http://schemas.openxmlformats.org/officeDocument/2006/relationships/image" Target="media/image11.png"/><Relationship Id="rId50" Type="http://schemas.openxmlformats.org/officeDocument/2006/relationships/hyperlink" Target="https://www.aihw.gov.au/reports/illicit-use-of-drugs/ndshs-2016-detailed/data" TargetMode="External"/><Relationship Id="rId55" Type="http://schemas.openxmlformats.org/officeDocument/2006/relationships/hyperlink" Target="http://www.tobaccoinaustralia.org.au/chapter-1-prevalence/1-9-prevalence-of-tobacco-use-among-aboriginal-peo" TargetMode="External"/><Relationship Id="rId63" Type="http://schemas.openxmlformats.org/officeDocument/2006/relationships/footer" Target="footer9.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file:///Y:\e-Cigarettes\Reports\PostFeedback\E-cigarettes%20Consolidated%20Final%20Report240618.docx" TargetMode="External"/><Relationship Id="rId29" Type="http://schemas.openxmlformats.org/officeDocument/2006/relationships/header" Target="header3.xml"/><Relationship Id="rId41" Type="http://schemas.openxmlformats.org/officeDocument/2006/relationships/chart" Target="charts/chart2.xml"/><Relationship Id="rId54" Type="http://schemas.openxmlformats.org/officeDocument/2006/relationships/hyperlink" Target="http://www.tobaccoinaustralia.org.au/chapter-1-prevalence/1-3-prevalence-of-smoking-adults" TargetMode="External"/><Relationship Id="rId62"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hyperlink" Target="https://www.cdc.gov/nchs/images/databriefs/251-300/db289_fig5.png" TargetMode="External"/><Relationship Id="rId37" Type="http://schemas.openxmlformats.org/officeDocument/2006/relationships/footer" Target="footer5.xml"/><Relationship Id="rId40" Type="http://schemas.openxmlformats.org/officeDocument/2006/relationships/header" Target="header4.xml"/><Relationship Id="rId45" Type="http://schemas.openxmlformats.org/officeDocument/2006/relationships/footer" Target="footer6.xml"/><Relationship Id="rId53" Type="http://schemas.openxmlformats.org/officeDocument/2006/relationships/hyperlink" Target="https://www.atsdr.cdc.gov/toxfaqs/tf.asp?id=244&amp;tid=44" TargetMode="External"/><Relationship Id="rId58" Type="http://schemas.openxmlformats.org/officeDocument/2006/relationships/hyperlink" Target="file:///C:\Users\gal16g\AppData\Local\Temp\www.globaltobaccocontrol.org\e-cigarette\country-comparison-database" TargetMode="External"/><Relationship Id="rId5" Type="http://schemas.openxmlformats.org/officeDocument/2006/relationships/customXml" Target="../customXml/item5.xml"/><Relationship Id="rId15" Type="http://schemas.openxmlformats.org/officeDocument/2006/relationships/hyperlink" Target="mailto:csiroenquiries@csiro.au" TargetMode="External"/><Relationship Id="rId23" Type="http://schemas.openxmlformats.org/officeDocument/2006/relationships/image" Target="media/image3.PNG"/><Relationship Id="rId28" Type="http://schemas.openxmlformats.org/officeDocument/2006/relationships/hyperlink" Target="https://www.sciencedirect.com/topics/medicine-and-dentistry/lithium-medication" TargetMode="External"/><Relationship Id="rId36" Type="http://schemas.openxmlformats.org/officeDocument/2006/relationships/footer" Target="footer4.xml"/><Relationship Id="rId49" Type="http://schemas.openxmlformats.org/officeDocument/2006/relationships/header" Target="header5.xml"/><Relationship Id="rId57" Type="http://schemas.openxmlformats.org/officeDocument/2006/relationships/hyperlink" Target="http://ec.europa.eu/commfrontoffice/publicopinion/index.cfm/Survey/getSurveyDetail/instruments/SPECIAL/yearFrom/2016/yearTo/2018/surveyKy/2146" TargetMode="External"/><Relationship Id="rId61" Type="http://schemas.openxmlformats.org/officeDocument/2006/relationships/hyperlink" Target="https://www.unicef.org/cbsc/index_65738.html" TargetMode="External"/><Relationship Id="rId10" Type="http://schemas.openxmlformats.org/officeDocument/2006/relationships/footnotes" Target="footnotes.xml"/><Relationship Id="rId19" Type="http://schemas.openxmlformats.org/officeDocument/2006/relationships/hyperlink" Target="file:///Y:\e-Cigarettes\Reports\PostFeedback\E-cigarettes%20Consolidated%20Final%20Report240618.docx" TargetMode="External"/><Relationship Id="rId31" Type="http://schemas.openxmlformats.org/officeDocument/2006/relationships/image" Target="media/image6.png"/><Relationship Id="rId44" Type="http://schemas.openxmlformats.org/officeDocument/2006/relationships/chart" Target="charts/chart5.xml"/><Relationship Id="rId52" Type="http://schemas.openxmlformats.org/officeDocument/2006/relationships/hyperlink" Target="https://www.atsdr.cdc.gov/csem/csem.asp?csem=10&amp;po=10" TargetMode="External"/><Relationship Id="rId60" Type="http://schemas.openxmlformats.org/officeDocument/2006/relationships/hyperlink" Target="https://uwaterloo.ca/tobacco-use-canada/e-cigarette-use-canada/prevalence-e-cigarette-use/e-cigarette-prevalence-sex"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g"/><Relationship Id="rId22" Type="http://schemas.openxmlformats.org/officeDocument/2006/relationships/footer" Target="footer3.xml"/><Relationship Id="rId27" Type="http://schemas.openxmlformats.org/officeDocument/2006/relationships/header" Target="header2.xml"/><Relationship Id="rId30" Type="http://schemas.openxmlformats.org/officeDocument/2006/relationships/image" Target="media/image5.jpeg"/><Relationship Id="rId35" Type="http://schemas.openxmlformats.org/officeDocument/2006/relationships/image" Target="media/image9.png"/><Relationship Id="rId43" Type="http://schemas.openxmlformats.org/officeDocument/2006/relationships/chart" Target="charts/chart4.xml"/><Relationship Id="rId48" Type="http://schemas.openxmlformats.org/officeDocument/2006/relationships/hyperlink" Target="https://www.sciencedirect.com/topics/medicine-and-dentistry/cigarette-smoking" TargetMode="External"/><Relationship Id="rId56" Type="http://schemas.openxmlformats.org/officeDocument/2006/relationships/hyperlink" Target="http://www.surgeongeneral.gov/library/reports/50" TargetMode="External"/><Relationship Id="rId64"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s://www.atsdr.cdc.gov/ToxProfiles/tp.asp?id=102&amp;tid=23" TargetMode="Externa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footer" Target="footer2.xml"/><Relationship Id="rId25" Type="http://schemas.openxmlformats.org/officeDocument/2006/relationships/image" Target="media/image4.PNG"/><Relationship Id="rId33" Type="http://schemas.openxmlformats.org/officeDocument/2006/relationships/image" Target="media/image7.gif"/><Relationship Id="rId38" Type="http://schemas.openxmlformats.org/officeDocument/2006/relationships/chart" Target="charts/chart1.xml"/><Relationship Id="rId46" Type="http://schemas.openxmlformats.org/officeDocument/2006/relationships/footer" Target="footer7.xml"/><Relationship Id="rId59" Type="http://schemas.openxmlformats.org/officeDocument/2006/relationships/hyperlink" Target="https://www.nhmrc.gov.au/grants-funding/outcomes-funding-rounds"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cdc.gov/biomonitoring/NNAL_FactSheet.html" TargetMode="External"/><Relationship Id="rId1" Type="http://schemas.openxmlformats.org/officeDocument/2006/relationships/hyperlink" Target="https://www.sciencedaily.com/releases/2017/04/170402111311.ht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l16g\AppData\Roaming\Microsoft\Templates\Technical%20Report%20-%20Formal%20Photo.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osm-09-mel\OSM_MEL_HB_DIET_LIFEST_work\e-Cigarettes\smoking%20rates%20where%20e-cigarettes%20used\e-cigarette%20use%20prevalence%20summary%20v3.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osm-09-mel\OSM_MEL_HB_DIET_LIFEST_work\e-Cigarettes\smoking%20rates%20where%20e-cigarettes%20used\e-cigarette%20use%20prevalence%20summary%20v3.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osm-09-mel\OSM_MEL_HB_DIET_LIFEST_work\e-Cigarettes\smoking%20rates%20where%20e-cigarettes%20used\e-cigarette%20use%20prevalence%20summary%20v3.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osm-09-mel\OSM_MEL_HB_DIET_LIFEST_work\e-Cigarettes\smoking%20rates%20where%20e-cigarettes%20used\e-cigarette%20use%20prevalence%20summary%20v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current user</c:v>
                </c:pt>
              </c:strCache>
            </c:strRef>
          </c:tx>
          <c:spPr>
            <a:ln w="28575" cap="rnd">
              <a:solidFill>
                <a:schemeClr val="accent1"/>
              </a:solidFill>
              <a:round/>
            </a:ln>
            <a:effectLst/>
          </c:spPr>
          <c:marker>
            <c:symbol val="none"/>
          </c:marker>
          <c:cat>
            <c:strRef>
              <c:f>Sheet1!$A$2:$A$9</c:f>
              <c:strCache>
                <c:ptCount val="8"/>
                <c:pt idx="0">
                  <c:v>12 to 17</c:v>
                </c:pt>
                <c:pt idx="1">
                  <c:v>18 to 24</c:v>
                </c:pt>
                <c:pt idx="2">
                  <c:v>25 to 29</c:v>
                </c:pt>
                <c:pt idx="3">
                  <c:v>30 to 39</c:v>
                </c:pt>
                <c:pt idx="4">
                  <c:v>40-49</c:v>
                </c:pt>
                <c:pt idx="5">
                  <c:v>50-59</c:v>
                </c:pt>
                <c:pt idx="6">
                  <c:v>60-69</c:v>
                </c:pt>
                <c:pt idx="7">
                  <c:v>70+</c:v>
                </c:pt>
              </c:strCache>
            </c:strRef>
          </c:cat>
          <c:val>
            <c:numRef>
              <c:f>Sheet1!$B$2:$B$9</c:f>
              <c:numCache>
                <c:formatCode>General</c:formatCode>
                <c:ptCount val="8"/>
                <c:pt idx="0">
                  <c:v>4.3</c:v>
                </c:pt>
                <c:pt idx="1">
                  <c:v>6.8</c:v>
                </c:pt>
                <c:pt idx="2">
                  <c:v>3.6</c:v>
                </c:pt>
                <c:pt idx="3">
                  <c:v>5.9</c:v>
                </c:pt>
                <c:pt idx="4">
                  <c:v>4.3</c:v>
                </c:pt>
                <c:pt idx="5">
                  <c:v>3.3</c:v>
                </c:pt>
                <c:pt idx="6">
                  <c:v>2.9</c:v>
                </c:pt>
                <c:pt idx="7">
                  <c:v>0.8</c:v>
                </c:pt>
              </c:numCache>
            </c:numRef>
          </c:val>
          <c:smooth val="0"/>
        </c:ser>
        <c:ser>
          <c:idx val="1"/>
          <c:order val="1"/>
          <c:tx>
            <c:strRef>
              <c:f>Sheet1!$C$1</c:f>
              <c:strCache>
                <c:ptCount val="1"/>
                <c:pt idx="0">
                  <c:v>ex-user</c:v>
                </c:pt>
              </c:strCache>
            </c:strRef>
          </c:tx>
          <c:spPr>
            <a:ln w="28575" cap="rnd">
              <a:solidFill>
                <a:schemeClr val="accent2"/>
              </a:solidFill>
              <a:round/>
            </a:ln>
            <a:effectLst/>
          </c:spPr>
          <c:marker>
            <c:symbol val="none"/>
          </c:marker>
          <c:cat>
            <c:strRef>
              <c:f>Sheet1!$A$2:$A$9</c:f>
              <c:strCache>
                <c:ptCount val="8"/>
                <c:pt idx="0">
                  <c:v>12 to 17</c:v>
                </c:pt>
                <c:pt idx="1">
                  <c:v>18 to 24</c:v>
                </c:pt>
                <c:pt idx="2">
                  <c:v>25 to 29</c:v>
                </c:pt>
                <c:pt idx="3">
                  <c:v>30 to 39</c:v>
                </c:pt>
                <c:pt idx="4">
                  <c:v>40-49</c:v>
                </c:pt>
                <c:pt idx="5">
                  <c:v>50-59</c:v>
                </c:pt>
                <c:pt idx="6">
                  <c:v>60-69</c:v>
                </c:pt>
                <c:pt idx="7">
                  <c:v>70+</c:v>
                </c:pt>
              </c:strCache>
            </c:strRef>
          </c:cat>
          <c:val>
            <c:numRef>
              <c:f>Sheet1!$C$2:$C$9</c:f>
              <c:numCache>
                <c:formatCode>General</c:formatCode>
                <c:ptCount val="8"/>
                <c:pt idx="0">
                  <c:v>3.4</c:v>
                </c:pt>
                <c:pt idx="1">
                  <c:v>9.3000000000000007</c:v>
                </c:pt>
                <c:pt idx="2">
                  <c:v>5.5</c:v>
                </c:pt>
                <c:pt idx="3">
                  <c:v>7.9</c:v>
                </c:pt>
                <c:pt idx="4">
                  <c:v>7.6</c:v>
                </c:pt>
                <c:pt idx="5">
                  <c:v>5.9</c:v>
                </c:pt>
                <c:pt idx="6">
                  <c:v>4</c:v>
                </c:pt>
                <c:pt idx="7">
                  <c:v>4.3</c:v>
                </c:pt>
              </c:numCache>
            </c:numRef>
          </c:val>
          <c:smooth val="0"/>
        </c:ser>
        <c:ser>
          <c:idx val="2"/>
          <c:order val="2"/>
          <c:tx>
            <c:strRef>
              <c:f>Sheet1!$D$1</c:f>
              <c:strCache>
                <c:ptCount val="1"/>
                <c:pt idx="0">
                  <c:v>never used</c:v>
                </c:pt>
              </c:strCache>
            </c:strRef>
          </c:tx>
          <c:spPr>
            <a:ln w="28575" cap="rnd">
              <a:solidFill>
                <a:schemeClr val="accent3"/>
              </a:solidFill>
              <a:round/>
            </a:ln>
            <a:effectLst/>
          </c:spPr>
          <c:marker>
            <c:symbol val="none"/>
          </c:marker>
          <c:cat>
            <c:strRef>
              <c:f>Sheet1!$A$2:$A$9</c:f>
              <c:strCache>
                <c:ptCount val="8"/>
                <c:pt idx="0">
                  <c:v>12 to 17</c:v>
                </c:pt>
                <c:pt idx="1">
                  <c:v>18 to 24</c:v>
                </c:pt>
                <c:pt idx="2">
                  <c:v>25 to 29</c:v>
                </c:pt>
                <c:pt idx="3">
                  <c:v>30 to 39</c:v>
                </c:pt>
                <c:pt idx="4">
                  <c:v>40-49</c:v>
                </c:pt>
                <c:pt idx="5">
                  <c:v>50-59</c:v>
                </c:pt>
                <c:pt idx="6">
                  <c:v>60-69</c:v>
                </c:pt>
                <c:pt idx="7">
                  <c:v>70+</c:v>
                </c:pt>
              </c:strCache>
            </c:strRef>
          </c:cat>
          <c:val>
            <c:numRef>
              <c:f>Sheet1!$D$2:$D$9</c:f>
              <c:numCache>
                <c:formatCode>General</c:formatCode>
                <c:ptCount val="8"/>
                <c:pt idx="0">
                  <c:v>49.2</c:v>
                </c:pt>
                <c:pt idx="1">
                  <c:v>50.9</c:v>
                </c:pt>
                <c:pt idx="2">
                  <c:v>62.4</c:v>
                </c:pt>
                <c:pt idx="3">
                  <c:v>61</c:v>
                </c:pt>
                <c:pt idx="4">
                  <c:v>73.8</c:v>
                </c:pt>
                <c:pt idx="5">
                  <c:v>79.099999999999994</c:v>
                </c:pt>
                <c:pt idx="6">
                  <c:v>81.3</c:v>
                </c:pt>
                <c:pt idx="7">
                  <c:v>88.4</c:v>
                </c:pt>
              </c:numCache>
            </c:numRef>
          </c:val>
          <c:smooth val="0"/>
        </c:ser>
        <c:ser>
          <c:idx val="3"/>
          <c:order val="3"/>
          <c:tx>
            <c:strRef>
              <c:f>Sheet1!$E$1</c:f>
              <c:strCache>
                <c:ptCount val="1"/>
                <c:pt idx="0">
                  <c:v>used once or twice</c:v>
                </c:pt>
              </c:strCache>
            </c:strRef>
          </c:tx>
          <c:spPr>
            <a:ln w="28575" cap="rnd">
              <a:solidFill>
                <a:schemeClr val="accent4"/>
              </a:solidFill>
              <a:round/>
            </a:ln>
            <a:effectLst/>
          </c:spPr>
          <c:marker>
            <c:symbol val="none"/>
          </c:marker>
          <c:cat>
            <c:strRef>
              <c:f>Sheet1!$A$2:$A$9</c:f>
              <c:strCache>
                <c:ptCount val="8"/>
                <c:pt idx="0">
                  <c:v>12 to 17</c:v>
                </c:pt>
                <c:pt idx="1">
                  <c:v>18 to 24</c:v>
                </c:pt>
                <c:pt idx="2">
                  <c:v>25 to 29</c:v>
                </c:pt>
                <c:pt idx="3">
                  <c:v>30 to 39</c:v>
                </c:pt>
                <c:pt idx="4">
                  <c:v>40-49</c:v>
                </c:pt>
                <c:pt idx="5">
                  <c:v>50-59</c:v>
                </c:pt>
                <c:pt idx="6">
                  <c:v>60-69</c:v>
                </c:pt>
                <c:pt idx="7">
                  <c:v>70+</c:v>
                </c:pt>
              </c:strCache>
            </c:strRef>
          </c:cat>
          <c:val>
            <c:numRef>
              <c:f>Sheet1!$E$2:$E$9</c:f>
              <c:numCache>
                <c:formatCode>General</c:formatCode>
                <c:ptCount val="8"/>
                <c:pt idx="0">
                  <c:v>43.1</c:v>
                </c:pt>
                <c:pt idx="1">
                  <c:v>33.1</c:v>
                </c:pt>
                <c:pt idx="2">
                  <c:v>28.4</c:v>
                </c:pt>
                <c:pt idx="3">
                  <c:v>25.3</c:v>
                </c:pt>
                <c:pt idx="4">
                  <c:v>14.3</c:v>
                </c:pt>
                <c:pt idx="5">
                  <c:v>11.6</c:v>
                </c:pt>
                <c:pt idx="6">
                  <c:v>11.8</c:v>
                </c:pt>
                <c:pt idx="7">
                  <c:v>6.5</c:v>
                </c:pt>
              </c:numCache>
            </c:numRef>
          </c:val>
          <c:smooth val="0"/>
        </c:ser>
        <c:dLbls>
          <c:showLegendKey val="0"/>
          <c:showVal val="0"/>
          <c:showCatName val="0"/>
          <c:showSerName val="0"/>
          <c:showPercent val="0"/>
          <c:showBubbleSize val="0"/>
        </c:dLbls>
        <c:smooth val="0"/>
        <c:axId val="343565872"/>
        <c:axId val="468054176"/>
      </c:lineChart>
      <c:catAx>
        <c:axId val="3435658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Age group (years)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8054176"/>
        <c:crosses val="autoZero"/>
        <c:auto val="1"/>
        <c:lblAlgn val="ctr"/>
        <c:lblOffset val="100"/>
        <c:noMultiLvlLbl val="0"/>
      </c:catAx>
      <c:valAx>
        <c:axId val="4680541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Percentage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3565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Prevalence of male tobacco smokers vs total current e-cigarette use (n=42)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Graphs!$F$2</c:f>
              <c:strCache>
                <c:ptCount val="1"/>
                <c:pt idx="0">
                  <c:v>male</c:v>
                </c:pt>
              </c:strCache>
            </c:strRef>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0"/>
            <c:dispEq val="0"/>
          </c:trendline>
          <c:xVal>
            <c:numRef>
              <c:f>Graphs!$F$3:$F$46</c:f>
              <c:numCache>
                <c:formatCode>General</c:formatCode>
                <c:ptCount val="44"/>
                <c:pt idx="0">
                  <c:v>16.7</c:v>
                </c:pt>
                <c:pt idx="1">
                  <c:v>35.5</c:v>
                </c:pt>
                <c:pt idx="2">
                  <c:v>26.5</c:v>
                </c:pt>
                <c:pt idx="3">
                  <c:v>19.3</c:v>
                </c:pt>
                <c:pt idx="4">
                  <c:v>42.4</c:v>
                </c:pt>
                <c:pt idx="5">
                  <c:v>15.6</c:v>
                </c:pt>
                <c:pt idx="6">
                  <c:v>39.4</c:v>
                </c:pt>
                <c:pt idx="7">
                  <c:v>37.4</c:v>
                </c:pt>
                <c:pt idx="8">
                  <c:v>17.600000000000001</c:v>
                </c:pt>
                <c:pt idx="9">
                  <c:v>41.2</c:v>
                </c:pt>
                <c:pt idx="10">
                  <c:v>23.2</c:v>
                </c:pt>
                <c:pt idx="11">
                  <c:v>29.8</c:v>
                </c:pt>
                <c:pt idx="12">
                  <c:v>32.4</c:v>
                </c:pt>
                <c:pt idx="13">
                  <c:v>52.6</c:v>
                </c:pt>
                <c:pt idx="14">
                  <c:v>18.600000000000001</c:v>
                </c:pt>
                <c:pt idx="15">
                  <c:v>32</c:v>
                </c:pt>
                <c:pt idx="16">
                  <c:v>76.2</c:v>
                </c:pt>
                <c:pt idx="17">
                  <c:v>22.4</c:v>
                </c:pt>
                <c:pt idx="18">
                  <c:v>28.3</c:v>
                </c:pt>
                <c:pt idx="19">
                  <c:v>42.4</c:v>
                </c:pt>
                <c:pt idx="20">
                  <c:v>48.9</c:v>
                </c:pt>
                <c:pt idx="21">
                  <c:v>38.1</c:v>
                </c:pt>
                <c:pt idx="22">
                  <c:v>25.8</c:v>
                </c:pt>
                <c:pt idx="23">
                  <c:v>43</c:v>
                </c:pt>
                <c:pt idx="24">
                  <c:v>29.7</c:v>
                </c:pt>
                <c:pt idx="25">
                  <c:v>41.9</c:v>
                </c:pt>
                <c:pt idx="26">
                  <c:v>32.4</c:v>
                </c:pt>
                <c:pt idx="27">
                  <c:v>31.5</c:v>
                </c:pt>
                <c:pt idx="28">
                  <c:v>20.2</c:v>
                </c:pt>
                <c:pt idx="29">
                  <c:v>43.9</c:v>
                </c:pt>
                <c:pt idx="30">
                  <c:v>36.9</c:v>
                </c:pt>
                <c:pt idx="31">
                  <c:v>59</c:v>
                </c:pt>
                <c:pt idx="32">
                  <c:v>44.3</c:v>
                </c:pt>
                <c:pt idx="33">
                  <c:v>39.700000000000003</c:v>
                </c:pt>
                <c:pt idx="34">
                  <c:v>22.3</c:v>
                </c:pt>
                <c:pt idx="35">
                  <c:v>49.8</c:v>
                </c:pt>
                <c:pt idx="36">
                  <c:v>31.3</c:v>
                </c:pt>
                <c:pt idx="37">
                  <c:v>20.399999999999999</c:v>
                </c:pt>
                <c:pt idx="38">
                  <c:v>14.1</c:v>
                </c:pt>
                <c:pt idx="39">
                  <c:v>26.2</c:v>
                </c:pt>
                <c:pt idx="40">
                  <c:v>19.899999999999999</c:v>
                </c:pt>
                <c:pt idx="41">
                  <c:v>40.1</c:v>
                </c:pt>
                <c:pt idx="42">
                  <c:v>19.5</c:v>
                </c:pt>
                <c:pt idx="43">
                  <c:v>45.3</c:v>
                </c:pt>
              </c:numCache>
            </c:numRef>
          </c:xVal>
          <c:yVal>
            <c:numRef>
              <c:f>Graphs!$C$3:$C$46</c:f>
              <c:numCache>
                <c:formatCode>General</c:formatCode>
                <c:ptCount val="44"/>
                <c:pt idx="0">
                  <c:v>1.3</c:v>
                </c:pt>
                <c:pt idx="1">
                  <c:v>3</c:v>
                </c:pt>
                <c:pt idx="2">
                  <c:v>4</c:v>
                </c:pt>
                <c:pt idx="4">
                  <c:v>0</c:v>
                </c:pt>
                <c:pt idx="5">
                  <c:v>1</c:v>
                </c:pt>
                <c:pt idx="6">
                  <c:v>0</c:v>
                </c:pt>
                <c:pt idx="7">
                  <c:v>1</c:v>
                </c:pt>
                <c:pt idx="8">
                  <c:v>2</c:v>
                </c:pt>
                <c:pt idx="9">
                  <c:v>1</c:v>
                </c:pt>
                <c:pt idx="10">
                  <c:v>1</c:v>
                </c:pt>
                <c:pt idx="11">
                  <c:v>4</c:v>
                </c:pt>
                <c:pt idx="12">
                  <c:v>2</c:v>
                </c:pt>
                <c:pt idx="13">
                  <c:v>3</c:v>
                </c:pt>
                <c:pt idx="15">
                  <c:v>1</c:v>
                </c:pt>
                <c:pt idx="16">
                  <c:v>0.3</c:v>
                </c:pt>
                <c:pt idx="17">
                  <c:v>2</c:v>
                </c:pt>
                <c:pt idx="18">
                  <c:v>0</c:v>
                </c:pt>
                <c:pt idx="19">
                  <c:v>1.7</c:v>
                </c:pt>
                <c:pt idx="20">
                  <c:v>1</c:v>
                </c:pt>
                <c:pt idx="21">
                  <c:v>1</c:v>
                </c:pt>
                <c:pt idx="22">
                  <c:v>2</c:v>
                </c:pt>
                <c:pt idx="23">
                  <c:v>0.8</c:v>
                </c:pt>
                <c:pt idx="24">
                  <c:v>2</c:v>
                </c:pt>
                <c:pt idx="25">
                  <c:v>0.8</c:v>
                </c:pt>
                <c:pt idx="26">
                  <c:v>1</c:v>
                </c:pt>
                <c:pt idx="27">
                  <c:v>1</c:v>
                </c:pt>
                <c:pt idx="28">
                  <c:v>0.9</c:v>
                </c:pt>
                <c:pt idx="29">
                  <c:v>3</c:v>
                </c:pt>
                <c:pt idx="30">
                  <c:v>0</c:v>
                </c:pt>
                <c:pt idx="31">
                  <c:v>1</c:v>
                </c:pt>
                <c:pt idx="32">
                  <c:v>2</c:v>
                </c:pt>
                <c:pt idx="33">
                  <c:v>0</c:v>
                </c:pt>
                <c:pt idx="34">
                  <c:v>1</c:v>
                </c:pt>
                <c:pt idx="35">
                  <c:v>0.6</c:v>
                </c:pt>
                <c:pt idx="36">
                  <c:v>1</c:v>
                </c:pt>
                <c:pt idx="37">
                  <c:v>0</c:v>
                </c:pt>
                <c:pt idx="38">
                  <c:v>2.7</c:v>
                </c:pt>
                <c:pt idx="39">
                  <c:v>2</c:v>
                </c:pt>
                <c:pt idx="40">
                  <c:v>5</c:v>
                </c:pt>
                <c:pt idx="41">
                  <c:v>1.7</c:v>
                </c:pt>
                <c:pt idx="42">
                  <c:v>2.4</c:v>
                </c:pt>
                <c:pt idx="43">
                  <c:v>0.2</c:v>
                </c:pt>
              </c:numCache>
            </c:numRef>
          </c:yVal>
          <c:smooth val="0"/>
        </c:ser>
        <c:dLbls>
          <c:showLegendKey val="0"/>
          <c:showVal val="0"/>
          <c:showCatName val="0"/>
          <c:showSerName val="0"/>
          <c:showPercent val="0"/>
          <c:showBubbleSize val="0"/>
        </c:dLbls>
        <c:axId val="471813224"/>
        <c:axId val="482603160"/>
      </c:scatterChart>
      <c:valAx>
        <c:axId val="47181322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 current male tobacco smokers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2603160"/>
        <c:crosses val="autoZero"/>
        <c:crossBetween val="midCat"/>
      </c:valAx>
      <c:valAx>
        <c:axId val="4826031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t>
                </a:r>
                <a:r>
                  <a:rPr lang="en-AU" baseline="0"/>
                  <a:t> current ecigarette use</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181322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Prevalence of female tobacco smokers vs total current e-cigarette use (n=42)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1"/>
          <c:order val="0"/>
          <c:tx>
            <c:strRef>
              <c:f>Graphs!$G$2</c:f>
              <c:strCache>
                <c:ptCount val="1"/>
                <c:pt idx="0">
                  <c:v>female</c:v>
                </c:pt>
              </c:strCache>
            </c:strRef>
          </c:tx>
          <c:spPr>
            <a:ln w="2540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0"/>
            <c:dispEq val="0"/>
          </c:trendline>
          <c:xVal>
            <c:numRef>
              <c:f>Graphs!$G$3:$G$46</c:f>
              <c:numCache>
                <c:formatCode>General</c:formatCode>
                <c:ptCount val="44"/>
                <c:pt idx="0">
                  <c:v>13.1</c:v>
                </c:pt>
                <c:pt idx="1">
                  <c:v>34.799999999999997</c:v>
                </c:pt>
                <c:pt idx="2">
                  <c:v>20</c:v>
                </c:pt>
                <c:pt idx="3">
                  <c:v>11.3</c:v>
                </c:pt>
                <c:pt idx="4">
                  <c:v>28.2</c:v>
                </c:pt>
                <c:pt idx="5">
                  <c:v>10.4</c:v>
                </c:pt>
                <c:pt idx="6">
                  <c:v>33.5</c:v>
                </c:pt>
                <c:pt idx="7">
                  <c:v>29</c:v>
                </c:pt>
                <c:pt idx="8">
                  <c:v>16.399999999999999</c:v>
                </c:pt>
                <c:pt idx="9">
                  <c:v>24.9</c:v>
                </c:pt>
                <c:pt idx="10">
                  <c:v>18.5</c:v>
                </c:pt>
                <c:pt idx="11">
                  <c:v>25.6</c:v>
                </c:pt>
                <c:pt idx="12">
                  <c:v>28.3</c:v>
                </c:pt>
                <c:pt idx="13">
                  <c:v>32.700000000000003</c:v>
                </c:pt>
                <c:pt idx="14">
                  <c:v>3.2</c:v>
                </c:pt>
                <c:pt idx="15">
                  <c:v>24.8</c:v>
                </c:pt>
                <c:pt idx="16">
                  <c:v>3.6</c:v>
                </c:pt>
                <c:pt idx="17">
                  <c:v>21.9</c:v>
                </c:pt>
                <c:pt idx="18">
                  <c:v>19.7</c:v>
                </c:pt>
                <c:pt idx="19">
                  <c:v>4.5</c:v>
                </c:pt>
                <c:pt idx="20">
                  <c:v>24.3</c:v>
                </c:pt>
                <c:pt idx="21">
                  <c:v>22.2</c:v>
                </c:pt>
                <c:pt idx="22">
                  <c:v>21.4</c:v>
                </c:pt>
                <c:pt idx="23">
                  <c:v>1.4</c:v>
                </c:pt>
                <c:pt idx="24">
                  <c:v>20.2</c:v>
                </c:pt>
                <c:pt idx="25">
                  <c:v>5.8</c:v>
                </c:pt>
                <c:pt idx="26">
                  <c:v>23.7</c:v>
                </c:pt>
                <c:pt idx="27">
                  <c:v>13.7</c:v>
                </c:pt>
                <c:pt idx="28">
                  <c:v>3.1</c:v>
                </c:pt>
                <c:pt idx="29">
                  <c:v>16.899999999999999</c:v>
                </c:pt>
                <c:pt idx="30">
                  <c:v>22.7</c:v>
                </c:pt>
                <c:pt idx="31">
                  <c:v>22.8</c:v>
                </c:pt>
                <c:pt idx="32">
                  <c:v>36.200000000000003</c:v>
                </c:pt>
                <c:pt idx="33">
                  <c:v>17.600000000000001</c:v>
                </c:pt>
                <c:pt idx="34">
                  <c:v>18.100000000000001</c:v>
                </c:pt>
                <c:pt idx="35">
                  <c:v>4.2</c:v>
                </c:pt>
                <c:pt idx="36">
                  <c:v>27.1</c:v>
                </c:pt>
                <c:pt idx="37">
                  <c:v>20.8</c:v>
                </c:pt>
                <c:pt idx="38">
                  <c:v>15.3</c:v>
                </c:pt>
                <c:pt idx="39">
                  <c:v>23.9</c:v>
                </c:pt>
                <c:pt idx="40">
                  <c:v>18.399999999999999</c:v>
                </c:pt>
                <c:pt idx="41">
                  <c:v>8.9</c:v>
                </c:pt>
                <c:pt idx="42">
                  <c:v>15</c:v>
                </c:pt>
                <c:pt idx="43">
                  <c:v>1.1000000000000001</c:v>
                </c:pt>
              </c:numCache>
            </c:numRef>
          </c:xVal>
          <c:yVal>
            <c:numRef>
              <c:f>Graphs!$C$3:$C$46</c:f>
              <c:numCache>
                <c:formatCode>General</c:formatCode>
                <c:ptCount val="44"/>
                <c:pt idx="0">
                  <c:v>1.3</c:v>
                </c:pt>
                <c:pt idx="1">
                  <c:v>3</c:v>
                </c:pt>
                <c:pt idx="2">
                  <c:v>4</c:v>
                </c:pt>
                <c:pt idx="4">
                  <c:v>0</c:v>
                </c:pt>
                <c:pt idx="5">
                  <c:v>1</c:v>
                </c:pt>
                <c:pt idx="6">
                  <c:v>0</c:v>
                </c:pt>
                <c:pt idx="7">
                  <c:v>1</c:v>
                </c:pt>
                <c:pt idx="8">
                  <c:v>2</c:v>
                </c:pt>
                <c:pt idx="9">
                  <c:v>1</c:v>
                </c:pt>
                <c:pt idx="10">
                  <c:v>1</c:v>
                </c:pt>
                <c:pt idx="11">
                  <c:v>4</c:v>
                </c:pt>
                <c:pt idx="12">
                  <c:v>2</c:v>
                </c:pt>
                <c:pt idx="13">
                  <c:v>3</c:v>
                </c:pt>
                <c:pt idx="15">
                  <c:v>1</c:v>
                </c:pt>
                <c:pt idx="16">
                  <c:v>0.3</c:v>
                </c:pt>
                <c:pt idx="17">
                  <c:v>2</c:v>
                </c:pt>
                <c:pt idx="18">
                  <c:v>0</c:v>
                </c:pt>
                <c:pt idx="19">
                  <c:v>1.7</c:v>
                </c:pt>
                <c:pt idx="20">
                  <c:v>1</c:v>
                </c:pt>
                <c:pt idx="21">
                  <c:v>1</c:v>
                </c:pt>
                <c:pt idx="22">
                  <c:v>2</c:v>
                </c:pt>
                <c:pt idx="23">
                  <c:v>0.8</c:v>
                </c:pt>
                <c:pt idx="24">
                  <c:v>2</c:v>
                </c:pt>
                <c:pt idx="25">
                  <c:v>0.8</c:v>
                </c:pt>
                <c:pt idx="26">
                  <c:v>1</c:v>
                </c:pt>
                <c:pt idx="27">
                  <c:v>1</c:v>
                </c:pt>
                <c:pt idx="28">
                  <c:v>0.9</c:v>
                </c:pt>
                <c:pt idx="29">
                  <c:v>3</c:v>
                </c:pt>
                <c:pt idx="30">
                  <c:v>0</c:v>
                </c:pt>
                <c:pt idx="31">
                  <c:v>1</c:v>
                </c:pt>
                <c:pt idx="32">
                  <c:v>2</c:v>
                </c:pt>
                <c:pt idx="33">
                  <c:v>0</c:v>
                </c:pt>
                <c:pt idx="34">
                  <c:v>1</c:v>
                </c:pt>
                <c:pt idx="35">
                  <c:v>0.6</c:v>
                </c:pt>
                <c:pt idx="36">
                  <c:v>1</c:v>
                </c:pt>
                <c:pt idx="37">
                  <c:v>0</c:v>
                </c:pt>
                <c:pt idx="38">
                  <c:v>2.7</c:v>
                </c:pt>
                <c:pt idx="39">
                  <c:v>2</c:v>
                </c:pt>
                <c:pt idx="40">
                  <c:v>5</c:v>
                </c:pt>
                <c:pt idx="41">
                  <c:v>1.7</c:v>
                </c:pt>
                <c:pt idx="42">
                  <c:v>2.4</c:v>
                </c:pt>
                <c:pt idx="43">
                  <c:v>0.2</c:v>
                </c:pt>
              </c:numCache>
            </c:numRef>
          </c:yVal>
          <c:smooth val="0"/>
        </c:ser>
        <c:dLbls>
          <c:showLegendKey val="0"/>
          <c:showVal val="0"/>
          <c:showCatName val="0"/>
          <c:showSerName val="0"/>
          <c:showPercent val="0"/>
          <c:showBubbleSize val="0"/>
        </c:dLbls>
        <c:axId val="482603944"/>
        <c:axId val="482604336"/>
      </c:scatterChart>
      <c:valAx>
        <c:axId val="48260394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 current female tobacco smokers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2604336"/>
        <c:crosses val="autoZero"/>
        <c:crossBetween val="midCat"/>
      </c:valAx>
      <c:valAx>
        <c:axId val="4826043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t>
                </a:r>
                <a:r>
                  <a:rPr lang="en-AU" baseline="0"/>
                  <a:t> current ecigarette use</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260394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Prevalence of male tobacco smokers vs ever used e-cigarettes (n=36)</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Graphs!$F$2</c:f>
              <c:strCache>
                <c:ptCount val="1"/>
                <c:pt idx="0">
                  <c:v>male</c:v>
                </c:pt>
              </c:strCache>
            </c:strRef>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Graphs!$F$3:$F$46</c:f>
              <c:numCache>
                <c:formatCode>General</c:formatCode>
                <c:ptCount val="44"/>
                <c:pt idx="0">
                  <c:v>16.7</c:v>
                </c:pt>
                <c:pt idx="1">
                  <c:v>35.5</c:v>
                </c:pt>
                <c:pt idx="2">
                  <c:v>26.5</c:v>
                </c:pt>
                <c:pt idx="3">
                  <c:v>19.3</c:v>
                </c:pt>
                <c:pt idx="4">
                  <c:v>42.4</c:v>
                </c:pt>
                <c:pt idx="5">
                  <c:v>15.6</c:v>
                </c:pt>
                <c:pt idx="6">
                  <c:v>39.4</c:v>
                </c:pt>
                <c:pt idx="7">
                  <c:v>37.4</c:v>
                </c:pt>
                <c:pt idx="8">
                  <c:v>17.600000000000001</c:v>
                </c:pt>
                <c:pt idx="9">
                  <c:v>41.2</c:v>
                </c:pt>
                <c:pt idx="10">
                  <c:v>23.2</c:v>
                </c:pt>
                <c:pt idx="11">
                  <c:v>29.8</c:v>
                </c:pt>
                <c:pt idx="12">
                  <c:v>32.4</c:v>
                </c:pt>
                <c:pt idx="13">
                  <c:v>52.6</c:v>
                </c:pt>
                <c:pt idx="14">
                  <c:v>18.600000000000001</c:v>
                </c:pt>
                <c:pt idx="15">
                  <c:v>32</c:v>
                </c:pt>
                <c:pt idx="16">
                  <c:v>76.2</c:v>
                </c:pt>
                <c:pt idx="17">
                  <c:v>22.4</c:v>
                </c:pt>
                <c:pt idx="18">
                  <c:v>28.3</c:v>
                </c:pt>
                <c:pt idx="19">
                  <c:v>42.4</c:v>
                </c:pt>
                <c:pt idx="20">
                  <c:v>48.9</c:v>
                </c:pt>
                <c:pt idx="21">
                  <c:v>38.1</c:v>
                </c:pt>
                <c:pt idx="22">
                  <c:v>25.8</c:v>
                </c:pt>
                <c:pt idx="23">
                  <c:v>43</c:v>
                </c:pt>
                <c:pt idx="24">
                  <c:v>29.7</c:v>
                </c:pt>
                <c:pt idx="25">
                  <c:v>41.9</c:v>
                </c:pt>
                <c:pt idx="26">
                  <c:v>32.4</c:v>
                </c:pt>
                <c:pt idx="27">
                  <c:v>31.5</c:v>
                </c:pt>
                <c:pt idx="28">
                  <c:v>20.2</c:v>
                </c:pt>
                <c:pt idx="29">
                  <c:v>43.9</c:v>
                </c:pt>
                <c:pt idx="30">
                  <c:v>36.9</c:v>
                </c:pt>
                <c:pt idx="31">
                  <c:v>59</c:v>
                </c:pt>
                <c:pt idx="32">
                  <c:v>44.3</c:v>
                </c:pt>
                <c:pt idx="33">
                  <c:v>39.700000000000003</c:v>
                </c:pt>
                <c:pt idx="34">
                  <c:v>22.3</c:v>
                </c:pt>
                <c:pt idx="35">
                  <c:v>49.8</c:v>
                </c:pt>
                <c:pt idx="36">
                  <c:v>31.3</c:v>
                </c:pt>
                <c:pt idx="37">
                  <c:v>20.399999999999999</c:v>
                </c:pt>
                <c:pt idx="38">
                  <c:v>14.1</c:v>
                </c:pt>
                <c:pt idx="39">
                  <c:v>26.2</c:v>
                </c:pt>
                <c:pt idx="40">
                  <c:v>19.899999999999999</c:v>
                </c:pt>
                <c:pt idx="41">
                  <c:v>40.1</c:v>
                </c:pt>
                <c:pt idx="42">
                  <c:v>19.5</c:v>
                </c:pt>
                <c:pt idx="43">
                  <c:v>45.3</c:v>
                </c:pt>
              </c:numCache>
            </c:numRef>
          </c:xVal>
          <c:yVal>
            <c:numRef>
              <c:f>Graphs!$D$3:$D$46</c:f>
              <c:numCache>
                <c:formatCode>General</c:formatCode>
                <c:ptCount val="44"/>
                <c:pt idx="0">
                  <c:v>8.4</c:v>
                </c:pt>
                <c:pt idx="1">
                  <c:v>21</c:v>
                </c:pt>
                <c:pt idx="2">
                  <c:v>16</c:v>
                </c:pt>
                <c:pt idx="3">
                  <c:v>4</c:v>
                </c:pt>
                <c:pt idx="4">
                  <c:v>9</c:v>
                </c:pt>
                <c:pt idx="5">
                  <c:v>13.2</c:v>
                </c:pt>
                <c:pt idx="6">
                  <c:v>11</c:v>
                </c:pt>
                <c:pt idx="7">
                  <c:v>20</c:v>
                </c:pt>
                <c:pt idx="8">
                  <c:v>16</c:v>
                </c:pt>
                <c:pt idx="9">
                  <c:v>21</c:v>
                </c:pt>
                <c:pt idx="10">
                  <c:v>17</c:v>
                </c:pt>
                <c:pt idx="11">
                  <c:v>24</c:v>
                </c:pt>
                <c:pt idx="12">
                  <c:v>12</c:v>
                </c:pt>
                <c:pt idx="13">
                  <c:v>15</c:v>
                </c:pt>
                <c:pt idx="14">
                  <c:v>2.2999999999999998</c:v>
                </c:pt>
                <c:pt idx="15">
                  <c:v>9</c:v>
                </c:pt>
                <c:pt idx="17">
                  <c:v>13</c:v>
                </c:pt>
                <c:pt idx="18">
                  <c:v>9</c:v>
                </c:pt>
                <c:pt idx="20">
                  <c:v>24</c:v>
                </c:pt>
                <c:pt idx="21">
                  <c:v>15</c:v>
                </c:pt>
                <c:pt idx="22">
                  <c:v>12</c:v>
                </c:pt>
                <c:pt idx="24">
                  <c:v>12</c:v>
                </c:pt>
                <c:pt idx="26">
                  <c:v>13</c:v>
                </c:pt>
                <c:pt idx="27">
                  <c:v>8</c:v>
                </c:pt>
                <c:pt idx="29">
                  <c:v>21</c:v>
                </c:pt>
                <c:pt idx="30">
                  <c:v>9</c:v>
                </c:pt>
                <c:pt idx="33">
                  <c:v>10</c:v>
                </c:pt>
                <c:pt idx="34">
                  <c:v>11</c:v>
                </c:pt>
                <c:pt idx="36">
                  <c:v>12</c:v>
                </c:pt>
                <c:pt idx="37">
                  <c:v>10</c:v>
                </c:pt>
                <c:pt idx="38">
                  <c:v>2.7</c:v>
                </c:pt>
                <c:pt idx="39">
                  <c:v>15</c:v>
                </c:pt>
                <c:pt idx="40">
                  <c:v>18</c:v>
                </c:pt>
                <c:pt idx="41">
                  <c:v>6.4</c:v>
                </c:pt>
                <c:pt idx="42">
                  <c:v>8.5</c:v>
                </c:pt>
                <c:pt idx="43">
                  <c:v>1.1000000000000001</c:v>
                </c:pt>
              </c:numCache>
            </c:numRef>
          </c:yVal>
          <c:smooth val="0"/>
        </c:ser>
        <c:dLbls>
          <c:showLegendKey val="0"/>
          <c:showVal val="0"/>
          <c:showCatName val="0"/>
          <c:showSerName val="0"/>
          <c:showPercent val="0"/>
          <c:showBubbleSize val="0"/>
        </c:dLbls>
        <c:axId val="482605120"/>
        <c:axId val="482605512"/>
      </c:scatterChart>
      <c:valAx>
        <c:axId val="4826051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 current male tobacco smokers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2605512"/>
        <c:crosses val="autoZero"/>
        <c:crossBetween val="midCat"/>
      </c:valAx>
      <c:valAx>
        <c:axId val="4826055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t>
                </a:r>
                <a:r>
                  <a:rPr lang="en-AU" baseline="0"/>
                  <a:t> ever ecigarette use</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260512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Prevalence of female tobacco smokers vs ever used e-cigarettes (n=36)</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Graphs!$F$2</c:f>
              <c:strCache>
                <c:ptCount val="1"/>
                <c:pt idx="0">
                  <c:v>male</c:v>
                </c:pt>
              </c:strCache>
            </c:strRef>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Graphs!$G$3:$G$46</c:f>
              <c:numCache>
                <c:formatCode>General</c:formatCode>
                <c:ptCount val="44"/>
                <c:pt idx="0">
                  <c:v>13.1</c:v>
                </c:pt>
                <c:pt idx="1">
                  <c:v>34.799999999999997</c:v>
                </c:pt>
                <c:pt idx="2">
                  <c:v>20</c:v>
                </c:pt>
                <c:pt idx="3">
                  <c:v>11.3</c:v>
                </c:pt>
                <c:pt idx="4">
                  <c:v>28.2</c:v>
                </c:pt>
                <c:pt idx="5">
                  <c:v>10.4</c:v>
                </c:pt>
                <c:pt idx="6">
                  <c:v>33.5</c:v>
                </c:pt>
                <c:pt idx="7">
                  <c:v>29</c:v>
                </c:pt>
                <c:pt idx="8">
                  <c:v>16.399999999999999</c:v>
                </c:pt>
                <c:pt idx="9">
                  <c:v>24.9</c:v>
                </c:pt>
                <c:pt idx="10">
                  <c:v>18.5</c:v>
                </c:pt>
                <c:pt idx="11">
                  <c:v>25.6</c:v>
                </c:pt>
                <c:pt idx="12">
                  <c:v>28.3</c:v>
                </c:pt>
                <c:pt idx="13">
                  <c:v>32.700000000000003</c:v>
                </c:pt>
                <c:pt idx="14">
                  <c:v>3.2</c:v>
                </c:pt>
                <c:pt idx="15">
                  <c:v>24.8</c:v>
                </c:pt>
                <c:pt idx="16">
                  <c:v>3.6</c:v>
                </c:pt>
                <c:pt idx="17">
                  <c:v>21.9</c:v>
                </c:pt>
                <c:pt idx="18">
                  <c:v>19.7</c:v>
                </c:pt>
                <c:pt idx="19">
                  <c:v>4.5</c:v>
                </c:pt>
                <c:pt idx="20">
                  <c:v>24.3</c:v>
                </c:pt>
                <c:pt idx="21">
                  <c:v>22.2</c:v>
                </c:pt>
                <c:pt idx="22">
                  <c:v>21.4</c:v>
                </c:pt>
                <c:pt idx="23">
                  <c:v>1.4</c:v>
                </c:pt>
                <c:pt idx="24">
                  <c:v>20.2</c:v>
                </c:pt>
                <c:pt idx="25">
                  <c:v>5.8</c:v>
                </c:pt>
                <c:pt idx="26">
                  <c:v>23.7</c:v>
                </c:pt>
                <c:pt idx="27">
                  <c:v>13.7</c:v>
                </c:pt>
                <c:pt idx="28">
                  <c:v>3.1</c:v>
                </c:pt>
                <c:pt idx="29">
                  <c:v>16.899999999999999</c:v>
                </c:pt>
                <c:pt idx="30">
                  <c:v>22.7</c:v>
                </c:pt>
                <c:pt idx="31">
                  <c:v>22.8</c:v>
                </c:pt>
                <c:pt idx="32">
                  <c:v>36.200000000000003</c:v>
                </c:pt>
                <c:pt idx="33">
                  <c:v>17.600000000000001</c:v>
                </c:pt>
                <c:pt idx="34">
                  <c:v>18.100000000000001</c:v>
                </c:pt>
                <c:pt idx="35">
                  <c:v>4.2</c:v>
                </c:pt>
                <c:pt idx="36">
                  <c:v>27.1</c:v>
                </c:pt>
                <c:pt idx="37">
                  <c:v>20.8</c:v>
                </c:pt>
                <c:pt idx="38">
                  <c:v>15.3</c:v>
                </c:pt>
                <c:pt idx="39">
                  <c:v>23.9</c:v>
                </c:pt>
                <c:pt idx="40">
                  <c:v>18.399999999999999</c:v>
                </c:pt>
                <c:pt idx="41">
                  <c:v>8.9</c:v>
                </c:pt>
                <c:pt idx="42">
                  <c:v>15</c:v>
                </c:pt>
                <c:pt idx="43">
                  <c:v>1.1000000000000001</c:v>
                </c:pt>
              </c:numCache>
            </c:numRef>
          </c:xVal>
          <c:yVal>
            <c:numRef>
              <c:f>Graphs!$D$3:$D$46</c:f>
              <c:numCache>
                <c:formatCode>General</c:formatCode>
                <c:ptCount val="44"/>
                <c:pt idx="0">
                  <c:v>8.4</c:v>
                </c:pt>
                <c:pt idx="1">
                  <c:v>21</c:v>
                </c:pt>
                <c:pt idx="2">
                  <c:v>16</c:v>
                </c:pt>
                <c:pt idx="3">
                  <c:v>4</c:v>
                </c:pt>
                <c:pt idx="4">
                  <c:v>9</c:v>
                </c:pt>
                <c:pt idx="5">
                  <c:v>13.2</c:v>
                </c:pt>
                <c:pt idx="6">
                  <c:v>11</c:v>
                </c:pt>
                <c:pt idx="7">
                  <c:v>20</c:v>
                </c:pt>
                <c:pt idx="8">
                  <c:v>16</c:v>
                </c:pt>
                <c:pt idx="9">
                  <c:v>21</c:v>
                </c:pt>
                <c:pt idx="10">
                  <c:v>17</c:v>
                </c:pt>
                <c:pt idx="11">
                  <c:v>24</c:v>
                </c:pt>
                <c:pt idx="12">
                  <c:v>12</c:v>
                </c:pt>
                <c:pt idx="13">
                  <c:v>15</c:v>
                </c:pt>
                <c:pt idx="14">
                  <c:v>2.2999999999999998</c:v>
                </c:pt>
                <c:pt idx="15">
                  <c:v>9</c:v>
                </c:pt>
                <c:pt idx="17">
                  <c:v>13</c:v>
                </c:pt>
                <c:pt idx="18">
                  <c:v>9</c:v>
                </c:pt>
                <c:pt idx="20">
                  <c:v>24</c:v>
                </c:pt>
                <c:pt idx="21">
                  <c:v>15</c:v>
                </c:pt>
                <c:pt idx="22">
                  <c:v>12</c:v>
                </c:pt>
                <c:pt idx="24">
                  <c:v>12</c:v>
                </c:pt>
                <c:pt idx="26">
                  <c:v>13</c:v>
                </c:pt>
                <c:pt idx="27">
                  <c:v>8</c:v>
                </c:pt>
                <c:pt idx="29">
                  <c:v>21</c:v>
                </c:pt>
                <c:pt idx="30">
                  <c:v>9</c:v>
                </c:pt>
                <c:pt idx="33">
                  <c:v>10</c:v>
                </c:pt>
                <c:pt idx="34">
                  <c:v>11</c:v>
                </c:pt>
                <c:pt idx="36">
                  <c:v>12</c:v>
                </c:pt>
                <c:pt idx="37">
                  <c:v>10</c:v>
                </c:pt>
                <c:pt idx="38">
                  <c:v>2.7</c:v>
                </c:pt>
                <c:pt idx="39">
                  <c:v>15</c:v>
                </c:pt>
                <c:pt idx="40">
                  <c:v>18</c:v>
                </c:pt>
                <c:pt idx="41">
                  <c:v>6.4</c:v>
                </c:pt>
                <c:pt idx="42">
                  <c:v>8.5</c:v>
                </c:pt>
                <c:pt idx="43">
                  <c:v>1.1000000000000001</c:v>
                </c:pt>
              </c:numCache>
            </c:numRef>
          </c:yVal>
          <c:smooth val="0"/>
        </c:ser>
        <c:dLbls>
          <c:showLegendKey val="0"/>
          <c:showVal val="0"/>
          <c:showCatName val="0"/>
          <c:showSerName val="0"/>
          <c:showPercent val="0"/>
          <c:showBubbleSize val="0"/>
        </c:dLbls>
        <c:axId val="482606296"/>
        <c:axId val="482606688"/>
      </c:scatterChart>
      <c:valAx>
        <c:axId val="48260629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 current female tobacco smokers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2606688"/>
        <c:crosses val="autoZero"/>
        <c:crossBetween val="midCat"/>
      </c:valAx>
      <c:valAx>
        <c:axId val="4826066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t>
                </a:r>
                <a:r>
                  <a:rPr lang="en-AU" baseline="0"/>
                  <a:t> ever ecigarette use</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260629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SIRO Midday">
      <a:dk1>
        <a:sysClr val="windowText" lastClr="000000"/>
      </a:dk1>
      <a:lt1>
        <a:srgbClr val="FFFFFF"/>
      </a:lt1>
      <a:dk2>
        <a:srgbClr val="000000"/>
      </a:dk2>
      <a:lt2>
        <a:srgbClr val="FFFFFF"/>
      </a:lt2>
      <a:accent1>
        <a:srgbClr val="00A9CE"/>
      </a:accent1>
      <a:accent2>
        <a:srgbClr val="00313C"/>
      </a:accent2>
      <a:accent3>
        <a:srgbClr val="78BE20"/>
      </a:accent3>
      <a:accent4>
        <a:srgbClr val="4A7729"/>
      </a:accent4>
      <a:accent5>
        <a:srgbClr val="9FAEE5"/>
      </a:accent5>
      <a:accent6>
        <a:srgbClr val="1E22AA"/>
      </a:accent6>
      <a:hlink>
        <a:srgbClr val="41B6E6"/>
      </a:hlink>
      <a:folHlink>
        <a:srgbClr val="004B8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TaxCatchAll xmlns="9b077839-0f73-4e2c-bacc-6a0a351e548e">
      <Value>235</Value>
      <Value>470</Value>
      <Value>25</Value>
      <Value>2234</Value>
      <Value>90</Value>
      <Value>2297</Value>
    </TaxCatchAll>
    <g7bcb40ba23249a78edca7d43a67c1c9 xmlns="9b077839-0f73-4e2c-bacc-6a0a351e548e">
      <Terms xmlns="http://schemas.microsoft.com/office/infopath/2007/PartnerControls">
        <TermInfo xmlns="http://schemas.microsoft.com/office/infopath/2007/PartnerControls">
          <TermName xmlns="http://schemas.microsoft.com/office/infopath/2007/PartnerControls">Research</TermName>
          <TermId xmlns="http://schemas.microsoft.com/office/infopath/2007/PartnerControls">7b4c149d-8b70-4bf0-8e72-df534d298464</TermId>
        </TermInfo>
      </Terms>
    </g7bcb40ba23249a78edca7d43a67c1c9>
    <aa25a1a23adf4c92a153145de6afe324 xmlns="9b077839-0f73-4e2c-bacc-6a0a351e548e">
      <Terms xmlns="http://schemas.microsoft.com/office/infopath/2007/PartnerControls">
        <TermInfo xmlns="http://schemas.microsoft.com/office/infopath/2007/PartnerControls">
          <TermName xmlns="http://schemas.microsoft.com/office/infopath/2007/PartnerControls">For Official Use Only</TermName>
          <TermId xmlns="http://schemas.microsoft.com/office/infopath/2007/PartnerControls">11f6fb0b-52ce-4109-8f7f-521b2a62f692</TermId>
        </TermInfo>
      </Terms>
    </aa25a1a23adf4c92a153145de6afe324>
    <DocHub_PDMSNumber xmlns="9b077839-0f73-4e2c-bacc-6a0a351e548e" xsi:nil="true"/>
    <pe2555c81638466f9eb614edb9ecde52 xmlns="9b077839-0f73-4e2c-bacc-6a0a351e548e">
      <Terms xmlns="http://schemas.microsoft.com/office/infopath/2007/PartnerControls">
        <TermInfo xmlns="http://schemas.microsoft.com/office/infopath/2007/PartnerControls">
          <TermName xmlns="http://schemas.microsoft.com/office/infopath/2007/PartnerControls">Report</TermName>
          <TermId xmlns="http://schemas.microsoft.com/office/infopath/2007/PartnerControls">116a9244-cef6-47ce-a9a5-088c9cf21292</TermId>
        </TermInfo>
      </Terms>
    </pe2555c81638466f9eb614edb9ecde52>
    <n99e4c9942c6404eb103464a00e6097b xmlns="9b077839-0f73-4e2c-bacc-6a0a351e548e">
      <Terms xmlns="http://schemas.microsoft.com/office/infopath/2007/PartnerControls"/>
    </n99e4c9942c6404eb103464a00e6097b>
    <adb9bed2e36e4a93af574aeb444da63e xmlns="9b077839-0f73-4e2c-bacc-6a0a351e548e">
      <Terms xmlns="http://schemas.microsoft.com/office/infopath/2007/PartnerControls">
        <TermInfo xmlns="http://schemas.microsoft.com/office/infopath/2007/PartnerControls">
          <TermName xmlns="http://schemas.microsoft.com/office/infopath/2007/PartnerControls">e-cigarettes</TermName>
          <TermId xmlns="http://schemas.microsoft.com/office/infopath/2007/PartnerControls">149e1853-0040-4162-9819-d42cb14a6c5e</TermId>
        </TermInfo>
        <TermInfo xmlns="http://schemas.microsoft.com/office/infopath/2007/PartnerControls">
          <TermName xmlns="http://schemas.microsoft.com/office/infopath/2007/PartnerControls">CSIRO</TermName>
          <TermId xmlns="http://schemas.microsoft.com/office/infopath/2007/PartnerControls">95aed99c-5de5-4734-8eef-29b18981fbc3</TermId>
        </TermInfo>
        <TermInfo xmlns="http://schemas.microsoft.com/office/infopath/2007/PartnerControls">
          <TermName xmlns="http://schemas.microsoft.com/office/infopath/2007/PartnerControls">final</TermName>
          <TermId xmlns="http://schemas.microsoft.com/office/infopath/2007/PartnerControls">db6b8768-d729-4563-af4c-338f397cf2c5</TermId>
        </TermInfo>
      </Terms>
    </adb9bed2e36e4a93af574aeb444da63e>
    <Comments xmlns="http://schemas.microsoft.com/sharepoint/v3" xsi:nil="true"/>
    <_dlc_DocId xmlns="9b077839-0f73-4e2c-bacc-6a0a351e548e">SV2NCR65TPKA-732017718-386</_dlc_DocId>
    <_dlc_DocIdUrl xmlns="9b077839-0f73-4e2c-bacc-6a0a351e548e">
      <Url>https://dochub/div/sciencecommercialisationpolicy/businessfunctions/governance/csiro/_layouts/15/DocIdRedir.aspx?ID=SV2NCR65TPKA-732017718-386</Url>
      <Description>SV2NCR65TPKA-732017718-386</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0AAA5A4A3DE7445B9E3973A62F263A5" ma:contentTypeVersion="15" ma:contentTypeDescription="Create a new document." ma:contentTypeScope="" ma:versionID="0ec213900e8af1b29e10fbefefb78996">
  <xsd:schema xmlns:xsd="http://www.w3.org/2001/XMLSchema" xmlns:xs="http://www.w3.org/2001/XMLSchema" xmlns:p="http://schemas.microsoft.com/office/2006/metadata/properties" xmlns:ns1="http://schemas.microsoft.com/sharepoint/v3" xmlns:ns2="9b077839-0f73-4e2c-bacc-6a0a351e548e" xmlns:ns3="45816482-2bc8-48f6-8494-ee489e4de900" targetNamespace="http://schemas.microsoft.com/office/2006/metadata/properties" ma:root="true" ma:fieldsID="60503cfec83c0487470c6b11ab5d6fe7" ns1:_="" ns2:_="" ns3:_="">
    <xsd:import namespace="http://schemas.microsoft.com/sharepoint/v3"/>
    <xsd:import namespace="9b077839-0f73-4e2c-bacc-6a0a351e548e"/>
    <xsd:import namespace="45816482-2bc8-48f6-8494-ee489e4de900"/>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2:DocHub_PDMSNumber"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077839-0f73-4e2c-bacc-6a0a351e548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83d1138c-a482-4539-8b3c-e9927f915bf9}" ma:internalName="TaxCatchAll" ma:showField="CatchAllData" ma:web="9b077839-0f73-4e2c-bacc-6a0a351e548e">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a21f1471-a5bf-4a24-a193-8b96fd6db36b"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element name="DocHub_PDMSNumber" ma:index="23" nillable="true" ma:displayName="PDMS Number" ma:description="Parliamentary Document Management System (PDMS) Reference Number" ma:indexed="true" ma:internalName="DocHub_PDMSNumber">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816482-2bc8-48f6-8494-ee489e4de900" elementFormDefault="qualified">
    <xsd:import namespace="http://schemas.microsoft.com/office/2006/documentManagement/types"/>
    <xsd:import namespace="http://schemas.microsoft.com/office/infopath/2007/PartnerControls"/>
    <xsd:element name="SharedWithUsers" ma:index="2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548C7E-E585-4C52-B0F5-6B59A8F6F70C}">
  <ds:schemaRefs>
    <ds:schemaRef ds:uri="http://schemas.microsoft.com/sharepoint/v3/contenttype/forms"/>
  </ds:schemaRefs>
</ds:datastoreItem>
</file>

<file path=customXml/itemProps2.xml><?xml version="1.0" encoding="utf-8"?>
<ds:datastoreItem xmlns:ds="http://schemas.openxmlformats.org/officeDocument/2006/customXml" ds:itemID="{6DDA181A-DBA2-4DE0-9937-E40FE22DE999}">
  <ds:schemaRefs>
    <ds:schemaRef ds:uri="http://schemas.microsoft.com/sharepoint/events"/>
  </ds:schemaRefs>
</ds:datastoreItem>
</file>

<file path=customXml/itemProps3.xml><?xml version="1.0" encoding="utf-8"?>
<ds:datastoreItem xmlns:ds="http://schemas.openxmlformats.org/officeDocument/2006/customXml" ds:itemID="{24A8E9F9-79B3-4758-9EF5-70D2146CE94B}">
  <ds:schemaRefs>
    <ds:schemaRef ds:uri="http://schemas.microsoft.com/office/2006/metadata/properties"/>
    <ds:schemaRef ds:uri="http://schemas.microsoft.com/office/infopath/2007/PartnerControls"/>
    <ds:schemaRef ds:uri="9b077839-0f73-4e2c-bacc-6a0a351e548e"/>
    <ds:schemaRef ds:uri="http://schemas.microsoft.com/sharepoint/v3"/>
  </ds:schemaRefs>
</ds:datastoreItem>
</file>

<file path=customXml/itemProps4.xml><?xml version="1.0" encoding="utf-8"?>
<ds:datastoreItem xmlns:ds="http://schemas.openxmlformats.org/officeDocument/2006/customXml" ds:itemID="{0C3F76E3-232D-49DC-A765-CE23413ADB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b077839-0f73-4e2c-bacc-6a0a351e548e"/>
    <ds:schemaRef ds:uri="45816482-2bc8-48f6-8494-ee489e4de9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8C749B0-023E-46DB-97FE-D76532824B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Technical Report - Formal Photo.dotx</Template>
  <TotalTime>2</TotalTime>
  <Pages>1</Pages>
  <Words>216405</Words>
  <Characters>1233511</Characters>
  <Application>Microsoft Office Word</Application>
  <DocSecurity>0</DocSecurity>
  <Lines>10279</Lines>
  <Paragraphs>2894</Paragraphs>
  <ScaleCrop>false</ScaleCrop>
  <HeadingPairs>
    <vt:vector size="2" baseType="variant">
      <vt:variant>
        <vt:lpstr>Title</vt:lpstr>
      </vt:variant>
      <vt:variant>
        <vt:i4>1</vt:i4>
      </vt:variant>
    </vt:vector>
  </HeadingPairs>
  <TitlesOfParts>
    <vt:vector size="1" baseType="lpstr">
      <vt:lpstr>CSIRO report template</vt:lpstr>
    </vt:vector>
  </TitlesOfParts>
  <Company>CSIRO</Company>
  <LinksUpToDate>false</LinksUpToDate>
  <CharactersWithSpaces>1447022</CharactersWithSpaces>
  <SharedDoc>false</SharedDoc>
  <HLinks>
    <vt:vector size="84" baseType="variant">
      <vt:variant>
        <vt:i4>1835069</vt:i4>
      </vt:variant>
      <vt:variant>
        <vt:i4>86</vt:i4>
      </vt:variant>
      <vt:variant>
        <vt:i4>0</vt:i4>
      </vt:variant>
      <vt:variant>
        <vt:i4>5</vt:i4>
      </vt:variant>
      <vt:variant>
        <vt:lpwstr/>
      </vt:variant>
      <vt:variant>
        <vt:lpwstr>_Toc316486081</vt:lpwstr>
      </vt:variant>
      <vt:variant>
        <vt:i4>1179709</vt:i4>
      </vt:variant>
      <vt:variant>
        <vt:i4>77</vt:i4>
      </vt:variant>
      <vt:variant>
        <vt:i4>0</vt:i4>
      </vt:variant>
      <vt:variant>
        <vt:i4>5</vt:i4>
      </vt:variant>
      <vt:variant>
        <vt:lpwstr/>
      </vt:variant>
      <vt:variant>
        <vt:lpwstr>_Toc316486069</vt:lpwstr>
      </vt:variant>
      <vt:variant>
        <vt:i4>1507380</vt:i4>
      </vt:variant>
      <vt:variant>
        <vt:i4>68</vt:i4>
      </vt:variant>
      <vt:variant>
        <vt:i4>0</vt:i4>
      </vt:variant>
      <vt:variant>
        <vt:i4>5</vt:i4>
      </vt:variant>
      <vt:variant>
        <vt:lpwstr/>
      </vt:variant>
      <vt:variant>
        <vt:lpwstr>_Toc316485903</vt:lpwstr>
      </vt:variant>
      <vt:variant>
        <vt:i4>1507380</vt:i4>
      </vt:variant>
      <vt:variant>
        <vt:i4>62</vt:i4>
      </vt:variant>
      <vt:variant>
        <vt:i4>0</vt:i4>
      </vt:variant>
      <vt:variant>
        <vt:i4>5</vt:i4>
      </vt:variant>
      <vt:variant>
        <vt:lpwstr/>
      </vt:variant>
      <vt:variant>
        <vt:lpwstr>_Toc316485902</vt:lpwstr>
      </vt:variant>
      <vt:variant>
        <vt:i4>1507380</vt:i4>
      </vt:variant>
      <vt:variant>
        <vt:i4>56</vt:i4>
      </vt:variant>
      <vt:variant>
        <vt:i4>0</vt:i4>
      </vt:variant>
      <vt:variant>
        <vt:i4>5</vt:i4>
      </vt:variant>
      <vt:variant>
        <vt:lpwstr/>
      </vt:variant>
      <vt:variant>
        <vt:lpwstr>_Toc316485901</vt:lpwstr>
      </vt:variant>
      <vt:variant>
        <vt:i4>1507380</vt:i4>
      </vt:variant>
      <vt:variant>
        <vt:i4>50</vt:i4>
      </vt:variant>
      <vt:variant>
        <vt:i4>0</vt:i4>
      </vt:variant>
      <vt:variant>
        <vt:i4>5</vt:i4>
      </vt:variant>
      <vt:variant>
        <vt:lpwstr/>
      </vt:variant>
      <vt:variant>
        <vt:lpwstr>_Toc316485900</vt:lpwstr>
      </vt:variant>
      <vt:variant>
        <vt:i4>1966133</vt:i4>
      </vt:variant>
      <vt:variant>
        <vt:i4>44</vt:i4>
      </vt:variant>
      <vt:variant>
        <vt:i4>0</vt:i4>
      </vt:variant>
      <vt:variant>
        <vt:i4>5</vt:i4>
      </vt:variant>
      <vt:variant>
        <vt:lpwstr/>
      </vt:variant>
      <vt:variant>
        <vt:lpwstr>_Toc316485899</vt:lpwstr>
      </vt:variant>
      <vt:variant>
        <vt:i4>1966133</vt:i4>
      </vt:variant>
      <vt:variant>
        <vt:i4>38</vt:i4>
      </vt:variant>
      <vt:variant>
        <vt:i4>0</vt:i4>
      </vt:variant>
      <vt:variant>
        <vt:i4>5</vt:i4>
      </vt:variant>
      <vt:variant>
        <vt:lpwstr/>
      </vt:variant>
      <vt:variant>
        <vt:lpwstr>_Toc316485898</vt:lpwstr>
      </vt:variant>
      <vt:variant>
        <vt:i4>1966133</vt:i4>
      </vt:variant>
      <vt:variant>
        <vt:i4>32</vt:i4>
      </vt:variant>
      <vt:variant>
        <vt:i4>0</vt:i4>
      </vt:variant>
      <vt:variant>
        <vt:i4>5</vt:i4>
      </vt:variant>
      <vt:variant>
        <vt:lpwstr/>
      </vt:variant>
      <vt:variant>
        <vt:lpwstr>_Toc316485897</vt:lpwstr>
      </vt:variant>
      <vt:variant>
        <vt:i4>1966133</vt:i4>
      </vt:variant>
      <vt:variant>
        <vt:i4>26</vt:i4>
      </vt:variant>
      <vt:variant>
        <vt:i4>0</vt:i4>
      </vt:variant>
      <vt:variant>
        <vt:i4>5</vt:i4>
      </vt:variant>
      <vt:variant>
        <vt:lpwstr/>
      </vt:variant>
      <vt:variant>
        <vt:lpwstr>_Toc316485896</vt:lpwstr>
      </vt:variant>
      <vt:variant>
        <vt:i4>1966133</vt:i4>
      </vt:variant>
      <vt:variant>
        <vt:i4>20</vt:i4>
      </vt:variant>
      <vt:variant>
        <vt:i4>0</vt:i4>
      </vt:variant>
      <vt:variant>
        <vt:i4>5</vt:i4>
      </vt:variant>
      <vt:variant>
        <vt:lpwstr/>
      </vt:variant>
      <vt:variant>
        <vt:lpwstr>_Toc316485895</vt:lpwstr>
      </vt:variant>
      <vt:variant>
        <vt:i4>1966133</vt:i4>
      </vt:variant>
      <vt:variant>
        <vt:i4>14</vt:i4>
      </vt:variant>
      <vt:variant>
        <vt:i4>0</vt:i4>
      </vt:variant>
      <vt:variant>
        <vt:i4>5</vt:i4>
      </vt:variant>
      <vt:variant>
        <vt:lpwstr/>
      </vt:variant>
      <vt:variant>
        <vt:lpwstr>_Toc316485894</vt:lpwstr>
      </vt:variant>
      <vt:variant>
        <vt:i4>1966133</vt:i4>
      </vt:variant>
      <vt:variant>
        <vt:i4>8</vt:i4>
      </vt:variant>
      <vt:variant>
        <vt:i4>0</vt:i4>
      </vt:variant>
      <vt:variant>
        <vt:i4>5</vt:i4>
      </vt:variant>
      <vt:variant>
        <vt:lpwstr/>
      </vt:variant>
      <vt:variant>
        <vt:lpwstr>_Toc316485893</vt:lpwstr>
      </vt:variant>
      <vt:variant>
        <vt:i4>1966133</vt:i4>
      </vt:variant>
      <vt:variant>
        <vt:i4>2</vt:i4>
      </vt:variant>
      <vt:variant>
        <vt:i4>0</vt:i4>
      </vt:variant>
      <vt:variant>
        <vt:i4>5</vt:i4>
      </vt:variant>
      <vt:variant>
        <vt:lpwstr/>
      </vt:variant>
      <vt:variant>
        <vt:lpwstr>_Toc316485892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CSIRO report template</dc:title>
  <dc:creator>Riley, Malcolm (H&amp;B, Adelaide SAHMRI)</dc:creator>
  <cp:lastModifiedBy>Galovic, Nikki (Comms, Kensington)</cp:lastModifiedBy>
  <cp:revision>5</cp:revision>
  <cp:lastPrinted>2018-06-22T02:52:00Z</cp:lastPrinted>
  <dcterms:created xsi:type="dcterms:W3CDTF">2018-08-07T00:52:00Z</dcterms:created>
  <dcterms:modified xsi:type="dcterms:W3CDTF">2018-08-07T00:54:00Z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Title">
    <vt:lpwstr>Report Title</vt:lpwstr>
  </property>
  <property fmtid="{D5CDD505-2E9C-101B-9397-08002B2CF9AE}" pid="3" name="CoverSubtitle">
    <vt:lpwstr>Cover Subtitle</vt:lpwstr>
  </property>
  <property fmtid="{D5CDD505-2E9C-101B-9397-08002B2CF9AE}" pid="4" name="ContentTypeId">
    <vt:lpwstr>0x01010070AAA5A4A3DE7445B9E3973A62F263A5</vt:lpwstr>
  </property>
  <property fmtid="{D5CDD505-2E9C-101B-9397-08002B2CF9AE}" pid="5" name="_dlc_DocIdItemGuid">
    <vt:lpwstr>689b80fe-7ffb-40a1-888c-bb63d36ee1d2</vt:lpwstr>
  </property>
  <property fmtid="{D5CDD505-2E9C-101B-9397-08002B2CF9AE}" pid="6" name="DocHub_Year">
    <vt:lpwstr/>
  </property>
  <property fmtid="{D5CDD505-2E9C-101B-9397-08002B2CF9AE}" pid="7" name="DocHub_DocumentType">
    <vt:lpwstr>25;#Report|116a9244-cef6-47ce-a9a5-088c9cf21292</vt:lpwstr>
  </property>
  <property fmtid="{D5CDD505-2E9C-101B-9397-08002B2CF9AE}" pid="8" name="DocHub_SecurityClassification">
    <vt:lpwstr>90;#For Official Use Only|11f6fb0b-52ce-4109-8f7f-521b2a62f692</vt:lpwstr>
  </property>
  <property fmtid="{D5CDD505-2E9C-101B-9397-08002B2CF9AE}" pid="9" name="DocHub_Keywords">
    <vt:lpwstr>2234;#e-cigarettes|149e1853-0040-4162-9819-d42cb14a6c5e;#470;#CSIRO|95aed99c-5de5-4734-8eef-29b18981fbc3;#2297;#final|db6b8768-d729-4563-af4c-338f397cf2c5</vt:lpwstr>
  </property>
  <property fmtid="{D5CDD505-2E9C-101B-9397-08002B2CF9AE}" pid="10" name="DocHub_WorkActivity">
    <vt:lpwstr>235;#Research|7b4c149d-8b70-4bf0-8e72-df534d298464</vt:lpwstr>
  </property>
</Properties>
</file>